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customXml/itemProps13.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2.0 -->
  <w:body>
    <w:p w:rsidR="006224C2" w14:paraId="420E4F16" w14:textId="7FF55299">
      <w:pPr>
        <w:pStyle w:val="Heading5"/>
        <w:keepNext w:val="0"/>
        <w:tabs>
          <w:tab w:val="left" w:pos="567"/>
        </w:tabs>
        <w:rPr>
          <w:lang w:val="it-IT"/>
        </w:rPr>
      </w:pPr>
      <w:r w:rsidRPr="00AD2B60">
        <w:rPr>
          <w:b w:val="0"/>
          <w:noProof/>
        </w:rPr>
        <mc:AlternateContent>
          <mc:Choice Requires="wps">
            <w:drawing>
              <wp:anchor distT="0" distB="0" distL="114300" distR="114300" simplePos="0" relativeHeight="251668480" behindDoc="0" locked="0" layoutInCell="1" allowOverlap="1">
                <wp:simplePos x="0" y="0"/>
                <wp:positionH relativeFrom="margin">
                  <wp:posOffset>154380</wp:posOffset>
                </wp:positionH>
                <wp:positionV relativeFrom="paragraph">
                  <wp:posOffset>112824</wp:posOffset>
                </wp:positionV>
                <wp:extent cx="5772150" cy="1404620"/>
                <wp:effectExtent l="0" t="0" r="19050" b="1079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72150" cy="1404620"/>
                        </a:xfrm>
                        <a:prstGeom prst="rect">
                          <a:avLst/>
                        </a:prstGeom>
                        <a:solidFill>
                          <a:srgbClr val="FFFFFF"/>
                        </a:solidFill>
                        <a:ln w="9525">
                          <a:solidFill>
                            <a:srgbClr val="000000"/>
                          </a:solidFill>
                          <a:miter lim="800000"/>
                          <a:headEnd/>
                          <a:tailEnd/>
                        </a:ln>
                      </wps:spPr>
                      <wps:txbx>
                        <w:txbxContent>
                          <w:p w:rsidR="00CC1FF9" w:rsidRPr="00CC1FF9" w:rsidP="00CC1FF9" w14:textId="2C8F40A9">
                            <w:pPr>
                              <w:rPr>
                                <w:sz w:val="22"/>
                                <w:szCs w:val="22"/>
                              </w:rPr>
                            </w:pPr>
                            <w:r w:rsidRPr="00CC1FF9">
                              <w:rPr>
                                <w:sz w:val="22"/>
                                <w:szCs w:val="22"/>
                              </w:rPr>
                              <w:t>Il presente documento riporta le informazioni sul prodotto approvate relative a Humira, con evidenziate le modifiche che vi sono state apportate rispetto alla procedura precedente (EMA/N/0000249136).</w:t>
                            </w:r>
                          </w:p>
                          <w:p w:rsidR="00CC1FF9" w:rsidRPr="00CC1FF9" w:rsidP="00CC1FF9" w14:textId="77777777">
                            <w:pPr>
                              <w:rPr>
                                <w:sz w:val="22"/>
                                <w:szCs w:val="22"/>
                              </w:rPr>
                            </w:pPr>
                          </w:p>
                          <w:p w:rsidR="00CC1FF9" w:rsidRPr="00CC1FF9" w:rsidP="00CC1FF9" w14:textId="4458FE4E">
                            <w:pPr>
                              <w:rPr>
                                <w:sz w:val="22"/>
                                <w:szCs w:val="22"/>
                              </w:rPr>
                            </w:pPr>
                            <w:r w:rsidRPr="00CC1FF9">
                              <w:rPr>
                                <w:sz w:val="22"/>
                                <w:szCs w:val="22"/>
                              </w:rPr>
                              <w:t xml:space="preserve">Per maggiori informazioni, consultare il sito web dell’Agenzia europea per i medicinali: </w:t>
                            </w:r>
                            <w:hyperlink r:id="rId16" w:history="1">
                              <w:r w:rsidRPr="00CC1FF9">
                                <w:rPr>
                                  <w:rStyle w:val="Hyperlink"/>
                                  <w:sz w:val="22"/>
                                  <w:szCs w:val="22"/>
                                </w:rPr>
                                <w:t>https://www.ema.europa.eu/en/medicines/human/EPAR/Humira</w:t>
                              </w:r>
                            </w:hyperlink>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width:454.5pt;height:110.6pt;margin-top:8.9pt;margin-left:12.15pt;mso-position-horizontal-relative:margin;mso-wrap-distance-bottom:0;mso-wrap-distance-left:9pt;mso-wrap-distance-right:9pt;mso-wrap-distance-top:0;mso-wrap-style:square;position:absolute;visibility:visible;v-text-anchor:top;z-index:251669504">
                <v:textbox style="mso-fit-shape-to-text:t">
                  <w:txbxContent>
                    <w:p w:rsidR="00CC1FF9" w:rsidRPr="00CC1FF9" w:rsidP="00CC1FF9" w14:paraId="28A622D4" w14:textId="2C8F40A9">
                      <w:pPr>
                        <w:rPr>
                          <w:sz w:val="22"/>
                          <w:szCs w:val="22"/>
                        </w:rPr>
                      </w:pPr>
                      <w:r w:rsidRPr="00CC1FF9">
                        <w:rPr>
                          <w:sz w:val="22"/>
                          <w:szCs w:val="22"/>
                        </w:rPr>
                        <w:t>Il presente documento riporta le informazioni sul prodotto approvate relative a Humira, con evidenziate le modifiche che vi sono state apportate rispetto alla procedura precedente (EMA/N/0000249136).</w:t>
                      </w:r>
                    </w:p>
                    <w:p w:rsidR="00CC1FF9" w:rsidRPr="00CC1FF9" w:rsidP="00CC1FF9" w14:paraId="0892E215" w14:textId="77777777">
                      <w:pPr>
                        <w:rPr>
                          <w:sz w:val="22"/>
                          <w:szCs w:val="22"/>
                        </w:rPr>
                      </w:pPr>
                    </w:p>
                    <w:p w:rsidR="00CC1FF9" w:rsidRPr="00CC1FF9" w:rsidP="00CC1FF9" w14:paraId="11BAE111" w14:textId="4458FE4E">
                      <w:pPr>
                        <w:rPr>
                          <w:sz w:val="22"/>
                          <w:szCs w:val="22"/>
                        </w:rPr>
                      </w:pPr>
                      <w:r w:rsidRPr="00CC1FF9">
                        <w:rPr>
                          <w:sz w:val="22"/>
                          <w:szCs w:val="22"/>
                        </w:rPr>
                        <w:t xml:space="preserve">Per maggiori informazioni, consultare il sito web dell’Agenzia europea per i medicinali: </w:t>
                      </w:r>
                      <w:hyperlink r:id="rId17" w:history="1">
                        <w:r w:rsidRPr="00CC1FF9">
                          <w:rPr>
                            <w:rStyle w:val="Hyperlink"/>
                            <w:sz w:val="22"/>
                            <w:szCs w:val="22"/>
                          </w:rPr>
                          <w:t>https://www.ema.europa.eu/en/medicines/human/EPAR/Humira</w:t>
                        </w:r>
                      </w:hyperlink>
                    </w:p>
                  </w:txbxContent>
                </v:textbox>
                <w10:wrap type="square"/>
              </v:shape>
            </w:pict>
          </mc:Fallback>
        </mc:AlternateContent>
      </w:r>
    </w:p>
    <w:p w:rsidR="001B32A6" w:rsidRPr="001B32A6" w:rsidP="00B6698C" w14:paraId="39FCDCF4" w14:textId="0C966034"/>
    <w:p w:rsidR="006224C2" w:rsidRPr="00295E71" w14:paraId="34B54DF0" w14:textId="77777777">
      <w:pPr>
        <w:pStyle w:val="Heading5"/>
        <w:keepNext w:val="0"/>
        <w:tabs>
          <w:tab w:val="left" w:pos="567"/>
        </w:tabs>
        <w:rPr>
          <w:lang w:val="it-IT"/>
        </w:rPr>
      </w:pPr>
    </w:p>
    <w:p w:rsidR="006224C2" w:rsidRPr="00295E71" w14:paraId="2A7BCD1A" w14:textId="77777777">
      <w:pPr>
        <w:pStyle w:val="Heading5"/>
        <w:keepNext w:val="0"/>
        <w:tabs>
          <w:tab w:val="left" w:pos="567"/>
        </w:tabs>
        <w:rPr>
          <w:lang w:val="it-IT"/>
        </w:rPr>
      </w:pPr>
    </w:p>
    <w:p w:rsidR="006224C2" w:rsidRPr="00295E71" w14:paraId="6A781AE9" w14:textId="77777777">
      <w:pPr>
        <w:pStyle w:val="Heading5"/>
        <w:keepNext w:val="0"/>
        <w:tabs>
          <w:tab w:val="left" w:pos="567"/>
        </w:tabs>
        <w:rPr>
          <w:lang w:val="it-IT"/>
        </w:rPr>
      </w:pPr>
    </w:p>
    <w:p w:rsidR="006224C2" w:rsidRPr="00295E71" w14:paraId="1CAD4CE4" w14:textId="77777777">
      <w:pPr>
        <w:pStyle w:val="Heading5"/>
        <w:keepNext w:val="0"/>
        <w:tabs>
          <w:tab w:val="left" w:pos="567"/>
        </w:tabs>
        <w:rPr>
          <w:lang w:val="it-IT"/>
        </w:rPr>
      </w:pPr>
    </w:p>
    <w:p w:rsidR="006224C2" w:rsidRPr="00295E71" w14:paraId="3F6B7E0D" w14:textId="77777777">
      <w:pPr>
        <w:pStyle w:val="Heading5"/>
        <w:keepNext w:val="0"/>
        <w:tabs>
          <w:tab w:val="left" w:pos="567"/>
        </w:tabs>
        <w:rPr>
          <w:lang w:val="it-IT"/>
        </w:rPr>
      </w:pPr>
    </w:p>
    <w:p w:rsidR="006224C2" w:rsidRPr="00295E71" w14:paraId="19CF8D8B" w14:textId="77777777">
      <w:pPr>
        <w:pStyle w:val="Heading5"/>
        <w:keepNext w:val="0"/>
        <w:tabs>
          <w:tab w:val="left" w:pos="567"/>
        </w:tabs>
        <w:rPr>
          <w:lang w:val="it-IT"/>
        </w:rPr>
      </w:pPr>
    </w:p>
    <w:p w:rsidR="006224C2" w:rsidRPr="00295E71" w14:paraId="4A75D8A6" w14:textId="77777777">
      <w:pPr>
        <w:pStyle w:val="Heading5"/>
        <w:keepNext w:val="0"/>
        <w:tabs>
          <w:tab w:val="left" w:pos="567"/>
        </w:tabs>
        <w:rPr>
          <w:lang w:val="it-IT"/>
        </w:rPr>
      </w:pPr>
    </w:p>
    <w:p w:rsidR="006224C2" w:rsidRPr="00295E71" w14:paraId="26053944" w14:textId="77777777">
      <w:pPr>
        <w:pStyle w:val="Heading5"/>
        <w:keepNext w:val="0"/>
        <w:tabs>
          <w:tab w:val="left" w:pos="567"/>
        </w:tabs>
        <w:rPr>
          <w:lang w:val="it-IT"/>
        </w:rPr>
      </w:pPr>
    </w:p>
    <w:p w:rsidR="006224C2" w:rsidRPr="00295E71" w14:paraId="31729AD4" w14:textId="77777777">
      <w:pPr>
        <w:pStyle w:val="Heading5"/>
        <w:keepNext w:val="0"/>
        <w:tabs>
          <w:tab w:val="left" w:pos="567"/>
        </w:tabs>
        <w:rPr>
          <w:lang w:val="it-IT"/>
        </w:rPr>
      </w:pPr>
    </w:p>
    <w:p w:rsidR="006224C2" w:rsidRPr="00295E71" w14:paraId="14AA888A" w14:textId="77777777">
      <w:pPr>
        <w:pStyle w:val="Heading5"/>
        <w:keepNext w:val="0"/>
        <w:tabs>
          <w:tab w:val="left" w:pos="567"/>
        </w:tabs>
        <w:rPr>
          <w:lang w:val="it-IT"/>
        </w:rPr>
      </w:pPr>
    </w:p>
    <w:p w:rsidR="006224C2" w:rsidRPr="00295E71" w14:paraId="6D44E195" w14:textId="77777777">
      <w:pPr>
        <w:pStyle w:val="Heading5"/>
        <w:keepNext w:val="0"/>
        <w:tabs>
          <w:tab w:val="left" w:pos="567"/>
        </w:tabs>
        <w:rPr>
          <w:lang w:val="it-IT"/>
        </w:rPr>
      </w:pPr>
    </w:p>
    <w:p w:rsidR="006224C2" w:rsidRPr="00295E71" w14:paraId="068F0DF7" w14:textId="77777777">
      <w:pPr>
        <w:pStyle w:val="Heading5"/>
        <w:keepNext w:val="0"/>
        <w:tabs>
          <w:tab w:val="left" w:pos="567"/>
        </w:tabs>
        <w:rPr>
          <w:lang w:val="it-IT"/>
        </w:rPr>
      </w:pPr>
    </w:p>
    <w:p w:rsidR="006224C2" w:rsidRPr="00295E71" w14:paraId="39176185" w14:textId="77777777">
      <w:pPr>
        <w:pStyle w:val="Heading5"/>
        <w:keepNext w:val="0"/>
        <w:tabs>
          <w:tab w:val="left" w:pos="567"/>
        </w:tabs>
        <w:rPr>
          <w:lang w:val="it-IT"/>
        </w:rPr>
      </w:pPr>
    </w:p>
    <w:p w:rsidR="006224C2" w:rsidRPr="00295E71" w14:paraId="51050C46" w14:textId="77777777">
      <w:pPr>
        <w:pStyle w:val="Heading5"/>
        <w:keepNext w:val="0"/>
        <w:tabs>
          <w:tab w:val="left" w:pos="567"/>
        </w:tabs>
        <w:rPr>
          <w:lang w:val="it-IT"/>
        </w:rPr>
      </w:pPr>
    </w:p>
    <w:p w:rsidR="006224C2" w:rsidRPr="00295E71" w14:paraId="49B4B4EB" w14:textId="77777777">
      <w:pPr>
        <w:pStyle w:val="Heading5"/>
        <w:keepNext w:val="0"/>
        <w:tabs>
          <w:tab w:val="left" w:pos="567"/>
        </w:tabs>
        <w:rPr>
          <w:lang w:val="it-IT"/>
        </w:rPr>
      </w:pPr>
    </w:p>
    <w:p w:rsidR="006224C2" w:rsidRPr="00295E71" w14:paraId="348D6CE5" w14:textId="77777777">
      <w:pPr>
        <w:pStyle w:val="Heading5"/>
        <w:keepNext w:val="0"/>
        <w:tabs>
          <w:tab w:val="left" w:pos="567"/>
        </w:tabs>
        <w:rPr>
          <w:lang w:val="it-IT"/>
        </w:rPr>
      </w:pPr>
    </w:p>
    <w:p w:rsidR="006224C2" w:rsidRPr="00295E71" w14:paraId="309758A5" w14:textId="77777777">
      <w:pPr>
        <w:pStyle w:val="Heading5"/>
        <w:keepNext w:val="0"/>
        <w:tabs>
          <w:tab w:val="left" w:pos="567"/>
        </w:tabs>
        <w:rPr>
          <w:lang w:val="it-IT"/>
        </w:rPr>
      </w:pPr>
    </w:p>
    <w:p w:rsidR="006224C2" w:rsidRPr="00295E71" w14:paraId="39308869" w14:textId="77777777">
      <w:pPr>
        <w:pStyle w:val="Heading5"/>
        <w:keepNext w:val="0"/>
        <w:tabs>
          <w:tab w:val="left" w:pos="567"/>
        </w:tabs>
        <w:rPr>
          <w:lang w:val="it-IT"/>
        </w:rPr>
      </w:pPr>
    </w:p>
    <w:p w:rsidR="006224C2" w:rsidRPr="00295E71" w14:paraId="15EDEF27" w14:textId="77777777">
      <w:pPr>
        <w:pStyle w:val="Heading5"/>
        <w:keepNext w:val="0"/>
        <w:tabs>
          <w:tab w:val="left" w:pos="567"/>
        </w:tabs>
        <w:rPr>
          <w:lang w:val="it-IT"/>
        </w:rPr>
      </w:pPr>
    </w:p>
    <w:p w:rsidR="006224C2" w:rsidRPr="00295E71" w14:paraId="63FC57D3" w14:textId="77777777">
      <w:pPr>
        <w:pStyle w:val="Heading5"/>
        <w:keepNext w:val="0"/>
        <w:tabs>
          <w:tab w:val="left" w:pos="567"/>
        </w:tabs>
        <w:rPr>
          <w:lang w:val="it-IT"/>
        </w:rPr>
      </w:pPr>
    </w:p>
    <w:p w:rsidR="006224C2" w:rsidRPr="00295E71" w14:paraId="62C21D61" w14:textId="77777777">
      <w:pPr>
        <w:pStyle w:val="Heading5"/>
        <w:keepNext w:val="0"/>
        <w:tabs>
          <w:tab w:val="left" w:pos="567"/>
        </w:tabs>
        <w:rPr>
          <w:lang w:val="it-IT"/>
        </w:rPr>
      </w:pPr>
    </w:p>
    <w:p w:rsidR="006224C2" w:rsidRPr="00295E71" w:rsidP="00C12BE7" w14:paraId="4BEE0960" w14:textId="77777777">
      <w:pPr>
        <w:pStyle w:val="Style1"/>
      </w:pPr>
      <w:r w:rsidRPr="00295E71">
        <w:t>ALLEGATO I</w:t>
      </w:r>
    </w:p>
    <w:p w:rsidR="006224C2" w:rsidRPr="00295E71" w14:paraId="05EA7A60" w14:textId="77777777">
      <w:pPr>
        <w:rPr>
          <w:sz w:val="22"/>
          <w:szCs w:val="22"/>
        </w:rPr>
      </w:pPr>
    </w:p>
    <w:p w:rsidR="001863CD" w:rsidRPr="00295E71" w:rsidP="00D2099F" w14:paraId="0F6567D4" w14:textId="77777777">
      <w:pPr>
        <w:pStyle w:val="BMCENTRED"/>
        <w:keepNext w:val="0"/>
      </w:pPr>
      <w:r w:rsidRPr="00295E71">
        <w:t>RIASSUNTO DELLE CARATTERISTICHE DEL PRODOTTO</w:t>
      </w:r>
      <w:r w:rsidRPr="00295E71">
        <w:rPr>
          <w:i/>
          <w:iCs/>
        </w:rPr>
        <w:br w:type="page"/>
      </w:r>
    </w:p>
    <w:p w:rsidR="00157870" w:rsidRPr="00295E71" w:rsidP="00157870" w14:paraId="404CF746" w14:textId="77777777">
      <w:pPr>
        <w:pStyle w:val="Heading2"/>
        <w:keepNext w:val="0"/>
        <w:spacing w:before="0" w:after="0" w:line="240" w:lineRule="auto"/>
        <w:jc w:val="both"/>
        <w:rPr>
          <w:rFonts w:ascii="Times New Roman" w:hAnsi="Times New Roman" w:cs="Times New Roman"/>
          <w:i w:val="0"/>
          <w:iCs w:val="0"/>
          <w:sz w:val="22"/>
          <w:szCs w:val="22"/>
          <w:lang w:val="it-IT"/>
        </w:rPr>
      </w:pPr>
      <w:r w:rsidRPr="00295E71">
        <w:rPr>
          <w:rFonts w:ascii="Times New Roman" w:hAnsi="Times New Roman" w:cs="Times New Roman"/>
          <w:i w:val="0"/>
          <w:iCs w:val="0"/>
          <w:sz w:val="22"/>
          <w:szCs w:val="22"/>
          <w:lang w:val="it-IT"/>
        </w:rPr>
        <w:t>1.</w:t>
      </w:r>
      <w:r w:rsidRPr="00295E71">
        <w:rPr>
          <w:rFonts w:ascii="Times New Roman" w:hAnsi="Times New Roman" w:cs="Times New Roman"/>
          <w:i w:val="0"/>
          <w:iCs w:val="0"/>
          <w:sz w:val="22"/>
          <w:szCs w:val="22"/>
          <w:lang w:val="it-IT"/>
        </w:rPr>
        <w:tab/>
      </w:r>
      <w:r w:rsidRPr="00295E71">
        <w:rPr>
          <w:rFonts w:ascii="Times New Roman" w:hAnsi="Times New Roman" w:cs="Times New Roman"/>
          <w:i w:val="0"/>
          <w:iCs w:val="0"/>
          <w:caps/>
          <w:sz w:val="22"/>
          <w:szCs w:val="22"/>
          <w:lang w:val="it-IT"/>
        </w:rPr>
        <w:t>Denominazione del medicinale</w:t>
      </w:r>
    </w:p>
    <w:p w:rsidR="00157870" w:rsidRPr="00295E71" w:rsidP="00157870" w14:paraId="63B7084D" w14:textId="77777777">
      <w:pPr>
        <w:tabs>
          <w:tab w:val="left" w:pos="567"/>
        </w:tabs>
        <w:autoSpaceDE w:val="0"/>
        <w:autoSpaceDN w:val="0"/>
        <w:adjustRightInd w:val="0"/>
        <w:jc w:val="both"/>
        <w:rPr>
          <w:color w:val="000000"/>
          <w:sz w:val="22"/>
          <w:szCs w:val="22"/>
        </w:rPr>
      </w:pPr>
    </w:p>
    <w:p w:rsidR="00157870" w:rsidRPr="00295E71" w:rsidP="00157870" w14:paraId="7FC663EF" w14:textId="77777777">
      <w:pPr>
        <w:tabs>
          <w:tab w:val="left" w:pos="567"/>
        </w:tabs>
        <w:autoSpaceDE w:val="0"/>
        <w:autoSpaceDN w:val="0"/>
        <w:adjustRightInd w:val="0"/>
        <w:jc w:val="both"/>
        <w:rPr>
          <w:color w:val="000000"/>
          <w:sz w:val="22"/>
          <w:szCs w:val="22"/>
        </w:rPr>
      </w:pPr>
      <w:r w:rsidRPr="00295E71">
        <w:rPr>
          <w:color w:val="000000"/>
          <w:sz w:val="22"/>
          <w:szCs w:val="22"/>
        </w:rPr>
        <w:t>Humira 20 mg soluzione inie</w:t>
      </w:r>
      <w:r w:rsidRPr="00295E71" w:rsidR="003E3620">
        <w:rPr>
          <w:color w:val="000000"/>
          <w:sz w:val="22"/>
          <w:szCs w:val="22"/>
        </w:rPr>
        <w:t>ttabile in siringa pre-riempita</w:t>
      </w:r>
    </w:p>
    <w:p w:rsidR="00157870" w:rsidRPr="00295E71" w:rsidP="00157870" w14:paraId="78F4D297" w14:textId="77777777">
      <w:pPr>
        <w:tabs>
          <w:tab w:val="left" w:pos="567"/>
        </w:tabs>
        <w:autoSpaceDE w:val="0"/>
        <w:autoSpaceDN w:val="0"/>
        <w:adjustRightInd w:val="0"/>
        <w:jc w:val="both"/>
        <w:rPr>
          <w:color w:val="000000"/>
          <w:sz w:val="22"/>
          <w:szCs w:val="22"/>
        </w:rPr>
      </w:pPr>
    </w:p>
    <w:p w:rsidR="00157870" w:rsidRPr="00295E71" w:rsidP="00157870" w14:paraId="633FD3FA" w14:textId="77777777">
      <w:pPr>
        <w:tabs>
          <w:tab w:val="left" w:pos="567"/>
        </w:tabs>
        <w:autoSpaceDE w:val="0"/>
        <w:autoSpaceDN w:val="0"/>
        <w:adjustRightInd w:val="0"/>
        <w:jc w:val="both"/>
        <w:rPr>
          <w:color w:val="000000"/>
          <w:sz w:val="22"/>
          <w:szCs w:val="22"/>
        </w:rPr>
      </w:pPr>
    </w:p>
    <w:p w:rsidR="00157870" w:rsidRPr="00295E71" w:rsidP="00157870" w14:paraId="22B41808" w14:textId="77777777">
      <w:pPr>
        <w:tabs>
          <w:tab w:val="left" w:pos="567"/>
        </w:tabs>
        <w:jc w:val="both"/>
        <w:rPr>
          <w:b/>
          <w:bCs/>
          <w:sz w:val="22"/>
          <w:szCs w:val="22"/>
        </w:rPr>
      </w:pPr>
      <w:r w:rsidRPr="00295E71">
        <w:rPr>
          <w:b/>
          <w:bCs/>
          <w:sz w:val="22"/>
          <w:szCs w:val="22"/>
        </w:rPr>
        <w:t>2.</w:t>
      </w:r>
      <w:r w:rsidRPr="00295E71">
        <w:rPr>
          <w:b/>
          <w:bCs/>
          <w:sz w:val="22"/>
          <w:szCs w:val="22"/>
        </w:rPr>
        <w:tab/>
        <w:t>COMPOSIZIONE QUALITATIVA E QUANTITATIVA</w:t>
      </w:r>
    </w:p>
    <w:p w:rsidR="00157870" w:rsidRPr="00295E71" w:rsidP="00157870" w14:paraId="720AA832" w14:textId="77777777">
      <w:pPr>
        <w:tabs>
          <w:tab w:val="left" w:pos="567"/>
        </w:tabs>
        <w:autoSpaceDE w:val="0"/>
        <w:autoSpaceDN w:val="0"/>
        <w:adjustRightInd w:val="0"/>
        <w:jc w:val="both"/>
        <w:rPr>
          <w:color w:val="000000"/>
          <w:sz w:val="22"/>
          <w:szCs w:val="22"/>
        </w:rPr>
      </w:pPr>
    </w:p>
    <w:p w:rsidR="00157870" w:rsidRPr="00295E71" w:rsidP="00157870" w14:paraId="1DE37656" w14:textId="77777777">
      <w:pPr>
        <w:tabs>
          <w:tab w:val="left" w:pos="567"/>
        </w:tabs>
        <w:autoSpaceDE w:val="0"/>
        <w:autoSpaceDN w:val="0"/>
        <w:adjustRightInd w:val="0"/>
        <w:jc w:val="both"/>
        <w:rPr>
          <w:color w:val="000000"/>
          <w:sz w:val="22"/>
          <w:szCs w:val="22"/>
        </w:rPr>
      </w:pPr>
      <w:r w:rsidRPr="00295E71">
        <w:rPr>
          <w:color w:val="000000"/>
          <w:sz w:val="22"/>
          <w:szCs w:val="22"/>
        </w:rPr>
        <w:t>Ciascuna siringa pre-riempita monodose da 0,2 ml contiene 20 mg di adalimumab.</w:t>
      </w:r>
    </w:p>
    <w:p w:rsidR="00157870" w:rsidRPr="00295E71" w:rsidP="00157870" w14:paraId="3A3F7192" w14:textId="77777777">
      <w:pPr>
        <w:tabs>
          <w:tab w:val="left" w:pos="567"/>
        </w:tabs>
        <w:autoSpaceDE w:val="0"/>
        <w:autoSpaceDN w:val="0"/>
        <w:adjustRightInd w:val="0"/>
        <w:jc w:val="both"/>
        <w:rPr>
          <w:sz w:val="22"/>
          <w:szCs w:val="22"/>
        </w:rPr>
      </w:pPr>
    </w:p>
    <w:p w:rsidR="00157870" w:rsidP="00157870" w14:paraId="2EF4CDF3" w14:textId="77777777">
      <w:pPr>
        <w:tabs>
          <w:tab w:val="left" w:pos="567"/>
        </w:tabs>
        <w:autoSpaceDE w:val="0"/>
        <w:autoSpaceDN w:val="0"/>
        <w:adjustRightInd w:val="0"/>
        <w:jc w:val="both"/>
        <w:rPr>
          <w:ins w:id="0" w:author="AbbVie14" w:date="2025-05-09T10:20:00Z"/>
          <w:color w:val="000000"/>
          <w:sz w:val="22"/>
          <w:szCs w:val="22"/>
        </w:rPr>
      </w:pPr>
      <w:r w:rsidRPr="00295E71">
        <w:rPr>
          <w:color w:val="000000"/>
          <w:sz w:val="22"/>
          <w:szCs w:val="22"/>
        </w:rPr>
        <w:t>Adalimumab è un anticorpo monoclonale umano ricombinante prodotto in cellule ovariche di criceto cinese (Chinese Hamster Ovary).</w:t>
      </w:r>
    </w:p>
    <w:p w:rsidR="00AD7AF0" w:rsidP="00157870" w14:paraId="008DA9F0" w14:textId="77777777">
      <w:pPr>
        <w:tabs>
          <w:tab w:val="left" w:pos="567"/>
        </w:tabs>
        <w:autoSpaceDE w:val="0"/>
        <w:autoSpaceDN w:val="0"/>
        <w:adjustRightInd w:val="0"/>
        <w:jc w:val="both"/>
        <w:rPr>
          <w:ins w:id="1" w:author="AbbVie14" w:date="2025-05-09T10:20:00Z"/>
          <w:color w:val="000000"/>
          <w:sz w:val="22"/>
          <w:szCs w:val="22"/>
        </w:rPr>
      </w:pPr>
    </w:p>
    <w:p w:rsidR="00AD7AF0" w:rsidRPr="00530A2E" w:rsidP="00157870" w14:paraId="55BD1AAD" w14:textId="77777777">
      <w:pPr>
        <w:tabs>
          <w:tab w:val="left" w:pos="567"/>
        </w:tabs>
        <w:autoSpaceDE w:val="0"/>
        <w:autoSpaceDN w:val="0"/>
        <w:adjustRightInd w:val="0"/>
        <w:jc w:val="both"/>
        <w:rPr>
          <w:ins w:id="2" w:author="AbbVie14" w:date="2025-05-09T10:21:00Z"/>
          <w:color w:val="000000"/>
          <w:sz w:val="22"/>
          <w:szCs w:val="22"/>
          <w:u w:val="single"/>
          <w:rPrChange w:id="3" w:author="AbbVie14" w:date="2025-05-15T08:20:00Z">
            <w:rPr>
              <w:color w:val="000000"/>
              <w:sz w:val="22"/>
              <w:szCs w:val="22"/>
            </w:rPr>
          </w:rPrChange>
        </w:rPr>
      </w:pPr>
      <w:ins w:id="4" w:author="AbbVie14" w:date="2025-05-09T10:21:00Z">
        <w:r w:rsidRPr="00530A2E">
          <w:rPr>
            <w:color w:val="000000"/>
            <w:sz w:val="22"/>
            <w:szCs w:val="22"/>
            <w:u w:val="single"/>
            <w:rPrChange w:id="5" w:author="AbbVie14" w:date="2025-05-15T08:20:00Z">
              <w:rPr>
                <w:color w:val="000000"/>
                <w:sz w:val="22"/>
                <w:szCs w:val="22"/>
              </w:rPr>
            </w:rPrChange>
          </w:rPr>
          <w:t>Eccipienti con effett</w:t>
        </w:r>
      </w:ins>
      <w:ins w:id="6" w:author="AbbVie14" w:date="2025-05-13T14:23:00Z">
        <w:r w:rsidRPr="00530A2E" w:rsidR="00C56E29">
          <w:rPr>
            <w:color w:val="000000"/>
            <w:sz w:val="22"/>
            <w:szCs w:val="22"/>
            <w:u w:val="single"/>
            <w:rPrChange w:id="7" w:author="AbbVie14" w:date="2025-05-15T08:20:00Z">
              <w:rPr>
                <w:color w:val="000000"/>
                <w:sz w:val="22"/>
                <w:szCs w:val="22"/>
              </w:rPr>
            </w:rPrChange>
          </w:rPr>
          <w:t>i</w:t>
        </w:r>
      </w:ins>
      <w:ins w:id="8" w:author="AbbVie14" w:date="2025-05-09T10:21:00Z">
        <w:r w:rsidRPr="00530A2E">
          <w:rPr>
            <w:color w:val="000000"/>
            <w:sz w:val="22"/>
            <w:szCs w:val="22"/>
            <w:u w:val="single"/>
            <w:rPrChange w:id="9" w:author="AbbVie14" w:date="2025-05-15T08:20:00Z">
              <w:rPr>
                <w:color w:val="000000"/>
                <w:sz w:val="22"/>
                <w:szCs w:val="22"/>
              </w:rPr>
            </w:rPrChange>
          </w:rPr>
          <w:t xml:space="preserve"> not</w:t>
        </w:r>
      </w:ins>
      <w:ins w:id="10" w:author="AbbVie14" w:date="2025-05-13T14:23:00Z">
        <w:r w:rsidRPr="00530A2E" w:rsidR="00C56E29">
          <w:rPr>
            <w:color w:val="000000"/>
            <w:sz w:val="22"/>
            <w:szCs w:val="22"/>
            <w:u w:val="single"/>
            <w:rPrChange w:id="11" w:author="AbbVie14" w:date="2025-05-15T08:20:00Z">
              <w:rPr>
                <w:color w:val="000000"/>
                <w:sz w:val="22"/>
                <w:szCs w:val="22"/>
              </w:rPr>
            </w:rPrChange>
          </w:rPr>
          <w:t>i</w:t>
        </w:r>
      </w:ins>
    </w:p>
    <w:p w:rsidR="00AD7AF0" w:rsidRPr="00BE2419" w:rsidP="00157870" w14:paraId="52B54B6B" w14:textId="77777777">
      <w:pPr>
        <w:tabs>
          <w:tab w:val="left" w:pos="567"/>
        </w:tabs>
        <w:autoSpaceDE w:val="0"/>
        <w:autoSpaceDN w:val="0"/>
        <w:adjustRightInd w:val="0"/>
        <w:jc w:val="both"/>
        <w:rPr>
          <w:ins w:id="12" w:author="AbbVie14" w:date="2025-05-09T10:21:00Z"/>
          <w:color w:val="000000"/>
          <w:sz w:val="22"/>
          <w:szCs w:val="22"/>
        </w:rPr>
      </w:pPr>
    </w:p>
    <w:p w:rsidR="00AD7AF0" w:rsidRPr="00295E71" w:rsidP="00157870" w14:paraId="101B34BF" w14:textId="77777777">
      <w:pPr>
        <w:tabs>
          <w:tab w:val="left" w:pos="567"/>
        </w:tabs>
        <w:autoSpaceDE w:val="0"/>
        <w:autoSpaceDN w:val="0"/>
        <w:adjustRightInd w:val="0"/>
        <w:jc w:val="both"/>
        <w:rPr>
          <w:color w:val="000000"/>
          <w:sz w:val="22"/>
          <w:szCs w:val="22"/>
        </w:rPr>
      </w:pPr>
      <w:ins w:id="13" w:author="AbbVie14" w:date="2025-05-09T10:21:00Z">
        <w:r w:rsidRPr="00BE2419">
          <w:rPr>
            <w:color w:val="000000"/>
            <w:sz w:val="22"/>
            <w:szCs w:val="22"/>
          </w:rPr>
          <w:t xml:space="preserve">Questo medicinale contiene 0,2 mg di polisorbato 80 </w:t>
        </w:r>
      </w:ins>
      <w:ins w:id="14" w:author="AbbVie14" w:date="2025-05-09T10:22:00Z">
        <w:r w:rsidRPr="00BE2419">
          <w:rPr>
            <w:color w:val="000000"/>
            <w:sz w:val="22"/>
            <w:szCs w:val="22"/>
          </w:rPr>
          <w:t xml:space="preserve">per ogni dose </w:t>
        </w:r>
      </w:ins>
      <w:ins w:id="15" w:author="AbbVie14" w:date="2025-05-09T11:38:00Z">
        <w:r w:rsidR="00BE2419">
          <w:rPr>
            <w:color w:val="000000"/>
            <w:sz w:val="22"/>
            <w:szCs w:val="22"/>
          </w:rPr>
          <w:t>d</w:t>
        </w:r>
      </w:ins>
      <w:ins w:id="16" w:author="AbbVie14" w:date="2025-05-09T10:22:00Z">
        <w:r w:rsidRPr="00BE2419">
          <w:rPr>
            <w:color w:val="000000"/>
            <w:sz w:val="22"/>
            <w:szCs w:val="22"/>
          </w:rPr>
          <w:t>a 20 mg.</w:t>
        </w:r>
      </w:ins>
    </w:p>
    <w:p w:rsidR="00157870" w:rsidRPr="00295E71" w:rsidP="00157870" w14:paraId="7EC333F0" w14:textId="77777777">
      <w:pPr>
        <w:tabs>
          <w:tab w:val="left" w:pos="567"/>
        </w:tabs>
        <w:autoSpaceDE w:val="0"/>
        <w:autoSpaceDN w:val="0"/>
        <w:adjustRightInd w:val="0"/>
        <w:jc w:val="both"/>
        <w:rPr>
          <w:color w:val="000000"/>
          <w:sz w:val="22"/>
          <w:szCs w:val="22"/>
        </w:rPr>
      </w:pPr>
    </w:p>
    <w:p w:rsidR="00157870" w:rsidRPr="00295E71" w:rsidP="00157870" w14:paraId="21AC7301" w14:textId="77777777">
      <w:pPr>
        <w:tabs>
          <w:tab w:val="left" w:pos="567"/>
        </w:tabs>
        <w:jc w:val="both"/>
        <w:rPr>
          <w:sz w:val="22"/>
          <w:szCs w:val="22"/>
        </w:rPr>
      </w:pPr>
      <w:r w:rsidRPr="00295E71">
        <w:rPr>
          <w:sz w:val="22"/>
          <w:szCs w:val="22"/>
        </w:rPr>
        <w:t>Per l’elenco completo degli eccipienti, vedere paragrafo 6.1.</w:t>
      </w:r>
    </w:p>
    <w:p w:rsidR="00157870" w:rsidRPr="00295E71" w:rsidP="00157870" w14:paraId="6FC4A7BB" w14:textId="77777777">
      <w:pPr>
        <w:pStyle w:val="EndnoteText"/>
        <w:jc w:val="both"/>
        <w:rPr>
          <w:lang w:val="it-IT"/>
        </w:rPr>
      </w:pPr>
    </w:p>
    <w:p w:rsidR="00157870" w:rsidRPr="00295E71" w:rsidP="00157870" w14:paraId="66639DE1" w14:textId="77777777">
      <w:pPr>
        <w:tabs>
          <w:tab w:val="left" w:pos="567"/>
        </w:tabs>
        <w:jc w:val="both"/>
        <w:rPr>
          <w:sz w:val="22"/>
          <w:szCs w:val="22"/>
        </w:rPr>
      </w:pPr>
    </w:p>
    <w:p w:rsidR="00157870" w:rsidRPr="00295E71" w:rsidP="00157870" w14:paraId="16AC9EC7" w14:textId="77777777">
      <w:pPr>
        <w:tabs>
          <w:tab w:val="left" w:pos="567"/>
        </w:tabs>
        <w:jc w:val="both"/>
        <w:rPr>
          <w:b/>
          <w:bCs/>
          <w:caps/>
          <w:sz w:val="22"/>
          <w:szCs w:val="22"/>
        </w:rPr>
      </w:pPr>
      <w:r w:rsidRPr="00295E71">
        <w:rPr>
          <w:b/>
          <w:bCs/>
          <w:sz w:val="22"/>
          <w:szCs w:val="22"/>
        </w:rPr>
        <w:t>3.</w:t>
      </w:r>
      <w:r w:rsidRPr="00295E71">
        <w:rPr>
          <w:b/>
          <w:bCs/>
          <w:sz w:val="22"/>
          <w:szCs w:val="22"/>
        </w:rPr>
        <w:tab/>
        <w:t>FORMA FARMACEUTICA</w:t>
      </w:r>
    </w:p>
    <w:p w:rsidR="00157870" w:rsidRPr="00295E71" w:rsidP="00157870" w14:paraId="7753EA31" w14:textId="77777777">
      <w:pPr>
        <w:tabs>
          <w:tab w:val="left" w:pos="567"/>
        </w:tabs>
        <w:jc w:val="both"/>
        <w:rPr>
          <w:caps/>
          <w:sz w:val="22"/>
          <w:szCs w:val="22"/>
        </w:rPr>
      </w:pPr>
    </w:p>
    <w:p w:rsidR="00157870" w:rsidRPr="00295E71" w:rsidP="00157870" w14:paraId="694C58F4" w14:textId="77777777">
      <w:pPr>
        <w:tabs>
          <w:tab w:val="left" w:pos="567"/>
        </w:tabs>
        <w:jc w:val="both"/>
        <w:rPr>
          <w:sz w:val="22"/>
          <w:szCs w:val="22"/>
        </w:rPr>
      </w:pPr>
      <w:r w:rsidRPr="00295E71">
        <w:rPr>
          <w:sz w:val="22"/>
          <w:szCs w:val="22"/>
        </w:rPr>
        <w:t>Soluzione iniettabile. (iniettabile)</w:t>
      </w:r>
    </w:p>
    <w:p w:rsidR="00157870" w:rsidRPr="00295E71" w:rsidP="00157870" w14:paraId="30FD6BEC" w14:textId="77777777">
      <w:pPr>
        <w:tabs>
          <w:tab w:val="left" w:pos="567"/>
        </w:tabs>
        <w:jc w:val="both"/>
        <w:rPr>
          <w:sz w:val="22"/>
          <w:szCs w:val="22"/>
        </w:rPr>
      </w:pPr>
    </w:p>
    <w:p w:rsidR="00157870" w:rsidRPr="00295E71" w:rsidP="00157870" w14:paraId="05220A10" w14:textId="77777777">
      <w:pPr>
        <w:tabs>
          <w:tab w:val="left" w:pos="567"/>
        </w:tabs>
        <w:jc w:val="both"/>
        <w:rPr>
          <w:sz w:val="22"/>
          <w:szCs w:val="22"/>
        </w:rPr>
      </w:pPr>
      <w:r w:rsidRPr="00295E71">
        <w:rPr>
          <w:sz w:val="22"/>
          <w:szCs w:val="22"/>
        </w:rPr>
        <w:t xml:space="preserve">Soluzione limpida e incolore. </w:t>
      </w:r>
    </w:p>
    <w:p w:rsidR="00157870" w:rsidRPr="00295E71" w:rsidP="00157870" w14:paraId="05E8CCAD" w14:textId="77777777">
      <w:pPr>
        <w:tabs>
          <w:tab w:val="left" w:pos="567"/>
        </w:tabs>
        <w:jc w:val="both"/>
        <w:rPr>
          <w:sz w:val="22"/>
          <w:szCs w:val="22"/>
        </w:rPr>
      </w:pPr>
    </w:p>
    <w:p w:rsidR="00157870" w:rsidRPr="00295E71" w:rsidP="00157870" w14:paraId="4F00B98D" w14:textId="77777777">
      <w:pPr>
        <w:tabs>
          <w:tab w:val="left" w:pos="567"/>
        </w:tabs>
        <w:jc w:val="both"/>
        <w:rPr>
          <w:sz w:val="22"/>
          <w:szCs w:val="22"/>
        </w:rPr>
      </w:pPr>
    </w:p>
    <w:p w:rsidR="00157870" w:rsidRPr="00295E71" w:rsidP="00157870" w14:paraId="69DB329B" w14:textId="77777777">
      <w:pPr>
        <w:tabs>
          <w:tab w:val="left" w:pos="567"/>
        </w:tabs>
        <w:ind w:left="567" w:hanging="567"/>
        <w:jc w:val="both"/>
        <w:rPr>
          <w:b/>
          <w:bCs/>
          <w:caps/>
          <w:sz w:val="22"/>
          <w:szCs w:val="22"/>
        </w:rPr>
      </w:pPr>
      <w:r w:rsidRPr="00295E71">
        <w:rPr>
          <w:b/>
          <w:bCs/>
          <w:caps/>
          <w:sz w:val="22"/>
          <w:szCs w:val="22"/>
        </w:rPr>
        <w:t>4.</w:t>
      </w:r>
      <w:r w:rsidRPr="00295E71">
        <w:rPr>
          <w:b/>
          <w:bCs/>
          <w:caps/>
          <w:sz w:val="22"/>
          <w:szCs w:val="22"/>
        </w:rPr>
        <w:tab/>
        <w:t>INFORMAZIONI CLINICHE</w:t>
      </w:r>
    </w:p>
    <w:p w:rsidR="00157870" w:rsidRPr="00295E71" w:rsidP="00157870" w14:paraId="19316317" w14:textId="77777777">
      <w:pPr>
        <w:tabs>
          <w:tab w:val="left" w:pos="567"/>
        </w:tabs>
        <w:jc w:val="both"/>
        <w:rPr>
          <w:sz w:val="22"/>
          <w:szCs w:val="22"/>
        </w:rPr>
      </w:pPr>
    </w:p>
    <w:p w:rsidR="00157870" w:rsidRPr="00295E71" w:rsidP="00157870" w14:paraId="16B329B9" w14:textId="77777777">
      <w:pPr>
        <w:tabs>
          <w:tab w:val="left" w:pos="567"/>
        </w:tabs>
        <w:ind w:left="567" w:hanging="567"/>
        <w:jc w:val="both"/>
        <w:rPr>
          <w:b/>
          <w:bCs/>
          <w:sz w:val="22"/>
          <w:szCs w:val="22"/>
        </w:rPr>
      </w:pPr>
      <w:r w:rsidRPr="00295E71">
        <w:rPr>
          <w:b/>
          <w:bCs/>
          <w:sz w:val="22"/>
          <w:szCs w:val="22"/>
        </w:rPr>
        <w:t>4.1</w:t>
      </w:r>
      <w:r w:rsidRPr="00295E71">
        <w:rPr>
          <w:b/>
          <w:bCs/>
          <w:sz w:val="22"/>
          <w:szCs w:val="22"/>
        </w:rPr>
        <w:tab/>
        <w:t>Indicazioni terapeutiche</w:t>
      </w:r>
    </w:p>
    <w:p w:rsidR="00157870" w:rsidRPr="00295E71" w:rsidP="00157870" w14:paraId="725452CE" w14:textId="77777777">
      <w:pPr>
        <w:jc w:val="both"/>
        <w:rPr>
          <w:sz w:val="22"/>
          <w:szCs w:val="22"/>
        </w:rPr>
      </w:pPr>
    </w:p>
    <w:p w:rsidR="00157870" w:rsidRPr="00295E71" w:rsidP="00157870" w14:paraId="27F9964F" w14:textId="77777777">
      <w:pPr>
        <w:tabs>
          <w:tab w:val="left" w:pos="567"/>
        </w:tabs>
        <w:jc w:val="both"/>
        <w:rPr>
          <w:sz w:val="22"/>
          <w:szCs w:val="22"/>
          <w:u w:val="single"/>
        </w:rPr>
      </w:pPr>
      <w:r w:rsidRPr="00295E71">
        <w:rPr>
          <w:sz w:val="22"/>
          <w:szCs w:val="22"/>
          <w:u w:val="single"/>
        </w:rPr>
        <w:t>Artrite idiopatica giovanile</w:t>
      </w:r>
    </w:p>
    <w:p w:rsidR="00157870" w:rsidRPr="00295E71" w:rsidP="00157870" w14:paraId="2D0816B6" w14:textId="77777777">
      <w:pPr>
        <w:tabs>
          <w:tab w:val="left" w:pos="567"/>
        </w:tabs>
        <w:jc w:val="both"/>
        <w:rPr>
          <w:sz w:val="22"/>
          <w:szCs w:val="22"/>
        </w:rPr>
      </w:pPr>
    </w:p>
    <w:p w:rsidR="00157870" w:rsidRPr="00295E71" w:rsidP="00157870" w14:paraId="2A5C1EEF" w14:textId="77777777">
      <w:pPr>
        <w:tabs>
          <w:tab w:val="left" w:pos="567"/>
        </w:tabs>
        <w:jc w:val="both"/>
        <w:rPr>
          <w:i/>
          <w:sz w:val="22"/>
          <w:szCs w:val="22"/>
        </w:rPr>
      </w:pPr>
      <w:r w:rsidRPr="00295E71">
        <w:rPr>
          <w:i/>
          <w:sz w:val="22"/>
          <w:szCs w:val="22"/>
        </w:rPr>
        <w:t xml:space="preserve">Artrite idiopatica giovanile poliarticolare  </w:t>
      </w:r>
    </w:p>
    <w:p w:rsidR="00157870" w:rsidRPr="00295E71" w:rsidP="00157870" w14:paraId="2B1B6FFF" w14:textId="77777777">
      <w:pPr>
        <w:tabs>
          <w:tab w:val="left" w:pos="567"/>
        </w:tabs>
        <w:jc w:val="both"/>
        <w:rPr>
          <w:sz w:val="22"/>
          <w:szCs w:val="22"/>
        </w:rPr>
      </w:pPr>
    </w:p>
    <w:p w:rsidR="00157870" w:rsidRPr="00295E71" w:rsidP="00157870" w14:paraId="56A453D1" w14:textId="77777777">
      <w:pPr>
        <w:pStyle w:val="EMEAFigureTitle"/>
        <w:suppressAutoHyphens w:val="0"/>
        <w:jc w:val="both"/>
        <w:rPr>
          <w:lang w:val="it-IT" w:eastAsia="it-IT"/>
        </w:rPr>
      </w:pPr>
      <w:r w:rsidRPr="00295E71">
        <w:rPr>
          <w:lang w:val="it-IT" w:eastAsia="it-IT"/>
        </w:rPr>
        <w:t>Humira in combinazione con metotressato è indicato per il trattamento dell’artrite idiopatica giovanile poliarticolare attiva, nei pazienti da 2 anni di età, che hanno avuto una risposta inadeguata ad uno o più farmaci anti-reumatici modificanti la malattia (DMARD). Humira può essere somministrato come monoterapia in caso di intolleranza al metotressato o quando il trattamento continuato con metotressato non è appropriato (per l’efficacia in monoterapia vedere paragrafo 5.1). Humira non è stato studiato in pazienti di età inferiore a 2 anni.</w:t>
      </w:r>
    </w:p>
    <w:p w:rsidR="00157870" w:rsidRPr="00295E71" w:rsidP="00157870" w14:paraId="79304C05" w14:textId="77777777">
      <w:pPr>
        <w:pStyle w:val="EMEANormal"/>
        <w:jc w:val="both"/>
        <w:rPr>
          <w:lang w:val="it-IT" w:eastAsia="it-IT"/>
        </w:rPr>
      </w:pPr>
    </w:p>
    <w:p w:rsidR="00157870" w:rsidRPr="00295E71" w:rsidP="00157870" w14:paraId="4CE14684" w14:textId="77777777">
      <w:pPr>
        <w:rPr>
          <w:i/>
          <w:sz w:val="22"/>
          <w:szCs w:val="22"/>
        </w:rPr>
      </w:pPr>
      <w:r w:rsidRPr="00295E71">
        <w:rPr>
          <w:i/>
          <w:sz w:val="22"/>
          <w:szCs w:val="22"/>
        </w:rPr>
        <w:t>Artrite associata ad entesite</w:t>
      </w:r>
    </w:p>
    <w:p w:rsidR="00157870" w:rsidRPr="00295E71" w:rsidP="00157870" w14:paraId="795B029A" w14:textId="77777777">
      <w:pPr>
        <w:rPr>
          <w:b/>
          <w:i/>
          <w:sz w:val="22"/>
          <w:szCs w:val="22"/>
        </w:rPr>
      </w:pPr>
    </w:p>
    <w:p w:rsidR="00157870" w:rsidRPr="00295E71" w:rsidP="00157870" w14:paraId="337FC72E" w14:textId="77777777">
      <w:pPr>
        <w:rPr>
          <w:bCs/>
          <w:iCs/>
          <w:sz w:val="22"/>
          <w:szCs w:val="22"/>
        </w:rPr>
      </w:pPr>
      <w:r w:rsidRPr="00295E71">
        <w:rPr>
          <w:bCs/>
          <w:iCs/>
          <w:sz w:val="22"/>
          <w:szCs w:val="22"/>
        </w:rPr>
        <w:t>Humira è indicato per il trattamento</w:t>
      </w:r>
      <w:r w:rsidRPr="00295E71" w:rsidR="007F1EB6">
        <w:rPr>
          <w:bCs/>
          <w:iCs/>
          <w:sz w:val="22"/>
          <w:szCs w:val="22"/>
        </w:rPr>
        <w:t xml:space="preserve"> </w:t>
      </w:r>
      <w:r w:rsidRPr="00295E71">
        <w:rPr>
          <w:bCs/>
          <w:iCs/>
          <w:sz w:val="22"/>
          <w:szCs w:val="22"/>
        </w:rPr>
        <w:t>delle forme attive di artrite associata a entesite, nei pazienti da 6 anni di età, che hanno avuto una risposta inadeguata o che sono intolleranti alla terapia convenzionale (vedere paragrafo 5.1).</w:t>
      </w:r>
    </w:p>
    <w:p w:rsidR="00157870" w:rsidRPr="00295E71" w:rsidP="00157870" w14:paraId="480905A7" w14:textId="77777777">
      <w:pPr>
        <w:rPr>
          <w:bCs/>
          <w:iCs/>
          <w:sz w:val="22"/>
          <w:szCs w:val="22"/>
        </w:rPr>
      </w:pPr>
    </w:p>
    <w:p w:rsidR="00157870" w:rsidRPr="00295E71" w:rsidP="00157870" w14:paraId="1D2ABE9F" w14:textId="77777777">
      <w:pPr>
        <w:pStyle w:val="EMEANormal"/>
        <w:jc w:val="both"/>
        <w:rPr>
          <w:rFonts w:eastAsia="Arial"/>
          <w:u w:val="single"/>
          <w:lang w:val="it-IT" w:bidi="it-IT"/>
        </w:rPr>
      </w:pPr>
      <w:r w:rsidRPr="00295E71">
        <w:rPr>
          <w:rFonts w:eastAsia="Arial"/>
          <w:u w:val="single"/>
          <w:lang w:val="it-IT" w:bidi="it-IT"/>
        </w:rPr>
        <w:t>Psoriasi a placche pediatrica</w:t>
      </w:r>
    </w:p>
    <w:p w:rsidR="00157870" w:rsidRPr="00295E71" w:rsidP="00157870" w14:paraId="0BDFA345" w14:textId="77777777">
      <w:pPr>
        <w:pStyle w:val="EMEANormal"/>
        <w:jc w:val="both"/>
        <w:rPr>
          <w:rFonts w:eastAsia="Arial"/>
          <w:u w:val="single"/>
          <w:lang w:val="it-IT" w:bidi="it-IT"/>
        </w:rPr>
      </w:pPr>
    </w:p>
    <w:p w:rsidR="00157870" w:rsidRPr="00295E71" w:rsidP="00157870" w14:paraId="1D8748D0" w14:textId="77777777">
      <w:pPr>
        <w:pStyle w:val="EMEANormal"/>
        <w:jc w:val="both"/>
        <w:rPr>
          <w:rFonts w:eastAsia="Arial"/>
          <w:iCs/>
          <w:lang w:val="it-IT" w:bidi="it-IT"/>
        </w:rPr>
      </w:pPr>
      <w:r w:rsidRPr="00295E71">
        <w:rPr>
          <w:rFonts w:eastAsia="Arial"/>
          <w:lang w:val="it-IT" w:bidi="it-IT"/>
        </w:rPr>
        <w:t>Humira è indicato per il trattamento della psoriasi cronica a placche grave in bambini e adolescenti da 4 anni di età che abbiano avuto una risposta inadeguata, o siano candidati inappropriati alla terapia topica e alle fototerapie</w:t>
      </w:r>
      <w:r w:rsidRPr="00295E71">
        <w:rPr>
          <w:rFonts w:eastAsia="Arial"/>
          <w:iCs/>
          <w:lang w:val="it-IT" w:bidi="it-IT"/>
        </w:rPr>
        <w:t>.</w:t>
      </w:r>
    </w:p>
    <w:p w:rsidR="00157870" w:rsidRPr="00295E71" w:rsidP="00157870" w14:paraId="6A01169F" w14:textId="77777777">
      <w:pPr>
        <w:pStyle w:val="EMEANormal"/>
        <w:jc w:val="both"/>
        <w:rPr>
          <w:u w:val="single"/>
          <w:lang w:val="it-IT" w:eastAsia="it-IT"/>
        </w:rPr>
      </w:pPr>
    </w:p>
    <w:p w:rsidR="00157870" w:rsidRPr="00295E71" w:rsidP="00157870" w14:paraId="46CDC168" w14:textId="77777777">
      <w:pPr>
        <w:pStyle w:val="EMEANormal"/>
        <w:jc w:val="both"/>
        <w:rPr>
          <w:u w:val="single"/>
          <w:lang w:val="it-IT" w:eastAsia="it-IT"/>
        </w:rPr>
      </w:pPr>
      <w:r w:rsidRPr="00295E71">
        <w:rPr>
          <w:u w:val="single"/>
          <w:lang w:val="it-IT" w:eastAsia="it-IT"/>
        </w:rPr>
        <w:t>Malattia di Crohn in pazienti pediatrici</w:t>
      </w:r>
    </w:p>
    <w:p w:rsidR="00157870" w:rsidRPr="00295E71" w:rsidP="00157870" w14:paraId="5E817EFB" w14:textId="77777777">
      <w:pPr>
        <w:pStyle w:val="EMEANormal"/>
        <w:jc w:val="both"/>
        <w:rPr>
          <w:lang w:val="it-IT" w:eastAsia="it-IT"/>
        </w:rPr>
      </w:pPr>
    </w:p>
    <w:p w:rsidR="00157870" w:rsidRPr="00295E71" w:rsidP="00157870" w14:paraId="28F158F9" w14:textId="77777777">
      <w:pPr>
        <w:pStyle w:val="EMEANormal"/>
        <w:jc w:val="both"/>
        <w:rPr>
          <w:lang w:val="it-IT"/>
        </w:rPr>
      </w:pPr>
      <w:r w:rsidRPr="00295E71">
        <w:rPr>
          <w:lang w:val="it-IT" w:eastAsia="it-IT"/>
        </w:rPr>
        <w:t xml:space="preserve">Humira è indicato nel trattamento della malattia di Crohn attiva di grado da moderato a severo nei pazienti pediatrici (da 6 anni di età) che hanno avuto una risposta inadeguata alla terapia convenzionale, </w:t>
      </w:r>
      <w:r w:rsidRPr="00295E71">
        <w:rPr>
          <w:lang w:val="it-IT" w:eastAsia="it-IT"/>
        </w:rPr>
        <w:t xml:space="preserve">inclusa la terapia nutrizionale primaria e a una terapia a base di un corticosteroide e/o ad un immunomodulatore, o che sono intolleranti o hanno controindicazioni a tali </w:t>
      </w:r>
      <w:r w:rsidRPr="00295E71">
        <w:rPr>
          <w:lang w:val="it-IT"/>
        </w:rPr>
        <w:t>terapie.</w:t>
      </w:r>
    </w:p>
    <w:p w:rsidR="00157870" w:rsidRPr="00295E71" w:rsidP="00157870" w14:paraId="4DEF109D" w14:textId="77777777">
      <w:pPr>
        <w:rPr>
          <w:iCs/>
          <w:sz w:val="22"/>
          <w:szCs w:val="22"/>
        </w:rPr>
      </w:pPr>
    </w:p>
    <w:p w:rsidR="00157870" w:rsidRPr="00295E71" w:rsidP="00157870" w14:paraId="675D2DCD" w14:textId="77777777">
      <w:pPr>
        <w:keepNext/>
        <w:keepLines/>
        <w:rPr>
          <w:iCs/>
          <w:sz w:val="22"/>
          <w:szCs w:val="22"/>
          <w:u w:val="single"/>
        </w:rPr>
      </w:pPr>
      <w:r w:rsidRPr="00295E71">
        <w:rPr>
          <w:iCs/>
          <w:sz w:val="22"/>
          <w:szCs w:val="22"/>
          <w:u w:val="single"/>
        </w:rPr>
        <w:t>Uveite pediatrica</w:t>
      </w:r>
    </w:p>
    <w:p w:rsidR="00157870" w:rsidRPr="00295E71" w:rsidP="00157870" w14:paraId="7CB2F859" w14:textId="77777777">
      <w:pPr>
        <w:keepNext/>
        <w:keepLines/>
        <w:rPr>
          <w:iCs/>
          <w:sz w:val="22"/>
          <w:szCs w:val="22"/>
        </w:rPr>
      </w:pPr>
    </w:p>
    <w:p w:rsidR="00157870" w:rsidRPr="00295E71" w:rsidP="00157870" w14:paraId="78EE573A" w14:textId="77777777">
      <w:pPr>
        <w:keepNext/>
        <w:keepLines/>
        <w:rPr>
          <w:iCs/>
          <w:sz w:val="22"/>
          <w:szCs w:val="22"/>
        </w:rPr>
      </w:pPr>
      <w:r w:rsidRPr="00295E71">
        <w:rPr>
          <w:iCs/>
          <w:sz w:val="22"/>
          <w:szCs w:val="22"/>
        </w:rPr>
        <w:t>Humira è indicato per il trattamento dell’uveite anteriore pediatrica cronica non infettiva nei pazienti da 2 anni di età che hanno avuto una risposta inadeguata o sono intolleranti alla terapia convenzionale o per i quali la terapia convenzionale non è appropriata.</w:t>
      </w:r>
    </w:p>
    <w:p w:rsidR="00157870" w:rsidRPr="00295E71" w:rsidP="00157870" w14:paraId="6A9557A9" w14:textId="77777777">
      <w:pPr>
        <w:rPr>
          <w:sz w:val="22"/>
          <w:szCs w:val="22"/>
          <w:lang w:eastAsia="en-US"/>
        </w:rPr>
      </w:pPr>
    </w:p>
    <w:p w:rsidR="00157870" w:rsidRPr="00295E71" w:rsidP="00157870" w14:paraId="7E50D784" w14:textId="77777777">
      <w:pPr>
        <w:keepNext/>
        <w:rPr>
          <w:b/>
          <w:bCs/>
          <w:sz w:val="22"/>
          <w:szCs w:val="22"/>
        </w:rPr>
      </w:pPr>
      <w:r w:rsidRPr="00295E71">
        <w:rPr>
          <w:b/>
          <w:bCs/>
          <w:sz w:val="22"/>
          <w:szCs w:val="22"/>
        </w:rPr>
        <w:t>4.2</w:t>
      </w:r>
      <w:r w:rsidRPr="00295E71">
        <w:rPr>
          <w:b/>
          <w:bCs/>
          <w:sz w:val="22"/>
          <w:szCs w:val="22"/>
        </w:rPr>
        <w:tab/>
        <w:t>Posologia e modo di somministrazione</w:t>
      </w:r>
    </w:p>
    <w:p w:rsidR="00157870" w:rsidRPr="00295E71" w:rsidP="00157870" w14:paraId="7E68DD15" w14:textId="77777777">
      <w:pPr>
        <w:keepNext/>
        <w:tabs>
          <w:tab w:val="left" w:pos="567"/>
        </w:tabs>
        <w:jc w:val="both"/>
        <w:rPr>
          <w:sz w:val="22"/>
          <w:szCs w:val="22"/>
        </w:rPr>
      </w:pPr>
    </w:p>
    <w:p w:rsidR="00157870" w:rsidRPr="00295E71" w:rsidP="00157870" w14:paraId="17F671D5" w14:textId="77777777">
      <w:pPr>
        <w:pStyle w:val="EndnoteText"/>
        <w:keepNext/>
        <w:jc w:val="both"/>
        <w:rPr>
          <w:lang w:val="it-IT"/>
        </w:rPr>
      </w:pPr>
      <w:r w:rsidRPr="00295E71">
        <w:rPr>
          <w:lang w:val="it-IT"/>
        </w:rPr>
        <w:t xml:space="preserve">La terapia con Humira deve essere iniziata e monitorata da medici specialisti con esperienza nella diagnosi e nel trattamento delle patologie per cui Humira è indicato. Gli oculisti sono invitati a consultare uno specialista appropriato prima di iniziare il trattamento con Humira (vedere paragrafo 4.4). Ai pazienti trattati con Humira deve essere consegnata una </w:t>
      </w:r>
      <w:r w:rsidRPr="00C74BF5" w:rsidR="004D7963">
        <w:rPr>
          <w:lang w:val="it-IT"/>
        </w:rPr>
        <w:t xml:space="preserve"> </w:t>
      </w:r>
      <w:r w:rsidR="004D7963">
        <w:rPr>
          <w:lang w:val="it-IT"/>
        </w:rPr>
        <w:t>Scheda Promemoria per il P</w:t>
      </w:r>
      <w:r w:rsidRPr="004D7963" w:rsidR="004D7963">
        <w:rPr>
          <w:lang w:val="it-IT"/>
        </w:rPr>
        <w:t>aziente</w:t>
      </w:r>
      <w:r w:rsidRPr="00295E71">
        <w:rPr>
          <w:lang w:val="it-IT"/>
        </w:rPr>
        <w:t>.</w:t>
      </w:r>
    </w:p>
    <w:p w:rsidR="00157870" w:rsidRPr="00295E71" w:rsidP="00157870" w14:paraId="6479ADF3" w14:textId="77777777">
      <w:pPr>
        <w:pStyle w:val="EndnoteText"/>
        <w:jc w:val="both"/>
        <w:rPr>
          <w:lang w:val="it-IT"/>
        </w:rPr>
      </w:pPr>
    </w:p>
    <w:p w:rsidR="00157870" w:rsidRPr="00295E71" w:rsidP="00157870" w14:paraId="2B133E9C" w14:textId="77777777">
      <w:pPr>
        <w:pStyle w:val="EndnoteText"/>
        <w:jc w:val="both"/>
        <w:rPr>
          <w:lang w:val="it-IT"/>
        </w:rPr>
      </w:pPr>
      <w:r w:rsidRPr="00295E71">
        <w:rPr>
          <w:lang w:val="it-IT"/>
        </w:rPr>
        <w:t>Dopo adeguate istruzioni sulla tecnica di iniezione di Humira, i pazienti possono eseguire da soli l’iniezione, se il medico lo ritiene opportuno, e con controlli medici periodici, secondo necessità.</w:t>
      </w:r>
    </w:p>
    <w:p w:rsidR="00157870" w:rsidRPr="00295E71" w:rsidP="00157870" w14:paraId="1C55BFC4" w14:textId="77777777"/>
    <w:p w:rsidR="00157870" w:rsidRPr="00295E71" w:rsidP="00157870" w14:paraId="20AA748F" w14:textId="77777777">
      <w:pPr>
        <w:tabs>
          <w:tab w:val="left" w:pos="567"/>
        </w:tabs>
        <w:jc w:val="both"/>
        <w:rPr>
          <w:sz w:val="22"/>
          <w:szCs w:val="22"/>
        </w:rPr>
      </w:pPr>
      <w:r w:rsidRPr="00295E71">
        <w:rPr>
          <w:sz w:val="22"/>
          <w:szCs w:val="22"/>
        </w:rPr>
        <w:t>Durante il trattamento con Humira, le altre terapie concomitanti (per esempio, i corticosteroidi e/o gli agenti immunomodulatori) devono essere ottimizzate.</w:t>
      </w:r>
    </w:p>
    <w:p w:rsidR="00157870" w:rsidRPr="00295E71" w:rsidP="00157870" w14:paraId="464647D3" w14:textId="77777777">
      <w:pPr>
        <w:tabs>
          <w:tab w:val="left" w:pos="567"/>
        </w:tabs>
        <w:jc w:val="both"/>
        <w:rPr>
          <w:color w:val="000000"/>
          <w:sz w:val="22"/>
          <w:szCs w:val="22"/>
          <w:u w:val="single"/>
        </w:rPr>
      </w:pPr>
    </w:p>
    <w:p w:rsidR="00157870" w:rsidRPr="00295E71" w:rsidP="00157870" w14:paraId="113E3422" w14:textId="77777777">
      <w:pPr>
        <w:pStyle w:val="EndnoteText"/>
        <w:jc w:val="both"/>
        <w:rPr>
          <w:u w:val="single"/>
          <w:lang w:val="it-IT"/>
        </w:rPr>
      </w:pPr>
      <w:r w:rsidRPr="00295E71">
        <w:rPr>
          <w:u w:val="single"/>
          <w:lang w:val="it-IT"/>
        </w:rPr>
        <w:t>Posologia</w:t>
      </w:r>
    </w:p>
    <w:p w:rsidR="00157870" w:rsidRPr="00295E71" w:rsidP="00157870" w14:paraId="1A62C4F6" w14:textId="77777777">
      <w:pPr>
        <w:pStyle w:val="EndnoteText"/>
        <w:jc w:val="both"/>
        <w:rPr>
          <w:lang w:val="it-IT"/>
        </w:rPr>
      </w:pPr>
    </w:p>
    <w:p w:rsidR="00157870" w:rsidRPr="00295E71" w:rsidP="00157870" w14:paraId="5A2AC537" w14:textId="77777777">
      <w:pPr>
        <w:tabs>
          <w:tab w:val="left" w:pos="567"/>
        </w:tabs>
        <w:jc w:val="both"/>
        <w:rPr>
          <w:color w:val="000000"/>
          <w:sz w:val="22"/>
          <w:szCs w:val="22"/>
          <w:u w:val="single"/>
        </w:rPr>
      </w:pPr>
      <w:r w:rsidRPr="00295E71">
        <w:rPr>
          <w:color w:val="000000"/>
          <w:sz w:val="22"/>
          <w:szCs w:val="22"/>
          <w:u w:val="single"/>
        </w:rPr>
        <w:t>Popolazione pediatrica</w:t>
      </w:r>
    </w:p>
    <w:p w:rsidR="00157870" w:rsidRPr="00295E71" w:rsidP="00157870" w14:paraId="35DCC37F" w14:textId="77777777">
      <w:pPr>
        <w:tabs>
          <w:tab w:val="left" w:pos="567"/>
        </w:tabs>
        <w:jc w:val="both"/>
        <w:rPr>
          <w:i/>
          <w:color w:val="000000"/>
          <w:sz w:val="22"/>
          <w:szCs w:val="22"/>
        </w:rPr>
      </w:pPr>
    </w:p>
    <w:p w:rsidR="00157870" w:rsidRPr="00295E71" w:rsidP="00157870" w14:paraId="7144A3EB" w14:textId="77777777">
      <w:pPr>
        <w:tabs>
          <w:tab w:val="left" w:pos="567"/>
        </w:tabs>
        <w:jc w:val="both"/>
        <w:rPr>
          <w:i/>
          <w:color w:val="000000"/>
          <w:sz w:val="22"/>
          <w:szCs w:val="22"/>
        </w:rPr>
      </w:pPr>
      <w:r w:rsidRPr="00295E71">
        <w:rPr>
          <w:i/>
          <w:color w:val="000000"/>
          <w:sz w:val="22"/>
          <w:szCs w:val="22"/>
        </w:rPr>
        <w:t>Artrite idiopatica giovanile</w:t>
      </w:r>
    </w:p>
    <w:p w:rsidR="00157870" w:rsidRPr="00295E71" w:rsidP="00157870" w14:paraId="715164D4" w14:textId="77777777">
      <w:pPr>
        <w:tabs>
          <w:tab w:val="left" w:pos="7798"/>
        </w:tabs>
        <w:jc w:val="both"/>
        <w:rPr>
          <w:color w:val="000000"/>
          <w:sz w:val="22"/>
          <w:szCs w:val="22"/>
          <w:u w:val="single"/>
        </w:rPr>
      </w:pPr>
    </w:p>
    <w:p w:rsidR="00157870" w:rsidRPr="00295E71" w:rsidP="00157870" w14:paraId="5A961FF6" w14:textId="77777777">
      <w:pPr>
        <w:tabs>
          <w:tab w:val="left" w:pos="567"/>
          <w:tab w:val="left" w:pos="6943"/>
        </w:tabs>
        <w:jc w:val="both"/>
        <w:rPr>
          <w:color w:val="000000"/>
          <w:sz w:val="22"/>
          <w:szCs w:val="22"/>
          <w:u w:val="single"/>
        </w:rPr>
      </w:pPr>
      <w:r w:rsidRPr="00295E71">
        <w:rPr>
          <w:i/>
          <w:color w:val="000000"/>
          <w:sz w:val="22"/>
          <w:szCs w:val="22"/>
          <w:u w:val="single"/>
        </w:rPr>
        <w:t>Artrite idiopatica giovanile poliarticolare da 2 anni d’età</w:t>
      </w:r>
    </w:p>
    <w:p w:rsidR="00157870" w:rsidRPr="00295E71" w:rsidP="00157870" w14:paraId="4C54FF73" w14:textId="77777777">
      <w:pPr>
        <w:tabs>
          <w:tab w:val="left" w:pos="567"/>
        </w:tabs>
        <w:jc w:val="both"/>
        <w:rPr>
          <w:color w:val="000000"/>
          <w:sz w:val="22"/>
          <w:szCs w:val="22"/>
        </w:rPr>
      </w:pPr>
    </w:p>
    <w:p w:rsidR="00157870" w:rsidRPr="00295E71" w:rsidP="00157870" w14:paraId="73D8CBDF" w14:textId="77777777">
      <w:pPr>
        <w:tabs>
          <w:tab w:val="left" w:pos="567"/>
        </w:tabs>
        <w:jc w:val="both"/>
        <w:rPr>
          <w:color w:val="000000"/>
          <w:sz w:val="22"/>
          <w:szCs w:val="22"/>
        </w:rPr>
      </w:pPr>
      <w:r w:rsidRPr="00295E71">
        <w:rPr>
          <w:color w:val="000000"/>
          <w:sz w:val="22"/>
          <w:szCs w:val="22"/>
        </w:rPr>
        <w:t xml:space="preserve">La dose raccomandata di Humira per pazienti con artrite idiopatica giovanile poliarticolare da 2 anni di età è basata sul peso corporeo (Tabella 1). Humira è somministrato a settimane alterne </w:t>
      </w:r>
      <w:r w:rsidRPr="00295E71">
        <w:rPr>
          <w:sz w:val="22"/>
          <w:szCs w:val="22"/>
        </w:rPr>
        <w:t>attraverso iniezione sottocutanea.</w:t>
      </w:r>
    </w:p>
    <w:p w:rsidR="00157870" w:rsidRPr="00295E71" w:rsidP="00157870" w14:paraId="5F1215D5" w14:textId="77777777">
      <w:pPr>
        <w:tabs>
          <w:tab w:val="left" w:pos="567"/>
        </w:tabs>
        <w:rPr>
          <w:color w:val="000000"/>
          <w:sz w:val="22"/>
          <w:szCs w:val="22"/>
        </w:rPr>
      </w:pPr>
    </w:p>
    <w:p w:rsidR="00157870" w:rsidRPr="00295E71" w:rsidP="00157870" w14:paraId="53DC74E7" w14:textId="77777777">
      <w:pPr>
        <w:jc w:val="center"/>
        <w:rPr>
          <w:b/>
          <w:sz w:val="22"/>
          <w:szCs w:val="22"/>
        </w:rPr>
      </w:pPr>
      <w:r w:rsidRPr="00295E71">
        <w:rPr>
          <w:b/>
          <w:sz w:val="22"/>
          <w:szCs w:val="22"/>
        </w:rPr>
        <w:t xml:space="preserve">Tabella 1. Dose di Humira per Pazienti con Artrite Idiopatica Giovanile Poliarticolare </w:t>
      </w:r>
    </w:p>
    <w:p w:rsidR="00157870" w:rsidRPr="00295E71" w:rsidP="00157870" w14:paraId="4B7DAAAB" w14:textId="77777777">
      <w:pPr>
        <w:jc w:val="center"/>
        <w:rPr>
          <w:b/>
          <w:sz w:val="22"/>
          <w:szCs w:val="22"/>
        </w:rPr>
      </w:pPr>
    </w:p>
    <w:tbl>
      <w:tblPr>
        <w:tblW w:w="6795" w:type="dxa"/>
        <w:jc w:val="center"/>
        <w:tblLayout w:type="fixed"/>
        <w:tblLook w:val="0000"/>
      </w:tblPr>
      <w:tblGrid>
        <w:gridCol w:w="3401"/>
        <w:gridCol w:w="3394"/>
      </w:tblGrid>
      <w:tr w14:paraId="7A892EBD"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157870" w14:paraId="2F09396A" w14:textId="77777777">
            <w:pPr>
              <w:pStyle w:val="TableLeft"/>
              <w:jc w:val="center"/>
              <w:rPr>
                <w:b/>
                <w:sz w:val="22"/>
                <w:szCs w:val="22"/>
                <w:lang w:val="it-IT"/>
              </w:rPr>
            </w:pPr>
            <w:r w:rsidRPr="00295E71">
              <w:rPr>
                <w:b/>
                <w:sz w:val="22"/>
                <w:szCs w:val="22"/>
                <w:lang w:val="it-IT"/>
              </w:rPr>
              <w:t>Peso del Paziente</w:t>
            </w:r>
          </w:p>
        </w:tc>
        <w:tc>
          <w:tcPr>
            <w:tcW w:w="3394" w:type="dxa"/>
            <w:tcBorders>
              <w:top w:val="single" w:sz="4" w:space="0" w:color="auto"/>
              <w:bottom w:val="single" w:sz="4" w:space="0" w:color="auto"/>
            </w:tcBorders>
          </w:tcPr>
          <w:p w:rsidR="00157870" w:rsidRPr="00295E71" w:rsidP="00157870" w14:paraId="0FEC6270" w14:textId="77777777">
            <w:pPr>
              <w:pStyle w:val="TableLeft"/>
              <w:jc w:val="center"/>
              <w:rPr>
                <w:b/>
                <w:sz w:val="22"/>
                <w:szCs w:val="22"/>
                <w:lang w:val="it-IT"/>
              </w:rPr>
            </w:pPr>
            <w:r w:rsidRPr="00295E71">
              <w:rPr>
                <w:b/>
                <w:sz w:val="22"/>
                <w:szCs w:val="22"/>
                <w:lang w:val="it-IT"/>
              </w:rPr>
              <w:t>Schema Posologico</w:t>
            </w:r>
          </w:p>
        </w:tc>
      </w:tr>
      <w:tr w14:paraId="4A95FCBE"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157870" w14:paraId="7BD2F082" w14:textId="77777777">
            <w:pPr>
              <w:pStyle w:val="TableLeft"/>
              <w:jc w:val="center"/>
              <w:rPr>
                <w:b/>
                <w:sz w:val="22"/>
                <w:szCs w:val="22"/>
                <w:lang w:val="it-IT"/>
              </w:rPr>
            </w:pPr>
            <w:r w:rsidRPr="00295E71">
              <w:rPr>
                <w:sz w:val="22"/>
                <w:szCs w:val="22"/>
                <w:lang w:val="it-IT"/>
              </w:rPr>
              <w:t>10 kg fino a &lt; 30 kg</w:t>
            </w:r>
          </w:p>
        </w:tc>
        <w:tc>
          <w:tcPr>
            <w:tcW w:w="3394" w:type="dxa"/>
            <w:tcBorders>
              <w:top w:val="single" w:sz="4" w:space="0" w:color="auto"/>
              <w:bottom w:val="single" w:sz="4" w:space="0" w:color="auto"/>
            </w:tcBorders>
          </w:tcPr>
          <w:p w:rsidR="00157870" w:rsidRPr="00295E71" w:rsidP="00157870" w14:paraId="6661A223" w14:textId="77777777">
            <w:pPr>
              <w:pStyle w:val="TableLeft"/>
              <w:jc w:val="center"/>
              <w:rPr>
                <w:b/>
                <w:sz w:val="22"/>
                <w:szCs w:val="22"/>
                <w:lang w:val="it-IT"/>
              </w:rPr>
            </w:pPr>
            <w:r w:rsidRPr="00295E71">
              <w:rPr>
                <w:sz w:val="22"/>
                <w:szCs w:val="22"/>
                <w:lang w:val="it-IT"/>
              </w:rPr>
              <w:t>20 mg a settimane alterne</w:t>
            </w:r>
          </w:p>
        </w:tc>
      </w:tr>
      <w:tr w14:paraId="442E8406"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157870" w14:paraId="770DF1AB" w14:textId="77777777">
            <w:pPr>
              <w:pStyle w:val="TableLeft"/>
              <w:jc w:val="center"/>
              <w:rPr>
                <w:b/>
                <w:sz w:val="22"/>
                <w:szCs w:val="22"/>
                <w:lang w:val="it-IT"/>
              </w:rPr>
            </w:pPr>
            <w:r w:rsidRPr="00295E71">
              <w:rPr>
                <w:sz w:val="22"/>
                <w:szCs w:val="22"/>
                <w:lang w:val="it-IT"/>
              </w:rPr>
              <w:t>≥ 30 kg</w:t>
            </w:r>
          </w:p>
        </w:tc>
        <w:tc>
          <w:tcPr>
            <w:tcW w:w="3394" w:type="dxa"/>
            <w:tcBorders>
              <w:top w:val="single" w:sz="4" w:space="0" w:color="auto"/>
              <w:bottom w:val="single" w:sz="4" w:space="0" w:color="auto"/>
            </w:tcBorders>
          </w:tcPr>
          <w:p w:rsidR="00157870" w:rsidRPr="00295E71" w:rsidP="00157870" w14:paraId="6CFD157E" w14:textId="77777777">
            <w:pPr>
              <w:pStyle w:val="TableLeft"/>
              <w:jc w:val="center"/>
              <w:rPr>
                <w:b/>
                <w:sz w:val="22"/>
                <w:szCs w:val="22"/>
                <w:lang w:val="it-IT"/>
              </w:rPr>
            </w:pPr>
            <w:r w:rsidRPr="00295E71">
              <w:rPr>
                <w:sz w:val="22"/>
                <w:szCs w:val="22"/>
                <w:lang w:val="it-IT"/>
              </w:rPr>
              <w:t>40 mg a settimane alterne</w:t>
            </w:r>
          </w:p>
        </w:tc>
      </w:tr>
    </w:tbl>
    <w:p w:rsidR="00157870" w:rsidRPr="00295E71" w:rsidP="00157870" w14:paraId="478BC0C2" w14:textId="77777777">
      <w:pPr>
        <w:rPr>
          <w:b/>
          <w:sz w:val="22"/>
          <w:szCs w:val="22"/>
        </w:rPr>
      </w:pPr>
    </w:p>
    <w:p w:rsidR="00157870" w:rsidRPr="00295E71" w:rsidP="00157870" w14:paraId="576E9F80" w14:textId="77777777">
      <w:pPr>
        <w:rPr>
          <w:color w:val="000000"/>
          <w:sz w:val="22"/>
          <w:szCs w:val="22"/>
        </w:rPr>
      </w:pPr>
      <w:r w:rsidRPr="00295E71">
        <w:rPr>
          <w:sz w:val="22"/>
          <w:szCs w:val="22"/>
        </w:rPr>
        <w:t>I dati disponibili suggeriscono che la risposta clinica viene di solito ottenuta entro 12 settimane di trattamento. In un paziente che non risponde entro questo periodo di tempo, la continuazione della terapia deve essere</w:t>
      </w:r>
      <w:r w:rsidR="008C3B86">
        <w:rPr>
          <w:sz w:val="22"/>
          <w:szCs w:val="22"/>
        </w:rPr>
        <w:t xml:space="preserve"> attentamente</w:t>
      </w:r>
      <w:r w:rsidRPr="00295E71">
        <w:rPr>
          <w:sz w:val="22"/>
          <w:szCs w:val="22"/>
        </w:rPr>
        <w:t xml:space="preserve"> riconsiderata.</w:t>
      </w:r>
    </w:p>
    <w:p w:rsidR="009D52F1" w:rsidRPr="00295E71" w:rsidP="00157870" w14:paraId="49E9E736" w14:textId="77777777">
      <w:pPr>
        <w:rPr>
          <w:color w:val="000000"/>
          <w:sz w:val="22"/>
          <w:szCs w:val="22"/>
        </w:rPr>
      </w:pPr>
    </w:p>
    <w:p w:rsidR="00157870" w:rsidRPr="00295E71" w:rsidP="00157870" w14:paraId="2D57EA2B" w14:textId="77777777">
      <w:pPr>
        <w:rPr>
          <w:color w:val="000000"/>
          <w:sz w:val="22"/>
          <w:szCs w:val="22"/>
        </w:rPr>
      </w:pPr>
      <w:r w:rsidRPr="00295E71">
        <w:rPr>
          <w:color w:val="000000"/>
          <w:sz w:val="22"/>
          <w:szCs w:val="22"/>
        </w:rPr>
        <w:t>Non c’è un uso rilevante di Humira nei pazienti di età inferiore a 2 anni per questa indicazione.</w:t>
      </w:r>
    </w:p>
    <w:p w:rsidR="00157870" w:rsidRPr="00295E71" w:rsidP="00157870" w14:paraId="20BF4E83" w14:textId="77777777">
      <w:pPr>
        <w:tabs>
          <w:tab w:val="left" w:pos="567"/>
        </w:tabs>
        <w:rPr>
          <w:color w:val="000000"/>
          <w:sz w:val="22"/>
          <w:szCs w:val="22"/>
        </w:rPr>
      </w:pPr>
    </w:p>
    <w:p w:rsidR="009D52F1" w:rsidRPr="00295E71" w:rsidP="00157870" w14:paraId="6633B7BA" w14:textId="77777777">
      <w:pPr>
        <w:tabs>
          <w:tab w:val="left" w:pos="567"/>
        </w:tabs>
        <w:rPr>
          <w:sz w:val="22"/>
          <w:szCs w:val="22"/>
        </w:rPr>
      </w:pPr>
      <w:r w:rsidRPr="00295E71">
        <w:rPr>
          <w:sz w:val="22"/>
          <w:szCs w:val="22"/>
        </w:rPr>
        <w:t>Humira può essere disponibile in altre concentrazioni e/o presentazioni a seconda delle necessità individuali di trattamento.</w:t>
      </w:r>
    </w:p>
    <w:p w:rsidR="009D52F1" w:rsidRPr="00295E71" w:rsidP="00157870" w14:paraId="691C46FD" w14:textId="77777777">
      <w:pPr>
        <w:tabs>
          <w:tab w:val="left" w:pos="567"/>
        </w:tabs>
        <w:rPr>
          <w:color w:val="000000"/>
          <w:sz w:val="22"/>
          <w:szCs w:val="22"/>
        </w:rPr>
      </w:pPr>
    </w:p>
    <w:p w:rsidR="00157870" w:rsidRPr="00295E71" w:rsidP="00F57FE5" w14:paraId="7CDC51BD" w14:textId="77777777">
      <w:pPr>
        <w:widowControl w:val="0"/>
        <w:rPr>
          <w:i/>
          <w:sz w:val="22"/>
          <w:szCs w:val="22"/>
          <w:u w:val="single"/>
        </w:rPr>
      </w:pPr>
      <w:r w:rsidRPr="00295E71">
        <w:rPr>
          <w:i/>
          <w:sz w:val="22"/>
          <w:szCs w:val="22"/>
          <w:u w:val="single"/>
        </w:rPr>
        <w:t>Artrite associata ad entesite</w:t>
      </w:r>
    </w:p>
    <w:p w:rsidR="00157870" w:rsidRPr="00295E71" w:rsidP="00F57FE5" w14:paraId="2B38CD34" w14:textId="77777777">
      <w:pPr>
        <w:widowControl w:val="0"/>
        <w:tabs>
          <w:tab w:val="left" w:pos="567"/>
        </w:tabs>
        <w:jc w:val="both"/>
        <w:rPr>
          <w:sz w:val="22"/>
          <w:szCs w:val="22"/>
          <w:u w:val="single"/>
        </w:rPr>
      </w:pPr>
    </w:p>
    <w:p w:rsidR="00157870" w:rsidRPr="00295E71" w:rsidP="00F57FE5" w14:paraId="3D24FC03" w14:textId="77777777">
      <w:pPr>
        <w:pStyle w:val="gtcbodytext"/>
        <w:widowControl w:val="0"/>
        <w:spacing w:before="0" w:after="0" w:line="240" w:lineRule="auto"/>
        <w:jc w:val="both"/>
        <w:rPr>
          <w:sz w:val="22"/>
          <w:szCs w:val="22"/>
          <w:lang w:val="it-IT"/>
        </w:rPr>
      </w:pPr>
      <w:r w:rsidRPr="00295E71">
        <w:rPr>
          <w:sz w:val="22"/>
          <w:szCs w:val="22"/>
          <w:lang w:val="it-IT"/>
        </w:rPr>
        <w:t xml:space="preserve">La dose raccomandata di Humira nei pazienti con artrite associata ad entesite, </w:t>
      </w:r>
      <w:r w:rsidRPr="00295E71">
        <w:rPr>
          <w:bCs/>
          <w:iCs/>
          <w:sz w:val="22"/>
          <w:szCs w:val="22"/>
          <w:lang w:val="it-IT"/>
        </w:rPr>
        <w:t>da 6 anni in poi</w:t>
      </w:r>
      <w:r w:rsidRPr="00295E71">
        <w:rPr>
          <w:sz w:val="22"/>
          <w:szCs w:val="22"/>
          <w:lang w:val="it-IT"/>
        </w:rPr>
        <w:t xml:space="preserve">, </w:t>
      </w:r>
      <w:r w:rsidRPr="00295E71">
        <w:rPr>
          <w:color w:val="000000"/>
          <w:sz w:val="22"/>
          <w:szCs w:val="22"/>
          <w:lang w:val="it-IT"/>
        </w:rPr>
        <w:t>è basata  sul peso corporeo (Tabella 2).</w:t>
      </w:r>
      <w:r w:rsidRPr="00295E71">
        <w:rPr>
          <w:sz w:val="22"/>
          <w:szCs w:val="22"/>
          <w:lang w:val="it-IT"/>
        </w:rPr>
        <w:t xml:space="preserve"> Humira è somministrato a settimane alterne attraverso iniezione sottocutanea.</w:t>
      </w:r>
    </w:p>
    <w:p w:rsidR="00157870" w:rsidRPr="00295E71" w:rsidP="00157870" w14:paraId="4EE4DACD" w14:textId="77777777">
      <w:pPr>
        <w:pStyle w:val="gtcbodytext"/>
        <w:keepNext/>
        <w:keepLines/>
        <w:spacing w:before="0" w:after="0" w:line="240" w:lineRule="auto"/>
        <w:jc w:val="both"/>
        <w:rPr>
          <w:sz w:val="22"/>
          <w:szCs w:val="22"/>
          <w:lang w:val="it-IT"/>
        </w:rPr>
      </w:pPr>
    </w:p>
    <w:p w:rsidR="00157870" w:rsidRPr="00295E71" w:rsidP="00F57FE5" w14:paraId="3CAAD0E6" w14:textId="77777777">
      <w:pPr>
        <w:keepNext/>
        <w:jc w:val="center"/>
        <w:rPr>
          <w:b/>
          <w:sz w:val="22"/>
          <w:szCs w:val="22"/>
        </w:rPr>
      </w:pPr>
      <w:r w:rsidRPr="00295E71">
        <w:rPr>
          <w:b/>
          <w:sz w:val="22"/>
          <w:szCs w:val="22"/>
        </w:rPr>
        <w:t xml:space="preserve">Tabella 2. Dose di Humira per Pazienti con Artrite Associata ad Entesite </w:t>
      </w:r>
    </w:p>
    <w:p w:rsidR="00157870" w:rsidRPr="00295E71" w:rsidP="00F57FE5" w14:paraId="001CED03" w14:textId="77777777">
      <w:pPr>
        <w:keepNext/>
        <w:jc w:val="center"/>
        <w:rPr>
          <w:b/>
          <w:sz w:val="22"/>
          <w:szCs w:val="22"/>
        </w:rPr>
      </w:pPr>
    </w:p>
    <w:tbl>
      <w:tblPr>
        <w:tblW w:w="6795" w:type="dxa"/>
        <w:jc w:val="center"/>
        <w:tblLayout w:type="fixed"/>
        <w:tblLook w:val="0000"/>
      </w:tblPr>
      <w:tblGrid>
        <w:gridCol w:w="3401"/>
        <w:gridCol w:w="3394"/>
      </w:tblGrid>
      <w:tr w14:paraId="68482863"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25026E" w14:paraId="70BD3D51" w14:textId="77777777">
            <w:pPr>
              <w:pStyle w:val="TableLeft"/>
              <w:jc w:val="center"/>
              <w:rPr>
                <w:b/>
                <w:sz w:val="22"/>
                <w:szCs w:val="22"/>
                <w:lang w:val="it-IT"/>
              </w:rPr>
            </w:pPr>
            <w:r w:rsidRPr="00295E71">
              <w:rPr>
                <w:b/>
                <w:sz w:val="22"/>
                <w:szCs w:val="22"/>
                <w:lang w:val="it-IT"/>
              </w:rPr>
              <w:t>Peso del Paziente</w:t>
            </w:r>
          </w:p>
        </w:tc>
        <w:tc>
          <w:tcPr>
            <w:tcW w:w="3394" w:type="dxa"/>
            <w:tcBorders>
              <w:top w:val="single" w:sz="4" w:space="0" w:color="auto"/>
              <w:bottom w:val="single" w:sz="4" w:space="0" w:color="auto"/>
            </w:tcBorders>
          </w:tcPr>
          <w:p w:rsidR="00157870" w:rsidRPr="00295E71" w:rsidP="00B42A42" w14:paraId="26E6333B" w14:textId="77777777">
            <w:pPr>
              <w:pStyle w:val="TableLeft"/>
              <w:jc w:val="center"/>
              <w:rPr>
                <w:b/>
                <w:sz w:val="22"/>
                <w:szCs w:val="22"/>
                <w:lang w:val="it-IT"/>
              </w:rPr>
            </w:pPr>
            <w:r w:rsidRPr="00295E71">
              <w:rPr>
                <w:b/>
                <w:sz w:val="22"/>
                <w:szCs w:val="22"/>
                <w:lang w:val="it-IT"/>
              </w:rPr>
              <w:t>Schema Posologico</w:t>
            </w:r>
          </w:p>
        </w:tc>
      </w:tr>
      <w:tr w14:paraId="3A0C99FB"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25026E" w14:paraId="33424285" w14:textId="77777777">
            <w:pPr>
              <w:pStyle w:val="TableLeft"/>
              <w:jc w:val="center"/>
              <w:rPr>
                <w:b/>
                <w:sz w:val="22"/>
                <w:szCs w:val="22"/>
                <w:lang w:val="it-IT"/>
              </w:rPr>
            </w:pPr>
            <w:r w:rsidRPr="00295E71">
              <w:rPr>
                <w:sz w:val="22"/>
                <w:szCs w:val="22"/>
                <w:lang w:val="it-IT"/>
              </w:rPr>
              <w:t>15 kg fino a &lt; 30 kg</w:t>
            </w:r>
          </w:p>
        </w:tc>
        <w:tc>
          <w:tcPr>
            <w:tcW w:w="3394" w:type="dxa"/>
            <w:tcBorders>
              <w:top w:val="single" w:sz="4" w:space="0" w:color="auto"/>
              <w:bottom w:val="single" w:sz="4" w:space="0" w:color="auto"/>
            </w:tcBorders>
          </w:tcPr>
          <w:p w:rsidR="00157870" w:rsidRPr="00295E71" w:rsidP="00B42A42" w14:paraId="0FFEB904" w14:textId="77777777">
            <w:pPr>
              <w:pStyle w:val="TableLeft"/>
              <w:jc w:val="center"/>
              <w:rPr>
                <w:b/>
                <w:sz w:val="22"/>
                <w:szCs w:val="22"/>
                <w:lang w:val="it-IT"/>
              </w:rPr>
            </w:pPr>
            <w:r w:rsidRPr="00295E71">
              <w:rPr>
                <w:sz w:val="22"/>
                <w:szCs w:val="22"/>
                <w:lang w:val="it-IT"/>
              </w:rPr>
              <w:t>20 mg a settimane alterne</w:t>
            </w:r>
          </w:p>
        </w:tc>
      </w:tr>
      <w:tr w14:paraId="1FC84657"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25026E" w14:paraId="107C0F9F" w14:textId="77777777">
            <w:pPr>
              <w:pStyle w:val="TableLeft"/>
              <w:jc w:val="center"/>
              <w:rPr>
                <w:b/>
                <w:sz w:val="22"/>
                <w:szCs w:val="22"/>
                <w:lang w:val="it-IT"/>
              </w:rPr>
            </w:pPr>
            <w:r w:rsidRPr="00295E71">
              <w:rPr>
                <w:sz w:val="22"/>
                <w:szCs w:val="22"/>
                <w:lang w:val="it-IT"/>
              </w:rPr>
              <w:t>≥ 30 kg</w:t>
            </w:r>
          </w:p>
        </w:tc>
        <w:tc>
          <w:tcPr>
            <w:tcW w:w="3394" w:type="dxa"/>
            <w:tcBorders>
              <w:top w:val="single" w:sz="4" w:space="0" w:color="auto"/>
              <w:bottom w:val="single" w:sz="4" w:space="0" w:color="auto"/>
            </w:tcBorders>
          </w:tcPr>
          <w:p w:rsidR="00157870" w:rsidRPr="00295E71" w:rsidP="00B42A42" w14:paraId="02700DA6" w14:textId="77777777">
            <w:pPr>
              <w:pStyle w:val="TableLeft"/>
              <w:jc w:val="center"/>
              <w:rPr>
                <w:b/>
                <w:sz w:val="22"/>
                <w:szCs w:val="22"/>
                <w:lang w:val="it-IT"/>
              </w:rPr>
            </w:pPr>
            <w:r w:rsidRPr="00295E71">
              <w:rPr>
                <w:sz w:val="22"/>
                <w:szCs w:val="22"/>
                <w:lang w:val="it-IT"/>
              </w:rPr>
              <w:t>40 mg a settimane alterne</w:t>
            </w:r>
          </w:p>
        </w:tc>
      </w:tr>
    </w:tbl>
    <w:p w:rsidR="00157870" w:rsidRPr="00295E71" w:rsidP="00157870" w14:paraId="613F3173" w14:textId="77777777">
      <w:pPr>
        <w:rPr>
          <w:b/>
          <w:sz w:val="22"/>
          <w:szCs w:val="22"/>
        </w:rPr>
      </w:pPr>
    </w:p>
    <w:p w:rsidR="00157870" w:rsidRPr="00295E71" w:rsidP="00157870" w14:paraId="5059024F" w14:textId="77777777">
      <w:pPr>
        <w:pStyle w:val="gtcbodytext"/>
        <w:spacing w:before="0" w:after="0" w:line="240" w:lineRule="auto"/>
        <w:jc w:val="both"/>
        <w:rPr>
          <w:sz w:val="22"/>
          <w:szCs w:val="22"/>
          <w:lang w:val="it-IT"/>
        </w:rPr>
      </w:pPr>
    </w:p>
    <w:p w:rsidR="00157870" w:rsidRPr="00295E71" w:rsidP="00157870" w14:paraId="01BA825F" w14:textId="77777777">
      <w:pPr>
        <w:keepNext/>
        <w:keepLines/>
        <w:tabs>
          <w:tab w:val="left" w:pos="567"/>
        </w:tabs>
        <w:jc w:val="both"/>
        <w:rPr>
          <w:sz w:val="22"/>
          <w:szCs w:val="22"/>
        </w:rPr>
      </w:pPr>
      <w:r w:rsidRPr="00295E71">
        <w:rPr>
          <w:sz w:val="22"/>
          <w:szCs w:val="22"/>
        </w:rPr>
        <w:t>Humira non è stato studiato nei pazienti con artrite associata ad entesite di età inferiore a 6 anni.</w:t>
      </w:r>
    </w:p>
    <w:p w:rsidR="009D52F1" w:rsidRPr="00295E71" w:rsidP="00157870" w14:paraId="6B2818AD" w14:textId="77777777">
      <w:pPr>
        <w:keepNext/>
        <w:keepLines/>
        <w:tabs>
          <w:tab w:val="left" w:pos="567"/>
        </w:tabs>
        <w:jc w:val="both"/>
        <w:rPr>
          <w:sz w:val="22"/>
          <w:szCs w:val="22"/>
        </w:rPr>
      </w:pPr>
    </w:p>
    <w:p w:rsidR="009D52F1" w:rsidRPr="00295E71" w:rsidP="00157870" w14:paraId="7C479E75" w14:textId="77777777">
      <w:pPr>
        <w:keepNext/>
        <w:keepLines/>
        <w:tabs>
          <w:tab w:val="left" w:pos="567"/>
        </w:tabs>
        <w:jc w:val="both"/>
        <w:rPr>
          <w:sz w:val="22"/>
          <w:szCs w:val="22"/>
        </w:rPr>
      </w:pPr>
      <w:r w:rsidRPr="00295E71">
        <w:rPr>
          <w:sz w:val="22"/>
          <w:szCs w:val="22"/>
        </w:rPr>
        <w:t>Humira può essere disponibile in altre concentrazioni e/o presentazioni a seconda delle necessità di trattamento individuali.</w:t>
      </w:r>
    </w:p>
    <w:p w:rsidR="00157870" w:rsidRPr="00295E71" w:rsidP="00157870" w14:paraId="6296D7C7" w14:textId="77777777">
      <w:pPr>
        <w:keepNext/>
        <w:keepLines/>
        <w:tabs>
          <w:tab w:val="left" w:pos="567"/>
        </w:tabs>
        <w:jc w:val="both"/>
        <w:rPr>
          <w:sz w:val="22"/>
          <w:szCs w:val="22"/>
        </w:rPr>
      </w:pPr>
    </w:p>
    <w:p w:rsidR="00157870" w:rsidRPr="00295E71" w:rsidP="00157870" w14:paraId="4FE0CF13" w14:textId="77777777">
      <w:pPr>
        <w:pStyle w:val="gtcbodytext"/>
        <w:spacing w:before="0" w:after="0" w:line="240" w:lineRule="auto"/>
        <w:jc w:val="both"/>
        <w:rPr>
          <w:i/>
          <w:sz w:val="22"/>
          <w:szCs w:val="22"/>
          <w:lang w:val="it-IT"/>
        </w:rPr>
      </w:pPr>
      <w:r w:rsidRPr="00295E71">
        <w:rPr>
          <w:i/>
          <w:sz w:val="22"/>
          <w:szCs w:val="22"/>
          <w:lang w:val="it-IT"/>
        </w:rPr>
        <w:t>Psoriasi a placche pediatrica</w:t>
      </w:r>
    </w:p>
    <w:p w:rsidR="00157870" w:rsidRPr="00295E71" w:rsidP="00157870" w14:paraId="7E74E750" w14:textId="77777777">
      <w:pPr>
        <w:pStyle w:val="gtcbodytext"/>
        <w:spacing w:before="0" w:after="0" w:line="240" w:lineRule="auto"/>
        <w:jc w:val="both"/>
        <w:rPr>
          <w:sz w:val="22"/>
          <w:szCs w:val="22"/>
          <w:lang w:val="it-IT"/>
        </w:rPr>
      </w:pPr>
    </w:p>
    <w:p w:rsidR="00157870" w:rsidRPr="00295E71" w:rsidP="00157870" w14:paraId="65DAD8FA" w14:textId="77777777">
      <w:pPr>
        <w:pStyle w:val="gtcbodytext"/>
        <w:spacing w:before="0" w:after="0" w:line="240" w:lineRule="auto"/>
        <w:jc w:val="both"/>
        <w:rPr>
          <w:sz w:val="22"/>
          <w:szCs w:val="22"/>
          <w:lang w:val="it-IT"/>
        </w:rPr>
      </w:pPr>
      <w:r w:rsidRPr="00295E71">
        <w:rPr>
          <w:sz w:val="22"/>
          <w:szCs w:val="22"/>
          <w:lang w:val="it-IT"/>
        </w:rPr>
        <w:t>La dose raccomandata di Humira nei pazienti con psoriasi a placche di età compresa tra 4 e 17 anni è basata sul peso corporeo (Tabella 3). Humira è somministrato attraverso iniezione sottocutanea.</w:t>
      </w:r>
    </w:p>
    <w:p w:rsidR="00157870" w:rsidRPr="00295E71" w:rsidP="00157870" w14:paraId="17C2E4D6" w14:textId="77777777">
      <w:pPr>
        <w:pStyle w:val="gtcbodytext"/>
        <w:spacing w:before="0" w:after="0" w:line="240" w:lineRule="auto"/>
        <w:jc w:val="both"/>
        <w:rPr>
          <w:sz w:val="22"/>
          <w:szCs w:val="22"/>
          <w:lang w:val="it-IT"/>
        </w:rPr>
      </w:pPr>
    </w:p>
    <w:p w:rsidR="00157870" w:rsidRPr="00295E71" w:rsidP="00157870" w14:paraId="2AD19C71" w14:textId="77777777">
      <w:pPr>
        <w:jc w:val="center"/>
        <w:rPr>
          <w:b/>
          <w:sz w:val="22"/>
          <w:szCs w:val="22"/>
        </w:rPr>
      </w:pPr>
      <w:r w:rsidRPr="00295E71">
        <w:rPr>
          <w:b/>
          <w:sz w:val="22"/>
          <w:szCs w:val="22"/>
        </w:rPr>
        <w:t xml:space="preserve">Tabella 3. Dose di Humira per Pazienti Pediatrici con Psoriasi a Placche </w:t>
      </w:r>
    </w:p>
    <w:p w:rsidR="00157870" w:rsidRPr="00295E71" w:rsidP="00157870" w14:paraId="466B6574" w14:textId="77777777">
      <w:pPr>
        <w:jc w:val="center"/>
        <w:rPr>
          <w:b/>
          <w:sz w:val="22"/>
          <w:szCs w:val="22"/>
        </w:rPr>
      </w:pPr>
    </w:p>
    <w:tbl>
      <w:tblPr>
        <w:tblW w:w="6795" w:type="dxa"/>
        <w:jc w:val="center"/>
        <w:tblLayout w:type="fixed"/>
        <w:tblLook w:val="0000"/>
      </w:tblPr>
      <w:tblGrid>
        <w:gridCol w:w="3401"/>
        <w:gridCol w:w="3394"/>
      </w:tblGrid>
      <w:tr w14:paraId="0A1C1A49"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157870" w14:paraId="211FFB25" w14:textId="77777777">
            <w:pPr>
              <w:pStyle w:val="TableLeft"/>
              <w:jc w:val="center"/>
              <w:rPr>
                <w:b/>
                <w:sz w:val="22"/>
                <w:szCs w:val="22"/>
                <w:lang w:val="it-IT"/>
              </w:rPr>
            </w:pPr>
            <w:r w:rsidRPr="00295E71">
              <w:rPr>
                <w:b/>
                <w:sz w:val="22"/>
                <w:szCs w:val="22"/>
                <w:lang w:val="it-IT"/>
              </w:rPr>
              <w:t>Peso del Paziente</w:t>
            </w:r>
          </w:p>
        </w:tc>
        <w:tc>
          <w:tcPr>
            <w:tcW w:w="3394" w:type="dxa"/>
            <w:tcBorders>
              <w:top w:val="single" w:sz="4" w:space="0" w:color="auto"/>
              <w:bottom w:val="single" w:sz="4" w:space="0" w:color="auto"/>
            </w:tcBorders>
          </w:tcPr>
          <w:p w:rsidR="00157870" w:rsidRPr="00295E71" w:rsidP="00157870" w14:paraId="62F27269" w14:textId="77777777">
            <w:pPr>
              <w:pStyle w:val="TableLeft"/>
              <w:jc w:val="center"/>
              <w:rPr>
                <w:b/>
                <w:sz w:val="22"/>
                <w:szCs w:val="22"/>
                <w:lang w:val="it-IT"/>
              </w:rPr>
            </w:pPr>
            <w:r w:rsidRPr="00295E71">
              <w:rPr>
                <w:b/>
                <w:sz w:val="22"/>
                <w:szCs w:val="22"/>
                <w:lang w:val="it-IT"/>
              </w:rPr>
              <w:t>Schema Posologico</w:t>
            </w:r>
          </w:p>
        </w:tc>
      </w:tr>
      <w:tr w14:paraId="3B0C12B2"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157870" w14:paraId="73292AD3" w14:textId="77777777">
            <w:pPr>
              <w:pStyle w:val="TableLeft"/>
              <w:jc w:val="center"/>
              <w:rPr>
                <w:b/>
                <w:sz w:val="22"/>
                <w:szCs w:val="22"/>
                <w:lang w:val="it-IT"/>
              </w:rPr>
            </w:pPr>
            <w:r w:rsidRPr="00295E71">
              <w:rPr>
                <w:sz w:val="22"/>
                <w:szCs w:val="22"/>
                <w:lang w:val="it-IT"/>
              </w:rPr>
              <w:t>15 kg fino a &lt; 30 kg</w:t>
            </w:r>
          </w:p>
        </w:tc>
        <w:tc>
          <w:tcPr>
            <w:tcW w:w="3394" w:type="dxa"/>
            <w:tcBorders>
              <w:top w:val="single" w:sz="4" w:space="0" w:color="auto"/>
              <w:bottom w:val="single" w:sz="4" w:space="0" w:color="auto"/>
            </w:tcBorders>
          </w:tcPr>
          <w:p w:rsidR="00157870" w:rsidRPr="00295E71" w:rsidP="00157870" w14:paraId="0D5CC55C" w14:textId="77777777">
            <w:pPr>
              <w:pStyle w:val="TableLeft"/>
              <w:jc w:val="center"/>
              <w:rPr>
                <w:b/>
                <w:sz w:val="22"/>
                <w:szCs w:val="22"/>
                <w:lang w:val="it-IT"/>
              </w:rPr>
            </w:pPr>
            <w:r w:rsidRPr="00295E71">
              <w:rPr>
                <w:sz w:val="22"/>
                <w:szCs w:val="22"/>
                <w:lang w:val="it-IT"/>
              </w:rPr>
              <w:t>Dose iniziale di 20 mg, seguita da 20 mg somministrati a settimane alterne iniziando una settimana dopo la dose iniziale</w:t>
            </w:r>
          </w:p>
        </w:tc>
      </w:tr>
      <w:tr w14:paraId="77EB3E11"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157870" w14:paraId="5935F9F3" w14:textId="77777777">
            <w:pPr>
              <w:pStyle w:val="TableLeft"/>
              <w:jc w:val="center"/>
              <w:rPr>
                <w:b/>
                <w:sz w:val="22"/>
                <w:szCs w:val="22"/>
                <w:lang w:val="it-IT"/>
              </w:rPr>
            </w:pPr>
            <w:r w:rsidRPr="00295E71">
              <w:rPr>
                <w:sz w:val="22"/>
                <w:szCs w:val="22"/>
                <w:lang w:val="it-IT"/>
              </w:rPr>
              <w:t>≥ 30 kg</w:t>
            </w:r>
          </w:p>
        </w:tc>
        <w:tc>
          <w:tcPr>
            <w:tcW w:w="3394" w:type="dxa"/>
            <w:tcBorders>
              <w:top w:val="single" w:sz="4" w:space="0" w:color="auto"/>
              <w:bottom w:val="single" w:sz="4" w:space="0" w:color="auto"/>
            </w:tcBorders>
          </w:tcPr>
          <w:p w:rsidR="00157870" w:rsidRPr="00295E71" w:rsidP="00157870" w14:paraId="06C2BD77" w14:textId="77777777">
            <w:pPr>
              <w:pStyle w:val="TableLeft"/>
              <w:jc w:val="center"/>
              <w:rPr>
                <w:b/>
                <w:sz w:val="22"/>
                <w:szCs w:val="22"/>
                <w:lang w:val="it-IT"/>
              </w:rPr>
            </w:pPr>
            <w:r w:rsidRPr="00295E71">
              <w:rPr>
                <w:sz w:val="22"/>
                <w:szCs w:val="22"/>
                <w:lang w:val="it-IT"/>
              </w:rPr>
              <w:t>Dose iniziale di 40 mg, seguita da 40 mg somministrati a settimane alterne iniziando una settimana dopo la dose iniziale</w:t>
            </w:r>
          </w:p>
        </w:tc>
      </w:tr>
    </w:tbl>
    <w:p w:rsidR="00157870" w:rsidRPr="00295E71" w:rsidP="00157870" w14:paraId="16B90917" w14:textId="77777777">
      <w:pPr>
        <w:rPr>
          <w:b/>
          <w:sz w:val="22"/>
          <w:szCs w:val="22"/>
        </w:rPr>
      </w:pPr>
    </w:p>
    <w:p w:rsidR="00157870" w:rsidRPr="00295E71" w:rsidP="00157870" w14:paraId="539E7505" w14:textId="77777777">
      <w:pPr>
        <w:pStyle w:val="gtcbodytext"/>
        <w:spacing w:before="0" w:after="0" w:line="240" w:lineRule="auto"/>
        <w:jc w:val="both"/>
        <w:rPr>
          <w:sz w:val="22"/>
          <w:szCs w:val="22"/>
          <w:lang w:val="it-IT"/>
        </w:rPr>
      </w:pPr>
      <w:r w:rsidRPr="00295E71">
        <w:rPr>
          <w:sz w:val="22"/>
          <w:szCs w:val="22"/>
          <w:lang w:val="it-IT"/>
        </w:rPr>
        <w:t>Il proseguimento della terapia oltre le 16 settimane dovrebbe essere attentamente valutato in pazienti che non rispondono entro questo periodo di tempo.</w:t>
      </w:r>
    </w:p>
    <w:p w:rsidR="00157870" w:rsidRPr="00295E71" w:rsidP="00157870" w14:paraId="00FC2D77" w14:textId="77777777">
      <w:pPr>
        <w:pStyle w:val="gtcbodytext"/>
        <w:spacing w:before="0" w:after="0" w:line="240" w:lineRule="auto"/>
        <w:jc w:val="both"/>
        <w:rPr>
          <w:sz w:val="22"/>
          <w:szCs w:val="22"/>
          <w:lang w:val="it-IT"/>
        </w:rPr>
      </w:pPr>
    </w:p>
    <w:p w:rsidR="00157870" w:rsidRPr="00295E71" w:rsidP="00157870" w14:paraId="6568F03E" w14:textId="77777777">
      <w:pPr>
        <w:pStyle w:val="gtcbodytext"/>
        <w:spacing w:before="0" w:after="0" w:line="240" w:lineRule="auto"/>
        <w:jc w:val="both"/>
        <w:rPr>
          <w:sz w:val="22"/>
          <w:szCs w:val="22"/>
          <w:lang w:val="it-IT"/>
        </w:rPr>
      </w:pPr>
      <w:r w:rsidRPr="00295E71">
        <w:rPr>
          <w:sz w:val="22"/>
          <w:szCs w:val="22"/>
          <w:lang w:val="it-IT"/>
        </w:rPr>
        <w:t>Laddove sia indicato il ri-trattamento con Humira, occorre seguire le indicazioni sopra riportate riguardo la dose e la durata del trattamento.</w:t>
      </w:r>
    </w:p>
    <w:p w:rsidR="00157870" w:rsidRPr="00295E71" w:rsidP="00157870" w14:paraId="05D55557" w14:textId="77777777">
      <w:pPr>
        <w:pStyle w:val="gtcbodytext"/>
        <w:spacing w:before="0" w:after="0" w:line="240" w:lineRule="auto"/>
        <w:jc w:val="both"/>
        <w:rPr>
          <w:sz w:val="22"/>
          <w:szCs w:val="22"/>
          <w:lang w:val="it-IT"/>
        </w:rPr>
      </w:pPr>
    </w:p>
    <w:p w:rsidR="00157870" w:rsidRPr="00295E71" w:rsidP="00157870" w14:paraId="6437AF3D" w14:textId="77777777">
      <w:pPr>
        <w:pStyle w:val="gtcbodytext"/>
        <w:spacing w:before="0" w:after="0" w:line="240" w:lineRule="auto"/>
        <w:jc w:val="both"/>
        <w:rPr>
          <w:sz w:val="22"/>
          <w:szCs w:val="22"/>
          <w:lang w:val="it-IT"/>
        </w:rPr>
      </w:pPr>
      <w:r w:rsidRPr="00295E71">
        <w:rPr>
          <w:sz w:val="22"/>
          <w:szCs w:val="22"/>
          <w:lang w:val="it-IT"/>
        </w:rPr>
        <w:t>La sicurezza di Humira nei pazienti pediatrici con psoriasi a placche è stata valutata per un periodo medio di13 mesi.</w:t>
      </w:r>
    </w:p>
    <w:p w:rsidR="00157870" w:rsidRPr="00295E71" w:rsidP="00157870" w14:paraId="474A9FAF" w14:textId="77777777">
      <w:pPr>
        <w:pStyle w:val="gtcbodytext"/>
        <w:spacing w:before="0" w:after="0" w:line="240" w:lineRule="auto"/>
        <w:jc w:val="both"/>
        <w:rPr>
          <w:sz w:val="22"/>
          <w:szCs w:val="22"/>
          <w:lang w:val="it-IT"/>
        </w:rPr>
      </w:pPr>
    </w:p>
    <w:p w:rsidR="00157870" w:rsidRPr="00295E71" w:rsidP="00157870" w14:paraId="14DCE554" w14:textId="77777777">
      <w:pPr>
        <w:pStyle w:val="gtcbodytext"/>
        <w:spacing w:before="0" w:after="0" w:line="240" w:lineRule="auto"/>
        <w:jc w:val="both"/>
        <w:rPr>
          <w:sz w:val="22"/>
          <w:szCs w:val="22"/>
          <w:lang w:val="it-IT"/>
        </w:rPr>
      </w:pPr>
      <w:r w:rsidRPr="00295E71">
        <w:rPr>
          <w:sz w:val="22"/>
          <w:szCs w:val="22"/>
          <w:lang w:val="it-IT"/>
        </w:rPr>
        <w:t>Non c’è un uso rilevante di Humira nei bambini di età inferiore a 4 anni per questa indicazione.</w:t>
      </w:r>
    </w:p>
    <w:p w:rsidR="009D52F1" w:rsidRPr="00295E71" w:rsidP="00157870" w14:paraId="79567871" w14:textId="77777777">
      <w:pPr>
        <w:pStyle w:val="gtcbodytext"/>
        <w:spacing w:before="0" w:after="0" w:line="240" w:lineRule="auto"/>
        <w:jc w:val="both"/>
        <w:rPr>
          <w:sz w:val="22"/>
          <w:szCs w:val="22"/>
          <w:lang w:val="it-IT"/>
        </w:rPr>
      </w:pPr>
    </w:p>
    <w:p w:rsidR="009D52F1" w:rsidRPr="00295E71" w:rsidP="00157870" w14:paraId="05577859" w14:textId="77777777">
      <w:pPr>
        <w:pStyle w:val="gtcbodytext"/>
        <w:spacing w:before="0" w:after="0" w:line="240" w:lineRule="auto"/>
        <w:jc w:val="both"/>
        <w:rPr>
          <w:sz w:val="22"/>
          <w:szCs w:val="22"/>
          <w:lang w:val="it-IT"/>
        </w:rPr>
      </w:pPr>
      <w:r w:rsidRPr="00295E71">
        <w:rPr>
          <w:sz w:val="22"/>
          <w:szCs w:val="22"/>
          <w:lang w:val="it-IT"/>
        </w:rPr>
        <w:t>Humira può essere disponibile in altre concentrazioni e/o presentazioni a seconda delle necessità individuali di trattamento.</w:t>
      </w:r>
    </w:p>
    <w:p w:rsidR="00157870" w:rsidRPr="00295E71" w:rsidP="00157870" w14:paraId="07B09406" w14:textId="77777777">
      <w:pPr>
        <w:pStyle w:val="gtcbodytext"/>
        <w:spacing w:before="0" w:after="0" w:line="240" w:lineRule="auto"/>
        <w:jc w:val="both"/>
        <w:rPr>
          <w:sz w:val="22"/>
          <w:szCs w:val="22"/>
          <w:lang w:val="it-IT"/>
        </w:rPr>
      </w:pPr>
    </w:p>
    <w:p w:rsidR="00157870" w:rsidRPr="00295E71" w:rsidP="00157870" w14:paraId="1C2B6BAB" w14:textId="77777777">
      <w:pPr>
        <w:rPr>
          <w:i/>
          <w:sz w:val="22"/>
          <w:szCs w:val="22"/>
        </w:rPr>
      </w:pPr>
      <w:r w:rsidRPr="00295E71">
        <w:rPr>
          <w:i/>
          <w:sz w:val="22"/>
          <w:szCs w:val="22"/>
        </w:rPr>
        <w:t>Malattia di Crohn in pazienti pediatrici</w:t>
      </w:r>
    </w:p>
    <w:p w:rsidR="00157870" w:rsidRPr="00295E71" w:rsidP="00157870" w14:paraId="48CE4F85" w14:textId="77777777">
      <w:pPr>
        <w:tabs>
          <w:tab w:val="left" w:pos="567"/>
        </w:tabs>
        <w:jc w:val="both"/>
        <w:rPr>
          <w:sz w:val="22"/>
          <w:szCs w:val="22"/>
        </w:rPr>
      </w:pPr>
    </w:p>
    <w:p w:rsidR="00157870" w:rsidRPr="00295E71" w:rsidP="00157870" w14:paraId="2DCD7756" w14:textId="77777777">
      <w:pPr>
        <w:pStyle w:val="gtcbodytext"/>
        <w:spacing w:before="0" w:after="0" w:line="240" w:lineRule="auto"/>
        <w:jc w:val="both"/>
        <w:rPr>
          <w:sz w:val="22"/>
          <w:szCs w:val="22"/>
          <w:lang w:val="it-IT"/>
        </w:rPr>
      </w:pPr>
      <w:r w:rsidRPr="00295E71">
        <w:rPr>
          <w:sz w:val="22"/>
          <w:szCs w:val="22"/>
          <w:lang w:val="it-IT"/>
        </w:rPr>
        <w:t xml:space="preserve">La dose raccomandata di Humira nei pazienti con malattia di Crohn di età compresa tra 6 e 17 anni è basata sul peso corporeo (Tabella 4). Humira è somministrato attraverso iniezione sottocutanea. </w:t>
      </w:r>
    </w:p>
    <w:p w:rsidR="00157870" w:rsidRPr="00295E71" w:rsidP="00157870" w14:paraId="3E67E5CD" w14:textId="77777777">
      <w:pPr>
        <w:pStyle w:val="gtcbodytext"/>
        <w:spacing w:before="0" w:after="0" w:line="240" w:lineRule="auto"/>
        <w:jc w:val="both"/>
        <w:rPr>
          <w:sz w:val="22"/>
          <w:szCs w:val="22"/>
          <w:lang w:val="it-IT"/>
        </w:rPr>
      </w:pPr>
    </w:p>
    <w:p w:rsidR="00157870" w:rsidRPr="00295E71" w:rsidP="00157870" w14:paraId="32E7AEDB" w14:textId="77777777">
      <w:pPr>
        <w:keepNext/>
        <w:jc w:val="center"/>
        <w:rPr>
          <w:b/>
          <w:sz w:val="22"/>
          <w:szCs w:val="22"/>
        </w:rPr>
      </w:pPr>
      <w:r w:rsidRPr="00295E71">
        <w:rPr>
          <w:b/>
          <w:sz w:val="22"/>
          <w:szCs w:val="22"/>
        </w:rPr>
        <w:t>Tabella 4. Dose di Humira per Pazienti Pediatrici con Malattia di Crohn</w:t>
      </w:r>
    </w:p>
    <w:p w:rsidR="00157870" w:rsidRPr="00295E71" w:rsidP="00157870" w14:paraId="7D2BE909" w14:textId="77777777">
      <w:pPr>
        <w:keepNext/>
        <w:rPr>
          <w:sz w:val="22"/>
          <w:szCs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41"/>
        <w:gridCol w:w="6300"/>
        <w:gridCol w:w="1713"/>
      </w:tblGrid>
      <w:tr w14:paraId="0CAD2C9D" w14:textId="77777777" w:rsidTr="00157870">
        <w:tblPrEx>
          <w:tblW w:w="5000" w:type="pct"/>
          <w:tblLook w:val="04A0"/>
        </w:tblPrEx>
        <w:trPr>
          <w:tblHeader/>
        </w:trPr>
        <w:tc>
          <w:tcPr>
            <w:tcW w:w="0" w:type="auto"/>
            <w:tcBorders>
              <w:top w:val="single" w:sz="6" w:space="0" w:color="000000"/>
              <w:left w:val="single" w:sz="6" w:space="0" w:color="000000"/>
              <w:bottom w:val="single" w:sz="6" w:space="0" w:color="000000"/>
              <w:right w:val="single" w:sz="6" w:space="0" w:color="000000"/>
            </w:tcBorders>
            <w:hideMark/>
          </w:tcPr>
          <w:p w:rsidR="00157870" w:rsidRPr="00295E71" w:rsidP="00157870" w14:paraId="18980A8A" w14:textId="77777777">
            <w:pPr>
              <w:keepNext/>
              <w:jc w:val="center"/>
              <w:rPr>
                <w:sz w:val="22"/>
                <w:szCs w:val="22"/>
              </w:rPr>
            </w:pPr>
            <w:r w:rsidRPr="00295E71">
              <w:rPr>
                <w:b/>
                <w:sz w:val="22"/>
                <w:szCs w:val="22"/>
              </w:rPr>
              <w:t>Peso del Paziente</w:t>
            </w:r>
          </w:p>
        </w:tc>
        <w:tc>
          <w:tcPr>
            <w:tcW w:w="0" w:type="auto"/>
            <w:tcBorders>
              <w:top w:val="single" w:sz="6" w:space="0" w:color="000000"/>
              <w:left w:val="single" w:sz="6" w:space="0" w:color="000000"/>
              <w:bottom w:val="single" w:sz="6" w:space="0" w:color="000000"/>
              <w:right w:val="single" w:sz="6" w:space="0" w:color="000000"/>
            </w:tcBorders>
            <w:hideMark/>
          </w:tcPr>
          <w:p w:rsidR="00157870" w:rsidRPr="00295E71" w:rsidP="00157870" w14:paraId="1BD904CF" w14:textId="77777777">
            <w:pPr>
              <w:keepNext/>
              <w:jc w:val="center"/>
              <w:rPr>
                <w:sz w:val="22"/>
                <w:szCs w:val="22"/>
              </w:rPr>
            </w:pPr>
            <w:r w:rsidRPr="00295E71">
              <w:rPr>
                <w:b/>
                <w:sz w:val="22"/>
                <w:szCs w:val="22"/>
              </w:rPr>
              <w:t>Dose di Induzione</w:t>
            </w:r>
          </w:p>
        </w:tc>
        <w:tc>
          <w:tcPr>
            <w:tcW w:w="0" w:type="auto"/>
            <w:tcBorders>
              <w:top w:val="single" w:sz="6" w:space="0" w:color="000000"/>
              <w:left w:val="single" w:sz="6" w:space="0" w:color="000000"/>
              <w:bottom w:val="single" w:sz="6" w:space="0" w:color="000000"/>
              <w:right w:val="single" w:sz="6" w:space="0" w:color="000000"/>
            </w:tcBorders>
            <w:hideMark/>
          </w:tcPr>
          <w:p w:rsidR="00157870" w:rsidRPr="00295E71" w:rsidP="00157870" w14:paraId="6F9A4746" w14:textId="77777777">
            <w:pPr>
              <w:keepNext/>
              <w:jc w:val="center"/>
              <w:rPr>
                <w:sz w:val="22"/>
                <w:szCs w:val="22"/>
              </w:rPr>
            </w:pPr>
            <w:r w:rsidRPr="00295E71">
              <w:rPr>
                <w:b/>
                <w:sz w:val="22"/>
                <w:szCs w:val="22"/>
              </w:rPr>
              <w:t xml:space="preserve">Dose di Mantenimento </w:t>
            </w:r>
            <w:r w:rsidRPr="00295E71">
              <w:rPr>
                <w:b/>
                <w:sz w:val="22"/>
                <w:szCs w:val="22"/>
              </w:rPr>
              <w:br/>
              <w:t>a partire dalla Settimana 4</w:t>
            </w:r>
          </w:p>
        </w:tc>
      </w:tr>
      <w:tr w14:paraId="760B8FCF" w14:textId="77777777" w:rsidTr="00157870">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157870" w:rsidRPr="00295E71" w:rsidP="00157870" w14:paraId="6A9530F7" w14:textId="77777777">
            <w:pPr>
              <w:keepNext/>
              <w:jc w:val="center"/>
              <w:rPr>
                <w:sz w:val="22"/>
                <w:szCs w:val="22"/>
              </w:rPr>
            </w:pPr>
            <w:r w:rsidRPr="00295E71">
              <w:rPr>
                <w:sz w:val="22"/>
                <w:szCs w:val="22"/>
              </w:rPr>
              <w:t>&lt; 40 kg</w:t>
            </w:r>
          </w:p>
        </w:tc>
        <w:tc>
          <w:tcPr>
            <w:tcW w:w="0" w:type="auto"/>
            <w:tcBorders>
              <w:top w:val="single" w:sz="6" w:space="0" w:color="000000"/>
              <w:left w:val="single" w:sz="6" w:space="0" w:color="000000"/>
              <w:bottom w:val="single" w:sz="6" w:space="0" w:color="000000"/>
              <w:right w:val="single" w:sz="6" w:space="0" w:color="000000"/>
            </w:tcBorders>
            <w:hideMark/>
          </w:tcPr>
          <w:p w:rsidR="00157870" w:rsidRPr="00295E71" w:rsidP="00157870" w14:paraId="78845AD4" w14:textId="77777777">
            <w:pPr>
              <w:keepNext/>
              <w:numPr>
                <w:ilvl w:val="0"/>
                <w:numId w:val="128"/>
              </w:numPr>
              <w:ind w:left="307" w:hanging="180"/>
              <w:rPr>
                <w:sz w:val="22"/>
                <w:szCs w:val="22"/>
              </w:rPr>
            </w:pPr>
            <w:r w:rsidRPr="00295E71">
              <w:rPr>
                <w:sz w:val="22"/>
                <w:szCs w:val="22"/>
              </w:rPr>
              <w:t xml:space="preserve">40 mg alla </w:t>
            </w:r>
            <w:r w:rsidRPr="00295E71" w:rsidR="00F7639B">
              <w:rPr>
                <w:sz w:val="22"/>
                <w:szCs w:val="22"/>
              </w:rPr>
              <w:t>s</w:t>
            </w:r>
            <w:r w:rsidRPr="00295E71">
              <w:rPr>
                <w:sz w:val="22"/>
                <w:szCs w:val="22"/>
              </w:rPr>
              <w:t xml:space="preserve">ettimana 0 e 20 mg alla </w:t>
            </w:r>
            <w:r w:rsidRPr="00295E71" w:rsidR="00F7639B">
              <w:rPr>
                <w:sz w:val="22"/>
                <w:szCs w:val="22"/>
              </w:rPr>
              <w:t>s</w:t>
            </w:r>
            <w:r w:rsidRPr="00295E71">
              <w:rPr>
                <w:sz w:val="22"/>
                <w:szCs w:val="22"/>
              </w:rPr>
              <w:t>ettimana 2</w:t>
            </w:r>
          </w:p>
          <w:p w:rsidR="00157870" w:rsidRPr="00295E71" w:rsidP="00157870" w14:paraId="089D74D3" w14:textId="77777777">
            <w:pPr>
              <w:keepNext/>
              <w:ind w:left="337"/>
              <w:rPr>
                <w:sz w:val="22"/>
                <w:szCs w:val="22"/>
              </w:rPr>
            </w:pPr>
          </w:p>
          <w:p w:rsidR="00157870" w:rsidRPr="00295E71" w:rsidP="00157870" w14:paraId="1B97753B" w14:textId="77777777">
            <w:pPr>
              <w:keepNext/>
              <w:ind w:left="150"/>
              <w:rPr>
                <w:sz w:val="22"/>
                <w:szCs w:val="22"/>
              </w:rPr>
            </w:pPr>
            <w:r w:rsidRPr="00295E71">
              <w:rPr>
                <w:sz w:val="22"/>
                <w:szCs w:val="22"/>
              </w:rPr>
              <w:t>Nel caso sia necessaria una risposta più rapida alla terapia con la consapevolezza che il rischio di eventi avversi possa aum</w:t>
            </w:r>
            <w:r w:rsidRPr="00295E71" w:rsidR="003A68D3">
              <w:rPr>
                <w:sz w:val="22"/>
                <w:szCs w:val="22"/>
              </w:rPr>
              <w:t>e</w:t>
            </w:r>
            <w:r w:rsidRPr="00295E71">
              <w:rPr>
                <w:sz w:val="22"/>
                <w:szCs w:val="22"/>
              </w:rPr>
              <w:t>ntare con l’utilizzo della dose di induzione più alta</w:t>
            </w:r>
            <w:r w:rsidRPr="00295E71">
              <w:rPr>
                <w:iCs/>
                <w:sz w:val="22"/>
                <w:szCs w:val="22"/>
              </w:rPr>
              <w:t>, può essere somministrata la seguente dose:</w:t>
            </w:r>
          </w:p>
          <w:p w:rsidR="00157870" w:rsidRPr="00295E71" w:rsidP="00157870" w14:paraId="1C792337" w14:textId="77777777">
            <w:pPr>
              <w:keepNext/>
              <w:numPr>
                <w:ilvl w:val="0"/>
                <w:numId w:val="128"/>
              </w:numPr>
              <w:ind w:left="307" w:hanging="180"/>
              <w:rPr>
                <w:sz w:val="22"/>
                <w:szCs w:val="22"/>
              </w:rPr>
            </w:pPr>
            <w:r w:rsidRPr="00295E71">
              <w:rPr>
                <w:sz w:val="22"/>
                <w:szCs w:val="22"/>
              </w:rPr>
              <w:t xml:space="preserve">80 mg alla </w:t>
            </w:r>
            <w:r w:rsidRPr="00295E71" w:rsidR="00F7639B">
              <w:rPr>
                <w:sz w:val="22"/>
                <w:szCs w:val="22"/>
              </w:rPr>
              <w:t>s</w:t>
            </w:r>
            <w:r w:rsidRPr="00295E71">
              <w:rPr>
                <w:sz w:val="22"/>
                <w:szCs w:val="22"/>
              </w:rPr>
              <w:t xml:space="preserve">ettimana 0 e 40 mg alla </w:t>
            </w:r>
            <w:r w:rsidRPr="00295E71" w:rsidR="00F7639B">
              <w:rPr>
                <w:sz w:val="22"/>
                <w:szCs w:val="22"/>
              </w:rPr>
              <w:t>s</w:t>
            </w:r>
            <w:r w:rsidRPr="00295E71">
              <w:rPr>
                <w:sz w:val="22"/>
                <w:szCs w:val="22"/>
              </w:rPr>
              <w:t>ettimana 2</w:t>
            </w:r>
          </w:p>
        </w:tc>
        <w:tc>
          <w:tcPr>
            <w:tcW w:w="0" w:type="auto"/>
            <w:tcBorders>
              <w:top w:val="single" w:sz="6" w:space="0" w:color="000000"/>
              <w:left w:val="single" w:sz="6" w:space="0" w:color="000000"/>
              <w:bottom w:val="single" w:sz="6" w:space="0" w:color="000000"/>
              <w:right w:val="single" w:sz="6" w:space="0" w:color="000000"/>
            </w:tcBorders>
            <w:hideMark/>
          </w:tcPr>
          <w:p w:rsidR="00157870" w:rsidRPr="00295E71" w:rsidP="00157870" w14:paraId="6E48B318" w14:textId="77777777">
            <w:pPr>
              <w:keepNext/>
              <w:ind w:left="27"/>
              <w:jc w:val="center"/>
              <w:rPr>
                <w:sz w:val="22"/>
                <w:szCs w:val="22"/>
              </w:rPr>
            </w:pPr>
            <w:r w:rsidRPr="00295E71">
              <w:rPr>
                <w:sz w:val="22"/>
                <w:szCs w:val="22"/>
              </w:rPr>
              <w:t>20 mg a settimane alterne</w:t>
            </w:r>
          </w:p>
        </w:tc>
      </w:tr>
      <w:tr w14:paraId="1F7A2835" w14:textId="77777777" w:rsidTr="00157870">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157870" w:rsidRPr="00295E71" w:rsidP="00157870" w14:paraId="3498EE36" w14:textId="77777777">
            <w:pPr>
              <w:keepNext/>
              <w:jc w:val="center"/>
              <w:rPr>
                <w:sz w:val="22"/>
                <w:szCs w:val="22"/>
              </w:rPr>
            </w:pPr>
            <w:r w:rsidRPr="00295E71">
              <w:rPr>
                <w:sz w:val="22"/>
                <w:szCs w:val="22"/>
              </w:rPr>
              <w:t>≥ 40 kg</w:t>
            </w:r>
          </w:p>
        </w:tc>
        <w:tc>
          <w:tcPr>
            <w:tcW w:w="0" w:type="auto"/>
            <w:tcBorders>
              <w:top w:val="single" w:sz="6" w:space="0" w:color="000000"/>
              <w:left w:val="single" w:sz="6" w:space="0" w:color="000000"/>
              <w:bottom w:val="single" w:sz="6" w:space="0" w:color="000000"/>
              <w:right w:val="single" w:sz="6" w:space="0" w:color="000000"/>
            </w:tcBorders>
            <w:hideMark/>
          </w:tcPr>
          <w:p w:rsidR="00157870" w:rsidRPr="00295E71" w:rsidP="00157870" w14:paraId="69F76AC0" w14:textId="77777777">
            <w:pPr>
              <w:keepNext/>
              <w:numPr>
                <w:ilvl w:val="0"/>
                <w:numId w:val="128"/>
              </w:numPr>
              <w:ind w:left="307" w:hanging="180"/>
              <w:rPr>
                <w:sz w:val="22"/>
                <w:szCs w:val="22"/>
              </w:rPr>
            </w:pPr>
            <w:r w:rsidRPr="00295E71">
              <w:rPr>
                <w:sz w:val="22"/>
                <w:szCs w:val="22"/>
              </w:rPr>
              <w:t xml:space="preserve">80 mg alla </w:t>
            </w:r>
            <w:r w:rsidRPr="00295E71" w:rsidR="00F7639B">
              <w:rPr>
                <w:sz w:val="22"/>
                <w:szCs w:val="22"/>
              </w:rPr>
              <w:t>s</w:t>
            </w:r>
            <w:r w:rsidRPr="00295E71">
              <w:rPr>
                <w:sz w:val="22"/>
                <w:szCs w:val="22"/>
              </w:rPr>
              <w:t xml:space="preserve">ettimana 0 e 40 mg alla </w:t>
            </w:r>
            <w:r w:rsidRPr="00295E71" w:rsidR="00F7639B">
              <w:rPr>
                <w:sz w:val="22"/>
                <w:szCs w:val="22"/>
              </w:rPr>
              <w:t>s</w:t>
            </w:r>
            <w:r w:rsidRPr="00295E71">
              <w:rPr>
                <w:sz w:val="22"/>
                <w:szCs w:val="22"/>
              </w:rPr>
              <w:t>ettimana 2</w:t>
            </w:r>
          </w:p>
          <w:p w:rsidR="00157870" w:rsidRPr="00295E71" w:rsidP="00157870" w14:paraId="53C73F7C" w14:textId="77777777">
            <w:pPr>
              <w:keepNext/>
              <w:rPr>
                <w:sz w:val="22"/>
                <w:szCs w:val="22"/>
              </w:rPr>
            </w:pPr>
          </w:p>
          <w:p w:rsidR="00157870" w:rsidRPr="00295E71" w:rsidP="00157870" w14:paraId="1DDB5BEE" w14:textId="77777777">
            <w:pPr>
              <w:keepNext/>
              <w:ind w:left="150"/>
              <w:rPr>
                <w:sz w:val="22"/>
                <w:szCs w:val="22"/>
              </w:rPr>
            </w:pPr>
            <w:r w:rsidRPr="00295E71">
              <w:rPr>
                <w:sz w:val="22"/>
                <w:szCs w:val="22"/>
              </w:rPr>
              <w:t>Nel caso sia necessaria una risposta più rapida alla terapia con la consapevolezza che il rischio di eventi avversi possa aum</w:t>
            </w:r>
            <w:r w:rsidRPr="00295E71" w:rsidR="003A68D3">
              <w:rPr>
                <w:sz w:val="22"/>
                <w:szCs w:val="22"/>
              </w:rPr>
              <w:t>e</w:t>
            </w:r>
            <w:r w:rsidRPr="00295E71">
              <w:rPr>
                <w:sz w:val="22"/>
                <w:szCs w:val="22"/>
              </w:rPr>
              <w:t>ntare con l’utilizzo della dose di induzione più alta</w:t>
            </w:r>
            <w:r w:rsidRPr="00295E71">
              <w:rPr>
                <w:iCs/>
                <w:sz w:val="22"/>
                <w:szCs w:val="22"/>
              </w:rPr>
              <w:t>, può essere somministrata la seguente dose:</w:t>
            </w:r>
          </w:p>
          <w:p w:rsidR="00157870" w:rsidRPr="00295E71" w:rsidP="00FB547E" w14:paraId="036271D0" w14:textId="77777777">
            <w:pPr>
              <w:keepNext/>
              <w:numPr>
                <w:ilvl w:val="0"/>
                <w:numId w:val="129"/>
              </w:numPr>
              <w:ind w:left="314" w:hanging="187"/>
              <w:rPr>
                <w:sz w:val="22"/>
                <w:szCs w:val="22"/>
              </w:rPr>
            </w:pPr>
            <w:r w:rsidRPr="00295E71">
              <w:rPr>
                <w:sz w:val="22"/>
                <w:szCs w:val="22"/>
              </w:rPr>
              <w:t xml:space="preserve">160 mg alla </w:t>
            </w:r>
            <w:r w:rsidRPr="00295E71" w:rsidR="00F7639B">
              <w:rPr>
                <w:sz w:val="22"/>
                <w:szCs w:val="22"/>
              </w:rPr>
              <w:t>s</w:t>
            </w:r>
            <w:r w:rsidRPr="00295E71">
              <w:rPr>
                <w:sz w:val="22"/>
                <w:szCs w:val="22"/>
              </w:rPr>
              <w:t xml:space="preserve">ettimana 0 e 80 mg alla </w:t>
            </w:r>
            <w:r w:rsidRPr="00295E71" w:rsidR="00F7639B">
              <w:rPr>
                <w:sz w:val="22"/>
                <w:szCs w:val="22"/>
              </w:rPr>
              <w:t>s</w:t>
            </w:r>
            <w:r w:rsidRPr="00295E71">
              <w:rPr>
                <w:sz w:val="22"/>
                <w:szCs w:val="22"/>
              </w:rPr>
              <w:t>ettimana 2</w:t>
            </w:r>
          </w:p>
        </w:tc>
        <w:tc>
          <w:tcPr>
            <w:tcW w:w="0" w:type="auto"/>
            <w:tcBorders>
              <w:top w:val="single" w:sz="6" w:space="0" w:color="000000"/>
              <w:left w:val="single" w:sz="6" w:space="0" w:color="000000"/>
              <w:bottom w:val="single" w:sz="6" w:space="0" w:color="000000"/>
              <w:right w:val="single" w:sz="6" w:space="0" w:color="000000"/>
            </w:tcBorders>
            <w:hideMark/>
          </w:tcPr>
          <w:p w:rsidR="00157870" w:rsidRPr="00295E71" w:rsidP="00157870" w14:paraId="72B4DC73" w14:textId="77777777">
            <w:pPr>
              <w:keepNext/>
              <w:ind w:left="36"/>
              <w:jc w:val="center"/>
              <w:rPr>
                <w:sz w:val="22"/>
                <w:szCs w:val="22"/>
              </w:rPr>
            </w:pPr>
            <w:r w:rsidRPr="00295E71">
              <w:rPr>
                <w:sz w:val="22"/>
                <w:szCs w:val="22"/>
              </w:rPr>
              <w:t>40 mg a settimane alterne</w:t>
            </w:r>
          </w:p>
        </w:tc>
      </w:tr>
    </w:tbl>
    <w:p w:rsidR="00157870" w:rsidRPr="00295E71" w:rsidP="00157870" w14:paraId="2C65399E" w14:textId="77777777">
      <w:pPr>
        <w:keepNext/>
        <w:rPr>
          <w:sz w:val="22"/>
          <w:szCs w:val="22"/>
        </w:rPr>
      </w:pPr>
    </w:p>
    <w:p w:rsidR="00157870" w:rsidRPr="00295E71" w:rsidP="00157870" w14:paraId="42603D5D" w14:textId="77777777">
      <w:pPr>
        <w:keepNext/>
        <w:rPr>
          <w:sz w:val="22"/>
          <w:szCs w:val="22"/>
        </w:rPr>
      </w:pPr>
      <w:r w:rsidRPr="00295E71">
        <w:rPr>
          <w:sz w:val="22"/>
          <w:szCs w:val="22"/>
        </w:rPr>
        <w:t>Pazienti che manifestano una risposta insufficiente possono beneficiare di un incremento del dos</w:t>
      </w:r>
      <w:r w:rsidRPr="00295E71" w:rsidR="0045594A">
        <w:rPr>
          <w:sz w:val="22"/>
          <w:szCs w:val="22"/>
        </w:rPr>
        <w:t>aggio</w:t>
      </w:r>
      <w:r w:rsidRPr="00295E71">
        <w:rPr>
          <w:sz w:val="22"/>
          <w:szCs w:val="22"/>
        </w:rPr>
        <w:t>:</w:t>
      </w:r>
    </w:p>
    <w:p w:rsidR="00157870" w:rsidRPr="00295E71" w:rsidP="00157870" w14:paraId="011EDFE5" w14:textId="77777777">
      <w:pPr>
        <w:keepNext/>
        <w:numPr>
          <w:ilvl w:val="0"/>
          <w:numId w:val="129"/>
        </w:numPr>
        <w:tabs>
          <w:tab w:val="left" w:pos="540"/>
        </w:tabs>
        <w:suppressAutoHyphens/>
        <w:ind w:left="540" w:hanging="540"/>
        <w:rPr>
          <w:sz w:val="22"/>
          <w:szCs w:val="22"/>
        </w:rPr>
      </w:pPr>
      <w:r w:rsidRPr="00295E71">
        <w:rPr>
          <w:sz w:val="22"/>
          <w:szCs w:val="22"/>
        </w:rPr>
        <w:t>&lt; 40 kg: 20 mg ogni settimana</w:t>
      </w:r>
    </w:p>
    <w:p w:rsidR="00157870" w:rsidRPr="00295E71" w:rsidP="00157870" w14:paraId="18801622" w14:textId="77777777">
      <w:pPr>
        <w:keepNext/>
        <w:numPr>
          <w:ilvl w:val="0"/>
          <w:numId w:val="129"/>
        </w:numPr>
        <w:tabs>
          <w:tab w:val="left" w:pos="540"/>
        </w:tabs>
        <w:suppressAutoHyphens/>
        <w:ind w:left="540" w:hanging="540"/>
        <w:rPr>
          <w:sz w:val="22"/>
          <w:szCs w:val="22"/>
        </w:rPr>
      </w:pPr>
      <w:r w:rsidRPr="00295E71">
        <w:rPr>
          <w:sz w:val="22"/>
          <w:szCs w:val="22"/>
        </w:rPr>
        <w:t>≥ 40 kg: 40 mg ogni settimana</w:t>
      </w:r>
      <w:r w:rsidRPr="00295E71" w:rsidR="009D52F1">
        <w:rPr>
          <w:sz w:val="22"/>
          <w:szCs w:val="22"/>
        </w:rPr>
        <w:t xml:space="preserve"> o 80 mg a settimane alterne</w:t>
      </w:r>
    </w:p>
    <w:p w:rsidR="00157870" w:rsidRPr="00295E71" w:rsidP="00157870" w14:paraId="04DDC3D7" w14:textId="77777777">
      <w:pPr>
        <w:tabs>
          <w:tab w:val="left" w:pos="567"/>
        </w:tabs>
        <w:jc w:val="both"/>
        <w:rPr>
          <w:sz w:val="22"/>
          <w:szCs w:val="22"/>
        </w:rPr>
      </w:pPr>
    </w:p>
    <w:p w:rsidR="00157870" w:rsidRPr="00295E71" w:rsidP="00157870" w14:paraId="4AAEB189" w14:textId="77777777">
      <w:pPr>
        <w:tabs>
          <w:tab w:val="left" w:pos="567"/>
        </w:tabs>
        <w:jc w:val="both"/>
        <w:rPr>
          <w:sz w:val="22"/>
          <w:szCs w:val="22"/>
        </w:rPr>
      </w:pPr>
      <w:r w:rsidRPr="00295E71">
        <w:rPr>
          <w:sz w:val="22"/>
          <w:szCs w:val="22"/>
        </w:rPr>
        <w:t>La</w:t>
      </w:r>
      <w:r w:rsidRPr="00295E71" w:rsidR="003A68D3">
        <w:rPr>
          <w:sz w:val="22"/>
          <w:szCs w:val="22"/>
        </w:rPr>
        <w:t xml:space="preserve"> continuazione della</w:t>
      </w:r>
      <w:r w:rsidRPr="00295E71">
        <w:rPr>
          <w:sz w:val="22"/>
          <w:szCs w:val="22"/>
        </w:rPr>
        <w:t xml:space="preserve"> terapiadeve essere attentamente considerata in un soggetto che non risponde alla settimana 12.</w:t>
      </w:r>
    </w:p>
    <w:p w:rsidR="00157870" w:rsidRPr="00295E71" w:rsidP="00157870" w14:paraId="2ADDAD39" w14:textId="77777777">
      <w:pPr>
        <w:tabs>
          <w:tab w:val="left" w:pos="567"/>
        </w:tabs>
        <w:jc w:val="both"/>
        <w:rPr>
          <w:sz w:val="22"/>
          <w:szCs w:val="22"/>
        </w:rPr>
      </w:pPr>
    </w:p>
    <w:p w:rsidR="00157870" w:rsidRPr="00295E71" w:rsidP="00157870" w14:paraId="154B3AC7" w14:textId="77777777">
      <w:pPr>
        <w:tabs>
          <w:tab w:val="left" w:pos="567"/>
          <w:tab w:val="right" w:pos="9070"/>
        </w:tabs>
        <w:jc w:val="both"/>
        <w:rPr>
          <w:sz w:val="22"/>
          <w:szCs w:val="22"/>
        </w:rPr>
      </w:pPr>
      <w:r w:rsidRPr="00295E71">
        <w:rPr>
          <w:sz w:val="22"/>
          <w:szCs w:val="22"/>
        </w:rPr>
        <w:t>Non c’è un uso rilevante di Humira nei bambini di età inferiore a 6 anni per questa indicazione.</w:t>
      </w:r>
    </w:p>
    <w:p w:rsidR="009D52F1" w:rsidRPr="00295E71" w:rsidP="00157870" w14:paraId="021A9A52" w14:textId="77777777">
      <w:pPr>
        <w:tabs>
          <w:tab w:val="left" w:pos="567"/>
          <w:tab w:val="right" w:pos="9070"/>
        </w:tabs>
        <w:jc w:val="both"/>
        <w:rPr>
          <w:sz w:val="22"/>
          <w:szCs w:val="22"/>
        </w:rPr>
      </w:pPr>
    </w:p>
    <w:p w:rsidR="009D52F1" w:rsidRPr="00295E71" w:rsidP="00157870" w14:paraId="519EEDD7" w14:textId="77777777">
      <w:pPr>
        <w:tabs>
          <w:tab w:val="left" w:pos="567"/>
          <w:tab w:val="right" w:pos="9070"/>
        </w:tabs>
        <w:jc w:val="both"/>
        <w:rPr>
          <w:sz w:val="22"/>
          <w:szCs w:val="22"/>
        </w:rPr>
      </w:pPr>
      <w:r w:rsidRPr="00295E71">
        <w:rPr>
          <w:sz w:val="22"/>
          <w:szCs w:val="22"/>
        </w:rPr>
        <w:t>Humira può essere disponibile in altre concentrazioni e/o presentazioni a seconda delle necessità individuali di trattamento.</w:t>
      </w:r>
    </w:p>
    <w:p w:rsidR="00157870" w:rsidRPr="00295E71" w:rsidP="00157870" w14:paraId="591737D5" w14:textId="77777777">
      <w:pPr>
        <w:tabs>
          <w:tab w:val="left" w:pos="567"/>
          <w:tab w:val="right" w:pos="9070"/>
        </w:tabs>
        <w:jc w:val="both"/>
        <w:rPr>
          <w:sz w:val="22"/>
          <w:szCs w:val="22"/>
        </w:rPr>
      </w:pPr>
    </w:p>
    <w:p w:rsidR="00157870" w:rsidRPr="00295E71" w:rsidP="00157870" w14:paraId="6AC5D858" w14:textId="77777777">
      <w:pPr>
        <w:tabs>
          <w:tab w:val="left" w:pos="567"/>
          <w:tab w:val="right" w:pos="9070"/>
        </w:tabs>
        <w:jc w:val="both"/>
        <w:rPr>
          <w:i/>
          <w:sz w:val="22"/>
          <w:szCs w:val="22"/>
        </w:rPr>
      </w:pPr>
      <w:r w:rsidRPr="00295E71">
        <w:rPr>
          <w:i/>
          <w:sz w:val="22"/>
          <w:szCs w:val="22"/>
        </w:rPr>
        <w:t>Uveite pediatrica</w:t>
      </w:r>
    </w:p>
    <w:p w:rsidR="00157870" w:rsidRPr="00295E71" w:rsidP="00157870" w14:paraId="43098C5F" w14:textId="77777777">
      <w:pPr>
        <w:tabs>
          <w:tab w:val="left" w:pos="567"/>
          <w:tab w:val="right" w:pos="9070"/>
        </w:tabs>
        <w:jc w:val="both"/>
        <w:rPr>
          <w:sz w:val="22"/>
          <w:szCs w:val="22"/>
        </w:rPr>
      </w:pPr>
    </w:p>
    <w:p w:rsidR="00157870" w:rsidRPr="00295E71" w:rsidP="00157870" w14:paraId="605B01A2" w14:textId="77777777">
      <w:pPr>
        <w:pStyle w:val="gtcbodytext"/>
        <w:spacing w:before="0" w:after="0" w:line="240" w:lineRule="auto"/>
        <w:jc w:val="both"/>
        <w:rPr>
          <w:sz w:val="22"/>
          <w:szCs w:val="22"/>
          <w:lang w:val="it-IT"/>
        </w:rPr>
      </w:pPr>
      <w:r w:rsidRPr="00295E71">
        <w:rPr>
          <w:sz w:val="22"/>
          <w:szCs w:val="22"/>
          <w:lang w:val="it-IT"/>
        </w:rPr>
        <w:t xml:space="preserve">La dose raccomandata di Humira nei pazienti pediatrici con uveite da 2 anni di età è basata sul peso corporeo (Tabella 5). Humira è somministrato attraverso iniezione sottocutanea. </w:t>
      </w:r>
    </w:p>
    <w:p w:rsidR="00157870" w:rsidRPr="00295E71" w:rsidP="00157870" w14:paraId="1E5A9DFD" w14:textId="77777777">
      <w:pPr>
        <w:keepNext/>
        <w:keepLines/>
        <w:tabs>
          <w:tab w:val="left" w:pos="567"/>
          <w:tab w:val="right" w:pos="9070"/>
        </w:tabs>
        <w:jc w:val="both"/>
        <w:rPr>
          <w:sz w:val="22"/>
          <w:szCs w:val="22"/>
        </w:rPr>
      </w:pPr>
    </w:p>
    <w:p w:rsidR="00157870" w:rsidRPr="00295E71" w:rsidP="00157870" w14:paraId="156BA93C" w14:textId="77777777">
      <w:pPr>
        <w:tabs>
          <w:tab w:val="left" w:pos="567"/>
          <w:tab w:val="right" w:pos="9070"/>
        </w:tabs>
        <w:jc w:val="both"/>
        <w:rPr>
          <w:sz w:val="22"/>
          <w:szCs w:val="22"/>
        </w:rPr>
      </w:pPr>
      <w:r w:rsidRPr="00295E71">
        <w:rPr>
          <w:sz w:val="22"/>
          <w:szCs w:val="22"/>
        </w:rPr>
        <w:t>Nell’uveite pediatrica, non c’è esperienza nel trattamento con Humira senza terapia concomitante con metotressato.</w:t>
      </w:r>
    </w:p>
    <w:p w:rsidR="00157870" w:rsidRPr="00295E71" w:rsidP="00157870" w14:paraId="5E4830B9" w14:textId="77777777">
      <w:pPr>
        <w:keepNext/>
        <w:keepLines/>
        <w:tabs>
          <w:tab w:val="left" w:pos="567"/>
          <w:tab w:val="right" w:pos="9070"/>
        </w:tabs>
        <w:jc w:val="both"/>
        <w:rPr>
          <w:sz w:val="22"/>
          <w:szCs w:val="22"/>
        </w:rPr>
      </w:pPr>
    </w:p>
    <w:p w:rsidR="00157870" w:rsidRPr="00295E71" w:rsidP="00157870" w14:paraId="1281FF74" w14:textId="77777777">
      <w:pPr>
        <w:jc w:val="center"/>
        <w:rPr>
          <w:b/>
          <w:sz w:val="22"/>
          <w:szCs w:val="22"/>
        </w:rPr>
      </w:pPr>
      <w:r w:rsidRPr="00295E71">
        <w:rPr>
          <w:b/>
          <w:sz w:val="22"/>
          <w:szCs w:val="22"/>
        </w:rPr>
        <w:t xml:space="preserve">Tabella 5. Dose di Humira per Pazienti Pediatrici con Uveite </w:t>
      </w:r>
    </w:p>
    <w:p w:rsidR="00157870" w:rsidRPr="00295E71" w:rsidP="00157870" w14:paraId="2031BB3E" w14:textId="77777777">
      <w:pPr>
        <w:jc w:val="center"/>
        <w:rPr>
          <w:b/>
          <w:sz w:val="22"/>
          <w:szCs w:val="22"/>
        </w:rPr>
      </w:pPr>
    </w:p>
    <w:tbl>
      <w:tblPr>
        <w:tblW w:w="6795" w:type="dxa"/>
        <w:jc w:val="center"/>
        <w:tblLayout w:type="fixed"/>
        <w:tblLook w:val="0000"/>
      </w:tblPr>
      <w:tblGrid>
        <w:gridCol w:w="3401"/>
        <w:gridCol w:w="3394"/>
      </w:tblGrid>
      <w:tr w14:paraId="550A3DC8"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157870" w14:paraId="2EE8F28C" w14:textId="77777777">
            <w:pPr>
              <w:pStyle w:val="TableLeft"/>
              <w:jc w:val="center"/>
              <w:rPr>
                <w:b/>
                <w:sz w:val="22"/>
                <w:szCs w:val="22"/>
                <w:lang w:val="it-IT"/>
              </w:rPr>
            </w:pPr>
            <w:r w:rsidRPr="00295E71">
              <w:rPr>
                <w:b/>
                <w:sz w:val="22"/>
                <w:szCs w:val="22"/>
                <w:lang w:val="it-IT"/>
              </w:rPr>
              <w:t>Peso del Paziente</w:t>
            </w:r>
          </w:p>
        </w:tc>
        <w:tc>
          <w:tcPr>
            <w:tcW w:w="3394" w:type="dxa"/>
            <w:tcBorders>
              <w:top w:val="single" w:sz="4" w:space="0" w:color="auto"/>
              <w:bottom w:val="single" w:sz="4" w:space="0" w:color="auto"/>
            </w:tcBorders>
          </w:tcPr>
          <w:p w:rsidR="00157870" w:rsidRPr="00295E71" w:rsidP="00157870" w14:paraId="39ADA11A" w14:textId="77777777">
            <w:pPr>
              <w:pStyle w:val="TableLeft"/>
              <w:jc w:val="center"/>
              <w:rPr>
                <w:b/>
                <w:sz w:val="22"/>
                <w:szCs w:val="22"/>
                <w:lang w:val="it-IT"/>
              </w:rPr>
            </w:pPr>
            <w:r w:rsidRPr="00295E71">
              <w:rPr>
                <w:b/>
                <w:sz w:val="22"/>
                <w:szCs w:val="22"/>
                <w:lang w:val="it-IT"/>
              </w:rPr>
              <w:t>Schema Posologico</w:t>
            </w:r>
          </w:p>
        </w:tc>
      </w:tr>
      <w:tr w14:paraId="5C9AB514"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157870" w14:paraId="04F10B9C" w14:textId="77777777">
            <w:pPr>
              <w:pStyle w:val="TableLeft"/>
              <w:jc w:val="center"/>
              <w:rPr>
                <w:b/>
                <w:sz w:val="22"/>
                <w:szCs w:val="22"/>
                <w:lang w:val="it-IT"/>
              </w:rPr>
            </w:pPr>
            <w:r w:rsidRPr="00295E71">
              <w:rPr>
                <w:sz w:val="22"/>
                <w:szCs w:val="22"/>
                <w:lang w:val="it-IT"/>
              </w:rPr>
              <w:t>&lt; 30 kg</w:t>
            </w:r>
          </w:p>
        </w:tc>
        <w:tc>
          <w:tcPr>
            <w:tcW w:w="3394" w:type="dxa"/>
            <w:tcBorders>
              <w:top w:val="single" w:sz="4" w:space="0" w:color="auto"/>
              <w:bottom w:val="single" w:sz="4" w:space="0" w:color="auto"/>
            </w:tcBorders>
          </w:tcPr>
          <w:p w:rsidR="00157870" w:rsidRPr="00295E71" w:rsidP="00157870" w14:paraId="2E570D01" w14:textId="77777777">
            <w:pPr>
              <w:pStyle w:val="TableLeft"/>
              <w:jc w:val="center"/>
              <w:rPr>
                <w:b/>
                <w:sz w:val="22"/>
                <w:szCs w:val="22"/>
                <w:lang w:val="it-IT"/>
              </w:rPr>
            </w:pPr>
            <w:r w:rsidRPr="00295E71">
              <w:rPr>
                <w:sz w:val="22"/>
                <w:szCs w:val="22"/>
                <w:lang w:val="it-IT"/>
              </w:rPr>
              <w:t>20 mg a settimane alterne in associazione con metotressato</w:t>
            </w:r>
          </w:p>
        </w:tc>
      </w:tr>
      <w:tr w14:paraId="665A3E76" w14:textId="77777777" w:rsidTr="00157870">
        <w:tblPrEx>
          <w:tblW w:w="6795" w:type="dxa"/>
          <w:tblLayout w:type="fixed"/>
          <w:tblLook w:val="0000"/>
        </w:tblPrEx>
        <w:trPr>
          <w:tblHeader/>
        </w:trPr>
        <w:tc>
          <w:tcPr>
            <w:tcW w:w="3401" w:type="dxa"/>
            <w:tcBorders>
              <w:top w:val="single" w:sz="4" w:space="0" w:color="auto"/>
              <w:bottom w:val="single" w:sz="4" w:space="0" w:color="auto"/>
            </w:tcBorders>
          </w:tcPr>
          <w:p w:rsidR="00157870" w:rsidRPr="00295E71" w:rsidP="00157870" w14:paraId="3621B8AD" w14:textId="77777777">
            <w:pPr>
              <w:pStyle w:val="TableLeft"/>
              <w:jc w:val="center"/>
              <w:rPr>
                <w:b/>
                <w:sz w:val="22"/>
                <w:szCs w:val="22"/>
                <w:lang w:val="it-IT"/>
              </w:rPr>
            </w:pPr>
            <w:r w:rsidRPr="00295E71">
              <w:rPr>
                <w:sz w:val="22"/>
                <w:szCs w:val="22"/>
                <w:lang w:val="it-IT"/>
              </w:rPr>
              <w:t>≥ 30 kg</w:t>
            </w:r>
          </w:p>
        </w:tc>
        <w:tc>
          <w:tcPr>
            <w:tcW w:w="3394" w:type="dxa"/>
            <w:tcBorders>
              <w:top w:val="single" w:sz="4" w:space="0" w:color="auto"/>
              <w:bottom w:val="single" w:sz="4" w:space="0" w:color="auto"/>
            </w:tcBorders>
          </w:tcPr>
          <w:p w:rsidR="00157870" w:rsidRPr="00295E71" w:rsidP="00157870" w14:paraId="46B69AB7" w14:textId="77777777">
            <w:pPr>
              <w:pStyle w:val="TableLeft"/>
              <w:jc w:val="center"/>
              <w:rPr>
                <w:b/>
                <w:sz w:val="22"/>
                <w:szCs w:val="22"/>
                <w:lang w:val="it-IT"/>
              </w:rPr>
            </w:pPr>
            <w:r w:rsidRPr="00295E71">
              <w:rPr>
                <w:sz w:val="22"/>
                <w:szCs w:val="22"/>
                <w:lang w:val="it-IT"/>
              </w:rPr>
              <w:t xml:space="preserve">40 mg </w:t>
            </w:r>
            <w:r w:rsidRPr="00295E71" w:rsidR="00676430">
              <w:rPr>
                <w:sz w:val="22"/>
                <w:szCs w:val="22"/>
                <w:lang w:val="it-IT"/>
              </w:rPr>
              <w:t xml:space="preserve">a </w:t>
            </w:r>
            <w:r w:rsidRPr="00295E71">
              <w:rPr>
                <w:sz w:val="22"/>
                <w:szCs w:val="22"/>
                <w:lang w:val="it-IT"/>
              </w:rPr>
              <w:t>settimane alterne in associazione con metotressato</w:t>
            </w:r>
          </w:p>
        </w:tc>
      </w:tr>
    </w:tbl>
    <w:p w:rsidR="00157870" w:rsidRPr="00295E71" w:rsidP="00157870" w14:paraId="2F1B28DC" w14:textId="77777777">
      <w:pPr>
        <w:keepNext/>
        <w:keepLines/>
        <w:tabs>
          <w:tab w:val="left" w:pos="567"/>
          <w:tab w:val="right" w:pos="9070"/>
        </w:tabs>
        <w:jc w:val="both"/>
        <w:rPr>
          <w:sz w:val="22"/>
          <w:szCs w:val="22"/>
        </w:rPr>
      </w:pPr>
    </w:p>
    <w:p w:rsidR="00157870" w:rsidRPr="00295E71" w:rsidP="00157870" w14:paraId="3FFB3A4B" w14:textId="77777777">
      <w:pPr>
        <w:keepNext/>
        <w:keepLines/>
        <w:tabs>
          <w:tab w:val="left" w:pos="567"/>
          <w:tab w:val="right" w:pos="9070"/>
        </w:tabs>
        <w:jc w:val="both"/>
        <w:rPr>
          <w:sz w:val="22"/>
          <w:szCs w:val="22"/>
        </w:rPr>
      </w:pPr>
      <w:r w:rsidRPr="00295E71">
        <w:rPr>
          <w:sz w:val="22"/>
          <w:szCs w:val="22"/>
        </w:rPr>
        <w:t>Quando si inizia la terapia con Humira, è possibile somministrare una dose di carico da 40 mg per i pazienti con peso &lt; 30 kg o 80 mg per i pazienti con peso ≥ 30 kg una settimana prima dell’inizio della terapia di mantenimento. Non sono disponibili dati clinici sull’uso della dose di carico di Humira nei bambini di età &lt; 6 anni (vedere paragrafo 5.2).</w:t>
      </w:r>
    </w:p>
    <w:p w:rsidR="00157870" w:rsidRPr="00295E71" w:rsidP="00157870" w14:paraId="23F815D5" w14:textId="77777777">
      <w:pPr>
        <w:pStyle w:val="gtcbodytext"/>
        <w:spacing w:before="0" w:after="0" w:line="240" w:lineRule="auto"/>
        <w:jc w:val="both"/>
        <w:rPr>
          <w:sz w:val="22"/>
          <w:szCs w:val="22"/>
          <w:lang w:val="it-IT"/>
        </w:rPr>
      </w:pPr>
    </w:p>
    <w:p w:rsidR="00157870" w:rsidRPr="00295E71" w:rsidP="00157870" w14:paraId="7F6A43E6" w14:textId="77777777">
      <w:pPr>
        <w:pStyle w:val="gtcbodytext"/>
        <w:spacing w:before="0" w:after="0" w:line="240" w:lineRule="auto"/>
        <w:jc w:val="both"/>
        <w:rPr>
          <w:sz w:val="22"/>
          <w:szCs w:val="22"/>
          <w:lang w:val="it-IT"/>
        </w:rPr>
      </w:pPr>
      <w:r w:rsidRPr="00295E71">
        <w:rPr>
          <w:sz w:val="22"/>
          <w:szCs w:val="22"/>
          <w:lang w:val="it-IT"/>
        </w:rPr>
        <w:t>Non c’è un uso rilevante di Humira nei bambini di età inferiore a 2 anni per questa indicazione.</w:t>
      </w:r>
    </w:p>
    <w:p w:rsidR="00157870" w:rsidRPr="00295E71" w:rsidP="00157870" w14:paraId="2ABBBF40" w14:textId="77777777">
      <w:pPr>
        <w:pStyle w:val="gtcbodytext"/>
        <w:spacing w:before="0" w:after="0" w:line="240" w:lineRule="auto"/>
        <w:jc w:val="both"/>
        <w:rPr>
          <w:sz w:val="22"/>
          <w:szCs w:val="22"/>
          <w:lang w:val="it-IT"/>
        </w:rPr>
      </w:pPr>
    </w:p>
    <w:p w:rsidR="00157870" w:rsidRPr="00295E71" w:rsidP="00157870" w14:paraId="7FA4B4EA" w14:textId="77777777">
      <w:pPr>
        <w:tabs>
          <w:tab w:val="left" w:pos="567"/>
          <w:tab w:val="right" w:pos="9070"/>
        </w:tabs>
        <w:jc w:val="both"/>
        <w:rPr>
          <w:sz w:val="22"/>
          <w:szCs w:val="22"/>
        </w:rPr>
      </w:pPr>
      <w:r w:rsidRPr="00295E71">
        <w:rPr>
          <w:sz w:val="22"/>
          <w:szCs w:val="22"/>
        </w:rPr>
        <w:t>Si raccomanda che i benefici e i rischi del trattamento continuato a lungo termine siano valutati su base annua (vedere paragrafo 5.1).</w:t>
      </w:r>
    </w:p>
    <w:p w:rsidR="009D52F1" w:rsidRPr="00295E71" w:rsidP="00157870" w14:paraId="6CBD7DD3" w14:textId="77777777">
      <w:pPr>
        <w:tabs>
          <w:tab w:val="left" w:pos="567"/>
          <w:tab w:val="right" w:pos="9070"/>
        </w:tabs>
        <w:jc w:val="both"/>
        <w:rPr>
          <w:sz w:val="22"/>
          <w:szCs w:val="22"/>
        </w:rPr>
      </w:pPr>
    </w:p>
    <w:p w:rsidR="009D52F1" w:rsidRPr="00295E71" w:rsidP="00157870" w14:paraId="3C90FB91" w14:textId="77777777">
      <w:pPr>
        <w:tabs>
          <w:tab w:val="left" w:pos="567"/>
          <w:tab w:val="right" w:pos="9070"/>
        </w:tabs>
        <w:jc w:val="both"/>
        <w:rPr>
          <w:sz w:val="22"/>
          <w:szCs w:val="22"/>
        </w:rPr>
      </w:pPr>
      <w:r w:rsidRPr="00295E71">
        <w:rPr>
          <w:sz w:val="22"/>
          <w:szCs w:val="22"/>
        </w:rPr>
        <w:t>Humira può essere disponibile in altre concentrazioni e/o presentazioni a seconda delle necessità individuali di trattamento.</w:t>
      </w:r>
    </w:p>
    <w:p w:rsidR="00157870" w:rsidRPr="00295E71" w:rsidP="00157870" w14:paraId="210FC384" w14:textId="77777777">
      <w:pPr>
        <w:tabs>
          <w:tab w:val="left" w:pos="567"/>
        </w:tabs>
        <w:jc w:val="both"/>
        <w:rPr>
          <w:sz w:val="22"/>
          <w:szCs w:val="22"/>
        </w:rPr>
      </w:pPr>
    </w:p>
    <w:p w:rsidR="00157870" w:rsidRPr="00295E71" w:rsidP="00157870" w14:paraId="74CC709F" w14:textId="77777777">
      <w:pPr>
        <w:pStyle w:val="Heading3"/>
        <w:keepNext w:val="0"/>
        <w:tabs>
          <w:tab w:val="left" w:pos="567"/>
        </w:tabs>
      </w:pPr>
      <w:r w:rsidRPr="00295E71">
        <w:t>Insufficienza renale e/o epatica</w:t>
      </w:r>
    </w:p>
    <w:p w:rsidR="00157870" w:rsidRPr="00295E71" w:rsidP="00157870" w14:paraId="62098383" w14:textId="77777777">
      <w:pPr>
        <w:jc w:val="both"/>
        <w:rPr>
          <w:sz w:val="22"/>
          <w:szCs w:val="22"/>
        </w:rPr>
      </w:pPr>
    </w:p>
    <w:p w:rsidR="00157870" w:rsidRPr="00295E71" w:rsidP="00157870" w14:paraId="22072D41" w14:textId="77777777">
      <w:pPr>
        <w:tabs>
          <w:tab w:val="left" w:pos="567"/>
        </w:tabs>
        <w:jc w:val="both"/>
        <w:rPr>
          <w:sz w:val="22"/>
          <w:szCs w:val="22"/>
        </w:rPr>
      </w:pPr>
      <w:r w:rsidRPr="00295E71">
        <w:rPr>
          <w:sz w:val="22"/>
          <w:szCs w:val="22"/>
        </w:rPr>
        <w:t>Humira non è stato studiato in queste popolazioni di pazienti. Non possono essere fornite raccomandazioni posologiche.</w:t>
      </w:r>
    </w:p>
    <w:p w:rsidR="00157870" w:rsidRPr="00295E71" w:rsidP="00157870" w14:paraId="085FE956" w14:textId="77777777">
      <w:pPr>
        <w:tabs>
          <w:tab w:val="left" w:pos="567"/>
        </w:tabs>
        <w:jc w:val="both"/>
        <w:rPr>
          <w:sz w:val="22"/>
          <w:szCs w:val="22"/>
        </w:rPr>
      </w:pPr>
    </w:p>
    <w:p w:rsidR="00157870" w:rsidRPr="00295E71" w:rsidP="00157870" w14:paraId="62875019" w14:textId="77777777">
      <w:pPr>
        <w:tabs>
          <w:tab w:val="left" w:pos="567"/>
        </w:tabs>
        <w:jc w:val="both"/>
        <w:rPr>
          <w:sz w:val="22"/>
          <w:szCs w:val="22"/>
          <w:u w:val="single"/>
        </w:rPr>
      </w:pPr>
      <w:r w:rsidRPr="00295E71">
        <w:rPr>
          <w:sz w:val="22"/>
          <w:szCs w:val="22"/>
          <w:u w:val="single"/>
        </w:rPr>
        <w:t>Modo di somministrazione</w:t>
      </w:r>
    </w:p>
    <w:p w:rsidR="00157870" w:rsidRPr="00295E71" w:rsidP="00157870" w14:paraId="7C18B056" w14:textId="77777777">
      <w:pPr>
        <w:tabs>
          <w:tab w:val="left" w:pos="567"/>
        </w:tabs>
        <w:jc w:val="both"/>
        <w:rPr>
          <w:sz w:val="22"/>
          <w:szCs w:val="22"/>
        </w:rPr>
      </w:pPr>
    </w:p>
    <w:p w:rsidR="00157870" w:rsidRPr="00295E71" w:rsidP="00157870" w14:paraId="5A31CA9A" w14:textId="77777777">
      <w:pPr>
        <w:tabs>
          <w:tab w:val="left" w:pos="567"/>
        </w:tabs>
        <w:jc w:val="both"/>
        <w:rPr>
          <w:sz w:val="22"/>
          <w:szCs w:val="22"/>
        </w:rPr>
      </w:pPr>
      <w:r w:rsidRPr="00295E71">
        <w:rPr>
          <w:sz w:val="22"/>
          <w:szCs w:val="22"/>
        </w:rPr>
        <w:t>Humira è somministrato per iniezione sottocutanea. Istruzioni complete per l’uso sono fornite nel foglio illustrativo.</w:t>
      </w:r>
    </w:p>
    <w:p w:rsidR="00157870" w:rsidRPr="00295E71" w:rsidP="00157870" w14:paraId="43365D6C" w14:textId="77777777">
      <w:pPr>
        <w:rPr>
          <w:sz w:val="22"/>
          <w:szCs w:val="22"/>
        </w:rPr>
      </w:pPr>
    </w:p>
    <w:p w:rsidR="00157870" w:rsidRPr="00295E71" w:rsidP="00157870" w14:paraId="17AACC28" w14:textId="77777777">
      <w:pPr>
        <w:rPr>
          <w:sz w:val="22"/>
          <w:szCs w:val="22"/>
        </w:rPr>
      </w:pPr>
      <w:r w:rsidRPr="00295E71">
        <w:rPr>
          <w:sz w:val="22"/>
          <w:szCs w:val="22"/>
        </w:rPr>
        <w:t>Humira è disponibile in altre concentrazioni e presentazioni.</w:t>
      </w:r>
    </w:p>
    <w:p w:rsidR="00157870" w:rsidRPr="00295E71" w:rsidP="00157870" w14:paraId="0E66DECB" w14:textId="77777777">
      <w:pPr>
        <w:tabs>
          <w:tab w:val="left" w:pos="567"/>
        </w:tabs>
        <w:jc w:val="both"/>
        <w:rPr>
          <w:sz w:val="22"/>
          <w:szCs w:val="22"/>
        </w:rPr>
      </w:pPr>
    </w:p>
    <w:p w:rsidR="00157870" w:rsidRPr="00295E71" w:rsidP="00157870" w14:paraId="1B7DD76F" w14:textId="77777777">
      <w:pPr>
        <w:keepNext/>
        <w:keepLines/>
        <w:tabs>
          <w:tab w:val="left" w:pos="567"/>
          <w:tab w:val="left" w:pos="2708"/>
        </w:tabs>
        <w:ind w:left="567" w:hanging="567"/>
        <w:jc w:val="both"/>
        <w:rPr>
          <w:b/>
          <w:bCs/>
          <w:sz w:val="22"/>
          <w:szCs w:val="22"/>
        </w:rPr>
      </w:pPr>
      <w:r w:rsidRPr="00295E71">
        <w:rPr>
          <w:b/>
          <w:bCs/>
          <w:sz w:val="22"/>
          <w:szCs w:val="22"/>
        </w:rPr>
        <w:t>4.3</w:t>
      </w:r>
      <w:r w:rsidRPr="00295E71">
        <w:rPr>
          <w:b/>
          <w:bCs/>
          <w:sz w:val="22"/>
          <w:szCs w:val="22"/>
        </w:rPr>
        <w:tab/>
        <w:t>Controindicazioni</w:t>
      </w:r>
      <w:r w:rsidRPr="00295E71">
        <w:rPr>
          <w:b/>
          <w:bCs/>
          <w:sz w:val="22"/>
          <w:szCs w:val="22"/>
        </w:rPr>
        <w:tab/>
      </w:r>
    </w:p>
    <w:p w:rsidR="00157870" w:rsidRPr="00295E71" w:rsidP="00157870" w14:paraId="45BE6DF4" w14:textId="77777777">
      <w:pPr>
        <w:pStyle w:val="EndnoteText"/>
        <w:keepNext/>
        <w:keepLines/>
        <w:jc w:val="both"/>
        <w:rPr>
          <w:lang w:val="it-IT"/>
        </w:rPr>
      </w:pPr>
    </w:p>
    <w:p w:rsidR="00157870" w:rsidRPr="00295E71" w:rsidP="00157870" w14:paraId="358CFF0F" w14:textId="77777777">
      <w:pPr>
        <w:keepNext/>
        <w:keepLines/>
        <w:tabs>
          <w:tab w:val="left" w:pos="567"/>
        </w:tabs>
        <w:jc w:val="both"/>
        <w:rPr>
          <w:sz w:val="22"/>
          <w:szCs w:val="22"/>
        </w:rPr>
      </w:pPr>
      <w:r w:rsidRPr="00295E71">
        <w:rPr>
          <w:sz w:val="22"/>
          <w:szCs w:val="22"/>
        </w:rPr>
        <w:t>Ipersensibilità al principio attivo o ad uno qualsiasi degli eccipienti elencati al paragrafo 6.1.</w:t>
      </w:r>
    </w:p>
    <w:p w:rsidR="00157870" w:rsidRPr="00295E71" w:rsidP="00157870" w14:paraId="7D21BEFB" w14:textId="77777777">
      <w:pPr>
        <w:keepNext/>
        <w:keepLines/>
        <w:tabs>
          <w:tab w:val="left" w:pos="567"/>
        </w:tabs>
        <w:jc w:val="both"/>
        <w:rPr>
          <w:sz w:val="22"/>
          <w:szCs w:val="22"/>
        </w:rPr>
      </w:pPr>
    </w:p>
    <w:p w:rsidR="00157870" w:rsidRPr="00295E71" w:rsidP="00157870" w14:paraId="12A8AFE7" w14:textId="77777777">
      <w:pPr>
        <w:tabs>
          <w:tab w:val="left" w:pos="567"/>
        </w:tabs>
        <w:jc w:val="both"/>
        <w:rPr>
          <w:sz w:val="22"/>
          <w:szCs w:val="22"/>
        </w:rPr>
      </w:pPr>
      <w:r w:rsidRPr="00295E71">
        <w:rPr>
          <w:sz w:val="22"/>
          <w:szCs w:val="22"/>
        </w:rPr>
        <w:t>Tubercolosi attiva o altre gravi infezioni come sepsi e infezioni opportunistiche (vedere paragrafo 4.4).</w:t>
      </w:r>
    </w:p>
    <w:p w:rsidR="00157870" w:rsidRPr="00295E71" w:rsidP="00157870" w14:paraId="6C70E930" w14:textId="77777777">
      <w:pPr>
        <w:tabs>
          <w:tab w:val="left" w:pos="567"/>
        </w:tabs>
        <w:jc w:val="both"/>
        <w:rPr>
          <w:sz w:val="22"/>
          <w:szCs w:val="22"/>
        </w:rPr>
      </w:pPr>
    </w:p>
    <w:p w:rsidR="00157870" w:rsidRPr="00295E71" w:rsidP="00157870" w14:paraId="42AEC016" w14:textId="77777777">
      <w:pPr>
        <w:tabs>
          <w:tab w:val="left" w:pos="567"/>
        </w:tabs>
        <w:jc w:val="both"/>
        <w:rPr>
          <w:sz w:val="22"/>
          <w:szCs w:val="22"/>
        </w:rPr>
      </w:pPr>
      <w:r w:rsidRPr="00295E71">
        <w:rPr>
          <w:sz w:val="22"/>
          <w:szCs w:val="22"/>
        </w:rPr>
        <w:t>Insufficienza cardiaca da moderata a grave (classe III/IV NYHA) (vedere paragrafo 4.4).</w:t>
      </w:r>
    </w:p>
    <w:p w:rsidR="00157870" w:rsidRPr="00295E71" w:rsidP="00157870" w14:paraId="450BEA54" w14:textId="77777777">
      <w:pPr>
        <w:tabs>
          <w:tab w:val="left" w:pos="567"/>
          <w:tab w:val="left" w:pos="720"/>
        </w:tabs>
        <w:jc w:val="both"/>
        <w:rPr>
          <w:sz w:val="22"/>
          <w:szCs w:val="22"/>
        </w:rPr>
      </w:pPr>
    </w:p>
    <w:p w:rsidR="00157870" w:rsidRPr="00295E71" w:rsidP="00157870" w14:paraId="7529664A" w14:textId="77777777">
      <w:pPr>
        <w:rPr>
          <w:b/>
          <w:bCs/>
          <w:sz w:val="22"/>
          <w:szCs w:val="22"/>
        </w:rPr>
      </w:pPr>
      <w:r w:rsidRPr="00295E71">
        <w:rPr>
          <w:b/>
          <w:bCs/>
          <w:sz w:val="22"/>
          <w:szCs w:val="22"/>
        </w:rPr>
        <w:t>4.4</w:t>
      </w:r>
      <w:r w:rsidRPr="00295E71">
        <w:rPr>
          <w:b/>
          <w:bCs/>
          <w:sz w:val="22"/>
          <w:szCs w:val="22"/>
        </w:rPr>
        <w:tab/>
        <w:t>Avvertenze speciali e precauzioni d’impiego</w:t>
      </w:r>
    </w:p>
    <w:p w:rsidR="00157870" w:rsidRPr="00295E71" w:rsidP="00157870" w14:paraId="5046138D" w14:textId="77777777">
      <w:pPr>
        <w:pStyle w:val="EndnoteText"/>
        <w:jc w:val="both"/>
        <w:rPr>
          <w:lang w:val="it-IT" w:eastAsia="it-IT"/>
        </w:rPr>
      </w:pPr>
    </w:p>
    <w:p w:rsidR="00157870" w:rsidRPr="00295E71" w:rsidP="00157870" w14:paraId="2B68ED01" w14:textId="77777777">
      <w:pPr>
        <w:pStyle w:val="Heading4"/>
        <w:keepNext w:val="0"/>
        <w:autoSpaceDE w:val="0"/>
        <w:autoSpaceDN w:val="0"/>
        <w:adjustRightInd w:val="0"/>
        <w:rPr>
          <w:b w:val="0"/>
          <w:bCs w:val="0"/>
          <w:noProof w:val="0"/>
          <w:u w:val="single"/>
          <w:lang w:val="it-IT"/>
        </w:rPr>
      </w:pPr>
      <w:r w:rsidRPr="00295E71">
        <w:rPr>
          <w:b w:val="0"/>
          <w:bCs w:val="0"/>
          <w:noProof w:val="0"/>
          <w:u w:val="single"/>
          <w:lang w:val="it-IT"/>
        </w:rPr>
        <w:t>Tracciabilità</w:t>
      </w:r>
    </w:p>
    <w:p w:rsidR="00157870" w:rsidRPr="00295E71" w:rsidP="00157870" w14:paraId="7358FE9A" w14:textId="77777777">
      <w:pPr>
        <w:pStyle w:val="Heading4"/>
        <w:keepNext w:val="0"/>
        <w:autoSpaceDE w:val="0"/>
        <w:autoSpaceDN w:val="0"/>
        <w:adjustRightInd w:val="0"/>
        <w:rPr>
          <w:b w:val="0"/>
          <w:bCs w:val="0"/>
          <w:noProof w:val="0"/>
          <w:lang w:val="it-IT"/>
        </w:rPr>
      </w:pPr>
    </w:p>
    <w:p w:rsidR="00157870" w:rsidRPr="00295E71" w:rsidP="00157870" w14:paraId="382C3F79" w14:textId="77777777">
      <w:pPr>
        <w:pStyle w:val="Heading4"/>
        <w:keepNext w:val="0"/>
        <w:autoSpaceDE w:val="0"/>
        <w:autoSpaceDN w:val="0"/>
        <w:adjustRightInd w:val="0"/>
        <w:rPr>
          <w:b w:val="0"/>
          <w:bCs w:val="0"/>
          <w:noProof w:val="0"/>
          <w:lang w:val="it-IT"/>
        </w:rPr>
      </w:pPr>
      <w:r w:rsidRPr="00295E71">
        <w:rPr>
          <w:b w:val="0"/>
          <w:bCs w:val="0"/>
          <w:noProof w:val="0"/>
          <w:lang w:val="it-IT"/>
        </w:rPr>
        <w:t xml:space="preserve">Al fine di migliorare la tracciabilità dei medicinali biologici, il nome ed il numero di lotto del prodotto somministrato devono essere chiaramente registrati. </w:t>
      </w:r>
    </w:p>
    <w:p w:rsidR="00157870" w:rsidRPr="00295E71" w:rsidP="00157870" w14:paraId="148BE398" w14:textId="77777777">
      <w:pPr>
        <w:pStyle w:val="Heading4"/>
        <w:keepNext w:val="0"/>
        <w:autoSpaceDE w:val="0"/>
        <w:autoSpaceDN w:val="0"/>
        <w:adjustRightInd w:val="0"/>
        <w:spacing w:line="240" w:lineRule="auto"/>
        <w:rPr>
          <w:b w:val="0"/>
          <w:bCs w:val="0"/>
          <w:noProof w:val="0"/>
          <w:u w:val="single"/>
          <w:lang w:val="it-IT"/>
        </w:rPr>
      </w:pPr>
    </w:p>
    <w:p w:rsidR="00157870" w:rsidRPr="00295E71" w:rsidP="00157870" w14:paraId="55A70181" w14:textId="77777777">
      <w:pPr>
        <w:pStyle w:val="Heading4"/>
        <w:keepNext w:val="0"/>
        <w:autoSpaceDE w:val="0"/>
        <w:autoSpaceDN w:val="0"/>
        <w:adjustRightInd w:val="0"/>
        <w:spacing w:line="240" w:lineRule="auto"/>
        <w:rPr>
          <w:b w:val="0"/>
          <w:bCs w:val="0"/>
          <w:noProof w:val="0"/>
          <w:u w:val="single"/>
          <w:lang w:val="it-IT"/>
        </w:rPr>
      </w:pPr>
      <w:r w:rsidRPr="00295E71">
        <w:rPr>
          <w:b w:val="0"/>
          <w:bCs w:val="0"/>
          <w:noProof w:val="0"/>
          <w:u w:val="single"/>
          <w:lang w:val="it-IT"/>
        </w:rPr>
        <w:t>Infezioni</w:t>
      </w:r>
    </w:p>
    <w:p w:rsidR="00157870" w:rsidRPr="00295E71" w:rsidP="00157870" w14:paraId="02F1900D" w14:textId="77777777">
      <w:pPr>
        <w:tabs>
          <w:tab w:val="left" w:pos="567"/>
        </w:tabs>
        <w:jc w:val="both"/>
        <w:rPr>
          <w:sz w:val="22"/>
          <w:szCs w:val="22"/>
        </w:rPr>
      </w:pPr>
    </w:p>
    <w:p w:rsidR="00157870" w:rsidRPr="00295E71" w:rsidP="00157870" w14:paraId="08300291" w14:textId="77777777">
      <w:pPr>
        <w:tabs>
          <w:tab w:val="left" w:pos="567"/>
        </w:tabs>
        <w:autoSpaceDE w:val="0"/>
        <w:autoSpaceDN w:val="0"/>
        <w:adjustRightInd w:val="0"/>
        <w:jc w:val="both"/>
        <w:rPr>
          <w:color w:val="000000"/>
          <w:sz w:val="22"/>
          <w:szCs w:val="22"/>
        </w:rPr>
      </w:pPr>
      <w:r w:rsidRPr="00295E71">
        <w:rPr>
          <w:color w:val="000000"/>
          <w:sz w:val="22"/>
          <w:szCs w:val="22"/>
        </w:rPr>
        <w:t>I pazienti in trattamento con antagonisti del TNF sono più suscettibili alle infezioni gravi. Una funzione polmonare compromessa può aumentare il rischio di sviluppare infezioni.</w:t>
      </w:r>
      <w:r w:rsidRPr="00295E71" w:rsidR="00E249A1">
        <w:rPr>
          <w:color w:val="000000"/>
          <w:sz w:val="22"/>
          <w:szCs w:val="22"/>
        </w:rPr>
        <w:t xml:space="preserve"> </w:t>
      </w:r>
      <w:r w:rsidRPr="00295E71">
        <w:rPr>
          <w:color w:val="000000"/>
          <w:sz w:val="22"/>
          <w:szCs w:val="22"/>
        </w:rPr>
        <w:t>I pazienti devono pertanto essere attentamente esaminati per la valutazione di infezioni, compresa la tubercolosi, prima, durante e dopo il trattamento con Humira. Poichè l’eliminazione di adalimumab può richiedere fino a quattro mesi, il controllo deve essere continuato durante tale periodo.</w:t>
      </w:r>
    </w:p>
    <w:p w:rsidR="00157870" w:rsidRPr="00295E71" w:rsidP="00157870" w14:paraId="34DF1EDD" w14:textId="77777777">
      <w:pPr>
        <w:tabs>
          <w:tab w:val="left" w:pos="567"/>
        </w:tabs>
        <w:autoSpaceDE w:val="0"/>
        <w:autoSpaceDN w:val="0"/>
        <w:adjustRightInd w:val="0"/>
        <w:jc w:val="both"/>
        <w:rPr>
          <w:color w:val="000000"/>
          <w:sz w:val="22"/>
          <w:szCs w:val="22"/>
        </w:rPr>
      </w:pPr>
    </w:p>
    <w:p w:rsidR="00157870" w:rsidRPr="00295E71" w:rsidP="00157870" w14:paraId="6EAFD8DE" w14:textId="77777777">
      <w:pPr>
        <w:tabs>
          <w:tab w:val="left" w:pos="567"/>
        </w:tabs>
        <w:autoSpaceDE w:val="0"/>
        <w:autoSpaceDN w:val="0"/>
        <w:adjustRightInd w:val="0"/>
        <w:jc w:val="both"/>
        <w:rPr>
          <w:color w:val="000000"/>
          <w:sz w:val="22"/>
          <w:szCs w:val="22"/>
        </w:rPr>
      </w:pPr>
      <w:r w:rsidRPr="00295E71">
        <w:rPr>
          <w:color w:val="000000"/>
          <w:sz w:val="22"/>
          <w:szCs w:val="22"/>
        </w:rPr>
        <w:t xml:space="preserve">La terapia con Humira non va iniziata in pazienti con infezioni attive, incluse le infezioni croniche o localizzate, fino a che queste non siano sotto controllo. In pazienti che sono stati esposti alla tubercolosi ed in pazienti che hanno viaggiato in aree ad alto rischio di tubercolosi o di micosi endemiche, quali istoplasmosi, coccidioidomicosi o blastomicosi, il rischio ed i benefici del trattamento con Humira devono essere considerati prima di iniziare la terapia (vedere </w:t>
      </w:r>
      <w:r w:rsidRPr="00295E71">
        <w:rPr>
          <w:i/>
          <w:color w:val="000000"/>
          <w:sz w:val="22"/>
          <w:szCs w:val="22"/>
        </w:rPr>
        <w:t xml:space="preserve">Altre </w:t>
      </w:r>
      <w:r w:rsidRPr="00295E71">
        <w:rPr>
          <w:i/>
          <w:iCs/>
          <w:color w:val="000000"/>
          <w:sz w:val="22"/>
          <w:szCs w:val="22"/>
        </w:rPr>
        <w:t>infezioni opportunistiche</w:t>
      </w:r>
      <w:r w:rsidRPr="00295E71">
        <w:rPr>
          <w:color w:val="000000"/>
          <w:sz w:val="22"/>
          <w:szCs w:val="22"/>
        </w:rPr>
        <w:t>).</w:t>
      </w:r>
    </w:p>
    <w:p w:rsidR="00157870" w:rsidRPr="00295E71" w:rsidP="00157870" w14:paraId="6B1FB05F" w14:textId="77777777">
      <w:pPr>
        <w:tabs>
          <w:tab w:val="left" w:pos="567"/>
        </w:tabs>
        <w:autoSpaceDE w:val="0"/>
        <w:autoSpaceDN w:val="0"/>
        <w:adjustRightInd w:val="0"/>
        <w:jc w:val="both"/>
        <w:rPr>
          <w:color w:val="000000"/>
          <w:sz w:val="22"/>
          <w:szCs w:val="22"/>
        </w:rPr>
      </w:pPr>
    </w:p>
    <w:p w:rsidR="00157870" w:rsidRPr="00295E71" w:rsidP="00157870" w14:paraId="39BE2E83" w14:textId="77777777">
      <w:pPr>
        <w:tabs>
          <w:tab w:val="left" w:pos="567"/>
        </w:tabs>
        <w:autoSpaceDE w:val="0"/>
        <w:autoSpaceDN w:val="0"/>
        <w:adjustRightInd w:val="0"/>
        <w:jc w:val="both"/>
        <w:rPr>
          <w:color w:val="000000"/>
          <w:sz w:val="22"/>
          <w:szCs w:val="22"/>
        </w:rPr>
      </w:pPr>
      <w:r w:rsidRPr="00295E71">
        <w:rPr>
          <w:color w:val="000000"/>
          <w:sz w:val="22"/>
          <w:szCs w:val="22"/>
        </w:rPr>
        <w:t xml:space="preserve">I pazienti che sviluppano una nuova infezione durante la terapia con Humira devono essere attentamente seguiti ed essere sottoposti ad una completa valutazione diagnostica. </w:t>
      </w:r>
    </w:p>
    <w:p w:rsidR="00157870" w:rsidRPr="00295E71" w:rsidP="00157870" w14:paraId="500B371F" w14:textId="77777777">
      <w:pPr>
        <w:rPr>
          <w:color w:val="000000"/>
          <w:sz w:val="22"/>
          <w:szCs w:val="22"/>
        </w:rPr>
      </w:pPr>
      <w:r w:rsidRPr="00295E71">
        <w:rPr>
          <w:color w:val="000000"/>
          <w:sz w:val="22"/>
          <w:szCs w:val="22"/>
        </w:rPr>
        <w:t>In caso di insorgenza di una nuova infezione grave o di sepsi, la somministrazione di Humira deve essere interrotta e deve essere istituita una idonea terapia antimicrobica o antifungina fino a quando l’infezione non sia sotto controllo. I medici devono porre cautela nell’usare Humira in pazienti con storia di infezioni recidivanti o con patologie concomitanti che possano predisporre i pazienti alle infezioni, incluso l’uso concomitante di farmaci immunosoppressivi.</w:t>
      </w:r>
    </w:p>
    <w:p w:rsidR="00157870" w:rsidRPr="00295E71" w:rsidP="00157870" w14:paraId="594E90CE" w14:textId="77777777">
      <w:pPr>
        <w:tabs>
          <w:tab w:val="left" w:pos="567"/>
        </w:tabs>
        <w:autoSpaceDE w:val="0"/>
        <w:autoSpaceDN w:val="0"/>
        <w:adjustRightInd w:val="0"/>
        <w:jc w:val="both"/>
        <w:rPr>
          <w:color w:val="000000"/>
          <w:sz w:val="22"/>
          <w:szCs w:val="22"/>
        </w:rPr>
      </w:pPr>
    </w:p>
    <w:p w:rsidR="00157870" w:rsidRPr="00295E71" w:rsidP="00F57FE5" w14:paraId="361601EF" w14:textId="77777777">
      <w:pPr>
        <w:keepNext/>
        <w:tabs>
          <w:tab w:val="left" w:pos="567"/>
        </w:tabs>
        <w:autoSpaceDE w:val="0"/>
        <w:autoSpaceDN w:val="0"/>
        <w:adjustRightInd w:val="0"/>
        <w:jc w:val="both"/>
        <w:rPr>
          <w:color w:val="000000"/>
          <w:sz w:val="22"/>
          <w:szCs w:val="22"/>
        </w:rPr>
      </w:pPr>
      <w:r w:rsidRPr="00295E71">
        <w:rPr>
          <w:i/>
          <w:iCs/>
          <w:color w:val="000000"/>
          <w:sz w:val="22"/>
          <w:szCs w:val="22"/>
        </w:rPr>
        <w:t>Gravi infezioni</w:t>
      </w:r>
    </w:p>
    <w:p w:rsidR="00157870" w:rsidRPr="00295E71" w:rsidP="00F57FE5" w14:paraId="0554F22A" w14:textId="77777777">
      <w:pPr>
        <w:keepNext/>
        <w:tabs>
          <w:tab w:val="left" w:pos="567"/>
        </w:tabs>
        <w:autoSpaceDE w:val="0"/>
        <w:autoSpaceDN w:val="0"/>
        <w:adjustRightInd w:val="0"/>
        <w:jc w:val="both"/>
        <w:rPr>
          <w:color w:val="000000"/>
          <w:sz w:val="22"/>
          <w:szCs w:val="22"/>
        </w:rPr>
      </w:pPr>
    </w:p>
    <w:p w:rsidR="00157870" w:rsidRPr="00295E71" w:rsidP="00F57FE5" w14:paraId="26DADB8C" w14:textId="77777777">
      <w:pPr>
        <w:keepNext/>
        <w:tabs>
          <w:tab w:val="left" w:pos="567"/>
        </w:tabs>
        <w:autoSpaceDE w:val="0"/>
        <w:autoSpaceDN w:val="0"/>
        <w:adjustRightInd w:val="0"/>
        <w:jc w:val="both"/>
        <w:rPr>
          <w:color w:val="000000"/>
          <w:sz w:val="22"/>
          <w:szCs w:val="22"/>
        </w:rPr>
      </w:pPr>
      <w:r w:rsidRPr="00295E71">
        <w:rPr>
          <w:color w:val="000000"/>
          <w:sz w:val="22"/>
          <w:szCs w:val="22"/>
        </w:rPr>
        <w:t>Sono stati riportati casi di infezioni gravi, inclusa sepsi, causat</w:t>
      </w:r>
      <w:r w:rsidR="008C3B86">
        <w:rPr>
          <w:color w:val="000000"/>
          <w:sz w:val="22"/>
          <w:szCs w:val="22"/>
        </w:rPr>
        <w:t>e</w:t>
      </w:r>
      <w:r w:rsidRPr="00295E71">
        <w:rPr>
          <w:color w:val="000000"/>
          <w:sz w:val="22"/>
          <w:szCs w:val="22"/>
        </w:rPr>
        <w:t xml:space="preserve"> da batteri, micobatteri, funghi invasivi, parassiti, virus o altre infezioni opportunistiche, quali listeriosi, legionellosi e pneumocistosi in pazienti trattati con Humira. </w:t>
      </w:r>
    </w:p>
    <w:p w:rsidR="00157870" w:rsidRPr="00295E71" w:rsidP="00157870" w14:paraId="35255CBB" w14:textId="77777777">
      <w:pPr>
        <w:tabs>
          <w:tab w:val="left" w:pos="567"/>
        </w:tabs>
        <w:autoSpaceDE w:val="0"/>
        <w:autoSpaceDN w:val="0"/>
        <w:adjustRightInd w:val="0"/>
        <w:jc w:val="both"/>
        <w:rPr>
          <w:i/>
          <w:iCs/>
          <w:color w:val="000000"/>
          <w:sz w:val="22"/>
          <w:szCs w:val="22"/>
        </w:rPr>
      </w:pPr>
    </w:p>
    <w:p w:rsidR="00157870" w:rsidRPr="00295E71" w:rsidP="00157870" w14:paraId="756347B9" w14:textId="77777777">
      <w:pPr>
        <w:tabs>
          <w:tab w:val="left" w:pos="567"/>
        </w:tabs>
        <w:autoSpaceDE w:val="0"/>
        <w:autoSpaceDN w:val="0"/>
        <w:adjustRightInd w:val="0"/>
        <w:jc w:val="both"/>
        <w:rPr>
          <w:color w:val="000000"/>
          <w:sz w:val="22"/>
          <w:szCs w:val="22"/>
        </w:rPr>
      </w:pPr>
      <w:r w:rsidRPr="00295E71">
        <w:rPr>
          <w:color w:val="000000"/>
          <w:sz w:val="22"/>
          <w:szCs w:val="22"/>
        </w:rPr>
        <w:t>Altre infezioni gravi osservate nel corso di studi clinici includono polmonite, pielonefrite, artrite settica e setticemia. Sono stati riportati casi di ospedalizzazione o di eventi fatali associati alle infezioni.</w:t>
      </w:r>
    </w:p>
    <w:p w:rsidR="00157870" w:rsidRPr="00295E71" w:rsidP="00157870" w14:paraId="7CC38395" w14:textId="77777777">
      <w:pPr>
        <w:tabs>
          <w:tab w:val="left" w:pos="567"/>
        </w:tabs>
        <w:autoSpaceDE w:val="0"/>
        <w:autoSpaceDN w:val="0"/>
        <w:adjustRightInd w:val="0"/>
        <w:jc w:val="both"/>
        <w:rPr>
          <w:i/>
          <w:iCs/>
          <w:color w:val="000000"/>
          <w:sz w:val="22"/>
          <w:szCs w:val="22"/>
        </w:rPr>
      </w:pPr>
    </w:p>
    <w:p w:rsidR="00157870" w:rsidRPr="00295E71" w:rsidP="00157870" w14:paraId="739BE33C" w14:textId="77777777">
      <w:pPr>
        <w:tabs>
          <w:tab w:val="left" w:pos="567"/>
        </w:tabs>
        <w:autoSpaceDE w:val="0"/>
        <w:autoSpaceDN w:val="0"/>
        <w:adjustRightInd w:val="0"/>
        <w:jc w:val="both"/>
        <w:rPr>
          <w:i/>
          <w:iCs/>
          <w:color w:val="000000"/>
          <w:sz w:val="22"/>
          <w:szCs w:val="22"/>
        </w:rPr>
      </w:pPr>
      <w:r w:rsidRPr="00295E71">
        <w:rPr>
          <w:i/>
          <w:iCs/>
          <w:color w:val="000000"/>
          <w:sz w:val="22"/>
          <w:szCs w:val="22"/>
        </w:rPr>
        <w:t>Tubercolosi</w:t>
      </w:r>
    </w:p>
    <w:p w:rsidR="00157870" w:rsidRPr="00295E71" w:rsidP="00157870" w14:paraId="3E697B98" w14:textId="77777777">
      <w:pPr>
        <w:tabs>
          <w:tab w:val="left" w:pos="567"/>
        </w:tabs>
        <w:autoSpaceDE w:val="0"/>
        <w:autoSpaceDN w:val="0"/>
        <w:adjustRightInd w:val="0"/>
        <w:jc w:val="both"/>
        <w:rPr>
          <w:color w:val="000000"/>
          <w:sz w:val="22"/>
          <w:szCs w:val="22"/>
        </w:rPr>
      </w:pPr>
    </w:p>
    <w:p w:rsidR="00157870" w:rsidRPr="00295E71" w:rsidP="00157870" w14:paraId="6FB7475D" w14:textId="77777777">
      <w:pPr>
        <w:tabs>
          <w:tab w:val="left" w:pos="567"/>
        </w:tabs>
        <w:autoSpaceDE w:val="0"/>
        <w:autoSpaceDN w:val="0"/>
        <w:adjustRightInd w:val="0"/>
        <w:jc w:val="both"/>
        <w:rPr>
          <w:color w:val="000000"/>
          <w:sz w:val="22"/>
          <w:szCs w:val="22"/>
        </w:rPr>
      </w:pPr>
      <w:r w:rsidRPr="00295E71">
        <w:rPr>
          <w:color w:val="000000"/>
          <w:sz w:val="22"/>
          <w:szCs w:val="22"/>
        </w:rPr>
        <w:t>È stata riportata tubercolosi, inclusa riattivazione e nuova manifestazione di tubercolosi, in pazienti che utilizzano Humira. Sono stati riportati casi di tubercolosi polmonare ed extra-polmonare (ovvero disseminata).</w:t>
      </w:r>
    </w:p>
    <w:p w:rsidR="00157870" w:rsidRPr="00295E71" w:rsidP="00157870" w14:paraId="6539B01F" w14:textId="77777777">
      <w:pPr>
        <w:tabs>
          <w:tab w:val="left" w:pos="567"/>
        </w:tabs>
        <w:autoSpaceDE w:val="0"/>
        <w:autoSpaceDN w:val="0"/>
        <w:adjustRightInd w:val="0"/>
        <w:jc w:val="both"/>
        <w:rPr>
          <w:color w:val="000000"/>
          <w:sz w:val="22"/>
          <w:szCs w:val="22"/>
        </w:rPr>
      </w:pPr>
    </w:p>
    <w:p w:rsidR="00157870" w:rsidRPr="00295E71" w:rsidP="00157870" w14:paraId="7126807B" w14:textId="77777777">
      <w:pPr>
        <w:tabs>
          <w:tab w:val="left" w:pos="567"/>
        </w:tabs>
        <w:autoSpaceDE w:val="0"/>
        <w:autoSpaceDN w:val="0"/>
        <w:adjustRightInd w:val="0"/>
        <w:jc w:val="both"/>
        <w:rPr>
          <w:color w:val="000000"/>
          <w:sz w:val="22"/>
          <w:szCs w:val="22"/>
        </w:rPr>
      </w:pPr>
      <w:r w:rsidRPr="00295E71">
        <w:rPr>
          <w:color w:val="000000"/>
          <w:sz w:val="22"/>
          <w:szCs w:val="22"/>
        </w:rPr>
        <w:t xml:space="preserve">Prima di iniziare la terapia con Humira, tutti i pazienti devono essere esaminati per valutare la presenza di tubercolosi attiva o inattiva (“latente”). Tale valutazione deve includere un’anamnesi clinica dettagliata dei pazienti con una storia pregressa di tubercolosi o eventuali contatti con persone affette da tubercolosi attiva, e con precedenti e/o concomitanti terapie immunosoppressive. </w:t>
      </w:r>
    </w:p>
    <w:p w:rsidR="00157870" w:rsidRPr="00295E71" w:rsidP="00157870" w14:paraId="6D1BEC1C" w14:textId="77777777">
      <w:pPr>
        <w:tabs>
          <w:tab w:val="left" w:pos="567"/>
        </w:tabs>
        <w:autoSpaceDE w:val="0"/>
        <w:autoSpaceDN w:val="0"/>
        <w:adjustRightInd w:val="0"/>
        <w:jc w:val="both"/>
        <w:rPr>
          <w:color w:val="000000"/>
          <w:sz w:val="22"/>
          <w:szCs w:val="22"/>
        </w:rPr>
      </w:pPr>
      <w:r w:rsidRPr="00295E71">
        <w:rPr>
          <w:color w:val="000000"/>
          <w:sz w:val="22"/>
          <w:szCs w:val="22"/>
        </w:rPr>
        <w:t>Devono essere eseguiti appropriati esami di screening (ovvero il test cutaneo alla tubercolina e la radiografia toracica) in tutti i pazienti (possono essere seguite le linee guida locali). Si raccomanda che l’esecuzione e i risultati di tali test vengano registrati nella</w:t>
      </w:r>
      <w:r w:rsidRPr="004D7963" w:rsidR="004D7963">
        <w:rPr>
          <w:color w:val="000000"/>
          <w:sz w:val="22"/>
          <w:szCs w:val="22"/>
        </w:rPr>
        <w:t xml:space="preserve"> </w:t>
      </w:r>
      <w:r w:rsidRPr="004D7963" w:rsidR="004D7963">
        <w:rPr>
          <w:sz w:val="22"/>
          <w:szCs w:val="22"/>
        </w:rPr>
        <w:t>Scheda Promemoria per il Paziente</w:t>
      </w:r>
      <w:r w:rsidRPr="00295E71">
        <w:rPr>
          <w:color w:val="000000"/>
          <w:sz w:val="22"/>
          <w:szCs w:val="22"/>
        </w:rPr>
        <w:t>. I medici devono porre attenzione al rischio di falsi negativi al test cutaneo alla tubercolina, soprattutto in pazienti gravemente ammalati o immunocompromessi.</w:t>
      </w:r>
    </w:p>
    <w:p w:rsidR="00157870" w:rsidRPr="00295E71" w:rsidP="00157870" w14:paraId="633DF112" w14:textId="77777777">
      <w:pPr>
        <w:tabs>
          <w:tab w:val="left" w:pos="567"/>
        </w:tabs>
        <w:autoSpaceDE w:val="0"/>
        <w:autoSpaceDN w:val="0"/>
        <w:adjustRightInd w:val="0"/>
        <w:jc w:val="both"/>
        <w:rPr>
          <w:color w:val="000000"/>
          <w:sz w:val="22"/>
          <w:szCs w:val="22"/>
        </w:rPr>
      </w:pPr>
    </w:p>
    <w:p w:rsidR="00157870" w:rsidRPr="00295E71" w:rsidP="00157870" w14:paraId="5A5625F7" w14:textId="77777777">
      <w:pPr>
        <w:tabs>
          <w:tab w:val="left" w:pos="567"/>
        </w:tabs>
        <w:autoSpaceDE w:val="0"/>
        <w:autoSpaceDN w:val="0"/>
        <w:adjustRightInd w:val="0"/>
        <w:jc w:val="both"/>
        <w:rPr>
          <w:sz w:val="22"/>
          <w:szCs w:val="22"/>
        </w:rPr>
      </w:pPr>
      <w:r w:rsidRPr="00295E71">
        <w:rPr>
          <w:sz w:val="22"/>
          <w:szCs w:val="22"/>
        </w:rPr>
        <w:t>Se si diagnostica una tubercolosi attiva, la terapia con Humira non deve essere iniziata (vedere paragrafo 4.3).</w:t>
      </w:r>
    </w:p>
    <w:p w:rsidR="00157870" w:rsidRPr="00295E71" w:rsidP="00157870" w14:paraId="35FB5A2F" w14:textId="77777777">
      <w:pPr>
        <w:rPr>
          <w:sz w:val="22"/>
          <w:szCs w:val="22"/>
        </w:rPr>
      </w:pPr>
    </w:p>
    <w:p w:rsidR="00157870" w:rsidRPr="00295E71" w:rsidP="00157870" w14:paraId="06BF94AB" w14:textId="77777777">
      <w:pPr>
        <w:tabs>
          <w:tab w:val="left" w:pos="567"/>
        </w:tabs>
        <w:autoSpaceDE w:val="0"/>
        <w:autoSpaceDN w:val="0"/>
        <w:adjustRightInd w:val="0"/>
        <w:jc w:val="both"/>
        <w:rPr>
          <w:sz w:val="22"/>
          <w:szCs w:val="22"/>
        </w:rPr>
      </w:pPr>
      <w:r w:rsidRPr="00295E71">
        <w:rPr>
          <w:sz w:val="22"/>
          <w:szCs w:val="22"/>
        </w:rPr>
        <w:t>In tutte le situazioni di seguito descritte è opportuno effettuare un’attenta valutazione del rapporto beneficio/rischio della terapia.</w:t>
      </w:r>
    </w:p>
    <w:p w:rsidR="00157870" w:rsidRPr="00295E71" w:rsidP="00157870" w14:paraId="7EB7248E" w14:textId="77777777">
      <w:pPr>
        <w:tabs>
          <w:tab w:val="left" w:pos="567"/>
        </w:tabs>
        <w:autoSpaceDE w:val="0"/>
        <w:autoSpaceDN w:val="0"/>
        <w:adjustRightInd w:val="0"/>
        <w:jc w:val="both"/>
        <w:rPr>
          <w:sz w:val="22"/>
          <w:szCs w:val="22"/>
        </w:rPr>
      </w:pPr>
    </w:p>
    <w:p w:rsidR="00157870" w:rsidRPr="00295E71" w:rsidP="00157870" w14:paraId="530263E1" w14:textId="77777777">
      <w:pPr>
        <w:tabs>
          <w:tab w:val="left" w:pos="567"/>
        </w:tabs>
        <w:autoSpaceDE w:val="0"/>
        <w:autoSpaceDN w:val="0"/>
        <w:adjustRightInd w:val="0"/>
        <w:jc w:val="both"/>
        <w:rPr>
          <w:sz w:val="22"/>
          <w:szCs w:val="22"/>
        </w:rPr>
      </w:pPr>
      <w:r w:rsidRPr="00295E71">
        <w:rPr>
          <w:sz w:val="22"/>
          <w:szCs w:val="22"/>
        </w:rPr>
        <w:t>Se si sospetta una tubercolosi latente, è consigliabile consultare un medico specializzato nel trattamento della tubercolosi.</w:t>
      </w:r>
    </w:p>
    <w:p w:rsidR="00157870" w:rsidRPr="00295E71" w:rsidP="00157870" w14:paraId="1DBE982A" w14:textId="77777777">
      <w:pPr>
        <w:tabs>
          <w:tab w:val="left" w:pos="567"/>
        </w:tabs>
        <w:autoSpaceDE w:val="0"/>
        <w:autoSpaceDN w:val="0"/>
        <w:adjustRightInd w:val="0"/>
        <w:jc w:val="both"/>
        <w:rPr>
          <w:sz w:val="22"/>
          <w:szCs w:val="22"/>
        </w:rPr>
      </w:pPr>
    </w:p>
    <w:p w:rsidR="00157870" w:rsidRPr="00295E71" w:rsidP="00157870" w14:paraId="33E04C8A" w14:textId="77777777">
      <w:pPr>
        <w:tabs>
          <w:tab w:val="left" w:pos="567"/>
        </w:tabs>
        <w:jc w:val="both"/>
        <w:rPr>
          <w:color w:val="000000"/>
          <w:sz w:val="22"/>
          <w:szCs w:val="22"/>
        </w:rPr>
      </w:pPr>
      <w:r w:rsidRPr="00295E71">
        <w:rPr>
          <w:color w:val="000000"/>
          <w:sz w:val="22"/>
          <w:szCs w:val="22"/>
        </w:rPr>
        <w:t>In caso di diagnosi positiva di tubercolosi latente, prima di iniziare la terapia con Humira deve essere istituito il trattamento di profilassi anti-tubercolare in accordo alle raccomandazioni locali.</w:t>
      </w:r>
    </w:p>
    <w:p w:rsidR="00157870" w:rsidRPr="00295E71" w:rsidP="00157870" w14:paraId="3EE51656" w14:textId="77777777">
      <w:pPr>
        <w:tabs>
          <w:tab w:val="left" w:pos="567"/>
        </w:tabs>
        <w:jc w:val="both"/>
        <w:rPr>
          <w:color w:val="000000"/>
          <w:sz w:val="22"/>
          <w:szCs w:val="22"/>
        </w:rPr>
      </w:pPr>
    </w:p>
    <w:p w:rsidR="00157870" w:rsidRPr="00295E71" w:rsidP="00157870" w14:paraId="7596B0AA" w14:textId="77777777">
      <w:pPr>
        <w:tabs>
          <w:tab w:val="left" w:pos="567"/>
        </w:tabs>
        <w:jc w:val="both"/>
        <w:rPr>
          <w:color w:val="000000"/>
          <w:sz w:val="22"/>
          <w:szCs w:val="22"/>
        </w:rPr>
      </w:pPr>
      <w:r w:rsidRPr="00295E71">
        <w:rPr>
          <w:color w:val="000000"/>
          <w:sz w:val="22"/>
          <w:szCs w:val="22"/>
        </w:rPr>
        <w:t>L’istituzione di un trattamento di profilassi anti-tubercolare deve essere presa in considerazione anche prima di iniziare il trattamento a base di Humira in pazienti con diversi o significativi fattori di rischio per la tubercolosi nonostante un test negativo per la tubercolosi e in quei pazienti che all’anamnesi presentano una storia personale di tubercolosi latente o attiva nei quali non sia possibile confermare se il ciclo di trattamento cui sono stati sottoposti sia risultato adeguato.</w:t>
      </w:r>
    </w:p>
    <w:p w:rsidR="00157870" w:rsidRPr="00295E71" w:rsidP="00157870" w14:paraId="31045847" w14:textId="77777777">
      <w:pPr>
        <w:tabs>
          <w:tab w:val="left" w:pos="567"/>
        </w:tabs>
        <w:jc w:val="both"/>
        <w:rPr>
          <w:color w:val="000000"/>
          <w:sz w:val="22"/>
          <w:szCs w:val="22"/>
        </w:rPr>
      </w:pPr>
    </w:p>
    <w:p w:rsidR="00157870" w:rsidRPr="00295E71" w:rsidP="00157870" w14:paraId="0EBB72A3" w14:textId="77777777">
      <w:pPr>
        <w:keepNext/>
        <w:keepLines/>
        <w:tabs>
          <w:tab w:val="left" w:pos="567"/>
        </w:tabs>
        <w:jc w:val="both"/>
        <w:rPr>
          <w:color w:val="000000"/>
          <w:sz w:val="22"/>
          <w:szCs w:val="22"/>
        </w:rPr>
      </w:pPr>
      <w:r w:rsidRPr="00295E71">
        <w:rPr>
          <w:color w:val="000000"/>
          <w:sz w:val="22"/>
          <w:szCs w:val="22"/>
        </w:rPr>
        <w:t>Nonostante il trattamento di profilassi per la tubercolosi, si sono verificati casi di riattivazione di tubercolosi in pazienti trattati con Humira. Nel corso del trattamento con Humira, alcuni pazienti</w:t>
      </w:r>
      <w:r w:rsidR="008C3B86">
        <w:rPr>
          <w:color w:val="000000"/>
          <w:sz w:val="22"/>
          <w:szCs w:val="22"/>
        </w:rPr>
        <w:t xml:space="preserve"> </w:t>
      </w:r>
      <w:r w:rsidRPr="00295E71">
        <w:rPr>
          <w:color w:val="000000"/>
          <w:sz w:val="22"/>
          <w:szCs w:val="22"/>
        </w:rPr>
        <w:t>trattati con successo per la tubercolosi attiva hanno manifestato nuovamente la comparsa di tubercolosi.</w:t>
      </w:r>
    </w:p>
    <w:p w:rsidR="00157870" w:rsidRPr="00295E71" w:rsidP="00157870" w14:paraId="48299EB2" w14:textId="77777777">
      <w:pPr>
        <w:tabs>
          <w:tab w:val="left" w:pos="567"/>
        </w:tabs>
        <w:autoSpaceDE w:val="0"/>
        <w:autoSpaceDN w:val="0"/>
        <w:adjustRightInd w:val="0"/>
        <w:jc w:val="both"/>
        <w:rPr>
          <w:color w:val="000000"/>
          <w:sz w:val="22"/>
          <w:szCs w:val="22"/>
        </w:rPr>
      </w:pPr>
    </w:p>
    <w:p w:rsidR="00157870" w:rsidRPr="00295E71" w:rsidP="00157870" w14:paraId="7FB9F770" w14:textId="77777777">
      <w:pPr>
        <w:tabs>
          <w:tab w:val="left" w:pos="567"/>
        </w:tabs>
        <w:autoSpaceDE w:val="0"/>
        <w:autoSpaceDN w:val="0"/>
        <w:adjustRightInd w:val="0"/>
        <w:jc w:val="both"/>
        <w:rPr>
          <w:color w:val="000000"/>
          <w:sz w:val="22"/>
          <w:szCs w:val="22"/>
        </w:rPr>
      </w:pPr>
      <w:r w:rsidRPr="00295E71">
        <w:rPr>
          <w:color w:val="000000"/>
          <w:sz w:val="22"/>
          <w:szCs w:val="22"/>
        </w:rPr>
        <w:t>I pazienti devono essere avvisati di rivolgersi al medico se, durante o dopo la terapia con Humira, si manifestano segni/sintomi indicativi di possibile infezione tubercolare (per es. tosse persistente, deperimento, perdita di peso, febbre moderata, svogliatezza).</w:t>
      </w:r>
    </w:p>
    <w:p w:rsidR="00157870" w:rsidRPr="00295E71" w:rsidP="00157870" w14:paraId="1C568FA8" w14:textId="77777777">
      <w:pPr>
        <w:tabs>
          <w:tab w:val="left" w:pos="567"/>
        </w:tabs>
        <w:autoSpaceDE w:val="0"/>
        <w:autoSpaceDN w:val="0"/>
        <w:adjustRightInd w:val="0"/>
        <w:jc w:val="both"/>
        <w:rPr>
          <w:color w:val="000000"/>
          <w:sz w:val="22"/>
          <w:szCs w:val="22"/>
        </w:rPr>
      </w:pPr>
    </w:p>
    <w:p w:rsidR="00157870" w:rsidRPr="00295E71" w:rsidP="00F57FE5" w14:paraId="3FD1DF32" w14:textId="77777777">
      <w:pPr>
        <w:keepNext/>
        <w:keepLines/>
        <w:rPr>
          <w:color w:val="000000"/>
          <w:sz w:val="22"/>
          <w:szCs w:val="22"/>
        </w:rPr>
      </w:pPr>
      <w:r w:rsidRPr="00295E71">
        <w:rPr>
          <w:i/>
          <w:iCs/>
          <w:color w:val="000000"/>
          <w:sz w:val="22"/>
          <w:szCs w:val="22"/>
        </w:rPr>
        <w:t>Altre infezioni opportunistiche</w:t>
      </w:r>
    </w:p>
    <w:p w:rsidR="00157870" w:rsidRPr="00295E71" w:rsidP="00F57FE5" w14:paraId="716C5FB9" w14:textId="77777777">
      <w:pPr>
        <w:keepNext/>
        <w:keepLines/>
        <w:tabs>
          <w:tab w:val="left" w:pos="567"/>
        </w:tabs>
        <w:autoSpaceDE w:val="0"/>
        <w:autoSpaceDN w:val="0"/>
        <w:adjustRightInd w:val="0"/>
        <w:jc w:val="both"/>
        <w:rPr>
          <w:color w:val="000000"/>
          <w:sz w:val="22"/>
          <w:szCs w:val="22"/>
        </w:rPr>
      </w:pPr>
    </w:p>
    <w:p w:rsidR="00157870" w:rsidRPr="00295E71" w:rsidP="00F57FE5" w14:paraId="65A11EE3"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In pazienti che hanno assunto Humira sono stati osservati casi di infezioni opportunistiche, incluse infezioni fungine invasive. Queste infezioni non sono state correttamente diagnosticate in pazienti che assumevano antagonisti del TNF e ciò ha comportato un ritardo nel trattamento appropriato, talvolta con esito fatale.</w:t>
      </w:r>
    </w:p>
    <w:p w:rsidR="00157870" w:rsidRPr="00295E71" w:rsidP="00157870" w14:paraId="712ACCD8" w14:textId="77777777">
      <w:pPr>
        <w:tabs>
          <w:tab w:val="left" w:pos="567"/>
        </w:tabs>
        <w:autoSpaceDE w:val="0"/>
        <w:autoSpaceDN w:val="0"/>
        <w:adjustRightInd w:val="0"/>
        <w:jc w:val="both"/>
        <w:rPr>
          <w:color w:val="000000"/>
          <w:sz w:val="22"/>
          <w:szCs w:val="22"/>
        </w:rPr>
      </w:pPr>
    </w:p>
    <w:p w:rsidR="00157870" w:rsidRPr="00295E71" w:rsidP="00157870" w14:paraId="12016745" w14:textId="77777777">
      <w:pPr>
        <w:tabs>
          <w:tab w:val="left" w:pos="567"/>
        </w:tabs>
        <w:autoSpaceDE w:val="0"/>
        <w:autoSpaceDN w:val="0"/>
        <w:adjustRightInd w:val="0"/>
        <w:jc w:val="both"/>
        <w:rPr>
          <w:color w:val="000000"/>
          <w:sz w:val="22"/>
          <w:szCs w:val="22"/>
        </w:rPr>
      </w:pPr>
      <w:r w:rsidRPr="00295E71">
        <w:rPr>
          <w:color w:val="000000"/>
          <w:sz w:val="22"/>
          <w:szCs w:val="22"/>
        </w:rPr>
        <w:t>In pazienti che sviluppano segni e sintomi quali febbre, malessere, perdita di peso, sudorazione, tosse, dispnea e/o infiltrato polmonare o altre malattie sistemiche gravi con o senza shock concomitante si deve sospettare un’infezione fungina invasiva e deve essere prontamente interrotta la somministrazione di Humira. La diagnosi e la somministrazione di terapia antifungina empirica in questi pazienti dovrebbero essere effettuate consultando un medico specializzato nella cura di pazienti con infezioni fungine invasive.</w:t>
      </w:r>
    </w:p>
    <w:p w:rsidR="00157870" w:rsidRPr="00295E71" w:rsidP="00157870" w14:paraId="5AE36BA6" w14:textId="77777777">
      <w:pPr>
        <w:tabs>
          <w:tab w:val="left" w:pos="567"/>
        </w:tabs>
        <w:autoSpaceDE w:val="0"/>
        <w:autoSpaceDN w:val="0"/>
        <w:adjustRightInd w:val="0"/>
        <w:jc w:val="both"/>
        <w:rPr>
          <w:color w:val="000000"/>
          <w:sz w:val="22"/>
          <w:szCs w:val="22"/>
          <w:u w:val="single"/>
        </w:rPr>
      </w:pPr>
    </w:p>
    <w:p w:rsidR="00157870" w:rsidRPr="00295E71" w:rsidP="00157870" w14:paraId="61A5B83D" w14:textId="77777777">
      <w:pPr>
        <w:tabs>
          <w:tab w:val="left" w:pos="567"/>
        </w:tabs>
        <w:autoSpaceDE w:val="0"/>
        <w:autoSpaceDN w:val="0"/>
        <w:adjustRightInd w:val="0"/>
        <w:jc w:val="both"/>
        <w:rPr>
          <w:color w:val="000000"/>
          <w:sz w:val="22"/>
          <w:szCs w:val="22"/>
        </w:rPr>
      </w:pPr>
      <w:r w:rsidRPr="00295E71">
        <w:rPr>
          <w:color w:val="000000"/>
          <w:sz w:val="22"/>
          <w:szCs w:val="22"/>
          <w:u w:val="single"/>
        </w:rPr>
        <w:t>Riattivazione dell’Epatite B</w:t>
      </w:r>
    </w:p>
    <w:p w:rsidR="00157870" w:rsidRPr="00295E71" w:rsidP="00157870" w14:paraId="2D99DC72" w14:textId="77777777">
      <w:pPr>
        <w:tabs>
          <w:tab w:val="left" w:pos="567"/>
        </w:tabs>
        <w:autoSpaceDE w:val="0"/>
        <w:autoSpaceDN w:val="0"/>
        <w:adjustRightInd w:val="0"/>
        <w:jc w:val="both"/>
        <w:rPr>
          <w:color w:val="000000"/>
          <w:sz w:val="22"/>
          <w:szCs w:val="22"/>
        </w:rPr>
      </w:pPr>
    </w:p>
    <w:p w:rsidR="00157870" w:rsidRPr="00295E71" w:rsidP="00157870" w14:paraId="02AAC48E" w14:textId="77777777">
      <w:pPr>
        <w:widowControl w:val="0"/>
        <w:tabs>
          <w:tab w:val="left" w:pos="567"/>
        </w:tabs>
        <w:autoSpaceDE w:val="0"/>
        <w:autoSpaceDN w:val="0"/>
        <w:adjustRightInd w:val="0"/>
        <w:jc w:val="both"/>
        <w:rPr>
          <w:color w:val="000000"/>
          <w:sz w:val="22"/>
          <w:szCs w:val="22"/>
        </w:rPr>
      </w:pPr>
      <w:r w:rsidRPr="00295E71">
        <w:rPr>
          <w:color w:val="000000"/>
          <w:sz w:val="22"/>
          <w:szCs w:val="22"/>
        </w:rPr>
        <w:t>In pazienti portatori cronici del virus dell’epatite B sottoposti a trattamento con antagonisti del TNF incluso Humira si è verificata una riattivazione dell’epatite B (ad es.</w:t>
      </w:r>
      <w:r w:rsidR="00B6698C">
        <w:rPr>
          <w:color w:val="000000"/>
          <w:sz w:val="22"/>
          <w:szCs w:val="22"/>
        </w:rPr>
        <w:t xml:space="preserve"> </w:t>
      </w:r>
      <w:r w:rsidRPr="00295E71">
        <w:rPr>
          <w:color w:val="000000"/>
          <w:sz w:val="22"/>
          <w:szCs w:val="22"/>
        </w:rPr>
        <w:t>antigene di superficie positivo) . Alcuni casi hanno avuto un esito fatale. Prima di iniziare il trattamento con Humira, i pazienti devono essere testati per l’infezione da virus dell’epatite B. Si raccomanda la consultazione di un medico con esperienza nel trattamento dell’epatite B per quei pazienti che risultano positivi al test per l’epatite B.</w:t>
      </w:r>
    </w:p>
    <w:p w:rsidR="00157870" w:rsidRPr="00295E71" w:rsidP="00157870" w14:paraId="6C432578" w14:textId="77777777">
      <w:pPr>
        <w:widowControl w:val="0"/>
        <w:tabs>
          <w:tab w:val="left" w:pos="567"/>
        </w:tabs>
        <w:autoSpaceDE w:val="0"/>
        <w:autoSpaceDN w:val="0"/>
        <w:adjustRightInd w:val="0"/>
        <w:jc w:val="both"/>
        <w:rPr>
          <w:color w:val="000000"/>
          <w:sz w:val="22"/>
          <w:szCs w:val="22"/>
        </w:rPr>
      </w:pPr>
    </w:p>
    <w:p w:rsidR="00157870" w:rsidRPr="00295E71" w:rsidP="00157870" w14:paraId="67015B0A" w14:textId="77777777">
      <w:pPr>
        <w:widowControl w:val="0"/>
        <w:tabs>
          <w:tab w:val="left" w:pos="567"/>
        </w:tabs>
        <w:autoSpaceDE w:val="0"/>
        <w:autoSpaceDN w:val="0"/>
        <w:adjustRightInd w:val="0"/>
        <w:jc w:val="both"/>
        <w:rPr>
          <w:color w:val="000000"/>
          <w:sz w:val="22"/>
          <w:szCs w:val="22"/>
        </w:rPr>
      </w:pPr>
      <w:r w:rsidRPr="00295E71">
        <w:rPr>
          <w:color w:val="000000"/>
          <w:sz w:val="22"/>
          <w:szCs w:val="22"/>
        </w:rPr>
        <w:t>I portatori del virus dell’epatite B che necessitano di un trattamento con Humira devono essere attentamente monitorati allo scopo di rilevare la comparsa dei segni e sintomi dell’infezione attiva da virus dell’epatite B non solo nel corso di tutta la terapia, ma anche durante i mesi successivi alla sospensione della terapia. Non sono disponibili dati adeguati derivanti dal trattamento di pazienti portatori del virus dell’epatite B, sottoposti a terapia anti-virale al fine di evitare la riattivazione del virus dell’epatite B, in concomitanza con la terapia con antagonisti del TNF. Nei pazienti che sviluppano una riattivazione del virus dell’epatite B, la somministrazione di Humira deve essere interrotta e deve essere istituita un’efficace terapia anti-virale accompagnata da un adeguato trattamento di supporto.</w:t>
      </w:r>
    </w:p>
    <w:p w:rsidR="00157870" w:rsidRPr="00295E71" w:rsidP="00157870" w14:paraId="3A0E7583" w14:textId="77777777">
      <w:pPr>
        <w:tabs>
          <w:tab w:val="left" w:pos="567"/>
        </w:tabs>
        <w:autoSpaceDE w:val="0"/>
        <w:autoSpaceDN w:val="0"/>
        <w:adjustRightInd w:val="0"/>
        <w:jc w:val="both"/>
        <w:rPr>
          <w:color w:val="000000"/>
          <w:sz w:val="22"/>
          <w:szCs w:val="22"/>
        </w:rPr>
      </w:pPr>
    </w:p>
    <w:p w:rsidR="00157870" w:rsidRPr="00295E71" w:rsidP="00157870" w14:paraId="57BEE520" w14:textId="77777777">
      <w:pPr>
        <w:tabs>
          <w:tab w:val="left" w:pos="567"/>
        </w:tabs>
        <w:autoSpaceDE w:val="0"/>
        <w:autoSpaceDN w:val="0"/>
        <w:adjustRightInd w:val="0"/>
        <w:jc w:val="both"/>
        <w:rPr>
          <w:color w:val="000000"/>
          <w:sz w:val="22"/>
          <w:szCs w:val="22"/>
          <w:u w:val="single"/>
        </w:rPr>
      </w:pPr>
      <w:r w:rsidRPr="00295E71">
        <w:rPr>
          <w:color w:val="000000"/>
          <w:sz w:val="22"/>
          <w:szCs w:val="22"/>
          <w:u w:val="single"/>
        </w:rPr>
        <w:t>Eventi neurologici</w:t>
      </w:r>
    </w:p>
    <w:p w:rsidR="00157870" w:rsidRPr="00295E71" w:rsidP="00157870" w14:paraId="5168E1DA" w14:textId="77777777">
      <w:pPr>
        <w:tabs>
          <w:tab w:val="left" w:pos="567"/>
        </w:tabs>
        <w:autoSpaceDE w:val="0"/>
        <w:autoSpaceDN w:val="0"/>
        <w:adjustRightInd w:val="0"/>
        <w:jc w:val="both"/>
        <w:rPr>
          <w:color w:val="000000"/>
          <w:sz w:val="22"/>
          <w:szCs w:val="22"/>
          <w:u w:val="single"/>
        </w:rPr>
      </w:pPr>
    </w:p>
    <w:p w:rsidR="00157870" w:rsidRPr="00295E71" w:rsidP="00157870" w14:paraId="3FAD513F" w14:textId="77777777">
      <w:pPr>
        <w:tabs>
          <w:tab w:val="left" w:pos="567"/>
        </w:tabs>
        <w:autoSpaceDE w:val="0"/>
        <w:autoSpaceDN w:val="0"/>
        <w:adjustRightInd w:val="0"/>
        <w:jc w:val="both"/>
        <w:rPr>
          <w:color w:val="000000"/>
          <w:sz w:val="22"/>
          <w:szCs w:val="22"/>
        </w:rPr>
      </w:pPr>
      <w:r w:rsidRPr="00295E71">
        <w:rPr>
          <w:color w:val="000000"/>
          <w:sz w:val="22"/>
          <w:szCs w:val="22"/>
        </w:rPr>
        <w:t xml:space="preserve">I farmaci anti-TNF, compreso Humira, sono stati correlati, in rari casi, con la nuova insorgenza o con l’esacerbazione di sintomi clinici e/o evidenze radiografiche di malattie demielinizzanti del sistema nervoso centrale inclusa la sclerosi </w:t>
      </w:r>
      <w:r w:rsidRPr="00295E71">
        <w:rPr>
          <w:sz w:val="22"/>
          <w:szCs w:val="22"/>
        </w:rPr>
        <w:t>multipla,la neurite ottica e</w:t>
      </w:r>
      <w:r w:rsidRPr="00295E71">
        <w:rPr>
          <w:color w:val="000000"/>
          <w:sz w:val="22"/>
          <w:szCs w:val="22"/>
        </w:rPr>
        <w:t>le malattie demielinizzanti periferiche, compresa la sindrome di Guillain-Barrè. Deve essere usata cautela nell’uso di Humira in quei pazienti con patologie demielinizzanti del sistema nervoso centrale o periferico pregresse o di recente insorgenza; l’interruzione di Humira deve essere presa in considerazione nel caso in cui si sviluppi una qualsiasi di queste patologie. Sussiste una nota associazione tra l’uveite intermedia e le patologie demielinizzanti del sistema nervoso centrale. La valutazione neurologica deve essere effettuata sui pazienti con uveite intermedia non infettiva prima di iniziare la terapia con Humira e a intervalli regolari durante il trattamento al fine di valutare le patologie demielinizzanti del sistema nervoso centrale pregresse o in fase di sviluppo.</w:t>
      </w:r>
    </w:p>
    <w:p w:rsidR="00157870" w:rsidRPr="00295E71" w:rsidP="00157870" w14:paraId="7712AAAF" w14:textId="77777777">
      <w:pPr>
        <w:tabs>
          <w:tab w:val="left" w:pos="567"/>
        </w:tabs>
        <w:autoSpaceDE w:val="0"/>
        <w:autoSpaceDN w:val="0"/>
        <w:adjustRightInd w:val="0"/>
        <w:ind w:left="1152"/>
        <w:jc w:val="both"/>
        <w:rPr>
          <w:color w:val="000000"/>
          <w:sz w:val="22"/>
          <w:szCs w:val="22"/>
          <w:u w:val="single"/>
        </w:rPr>
      </w:pPr>
    </w:p>
    <w:p w:rsidR="00157870" w:rsidRPr="00295E71" w:rsidP="00157870" w14:paraId="222B02BF" w14:textId="77777777">
      <w:pPr>
        <w:keepNext/>
        <w:keepLines/>
        <w:tabs>
          <w:tab w:val="left" w:pos="567"/>
        </w:tabs>
        <w:jc w:val="both"/>
        <w:rPr>
          <w:color w:val="000000"/>
          <w:sz w:val="22"/>
          <w:szCs w:val="22"/>
          <w:u w:val="single"/>
        </w:rPr>
      </w:pPr>
      <w:r w:rsidRPr="00295E71">
        <w:rPr>
          <w:color w:val="000000"/>
          <w:sz w:val="22"/>
          <w:szCs w:val="22"/>
          <w:u w:val="single"/>
        </w:rPr>
        <w:t>Reazioni allergiche</w:t>
      </w:r>
    </w:p>
    <w:p w:rsidR="00157870" w:rsidRPr="00295E71" w:rsidP="00157870" w14:paraId="671526EF" w14:textId="77777777">
      <w:pPr>
        <w:keepNext/>
        <w:keepLines/>
        <w:tabs>
          <w:tab w:val="left" w:pos="567"/>
        </w:tabs>
        <w:jc w:val="both"/>
        <w:rPr>
          <w:color w:val="000000"/>
          <w:sz w:val="22"/>
          <w:szCs w:val="22"/>
          <w:u w:val="single"/>
        </w:rPr>
      </w:pPr>
    </w:p>
    <w:p w:rsidR="00157870" w:rsidRPr="00295E71" w:rsidP="00157870" w14:paraId="31839EF4"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Nel corso degli studi clinici, reazioni allergiche gravi associate con Humira sono state rare. Le reazioni allergiche non gravi associate con Humira durante gli studi clinici sono state non comuni. Sono state ricevute segnalazioni di reazioni allergiche gravi inclusa l’anafilassi a seguito della somministrazione di Humira. Se si verificano reazioni anafilattiche o altre gravi manifestazioni allergiche, la somministrazione di Humira deve essere immediatamente interrotta e deve essere iniziata una terapia appropriata.</w:t>
      </w:r>
    </w:p>
    <w:p w:rsidR="00157870" w:rsidRPr="00295E71" w:rsidP="00157870" w14:paraId="2175C159" w14:textId="77777777">
      <w:pPr>
        <w:tabs>
          <w:tab w:val="left" w:pos="567"/>
        </w:tabs>
        <w:autoSpaceDE w:val="0"/>
        <w:autoSpaceDN w:val="0"/>
        <w:adjustRightInd w:val="0"/>
        <w:jc w:val="both"/>
        <w:rPr>
          <w:color w:val="000000"/>
          <w:sz w:val="22"/>
          <w:szCs w:val="22"/>
        </w:rPr>
      </w:pPr>
    </w:p>
    <w:p w:rsidR="00157870" w:rsidRPr="00295E71" w:rsidP="00157870" w14:paraId="3D872A7B" w14:textId="77777777">
      <w:pPr>
        <w:keepNext/>
        <w:rPr>
          <w:color w:val="000000"/>
          <w:sz w:val="22"/>
          <w:szCs w:val="22"/>
          <w:u w:val="single"/>
        </w:rPr>
      </w:pPr>
      <w:r w:rsidRPr="00295E71">
        <w:rPr>
          <w:color w:val="000000"/>
          <w:sz w:val="22"/>
          <w:szCs w:val="22"/>
          <w:u w:val="single"/>
        </w:rPr>
        <w:t>Immunosoppressione</w:t>
      </w:r>
    </w:p>
    <w:p w:rsidR="00157870" w:rsidRPr="00295E71" w:rsidP="00157870" w14:paraId="05757E8A" w14:textId="77777777">
      <w:pPr>
        <w:keepNext/>
        <w:tabs>
          <w:tab w:val="left" w:pos="567"/>
        </w:tabs>
        <w:autoSpaceDE w:val="0"/>
        <w:autoSpaceDN w:val="0"/>
        <w:adjustRightInd w:val="0"/>
        <w:jc w:val="both"/>
        <w:rPr>
          <w:color w:val="000000"/>
          <w:sz w:val="22"/>
          <w:szCs w:val="22"/>
          <w:u w:val="single"/>
        </w:rPr>
      </w:pPr>
    </w:p>
    <w:p w:rsidR="00157870" w:rsidRPr="00295E71" w:rsidP="00157870" w14:paraId="07841D0C" w14:textId="77777777">
      <w:pPr>
        <w:keepNext/>
        <w:tabs>
          <w:tab w:val="left" w:pos="567"/>
        </w:tabs>
        <w:jc w:val="both"/>
        <w:rPr>
          <w:color w:val="000000"/>
          <w:sz w:val="22"/>
          <w:szCs w:val="22"/>
        </w:rPr>
      </w:pPr>
      <w:r w:rsidRPr="00295E71">
        <w:rPr>
          <w:color w:val="000000"/>
          <w:sz w:val="22"/>
          <w:szCs w:val="22"/>
        </w:rPr>
        <w:t xml:space="preserve">In uno studio su 64 pazienti con artrite reumatoide, sottoposti a trattamento con Humira, non è stata evidenziata alcuna inibizione dell’ipersensibilità ritardata, nè riduzione dei livelli delle immunoglobuline o cambiamenti nel numero dei linfociti T, B, delle cellule NK, dei monociti/macrofagi e dei neutrofili. </w:t>
      </w:r>
    </w:p>
    <w:p w:rsidR="00157870" w:rsidRPr="00295E71" w:rsidP="00157870" w14:paraId="725B0F93" w14:textId="77777777">
      <w:pPr>
        <w:tabs>
          <w:tab w:val="left" w:pos="567"/>
        </w:tabs>
        <w:jc w:val="both"/>
        <w:rPr>
          <w:color w:val="000000"/>
          <w:sz w:val="22"/>
          <w:szCs w:val="22"/>
        </w:rPr>
      </w:pPr>
    </w:p>
    <w:p w:rsidR="00157870" w:rsidRPr="00295E71" w:rsidP="00157870" w14:paraId="2A717FC7" w14:textId="77777777">
      <w:pPr>
        <w:rPr>
          <w:color w:val="000000"/>
          <w:sz w:val="22"/>
          <w:szCs w:val="22"/>
          <w:u w:val="single"/>
        </w:rPr>
      </w:pPr>
      <w:r w:rsidRPr="00295E71">
        <w:rPr>
          <w:color w:val="000000"/>
          <w:sz w:val="22"/>
          <w:szCs w:val="22"/>
          <w:u w:val="single"/>
        </w:rPr>
        <w:t>Neoplasie e malattie linfoproliferative</w:t>
      </w:r>
    </w:p>
    <w:p w:rsidR="00157870" w:rsidRPr="00295E71" w:rsidP="00157870" w14:paraId="5F3FB50E" w14:textId="77777777">
      <w:pPr>
        <w:tabs>
          <w:tab w:val="left" w:pos="567"/>
        </w:tabs>
        <w:jc w:val="both"/>
        <w:rPr>
          <w:color w:val="000000"/>
          <w:sz w:val="22"/>
          <w:szCs w:val="22"/>
        </w:rPr>
      </w:pPr>
    </w:p>
    <w:p w:rsidR="00157870" w:rsidRPr="00295E71" w:rsidP="00157870" w14:paraId="2A11CA08" w14:textId="77777777">
      <w:pPr>
        <w:tabs>
          <w:tab w:val="left" w:pos="567"/>
        </w:tabs>
        <w:jc w:val="both"/>
        <w:rPr>
          <w:color w:val="000000"/>
          <w:sz w:val="22"/>
          <w:szCs w:val="22"/>
        </w:rPr>
      </w:pPr>
      <w:r w:rsidRPr="00295E71">
        <w:rPr>
          <w:color w:val="000000"/>
          <w:sz w:val="22"/>
          <w:szCs w:val="22"/>
        </w:rPr>
        <w:t xml:space="preserve">Nelle sezioni controllate degli studi clinici con farmaci anti-TNF, sono stati osservati più casi di neoplasie, incluso linfoma, nei pazienti riceventi un anti-TNF rispetto al gruppo di controllo. Tuttavia, </w:t>
      </w:r>
      <w:r w:rsidRPr="00295E71">
        <w:rPr>
          <w:color w:val="000000"/>
          <w:sz w:val="22"/>
          <w:szCs w:val="22"/>
        </w:rPr>
        <w:t>i casi sono stati rari.</w:t>
      </w:r>
      <w:r w:rsidRPr="00295E71" w:rsidR="003A68D3">
        <w:rPr>
          <w:color w:val="000000"/>
          <w:sz w:val="22"/>
          <w:szCs w:val="22"/>
        </w:rPr>
        <w:t xml:space="preserve"> </w:t>
      </w:r>
      <w:r w:rsidRPr="00295E71">
        <w:rPr>
          <w:color w:val="000000"/>
          <w:sz w:val="22"/>
          <w:szCs w:val="22"/>
        </w:rPr>
        <w:t>In studi postmarketing, sono stati riportati casi di leucemia in pazienti trattati con un antagonista-TNF.C’è un maggiore aumento del rischio di sviluppare linfomi e leucemia per i pazienti con artrite reumatoide gravemente attiva e di lunga durata, una patologia infiammatoria che complica la valutazione del rischio. Con le attuali conoscenze, non è possibile escludere lo sviluppo di linfomi, leucemia e altre neoplasie in pazienti trattati con farmaci anti-TNF.</w:t>
      </w:r>
    </w:p>
    <w:p w:rsidR="00157870" w:rsidRPr="00295E71" w:rsidP="00157870" w14:paraId="0780569F" w14:textId="77777777">
      <w:pPr>
        <w:tabs>
          <w:tab w:val="left" w:pos="567"/>
        </w:tabs>
        <w:jc w:val="both"/>
        <w:rPr>
          <w:color w:val="000000"/>
          <w:sz w:val="22"/>
          <w:szCs w:val="22"/>
        </w:rPr>
      </w:pPr>
    </w:p>
    <w:p w:rsidR="00157870" w:rsidRPr="00295E71" w:rsidP="00157870" w14:paraId="6187D0B3" w14:textId="77777777">
      <w:pPr>
        <w:tabs>
          <w:tab w:val="left" w:pos="567"/>
        </w:tabs>
        <w:jc w:val="both"/>
        <w:rPr>
          <w:color w:val="000000"/>
          <w:sz w:val="22"/>
          <w:szCs w:val="22"/>
        </w:rPr>
      </w:pPr>
      <w:r w:rsidRPr="00295E71">
        <w:rPr>
          <w:color w:val="000000"/>
          <w:sz w:val="22"/>
          <w:szCs w:val="22"/>
        </w:rPr>
        <w:t>Casi di tumori, alcuni fatali, sono stati riportati in</w:t>
      </w:r>
      <w:r w:rsidR="008C3B86">
        <w:rPr>
          <w:color w:val="000000"/>
          <w:sz w:val="22"/>
          <w:szCs w:val="22"/>
        </w:rPr>
        <w:t xml:space="preserve"> </w:t>
      </w:r>
      <w:r w:rsidRPr="00295E71">
        <w:rPr>
          <w:color w:val="000000"/>
          <w:sz w:val="22"/>
          <w:szCs w:val="22"/>
        </w:rPr>
        <w:t>bambini, adolescenti e adulti di giovane età (fino all’età di 22 anni) trattati con antagonisti del TNF (inizio della terapia ≤ 18 anni), compreso l’adalimumab, negli studi postmarketing.</w:t>
      </w:r>
    </w:p>
    <w:p w:rsidR="00157870" w:rsidRPr="00295E71" w:rsidP="00157870" w14:paraId="325E530C" w14:textId="77777777">
      <w:pPr>
        <w:tabs>
          <w:tab w:val="left" w:pos="567"/>
        </w:tabs>
        <w:jc w:val="both"/>
        <w:rPr>
          <w:color w:val="000000"/>
          <w:sz w:val="22"/>
          <w:szCs w:val="22"/>
        </w:rPr>
      </w:pPr>
      <w:r w:rsidRPr="00295E71">
        <w:rPr>
          <w:color w:val="000000"/>
          <w:sz w:val="22"/>
          <w:szCs w:val="22"/>
        </w:rPr>
        <w:t>Circa metà dei casi sono stati linfomi. Gli altri casi hanno rappresentato una molteplicità di differenti tumori e hanno incluso rari tumori solitamente associati con immunosoppressione. Non può essere escluso un rischio per lo sviluppo di tumori in bambini ed adolescenti trattati con antagonisti del TNF.</w:t>
      </w:r>
    </w:p>
    <w:p w:rsidR="00157870" w:rsidRPr="00295E71" w:rsidP="00157870" w14:paraId="67A4BC0A" w14:textId="77777777">
      <w:pPr>
        <w:tabs>
          <w:tab w:val="left" w:pos="567"/>
        </w:tabs>
        <w:jc w:val="both"/>
        <w:rPr>
          <w:color w:val="000000"/>
          <w:sz w:val="22"/>
          <w:szCs w:val="22"/>
        </w:rPr>
      </w:pPr>
    </w:p>
    <w:p w:rsidR="00157870" w:rsidRPr="00295E71" w:rsidP="00157870" w14:paraId="35CEACD1" w14:textId="77777777">
      <w:pPr>
        <w:tabs>
          <w:tab w:val="left" w:pos="567"/>
        </w:tabs>
        <w:jc w:val="both"/>
        <w:rPr>
          <w:color w:val="000000"/>
          <w:sz w:val="22"/>
          <w:szCs w:val="22"/>
        </w:rPr>
      </w:pPr>
      <w:r w:rsidRPr="00295E71">
        <w:rPr>
          <w:color w:val="000000"/>
          <w:sz w:val="22"/>
          <w:szCs w:val="22"/>
        </w:rPr>
        <w:t>Nei pazienti trattati con adalimumab sono stati osservati rari casi postmarketing di linfoma epatosplenico a cellule T. Questo raro tipo di linfoma a cellule T ha un decorso clinico molto aggressivo ed è spesso fatale. Alcuni di questi casi di linfoma epatosplenico a cellule T si sono manifestati in giovani pazienti adulti trattati con Humira e sottoposti a terapia concomitante con azatioprina o 6</w:t>
      </w:r>
      <w:r w:rsidRPr="00295E71">
        <w:rPr>
          <w:color w:val="000000"/>
          <w:sz w:val="22"/>
          <w:szCs w:val="22"/>
        </w:rPr>
        <w:noBreakHyphen/>
        <w:t>mercaptopurina, farmaci utilizzati per il trattamento delle malattie infiammatorie intestinali.</w:t>
      </w:r>
      <w:r w:rsidR="008C3B86">
        <w:rPr>
          <w:color w:val="000000"/>
          <w:sz w:val="22"/>
          <w:szCs w:val="22"/>
        </w:rPr>
        <w:t xml:space="preserve"> </w:t>
      </w:r>
      <w:r w:rsidRPr="00295E71">
        <w:rPr>
          <w:color w:val="000000"/>
          <w:sz w:val="22"/>
          <w:szCs w:val="22"/>
        </w:rPr>
        <w:t>Deve essere attentamente considerato il rischio potenziale derivante dalla combinazione di azatioprina o 6</w:t>
      </w:r>
      <w:r w:rsidRPr="00295E71">
        <w:rPr>
          <w:color w:val="000000"/>
          <w:sz w:val="22"/>
          <w:szCs w:val="22"/>
        </w:rPr>
        <w:noBreakHyphen/>
        <w:t>mercaptopurina e Humira.</w:t>
      </w:r>
      <w:r w:rsidR="008C3B86">
        <w:rPr>
          <w:color w:val="000000"/>
          <w:sz w:val="22"/>
          <w:szCs w:val="22"/>
        </w:rPr>
        <w:t xml:space="preserve"> </w:t>
      </w:r>
      <w:r w:rsidRPr="00295E71">
        <w:rPr>
          <w:color w:val="000000"/>
          <w:sz w:val="22"/>
          <w:szCs w:val="22"/>
        </w:rPr>
        <w:t>Nei pazienti trattati con Humira non può essere escluso il rischio di sviluppo del linfoma epatosplenico a cellule T (vedere paragrafo 4.8).</w:t>
      </w:r>
    </w:p>
    <w:p w:rsidR="00157870" w:rsidRPr="00295E71" w:rsidP="00157870" w14:paraId="54C897F4" w14:textId="77777777">
      <w:pPr>
        <w:tabs>
          <w:tab w:val="left" w:pos="567"/>
        </w:tabs>
        <w:jc w:val="both"/>
        <w:rPr>
          <w:color w:val="000000"/>
          <w:sz w:val="22"/>
          <w:szCs w:val="22"/>
        </w:rPr>
      </w:pPr>
    </w:p>
    <w:p w:rsidR="00157870" w:rsidRPr="00295E71" w:rsidP="00157870" w14:paraId="2E7A572A" w14:textId="77777777">
      <w:pPr>
        <w:tabs>
          <w:tab w:val="left" w:pos="567"/>
        </w:tabs>
        <w:jc w:val="both"/>
        <w:rPr>
          <w:color w:val="000000"/>
          <w:sz w:val="22"/>
          <w:szCs w:val="22"/>
        </w:rPr>
      </w:pPr>
      <w:r w:rsidRPr="00295E71">
        <w:rPr>
          <w:color w:val="000000"/>
          <w:sz w:val="22"/>
          <w:szCs w:val="22"/>
        </w:rPr>
        <w:t>Non sono stati condotti studi clinici su pazienti con anamnesi positiva per neoplasie o su pazienti nei quali il trattamento con Humira è continuato dopo lo sviluppo di neoplasia. Pertanto, il trattamento con Humira in questa tipologia di pazienti deve essere considerato con ulteriore cautela (vedere paragrafo 4.8).</w:t>
      </w:r>
    </w:p>
    <w:p w:rsidR="00157870" w:rsidRPr="00295E71" w:rsidP="00157870" w14:paraId="266EB2D6" w14:textId="77777777">
      <w:pPr>
        <w:tabs>
          <w:tab w:val="left" w:pos="567"/>
        </w:tabs>
        <w:jc w:val="both"/>
        <w:rPr>
          <w:color w:val="000000"/>
          <w:sz w:val="22"/>
          <w:szCs w:val="22"/>
        </w:rPr>
      </w:pPr>
    </w:p>
    <w:p w:rsidR="00157870" w:rsidRPr="00295E71" w:rsidP="00157870" w14:paraId="7FCF87A4" w14:textId="77777777">
      <w:pPr>
        <w:tabs>
          <w:tab w:val="left" w:pos="567"/>
        </w:tabs>
        <w:jc w:val="both"/>
        <w:rPr>
          <w:color w:val="000000"/>
          <w:sz w:val="22"/>
          <w:szCs w:val="22"/>
        </w:rPr>
      </w:pPr>
      <w:r w:rsidRPr="00295E71">
        <w:rPr>
          <w:color w:val="000000"/>
          <w:sz w:val="22"/>
          <w:szCs w:val="22"/>
        </w:rPr>
        <w:t xml:space="preserve">Prima e durante il trattamento con Humira, tutti i pazienti, in particolare i soggetti che presentano una storia clinica da cui risultino massicce terapie immunosoppressive o soggetti </w:t>
      </w:r>
      <w:r w:rsidRPr="00295E71" w:rsidR="00224E13">
        <w:rPr>
          <w:color w:val="000000"/>
          <w:sz w:val="22"/>
          <w:szCs w:val="22"/>
        </w:rPr>
        <w:t>con</w:t>
      </w:r>
      <w:r w:rsidRPr="00295E71">
        <w:rPr>
          <w:color w:val="000000"/>
          <w:sz w:val="22"/>
          <w:szCs w:val="22"/>
        </w:rPr>
        <w:t xml:space="preserve"> psoriasi che presentano storia clinica di trattamento con PUVA, devono essere esaminati per valutare la presenza di un eventuale tumore della pelle non melanotico. Nei pazienti trattati con antagonisti del TNF, incluso adalimumab, sono stati anche riportati melanoma e carcinoma a cellule di Merkel (vedere paragrafo 4.8).</w:t>
      </w:r>
    </w:p>
    <w:p w:rsidR="00157870" w:rsidRPr="00295E71" w:rsidP="00157870" w14:paraId="57939EDB" w14:textId="77777777">
      <w:pPr>
        <w:tabs>
          <w:tab w:val="left" w:pos="567"/>
        </w:tabs>
        <w:jc w:val="both"/>
        <w:rPr>
          <w:color w:val="000000"/>
          <w:sz w:val="22"/>
          <w:szCs w:val="22"/>
        </w:rPr>
      </w:pPr>
    </w:p>
    <w:p w:rsidR="00157870" w:rsidRPr="00295E71" w:rsidP="00157870" w14:paraId="55421033" w14:textId="77777777">
      <w:pPr>
        <w:tabs>
          <w:tab w:val="left" w:pos="567"/>
        </w:tabs>
        <w:jc w:val="both"/>
        <w:rPr>
          <w:color w:val="000000"/>
          <w:sz w:val="22"/>
          <w:szCs w:val="22"/>
        </w:rPr>
      </w:pPr>
      <w:r w:rsidRPr="00295E71">
        <w:rPr>
          <w:color w:val="000000"/>
          <w:sz w:val="22"/>
          <w:szCs w:val="22"/>
        </w:rPr>
        <w:t>In uno studio clinico esplorativo sulla valutazione dell’uso di un altro agente antagonista del TNF, infliximab, in pazienti con malattia polmonare cronica ostruttiva (COPD) da moderata a grave, furono riportate, nei pazienti trattati con infliximab rispetto ai pazienti controllo, più neoplasie, soprattutto al polmone o alla testa ed al collo. Tutti i pazienti avevano una storia di grandi fumatori.</w:t>
      </w:r>
    </w:p>
    <w:p w:rsidR="00157870" w:rsidRPr="00295E71" w:rsidP="00157870" w14:paraId="627449CB" w14:textId="77777777">
      <w:pPr>
        <w:tabs>
          <w:tab w:val="left" w:pos="567"/>
        </w:tabs>
        <w:jc w:val="both"/>
        <w:rPr>
          <w:color w:val="000000"/>
          <w:sz w:val="22"/>
          <w:szCs w:val="22"/>
        </w:rPr>
      </w:pPr>
      <w:r w:rsidRPr="00295E71">
        <w:rPr>
          <w:color w:val="000000"/>
          <w:sz w:val="22"/>
          <w:szCs w:val="22"/>
        </w:rPr>
        <w:t xml:space="preserve">Pertanto, deve essere usata cautela quando si utilizza qualsiasi antagonista-TNF in pazienti </w:t>
      </w:r>
      <w:r w:rsidRPr="00295E71" w:rsidR="00224E13">
        <w:rPr>
          <w:color w:val="000000"/>
          <w:sz w:val="22"/>
          <w:szCs w:val="22"/>
        </w:rPr>
        <w:t>con</w:t>
      </w:r>
      <w:r w:rsidRPr="00295E71">
        <w:rPr>
          <w:color w:val="000000"/>
          <w:sz w:val="22"/>
          <w:szCs w:val="22"/>
        </w:rPr>
        <w:t xml:space="preserve"> COPD, così come in pazienti con aumentato rischio di neoplasia dovut</w:t>
      </w:r>
      <w:r w:rsidR="008C3B86">
        <w:rPr>
          <w:color w:val="000000"/>
          <w:sz w:val="22"/>
          <w:szCs w:val="22"/>
        </w:rPr>
        <w:t>o</w:t>
      </w:r>
      <w:r w:rsidRPr="00295E71">
        <w:rPr>
          <w:color w:val="000000"/>
          <w:sz w:val="22"/>
          <w:szCs w:val="22"/>
        </w:rPr>
        <w:t xml:space="preserve"> al fumo eccessivo.</w:t>
      </w:r>
    </w:p>
    <w:p w:rsidR="00157870" w:rsidRPr="00295E71" w:rsidP="00157870" w14:paraId="223FE5B6" w14:textId="77777777">
      <w:pPr>
        <w:tabs>
          <w:tab w:val="left" w:pos="567"/>
        </w:tabs>
        <w:jc w:val="both"/>
        <w:rPr>
          <w:color w:val="000000"/>
          <w:sz w:val="22"/>
          <w:szCs w:val="22"/>
        </w:rPr>
      </w:pPr>
    </w:p>
    <w:p w:rsidR="00157870" w:rsidRPr="00295E71" w:rsidP="00F57FE5" w14:paraId="085C3F5A" w14:textId="77777777">
      <w:pPr>
        <w:keepNext/>
        <w:keepLines/>
        <w:tabs>
          <w:tab w:val="left" w:pos="567"/>
        </w:tabs>
        <w:jc w:val="both"/>
        <w:rPr>
          <w:color w:val="000000"/>
          <w:sz w:val="22"/>
          <w:szCs w:val="22"/>
        </w:rPr>
      </w:pPr>
      <w:r w:rsidRPr="00295E71">
        <w:rPr>
          <w:color w:val="000000"/>
          <w:sz w:val="22"/>
          <w:szCs w:val="22"/>
        </w:rPr>
        <w:t xml:space="preserve">In base ai dati attuali non è noto se il trattamento con adalimumab influenzi il rischio di sviluppare displasia o cancro del colon. Tutti i pazienti </w:t>
      </w:r>
      <w:r w:rsidRPr="00295E71" w:rsidR="00224E13">
        <w:rPr>
          <w:color w:val="000000"/>
          <w:sz w:val="22"/>
          <w:szCs w:val="22"/>
        </w:rPr>
        <w:t>con</w:t>
      </w:r>
      <w:r w:rsidRPr="00295E71">
        <w:rPr>
          <w:color w:val="000000"/>
          <w:sz w:val="22"/>
          <w:szCs w:val="22"/>
        </w:rPr>
        <w:t xml:space="preserve"> colite ulcerosa che sono ad aumentato rischio di displasia o carcinoma del colon</w:t>
      </w:r>
      <w:r w:rsidR="00CE787B">
        <w:rPr>
          <w:color w:val="000000"/>
          <w:sz w:val="22"/>
          <w:szCs w:val="22"/>
        </w:rPr>
        <w:t xml:space="preserve"> </w:t>
      </w:r>
      <w:r w:rsidRPr="00295E71">
        <w:rPr>
          <w:color w:val="000000"/>
          <w:sz w:val="22"/>
          <w:szCs w:val="22"/>
        </w:rPr>
        <w:t xml:space="preserve">(per esempio, pazienti </w:t>
      </w:r>
      <w:r w:rsidRPr="00295E71" w:rsidR="00224E13">
        <w:rPr>
          <w:color w:val="000000"/>
          <w:sz w:val="22"/>
          <w:szCs w:val="22"/>
        </w:rPr>
        <w:t>con</w:t>
      </w:r>
      <w:r w:rsidRPr="00295E71">
        <w:rPr>
          <w:color w:val="000000"/>
          <w:sz w:val="22"/>
          <w:szCs w:val="22"/>
        </w:rPr>
        <w:t xml:space="preserve"> colite ulcerosa da lunga data o da colangite sclerosante primaria), o che hanno avuto una precedente anamnesi di displasia o di carcinoma al colon devono essere sottoposti a screening regolari per displasia </w:t>
      </w:r>
      <w:r w:rsidRPr="00295E71" w:rsidR="00676430">
        <w:rPr>
          <w:color w:val="000000"/>
          <w:sz w:val="22"/>
          <w:szCs w:val="22"/>
        </w:rPr>
        <w:t xml:space="preserve">prima della terapia e </w:t>
      </w:r>
      <w:r w:rsidRPr="00295E71">
        <w:rPr>
          <w:color w:val="000000"/>
          <w:sz w:val="22"/>
          <w:szCs w:val="22"/>
        </w:rPr>
        <w:t>durante tutto il corso della malattia. Questa valutazione deve includere colonscopie e biopsie in base a</w:t>
      </w:r>
      <w:r w:rsidR="00CE787B">
        <w:rPr>
          <w:color w:val="000000"/>
          <w:sz w:val="22"/>
          <w:szCs w:val="22"/>
        </w:rPr>
        <w:t>lle</w:t>
      </w:r>
      <w:r w:rsidRPr="00295E71">
        <w:rPr>
          <w:color w:val="000000"/>
          <w:sz w:val="22"/>
          <w:szCs w:val="22"/>
        </w:rPr>
        <w:t xml:space="preserve"> raccomandazioni locali. </w:t>
      </w:r>
    </w:p>
    <w:p w:rsidR="00157870" w:rsidRPr="00295E71" w:rsidP="00157870" w14:paraId="55F71711" w14:textId="77777777">
      <w:pPr>
        <w:tabs>
          <w:tab w:val="left" w:pos="567"/>
        </w:tabs>
        <w:jc w:val="both"/>
        <w:rPr>
          <w:color w:val="000000"/>
          <w:sz w:val="22"/>
          <w:szCs w:val="22"/>
        </w:rPr>
      </w:pPr>
    </w:p>
    <w:p w:rsidR="00157870" w:rsidRPr="00295E71" w:rsidP="00157870" w14:paraId="033CC9EF" w14:textId="77777777">
      <w:pPr>
        <w:tabs>
          <w:tab w:val="left" w:pos="567"/>
        </w:tabs>
        <w:jc w:val="both"/>
        <w:rPr>
          <w:color w:val="000000"/>
          <w:sz w:val="22"/>
          <w:szCs w:val="22"/>
          <w:u w:val="single"/>
        </w:rPr>
      </w:pPr>
      <w:r w:rsidRPr="00295E71">
        <w:rPr>
          <w:color w:val="000000"/>
          <w:sz w:val="22"/>
          <w:szCs w:val="22"/>
          <w:u w:val="single"/>
        </w:rPr>
        <w:t>Reazioni a carico del sistema emopoietico</w:t>
      </w:r>
    </w:p>
    <w:p w:rsidR="00157870" w:rsidRPr="00295E71" w:rsidP="00157870" w14:paraId="4E1B98BC" w14:textId="77777777">
      <w:pPr>
        <w:tabs>
          <w:tab w:val="left" w:pos="567"/>
        </w:tabs>
        <w:jc w:val="both"/>
        <w:rPr>
          <w:color w:val="000000"/>
          <w:sz w:val="22"/>
          <w:szCs w:val="22"/>
          <w:u w:val="single"/>
        </w:rPr>
      </w:pPr>
    </w:p>
    <w:p w:rsidR="00157870" w:rsidRPr="00295E71" w:rsidP="00157870" w14:paraId="13BF4602" w14:textId="77777777">
      <w:pPr>
        <w:tabs>
          <w:tab w:val="left" w:pos="567"/>
        </w:tabs>
        <w:jc w:val="both"/>
        <w:rPr>
          <w:color w:val="000000"/>
          <w:sz w:val="22"/>
          <w:szCs w:val="22"/>
        </w:rPr>
      </w:pPr>
      <w:r w:rsidRPr="00295E71">
        <w:rPr>
          <w:color w:val="000000"/>
          <w:sz w:val="22"/>
          <w:szCs w:val="22"/>
        </w:rPr>
        <w:t xml:space="preserve">In seguito all’uso di farmaci anti-TNF, sono stati segnalati rari casi di pancitopenia, tra cui la comparsa di anemia aplastica. </w:t>
      </w:r>
    </w:p>
    <w:p w:rsidR="00157870" w:rsidRPr="00295E71" w:rsidP="00157870" w14:paraId="2BED7FD0" w14:textId="77777777">
      <w:pPr>
        <w:tabs>
          <w:tab w:val="left" w:pos="567"/>
        </w:tabs>
        <w:jc w:val="both"/>
        <w:rPr>
          <w:color w:val="000000"/>
          <w:sz w:val="22"/>
          <w:szCs w:val="22"/>
        </w:rPr>
      </w:pPr>
    </w:p>
    <w:p w:rsidR="00157870" w:rsidRPr="00295E71" w:rsidP="00157870" w14:paraId="514D142C" w14:textId="77777777">
      <w:pPr>
        <w:tabs>
          <w:tab w:val="left" w:pos="567"/>
        </w:tabs>
        <w:jc w:val="both"/>
        <w:rPr>
          <w:color w:val="000000"/>
          <w:sz w:val="22"/>
          <w:szCs w:val="22"/>
        </w:rPr>
      </w:pPr>
      <w:r w:rsidRPr="00295E71">
        <w:rPr>
          <w:color w:val="000000"/>
          <w:sz w:val="22"/>
          <w:szCs w:val="22"/>
        </w:rPr>
        <w:t xml:space="preserve">Nei pazienti sottoposti a trattamento con Humira, sono stati segnalati eventi avversi a carico del sistema emopoietico, tra cui citopenie significative dal punto di vista medico (per esempio, trombocitopenia, leucopenia). Durante il trattamento con Humira tutti i pazienti devono essere avvisati della necessità di consultare immediatamente un medico per ottenere adeguata assistenza nel caso in cui si manifestino segni e sintomi che suggeriscano la presenza di discrasia ematica (per esempio, febbre persistente, </w:t>
      </w:r>
      <w:r w:rsidRPr="00295E71">
        <w:rPr>
          <w:color w:val="000000"/>
          <w:sz w:val="22"/>
          <w:szCs w:val="22"/>
        </w:rPr>
        <w:t>ecchimosi, emorragia, pallore). Nel caso di pazienti che presentino confermate significative alterazioni a carico del sistema emopoietico, si deve prendere in considerazione la necessità di interrompere la terapia a base di Humira.</w:t>
      </w:r>
    </w:p>
    <w:p w:rsidR="00157870" w:rsidRPr="00295E71" w:rsidP="00157870" w14:paraId="150BAC03" w14:textId="77777777">
      <w:pPr>
        <w:tabs>
          <w:tab w:val="left" w:pos="567"/>
        </w:tabs>
        <w:jc w:val="both"/>
        <w:rPr>
          <w:sz w:val="22"/>
          <w:szCs w:val="22"/>
        </w:rPr>
      </w:pPr>
    </w:p>
    <w:p w:rsidR="00157870" w:rsidRPr="00295E71" w:rsidP="00157870" w14:paraId="7BD2A243" w14:textId="77777777">
      <w:pPr>
        <w:keepNext/>
        <w:tabs>
          <w:tab w:val="left" w:pos="567"/>
        </w:tabs>
        <w:autoSpaceDE w:val="0"/>
        <w:autoSpaceDN w:val="0"/>
        <w:adjustRightInd w:val="0"/>
        <w:jc w:val="both"/>
        <w:rPr>
          <w:sz w:val="22"/>
          <w:szCs w:val="22"/>
          <w:u w:val="single"/>
        </w:rPr>
      </w:pPr>
      <w:r w:rsidRPr="00295E71">
        <w:rPr>
          <w:sz w:val="22"/>
          <w:szCs w:val="22"/>
          <w:u w:val="single"/>
        </w:rPr>
        <w:t>Vaccinazioni</w:t>
      </w:r>
    </w:p>
    <w:p w:rsidR="00157870" w:rsidRPr="00295E71" w:rsidP="00157870" w14:paraId="5AA7E6DD" w14:textId="77777777">
      <w:pPr>
        <w:keepNext/>
        <w:tabs>
          <w:tab w:val="left" w:pos="567"/>
        </w:tabs>
        <w:autoSpaceDE w:val="0"/>
        <w:autoSpaceDN w:val="0"/>
        <w:adjustRightInd w:val="0"/>
        <w:jc w:val="both"/>
        <w:rPr>
          <w:sz w:val="22"/>
          <w:szCs w:val="22"/>
          <w:u w:val="single"/>
        </w:rPr>
      </w:pPr>
    </w:p>
    <w:p w:rsidR="00157870" w:rsidRPr="00295E71" w:rsidP="00157870" w14:paraId="7650964E" w14:textId="77777777">
      <w:pPr>
        <w:keepNext/>
        <w:tabs>
          <w:tab w:val="left" w:pos="567"/>
        </w:tabs>
        <w:autoSpaceDE w:val="0"/>
        <w:autoSpaceDN w:val="0"/>
        <w:adjustRightInd w:val="0"/>
        <w:jc w:val="both"/>
        <w:rPr>
          <w:sz w:val="22"/>
          <w:szCs w:val="22"/>
        </w:rPr>
      </w:pPr>
      <w:r w:rsidRPr="00295E71">
        <w:rPr>
          <w:sz w:val="22"/>
          <w:szCs w:val="22"/>
        </w:rPr>
        <w:t xml:space="preserve">Risposte anticorpali simili al vaccino standard 23-valente pneumococcico ed al vaccino trivalente per il virus dell’influenza sono state osservate in uno studio condotto su 226 soggetti adulti </w:t>
      </w:r>
      <w:r w:rsidRPr="00295E71" w:rsidR="00224E13">
        <w:rPr>
          <w:sz w:val="22"/>
          <w:szCs w:val="22"/>
        </w:rPr>
        <w:t>con</w:t>
      </w:r>
      <w:r w:rsidRPr="00295E71">
        <w:rPr>
          <w:sz w:val="22"/>
          <w:szCs w:val="22"/>
        </w:rPr>
        <w:t xml:space="preserve"> artrite reumatoide che sono stati trattati con adalimumab o con placebo. Non ci sono dati disponibili sulla trasmissione secondaria di infezione da vaccini vivi in pazienti che stanno assumendo Humira. </w:t>
      </w:r>
    </w:p>
    <w:p w:rsidR="00157870" w:rsidRPr="00295E71" w:rsidP="00157870" w14:paraId="0CA32F5E" w14:textId="77777777">
      <w:pPr>
        <w:tabs>
          <w:tab w:val="left" w:pos="567"/>
        </w:tabs>
        <w:autoSpaceDE w:val="0"/>
        <w:autoSpaceDN w:val="0"/>
        <w:adjustRightInd w:val="0"/>
        <w:jc w:val="both"/>
        <w:rPr>
          <w:sz w:val="22"/>
          <w:szCs w:val="22"/>
        </w:rPr>
      </w:pPr>
    </w:p>
    <w:p w:rsidR="00157870" w:rsidRPr="00295E71" w:rsidP="00157870" w14:paraId="6B5CD488" w14:textId="77777777">
      <w:pPr>
        <w:tabs>
          <w:tab w:val="left" w:pos="567"/>
        </w:tabs>
        <w:autoSpaceDE w:val="0"/>
        <w:autoSpaceDN w:val="0"/>
        <w:adjustRightInd w:val="0"/>
        <w:jc w:val="both"/>
        <w:rPr>
          <w:sz w:val="22"/>
          <w:szCs w:val="22"/>
        </w:rPr>
      </w:pPr>
      <w:r w:rsidRPr="00295E71">
        <w:rPr>
          <w:sz w:val="22"/>
          <w:szCs w:val="22"/>
        </w:rPr>
        <w:t>Nei pazienti pediatrici, prima di iniziare la terapia a base di Humira si raccomanda, se possibile, di attuare il programma di vaccinazioni previsto, in ottemperanza alle linee guida in vigore sulle vaccinazioni.</w:t>
      </w:r>
    </w:p>
    <w:p w:rsidR="00157870" w:rsidRPr="00295E71" w:rsidP="00157870" w14:paraId="635245C3" w14:textId="77777777">
      <w:pPr>
        <w:tabs>
          <w:tab w:val="left" w:pos="567"/>
        </w:tabs>
        <w:autoSpaceDE w:val="0"/>
        <w:autoSpaceDN w:val="0"/>
        <w:adjustRightInd w:val="0"/>
        <w:jc w:val="both"/>
        <w:rPr>
          <w:sz w:val="22"/>
          <w:szCs w:val="22"/>
        </w:rPr>
      </w:pPr>
    </w:p>
    <w:p w:rsidR="00157870" w:rsidRPr="00295E71" w:rsidP="00157870" w14:paraId="664B3A74" w14:textId="77777777">
      <w:pPr>
        <w:tabs>
          <w:tab w:val="left" w:pos="567"/>
        </w:tabs>
        <w:autoSpaceDE w:val="0"/>
        <w:autoSpaceDN w:val="0"/>
        <w:adjustRightInd w:val="0"/>
        <w:jc w:val="both"/>
        <w:rPr>
          <w:sz w:val="22"/>
          <w:szCs w:val="22"/>
        </w:rPr>
      </w:pPr>
      <w:r w:rsidRPr="00295E71">
        <w:rPr>
          <w:sz w:val="22"/>
          <w:szCs w:val="22"/>
        </w:rPr>
        <w:t xml:space="preserve">Pazienti trattati con Humira possono ricevere vaccinazioni simultanee, ad eccezione dei vaccini vivi. La somministrazione di vaccini vivi </w:t>
      </w:r>
      <w:r w:rsidR="00284FF4">
        <w:rPr>
          <w:sz w:val="22"/>
          <w:szCs w:val="22"/>
        </w:rPr>
        <w:t xml:space="preserve">(ad es. vaccino BCG) </w:t>
      </w:r>
      <w:r w:rsidRPr="00295E71">
        <w:rPr>
          <w:sz w:val="22"/>
          <w:szCs w:val="22"/>
        </w:rPr>
        <w:t>a bambini esposti ad adalimumab nell’utero non è raccomandata</w:t>
      </w:r>
      <w:r w:rsidR="00755CB9">
        <w:rPr>
          <w:sz w:val="22"/>
          <w:szCs w:val="22"/>
        </w:rPr>
        <w:t xml:space="preserve"> fino a</w:t>
      </w:r>
      <w:r w:rsidRPr="00295E71">
        <w:rPr>
          <w:sz w:val="22"/>
          <w:szCs w:val="22"/>
        </w:rPr>
        <w:t xml:space="preserve"> 5 mesi dall’ultima somministrazione di adalimumab alla madre durante la gravidanza.</w:t>
      </w:r>
    </w:p>
    <w:p w:rsidR="00157870" w:rsidRPr="00295E71" w:rsidP="00157870" w14:paraId="6F0E7491" w14:textId="77777777">
      <w:pPr>
        <w:tabs>
          <w:tab w:val="left" w:pos="567"/>
        </w:tabs>
        <w:autoSpaceDE w:val="0"/>
        <w:autoSpaceDN w:val="0"/>
        <w:adjustRightInd w:val="0"/>
        <w:jc w:val="both"/>
        <w:rPr>
          <w:sz w:val="22"/>
          <w:szCs w:val="22"/>
        </w:rPr>
      </w:pPr>
    </w:p>
    <w:p w:rsidR="00157870" w:rsidRPr="00295E71" w:rsidP="00157870" w14:paraId="189AC541" w14:textId="77777777">
      <w:pPr>
        <w:tabs>
          <w:tab w:val="left" w:pos="567"/>
        </w:tabs>
        <w:autoSpaceDE w:val="0"/>
        <w:autoSpaceDN w:val="0"/>
        <w:adjustRightInd w:val="0"/>
        <w:spacing w:line="240" w:lineRule="atLeast"/>
        <w:jc w:val="both"/>
        <w:rPr>
          <w:sz w:val="22"/>
          <w:szCs w:val="22"/>
          <w:u w:val="single"/>
        </w:rPr>
      </w:pPr>
      <w:r w:rsidRPr="00295E71">
        <w:rPr>
          <w:sz w:val="22"/>
          <w:szCs w:val="22"/>
          <w:u w:val="single"/>
        </w:rPr>
        <w:t>Insufficienza cardiaca congestizia</w:t>
      </w:r>
    </w:p>
    <w:p w:rsidR="00157870" w:rsidRPr="00295E71" w:rsidP="00157870" w14:paraId="048E1BB8" w14:textId="77777777">
      <w:pPr>
        <w:tabs>
          <w:tab w:val="left" w:pos="567"/>
        </w:tabs>
        <w:autoSpaceDE w:val="0"/>
        <w:autoSpaceDN w:val="0"/>
        <w:adjustRightInd w:val="0"/>
        <w:spacing w:line="240" w:lineRule="atLeast"/>
        <w:jc w:val="both"/>
        <w:rPr>
          <w:color w:val="000000"/>
          <w:sz w:val="22"/>
          <w:szCs w:val="22"/>
          <w:u w:val="single"/>
        </w:rPr>
      </w:pPr>
    </w:p>
    <w:p w:rsidR="00157870" w:rsidRPr="00295E71" w:rsidP="00157870" w14:paraId="5ACA11CC" w14:textId="77777777">
      <w:pPr>
        <w:tabs>
          <w:tab w:val="left" w:pos="567"/>
        </w:tabs>
        <w:autoSpaceDE w:val="0"/>
        <w:autoSpaceDN w:val="0"/>
        <w:adjustRightInd w:val="0"/>
        <w:spacing w:line="240" w:lineRule="atLeast"/>
        <w:jc w:val="both"/>
        <w:rPr>
          <w:color w:val="000000"/>
          <w:sz w:val="22"/>
          <w:szCs w:val="22"/>
        </w:rPr>
      </w:pPr>
      <w:r w:rsidRPr="00295E71">
        <w:rPr>
          <w:color w:val="000000"/>
          <w:sz w:val="22"/>
          <w:szCs w:val="22"/>
        </w:rPr>
        <w:t>In uno</w:t>
      </w:r>
      <w:r w:rsidRPr="00295E71" w:rsidR="009E3292">
        <w:rPr>
          <w:color w:val="000000"/>
          <w:sz w:val="22"/>
          <w:szCs w:val="22"/>
        </w:rPr>
        <w:t xml:space="preserve"> </w:t>
      </w:r>
      <w:r w:rsidRPr="00295E71">
        <w:rPr>
          <w:color w:val="000000"/>
          <w:sz w:val="22"/>
          <w:szCs w:val="22"/>
        </w:rPr>
        <w:t xml:space="preserve">studio clinico con un altro farmaco anti-TNF sono stati osservati il peggioramento dell’insufficienza cardiaca congestizia e l’aumento di mortalità ad essa correlata. Anche in pazienti trattati con Humira sono stati osservati casi di peggioramento di insufficienza cardiaca congestizia. Humira deve essere usato con cautela in pazienti con lieve insufficienza cardiaca (classe I/II NYHA). Humira è controindicato nell’insufficienza cardiaca moderata o severa (vedere paragrafo 4.3). Il trattamento con Humira deve essere interrotto nei pazienti che presentino peggioramento o insorgenza di nuovi sintomi dell’insufficienza cardiaca congestizia. </w:t>
      </w:r>
    </w:p>
    <w:p w:rsidR="00157870" w:rsidRPr="00295E71" w:rsidP="00157870" w14:paraId="1519A28B" w14:textId="77777777">
      <w:pPr>
        <w:tabs>
          <w:tab w:val="left" w:pos="567"/>
        </w:tabs>
        <w:jc w:val="both"/>
        <w:rPr>
          <w:sz w:val="22"/>
          <w:szCs w:val="22"/>
          <w:u w:val="single"/>
        </w:rPr>
      </w:pPr>
    </w:p>
    <w:p w:rsidR="00157870" w:rsidRPr="00295E71" w:rsidP="00157870" w14:paraId="137D6366" w14:textId="77777777">
      <w:pPr>
        <w:tabs>
          <w:tab w:val="left" w:pos="567"/>
        </w:tabs>
        <w:jc w:val="both"/>
        <w:rPr>
          <w:sz w:val="22"/>
          <w:szCs w:val="22"/>
          <w:u w:val="single"/>
        </w:rPr>
      </w:pPr>
      <w:r w:rsidRPr="00295E71">
        <w:rPr>
          <w:sz w:val="22"/>
          <w:szCs w:val="22"/>
          <w:u w:val="single"/>
        </w:rPr>
        <w:t>Processi autoimmuni</w:t>
      </w:r>
    </w:p>
    <w:p w:rsidR="00157870" w:rsidRPr="00295E71" w:rsidP="00157870" w14:paraId="4C5AFCAC" w14:textId="77777777">
      <w:pPr>
        <w:tabs>
          <w:tab w:val="left" w:pos="567"/>
        </w:tabs>
        <w:jc w:val="both"/>
        <w:rPr>
          <w:sz w:val="22"/>
          <w:szCs w:val="22"/>
          <w:u w:val="single"/>
        </w:rPr>
      </w:pPr>
    </w:p>
    <w:p w:rsidR="00157870" w:rsidRPr="00295E71" w:rsidP="00157870" w14:paraId="599C2A4D" w14:textId="77777777">
      <w:pPr>
        <w:pStyle w:val="BodyText"/>
        <w:tabs>
          <w:tab w:val="left" w:pos="567"/>
        </w:tabs>
        <w:rPr>
          <w:lang w:eastAsia="en-US"/>
        </w:rPr>
      </w:pPr>
      <w:r w:rsidRPr="00295E71">
        <w:rPr>
          <w:lang w:eastAsia="en-US"/>
        </w:rPr>
        <w:t>Il trattamento con Humira può indurre la formazione di anticorpi autoimmuni. Non è noto l’impatto del trattamento a lungo termine con Humira sullo sviluppo di malattie autoimmuni. Se un paziente sviluppa sintomi indicativi di sindrome lupus-like a seguito di trattamento con Humira e risulta positivo per gli anticorpi contro il DNA a doppia catena, non deve essere somministrato un ulteriore trattamento con Humira (vedere paragrafo 4.8).</w:t>
      </w:r>
    </w:p>
    <w:p w:rsidR="00157870" w:rsidRPr="00295E71" w:rsidP="00157870" w14:paraId="570FA151" w14:textId="77777777">
      <w:pPr>
        <w:tabs>
          <w:tab w:val="left" w:pos="567"/>
        </w:tabs>
        <w:jc w:val="both"/>
        <w:rPr>
          <w:sz w:val="22"/>
          <w:szCs w:val="22"/>
        </w:rPr>
      </w:pPr>
    </w:p>
    <w:p w:rsidR="00157870" w:rsidRPr="00295E71" w:rsidP="00F57FE5" w14:paraId="0DAC75FF" w14:textId="77777777">
      <w:pPr>
        <w:pStyle w:val="Heading3"/>
        <w:keepLines/>
        <w:tabs>
          <w:tab w:val="left" w:pos="567"/>
        </w:tabs>
      </w:pPr>
      <w:r w:rsidRPr="00295E71">
        <w:t>Somministrazione concomitante di DMARD biologici o antagonisti del TNF</w:t>
      </w:r>
    </w:p>
    <w:p w:rsidR="00157870" w:rsidRPr="00295E71" w:rsidP="00F57FE5" w14:paraId="2C377BC0" w14:textId="77777777">
      <w:pPr>
        <w:keepNext/>
        <w:keepLines/>
        <w:tabs>
          <w:tab w:val="left" w:pos="567"/>
        </w:tabs>
        <w:jc w:val="both"/>
        <w:rPr>
          <w:sz w:val="22"/>
          <w:szCs w:val="22"/>
        </w:rPr>
      </w:pPr>
    </w:p>
    <w:p w:rsidR="00157870" w:rsidRPr="00295E71" w:rsidP="00F57FE5" w14:paraId="67932C7F" w14:textId="77777777">
      <w:pPr>
        <w:keepNext/>
        <w:keepLines/>
        <w:tabs>
          <w:tab w:val="left" w:pos="567"/>
        </w:tabs>
        <w:jc w:val="both"/>
        <w:rPr>
          <w:sz w:val="22"/>
          <w:szCs w:val="22"/>
        </w:rPr>
      </w:pPr>
      <w:r w:rsidRPr="00295E71">
        <w:rPr>
          <w:sz w:val="22"/>
          <w:szCs w:val="22"/>
        </w:rPr>
        <w:t>Nel corso di studi clinici condotti sulla terapia combinata con anakinra ed un altro farmaco anti-TNF, etanercept, sono s</w:t>
      </w:r>
      <w:r w:rsidR="00CE787B">
        <w:rPr>
          <w:sz w:val="22"/>
          <w:szCs w:val="22"/>
        </w:rPr>
        <w:t>t</w:t>
      </w:r>
      <w:r w:rsidRPr="00295E71">
        <w:rPr>
          <w:sz w:val="22"/>
          <w:szCs w:val="22"/>
        </w:rPr>
        <w:t>ate osservate infezioni gravi senza alcun beneficio clinico rispetto ad etanercept in monoterapia. Considerata la tipologia degli eventi avversi osservati con la combinazione di anakinra ed etanercept, potrebbero manifestarsi effetti indesiderati simili in seguito alla combinazione di anakinra ed un altro farmaco anti-TNF. Pertanto, la combinazione di adalimumab con anakinra non è raccomandata (vedere paragrafo 4.5).</w:t>
      </w:r>
    </w:p>
    <w:p w:rsidR="00157870" w:rsidRPr="00295E71" w:rsidP="00157870" w14:paraId="141EE360" w14:textId="77777777">
      <w:pPr>
        <w:tabs>
          <w:tab w:val="left" w:pos="567"/>
        </w:tabs>
        <w:jc w:val="both"/>
        <w:rPr>
          <w:sz w:val="22"/>
          <w:szCs w:val="22"/>
        </w:rPr>
      </w:pPr>
    </w:p>
    <w:p w:rsidR="00157870" w:rsidRPr="00295E71" w:rsidP="00157870" w14:paraId="0005882F" w14:textId="77777777">
      <w:pPr>
        <w:tabs>
          <w:tab w:val="left" w:pos="567"/>
        </w:tabs>
        <w:jc w:val="both"/>
        <w:rPr>
          <w:sz w:val="22"/>
          <w:szCs w:val="22"/>
        </w:rPr>
      </w:pPr>
      <w:r w:rsidRPr="00295E71">
        <w:rPr>
          <w:sz w:val="22"/>
          <w:szCs w:val="22"/>
        </w:rPr>
        <w:t>La somministrazione concomitante di adalimumab con altri DMARD biologici (per es. anakinra e abatacept) o altri antagonisti del TNF non è raccomandata sulla base di un possibile aumento del rischio di infezioni, incluse infezioni gravi e altre potenziali interazioni farmacologiche (vedere paragrafo 4.5).</w:t>
      </w:r>
    </w:p>
    <w:p w:rsidR="00157870" w:rsidRPr="00295E71" w:rsidP="00157870" w14:paraId="6F46304A" w14:textId="77777777">
      <w:pPr>
        <w:rPr>
          <w:sz w:val="22"/>
          <w:szCs w:val="22"/>
          <w:u w:val="single"/>
        </w:rPr>
      </w:pPr>
    </w:p>
    <w:p w:rsidR="00157870" w:rsidRPr="00295E71" w:rsidP="00157870" w14:paraId="72B77015" w14:textId="77777777">
      <w:pPr>
        <w:keepNext/>
        <w:rPr>
          <w:sz w:val="22"/>
          <w:szCs w:val="22"/>
          <w:u w:val="single"/>
        </w:rPr>
      </w:pPr>
      <w:r w:rsidRPr="00295E71">
        <w:rPr>
          <w:sz w:val="22"/>
          <w:szCs w:val="22"/>
          <w:u w:val="single"/>
        </w:rPr>
        <w:t>Interventi chirurgici</w:t>
      </w:r>
    </w:p>
    <w:p w:rsidR="00157870" w:rsidRPr="00295E71" w:rsidP="00157870" w14:paraId="0253BE4F" w14:textId="77777777">
      <w:pPr>
        <w:keepNext/>
        <w:tabs>
          <w:tab w:val="left" w:pos="567"/>
        </w:tabs>
        <w:jc w:val="both"/>
        <w:rPr>
          <w:sz w:val="22"/>
          <w:szCs w:val="22"/>
        </w:rPr>
      </w:pPr>
    </w:p>
    <w:p w:rsidR="00157870" w:rsidRPr="00295E71" w:rsidP="00157870" w14:paraId="61B886BB" w14:textId="77777777">
      <w:pPr>
        <w:keepNext/>
        <w:tabs>
          <w:tab w:val="left" w:pos="567"/>
        </w:tabs>
        <w:jc w:val="both"/>
        <w:rPr>
          <w:sz w:val="22"/>
          <w:szCs w:val="22"/>
        </w:rPr>
      </w:pPr>
      <w:r w:rsidRPr="00295E71">
        <w:rPr>
          <w:sz w:val="22"/>
          <w:szCs w:val="22"/>
        </w:rPr>
        <w:t xml:space="preserve">Nei pazienti trattati con Humira c’è un’esperienza limitata relativa alla sicurezza di procedure chirurgiche. Nel caso in cui si pianifichi un intervento chirurgico si deve considerare la lunga emivita di adalimumab. Un paziente che dovesse essere sottoposto ad intervento chirurgico durante il trattamento con Humira deve essere attentamente seguito per lo sviluppo di infezioni, nel qual caso andrebbero </w:t>
      </w:r>
      <w:r w:rsidRPr="00295E71">
        <w:rPr>
          <w:sz w:val="22"/>
          <w:szCs w:val="22"/>
        </w:rPr>
        <w:t>intraprese opportune azioni. C’è un’esperienza limitata per quanto riguarda la sicurezza in pazienti sottoposti ad interventi di artroplastica in corso di trattamento con Humira.</w:t>
      </w:r>
    </w:p>
    <w:p w:rsidR="00157870" w:rsidRPr="00295E71" w:rsidP="00157870" w14:paraId="7F15B050" w14:textId="77777777">
      <w:pPr>
        <w:tabs>
          <w:tab w:val="left" w:pos="567"/>
        </w:tabs>
        <w:jc w:val="both"/>
        <w:rPr>
          <w:sz w:val="22"/>
          <w:szCs w:val="22"/>
        </w:rPr>
      </w:pPr>
    </w:p>
    <w:p w:rsidR="00157870" w:rsidRPr="00295E71" w:rsidP="00157870" w14:paraId="7E19F1FB" w14:textId="77777777">
      <w:pPr>
        <w:keepNext/>
        <w:tabs>
          <w:tab w:val="left" w:pos="567"/>
        </w:tabs>
        <w:jc w:val="both"/>
        <w:rPr>
          <w:sz w:val="22"/>
          <w:szCs w:val="22"/>
          <w:u w:val="single"/>
        </w:rPr>
      </w:pPr>
      <w:r w:rsidRPr="00295E71">
        <w:rPr>
          <w:sz w:val="22"/>
          <w:szCs w:val="22"/>
          <w:u w:val="single"/>
        </w:rPr>
        <w:t>Ostruzione dell’intestino tenue</w:t>
      </w:r>
    </w:p>
    <w:p w:rsidR="00157870" w:rsidRPr="00295E71" w:rsidP="00157870" w14:paraId="44653361" w14:textId="77777777">
      <w:pPr>
        <w:keepNext/>
        <w:tabs>
          <w:tab w:val="left" w:pos="567"/>
        </w:tabs>
        <w:jc w:val="both"/>
        <w:rPr>
          <w:sz w:val="22"/>
          <w:szCs w:val="22"/>
          <w:u w:val="single"/>
        </w:rPr>
      </w:pPr>
    </w:p>
    <w:p w:rsidR="00157870" w:rsidRPr="00295E71" w:rsidP="00157870" w14:paraId="7970DA30" w14:textId="77777777">
      <w:pPr>
        <w:pStyle w:val="EMEAFigureTitle"/>
        <w:keepNext/>
        <w:suppressAutoHyphens w:val="0"/>
        <w:jc w:val="both"/>
        <w:rPr>
          <w:lang w:val="it-IT" w:eastAsia="it-IT"/>
        </w:rPr>
      </w:pPr>
      <w:r w:rsidRPr="00295E71">
        <w:rPr>
          <w:lang w:val="it-IT" w:eastAsia="it-IT"/>
        </w:rPr>
        <w:t>La mancata risposta al trattamento per la malattia di Crohn può indicare la presenza di stenosi rigida fibrotica che può richiedere un intervento chirurgico. I dati disponibili suggeriscono che Humira non peggiora o causa stenosi.</w:t>
      </w:r>
    </w:p>
    <w:p w:rsidR="00157870" w:rsidRPr="00295E71" w:rsidP="00157870" w14:paraId="796F6E5A" w14:textId="77777777">
      <w:pPr>
        <w:pStyle w:val="EMEANormal"/>
        <w:jc w:val="both"/>
        <w:rPr>
          <w:lang w:val="it-IT" w:eastAsia="it-IT"/>
        </w:rPr>
      </w:pPr>
    </w:p>
    <w:p w:rsidR="00157870" w:rsidRPr="00295E71" w:rsidP="00157870" w14:paraId="42E969E8" w14:textId="77777777">
      <w:pPr>
        <w:pStyle w:val="EMEANormal"/>
        <w:keepNext/>
        <w:jc w:val="both"/>
        <w:rPr>
          <w:color w:val="000000"/>
          <w:u w:val="single"/>
          <w:lang w:val="it-IT" w:eastAsia="it-IT"/>
        </w:rPr>
      </w:pPr>
      <w:r w:rsidRPr="00295E71">
        <w:rPr>
          <w:color w:val="000000"/>
          <w:u w:val="single"/>
          <w:lang w:val="it-IT" w:eastAsia="it-IT"/>
        </w:rPr>
        <w:t>Anziani</w:t>
      </w:r>
    </w:p>
    <w:p w:rsidR="00157870" w:rsidRPr="00295E71" w:rsidP="00157870" w14:paraId="0F90C2D3" w14:textId="77777777">
      <w:pPr>
        <w:pStyle w:val="EMEANormal"/>
        <w:keepNext/>
        <w:jc w:val="both"/>
        <w:rPr>
          <w:color w:val="000000"/>
          <w:lang w:val="it-IT" w:eastAsia="it-IT"/>
        </w:rPr>
      </w:pPr>
    </w:p>
    <w:p w:rsidR="00157870" w:rsidRPr="00295E71" w:rsidP="00157870" w14:paraId="3F8ECE74" w14:textId="77777777">
      <w:pPr>
        <w:pStyle w:val="EMEANormal"/>
        <w:keepNext/>
        <w:jc w:val="both"/>
        <w:rPr>
          <w:lang w:val="it-IT" w:eastAsia="it-IT"/>
        </w:rPr>
      </w:pPr>
      <w:r w:rsidRPr="00295E71">
        <w:rPr>
          <w:lang w:val="it-IT" w:eastAsia="it-IT"/>
        </w:rPr>
        <w:t>La frequenza di infezioni gravi tra i pazienti di età superiore a 65 anni (3,7%) trattati con Humira è stata superiore rispetto a quelli di età inferiore a 65 anni (1,5%). Alcuni di questi hanno avuto un esito fatale. Particolare attenzione per quanto riguarda il rischio di infezione deve essere prestata nel trattamento dei pazienti anziani.</w:t>
      </w:r>
    </w:p>
    <w:p w:rsidR="00157870" w:rsidRPr="00295E71" w:rsidP="00157870" w14:paraId="6492FBA6" w14:textId="77777777">
      <w:pPr>
        <w:pStyle w:val="EMEANormal"/>
        <w:keepNext/>
        <w:jc w:val="both"/>
        <w:rPr>
          <w:lang w:val="it-IT" w:eastAsia="it-IT"/>
        </w:rPr>
      </w:pPr>
    </w:p>
    <w:p w:rsidR="00157870" w:rsidRPr="00295E71" w:rsidP="00157870" w14:paraId="75CD0264" w14:textId="77777777">
      <w:pPr>
        <w:pStyle w:val="EMEANormal"/>
        <w:jc w:val="both"/>
        <w:rPr>
          <w:u w:val="single"/>
          <w:lang w:val="it-IT" w:eastAsia="it-IT"/>
        </w:rPr>
      </w:pPr>
      <w:r w:rsidRPr="00295E71">
        <w:rPr>
          <w:u w:val="single"/>
          <w:lang w:val="it-IT" w:eastAsia="it-IT"/>
        </w:rPr>
        <w:t>Popolazione pediatrica</w:t>
      </w:r>
    </w:p>
    <w:p w:rsidR="00157870" w:rsidRPr="00295E71" w:rsidP="00157870" w14:paraId="54E1B688" w14:textId="77777777">
      <w:pPr>
        <w:pStyle w:val="EMEANormal"/>
        <w:jc w:val="both"/>
        <w:rPr>
          <w:lang w:val="it-IT" w:eastAsia="it-IT"/>
        </w:rPr>
      </w:pPr>
    </w:p>
    <w:p w:rsidR="00157870" w:rsidP="00157870" w14:paraId="72245126" w14:textId="77777777">
      <w:pPr>
        <w:pStyle w:val="EMEANormal"/>
        <w:jc w:val="both"/>
        <w:rPr>
          <w:ins w:id="17" w:author="AbbVie14" w:date="2025-05-09T10:23:00Z"/>
          <w:lang w:val="it-IT" w:eastAsia="it-IT"/>
        </w:rPr>
      </w:pPr>
      <w:r w:rsidRPr="00295E71">
        <w:rPr>
          <w:lang w:val="it-IT" w:eastAsia="it-IT"/>
        </w:rPr>
        <w:t>Vedere Vaccinazioni sopra.</w:t>
      </w:r>
    </w:p>
    <w:p w:rsidR="00AD7AF0" w:rsidP="00157870" w14:paraId="764A2586" w14:textId="77777777">
      <w:pPr>
        <w:pStyle w:val="EMEANormal"/>
        <w:jc w:val="both"/>
        <w:rPr>
          <w:ins w:id="18" w:author="AbbVie14" w:date="2025-05-09T10:23:00Z"/>
          <w:lang w:val="it-IT" w:eastAsia="it-IT"/>
        </w:rPr>
      </w:pPr>
    </w:p>
    <w:p w:rsidR="00AD7AF0" w:rsidRPr="00530A2E" w:rsidP="00AD7AF0" w14:paraId="158E764D" w14:textId="77777777">
      <w:pPr>
        <w:tabs>
          <w:tab w:val="left" w:pos="567"/>
        </w:tabs>
        <w:autoSpaceDE w:val="0"/>
        <w:autoSpaceDN w:val="0"/>
        <w:adjustRightInd w:val="0"/>
        <w:jc w:val="both"/>
        <w:rPr>
          <w:ins w:id="19" w:author="AbbVie14" w:date="2025-05-09T10:23:00Z"/>
          <w:color w:val="000000"/>
          <w:sz w:val="22"/>
          <w:szCs w:val="22"/>
          <w:u w:val="single"/>
          <w:rPrChange w:id="20" w:author="AbbVie14" w:date="2025-05-15T08:21:00Z">
            <w:rPr>
              <w:color w:val="000000"/>
              <w:sz w:val="22"/>
              <w:szCs w:val="22"/>
            </w:rPr>
          </w:rPrChange>
        </w:rPr>
      </w:pPr>
      <w:ins w:id="21" w:author="AbbVie14" w:date="2025-05-09T10:23:00Z">
        <w:r w:rsidRPr="00530A2E">
          <w:rPr>
            <w:color w:val="000000"/>
            <w:sz w:val="22"/>
            <w:szCs w:val="22"/>
            <w:highlight w:val="none"/>
            <w:u w:val="single"/>
            <w:rPrChange w:id="22" w:author="AbbVie14" w:date="2025-05-15T08:21:00Z">
              <w:rPr>
                <w:color w:val="000000"/>
                <w:sz w:val="22"/>
                <w:szCs w:val="22"/>
                <w:highlight w:val="yellow"/>
              </w:rPr>
            </w:rPrChange>
          </w:rPr>
          <w:t>Eccipienti con effett</w:t>
        </w:r>
      </w:ins>
      <w:ins w:id="23" w:author="AbbVie14" w:date="2025-05-13T14:26:00Z">
        <w:r w:rsidRPr="00530A2E" w:rsidR="00C56E29">
          <w:rPr>
            <w:color w:val="000000"/>
            <w:sz w:val="22"/>
            <w:szCs w:val="22"/>
            <w:u w:val="single"/>
            <w:rPrChange w:id="24" w:author="AbbVie14" w:date="2025-05-15T08:21:00Z">
              <w:rPr>
                <w:color w:val="000000"/>
                <w:sz w:val="22"/>
                <w:szCs w:val="22"/>
              </w:rPr>
            </w:rPrChange>
          </w:rPr>
          <w:t>i</w:t>
        </w:r>
      </w:ins>
      <w:ins w:id="25" w:author="AbbVie14" w:date="2025-05-09T10:23:00Z">
        <w:r w:rsidRPr="00530A2E">
          <w:rPr>
            <w:color w:val="000000"/>
            <w:sz w:val="22"/>
            <w:szCs w:val="22"/>
            <w:highlight w:val="none"/>
            <w:u w:val="single"/>
            <w:rPrChange w:id="26" w:author="AbbVie14" w:date="2025-05-15T08:21:00Z">
              <w:rPr>
                <w:color w:val="000000"/>
                <w:sz w:val="22"/>
                <w:szCs w:val="22"/>
                <w:highlight w:val="yellow"/>
              </w:rPr>
            </w:rPrChange>
          </w:rPr>
          <w:t xml:space="preserve"> not</w:t>
        </w:r>
      </w:ins>
      <w:ins w:id="27" w:author="AbbVie14" w:date="2025-05-13T14:26:00Z">
        <w:r w:rsidRPr="00530A2E" w:rsidR="00C56E29">
          <w:rPr>
            <w:color w:val="000000"/>
            <w:sz w:val="22"/>
            <w:szCs w:val="22"/>
            <w:u w:val="single"/>
            <w:rPrChange w:id="28" w:author="AbbVie14" w:date="2025-05-15T08:21:00Z">
              <w:rPr>
                <w:color w:val="000000"/>
                <w:sz w:val="22"/>
                <w:szCs w:val="22"/>
              </w:rPr>
            </w:rPrChange>
          </w:rPr>
          <w:t>i</w:t>
        </w:r>
      </w:ins>
    </w:p>
    <w:p w:rsidR="00AD7AF0" w:rsidRPr="00BE2419" w:rsidP="00AD7AF0" w14:paraId="155D1BC0" w14:textId="77777777">
      <w:pPr>
        <w:tabs>
          <w:tab w:val="left" w:pos="567"/>
        </w:tabs>
        <w:autoSpaceDE w:val="0"/>
        <w:autoSpaceDN w:val="0"/>
        <w:adjustRightInd w:val="0"/>
        <w:jc w:val="both"/>
        <w:rPr>
          <w:ins w:id="29" w:author="AbbVie14" w:date="2025-05-09T10:23:00Z"/>
          <w:color w:val="000000"/>
          <w:sz w:val="22"/>
          <w:szCs w:val="22"/>
        </w:rPr>
      </w:pPr>
    </w:p>
    <w:p w:rsidR="00AD7AF0" w:rsidRPr="00E6608E" w14:paraId="4C19A8BB" w14:textId="7EA1EDEE">
      <w:pPr>
        <w:tabs>
          <w:tab w:val="left" w:pos="567"/>
        </w:tabs>
        <w:autoSpaceDE w:val="0"/>
        <w:autoSpaceDN w:val="0"/>
        <w:adjustRightInd w:val="0"/>
        <w:jc w:val="both"/>
        <w:pPrChange w:id="30" w:author="AbbVie14" w:date="2025-09-08T09:10:00Z">
          <w:pPr>
            <w:pStyle w:val="EMEANormal"/>
            <w:jc w:val="both"/>
          </w:pPr>
        </w:pPrChange>
        <w:rPr>
          <w:color w:val="000000"/>
          <w:lang w:val="en-US" w:eastAsia="en-US"/>
          <w:rPrChange w:id="31" w:author="AbbVie14" w:date="2025-09-08T09:10:00Z">
            <w:rPr>
              <w:lang w:val="it-IT" w:eastAsia="it-IT"/>
            </w:rPr>
          </w:rPrChange>
        </w:rPr>
      </w:pPr>
      <w:ins w:id="32" w:author="AbbVie14" w:date="2025-05-09T10:23:00Z">
        <w:r w:rsidRPr="00BE2419">
          <w:rPr>
            <w:color w:val="000000"/>
            <w:sz w:val="22"/>
            <w:szCs w:val="22"/>
            <w:highlight w:val="none"/>
            <w:rPrChange w:id="33" w:author="AbbVie14" w:date="2025-05-09T11:38:00Z">
              <w:rPr>
                <w:color w:val="000000"/>
                <w:highlight w:val="yellow"/>
              </w:rPr>
            </w:rPrChange>
          </w:rPr>
          <w:t xml:space="preserve">Questo medicinale contiene 0,2 mg di polisorbato 80 per ogni dose </w:t>
        </w:r>
      </w:ins>
      <w:ins w:id="34" w:author="AbbVie14" w:date="2025-05-09T11:38:00Z">
        <w:r w:rsidR="00BE2419">
          <w:rPr>
            <w:color w:val="000000"/>
            <w:sz w:val="22"/>
            <w:szCs w:val="22"/>
          </w:rPr>
          <w:t>d</w:t>
        </w:r>
      </w:ins>
      <w:ins w:id="35" w:author="AbbVie14" w:date="2025-05-09T10:23:00Z">
        <w:r w:rsidRPr="00BE2419">
          <w:rPr>
            <w:color w:val="000000"/>
            <w:sz w:val="22"/>
            <w:szCs w:val="22"/>
            <w:highlight w:val="none"/>
            <w:rPrChange w:id="36" w:author="AbbVie14" w:date="2025-05-09T11:38:00Z">
              <w:rPr>
                <w:color w:val="000000"/>
                <w:highlight w:val="yellow"/>
              </w:rPr>
            </w:rPrChange>
          </w:rPr>
          <w:t>a 20 mg.</w:t>
        </w:r>
      </w:ins>
      <w:r w:rsidR="00E6608E">
        <w:rPr>
          <w:color w:val="000000"/>
          <w:sz w:val="22"/>
          <w:szCs w:val="22"/>
        </w:rPr>
        <w:t xml:space="preserve"> </w:t>
      </w:r>
      <w:ins w:id="37" w:author="AbbVie14" w:date="2025-09-08T09:10:00Z">
        <w:r w:rsidRPr="00E6608E" w:rsidR="00E6608E">
          <w:rPr>
            <w:color w:val="000000"/>
            <w:sz w:val="22"/>
            <w:szCs w:val="22"/>
          </w:rPr>
          <w:t>I polisorbati possono provocare reazioni allergiche.</w:t>
        </w:r>
      </w:ins>
    </w:p>
    <w:p w:rsidR="00157870" w:rsidRPr="00295E71" w:rsidP="00157870" w14:paraId="0F6ADDA9" w14:textId="77777777">
      <w:pPr>
        <w:pStyle w:val="EMEANormal"/>
        <w:jc w:val="both"/>
        <w:rPr>
          <w:lang w:val="it-IT"/>
        </w:rPr>
      </w:pPr>
    </w:p>
    <w:p w:rsidR="00157870" w:rsidRPr="00295E71" w:rsidP="00157870" w14:paraId="11C65A10" w14:textId="77777777">
      <w:pPr>
        <w:tabs>
          <w:tab w:val="left" w:pos="567"/>
        </w:tabs>
        <w:autoSpaceDE w:val="0"/>
        <w:autoSpaceDN w:val="0"/>
        <w:adjustRightInd w:val="0"/>
        <w:jc w:val="both"/>
        <w:rPr>
          <w:b/>
          <w:bCs/>
          <w:sz w:val="22"/>
          <w:szCs w:val="22"/>
        </w:rPr>
      </w:pPr>
      <w:r w:rsidRPr="00295E71">
        <w:rPr>
          <w:b/>
          <w:bCs/>
          <w:color w:val="000000"/>
          <w:sz w:val="22"/>
          <w:szCs w:val="22"/>
        </w:rPr>
        <w:t>4.5</w:t>
      </w:r>
      <w:r w:rsidRPr="00295E71">
        <w:rPr>
          <w:b/>
          <w:bCs/>
          <w:color w:val="000000"/>
          <w:sz w:val="22"/>
          <w:szCs w:val="22"/>
        </w:rPr>
        <w:tab/>
      </w:r>
      <w:r w:rsidRPr="00295E71">
        <w:rPr>
          <w:b/>
          <w:bCs/>
          <w:sz w:val="22"/>
          <w:szCs w:val="22"/>
        </w:rPr>
        <w:t>Interazioni con altri medicinali ed altre forme d’interazione</w:t>
      </w:r>
    </w:p>
    <w:p w:rsidR="00157870" w:rsidRPr="00295E71" w:rsidP="00157870" w14:paraId="0179DE19" w14:textId="77777777">
      <w:pPr>
        <w:pStyle w:val="EndnoteText"/>
        <w:jc w:val="both"/>
        <w:rPr>
          <w:lang w:val="it-IT"/>
        </w:rPr>
      </w:pPr>
    </w:p>
    <w:p w:rsidR="00157870" w:rsidRPr="00295E71" w:rsidP="00157870" w14:paraId="3B4A2718" w14:textId="77777777">
      <w:pPr>
        <w:tabs>
          <w:tab w:val="left" w:pos="567"/>
        </w:tabs>
        <w:autoSpaceDE w:val="0"/>
        <w:autoSpaceDN w:val="0"/>
        <w:adjustRightInd w:val="0"/>
        <w:jc w:val="both"/>
        <w:rPr>
          <w:color w:val="000000"/>
          <w:sz w:val="22"/>
          <w:szCs w:val="22"/>
        </w:rPr>
      </w:pPr>
      <w:r w:rsidRPr="00295E71">
        <w:rPr>
          <w:color w:val="000000"/>
          <w:sz w:val="22"/>
          <w:szCs w:val="22"/>
        </w:rPr>
        <w:t xml:space="preserve">La terapia con Humira è stata studiata in monoterapia e in combinazione con metotressato in pazienti </w:t>
      </w:r>
      <w:r w:rsidRPr="00295E71" w:rsidR="00224E13">
        <w:rPr>
          <w:color w:val="000000"/>
          <w:sz w:val="22"/>
          <w:szCs w:val="22"/>
        </w:rPr>
        <w:t>con</w:t>
      </w:r>
      <w:r w:rsidRPr="00295E71">
        <w:rPr>
          <w:color w:val="000000"/>
          <w:sz w:val="22"/>
          <w:szCs w:val="22"/>
        </w:rPr>
        <w:t xml:space="preserve"> artrite reumatoide, artrite idiopatica giovanile poliarticolare e artrite psoriasica. Quando Humira è stato somministrato in combinazione con metotressato la formazione di anticorpi è stata inferiore rispetto alla monoterapia. La somministrazione di Humira senza il metotressato ha determinato un aumento della formazione di anticorpi, un aumento della clearance ed una riduzione dell’efficacia di adalimumab (vedere paragrafo 5.1). </w:t>
      </w:r>
    </w:p>
    <w:p w:rsidR="00157870" w:rsidRPr="00295E71" w:rsidP="00157870" w14:paraId="26CA9E89" w14:textId="77777777">
      <w:pPr>
        <w:tabs>
          <w:tab w:val="left" w:pos="567"/>
        </w:tabs>
        <w:autoSpaceDE w:val="0"/>
        <w:autoSpaceDN w:val="0"/>
        <w:adjustRightInd w:val="0"/>
        <w:jc w:val="both"/>
        <w:rPr>
          <w:color w:val="000000"/>
          <w:sz w:val="22"/>
          <w:szCs w:val="22"/>
        </w:rPr>
      </w:pPr>
    </w:p>
    <w:p w:rsidR="00157870" w:rsidRPr="00295E71" w:rsidP="00157870" w14:paraId="4630B267" w14:textId="77777777">
      <w:pPr>
        <w:tabs>
          <w:tab w:val="left" w:pos="567"/>
        </w:tabs>
        <w:autoSpaceDE w:val="0"/>
        <w:autoSpaceDN w:val="0"/>
        <w:adjustRightInd w:val="0"/>
        <w:jc w:val="both"/>
        <w:rPr>
          <w:color w:val="000000"/>
          <w:sz w:val="22"/>
          <w:szCs w:val="22"/>
        </w:rPr>
      </w:pPr>
      <w:r w:rsidRPr="00295E71">
        <w:rPr>
          <w:color w:val="000000"/>
          <w:sz w:val="22"/>
          <w:szCs w:val="22"/>
        </w:rPr>
        <w:t>La combinazione di Humira e anakinra non è raccomandata (vedere paragrafo 4.4 “Somministrazione concomitante di DMARD biologici o antagonisti del TNF”).</w:t>
      </w:r>
    </w:p>
    <w:p w:rsidR="00157870" w:rsidRPr="00295E71" w:rsidP="00157870" w14:paraId="553901F1" w14:textId="77777777">
      <w:pPr>
        <w:tabs>
          <w:tab w:val="left" w:pos="567"/>
        </w:tabs>
        <w:autoSpaceDE w:val="0"/>
        <w:autoSpaceDN w:val="0"/>
        <w:adjustRightInd w:val="0"/>
        <w:jc w:val="both"/>
        <w:rPr>
          <w:color w:val="000000"/>
          <w:sz w:val="22"/>
          <w:szCs w:val="22"/>
        </w:rPr>
      </w:pPr>
    </w:p>
    <w:p w:rsidR="00157870" w:rsidRPr="00295E71" w:rsidP="00157870" w14:paraId="070C634E" w14:textId="77777777">
      <w:pPr>
        <w:tabs>
          <w:tab w:val="left" w:pos="567"/>
        </w:tabs>
        <w:autoSpaceDE w:val="0"/>
        <w:autoSpaceDN w:val="0"/>
        <w:adjustRightInd w:val="0"/>
        <w:jc w:val="both"/>
        <w:rPr>
          <w:color w:val="000000"/>
          <w:sz w:val="22"/>
          <w:szCs w:val="22"/>
        </w:rPr>
      </w:pPr>
      <w:r w:rsidRPr="00295E71">
        <w:rPr>
          <w:color w:val="000000"/>
          <w:sz w:val="22"/>
          <w:szCs w:val="22"/>
        </w:rPr>
        <w:t>La combinazione di Humira e abatacept non è raccomandata (vedere paragrafo 4.4 “Somministrazione concomitante di DMARD biologici o antagonisti del TNF”).</w:t>
      </w:r>
    </w:p>
    <w:p w:rsidR="00157870" w:rsidRPr="00295E71" w:rsidP="00157870" w14:paraId="014A5845" w14:textId="77777777">
      <w:pPr>
        <w:tabs>
          <w:tab w:val="left" w:pos="567"/>
        </w:tabs>
        <w:autoSpaceDE w:val="0"/>
        <w:autoSpaceDN w:val="0"/>
        <w:adjustRightInd w:val="0"/>
        <w:jc w:val="both"/>
        <w:rPr>
          <w:color w:val="000000"/>
          <w:sz w:val="22"/>
          <w:szCs w:val="22"/>
        </w:rPr>
      </w:pPr>
    </w:p>
    <w:p w:rsidR="00157870" w:rsidRPr="00295E71" w:rsidP="00157870" w14:paraId="1C28F3A2" w14:textId="77777777">
      <w:pPr>
        <w:keepNext/>
        <w:keepLines/>
        <w:numPr>
          <w:ilvl w:val="1"/>
          <w:numId w:val="10"/>
        </w:numPr>
        <w:tabs>
          <w:tab w:val="clear" w:pos="360"/>
          <w:tab w:val="left" w:pos="567"/>
          <w:tab w:val="num" w:pos="720"/>
        </w:tabs>
        <w:autoSpaceDE w:val="0"/>
        <w:autoSpaceDN w:val="0"/>
        <w:adjustRightInd w:val="0"/>
        <w:ind w:left="567" w:hanging="567"/>
        <w:jc w:val="both"/>
        <w:rPr>
          <w:b/>
          <w:bCs/>
          <w:sz w:val="22"/>
          <w:szCs w:val="22"/>
        </w:rPr>
      </w:pPr>
      <w:r w:rsidRPr="00295E71">
        <w:rPr>
          <w:b/>
          <w:bCs/>
          <w:sz w:val="22"/>
          <w:szCs w:val="22"/>
        </w:rPr>
        <w:t>Fertilità, gravidanza e allattamento</w:t>
      </w:r>
    </w:p>
    <w:p w:rsidR="00157870" w:rsidRPr="00295E71" w:rsidP="00157870" w14:paraId="6A1759E7" w14:textId="77777777">
      <w:pPr>
        <w:keepNext/>
        <w:keepLines/>
        <w:tabs>
          <w:tab w:val="left" w:pos="567"/>
        </w:tabs>
        <w:autoSpaceDE w:val="0"/>
        <w:autoSpaceDN w:val="0"/>
        <w:adjustRightInd w:val="0"/>
        <w:jc w:val="both"/>
        <w:rPr>
          <w:color w:val="000000"/>
          <w:sz w:val="22"/>
          <w:szCs w:val="22"/>
        </w:rPr>
      </w:pPr>
    </w:p>
    <w:p w:rsidR="00157870" w:rsidRPr="00295E71" w:rsidP="00157870" w14:paraId="1CE0E646" w14:textId="77777777">
      <w:pPr>
        <w:keepNext/>
        <w:keepLines/>
        <w:tabs>
          <w:tab w:val="left" w:pos="567"/>
        </w:tabs>
        <w:jc w:val="both"/>
        <w:rPr>
          <w:sz w:val="22"/>
          <w:szCs w:val="22"/>
          <w:u w:val="single"/>
        </w:rPr>
      </w:pPr>
      <w:r w:rsidRPr="00295E71">
        <w:rPr>
          <w:sz w:val="22"/>
          <w:szCs w:val="22"/>
          <w:u w:val="single"/>
        </w:rPr>
        <w:t>Donne in età fertile</w:t>
      </w:r>
    </w:p>
    <w:p w:rsidR="00157870" w:rsidRPr="00295E71" w:rsidP="00157870" w14:paraId="7AEEC412" w14:textId="77777777">
      <w:pPr>
        <w:keepNext/>
        <w:keepLines/>
        <w:tabs>
          <w:tab w:val="left" w:pos="567"/>
        </w:tabs>
        <w:jc w:val="both"/>
        <w:rPr>
          <w:sz w:val="22"/>
          <w:szCs w:val="22"/>
        </w:rPr>
      </w:pPr>
    </w:p>
    <w:p w:rsidR="00157870" w:rsidRPr="00295E71" w:rsidP="00157870" w14:paraId="34E4F308" w14:textId="77777777">
      <w:pPr>
        <w:keepNext/>
        <w:keepLines/>
        <w:tabs>
          <w:tab w:val="left" w:pos="567"/>
        </w:tabs>
        <w:jc w:val="both"/>
        <w:rPr>
          <w:sz w:val="22"/>
          <w:szCs w:val="22"/>
        </w:rPr>
      </w:pPr>
      <w:r w:rsidRPr="00295E71">
        <w:rPr>
          <w:sz w:val="22"/>
          <w:szCs w:val="22"/>
        </w:rPr>
        <w:t xml:space="preserve">Le donne in età fertile devono </w:t>
      </w:r>
      <w:r w:rsidR="00C1594E">
        <w:rPr>
          <w:sz w:val="22"/>
          <w:szCs w:val="22"/>
        </w:rPr>
        <w:t>considerare l’utilizzo di</w:t>
      </w:r>
      <w:r w:rsidRPr="00295E71">
        <w:rPr>
          <w:sz w:val="22"/>
          <w:szCs w:val="22"/>
        </w:rPr>
        <w:t xml:space="preserve"> un adeguato metodo contraccettivo per prevenire una gravidanza e l’uso di tale metodo deve proseguire per almeno cinque mesi dopo l’ultimo trattamento con Humira.</w:t>
      </w:r>
    </w:p>
    <w:p w:rsidR="00157870" w:rsidRPr="00295E71" w:rsidP="00157870" w14:paraId="4E4C438F" w14:textId="77777777">
      <w:pPr>
        <w:tabs>
          <w:tab w:val="left" w:pos="567"/>
        </w:tabs>
        <w:autoSpaceDE w:val="0"/>
        <w:autoSpaceDN w:val="0"/>
        <w:adjustRightInd w:val="0"/>
        <w:jc w:val="both"/>
        <w:rPr>
          <w:sz w:val="22"/>
          <w:szCs w:val="22"/>
        </w:rPr>
      </w:pPr>
    </w:p>
    <w:p w:rsidR="00157870" w:rsidRPr="00295E71" w:rsidP="00157870" w14:paraId="5EC8B3FE" w14:textId="77777777">
      <w:pPr>
        <w:rPr>
          <w:sz w:val="22"/>
          <w:szCs w:val="22"/>
          <w:u w:val="single"/>
        </w:rPr>
      </w:pPr>
      <w:r w:rsidRPr="00295E71">
        <w:rPr>
          <w:sz w:val="22"/>
          <w:szCs w:val="22"/>
          <w:u w:val="single"/>
        </w:rPr>
        <w:t>Gravidanza</w:t>
      </w:r>
    </w:p>
    <w:p w:rsidR="00157870" w:rsidRPr="00295E71" w:rsidP="00157870" w14:paraId="54ADF874" w14:textId="77777777">
      <w:pPr>
        <w:tabs>
          <w:tab w:val="left" w:pos="567"/>
        </w:tabs>
        <w:autoSpaceDE w:val="0"/>
        <w:autoSpaceDN w:val="0"/>
        <w:adjustRightInd w:val="0"/>
        <w:jc w:val="both"/>
        <w:rPr>
          <w:sz w:val="22"/>
          <w:szCs w:val="22"/>
        </w:rPr>
      </w:pPr>
    </w:p>
    <w:p w:rsidR="00624925" w:rsidP="00157870" w14:paraId="31216A89" w14:textId="77777777">
      <w:pPr>
        <w:tabs>
          <w:tab w:val="left" w:pos="567"/>
        </w:tabs>
        <w:autoSpaceDE w:val="0"/>
        <w:autoSpaceDN w:val="0"/>
        <w:adjustRightInd w:val="0"/>
        <w:jc w:val="both"/>
        <w:rPr>
          <w:sz w:val="22"/>
          <w:szCs w:val="22"/>
        </w:rPr>
      </w:pPr>
      <w:r>
        <w:rPr>
          <w:sz w:val="22"/>
          <w:szCs w:val="22"/>
        </w:rPr>
        <w:t>Un numero elevato (circa 2100) di gravidanze esposte ad adalimumab</w:t>
      </w:r>
      <w:r w:rsidR="00324D9F">
        <w:rPr>
          <w:sz w:val="22"/>
          <w:szCs w:val="22"/>
        </w:rPr>
        <w:t>,</w:t>
      </w:r>
      <w:r>
        <w:rPr>
          <w:sz w:val="22"/>
          <w:szCs w:val="22"/>
        </w:rPr>
        <w:t xml:space="preserve"> </w:t>
      </w:r>
      <w:r w:rsidRPr="003F31B0">
        <w:rPr>
          <w:sz w:val="22"/>
          <w:szCs w:val="22"/>
        </w:rPr>
        <w:t>raccolte</w:t>
      </w:r>
      <w:r>
        <w:rPr>
          <w:sz w:val="22"/>
          <w:szCs w:val="22"/>
        </w:rPr>
        <w:t xml:space="preserve"> in modo prospettico</w:t>
      </w:r>
      <w:r w:rsidR="00324D9F">
        <w:rPr>
          <w:sz w:val="22"/>
          <w:szCs w:val="22"/>
        </w:rPr>
        <w:t>,</w:t>
      </w:r>
      <w:r>
        <w:rPr>
          <w:sz w:val="22"/>
          <w:szCs w:val="22"/>
        </w:rPr>
        <w:t xml:space="preserve"> </w:t>
      </w:r>
      <w:r w:rsidRPr="003F31B0" w:rsidR="00324D9F">
        <w:rPr>
          <w:sz w:val="22"/>
          <w:szCs w:val="22"/>
        </w:rPr>
        <w:t xml:space="preserve">che hanno portato </w:t>
      </w:r>
      <w:r w:rsidRPr="00F7229B" w:rsidR="00324D9F">
        <w:rPr>
          <w:sz w:val="22"/>
          <w:szCs w:val="22"/>
        </w:rPr>
        <w:t xml:space="preserve">a </w:t>
      </w:r>
      <w:r w:rsidRPr="00F7229B" w:rsidR="003F31B0">
        <w:rPr>
          <w:sz w:val="22"/>
          <w:szCs w:val="22"/>
        </w:rPr>
        <w:t>nati</w:t>
      </w:r>
      <w:r w:rsidR="00AB1F1C">
        <w:rPr>
          <w:sz w:val="22"/>
          <w:szCs w:val="22"/>
        </w:rPr>
        <w:t xml:space="preserve"> </w:t>
      </w:r>
      <w:r w:rsidRPr="00400881" w:rsidR="00324D9F">
        <w:rPr>
          <w:sz w:val="22"/>
          <w:szCs w:val="22"/>
        </w:rPr>
        <w:t xml:space="preserve">vivi </w:t>
      </w:r>
      <w:r w:rsidRPr="003F31B0" w:rsidR="00324D9F">
        <w:rPr>
          <w:sz w:val="22"/>
          <w:szCs w:val="22"/>
        </w:rPr>
        <w:t>con</w:t>
      </w:r>
      <w:r w:rsidRPr="003F31B0">
        <w:rPr>
          <w:sz w:val="22"/>
          <w:szCs w:val="22"/>
        </w:rPr>
        <w:t xml:space="preserve"> esiti noti</w:t>
      </w:r>
      <w:r w:rsidR="00324D9F">
        <w:rPr>
          <w:sz w:val="22"/>
          <w:szCs w:val="22"/>
        </w:rPr>
        <w:t xml:space="preserve"> e</w:t>
      </w:r>
      <w:r>
        <w:rPr>
          <w:sz w:val="22"/>
          <w:szCs w:val="22"/>
        </w:rPr>
        <w:t xml:space="preserve"> che includevano più di 1500 </w:t>
      </w:r>
      <w:r w:rsidR="00324D9F">
        <w:rPr>
          <w:sz w:val="22"/>
          <w:szCs w:val="22"/>
        </w:rPr>
        <w:t>gravidanze esposte</w:t>
      </w:r>
      <w:r>
        <w:rPr>
          <w:sz w:val="22"/>
          <w:szCs w:val="22"/>
        </w:rPr>
        <w:t xml:space="preserve"> durante il primo trimestre, non</w:t>
      </w:r>
      <w:r w:rsidR="00A1617E">
        <w:rPr>
          <w:sz w:val="22"/>
          <w:szCs w:val="22"/>
        </w:rPr>
        <w:t xml:space="preserve"> ha</w:t>
      </w:r>
      <w:r>
        <w:rPr>
          <w:sz w:val="22"/>
          <w:szCs w:val="22"/>
        </w:rPr>
        <w:t xml:space="preserve"> indica</w:t>
      </w:r>
      <w:r w:rsidR="00A1617E">
        <w:rPr>
          <w:sz w:val="22"/>
          <w:szCs w:val="22"/>
        </w:rPr>
        <w:t>to</w:t>
      </w:r>
      <w:r>
        <w:rPr>
          <w:sz w:val="22"/>
          <w:szCs w:val="22"/>
        </w:rPr>
        <w:t xml:space="preserve"> un aumento </w:t>
      </w:r>
      <w:r w:rsidR="003F31B0">
        <w:rPr>
          <w:sz w:val="22"/>
          <w:szCs w:val="22"/>
        </w:rPr>
        <w:t>del tasso</w:t>
      </w:r>
      <w:r>
        <w:rPr>
          <w:sz w:val="22"/>
          <w:szCs w:val="22"/>
        </w:rPr>
        <w:t xml:space="preserve"> di malformazione nel neonato.</w:t>
      </w:r>
    </w:p>
    <w:p w:rsidR="00157870" w:rsidRPr="00295E71" w:rsidP="00157870" w14:paraId="6A00CEED" w14:textId="77777777">
      <w:pPr>
        <w:tabs>
          <w:tab w:val="left" w:pos="567"/>
        </w:tabs>
        <w:autoSpaceDE w:val="0"/>
        <w:autoSpaceDN w:val="0"/>
        <w:adjustRightInd w:val="0"/>
        <w:jc w:val="both"/>
        <w:rPr>
          <w:sz w:val="22"/>
          <w:szCs w:val="22"/>
        </w:rPr>
      </w:pPr>
      <w:r>
        <w:rPr>
          <w:sz w:val="22"/>
          <w:szCs w:val="22"/>
        </w:rPr>
        <w:t xml:space="preserve">  </w:t>
      </w:r>
      <w:r w:rsidR="00C1594E">
        <w:rPr>
          <w:sz w:val="22"/>
          <w:szCs w:val="22"/>
        </w:rPr>
        <w:t xml:space="preserve"> </w:t>
      </w:r>
    </w:p>
    <w:p w:rsidR="00157870" w:rsidP="00157870" w14:paraId="3C0F4D0A" w14:textId="77777777">
      <w:pPr>
        <w:tabs>
          <w:tab w:val="left" w:pos="567"/>
        </w:tabs>
        <w:autoSpaceDE w:val="0"/>
        <w:autoSpaceDN w:val="0"/>
        <w:adjustRightInd w:val="0"/>
        <w:jc w:val="both"/>
        <w:rPr>
          <w:color w:val="000000"/>
          <w:sz w:val="22"/>
          <w:szCs w:val="22"/>
        </w:rPr>
      </w:pPr>
      <w:r>
        <w:rPr>
          <w:color w:val="000000"/>
          <w:sz w:val="22"/>
          <w:szCs w:val="22"/>
        </w:rPr>
        <w:t xml:space="preserve">In </w:t>
      </w:r>
      <w:r w:rsidRPr="00C1727B">
        <w:rPr>
          <w:color w:val="000000"/>
          <w:sz w:val="22"/>
          <w:szCs w:val="22"/>
        </w:rPr>
        <w:t>un</w:t>
      </w:r>
      <w:r w:rsidRPr="00C1727B" w:rsidR="00324D9F">
        <w:rPr>
          <w:color w:val="000000"/>
          <w:sz w:val="22"/>
          <w:szCs w:val="22"/>
        </w:rPr>
        <w:t xml:space="preserve"> registro </w:t>
      </w:r>
      <w:r w:rsidR="00C1727B">
        <w:rPr>
          <w:color w:val="000000"/>
          <w:sz w:val="22"/>
          <w:szCs w:val="22"/>
        </w:rPr>
        <w:t xml:space="preserve">di coorte </w:t>
      </w:r>
      <w:r w:rsidRPr="00C1727B">
        <w:rPr>
          <w:color w:val="000000"/>
          <w:sz w:val="22"/>
          <w:szCs w:val="22"/>
        </w:rPr>
        <w:t>prospettico,</w:t>
      </w:r>
      <w:r>
        <w:rPr>
          <w:color w:val="000000"/>
          <w:sz w:val="22"/>
          <w:szCs w:val="22"/>
        </w:rPr>
        <w:t xml:space="preserve"> sono state arruolate 257 donne con artrite reumatoide (AR) o malattia di Crohn (MC) trattate con adalimumab almeno durante il primo trimestre di gravidanza e 120 donne con AR o MC non trattate con adalimumab. L’endpoint primario è stato la prevalenza di gravi difetti alla nascita</w:t>
      </w:r>
      <w:r w:rsidR="00400881">
        <w:rPr>
          <w:color w:val="000000"/>
          <w:sz w:val="22"/>
          <w:szCs w:val="22"/>
        </w:rPr>
        <w:t xml:space="preserve">. </w:t>
      </w:r>
      <w:r w:rsidR="000F1E64">
        <w:rPr>
          <w:color w:val="000000"/>
          <w:sz w:val="22"/>
          <w:szCs w:val="22"/>
        </w:rPr>
        <w:t>Il tasso</w:t>
      </w:r>
      <w:r w:rsidR="004F78AE">
        <w:rPr>
          <w:color w:val="000000"/>
          <w:sz w:val="22"/>
          <w:szCs w:val="22"/>
        </w:rPr>
        <w:t xml:space="preserve"> delle gravidanze </w:t>
      </w:r>
      <w:r w:rsidR="000F1E64">
        <w:rPr>
          <w:color w:val="000000"/>
          <w:sz w:val="22"/>
          <w:szCs w:val="22"/>
        </w:rPr>
        <w:t xml:space="preserve">che si sono </w:t>
      </w:r>
      <w:r w:rsidR="004F78AE">
        <w:rPr>
          <w:color w:val="000000"/>
          <w:sz w:val="22"/>
          <w:szCs w:val="22"/>
        </w:rPr>
        <w:t>conclus</w:t>
      </w:r>
      <w:r w:rsidR="00324D9F">
        <w:rPr>
          <w:color w:val="000000"/>
          <w:sz w:val="22"/>
          <w:szCs w:val="22"/>
        </w:rPr>
        <w:t>e</w:t>
      </w:r>
      <w:r w:rsidR="004F78AE">
        <w:rPr>
          <w:color w:val="000000"/>
          <w:sz w:val="22"/>
          <w:szCs w:val="22"/>
        </w:rPr>
        <w:t xml:space="preserve"> con la nascita di almeno un neonato viv</w:t>
      </w:r>
      <w:r w:rsidR="000F1E64">
        <w:rPr>
          <w:color w:val="000000"/>
          <w:sz w:val="22"/>
          <w:szCs w:val="22"/>
        </w:rPr>
        <w:t>o</w:t>
      </w:r>
      <w:r w:rsidR="004F78AE">
        <w:rPr>
          <w:color w:val="000000"/>
          <w:sz w:val="22"/>
          <w:szCs w:val="22"/>
        </w:rPr>
        <w:t xml:space="preserve"> con</w:t>
      </w:r>
      <w:r w:rsidR="00324D9F">
        <w:rPr>
          <w:color w:val="000000"/>
          <w:sz w:val="22"/>
          <w:szCs w:val="22"/>
        </w:rPr>
        <w:t xml:space="preserve"> </w:t>
      </w:r>
      <w:r w:rsidR="00324D9F">
        <w:rPr>
          <w:color w:val="000000"/>
          <w:sz w:val="22"/>
          <w:szCs w:val="22"/>
        </w:rPr>
        <w:t>un</w:t>
      </w:r>
      <w:r w:rsidR="004F78AE">
        <w:rPr>
          <w:color w:val="000000"/>
          <w:sz w:val="22"/>
          <w:szCs w:val="22"/>
        </w:rPr>
        <w:t xml:space="preserve"> grave difetto alla nascita è stato 6/69 (8,7%) nelle donne con AR trattate con adalimumab e 5/74 (6,8%) nelle donne con AR non trattate (</w:t>
      </w:r>
      <w:r w:rsidRPr="00400881" w:rsidR="003C6450">
        <w:rPr>
          <w:color w:val="000000"/>
          <w:sz w:val="22"/>
          <w:szCs w:val="22"/>
        </w:rPr>
        <w:t xml:space="preserve">OR </w:t>
      </w:r>
      <w:r w:rsidRPr="004C4F83" w:rsidR="00400881">
        <w:t>non aggiustato</w:t>
      </w:r>
      <w:r w:rsidR="00400881">
        <w:t xml:space="preserve"> </w:t>
      </w:r>
      <w:r w:rsidR="003C6450">
        <w:rPr>
          <w:color w:val="000000"/>
          <w:sz w:val="22"/>
          <w:szCs w:val="22"/>
        </w:rPr>
        <w:t>1,31; 95% IC 0,38-4,52) e 16/152 (10,5%) n</w:t>
      </w:r>
      <w:r w:rsidR="008B3AA1">
        <w:rPr>
          <w:color w:val="000000"/>
          <w:sz w:val="22"/>
          <w:szCs w:val="22"/>
        </w:rPr>
        <w:t>elle</w:t>
      </w:r>
      <w:r w:rsidR="003C6450">
        <w:rPr>
          <w:color w:val="000000"/>
          <w:sz w:val="22"/>
          <w:szCs w:val="22"/>
        </w:rPr>
        <w:t xml:space="preserve"> donne con MC trattate con adalimumab</w:t>
      </w:r>
      <w:r w:rsidR="008B3AA1">
        <w:rPr>
          <w:color w:val="000000"/>
          <w:sz w:val="22"/>
          <w:szCs w:val="22"/>
        </w:rPr>
        <w:t xml:space="preserve"> e</w:t>
      </w:r>
      <w:r w:rsidR="003C6450">
        <w:rPr>
          <w:color w:val="000000"/>
          <w:sz w:val="22"/>
          <w:szCs w:val="22"/>
        </w:rPr>
        <w:t xml:space="preserve"> 3/32 (9,4%) n</w:t>
      </w:r>
      <w:r w:rsidR="008B3AA1">
        <w:rPr>
          <w:color w:val="000000"/>
          <w:sz w:val="22"/>
          <w:szCs w:val="22"/>
        </w:rPr>
        <w:t>elle</w:t>
      </w:r>
      <w:r w:rsidR="003C6450">
        <w:rPr>
          <w:color w:val="000000"/>
          <w:sz w:val="22"/>
          <w:szCs w:val="22"/>
        </w:rPr>
        <w:t xml:space="preserve"> donne con MC non trattate (</w:t>
      </w:r>
      <w:r w:rsidRPr="00400881" w:rsidR="003C6450">
        <w:rPr>
          <w:color w:val="000000"/>
          <w:sz w:val="22"/>
          <w:szCs w:val="22"/>
        </w:rPr>
        <w:t xml:space="preserve">OR </w:t>
      </w:r>
      <w:r w:rsidRPr="004C4F83" w:rsidR="00400881">
        <w:t>non aggiustato</w:t>
      </w:r>
      <w:r w:rsidR="00400881">
        <w:t xml:space="preserve"> </w:t>
      </w:r>
      <w:r w:rsidR="003C6450">
        <w:rPr>
          <w:color w:val="000000"/>
          <w:sz w:val="22"/>
          <w:szCs w:val="22"/>
        </w:rPr>
        <w:t xml:space="preserve">1,14, 95% IC 0,31-4,16). </w:t>
      </w:r>
      <w:r w:rsidRPr="00400881" w:rsidR="000B49D4">
        <w:rPr>
          <w:color w:val="000000"/>
          <w:sz w:val="22"/>
          <w:szCs w:val="22"/>
        </w:rPr>
        <w:t xml:space="preserve">L’OR </w:t>
      </w:r>
      <w:r w:rsidR="00400881">
        <w:rPr>
          <w:color w:val="000000"/>
          <w:sz w:val="22"/>
          <w:szCs w:val="22"/>
        </w:rPr>
        <w:t xml:space="preserve">aggiustato </w:t>
      </w:r>
      <w:r w:rsidR="000B49D4">
        <w:rPr>
          <w:color w:val="000000"/>
          <w:sz w:val="22"/>
          <w:szCs w:val="22"/>
        </w:rPr>
        <w:t xml:space="preserve">(che </w:t>
      </w:r>
      <w:r w:rsidR="00400881">
        <w:rPr>
          <w:color w:val="000000"/>
          <w:sz w:val="22"/>
          <w:szCs w:val="22"/>
        </w:rPr>
        <w:t xml:space="preserve">considera </w:t>
      </w:r>
      <w:r w:rsidR="000B49D4">
        <w:rPr>
          <w:color w:val="000000"/>
          <w:sz w:val="22"/>
          <w:szCs w:val="22"/>
        </w:rPr>
        <w:t>le differenze</w:t>
      </w:r>
      <w:r w:rsidR="00400881">
        <w:rPr>
          <w:color w:val="000000"/>
          <w:sz w:val="22"/>
          <w:szCs w:val="22"/>
        </w:rPr>
        <w:t xml:space="preserve"> rispetto al baseline</w:t>
      </w:r>
      <w:r w:rsidR="000B49D4">
        <w:rPr>
          <w:color w:val="000000"/>
          <w:sz w:val="22"/>
          <w:szCs w:val="22"/>
        </w:rPr>
        <w:t xml:space="preserve">) era 1,10 (95% IC 0,45-2,73) </w:t>
      </w:r>
      <w:r w:rsidR="00400881">
        <w:rPr>
          <w:color w:val="000000"/>
          <w:sz w:val="22"/>
          <w:szCs w:val="22"/>
        </w:rPr>
        <w:t xml:space="preserve">per AR e MC combinate. </w:t>
      </w:r>
      <w:r w:rsidR="000B49D4">
        <w:rPr>
          <w:color w:val="000000"/>
          <w:sz w:val="22"/>
          <w:szCs w:val="22"/>
        </w:rPr>
        <w:t xml:space="preserve"> Tra le donne trattate con adalimumab e quelle non trattate </w:t>
      </w:r>
      <w:r w:rsidRPr="008C57BD" w:rsidR="000B49D4">
        <w:rPr>
          <w:color w:val="000000"/>
          <w:sz w:val="22"/>
          <w:szCs w:val="22"/>
        </w:rPr>
        <w:t>non ci sono state evidenti differenze</w:t>
      </w:r>
      <w:r w:rsidR="000B49D4">
        <w:rPr>
          <w:color w:val="000000"/>
          <w:sz w:val="22"/>
          <w:szCs w:val="22"/>
        </w:rPr>
        <w:t xml:space="preserve"> negli en</w:t>
      </w:r>
      <w:r w:rsidR="000971C2">
        <w:rPr>
          <w:color w:val="000000"/>
          <w:sz w:val="22"/>
          <w:szCs w:val="22"/>
        </w:rPr>
        <w:t>d</w:t>
      </w:r>
      <w:r w:rsidR="000B49D4">
        <w:rPr>
          <w:color w:val="000000"/>
          <w:sz w:val="22"/>
          <w:szCs w:val="22"/>
        </w:rPr>
        <w:t xml:space="preserve">point secondari come aborti spontanei, difetti </w:t>
      </w:r>
      <w:r w:rsidR="004B563D">
        <w:rPr>
          <w:color w:val="000000"/>
          <w:sz w:val="22"/>
          <w:szCs w:val="22"/>
        </w:rPr>
        <w:t xml:space="preserve">minori </w:t>
      </w:r>
      <w:r w:rsidR="000B49D4">
        <w:rPr>
          <w:color w:val="000000"/>
          <w:sz w:val="22"/>
          <w:szCs w:val="22"/>
        </w:rPr>
        <w:t>alla nascita, parto pretermine, dimensione del neonato e infezioni gravi o opportunistiche</w:t>
      </w:r>
      <w:r w:rsidR="00B3563D">
        <w:rPr>
          <w:color w:val="000000"/>
          <w:sz w:val="22"/>
          <w:szCs w:val="22"/>
        </w:rPr>
        <w:t xml:space="preserve"> e non sono stati riportati </w:t>
      </w:r>
      <w:r w:rsidR="004B563D">
        <w:rPr>
          <w:color w:val="000000"/>
          <w:sz w:val="22"/>
          <w:szCs w:val="22"/>
        </w:rPr>
        <w:t xml:space="preserve">casi di </w:t>
      </w:r>
      <w:r w:rsidR="00B3563D">
        <w:rPr>
          <w:color w:val="000000"/>
          <w:sz w:val="22"/>
          <w:szCs w:val="22"/>
        </w:rPr>
        <w:t xml:space="preserve">nati morti o tumori maligni. L’interpretazione dei dati può essere influenzata dalle limitazioni metodologiche dello studio, compresi la piccola dimensione del campione e </w:t>
      </w:r>
      <w:r w:rsidR="00F2154B">
        <w:rPr>
          <w:color w:val="000000"/>
          <w:sz w:val="22"/>
          <w:szCs w:val="22"/>
        </w:rPr>
        <w:t>il</w:t>
      </w:r>
      <w:r w:rsidR="00376B81">
        <w:rPr>
          <w:color w:val="000000"/>
          <w:sz w:val="22"/>
          <w:szCs w:val="22"/>
        </w:rPr>
        <w:t xml:space="preserve"> </w:t>
      </w:r>
      <w:r w:rsidR="00F2154B">
        <w:rPr>
          <w:color w:val="000000"/>
          <w:sz w:val="22"/>
          <w:szCs w:val="22"/>
        </w:rPr>
        <w:t>disegno</w:t>
      </w:r>
      <w:r w:rsidR="00B3563D">
        <w:rPr>
          <w:color w:val="000000"/>
          <w:sz w:val="22"/>
          <w:szCs w:val="22"/>
        </w:rPr>
        <w:t xml:space="preserve"> non randomizzat</w:t>
      </w:r>
      <w:r w:rsidR="00400881">
        <w:rPr>
          <w:color w:val="000000"/>
          <w:sz w:val="22"/>
          <w:szCs w:val="22"/>
        </w:rPr>
        <w:t>o</w:t>
      </w:r>
      <w:r w:rsidR="00B3563D">
        <w:rPr>
          <w:color w:val="000000"/>
          <w:sz w:val="22"/>
          <w:szCs w:val="22"/>
        </w:rPr>
        <w:t xml:space="preserve">.  </w:t>
      </w:r>
      <w:r w:rsidR="000B49D4">
        <w:rPr>
          <w:color w:val="000000"/>
          <w:sz w:val="22"/>
          <w:szCs w:val="22"/>
        </w:rPr>
        <w:t xml:space="preserve"> </w:t>
      </w:r>
    </w:p>
    <w:p w:rsidR="00A1617E" w:rsidRPr="00295E71" w:rsidP="00157870" w14:paraId="320B4489" w14:textId="77777777">
      <w:pPr>
        <w:tabs>
          <w:tab w:val="left" w:pos="567"/>
        </w:tabs>
        <w:autoSpaceDE w:val="0"/>
        <w:autoSpaceDN w:val="0"/>
        <w:adjustRightInd w:val="0"/>
        <w:jc w:val="both"/>
        <w:rPr>
          <w:color w:val="000000"/>
          <w:sz w:val="22"/>
          <w:szCs w:val="22"/>
        </w:rPr>
      </w:pPr>
    </w:p>
    <w:p w:rsidR="00157870" w:rsidRPr="00295E71" w:rsidP="00157870" w14:paraId="755115AE" w14:textId="77777777">
      <w:pPr>
        <w:tabs>
          <w:tab w:val="left" w:pos="567"/>
        </w:tabs>
        <w:autoSpaceDE w:val="0"/>
        <w:autoSpaceDN w:val="0"/>
        <w:adjustRightInd w:val="0"/>
        <w:jc w:val="both"/>
        <w:rPr>
          <w:color w:val="000000"/>
          <w:sz w:val="22"/>
          <w:szCs w:val="22"/>
        </w:rPr>
      </w:pPr>
      <w:r w:rsidRPr="00295E71">
        <w:rPr>
          <w:color w:val="000000"/>
          <w:sz w:val="22"/>
          <w:szCs w:val="22"/>
        </w:rPr>
        <w:t>In uno studio di tossicità dello sviluppo</w:t>
      </w:r>
      <w:r w:rsidRPr="00295E71" w:rsidR="003C47F5">
        <w:rPr>
          <w:color w:val="000000"/>
          <w:sz w:val="22"/>
          <w:szCs w:val="22"/>
        </w:rPr>
        <w:t xml:space="preserve"> </w:t>
      </w:r>
      <w:r w:rsidRPr="00295E71">
        <w:rPr>
          <w:color w:val="000000"/>
          <w:sz w:val="22"/>
          <w:szCs w:val="22"/>
        </w:rPr>
        <w:t>condotto su scimmie non è stata riscontrata tossicità nella madre, nè embriotossicità o teratogenicità. Non sono disponibili dati preclinici sulla tossicità postnatale di adalimumab (vedere paragrafo 5.3).</w:t>
      </w:r>
    </w:p>
    <w:p w:rsidR="00157870" w:rsidRPr="00295E71" w:rsidP="00157870" w14:paraId="42B9B337" w14:textId="77777777">
      <w:pPr>
        <w:tabs>
          <w:tab w:val="left" w:pos="567"/>
        </w:tabs>
        <w:autoSpaceDE w:val="0"/>
        <w:autoSpaceDN w:val="0"/>
        <w:adjustRightInd w:val="0"/>
        <w:jc w:val="both"/>
        <w:rPr>
          <w:color w:val="000000"/>
          <w:sz w:val="22"/>
          <w:szCs w:val="22"/>
        </w:rPr>
      </w:pPr>
    </w:p>
    <w:p w:rsidR="00157870" w:rsidRPr="00295E71" w:rsidP="00157870" w14:paraId="691D1A52" w14:textId="77777777">
      <w:pPr>
        <w:tabs>
          <w:tab w:val="left" w:pos="567"/>
        </w:tabs>
        <w:autoSpaceDE w:val="0"/>
        <w:autoSpaceDN w:val="0"/>
        <w:adjustRightInd w:val="0"/>
        <w:jc w:val="both"/>
        <w:rPr>
          <w:color w:val="000000"/>
          <w:sz w:val="22"/>
          <w:szCs w:val="22"/>
        </w:rPr>
      </w:pPr>
      <w:r w:rsidRPr="00295E71">
        <w:rPr>
          <w:color w:val="000000"/>
          <w:sz w:val="22"/>
          <w:szCs w:val="22"/>
        </w:rPr>
        <w:t>A causa dell’inibizione del TNF</w:t>
      </w:r>
      <w:r w:rsidRPr="00295E71">
        <w:rPr>
          <w:rFonts w:ascii="Symbol" w:hAnsi="Symbol"/>
          <w:color w:val="000000"/>
          <w:sz w:val="22"/>
          <w:szCs w:val="22"/>
        </w:rPr>
        <w:sym w:font="Symbol" w:char="F061"/>
      </w:r>
      <w:r w:rsidRPr="00295E71">
        <w:rPr>
          <w:color w:val="000000"/>
          <w:sz w:val="22"/>
          <w:szCs w:val="22"/>
        </w:rPr>
        <w:t xml:space="preserve">, la somministrazione di adalimumab durante la gravidanza potrebbe interferire con la normale risposta immunitaria del neonato. </w:t>
      </w:r>
      <w:r w:rsidR="00B3563D">
        <w:rPr>
          <w:color w:val="000000"/>
          <w:sz w:val="22"/>
          <w:szCs w:val="22"/>
        </w:rPr>
        <w:t xml:space="preserve">Adalimumab deve essere utilizzato in gravidanza soltanto se strettamente necessario. </w:t>
      </w:r>
      <w:r w:rsidRPr="00295E71">
        <w:rPr>
          <w:color w:val="000000"/>
          <w:sz w:val="22"/>
          <w:szCs w:val="22"/>
        </w:rPr>
        <w:t xml:space="preserve"> </w:t>
      </w:r>
    </w:p>
    <w:p w:rsidR="00157870" w:rsidRPr="00295E71" w:rsidP="00157870" w14:paraId="1C87B7B9" w14:textId="77777777">
      <w:pPr>
        <w:tabs>
          <w:tab w:val="left" w:pos="567"/>
        </w:tabs>
        <w:autoSpaceDE w:val="0"/>
        <w:autoSpaceDN w:val="0"/>
        <w:adjustRightInd w:val="0"/>
        <w:jc w:val="both"/>
        <w:rPr>
          <w:color w:val="000000"/>
          <w:sz w:val="22"/>
          <w:szCs w:val="22"/>
        </w:rPr>
      </w:pPr>
    </w:p>
    <w:p w:rsidR="00157870" w:rsidRPr="00295E71" w:rsidP="00157870" w14:paraId="1D9FF852" w14:textId="77777777">
      <w:pPr>
        <w:tabs>
          <w:tab w:val="left" w:pos="567"/>
        </w:tabs>
        <w:autoSpaceDE w:val="0"/>
        <w:autoSpaceDN w:val="0"/>
        <w:adjustRightInd w:val="0"/>
        <w:jc w:val="both"/>
        <w:rPr>
          <w:color w:val="000000"/>
          <w:sz w:val="22"/>
          <w:szCs w:val="22"/>
        </w:rPr>
      </w:pPr>
      <w:r w:rsidRPr="00295E71">
        <w:rPr>
          <w:color w:val="000000"/>
          <w:sz w:val="22"/>
          <w:szCs w:val="22"/>
        </w:rPr>
        <w:t xml:space="preserve">Adalimumab può attraversare la placenta e raggiungere il siero dei bambini nati da madri trattate con adalimumab durante la gravidanza. Di conseguenza, questi bambini sono soggetti ad un maggior rischio di infezione. La somministrazione di vaccini vivi </w:t>
      </w:r>
      <w:r w:rsidR="00B3563D">
        <w:rPr>
          <w:color w:val="000000"/>
          <w:sz w:val="22"/>
          <w:szCs w:val="22"/>
        </w:rPr>
        <w:t xml:space="preserve"> (ad es. vaccino BCG) </w:t>
      </w:r>
      <w:r w:rsidRPr="00295E71">
        <w:rPr>
          <w:color w:val="000000"/>
          <w:sz w:val="22"/>
          <w:szCs w:val="22"/>
        </w:rPr>
        <w:t xml:space="preserve">a bambini esposti ad adalimumab nell’utero non è raccomandata </w:t>
      </w:r>
      <w:r w:rsidR="00400881">
        <w:rPr>
          <w:color w:val="000000"/>
          <w:sz w:val="22"/>
          <w:szCs w:val="22"/>
        </w:rPr>
        <w:t xml:space="preserve">fino </w:t>
      </w:r>
      <w:r w:rsidRPr="00AB1F1C" w:rsidR="00400881">
        <w:rPr>
          <w:color w:val="000000"/>
          <w:sz w:val="22"/>
          <w:szCs w:val="22"/>
        </w:rPr>
        <w:t>a</w:t>
      </w:r>
      <w:r w:rsidRPr="00295E71">
        <w:rPr>
          <w:color w:val="000000"/>
          <w:sz w:val="22"/>
          <w:szCs w:val="22"/>
        </w:rPr>
        <w:t xml:space="preserve"> 5 mesi dall’ultima somministrazione di adalimumab alla madre durante la gravidanza.</w:t>
      </w:r>
    </w:p>
    <w:p w:rsidR="00157870" w:rsidRPr="00295E71" w:rsidP="00157870" w14:paraId="1D06198A" w14:textId="77777777">
      <w:pPr>
        <w:tabs>
          <w:tab w:val="left" w:pos="567"/>
        </w:tabs>
        <w:autoSpaceDE w:val="0"/>
        <w:autoSpaceDN w:val="0"/>
        <w:adjustRightInd w:val="0"/>
        <w:jc w:val="both"/>
        <w:rPr>
          <w:color w:val="000000"/>
          <w:sz w:val="22"/>
          <w:szCs w:val="22"/>
        </w:rPr>
      </w:pPr>
    </w:p>
    <w:p w:rsidR="00157870" w:rsidRPr="00295E71" w:rsidP="00157870" w14:paraId="0E0E7C02" w14:textId="77777777">
      <w:pPr>
        <w:rPr>
          <w:color w:val="000000"/>
          <w:sz w:val="22"/>
          <w:szCs w:val="22"/>
        </w:rPr>
      </w:pPr>
      <w:r w:rsidRPr="00295E71">
        <w:rPr>
          <w:color w:val="000000"/>
          <w:sz w:val="22"/>
          <w:szCs w:val="22"/>
          <w:u w:val="single"/>
        </w:rPr>
        <w:t>Allattamento</w:t>
      </w:r>
    </w:p>
    <w:p w:rsidR="00157870" w:rsidRPr="00295E71" w:rsidP="00157870" w14:paraId="5CB80708" w14:textId="77777777">
      <w:pPr>
        <w:tabs>
          <w:tab w:val="left" w:pos="567"/>
        </w:tabs>
        <w:jc w:val="both"/>
        <w:rPr>
          <w:color w:val="000000"/>
          <w:sz w:val="22"/>
          <w:szCs w:val="22"/>
        </w:rPr>
      </w:pPr>
    </w:p>
    <w:p w:rsidR="00157870" w:rsidRPr="00295E71" w:rsidP="00157870" w14:paraId="1AF2A17D" w14:textId="77777777">
      <w:pPr>
        <w:tabs>
          <w:tab w:val="left" w:pos="567"/>
        </w:tabs>
        <w:jc w:val="both"/>
        <w:rPr>
          <w:sz w:val="22"/>
          <w:szCs w:val="22"/>
        </w:rPr>
      </w:pPr>
      <w:r>
        <w:rPr>
          <w:sz w:val="22"/>
          <w:szCs w:val="22"/>
        </w:rPr>
        <w:t>Le limitate informazioni dalla letteratura pubblicata indica</w:t>
      </w:r>
      <w:r w:rsidR="00C1727B">
        <w:rPr>
          <w:sz w:val="22"/>
          <w:szCs w:val="22"/>
        </w:rPr>
        <w:t>no</w:t>
      </w:r>
      <w:r>
        <w:rPr>
          <w:sz w:val="22"/>
          <w:szCs w:val="22"/>
        </w:rPr>
        <w:t xml:space="preserve"> che adalimumab è escreto nel latte materno </w:t>
      </w:r>
      <w:r w:rsidR="00B422D9">
        <w:rPr>
          <w:sz w:val="22"/>
          <w:szCs w:val="22"/>
        </w:rPr>
        <w:t xml:space="preserve">in concentrazioni molto basse </w:t>
      </w:r>
      <w:r w:rsidR="00375D65">
        <w:rPr>
          <w:sz w:val="22"/>
          <w:szCs w:val="22"/>
        </w:rPr>
        <w:t xml:space="preserve">e che la </w:t>
      </w:r>
      <w:r w:rsidR="00AB1F1C">
        <w:rPr>
          <w:sz w:val="22"/>
          <w:szCs w:val="22"/>
        </w:rPr>
        <w:t xml:space="preserve">concentrazione </w:t>
      </w:r>
      <w:r w:rsidR="00B422D9">
        <w:rPr>
          <w:sz w:val="22"/>
          <w:szCs w:val="22"/>
        </w:rPr>
        <w:t xml:space="preserve">di adalimumab nel latte umano </w:t>
      </w:r>
      <w:r w:rsidR="00375D65">
        <w:rPr>
          <w:sz w:val="22"/>
          <w:szCs w:val="22"/>
        </w:rPr>
        <w:t xml:space="preserve">è pari </w:t>
      </w:r>
      <w:r w:rsidR="00745AE8">
        <w:rPr>
          <w:sz w:val="22"/>
          <w:szCs w:val="22"/>
        </w:rPr>
        <w:t>all</w:t>
      </w:r>
      <w:r w:rsidR="002B5835">
        <w:rPr>
          <w:sz w:val="22"/>
          <w:szCs w:val="22"/>
        </w:rPr>
        <w:t>o</w:t>
      </w:r>
      <w:r w:rsidR="00375D65">
        <w:rPr>
          <w:sz w:val="22"/>
          <w:szCs w:val="22"/>
        </w:rPr>
        <w:t xml:space="preserve"> </w:t>
      </w:r>
      <w:r w:rsidR="00B422D9">
        <w:rPr>
          <w:sz w:val="22"/>
          <w:szCs w:val="22"/>
        </w:rPr>
        <w:t xml:space="preserve">0,1% </w:t>
      </w:r>
      <w:r w:rsidR="002B5835">
        <w:rPr>
          <w:sz w:val="22"/>
          <w:szCs w:val="22"/>
        </w:rPr>
        <w:t>-</w:t>
      </w:r>
      <w:r w:rsidR="00B422D9">
        <w:rPr>
          <w:sz w:val="22"/>
          <w:szCs w:val="22"/>
        </w:rPr>
        <w:t xml:space="preserve"> 1% </w:t>
      </w:r>
      <w:r w:rsidRPr="00AB1F1C" w:rsidR="00B422D9">
        <w:rPr>
          <w:sz w:val="22"/>
          <w:szCs w:val="22"/>
        </w:rPr>
        <w:t>del livello</w:t>
      </w:r>
      <w:r w:rsidRPr="00C53732" w:rsidR="00B422D9">
        <w:rPr>
          <w:sz w:val="22"/>
          <w:szCs w:val="22"/>
        </w:rPr>
        <w:t xml:space="preserve"> </w:t>
      </w:r>
      <w:r w:rsidRPr="00B902E6" w:rsidR="00B422D9">
        <w:rPr>
          <w:sz w:val="22"/>
          <w:szCs w:val="22"/>
        </w:rPr>
        <w:t>sierico</w:t>
      </w:r>
      <w:r w:rsidR="00B422D9">
        <w:rPr>
          <w:sz w:val="22"/>
          <w:szCs w:val="22"/>
        </w:rPr>
        <w:t xml:space="preserve"> della madre. </w:t>
      </w:r>
      <w:r w:rsidR="00CD4844">
        <w:rPr>
          <w:sz w:val="22"/>
          <w:szCs w:val="22"/>
        </w:rPr>
        <w:t>S</w:t>
      </w:r>
      <w:r w:rsidR="001113B9">
        <w:rPr>
          <w:sz w:val="22"/>
          <w:szCs w:val="22"/>
        </w:rPr>
        <w:t>omministrat</w:t>
      </w:r>
      <w:r w:rsidR="0014310E">
        <w:rPr>
          <w:sz w:val="22"/>
          <w:szCs w:val="22"/>
        </w:rPr>
        <w:t>e</w:t>
      </w:r>
      <w:r w:rsidR="001113B9">
        <w:rPr>
          <w:sz w:val="22"/>
          <w:szCs w:val="22"/>
        </w:rPr>
        <w:t xml:space="preserve"> per via orale, </w:t>
      </w:r>
      <w:r w:rsidR="00CE7CC9">
        <w:rPr>
          <w:sz w:val="22"/>
          <w:szCs w:val="22"/>
        </w:rPr>
        <w:t xml:space="preserve">le </w:t>
      </w:r>
      <w:r w:rsidR="001113B9">
        <w:rPr>
          <w:sz w:val="22"/>
          <w:szCs w:val="22"/>
        </w:rPr>
        <w:t xml:space="preserve">immunoglobuline G sono sottoposte a proteolisi intestinale ed hanno una scarsa biodisponibilità. </w:t>
      </w:r>
      <w:r w:rsidRPr="001113B9" w:rsidR="001113B9">
        <w:rPr>
          <w:sz w:val="22"/>
          <w:szCs w:val="22"/>
        </w:rPr>
        <w:t xml:space="preserve">Non si ritiene che possa </w:t>
      </w:r>
      <w:r w:rsidR="00CE7CC9">
        <w:rPr>
          <w:sz w:val="22"/>
          <w:szCs w:val="22"/>
        </w:rPr>
        <w:t xml:space="preserve">avere </w:t>
      </w:r>
      <w:r w:rsidRPr="001113B9" w:rsidR="001113B9">
        <w:rPr>
          <w:sz w:val="22"/>
          <w:szCs w:val="22"/>
        </w:rPr>
        <w:t>effetti su neonati/lattanti</w:t>
      </w:r>
      <w:r w:rsidR="001113B9">
        <w:rPr>
          <w:sz w:val="22"/>
          <w:szCs w:val="22"/>
        </w:rPr>
        <w:t>.</w:t>
      </w:r>
      <w:r w:rsidR="00B422D9">
        <w:rPr>
          <w:sz w:val="22"/>
          <w:szCs w:val="22"/>
        </w:rPr>
        <w:t xml:space="preserve"> </w:t>
      </w:r>
      <w:r w:rsidR="001113B9">
        <w:rPr>
          <w:sz w:val="22"/>
          <w:szCs w:val="22"/>
        </w:rPr>
        <w:t>Conseguentemente, Humira può essere utilizzato durante l’allat</w:t>
      </w:r>
      <w:r w:rsidR="00CE787B">
        <w:rPr>
          <w:sz w:val="22"/>
          <w:szCs w:val="22"/>
        </w:rPr>
        <w:t>t</w:t>
      </w:r>
      <w:r w:rsidR="001113B9">
        <w:rPr>
          <w:sz w:val="22"/>
          <w:szCs w:val="22"/>
        </w:rPr>
        <w:t>amento.</w:t>
      </w:r>
    </w:p>
    <w:p w:rsidR="00CC26C3" w:rsidP="00157870" w14:paraId="6929FB3E" w14:textId="77777777">
      <w:pPr>
        <w:tabs>
          <w:tab w:val="left" w:pos="567"/>
        </w:tabs>
        <w:jc w:val="both"/>
        <w:rPr>
          <w:sz w:val="22"/>
          <w:szCs w:val="22"/>
          <w:u w:val="single"/>
        </w:rPr>
      </w:pPr>
    </w:p>
    <w:p w:rsidR="00157870" w:rsidRPr="00295E71" w:rsidP="00157870" w14:paraId="0A987AA1" w14:textId="77777777">
      <w:pPr>
        <w:tabs>
          <w:tab w:val="left" w:pos="567"/>
        </w:tabs>
        <w:jc w:val="both"/>
        <w:rPr>
          <w:sz w:val="22"/>
          <w:szCs w:val="22"/>
          <w:u w:val="single"/>
        </w:rPr>
      </w:pPr>
      <w:r w:rsidRPr="00295E71">
        <w:rPr>
          <w:sz w:val="22"/>
          <w:szCs w:val="22"/>
          <w:u w:val="single"/>
        </w:rPr>
        <w:t>Fertilità</w:t>
      </w:r>
    </w:p>
    <w:p w:rsidR="00157870" w:rsidRPr="00295E71" w:rsidP="00157870" w14:paraId="16A524B1" w14:textId="77777777">
      <w:pPr>
        <w:tabs>
          <w:tab w:val="left" w:pos="567"/>
        </w:tabs>
        <w:jc w:val="both"/>
        <w:rPr>
          <w:sz w:val="22"/>
          <w:szCs w:val="22"/>
        </w:rPr>
      </w:pPr>
    </w:p>
    <w:p w:rsidR="00157870" w:rsidRPr="00295E71" w:rsidP="00157870" w14:paraId="587D689A" w14:textId="77777777">
      <w:pPr>
        <w:tabs>
          <w:tab w:val="left" w:pos="567"/>
        </w:tabs>
        <w:jc w:val="both"/>
        <w:rPr>
          <w:sz w:val="22"/>
          <w:szCs w:val="22"/>
        </w:rPr>
      </w:pPr>
      <w:r w:rsidRPr="00295E71">
        <w:rPr>
          <w:sz w:val="22"/>
          <w:szCs w:val="22"/>
        </w:rPr>
        <w:t>Non sono disponibili dati preclinici sugli effetti di adalimumab sulla fertilità.</w:t>
      </w:r>
    </w:p>
    <w:p w:rsidR="00157870" w:rsidRPr="00295E71" w:rsidP="00157870" w14:paraId="5E22AEAA" w14:textId="77777777">
      <w:pPr>
        <w:tabs>
          <w:tab w:val="left" w:pos="567"/>
        </w:tabs>
        <w:jc w:val="both"/>
        <w:rPr>
          <w:sz w:val="22"/>
          <w:szCs w:val="22"/>
        </w:rPr>
      </w:pPr>
    </w:p>
    <w:p w:rsidR="00157870" w:rsidRPr="00295E71" w:rsidP="007E6E3E" w14:paraId="73939DF9" w14:textId="77777777">
      <w:pPr>
        <w:keepNext/>
        <w:tabs>
          <w:tab w:val="left" w:pos="567"/>
        </w:tabs>
        <w:ind w:left="567" w:hanging="567"/>
        <w:jc w:val="both"/>
        <w:rPr>
          <w:b/>
          <w:bCs/>
          <w:sz w:val="22"/>
          <w:szCs w:val="22"/>
        </w:rPr>
      </w:pPr>
      <w:r w:rsidRPr="00295E71">
        <w:rPr>
          <w:b/>
          <w:bCs/>
          <w:sz w:val="22"/>
          <w:szCs w:val="22"/>
        </w:rPr>
        <w:t>4.7</w:t>
      </w:r>
      <w:r w:rsidRPr="00295E71">
        <w:rPr>
          <w:b/>
          <w:bCs/>
          <w:sz w:val="22"/>
          <w:szCs w:val="22"/>
        </w:rPr>
        <w:tab/>
        <w:t>Effetti sulla capacità di guidare veicoli e sull’uso di macchinari</w:t>
      </w:r>
    </w:p>
    <w:p w:rsidR="00157870" w:rsidRPr="00295E71" w:rsidP="007E6E3E" w14:paraId="01206115" w14:textId="77777777">
      <w:pPr>
        <w:keepNext/>
        <w:tabs>
          <w:tab w:val="left" w:pos="567"/>
        </w:tabs>
        <w:jc w:val="both"/>
        <w:rPr>
          <w:sz w:val="22"/>
          <w:szCs w:val="22"/>
        </w:rPr>
      </w:pPr>
    </w:p>
    <w:p w:rsidR="00157870" w:rsidRPr="00295E71" w:rsidP="007E6E3E" w14:paraId="52390D6A" w14:textId="77777777">
      <w:pPr>
        <w:keepNext/>
        <w:tabs>
          <w:tab w:val="left" w:pos="567"/>
        </w:tabs>
        <w:jc w:val="both"/>
        <w:rPr>
          <w:sz w:val="22"/>
          <w:szCs w:val="22"/>
        </w:rPr>
      </w:pPr>
      <w:r w:rsidRPr="00295E71">
        <w:rPr>
          <w:sz w:val="22"/>
          <w:szCs w:val="22"/>
        </w:rPr>
        <w:t>Humira altera lievemente la capacità di guidare veicoli e di usare macchinari. Dopo la somministrazione di Humira si possono verificare</w:t>
      </w:r>
      <w:r w:rsidRPr="00295E71" w:rsidR="003C47F5">
        <w:rPr>
          <w:sz w:val="22"/>
          <w:szCs w:val="22"/>
        </w:rPr>
        <w:t xml:space="preserve"> </w:t>
      </w:r>
      <w:r w:rsidRPr="00295E71">
        <w:rPr>
          <w:sz w:val="22"/>
          <w:szCs w:val="22"/>
        </w:rPr>
        <w:t>vertigini e disturbi della vista (vedere paragrafo 4.8).</w:t>
      </w:r>
    </w:p>
    <w:p w:rsidR="00157870" w:rsidRPr="00295E71" w:rsidP="00157870" w14:paraId="71C46A7B" w14:textId="77777777">
      <w:pPr>
        <w:tabs>
          <w:tab w:val="left" w:pos="567"/>
        </w:tabs>
        <w:jc w:val="both"/>
        <w:rPr>
          <w:sz w:val="22"/>
          <w:szCs w:val="22"/>
        </w:rPr>
      </w:pPr>
    </w:p>
    <w:p w:rsidR="00157870" w:rsidRPr="00295E71" w:rsidP="00157870" w14:paraId="1735E739" w14:textId="77777777">
      <w:pPr>
        <w:tabs>
          <w:tab w:val="left" w:pos="567"/>
          <w:tab w:val="left" w:pos="720"/>
        </w:tabs>
        <w:jc w:val="both"/>
        <w:rPr>
          <w:b/>
          <w:bCs/>
          <w:sz w:val="22"/>
          <w:szCs w:val="22"/>
        </w:rPr>
      </w:pPr>
      <w:r w:rsidRPr="00295E71">
        <w:rPr>
          <w:b/>
          <w:bCs/>
          <w:sz w:val="22"/>
          <w:szCs w:val="22"/>
        </w:rPr>
        <w:t>4.8</w:t>
      </w:r>
      <w:r w:rsidRPr="00295E71">
        <w:rPr>
          <w:b/>
          <w:bCs/>
          <w:sz w:val="22"/>
          <w:szCs w:val="22"/>
        </w:rPr>
        <w:tab/>
        <w:t>Effetti indesiderati</w:t>
      </w:r>
    </w:p>
    <w:p w:rsidR="00157870" w:rsidRPr="00295E71" w:rsidP="00157870" w14:paraId="09F436F9" w14:textId="77777777">
      <w:pPr>
        <w:tabs>
          <w:tab w:val="left" w:pos="567"/>
        </w:tabs>
        <w:autoSpaceDE w:val="0"/>
        <w:autoSpaceDN w:val="0"/>
        <w:adjustRightInd w:val="0"/>
        <w:jc w:val="both"/>
        <w:rPr>
          <w:color w:val="000000"/>
          <w:sz w:val="22"/>
          <w:szCs w:val="22"/>
        </w:rPr>
      </w:pPr>
    </w:p>
    <w:p w:rsidR="00157870" w:rsidRPr="00295E71" w:rsidP="00157870" w14:paraId="78EDA9F2" w14:textId="77777777">
      <w:pPr>
        <w:tabs>
          <w:tab w:val="left" w:pos="567"/>
        </w:tabs>
        <w:autoSpaceDE w:val="0"/>
        <w:autoSpaceDN w:val="0"/>
        <w:adjustRightInd w:val="0"/>
        <w:jc w:val="both"/>
        <w:rPr>
          <w:color w:val="000000"/>
          <w:sz w:val="22"/>
          <w:szCs w:val="22"/>
          <w:u w:val="single"/>
        </w:rPr>
      </w:pPr>
      <w:r w:rsidRPr="00295E71">
        <w:rPr>
          <w:color w:val="000000"/>
          <w:sz w:val="22"/>
          <w:szCs w:val="22"/>
          <w:u w:val="single"/>
        </w:rPr>
        <w:t>Riassunto del profilo di</w:t>
      </w:r>
      <w:r w:rsidR="00CE787B">
        <w:rPr>
          <w:color w:val="000000"/>
          <w:sz w:val="22"/>
          <w:szCs w:val="22"/>
          <w:u w:val="single"/>
        </w:rPr>
        <w:t xml:space="preserve"> </w:t>
      </w:r>
      <w:r w:rsidRPr="00295E71">
        <w:rPr>
          <w:color w:val="000000"/>
          <w:sz w:val="22"/>
          <w:szCs w:val="22"/>
          <w:u w:val="single"/>
        </w:rPr>
        <w:t>sicurezza</w:t>
      </w:r>
    </w:p>
    <w:p w:rsidR="00157870" w:rsidRPr="00295E71" w:rsidP="00157870" w14:paraId="509DB1A8" w14:textId="77777777">
      <w:pPr>
        <w:tabs>
          <w:tab w:val="left" w:pos="567"/>
        </w:tabs>
        <w:autoSpaceDE w:val="0"/>
        <w:autoSpaceDN w:val="0"/>
        <w:adjustRightInd w:val="0"/>
        <w:jc w:val="both"/>
        <w:rPr>
          <w:color w:val="000000"/>
          <w:sz w:val="22"/>
          <w:szCs w:val="22"/>
        </w:rPr>
      </w:pPr>
    </w:p>
    <w:p w:rsidR="00157870" w:rsidRPr="00295E71" w:rsidP="00157870" w14:paraId="4CB566E7" w14:textId="77777777">
      <w:pPr>
        <w:tabs>
          <w:tab w:val="left" w:pos="567"/>
        </w:tabs>
        <w:autoSpaceDE w:val="0"/>
        <w:autoSpaceDN w:val="0"/>
        <w:adjustRightInd w:val="0"/>
        <w:jc w:val="both"/>
        <w:rPr>
          <w:color w:val="000000"/>
          <w:sz w:val="22"/>
          <w:szCs w:val="22"/>
        </w:rPr>
      </w:pPr>
      <w:r w:rsidRPr="00295E71">
        <w:rPr>
          <w:color w:val="000000"/>
          <w:sz w:val="22"/>
          <w:szCs w:val="22"/>
        </w:rPr>
        <w:t xml:space="preserve">Humira è stato studiato in 9.506 pazienti nel corso di studi clinici </w:t>
      </w:r>
      <w:r w:rsidR="00CE787B">
        <w:rPr>
          <w:color w:val="000000"/>
          <w:sz w:val="22"/>
          <w:szCs w:val="22"/>
        </w:rPr>
        <w:t>registrativi</w:t>
      </w:r>
      <w:r w:rsidRPr="00295E71" w:rsidR="00CE787B">
        <w:rPr>
          <w:color w:val="000000"/>
          <w:sz w:val="22"/>
          <w:szCs w:val="22"/>
        </w:rPr>
        <w:t xml:space="preserve"> </w:t>
      </w:r>
      <w:r w:rsidRPr="00295E71">
        <w:rPr>
          <w:color w:val="000000"/>
          <w:sz w:val="22"/>
          <w:szCs w:val="22"/>
        </w:rPr>
        <w:t xml:space="preserve">controllati e in aperto per un periodo fino a 60 mesi o superiore. Tali studi sono stati effettuati su pazienti </w:t>
      </w:r>
      <w:r w:rsidRPr="00295E71" w:rsidR="00224E13">
        <w:rPr>
          <w:color w:val="000000"/>
          <w:sz w:val="22"/>
          <w:szCs w:val="22"/>
        </w:rPr>
        <w:t>con</w:t>
      </w:r>
      <w:r w:rsidRPr="00295E71">
        <w:rPr>
          <w:color w:val="000000"/>
          <w:sz w:val="22"/>
          <w:szCs w:val="22"/>
        </w:rPr>
        <w:t xml:space="preserve"> artrite reumatoide ad insorgenza precoce e di lunga durata, artrite idiopatica giovanile (artrite idiopatica giovanile poliarticolare e artrite associata ad entesite) così come su pazienti </w:t>
      </w:r>
      <w:r w:rsidRPr="00295E71" w:rsidR="00224E13">
        <w:rPr>
          <w:color w:val="000000"/>
          <w:sz w:val="22"/>
          <w:szCs w:val="22"/>
        </w:rPr>
        <w:t>con</w:t>
      </w:r>
      <w:r w:rsidRPr="00295E71">
        <w:rPr>
          <w:color w:val="000000"/>
          <w:sz w:val="22"/>
          <w:szCs w:val="22"/>
        </w:rPr>
        <w:t xml:space="preserve"> spondiloartrite assiale (spondilite anchilosante e spondiloartrite assiale senza evidenza radiografica di spondilite anchilosante), artrite psoriasica, malattia di Crohn, colite ulcerosa, psoriasi, idrosadenite suppurativa e uveite. Gli studi registrativi controllati sono stati condotti su</w:t>
      </w:r>
      <w:r w:rsidRPr="00295E71" w:rsidR="003C47F5">
        <w:rPr>
          <w:color w:val="000000"/>
          <w:sz w:val="22"/>
          <w:szCs w:val="22"/>
        </w:rPr>
        <w:t xml:space="preserve"> </w:t>
      </w:r>
      <w:r w:rsidRPr="00295E71">
        <w:rPr>
          <w:color w:val="000000"/>
          <w:sz w:val="22"/>
          <w:szCs w:val="22"/>
        </w:rPr>
        <w:t>6.089 pazienti sottoposti a trattamento con Humira e su</w:t>
      </w:r>
      <w:r w:rsidRPr="00295E71" w:rsidR="003C47F5">
        <w:rPr>
          <w:color w:val="000000"/>
          <w:sz w:val="22"/>
          <w:szCs w:val="22"/>
        </w:rPr>
        <w:t xml:space="preserve"> </w:t>
      </w:r>
      <w:r w:rsidRPr="00295E71">
        <w:rPr>
          <w:color w:val="000000"/>
          <w:sz w:val="22"/>
          <w:szCs w:val="22"/>
        </w:rPr>
        <w:t>3.801 pazienti cui è stato somministrato placebo o un comparatore attivo durante il periodo di controllo.</w:t>
      </w:r>
    </w:p>
    <w:p w:rsidR="00157870" w:rsidRPr="00295E71" w:rsidP="00157870" w14:paraId="663982D5" w14:textId="77777777">
      <w:pPr>
        <w:tabs>
          <w:tab w:val="left" w:pos="567"/>
        </w:tabs>
        <w:autoSpaceDE w:val="0"/>
        <w:autoSpaceDN w:val="0"/>
        <w:adjustRightInd w:val="0"/>
        <w:jc w:val="both"/>
        <w:rPr>
          <w:color w:val="000000"/>
          <w:sz w:val="22"/>
          <w:szCs w:val="22"/>
        </w:rPr>
      </w:pPr>
    </w:p>
    <w:p w:rsidR="00157870" w:rsidRPr="00295E71" w:rsidP="00157870" w14:paraId="475D1A31" w14:textId="77777777">
      <w:pPr>
        <w:pStyle w:val="BodyTextIndent"/>
        <w:tabs>
          <w:tab w:val="left" w:pos="567"/>
        </w:tabs>
      </w:pPr>
      <w:r w:rsidRPr="00295E71">
        <w:t>La percentuale di pazienti che hanno interrotto il trattamento a causa di eventi avversi durante la fase in doppio cieco, controllata, degli studi registrativi è stata del 5,9% per i pazienti che hanno assunto Humira e del 5,4% per i pazienti trattati con il controllo.</w:t>
      </w:r>
    </w:p>
    <w:p w:rsidR="00157870" w:rsidRPr="00295E71" w:rsidP="00157870" w14:paraId="59C2AA75" w14:textId="77777777">
      <w:pPr>
        <w:pStyle w:val="BodyTextIndent"/>
        <w:tabs>
          <w:tab w:val="left" w:pos="567"/>
        </w:tabs>
      </w:pPr>
    </w:p>
    <w:p w:rsidR="00157870" w:rsidRPr="00295E71" w:rsidP="00157870" w14:paraId="1C12307C" w14:textId="77777777">
      <w:pPr>
        <w:pStyle w:val="BodyTextIndent"/>
        <w:tabs>
          <w:tab w:val="left" w:pos="567"/>
        </w:tabs>
      </w:pPr>
      <w:r w:rsidRPr="00295E71">
        <w:t>Le reazioni avverse più comunemente riportate sono infezioni (quali rinofaringiti, infezione delle alte vie respiratorie e sinusite), reazioni al sito di somministrazione (eritema, prurito, emorragia, dolore o tumefazione), cefalea e dolore muscoloscheletrico.</w:t>
      </w:r>
    </w:p>
    <w:p w:rsidR="00157870" w:rsidRPr="00295E71" w:rsidP="00157870" w14:paraId="00DAC0B2" w14:textId="77777777">
      <w:pPr>
        <w:pStyle w:val="BodyTextIndent"/>
        <w:tabs>
          <w:tab w:val="left" w:pos="567"/>
        </w:tabs>
      </w:pPr>
    </w:p>
    <w:p w:rsidR="00157870" w:rsidRPr="00295E71" w:rsidP="00157870" w14:paraId="631F1041" w14:textId="77777777">
      <w:pPr>
        <w:pStyle w:val="BodyTextIndent"/>
        <w:tabs>
          <w:tab w:val="left" w:pos="567"/>
        </w:tabs>
      </w:pPr>
      <w:r w:rsidRPr="00295E71">
        <w:t xml:space="preserve">Sono state riportate gravi reazioni avverse per Humira. I farmaci anti-TNF, come Humira, influenzano il sistema immunitario e il loro uso può influenzare le difese dell’organismo contro infezioni e cancro. </w:t>
      </w:r>
    </w:p>
    <w:p w:rsidR="00157870" w:rsidRPr="00295E71" w:rsidP="00157870" w14:paraId="39BF722B" w14:textId="77777777">
      <w:pPr>
        <w:pStyle w:val="BodyTextIndent"/>
        <w:tabs>
          <w:tab w:val="left" w:pos="567"/>
        </w:tabs>
      </w:pPr>
      <w:r w:rsidRPr="00295E71">
        <w:t xml:space="preserve">A seguito della somministrazione di Humira, sono stati riportati anche casi di infezioni fatali </w:t>
      </w:r>
      <w:r w:rsidRPr="00020442" w:rsidR="00CE787B">
        <w:t xml:space="preserve">e potenzialmente fatali </w:t>
      </w:r>
      <w:r w:rsidRPr="00295E71">
        <w:t>(inclusi casi di sepsi, infezioni opportunistiche e TBC), riattivazione dell’infezione da HBV e</w:t>
      </w:r>
      <w:r w:rsidR="00CE787B">
        <w:t xml:space="preserve"> </w:t>
      </w:r>
      <w:r w:rsidRPr="00295E71">
        <w:t>vari tipi di tumori maligni (inclusi casi di leucemia, linfomi e linfoma epato-splenico a cellule T-HSTCL).</w:t>
      </w:r>
    </w:p>
    <w:p w:rsidR="00157870" w:rsidRPr="00295E71" w:rsidP="00157870" w14:paraId="008BB7C9" w14:textId="77777777">
      <w:pPr>
        <w:pStyle w:val="BodyTextIndent"/>
        <w:tabs>
          <w:tab w:val="left" w:pos="567"/>
        </w:tabs>
      </w:pPr>
    </w:p>
    <w:p w:rsidR="00157870" w:rsidRPr="00295E71" w:rsidP="00157870" w14:paraId="0B165D89" w14:textId="77777777">
      <w:pPr>
        <w:pStyle w:val="BodyTextIndent"/>
        <w:tabs>
          <w:tab w:val="left" w:pos="567"/>
        </w:tabs>
      </w:pPr>
      <w:r w:rsidRPr="00295E71">
        <w:t xml:space="preserve">Sono state inoltre riportate gravi reazioni ematologiche, neurologiche e autoimmuni. Queste ultime includono rari casi di pancitopenia, anemia aplastica, eventi di demielinizzazione centrale e periferica e casi di lupus, condizioni lupus-correlate e sindrome di Stevens-Johnson. </w:t>
      </w:r>
    </w:p>
    <w:p w:rsidR="00157870" w:rsidRPr="00295E71" w:rsidP="00157870" w14:paraId="740EF722" w14:textId="77777777">
      <w:pPr>
        <w:rPr>
          <w:color w:val="000000"/>
          <w:sz w:val="22"/>
          <w:szCs w:val="22"/>
          <w:u w:val="single"/>
        </w:rPr>
      </w:pPr>
    </w:p>
    <w:p w:rsidR="00157870" w:rsidRPr="00295E71" w:rsidP="00157870" w14:paraId="7D2BB8B0" w14:textId="77777777">
      <w:pPr>
        <w:rPr>
          <w:color w:val="000000"/>
          <w:sz w:val="22"/>
          <w:szCs w:val="22"/>
          <w:u w:val="single"/>
        </w:rPr>
      </w:pPr>
      <w:r w:rsidRPr="00295E71">
        <w:rPr>
          <w:color w:val="000000"/>
          <w:sz w:val="22"/>
          <w:szCs w:val="22"/>
          <w:u w:val="single"/>
        </w:rPr>
        <w:t>Popolazione pediatrica</w:t>
      </w:r>
    </w:p>
    <w:p w:rsidR="00157870" w:rsidRPr="00295E71" w:rsidP="00157870" w14:paraId="11593EBD" w14:textId="77777777">
      <w:pPr>
        <w:tabs>
          <w:tab w:val="left" w:pos="567"/>
        </w:tabs>
        <w:autoSpaceDE w:val="0"/>
        <w:autoSpaceDN w:val="0"/>
        <w:adjustRightInd w:val="0"/>
        <w:jc w:val="both"/>
        <w:rPr>
          <w:color w:val="000000"/>
          <w:sz w:val="22"/>
          <w:szCs w:val="22"/>
        </w:rPr>
      </w:pPr>
    </w:p>
    <w:p w:rsidR="00157870" w:rsidRPr="00295E71" w:rsidP="00157870" w14:paraId="27C88372" w14:textId="77777777">
      <w:pPr>
        <w:tabs>
          <w:tab w:val="left" w:pos="567"/>
        </w:tabs>
        <w:autoSpaceDE w:val="0"/>
        <w:autoSpaceDN w:val="0"/>
        <w:adjustRightInd w:val="0"/>
        <w:jc w:val="both"/>
        <w:rPr>
          <w:color w:val="000000"/>
          <w:sz w:val="22"/>
          <w:szCs w:val="22"/>
        </w:rPr>
      </w:pPr>
      <w:r w:rsidRPr="00295E71">
        <w:rPr>
          <w:color w:val="000000"/>
          <w:sz w:val="22"/>
          <w:szCs w:val="22"/>
        </w:rPr>
        <w:t>In generale, gli eventi avversi nei pazienti pediatrici sono risultati simili a quelli riscontrati nei pazienti adulti sia in termini di frequenza che di tipologia.</w:t>
      </w:r>
    </w:p>
    <w:p w:rsidR="00157870" w:rsidRPr="00295E71" w:rsidP="00157870" w14:paraId="52677B63" w14:textId="77777777">
      <w:pPr>
        <w:rPr>
          <w:color w:val="000000"/>
          <w:sz w:val="22"/>
          <w:szCs w:val="22"/>
          <w:u w:val="single"/>
        </w:rPr>
      </w:pPr>
    </w:p>
    <w:p w:rsidR="00157870" w:rsidRPr="00295E71" w:rsidP="00157870" w14:paraId="66F57009" w14:textId="77777777">
      <w:pPr>
        <w:tabs>
          <w:tab w:val="left" w:pos="567"/>
        </w:tabs>
        <w:autoSpaceDE w:val="0"/>
        <w:autoSpaceDN w:val="0"/>
        <w:adjustRightInd w:val="0"/>
        <w:jc w:val="both"/>
        <w:rPr>
          <w:color w:val="000000"/>
          <w:sz w:val="22"/>
          <w:szCs w:val="22"/>
          <w:u w:val="single"/>
        </w:rPr>
      </w:pPr>
      <w:r w:rsidRPr="00295E71">
        <w:rPr>
          <w:color w:val="000000"/>
          <w:sz w:val="22"/>
          <w:szCs w:val="22"/>
          <w:u w:val="single"/>
        </w:rPr>
        <w:t>Tabella dell’elenco delle reazioni avverse</w:t>
      </w:r>
    </w:p>
    <w:p w:rsidR="00157870" w:rsidRPr="00295E71" w:rsidP="00157870" w14:paraId="70D7F8C3" w14:textId="77777777">
      <w:pPr>
        <w:tabs>
          <w:tab w:val="left" w:pos="567"/>
        </w:tabs>
        <w:autoSpaceDE w:val="0"/>
        <w:autoSpaceDN w:val="0"/>
        <w:adjustRightInd w:val="0"/>
        <w:jc w:val="both"/>
        <w:rPr>
          <w:color w:val="000000"/>
          <w:sz w:val="22"/>
          <w:szCs w:val="22"/>
        </w:rPr>
      </w:pPr>
    </w:p>
    <w:p w:rsidR="00157870" w:rsidRPr="00295E71" w:rsidP="00157870" w14:paraId="286F3578" w14:textId="77777777">
      <w:pPr>
        <w:tabs>
          <w:tab w:val="left" w:pos="567"/>
        </w:tabs>
        <w:jc w:val="both"/>
        <w:rPr>
          <w:sz w:val="22"/>
          <w:szCs w:val="22"/>
        </w:rPr>
      </w:pPr>
      <w:r w:rsidRPr="00295E71">
        <w:rPr>
          <w:color w:val="000000"/>
          <w:sz w:val="22"/>
          <w:szCs w:val="22"/>
        </w:rPr>
        <w:t>La seguente lista di reazioni avverse è basata su esperienza proveniente da studi clinici ed esperienze post marketing</w:t>
      </w:r>
      <w:r w:rsidRPr="00295E71">
        <w:rPr>
          <w:sz w:val="22"/>
          <w:szCs w:val="22"/>
        </w:rPr>
        <w:t xml:space="preserve"> ed è riportata nella Tabella 6 classificata in base al sistema/organo coinvolto e alla frequenza: molto comune (</w:t>
      </w:r>
      <w:r w:rsidRPr="00295E71">
        <w:rPr>
          <w:sz w:val="22"/>
          <w:szCs w:val="22"/>
          <w:u w:val="single"/>
        </w:rPr>
        <w:t>&gt;</w:t>
      </w:r>
      <w:r w:rsidRPr="00295E71">
        <w:rPr>
          <w:sz w:val="22"/>
          <w:szCs w:val="22"/>
        </w:rPr>
        <w:t xml:space="preserve">1/10); </w:t>
      </w:r>
      <w:r w:rsidRPr="00295E71">
        <w:rPr>
          <w:color w:val="000000"/>
          <w:sz w:val="22"/>
          <w:szCs w:val="22"/>
        </w:rPr>
        <w:t>comune (≥1/100</w:t>
      </w:r>
      <w:r w:rsidR="00CE787B">
        <w:rPr>
          <w:color w:val="000000"/>
          <w:sz w:val="22"/>
          <w:szCs w:val="22"/>
        </w:rPr>
        <w:t>,</w:t>
      </w:r>
      <w:r w:rsidRPr="00295E71">
        <w:rPr>
          <w:color w:val="000000"/>
          <w:sz w:val="22"/>
          <w:szCs w:val="22"/>
        </w:rPr>
        <w:t xml:space="preserve"> &lt;1/10); non comune (≥1/1.000</w:t>
      </w:r>
      <w:r w:rsidR="00CE787B">
        <w:rPr>
          <w:color w:val="000000"/>
          <w:sz w:val="22"/>
          <w:szCs w:val="22"/>
        </w:rPr>
        <w:t>,</w:t>
      </w:r>
      <w:r w:rsidRPr="00295E71">
        <w:rPr>
          <w:color w:val="000000"/>
          <w:sz w:val="22"/>
          <w:szCs w:val="22"/>
        </w:rPr>
        <w:t xml:space="preserve"> &lt;1/100),</w:t>
      </w:r>
      <w:r w:rsidRPr="00295E71">
        <w:rPr>
          <w:sz w:val="22"/>
          <w:szCs w:val="22"/>
        </w:rPr>
        <w:t xml:space="preserve"> raro (</w:t>
      </w:r>
      <w:r w:rsidRPr="00295E71">
        <w:rPr>
          <w:color w:val="000000"/>
          <w:sz w:val="22"/>
          <w:szCs w:val="22"/>
        </w:rPr>
        <w:t>≥1/10.000</w:t>
      </w:r>
      <w:r w:rsidR="00CE787B">
        <w:rPr>
          <w:color w:val="000000"/>
          <w:sz w:val="22"/>
          <w:szCs w:val="22"/>
        </w:rPr>
        <w:t>,</w:t>
      </w:r>
      <w:r w:rsidRPr="00295E71">
        <w:rPr>
          <w:color w:val="000000"/>
          <w:sz w:val="22"/>
          <w:szCs w:val="22"/>
        </w:rPr>
        <w:t xml:space="preserve"> </w:t>
      </w:r>
      <w:r w:rsidRPr="00295E71">
        <w:rPr>
          <w:sz w:val="22"/>
          <w:szCs w:val="22"/>
        </w:rPr>
        <w:t xml:space="preserve">&lt;1/1.000) e non nota (la frequenza non può essere definita sulla base dei dati disponibili). All’interno di ogni gruppo di frequenza, gli effetti indesiderati sono riportati in ordine decrescente di gravità. È stata inclusa la frequenza più elevata osservata tra le varie indicazioni. Nella colonna Classificazione per sistemi ed organi compare un asterisco (*) nel caso in cui siano presenti ulteriori informazioni contenute nei paragrafi 4.3, 4.4 e 4.8. </w:t>
      </w:r>
    </w:p>
    <w:p w:rsidR="00157870" w:rsidRPr="00295E71" w:rsidP="00157870" w14:paraId="4D631456" w14:textId="77777777">
      <w:pPr>
        <w:tabs>
          <w:tab w:val="left" w:pos="567"/>
        </w:tabs>
        <w:jc w:val="both"/>
        <w:rPr>
          <w:sz w:val="22"/>
          <w:szCs w:val="22"/>
        </w:rPr>
      </w:pPr>
    </w:p>
    <w:p w:rsidR="00157870" w:rsidRPr="00295E71" w:rsidP="00C04163" w14:paraId="6D0FF59D" w14:textId="77777777">
      <w:pPr>
        <w:jc w:val="center"/>
        <w:rPr>
          <w:b/>
          <w:bCs/>
          <w:sz w:val="22"/>
          <w:szCs w:val="22"/>
        </w:rPr>
      </w:pPr>
      <w:r w:rsidRPr="00295E71">
        <w:rPr>
          <w:b/>
          <w:bCs/>
          <w:sz w:val="22"/>
          <w:szCs w:val="22"/>
        </w:rPr>
        <w:t>Tabella 6</w:t>
      </w:r>
    </w:p>
    <w:p w:rsidR="00157870" w:rsidRPr="00295E71" w:rsidP="00C04163" w14:paraId="184E8817" w14:textId="77777777">
      <w:pPr>
        <w:tabs>
          <w:tab w:val="left" w:pos="567"/>
        </w:tabs>
        <w:jc w:val="center"/>
        <w:rPr>
          <w:b/>
          <w:bCs/>
          <w:sz w:val="22"/>
          <w:szCs w:val="22"/>
        </w:rPr>
      </w:pPr>
      <w:r w:rsidRPr="00295E71">
        <w:rPr>
          <w:b/>
          <w:bCs/>
          <w:sz w:val="22"/>
          <w:szCs w:val="22"/>
        </w:rPr>
        <w:t xml:space="preserve">Effetti indesiderati </w:t>
      </w:r>
    </w:p>
    <w:p w:rsidR="00157870" w:rsidRPr="00295E71" w:rsidP="00C04163" w14:paraId="17C79E2B" w14:textId="77777777">
      <w:pPr>
        <w:tabs>
          <w:tab w:val="left" w:pos="567"/>
        </w:tabs>
        <w:autoSpaceDE w:val="0"/>
        <w:autoSpaceDN w:val="0"/>
        <w:adjustRightInd w:val="0"/>
        <w:jc w:val="both"/>
        <w:rPr>
          <w:color w:val="00000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9"/>
        <w:gridCol w:w="9"/>
        <w:gridCol w:w="2029"/>
        <w:gridCol w:w="7"/>
        <w:gridCol w:w="4456"/>
      </w:tblGrid>
      <w:tr w14:paraId="16673309" w14:textId="77777777" w:rsidTr="00C04163">
        <w:tblPrEx>
          <w:tblW w:w="0" w:type="auto"/>
          <w:tblLook w:val="01E0"/>
        </w:tblPrEx>
        <w:trPr>
          <w:tblHeader/>
        </w:trPr>
        <w:tc>
          <w:tcPr>
            <w:tcW w:w="2559" w:type="dxa"/>
          </w:tcPr>
          <w:p w:rsidR="00157870" w:rsidRPr="00295E71" w:rsidP="00C04163" w14:paraId="600B99DB" w14:textId="77777777">
            <w:pPr>
              <w:pStyle w:val="IndexHeading"/>
              <w:widowControl w:val="0"/>
              <w:tabs>
                <w:tab w:val="clear" w:pos="567"/>
              </w:tabs>
              <w:spacing w:before="120" w:after="120" w:line="240" w:lineRule="auto"/>
              <w:jc w:val="center"/>
              <w:rPr>
                <w:rFonts w:ascii="Times New Roman" w:hAnsi="Times New Roman" w:cs="Times New Roman"/>
                <w:lang w:val="it-IT" w:eastAsia="it-IT"/>
              </w:rPr>
            </w:pPr>
            <w:r w:rsidRPr="00295E71">
              <w:rPr>
                <w:rFonts w:ascii="Times New Roman" w:hAnsi="Times New Roman" w:cs="Times New Roman"/>
                <w:lang w:val="it-IT" w:eastAsia="it-IT"/>
              </w:rPr>
              <w:t>Classificazione per sistemi e organi</w:t>
            </w:r>
          </w:p>
        </w:tc>
        <w:tc>
          <w:tcPr>
            <w:tcW w:w="2038" w:type="dxa"/>
            <w:gridSpan w:val="2"/>
            <w:tcBorders>
              <w:bottom w:val="single" w:sz="4" w:space="0" w:color="auto"/>
            </w:tcBorders>
          </w:tcPr>
          <w:p w:rsidR="00157870" w:rsidRPr="00295E71" w:rsidP="00C04163" w14:paraId="381A5647" w14:textId="77777777">
            <w:pPr>
              <w:pStyle w:val="EMEATitle"/>
              <w:widowControl w:val="0"/>
              <w:tabs>
                <w:tab w:val="clear" w:pos="562"/>
              </w:tabs>
              <w:suppressAutoHyphens w:val="0"/>
              <w:spacing w:before="120" w:after="120"/>
              <w:rPr>
                <w:rFonts w:ascii="Times New Roman" w:hAnsi="Times New Roman"/>
                <w:caps w:val="0"/>
                <w:lang w:val="it-IT"/>
              </w:rPr>
            </w:pPr>
            <w:r w:rsidRPr="00295E71">
              <w:rPr>
                <w:rFonts w:ascii="Times New Roman" w:hAnsi="Times New Roman"/>
                <w:caps w:val="0"/>
                <w:lang w:val="it-IT"/>
              </w:rPr>
              <w:t>Frequenza</w:t>
            </w:r>
          </w:p>
        </w:tc>
        <w:tc>
          <w:tcPr>
            <w:tcW w:w="4463" w:type="dxa"/>
            <w:gridSpan w:val="2"/>
            <w:tcBorders>
              <w:bottom w:val="single" w:sz="4" w:space="0" w:color="auto"/>
            </w:tcBorders>
          </w:tcPr>
          <w:p w:rsidR="00157870" w:rsidRPr="00295E71" w:rsidP="00C04163" w14:paraId="656CB4F6" w14:textId="77777777">
            <w:pPr>
              <w:pStyle w:val="EMEATitle"/>
              <w:widowControl w:val="0"/>
              <w:tabs>
                <w:tab w:val="clear" w:pos="562"/>
              </w:tabs>
              <w:suppressAutoHyphens w:val="0"/>
              <w:spacing w:before="120" w:after="120"/>
              <w:rPr>
                <w:rFonts w:ascii="Times New Roman" w:hAnsi="Times New Roman"/>
                <w:caps w:val="0"/>
                <w:lang w:val="it-IT"/>
              </w:rPr>
            </w:pPr>
            <w:r w:rsidRPr="00295E71">
              <w:rPr>
                <w:rFonts w:ascii="Times New Roman" w:hAnsi="Times New Roman"/>
                <w:caps w:val="0"/>
                <w:lang w:val="it-IT"/>
              </w:rPr>
              <w:t>Reazione avversa</w:t>
            </w:r>
          </w:p>
        </w:tc>
      </w:tr>
      <w:tr w14:paraId="644F7189" w14:textId="77777777" w:rsidTr="00C04163">
        <w:tblPrEx>
          <w:tblW w:w="0" w:type="auto"/>
          <w:tblLook w:val="01E0"/>
        </w:tblPrEx>
        <w:trPr>
          <w:cantSplit/>
        </w:trPr>
        <w:tc>
          <w:tcPr>
            <w:tcW w:w="2559" w:type="dxa"/>
            <w:vMerge w:val="restart"/>
          </w:tcPr>
          <w:p w:rsidR="00157870" w:rsidRPr="00295E71" w:rsidP="00C04163" w14:paraId="101DA8CE" w14:textId="77777777">
            <w:pPr>
              <w:pStyle w:val="EMEANormal"/>
              <w:widowControl w:val="0"/>
              <w:spacing w:before="60"/>
              <w:rPr>
                <w:lang w:val="it-IT"/>
              </w:rPr>
            </w:pPr>
            <w:r w:rsidRPr="00295E71">
              <w:rPr>
                <w:lang w:val="it-IT"/>
              </w:rPr>
              <w:t>Infezioni ed infestazioni*</w:t>
            </w:r>
          </w:p>
          <w:p w:rsidR="00157870" w:rsidRPr="00295E71" w:rsidP="00C04163" w14:paraId="5CE193B7" w14:textId="77777777">
            <w:pPr>
              <w:widowControl w:val="0"/>
              <w:spacing w:before="60"/>
              <w:jc w:val="center"/>
              <w:rPr>
                <w:sz w:val="22"/>
                <w:szCs w:val="22"/>
              </w:rPr>
            </w:pPr>
          </w:p>
        </w:tc>
        <w:tc>
          <w:tcPr>
            <w:tcW w:w="2038" w:type="dxa"/>
            <w:gridSpan w:val="2"/>
            <w:tcBorders>
              <w:bottom w:val="single" w:sz="4" w:space="0" w:color="auto"/>
            </w:tcBorders>
          </w:tcPr>
          <w:p w:rsidR="00157870" w:rsidRPr="00295E71" w:rsidP="00C04163" w14:paraId="54ECCC1D" w14:textId="77777777">
            <w:pPr>
              <w:pStyle w:val="EMEANormal"/>
              <w:widowControl w:val="0"/>
              <w:spacing w:before="60"/>
              <w:rPr>
                <w:lang w:val="it-IT"/>
              </w:rPr>
            </w:pPr>
            <w:r w:rsidRPr="00295E71">
              <w:rPr>
                <w:lang w:val="it-IT"/>
              </w:rPr>
              <w:t>Molto comune</w:t>
            </w:r>
          </w:p>
        </w:tc>
        <w:tc>
          <w:tcPr>
            <w:tcW w:w="4463" w:type="dxa"/>
            <w:gridSpan w:val="2"/>
            <w:tcBorders>
              <w:bottom w:val="single" w:sz="4" w:space="0" w:color="auto"/>
            </w:tcBorders>
          </w:tcPr>
          <w:p w:rsidR="00157870" w:rsidRPr="00295E71" w:rsidP="00C04163" w14:paraId="1B5F5F4F" w14:textId="77777777">
            <w:pPr>
              <w:pStyle w:val="EMEANormal"/>
              <w:widowControl w:val="0"/>
              <w:spacing w:before="60"/>
              <w:jc w:val="both"/>
              <w:rPr>
                <w:lang w:val="it-IT"/>
              </w:rPr>
            </w:pPr>
            <w:r w:rsidRPr="00295E71">
              <w:rPr>
                <w:lang w:val="it-IT"/>
              </w:rPr>
              <w:t>Infezioni delle vie respiratorie (tra cui infezioni delle vie respiratorie superiori ed inferiori, polmonite, sinusite, faringite, rinofaringite e polmonite da herpes virus)</w:t>
            </w:r>
          </w:p>
          <w:p w:rsidR="00157870" w:rsidRPr="00295E71" w:rsidP="00C04163" w14:paraId="34D82D52" w14:textId="77777777">
            <w:pPr>
              <w:pStyle w:val="EMEANormal"/>
              <w:widowControl w:val="0"/>
              <w:spacing w:before="60"/>
              <w:rPr>
                <w:lang w:val="it-IT"/>
              </w:rPr>
            </w:pPr>
          </w:p>
        </w:tc>
      </w:tr>
      <w:tr w14:paraId="2EC8DCE2" w14:textId="77777777" w:rsidTr="00C04163">
        <w:tblPrEx>
          <w:tblW w:w="0" w:type="auto"/>
          <w:tblLook w:val="01E0"/>
        </w:tblPrEx>
        <w:trPr>
          <w:cantSplit/>
        </w:trPr>
        <w:tc>
          <w:tcPr>
            <w:tcW w:w="2559" w:type="dxa"/>
            <w:vMerge/>
          </w:tcPr>
          <w:p w:rsidR="00157870" w:rsidRPr="00295E71" w:rsidP="00C04163" w14:paraId="56C3914D" w14:textId="77777777">
            <w:pPr>
              <w:widowControl w:val="0"/>
              <w:spacing w:before="60"/>
              <w:jc w:val="center"/>
              <w:rPr>
                <w:b/>
                <w:sz w:val="22"/>
                <w:szCs w:val="22"/>
              </w:rPr>
            </w:pPr>
          </w:p>
        </w:tc>
        <w:tc>
          <w:tcPr>
            <w:tcW w:w="2038" w:type="dxa"/>
            <w:gridSpan w:val="2"/>
            <w:tcBorders>
              <w:top w:val="single" w:sz="4" w:space="0" w:color="auto"/>
              <w:bottom w:val="single" w:sz="4" w:space="0" w:color="auto"/>
            </w:tcBorders>
          </w:tcPr>
          <w:p w:rsidR="00157870" w:rsidRPr="00295E71" w:rsidP="00C04163" w14:paraId="27AA0C78" w14:textId="77777777">
            <w:pPr>
              <w:pStyle w:val="EMEANormal"/>
              <w:widowControl w:val="0"/>
              <w:spacing w:before="60"/>
              <w:rPr>
                <w:lang w:val="it-IT"/>
              </w:rPr>
            </w:pPr>
            <w:r w:rsidRPr="00295E71">
              <w:rPr>
                <w:lang w:val="it-IT"/>
              </w:rPr>
              <w:t>Comune</w:t>
            </w:r>
          </w:p>
          <w:p w:rsidR="00157870" w:rsidRPr="00295E71" w:rsidP="00C04163" w14:paraId="41AD14BC" w14:textId="77777777">
            <w:pPr>
              <w:pStyle w:val="EMEANormal"/>
              <w:widowControl w:val="0"/>
              <w:spacing w:before="60"/>
              <w:rPr>
                <w:lang w:val="it-IT"/>
              </w:rPr>
            </w:pPr>
          </w:p>
        </w:tc>
        <w:tc>
          <w:tcPr>
            <w:tcW w:w="4463" w:type="dxa"/>
            <w:gridSpan w:val="2"/>
            <w:tcBorders>
              <w:top w:val="single" w:sz="4" w:space="0" w:color="auto"/>
              <w:bottom w:val="single" w:sz="4" w:space="0" w:color="auto"/>
            </w:tcBorders>
          </w:tcPr>
          <w:p w:rsidR="00157870" w:rsidRPr="00295E71" w:rsidP="00C04163" w14:paraId="28015288" w14:textId="77777777">
            <w:pPr>
              <w:widowControl w:val="0"/>
              <w:jc w:val="both"/>
              <w:rPr>
                <w:sz w:val="22"/>
                <w:szCs w:val="22"/>
              </w:rPr>
            </w:pPr>
            <w:r w:rsidRPr="00295E71">
              <w:rPr>
                <w:sz w:val="22"/>
                <w:szCs w:val="22"/>
              </w:rPr>
              <w:t xml:space="preserve">Infezioni sistemiche (tra cui sepsi, candidosi ed influenza), </w:t>
            </w:r>
          </w:p>
          <w:p w:rsidR="00157870" w:rsidRPr="00295E71" w:rsidP="00C04163" w14:paraId="55C7E3E7" w14:textId="77777777">
            <w:pPr>
              <w:widowControl w:val="0"/>
              <w:jc w:val="both"/>
              <w:rPr>
                <w:sz w:val="22"/>
                <w:szCs w:val="22"/>
              </w:rPr>
            </w:pPr>
            <w:r w:rsidRPr="00295E71">
              <w:rPr>
                <w:sz w:val="22"/>
                <w:szCs w:val="22"/>
              </w:rPr>
              <w:t xml:space="preserve">infezioni intestinali (tra cui gastroenterite virale), </w:t>
            </w:r>
          </w:p>
          <w:p w:rsidR="00157870" w:rsidRPr="00295E71" w:rsidP="00C04163" w14:paraId="707EED1B" w14:textId="77777777">
            <w:pPr>
              <w:widowControl w:val="0"/>
              <w:jc w:val="both"/>
              <w:rPr>
                <w:sz w:val="22"/>
                <w:szCs w:val="22"/>
              </w:rPr>
            </w:pPr>
            <w:r w:rsidRPr="00295E71">
              <w:rPr>
                <w:sz w:val="22"/>
                <w:szCs w:val="22"/>
              </w:rPr>
              <w:t>infezioni della pelle e dei tessuti molli (tra cui paronichia, cellulite, impetigine, fascite necrotizzante ed herpes zoster),</w:t>
            </w:r>
          </w:p>
          <w:p w:rsidR="00157870" w:rsidRPr="00295E71" w:rsidP="00C04163" w14:paraId="505B1CFE" w14:textId="77777777">
            <w:pPr>
              <w:pStyle w:val="EndnoteText"/>
              <w:widowControl w:val="0"/>
              <w:tabs>
                <w:tab w:val="clear" w:pos="567"/>
              </w:tabs>
              <w:jc w:val="both"/>
              <w:rPr>
                <w:lang w:val="it-IT" w:eastAsia="it-IT"/>
              </w:rPr>
            </w:pPr>
            <w:r w:rsidRPr="00295E71">
              <w:rPr>
                <w:lang w:val="it-IT" w:eastAsia="it-IT"/>
              </w:rPr>
              <w:t>infezioni dell’orecchio,</w:t>
            </w:r>
          </w:p>
          <w:p w:rsidR="00157870" w:rsidRPr="00295E71" w:rsidP="00C04163" w14:paraId="52742399" w14:textId="77777777">
            <w:pPr>
              <w:jc w:val="both"/>
              <w:rPr>
                <w:sz w:val="22"/>
                <w:szCs w:val="22"/>
              </w:rPr>
            </w:pPr>
            <w:r w:rsidRPr="00295E71">
              <w:rPr>
                <w:sz w:val="22"/>
                <w:szCs w:val="22"/>
              </w:rPr>
              <w:t>infezioni del cavo orale (tra cui herpes simplex, herpes orale ed infezioni dentali),</w:t>
            </w:r>
          </w:p>
          <w:p w:rsidR="00157870" w:rsidRPr="00295E71" w:rsidP="00C04163" w14:paraId="4C8690EE" w14:textId="77777777">
            <w:pPr>
              <w:jc w:val="both"/>
              <w:rPr>
                <w:sz w:val="22"/>
                <w:szCs w:val="22"/>
              </w:rPr>
            </w:pPr>
            <w:r w:rsidRPr="00295E71">
              <w:rPr>
                <w:sz w:val="22"/>
                <w:szCs w:val="22"/>
              </w:rPr>
              <w:t>infezioni dell’apparato riproduttivo (tra cui infezione vulvovaginale micotica),</w:t>
            </w:r>
          </w:p>
          <w:p w:rsidR="00157870" w:rsidRPr="00295E71" w:rsidP="00C04163" w14:paraId="6172C6F6" w14:textId="77777777">
            <w:pPr>
              <w:pStyle w:val="EndnoteText"/>
              <w:tabs>
                <w:tab w:val="clear" w:pos="567"/>
              </w:tabs>
              <w:jc w:val="both"/>
              <w:rPr>
                <w:lang w:val="it-IT" w:eastAsia="it-IT"/>
              </w:rPr>
            </w:pPr>
            <w:r w:rsidRPr="00295E71">
              <w:rPr>
                <w:lang w:val="it-IT" w:eastAsia="it-IT"/>
              </w:rPr>
              <w:t>infezioni delle vie urinarie (tra cui pielonefriti),</w:t>
            </w:r>
          </w:p>
          <w:p w:rsidR="00157870" w:rsidRPr="00295E71" w:rsidP="00C04163" w14:paraId="0B47B6AB" w14:textId="77777777">
            <w:pPr>
              <w:pStyle w:val="EMEANormal"/>
              <w:widowControl w:val="0"/>
              <w:spacing w:before="60"/>
              <w:jc w:val="both"/>
              <w:rPr>
                <w:lang w:val="it-IT"/>
              </w:rPr>
            </w:pPr>
            <w:r w:rsidRPr="00295E71">
              <w:rPr>
                <w:lang w:val="it-IT"/>
              </w:rPr>
              <w:t>infezioni fungine,</w:t>
            </w:r>
          </w:p>
          <w:p w:rsidR="00157870" w:rsidRPr="00295E71" w:rsidP="00C04163" w14:paraId="593775CB" w14:textId="77777777">
            <w:pPr>
              <w:pStyle w:val="EMEANormal"/>
              <w:widowControl w:val="0"/>
              <w:spacing w:before="60"/>
              <w:jc w:val="both"/>
              <w:rPr>
                <w:lang w:val="it-IT"/>
              </w:rPr>
            </w:pPr>
            <w:r w:rsidRPr="00295E71">
              <w:rPr>
                <w:lang w:val="it-IT"/>
              </w:rPr>
              <w:t>infezioni articolari</w:t>
            </w:r>
          </w:p>
          <w:p w:rsidR="00157870" w:rsidRPr="00295E71" w:rsidP="00C04163" w14:paraId="3FAEC503" w14:textId="77777777">
            <w:pPr>
              <w:pStyle w:val="EMEANormal"/>
              <w:widowControl w:val="0"/>
              <w:spacing w:before="60"/>
              <w:rPr>
                <w:lang w:val="it-IT"/>
              </w:rPr>
            </w:pPr>
          </w:p>
        </w:tc>
      </w:tr>
      <w:tr w14:paraId="45400A4A" w14:textId="77777777" w:rsidTr="00C04163">
        <w:tblPrEx>
          <w:tblW w:w="0" w:type="auto"/>
          <w:tblLook w:val="01E0"/>
        </w:tblPrEx>
        <w:trPr>
          <w:cantSplit/>
        </w:trPr>
        <w:tc>
          <w:tcPr>
            <w:tcW w:w="2559" w:type="dxa"/>
            <w:vMerge/>
          </w:tcPr>
          <w:p w:rsidR="00157870" w:rsidRPr="00295E71" w:rsidP="00C04163" w14:paraId="6ACE86F1" w14:textId="77777777">
            <w:pPr>
              <w:widowControl w:val="0"/>
              <w:spacing w:before="60"/>
              <w:jc w:val="center"/>
              <w:rPr>
                <w:b/>
                <w:sz w:val="22"/>
                <w:szCs w:val="22"/>
              </w:rPr>
            </w:pPr>
          </w:p>
        </w:tc>
        <w:tc>
          <w:tcPr>
            <w:tcW w:w="2038" w:type="dxa"/>
            <w:gridSpan w:val="2"/>
            <w:tcBorders>
              <w:top w:val="single" w:sz="4" w:space="0" w:color="auto"/>
              <w:bottom w:val="single" w:sz="4" w:space="0" w:color="auto"/>
            </w:tcBorders>
          </w:tcPr>
          <w:p w:rsidR="00157870" w:rsidRPr="00295E71" w:rsidP="00C04163" w14:paraId="101BB846" w14:textId="77777777">
            <w:pPr>
              <w:pStyle w:val="EMEANormal"/>
              <w:widowControl w:val="0"/>
              <w:rPr>
                <w:lang w:val="it-IT"/>
              </w:rPr>
            </w:pPr>
            <w:r w:rsidRPr="00295E71">
              <w:rPr>
                <w:lang w:val="it-IT"/>
              </w:rPr>
              <w:t>Non comune</w:t>
            </w:r>
          </w:p>
          <w:p w:rsidR="00157870" w:rsidRPr="00295E71" w:rsidP="00C04163" w14:paraId="12791E7D" w14:textId="77777777">
            <w:pPr>
              <w:pStyle w:val="EMEANormal"/>
              <w:widowControl w:val="0"/>
              <w:rPr>
                <w:lang w:val="it-IT"/>
              </w:rPr>
            </w:pPr>
          </w:p>
        </w:tc>
        <w:tc>
          <w:tcPr>
            <w:tcW w:w="4463" w:type="dxa"/>
            <w:gridSpan w:val="2"/>
            <w:tcBorders>
              <w:top w:val="single" w:sz="4" w:space="0" w:color="auto"/>
              <w:bottom w:val="single" w:sz="4" w:space="0" w:color="auto"/>
            </w:tcBorders>
          </w:tcPr>
          <w:p w:rsidR="00157870" w:rsidRPr="00295E71" w:rsidP="00C04163" w14:paraId="4B9358B5" w14:textId="77777777">
            <w:pPr>
              <w:pStyle w:val="EMEANormal"/>
              <w:widowControl w:val="0"/>
              <w:jc w:val="both"/>
              <w:rPr>
                <w:lang w:val="it-IT"/>
              </w:rPr>
            </w:pPr>
            <w:r w:rsidRPr="00295E71">
              <w:rPr>
                <w:lang w:val="it-IT"/>
              </w:rPr>
              <w:t xml:space="preserve">Infezioni neurologiche (tra cui meningite virale), </w:t>
            </w:r>
          </w:p>
          <w:p w:rsidR="00157870" w:rsidRPr="00295E71" w:rsidP="00C04163" w14:paraId="6EBEF38A" w14:textId="77777777">
            <w:pPr>
              <w:pStyle w:val="EMEANormal"/>
              <w:widowControl w:val="0"/>
              <w:jc w:val="both"/>
              <w:rPr>
                <w:lang w:val="it-IT"/>
              </w:rPr>
            </w:pPr>
            <w:r w:rsidRPr="00295E71">
              <w:rPr>
                <w:lang w:val="it-IT"/>
              </w:rPr>
              <w:t>infezioni opportunistiche e tubercolosi (tra cui coccidioidomicosi, istoplasmosi e infezioni da mycobacterium avium complex),</w:t>
            </w:r>
          </w:p>
          <w:p w:rsidR="00157870" w:rsidRPr="00295E71" w:rsidP="00C04163" w14:paraId="2E91E288" w14:textId="77777777">
            <w:pPr>
              <w:pStyle w:val="EMEANormal"/>
              <w:widowControl w:val="0"/>
              <w:jc w:val="both"/>
              <w:rPr>
                <w:lang w:val="it-IT"/>
              </w:rPr>
            </w:pPr>
            <w:r w:rsidRPr="00295E71">
              <w:rPr>
                <w:lang w:val="it-IT"/>
              </w:rPr>
              <w:t>infezioni batteriche,</w:t>
            </w:r>
          </w:p>
          <w:p w:rsidR="00157870" w:rsidRPr="00295E71" w:rsidP="00C04163" w14:paraId="2DAC3660" w14:textId="77777777">
            <w:pPr>
              <w:pStyle w:val="EMEANormal"/>
              <w:widowControl w:val="0"/>
              <w:jc w:val="both"/>
              <w:rPr>
                <w:lang w:val="it-IT"/>
              </w:rPr>
            </w:pPr>
            <w:r w:rsidRPr="00295E71">
              <w:rPr>
                <w:lang w:val="it-IT"/>
              </w:rPr>
              <w:t>infezioni oculari,</w:t>
            </w:r>
          </w:p>
          <w:p w:rsidR="00157870" w:rsidRPr="00295E71" w:rsidP="00C04163" w14:paraId="42AED8D7" w14:textId="77777777">
            <w:pPr>
              <w:pStyle w:val="EMEANormal"/>
              <w:widowControl w:val="0"/>
              <w:jc w:val="both"/>
              <w:rPr>
                <w:lang w:val="it-IT"/>
              </w:rPr>
            </w:pPr>
            <w:r w:rsidRPr="00295E71">
              <w:rPr>
                <w:lang w:val="it-IT"/>
              </w:rPr>
              <w:t>diverticolite</w:t>
            </w:r>
            <w:r w:rsidRPr="00295E71">
              <w:rPr>
                <w:vertAlign w:val="superscript"/>
                <w:lang w:val="it-IT"/>
              </w:rPr>
              <w:t>1)</w:t>
            </w:r>
          </w:p>
          <w:p w:rsidR="00157870" w:rsidRPr="00295E71" w:rsidP="00C04163" w14:paraId="48C19363" w14:textId="77777777">
            <w:pPr>
              <w:pStyle w:val="EMEANormal"/>
              <w:widowControl w:val="0"/>
              <w:jc w:val="both"/>
              <w:rPr>
                <w:lang w:val="it-IT"/>
              </w:rPr>
            </w:pPr>
          </w:p>
        </w:tc>
      </w:tr>
      <w:tr w14:paraId="30A75042" w14:textId="77777777" w:rsidTr="00C04163">
        <w:tblPrEx>
          <w:tblW w:w="0" w:type="auto"/>
          <w:tblLook w:val="01E0"/>
        </w:tblPrEx>
        <w:trPr>
          <w:cantSplit/>
        </w:trPr>
        <w:tc>
          <w:tcPr>
            <w:tcW w:w="2559" w:type="dxa"/>
          </w:tcPr>
          <w:p w:rsidR="00C04163" w:rsidRPr="00295E71" w:rsidP="00C04163" w14:paraId="44D7A41B" w14:textId="77777777">
            <w:pPr>
              <w:pStyle w:val="IndexHeading"/>
              <w:widowControl w:val="0"/>
              <w:tabs>
                <w:tab w:val="clear" w:pos="567"/>
              </w:tabs>
              <w:spacing w:before="120" w:after="120" w:line="240" w:lineRule="auto"/>
              <w:jc w:val="center"/>
              <w:rPr>
                <w:rFonts w:ascii="Times New Roman" w:hAnsi="Times New Roman" w:cs="Times New Roman"/>
                <w:lang w:val="it-IT" w:eastAsia="it-IT"/>
              </w:rPr>
            </w:pPr>
            <w:r w:rsidRPr="00295E71">
              <w:rPr>
                <w:rFonts w:ascii="Times New Roman" w:hAnsi="Times New Roman" w:cs="Times New Roman"/>
                <w:lang w:val="it-IT" w:eastAsia="it-IT"/>
              </w:rPr>
              <w:t>Classificazione per sistemi e organi</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C04163" w:rsidP="00C04163" w14:paraId="1FBF76E1" w14:textId="77777777">
            <w:pPr>
              <w:pStyle w:val="EMEANormal"/>
              <w:spacing w:before="60"/>
              <w:rPr>
                <w:lang w:val="it-IT"/>
              </w:rPr>
            </w:pPr>
            <w:r w:rsidRPr="00295E71">
              <w:rPr>
                <w:lang w:val="it-IT"/>
              </w:rPr>
              <w:t>Frequenza</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C04163" w:rsidP="00C04163" w14:paraId="0F404BC4" w14:textId="77777777">
            <w:pPr>
              <w:pStyle w:val="EMEANormal"/>
              <w:spacing w:before="60"/>
              <w:rPr>
                <w:lang w:val="it-IT"/>
              </w:rPr>
            </w:pPr>
            <w:r w:rsidRPr="00295E71">
              <w:rPr>
                <w:lang w:val="it-IT"/>
              </w:rPr>
              <w:t>Reazione avversa</w:t>
            </w:r>
          </w:p>
        </w:tc>
      </w:tr>
      <w:tr w14:paraId="1CB4BD25" w14:textId="77777777" w:rsidTr="00C04163">
        <w:tblPrEx>
          <w:tblW w:w="0" w:type="auto"/>
          <w:tblLook w:val="01E0"/>
        </w:tblPrEx>
        <w:trPr>
          <w:cantSplit/>
        </w:trPr>
        <w:tc>
          <w:tcPr>
            <w:tcW w:w="2559" w:type="dxa"/>
            <w:vMerge w:val="restart"/>
          </w:tcPr>
          <w:p w:rsidR="00C04163" w:rsidRPr="00295E71" w:rsidP="00C04163" w14:paraId="1DBEB458" w14:textId="77777777">
            <w:pPr>
              <w:pStyle w:val="EndnoteText"/>
              <w:widowControl w:val="0"/>
              <w:tabs>
                <w:tab w:val="clear" w:pos="567"/>
              </w:tabs>
              <w:spacing w:before="60"/>
              <w:rPr>
                <w:b/>
                <w:lang w:val="it-IT" w:eastAsia="it-IT"/>
              </w:rPr>
            </w:pPr>
            <w:r w:rsidRPr="00295E71">
              <w:rPr>
                <w:lang w:val="it-IT" w:eastAsia="it-IT"/>
              </w:rPr>
              <w:t>Tumori benigni, maligni e non specificati (cisti e polipi compresi)*</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8194892" w14:textId="77777777">
            <w:pPr>
              <w:pStyle w:val="EMEANormal"/>
              <w:widowControl w:val="0"/>
              <w:spacing w:before="60"/>
              <w:rPr>
                <w:lang w:val="it-IT"/>
              </w:rPr>
            </w:pPr>
            <w:r w:rsidRPr="00295E71">
              <w:rPr>
                <w:lang w:val="it-IT"/>
              </w:rPr>
              <w:t>Comune</w:t>
            </w:r>
          </w:p>
          <w:p w:rsidR="00C04163" w:rsidRPr="00295E71" w:rsidP="00C04163" w14:paraId="3D01D026"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99B03BF" w14:textId="77777777">
            <w:pPr>
              <w:pStyle w:val="EMEANormal"/>
              <w:widowControl w:val="0"/>
              <w:spacing w:before="60"/>
              <w:rPr>
                <w:lang w:val="it-IT"/>
              </w:rPr>
            </w:pPr>
            <w:r w:rsidRPr="00295E71">
              <w:rPr>
                <w:lang w:val="it-IT"/>
              </w:rPr>
              <w:t>Tumore cutaneo escluso il melanoma (tra cui carcinoma basocellulare e carcinoma a cellule squamose),</w:t>
            </w:r>
          </w:p>
          <w:p w:rsidR="00C04163" w:rsidRPr="00295E71" w:rsidP="00C04163" w14:paraId="1AEB63DF" w14:textId="77777777">
            <w:pPr>
              <w:pStyle w:val="EMEANormal"/>
              <w:widowControl w:val="0"/>
              <w:spacing w:before="60"/>
              <w:rPr>
                <w:lang w:val="it-IT"/>
              </w:rPr>
            </w:pPr>
            <w:r w:rsidRPr="00295E71">
              <w:rPr>
                <w:lang w:val="it-IT"/>
              </w:rPr>
              <w:t>neoplasia benigna</w:t>
            </w:r>
          </w:p>
          <w:p w:rsidR="00C04163" w:rsidRPr="00295E71" w:rsidP="00C04163" w14:paraId="53631F4D" w14:textId="77777777">
            <w:pPr>
              <w:pStyle w:val="EMEANormal"/>
              <w:widowControl w:val="0"/>
              <w:spacing w:before="60"/>
              <w:rPr>
                <w:lang w:val="it-IT"/>
              </w:rPr>
            </w:pPr>
          </w:p>
        </w:tc>
      </w:tr>
      <w:tr w14:paraId="72DAAD23" w14:textId="77777777" w:rsidTr="00C04163">
        <w:tblPrEx>
          <w:tblW w:w="0" w:type="auto"/>
          <w:tblLook w:val="01E0"/>
        </w:tblPrEx>
        <w:trPr>
          <w:cantSplit/>
        </w:trPr>
        <w:tc>
          <w:tcPr>
            <w:tcW w:w="2559" w:type="dxa"/>
            <w:vMerge/>
          </w:tcPr>
          <w:p w:rsidR="00C04163" w:rsidRPr="00295E71" w:rsidP="00C04163" w14:paraId="5CC8E4B2"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21FA599B" w14:textId="77777777">
            <w:pPr>
              <w:pStyle w:val="EMEANormal"/>
              <w:widowControl w:val="0"/>
              <w:spacing w:before="60"/>
              <w:rPr>
                <w:lang w:val="it-IT"/>
              </w:rPr>
            </w:pPr>
            <w:r w:rsidRPr="00295E71">
              <w:rPr>
                <w:lang w:val="it-IT"/>
              </w:rPr>
              <w:t>Non comune</w:t>
            </w:r>
          </w:p>
          <w:p w:rsidR="00C04163" w:rsidRPr="00295E71" w:rsidP="00C04163" w14:paraId="1C4C5A17"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828E279" w14:textId="77777777">
            <w:pPr>
              <w:pStyle w:val="EMEANormal"/>
              <w:widowControl w:val="0"/>
              <w:spacing w:before="60"/>
              <w:rPr>
                <w:lang w:val="it-IT"/>
              </w:rPr>
            </w:pPr>
            <w:r w:rsidRPr="00295E71">
              <w:rPr>
                <w:lang w:val="it-IT"/>
              </w:rPr>
              <w:t>Linfoma**,</w:t>
            </w:r>
          </w:p>
          <w:p w:rsidR="00C04163" w:rsidRPr="00295E71" w:rsidP="00C04163" w14:paraId="138505B1" w14:textId="77777777">
            <w:pPr>
              <w:pStyle w:val="EMEANormal"/>
              <w:widowControl w:val="0"/>
              <w:spacing w:before="60"/>
              <w:rPr>
                <w:lang w:val="it-IT"/>
              </w:rPr>
            </w:pPr>
            <w:r w:rsidRPr="00295E71">
              <w:rPr>
                <w:lang w:val="it-IT"/>
              </w:rPr>
              <w:t>tumori solidi (tra cui carcinoma mammario, neoplasia polmonare e neoplasia tiroidea),</w:t>
            </w:r>
          </w:p>
          <w:p w:rsidR="00C04163" w:rsidRPr="00295E71" w:rsidP="00C04163" w14:paraId="71380095" w14:textId="77777777">
            <w:pPr>
              <w:pStyle w:val="EMEANormal"/>
              <w:widowControl w:val="0"/>
              <w:spacing w:before="60"/>
              <w:rPr>
                <w:lang w:val="it-IT"/>
              </w:rPr>
            </w:pPr>
            <w:r w:rsidRPr="00295E71">
              <w:rPr>
                <w:lang w:val="it-IT"/>
              </w:rPr>
              <w:t>melanoma**</w:t>
            </w:r>
          </w:p>
          <w:p w:rsidR="00C04163" w:rsidRPr="00295E71" w:rsidP="00C04163" w14:paraId="0C7B578E" w14:textId="77777777">
            <w:pPr>
              <w:pStyle w:val="EMEANormal"/>
              <w:widowControl w:val="0"/>
              <w:spacing w:before="60"/>
              <w:rPr>
                <w:lang w:val="it-IT"/>
              </w:rPr>
            </w:pPr>
          </w:p>
        </w:tc>
      </w:tr>
      <w:tr w14:paraId="686DC167" w14:textId="77777777" w:rsidTr="00C04163">
        <w:tblPrEx>
          <w:tblW w:w="0" w:type="auto"/>
          <w:tblLook w:val="01E0"/>
        </w:tblPrEx>
        <w:trPr>
          <w:cantSplit/>
        </w:trPr>
        <w:tc>
          <w:tcPr>
            <w:tcW w:w="2559" w:type="dxa"/>
            <w:vMerge/>
          </w:tcPr>
          <w:p w:rsidR="00C04163" w:rsidRPr="00295E71" w:rsidP="00C04163" w14:paraId="4A310DA7"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56E595E9" w14:textId="77777777">
            <w:pPr>
              <w:pStyle w:val="EMEANormal"/>
              <w:widowControl w:val="0"/>
              <w:spacing w:before="60"/>
              <w:rPr>
                <w:lang w:val="it-IT"/>
              </w:rPr>
            </w:pPr>
            <w:r w:rsidRPr="00295E71">
              <w:rPr>
                <w:lang w:val="it-IT"/>
              </w:rPr>
              <w:t>Raro</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C04163" w:rsidP="00C04163" w14:paraId="40B4E81B" w14:textId="77777777">
            <w:pPr>
              <w:pStyle w:val="EMEANormal"/>
              <w:widowControl w:val="0"/>
              <w:spacing w:before="60"/>
              <w:rPr>
                <w:lang w:val="it-IT"/>
              </w:rPr>
            </w:pPr>
            <w:r w:rsidRPr="00295E71">
              <w:rPr>
                <w:lang w:val="it-IT"/>
              </w:rPr>
              <w:t>Leucemia</w:t>
            </w:r>
            <w:r w:rsidRPr="00C04163">
              <w:rPr>
                <w:lang w:val="it-IT"/>
              </w:rPr>
              <w:t>1)</w:t>
            </w:r>
          </w:p>
          <w:p w:rsidR="00C04163" w:rsidRPr="00295E71" w:rsidP="00C04163" w14:paraId="77393330" w14:textId="77777777">
            <w:pPr>
              <w:pStyle w:val="EMEANormal"/>
              <w:widowControl w:val="0"/>
              <w:spacing w:before="60"/>
              <w:rPr>
                <w:lang w:val="it-IT"/>
              </w:rPr>
            </w:pPr>
          </w:p>
        </w:tc>
      </w:tr>
      <w:tr w14:paraId="2B14F6DD" w14:textId="77777777" w:rsidTr="00C04163">
        <w:tblPrEx>
          <w:tblW w:w="0" w:type="auto"/>
          <w:tblLook w:val="01E0"/>
        </w:tblPrEx>
        <w:trPr>
          <w:cantSplit/>
        </w:trPr>
        <w:tc>
          <w:tcPr>
            <w:tcW w:w="2559" w:type="dxa"/>
            <w:vMerge/>
          </w:tcPr>
          <w:p w:rsidR="00C04163" w:rsidRPr="00295E71" w:rsidP="00C04163" w14:paraId="55A18E1E"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1D5FED9" w14:textId="77777777">
            <w:pPr>
              <w:pStyle w:val="EMEANormal"/>
              <w:widowControl w:val="0"/>
              <w:spacing w:before="60"/>
              <w:rPr>
                <w:lang w:val="it-IT"/>
              </w:rPr>
            </w:pPr>
            <w:r w:rsidRPr="00295E71">
              <w:rPr>
                <w:lang w:val="it-IT"/>
              </w:rPr>
              <w:t>Non nota</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99E9E86" w14:textId="77777777">
            <w:pPr>
              <w:pStyle w:val="EMEANormal"/>
              <w:widowControl w:val="0"/>
              <w:spacing w:before="60"/>
              <w:rPr>
                <w:lang w:val="it-IT"/>
              </w:rPr>
            </w:pPr>
            <w:r w:rsidRPr="00295E71">
              <w:rPr>
                <w:lang w:val="it-IT"/>
              </w:rPr>
              <w:t xml:space="preserve">Linfoma epato-splenico a cellule T </w:t>
            </w:r>
            <w:r w:rsidRPr="00C04163">
              <w:rPr>
                <w:lang w:val="it-IT"/>
              </w:rPr>
              <w:t>1)</w:t>
            </w:r>
            <w:r w:rsidRPr="00295E71">
              <w:rPr>
                <w:lang w:val="it-IT"/>
              </w:rPr>
              <w:t>,</w:t>
            </w:r>
          </w:p>
          <w:p w:rsidR="00C04163" w:rsidP="00C04163" w14:paraId="553476C3" w14:textId="77777777">
            <w:pPr>
              <w:pStyle w:val="EMEANormal"/>
              <w:widowControl w:val="0"/>
              <w:spacing w:before="60"/>
              <w:rPr>
                <w:lang w:val="it-IT"/>
              </w:rPr>
            </w:pPr>
            <w:r w:rsidRPr="00295E71">
              <w:rPr>
                <w:lang w:val="it-IT"/>
              </w:rPr>
              <w:t>Carcinoma a cellule di Merkel (carcinoma neuroendocrino della pelle)</w:t>
            </w:r>
            <w:r w:rsidRPr="00C04163">
              <w:rPr>
                <w:lang w:val="it-IT"/>
              </w:rPr>
              <w:t>1)</w:t>
            </w:r>
            <w:r>
              <w:rPr>
                <w:lang w:val="it-IT"/>
              </w:rPr>
              <w:t>,</w:t>
            </w:r>
          </w:p>
          <w:p w:rsidR="00C04163" w:rsidP="00C04163" w14:paraId="58BCE8E3" w14:textId="77777777">
            <w:pPr>
              <w:pStyle w:val="EMEANormal"/>
              <w:widowControl w:val="0"/>
              <w:spacing w:before="60"/>
              <w:rPr>
                <w:lang w:val="it-IT"/>
              </w:rPr>
            </w:pPr>
            <w:r w:rsidRPr="000B3DBE">
              <w:rPr>
                <w:lang w:val="it-IT"/>
              </w:rPr>
              <w:t>sarcoma di Kaposi</w:t>
            </w:r>
          </w:p>
          <w:p w:rsidR="00C04163" w:rsidRPr="000B3DBE" w:rsidP="00C04163" w14:paraId="623F2255" w14:textId="77777777">
            <w:pPr>
              <w:pStyle w:val="EMEANormal"/>
              <w:widowControl w:val="0"/>
              <w:spacing w:before="60"/>
              <w:rPr>
                <w:lang w:val="it-IT"/>
              </w:rPr>
            </w:pPr>
          </w:p>
        </w:tc>
      </w:tr>
      <w:tr w14:paraId="37F61832" w14:textId="77777777" w:rsidTr="00C04163">
        <w:tblPrEx>
          <w:tblW w:w="0" w:type="auto"/>
          <w:tblLook w:val="01E0"/>
        </w:tblPrEx>
        <w:trPr>
          <w:cantSplit/>
        </w:trPr>
        <w:tc>
          <w:tcPr>
            <w:tcW w:w="2559" w:type="dxa"/>
            <w:vMerge w:val="restart"/>
          </w:tcPr>
          <w:p w:rsidR="00C04163" w:rsidRPr="00295E71" w:rsidP="00C04163" w14:paraId="5E4F49E9" w14:textId="77777777">
            <w:pPr>
              <w:pStyle w:val="EndnoteText"/>
              <w:widowControl w:val="0"/>
              <w:tabs>
                <w:tab w:val="clear" w:pos="567"/>
              </w:tabs>
              <w:spacing w:before="60"/>
              <w:rPr>
                <w:b/>
                <w:lang w:val="it-IT" w:eastAsia="it-IT"/>
              </w:rPr>
            </w:pPr>
            <w:r w:rsidRPr="00295E71">
              <w:rPr>
                <w:lang w:val="it-IT" w:eastAsia="it-IT"/>
              </w:rPr>
              <w:t>Patologie del sistema emolinfopoietico*</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22D35061" w14:textId="77777777">
            <w:pPr>
              <w:pStyle w:val="EMEANormal"/>
              <w:widowControl w:val="0"/>
              <w:spacing w:before="60"/>
              <w:rPr>
                <w:lang w:val="it-IT"/>
              </w:rPr>
            </w:pPr>
            <w:r w:rsidRPr="00295E71">
              <w:rPr>
                <w:lang w:val="it-IT"/>
              </w:rPr>
              <w:t>Molto comune</w:t>
            </w:r>
          </w:p>
          <w:p w:rsidR="00C04163" w:rsidRPr="00295E71" w:rsidP="00C04163" w14:paraId="1FBF5FD3"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BCBD92D" w14:textId="77777777">
            <w:pPr>
              <w:pStyle w:val="EMEANormal"/>
              <w:rPr>
                <w:lang w:val="it-IT"/>
              </w:rPr>
            </w:pPr>
            <w:r w:rsidRPr="00295E71">
              <w:rPr>
                <w:lang w:val="it-IT"/>
              </w:rPr>
              <w:t>Leucopenia (tra cui neutropenia e agranulocitosi),</w:t>
            </w:r>
          </w:p>
          <w:p w:rsidR="00C04163" w:rsidRPr="00C04163" w:rsidP="00C04163" w14:paraId="26575DAE" w14:textId="77777777">
            <w:pPr>
              <w:pStyle w:val="EMEANormal"/>
              <w:rPr>
                <w:lang w:val="it-IT"/>
              </w:rPr>
            </w:pPr>
            <w:r w:rsidRPr="00C04163">
              <w:rPr>
                <w:lang w:val="it-IT"/>
              </w:rPr>
              <w:t>anemia</w:t>
            </w:r>
          </w:p>
          <w:p w:rsidR="00C04163" w:rsidRPr="00C04163" w:rsidP="00C04163" w14:paraId="00B196E2" w14:textId="77777777">
            <w:pPr>
              <w:pStyle w:val="EMEANormal"/>
              <w:rPr>
                <w:lang w:val="it-IT"/>
              </w:rPr>
            </w:pPr>
          </w:p>
        </w:tc>
      </w:tr>
      <w:tr w14:paraId="496F70E2" w14:textId="77777777" w:rsidTr="00C04163">
        <w:tblPrEx>
          <w:tblW w:w="0" w:type="auto"/>
          <w:tblLook w:val="01E0"/>
        </w:tblPrEx>
        <w:trPr>
          <w:cantSplit/>
        </w:trPr>
        <w:tc>
          <w:tcPr>
            <w:tcW w:w="2559" w:type="dxa"/>
            <w:vMerge/>
          </w:tcPr>
          <w:p w:rsidR="00C04163" w:rsidRPr="00295E71" w:rsidP="00C04163" w14:paraId="770B0390" w14:textId="77777777">
            <w:pPr>
              <w:widowControl w:val="0"/>
              <w:spacing w:before="144" w:beforeLines="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C94A8F7" w14:textId="77777777">
            <w:pPr>
              <w:pStyle w:val="EMEANormal"/>
              <w:widowControl w:val="0"/>
              <w:spacing w:before="60"/>
              <w:rPr>
                <w:lang w:val="it-IT"/>
              </w:rPr>
            </w:pPr>
            <w:r w:rsidRPr="00295E71">
              <w:rPr>
                <w:lang w:val="it-IT"/>
              </w:rPr>
              <w:t>Comune</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C04163" w:rsidP="00C04163" w14:paraId="6E22FD18" w14:textId="77777777">
            <w:pPr>
              <w:pStyle w:val="EMEANormal"/>
              <w:spacing w:before="60"/>
              <w:rPr>
                <w:lang w:val="it-IT"/>
              </w:rPr>
            </w:pPr>
            <w:r w:rsidRPr="00C04163">
              <w:rPr>
                <w:lang w:val="it-IT"/>
              </w:rPr>
              <w:t>Leucocitosi,</w:t>
            </w:r>
          </w:p>
          <w:p w:rsidR="00C04163" w:rsidRPr="00295E71" w:rsidP="00C04163" w14:paraId="4F547B2D" w14:textId="77777777">
            <w:pPr>
              <w:pStyle w:val="EMEANormal"/>
              <w:spacing w:before="60"/>
              <w:rPr>
                <w:lang w:val="it-IT"/>
              </w:rPr>
            </w:pPr>
            <w:r w:rsidRPr="00295E71">
              <w:rPr>
                <w:lang w:val="it-IT"/>
              </w:rPr>
              <w:t>trombocitopenia</w:t>
            </w:r>
          </w:p>
          <w:p w:rsidR="00C04163" w:rsidRPr="00C04163" w:rsidP="00C04163" w14:paraId="7706581E" w14:textId="77777777">
            <w:pPr>
              <w:pStyle w:val="EMEANormal"/>
              <w:spacing w:before="60"/>
              <w:rPr>
                <w:lang w:val="it-IT"/>
              </w:rPr>
            </w:pPr>
          </w:p>
        </w:tc>
      </w:tr>
      <w:tr w14:paraId="49889ED7" w14:textId="77777777" w:rsidTr="00C04163">
        <w:tblPrEx>
          <w:tblW w:w="0" w:type="auto"/>
          <w:tblLook w:val="01E0"/>
        </w:tblPrEx>
        <w:trPr>
          <w:cantSplit/>
        </w:trPr>
        <w:tc>
          <w:tcPr>
            <w:tcW w:w="2559" w:type="dxa"/>
            <w:vMerge/>
          </w:tcPr>
          <w:p w:rsidR="00C04163" w:rsidRPr="00295E71" w:rsidP="00C04163" w14:paraId="534A5CDA" w14:textId="77777777">
            <w:pPr>
              <w:widowControl w:val="0"/>
              <w:spacing w:before="144" w:beforeLines="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66D8ED5C" w14:textId="77777777">
            <w:pPr>
              <w:pStyle w:val="EMEANormal"/>
              <w:widowControl w:val="0"/>
              <w:spacing w:before="60"/>
              <w:rPr>
                <w:lang w:val="it-IT"/>
              </w:rPr>
            </w:pPr>
            <w:r w:rsidRPr="00295E71">
              <w:rPr>
                <w:lang w:val="it-IT"/>
              </w:rPr>
              <w:t>Non comune</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2B16DE48" w14:textId="77777777">
            <w:pPr>
              <w:pStyle w:val="EMEANormal"/>
              <w:spacing w:before="60"/>
              <w:rPr>
                <w:lang w:val="it-IT"/>
              </w:rPr>
            </w:pPr>
            <w:r w:rsidRPr="00295E71">
              <w:rPr>
                <w:lang w:val="it-IT"/>
              </w:rPr>
              <w:t>Porpora trombocitopenica idiopatica</w:t>
            </w:r>
          </w:p>
          <w:p w:rsidR="00C04163" w:rsidRPr="00295E71" w:rsidP="00C04163" w14:paraId="275A2D4D" w14:textId="77777777">
            <w:pPr>
              <w:pStyle w:val="EMEANormal"/>
              <w:widowControl w:val="0"/>
              <w:spacing w:before="60"/>
              <w:rPr>
                <w:lang w:val="it-IT"/>
              </w:rPr>
            </w:pPr>
          </w:p>
        </w:tc>
      </w:tr>
      <w:tr w14:paraId="6132F6FD" w14:textId="77777777" w:rsidTr="00C04163">
        <w:tblPrEx>
          <w:tblW w:w="0" w:type="auto"/>
          <w:tblLook w:val="01E0"/>
        </w:tblPrEx>
        <w:trPr>
          <w:cantSplit/>
        </w:trPr>
        <w:tc>
          <w:tcPr>
            <w:tcW w:w="2559" w:type="dxa"/>
            <w:vMerge/>
          </w:tcPr>
          <w:p w:rsidR="00C04163" w:rsidRPr="00295E71" w:rsidP="00C04163" w14:paraId="19427CF8" w14:textId="77777777">
            <w:pPr>
              <w:widowControl w:val="0"/>
              <w:spacing w:before="144" w:beforeLines="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26C0E7EC" w14:textId="77777777">
            <w:pPr>
              <w:pStyle w:val="EMEANormal"/>
              <w:widowControl w:val="0"/>
              <w:spacing w:before="60"/>
              <w:rPr>
                <w:lang w:val="it-IT"/>
              </w:rPr>
            </w:pPr>
            <w:r w:rsidRPr="00295E71">
              <w:rPr>
                <w:lang w:val="it-IT"/>
              </w:rPr>
              <w:t>Raro</w:t>
            </w:r>
          </w:p>
          <w:p w:rsidR="00C04163" w:rsidRPr="00295E71" w:rsidP="00C04163" w14:paraId="518E1A8E"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C04163" w:rsidP="00C04163" w14:paraId="539DA0E9" w14:textId="77777777">
            <w:pPr>
              <w:pStyle w:val="EMEANormal"/>
              <w:spacing w:before="60"/>
              <w:rPr>
                <w:lang w:val="it-IT"/>
              </w:rPr>
            </w:pPr>
            <w:r w:rsidRPr="00295E71">
              <w:rPr>
                <w:lang w:val="it-IT"/>
              </w:rPr>
              <w:t>Pancitopenia</w:t>
            </w:r>
          </w:p>
        </w:tc>
      </w:tr>
      <w:tr w14:paraId="48E17E81" w14:textId="77777777" w:rsidTr="00C04163">
        <w:tblPrEx>
          <w:tblW w:w="0" w:type="auto"/>
          <w:tblLook w:val="01E0"/>
        </w:tblPrEx>
        <w:trPr>
          <w:cantSplit/>
        </w:trPr>
        <w:tc>
          <w:tcPr>
            <w:tcW w:w="2559" w:type="dxa"/>
            <w:vMerge w:val="restart"/>
          </w:tcPr>
          <w:p w:rsidR="00C04163" w:rsidRPr="00295E71" w:rsidP="00C04163" w14:paraId="7B3A3AC6" w14:textId="77777777">
            <w:pPr>
              <w:pStyle w:val="EMEANormal"/>
              <w:widowControl w:val="0"/>
              <w:spacing w:before="60"/>
              <w:rPr>
                <w:lang w:val="it-IT"/>
              </w:rPr>
            </w:pPr>
            <w:r w:rsidRPr="00295E71">
              <w:rPr>
                <w:lang w:val="it-IT"/>
              </w:rPr>
              <w:t>Disturbi del sistema immunitario*</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3EDA93B" w14:textId="77777777">
            <w:pPr>
              <w:pStyle w:val="EMEANormal"/>
              <w:widowControl w:val="0"/>
              <w:spacing w:before="60"/>
              <w:rPr>
                <w:lang w:val="it-IT"/>
              </w:rPr>
            </w:pPr>
            <w:r w:rsidRPr="00295E71">
              <w:rPr>
                <w:lang w:val="it-IT"/>
              </w:rPr>
              <w:t>Comune</w:t>
            </w:r>
          </w:p>
          <w:p w:rsidR="00C04163" w:rsidRPr="00295E71" w:rsidP="00C04163" w14:paraId="4F81F41B"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477E8813" w14:textId="77777777">
            <w:pPr>
              <w:pStyle w:val="EMEANormal"/>
              <w:widowControl w:val="0"/>
              <w:spacing w:before="60"/>
              <w:rPr>
                <w:lang w:val="it-IT"/>
              </w:rPr>
            </w:pPr>
            <w:r w:rsidRPr="00295E71">
              <w:rPr>
                <w:lang w:val="it-IT"/>
              </w:rPr>
              <w:t>Ipersensibilità,</w:t>
            </w:r>
          </w:p>
          <w:p w:rsidR="00C04163" w:rsidRPr="00295E71" w:rsidP="00C04163" w14:paraId="5C3719B1" w14:textId="77777777">
            <w:pPr>
              <w:pStyle w:val="EMEANormal"/>
              <w:widowControl w:val="0"/>
              <w:spacing w:before="60"/>
              <w:rPr>
                <w:lang w:val="it-IT"/>
              </w:rPr>
            </w:pPr>
            <w:r w:rsidRPr="00295E71">
              <w:rPr>
                <w:lang w:val="it-IT"/>
              </w:rPr>
              <w:t>allergie (tra cui allergia stagionale)</w:t>
            </w:r>
          </w:p>
        </w:tc>
      </w:tr>
      <w:tr w14:paraId="002CDC2B" w14:textId="77777777" w:rsidTr="00C04163">
        <w:tblPrEx>
          <w:tblW w:w="0" w:type="auto"/>
          <w:tblLook w:val="01E0"/>
        </w:tblPrEx>
        <w:trPr>
          <w:cantSplit/>
        </w:trPr>
        <w:tc>
          <w:tcPr>
            <w:tcW w:w="2559" w:type="dxa"/>
            <w:vMerge/>
          </w:tcPr>
          <w:p w:rsidR="00C04163" w:rsidRPr="00295E71" w:rsidP="00C04163" w14:paraId="0DBF0796" w14:textId="77777777">
            <w:pPr>
              <w:pStyle w:val="EMEANormal"/>
              <w:widowControl w:val="0"/>
              <w:spacing w:before="60"/>
              <w:rPr>
                <w:lang w:val="it-IT"/>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492CE78" w14:textId="77777777">
            <w:pPr>
              <w:pStyle w:val="EMEANormal"/>
              <w:widowControl w:val="0"/>
              <w:spacing w:before="60"/>
              <w:rPr>
                <w:lang w:val="it-IT"/>
              </w:rPr>
            </w:pPr>
          </w:p>
          <w:p w:rsidR="00C04163" w:rsidRPr="00295E71" w:rsidP="00C04163" w14:paraId="3F07CEA6" w14:textId="77777777">
            <w:pPr>
              <w:pStyle w:val="EMEANormal"/>
              <w:widowControl w:val="0"/>
              <w:spacing w:before="60"/>
              <w:rPr>
                <w:lang w:val="it-IT"/>
              </w:rPr>
            </w:pPr>
            <w:r w:rsidRPr="00295E71">
              <w:rPr>
                <w:lang w:val="it-IT"/>
              </w:rPr>
              <w:t>Non comune</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298F964A" w14:textId="77777777">
            <w:pPr>
              <w:pStyle w:val="EMEANormal"/>
              <w:widowControl w:val="0"/>
              <w:spacing w:before="60"/>
              <w:rPr>
                <w:lang w:val="it-IT"/>
              </w:rPr>
            </w:pPr>
          </w:p>
          <w:p w:rsidR="00C04163" w:rsidRPr="00295E71" w:rsidP="00C04163" w14:paraId="04856283" w14:textId="77777777">
            <w:pPr>
              <w:pStyle w:val="EMEANormal"/>
              <w:widowControl w:val="0"/>
              <w:spacing w:before="60"/>
              <w:rPr>
                <w:lang w:val="it-IT"/>
              </w:rPr>
            </w:pPr>
            <w:r w:rsidRPr="00295E71">
              <w:rPr>
                <w:lang w:val="it-IT"/>
              </w:rPr>
              <w:t>Sarcoidosi</w:t>
            </w:r>
            <w:r w:rsidRPr="00C04163">
              <w:rPr>
                <w:lang w:val="it-IT"/>
              </w:rPr>
              <w:t>1)</w:t>
            </w:r>
            <w:r w:rsidRPr="00295E71">
              <w:rPr>
                <w:lang w:val="it-IT"/>
              </w:rPr>
              <w:t>,</w:t>
            </w:r>
          </w:p>
          <w:p w:rsidR="00C04163" w:rsidRPr="00295E71" w:rsidP="00C04163" w14:paraId="0C20F5F6" w14:textId="77777777">
            <w:pPr>
              <w:pStyle w:val="EMEANormal"/>
              <w:widowControl w:val="0"/>
              <w:spacing w:before="60"/>
              <w:rPr>
                <w:lang w:val="it-IT"/>
              </w:rPr>
            </w:pPr>
            <w:r w:rsidRPr="00295E71">
              <w:rPr>
                <w:lang w:val="it-IT"/>
              </w:rPr>
              <w:t>vasculite</w:t>
            </w:r>
          </w:p>
          <w:p w:rsidR="00C04163" w:rsidRPr="00295E71" w:rsidP="00C04163" w14:paraId="6788A4F3" w14:textId="77777777">
            <w:pPr>
              <w:pStyle w:val="EMEANormal"/>
              <w:widowControl w:val="0"/>
              <w:spacing w:before="60"/>
              <w:rPr>
                <w:lang w:val="it-IT"/>
              </w:rPr>
            </w:pPr>
          </w:p>
        </w:tc>
      </w:tr>
      <w:tr w14:paraId="725B98BB" w14:textId="77777777" w:rsidTr="00C04163">
        <w:tblPrEx>
          <w:tblW w:w="0" w:type="auto"/>
          <w:tblLook w:val="01E0"/>
        </w:tblPrEx>
        <w:trPr>
          <w:cantSplit/>
        </w:trPr>
        <w:tc>
          <w:tcPr>
            <w:tcW w:w="2559" w:type="dxa"/>
            <w:vMerge/>
          </w:tcPr>
          <w:p w:rsidR="00C04163" w:rsidRPr="00295E71" w:rsidP="00C04163" w14:paraId="54070196" w14:textId="77777777">
            <w:pPr>
              <w:pStyle w:val="EMEANormal"/>
              <w:widowControl w:val="0"/>
              <w:spacing w:before="60"/>
              <w:rPr>
                <w:lang w:val="it-IT"/>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2BD4B887" w14:textId="77777777">
            <w:pPr>
              <w:pStyle w:val="EMEANormal"/>
              <w:widowControl w:val="0"/>
              <w:spacing w:before="60"/>
              <w:rPr>
                <w:lang w:val="it-IT"/>
              </w:rPr>
            </w:pPr>
            <w:r w:rsidRPr="00295E71">
              <w:rPr>
                <w:lang w:val="it-IT"/>
              </w:rPr>
              <w:t>Raro</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C04163" w:rsidP="00C04163" w14:paraId="1AB7DD86" w14:textId="77777777">
            <w:pPr>
              <w:pStyle w:val="EMEANormal"/>
              <w:widowControl w:val="0"/>
              <w:spacing w:before="60"/>
              <w:rPr>
                <w:lang w:val="it-IT"/>
              </w:rPr>
            </w:pPr>
            <w:r w:rsidRPr="00295E71">
              <w:rPr>
                <w:lang w:val="it-IT"/>
              </w:rPr>
              <w:t>Anafilassi</w:t>
            </w:r>
            <w:r w:rsidRPr="00C04163">
              <w:rPr>
                <w:lang w:val="it-IT"/>
              </w:rPr>
              <w:t>1)</w:t>
            </w:r>
          </w:p>
          <w:p w:rsidR="00C04163" w:rsidRPr="00295E71" w:rsidP="00C04163" w14:paraId="1ABA264A" w14:textId="77777777">
            <w:pPr>
              <w:pStyle w:val="EMEANormal"/>
              <w:widowControl w:val="0"/>
              <w:spacing w:before="60"/>
              <w:rPr>
                <w:lang w:val="it-IT"/>
              </w:rPr>
            </w:pPr>
          </w:p>
        </w:tc>
      </w:tr>
      <w:tr w14:paraId="57DF30E9" w14:textId="77777777" w:rsidTr="00C04163">
        <w:tblPrEx>
          <w:tblW w:w="0" w:type="auto"/>
          <w:tblLook w:val="01E0"/>
        </w:tblPrEx>
        <w:trPr>
          <w:cantSplit/>
        </w:trPr>
        <w:tc>
          <w:tcPr>
            <w:tcW w:w="2559" w:type="dxa"/>
            <w:vMerge w:val="restart"/>
          </w:tcPr>
          <w:p w:rsidR="00C04163" w:rsidRPr="00295E71" w:rsidP="00C04163" w14:paraId="3EFF3273" w14:textId="77777777">
            <w:pPr>
              <w:pStyle w:val="EMEANormal"/>
              <w:widowControl w:val="0"/>
              <w:spacing w:before="60"/>
              <w:rPr>
                <w:lang w:val="it-IT"/>
              </w:rPr>
            </w:pPr>
            <w:r w:rsidRPr="00295E71">
              <w:rPr>
                <w:lang w:val="it-IT"/>
              </w:rPr>
              <w:t>Disturbi del metabolismo e della nutrizione</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5F3F2AA3" w14:textId="77777777">
            <w:pPr>
              <w:pStyle w:val="EMEANormal"/>
              <w:widowControl w:val="0"/>
              <w:spacing w:before="60"/>
              <w:rPr>
                <w:lang w:val="it-IT"/>
              </w:rPr>
            </w:pPr>
            <w:r w:rsidRPr="00295E71">
              <w:rPr>
                <w:lang w:val="it-IT"/>
              </w:rPr>
              <w:t>Molto comune</w:t>
            </w:r>
          </w:p>
          <w:p w:rsidR="00C04163" w:rsidRPr="00295E71" w:rsidP="00C04163" w14:paraId="15538649"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4053548B" w14:textId="77777777">
            <w:pPr>
              <w:pStyle w:val="EMEANormal"/>
              <w:widowControl w:val="0"/>
              <w:spacing w:before="60"/>
              <w:rPr>
                <w:lang w:val="it-IT"/>
              </w:rPr>
            </w:pPr>
            <w:r w:rsidRPr="00295E71">
              <w:rPr>
                <w:lang w:val="it-IT"/>
              </w:rPr>
              <w:t>Iperlipidemia</w:t>
            </w:r>
          </w:p>
        </w:tc>
      </w:tr>
      <w:tr w14:paraId="3836F6FE" w14:textId="77777777" w:rsidTr="00C04163">
        <w:tblPrEx>
          <w:tblW w:w="0" w:type="auto"/>
          <w:tblLook w:val="01E0"/>
        </w:tblPrEx>
        <w:trPr>
          <w:cantSplit/>
        </w:trPr>
        <w:tc>
          <w:tcPr>
            <w:tcW w:w="2559" w:type="dxa"/>
            <w:vMerge/>
          </w:tcPr>
          <w:p w:rsidR="00C04163" w:rsidRPr="00295E71" w:rsidP="00C04163" w14:paraId="2864415F" w14:textId="77777777">
            <w:pPr>
              <w:pStyle w:val="EMEANormal"/>
              <w:widowControl w:val="0"/>
              <w:spacing w:before="60"/>
              <w:rPr>
                <w:lang w:val="it-IT"/>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292CB47A" w14:textId="77777777">
            <w:pPr>
              <w:pStyle w:val="EMEANormal"/>
              <w:widowControl w:val="0"/>
              <w:spacing w:before="60"/>
              <w:rPr>
                <w:lang w:val="it-IT"/>
              </w:rPr>
            </w:pPr>
            <w:r w:rsidRPr="00295E71">
              <w:rPr>
                <w:lang w:val="it-IT"/>
              </w:rPr>
              <w:t>Comune</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314736E" w14:textId="77777777">
            <w:pPr>
              <w:pStyle w:val="EMEANormal"/>
              <w:widowControl w:val="0"/>
              <w:spacing w:before="60"/>
              <w:rPr>
                <w:lang w:val="it-IT"/>
              </w:rPr>
            </w:pPr>
            <w:r w:rsidRPr="00295E71">
              <w:rPr>
                <w:lang w:val="it-IT"/>
              </w:rPr>
              <w:t xml:space="preserve">Ipokaliemia, </w:t>
            </w:r>
          </w:p>
          <w:p w:rsidR="00C04163" w:rsidRPr="00295E71" w:rsidP="00C04163" w14:paraId="329D04E6" w14:textId="77777777">
            <w:pPr>
              <w:pStyle w:val="EMEANormal"/>
              <w:widowControl w:val="0"/>
              <w:spacing w:before="60"/>
              <w:rPr>
                <w:lang w:val="it-IT"/>
              </w:rPr>
            </w:pPr>
            <w:r w:rsidRPr="00295E71">
              <w:rPr>
                <w:lang w:val="it-IT"/>
              </w:rPr>
              <w:t xml:space="preserve">iperuricemia, </w:t>
            </w:r>
          </w:p>
          <w:p w:rsidR="00C04163" w:rsidRPr="00295E71" w:rsidP="00C04163" w14:paraId="4CD1BF66" w14:textId="77777777">
            <w:pPr>
              <w:pStyle w:val="EMEANormal"/>
              <w:widowControl w:val="0"/>
              <w:spacing w:before="60"/>
              <w:rPr>
                <w:lang w:val="it-IT"/>
              </w:rPr>
            </w:pPr>
            <w:r w:rsidRPr="00295E71">
              <w:rPr>
                <w:lang w:val="it-IT"/>
              </w:rPr>
              <w:t>alterazione della sodiemia,</w:t>
            </w:r>
          </w:p>
          <w:p w:rsidR="00C04163" w:rsidRPr="00295E71" w:rsidP="00C04163" w14:paraId="25A88FB6" w14:textId="77777777">
            <w:pPr>
              <w:pStyle w:val="EMEANormal"/>
              <w:widowControl w:val="0"/>
              <w:spacing w:before="60"/>
              <w:rPr>
                <w:lang w:val="it-IT"/>
              </w:rPr>
            </w:pPr>
            <w:r w:rsidRPr="00295E71">
              <w:rPr>
                <w:lang w:val="it-IT"/>
              </w:rPr>
              <w:t>ipocalcemia,</w:t>
            </w:r>
          </w:p>
          <w:p w:rsidR="00C04163" w:rsidRPr="00295E71" w:rsidP="00C04163" w14:paraId="4E9E02EC" w14:textId="77777777">
            <w:pPr>
              <w:pStyle w:val="EMEANormal"/>
              <w:widowControl w:val="0"/>
              <w:spacing w:before="60"/>
              <w:rPr>
                <w:lang w:val="it-IT"/>
              </w:rPr>
            </w:pPr>
            <w:r w:rsidRPr="00295E71">
              <w:rPr>
                <w:lang w:val="it-IT"/>
              </w:rPr>
              <w:t>iperglicemia,</w:t>
            </w:r>
          </w:p>
          <w:p w:rsidR="00C04163" w:rsidRPr="00295E71" w:rsidP="00C04163" w14:paraId="1EE2EE5B" w14:textId="77777777">
            <w:pPr>
              <w:pStyle w:val="EMEANormal"/>
              <w:widowControl w:val="0"/>
              <w:spacing w:before="60"/>
              <w:rPr>
                <w:lang w:val="it-IT"/>
              </w:rPr>
            </w:pPr>
            <w:r w:rsidRPr="00295E71">
              <w:rPr>
                <w:lang w:val="it-IT"/>
              </w:rPr>
              <w:t>ipofosfatemia,</w:t>
            </w:r>
          </w:p>
          <w:p w:rsidR="00C04163" w:rsidRPr="00295E71" w:rsidP="00C04163" w14:paraId="02DECBA4" w14:textId="77777777">
            <w:pPr>
              <w:pStyle w:val="EMEANormal"/>
              <w:widowControl w:val="0"/>
              <w:spacing w:before="60"/>
              <w:rPr>
                <w:lang w:val="it-IT"/>
              </w:rPr>
            </w:pPr>
            <w:r w:rsidRPr="00295E71">
              <w:rPr>
                <w:lang w:val="it-IT"/>
              </w:rPr>
              <w:t>disidratazione</w:t>
            </w:r>
          </w:p>
        </w:tc>
      </w:tr>
      <w:tr w14:paraId="4B97C565" w14:textId="77777777" w:rsidTr="00C04163">
        <w:tblPrEx>
          <w:tblW w:w="0" w:type="auto"/>
          <w:tblLook w:val="01E0"/>
        </w:tblPrEx>
        <w:trPr>
          <w:cantSplit/>
        </w:trPr>
        <w:tc>
          <w:tcPr>
            <w:tcW w:w="2559" w:type="dxa"/>
          </w:tcPr>
          <w:p w:rsidR="00C04163" w:rsidRPr="00295E71" w:rsidP="00C04163" w14:paraId="2FAE52C2" w14:textId="77777777">
            <w:pPr>
              <w:pStyle w:val="IndexHeading"/>
              <w:widowControl w:val="0"/>
              <w:tabs>
                <w:tab w:val="clear" w:pos="567"/>
              </w:tabs>
              <w:spacing w:before="120" w:after="120" w:line="240" w:lineRule="auto"/>
              <w:jc w:val="center"/>
              <w:rPr>
                <w:rFonts w:ascii="Times New Roman" w:hAnsi="Times New Roman" w:cs="Times New Roman"/>
                <w:lang w:val="it-IT" w:eastAsia="it-IT"/>
              </w:rPr>
            </w:pPr>
            <w:r w:rsidRPr="00295E71">
              <w:rPr>
                <w:rFonts w:ascii="Times New Roman" w:hAnsi="Times New Roman" w:cs="Times New Roman"/>
                <w:lang w:val="it-IT" w:eastAsia="it-IT"/>
              </w:rPr>
              <w:t>Classificazione per sistemi e organi</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C04163" w:rsidP="00C04163" w14:paraId="4DA996D8" w14:textId="77777777">
            <w:pPr>
              <w:pStyle w:val="EMEANormal"/>
              <w:spacing w:before="60"/>
              <w:rPr>
                <w:lang w:val="it-IT"/>
              </w:rPr>
            </w:pPr>
            <w:r w:rsidRPr="00295E71">
              <w:rPr>
                <w:lang w:val="it-IT"/>
              </w:rPr>
              <w:t>Frequenza</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C04163" w:rsidP="00C04163" w14:paraId="7E0CC969" w14:textId="77777777">
            <w:pPr>
              <w:pStyle w:val="EMEANormal"/>
              <w:spacing w:before="60"/>
              <w:rPr>
                <w:lang w:val="it-IT"/>
              </w:rPr>
            </w:pPr>
            <w:r w:rsidRPr="00295E71">
              <w:rPr>
                <w:lang w:val="it-IT"/>
              </w:rPr>
              <w:t>Reazione avversa</w:t>
            </w:r>
          </w:p>
        </w:tc>
      </w:tr>
      <w:tr w14:paraId="2342CAA8" w14:textId="77777777" w:rsidTr="00C04163">
        <w:tblPrEx>
          <w:tblW w:w="0" w:type="auto"/>
          <w:tblLook w:val="01E0"/>
        </w:tblPrEx>
        <w:trPr>
          <w:cantSplit/>
        </w:trPr>
        <w:tc>
          <w:tcPr>
            <w:tcW w:w="2559" w:type="dxa"/>
          </w:tcPr>
          <w:p w:rsidR="00C04163" w:rsidRPr="00295E71" w:rsidP="00C04163" w14:paraId="187C7E19" w14:textId="77777777">
            <w:pPr>
              <w:pStyle w:val="EMEANormal"/>
              <w:widowControl w:val="0"/>
              <w:spacing w:before="60"/>
              <w:rPr>
                <w:lang w:val="it-IT"/>
              </w:rPr>
            </w:pPr>
            <w:r w:rsidRPr="00295E71">
              <w:rPr>
                <w:lang w:val="it-IT"/>
              </w:rPr>
              <w:t>Disturbi psichiatrici</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AFE46B7" w14:textId="77777777">
            <w:pPr>
              <w:pStyle w:val="EMEANormal"/>
              <w:widowControl w:val="0"/>
              <w:spacing w:before="60"/>
              <w:rPr>
                <w:lang w:val="it-IT"/>
              </w:rPr>
            </w:pPr>
            <w:r w:rsidRPr="00295E71">
              <w:rPr>
                <w:lang w:val="it-IT"/>
              </w:rPr>
              <w:t>Comune</w:t>
            </w:r>
          </w:p>
          <w:p w:rsidR="00C04163" w:rsidRPr="00295E71" w:rsidP="00C04163" w14:paraId="07EBDF2F"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EDDB58F" w14:textId="77777777">
            <w:pPr>
              <w:pStyle w:val="EMEANormal"/>
              <w:widowControl w:val="0"/>
              <w:spacing w:before="60"/>
              <w:rPr>
                <w:lang w:val="it-IT"/>
              </w:rPr>
            </w:pPr>
            <w:r w:rsidRPr="00295E71">
              <w:rPr>
                <w:lang w:val="it-IT"/>
              </w:rPr>
              <w:t>Disturbi dell’umore (tra cui depressione),</w:t>
            </w:r>
          </w:p>
          <w:p w:rsidR="00C04163" w:rsidRPr="00295E71" w:rsidP="00C04163" w14:paraId="1A8B2497" w14:textId="77777777">
            <w:pPr>
              <w:pStyle w:val="EMEANormal"/>
              <w:widowControl w:val="0"/>
              <w:spacing w:before="60"/>
              <w:rPr>
                <w:lang w:val="it-IT"/>
              </w:rPr>
            </w:pPr>
            <w:r w:rsidRPr="00295E71">
              <w:rPr>
                <w:lang w:val="it-IT"/>
              </w:rPr>
              <w:t>ansia,</w:t>
            </w:r>
          </w:p>
          <w:p w:rsidR="00C04163" w:rsidRPr="00295E71" w:rsidP="00C04163" w14:paraId="67076F39" w14:textId="77777777">
            <w:pPr>
              <w:pStyle w:val="EMEANormal"/>
              <w:widowControl w:val="0"/>
              <w:spacing w:before="60"/>
              <w:rPr>
                <w:lang w:val="it-IT"/>
              </w:rPr>
            </w:pPr>
            <w:r w:rsidRPr="00295E71">
              <w:rPr>
                <w:lang w:val="it-IT"/>
              </w:rPr>
              <w:t>Insonnia</w:t>
            </w:r>
          </w:p>
        </w:tc>
      </w:tr>
      <w:tr w14:paraId="6BEF56C1" w14:textId="77777777" w:rsidTr="00C04163">
        <w:tblPrEx>
          <w:tblW w:w="0" w:type="auto"/>
          <w:tblLook w:val="01E0"/>
        </w:tblPrEx>
        <w:trPr>
          <w:cantSplit/>
        </w:trPr>
        <w:tc>
          <w:tcPr>
            <w:tcW w:w="2559" w:type="dxa"/>
            <w:vMerge w:val="restart"/>
          </w:tcPr>
          <w:p w:rsidR="00C04163" w:rsidRPr="00295E71" w:rsidP="00C04163" w14:paraId="5465468D" w14:textId="77777777">
            <w:pPr>
              <w:pStyle w:val="EMEANormal"/>
              <w:widowControl w:val="0"/>
              <w:spacing w:before="60"/>
              <w:rPr>
                <w:lang w:val="it-IT"/>
              </w:rPr>
            </w:pPr>
            <w:r w:rsidRPr="00295E71">
              <w:rPr>
                <w:lang w:val="it-IT"/>
              </w:rPr>
              <w:t>Patologie del sistema nervoso*</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4C507FEA" w14:textId="77777777">
            <w:pPr>
              <w:pStyle w:val="EMEANormal"/>
              <w:widowControl w:val="0"/>
              <w:spacing w:before="60"/>
              <w:rPr>
                <w:lang w:val="it-IT"/>
              </w:rPr>
            </w:pPr>
            <w:r w:rsidRPr="00295E71">
              <w:rPr>
                <w:lang w:val="it-IT"/>
              </w:rPr>
              <w:t>Molto comune</w:t>
            </w:r>
          </w:p>
          <w:p w:rsidR="00C04163" w:rsidRPr="00295E71" w:rsidP="00C04163" w14:paraId="4748150A"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35C0317" w14:textId="77777777">
            <w:pPr>
              <w:pStyle w:val="EMEANormal"/>
              <w:widowControl w:val="0"/>
              <w:spacing w:before="60"/>
              <w:rPr>
                <w:lang w:val="it-IT"/>
              </w:rPr>
            </w:pPr>
            <w:r w:rsidRPr="00295E71">
              <w:rPr>
                <w:lang w:val="it-IT"/>
              </w:rPr>
              <w:t>Cefalea</w:t>
            </w:r>
          </w:p>
        </w:tc>
      </w:tr>
      <w:tr w14:paraId="7B020E85" w14:textId="77777777" w:rsidTr="00C04163">
        <w:tblPrEx>
          <w:tblW w:w="0" w:type="auto"/>
          <w:tblLook w:val="01E0"/>
        </w:tblPrEx>
        <w:trPr>
          <w:cantSplit/>
        </w:trPr>
        <w:tc>
          <w:tcPr>
            <w:tcW w:w="2559" w:type="dxa"/>
            <w:vMerge/>
          </w:tcPr>
          <w:p w:rsidR="00C04163" w:rsidRPr="00295E71" w:rsidP="00C04163" w14:paraId="57E01C4E" w14:textId="77777777">
            <w:pPr>
              <w:pStyle w:val="EMEANormal"/>
              <w:widowControl w:val="0"/>
              <w:spacing w:before="60"/>
              <w:rPr>
                <w:lang w:val="it-IT"/>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4BAAAF48" w14:textId="77777777">
            <w:pPr>
              <w:pStyle w:val="EMEANormal"/>
              <w:widowControl w:val="0"/>
              <w:spacing w:before="60"/>
              <w:rPr>
                <w:lang w:val="it-IT"/>
              </w:rPr>
            </w:pPr>
            <w:r w:rsidRPr="00295E71">
              <w:rPr>
                <w:lang w:val="it-IT"/>
              </w:rPr>
              <w:t>Comune</w:t>
            </w:r>
          </w:p>
          <w:p w:rsidR="00C04163" w:rsidRPr="00295E71" w:rsidP="00C04163" w14:paraId="6E1339EA"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2A1C143" w14:textId="77777777">
            <w:pPr>
              <w:pStyle w:val="EMEANormal"/>
              <w:widowControl w:val="0"/>
              <w:spacing w:before="60"/>
              <w:rPr>
                <w:lang w:val="it-IT"/>
              </w:rPr>
            </w:pPr>
            <w:r w:rsidRPr="00295E71">
              <w:rPr>
                <w:lang w:val="it-IT"/>
              </w:rPr>
              <w:t>Parestesia (tra cui ipoestesia),</w:t>
            </w:r>
          </w:p>
          <w:p w:rsidR="00C04163" w:rsidRPr="00295E71" w:rsidP="00C04163" w14:paraId="42801FE6" w14:textId="77777777">
            <w:pPr>
              <w:pStyle w:val="EMEANormal"/>
              <w:widowControl w:val="0"/>
              <w:spacing w:before="60"/>
              <w:rPr>
                <w:lang w:val="it-IT"/>
              </w:rPr>
            </w:pPr>
            <w:r w:rsidRPr="00295E71">
              <w:rPr>
                <w:lang w:val="it-IT"/>
              </w:rPr>
              <w:t>emicrania,</w:t>
            </w:r>
          </w:p>
          <w:p w:rsidR="00C04163" w:rsidRPr="00295E71" w:rsidP="00C04163" w14:paraId="48549E6F" w14:textId="77777777">
            <w:pPr>
              <w:pStyle w:val="EMEANormal"/>
              <w:widowControl w:val="0"/>
              <w:spacing w:before="60"/>
              <w:rPr>
                <w:lang w:val="it-IT"/>
              </w:rPr>
            </w:pPr>
            <w:r w:rsidRPr="00295E71">
              <w:rPr>
                <w:lang w:val="it-IT"/>
              </w:rPr>
              <w:t>compressione di radice nervosa</w:t>
            </w:r>
          </w:p>
          <w:p w:rsidR="00C04163" w:rsidRPr="00295E71" w:rsidP="00C04163" w14:paraId="714EE708" w14:textId="77777777">
            <w:pPr>
              <w:pStyle w:val="EMEANormal"/>
              <w:widowControl w:val="0"/>
              <w:spacing w:before="60"/>
              <w:rPr>
                <w:lang w:val="it-IT"/>
              </w:rPr>
            </w:pPr>
          </w:p>
        </w:tc>
      </w:tr>
      <w:tr w14:paraId="6A2D0B29" w14:textId="77777777" w:rsidTr="00C04163">
        <w:tblPrEx>
          <w:tblW w:w="0" w:type="auto"/>
          <w:tblLook w:val="01E0"/>
        </w:tblPrEx>
        <w:trPr>
          <w:cantSplit/>
        </w:trPr>
        <w:tc>
          <w:tcPr>
            <w:tcW w:w="2559" w:type="dxa"/>
            <w:vMerge/>
          </w:tcPr>
          <w:p w:rsidR="00C04163" w:rsidRPr="00295E71" w:rsidP="00C04163" w14:paraId="18F404D2"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6469B38B" w14:textId="77777777">
            <w:pPr>
              <w:pStyle w:val="EMEANormal"/>
              <w:widowControl w:val="0"/>
              <w:spacing w:before="60"/>
              <w:rPr>
                <w:lang w:val="it-IT"/>
              </w:rPr>
            </w:pPr>
            <w:r w:rsidRPr="00295E71">
              <w:rPr>
                <w:lang w:val="it-IT"/>
              </w:rPr>
              <w:t>Non comune</w:t>
            </w:r>
          </w:p>
          <w:p w:rsidR="00C04163" w:rsidRPr="00295E71" w:rsidP="00C04163" w14:paraId="4619D1BC"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678FE4E6" w14:textId="77777777">
            <w:pPr>
              <w:pStyle w:val="EMEANormal"/>
              <w:widowControl w:val="0"/>
              <w:spacing w:before="60"/>
              <w:rPr>
                <w:lang w:val="it-IT"/>
              </w:rPr>
            </w:pPr>
            <w:r w:rsidRPr="00295E71">
              <w:rPr>
                <w:lang w:val="it-IT"/>
              </w:rPr>
              <w:t>Accidente cerebrovascolare</w:t>
            </w:r>
            <w:r w:rsidRPr="00C04163">
              <w:rPr>
                <w:lang w:val="it-IT"/>
              </w:rPr>
              <w:t>1)</w:t>
            </w:r>
            <w:r w:rsidRPr="00295E71">
              <w:rPr>
                <w:lang w:val="it-IT"/>
              </w:rPr>
              <w:t xml:space="preserve">, </w:t>
            </w:r>
          </w:p>
          <w:p w:rsidR="00C04163" w:rsidRPr="00295E71" w:rsidP="00C04163" w14:paraId="164D2FF6" w14:textId="77777777">
            <w:pPr>
              <w:pStyle w:val="EMEANormal"/>
              <w:widowControl w:val="0"/>
              <w:spacing w:before="60"/>
              <w:rPr>
                <w:lang w:val="it-IT"/>
              </w:rPr>
            </w:pPr>
            <w:r w:rsidRPr="00295E71">
              <w:rPr>
                <w:lang w:val="it-IT"/>
              </w:rPr>
              <w:t>tremore,</w:t>
            </w:r>
          </w:p>
          <w:p w:rsidR="00C04163" w:rsidRPr="00295E71" w:rsidP="00C04163" w14:paraId="2A35B321" w14:textId="77777777">
            <w:pPr>
              <w:pStyle w:val="EMEANormal"/>
              <w:widowControl w:val="0"/>
              <w:spacing w:before="60"/>
              <w:rPr>
                <w:lang w:val="it-IT"/>
              </w:rPr>
            </w:pPr>
            <w:r w:rsidRPr="00295E71">
              <w:rPr>
                <w:lang w:val="it-IT"/>
              </w:rPr>
              <w:t xml:space="preserve">neuropatia </w:t>
            </w:r>
          </w:p>
          <w:p w:rsidR="00C04163" w:rsidRPr="00295E71" w:rsidP="00C04163" w14:paraId="6925CCC2" w14:textId="77777777">
            <w:pPr>
              <w:pStyle w:val="EMEANormal"/>
              <w:widowControl w:val="0"/>
              <w:spacing w:before="60"/>
              <w:rPr>
                <w:lang w:val="it-IT"/>
              </w:rPr>
            </w:pPr>
          </w:p>
        </w:tc>
      </w:tr>
      <w:tr w14:paraId="3B068621" w14:textId="77777777" w:rsidTr="00C04163">
        <w:tblPrEx>
          <w:tblW w:w="0" w:type="auto"/>
          <w:tblLook w:val="01E0"/>
        </w:tblPrEx>
        <w:trPr>
          <w:cantSplit/>
        </w:trPr>
        <w:tc>
          <w:tcPr>
            <w:tcW w:w="2559" w:type="dxa"/>
            <w:vMerge/>
          </w:tcPr>
          <w:p w:rsidR="00C04163" w:rsidRPr="00295E71" w:rsidP="00C04163" w14:paraId="5D12182F"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1A369952" w14:textId="77777777">
            <w:pPr>
              <w:pStyle w:val="EMEANormal"/>
              <w:widowControl w:val="0"/>
              <w:spacing w:before="60"/>
              <w:rPr>
                <w:lang w:val="it-IT"/>
              </w:rPr>
            </w:pPr>
            <w:r w:rsidRPr="00295E71">
              <w:rPr>
                <w:lang w:val="it-IT"/>
              </w:rPr>
              <w:t>Raro</w:t>
            </w:r>
          </w:p>
          <w:p w:rsidR="00C04163" w:rsidRPr="00295E71" w:rsidP="00C04163" w14:paraId="3BA494E3"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3F0A7DA" w14:textId="77777777">
            <w:pPr>
              <w:pStyle w:val="EMEANormal"/>
              <w:widowControl w:val="0"/>
              <w:spacing w:before="60"/>
              <w:rPr>
                <w:lang w:val="it-IT"/>
              </w:rPr>
            </w:pPr>
            <w:r w:rsidRPr="00295E71">
              <w:rPr>
                <w:lang w:val="it-IT"/>
              </w:rPr>
              <w:t>Sclerosi multipla</w:t>
            </w:r>
            <w:r>
              <w:rPr>
                <w:lang w:val="it-IT"/>
              </w:rPr>
              <w:t>,</w:t>
            </w:r>
          </w:p>
          <w:p w:rsidR="00C04163" w:rsidRPr="00C04163" w:rsidP="00C04163" w14:paraId="32641270" w14:textId="77777777">
            <w:pPr>
              <w:pStyle w:val="EMEANormal"/>
              <w:widowControl w:val="0"/>
              <w:spacing w:before="60"/>
              <w:rPr>
                <w:lang w:val="it-IT"/>
              </w:rPr>
            </w:pPr>
            <w:r w:rsidRPr="00295E71">
              <w:rPr>
                <w:lang w:val="it-IT"/>
              </w:rPr>
              <w:t>disturbi demielinizzanti (e.s. neurite ottica, sindrome di Guillain-Barré)</w:t>
            </w:r>
            <w:r w:rsidRPr="00C04163">
              <w:rPr>
                <w:lang w:val="it-IT"/>
              </w:rPr>
              <w:t xml:space="preserve"> 1)</w:t>
            </w:r>
          </w:p>
          <w:p w:rsidR="00C04163" w:rsidRPr="00295E71" w:rsidP="00C04163" w14:paraId="44242E06" w14:textId="77777777">
            <w:pPr>
              <w:pStyle w:val="EMEANormal"/>
              <w:widowControl w:val="0"/>
              <w:spacing w:before="60"/>
              <w:rPr>
                <w:lang w:val="it-IT"/>
              </w:rPr>
            </w:pPr>
          </w:p>
        </w:tc>
      </w:tr>
      <w:tr w14:paraId="26E8A755" w14:textId="77777777" w:rsidTr="00C04163">
        <w:tblPrEx>
          <w:tblW w:w="0" w:type="auto"/>
          <w:tblLook w:val="01E0"/>
        </w:tblPrEx>
        <w:trPr>
          <w:cantSplit/>
        </w:trPr>
        <w:tc>
          <w:tcPr>
            <w:tcW w:w="2559" w:type="dxa"/>
            <w:vMerge w:val="restart"/>
          </w:tcPr>
          <w:p w:rsidR="00C04163" w:rsidRPr="00295E71" w:rsidP="00C04163" w14:paraId="045473B0" w14:textId="77777777">
            <w:pPr>
              <w:pStyle w:val="EMEANormal"/>
              <w:widowControl w:val="0"/>
              <w:spacing w:before="60"/>
              <w:rPr>
                <w:lang w:val="it-IT"/>
              </w:rPr>
            </w:pPr>
            <w:r w:rsidRPr="00295E71">
              <w:rPr>
                <w:lang w:val="it-IT"/>
              </w:rPr>
              <w:t>Patologie dell’occhio</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6E6D64B" w14:textId="77777777">
            <w:pPr>
              <w:pStyle w:val="EMEANormal"/>
              <w:widowControl w:val="0"/>
              <w:spacing w:before="60"/>
              <w:rPr>
                <w:lang w:val="it-IT"/>
              </w:rPr>
            </w:pPr>
            <w:r w:rsidRPr="00295E71">
              <w:rPr>
                <w:lang w:val="it-IT"/>
              </w:rPr>
              <w:t>Comune</w:t>
            </w:r>
          </w:p>
          <w:p w:rsidR="00C04163" w:rsidRPr="00295E71" w:rsidP="00C04163" w14:paraId="50B7CD4B"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64B8C1D" w14:textId="77777777">
            <w:pPr>
              <w:pStyle w:val="EMEANormal"/>
              <w:widowControl w:val="0"/>
              <w:spacing w:before="60"/>
              <w:rPr>
                <w:lang w:val="it-IT"/>
              </w:rPr>
            </w:pPr>
            <w:r w:rsidRPr="00295E71">
              <w:rPr>
                <w:lang w:val="it-IT"/>
              </w:rPr>
              <w:t>Disturbi visivi,</w:t>
            </w:r>
          </w:p>
          <w:p w:rsidR="00C04163" w:rsidRPr="00295E71" w:rsidP="00C04163" w14:paraId="0B4B1486" w14:textId="77777777">
            <w:pPr>
              <w:pStyle w:val="EMEANormal"/>
              <w:widowControl w:val="0"/>
              <w:spacing w:before="60"/>
              <w:rPr>
                <w:lang w:val="it-IT"/>
              </w:rPr>
            </w:pPr>
            <w:r w:rsidRPr="00295E71">
              <w:rPr>
                <w:lang w:val="it-IT"/>
              </w:rPr>
              <w:t>congiuntivit</w:t>
            </w:r>
            <w:r>
              <w:rPr>
                <w:lang w:val="it-IT"/>
              </w:rPr>
              <w:t>e</w:t>
            </w:r>
            <w:r w:rsidRPr="00295E71">
              <w:rPr>
                <w:lang w:val="it-IT"/>
              </w:rPr>
              <w:t>,</w:t>
            </w:r>
          </w:p>
          <w:p w:rsidR="00C04163" w:rsidRPr="00295E71" w:rsidP="00C04163" w14:paraId="5A5EFFF1" w14:textId="77777777">
            <w:pPr>
              <w:pStyle w:val="EMEANormal"/>
              <w:widowControl w:val="0"/>
              <w:spacing w:before="60"/>
              <w:rPr>
                <w:lang w:val="it-IT"/>
              </w:rPr>
            </w:pPr>
            <w:r w:rsidRPr="00295E71">
              <w:rPr>
                <w:lang w:val="it-IT"/>
              </w:rPr>
              <w:t>blefarite,</w:t>
            </w:r>
          </w:p>
          <w:p w:rsidR="00C04163" w:rsidRPr="00295E71" w:rsidP="00C04163" w14:paraId="098DA149" w14:textId="77777777">
            <w:pPr>
              <w:pStyle w:val="EMEANormal"/>
              <w:widowControl w:val="0"/>
              <w:spacing w:before="60"/>
              <w:rPr>
                <w:lang w:val="it-IT"/>
              </w:rPr>
            </w:pPr>
            <w:r w:rsidRPr="00295E71">
              <w:rPr>
                <w:lang w:val="it-IT"/>
              </w:rPr>
              <w:t>edema periorbitale</w:t>
            </w:r>
          </w:p>
          <w:p w:rsidR="00C04163" w:rsidRPr="00295E71" w:rsidP="00C04163" w14:paraId="1971341B" w14:textId="77777777">
            <w:pPr>
              <w:pStyle w:val="EMEANormal"/>
              <w:widowControl w:val="0"/>
              <w:spacing w:before="60"/>
              <w:rPr>
                <w:lang w:val="it-IT"/>
              </w:rPr>
            </w:pPr>
          </w:p>
        </w:tc>
      </w:tr>
      <w:tr w14:paraId="04D4D88A" w14:textId="77777777" w:rsidTr="00C04163">
        <w:tblPrEx>
          <w:tblW w:w="0" w:type="auto"/>
          <w:tblLook w:val="01E0"/>
        </w:tblPrEx>
        <w:trPr>
          <w:cantSplit/>
        </w:trPr>
        <w:tc>
          <w:tcPr>
            <w:tcW w:w="2559" w:type="dxa"/>
            <w:vMerge/>
          </w:tcPr>
          <w:p w:rsidR="00C04163" w:rsidRPr="00295E71" w:rsidP="00C04163" w14:paraId="46683235"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265AFC4A" w14:textId="77777777">
            <w:pPr>
              <w:pStyle w:val="EMEANormal"/>
              <w:widowControl w:val="0"/>
              <w:spacing w:before="60"/>
              <w:rPr>
                <w:lang w:val="it-IT"/>
              </w:rPr>
            </w:pPr>
            <w:r w:rsidRPr="00295E71">
              <w:rPr>
                <w:lang w:val="it-IT"/>
              </w:rPr>
              <w:t>Non comune</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B8D5EFB" w14:textId="77777777">
            <w:pPr>
              <w:pStyle w:val="EMEANormal"/>
              <w:widowControl w:val="0"/>
              <w:spacing w:before="60"/>
              <w:rPr>
                <w:lang w:val="it-IT"/>
              </w:rPr>
            </w:pPr>
            <w:r w:rsidRPr="00295E71">
              <w:rPr>
                <w:lang w:val="it-IT"/>
              </w:rPr>
              <w:t>Diplopia</w:t>
            </w:r>
          </w:p>
          <w:p w:rsidR="00C04163" w:rsidRPr="00295E71" w:rsidP="00C04163" w14:paraId="49816A39" w14:textId="77777777">
            <w:pPr>
              <w:pStyle w:val="EMEANormal"/>
              <w:widowControl w:val="0"/>
              <w:spacing w:before="60"/>
              <w:rPr>
                <w:lang w:val="it-IT"/>
              </w:rPr>
            </w:pPr>
          </w:p>
        </w:tc>
      </w:tr>
      <w:tr w14:paraId="122A1405" w14:textId="77777777" w:rsidTr="00C04163">
        <w:tblPrEx>
          <w:tblW w:w="0" w:type="auto"/>
          <w:tblLook w:val="01E0"/>
        </w:tblPrEx>
        <w:trPr>
          <w:cantSplit/>
        </w:trPr>
        <w:tc>
          <w:tcPr>
            <w:tcW w:w="2559" w:type="dxa"/>
            <w:vMerge w:val="restart"/>
          </w:tcPr>
          <w:p w:rsidR="00C04163" w:rsidRPr="00295E71" w:rsidP="00C04163" w14:paraId="7483D2B6" w14:textId="77777777">
            <w:pPr>
              <w:pStyle w:val="EMEANormal"/>
              <w:widowControl w:val="0"/>
              <w:spacing w:before="60"/>
              <w:rPr>
                <w:lang w:val="it-IT"/>
              </w:rPr>
            </w:pPr>
            <w:r w:rsidRPr="00295E71">
              <w:rPr>
                <w:lang w:val="it-IT"/>
              </w:rPr>
              <w:t xml:space="preserve">Patologie dell’orecchio e del labirinto </w:t>
            </w:r>
          </w:p>
          <w:p w:rsidR="00C04163" w:rsidRPr="00295E71" w:rsidP="00C04163" w14:paraId="0037933F" w14:textId="77777777">
            <w:pPr>
              <w:pStyle w:val="EMEANormal"/>
              <w:widowControl w:val="0"/>
              <w:spacing w:before="60"/>
              <w:rPr>
                <w:lang w:val="it-IT"/>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6F188691" w14:textId="77777777">
            <w:pPr>
              <w:pStyle w:val="EMEANormal"/>
              <w:widowControl w:val="0"/>
              <w:spacing w:before="60"/>
              <w:rPr>
                <w:lang w:val="it-IT"/>
              </w:rPr>
            </w:pPr>
            <w:r w:rsidRPr="00295E71">
              <w:rPr>
                <w:lang w:val="it-IT"/>
              </w:rPr>
              <w:t>Comune</w:t>
            </w:r>
          </w:p>
          <w:p w:rsidR="00C04163" w:rsidRPr="00295E71" w:rsidP="00C04163" w14:paraId="1AEF48BD"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68C63746" w14:textId="77777777">
            <w:pPr>
              <w:pStyle w:val="EMEANormal"/>
              <w:widowControl w:val="0"/>
              <w:spacing w:before="60"/>
              <w:rPr>
                <w:lang w:val="it-IT"/>
              </w:rPr>
            </w:pPr>
            <w:r w:rsidRPr="00295E71">
              <w:rPr>
                <w:lang w:val="it-IT"/>
              </w:rPr>
              <w:t>Vertigini</w:t>
            </w:r>
          </w:p>
          <w:p w:rsidR="00C04163" w:rsidRPr="00295E71" w:rsidP="00C04163" w14:paraId="1743769D" w14:textId="77777777">
            <w:pPr>
              <w:pStyle w:val="EMEANormal"/>
              <w:widowControl w:val="0"/>
              <w:spacing w:before="60"/>
              <w:rPr>
                <w:lang w:val="it-IT"/>
              </w:rPr>
            </w:pPr>
          </w:p>
        </w:tc>
      </w:tr>
      <w:tr w14:paraId="006BCD16" w14:textId="77777777" w:rsidTr="00C04163">
        <w:tblPrEx>
          <w:tblW w:w="0" w:type="auto"/>
          <w:tblLook w:val="01E0"/>
        </w:tblPrEx>
        <w:trPr>
          <w:cantSplit/>
        </w:trPr>
        <w:tc>
          <w:tcPr>
            <w:tcW w:w="2559" w:type="dxa"/>
            <w:vMerge/>
          </w:tcPr>
          <w:p w:rsidR="00C04163" w:rsidRPr="00295E71" w:rsidP="00C04163" w14:paraId="734EB305"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2D36B14A" w14:textId="77777777">
            <w:pPr>
              <w:pStyle w:val="EMEANormal"/>
              <w:widowControl w:val="0"/>
              <w:spacing w:before="60"/>
              <w:rPr>
                <w:lang w:val="it-IT"/>
              </w:rPr>
            </w:pPr>
            <w:r w:rsidRPr="00295E71">
              <w:rPr>
                <w:lang w:val="it-IT"/>
              </w:rPr>
              <w:t>Non comune</w:t>
            </w:r>
          </w:p>
          <w:p w:rsidR="00C04163" w:rsidRPr="00295E71" w:rsidP="00C04163" w14:paraId="263C4212"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0BF6C60" w14:textId="77777777">
            <w:pPr>
              <w:pStyle w:val="EMEANormal"/>
              <w:widowControl w:val="0"/>
              <w:spacing w:before="60"/>
              <w:rPr>
                <w:lang w:val="it-IT"/>
              </w:rPr>
            </w:pPr>
            <w:r w:rsidRPr="00295E71">
              <w:rPr>
                <w:lang w:val="it-IT"/>
              </w:rPr>
              <w:t xml:space="preserve">Perdita dell’udito, </w:t>
            </w:r>
          </w:p>
          <w:p w:rsidR="00C04163" w:rsidRPr="00295E71" w:rsidP="00C04163" w14:paraId="7AAD95C8" w14:textId="77777777">
            <w:pPr>
              <w:pStyle w:val="EMEANormal"/>
              <w:widowControl w:val="0"/>
              <w:spacing w:before="60"/>
              <w:rPr>
                <w:lang w:val="it-IT"/>
              </w:rPr>
            </w:pPr>
            <w:r w:rsidRPr="00295E71">
              <w:rPr>
                <w:lang w:val="it-IT"/>
              </w:rPr>
              <w:t>tinnito</w:t>
            </w:r>
          </w:p>
          <w:p w:rsidR="00C04163" w:rsidRPr="00295E71" w:rsidP="00C04163" w14:paraId="7058240C" w14:textId="77777777">
            <w:pPr>
              <w:pStyle w:val="EMEANormal"/>
              <w:widowControl w:val="0"/>
              <w:spacing w:before="60"/>
              <w:rPr>
                <w:lang w:val="it-IT"/>
              </w:rPr>
            </w:pPr>
          </w:p>
        </w:tc>
      </w:tr>
      <w:tr w14:paraId="12DEC749" w14:textId="77777777" w:rsidTr="00C04163">
        <w:tblPrEx>
          <w:tblW w:w="0" w:type="auto"/>
          <w:tblLook w:val="01E0"/>
        </w:tblPrEx>
        <w:trPr>
          <w:cantSplit/>
        </w:trPr>
        <w:tc>
          <w:tcPr>
            <w:tcW w:w="2559" w:type="dxa"/>
            <w:vMerge w:val="restart"/>
          </w:tcPr>
          <w:p w:rsidR="00C04163" w:rsidRPr="00295E71" w:rsidP="00C04163" w14:paraId="42A767AF" w14:textId="77777777">
            <w:pPr>
              <w:pStyle w:val="EMEANormal"/>
              <w:widowControl w:val="0"/>
              <w:spacing w:before="60"/>
              <w:rPr>
                <w:lang w:val="it-IT"/>
              </w:rPr>
            </w:pPr>
            <w:r w:rsidRPr="00295E71">
              <w:rPr>
                <w:lang w:val="it-IT"/>
              </w:rPr>
              <w:t xml:space="preserve">Patologie cardiache* </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2B41823D" w14:textId="77777777">
            <w:pPr>
              <w:pStyle w:val="EMEANormal"/>
              <w:widowControl w:val="0"/>
              <w:spacing w:before="60"/>
              <w:rPr>
                <w:lang w:val="it-IT"/>
              </w:rPr>
            </w:pPr>
            <w:r w:rsidRPr="00295E71">
              <w:rPr>
                <w:lang w:val="it-IT"/>
              </w:rPr>
              <w:t>Comune</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B2E1F0D" w14:textId="77777777">
            <w:pPr>
              <w:pStyle w:val="EMEANormal"/>
              <w:widowControl w:val="0"/>
              <w:spacing w:before="60"/>
              <w:rPr>
                <w:lang w:val="it-IT"/>
              </w:rPr>
            </w:pPr>
            <w:r w:rsidRPr="00295E71">
              <w:rPr>
                <w:lang w:val="it-IT"/>
              </w:rPr>
              <w:t>Tachicardia</w:t>
            </w:r>
          </w:p>
          <w:p w:rsidR="00C04163" w:rsidRPr="00295E71" w:rsidP="00C04163" w14:paraId="0369F4BE" w14:textId="77777777">
            <w:pPr>
              <w:pStyle w:val="EMEANormal"/>
              <w:widowControl w:val="0"/>
              <w:spacing w:before="60"/>
              <w:rPr>
                <w:lang w:val="it-IT"/>
              </w:rPr>
            </w:pPr>
          </w:p>
        </w:tc>
      </w:tr>
      <w:tr w14:paraId="13F57BCB" w14:textId="77777777" w:rsidTr="00C04163">
        <w:tblPrEx>
          <w:tblW w:w="0" w:type="auto"/>
          <w:tblLook w:val="01E0"/>
        </w:tblPrEx>
        <w:trPr>
          <w:cantSplit/>
        </w:trPr>
        <w:tc>
          <w:tcPr>
            <w:tcW w:w="2559" w:type="dxa"/>
            <w:vMerge/>
          </w:tcPr>
          <w:p w:rsidR="00C04163" w:rsidRPr="00295E71" w:rsidP="00C04163" w14:paraId="07900015" w14:textId="77777777">
            <w:pPr>
              <w:pStyle w:val="EMEANormal"/>
              <w:widowControl w:val="0"/>
              <w:spacing w:before="60"/>
              <w:rPr>
                <w:lang w:val="it-IT"/>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A5FE0D3" w14:textId="77777777">
            <w:pPr>
              <w:pStyle w:val="EMEANormal"/>
              <w:widowControl w:val="0"/>
              <w:spacing w:before="60"/>
              <w:rPr>
                <w:lang w:val="it-IT"/>
              </w:rPr>
            </w:pPr>
            <w:r w:rsidRPr="00295E71">
              <w:rPr>
                <w:lang w:val="it-IT"/>
              </w:rPr>
              <w:t>Non comune</w:t>
            </w:r>
          </w:p>
          <w:p w:rsidR="00C04163" w:rsidRPr="00295E71" w:rsidP="00C04163" w14:paraId="0B40C52A"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4ED88CD0" w14:textId="77777777">
            <w:pPr>
              <w:pStyle w:val="EMEANormal"/>
              <w:widowControl w:val="0"/>
              <w:spacing w:before="60"/>
              <w:rPr>
                <w:lang w:val="it-IT"/>
              </w:rPr>
            </w:pPr>
            <w:r w:rsidRPr="00295E71">
              <w:rPr>
                <w:lang w:val="it-IT"/>
              </w:rPr>
              <w:t>Infarto del miocardio</w:t>
            </w:r>
            <w:r w:rsidRPr="00C04163">
              <w:rPr>
                <w:lang w:val="it-IT"/>
              </w:rPr>
              <w:t>1)</w:t>
            </w:r>
            <w:r w:rsidRPr="00295E71">
              <w:rPr>
                <w:lang w:val="it-IT"/>
              </w:rPr>
              <w:t>,</w:t>
            </w:r>
          </w:p>
          <w:p w:rsidR="00C04163" w:rsidRPr="00295E71" w:rsidP="00C04163" w14:paraId="649ED603" w14:textId="77777777">
            <w:pPr>
              <w:pStyle w:val="EMEANormal"/>
              <w:widowControl w:val="0"/>
              <w:spacing w:before="60"/>
              <w:rPr>
                <w:lang w:val="it-IT"/>
              </w:rPr>
            </w:pPr>
            <w:r w:rsidRPr="00295E71">
              <w:rPr>
                <w:lang w:val="it-IT"/>
              </w:rPr>
              <w:t>aritmia,</w:t>
            </w:r>
          </w:p>
          <w:p w:rsidR="00C04163" w:rsidRPr="00295E71" w:rsidP="00C04163" w14:paraId="3C8511BF" w14:textId="77777777">
            <w:pPr>
              <w:pStyle w:val="EMEANormal"/>
              <w:widowControl w:val="0"/>
              <w:spacing w:before="60"/>
              <w:rPr>
                <w:lang w:val="it-IT"/>
              </w:rPr>
            </w:pPr>
            <w:r w:rsidRPr="00295E71">
              <w:rPr>
                <w:lang w:val="it-IT"/>
              </w:rPr>
              <w:t>insufficienza cardiaca congestizia</w:t>
            </w:r>
          </w:p>
          <w:p w:rsidR="00C04163" w:rsidRPr="00295E71" w:rsidP="00C04163" w14:paraId="5806B25D" w14:textId="77777777">
            <w:pPr>
              <w:pStyle w:val="EMEANormal"/>
              <w:widowControl w:val="0"/>
              <w:spacing w:before="60"/>
              <w:rPr>
                <w:lang w:val="it-IT"/>
              </w:rPr>
            </w:pPr>
          </w:p>
        </w:tc>
      </w:tr>
      <w:tr w14:paraId="06B323B6" w14:textId="77777777" w:rsidTr="00C04163">
        <w:tblPrEx>
          <w:tblW w:w="0" w:type="auto"/>
          <w:tblLook w:val="01E0"/>
        </w:tblPrEx>
        <w:trPr>
          <w:cantSplit/>
        </w:trPr>
        <w:tc>
          <w:tcPr>
            <w:tcW w:w="2559" w:type="dxa"/>
            <w:vMerge/>
          </w:tcPr>
          <w:p w:rsidR="00C04163" w:rsidRPr="00295E71" w:rsidP="00C04163" w14:paraId="4B9AE4B3"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10448B96" w14:textId="77777777">
            <w:pPr>
              <w:pStyle w:val="EMEANormal"/>
              <w:widowControl w:val="0"/>
              <w:spacing w:before="60"/>
              <w:rPr>
                <w:lang w:val="it-IT"/>
              </w:rPr>
            </w:pPr>
            <w:r w:rsidRPr="00295E71">
              <w:rPr>
                <w:lang w:val="it-IT"/>
              </w:rPr>
              <w:t>Raro</w:t>
            </w:r>
          </w:p>
          <w:p w:rsidR="00C04163" w:rsidRPr="00295E71" w:rsidP="00C04163" w14:paraId="30ABA3D4"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43B8C78B" w14:textId="77777777">
            <w:pPr>
              <w:pStyle w:val="EMEANormal"/>
              <w:widowControl w:val="0"/>
              <w:spacing w:before="60"/>
              <w:rPr>
                <w:lang w:val="it-IT"/>
              </w:rPr>
            </w:pPr>
            <w:r w:rsidRPr="00295E71">
              <w:rPr>
                <w:lang w:val="it-IT"/>
              </w:rPr>
              <w:t>Arresto cardiaco</w:t>
            </w:r>
          </w:p>
          <w:p w:rsidR="00C04163" w:rsidRPr="00295E71" w:rsidP="00C04163" w14:paraId="22CBFCEF" w14:textId="77777777">
            <w:pPr>
              <w:pStyle w:val="EMEANormal"/>
              <w:widowControl w:val="0"/>
              <w:spacing w:before="60"/>
              <w:rPr>
                <w:lang w:val="it-IT"/>
              </w:rPr>
            </w:pPr>
          </w:p>
        </w:tc>
      </w:tr>
      <w:tr w14:paraId="5E2A7A7C" w14:textId="77777777" w:rsidTr="00C04163">
        <w:tblPrEx>
          <w:tblW w:w="0" w:type="auto"/>
          <w:tblLook w:val="01E0"/>
        </w:tblPrEx>
        <w:trPr>
          <w:cantSplit/>
        </w:trPr>
        <w:tc>
          <w:tcPr>
            <w:tcW w:w="2559" w:type="dxa"/>
            <w:vMerge w:val="restart"/>
          </w:tcPr>
          <w:p w:rsidR="00C04163" w:rsidRPr="00295E71" w:rsidP="00C04163" w14:paraId="216DAA27" w14:textId="77777777">
            <w:pPr>
              <w:pStyle w:val="EMEANormal"/>
              <w:widowControl w:val="0"/>
              <w:spacing w:before="60"/>
              <w:rPr>
                <w:lang w:val="it-IT"/>
              </w:rPr>
            </w:pPr>
            <w:r w:rsidRPr="00295E71">
              <w:rPr>
                <w:lang w:val="it-IT"/>
              </w:rPr>
              <w:t>Patologie vascolari</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7255404" w14:textId="77777777">
            <w:pPr>
              <w:pStyle w:val="EMEANormal"/>
              <w:widowControl w:val="0"/>
              <w:spacing w:before="60"/>
              <w:rPr>
                <w:lang w:val="it-IT"/>
              </w:rPr>
            </w:pPr>
            <w:r w:rsidRPr="00295E71">
              <w:rPr>
                <w:lang w:val="it-IT"/>
              </w:rPr>
              <w:t>Comune</w:t>
            </w:r>
          </w:p>
          <w:p w:rsidR="00C04163" w:rsidRPr="00295E71" w:rsidP="00C04163" w14:paraId="3E14D99F"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40ED7D22" w14:textId="77777777">
            <w:pPr>
              <w:pStyle w:val="EMEANormal"/>
              <w:widowControl w:val="0"/>
              <w:spacing w:before="60"/>
              <w:rPr>
                <w:lang w:val="it-IT"/>
              </w:rPr>
            </w:pPr>
            <w:r w:rsidRPr="00295E71">
              <w:rPr>
                <w:lang w:val="it-IT"/>
              </w:rPr>
              <w:t xml:space="preserve">Ipertensione, </w:t>
            </w:r>
          </w:p>
          <w:p w:rsidR="00C04163" w:rsidRPr="00295E71" w:rsidP="00C04163" w14:paraId="71E6490E" w14:textId="77777777">
            <w:pPr>
              <w:pStyle w:val="EMEANormal"/>
              <w:widowControl w:val="0"/>
              <w:spacing w:before="60"/>
              <w:rPr>
                <w:lang w:val="it-IT"/>
              </w:rPr>
            </w:pPr>
            <w:r w:rsidRPr="00295E71">
              <w:rPr>
                <w:lang w:val="it-IT"/>
              </w:rPr>
              <w:t xml:space="preserve">vampate, </w:t>
            </w:r>
          </w:p>
          <w:p w:rsidR="00C04163" w:rsidRPr="00295E71" w:rsidP="00C04163" w14:paraId="2A8D97C5" w14:textId="77777777">
            <w:pPr>
              <w:pStyle w:val="EMEANormal"/>
              <w:widowControl w:val="0"/>
              <w:spacing w:before="60"/>
              <w:rPr>
                <w:lang w:val="it-IT"/>
              </w:rPr>
            </w:pPr>
            <w:r w:rsidRPr="00295E71">
              <w:rPr>
                <w:lang w:val="it-IT"/>
              </w:rPr>
              <w:t>ematoma</w:t>
            </w:r>
          </w:p>
          <w:p w:rsidR="00C04163" w:rsidRPr="00295E71" w:rsidP="00C04163" w14:paraId="150439CF" w14:textId="77777777">
            <w:pPr>
              <w:pStyle w:val="EMEANormal"/>
              <w:widowControl w:val="0"/>
              <w:spacing w:before="60"/>
              <w:rPr>
                <w:lang w:val="it-IT"/>
              </w:rPr>
            </w:pPr>
          </w:p>
        </w:tc>
      </w:tr>
      <w:tr w14:paraId="5D8861A6" w14:textId="77777777" w:rsidTr="00C04163">
        <w:tblPrEx>
          <w:tblW w:w="0" w:type="auto"/>
          <w:tblLook w:val="01E0"/>
        </w:tblPrEx>
        <w:trPr>
          <w:cantSplit/>
        </w:trPr>
        <w:tc>
          <w:tcPr>
            <w:tcW w:w="2559" w:type="dxa"/>
            <w:vMerge/>
          </w:tcPr>
          <w:p w:rsidR="00C04163" w:rsidRPr="00295E71" w:rsidP="00C04163" w14:paraId="1EA9E168" w14:textId="77777777">
            <w:pPr>
              <w:pStyle w:val="EMEANormal"/>
              <w:widowControl w:val="0"/>
              <w:spacing w:before="60"/>
              <w:rPr>
                <w:lang w:val="it-IT"/>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6391E02" w14:textId="77777777">
            <w:pPr>
              <w:pStyle w:val="EMEANormal"/>
              <w:widowControl w:val="0"/>
              <w:spacing w:before="60"/>
              <w:rPr>
                <w:lang w:val="it-IT"/>
              </w:rPr>
            </w:pPr>
            <w:r w:rsidRPr="00295E71">
              <w:rPr>
                <w:lang w:val="it-IT"/>
              </w:rPr>
              <w:t>Non comune</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8411AA8" w14:textId="77777777">
            <w:pPr>
              <w:pStyle w:val="EMEANormal"/>
              <w:widowControl w:val="0"/>
              <w:spacing w:before="60"/>
              <w:rPr>
                <w:lang w:val="it-IT"/>
              </w:rPr>
            </w:pPr>
            <w:r w:rsidRPr="00295E71">
              <w:rPr>
                <w:lang w:val="it-IT"/>
              </w:rPr>
              <w:t>Aneurisma dell’aorta,</w:t>
            </w:r>
          </w:p>
          <w:p w:rsidR="00C04163" w:rsidRPr="00295E71" w:rsidP="00C04163" w14:paraId="44A8501C" w14:textId="77777777">
            <w:pPr>
              <w:pStyle w:val="EMEANormal"/>
              <w:widowControl w:val="0"/>
              <w:spacing w:before="60"/>
              <w:rPr>
                <w:lang w:val="it-IT"/>
              </w:rPr>
            </w:pPr>
            <w:r w:rsidRPr="00295E71">
              <w:rPr>
                <w:lang w:val="it-IT"/>
              </w:rPr>
              <w:t>occlusione vascolare arteriosa,</w:t>
            </w:r>
          </w:p>
          <w:p w:rsidR="00C04163" w:rsidRPr="00295E71" w:rsidP="00C04163" w14:paraId="08161B0A" w14:textId="77777777">
            <w:pPr>
              <w:pStyle w:val="EMEANormal"/>
              <w:widowControl w:val="0"/>
              <w:spacing w:before="60"/>
              <w:rPr>
                <w:lang w:val="it-IT"/>
              </w:rPr>
            </w:pPr>
            <w:r w:rsidRPr="00295E71">
              <w:rPr>
                <w:lang w:val="it-IT"/>
              </w:rPr>
              <w:t>tromboflebite</w:t>
            </w:r>
          </w:p>
          <w:p w:rsidR="00C04163" w:rsidRPr="00295E71" w:rsidP="00C04163" w14:paraId="53181271" w14:textId="77777777">
            <w:pPr>
              <w:pStyle w:val="EMEANormal"/>
              <w:widowControl w:val="0"/>
              <w:spacing w:before="60"/>
              <w:rPr>
                <w:lang w:val="it-IT"/>
              </w:rPr>
            </w:pPr>
          </w:p>
        </w:tc>
      </w:tr>
      <w:tr w14:paraId="1E3F7288" w14:textId="77777777" w:rsidTr="00C04163">
        <w:tblPrEx>
          <w:tblW w:w="0" w:type="auto"/>
          <w:tblLook w:val="01E0"/>
        </w:tblPrEx>
        <w:trPr>
          <w:cantSplit/>
        </w:trPr>
        <w:tc>
          <w:tcPr>
            <w:tcW w:w="2559" w:type="dxa"/>
          </w:tcPr>
          <w:p w:rsidR="00C04163" w:rsidRPr="00295E71" w:rsidP="00C04163" w14:paraId="54170D06" w14:textId="77777777">
            <w:pPr>
              <w:pStyle w:val="IndexHeading"/>
              <w:widowControl w:val="0"/>
              <w:tabs>
                <w:tab w:val="clear" w:pos="567"/>
              </w:tabs>
              <w:spacing w:before="120" w:after="120" w:line="240" w:lineRule="auto"/>
              <w:jc w:val="center"/>
              <w:rPr>
                <w:rFonts w:ascii="Times New Roman" w:hAnsi="Times New Roman" w:cs="Times New Roman"/>
                <w:lang w:val="it-IT" w:eastAsia="it-IT"/>
              </w:rPr>
            </w:pPr>
            <w:r w:rsidRPr="00295E71">
              <w:rPr>
                <w:rFonts w:ascii="Times New Roman" w:hAnsi="Times New Roman" w:cs="Times New Roman"/>
                <w:lang w:val="it-IT" w:eastAsia="it-IT"/>
              </w:rPr>
              <w:t>Classificazione per sistemi e organi</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C04163" w:rsidP="00C04163" w14:paraId="135B725A" w14:textId="77777777">
            <w:pPr>
              <w:pStyle w:val="EMEANormal"/>
              <w:spacing w:before="60"/>
              <w:rPr>
                <w:lang w:val="it-IT"/>
              </w:rPr>
            </w:pPr>
            <w:r w:rsidRPr="00295E71">
              <w:rPr>
                <w:lang w:val="it-IT"/>
              </w:rPr>
              <w:t>Frequenza</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C04163" w:rsidP="00C04163" w14:paraId="363EB200" w14:textId="77777777">
            <w:pPr>
              <w:pStyle w:val="EMEANormal"/>
              <w:spacing w:before="60"/>
              <w:rPr>
                <w:lang w:val="it-IT"/>
              </w:rPr>
            </w:pPr>
            <w:r w:rsidRPr="00295E71">
              <w:rPr>
                <w:lang w:val="it-IT"/>
              </w:rPr>
              <w:t>Reazione avversa</w:t>
            </w:r>
          </w:p>
        </w:tc>
      </w:tr>
      <w:tr w14:paraId="6B841C67" w14:textId="77777777" w:rsidTr="00C04163">
        <w:tblPrEx>
          <w:tblW w:w="0" w:type="auto"/>
          <w:tblLook w:val="01E0"/>
        </w:tblPrEx>
        <w:trPr>
          <w:cantSplit/>
        </w:trPr>
        <w:tc>
          <w:tcPr>
            <w:tcW w:w="2559" w:type="dxa"/>
            <w:vMerge w:val="restart"/>
          </w:tcPr>
          <w:p w:rsidR="00C04163" w:rsidRPr="00295E71" w:rsidP="00C04163" w14:paraId="03199EA8" w14:textId="77777777">
            <w:pPr>
              <w:pStyle w:val="EMEANormal"/>
              <w:widowControl w:val="0"/>
              <w:spacing w:before="60"/>
              <w:rPr>
                <w:lang w:val="it-IT"/>
              </w:rPr>
            </w:pPr>
            <w:r w:rsidRPr="00295E71">
              <w:rPr>
                <w:lang w:val="it-IT"/>
              </w:rPr>
              <w:t>Patologie respiratorie, toraciche e mediastiniche*</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8E83EF1" w14:textId="77777777">
            <w:pPr>
              <w:pStyle w:val="EMEANormal"/>
              <w:widowControl w:val="0"/>
              <w:spacing w:before="60"/>
              <w:rPr>
                <w:lang w:val="it-IT"/>
              </w:rPr>
            </w:pPr>
            <w:r w:rsidRPr="00295E71">
              <w:rPr>
                <w:lang w:val="it-IT"/>
              </w:rPr>
              <w:t>Comune</w:t>
            </w:r>
          </w:p>
          <w:p w:rsidR="00C04163" w:rsidRPr="00295E71" w:rsidP="00C04163" w14:paraId="50C367F6"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37832FA" w14:textId="77777777">
            <w:pPr>
              <w:pStyle w:val="EMEANormal"/>
              <w:widowControl w:val="0"/>
              <w:spacing w:before="60"/>
              <w:rPr>
                <w:lang w:val="it-IT"/>
              </w:rPr>
            </w:pPr>
            <w:r w:rsidRPr="00295E71">
              <w:rPr>
                <w:lang w:val="it-IT"/>
              </w:rPr>
              <w:t xml:space="preserve">Asma, </w:t>
            </w:r>
          </w:p>
          <w:p w:rsidR="00C04163" w:rsidRPr="00295E71" w:rsidP="00C04163" w14:paraId="6548A3F1" w14:textId="77777777">
            <w:pPr>
              <w:pStyle w:val="EMEANormal"/>
              <w:widowControl w:val="0"/>
              <w:spacing w:before="60"/>
              <w:rPr>
                <w:lang w:val="it-IT"/>
              </w:rPr>
            </w:pPr>
            <w:r w:rsidRPr="00295E71">
              <w:rPr>
                <w:lang w:val="it-IT"/>
              </w:rPr>
              <w:t>dispnea,</w:t>
            </w:r>
          </w:p>
          <w:p w:rsidR="00C04163" w:rsidRPr="00295E71" w:rsidP="00C04163" w14:paraId="2EC64FF6" w14:textId="77777777">
            <w:pPr>
              <w:pStyle w:val="EMEANormal"/>
              <w:widowControl w:val="0"/>
              <w:spacing w:before="60"/>
              <w:rPr>
                <w:lang w:val="it-IT"/>
              </w:rPr>
            </w:pPr>
            <w:r w:rsidRPr="00295E71">
              <w:rPr>
                <w:lang w:val="it-IT"/>
              </w:rPr>
              <w:t>tosse</w:t>
            </w:r>
          </w:p>
          <w:p w:rsidR="00C04163" w:rsidRPr="00295E71" w:rsidP="00C04163" w14:paraId="08F64A11" w14:textId="77777777">
            <w:pPr>
              <w:pStyle w:val="EMEANormal"/>
              <w:widowControl w:val="0"/>
              <w:spacing w:before="60"/>
              <w:rPr>
                <w:lang w:val="it-IT"/>
              </w:rPr>
            </w:pPr>
          </w:p>
        </w:tc>
      </w:tr>
      <w:tr w14:paraId="6273FA8E" w14:textId="77777777" w:rsidTr="00C04163">
        <w:tblPrEx>
          <w:tblW w:w="0" w:type="auto"/>
          <w:tblLook w:val="01E0"/>
        </w:tblPrEx>
        <w:trPr>
          <w:cantSplit/>
        </w:trPr>
        <w:tc>
          <w:tcPr>
            <w:tcW w:w="2559" w:type="dxa"/>
            <w:vMerge/>
          </w:tcPr>
          <w:p w:rsidR="00C04163" w:rsidRPr="00295E71" w:rsidP="00C04163" w14:paraId="46429E64"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4C34FA7" w14:textId="77777777">
            <w:pPr>
              <w:pStyle w:val="EMEANormal"/>
              <w:widowControl w:val="0"/>
              <w:spacing w:before="60"/>
              <w:rPr>
                <w:lang w:val="it-IT"/>
              </w:rPr>
            </w:pPr>
            <w:r w:rsidRPr="00295E71">
              <w:rPr>
                <w:lang w:val="it-IT"/>
              </w:rPr>
              <w:t>Non comune</w:t>
            </w:r>
          </w:p>
          <w:p w:rsidR="00C04163" w:rsidRPr="00295E71" w:rsidP="00C04163" w14:paraId="53D36DAB"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1231535" w14:textId="77777777">
            <w:pPr>
              <w:pStyle w:val="EMEANormal"/>
              <w:widowControl w:val="0"/>
              <w:spacing w:before="60"/>
              <w:rPr>
                <w:lang w:val="it-IT"/>
              </w:rPr>
            </w:pPr>
            <w:r w:rsidRPr="00295E71">
              <w:rPr>
                <w:lang w:val="it-IT"/>
              </w:rPr>
              <w:t>Embolia polmonare</w:t>
            </w:r>
            <w:r w:rsidRPr="00C04163">
              <w:rPr>
                <w:lang w:val="it-IT"/>
              </w:rPr>
              <w:t>1)</w:t>
            </w:r>
            <w:r w:rsidRPr="00295E71">
              <w:rPr>
                <w:lang w:val="it-IT"/>
              </w:rPr>
              <w:t>,</w:t>
            </w:r>
          </w:p>
          <w:p w:rsidR="00C04163" w:rsidRPr="00295E71" w:rsidP="00C04163" w14:paraId="69F17528" w14:textId="77777777">
            <w:pPr>
              <w:pStyle w:val="EMEANormal"/>
              <w:widowControl w:val="0"/>
              <w:spacing w:before="60"/>
              <w:rPr>
                <w:lang w:val="it-IT"/>
              </w:rPr>
            </w:pPr>
            <w:r w:rsidRPr="00295E71">
              <w:rPr>
                <w:lang w:val="it-IT"/>
              </w:rPr>
              <w:t>interstiziopatia polmonare,</w:t>
            </w:r>
          </w:p>
          <w:p w:rsidR="00C04163" w:rsidRPr="00295E71" w:rsidP="00C04163" w14:paraId="6F2876BD" w14:textId="77777777">
            <w:pPr>
              <w:pStyle w:val="EMEANormal"/>
              <w:widowControl w:val="0"/>
              <w:spacing w:before="60"/>
              <w:rPr>
                <w:lang w:val="it-IT"/>
              </w:rPr>
            </w:pPr>
            <w:r w:rsidRPr="00295E71">
              <w:rPr>
                <w:lang w:val="it-IT"/>
              </w:rPr>
              <w:t>malattia polmonare cronica ostruttiva,</w:t>
            </w:r>
          </w:p>
          <w:p w:rsidR="00C04163" w:rsidRPr="00295E71" w:rsidP="00C04163" w14:paraId="7E60307C" w14:textId="77777777">
            <w:pPr>
              <w:pStyle w:val="EMEANormal"/>
              <w:widowControl w:val="0"/>
              <w:spacing w:before="60"/>
              <w:rPr>
                <w:lang w:val="it-IT"/>
              </w:rPr>
            </w:pPr>
            <w:r w:rsidRPr="00295E71">
              <w:rPr>
                <w:lang w:val="it-IT"/>
              </w:rPr>
              <w:t>polmonite,</w:t>
            </w:r>
          </w:p>
          <w:p w:rsidR="00C04163" w:rsidRPr="00295E71" w:rsidP="00C04163" w14:paraId="4B3100C1" w14:textId="77777777">
            <w:pPr>
              <w:pStyle w:val="EMEANormal"/>
              <w:widowControl w:val="0"/>
              <w:spacing w:before="60"/>
              <w:rPr>
                <w:lang w:val="it-IT"/>
              </w:rPr>
            </w:pPr>
            <w:r w:rsidRPr="00295E71">
              <w:rPr>
                <w:lang w:val="it-IT"/>
              </w:rPr>
              <w:t>effusione pleurica</w:t>
            </w:r>
            <w:r w:rsidRPr="00C04163">
              <w:rPr>
                <w:lang w:val="it-IT"/>
              </w:rPr>
              <w:t>1)</w:t>
            </w:r>
          </w:p>
          <w:p w:rsidR="00C04163" w:rsidRPr="00295E71" w:rsidP="00C04163" w14:paraId="31F6C1C2" w14:textId="77777777">
            <w:pPr>
              <w:pStyle w:val="EMEANormal"/>
              <w:widowControl w:val="0"/>
              <w:spacing w:before="60"/>
              <w:rPr>
                <w:lang w:val="it-IT"/>
              </w:rPr>
            </w:pPr>
          </w:p>
        </w:tc>
      </w:tr>
      <w:tr w14:paraId="68FF744B" w14:textId="77777777" w:rsidTr="00C04163">
        <w:tblPrEx>
          <w:tblW w:w="0" w:type="auto"/>
          <w:tblLook w:val="01E0"/>
        </w:tblPrEx>
        <w:trPr>
          <w:cantSplit/>
        </w:trPr>
        <w:tc>
          <w:tcPr>
            <w:tcW w:w="2559" w:type="dxa"/>
            <w:vMerge/>
          </w:tcPr>
          <w:p w:rsidR="00C04163" w:rsidRPr="00295E71" w:rsidP="00C04163" w14:paraId="165FF394"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A102E02" w14:textId="77777777">
            <w:pPr>
              <w:pStyle w:val="EMEANormal"/>
              <w:widowControl w:val="0"/>
              <w:spacing w:before="60"/>
              <w:rPr>
                <w:lang w:val="it-IT"/>
              </w:rPr>
            </w:pPr>
            <w:r w:rsidRPr="00295E71">
              <w:rPr>
                <w:lang w:val="it-IT"/>
              </w:rPr>
              <w:t>Raro</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C04163" w:rsidP="00C04163" w14:paraId="59C1FA3C" w14:textId="77777777">
            <w:pPr>
              <w:pStyle w:val="EMEANormal"/>
              <w:widowControl w:val="0"/>
              <w:spacing w:before="60"/>
              <w:rPr>
                <w:lang w:val="it-IT"/>
              </w:rPr>
            </w:pPr>
            <w:r w:rsidRPr="00295E71">
              <w:rPr>
                <w:lang w:val="it-IT"/>
              </w:rPr>
              <w:t>Fibrosi polmonare</w:t>
            </w:r>
            <w:r w:rsidRPr="00C04163">
              <w:rPr>
                <w:lang w:val="it-IT"/>
              </w:rPr>
              <w:t>1)</w:t>
            </w:r>
          </w:p>
          <w:p w:rsidR="00C04163" w:rsidRPr="00295E71" w:rsidP="00C04163" w14:paraId="01A9C537" w14:textId="77777777">
            <w:pPr>
              <w:pStyle w:val="EMEANormal"/>
              <w:widowControl w:val="0"/>
              <w:spacing w:before="60"/>
              <w:rPr>
                <w:lang w:val="it-IT"/>
              </w:rPr>
            </w:pPr>
          </w:p>
        </w:tc>
      </w:tr>
      <w:tr w14:paraId="22334E39" w14:textId="77777777" w:rsidTr="00C04163">
        <w:tblPrEx>
          <w:tblW w:w="0" w:type="auto"/>
          <w:tblLook w:val="01E0"/>
        </w:tblPrEx>
        <w:trPr>
          <w:cantSplit/>
        </w:trPr>
        <w:tc>
          <w:tcPr>
            <w:tcW w:w="2559" w:type="dxa"/>
            <w:vMerge w:val="restart"/>
          </w:tcPr>
          <w:p w:rsidR="00C04163" w:rsidRPr="00295E71" w:rsidP="00C04163" w14:paraId="2B1D4C9F" w14:textId="77777777">
            <w:pPr>
              <w:pStyle w:val="EMEANormal"/>
              <w:widowControl w:val="0"/>
              <w:spacing w:before="60"/>
              <w:rPr>
                <w:lang w:val="it-IT"/>
              </w:rPr>
            </w:pPr>
            <w:r w:rsidRPr="00295E71">
              <w:rPr>
                <w:lang w:val="it-IT"/>
              </w:rPr>
              <w:t>Patologie gastrointestinali</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1E1139DE" w14:textId="77777777">
            <w:pPr>
              <w:pStyle w:val="EMEANormal"/>
              <w:widowControl w:val="0"/>
              <w:spacing w:before="60"/>
              <w:rPr>
                <w:lang w:val="it-IT"/>
              </w:rPr>
            </w:pPr>
            <w:r w:rsidRPr="00295E71">
              <w:rPr>
                <w:lang w:val="it-IT"/>
              </w:rPr>
              <w:t>Molto comune</w:t>
            </w:r>
          </w:p>
          <w:p w:rsidR="00C04163" w:rsidRPr="00295E71" w:rsidP="00C04163" w14:paraId="15E5C5C7"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2AE12BC0" w14:textId="77777777">
            <w:pPr>
              <w:pStyle w:val="EMEANormal"/>
              <w:widowControl w:val="0"/>
              <w:spacing w:before="60"/>
              <w:rPr>
                <w:lang w:val="it-IT"/>
              </w:rPr>
            </w:pPr>
            <w:r w:rsidRPr="00295E71">
              <w:rPr>
                <w:lang w:val="it-IT"/>
              </w:rPr>
              <w:t xml:space="preserve">Dolore addominale, </w:t>
            </w:r>
          </w:p>
          <w:p w:rsidR="00C04163" w:rsidRPr="00295E71" w:rsidP="00C04163" w14:paraId="1B583108" w14:textId="77777777">
            <w:pPr>
              <w:pStyle w:val="EMEANormal"/>
              <w:widowControl w:val="0"/>
              <w:spacing w:before="60"/>
              <w:rPr>
                <w:lang w:val="it-IT"/>
              </w:rPr>
            </w:pPr>
            <w:r w:rsidRPr="00295E71">
              <w:rPr>
                <w:lang w:val="it-IT"/>
              </w:rPr>
              <w:t>nausea e vomito</w:t>
            </w:r>
          </w:p>
          <w:p w:rsidR="00C04163" w:rsidRPr="00295E71" w:rsidP="00C04163" w14:paraId="215DAFF0" w14:textId="77777777">
            <w:pPr>
              <w:pStyle w:val="EMEANormal"/>
              <w:widowControl w:val="0"/>
              <w:spacing w:before="60"/>
              <w:rPr>
                <w:lang w:val="it-IT"/>
              </w:rPr>
            </w:pPr>
          </w:p>
        </w:tc>
      </w:tr>
      <w:tr w14:paraId="024DE5C1" w14:textId="77777777" w:rsidTr="00C04163">
        <w:tblPrEx>
          <w:tblW w:w="0" w:type="auto"/>
          <w:tblLook w:val="01E0"/>
        </w:tblPrEx>
        <w:trPr>
          <w:cantSplit/>
        </w:trPr>
        <w:tc>
          <w:tcPr>
            <w:tcW w:w="2559" w:type="dxa"/>
            <w:vMerge/>
          </w:tcPr>
          <w:p w:rsidR="00C04163" w:rsidRPr="00295E71" w:rsidP="00C04163" w14:paraId="254CB7DA"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B35E331" w14:textId="77777777">
            <w:pPr>
              <w:pStyle w:val="EMEANormal"/>
              <w:widowControl w:val="0"/>
              <w:spacing w:before="60"/>
              <w:rPr>
                <w:lang w:val="it-IT"/>
              </w:rPr>
            </w:pPr>
            <w:r w:rsidRPr="00295E71">
              <w:rPr>
                <w:lang w:val="it-IT"/>
              </w:rPr>
              <w:t>Comune</w:t>
            </w:r>
          </w:p>
          <w:p w:rsidR="00C04163" w:rsidRPr="00295E71" w:rsidP="00C04163" w14:paraId="2D597CBC"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5D12F909" w14:textId="77777777">
            <w:pPr>
              <w:pStyle w:val="EMEANormal"/>
              <w:widowControl w:val="0"/>
              <w:spacing w:before="60"/>
              <w:rPr>
                <w:lang w:val="it-IT"/>
              </w:rPr>
            </w:pPr>
            <w:r w:rsidRPr="00295E71">
              <w:rPr>
                <w:lang w:val="it-IT"/>
              </w:rPr>
              <w:t xml:space="preserve">Emorragia gastrointestinale, </w:t>
            </w:r>
          </w:p>
          <w:p w:rsidR="00C04163" w:rsidRPr="00295E71" w:rsidP="00C04163" w14:paraId="3BE8A5B6" w14:textId="77777777">
            <w:pPr>
              <w:pStyle w:val="EMEANormal"/>
              <w:widowControl w:val="0"/>
              <w:spacing w:before="60"/>
              <w:rPr>
                <w:lang w:val="it-IT"/>
              </w:rPr>
            </w:pPr>
            <w:r w:rsidRPr="00295E71">
              <w:rPr>
                <w:lang w:val="it-IT"/>
              </w:rPr>
              <w:t>dispepsia,</w:t>
            </w:r>
          </w:p>
          <w:p w:rsidR="00C04163" w:rsidRPr="00295E71" w:rsidP="00C04163" w14:paraId="672A0FFB" w14:textId="77777777">
            <w:pPr>
              <w:pStyle w:val="EMEANormal"/>
              <w:widowControl w:val="0"/>
              <w:spacing w:before="60"/>
              <w:rPr>
                <w:lang w:val="it-IT"/>
              </w:rPr>
            </w:pPr>
            <w:r w:rsidRPr="00295E71">
              <w:rPr>
                <w:lang w:val="it-IT"/>
              </w:rPr>
              <w:t>malattia da reflusso gastroesofageo,</w:t>
            </w:r>
          </w:p>
          <w:p w:rsidR="00C04163" w:rsidRPr="00295E71" w:rsidP="00C04163" w14:paraId="53B3FA5B" w14:textId="77777777">
            <w:pPr>
              <w:pStyle w:val="EMEANormal"/>
              <w:widowControl w:val="0"/>
              <w:spacing w:before="60"/>
              <w:rPr>
                <w:lang w:val="it-IT"/>
              </w:rPr>
            </w:pPr>
            <w:r w:rsidRPr="00295E71">
              <w:rPr>
                <w:lang w:val="it-IT"/>
              </w:rPr>
              <w:t>sindrome sicca</w:t>
            </w:r>
          </w:p>
          <w:p w:rsidR="00C04163" w:rsidRPr="00295E71" w:rsidP="00C04163" w14:paraId="3A985DA9" w14:textId="77777777">
            <w:pPr>
              <w:pStyle w:val="EMEANormal"/>
              <w:widowControl w:val="0"/>
              <w:spacing w:before="60"/>
              <w:rPr>
                <w:lang w:val="it-IT"/>
              </w:rPr>
            </w:pPr>
          </w:p>
        </w:tc>
      </w:tr>
      <w:tr w14:paraId="0E98BCE6" w14:textId="77777777" w:rsidTr="00C04163">
        <w:tblPrEx>
          <w:tblW w:w="0" w:type="auto"/>
          <w:tblLook w:val="01E0"/>
        </w:tblPrEx>
        <w:trPr>
          <w:cantSplit/>
        </w:trPr>
        <w:tc>
          <w:tcPr>
            <w:tcW w:w="2559" w:type="dxa"/>
            <w:vMerge/>
          </w:tcPr>
          <w:p w:rsidR="00C04163" w:rsidRPr="00295E71" w:rsidP="00C04163" w14:paraId="0173C9ED"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52162E0A" w14:textId="77777777">
            <w:pPr>
              <w:pStyle w:val="EMEANormal"/>
              <w:widowControl w:val="0"/>
              <w:spacing w:before="60"/>
              <w:rPr>
                <w:lang w:val="it-IT"/>
              </w:rPr>
            </w:pPr>
            <w:r w:rsidRPr="00295E71">
              <w:rPr>
                <w:lang w:val="it-IT"/>
              </w:rPr>
              <w:t>Non comune</w:t>
            </w:r>
          </w:p>
          <w:p w:rsidR="00C04163" w:rsidRPr="00295E71" w:rsidP="00C04163" w14:paraId="37F11529"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6C5A355" w14:textId="77777777">
            <w:pPr>
              <w:pStyle w:val="EMEANormal"/>
              <w:widowControl w:val="0"/>
              <w:spacing w:before="60"/>
              <w:rPr>
                <w:lang w:val="it-IT"/>
              </w:rPr>
            </w:pPr>
            <w:r w:rsidRPr="00295E71">
              <w:rPr>
                <w:lang w:val="it-IT"/>
              </w:rPr>
              <w:t xml:space="preserve">Pancreatite, </w:t>
            </w:r>
          </w:p>
          <w:p w:rsidR="00C04163" w:rsidRPr="00295E71" w:rsidP="00C04163" w14:paraId="5717BAC3" w14:textId="77777777">
            <w:pPr>
              <w:pStyle w:val="EMEANormal"/>
              <w:widowControl w:val="0"/>
              <w:spacing w:before="60"/>
              <w:rPr>
                <w:lang w:val="it-IT"/>
              </w:rPr>
            </w:pPr>
            <w:r w:rsidRPr="00295E71">
              <w:rPr>
                <w:lang w:val="it-IT"/>
              </w:rPr>
              <w:t>disfagia</w:t>
            </w:r>
          </w:p>
          <w:p w:rsidR="00C04163" w:rsidRPr="00295E71" w:rsidP="00C04163" w14:paraId="44649E3C" w14:textId="77777777">
            <w:pPr>
              <w:pStyle w:val="EMEANormal"/>
              <w:widowControl w:val="0"/>
              <w:spacing w:before="60"/>
              <w:rPr>
                <w:lang w:val="it-IT"/>
              </w:rPr>
            </w:pPr>
            <w:r w:rsidRPr="00295E71">
              <w:rPr>
                <w:lang w:val="it-IT"/>
              </w:rPr>
              <w:t>edema facciale</w:t>
            </w:r>
          </w:p>
          <w:p w:rsidR="00C04163" w:rsidRPr="00295E71" w:rsidP="00C04163" w14:paraId="63174401" w14:textId="77777777">
            <w:pPr>
              <w:pStyle w:val="EMEANormal"/>
              <w:widowControl w:val="0"/>
              <w:spacing w:before="60"/>
              <w:rPr>
                <w:lang w:val="it-IT"/>
              </w:rPr>
            </w:pPr>
          </w:p>
        </w:tc>
      </w:tr>
      <w:tr w14:paraId="02BF4A4C" w14:textId="77777777" w:rsidTr="00C04163">
        <w:tblPrEx>
          <w:tblW w:w="0" w:type="auto"/>
          <w:tblLook w:val="01E0"/>
        </w:tblPrEx>
        <w:trPr>
          <w:cantSplit/>
        </w:trPr>
        <w:tc>
          <w:tcPr>
            <w:tcW w:w="2559" w:type="dxa"/>
            <w:vMerge/>
          </w:tcPr>
          <w:p w:rsidR="00C04163" w:rsidRPr="00295E71" w:rsidP="00C04163" w14:paraId="14937190"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7786904" w14:textId="77777777">
            <w:pPr>
              <w:pStyle w:val="EMEANormal"/>
              <w:widowControl w:val="0"/>
              <w:spacing w:before="60"/>
              <w:rPr>
                <w:lang w:val="it-IT"/>
              </w:rPr>
            </w:pPr>
            <w:r w:rsidRPr="00295E71">
              <w:rPr>
                <w:lang w:val="it-IT"/>
              </w:rPr>
              <w:t>Raro</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C04163" w:rsidP="00C04163" w14:paraId="6161B823" w14:textId="77777777">
            <w:pPr>
              <w:pStyle w:val="EMEANormal"/>
              <w:widowControl w:val="0"/>
              <w:spacing w:before="60"/>
              <w:rPr>
                <w:lang w:val="it-IT"/>
              </w:rPr>
            </w:pPr>
            <w:r>
              <w:rPr>
                <w:lang w:val="it-IT"/>
              </w:rPr>
              <w:t>P</w:t>
            </w:r>
            <w:r w:rsidRPr="00295E71">
              <w:rPr>
                <w:lang w:val="it-IT"/>
              </w:rPr>
              <w:t>erforazione intestinale</w:t>
            </w:r>
            <w:r w:rsidRPr="00C04163">
              <w:rPr>
                <w:lang w:val="it-IT"/>
              </w:rPr>
              <w:t>1)</w:t>
            </w:r>
          </w:p>
          <w:p w:rsidR="00C04163" w:rsidRPr="00295E71" w:rsidP="00C04163" w14:paraId="7CE1EFF3" w14:textId="77777777">
            <w:pPr>
              <w:pStyle w:val="EMEANormal"/>
              <w:widowControl w:val="0"/>
              <w:spacing w:before="60"/>
              <w:rPr>
                <w:lang w:val="it-IT"/>
              </w:rPr>
            </w:pPr>
          </w:p>
        </w:tc>
      </w:tr>
      <w:tr w14:paraId="06D457F0" w14:textId="77777777" w:rsidTr="00C04163">
        <w:tblPrEx>
          <w:tblW w:w="0" w:type="auto"/>
          <w:tblLook w:val="01E0"/>
        </w:tblPrEx>
        <w:trPr>
          <w:cantSplit/>
        </w:trPr>
        <w:tc>
          <w:tcPr>
            <w:tcW w:w="2559" w:type="dxa"/>
            <w:vMerge w:val="restart"/>
          </w:tcPr>
          <w:p w:rsidR="00C04163" w:rsidRPr="00295E71" w:rsidP="00C04163" w14:paraId="7F91F363" w14:textId="77777777">
            <w:pPr>
              <w:pStyle w:val="EMEANormal"/>
              <w:widowControl w:val="0"/>
              <w:spacing w:before="60"/>
              <w:rPr>
                <w:lang w:val="it-IT"/>
              </w:rPr>
            </w:pPr>
            <w:r w:rsidRPr="00295E71">
              <w:rPr>
                <w:lang w:val="it-IT"/>
              </w:rPr>
              <w:t>Patologie epatobiliari*</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1D331C7F" w14:textId="77777777">
            <w:pPr>
              <w:pStyle w:val="EMEANormal"/>
              <w:widowControl w:val="0"/>
              <w:spacing w:before="60"/>
              <w:rPr>
                <w:lang w:val="it-IT"/>
              </w:rPr>
            </w:pPr>
            <w:r w:rsidRPr="00295E71">
              <w:rPr>
                <w:lang w:val="it-IT"/>
              </w:rPr>
              <w:t>Molto comune</w:t>
            </w:r>
          </w:p>
          <w:p w:rsidR="00C04163" w:rsidRPr="00295E71" w:rsidP="00C04163" w14:paraId="4CD90489"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C8FD1CA" w14:textId="77777777">
            <w:pPr>
              <w:pStyle w:val="EMEANormal"/>
              <w:widowControl w:val="0"/>
              <w:spacing w:before="60"/>
              <w:rPr>
                <w:lang w:val="it-IT"/>
              </w:rPr>
            </w:pPr>
            <w:r w:rsidRPr="00295E71">
              <w:rPr>
                <w:lang w:val="it-IT"/>
              </w:rPr>
              <w:t>Aumento degli enzimi epatici</w:t>
            </w:r>
          </w:p>
          <w:p w:rsidR="00C04163" w:rsidRPr="00295E71" w:rsidP="00C04163" w14:paraId="746FF9F0" w14:textId="77777777">
            <w:pPr>
              <w:pStyle w:val="EMEANormal"/>
              <w:widowControl w:val="0"/>
              <w:spacing w:before="60"/>
              <w:rPr>
                <w:lang w:val="it-IT"/>
              </w:rPr>
            </w:pPr>
          </w:p>
        </w:tc>
      </w:tr>
      <w:tr w14:paraId="5AE99A5A" w14:textId="77777777" w:rsidTr="00C04163">
        <w:tblPrEx>
          <w:tblW w:w="0" w:type="auto"/>
          <w:tblLook w:val="01E0"/>
        </w:tblPrEx>
        <w:trPr>
          <w:cantSplit/>
        </w:trPr>
        <w:tc>
          <w:tcPr>
            <w:tcW w:w="2559" w:type="dxa"/>
            <w:vMerge/>
          </w:tcPr>
          <w:p w:rsidR="00C04163" w:rsidRPr="00295E71" w:rsidP="00C04163" w14:paraId="1B3E4D75" w14:textId="77777777">
            <w:pPr>
              <w:pStyle w:val="EMEANormal"/>
              <w:widowControl w:val="0"/>
              <w:spacing w:before="60"/>
              <w:rPr>
                <w:lang w:val="it-IT"/>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402E4EFB" w14:textId="77777777">
            <w:pPr>
              <w:pStyle w:val="EMEANormal"/>
              <w:widowControl w:val="0"/>
              <w:spacing w:before="60"/>
              <w:rPr>
                <w:lang w:val="it-IT"/>
              </w:rPr>
            </w:pPr>
            <w:r w:rsidRPr="00295E71">
              <w:rPr>
                <w:lang w:val="it-IT"/>
              </w:rPr>
              <w:t>Non comune</w:t>
            </w:r>
          </w:p>
          <w:p w:rsidR="00C04163" w:rsidRPr="00295E71" w:rsidP="00C04163" w14:paraId="4B98C5FB"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EEFFD02" w14:textId="77777777">
            <w:pPr>
              <w:pStyle w:val="EMEANormal"/>
              <w:widowControl w:val="0"/>
              <w:spacing w:before="60"/>
              <w:rPr>
                <w:lang w:val="it-IT"/>
              </w:rPr>
            </w:pPr>
            <w:r w:rsidRPr="00295E71">
              <w:rPr>
                <w:lang w:val="it-IT"/>
              </w:rPr>
              <w:t xml:space="preserve">Colecistite e colelitiasi, </w:t>
            </w:r>
          </w:p>
          <w:p w:rsidR="00C04163" w:rsidRPr="00295E71" w:rsidP="00C04163" w14:paraId="17CA12DD" w14:textId="77777777">
            <w:pPr>
              <w:pStyle w:val="EMEANormal"/>
              <w:widowControl w:val="0"/>
              <w:spacing w:before="60"/>
              <w:rPr>
                <w:lang w:val="it-IT"/>
              </w:rPr>
            </w:pPr>
            <w:r w:rsidRPr="00295E71">
              <w:rPr>
                <w:lang w:val="it-IT"/>
              </w:rPr>
              <w:t>steatosi epatica,</w:t>
            </w:r>
          </w:p>
          <w:p w:rsidR="00C04163" w:rsidRPr="00295E71" w:rsidP="00C04163" w14:paraId="3E4279A8" w14:textId="77777777">
            <w:pPr>
              <w:pStyle w:val="EMEANormal"/>
              <w:widowControl w:val="0"/>
              <w:spacing w:before="60"/>
              <w:rPr>
                <w:lang w:val="it-IT"/>
              </w:rPr>
            </w:pPr>
            <w:r w:rsidRPr="00295E71">
              <w:rPr>
                <w:lang w:val="it-IT"/>
              </w:rPr>
              <w:t>aumento della bilirubina</w:t>
            </w:r>
          </w:p>
          <w:p w:rsidR="00C04163" w:rsidRPr="00295E71" w:rsidP="00C04163" w14:paraId="174205EA" w14:textId="77777777">
            <w:pPr>
              <w:pStyle w:val="EMEANormal"/>
              <w:widowControl w:val="0"/>
              <w:spacing w:before="60"/>
              <w:rPr>
                <w:lang w:val="it-IT"/>
              </w:rPr>
            </w:pPr>
          </w:p>
        </w:tc>
      </w:tr>
      <w:tr w14:paraId="0D359C95" w14:textId="77777777" w:rsidTr="00C04163">
        <w:tblPrEx>
          <w:tblW w:w="0" w:type="auto"/>
          <w:tblLook w:val="01E0"/>
        </w:tblPrEx>
        <w:trPr>
          <w:cantSplit/>
        </w:trPr>
        <w:tc>
          <w:tcPr>
            <w:tcW w:w="2559" w:type="dxa"/>
            <w:vMerge/>
          </w:tcPr>
          <w:p w:rsidR="00C04163" w:rsidRPr="00295E71" w:rsidP="00C04163" w14:paraId="4ED35F50" w14:textId="77777777">
            <w:pPr>
              <w:pStyle w:val="EMEANormal"/>
              <w:widowControl w:val="0"/>
              <w:spacing w:before="60"/>
              <w:rPr>
                <w:lang w:val="it-IT"/>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1DFC5A21" w14:textId="77777777">
            <w:pPr>
              <w:pStyle w:val="EMEANormal"/>
              <w:widowControl w:val="0"/>
              <w:spacing w:before="60"/>
              <w:rPr>
                <w:lang w:val="it-IT"/>
              </w:rPr>
            </w:pPr>
            <w:r w:rsidRPr="00295E71">
              <w:rPr>
                <w:lang w:val="it-IT"/>
              </w:rPr>
              <w:t>Raro</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51A6433" w14:textId="77777777">
            <w:pPr>
              <w:pStyle w:val="EMEANormal"/>
              <w:widowControl w:val="0"/>
              <w:spacing w:before="60"/>
              <w:rPr>
                <w:lang w:val="it-IT"/>
              </w:rPr>
            </w:pPr>
            <w:r w:rsidRPr="00295E71">
              <w:rPr>
                <w:lang w:val="it-IT"/>
              </w:rPr>
              <w:t>Epatite</w:t>
            </w:r>
          </w:p>
          <w:p w:rsidR="00C04163" w:rsidRPr="00C04163" w:rsidP="00C04163" w14:paraId="1082EBEC" w14:textId="77777777">
            <w:pPr>
              <w:pStyle w:val="EMEANormal"/>
              <w:widowControl w:val="0"/>
              <w:spacing w:before="60"/>
              <w:rPr>
                <w:lang w:val="it-IT"/>
              </w:rPr>
            </w:pPr>
            <w:r w:rsidRPr="00295E71">
              <w:rPr>
                <w:lang w:val="it-IT"/>
              </w:rPr>
              <w:t xml:space="preserve">riattivazione </w:t>
            </w:r>
            <w:r>
              <w:rPr>
                <w:lang w:val="it-IT"/>
              </w:rPr>
              <w:t>dell’</w:t>
            </w:r>
            <w:r w:rsidRPr="00295E71">
              <w:rPr>
                <w:lang w:val="it-IT"/>
              </w:rPr>
              <w:t xml:space="preserve">epatite B </w:t>
            </w:r>
            <w:r w:rsidRPr="00C04163">
              <w:rPr>
                <w:lang w:val="it-IT"/>
              </w:rPr>
              <w:t>1)</w:t>
            </w:r>
            <w:r w:rsidRPr="00295E71">
              <w:rPr>
                <w:lang w:val="it-IT"/>
              </w:rPr>
              <w:t>,</w:t>
            </w:r>
          </w:p>
          <w:p w:rsidR="00C04163" w:rsidRPr="00C04163" w:rsidP="00C04163" w14:paraId="09A165B9" w14:textId="77777777">
            <w:pPr>
              <w:pStyle w:val="EMEANormal"/>
              <w:widowControl w:val="0"/>
              <w:spacing w:before="60"/>
              <w:rPr>
                <w:lang w:val="it-IT"/>
              </w:rPr>
            </w:pPr>
            <w:r w:rsidRPr="00295E71">
              <w:rPr>
                <w:lang w:val="it-IT"/>
              </w:rPr>
              <w:t xml:space="preserve">epatite autoimmune </w:t>
            </w:r>
            <w:r w:rsidRPr="00C04163">
              <w:rPr>
                <w:lang w:val="it-IT"/>
              </w:rPr>
              <w:t>1)</w:t>
            </w:r>
          </w:p>
          <w:p w:rsidR="00C04163" w:rsidRPr="00295E71" w:rsidP="00C04163" w14:paraId="0FC82B66" w14:textId="77777777">
            <w:pPr>
              <w:pStyle w:val="EMEANormal"/>
              <w:widowControl w:val="0"/>
              <w:spacing w:before="60"/>
              <w:rPr>
                <w:lang w:val="it-IT"/>
              </w:rPr>
            </w:pPr>
          </w:p>
        </w:tc>
      </w:tr>
      <w:tr w14:paraId="2A3C919B" w14:textId="77777777" w:rsidTr="00C04163">
        <w:tblPrEx>
          <w:tblW w:w="0" w:type="auto"/>
          <w:tblLook w:val="01E0"/>
        </w:tblPrEx>
        <w:trPr>
          <w:cantSplit/>
        </w:trPr>
        <w:tc>
          <w:tcPr>
            <w:tcW w:w="2559" w:type="dxa"/>
            <w:vMerge/>
          </w:tcPr>
          <w:p w:rsidR="00C04163" w:rsidRPr="00295E71" w:rsidP="00C04163" w14:paraId="5CC4C044" w14:textId="77777777">
            <w:pPr>
              <w:pStyle w:val="EMEANormal"/>
              <w:widowControl w:val="0"/>
              <w:spacing w:before="60"/>
              <w:rPr>
                <w:lang w:val="it-IT"/>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310DD21" w14:textId="77777777">
            <w:pPr>
              <w:pStyle w:val="EMEANormal"/>
              <w:widowControl w:val="0"/>
              <w:spacing w:before="60"/>
              <w:rPr>
                <w:lang w:val="it-IT"/>
              </w:rPr>
            </w:pPr>
            <w:r w:rsidRPr="00295E71">
              <w:rPr>
                <w:lang w:val="it-IT"/>
              </w:rPr>
              <w:t>Non nota</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C04163" w:rsidP="00C04163" w14:paraId="38FFE819" w14:textId="77777777">
            <w:pPr>
              <w:pStyle w:val="EMEANormal"/>
              <w:widowControl w:val="0"/>
              <w:spacing w:before="60"/>
              <w:rPr>
                <w:lang w:val="it-IT"/>
              </w:rPr>
            </w:pPr>
            <w:r w:rsidRPr="00295E71">
              <w:rPr>
                <w:lang w:val="it-IT"/>
              </w:rPr>
              <w:t xml:space="preserve">Insufficienza epatica </w:t>
            </w:r>
            <w:r w:rsidRPr="00C04163">
              <w:rPr>
                <w:lang w:val="it-IT"/>
              </w:rPr>
              <w:t>1)</w:t>
            </w:r>
          </w:p>
          <w:p w:rsidR="00C04163" w:rsidRPr="00295E71" w:rsidP="00C04163" w14:paraId="4C77C7E6" w14:textId="77777777">
            <w:pPr>
              <w:pStyle w:val="EMEANormal"/>
              <w:widowControl w:val="0"/>
              <w:spacing w:before="60"/>
              <w:rPr>
                <w:lang w:val="it-IT"/>
              </w:rPr>
            </w:pPr>
          </w:p>
        </w:tc>
      </w:tr>
      <w:tr w14:paraId="7B665AE3" w14:textId="77777777" w:rsidTr="00C04163">
        <w:tblPrEx>
          <w:tblW w:w="0" w:type="auto"/>
          <w:tblLook w:val="01E0"/>
        </w:tblPrEx>
        <w:trPr>
          <w:cantSplit/>
        </w:trPr>
        <w:tc>
          <w:tcPr>
            <w:tcW w:w="2559" w:type="dxa"/>
          </w:tcPr>
          <w:p w:rsidR="00C04163" w:rsidRPr="00295E71" w:rsidP="00C04163" w14:paraId="70AAB2FC" w14:textId="77777777">
            <w:pPr>
              <w:pStyle w:val="IndexHeading"/>
              <w:widowControl w:val="0"/>
              <w:tabs>
                <w:tab w:val="clear" w:pos="567"/>
              </w:tabs>
              <w:spacing w:before="120" w:after="120" w:line="240" w:lineRule="auto"/>
              <w:jc w:val="center"/>
              <w:rPr>
                <w:rFonts w:ascii="Times New Roman" w:hAnsi="Times New Roman" w:cs="Times New Roman"/>
                <w:lang w:val="it-IT" w:eastAsia="it-IT"/>
              </w:rPr>
            </w:pPr>
            <w:r w:rsidRPr="00295E71">
              <w:rPr>
                <w:rFonts w:ascii="Times New Roman" w:hAnsi="Times New Roman" w:cs="Times New Roman"/>
                <w:lang w:val="it-IT" w:eastAsia="it-IT"/>
              </w:rPr>
              <w:t>Classificazione per sistemi e organi</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C04163" w:rsidP="00C04163" w14:paraId="5FA158EB" w14:textId="77777777">
            <w:pPr>
              <w:pStyle w:val="EMEANormal"/>
              <w:spacing w:before="60"/>
              <w:rPr>
                <w:lang w:val="it-IT"/>
              </w:rPr>
            </w:pPr>
            <w:r w:rsidRPr="00295E71">
              <w:rPr>
                <w:lang w:val="it-IT"/>
              </w:rPr>
              <w:t>Frequenza</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C04163" w:rsidP="00C04163" w14:paraId="4BDD1473" w14:textId="77777777">
            <w:pPr>
              <w:pStyle w:val="EMEANormal"/>
              <w:spacing w:before="60"/>
              <w:rPr>
                <w:lang w:val="it-IT"/>
              </w:rPr>
            </w:pPr>
            <w:r w:rsidRPr="00295E71">
              <w:rPr>
                <w:lang w:val="it-IT"/>
              </w:rPr>
              <w:t>Reazione avversa</w:t>
            </w:r>
          </w:p>
        </w:tc>
      </w:tr>
      <w:tr w14:paraId="0BB9C2AC" w14:textId="77777777" w:rsidTr="00C04163">
        <w:tblPrEx>
          <w:tblW w:w="0" w:type="auto"/>
          <w:tblLook w:val="01E0"/>
        </w:tblPrEx>
        <w:trPr>
          <w:cantSplit/>
        </w:trPr>
        <w:tc>
          <w:tcPr>
            <w:tcW w:w="2559" w:type="dxa"/>
            <w:vMerge w:val="restart"/>
          </w:tcPr>
          <w:p w:rsidR="00C04163" w:rsidRPr="00295E71" w:rsidP="00C04163" w14:paraId="20B9B1E0" w14:textId="77777777">
            <w:pPr>
              <w:pStyle w:val="EMEANormal"/>
              <w:widowControl w:val="0"/>
              <w:spacing w:before="60"/>
              <w:rPr>
                <w:lang w:val="it-IT"/>
              </w:rPr>
            </w:pPr>
            <w:r w:rsidRPr="00295E71">
              <w:rPr>
                <w:lang w:val="it-IT"/>
              </w:rPr>
              <w:t>Patologie della cute e del tessuto sottocutaneo</w:t>
            </w: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EE99826" w14:textId="77777777">
            <w:pPr>
              <w:pStyle w:val="EMEANormal"/>
              <w:widowControl w:val="0"/>
              <w:spacing w:before="60"/>
              <w:rPr>
                <w:lang w:val="it-IT"/>
              </w:rPr>
            </w:pPr>
            <w:r w:rsidRPr="00295E71">
              <w:rPr>
                <w:lang w:val="it-IT"/>
              </w:rPr>
              <w:t>Molto comune</w:t>
            </w:r>
          </w:p>
          <w:p w:rsidR="00C04163" w:rsidRPr="00295E71" w:rsidP="00C04163" w14:paraId="327E9F01"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3EA6C1DB" w14:textId="77777777">
            <w:pPr>
              <w:pStyle w:val="EMEANormal"/>
              <w:widowControl w:val="0"/>
              <w:spacing w:before="60"/>
              <w:rPr>
                <w:lang w:val="it-IT"/>
              </w:rPr>
            </w:pPr>
            <w:r w:rsidRPr="00295E71">
              <w:rPr>
                <w:lang w:val="it-IT"/>
              </w:rPr>
              <w:t>Rash (tra cui rash esfoliativo)</w:t>
            </w:r>
          </w:p>
          <w:p w:rsidR="00C04163" w:rsidRPr="00295E71" w:rsidP="00C04163" w14:paraId="1E67B5E5" w14:textId="77777777">
            <w:pPr>
              <w:pStyle w:val="EMEANormal"/>
              <w:widowControl w:val="0"/>
              <w:spacing w:before="60"/>
              <w:rPr>
                <w:lang w:val="it-IT"/>
              </w:rPr>
            </w:pPr>
          </w:p>
        </w:tc>
      </w:tr>
      <w:tr w14:paraId="70777B3E" w14:textId="77777777" w:rsidTr="00C04163">
        <w:tblPrEx>
          <w:tblW w:w="0" w:type="auto"/>
          <w:tblLook w:val="01E0"/>
        </w:tblPrEx>
        <w:trPr>
          <w:cantSplit/>
        </w:trPr>
        <w:tc>
          <w:tcPr>
            <w:tcW w:w="2559" w:type="dxa"/>
            <w:vMerge/>
          </w:tcPr>
          <w:p w:rsidR="00C04163" w:rsidRPr="00295E71" w:rsidP="00C04163" w14:paraId="706E07F7"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48347382" w14:textId="77777777">
            <w:pPr>
              <w:pStyle w:val="EMEANormal"/>
              <w:widowControl w:val="0"/>
              <w:spacing w:before="60"/>
              <w:rPr>
                <w:lang w:val="it-IT"/>
              </w:rPr>
            </w:pPr>
            <w:r w:rsidRPr="00295E71">
              <w:rPr>
                <w:lang w:val="it-IT"/>
              </w:rPr>
              <w:t>Comune</w:t>
            </w:r>
          </w:p>
          <w:p w:rsidR="00C04163" w:rsidRPr="00295E71" w:rsidP="00C04163" w14:paraId="1F4027E8"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B47B569" w14:textId="77777777">
            <w:pPr>
              <w:pStyle w:val="EMEANormal"/>
              <w:widowControl w:val="0"/>
              <w:spacing w:before="60"/>
              <w:rPr>
                <w:lang w:val="it-IT"/>
              </w:rPr>
            </w:pPr>
          </w:p>
          <w:p w:rsidR="00C04163" w:rsidRPr="00295E71" w:rsidP="00C04163" w14:paraId="09077DF3" w14:textId="77777777">
            <w:pPr>
              <w:pStyle w:val="EMEANormal"/>
              <w:widowControl w:val="0"/>
              <w:spacing w:before="60"/>
              <w:rPr>
                <w:lang w:val="it-IT"/>
              </w:rPr>
            </w:pPr>
            <w:r w:rsidRPr="00295E71">
              <w:rPr>
                <w:lang w:val="it-IT"/>
              </w:rPr>
              <w:t>Peggioramento o insorgenza di psoriasi (tra cui psoriasi pustol</w:t>
            </w:r>
            <w:r>
              <w:rPr>
                <w:lang w:val="it-IT"/>
              </w:rPr>
              <w:t>osa</w:t>
            </w:r>
            <w:r w:rsidRPr="00295E71">
              <w:rPr>
                <w:lang w:val="it-IT"/>
              </w:rPr>
              <w:t xml:space="preserve"> palmoplantare)</w:t>
            </w:r>
            <w:r w:rsidRPr="00C04163">
              <w:rPr>
                <w:lang w:val="it-IT"/>
              </w:rPr>
              <w:t xml:space="preserve"> 1)</w:t>
            </w:r>
            <w:r w:rsidRPr="00295E71">
              <w:rPr>
                <w:lang w:val="it-IT"/>
              </w:rPr>
              <w:t>,</w:t>
            </w:r>
          </w:p>
          <w:p w:rsidR="00C04163" w:rsidRPr="00295E71" w:rsidP="00C04163" w14:paraId="7F77900A" w14:textId="77777777">
            <w:pPr>
              <w:pStyle w:val="EMEANormal"/>
              <w:widowControl w:val="0"/>
              <w:spacing w:before="60"/>
              <w:rPr>
                <w:lang w:val="it-IT"/>
              </w:rPr>
            </w:pPr>
            <w:r w:rsidRPr="00295E71">
              <w:rPr>
                <w:lang w:val="it-IT"/>
              </w:rPr>
              <w:t>orticaria,</w:t>
            </w:r>
          </w:p>
          <w:p w:rsidR="00C04163" w:rsidRPr="00295E71" w:rsidP="00C04163" w14:paraId="28DDDBC0" w14:textId="77777777">
            <w:pPr>
              <w:pStyle w:val="EMEANormal"/>
              <w:widowControl w:val="0"/>
              <w:spacing w:before="60"/>
              <w:rPr>
                <w:lang w:val="it-IT"/>
              </w:rPr>
            </w:pPr>
            <w:r w:rsidRPr="00295E71">
              <w:rPr>
                <w:lang w:val="it-IT"/>
              </w:rPr>
              <w:t xml:space="preserve">ecchimosi (tra cui porpora), </w:t>
            </w:r>
          </w:p>
          <w:p w:rsidR="00C04163" w:rsidRPr="00295E71" w:rsidP="00C04163" w14:paraId="62442200" w14:textId="77777777">
            <w:pPr>
              <w:pStyle w:val="EMEANormal"/>
              <w:widowControl w:val="0"/>
              <w:spacing w:before="60"/>
              <w:rPr>
                <w:lang w:val="it-IT"/>
              </w:rPr>
            </w:pPr>
            <w:r w:rsidRPr="00295E71">
              <w:rPr>
                <w:lang w:val="it-IT"/>
              </w:rPr>
              <w:t>dermatite (tra cui eczema),</w:t>
            </w:r>
          </w:p>
          <w:p w:rsidR="00C04163" w:rsidRPr="00295E71" w:rsidP="00C04163" w14:paraId="6AD93E40" w14:textId="77777777">
            <w:pPr>
              <w:pStyle w:val="EMEANormal"/>
              <w:widowControl w:val="0"/>
              <w:spacing w:before="60"/>
              <w:rPr>
                <w:lang w:val="it-IT"/>
              </w:rPr>
            </w:pPr>
            <w:r w:rsidRPr="00295E71">
              <w:rPr>
                <w:lang w:val="it-IT"/>
              </w:rPr>
              <w:t xml:space="preserve">onicoclasia, </w:t>
            </w:r>
          </w:p>
          <w:p w:rsidR="00C04163" w:rsidRPr="00295E71" w:rsidP="00C04163" w14:paraId="2B361ECD" w14:textId="77777777">
            <w:pPr>
              <w:pStyle w:val="EMEANormal"/>
              <w:widowControl w:val="0"/>
              <w:spacing w:before="60"/>
              <w:rPr>
                <w:lang w:val="it-IT"/>
              </w:rPr>
            </w:pPr>
            <w:r w:rsidRPr="00295E71">
              <w:rPr>
                <w:lang w:val="it-IT"/>
              </w:rPr>
              <w:t>iperidrosi,</w:t>
            </w:r>
          </w:p>
          <w:p w:rsidR="00C04163" w:rsidRPr="00295E71" w:rsidP="00C04163" w14:paraId="56487A8F" w14:textId="77777777">
            <w:pPr>
              <w:pStyle w:val="EMEANormal"/>
              <w:widowControl w:val="0"/>
              <w:spacing w:before="60"/>
              <w:rPr>
                <w:lang w:val="it-IT"/>
              </w:rPr>
            </w:pPr>
            <w:r w:rsidRPr="00295E71">
              <w:rPr>
                <w:lang w:val="it-IT"/>
              </w:rPr>
              <w:t>alopecia</w:t>
            </w:r>
            <w:r w:rsidRPr="00C04163">
              <w:rPr>
                <w:lang w:val="it-IT"/>
              </w:rPr>
              <w:t>1)</w:t>
            </w:r>
            <w:r w:rsidRPr="00295E71">
              <w:rPr>
                <w:lang w:val="it-IT"/>
              </w:rPr>
              <w:t>,</w:t>
            </w:r>
          </w:p>
          <w:p w:rsidR="00C04163" w:rsidRPr="00295E71" w:rsidP="00C04163" w14:paraId="3592A2DB" w14:textId="77777777">
            <w:pPr>
              <w:pStyle w:val="EMEANormal"/>
              <w:widowControl w:val="0"/>
              <w:spacing w:before="60"/>
              <w:rPr>
                <w:lang w:val="it-IT"/>
              </w:rPr>
            </w:pPr>
            <w:r w:rsidRPr="00295E71">
              <w:rPr>
                <w:lang w:val="it-IT"/>
              </w:rPr>
              <w:t>prurito</w:t>
            </w:r>
          </w:p>
          <w:p w:rsidR="00C04163" w:rsidRPr="00295E71" w:rsidP="00C04163" w14:paraId="557E7C68" w14:textId="77777777">
            <w:pPr>
              <w:pStyle w:val="EMEANormal"/>
              <w:widowControl w:val="0"/>
              <w:spacing w:before="60"/>
              <w:rPr>
                <w:lang w:val="it-IT"/>
              </w:rPr>
            </w:pPr>
          </w:p>
        </w:tc>
      </w:tr>
      <w:tr w14:paraId="0A81047C" w14:textId="77777777" w:rsidTr="00C04163">
        <w:tblPrEx>
          <w:tblW w:w="0" w:type="auto"/>
          <w:tblLook w:val="01E0"/>
        </w:tblPrEx>
        <w:trPr>
          <w:cantSplit/>
        </w:trPr>
        <w:tc>
          <w:tcPr>
            <w:tcW w:w="2559" w:type="dxa"/>
            <w:vMerge/>
          </w:tcPr>
          <w:p w:rsidR="00C04163" w:rsidRPr="00295E71" w:rsidP="00C04163" w14:paraId="32BFF515"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0929EE57" w14:textId="77777777">
            <w:pPr>
              <w:pStyle w:val="EMEANormal"/>
              <w:widowControl w:val="0"/>
              <w:spacing w:before="60"/>
              <w:rPr>
                <w:lang w:val="it-IT"/>
              </w:rPr>
            </w:pPr>
            <w:r w:rsidRPr="00295E71">
              <w:rPr>
                <w:lang w:val="it-IT"/>
              </w:rPr>
              <w:t>Non comune</w:t>
            </w:r>
          </w:p>
          <w:p w:rsidR="00C04163" w:rsidRPr="00295E71" w:rsidP="00C04163" w14:paraId="28A92C90" w14:textId="77777777">
            <w:pPr>
              <w:pStyle w:val="EMEANormal"/>
              <w:widowControl w:val="0"/>
              <w:spacing w:before="60"/>
              <w:rPr>
                <w:lang w:val="it-IT"/>
              </w:rPr>
            </w:pP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7D1F698C" w14:textId="77777777">
            <w:pPr>
              <w:pStyle w:val="EMEANormal"/>
              <w:widowControl w:val="0"/>
              <w:spacing w:before="60"/>
              <w:rPr>
                <w:lang w:val="it-IT"/>
              </w:rPr>
            </w:pPr>
            <w:r w:rsidRPr="00295E71">
              <w:rPr>
                <w:lang w:val="it-IT"/>
              </w:rPr>
              <w:t>Sudorazione notturna,</w:t>
            </w:r>
          </w:p>
          <w:p w:rsidR="00C04163" w:rsidRPr="00295E71" w:rsidP="00C04163" w14:paraId="39212CE0" w14:textId="77777777">
            <w:pPr>
              <w:pStyle w:val="EMEANormal"/>
              <w:widowControl w:val="0"/>
              <w:spacing w:before="60"/>
              <w:rPr>
                <w:lang w:val="it-IT"/>
              </w:rPr>
            </w:pPr>
            <w:r w:rsidRPr="00295E71">
              <w:rPr>
                <w:lang w:val="it-IT"/>
              </w:rPr>
              <w:t>cicatrice</w:t>
            </w:r>
          </w:p>
          <w:p w:rsidR="00C04163" w:rsidRPr="00295E71" w:rsidP="00C04163" w14:paraId="48C36185" w14:textId="77777777">
            <w:pPr>
              <w:pStyle w:val="EMEANormal"/>
              <w:widowControl w:val="0"/>
              <w:spacing w:before="60"/>
              <w:rPr>
                <w:lang w:val="it-IT"/>
              </w:rPr>
            </w:pPr>
          </w:p>
        </w:tc>
      </w:tr>
      <w:tr w14:paraId="262B68EE" w14:textId="77777777" w:rsidTr="00C04163">
        <w:tblPrEx>
          <w:tblW w:w="0" w:type="auto"/>
          <w:tblLook w:val="01E0"/>
        </w:tblPrEx>
        <w:trPr>
          <w:cantSplit/>
        </w:trPr>
        <w:tc>
          <w:tcPr>
            <w:tcW w:w="2559" w:type="dxa"/>
            <w:vMerge/>
          </w:tcPr>
          <w:p w:rsidR="00C04163" w:rsidRPr="00295E71" w:rsidP="00C04163" w14:paraId="1295C25F" w14:textId="77777777">
            <w:pPr>
              <w:widowControl w:val="0"/>
              <w:spacing w:before="60"/>
              <w:jc w:val="center"/>
              <w:rPr>
                <w:b/>
                <w:sz w:val="22"/>
                <w:szCs w:val="22"/>
              </w:rPr>
            </w:pPr>
          </w:p>
        </w:tc>
        <w:tc>
          <w:tcPr>
            <w:tcW w:w="2038" w:type="dxa"/>
            <w:gridSpan w:val="2"/>
            <w:tcBorders>
              <w:top w:val="single" w:sz="4" w:space="0" w:color="auto"/>
              <w:left w:val="single" w:sz="4" w:space="0" w:color="auto"/>
              <w:bottom w:val="single" w:sz="4" w:space="0" w:color="auto"/>
              <w:right w:val="single" w:sz="4" w:space="0" w:color="auto"/>
            </w:tcBorders>
          </w:tcPr>
          <w:p w:rsidR="00C04163" w:rsidRPr="00295E71" w:rsidP="00C04163" w14:paraId="164E6844" w14:textId="77777777">
            <w:pPr>
              <w:pStyle w:val="EMEANormal"/>
              <w:widowControl w:val="0"/>
              <w:spacing w:before="60"/>
              <w:rPr>
                <w:lang w:val="it-IT"/>
              </w:rPr>
            </w:pPr>
            <w:r w:rsidRPr="00295E71">
              <w:rPr>
                <w:lang w:val="it-IT"/>
              </w:rPr>
              <w:t>Raro</w:t>
            </w:r>
          </w:p>
        </w:tc>
        <w:tc>
          <w:tcPr>
            <w:tcW w:w="4463" w:type="dxa"/>
            <w:gridSpan w:val="2"/>
            <w:tcBorders>
              <w:top w:val="single" w:sz="4" w:space="0" w:color="auto"/>
              <w:left w:val="single" w:sz="4" w:space="0" w:color="auto"/>
              <w:bottom w:val="single" w:sz="4" w:space="0" w:color="auto"/>
              <w:right w:val="single" w:sz="4" w:space="0" w:color="auto"/>
            </w:tcBorders>
          </w:tcPr>
          <w:p w:rsidR="00C04163" w:rsidRPr="00295E71" w:rsidP="00C04163" w14:paraId="5902C38E" w14:textId="77777777">
            <w:pPr>
              <w:pStyle w:val="EMEANormal"/>
              <w:widowControl w:val="0"/>
              <w:spacing w:before="60"/>
              <w:rPr>
                <w:lang w:val="it-IT"/>
              </w:rPr>
            </w:pPr>
            <w:r w:rsidRPr="00295E71">
              <w:rPr>
                <w:lang w:val="it-IT"/>
              </w:rPr>
              <w:t>Eritema multiforme</w:t>
            </w:r>
            <w:r w:rsidRPr="00C04163">
              <w:rPr>
                <w:lang w:val="it-IT"/>
              </w:rPr>
              <w:t>1)</w:t>
            </w:r>
            <w:r w:rsidRPr="00295E71">
              <w:rPr>
                <w:lang w:val="it-IT"/>
              </w:rPr>
              <w:t>,</w:t>
            </w:r>
          </w:p>
          <w:p w:rsidR="00C04163" w:rsidRPr="00295E71" w:rsidP="00C04163" w14:paraId="5A150A08" w14:textId="77777777">
            <w:pPr>
              <w:pStyle w:val="EMEANormal"/>
              <w:widowControl w:val="0"/>
              <w:spacing w:before="60"/>
              <w:rPr>
                <w:lang w:val="it-IT"/>
              </w:rPr>
            </w:pPr>
            <w:r w:rsidRPr="00295E71">
              <w:rPr>
                <w:lang w:val="it-IT"/>
              </w:rPr>
              <w:t>sindrome di Stevens-Johnson</w:t>
            </w:r>
            <w:r w:rsidRPr="00C04163">
              <w:rPr>
                <w:lang w:val="it-IT"/>
              </w:rPr>
              <w:t>1)</w:t>
            </w:r>
            <w:r w:rsidRPr="00295E71">
              <w:rPr>
                <w:lang w:val="it-IT"/>
              </w:rPr>
              <w:t>,</w:t>
            </w:r>
          </w:p>
          <w:p w:rsidR="00C04163" w:rsidRPr="00295E71" w:rsidP="00C04163" w14:paraId="742EC0E0" w14:textId="77777777">
            <w:pPr>
              <w:pStyle w:val="EMEANormal"/>
              <w:widowControl w:val="0"/>
              <w:spacing w:before="60"/>
              <w:rPr>
                <w:lang w:val="it-IT"/>
              </w:rPr>
            </w:pPr>
            <w:r w:rsidRPr="00295E71">
              <w:rPr>
                <w:lang w:val="it-IT"/>
              </w:rPr>
              <w:t>angioedema</w:t>
            </w:r>
            <w:r w:rsidRPr="00C04163">
              <w:rPr>
                <w:lang w:val="it-IT"/>
              </w:rPr>
              <w:t>1)</w:t>
            </w:r>
            <w:r w:rsidRPr="00295E71">
              <w:rPr>
                <w:lang w:val="it-IT"/>
              </w:rPr>
              <w:t>,</w:t>
            </w:r>
          </w:p>
          <w:p w:rsidR="00C04163" w:rsidRPr="00C04163" w:rsidP="00C04163" w14:paraId="40AA47C3" w14:textId="77777777">
            <w:pPr>
              <w:pStyle w:val="EMEANormal"/>
              <w:widowControl w:val="0"/>
              <w:spacing w:before="60"/>
              <w:rPr>
                <w:lang w:val="it-IT"/>
              </w:rPr>
            </w:pPr>
            <w:r w:rsidRPr="00295E71">
              <w:rPr>
                <w:lang w:val="it-IT"/>
              </w:rPr>
              <w:t>vasculite cutanea</w:t>
            </w:r>
            <w:r w:rsidRPr="00C04163">
              <w:rPr>
                <w:lang w:val="it-IT"/>
              </w:rPr>
              <w:t>1)</w:t>
            </w:r>
          </w:p>
          <w:p w:rsidR="00C04163" w:rsidRPr="00C04163" w:rsidP="00C04163" w14:paraId="5F8FDD61" w14:textId="77777777">
            <w:pPr>
              <w:pStyle w:val="EMEANormal"/>
              <w:widowControl w:val="0"/>
              <w:spacing w:before="60"/>
              <w:rPr>
                <w:lang w:val="it-IT"/>
              </w:rPr>
            </w:pPr>
            <w:r>
              <w:rPr>
                <w:lang w:val="it-IT"/>
              </w:rPr>
              <w:t>reazione cutanea lichenoide</w:t>
            </w:r>
            <w:r w:rsidRPr="00C04163">
              <w:rPr>
                <w:lang w:val="it-IT"/>
              </w:rPr>
              <w:t>1)</w:t>
            </w:r>
          </w:p>
          <w:p w:rsidR="00C04163" w:rsidRPr="00295E71" w:rsidP="00C04163" w14:paraId="2D2CAE67" w14:textId="77777777">
            <w:pPr>
              <w:pStyle w:val="EMEANormal"/>
              <w:widowControl w:val="0"/>
              <w:spacing w:before="60"/>
              <w:rPr>
                <w:lang w:val="it-IT"/>
              </w:rPr>
            </w:pPr>
          </w:p>
        </w:tc>
      </w:tr>
      <w:tr w14:paraId="4935EE47" w14:textId="77777777" w:rsidTr="00035AC5">
        <w:tblPrEx>
          <w:tblW w:w="0" w:type="auto"/>
          <w:tblLook w:val="01E0"/>
        </w:tblPrEx>
        <w:trPr>
          <w:gridAfter w:val="3"/>
          <w:wAfter w:w="6492" w:type="dxa"/>
          <w:cantSplit/>
          <w:trHeight w:val="630"/>
        </w:trPr>
        <w:tc>
          <w:tcPr>
            <w:tcW w:w="2568" w:type="dxa"/>
            <w:gridSpan w:val="2"/>
            <w:vMerge w:val="restart"/>
            <w:tcBorders>
              <w:top w:val="nil"/>
              <w:left w:val="single" w:sz="4" w:space="0" w:color="auto"/>
              <w:bottom w:val="nil"/>
              <w:right w:val="single" w:sz="4" w:space="0" w:color="auto"/>
            </w:tcBorders>
          </w:tcPr>
          <w:p w:rsidR="00C04163" w:rsidRPr="00295E71" w:rsidP="00C04163" w14:paraId="6A653F2F" w14:textId="77777777">
            <w:pPr>
              <w:widowControl w:val="0"/>
              <w:spacing w:before="60"/>
              <w:jc w:val="center"/>
              <w:rPr>
                <w:b/>
                <w:sz w:val="22"/>
                <w:szCs w:val="22"/>
              </w:rPr>
            </w:pPr>
          </w:p>
        </w:tc>
      </w:tr>
      <w:tr w14:paraId="3A87B0BC" w14:textId="77777777" w:rsidTr="00035AC5">
        <w:tblPrEx>
          <w:tblW w:w="0" w:type="auto"/>
          <w:tblLook w:val="01E0"/>
        </w:tblPrEx>
        <w:trPr>
          <w:cantSplit/>
        </w:trPr>
        <w:tc>
          <w:tcPr>
            <w:tcW w:w="2568" w:type="dxa"/>
            <w:gridSpan w:val="2"/>
            <w:vMerge/>
            <w:tcBorders>
              <w:top w:val="nil"/>
              <w:left w:val="single" w:sz="4" w:space="0" w:color="auto"/>
              <w:bottom w:val="single" w:sz="4" w:space="0" w:color="auto"/>
              <w:right w:val="single" w:sz="4" w:space="0" w:color="auto"/>
            </w:tcBorders>
          </w:tcPr>
          <w:p w:rsidR="00C04163" w:rsidRPr="00295E71" w:rsidP="00C04163" w14:paraId="3502EB77" w14:textId="77777777">
            <w:pPr>
              <w:widowControl w:val="0"/>
              <w:spacing w:before="60"/>
              <w:jc w:val="center"/>
              <w:rPr>
                <w:b/>
                <w:sz w:val="22"/>
                <w:szCs w:val="22"/>
              </w:rPr>
            </w:pPr>
          </w:p>
        </w:tc>
        <w:tc>
          <w:tcPr>
            <w:tcW w:w="2036" w:type="dxa"/>
            <w:gridSpan w:val="2"/>
            <w:tcBorders>
              <w:top w:val="single" w:sz="4" w:space="0" w:color="auto"/>
              <w:left w:val="single" w:sz="4" w:space="0" w:color="auto"/>
              <w:bottom w:val="single" w:sz="4" w:space="0" w:color="auto"/>
            </w:tcBorders>
          </w:tcPr>
          <w:p w:rsidR="00C04163" w:rsidRPr="00295E71" w:rsidP="00C04163" w14:paraId="4C100D9F" w14:textId="77777777">
            <w:pPr>
              <w:pStyle w:val="EMEANormal"/>
              <w:widowControl w:val="0"/>
              <w:rPr>
                <w:lang w:val="it-IT"/>
              </w:rPr>
            </w:pPr>
            <w:r w:rsidRPr="00295E71">
              <w:rPr>
                <w:lang w:val="it-IT"/>
              </w:rPr>
              <w:t>Non nota</w:t>
            </w:r>
          </w:p>
        </w:tc>
        <w:tc>
          <w:tcPr>
            <w:tcW w:w="4456" w:type="dxa"/>
            <w:tcBorders>
              <w:top w:val="single" w:sz="4" w:space="0" w:color="auto"/>
              <w:bottom w:val="single" w:sz="4" w:space="0" w:color="auto"/>
            </w:tcBorders>
          </w:tcPr>
          <w:p w:rsidR="00C04163" w:rsidP="00C04163" w14:paraId="1EE75AFD" w14:textId="77777777">
            <w:pPr>
              <w:pStyle w:val="EMEANormal"/>
              <w:widowControl w:val="0"/>
              <w:jc w:val="both"/>
              <w:rPr>
                <w:lang w:val="it-IT"/>
              </w:rPr>
            </w:pPr>
            <w:r w:rsidRPr="00295E71">
              <w:rPr>
                <w:lang w:val="it-IT"/>
              </w:rPr>
              <w:t>Peggioramento dei sintomi di dermatomiosite</w:t>
            </w:r>
            <w:r w:rsidRPr="00295E71">
              <w:rPr>
                <w:vertAlign w:val="superscript"/>
                <w:lang w:val="it-IT"/>
              </w:rPr>
              <w:t>1)</w:t>
            </w:r>
          </w:p>
          <w:p w:rsidR="00C04163" w:rsidRPr="0002593D" w:rsidP="00C04163" w14:paraId="2C9A67AA" w14:textId="77777777">
            <w:pPr>
              <w:pStyle w:val="EMEANormal"/>
              <w:widowControl w:val="0"/>
              <w:jc w:val="both"/>
              <w:rPr>
                <w:lang w:val="it-IT"/>
              </w:rPr>
            </w:pPr>
          </w:p>
        </w:tc>
      </w:tr>
      <w:tr w14:paraId="64FB2473" w14:textId="77777777" w:rsidTr="00035AC5">
        <w:tblPrEx>
          <w:tblW w:w="0" w:type="auto"/>
          <w:tblLook w:val="01E0"/>
        </w:tblPrEx>
        <w:trPr>
          <w:cantSplit/>
        </w:trPr>
        <w:tc>
          <w:tcPr>
            <w:tcW w:w="2568" w:type="dxa"/>
            <w:gridSpan w:val="2"/>
            <w:vMerge w:val="restart"/>
            <w:tcBorders>
              <w:top w:val="single" w:sz="4" w:space="0" w:color="auto"/>
            </w:tcBorders>
          </w:tcPr>
          <w:p w:rsidR="00C04163" w:rsidRPr="00295E71" w:rsidP="00C04163" w14:paraId="0293FD2F" w14:textId="77777777">
            <w:pPr>
              <w:pStyle w:val="EMEANormal"/>
              <w:widowControl w:val="0"/>
              <w:spacing w:before="60"/>
              <w:rPr>
                <w:lang w:val="it-IT"/>
              </w:rPr>
            </w:pPr>
            <w:r w:rsidRPr="00295E71">
              <w:rPr>
                <w:lang w:val="it-IT"/>
              </w:rPr>
              <w:t>Patologie del sistema muscolo-scheletrico e del tessuto connettivo</w:t>
            </w:r>
          </w:p>
        </w:tc>
        <w:tc>
          <w:tcPr>
            <w:tcW w:w="2036" w:type="dxa"/>
            <w:gridSpan w:val="2"/>
            <w:tcBorders>
              <w:bottom w:val="single" w:sz="4" w:space="0" w:color="auto"/>
            </w:tcBorders>
          </w:tcPr>
          <w:p w:rsidR="00C04163" w:rsidRPr="00295E71" w:rsidP="00C04163" w14:paraId="0264A23C" w14:textId="77777777">
            <w:pPr>
              <w:pStyle w:val="EMEANormal"/>
              <w:widowControl w:val="0"/>
              <w:spacing w:before="60"/>
              <w:rPr>
                <w:lang w:val="it-IT"/>
              </w:rPr>
            </w:pPr>
            <w:r w:rsidRPr="00295E71">
              <w:rPr>
                <w:lang w:val="it-IT"/>
              </w:rPr>
              <w:t>Molto comune</w:t>
            </w:r>
          </w:p>
          <w:p w:rsidR="00C04163" w:rsidRPr="00295E71" w:rsidP="00C04163" w14:paraId="69B08714" w14:textId="77777777">
            <w:pPr>
              <w:pStyle w:val="EMEANormal"/>
              <w:widowControl w:val="0"/>
              <w:spacing w:before="60"/>
              <w:rPr>
                <w:lang w:val="it-IT"/>
              </w:rPr>
            </w:pPr>
          </w:p>
        </w:tc>
        <w:tc>
          <w:tcPr>
            <w:tcW w:w="4456" w:type="dxa"/>
            <w:tcBorders>
              <w:bottom w:val="single" w:sz="4" w:space="0" w:color="auto"/>
            </w:tcBorders>
          </w:tcPr>
          <w:p w:rsidR="00C04163" w:rsidRPr="00295E71" w:rsidP="00C04163" w14:paraId="343AEC58" w14:textId="77777777">
            <w:pPr>
              <w:pStyle w:val="EMEANormal"/>
              <w:widowControl w:val="0"/>
              <w:spacing w:before="60"/>
              <w:jc w:val="both"/>
              <w:rPr>
                <w:lang w:val="it-IT"/>
              </w:rPr>
            </w:pPr>
            <w:r w:rsidRPr="00295E71">
              <w:rPr>
                <w:lang w:val="it-IT"/>
              </w:rPr>
              <w:t>Dolore muscoloscheletrico</w:t>
            </w:r>
          </w:p>
          <w:p w:rsidR="00C04163" w:rsidRPr="00295E71" w:rsidP="00C04163" w14:paraId="5389B53F" w14:textId="77777777">
            <w:pPr>
              <w:pStyle w:val="EMEANormal"/>
              <w:widowControl w:val="0"/>
              <w:spacing w:before="60"/>
              <w:jc w:val="both"/>
              <w:rPr>
                <w:lang w:val="it-IT"/>
              </w:rPr>
            </w:pPr>
          </w:p>
        </w:tc>
      </w:tr>
      <w:tr w14:paraId="3CA66711" w14:textId="77777777" w:rsidTr="00035AC5">
        <w:tblPrEx>
          <w:tblW w:w="0" w:type="auto"/>
          <w:tblLook w:val="01E0"/>
        </w:tblPrEx>
        <w:trPr>
          <w:cantSplit/>
        </w:trPr>
        <w:tc>
          <w:tcPr>
            <w:tcW w:w="2568" w:type="dxa"/>
            <w:gridSpan w:val="2"/>
            <w:vMerge/>
          </w:tcPr>
          <w:p w:rsidR="00C04163" w:rsidRPr="00295E71" w:rsidP="00C04163" w14:paraId="11B24591" w14:textId="77777777">
            <w:pPr>
              <w:pStyle w:val="EMEANormal"/>
              <w:widowControl w:val="0"/>
              <w:spacing w:before="60"/>
              <w:rPr>
                <w:lang w:val="it-IT"/>
              </w:rPr>
            </w:pPr>
          </w:p>
        </w:tc>
        <w:tc>
          <w:tcPr>
            <w:tcW w:w="2036" w:type="dxa"/>
            <w:gridSpan w:val="2"/>
            <w:tcBorders>
              <w:top w:val="single" w:sz="4" w:space="0" w:color="auto"/>
              <w:bottom w:val="single" w:sz="4" w:space="0" w:color="auto"/>
            </w:tcBorders>
          </w:tcPr>
          <w:p w:rsidR="00C04163" w:rsidRPr="00295E71" w:rsidP="00C04163" w14:paraId="7F2393D4" w14:textId="77777777">
            <w:pPr>
              <w:pStyle w:val="EMEANormal"/>
              <w:widowControl w:val="0"/>
              <w:spacing w:before="60"/>
              <w:rPr>
                <w:lang w:val="it-IT"/>
              </w:rPr>
            </w:pPr>
            <w:r w:rsidRPr="00295E71">
              <w:rPr>
                <w:lang w:val="it-IT"/>
              </w:rPr>
              <w:t>Comune</w:t>
            </w:r>
          </w:p>
        </w:tc>
        <w:tc>
          <w:tcPr>
            <w:tcW w:w="4456" w:type="dxa"/>
            <w:tcBorders>
              <w:top w:val="single" w:sz="4" w:space="0" w:color="auto"/>
              <w:bottom w:val="single" w:sz="4" w:space="0" w:color="auto"/>
            </w:tcBorders>
          </w:tcPr>
          <w:p w:rsidR="00C04163" w:rsidRPr="00295E71" w:rsidP="00C04163" w14:paraId="12EB2926" w14:textId="77777777">
            <w:pPr>
              <w:pStyle w:val="EMEANormal"/>
              <w:widowControl w:val="0"/>
              <w:spacing w:before="60"/>
              <w:jc w:val="both"/>
              <w:rPr>
                <w:lang w:val="it-IT"/>
              </w:rPr>
            </w:pPr>
            <w:r w:rsidRPr="00295E71">
              <w:rPr>
                <w:lang w:val="it-IT"/>
              </w:rPr>
              <w:t>Spasmi muscolari (tra cui aumento della creatinfosfochinasi ematica)</w:t>
            </w:r>
          </w:p>
          <w:p w:rsidR="00C04163" w:rsidRPr="00295E71" w:rsidP="00C04163" w14:paraId="62965777" w14:textId="77777777">
            <w:pPr>
              <w:pStyle w:val="EMEANormal"/>
              <w:widowControl w:val="0"/>
              <w:spacing w:before="60"/>
              <w:jc w:val="both"/>
              <w:rPr>
                <w:lang w:val="it-IT"/>
              </w:rPr>
            </w:pPr>
          </w:p>
        </w:tc>
      </w:tr>
      <w:tr w14:paraId="17F75FC8" w14:textId="77777777" w:rsidTr="00035AC5">
        <w:tblPrEx>
          <w:tblW w:w="0" w:type="auto"/>
          <w:tblLook w:val="01E0"/>
        </w:tblPrEx>
        <w:trPr>
          <w:cantSplit/>
        </w:trPr>
        <w:tc>
          <w:tcPr>
            <w:tcW w:w="2568" w:type="dxa"/>
            <w:gridSpan w:val="2"/>
            <w:vMerge/>
          </w:tcPr>
          <w:p w:rsidR="00C04163" w:rsidRPr="00295E71" w:rsidP="00C04163" w14:paraId="56CCD429" w14:textId="77777777">
            <w:pPr>
              <w:widowControl w:val="0"/>
              <w:spacing w:before="60"/>
              <w:jc w:val="center"/>
              <w:rPr>
                <w:b/>
                <w:sz w:val="22"/>
                <w:szCs w:val="22"/>
              </w:rPr>
            </w:pPr>
          </w:p>
        </w:tc>
        <w:tc>
          <w:tcPr>
            <w:tcW w:w="2036" w:type="dxa"/>
            <w:gridSpan w:val="2"/>
            <w:tcBorders>
              <w:top w:val="single" w:sz="4" w:space="0" w:color="auto"/>
              <w:bottom w:val="single" w:sz="4" w:space="0" w:color="auto"/>
            </w:tcBorders>
          </w:tcPr>
          <w:p w:rsidR="00C04163" w:rsidRPr="00295E71" w:rsidP="00C04163" w14:paraId="0AF412B2" w14:textId="77777777">
            <w:pPr>
              <w:pStyle w:val="EMEANormal"/>
              <w:widowControl w:val="0"/>
              <w:rPr>
                <w:lang w:val="it-IT"/>
              </w:rPr>
            </w:pPr>
            <w:r w:rsidRPr="00295E71">
              <w:rPr>
                <w:lang w:val="it-IT"/>
              </w:rPr>
              <w:t>Non comune</w:t>
            </w:r>
          </w:p>
        </w:tc>
        <w:tc>
          <w:tcPr>
            <w:tcW w:w="4456" w:type="dxa"/>
            <w:tcBorders>
              <w:top w:val="single" w:sz="4" w:space="0" w:color="auto"/>
              <w:bottom w:val="single" w:sz="4" w:space="0" w:color="auto"/>
            </w:tcBorders>
          </w:tcPr>
          <w:p w:rsidR="00C04163" w:rsidRPr="00295E71" w:rsidP="00C04163" w14:paraId="507DFC6C" w14:textId="77777777">
            <w:pPr>
              <w:pStyle w:val="EMEANormal"/>
              <w:widowControl w:val="0"/>
              <w:jc w:val="both"/>
              <w:rPr>
                <w:lang w:val="it-IT"/>
              </w:rPr>
            </w:pPr>
            <w:r w:rsidRPr="00295E71">
              <w:rPr>
                <w:lang w:val="it-IT"/>
              </w:rPr>
              <w:t>Rabdomiolisi</w:t>
            </w:r>
          </w:p>
          <w:p w:rsidR="00C04163" w:rsidRPr="00295E71" w:rsidP="00C04163" w14:paraId="0C499933" w14:textId="77777777">
            <w:pPr>
              <w:pStyle w:val="EMEANormal"/>
              <w:widowControl w:val="0"/>
              <w:jc w:val="both"/>
              <w:rPr>
                <w:lang w:val="it-IT"/>
              </w:rPr>
            </w:pPr>
            <w:r w:rsidRPr="00295E71">
              <w:rPr>
                <w:lang w:val="it-IT"/>
              </w:rPr>
              <w:t>lupus eritematoso sistemico</w:t>
            </w:r>
          </w:p>
          <w:p w:rsidR="00C04163" w:rsidRPr="00295E71" w:rsidP="00C04163" w14:paraId="7E86E475" w14:textId="77777777">
            <w:pPr>
              <w:pStyle w:val="EMEANormal"/>
              <w:widowControl w:val="0"/>
              <w:jc w:val="both"/>
              <w:rPr>
                <w:lang w:val="it-IT"/>
              </w:rPr>
            </w:pPr>
          </w:p>
        </w:tc>
      </w:tr>
      <w:tr w14:paraId="1AA9EC42" w14:textId="77777777" w:rsidTr="00035AC5">
        <w:tblPrEx>
          <w:tblW w:w="0" w:type="auto"/>
          <w:tblLook w:val="01E0"/>
        </w:tblPrEx>
        <w:trPr>
          <w:cantSplit/>
        </w:trPr>
        <w:tc>
          <w:tcPr>
            <w:tcW w:w="2568" w:type="dxa"/>
            <w:gridSpan w:val="2"/>
            <w:vMerge/>
          </w:tcPr>
          <w:p w:rsidR="00C04163" w:rsidRPr="00295E71" w:rsidP="00C04163" w14:paraId="08223821" w14:textId="77777777">
            <w:pPr>
              <w:widowControl w:val="0"/>
              <w:spacing w:before="60"/>
              <w:jc w:val="center"/>
              <w:rPr>
                <w:b/>
                <w:sz w:val="22"/>
                <w:szCs w:val="22"/>
              </w:rPr>
            </w:pPr>
          </w:p>
        </w:tc>
        <w:tc>
          <w:tcPr>
            <w:tcW w:w="2036" w:type="dxa"/>
            <w:gridSpan w:val="2"/>
            <w:tcBorders>
              <w:top w:val="single" w:sz="4" w:space="0" w:color="auto"/>
              <w:bottom w:val="single" w:sz="4" w:space="0" w:color="auto"/>
            </w:tcBorders>
          </w:tcPr>
          <w:p w:rsidR="00C04163" w:rsidRPr="00295E71" w:rsidP="00C04163" w14:paraId="23CFED82" w14:textId="77777777">
            <w:pPr>
              <w:pStyle w:val="EMEANormal"/>
              <w:widowControl w:val="0"/>
              <w:rPr>
                <w:lang w:val="it-IT"/>
              </w:rPr>
            </w:pPr>
            <w:r w:rsidRPr="00295E71">
              <w:rPr>
                <w:lang w:val="it-IT"/>
              </w:rPr>
              <w:t>Raro</w:t>
            </w:r>
          </w:p>
          <w:p w:rsidR="00C04163" w:rsidRPr="00295E71" w:rsidP="00C04163" w14:paraId="7AD74B72" w14:textId="77777777">
            <w:pPr>
              <w:pStyle w:val="EMEANormal"/>
              <w:widowControl w:val="0"/>
              <w:rPr>
                <w:lang w:val="it-IT"/>
              </w:rPr>
            </w:pPr>
          </w:p>
        </w:tc>
        <w:tc>
          <w:tcPr>
            <w:tcW w:w="4456" w:type="dxa"/>
            <w:tcBorders>
              <w:top w:val="single" w:sz="4" w:space="0" w:color="auto"/>
              <w:bottom w:val="single" w:sz="4" w:space="0" w:color="auto"/>
            </w:tcBorders>
          </w:tcPr>
          <w:p w:rsidR="00C04163" w:rsidRPr="00295E71" w:rsidP="00C04163" w14:paraId="30764F99" w14:textId="77777777">
            <w:pPr>
              <w:pStyle w:val="EMEANormal"/>
              <w:widowControl w:val="0"/>
              <w:jc w:val="both"/>
              <w:rPr>
                <w:lang w:val="it-IT"/>
              </w:rPr>
            </w:pPr>
            <w:r w:rsidRPr="00295E71">
              <w:rPr>
                <w:lang w:val="it-IT"/>
              </w:rPr>
              <w:t>Sindrome simile al lupus</w:t>
            </w:r>
            <w:r w:rsidRPr="00295E71">
              <w:rPr>
                <w:vertAlign w:val="superscript"/>
                <w:lang w:val="it-IT"/>
              </w:rPr>
              <w:t>1)</w:t>
            </w:r>
          </w:p>
          <w:p w:rsidR="00C04163" w:rsidRPr="00295E71" w:rsidP="00C04163" w14:paraId="45D86BBC" w14:textId="77777777">
            <w:pPr>
              <w:pStyle w:val="EMEANormal"/>
              <w:widowControl w:val="0"/>
              <w:jc w:val="both"/>
              <w:rPr>
                <w:lang w:val="it-IT"/>
              </w:rPr>
            </w:pPr>
          </w:p>
        </w:tc>
      </w:tr>
      <w:tr w14:paraId="6C792756" w14:textId="77777777" w:rsidTr="00035AC5">
        <w:tblPrEx>
          <w:tblW w:w="0" w:type="auto"/>
          <w:tblLook w:val="01E0"/>
        </w:tblPrEx>
        <w:trPr>
          <w:cantSplit/>
        </w:trPr>
        <w:tc>
          <w:tcPr>
            <w:tcW w:w="2568" w:type="dxa"/>
            <w:gridSpan w:val="2"/>
            <w:vMerge w:val="restart"/>
          </w:tcPr>
          <w:p w:rsidR="00C04163" w:rsidRPr="00295E71" w:rsidP="00C04163" w14:paraId="03D9551B" w14:textId="77777777">
            <w:pPr>
              <w:pStyle w:val="EMEANormal"/>
              <w:widowControl w:val="0"/>
              <w:spacing w:before="60"/>
              <w:rPr>
                <w:lang w:val="it-IT"/>
              </w:rPr>
            </w:pPr>
            <w:r w:rsidRPr="00295E71">
              <w:rPr>
                <w:lang w:val="it-IT"/>
              </w:rPr>
              <w:t xml:space="preserve">Patologie renali e urinarie </w:t>
            </w:r>
          </w:p>
        </w:tc>
        <w:tc>
          <w:tcPr>
            <w:tcW w:w="2036" w:type="dxa"/>
            <w:gridSpan w:val="2"/>
            <w:tcBorders>
              <w:bottom w:val="single" w:sz="4" w:space="0" w:color="auto"/>
            </w:tcBorders>
          </w:tcPr>
          <w:p w:rsidR="00C04163" w:rsidRPr="00295E71" w:rsidP="00C04163" w14:paraId="43A297F8" w14:textId="77777777">
            <w:pPr>
              <w:pStyle w:val="EMEANormal"/>
              <w:widowControl w:val="0"/>
              <w:spacing w:before="60"/>
              <w:rPr>
                <w:lang w:val="it-IT"/>
              </w:rPr>
            </w:pPr>
            <w:r w:rsidRPr="00295E71">
              <w:rPr>
                <w:lang w:val="it-IT"/>
              </w:rPr>
              <w:t>Comune</w:t>
            </w:r>
          </w:p>
          <w:p w:rsidR="00C04163" w:rsidRPr="00295E71" w:rsidP="00C04163" w14:paraId="4FACD08C" w14:textId="77777777">
            <w:pPr>
              <w:pStyle w:val="EMEANormal"/>
              <w:widowControl w:val="0"/>
              <w:spacing w:before="60"/>
              <w:rPr>
                <w:lang w:val="it-IT"/>
              </w:rPr>
            </w:pPr>
          </w:p>
        </w:tc>
        <w:tc>
          <w:tcPr>
            <w:tcW w:w="4456" w:type="dxa"/>
            <w:tcBorders>
              <w:bottom w:val="single" w:sz="4" w:space="0" w:color="auto"/>
            </w:tcBorders>
          </w:tcPr>
          <w:p w:rsidR="00C04163" w:rsidRPr="00295E71" w:rsidP="00C04163" w14:paraId="33C96154" w14:textId="77777777">
            <w:pPr>
              <w:pStyle w:val="EMEANormal"/>
              <w:widowControl w:val="0"/>
              <w:spacing w:before="60"/>
              <w:jc w:val="both"/>
              <w:rPr>
                <w:lang w:val="it-IT"/>
              </w:rPr>
            </w:pPr>
            <w:r w:rsidRPr="00295E71">
              <w:rPr>
                <w:lang w:val="it-IT"/>
              </w:rPr>
              <w:t>Insufficienza renale,</w:t>
            </w:r>
          </w:p>
          <w:p w:rsidR="00C04163" w:rsidRPr="00295E71" w:rsidP="00C04163" w14:paraId="4FA79E85" w14:textId="77777777">
            <w:pPr>
              <w:pStyle w:val="EMEANormal"/>
              <w:widowControl w:val="0"/>
              <w:spacing w:before="60"/>
              <w:jc w:val="both"/>
              <w:rPr>
                <w:lang w:val="it-IT"/>
              </w:rPr>
            </w:pPr>
            <w:r w:rsidRPr="00295E71">
              <w:rPr>
                <w:lang w:val="it-IT"/>
              </w:rPr>
              <w:t>ematuria</w:t>
            </w:r>
          </w:p>
        </w:tc>
      </w:tr>
      <w:tr w14:paraId="4BC44D8F" w14:textId="77777777" w:rsidTr="00035AC5">
        <w:tblPrEx>
          <w:tblW w:w="0" w:type="auto"/>
          <w:tblLook w:val="01E0"/>
        </w:tblPrEx>
        <w:trPr>
          <w:cantSplit/>
        </w:trPr>
        <w:tc>
          <w:tcPr>
            <w:tcW w:w="2568" w:type="dxa"/>
            <w:gridSpan w:val="2"/>
            <w:vMerge/>
          </w:tcPr>
          <w:p w:rsidR="00C04163" w:rsidRPr="00295E71" w:rsidP="00C04163" w14:paraId="7EE6F1F8" w14:textId="77777777">
            <w:pPr>
              <w:widowControl w:val="0"/>
              <w:spacing w:before="60"/>
              <w:jc w:val="center"/>
              <w:rPr>
                <w:b/>
                <w:sz w:val="22"/>
                <w:szCs w:val="22"/>
              </w:rPr>
            </w:pPr>
          </w:p>
        </w:tc>
        <w:tc>
          <w:tcPr>
            <w:tcW w:w="2036" w:type="dxa"/>
            <w:gridSpan w:val="2"/>
            <w:tcBorders>
              <w:top w:val="single" w:sz="4" w:space="0" w:color="auto"/>
            </w:tcBorders>
          </w:tcPr>
          <w:p w:rsidR="00C04163" w:rsidRPr="00295E71" w:rsidP="00C04163" w14:paraId="7CDDAE4D" w14:textId="77777777">
            <w:pPr>
              <w:pStyle w:val="EMEANormal"/>
              <w:widowControl w:val="0"/>
              <w:rPr>
                <w:lang w:val="it-IT"/>
              </w:rPr>
            </w:pPr>
            <w:r w:rsidRPr="00295E71">
              <w:rPr>
                <w:lang w:val="it-IT"/>
              </w:rPr>
              <w:t>Non comune</w:t>
            </w:r>
          </w:p>
          <w:p w:rsidR="00C04163" w:rsidRPr="00295E71" w:rsidP="00C04163" w14:paraId="5F74BFE0" w14:textId="77777777">
            <w:pPr>
              <w:pStyle w:val="EMEANormal"/>
              <w:widowControl w:val="0"/>
              <w:rPr>
                <w:lang w:val="it-IT"/>
              </w:rPr>
            </w:pPr>
          </w:p>
        </w:tc>
        <w:tc>
          <w:tcPr>
            <w:tcW w:w="4456" w:type="dxa"/>
            <w:tcBorders>
              <w:top w:val="single" w:sz="4" w:space="0" w:color="auto"/>
            </w:tcBorders>
          </w:tcPr>
          <w:p w:rsidR="00C04163" w:rsidRPr="00295E71" w:rsidP="00C04163" w14:paraId="1CF1D09D" w14:textId="77777777">
            <w:pPr>
              <w:pStyle w:val="EMEANormal"/>
              <w:widowControl w:val="0"/>
              <w:jc w:val="both"/>
              <w:rPr>
                <w:lang w:val="it-IT"/>
              </w:rPr>
            </w:pPr>
            <w:r>
              <w:rPr>
                <w:lang w:val="it-IT"/>
              </w:rPr>
              <w:t>N</w:t>
            </w:r>
            <w:r w:rsidRPr="00295E71">
              <w:rPr>
                <w:lang w:val="it-IT"/>
              </w:rPr>
              <w:t>icturia</w:t>
            </w:r>
          </w:p>
          <w:p w:rsidR="00C04163" w:rsidRPr="00295E71" w:rsidP="00C04163" w14:paraId="03DCE185" w14:textId="77777777">
            <w:pPr>
              <w:pStyle w:val="EMEANormal"/>
              <w:widowControl w:val="0"/>
              <w:jc w:val="both"/>
              <w:rPr>
                <w:lang w:val="it-IT"/>
              </w:rPr>
            </w:pPr>
          </w:p>
        </w:tc>
      </w:tr>
      <w:tr w14:paraId="24DEAE75" w14:textId="77777777" w:rsidTr="00035AC5">
        <w:tblPrEx>
          <w:tblW w:w="0" w:type="auto"/>
          <w:tblLook w:val="01E0"/>
        </w:tblPrEx>
        <w:tc>
          <w:tcPr>
            <w:tcW w:w="2568" w:type="dxa"/>
            <w:gridSpan w:val="2"/>
          </w:tcPr>
          <w:p w:rsidR="00C04163" w:rsidRPr="00295E71" w:rsidP="00C04163" w14:paraId="44E0412A" w14:textId="77777777">
            <w:pPr>
              <w:pStyle w:val="EMEANormal"/>
              <w:widowControl w:val="0"/>
              <w:spacing w:before="60"/>
              <w:rPr>
                <w:lang w:val="it-IT"/>
              </w:rPr>
            </w:pPr>
            <w:r w:rsidRPr="00295E71">
              <w:rPr>
                <w:lang w:val="it-IT"/>
              </w:rPr>
              <w:t>Patologie dell’apparato riproduttivo e della mammella</w:t>
            </w:r>
          </w:p>
        </w:tc>
        <w:tc>
          <w:tcPr>
            <w:tcW w:w="2036" w:type="dxa"/>
            <w:gridSpan w:val="2"/>
            <w:tcBorders>
              <w:bottom w:val="single" w:sz="4" w:space="0" w:color="auto"/>
            </w:tcBorders>
          </w:tcPr>
          <w:p w:rsidR="00C04163" w:rsidRPr="00295E71" w:rsidP="00C04163" w14:paraId="6A30B668" w14:textId="77777777">
            <w:pPr>
              <w:pStyle w:val="EMEANormal"/>
              <w:widowControl w:val="0"/>
              <w:spacing w:before="60"/>
              <w:rPr>
                <w:lang w:val="it-IT"/>
              </w:rPr>
            </w:pPr>
            <w:r w:rsidRPr="00295E71">
              <w:rPr>
                <w:lang w:val="it-IT"/>
              </w:rPr>
              <w:t>Non comune</w:t>
            </w:r>
          </w:p>
        </w:tc>
        <w:tc>
          <w:tcPr>
            <w:tcW w:w="4456" w:type="dxa"/>
            <w:tcBorders>
              <w:bottom w:val="single" w:sz="4" w:space="0" w:color="auto"/>
            </w:tcBorders>
          </w:tcPr>
          <w:p w:rsidR="00C04163" w:rsidRPr="00295E71" w:rsidP="00C04163" w14:paraId="69D29EED" w14:textId="77777777">
            <w:pPr>
              <w:pStyle w:val="EMEANormal"/>
              <w:widowControl w:val="0"/>
              <w:spacing w:before="60"/>
              <w:jc w:val="both"/>
              <w:rPr>
                <w:lang w:val="it-IT"/>
              </w:rPr>
            </w:pPr>
            <w:r w:rsidRPr="00295E71">
              <w:rPr>
                <w:lang w:val="it-IT"/>
              </w:rPr>
              <w:t>Disfunzione erettile</w:t>
            </w:r>
          </w:p>
          <w:p w:rsidR="00C04163" w:rsidRPr="00295E71" w:rsidP="00C04163" w14:paraId="5027E08F" w14:textId="77777777">
            <w:pPr>
              <w:pStyle w:val="EMEANormal"/>
              <w:widowControl w:val="0"/>
              <w:spacing w:before="60"/>
              <w:jc w:val="both"/>
              <w:rPr>
                <w:lang w:val="it-IT"/>
              </w:rPr>
            </w:pPr>
          </w:p>
        </w:tc>
      </w:tr>
      <w:tr w14:paraId="1C0E58CC" w14:textId="77777777" w:rsidTr="00035AC5">
        <w:tblPrEx>
          <w:tblW w:w="0" w:type="auto"/>
          <w:tblLook w:val="01E0"/>
        </w:tblPrEx>
        <w:trPr>
          <w:cantSplit/>
        </w:trPr>
        <w:tc>
          <w:tcPr>
            <w:tcW w:w="2568" w:type="dxa"/>
            <w:gridSpan w:val="2"/>
            <w:vMerge w:val="restart"/>
          </w:tcPr>
          <w:p w:rsidR="00C04163" w:rsidRPr="00295E71" w:rsidP="00C04163" w14:paraId="0DD7968C" w14:textId="77777777">
            <w:pPr>
              <w:pStyle w:val="EMEANormal"/>
              <w:widowControl w:val="0"/>
              <w:spacing w:before="60"/>
              <w:rPr>
                <w:lang w:val="it-IT"/>
              </w:rPr>
            </w:pPr>
            <w:r w:rsidRPr="00295E71">
              <w:rPr>
                <w:lang w:val="it-IT"/>
              </w:rPr>
              <w:t>Patologie sistemiche e condizioni relative alla sede di somministrazione*</w:t>
            </w:r>
          </w:p>
        </w:tc>
        <w:tc>
          <w:tcPr>
            <w:tcW w:w="2036" w:type="dxa"/>
            <w:gridSpan w:val="2"/>
            <w:tcBorders>
              <w:bottom w:val="single" w:sz="4" w:space="0" w:color="auto"/>
            </w:tcBorders>
          </w:tcPr>
          <w:p w:rsidR="00C04163" w:rsidRPr="00295E71" w:rsidP="00C04163" w14:paraId="22B73CBF" w14:textId="77777777">
            <w:pPr>
              <w:pStyle w:val="EMEANormal"/>
              <w:widowControl w:val="0"/>
              <w:spacing w:before="60"/>
              <w:rPr>
                <w:lang w:val="it-IT"/>
              </w:rPr>
            </w:pPr>
            <w:r w:rsidRPr="00295E71">
              <w:rPr>
                <w:lang w:val="it-IT"/>
              </w:rPr>
              <w:t>Molto comune</w:t>
            </w:r>
          </w:p>
          <w:p w:rsidR="00C04163" w:rsidRPr="00295E71" w:rsidP="00C04163" w14:paraId="6AA23497" w14:textId="77777777">
            <w:pPr>
              <w:pStyle w:val="EMEANormal"/>
              <w:widowControl w:val="0"/>
              <w:spacing w:before="60"/>
              <w:rPr>
                <w:lang w:val="it-IT"/>
              </w:rPr>
            </w:pPr>
          </w:p>
        </w:tc>
        <w:tc>
          <w:tcPr>
            <w:tcW w:w="4456" w:type="dxa"/>
            <w:tcBorders>
              <w:bottom w:val="single" w:sz="4" w:space="0" w:color="auto"/>
            </w:tcBorders>
          </w:tcPr>
          <w:p w:rsidR="00C04163" w:rsidRPr="00295E71" w:rsidP="00C04163" w14:paraId="6BC87073" w14:textId="77777777">
            <w:pPr>
              <w:pStyle w:val="EMEANormal"/>
              <w:widowControl w:val="0"/>
              <w:spacing w:before="60"/>
              <w:jc w:val="both"/>
              <w:rPr>
                <w:lang w:val="it-IT"/>
              </w:rPr>
            </w:pPr>
            <w:r w:rsidRPr="00295E71">
              <w:rPr>
                <w:lang w:val="it-IT"/>
              </w:rPr>
              <w:t>Reazione al sito di iniezione (tra cui eritema al sito di iniezione)</w:t>
            </w:r>
          </w:p>
          <w:p w:rsidR="00C04163" w:rsidRPr="00295E71" w:rsidP="00C04163" w14:paraId="038EE5B1" w14:textId="77777777">
            <w:pPr>
              <w:pStyle w:val="EMEANormal"/>
              <w:widowControl w:val="0"/>
              <w:spacing w:before="60"/>
              <w:jc w:val="both"/>
              <w:rPr>
                <w:lang w:val="it-IT"/>
              </w:rPr>
            </w:pPr>
          </w:p>
        </w:tc>
      </w:tr>
      <w:tr w14:paraId="04812990" w14:textId="77777777" w:rsidTr="00035AC5">
        <w:tblPrEx>
          <w:tblW w:w="0" w:type="auto"/>
          <w:tblLook w:val="01E0"/>
        </w:tblPrEx>
        <w:trPr>
          <w:cantSplit/>
        </w:trPr>
        <w:tc>
          <w:tcPr>
            <w:tcW w:w="2568" w:type="dxa"/>
            <w:gridSpan w:val="2"/>
            <w:vMerge/>
          </w:tcPr>
          <w:p w:rsidR="00C04163" w:rsidRPr="00295E71" w:rsidP="00C04163" w14:paraId="6D714500" w14:textId="77777777">
            <w:pPr>
              <w:widowControl w:val="0"/>
              <w:spacing w:before="60"/>
              <w:jc w:val="center"/>
              <w:rPr>
                <w:b/>
                <w:sz w:val="22"/>
                <w:szCs w:val="22"/>
              </w:rPr>
            </w:pPr>
          </w:p>
        </w:tc>
        <w:tc>
          <w:tcPr>
            <w:tcW w:w="2036" w:type="dxa"/>
            <w:gridSpan w:val="2"/>
            <w:tcBorders>
              <w:top w:val="single" w:sz="4" w:space="0" w:color="auto"/>
              <w:bottom w:val="single" w:sz="4" w:space="0" w:color="auto"/>
            </w:tcBorders>
          </w:tcPr>
          <w:p w:rsidR="00C04163" w:rsidRPr="00295E71" w:rsidP="00C04163" w14:paraId="2D71085D" w14:textId="77777777">
            <w:pPr>
              <w:pStyle w:val="EMEANormal"/>
              <w:widowControl w:val="0"/>
              <w:rPr>
                <w:lang w:val="it-IT"/>
              </w:rPr>
            </w:pPr>
            <w:r w:rsidRPr="00295E71">
              <w:rPr>
                <w:lang w:val="it-IT"/>
              </w:rPr>
              <w:t>Comune</w:t>
            </w:r>
          </w:p>
          <w:p w:rsidR="00C04163" w:rsidRPr="00295E71" w:rsidP="00C04163" w14:paraId="645A98E5" w14:textId="77777777">
            <w:pPr>
              <w:pStyle w:val="EMEANormal"/>
              <w:widowControl w:val="0"/>
              <w:rPr>
                <w:lang w:val="it-IT"/>
              </w:rPr>
            </w:pPr>
          </w:p>
        </w:tc>
        <w:tc>
          <w:tcPr>
            <w:tcW w:w="4456" w:type="dxa"/>
            <w:tcBorders>
              <w:top w:val="single" w:sz="4" w:space="0" w:color="auto"/>
              <w:bottom w:val="single" w:sz="4" w:space="0" w:color="auto"/>
            </w:tcBorders>
          </w:tcPr>
          <w:p w:rsidR="00C04163" w:rsidRPr="00295E71" w:rsidP="00C04163" w14:paraId="02A8837A" w14:textId="77777777">
            <w:pPr>
              <w:pStyle w:val="EMEANormal"/>
              <w:widowControl w:val="0"/>
              <w:jc w:val="both"/>
              <w:rPr>
                <w:lang w:val="it-IT"/>
              </w:rPr>
            </w:pPr>
            <w:r w:rsidRPr="00295E71">
              <w:rPr>
                <w:lang w:val="it-IT"/>
              </w:rPr>
              <w:t xml:space="preserve">Dolore toracico, </w:t>
            </w:r>
          </w:p>
          <w:p w:rsidR="00C04163" w:rsidRPr="00295E71" w:rsidP="00C04163" w14:paraId="15C8A395" w14:textId="77777777">
            <w:pPr>
              <w:pStyle w:val="EMEANormal"/>
              <w:widowControl w:val="0"/>
              <w:jc w:val="both"/>
              <w:rPr>
                <w:lang w:val="it-IT"/>
              </w:rPr>
            </w:pPr>
            <w:r w:rsidRPr="00295E71">
              <w:rPr>
                <w:lang w:val="it-IT"/>
              </w:rPr>
              <w:t>edema,</w:t>
            </w:r>
          </w:p>
          <w:p w:rsidR="00C04163" w:rsidRPr="00295E71" w:rsidP="00C04163" w14:paraId="4D3850D0" w14:textId="77777777">
            <w:pPr>
              <w:pStyle w:val="EMEANormal"/>
              <w:widowControl w:val="0"/>
              <w:jc w:val="both"/>
              <w:rPr>
                <w:lang w:val="it-IT"/>
              </w:rPr>
            </w:pPr>
            <w:r w:rsidRPr="00295E71">
              <w:rPr>
                <w:lang w:val="it-IT"/>
              </w:rPr>
              <w:t>piressia</w:t>
            </w:r>
            <w:r w:rsidRPr="00295E71">
              <w:rPr>
                <w:vertAlign w:val="superscript"/>
                <w:lang w:val="it-IT"/>
              </w:rPr>
              <w:t>1)</w:t>
            </w:r>
          </w:p>
        </w:tc>
      </w:tr>
      <w:tr w14:paraId="201A6C2C" w14:textId="77777777" w:rsidTr="00035AC5">
        <w:tblPrEx>
          <w:tblW w:w="0" w:type="auto"/>
          <w:tblLook w:val="01E0"/>
        </w:tblPrEx>
        <w:trPr>
          <w:cantSplit/>
        </w:trPr>
        <w:tc>
          <w:tcPr>
            <w:tcW w:w="2568" w:type="dxa"/>
            <w:gridSpan w:val="2"/>
            <w:vMerge/>
          </w:tcPr>
          <w:p w:rsidR="00C04163" w:rsidRPr="00295E71" w:rsidP="00C04163" w14:paraId="6A241F4D" w14:textId="77777777">
            <w:pPr>
              <w:widowControl w:val="0"/>
              <w:spacing w:before="60"/>
              <w:jc w:val="center"/>
              <w:rPr>
                <w:b/>
                <w:sz w:val="22"/>
                <w:szCs w:val="22"/>
              </w:rPr>
            </w:pPr>
          </w:p>
        </w:tc>
        <w:tc>
          <w:tcPr>
            <w:tcW w:w="2036" w:type="dxa"/>
            <w:gridSpan w:val="2"/>
            <w:tcBorders>
              <w:top w:val="single" w:sz="4" w:space="0" w:color="auto"/>
            </w:tcBorders>
          </w:tcPr>
          <w:p w:rsidR="00C04163" w:rsidRPr="00295E71" w:rsidP="00C04163" w14:paraId="06D1AA56" w14:textId="77777777">
            <w:pPr>
              <w:pStyle w:val="EMEANormal"/>
              <w:widowControl w:val="0"/>
              <w:rPr>
                <w:lang w:val="it-IT"/>
              </w:rPr>
            </w:pPr>
          </w:p>
          <w:p w:rsidR="00C04163" w:rsidRPr="00295E71" w:rsidP="00C04163" w14:paraId="34806528" w14:textId="77777777">
            <w:pPr>
              <w:pStyle w:val="EMEANormal"/>
              <w:widowControl w:val="0"/>
              <w:rPr>
                <w:lang w:val="it-IT"/>
              </w:rPr>
            </w:pPr>
            <w:r w:rsidRPr="00295E71">
              <w:rPr>
                <w:lang w:val="it-IT"/>
              </w:rPr>
              <w:t>Non comune</w:t>
            </w:r>
          </w:p>
          <w:p w:rsidR="00C04163" w:rsidRPr="00295E71" w:rsidP="00C04163" w14:paraId="3CB5870C" w14:textId="77777777">
            <w:pPr>
              <w:pStyle w:val="EMEANormal"/>
              <w:widowControl w:val="0"/>
              <w:rPr>
                <w:lang w:val="it-IT"/>
              </w:rPr>
            </w:pPr>
          </w:p>
        </w:tc>
        <w:tc>
          <w:tcPr>
            <w:tcW w:w="4456" w:type="dxa"/>
            <w:tcBorders>
              <w:top w:val="single" w:sz="4" w:space="0" w:color="auto"/>
            </w:tcBorders>
          </w:tcPr>
          <w:p w:rsidR="00C04163" w:rsidRPr="00295E71" w:rsidP="00C04163" w14:paraId="1B0AB732" w14:textId="77777777">
            <w:pPr>
              <w:pStyle w:val="EMEANormal"/>
              <w:widowControl w:val="0"/>
              <w:jc w:val="both"/>
              <w:rPr>
                <w:lang w:val="it-IT"/>
              </w:rPr>
            </w:pPr>
          </w:p>
          <w:p w:rsidR="00C04163" w:rsidRPr="00295E71" w:rsidP="00C04163" w14:paraId="0522B8DB" w14:textId="77777777">
            <w:pPr>
              <w:pStyle w:val="EMEANormal"/>
              <w:widowControl w:val="0"/>
              <w:jc w:val="both"/>
              <w:rPr>
                <w:lang w:val="it-IT"/>
              </w:rPr>
            </w:pPr>
            <w:r w:rsidRPr="00295E71">
              <w:rPr>
                <w:lang w:val="it-IT"/>
              </w:rPr>
              <w:t>Infiammazione</w:t>
            </w:r>
          </w:p>
        </w:tc>
      </w:tr>
      <w:tr w14:paraId="4EAE089C" w14:textId="77777777" w:rsidTr="003B3A5A">
        <w:tblPrEx>
          <w:tblW w:w="0" w:type="auto"/>
          <w:tblLook w:val="01E0"/>
        </w:tblPrEx>
        <w:tc>
          <w:tcPr>
            <w:tcW w:w="2568" w:type="dxa"/>
            <w:gridSpan w:val="2"/>
            <w:vMerge w:val="restart"/>
          </w:tcPr>
          <w:p w:rsidR="003118FF" w:rsidRPr="00295E71" w:rsidP="00C04163" w14:paraId="30B499D2" w14:textId="77777777">
            <w:pPr>
              <w:pStyle w:val="EMEANormal"/>
              <w:widowControl w:val="0"/>
              <w:spacing w:before="60"/>
              <w:rPr>
                <w:lang w:val="it-IT"/>
              </w:rPr>
            </w:pPr>
            <w:r w:rsidRPr="00295E71">
              <w:rPr>
                <w:lang w:val="it-IT"/>
              </w:rPr>
              <w:t>Esami diagnostici*</w:t>
            </w:r>
          </w:p>
        </w:tc>
        <w:tc>
          <w:tcPr>
            <w:tcW w:w="2036" w:type="dxa"/>
            <w:gridSpan w:val="2"/>
          </w:tcPr>
          <w:p w:rsidR="003118FF" w:rsidRPr="00295E71" w:rsidP="00C04163" w14:paraId="1B7DCBDB" w14:textId="77777777">
            <w:pPr>
              <w:pStyle w:val="EMEANormal"/>
              <w:widowControl w:val="0"/>
              <w:spacing w:before="60"/>
              <w:rPr>
                <w:lang w:val="it-IT"/>
              </w:rPr>
            </w:pPr>
            <w:r w:rsidRPr="00295E71">
              <w:rPr>
                <w:lang w:val="it-IT"/>
              </w:rPr>
              <w:t>Comune</w:t>
            </w:r>
          </w:p>
        </w:tc>
        <w:tc>
          <w:tcPr>
            <w:tcW w:w="4456" w:type="dxa"/>
          </w:tcPr>
          <w:p w:rsidR="003118FF" w:rsidRPr="00295E71" w:rsidP="00C04163" w14:paraId="44025DBC" w14:textId="77777777">
            <w:pPr>
              <w:pStyle w:val="EMEANormal"/>
              <w:widowControl w:val="0"/>
              <w:spacing w:before="60"/>
              <w:jc w:val="both"/>
              <w:rPr>
                <w:lang w:val="it-IT"/>
              </w:rPr>
            </w:pPr>
            <w:r w:rsidRPr="00295E71">
              <w:rPr>
                <w:lang w:val="it-IT"/>
              </w:rPr>
              <w:t xml:space="preserve">Disturbi della coagulazione </w:t>
            </w:r>
            <w:r w:rsidRPr="00A27960">
              <w:rPr>
                <w:lang w:val="it-IT"/>
              </w:rPr>
              <w:t xml:space="preserve">e disturbi emorragici </w:t>
            </w:r>
            <w:r w:rsidRPr="00295E71">
              <w:rPr>
                <w:lang w:val="it-IT"/>
              </w:rPr>
              <w:t xml:space="preserve">(tra cui prolungamento del tempo di tromboplastina parziale attivata), </w:t>
            </w:r>
          </w:p>
          <w:p w:rsidR="003118FF" w:rsidRPr="00295E71" w:rsidP="00C04163" w14:paraId="29D2D296" w14:textId="77777777">
            <w:pPr>
              <w:pStyle w:val="EMEANormal"/>
              <w:widowControl w:val="0"/>
              <w:spacing w:before="60"/>
              <w:jc w:val="both"/>
              <w:rPr>
                <w:lang w:val="it-IT"/>
              </w:rPr>
            </w:pPr>
            <w:r w:rsidRPr="00295E71">
              <w:rPr>
                <w:lang w:val="it-IT"/>
              </w:rPr>
              <w:t>positività ai test per autoanticorpi (tra cui anticorpi anti</w:t>
            </w:r>
            <w:r>
              <w:rPr>
                <w:lang w:val="it-IT"/>
              </w:rPr>
              <w:t>-</w:t>
            </w:r>
            <w:r w:rsidRPr="00295E71">
              <w:rPr>
                <w:lang w:val="it-IT"/>
              </w:rPr>
              <w:t xml:space="preserve">DNA a doppia catena), </w:t>
            </w:r>
          </w:p>
          <w:p w:rsidR="003118FF" w:rsidRPr="00295E71" w:rsidP="00C04163" w14:paraId="17E57D71" w14:textId="77777777">
            <w:pPr>
              <w:pStyle w:val="EMEANormal"/>
              <w:widowControl w:val="0"/>
              <w:spacing w:before="60"/>
              <w:jc w:val="both"/>
              <w:rPr>
                <w:lang w:val="it-IT"/>
              </w:rPr>
            </w:pPr>
            <w:r w:rsidRPr="00295E71">
              <w:rPr>
                <w:lang w:val="it-IT"/>
              </w:rPr>
              <w:t>aumento della lattato deidrogenasi ematica</w:t>
            </w:r>
          </w:p>
          <w:p w:rsidR="003118FF" w:rsidRPr="00295E71" w:rsidP="00C04163" w14:paraId="5A0A0D53" w14:textId="77777777">
            <w:pPr>
              <w:pStyle w:val="EMEANormal"/>
              <w:widowControl w:val="0"/>
              <w:spacing w:before="60"/>
              <w:jc w:val="both"/>
              <w:rPr>
                <w:lang w:val="it-IT"/>
              </w:rPr>
            </w:pPr>
          </w:p>
        </w:tc>
      </w:tr>
      <w:tr w14:paraId="7F780ABC" w14:textId="77777777" w:rsidTr="00035AC5">
        <w:tblPrEx>
          <w:tblW w:w="0" w:type="auto"/>
          <w:tblLook w:val="01E0"/>
        </w:tblPrEx>
        <w:tc>
          <w:tcPr>
            <w:tcW w:w="2568" w:type="dxa"/>
            <w:gridSpan w:val="2"/>
            <w:vMerge/>
          </w:tcPr>
          <w:p w:rsidR="003118FF" w:rsidRPr="00295E71" w:rsidP="00C04163" w14:paraId="058D3240" w14:textId="77777777">
            <w:pPr>
              <w:pStyle w:val="EMEANormal"/>
              <w:widowControl w:val="0"/>
              <w:spacing w:before="60"/>
              <w:rPr>
                <w:lang w:val="it-IT"/>
              </w:rPr>
            </w:pPr>
          </w:p>
        </w:tc>
        <w:tc>
          <w:tcPr>
            <w:tcW w:w="2036" w:type="dxa"/>
            <w:gridSpan w:val="2"/>
          </w:tcPr>
          <w:p w:rsidR="003118FF" w:rsidRPr="00295E71" w:rsidP="00C04163" w14:paraId="14CD721B" w14:textId="77777777">
            <w:pPr>
              <w:pStyle w:val="EMEANormal"/>
              <w:widowControl w:val="0"/>
              <w:spacing w:before="60"/>
              <w:rPr>
                <w:lang w:val="it-IT"/>
              </w:rPr>
            </w:pPr>
            <w:r>
              <w:rPr>
                <w:lang w:val="it-IT"/>
              </w:rPr>
              <w:t>Non nota</w:t>
            </w:r>
          </w:p>
        </w:tc>
        <w:tc>
          <w:tcPr>
            <w:tcW w:w="4456" w:type="dxa"/>
          </w:tcPr>
          <w:p w:rsidR="003118FF" w:rsidRPr="00FD1D51" w:rsidP="00C04163" w14:paraId="289F39C5" w14:textId="77777777">
            <w:pPr>
              <w:pStyle w:val="EMEANormal"/>
              <w:widowControl w:val="0"/>
              <w:spacing w:before="60"/>
              <w:jc w:val="both"/>
              <w:rPr>
                <w:vertAlign w:val="superscript"/>
                <w:lang w:val="it-IT"/>
              </w:rPr>
            </w:pPr>
            <w:bookmarkStart w:id="38" w:name="_Hlk63775473"/>
            <w:r>
              <w:rPr>
                <w:lang w:val="it-IT"/>
              </w:rPr>
              <w:t>Aumento di peso</w:t>
            </w:r>
            <w:r>
              <w:rPr>
                <w:vertAlign w:val="superscript"/>
                <w:lang w:val="it-IT"/>
              </w:rPr>
              <w:t>2)</w:t>
            </w:r>
            <w:bookmarkEnd w:id="38"/>
          </w:p>
        </w:tc>
      </w:tr>
      <w:tr w14:paraId="5CF7D28E" w14:textId="77777777" w:rsidTr="00035AC5">
        <w:tblPrEx>
          <w:tblW w:w="0" w:type="auto"/>
          <w:tblLook w:val="01E0"/>
        </w:tblPrEx>
        <w:tc>
          <w:tcPr>
            <w:tcW w:w="2568" w:type="dxa"/>
            <w:gridSpan w:val="2"/>
          </w:tcPr>
          <w:p w:rsidR="00C04163" w:rsidRPr="00295E71" w:rsidP="00C04163" w14:paraId="3B40DC23" w14:textId="77777777">
            <w:pPr>
              <w:pStyle w:val="EMEANormal"/>
              <w:widowControl w:val="0"/>
              <w:spacing w:before="60"/>
              <w:rPr>
                <w:lang w:val="it-IT"/>
              </w:rPr>
            </w:pPr>
            <w:r w:rsidRPr="00295E71">
              <w:rPr>
                <w:lang w:val="it-IT"/>
              </w:rPr>
              <w:t>Traumatismo, avvelenamento e complicazioni da procedura</w:t>
            </w:r>
          </w:p>
        </w:tc>
        <w:tc>
          <w:tcPr>
            <w:tcW w:w="2036" w:type="dxa"/>
            <w:gridSpan w:val="2"/>
          </w:tcPr>
          <w:p w:rsidR="00C04163" w:rsidRPr="00295E71" w:rsidP="00C04163" w14:paraId="4249FEB6" w14:textId="77777777">
            <w:pPr>
              <w:pStyle w:val="EMEANormal"/>
              <w:widowControl w:val="0"/>
              <w:spacing w:before="60"/>
              <w:rPr>
                <w:lang w:val="it-IT"/>
              </w:rPr>
            </w:pPr>
            <w:r w:rsidRPr="00295E71">
              <w:rPr>
                <w:lang w:val="it-IT"/>
              </w:rPr>
              <w:t>Comune</w:t>
            </w:r>
          </w:p>
        </w:tc>
        <w:tc>
          <w:tcPr>
            <w:tcW w:w="4456" w:type="dxa"/>
          </w:tcPr>
          <w:p w:rsidR="00C04163" w:rsidRPr="00295E71" w:rsidP="00C04163" w14:paraId="2BBD5759" w14:textId="77777777">
            <w:pPr>
              <w:pStyle w:val="EMEANormal"/>
              <w:widowControl w:val="0"/>
              <w:spacing w:before="60"/>
              <w:jc w:val="both"/>
              <w:rPr>
                <w:lang w:val="it-IT"/>
              </w:rPr>
            </w:pPr>
            <w:r w:rsidRPr="00295E71">
              <w:rPr>
                <w:lang w:val="it-IT"/>
              </w:rPr>
              <w:t>Difficoltà di cicatrizzazione</w:t>
            </w:r>
          </w:p>
          <w:p w:rsidR="00C04163" w:rsidRPr="00295E71" w:rsidP="00C04163" w14:paraId="19CCB2E6" w14:textId="77777777">
            <w:pPr>
              <w:pStyle w:val="EMEANormal"/>
              <w:widowControl w:val="0"/>
              <w:spacing w:before="60"/>
              <w:jc w:val="both"/>
              <w:rPr>
                <w:lang w:val="it-IT"/>
              </w:rPr>
            </w:pPr>
          </w:p>
        </w:tc>
      </w:tr>
    </w:tbl>
    <w:p w:rsidR="00157870" w:rsidRPr="00295E71" w:rsidP="00C04163" w14:paraId="2A5589D9" w14:textId="77777777">
      <w:pPr>
        <w:rPr>
          <w:sz w:val="22"/>
          <w:szCs w:val="22"/>
        </w:rPr>
      </w:pPr>
    </w:p>
    <w:p w:rsidR="00157870" w:rsidRPr="00295E71" w:rsidP="00C04163" w14:paraId="2E9611C4" w14:textId="77777777">
      <w:pPr>
        <w:pStyle w:val="EMEANormal"/>
        <w:widowControl w:val="0"/>
        <w:rPr>
          <w:lang w:val="it-IT"/>
        </w:rPr>
      </w:pPr>
      <w:r w:rsidRPr="00295E71">
        <w:rPr>
          <w:lang w:val="it-IT"/>
        </w:rPr>
        <w:t>* sono presenti ulteriori informazioni contenute</w:t>
      </w:r>
      <w:r w:rsidR="00CE787B">
        <w:rPr>
          <w:lang w:val="it-IT"/>
        </w:rPr>
        <w:t xml:space="preserve"> </w:t>
      </w:r>
      <w:r w:rsidRPr="00295E71">
        <w:rPr>
          <w:lang w:val="it-IT"/>
        </w:rPr>
        <w:t>nei paragrafi 4.3, 4.4 e 4.8</w:t>
      </w:r>
    </w:p>
    <w:p w:rsidR="00157870" w:rsidRPr="00295E71" w:rsidP="00C04163" w14:paraId="4E344E11" w14:textId="77777777">
      <w:pPr>
        <w:pStyle w:val="EMEANormal"/>
        <w:widowControl w:val="0"/>
        <w:rPr>
          <w:lang w:val="it-IT"/>
        </w:rPr>
      </w:pPr>
      <w:r w:rsidRPr="00295E71">
        <w:rPr>
          <w:lang w:val="it-IT"/>
        </w:rPr>
        <w:t>** tra cui studi di estensione in aperto</w:t>
      </w:r>
    </w:p>
    <w:p w:rsidR="00157870" w:rsidP="003B3A5A" w14:paraId="47A3AF0D" w14:textId="77777777">
      <w:pPr>
        <w:pStyle w:val="EMEANormal"/>
        <w:widowControl w:val="0"/>
        <w:numPr>
          <w:ilvl w:val="0"/>
          <w:numId w:val="161"/>
        </w:numPr>
        <w:rPr>
          <w:lang w:val="it-IT"/>
        </w:rPr>
      </w:pPr>
      <w:r w:rsidRPr="00295E71">
        <w:rPr>
          <w:lang w:val="it-IT"/>
        </w:rPr>
        <w:t>tra cui dati provenienti da segnalazioni spontanee</w:t>
      </w:r>
    </w:p>
    <w:p w:rsidR="003118FF" w:rsidRPr="00A01AD4" w:rsidP="007A3ADA" w14:paraId="6D7F6D7F" w14:textId="77777777">
      <w:pPr>
        <w:pStyle w:val="EMEANormal"/>
        <w:widowControl w:val="0"/>
        <w:numPr>
          <w:ilvl w:val="0"/>
          <w:numId w:val="161"/>
        </w:numPr>
        <w:rPr>
          <w:lang w:val="it-IT"/>
        </w:rPr>
      </w:pPr>
      <w:bookmarkStart w:id="39" w:name="_Hlk63775452"/>
      <w:r w:rsidRPr="007A3ADA">
        <w:rPr>
          <w:lang w:val="it-IT"/>
        </w:rPr>
        <w:t>La variazione ponderale media rispetto al basale per adalimumab era compresa tra 0,3 kg e 1,0 kg per le indicazioni per adulti rispetto a (meno) - 0,4 kg e 0,4 kg per il placebo nell’arco di un periodo di trattamento di 4-6 mesi. È stato osservato anche un aumento di peso di 5-6 kg in studi di estensione a lungo termine con esposizioni medie di circa 1-2 anni in assenza di un gruppo di controllo, in particolare nei pazienti affetti da morbo di Crohn e colite ulcerosa. Il meccanismo alla base di questo effetto non è chiaro, ma potrebbe essere associato all’effetto antinfiammatorio di adalimumab.</w:t>
      </w:r>
    </w:p>
    <w:bookmarkEnd w:id="39"/>
    <w:p w:rsidR="00157870" w:rsidRPr="00295E71" w:rsidP="00157870" w14:paraId="4C9890EE" w14:textId="77777777">
      <w:pPr>
        <w:tabs>
          <w:tab w:val="left" w:pos="567"/>
        </w:tabs>
        <w:autoSpaceDE w:val="0"/>
        <w:autoSpaceDN w:val="0"/>
        <w:adjustRightInd w:val="0"/>
        <w:jc w:val="both"/>
        <w:rPr>
          <w:color w:val="000000"/>
          <w:sz w:val="22"/>
          <w:szCs w:val="22"/>
          <w:u w:val="single"/>
        </w:rPr>
      </w:pPr>
    </w:p>
    <w:p w:rsidR="00157870" w:rsidRPr="00295E71" w:rsidP="00157870" w14:paraId="13FCD49A" w14:textId="77777777">
      <w:pPr>
        <w:keepNext/>
        <w:rPr>
          <w:color w:val="000000"/>
          <w:sz w:val="22"/>
          <w:szCs w:val="22"/>
          <w:u w:val="single"/>
        </w:rPr>
      </w:pPr>
      <w:r w:rsidRPr="00295E71">
        <w:rPr>
          <w:color w:val="000000"/>
          <w:sz w:val="22"/>
          <w:szCs w:val="22"/>
          <w:u w:val="single"/>
        </w:rPr>
        <w:t>Uveite</w:t>
      </w:r>
    </w:p>
    <w:p w:rsidR="00157870" w:rsidRPr="00295E71" w:rsidP="00157870" w14:paraId="6574DF20" w14:textId="77777777">
      <w:pPr>
        <w:keepNext/>
        <w:tabs>
          <w:tab w:val="left" w:pos="567"/>
        </w:tabs>
        <w:autoSpaceDE w:val="0"/>
        <w:autoSpaceDN w:val="0"/>
        <w:adjustRightInd w:val="0"/>
        <w:jc w:val="both"/>
        <w:rPr>
          <w:color w:val="000000"/>
          <w:sz w:val="22"/>
          <w:szCs w:val="22"/>
        </w:rPr>
      </w:pPr>
    </w:p>
    <w:p w:rsidR="00157870" w:rsidRPr="00295E71" w:rsidP="00157870" w14:paraId="4FA0BDE5" w14:textId="77777777">
      <w:pPr>
        <w:keepNext/>
        <w:tabs>
          <w:tab w:val="left" w:pos="567"/>
        </w:tabs>
        <w:autoSpaceDE w:val="0"/>
        <w:autoSpaceDN w:val="0"/>
        <w:adjustRightInd w:val="0"/>
        <w:jc w:val="both"/>
        <w:rPr>
          <w:color w:val="000000"/>
          <w:sz w:val="22"/>
          <w:szCs w:val="22"/>
        </w:rPr>
      </w:pPr>
      <w:r w:rsidRPr="00295E71">
        <w:rPr>
          <w:color w:val="000000"/>
          <w:sz w:val="22"/>
          <w:szCs w:val="22"/>
        </w:rPr>
        <w:t xml:space="preserve">Il profilo di sicurezza nei pazienti </w:t>
      </w:r>
      <w:r w:rsidRPr="00295E71" w:rsidR="00224E13">
        <w:rPr>
          <w:color w:val="000000"/>
          <w:sz w:val="22"/>
          <w:szCs w:val="22"/>
        </w:rPr>
        <w:t>con</w:t>
      </w:r>
      <w:r w:rsidRPr="00295E71">
        <w:rPr>
          <w:color w:val="000000"/>
          <w:sz w:val="22"/>
          <w:szCs w:val="22"/>
        </w:rPr>
        <w:t xml:space="preserve"> uveite trattati con Humira a settimane alterne è </w:t>
      </w:r>
      <w:r w:rsidR="00CE787B">
        <w:rPr>
          <w:color w:val="000000"/>
          <w:sz w:val="22"/>
          <w:szCs w:val="22"/>
        </w:rPr>
        <w:t xml:space="preserve">stato </w:t>
      </w:r>
      <w:r w:rsidRPr="00295E71">
        <w:rPr>
          <w:color w:val="000000"/>
          <w:sz w:val="22"/>
          <w:szCs w:val="22"/>
        </w:rPr>
        <w:t>coerente con il profilo di sicurezza noto di Humira.</w:t>
      </w:r>
    </w:p>
    <w:p w:rsidR="00157870" w:rsidRPr="00295E71" w:rsidP="00157870" w14:paraId="64A1C9EA" w14:textId="77777777">
      <w:pPr>
        <w:tabs>
          <w:tab w:val="left" w:pos="567"/>
        </w:tabs>
        <w:autoSpaceDE w:val="0"/>
        <w:autoSpaceDN w:val="0"/>
        <w:adjustRightInd w:val="0"/>
        <w:jc w:val="both"/>
        <w:rPr>
          <w:color w:val="000000"/>
          <w:sz w:val="22"/>
          <w:szCs w:val="22"/>
          <w:u w:val="single"/>
        </w:rPr>
      </w:pPr>
    </w:p>
    <w:p w:rsidR="00157870" w:rsidRPr="00295E71" w:rsidP="00157870" w14:paraId="2DCBFA0A" w14:textId="77777777">
      <w:pPr>
        <w:tabs>
          <w:tab w:val="left" w:pos="567"/>
        </w:tabs>
        <w:autoSpaceDE w:val="0"/>
        <w:autoSpaceDN w:val="0"/>
        <w:adjustRightInd w:val="0"/>
        <w:jc w:val="both"/>
        <w:rPr>
          <w:color w:val="000000"/>
          <w:sz w:val="22"/>
          <w:szCs w:val="22"/>
          <w:u w:val="single"/>
        </w:rPr>
      </w:pPr>
      <w:r w:rsidRPr="00295E71">
        <w:rPr>
          <w:color w:val="000000"/>
          <w:sz w:val="22"/>
          <w:szCs w:val="22"/>
          <w:u w:val="single"/>
        </w:rPr>
        <w:t>Descrizione delle reazioni avverse selezionate</w:t>
      </w:r>
    </w:p>
    <w:p w:rsidR="00157870" w:rsidRPr="00295E71" w:rsidP="00157870" w14:paraId="054417EB" w14:textId="77777777">
      <w:pPr>
        <w:tabs>
          <w:tab w:val="left" w:pos="567"/>
        </w:tabs>
        <w:autoSpaceDE w:val="0"/>
        <w:autoSpaceDN w:val="0"/>
        <w:adjustRightInd w:val="0"/>
        <w:jc w:val="both"/>
        <w:rPr>
          <w:color w:val="000000"/>
          <w:sz w:val="22"/>
          <w:szCs w:val="22"/>
          <w:u w:val="single"/>
        </w:rPr>
      </w:pPr>
    </w:p>
    <w:p w:rsidR="00157870" w:rsidRPr="00295E71" w:rsidP="00157870" w14:paraId="20565463" w14:textId="77777777">
      <w:pPr>
        <w:tabs>
          <w:tab w:val="left" w:pos="567"/>
        </w:tabs>
        <w:autoSpaceDE w:val="0"/>
        <w:autoSpaceDN w:val="0"/>
        <w:adjustRightInd w:val="0"/>
        <w:jc w:val="both"/>
        <w:rPr>
          <w:i/>
          <w:color w:val="000000"/>
          <w:sz w:val="22"/>
          <w:szCs w:val="22"/>
        </w:rPr>
      </w:pPr>
      <w:r w:rsidRPr="00295E71">
        <w:rPr>
          <w:i/>
          <w:color w:val="000000"/>
          <w:sz w:val="22"/>
          <w:szCs w:val="22"/>
        </w:rPr>
        <w:t>Reazioni nel sito di iniezione</w:t>
      </w:r>
    </w:p>
    <w:p w:rsidR="00157870" w:rsidRPr="00295E71" w:rsidP="00157870" w14:paraId="2AF00E6B" w14:textId="77777777">
      <w:pPr>
        <w:tabs>
          <w:tab w:val="left" w:pos="567"/>
        </w:tabs>
        <w:autoSpaceDE w:val="0"/>
        <w:autoSpaceDN w:val="0"/>
        <w:adjustRightInd w:val="0"/>
        <w:jc w:val="both"/>
        <w:rPr>
          <w:color w:val="000000"/>
          <w:sz w:val="22"/>
          <w:szCs w:val="22"/>
          <w:u w:val="single"/>
        </w:rPr>
      </w:pPr>
    </w:p>
    <w:p w:rsidR="00157870" w:rsidRPr="00295E71" w:rsidP="00157870" w14:paraId="5665D80A" w14:textId="77777777">
      <w:pPr>
        <w:tabs>
          <w:tab w:val="left" w:pos="567"/>
        </w:tabs>
        <w:autoSpaceDE w:val="0"/>
        <w:autoSpaceDN w:val="0"/>
        <w:adjustRightInd w:val="0"/>
        <w:jc w:val="both"/>
        <w:rPr>
          <w:color w:val="000000"/>
          <w:sz w:val="22"/>
          <w:szCs w:val="22"/>
        </w:rPr>
      </w:pPr>
      <w:r w:rsidRPr="00295E71">
        <w:rPr>
          <w:color w:val="000000"/>
          <w:sz w:val="22"/>
          <w:szCs w:val="22"/>
        </w:rPr>
        <w:t xml:space="preserve">Negli studi clinici registrativi controllati su adulti e bambini, il 12,9% dei pazienti trattati con Humira ha manifestato reazioni nel sito d’iniezione (eritema e/o prurito, emorragia, dolore o edema), contro il 7,2% dei pazienti trattati con placebo o con controllo attivo. Le reazioni nel sito d’iniezione non hanno richiesto generalmente la sospensione del </w:t>
      </w:r>
      <w:r w:rsidR="00CE787B">
        <w:rPr>
          <w:color w:val="000000"/>
          <w:sz w:val="22"/>
          <w:szCs w:val="22"/>
        </w:rPr>
        <w:t>medicinale</w:t>
      </w:r>
      <w:r w:rsidRPr="00295E71">
        <w:rPr>
          <w:color w:val="000000"/>
          <w:sz w:val="22"/>
          <w:szCs w:val="22"/>
        </w:rPr>
        <w:t>.</w:t>
      </w:r>
    </w:p>
    <w:p w:rsidR="00157870" w:rsidRPr="00295E71" w:rsidP="00157870" w14:paraId="1C1DE82D" w14:textId="77777777">
      <w:pPr>
        <w:rPr>
          <w:color w:val="000000"/>
          <w:sz w:val="22"/>
          <w:szCs w:val="22"/>
          <w:u w:val="single"/>
        </w:rPr>
      </w:pPr>
    </w:p>
    <w:p w:rsidR="00157870" w:rsidRPr="00295E71" w:rsidP="00157870" w14:paraId="4260D971" w14:textId="77777777">
      <w:pPr>
        <w:tabs>
          <w:tab w:val="left" w:pos="567"/>
        </w:tabs>
        <w:autoSpaceDE w:val="0"/>
        <w:autoSpaceDN w:val="0"/>
        <w:adjustRightInd w:val="0"/>
        <w:jc w:val="both"/>
        <w:rPr>
          <w:i/>
          <w:color w:val="000000"/>
          <w:sz w:val="22"/>
          <w:szCs w:val="22"/>
        </w:rPr>
      </w:pPr>
      <w:r w:rsidRPr="00295E71">
        <w:rPr>
          <w:i/>
          <w:color w:val="000000"/>
          <w:sz w:val="22"/>
          <w:szCs w:val="22"/>
        </w:rPr>
        <w:t>Infezioni</w:t>
      </w:r>
    </w:p>
    <w:p w:rsidR="00157870" w:rsidRPr="00295E71" w:rsidP="00157870" w14:paraId="1882AEC0" w14:textId="77777777">
      <w:pPr>
        <w:tabs>
          <w:tab w:val="left" w:pos="567"/>
        </w:tabs>
        <w:autoSpaceDE w:val="0"/>
        <w:autoSpaceDN w:val="0"/>
        <w:adjustRightInd w:val="0"/>
        <w:jc w:val="both"/>
        <w:rPr>
          <w:color w:val="000000"/>
          <w:sz w:val="22"/>
          <w:szCs w:val="22"/>
        </w:rPr>
      </w:pPr>
    </w:p>
    <w:p w:rsidR="00157870" w:rsidRPr="00295E71" w:rsidP="00157870" w14:paraId="6876C866" w14:textId="77777777">
      <w:pPr>
        <w:pStyle w:val="BodyText"/>
        <w:tabs>
          <w:tab w:val="left" w:pos="567"/>
        </w:tabs>
      </w:pPr>
      <w:r w:rsidRPr="00295E71">
        <w:t>Negli studi clinici registrativi controllati su adulti e bambini, il tasso d’infezione è stato di 1,51 per paziente/anno nel gruppo trattato con Humira e di 1,46 per paziente/anno nel gruppo trattato con placebo e con controllo attivo. Le infezioni sono state rappresentate principalmente da rinofaringiti, infezioni delle vie respiratorie superiori e sinusite. La maggior parte dei pazienti ha continuato ad assumere Humira dopo la remissione dell’infezione.</w:t>
      </w:r>
    </w:p>
    <w:p w:rsidR="00157870" w:rsidRPr="00295E71" w:rsidP="00157870" w14:paraId="2FF2EA4A" w14:textId="77777777">
      <w:pPr>
        <w:pStyle w:val="BodyText"/>
        <w:tabs>
          <w:tab w:val="left" w:pos="567"/>
        </w:tabs>
      </w:pPr>
    </w:p>
    <w:p w:rsidR="00157870" w:rsidRPr="00295E71" w:rsidP="00157870" w14:paraId="1512EEAE" w14:textId="77777777">
      <w:pPr>
        <w:pStyle w:val="BodyText"/>
        <w:tabs>
          <w:tab w:val="left" w:pos="567"/>
        </w:tabs>
      </w:pPr>
      <w:r w:rsidRPr="00295E71">
        <w:t>L’incidenza di infezioni gravi è stata di 0,04</w:t>
      </w:r>
      <w:r w:rsidRPr="00295E71" w:rsidR="007F1EB6">
        <w:t xml:space="preserve"> </w:t>
      </w:r>
      <w:r w:rsidRPr="00295E71">
        <w:t>per paziente/anno nel gruppo trattato con Humira e di 0,03 per paziente/anno in quello trattato con placebo e con controllo attivo.</w:t>
      </w:r>
    </w:p>
    <w:p w:rsidR="00157870" w:rsidRPr="00295E71" w:rsidP="00157870" w14:paraId="125B3BDE" w14:textId="77777777">
      <w:pPr>
        <w:pStyle w:val="BodyText"/>
        <w:tabs>
          <w:tab w:val="left" w:pos="567"/>
        </w:tabs>
      </w:pPr>
    </w:p>
    <w:p w:rsidR="00157870" w:rsidRPr="00295E71" w:rsidP="00157870" w14:paraId="51145F08" w14:textId="77777777">
      <w:pPr>
        <w:pStyle w:val="BodyText"/>
        <w:tabs>
          <w:tab w:val="left" w:pos="567"/>
        </w:tabs>
      </w:pPr>
      <w:r w:rsidRPr="00295E71">
        <w:t>Nel corso degli studi controllati e in aperto condotti con Humira su adulti e bambini, sono state segnalate infezioni di grave entità (anche infezioni fatali, verificatesi solo raramente), che hanno incluso segnalazioni di casi di tubercolosi (anche con localizzazioni miliari ed extra-polmonari) e infezioni opportunistiche invasive (per esempio, istoplasmosi disseminata o extrapolmonare, blastomicosi, coccidioidomicosi, pneumocistosi, candidosi, aspergillosi e listeriosi). La maggior parte dei casi di tubercolosi si è verificata nel corso dei primi otto mesi dall’inizio della terapia e possono essere interpretati come una recrudescenza della malattia latente.</w:t>
      </w:r>
    </w:p>
    <w:p w:rsidR="00157870" w:rsidRPr="00295E71" w:rsidP="00157870" w14:paraId="158E9644" w14:textId="77777777">
      <w:pPr>
        <w:tabs>
          <w:tab w:val="left" w:pos="567"/>
        </w:tabs>
        <w:jc w:val="both"/>
        <w:rPr>
          <w:sz w:val="22"/>
          <w:szCs w:val="22"/>
        </w:rPr>
      </w:pPr>
    </w:p>
    <w:p w:rsidR="00157870" w:rsidRPr="00295E71" w:rsidP="00F57FE5" w14:paraId="1A2778CF" w14:textId="77777777">
      <w:pPr>
        <w:keepNext/>
        <w:keepLines/>
        <w:tabs>
          <w:tab w:val="left" w:pos="567"/>
        </w:tabs>
        <w:autoSpaceDE w:val="0"/>
        <w:autoSpaceDN w:val="0"/>
        <w:adjustRightInd w:val="0"/>
        <w:jc w:val="both"/>
        <w:rPr>
          <w:i/>
          <w:color w:val="000000"/>
          <w:sz w:val="22"/>
          <w:szCs w:val="22"/>
        </w:rPr>
      </w:pPr>
      <w:r w:rsidRPr="00295E71">
        <w:rPr>
          <w:i/>
          <w:color w:val="000000"/>
          <w:sz w:val="22"/>
          <w:szCs w:val="22"/>
        </w:rPr>
        <w:t>Neoplasie e malattie linfoproliferative</w:t>
      </w:r>
    </w:p>
    <w:p w:rsidR="00157870" w:rsidRPr="00295E71" w:rsidP="00F57FE5" w14:paraId="77526953" w14:textId="77777777">
      <w:pPr>
        <w:keepNext/>
        <w:keepLines/>
        <w:tabs>
          <w:tab w:val="left" w:pos="567"/>
        </w:tabs>
        <w:autoSpaceDE w:val="0"/>
        <w:autoSpaceDN w:val="0"/>
        <w:adjustRightInd w:val="0"/>
        <w:jc w:val="both"/>
        <w:rPr>
          <w:color w:val="000000"/>
          <w:sz w:val="22"/>
          <w:szCs w:val="22"/>
          <w:u w:val="single"/>
        </w:rPr>
      </w:pPr>
    </w:p>
    <w:p w:rsidR="00157870" w:rsidRPr="00295E71" w:rsidP="00F57FE5" w14:paraId="2F9F83F9" w14:textId="77777777">
      <w:pPr>
        <w:keepNext/>
        <w:keepLines/>
        <w:tabs>
          <w:tab w:val="left" w:pos="567"/>
        </w:tabs>
        <w:autoSpaceDE w:val="0"/>
        <w:autoSpaceDN w:val="0"/>
        <w:adjustRightInd w:val="0"/>
        <w:jc w:val="both"/>
        <w:rPr>
          <w:rFonts w:eastAsia="Arial"/>
          <w:sz w:val="22"/>
          <w:szCs w:val="22"/>
          <w:lang w:bidi="it-IT"/>
        </w:rPr>
      </w:pPr>
      <w:r w:rsidRPr="00295E71">
        <w:rPr>
          <w:color w:val="000000"/>
          <w:sz w:val="22"/>
          <w:szCs w:val="22"/>
        </w:rPr>
        <w:t xml:space="preserve">Nel corso di studi eseguiti somministrando Humira ai pazienti </w:t>
      </w:r>
      <w:r w:rsidRPr="00295E71" w:rsidR="00224E13">
        <w:rPr>
          <w:color w:val="000000"/>
          <w:sz w:val="22"/>
          <w:szCs w:val="22"/>
        </w:rPr>
        <w:t>con</w:t>
      </w:r>
      <w:r w:rsidRPr="00295E71">
        <w:rPr>
          <w:color w:val="000000"/>
          <w:sz w:val="22"/>
          <w:szCs w:val="22"/>
        </w:rPr>
        <w:t xml:space="preserve"> artrite idiopatica giovanile (artrite idiopatica giovanile poliarticolare e artrite associata ad entesite), non sono state osservate neoplasie maligne nei 249 pazienti pediatrici con un’esposizione di 655,6 anni</w:t>
      </w:r>
      <w:r w:rsidR="00CE787B">
        <w:rPr>
          <w:color w:val="000000"/>
          <w:sz w:val="22"/>
          <w:szCs w:val="22"/>
        </w:rPr>
        <w:t>-</w:t>
      </w:r>
      <w:r w:rsidRPr="00295E71">
        <w:rPr>
          <w:color w:val="000000"/>
          <w:sz w:val="22"/>
          <w:szCs w:val="22"/>
        </w:rPr>
        <w:t>paziente. In aggiunta non sono state osservate neoplasie maligne nei 192 pazienti pediatrici con una esposizione di 498,1 anni</w:t>
      </w:r>
      <w:r w:rsidR="00CE787B">
        <w:rPr>
          <w:color w:val="000000"/>
          <w:sz w:val="22"/>
          <w:szCs w:val="22"/>
        </w:rPr>
        <w:t>-</w:t>
      </w:r>
      <w:r w:rsidRPr="00295E71">
        <w:rPr>
          <w:color w:val="000000"/>
          <w:sz w:val="22"/>
          <w:szCs w:val="22"/>
        </w:rPr>
        <w:t xml:space="preserve">paziente durante studi eseguiti somministrando Humira ai pazienti pediatrici </w:t>
      </w:r>
      <w:r w:rsidRPr="00295E71" w:rsidR="00224E13">
        <w:rPr>
          <w:color w:val="000000"/>
          <w:sz w:val="22"/>
          <w:szCs w:val="22"/>
        </w:rPr>
        <w:t>con</w:t>
      </w:r>
      <w:r w:rsidRPr="00295E71">
        <w:rPr>
          <w:color w:val="000000"/>
          <w:sz w:val="22"/>
          <w:szCs w:val="22"/>
        </w:rPr>
        <w:t xml:space="preserve"> </w:t>
      </w:r>
      <w:r w:rsidRPr="00295E71">
        <w:rPr>
          <w:sz w:val="22"/>
          <w:szCs w:val="22"/>
        </w:rPr>
        <w:t xml:space="preserve">Malattia </w:t>
      </w:r>
      <w:r w:rsidRPr="00295E71">
        <w:rPr>
          <w:color w:val="000000"/>
          <w:sz w:val="22"/>
          <w:szCs w:val="22"/>
        </w:rPr>
        <w:t>di Crohn.</w:t>
      </w:r>
      <w:r w:rsidRPr="00295E71">
        <w:rPr>
          <w:rFonts w:eastAsia="Arial"/>
          <w:sz w:val="22"/>
          <w:szCs w:val="22"/>
          <w:lang w:bidi="it-IT"/>
        </w:rPr>
        <w:t xml:space="preserve"> Nel corso di uno studio in cui è stato somministrato Humira a pazienti pediatrici con psoriasi cronica a placche, non è stata osservata alcuna neoplasia maligna in 77 pazienti con un’esposizione di 80,0 anni</w:t>
      </w:r>
      <w:r w:rsidR="00CE787B">
        <w:rPr>
          <w:rFonts w:eastAsia="Arial"/>
          <w:sz w:val="22"/>
          <w:szCs w:val="22"/>
          <w:lang w:bidi="it-IT"/>
        </w:rPr>
        <w:t>-</w:t>
      </w:r>
      <w:r w:rsidRPr="00295E71">
        <w:rPr>
          <w:rFonts w:eastAsia="Arial"/>
          <w:sz w:val="22"/>
          <w:szCs w:val="22"/>
          <w:lang w:bidi="it-IT"/>
        </w:rPr>
        <w:t>paziente. Nel corso di uno studio in cui è stato somministrato Humira a pazienti pediatrici con uveite, non è stata osservata alcuna neoplasia maligna in 60 pazienti pediatrici con un’esposizione di 58,4 anni</w:t>
      </w:r>
      <w:r w:rsidR="00CE787B">
        <w:rPr>
          <w:rFonts w:eastAsia="Arial"/>
          <w:sz w:val="22"/>
          <w:szCs w:val="22"/>
          <w:lang w:bidi="it-IT"/>
        </w:rPr>
        <w:t>-</w:t>
      </w:r>
      <w:r w:rsidRPr="00295E71">
        <w:rPr>
          <w:rFonts w:eastAsia="Arial"/>
          <w:sz w:val="22"/>
          <w:szCs w:val="22"/>
          <w:lang w:bidi="it-IT"/>
        </w:rPr>
        <w:t>paziente.</w:t>
      </w:r>
    </w:p>
    <w:p w:rsidR="00157870" w:rsidRPr="00295E71" w:rsidP="00157870" w14:paraId="1596B3D0" w14:textId="77777777">
      <w:pPr>
        <w:tabs>
          <w:tab w:val="left" w:pos="567"/>
        </w:tabs>
        <w:autoSpaceDE w:val="0"/>
        <w:autoSpaceDN w:val="0"/>
        <w:adjustRightInd w:val="0"/>
        <w:jc w:val="both"/>
        <w:rPr>
          <w:color w:val="000000"/>
          <w:sz w:val="22"/>
          <w:szCs w:val="22"/>
        </w:rPr>
      </w:pPr>
    </w:p>
    <w:p w:rsidR="00157870" w:rsidRPr="00295E71" w:rsidP="00157870" w14:paraId="517CE98F" w14:textId="77777777">
      <w:pPr>
        <w:tabs>
          <w:tab w:val="left" w:pos="567"/>
        </w:tabs>
        <w:autoSpaceDE w:val="0"/>
        <w:autoSpaceDN w:val="0"/>
        <w:adjustRightInd w:val="0"/>
        <w:jc w:val="both"/>
        <w:rPr>
          <w:color w:val="000000"/>
          <w:sz w:val="22"/>
          <w:szCs w:val="22"/>
        </w:rPr>
      </w:pPr>
      <w:r w:rsidRPr="00295E71">
        <w:rPr>
          <w:color w:val="000000"/>
          <w:sz w:val="22"/>
          <w:szCs w:val="22"/>
        </w:rPr>
        <w:t>Nelle sezioni controllate di studi registrativi su adulti con Humira della durata di almeno 12 settimane in pazienti con artrite reumatoide attiva di grado da moderato a severo, spondilite anchilosante,</w:t>
      </w:r>
      <w:r w:rsidR="00CE787B">
        <w:rPr>
          <w:color w:val="000000"/>
          <w:sz w:val="22"/>
          <w:szCs w:val="22"/>
        </w:rPr>
        <w:t xml:space="preserve"> </w:t>
      </w:r>
      <w:r w:rsidRPr="00295E71">
        <w:rPr>
          <w:color w:val="000000"/>
          <w:sz w:val="22"/>
          <w:szCs w:val="22"/>
        </w:rPr>
        <w:t>spondiloartrite assiale senza evidenza radiografica di spondilite anchilosante, artrite psoriasica, psoriasi,</w:t>
      </w:r>
      <w:r w:rsidR="00CE787B">
        <w:rPr>
          <w:color w:val="000000"/>
          <w:sz w:val="22"/>
          <w:szCs w:val="22"/>
        </w:rPr>
        <w:t xml:space="preserve"> </w:t>
      </w:r>
      <w:r w:rsidRPr="00295E71">
        <w:rPr>
          <w:color w:val="000000"/>
          <w:sz w:val="22"/>
          <w:szCs w:val="22"/>
        </w:rPr>
        <w:t>idrosadenite suppurativa, malattia di Crohn, colite ulcerosa e uveite, neoplasie, oltre a linfoma e carcinoma cutaneo non melanotico sono stat</w:t>
      </w:r>
      <w:r w:rsidR="00CE787B">
        <w:rPr>
          <w:color w:val="000000"/>
          <w:sz w:val="22"/>
          <w:szCs w:val="22"/>
        </w:rPr>
        <w:t>e</w:t>
      </w:r>
      <w:r w:rsidRPr="00295E71">
        <w:rPr>
          <w:color w:val="000000"/>
          <w:sz w:val="22"/>
          <w:szCs w:val="22"/>
        </w:rPr>
        <w:t xml:space="preserve"> osservat</w:t>
      </w:r>
      <w:r w:rsidR="00CE787B">
        <w:rPr>
          <w:color w:val="000000"/>
          <w:sz w:val="22"/>
          <w:szCs w:val="22"/>
        </w:rPr>
        <w:t>e</w:t>
      </w:r>
      <w:r w:rsidRPr="00295E71">
        <w:rPr>
          <w:color w:val="000000"/>
          <w:sz w:val="22"/>
          <w:szCs w:val="22"/>
        </w:rPr>
        <w:t xml:space="preserve"> con un tasso (95% di intervallo di confidenza) di 6,8 (4,4; 10,5) per 1.000 anni</w:t>
      </w:r>
      <w:r w:rsidR="00CE787B">
        <w:rPr>
          <w:color w:val="000000"/>
          <w:sz w:val="22"/>
          <w:szCs w:val="22"/>
        </w:rPr>
        <w:t>-</w:t>
      </w:r>
      <w:r w:rsidRPr="00295E71">
        <w:rPr>
          <w:color w:val="000000"/>
          <w:sz w:val="22"/>
          <w:szCs w:val="22"/>
        </w:rPr>
        <w:t xml:space="preserve">paziente fra 5.291 pazienti trattati con Humira </w:t>
      </w:r>
      <w:r w:rsidRPr="00295E71">
        <w:rPr>
          <w:i/>
          <w:iCs/>
          <w:color w:val="000000"/>
          <w:sz w:val="22"/>
          <w:szCs w:val="22"/>
        </w:rPr>
        <w:t>verso</w:t>
      </w:r>
      <w:r w:rsidRPr="00295E71">
        <w:rPr>
          <w:color w:val="000000"/>
          <w:sz w:val="22"/>
          <w:szCs w:val="22"/>
        </w:rPr>
        <w:t xml:space="preserve"> un tasso</w:t>
      </w:r>
      <w:r w:rsidR="008F5876">
        <w:rPr>
          <w:color w:val="000000"/>
          <w:sz w:val="22"/>
          <w:szCs w:val="22"/>
        </w:rPr>
        <w:t xml:space="preserve"> </w:t>
      </w:r>
      <w:r w:rsidRPr="00295E71">
        <w:rPr>
          <w:color w:val="000000"/>
          <w:sz w:val="22"/>
          <w:szCs w:val="22"/>
        </w:rPr>
        <w:t>di 6,3</w:t>
      </w:r>
      <w:r w:rsidR="00C60688">
        <w:rPr>
          <w:color w:val="000000"/>
          <w:sz w:val="22"/>
          <w:szCs w:val="22"/>
        </w:rPr>
        <w:t xml:space="preserve"> </w:t>
      </w:r>
      <w:r w:rsidRPr="00295E71">
        <w:rPr>
          <w:color w:val="000000"/>
          <w:sz w:val="22"/>
          <w:szCs w:val="22"/>
        </w:rPr>
        <w:t>(3,4; 11,8) per 1.000 anni</w:t>
      </w:r>
      <w:r w:rsidR="00CE787B">
        <w:rPr>
          <w:color w:val="000000"/>
          <w:sz w:val="22"/>
          <w:szCs w:val="22"/>
        </w:rPr>
        <w:t>-</w:t>
      </w:r>
      <w:r w:rsidRPr="00295E71">
        <w:rPr>
          <w:color w:val="000000"/>
          <w:sz w:val="22"/>
          <w:szCs w:val="22"/>
        </w:rPr>
        <w:t>paziente su 3.444 pazienti controllo (la durata mediana del trattamento è stata 4,0 mesi per i pazienti trattati con Humira e 3,8 mesi per i pazienti controllo). Il tasso (95% di intervallo di confidenza) dei carcinomi cutanei non melanotici è stato di 8,8</w:t>
      </w:r>
      <w:r w:rsidR="00CE787B">
        <w:rPr>
          <w:color w:val="000000"/>
          <w:sz w:val="22"/>
          <w:szCs w:val="22"/>
        </w:rPr>
        <w:t xml:space="preserve"> </w:t>
      </w:r>
      <w:r w:rsidRPr="00295E71">
        <w:rPr>
          <w:color w:val="000000"/>
          <w:sz w:val="22"/>
          <w:szCs w:val="22"/>
        </w:rPr>
        <w:t>(6,0; 13,0) per 1.000 anni</w:t>
      </w:r>
      <w:r w:rsidR="00CE787B">
        <w:rPr>
          <w:color w:val="000000"/>
          <w:sz w:val="22"/>
          <w:szCs w:val="22"/>
        </w:rPr>
        <w:t>-</w:t>
      </w:r>
      <w:r w:rsidRPr="00295E71">
        <w:rPr>
          <w:color w:val="000000"/>
          <w:sz w:val="22"/>
          <w:szCs w:val="22"/>
        </w:rPr>
        <w:t>paziente nei pazienti trattati con Humira e 3,2 (1,3; 7,6) per 1.000 anni</w:t>
      </w:r>
      <w:r w:rsidR="00CE787B">
        <w:rPr>
          <w:color w:val="000000"/>
          <w:sz w:val="22"/>
          <w:szCs w:val="22"/>
        </w:rPr>
        <w:t>-</w:t>
      </w:r>
      <w:r w:rsidRPr="00295E71">
        <w:rPr>
          <w:color w:val="000000"/>
          <w:sz w:val="22"/>
          <w:szCs w:val="22"/>
        </w:rPr>
        <w:t>paziente nei pazienti controllo. Di questi carcinomi cutanei, carcinomi a cellule squamose si sono verificati con tassi (95% di intervallo di confidenza) di 2,7 (1,4; 5,4) per 1.000 anni</w:t>
      </w:r>
      <w:r w:rsidR="00CE787B">
        <w:rPr>
          <w:color w:val="000000"/>
          <w:sz w:val="22"/>
          <w:szCs w:val="22"/>
        </w:rPr>
        <w:t>-</w:t>
      </w:r>
      <w:r w:rsidRPr="00295E71">
        <w:rPr>
          <w:color w:val="000000"/>
          <w:sz w:val="22"/>
          <w:szCs w:val="22"/>
        </w:rPr>
        <w:t>paziente nei pazienti trattati con Humira e</w:t>
      </w:r>
      <w:r w:rsidRPr="00295E71" w:rsidR="003C47F5">
        <w:rPr>
          <w:color w:val="000000"/>
          <w:sz w:val="22"/>
          <w:szCs w:val="22"/>
        </w:rPr>
        <w:t xml:space="preserve"> </w:t>
      </w:r>
      <w:r w:rsidRPr="00295E71">
        <w:rPr>
          <w:color w:val="000000"/>
          <w:sz w:val="22"/>
          <w:szCs w:val="22"/>
        </w:rPr>
        <w:t>0,6 (0,1; 4,5) per 1.000 anni</w:t>
      </w:r>
      <w:r w:rsidR="00CE787B">
        <w:rPr>
          <w:color w:val="000000"/>
          <w:sz w:val="22"/>
          <w:szCs w:val="22"/>
        </w:rPr>
        <w:t>-</w:t>
      </w:r>
      <w:r w:rsidRPr="00295E71">
        <w:rPr>
          <w:color w:val="000000"/>
          <w:sz w:val="22"/>
          <w:szCs w:val="22"/>
        </w:rPr>
        <w:t>paziente nei pazienti controllo. Il tasso (95% di intervallo di confidenza) di linfomi è stato di 0,7 (0,2; 2,7) per 1.000 anni</w:t>
      </w:r>
      <w:r w:rsidR="00F86812">
        <w:rPr>
          <w:color w:val="000000"/>
          <w:sz w:val="22"/>
          <w:szCs w:val="22"/>
        </w:rPr>
        <w:t>-</w:t>
      </w:r>
      <w:r w:rsidRPr="00295E71">
        <w:rPr>
          <w:color w:val="000000"/>
          <w:sz w:val="22"/>
          <w:szCs w:val="22"/>
        </w:rPr>
        <w:t>paziente nei pazienti trattati con Humira e</w:t>
      </w:r>
      <w:r w:rsidRPr="00295E71" w:rsidR="003C47F5">
        <w:rPr>
          <w:color w:val="000000"/>
          <w:sz w:val="22"/>
          <w:szCs w:val="22"/>
        </w:rPr>
        <w:t xml:space="preserve"> </w:t>
      </w:r>
      <w:r w:rsidRPr="00295E71">
        <w:rPr>
          <w:color w:val="000000"/>
          <w:sz w:val="22"/>
          <w:szCs w:val="22"/>
        </w:rPr>
        <w:t>0,6 (0,1; 4,5) per 1.000 anni</w:t>
      </w:r>
      <w:r w:rsidR="00F86812">
        <w:rPr>
          <w:color w:val="000000"/>
          <w:sz w:val="22"/>
          <w:szCs w:val="22"/>
        </w:rPr>
        <w:t>-</w:t>
      </w:r>
      <w:r w:rsidRPr="00295E71">
        <w:rPr>
          <w:color w:val="000000"/>
          <w:sz w:val="22"/>
          <w:szCs w:val="22"/>
        </w:rPr>
        <w:t>paziente nei pazienti controllo.</w:t>
      </w:r>
    </w:p>
    <w:p w:rsidR="00157870" w:rsidRPr="00295E71" w:rsidP="00157870" w14:paraId="4018F93A" w14:textId="77777777">
      <w:pPr>
        <w:tabs>
          <w:tab w:val="left" w:pos="567"/>
        </w:tabs>
        <w:autoSpaceDE w:val="0"/>
        <w:autoSpaceDN w:val="0"/>
        <w:adjustRightInd w:val="0"/>
        <w:jc w:val="both"/>
        <w:rPr>
          <w:color w:val="000000"/>
          <w:sz w:val="22"/>
          <w:szCs w:val="22"/>
        </w:rPr>
      </w:pPr>
    </w:p>
    <w:p w:rsidR="00157870" w:rsidRPr="00295E71" w:rsidP="00157870" w14:paraId="191DFD97" w14:textId="77777777">
      <w:pPr>
        <w:tabs>
          <w:tab w:val="left" w:pos="567"/>
        </w:tabs>
        <w:autoSpaceDE w:val="0"/>
        <w:autoSpaceDN w:val="0"/>
        <w:adjustRightInd w:val="0"/>
        <w:jc w:val="both"/>
        <w:rPr>
          <w:color w:val="000000"/>
          <w:sz w:val="22"/>
          <w:szCs w:val="22"/>
        </w:rPr>
      </w:pPr>
      <w:r w:rsidRPr="00295E71">
        <w:rPr>
          <w:color w:val="000000"/>
          <w:sz w:val="22"/>
          <w:szCs w:val="22"/>
        </w:rPr>
        <w:t>Quando vengono combinat</w:t>
      </w:r>
      <w:r w:rsidR="00F86812">
        <w:rPr>
          <w:color w:val="000000"/>
          <w:sz w:val="22"/>
          <w:szCs w:val="22"/>
        </w:rPr>
        <w:t>e</w:t>
      </w:r>
      <w:r w:rsidRPr="00295E71">
        <w:rPr>
          <w:color w:val="000000"/>
          <w:sz w:val="22"/>
          <w:szCs w:val="22"/>
        </w:rPr>
        <w:t xml:space="preserve"> parti </w:t>
      </w:r>
      <w:r w:rsidR="00F86812">
        <w:rPr>
          <w:color w:val="000000"/>
          <w:sz w:val="22"/>
          <w:szCs w:val="22"/>
        </w:rPr>
        <w:t xml:space="preserve">controllate </w:t>
      </w:r>
      <w:r w:rsidRPr="00295E71">
        <w:rPr>
          <w:color w:val="000000"/>
          <w:sz w:val="22"/>
          <w:szCs w:val="22"/>
        </w:rPr>
        <w:t xml:space="preserve">di questi studi e studi di estensione in aperto sia in corso che completati, con una durata media di circa 3,3 anni includendo 6.427 pazienti e più di 26.439 </w:t>
      </w:r>
      <w:r w:rsidR="00F86812">
        <w:rPr>
          <w:color w:val="000000"/>
          <w:sz w:val="22"/>
          <w:szCs w:val="22"/>
        </w:rPr>
        <w:t>anni-</w:t>
      </w:r>
      <w:r w:rsidRPr="00295E71">
        <w:rPr>
          <w:color w:val="000000"/>
          <w:sz w:val="22"/>
          <w:szCs w:val="22"/>
        </w:rPr>
        <w:t>pazient</w:t>
      </w:r>
      <w:r w:rsidR="00F86812">
        <w:rPr>
          <w:color w:val="000000"/>
          <w:sz w:val="22"/>
          <w:szCs w:val="22"/>
        </w:rPr>
        <w:t>e</w:t>
      </w:r>
      <w:r w:rsidRPr="00295E71">
        <w:rPr>
          <w:color w:val="000000"/>
          <w:sz w:val="22"/>
          <w:szCs w:val="22"/>
        </w:rPr>
        <w:t xml:space="preserve"> di terapia, il tasso di neoplasie osservate, a parte linfoma e carcinoma cutaneo non melanotico, è circa 8,5</w:t>
      </w:r>
      <w:r w:rsidRPr="00295E71" w:rsidR="003C47F5">
        <w:rPr>
          <w:color w:val="000000"/>
          <w:sz w:val="22"/>
          <w:szCs w:val="22"/>
        </w:rPr>
        <w:t xml:space="preserve"> </w:t>
      </w:r>
      <w:r w:rsidRPr="00295E71">
        <w:rPr>
          <w:color w:val="000000"/>
          <w:sz w:val="22"/>
          <w:szCs w:val="22"/>
        </w:rPr>
        <w:t>per 1.000 anni</w:t>
      </w:r>
      <w:r w:rsidR="00F86812">
        <w:rPr>
          <w:color w:val="000000"/>
          <w:sz w:val="22"/>
          <w:szCs w:val="22"/>
        </w:rPr>
        <w:t>-</w:t>
      </w:r>
      <w:r w:rsidRPr="00295E71">
        <w:rPr>
          <w:color w:val="000000"/>
          <w:sz w:val="22"/>
          <w:szCs w:val="22"/>
        </w:rPr>
        <w:t>paziente. Il tasso osservato di carcinoma cutaneo non melanotico è circa 9,6 per 1.000 anni</w:t>
      </w:r>
      <w:r w:rsidR="00F86812">
        <w:rPr>
          <w:color w:val="000000"/>
          <w:sz w:val="22"/>
          <w:szCs w:val="22"/>
        </w:rPr>
        <w:t>-</w:t>
      </w:r>
      <w:r w:rsidRPr="00295E71">
        <w:rPr>
          <w:color w:val="000000"/>
          <w:sz w:val="22"/>
          <w:szCs w:val="22"/>
        </w:rPr>
        <w:t>paziente e il tasso osservato di linfomi è circa 1,3</w:t>
      </w:r>
      <w:r w:rsidR="00570081">
        <w:rPr>
          <w:color w:val="000000"/>
          <w:sz w:val="22"/>
          <w:szCs w:val="22"/>
        </w:rPr>
        <w:t xml:space="preserve"> </w:t>
      </w:r>
      <w:r w:rsidRPr="00295E71">
        <w:rPr>
          <w:color w:val="000000"/>
          <w:sz w:val="22"/>
          <w:szCs w:val="22"/>
        </w:rPr>
        <w:t>per 1.000 anni</w:t>
      </w:r>
      <w:r w:rsidR="00F86812">
        <w:rPr>
          <w:color w:val="000000"/>
          <w:sz w:val="22"/>
          <w:szCs w:val="22"/>
        </w:rPr>
        <w:t>-</w:t>
      </w:r>
      <w:r w:rsidRPr="00295E71">
        <w:rPr>
          <w:color w:val="000000"/>
          <w:sz w:val="22"/>
          <w:szCs w:val="22"/>
        </w:rPr>
        <w:t>paziente.</w:t>
      </w:r>
    </w:p>
    <w:p w:rsidR="00157870" w:rsidRPr="00295E71" w:rsidP="00157870" w14:paraId="2E964354" w14:textId="77777777">
      <w:pPr>
        <w:tabs>
          <w:tab w:val="left" w:pos="567"/>
        </w:tabs>
        <w:autoSpaceDE w:val="0"/>
        <w:autoSpaceDN w:val="0"/>
        <w:adjustRightInd w:val="0"/>
        <w:jc w:val="both"/>
        <w:rPr>
          <w:color w:val="000000"/>
          <w:sz w:val="22"/>
          <w:szCs w:val="22"/>
        </w:rPr>
      </w:pPr>
    </w:p>
    <w:p w:rsidR="00157870" w:rsidRPr="00295E71" w:rsidP="00157870" w14:paraId="55A1AD34" w14:textId="77777777">
      <w:pPr>
        <w:tabs>
          <w:tab w:val="left" w:pos="567"/>
        </w:tabs>
        <w:autoSpaceDE w:val="0"/>
        <w:autoSpaceDN w:val="0"/>
        <w:adjustRightInd w:val="0"/>
        <w:jc w:val="both"/>
        <w:rPr>
          <w:color w:val="000000"/>
          <w:sz w:val="22"/>
          <w:szCs w:val="22"/>
        </w:rPr>
      </w:pPr>
      <w:r w:rsidRPr="00295E71">
        <w:rPr>
          <w:color w:val="000000"/>
          <w:sz w:val="22"/>
          <w:szCs w:val="22"/>
        </w:rPr>
        <w:t xml:space="preserve">In una esperienza post-marketing dal gennaio 2003 al dicembre 2010, principalmente in pazienti </w:t>
      </w:r>
      <w:r w:rsidRPr="00295E71" w:rsidR="00224E13">
        <w:rPr>
          <w:color w:val="000000"/>
          <w:sz w:val="22"/>
          <w:szCs w:val="22"/>
        </w:rPr>
        <w:t>con</w:t>
      </w:r>
      <w:r w:rsidRPr="00295E71">
        <w:rPr>
          <w:color w:val="000000"/>
          <w:sz w:val="22"/>
          <w:szCs w:val="22"/>
        </w:rPr>
        <w:t xml:space="preserve"> artrite reumatoide, il tasso di neoplasie </w:t>
      </w:r>
      <w:r w:rsidRPr="00295E71" w:rsidR="00CD7FA4">
        <w:rPr>
          <w:color w:val="000000"/>
          <w:sz w:val="22"/>
          <w:szCs w:val="22"/>
        </w:rPr>
        <w:t>riportat</w:t>
      </w:r>
      <w:r w:rsidR="00306285">
        <w:rPr>
          <w:color w:val="000000"/>
          <w:sz w:val="22"/>
          <w:szCs w:val="22"/>
        </w:rPr>
        <w:t>o</w:t>
      </w:r>
      <w:r w:rsidRPr="00295E71" w:rsidR="00CD7FA4">
        <w:rPr>
          <w:color w:val="000000"/>
          <w:sz w:val="22"/>
          <w:szCs w:val="22"/>
        </w:rPr>
        <w:t xml:space="preserve"> </w:t>
      </w:r>
      <w:r w:rsidR="00CD7FA4">
        <w:rPr>
          <w:color w:val="000000"/>
          <w:sz w:val="22"/>
          <w:szCs w:val="22"/>
        </w:rPr>
        <w:t>spo</w:t>
      </w:r>
      <w:r w:rsidR="00F92AF6">
        <w:rPr>
          <w:color w:val="000000"/>
          <w:sz w:val="22"/>
          <w:szCs w:val="22"/>
        </w:rPr>
        <w:t>n</w:t>
      </w:r>
      <w:r w:rsidR="00CD7FA4">
        <w:rPr>
          <w:color w:val="000000"/>
          <w:sz w:val="22"/>
          <w:szCs w:val="22"/>
        </w:rPr>
        <w:t xml:space="preserve">taneamente </w:t>
      </w:r>
      <w:r w:rsidRPr="00295E71">
        <w:rPr>
          <w:color w:val="000000"/>
          <w:sz w:val="22"/>
          <w:szCs w:val="22"/>
        </w:rPr>
        <w:t>è circa 2,7</w:t>
      </w:r>
      <w:r w:rsidRPr="00295E71" w:rsidR="003C47F5">
        <w:rPr>
          <w:color w:val="000000"/>
          <w:sz w:val="22"/>
          <w:szCs w:val="22"/>
        </w:rPr>
        <w:t xml:space="preserve"> </w:t>
      </w:r>
      <w:r w:rsidRPr="00295E71">
        <w:rPr>
          <w:color w:val="000000"/>
          <w:sz w:val="22"/>
          <w:szCs w:val="22"/>
        </w:rPr>
        <w:t>per 1.000 anni trattamento</w:t>
      </w:r>
      <w:r w:rsidR="00570081">
        <w:rPr>
          <w:color w:val="000000"/>
          <w:sz w:val="22"/>
          <w:szCs w:val="22"/>
        </w:rPr>
        <w:t>-</w:t>
      </w:r>
      <w:r w:rsidRPr="00295E71">
        <w:rPr>
          <w:color w:val="000000"/>
          <w:sz w:val="22"/>
          <w:szCs w:val="22"/>
        </w:rPr>
        <w:t xml:space="preserve">paziente. I tassi riportati </w:t>
      </w:r>
      <w:r w:rsidR="00CD7FA4">
        <w:rPr>
          <w:color w:val="000000"/>
          <w:sz w:val="22"/>
          <w:szCs w:val="22"/>
        </w:rPr>
        <w:t>spontaneamente</w:t>
      </w:r>
      <w:r w:rsidR="00F92AF6">
        <w:rPr>
          <w:color w:val="000000"/>
          <w:sz w:val="22"/>
          <w:szCs w:val="22"/>
        </w:rPr>
        <w:t xml:space="preserve"> </w:t>
      </w:r>
      <w:r w:rsidRPr="00295E71">
        <w:rPr>
          <w:color w:val="000000"/>
          <w:sz w:val="22"/>
          <w:szCs w:val="22"/>
        </w:rPr>
        <w:t>rispettivamente per carcinomi cutanei non melanotici e linfomi sono circa 0,2 e 0,3 per 1.000 anni trattamento</w:t>
      </w:r>
      <w:r w:rsidR="00570081">
        <w:rPr>
          <w:color w:val="000000"/>
          <w:sz w:val="22"/>
          <w:szCs w:val="22"/>
        </w:rPr>
        <w:t>-</w:t>
      </w:r>
      <w:r w:rsidRPr="00295E71">
        <w:rPr>
          <w:color w:val="000000"/>
          <w:sz w:val="22"/>
          <w:szCs w:val="22"/>
        </w:rPr>
        <w:t>paziente (vedere paragrafo 4.4).</w:t>
      </w:r>
    </w:p>
    <w:p w:rsidR="00157870" w:rsidRPr="00295E71" w:rsidP="00157870" w14:paraId="367E8CDE" w14:textId="77777777">
      <w:pPr>
        <w:tabs>
          <w:tab w:val="left" w:pos="567"/>
        </w:tabs>
        <w:autoSpaceDE w:val="0"/>
        <w:autoSpaceDN w:val="0"/>
        <w:adjustRightInd w:val="0"/>
        <w:jc w:val="both"/>
        <w:rPr>
          <w:color w:val="000000"/>
          <w:sz w:val="22"/>
          <w:szCs w:val="22"/>
        </w:rPr>
      </w:pPr>
    </w:p>
    <w:p w:rsidR="00157870" w:rsidRPr="00295E71" w:rsidP="00157870" w14:paraId="2FEEE67C" w14:textId="77777777">
      <w:pPr>
        <w:tabs>
          <w:tab w:val="left" w:pos="567"/>
        </w:tabs>
        <w:autoSpaceDE w:val="0"/>
        <w:autoSpaceDN w:val="0"/>
        <w:adjustRightInd w:val="0"/>
        <w:jc w:val="both"/>
        <w:rPr>
          <w:color w:val="000000"/>
          <w:sz w:val="22"/>
          <w:szCs w:val="22"/>
        </w:rPr>
      </w:pPr>
      <w:r w:rsidRPr="00295E71">
        <w:rPr>
          <w:color w:val="000000"/>
          <w:sz w:val="22"/>
          <w:szCs w:val="22"/>
        </w:rPr>
        <w:t>Nell’esperienza post-marketing sono stati segnalati rari casi di linfoma epatosplenico a cellule T nei pazienti trattati con adalimumab (vedere paragrafo 4.4).</w:t>
      </w:r>
    </w:p>
    <w:p w:rsidR="00157870" w:rsidRPr="00295E71" w:rsidP="00157870" w14:paraId="7B0CE19C" w14:textId="77777777">
      <w:pPr>
        <w:tabs>
          <w:tab w:val="left" w:pos="567"/>
        </w:tabs>
        <w:autoSpaceDE w:val="0"/>
        <w:autoSpaceDN w:val="0"/>
        <w:adjustRightInd w:val="0"/>
        <w:jc w:val="both"/>
        <w:rPr>
          <w:color w:val="000000"/>
          <w:sz w:val="22"/>
          <w:szCs w:val="22"/>
        </w:rPr>
      </w:pPr>
    </w:p>
    <w:p w:rsidR="00157870" w:rsidRPr="00295E71" w:rsidP="00157870" w14:paraId="38381136" w14:textId="77777777">
      <w:pPr>
        <w:tabs>
          <w:tab w:val="left" w:pos="567"/>
        </w:tabs>
        <w:autoSpaceDE w:val="0"/>
        <w:autoSpaceDN w:val="0"/>
        <w:adjustRightInd w:val="0"/>
        <w:jc w:val="both"/>
        <w:rPr>
          <w:i/>
          <w:color w:val="000000"/>
          <w:sz w:val="22"/>
          <w:szCs w:val="22"/>
        </w:rPr>
      </w:pPr>
      <w:r w:rsidRPr="00295E71">
        <w:rPr>
          <w:i/>
          <w:color w:val="000000"/>
          <w:sz w:val="22"/>
          <w:szCs w:val="22"/>
        </w:rPr>
        <w:t>Autoanticorpi</w:t>
      </w:r>
    </w:p>
    <w:p w:rsidR="00157870" w:rsidRPr="00295E71" w:rsidP="00157870" w14:paraId="59F9220D" w14:textId="77777777">
      <w:pPr>
        <w:tabs>
          <w:tab w:val="left" w:pos="567"/>
        </w:tabs>
        <w:autoSpaceDE w:val="0"/>
        <w:autoSpaceDN w:val="0"/>
        <w:adjustRightInd w:val="0"/>
        <w:jc w:val="both"/>
        <w:rPr>
          <w:color w:val="000000"/>
          <w:sz w:val="22"/>
          <w:szCs w:val="22"/>
        </w:rPr>
      </w:pPr>
    </w:p>
    <w:p w:rsidR="00157870" w:rsidRPr="00295E71" w:rsidP="00157870" w14:paraId="459C39F8" w14:textId="77777777">
      <w:pPr>
        <w:tabs>
          <w:tab w:val="left" w:pos="567"/>
        </w:tabs>
        <w:autoSpaceDE w:val="0"/>
        <w:autoSpaceDN w:val="0"/>
        <w:adjustRightInd w:val="0"/>
        <w:jc w:val="both"/>
        <w:rPr>
          <w:color w:val="000000"/>
          <w:sz w:val="22"/>
          <w:szCs w:val="22"/>
        </w:rPr>
      </w:pPr>
      <w:r w:rsidRPr="00295E71">
        <w:rPr>
          <w:color w:val="000000"/>
          <w:sz w:val="22"/>
          <w:szCs w:val="22"/>
        </w:rPr>
        <w:t>Nel corso d</w:t>
      </w:r>
      <w:r w:rsidR="00570081">
        <w:rPr>
          <w:color w:val="000000"/>
          <w:sz w:val="22"/>
          <w:szCs w:val="22"/>
        </w:rPr>
        <w:t>egl</w:t>
      </w:r>
      <w:r w:rsidRPr="00295E71">
        <w:rPr>
          <w:color w:val="000000"/>
          <w:sz w:val="22"/>
          <w:szCs w:val="22"/>
        </w:rPr>
        <w:t xml:space="preserve">i studi I-V condotti sull’artrite reumatoide, sono stati analizzati, </w:t>
      </w:r>
      <w:r w:rsidRPr="00020442" w:rsidR="00570081">
        <w:rPr>
          <w:color w:val="000000"/>
          <w:sz w:val="22"/>
          <w:szCs w:val="22"/>
        </w:rPr>
        <w:t>a vari intervalli temporali</w:t>
      </w:r>
      <w:r w:rsidRPr="00295E71" w:rsidR="00570081">
        <w:rPr>
          <w:color w:val="000000"/>
          <w:sz w:val="22"/>
          <w:szCs w:val="22"/>
        </w:rPr>
        <w:t xml:space="preserve"> </w:t>
      </w:r>
      <w:r w:rsidRPr="00295E71">
        <w:rPr>
          <w:color w:val="000000"/>
          <w:sz w:val="22"/>
          <w:szCs w:val="22"/>
        </w:rPr>
        <w:t xml:space="preserve">, i campioni sierici dei pazienti per la valutazione degli autoanticorpi. In questi studi, l’11,9% dei pazienti trattati con Humira e l’8,1% dei pazienti trattati con placebo e con controllo attivo, che presentavano valori negativi di anticorpi antinucleo </w:t>
      </w:r>
      <w:r w:rsidR="00570081">
        <w:rPr>
          <w:color w:val="000000"/>
          <w:sz w:val="22"/>
          <w:szCs w:val="22"/>
        </w:rPr>
        <w:t>al basale</w:t>
      </w:r>
      <w:r w:rsidRPr="00295E71">
        <w:rPr>
          <w:color w:val="000000"/>
          <w:sz w:val="22"/>
          <w:szCs w:val="22"/>
        </w:rPr>
        <w:t>, ha presentato valori positivi alla ventiquattresima settimana.</w:t>
      </w:r>
      <w:r w:rsidR="00570081">
        <w:rPr>
          <w:color w:val="000000"/>
          <w:sz w:val="22"/>
          <w:szCs w:val="22"/>
        </w:rPr>
        <w:t xml:space="preserve"> </w:t>
      </w:r>
      <w:r w:rsidRPr="00295E71">
        <w:rPr>
          <w:color w:val="000000"/>
          <w:sz w:val="22"/>
          <w:szCs w:val="22"/>
        </w:rPr>
        <w:t>Due pazienti su 3.441 trattati con Humira nel corso di tutti gli studi condotti sull’artrite reumatoide e sull’artrite psoriasica hanno manifestato segni clinici che indicavano l’inizio di una sindrome simile al lupus. I pazienti</w:t>
      </w:r>
      <w:r w:rsidRPr="00295E71" w:rsidR="003C47F5">
        <w:rPr>
          <w:color w:val="000000"/>
          <w:sz w:val="22"/>
          <w:szCs w:val="22"/>
        </w:rPr>
        <w:t xml:space="preserve"> </w:t>
      </w:r>
      <w:r w:rsidRPr="00295E71">
        <w:rPr>
          <w:color w:val="000000"/>
          <w:sz w:val="22"/>
          <w:szCs w:val="22"/>
        </w:rPr>
        <w:t>sono</w:t>
      </w:r>
      <w:r w:rsidRPr="00295E71" w:rsidR="003C47F5">
        <w:rPr>
          <w:color w:val="000000"/>
          <w:sz w:val="22"/>
          <w:szCs w:val="22"/>
        </w:rPr>
        <w:t xml:space="preserve"> </w:t>
      </w:r>
      <w:r w:rsidRPr="00295E71">
        <w:rPr>
          <w:color w:val="000000"/>
          <w:sz w:val="22"/>
          <w:szCs w:val="22"/>
        </w:rPr>
        <w:t>migliorati dopo la sospensione della terapia. Nessun paziente ha sviluppato una nefrite da lupus o sintomi a carico del sistema nervoso centrale.</w:t>
      </w:r>
    </w:p>
    <w:p w:rsidR="00157870" w:rsidRPr="00295E71" w:rsidP="00157870" w14:paraId="1568B27E" w14:textId="77777777">
      <w:pPr>
        <w:tabs>
          <w:tab w:val="left" w:pos="567"/>
        </w:tabs>
        <w:ind w:left="567" w:hanging="567"/>
        <w:jc w:val="both"/>
        <w:rPr>
          <w:sz w:val="22"/>
          <w:szCs w:val="22"/>
        </w:rPr>
      </w:pPr>
    </w:p>
    <w:p w:rsidR="00157870" w:rsidRPr="00295E71" w:rsidP="00F57FE5" w14:paraId="6C94459E" w14:textId="77777777">
      <w:pPr>
        <w:keepNext/>
        <w:keepLines/>
        <w:tabs>
          <w:tab w:val="left" w:pos="567"/>
        </w:tabs>
        <w:ind w:left="567" w:hanging="567"/>
        <w:jc w:val="both"/>
        <w:rPr>
          <w:i/>
          <w:sz w:val="22"/>
          <w:szCs w:val="22"/>
        </w:rPr>
      </w:pPr>
      <w:r w:rsidRPr="00295E71">
        <w:rPr>
          <w:i/>
          <w:sz w:val="22"/>
          <w:szCs w:val="22"/>
        </w:rPr>
        <w:t>Eventi epato-biliari</w:t>
      </w:r>
    </w:p>
    <w:p w:rsidR="00157870" w:rsidRPr="00295E71" w:rsidP="00F57FE5" w14:paraId="0F3FA0EF" w14:textId="77777777">
      <w:pPr>
        <w:keepNext/>
        <w:keepLines/>
        <w:tabs>
          <w:tab w:val="left" w:pos="567"/>
        </w:tabs>
        <w:ind w:left="567" w:hanging="567"/>
        <w:jc w:val="both"/>
        <w:rPr>
          <w:sz w:val="22"/>
          <w:szCs w:val="22"/>
          <w:u w:val="single"/>
        </w:rPr>
      </w:pPr>
    </w:p>
    <w:p w:rsidR="00157870" w:rsidRPr="00295E71" w:rsidP="00F57FE5" w14:paraId="170D9EE8" w14:textId="77777777">
      <w:pPr>
        <w:keepNext/>
        <w:keepLines/>
        <w:tabs>
          <w:tab w:val="left" w:pos="180"/>
          <w:tab w:val="left" w:pos="360"/>
        </w:tabs>
        <w:jc w:val="both"/>
        <w:rPr>
          <w:sz w:val="22"/>
          <w:szCs w:val="22"/>
        </w:rPr>
      </w:pPr>
      <w:r w:rsidRPr="00295E71">
        <w:rPr>
          <w:sz w:val="22"/>
          <w:szCs w:val="22"/>
        </w:rPr>
        <w:t xml:space="preserve">Negli studi clinici controllati di Fase 3 di Humira in pazienti con artrite reumatoide e artrite psoriasica con una durata del periodo di controllo che va </w:t>
      </w:r>
      <w:r w:rsidR="00570081">
        <w:rPr>
          <w:sz w:val="22"/>
          <w:szCs w:val="22"/>
        </w:rPr>
        <w:t xml:space="preserve">da </w:t>
      </w:r>
      <w:r w:rsidRPr="00295E71">
        <w:rPr>
          <w:sz w:val="22"/>
          <w:szCs w:val="22"/>
        </w:rPr>
        <w:t>4 a 104 settimane, aumenti delle transaminasi ALT superiori o uguali a tre volte il limite superiore di normalità si sono verificati nel 3</w:t>
      </w:r>
      <w:r w:rsidR="00570081">
        <w:rPr>
          <w:sz w:val="22"/>
          <w:szCs w:val="22"/>
        </w:rPr>
        <w:t>,</w:t>
      </w:r>
      <w:r w:rsidRPr="00295E71">
        <w:rPr>
          <w:sz w:val="22"/>
          <w:szCs w:val="22"/>
        </w:rPr>
        <w:t>7% dei pazienti trattati con Humira e nell’1</w:t>
      </w:r>
      <w:r w:rsidR="00570081">
        <w:rPr>
          <w:sz w:val="22"/>
          <w:szCs w:val="22"/>
        </w:rPr>
        <w:t>,</w:t>
      </w:r>
      <w:r w:rsidRPr="00295E71">
        <w:rPr>
          <w:sz w:val="22"/>
          <w:szCs w:val="22"/>
        </w:rPr>
        <w:t>6% dei pazienti trattati con il controllo.</w:t>
      </w:r>
    </w:p>
    <w:p w:rsidR="00157870" w:rsidRPr="00295E71" w:rsidP="00157870" w14:paraId="0095F8F6" w14:textId="77777777">
      <w:pPr>
        <w:tabs>
          <w:tab w:val="left" w:pos="180"/>
          <w:tab w:val="left" w:pos="360"/>
        </w:tabs>
        <w:jc w:val="both"/>
        <w:rPr>
          <w:sz w:val="22"/>
          <w:szCs w:val="22"/>
        </w:rPr>
      </w:pPr>
    </w:p>
    <w:p w:rsidR="00157870" w:rsidRPr="00295E71" w:rsidP="00157870" w14:paraId="147C9E35" w14:textId="77777777">
      <w:pPr>
        <w:pStyle w:val="EMEANormal"/>
        <w:jc w:val="both"/>
        <w:rPr>
          <w:iCs/>
          <w:lang w:val="it-IT"/>
        </w:rPr>
      </w:pPr>
      <w:r w:rsidRPr="00295E71">
        <w:rPr>
          <w:iCs/>
          <w:lang w:val="it-IT"/>
        </w:rPr>
        <w:t xml:space="preserve">Negli studi clinici controllati di Fase 3 di Humira in pazienti con artrite idiopatica giovanile poliarticolare che avevano da 4 a 17 anni di età e in pazienti con artrite associata ad entesite, da 6 a 17 anni di età, gli aumenti delle transaminasi ALT superiori o uguali a tre volte il </w:t>
      </w:r>
      <w:r w:rsidRPr="00295E71">
        <w:rPr>
          <w:lang w:val="it-IT"/>
        </w:rPr>
        <w:t>limite superiore di normalità</w:t>
      </w:r>
      <w:r w:rsidRPr="00295E71">
        <w:rPr>
          <w:iCs/>
          <w:lang w:val="it-IT"/>
        </w:rPr>
        <w:t xml:space="preserve"> ULN si sono verificati nel 6</w:t>
      </w:r>
      <w:r w:rsidR="00570081">
        <w:rPr>
          <w:iCs/>
          <w:lang w:val="it-IT"/>
        </w:rPr>
        <w:t>,</w:t>
      </w:r>
      <w:r w:rsidRPr="00295E71">
        <w:rPr>
          <w:iCs/>
          <w:lang w:val="it-IT"/>
        </w:rPr>
        <w:t>1% dei pazienti trattati con Humira e nel</w:t>
      </w:r>
      <w:r w:rsidR="00570081">
        <w:rPr>
          <w:iCs/>
          <w:lang w:val="it-IT"/>
        </w:rPr>
        <w:t>l’</w:t>
      </w:r>
      <w:r w:rsidRPr="00295E71">
        <w:rPr>
          <w:iCs/>
          <w:lang w:val="it-IT"/>
        </w:rPr>
        <w:t>1</w:t>
      </w:r>
      <w:r w:rsidR="00570081">
        <w:rPr>
          <w:iCs/>
          <w:lang w:val="it-IT"/>
        </w:rPr>
        <w:t>,</w:t>
      </w:r>
      <w:r w:rsidRPr="00295E71">
        <w:rPr>
          <w:iCs/>
          <w:lang w:val="it-IT"/>
        </w:rPr>
        <w:t>3% dei pazienti trattati con il farmaco di controllo. La maggior parte degli aumenti delle transaminasi ALT si sono verificati con l’uso concomitante di metotressato. Non si sono verificati aumenti delle transaminasi ALT superior</w:t>
      </w:r>
      <w:r w:rsidR="00570081">
        <w:rPr>
          <w:iCs/>
          <w:lang w:val="it-IT"/>
        </w:rPr>
        <w:t>i</w:t>
      </w:r>
      <w:r w:rsidRPr="00295E71">
        <w:rPr>
          <w:iCs/>
          <w:lang w:val="it-IT"/>
        </w:rPr>
        <w:t xml:space="preserve"> o ugual</w:t>
      </w:r>
      <w:r w:rsidR="00570081">
        <w:rPr>
          <w:iCs/>
          <w:lang w:val="it-IT"/>
        </w:rPr>
        <w:t>i</w:t>
      </w:r>
      <w:r w:rsidRPr="00295E71">
        <w:rPr>
          <w:iCs/>
          <w:lang w:val="it-IT"/>
        </w:rPr>
        <w:t xml:space="preserve"> a tre volte il limite superiore di normalità nello studio clinico di Fase 3 con Humira in pazienti con artrite idiopatica giovanile poliarticolare di età compresa tra 2 e &lt;4 anni.</w:t>
      </w:r>
    </w:p>
    <w:p w:rsidR="00157870" w:rsidRPr="00295E71" w:rsidP="00157870" w14:paraId="0BCE0A82" w14:textId="77777777">
      <w:pPr>
        <w:tabs>
          <w:tab w:val="left" w:pos="180"/>
          <w:tab w:val="left" w:pos="360"/>
        </w:tabs>
        <w:jc w:val="both"/>
        <w:rPr>
          <w:sz w:val="22"/>
          <w:szCs w:val="22"/>
        </w:rPr>
      </w:pPr>
    </w:p>
    <w:p w:rsidR="00157870" w:rsidRPr="00295E71" w:rsidP="00157870" w14:paraId="7A75E57E" w14:textId="77777777">
      <w:pPr>
        <w:pStyle w:val="EMEANormal"/>
        <w:jc w:val="both"/>
        <w:rPr>
          <w:lang w:val="it-IT"/>
        </w:rPr>
      </w:pPr>
      <w:r w:rsidRPr="00295E71">
        <w:rPr>
          <w:iCs/>
          <w:lang w:val="it-IT"/>
        </w:rPr>
        <w:t xml:space="preserve">Negli studi clinici controllati di Fase 3 di Humira in pazienti con malattia di Crohn e colite ulcerosa con un periodo di controllo che va </w:t>
      </w:r>
      <w:r w:rsidRPr="00295E71" w:rsidR="007F1EB6">
        <w:rPr>
          <w:iCs/>
          <w:lang w:val="it-IT"/>
        </w:rPr>
        <w:t xml:space="preserve">da </w:t>
      </w:r>
      <w:r w:rsidRPr="00295E71">
        <w:rPr>
          <w:iCs/>
          <w:lang w:val="it-IT"/>
        </w:rPr>
        <w:t>4 a 52 settimane</w:t>
      </w:r>
      <w:r w:rsidRPr="00295E71">
        <w:rPr>
          <w:lang w:val="it-IT"/>
        </w:rPr>
        <w:t xml:space="preserve">, gli aumenti delle transaminasi ALT superiori o uguali </w:t>
      </w:r>
      <w:r w:rsidRPr="00295E71">
        <w:rPr>
          <w:lang w:val="it-IT"/>
        </w:rPr>
        <w:t>a tre volte il limite superiore di normalità</w:t>
      </w:r>
      <w:r w:rsidR="00570081">
        <w:rPr>
          <w:lang w:val="it-IT"/>
        </w:rPr>
        <w:t xml:space="preserve"> </w:t>
      </w:r>
      <w:r w:rsidRPr="00295E71">
        <w:rPr>
          <w:lang w:val="it-IT"/>
        </w:rPr>
        <w:t>si sono verificati nello 0</w:t>
      </w:r>
      <w:r w:rsidR="00570081">
        <w:rPr>
          <w:lang w:val="it-IT"/>
        </w:rPr>
        <w:t>,</w:t>
      </w:r>
      <w:r w:rsidRPr="00295E71">
        <w:rPr>
          <w:lang w:val="it-IT"/>
        </w:rPr>
        <w:t>9% dei pazienti trattati con Humira e nello 0</w:t>
      </w:r>
      <w:r w:rsidR="00570081">
        <w:rPr>
          <w:lang w:val="it-IT"/>
        </w:rPr>
        <w:t>,</w:t>
      </w:r>
      <w:r w:rsidRPr="00295E71">
        <w:rPr>
          <w:lang w:val="it-IT"/>
        </w:rPr>
        <w:t>9% dei pazienti trattati con il controllo.</w:t>
      </w:r>
    </w:p>
    <w:p w:rsidR="00157870" w:rsidRPr="00295E71" w:rsidP="00157870" w14:paraId="17F2072D" w14:textId="77777777">
      <w:pPr>
        <w:pStyle w:val="EMEANormal"/>
        <w:jc w:val="both"/>
        <w:rPr>
          <w:lang w:val="it-IT"/>
        </w:rPr>
      </w:pPr>
    </w:p>
    <w:p w:rsidR="00157870" w:rsidRPr="00295E71" w:rsidP="00157870" w14:paraId="3B0A16E6" w14:textId="77777777">
      <w:pPr>
        <w:pStyle w:val="EMEANormal"/>
        <w:jc w:val="both"/>
        <w:rPr>
          <w:lang w:val="it-IT"/>
        </w:rPr>
      </w:pPr>
      <w:r w:rsidRPr="00295E71">
        <w:rPr>
          <w:lang w:val="it-IT"/>
        </w:rPr>
        <w:t xml:space="preserve">Nello studio di fase 3 di Humira, in pazienti con malattia di </w:t>
      </w:r>
      <w:r w:rsidRPr="00020442" w:rsidR="00570081">
        <w:rPr>
          <w:lang w:val="it-IT"/>
        </w:rPr>
        <w:t>Crohn</w:t>
      </w:r>
      <w:r w:rsidRPr="00295E71">
        <w:rPr>
          <w:lang w:val="it-IT"/>
        </w:rPr>
        <w:t xml:space="preserve"> in età pediatrica, che ha valutato la sicurezza e l’efficacia dei due regimi posologici aggiustati per il peso corporeo per la terapia di mantenimento che segue la terapia di induzione aggiustata per il peso fino a 52 settimane, sono stati trovati livelli di ALT superior</w:t>
      </w:r>
      <w:r w:rsidR="00C60688">
        <w:rPr>
          <w:lang w:val="it-IT"/>
        </w:rPr>
        <w:t>i</w:t>
      </w:r>
      <w:r w:rsidRPr="00295E71">
        <w:rPr>
          <w:lang w:val="it-IT"/>
        </w:rPr>
        <w:t xml:space="preserve"> o ugual</w:t>
      </w:r>
      <w:r w:rsidR="00C60688">
        <w:rPr>
          <w:lang w:val="it-IT"/>
        </w:rPr>
        <w:t>i</w:t>
      </w:r>
      <w:r w:rsidRPr="00295E71">
        <w:rPr>
          <w:lang w:val="it-IT"/>
        </w:rPr>
        <w:t xml:space="preserve"> a tre volte il limite superiore di normalità</w:t>
      </w:r>
      <w:r w:rsidR="00570081">
        <w:rPr>
          <w:lang w:val="it-IT"/>
        </w:rPr>
        <w:t xml:space="preserve"> </w:t>
      </w:r>
      <w:r w:rsidRPr="00295E71">
        <w:rPr>
          <w:lang w:val="it-IT"/>
        </w:rPr>
        <w:t xml:space="preserve">nel 2,6% (5/192) </w:t>
      </w:r>
      <w:r w:rsidR="00570081">
        <w:rPr>
          <w:lang w:val="it-IT"/>
        </w:rPr>
        <w:t>dei</w:t>
      </w:r>
      <w:r w:rsidRPr="00295E71">
        <w:rPr>
          <w:lang w:val="it-IT"/>
        </w:rPr>
        <w:t xml:space="preserve"> pazienti</w:t>
      </w:r>
      <w:r w:rsidRPr="00020442" w:rsidR="00570081">
        <w:rPr>
          <w:lang w:val="it-IT"/>
        </w:rPr>
        <w:t>, di cui 4 ricevevano</w:t>
      </w:r>
      <w:r w:rsidR="00570081">
        <w:rPr>
          <w:lang w:val="it-IT"/>
        </w:rPr>
        <w:t xml:space="preserve"> un</w:t>
      </w:r>
      <w:r w:rsidRPr="00295E71">
        <w:rPr>
          <w:lang w:val="it-IT"/>
        </w:rPr>
        <w:t xml:space="preserve"> trattamento concomitante con immunosoppressori </w:t>
      </w:r>
      <w:r w:rsidR="00570081">
        <w:rPr>
          <w:lang w:val="it-IT"/>
        </w:rPr>
        <w:t xml:space="preserve">al </w:t>
      </w:r>
      <w:r w:rsidRPr="00295E71">
        <w:rPr>
          <w:lang w:val="it-IT"/>
        </w:rPr>
        <w:t>basal</w:t>
      </w:r>
      <w:r w:rsidR="00570081">
        <w:rPr>
          <w:lang w:val="it-IT"/>
        </w:rPr>
        <w:t>e</w:t>
      </w:r>
      <w:r w:rsidRPr="00295E71">
        <w:rPr>
          <w:lang w:val="it-IT"/>
        </w:rPr>
        <w:t xml:space="preserve">. </w:t>
      </w:r>
    </w:p>
    <w:p w:rsidR="00157870" w:rsidRPr="00295E71" w:rsidP="00157870" w14:paraId="0D1D4F52" w14:textId="77777777">
      <w:pPr>
        <w:tabs>
          <w:tab w:val="left" w:pos="180"/>
          <w:tab w:val="left" w:pos="360"/>
        </w:tabs>
        <w:jc w:val="both"/>
        <w:rPr>
          <w:sz w:val="22"/>
          <w:szCs w:val="22"/>
        </w:rPr>
      </w:pPr>
    </w:p>
    <w:p w:rsidR="00157870" w:rsidRPr="00295E71" w:rsidP="00157870" w14:paraId="3878C77E" w14:textId="77777777">
      <w:pPr>
        <w:pStyle w:val="EMEANormal"/>
        <w:jc w:val="both"/>
        <w:rPr>
          <w:lang w:val="it-IT"/>
        </w:rPr>
      </w:pPr>
      <w:r w:rsidRPr="00295E71">
        <w:rPr>
          <w:iCs/>
          <w:lang w:val="it-IT"/>
        </w:rPr>
        <w:t>Negli</w:t>
      </w:r>
      <w:r w:rsidRPr="00295E71">
        <w:rPr>
          <w:lang w:val="it-IT"/>
        </w:rPr>
        <w:t xml:space="preserve"> studi clinici controllati di Fase 3 di Humira in pazienti con psoriasi a placche con una durata del periodo di controllo che va da 12 a 24 settimane, aumenti delle transaminasi ALT superiori o uguali a tre volte il limite superiore di normalità si sono verificati nell’1</w:t>
      </w:r>
      <w:r w:rsidR="00570081">
        <w:rPr>
          <w:lang w:val="it-IT"/>
        </w:rPr>
        <w:t>,</w:t>
      </w:r>
      <w:r w:rsidRPr="00295E71">
        <w:rPr>
          <w:lang w:val="it-IT"/>
        </w:rPr>
        <w:t>8% dei pazienti trattati con Humira e nell’1</w:t>
      </w:r>
      <w:r w:rsidR="00570081">
        <w:rPr>
          <w:lang w:val="it-IT"/>
        </w:rPr>
        <w:t>,</w:t>
      </w:r>
      <w:r w:rsidRPr="00295E71">
        <w:rPr>
          <w:lang w:val="it-IT"/>
        </w:rPr>
        <w:t>8% dei pazienti trattati con il controllo.</w:t>
      </w:r>
    </w:p>
    <w:p w:rsidR="00157870" w:rsidRPr="00295E71" w:rsidP="00157870" w14:paraId="0C8A0A4A" w14:textId="77777777">
      <w:pPr>
        <w:pStyle w:val="EMEANormal"/>
        <w:jc w:val="both"/>
        <w:rPr>
          <w:lang w:val="it-IT"/>
        </w:rPr>
      </w:pPr>
    </w:p>
    <w:p w:rsidR="00157870" w:rsidRPr="00295E71" w:rsidP="00157870" w14:paraId="26B9605F" w14:textId="77777777">
      <w:pPr>
        <w:pStyle w:val="EMEANormal"/>
        <w:jc w:val="both"/>
        <w:rPr>
          <w:lang w:val="it-IT"/>
        </w:rPr>
      </w:pPr>
      <w:r w:rsidRPr="00295E71">
        <w:rPr>
          <w:lang w:val="it-IT"/>
        </w:rPr>
        <w:t>Nello studio di fase 3 di Humira in pazienti pediatrici con psoriasi a placche non si è verificato alcun aumento dei livelli di ALT superiore o uguale a tre volte il limite superiore di normalità.</w:t>
      </w:r>
    </w:p>
    <w:p w:rsidR="00157870" w:rsidRPr="00295E71" w:rsidP="00157870" w14:paraId="30B2EBCA" w14:textId="77777777">
      <w:pPr>
        <w:pStyle w:val="EMEANormal"/>
        <w:jc w:val="both"/>
        <w:rPr>
          <w:lang w:val="it-IT"/>
        </w:rPr>
      </w:pPr>
    </w:p>
    <w:p w:rsidR="00157870" w:rsidRPr="00295E71" w:rsidP="00157870" w14:paraId="5B0C5E9A" w14:textId="77777777">
      <w:pPr>
        <w:pStyle w:val="EMEANormal"/>
        <w:jc w:val="both"/>
        <w:rPr>
          <w:lang w:val="it-IT"/>
        </w:rPr>
      </w:pPr>
      <w:r w:rsidRPr="00295E71">
        <w:rPr>
          <w:lang w:val="it-IT"/>
        </w:rPr>
        <w:t>Negli studi clinici controllati di Humira (dosi iniziali di 80 mg alla settimana 0 seguiti da 40 mg a settimane alterne a partire dalla settimana 1) in pazienti adulti con uveite fino a 80 settimane con un’esposizione mediana rispettivamente di 166,5 giorni nei pazienti trattati con Humira e di 105,0 giorni nei pazienti trattati con il controllo, aumenti dei livelli di ALT superiori o uguali a tre volte il limite superiore di normalità ULN si sono verificati nel 2,4% dei pazienti trattati con Humira e nel 2,4% dei pazienti trattati con il controllo.</w:t>
      </w:r>
    </w:p>
    <w:p w:rsidR="00157870" w:rsidRPr="00295E71" w:rsidP="00157870" w14:paraId="049618F5" w14:textId="77777777">
      <w:pPr>
        <w:pStyle w:val="EMEANormal"/>
        <w:jc w:val="both"/>
        <w:rPr>
          <w:lang w:val="it-IT"/>
        </w:rPr>
      </w:pPr>
    </w:p>
    <w:p w:rsidR="00157870" w:rsidRPr="00295E71" w:rsidP="00157870" w14:paraId="0D482EC5" w14:textId="77777777">
      <w:pPr>
        <w:pStyle w:val="EMEANormal"/>
        <w:jc w:val="both"/>
        <w:rPr>
          <w:lang w:val="it-IT"/>
        </w:rPr>
      </w:pPr>
      <w:r w:rsidRPr="00295E71">
        <w:rPr>
          <w:lang w:val="it-IT"/>
        </w:rPr>
        <w:t>Negli studi clinici, in tutte le indicazioni, i pazienti con livelli aumentati di transaminasi</w:t>
      </w:r>
      <w:r w:rsidR="00570081">
        <w:rPr>
          <w:lang w:val="it-IT"/>
        </w:rPr>
        <w:t xml:space="preserve"> ALT</w:t>
      </w:r>
      <w:r w:rsidRPr="00295E71">
        <w:rPr>
          <w:lang w:val="it-IT"/>
        </w:rPr>
        <w:t xml:space="preserve"> erano asintomatici e nella maggior parte dei casi gli innalzamenti erano transitori e si sono risolti nel corso del trattamento. Tuttavia,in pazienti trattati con adalimumab sono stati riportati anche casi post-marketing di insufficienza epatica come pure di disordini epatici meno gravi che possono precedere l’insufficienza epatica, come l’epatite inclusa l’epatite autoimmune.</w:t>
      </w:r>
    </w:p>
    <w:p w:rsidR="00157870" w:rsidRPr="00295E71" w:rsidP="00157870" w14:paraId="25370526" w14:textId="77777777">
      <w:pPr>
        <w:rPr>
          <w:sz w:val="22"/>
          <w:szCs w:val="22"/>
          <w:u w:val="single"/>
        </w:rPr>
      </w:pPr>
    </w:p>
    <w:p w:rsidR="00157870" w:rsidRPr="00295E71" w:rsidP="00C04163" w14:paraId="4ACD4484" w14:textId="77777777">
      <w:pPr>
        <w:keepNext/>
        <w:tabs>
          <w:tab w:val="left" w:pos="0"/>
        </w:tabs>
        <w:jc w:val="both"/>
        <w:rPr>
          <w:sz w:val="22"/>
          <w:szCs w:val="22"/>
          <w:u w:val="single"/>
        </w:rPr>
      </w:pPr>
      <w:r w:rsidRPr="00295E71">
        <w:rPr>
          <w:sz w:val="22"/>
          <w:szCs w:val="22"/>
          <w:u w:val="single"/>
        </w:rPr>
        <w:t>Trattamento concomitante con azatioprina/6</w:t>
      </w:r>
      <w:r w:rsidRPr="00295E71">
        <w:rPr>
          <w:sz w:val="22"/>
          <w:szCs w:val="22"/>
          <w:u w:val="single"/>
        </w:rPr>
        <w:noBreakHyphen/>
        <w:t>mercaptopurina</w:t>
      </w:r>
    </w:p>
    <w:p w:rsidR="00157870" w:rsidRPr="00295E71" w:rsidP="00C04163" w14:paraId="3FCA6142" w14:textId="77777777">
      <w:pPr>
        <w:keepNext/>
        <w:tabs>
          <w:tab w:val="left" w:pos="0"/>
        </w:tabs>
        <w:jc w:val="both"/>
        <w:rPr>
          <w:sz w:val="22"/>
          <w:szCs w:val="22"/>
        </w:rPr>
      </w:pPr>
    </w:p>
    <w:p w:rsidR="00157870" w:rsidRPr="00295E71" w:rsidP="00157870" w14:paraId="5201EAA1" w14:textId="77777777">
      <w:pPr>
        <w:tabs>
          <w:tab w:val="left" w:pos="0"/>
        </w:tabs>
        <w:jc w:val="both"/>
        <w:rPr>
          <w:sz w:val="22"/>
          <w:szCs w:val="22"/>
        </w:rPr>
      </w:pPr>
      <w:r w:rsidRPr="00295E71">
        <w:rPr>
          <w:sz w:val="22"/>
          <w:szCs w:val="22"/>
        </w:rPr>
        <w:t>Negli studi sulla malattia di Crohn negli adulti, con la combinazione di Humira e azatioprina/6</w:t>
      </w:r>
      <w:r w:rsidRPr="00295E71">
        <w:rPr>
          <w:sz w:val="22"/>
          <w:szCs w:val="22"/>
        </w:rPr>
        <w:noBreakHyphen/>
        <w:t>mercaptopurina sono state osservate incidenze più elevate di eventi avversi correlati a infezionigravi e a tumori maligni rispetto a Humira da solo.</w:t>
      </w:r>
    </w:p>
    <w:p w:rsidR="00157870" w:rsidRPr="00295E71" w:rsidP="00157870" w14:paraId="2E931189" w14:textId="77777777">
      <w:pPr>
        <w:tabs>
          <w:tab w:val="left" w:pos="0"/>
        </w:tabs>
        <w:jc w:val="both"/>
        <w:rPr>
          <w:sz w:val="22"/>
          <w:szCs w:val="22"/>
          <w:u w:val="single"/>
        </w:rPr>
      </w:pPr>
    </w:p>
    <w:p w:rsidR="00157870" w:rsidRPr="00295E71" w:rsidP="00F57FE5" w14:paraId="5B146F96" w14:textId="77777777">
      <w:pPr>
        <w:keepNext/>
        <w:keepLines/>
        <w:tabs>
          <w:tab w:val="left" w:pos="0"/>
        </w:tabs>
        <w:jc w:val="both"/>
        <w:rPr>
          <w:sz w:val="22"/>
          <w:szCs w:val="22"/>
          <w:u w:val="single"/>
        </w:rPr>
      </w:pPr>
      <w:r w:rsidRPr="00295E71">
        <w:rPr>
          <w:sz w:val="22"/>
          <w:szCs w:val="22"/>
          <w:u w:val="single"/>
        </w:rPr>
        <w:t>Segnalazione delle reazioni avverse sospette</w:t>
      </w:r>
    </w:p>
    <w:p w:rsidR="00157870" w:rsidRPr="00295E71" w:rsidP="00F57FE5" w14:paraId="3A09BDE3" w14:textId="77777777">
      <w:pPr>
        <w:keepNext/>
        <w:keepLines/>
        <w:tabs>
          <w:tab w:val="left" w:pos="0"/>
        </w:tabs>
        <w:jc w:val="both"/>
        <w:rPr>
          <w:sz w:val="22"/>
          <w:szCs w:val="22"/>
        </w:rPr>
      </w:pPr>
      <w:r w:rsidRPr="00295E71">
        <w:rPr>
          <w:sz w:val="22"/>
          <w:szCs w:val="22"/>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il </w:t>
      </w:r>
      <w:r w:rsidRPr="00295E71">
        <w:rPr>
          <w:sz w:val="22"/>
          <w:szCs w:val="22"/>
          <w:highlight w:val="lightGray"/>
        </w:rPr>
        <w:t>sistema nazionale di segnalazione riportato nell’</w:t>
      </w:r>
      <w:hyperlink r:id="rId18" w:history="1">
        <w:r w:rsidRPr="00295E71">
          <w:rPr>
            <w:rStyle w:val="Hyperlink"/>
            <w:sz w:val="22"/>
            <w:szCs w:val="22"/>
            <w:highlight w:val="lightGray"/>
          </w:rPr>
          <w:t>allegato V</w:t>
        </w:r>
      </w:hyperlink>
      <w:r w:rsidRPr="00295E71">
        <w:rPr>
          <w:sz w:val="22"/>
          <w:szCs w:val="22"/>
          <w:highlight w:val="lightGray"/>
        </w:rPr>
        <w:t>.</w:t>
      </w:r>
    </w:p>
    <w:p w:rsidR="00157870" w:rsidRPr="00295E71" w:rsidP="00157870" w14:paraId="22C672A0" w14:textId="77777777">
      <w:pPr>
        <w:tabs>
          <w:tab w:val="left" w:pos="0"/>
        </w:tabs>
        <w:jc w:val="both"/>
        <w:rPr>
          <w:sz w:val="22"/>
          <w:szCs w:val="22"/>
        </w:rPr>
      </w:pPr>
    </w:p>
    <w:p w:rsidR="00157870" w:rsidRPr="00295E71" w:rsidP="00157870" w14:paraId="322830B4" w14:textId="77777777">
      <w:pPr>
        <w:tabs>
          <w:tab w:val="left" w:pos="567"/>
        </w:tabs>
        <w:ind w:left="567" w:hanging="567"/>
        <w:jc w:val="both"/>
        <w:rPr>
          <w:b/>
          <w:bCs/>
          <w:sz w:val="22"/>
          <w:szCs w:val="22"/>
        </w:rPr>
      </w:pPr>
      <w:r w:rsidRPr="00295E71">
        <w:rPr>
          <w:b/>
          <w:bCs/>
          <w:sz w:val="22"/>
          <w:szCs w:val="22"/>
        </w:rPr>
        <w:t>4.9</w:t>
      </w:r>
      <w:r w:rsidRPr="00295E71">
        <w:rPr>
          <w:b/>
          <w:bCs/>
          <w:sz w:val="22"/>
          <w:szCs w:val="22"/>
        </w:rPr>
        <w:tab/>
        <w:t>Sovradosaggio</w:t>
      </w:r>
    </w:p>
    <w:p w:rsidR="00157870" w:rsidRPr="00295E71" w:rsidP="00157870" w14:paraId="4AE1354B" w14:textId="77777777">
      <w:pPr>
        <w:tabs>
          <w:tab w:val="left" w:pos="567"/>
        </w:tabs>
        <w:jc w:val="both"/>
        <w:rPr>
          <w:sz w:val="22"/>
          <w:szCs w:val="22"/>
        </w:rPr>
      </w:pPr>
    </w:p>
    <w:p w:rsidR="00157870" w:rsidRPr="00295E71" w:rsidP="00157870" w14:paraId="3CC65829" w14:textId="77777777">
      <w:pPr>
        <w:tabs>
          <w:tab w:val="left" w:pos="567"/>
        </w:tabs>
        <w:jc w:val="both"/>
        <w:rPr>
          <w:color w:val="000000"/>
          <w:sz w:val="22"/>
          <w:szCs w:val="22"/>
        </w:rPr>
      </w:pPr>
      <w:r w:rsidRPr="00295E71">
        <w:rPr>
          <w:color w:val="000000"/>
          <w:sz w:val="22"/>
          <w:szCs w:val="22"/>
        </w:rPr>
        <w:t xml:space="preserve">Non è stata osservata tossicità </w:t>
      </w:r>
      <w:r w:rsidR="00570081">
        <w:rPr>
          <w:color w:val="000000"/>
          <w:sz w:val="22"/>
          <w:szCs w:val="22"/>
        </w:rPr>
        <w:t>dose-limitante</w:t>
      </w:r>
      <w:r w:rsidR="00C60688">
        <w:rPr>
          <w:color w:val="000000"/>
          <w:sz w:val="22"/>
          <w:szCs w:val="22"/>
        </w:rPr>
        <w:t xml:space="preserve"> </w:t>
      </w:r>
      <w:r w:rsidRPr="00295E71">
        <w:rPr>
          <w:color w:val="000000"/>
          <w:sz w:val="22"/>
          <w:szCs w:val="22"/>
        </w:rPr>
        <w:t>durante gli studi clinici. La dose più elevata valutata</w:t>
      </w:r>
      <w:r w:rsidRPr="00295E71" w:rsidR="007F1EB6">
        <w:rPr>
          <w:color w:val="000000"/>
          <w:sz w:val="22"/>
          <w:szCs w:val="22"/>
        </w:rPr>
        <w:t xml:space="preserve"> </w:t>
      </w:r>
      <w:r w:rsidRPr="00295E71">
        <w:rPr>
          <w:color w:val="000000"/>
          <w:sz w:val="22"/>
          <w:szCs w:val="22"/>
        </w:rPr>
        <w:t>è stata quella</w:t>
      </w:r>
      <w:r w:rsidRPr="00295E71" w:rsidR="007F1EB6">
        <w:rPr>
          <w:color w:val="000000"/>
          <w:sz w:val="22"/>
          <w:szCs w:val="22"/>
        </w:rPr>
        <w:t xml:space="preserve"> </w:t>
      </w:r>
      <w:r w:rsidRPr="00295E71">
        <w:rPr>
          <w:color w:val="000000"/>
          <w:sz w:val="22"/>
          <w:szCs w:val="22"/>
        </w:rPr>
        <w:t xml:space="preserve">costituita da dosi multiple di 10 mg/kg per via endovenosa; tale dose risulta equivalente a circa 15 volte la dose raccomandata.  </w:t>
      </w:r>
    </w:p>
    <w:p w:rsidR="00157870" w:rsidRPr="00295E71" w:rsidP="00157870" w14:paraId="2030F589" w14:textId="77777777">
      <w:pPr>
        <w:tabs>
          <w:tab w:val="left" w:pos="567"/>
        </w:tabs>
        <w:jc w:val="both"/>
        <w:rPr>
          <w:color w:val="000000"/>
          <w:sz w:val="22"/>
          <w:szCs w:val="22"/>
        </w:rPr>
      </w:pPr>
    </w:p>
    <w:p w:rsidR="00157870" w:rsidRPr="00295E71" w:rsidP="00157870" w14:paraId="11485E0B" w14:textId="77777777">
      <w:pPr>
        <w:tabs>
          <w:tab w:val="left" w:pos="567"/>
        </w:tabs>
        <w:jc w:val="both"/>
        <w:rPr>
          <w:color w:val="000000"/>
          <w:sz w:val="22"/>
          <w:szCs w:val="22"/>
        </w:rPr>
      </w:pPr>
    </w:p>
    <w:p w:rsidR="00157870" w:rsidRPr="00295E71" w:rsidP="00157870" w14:paraId="204C743C" w14:textId="77777777">
      <w:pPr>
        <w:keepNext/>
        <w:tabs>
          <w:tab w:val="left" w:pos="567"/>
        </w:tabs>
        <w:ind w:left="567" w:hanging="567"/>
        <w:jc w:val="both"/>
        <w:rPr>
          <w:b/>
          <w:bCs/>
          <w:sz w:val="22"/>
          <w:szCs w:val="22"/>
        </w:rPr>
      </w:pPr>
      <w:r w:rsidRPr="00295E71">
        <w:rPr>
          <w:b/>
          <w:bCs/>
          <w:sz w:val="22"/>
          <w:szCs w:val="22"/>
        </w:rPr>
        <w:t>5.</w:t>
      </w:r>
      <w:r w:rsidRPr="00295E71">
        <w:rPr>
          <w:b/>
          <w:bCs/>
          <w:sz w:val="22"/>
          <w:szCs w:val="22"/>
        </w:rPr>
        <w:tab/>
        <w:t>PROPRIETÀ FARMACOLOGICHE</w:t>
      </w:r>
    </w:p>
    <w:p w:rsidR="00157870" w:rsidRPr="00295E71" w:rsidP="00157870" w14:paraId="3013EA07" w14:textId="77777777">
      <w:pPr>
        <w:keepNext/>
        <w:tabs>
          <w:tab w:val="left" w:pos="567"/>
        </w:tabs>
        <w:jc w:val="both"/>
        <w:rPr>
          <w:b/>
          <w:bCs/>
          <w:sz w:val="22"/>
          <w:szCs w:val="22"/>
        </w:rPr>
      </w:pPr>
    </w:p>
    <w:p w:rsidR="00157870" w:rsidRPr="00295E71" w:rsidP="00157870" w14:paraId="0705EC48" w14:textId="77777777">
      <w:pPr>
        <w:keepNext/>
        <w:tabs>
          <w:tab w:val="left" w:pos="567"/>
        </w:tabs>
        <w:ind w:left="567" w:hanging="567"/>
        <w:jc w:val="both"/>
        <w:rPr>
          <w:b/>
          <w:bCs/>
          <w:sz w:val="22"/>
          <w:szCs w:val="22"/>
        </w:rPr>
      </w:pPr>
      <w:r w:rsidRPr="00295E71">
        <w:rPr>
          <w:b/>
          <w:bCs/>
          <w:sz w:val="22"/>
          <w:szCs w:val="22"/>
        </w:rPr>
        <w:t xml:space="preserve">5.1 </w:t>
      </w:r>
      <w:r w:rsidRPr="00295E71">
        <w:rPr>
          <w:b/>
          <w:bCs/>
          <w:sz w:val="22"/>
          <w:szCs w:val="22"/>
        </w:rPr>
        <w:tab/>
        <w:t>Proprietà farmacodinamiche</w:t>
      </w:r>
    </w:p>
    <w:p w:rsidR="00157870" w:rsidRPr="00295E71" w:rsidP="00157870" w14:paraId="0946428D" w14:textId="77777777">
      <w:pPr>
        <w:keepNext/>
        <w:tabs>
          <w:tab w:val="left" w:pos="567"/>
        </w:tabs>
        <w:jc w:val="both"/>
        <w:rPr>
          <w:sz w:val="22"/>
          <w:szCs w:val="22"/>
        </w:rPr>
      </w:pPr>
    </w:p>
    <w:p w:rsidR="00157870" w:rsidRPr="00295E71" w:rsidP="00157870" w14:paraId="6773DE22" w14:textId="77777777">
      <w:pPr>
        <w:keepNext/>
        <w:tabs>
          <w:tab w:val="left" w:pos="567"/>
        </w:tabs>
        <w:jc w:val="both"/>
        <w:rPr>
          <w:sz w:val="22"/>
          <w:szCs w:val="22"/>
        </w:rPr>
      </w:pPr>
      <w:r w:rsidRPr="00295E71">
        <w:rPr>
          <w:sz w:val="22"/>
          <w:szCs w:val="22"/>
        </w:rPr>
        <w:t>Categoria farmacoterapeutica: Immunosoppressori, inibitori del Fattore di Necrosi Tumorale alfa (TNF</w:t>
      </w:r>
      <w:r w:rsidRPr="00295E71">
        <w:rPr>
          <w:sz w:val="22"/>
          <w:szCs w:val="22"/>
        </w:rPr>
        <w:noBreakHyphen/>
        <w:t>α). Codice ATC: L04AB04</w:t>
      </w:r>
    </w:p>
    <w:p w:rsidR="00157870" w:rsidRPr="00295E71" w:rsidP="00157870" w14:paraId="631DA00E" w14:textId="77777777">
      <w:pPr>
        <w:keepNext/>
        <w:tabs>
          <w:tab w:val="left" w:pos="567"/>
        </w:tabs>
        <w:jc w:val="both"/>
        <w:rPr>
          <w:sz w:val="22"/>
          <w:szCs w:val="22"/>
        </w:rPr>
      </w:pPr>
    </w:p>
    <w:p w:rsidR="00157870" w:rsidRPr="00295E71" w:rsidP="00157870" w14:paraId="029233E6" w14:textId="77777777">
      <w:pPr>
        <w:keepNext/>
        <w:tabs>
          <w:tab w:val="left" w:pos="567"/>
        </w:tabs>
        <w:jc w:val="both"/>
        <w:rPr>
          <w:sz w:val="22"/>
          <w:szCs w:val="22"/>
          <w:u w:val="single"/>
        </w:rPr>
      </w:pPr>
      <w:r w:rsidRPr="00295E71">
        <w:rPr>
          <w:sz w:val="22"/>
          <w:szCs w:val="22"/>
          <w:u w:val="single"/>
        </w:rPr>
        <w:t>Meccanismo d’azione</w:t>
      </w:r>
    </w:p>
    <w:p w:rsidR="00157870" w:rsidRPr="00295E71" w:rsidP="00157870" w14:paraId="3DDDA6DE" w14:textId="77777777">
      <w:pPr>
        <w:keepNext/>
        <w:tabs>
          <w:tab w:val="left" w:pos="567"/>
        </w:tabs>
        <w:jc w:val="both"/>
        <w:rPr>
          <w:sz w:val="22"/>
          <w:szCs w:val="22"/>
        </w:rPr>
      </w:pPr>
    </w:p>
    <w:p w:rsidR="00157870" w:rsidRPr="00295E71" w:rsidP="00157870" w14:paraId="7B5761D9" w14:textId="77777777">
      <w:pPr>
        <w:pStyle w:val="BodyText"/>
        <w:keepNext/>
        <w:tabs>
          <w:tab w:val="left" w:pos="567"/>
        </w:tabs>
      </w:pPr>
      <w:r w:rsidRPr="00295E71">
        <w:t>Adalimumab si lega selettivamente al TNF e ne neutralizza la funzione biologica bloccando la sua interazione con i recettori del TNF di membrana cellulare, p55 e p75.</w:t>
      </w:r>
    </w:p>
    <w:p w:rsidR="00157870" w:rsidRPr="00295E71" w:rsidP="00157870" w14:paraId="6251B273" w14:textId="77777777">
      <w:pPr>
        <w:keepNext/>
        <w:tabs>
          <w:tab w:val="left" w:pos="567"/>
        </w:tabs>
        <w:jc w:val="both"/>
        <w:rPr>
          <w:sz w:val="22"/>
          <w:szCs w:val="22"/>
        </w:rPr>
      </w:pPr>
    </w:p>
    <w:p w:rsidR="00157870" w:rsidRPr="00295E71" w:rsidP="00157870" w14:paraId="7337BFEA" w14:textId="77777777">
      <w:pPr>
        <w:tabs>
          <w:tab w:val="left" w:pos="567"/>
        </w:tabs>
        <w:jc w:val="both"/>
        <w:rPr>
          <w:sz w:val="22"/>
          <w:szCs w:val="22"/>
        </w:rPr>
      </w:pPr>
      <w:r w:rsidRPr="00295E71">
        <w:rPr>
          <w:sz w:val="22"/>
          <w:szCs w:val="22"/>
        </w:rPr>
        <w:t>Adalimumab modula anche le risposte biologiche che sono indotte o regolate dal TNF, inclusi i cambiamenti dei livelli delle molecole di adesione responsabili della migrazione dei leucociti (ELAM-1, VCAM-1 e ICAM-1 con un IC</w:t>
      </w:r>
      <w:r w:rsidRPr="00295E71">
        <w:rPr>
          <w:sz w:val="22"/>
          <w:szCs w:val="22"/>
          <w:vertAlign w:val="subscript"/>
        </w:rPr>
        <w:t>50</w:t>
      </w:r>
      <w:r w:rsidRPr="00295E71">
        <w:rPr>
          <w:sz w:val="22"/>
          <w:szCs w:val="22"/>
        </w:rPr>
        <w:t xml:space="preserve"> di 0,1-0,2 nM).</w:t>
      </w:r>
    </w:p>
    <w:p w:rsidR="00157870" w:rsidRPr="00295E71" w:rsidP="00157870" w14:paraId="3CCA618E" w14:textId="77777777">
      <w:pPr>
        <w:tabs>
          <w:tab w:val="left" w:pos="567"/>
        </w:tabs>
        <w:jc w:val="both"/>
        <w:rPr>
          <w:sz w:val="22"/>
          <w:szCs w:val="22"/>
        </w:rPr>
      </w:pPr>
    </w:p>
    <w:p w:rsidR="00157870" w:rsidRPr="00295E71" w:rsidP="00157870" w14:paraId="3B0D4DA4" w14:textId="77777777">
      <w:pPr>
        <w:tabs>
          <w:tab w:val="left" w:pos="567"/>
        </w:tabs>
        <w:autoSpaceDE w:val="0"/>
        <w:autoSpaceDN w:val="0"/>
        <w:adjustRightInd w:val="0"/>
        <w:jc w:val="both"/>
        <w:rPr>
          <w:color w:val="000000"/>
          <w:sz w:val="22"/>
          <w:szCs w:val="22"/>
          <w:u w:val="single"/>
        </w:rPr>
      </w:pPr>
      <w:r w:rsidRPr="00295E71">
        <w:rPr>
          <w:color w:val="000000"/>
          <w:sz w:val="22"/>
          <w:szCs w:val="22"/>
          <w:u w:val="single"/>
        </w:rPr>
        <w:t>Effetti farmacodinamici</w:t>
      </w:r>
    </w:p>
    <w:p w:rsidR="00157870" w:rsidRPr="00295E71" w:rsidP="00157870" w14:paraId="08686A3E" w14:textId="77777777">
      <w:pPr>
        <w:tabs>
          <w:tab w:val="left" w:pos="567"/>
        </w:tabs>
        <w:autoSpaceDE w:val="0"/>
        <w:autoSpaceDN w:val="0"/>
        <w:adjustRightInd w:val="0"/>
        <w:jc w:val="both"/>
        <w:rPr>
          <w:color w:val="000000"/>
          <w:sz w:val="22"/>
          <w:szCs w:val="22"/>
          <w:u w:val="single"/>
        </w:rPr>
      </w:pPr>
    </w:p>
    <w:p w:rsidR="00157870" w:rsidRPr="00295E71" w:rsidP="00157870" w14:paraId="28C081F3" w14:textId="77777777">
      <w:pPr>
        <w:tabs>
          <w:tab w:val="left" w:pos="567"/>
        </w:tabs>
        <w:jc w:val="both"/>
        <w:rPr>
          <w:color w:val="000000"/>
          <w:sz w:val="22"/>
          <w:szCs w:val="22"/>
        </w:rPr>
      </w:pPr>
      <w:r w:rsidRPr="00295E71">
        <w:rPr>
          <w:color w:val="000000"/>
          <w:sz w:val="22"/>
          <w:szCs w:val="22"/>
        </w:rPr>
        <w:t>Dopo trattamento con Humira, si è osservata una rapida diminuzione delle proteine di fase acuta, indici di infiammazione (proteina C reattiva -PCR, velocità di eritrosedimentazione -VES) e delle citochine sieriche (IL-6) nei pazienti con artrite reumatoide rispetto al valore basale. Anche i livelli sierici delle metalloproteinasi della matrice (MMP-1 e MMP-3), coinvolte nel rimodellamento tissutale responsabile della distruzione della cartilagine, erano diminuiti in seguito alla somministrazione di Humira. I pazienti trattati con Humira hanno generalmente mostrato un miglioramento dei segni emato</w:t>
      </w:r>
      <w:r w:rsidR="00570081">
        <w:rPr>
          <w:color w:val="000000"/>
          <w:sz w:val="22"/>
          <w:szCs w:val="22"/>
        </w:rPr>
        <w:t>logici</w:t>
      </w:r>
      <w:r w:rsidRPr="00295E71">
        <w:rPr>
          <w:color w:val="000000"/>
          <w:sz w:val="22"/>
          <w:szCs w:val="22"/>
        </w:rPr>
        <w:t xml:space="preserve"> dell’infiammazione cronica.</w:t>
      </w:r>
    </w:p>
    <w:p w:rsidR="00157870" w:rsidRPr="00295E71" w:rsidP="00157870" w14:paraId="7C460E4E" w14:textId="77777777">
      <w:pPr>
        <w:tabs>
          <w:tab w:val="left" w:pos="567"/>
        </w:tabs>
        <w:jc w:val="both"/>
        <w:rPr>
          <w:color w:val="000000"/>
          <w:sz w:val="22"/>
          <w:szCs w:val="22"/>
        </w:rPr>
      </w:pPr>
    </w:p>
    <w:p w:rsidR="00157870" w:rsidRPr="00C117D3" w:rsidP="00157870" w14:paraId="269FCE08" w14:textId="77777777">
      <w:pPr>
        <w:tabs>
          <w:tab w:val="left" w:pos="567"/>
        </w:tabs>
        <w:jc w:val="both"/>
        <w:rPr>
          <w:sz w:val="22"/>
          <w:szCs w:val="22"/>
        </w:rPr>
      </w:pPr>
      <w:r w:rsidRPr="00295E71">
        <w:rPr>
          <w:sz w:val="22"/>
          <w:szCs w:val="22"/>
        </w:rPr>
        <w:t xml:space="preserve">Dopo trattamento con Humira, </w:t>
      </w:r>
      <w:r w:rsidR="00570081">
        <w:rPr>
          <w:sz w:val="22"/>
          <w:szCs w:val="22"/>
        </w:rPr>
        <w:t>anche nei</w:t>
      </w:r>
      <w:r w:rsidRPr="00295E71">
        <w:rPr>
          <w:sz w:val="22"/>
          <w:szCs w:val="22"/>
        </w:rPr>
        <w:t xml:space="preserve"> pazienti </w:t>
      </w:r>
      <w:r w:rsidRPr="00295E71" w:rsidR="00224E13">
        <w:rPr>
          <w:sz w:val="22"/>
          <w:szCs w:val="22"/>
        </w:rPr>
        <w:t>con</w:t>
      </w:r>
      <w:r w:rsidRPr="00295E71">
        <w:rPr>
          <w:sz w:val="22"/>
          <w:szCs w:val="22"/>
        </w:rPr>
        <w:t xml:space="preserve"> Artrite Idiopatica Giovanile Poliarticolare,  malattia di Crohn, colite ulcerosa e Idrosadenite Suppurativa è stata osservata una rapida diminuzione dei livelli di PCR (proteina C reattiva).</w:t>
      </w:r>
      <w:r w:rsidR="00B6698C">
        <w:rPr>
          <w:sz w:val="22"/>
          <w:szCs w:val="22"/>
        </w:rPr>
        <w:t xml:space="preserve"> </w:t>
      </w:r>
      <w:r w:rsidRPr="00295E71">
        <w:rPr>
          <w:sz w:val="22"/>
          <w:szCs w:val="22"/>
        </w:rPr>
        <w:t xml:space="preserve">Nei pazienti </w:t>
      </w:r>
      <w:r w:rsidRPr="00295E71" w:rsidR="00224E13">
        <w:rPr>
          <w:sz w:val="22"/>
          <w:szCs w:val="22"/>
        </w:rPr>
        <w:t>con</w:t>
      </w:r>
      <w:r w:rsidRPr="00295E71">
        <w:rPr>
          <w:sz w:val="22"/>
          <w:szCs w:val="22"/>
        </w:rPr>
        <w:t xml:space="preserve"> malattia di Crohn, è stata osservata una </w:t>
      </w:r>
      <w:r w:rsidRPr="00C117D3">
        <w:rPr>
          <w:sz w:val="22"/>
          <w:szCs w:val="22"/>
        </w:rPr>
        <w:t>riduzione del numero di cellule che esprimono i marcatori infiammatori nel colon compresa una significativa riduzione dell’espressione del TNFα. Studi endoscopici della mucosa intestinale hanno evidenziato la guarigione mucosale nei pazienti trattati con adalimumab.</w:t>
      </w:r>
    </w:p>
    <w:p w:rsidR="00157870" w:rsidRPr="00C117D3" w:rsidP="00157870" w14:paraId="5BAFE0F2" w14:textId="77777777">
      <w:pPr>
        <w:tabs>
          <w:tab w:val="left" w:pos="567"/>
        </w:tabs>
        <w:jc w:val="both"/>
        <w:rPr>
          <w:sz w:val="22"/>
          <w:szCs w:val="22"/>
        </w:rPr>
      </w:pPr>
    </w:p>
    <w:p w:rsidR="00157870" w:rsidRPr="00C117D3" w:rsidP="00A60A0D" w14:paraId="05558E2B" w14:textId="77777777">
      <w:pPr>
        <w:keepNext/>
        <w:tabs>
          <w:tab w:val="left" w:pos="567"/>
        </w:tabs>
        <w:jc w:val="both"/>
        <w:rPr>
          <w:color w:val="000000"/>
          <w:sz w:val="22"/>
          <w:szCs w:val="22"/>
          <w:u w:val="single"/>
        </w:rPr>
      </w:pPr>
      <w:r w:rsidRPr="00C117D3">
        <w:rPr>
          <w:color w:val="000000"/>
          <w:sz w:val="22"/>
          <w:szCs w:val="22"/>
          <w:u w:val="single"/>
        </w:rPr>
        <w:t>Efficacia e sicurezza clinica</w:t>
      </w:r>
    </w:p>
    <w:p w:rsidR="00157870" w:rsidRPr="00C117D3" w:rsidP="00A60A0D" w14:paraId="3E3BAA77" w14:textId="77777777">
      <w:pPr>
        <w:keepNext/>
        <w:tabs>
          <w:tab w:val="left" w:pos="567"/>
        </w:tabs>
        <w:jc w:val="both"/>
        <w:rPr>
          <w:color w:val="000000"/>
          <w:sz w:val="22"/>
          <w:szCs w:val="22"/>
          <w:u w:val="single"/>
        </w:rPr>
      </w:pPr>
    </w:p>
    <w:p w:rsidR="00157870" w:rsidRPr="00295E71" w:rsidP="00A60A0D" w14:paraId="12075C78" w14:textId="77777777">
      <w:pPr>
        <w:keepNext/>
        <w:tabs>
          <w:tab w:val="left" w:pos="567"/>
        </w:tabs>
        <w:jc w:val="both"/>
        <w:rPr>
          <w:i/>
          <w:color w:val="000000"/>
          <w:sz w:val="22"/>
          <w:szCs w:val="22"/>
        </w:rPr>
      </w:pPr>
      <w:r w:rsidRPr="00C117D3">
        <w:rPr>
          <w:i/>
          <w:color w:val="000000"/>
          <w:sz w:val="22"/>
          <w:szCs w:val="22"/>
        </w:rPr>
        <w:t>Artrite reumatoide dell’adulto</w:t>
      </w:r>
    </w:p>
    <w:p w:rsidR="00157870" w:rsidRPr="00295E71" w:rsidP="00A60A0D" w14:paraId="3F7314C7" w14:textId="77777777">
      <w:pPr>
        <w:keepNext/>
        <w:tabs>
          <w:tab w:val="left" w:pos="567"/>
        </w:tabs>
        <w:jc w:val="both"/>
        <w:rPr>
          <w:color w:val="000000"/>
          <w:sz w:val="22"/>
          <w:szCs w:val="22"/>
          <w:u w:val="single"/>
        </w:rPr>
      </w:pPr>
    </w:p>
    <w:p w:rsidR="00157870" w:rsidRPr="00295E71" w:rsidP="00157870" w14:paraId="3CF0DE13" w14:textId="77777777">
      <w:pPr>
        <w:tabs>
          <w:tab w:val="left" w:pos="567"/>
        </w:tabs>
        <w:jc w:val="both"/>
        <w:rPr>
          <w:sz w:val="22"/>
          <w:szCs w:val="22"/>
        </w:rPr>
      </w:pPr>
      <w:r w:rsidRPr="00295E71">
        <w:rPr>
          <w:sz w:val="22"/>
          <w:szCs w:val="22"/>
        </w:rPr>
        <w:t xml:space="preserve">Humira è stato valutato su oltre 3.000 pazienti in tutti gli studi clinici sull’artrite reumatoide. L’efficacia e la sicurezza di Humira sono state valutate in cinque studi randomizzati, in doppio cieco e ben controllati. Alcuni pazienti sono stati sottoposti a trattamento per un periodo fino a 120 mesi. </w:t>
      </w:r>
    </w:p>
    <w:p w:rsidR="00157870" w:rsidRPr="00295E71" w:rsidP="00157870" w14:paraId="7F845930" w14:textId="77777777">
      <w:pPr>
        <w:rPr>
          <w:sz w:val="22"/>
          <w:szCs w:val="22"/>
        </w:rPr>
      </w:pPr>
    </w:p>
    <w:p w:rsidR="00157870" w:rsidRPr="00295E71" w:rsidP="00157870" w14:paraId="135E81EC" w14:textId="77777777">
      <w:pPr>
        <w:pStyle w:val="BodyText"/>
        <w:tabs>
          <w:tab w:val="left" w:pos="567"/>
        </w:tabs>
      </w:pPr>
      <w:r w:rsidRPr="00295E71">
        <w:t xml:space="preserve">Lo studio AR I è stato condotto su 271 pazienti di età </w:t>
      </w:r>
      <w:r w:rsidRPr="00295E71">
        <w:rPr>
          <w:rFonts w:ascii="Symbol" w:hAnsi="Symbol"/>
        </w:rPr>
        <w:sym w:font="Symbol" w:char="F0B3"/>
      </w:r>
      <w:r w:rsidRPr="00295E71">
        <w:t xml:space="preserve"> 18 anni, </w:t>
      </w:r>
      <w:r w:rsidRPr="00295E71" w:rsidR="00224E13">
        <w:t>con</w:t>
      </w:r>
      <w:r w:rsidRPr="00295E71">
        <w:t xml:space="preserve"> artrite reumatoide </w:t>
      </w:r>
      <w:r w:rsidRPr="00020442" w:rsidR="006B5632">
        <w:t xml:space="preserve">attiva </w:t>
      </w:r>
      <w:r w:rsidRPr="00295E71">
        <w:t xml:space="preserve">di grado moderato-severo, refrattari ad almeno un farmaco DMARD </w:t>
      </w:r>
      <w:r w:rsidR="006B5632">
        <w:t xml:space="preserve">e con risposta inadeguata al </w:t>
      </w:r>
      <w:r w:rsidRPr="00295E71">
        <w:t>metotressato a dosaggi compresi tra 12,5 e 25 mg (10 mg se intolleranti al metotressato) a settimana e la cui dose di metotressato è rimasta costante a 10-25 mg a settimana. Humira 20, 40 o 80 mg o placebo sono stati somministrati a settimane alterne per 24 settimane.</w:t>
      </w:r>
    </w:p>
    <w:p w:rsidR="00157870" w:rsidRPr="00295E71" w:rsidP="00157870" w14:paraId="2BAAFB66" w14:textId="77777777">
      <w:pPr>
        <w:tabs>
          <w:tab w:val="left" w:pos="567"/>
        </w:tabs>
        <w:jc w:val="both"/>
        <w:rPr>
          <w:sz w:val="22"/>
          <w:szCs w:val="22"/>
        </w:rPr>
      </w:pPr>
    </w:p>
    <w:p w:rsidR="00157870" w:rsidRPr="00295E71" w:rsidP="00157870" w14:paraId="597B4887" w14:textId="77777777">
      <w:pPr>
        <w:tabs>
          <w:tab w:val="left" w:pos="567"/>
        </w:tabs>
        <w:jc w:val="both"/>
        <w:rPr>
          <w:sz w:val="22"/>
          <w:szCs w:val="22"/>
        </w:rPr>
      </w:pPr>
      <w:r w:rsidRPr="00295E71">
        <w:rPr>
          <w:sz w:val="22"/>
          <w:szCs w:val="22"/>
        </w:rPr>
        <w:t xml:space="preserve">Nello studio AR II sono stati studiati 544 pazienti di età </w:t>
      </w:r>
      <w:r w:rsidRPr="00295E71">
        <w:rPr>
          <w:rFonts w:ascii="Symbol" w:hAnsi="Symbol"/>
          <w:sz w:val="22"/>
          <w:szCs w:val="22"/>
        </w:rPr>
        <w:sym w:font="Symbol" w:char="F0B3"/>
      </w:r>
      <w:r w:rsidRPr="00295E71">
        <w:rPr>
          <w:sz w:val="22"/>
          <w:szCs w:val="22"/>
        </w:rPr>
        <w:t xml:space="preserve"> 18 anni, </w:t>
      </w:r>
      <w:r w:rsidRPr="00295E71" w:rsidR="00224E13">
        <w:rPr>
          <w:sz w:val="22"/>
          <w:szCs w:val="22"/>
        </w:rPr>
        <w:t>con</w:t>
      </w:r>
      <w:r w:rsidRPr="00295E71">
        <w:rPr>
          <w:sz w:val="22"/>
          <w:szCs w:val="22"/>
        </w:rPr>
        <w:t xml:space="preserve"> artrite reumatoide </w:t>
      </w:r>
      <w:r w:rsidR="006B5632">
        <w:rPr>
          <w:sz w:val="22"/>
          <w:szCs w:val="22"/>
        </w:rPr>
        <w:t xml:space="preserve">attiva </w:t>
      </w:r>
      <w:r w:rsidRPr="00295E71">
        <w:rPr>
          <w:sz w:val="22"/>
          <w:szCs w:val="22"/>
        </w:rPr>
        <w:t>di grado moderato-severo, con insufficiente risposta ad almeno un farmaco DMARD. Sono state somministrate dosi di 20 o 40 mg di Humira attraverso iniezione sottocutanea ogni due settimane con placebo a settimane alterne, o ogni settimana per 26 settimane; il placebo è stato somministrato ogni settimana per la stessa durata. Non è stato consentito l’uso di altri DMARD.</w:t>
      </w:r>
    </w:p>
    <w:p w:rsidR="00157870" w:rsidRPr="00295E71" w:rsidP="00157870" w14:paraId="699A4007" w14:textId="77777777">
      <w:pPr>
        <w:tabs>
          <w:tab w:val="left" w:pos="567"/>
        </w:tabs>
        <w:jc w:val="both"/>
        <w:rPr>
          <w:sz w:val="22"/>
          <w:szCs w:val="22"/>
        </w:rPr>
      </w:pPr>
    </w:p>
    <w:p w:rsidR="00157870" w:rsidRPr="00295E71" w:rsidP="00157870" w14:paraId="5D973657" w14:textId="77777777">
      <w:pPr>
        <w:tabs>
          <w:tab w:val="left" w:pos="567"/>
        </w:tabs>
        <w:jc w:val="both"/>
        <w:rPr>
          <w:sz w:val="22"/>
          <w:szCs w:val="22"/>
        </w:rPr>
      </w:pPr>
      <w:r w:rsidRPr="00295E71">
        <w:rPr>
          <w:sz w:val="22"/>
          <w:szCs w:val="22"/>
        </w:rPr>
        <w:t xml:space="preserve">Allo studio AR III hanno partecipato 619 pazienti, di età </w:t>
      </w:r>
      <w:r w:rsidRPr="00295E71">
        <w:rPr>
          <w:rFonts w:ascii="Symbol" w:hAnsi="Symbol"/>
          <w:sz w:val="22"/>
          <w:szCs w:val="22"/>
        </w:rPr>
        <w:sym w:font="Symbol" w:char="F0B3"/>
      </w:r>
      <w:r w:rsidRPr="00295E71">
        <w:rPr>
          <w:sz w:val="22"/>
          <w:szCs w:val="22"/>
        </w:rPr>
        <w:t xml:space="preserve"> 18 anni, con artrite reumatoide attiva di grado da moderato a severo con inadeguata risposta alla terapia con metotressato a dosaggi compresi tra 12,5 e 25 mg, o intolleranti a 10 mg di metotressato ogni settimana. In questo studio sono stati costituiti 3 gruppi. Il primo ha ricevuto iniezioni di placebo ogni settimana per 52 settimane. Il secondo ha ricevuto 20 mg di Humira a settimana per 52 settimane, mentre il terzo ha ricevuto 40 mg di Humira ogni due </w:t>
      </w:r>
      <w:r w:rsidRPr="00295E71">
        <w:rPr>
          <w:sz w:val="22"/>
          <w:szCs w:val="22"/>
        </w:rPr>
        <w:t>settimane e iniezioni di placebo a settimane alterne. Al completamento delle prime 52 settimane, 457 pazienti sono stati arruolati in una fase di estensione in aperto in cui Humira/MTX è stato somministrato alla dose di 40 mg a settimane alterne fino a 10 anni.</w:t>
      </w:r>
    </w:p>
    <w:p w:rsidR="00157870" w:rsidRPr="00295E71" w:rsidP="00157870" w14:paraId="0D0C93BB" w14:textId="77777777">
      <w:pPr>
        <w:tabs>
          <w:tab w:val="left" w:pos="567"/>
        </w:tabs>
        <w:jc w:val="both"/>
        <w:rPr>
          <w:sz w:val="22"/>
          <w:szCs w:val="22"/>
        </w:rPr>
      </w:pPr>
    </w:p>
    <w:p w:rsidR="00157870" w:rsidRPr="00295E71" w:rsidP="00157870" w14:paraId="368C2488" w14:textId="77777777">
      <w:pPr>
        <w:tabs>
          <w:tab w:val="left" w:pos="567"/>
        </w:tabs>
        <w:jc w:val="both"/>
        <w:rPr>
          <w:sz w:val="22"/>
          <w:szCs w:val="22"/>
        </w:rPr>
      </w:pPr>
      <w:r w:rsidRPr="00295E71">
        <w:rPr>
          <w:sz w:val="22"/>
          <w:szCs w:val="22"/>
        </w:rPr>
        <w:t>Lo studio AR IV ha valutato in primo luogo la sicurezza di Humira in 636 pazienti con artrite reumatoide attiva di grado da moderato a severo</w:t>
      </w:r>
      <w:r w:rsidR="006B5632">
        <w:rPr>
          <w:sz w:val="22"/>
          <w:szCs w:val="22"/>
        </w:rPr>
        <w:t xml:space="preserve"> </w:t>
      </w:r>
      <w:r w:rsidRPr="00295E71">
        <w:rPr>
          <w:sz w:val="22"/>
          <w:szCs w:val="22"/>
        </w:rPr>
        <w:t xml:space="preserve">e con età </w:t>
      </w:r>
      <w:r w:rsidRPr="00295E71">
        <w:rPr>
          <w:rFonts w:ascii="Symbol" w:hAnsi="Symbol"/>
          <w:sz w:val="22"/>
          <w:szCs w:val="22"/>
        </w:rPr>
        <w:sym w:font="Symbol" w:char="F0B3"/>
      </w:r>
      <w:r w:rsidRPr="00295E71">
        <w:rPr>
          <w:sz w:val="22"/>
          <w:szCs w:val="22"/>
        </w:rPr>
        <w:t xml:space="preserve"> 18 anni. La popolazione studiata era costituita sia da pazienti mai trattati con DMARD, sia da pazienti che avevano continuato la terapia anti-reumatica preesistente a condizione che questa fosse stabile da un minimo di 28 giorni. </w:t>
      </w:r>
    </w:p>
    <w:p w:rsidR="00157870" w:rsidRPr="00295E71" w:rsidP="00157870" w14:paraId="396246B4" w14:textId="77777777">
      <w:pPr>
        <w:tabs>
          <w:tab w:val="left" w:pos="567"/>
        </w:tabs>
        <w:jc w:val="both"/>
        <w:rPr>
          <w:sz w:val="22"/>
          <w:szCs w:val="22"/>
        </w:rPr>
      </w:pPr>
      <w:r w:rsidRPr="00295E71">
        <w:rPr>
          <w:sz w:val="22"/>
          <w:szCs w:val="22"/>
        </w:rPr>
        <w:t>Queste terapie includono metotressato, leflunomide, idrossiclorochina, sulfasalazina e/o sali d’oro. I pazienti sono stati randomizzati per ricevere 40 mg di Humira o placebo ogni due settimane per 24 settimane.</w:t>
      </w:r>
    </w:p>
    <w:p w:rsidR="00157870" w:rsidRPr="00295E71" w:rsidP="00157870" w14:paraId="0A3F444E" w14:textId="77777777">
      <w:pPr>
        <w:tabs>
          <w:tab w:val="left" w:pos="567"/>
        </w:tabs>
        <w:jc w:val="both"/>
        <w:rPr>
          <w:sz w:val="22"/>
          <w:szCs w:val="22"/>
        </w:rPr>
      </w:pPr>
    </w:p>
    <w:p w:rsidR="00157870" w:rsidRPr="00295E71" w:rsidP="00157870" w14:paraId="382C20CE" w14:textId="77777777">
      <w:pPr>
        <w:tabs>
          <w:tab w:val="left" w:pos="567"/>
        </w:tabs>
        <w:jc w:val="both"/>
        <w:rPr>
          <w:sz w:val="22"/>
          <w:szCs w:val="22"/>
        </w:rPr>
      </w:pPr>
      <w:r w:rsidRPr="00295E71">
        <w:rPr>
          <w:sz w:val="22"/>
          <w:szCs w:val="22"/>
        </w:rPr>
        <w:t>Lo studio AR V ha valutato 799 pazienti adulti mai trattati in precedenza con metotressato e</w:t>
      </w:r>
      <w:r w:rsidRPr="00295E71" w:rsidR="00224E13">
        <w:rPr>
          <w:sz w:val="22"/>
          <w:szCs w:val="22"/>
        </w:rPr>
        <w:t xml:space="preserve"> con</w:t>
      </w:r>
      <w:r w:rsidRPr="00295E71">
        <w:rPr>
          <w:sz w:val="22"/>
          <w:szCs w:val="22"/>
        </w:rPr>
        <w:t xml:space="preserve"> artrite reumatoide precoce attiva di grado moderato-grave (durata media della malattia inferiore a 9 mesi). Questo studio ha valutato l’efficacia di 40 mg di Humira somministrato a settimane alterne in terapia associata con il metotressato, di 40 mg di Humira somministrato in monoterapia a settimane alterne e di metotressato in monoterapia nella riduzione dei segni e sintomi di malattia e dell’indice di progressione del danno articolare causato dall’artrite reumatoide per 104 settimane. Al completamento delle prime 104 settimane, 497 pazienti sono stati arruolati in una fase di estensione in aperto in cui Humira è stato somministrato alla dose di 40 mg a settimane alterne fino a 10 anni.</w:t>
      </w:r>
    </w:p>
    <w:p w:rsidR="00157870" w:rsidRPr="00295E71" w:rsidP="00157870" w14:paraId="0FF348B8" w14:textId="77777777">
      <w:pPr>
        <w:tabs>
          <w:tab w:val="left" w:pos="567"/>
        </w:tabs>
        <w:jc w:val="both"/>
        <w:rPr>
          <w:sz w:val="22"/>
          <w:szCs w:val="22"/>
        </w:rPr>
      </w:pPr>
    </w:p>
    <w:p w:rsidR="00157870" w:rsidRPr="00295E71" w:rsidP="00157870" w14:paraId="03397212" w14:textId="77777777">
      <w:pPr>
        <w:tabs>
          <w:tab w:val="left" w:pos="567"/>
        </w:tabs>
        <w:jc w:val="both"/>
        <w:rPr>
          <w:sz w:val="22"/>
          <w:szCs w:val="22"/>
        </w:rPr>
      </w:pPr>
      <w:r w:rsidRPr="00295E71">
        <w:rPr>
          <w:sz w:val="22"/>
          <w:szCs w:val="22"/>
        </w:rPr>
        <w:t>L’</w:t>
      </w:r>
      <w:r w:rsidRPr="00020442" w:rsidR="006B5632">
        <w:rPr>
          <w:sz w:val="22"/>
          <w:szCs w:val="22"/>
        </w:rPr>
        <w:t>endpoint</w:t>
      </w:r>
      <w:r w:rsidRPr="00295E71">
        <w:rPr>
          <w:sz w:val="22"/>
          <w:szCs w:val="22"/>
        </w:rPr>
        <w:t xml:space="preserve"> primario degli studi AR I, II, III, e secondario dello studio AR IV, era la valutazione della percentuale di pazienti che raggiungeva una risposta ACR 20 alla settimana 24 o 26. L’</w:t>
      </w:r>
      <w:r w:rsidRPr="00020442" w:rsidR="006B5632">
        <w:rPr>
          <w:sz w:val="22"/>
          <w:szCs w:val="22"/>
        </w:rPr>
        <w:t>endpoint</w:t>
      </w:r>
      <w:r w:rsidRPr="00295E71">
        <w:rPr>
          <w:sz w:val="22"/>
          <w:szCs w:val="22"/>
        </w:rPr>
        <w:t xml:space="preserve"> primario dello studio AR V era la valutazione della percentuale di pazienti che raggiungeva una risposta ACR 50 alla settimana 52. Inoltre, gli studi AR III e V avevano </w:t>
      </w:r>
      <w:r w:rsidR="006B5632">
        <w:rPr>
          <w:sz w:val="22"/>
          <w:szCs w:val="22"/>
        </w:rPr>
        <w:t xml:space="preserve">un ulteriore </w:t>
      </w:r>
      <w:r w:rsidRPr="00020442" w:rsidR="006B5632">
        <w:rPr>
          <w:sz w:val="22"/>
          <w:szCs w:val="22"/>
        </w:rPr>
        <w:t>endpoint</w:t>
      </w:r>
      <w:r w:rsidRPr="00295E71">
        <w:rPr>
          <w:sz w:val="22"/>
          <w:szCs w:val="22"/>
        </w:rPr>
        <w:t xml:space="preserve"> </w:t>
      </w:r>
      <w:r w:rsidR="006B5632">
        <w:rPr>
          <w:sz w:val="22"/>
          <w:szCs w:val="22"/>
        </w:rPr>
        <w:t>primario</w:t>
      </w:r>
      <w:r w:rsidRPr="00295E71">
        <w:rPr>
          <w:sz w:val="22"/>
          <w:szCs w:val="22"/>
        </w:rPr>
        <w:t xml:space="preserve"> </w:t>
      </w:r>
      <w:r w:rsidR="006B5632">
        <w:rPr>
          <w:sz w:val="22"/>
          <w:szCs w:val="22"/>
        </w:rPr>
        <w:t>rappresentato dal ritardo</w:t>
      </w:r>
      <w:r w:rsidRPr="00295E71">
        <w:rPr>
          <w:sz w:val="22"/>
          <w:szCs w:val="22"/>
        </w:rPr>
        <w:t xml:space="preserve"> della progressione di malattia (attraverso gli esami radiografici) alla settimana 52. Lo studio AR III aveva anche l’</w:t>
      </w:r>
      <w:r w:rsidRPr="00020442" w:rsidR="006B5632">
        <w:rPr>
          <w:sz w:val="22"/>
          <w:szCs w:val="22"/>
        </w:rPr>
        <w:t>endpoint</w:t>
      </w:r>
      <w:r w:rsidRPr="00295E71">
        <w:rPr>
          <w:sz w:val="22"/>
          <w:szCs w:val="22"/>
        </w:rPr>
        <w:t xml:space="preserve"> primario di </w:t>
      </w:r>
      <w:r w:rsidR="006B5632">
        <w:rPr>
          <w:sz w:val="22"/>
          <w:szCs w:val="22"/>
        </w:rPr>
        <w:t>variazione</w:t>
      </w:r>
      <w:r w:rsidRPr="00295E71">
        <w:rPr>
          <w:sz w:val="22"/>
          <w:szCs w:val="22"/>
        </w:rPr>
        <w:t xml:space="preserve"> della qualità di vita.</w:t>
      </w:r>
    </w:p>
    <w:p w:rsidR="00157870" w:rsidRPr="00295E71" w:rsidP="00157870" w14:paraId="4DD9CAFE" w14:textId="77777777">
      <w:pPr>
        <w:tabs>
          <w:tab w:val="left" w:pos="567"/>
        </w:tabs>
        <w:jc w:val="both"/>
        <w:rPr>
          <w:sz w:val="22"/>
          <w:szCs w:val="22"/>
        </w:rPr>
      </w:pPr>
    </w:p>
    <w:p w:rsidR="00157870" w:rsidRPr="00295E71" w:rsidP="00035AC5" w14:paraId="374D63CB" w14:textId="77777777">
      <w:pPr>
        <w:keepNext/>
        <w:rPr>
          <w:i/>
          <w:iCs/>
          <w:sz w:val="22"/>
          <w:szCs w:val="22"/>
          <w:u w:val="single"/>
        </w:rPr>
      </w:pPr>
      <w:r w:rsidRPr="00295E71">
        <w:rPr>
          <w:i/>
          <w:sz w:val="22"/>
          <w:szCs w:val="22"/>
          <w:u w:val="single"/>
        </w:rPr>
        <w:t>Risposta ACR</w:t>
      </w:r>
    </w:p>
    <w:p w:rsidR="00157870" w:rsidRPr="00295E71" w:rsidP="00035AC5" w14:paraId="2EFA3458" w14:textId="77777777">
      <w:pPr>
        <w:keepNext/>
        <w:tabs>
          <w:tab w:val="left" w:pos="567"/>
        </w:tabs>
        <w:jc w:val="both"/>
        <w:rPr>
          <w:sz w:val="22"/>
          <w:szCs w:val="22"/>
        </w:rPr>
      </w:pPr>
    </w:p>
    <w:p w:rsidR="00157870" w:rsidRPr="00295E71" w:rsidP="00157870" w14:paraId="4FB6E664" w14:textId="77777777">
      <w:pPr>
        <w:tabs>
          <w:tab w:val="left" w:pos="567"/>
        </w:tabs>
        <w:jc w:val="both"/>
        <w:rPr>
          <w:sz w:val="22"/>
          <w:szCs w:val="22"/>
        </w:rPr>
      </w:pPr>
      <w:r w:rsidRPr="00295E71">
        <w:rPr>
          <w:sz w:val="22"/>
          <w:szCs w:val="22"/>
        </w:rPr>
        <w:t xml:space="preserve">Le percentuali di pazienti trattati con Humira che hanno raggiunto risposte ACR 20, 50 e 70 erano sovrapponibili negli studi AR I, II e III. I risultati relativi al trattamento con 40 mg ogni due settimane sono riassunti nella Tabella </w:t>
      </w:r>
      <w:r w:rsidR="00863077">
        <w:rPr>
          <w:sz w:val="22"/>
          <w:szCs w:val="22"/>
        </w:rPr>
        <w:t>7</w:t>
      </w:r>
      <w:r w:rsidRPr="00295E71">
        <w:rPr>
          <w:sz w:val="22"/>
          <w:szCs w:val="22"/>
        </w:rPr>
        <w:t>.</w:t>
      </w:r>
    </w:p>
    <w:p w:rsidR="00157870" w:rsidRPr="00295E71" w:rsidP="00157870" w14:paraId="36B15CAD" w14:textId="77777777">
      <w:pPr>
        <w:rPr>
          <w:sz w:val="22"/>
          <w:szCs w:val="22"/>
        </w:rPr>
      </w:pPr>
    </w:p>
    <w:tbl>
      <w:tblPr>
        <w:tblW w:w="9074" w:type="dxa"/>
        <w:tblLayout w:type="fixed"/>
        <w:tblCellMar>
          <w:left w:w="0" w:type="dxa"/>
          <w:right w:w="0" w:type="dxa"/>
        </w:tblCellMar>
        <w:tblLook w:val="0000"/>
      </w:tblPr>
      <w:tblGrid>
        <w:gridCol w:w="1069"/>
        <w:gridCol w:w="1393"/>
        <w:gridCol w:w="1417"/>
        <w:gridCol w:w="1071"/>
        <w:gridCol w:w="1197"/>
        <w:gridCol w:w="1418"/>
        <w:gridCol w:w="1509"/>
      </w:tblGrid>
      <w:tr w14:paraId="7D6D222A" w14:textId="77777777" w:rsidTr="00157870">
        <w:tblPrEx>
          <w:tblW w:w="9074" w:type="dxa"/>
          <w:tblLayout w:type="fixed"/>
          <w:tblLook w:val="0000"/>
        </w:tblPrEx>
        <w:tc>
          <w:tcPr>
            <w:tcW w:w="9074" w:type="dxa"/>
            <w:gridSpan w:val="7"/>
          </w:tcPr>
          <w:p w:rsidR="00157870" w:rsidRPr="00295E71" w:rsidP="00222EA4" w14:paraId="4D3D243A" w14:textId="77777777">
            <w:pPr>
              <w:pStyle w:val="BodyText1"/>
              <w:keepNext/>
              <w:tabs>
                <w:tab w:val="left" w:pos="567"/>
                <w:tab w:val="clear" w:pos="1152"/>
                <w:tab w:val="clear" w:pos="1872"/>
              </w:tabs>
              <w:spacing w:after="0" w:line="240" w:lineRule="auto"/>
              <w:ind w:left="0"/>
              <w:jc w:val="center"/>
              <w:rPr>
                <w:b/>
                <w:bCs/>
                <w:sz w:val="22"/>
                <w:szCs w:val="22"/>
                <w:lang w:val="it-IT"/>
              </w:rPr>
            </w:pPr>
            <w:r w:rsidRPr="00295E71">
              <w:rPr>
                <w:sz w:val="22"/>
                <w:szCs w:val="22"/>
                <w:lang w:val="it-IT"/>
              </w:rPr>
              <w:br w:type="page"/>
            </w:r>
            <w:r w:rsidRPr="00295E71">
              <w:rPr>
                <w:b/>
                <w:bCs/>
                <w:sz w:val="22"/>
                <w:szCs w:val="22"/>
                <w:lang w:val="it-IT"/>
              </w:rPr>
              <w:t xml:space="preserve">Tabella </w:t>
            </w:r>
            <w:r w:rsidR="0041314F">
              <w:rPr>
                <w:b/>
                <w:bCs/>
                <w:sz w:val="22"/>
                <w:szCs w:val="22"/>
                <w:lang w:val="it-IT"/>
              </w:rPr>
              <w:t>7</w:t>
            </w:r>
          </w:p>
          <w:p w:rsidR="00157870" w:rsidRPr="00295E71" w:rsidP="00222EA4" w14:paraId="3DA39492" w14:textId="77777777">
            <w:pPr>
              <w:pStyle w:val="BodyText1"/>
              <w:keepNext/>
              <w:tabs>
                <w:tab w:val="left" w:pos="567"/>
                <w:tab w:val="clear" w:pos="1152"/>
                <w:tab w:val="clear" w:pos="1872"/>
              </w:tabs>
              <w:spacing w:after="0" w:line="240" w:lineRule="auto"/>
              <w:ind w:left="0"/>
              <w:jc w:val="center"/>
              <w:rPr>
                <w:b/>
                <w:bCs/>
                <w:sz w:val="22"/>
                <w:szCs w:val="22"/>
                <w:lang w:val="it-IT"/>
              </w:rPr>
            </w:pPr>
            <w:r w:rsidRPr="00295E71">
              <w:rPr>
                <w:b/>
                <w:bCs/>
                <w:sz w:val="22"/>
                <w:szCs w:val="22"/>
                <w:lang w:val="it-IT"/>
              </w:rPr>
              <w:t>Risposte ACR negli studi clinici controllati con placebo</w:t>
            </w:r>
          </w:p>
          <w:p w:rsidR="00157870" w:rsidRPr="00295E71" w:rsidP="00222EA4" w14:paraId="4787742A" w14:textId="77777777">
            <w:pPr>
              <w:pStyle w:val="BodyText1"/>
              <w:keepNext/>
              <w:tabs>
                <w:tab w:val="left" w:pos="567"/>
                <w:tab w:val="clear" w:pos="1152"/>
                <w:tab w:val="clear" w:pos="1872"/>
              </w:tabs>
              <w:spacing w:after="0" w:line="240" w:lineRule="auto"/>
              <w:ind w:left="0"/>
              <w:jc w:val="center"/>
              <w:rPr>
                <w:b/>
                <w:bCs/>
                <w:sz w:val="22"/>
                <w:szCs w:val="22"/>
                <w:lang w:val="it-IT"/>
              </w:rPr>
            </w:pPr>
            <w:r w:rsidRPr="00295E71">
              <w:rPr>
                <w:b/>
                <w:bCs/>
                <w:sz w:val="22"/>
                <w:szCs w:val="22"/>
                <w:lang w:val="it-IT"/>
              </w:rPr>
              <w:t>(percentuale di pazienti)</w:t>
            </w:r>
          </w:p>
          <w:p w:rsidR="00157870" w:rsidRPr="00295E71" w:rsidP="00222EA4" w14:paraId="328041E8" w14:textId="77777777">
            <w:pPr>
              <w:pStyle w:val="BodyText1"/>
              <w:keepNext/>
              <w:tabs>
                <w:tab w:val="left" w:pos="567"/>
                <w:tab w:val="clear" w:pos="1152"/>
                <w:tab w:val="clear" w:pos="1872"/>
              </w:tabs>
              <w:spacing w:after="0" w:line="240" w:lineRule="auto"/>
              <w:ind w:left="0"/>
              <w:jc w:val="center"/>
              <w:rPr>
                <w:sz w:val="22"/>
                <w:szCs w:val="22"/>
                <w:lang w:val="it-IT"/>
              </w:rPr>
            </w:pPr>
          </w:p>
        </w:tc>
      </w:tr>
      <w:tr w14:paraId="0344E236" w14:textId="77777777" w:rsidTr="00157870">
        <w:tblPrEx>
          <w:tblW w:w="9074" w:type="dxa"/>
          <w:tblLayout w:type="fixed"/>
          <w:tblLook w:val="0000"/>
        </w:tblPrEx>
        <w:trPr>
          <w:cantSplit/>
        </w:trPr>
        <w:tc>
          <w:tcPr>
            <w:tcW w:w="1069" w:type="dxa"/>
            <w:tcBorders>
              <w:top w:val="single" w:sz="6" w:space="0" w:color="auto"/>
              <w:right w:val="single" w:sz="6" w:space="0" w:color="auto"/>
            </w:tcBorders>
          </w:tcPr>
          <w:p w:rsidR="00157870" w:rsidRPr="00295E71" w:rsidP="00222EA4" w14:paraId="5EC4B0FF" w14:textId="77777777">
            <w:pPr>
              <w:pStyle w:val="In-texttable"/>
              <w:tabs>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Risposta</w:t>
            </w:r>
          </w:p>
        </w:tc>
        <w:tc>
          <w:tcPr>
            <w:tcW w:w="2810" w:type="dxa"/>
            <w:gridSpan w:val="2"/>
            <w:tcBorders>
              <w:top w:val="single" w:sz="6" w:space="0" w:color="auto"/>
              <w:left w:val="single" w:sz="6" w:space="0" w:color="auto"/>
              <w:bottom w:val="single" w:sz="6" w:space="0" w:color="auto"/>
              <w:right w:val="single" w:sz="6" w:space="0" w:color="auto"/>
            </w:tcBorders>
          </w:tcPr>
          <w:p w:rsidR="00157870" w:rsidRPr="00295E71" w:rsidP="00222EA4" w14:paraId="3AC71DB3"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studio AR I</w:t>
            </w: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w:t>
            </w:r>
          </w:p>
        </w:tc>
        <w:tc>
          <w:tcPr>
            <w:tcW w:w="2268" w:type="dxa"/>
            <w:gridSpan w:val="2"/>
            <w:tcBorders>
              <w:top w:val="single" w:sz="6" w:space="0" w:color="auto"/>
              <w:left w:val="single" w:sz="6" w:space="0" w:color="auto"/>
              <w:bottom w:val="single" w:sz="6" w:space="0" w:color="auto"/>
              <w:right w:val="single" w:sz="6" w:space="0" w:color="auto"/>
            </w:tcBorders>
          </w:tcPr>
          <w:p w:rsidR="00157870" w:rsidRPr="00295E71" w:rsidP="00222EA4" w14:paraId="03CB278F"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studio AR II</w:t>
            </w: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w:t>
            </w:r>
          </w:p>
        </w:tc>
        <w:tc>
          <w:tcPr>
            <w:tcW w:w="2927" w:type="dxa"/>
            <w:gridSpan w:val="2"/>
            <w:tcBorders>
              <w:top w:val="single" w:sz="6" w:space="0" w:color="auto"/>
              <w:left w:val="single" w:sz="6" w:space="0" w:color="auto"/>
              <w:bottom w:val="single" w:sz="6" w:space="0" w:color="auto"/>
            </w:tcBorders>
          </w:tcPr>
          <w:p w:rsidR="00157870" w:rsidRPr="00295E71" w:rsidP="00222EA4" w14:paraId="23B95006"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studio AR III</w:t>
            </w: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w:t>
            </w:r>
          </w:p>
          <w:p w:rsidR="00157870" w:rsidRPr="00295E71" w:rsidP="00222EA4" w14:paraId="173FBD11" w14:textId="77777777">
            <w:pPr>
              <w:pStyle w:val="In-texttable"/>
              <w:tabs>
                <w:tab w:val="left" w:pos="567"/>
              </w:tabs>
              <w:spacing w:line="240" w:lineRule="auto"/>
              <w:jc w:val="center"/>
              <w:rPr>
                <w:rFonts w:ascii="Times New Roman" w:hAnsi="Times New Roman" w:cs="Times New Roman"/>
                <w:sz w:val="22"/>
                <w:szCs w:val="22"/>
                <w:lang w:val="it-IT"/>
              </w:rPr>
            </w:pPr>
          </w:p>
        </w:tc>
      </w:tr>
      <w:tr w14:paraId="562AF0E3" w14:textId="77777777" w:rsidTr="00157870">
        <w:tblPrEx>
          <w:tblW w:w="9074" w:type="dxa"/>
          <w:tblLayout w:type="fixed"/>
          <w:tblLook w:val="0000"/>
        </w:tblPrEx>
        <w:trPr>
          <w:cantSplit/>
        </w:trPr>
        <w:tc>
          <w:tcPr>
            <w:tcW w:w="1069" w:type="dxa"/>
            <w:tcBorders>
              <w:bottom w:val="single" w:sz="6" w:space="0" w:color="auto"/>
              <w:right w:val="single" w:sz="6" w:space="0" w:color="auto"/>
            </w:tcBorders>
          </w:tcPr>
          <w:p w:rsidR="00157870" w:rsidRPr="00295E71" w:rsidP="00222EA4" w14:paraId="04A6EB77" w14:textId="77777777">
            <w:pPr>
              <w:pStyle w:val="In-texttable"/>
              <w:tabs>
                <w:tab w:val="left" w:pos="567"/>
              </w:tabs>
              <w:spacing w:line="240" w:lineRule="auto"/>
              <w:rPr>
                <w:rFonts w:ascii="Times New Roman" w:hAnsi="Times New Roman" w:cs="Times New Roman"/>
                <w:sz w:val="22"/>
                <w:szCs w:val="22"/>
                <w:lang w:val="it-IT"/>
              </w:rPr>
            </w:pPr>
          </w:p>
        </w:tc>
        <w:tc>
          <w:tcPr>
            <w:tcW w:w="1393" w:type="dxa"/>
            <w:tcBorders>
              <w:top w:val="single" w:sz="6" w:space="0" w:color="auto"/>
              <w:left w:val="single" w:sz="6" w:space="0" w:color="auto"/>
              <w:bottom w:val="single" w:sz="6" w:space="0" w:color="auto"/>
            </w:tcBorders>
          </w:tcPr>
          <w:p w:rsidR="00157870" w:rsidRPr="00295E71" w:rsidP="00222EA4" w14:paraId="12A3F067"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Placebo/ MTX</w:t>
            </w:r>
            <w:r w:rsidRPr="00295E71">
              <w:rPr>
                <w:rFonts w:ascii="Times New Roman" w:hAnsi="Times New Roman" w:cs="Times New Roman"/>
                <w:sz w:val="22"/>
                <w:szCs w:val="22"/>
                <w:vertAlign w:val="superscript"/>
                <w:lang w:val="it-IT"/>
              </w:rPr>
              <w:t>c</w:t>
            </w:r>
          </w:p>
          <w:p w:rsidR="00157870" w:rsidRPr="00295E71" w:rsidP="00222EA4" w14:paraId="364A646B"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n=60</w:t>
            </w:r>
          </w:p>
        </w:tc>
        <w:tc>
          <w:tcPr>
            <w:tcW w:w="1417" w:type="dxa"/>
            <w:tcBorders>
              <w:top w:val="single" w:sz="6" w:space="0" w:color="auto"/>
              <w:bottom w:val="single" w:sz="6" w:space="0" w:color="auto"/>
              <w:right w:val="single" w:sz="6" w:space="0" w:color="auto"/>
            </w:tcBorders>
          </w:tcPr>
          <w:p w:rsidR="00157870" w:rsidRPr="00295E71" w:rsidP="00222EA4" w14:paraId="5EFB32A0"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 MTX</w:t>
            </w:r>
            <w:r w:rsidRPr="00295E71">
              <w:rPr>
                <w:rFonts w:ascii="Times New Roman" w:hAnsi="Times New Roman" w:cs="Times New Roman"/>
                <w:sz w:val="22"/>
                <w:szCs w:val="22"/>
                <w:vertAlign w:val="superscript"/>
                <w:lang w:val="it-IT"/>
              </w:rPr>
              <w:t>c</w:t>
            </w:r>
          </w:p>
          <w:p w:rsidR="00157870" w:rsidRPr="00295E71" w:rsidP="00222EA4" w14:paraId="65D20CDF"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n=63</w:t>
            </w:r>
          </w:p>
        </w:tc>
        <w:tc>
          <w:tcPr>
            <w:tcW w:w="1071" w:type="dxa"/>
            <w:tcBorders>
              <w:top w:val="single" w:sz="6" w:space="0" w:color="auto"/>
              <w:left w:val="single" w:sz="6" w:space="0" w:color="auto"/>
              <w:bottom w:val="single" w:sz="6" w:space="0" w:color="auto"/>
            </w:tcBorders>
          </w:tcPr>
          <w:p w:rsidR="00157870" w:rsidRPr="00295E71" w:rsidP="00222EA4" w14:paraId="4644C4AB"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Placebo</w:t>
            </w:r>
          </w:p>
          <w:p w:rsidR="00157870" w:rsidRPr="00295E71" w:rsidP="00222EA4" w14:paraId="57399F0C"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N=110</w:t>
            </w:r>
          </w:p>
        </w:tc>
        <w:tc>
          <w:tcPr>
            <w:tcW w:w="1197" w:type="dxa"/>
            <w:tcBorders>
              <w:top w:val="single" w:sz="6" w:space="0" w:color="auto"/>
              <w:bottom w:val="single" w:sz="6" w:space="0" w:color="auto"/>
              <w:right w:val="single" w:sz="6" w:space="0" w:color="auto"/>
            </w:tcBorders>
          </w:tcPr>
          <w:p w:rsidR="00157870" w:rsidRPr="00295E71" w:rsidP="00222EA4" w14:paraId="589781C6"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r w:rsidRPr="00295E71">
              <w:rPr>
                <w:rFonts w:ascii="Times New Roman" w:hAnsi="Times New Roman" w:cs="Times New Roman"/>
                <w:sz w:val="22"/>
                <w:szCs w:val="22"/>
                <w:vertAlign w:val="superscript"/>
                <w:lang w:val="it-IT"/>
              </w:rPr>
              <w:t>b</w:t>
            </w:r>
          </w:p>
          <w:p w:rsidR="00157870" w:rsidRPr="00295E71" w:rsidP="00222EA4" w14:paraId="475A70C8"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n=113</w:t>
            </w:r>
          </w:p>
        </w:tc>
        <w:tc>
          <w:tcPr>
            <w:tcW w:w="1418" w:type="dxa"/>
            <w:tcBorders>
              <w:top w:val="single" w:sz="6" w:space="0" w:color="auto"/>
              <w:left w:val="single" w:sz="6" w:space="0" w:color="auto"/>
              <w:bottom w:val="single" w:sz="6" w:space="0" w:color="auto"/>
            </w:tcBorders>
          </w:tcPr>
          <w:p w:rsidR="00157870" w:rsidRPr="00295E71" w:rsidP="00222EA4" w14:paraId="73A5790D"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Placebo/ MTX</w:t>
            </w:r>
            <w:r w:rsidRPr="00295E71">
              <w:rPr>
                <w:rFonts w:ascii="Times New Roman" w:hAnsi="Times New Roman" w:cs="Times New Roman"/>
                <w:sz w:val="22"/>
                <w:szCs w:val="22"/>
                <w:vertAlign w:val="superscript"/>
                <w:lang w:val="it-IT"/>
              </w:rPr>
              <w:t>c</w:t>
            </w:r>
          </w:p>
          <w:p w:rsidR="00157870" w:rsidRPr="00295E71" w:rsidP="00222EA4" w14:paraId="2E21E41B"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n=200</w:t>
            </w:r>
          </w:p>
        </w:tc>
        <w:tc>
          <w:tcPr>
            <w:tcW w:w="1509" w:type="dxa"/>
            <w:tcBorders>
              <w:top w:val="single" w:sz="6" w:space="0" w:color="auto"/>
              <w:bottom w:val="single" w:sz="6" w:space="0" w:color="auto"/>
            </w:tcBorders>
          </w:tcPr>
          <w:p w:rsidR="00157870" w:rsidRPr="00295E71" w:rsidP="00222EA4" w14:paraId="6538A75D"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 MTX</w:t>
            </w:r>
            <w:r w:rsidRPr="00295E71">
              <w:rPr>
                <w:rFonts w:ascii="Times New Roman" w:hAnsi="Times New Roman" w:cs="Times New Roman"/>
                <w:sz w:val="22"/>
                <w:szCs w:val="22"/>
                <w:vertAlign w:val="superscript"/>
                <w:lang w:val="it-IT"/>
              </w:rPr>
              <w:t>c</w:t>
            </w:r>
          </w:p>
          <w:p w:rsidR="00157870" w:rsidRPr="00295E71" w:rsidP="00222EA4" w14:paraId="49798688"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n=207</w:t>
            </w:r>
          </w:p>
        </w:tc>
      </w:tr>
      <w:tr w14:paraId="40BF2C6D" w14:textId="77777777" w:rsidTr="00157870">
        <w:tblPrEx>
          <w:tblW w:w="9074" w:type="dxa"/>
          <w:tblLayout w:type="fixed"/>
          <w:tblLook w:val="0000"/>
        </w:tblPrEx>
        <w:trPr>
          <w:cantSplit/>
        </w:trPr>
        <w:tc>
          <w:tcPr>
            <w:tcW w:w="1069" w:type="dxa"/>
            <w:tcBorders>
              <w:right w:val="single" w:sz="6" w:space="0" w:color="auto"/>
            </w:tcBorders>
          </w:tcPr>
          <w:p w:rsidR="00157870" w:rsidRPr="00295E71" w:rsidP="00222EA4" w14:paraId="48681A5E" w14:textId="77777777">
            <w:pPr>
              <w:pStyle w:val="In-texttable"/>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ACR 20</w:t>
            </w:r>
          </w:p>
        </w:tc>
        <w:tc>
          <w:tcPr>
            <w:tcW w:w="1393" w:type="dxa"/>
            <w:tcBorders>
              <w:left w:val="single" w:sz="6" w:space="0" w:color="auto"/>
            </w:tcBorders>
          </w:tcPr>
          <w:p w:rsidR="00157870" w:rsidRPr="00295E71" w:rsidP="00222EA4" w14:paraId="5CC8632F" w14:textId="77777777">
            <w:pPr>
              <w:pStyle w:val="In-texttable"/>
              <w:tabs>
                <w:tab w:val="left" w:pos="567"/>
              </w:tabs>
              <w:spacing w:line="240" w:lineRule="auto"/>
              <w:jc w:val="center"/>
              <w:rPr>
                <w:rFonts w:ascii="Times New Roman" w:hAnsi="Times New Roman" w:cs="Times New Roman"/>
                <w:sz w:val="22"/>
                <w:szCs w:val="22"/>
                <w:lang w:val="it-IT"/>
              </w:rPr>
            </w:pPr>
          </w:p>
        </w:tc>
        <w:tc>
          <w:tcPr>
            <w:tcW w:w="1417" w:type="dxa"/>
            <w:tcBorders>
              <w:right w:val="single" w:sz="6" w:space="0" w:color="auto"/>
            </w:tcBorders>
          </w:tcPr>
          <w:p w:rsidR="00157870" w:rsidRPr="00295E71" w:rsidP="00222EA4" w14:paraId="0E91F684" w14:textId="77777777">
            <w:pPr>
              <w:pStyle w:val="In-texttable"/>
              <w:tabs>
                <w:tab w:val="left" w:pos="567"/>
              </w:tabs>
              <w:spacing w:line="240" w:lineRule="auto"/>
              <w:jc w:val="center"/>
              <w:rPr>
                <w:rFonts w:ascii="Times New Roman" w:hAnsi="Times New Roman" w:cs="Times New Roman"/>
                <w:sz w:val="22"/>
                <w:szCs w:val="22"/>
                <w:lang w:val="it-IT"/>
              </w:rPr>
            </w:pPr>
          </w:p>
        </w:tc>
        <w:tc>
          <w:tcPr>
            <w:tcW w:w="1071" w:type="dxa"/>
            <w:tcBorders>
              <w:left w:val="single" w:sz="6" w:space="0" w:color="auto"/>
            </w:tcBorders>
          </w:tcPr>
          <w:p w:rsidR="00157870" w:rsidRPr="00295E71" w:rsidP="00222EA4" w14:paraId="10AAE3C6" w14:textId="77777777">
            <w:pPr>
              <w:pStyle w:val="In-texttable"/>
              <w:tabs>
                <w:tab w:val="left" w:pos="567"/>
              </w:tabs>
              <w:spacing w:line="240" w:lineRule="auto"/>
              <w:jc w:val="center"/>
              <w:rPr>
                <w:rFonts w:ascii="Times New Roman" w:hAnsi="Times New Roman" w:cs="Times New Roman"/>
                <w:sz w:val="22"/>
                <w:szCs w:val="22"/>
                <w:lang w:val="it-IT"/>
              </w:rPr>
            </w:pPr>
          </w:p>
        </w:tc>
        <w:tc>
          <w:tcPr>
            <w:tcW w:w="1197" w:type="dxa"/>
            <w:tcBorders>
              <w:right w:val="single" w:sz="6" w:space="0" w:color="auto"/>
            </w:tcBorders>
          </w:tcPr>
          <w:p w:rsidR="00157870" w:rsidRPr="00295E71" w:rsidP="00222EA4" w14:paraId="06F0D0CA" w14:textId="77777777">
            <w:pPr>
              <w:pStyle w:val="In-texttable"/>
              <w:tabs>
                <w:tab w:val="left" w:pos="567"/>
              </w:tabs>
              <w:spacing w:line="240" w:lineRule="auto"/>
              <w:jc w:val="center"/>
              <w:rPr>
                <w:rFonts w:ascii="Times New Roman" w:hAnsi="Times New Roman" w:cs="Times New Roman"/>
                <w:sz w:val="22"/>
                <w:szCs w:val="22"/>
                <w:lang w:val="it-IT"/>
              </w:rPr>
            </w:pPr>
          </w:p>
        </w:tc>
        <w:tc>
          <w:tcPr>
            <w:tcW w:w="1418" w:type="dxa"/>
            <w:tcBorders>
              <w:top w:val="single" w:sz="6" w:space="0" w:color="auto"/>
              <w:left w:val="single" w:sz="6" w:space="0" w:color="auto"/>
            </w:tcBorders>
          </w:tcPr>
          <w:p w:rsidR="00157870" w:rsidRPr="00295E71" w:rsidP="00222EA4" w14:paraId="5F868F27" w14:textId="77777777">
            <w:pPr>
              <w:pStyle w:val="In-texttable"/>
              <w:tabs>
                <w:tab w:val="left" w:pos="567"/>
              </w:tabs>
              <w:spacing w:line="240" w:lineRule="auto"/>
              <w:jc w:val="center"/>
              <w:rPr>
                <w:rFonts w:ascii="Times New Roman" w:hAnsi="Times New Roman" w:cs="Times New Roman"/>
                <w:sz w:val="22"/>
                <w:szCs w:val="22"/>
                <w:lang w:val="it-IT"/>
              </w:rPr>
            </w:pPr>
          </w:p>
        </w:tc>
        <w:tc>
          <w:tcPr>
            <w:tcW w:w="1509" w:type="dxa"/>
            <w:tcBorders>
              <w:top w:val="single" w:sz="6" w:space="0" w:color="auto"/>
            </w:tcBorders>
          </w:tcPr>
          <w:p w:rsidR="00157870" w:rsidRPr="00295E71" w:rsidP="00222EA4" w14:paraId="482EA6BB" w14:textId="77777777">
            <w:pPr>
              <w:pStyle w:val="In-texttable"/>
              <w:tabs>
                <w:tab w:val="left" w:pos="567"/>
              </w:tabs>
              <w:spacing w:line="240" w:lineRule="auto"/>
              <w:jc w:val="center"/>
              <w:rPr>
                <w:rFonts w:ascii="Times New Roman" w:hAnsi="Times New Roman" w:cs="Times New Roman"/>
                <w:sz w:val="22"/>
                <w:szCs w:val="22"/>
                <w:lang w:val="it-IT"/>
              </w:rPr>
            </w:pPr>
          </w:p>
        </w:tc>
      </w:tr>
      <w:tr w14:paraId="5D4ACC4B" w14:textId="77777777" w:rsidTr="00157870">
        <w:tblPrEx>
          <w:tblW w:w="9074" w:type="dxa"/>
          <w:tblLayout w:type="fixed"/>
          <w:tblLook w:val="0000"/>
        </w:tblPrEx>
        <w:trPr>
          <w:cantSplit/>
        </w:trPr>
        <w:tc>
          <w:tcPr>
            <w:tcW w:w="1069" w:type="dxa"/>
            <w:tcBorders>
              <w:right w:val="single" w:sz="6" w:space="0" w:color="auto"/>
            </w:tcBorders>
          </w:tcPr>
          <w:p w:rsidR="00157870" w:rsidRPr="00295E71" w:rsidP="00222EA4" w14:paraId="011818EF" w14:textId="77777777">
            <w:pPr>
              <w:pStyle w:val="In-texttable"/>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6 mesi</w:t>
            </w:r>
          </w:p>
        </w:tc>
        <w:tc>
          <w:tcPr>
            <w:tcW w:w="1393" w:type="dxa"/>
            <w:tcBorders>
              <w:left w:val="single" w:sz="6" w:space="0" w:color="auto"/>
            </w:tcBorders>
          </w:tcPr>
          <w:p w:rsidR="00157870" w:rsidRPr="00295E71" w:rsidP="00222EA4" w14:paraId="1481394E" w14:textId="77777777">
            <w:pPr>
              <w:pStyle w:val="In-texttable"/>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13,3%</w:t>
            </w:r>
          </w:p>
        </w:tc>
        <w:tc>
          <w:tcPr>
            <w:tcW w:w="1417" w:type="dxa"/>
            <w:tcBorders>
              <w:right w:val="single" w:sz="6" w:space="0" w:color="auto"/>
            </w:tcBorders>
          </w:tcPr>
          <w:p w:rsidR="00157870" w:rsidRPr="00295E71" w:rsidP="00222EA4" w14:paraId="3C802CD2" w14:textId="77777777">
            <w:pPr>
              <w:pStyle w:val="In-texttable"/>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65,1%</w:t>
            </w:r>
          </w:p>
        </w:tc>
        <w:tc>
          <w:tcPr>
            <w:tcW w:w="1071" w:type="dxa"/>
            <w:tcBorders>
              <w:left w:val="single" w:sz="6" w:space="0" w:color="auto"/>
            </w:tcBorders>
          </w:tcPr>
          <w:p w:rsidR="00157870" w:rsidRPr="00295E71" w:rsidP="00222EA4" w14:paraId="1C443E35"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19,1%</w:t>
            </w:r>
          </w:p>
        </w:tc>
        <w:tc>
          <w:tcPr>
            <w:tcW w:w="1197" w:type="dxa"/>
            <w:tcBorders>
              <w:right w:val="single" w:sz="6" w:space="0" w:color="auto"/>
            </w:tcBorders>
          </w:tcPr>
          <w:p w:rsidR="00157870" w:rsidRPr="00295E71" w:rsidP="00222EA4" w14:paraId="0113452F" w14:textId="77777777">
            <w:pPr>
              <w:pStyle w:val="In-texttable"/>
              <w:tabs>
                <w:tab w:val="decimal" w:pos="20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46,0%</w:t>
            </w:r>
          </w:p>
        </w:tc>
        <w:tc>
          <w:tcPr>
            <w:tcW w:w="1418" w:type="dxa"/>
            <w:tcBorders>
              <w:left w:val="single" w:sz="6" w:space="0" w:color="auto"/>
            </w:tcBorders>
          </w:tcPr>
          <w:p w:rsidR="00157870" w:rsidRPr="00295E71" w:rsidP="00222EA4" w14:paraId="5B51CBF4" w14:textId="77777777">
            <w:pPr>
              <w:pStyle w:val="In-texttable"/>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29,5%</w:t>
            </w:r>
          </w:p>
        </w:tc>
        <w:tc>
          <w:tcPr>
            <w:tcW w:w="1509" w:type="dxa"/>
          </w:tcPr>
          <w:p w:rsidR="00157870" w:rsidRPr="00295E71" w:rsidP="00222EA4" w14:paraId="6C0A2C1A" w14:textId="77777777">
            <w:pPr>
              <w:pStyle w:val="In-texttable"/>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63,3%</w:t>
            </w:r>
          </w:p>
        </w:tc>
      </w:tr>
      <w:tr w14:paraId="4BF0434A" w14:textId="77777777" w:rsidTr="00157870">
        <w:tblPrEx>
          <w:tblW w:w="9074" w:type="dxa"/>
          <w:tblLayout w:type="fixed"/>
          <w:tblLook w:val="0000"/>
        </w:tblPrEx>
        <w:trPr>
          <w:cantSplit/>
        </w:trPr>
        <w:tc>
          <w:tcPr>
            <w:tcW w:w="1069" w:type="dxa"/>
            <w:tcBorders>
              <w:right w:val="single" w:sz="6" w:space="0" w:color="auto"/>
            </w:tcBorders>
          </w:tcPr>
          <w:p w:rsidR="00157870" w:rsidRPr="00295E71" w:rsidP="00222EA4" w14:paraId="198C33FD" w14:textId="77777777">
            <w:pPr>
              <w:pStyle w:val="In-texttable"/>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12 mesi</w:t>
            </w:r>
          </w:p>
        </w:tc>
        <w:tc>
          <w:tcPr>
            <w:tcW w:w="1393" w:type="dxa"/>
            <w:tcBorders>
              <w:left w:val="single" w:sz="6" w:space="0" w:color="auto"/>
            </w:tcBorders>
          </w:tcPr>
          <w:p w:rsidR="00157870" w:rsidRPr="00295E71" w:rsidP="00222EA4" w14:paraId="32B3231D" w14:textId="77777777">
            <w:pPr>
              <w:pStyle w:val="In-texttable"/>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417" w:type="dxa"/>
            <w:tcBorders>
              <w:right w:val="single" w:sz="6" w:space="0" w:color="auto"/>
            </w:tcBorders>
          </w:tcPr>
          <w:p w:rsidR="00157870" w:rsidRPr="00295E71" w:rsidP="00222EA4" w14:paraId="1D56DDD6" w14:textId="77777777">
            <w:pPr>
              <w:pStyle w:val="In-texttable"/>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071" w:type="dxa"/>
            <w:tcBorders>
              <w:left w:val="single" w:sz="6" w:space="0" w:color="auto"/>
            </w:tcBorders>
          </w:tcPr>
          <w:p w:rsidR="00157870" w:rsidRPr="00295E71" w:rsidP="00222EA4" w14:paraId="28892D77" w14:textId="77777777">
            <w:pPr>
              <w:pStyle w:val="In-texttable"/>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197" w:type="dxa"/>
            <w:tcBorders>
              <w:right w:val="single" w:sz="6" w:space="0" w:color="auto"/>
            </w:tcBorders>
          </w:tcPr>
          <w:p w:rsidR="00157870" w:rsidRPr="00295E71" w:rsidP="00222EA4" w14:paraId="31A1F617" w14:textId="77777777">
            <w:pPr>
              <w:pStyle w:val="In-texttable"/>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418" w:type="dxa"/>
            <w:tcBorders>
              <w:left w:val="single" w:sz="6" w:space="0" w:color="auto"/>
            </w:tcBorders>
          </w:tcPr>
          <w:p w:rsidR="00157870" w:rsidRPr="00295E71" w:rsidP="00222EA4" w14:paraId="2D6A8B40" w14:textId="77777777">
            <w:pPr>
              <w:pStyle w:val="In-texttable"/>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24,0%</w:t>
            </w:r>
          </w:p>
        </w:tc>
        <w:tc>
          <w:tcPr>
            <w:tcW w:w="1509" w:type="dxa"/>
          </w:tcPr>
          <w:p w:rsidR="00157870" w:rsidRPr="00295E71" w:rsidP="00222EA4" w14:paraId="6B6CE73F" w14:textId="77777777">
            <w:pPr>
              <w:pStyle w:val="In-texttable"/>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58,9%</w:t>
            </w:r>
          </w:p>
        </w:tc>
      </w:tr>
      <w:tr w14:paraId="516ADAA4" w14:textId="77777777" w:rsidTr="00157870">
        <w:tblPrEx>
          <w:tblW w:w="9074" w:type="dxa"/>
          <w:tblLayout w:type="fixed"/>
          <w:tblLook w:val="0000"/>
        </w:tblPrEx>
        <w:trPr>
          <w:cantSplit/>
        </w:trPr>
        <w:tc>
          <w:tcPr>
            <w:tcW w:w="1069" w:type="dxa"/>
            <w:tcBorders>
              <w:right w:val="single" w:sz="6" w:space="0" w:color="auto"/>
            </w:tcBorders>
          </w:tcPr>
          <w:p w:rsidR="00157870" w:rsidRPr="00295E71" w:rsidP="00222EA4" w14:paraId="5B523AD5" w14:textId="77777777">
            <w:pPr>
              <w:pStyle w:val="In-texttable"/>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ACR 50</w:t>
            </w:r>
          </w:p>
        </w:tc>
        <w:tc>
          <w:tcPr>
            <w:tcW w:w="1393" w:type="dxa"/>
            <w:tcBorders>
              <w:left w:val="single" w:sz="6" w:space="0" w:color="auto"/>
            </w:tcBorders>
          </w:tcPr>
          <w:p w:rsidR="00157870" w:rsidRPr="00295E71" w:rsidP="00222EA4" w14:paraId="7CA7EC1F" w14:textId="77777777">
            <w:pPr>
              <w:pStyle w:val="In-texttable"/>
              <w:tabs>
                <w:tab w:val="decimal" w:pos="259"/>
                <w:tab w:val="left" w:pos="567"/>
              </w:tabs>
              <w:spacing w:line="240" w:lineRule="auto"/>
              <w:jc w:val="center"/>
              <w:rPr>
                <w:rFonts w:ascii="Times New Roman" w:hAnsi="Times New Roman" w:cs="Times New Roman"/>
                <w:sz w:val="22"/>
                <w:szCs w:val="22"/>
                <w:lang w:val="it-IT"/>
              </w:rPr>
            </w:pPr>
          </w:p>
        </w:tc>
        <w:tc>
          <w:tcPr>
            <w:tcW w:w="1417" w:type="dxa"/>
            <w:tcBorders>
              <w:right w:val="single" w:sz="6" w:space="0" w:color="auto"/>
            </w:tcBorders>
          </w:tcPr>
          <w:p w:rsidR="00157870" w:rsidRPr="00295E71" w:rsidP="00222EA4" w14:paraId="511A4CEF" w14:textId="77777777">
            <w:pPr>
              <w:pStyle w:val="In-texttable"/>
              <w:tabs>
                <w:tab w:val="decimal" w:pos="250"/>
                <w:tab w:val="left" w:pos="567"/>
              </w:tabs>
              <w:spacing w:line="240" w:lineRule="auto"/>
              <w:jc w:val="center"/>
              <w:rPr>
                <w:rFonts w:ascii="Times New Roman" w:hAnsi="Times New Roman" w:cs="Times New Roman"/>
                <w:sz w:val="22"/>
                <w:szCs w:val="22"/>
                <w:lang w:val="it-IT"/>
              </w:rPr>
            </w:pPr>
          </w:p>
        </w:tc>
        <w:tc>
          <w:tcPr>
            <w:tcW w:w="1071" w:type="dxa"/>
            <w:tcBorders>
              <w:left w:val="single" w:sz="6" w:space="0" w:color="auto"/>
            </w:tcBorders>
          </w:tcPr>
          <w:p w:rsidR="00157870" w:rsidRPr="00295E71" w:rsidP="00222EA4" w14:paraId="79064769" w14:textId="77777777">
            <w:pPr>
              <w:pStyle w:val="In-texttable"/>
              <w:tabs>
                <w:tab w:val="left" w:pos="567"/>
              </w:tabs>
              <w:spacing w:line="240" w:lineRule="auto"/>
              <w:jc w:val="center"/>
              <w:rPr>
                <w:rFonts w:ascii="Times New Roman" w:hAnsi="Times New Roman" w:cs="Times New Roman"/>
                <w:sz w:val="22"/>
                <w:szCs w:val="22"/>
                <w:lang w:val="it-IT"/>
              </w:rPr>
            </w:pPr>
          </w:p>
        </w:tc>
        <w:tc>
          <w:tcPr>
            <w:tcW w:w="1197" w:type="dxa"/>
            <w:tcBorders>
              <w:right w:val="single" w:sz="6" w:space="0" w:color="auto"/>
            </w:tcBorders>
          </w:tcPr>
          <w:p w:rsidR="00157870" w:rsidRPr="00295E71" w:rsidP="00222EA4" w14:paraId="00EE7824" w14:textId="77777777">
            <w:pPr>
              <w:pStyle w:val="In-texttable"/>
              <w:tabs>
                <w:tab w:val="decimal" w:pos="205"/>
                <w:tab w:val="left" w:pos="567"/>
              </w:tabs>
              <w:spacing w:line="240" w:lineRule="auto"/>
              <w:jc w:val="center"/>
              <w:rPr>
                <w:rFonts w:ascii="Times New Roman" w:hAnsi="Times New Roman" w:cs="Times New Roman"/>
                <w:sz w:val="22"/>
                <w:szCs w:val="22"/>
                <w:lang w:val="it-IT"/>
              </w:rPr>
            </w:pPr>
          </w:p>
        </w:tc>
        <w:tc>
          <w:tcPr>
            <w:tcW w:w="1418" w:type="dxa"/>
            <w:tcBorders>
              <w:left w:val="single" w:sz="6" w:space="0" w:color="auto"/>
            </w:tcBorders>
          </w:tcPr>
          <w:p w:rsidR="00157870" w:rsidRPr="00295E71" w:rsidP="00222EA4" w14:paraId="5783AD42" w14:textId="77777777">
            <w:pPr>
              <w:pStyle w:val="In-texttable"/>
              <w:tabs>
                <w:tab w:val="decimal" w:pos="144"/>
                <w:tab w:val="left" w:pos="567"/>
              </w:tabs>
              <w:spacing w:line="240" w:lineRule="auto"/>
              <w:jc w:val="center"/>
              <w:rPr>
                <w:rFonts w:ascii="Times New Roman" w:hAnsi="Times New Roman" w:cs="Times New Roman"/>
                <w:sz w:val="22"/>
                <w:szCs w:val="22"/>
                <w:lang w:val="it-IT"/>
              </w:rPr>
            </w:pPr>
          </w:p>
        </w:tc>
        <w:tc>
          <w:tcPr>
            <w:tcW w:w="1509" w:type="dxa"/>
          </w:tcPr>
          <w:p w:rsidR="00157870" w:rsidRPr="00295E71" w:rsidP="00222EA4" w14:paraId="719A8EF2" w14:textId="77777777">
            <w:pPr>
              <w:pStyle w:val="In-texttable"/>
              <w:tabs>
                <w:tab w:val="decimal" w:pos="95"/>
                <w:tab w:val="left" w:pos="567"/>
              </w:tabs>
              <w:spacing w:line="240" w:lineRule="auto"/>
              <w:jc w:val="center"/>
              <w:rPr>
                <w:rFonts w:ascii="Times New Roman" w:hAnsi="Times New Roman" w:cs="Times New Roman"/>
                <w:sz w:val="22"/>
                <w:szCs w:val="22"/>
                <w:lang w:val="it-IT"/>
              </w:rPr>
            </w:pPr>
          </w:p>
        </w:tc>
      </w:tr>
      <w:tr w14:paraId="07FFBB18" w14:textId="77777777" w:rsidTr="00157870">
        <w:tblPrEx>
          <w:tblW w:w="9074" w:type="dxa"/>
          <w:tblLayout w:type="fixed"/>
          <w:tblLook w:val="0000"/>
        </w:tblPrEx>
        <w:trPr>
          <w:cantSplit/>
        </w:trPr>
        <w:tc>
          <w:tcPr>
            <w:tcW w:w="1069" w:type="dxa"/>
            <w:tcBorders>
              <w:right w:val="single" w:sz="6" w:space="0" w:color="auto"/>
            </w:tcBorders>
          </w:tcPr>
          <w:p w:rsidR="00157870" w:rsidRPr="00295E71" w:rsidP="00222EA4" w14:paraId="0B52A1D2" w14:textId="77777777">
            <w:pPr>
              <w:pStyle w:val="In-texttable"/>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6 mesi</w:t>
            </w:r>
          </w:p>
        </w:tc>
        <w:tc>
          <w:tcPr>
            <w:tcW w:w="1393" w:type="dxa"/>
            <w:tcBorders>
              <w:left w:val="single" w:sz="6" w:space="0" w:color="auto"/>
            </w:tcBorders>
          </w:tcPr>
          <w:p w:rsidR="00157870" w:rsidRPr="00295E71" w:rsidP="00222EA4" w14:paraId="7C169967" w14:textId="77777777">
            <w:pPr>
              <w:pStyle w:val="In-texttable"/>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6,7%</w:t>
            </w:r>
          </w:p>
        </w:tc>
        <w:tc>
          <w:tcPr>
            <w:tcW w:w="1417" w:type="dxa"/>
            <w:tcBorders>
              <w:right w:val="single" w:sz="6" w:space="0" w:color="auto"/>
            </w:tcBorders>
          </w:tcPr>
          <w:p w:rsidR="00157870" w:rsidRPr="00295E71" w:rsidP="00222EA4" w14:paraId="0A07F364" w14:textId="77777777">
            <w:pPr>
              <w:pStyle w:val="In-texttable"/>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52,4%</w:t>
            </w:r>
          </w:p>
        </w:tc>
        <w:tc>
          <w:tcPr>
            <w:tcW w:w="1071" w:type="dxa"/>
            <w:tcBorders>
              <w:left w:val="single" w:sz="6" w:space="0" w:color="auto"/>
            </w:tcBorders>
          </w:tcPr>
          <w:p w:rsidR="00157870" w:rsidRPr="00295E71" w:rsidP="00222EA4" w14:paraId="6E10F740"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8,2%</w:t>
            </w:r>
          </w:p>
        </w:tc>
        <w:tc>
          <w:tcPr>
            <w:tcW w:w="1197" w:type="dxa"/>
            <w:tcBorders>
              <w:right w:val="single" w:sz="6" w:space="0" w:color="auto"/>
            </w:tcBorders>
          </w:tcPr>
          <w:p w:rsidR="00157870" w:rsidRPr="00295E71" w:rsidP="00222EA4" w14:paraId="1BEA4DBC" w14:textId="77777777">
            <w:pPr>
              <w:pStyle w:val="In-texttable"/>
              <w:tabs>
                <w:tab w:val="decimal" w:pos="20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22,1%</w:t>
            </w:r>
          </w:p>
        </w:tc>
        <w:tc>
          <w:tcPr>
            <w:tcW w:w="1418" w:type="dxa"/>
            <w:tcBorders>
              <w:left w:val="single" w:sz="6" w:space="0" w:color="auto"/>
            </w:tcBorders>
          </w:tcPr>
          <w:p w:rsidR="00157870" w:rsidRPr="00295E71" w:rsidP="00222EA4" w14:paraId="06B4E5F7" w14:textId="77777777">
            <w:pPr>
              <w:pStyle w:val="In-texttable"/>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9,5%</w:t>
            </w:r>
          </w:p>
        </w:tc>
        <w:tc>
          <w:tcPr>
            <w:tcW w:w="1509" w:type="dxa"/>
          </w:tcPr>
          <w:p w:rsidR="00157870" w:rsidRPr="00295E71" w:rsidP="00222EA4" w14:paraId="64E6DED7" w14:textId="77777777">
            <w:pPr>
              <w:pStyle w:val="In-texttable"/>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39,1%</w:t>
            </w:r>
          </w:p>
        </w:tc>
      </w:tr>
      <w:tr w14:paraId="48787167" w14:textId="77777777" w:rsidTr="00157870">
        <w:tblPrEx>
          <w:tblW w:w="9074" w:type="dxa"/>
          <w:tblLayout w:type="fixed"/>
          <w:tblLook w:val="0000"/>
        </w:tblPrEx>
        <w:trPr>
          <w:cantSplit/>
        </w:trPr>
        <w:tc>
          <w:tcPr>
            <w:tcW w:w="1069" w:type="dxa"/>
            <w:tcBorders>
              <w:right w:val="single" w:sz="6" w:space="0" w:color="auto"/>
            </w:tcBorders>
          </w:tcPr>
          <w:p w:rsidR="00157870" w:rsidRPr="00295E71" w:rsidP="00222EA4" w14:paraId="78B94B27" w14:textId="77777777">
            <w:pPr>
              <w:pStyle w:val="In-texttable"/>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12 mesi</w:t>
            </w:r>
          </w:p>
        </w:tc>
        <w:tc>
          <w:tcPr>
            <w:tcW w:w="1393" w:type="dxa"/>
            <w:tcBorders>
              <w:left w:val="single" w:sz="6" w:space="0" w:color="auto"/>
            </w:tcBorders>
          </w:tcPr>
          <w:p w:rsidR="00157870" w:rsidRPr="00295E71" w:rsidP="00222EA4" w14:paraId="77850349" w14:textId="77777777">
            <w:pPr>
              <w:pStyle w:val="In-texttable"/>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417" w:type="dxa"/>
            <w:tcBorders>
              <w:right w:val="single" w:sz="6" w:space="0" w:color="auto"/>
            </w:tcBorders>
          </w:tcPr>
          <w:p w:rsidR="00157870" w:rsidRPr="00295E71" w:rsidP="00222EA4" w14:paraId="44DC0BEB" w14:textId="77777777">
            <w:pPr>
              <w:pStyle w:val="In-texttable"/>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071" w:type="dxa"/>
            <w:tcBorders>
              <w:left w:val="single" w:sz="6" w:space="0" w:color="auto"/>
            </w:tcBorders>
          </w:tcPr>
          <w:p w:rsidR="00157870" w:rsidRPr="00295E71" w:rsidP="00222EA4" w14:paraId="48C20EB6" w14:textId="77777777">
            <w:pPr>
              <w:pStyle w:val="In-texttable"/>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197" w:type="dxa"/>
            <w:tcBorders>
              <w:right w:val="single" w:sz="6" w:space="0" w:color="auto"/>
            </w:tcBorders>
          </w:tcPr>
          <w:p w:rsidR="00157870" w:rsidRPr="00295E71" w:rsidP="00222EA4" w14:paraId="57BB3BE0" w14:textId="77777777">
            <w:pPr>
              <w:pStyle w:val="In-texttable"/>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418" w:type="dxa"/>
            <w:tcBorders>
              <w:left w:val="single" w:sz="6" w:space="0" w:color="auto"/>
            </w:tcBorders>
          </w:tcPr>
          <w:p w:rsidR="00157870" w:rsidRPr="00295E71" w:rsidP="00222EA4" w14:paraId="44F4DF76" w14:textId="77777777">
            <w:pPr>
              <w:pStyle w:val="In-texttable"/>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9,5%</w:t>
            </w:r>
          </w:p>
        </w:tc>
        <w:tc>
          <w:tcPr>
            <w:tcW w:w="1509" w:type="dxa"/>
          </w:tcPr>
          <w:p w:rsidR="00157870" w:rsidRPr="00295E71" w:rsidP="00222EA4" w14:paraId="012D789B" w14:textId="77777777">
            <w:pPr>
              <w:pStyle w:val="In-texttable"/>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41,5%</w:t>
            </w:r>
          </w:p>
        </w:tc>
      </w:tr>
      <w:tr w14:paraId="3951EE33" w14:textId="77777777" w:rsidTr="00157870">
        <w:tblPrEx>
          <w:tblW w:w="9074" w:type="dxa"/>
          <w:tblLayout w:type="fixed"/>
          <w:tblLook w:val="0000"/>
        </w:tblPrEx>
        <w:trPr>
          <w:cantSplit/>
        </w:trPr>
        <w:tc>
          <w:tcPr>
            <w:tcW w:w="1069" w:type="dxa"/>
            <w:tcBorders>
              <w:right w:val="single" w:sz="6" w:space="0" w:color="auto"/>
            </w:tcBorders>
          </w:tcPr>
          <w:p w:rsidR="00157870" w:rsidRPr="00295E71" w:rsidP="00222EA4" w14:paraId="4FA364DE" w14:textId="77777777">
            <w:pPr>
              <w:pStyle w:val="In-texttable"/>
              <w:tabs>
                <w:tab w:val="left" w:pos="144"/>
                <w:tab w:val="left" w:pos="567"/>
              </w:tabs>
              <w:spacing w:line="240" w:lineRule="auto"/>
              <w:rPr>
                <w:rFonts w:ascii="Times New Roman" w:hAnsi="Times New Roman" w:cs="Times New Roman"/>
                <w:sz w:val="22"/>
                <w:szCs w:val="22"/>
                <w:lang w:val="it-IT"/>
              </w:rPr>
            </w:pPr>
            <w:r w:rsidRPr="003B3A5A">
              <w:rPr>
                <w:rFonts w:ascii="Times New Roman" w:hAnsi="Times New Roman"/>
                <w:noProof/>
                <w:sz w:val="22"/>
                <w:lang w:val="en-GB"/>
              </w:rPr>
              <mc:AlternateContent>
                <mc:Choice Requires="wps">
                  <w:drawing>
                    <wp:anchor distT="0" distB="0" distL="114300" distR="114300" simplePos="0" relativeHeight="251664384" behindDoc="0" locked="0" layoutInCell="0" allowOverlap="1">
                      <wp:simplePos x="0" y="0"/>
                      <wp:positionH relativeFrom="column">
                        <wp:posOffset>-4972050</wp:posOffset>
                      </wp:positionH>
                      <wp:positionV relativeFrom="paragraph">
                        <wp:posOffset>38735</wp:posOffset>
                      </wp:positionV>
                      <wp:extent cx="3543300" cy="342900"/>
                      <wp:effectExtent l="0" t="0" r="0" b="0"/>
                      <wp:wrapNone/>
                      <wp:docPr id="15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43300" cy="342900"/>
                              </a:xfrm>
                              <a:prstGeom prst="rect">
                                <a:avLst/>
                              </a:prstGeom>
                              <a:solidFill>
                                <a:srgbClr val="FFFFFF"/>
                              </a:solidFill>
                              <a:ln>
                                <a:noFill/>
                              </a:ln>
                            </wps:spPr>
                            <wps:txbx>
                              <w:txbxContent>
                                <w:p w:rsidR="003B3A5A" w:rsidP="00157870" w14:textId="77777777">
                                  <w:pPr>
                                    <w:rPr>
                                      <w:sz w:val="20"/>
                                      <w:szCs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6" type="#_x0000_t202" style="width:279pt;height:27pt;margin-top:3.05pt;margin-left:-391.5pt;mso-height-percent:0;mso-height-relative:page;mso-width-percent:0;mso-width-relative:page;mso-wrap-distance-bottom:0;mso-wrap-distance-left:9pt;mso-wrap-distance-right:9pt;mso-wrap-distance-top:0;mso-wrap-style:square;position:absolute;visibility:visible;v-text-anchor:top;z-index:251665408" o:allowincell="f" stroked="f">
                      <v:textbox>
                        <w:txbxContent>
                          <w:p w:rsidR="003B3A5A" w:rsidP="00157870" w14:paraId="07E5895E" w14:textId="77777777">
                            <w:pPr>
                              <w:rPr>
                                <w:sz w:val="20"/>
                                <w:szCs w:val="20"/>
                              </w:rPr>
                            </w:pPr>
                          </w:p>
                        </w:txbxContent>
                      </v:textbox>
                    </v:shape>
                  </w:pict>
                </mc:Fallback>
              </mc:AlternateContent>
            </w:r>
            <w:r w:rsidRPr="00295E71" w:rsidR="00157870">
              <w:rPr>
                <w:rFonts w:ascii="Times New Roman" w:hAnsi="Times New Roman" w:cs="Times New Roman"/>
                <w:sz w:val="22"/>
                <w:szCs w:val="22"/>
                <w:lang w:val="it-IT"/>
              </w:rPr>
              <w:t>ACR 70</w:t>
            </w:r>
          </w:p>
        </w:tc>
        <w:tc>
          <w:tcPr>
            <w:tcW w:w="1393" w:type="dxa"/>
            <w:tcBorders>
              <w:left w:val="single" w:sz="6" w:space="0" w:color="auto"/>
            </w:tcBorders>
          </w:tcPr>
          <w:p w:rsidR="00157870" w:rsidRPr="00295E71" w:rsidP="00222EA4" w14:paraId="4A6185E5" w14:textId="77777777">
            <w:pPr>
              <w:pStyle w:val="In-texttable"/>
              <w:tabs>
                <w:tab w:val="decimal" w:pos="259"/>
                <w:tab w:val="left" w:pos="567"/>
              </w:tabs>
              <w:spacing w:line="240" w:lineRule="auto"/>
              <w:jc w:val="center"/>
              <w:rPr>
                <w:rFonts w:ascii="Times New Roman" w:hAnsi="Times New Roman" w:cs="Times New Roman"/>
                <w:sz w:val="22"/>
                <w:szCs w:val="22"/>
                <w:lang w:val="it-IT"/>
              </w:rPr>
            </w:pPr>
          </w:p>
        </w:tc>
        <w:tc>
          <w:tcPr>
            <w:tcW w:w="1417" w:type="dxa"/>
            <w:tcBorders>
              <w:right w:val="single" w:sz="6" w:space="0" w:color="auto"/>
            </w:tcBorders>
          </w:tcPr>
          <w:p w:rsidR="00157870" w:rsidRPr="00295E71" w:rsidP="00222EA4" w14:paraId="1A5A7597" w14:textId="77777777">
            <w:pPr>
              <w:pStyle w:val="In-texttable"/>
              <w:tabs>
                <w:tab w:val="decimal" w:pos="250"/>
                <w:tab w:val="left" w:pos="567"/>
              </w:tabs>
              <w:spacing w:line="240" w:lineRule="auto"/>
              <w:jc w:val="center"/>
              <w:rPr>
                <w:rFonts w:ascii="Times New Roman" w:hAnsi="Times New Roman" w:cs="Times New Roman"/>
                <w:sz w:val="22"/>
                <w:szCs w:val="22"/>
                <w:lang w:val="it-IT"/>
              </w:rPr>
            </w:pPr>
          </w:p>
        </w:tc>
        <w:tc>
          <w:tcPr>
            <w:tcW w:w="1071" w:type="dxa"/>
            <w:tcBorders>
              <w:left w:val="single" w:sz="6" w:space="0" w:color="auto"/>
            </w:tcBorders>
          </w:tcPr>
          <w:p w:rsidR="00157870" w:rsidRPr="00295E71" w:rsidP="00222EA4" w14:paraId="1B5DDBB4" w14:textId="77777777">
            <w:pPr>
              <w:pStyle w:val="In-texttable"/>
              <w:tabs>
                <w:tab w:val="left" w:pos="567"/>
              </w:tabs>
              <w:spacing w:line="240" w:lineRule="auto"/>
              <w:jc w:val="center"/>
              <w:rPr>
                <w:rFonts w:ascii="Times New Roman" w:hAnsi="Times New Roman" w:cs="Times New Roman"/>
                <w:sz w:val="22"/>
                <w:szCs w:val="22"/>
                <w:lang w:val="it-IT"/>
              </w:rPr>
            </w:pPr>
          </w:p>
        </w:tc>
        <w:tc>
          <w:tcPr>
            <w:tcW w:w="1197" w:type="dxa"/>
            <w:tcBorders>
              <w:right w:val="single" w:sz="6" w:space="0" w:color="auto"/>
            </w:tcBorders>
          </w:tcPr>
          <w:p w:rsidR="00157870" w:rsidRPr="00295E71" w:rsidP="00222EA4" w14:paraId="7AC2448E" w14:textId="77777777">
            <w:pPr>
              <w:pStyle w:val="In-texttable"/>
              <w:tabs>
                <w:tab w:val="decimal" w:pos="205"/>
                <w:tab w:val="left" w:pos="567"/>
              </w:tabs>
              <w:spacing w:line="240" w:lineRule="auto"/>
              <w:jc w:val="center"/>
              <w:rPr>
                <w:rFonts w:ascii="Times New Roman" w:hAnsi="Times New Roman" w:cs="Times New Roman"/>
                <w:sz w:val="22"/>
                <w:szCs w:val="22"/>
                <w:lang w:val="it-IT"/>
              </w:rPr>
            </w:pPr>
          </w:p>
        </w:tc>
        <w:tc>
          <w:tcPr>
            <w:tcW w:w="1418" w:type="dxa"/>
            <w:tcBorders>
              <w:left w:val="single" w:sz="6" w:space="0" w:color="auto"/>
            </w:tcBorders>
          </w:tcPr>
          <w:p w:rsidR="00157870" w:rsidRPr="00295E71" w:rsidP="00222EA4" w14:paraId="09CCF652" w14:textId="77777777">
            <w:pPr>
              <w:pStyle w:val="In-texttable"/>
              <w:tabs>
                <w:tab w:val="decimal" w:pos="144"/>
                <w:tab w:val="left" w:pos="567"/>
              </w:tabs>
              <w:spacing w:line="240" w:lineRule="auto"/>
              <w:jc w:val="center"/>
              <w:rPr>
                <w:rFonts w:ascii="Times New Roman" w:hAnsi="Times New Roman" w:cs="Times New Roman"/>
                <w:sz w:val="22"/>
                <w:szCs w:val="22"/>
                <w:lang w:val="it-IT"/>
              </w:rPr>
            </w:pPr>
          </w:p>
        </w:tc>
        <w:tc>
          <w:tcPr>
            <w:tcW w:w="1509" w:type="dxa"/>
          </w:tcPr>
          <w:p w:rsidR="00157870" w:rsidRPr="00295E71" w:rsidP="00222EA4" w14:paraId="17126FA6" w14:textId="77777777">
            <w:pPr>
              <w:pStyle w:val="In-texttable"/>
              <w:tabs>
                <w:tab w:val="decimal" w:pos="95"/>
                <w:tab w:val="left" w:pos="567"/>
              </w:tabs>
              <w:spacing w:line="240" w:lineRule="auto"/>
              <w:jc w:val="center"/>
              <w:rPr>
                <w:rFonts w:ascii="Times New Roman" w:hAnsi="Times New Roman" w:cs="Times New Roman"/>
                <w:sz w:val="22"/>
                <w:szCs w:val="22"/>
                <w:lang w:val="it-IT"/>
              </w:rPr>
            </w:pPr>
          </w:p>
        </w:tc>
      </w:tr>
      <w:tr w14:paraId="6300F014" w14:textId="77777777" w:rsidTr="00157870">
        <w:tblPrEx>
          <w:tblW w:w="9074" w:type="dxa"/>
          <w:tblLayout w:type="fixed"/>
          <w:tblLook w:val="0000"/>
        </w:tblPrEx>
        <w:trPr>
          <w:cantSplit/>
        </w:trPr>
        <w:tc>
          <w:tcPr>
            <w:tcW w:w="1069" w:type="dxa"/>
            <w:tcBorders>
              <w:right w:val="single" w:sz="6" w:space="0" w:color="auto"/>
            </w:tcBorders>
          </w:tcPr>
          <w:p w:rsidR="00157870" w:rsidRPr="00295E71" w:rsidP="00222EA4" w14:paraId="172BEB87" w14:textId="77777777">
            <w:pPr>
              <w:pStyle w:val="In-texttable"/>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6 mesi</w:t>
            </w:r>
          </w:p>
        </w:tc>
        <w:tc>
          <w:tcPr>
            <w:tcW w:w="1393" w:type="dxa"/>
            <w:tcBorders>
              <w:left w:val="single" w:sz="6" w:space="0" w:color="auto"/>
            </w:tcBorders>
          </w:tcPr>
          <w:p w:rsidR="00157870" w:rsidRPr="00295E71" w:rsidP="00222EA4" w14:paraId="0AF75B16" w14:textId="77777777">
            <w:pPr>
              <w:pStyle w:val="In-texttable"/>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3,3%</w:t>
            </w:r>
          </w:p>
        </w:tc>
        <w:tc>
          <w:tcPr>
            <w:tcW w:w="1417" w:type="dxa"/>
            <w:tcBorders>
              <w:right w:val="single" w:sz="6" w:space="0" w:color="auto"/>
            </w:tcBorders>
          </w:tcPr>
          <w:p w:rsidR="00157870" w:rsidRPr="00295E71" w:rsidP="00222EA4" w14:paraId="4E6E0194" w14:textId="77777777">
            <w:pPr>
              <w:pStyle w:val="In-texttable"/>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23,8%</w:t>
            </w:r>
          </w:p>
        </w:tc>
        <w:tc>
          <w:tcPr>
            <w:tcW w:w="1071" w:type="dxa"/>
            <w:tcBorders>
              <w:left w:val="single" w:sz="6" w:space="0" w:color="auto"/>
            </w:tcBorders>
          </w:tcPr>
          <w:p w:rsidR="00157870" w:rsidRPr="00295E71" w:rsidP="00222EA4" w14:paraId="6D3F7982"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1,8%</w:t>
            </w:r>
          </w:p>
        </w:tc>
        <w:tc>
          <w:tcPr>
            <w:tcW w:w="1197" w:type="dxa"/>
            <w:tcBorders>
              <w:right w:val="single" w:sz="6" w:space="0" w:color="auto"/>
            </w:tcBorders>
          </w:tcPr>
          <w:p w:rsidR="00157870" w:rsidRPr="00295E71" w:rsidP="00222EA4" w14:paraId="37255BE6" w14:textId="77777777">
            <w:pPr>
              <w:pStyle w:val="In-texttable"/>
              <w:tabs>
                <w:tab w:val="decimal" w:pos="20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12,4%</w:t>
            </w:r>
          </w:p>
        </w:tc>
        <w:tc>
          <w:tcPr>
            <w:tcW w:w="1418" w:type="dxa"/>
            <w:tcBorders>
              <w:left w:val="single" w:sz="6" w:space="0" w:color="auto"/>
            </w:tcBorders>
          </w:tcPr>
          <w:p w:rsidR="00157870" w:rsidRPr="00295E71" w:rsidP="00222EA4" w14:paraId="2F436125" w14:textId="77777777">
            <w:pPr>
              <w:pStyle w:val="In-texttable"/>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2,5%</w:t>
            </w:r>
          </w:p>
        </w:tc>
        <w:tc>
          <w:tcPr>
            <w:tcW w:w="1509" w:type="dxa"/>
          </w:tcPr>
          <w:p w:rsidR="00157870" w:rsidRPr="00295E71" w:rsidP="00222EA4" w14:paraId="46F29312" w14:textId="77777777">
            <w:pPr>
              <w:pStyle w:val="In-texttable"/>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20,8%</w:t>
            </w:r>
          </w:p>
        </w:tc>
      </w:tr>
      <w:tr w14:paraId="2ABF2D53" w14:textId="77777777" w:rsidTr="00157870">
        <w:tblPrEx>
          <w:tblW w:w="9074" w:type="dxa"/>
          <w:tblLayout w:type="fixed"/>
          <w:tblLook w:val="0000"/>
        </w:tblPrEx>
        <w:trPr>
          <w:cantSplit/>
        </w:trPr>
        <w:tc>
          <w:tcPr>
            <w:tcW w:w="1069" w:type="dxa"/>
            <w:tcBorders>
              <w:bottom w:val="single" w:sz="6" w:space="0" w:color="auto"/>
              <w:right w:val="single" w:sz="6" w:space="0" w:color="auto"/>
            </w:tcBorders>
          </w:tcPr>
          <w:p w:rsidR="00157870" w:rsidRPr="00295E71" w:rsidP="00222EA4" w14:paraId="3607279A" w14:textId="77777777">
            <w:pPr>
              <w:pStyle w:val="In-texttable"/>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12 mesi</w:t>
            </w:r>
          </w:p>
        </w:tc>
        <w:tc>
          <w:tcPr>
            <w:tcW w:w="1393" w:type="dxa"/>
            <w:tcBorders>
              <w:left w:val="single" w:sz="6" w:space="0" w:color="auto"/>
              <w:bottom w:val="single" w:sz="6" w:space="0" w:color="auto"/>
            </w:tcBorders>
          </w:tcPr>
          <w:p w:rsidR="00157870" w:rsidRPr="00295E71" w:rsidP="00222EA4" w14:paraId="4B870DD8" w14:textId="77777777">
            <w:pPr>
              <w:pStyle w:val="In-texttable"/>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417" w:type="dxa"/>
            <w:tcBorders>
              <w:bottom w:val="single" w:sz="6" w:space="0" w:color="auto"/>
              <w:right w:val="single" w:sz="6" w:space="0" w:color="auto"/>
            </w:tcBorders>
          </w:tcPr>
          <w:p w:rsidR="00157870" w:rsidRPr="00295E71" w:rsidP="00222EA4" w14:paraId="172AFB93" w14:textId="77777777">
            <w:pPr>
              <w:pStyle w:val="In-texttable"/>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071" w:type="dxa"/>
            <w:tcBorders>
              <w:left w:val="single" w:sz="6" w:space="0" w:color="auto"/>
              <w:bottom w:val="single" w:sz="6" w:space="0" w:color="auto"/>
            </w:tcBorders>
          </w:tcPr>
          <w:p w:rsidR="00157870" w:rsidRPr="00295E71" w:rsidP="00222EA4" w14:paraId="670203A7" w14:textId="77777777">
            <w:pPr>
              <w:pStyle w:val="In-texttable"/>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197" w:type="dxa"/>
            <w:tcBorders>
              <w:bottom w:val="single" w:sz="6" w:space="0" w:color="auto"/>
              <w:right w:val="single" w:sz="6" w:space="0" w:color="auto"/>
            </w:tcBorders>
          </w:tcPr>
          <w:p w:rsidR="00157870" w:rsidRPr="00295E71" w:rsidP="00222EA4" w14:paraId="535301EC" w14:textId="77777777">
            <w:pPr>
              <w:pStyle w:val="In-texttable"/>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418" w:type="dxa"/>
            <w:tcBorders>
              <w:left w:val="single" w:sz="6" w:space="0" w:color="auto"/>
              <w:bottom w:val="single" w:sz="6" w:space="0" w:color="auto"/>
            </w:tcBorders>
          </w:tcPr>
          <w:p w:rsidR="00157870" w:rsidRPr="00295E71" w:rsidP="00222EA4" w14:paraId="327D95EC" w14:textId="77777777">
            <w:pPr>
              <w:pStyle w:val="In-texttable"/>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4,5%</w:t>
            </w:r>
          </w:p>
        </w:tc>
        <w:tc>
          <w:tcPr>
            <w:tcW w:w="1509" w:type="dxa"/>
            <w:tcBorders>
              <w:bottom w:val="single" w:sz="6" w:space="0" w:color="auto"/>
            </w:tcBorders>
          </w:tcPr>
          <w:p w:rsidR="00157870" w:rsidRPr="00295E71" w:rsidP="00222EA4" w14:paraId="16ED5AC0" w14:textId="77777777">
            <w:pPr>
              <w:pStyle w:val="In-texttable"/>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23,2%</w:t>
            </w:r>
          </w:p>
        </w:tc>
      </w:tr>
      <w:tr w14:paraId="5E263B3F" w14:textId="77777777" w:rsidTr="00157870">
        <w:tblPrEx>
          <w:tblW w:w="9074" w:type="dxa"/>
          <w:tblLayout w:type="fixed"/>
          <w:tblLook w:val="0000"/>
        </w:tblPrEx>
        <w:trPr>
          <w:cantSplit/>
        </w:trPr>
        <w:tc>
          <w:tcPr>
            <w:tcW w:w="9074" w:type="dxa"/>
            <w:gridSpan w:val="7"/>
          </w:tcPr>
          <w:p w:rsidR="00157870" w:rsidRPr="00295E71" w:rsidP="00222EA4" w14:paraId="033A9E20" w14:textId="77777777">
            <w:pPr>
              <w:pStyle w:val="In-textfootnote"/>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ab/>
              <w:t>studio AR I a 24 settimane, studio AR II a 26 settimane, e studio AR III a 24 e 52 settimane</w:t>
            </w:r>
          </w:p>
          <w:p w:rsidR="00157870" w:rsidRPr="00295E71" w:rsidP="00222EA4" w14:paraId="7AD0E459" w14:textId="77777777">
            <w:pPr>
              <w:pStyle w:val="In-textfootnote"/>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ab/>
              <w:t>40 mg di Humira somministrato ogni due settimane</w:t>
            </w:r>
          </w:p>
          <w:p w:rsidR="00157870" w:rsidRPr="00295E71" w:rsidP="00222EA4" w14:paraId="3AD5296A" w14:textId="77777777">
            <w:pPr>
              <w:pStyle w:val="In-textfootnote"/>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c</w:t>
            </w:r>
            <w:r w:rsidRPr="00295E71">
              <w:rPr>
                <w:rFonts w:ascii="Times New Roman" w:hAnsi="Times New Roman" w:cs="Times New Roman"/>
                <w:sz w:val="22"/>
                <w:szCs w:val="22"/>
                <w:lang w:val="it-IT"/>
              </w:rPr>
              <w:t xml:space="preserve"> MTX = metotressato</w:t>
            </w:r>
          </w:p>
          <w:p w:rsidR="00157870" w:rsidRPr="00295E71" w:rsidP="00222EA4" w14:paraId="1EA29476" w14:textId="77777777">
            <w:pPr>
              <w:pStyle w:val="In-textfootnote"/>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lang w:val="it-IT"/>
              </w:rPr>
              <w:t xml:space="preserve">**p&lt;0,01, Humira </w:t>
            </w:r>
            <w:r w:rsidRPr="00295E71">
              <w:rPr>
                <w:rFonts w:ascii="Times New Roman" w:hAnsi="Times New Roman" w:cs="Times New Roman"/>
                <w:i/>
                <w:sz w:val="22"/>
                <w:szCs w:val="22"/>
                <w:lang w:val="it-IT"/>
              </w:rPr>
              <w:t>versus</w:t>
            </w:r>
            <w:r w:rsidRPr="00295E71">
              <w:rPr>
                <w:rFonts w:ascii="Times New Roman" w:hAnsi="Times New Roman" w:cs="Times New Roman"/>
                <w:sz w:val="22"/>
                <w:szCs w:val="22"/>
                <w:lang w:val="it-IT"/>
              </w:rPr>
              <w:t xml:space="preserve"> placebo</w:t>
            </w:r>
          </w:p>
        </w:tc>
      </w:tr>
    </w:tbl>
    <w:p w:rsidR="00157870" w:rsidRPr="00295E71" w:rsidP="00157870" w14:paraId="7BBBCB8E" w14:textId="77777777">
      <w:pPr>
        <w:pStyle w:val="EndnoteText"/>
        <w:rPr>
          <w:lang w:val="it-IT"/>
        </w:rPr>
      </w:pPr>
    </w:p>
    <w:p w:rsidR="00157870" w:rsidRPr="00295E71" w:rsidP="00157870" w14:paraId="6E7D0776" w14:textId="77777777">
      <w:pPr>
        <w:pStyle w:val="EMEAFigureTitle"/>
        <w:suppressAutoHyphens w:val="0"/>
        <w:jc w:val="both"/>
        <w:rPr>
          <w:lang w:val="it-IT" w:eastAsia="it-IT"/>
        </w:rPr>
      </w:pPr>
      <w:r w:rsidRPr="00295E71">
        <w:rPr>
          <w:lang w:val="it-IT" w:eastAsia="it-IT"/>
        </w:rPr>
        <w:t xml:space="preserve">Negli studi AR I-IV, tutti i parametri valutati per la definizione della risposta ACR (numero di articolazioni dolenti e tumefatte, valutazione dell’attività di malattia da parte del medico e del paziente, </w:t>
      </w:r>
      <w:r w:rsidRPr="00295E71">
        <w:rPr>
          <w:lang w:val="it-IT" w:eastAsia="it-IT"/>
        </w:rPr>
        <w:t>valutazione del dolore da parte del paziente, indice di disabilità - HAQ e i valori di PCR (mg/dl)</w:t>
      </w:r>
      <w:r w:rsidR="009748E7">
        <w:rPr>
          <w:lang w:val="it-IT" w:eastAsia="it-IT"/>
        </w:rPr>
        <w:t>)</w:t>
      </w:r>
      <w:r w:rsidRPr="00295E71">
        <w:rPr>
          <w:lang w:val="it-IT" w:eastAsia="it-IT"/>
        </w:rPr>
        <w:t xml:space="preserve"> sono migliorati a 24 o 26 settimane rispetto al placebo. Nello studio AR III, tali miglioramenti si sono mantenuti nell’arco di 52 settimane. </w:t>
      </w:r>
    </w:p>
    <w:p w:rsidR="00157870" w:rsidRPr="00295E71" w:rsidP="00157870" w14:paraId="4D9423E4" w14:textId="77777777">
      <w:pPr>
        <w:tabs>
          <w:tab w:val="left" w:pos="567"/>
        </w:tabs>
        <w:jc w:val="both"/>
        <w:rPr>
          <w:sz w:val="22"/>
          <w:szCs w:val="22"/>
        </w:rPr>
      </w:pPr>
    </w:p>
    <w:p w:rsidR="00157870" w:rsidRPr="00295E71" w:rsidP="00157870" w14:paraId="4731BC91" w14:textId="77777777">
      <w:pPr>
        <w:tabs>
          <w:tab w:val="left" w:pos="567"/>
        </w:tabs>
        <w:jc w:val="both"/>
        <w:rPr>
          <w:sz w:val="22"/>
          <w:szCs w:val="22"/>
        </w:rPr>
      </w:pPr>
      <w:r w:rsidRPr="00295E71">
        <w:rPr>
          <w:sz w:val="22"/>
          <w:szCs w:val="22"/>
        </w:rPr>
        <w:t xml:space="preserve">Nella fase di estensione in aperto dello studio AR III, la maggior parte dei pazienti che hanno avuto una risposta ACR hanno mantenuto la risposta quando </w:t>
      </w:r>
      <w:r w:rsidRPr="00020442" w:rsidR="009748E7">
        <w:rPr>
          <w:sz w:val="22"/>
          <w:szCs w:val="22"/>
        </w:rPr>
        <w:t>sono stati seguiti</w:t>
      </w:r>
      <w:r w:rsidR="009748E7">
        <w:rPr>
          <w:sz w:val="22"/>
          <w:szCs w:val="22"/>
        </w:rPr>
        <w:t xml:space="preserve">fino a </w:t>
      </w:r>
      <w:r w:rsidRPr="00295E71">
        <w:rPr>
          <w:sz w:val="22"/>
          <w:szCs w:val="22"/>
        </w:rPr>
        <w:t>10 anni. Su un totale di 207 pazienti</w:t>
      </w:r>
      <w:r w:rsidR="009748E7">
        <w:rPr>
          <w:sz w:val="22"/>
          <w:szCs w:val="22"/>
        </w:rPr>
        <w:t xml:space="preserve"> </w:t>
      </w:r>
      <w:r w:rsidRPr="00295E71">
        <w:rPr>
          <w:sz w:val="22"/>
          <w:szCs w:val="22"/>
        </w:rPr>
        <w:t>che erano stati randomizzati alla somministrazione di 40 mg di Humira a settimane alterne, 114 hanno continuato il trattamento con Humira 40 mg a settimane alterne per 5 anni.</w:t>
      </w:r>
      <w:r w:rsidR="00DF245E">
        <w:rPr>
          <w:sz w:val="22"/>
          <w:szCs w:val="22"/>
        </w:rPr>
        <w:t xml:space="preserve"> </w:t>
      </w:r>
      <w:r w:rsidRPr="00295E71">
        <w:rPr>
          <w:sz w:val="22"/>
          <w:szCs w:val="22"/>
        </w:rPr>
        <w:t>Di questi, 86 pazienti (75,4%) hanno avuto risposte ACR 20; 72 pazienti (63,2%) hanno avuto risposte ACR 50; e 41 pazienti (36%) hanno avuto risposte ACR 70. Su un totale di 207 pazienti, 81 hanno continuato il trattamento con Humira 40 mg a settimane alterne per 10 anni. Di questi, 64 pazienti (79,0%) hanno avuto risposte ACR 20; 56 pazienti (69,1%) hanno avuto risposte ACR 50; e 43 pazienti (53,1%) hanno avuto risposte ACR 70.</w:t>
      </w:r>
    </w:p>
    <w:p w:rsidR="00157870" w:rsidRPr="00295E71" w:rsidP="00157870" w14:paraId="5A1BDF3D" w14:textId="77777777">
      <w:pPr>
        <w:tabs>
          <w:tab w:val="left" w:pos="567"/>
        </w:tabs>
        <w:jc w:val="both"/>
        <w:rPr>
          <w:sz w:val="22"/>
          <w:szCs w:val="22"/>
        </w:rPr>
      </w:pPr>
    </w:p>
    <w:p w:rsidR="00157870" w:rsidRPr="00295E71" w:rsidP="00157870" w14:paraId="7A501BD2" w14:textId="77777777">
      <w:pPr>
        <w:tabs>
          <w:tab w:val="left" w:pos="567"/>
        </w:tabs>
        <w:jc w:val="both"/>
        <w:rPr>
          <w:sz w:val="22"/>
          <w:szCs w:val="22"/>
        </w:rPr>
      </w:pPr>
      <w:r w:rsidRPr="00295E71">
        <w:rPr>
          <w:sz w:val="22"/>
          <w:szCs w:val="22"/>
        </w:rPr>
        <w:t xml:space="preserve">Nello studio AR IV, la risposta ACR 20 di pazienti trattati con Humira, in combinazione con la terapia convenzionale, è stata </w:t>
      </w:r>
      <w:r w:rsidRPr="00020442" w:rsidR="009748E7">
        <w:rPr>
          <w:sz w:val="22"/>
          <w:szCs w:val="22"/>
        </w:rPr>
        <w:t xml:space="preserve">migliore in misura statisticamente </w:t>
      </w:r>
      <w:r w:rsidRPr="00295E71">
        <w:rPr>
          <w:sz w:val="22"/>
          <w:szCs w:val="22"/>
        </w:rPr>
        <w:t xml:space="preserve">significativa rispetto ai pazienti trattati con placebo associato a </w:t>
      </w:r>
      <w:r w:rsidRPr="00020442" w:rsidR="00D20773">
        <w:rPr>
          <w:sz w:val="22"/>
          <w:szCs w:val="22"/>
        </w:rPr>
        <w:t>terapia convenzionale</w:t>
      </w:r>
      <w:r w:rsidRPr="00295E71">
        <w:rPr>
          <w:sz w:val="22"/>
          <w:szCs w:val="22"/>
        </w:rPr>
        <w:t xml:space="preserve"> (p&lt;0,001).</w:t>
      </w:r>
    </w:p>
    <w:p w:rsidR="00157870" w:rsidRPr="00295E71" w:rsidP="00157870" w14:paraId="6E48405F" w14:textId="77777777">
      <w:pPr>
        <w:pStyle w:val="BodyText1"/>
        <w:tabs>
          <w:tab w:val="left" w:pos="567"/>
          <w:tab w:val="clear" w:pos="1152"/>
          <w:tab w:val="clear" w:pos="1872"/>
        </w:tabs>
        <w:spacing w:after="0" w:line="240" w:lineRule="auto"/>
        <w:ind w:left="0"/>
        <w:rPr>
          <w:sz w:val="22"/>
          <w:szCs w:val="22"/>
          <w:lang w:val="it-IT"/>
        </w:rPr>
      </w:pPr>
    </w:p>
    <w:p w:rsidR="00157870" w:rsidRPr="00295E71" w:rsidP="00157870" w14:paraId="64DA6ABB" w14:textId="77777777">
      <w:pPr>
        <w:tabs>
          <w:tab w:val="left" w:pos="567"/>
        </w:tabs>
        <w:jc w:val="both"/>
        <w:rPr>
          <w:sz w:val="22"/>
          <w:szCs w:val="22"/>
        </w:rPr>
      </w:pPr>
      <w:r w:rsidRPr="00295E71">
        <w:rPr>
          <w:sz w:val="22"/>
          <w:szCs w:val="22"/>
        </w:rPr>
        <w:t xml:space="preserve">Negli studi AR I-IV, i pazienti trattati con Humira hanno raggiunto risposte ACR 20 e 50 </w:t>
      </w:r>
      <w:r w:rsidRPr="00020442" w:rsidR="00D20773">
        <w:rPr>
          <w:sz w:val="22"/>
          <w:szCs w:val="22"/>
        </w:rPr>
        <w:t>statisticamente significative</w:t>
      </w:r>
      <w:r w:rsidRPr="00295E71">
        <w:rPr>
          <w:sz w:val="22"/>
          <w:szCs w:val="22"/>
        </w:rPr>
        <w:t xml:space="preserve"> rispetto al placebo già entro 1-2 settimane dall’inizio del trattamento.</w:t>
      </w:r>
    </w:p>
    <w:p w:rsidR="00157870" w:rsidRPr="00295E71" w:rsidP="00157870" w14:paraId="2A3D6944" w14:textId="77777777">
      <w:pPr>
        <w:tabs>
          <w:tab w:val="left" w:pos="567"/>
        </w:tabs>
        <w:jc w:val="both"/>
        <w:rPr>
          <w:sz w:val="22"/>
          <w:szCs w:val="22"/>
        </w:rPr>
      </w:pPr>
    </w:p>
    <w:p w:rsidR="00157870" w:rsidRPr="00295E71" w:rsidP="00157870" w14:paraId="10FC2DAC" w14:textId="77777777">
      <w:pPr>
        <w:tabs>
          <w:tab w:val="left" w:pos="567"/>
        </w:tabs>
        <w:jc w:val="both"/>
        <w:rPr>
          <w:sz w:val="22"/>
          <w:szCs w:val="22"/>
        </w:rPr>
      </w:pPr>
      <w:r w:rsidRPr="00295E71">
        <w:rPr>
          <w:sz w:val="22"/>
          <w:szCs w:val="22"/>
        </w:rPr>
        <w:t xml:space="preserve">Nello studio AR V, nei pazienti </w:t>
      </w:r>
      <w:r w:rsidRPr="00295E71" w:rsidR="00224E13">
        <w:rPr>
          <w:sz w:val="22"/>
          <w:szCs w:val="22"/>
        </w:rPr>
        <w:t>con</w:t>
      </w:r>
      <w:r w:rsidRPr="00295E71">
        <w:rPr>
          <w:sz w:val="22"/>
          <w:szCs w:val="22"/>
        </w:rPr>
        <w:t xml:space="preserve"> artrite reumatoide precoce che non erano mai stati precedentemente trattati con metotressato, la terapia associata Humira/metotressato ha determinato risposte ACR più rapide e significativamente superiori rispetto alla monoterapia con metotressato ed alla monoterapia con Humira alla settimana 52 e tali risposte si sono mantenute nell’arco di 104 settimane (vedere Tabella </w:t>
      </w:r>
      <w:r w:rsidR="0041314F">
        <w:rPr>
          <w:sz w:val="22"/>
          <w:szCs w:val="22"/>
        </w:rPr>
        <w:t>8</w:t>
      </w:r>
      <w:r w:rsidRPr="00295E71">
        <w:rPr>
          <w:sz w:val="22"/>
          <w:szCs w:val="22"/>
        </w:rPr>
        <w:t>).</w:t>
      </w:r>
    </w:p>
    <w:p w:rsidR="00157870" w:rsidRPr="00295E71" w:rsidP="00157870" w14:paraId="3570DC67" w14:textId="77777777">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1"/>
        <w:gridCol w:w="1320"/>
        <w:gridCol w:w="1320"/>
        <w:gridCol w:w="1576"/>
        <w:gridCol w:w="1100"/>
        <w:gridCol w:w="1173"/>
        <w:gridCol w:w="1210"/>
        <w:gridCol w:w="12"/>
      </w:tblGrid>
      <w:tr w14:paraId="2D44D8F6" w14:textId="77777777" w:rsidTr="00157870">
        <w:tblPrEx>
          <w:tblW w:w="0" w:type="auto"/>
          <w:tblLayout w:type="fixed"/>
          <w:tblLook w:val="0000"/>
        </w:tblPrEx>
        <w:trPr>
          <w:cantSplit/>
        </w:trPr>
        <w:tc>
          <w:tcPr>
            <w:tcW w:w="9252" w:type="dxa"/>
            <w:gridSpan w:val="8"/>
            <w:tcBorders>
              <w:top w:val="nil"/>
              <w:left w:val="nil"/>
              <w:bottom w:val="nil"/>
              <w:right w:val="nil"/>
            </w:tcBorders>
            <w:vAlign w:val="center"/>
          </w:tcPr>
          <w:p w:rsidR="00157870" w:rsidRPr="00295E71" w:rsidP="00157870" w14:paraId="45C428BE" w14:textId="77777777">
            <w:pPr>
              <w:pStyle w:val="BodyText"/>
              <w:keepNext/>
              <w:tabs>
                <w:tab w:val="left" w:pos="3600"/>
                <w:tab w:val="center" w:pos="5760"/>
              </w:tabs>
              <w:jc w:val="center"/>
              <w:rPr>
                <w:b/>
                <w:bCs/>
              </w:rPr>
            </w:pPr>
            <w:r w:rsidRPr="00295E71">
              <w:rPr>
                <w:b/>
                <w:bCs/>
              </w:rPr>
              <w:t xml:space="preserve">Tabella </w:t>
            </w:r>
            <w:r w:rsidR="0041314F">
              <w:rPr>
                <w:b/>
                <w:bCs/>
              </w:rPr>
              <w:t>8</w:t>
            </w:r>
          </w:p>
          <w:p w:rsidR="00157870" w:rsidRPr="00295E71" w:rsidP="00157870" w14:paraId="115BEC40" w14:textId="77777777">
            <w:pPr>
              <w:pStyle w:val="BodyText"/>
              <w:keepNext/>
              <w:tabs>
                <w:tab w:val="left" w:pos="3600"/>
                <w:tab w:val="center" w:pos="5760"/>
              </w:tabs>
              <w:jc w:val="center"/>
              <w:rPr>
                <w:b/>
                <w:bCs/>
              </w:rPr>
            </w:pPr>
            <w:r w:rsidRPr="00295E71">
              <w:rPr>
                <w:b/>
                <w:bCs/>
              </w:rPr>
              <w:t>Risposte ACR nello studio AR V</w:t>
            </w:r>
          </w:p>
          <w:p w:rsidR="00157870" w:rsidRPr="00295E71" w:rsidP="00157870" w14:paraId="0E8303F5" w14:textId="77777777">
            <w:pPr>
              <w:pStyle w:val="BodyText"/>
              <w:keepNext/>
              <w:tabs>
                <w:tab w:val="left" w:pos="3600"/>
                <w:tab w:val="center" w:pos="5760"/>
              </w:tabs>
              <w:jc w:val="center"/>
              <w:rPr>
                <w:b/>
                <w:bCs/>
                <w:caps/>
              </w:rPr>
            </w:pPr>
            <w:r w:rsidRPr="00295E71">
              <w:rPr>
                <w:b/>
                <w:bCs/>
              </w:rPr>
              <w:t>(percentuale di pazienti</w:t>
            </w:r>
            <w:r w:rsidRPr="00295E71">
              <w:rPr>
                <w:b/>
                <w:bCs/>
                <w:caps/>
              </w:rPr>
              <w:t>)</w:t>
            </w:r>
          </w:p>
          <w:p w:rsidR="00157870" w:rsidRPr="00295E71" w:rsidP="00157870" w14:paraId="533B8407" w14:textId="77777777">
            <w:pPr>
              <w:pStyle w:val="BodyText"/>
              <w:keepNext/>
              <w:tabs>
                <w:tab w:val="left" w:pos="3600"/>
                <w:tab w:val="center" w:pos="5760"/>
              </w:tabs>
              <w:rPr>
                <w:i/>
                <w:iCs/>
              </w:rPr>
            </w:pPr>
          </w:p>
        </w:tc>
      </w:tr>
      <w:tr w14:paraId="27AEA3CE" w14:textId="77777777" w:rsidTr="00157870">
        <w:tblPrEx>
          <w:tblW w:w="0" w:type="auto"/>
          <w:tblLayout w:type="fixed"/>
          <w:tblLook w:val="0000"/>
        </w:tblPrEx>
        <w:trPr>
          <w:gridAfter w:val="1"/>
          <w:wAfter w:w="12" w:type="dxa"/>
          <w:cantSplit/>
        </w:trPr>
        <w:tc>
          <w:tcPr>
            <w:tcW w:w="1541"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454415BB" w14:textId="77777777">
            <w:pPr>
              <w:pStyle w:val="Heading6"/>
              <w:jc w:val="center"/>
              <w:rPr>
                <w:lang w:val="it-IT"/>
              </w:rPr>
            </w:pPr>
            <w:r w:rsidRPr="00295E71">
              <w:rPr>
                <w:lang w:val="it-IT"/>
              </w:rPr>
              <w:t>Risposta</w:t>
            </w:r>
          </w:p>
        </w:tc>
        <w:tc>
          <w:tcPr>
            <w:tcW w:w="1320"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600281E5" w14:textId="77777777">
            <w:pPr>
              <w:keepNext/>
              <w:jc w:val="center"/>
              <w:rPr>
                <w:b/>
                <w:sz w:val="22"/>
                <w:szCs w:val="22"/>
              </w:rPr>
            </w:pPr>
            <w:r w:rsidRPr="00295E71">
              <w:rPr>
                <w:b/>
                <w:sz w:val="22"/>
                <w:szCs w:val="22"/>
              </w:rPr>
              <w:t>MTX</w:t>
            </w:r>
          </w:p>
          <w:p w:rsidR="00157870" w:rsidRPr="00295E71" w:rsidP="00157870" w14:paraId="5B3E1BA9" w14:textId="77777777">
            <w:pPr>
              <w:pStyle w:val="EndnoteText"/>
              <w:keepNext/>
              <w:jc w:val="center"/>
              <w:rPr>
                <w:b/>
                <w:lang w:val="it-IT"/>
              </w:rPr>
            </w:pPr>
            <w:r w:rsidRPr="00295E71">
              <w:rPr>
                <w:b/>
                <w:lang w:val="it-IT"/>
              </w:rPr>
              <w:t>n=257</w:t>
            </w:r>
          </w:p>
        </w:tc>
        <w:tc>
          <w:tcPr>
            <w:tcW w:w="1320"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78B80AB1" w14:textId="77777777">
            <w:pPr>
              <w:keepNext/>
              <w:jc w:val="center"/>
              <w:rPr>
                <w:b/>
                <w:sz w:val="22"/>
                <w:szCs w:val="22"/>
              </w:rPr>
            </w:pPr>
            <w:r w:rsidRPr="00295E71">
              <w:rPr>
                <w:b/>
                <w:sz w:val="22"/>
                <w:szCs w:val="22"/>
              </w:rPr>
              <w:t>Humira</w:t>
            </w:r>
          </w:p>
          <w:p w:rsidR="00157870" w:rsidRPr="00295E71" w:rsidP="00157870" w14:paraId="477F2282" w14:textId="77777777">
            <w:pPr>
              <w:keepNext/>
              <w:jc w:val="center"/>
              <w:rPr>
                <w:b/>
                <w:sz w:val="22"/>
                <w:szCs w:val="22"/>
              </w:rPr>
            </w:pPr>
            <w:r w:rsidRPr="00295E71">
              <w:rPr>
                <w:b/>
                <w:sz w:val="22"/>
                <w:szCs w:val="22"/>
              </w:rPr>
              <w:t>n=274</w:t>
            </w:r>
          </w:p>
        </w:tc>
        <w:tc>
          <w:tcPr>
            <w:tcW w:w="1576"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735BB8F4" w14:textId="77777777">
            <w:pPr>
              <w:keepNext/>
              <w:jc w:val="center"/>
              <w:rPr>
                <w:b/>
                <w:sz w:val="22"/>
                <w:szCs w:val="22"/>
              </w:rPr>
            </w:pPr>
            <w:r w:rsidRPr="00295E71">
              <w:rPr>
                <w:b/>
                <w:sz w:val="22"/>
                <w:szCs w:val="22"/>
              </w:rPr>
              <w:t>Humira/MTX</w:t>
            </w:r>
          </w:p>
          <w:p w:rsidR="00157870" w:rsidRPr="00295E71" w:rsidP="00157870" w14:paraId="20D35FC7" w14:textId="77777777">
            <w:pPr>
              <w:keepNext/>
              <w:jc w:val="center"/>
              <w:rPr>
                <w:b/>
                <w:sz w:val="22"/>
                <w:szCs w:val="22"/>
              </w:rPr>
            </w:pPr>
            <w:r w:rsidRPr="00295E71">
              <w:rPr>
                <w:b/>
                <w:sz w:val="22"/>
                <w:szCs w:val="22"/>
              </w:rPr>
              <w:t>n=268</w:t>
            </w:r>
          </w:p>
        </w:tc>
        <w:tc>
          <w:tcPr>
            <w:tcW w:w="1100"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680E27F0" w14:textId="77777777">
            <w:pPr>
              <w:pStyle w:val="EndnoteText"/>
              <w:keepNext/>
              <w:jc w:val="center"/>
              <w:rPr>
                <w:b/>
                <w:lang w:val="it-IT"/>
              </w:rPr>
            </w:pPr>
            <w:r w:rsidRPr="00295E71">
              <w:rPr>
                <w:b/>
                <w:lang w:val="it-IT"/>
              </w:rPr>
              <w:t>Valore p</w:t>
            </w:r>
            <w:r w:rsidRPr="00295E71">
              <w:rPr>
                <w:b/>
                <w:vertAlign w:val="superscript"/>
                <w:lang w:val="it-IT"/>
              </w:rPr>
              <w:t>a</w:t>
            </w:r>
          </w:p>
        </w:tc>
        <w:tc>
          <w:tcPr>
            <w:tcW w:w="1173"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021F0971" w14:textId="77777777">
            <w:pPr>
              <w:keepNext/>
              <w:jc w:val="center"/>
              <w:rPr>
                <w:b/>
                <w:sz w:val="22"/>
                <w:szCs w:val="22"/>
              </w:rPr>
            </w:pPr>
            <w:r w:rsidRPr="00295E71">
              <w:rPr>
                <w:b/>
                <w:sz w:val="22"/>
                <w:szCs w:val="22"/>
              </w:rPr>
              <w:t>Valore p</w:t>
            </w:r>
            <w:r w:rsidRPr="00295E71">
              <w:rPr>
                <w:b/>
                <w:sz w:val="22"/>
                <w:szCs w:val="22"/>
                <w:vertAlign w:val="superscript"/>
              </w:rPr>
              <w:t>b</w:t>
            </w:r>
          </w:p>
        </w:tc>
        <w:tc>
          <w:tcPr>
            <w:tcW w:w="1210"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7BB9F310" w14:textId="77777777">
            <w:pPr>
              <w:keepNext/>
              <w:jc w:val="center"/>
              <w:rPr>
                <w:sz w:val="22"/>
                <w:szCs w:val="22"/>
              </w:rPr>
            </w:pPr>
            <w:r w:rsidRPr="00295E71">
              <w:rPr>
                <w:b/>
                <w:sz w:val="22"/>
                <w:szCs w:val="22"/>
              </w:rPr>
              <w:t>Valore p</w:t>
            </w:r>
            <w:r w:rsidRPr="00295E71">
              <w:rPr>
                <w:b/>
                <w:sz w:val="22"/>
                <w:szCs w:val="22"/>
                <w:vertAlign w:val="superscript"/>
              </w:rPr>
              <w:t>c</w:t>
            </w:r>
          </w:p>
        </w:tc>
      </w:tr>
      <w:tr w14:paraId="18E3BD58" w14:textId="77777777" w:rsidTr="00157870">
        <w:tblPrEx>
          <w:tblW w:w="0" w:type="auto"/>
          <w:tblLayout w:type="fixed"/>
          <w:tblLook w:val="0000"/>
        </w:tblPrEx>
        <w:trPr>
          <w:gridAfter w:val="1"/>
          <w:wAfter w:w="12" w:type="dxa"/>
          <w:cantSplit/>
        </w:trPr>
        <w:tc>
          <w:tcPr>
            <w:tcW w:w="1541" w:type="dxa"/>
            <w:tcBorders>
              <w:top w:val="single" w:sz="4" w:space="0" w:color="auto"/>
              <w:left w:val="single" w:sz="4" w:space="0" w:color="auto"/>
              <w:bottom w:val="single" w:sz="4" w:space="0" w:color="auto"/>
              <w:right w:val="single" w:sz="4" w:space="0" w:color="auto"/>
            </w:tcBorders>
          </w:tcPr>
          <w:p w:rsidR="00157870" w:rsidRPr="00295E71" w:rsidP="00157870" w14:paraId="71CECB1B" w14:textId="77777777">
            <w:pPr>
              <w:keepNext/>
              <w:jc w:val="both"/>
              <w:rPr>
                <w:sz w:val="22"/>
                <w:szCs w:val="22"/>
              </w:rPr>
            </w:pPr>
            <w:r w:rsidRPr="00295E71">
              <w:rPr>
                <w:sz w:val="22"/>
                <w:szCs w:val="22"/>
              </w:rPr>
              <w:t>ACR 20</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2552D0A2" w14:textId="77777777">
            <w:pPr>
              <w:keepNext/>
              <w:jc w:val="both"/>
              <w:rPr>
                <w:sz w:val="22"/>
                <w:szCs w:val="22"/>
              </w:rPr>
            </w:pP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751A9A36" w14:textId="77777777">
            <w:pPr>
              <w:keepNext/>
              <w:jc w:val="both"/>
              <w:rPr>
                <w:sz w:val="22"/>
                <w:szCs w:val="22"/>
              </w:rPr>
            </w:pPr>
          </w:p>
        </w:tc>
        <w:tc>
          <w:tcPr>
            <w:tcW w:w="1576" w:type="dxa"/>
            <w:tcBorders>
              <w:top w:val="single" w:sz="4" w:space="0" w:color="auto"/>
              <w:left w:val="single" w:sz="4" w:space="0" w:color="auto"/>
              <w:bottom w:val="single" w:sz="4" w:space="0" w:color="auto"/>
              <w:right w:val="single" w:sz="4" w:space="0" w:color="auto"/>
            </w:tcBorders>
          </w:tcPr>
          <w:p w:rsidR="00157870" w:rsidRPr="00295E71" w:rsidP="00157870" w14:paraId="189AEEC6" w14:textId="77777777">
            <w:pPr>
              <w:keepNext/>
              <w:jc w:val="both"/>
              <w:rPr>
                <w:sz w:val="22"/>
                <w:szCs w:val="22"/>
              </w:rPr>
            </w:pPr>
          </w:p>
        </w:tc>
        <w:tc>
          <w:tcPr>
            <w:tcW w:w="1100" w:type="dxa"/>
            <w:tcBorders>
              <w:top w:val="single" w:sz="4" w:space="0" w:color="auto"/>
              <w:left w:val="single" w:sz="4" w:space="0" w:color="auto"/>
              <w:bottom w:val="single" w:sz="4" w:space="0" w:color="auto"/>
              <w:right w:val="single" w:sz="4" w:space="0" w:color="auto"/>
            </w:tcBorders>
          </w:tcPr>
          <w:p w:rsidR="00157870" w:rsidRPr="00295E71" w:rsidP="00157870" w14:paraId="0AC6DDCD" w14:textId="77777777">
            <w:pPr>
              <w:keepNext/>
              <w:jc w:val="both"/>
              <w:rPr>
                <w:sz w:val="22"/>
                <w:szCs w:val="22"/>
              </w:rPr>
            </w:pPr>
          </w:p>
        </w:tc>
        <w:tc>
          <w:tcPr>
            <w:tcW w:w="1173" w:type="dxa"/>
            <w:tcBorders>
              <w:top w:val="single" w:sz="4" w:space="0" w:color="auto"/>
              <w:left w:val="single" w:sz="4" w:space="0" w:color="auto"/>
              <w:bottom w:val="single" w:sz="4" w:space="0" w:color="auto"/>
              <w:right w:val="single" w:sz="4" w:space="0" w:color="auto"/>
            </w:tcBorders>
          </w:tcPr>
          <w:p w:rsidR="00157870" w:rsidRPr="00295E71" w:rsidP="00157870" w14:paraId="0A37B9F9" w14:textId="77777777">
            <w:pPr>
              <w:keepNext/>
              <w:jc w:val="both"/>
              <w:rPr>
                <w:sz w:val="22"/>
                <w:szCs w:val="22"/>
              </w:rPr>
            </w:pPr>
          </w:p>
        </w:tc>
        <w:tc>
          <w:tcPr>
            <w:tcW w:w="1210" w:type="dxa"/>
            <w:tcBorders>
              <w:top w:val="single" w:sz="4" w:space="0" w:color="auto"/>
              <w:left w:val="single" w:sz="4" w:space="0" w:color="auto"/>
              <w:bottom w:val="single" w:sz="4" w:space="0" w:color="auto"/>
              <w:right w:val="single" w:sz="4" w:space="0" w:color="auto"/>
            </w:tcBorders>
          </w:tcPr>
          <w:p w:rsidR="00157870" w:rsidRPr="00295E71" w:rsidP="00157870" w14:paraId="16E6374A" w14:textId="77777777">
            <w:pPr>
              <w:keepNext/>
              <w:jc w:val="both"/>
              <w:rPr>
                <w:sz w:val="22"/>
                <w:szCs w:val="22"/>
              </w:rPr>
            </w:pPr>
          </w:p>
        </w:tc>
      </w:tr>
      <w:tr w14:paraId="6D64D418" w14:textId="77777777" w:rsidTr="00157870">
        <w:tblPrEx>
          <w:tblW w:w="0" w:type="auto"/>
          <w:tblLayout w:type="fixed"/>
          <w:tblLook w:val="0000"/>
        </w:tblPrEx>
        <w:trPr>
          <w:gridAfter w:val="1"/>
          <w:wAfter w:w="12" w:type="dxa"/>
          <w:cantSplit/>
        </w:trPr>
        <w:tc>
          <w:tcPr>
            <w:tcW w:w="1541" w:type="dxa"/>
            <w:tcBorders>
              <w:top w:val="single" w:sz="4" w:space="0" w:color="auto"/>
              <w:left w:val="single" w:sz="4" w:space="0" w:color="auto"/>
              <w:bottom w:val="single" w:sz="4" w:space="0" w:color="auto"/>
              <w:right w:val="single" w:sz="4" w:space="0" w:color="auto"/>
            </w:tcBorders>
          </w:tcPr>
          <w:p w:rsidR="00157870" w:rsidRPr="00295E71" w:rsidP="00157870" w14:paraId="73E399EE" w14:textId="77777777">
            <w:pPr>
              <w:keepNext/>
              <w:jc w:val="both"/>
              <w:rPr>
                <w:sz w:val="22"/>
                <w:szCs w:val="22"/>
              </w:rPr>
            </w:pPr>
            <w:r w:rsidRPr="00295E71">
              <w:rPr>
                <w:sz w:val="22"/>
                <w:szCs w:val="22"/>
              </w:rPr>
              <w:t>Settimana 52</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7D952BCE" w14:textId="77777777">
            <w:pPr>
              <w:keepNext/>
              <w:jc w:val="both"/>
              <w:rPr>
                <w:sz w:val="22"/>
                <w:szCs w:val="22"/>
              </w:rPr>
            </w:pPr>
            <w:r w:rsidRPr="00295E71">
              <w:rPr>
                <w:sz w:val="22"/>
                <w:szCs w:val="22"/>
              </w:rPr>
              <w:t>62,6%</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5EBE70D9" w14:textId="77777777">
            <w:pPr>
              <w:keepNext/>
              <w:jc w:val="both"/>
              <w:rPr>
                <w:sz w:val="22"/>
                <w:szCs w:val="22"/>
              </w:rPr>
            </w:pPr>
            <w:r w:rsidRPr="00295E71">
              <w:rPr>
                <w:sz w:val="22"/>
                <w:szCs w:val="22"/>
              </w:rPr>
              <w:t>54,4%</w:t>
            </w:r>
          </w:p>
        </w:tc>
        <w:tc>
          <w:tcPr>
            <w:tcW w:w="1576" w:type="dxa"/>
            <w:tcBorders>
              <w:top w:val="single" w:sz="4" w:space="0" w:color="auto"/>
              <w:left w:val="single" w:sz="4" w:space="0" w:color="auto"/>
              <w:bottom w:val="single" w:sz="4" w:space="0" w:color="auto"/>
              <w:right w:val="single" w:sz="4" w:space="0" w:color="auto"/>
            </w:tcBorders>
          </w:tcPr>
          <w:p w:rsidR="00157870" w:rsidRPr="00295E71" w:rsidP="00157870" w14:paraId="4AFC2E24" w14:textId="77777777">
            <w:pPr>
              <w:keepNext/>
              <w:jc w:val="both"/>
              <w:rPr>
                <w:sz w:val="22"/>
                <w:szCs w:val="22"/>
              </w:rPr>
            </w:pPr>
            <w:r w:rsidRPr="00295E71">
              <w:rPr>
                <w:sz w:val="22"/>
                <w:szCs w:val="22"/>
              </w:rPr>
              <w:t>72,8%</w:t>
            </w:r>
          </w:p>
        </w:tc>
        <w:tc>
          <w:tcPr>
            <w:tcW w:w="1100" w:type="dxa"/>
            <w:tcBorders>
              <w:top w:val="single" w:sz="4" w:space="0" w:color="auto"/>
              <w:left w:val="single" w:sz="4" w:space="0" w:color="auto"/>
              <w:bottom w:val="single" w:sz="4" w:space="0" w:color="auto"/>
              <w:right w:val="single" w:sz="4" w:space="0" w:color="auto"/>
            </w:tcBorders>
          </w:tcPr>
          <w:p w:rsidR="00157870" w:rsidRPr="00295E71" w:rsidP="00157870" w14:paraId="4782F7D7" w14:textId="77777777">
            <w:pPr>
              <w:keepNext/>
              <w:jc w:val="both"/>
              <w:rPr>
                <w:sz w:val="22"/>
                <w:szCs w:val="22"/>
              </w:rPr>
            </w:pPr>
            <w:r w:rsidRPr="00295E71">
              <w:rPr>
                <w:sz w:val="22"/>
                <w:szCs w:val="22"/>
              </w:rPr>
              <w:t>0,013</w:t>
            </w:r>
          </w:p>
        </w:tc>
        <w:tc>
          <w:tcPr>
            <w:tcW w:w="1173" w:type="dxa"/>
            <w:tcBorders>
              <w:top w:val="single" w:sz="4" w:space="0" w:color="auto"/>
              <w:left w:val="single" w:sz="4" w:space="0" w:color="auto"/>
              <w:bottom w:val="single" w:sz="4" w:space="0" w:color="auto"/>
              <w:right w:val="single" w:sz="4" w:space="0" w:color="auto"/>
            </w:tcBorders>
          </w:tcPr>
          <w:p w:rsidR="00157870" w:rsidRPr="00295E71" w:rsidP="00157870" w14:paraId="066AC801" w14:textId="77777777">
            <w:pPr>
              <w:keepNext/>
              <w:jc w:val="both"/>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157870" w:rsidRPr="00295E71" w:rsidP="00157870" w14:paraId="49877A1F" w14:textId="77777777">
            <w:pPr>
              <w:keepNext/>
              <w:jc w:val="both"/>
              <w:rPr>
                <w:sz w:val="22"/>
                <w:szCs w:val="22"/>
              </w:rPr>
            </w:pPr>
            <w:r w:rsidRPr="00295E71">
              <w:rPr>
                <w:sz w:val="22"/>
                <w:szCs w:val="22"/>
              </w:rPr>
              <w:t>0,043</w:t>
            </w:r>
          </w:p>
        </w:tc>
      </w:tr>
      <w:tr w14:paraId="67979DFF" w14:textId="77777777" w:rsidTr="00157870">
        <w:tblPrEx>
          <w:tblW w:w="0" w:type="auto"/>
          <w:tblLayout w:type="fixed"/>
          <w:tblLook w:val="0000"/>
        </w:tblPrEx>
        <w:trPr>
          <w:gridAfter w:val="1"/>
          <w:wAfter w:w="12" w:type="dxa"/>
          <w:cantSplit/>
        </w:trPr>
        <w:tc>
          <w:tcPr>
            <w:tcW w:w="1541" w:type="dxa"/>
            <w:tcBorders>
              <w:top w:val="single" w:sz="4" w:space="0" w:color="auto"/>
              <w:left w:val="single" w:sz="4" w:space="0" w:color="auto"/>
              <w:bottom w:val="single" w:sz="4" w:space="0" w:color="auto"/>
              <w:right w:val="single" w:sz="4" w:space="0" w:color="auto"/>
            </w:tcBorders>
          </w:tcPr>
          <w:p w:rsidR="00157870" w:rsidRPr="00295E71" w:rsidP="00157870" w14:paraId="50299EF2" w14:textId="77777777">
            <w:pPr>
              <w:keepNext/>
              <w:jc w:val="both"/>
              <w:rPr>
                <w:sz w:val="22"/>
                <w:szCs w:val="22"/>
              </w:rPr>
            </w:pPr>
            <w:r w:rsidRPr="00295E71">
              <w:rPr>
                <w:sz w:val="22"/>
                <w:szCs w:val="22"/>
              </w:rPr>
              <w:t>Settimana 104</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67C37810" w14:textId="77777777">
            <w:pPr>
              <w:keepNext/>
              <w:jc w:val="both"/>
              <w:rPr>
                <w:sz w:val="22"/>
                <w:szCs w:val="22"/>
              </w:rPr>
            </w:pPr>
            <w:r w:rsidRPr="00295E71">
              <w:rPr>
                <w:sz w:val="22"/>
                <w:szCs w:val="22"/>
              </w:rPr>
              <w:t>56,0%</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50E1E8F6" w14:textId="77777777">
            <w:pPr>
              <w:keepNext/>
              <w:jc w:val="both"/>
              <w:rPr>
                <w:sz w:val="22"/>
                <w:szCs w:val="22"/>
              </w:rPr>
            </w:pPr>
            <w:r w:rsidRPr="00295E71">
              <w:rPr>
                <w:sz w:val="22"/>
                <w:szCs w:val="22"/>
              </w:rPr>
              <w:t>49,3%</w:t>
            </w:r>
          </w:p>
        </w:tc>
        <w:tc>
          <w:tcPr>
            <w:tcW w:w="1576" w:type="dxa"/>
            <w:tcBorders>
              <w:top w:val="single" w:sz="4" w:space="0" w:color="auto"/>
              <w:left w:val="single" w:sz="4" w:space="0" w:color="auto"/>
              <w:bottom w:val="single" w:sz="4" w:space="0" w:color="auto"/>
              <w:right w:val="single" w:sz="4" w:space="0" w:color="auto"/>
            </w:tcBorders>
          </w:tcPr>
          <w:p w:rsidR="00157870" w:rsidRPr="00295E71" w:rsidP="00157870" w14:paraId="05B2F578" w14:textId="77777777">
            <w:pPr>
              <w:keepNext/>
              <w:jc w:val="both"/>
              <w:rPr>
                <w:sz w:val="22"/>
                <w:szCs w:val="22"/>
              </w:rPr>
            </w:pPr>
            <w:r w:rsidRPr="00295E71">
              <w:rPr>
                <w:sz w:val="22"/>
                <w:szCs w:val="22"/>
              </w:rPr>
              <w:t>69,4%</w:t>
            </w:r>
          </w:p>
        </w:tc>
        <w:tc>
          <w:tcPr>
            <w:tcW w:w="1100" w:type="dxa"/>
            <w:tcBorders>
              <w:top w:val="single" w:sz="4" w:space="0" w:color="auto"/>
              <w:left w:val="single" w:sz="4" w:space="0" w:color="auto"/>
              <w:bottom w:val="single" w:sz="4" w:space="0" w:color="auto"/>
              <w:right w:val="single" w:sz="4" w:space="0" w:color="auto"/>
            </w:tcBorders>
          </w:tcPr>
          <w:p w:rsidR="00157870" w:rsidRPr="00295E71" w:rsidP="00157870" w14:paraId="3D7FB6BD" w14:textId="77777777">
            <w:pPr>
              <w:keepNext/>
              <w:jc w:val="both"/>
              <w:rPr>
                <w:sz w:val="22"/>
                <w:szCs w:val="22"/>
              </w:rPr>
            </w:pPr>
            <w:r w:rsidRPr="00295E71">
              <w:rPr>
                <w:sz w:val="22"/>
                <w:szCs w:val="22"/>
              </w:rPr>
              <w:t>0,002</w:t>
            </w:r>
          </w:p>
        </w:tc>
        <w:tc>
          <w:tcPr>
            <w:tcW w:w="1173" w:type="dxa"/>
            <w:tcBorders>
              <w:top w:val="single" w:sz="4" w:space="0" w:color="auto"/>
              <w:left w:val="single" w:sz="4" w:space="0" w:color="auto"/>
              <w:bottom w:val="single" w:sz="4" w:space="0" w:color="auto"/>
              <w:right w:val="single" w:sz="4" w:space="0" w:color="auto"/>
            </w:tcBorders>
          </w:tcPr>
          <w:p w:rsidR="00157870" w:rsidRPr="00295E71" w:rsidP="00157870" w14:paraId="679248B3" w14:textId="77777777">
            <w:pPr>
              <w:keepNext/>
              <w:jc w:val="both"/>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157870" w:rsidRPr="00295E71" w:rsidP="00157870" w14:paraId="71FBE546" w14:textId="77777777">
            <w:pPr>
              <w:keepNext/>
              <w:jc w:val="both"/>
              <w:rPr>
                <w:sz w:val="22"/>
                <w:szCs w:val="22"/>
              </w:rPr>
            </w:pPr>
            <w:r w:rsidRPr="00295E71">
              <w:rPr>
                <w:sz w:val="22"/>
                <w:szCs w:val="22"/>
              </w:rPr>
              <w:t>0,140</w:t>
            </w:r>
          </w:p>
        </w:tc>
      </w:tr>
      <w:tr w14:paraId="1887D5B0" w14:textId="77777777" w:rsidTr="00157870">
        <w:tblPrEx>
          <w:tblW w:w="0" w:type="auto"/>
          <w:tblLayout w:type="fixed"/>
          <w:tblLook w:val="0000"/>
        </w:tblPrEx>
        <w:trPr>
          <w:gridAfter w:val="1"/>
          <w:wAfter w:w="12" w:type="dxa"/>
          <w:cantSplit/>
        </w:trPr>
        <w:tc>
          <w:tcPr>
            <w:tcW w:w="1541" w:type="dxa"/>
            <w:tcBorders>
              <w:top w:val="single" w:sz="4" w:space="0" w:color="auto"/>
              <w:left w:val="single" w:sz="4" w:space="0" w:color="auto"/>
              <w:bottom w:val="single" w:sz="4" w:space="0" w:color="auto"/>
              <w:right w:val="single" w:sz="4" w:space="0" w:color="auto"/>
            </w:tcBorders>
          </w:tcPr>
          <w:p w:rsidR="00157870" w:rsidRPr="00295E71" w:rsidP="00157870" w14:paraId="3E952B4F" w14:textId="77777777">
            <w:pPr>
              <w:keepNext/>
              <w:jc w:val="both"/>
              <w:rPr>
                <w:sz w:val="22"/>
                <w:szCs w:val="22"/>
              </w:rPr>
            </w:pPr>
            <w:r w:rsidRPr="00295E71">
              <w:rPr>
                <w:sz w:val="22"/>
                <w:szCs w:val="22"/>
              </w:rPr>
              <w:t>ACR 50</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7BAB5036" w14:textId="77777777">
            <w:pPr>
              <w:keepNext/>
              <w:jc w:val="both"/>
              <w:rPr>
                <w:sz w:val="22"/>
                <w:szCs w:val="22"/>
              </w:rPr>
            </w:pP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763111A3" w14:textId="77777777">
            <w:pPr>
              <w:keepNext/>
              <w:jc w:val="both"/>
              <w:rPr>
                <w:sz w:val="22"/>
                <w:szCs w:val="22"/>
              </w:rPr>
            </w:pPr>
          </w:p>
        </w:tc>
        <w:tc>
          <w:tcPr>
            <w:tcW w:w="1576" w:type="dxa"/>
            <w:tcBorders>
              <w:top w:val="single" w:sz="4" w:space="0" w:color="auto"/>
              <w:left w:val="single" w:sz="4" w:space="0" w:color="auto"/>
              <w:bottom w:val="single" w:sz="4" w:space="0" w:color="auto"/>
              <w:right w:val="single" w:sz="4" w:space="0" w:color="auto"/>
            </w:tcBorders>
          </w:tcPr>
          <w:p w:rsidR="00157870" w:rsidRPr="00295E71" w:rsidP="00157870" w14:paraId="537E9B51" w14:textId="77777777">
            <w:pPr>
              <w:keepNext/>
              <w:jc w:val="both"/>
              <w:rPr>
                <w:sz w:val="22"/>
                <w:szCs w:val="22"/>
              </w:rPr>
            </w:pPr>
          </w:p>
        </w:tc>
        <w:tc>
          <w:tcPr>
            <w:tcW w:w="1100" w:type="dxa"/>
            <w:tcBorders>
              <w:top w:val="single" w:sz="4" w:space="0" w:color="auto"/>
              <w:left w:val="single" w:sz="4" w:space="0" w:color="auto"/>
              <w:bottom w:val="single" w:sz="4" w:space="0" w:color="auto"/>
              <w:right w:val="single" w:sz="4" w:space="0" w:color="auto"/>
            </w:tcBorders>
          </w:tcPr>
          <w:p w:rsidR="00157870" w:rsidRPr="00295E71" w:rsidP="00157870" w14:paraId="3B194B11" w14:textId="77777777">
            <w:pPr>
              <w:keepNext/>
              <w:jc w:val="both"/>
              <w:rPr>
                <w:sz w:val="22"/>
                <w:szCs w:val="22"/>
              </w:rPr>
            </w:pPr>
          </w:p>
        </w:tc>
        <w:tc>
          <w:tcPr>
            <w:tcW w:w="1173" w:type="dxa"/>
            <w:tcBorders>
              <w:top w:val="single" w:sz="4" w:space="0" w:color="auto"/>
              <w:left w:val="single" w:sz="4" w:space="0" w:color="auto"/>
              <w:bottom w:val="single" w:sz="4" w:space="0" w:color="auto"/>
              <w:right w:val="single" w:sz="4" w:space="0" w:color="auto"/>
            </w:tcBorders>
          </w:tcPr>
          <w:p w:rsidR="00157870" w:rsidRPr="00295E71" w:rsidP="00157870" w14:paraId="5461A071" w14:textId="77777777">
            <w:pPr>
              <w:keepNext/>
              <w:jc w:val="both"/>
              <w:rPr>
                <w:sz w:val="22"/>
                <w:szCs w:val="22"/>
              </w:rPr>
            </w:pPr>
          </w:p>
        </w:tc>
        <w:tc>
          <w:tcPr>
            <w:tcW w:w="1210" w:type="dxa"/>
            <w:tcBorders>
              <w:top w:val="single" w:sz="4" w:space="0" w:color="auto"/>
              <w:left w:val="single" w:sz="4" w:space="0" w:color="auto"/>
              <w:bottom w:val="single" w:sz="4" w:space="0" w:color="auto"/>
              <w:right w:val="single" w:sz="4" w:space="0" w:color="auto"/>
            </w:tcBorders>
          </w:tcPr>
          <w:p w:rsidR="00157870" w:rsidRPr="00295E71" w:rsidP="00157870" w14:paraId="40550404" w14:textId="77777777">
            <w:pPr>
              <w:keepNext/>
              <w:jc w:val="both"/>
              <w:rPr>
                <w:sz w:val="22"/>
                <w:szCs w:val="22"/>
              </w:rPr>
            </w:pPr>
          </w:p>
        </w:tc>
      </w:tr>
      <w:tr w14:paraId="2776902E" w14:textId="77777777" w:rsidTr="00157870">
        <w:tblPrEx>
          <w:tblW w:w="0" w:type="auto"/>
          <w:tblLayout w:type="fixed"/>
          <w:tblLook w:val="0000"/>
        </w:tblPrEx>
        <w:trPr>
          <w:gridAfter w:val="1"/>
          <w:wAfter w:w="12" w:type="dxa"/>
          <w:cantSplit/>
        </w:trPr>
        <w:tc>
          <w:tcPr>
            <w:tcW w:w="1541" w:type="dxa"/>
            <w:tcBorders>
              <w:top w:val="single" w:sz="4" w:space="0" w:color="auto"/>
              <w:left w:val="single" w:sz="4" w:space="0" w:color="auto"/>
              <w:bottom w:val="single" w:sz="4" w:space="0" w:color="auto"/>
              <w:right w:val="single" w:sz="4" w:space="0" w:color="auto"/>
            </w:tcBorders>
          </w:tcPr>
          <w:p w:rsidR="00157870" w:rsidRPr="00295E71" w:rsidP="00157870" w14:paraId="2E1D7850" w14:textId="77777777">
            <w:pPr>
              <w:keepNext/>
              <w:jc w:val="both"/>
              <w:rPr>
                <w:sz w:val="22"/>
                <w:szCs w:val="22"/>
              </w:rPr>
            </w:pPr>
            <w:r w:rsidRPr="00295E71">
              <w:rPr>
                <w:sz w:val="22"/>
                <w:szCs w:val="22"/>
              </w:rPr>
              <w:t>Settimana 52</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3B9D5175" w14:textId="77777777">
            <w:pPr>
              <w:keepNext/>
              <w:jc w:val="both"/>
              <w:rPr>
                <w:sz w:val="22"/>
                <w:szCs w:val="22"/>
              </w:rPr>
            </w:pPr>
            <w:r w:rsidRPr="00295E71">
              <w:rPr>
                <w:sz w:val="22"/>
                <w:szCs w:val="22"/>
              </w:rPr>
              <w:t>45,9%</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1D4AB86B" w14:textId="77777777">
            <w:pPr>
              <w:keepNext/>
              <w:jc w:val="both"/>
              <w:rPr>
                <w:sz w:val="22"/>
                <w:szCs w:val="22"/>
              </w:rPr>
            </w:pPr>
            <w:r w:rsidRPr="00295E71">
              <w:rPr>
                <w:sz w:val="22"/>
                <w:szCs w:val="22"/>
              </w:rPr>
              <w:t>41,2%</w:t>
            </w:r>
          </w:p>
        </w:tc>
        <w:tc>
          <w:tcPr>
            <w:tcW w:w="1576" w:type="dxa"/>
            <w:tcBorders>
              <w:top w:val="single" w:sz="4" w:space="0" w:color="auto"/>
              <w:left w:val="single" w:sz="4" w:space="0" w:color="auto"/>
              <w:bottom w:val="single" w:sz="4" w:space="0" w:color="auto"/>
              <w:right w:val="single" w:sz="4" w:space="0" w:color="auto"/>
            </w:tcBorders>
          </w:tcPr>
          <w:p w:rsidR="00157870" w:rsidRPr="00295E71" w:rsidP="00157870" w14:paraId="56919C37" w14:textId="77777777">
            <w:pPr>
              <w:keepNext/>
              <w:jc w:val="both"/>
              <w:rPr>
                <w:sz w:val="22"/>
                <w:szCs w:val="22"/>
              </w:rPr>
            </w:pPr>
            <w:r w:rsidRPr="00295E71">
              <w:rPr>
                <w:sz w:val="22"/>
                <w:szCs w:val="22"/>
              </w:rPr>
              <w:t>61,6%</w:t>
            </w:r>
          </w:p>
        </w:tc>
        <w:tc>
          <w:tcPr>
            <w:tcW w:w="1100" w:type="dxa"/>
            <w:tcBorders>
              <w:top w:val="single" w:sz="4" w:space="0" w:color="auto"/>
              <w:left w:val="single" w:sz="4" w:space="0" w:color="auto"/>
              <w:bottom w:val="single" w:sz="4" w:space="0" w:color="auto"/>
              <w:right w:val="single" w:sz="4" w:space="0" w:color="auto"/>
            </w:tcBorders>
          </w:tcPr>
          <w:p w:rsidR="00157870" w:rsidRPr="00295E71" w:rsidP="00157870" w14:paraId="2B22BE6D" w14:textId="77777777">
            <w:pPr>
              <w:keepNext/>
              <w:jc w:val="both"/>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157870" w:rsidRPr="00295E71" w:rsidP="00157870" w14:paraId="6EF02A45" w14:textId="77777777">
            <w:pPr>
              <w:keepNext/>
              <w:jc w:val="both"/>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157870" w:rsidRPr="00295E71" w:rsidP="00157870" w14:paraId="0E928EA2" w14:textId="77777777">
            <w:pPr>
              <w:keepNext/>
              <w:jc w:val="both"/>
              <w:rPr>
                <w:sz w:val="22"/>
                <w:szCs w:val="22"/>
              </w:rPr>
            </w:pPr>
            <w:r w:rsidRPr="00295E71">
              <w:rPr>
                <w:sz w:val="22"/>
                <w:szCs w:val="22"/>
              </w:rPr>
              <w:t>0,317</w:t>
            </w:r>
          </w:p>
        </w:tc>
      </w:tr>
      <w:tr w14:paraId="71DC9DA7" w14:textId="77777777" w:rsidTr="00157870">
        <w:tblPrEx>
          <w:tblW w:w="0" w:type="auto"/>
          <w:tblLayout w:type="fixed"/>
          <w:tblLook w:val="0000"/>
        </w:tblPrEx>
        <w:trPr>
          <w:gridAfter w:val="1"/>
          <w:wAfter w:w="12" w:type="dxa"/>
          <w:cantSplit/>
        </w:trPr>
        <w:tc>
          <w:tcPr>
            <w:tcW w:w="1541" w:type="dxa"/>
            <w:tcBorders>
              <w:top w:val="single" w:sz="4" w:space="0" w:color="auto"/>
              <w:left w:val="single" w:sz="4" w:space="0" w:color="auto"/>
              <w:bottom w:val="single" w:sz="4" w:space="0" w:color="auto"/>
              <w:right w:val="single" w:sz="4" w:space="0" w:color="auto"/>
            </w:tcBorders>
          </w:tcPr>
          <w:p w:rsidR="00157870" w:rsidRPr="00295E71" w:rsidP="00157870" w14:paraId="0A85F873" w14:textId="77777777">
            <w:pPr>
              <w:keepNext/>
              <w:jc w:val="both"/>
              <w:rPr>
                <w:sz w:val="22"/>
                <w:szCs w:val="22"/>
              </w:rPr>
            </w:pPr>
            <w:r w:rsidRPr="00295E71">
              <w:rPr>
                <w:sz w:val="22"/>
                <w:szCs w:val="22"/>
              </w:rPr>
              <w:t>Settimana 104</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50990F0C" w14:textId="77777777">
            <w:pPr>
              <w:keepNext/>
              <w:jc w:val="both"/>
              <w:rPr>
                <w:sz w:val="22"/>
                <w:szCs w:val="22"/>
              </w:rPr>
            </w:pPr>
            <w:r w:rsidRPr="00295E71">
              <w:rPr>
                <w:sz w:val="22"/>
                <w:szCs w:val="22"/>
              </w:rPr>
              <w:t>42,8%</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1AE30CD6" w14:textId="77777777">
            <w:pPr>
              <w:keepNext/>
              <w:jc w:val="both"/>
              <w:rPr>
                <w:sz w:val="22"/>
                <w:szCs w:val="22"/>
              </w:rPr>
            </w:pPr>
            <w:r w:rsidRPr="00295E71">
              <w:rPr>
                <w:sz w:val="22"/>
                <w:szCs w:val="22"/>
              </w:rPr>
              <w:t>36,9%</w:t>
            </w:r>
          </w:p>
        </w:tc>
        <w:tc>
          <w:tcPr>
            <w:tcW w:w="1576" w:type="dxa"/>
            <w:tcBorders>
              <w:top w:val="single" w:sz="4" w:space="0" w:color="auto"/>
              <w:left w:val="single" w:sz="4" w:space="0" w:color="auto"/>
              <w:bottom w:val="single" w:sz="4" w:space="0" w:color="auto"/>
              <w:right w:val="single" w:sz="4" w:space="0" w:color="auto"/>
            </w:tcBorders>
          </w:tcPr>
          <w:p w:rsidR="00157870" w:rsidRPr="00295E71" w:rsidP="00157870" w14:paraId="1370408A" w14:textId="77777777">
            <w:pPr>
              <w:keepNext/>
              <w:jc w:val="both"/>
              <w:rPr>
                <w:sz w:val="22"/>
                <w:szCs w:val="22"/>
              </w:rPr>
            </w:pPr>
            <w:r w:rsidRPr="00295E71">
              <w:rPr>
                <w:sz w:val="22"/>
                <w:szCs w:val="22"/>
              </w:rPr>
              <w:t>59,0%</w:t>
            </w:r>
          </w:p>
        </w:tc>
        <w:tc>
          <w:tcPr>
            <w:tcW w:w="1100" w:type="dxa"/>
            <w:tcBorders>
              <w:top w:val="single" w:sz="4" w:space="0" w:color="auto"/>
              <w:left w:val="single" w:sz="4" w:space="0" w:color="auto"/>
              <w:bottom w:val="single" w:sz="4" w:space="0" w:color="auto"/>
              <w:right w:val="single" w:sz="4" w:space="0" w:color="auto"/>
            </w:tcBorders>
          </w:tcPr>
          <w:p w:rsidR="00157870" w:rsidRPr="00295E71" w:rsidP="00157870" w14:paraId="5468BCF5" w14:textId="77777777">
            <w:pPr>
              <w:keepNext/>
              <w:jc w:val="both"/>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157870" w:rsidRPr="00295E71" w:rsidP="00157870" w14:paraId="5125E024" w14:textId="77777777">
            <w:pPr>
              <w:keepNext/>
              <w:jc w:val="both"/>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157870" w:rsidRPr="00295E71" w:rsidP="00157870" w14:paraId="35149674" w14:textId="77777777">
            <w:pPr>
              <w:keepNext/>
              <w:jc w:val="both"/>
              <w:rPr>
                <w:sz w:val="22"/>
                <w:szCs w:val="22"/>
              </w:rPr>
            </w:pPr>
            <w:r w:rsidRPr="00295E71">
              <w:rPr>
                <w:sz w:val="22"/>
                <w:szCs w:val="22"/>
              </w:rPr>
              <w:t>0,162</w:t>
            </w:r>
          </w:p>
        </w:tc>
      </w:tr>
      <w:tr w14:paraId="5ADF33B3" w14:textId="77777777" w:rsidTr="00157870">
        <w:tblPrEx>
          <w:tblW w:w="0" w:type="auto"/>
          <w:tblLayout w:type="fixed"/>
          <w:tblLook w:val="0000"/>
        </w:tblPrEx>
        <w:trPr>
          <w:gridAfter w:val="1"/>
          <w:wAfter w:w="12" w:type="dxa"/>
          <w:cantSplit/>
        </w:trPr>
        <w:tc>
          <w:tcPr>
            <w:tcW w:w="1541" w:type="dxa"/>
            <w:tcBorders>
              <w:top w:val="single" w:sz="4" w:space="0" w:color="auto"/>
              <w:left w:val="single" w:sz="4" w:space="0" w:color="auto"/>
              <w:bottom w:val="single" w:sz="4" w:space="0" w:color="auto"/>
              <w:right w:val="single" w:sz="4" w:space="0" w:color="auto"/>
            </w:tcBorders>
          </w:tcPr>
          <w:p w:rsidR="00157870" w:rsidRPr="00295E71" w:rsidP="00157870" w14:paraId="379914BE" w14:textId="77777777">
            <w:pPr>
              <w:keepNext/>
              <w:jc w:val="both"/>
              <w:rPr>
                <w:sz w:val="22"/>
                <w:szCs w:val="22"/>
              </w:rPr>
            </w:pPr>
            <w:r w:rsidRPr="00295E71">
              <w:rPr>
                <w:sz w:val="22"/>
                <w:szCs w:val="22"/>
              </w:rPr>
              <w:t>ACR 70</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06BD8748" w14:textId="77777777">
            <w:pPr>
              <w:keepNext/>
              <w:jc w:val="both"/>
              <w:rPr>
                <w:sz w:val="22"/>
                <w:szCs w:val="22"/>
              </w:rPr>
            </w:pP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2FFB88DC" w14:textId="77777777">
            <w:pPr>
              <w:keepNext/>
              <w:jc w:val="both"/>
              <w:rPr>
                <w:sz w:val="22"/>
                <w:szCs w:val="22"/>
              </w:rPr>
            </w:pPr>
          </w:p>
        </w:tc>
        <w:tc>
          <w:tcPr>
            <w:tcW w:w="1576" w:type="dxa"/>
            <w:tcBorders>
              <w:top w:val="single" w:sz="4" w:space="0" w:color="auto"/>
              <w:left w:val="single" w:sz="4" w:space="0" w:color="auto"/>
              <w:bottom w:val="single" w:sz="4" w:space="0" w:color="auto"/>
              <w:right w:val="single" w:sz="4" w:space="0" w:color="auto"/>
            </w:tcBorders>
          </w:tcPr>
          <w:p w:rsidR="00157870" w:rsidRPr="00295E71" w:rsidP="00157870" w14:paraId="5FBE2022" w14:textId="77777777">
            <w:pPr>
              <w:keepNext/>
              <w:jc w:val="both"/>
              <w:rPr>
                <w:sz w:val="22"/>
                <w:szCs w:val="22"/>
              </w:rPr>
            </w:pPr>
          </w:p>
        </w:tc>
        <w:tc>
          <w:tcPr>
            <w:tcW w:w="1100" w:type="dxa"/>
            <w:tcBorders>
              <w:top w:val="single" w:sz="4" w:space="0" w:color="auto"/>
              <w:left w:val="single" w:sz="4" w:space="0" w:color="auto"/>
              <w:bottom w:val="single" w:sz="4" w:space="0" w:color="auto"/>
              <w:right w:val="single" w:sz="4" w:space="0" w:color="auto"/>
            </w:tcBorders>
          </w:tcPr>
          <w:p w:rsidR="00157870" w:rsidRPr="00295E71" w:rsidP="00157870" w14:paraId="1BE3ABBE" w14:textId="77777777">
            <w:pPr>
              <w:keepNext/>
              <w:jc w:val="both"/>
              <w:rPr>
                <w:sz w:val="22"/>
                <w:szCs w:val="22"/>
              </w:rPr>
            </w:pPr>
          </w:p>
        </w:tc>
        <w:tc>
          <w:tcPr>
            <w:tcW w:w="1173" w:type="dxa"/>
            <w:tcBorders>
              <w:top w:val="single" w:sz="4" w:space="0" w:color="auto"/>
              <w:left w:val="single" w:sz="4" w:space="0" w:color="auto"/>
              <w:bottom w:val="single" w:sz="4" w:space="0" w:color="auto"/>
              <w:right w:val="single" w:sz="4" w:space="0" w:color="auto"/>
            </w:tcBorders>
          </w:tcPr>
          <w:p w:rsidR="00157870" w:rsidRPr="00295E71" w:rsidP="00157870" w14:paraId="08406760" w14:textId="77777777">
            <w:pPr>
              <w:keepNext/>
              <w:jc w:val="both"/>
              <w:rPr>
                <w:sz w:val="22"/>
                <w:szCs w:val="22"/>
              </w:rPr>
            </w:pPr>
          </w:p>
        </w:tc>
        <w:tc>
          <w:tcPr>
            <w:tcW w:w="1210" w:type="dxa"/>
            <w:tcBorders>
              <w:top w:val="single" w:sz="4" w:space="0" w:color="auto"/>
              <w:left w:val="single" w:sz="4" w:space="0" w:color="auto"/>
              <w:bottom w:val="single" w:sz="4" w:space="0" w:color="auto"/>
              <w:right w:val="single" w:sz="4" w:space="0" w:color="auto"/>
            </w:tcBorders>
          </w:tcPr>
          <w:p w:rsidR="00157870" w:rsidRPr="00295E71" w:rsidP="00157870" w14:paraId="29CA8F10" w14:textId="77777777">
            <w:pPr>
              <w:keepNext/>
              <w:jc w:val="both"/>
              <w:rPr>
                <w:sz w:val="22"/>
                <w:szCs w:val="22"/>
              </w:rPr>
            </w:pPr>
          </w:p>
        </w:tc>
      </w:tr>
      <w:tr w14:paraId="114A18A0" w14:textId="77777777" w:rsidTr="00157870">
        <w:tblPrEx>
          <w:tblW w:w="0" w:type="auto"/>
          <w:tblLayout w:type="fixed"/>
          <w:tblLook w:val="0000"/>
        </w:tblPrEx>
        <w:trPr>
          <w:gridAfter w:val="1"/>
          <w:wAfter w:w="12" w:type="dxa"/>
          <w:cantSplit/>
          <w:trHeight w:val="70"/>
        </w:trPr>
        <w:tc>
          <w:tcPr>
            <w:tcW w:w="1541" w:type="dxa"/>
            <w:tcBorders>
              <w:top w:val="single" w:sz="4" w:space="0" w:color="auto"/>
              <w:left w:val="single" w:sz="4" w:space="0" w:color="auto"/>
              <w:bottom w:val="single" w:sz="4" w:space="0" w:color="auto"/>
              <w:right w:val="single" w:sz="4" w:space="0" w:color="auto"/>
            </w:tcBorders>
          </w:tcPr>
          <w:p w:rsidR="00157870" w:rsidRPr="00295E71" w:rsidP="00157870" w14:paraId="3FCF4088" w14:textId="77777777">
            <w:pPr>
              <w:keepNext/>
              <w:jc w:val="both"/>
              <w:rPr>
                <w:sz w:val="22"/>
                <w:szCs w:val="22"/>
              </w:rPr>
            </w:pPr>
            <w:r w:rsidRPr="00295E71">
              <w:rPr>
                <w:sz w:val="22"/>
                <w:szCs w:val="22"/>
              </w:rPr>
              <w:t>Settimana 52</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0CEB6778" w14:textId="77777777">
            <w:pPr>
              <w:keepNext/>
              <w:jc w:val="both"/>
              <w:rPr>
                <w:sz w:val="22"/>
                <w:szCs w:val="22"/>
              </w:rPr>
            </w:pPr>
            <w:r w:rsidRPr="00295E71">
              <w:rPr>
                <w:sz w:val="22"/>
                <w:szCs w:val="22"/>
              </w:rPr>
              <w:t>27,2%</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3DED13B3" w14:textId="77777777">
            <w:pPr>
              <w:keepNext/>
              <w:jc w:val="both"/>
              <w:rPr>
                <w:sz w:val="22"/>
                <w:szCs w:val="22"/>
              </w:rPr>
            </w:pPr>
            <w:r w:rsidRPr="00295E71">
              <w:rPr>
                <w:sz w:val="22"/>
                <w:szCs w:val="22"/>
              </w:rPr>
              <w:t>25,9%</w:t>
            </w:r>
          </w:p>
        </w:tc>
        <w:tc>
          <w:tcPr>
            <w:tcW w:w="1576" w:type="dxa"/>
            <w:tcBorders>
              <w:top w:val="single" w:sz="4" w:space="0" w:color="auto"/>
              <w:left w:val="single" w:sz="4" w:space="0" w:color="auto"/>
              <w:bottom w:val="single" w:sz="4" w:space="0" w:color="auto"/>
              <w:right w:val="single" w:sz="4" w:space="0" w:color="auto"/>
            </w:tcBorders>
          </w:tcPr>
          <w:p w:rsidR="00157870" w:rsidRPr="00295E71" w:rsidP="00157870" w14:paraId="4B19A134" w14:textId="77777777">
            <w:pPr>
              <w:keepNext/>
              <w:jc w:val="both"/>
              <w:rPr>
                <w:sz w:val="22"/>
                <w:szCs w:val="22"/>
              </w:rPr>
            </w:pPr>
            <w:r w:rsidRPr="00295E71">
              <w:rPr>
                <w:sz w:val="22"/>
                <w:szCs w:val="22"/>
              </w:rPr>
              <w:t>45,5%</w:t>
            </w:r>
          </w:p>
        </w:tc>
        <w:tc>
          <w:tcPr>
            <w:tcW w:w="1100" w:type="dxa"/>
            <w:tcBorders>
              <w:top w:val="single" w:sz="4" w:space="0" w:color="auto"/>
              <w:left w:val="single" w:sz="4" w:space="0" w:color="auto"/>
              <w:bottom w:val="single" w:sz="4" w:space="0" w:color="auto"/>
              <w:right w:val="single" w:sz="4" w:space="0" w:color="auto"/>
            </w:tcBorders>
          </w:tcPr>
          <w:p w:rsidR="00157870" w:rsidRPr="00295E71" w:rsidP="00157870" w14:paraId="314A264D" w14:textId="77777777">
            <w:pPr>
              <w:keepNext/>
              <w:jc w:val="both"/>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157870" w:rsidRPr="00295E71" w:rsidP="00157870" w14:paraId="04AC2CB8" w14:textId="77777777">
            <w:pPr>
              <w:keepNext/>
              <w:jc w:val="both"/>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157870" w:rsidRPr="00295E71" w:rsidP="00157870" w14:paraId="5C3C5307" w14:textId="77777777">
            <w:pPr>
              <w:keepNext/>
              <w:jc w:val="both"/>
              <w:rPr>
                <w:sz w:val="22"/>
                <w:szCs w:val="22"/>
              </w:rPr>
            </w:pPr>
            <w:r w:rsidRPr="00295E71">
              <w:rPr>
                <w:sz w:val="22"/>
                <w:szCs w:val="22"/>
              </w:rPr>
              <w:t>0,656</w:t>
            </w:r>
          </w:p>
        </w:tc>
      </w:tr>
      <w:tr w14:paraId="146884BC" w14:textId="77777777" w:rsidTr="00157870">
        <w:tblPrEx>
          <w:tblW w:w="0" w:type="auto"/>
          <w:tblLayout w:type="fixed"/>
          <w:tblLook w:val="0000"/>
        </w:tblPrEx>
        <w:trPr>
          <w:gridAfter w:val="1"/>
          <w:wAfter w:w="12" w:type="dxa"/>
          <w:cantSplit/>
        </w:trPr>
        <w:tc>
          <w:tcPr>
            <w:tcW w:w="1541" w:type="dxa"/>
            <w:tcBorders>
              <w:top w:val="single" w:sz="4" w:space="0" w:color="auto"/>
              <w:left w:val="single" w:sz="4" w:space="0" w:color="auto"/>
              <w:bottom w:val="single" w:sz="4" w:space="0" w:color="auto"/>
              <w:right w:val="single" w:sz="4" w:space="0" w:color="auto"/>
            </w:tcBorders>
          </w:tcPr>
          <w:p w:rsidR="00157870" w:rsidRPr="00295E71" w:rsidP="00157870" w14:paraId="629F66DF" w14:textId="77777777">
            <w:pPr>
              <w:keepNext/>
              <w:jc w:val="both"/>
              <w:rPr>
                <w:sz w:val="22"/>
                <w:szCs w:val="22"/>
              </w:rPr>
            </w:pPr>
            <w:r w:rsidRPr="00295E71">
              <w:rPr>
                <w:sz w:val="22"/>
                <w:szCs w:val="22"/>
              </w:rPr>
              <w:t>Settimana 104</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183A746C" w14:textId="77777777">
            <w:pPr>
              <w:keepNext/>
              <w:jc w:val="both"/>
              <w:rPr>
                <w:sz w:val="22"/>
                <w:szCs w:val="22"/>
              </w:rPr>
            </w:pPr>
            <w:r w:rsidRPr="00295E71">
              <w:rPr>
                <w:sz w:val="22"/>
                <w:szCs w:val="22"/>
              </w:rPr>
              <w:t>28,4%</w:t>
            </w:r>
          </w:p>
        </w:tc>
        <w:tc>
          <w:tcPr>
            <w:tcW w:w="1320" w:type="dxa"/>
            <w:tcBorders>
              <w:top w:val="single" w:sz="4" w:space="0" w:color="auto"/>
              <w:left w:val="single" w:sz="4" w:space="0" w:color="auto"/>
              <w:bottom w:val="single" w:sz="4" w:space="0" w:color="auto"/>
              <w:right w:val="single" w:sz="4" w:space="0" w:color="auto"/>
            </w:tcBorders>
          </w:tcPr>
          <w:p w:rsidR="00157870" w:rsidRPr="00295E71" w:rsidP="00157870" w14:paraId="15910CEF" w14:textId="77777777">
            <w:pPr>
              <w:keepNext/>
              <w:jc w:val="both"/>
              <w:rPr>
                <w:sz w:val="22"/>
                <w:szCs w:val="22"/>
              </w:rPr>
            </w:pPr>
            <w:r w:rsidRPr="00295E71">
              <w:rPr>
                <w:sz w:val="22"/>
                <w:szCs w:val="22"/>
              </w:rPr>
              <w:t>28,1%</w:t>
            </w:r>
          </w:p>
        </w:tc>
        <w:tc>
          <w:tcPr>
            <w:tcW w:w="1576" w:type="dxa"/>
            <w:tcBorders>
              <w:top w:val="single" w:sz="4" w:space="0" w:color="auto"/>
              <w:left w:val="single" w:sz="4" w:space="0" w:color="auto"/>
              <w:bottom w:val="single" w:sz="4" w:space="0" w:color="auto"/>
              <w:right w:val="single" w:sz="4" w:space="0" w:color="auto"/>
            </w:tcBorders>
          </w:tcPr>
          <w:p w:rsidR="00157870" w:rsidRPr="00295E71" w:rsidP="00157870" w14:paraId="78A9DB0D" w14:textId="77777777">
            <w:pPr>
              <w:keepNext/>
              <w:jc w:val="both"/>
              <w:rPr>
                <w:sz w:val="22"/>
                <w:szCs w:val="22"/>
              </w:rPr>
            </w:pPr>
            <w:r w:rsidRPr="00295E71">
              <w:rPr>
                <w:sz w:val="22"/>
                <w:szCs w:val="22"/>
              </w:rPr>
              <w:t>46,6%</w:t>
            </w:r>
          </w:p>
        </w:tc>
        <w:tc>
          <w:tcPr>
            <w:tcW w:w="1100" w:type="dxa"/>
            <w:tcBorders>
              <w:top w:val="single" w:sz="4" w:space="0" w:color="auto"/>
              <w:left w:val="single" w:sz="4" w:space="0" w:color="auto"/>
              <w:bottom w:val="single" w:sz="4" w:space="0" w:color="auto"/>
              <w:right w:val="single" w:sz="4" w:space="0" w:color="auto"/>
            </w:tcBorders>
          </w:tcPr>
          <w:p w:rsidR="00157870" w:rsidRPr="00295E71" w:rsidP="00157870" w14:paraId="274584B3" w14:textId="77777777">
            <w:pPr>
              <w:keepNext/>
              <w:jc w:val="both"/>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157870" w:rsidRPr="00295E71" w:rsidP="00157870" w14:paraId="31008DFC" w14:textId="77777777">
            <w:pPr>
              <w:keepNext/>
              <w:jc w:val="both"/>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157870" w:rsidRPr="00295E71" w:rsidP="00157870" w14:paraId="7D53D6E8" w14:textId="77777777">
            <w:pPr>
              <w:keepNext/>
              <w:jc w:val="both"/>
              <w:rPr>
                <w:sz w:val="22"/>
                <w:szCs w:val="22"/>
              </w:rPr>
            </w:pPr>
            <w:r w:rsidRPr="00295E71">
              <w:rPr>
                <w:sz w:val="22"/>
                <w:szCs w:val="22"/>
              </w:rPr>
              <w:t>0,864</w:t>
            </w:r>
          </w:p>
        </w:tc>
      </w:tr>
      <w:tr w14:paraId="4DCC4734" w14:textId="77777777" w:rsidTr="00157870">
        <w:tblPrEx>
          <w:tblW w:w="0" w:type="auto"/>
          <w:tblLayout w:type="fixed"/>
          <w:tblLook w:val="0000"/>
        </w:tblPrEx>
        <w:trPr>
          <w:cantSplit/>
        </w:trPr>
        <w:tc>
          <w:tcPr>
            <w:tcW w:w="9252" w:type="dxa"/>
            <w:gridSpan w:val="8"/>
            <w:tcBorders>
              <w:top w:val="single" w:sz="4" w:space="0" w:color="auto"/>
              <w:left w:val="single" w:sz="4" w:space="0" w:color="auto"/>
              <w:bottom w:val="single" w:sz="4" w:space="0" w:color="auto"/>
              <w:right w:val="single" w:sz="4" w:space="0" w:color="auto"/>
            </w:tcBorders>
          </w:tcPr>
          <w:p w:rsidR="00157870" w:rsidRPr="00295E71" w:rsidP="00157870" w14:paraId="08B8DCEB" w14:textId="77777777">
            <w:pPr>
              <w:keepNext/>
              <w:tabs>
                <w:tab w:val="left" w:pos="330"/>
                <w:tab w:val="left" w:pos="10728"/>
              </w:tabs>
              <w:ind w:left="360" w:hanging="360"/>
              <w:jc w:val="both"/>
              <w:rPr>
                <w:sz w:val="22"/>
                <w:szCs w:val="22"/>
              </w:rPr>
            </w:pPr>
            <w:r w:rsidRPr="00295E71">
              <w:rPr>
                <w:sz w:val="22"/>
                <w:szCs w:val="22"/>
                <w:vertAlign w:val="superscript"/>
              </w:rPr>
              <w:t>a</w:t>
            </w:r>
            <w:r w:rsidRPr="00295E71">
              <w:rPr>
                <w:sz w:val="22"/>
                <w:szCs w:val="22"/>
              </w:rPr>
              <w:tab/>
              <w:t xml:space="preserve">il valore p è stato ottenuto confrontando a due a due la </w:t>
            </w:r>
            <w:r w:rsidR="00D20773">
              <w:rPr>
                <w:sz w:val="22"/>
                <w:szCs w:val="22"/>
              </w:rPr>
              <w:t>mono</w:t>
            </w:r>
            <w:r w:rsidRPr="00295E71">
              <w:rPr>
                <w:sz w:val="22"/>
                <w:szCs w:val="22"/>
              </w:rPr>
              <w:t>terapia con metotressato e la terapia associata Humira/metotressato utilizzando il test U Mann-Whitney.</w:t>
            </w:r>
          </w:p>
          <w:p w:rsidR="00157870" w:rsidRPr="00295E71" w:rsidP="00157870" w14:paraId="36FFD4D3" w14:textId="77777777">
            <w:pPr>
              <w:pStyle w:val="BodyTextIndent"/>
              <w:keepNext/>
              <w:autoSpaceDE/>
              <w:autoSpaceDN/>
              <w:adjustRightInd/>
              <w:ind w:left="330" w:hanging="330"/>
              <w:rPr>
                <w:color w:val="auto"/>
              </w:rPr>
            </w:pPr>
            <w:r w:rsidRPr="00295E71">
              <w:rPr>
                <w:vertAlign w:val="superscript"/>
              </w:rPr>
              <w:t>b</w:t>
            </w:r>
            <w:r w:rsidRPr="00295E71">
              <w:rPr>
                <w:color w:val="auto"/>
              </w:rPr>
              <w:tab/>
              <w:t xml:space="preserve">il valore p è stato ottenuto confrontando a due a due la </w:t>
            </w:r>
            <w:r w:rsidR="00D20773">
              <w:rPr>
                <w:color w:val="auto"/>
              </w:rPr>
              <w:t>mono</w:t>
            </w:r>
            <w:r w:rsidRPr="00295E71">
              <w:rPr>
                <w:color w:val="auto"/>
              </w:rPr>
              <w:t>terapia con Humira e la terapia associata Humira/metotressato utilizzando il test U Mann-Whitney</w:t>
            </w:r>
          </w:p>
          <w:p w:rsidR="00157870" w:rsidRPr="00295E71" w:rsidP="00157870" w14:paraId="0F947800" w14:textId="77777777">
            <w:pPr>
              <w:pStyle w:val="BodyTextIndent"/>
              <w:keepNext/>
              <w:autoSpaceDE/>
              <w:autoSpaceDN/>
              <w:adjustRightInd/>
              <w:ind w:left="330" w:hanging="330"/>
              <w:rPr>
                <w:color w:val="auto"/>
              </w:rPr>
            </w:pPr>
            <w:r w:rsidRPr="00295E71">
              <w:rPr>
                <w:vertAlign w:val="superscript"/>
              </w:rPr>
              <w:t>c</w:t>
            </w:r>
            <w:r w:rsidRPr="00295E71" w:rsidR="00B6698C">
              <w:rPr>
                <w:color w:val="auto"/>
              </w:rPr>
              <w:tab/>
            </w:r>
            <w:r w:rsidRPr="00295E71">
              <w:rPr>
                <w:color w:val="auto"/>
              </w:rPr>
              <w:t xml:space="preserve">il valore p è stato ottenuto confrontando a due a due la </w:t>
            </w:r>
            <w:r w:rsidR="00D20773">
              <w:rPr>
                <w:color w:val="auto"/>
              </w:rPr>
              <w:t>mono</w:t>
            </w:r>
            <w:r w:rsidRPr="00295E71">
              <w:rPr>
                <w:color w:val="auto"/>
              </w:rPr>
              <w:t xml:space="preserve">terapia con Humira e la </w:t>
            </w:r>
            <w:r w:rsidR="00D20773">
              <w:rPr>
                <w:color w:val="auto"/>
              </w:rPr>
              <w:t>mono</w:t>
            </w:r>
            <w:r w:rsidRPr="00295E71">
              <w:rPr>
                <w:color w:val="auto"/>
              </w:rPr>
              <w:t>terapia con metotressato utilizzando il test U Mann-Whitney</w:t>
            </w:r>
          </w:p>
        </w:tc>
      </w:tr>
    </w:tbl>
    <w:p w:rsidR="00157870" w:rsidRPr="00295E71" w:rsidP="00157870" w14:paraId="30D4805D" w14:textId="77777777">
      <w:pPr>
        <w:rPr>
          <w:sz w:val="22"/>
          <w:szCs w:val="22"/>
        </w:rPr>
      </w:pPr>
    </w:p>
    <w:p w:rsidR="00157870" w:rsidRPr="00295E71" w:rsidP="00157870" w14:paraId="634D4DE5" w14:textId="77777777">
      <w:pPr>
        <w:tabs>
          <w:tab w:val="left" w:pos="567"/>
        </w:tabs>
        <w:jc w:val="both"/>
        <w:rPr>
          <w:sz w:val="22"/>
          <w:szCs w:val="22"/>
        </w:rPr>
      </w:pPr>
      <w:r w:rsidRPr="00295E71">
        <w:rPr>
          <w:sz w:val="22"/>
          <w:szCs w:val="22"/>
        </w:rPr>
        <w:t xml:space="preserve">Nella fase di estensione in aperto dello studio AR V, il tasso di risposta ACR è stato mantenuto quando il trattamento è stato continuato fino a 10 anni. Dei 542 pazientiche erano stati randomizzati alla somministrazione di 40 mg di Humira a settimane alterne, 170 pazienti hanno continuato il trattamento con Humira 40 mg a settimane alterne per 10 anni. Di questi, 154 pazienti (90,6%) hanno avuto risposte ACR 20; 127 pazienti (74,7%) hanno avuto risposte ACR 50; e 102 pazienti (60,0%) hanno avuto risposte ACR 70. </w:t>
      </w:r>
    </w:p>
    <w:p w:rsidR="00157870" w:rsidRPr="00295E71" w:rsidP="00157870" w14:paraId="27B2296D" w14:textId="77777777">
      <w:pPr>
        <w:rPr>
          <w:sz w:val="22"/>
          <w:szCs w:val="22"/>
        </w:rPr>
      </w:pPr>
    </w:p>
    <w:p w:rsidR="00157870" w:rsidRPr="00295E71" w:rsidP="00157870" w14:paraId="78EC0F43" w14:textId="77777777">
      <w:pPr>
        <w:rPr>
          <w:sz w:val="22"/>
          <w:szCs w:val="22"/>
        </w:rPr>
      </w:pPr>
      <w:r w:rsidRPr="00295E71">
        <w:rPr>
          <w:sz w:val="22"/>
          <w:szCs w:val="22"/>
        </w:rPr>
        <w:t xml:space="preserve">Alla settimana 52, il 42,9% dei pazienti che era stato sottoposto a terapia associata con Humira/metotressato ha raggiunto remissione clinica (DAS28 (PCR) &lt; 2,6) rispetto al 20,6% dei </w:t>
      </w:r>
      <w:r w:rsidRPr="00295E71">
        <w:rPr>
          <w:sz w:val="22"/>
          <w:szCs w:val="22"/>
        </w:rPr>
        <w:t>pazienti trattat</w:t>
      </w:r>
      <w:r w:rsidR="00D20773">
        <w:rPr>
          <w:sz w:val="22"/>
          <w:szCs w:val="22"/>
        </w:rPr>
        <w:t>i</w:t>
      </w:r>
      <w:r w:rsidRPr="00295E71">
        <w:rPr>
          <w:sz w:val="22"/>
          <w:szCs w:val="22"/>
        </w:rPr>
        <w:t xml:space="preserve"> con metotressato in monoterapia ed al 23,4% dei pazienti che aveva ricevuto Humira in monoterapia. La terapia associata Humira/metotressato si è rivelata superiore dal punto di vista clinico e statistico alle monoterapie con metotressato (p&lt;0,001) e Humira (p&lt;0,001) nel determinare una riduzione dell’attività di malattia in pazienti in cui era stata di recente diagnosticata a</w:t>
      </w:r>
      <w:r w:rsidR="00D20773">
        <w:rPr>
          <w:sz w:val="22"/>
          <w:szCs w:val="22"/>
        </w:rPr>
        <w:t>r</w:t>
      </w:r>
      <w:r w:rsidRPr="00295E71">
        <w:rPr>
          <w:sz w:val="22"/>
          <w:szCs w:val="22"/>
        </w:rPr>
        <w:t>trite reumatoide di grado da moderato a severo. La risposta ottenuta nei due gruppi in monoterapia è stata simile (p=0,447). Dei 342 pazienti che erano stati inizialmente randomizzati alla somministrazione di Humira in monoterapia o alla terapia associata Humira/metotressato e che erano stati arruolati nella fase di estensione in aperto dello studio, 171 hanno completato i 10 anni di trattamento con Humira. Di questi, è stato riportato che 109 pazienti (63,7%) erano in remissione a 10 anni.</w:t>
      </w:r>
    </w:p>
    <w:p w:rsidR="00157870" w:rsidRPr="00295E71" w:rsidP="00157870" w14:paraId="13128749" w14:textId="77777777">
      <w:pPr>
        <w:tabs>
          <w:tab w:val="left" w:pos="567"/>
        </w:tabs>
        <w:jc w:val="both"/>
        <w:rPr>
          <w:sz w:val="22"/>
          <w:szCs w:val="22"/>
        </w:rPr>
      </w:pPr>
    </w:p>
    <w:p w:rsidR="00157870" w:rsidRPr="00295E71" w:rsidP="00157870" w14:paraId="48DCBE6E" w14:textId="77777777">
      <w:pPr>
        <w:pStyle w:val="Heading3"/>
        <w:keepNext w:val="0"/>
        <w:tabs>
          <w:tab w:val="left" w:pos="567"/>
        </w:tabs>
        <w:rPr>
          <w:i/>
        </w:rPr>
      </w:pPr>
      <w:r w:rsidRPr="00295E71">
        <w:rPr>
          <w:i/>
        </w:rPr>
        <w:t>Risposta radiologica</w:t>
      </w:r>
    </w:p>
    <w:p w:rsidR="00157870" w:rsidRPr="00295E71" w:rsidP="00157870" w14:paraId="578263AB" w14:textId="77777777">
      <w:pPr>
        <w:tabs>
          <w:tab w:val="left" w:pos="567"/>
        </w:tabs>
        <w:jc w:val="both"/>
        <w:rPr>
          <w:sz w:val="22"/>
          <w:szCs w:val="22"/>
        </w:rPr>
      </w:pPr>
    </w:p>
    <w:p w:rsidR="00157870" w:rsidRPr="00295E71" w:rsidP="00157870" w14:paraId="40366B91" w14:textId="77777777">
      <w:pPr>
        <w:pStyle w:val="BodyText"/>
        <w:tabs>
          <w:tab w:val="left" w:pos="567"/>
        </w:tabs>
      </w:pPr>
      <w:r w:rsidRPr="00295E71">
        <w:t>Nello studio AR III, in cui i pazienti trattati con Humira avevano una durata media di malattia di circa 11 anni, il danno strutturale è stato valutato radiograficamente ed espresso come variazione dell’Indice Totale di Sharp modificato (Total Sharp Score</w:t>
      </w:r>
      <w:r w:rsidR="00D20773">
        <w:t>,</w:t>
      </w:r>
      <w:r w:rsidRPr="00295E71">
        <w:t xml:space="preserve"> TSS) e dei relativi componenti, gli indici di erosione e di riduzione della rima articolare (Joint Space Narrowing, JSN). </w:t>
      </w:r>
    </w:p>
    <w:p w:rsidR="00157870" w:rsidRPr="00295E71" w:rsidP="00157870" w14:paraId="02C9685B" w14:textId="77777777">
      <w:pPr>
        <w:pStyle w:val="BodyText"/>
        <w:tabs>
          <w:tab w:val="left" w:pos="567"/>
        </w:tabs>
      </w:pPr>
      <w:r w:rsidRPr="00295E71">
        <w:t xml:space="preserve">I pazienti trattati con Humira/MTX hanno mostrato una progressione radiologica significativamente inferiore ai pazienti che hanno ricevuto solo MTX, a 6 e 12 mesi (vedere Tabella </w:t>
      </w:r>
      <w:r w:rsidR="0041314F">
        <w:t>9</w:t>
      </w:r>
      <w:r w:rsidRPr="00295E71">
        <w:t xml:space="preserve">). </w:t>
      </w:r>
    </w:p>
    <w:p w:rsidR="00157870" w:rsidRPr="00295E71" w:rsidP="00157870" w14:paraId="03B513E6" w14:textId="77777777">
      <w:pPr>
        <w:pStyle w:val="BodyText"/>
        <w:tabs>
          <w:tab w:val="left" w:pos="567"/>
        </w:tabs>
      </w:pPr>
    </w:p>
    <w:p w:rsidR="00157870" w:rsidRPr="00295E71" w:rsidP="00157870" w14:paraId="54C911CF" w14:textId="77777777">
      <w:pPr>
        <w:pStyle w:val="BodyText"/>
        <w:tabs>
          <w:tab w:val="left" w:pos="567"/>
        </w:tabs>
      </w:pPr>
      <w:r w:rsidRPr="00295E71">
        <w:t xml:space="preserve">Nell’estensione in aperto dello studio AR III, la riduzione del tasso di progressione del danno strutturale </w:t>
      </w:r>
      <w:r w:rsidRPr="00020442" w:rsidR="00D20773">
        <w:t>è stata mantenuta</w:t>
      </w:r>
      <w:r w:rsidRPr="00295E71">
        <w:t xml:space="preserve"> per 8 e 10 anni in un sottogruppo di pazienti. A</w:t>
      </w:r>
      <w:r w:rsidRPr="00295E71" w:rsidR="00044B94">
        <w:t xml:space="preserve"> </w:t>
      </w:r>
      <w:r w:rsidRPr="00295E71">
        <w:t>8 anni, 81 pazienti su 207 originariamente trattati con Humira 40 mg a settimane alterne sono stati valutati radiologicamente. Tra questi, 48 pazienti non hanno mostrato progressione del danno strutturale definita attraverso una modifica del mTSS di 0,5 o meno rispetto al valore basale.</w:t>
      </w:r>
    </w:p>
    <w:p w:rsidR="00157870" w:rsidRPr="00295E71" w:rsidP="00157870" w14:paraId="40BD05F6" w14:textId="77777777">
      <w:pPr>
        <w:rPr>
          <w:sz w:val="22"/>
          <w:szCs w:val="22"/>
        </w:rPr>
      </w:pPr>
    </w:p>
    <w:p w:rsidR="00157870" w:rsidRPr="00295E71" w:rsidP="00157870" w14:paraId="2E9A7BC5" w14:textId="77777777">
      <w:pPr>
        <w:pStyle w:val="BodyText"/>
        <w:tabs>
          <w:tab w:val="left" w:pos="567"/>
        </w:tabs>
      </w:pPr>
      <w:r w:rsidRPr="00295E71">
        <w:t>A 10 anni, 79 pazienti su 207 originariamente trattati con Humira 40 mg a settimane alterne sono stati valutati radiologicamente. Di questi, 40 pazienti non hanno dimostrato una progressione del danno strutturale definito da un cambiamento del mTSS di 0,5 o minore dal valore basale.</w:t>
      </w:r>
    </w:p>
    <w:p w:rsidR="00157870" w:rsidRPr="00295E71" w:rsidP="00157870" w14:paraId="778B0064" w14:textId="77777777">
      <w:pPr>
        <w:rPr>
          <w:b/>
          <w:bCs/>
          <w:sz w:val="22"/>
          <w:szCs w:val="22"/>
        </w:rPr>
      </w:pPr>
    </w:p>
    <w:p w:rsidR="00157870" w:rsidRPr="00295E71" w:rsidP="00157870" w14:paraId="2A9AF5A3" w14:textId="77777777">
      <w:pPr>
        <w:pStyle w:val="Heading5"/>
        <w:keepNext w:val="0"/>
        <w:tabs>
          <w:tab w:val="left" w:pos="567"/>
        </w:tabs>
        <w:rPr>
          <w:lang w:val="it-IT"/>
        </w:rPr>
      </w:pPr>
      <w:r w:rsidRPr="00295E71">
        <w:rPr>
          <w:lang w:val="it-IT"/>
        </w:rPr>
        <w:t xml:space="preserve">Tabella </w:t>
      </w:r>
      <w:r w:rsidR="0041314F">
        <w:rPr>
          <w:lang w:val="it-IT"/>
        </w:rPr>
        <w:t>9</w:t>
      </w:r>
    </w:p>
    <w:p w:rsidR="00157870" w:rsidRPr="00295E71" w:rsidP="00157870" w14:paraId="15CE4B0E" w14:textId="77777777">
      <w:pPr>
        <w:pStyle w:val="Heading5"/>
        <w:keepNext w:val="0"/>
        <w:tabs>
          <w:tab w:val="left" w:pos="567"/>
        </w:tabs>
        <w:rPr>
          <w:lang w:val="it-IT"/>
        </w:rPr>
      </w:pPr>
      <w:r w:rsidRPr="00295E71">
        <w:rPr>
          <w:lang w:val="it-IT"/>
        </w:rPr>
        <w:t>Variazione radiografica media dopo 12 mesi nello studio AR III</w:t>
      </w:r>
    </w:p>
    <w:p w:rsidR="00157870" w:rsidRPr="00295E71" w:rsidP="00157870" w14:paraId="26220D96" w14:textId="77777777">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1430"/>
        <w:gridCol w:w="1790"/>
        <w:gridCol w:w="2000"/>
        <w:gridCol w:w="1548"/>
      </w:tblGrid>
      <w:tr w14:paraId="30B29DE6" w14:textId="77777777" w:rsidTr="00157870">
        <w:tblPrEx>
          <w:tblW w:w="0" w:type="auto"/>
          <w:tblInd w:w="108" w:type="dxa"/>
          <w:tblLook w:val="0000"/>
        </w:tblPrEx>
        <w:tc>
          <w:tcPr>
            <w:tcW w:w="1980" w:type="dxa"/>
            <w:tcBorders>
              <w:top w:val="single" w:sz="4" w:space="0" w:color="auto"/>
              <w:left w:val="single" w:sz="4" w:space="0" w:color="auto"/>
              <w:bottom w:val="single" w:sz="4" w:space="0" w:color="auto"/>
              <w:right w:val="single" w:sz="4" w:space="0" w:color="auto"/>
            </w:tcBorders>
          </w:tcPr>
          <w:p w:rsidR="00157870" w:rsidRPr="00295E71" w:rsidP="00157870" w14:paraId="0370017F" w14:textId="77777777">
            <w:pPr>
              <w:jc w:val="both"/>
              <w:rPr>
                <w:sz w:val="22"/>
                <w:szCs w:val="22"/>
              </w:rPr>
            </w:pPr>
          </w:p>
        </w:tc>
        <w:tc>
          <w:tcPr>
            <w:tcW w:w="1430" w:type="dxa"/>
            <w:tcBorders>
              <w:top w:val="single" w:sz="4" w:space="0" w:color="auto"/>
              <w:left w:val="single" w:sz="4" w:space="0" w:color="auto"/>
              <w:bottom w:val="single" w:sz="4" w:space="0" w:color="auto"/>
              <w:right w:val="single" w:sz="4" w:space="0" w:color="auto"/>
            </w:tcBorders>
          </w:tcPr>
          <w:p w:rsidR="00157870" w:rsidRPr="00295E71" w:rsidP="00157870" w14:paraId="7AF61BFB" w14:textId="77777777">
            <w:pPr>
              <w:jc w:val="both"/>
              <w:rPr>
                <w:sz w:val="22"/>
                <w:szCs w:val="22"/>
              </w:rPr>
            </w:pPr>
            <w:r w:rsidRPr="00295E71">
              <w:rPr>
                <w:sz w:val="22"/>
                <w:szCs w:val="22"/>
              </w:rPr>
              <w:t>Placebo/</w:t>
            </w:r>
          </w:p>
          <w:p w:rsidR="00157870" w:rsidRPr="00295E71" w:rsidP="00157870" w14:paraId="4E9C6AE3" w14:textId="77777777">
            <w:pPr>
              <w:jc w:val="both"/>
              <w:rPr>
                <w:sz w:val="22"/>
                <w:szCs w:val="22"/>
                <w:vertAlign w:val="superscript"/>
              </w:rPr>
            </w:pPr>
            <w:r w:rsidRPr="00295E71">
              <w:rPr>
                <w:sz w:val="22"/>
                <w:szCs w:val="22"/>
              </w:rPr>
              <w:t>MTX</w:t>
            </w:r>
            <w:r w:rsidRPr="00295E71">
              <w:rPr>
                <w:sz w:val="22"/>
                <w:szCs w:val="22"/>
                <w:vertAlign w:val="superscript"/>
              </w:rPr>
              <w:t>a</w:t>
            </w:r>
          </w:p>
        </w:tc>
        <w:tc>
          <w:tcPr>
            <w:tcW w:w="1790" w:type="dxa"/>
            <w:tcBorders>
              <w:top w:val="single" w:sz="4" w:space="0" w:color="auto"/>
              <w:left w:val="single" w:sz="4" w:space="0" w:color="auto"/>
              <w:bottom w:val="single" w:sz="4" w:space="0" w:color="auto"/>
              <w:right w:val="single" w:sz="4" w:space="0" w:color="auto"/>
            </w:tcBorders>
          </w:tcPr>
          <w:p w:rsidR="00157870" w:rsidRPr="00295E71" w:rsidP="00157870" w14:paraId="61BD664C" w14:textId="77777777">
            <w:pPr>
              <w:jc w:val="both"/>
              <w:rPr>
                <w:sz w:val="22"/>
                <w:szCs w:val="22"/>
              </w:rPr>
            </w:pPr>
            <w:r w:rsidRPr="00295E71">
              <w:rPr>
                <w:sz w:val="22"/>
                <w:szCs w:val="22"/>
              </w:rPr>
              <w:t>Humira/MTX</w:t>
            </w:r>
          </w:p>
          <w:p w:rsidR="00157870" w:rsidRPr="00295E71" w:rsidP="00157870" w14:paraId="3A0A57AA" w14:textId="77777777">
            <w:pPr>
              <w:jc w:val="both"/>
              <w:rPr>
                <w:sz w:val="22"/>
                <w:szCs w:val="22"/>
              </w:rPr>
            </w:pPr>
            <w:r w:rsidRPr="00295E71">
              <w:rPr>
                <w:sz w:val="22"/>
                <w:szCs w:val="22"/>
              </w:rPr>
              <w:t>40 mg a settimane alterne</w:t>
            </w:r>
          </w:p>
        </w:tc>
        <w:tc>
          <w:tcPr>
            <w:tcW w:w="2000" w:type="dxa"/>
            <w:tcBorders>
              <w:top w:val="single" w:sz="4" w:space="0" w:color="auto"/>
              <w:left w:val="single" w:sz="4" w:space="0" w:color="auto"/>
              <w:bottom w:val="single" w:sz="4" w:space="0" w:color="auto"/>
              <w:right w:val="single" w:sz="4" w:space="0" w:color="auto"/>
            </w:tcBorders>
          </w:tcPr>
          <w:p w:rsidR="00157870" w:rsidRPr="00295E71" w:rsidP="00157870" w14:paraId="39D1D75F" w14:textId="77777777">
            <w:pPr>
              <w:jc w:val="both"/>
              <w:rPr>
                <w:sz w:val="22"/>
                <w:szCs w:val="22"/>
              </w:rPr>
            </w:pPr>
            <w:r w:rsidRPr="00295E71">
              <w:rPr>
                <w:sz w:val="22"/>
                <w:szCs w:val="22"/>
              </w:rPr>
              <w:t>Placebo/MTX-Humira/MTX (intervallo di confidenza 95%</w:t>
            </w:r>
            <w:r w:rsidRPr="00295E71">
              <w:rPr>
                <w:sz w:val="22"/>
                <w:szCs w:val="22"/>
                <w:vertAlign w:val="superscript"/>
              </w:rPr>
              <w:t>b</w:t>
            </w:r>
            <w:r w:rsidRPr="00295E71">
              <w:rPr>
                <w:sz w:val="22"/>
                <w:szCs w:val="22"/>
              </w:rPr>
              <w:t>)</w:t>
            </w:r>
          </w:p>
        </w:tc>
        <w:tc>
          <w:tcPr>
            <w:tcW w:w="1548" w:type="dxa"/>
            <w:tcBorders>
              <w:top w:val="single" w:sz="4" w:space="0" w:color="auto"/>
              <w:left w:val="single" w:sz="4" w:space="0" w:color="auto"/>
              <w:bottom w:val="single" w:sz="4" w:space="0" w:color="auto"/>
              <w:right w:val="single" w:sz="4" w:space="0" w:color="auto"/>
            </w:tcBorders>
          </w:tcPr>
          <w:p w:rsidR="00157870" w:rsidRPr="00295E71" w:rsidP="00157870" w14:paraId="42401D58" w14:textId="77777777">
            <w:pPr>
              <w:jc w:val="both"/>
              <w:rPr>
                <w:sz w:val="22"/>
                <w:szCs w:val="22"/>
              </w:rPr>
            </w:pPr>
            <w:r w:rsidRPr="00295E71">
              <w:rPr>
                <w:sz w:val="22"/>
                <w:szCs w:val="22"/>
              </w:rPr>
              <w:t>Valore di p</w:t>
            </w:r>
          </w:p>
        </w:tc>
      </w:tr>
      <w:tr w14:paraId="6615A551" w14:textId="77777777" w:rsidTr="00157870">
        <w:tblPrEx>
          <w:tblW w:w="0" w:type="auto"/>
          <w:tblInd w:w="108" w:type="dxa"/>
          <w:tblLook w:val="0000"/>
        </w:tblPrEx>
        <w:tc>
          <w:tcPr>
            <w:tcW w:w="1980" w:type="dxa"/>
            <w:tcBorders>
              <w:top w:val="single" w:sz="4" w:space="0" w:color="auto"/>
              <w:left w:val="single" w:sz="4" w:space="0" w:color="auto"/>
              <w:bottom w:val="single" w:sz="4" w:space="0" w:color="auto"/>
              <w:right w:val="single" w:sz="4" w:space="0" w:color="auto"/>
            </w:tcBorders>
          </w:tcPr>
          <w:p w:rsidR="00157870" w:rsidRPr="00295E71" w:rsidP="00157870" w14:paraId="4F604DBB" w14:textId="77777777">
            <w:pPr>
              <w:jc w:val="both"/>
              <w:rPr>
                <w:sz w:val="22"/>
                <w:szCs w:val="22"/>
              </w:rPr>
            </w:pPr>
            <w:r w:rsidRPr="00295E71">
              <w:rPr>
                <w:sz w:val="22"/>
                <w:szCs w:val="22"/>
              </w:rPr>
              <w:t>Indice Totale di Sharp</w:t>
            </w:r>
          </w:p>
        </w:tc>
        <w:tc>
          <w:tcPr>
            <w:tcW w:w="1430" w:type="dxa"/>
            <w:tcBorders>
              <w:top w:val="single" w:sz="4" w:space="0" w:color="auto"/>
              <w:left w:val="single" w:sz="4" w:space="0" w:color="auto"/>
              <w:bottom w:val="single" w:sz="4" w:space="0" w:color="auto"/>
              <w:right w:val="single" w:sz="4" w:space="0" w:color="auto"/>
            </w:tcBorders>
          </w:tcPr>
          <w:p w:rsidR="00157870" w:rsidRPr="00295E71" w:rsidP="00157870" w14:paraId="3C92DC38" w14:textId="77777777">
            <w:pPr>
              <w:jc w:val="both"/>
              <w:rPr>
                <w:sz w:val="22"/>
                <w:szCs w:val="22"/>
              </w:rPr>
            </w:pPr>
            <w:r w:rsidRPr="00295E71">
              <w:rPr>
                <w:sz w:val="22"/>
                <w:szCs w:val="22"/>
              </w:rPr>
              <w:t>2,7</w:t>
            </w:r>
          </w:p>
        </w:tc>
        <w:tc>
          <w:tcPr>
            <w:tcW w:w="1790" w:type="dxa"/>
            <w:tcBorders>
              <w:top w:val="single" w:sz="4" w:space="0" w:color="auto"/>
              <w:left w:val="single" w:sz="4" w:space="0" w:color="auto"/>
              <w:bottom w:val="single" w:sz="4" w:space="0" w:color="auto"/>
              <w:right w:val="single" w:sz="4" w:space="0" w:color="auto"/>
            </w:tcBorders>
          </w:tcPr>
          <w:p w:rsidR="00157870" w:rsidRPr="00295E71" w:rsidP="00157870" w14:paraId="69172FA6" w14:textId="77777777">
            <w:pPr>
              <w:jc w:val="both"/>
              <w:rPr>
                <w:sz w:val="22"/>
                <w:szCs w:val="22"/>
              </w:rPr>
            </w:pPr>
            <w:r w:rsidRPr="00295E71">
              <w:rPr>
                <w:sz w:val="22"/>
                <w:szCs w:val="22"/>
              </w:rPr>
              <w:t>0,1</w:t>
            </w:r>
          </w:p>
        </w:tc>
        <w:tc>
          <w:tcPr>
            <w:tcW w:w="2000" w:type="dxa"/>
            <w:tcBorders>
              <w:top w:val="single" w:sz="4" w:space="0" w:color="auto"/>
              <w:left w:val="single" w:sz="4" w:space="0" w:color="auto"/>
              <w:bottom w:val="single" w:sz="4" w:space="0" w:color="auto"/>
              <w:right w:val="single" w:sz="4" w:space="0" w:color="auto"/>
            </w:tcBorders>
          </w:tcPr>
          <w:p w:rsidR="00157870" w:rsidRPr="00295E71" w:rsidP="00157870" w14:paraId="398BF54E" w14:textId="77777777">
            <w:pPr>
              <w:jc w:val="both"/>
              <w:rPr>
                <w:sz w:val="22"/>
                <w:szCs w:val="22"/>
              </w:rPr>
            </w:pPr>
            <w:r w:rsidRPr="00295E71">
              <w:rPr>
                <w:sz w:val="22"/>
                <w:szCs w:val="22"/>
              </w:rPr>
              <w:t xml:space="preserve">2,6 (1,4-3,8) </w:t>
            </w:r>
          </w:p>
        </w:tc>
        <w:tc>
          <w:tcPr>
            <w:tcW w:w="1548" w:type="dxa"/>
            <w:tcBorders>
              <w:top w:val="single" w:sz="4" w:space="0" w:color="auto"/>
              <w:left w:val="single" w:sz="4" w:space="0" w:color="auto"/>
              <w:bottom w:val="single" w:sz="4" w:space="0" w:color="auto"/>
              <w:right w:val="single" w:sz="4" w:space="0" w:color="auto"/>
            </w:tcBorders>
          </w:tcPr>
          <w:p w:rsidR="00157870" w:rsidRPr="00295E71" w:rsidP="00157870" w14:paraId="494E90CB" w14:textId="77777777">
            <w:pPr>
              <w:jc w:val="both"/>
              <w:rPr>
                <w:sz w:val="22"/>
                <w:szCs w:val="22"/>
                <w:vertAlign w:val="superscript"/>
              </w:rPr>
            </w:pPr>
            <w:r w:rsidRPr="00295E71">
              <w:rPr>
                <w:sz w:val="22"/>
                <w:szCs w:val="22"/>
              </w:rPr>
              <w:t>&lt;0,001</w:t>
            </w:r>
            <w:r w:rsidRPr="00295E71">
              <w:rPr>
                <w:sz w:val="22"/>
                <w:szCs w:val="22"/>
                <w:vertAlign w:val="superscript"/>
              </w:rPr>
              <w:t>c</w:t>
            </w:r>
          </w:p>
        </w:tc>
      </w:tr>
      <w:tr w14:paraId="3FF8F81D" w14:textId="77777777" w:rsidTr="00157870">
        <w:tblPrEx>
          <w:tblW w:w="0" w:type="auto"/>
          <w:tblInd w:w="108" w:type="dxa"/>
          <w:tblLook w:val="0000"/>
        </w:tblPrEx>
        <w:tc>
          <w:tcPr>
            <w:tcW w:w="1980" w:type="dxa"/>
            <w:tcBorders>
              <w:top w:val="single" w:sz="4" w:space="0" w:color="auto"/>
              <w:left w:val="single" w:sz="4" w:space="0" w:color="auto"/>
              <w:bottom w:val="single" w:sz="4" w:space="0" w:color="auto"/>
              <w:right w:val="single" w:sz="4" w:space="0" w:color="auto"/>
            </w:tcBorders>
          </w:tcPr>
          <w:p w:rsidR="00157870" w:rsidRPr="00295E71" w:rsidP="00157870" w14:paraId="67741201" w14:textId="77777777">
            <w:pPr>
              <w:jc w:val="both"/>
              <w:rPr>
                <w:sz w:val="22"/>
                <w:szCs w:val="22"/>
              </w:rPr>
            </w:pPr>
            <w:r w:rsidRPr="00295E71">
              <w:rPr>
                <w:sz w:val="22"/>
                <w:szCs w:val="22"/>
              </w:rPr>
              <w:t>Indice di erosione</w:t>
            </w:r>
          </w:p>
        </w:tc>
        <w:tc>
          <w:tcPr>
            <w:tcW w:w="1430" w:type="dxa"/>
            <w:tcBorders>
              <w:top w:val="single" w:sz="4" w:space="0" w:color="auto"/>
              <w:left w:val="single" w:sz="4" w:space="0" w:color="auto"/>
              <w:bottom w:val="single" w:sz="4" w:space="0" w:color="auto"/>
              <w:right w:val="single" w:sz="4" w:space="0" w:color="auto"/>
            </w:tcBorders>
          </w:tcPr>
          <w:p w:rsidR="00157870" w:rsidRPr="00295E71" w:rsidP="00157870" w14:paraId="6AE39AAF" w14:textId="77777777">
            <w:pPr>
              <w:jc w:val="both"/>
              <w:rPr>
                <w:sz w:val="22"/>
                <w:szCs w:val="22"/>
              </w:rPr>
            </w:pPr>
            <w:r w:rsidRPr="00295E71">
              <w:rPr>
                <w:sz w:val="22"/>
                <w:szCs w:val="22"/>
              </w:rPr>
              <w:t>1,6</w:t>
            </w:r>
          </w:p>
        </w:tc>
        <w:tc>
          <w:tcPr>
            <w:tcW w:w="1790" w:type="dxa"/>
            <w:tcBorders>
              <w:top w:val="single" w:sz="4" w:space="0" w:color="auto"/>
              <w:left w:val="single" w:sz="4" w:space="0" w:color="auto"/>
              <w:bottom w:val="single" w:sz="4" w:space="0" w:color="auto"/>
              <w:right w:val="single" w:sz="4" w:space="0" w:color="auto"/>
            </w:tcBorders>
          </w:tcPr>
          <w:p w:rsidR="00157870" w:rsidRPr="00295E71" w:rsidP="00157870" w14:paraId="38B2221D" w14:textId="77777777">
            <w:pPr>
              <w:jc w:val="both"/>
              <w:rPr>
                <w:sz w:val="22"/>
                <w:szCs w:val="22"/>
              </w:rPr>
            </w:pPr>
            <w:r w:rsidRPr="00295E71">
              <w:rPr>
                <w:sz w:val="22"/>
                <w:szCs w:val="22"/>
              </w:rPr>
              <w:t>0,0</w:t>
            </w:r>
          </w:p>
        </w:tc>
        <w:tc>
          <w:tcPr>
            <w:tcW w:w="2000" w:type="dxa"/>
            <w:tcBorders>
              <w:top w:val="single" w:sz="4" w:space="0" w:color="auto"/>
              <w:left w:val="single" w:sz="4" w:space="0" w:color="auto"/>
              <w:bottom w:val="single" w:sz="4" w:space="0" w:color="auto"/>
              <w:right w:val="single" w:sz="4" w:space="0" w:color="auto"/>
            </w:tcBorders>
          </w:tcPr>
          <w:p w:rsidR="00157870" w:rsidRPr="00295E71" w:rsidP="00157870" w14:paraId="24D373CD" w14:textId="77777777">
            <w:pPr>
              <w:jc w:val="both"/>
              <w:rPr>
                <w:sz w:val="22"/>
                <w:szCs w:val="22"/>
              </w:rPr>
            </w:pPr>
            <w:r w:rsidRPr="00295E71">
              <w:rPr>
                <w:sz w:val="22"/>
                <w:szCs w:val="22"/>
              </w:rPr>
              <w:t>1,6 (0,9-2,2)</w:t>
            </w:r>
          </w:p>
        </w:tc>
        <w:tc>
          <w:tcPr>
            <w:tcW w:w="1548" w:type="dxa"/>
            <w:tcBorders>
              <w:top w:val="single" w:sz="4" w:space="0" w:color="auto"/>
              <w:left w:val="single" w:sz="4" w:space="0" w:color="auto"/>
              <w:bottom w:val="single" w:sz="4" w:space="0" w:color="auto"/>
              <w:right w:val="single" w:sz="4" w:space="0" w:color="auto"/>
            </w:tcBorders>
          </w:tcPr>
          <w:p w:rsidR="00157870" w:rsidRPr="00295E71" w:rsidP="00157870" w14:paraId="5F0E3AF7" w14:textId="77777777">
            <w:pPr>
              <w:jc w:val="both"/>
              <w:rPr>
                <w:sz w:val="22"/>
                <w:szCs w:val="22"/>
              </w:rPr>
            </w:pPr>
            <w:r w:rsidRPr="00295E71">
              <w:rPr>
                <w:sz w:val="22"/>
                <w:szCs w:val="22"/>
              </w:rPr>
              <w:t>&lt;0,001</w:t>
            </w:r>
          </w:p>
        </w:tc>
      </w:tr>
      <w:tr w14:paraId="4BE09F1C" w14:textId="77777777" w:rsidTr="00157870">
        <w:tblPrEx>
          <w:tblW w:w="0" w:type="auto"/>
          <w:tblInd w:w="108" w:type="dxa"/>
          <w:tblLook w:val="0000"/>
        </w:tblPrEx>
        <w:tc>
          <w:tcPr>
            <w:tcW w:w="1980" w:type="dxa"/>
            <w:tcBorders>
              <w:top w:val="single" w:sz="4" w:space="0" w:color="auto"/>
              <w:left w:val="single" w:sz="4" w:space="0" w:color="auto"/>
              <w:bottom w:val="single" w:sz="4" w:space="0" w:color="auto"/>
              <w:right w:val="single" w:sz="4" w:space="0" w:color="auto"/>
            </w:tcBorders>
          </w:tcPr>
          <w:p w:rsidR="00157870" w:rsidRPr="00295E71" w:rsidP="00157870" w14:paraId="4D5336F8" w14:textId="77777777">
            <w:pPr>
              <w:jc w:val="both"/>
              <w:rPr>
                <w:sz w:val="22"/>
                <w:szCs w:val="22"/>
              </w:rPr>
            </w:pPr>
            <w:r w:rsidRPr="00295E71">
              <w:rPr>
                <w:sz w:val="22"/>
                <w:szCs w:val="22"/>
              </w:rPr>
              <w:t>Indice JSN</w:t>
            </w:r>
            <w:r w:rsidRPr="00295E71">
              <w:rPr>
                <w:sz w:val="22"/>
                <w:szCs w:val="22"/>
                <w:vertAlign w:val="superscript"/>
              </w:rPr>
              <w:t>d</w:t>
            </w:r>
          </w:p>
        </w:tc>
        <w:tc>
          <w:tcPr>
            <w:tcW w:w="1430" w:type="dxa"/>
            <w:tcBorders>
              <w:top w:val="single" w:sz="4" w:space="0" w:color="auto"/>
              <w:left w:val="single" w:sz="4" w:space="0" w:color="auto"/>
              <w:bottom w:val="single" w:sz="4" w:space="0" w:color="auto"/>
              <w:right w:val="single" w:sz="4" w:space="0" w:color="auto"/>
            </w:tcBorders>
          </w:tcPr>
          <w:p w:rsidR="00157870" w:rsidRPr="00295E71" w:rsidP="00157870" w14:paraId="0C70980C" w14:textId="77777777">
            <w:pPr>
              <w:jc w:val="both"/>
              <w:rPr>
                <w:sz w:val="22"/>
                <w:szCs w:val="22"/>
              </w:rPr>
            </w:pPr>
            <w:r w:rsidRPr="00295E71">
              <w:rPr>
                <w:sz w:val="22"/>
                <w:szCs w:val="22"/>
              </w:rPr>
              <w:t>1,0</w:t>
            </w:r>
          </w:p>
        </w:tc>
        <w:tc>
          <w:tcPr>
            <w:tcW w:w="1790" w:type="dxa"/>
            <w:tcBorders>
              <w:top w:val="single" w:sz="4" w:space="0" w:color="auto"/>
              <w:left w:val="single" w:sz="4" w:space="0" w:color="auto"/>
              <w:bottom w:val="single" w:sz="4" w:space="0" w:color="auto"/>
              <w:right w:val="single" w:sz="4" w:space="0" w:color="auto"/>
            </w:tcBorders>
          </w:tcPr>
          <w:p w:rsidR="00157870" w:rsidRPr="00295E71" w:rsidP="00157870" w14:paraId="5685B091" w14:textId="77777777">
            <w:pPr>
              <w:jc w:val="both"/>
              <w:rPr>
                <w:sz w:val="22"/>
                <w:szCs w:val="22"/>
              </w:rPr>
            </w:pPr>
            <w:r w:rsidRPr="00295E71">
              <w:rPr>
                <w:sz w:val="22"/>
                <w:szCs w:val="22"/>
              </w:rPr>
              <w:t>0,1</w:t>
            </w:r>
          </w:p>
        </w:tc>
        <w:tc>
          <w:tcPr>
            <w:tcW w:w="2000" w:type="dxa"/>
            <w:tcBorders>
              <w:top w:val="single" w:sz="4" w:space="0" w:color="auto"/>
              <w:left w:val="single" w:sz="4" w:space="0" w:color="auto"/>
              <w:bottom w:val="single" w:sz="4" w:space="0" w:color="auto"/>
              <w:right w:val="single" w:sz="4" w:space="0" w:color="auto"/>
            </w:tcBorders>
          </w:tcPr>
          <w:p w:rsidR="00157870" w:rsidRPr="00295E71" w:rsidP="00157870" w14:paraId="61D38AF5" w14:textId="77777777">
            <w:pPr>
              <w:jc w:val="both"/>
              <w:rPr>
                <w:sz w:val="22"/>
                <w:szCs w:val="22"/>
              </w:rPr>
            </w:pPr>
            <w:r w:rsidRPr="00295E71">
              <w:rPr>
                <w:sz w:val="22"/>
                <w:szCs w:val="22"/>
              </w:rPr>
              <w:t>0,9 (0,3-1,4)</w:t>
            </w:r>
          </w:p>
        </w:tc>
        <w:tc>
          <w:tcPr>
            <w:tcW w:w="1548" w:type="dxa"/>
            <w:tcBorders>
              <w:top w:val="single" w:sz="4" w:space="0" w:color="auto"/>
              <w:left w:val="single" w:sz="4" w:space="0" w:color="auto"/>
              <w:bottom w:val="single" w:sz="4" w:space="0" w:color="auto"/>
              <w:right w:val="single" w:sz="4" w:space="0" w:color="auto"/>
            </w:tcBorders>
          </w:tcPr>
          <w:p w:rsidR="00157870" w:rsidRPr="00295E71" w:rsidP="00157870" w14:paraId="0B86C282" w14:textId="77777777">
            <w:pPr>
              <w:jc w:val="both"/>
              <w:rPr>
                <w:sz w:val="22"/>
                <w:szCs w:val="22"/>
              </w:rPr>
            </w:pPr>
            <w:r w:rsidRPr="00295E71">
              <w:rPr>
                <w:sz w:val="22"/>
                <w:szCs w:val="22"/>
              </w:rPr>
              <w:t xml:space="preserve">  0,002</w:t>
            </w:r>
          </w:p>
        </w:tc>
      </w:tr>
    </w:tbl>
    <w:p w:rsidR="00157870" w:rsidRPr="00295E71" w:rsidP="00157870" w14:paraId="0344E39F"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b/>
          <w:bCs/>
          <w:sz w:val="22"/>
          <w:szCs w:val="22"/>
          <w:vertAlign w:val="superscript"/>
          <w:lang w:val="it-IT"/>
        </w:rPr>
        <w:t>a</w:t>
      </w:r>
      <w:r w:rsidRPr="00295E71">
        <w:rPr>
          <w:rFonts w:ascii="Times New Roman" w:hAnsi="Times New Roman" w:cs="Times New Roman"/>
          <w:sz w:val="22"/>
          <w:szCs w:val="22"/>
          <w:lang w:val="it-IT"/>
        </w:rPr>
        <w:t>metotressato</w:t>
      </w:r>
    </w:p>
    <w:p w:rsidR="00157870" w:rsidRPr="00295E71" w:rsidP="00157870" w14:paraId="04DCF433"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 xml:space="preserve">Intervallo di confidenza del 95% per le differenze nelle variazioni degli indici tra metotressato e Humira. </w:t>
      </w:r>
    </w:p>
    <w:p w:rsidR="00157870" w:rsidRPr="00295E71" w:rsidP="00157870" w14:paraId="2B910D2A"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c</w:t>
      </w:r>
      <w:r w:rsidRPr="00295E71">
        <w:rPr>
          <w:rFonts w:ascii="Times New Roman" w:hAnsi="Times New Roman" w:cs="Times New Roman"/>
          <w:sz w:val="22"/>
          <w:szCs w:val="22"/>
          <w:lang w:val="it-IT"/>
        </w:rPr>
        <w:t xml:space="preserve">Basato sull’analisi a ranghi. </w:t>
      </w:r>
    </w:p>
    <w:p w:rsidR="00157870" w:rsidRPr="00295E71" w:rsidP="00157870" w14:paraId="76B2DD69"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d</w:t>
      </w:r>
      <w:r w:rsidRPr="00295E71">
        <w:rPr>
          <w:rFonts w:ascii="Times New Roman" w:hAnsi="Times New Roman" w:cs="Times New Roman"/>
          <w:sz w:val="22"/>
          <w:szCs w:val="22"/>
          <w:lang w:val="it-IT"/>
        </w:rPr>
        <w:t>Joint Space Narrowing (riduzione della rima articolare).</w:t>
      </w:r>
    </w:p>
    <w:p w:rsidR="00157870" w:rsidRPr="00295E71" w:rsidP="00157870" w14:paraId="46E4FBF1" w14:textId="77777777">
      <w:pPr>
        <w:tabs>
          <w:tab w:val="left" w:pos="567"/>
        </w:tabs>
        <w:jc w:val="both"/>
        <w:rPr>
          <w:sz w:val="22"/>
          <w:szCs w:val="22"/>
        </w:rPr>
      </w:pPr>
    </w:p>
    <w:p w:rsidR="00157870" w:rsidRPr="00295E71" w:rsidP="00157870" w14:paraId="59A23945" w14:textId="77777777">
      <w:pPr>
        <w:tabs>
          <w:tab w:val="left" w:pos="567"/>
        </w:tabs>
        <w:jc w:val="both"/>
        <w:rPr>
          <w:sz w:val="22"/>
          <w:szCs w:val="22"/>
        </w:rPr>
      </w:pPr>
      <w:r w:rsidRPr="00295E71">
        <w:rPr>
          <w:sz w:val="22"/>
          <w:szCs w:val="22"/>
        </w:rPr>
        <w:t xml:space="preserve">Nello studio AR V, il danno articolare strutturale è stato valutato radiograficamente ed è espresso in termini di variazione dell’Indice Totale di Sharp modificato (vedere Tabella </w:t>
      </w:r>
      <w:r w:rsidR="0041314F">
        <w:rPr>
          <w:sz w:val="22"/>
          <w:szCs w:val="22"/>
        </w:rPr>
        <w:t>10</w:t>
      </w:r>
      <w:r w:rsidRPr="00295E71">
        <w:rPr>
          <w:sz w:val="22"/>
          <w:szCs w:val="22"/>
        </w:rPr>
        <w:t>).</w:t>
      </w:r>
    </w:p>
    <w:p w:rsidR="00157870" w:rsidRPr="00295E71" w:rsidP="00157870" w14:paraId="3F7BFB69" w14:textId="77777777">
      <w:pPr>
        <w:rPr>
          <w:sz w:val="22"/>
          <w:szCs w:val="22"/>
        </w:rPr>
      </w:pPr>
    </w:p>
    <w:tbl>
      <w:tblPr>
        <w:tblW w:w="8910" w:type="dxa"/>
        <w:tblInd w:w="108" w:type="dxa"/>
        <w:tblLayout w:type="fixed"/>
        <w:tblLook w:val="0000"/>
      </w:tblPr>
      <w:tblGrid>
        <w:gridCol w:w="1430"/>
        <w:gridCol w:w="1540"/>
        <w:gridCol w:w="1482"/>
        <w:gridCol w:w="1488"/>
        <w:gridCol w:w="990"/>
        <w:gridCol w:w="990"/>
        <w:gridCol w:w="990"/>
      </w:tblGrid>
      <w:tr w14:paraId="2D4CCC02" w14:textId="77777777" w:rsidTr="00F57FE5">
        <w:tblPrEx>
          <w:tblW w:w="8910" w:type="dxa"/>
          <w:tblInd w:w="108" w:type="dxa"/>
          <w:tblLayout w:type="fixed"/>
          <w:tblLook w:val="0000"/>
        </w:tblPrEx>
        <w:trPr>
          <w:cantSplit/>
        </w:trPr>
        <w:tc>
          <w:tcPr>
            <w:tcW w:w="8910" w:type="dxa"/>
            <w:gridSpan w:val="7"/>
            <w:tcBorders>
              <w:bottom w:val="single" w:sz="4" w:space="0" w:color="auto"/>
            </w:tcBorders>
          </w:tcPr>
          <w:p w:rsidR="00157870" w:rsidRPr="00295E71" w:rsidP="00157870" w14:paraId="1268C1D7" w14:textId="77777777">
            <w:pPr>
              <w:pStyle w:val="Heading5"/>
              <w:keepNext w:val="0"/>
              <w:rPr>
                <w:lang w:val="it-IT"/>
              </w:rPr>
            </w:pPr>
            <w:r w:rsidRPr="00295E71">
              <w:rPr>
                <w:lang w:val="it-IT"/>
              </w:rPr>
              <w:br w:type="page"/>
              <w:t xml:space="preserve">Tabella </w:t>
            </w:r>
            <w:r w:rsidR="0041314F">
              <w:rPr>
                <w:lang w:val="it-IT"/>
              </w:rPr>
              <w:t>10</w:t>
            </w:r>
          </w:p>
          <w:p w:rsidR="00157870" w:rsidRPr="00295E71" w:rsidP="00157870" w14:paraId="57E10EA6" w14:textId="77777777">
            <w:pPr>
              <w:pStyle w:val="Heading5"/>
              <w:keepNext w:val="0"/>
              <w:rPr>
                <w:lang w:val="it-IT"/>
              </w:rPr>
            </w:pPr>
            <w:r w:rsidRPr="00295E71">
              <w:rPr>
                <w:lang w:val="it-IT"/>
              </w:rPr>
              <w:t>Variazioni radiografiche medie alla settimana 52 nello studio AR V</w:t>
            </w:r>
          </w:p>
          <w:p w:rsidR="00157870" w:rsidRPr="00295E71" w:rsidP="00157870" w14:paraId="6FFBE353" w14:textId="77777777">
            <w:pPr>
              <w:jc w:val="both"/>
              <w:rPr>
                <w:sz w:val="22"/>
                <w:szCs w:val="22"/>
              </w:rPr>
            </w:pPr>
          </w:p>
        </w:tc>
      </w:tr>
      <w:tr w14:paraId="711C56A4" w14:textId="77777777" w:rsidTr="00F57FE5">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763B2F15" w14:textId="77777777">
            <w:pPr>
              <w:pStyle w:val="EndnoteText"/>
              <w:tabs>
                <w:tab w:val="clear" w:pos="567"/>
              </w:tabs>
              <w:jc w:val="both"/>
              <w:rPr>
                <w:lang w:val="it-IT" w:eastAsia="it-IT"/>
              </w:rPr>
            </w:pPr>
          </w:p>
        </w:tc>
        <w:tc>
          <w:tcPr>
            <w:tcW w:w="1540"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578A27F9" w14:textId="77777777">
            <w:pPr>
              <w:jc w:val="both"/>
              <w:rPr>
                <w:sz w:val="22"/>
                <w:szCs w:val="22"/>
              </w:rPr>
            </w:pPr>
            <w:r w:rsidRPr="00295E71">
              <w:rPr>
                <w:sz w:val="22"/>
                <w:szCs w:val="22"/>
              </w:rPr>
              <w:t>MTX</w:t>
            </w:r>
          </w:p>
          <w:p w:rsidR="00157870" w:rsidRPr="00295E71" w:rsidP="00157870" w14:paraId="6A2C524C" w14:textId="77777777">
            <w:pPr>
              <w:jc w:val="both"/>
              <w:rPr>
                <w:sz w:val="22"/>
                <w:szCs w:val="22"/>
              </w:rPr>
            </w:pPr>
            <w:r w:rsidRPr="00295E71">
              <w:rPr>
                <w:sz w:val="22"/>
                <w:szCs w:val="22"/>
              </w:rPr>
              <w:t>n=257</w:t>
            </w:r>
          </w:p>
          <w:p w:rsidR="00157870" w:rsidRPr="00295E71" w:rsidP="00157870" w14:paraId="415E1B74" w14:textId="77777777">
            <w:pPr>
              <w:jc w:val="both"/>
              <w:rPr>
                <w:sz w:val="22"/>
                <w:szCs w:val="22"/>
              </w:rPr>
            </w:pPr>
            <w:r w:rsidRPr="00295E71">
              <w:rPr>
                <w:sz w:val="22"/>
                <w:szCs w:val="22"/>
              </w:rPr>
              <w:t>(95% intervallo di confidenza)</w:t>
            </w:r>
          </w:p>
        </w:tc>
        <w:tc>
          <w:tcPr>
            <w:tcW w:w="1482"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525015EB" w14:textId="77777777">
            <w:pPr>
              <w:jc w:val="both"/>
              <w:rPr>
                <w:sz w:val="22"/>
                <w:szCs w:val="22"/>
              </w:rPr>
            </w:pPr>
            <w:r w:rsidRPr="00295E71">
              <w:rPr>
                <w:sz w:val="22"/>
                <w:szCs w:val="22"/>
              </w:rPr>
              <w:t>Humira</w:t>
            </w:r>
          </w:p>
          <w:p w:rsidR="00157870" w:rsidRPr="00295E71" w:rsidP="00157870" w14:paraId="6565BDF9" w14:textId="77777777">
            <w:pPr>
              <w:pStyle w:val="EMEAFigureTitle"/>
              <w:jc w:val="both"/>
              <w:rPr>
                <w:lang w:val="it-IT"/>
              </w:rPr>
            </w:pPr>
            <w:r w:rsidRPr="00295E71">
              <w:rPr>
                <w:lang w:val="it-IT"/>
              </w:rPr>
              <w:t>n=274</w:t>
            </w:r>
          </w:p>
          <w:p w:rsidR="00157870" w:rsidRPr="00295E71" w:rsidP="00157870" w14:paraId="0B35DEFD" w14:textId="77777777">
            <w:pPr>
              <w:jc w:val="both"/>
              <w:rPr>
                <w:sz w:val="22"/>
                <w:szCs w:val="22"/>
              </w:rPr>
            </w:pPr>
            <w:r w:rsidRPr="00295E71">
              <w:rPr>
                <w:sz w:val="22"/>
                <w:szCs w:val="22"/>
              </w:rPr>
              <w:t>(95% intervallo di confidenza)</w:t>
            </w:r>
          </w:p>
        </w:tc>
        <w:tc>
          <w:tcPr>
            <w:tcW w:w="1488"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2CB8481C" w14:textId="77777777">
            <w:pPr>
              <w:jc w:val="both"/>
              <w:rPr>
                <w:sz w:val="22"/>
                <w:szCs w:val="22"/>
              </w:rPr>
            </w:pPr>
            <w:r w:rsidRPr="00295E71">
              <w:rPr>
                <w:sz w:val="22"/>
                <w:szCs w:val="22"/>
              </w:rPr>
              <w:t>Humira/MTX</w:t>
            </w:r>
          </w:p>
          <w:p w:rsidR="00157870" w:rsidRPr="00295E71" w:rsidP="00157870" w14:paraId="34B3167D" w14:textId="77777777">
            <w:pPr>
              <w:pStyle w:val="EMEAFigureTitle"/>
              <w:jc w:val="both"/>
              <w:rPr>
                <w:lang w:val="it-IT"/>
              </w:rPr>
            </w:pPr>
            <w:r w:rsidRPr="00295E71">
              <w:rPr>
                <w:lang w:val="it-IT"/>
              </w:rPr>
              <w:t>n=268</w:t>
            </w:r>
          </w:p>
          <w:p w:rsidR="00157870" w:rsidRPr="00295E71" w:rsidP="00157870" w14:paraId="55729BB7" w14:textId="77777777">
            <w:pPr>
              <w:pStyle w:val="EMEANormal"/>
              <w:jc w:val="both"/>
              <w:rPr>
                <w:lang w:val="it-IT"/>
              </w:rPr>
            </w:pPr>
            <w:r w:rsidRPr="00295E71">
              <w:rPr>
                <w:lang w:val="it-IT"/>
              </w:rPr>
              <w:t>(95% intervallo di confidenza)</w:t>
            </w:r>
          </w:p>
        </w:tc>
        <w:tc>
          <w:tcPr>
            <w:tcW w:w="990"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28CCA14F" w14:textId="77777777">
            <w:pPr>
              <w:pStyle w:val="EMEANormal"/>
              <w:jc w:val="both"/>
              <w:rPr>
                <w:lang w:val="it-IT"/>
              </w:rPr>
            </w:pPr>
            <w:r w:rsidRPr="00295E71">
              <w:rPr>
                <w:lang w:val="it-IT"/>
              </w:rPr>
              <w:t>Valore p</w:t>
            </w:r>
            <w:r w:rsidRPr="00295E71">
              <w:rPr>
                <w:vertAlign w:val="superscript"/>
                <w:lang w:val="it-IT"/>
              </w:rPr>
              <w:t>a</w:t>
            </w:r>
          </w:p>
        </w:tc>
        <w:tc>
          <w:tcPr>
            <w:tcW w:w="990"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4D5527C5" w14:textId="77777777">
            <w:pPr>
              <w:jc w:val="both"/>
              <w:rPr>
                <w:sz w:val="22"/>
                <w:szCs w:val="22"/>
              </w:rPr>
            </w:pPr>
            <w:r w:rsidRPr="00295E71">
              <w:rPr>
                <w:sz w:val="22"/>
                <w:szCs w:val="22"/>
              </w:rPr>
              <w:t>Valore p</w:t>
            </w:r>
            <w:r w:rsidRPr="00295E71">
              <w:rPr>
                <w:sz w:val="22"/>
                <w:szCs w:val="22"/>
                <w:vertAlign w:val="superscript"/>
              </w:rPr>
              <w:t>b</w:t>
            </w:r>
          </w:p>
        </w:tc>
        <w:tc>
          <w:tcPr>
            <w:tcW w:w="990" w:type="dxa"/>
            <w:tcBorders>
              <w:top w:val="single" w:sz="4" w:space="0" w:color="auto"/>
              <w:left w:val="single" w:sz="4" w:space="0" w:color="auto"/>
              <w:bottom w:val="single" w:sz="4" w:space="0" w:color="auto"/>
              <w:right w:val="single" w:sz="4" w:space="0" w:color="auto"/>
            </w:tcBorders>
            <w:vAlign w:val="center"/>
          </w:tcPr>
          <w:p w:rsidR="00157870" w:rsidRPr="00295E71" w:rsidP="00157870" w14:paraId="56E382C3" w14:textId="77777777">
            <w:pPr>
              <w:jc w:val="both"/>
              <w:rPr>
                <w:sz w:val="22"/>
                <w:szCs w:val="22"/>
              </w:rPr>
            </w:pPr>
            <w:r w:rsidRPr="00295E71">
              <w:rPr>
                <w:sz w:val="22"/>
                <w:szCs w:val="22"/>
              </w:rPr>
              <w:t>Valore p</w:t>
            </w:r>
            <w:r w:rsidRPr="00295E71">
              <w:rPr>
                <w:sz w:val="22"/>
                <w:szCs w:val="22"/>
                <w:vertAlign w:val="superscript"/>
              </w:rPr>
              <w:t>c</w:t>
            </w:r>
          </w:p>
        </w:tc>
      </w:tr>
      <w:tr w14:paraId="392E73A4" w14:textId="77777777" w:rsidTr="00F57FE5">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tcPr>
          <w:p w:rsidR="00157870" w:rsidRPr="00295E71" w:rsidP="00157870" w14:paraId="6734CFAE" w14:textId="77777777">
            <w:pPr>
              <w:pStyle w:val="EMEAFigureTitle"/>
              <w:jc w:val="both"/>
              <w:rPr>
                <w:lang w:val="it-IT"/>
              </w:rPr>
            </w:pPr>
            <w:r w:rsidRPr="00295E71">
              <w:rPr>
                <w:lang w:val="it-IT"/>
              </w:rPr>
              <w:t>Indice Totale di Sharp</w:t>
            </w:r>
          </w:p>
        </w:tc>
        <w:tc>
          <w:tcPr>
            <w:tcW w:w="1540" w:type="dxa"/>
            <w:tcBorders>
              <w:top w:val="single" w:sz="4" w:space="0" w:color="auto"/>
              <w:left w:val="single" w:sz="4" w:space="0" w:color="auto"/>
              <w:bottom w:val="single" w:sz="4" w:space="0" w:color="auto"/>
              <w:right w:val="single" w:sz="4" w:space="0" w:color="auto"/>
            </w:tcBorders>
          </w:tcPr>
          <w:p w:rsidR="00157870" w:rsidRPr="00295E71" w:rsidP="00157870" w14:paraId="70103B06" w14:textId="77777777">
            <w:pPr>
              <w:jc w:val="both"/>
              <w:rPr>
                <w:sz w:val="22"/>
                <w:szCs w:val="22"/>
              </w:rPr>
            </w:pPr>
            <w:r w:rsidRPr="00295E71">
              <w:rPr>
                <w:sz w:val="22"/>
                <w:szCs w:val="22"/>
              </w:rPr>
              <w:t>5,7 (4,2-7,3)</w:t>
            </w:r>
          </w:p>
        </w:tc>
        <w:tc>
          <w:tcPr>
            <w:tcW w:w="1482" w:type="dxa"/>
            <w:tcBorders>
              <w:top w:val="single" w:sz="4" w:space="0" w:color="auto"/>
              <w:left w:val="single" w:sz="4" w:space="0" w:color="auto"/>
              <w:bottom w:val="single" w:sz="4" w:space="0" w:color="auto"/>
              <w:right w:val="single" w:sz="4" w:space="0" w:color="auto"/>
            </w:tcBorders>
          </w:tcPr>
          <w:p w:rsidR="00157870" w:rsidRPr="00295E71" w:rsidP="00157870" w14:paraId="39B535D7" w14:textId="77777777">
            <w:pPr>
              <w:pStyle w:val="EndnoteText"/>
              <w:jc w:val="both"/>
              <w:rPr>
                <w:lang w:val="it-IT"/>
              </w:rPr>
            </w:pPr>
            <w:r w:rsidRPr="00295E71">
              <w:rPr>
                <w:lang w:val="it-IT"/>
              </w:rPr>
              <w:t>3,0 (1,7-4,3)</w:t>
            </w:r>
          </w:p>
        </w:tc>
        <w:tc>
          <w:tcPr>
            <w:tcW w:w="1488" w:type="dxa"/>
            <w:tcBorders>
              <w:top w:val="single" w:sz="4" w:space="0" w:color="auto"/>
              <w:left w:val="single" w:sz="4" w:space="0" w:color="auto"/>
              <w:bottom w:val="single" w:sz="4" w:space="0" w:color="auto"/>
              <w:right w:val="single" w:sz="4" w:space="0" w:color="auto"/>
            </w:tcBorders>
          </w:tcPr>
          <w:p w:rsidR="00157870" w:rsidRPr="00295E71" w:rsidP="00157870" w14:paraId="77DF38DE" w14:textId="77777777">
            <w:pPr>
              <w:pStyle w:val="EndnoteText"/>
              <w:jc w:val="both"/>
              <w:rPr>
                <w:lang w:val="it-IT"/>
              </w:rPr>
            </w:pPr>
            <w:r w:rsidRPr="00295E71">
              <w:rPr>
                <w:lang w:val="it-IT"/>
              </w:rPr>
              <w:t>1,3 (0,5-2,1)</w:t>
            </w:r>
          </w:p>
        </w:tc>
        <w:tc>
          <w:tcPr>
            <w:tcW w:w="990" w:type="dxa"/>
            <w:tcBorders>
              <w:top w:val="single" w:sz="4" w:space="0" w:color="auto"/>
              <w:left w:val="single" w:sz="4" w:space="0" w:color="auto"/>
              <w:bottom w:val="single" w:sz="4" w:space="0" w:color="auto"/>
              <w:right w:val="single" w:sz="4" w:space="0" w:color="auto"/>
            </w:tcBorders>
          </w:tcPr>
          <w:p w:rsidR="00157870" w:rsidRPr="00295E71" w:rsidP="00157870" w14:paraId="49958C97" w14:textId="77777777">
            <w:pPr>
              <w:pStyle w:val="EndnoteText"/>
              <w:jc w:val="both"/>
              <w:rPr>
                <w:lang w:val="it-IT"/>
              </w:rPr>
            </w:pPr>
            <w:r w:rsidRPr="00295E71">
              <w:rPr>
                <w:lang w:val="it-IT"/>
              </w:rPr>
              <w:t>&lt;0,001</w:t>
            </w:r>
          </w:p>
        </w:tc>
        <w:tc>
          <w:tcPr>
            <w:tcW w:w="990" w:type="dxa"/>
            <w:tcBorders>
              <w:top w:val="single" w:sz="4" w:space="0" w:color="auto"/>
              <w:left w:val="single" w:sz="4" w:space="0" w:color="auto"/>
              <w:bottom w:val="single" w:sz="4" w:space="0" w:color="auto"/>
              <w:right w:val="single" w:sz="4" w:space="0" w:color="auto"/>
            </w:tcBorders>
          </w:tcPr>
          <w:p w:rsidR="00157870" w:rsidRPr="00295E71" w:rsidP="00157870" w14:paraId="093F6516" w14:textId="77777777">
            <w:pPr>
              <w:jc w:val="both"/>
              <w:rPr>
                <w:sz w:val="22"/>
                <w:szCs w:val="22"/>
              </w:rPr>
            </w:pPr>
            <w:r w:rsidRPr="00295E71">
              <w:rPr>
                <w:sz w:val="22"/>
                <w:szCs w:val="22"/>
              </w:rPr>
              <w:t>0,0020</w:t>
            </w:r>
          </w:p>
        </w:tc>
        <w:tc>
          <w:tcPr>
            <w:tcW w:w="990" w:type="dxa"/>
            <w:tcBorders>
              <w:top w:val="single" w:sz="4" w:space="0" w:color="auto"/>
              <w:left w:val="single" w:sz="4" w:space="0" w:color="auto"/>
              <w:bottom w:val="single" w:sz="4" w:space="0" w:color="auto"/>
              <w:right w:val="single" w:sz="4" w:space="0" w:color="auto"/>
            </w:tcBorders>
          </w:tcPr>
          <w:p w:rsidR="00157870" w:rsidRPr="00295E71" w:rsidP="00157870" w14:paraId="6015A381" w14:textId="77777777">
            <w:pPr>
              <w:jc w:val="both"/>
              <w:rPr>
                <w:sz w:val="22"/>
                <w:szCs w:val="22"/>
              </w:rPr>
            </w:pPr>
            <w:r w:rsidRPr="00295E71">
              <w:rPr>
                <w:sz w:val="22"/>
                <w:szCs w:val="22"/>
              </w:rPr>
              <w:t>&lt;0,001</w:t>
            </w:r>
          </w:p>
        </w:tc>
      </w:tr>
      <w:tr w14:paraId="5DB7800C" w14:textId="77777777" w:rsidTr="00F57FE5">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tcPr>
          <w:p w:rsidR="00157870" w:rsidRPr="00295E71" w:rsidP="00157870" w14:paraId="46172402" w14:textId="77777777">
            <w:pPr>
              <w:jc w:val="both"/>
              <w:rPr>
                <w:sz w:val="22"/>
                <w:szCs w:val="22"/>
              </w:rPr>
            </w:pPr>
            <w:r w:rsidRPr="00295E71">
              <w:rPr>
                <w:sz w:val="22"/>
                <w:szCs w:val="22"/>
              </w:rPr>
              <w:t>Indice di erosione</w:t>
            </w:r>
          </w:p>
        </w:tc>
        <w:tc>
          <w:tcPr>
            <w:tcW w:w="1540" w:type="dxa"/>
            <w:tcBorders>
              <w:top w:val="single" w:sz="4" w:space="0" w:color="auto"/>
              <w:left w:val="single" w:sz="4" w:space="0" w:color="auto"/>
              <w:bottom w:val="single" w:sz="4" w:space="0" w:color="auto"/>
              <w:right w:val="single" w:sz="4" w:space="0" w:color="auto"/>
            </w:tcBorders>
          </w:tcPr>
          <w:p w:rsidR="00157870" w:rsidRPr="00295E71" w:rsidP="00157870" w14:paraId="00CD3ADF" w14:textId="77777777">
            <w:pPr>
              <w:jc w:val="both"/>
              <w:rPr>
                <w:sz w:val="22"/>
                <w:szCs w:val="22"/>
              </w:rPr>
            </w:pPr>
            <w:r w:rsidRPr="00295E71">
              <w:rPr>
                <w:sz w:val="22"/>
                <w:szCs w:val="22"/>
              </w:rPr>
              <w:t>3,7 (2,7-4,7)</w:t>
            </w:r>
          </w:p>
        </w:tc>
        <w:tc>
          <w:tcPr>
            <w:tcW w:w="1482" w:type="dxa"/>
            <w:tcBorders>
              <w:top w:val="single" w:sz="4" w:space="0" w:color="auto"/>
              <w:left w:val="single" w:sz="4" w:space="0" w:color="auto"/>
              <w:bottom w:val="single" w:sz="4" w:space="0" w:color="auto"/>
              <w:right w:val="single" w:sz="4" w:space="0" w:color="auto"/>
            </w:tcBorders>
          </w:tcPr>
          <w:p w:rsidR="00157870" w:rsidRPr="00295E71" w:rsidP="00157870" w14:paraId="5C581DD4" w14:textId="77777777">
            <w:pPr>
              <w:jc w:val="both"/>
              <w:rPr>
                <w:sz w:val="22"/>
                <w:szCs w:val="22"/>
              </w:rPr>
            </w:pPr>
            <w:r w:rsidRPr="00295E71">
              <w:rPr>
                <w:sz w:val="22"/>
                <w:szCs w:val="22"/>
              </w:rPr>
              <w:t>1,7 (1,0-2,4)</w:t>
            </w:r>
          </w:p>
        </w:tc>
        <w:tc>
          <w:tcPr>
            <w:tcW w:w="1488" w:type="dxa"/>
            <w:tcBorders>
              <w:top w:val="single" w:sz="4" w:space="0" w:color="auto"/>
              <w:left w:val="single" w:sz="4" w:space="0" w:color="auto"/>
              <w:bottom w:val="single" w:sz="4" w:space="0" w:color="auto"/>
              <w:right w:val="single" w:sz="4" w:space="0" w:color="auto"/>
            </w:tcBorders>
          </w:tcPr>
          <w:p w:rsidR="00157870" w:rsidRPr="00295E71" w:rsidP="00157870" w14:paraId="3B7D3D49" w14:textId="77777777">
            <w:pPr>
              <w:jc w:val="both"/>
              <w:rPr>
                <w:sz w:val="22"/>
                <w:szCs w:val="22"/>
              </w:rPr>
            </w:pPr>
            <w:r w:rsidRPr="00295E71">
              <w:rPr>
                <w:sz w:val="22"/>
                <w:szCs w:val="22"/>
              </w:rPr>
              <w:t>0,8 (0,4-1,2)</w:t>
            </w:r>
          </w:p>
        </w:tc>
        <w:tc>
          <w:tcPr>
            <w:tcW w:w="990" w:type="dxa"/>
            <w:tcBorders>
              <w:top w:val="single" w:sz="4" w:space="0" w:color="auto"/>
              <w:left w:val="single" w:sz="4" w:space="0" w:color="auto"/>
              <w:bottom w:val="single" w:sz="4" w:space="0" w:color="auto"/>
              <w:right w:val="single" w:sz="4" w:space="0" w:color="auto"/>
            </w:tcBorders>
          </w:tcPr>
          <w:p w:rsidR="00157870" w:rsidRPr="00295E71" w:rsidP="00157870" w14:paraId="4EA4F4B5" w14:textId="77777777">
            <w:pPr>
              <w:jc w:val="both"/>
              <w:rPr>
                <w:sz w:val="22"/>
                <w:szCs w:val="22"/>
              </w:rPr>
            </w:pPr>
            <w:r w:rsidRPr="00295E71">
              <w:rPr>
                <w:sz w:val="22"/>
                <w:szCs w:val="22"/>
              </w:rPr>
              <w:t>&lt;0,001</w:t>
            </w:r>
          </w:p>
        </w:tc>
        <w:tc>
          <w:tcPr>
            <w:tcW w:w="990" w:type="dxa"/>
            <w:tcBorders>
              <w:top w:val="single" w:sz="4" w:space="0" w:color="auto"/>
              <w:left w:val="single" w:sz="4" w:space="0" w:color="auto"/>
              <w:bottom w:val="single" w:sz="4" w:space="0" w:color="auto"/>
              <w:right w:val="single" w:sz="4" w:space="0" w:color="auto"/>
            </w:tcBorders>
          </w:tcPr>
          <w:p w:rsidR="00157870" w:rsidRPr="00295E71" w:rsidP="00157870" w14:paraId="294C9FC4" w14:textId="77777777">
            <w:pPr>
              <w:jc w:val="both"/>
              <w:rPr>
                <w:sz w:val="22"/>
                <w:szCs w:val="22"/>
              </w:rPr>
            </w:pPr>
            <w:r w:rsidRPr="00295E71">
              <w:rPr>
                <w:sz w:val="22"/>
                <w:szCs w:val="22"/>
              </w:rPr>
              <w:t>0,0082</w:t>
            </w:r>
          </w:p>
        </w:tc>
        <w:tc>
          <w:tcPr>
            <w:tcW w:w="990" w:type="dxa"/>
            <w:tcBorders>
              <w:top w:val="single" w:sz="4" w:space="0" w:color="auto"/>
              <w:left w:val="single" w:sz="4" w:space="0" w:color="auto"/>
              <w:bottom w:val="single" w:sz="4" w:space="0" w:color="auto"/>
              <w:right w:val="single" w:sz="4" w:space="0" w:color="auto"/>
            </w:tcBorders>
          </w:tcPr>
          <w:p w:rsidR="00157870" w:rsidRPr="00295E71" w:rsidP="00157870" w14:paraId="7B99FE23" w14:textId="77777777">
            <w:pPr>
              <w:jc w:val="both"/>
              <w:rPr>
                <w:sz w:val="22"/>
                <w:szCs w:val="22"/>
              </w:rPr>
            </w:pPr>
            <w:r w:rsidRPr="00295E71">
              <w:rPr>
                <w:sz w:val="22"/>
                <w:szCs w:val="22"/>
              </w:rPr>
              <w:t>&lt;0,001</w:t>
            </w:r>
          </w:p>
        </w:tc>
      </w:tr>
      <w:tr w14:paraId="361E0F19" w14:textId="77777777" w:rsidTr="00F57FE5">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tcPr>
          <w:p w:rsidR="00157870" w:rsidRPr="00295E71" w:rsidP="00157870" w14:paraId="63B82599" w14:textId="77777777">
            <w:pPr>
              <w:jc w:val="both"/>
              <w:rPr>
                <w:sz w:val="22"/>
                <w:szCs w:val="22"/>
              </w:rPr>
            </w:pPr>
            <w:r w:rsidRPr="00295E71">
              <w:rPr>
                <w:sz w:val="22"/>
                <w:szCs w:val="22"/>
              </w:rPr>
              <w:t>JSN</w:t>
            </w:r>
          </w:p>
        </w:tc>
        <w:tc>
          <w:tcPr>
            <w:tcW w:w="1540" w:type="dxa"/>
            <w:tcBorders>
              <w:top w:val="single" w:sz="4" w:space="0" w:color="auto"/>
              <w:left w:val="single" w:sz="4" w:space="0" w:color="auto"/>
              <w:bottom w:val="single" w:sz="4" w:space="0" w:color="auto"/>
              <w:right w:val="single" w:sz="4" w:space="0" w:color="auto"/>
            </w:tcBorders>
          </w:tcPr>
          <w:p w:rsidR="00157870" w:rsidRPr="00295E71" w:rsidP="00157870" w14:paraId="2A87453C" w14:textId="77777777">
            <w:pPr>
              <w:jc w:val="both"/>
              <w:rPr>
                <w:sz w:val="22"/>
                <w:szCs w:val="22"/>
              </w:rPr>
            </w:pPr>
            <w:r w:rsidRPr="00295E71">
              <w:rPr>
                <w:sz w:val="22"/>
                <w:szCs w:val="22"/>
              </w:rPr>
              <w:t>2,0 (1,2-2,8)</w:t>
            </w:r>
          </w:p>
        </w:tc>
        <w:tc>
          <w:tcPr>
            <w:tcW w:w="1482" w:type="dxa"/>
            <w:tcBorders>
              <w:top w:val="single" w:sz="4" w:space="0" w:color="auto"/>
              <w:left w:val="single" w:sz="4" w:space="0" w:color="auto"/>
              <w:bottom w:val="single" w:sz="4" w:space="0" w:color="auto"/>
              <w:right w:val="single" w:sz="4" w:space="0" w:color="auto"/>
            </w:tcBorders>
          </w:tcPr>
          <w:p w:rsidR="00157870" w:rsidRPr="00295E71" w:rsidP="00157870" w14:paraId="2277E2CB" w14:textId="77777777">
            <w:pPr>
              <w:jc w:val="both"/>
              <w:rPr>
                <w:sz w:val="22"/>
                <w:szCs w:val="22"/>
              </w:rPr>
            </w:pPr>
            <w:r w:rsidRPr="00295E71">
              <w:rPr>
                <w:sz w:val="22"/>
                <w:szCs w:val="22"/>
              </w:rPr>
              <w:t>1,3 (0,5-2,1)</w:t>
            </w:r>
          </w:p>
        </w:tc>
        <w:tc>
          <w:tcPr>
            <w:tcW w:w="1488" w:type="dxa"/>
            <w:tcBorders>
              <w:top w:val="single" w:sz="4" w:space="0" w:color="auto"/>
              <w:left w:val="single" w:sz="4" w:space="0" w:color="auto"/>
              <w:bottom w:val="single" w:sz="4" w:space="0" w:color="auto"/>
              <w:right w:val="single" w:sz="4" w:space="0" w:color="auto"/>
            </w:tcBorders>
          </w:tcPr>
          <w:p w:rsidR="00157870" w:rsidRPr="00295E71" w:rsidP="00157870" w14:paraId="6C4450F9" w14:textId="77777777">
            <w:pPr>
              <w:jc w:val="both"/>
              <w:rPr>
                <w:sz w:val="22"/>
                <w:szCs w:val="22"/>
              </w:rPr>
            </w:pPr>
            <w:r w:rsidRPr="00295E71">
              <w:rPr>
                <w:sz w:val="22"/>
                <w:szCs w:val="22"/>
              </w:rPr>
              <w:t>0,5 (0-1,0)</w:t>
            </w:r>
          </w:p>
        </w:tc>
        <w:tc>
          <w:tcPr>
            <w:tcW w:w="990" w:type="dxa"/>
            <w:tcBorders>
              <w:top w:val="single" w:sz="4" w:space="0" w:color="auto"/>
              <w:left w:val="single" w:sz="4" w:space="0" w:color="auto"/>
              <w:bottom w:val="single" w:sz="4" w:space="0" w:color="auto"/>
              <w:right w:val="single" w:sz="4" w:space="0" w:color="auto"/>
            </w:tcBorders>
          </w:tcPr>
          <w:p w:rsidR="00157870" w:rsidRPr="00295E71" w:rsidP="00157870" w14:paraId="13E34863" w14:textId="77777777">
            <w:pPr>
              <w:jc w:val="both"/>
              <w:rPr>
                <w:sz w:val="22"/>
                <w:szCs w:val="22"/>
              </w:rPr>
            </w:pPr>
            <w:r w:rsidRPr="00295E71">
              <w:rPr>
                <w:sz w:val="22"/>
                <w:szCs w:val="22"/>
              </w:rPr>
              <w:t>&lt;0,001</w:t>
            </w:r>
          </w:p>
        </w:tc>
        <w:tc>
          <w:tcPr>
            <w:tcW w:w="990" w:type="dxa"/>
            <w:tcBorders>
              <w:top w:val="single" w:sz="4" w:space="0" w:color="auto"/>
              <w:left w:val="single" w:sz="4" w:space="0" w:color="auto"/>
              <w:bottom w:val="single" w:sz="4" w:space="0" w:color="auto"/>
              <w:right w:val="single" w:sz="4" w:space="0" w:color="auto"/>
            </w:tcBorders>
          </w:tcPr>
          <w:p w:rsidR="00157870" w:rsidRPr="00295E71" w:rsidP="00157870" w14:paraId="115CAF0C" w14:textId="77777777">
            <w:pPr>
              <w:jc w:val="both"/>
              <w:rPr>
                <w:sz w:val="22"/>
                <w:szCs w:val="22"/>
              </w:rPr>
            </w:pPr>
            <w:r w:rsidRPr="00295E71">
              <w:rPr>
                <w:sz w:val="22"/>
                <w:szCs w:val="22"/>
              </w:rPr>
              <w:t>0,0037</w:t>
            </w:r>
          </w:p>
        </w:tc>
        <w:tc>
          <w:tcPr>
            <w:tcW w:w="990" w:type="dxa"/>
            <w:tcBorders>
              <w:top w:val="single" w:sz="4" w:space="0" w:color="auto"/>
              <w:left w:val="single" w:sz="4" w:space="0" w:color="auto"/>
              <w:bottom w:val="single" w:sz="4" w:space="0" w:color="auto"/>
              <w:right w:val="single" w:sz="4" w:space="0" w:color="auto"/>
            </w:tcBorders>
          </w:tcPr>
          <w:p w:rsidR="00157870" w:rsidRPr="00295E71" w:rsidP="00157870" w14:paraId="2BB411DD" w14:textId="77777777">
            <w:pPr>
              <w:jc w:val="both"/>
              <w:rPr>
                <w:sz w:val="22"/>
                <w:szCs w:val="22"/>
              </w:rPr>
            </w:pPr>
            <w:r w:rsidRPr="00295E71">
              <w:rPr>
                <w:sz w:val="22"/>
                <w:szCs w:val="22"/>
              </w:rPr>
              <w:t>0,151</w:t>
            </w:r>
          </w:p>
        </w:tc>
      </w:tr>
      <w:tr w14:paraId="07292758" w14:textId="77777777" w:rsidTr="00F57FE5">
        <w:tblPrEx>
          <w:tblW w:w="8910" w:type="dxa"/>
          <w:tblInd w:w="108" w:type="dxa"/>
          <w:tblLayout w:type="fixed"/>
          <w:tblLook w:val="0000"/>
        </w:tblPrEx>
        <w:trPr>
          <w:cantSplit/>
        </w:trPr>
        <w:tc>
          <w:tcPr>
            <w:tcW w:w="8910" w:type="dxa"/>
            <w:gridSpan w:val="7"/>
            <w:tcBorders>
              <w:top w:val="single" w:sz="4" w:space="0" w:color="auto"/>
            </w:tcBorders>
          </w:tcPr>
          <w:p w:rsidR="00157870" w:rsidRPr="00295E71" w:rsidP="00157870" w14:paraId="3A35F452" w14:textId="77777777">
            <w:pPr>
              <w:tabs>
                <w:tab w:val="left" w:pos="330"/>
                <w:tab w:val="left" w:pos="10728"/>
              </w:tabs>
              <w:ind w:left="360" w:hanging="360"/>
              <w:jc w:val="both"/>
              <w:rPr>
                <w:sz w:val="22"/>
                <w:szCs w:val="22"/>
              </w:rPr>
            </w:pPr>
            <w:r w:rsidRPr="00295E71">
              <w:rPr>
                <w:sz w:val="22"/>
                <w:szCs w:val="22"/>
                <w:vertAlign w:val="superscript"/>
              </w:rPr>
              <w:t>a</w:t>
            </w:r>
            <w:r w:rsidRPr="00295E71">
              <w:rPr>
                <w:sz w:val="22"/>
                <w:szCs w:val="22"/>
              </w:rPr>
              <w:tab/>
              <w:t xml:space="preserve">il valore p è stato ottenuto confrontando a due a due la </w:t>
            </w:r>
            <w:r w:rsidRPr="00020442" w:rsidR="00D20773">
              <w:rPr>
                <w:sz w:val="22"/>
                <w:szCs w:val="22"/>
              </w:rPr>
              <w:t>mono</w:t>
            </w:r>
            <w:r w:rsidRPr="00295E71">
              <w:rPr>
                <w:sz w:val="22"/>
                <w:szCs w:val="22"/>
              </w:rPr>
              <w:t>terapia con metotressato e la terapia associata Humira/metotressato utilizzando il test U Mann-Whitney.</w:t>
            </w:r>
          </w:p>
          <w:p w:rsidR="00157870" w:rsidRPr="00295E71" w:rsidP="00157870" w14:paraId="42EAB725" w14:textId="77777777">
            <w:pPr>
              <w:pStyle w:val="BodyTextIndent"/>
              <w:autoSpaceDE/>
              <w:autoSpaceDN/>
              <w:adjustRightInd/>
              <w:ind w:left="330" w:hanging="330"/>
              <w:rPr>
                <w:color w:val="auto"/>
              </w:rPr>
            </w:pPr>
            <w:r w:rsidRPr="00295E71">
              <w:rPr>
                <w:vertAlign w:val="superscript"/>
              </w:rPr>
              <w:t>b</w:t>
            </w:r>
            <w:r w:rsidRPr="00295E71">
              <w:rPr>
                <w:color w:val="auto"/>
              </w:rPr>
              <w:tab/>
              <w:t xml:space="preserve">il valore p è stato ottenuto confrontando a due a due la </w:t>
            </w:r>
            <w:r w:rsidRPr="00020442" w:rsidR="00D20773">
              <w:t>mono</w:t>
            </w:r>
            <w:r w:rsidRPr="00295E71">
              <w:rPr>
                <w:color w:val="auto"/>
              </w:rPr>
              <w:t>terapia con Humira e la terapia associata Humira/metotressato utilizzando il test U Mann-Whitney</w:t>
            </w:r>
          </w:p>
          <w:p w:rsidR="00157870" w:rsidRPr="00295E71" w:rsidP="00157870" w14:paraId="4180D99D" w14:textId="77777777">
            <w:pPr>
              <w:tabs>
                <w:tab w:val="left" w:pos="330"/>
              </w:tabs>
              <w:ind w:left="360" w:hanging="360"/>
              <w:jc w:val="both"/>
              <w:rPr>
                <w:sz w:val="22"/>
                <w:szCs w:val="22"/>
              </w:rPr>
            </w:pPr>
            <w:r w:rsidRPr="00295E71">
              <w:rPr>
                <w:sz w:val="22"/>
                <w:szCs w:val="22"/>
                <w:vertAlign w:val="superscript"/>
              </w:rPr>
              <w:t>c</w:t>
            </w:r>
            <w:r w:rsidRPr="00295E71" w:rsidR="00EF6A7F">
              <w:tab/>
            </w:r>
            <w:r w:rsidRPr="00295E71">
              <w:rPr>
                <w:sz w:val="22"/>
                <w:szCs w:val="22"/>
              </w:rPr>
              <w:t xml:space="preserve">il valore p è stato ottenuto confrontando a due a due la </w:t>
            </w:r>
            <w:r w:rsidRPr="00020442" w:rsidR="00D20773">
              <w:rPr>
                <w:sz w:val="22"/>
                <w:szCs w:val="22"/>
              </w:rPr>
              <w:t>mono</w:t>
            </w:r>
            <w:r w:rsidRPr="00295E71">
              <w:rPr>
                <w:sz w:val="22"/>
                <w:szCs w:val="22"/>
              </w:rPr>
              <w:t xml:space="preserve">terapia con Humira e la </w:t>
            </w:r>
            <w:r w:rsidRPr="00020442" w:rsidR="00D20773">
              <w:rPr>
                <w:sz w:val="22"/>
                <w:szCs w:val="22"/>
              </w:rPr>
              <w:t>mono</w:t>
            </w:r>
            <w:r w:rsidRPr="00295E71">
              <w:rPr>
                <w:sz w:val="22"/>
                <w:szCs w:val="22"/>
              </w:rPr>
              <w:t>terapia con metotressato utilizzando il test U Mann-Whitney</w:t>
            </w:r>
          </w:p>
        </w:tc>
      </w:tr>
    </w:tbl>
    <w:p w:rsidR="00157870" w:rsidRPr="00295E71" w:rsidP="00157870" w14:paraId="50D6FD23" w14:textId="77777777">
      <w:pPr>
        <w:tabs>
          <w:tab w:val="left" w:pos="567"/>
        </w:tabs>
        <w:jc w:val="both"/>
        <w:rPr>
          <w:sz w:val="22"/>
          <w:szCs w:val="22"/>
        </w:rPr>
      </w:pPr>
    </w:p>
    <w:p w:rsidR="00157870" w:rsidRPr="00295E71" w:rsidP="00157870" w14:paraId="62B9FAF5" w14:textId="77777777">
      <w:pPr>
        <w:tabs>
          <w:tab w:val="left" w:pos="567"/>
        </w:tabs>
        <w:jc w:val="both"/>
        <w:rPr>
          <w:sz w:val="22"/>
          <w:szCs w:val="22"/>
        </w:rPr>
      </w:pPr>
      <w:r w:rsidRPr="00295E71">
        <w:rPr>
          <w:sz w:val="22"/>
          <w:szCs w:val="22"/>
        </w:rPr>
        <w:t xml:space="preserve">Dopo 52 settimane e 104 settimane di trattamento, la percentuale di pazienti in cui non si è avuta progressione (variazione rispetto al valore basale dell’Indice Totale di Sharp modificato </w:t>
      </w:r>
      <w:r w:rsidRPr="00295E71">
        <w:rPr>
          <w:rFonts w:ascii="Symbol" w:hAnsi="Symbol"/>
          <w:sz w:val="22"/>
          <w:szCs w:val="22"/>
        </w:rPr>
        <w:sym w:font="Symbol" w:char="F0A3"/>
      </w:r>
      <w:r w:rsidRPr="00295E71">
        <w:rPr>
          <w:sz w:val="22"/>
          <w:szCs w:val="22"/>
        </w:rPr>
        <w:t xml:space="preserve"> 0,5) è stata significativamente maggiore con la terapia associata Humira/metotressato (rispettivamente 63,8% e 61,2%) rispetto alla monoterapia con metotressato (rispettivamente 37,4% e 33,5%, p&lt;0,001) ed alla monoterapia con Humira (rispettivamente 50,7%, p&lt;0,002 e 44,5%, p&lt;0,001).</w:t>
      </w:r>
    </w:p>
    <w:p w:rsidR="00157870" w:rsidRPr="00295E71" w:rsidP="00157870" w14:paraId="13DD81A4" w14:textId="77777777">
      <w:pPr>
        <w:tabs>
          <w:tab w:val="left" w:pos="567"/>
        </w:tabs>
        <w:jc w:val="both"/>
        <w:rPr>
          <w:sz w:val="22"/>
          <w:szCs w:val="22"/>
        </w:rPr>
      </w:pPr>
    </w:p>
    <w:p w:rsidR="00157870" w:rsidRPr="00295E71" w:rsidP="00157870" w14:paraId="33C334FD" w14:textId="77777777">
      <w:pPr>
        <w:tabs>
          <w:tab w:val="left" w:pos="567"/>
        </w:tabs>
        <w:jc w:val="both"/>
        <w:rPr>
          <w:sz w:val="22"/>
          <w:szCs w:val="22"/>
        </w:rPr>
      </w:pPr>
      <w:r w:rsidRPr="00295E71">
        <w:rPr>
          <w:sz w:val="22"/>
          <w:szCs w:val="22"/>
        </w:rPr>
        <w:t>Nella fase di estensione in aperto dello studio AR V, la variazione media rispetto al valore basale all’Anno 10 dell’Indice Totale di Sharp modificato è stata, rispettivamente, di 10,8; 9,2 e 3,9 nei pazienti che erano stati inizialmente randomizzati alla somministrazione di metotressato in monoterapia, di Humira in monoterapia e della terapia associata Humira/metotressato. Le corrispondenti percentuali di pazienti senza progressione radiologica sono state, rispettivamente, 31,3%, 23,7% e 36,7%.</w:t>
      </w:r>
    </w:p>
    <w:p w:rsidR="00157870" w:rsidRPr="00295E71" w:rsidP="00157870" w14:paraId="62D4A187" w14:textId="77777777">
      <w:pPr>
        <w:tabs>
          <w:tab w:val="left" w:pos="567"/>
        </w:tabs>
        <w:jc w:val="both"/>
        <w:rPr>
          <w:sz w:val="22"/>
          <w:szCs w:val="22"/>
        </w:rPr>
      </w:pPr>
    </w:p>
    <w:p w:rsidR="00157870" w:rsidRPr="00295E71" w:rsidP="00A60A0D" w14:paraId="1245AD29" w14:textId="77777777">
      <w:pPr>
        <w:pStyle w:val="Heading7"/>
        <w:spacing w:line="240" w:lineRule="auto"/>
        <w:rPr>
          <w:u w:val="single"/>
          <w:lang w:val="it-IT"/>
        </w:rPr>
      </w:pPr>
      <w:r w:rsidRPr="00295E71">
        <w:rPr>
          <w:u w:val="single"/>
          <w:lang w:val="it-IT"/>
        </w:rPr>
        <w:t>Qualità della vita e funzionalità fisica</w:t>
      </w:r>
    </w:p>
    <w:p w:rsidR="00157870" w:rsidRPr="00295E71" w:rsidP="00157870" w14:paraId="1610ADB4" w14:textId="77777777">
      <w:pPr>
        <w:tabs>
          <w:tab w:val="left" w:pos="567"/>
        </w:tabs>
        <w:jc w:val="both"/>
        <w:rPr>
          <w:sz w:val="22"/>
          <w:szCs w:val="22"/>
        </w:rPr>
      </w:pPr>
    </w:p>
    <w:p w:rsidR="00157870" w:rsidRPr="00295E71" w:rsidP="00157870" w14:paraId="18E48186" w14:textId="77777777">
      <w:pPr>
        <w:tabs>
          <w:tab w:val="left" w:pos="567"/>
        </w:tabs>
        <w:jc w:val="both"/>
        <w:rPr>
          <w:sz w:val="22"/>
          <w:szCs w:val="22"/>
        </w:rPr>
      </w:pPr>
      <w:r w:rsidRPr="00295E71">
        <w:rPr>
          <w:sz w:val="22"/>
          <w:szCs w:val="22"/>
        </w:rPr>
        <w:t xml:space="preserve">La qualità di vita </w:t>
      </w:r>
      <w:r w:rsidRPr="00020442" w:rsidR="00D20773">
        <w:rPr>
          <w:sz w:val="22"/>
          <w:szCs w:val="22"/>
        </w:rPr>
        <w:t xml:space="preserve">correlata allo stato di salute </w:t>
      </w:r>
      <w:r w:rsidRPr="00295E71">
        <w:rPr>
          <w:sz w:val="22"/>
          <w:szCs w:val="22"/>
        </w:rPr>
        <w:t xml:space="preserve">e la funzionalità fisica sono state valutate con l’indice di disabilità ottenuto attraverso il questionario di valutazione dello stato di salute (Health Assessment Questionnaire - HAQ), in quattro studi originali, adeguati e ben controllati, </w:t>
      </w:r>
      <w:r w:rsidR="00D20773">
        <w:rPr>
          <w:sz w:val="22"/>
          <w:szCs w:val="22"/>
        </w:rPr>
        <w:t>che</w:t>
      </w:r>
      <w:r w:rsidRPr="00295E71">
        <w:rPr>
          <w:sz w:val="22"/>
          <w:szCs w:val="22"/>
        </w:rPr>
        <w:t xml:space="preserve"> è stato un</w:t>
      </w:r>
      <w:r w:rsidR="00DF245E">
        <w:rPr>
          <w:sz w:val="22"/>
          <w:szCs w:val="22"/>
        </w:rPr>
        <w:t xml:space="preserve"> </w:t>
      </w:r>
      <w:r w:rsidR="00D20773">
        <w:rPr>
          <w:sz w:val="22"/>
          <w:szCs w:val="22"/>
        </w:rPr>
        <w:t>endpoint</w:t>
      </w:r>
      <w:r w:rsidRPr="00295E71">
        <w:rPr>
          <w:sz w:val="22"/>
          <w:szCs w:val="22"/>
        </w:rPr>
        <w:t xml:space="preserve"> primari</w:t>
      </w:r>
      <w:r w:rsidR="00D20773">
        <w:rPr>
          <w:sz w:val="22"/>
          <w:szCs w:val="22"/>
        </w:rPr>
        <w:t>o prespecificato</w:t>
      </w:r>
      <w:r w:rsidRPr="00295E71">
        <w:rPr>
          <w:sz w:val="22"/>
          <w:szCs w:val="22"/>
        </w:rPr>
        <w:t xml:space="preserve"> dello studio AR III alla 52 settimana. Tutti gli schemi terapeutici con Humira nei quattro studi hanno evidenziato miglioramenti </w:t>
      </w:r>
      <w:r w:rsidRPr="00020442" w:rsidR="00D20773">
        <w:rPr>
          <w:sz w:val="22"/>
          <w:szCs w:val="22"/>
        </w:rPr>
        <w:t xml:space="preserve">maggiori in misura </w:t>
      </w:r>
      <w:r w:rsidRPr="00295E71">
        <w:rPr>
          <w:sz w:val="22"/>
          <w:szCs w:val="22"/>
        </w:rPr>
        <w:t>statisticamente significativ</w:t>
      </w:r>
      <w:r w:rsidR="00D20773">
        <w:rPr>
          <w:sz w:val="22"/>
          <w:szCs w:val="22"/>
        </w:rPr>
        <w:t>a</w:t>
      </w:r>
      <w:r w:rsidRPr="00295E71">
        <w:rPr>
          <w:sz w:val="22"/>
          <w:szCs w:val="22"/>
        </w:rPr>
        <w:t xml:space="preserve"> dell’indice di disabilità dell’HAQ tra il valore basale e il 6° mese rispetto al placebo e nello studio AR III il medesimo risultato è stato osservato alla settimana 52. L’analisi dello stato generale di salute, valutato attraverso lo Short Form Health Survey (SF-36) nei quattro studi, supporta queste conclusioni per tutti gli schemi di somministrazione di Humira con risultati statisticamente significativi per quanto riguarda gli indici di attività fisica, di dolore e dello stato di benessere, registrati con Humira 40 mg a settimane alterne. Una diminuzione statisticamente significativa del senso di affaticamento così come risulta dagli indici della valutazione funzionale relativa al trattamento della patologia cronica (FACIT) è stata riscontrata in tutti i tre studi in cui è stata valutata (studi AR I, III, IV).</w:t>
      </w:r>
    </w:p>
    <w:p w:rsidR="00157870" w:rsidRPr="00295E71" w:rsidP="00157870" w14:paraId="1149AED3" w14:textId="77777777">
      <w:pPr>
        <w:tabs>
          <w:tab w:val="left" w:pos="567"/>
        </w:tabs>
        <w:jc w:val="both"/>
        <w:rPr>
          <w:sz w:val="22"/>
          <w:szCs w:val="22"/>
        </w:rPr>
      </w:pPr>
    </w:p>
    <w:p w:rsidR="00157870" w:rsidRPr="00295E71" w:rsidP="00157870" w14:paraId="52C49085" w14:textId="77777777">
      <w:pPr>
        <w:tabs>
          <w:tab w:val="left" w:pos="567"/>
        </w:tabs>
        <w:jc w:val="both"/>
        <w:rPr>
          <w:sz w:val="22"/>
          <w:szCs w:val="22"/>
        </w:rPr>
      </w:pPr>
      <w:r w:rsidRPr="00295E71">
        <w:rPr>
          <w:sz w:val="22"/>
          <w:szCs w:val="22"/>
        </w:rPr>
        <w:t>Nello studio AR III, la maggioranza dei soggetti che hanno raggiunto il miglioramento della funzionalità fisica e che hanno continuato il trattamento hanno mantenuto il miglioramento per 520 settimane (120 mesi) di trattamento in aperto. Il miglioramento della qualità di vita è stato misurato fino alla settimana 156 (36 mesi) ed il miglioramento è stato mantenuto nel tempo.</w:t>
      </w:r>
    </w:p>
    <w:p w:rsidR="00157870" w:rsidRPr="00295E71" w:rsidP="00157870" w14:paraId="59E91D2D" w14:textId="77777777">
      <w:pPr>
        <w:tabs>
          <w:tab w:val="left" w:pos="567"/>
        </w:tabs>
        <w:jc w:val="both"/>
        <w:rPr>
          <w:sz w:val="22"/>
          <w:szCs w:val="22"/>
        </w:rPr>
      </w:pPr>
    </w:p>
    <w:p w:rsidR="00157870" w:rsidRPr="00295E71" w:rsidP="00157870" w14:paraId="5F111F89" w14:textId="77777777">
      <w:pPr>
        <w:rPr>
          <w:color w:val="000000"/>
          <w:sz w:val="22"/>
          <w:szCs w:val="22"/>
        </w:rPr>
      </w:pPr>
      <w:r w:rsidRPr="00295E71">
        <w:rPr>
          <w:sz w:val="22"/>
          <w:szCs w:val="22"/>
        </w:rPr>
        <w:t>Nello studio AR V l’indice di disabilità valutato in base all’HAQ e la componente fisica dell’SF-36 hanno dimostrato un miglioramento superiore (p&lt;0,001) quando è stata effettuata terapia associata Humira/metotressato rispetto alla monoterapia con metotressato ed a quella con Humira alla settimana 52, e questo miglioramento si è mantenuto nell’arco di 104 settimane.</w:t>
      </w:r>
      <w:r w:rsidR="00D20773">
        <w:rPr>
          <w:sz w:val="22"/>
          <w:szCs w:val="22"/>
        </w:rPr>
        <w:t xml:space="preserve"> </w:t>
      </w:r>
      <w:r w:rsidRPr="00295E71">
        <w:rPr>
          <w:sz w:val="22"/>
          <w:szCs w:val="22"/>
        </w:rPr>
        <w:t>Nei 250 pazienti che hanno completato la fase di estensione in aperto dello studio, i miglioramenti nella funzionalità fisica sono stati mantenuti nell’arco dei 10 anni di trattamento.</w:t>
      </w:r>
    </w:p>
    <w:p w:rsidR="00157870" w:rsidRPr="00295E71" w:rsidP="00157870" w14:paraId="2EF3C2F5" w14:textId="77777777">
      <w:pPr>
        <w:rPr>
          <w:i/>
          <w:iCs/>
          <w:color w:val="000000"/>
          <w:sz w:val="22"/>
          <w:szCs w:val="22"/>
        </w:rPr>
      </w:pPr>
    </w:p>
    <w:p w:rsidR="00157870" w:rsidRPr="00295E71" w:rsidP="00157870" w14:paraId="588AF1F7" w14:textId="77777777">
      <w:pPr>
        <w:rPr>
          <w:i/>
          <w:color w:val="000000"/>
          <w:sz w:val="22"/>
          <w:szCs w:val="22"/>
        </w:rPr>
      </w:pPr>
      <w:r w:rsidRPr="00295E71">
        <w:rPr>
          <w:i/>
          <w:color w:val="000000"/>
          <w:sz w:val="22"/>
          <w:szCs w:val="22"/>
        </w:rPr>
        <w:t xml:space="preserve">Psoriasi a placche negli </w:t>
      </w:r>
      <w:r w:rsidRPr="00C117D3">
        <w:rPr>
          <w:i/>
          <w:color w:val="000000"/>
          <w:sz w:val="22"/>
          <w:szCs w:val="22"/>
        </w:rPr>
        <w:t>adulti</w:t>
      </w:r>
      <w:r w:rsidRPr="00295E71">
        <w:rPr>
          <w:i/>
          <w:color w:val="000000"/>
          <w:sz w:val="22"/>
          <w:szCs w:val="22"/>
        </w:rPr>
        <w:t xml:space="preserve"> </w:t>
      </w:r>
    </w:p>
    <w:p w:rsidR="00157870" w:rsidRPr="00295E71" w:rsidP="00157870" w14:paraId="65717D13" w14:textId="77777777">
      <w:pPr>
        <w:tabs>
          <w:tab w:val="left" w:pos="567"/>
        </w:tabs>
        <w:jc w:val="both"/>
        <w:rPr>
          <w:color w:val="000000"/>
          <w:sz w:val="22"/>
          <w:szCs w:val="22"/>
        </w:rPr>
      </w:pPr>
    </w:p>
    <w:p w:rsidR="00157870" w:rsidRPr="00295E71" w:rsidP="00157870" w14:paraId="4DD834C4" w14:textId="77777777">
      <w:pPr>
        <w:rPr>
          <w:color w:val="000000"/>
          <w:sz w:val="22"/>
          <w:szCs w:val="22"/>
        </w:rPr>
      </w:pPr>
      <w:r w:rsidRPr="00295E71">
        <w:rPr>
          <w:color w:val="000000"/>
          <w:sz w:val="22"/>
          <w:szCs w:val="22"/>
        </w:rPr>
        <w:t xml:space="preserve">La sicurezza e l’efficacia di Humira sono state studiate in pazienti adulti </w:t>
      </w:r>
      <w:r w:rsidRPr="00295E71" w:rsidR="00224E13">
        <w:rPr>
          <w:color w:val="000000"/>
          <w:sz w:val="22"/>
          <w:szCs w:val="22"/>
        </w:rPr>
        <w:t>con</w:t>
      </w:r>
      <w:r w:rsidRPr="00295E71">
        <w:rPr>
          <w:color w:val="000000"/>
          <w:sz w:val="22"/>
          <w:szCs w:val="22"/>
        </w:rPr>
        <w:t xml:space="preserve"> psoriasi cronica a placche (BSA </w:t>
      </w:r>
      <w:r w:rsidRPr="00295E71">
        <w:rPr>
          <w:rFonts w:ascii="Symbol" w:hAnsi="Symbol"/>
          <w:sz w:val="22"/>
          <w:szCs w:val="22"/>
        </w:rPr>
        <w:sym w:font="Symbol" w:char="F0B3"/>
      </w:r>
      <w:r w:rsidRPr="00295E71">
        <w:rPr>
          <w:color w:val="000000"/>
          <w:sz w:val="22"/>
          <w:szCs w:val="22"/>
        </w:rPr>
        <w:t xml:space="preserve"> 10% e PASI </w:t>
      </w:r>
      <w:r w:rsidRPr="00295E71">
        <w:rPr>
          <w:rFonts w:ascii="Symbol" w:hAnsi="Symbol"/>
          <w:sz w:val="22"/>
          <w:szCs w:val="22"/>
        </w:rPr>
        <w:sym w:font="Symbol" w:char="F0B3"/>
      </w:r>
      <w:r w:rsidRPr="00295E71">
        <w:rPr>
          <w:color w:val="000000"/>
          <w:sz w:val="22"/>
          <w:szCs w:val="22"/>
        </w:rPr>
        <w:t xml:space="preserve"> 12 o </w:t>
      </w:r>
      <w:r w:rsidRPr="00295E71">
        <w:rPr>
          <w:rFonts w:ascii="Symbol" w:hAnsi="Symbol"/>
          <w:sz w:val="22"/>
          <w:szCs w:val="22"/>
        </w:rPr>
        <w:sym w:font="Symbol" w:char="F0B3"/>
      </w:r>
      <w:r w:rsidRPr="00295E71">
        <w:rPr>
          <w:color w:val="000000"/>
          <w:sz w:val="22"/>
          <w:szCs w:val="22"/>
        </w:rPr>
        <w:t xml:space="preserve"> 10) che erano candidati alla terapia sistemica o alla fototerapia, durante gli studi randomizzati in doppio cieco. Il 73% dei pazienti </w:t>
      </w:r>
      <w:r w:rsidRPr="00D20773" w:rsidR="00D20773">
        <w:rPr>
          <w:color w:val="000000"/>
          <w:sz w:val="22"/>
          <w:szCs w:val="22"/>
        </w:rPr>
        <w:t>arruolati negli</w:t>
      </w:r>
      <w:r w:rsidRPr="00295E71">
        <w:rPr>
          <w:color w:val="000000"/>
          <w:sz w:val="22"/>
          <w:szCs w:val="22"/>
        </w:rPr>
        <w:t xml:space="preserve"> studi I e II sulla psoriasi era stato precedentemente sottoposto a terapia sistemica o fototerapica.</w:t>
      </w:r>
      <w:r w:rsidR="00D20773">
        <w:rPr>
          <w:color w:val="000000"/>
          <w:sz w:val="22"/>
          <w:szCs w:val="22"/>
        </w:rPr>
        <w:t xml:space="preserve"> </w:t>
      </w:r>
      <w:r w:rsidRPr="00295E71">
        <w:rPr>
          <w:sz w:val="22"/>
          <w:szCs w:val="22"/>
        </w:rPr>
        <w:t xml:space="preserve">La sicurezza e l’efficacia di </w:t>
      </w:r>
      <w:r w:rsidRPr="00295E71">
        <w:rPr>
          <w:sz w:val="22"/>
          <w:szCs w:val="22"/>
        </w:rPr>
        <w:t xml:space="preserve">Humira sono state studiate anche nei pazienti adulti </w:t>
      </w:r>
      <w:r w:rsidRPr="00295E71" w:rsidR="00224E13">
        <w:rPr>
          <w:sz w:val="22"/>
          <w:szCs w:val="22"/>
        </w:rPr>
        <w:t>con</w:t>
      </w:r>
      <w:r w:rsidRPr="00295E71">
        <w:rPr>
          <w:sz w:val="22"/>
          <w:szCs w:val="22"/>
        </w:rPr>
        <w:t xml:space="preserve"> psoriasi cronica a placche da moderata a severa con concomitante psoriasi localizzata alla mano e/o al piede, i quali erano candidati alla terapia sistemica in uno studio randomizzato in doppio cieco (studio di fase III sulla psoriasi).</w:t>
      </w:r>
    </w:p>
    <w:p w:rsidR="00157870" w:rsidRPr="00295E71" w:rsidP="00157870" w14:paraId="7A6D2E7F" w14:textId="77777777">
      <w:pPr>
        <w:rPr>
          <w:color w:val="000000"/>
          <w:sz w:val="22"/>
          <w:szCs w:val="22"/>
        </w:rPr>
      </w:pPr>
    </w:p>
    <w:p w:rsidR="00157870" w:rsidRPr="00295E71" w:rsidP="00157870" w14:paraId="499DC289" w14:textId="77777777">
      <w:pPr>
        <w:rPr>
          <w:color w:val="000000"/>
          <w:sz w:val="22"/>
          <w:szCs w:val="22"/>
        </w:rPr>
      </w:pPr>
      <w:r w:rsidRPr="00295E71">
        <w:rPr>
          <w:color w:val="000000"/>
          <w:sz w:val="22"/>
          <w:szCs w:val="22"/>
        </w:rPr>
        <w:t xml:space="preserve">Lo studio I sulla psoriasi (REVEAL) ha valutato 1.212 pazienti entro tre periodi di trattamento. Nel corso del periodo A, ai pazienti è stato somministrato placebo o Humira ad una dose iniziale pari a 80 mg, seguita da una dose pari a 40 mg, a settimane alterne, somministrata a partire dalla settimana successiva all’assunzione della dose iniziale. Dopo 16 settimane di terapia, i pazienti che hanno ottenuto almeno una risposta PASI 75 (in cui il punteggio PASI ha registrato un miglioramento pari ad almeno il 75% del valore al basale) sono stati ammessi al periodo B ed hanno ricevuto una dose di Humira pari a 40 mg, a settimane alterne, in aperto. I pazienti che hanno mantenuto una risposta </w:t>
      </w:r>
      <w:r w:rsidRPr="00295E71">
        <w:rPr>
          <w:rFonts w:ascii="Symbol" w:hAnsi="Symbol"/>
          <w:sz w:val="22"/>
          <w:szCs w:val="22"/>
        </w:rPr>
        <w:sym w:font="Symbol" w:char="F0B3"/>
      </w:r>
      <w:r w:rsidRPr="00295E71">
        <w:rPr>
          <w:color w:val="000000"/>
          <w:sz w:val="22"/>
          <w:szCs w:val="22"/>
        </w:rPr>
        <w:t>PASI 75 alla settimana 33 e che erano stati inizialmente randomizzati per la terapia attiva nel corso del periodo A sono stati nuovamente randomizzati nel periodo C a ricevere 40 mg di Humira, a settimane alterne, o placebo, per un ulteriore periodo di 19 settimane. In tutti i gruppi di trattamento, il punteggio PASI medio al basale è risultato pari a 18,9 ed il punteggio al basale relativo al PGA è risultato di grado “moderato” (nel 53% dei soggetti inclusi), “grave” (nel 41%) e “molto grave” (nel 6%).</w:t>
      </w:r>
    </w:p>
    <w:p w:rsidR="00157870" w:rsidRPr="00295E71" w:rsidP="00157870" w14:paraId="443CDA1C" w14:textId="77777777">
      <w:pPr>
        <w:tabs>
          <w:tab w:val="left" w:pos="567"/>
        </w:tabs>
        <w:jc w:val="both"/>
        <w:rPr>
          <w:color w:val="000000"/>
          <w:sz w:val="22"/>
          <w:szCs w:val="22"/>
        </w:rPr>
      </w:pPr>
    </w:p>
    <w:p w:rsidR="00157870" w:rsidRPr="00295E71" w:rsidP="00157870" w14:paraId="6D8843EE" w14:textId="77777777">
      <w:pPr>
        <w:autoSpaceDE w:val="0"/>
        <w:autoSpaceDN w:val="0"/>
        <w:adjustRightInd w:val="0"/>
        <w:rPr>
          <w:color w:val="000000"/>
          <w:sz w:val="22"/>
          <w:szCs w:val="22"/>
        </w:rPr>
      </w:pPr>
      <w:r w:rsidRPr="00295E71">
        <w:rPr>
          <w:color w:val="000000"/>
          <w:sz w:val="22"/>
          <w:szCs w:val="22"/>
        </w:rPr>
        <w:t>Lo studio II sulla psoriasi (CHAMPION) ha paragonato l’efficacia e la sicurezza di Humira rispetto al metotressato ed al placebo in 271 pazienti. Per un periodo di 16 settimane, i pazienti hanno ricevuto placebo, o metotressato con una dose iniziale pari a 7,5 mg successivamente elevata fino alla settimana 12 e con un massimo di 25 mg, o Humira alla dose iniziale di 80 mg seguita dalla dose di 40 mg somministrata a settimane alterne (ad iniziare dalla settimana successiva all’assunzione della dose iniziale). Non sono disponibili dati che mettano a confronto Humira e metotressato oltre le 16 settimane di terapia. Nei pazienti trattati con metotressato che hanno raggiunto una risposta ≥PASI 50 alla settimana 8 e/o alla settimana 12, non sono stati effettuati incrementi della dose. In tutti i gruppi di trattamento, il punteggio PASI al basale medio è risultato pari a 19,7 ed il punteggio PGA al basale è risultato da “lieve” (&lt;1%) a “moderato” (48%) a “severo” (46%) a “molto severo” (6%).</w:t>
      </w:r>
    </w:p>
    <w:p w:rsidR="00157870" w:rsidRPr="00295E71" w:rsidP="00157870" w14:paraId="1FA2E08C" w14:textId="77777777">
      <w:pPr>
        <w:tabs>
          <w:tab w:val="left" w:pos="567"/>
        </w:tabs>
        <w:jc w:val="both"/>
        <w:rPr>
          <w:color w:val="000000"/>
          <w:sz w:val="22"/>
          <w:szCs w:val="22"/>
        </w:rPr>
      </w:pPr>
    </w:p>
    <w:p w:rsidR="00157870" w:rsidRPr="00295E71" w:rsidP="00157870" w14:paraId="468D21AB" w14:textId="77777777">
      <w:pPr>
        <w:autoSpaceDE w:val="0"/>
        <w:autoSpaceDN w:val="0"/>
        <w:adjustRightInd w:val="0"/>
        <w:rPr>
          <w:color w:val="000000"/>
          <w:sz w:val="22"/>
          <w:szCs w:val="22"/>
        </w:rPr>
      </w:pPr>
      <w:r w:rsidRPr="00295E71">
        <w:rPr>
          <w:color w:val="000000"/>
          <w:sz w:val="22"/>
          <w:szCs w:val="22"/>
        </w:rPr>
        <w:t>I pazienti che hanno partecipato a tutti gli studi di Fase 2 e Fase 3 sulla psoriasi sono stati considerati idonei ad essere arruolati in uno studio di estensione in aperto, dove Humira è stato somministrato per un periodo aggiuntivo di almeno 108 settimane.</w:t>
      </w:r>
    </w:p>
    <w:p w:rsidR="00157870" w:rsidRPr="00295E71" w:rsidP="00157870" w14:paraId="2F51698D" w14:textId="77777777">
      <w:pPr>
        <w:tabs>
          <w:tab w:val="left" w:pos="567"/>
        </w:tabs>
        <w:jc w:val="both"/>
        <w:rPr>
          <w:color w:val="000000"/>
          <w:sz w:val="22"/>
          <w:szCs w:val="22"/>
        </w:rPr>
      </w:pPr>
    </w:p>
    <w:p w:rsidR="00157870" w:rsidRPr="00295E71" w:rsidP="00157870" w14:paraId="614B0430" w14:textId="77777777">
      <w:pPr>
        <w:autoSpaceDE w:val="0"/>
        <w:autoSpaceDN w:val="0"/>
        <w:adjustRightInd w:val="0"/>
        <w:rPr>
          <w:color w:val="000000"/>
          <w:sz w:val="22"/>
          <w:szCs w:val="22"/>
        </w:rPr>
      </w:pPr>
      <w:r w:rsidRPr="00295E71">
        <w:rPr>
          <w:color w:val="000000"/>
          <w:sz w:val="22"/>
          <w:szCs w:val="22"/>
        </w:rPr>
        <w:t xml:space="preserve">Negli studi I e II sulla psoriasi, </w:t>
      </w:r>
      <w:r w:rsidR="00D20773">
        <w:rPr>
          <w:color w:val="000000"/>
          <w:sz w:val="22"/>
          <w:szCs w:val="22"/>
        </w:rPr>
        <w:t xml:space="preserve">un </w:t>
      </w:r>
      <w:r w:rsidRPr="00295E71">
        <w:rPr>
          <w:color w:val="000000"/>
          <w:sz w:val="22"/>
          <w:szCs w:val="22"/>
        </w:rPr>
        <w:t xml:space="preserve">endpoint primario è stato rappresentato dalla percentuale di pazienti che ha ottenuto una risposta PASI 75 dal valore basale alla settimana 16 (vedere Tabelle </w:t>
      </w:r>
      <w:r w:rsidR="0041314F">
        <w:rPr>
          <w:color w:val="000000"/>
          <w:sz w:val="22"/>
          <w:szCs w:val="22"/>
        </w:rPr>
        <w:t>11</w:t>
      </w:r>
      <w:r w:rsidRPr="00295E71">
        <w:rPr>
          <w:color w:val="000000"/>
          <w:sz w:val="22"/>
          <w:szCs w:val="22"/>
        </w:rPr>
        <w:t xml:space="preserve"> e </w:t>
      </w:r>
      <w:r w:rsidR="0041314F">
        <w:rPr>
          <w:color w:val="000000"/>
          <w:sz w:val="22"/>
          <w:szCs w:val="22"/>
        </w:rPr>
        <w:t>12</w:t>
      </w:r>
      <w:r w:rsidRPr="00295E71">
        <w:rPr>
          <w:color w:val="000000"/>
          <w:sz w:val="22"/>
          <w:szCs w:val="22"/>
        </w:rPr>
        <w:t>).</w:t>
      </w: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77"/>
        <w:gridCol w:w="1620"/>
        <w:gridCol w:w="2352"/>
      </w:tblGrid>
      <w:tr w14:paraId="41BB2A9F" w14:textId="77777777" w:rsidTr="00157870">
        <w:tblPrEx>
          <w:tblW w:w="6949" w:type="dxa"/>
          <w:tblLook w:val="0000"/>
        </w:tblPrEx>
        <w:trPr>
          <w:cantSplit/>
        </w:trPr>
        <w:tc>
          <w:tcPr>
            <w:tcW w:w="6949" w:type="dxa"/>
            <w:gridSpan w:val="3"/>
            <w:tcBorders>
              <w:top w:val="nil"/>
              <w:left w:val="nil"/>
              <w:right w:val="nil"/>
            </w:tcBorders>
          </w:tcPr>
          <w:p w:rsidR="00157870" w:rsidRPr="00295E71" w:rsidP="00157870" w14:paraId="15EC8799" w14:textId="77777777">
            <w:pPr>
              <w:pStyle w:val="DefaultText"/>
              <w:keepNext/>
              <w:jc w:val="center"/>
              <w:rPr>
                <w:rFonts w:ascii="Times New Roman" w:eastAsia="Arial" w:hAnsi="Times New Roman" w:cs="Times New Roman"/>
                <w:b/>
                <w:lang w:val="it-IT" w:bidi="it-IT"/>
              </w:rPr>
            </w:pPr>
          </w:p>
          <w:p w:rsidR="00157870" w:rsidRPr="00295E71" w:rsidP="00157870" w14:paraId="2E1AAA1C" w14:textId="77777777">
            <w:pPr>
              <w:pStyle w:val="DefaultText"/>
              <w:keepNext/>
              <w:jc w:val="center"/>
              <w:rPr>
                <w:rFonts w:ascii="Times New Roman" w:hAnsi="Times New Roman" w:cs="Times New Roman"/>
                <w:b/>
                <w:bCs/>
                <w:lang w:val="it-IT"/>
              </w:rPr>
            </w:pPr>
            <w:r w:rsidRPr="00295E71">
              <w:rPr>
                <w:rFonts w:ascii="Times New Roman" w:eastAsia="Arial" w:hAnsi="Times New Roman" w:cs="Times New Roman"/>
                <w:b/>
                <w:lang w:val="it-IT" w:bidi="it-IT"/>
              </w:rPr>
              <w:t>Tabella </w:t>
            </w:r>
            <w:r w:rsidR="0041314F">
              <w:rPr>
                <w:rFonts w:ascii="Times New Roman" w:eastAsia="Arial" w:hAnsi="Times New Roman" w:cs="Times New Roman"/>
                <w:b/>
                <w:lang w:val="it-IT" w:bidi="it-IT"/>
              </w:rPr>
              <w:t>11</w:t>
            </w:r>
          </w:p>
          <w:p w:rsidR="00157870" w:rsidRPr="00295E71" w:rsidP="00157870" w14:paraId="4FFCD07C" w14:textId="77777777">
            <w:pPr>
              <w:pStyle w:val="DefaultText"/>
              <w:keepNext/>
              <w:jc w:val="center"/>
              <w:rPr>
                <w:rFonts w:ascii="Times New Roman" w:eastAsia="Arial" w:hAnsi="Times New Roman" w:cs="Times New Roman"/>
                <w:b/>
                <w:bCs/>
                <w:lang w:val="it-IT" w:bidi="it-IT"/>
              </w:rPr>
            </w:pPr>
            <w:r w:rsidRPr="00295E71">
              <w:rPr>
                <w:rFonts w:ascii="Times New Roman" w:eastAsia="Arial" w:hAnsi="Times New Roman" w:cs="Times New Roman"/>
                <w:b/>
                <w:bCs/>
                <w:lang w:val="it-IT" w:bidi="it-IT"/>
              </w:rPr>
              <w:t>Studio I sulla psoriasi (REVEAL) - Risultati relativi all’efficacia alla settimana 16</w:t>
            </w:r>
          </w:p>
          <w:p w:rsidR="00157870" w:rsidRPr="00295E71" w:rsidP="00157870" w14:paraId="30D6F67F" w14:textId="77777777">
            <w:pPr>
              <w:pStyle w:val="DefaultText"/>
              <w:keepNext/>
              <w:jc w:val="center"/>
              <w:rPr>
                <w:rFonts w:ascii="Times New Roman" w:hAnsi="Times New Roman" w:cs="Times New Roman"/>
                <w:b/>
                <w:bCs/>
                <w:lang w:val="it-IT"/>
              </w:rPr>
            </w:pPr>
          </w:p>
        </w:tc>
      </w:tr>
      <w:tr w14:paraId="27471C46" w14:textId="77777777" w:rsidTr="00157870">
        <w:tblPrEx>
          <w:tblW w:w="6949" w:type="dxa"/>
          <w:tblLook w:val="0000"/>
        </w:tblPrEx>
        <w:trPr>
          <w:cantSplit/>
        </w:trPr>
        <w:tc>
          <w:tcPr>
            <w:tcW w:w="2977" w:type="dxa"/>
            <w:vAlign w:val="center"/>
          </w:tcPr>
          <w:p w:rsidR="00157870" w:rsidRPr="00295E71" w:rsidP="00157870" w14:paraId="445EF05A" w14:textId="77777777">
            <w:pPr>
              <w:pStyle w:val="DefaultText"/>
              <w:keepNext/>
              <w:rPr>
                <w:rFonts w:ascii="Times New Roman" w:hAnsi="Times New Roman" w:cs="Times New Roman"/>
                <w:b/>
                <w:bCs/>
                <w:lang w:val="it-IT"/>
              </w:rPr>
            </w:pPr>
          </w:p>
        </w:tc>
        <w:tc>
          <w:tcPr>
            <w:tcW w:w="1620" w:type="dxa"/>
            <w:vAlign w:val="center"/>
          </w:tcPr>
          <w:p w:rsidR="00157870" w:rsidRPr="00295E71" w:rsidP="00157870" w14:paraId="09377754"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Placebo</w:t>
            </w:r>
          </w:p>
          <w:p w:rsidR="00157870" w:rsidRPr="00295E71" w:rsidP="00157870" w14:paraId="2FE981B2"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N=398</w:t>
            </w:r>
          </w:p>
          <w:p w:rsidR="00157870" w:rsidRPr="00295E71" w:rsidP="00157870" w14:paraId="2C215BA3"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 (%)</w:t>
            </w:r>
          </w:p>
        </w:tc>
        <w:tc>
          <w:tcPr>
            <w:tcW w:w="2352" w:type="dxa"/>
            <w:vAlign w:val="center"/>
          </w:tcPr>
          <w:p w:rsidR="00157870" w:rsidRPr="00295E71" w:rsidP="00157870" w14:paraId="16C54B1E"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Humira 40 mg </w:t>
            </w:r>
            <w:r w:rsidRPr="00295E71">
              <w:rPr>
                <w:rFonts w:ascii="Times New Roman" w:eastAsia="Arial" w:hAnsi="Times New Roman" w:cs="Times New Roman"/>
                <w:b/>
                <w:lang w:val="it-IT" w:bidi="it-IT"/>
              </w:rPr>
              <w:t>a settimane alterne</w:t>
            </w:r>
          </w:p>
          <w:p w:rsidR="00157870" w:rsidRPr="00295E71" w:rsidP="00157870" w14:paraId="29DF7BA4"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N=814</w:t>
            </w:r>
          </w:p>
          <w:p w:rsidR="00157870" w:rsidRPr="00295E71" w:rsidP="00157870" w14:paraId="7D970FD3"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 (%)</w:t>
            </w:r>
          </w:p>
        </w:tc>
      </w:tr>
      <w:tr w14:paraId="1A5C4FEE" w14:textId="77777777" w:rsidTr="00157870">
        <w:tblPrEx>
          <w:tblW w:w="6949" w:type="dxa"/>
          <w:tblLook w:val="0000"/>
        </w:tblPrEx>
        <w:trPr>
          <w:cantSplit/>
        </w:trPr>
        <w:tc>
          <w:tcPr>
            <w:tcW w:w="2977" w:type="dxa"/>
          </w:tcPr>
          <w:p w:rsidR="00157870" w:rsidRPr="00295E71" w:rsidP="00157870" w14:paraId="6E145E67" w14:textId="77777777">
            <w:pPr>
              <w:pStyle w:val="DefaultText"/>
              <w:keepNext/>
              <w:rPr>
                <w:rFonts w:ascii="Times New Roman" w:hAnsi="Times New Roman" w:cs="Times New Roman"/>
                <w:b/>
                <w:bCs/>
                <w:lang w:val="it-IT"/>
              </w:rPr>
            </w:pPr>
            <w:r w:rsidRPr="00295E71">
              <w:rPr>
                <w:rFonts w:ascii="Symbol" w:hAnsi="Symbol" w:cs="Times New Roman"/>
                <w:b/>
                <w:lang w:val="it-IT"/>
              </w:rPr>
              <w:sym w:font="Symbol" w:char="F0B3"/>
            </w:r>
            <w:r w:rsidRPr="00295E71">
              <w:rPr>
                <w:rFonts w:ascii="Times New Roman" w:hAnsi="Times New Roman" w:cs="Times New Roman"/>
                <w:b/>
                <w:bCs/>
                <w:lang w:val="it-IT"/>
              </w:rPr>
              <w:t>PASI 75</w:t>
            </w:r>
            <w:r w:rsidRPr="00295E71">
              <w:rPr>
                <w:rFonts w:ascii="Times New Roman" w:hAnsi="Times New Roman" w:cs="Times New Roman"/>
                <w:b/>
                <w:bCs/>
                <w:vertAlign w:val="superscript"/>
                <w:lang w:val="it-IT"/>
              </w:rPr>
              <w:t>a</w:t>
            </w:r>
          </w:p>
        </w:tc>
        <w:tc>
          <w:tcPr>
            <w:tcW w:w="1620" w:type="dxa"/>
          </w:tcPr>
          <w:p w:rsidR="00157870" w:rsidRPr="00295E71" w:rsidP="00157870" w14:paraId="1E767F5E"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26 (6,5)</w:t>
            </w:r>
          </w:p>
        </w:tc>
        <w:tc>
          <w:tcPr>
            <w:tcW w:w="2352" w:type="dxa"/>
          </w:tcPr>
          <w:p w:rsidR="00157870" w:rsidRPr="00295E71" w:rsidP="00157870" w14:paraId="43010CFE"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578 (70,9)</w:t>
            </w:r>
            <w:r w:rsidRPr="00295E71">
              <w:rPr>
                <w:rFonts w:ascii="Times New Roman" w:hAnsi="Times New Roman" w:cs="Times New Roman"/>
                <w:vertAlign w:val="superscript"/>
                <w:lang w:val="it-IT"/>
              </w:rPr>
              <w:t>b</w:t>
            </w:r>
          </w:p>
        </w:tc>
      </w:tr>
      <w:tr w14:paraId="344D6CCA" w14:textId="77777777" w:rsidTr="00157870">
        <w:tblPrEx>
          <w:tblW w:w="6949" w:type="dxa"/>
          <w:tblLook w:val="0000"/>
        </w:tblPrEx>
        <w:trPr>
          <w:cantSplit/>
          <w:trHeight w:val="70"/>
        </w:trPr>
        <w:tc>
          <w:tcPr>
            <w:tcW w:w="2977" w:type="dxa"/>
          </w:tcPr>
          <w:p w:rsidR="00157870" w:rsidRPr="00295E71" w:rsidP="00157870" w14:paraId="62732743" w14:textId="77777777">
            <w:pPr>
              <w:pStyle w:val="DefaultText"/>
              <w:keepNext/>
              <w:rPr>
                <w:rFonts w:ascii="Times New Roman" w:hAnsi="Times New Roman" w:cs="Times New Roman"/>
                <w:b/>
                <w:bCs/>
                <w:lang w:val="it-IT"/>
              </w:rPr>
            </w:pPr>
            <w:r w:rsidRPr="00295E71">
              <w:rPr>
                <w:rFonts w:ascii="Times New Roman" w:hAnsi="Times New Roman" w:cs="Times New Roman"/>
                <w:b/>
                <w:bCs/>
                <w:lang w:val="it-IT"/>
              </w:rPr>
              <w:t>PASI 100</w:t>
            </w:r>
          </w:p>
        </w:tc>
        <w:tc>
          <w:tcPr>
            <w:tcW w:w="1620" w:type="dxa"/>
          </w:tcPr>
          <w:p w:rsidR="00157870" w:rsidRPr="00295E71" w:rsidP="00157870" w14:paraId="76B63251"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3 (0,8)</w:t>
            </w:r>
          </w:p>
        </w:tc>
        <w:tc>
          <w:tcPr>
            <w:tcW w:w="2352" w:type="dxa"/>
          </w:tcPr>
          <w:p w:rsidR="00157870" w:rsidRPr="00295E71" w:rsidP="00157870" w14:paraId="46B54CBB"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163 (20,0)</w:t>
            </w:r>
            <w:r w:rsidRPr="00295E71">
              <w:rPr>
                <w:rFonts w:ascii="Times New Roman" w:hAnsi="Times New Roman" w:cs="Times New Roman"/>
                <w:vertAlign w:val="superscript"/>
                <w:lang w:val="it-IT"/>
              </w:rPr>
              <w:t>b</w:t>
            </w:r>
          </w:p>
        </w:tc>
      </w:tr>
      <w:tr w14:paraId="3E7AC38C" w14:textId="77777777" w:rsidTr="00157870">
        <w:tblPrEx>
          <w:tblW w:w="6949" w:type="dxa"/>
          <w:tblLook w:val="0000"/>
        </w:tblPrEx>
        <w:trPr>
          <w:cantSplit/>
        </w:trPr>
        <w:tc>
          <w:tcPr>
            <w:tcW w:w="2977" w:type="dxa"/>
          </w:tcPr>
          <w:p w:rsidR="00157870" w:rsidRPr="00295E71" w:rsidP="00157870" w14:paraId="19534678" w14:textId="77777777">
            <w:pPr>
              <w:pStyle w:val="DefaultText"/>
              <w:keepNext/>
              <w:rPr>
                <w:rFonts w:ascii="Times New Roman" w:hAnsi="Times New Roman" w:cs="Times New Roman"/>
                <w:b/>
                <w:lang w:val="it-IT"/>
              </w:rPr>
            </w:pPr>
            <w:r w:rsidRPr="00295E71">
              <w:rPr>
                <w:rFonts w:ascii="Times New Roman" w:eastAsia="Arial" w:hAnsi="Times New Roman" w:cs="Times New Roman"/>
                <w:b/>
                <w:bCs/>
                <w:lang w:val="it-IT" w:bidi="it-IT"/>
              </w:rPr>
              <w:t>PGA: Guarigione/Marcato miglioramento</w:t>
            </w:r>
          </w:p>
        </w:tc>
        <w:tc>
          <w:tcPr>
            <w:tcW w:w="1620" w:type="dxa"/>
          </w:tcPr>
          <w:p w:rsidR="00157870" w:rsidRPr="00295E71" w:rsidP="00157870" w14:paraId="2AC32F34"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17 (4,3)</w:t>
            </w:r>
          </w:p>
        </w:tc>
        <w:tc>
          <w:tcPr>
            <w:tcW w:w="2352" w:type="dxa"/>
          </w:tcPr>
          <w:p w:rsidR="00157870" w:rsidRPr="00295E71" w:rsidP="00157870" w14:paraId="1CF6ADEB"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506 (62,2)</w:t>
            </w:r>
            <w:r w:rsidRPr="00295E71">
              <w:rPr>
                <w:rFonts w:ascii="Times New Roman" w:hAnsi="Times New Roman" w:cs="Times New Roman"/>
                <w:vertAlign w:val="superscript"/>
                <w:lang w:val="it-IT"/>
              </w:rPr>
              <w:t>b</w:t>
            </w:r>
          </w:p>
        </w:tc>
      </w:tr>
      <w:tr w14:paraId="023E5608" w14:textId="77777777" w:rsidTr="00157870">
        <w:tblPrEx>
          <w:tblW w:w="6949" w:type="dxa"/>
          <w:tblLook w:val="0000"/>
        </w:tblPrEx>
        <w:trPr>
          <w:cantSplit/>
        </w:trPr>
        <w:tc>
          <w:tcPr>
            <w:tcW w:w="6949" w:type="dxa"/>
            <w:gridSpan w:val="3"/>
          </w:tcPr>
          <w:p w:rsidR="00157870" w:rsidRPr="00DA456F" w:rsidP="00157870" w14:paraId="06ACAE06" w14:textId="77777777">
            <w:pPr>
              <w:pStyle w:val="DefaultText"/>
              <w:keepNext/>
              <w:rPr>
                <w:rFonts w:ascii="Times New Roman" w:hAnsi="Times New Roman" w:cs="Times New Roman"/>
                <w:lang w:val="it-IT"/>
              </w:rPr>
            </w:pPr>
            <w:r w:rsidRPr="00DA456F">
              <w:rPr>
                <w:rFonts w:ascii="Times New Roman" w:eastAsia="Arial" w:hAnsi="Times New Roman" w:cs="Times New Roman"/>
                <w:vertAlign w:val="superscript"/>
                <w:lang w:val="it-IT" w:bidi="it-IT"/>
              </w:rPr>
              <w:t>a</w:t>
            </w:r>
            <w:r w:rsidRPr="00DA456F">
              <w:rPr>
                <w:rFonts w:ascii="Times New Roman" w:eastAsia="Arial" w:hAnsi="Times New Roman" w:cs="Times New Roman"/>
                <w:lang w:val="it-IT" w:bidi="it-IT"/>
              </w:rPr>
              <w:t xml:space="preserve"> La percentuale di pazienti che ha ottenuto una risposta PASI 75 è stata calcolata sotto forma di centre-adjusted rate</w:t>
            </w:r>
          </w:p>
          <w:p w:rsidR="00157870" w:rsidRPr="00C04163" w:rsidP="00157870" w14:paraId="299CDFB1" w14:textId="77777777">
            <w:pPr>
              <w:pStyle w:val="DefaultText"/>
              <w:keepNext/>
              <w:tabs>
                <w:tab w:val="left" w:pos="567"/>
              </w:tabs>
              <w:ind w:left="360" w:hanging="360"/>
              <w:outlineLvl w:val="0"/>
              <w:rPr>
                <w:rFonts w:ascii="Times New Roman" w:hAnsi="Times New Roman" w:cs="Times New Roman"/>
                <w:b/>
                <w:bCs/>
                <w:caps/>
                <w:lang w:val="pt-PT"/>
              </w:rPr>
            </w:pPr>
            <w:r w:rsidRPr="00C04163">
              <w:rPr>
                <w:rFonts w:ascii="Times New Roman" w:eastAsia="Arial" w:hAnsi="Times New Roman" w:cs="Times New Roman"/>
                <w:vertAlign w:val="superscript"/>
                <w:lang w:val="pt-PT"/>
              </w:rPr>
              <w:t>b</w:t>
            </w:r>
            <w:r w:rsidRPr="00C04163">
              <w:rPr>
                <w:rFonts w:ascii="Times New Roman" w:eastAsia="Arial" w:hAnsi="Times New Roman" w:cs="Times New Roman"/>
                <w:lang w:val="pt-PT"/>
              </w:rPr>
              <w:t xml:space="preserve"> p&lt;0,001, Humira vs. placebo</w:t>
            </w:r>
          </w:p>
        </w:tc>
      </w:tr>
    </w:tbl>
    <w:p w:rsidR="00157870" w:rsidRPr="00C04163" w:rsidP="00157870" w14:paraId="2C772462" w14:textId="77777777">
      <w:pPr>
        <w:pStyle w:val="BodyText3"/>
        <w:rPr>
          <w:lang w:val="pt-PT"/>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8"/>
        <w:gridCol w:w="1522"/>
        <w:gridCol w:w="1242"/>
        <w:gridCol w:w="2134"/>
      </w:tblGrid>
      <w:tr w14:paraId="08ED6D25" w14:textId="77777777" w:rsidTr="00157870">
        <w:tblPrEx>
          <w:tblW w:w="7046" w:type="dxa"/>
          <w:tblLook w:val="0000"/>
        </w:tblPrEx>
        <w:trPr>
          <w:cantSplit/>
        </w:trPr>
        <w:tc>
          <w:tcPr>
            <w:tcW w:w="7046" w:type="dxa"/>
            <w:gridSpan w:val="4"/>
            <w:tcBorders>
              <w:top w:val="nil"/>
              <w:left w:val="nil"/>
              <w:right w:val="nil"/>
            </w:tcBorders>
          </w:tcPr>
          <w:p w:rsidR="00157870" w:rsidRPr="00295E71" w:rsidP="00157870" w14:paraId="71BB9546" w14:textId="77777777">
            <w:pPr>
              <w:pStyle w:val="DefaultText"/>
              <w:keepNext/>
              <w:jc w:val="center"/>
              <w:rPr>
                <w:rFonts w:ascii="Times New Roman" w:hAnsi="Times New Roman" w:cs="Times New Roman"/>
                <w:b/>
                <w:bCs/>
                <w:lang w:val="it-IT"/>
              </w:rPr>
            </w:pPr>
            <w:r w:rsidRPr="003E732F">
              <w:rPr>
                <w:rFonts w:ascii="Times New Roman" w:hAnsi="Times New Roman" w:cs="Times New Roman"/>
                <w:lang w:val="it-IT"/>
              </w:rPr>
              <w:br w:type="page"/>
            </w:r>
            <w:r w:rsidRPr="003E732F">
              <w:rPr>
                <w:rFonts w:ascii="Times New Roman" w:hAnsi="Times New Roman" w:cs="Times New Roman"/>
                <w:lang w:val="it-IT"/>
              </w:rPr>
              <w:br w:type="page"/>
            </w:r>
            <w:r w:rsidRPr="00295E71">
              <w:rPr>
                <w:rFonts w:ascii="Times New Roman" w:eastAsia="Arial" w:hAnsi="Times New Roman" w:cs="Times New Roman"/>
                <w:b/>
                <w:lang w:val="it-IT" w:bidi="it-IT"/>
              </w:rPr>
              <w:t>Tabella </w:t>
            </w:r>
            <w:r w:rsidR="0041314F">
              <w:rPr>
                <w:rFonts w:ascii="Times New Roman" w:eastAsia="Arial" w:hAnsi="Times New Roman" w:cs="Times New Roman"/>
                <w:b/>
                <w:lang w:val="it-IT" w:bidi="it-IT"/>
              </w:rPr>
              <w:t>12</w:t>
            </w:r>
          </w:p>
          <w:p w:rsidR="00157870" w:rsidRPr="00295E71" w:rsidP="00157870" w14:paraId="445A8ED2" w14:textId="77777777">
            <w:pPr>
              <w:pStyle w:val="DefaultText"/>
              <w:keepNext/>
              <w:jc w:val="center"/>
              <w:rPr>
                <w:rFonts w:ascii="Times New Roman" w:eastAsia="Arial" w:hAnsi="Times New Roman" w:cs="Times New Roman"/>
                <w:b/>
                <w:lang w:val="it-IT" w:bidi="it-IT"/>
              </w:rPr>
            </w:pPr>
            <w:r w:rsidRPr="00295E71">
              <w:rPr>
                <w:rFonts w:ascii="Times New Roman" w:eastAsia="Arial" w:hAnsi="Times New Roman" w:cs="Times New Roman"/>
                <w:b/>
                <w:lang w:val="it-IT" w:bidi="it-IT"/>
              </w:rPr>
              <w:t xml:space="preserve"> Studio II sulla psoriasi (CHAMPION) Risultati relativi all’efficacia alla settimana 16</w:t>
            </w:r>
          </w:p>
          <w:p w:rsidR="00157870" w:rsidRPr="00295E71" w:rsidP="00157870" w14:paraId="6125F9CF" w14:textId="77777777">
            <w:pPr>
              <w:pStyle w:val="DefaultText"/>
              <w:keepNext/>
              <w:jc w:val="center"/>
              <w:rPr>
                <w:rFonts w:ascii="Times New Roman" w:hAnsi="Times New Roman" w:cs="Times New Roman"/>
                <w:lang w:val="it-IT"/>
              </w:rPr>
            </w:pPr>
          </w:p>
        </w:tc>
      </w:tr>
      <w:tr w14:paraId="78D2C063" w14:textId="77777777" w:rsidTr="00157870">
        <w:tblPrEx>
          <w:tblW w:w="7046" w:type="dxa"/>
          <w:tblLook w:val="0000"/>
        </w:tblPrEx>
        <w:trPr>
          <w:cantSplit/>
        </w:trPr>
        <w:tc>
          <w:tcPr>
            <w:tcW w:w="2148" w:type="dxa"/>
          </w:tcPr>
          <w:p w:rsidR="00157870" w:rsidRPr="00295E71" w:rsidP="00157870" w14:paraId="1780C9FC" w14:textId="77777777">
            <w:pPr>
              <w:pStyle w:val="DefaultText"/>
              <w:keepNext/>
              <w:jc w:val="center"/>
              <w:rPr>
                <w:rFonts w:ascii="Times New Roman" w:hAnsi="Times New Roman" w:cs="Times New Roman"/>
                <w:b/>
                <w:bCs/>
                <w:lang w:val="it-IT"/>
              </w:rPr>
            </w:pPr>
          </w:p>
        </w:tc>
        <w:tc>
          <w:tcPr>
            <w:tcW w:w="1522" w:type="dxa"/>
            <w:vAlign w:val="center"/>
          </w:tcPr>
          <w:p w:rsidR="00157870" w:rsidRPr="00295E71" w:rsidP="00157870" w14:paraId="42D17C19"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Placebo</w:t>
            </w:r>
          </w:p>
          <w:p w:rsidR="00157870" w:rsidRPr="00295E71" w:rsidP="00157870" w14:paraId="7992A3B8"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N=53</w:t>
            </w:r>
          </w:p>
          <w:p w:rsidR="00157870" w:rsidRPr="00295E71" w:rsidP="00157870" w14:paraId="099FC57B"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 (%)</w:t>
            </w:r>
          </w:p>
        </w:tc>
        <w:tc>
          <w:tcPr>
            <w:tcW w:w="1242" w:type="dxa"/>
            <w:vAlign w:val="center"/>
          </w:tcPr>
          <w:p w:rsidR="00157870" w:rsidRPr="00295E71" w:rsidP="00157870" w14:paraId="5167A812"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MTX</w:t>
            </w:r>
          </w:p>
          <w:p w:rsidR="00157870" w:rsidRPr="00295E71" w:rsidP="00157870" w14:paraId="10A790B6"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N=110</w:t>
            </w:r>
          </w:p>
          <w:p w:rsidR="00157870" w:rsidRPr="00295E71" w:rsidP="00157870" w14:paraId="07674540"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 (%)</w:t>
            </w:r>
          </w:p>
        </w:tc>
        <w:tc>
          <w:tcPr>
            <w:tcW w:w="2134" w:type="dxa"/>
            <w:vAlign w:val="center"/>
          </w:tcPr>
          <w:p w:rsidR="00157870" w:rsidRPr="00295E71" w:rsidP="00157870" w14:paraId="1FD86565"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Humira 40 mg </w:t>
            </w:r>
            <w:r w:rsidRPr="00295E71">
              <w:rPr>
                <w:rFonts w:ascii="Times New Roman" w:eastAsia="Arial" w:hAnsi="Times New Roman" w:cs="Times New Roman"/>
                <w:b/>
                <w:lang w:val="it-IT" w:bidi="it-IT"/>
              </w:rPr>
              <w:t>a settimane alterne</w:t>
            </w:r>
          </w:p>
          <w:p w:rsidR="00157870" w:rsidRPr="00295E71" w:rsidP="00157870" w14:paraId="4BB68F8F"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N=108</w:t>
            </w:r>
          </w:p>
          <w:p w:rsidR="00157870" w:rsidRPr="00295E71" w:rsidP="00157870" w14:paraId="35AE3FCF"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 (%)</w:t>
            </w:r>
          </w:p>
        </w:tc>
      </w:tr>
      <w:tr w14:paraId="32FB3066" w14:textId="77777777" w:rsidTr="00157870">
        <w:tblPrEx>
          <w:tblW w:w="7046" w:type="dxa"/>
          <w:tblLook w:val="0000"/>
        </w:tblPrEx>
        <w:trPr>
          <w:cantSplit/>
        </w:trPr>
        <w:tc>
          <w:tcPr>
            <w:tcW w:w="2148" w:type="dxa"/>
          </w:tcPr>
          <w:p w:rsidR="00157870" w:rsidRPr="00295E71" w:rsidP="00157870" w14:paraId="482B8E26" w14:textId="77777777">
            <w:pPr>
              <w:pStyle w:val="DefaultText"/>
              <w:keepNext/>
              <w:rPr>
                <w:rFonts w:ascii="Times New Roman" w:hAnsi="Times New Roman" w:cs="Times New Roman"/>
                <w:b/>
                <w:bCs/>
                <w:lang w:val="it-IT"/>
              </w:rPr>
            </w:pPr>
            <w:r w:rsidRPr="00295E71">
              <w:rPr>
                <w:rFonts w:ascii="Symbol" w:hAnsi="Symbol" w:cs="Times New Roman"/>
                <w:b/>
                <w:lang w:val="it-IT"/>
              </w:rPr>
              <w:sym w:font="Symbol" w:char="F0B3"/>
            </w:r>
            <w:r w:rsidRPr="00295E71">
              <w:rPr>
                <w:rFonts w:ascii="Times New Roman" w:hAnsi="Times New Roman" w:cs="Times New Roman"/>
                <w:b/>
                <w:bCs/>
                <w:lang w:val="it-IT"/>
              </w:rPr>
              <w:t>PASI 75</w:t>
            </w:r>
          </w:p>
        </w:tc>
        <w:tc>
          <w:tcPr>
            <w:tcW w:w="1522" w:type="dxa"/>
          </w:tcPr>
          <w:p w:rsidR="00157870" w:rsidRPr="00295E71" w:rsidP="00157870" w14:paraId="49F92F21"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10 (18,9)</w:t>
            </w:r>
          </w:p>
        </w:tc>
        <w:tc>
          <w:tcPr>
            <w:tcW w:w="1242" w:type="dxa"/>
          </w:tcPr>
          <w:p w:rsidR="00157870" w:rsidRPr="00295E71" w:rsidP="00157870" w14:paraId="7791F155"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39 (35,5)</w:t>
            </w:r>
          </w:p>
        </w:tc>
        <w:tc>
          <w:tcPr>
            <w:tcW w:w="2134" w:type="dxa"/>
          </w:tcPr>
          <w:p w:rsidR="00157870" w:rsidRPr="00295E71" w:rsidP="00157870" w14:paraId="34E43CBF"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86 (79,6)</w:t>
            </w:r>
            <w:r w:rsidRPr="00295E71">
              <w:rPr>
                <w:rFonts w:ascii="Times New Roman" w:hAnsi="Times New Roman" w:cs="Times New Roman"/>
                <w:vertAlign w:val="superscript"/>
                <w:lang w:val="it-IT"/>
              </w:rPr>
              <w:t xml:space="preserve"> a, b</w:t>
            </w:r>
          </w:p>
        </w:tc>
      </w:tr>
      <w:tr w14:paraId="3F30FBB6" w14:textId="77777777" w:rsidTr="00157870">
        <w:tblPrEx>
          <w:tblW w:w="7046" w:type="dxa"/>
          <w:tblLook w:val="0000"/>
        </w:tblPrEx>
        <w:trPr>
          <w:cantSplit/>
        </w:trPr>
        <w:tc>
          <w:tcPr>
            <w:tcW w:w="2148" w:type="dxa"/>
          </w:tcPr>
          <w:p w:rsidR="00157870" w:rsidRPr="00295E71" w:rsidP="00157870" w14:paraId="697C77B1" w14:textId="77777777">
            <w:pPr>
              <w:pStyle w:val="DefaultText"/>
              <w:keepNext/>
              <w:rPr>
                <w:rFonts w:ascii="Times New Roman" w:hAnsi="Times New Roman" w:cs="Times New Roman"/>
                <w:b/>
                <w:bCs/>
                <w:lang w:val="it-IT"/>
              </w:rPr>
            </w:pPr>
            <w:r w:rsidRPr="00295E71">
              <w:rPr>
                <w:rFonts w:ascii="Times New Roman" w:hAnsi="Times New Roman" w:cs="Times New Roman"/>
                <w:b/>
                <w:bCs/>
                <w:lang w:val="it-IT"/>
              </w:rPr>
              <w:t>PASI 100</w:t>
            </w:r>
          </w:p>
        </w:tc>
        <w:tc>
          <w:tcPr>
            <w:tcW w:w="1522" w:type="dxa"/>
          </w:tcPr>
          <w:p w:rsidR="00157870" w:rsidRPr="00295E71" w:rsidP="00157870" w14:paraId="6708BBCE"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1 (1,9)</w:t>
            </w:r>
          </w:p>
        </w:tc>
        <w:tc>
          <w:tcPr>
            <w:tcW w:w="1242" w:type="dxa"/>
          </w:tcPr>
          <w:p w:rsidR="00157870" w:rsidRPr="00295E71" w:rsidP="00157870" w14:paraId="5519CD5D"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8 (7,3)</w:t>
            </w:r>
          </w:p>
        </w:tc>
        <w:tc>
          <w:tcPr>
            <w:tcW w:w="2134" w:type="dxa"/>
          </w:tcPr>
          <w:p w:rsidR="00157870" w:rsidRPr="00295E71" w:rsidP="00157870" w14:paraId="59E84878"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18 (16,7)</w:t>
            </w:r>
            <w:r w:rsidRPr="00295E71">
              <w:rPr>
                <w:rFonts w:ascii="Times New Roman" w:hAnsi="Times New Roman" w:cs="Times New Roman"/>
                <w:vertAlign w:val="superscript"/>
                <w:lang w:val="it-IT"/>
              </w:rPr>
              <w:t xml:space="preserve"> c, d</w:t>
            </w:r>
          </w:p>
        </w:tc>
      </w:tr>
      <w:tr w14:paraId="4718F5CA" w14:textId="77777777" w:rsidTr="00157870">
        <w:tblPrEx>
          <w:tblW w:w="7046" w:type="dxa"/>
          <w:tblLook w:val="0000"/>
        </w:tblPrEx>
        <w:trPr>
          <w:cantSplit/>
        </w:trPr>
        <w:tc>
          <w:tcPr>
            <w:tcW w:w="2148" w:type="dxa"/>
          </w:tcPr>
          <w:p w:rsidR="00157870" w:rsidRPr="00295E71" w:rsidP="00157870" w14:paraId="55353FF8" w14:textId="77777777">
            <w:pPr>
              <w:pStyle w:val="DefaultText"/>
              <w:keepNext/>
              <w:rPr>
                <w:rFonts w:ascii="Times New Roman" w:hAnsi="Times New Roman" w:cs="Times New Roman"/>
                <w:b/>
                <w:lang w:val="it-IT"/>
              </w:rPr>
            </w:pPr>
            <w:r w:rsidRPr="00295E71">
              <w:rPr>
                <w:rFonts w:ascii="Times New Roman" w:eastAsia="Arial" w:hAnsi="Times New Roman" w:cs="Times New Roman"/>
                <w:b/>
                <w:bCs/>
                <w:lang w:val="it-IT" w:bidi="it-IT"/>
              </w:rPr>
              <w:t>PGA: Guarigione/Marcato miglioramento</w:t>
            </w:r>
          </w:p>
        </w:tc>
        <w:tc>
          <w:tcPr>
            <w:tcW w:w="1522" w:type="dxa"/>
          </w:tcPr>
          <w:p w:rsidR="00157870" w:rsidRPr="00295E71" w:rsidP="00157870" w14:paraId="76E3F88A"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6 (11,3)</w:t>
            </w:r>
          </w:p>
        </w:tc>
        <w:tc>
          <w:tcPr>
            <w:tcW w:w="1242" w:type="dxa"/>
          </w:tcPr>
          <w:p w:rsidR="00157870" w:rsidRPr="00295E71" w:rsidP="00157870" w14:paraId="22C2B21B"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33 (30,0)</w:t>
            </w:r>
          </w:p>
        </w:tc>
        <w:tc>
          <w:tcPr>
            <w:tcW w:w="2134" w:type="dxa"/>
          </w:tcPr>
          <w:p w:rsidR="00157870" w:rsidRPr="00295E71" w:rsidP="00157870" w14:paraId="223785E9"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79 (73,1)</w:t>
            </w:r>
            <w:r w:rsidRPr="00295E71">
              <w:rPr>
                <w:rFonts w:ascii="Times New Roman" w:hAnsi="Times New Roman" w:cs="Times New Roman"/>
                <w:vertAlign w:val="superscript"/>
                <w:lang w:val="it-IT"/>
              </w:rPr>
              <w:t xml:space="preserve"> a, b</w:t>
            </w:r>
          </w:p>
        </w:tc>
      </w:tr>
      <w:tr w14:paraId="10AB5B61" w14:textId="77777777" w:rsidTr="00157870">
        <w:tblPrEx>
          <w:tblW w:w="7046" w:type="dxa"/>
          <w:tblLook w:val="0000"/>
        </w:tblPrEx>
        <w:trPr>
          <w:cantSplit/>
        </w:trPr>
        <w:tc>
          <w:tcPr>
            <w:tcW w:w="7046" w:type="dxa"/>
            <w:gridSpan w:val="4"/>
          </w:tcPr>
          <w:p w:rsidR="00157870" w:rsidRPr="00295E71" w:rsidP="00157870" w14:paraId="239A1E6D" w14:textId="77777777">
            <w:pPr>
              <w:pStyle w:val="DefaultText"/>
              <w:keepNext/>
              <w:rPr>
                <w:rFonts w:ascii="Times New Roman" w:hAnsi="Times New Roman" w:cs="Times New Roman"/>
                <w:lang w:val="it-IT"/>
              </w:rPr>
            </w:pPr>
            <w:r w:rsidRPr="00295E71">
              <w:rPr>
                <w:rFonts w:ascii="Times New Roman" w:eastAsia="Arial" w:hAnsi="Times New Roman" w:cs="Times New Roman"/>
                <w:vertAlign w:val="superscript"/>
                <w:lang w:val="it-IT" w:bidi="it-IT"/>
              </w:rPr>
              <w:t>a</w:t>
            </w:r>
            <w:r w:rsidRPr="00295E71">
              <w:rPr>
                <w:rFonts w:ascii="Times New Roman" w:eastAsia="Arial" w:hAnsi="Times New Roman" w:cs="Times New Roman"/>
                <w:lang w:val="it-IT" w:bidi="it-IT"/>
              </w:rPr>
              <w:t xml:space="preserve"> p&lt;0,001 Humira vs. placebo</w:t>
            </w:r>
          </w:p>
          <w:p w:rsidR="00157870" w:rsidRPr="00295E71" w:rsidP="00157870" w14:paraId="6A8DFF7B" w14:textId="77777777">
            <w:pPr>
              <w:pStyle w:val="DefaultText"/>
              <w:keepNext/>
              <w:rPr>
                <w:rFonts w:ascii="Times New Roman" w:hAnsi="Times New Roman" w:cs="Times New Roman"/>
                <w:lang w:val="it-IT"/>
              </w:rPr>
            </w:pPr>
            <w:r w:rsidRPr="00295E71">
              <w:rPr>
                <w:rFonts w:ascii="Times New Roman" w:eastAsia="Arial" w:hAnsi="Times New Roman" w:cs="Times New Roman"/>
                <w:vertAlign w:val="superscript"/>
                <w:lang w:val="it-IT" w:bidi="it-IT"/>
              </w:rPr>
              <w:t>b</w:t>
            </w:r>
            <w:r w:rsidRPr="00295E71">
              <w:rPr>
                <w:rFonts w:ascii="Times New Roman" w:eastAsia="Arial" w:hAnsi="Times New Roman" w:cs="Times New Roman"/>
                <w:lang w:val="it-IT" w:bidi="it-IT"/>
              </w:rPr>
              <w:t xml:space="preserve"> p&lt;0,001 Humira vs. metotressato</w:t>
            </w:r>
          </w:p>
          <w:p w:rsidR="00157870" w:rsidRPr="00295E71" w:rsidP="00157870" w14:paraId="648F0140" w14:textId="77777777">
            <w:pPr>
              <w:pStyle w:val="DefaultText"/>
              <w:keepNext/>
              <w:rPr>
                <w:rFonts w:ascii="Times New Roman" w:hAnsi="Times New Roman" w:cs="Times New Roman"/>
                <w:lang w:val="it-IT"/>
              </w:rPr>
            </w:pPr>
            <w:r w:rsidRPr="00295E71">
              <w:rPr>
                <w:rFonts w:ascii="Times New Roman" w:eastAsia="Arial" w:hAnsi="Times New Roman" w:cs="Times New Roman"/>
                <w:vertAlign w:val="superscript"/>
                <w:lang w:val="it-IT" w:bidi="it-IT"/>
              </w:rPr>
              <w:t>c</w:t>
            </w:r>
            <w:r w:rsidRPr="00295E71">
              <w:rPr>
                <w:rFonts w:ascii="Times New Roman" w:eastAsia="Arial" w:hAnsi="Times New Roman" w:cs="Times New Roman"/>
                <w:lang w:val="it-IT" w:bidi="it-IT"/>
              </w:rPr>
              <w:t xml:space="preserve"> p&lt;0,01 Humira vs. placebo</w:t>
            </w:r>
          </w:p>
          <w:p w:rsidR="00157870" w:rsidRPr="00295E71" w:rsidP="00157870" w14:paraId="5D2FDFD8" w14:textId="77777777">
            <w:pPr>
              <w:pStyle w:val="DefaultText"/>
              <w:keepNext/>
              <w:rPr>
                <w:rFonts w:ascii="Times New Roman" w:hAnsi="Times New Roman" w:cs="Times New Roman"/>
                <w:lang w:val="it-IT"/>
              </w:rPr>
            </w:pPr>
            <w:r w:rsidRPr="00295E71">
              <w:rPr>
                <w:rFonts w:ascii="Times New Roman" w:eastAsia="Arial" w:hAnsi="Times New Roman" w:cs="Times New Roman"/>
                <w:vertAlign w:val="superscript"/>
                <w:lang w:val="it-IT" w:bidi="it-IT"/>
              </w:rPr>
              <w:t>d</w:t>
            </w:r>
            <w:r w:rsidRPr="00295E71">
              <w:rPr>
                <w:rFonts w:ascii="Times New Roman" w:eastAsia="Arial" w:hAnsi="Times New Roman" w:cs="Times New Roman"/>
                <w:lang w:val="it-IT" w:bidi="it-IT"/>
              </w:rPr>
              <w:t xml:space="preserve"> p&lt;0,05 Humira vs. metotressato</w:t>
            </w:r>
          </w:p>
        </w:tc>
      </w:tr>
    </w:tbl>
    <w:p w:rsidR="00157870" w:rsidRPr="00295E71" w:rsidP="00157870" w14:paraId="18DD6006" w14:textId="77777777">
      <w:pPr>
        <w:keepNext/>
        <w:tabs>
          <w:tab w:val="left" w:pos="567"/>
        </w:tabs>
        <w:jc w:val="both"/>
        <w:rPr>
          <w:rFonts w:eastAsia="Arial"/>
          <w:sz w:val="22"/>
          <w:szCs w:val="22"/>
          <w:lang w:bidi="it-IT"/>
        </w:rPr>
      </w:pPr>
    </w:p>
    <w:p w:rsidR="00157870" w:rsidRPr="00295E71" w:rsidP="00157870" w14:paraId="7FB97A1A" w14:textId="77777777">
      <w:pPr>
        <w:rPr>
          <w:rFonts w:eastAsia="Arial"/>
          <w:sz w:val="22"/>
          <w:szCs w:val="22"/>
          <w:lang w:bidi="it-IT"/>
        </w:rPr>
      </w:pPr>
      <w:r w:rsidRPr="00295E71">
        <w:rPr>
          <w:rFonts w:eastAsia="Arial"/>
          <w:sz w:val="22"/>
          <w:szCs w:val="22"/>
          <w:lang w:bidi="it-IT"/>
        </w:rPr>
        <w:t xml:space="preserve">Nel corso dello studio I sulla psoriasi, </w:t>
      </w:r>
      <w:r w:rsidR="00E369C2">
        <w:rPr>
          <w:rFonts w:eastAsia="Arial"/>
          <w:sz w:val="22"/>
          <w:szCs w:val="22"/>
          <w:lang w:bidi="it-IT"/>
        </w:rPr>
        <w:t>nel</w:t>
      </w:r>
      <w:r w:rsidRPr="00295E71">
        <w:rPr>
          <w:rFonts w:eastAsia="Arial"/>
          <w:sz w:val="22"/>
          <w:szCs w:val="22"/>
          <w:lang w:bidi="it-IT"/>
        </w:rPr>
        <w:t xml:space="preserve"> 28% dei pazienti randomizzati a placebo alla settimana 33 dopo aver ottenuto una risposta PASI 75 rispetto al 5% di pazienti che ha proseguito la terapia con Humira, p&lt;0,001, si è verificata una “perdita di risposta adeguata” (definita da un punteggio PASI che dopo la settimana 33 e prima </w:t>
      </w:r>
      <w:r w:rsidR="00E369C2">
        <w:rPr>
          <w:rFonts w:eastAsia="Arial"/>
          <w:sz w:val="22"/>
          <w:szCs w:val="22"/>
          <w:lang w:bidi="it-IT"/>
        </w:rPr>
        <w:t>o alla</w:t>
      </w:r>
      <w:r w:rsidRPr="00295E71">
        <w:rPr>
          <w:rFonts w:eastAsia="Arial"/>
          <w:sz w:val="22"/>
          <w:szCs w:val="22"/>
          <w:lang w:bidi="it-IT"/>
        </w:rPr>
        <w:t xml:space="preserve"> scadenza della settimana 52 sia risultato &lt;PASI 50 rispetto al valore basale con un aumento minimo di 6 punti del punteggio PASI relativo alla settimana 33). Tra i pazienti in cui si è verificata la “perdita di risposta adeguata” dopo la ri-randomizzazione per ricevere placebo, e che sono stati successivamente </w:t>
      </w:r>
      <w:r w:rsidRPr="00020442" w:rsidR="00E369C2">
        <w:rPr>
          <w:rFonts w:eastAsia="Arial"/>
          <w:sz w:val="22"/>
          <w:szCs w:val="22"/>
          <w:lang w:bidi="it-IT"/>
        </w:rPr>
        <w:t>arruolati nello</w:t>
      </w:r>
      <w:r w:rsidRPr="00295E71">
        <w:rPr>
          <w:rFonts w:eastAsia="Arial"/>
          <w:sz w:val="22"/>
          <w:szCs w:val="22"/>
          <w:lang w:bidi="it-IT"/>
        </w:rPr>
        <w:t xml:space="preserve"> studio di estensione in aperto, il 38% (25/66) ed il 55% (36/66) sono riusciti ad ottenere una risposta PASI 75 rispettivamente dopo 12 e 24 settimane di ri-trattamento.</w:t>
      </w:r>
    </w:p>
    <w:p w:rsidR="00157870" w:rsidRPr="00295E71" w:rsidP="00157870" w14:paraId="098E32EE" w14:textId="77777777">
      <w:pPr>
        <w:rPr>
          <w:rFonts w:eastAsia="Arial"/>
          <w:sz w:val="22"/>
          <w:szCs w:val="22"/>
          <w:lang w:bidi="it-IT"/>
        </w:rPr>
      </w:pPr>
    </w:p>
    <w:p w:rsidR="00157870" w:rsidRPr="00295E71" w:rsidP="00157870" w14:paraId="2F449520" w14:textId="77777777">
      <w:pPr>
        <w:rPr>
          <w:rFonts w:eastAsia="Arial"/>
          <w:sz w:val="22"/>
          <w:szCs w:val="22"/>
          <w:lang w:bidi="it-IT"/>
        </w:rPr>
      </w:pPr>
      <w:r w:rsidRPr="00295E71">
        <w:rPr>
          <w:rFonts w:eastAsia="Arial"/>
          <w:sz w:val="22"/>
          <w:szCs w:val="22"/>
          <w:lang w:bidi="it-IT"/>
        </w:rPr>
        <w:t>Durante lo studio I sulla psoriasi, un totale di 233 pazienti che avevano ottenuto una risposta PASI 75 alla settimana 16 e alla settimana 33 hanno ricevuto la terapia con Humira fino alla settimana 52, ed hanno continuato la somministrazione di Humira nello studio di estensione in aperto. In questi pazienti, le percentuali di risposta PASI 75 e PGA corrispondente a remissione totale della malattia o a persistenza di malattia minima sono state rispettivamente 74,7% e 59,0%, dopo un ulteriore periodo di 108 settimane di terapia somministrata in aperto (per un totale di terapia continuativa di 160 settimane). In un’analisi effettuata su tutti i pazienti che avevano interrotto lo studio per eventi avversi o per mancanza di efficacia, o che avevano aumentato la posologia e che per tali motivi erano stati considerati come non rispondenti alla terapia, le percentuali di risposta PASI 75 e PGA corrispondente a remissione totale della malattia o a persistenza di malattia minima sono state rispettivamente del 69,6% e del 55,7%, dopo un ulteriore periodo di 108 settimane di terapia somministrata in aperto (per un totale di terapia continuativa di 160 settimane).</w:t>
      </w:r>
    </w:p>
    <w:p w:rsidR="00157870" w:rsidRPr="00295E71" w:rsidP="00157870" w14:paraId="7519BD18" w14:textId="77777777">
      <w:pPr>
        <w:rPr>
          <w:rFonts w:eastAsia="Arial"/>
          <w:sz w:val="22"/>
          <w:szCs w:val="22"/>
          <w:lang w:bidi="it-IT"/>
        </w:rPr>
      </w:pPr>
    </w:p>
    <w:p w:rsidR="00157870" w:rsidP="00157870" w14:paraId="77784511" w14:textId="77777777">
      <w:pPr>
        <w:rPr>
          <w:rFonts w:eastAsia="Arial"/>
          <w:sz w:val="22"/>
          <w:szCs w:val="22"/>
          <w:lang w:bidi="it-IT"/>
        </w:rPr>
      </w:pPr>
      <w:r w:rsidRPr="00295E71">
        <w:rPr>
          <w:rFonts w:eastAsia="Arial"/>
          <w:sz w:val="22"/>
          <w:szCs w:val="22"/>
          <w:lang w:bidi="it-IT"/>
        </w:rPr>
        <w:t>Un totale di 347 pazienti, caratterizzati da una risposta stabile alla terapia, ha preso parte ad uno studio di estensione in aperto per la valutazione degli effetti della sospensione e della ripresa del trattamento. Durante il periodo di sospensione della terapia, i sintomi della psoriasi si sono ripresentati in maniera progressiva con un tempo medi</w:t>
      </w:r>
      <w:r w:rsidR="00E369C2">
        <w:rPr>
          <w:rFonts w:eastAsia="Arial"/>
          <w:sz w:val="22"/>
          <w:szCs w:val="22"/>
          <w:lang w:bidi="it-IT"/>
        </w:rPr>
        <w:t>an</w:t>
      </w:r>
      <w:r w:rsidRPr="00295E71">
        <w:rPr>
          <w:rFonts w:eastAsia="Arial"/>
          <w:sz w:val="22"/>
          <w:szCs w:val="22"/>
          <w:lang w:bidi="it-IT"/>
        </w:rPr>
        <w:t xml:space="preserve">o </w:t>
      </w:r>
      <w:r w:rsidR="00E369C2">
        <w:rPr>
          <w:rFonts w:eastAsia="Arial"/>
          <w:sz w:val="22"/>
          <w:szCs w:val="22"/>
          <w:lang w:bidi="it-IT"/>
        </w:rPr>
        <w:t>alla</w:t>
      </w:r>
      <w:r w:rsidRPr="00295E71">
        <w:rPr>
          <w:rFonts w:eastAsia="Arial"/>
          <w:sz w:val="22"/>
          <w:szCs w:val="22"/>
          <w:lang w:bidi="it-IT"/>
        </w:rPr>
        <w:t xml:space="preserve"> recidiva (progredendo fino ad uno stadio PGA “moderato” o peggiore) di circa 5 mesi. Nessuno di questi pazienti ha manifestato fenomeni di rebound durante il periodo di sospensione del trattamento. Complessivamente, il 76,5% dei pazienti (218/285) che erano entrati nella fase di ri-trattamento aveva ottenuto una risposta PGA corrispondente a </w:t>
      </w:r>
      <w:r w:rsidR="00E369C2">
        <w:rPr>
          <w:rFonts w:eastAsia="Arial"/>
          <w:sz w:val="22"/>
          <w:szCs w:val="22"/>
          <w:lang w:bidi="it-IT"/>
        </w:rPr>
        <w:t>“</w:t>
      </w:r>
      <w:r w:rsidRPr="00295E71">
        <w:rPr>
          <w:rFonts w:eastAsia="Arial"/>
          <w:sz w:val="22"/>
          <w:szCs w:val="22"/>
          <w:lang w:bidi="it-IT"/>
        </w:rPr>
        <w:t>remissione totale della malattia</w:t>
      </w:r>
      <w:r w:rsidR="00E369C2">
        <w:rPr>
          <w:rFonts w:eastAsia="Arial"/>
          <w:sz w:val="22"/>
          <w:szCs w:val="22"/>
          <w:lang w:bidi="it-IT"/>
        </w:rPr>
        <w:t>”</w:t>
      </w:r>
      <w:r w:rsidRPr="00295E71">
        <w:rPr>
          <w:rFonts w:eastAsia="Arial"/>
          <w:sz w:val="22"/>
          <w:szCs w:val="22"/>
          <w:lang w:bidi="it-IT"/>
        </w:rPr>
        <w:t xml:space="preserve"> o a </w:t>
      </w:r>
      <w:r w:rsidR="00E369C2">
        <w:rPr>
          <w:rFonts w:eastAsia="Arial"/>
          <w:sz w:val="22"/>
          <w:szCs w:val="22"/>
          <w:lang w:bidi="it-IT"/>
        </w:rPr>
        <w:t>“</w:t>
      </w:r>
      <w:r w:rsidRPr="00295E71">
        <w:rPr>
          <w:rFonts w:eastAsia="Arial"/>
          <w:sz w:val="22"/>
          <w:szCs w:val="22"/>
          <w:lang w:bidi="it-IT"/>
        </w:rPr>
        <w:t>malattia minima</w:t>
      </w:r>
      <w:r w:rsidR="00E369C2">
        <w:rPr>
          <w:rFonts w:eastAsia="Arial"/>
          <w:sz w:val="22"/>
          <w:szCs w:val="22"/>
          <w:lang w:bidi="it-IT"/>
        </w:rPr>
        <w:t>”</w:t>
      </w:r>
      <w:r w:rsidRPr="00295E71">
        <w:rPr>
          <w:rFonts w:eastAsia="Arial"/>
          <w:sz w:val="22"/>
          <w:szCs w:val="22"/>
          <w:lang w:bidi="it-IT"/>
        </w:rPr>
        <w:t xml:space="preserve"> dopo 16 settimane di terapia, indipendentemente dal fatto di aver avuto o meno riacutizzazione della malattia durante il periodo di sospensione d</w:t>
      </w:r>
      <w:r w:rsidR="00E369C2">
        <w:rPr>
          <w:rFonts w:eastAsia="Arial"/>
          <w:sz w:val="22"/>
          <w:szCs w:val="22"/>
          <w:lang w:bidi="it-IT"/>
        </w:rPr>
        <w:t>e</w:t>
      </w:r>
      <w:r w:rsidRPr="00295E71">
        <w:rPr>
          <w:rFonts w:eastAsia="Arial"/>
          <w:sz w:val="22"/>
          <w:szCs w:val="22"/>
          <w:lang w:bidi="it-IT"/>
        </w:rPr>
        <w:t>l farmaco (rispettivamente il 69,1% [123/178] e 88,8% [95/107] dei pazienti che avevano avuto o meno una riacutizzazione della malattia durante il periodo di sospensione). Durante la ripresa del trattamento è stato osservato un profilo di sicurezza del tutto simile a quello osservato durante il periodo precedente alla sospensione della terapia.</w:t>
      </w:r>
    </w:p>
    <w:p w:rsidR="00E369C2" w:rsidRPr="00295E71" w:rsidP="00157870" w14:paraId="5BFE870C" w14:textId="77777777">
      <w:pPr>
        <w:rPr>
          <w:sz w:val="22"/>
          <w:szCs w:val="22"/>
        </w:rPr>
      </w:pPr>
    </w:p>
    <w:p w:rsidR="00157870" w:rsidRPr="00295E71" w:rsidP="00157870" w14:paraId="4E8FCA86" w14:textId="77777777">
      <w:pPr>
        <w:rPr>
          <w:rFonts w:eastAsia="Arial"/>
          <w:sz w:val="22"/>
          <w:szCs w:val="22"/>
          <w:lang w:bidi="it-IT"/>
        </w:rPr>
      </w:pPr>
      <w:r w:rsidRPr="00295E71">
        <w:rPr>
          <w:rFonts w:eastAsia="Arial"/>
          <w:sz w:val="22"/>
          <w:szCs w:val="22"/>
          <w:lang w:bidi="it-IT"/>
        </w:rPr>
        <w:t xml:space="preserve">Miglioramenti significativi del DLQI (Dermatology Life Quality Index) sono stati dimostrati alla settimana 16 a partire dal valore basale rispetto al placebo (studi I e II) ed al metotressato (studio II). </w:t>
      </w:r>
      <w:r w:rsidRPr="00295E71">
        <w:rPr>
          <w:rFonts w:eastAsia="Arial"/>
          <w:sz w:val="22"/>
          <w:szCs w:val="22"/>
          <w:lang w:bidi="it-IT"/>
        </w:rPr>
        <w:t>Nel corso dello studio I, anche i miglioramenti relativi ai punteggi complessivi delle componenti fisiche e mentali del SF-36 sono risultati significativi rispetto al placebo.</w:t>
      </w:r>
    </w:p>
    <w:p w:rsidR="00157870" w:rsidRPr="00295E71" w:rsidP="00157870" w14:paraId="7D59577C" w14:textId="77777777">
      <w:pPr>
        <w:rPr>
          <w:rFonts w:eastAsia="Arial"/>
          <w:sz w:val="22"/>
          <w:szCs w:val="22"/>
          <w:lang w:bidi="it-IT"/>
        </w:rPr>
      </w:pPr>
    </w:p>
    <w:p w:rsidR="00157870" w:rsidRPr="00295E71" w:rsidP="00157870" w14:paraId="677E23F5" w14:textId="77777777">
      <w:pPr>
        <w:rPr>
          <w:sz w:val="22"/>
          <w:szCs w:val="22"/>
        </w:rPr>
      </w:pPr>
      <w:r w:rsidRPr="00295E71">
        <w:rPr>
          <w:rFonts w:eastAsia="Arial"/>
          <w:sz w:val="22"/>
          <w:szCs w:val="22"/>
          <w:lang w:bidi="it-IT"/>
        </w:rPr>
        <w:t>In uno studio di estensione in aperto, tra i pazienti che a causa di risposta PASI inferiore al 50% avevano ricevuto incrementi della dose da 40 mg a settimane alterne alla dose di 40 mg ogni settimana, il 26,4% (92/349) e il 37,8% (132/349) ha ottenuto una risposta PASI 75 alla settimana 12 e 24, rispettivamente.</w:t>
      </w:r>
    </w:p>
    <w:p w:rsidR="00157870" w:rsidRPr="00295E71" w:rsidP="00157870" w14:paraId="6D366E34" w14:textId="77777777">
      <w:pPr>
        <w:tabs>
          <w:tab w:val="left" w:pos="567"/>
        </w:tabs>
        <w:jc w:val="both"/>
        <w:rPr>
          <w:sz w:val="22"/>
          <w:szCs w:val="22"/>
        </w:rPr>
      </w:pPr>
    </w:p>
    <w:p w:rsidR="00157870" w:rsidRPr="00295E71" w:rsidP="00157870" w14:paraId="5C2EB8ED"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Lo studio di fase III sulla psoriasi (REACH) ha paragonato l’efficacia e la sicurezza di Humira rispetto al placebo in 72 pazienti </w:t>
      </w:r>
      <w:r w:rsidRPr="00295E71" w:rsidR="00224E13">
        <w:rPr>
          <w:color w:val="000000"/>
          <w:sz w:val="22"/>
          <w:szCs w:val="22"/>
        </w:rPr>
        <w:t>con</w:t>
      </w:r>
      <w:r w:rsidRPr="00295E71">
        <w:rPr>
          <w:color w:val="000000"/>
          <w:sz w:val="22"/>
          <w:szCs w:val="22"/>
        </w:rPr>
        <w:t xml:space="preserve"> psoriasi cronica a placche da moderata a severa e psoriasi localizzata alla mano e/o al piede. I pazienti hanno ricevuto una dose iniziale di 80 mg di Humira seguita dalla dose di 40 mg somministrata a settimane alterne (a iniziare dalla settimana successiva all’assunzione della dose iniziale) o placebo per 16 settimane. Alla settimana 16, una percentualemaggiore </w:t>
      </w:r>
      <w:r w:rsidRPr="00020442" w:rsidR="00E369C2">
        <w:rPr>
          <w:color w:val="000000"/>
          <w:sz w:val="22"/>
          <w:szCs w:val="22"/>
        </w:rPr>
        <w:t xml:space="preserve">in misura statisticamente significativa </w:t>
      </w:r>
      <w:r w:rsidRPr="00295E71">
        <w:rPr>
          <w:color w:val="000000"/>
          <w:sz w:val="22"/>
          <w:szCs w:val="22"/>
        </w:rPr>
        <w:t>di pazienti che aveva ricevuto Humira, ha ottenuto una risposta PGA corrispondente a remissione totale o pressochè totale della malattia alle mani e/o ai piedi rispetto ai pazienti che avevano ricevuto il placebo (rispettivamente 30,6% vs 4,3%, [P = 0,014]).</w:t>
      </w:r>
    </w:p>
    <w:p w:rsidR="00157870" w:rsidRPr="00295E71" w:rsidP="00157870" w14:paraId="077935A4" w14:textId="77777777">
      <w:pPr>
        <w:pStyle w:val="gtcbodytext"/>
        <w:spacing w:before="0" w:after="0" w:line="240" w:lineRule="auto"/>
        <w:rPr>
          <w:sz w:val="22"/>
          <w:szCs w:val="22"/>
          <w:lang w:val="it-IT"/>
        </w:rPr>
      </w:pPr>
    </w:p>
    <w:p w:rsidR="00157870" w:rsidRPr="00295E71" w:rsidP="00157870" w14:paraId="500B8A60" w14:textId="77777777">
      <w:pPr>
        <w:pStyle w:val="gtcbodytext"/>
        <w:spacing w:before="0" w:after="0" w:line="240" w:lineRule="auto"/>
        <w:jc w:val="both"/>
        <w:rPr>
          <w:sz w:val="22"/>
          <w:szCs w:val="22"/>
          <w:lang w:val="it-IT"/>
        </w:rPr>
      </w:pPr>
      <w:r w:rsidRPr="00295E71">
        <w:rPr>
          <w:sz w:val="22"/>
          <w:szCs w:val="22"/>
          <w:lang w:val="it-IT"/>
        </w:rPr>
        <w:t xml:space="preserve">Lo studio IV sulla psoriasi ha paragonato l’efficacia e la sicurezza di Humira rispetto al placebo in 217 pazienti adulti </w:t>
      </w:r>
      <w:r w:rsidRPr="00295E71" w:rsidR="00224E13">
        <w:rPr>
          <w:sz w:val="22"/>
          <w:szCs w:val="22"/>
          <w:lang w:val="it-IT"/>
        </w:rPr>
        <w:t>con</w:t>
      </w:r>
      <w:r w:rsidRPr="00295E71">
        <w:rPr>
          <w:sz w:val="22"/>
          <w:szCs w:val="22"/>
          <w:lang w:val="it-IT"/>
        </w:rPr>
        <w:t xml:space="preserve"> psoriasi ungueale da moderata a severa. I pazienti hanno ricevuto una dose iniziale di 80 mg di Humira seguita da 40 mg a settimane alterne (a partire da una settimana dopo la dose iniziale) o di placebo per 26 settimane seguita da un trattamento in aperto con Humira per altre 26 settimane.</w:t>
      </w:r>
      <w:r w:rsidR="00DE3314">
        <w:rPr>
          <w:sz w:val="22"/>
          <w:szCs w:val="22"/>
          <w:lang w:val="it-IT"/>
        </w:rPr>
        <w:t xml:space="preserve"> </w:t>
      </w:r>
      <w:r w:rsidRPr="00295E71">
        <w:rPr>
          <w:sz w:val="22"/>
          <w:szCs w:val="22"/>
          <w:lang w:val="it-IT"/>
        </w:rPr>
        <w:t xml:space="preserve">Le valutazioni della psoriasi ungueale comprendevano il Modified Nail Psoriasis Severity Index (mNAPSI), il Physician’s Global Assessment of Fingernail Psoriasis (PGA-F) e il Nail Psoriasis Severity Index (NAPSI) (vedere Tabella </w:t>
      </w:r>
      <w:r w:rsidR="0041314F">
        <w:rPr>
          <w:sz w:val="22"/>
          <w:szCs w:val="22"/>
          <w:lang w:val="it-IT"/>
        </w:rPr>
        <w:t>13</w:t>
      </w:r>
      <w:r w:rsidRPr="00295E71">
        <w:rPr>
          <w:sz w:val="22"/>
          <w:szCs w:val="22"/>
          <w:lang w:val="it-IT"/>
        </w:rPr>
        <w:t xml:space="preserve">). Il trattamento con Humira ha dimostrato un beneficio terapeutico nei pazienti </w:t>
      </w:r>
      <w:r w:rsidRPr="00295E71" w:rsidR="00224E13">
        <w:rPr>
          <w:sz w:val="22"/>
          <w:szCs w:val="22"/>
          <w:lang w:val="it-IT"/>
        </w:rPr>
        <w:t>con</w:t>
      </w:r>
      <w:r w:rsidRPr="00295E71">
        <w:rPr>
          <w:sz w:val="22"/>
          <w:szCs w:val="22"/>
          <w:lang w:val="it-IT"/>
        </w:rPr>
        <w:t xml:space="preserve"> psoriasi ungueale con coinvolgimento cutaneo di grado variabile (BSA≥10% (60% dei pazienti) e BSA&lt;10% e ≥5% (40% dei pazienti)).</w:t>
      </w:r>
    </w:p>
    <w:p w:rsidR="00157870" w:rsidRPr="00295E71" w:rsidP="00157870" w14:paraId="65C86EBF" w14:textId="77777777">
      <w:pPr>
        <w:tabs>
          <w:tab w:val="left" w:pos="567"/>
          <w:tab w:val="left" w:pos="1294"/>
        </w:tabs>
        <w:autoSpaceDE w:val="0"/>
        <w:autoSpaceDN w:val="0"/>
        <w:adjustRightInd w:val="0"/>
        <w:jc w:val="both"/>
        <w:rPr>
          <w:color w:val="000000"/>
          <w:sz w:val="22"/>
          <w:szCs w:val="22"/>
        </w:rPr>
      </w:pPr>
    </w:p>
    <w:p w:rsidR="00157870" w:rsidRPr="00295E71" w:rsidP="00157870" w14:paraId="554D887A" w14:textId="77777777">
      <w:pPr>
        <w:pStyle w:val="gtctabletitleotherwise"/>
        <w:keepNext/>
        <w:spacing w:before="0"/>
        <w:rPr>
          <w:bCs w:val="0"/>
          <w:sz w:val="22"/>
          <w:szCs w:val="22"/>
          <w:lang w:val="it-IT"/>
        </w:rPr>
      </w:pPr>
      <w:r w:rsidRPr="00295E71">
        <w:rPr>
          <w:bCs w:val="0"/>
          <w:sz w:val="22"/>
          <w:szCs w:val="22"/>
          <w:lang w:val="it-IT"/>
        </w:rPr>
        <w:t xml:space="preserve">Tabella </w:t>
      </w:r>
      <w:r w:rsidR="0041314F">
        <w:rPr>
          <w:bCs w:val="0"/>
          <w:sz w:val="22"/>
          <w:szCs w:val="22"/>
          <w:lang w:val="it-IT"/>
        </w:rPr>
        <w:t>13</w:t>
      </w:r>
    </w:p>
    <w:p w:rsidR="00157870" w:rsidRPr="00295E71" w:rsidP="00157870" w14:paraId="1A798A29" w14:textId="77777777">
      <w:pPr>
        <w:pStyle w:val="gtctabletitleotherwise"/>
        <w:keepNext/>
        <w:spacing w:before="0"/>
        <w:rPr>
          <w:sz w:val="22"/>
          <w:szCs w:val="22"/>
          <w:lang w:val="it-IT"/>
        </w:rPr>
      </w:pPr>
      <w:r w:rsidRPr="00295E71">
        <w:rPr>
          <w:bCs w:val="0"/>
          <w:sz w:val="22"/>
          <w:szCs w:val="22"/>
          <w:lang w:val="it-IT"/>
        </w:rPr>
        <w:t>Risultati di efficacia dello Studio Ps IV alle settimane 16, 26 e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20512028" w14:textId="77777777" w:rsidTr="00157870">
        <w:tblPrEx>
          <w:tblW w:w="0" w:type="auto"/>
          <w:tblLayout w:type="fixed"/>
          <w:tblLook w:val="04A0"/>
        </w:tblPrEx>
        <w:tc>
          <w:tcPr>
            <w:tcW w:w="2718" w:type="dxa"/>
            <w:vMerge w:val="restart"/>
          </w:tcPr>
          <w:p w:rsidR="00157870" w:rsidRPr="00295E71" w:rsidP="00157870" w14:paraId="43B61891" w14:textId="77777777">
            <w:pPr>
              <w:pStyle w:val="gtctablespaceafter"/>
              <w:keepNext/>
              <w:spacing w:after="0"/>
              <w:rPr>
                <w:sz w:val="22"/>
                <w:szCs w:val="22"/>
                <w:lang w:val="it-IT"/>
              </w:rPr>
            </w:pPr>
            <w:r w:rsidRPr="00295E71">
              <w:rPr>
                <w:sz w:val="22"/>
                <w:szCs w:val="22"/>
                <w:lang w:val="it-IT"/>
              </w:rPr>
              <w:t>Endpoint</w:t>
            </w:r>
          </w:p>
        </w:tc>
        <w:tc>
          <w:tcPr>
            <w:tcW w:w="2340" w:type="dxa"/>
            <w:gridSpan w:val="2"/>
          </w:tcPr>
          <w:p w:rsidR="00157870" w:rsidRPr="00295E71" w:rsidP="00157870" w14:paraId="3BD94C11" w14:textId="77777777">
            <w:pPr>
              <w:pStyle w:val="gtctablespaceafter"/>
              <w:keepNext/>
              <w:spacing w:after="0"/>
              <w:jc w:val="center"/>
              <w:rPr>
                <w:sz w:val="22"/>
                <w:szCs w:val="22"/>
                <w:lang w:val="it-IT"/>
              </w:rPr>
            </w:pPr>
            <w:r w:rsidRPr="00295E71">
              <w:rPr>
                <w:sz w:val="22"/>
                <w:szCs w:val="22"/>
                <w:lang w:val="it-IT"/>
              </w:rPr>
              <w:t>Settimana 16</w:t>
            </w:r>
          </w:p>
          <w:p w:rsidR="00157870" w:rsidRPr="00295E71" w:rsidP="00157870" w14:paraId="1A47F667" w14:textId="77777777">
            <w:pPr>
              <w:pStyle w:val="gtctablespaceafter"/>
              <w:keepNext/>
              <w:spacing w:after="0"/>
              <w:jc w:val="center"/>
              <w:rPr>
                <w:sz w:val="22"/>
                <w:szCs w:val="22"/>
                <w:lang w:val="it-IT"/>
              </w:rPr>
            </w:pPr>
            <w:r w:rsidRPr="00295E71">
              <w:rPr>
                <w:sz w:val="22"/>
                <w:szCs w:val="22"/>
                <w:lang w:val="it-IT"/>
              </w:rPr>
              <w:t>Controllato verso placebo</w:t>
            </w:r>
          </w:p>
        </w:tc>
        <w:tc>
          <w:tcPr>
            <w:tcW w:w="2250" w:type="dxa"/>
            <w:gridSpan w:val="2"/>
          </w:tcPr>
          <w:p w:rsidR="00157870" w:rsidRPr="00295E71" w:rsidP="00157870" w14:paraId="55C4992B" w14:textId="77777777">
            <w:pPr>
              <w:pStyle w:val="gtctablespaceafter"/>
              <w:keepNext/>
              <w:spacing w:after="0"/>
              <w:jc w:val="center"/>
              <w:rPr>
                <w:sz w:val="22"/>
                <w:szCs w:val="22"/>
                <w:lang w:val="it-IT"/>
              </w:rPr>
            </w:pPr>
            <w:r w:rsidRPr="00295E71">
              <w:rPr>
                <w:sz w:val="22"/>
                <w:szCs w:val="22"/>
                <w:lang w:val="it-IT"/>
              </w:rPr>
              <w:t>Settimana 26</w:t>
            </w:r>
          </w:p>
          <w:p w:rsidR="00157870" w:rsidRPr="00295E71" w:rsidP="00157870" w14:paraId="7234F8F5" w14:textId="77777777">
            <w:pPr>
              <w:pStyle w:val="gtctablespaceafter"/>
              <w:keepNext/>
              <w:spacing w:after="0"/>
              <w:jc w:val="center"/>
              <w:rPr>
                <w:sz w:val="22"/>
                <w:szCs w:val="22"/>
                <w:lang w:val="it-IT"/>
              </w:rPr>
            </w:pPr>
            <w:r w:rsidRPr="00295E71">
              <w:rPr>
                <w:sz w:val="22"/>
                <w:szCs w:val="22"/>
                <w:lang w:val="it-IT"/>
              </w:rPr>
              <w:t>Controllato verso placebo</w:t>
            </w:r>
          </w:p>
        </w:tc>
        <w:tc>
          <w:tcPr>
            <w:tcW w:w="2268" w:type="dxa"/>
            <w:vAlign w:val="center"/>
          </w:tcPr>
          <w:p w:rsidR="00157870" w:rsidRPr="00295E71" w:rsidP="00157870" w14:paraId="753FD63F" w14:textId="77777777">
            <w:pPr>
              <w:pStyle w:val="gtctablespaceafter"/>
              <w:keepNext/>
              <w:spacing w:after="0"/>
              <w:jc w:val="center"/>
              <w:rPr>
                <w:sz w:val="22"/>
                <w:szCs w:val="22"/>
                <w:lang w:val="it-IT"/>
              </w:rPr>
            </w:pPr>
            <w:r w:rsidRPr="00295E71">
              <w:rPr>
                <w:sz w:val="22"/>
                <w:szCs w:val="22"/>
                <w:lang w:val="it-IT"/>
              </w:rPr>
              <w:t>Settimana 52</w:t>
            </w:r>
          </w:p>
          <w:p w:rsidR="00157870" w:rsidRPr="00295E71" w:rsidP="00157870" w14:paraId="2D0B29D8" w14:textId="77777777">
            <w:pPr>
              <w:pStyle w:val="gtctablespaceafter"/>
              <w:keepNext/>
              <w:spacing w:after="0"/>
              <w:jc w:val="center"/>
              <w:rPr>
                <w:sz w:val="22"/>
                <w:szCs w:val="22"/>
                <w:lang w:val="it-IT"/>
              </w:rPr>
            </w:pPr>
            <w:r w:rsidRPr="00295E71">
              <w:rPr>
                <w:sz w:val="22"/>
                <w:szCs w:val="22"/>
                <w:lang w:val="it-IT"/>
              </w:rPr>
              <w:t>In aperto</w:t>
            </w:r>
          </w:p>
        </w:tc>
      </w:tr>
      <w:tr w14:paraId="4E446358" w14:textId="77777777" w:rsidTr="00157870">
        <w:tblPrEx>
          <w:tblW w:w="0" w:type="auto"/>
          <w:tblLayout w:type="fixed"/>
          <w:tblLook w:val="04A0"/>
        </w:tblPrEx>
        <w:tc>
          <w:tcPr>
            <w:tcW w:w="2718" w:type="dxa"/>
            <w:vMerge/>
          </w:tcPr>
          <w:p w:rsidR="00157870" w:rsidRPr="00295E71" w:rsidP="00157870" w14:paraId="634B6C74" w14:textId="77777777">
            <w:pPr>
              <w:pStyle w:val="gtctablespaceafter"/>
              <w:keepNext/>
              <w:spacing w:after="0"/>
              <w:rPr>
                <w:sz w:val="22"/>
                <w:szCs w:val="22"/>
                <w:lang w:val="it-IT"/>
              </w:rPr>
            </w:pPr>
          </w:p>
        </w:tc>
        <w:tc>
          <w:tcPr>
            <w:tcW w:w="1080" w:type="dxa"/>
          </w:tcPr>
          <w:p w:rsidR="00157870" w:rsidRPr="00295E71" w:rsidP="00157870" w14:paraId="5F8C9ABF" w14:textId="77777777">
            <w:pPr>
              <w:pStyle w:val="gtctablespaceafter"/>
              <w:keepNext/>
              <w:spacing w:after="0"/>
              <w:jc w:val="center"/>
              <w:rPr>
                <w:sz w:val="22"/>
                <w:szCs w:val="22"/>
                <w:lang w:val="it-IT"/>
              </w:rPr>
            </w:pPr>
            <w:r w:rsidRPr="00295E71">
              <w:rPr>
                <w:sz w:val="22"/>
                <w:szCs w:val="22"/>
                <w:lang w:val="it-IT"/>
              </w:rPr>
              <w:t>Placebo</w:t>
            </w:r>
            <w:r w:rsidRPr="00295E71">
              <w:rPr>
                <w:sz w:val="22"/>
                <w:szCs w:val="22"/>
                <w:lang w:val="it-IT"/>
              </w:rPr>
              <w:br/>
              <w:t>N=108</w:t>
            </w:r>
          </w:p>
        </w:tc>
        <w:tc>
          <w:tcPr>
            <w:tcW w:w="1260" w:type="dxa"/>
          </w:tcPr>
          <w:p w:rsidR="00157870" w:rsidRPr="00295E71" w:rsidP="00157870" w14:paraId="30196DD9" w14:textId="77777777">
            <w:pPr>
              <w:pStyle w:val="In-texttable"/>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p>
          <w:p w:rsidR="00157870" w:rsidRPr="00295E71" w:rsidP="00157870" w14:paraId="5A97FD37" w14:textId="77777777">
            <w:pPr>
              <w:pStyle w:val="gtctablespaceafter"/>
              <w:keepNext/>
              <w:spacing w:after="0"/>
              <w:jc w:val="center"/>
              <w:rPr>
                <w:sz w:val="22"/>
                <w:szCs w:val="22"/>
                <w:lang w:val="it-IT"/>
              </w:rPr>
            </w:pPr>
            <w:r w:rsidRPr="00295E71">
              <w:rPr>
                <w:sz w:val="22"/>
                <w:szCs w:val="22"/>
                <w:lang w:val="it-IT"/>
              </w:rPr>
              <w:t xml:space="preserve">40 mg a settimane alterne </w:t>
            </w:r>
            <w:r w:rsidRPr="00295E71">
              <w:rPr>
                <w:sz w:val="22"/>
                <w:szCs w:val="22"/>
                <w:lang w:val="it-IT"/>
              </w:rPr>
              <w:br/>
              <w:t>N=109</w:t>
            </w:r>
          </w:p>
        </w:tc>
        <w:tc>
          <w:tcPr>
            <w:tcW w:w="990" w:type="dxa"/>
          </w:tcPr>
          <w:p w:rsidR="00157870" w:rsidRPr="00295E71" w:rsidP="00157870" w14:paraId="13DA0997" w14:textId="77777777">
            <w:pPr>
              <w:pStyle w:val="gtctablespaceafter"/>
              <w:keepNext/>
              <w:spacing w:after="0"/>
              <w:jc w:val="center"/>
              <w:rPr>
                <w:sz w:val="22"/>
                <w:szCs w:val="22"/>
                <w:lang w:val="it-IT"/>
              </w:rPr>
            </w:pPr>
            <w:r w:rsidRPr="00295E71">
              <w:rPr>
                <w:sz w:val="22"/>
                <w:szCs w:val="22"/>
                <w:lang w:val="it-IT"/>
              </w:rPr>
              <w:t>Placebo</w:t>
            </w:r>
            <w:r w:rsidRPr="00295E71">
              <w:rPr>
                <w:sz w:val="22"/>
                <w:szCs w:val="22"/>
                <w:lang w:val="it-IT"/>
              </w:rPr>
              <w:br/>
              <w:t>N=108</w:t>
            </w:r>
          </w:p>
        </w:tc>
        <w:tc>
          <w:tcPr>
            <w:tcW w:w="1260" w:type="dxa"/>
          </w:tcPr>
          <w:p w:rsidR="00157870" w:rsidRPr="00295E71" w:rsidP="00157870" w14:paraId="2EAE9AD5" w14:textId="77777777">
            <w:pPr>
              <w:pStyle w:val="In-texttable"/>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p>
          <w:p w:rsidR="00157870" w:rsidRPr="00295E71" w:rsidP="00157870" w14:paraId="7B76A0F6" w14:textId="77777777">
            <w:pPr>
              <w:pStyle w:val="gtctablespaceafter"/>
              <w:keepNext/>
              <w:spacing w:after="0"/>
              <w:jc w:val="center"/>
              <w:rPr>
                <w:sz w:val="22"/>
                <w:szCs w:val="22"/>
                <w:lang w:val="it-IT"/>
              </w:rPr>
            </w:pPr>
            <w:r w:rsidRPr="00295E71">
              <w:rPr>
                <w:sz w:val="22"/>
                <w:szCs w:val="22"/>
                <w:lang w:val="it-IT"/>
              </w:rPr>
              <w:t xml:space="preserve">40 mg a settimane alterne </w:t>
            </w:r>
            <w:r w:rsidRPr="00295E71">
              <w:rPr>
                <w:sz w:val="22"/>
                <w:szCs w:val="22"/>
                <w:lang w:val="it-IT"/>
              </w:rPr>
              <w:br/>
              <w:t>N=109</w:t>
            </w:r>
          </w:p>
        </w:tc>
        <w:tc>
          <w:tcPr>
            <w:tcW w:w="2268" w:type="dxa"/>
          </w:tcPr>
          <w:p w:rsidR="00157870" w:rsidRPr="00295E71" w:rsidP="00157870" w14:paraId="1109F76E" w14:textId="77777777">
            <w:pPr>
              <w:pStyle w:val="In-texttable"/>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p>
          <w:p w:rsidR="00157870" w:rsidRPr="00295E71" w:rsidP="00157870" w14:paraId="4665E664" w14:textId="77777777">
            <w:pPr>
              <w:pStyle w:val="gtctablespaceafter"/>
              <w:keepNext/>
              <w:spacing w:after="0"/>
              <w:jc w:val="center"/>
              <w:rPr>
                <w:sz w:val="22"/>
                <w:szCs w:val="22"/>
                <w:lang w:val="it-IT"/>
              </w:rPr>
            </w:pPr>
            <w:r w:rsidRPr="00295E71">
              <w:rPr>
                <w:sz w:val="22"/>
                <w:szCs w:val="22"/>
                <w:lang w:val="it-IT"/>
              </w:rPr>
              <w:t xml:space="preserve">40 mg a settimane alterne </w:t>
            </w:r>
            <w:r w:rsidRPr="00295E71">
              <w:rPr>
                <w:sz w:val="22"/>
                <w:szCs w:val="22"/>
                <w:lang w:val="it-IT"/>
              </w:rPr>
              <w:br/>
              <w:t>N=80</w:t>
            </w:r>
          </w:p>
        </w:tc>
      </w:tr>
      <w:tr w14:paraId="1F493BEE" w14:textId="77777777" w:rsidTr="00157870">
        <w:tblPrEx>
          <w:tblW w:w="0" w:type="auto"/>
          <w:tblLayout w:type="fixed"/>
          <w:tblLook w:val="04A0"/>
        </w:tblPrEx>
        <w:tc>
          <w:tcPr>
            <w:tcW w:w="2718" w:type="dxa"/>
          </w:tcPr>
          <w:p w:rsidR="00157870" w:rsidRPr="00295E71" w:rsidP="00157870" w14:paraId="30A3F8B7" w14:textId="77777777">
            <w:pPr>
              <w:pStyle w:val="gtctablespaceafter"/>
              <w:keepNext/>
              <w:spacing w:after="0"/>
              <w:rPr>
                <w:sz w:val="22"/>
                <w:szCs w:val="22"/>
                <w:lang w:val="it-IT"/>
              </w:rPr>
            </w:pPr>
            <w:r w:rsidRPr="00295E71">
              <w:rPr>
                <w:sz w:val="22"/>
                <w:szCs w:val="22"/>
                <w:lang w:val="it-IT"/>
              </w:rPr>
              <w:t>≥ mNAPSI 75 (%)</w:t>
            </w:r>
          </w:p>
        </w:tc>
        <w:tc>
          <w:tcPr>
            <w:tcW w:w="1080" w:type="dxa"/>
          </w:tcPr>
          <w:p w:rsidR="00157870" w:rsidRPr="00295E71" w:rsidP="00157870" w14:paraId="1D8964D7" w14:textId="77777777">
            <w:pPr>
              <w:pStyle w:val="gtctablespaceafter"/>
              <w:keepNext/>
              <w:spacing w:after="0"/>
              <w:jc w:val="center"/>
              <w:rPr>
                <w:sz w:val="22"/>
                <w:szCs w:val="22"/>
                <w:lang w:val="it-IT"/>
              </w:rPr>
            </w:pPr>
            <w:r w:rsidRPr="00295E71">
              <w:rPr>
                <w:sz w:val="22"/>
                <w:szCs w:val="22"/>
                <w:lang w:val="it-IT"/>
              </w:rPr>
              <w:t>2,9</w:t>
            </w:r>
          </w:p>
        </w:tc>
        <w:tc>
          <w:tcPr>
            <w:tcW w:w="1260" w:type="dxa"/>
          </w:tcPr>
          <w:p w:rsidR="00157870" w:rsidRPr="00295E71" w:rsidP="00157870" w14:paraId="3AEE5636" w14:textId="77777777">
            <w:pPr>
              <w:pStyle w:val="gtctablespaceafter"/>
              <w:keepNext/>
              <w:spacing w:after="0"/>
              <w:jc w:val="center"/>
              <w:rPr>
                <w:sz w:val="22"/>
                <w:szCs w:val="22"/>
                <w:lang w:val="it-IT"/>
              </w:rPr>
            </w:pPr>
            <w:r w:rsidRPr="00295E71">
              <w:rPr>
                <w:sz w:val="22"/>
                <w:szCs w:val="22"/>
                <w:lang w:val="it-IT"/>
              </w:rPr>
              <w:t>26,0</w:t>
            </w:r>
            <w:r w:rsidRPr="00295E71">
              <w:rPr>
                <w:sz w:val="22"/>
                <w:szCs w:val="22"/>
                <w:vertAlign w:val="superscript"/>
                <w:lang w:val="it-IT"/>
              </w:rPr>
              <w:t>a</w:t>
            </w:r>
          </w:p>
        </w:tc>
        <w:tc>
          <w:tcPr>
            <w:tcW w:w="990" w:type="dxa"/>
          </w:tcPr>
          <w:p w:rsidR="00157870" w:rsidRPr="00295E71" w:rsidP="00157870" w14:paraId="646E21BE" w14:textId="77777777">
            <w:pPr>
              <w:keepNext/>
              <w:jc w:val="center"/>
              <w:rPr>
                <w:sz w:val="22"/>
                <w:szCs w:val="22"/>
              </w:rPr>
            </w:pPr>
            <w:r w:rsidRPr="00295E71">
              <w:rPr>
                <w:sz w:val="22"/>
                <w:szCs w:val="22"/>
              </w:rPr>
              <w:t>3,4</w:t>
            </w:r>
          </w:p>
        </w:tc>
        <w:tc>
          <w:tcPr>
            <w:tcW w:w="1260" w:type="dxa"/>
          </w:tcPr>
          <w:p w:rsidR="00157870" w:rsidRPr="00295E71" w:rsidP="00157870" w14:paraId="701164D7" w14:textId="77777777">
            <w:pPr>
              <w:keepNext/>
              <w:jc w:val="center"/>
              <w:rPr>
                <w:sz w:val="22"/>
                <w:szCs w:val="22"/>
              </w:rPr>
            </w:pPr>
            <w:r w:rsidRPr="00295E71">
              <w:rPr>
                <w:sz w:val="22"/>
                <w:szCs w:val="22"/>
              </w:rPr>
              <w:t>46,6</w:t>
            </w:r>
            <w:r w:rsidRPr="00295E71">
              <w:rPr>
                <w:sz w:val="22"/>
                <w:szCs w:val="22"/>
                <w:vertAlign w:val="superscript"/>
              </w:rPr>
              <w:t>a</w:t>
            </w:r>
          </w:p>
        </w:tc>
        <w:tc>
          <w:tcPr>
            <w:tcW w:w="2268" w:type="dxa"/>
          </w:tcPr>
          <w:p w:rsidR="00157870" w:rsidRPr="00295E71" w:rsidP="00157870" w14:paraId="66567EBE" w14:textId="77777777">
            <w:pPr>
              <w:pStyle w:val="gtctablespaceafter"/>
              <w:keepNext/>
              <w:spacing w:after="0"/>
              <w:jc w:val="center"/>
              <w:rPr>
                <w:sz w:val="22"/>
                <w:szCs w:val="22"/>
                <w:lang w:val="it-IT"/>
              </w:rPr>
            </w:pPr>
            <w:r w:rsidRPr="00295E71">
              <w:rPr>
                <w:sz w:val="22"/>
                <w:szCs w:val="22"/>
                <w:lang w:val="it-IT"/>
              </w:rPr>
              <w:t>65,0</w:t>
            </w:r>
          </w:p>
        </w:tc>
      </w:tr>
      <w:tr w14:paraId="740CD44E" w14:textId="77777777" w:rsidTr="00157870">
        <w:tblPrEx>
          <w:tblW w:w="0" w:type="auto"/>
          <w:tblLayout w:type="fixed"/>
          <w:tblLook w:val="04A0"/>
        </w:tblPrEx>
        <w:tc>
          <w:tcPr>
            <w:tcW w:w="2718" w:type="dxa"/>
          </w:tcPr>
          <w:p w:rsidR="00157870" w:rsidRPr="00295E71" w:rsidP="00157870" w14:paraId="578CEB6E" w14:textId="77777777">
            <w:pPr>
              <w:pStyle w:val="gtctablespaceafter"/>
              <w:keepNext/>
              <w:spacing w:after="0"/>
              <w:rPr>
                <w:sz w:val="22"/>
                <w:szCs w:val="22"/>
                <w:lang w:val="it-IT"/>
              </w:rPr>
            </w:pPr>
            <w:r w:rsidRPr="00295E71">
              <w:rPr>
                <w:sz w:val="22"/>
                <w:szCs w:val="22"/>
                <w:lang w:val="it-IT"/>
              </w:rPr>
              <w:t>PGA-F guarigione/marcato miglioramento e miglioramento di grado ≥2 (%)</w:t>
            </w:r>
          </w:p>
        </w:tc>
        <w:tc>
          <w:tcPr>
            <w:tcW w:w="1080" w:type="dxa"/>
          </w:tcPr>
          <w:p w:rsidR="00157870" w:rsidRPr="00295E71" w:rsidP="00157870" w14:paraId="5430D039" w14:textId="77777777">
            <w:pPr>
              <w:pStyle w:val="gtctablespaceafter"/>
              <w:keepNext/>
              <w:spacing w:after="0"/>
              <w:jc w:val="center"/>
              <w:rPr>
                <w:sz w:val="22"/>
                <w:szCs w:val="22"/>
                <w:lang w:val="it-IT"/>
              </w:rPr>
            </w:pPr>
            <w:r w:rsidRPr="00295E71">
              <w:rPr>
                <w:sz w:val="22"/>
                <w:szCs w:val="22"/>
                <w:lang w:val="it-IT"/>
              </w:rPr>
              <w:t>2,9</w:t>
            </w:r>
          </w:p>
        </w:tc>
        <w:tc>
          <w:tcPr>
            <w:tcW w:w="1260" w:type="dxa"/>
          </w:tcPr>
          <w:p w:rsidR="00157870" w:rsidRPr="00295E71" w:rsidP="00157870" w14:paraId="6FB0FECF" w14:textId="77777777">
            <w:pPr>
              <w:pStyle w:val="gtctablespaceafter"/>
              <w:keepNext/>
              <w:spacing w:after="0"/>
              <w:jc w:val="center"/>
              <w:rPr>
                <w:sz w:val="22"/>
                <w:szCs w:val="22"/>
                <w:lang w:val="it-IT"/>
              </w:rPr>
            </w:pPr>
            <w:r w:rsidRPr="00295E71">
              <w:rPr>
                <w:sz w:val="22"/>
                <w:szCs w:val="22"/>
                <w:lang w:val="it-IT"/>
              </w:rPr>
              <w:t>29,7</w:t>
            </w:r>
            <w:r w:rsidRPr="00295E71">
              <w:rPr>
                <w:sz w:val="22"/>
                <w:szCs w:val="22"/>
                <w:vertAlign w:val="superscript"/>
                <w:lang w:val="it-IT"/>
              </w:rPr>
              <w:t>a</w:t>
            </w:r>
          </w:p>
        </w:tc>
        <w:tc>
          <w:tcPr>
            <w:tcW w:w="990" w:type="dxa"/>
          </w:tcPr>
          <w:p w:rsidR="00157870" w:rsidRPr="00295E71" w:rsidP="00157870" w14:paraId="742C3ED0" w14:textId="77777777">
            <w:pPr>
              <w:keepNext/>
              <w:jc w:val="center"/>
              <w:rPr>
                <w:sz w:val="22"/>
                <w:szCs w:val="22"/>
              </w:rPr>
            </w:pPr>
            <w:r w:rsidRPr="00295E71">
              <w:rPr>
                <w:sz w:val="22"/>
                <w:szCs w:val="22"/>
              </w:rPr>
              <w:t>6,9</w:t>
            </w:r>
          </w:p>
        </w:tc>
        <w:tc>
          <w:tcPr>
            <w:tcW w:w="1260" w:type="dxa"/>
          </w:tcPr>
          <w:p w:rsidR="00157870" w:rsidRPr="00295E71" w:rsidP="00157870" w14:paraId="607295E4" w14:textId="77777777">
            <w:pPr>
              <w:keepNext/>
              <w:jc w:val="center"/>
              <w:rPr>
                <w:sz w:val="22"/>
                <w:szCs w:val="22"/>
              </w:rPr>
            </w:pPr>
            <w:r w:rsidRPr="00295E71">
              <w:rPr>
                <w:sz w:val="22"/>
                <w:szCs w:val="22"/>
              </w:rPr>
              <w:t>48,9</w:t>
            </w:r>
            <w:r w:rsidRPr="00295E71">
              <w:rPr>
                <w:sz w:val="22"/>
                <w:szCs w:val="22"/>
                <w:vertAlign w:val="superscript"/>
              </w:rPr>
              <w:t>a</w:t>
            </w:r>
          </w:p>
        </w:tc>
        <w:tc>
          <w:tcPr>
            <w:tcW w:w="2268" w:type="dxa"/>
          </w:tcPr>
          <w:p w:rsidR="00157870" w:rsidRPr="00295E71" w:rsidP="00157870" w14:paraId="26ED2E10" w14:textId="77777777">
            <w:pPr>
              <w:pStyle w:val="gtctablespaceafter"/>
              <w:keepNext/>
              <w:spacing w:after="0"/>
              <w:jc w:val="center"/>
              <w:rPr>
                <w:sz w:val="22"/>
                <w:szCs w:val="22"/>
                <w:lang w:val="it-IT"/>
              </w:rPr>
            </w:pPr>
            <w:r w:rsidRPr="00295E71">
              <w:rPr>
                <w:sz w:val="22"/>
                <w:szCs w:val="22"/>
                <w:lang w:val="it-IT"/>
              </w:rPr>
              <w:t>61,3</w:t>
            </w:r>
          </w:p>
        </w:tc>
      </w:tr>
      <w:tr w14:paraId="3F75893B" w14:textId="77777777" w:rsidTr="00157870">
        <w:tblPrEx>
          <w:tblW w:w="0" w:type="auto"/>
          <w:tblLayout w:type="fixed"/>
          <w:tblLook w:val="04A0"/>
        </w:tblPrEx>
        <w:tc>
          <w:tcPr>
            <w:tcW w:w="2718" w:type="dxa"/>
          </w:tcPr>
          <w:p w:rsidR="00157870" w:rsidRPr="00295E71" w:rsidP="00157870" w14:paraId="2B39B2E4" w14:textId="77777777">
            <w:pPr>
              <w:pStyle w:val="gtctablespaceafter"/>
              <w:keepNext/>
              <w:spacing w:after="0"/>
              <w:rPr>
                <w:sz w:val="22"/>
                <w:szCs w:val="22"/>
                <w:lang w:val="it-IT"/>
              </w:rPr>
            </w:pPr>
            <w:r w:rsidRPr="00295E71">
              <w:rPr>
                <w:sz w:val="22"/>
                <w:szCs w:val="22"/>
                <w:lang w:val="it-IT"/>
              </w:rPr>
              <w:t>Variazione percentuale nel punteggio NAPSI totale (%)</w:t>
            </w:r>
          </w:p>
        </w:tc>
        <w:tc>
          <w:tcPr>
            <w:tcW w:w="1080" w:type="dxa"/>
          </w:tcPr>
          <w:p w:rsidR="00157870" w:rsidRPr="00295E71" w:rsidP="00157870" w14:paraId="5F90A6B9" w14:textId="77777777">
            <w:pPr>
              <w:pStyle w:val="gtctablespaceafter"/>
              <w:keepNext/>
              <w:spacing w:after="0"/>
              <w:jc w:val="center"/>
              <w:rPr>
                <w:sz w:val="22"/>
                <w:szCs w:val="22"/>
                <w:lang w:val="it-IT"/>
              </w:rPr>
            </w:pPr>
            <w:r w:rsidRPr="00295E71">
              <w:rPr>
                <w:sz w:val="22"/>
                <w:szCs w:val="22"/>
                <w:lang w:val="it-IT"/>
              </w:rPr>
              <w:t>-7,8</w:t>
            </w:r>
          </w:p>
        </w:tc>
        <w:tc>
          <w:tcPr>
            <w:tcW w:w="1260" w:type="dxa"/>
          </w:tcPr>
          <w:p w:rsidR="00157870" w:rsidRPr="00295E71" w:rsidP="00157870" w14:paraId="4B58F580" w14:textId="77777777">
            <w:pPr>
              <w:pStyle w:val="gtctablespaceafter"/>
              <w:keepNext/>
              <w:spacing w:after="0"/>
              <w:jc w:val="center"/>
              <w:rPr>
                <w:sz w:val="22"/>
                <w:szCs w:val="22"/>
                <w:lang w:val="it-IT"/>
              </w:rPr>
            </w:pPr>
            <w:r w:rsidRPr="00295E71">
              <w:rPr>
                <w:sz w:val="22"/>
                <w:szCs w:val="22"/>
                <w:lang w:val="it-IT"/>
              </w:rPr>
              <w:t>-44,2</w:t>
            </w:r>
            <w:r w:rsidRPr="00295E71">
              <w:rPr>
                <w:sz w:val="22"/>
                <w:szCs w:val="22"/>
                <w:vertAlign w:val="superscript"/>
                <w:lang w:val="it-IT"/>
              </w:rPr>
              <w:t>a</w:t>
            </w:r>
          </w:p>
        </w:tc>
        <w:tc>
          <w:tcPr>
            <w:tcW w:w="990" w:type="dxa"/>
          </w:tcPr>
          <w:p w:rsidR="00157870" w:rsidRPr="00295E71" w:rsidP="00157870" w14:paraId="2ECF17BA" w14:textId="77777777">
            <w:pPr>
              <w:keepNext/>
              <w:jc w:val="center"/>
              <w:rPr>
                <w:sz w:val="22"/>
                <w:szCs w:val="22"/>
              </w:rPr>
            </w:pPr>
            <w:r w:rsidRPr="00295E71">
              <w:rPr>
                <w:sz w:val="22"/>
                <w:szCs w:val="22"/>
              </w:rPr>
              <w:t>-11,5</w:t>
            </w:r>
          </w:p>
        </w:tc>
        <w:tc>
          <w:tcPr>
            <w:tcW w:w="1260" w:type="dxa"/>
          </w:tcPr>
          <w:p w:rsidR="00157870" w:rsidRPr="00295E71" w:rsidP="00157870" w14:paraId="59CE0772" w14:textId="77777777">
            <w:pPr>
              <w:keepNext/>
              <w:jc w:val="center"/>
              <w:rPr>
                <w:sz w:val="22"/>
                <w:szCs w:val="22"/>
              </w:rPr>
            </w:pPr>
            <w:r w:rsidRPr="00295E71">
              <w:rPr>
                <w:sz w:val="22"/>
                <w:szCs w:val="22"/>
              </w:rPr>
              <w:t>-56,2</w:t>
            </w:r>
            <w:r w:rsidRPr="00295E71">
              <w:rPr>
                <w:sz w:val="22"/>
                <w:szCs w:val="22"/>
                <w:vertAlign w:val="superscript"/>
              </w:rPr>
              <w:t>a</w:t>
            </w:r>
          </w:p>
        </w:tc>
        <w:tc>
          <w:tcPr>
            <w:tcW w:w="2268" w:type="dxa"/>
          </w:tcPr>
          <w:p w:rsidR="00157870" w:rsidRPr="00295E71" w:rsidP="00157870" w14:paraId="50008830" w14:textId="77777777">
            <w:pPr>
              <w:pStyle w:val="gtctablespaceafter"/>
              <w:keepNext/>
              <w:spacing w:after="0"/>
              <w:jc w:val="center"/>
              <w:rPr>
                <w:sz w:val="22"/>
                <w:szCs w:val="22"/>
                <w:lang w:val="it-IT"/>
              </w:rPr>
            </w:pPr>
            <w:r w:rsidRPr="00295E71">
              <w:rPr>
                <w:sz w:val="22"/>
                <w:szCs w:val="22"/>
                <w:lang w:val="it-IT"/>
              </w:rPr>
              <w:t>-72,2</w:t>
            </w:r>
          </w:p>
        </w:tc>
      </w:tr>
      <w:tr w14:paraId="7AB7AC95" w14:textId="77777777" w:rsidTr="00157870">
        <w:tblPrEx>
          <w:tblW w:w="0" w:type="auto"/>
          <w:tblLayout w:type="fixed"/>
          <w:tblLook w:val="04A0"/>
        </w:tblPrEx>
        <w:tc>
          <w:tcPr>
            <w:tcW w:w="9576" w:type="dxa"/>
            <w:gridSpan w:val="6"/>
          </w:tcPr>
          <w:p w:rsidR="00157870" w:rsidRPr="00295E71" w:rsidP="00157870" w14:paraId="1B1E7693" w14:textId="77777777">
            <w:pPr>
              <w:pStyle w:val="gtctablespaceafter"/>
              <w:keepNext/>
              <w:spacing w:after="0"/>
              <w:rPr>
                <w:sz w:val="22"/>
                <w:szCs w:val="22"/>
                <w:lang w:val="it-IT"/>
              </w:rPr>
            </w:pPr>
            <w:r w:rsidRPr="00295E71">
              <w:rPr>
                <w:sz w:val="22"/>
                <w:szCs w:val="22"/>
                <w:vertAlign w:val="superscript"/>
                <w:lang w:val="it-IT"/>
              </w:rPr>
              <w:t>a</w:t>
            </w:r>
            <w:r w:rsidRPr="00295E71">
              <w:rPr>
                <w:sz w:val="22"/>
                <w:szCs w:val="22"/>
                <w:lang w:val="it-IT"/>
              </w:rPr>
              <w:t xml:space="preserve"> p&lt;0,001, Humira </w:t>
            </w:r>
            <w:r w:rsidRPr="00295E71">
              <w:rPr>
                <w:i/>
                <w:sz w:val="22"/>
                <w:szCs w:val="22"/>
                <w:lang w:val="it-IT"/>
              </w:rPr>
              <w:t>vs.</w:t>
            </w:r>
            <w:r w:rsidRPr="00295E71">
              <w:rPr>
                <w:sz w:val="22"/>
                <w:szCs w:val="22"/>
                <w:lang w:val="it-IT"/>
              </w:rPr>
              <w:t xml:space="preserve"> placebo </w:t>
            </w:r>
          </w:p>
        </w:tc>
      </w:tr>
    </w:tbl>
    <w:p w:rsidR="00157870" w:rsidRPr="00295E71" w:rsidP="00157870" w14:paraId="7364BF65" w14:textId="77777777">
      <w:pPr>
        <w:pStyle w:val="gtctablespaceafter"/>
        <w:keepNext/>
        <w:spacing w:after="0"/>
        <w:jc w:val="both"/>
        <w:rPr>
          <w:sz w:val="22"/>
          <w:szCs w:val="22"/>
          <w:lang w:val="it-IT"/>
        </w:rPr>
      </w:pPr>
    </w:p>
    <w:p w:rsidR="00157870" w:rsidRPr="00166946" w:rsidP="00157870" w14:paraId="7B0F7BDA" w14:textId="77777777">
      <w:pPr>
        <w:pStyle w:val="EMEANormal"/>
        <w:jc w:val="both"/>
        <w:rPr>
          <w:lang w:val="it-IT"/>
        </w:rPr>
      </w:pPr>
      <w:r w:rsidRPr="00295E71">
        <w:rPr>
          <w:lang w:val="it-IT"/>
        </w:rPr>
        <w:t xml:space="preserve">I pazienti trattati con Humira hanno mostrato miglioramenti statisticamente significativi alla </w:t>
      </w:r>
      <w:r w:rsidRPr="00166946">
        <w:rPr>
          <w:lang w:val="it-IT"/>
        </w:rPr>
        <w:t>settimana 26 rispetto al placebo nel DLQI.</w:t>
      </w:r>
    </w:p>
    <w:p w:rsidR="00157870" w:rsidRPr="00166946" w:rsidP="00157870" w14:paraId="1C0F4545" w14:textId="77777777">
      <w:pPr>
        <w:rPr>
          <w:i/>
          <w:sz w:val="22"/>
          <w:szCs w:val="22"/>
        </w:rPr>
      </w:pPr>
    </w:p>
    <w:p w:rsidR="00157870" w:rsidRPr="00295E71" w:rsidP="00F57FE5" w14:paraId="10E13146" w14:textId="77777777">
      <w:pPr>
        <w:keepNext/>
        <w:keepLines/>
        <w:tabs>
          <w:tab w:val="left" w:pos="567"/>
        </w:tabs>
        <w:jc w:val="both"/>
        <w:rPr>
          <w:i/>
          <w:sz w:val="22"/>
          <w:szCs w:val="22"/>
        </w:rPr>
      </w:pPr>
      <w:r w:rsidRPr="00166946">
        <w:rPr>
          <w:i/>
          <w:sz w:val="22"/>
          <w:szCs w:val="22"/>
        </w:rPr>
        <w:t>Malattia di Crohn negli adulti</w:t>
      </w:r>
    </w:p>
    <w:p w:rsidR="00157870" w:rsidRPr="00295E71" w:rsidP="00F57FE5" w14:paraId="2A2C0FAA" w14:textId="77777777">
      <w:pPr>
        <w:keepNext/>
        <w:keepLines/>
        <w:tabs>
          <w:tab w:val="left" w:pos="567"/>
        </w:tabs>
        <w:jc w:val="both"/>
        <w:rPr>
          <w:sz w:val="22"/>
          <w:szCs w:val="22"/>
        </w:rPr>
      </w:pPr>
    </w:p>
    <w:p w:rsidR="00157870" w:rsidRPr="00295E71" w:rsidP="00F57FE5" w14:paraId="7761C04D" w14:textId="77777777">
      <w:pPr>
        <w:keepNext/>
        <w:keepLines/>
        <w:tabs>
          <w:tab w:val="left" w:pos="567"/>
        </w:tabs>
        <w:jc w:val="both"/>
        <w:rPr>
          <w:sz w:val="22"/>
          <w:szCs w:val="22"/>
        </w:rPr>
      </w:pPr>
      <w:r w:rsidRPr="00295E71">
        <w:rPr>
          <w:sz w:val="22"/>
          <w:szCs w:val="22"/>
        </w:rPr>
        <w:t xml:space="preserve">La sicurezza e l’efficacia di Humira sono state valutate in oltre 1500 pazienti </w:t>
      </w:r>
      <w:r w:rsidRPr="00295E71" w:rsidR="00224E13">
        <w:rPr>
          <w:sz w:val="22"/>
          <w:szCs w:val="22"/>
        </w:rPr>
        <w:t>con</w:t>
      </w:r>
      <w:r w:rsidRPr="00295E71">
        <w:rPr>
          <w:sz w:val="22"/>
          <w:szCs w:val="22"/>
        </w:rPr>
        <w:t xml:space="preserve"> Malattia di Crohn, da moderatamente a gravemente attiva (Crohn’s Disease Activity Index = Indice di Attività della Malattia di Crohn (CDAI) </w:t>
      </w:r>
      <w:r w:rsidRPr="00295E71">
        <w:rPr>
          <w:rFonts w:ascii="Symbol" w:hAnsi="Symbol"/>
          <w:sz w:val="22"/>
          <w:szCs w:val="22"/>
        </w:rPr>
        <w:sym w:font="Symbol" w:char="F0B3"/>
      </w:r>
      <w:r w:rsidRPr="00295E71">
        <w:rPr>
          <w:sz w:val="22"/>
          <w:szCs w:val="22"/>
        </w:rPr>
        <w:t xml:space="preserve"> 220 e </w:t>
      </w:r>
      <w:r w:rsidRPr="00295E71">
        <w:rPr>
          <w:rFonts w:ascii="Symbol" w:hAnsi="Symbol"/>
          <w:sz w:val="22"/>
          <w:szCs w:val="22"/>
        </w:rPr>
        <w:sym w:font="Symbol" w:char="F0A3"/>
      </w:r>
      <w:r w:rsidRPr="00295E71">
        <w:rPr>
          <w:sz w:val="22"/>
          <w:szCs w:val="22"/>
        </w:rPr>
        <w:t> 450) in studi randomizzati, in doppio cieco, controllati con placebo. È stata consentita la somministrazione concomitante di dosi costanti di aminosalicilati, di corticosteroidi, e/o agenti immunomodulatori e l’80% dei pazienti ha continuato ad assumere almeno uno di questi farmaci</w:t>
      </w:r>
      <w:r w:rsidR="00F01EAB">
        <w:rPr>
          <w:sz w:val="22"/>
          <w:szCs w:val="22"/>
        </w:rPr>
        <w:t>.</w:t>
      </w:r>
    </w:p>
    <w:p w:rsidR="00157870" w:rsidRPr="00295E71" w:rsidP="00F57FE5" w14:paraId="7C1B381D" w14:textId="77777777">
      <w:pPr>
        <w:keepNext/>
        <w:keepLines/>
        <w:tabs>
          <w:tab w:val="left" w:pos="567"/>
        </w:tabs>
        <w:jc w:val="both"/>
        <w:rPr>
          <w:sz w:val="22"/>
          <w:szCs w:val="22"/>
        </w:rPr>
      </w:pPr>
    </w:p>
    <w:p w:rsidR="00157870" w:rsidRPr="00295E71" w:rsidP="00157870" w14:paraId="3B44B156" w14:textId="77777777">
      <w:pPr>
        <w:rPr>
          <w:sz w:val="22"/>
          <w:szCs w:val="22"/>
        </w:rPr>
      </w:pPr>
      <w:r w:rsidRPr="00295E71">
        <w:rPr>
          <w:sz w:val="22"/>
          <w:szCs w:val="22"/>
        </w:rPr>
        <w:t>L’induzione della remissione clinica (definita come CDAI &lt; 150) è stata valutata in 2 studi, studio CD I (CLASSIC I) e studio CD II (GAIN). Nello studio CD I, 299 pazienti mai trattati con anti-TNF.sono stati randomizzati ad uno dei quattro gruppi di trattamento: il gruppo trattato conplacebo alla settimana 0 e 2, il gruppo trattato con 160 mg di Humira alla settimana 0 e con 80 mg alla settimana 2, il gruppo trattato con 80 mg alla settimana 0 e 40 mg alla settimana 2, ed il gruppo trattato con 40 mg alla settimana 0 e 20 mg alla settimana 2. Nello Studio CD II, 325 dei pazienti che avevano perso la risposta o si sono rivelati intolleranti ad infliximab sono stati randomizzati per ricevere 160 mg di Humira alla settimana 0 e 80 mg di Humira alla settimana 2 oppure placebo alla settimana 0 ed alla settimana 2. I non-responders primari sono stati esclusi dagli studi e, di conseguenza, questi pazienti non sono stati sottoposti ad ulteriori valutazioni.</w:t>
      </w:r>
    </w:p>
    <w:p w:rsidR="00157870" w:rsidRPr="00295E71" w:rsidP="00157870" w14:paraId="5554135F" w14:textId="77777777">
      <w:pPr>
        <w:pStyle w:val="EMEANormal"/>
        <w:jc w:val="both"/>
        <w:rPr>
          <w:lang w:val="it-IT"/>
        </w:rPr>
      </w:pPr>
    </w:p>
    <w:p w:rsidR="00157870" w:rsidRPr="00295E71" w:rsidP="00157870" w14:paraId="15780944" w14:textId="77777777">
      <w:pPr>
        <w:pStyle w:val="EMEANormal"/>
        <w:keepNext/>
        <w:keepLines/>
        <w:jc w:val="both"/>
        <w:rPr>
          <w:lang w:val="it-IT"/>
        </w:rPr>
      </w:pPr>
      <w:r w:rsidRPr="00295E71">
        <w:rPr>
          <w:lang w:val="it-IT"/>
        </w:rPr>
        <w:t xml:space="preserve">Il mantenimento della remissione clinica è stato valutato nello studio CD III (CHARM). Nello studio CD III, 854 pazienti hanno ricevuto in aperto 80 mg di Humira alla settimana 0 e 40 mg alla settimana 2. Alla settimana 4 i pazienti sono stati randomizzati per ricevere 40 mg a settimane alterne, 40 mg ogni settimana, oppure il placebo; la durata totale dello studio è stata pari a 56 settimane. I pazienti </w:t>
      </w:r>
      <w:r w:rsidRPr="00295E71">
        <w:rPr>
          <w:color w:val="000000"/>
          <w:lang w:val="it-IT"/>
        </w:rPr>
        <w:t xml:space="preserve">che hanno manifestato una risposta clinica </w:t>
      </w:r>
      <w:r w:rsidRPr="00295E71">
        <w:rPr>
          <w:lang w:val="it-IT"/>
        </w:rPr>
        <w:t xml:space="preserve">(diminuzione </w:t>
      </w:r>
      <w:r w:rsidRPr="00295E71">
        <w:rPr>
          <w:color w:val="000000"/>
          <w:lang w:val="it-IT"/>
        </w:rPr>
        <w:t xml:space="preserve">dell’indice </w:t>
      </w:r>
      <w:r w:rsidRPr="00295E71">
        <w:rPr>
          <w:lang w:val="it-IT"/>
        </w:rPr>
        <w:t xml:space="preserve">CDAI ≥ 70) alla settimana 4 sono stati stratificati e analizzati separatamente da coloro </w:t>
      </w:r>
      <w:r w:rsidRPr="00295E71">
        <w:rPr>
          <w:color w:val="000000"/>
          <w:lang w:val="it-IT"/>
        </w:rPr>
        <w:t>che non hanno manifestato una risposta</w:t>
      </w:r>
      <w:r w:rsidRPr="00295E71">
        <w:rPr>
          <w:lang w:val="it-IT"/>
        </w:rPr>
        <w:t xml:space="preserve"> clinica alla settimana 4. </w:t>
      </w:r>
      <w:r w:rsidRPr="00295E71">
        <w:rPr>
          <w:color w:val="000000"/>
          <w:lang w:val="it-IT"/>
        </w:rPr>
        <w:t>È stata consentita una riduzione graduale della dose di corticosteroidi dopo la settimana 8.</w:t>
      </w:r>
    </w:p>
    <w:p w:rsidR="00157870" w:rsidRPr="00295E71" w:rsidP="00157870" w14:paraId="390842CE" w14:textId="77777777">
      <w:pPr>
        <w:pStyle w:val="EMEANormal"/>
        <w:jc w:val="both"/>
        <w:rPr>
          <w:lang w:val="it-IT"/>
        </w:rPr>
      </w:pPr>
    </w:p>
    <w:p w:rsidR="00157870" w:rsidRPr="00295E71" w:rsidP="00157870" w14:paraId="0CF7AF28" w14:textId="77777777">
      <w:pPr>
        <w:pStyle w:val="EMEANormal"/>
        <w:jc w:val="both"/>
        <w:rPr>
          <w:lang w:val="it-IT"/>
        </w:rPr>
      </w:pPr>
      <w:r w:rsidRPr="00295E71">
        <w:rPr>
          <w:lang w:val="it-IT"/>
        </w:rPr>
        <w:t xml:space="preserve">Le percentuali relative all’induzione della remissione e della risposta clinica dello studio CD I e dello studio CD II sono riportate nella Tabella </w:t>
      </w:r>
      <w:r w:rsidR="0041314F">
        <w:rPr>
          <w:lang w:val="it-IT"/>
        </w:rPr>
        <w:t>14</w:t>
      </w:r>
      <w:r w:rsidRPr="00295E71">
        <w:rPr>
          <w:lang w:val="it-IT"/>
        </w:rPr>
        <w:t>.</w:t>
      </w:r>
    </w:p>
    <w:p w:rsidR="00157870" w:rsidRPr="00295E71" w:rsidP="00157870" w14:paraId="15074E9A" w14:textId="77777777">
      <w:pPr>
        <w:pStyle w:val="EMEANormal"/>
        <w:jc w:val="both"/>
        <w:rPr>
          <w:lang w:val="it-IT"/>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20"/>
        <w:gridCol w:w="1190"/>
        <w:gridCol w:w="1248"/>
        <w:gridCol w:w="1176"/>
        <w:gridCol w:w="1491"/>
        <w:gridCol w:w="1813"/>
      </w:tblGrid>
      <w:tr w14:paraId="4841C3E1" w14:textId="77777777" w:rsidTr="00157870">
        <w:tblPrEx>
          <w:tblW w:w="9238" w:type="dxa"/>
          <w:tblLook w:val="0000"/>
        </w:tblPrEx>
        <w:trPr>
          <w:cantSplit/>
        </w:trPr>
        <w:tc>
          <w:tcPr>
            <w:tcW w:w="9238" w:type="dxa"/>
            <w:gridSpan w:val="6"/>
            <w:tcBorders>
              <w:top w:val="nil"/>
              <w:left w:val="nil"/>
              <w:right w:val="nil"/>
            </w:tcBorders>
          </w:tcPr>
          <w:p w:rsidR="00157870" w:rsidRPr="00295E71" w:rsidP="00A60A0D" w14:paraId="545F1ED8" w14:textId="77777777">
            <w:pPr>
              <w:pStyle w:val="TableText"/>
              <w:jc w:val="center"/>
              <w:rPr>
                <w:b/>
                <w:bCs/>
                <w:sz w:val="22"/>
                <w:szCs w:val="22"/>
                <w:lang w:val="it-IT"/>
              </w:rPr>
            </w:pPr>
            <w:r w:rsidRPr="00295E71">
              <w:rPr>
                <w:b/>
                <w:bCs/>
                <w:sz w:val="22"/>
                <w:szCs w:val="22"/>
                <w:lang w:val="it-IT"/>
              </w:rPr>
              <w:t xml:space="preserve">Tabella </w:t>
            </w:r>
            <w:r w:rsidR="0041314F">
              <w:rPr>
                <w:b/>
                <w:bCs/>
                <w:sz w:val="22"/>
                <w:szCs w:val="22"/>
                <w:lang w:val="it-IT"/>
              </w:rPr>
              <w:t>14</w:t>
            </w:r>
          </w:p>
          <w:p w:rsidR="00157870" w:rsidRPr="00295E71" w:rsidP="00A60A0D" w14:paraId="602F2773" w14:textId="77777777">
            <w:pPr>
              <w:pStyle w:val="TableText"/>
              <w:jc w:val="center"/>
              <w:rPr>
                <w:b/>
                <w:bCs/>
                <w:sz w:val="22"/>
                <w:szCs w:val="22"/>
                <w:lang w:val="it-IT"/>
              </w:rPr>
            </w:pPr>
            <w:r w:rsidRPr="00295E71">
              <w:rPr>
                <w:b/>
                <w:bCs/>
                <w:sz w:val="22"/>
                <w:szCs w:val="22"/>
                <w:lang w:val="it-IT"/>
              </w:rPr>
              <w:t>Induzione della Remissione e della Risposta Clinica</w:t>
            </w:r>
          </w:p>
          <w:p w:rsidR="00157870" w:rsidRPr="00295E71" w:rsidP="00A60A0D" w14:paraId="0C093E99" w14:textId="77777777">
            <w:pPr>
              <w:pStyle w:val="TableText"/>
              <w:jc w:val="center"/>
              <w:rPr>
                <w:b/>
                <w:sz w:val="22"/>
                <w:szCs w:val="22"/>
                <w:lang w:val="it-IT"/>
              </w:rPr>
            </w:pPr>
            <w:r w:rsidRPr="00295E71">
              <w:rPr>
                <w:b/>
                <w:sz w:val="22"/>
                <w:szCs w:val="22"/>
                <w:lang w:val="it-IT"/>
              </w:rPr>
              <w:t>(Percentuale di Pazienti)</w:t>
            </w:r>
          </w:p>
          <w:p w:rsidR="00157870" w:rsidRPr="00295E71" w:rsidP="00A60A0D" w14:paraId="59B32290" w14:textId="77777777">
            <w:pPr>
              <w:pStyle w:val="TableText"/>
              <w:jc w:val="center"/>
              <w:rPr>
                <w:b/>
                <w:sz w:val="22"/>
                <w:szCs w:val="22"/>
                <w:lang w:val="it-IT"/>
              </w:rPr>
            </w:pPr>
          </w:p>
        </w:tc>
      </w:tr>
      <w:tr w14:paraId="5C207381" w14:textId="77777777" w:rsidTr="00157870">
        <w:tblPrEx>
          <w:tblW w:w="9238" w:type="dxa"/>
          <w:tblLook w:val="0000"/>
        </w:tblPrEx>
        <w:trPr>
          <w:cantSplit/>
        </w:trPr>
        <w:tc>
          <w:tcPr>
            <w:tcW w:w="2320" w:type="dxa"/>
          </w:tcPr>
          <w:p w:rsidR="00157870" w:rsidRPr="00295E71" w:rsidP="00A60A0D" w14:paraId="1E047937" w14:textId="77777777">
            <w:pPr>
              <w:pStyle w:val="TableText"/>
              <w:jc w:val="center"/>
              <w:rPr>
                <w:b/>
                <w:sz w:val="22"/>
                <w:szCs w:val="22"/>
                <w:lang w:val="it-IT"/>
              </w:rPr>
            </w:pPr>
          </w:p>
        </w:tc>
        <w:tc>
          <w:tcPr>
            <w:tcW w:w="3614" w:type="dxa"/>
            <w:gridSpan w:val="3"/>
          </w:tcPr>
          <w:p w:rsidR="00157870" w:rsidRPr="00295E71" w:rsidP="00A60A0D" w14:paraId="2CAAEABB" w14:textId="77777777">
            <w:pPr>
              <w:pStyle w:val="TableText"/>
              <w:rPr>
                <w:b/>
                <w:bCs/>
                <w:sz w:val="22"/>
                <w:szCs w:val="22"/>
                <w:lang w:val="it-IT"/>
              </w:rPr>
            </w:pPr>
            <w:r w:rsidRPr="00295E71">
              <w:rPr>
                <w:b/>
                <w:bCs/>
                <w:sz w:val="22"/>
                <w:szCs w:val="22"/>
                <w:lang w:val="it-IT"/>
              </w:rPr>
              <w:t>Studio CD I: Pazienti mai trattati con Infliximab</w:t>
            </w:r>
          </w:p>
        </w:tc>
        <w:tc>
          <w:tcPr>
            <w:tcW w:w="3304" w:type="dxa"/>
            <w:gridSpan w:val="2"/>
          </w:tcPr>
          <w:p w:rsidR="00157870" w:rsidRPr="00295E71" w:rsidP="00A60A0D" w14:paraId="33FBC0CE" w14:textId="77777777">
            <w:pPr>
              <w:pStyle w:val="TableText"/>
              <w:rPr>
                <w:b/>
                <w:bCs/>
                <w:sz w:val="22"/>
                <w:szCs w:val="22"/>
                <w:lang w:val="it-IT"/>
              </w:rPr>
            </w:pPr>
            <w:r w:rsidRPr="00295E71">
              <w:rPr>
                <w:b/>
                <w:bCs/>
                <w:sz w:val="22"/>
                <w:szCs w:val="22"/>
                <w:lang w:val="it-IT"/>
              </w:rPr>
              <w:t>Studio CD II: Pazienti precedentemente trattati con</w:t>
            </w:r>
            <w:r w:rsidR="00DA545A">
              <w:rPr>
                <w:b/>
                <w:bCs/>
                <w:sz w:val="22"/>
                <w:szCs w:val="22"/>
                <w:lang w:val="it-IT"/>
              </w:rPr>
              <w:t xml:space="preserve"> </w:t>
            </w:r>
            <w:r w:rsidRPr="00295E71">
              <w:rPr>
                <w:b/>
                <w:bCs/>
                <w:sz w:val="22"/>
                <w:szCs w:val="22"/>
                <w:lang w:val="it-IT"/>
              </w:rPr>
              <w:t>Infliximab</w:t>
            </w:r>
          </w:p>
        </w:tc>
      </w:tr>
      <w:tr w14:paraId="1AAD9BD8" w14:textId="77777777" w:rsidTr="00157870">
        <w:tblPrEx>
          <w:tblW w:w="9238" w:type="dxa"/>
          <w:tblLook w:val="0000"/>
        </w:tblPrEx>
        <w:trPr>
          <w:cantSplit/>
        </w:trPr>
        <w:tc>
          <w:tcPr>
            <w:tcW w:w="2320" w:type="dxa"/>
          </w:tcPr>
          <w:p w:rsidR="00157870" w:rsidRPr="00295E71" w:rsidP="00A60A0D" w14:paraId="63FBFF71" w14:textId="77777777">
            <w:pPr>
              <w:pStyle w:val="TableText"/>
              <w:jc w:val="center"/>
              <w:rPr>
                <w:b/>
                <w:bCs/>
                <w:sz w:val="22"/>
                <w:szCs w:val="22"/>
                <w:lang w:val="it-IT"/>
              </w:rPr>
            </w:pPr>
          </w:p>
        </w:tc>
        <w:tc>
          <w:tcPr>
            <w:tcW w:w="1190" w:type="dxa"/>
          </w:tcPr>
          <w:p w:rsidR="00157870" w:rsidRPr="00295E71" w:rsidP="00A60A0D" w14:paraId="55837B40" w14:textId="77777777">
            <w:pPr>
              <w:pStyle w:val="TableText"/>
              <w:jc w:val="center"/>
              <w:rPr>
                <w:b/>
                <w:sz w:val="22"/>
                <w:szCs w:val="22"/>
                <w:lang w:val="it-IT"/>
              </w:rPr>
            </w:pPr>
            <w:r w:rsidRPr="00295E71">
              <w:rPr>
                <w:b/>
                <w:sz w:val="22"/>
                <w:szCs w:val="22"/>
                <w:lang w:val="it-IT"/>
              </w:rPr>
              <w:t>Placebo</w:t>
            </w:r>
          </w:p>
          <w:p w:rsidR="00157870" w:rsidRPr="00295E71" w:rsidP="00A60A0D" w14:paraId="301C20FD" w14:textId="77777777">
            <w:pPr>
              <w:pStyle w:val="TableText"/>
              <w:jc w:val="center"/>
              <w:rPr>
                <w:b/>
                <w:sz w:val="22"/>
                <w:szCs w:val="22"/>
                <w:lang w:val="it-IT"/>
              </w:rPr>
            </w:pPr>
            <w:r w:rsidRPr="00295E71">
              <w:rPr>
                <w:b/>
                <w:sz w:val="22"/>
                <w:szCs w:val="22"/>
                <w:lang w:val="it-IT"/>
              </w:rPr>
              <w:t>N=74</w:t>
            </w:r>
          </w:p>
        </w:tc>
        <w:tc>
          <w:tcPr>
            <w:tcW w:w="1248" w:type="dxa"/>
          </w:tcPr>
          <w:p w:rsidR="00157870" w:rsidRPr="00295E71" w:rsidP="00A60A0D" w14:paraId="422A627A" w14:textId="77777777">
            <w:pPr>
              <w:pStyle w:val="TableText"/>
              <w:jc w:val="center"/>
              <w:rPr>
                <w:b/>
                <w:sz w:val="22"/>
                <w:szCs w:val="22"/>
                <w:lang w:val="it-IT"/>
              </w:rPr>
            </w:pPr>
            <w:r w:rsidRPr="00295E71">
              <w:rPr>
                <w:b/>
                <w:sz w:val="22"/>
                <w:szCs w:val="22"/>
                <w:lang w:val="it-IT"/>
              </w:rPr>
              <w:t>Humira</w:t>
            </w:r>
          </w:p>
          <w:p w:rsidR="00157870" w:rsidRPr="00295E71" w:rsidP="00A60A0D" w14:paraId="6F10B09E" w14:textId="77777777">
            <w:pPr>
              <w:pStyle w:val="TableText"/>
              <w:jc w:val="center"/>
              <w:rPr>
                <w:b/>
                <w:sz w:val="22"/>
                <w:szCs w:val="22"/>
                <w:lang w:val="it-IT"/>
              </w:rPr>
            </w:pPr>
            <w:r w:rsidRPr="00295E71">
              <w:rPr>
                <w:b/>
                <w:sz w:val="22"/>
                <w:szCs w:val="22"/>
                <w:lang w:val="it-IT"/>
              </w:rPr>
              <w:t>80/40 mg</w:t>
            </w:r>
          </w:p>
          <w:p w:rsidR="00157870" w:rsidRPr="00295E71" w:rsidP="00A60A0D" w14:paraId="6E54967B" w14:textId="77777777">
            <w:pPr>
              <w:pStyle w:val="TableText"/>
              <w:jc w:val="center"/>
              <w:rPr>
                <w:b/>
                <w:sz w:val="22"/>
                <w:szCs w:val="22"/>
                <w:lang w:val="it-IT"/>
              </w:rPr>
            </w:pPr>
            <w:r w:rsidRPr="00295E71">
              <w:rPr>
                <w:b/>
                <w:sz w:val="22"/>
                <w:szCs w:val="22"/>
                <w:lang w:val="it-IT"/>
              </w:rPr>
              <w:t>N = 75</w:t>
            </w:r>
          </w:p>
        </w:tc>
        <w:tc>
          <w:tcPr>
            <w:tcW w:w="1176" w:type="dxa"/>
          </w:tcPr>
          <w:p w:rsidR="00157870" w:rsidRPr="00295E71" w:rsidP="00A60A0D" w14:paraId="3E1DDAE7" w14:textId="77777777">
            <w:pPr>
              <w:pStyle w:val="TableText"/>
              <w:jc w:val="center"/>
              <w:rPr>
                <w:b/>
                <w:sz w:val="22"/>
                <w:szCs w:val="22"/>
                <w:lang w:val="it-IT"/>
              </w:rPr>
            </w:pPr>
            <w:r w:rsidRPr="00295E71">
              <w:rPr>
                <w:b/>
                <w:sz w:val="22"/>
                <w:szCs w:val="22"/>
                <w:lang w:val="it-IT"/>
              </w:rPr>
              <w:t>Humira</w:t>
            </w:r>
          </w:p>
          <w:p w:rsidR="00157870" w:rsidRPr="00295E71" w:rsidP="00A60A0D" w14:paraId="1A63B141" w14:textId="77777777">
            <w:pPr>
              <w:pStyle w:val="TableText"/>
              <w:jc w:val="center"/>
              <w:rPr>
                <w:b/>
                <w:sz w:val="22"/>
                <w:szCs w:val="22"/>
                <w:lang w:val="it-IT"/>
              </w:rPr>
            </w:pPr>
            <w:r w:rsidRPr="00295E71">
              <w:rPr>
                <w:b/>
                <w:sz w:val="22"/>
                <w:szCs w:val="22"/>
                <w:lang w:val="it-IT"/>
              </w:rPr>
              <w:t>160/80 mg N=76</w:t>
            </w:r>
          </w:p>
        </w:tc>
        <w:tc>
          <w:tcPr>
            <w:tcW w:w="1491" w:type="dxa"/>
          </w:tcPr>
          <w:p w:rsidR="00157870" w:rsidRPr="00295E71" w:rsidP="00A60A0D" w14:paraId="7D93BC36" w14:textId="77777777">
            <w:pPr>
              <w:pStyle w:val="TableText"/>
              <w:jc w:val="center"/>
              <w:rPr>
                <w:b/>
                <w:sz w:val="22"/>
                <w:szCs w:val="22"/>
                <w:lang w:val="it-IT"/>
              </w:rPr>
            </w:pPr>
            <w:r w:rsidRPr="00295E71">
              <w:rPr>
                <w:b/>
                <w:sz w:val="22"/>
                <w:szCs w:val="22"/>
                <w:lang w:val="it-IT"/>
              </w:rPr>
              <w:t>Placebo</w:t>
            </w:r>
          </w:p>
          <w:p w:rsidR="00157870" w:rsidRPr="00295E71" w:rsidP="00A60A0D" w14:paraId="27A86D43" w14:textId="77777777">
            <w:pPr>
              <w:pStyle w:val="TableText"/>
              <w:jc w:val="center"/>
              <w:rPr>
                <w:b/>
                <w:sz w:val="22"/>
                <w:szCs w:val="22"/>
                <w:lang w:val="it-IT"/>
              </w:rPr>
            </w:pPr>
            <w:r w:rsidRPr="00295E71">
              <w:rPr>
                <w:b/>
                <w:sz w:val="22"/>
                <w:szCs w:val="22"/>
                <w:lang w:val="it-IT"/>
              </w:rPr>
              <w:t>N=166</w:t>
            </w:r>
          </w:p>
        </w:tc>
        <w:tc>
          <w:tcPr>
            <w:tcW w:w="1813" w:type="dxa"/>
          </w:tcPr>
          <w:p w:rsidR="00157870" w:rsidRPr="00295E71" w:rsidP="00A60A0D" w14:paraId="037470BF" w14:textId="77777777">
            <w:pPr>
              <w:pStyle w:val="TableText"/>
              <w:jc w:val="center"/>
              <w:rPr>
                <w:b/>
                <w:sz w:val="22"/>
                <w:szCs w:val="22"/>
                <w:lang w:val="it-IT"/>
              </w:rPr>
            </w:pPr>
            <w:r w:rsidRPr="00295E71">
              <w:rPr>
                <w:b/>
                <w:sz w:val="22"/>
                <w:szCs w:val="22"/>
                <w:lang w:val="it-IT"/>
              </w:rPr>
              <w:t>Humira</w:t>
            </w:r>
          </w:p>
          <w:p w:rsidR="00157870" w:rsidRPr="00295E71" w:rsidP="00A60A0D" w14:paraId="2515F4DA" w14:textId="77777777">
            <w:pPr>
              <w:pStyle w:val="TableText"/>
              <w:jc w:val="center"/>
              <w:rPr>
                <w:b/>
                <w:sz w:val="22"/>
                <w:szCs w:val="22"/>
                <w:lang w:val="it-IT"/>
              </w:rPr>
            </w:pPr>
            <w:r w:rsidRPr="00295E71">
              <w:rPr>
                <w:b/>
                <w:sz w:val="22"/>
                <w:szCs w:val="22"/>
                <w:lang w:val="it-IT"/>
              </w:rPr>
              <w:t>160/80 mg</w:t>
            </w:r>
          </w:p>
          <w:p w:rsidR="00157870" w:rsidRPr="00295E71" w:rsidP="00A60A0D" w14:paraId="565F2224" w14:textId="77777777">
            <w:pPr>
              <w:pStyle w:val="TableText"/>
              <w:jc w:val="center"/>
              <w:rPr>
                <w:b/>
                <w:sz w:val="22"/>
                <w:szCs w:val="22"/>
                <w:lang w:val="it-IT"/>
              </w:rPr>
            </w:pPr>
            <w:r w:rsidRPr="00295E71">
              <w:rPr>
                <w:b/>
                <w:sz w:val="22"/>
                <w:szCs w:val="22"/>
                <w:lang w:val="it-IT"/>
              </w:rPr>
              <w:t>N=159</w:t>
            </w:r>
          </w:p>
        </w:tc>
      </w:tr>
      <w:tr w14:paraId="278DE5E4" w14:textId="77777777" w:rsidTr="00157870">
        <w:tblPrEx>
          <w:tblW w:w="9238" w:type="dxa"/>
          <w:tblLook w:val="0000"/>
        </w:tblPrEx>
        <w:trPr>
          <w:cantSplit/>
        </w:trPr>
        <w:tc>
          <w:tcPr>
            <w:tcW w:w="2320" w:type="dxa"/>
            <w:vAlign w:val="bottom"/>
          </w:tcPr>
          <w:p w:rsidR="00157870" w:rsidRPr="00295E71" w:rsidP="00A60A0D" w14:paraId="11405C01" w14:textId="77777777">
            <w:pPr>
              <w:pStyle w:val="TableText"/>
              <w:rPr>
                <w:sz w:val="22"/>
                <w:szCs w:val="22"/>
                <w:lang w:val="it-IT"/>
              </w:rPr>
            </w:pPr>
            <w:r w:rsidRPr="00295E71">
              <w:rPr>
                <w:sz w:val="22"/>
                <w:szCs w:val="22"/>
                <w:lang w:val="it-IT"/>
              </w:rPr>
              <w:t>Settimana 4</w:t>
            </w:r>
          </w:p>
        </w:tc>
        <w:tc>
          <w:tcPr>
            <w:tcW w:w="1190" w:type="dxa"/>
            <w:vAlign w:val="bottom"/>
          </w:tcPr>
          <w:p w:rsidR="00157870" w:rsidRPr="00295E71" w:rsidP="00A60A0D" w14:paraId="6D163E1E" w14:textId="77777777">
            <w:pPr>
              <w:pStyle w:val="TableText"/>
              <w:jc w:val="center"/>
              <w:rPr>
                <w:sz w:val="22"/>
                <w:szCs w:val="22"/>
                <w:lang w:val="it-IT"/>
              </w:rPr>
            </w:pPr>
          </w:p>
        </w:tc>
        <w:tc>
          <w:tcPr>
            <w:tcW w:w="1248" w:type="dxa"/>
            <w:vAlign w:val="bottom"/>
          </w:tcPr>
          <w:p w:rsidR="00157870" w:rsidRPr="00295E71" w:rsidP="00A60A0D" w14:paraId="095A081A" w14:textId="77777777">
            <w:pPr>
              <w:pStyle w:val="TableText"/>
              <w:jc w:val="center"/>
              <w:rPr>
                <w:sz w:val="22"/>
                <w:szCs w:val="22"/>
                <w:lang w:val="it-IT"/>
              </w:rPr>
            </w:pPr>
          </w:p>
        </w:tc>
        <w:tc>
          <w:tcPr>
            <w:tcW w:w="1176" w:type="dxa"/>
            <w:vAlign w:val="bottom"/>
          </w:tcPr>
          <w:p w:rsidR="00157870" w:rsidRPr="00295E71" w:rsidP="00A60A0D" w14:paraId="5DF58304" w14:textId="77777777">
            <w:pPr>
              <w:pStyle w:val="TableText"/>
              <w:jc w:val="center"/>
              <w:rPr>
                <w:sz w:val="22"/>
                <w:szCs w:val="22"/>
                <w:lang w:val="it-IT"/>
              </w:rPr>
            </w:pPr>
          </w:p>
        </w:tc>
        <w:tc>
          <w:tcPr>
            <w:tcW w:w="1491" w:type="dxa"/>
            <w:vAlign w:val="bottom"/>
          </w:tcPr>
          <w:p w:rsidR="00157870" w:rsidRPr="00295E71" w:rsidP="00A60A0D" w14:paraId="2EB02BC9" w14:textId="77777777">
            <w:pPr>
              <w:pStyle w:val="TableText"/>
              <w:jc w:val="center"/>
              <w:rPr>
                <w:sz w:val="22"/>
                <w:szCs w:val="22"/>
                <w:lang w:val="it-IT"/>
              </w:rPr>
            </w:pPr>
          </w:p>
        </w:tc>
        <w:tc>
          <w:tcPr>
            <w:tcW w:w="1813" w:type="dxa"/>
            <w:vAlign w:val="bottom"/>
          </w:tcPr>
          <w:p w:rsidR="00157870" w:rsidRPr="00295E71" w:rsidP="00A60A0D" w14:paraId="378C971C" w14:textId="77777777">
            <w:pPr>
              <w:pStyle w:val="TableText"/>
              <w:jc w:val="center"/>
              <w:rPr>
                <w:sz w:val="22"/>
                <w:szCs w:val="22"/>
                <w:lang w:val="it-IT"/>
              </w:rPr>
            </w:pPr>
          </w:p>
        </w:tc>
      </w:tr>
      <w:tr w14:paraId="7972EBCD" w14:textId="77777777" w:rsidTr="00157870">
        <w:tblPrEx>
          <w:tblW w:w="9238" w:type="dxa"/>
          <w:tblLook w:val="0000"/>
        </w:tblPrEx>
        <w:trPr>
          <w:cantSplit/>
        </w:trPr>
        <w:tc>
          <w:tcPr>
            <w:tcW w:w="2320" w:type="dxa"/>
            <w:vAlign w:val="bottom"/>
          </w:tcPr>
          <w:p w:rsidR="00157870" w:rsidRPr="00295E71" w:rsidP="00A60A0D" w14:paraId="09B911B5" w14:textId="77777777">
            <w:pPr>
              <w:pStyle w:val="TableText"/>
              <w:rPr>
                <w:sz w:val="22"/>
                <w:szCs w:val="22"/>
                <w:lang w:val="it-IT"/>
              </w:rPr>
            </w:pPr>
            <w:r w:rsidRPr="00295E71">
              <w:rPr>
                <w:sz w:val="22"/>
                <w:szCs w:val="22"/>
                <w:lang w:val="it-IT"/>
              </w:rPr>
              <w:t>Remissione clinica</w:t>
            </w:r>
          </w:p>
        </w:tc>
        <w:tc>
          <w:tcPr>
            <w:tcW w:w="1190" w:type="dxa"/>
            <w:vAlign w:val="bottom"/>
          </w:tcPr>
          <w:p w:rsidR="00157870" w:rsidRPr="00295E71" w:rsidP="00A60A0D" w14:paraId="1BE8F0DF" w14:textId="77777777">
            <w:pPr>
              <w:pStyle w:val="TableText"/>
              <w:jc w:val="center"/>
              <w:rPr>
                <w:sz w:val="22"/>
                <w:szCs w:val="22"/>
                <w:lang w:val="it-IT"/>
              </w:rPr>
            </w:pPr>
            <w:r w:rsidRPr="00295E71">
              <w:rPr>
                <w:sz w:val="22"/>
                <w:szCs w:val="22"/>
                <w:lang w:val="it-IT"/>
              </w:rPr>
              <w:t>12%</w:t>
            </w:r>
          </w:p>
        </w:tc>
        <w:tc>
          <w:tcPr>
            <w:tcW w:w="1248" w:type="dxa"/>
            <w:vAlign w:val="bottom"/>
          </w:tcPr>
          <w:p w:rsidR="00157870" w:rsidRPr="00295E71" w:rsidP="00A60A0D" w14:paraId="526D639E" w14:textId="77777777">
            <w:pPr>
              <w:pStyle w:val="TableText"/>
              <w:jc w:val="center"/>
              <w:rPr>
                <w:sz w:val="22"/>
                <w:szCs w:val="22"/>
                <w:lang w:val="it-IT"/>
              </w:rPr>
            </w:pPr>
            <w:r w:rsidRPr="00295E71">
              <w:rPr>
                <w:sz w:val="22"/>
                <w:szCs w:val="22"/>
                <w:lang w:val="it-IT"/>
              </w:rPr>
              <w:t>24%</w:t>
            </w:r>
          </w:p>
        </w:tc>
        <w:tc>
          <w:tcPr>
            <w:tcW w:w="1176" w:type="dxa"/>
            <w:vAlign w:val="bottom"/>
          </w:tcPr>
          <w:p w:rsidR="00157870" w:rsidRPr="00295E71" w:rsidP="00A60A0D" w14:paraId="49937E9D" w14:textId="77777777">
            <w:pPr>
              <w:pStyle w:val="TableText"/>
              <w:jc w:val="center"/>
              <w:rPr>
                <w:sz w:val="22"/>
                <w:szCs w:val="22"/>
                <w:lang w:val="it-IT"/>
              </w:rPr>
            </w:pPr>
            <w:r w:rsidRPr="00295E71">
              <w:rPr>
                <w:sz w:val="22"/>
                <w:szCs w:val="22"/>
                <w:lang w:val="it-IT"/>
              </w:rPr>
              <w:t>36%</w:t>
            </w:r>
            <w:r w:rsidRPr="00295E71">
              <w:rPr>
                <w:sz w:val="22"/>
                <w:szCs w:val="22"/>
                <w:vertAlign w:val="superscript"/>
                <w:lang w:val="it-IT"/>
              </w:rPr>
              <w:t>*</w:t>
            </w:r>
          </w:p>
        </w:tc>
        <w:tc>
          <w:tcPr>
            <w:tcW w:w="1491" w:type="dxa"/>
            <w:vAlign w:val="bottom"/>
          </w:tcPr>
          <w:p w:rsidR="00157870" w:rsidRPr="00295E71" w:rsidP="00A60A0D" w14:paraId="3A6D1B30" w14:textId="77777777">
            <w:pPr>
              <w:pStyle w:val="TableText"/>
              <w:jc w:val="center"/>
              <w:rPr>
                <w:sz w:val="22"/>
                <w:szCs w:val="22"/>
                <w:lang w:val="it-IT"/>
              </w:rPr>
            </w:pPr>
            <w:r w:rsidRPr="00295E71">
              <w:rPr>
                <w:sz w:val="22"/>
                <w:szCs w:val="22"/>
                <w:lang w:val="it-IT"/>
              </w:rPr>
              <w:t>7%</w:t>
            </w:r>
          </w:p>
        </w:tc>
        <w:tc>
          <w:tcPr>
            <w:tcW w:w="1813" w:type="dxa"/>
            <w:vAlign w:val="bottom"/>
          </w:tcPr>
          <w:p w:rsidR="00157870" w:rsidRPr="00295E71" w:rsidP="00A60A0D" w14:paraId="06B8C53A" w14:textId="77777777">
            <w:pPr>
              <w:pStyle w:val="TableText"/>
              <w:jc w:val="center"/>
              <w:rPr>
                <w:sz w:val="22"/>
                <w:szCs w:val="22"/>
                <w:lang w:val="it-IT"/>
              </w:rPr>
            </w:pPr>
            <w:r w:rsidRPr="00295E71">
              <w:rPr>
                <w:sz w:val="22"/>
                <w:szCs w:val="22"/>
                <w:lang w:val="it-IT"/>
              </w:rPr>
              <w:t>21%</w:t>
            </w:r>
            <w:r w:rsidRPr="00295E71">
              <w:rPr>
                <w:sz w:val="22"/>
                <w:szCs w:val="22"/>
                <w:vertAlign w:val="superscript"/>
                <w:lang w:val="it-IT"/>
              </w:rPr>
              <w:t>*</w:t>
            </w:r>
          </w:p>
        </w:tc>
      </w:tr>
      <w:tr w14:paraId="443DFDFD" w14:textId="77777777" w:rsidTr="00157870">
        <w:tblPrEx>
          <w:tblW w:w="9238" w:type="dxa"/>
          <w:tblLook w:val="0000"/>
        </w:tblPrEx>
        <w:trPr>
          <w:cantSplit/>
        </w:trPr>
        <w:tc>
          <w:tcPr>
            <w:tcW w:w="2320" w:type="dxa"/>
            <w:tcBorders>
              <w:bottom w:val="single" w:sz="4" w:space="0" w:color="auto"/>
            </w:tcBorders>
          </w:tcPr>
          <w:p w:rsidR="00157870" w:rsidRPr="00295E71" w:rsidP="00A60A0D" w14:paraId="48CD1E58" w14:textId="77777777">
            <w:pPr>
              <w:pStyle w:val="TableText"/>
              <w:rPr>
                <w:sz w:val="22"/>
                <w:szCs w:val="22"/>
                <w:lang w:val="it-IT"/>
              </w:rPr>
            </w:pPr>
            <w:r w:rsidRPr="00295E71">
              <w:rPr>
                <w:sz w:val="22"/>
                <w:szCs w:val="22"/>
                <w:lang w:val="it-IT"/>
              </w:rPr>
              <w:t>Risposta clinica (CR-100)</w:t>
            </w:r>
          </w:p>
        </w:tc>
        <w:tc>
          <w:tcPr>
            <w:tcW w:w="1190" w:type="dxa"/>
            <w:tcBorders>
              <w:bottom w:val="single" w:sz="4" w:space="0" w:color="auto"/>
            </w:tcBorders>
          </w:tcPr>
          <w:p w:rsidR="00157870" w:rsidRPr="00295E71" w:rsidP="00A60A0D" w14:paraId="0011EE04" w14:textId="77777777">
            <w:pPr>
              <w:pStyle w:val="TableText"/>
              <w:jc w:val="center"/>
              <w:rPr>
                <w:sz w:val="22"/>
                <w:szCs w:val="22"/>
                <w:lang w:val="it-IT"/>
              </w:rPr>
            </w:pPr>
            <w:r w:rsidRPr="00295E71">
              <w:rPr>
                <w:sz w:val="22"/>
                <w:szCs w:val="22"/>
                <w:lang w:val="it-IT"/>
              </w:rPr>
              <w:t>24%</w:t>
            </w:r>
          </w:p>
        </w:tc>
        <w:tc>
          <w:tcPr>
            <w:tcW w:w="1248" w:type="dxa"/>
            <w:tcBorders>
              <w:bottom w:val="single" w:sz="4" w:space="0" w:color="auto"/>
            </w:tcBorders>
          </w:tcPr>
          <w:p w:rsidR="00157870" w:rsidRPr="00295E71" w:rsidP="00A60A0D" w14:paraId="4AE4ACF9" w14:textId="77777777">
            <w:pPr>
              <w:pStyle w:val="TableText"/>
              <w:jc w:val="center"/>
              <w:rPr>
                <w:sz w:val="22"/>
                <w:szCs w:val="22"/>
                <w:lang w:val="it-IT"/>
              </w:rPr>
            </w:pPr>
            <w:r w:rsidRPr="00295E71">
              <w:rPr>
                <w:sz w:val="22"/>
                <w:szCs w:val="22"/>
                <w:lang w:val="it-IT"/>
              </w:rPr>
              <w:t>37%</w:t>
            </w:r>
          </w:p>
        </w:tc>
        <w:tc>
          <w:tcPr>
            <w:tcW w:w="1176" w:type="dxa"/>
            <w:tcBorders>
              <w:bottom w:val="single" w:sz="4" w:space="0" w:color="auto"/>
            </w:tcBorders>
          </w:tcPr>
          <w:p w:rsidR="00157870" w:rsidRPr="00295E71" w:rsidP="00A60A0D" w14:paraId="41CCBC07" w14:textId="77777777">
            <w:pPr>
              <w:pStyle w:val="TableText"/>
              <w:jc w:val="center"/>
              <w:rPr>
                <w:sz w:val="22"/>
                <w:szCs w:val="22"/>
                <w:lang w:val="it-IT"/>
              </w:rPr>
            </w:pPr>
            <w:r w:rsidRPr="00295E71">
              <w:rPr>
                <w:sz w:val="22"/>
                <w:szCs w:val="22"/>
                <w:lang w:val="it-IT"/>
              </w:rPr>
              <w:t>49%</w:t>
            </w:r>
            <w:r w:rsidRPr="00295E71">
              <w:rPr>
                <w:sz w:val="22"/>
                <w:szCs w:val="22"/>
                <w:vertAlign w:val="superscript"/>
                <w:lang w:val="it-IT"/>
              </w:rPr>
              <w:t>**</w:t>
            </w:r>
          </w:p>
        </w:tc>
        <w:tc>
          <w:tcPr>
            <w:tcW w:w="1491" w:type="dxa"/>
            <w:tcBorders>
              <w:bottom w:val="single" w:sz="4" w:space="0" w:color="auto"/>
            </w:tcBorders>
          </w:tcPr>
          <w:p w:rsidR="00157870" w:rsidRPr="00295E71" w:rsidP="00A60A0D" w14:paraId="66562B69" w14:textId="77777777">
            <w:pPr>
              <w:pStyle w:val="TableText"/>
              <w:jc w:val="center"/>
              <w:rPr>
                <w:sz w:val="22"/>
                <w:szCs w:val="22"/>
                <w:lang w:val="it-IT"/>
              </w:rPr>
            </w:pPr>
            <w:r w:rsidRPr="00295E71">
              <w:rPr>
                <w:sz w:val="22"/>
                <w:szCs w:val="22"/>
                <w:lang w:val="it-IT"/>
              </w:rPr>
              <w:t>25%</w:t>
            </w:r>
          </w:p>
        </w:tc>
        <w:tc>
          <w:tcPr>
            <w:tcW w:w="1813" w:type="dxa"/>
            <w:tcBorders>
              <w:bottom w:val="single" w:sz="4" w:space="0" w:color="auto"/>
            </w:tcBorders>
          </w:tcPr>
          <w:p w:rsidR="00157870" w:rsidRPr="00295E71" w:rsidP="00A60A0D" w14:paraId="12CC574E" w14:textId="77777777">
            <w:pPr>
              <w:pStyle w:val="TableText"/>
              <w:jc w:val="center"/>
              <w:rPr>
                <w:sz w:val="22"/>
                <w:szCs w:val="22"/>
                <w:lang w:val="it-IT"/>
              </w:rPr>
            </w:pPr>
            <w:r w:rsidRPr="00295E71">
              <w:rPr>
                <w:sz w:val="22"/>
                <w:szCs w:val="22"/>
                <w:lang w:val="it-IT"/>
              </w:rPr>
              <w:t>38%</w:t>
            </w:r>
            <w:r w:rsidRPr="00295E71">
              <w:rPr>
                <w:sz w:val="22"/>
                <w:szCs w:val="22"/>
                <w:vertAlign w:val="superscript"/>
                <w:lang w:val="it-IT"/>
              </w:rPr>
              <w:t>**</w:t>
            </w:r>
          </w:p>
        </w:tc>
      </w:tr>
      <w:tr w14:paraId="418DC574" w14:textId="77777777" w:rsidTr="00157870">
        <w:tblPrEx>
          <w:tblW w:w="9238" w:type="dxa"/>
          <w:tblLook w:val="0000"/>
        </w:tblPrEx>
        <w:trPr>
          <w:cantSplit/>
        </w:trPr>
        <w:tc>
          <w:tcPr>
            <w:tcW w:w="9238" w:type="dxa"/>
            <w:gridSpan w:val="6"/>
            <w:tcBorders>
              <w:left w:val="nil"/>
              <w:bottom w:val="nil"/>
              <w:right w:val="nil"/>
            </w:tcBorders>
          </w:tcPr>
          <w:p w:rsidR="00157870" w:rsidRPr="00295E71" w:rsidP="00A60A0D" w14:paraId="1945A4A9" w14:textId="77777777">
            <w:pPr>
              <w:pStyle w:val="TableText"/>
              <w:jc w:val="both"/>
              <w:rPr>
                <w:sz w:val="22"/>
                <w:szCs w:val="22"/>
                <w:lang w:val="it-IT"/>
              </w:rPr>
            </w:pPr>
            <w:r w:rsidRPr="00295E71">
              <w:rPr>
                <w:sz w:val="22"/>
                <w:szCs w:val="22"/>
                <w:lang w:val="it-IT"/>
              </w:rPr>
              <w:t>Tutti i valori p rappresentano i confronti a coppie delle percentuali di Humira verso placebo</w:t>
            </w:r>
          </w:p>
          <w:p w:rsidR="00157870" w:rsidRPr="00295E71" w:rsidP="00A60A0D" w14:paraId="1FCAA164" w14:textId="77777777">
            <w:pPr>
              <w:pStyle w:val="TableText"/>
              <w:jc w:val="both"/>
              <w:rPr>
                <w:sz w:val="22"/>
                <w:szCs w:val="22"/>
                <w:lang w:val="it-IT"/>
              </w:rPr>
            </w:pPr>
            <w:r w:rsidRPr="00295E71">
              <w:rPr>
                <w:sz w:val="22"/>
                <w:szCs w:val="22"/>
                <w:vertAlign w:val="superscript"/>
                <w:lang w:val="it-IT"/>
              </w:rPr>
              <w:t>*</w:t>
            </w:r>
            <w:r w:rsidRPr="00295E71">
              <w:rPr>
                <w:sz w:val="22"/>
                <w:szCs w:val="22"/>
                <w:lang w:val="it-IT"/>
              </w:rPr>
              <w:tab/>
              <w:t>p &lt; 0,001</w:t>
            </w:r>
          </w:p>
          <w:p w:rsidR="00157870" w:rsidRPr="00295E71" w:rsidP="00A60A0D" w14:paraId="3B9E436F" w14:textId="77777777">
            <w:pPr>
              <w:pStyle w:val="TableText"/>
              <w:jc w:val="both"/>
              <w:rPr>
                <w:sz w:val="22"/>
                <w:szCs w:val="22"/>
                <w:lang w:val="it-IT"/>
              </w:rPr>
            </w:pPr>
            <w:r w:rsidRPr="00295E71">
              <w:rPr>
                <w:sz w:val="22"/>
                <w:szCs w:val="22"/>
                <w:vertAlign w:val="superscript"/>
                <w:lang w:val="it-IT"/>
              </w:rPr>
              <w:t>**</w:t>
            </w:r>
            <w:r w:rsidRPr="00295E71">
              <w:rPr>
                <w:sz w:val="22"/>
                <w:szCs w:val="22"/>
                <w:lang w:val="it-IT"/>
              </w:rPr>
              <w:tab/>
              <w:t>p &lt; 0,01</w:t>
            </w:r>
          </w:p>
        </w:tc>
      </w:tr>
    </w:tbl>
    <w:p w:rsidR="00157870" w:rsidRPr="00295E71" w:rsidP="00157870" w14:paraId="76DCBB98" w14:textId="77777777">
      <w:pPr>
        <w:pStyle w:val="EMEANormal"/>
        <w:jc w:val="both"/>
        <w:rPr>
          <w:lang w:val="it-IT"/>
        </w:rPr>
      </w:pPr>
    </w:p>
    <w:p w:rsidR="00157870" w:rsidRPr="00295E71" w:rsidP="00157870" w14:paraId="0D15A8DD" w14:textId="77777777">
      <w:pPr>
        <w:pStyle w:val="EMEANormal"/>
        <w:jc w:val="both"/>
        <w:rPr>
          <w:color w:val="000000"/>
          <w:lang w:val="it-IT"/>
        </w:rPr>
      </w:pPr>
      <w:r w:rsidRPr="00295E71">
        <w:rPr>
          <w:color w:val="000000"/>
          <w:lang w:val="it-IT"/>
        </w:rPr>
        <w:t>Percentuali di remissione simili sono state osservate nel gruppo trattato con la dose di induzione pari a 160/80 mg ed a 80/40 mg entro la settimana 8 e gli eventi avversi si sono manifestati più frequentemente nel gruppo trattato con il dosaggio pari a 160/80 mg.</w:t>
      </w:r>
    </w:p>
    <w:p w:rsidR="00157870" w:rsidRPr="00295E71" w:rsidP="00157870" w14:paraId="12FBD678" w14:textId="77777777">
      <w:pPr>
        <w:pStyle w:val="EMEANormal"/>
        <w:jc w:val="both"/>
        <w:rPr>
          <w:lang w:val="it-IT"/>
        </w:rPr>
      </w:pPr>
    </w:p>
    <w:p w:rsidR="00157870" w:rsidRPr="00295E71" w:rsidP="00157870" w14:paraId="625F6533" w14:textId="77777777">
      <w:pPr>
        <w:pStyle w:val="EMEANormal"/>
        <w:jc w:val="both"/>
        <w:rPr>
          <w:lang w:val="it-IT"/>
        </w:rPr>
      </w:pPr>
      <w:r w:rsidRPr="00295E71">
        <w:rPr>
          <w:lang w:val="it-IT"/>
        </w:rPr>
        <w:t xml:space="preserve">Nello studio CD III, alla settimana 4, il 58% (499/854) dei pazienti ha manifestato una risposta clinica ed è stato valutato nell’analisi primaria. Tra i pazienti che hanno manifestato una risposta clinica alla </w:t>
      </w:r>
      <w:r w:rsidRPr="00295E71">
        <w:rPr>
          <w:lang w:val="it-IT"/>
        </w:rPr>
        <w:t xml:space="preserve">settimana 4, il 48% era stato esposto precedentemente a terapia con altri farmaci antagonisti del TNF. Le percentuali relative al mantenimento della remissione e della risposta clinica sono riportate nella Tabella </w:t>
      </w:r>
      <w:r w:rsidR="0041314F">
        <w:rPr>
          <w:lang w:val="it-IT"/>
        </w:rPr>
        <w:t>15</w:t>
      </w:r>
      <w:r w:rsidRPr="00295E71">
        <w:rPr>
          <w:lang w:val="it-IT"/>
        </w:rPr>
        <w:t>. I risultati relativi alla remissione clinica sono rimasti relativamente costanti a prescindere dall’esposizione precedente a farmaci anti-TNF.</w:t>
      </w:r>
    </w:p>
    <w:p w:rsidR="00157870" w:rsidRPr="00295E71" w:rsidP="00157870" w14:paraId="00BA4ACB" w14:textId="77777777">
      <w:pPr>
        <w:pStyle w:val="EMEANormal"/>
        <w:jc w:val="both"/>
        <w:rPr>
          <w:bCs/>
          <w:lang w:val="it-IT"/>
        </w:rPr>
      </w:pPr>
    </w:p>
    <w:p w:rsidR="00157870" w:rsidRPr="00295E71" w:rsidP="00157870" w14:paraId="05D40B7E" w14:textId="77777777">
      <w:pPr>
        <w:pStyle w:val="EMEANormal"/>
        <w:jc w:val="both"/>
        <w:rPr>
          <w:bCs/>
          <w:lang w:val="it-IT"/>
        </w:rPr>
      </w:pPr>
      <w:r w:rsidRPr="00295E71">
        <w:rPr>
          <w:bCs/>
          <w:lang w:val="it-IT"/>
        </w:rPr>
        <w:t>Alla settimana 56, le ospedalizzazioni e gli interventi chirurgici correlati alla malattia erano ridotti in modo statisticamente significativo con adalimumab rispetto al placebo.</w:t>
      </w:r>
    </w:p>
    <w:p w:rsidR="00157870" w:rsidRPr="00295E71" w:rsidP="00157870" w14:paraId="32C987AA" w14:textId="77777777">
      <w:pPr>
        <w:pStyle w:val="EMEANormal"/>
        <w:keepNext/>
        <w:jc w:val="both"/>
        <w:rPr>
          <w:lang w:val="it-IT"/>
        </w:rPr>
      </w:pPr>
    </w:p>
    <w:tbl>
      <w:tblPr>
        <w:tblW w:w="0" w:type="auto"/>
        <w:tblInd w:w="108" w:type="dxa"/>
        <w:tblLook w:val="0000"/>
      </w:tblPr>
      <w:tblGrid>
        <w:gridCol w:w="3616"/>
        <w:gridCol w:w="1739"/>
        <w:gridCol w:w="1916"/>
        <w:gridCol w:w="1691"/>
      </w:tblGrid>
      <w:tr w14:paraId="3D632F05" w14:textId="77777777" w:rsidTr="00F57FE5">
        <w:tblPrEx>
          <w:tblW w:w="0" w:type="auto"/>
          <w:tblInd w:w="108" w:type="dxa"/>
          <w:tblLook w:val="0000"/>
        </w:tblPrEx>
        <w:trPr>
          <w:cantSplit/>
        </w:trPr>
        <w:tc>
          <w:tcPr>
            <w:tcW w:w="9020" w:type="dxa"/>
            <w:gridSpan w:val="4"/>
            <w:tcBorders>
              <w:bottom w:val="single" w:sz="4" w:space="0" w:color="auto"/>
            </w:tcBorders>
          </w:tcPr>
          <w:p w:rsidR="00157870" w:rsidRPr="00295E71" w:rsidP="00157870" w14:paraId="78664E24" w14:textId="77777777">
            <w:pPr>
              <w:pStyle w:val="TableText"/>
              <w:jc w:val="center"/>
              <w:rPr>
                <w:b/>
                <w:bCs/>
                <w:sz w:val="22"/>
                <w:szCs w:val="22"/>
                <w:lang w:val="it-IT"/>
              </w:rPr>
            </w:pPr>
            <w:r w:rsidRPr="00295E71">
              <w:rPr>
                <w:sz w:val="22"/>
                <w:szCs w:val="22"/>
                <w:lang w:val="it-IT"/>
              </w:rPr>
              <w:br w:type="page"/>
            </w:r>
            <w:r w:rsidRPr="00295E71">
              <w:rPr>
                <w:b/>
                <w:bCs/>
                <w:sz w:val="22"/>
                <w:szCs w:val="22"/>
                <w:lang w:val="it-IT"/>
              </w:rPr>
              <w:t xml:space="preserve">Tabella </w:t>
            </w:r>
            <w:r w:rsidR="0041314F">
              <w:rPr>
                <w:b/>
                <w:bCs/>
                <w:sz w:val="22"/>
                <w:szCs w:val="22"/>
                <w:lang w:val="it-IT"/>
              </w:rPr>
              <w:t>15</w:t>
            </w:r>
          </w:p>
          <w:p w:rsidR="00157870" w:rsidRPr="00295E71" w:rsidP="00157870" w14:paraId="07D0C3A4" w14:textId="77777777">
            <w:pPr>
              <w:pStyle w:val="TableText"/>
              <w:jc w:val="center"/>
              <w:rPr>
                <w:b/>
                <w:bCs/>
                <w:sz w:val="22"/>
                <w:szCs w:val="22"/>
                <w:lang w:val="it-IT"/>
              </w:rPr>
            </w:pPr>
            <w:r w:rsidRPr="00295E71">
              <w:rPr>
                <w:b/>
                <w:bCs/>
                <w:sz w:val="22"/>
                <w:szCs w:val="22"/>
                <w:lang w:val="it-IT"/>
              </w:rPr>
              <w:t>Mantenimento della Remissione e della Risposta Clinica</w:t>
            </w:r>
          </w:p>
          <w:p w:rsidR="00157870" w:rsidRPr="00295E71" w:rsidP="00157870" w14:paraId="6EEE0C85" w14:textId="77777777">
            <w:pPr>
              <w:pStyle w:val="TableText"/>
              <w:jc w:val="center"/>
              <w:rPr>
                <w:b/>
                <w:sz w:val="22"/>
                <w:szCs w:val="22"/>
                <w:lang w:val="it-IT"/>
              </w:rPr>
            </w:pPr>
            <w:r w:rsidRPr="00295E71">
              <w:rPr>
                <w:b/>
                <w:sz w:val="22"/>
                <w:szCs w:val="22"/>
                <w:lang w:val="it-IT"/>
              </w:rPr>
              <w:t>(Percentuale di Pazienti)</w:t>
            </w:r>
          </w:p>
        </w:tc>
      </w:tr>
      <w:tr w14:paraId="3DD09357" w14:textId="77777777" w:rsidTr="00F57FE5">
        <w:tblPrEx>
          <w:tblW w:w="0" w:type="auto"/>
          <w:tblInd w:w="108" w:type="dxa"/>
          <w:tblLook w:val="0000"/>
        </w:tblPrEx>
        <w:tc>
          <w:tcPr>
            <w:tcW w:w="3641" w:type="dxa"/>
            <w:tcBorders>
              <w:top w:val="single" w:sz="4" w:space="0" w:color="auto"/>
              <w:left w:val="single" w:sz="4" w:space="0" w:color="auto"/>
              <w:bottom w:val="single" w:sz="4" w:space="0" w:color="auto"/>
              <w:right w:val="single" w:sz="4" w:space="0" w:color="auto"/>
            </w:tcBorders>
          </w:tcPr>
          <w:p w:rsidR="00157870" w:rsidRPr="00295E71" w:rsidP="00157870" w14:paraId="210FB174" w14:textId="77777777">
            <w:pPr>
              <w:pStyle w:val="TableText"/>
              <w:jc w:val="both"/>
              <w:rPr>
                <w:b/>
                <w:sz w:val="22"/>
                <w:szCs w:val="22"/>
                <w:lang w:val="it-IT"/>
              </w:rPr>
            </w:pPr>
          </w:p>
        </w:tc>
        <w:tc>
          <w:tcPr>
            <w:tcW w:w="1751" w:type="dxa"/>
            <w:tcBorders>
              <w:top w:val="single" w:sz="4" w:space="0" w:color="auto"/>
              <w:left w:val="single" w:sz="4" w:space="0" w:color="auto"/>
              <w:bottom w:val="single" w:sz="4" w:space="0" w:color="auto"/>
              <w:right w:val="single" w:sz="4" w:space="0" w:color="auto"/>
            </w:tcBorders>
          </w:tcPr>
          <w:p w:rsidR="00157870" w:rsidRPr="00295E71" w:rsidP="0002593D" w14:paraId="7217726C" w14:textId="77777777">
            <w:pPr>
              <w:pStyle w:val="TableText"/>
              <w:jc w:val="center"/>
              <w:rPr>
                <w:b/>
                <w:sz w:val="22"/>
                <w:szCs w:val="22"/>
                <w:lang w:val="it-IT"/>
              </w:rPr>
            </w:pPr>
            <w:r w:rsidRPr="00295E71">
              <w:rPr>
                <w:b/>
                <w:sz w:val="22"/>
                <w:szCs w:val="22"/>
                <w:lang w:val="it-IT"/>
              </w:rPr>
              <w:t>Placebo</w:t>
            </w:r>
          </w:p>
        </w:tc>
        <w:tc>
          <w:tcPr>
            <w:tcW w:w="1928" w:type="dxa"/>
            <w:tcBorders>
              <w:top w:val="single" w:sz="4" w:space="0" w:color="auto"/>
              <w:left w:val="single" w:sz="4" w:space="0" w:color="auto"/>
              <w:bottom w:val="single" w:sz="4" w:space="0" w:color="auto"/>
              <w:right w:val="single" w:sz="4" w:space="0" w:color="auto"/>
            </w:tcBorders>
          </w:tcPr>
          <w:p w:rsidR="00157870" w:rsidRPr="00295E71" w:rsidP="0002593D" w14:paraId="088D9DC9" w14:textId="77777777">
            <w:pPr>
              <w:pStyle w:val="TableText"/>
              <w:jc w:val="center"/>
              <w:rPr>
                <w:b/>
                <w:bCs/>
                <w:sz w:val="22"/>
                <w:szCs w:val="22"/>
                <w:lang w:val="it-IT"/>
              </w:rPr>
            </w:pPr>
            <w:r w:rsidRPr="00295E71">
              <w:rPr>
                <w:b/>
                <w:bCs/>
                <w:sz w:val="22"/>
                <w:szCs w:val="22"/>
                <w:lang w:val="it-IT"/>
              </w:rPr>
              <w:t>40 mg Humira</w:t>
            </w:r>
            <w:r w:rsidRPr="00295E71">
              <w:rPr>
                <w:b/>
                <w:bCs/>
                <w:sz w:val="22"/>
                <w:szCs w:val="22"/>
                <w:lang w:val="it-IT"/>
              </w:rPr>
              <w:br/>
              <w:t>a settimane alterne</w:t>
            </w:r>
          </w:p>
        </w:tc>
        <w:tc>
          <w:tcPr>
            <w:tcW w:w="1700" w:type="dxa"/>
            <w:tcBorders>
              <w:top w:val="single" w:sz="4" w:space="0" w:color="auto"/>
              <w:left w:val="single" w:sz="4" w:space="0" w:color="auto"/>
              <w:bottom w:val="single" w:sz="4" w:space="0" w:color="auto"/>
              <w:right w:val="single" w:sz="4" w:space="0" w:color="auto"/>
            </w:tcBorders>
          </w:tcPr>
          <w:p w:rsidR="00157870" w:rsidRPr="00295E71" w:rsidP="0002593D" w14:paraId="3BEAE7EF" w14:textId="77777777">
            <w:pPr>
              <w:pStyle w:val="TableText"/>
              <w:jc w:val="center"/>
              <w:rPr>
                <w:b/>
                <w:sz w:val="22"/>
                <w:szCs w:val="22"/>
                <w:lang w:val="it-IT"/>
              </w:rPr>
            </w:pPr>
            <w:r w:rsidRPr="00295E71">
              <w:rPr>
                <w:b/>
                <w:sz w:val="22"/>
                <w:szCs w:val="22"/>
                <w:lang w:val="it-IT"/>
              </w:rPr>
              <w:t>40 mg Humira</w:t>
            </w:r>
            <w:r w:rsidRPr="00295E71">
              <w:rPr>
                <w:b/>
                <w:sz w:val="22"/>
                <w:szCs w:val="22"/>
                <w:lang w:val="it-IT"/>
              </w:rPr>
              <w:br/>
              <w:t>ogni settimana</w:t>
            </w:r>
          </w:p>
        </w:tc>
      </w:tr>
      <w:tr w14:paraId="648C213B" w14:textId="77777777" w:rsidTr="00F57FE5">
        <w:tblPrEx>
          <w:tblW w:w="0" w:type="auto"/>
          <w:tblInd w:w="108" w:type="dxa"/>
          <w:tblLook w:val="0000"/>
        </w:tblPrEx>
        <w:tc>
          <w:tcPr>
            <w:tcW w:w="3641" w:type="dxa"/>
            <w:tcBorders>
              <w:top w:val="single" w:sz="4" w:space="0" w:color="auto"/>
              <w:left w:val="single" w:sz="4" w:space="0" w:color="auto"/>
              <w:bottom w:val="single" w:sz="4" w:space="0" w:color="auto"/>
              <w:right w:val="single" w:sz="4" w:space="0" w:color="auto"/>
            </w:tcBorders>
          </w:tcPr>
          <w:p w:rsidR="00157870" w:rsidRPr="00295E71" w:rsidP="00157870" w14:paraId="05B15071" w14:textId="77777777">
            <w:pPr>
              <w:pStyle w:val="TableText"/>
              <w:jc w:val="both"/>
              <w:rPr>
                <w:b/>
                <w:sz w:val="22"/>
                <w:szCs w:val="22"/>
                <w:lang w:val="it-IT"/>
              </w:rPr>
            </w:pPr>
            <w:r w:rsidRPr="00295E71">
              <w:rPr>
                <w:b/>
                <w:sz w:val="22"/>
                <w:szCs w:val="22"/>
                <w:lang w:val="it-IT"/>
              </w:rPr>
              <w:t>Settimana 26</w:t>
            </w:r>
          </w:p>
        </w:tc>
        <w:tc>
          <w:tcPr>
            <w:tcW w:w="1751" w:type="dxa"/>
            <w:tcBorders>
              <w:top w:val="single" w:sz="4" w:space="0" w:color="auto"/>
              <w:left w:val="single" w:sz="4" w:space="0" w:color="auto"/>
              <w:bottom w:val="single" w:sz="4" w:space="0" w:color="auto"/>
              <w:right w:val="single" w:sz="4" w:space="0" w:color="auto"/>
            </w:tcBorders>
          </w:tcPr>
          <w:p w:rsidR="00157870" w:rsidRPr="00295E71" w:rsidP="0002593D" w14:paraId="7E67BEBD" w14:textId="77777777">
            <w:pPr>
              <w:pStyle w:val="TableText"/>
              <w:jc w:val="center"/>
              <w:rPr>
                <w:b/>
                <w:sz w:val="22"/>
                <w:szCs w:val="22"/>
                <w:lang w:val="it-IT"/>
              </w:rPr>
            </w:pPr>
            <w:r w:rsidRPr="00295E71">
              <w:rPr>
                <w:b/>
                <w:sz w:val="22"/>
                <w:szCs w:val="22"/>
                <w:lang w:val="it-IT"/>
              </w:rPr>
              <w:t>N=170</w:t>
            </w:r>
          </w:p>
        </w:tc>
        <w:tc>
          <w:tcPr>
            <w:tcW w:w="1928" w:type="dxa"/>
            <w:tcBorders>
              <w:top w:val="single" w:sz="4" w:space="0" w:color="auto"/>
              <w:left w:val="single" w:sz="4" w:space="0" w:color="auto"/>
              <w:bottom w:val="single" w:sz="4" w:space="0" w:color="auto"/>
              <w:right w:val="single" w:sz="4" w:space="0" w:color="auto"/>
            </w:tcBorders>
          </w:tcPr>
          <w:p w:rsidR="00157870" w:rsidRPr="00295E71" w:rsidP="0002593D" w14:paraId="6D0D41A2" w14:textId="77777777">
            <w:pPr>
              <w:pStyle w:val="TableText"/>
              <w:jc w:val="center"/>
              <w:rPr>
                <w:b/>
                <w:sz w:val="22"/>
                <w:szCs w:val="22"/>
                <w:lang w:val="it-IT"/>
              </w:rPr>
            </w:pPr>
            <w:r w:rsidRPr="00295E71">
              <w:rPr>
                <w:b/>
                <w:sz w:val="22"/>
                <w:szCs w:val="22"/>
                <w:lang w:val="it-IT"/>
              </w:rPr>
              <w:t>N=172</w:t>
            </w:r>
          </w:p>
        </w:tc>
        <w:tc>
          <w:tcPr>
            <w:tcW w:w="1700" w:type="dxa"/>
            <w:tcBorders>
              <w:top w:val="single" w:sz="4" w:space="0" w:color="auto"/>
              <w:left w:val="single" w:sz="4" w:space="0" w:color="auto"/>
              <w:bottom w:val="single" w:sz="4" w:space="0" w:color="auto"/>
              <w:right w:val="single" w:sz="4" w:space="0" w:color="auto"/>
            </w:tcBorders>
          </w:tcPr>
          <w:p w:rsidR="00157870" w:rsidRPr="00295E71" w:rsidP="0002593D" w14:paraId="309BD020" w14:textId="77777777">
            <w:pPr>
              <w:pStyle w:val="TableText"/>
              <w:jc w:val="center"/>
              <w:rPr>
                <w:b/>
                <w:sz w:val="22"/>
                <w:szCs w:val="22"/>
                <w:lang w:val="it-IT"/>
              </w:rPr>
            </w:pPr>
            <w:r w:rsidRPr="00295E71">
              <w:rPr>
                <w:b/>
                <w:sz w:val="22"/>
                <w:szCs w:val="22"/>
                <w:lang w:val="it-IT"/>
              </w:rPr>
              <w:t>N=157</w:t>
            </w:r>
          </w:p>
        </w:tc>
      </w:tr>
      <w:tr w14:paraId="0ABAB154" w14:textId="77777777" w:rsidTr="00F57FE5">
        <w:tblPrEx>
          <w:tblW w:w="0" w:type="auto"/>
          <w:tblInd w:w="108" w:type="dxa"/>
          <w:tblLook w:val="0000"/>
        </w:tblPrEx>
        <w:tc>
          <w:tcPr>
            <w:tcW w:w="3641" w:type="dxa"/>
            <w:tcBorders>
              <w:top w:val="single" w:sz="4" w:space="0" w:color="auto"/>
              <w:left w:val="single" w:sz="4" w:space="0" w:color="auto"/>
              <w:bottom w:val="single" w:sz="4" w:space="0" w:color="auto"/>
              <w:right w:val="single" w:sz="4" w:space="0" w:color="auto"/>
            </w:tcBorders>
          </w:tcPr>
          <w:p w:rsidR="00157870" w:rsidRPr="00295E71" w:rsidP="00157870" w14:paraId="6EE3CAD1" w14:textId="77777777">
            <w:pPr>
              <w:pStyle w:val="TableText"/>
              <w:jc w:val="both"/>
              <w:rPr>
                <w:sz w:val="22"/>
                <w:szCs w:val="22"/>
                <w:lang w:val="it-IT"/>
              </w:rPr>
            </w:pPr>
            <w:r w:rsidRPr="00295E71">
              <w:rPr>
                <w:sz w:val="22"/>
                <w:szCs w:val="22"/>
                <w:lang w:val="it-IT"/>
              </w:rPr>
              <w:t>Remissione clinica</w:t>
            </w:r>
          </w:p>
        </w:tc>
        <w:tc>
          <w:tcPr>
            <w:tcW w:w="1751" w:type="dxa"/>
            <w:tcBorders>
              <w:top w:val="single" w:sz="4" w:space="0" w:color="auto"/>
              <w:left w:val="single" w:sz="4" w:space="0" w:color="auto"/>
              <w:bottom w:val="single" w:sz="4" w:space="0" w:color="auto"/>
              <w:right w:val="single" w:sz="4" w:space="0" w:color="auto"/>
            </w:tcBorders>
          </w:tcPr>
          <w:p w:rsidR="00157870" w:rsidRPr="00295E71" w:rsidP="0002593D" w14:paraId="33E8B3D4" w14:textId="77777777">
            <w:pPr>
              <w:pStyle w:val="TableText"/>
              <w:jc w:val="center"/>
              <w:rPr>
                <w:sz w:val="22"/>
                <w:szCs w:val="22"/>
                <w:lang w:val="it-IT"/>
              </w:rPr>
            </w:pPr>
            <w:r w:rsidRPr="00295E71">
              <w:rPr>
                <w:sz w:val="22"/>
                <w:szCs w:val="22"/>
                <w:lang w:val="it-IT"/>
              </w:rPr>
              <w:t>17%</w:t>
            </w:r>
          </w:p>
        </w:tc>
        <w:tc>
          <w:tcPr>
            <w:tcW w:w="1928" w:type="dxa"/>
            <w:tcBorders>
              <w:top w:val="single" w:sz="4" w:space="0" w:color="auto"/>
              <w:left w:val="single" w:sz="4" w:space="0" w:color="auto"/>
              <w:bottom w:val="single" w:sz="4" w:space="0" w:color="auto"/>
              <w:right w:val="single" w:sz="4" w:space="0" w:color="auto"/>
            </w:tcBorders>
          </w:tcPr>
          <w:p w:rsidR="00157870" w:rsidRPr="00295E71" w:rsidP="0002593D" w14:paraId="0147A842" w14:textId="77777777">
            <w:pPr>
              <w:pStyle w:val="TableText"/>
              <w:jc w:val="center"/>
              <w:rPr>
                <w:sz w:val="22"/>
                <w:szCs w:val="22"/>
                <w:lang w:val="it-IT"/>
              </w:rPr>
            </w:pPr>
            <w:r w:rsidRPr="00295E71">
              <w:rPr>
                <w:sz w:val="22"/>
                <w:szCs w:val="22"/>
                <w:lang w:val="it-IT"/>
              </w:rPr>
              <w:t>40%*</w:t>
            </w:r>
          </w:p>
        </w:tc>
        <w:tc>
          <w:tcPr>
            <w:tcW w:w="1700" w:type="dxa"/>
            <w:tcBorders>
              <w:top w:val="single" w:sz="4" w:space="0" w:color="auto"/>
              <w:left w:val="single" w:sz="4" w:space="0" w:color="auto"/>
              <w:bottom w:val="single" w:sz="4" w:space="0" w:color="auto"/>
              <w:right w:val="single" w:sz="4" w:space="0" w:color="auto"/>
            </w:tcBorders>
          </w:tcPr>
          <w:p w:rsidR="00157870" w:rsidRPr="00295E71" w:rsidP="0002593D" w14:paraId="350E9018" w14:textId="77777777">
            <w:pPr>
              <w:pStyle w:val="TableText"/>
              <w:jc w:val="center"/>
              <w:rPr>
                <w:sz w:val="22"/>
                <w:szCs w:val="22"/>
                <w:lang w:val="it-IT"/>
              </w:rPr>
            </w:pPr>
            <w:r w:rsidRPr="00295E71">
              <w:rPr>
                <w:sz w:val="22"/>
                <w:szCs w:val="22"/>
                <w:lang w:val="it-IT"/>
              </w:rPr>
              <w:t>47%*</w:t>
            </w:r>
          </w:p>
        </w:tc>
      </w:tr>
      <w:tr w14:paraId="24095300" w14:textId="77777777" w:rsidTr="00F57FE5">
        <w:tblPrEx>
          <w:tblW w:w="0" w:type="auto"/>
          <w:tblInd w:w="108" w:type="dxa"/>
          <w:tblLook w:val="0000"/>
        </w:tblPrEx>
        <w:tc>
          <w:tcPr>
            <w:tcW w:w="3641" w:type="dxa"/>
            <w:tcBorders>
              <w:top w:val="single" w:sz="4" w:space="0" w:color="auto"/>
              <w:left w:val="single" w:sz="4" w:space="0" w:color="auto"/>
              <w:bottom w:val="single" w:sz="4" w:space="0" w:color="auto"/>
              <w:right w:val="single" w:sz="4" w:space="0" w:color="auto"/>
            </w:tcBorders>
          </w:tcPr>
          <w:p w:rsidR="00157870" w:rsidRPr="00295E71" w:rsidP="00157870" w14:paraId="3731A2DE" w14:textId="77777777">
            <w:pPr>
              <w:pStyle w:val="TableText"/>
              <w:jc w:val="both"/>
              <w:rPr>
                <w:sz w:val="22"/>
                <w:szCs w:val="22"/>
                <w:lang w:val="it-IT"/>
              </w:rPr>
            </w:pPr>
            <w:r w:rsidRPr="00295E71">
              <w:rPr>
                <w:sz w:val="22"/>
                <w:szCs w:val="22"/>
                <w:lang w:val="it-IT"/>
              </w:rPr>
              <w:t>Risposta clinica (CR-100)</w:t>
            </w:r>
          </w:p>
        </w:tc>
        <w:tc>
          <w:tcPr>
            <w:tcW w:w="1751" w:type="dxa"/>
            <w:tcBorders>
              <w:top w:val="single" w:sz="4" w:space="0" w:color="auto"/>
              <w:left w:val="single" w:sz="4" w:space="0" w:color="auto"/>
              <w:bottom w:val="single" w:sz="4" w:space="0" w:color="auto"/>
              <w:right w:val="single" w:sz="4" w:space="0" w:color="auto"/>
            </w:tcBorders>
          </w:tcPr>
          <w:p w:rsidR="00157870" w:rsidRPr="00295E71" w:rsidP="0002593D" w14:paraId="0641FB73" w14:textId="77777777">
            <w:pPr>
              <w:pStyle w:val="TableText"/>
              <w:jc w:val="center"/>
              <w:rPr>
                <w:sz w:val="22"/>
                <w:szCs w:val="22"/>
                <w:lang w:val="it-IT"/>
              </w:rPr>
            </w:pPr>
            <w:r w:rsidRPr="00295E71">
              <w:rPr>
                <w:sz w:val="22"/>
                <w:szCs w:val="22"/>
                <w:lang w:val="it-IT"/>
              </w:rPr>
              <w:t>27%</w:t>
            </w:r>
          </w:p>
        </w:tc>
        <w:tc>
          <w:tcPr>
            <w:tcW w:w="1928" w:type="dxa"/>
            <w:tcBorders>
              <w:top w:val="single" w:sz="4" w:space="0" w:color="auto"/>
              <w:left w:val="single" w:sz="4" w:space="0" w:color="auto"/>
              <w:bottom w:val="single" w:sz="4" w:space="0" w:color="auto"/>
              <w:right w:val="single" w:sz="4" w:space="0" w:color="auto"/>
            </w:tcBorders>
          </w:tcPr>
          <w:p w:rsidR="00157870" w:rsidRPr="00295E71" w:rsidP="0002593D" w14:paraId="2C583003" w14:textId="77777777">
            <w:pPr>
              <w:pStyle w:val="TableText"/>
              <w:jc w:val="center"/>
              <w:rPr>
                <w:sz w:val="22"/>
                <w:szCs w:val="22"/>
                <w:lang w:val="it-IT"/>
              </w:rPr>
            </w:pPr>
            <w:r w:rsidRPr="00295E71">
              <w:rPr>
                <w:sz w:val="22"/>
                <w:szCs w:val="22"/>
                <w:lang w:val="it-IT"/>
              </w:rPr>
              <w:t>52%*</w:t>
            </w:r>
          </w:p>
        </w:tc>
        <w:tc>
          <w:tcPr>
            <w:tcW w:w="1700" w:type="dxa"/>
            <w:tcBorders>
              <w:top w:val="single" w:sz="4" w:space="0" w:color="auto"/>
              <w:left w:val="single" w:sz="4" w:space="0" w:color="auto"/>
              <w:bottom w:val="single" w:sz="4" w:space="0" w:color="auto"/>
              <w:right w:val="single" w:sz="4" w:space="0" w:color="auto"/>
            </w:tcBorders>
          </w:tcPr>
          <w:p w:rsidR="00157870" w:rsidRPr="00295E71" w:rsidP="0002593D" w14:paraId="4E36B6A2" w14:textId="77777777">
            <w:pPr>
              <w:pStyle w:val="TableText"/>
              <w:jc w:val="center"/>
              <w:rPr>
                <w:sz w:val="22"/>
                <w:szCs w:val="22"/>
                <w:lang w:val="it-IT"/>
              </w:rPr>
            </w:pPr>
            <w:r w:rsidRPr="00295E71">
              <w:rPr>
                <w:sz w:val="22"/>
                <w:szCs w:val="22"/>
                <w:lang w:val="it-IT"/>
              </w:rPr>
              <w:t>52%*</w:t>
            </w:r>
          </w:p>
        </w:tc>
      </w:tr>
      <w:tr w14:paraId="0ADCCB48" w14:textId="77777777" w:rsidTr="00F57FE5">
        <w:tblPrEx>
          <w:tblW w:w="0" w:type="auto"/>
          <w:tblInd w:w="108" w:type="dxa"/>
          <w:tblLook w:val="0000"/>
        </w:tblPrEx>
        <w:tc>
          <w:tcPr>
            <w:tcW w:w="3641" w:type="dxa"/>
            <w:tcBorders>
              <w:top w:val="single" w:sz="4" w:space="0" w:color="auto"/>
              <w:left w:val="single" w:sz="4" w:space="0" w:color="auto"/>
              <w:bottom w:val="single" w:sz="4" w:space="0" w:color="auto"/>
              <w:right w:val="single" w:sz="4" w:space="0" w:color="auto"/>
            </w:tcBorders>
          </w:tcPr>
          <w:p w:rsidR="00157870" w:rsidRPr="00295E71" w:rsidP="00157870" w14:paraId="14C1DAEE" w14:textId="77777777">
            <w:pPr>
              <w:pStyle w:val="TableText"/>
              <w:ind w:left="360"/>
              <w:jc w:val="both"/>
              <w:rPr>
                <w:sz w:val="22"/>
                <w:szCs w:val="22"/>
                <w:lang w:val="it-IT"/>
              </w:rPr>
            </w:pPr>
            <w:r w:rsidRPr="00295E71">
              <w:rPr>
                <w:sz w:val="22"/>
                <w:szCs w:val="22"/>
                <w:lang w:val="it-IT"/>
              </w:rPr>
              <w:t xml:space="preserve">Pazienti in remissione senza trattamento steroideo </w:t>
            </w:r>
          </w:p>
          <w:p w:rsidR="00157870" w:rsidRPr="00295E71" w:rsidP="00157870" w14:paraId="6BF88B37" w14:textId="77777777">
            <w:pPr>
              <w:pStyle w:val="TableText"/>
              <w:ind w:left="360"/>
              <w:jc w:val="both"/>
              <w:rPr>
                <w:sz w:val="22"/>
                <w:szCs w:val="22"/>
                <w:lang w:val="it-IT"/>
              </w:rPr>
            </w:pPr>
            <w:r w:rsidRPr="00295E71">
              <w:rPr>
                <w:sz w:val="22"/>
                <w:szCs w:val="22"/>
                <w:lang w:val="it-IT"/>
              </w:rPr>
              <w:t>per&gt;=90 giorni</w:t>
            </w:r>
            <w:r w:rsidRPr="00295E71">
              <w:rPr>
                <w:sz w:val="22"/>
                <w:szCs w:val="22"/>
                <w:vertAlign w:val="superscript"/>
                <w:lang w:val="it-IT"/>
              </w:rPr>
              <w:t>a</w:t>
            </w:r>
          </w:p>
        </w:tc>
        <w:tc>
          <w:tcPr>
            <w:tcW w:w="1751" w:type="dxa"/>
            <w:tcBorders>
              <w:top w:val="single" w:sz="4" w:space="0" w:color="auto"/>
              <w:left w:val="single" w:sz="4" w:space="0" w:color="auto"/>
              <w:bottom w:val="single" w:sz="4" w:space="0" w:color="auto"/>
              <w:right w:val="single" w:sz="4" w:space="0" w:color="auto"/>
            </w:tcBorders>
          </w:tcPr>
          <w:p w:rsidR="00157870" w:rsidRPr="00295E71" w:rsidP="0002593D" w14:paraId="3901A402" w14:textId="77777777">
            <w:pPr>
              <w:pStyle w:val="TableText"/>
              <w:jc w:val="center"/>
              <w:rPr>
                <w:sz w:val="22"/>
                <w:szCs w:val="22"/>
                <w:lang w:val="it-IT"/>
              </w:rPr>
            </w:pPr>
            <w:r w:rsidRPr="00295E71">
              <w:rPr>
                <w:sz w:val="22"/>
                <w:szCs w:val="22"/>
                <w:lang w:val="it-IT"/>
              </w:rPr>
              <w:t>3% (2/66)</w:t>
            </w:r>
          </w:p>
        </w:tc>
        <w:tc>
          <w:tcPr>
            <w:tcW w:w="1928" w:type="dxa"/>
            <w:tcBorders>
              <w:top w:val="single" w:sz="4" w:space="0" w:color="auto"/>
              <w:left w:val="single" w:sz="4" w:space="0" w:color="auto"/>
              <w:bottom w:val="single" w:sz="4" w:space="0" w:color="auto"/>
              <w:right w:val="single" w:sz="4" w:space="0" w:color="auto"/>
            </w:tcBorders>
          </w:tcPr>
          <w:p w:rsidR="00157870" w:rsidRPr="00295E71" w:rsidP="0002593D" w14:paraId="0EFDB147" w14:textId="77777777">
            <w:pPr>
              <w:pStyle w:val="TableText"/>
              <w:jc w:val="center"/>
              <w:rPr>
                <w:sz w:val="22"/>
                <w:szCs w:val="22"/>
                <w:lang w:val="it-IT"/>
              </w:rPr>
            </w:pPr>
            <w:r w:rsidRPr="00295E71">
              <w:rPr>
                <w:sz w:val="22"/>
                <w:szCs w:val="22"/>
                <w:lang w:val="it-IT"/>
              </w:rPr>
              <w:t>19% (11/58)**</w:t>
            </w:r>
          </w:p>
        </w:tc>
        <w:tc>
          <w:tcPr>
            <w:tcW w:w="1700" w:type="dxa"/>
            <w:tcBorders>
              <w:top w:val="single" w:sz="4" w:space="0" w:color="auto"/>
              <w:left w:val="single" w:sz="4" w:space="0" w:color="auto"/>
              <w:bottom w:val="single" w:sz="4" w:space="0" w:color="auto"/>
              <w:right w:val="single" w:sz="4" w:space="0" w:color="auto"/>
            </w:tcBorders>
          </w:tcPr>
          <w:p w:rsidR="00157870" w:rsidRPr="00295E71" w:rsidP="0002593D" w14:paraId="3586AE63" w14:textId="77777777">
            <w:pPr>
              <w:pStyle w:val="TableText"/>
              <w:jc w:val="center"/>
              <w:rPr>
                <w:sz w:val="22"/>
                <w:szCs w:val="22"/>
                <w:lang w:val="it-IT"/>
              </w:rPr>
            </w:pPr>
            <w:r w:rsidRPr="00295E71">
              <w:rPr>
                <w:sz w:val="22"/>
                <w:szCs w:val="22"/>
                <w:lang w:val="it-IT"/>
              </w:rPr>
              <w:t>15% (11/74)**</w:t>
            </w:r>
          </w:p>
        </w:tc>
      </w:tr>
      <w:tr w14:paraId="07413795" w14:textId="77777777" w:rsidTr="00F57FE5">
        <w:tblPrEx>
          <w:tblW w:w="0" w:type="auto"/>
          <w:tblInd w:w="108" w:type="dxa"/>
          <w:tblLook w:val="0000"/>
        </w:tblPrEx>
        <w:tc>
          <w:tcPr>
            <w:tcW w:w="3641" w:type="dxa"/>
            <w:tcBorders>
              <w:top w:val="single" w:sz="4" w:space="0" w:color="auto"/>
              <w:left w:val="single" w:sz="4" w:space="0" w:color="auto"/>
              <w:bottom w:val="single" w:sz="4" w:space="0" w:color="auto"/>
              <w:right w:val="single" w:sz="4" w:space="0" w:color="auto"/>
            </w:tcBorders>
          </w:tcPr>
          <w:p w:rsidR="00157870" w:rsidRPr="00295E71" w:rsidP="00157870" w14:paraId="536F4F4A" w14:textId="77777777">
            <w:pPr>
              <w:pStyle w:val="TableText"/>
              <w:jc w:val="both"/>
              <w:rPr>
                <w:b/>
                <w:sz w:val="22"/>
                <w:szCs w:val="22"/>
                <w:lang w:val="it-IT"/>
              </w:rPr>
            </w:pPr>
            <w:r w:rsidRPr="00295E71">
              <w:rPr>
                <w:b/>
                <w:sz w:val="22"/>
                <w:szCs w:val="22"/>
                <w:lang w:val="it-IT"/>
              </w:rPr>
              <w:t>Settimana 56</w:t>
            </w:r>
          </w:p>
        </w:tc>
        <w:tc>
          <w:tcPr>
            <w:tcW w:w="1751" w:type="dxa"/>
            <w:tcBorders>
              <w:top w:val="single" w:sz="4" w:space="0" w:color="auto"/>
              <w:left w:val="single" w:sz="4" w:space="0" w:color="auto"/>
              <w:bottom w:val="single" w:sz="4" w:space="0" w:color="auto"/>
              <w:right w:val="single" w:sz="4" w:space="0" w:color="auto"/>
            </w:tcBorders>
          </w:tcPr>
          <w:p w:rsidR="00157870" w:rsidRPr="00295E71" w:rsidP="0002593D" w14:paraId="7041A452" w14:textId="77777777">
            <w:pPr>
              <w:pStyle w:val="TableText"/>
              <w:jc w:val="center"/>
              <w:rPr>
                <w:b/>
                <w:sz w:val="22"/>
                <w:szCs w:val="22"/>
                <w:lang w:val="it-IT"/>
              </w:rPr>
            </w:pPr>
            <w:r w:rsidRPr="00295E71">
              <w:rPr>
                <w:b/>
                <w:sz w:val="22"/>
                <w:szCs w:val="22"/>
                <w:lang w:val="it-IT"/>
              </w:rPr>
              <w:t>N=170</w:t>
            </w:r>
          </w:p>
        </w:tc>
        <w:tc>
          <w:tcPr>
            <w:tcW w:w="1928" w:type="dxa"/>
            <w:tcBorders>
              <w:top w:val="single" w:sz="4" w:space="0" w:color="auto"/>
              <w:left w:val="single" w:sz="4" w:space="0" w:color="auto"/>
              <w:bottom w:val="single" w:sz="4" w:space="0" w:color="auto"/>
              <w:right w:val="single" w:sz="4" w:space="0" w:color="auto"/>
            </w:tcBorders>
          </w:tcPr>
          <w:p w:rsidR="00157870" w:rsidRPr="00295E71" w:rsidP="0002593D" w14:paraId="2149C0D9" w14:textId="77777777">
            <w:pPr>
              <w:pStyle w:val="TableText"/>
              <w:jc w:val="center"/>
              <w:rPr>
                <w:b/>
                <w:sz w:val="22"/>
                <w:szCs w:val="22"/>
                <w:lang w:val="it-IT"/>
              </w:rPr>
            </w:pPr>
            <w:r w:rsidRPr="00295E71">
              <w:rPr>
                <w:b/>
                <w:sz w:val="22"/>
                <w:szCs w:val="22"/>
                <w:lang w:val="it-IT"/>
              </w:rPr>
              <w:t>N=172</w:t>
            </w:r>
          </w:p>
        </w:tc>
        <w:tc>
          <w:tcPr>
            <w:tcW w:w="1700" w:type="dxa"/>
            <w:tcBorders>
              <w:top w:val="single" w:sz="4" w:space="0" w:color="auto"/>
              <w:left w:val="single" w:sz="4" w:space="0" w:color="auto"/>
              <w:bottom w:val="single" w:sz="4" w:space="0" w:color="auto"/>
              <w:right w:val="single" w:sz="4" w:space="0" w:color="auto"/>
            </w:tcBorders>
          </w:tcPr>
          <w:p w:rsidR="00157870" w:rsidRPr="00295E71" w:rsidP="0002593D" w14:paraId="2577FD68" w14:textId="77777777">
            <w:pPr>
              <w:pStyle w:val="TableText"/>
              <w:jc w:val="center"/>
              <w:rPr>
                <w:b/>
                <w:sz w:val="22"/>
                <w:szCs w:val="22"/>
                <w:lang w:val="it-IT"/>
              </w:rPr>
            </w:pPr>
            <w:r w:rsidRPr="00295E71">
              <w:rPr>
                <w:b/>
                <w:sz w:val="22"/>
                <w:szCs w:val="22"/>
                <w:lang w:val="it-IT"/>
              </w:rPr>
              <w:t>N=157</w:t>
            </w:r>
          </w:p>
        </w:tc>
      </w:tr>
      <w:tr w14:paraId="74D88276" w14:textId="77777777" w:rsidTr="00F57FE5">
        <w:tblPrEx>
          <w:tblW w:w="0" w:type="auto"/>
          <w:tblInd w:w="108" w:type="dxa"/>
          <w:tblLook w:val="0000"/>
        </w:tblPrEx>
        <w:tc>
          <w:tcPr>
            <w:tcW w:w="3641" w:type="dxa"/>
            <w:tcBorders>
              <w:top w:val="single" w:sz="4" w:space="0" w:color="auto"/>
              <w:left w:val="single" w:sz="4" w:space="0" w:color="auto"/>
              <w:bottom w:val="single" w:sz="4" w:space="0" w:color="auto"/>
              <w:right w:val="single" w:sz="4" w:space="0" w:color="auto"/>
            </w:tcBorders>
          </w:tcPr>
          <w:p w:rsidR="00157870" w:rsidRPr="00295E71" w:rsidP="00157870" w14:paraId="6BFDF677" w14:textId="77777777">
            <w:pPr>
              <w:pStyle w:val="TableText"/>
              <w:jc w:val="both"/>
              <w:rPr>
                <w:sz w:val="22"/>
                <w:szCs w:val="22"/>
                <w:lang w:val="it-IT"/>
              </w:rPr>
            </w:pPr>
            <w:r w:rsidRPr="00295E71">
              <w:rPr>
                <w:sz w:val="22"/>
                <w:szCs w:val="22"/>
                <w:lang w:val="it-IT"/>
              </w:rPr>
              <w:t>Remissione clinica</w:t>
            </w:r>
          </w:p>
        </w:tc>
        <w:tc>
          <w:tcPr>
            <w:tcW w:w="1751" w:type="dxa"/>
            <w:tcBorders>
              <w:top w:val="single" w:sz="4" w:space="0" w:color="auto"/>
              <w:left w:val="single" w:sz="4" w:space="0" w:color="auto"/>
              <w:bottom w:val="single" w:sz="4" w:space="0" w:color="auto"/>
              <w:right w:val="single" w:sz="4" w:space="0" w:color="auto"/>
            </w:tcBorders>
          </w:tcPr>
          <w:p w:rsidR="00157870" w:rsidRPr="00295E71" w:rsidP="0002593D" w14:paraId="08E51AEF" w14:textId="77777777">
            <w:pPr>
              <w:pStyle w:val="TableText"/>
              <w:jc w:val="center"/>
              <w:rPr>
                <w:sz w:val="22"/>
                <w:szCs w:val="22"/>
                <w:lang w:val="it-IT"/>
              </w:rPr>
            </w:pPr>
            <w:r w:rsidRPr="00295E71">
              <w:rPr>
                <w:sz w:val="22"/>
                <w:szCs w:val="22"/>
                <w:lang w:val="it-IT"/>
              </w:rPr>
              <w:t>12%</w:t>
            </w:r>
          </w:p>
        </w:tc>
        <w:tc>
          <w:tcPr>
            <w:tcW w:w="1928" w:type="dxa"/>
            <w:tcBorders>
              <w:top w:val="single" w:sz="4" w:space="0" w:color="auto"/>
              <w:left w:val="single" w:sz="4" w:space="0" w:color="auto"/>
              <w:bottom w:val="single" w:sz="4" w:space="0" w:color="auto"/>
              <w:right w:val="single" w:sz="4" w:space="0" w:color="auto"/>
            </w:tcBorders>
          </w:tcPr>
          <w:p w:rsidR="00157870" w:rsidRPr="00295E71" w:rsidP="0002593D" w14:paraId="58470549" w14:textId="77777777">
            <w:pPr>
              <w:pStyle w:val="TableText"/>
              <w:jc w:val="center"/>
              <w:rPr>
                <w:sz w:val="22"/>
                <w:szCs w:val="22"/>
                <w:lang w:val="it-IT"/>
              </w:rPr>
            </w:pPr>
            <w:r w:rsidRPr="00295E71">
              <w:rPr>
                <w:sz w:val="22"/>
                <w:szCs w:val="22"/>
                <w:lang w:val="it-IT"/>
              </w:rPr>
              <w:t>36%*</w:t>
            </w:r>
          </w:p>
        </w:tc>
        <w:tc>
          <w:tcPr>
            <w:tcW w:w="1700" w:type="dxa"/>
            <w:tcBorders>
              <w:top w:val="single" w:sz="4" w:space="0" w:color="auto"/>
              <w:left w:val="single" w:sz="4" w:space="0" w:color="auto"/>
              <w:bottom w:val="single" w:sz="4" w:space="0" w:color="auto"/>
              <w:right w:val="single" w:sz="4" w:space="0" w:color="auto"/>
            </w:tcBorders>
          </w:tcPr>
          <w:p w:rsidR="00157870" w:rsidRPr="00295E71" w:rsidP="0002593D" w14:paraId="37A29FC8" w14:textId="77777777">
            <w:pPr>
              <w:pStyle w:val="TableText"/>
              <w:jc w:val="center"/>
              <w:rPr>
                <w:sz w:val="22"/>
                <w:szCs w:val="22"/>
                <w:lang w:val="it-IT"/>
              </w:rPr>
            </w:pPr>
            <w:r w:rsidRPr="00295E71">
              <w:rPr>
                <w:sz w:val="22"/>
                <w:szCs w:val="22"/>
                <w:lang w:val="it-IT"/>
              </w:rPr>
              <w:t>41%*</w:t>
            </w:r>
          </w:p>
        </w:tc>
      </w:tr>
      <w:tr w14:paraId="1D833D58" w14:textId="77777777" w:rsidTr="00F57FE5">
        <w:tblPrEx>
          <w:tblW w:w="0" w:type="auto"/>
          <w:tblInd w:w="108" w:type="dxa"/>
          <w:tblLook w:val="0000"/>
        </w:tblPrEx>
        <w:tc>
          <w:tcPr>
            <w:tcW w:w="3641" w:type="dxa"/>
            <w:tcBorders>
              <w:top w:val="single" w:sz="4" w:space="0" w:color="auto"/>
              <w:left w:val="single" w:sz="4" w:space="0" w:color="auto"/>
              <w:bottom w:val="single" w:sz="4" w:space="0" w:color="auto"/>
              <w:right w:val="single" w:sz="4" w:space="0" w:color="auto"/>
            </w:tcBorders>
          </w:tcPr>
          <w:p w:rsidR="00157870" w:rsidRPr="00295E71" w:rsidP="00157870" w14:paraId="3111DBA9" w14:textId="77777777">
            <w:pPr>
              <w:pStyle w:val="TableText"/>
              <w:jc w:val="both"/>
              <w:rPr>
                <w:sz w:val="22"/>
                <w:szCs w:val="22"/>
                <w:lang w:val="it-IT"/>
              </w:rPr>
            </w:pPr>
            <w:r w:rsidRPr="00295E71">
              <w:rPr>
                <w:sz w:val="22"/>
                <w:szCs w:val="22"/>
                <w:lang w:val="it-IT"/>
              </w:rPr>
              <w:t>Risposta clinica (CR-100)</w:t>
            </w:r>
          </w:p>
        </w:tc>
        <w:tc>
          <w:tcPr>
            <w:tcW w:w="1751" w:type="dxa"/>
            <w:tcBorders>
              <w:top w:val="single" w:sz="4" w:space="0" w:color="auto"/>
              <w:left w:val="single" w:sz="4" w:space="0" w:color="auto"/>
              <w:bottom w:val="single" w:sz="4" w:space="0" w:color="auto"/>
              <w:right w:val="single" w:sz="4" w:space="0" w:color="auto"/>
            </w:tcBorders>
          </w:tcPr>
          <w:p w:rsidR="00157870" w:rsidRPr="00295E71" w:rsidP="0002593D" w14:paraId="1524A05D" w14:textId="77777777">
            <w:pPr>
              <w:pStyle w:val="TableText"/>
              <w:jc w:val="center"/>
              <w:rPr>
                <w:sz w:val="22"/>
                <w:szCs w:val="22"/>
                <w:lang w:val="it-IT"/>
              </w:rPr>
            </w:pPr>
            <w:r w:rsidRPr="00295E71">
              <w:rPr>
                <w:sz w:val="22"/>
                <w:szCs w:val="22"/>
                <w:lang w:val="it-IT"/>
              </w:rPr>
              <w:t>17%</w:t>
            </w:r>
          </w:p>
        </w:tc>
        <w:tc>
          <w:tcPr>
            <w:tcW w:w="1928" w:type="dxa"/>
            <w:tcBorders>
              <w:top w:val="single" w:sz="4" w:space="0" w:color="auto"/>
              <w:left w:val="single" w:sz="4" w:space="0" w:color="auto"/>
              <w:bottom w:val="single" w:sz="4" w:space="0" w:color="auto"/>
              <w:right w:val="single" w:sz="4" w:space="0" w:color="auto"/>
            </w:tcBorders>
          </w:tcPr>
          <w:p w:rsidR="00157870" w:rsidRPr="00295E71" w:rsidP="0002593D" w14:paraId="3928CB94" w14:textId="77777777">
            <w:pPr>
              <w:pStyle w:val="TableText"/>
              <w:jc w:val="center"/>
              <w:rPr>
                <w:sz w:val="22"/>
                <w:szCs w:val="22"/>
                <w:lang w:val="it-IT"/>
              </w:rPr>
            </w:pPr>
            <w:r w:rsidRPr="00295E71">
              <w:rPr>
                <w:sz w:val="22"/>
                <w:szCs w:val="22"/>
                <w:lang w:val="it-IT"/>
              </w:rPr>
              <w:t>41%*</w:t>
            </w:r>
          </w:p>
        </w:tc>
        <w:tc>
          <w:tcPr>
            <w:tcW w:w="1700" w:type="dxa"/>
            <w:tcBorders>
              <w:top w:val="single" w:sz="4" w:space="0" w:color="auto"/>
              <w:left w:val="single" w:sz="4" w:space="0" w:color="auto"/>
              <w:bottom w:val="single" w:sz="4" w:space="0" w:color="auto"/>
              <w:right w:val="single" w:sz="4" w:space="0" w:color="auto"/>
            </w:tcBorders>
          </w:tcPr>
          <w:p w:rsidR="00157870" w:rsidRPr="00295E71" w:rsidP="0002593D" w14:paraId="6D16C4A7" w14:textId="77777777">
            <w:pPr>
              <w:pStyle w:val="TableText"/>
              <w:jc w:val="center"/>
              <w:rPr>
                <w:sz w:val="22"/>
                <w:szCs w:val="22"/>
                <w:lang w:val="it-IT"/>
              </w:rPr>
            </w:pPr>
            <w:r w:rsidRPr="00295E71">
              <w:rPr>
                <w:sz w:val="22"/>
                <w:szCs w:val="22"/>
                <w:lang w:val="it-IT"/>
              </w:rPr>
              <w:t>48%*</w:t>
            </w:r>
          </w:p>
        </w:tc>
      </w:tr>
      <w:tr w14:paraId="06D5D95F" w14:textId="77777777" w:rsidTr="00F57FE5">
        <w:tblPrEx>
          <w:tblW w:w="0" w:type="auto"/>
          <w:tblInd w:w="108" w:type="dxa"/>
          <w:tblLook w:val="0000"/>
        </w:tblPrEx>
        <w:tc>
          <w:tcPr>
            <w:tcW w:w="3641" w:type="dxa"/>
            <w:tcBorders>
              <w:top w:val="single" w:sz="4" w:space="0" w:color="auto"/>
              <w:left w:val="single" w:sz="4" w:space="0" w:color="auto"/>
              <w:bottom w:val="single" w:sz="4" w:space="0" w:color="auto"/>
              <w:right w:val="single" w:sz="4" w:space="0" w:color="auto"/>
            </w:tcBorders>
          </w:tcPr>
          <w:p w:rsidR="00157870" w:rsidRPr="00295E71" w:rsidP="00157870" w14:paraId="4ED52A6A" w14:textId="77777777">
            <w:pPr>
              <w:pStyle w:val="TableText"/>
              <w:ind w:left="360"/>
              <w:jc w:val="both"/>
              <w:rPr>
                <w:sz w:val="22"/>
                <w:szCs w:val="22"/>
                <w:lang w:val="it-IT"/>
              </w:rPr>
            </w:pPr>
            <w:r w:rsidRPr="00295E71">
              <w:rPr>
                <w:sz w:val="22"/>
                <w:szCs w:val="22"/>
                <w:lang w:val="it-IT"/>
              </w:rPr>
              <w:t>Pazienti in remissione senza trattamento steroideo per &gt;=90 giorni</w:t>
            </w:r>
            <w:r w:rsidRPr="00295E71">
              <w:rPr>
                <w:sz w:val="22"/>
                <w:szCs w:val="22"/>
                <w:vertAlign w:val="superscript"/>
                <w:lang w:val="it-IT"/>
              </w:rPr>
              <w:t>a</w:t>
            </w:r>
          </w:p>
        </w:tc>
        <w:tc>
          <w:tcPr>
            <w:tcW w:w="1751" w:type="dxa"/>
            <w:tcBorders>
              <w:top w:val="single" w:sz="4" w:space="0" w:color="auto"/>
              <w:left w:val="single" w:sz="4" w:space="0" w:color="auto"/>
              <w:bottom w:val="single" w:sz="4" w:space="0" w:color="auto"/>
              <w:right w:val="single" w:sz="4" w:space="0" w:color="auto"/>
            </w:tcBorders>
          </w:tcPr>
          <w:p w:rsidR="00157870" w:rsidRPr="00295E71" w:rsidP="0002593D" w14:paraId="62C90F5B" w14:textId="77777777">
            <w:pPr>
              <w:pStyle w:val="TableText"/>
              <w:jc w:val="center"/>
              <w:rPr>
                <w:sz w:val="22"/>
                <w:szCs w:val="22"/>
                <w:lang w:val="it-IT"/>
              </w:rPr>
            </w:pPr>
            <w:r w:rsidRPr="00295E71">
              <w:rPr>
                <w:sz w:val="22"/>
                <w:szCs w:val="22"/>
                <w:lang w:val="it-IT"/>
              </w:rPr>
              <w:t>5% (3/66)</w:t>
            </w:r>
          </w:p>
        </w:tc>
        <w:tc>
          <w:tcPr>
            <w:tcW w:w="1928" w:type="dxa"/>
            <w:tcBorders>
              <w:top w:val="single" w:sz="4" w:space="0" w:color="auto"/>
              <w:left w:val="single" w:sz="4" w:space="0" w:color="auto"/>
              <w:bottom w:val="single" w:sz="4" w:space="0" w:color="auto"/>
              <w:right w:val="single" w:sz="4" w:space="0" w:color="auto"/>
            </w:tcBorders>
          </w:tcPr>
          <w:p w:rsidR="00157870" w:rsidRPr="00295E71" w:rsidP="0002593D" w14:paraId="565EF0A5" w14:textId="77777777">
            <w:pPr>
              <w:pStyle w:val="TableText"/>
              <w:jc w:val="center"/>
              <w:rPr>
                <w:sz w:val="22"/>
                <w:szCs w:val="22"/>
                <w:lang w:val="it-IT"/>
              </w:rPr>
            </w:pPr>
            <w:r w:rsidRPr="00295E71">
              <w:rPr>
                <w:sz w:val="22"/>
                <w:szCs w:val="22"/>
                <w:lang w:val="it-IT"/>
              </w:rPr>
              <w:t>29% (17/58)*</w:t>
            </w:r>
          </w:p>
        </w:tc>
        <w:tc>
          <w:tcPr>
            <w:tcW w:w="1700" w:type="dxa"/>
            <w:tcBorders>
              <w:top w:val="single" w:sz="4" w:space="0" w:color="auto"/>
              <w:left w:val="single" w:sz="4" w:space="0" w:color="auto"/>
              <w:bottom w:val="single" w:sz="4" w:space="0" w:color="auto"/>
              <w:right w:val="single" w:sz="4" w:space="0" w:color="auto"/>
            </w:tcBorders>
          </w:tcPr>
          <w:p w:rsidR="00157870" w:rsidRPr="00295E71" w:rsidP="0002593D" w14:paraId="1342DAF0" w14:textId="77777777">
            <w:pPr>
              <w:pStyle w:val="TableText"/>
              <w:jc w:val="center"/>
              <w:rPr>
                <w:sz w:val="22"/>
                <w:szCs w:val="22"/>
                <w:lang w:val="it-IT"/>
              </w:rPr>
            </w:pPr>
            <w:r w:rsidRPr="00295E71">
              <w:rPr>
                <w:sz w:val="22"/>
                <w:szCs w:val="22"/>
                <w:lang w:val="it-IT"/>
              </w:rPr>
              <w:t>20% (15/74)**</w:t>
            </w:r>
          </w:p>
        </w:tc>
      </w:tr>
      <w:tr w14:paraId="7750D73F" w14:textId="77777777" w:rsidTr="00F57FE5">
        <w:tblPrEx>
          <w:tblW w:w="0" w:type="auto"/>
          <w:tblInd w:w="108" w:type="dxa"/>
          <w:tblLook w:val="0000"/>
        </w:tblPrEx>
        <w:trPr>
          <w:cantSplit/>
        </w:trPr>
        <w:tc>
          <w:tcPr>
            <w:tcW w:w="9020" w:type="dxa"/>
            <w:gridSpan w:val="4"/>
            <w:tcBorders>
              <w:top w:val="single" w:sz="4" w:space="0" w:color="auto"/>
            </w:tcBorders>
          </w:tcPr>
          <w:p w:rsidR="00157870" w:rsidRPr="00295E71" w:rsidP="00157870" w14:paraId="5500BD1E" w14:textId="77777777">
            <w:pPr>
              <w:pStyle w:val="Default"/>
              <w:keepNext/>
              <w:spacing w:before="20"/>
              <w:ind w:left="-108" w:right="-20"/>
              <w:jc w:val="both"/>
              <w:rPr>
                <w:sz w:val="22"/>
                <w:szCs w:val="22"/>
              </w:rPr>
            </w:pPr>
            <w:r w:rsidRPr="00295E71">
              <w:rPr>
                <w:sz w:val="22"/>
                <w:szCs w:val="22"/>
              </w:rPr>
              <w:t xml:space="preserve">* p&lt;0,001 per confronti a coppie delle percentuali Humira verso placebo </w:t>
            </w:r>
          </w:p>
          <w:p w:rsidR="00157870" w:rsidRPr="00295E71" w:rsidP="00157870" w14:paraId="18641D2A" w14:textId="77777777">
            <w:pPr>
              <w:pStyle w:val="Default"/>
              <w:keepNext/>
              <w:spacing w:before="20"/>
              <w:ind w:right="-20"/>
              <w:jc w:val="both"/>
              <w:rPr>
                <w:sz w:val="22"/>
                <w:szCs w:val="22"/>
              </w:rPr>
            </w:pPr>
            <w:r w:rsidRPr="00295E71">
              <w:rPr>
                <w:sz w:val="22"/>
                <w:szCs w:val="22"/>
              </w:rPr>
              <w:t xml:space="preserve">** p&lt;0,02 per confronti a coppie delle percentuali Humira verso placebo </w:t>
            </w:r>
          </w:p>
          <w:p w:rsidR="00157870" w:rsidRPr="00295E71" w:rsidP="00157870" w14:paraId="53BF91FF" w14:textId="77777777">
            <w:pPr>
              <w:pStyle w:val="TableText"/>
              <w:jc w:val="both"/>
              <w:rPr>
                <w:sz w:val="22"/>
                <w:szCs w:val="22"/>
                <w:lang w:val="it-IT"/>
              </w:rPr>
            </w:pPr>
            <w:r w:rsidRPr="00295E71">
              <w:rPr>
                <w:sz w:val="22"/>
                <w:szCs w:val="22"/>
                <w:vertAlign w:val="superscript"/>
                <w:lang w:val="it-IT"/>
              </w:rPr>
              <w:t>a</w:t>
            </w:r>
            <w:r w:rsidRPr="00295E71">
              <w:rPr>
                <w:sz w:val="22"/>
                <w:szCs w:val="22"/>
                <w:lang w:val="it-IT"/>
              </w:rPr>
              <w:t>di coloro che sono stati trattati con corticosteroidi al basale</w:t>
            </w:r>
          </w:p>
        </w:tc>
      </w:tr>
    </w:tbl>
    <w:p w:rsidR="00157870" w:rsidRPr="00295E71" w:rsidP="00157870" w14:paraId="735E9680" w14:textId="77777777">
      <w:pPr>
        <w:pStyle w:val="EMEANormal"/>
        <w:jc w:val="both"/>
        <w:rPr>
          <w:lang w:val="it-IT"/>
        </w:rPr>
      </w:pPr>
    </w:p>
    <w:p w:rsidR="00157870" w:rsidRPr="00295E71" w:rsidP="00157870" w14:paraId="0EC0AE34" w14:textId="77777777">
      <w:pPr>
        <w:jc w:val="both"/>
        <w:rPr>
          <w:color w:val="000000"/>
          <w:sz w:val="22"/>
          <w:szCs w:val="22"/>
        </w:rPr>
      </w:pPr>
      <w:r w:rsidRPr="00295E71">
        <w:rPr>
          <w:color w:val="000000"/>
          <w:sz w:val="22"/>
          <w:szCs w:val="22"/>
        </w:rPr>
        <w:t>Tra i pazienti che non hanno evidenziato una risposta alla settimana 4, il 43% dei pazienti trattati con terapia di mantenimento a base di Humira ha manifestato una risposta entro la settimana 12 rispetto al 30% dei pazienti trattati con placebo. Tali risultati suggeriscono che alcuni pazienti che non hanno manifestato una risposta alla settimana 4 traggono giovamento dalla terapia di mantenimento continuata fino alla settimana 12. La terapia proseguita oltre le 12 settimane non ha portato ad un numero significativamente più elevato di risposte (vedere paragrafo 4.2).</w:t>
      </w:r>
    </w:p>
    <w:p w:rsidR="00157870" w:rsidRPr="00295E71" w:rsidP="00157870" w14:paraId="10E7C48E" w14:textId="77777777">
      <w:pPr>
        <w:jc w:val="both"/>
        <w:rPr>
          <w:color w:val="000000"/>
          <w:sz w:val="22"/>
          <w:szCs w:val="22"/>
        </w:rPr>
      </w:pPr>
    </w:p>
    <w:p w:rsidR="00157870" w:rsidRPr="00295E71" w:rsidP="00157870" w14:paraId="266C2FE3" w14:textId="77777777">
      <w:pPr>
        <w:pStyle w:val="EMEAHeadingUnderline"/>
        <w:spacing w:beforeLines="0" w:afterLines="0"/>
        <w:jc w:val="both"/>
        <w:rPr>
          <w:u w:val="none"/>
          <w:lang w:val="it-IT"/>
        </w:rPr>
      </w:pPr>
      <w:r w:rsidRPr="00295E71">
        <w:rPr>
          <w:u w:val="none"/>
          <w:lang w:val="it-IT"/>
        </w:rPr>
        <w:t>117/276 pazienti dallo studio CD I e 272/777 pazienti provenienti da</w:t>
      </w:r>
      <w:r w:rsidR="00DE3314">
        <w:rPr>
          <w:u w:val="none"/>
          <w:lang w:val="it-IT"/>
        </w:rPr>
        <w:t>gli</w:t>
      </w:r>
      <w:r w:rsidRPr="00295E71">
        <w:rPr>
          <w:u w:val="none"/>
          <w:lang w:val="it-IT"/>
        </w:rPr>
        <w:t xml:space="preserve"> studi CD II e III sono stati seguiti per almeno 3 anni di terapia con adalimumab in aperto. Rispettivamente 88 e 189 pazienti hanno continuato a mantenere la remissione clinica. La risposta clinica (CR-100) è stata mantenuta rispettivamente in 102 e 233 pazienti.</w:t>
      </w:r>
    </w:p>
    <w:p w:rsidR="00157870" w:rsidRPr="00295E71" w:rsidP="00157870" w14:paraId="1F75E910" w14:textId="77777777">
      <w:pPr>
        <w:rPr>
          <w:sz w:val="22"/>
          <w:szCs w:val="22"/>
          <w:lang w:eastAsia="en-US"/>
        </w:rPr>
      </w:pPr>
    </w:p>
    <w:p w:rsidR="00157870" w:rsidRPr="00295E71" w:rsidP="00157870" w14:paraId="097ADD3D" w14:textId="77777777">
      <w:pPr>
        <w:rPr>
          <w:i/>
          <w:sz w:val="22"/>
          <w:szCs w:val="22"/>
          <w:u w:val="single"/>
        </w:rPr>
      </w:pPr>
      <w:r w:rsidRPr="00295E71">
        <w:rPr>
          <w:i/>
          <w:sz w:val="22"/>
          <w:szCs w:val="22"/>
          <w:u w:val="single"/>
        </w:rPr>
        <w:t>Qualità di vita</w:t>
      </w:r>
    </w:p>
    <w:p w:rsidR="00157870" w:rsidRPr="00295E71" w:rsidP="00157870" w14:paraId="49861925" w14:textId="77777777">
      <w:pPr>
        <w:rPr>
          <w:sz w:val="22"/>
          <w:szCs w:val="22"/>
          <w:lang w:eastAsia="en-US"/>
        </w:rPr>
      </w:pPr>
    </w:p>
    <w:p w:rsidR="00157870" w:rsidRPr="0063590A" w:rsidP="00157870" w14:paraId="387F6BD2" w14:textId="77777777">
      <w:pPr>
        <w:pStyle w:val="EMEANormal"/>
        <w:jc w:val="both"/>
        <w:rPr>
          <w:lang w:val="it-IT"/>
        </w:rPr>
      </w:pPr>
      <w:r w:rsidRPr="00295E71">
        <w:rPr>
          <w:bCs/>
          <w:lang w:val="it-IT"/>
        </w:rPr>
        <w:t>Negli Studi CD I e CD II, alla settimana 4 era raggiunto un miglioramento statisticamente significativo nel punteggio totale del questionario IBDQ (inflammatory bowel disease questionnaire) nei pazienti randomizzati a Humira 80/40 mg e 160/80 mg rispetto al placebo</w:t>
      </w:r>
      <w:r w:rsidR="00DE3314">
        <w:rPr>
          <w:bCs/>
          <w:lang w:val="it-IT"/>
        </w:rPr>
        <w:t xml:space="preserve"> </w:t>
      </w:r>
      <w:r w:rsidRPr="00295E71">
        <w:rPr>
          <w:bCs/>
          <w:lang w:val="it-IT"/>
        </w:rPr>
        <w:t xml:space="preserve">ed era visto alla settimana 26 e 56 nello Studio </w:t>
      </w:r>
      <w:r w:rsidRPr="0063590A">
        <w:rPr>
          <w:bCs/>
          <w:lang w:val="it-IT"/>
        </w:rPr>
        <w:t xml:space="preserve">CD III come pure tra i gruppi di trattamento con </w:t>
      </w:r>
      <w:r w:rsidRPr="0063590A" w:rsidR="00DE3314">
        <w:rPr>
          <w:bCs/>
          <w:lang w:val="it-IT"/>
        </w:rPr>
        <w:t xml:space="preserve">adalimumab </w:t>
      </w:r>
      <w:r w:rsidRPr="0063590A">
        <w:rPr>
          <w:bCs/>
          <w:lang w:val="it-IT"/>
        </w:rPr>
        <w:t>rispetto al gruppo placebo.</w:t>
      </w:r>
    </w:p>
    <w:p w:rsidR="00157870" w:rsidRPr="0063590A" w:rsidP="00157870" w14:paraId="0B5826CB" w14:textId="77777777">
      <w:pPr>
        <w:pStyle w:val="EMEANormal"/>
        <w:keepNext/>
        <w:rPr>
          <w:bCs/>
          <w:lang w:val="it-IT"/>
        </w:rPr>
      </w:pPr>
    </w:p>
    <w:p w:rsidR="00157870" w:rsidRPr="00295E71" w:rsidP="00157870" w14:paraId="4FD4E282" w14:textId="77777777">
      <w:pPr>
        <w:pStyle w:val="EMEANormal"/>
        <w:keepNext/>
        <w:keepLines/>
        <w:rPr>
          <w:bCs/>
          <w:i/>
          <w:lang w:val="it-IT"/>
        </w:rPr>
      </w:pPr>
      <w:r w:rsidRPr="0063590A">
        <w:rPr>
          <w:bCs/>
          <w:i/>
          <w:lang w:val="it-IT"/>
        </w:rPr>
        <w:t>Uveite dell’adulto</w:t>
      </w:r>
    </w:p>
    <w:p w:rsidR="00157870" w:rsidRPr="00295E71" w:rsidP="00157870" w14:paraId="350267E0" w14:textId="77777777">
      <w:pPr>
        <w:pStyle w:val="EMEANormal"/>
        <w:keepNext/>
        <w:keepLines/>
        <w:rPr>
          <w:bCs/>
          <w:lang w:val="it-IT"/>
        </w:rPr>
      </w:pPr>
    </w:p>
    <w:p w:rsidR="00157870" w:rsidRPr="00295E71" w:rsidP="00157870" w14:paraId="3857BD44" w14:textId="77777777">
      <w:pPr>
        <w:keepNext/>
        <w:keepLines/>
        <w:tabs>
          <w:tab w:val="left" w:pos="567"/>
          <w:tab w:val="left" w:pos="1294"/>
        </w:tabs>
        <w:autoSpaceDE w:val="0"/>
        <w:autoSpaceDN w:val="0"/>
        <w:adjustRightInd w:val="0"/>
        <w:jc w:val="both"/>
        <w:rPr>
          <w:color w:val="000000"/>
          <w:sz w:val="22"/>
          <w:szCs w:val="22"/>
        </w:rPr>
      </w:pPr>
      <w:r w:rsidRPr="00295E71">
        <w:rPr>
          <w:color w:val="000000"/>
          <w:sz w:val="22"/>
          <w:szCs w:val="22"/>
        </w:rPr>
        <w:t>La sicurezza e l'efficacia di Humira sono state valutate in pazienti adulti con uveite non-infettiva intermedia, posteriore e panuveite, escludendo i pazienti con uveite anteriore isolata, in due studi randomizzati, in doppio cieco, controllati con placebo (UV I e II). I pazienti hanno ricevuto placebo o Humira a una dose iniziale di 80 mg seguita da 40 mg a settimane alterne a partire da una settimana dopo la dose iniziale. Erano consentite dosi stabili concomitanti di un immunosoppressore non biologico.</w:t>
      </w:r>
    </w:p>
    <w:p w:rsidR="00157870" w:rsidRPr="00295E71" w:rsidP="00157870" w14:paraId="190498B8" w14:textId="77777777">
      <w:pPr>
        <w:tabs>
          <w:tab w:val="left" w:pos="567"/>
          <w:tab w:val="left" w:pos="1294"/>
        </w:tabs>
        <w:autoSpaceDE w:val="0"/>
        <w:autoSpaceDN w:val="0"/>
        <w:adjustRightInd w:val="0"/>
        <w:jc w:val="both"/>
        <w:rPr>
          <w:color w:val="000000"/>
          <w:sz w:val="22"/>
          <w:szCs w:val="22"/>
        </w:rPr>
      </w:pPr>
    </w:p>
    <w:p w:rsidR="00157870" w:rsidRPr="00295E71" w:rsidP="00157870" w14:paraId="60639B77"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Lo Studio UV I ha valutato 217 pazienti con uveite attiva nonostante il trattamento con corticosteroidi (prednisone orale a una dose di 10-60 mg/die). Tutti i pazienti hanno ricevuto all’ingresso nello studio una dose standardizzata di prednisone pari a 60 mg/die per 2 settimane seguita da un programma obbligatorio di riduzione del dosaggio, fino alla sospensione totale del corticosteroide entro la settimana 15.</w:t>
      </w:r>
    </w:p>
    <w:p w:rsidR="00157870" w:rsidRPr="00295E71" w:rsidP="00157870" w14:paraId="68500F27" w14:textId="77777777">
      <w:pPr>
        <w:tabs>
          <w:tab w:val="left" w:pos="567"/>
          <w:tab w:val="left" w:pos="1294"/>
        </w:tabs>
        <w:autoSpaceDE w:val="0"/>
        <w:autoSpaceDN w:val="0"/>
        <w:adjustRightInd w:val="0"/>
        <w:jc w:val="both"/>
        <w:rPr>
          <w:color w:val="000000"/>
          <w:sz w:val="22"/>
          <w:szCs w:val="22"/>
        </w:rPr>
      </w:pPr>
    </w:p>
    <w:p w:rsidR="00157870" w:rsidRPr="00295E71" w:rsidP="00157870" w14:paraId="62622CB9"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Lo Studio UV II ha valutato 226 pazienti con uveite inattiva che al basale necessitavano di trattamento cronico con corticosteroide (prednisone orale da 10 a 35 mg/die) per controllare la loro malattia. I pazienti sono stati sottoposti successivamente a un programma obbligatorio di riduzione del dosaggio, fino alla sospensione totale del corticosteroide entro la settimana 19.</w:t>
      </w:r>
    </w:p>
    <w:p w:rsidR="00157870" w:rsidRPr="00295E71" w:rsidP="00157870" w14:paraId="6B5AA213" w14:textId="77777777">
      <w:pPr>
        <w:tabs>
          <w:tab w:val="left" w:pos="567"/>
          <w:tab w:val="left" w:pos="1294"/>
        </w:tabs>
        <w:autoSpaceDE w:val="0"/>
        <w:autoSpaceDN w:val="0"/>
        <w:adjustRightInd w:val="0"/>
        <w:jc w:val="both"/>
        <w:rPr>
          <w:color w:val="000000"/>
          <w:sz w:val="22"/>
          <w:szCs w:val="22"/>
        </w:rPr>
      </w:pPr>
    </w:p>
    <w:p w:rsidR="00157870" w:rsidP="00157870" w14:paraId="0F08B030"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L'endpoint primario di efficacia in entrambi gli studi era il “tempo al fallimento del trattamento”. Il fallimento del trattamento è stato definito attraverso un parametro a più componenti basato su lesioni vascolari infiammatorie corioretiniche e/o retiniche, numero di cellule in camera anteriore (anterior chamber, AC), grado di opacità del vitreo (vitreous haze, VH) e migliore acuità visiva corretta (best corrected visual acuity, BCVA).</w:t>
      </w:r>
    </w:p>
    <w:p w:rsidR="000F5F29" w:rsidP="00157870" w14:paraId="5B5BC986" w14:textId="77777777">
      <w:pPr>
        <w:tabs>
          <w:tab w:val="left" w:pos="567"/>
          <w:tab w:val="left" w:pos="1294"/>
        </w:tabs>
        <w:autoSpaceDE w:val="0"/>
        <w:autoSpaceDN w:val="0"/>
        <w:adjustRightInd w:val="0"/>
        <w:jc w:val="both"/>
        <w:rPr>
          <w:color w:val="000000"/>
          <w:sz w:val="22"/>
          <w:szCs w:val="22"/>
        </w:rPr>
      </w:pPr>
    </w:p>
    <w:p w:rsidR="000F5F29" w:rsidRPr="00004788" w:rsidP="00004788" w14:paraId="6B4EFA56" w14:textId="77777777">
      <w:pPr>
        <w:pStyle w:val="EMEANormal"/>
        <w:jc w:val="both"/>
        <w:rPr>
          <w:color w:val="000000"/>
          <w:lang w:val="it-IT" w:eastAsia="it-IT"/>
        </w:rPr>
      </w:pPr>
      <w:r w:rsidRPr="00004788">
        <w:rPr>
          <w:color w:val="000000"/>
          <w:lang w:val="it-IT" w:eastAsia="it-IT"/>
        </w:rPr>
        <w:t xml:space="preserve">I pazienti che hanno completato gli Studi UV I e UV II erano eleggibili per </w:t>
      </w:r>
      <w:r w:rsidR="009371BC">
        <w:rPr>
          <w:color w:val="000000"/>
          <w:lang w:val="it-IT" w:eastAsia="it-IT"/>
        </w:rPr>
        <w:t xml:space="preserve">essere arruolati in uno </w:t>
      </w:r>
      <w:r w:rsidRPr="00004788">
        <w:rPr>
          <w:color w:val="000000"/>
          <w:lang w:val="it-IT" w:eastAsia="it-IT"/>
        </w:rPr>
        <w:t xml:space="preserve">studio di estensione a lungo termine </w:t>
      </w:r>
      <w:r w:rsidR="009371BC">
        <w:rPr>
          <w:color w:val="000000"/>
          <w:lang w:val="it-IT" w:eastAsia="it-IT"/>
        </w:rPr>
        <w:t xml:space="preserve">non </w:t>
      </w:r>
      <w:r w:rsidRPr="00004788">
        <w:rPr>
          <w:color w:val="000000"/>
          <w:lang w:val="it-IT" w:eastAsia="it-IT"/>
        </w:rPr>
        <w:t>controllato</w:t>
      </w:r>
      <w:r w:rsidR="009371BC">
        <w:rPr>
          <w:color w:val="000000"/>
          <w:lang w:val="it-IT" w:eastAsia="it-IT"/>
        </w:rPr>
        <w:t xml:space="preserve"> della </w:t>
      </w:r>
      <w:r w:rsidRPr="00004788">
        <w:rPr>
          <w:color w:val="000000"/>
          <w:lang w:val="it-IT" w:eastAsia="it-IT"/>
        </w:rPr>
        <w:t xml:space="preserve">durata originariamente programmata di 78 settimane. I pazienti sono stati autorizzati a continuare </w:t>
      </w:r>
      <w:r w:rsidR="00C63DF9">
        <w:rPr>
          <w:color w:val="000000"/>
          <w:lang w:val="it-IT" w:eastAsia="it-IT"/>
        </w:rPr>
        <w:t xml:space="preserve">il medicinale in studio </w:t>
      </w:r>
      <w:r w:rsidRPr="00004788">
        <w:rPr>
          <w:color w:val="000000"/>
          <w:lang w:val="it-IT" w:eastAsia="it-IT"/>
        </w:rPr>
        <w:t xml:space="preserve">oltre la </w:t>
      </w:r>
      <w:r w:rsidR="00C63DF9">
        <w:rPr>
          <w:color w:val="000000"/>
          <w:lang w:val="it-IT" w:eastAsia="it-IT"/>
        </w:rPr>
        <w:t>S</w:t>
      </w:r>
      <w:r w:rsidRPr="00004788">
        <w:rPr>
          <w:color w:val="000000"/>
          <w:lang w:val="it-IT" w:eastAsia="it-IT"/>
        </w:rPr>
        <w:t xml:space="preserve">ettimana 78 fino a quando </w:t>
      </w:r>
      <w:r w:rsidR="00674253">
        <w:rPr>
          <w:color w:val="000000"/>
          <w:lang w:val="it-IT" w:eastAsia="it-IT"/>
        </w:rPr>
        <w:t>hanno avuto</w:t>
      </w:r>
      <w:r w:rsidR="00004788">
        <w:rPr>
          <w:color w:val="000000"/>
          <w:lang w:val="it-IT" w:eastAsia="it-IT"/>
        </w:rPr>
        <w:t xml:space="preserve"> </w:t>
      </w:r>
      <w:r w:rsidRPr="00004788">
        <w:rPr>
          <w:color w:val="000000"/>
          <w:lang w:val="it-IT" w:eastAsia="it-IT"/>
        </w:rPr>
        <w:t>accesso a</w:t>
      </w:r>
      <w:r w:rsidR="00004788">
        <w:rPr>
          <w:color w:val="000000"/>
          <w:lang w:val="it-IT" w:eastAsia="it-IT"/>
        </w:rPr>
        <w:t>d</w:t>
      </w:r>
      <w:r w:rsidRPr="00004788">
        <w:rPr>
          <w:color w:val="000000"/>
          <w:lang w:val="it-IT" w:eastAsia="it-IT"/>
        </w:rPr>
        <w:t xml:space="preserve"> Humira.</w:t>
      </w:r>
    </w:p>
    <w:p w:rsidR="00157870" w:rsidRPr="009371BC" w:rsidP="00157870" w14:paraId="4FE69B38" w14:textId="77777777">
      <w:pPr>
        <w:tabs>
          <w:tab w:val="left" w:pos="567"/>
          <w:tab w:val="left" w:pos="1294"/>
        </w:tabs>
        <w:autoSpaceDE w:val="0"/>
        <w:autoSpaceDN w:val="0"/>
        <w:adjustRightInd w:val="0"/>
        <w:jc w:val="both"/>
        <w:rPr>
          <w:color w:val="000000"/>
          <w:sz w:val="22"/>
          <w:szCs w:val="22"/>
        </w:rPr>
      </w:pPr>
    </w:p>
    <w:p w:rsidR="00157870" w:rsidRPr="00295E71" w:rsidP="00157870" w14:paraId="5CDD956C" w14:textId="77777777">
      <w:pPr>
        <w:tabs>
          <w:tab w:val="left" w:pos="567"/>
          <w:tab w:val="left" w:pos="1294"/>
        </w:tabs>
        <w:autoSpaceDE w:val="0"/>
        <w:autoSpaceDN w:val="0"/>
        <w:adjustRightInd w:val="0"/>
        <w:jc w:val="both"/>
        <w:rPr>
          <w:i/>
          <w:color w:val="000000"/>
          <w:sz w:val="22"/>
          <w:szCs w:val="22"/>
          <w:u w:val="single"/>
        </w:rPr>
      </w:pPr>
      <w:r w:rsidRPr="00295E71">
        <w:rPr>
          <w:i/>
          <w:color w:val="000000"/>
          <w:sz w:val="22"/>
          <w:szCs w:val="22"/>
          <w:u w:val="single"/>
        </w:rPr>
        <w:t>Risposta clinica</w:t>
      </w:r>
    </w:p>
    <w:p w:rsidR="00157870" w:rsidRPr="00295E71" w:rsidP="00157870" w14:paraId="3BBA4785" w14:textId="77777777">
      <w:pPr>
        <w:tabs>
          <w:tab w:val="left" w:pos="567"/>
          <w:tab w:val="left" w:pos="1294"/>
        </w:tabs>
        <w:autoSpaceDE w:val="0"/>
        <w:autoSpaceDN w:val="0"/>
        <w:adjustRightInd w:val="0"/>
        <w:jc w:val="both"/>
        <w:rPr>
          <w:color w:val="000000"/>
          <w:sz w:val="22"/>
          <w:szCs w:val="22"/>
        </w:rPr>
      </w:pPr>
    </w:p>
    <w:p w:rsidR="00157870" w:rsidRPr="00295E71" w:rsidP="00157870" w14:paraId="745699BF"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 risultati di entrambi gli studi hanno dimostrato la riduzione statisticamente significativa del rischio di fallimento del trattamento nei pazienti trattati con Humira rispetto ai pazienti trattati con placebo (vedere Tabella </w:t>
      </w:r>
      <w:r w:rsidR="0041314F">
        <w:rPr>
          <w:color w:val="000000"/>
          <w:sz w:val="22"/>
          <w:szCs w:val="22"/>
        </w:rPr>
        <w:t>16</w:t>
      </w:r>
      <w:r w:rsidRPr="00295E71">
        <w:rPr>
          <w:color w:val="000000"/>
          <w:sz w:val="22"/>
          <w:szCs w:val="22"/>
        </w:rPr>
        <w:t>). Entrambi gli studi hanno dimostrato un effetto precoce e prolungato di Humira sul tasso di fallimento del trattamento rispetto al placebo (vedere Figura </w:t>
      </w:r>
      <w:r w:rsidR="0041314F">
        <w:rPr>
          <w:color w:val="000000"/>
          <w:sz w:val="22"/>
          <w:szCs w:val="22"/>
        </w:rPr>
        <w:t>1</w:t>
      </w:r>
      <w:r w:rsidRPr="00295E71">
        <w:rPr>
          <w:color w:val="000000"/>
          <w:sz w:val="22"/>
          <w:szCs w:val="22"/>
        </w:rPr>
        <w:t>).</w:t>
      </w:r>
    </w:p>
    <w:p w:rsidR="00157870" w:rsidRPr="00295E71" w:rsidP="00157870" w14:paraId="39552BD3" w14:textId="77777777">
      <w:pPr>
        <w:pStyle w:val="EMEANormal"/>
        <w:rPr>
          <w:lang w:val="it-IT"/>
        </w:rPr>
      </w:pPr>
    </w:p>
    <w:p w:rsidR="00157870" w:rsidRPr="00295E71" w:rsidP="00174188" w14:paraId="137F05D0" w14:textId="77777777">
      <w:pPr>
        <w:pStyle w:val="EMEANormal"/>
        <w:keepNext/>
        <w:jc w:val="center"/>
        <w:rPr>
          <w:b/>
          <w:lang w:val="it-IT"/>
        </w:rPr>
      </w:pPr>
      <w:r w:rsidRPr="00295E71">
        <w:rPr>
          <w:b/>
          <w:lang w:val="it-IT"/>
        </w:rPr>
        <w:t>Tabella </w:t>
      </w:r>
      <w:r w:rsidR="0041314F">
        <w:rPr>
          <w:b/>
          <w:lang w:val="it-IT"/>
        </w:rPr>
        <w:t>16</w:t>
      </w:r>
    </w:p>
    <w:p w:rsidR="00157870" w:rsidRPr="00295E71" w:rsidP="00174188" w14:paraId="0B0EACF8" w14:textId="77777777">
      <w:pPr>
        <w:pStyle w:val="EMEANormal"/>
        <w:keepNext/>
        <w:jc w:val="center"/>
        <w:rPr>
          <w:b/>
          <w:lang w:val="it-IT"/>
        </w:rPr>
      </w:pPr>
      <w:r w:rsidRPr="00295E71">
        <w:rPr>
          <w:b/>
          <w:lang w:val="it-IT"/>
        </w:rPr>
        <w:t>Tempo al fallimento del trattamento negli studi UV I e UV II</w:t>
      </w:r>
    </w:p>
    <w:p w:rsidR="00157870" w:rsidRPr="00295E71" w:rsidP="00174188" w14:paraId="4D0E669B" w14:textId="77777777">
      <w:pPr>
        <w:pStyle w:val="EMEANormal"/>
        <w:keepNext/>
        <w:jc w:val="center"/>
        <w:rPr>
          <w:b/>
          <w:lang w:val="it-IT"/>
        </w:rPr>
      </w:pPr>
    </w:p>
    <w:tbl>
      <w:tblPr>
        <w:tblW w:w="0" w:type="auto"/>
        <w:tblBorders>
          <w:top w:val="single" w:sz="4" w:space="0" w:color="auto"/>
          <w:bottom w:val="single" w:sz="4" w:space="0" w:color="auto"/>
        </w:tblBorders>
        <w:tblLook w:val="04A0"/>
      </w:tblPr>
      <w:tblGrid>
        <w:gridCol w:w="2266"/>
        <w:gridCol w:w="719"/>
        <w:gridCol w:w="1231"/>
        <w:gridCol w:w="1887"/>
        <w:gridCol w:w="720"/>
        <w:gridCol w:w="1107"/>
        <w:gridCol w:w="1140"/>
      </w:tblGrid>
      <w:tr w14:paraId="4566E342" w14:textId="77777777" w:rsidTr="00157870">
        <w:tblPrEx>
          <w:tblW w:w="0" w:type="auto"/>
          <w:tblLook w:val="04A0"/>
        </w:tblPrEx>
        <w:tc>
          <w:tcPr>
            <w:tcW w:w="2268" w:type="dxa"/>
            <w:tcBorders>
              <w:top w:val="single" w:sz="4" w:space="0" w:color="auto"/>
              <w:bottom w:val="single" w:sz="4" w:space="0" w:color="auto"/>
            </w:tcBorders>
          </w:tcPr>
          <w:p w:rsidR="00157870" w:rsidRPr="00295E71" w:rsidP="00174188" w14:paraId="3C833135" w14:textId="77777777">
            <w:pPr>
              <w:keepNext/>
              <w:tabs>
                <w:tab w:val="left" w:pos="562"/>
              </w:tabs>
              <w:suppressAutoHyphens/>
              <w:rPr>
                <w:b/>
                <w:sz w:val="22"/>
                <w:szCs w:val="22"/>
              </w:rPr>
            </w:pPr>
            <w:r w:rsidRPr="00295E71">
              <w:rPr>
                <w:b/>
                <w:sz w:val="22"/>
                <w:szCs w:val="22"/>
              </w:rPr>
              <w:t>Analisi</w:t>
            </w:r>
          </w:p>
          <w:p w:rsidR="00157870" w:rsidRPr="00295E71" w:rsidP="00174188" w14:paraId="1003A37C" w14:textId="77777777">
            <w:pPr>
              <w:keepNext/>
              <w:tabs>
                <w:tab w:val="left" w:pos="562"/>
              </w:tabs>
              <w:suppressAutoHyphens/>
              <w:rPr>
                <w:b/>
                <w:sz w:val="22"/>
                <w:szCs w:val="22"/>
              </w:rPr>
            </w:pPr>
            <w:r w:rsidRPr="00295E71">
              <w:rPr>
                <w:b/>
                <w:sz w:val="22"/>
                <w:szCs w:val="22"/>
              </w:rPr>
              <w:tab/>
              <w:t>Trattamento</w:t>
            </w:r>
          </w:p>
        </w:tc>
        <w:tc>
          <w:tcPr>
            <w:tcW w:w="720" w:type="dxa"/>
            <w:tcBorders>
              <w:top w:val="single" w:sz="4" w:space="0" w:color="auto"/>
              <w:bottom w:val="single" w:sz="4" w:space="0" w:color="auto"/>
            </w:tcBorders>
          </w:tcPr>
          <w:p w:rsidR="00157870" w:rsidRPr="00295E71" w:rsidP="00174188" w14:paraId="76A38EBB" w14:textId="77777777">
            <w:pPr>
              <w:keepNext/>
              <w:tabs>
                <w:tab w:val="left" w:pos="562"/>
              </w:tabs>
              <w:suppressAutoHyphens/>
              <w:rPr>
                <w:b/>
                <w:sz w:val="22"/>
                <w:szCs w:val="22"/>
              </w:rPr>
            </w:pPr>
            <w:r w:rsidRPr="00295E71">
              <w:rPr>
                <w:b/>
                <w:sz w:val="22"/>
                <w:szCs w:val="22"/>
              </w:rPr>
              <w:t>N</w:t>
            </w:r>
          </w:p>
        </w:tc>
        <w:tc>
          <w:tcPr>
            <w:tcW w:w="1231" w:type="dxa"/>
            <w:tcBorders>
              <w:top w:val="single" w:sz="4" w:space="0" w:color="auto"/>
              <w:bottom w:val="single" w:sz="4" w:space="0" w:color="auto"/>
            </w:tcBorders>
          </w:tcPr>
          <w:p w:rsidR="00157870" w:rsidRPr="00295E71" w:rsidP="00174188" w14:paraId="7BA78F18" w14:textId="77777777">
            <w:pPr>
              <w:keepNext/>
              <w:tabs>
                <w:tab w:val="left" w:pos="562"/>
              </w:tabs>
              <w:suppressAutoHyphens/>
              <w:rPr>
                <w:b/>
                <w:sz w:val="22"/>
                <w:szCs w:val="22"/>
              </w:rPr>
            </w:pPr>
            <w:r w:rsidRPr="00295E71">
              <w:rPr>
                <w:b/>
                <w:sz w:val="22"/>
                <w:szCs w:val="22"/>
              </w:rPr>
              <w:t>Fallimento</w:t>
            </w:r>
            <w:r w:rsidRPr="00295E71">
              <w:rPr>
                <w:b/>
                <w:sz w:val="22"/>
                <w:szCs w:val="22"/>
              </w:rPr>
              <w:br/>
              <w:t>N (%)</w:t>
            </w:r>
          </w:p>
        </w:tc>
        <w:tc>
          <w:tcPr>
            <w:tcW w:w="1890" w:type="dxa"/>
            <w:tcBorders>
              <w:top w:val="single" w:sz="4" w:space="0" w:color="auto"/>
              <w:bottom w:val="single" w:sz="4" w:space="0" w:color="auto"/>
            </w:tcBorders>
          </w:tcPr>
          <w:p w:rsidR="00157870" w:rsidRPr="00295E71" w:rsidP="00174188" w14:paraId="662992F6" w14:textId="77777777">
            <w:pPr>
              <w:keepNext/>
              <w:tabs>
                <w:tab w:val="left" w:pos="562"/>
              </w:tabs>
              <w:suppressAutoHyphens/>
              <w:rPr>
                <w:b/>
                <w:sz w:val="22"/>
                <w:szCs w:val="22"/>
                <w:lang w:eastAsia="en-US"/>
              </w:rPr>
            </w:pPr>
            <w:r w:rsidRPr="00295E71">
              <w:rPr>
                <w:b/>
                <w:sz w:val="22"/>
                <w:szCs w:val="22"/>
                <w:lang w:eastAsia="en-US"/>
              </w:rPr>
              <w:t>Mediana del tempo al fallimento (mesi)</w:t>
            </w:r>
          </w:p>
        </w:tc>
        <w:tc>
          <w:tcPr>
            <w:tcW w:w="720" w:type="dxa"/>
            <w:tcBorders>
              <w:top w:val="single" w:sz="4" w:space="0" w:color="auto"/>
              <w:bottom w:val="single" w:sz="4" w:space="0" w:color="auto"/>
            </w:tcBorders>
          </w:tcPr>
          <w:p w:rsidR="00157870" w:rsidRPr="00295E71" w:rsidP="00174188" w14:paraId="63F7E253" w14:textId="77777777">
            <w:pPr>
              <w:keepNext/>
              <w:tabs>
                <w:tab w:val="left" w:pos="562"/>
              </w:tabs>
              <w:suppressAutoHyphens/>
              <w:rPr>
                <w:b/>
                <w:sz w:val="22"/>
                <w:szCs w:val="22"/>
              </w:rPr>
            </w:pPr>
            <w:r w:rsidRPr="00295E71">
              <w:rPr>
                <w:b/>
                <w:sz w:val="22"/>
                <w:szCs w:val="22"/>
              </w:rPr>
              <w:t>HR</w:t>
            </w:r>
            <w:r w:rsidRPr="00295E71">
              <w:rPr>
                <w:b/>
                <w:sz w:val="22"/>
                <w:szCs w:val="22"/>
                <w:vertAlign w:val="superscript"/>
              </w:rPr>
              <w:t>a</w:t>
            </w:r>
          </w:p>
        </w:tc>
        <w:tc>
          <w:tcPr>
            <w:tcW w:w="1109" w:type="dxa"/>
            <w:tcBorders>
              <w:top w:val="single" w:sz="4" w:space="0" w:color="auto"/>
              <w:bottom w:val="single" w:sz="4" w:space="0" w:color="auto"/>
            </w:tcBorders>
          </w:tcPr>
          <w:p w:rsidR="00157870" w:rsidRPr="00295E71" w:rsidP="00174188" w14:paraId="37B266C4" w14:textId="77777777">
            <w:pPr>
              <w:keepNext/>
              <w:tabs>
                <w:tab w:val="left" w:pos="562"/>
              </w:tabs>
              <w:suppressAutoHyphens/>
              <w:rPr>
                <w:b/>
                <w:sz w:val="22"/>
                <w:szCs w:val="22"/>
              </w:rPr>
            </w:pPr>
            <w:r w:rsidRPr="00295E71">
              <w:rPr>
                <w:b/>
                <w:sz w:val="22"/>
                <w:szCs w:val="22"/>
              </w:rPr>
              <w:t>IC al 95% per l’HR</w:t>
            </w:r>
            <w:r w:rsidRPr="00295E71">
              <w:rPr>
                <w:b/>
                <w:sz w:val="22"/>
                <w:szCs w:val="22"/>
                <w:vertAlign w:val="superscript"/>
              </w:rPr>
              <w:t>a</w:t>
            </w:r>
          </w:p>
        </w:tc>
        <w:tc>
          <w:tcPr>
            <w:tcW w:w="1141" w:type="dxa"/>
            <w:tcBorders>
              <w:top w:val="single" w:sz="4" w:space="0" w:color="auto"/>
              <w:bottom w:val="single" w:sz="4" w:space="0" w:color="auto"/>
            </w:tcBorders>
          </w:tcPr>
          <w:p w:rsidR="00157870" w:rsidRPr="00295E71" w:rsidP="00174188" w14:paraId="521D3429" w14:textId="77777777">
            <w:pPr>
              <w:keepNext/>
              <w:tabs>
                <w:tab w:val="left" w:pos="562"/>
              </w:tabs>
              <w:suppressAutoHyphens/>
              <w:rPr>
                <w:b/>
                <w:sz w:val="22"/>
                <w:szCs w:val="22"/>
              </w:rPr>
            </w:pPr>
            <w:r w:rsidRPr="00295E71">
              <w:rPr>
                <w:b/>
                <w:sz w:val="22"/>
                <w:szCs w:val="22"/>
              </w:rPr>
              <w:t xml:space="preserve">Valore </w:t>
            </w:r>
            <w:r w:rsidRPr="00295E71">
              <w:rPr>
                <w:b/>
                <w:i/>
                <w:sz w:val="22"/>
                <w:szCs w:val="22"/>
              </w:rPr>
              <w:t>P</w:t>
            </w:r>
            <w:r w:rsidRPr="00295E71">
              <w:rPr>
                <w:sz w:val="22"/>
                <w:szCs w:val="22"/>
                <w:vertAlign w:val="superscript"/>
              </w:rPr>
              <w:t>b</w:t>
            </w:r>
          </w:p>
        </w:tc>
      </w:tr>
      <w:tr w14:paraId="233243B8" w14:textId="77777777" w:rsidTr="00157870">
        <w:tblPrEx>
          <w:tblW w:w="0" w:type="auto"/>
          <w:tblLook w:val="04A0"/>
        </w:tblPrEx>
        <w:tc>
          <w:tcPr>
            <w:tcW w:w="9079" w:type="dxa"/>
            <w:gridSpan w:val="7"/>
            <w:tcBorders>
              <w:top w:val="single" w:sz="4" w:space="0" w:color="auto"/>
              <w:bottom w:val="nil"/>
            </w:tcBorders>
          </w:tcPr>
          <w:p w:rsidR="00157870" w:rsidRPr="00295E71" w:rsidP="00157870" w14:paraId="17293711" w14:textId="77777777">
            <w:pPr>
              <w:keepNext/>
              <w:tabs>
                <w:tab w:val="left" w:pos="562"/>
              </w:tabs>
              <w:suppressAutoHyphens/>
              <w:rPr>
                <w:b/>
                <w:sz w:val="22"/>
                <w:szCs w:val="22"/>
                <w:lang w:eastAsia="en-US"/>
              </w:rPr>
            </w:pPr>
            <w:r w:rsidRPr="00295E71">
              <w:rPr>
                <w:b/>
                <w:sz w:val="22"/>
                <w:szCs w:val="22"/>
                <w:lang w:eastAsia="en-US"/>
              </w:rPr>
              <w:t>Tempo al fallimento del trattamento alla o dopo la settimana 6 nello Studio UV I</w:t>
            </w:r>
          </w:p>
        </w:tc>
      </w:tr>
      <w:tr w14:paraId="4A1141CD" w14:textId="77777777" w:rsidTr="00157870">
        <w:tblPrEx>
          <w:tblW w:w="0" w:type="auto"/>
          <w:tblLook w:val="04A0"/>
        </w:tblPrEx>
        <w:tc>
          <w:tcPr>
            <w:tcW w:w="2988" w:type="dxa"/>
            <w:gridSpan w:val="2"/>
            <w:tcBorders>
              <w:top w:val="nil"/>
              <w:bottom w:val="nil"/>
            </w:tcBorders>
          </w:tcPr>
          <w:p w:rsidR="00157870" w:rsidRPr="00295E71" w:rsidP="00157870" w14:paraId="5A5CBAB1" w14:textId="77777777">
            <w:pPr>
              <w:keepNext/>
              <w:tabs>
                <w:tab w:val="left" w:pos="562"/>
              </w:tabs>
              <w:suppressAutoHyphens/>
              <w:rPr>
                <w:sz w:val="22"/>
                <w:szCs w:val="22"/>
              </w:rPr>
            </w:pPr>
            <w:r w:rsidRPr="00295E71">
              <w:rPr>
                <w:sz w:val="22"/>
                <w:szCs w:val="22"/>
              </w:rPr>
              <w:t>Analisi primaria (ITT)</w:t>
            </w:r>
          </w:p>
        </w:tc>
        <w:tc>
          <w:tcPr>
            <w:tcW w:w="1231" w:type="dxa"/>
            <w:tcBorders>
              <w:top w:val="nil"/>
              <w:bottom w:val="nil"/>
            </w:tcBorders>
          </w:tcPr>
          <w:p w:rsidR="00157870" w:rsidRPr="00295E71" w:rsidP="00157870" w14:paraId="3272F1C4" w14:textId="77777777">
            <w:pPr>
              <w:keepNext/>
              <w:tabs>
                <w:tab w:val="left" w:pos="562"/>
              </w:tabs>
              <w:suppressAutoHyphens/>
              <w:rPr>
                <w:sz w:val="22"/>
                <w:szCs w:val="22"/>
              </w:rPr>
            </w:pPr>
          </w:p>
        </w:tc>
        <w:tc>
          <w:tcPr>
            <w:tcW w:w="1890" w:type="dxa"/>
            <w:tcBorders>
              <w:top w:val="nil"/>
              <w:bottom w:val="nil"/>
            </w:tcBorders>
          </w:tcPr>
          <w:p w:rsidR="00157870" w:rsidRPr="00295E71" w:rsidP="00157870" w14:paraId="7EB1C165" w14:textId="77777777">
            <w:pPr>
              <w:keepNext/>
              <w:tabs>
                <w:tab w:val="left" w:pos="562"/>
              </w:tabs>
              <w:suppressAutoHyphens/>
              <w:rPr>
                <w:sz w:val="22"/>
                <w:szCs w:val="22"/>
              </w:rPr>
            </w:pPr>
          </w:p>
        </w:tc>
        <w:tc>
          <w:tcPr>
            <w:tcW w:w="720" w:type="dxa"/>
            <w:tcBorders>
              <w:top w:val="nil"/>
              <w:bottom w:val="nil"/>
            </w:tcBorders>
          </w:tcPr>
          <w:p w:rsidR="00157870" w:rsidRPr="00295E71" w:rsidP="00157870" w14:paraId="04552DB1" w14:textId="77777777">
            <w:pPr>
              <w:keepNext/>
              <w:tabs>
                <w:tab w:val="left" w:pos="562"/>
              </w:tabs>
              <w:suppressAutoHyphens/>
              <w:rPr>
                <w:sz w:val="22"/>
                <w:szCs w:val="22"/>
              </w:rPr>
            </w:pPr>
          </w:p>
        </w:tc>
        <w:tc>
          <w:tcPr>
            <w:tcW w:w="1109" w:type="dxa"/>
            <w:tcBorders>
              <w:top w:val="nil"/>
              <w:bottom w:val="nil"/>
            </w:tcBorders>
          </w:tcPr>
          <w:p w:rsidR="00157870" w:rsidRPr="00295E71" w:rsidP="00157870" w14:paraId="52C6854A" w14:textId="77777777">
            <w:pPr>
              <w:keepNext/>
              <w:tabs>
                <w:tab w:val="left" w:pos="562"/>
              </w:tabs>
              <w:suppressAutoHyphens/>
              <w:rPr>
                <w:sz w:val="22"/>
                <w:szCs w:val="22"/>
              </w:rPr>
            </w:pPr>
          </w:p>
        </w:tc>
        <w:tc>
          <w:tcPr>
            <w:tcW w:w="1141" w:type="dxa"/>
            <w:tcBorders>
              <w:top w:val="nil"/>
              <w:bottom w:val="nil"/>
            </w:tcBorders>
          </w:tcPr>
          <w:p w:rsidR="00157870" w:rsidRPr="00295E71" w:rsidP="00157870" w14:paraId="24F4453F" w14:textId="77777777">
            <w:pPr>
              <w:keepNext/>
              <w:tabs>
                <w:tab w:val="left" w:pos="562"/>
              </w:tabs>
              <w:suppressAutoHyphens/>
              <w:rPr>
                <w:sz w:val="22"/>
                <w:szCs w:val="22"/>
              </w:rPr>
            </w:pPr>
          </w:p>
        </w:tc>
      </w:tr>
      <w:tr w14:paraId="2475CE5B" w14:textId="77777777" w:rsidTr="00157870">
        <w:tblPrEx>
          <w:tblW w:w="0" w:type="auto"/>
          <w:tblLook w:val="04A0"/>
        </w:tblPrEx>
        <w:tc>
          <w:tcPr>
            <w:tcW w:w="2268" w:type="dxa"/>
            <w:tcBorders>
              <w:top w:val="nil"/>
              <w:bottom w:val="nil"/>
            </w:tcBorders>
          </w:tcPr>
          <w:p w:rsidR="00157870" w:rsidRPr="00295E71" w:rsidP="00157870" w14:paraId="13162CFE" w14:textId="77777777">
            <w:pPr>
              <w:keepNext/>
              <w:tabs>
                <w:tab w:val="left" w:pos="562"/>
              </w:tabs>
              <w:suppressAutoHyphens/>
              <w:rPr>
                <w:sz w:val="22"/>
                <w:szCs w:val="22"/>
              </w:rPr>
            </w:pPr>
            <w:r w:rsidRPr="00295E71">
              <w:rPr>
                <w:sz w:val="22"/>
                <w:szCs w:val="22"/>
              </w:rPr>
              <w:tab/>
              <w:t>Placebo</w:t>
            </w:r>
          </w:p>
        </w:tc>
        <w:tc>
          <w:tcPr>
            <w:tcW w:w="720" w:type="dxa"/>
            <w:tcBorders>
              <w:top w:val="nil"/>
              <w:bottom w:val="nil"/>
            </w:tcBorders>
          </w:tcPr>
          <w:p w:rsidR="00157870" w:rsidRPr="00295E71" w:rsidP="00157870" w14:paraId="54C8C5BE" w14:textId="77777777">
            <w:pPr>
              <w:keepNext/>
              <w:tabs>
                <w:tab w:val="left" w:pos="562"/>
              </w:tabs>
              <w:suppressAutoHyphens/>
              <w:rPr>
                <w:sz w:val="22"/>
                <w:szCs w:val="22"/>
              </w:rPr>
            </w:pPr>
            <w:r w:rsidRPr="00295E71">
              <w:rPr>
                <w:sz w:val="22"/>
                <w:szCs w:val="22"/>
              </w:rPr>
              <w:t>107</w:t>
            </w:r>
          </w:p>
        </w:tc>
        <w:tc>
          <w:tcPr>
            <w:tcW w:w="1231" w:type="dxa"/>
            <w:tcBorders>
              <w:top w:val="nil"/>
              <w:bottom w:val="nil"/>
            </w:tcBorders>
          </w:tcPr>
          <w:p w:rsidR="00157870" w:rsidRPr="00295E71" w:rsidP="00157870" w14:paraId="3556F014" w14:textId="77777777">
            <w:pPr>
              <w:keepNext/>
              <w:tabs>
                <w:tab w:val="left" w:pos="562"/>
              </w:tabs>
              <w:suppressAutoHyphens/>
              <w:rPr>
                <w:sz w:val="22"/>
                <w:szCs w:val="22"/>
              </w:rPr>
            </w:pPr>
            <w:r w:rsidRPr="00295E71">
              <w:rPr>
                <w:sz w:val="22"/>
                <w:szCs w:val="22"/>
              </w:rPr>
              <w:t>84 (78,5)</w:t>
            </w:r>
          </w:p>
        </w:tc>
        <w:tc>
          <w:tcPr>
            <w:tcW w:w="1890" w:type="dxa"/>
            <w:tcBorders>
              <w:top w:val="nil"/>
              <w:bottom w:val="nil"/>
            </w:tcBorders>
          </w:tcPr>
          <w:p w:rsidR="00157870" w:rsidRPr="00295E71" w:rsidP="00157870" w14:paraId="6344F1E0" w14:textId="77777777">
            <w:pPr>
              <w:keepNext/>
              <w:tabs>
                <w:tab w:val="left" w:pos="562"/>
              </w:tabs>
              <w:suppressAutoHyphens/>
              <w:rPr>
                <w:sz w:val="22"/>
                <w:szCs w:val="22"/>
              </w:rPr>
            </w:pPr>
            <w:r w:rsidRPr="00295E71">
              <w:rPr>
                <w:sz w:val="22"/>
                <w:szCs w:val="22"/>
              </w:rPr>
              <w:t>3,0</w:t>
            </w:r>
          </w:p>
        </w:tc>
        <w:tc>
          <w:tcPr>
            <w:tcW w:w="720" w:type="dxa"/>
            <w:tcBorders>
              <w:top w:val="nil"/>
              <w:bottom w:val="nil"/>
            </w:tcBorders>
          </w:tcPr>
          <w:p w:rsidR="00157870" w:rsidRPr="00295E71" w:rsidP="00157870" w14:paraId="67000A92" w14:textId="77777777">
            <w:pPr>
              <w:keepNext/>
              <w:tabs>
                <w:tab w:val="left" w:pos="562"/>
              </w:tabs>
              <w:suppressAutoHyphens/>
              <w:rPr>
                <w:sz w:val="22"/>
                <w:szCs w:val="22"/>
              </w:rPr>
            </w:pPr>
            <w:r w:rsidRPr="00295E71">
              <w:rPr>
                <w:sz w:val="22"/>
                <w:szCs w:val="22"/>
              </w:rPr>
              <w:t>--</w:t>
            </w:r>
          </w:p>
        </w:tc>
        <w:tc>
          <w:tcPr>
            <w:tcW w:w="1109" w:type="dxa"/>
            <w:tcBorders>
              <w:top w:val="nil"/>
              <w:bottom w:val="nil"/>
            </w:tcBorders>
          </w:tcPr>
          <w:p w:rsidR="00157870" w:rsidRPr="00295E71" w:rsidP="00157870" w14:paraId="07A267F9" w14:textId="77777777">
            <w:pPr>
              <w:keepNext/>
              <w:tabs>
                <w:tab w:val="left" w:pos="562"/>
              </w:tabs>
              <w:suppressAutoHyphens/>
              <w:rPr>
                <w:sz w:val="22"/>
                <w:szCs w:val="22"/>
              </w:rPr>
            </w:pPr>
            <w:r w:rsidRPr="00295E71">
              <w:rPr>
                <w:sz w:val="22"/>
                <w:szCs w:val="22"/>
              </w:rPr>
              <w:t>--</w:t>
            </w:r>
          </w:p>
        </w:tc>
        <w:tc>
          <w:tcPr>
            <w:tcW w:w="1141" w:type="dxa"/>
            <w:tcBorders>
              <w:top w:val="nil"/>
              <w:bottom w:val="nil"/>
            </w:tcBorders>
          </w:tcPr>
          <w:p w:rsidR="00157870" w:rsidRPr="00295E71" w:rsidP="00157870" w14:paraId="7C7B6244" w14:textId="77777777">
            <w:pPr>
              <w:keepNext/>
              <w:tabs>
                <w:tab w:val="left" w:pos="562"/>
              </w:tabs>
              <w:suppressAutoHyphens/>
              <w:rPr>
                <w:sz w:val="22"/>
                <w:szCs w:val="22"/>
              </w:rPr>
            </w:pPr>
            <w:r w:rsidRPr="00295E71">
              <w:rPr>
                <w:sz w:val="22"/>
                <w:szCs w:val="22"/>
              </w:rPr>
              <w:t>--</w:t>
            </w:r>
          </w:p>
        </w:tc>
      </w:tr>
      <w:tr w14:paraId="0DBC17F5" w14:textId="77777777" w:rsidTr="00157870">
        <w:tblPrEx>
          <w:tblW w:w="0" w:type="auto"/>
          <w:tblLook w:val="04A0"/>
        </w:tblPrEx>
        <w:tc>
          <w:tcPr>
            <w:tcW w:w="2268" w:type="dxa"/>
            <w:tcBorders>
              <w:top w:val="nil"/>
              <w:bottom w:val="single" w:sz="4" w:space="0" w:color="auto"/>
            </w:tcBorders>
          </w:tcPr>
          <w:p w:rsidR="00157870" w:rsidRPr="00295E71" w:rsidP="00157870" w14:paraId="567A3214" w14:textId="77777777">
            <w:pPr>
              <w:keepNext/>
              <w:tabs>
                <w:tab w:val="left" w:pos="562"/>
              </w:tabs>
              <w:suppressAutoHyphens/>
              <w:rPr>
                <w:sz w:val="22"/>
                <w:szCs w:val="22"/>
              </w:rPr>
            </w:pPr>
            <w:r w:rsidRPr="00295E71">
              <w:rPr>
                <w:sz w:val="22"/>
                <w:szCs w:val="22"/>
              </w:rPr>
              <w:tab/>
              <w:t>Adalimumab</w:t>
            </w:r>
          </w:p>
        </w:tc>
        <w:tc>
          <w:tcPr>
            <w:tcW w:w="720" w:type="dxa"/>
            <w:tcBorders>
              <w:top w:val="nil"/>
              <w:bottom w:val="single" w:sz="4" w:space="0" w:color="auto"/>
            </w:tcBorders>
          </w:tcPr>
          <w:p w:rsidR="00157870" w:rsidRPr="00295E71" w:rsidP="00157870" w14:paraId="28E00BDF" w14:textId="77777777">
            <w:pPr>
              <w:keepNext/>
              <w:tabs>
                <w:tab w:val="left" w:pos="562"/>
              </w:tabs>
              <w:suppressAutoHyphens/>
              <w:rPr>
                <w:sz w:val="22"/>
                <w:szCs w:val="22"/>
              </w:rPr>
            </w:pPr>
            <w:r w:rsidRPr="00295E71">
              <w:rPr>
                <w:sz w:val="22"/>
                <w:szCs w:val="22"/>
              </w:rPr>
              <w:t>110</w:t>
            </w:r>
          </w:p>
        </w:tc>
        <w:tc>
          <w:tcPr>
            <w:tcW w:w="1231" w:type="dxa"/>
            <w:tcBorders>
              <w:top w:val="nil"/>
              <w:bottom w:val="single" w:sz="4" w:space="0" w:color="auto"/>
            </w:tcBorders>
          </w:tcPr>
          <w:p w:rsidR="00157870" w:rsidRPr="00295E71" w:rsidP="00157870" w14:paraId="3634455A" w14:textId="77777777">
            <w:pPr>
              <w:keepNext/>
              <w:tabs>
                <w:tab w:val="left" w:pos="562"/>
              </w:tabs>
              <w:suppressAutoHyphens/>
              <w:rPr>
                <w:sz w:val="22"/>
                <w:szCs w:val="22"/>
              </w:rPr>
            </w:pPr>
            <w:r w:rsidRPr="00295E71">
              <w:rPr>
                <w:sz w:val="22"/>
                <w:szCs w:val="22"/>
              </w:rPr>
              <w:t>60 (54,5)</w:t>
            </w:r>
          </w:p>
        </w:tc>
        <w:tc>
          <w:tcPr>
            <w:tcW w:w="1890" w:type="dxa"/>
            <w:tcBorders>
              <w:top w:val="nil"/>
              <w:bottom w:val="single" w:sz="4" w:space="0" w:color="auto"/>
            </w:tcBorders>
          </w:tcPr>
          <w:p w:rsidR="00157870" w:rsidRPr="00295E71" w:rsidP="00157870" w14:paraId="0E555149" w14:textId="77777777">
            <w:pPr>
              <w:keepNext/>
              <w:tabs>
                <w:tab w:val="left" w:pos="562"/>
              </w:tabs>
              <w:suppressAutoHyphens/>
              <w:rPr>
                <w:sz w:val="22"/>
                <w:szCs w:val="22"/>
              </w:rPr>
            </w:pPr>
            <w:r w:rsidRPr="00295E71">
              <w:rPr>
                <w:sz w:val="22"/>
                <w:szCs w:val="22"/>
              </w:rPr>
              <w:t>5,6</w:t>
            </w:r>
          </w:p>
        </w:tc>
        <w:tc>
          <w:tcPr>
            <w:tcW w:w="720" w:type="dxa"/>
            <w:tcBorders>
              <w:top w:val="nil"/>
              <w:bottom w:val="single" w:sz="4" w:space="0" w:color="auto"/>
            </w:tcBorders>
          </w:tcPr>
          <w:p w:rsidR="00157870" w:rsidRPr="00295E71" w:rsidP="00157870" w14:paraId="7A1C0AD9" w14:textId="77777777">
            <w:pPr>
              <w:keepNext/>
              <w:tabs>
                <w:tab w:val="left" w:pos="562"/>
              </w:tabs>
              <w:suppressAutoHyphens/>
              <w:rPr>
                <w:sz w:val="22"/>
                <w:szCs w:val="22"/>
              </w:rPr>
            </w:pPr>
            <w:r w:rsidRPr="00295E71">
              <w:rPr>
                <w:sz w:val="22"/>
                <w:szCs w:val="22"/>
              </w:rPr>
              <w:t>0,50</w:t>
            </w:r>
          </w:p>
        </w:tc>
        <w:tc>
          <w:tcPr>
            <w:tcW w:w="1109" w:type="dxa"/>
            <w:tcBorders>
              <w:top w:val="nil"/>
              <w:bottom w:val="single" w:sz="4" w:space="0" w:color="auto"/>
            </w:tcBorders>
          </w:tcPr>
          <w:p w:rsidR="00157870" w:rsidRPr="00295E71" w:rsidP="00157870" w14:paraId="20D922EA" w14:textId="77777777">
            <w:pPr>
              <w:keepNext/>
              <w:tabs>
                <w:tab w:val="left" w:pos="562"/>
              </w:tabs>
              <w:suppressAutoHyphens/>
              <w:rPr>
                <w:sz w:val="22"/>
                <w:szCs w:val="22"/>
              </w:rPr>
            </w:pPr>
            <w:r w:rsidRPr="00295E71">
              <w:rPr>
                <w:sz w:val="22"/>
                <w:szCs w:val="22"/>
              </w:rPr>
              <w:t>0,36; 0,70</w:t>
            </w:r>
          </w:p>
        </w:tc>
        <w:tc>
          <w:tcPr>
            <w:tcW w:w="1141" w:type="dxa"/>
            <w:tcBorders>
              <w:top w:val="nil"/>
              <w:bottom w:val="single" w:sz="4" w:space="0" w:color="auto"/>
            </w:tcBorders>
          </w:tcPr>
          <w:p w:rsidR="00157870" w:rsidRPr="00295E71" w:rsidP="00157870" w14:paraId="451D3D0E" w14:textId="77777777">
            <w:pPr>
              <w:keepNext/>
              <w:tabs>
                <w:tab w:val="left" w:pos="562"/>
              </w:tabs>
              <w:suppressAutoHyphens/>
              <w:rPr>
                <w:sz w:val="22"/>
                <w:szCs w:val="22"/>
              </w:rPr>
            </w:pPr>
            <w:r w:rsidRPr="00295E71">
              <w:rPr>
                <w:sz w:val="22"/>
                <w:szCs w:val="22"/>
              </w:rPr>
              <w:t>&lt; 0,001</w:t>
            </w:r>
          </w:p>
        </w:tc>
      </w:tr>
      <w:tr w14:paraId="216386C1" w14:textId="77777777" w:rsidTr="00157870">
        <w:tblPrEx>
          <w:tblW w:w="0" w:type="auto"/>
          <w:tblBorders>
            <w:left w:val="single" w:sz="4" w:space="0" w:color="auto"/>
            <w:right w:val="single" w:sz="4" w:space="0" w:color="auto"/>
            <w:insideH w:val="single" w:sz="4" w:space="0" w:color="auto"/>
            <w:insideV w:val="single" w:sz="4" w:space="0" w:color="auto"/>
          </w:tblBorders>
          <w:tblLook w:val="04A0"/>
        </w:tblPrEx>
        <w:tc>
          <w:tcPr>
            <w:tcW w:w="9079" w:type="dxa"/>
            <w:gridSpan w:val="7"/>
            <w:tcBorders>
              <w:left w:val="nil"/>
              <w:bottom w:val="nil"/>
              <w:right w:val="nil"/>
            </w:tcBorders>
          </w:tcPr>
          <w:p w:rsidR="00157870" w:rsidRPr="00295E71" w:rsidP="00157870" w14:paraId="03EFCBA1" w14:textId="77777777">
            <w:pPr>
              <w:keepNext/>
              <w:tabs>
                <w:tab w:val="left" w:pos="562"/>
              </w:tabs>
              <w:suppressAutoHyphens/>
              <w:rPr>
                <w:b/>
                <w:sz w:val="22"/>
                <w:szCs w:val="22"/>
                <w:lang w:eastAsia="en-US"/>
              </w:rPr>
            </w:pPr>
            <w:r w:rsidRPr="00295E71">
              <w:rPr>
                <w:b/>
                <w:sz w:val="22"/>
                <w:szCs w:val="22"/>
                <w:lang w:eastAsia="en-US"/>
              </w:rPr>
              <w:t>Tempo al fallimento del trattamento alla o dopo la settimana 2 nello Studio UV II</w:t>
            </w:r>
          </w:p>
        </w:tc>
      </w:tr>
      <w:tr w14:paraId="057E8888" w14:textId="77777777" w:rsidTr="00157870">
        <w:tblPrEx>
          <w:tblW w:w="0" w:type="auto"/>
          <w:tblBorders>
            <w:left w:val="single" w:sz="4" w:space="0" w:color="auto"/>
            <w:right w:val="single" w:sz="4" w:space="0" w:color="auto"/>
            <w:insideH w:val="single" w:sz="4" w:space="0" w:color="auto"/>
            <w:insideV w:val="single" w:sz="4" w:space="0" w:color="auto"/>
          </w:tblBorders>
          <w:tblLook w:val="04A0"/>
        </w:tblPrEx>
        <w:tc>
          <w:tcPr>
            <w:tcW w:w="2988" w:type="dxa"/>
            <w:gridSpan w:val="2"/>
            <w:tcBorders>
              <w:top w:val="nil"/>
              <w:left w:val="nil"/>
              <w:bottom w:val="nil"/>
              <w:right w:val="nil"/>
            </w:tcBorders>
          </w:tcPr>
          <w:p w:rsidR="00157870" w:rsidRPr="00295E71" w:rsidP="00157870" w14:paraId="0235547D" w14:textId="77777777">
            <w:pPr>
              <w:keepNext/>
              <w:tabs>
                <w:tab w:val="left" w:pos="562"/>
              </w:tabs>
              <w:suppressAutoHyphens/>
              <w:rPr>
                <w:sz w:val="22"/>
                <w:szCs w:val="22"/>
              </w:rPr>
            </w:pPr>
            <w:r w:rsidRPr="00295E71">
              <w:rPr>
                <w:sz w:val="22"/>
                <w:szCs w:val="22"/>
              </w:rPr>
              <w:t>Analisi primaria (ITT)</w:t>
            </w:r>
          </w:p>
        </w:tc>
        <w:tc>
          <w:tcPr>
            <w:tcW w:w="1231" w:type="dxa"/>
            <w:tcBorders>
              <w:top w:val="nil"/>
              <w:left w:val="nil"/>
              <w:bottom w:val="nil"/>
              <w:right w:val="nil"/>
            </w:tcBorders>
          </w:tcPr>
          <w:p w:rsidR="00157870" w:rsidRPr="00295E71" w:rsidP="00157870" w14:paraId="52F6DFA1" w14:textId="77777777">
            <w:pPr>
              <w:keepNext/>
              <w:tabs>
                <w:tab w:val="left" w:pos="562"/>
              </w:tabs>
              <w:suppressAutoHyphens/>
              <w:rPr>
                <w:sz w:val="22"/>
                <w:szCs w:val="22"/>
              </w:rPr>
            </w:pPr>
          </w:p>
        </w:tc>
        <w:tc>
          <w:tcPr>
            <w:tcW w:w="1890" w:type="dxa"/>
            <w:tcBorders>
              <w:top w:val="nil"/>
              <w:left w:val="nil"/>
              <w:bottom w:val="nil"/>
              <w:right w:val="nil"/>
            </w:tcBorders>
          </w:tcPr>
          <w:p w:rsidR="00157870" w:rsidRPr="00295E71" w:rsidP="00157870" w14:paraId="63EE0160" w14:textId="77777777">
            <w:pPr>
              <w:keepNext/>
              <w:tabs>
                <w:tab w:val="left" w:pos="562"/>
              </w:tabs>
              <w:suppressAutoHyphens/>
              <w:rPr>
                <w:sz w:val="22"/>
                <w:szCs w:val="22"/>
              </w:rPr>
            </w:pPr>
          </w:p>
        </w:tc>
        <w:tc>
          <w:tcPr>
            <w:tcW w:w="720" w:type="dxa"/>
            <w:tcBorders>
              <w:top w:val="nil"/>
              <w:left w:val="nil"/>
              <w:bottom w:val="nil"/>
              <w:right w:val="nil"/>
            </w:tcBorders>
          </w:tcPr>
          <w:p w:rsidR="00157870" w:rsidRPr="00295E71" w:rsidP="00157870" w14:paraId="3CB7A135" w14:textId="77777777">
            <w:pPr>
              <w:keepNext/>
              <w:tabs>
                <w:tab w:val="left" w:pos="562"/>
              </w:tabs>
              <w:suppressAutoHyphens/>
              <w:rPr>
                <w:sz w:val="22"/>
                <w:szCs w:val="22"/>
              </w:rPr>
            </w:pPr>
          </w:p>
        </w:tc>
        <w:tc>
          <w:tcPr>
            <w:tcW w:w="1109" w:type="dxa"/>
            <w:tcBorders>
              <w:top w:val="nil"/>
              <w:left w:val="nil"/>
              <w:bottom w:val="nil"/>
              <w:right w:val="nil"/>
            </w:tcBorders>
          </w:tcPr>
          <w:p w:rsidR="00157870" w:rsidRPr="00295E71" w:rsidP="00157870" w14:paraId="6BB04638" w14:textId="77777777">
            <w:pPr>
              <w:keepNext/>
              <w:tabs>
                <w:tab w:val="left" w:pos="562"/>
              </w:tabs>
              <w:suppressAutoHyphens/>
              <w:rPr>
                <w:sz w:val="22"/>
                <w:szCs w:val="22"/>
              </w:rPr>
            </w:pPr>
          </w:p>
        </w:tc>
        <w:tc>
          <w:tcPr>
            <w:tcW w:w="1141" w:type="dxa"/>
            <w:tcBorders>
              <w:top w:val="nil"/>
              <w:left w:val="nil"/>
              <w:bottom w:val="nil"/>
              <w:right w:val="nil"/>
            </w:tcBorders>
          </w:tcPr>
          <w:p w:rsidR="00157870" w:rsidRPr="00295E71" w:rsidP="00157870" w14:paraId="6482B59F" w14:textId="77777777">
            <w:pPr>
              <w:keepNext/>
              <w:tabs>
                <w:tab w:val="left" w:pos="562"/>
              </w:tabs>
              <w:suppressAutoHyphens/>
              <w:rPr>
                <w:sz w:val="22"/>
                <w:szCs w:val="22"/>
              </w:rPr>
            </w:pPr>
          </w:p>
        </w:tc>
      </w:tr>
      <w:tr w14:paraId="18B6655B" w14:textId="77777777" w:rsidTr="00157870">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nil"/>
              <w:right w:val="nil"/>
            </w:tcBorders>
          </w:tcPr>
          <w:p w:rsidR="00157870" w:rsidRPr="00295E71" w:rsidP="00157870" w14:paraId="62486EDE" w14:textId="77777777">
            <w:pPr>
              <w:keepNext/>
              <w:tabs>
                <w:tab w:val="left" w:pos="562"/>
              </w:tabs>
              <w:suppressAutoHyphens/>
              <w:rPr>
                <w:sz w:val="22"/>
                <w:szCs w:val="22"/>
              </w:rPr>
            </w:pPr>
            <w:r w:rsidRPr="00295E71">
              <w:rPr>
                <w:sz w:val="22"/>
                <w:szCs w:val="22"/>
              </w:rPr>
              <w:tab/>
              <w:t>Placebo</w:t>
            </w:r>
          </w:p>
        </w:tc>
        <w:tc>
          <w:tcPr>
            <w:tcW w:w="720" w:type="dxa"/>
            <w:tcBorders>
              <w:top w:val="nil"/>
              <w:left w:val="nil"/>
              <w:bottom w:val="nil"/>
              <w:right w:val="nil"/>
            </w:tcBorders>
          </w:tcPr>
          <w:p w:rsidR="00157870" w:rsidRPr="00295E71" w:rsidP="00157870" w14:paraId="0FD233F6" w14:textId="77777777">
            <w:pPr>
              <w:keepNext/>
              <w:tabs>
                <w:tab w:val="left" w:pos="562"/>
              </w:tabs>
              <w:suppressAutoHyphens/>
              <w:rPr>
                <w:sz w:val="22"/>
                <w:szCs w:val="22"/>
              </w:rPr>
            </w:pPr>
            <w:r w:rsidRPr="00295E71">
              <w:rPr>
                <w:sz w:val="22"/>
                <w:szCs w:val="22"/>
              </w:rPr>
              <w:t>111</w:t>
            </w:r>
          </w:p>
        </w:tc>
        <w:tc>
          <w:tcPr>
            <w:tcW w:w="1231" w:type="dxa"/>
            <w:tcBorders>
              <w:top w:val="nil"/>
              <w:left w:val="nil"/>
              <w:bottom w:val="nil"/>
              <w:right w:val="nil"/>
            </w:tcBorders>
          </w:tcPr>
          <w:p w:rsidR="00157870" w:rsidRPr="00295E71" w:rsidP="00157870" w14:paraId="0E201AC5" w14:textId="77777777">
            <w:pPr>
              <w:keepNext/>
              <w:tabs>
                <w:tab w:val="left" w:pos="562"/>
              </w:tabs>
              <w:suppressAutoHyphens/>
              <w:rPr>
                <w:sz w:val="22"/>
                <w:szCs w:val="22"/>
              </w:rPr>
            </w:pPr>
            <w:r w:rsidRPr="00295E71">
              <w:rPr>
                <w:sz w:val="22"/>
                <w:szCs w:val="22"/>
              </w:rPr>
              <w:t>61 (55,0)</w:t>
            </w:r>
          </w:p>
        </w:tc>
        <w:tc>
          <w:tcPr>
            <w:tcW w:w="1890" w:type="dxa"/>
            <w:tcBorders>
              <w:top w:val="nil"/>
              <w:left w:val="nil"/>
              <w:bottom w:val="nil"/>
              <w:right w:val="nil"/>
            </w:tcBorders>
          </w:tcPr>
          <w:p w:rsidR="00157870" w:rsidRPr="00295E71" w:rsidP="00157870" w14:paraId="00AFA61A" w14:textId="77777777">
            <w:pPr>
              <w:keepNext/>
              <w:tabs>
                <w:tab w:val="left" w:pos="562"/>
              </w:tabs>
              <w:suppressAutoHyphens/>
              <w:rPr>
                <w:sz w:val="22"/>
                <w:szCs w:val="22"/>
              </w:rPr>
            </w:pPr>
            <w:r w:rsidRPr="00295E71">
              <w:rPr>
                <w:sz w:val="22"/>
                <w:szCs w:val="22"/>
              </w:rPr>
              <w:t>8,3</w:t>
            </w:r>
          </w:p>
        </w:tc>
        <w:tc>
          <w:tcPr>
            <w:tcW w:w="720" w:type="dxa"/>
            <w:tcBorders>
              <w:top w:val="nil"/>
              <w:left w:val="nil"/>
              <w:bottom w:val="nil"/>
              <w:right w:val="nil"/>
            </w:tcBorders>
          </w:tcPr>
          <w:p w:rsidR="00157870" w:rsidRPr="00295E71" w:rsidP="00157870" w14:paraId="6D83DF33" w14:textId="77777777">
            <w:pPr>
              <w:keepNext/>
              <w:tabs>
                <w:tab w:val="left" w:pos="562"/>
              </w:tabs>
              <w:suppressAutoHyphens/>
              <w:rPr>
                <w:sz w:val="22"/>
                <w:szCs w:val="22"/>
              </w:rPr>
            </w:pPr>
            <w:r w:rsidRPr="00295E71">
              <w:rPr>
                <w:sz w:val="22"/>
                <w:szCs w:val="22"/>
              </w:rPr>
              <w:t>--</w:t>
            </w:r>
          </w:p>
        </w:tc>
        <w:tc>
          <w:tcPr>
            <w:tcW w:w="1109" w:type="dxa"/>
            <w:tcBorders>
              <w:top w:val="nil"/>
              <w:left w:val="nil"/>
              <w:bottom w:val="nil"/>
              <w:right w:val="nil"/>
            </w:tcBorders>
          </w:tcPr>
          <w:p w:rsidR="00157870" w:rsidRPr="00295E71" w:rsidP="00157870" w14:paraId="7716AABA" w14:textId="77777777">
            <w:pPr>
              <w:keepNext/>
              <w:tabs>
                <w:tab w:val="left" w:pos="562"/>
              </w:tabs>
              <w:suppressAutoHyphens/>
              <w:rPr>
                <w:sz w:val="22"/>
                <w:szCs w:val="22"/>
              </w:rPr>
            </w:pPr>
            <w:r w:rsidRPr="00295E71">
              <w:rPr>
                <w:sz w:val="22"/>
                <w:szCs w:val="22"/>
              </w:rPr>
              <w:t>--</w:t>
            </w:r>
          </w:p>
        </w:tc>
        <w:tc>
          <w:tcPr>
            <w:tcW w:w="1141" w:type="dxa"/>
            <w:tcBorders>
              <w:top w:val="nil"/>
              <w:left w:val="nil"/>
              <w:bottom w:val="nil"/>
              <w:right w:val="nil"/>
            </w:tcBorders>
          </w:tcPr>
          <w:p w:rsidR="00157870" w:rsidRPr="00295E71" w:rsidP="00157870" w14:paraId="3BA0890C" w14:textId="77777777">
            <w:pPr>
              <w:keepNext/>
              <w:tabs>
                <w:tab w:val="left" w:pos="562"/>
              </w:tabs>
              <w:suppressAutoHyphens/>
              <w:rPr>
                <w:sz w:val="22"/>
                <w:szCs w:val="22"/>
              </w:rPr>
            </w:pPr>
            <w:r w:rsidRPr="00295E71">
              <w:rPr>
                <w:sz w:val="22"/>
                <w:szCs w:val="22"/>
              </w:rPr>
              <w:t>--</w:t>
            </w:r>
          </w:p>
        </w:tc>
      </w:tr>
      <w:tr w14:paraId="68A71323" w14:textId="77777777" w:rsidTr="00157870">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single" w:sz="4" w:space="0" w:color="auto"/>
              <w:right w:val="nil"/>
            </w:tcBorders>
          </w:tcPr>
          <w:p w:rsidR="00157870" w:rsidRPr="00295E71" w:rsidP="00157870" w14:paraId="285B1F4A" w14:textId="77777777">
            <w:pPr>
              <w:keepNext/>
              <w:tabs>
                <w:tab w:val="left" w:pos="562"/>
              </w:tabs>
              <w:suppressAutoHyphens/>
              <w:rPr>
                <w:sz w:val="22"/>
                <w:szCs w:val="22"/>
              </w:rPr>
            </w:pPr>
            <w:r w:rsidRPr="00295E71">
              <w:rPr>
                <w:sz w:val="22"/>
                <w:szCs w:val="22"/>
              </w:rPr>
              <w:tab/>
              <w:t>Adalimumab</w:t>
            </w:r>
          </w:p>
        </w:tc>
        <w:tc>
          <w:tcPr>
            <w:tcW w:w="720" w:type="dxa"/>
            <w:tcBorders>
              <w:top w:val="nil"/>
              <w:left w:val="nil"/>
              <w:bottom w:val="single" w:sz="4" w:space="0" w:color="auto"/>
              <w:right w:val="nil"/>
            </w:tcBorders>
          </w:tcPr>
          <w:p w:rsidR="00157870" w:rsidRPr="00295E71" w:rsidP="00157870" w14:paraId="4ACC1B72" w14:textId="77777777">
            <w:pPr>
              <w:keepNext/>
              <w:tabs>
                <w:tab w:val="left" w:pos="562"/>
              </w:tabs>
              <w:suppressAutoHyphens/>
              <w:rPr>
                <w:sz w:val="22"/>
                <w:szCs w:val="22"/>
              </w:rPr>
            </w:pPr>
            <w:r w:rsidRPr="00295E71">
              <w:rPr>
                <w:sz w:val="22"/>
                <w:szCs w:val="22"/>
              </w:rPr>
              <w:t>115</w:t>
            </w:r>
          </w:p>
        </w:tc>
        <w:tc>
          <w:tcPr>
            <w:tcW w:w="1231" w:type="dxa"/>
            <w:tcBorders>
              <w:top w:val="nil"/>
              <w:left w:val="nil"/>
              <w:bottom w:val="single" w:sz="4" w:space="0" w:color="auto"/>
              <w:right w:val="nil"/>
            </w:tcBorders>
          </w:tcPr>
          <w:p w:rsidR="00157870" w:rsidRPr="00295E71" w:rsidP="00157870" w14:paraId="1345BBC9" w14:textId="77777777">
            <w:pPr>
              <w:keepNext/>
              <w:tabs>
                <w:tab w:val="left" w:pos="562"/>
              </w:tabs>
              <w:suppressAutoHyphens/>
              <w:rPr>
                <w:sz w:val="22"/>
                <w:szCs w:val="22"/>
              </w:rPr>
            </w:pPr>
            <w:r w:rsidRPr="00295E71">
              <w:rPr>
                <w:sz w:val="22"/>
                <w:szCs w:val="22"/>
              </w:rPr>
              <w:t>45 (39,1)</w:t>
            </w:r>
          </w:p>
        </w:tc>
        <w:tc>
          <w:tcPr>
            <w:tcW w:w="1890" w:type="dxa"/>
            <w:tcBorders>
              <w:top w:val="nil"/>
              <w:left w:val="nil"/>
              <w:bottom w:val="single" w:sz="4" w:space="0" w:color="auto"/>
              <w:right w:val="nil"/>
            </w:tcBorders>
          </w:tcPr>
          <w:p w:rsidR="00157870" w:rsidRPr="00295E71" w:rsidP="00157870" w14:paraId="7541B98D" w14:textId="77777777">
            <w:pPr>
              <w:keepNext/>
              <w:tabs>
                <w:tab w:val="left" w:pos="562"/>
              </w:tabs>
              <w:suppressAutoHyphens/>
              <w:rPr>
                <w:sz w:val="22"/>
                <w:szCs w:val="22"/>
              </w:rPr>
            </w:pPr>
            <w:r w:rsidRPr="00295E71">
              <w:rPr>
                <w:sz w:val="22"/>
                <w:szCs w:val="22"/>
              </w:rPr>
              <w:t>NV</w:t>
            </w:r>
            <w:r w:rsidRPr="00295E71">
              <w:rPr>
                <w:sz w:val="22"/>
                <w:szCs w:val="22"/>
                <w:vertAlign w:val="superscript"/>
              </w:rPr>
              <w:t>c</w:t>
            </w:r>
          </w:p>
        </w:tc>
        <w:tc>
          <w:tcPr>
            <w:tcW w:w="720" w:type="dxa"/>
            <w:tcBorders>
              <w:top w:val="nil"/>
              <w:left w:val="nil"/>
              <w:bottom w:val="single" w:sz="4" w:space="0" w:color="auto"/>
              <w:right w:val="nil"/>
            </w:tcBorders>
          </w:tcPr>
          <w:p w:rsidR="00157870" w:rsidRPr="00295E71" w:rsidP="00157870" w14:paraId="75784484" w14:textId="77777777">
            <w:pPr>
              <w:keepNext/>
              <w:tabs>
                <w:tab w:val="left" w:pos="562"/>
              </w:tabs>
              <w:suppressAutoHyphens/>
              <w:rPr>
                <w:sz w:val="22"/>
                <w:szCs w:val="22"/>
              </w:rPr>
            </w:pPr>
            <w:r w:rsidRPr="00295E71">
              <w:rPr>
                <w:sz w:val="22"/>
                <w:szCs w:val="22"/>
              </w:rPr>
              <w:t>0,57</w:t>
            </w:r>
          </w:p>
        </w:tc>
        <w:tc>
          <w:tcPr>
            <w:tcW w:w="1109" w:type="dxa"/>
            <w:tcBorders>
              <w:top w:val="nil"/>
              <w:left w:val="nil"/>
              <w:bottom w:val="single" w:sz="4" w:space="0" w:color="auto"/>
              <w:right w:val="nil"/>
            </w:tcBorders>
          </w:tcPr>
          <w:p w:rsidR="00157870" w:rsidRPr="00295E71" w:rsidP="00157870" w14:paraId="21E9642E" w14:textId="77777777">
            <w:pPr>
              <w:keepNext/>
              <w:tabs>
                <w:tab w:val="left" w:pos="562"/>
              </w:tabs>
              <w:suppressAutoHyphens/>
              <w:rPr>
                <w:sz w:val="22"/>
                <w:szCs w:val="22"/>
              </w:rPr>
            </w:pPr>
            <w:r w:rsidRPr="00295E71">
              <w:rPr>
                <w:sz w:val="22"/>
                <w:szCs w:val="22"/>
              </w:rPr>
              <w:t>0,39; 0,84</w:t>
            </w:r>
          </w:p>
        </w:tc>
        <w:tc>
          <w:tcPr>
            <w:tcW w:w="1141" w:type="dxa"/>
            <w:tcBorders>
              <w:top w:val="nil"/>
              <w:left w:val="nil"/>
              <w:bottom w:val="single" w:sz="4" w:space="0" w:color="auto"/>
              <w:right w:val="nil"/>
            </w:tcBorders>
          </w:tcPr>
          <w:p w:rsidR="00157870" w:rsidRPr="00295E71" w:rsidP="00157870" w14:paraId="11B505AA" w14:textId="77777777">
            <w:pPr>
              <w:keepNext/>
              <w:tabs>
                <w:tab w:val="left" w:pos="562"/>
              </w:tabs>
              <w:suppressAutoHyphens/>
              <w:rPr>
                <w:sz w:val="22"/>
                <w:szCs w:val="22"/>
              </w:rPr>
            </w:pPr>
            <w:r w:rsidRPr="00295E71">
              <w:rPr>
                <w:sz w:val="22"/>
                <w:szCs w:val="22"/>
              </w:rPr>
              <w:t>0,004</w:t>
            </w:r>
          </w:p>
        </w:tc>
      </w:tr>
    </w:tbl>
    <w:p w:rsidR="00157870" w:rsidRPr="00295E71" w:rsidP="00157870" w14:paraId="6C961162" w14:textId="77777777">
      <w:pPr>
        <w:keepNext/>
        <w:tabs>
          <w:tab w:val="left" w:pos="567"/>
          <w:tab w:val="left" w:pos="1294"/>
        </w:tabs>
        <w:autoSpaceDE w:val="0"/>
        <w:autoSpaceDN w:val="0"/>
        <w:adjustRightInd w:val="0"/>
        <w:jc w:val="both"/>
        <w:rPr>
          <w:color w:val="000000"/>
          <w:sz w:val="22"/>
          <w:szCs w:val="22"/>
        </w:rPr>
      </w:pPr>
      <w:r w:rsidRPr="00295E71">
        <w:rPr>
          <w:color w:val="000000"/>
          <w:sz w:val="22"/>
          <w:szCs w:val="22"/>
        </w:rPr>
        <w:t>Nota: il fallimento del trattamento alla o dopo la settimana 6 (Studio UV I) oppure alla o dopo la settimana 2 (Studio UV II) è stato contato come evento. Gli abbandoni dovuti a motivi diversi dal fallimento del trattamento sono stati censurati al momento dell’abbandono.</w:t>
      </w:r>
    </w:p>
    <w:p w:rsidR="00157870" w:rsidRPr="00295E71" w:rsidP="00157870" w14:paraId="5425DD7A" w14:textId="77777777">
      <w:pPr>
        <w:keepNext/>
        <w:tabs>
          <w:tab w:val="left" w:pos="567"/>
          <w:tab w:val="left" w:pos="1294"/>
        </w:tabs>
        <w:autoSpaceDE w:val="0"/>
        <w:autoSpaceDN w:val="0"/>
        <w:adjustRightInd w:val="0"/>
        <w:jc w:val="both"/>
        <w:rPr>
          <w:color w:val="000000"/>
          <w:sz w:val="22"/>
          <w:szCs w:val="22"/>
        </w:rPr>
      </w:pPr>
      <w:r w:rsidRPr="00295E71">
        <w:rPr>
          <w:color w:val="000000"/>
          <w:sz w:val="22"/>
          <w:szCs w:val="22"/>
          <w:vertAlign w:val="superscript"/>
        </w:rPr>
        <w:t>a</w:t>
      </w:r>
      <w:r w:rsidRPr="00295E71">
        <w:rPr>
          <w:color w:val="000000"/>
          <w:sz w:val="22"/>
          <w:szCs w:val="22"/>
        </w:rPr>
        <w:tab/>
        <w:t>HR di adalimumab rispetto al placebo dalla regressione proporzionale dei rischi con il trattamento come fattore.</w:t>
      </w:r>
    </w:p>
    <w:p w:rsidR="00157870" w:rsidRPr="00295E71" w:rsidP="00157870" w14:paraId="4BAE7B58" w14:textId="77777777">
      <w:pPr>
        <w:keepNext/>
        <w:tabs>
          <w:tab w:val="left" w:pos="567"/>
          <w:tab w:val="left" w:pos="1294"/>
        </w:tabs>
        <w:autoSpaceDE w:val="0"/>
        <w:autoSpaceDN w:val="0"/>
        <w:adjustRightInd w:val="0"/>
        <w:jc w:val="both"/>
        <w:rPr>
          <w:color w:val="000000"/>
          <w:sz w:val="22"/>
          <w:szCs w:val="22"/>
        </w:rPr>
      </w:pPr>
      <w:r w:rsidRPr="00295E71">
        <w:rPr>
          <w:color w:val="000000"/>
          <w:sz w:val="22"/>
          <w:szCs w:val="22"/>
          <w:vertAlign w:val="superscript"/>
        </w:rPr>
        <w:t>b</w:t>
      </w:r>
      <w:r w:rsidRPr="00295E71">
        <w:rPr>
          <w:color w:val="000000"/>
          <w:sz w:val="22"/>
          <w:szCs w:val="22"/>
        </w:rPr>
        <w:tab/>
        <w:t xml:space="preserve">Valore </w:t>
      </w:r>
      <w:r w:rsidRPr="00295E71">
        <w:rPr>
          <w:i/>
          <w:color w:val="000000"/>
          <w:sz w:val="22"/>
          <w:szCs w:val="22"/>
        </w:rPr>
        <w:t>P</w:t>
      </w:r>
      <w:r w:rsidRPr="00295E71">
        <w:rPr>
          <w:color w:val="000000"/>
          <w:sz w:val="22"/>
          <w:szCs w:val="22"/>
        </w:rPr>
        <w:t xml:space="preserve"> bilaterale dal test dei ranghi logaritmici.</w:t>
      </w:r>
    </w:p>
    <w:p w:rsidR="00157870" w:rsidRPr="00295E71" w:rsidP="00157870" w14:paraId="7FBEB9A1" w14:textId="77777777">
      <w:pPr>
        <w:keepNext/>
        <w:tabs>
          <w:tab w:val="left" w:pos="567"/>
          <w:tab w:val="left" w:pos="1294"/>
        </w:tabs>
        <w:autoSpaceDE w:val="0"/>
        <w:autoSpaceDN w:val="0"/>
        <w:adjustRightInd w:val="0"/>
        <w:jc w:val="both"/>
        <w:rPr>
          <w:color w:val="000000"/>
          <w:sz w:val="22"/>
          <w:szCs w:val="22"/>
        </w:rPr>
      </w:pPr>
      <w:r w:rsidRPr="00295E71">
        <w:rPr>
          <w:color w:val="000000"/>
          <w:sz w:val="22"/>
          <w:szCs w:val="22"/>
          <w:vertAlign w:val="superscript"/>
        </w:rPr>
        <w:t>c</w:t>
      </w:r>
      <w:r w:rsidRPr="00295E71">
        <w:rPr>
          <w:color w:val="000000"/>
          <w:sz w:val="22"/>
          <w:szCs w:val="22"/>
        </w:rPr>
        <w:tab/>
        <w:t>NV = non valutabile. Meno della metà dei soggetti a rischio ha avuto un evento.</w:t>
      </w:r>
    </w:p>
    <w:p w:rsidR="00157870" w:rsidRPr="00295E71" w:rsidP="00157870" w14:paraId="52E44D73" w14:textId="77777777">
      <w:pPr>
        <w:pStyle w:val="EMEANormal"/>
        <w:rPr>
          <w:lang w:val="it-IT"/>
        </w:rPr>
      </w:pPr>
    </w:p>
    <w:p w:rsidR="00157870" w:rsidRPr="00295E71" w:rsidP="00157870" w14:paraId="1B7C0747" w14:textId="77777777">
      <w:pPr>
        <w:keepNext/>
        <w:tabs>
          <w:tab w:val="left" w:pos="562"/>
        </w:tabs>
        <w:suppressAutoHyphens/>
        <w:jc w:val="center"/>
        <w:rPr>
          <w:b/>
          <w:sz w:val="22"/>
          <w:szCs w:val="22"/>
          <w:lang w:eastAsia="en-US"/>
        </w:rPr>
      </w:pPr>
      <w:r w:rsidRPr="00295E71">
        <w:rPr>
          <w:b/>
          <w:sz w:val="22"/>
          <w:szCs w:val="22"/>
          <w:lang w:eastAsia="en-US"/>
        </w:rPr>
        <w:t>Figura </w:t>
      </w:r>
      <w:r w:rsidR="0041314F">
        <w:rPr>
          <w:b/>
          <w:sz w:val="22"/>
          <w:szCs w:val="22"/>
          <w:lang w:eastAsia="en-US"/>
        </w:rPr>
        <w:t>1</w:t>
      </w:r>
      <w:r w:rsidRPr="00295E71">
        <w:rPr>
          <w:b/>
          <w:sz w:val="22"/>
          <w:szCs w:val="22"/>
          <w:lang w:eastAsia="en-US"/>
        </w:rPr>
        <w:t xml:space="preserve">: curve di Kaplan-Meier del tempo al fallimento del trattamento alla o dopo la settimana 6 (Studio UV I) o la settimana 2 (Studio UV II) </w:t>
      </w:r>
    </w:p>
    <w:p w:rsidR="00157870" w:rsidRPr="00295E71" w:rsidP="00157870" w14:paraId="002FE1C0" w14:textId="77777777">
      <w:pPr>
        <w:keepNext/>
        <w:tabs>
          <w:tab w:val="left" w:pos="562"/>
        </w:tabs>
        <w:suppressAutoHyphens/>
        <w:jc w:val="center"/>
        <w:rPr>
          <w:b/>
          <w:sz w:val="22"/>
          <w:szCs w:val="22"/>
          <w:lang w:eastAsia="en-US"/>
        </w:rPr>
      </w:pPr>
    </w:p>
    <w:tbl>
      <w:tblPr>
        <w:tblW w:w="9481" w:type="dxa"/>
        <w:tblLayout w:type="fixed"/>
        <w:tblLook w:val="04A0"/>
      </w:tblPr>
      <w:tblGrid>
        <w:gridCol w:w="675"/>
        <w:gridCol w:w="3496"/>
        <w:gridCol w:w="1170"/>
        <w:gridCol w:w="1350"/>
        <w:gridCol w:w="900"/>
        <w:gridCol w:w="1890"/>
      </w:tblGrid>
      <w:tr w14:paraId="63AB6BEA" w14:textId="77777777" w:rsidTr="00157870">
        <w:tblPrEx>
          <w:tblW w:w="9481" w:type="dxa"/>
          <w:tblLayout w:type="fixed"/>
          <w:tblLook w:val="04A0"/>
        </w:tblPrEx>
        <w:trPr>
          <w:cantSplit/>
          <w:trHeight w:val="3806"/>
        </w:trPr>
        <w:tc>
          <w:tcPr>
            <w:tcW w:w="675" w:type="dxa"/>
            <w:textDirection w:val="btLr"/>
            <w:vAlign w:val="bottom"/>
          </w:tcPr>
          <w:p w:rsidR="00157870" w:rsidRPr="00295E71" w:rsidP="00157870" w14:paraId="47F423A5" w14:textId="77777777">
            <w:pPr>
              <w:keepNext/>
              <w:tabs>
                <w:tab w:val="left" w:pos="562"/>
              </w:tabs>
              <w:suppressAutoHyphens/>
              <w:ind w:left="113" w:right="113"/>
              <w:jc w:val="center"/>
              <w:rPr>
                <w:b/>
                <w:sz w:val="22"/>
                <w:szCs w:val="22"/>
                <w:lang w:eastAsia="en-US"/>
              </w:rPr>
            </w:pPr>
            <w:r w:rsidRPr="00295E71">
              <w:rPr>
                <w:b/>
                <w:sz w:val="22"/>
                <w:szCs w:val="22"/>
                <w:lang w:eastAsia="en-US"/>
              </w:rPr>
              <w:t>TASSO DI FALLIMENTO DEL TRATTAMENTO (%)</w:t>
            </w:r>
          </w:p>
        </w:tc>
        <w:tc>
          <w:tcPr>
            <w:tcW w:w="8806" w:type="dxa"/>
            <w:gridSpan w:val="5"/>
            <w:vAlign w:val="bottom"/>
          </w:tcPr>
          <w:p w:rsidR="00157870" w:rsidRPr="00295E71" w:rsidP="00157870" w14:paraId="7C0840D0" w14:textId="77777777">
            <w:pPr>
              <w:keepNext/>
              <w:tabs>
                <w:tab w:val="left" w:pos="562"/>
              </w:tabs>
              <w:suppressAutoHyphens/>
              <w:rPr>
                <w:sz w:val="22"/>
                <w:szCs w:val="22"/>
              </w:rPr>
            </w:pPr>
            <w:r w:rsidRPr="003B3A5A">
              <w:rPr>
                <w:noProof/>
                <w:sz w:val="22"/>
                <w:lang w:val="en-GB"/>
              </w:rPr>
              <w:drawing>
                <wp:inline distT="0" distB="0" distL="0" distR="0">
                  <wp:extent cx="5375082" cy="2210435"/>
                  <wp:effectExtent l="0" t="0" r="0" b="0"/>
                  <wp:docPr id="112" name="Picture 49"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6" descr="Humira Uveitis Figure 5_6"/>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75082" cy="2210435"/>
                          </a:xfrm>
                          <a:prstGeom prst="rect">
                            <a:avLst/>
                          </a:prstGeom>
                          <a:noFill/>
                          <a:ln>
                            <a:noFill/>
                          </a:ln>
                        </pic:spPr>
                      </pic:pic>
                    </a:graphicData>
                  </a:graphic>
                </wp:inline>
              </w:drawing>
            </w:r>
          </w:p>
        </w:tc>
      </w:tr>
      <w:tr w14:paraId="2C2280BA" w14:textId="77777777" w:rsidTr="00157870">
        <w:tblPrEx>
          <w:tblW w:w="9481" w:type="dxa"/>
          <w:tblLayout w:type="fixed"/>
          <w:tblLook w:val="04A0"/>
        </w:tblPrEx>
        <w:tc>
          <w:tcPr>
            <w:tcW w:w="675" w:type="dxa"/>
          </w:tcPr>
          <w:p w:rsidR="00157870" w:rsidRPr="00295E71" w:rsidP="00157870" w14:paraId="4257CFB1" w14:textId="77777777">
            <w:pPr>
              <w:tabs>
                <w:tab w:val="left" w:pos="562"/>
              </w:tabs>
              <w:suppressAutoHyphens/>
              <w:rPr>
                <w:sz w:val="22"/>
                <w:szCs w:val="22"/>
              </w:rPr>
            </w:pPr>
          </w:p>
        </w:tc>
        <w:tc>
          <w:tcPr>
            <w:tcW w:w="8806" w:type="dxa"/>
            <w:gridSpan w:val="5"/>
          </w:tcPr>
          <w:p w:rsidR="00157870" w:rsidRPr="00295E71" w:rsidP="00157870" w14:paraId="3DC7916B" w14:textId="77777777">
            <w:pPr>
              <w:tabs>
                <w:tab w:val="left" w:pos="562"/>
              </w:tabs>
              <w:suppressAutoHyphens/>
              <w:jc w:val="center"/>
              <w:rPr>
                <w:b/>
                <w:sz w:val="22"/>
                <w:szCs w:val="22"/>
              </w:rPr>
            </w:pPr>
            <w:r w:rsidRPr="00295E71">
              <w:rPr>
                <w:b/>
                <w:sz w:val="22"/>
                <w:szCs w:val="22"/>
              </w:rPr>
              <w:t>TEMPO (MESI)</w:t>
            </w:r>
          </w:p>
        </w:tc>
      </w:tr>
      <w:tr w14:paraId="7FE008C9" w14:textId="77777777" w:rsidTr="00157870">
        <w:tblPrEx>
          <w:tblW w:w="9481" w:type="dxa"/>
          <w:tblLayout w:type="fixed"/>
          <w:tblLook w:val="04A0"/>
        </w:tblPrEx>
        <w:tc>
          <w:tcPr>
            <w:tcW w:w="675" w:type="dxa"/>
          </w:tcPr>
          <w:p w:rsidR="00157870" w:rsidRPr="00295E71" w:rsidP="00157870" w14:paraId="42B124A8" w14:textId="77777777">
            <w:pPr>
              <w:tabs>
                <w:tab w:val="left" w:pos="562"/>
              </w:tabs>
              <w:suppressAutoHyphens/>
              <w:rPr>
                <w:sz w:val="22"/>
                <w:szCs w:val="22"/>
              </w:rPr>
            </w:pPr>
          </w:p>
        </w:tc>
        <w:tc>
          <w:tcPr>
            <w:tcW w:w="3496" w:type="dxa"/>
          </w:tcPr>
          <w:p w:rsidR="00157870" w:rsidRPr="00295E71" w:rsidP="00157870" w14:paraId="20D806A4" w14:textId="77777777">
            <w:pPr>
              <w:tabs>
                <w:tab w:val="left" w:pos="562"/>
              </w:tabs>
              <w:suppressAutoHyphens/>
              <w:rPr>
                <w:sz w:val="22"/>
                <w:szCs w:val="22"/>
              </w:rPr>
            </w:pPr>
            <w:r w:rsidRPr="00295E71">
              <w:rPr>
                <w:sz w:val="22"/>
                <w:szCs w:val="22"/>
              </w:rPr>
              <w:t>Studio UV I                    Trattamento</w:t>
            </w:r>
          </w:p>
        </w:tc>
        <w:tc>
          <w:tcPr>
            <w:tcW w:w="1170" w:type="dxa"/>
          </w:tcPr>
          <w:p w:rsidR="00157870" w:rsidRPr="00295E71" w:rsidP="00157870" w14:paraId="1A83919B" w14:textId="77777777">
            <w:pPr>
              <w:tabs>
                <w:tab w:val="left" w:pos="562"/>
              </w:tabs>
              <w:suppressAutoHyphens/>
              <w:jc w:val="right"/>
              <w:rPr>
                <w:sz w:val="22"/>
                <w:szCs w:val="22"/>
              </w:rPr>
            </w:pPr>
            <w:r w:rsidRPr="003B3A5A">
              <w:rPr>
                <w:noProof/>
                <w:sz w:val="22"/>
                <w:lang w:val="en-GB"/>
              </w:rPr>
              <w:drawing>
                <wp:inline distT="0" distB="0" distL="0" distR="0">
                  <wp:extent cx="394970" cy="180340"/>
                  <wp:effectExtent l="0" t="0" r="0" b="0"/>
                  <wp:docPr id="113" name="Immagine 4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2" descr="Humira Uveitis Figure 5_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970" cy="180340"/>
                          </a:xfrm>
                          <a:prstGeom prst="rect">
                            <a:avLst/>
                          </a:prstGeom>
                          <a:noFill/>
                          <a:ln>
                            <a:noFill/>
                          </a:ln>
                        </pic:spPr>
                      </pic:pic>
                    </a:graphicData>
                  </a:graphic>
                </wp:inline>
              </w:drawing>
            </w:r>
          </w:p>
        </w:tc>
        <w:tc>
          <w:tcPr>
            <w:tcW w:w="1350" w:type="dxa"/>
          </w:tcPr>
          <w:p w:rsidR="00157870" w:rsidRPr="00295E71" w:rsidP="00157870" w14:paraId="44759A7C" w14:textId="77777777">
            <w:pPr>
              <w:tabs>
                <w:tab w:val="left" w:pos="562"/>
              </w:tabs>
              <w:suppressAutoHyphens/>
              <w:rPr>
                <w:sz w:val="22"/>
                <w:szCs w:val="22"/>
              </w:rPr>
            </w:pPr>
            <w:r w:rsidRPr="00295E71">
              <w:rPr>
                <w:sz w:val="22"/>
                <w:szCs w:val="22"/>
              </w:rPr>
              <w:t>Placebo</w:t>
            </w:r>
          </w:p>
        </w:tc>
        <w:tc>
          <w:tcPr>
            <w:tcW w:w="900" w:type="dxa"/>
          </w:tcPr>
          <w:p w:rsidR="00157870" w:rsidRPr="00295E71" w:rsidP="00157870" w14:paraId="6EB46335" w14:textId="77777777">
            <w:pPr>
              <w:tabs>
                <w:tab w:val="left" w:pos="562"/>
              </w:tabs>
              <w:suppressAutoHyphens/>
              <w:jc w:val="right"/>
              <w:rPr>
                <w:sz w:val="22"/>
                <w:szCs w:val="22"/>
              </w:rPr>
            </w:pPr>
            <w:r w:rsidRPr="003B3A5A">
              <w:rPr>
                <w:noProof/>
                <w:sz w:val="22"/>
                <w:lang w:val="en-GB"/>
              </w:rPr>
              <w:drawing>
                <wp:inline distT="0" distB="0" distL="0" distR="0">
                  <wp:extent cx="561340" cy="180340"/>
                  <wp:effectExtent l="0" t="0" r="0" b="0"/>
                  <wp:docPr id="114" name="Immagine 4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3" descr="Humira Uveitis Figure 5_2"/>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340" cy="180340"/>
                          </a:xfrm>
                          <a:prstGeom prst="rect">
                            <a:avLst/>
                          </a:prstGeom>
                          <a:noFill/>
                          <a:ln>
                            <a:noFill/>
                          </a:ln>
                        </pic:spPr>
                      </pic:pic>
                    </a:graphicData>
                  </a:graphic>
                </wp:inline>
              </w:drawing>
            </w:r>
          </w:p>
        </w:tc>
        <w:tc>
          <w:tcPr>
            <w:tcW w:w="1890" w:type="dxa"/>
          </w:tcPr>
          <w:p w:rsidR="00157870" w:rsidRPr="00295E71" w:rsidP="00157870" w14:paraId="194ED221" w14:textId="77777777">
            <w:pPr>
              <w:tabs>
                <w:tab w:val="left" w:pos="562"/>
              </w:tabs>
              <w:suppressAutoHyphens/>
              <w:rPr>
                <w:sz w:val="22"/>
                <w:szCs w:val="22"/>
              </w:rPr>
            </w:pPr>
            <w:r w:rsidRPr="00295E71">
              <w:rPr>
                <w:sz w:val="22"/>
                <w:szCs w:val="22"/>
              </w:rPr>
              <w:t>Adalimumab</w:t>
            </w:r>
          </w:p>
        </w:tc>
      </w:tr>
      <w:tr w14:paraId="5766DB2D" w14:textId="77777777" w:rsidTr="00157870">
        <w:tblPrEx>
          <w:tblW w:w="9481" w:type="dxa"/>
          <w:tblLayout w:type="fixed"/>
          <w:tblLook w:val="04A0"/>
        </w:tblPrEx>
        <w:tc>
          <w:tcPr>
            <w:tcW w:w="675" w:type="dxa"/>
          </w:tcPr>
          <w:p w:rsidR="00157870" w:rsidRPr="00295E71" w:rsidP="00157870" w14:paraId="50BE0E31" w14:textId="77777777">
            <w:pPr>
              <w:tabs>
                <w:tab w:val="left" w:pos="562"/>
              </w:tabs>
              <w:suppressAutoHyphens/>
              <w:rPr>
                <w:sz w:val="22"/>
                <w:szCs w:val="22"/>
              </w:rPr>
            </w:pPr>
          </w:p>
        </w:tc>
        <w:tc>
          <w:tcPr>
            <w:tcW w:w="3496" w:type="dxa"/>
          </w:tcPr>
          <w:p w:rsidR="00157870" w:rsidRPr="00295E71" w:rsidP="00157870" w14:paraId="26333B5A" w14:textId="77777777">
            <w:pPr>
              <w:tabs>
                <w:tab w:val="left" w:pos="562"/>
              </w:tabs>
              <w:suppressAutoHyphens/>
              <w:rPr>
                <w:sz w:val="22"/>
                <w:szCs w:val="22"/>
              </w:rPr>
            </w:pPr>
          </w:p>
        </w:tc>
        <w:tc>
          <w:tcPr>
            <w:tcW w:w="1170" w:type="dxa"/>
          </w:tcPr>
          <w:p w:rsidR="00157870" w:rsidRPr="00295E71" w:rsidP="00157870" w14:paraId="1678C576" w14:textId="77777777">
            <w:pPr>
              <w:tabs>
                <w:tab w:val="left" w:pos="562"/>
              </w:tabs>
              <w:suppressAutoHyphens/>
              <w:jc w:val="right"/>
              <w:rPr>
                <w:noProof/>
                <w:sz w:val="22"/>
                <w:szCs w:val="22"/>
              </w:rPr>
            </w:pPr>
          </w:p>
        </w:tc>
        <w:tc>
          <w:tcPr>
            <w:tcW w:w="1350" w:type="dxa"/>
          </w:tcPr>
          <w:p w:rsidR="00157870" w:rsidRPr="00295E71" w:rsidP="00157870" w14:paraId="323C0A92" w14:textId="77777777">
            <w:pPr>
              <w:tabs>
                <w:tab w:val="left" w:pos="562"/>
              </w:tabs>
              <w:suppressAutoHyphens/>
              <w:rPr>
                <w:sz w:val="22"/>
                <w:szCs w:val="22"/>
              </w:rPr>
            </w:pPr>
          </w:p>
        </w:tc>
        <w:tc>
          <w:tcPr>
            <w:tcW w:w="900" w:type="dxa"/>
          </w:tcPr>
          <w:p w:rsidR="00157870" w:rsidRPr="00295E71" w:rsidP="00157870" w14:paraId="446E608D" w14:textId="77777777">
            <w:pPr>
              <w:tabs>
                <w:tab w:val="left" w:pos="562"/>
              </w:tabs>
              <w:suppressAutoHyphens/>
              <w:jc w:val="right"/>
              <w:rPr>
                <w:noProof/>
                <w:sz w:val="22"/>
                <w:szCs w:val="22"/>
              </w:rPr>
            </w:pPr>
          </w:p>
        </w:tc>
        <w:tc>
          <w:tcPr>
            <w:tcW w:w="1890" w:type="dxa"/>
          </w:tcPr>
          <w:p w:rsidR="00157870" w:rsidRPr="00295E71" w:rsidP="00157870" w14:paraId="597ACF12" w14:textId="77777777">
            <w:pPr>
              <w:tabs>
                <w:tab w:val="left" w:pos="562"/>
              </w:tabs>
              <w:suppressAutoHyphens/>
              <w:rPr>
                <w:sz w:val="22"/>
                <w:szCs w:val="22"/>
              </w:rPr>
            </w:pPr>
          </w:p>
        </w:tc>
      </w:tr>
      <w:tr w14:paraId="613DFBB8" w14:textId="77777777" w:rsidTr="00157870">
        <w:tblPrEx>
          <w:tblW w:w="9481" w:type="dxa"/>
          <w:tblLayout w:type="fixed"/>
          <w:tblLook w:val="04A0"/>
        </w:tblPrEx>
        <w:trPr>
          <w:trHeight w:val="3869"/>
        </w:trPr>
        <w:tc>
          <w:tcPr>
            <w:tcW w:w="675" w:type="dxa"/>
            <w:textDirection w:val="btLr"/>
            <w:vAlign w:val="bottom"/>
          </w:tcPr>
          <w:p w:rsidR="00157870" w:rsidRPr="00295E71" w:rsidP="00157870" w14:paraId="1FF32DEF" w14:textId="77777777">
            <w:pPr>
              <w:tabs>
                <w:tab w:val="left" w:pos="562"/>
              </w:tabs>
              <w:suppressAutoHyphens/>
              <w:jc w:val="center"/>
              <w:rPr>
                <w:sz w:val="22"/>
                <w:szCs w:val="22"/>
                <w:lang w:eastAsia="en-US"/>
              </w:rPr>
            </w:pPr>
            <w:r w:rsidRPr="00295E71">
              <w:rPr>
                <w:b/>
                <w:sz w:val="22"/>
                <w:szCs w:val="22"/>
                <w:lang w:eastAsia="en-US"/>
              </w:rPr>
              <w:t>TASSO DI FALLIMENTO DEL TRATTAMENTO (%)</w:t>
            </w:r>
          </w:p>
        </w:tc>
        <w:tc>
          <w:tcPr>
            <w:tcW w:w="8806" w:type="dxa"/>
            <w:gridSpan w:val="5"/>
            <w:vAlign w:val="bottom"/>
          </w:tcPr>
          <w:p w:rsidR="00157870" w:rsidRPr="00295E71" w:rsidP="00157870" w14:paraId="4F35E278" w14:textId="77777777">
            <w:pPr>
              <w:tabs>
                <w:tab w:val="left" w:pos="562"/>
              </w:tabs>
              <w:suppressAutoHyphens/>
              <w:rPr>
                <w:sz w:val="22"/>
                <w:szCs w:val="22"/>
                <w:lang w:eastAsia="en-US"/>
              </w:rPr>
            </w:pPr>
            <w:r w:rsidRPr="003B3A5A">
              <w:rPr>
                <w:noProof/>
                <w:sz w:val="22"/>
                <w:lang w:val="en-GB"/>
              </w:rPr>
              <w:drawing>
                <wp:inline distT="0" distB="0" distL="0" distR="0">
                  <wp:extent cx="5486400" cy="2182495"/>
                  <wp:effectExtent l="0" t="0" r="0" b="8255"/>
                  <wp:docPr id="115" name="Picture 34"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 descr="Humira Uveitis Figure 5_7"/>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182495"/>
                          </a:xfrm>
                          <a:prstGeom prst="rect">
                            <a:avLst/>
                          </a:prstGeom>
                          <a:noFill/>
                          <a:ln>
                            <a:noFill/>
                          </a:ln>
                        </pic:spPr>
                      </pic:pic>
                    </a:graphicData>
                  </a:graphic>
                </wp:inline>
              </w:drawing>
            </w:r>
          </w:p>
        </w:tc>
      </w:tr>
      <w:tr w14:paraId="48D20206" w14:textId="77777777" w:rsidTr="00157870">
        <w:tblPrEx>
          <w:tblW w:w="9481" w:type="dxa"/>
          <w:tblLayout w:type="fixed"/>
          <w:tblLook w:val="04A0"/>
        </w:tblPrEx>
        <w:tc>
          <w:tcPr>
            <w:tcW w:w="675" w:type="dxa"/>
          </w:tcPr>
          <w:p w:rsidR="00157870" w:rsidRPr="00295E71" w:rsidP="00157870" w14:paraId="21EEB1CA" w14:textId="77777777">
            <w:pPr>
              <w:tabs>
                <w:tab w:val="left" w:pos="562"/>
              </w:tabs>
              <w:suppressAutoHyphens/>
              <w:rPr>
                <w:sz w:val="22"/>
                <w:szCs w:val="22"/>
                <w:lang w:eastAsia="en-US"/>
              </w:rPr>
            </w:pPr>
          </w:p>
        </w:tc>
        <w:tc>
          <w:tcPr>
            <w:tcW w:w="8806" w:type="dxa"/>
            <w:gridSpan w:val="5"/>
          </w:tcPr>
          <w:p w:rsidR="00157870" w:rsidRPr="00295E71" w:rsidP="00157870" w14:paraId="5D275418" w14:textId="77777777">
            <w:pPr>
              <w:tabs>
                <w:tab w:val="left" w:pos="562"/>
              </w:tabs>
              <w:suppressAutoHyphens/>
              <w:jc w:val="center"/>
              <w:rPr>
                <w:b/>
                <w:sz w:val="22"/>
                <w:szCs w:val="22"/>
              </w:rPr>
            </w:pPr>
            <w:r w:rsidRPr="00295E71">
              <w:rPr>
                <w:b/>
                <w:sz w:val="22"/>
                <w:szCs w:val="22"/>
              </w:rPr>
              <w:t>TEMPO (MESI)</w:t>
            </w:r>
          </w:p>
        </w:tc>
      </w:tr>
      <w:tr w14:paraId="291DE15F" w14:textId="77777777" w:rsidTr="00157870">
        <w:tblPrEx>
          <w:tblW w:w="9481" w:type="dxa"/>
          <w:tblLayout w:type="fixed"/>
          <w:tblLook w:val="04A0"/>
        </w:tblPrEx>
        <w:trPr>
          <w:trHeight w:val="369"/>
        </w:trPr>
        <w:tc>
          <w:tcPr>
            <w:tcW w:w="675" w:type="dxa"/>
          </w:tcPr>
          <w:p w:rsidR="00157870" w:rsidRPr="00295E71" w:rsidP="00157870" w14:paraId="3BA469D6" w14:textId="77777777">
            <w:pPr>
              <w:tabs>
                <w:tab w:val="left" w:pos="562"/>
              </w:tabs>
              <w:suppressAutoHyphens/>
              <w:rPr>
                <w:sz w:val="22"/>
                <w:szCs w:val="22"/>
              </w:rPr>
            </w:pPr>
          </w:p>
        </w:tc>
        <w:tc>
          <w:tcPr>
            <w:tcW w:w="3496" w:type="dxa"/>
          </w:tcPr>
          <w:p w:rsidR="00157870" w:rsidRPr="00295E71" w:rsidP="00157870" w14:paraId="2D7CFF6D" w14:textId="77777777">
            <w:pPr>
              <w:tabs>
                <w:tab w:val="left" w:pos="562"/>
              </w:tabs>
              <w:suppressAutoHyphens/>
              <w:rPr>
                <w:sz w:val="22"/>
                <w:szCs w:val="22"/>
              </w:rPr>
            </w:pPr>
            <w:r w:rsidRPr="00295E71">
              <w:rPr>
                <w:sz w:val="22"/>
                <w:szCs w:val="22"/>
              </w:rPr>
              <w:t>Studio UV II                   Trattamento</w:t>
            </w:r>
          </w:p>
        </w:tc>
        <w:tc>
          <w:tcPr>
            <w:tcW w:w="1170" w:type="dxa"/>
          </w:tcPr>
          <w:p w:rsidR="00157870" w:rsidRPr="00295E71" w:rsidP="00157870" w14:paraId="2F5FB36B" w14:textId="77777777">
            <w:pPr>
              <w:tabs>
                <w:tab w:val="left" w:pos="562"/>
              </w:tabs>
              <w:suppressAutoHyphens/>
              <w:jc w:val="right"/>
              <w:rPr>
                <w:sz w:val="22"/>
                <w:szCs w:val="22"/>
              </w:rPr>
            </w:pPr>
            <w:r w:rsidRPr="003B3A5A">
              <w:rPr>
                <w:noProof/>
                <w:sz w:val="22"/>
                <w:lang w:val="en-GB"/>
              </w:rPr>
              <w:drawing>
                <wp:inline distT="0" distB="0" distL="0" distR="0">
                  <wp:extent cx="394970" cy="180340"/>
                  <wp:effectExtent l="0" t="0" r="0" b="0"/>
                  <wp:docPr id="116" name="Immagine 4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5" descr="Humira Uveitis Figure 5_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970" cy="180340"/>
                          </a:xfrm>
                          <a:prstGeom prst="rect">
                            <a:avLst/>
                          </a:prstGeom>
                          <a:noFill/>
                          <a:ln>
                            <a:noFill/>
                          </a:ln>
                        </pic:spPr>
                      </pic:pic>
                    </a:graphicData>
                  </a:graphic>
                </wp:inline>
              </w:drawing>
            </w:r>
          </w:p>
        </w:tc>
        <w:tc>
          <w:tcPr>
            <w:tcW w:w="1350" w:type="dxa"/>
          </w:tcPr>
          <w:p w:rsidR="00157870" w:rsidRPr="00295E71" w:rsidP="00157870" w14:paraId="0572D9E7" w14:textId="77777777">
            <w:pPr>
              <w:tabs>
                <w:tab w:val="left" w:pos="562"/>
              </w:tabs>
              <w:suppressAutoHyphens/>
              <w:rPr>
                <w:sz w:val="22"/>
                <w:szCs w:val="22"/>
                <w:lang w:eastAsia="en-US"/>
              </w:rPr>
            </w:pPr>
            <w:r w:rsidRPr="00295E71">
              <w:rPr>
                <w:sz w:val="22"/>
                <w:szCs w:val="22"/>
              </w:rPr>
              <w:t>Placebo</w:t>
            </w:r>
          </w:p>
        </w:tc>
        <w:tc>
          <w:tcPr>
            <w:tcW w:w="900" w:type="dxa"/>
          </w:tcPr>
          <w:p w:rsidR="00157870" w:rsidRPr="00295E71" w:rsidP="00157870" w14:paraId="221E3814" w14:textId="77777777">
            <w:pPr>
              <w:tabs>
                <w:tab w:val="left" w:pos="562"/>
              </w:tabs>
              <w:suppressAutoHyphens/>
              <w:jc w:val="right"/>
              <w:rPr>
                <w:sz w:val="22"/>
                <w:szCs w:val="22"/>
              </w:rPr>
            </w:pPr>
            <w:r w:rsidRPr="003B3A5A">
              <w:rPr>
                <w:noProof/>
                <w:sz w:val="22"/>
                <w:lang w:val="en-GB"/>
              </w:rPr>
              <w:drawing>
                <wp:inline distT="0" distB="0" distL="0" distR="0">
                  <wp:extent cx="561340" cy="180340"/>
                  <wp:effectExtent l="0" t="0" r="0" b="0"/>
                  <wp:docPr id="117" name="Immagine 4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6" descr="Humira Uveitis Figure 5_2"/>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340" cy="180340"/>
                          </a:xfrm>
                          <a:prstGeom prst="rect">
                            <a:avLst/>
                          </a:prstGeom>
                          <a:noFill/>
                          <a:ln>
                            <a:noFill/>
                          </a:ln>
                        </pic:spPr>
                      </pic:pic>
                    </a:graphicData>
                  </a:graphic>
                </wp:inline>
              </w:drawing>
            </w:r>
          </w:p>
        </w:tc>
        <w:tc>
          <w:tcPr>
            <w:tcW w:w="1890" w:type="dxa"/>
          </w:tcPr>
          <w:p w:rsidR="00157870" w:rsidRPr="00295E71" w:rsidP="00157870" w14:paraId="7C5A23D7" w14:textId="77777777">
            <w:pPr>
              <w:tabs>
                <w:tab w:val="left" w:pos="562"/>
              </w:tabs>
              <w:suppressAutoHyphens/>
              <w:rPr>
                <w:sz w:val="22"/>
                <w:szCs w:val="22"/>
              </w:rPr>
            </w:pPr>
            <w:r w:rsidRPr="00295E71">
              <w:rPr>
                <w:sz w:val="22"/>
                <w:szCs w:val="22"/>
              </w:rPr>
              <w:t>Adalimumab</w:t>
            </w:r>
          </w:p>
        </w:tc>
      </w:tr>
      <w:tr w14:paraId="01A9C453" w14:textId="77777777" w:rsidTr="00157870">
        <w:tblPrEx>
          <w:tblW w:w="9481" w:type="dxa"/>
          <w:tblLayout w:type="fixed"/>
          <w:tblLook w:val="04A0"/>
        </w:tblPrEx>
        <w:trPr>
          <w:trHeight w:val="629"/>
        </w:trPr>
        <w:tc>
          <w:tcPr>
            <w:tcW w:w="9481" w:type="dxa"/>
            <w:gridSpan w:val="6"/>
            <w:vAlign w:val="center"/>
          </w:tcPr>
          <w:p w:rsidR="00157870" w:rsidRPr="00295E71" w:rsidP="00157870" w14:paraId="7A5BD37F" w14:textId="77777777">
            <w:pPr>
              <w:tabs>
                <w:tab w:val="left" w:pos="562"/>
              </w:tabs>
              <w:suppressAutoHyphens/>
              <w:rPr>
                <w:sz w:val="22"/>
                <w:szCs w:val="22"/>
                <w:lang w:eastAsia="en-US"/>
              </w:rPr>
            </w:pPr>
            <w:r w:rsidRPr="00295E71">
              <w:rPr>
                <w:sz w:val="22"/>
                <w:szCs w:val="22"/>
                <w:lang w:eastAsia="en-US"/>
              </w:rPr>
              <w:t>Nota: P# = Placebo (Numero di eventi/Numero a rischio); A# = HUMIRA (Numero di</w:t>
            </w:r>
          </w:p>
          <w:p w:rsidR="00157870" w:rsidRPr="00295E71" w:rsidP="00157870" w14:paraId="2FCDB51C" w14:textId="77777777">
            <w:pPr>
              <w:tabs>
                <w:tab w:val="left" w:pos="562"/>
              </w:tabs>
              <w:suppressAutoHyphens/>
              <w:rPr>
                <w:sz w:val="22"/>
                <w:szCs w:val="22"/>
              </w:rPr>
            </w:pPr>
            <w:r w:rsidRPr="00295E71">
              <w:rPr>
                <w:sz w:val="22"/>
                <w:szCs w:val="22"/>
              </w:rPr>
              <w:t>eventi/Numero a rischio).</w:t>
            </w:r>
          </w:p>
        </w:tc>
      </w:tr>
    </w:tbl>
    <w:p w:rsidR="00157870" w:rsidRPr="00295E71" w:rsidP="00157870" w14:paraId="68DD4CC3" w14:textId="77777777">
      <w:pPr>
        <w:tabs>
          <w:tab w:val="left" w:pos="562"/>
        </w:tabs>
        <w:suppressAutoHyphens/>
        <w:rPr>
          <w:sz w:val="22"/>
          <w:szCs w:val="22"/>
        </w:rPr>
      </w:pPr>
    </w:p>
    <w:p w:rsidR="00157870" w:rsidRPr="00295E71" w:rsidP="00157870" w14:paraId="0CD6BFEB" w14:textId="77777777">
      <w:pPr>
        <w:tabs>
          <w:tab w:val="left" w:pos="562"/>
        </w:tabs>
        <w:suppressAutoHyphens/>
        <w:rPr>
          <w:sz w:val="22"/>
          <w:szCs w:val="22"/>
          <w:lang w:eastAsia="en-US"/>
        </w:rPr>
      </w:pPr>
      <w:r w:rsidRPr="00295E71">
        <w:rPr>
          <w:sz w:val="22"/>
          <w:szCs w:val="22"/>
          <w:lang w:eastAsia="en-US"/>
        </w:rPr>
        <w:t>Nello Studio UV I sono state osservate differenze statisticamente significative a favore di adalimumab rispetto al placebo per ogni componente del fallimento del trattamento. Nello Studio UV II sono state osservate differenze statisticamente significative solo per l’acuità visiva, mentre gli altri componenti erano numericamente a favore di adalimumab.</w:t>
      </w:r>
    </w:p>
    <w:p w:rsidR="00157870" w:rsidRPr="00295E71" w:rsidP="00157870" w14:paraId="258D489B" w14:textId="77777777">
      <w:pPr>
        <w:tabs>
          <w:tab w:val="left" w:pos="562"/>
        </w:tabs>
        <w:suppressAutoHyphens/>
        <w:rPr>
          <w:sz w:val="22"/>
          <w:szCs w:val="22"/>
          <w:lang w:eastAsia="en-US"/>
        </w:rPr>
      </w:pPr>
    </w:p>
    <w:p w:rsidR="00157870" w:rsidRPr="00295E71" w:rsidP="00004788" w14:paraId="3827188F" w14:textId="77777777">
      <w:pPr>
        <w:tabs>
          <w:tab w:val="left" w:pos="562"/>
        </w:tabs>
        <w:suppressAutoHyphens/>
        <w:rPr>
          <w:sz w:val="22"/>
          <w:szCs w:val="22"/>
          <w:lang w:eastAsia="en-US"/>
        </w:rPr>
      </w:pPr>
      <w:r w:rsidRPr="00295E71">
        <w:rPr>
          <w:sz w:val="22"/>
          <w:szCs w:val="22"/>
          <w:lang w:eastAsia="en-US"/>
        </w:rPr>
        <w:t xml:space="preserve">Dei </w:t>
      </w:r>
      <w:r w:rsidR="00004788">
        <w:rPr>
          <w:sz w:val="22"/>
          <w:szCs w:val="22"/>
          <w:lang w:eastAsia="en-US"/>
        </w:rPr>
        <w:t>424</w:t>
      </w:r>
      <w:r w:rsidRPr="00295E71" w:rsidR="00004788">
        <w:rPr>
          <w:sz w:val="22"/>
          <w:szCs w:val="22"/>
          <w:lang w:eastAsia="en-US"/>
        </w:rPr>
        <w:t xml:space="preserve"> </w:t>
      </w:r>
      <w:r w:rsidRPr="00295E71">
        <w:rPr>
          <w:sz w:val="22"/>
          <w:szCs w:val="22"/>
          <w:lang w:eastAsia="en-US"/>
        </w:rPr>
        <w:t xml:space="preserve">soggetti inclusi nell’estensione a lungo termine non controllata degli Studi UV I ed UV II, </w:t>
      </w:r>
      <w:r w:rsidR="00004788">
        <w:rPr>
          <w:sz w:val="22"/>
          <w:szCs w:val="22"/>
          <w:lang w:eastAsia="en-US"/>
        </w:rPr>
        <w:t>60</w:t>
      </w:r>
      <w:r w:rsidRPr="00295E71" w:rsidR="00004788">
        <w:rPr>
          <w:sz w:val="22"/>
          <w:szCs w:val="22"/>
          <w:lang w:eastAsia="en-US"/>
        </w:rPr>
        <w:t xml:space="preserve"> </w:t>
      </w:r>
      <w:r w:rsidRPr="00295E71">
        <w:rPr>
          <w:sz w:val="22"/>
          <w:szCs w:val="22"/>
          <w:lang w:eastAsia="en-US"/>
        </w:rPr>
        <w:t xml:space="preserve">soggetti sono stati considerati non eleggibili (ad es. </w:t>
      </w:r>
      <w:bookmarkStart w:id="40" w:name="_Hlk8650764"/>
      <w:r w:rsidR="00004788">
        <w:rPr>
          <w:sz w:val="22"/>
          <w:szCs w:val="22"/>
          <w:lang w:eastAsia="en-US"/>
        </w:rPr>
        <w:t xml:space="preserve">a causa di deviazioni o per </w:t>
      </w:r>
      <w:bookmarkEnd w:id="40"/>
      <w:r w:rsidRPr="00295E71">
        <w:rPr>
          <w:sz w:val="22"/>
          <w:szCs w:val="22"/>
          <w:lang w:eastAsia="en-US"/>
        </w:rPr>
        <w:t xml:space="preserve">complicazioni secondarie alla retinopatia diabetica, a causa di intervento chirurgico di cataratta o vitrectomia) e sono stati esclusi dall’analisi primaria di efficacia. Dei </w:t>
      </w:r>
      <w:r w:rsidR="00004788">
        <w:rPr>
          <w:sz w:val="22"/>
          <w:szCs w:val="22"/>
          <w:lang w:eastAsia="en-US"/>
        </w:rPr>
        <w:t>364</w:t>
      </w:r>
      <w:r w:rsidRPr="00295E71" w:rsidR="00004788">
        <w:rPr>
          <w:sz w:val="22"/>
          <w:szCs w:val="22"/>
          <w:lang w:eastAsia="en-US"/>
        </w:rPr>
        <w:t xml:space="preserve"> </w:t>
      </w:r>
      <w:r w:rsidRPr="00295E71">
        <w:rPr>
          <w:sz w:val="22"/>
          <w:szCs w:val="22"/>
          <w:lang w:eastAsia="en-US"/>
        </w:rPr>
        <w:t xml:space="preserve">pazienti rimanenti, </w:t>
      </w:r>
      <w:r w:rsidR="00004788">
        <w:rPr>
          <w:sz w:val="22"/>
          <w:szCs w:val="22"/>
          <w:lang w:eastAsia="en-US"/>
        </w:rPr>
        <w:t>269</w:t>
      </w:r>
      <w:r w:rsidRPr="00295E71" w:rsidR="00004788">
        <w:rPr>
          <w:sz w:val="22"/>
          <w:szCs w:val="22"/>
          <w:lang w:eastAsia="en-US"/>
        </w:rPr>
        <w:t xml:space="preserve"> </w:t>
      </w:r>
      <w:r w:rsidRPr="00295E71">
        <w:rPr>
          <w:sz w:val="22"/>
          <w:szCs w:val="22"/>
          <w:lang w:eastAsia="en-US"/>
        </w:rPr>
        <w:t xml:space="preserve">pazienti </w:t>
      </w:r>
      <w:r w:rsidRPr="005641FA">
        <w:rPr>
          <w:sz w:val="22"/>
          <w:szCs w:val="22"/>
          <w:lang w:eastAsia="en-US"/>
        </w:rPr>
        <w:t>valutabili</w:t>
      </w:r>
      <w:r w:rsidRPr="00295E71">
        <w:rPr>
          <w:sz w:val="22"/>
          <w:szCs w:val="22"/>
          <w:lang w:eastAsia="en-US"/>
        </w:rPr>
        <w:t xml:space="preserve"> </w:t>
      </w:r>
      <w:r w:rsidR="00004788">
        <w:rPr>
          <w:sz w:val="22"/>
          <w:szCs w:val="22"/>
          <w:lang w:eastAsia="en-US"/>
        </w:rPr>
        <w:t xml:space="preserve">(74%) </w:t>
      </w:r>
      <w:r w:rsidRPr="00295E71">
        <w:rPr>
          <w:sz w:val="22"/>
          <w:szCs w:val="22"/>
          <w:lang w:eastAsia="en-US"/>
        </w:rPr>
        <w:t xml:space="preserve">hanno raggiunto 78 settimane di trattamento in aperto con adalimumab. In base all’approccio utilizzato per l’osservazione dei dati, </w:t>
      </w:r>
      <w:r w:rsidR="00004788">
        <w:rPr>
          <w:sz w:val="22"/>
          <w:szCs w:val="22"/>
          <w:lang w:eastAsia="en-US"/>
        </w:rPr>
        <w:t>216</w:t>
      </w:r>
      <w:r w:rsidRPr="00295E71" w:rsidR="00004788">
        <w:rPr>
          <w:sz w:val="22"/>
          <w:szCs w:val="22"/>
          <w:lang w:eastAsia="en-US"/>
        </w:rPr>
        <w:t xml:space="preserve"> </w:t>
      </w:r>
      <w:r w:rsidRPr="00295E71">
        <w:rPr>
          <w:sz w:val="22"/>
          <w:szCs w:val="22"/>
          <w:lang w:eastAsia="en-US"/>
        </w:rPr>
        <w:t>(80,</w:t>
      </w:r>
      <w:r w:rsidR="00004788">
        <w:rPr>
          <w:sz w:val="22"/>
          <w:szCs w:val="22"/>
          <w:lang w:eastAsia="en-US"/>
        </w:rPr>
        <w:t>3</w:t>
      </w:r>
      <w:r w:rsidRPr="00295E71">
        <w:rPr>
          <w:sz w:val="22"/>
          <w:szCs w:val="22"/>
          <w:lang w:eastAsia="en-US"/>
        </w:rPr>
        <w:t xml:space="preserve">%) sono stati in quiescenza (nessuna lesione infiammatoria attiva, grado di cellule AC ≤ 0,5+, grado VH ≤ 0,5+) con una dose concomitante di steroidi ≤ 7,5 mg al giorno, e </w:t>
      </w:r>
      <w:r w:rsidR="00004788">
        <w:rPr>
          <w:sz w:val="22"/>
          <w:szCs w:val="22"/>
          <w:lang w:eastAsia="en-US"/>
        </w:rPr>
        <w:t>178</w:t>
      </w:r>
      <w:r w:rsidRPr="00295E71" w:rsidR="00004788">
        <w:rPr>
          <w:sz w:val="22"/>
          <w:szCs w:val="22"/>
          <w:lang w:eastAsia="en-US"/>
        </w:rPr>
        <w:t xml:space="preserve"> </w:t>
      </w:r>
      <w:r w:rsidRPr="00295E71">
        <w:rPr>
          <w:sz w:val="22"/>
          <w:szCs w:val="22"/>
          <w:lang w:eastAsia="en-US"/>
        </w:rPr>
        <w:t>(66,</w:t>
      </w:r>
      <w:r w:rsidR="00004788">
        <w:rPr>
          <w:sz w:val="22"/>
          <w:szCs w:val="22"/>
          <w:lang w:eastAsia="en-US"/>
        </w:rPr>
        <w:t>2</w:t>
      </w:r>
      <w:r w:rsidRPr="00295E71">
        <w:rPr>
          <w:sz w:val="22"/>
          <w:szCs w:val="22"/>
          <w:lang w:eastAsia="en-US"/>
        </w:rPr>
        <w:t>%) sono stati in quiescenza senza trattamento steroideo. BCVA era migliorat</w:t>
      </w:r>
      <w:r w:rsidR="00DE3314">
        <w:rPr>
          <w:sz w:val="22"/>
          <w:szCs w:val="22"/>
          <w:lang w:eastAsia="en-US"/>
        </w:rPr>
        <w:t>a</w:t>
      </w:r>
      <w:r w:rsidRPr="00295E71">
        <w:rPr>
          <w:sz w:val="22"/>
          <w:szCs w:val="22"/>
          <w:lang w:eastAsia="en-US"/>
        </w:rPr>
        <w:t xml:space="preserve"> o mantenut</w:t>
      </w:r>
      <w:r w:rsidR="00DE3314">
        <w:rPr>
          <w:sz w:val="22"/>
          <w:szCs w:val="22"/>
          <w:lang w:eastAsia="en-US"/>
        </w:rPr>
        <w:t>a</w:t>
      </w:r>
      <w:r w:rsidRPr="00295E71">
        <w:rPr>
          <w:sz w:val="22"/>
          <w:szCs w:val="22"/>
          <w:lang w:eastAsia="en-US"/>
        </w:rPr>
        <w:t xml:space="preserve"> (deteriorazione &lt; 5 lettere) nell’88,</w:t>
      </w:r>
      <w:r w:rsidR="00004788">
        <w:rPr>
          <w:sz w:val="22"/>
          <w:szCs w:val="22"/>
          <w:lang w:eastAsia="en-US"/>
        </w:rPr>
        <w:t>6</w:t>
      </w:r>
      <w:r w:rsidRPr="00295E71">
        <w:rPr>
          <w:sz w:val="22"/>
          <w:szCs w:val="22"/>
          <w:lang w:eastAsia="en-US"/>
        </w:rPr>
        <w:t>% degli occhi alla settimana 78.</w:t>
      </w:r>
      <w:r w:rsidR="00004788">
        <w:rPr>
          <w:sz w:val="22"/>
          <w:szCs w:val="22"/>
          <w:lang w:eastAsia="en-US"/>
        </w:rPr>
        <w:t xml:space="preserve"> </w:t>
      </w:r>
      <w:bookmarkStart w:id="41" w:name="_Hlk8650757"/>
      <w:r w:rsidRPr="00004788" w:rsidR="00004788">
        <w:rPr>
          <w:sz w:val="22"/>
          <w:szCs w:val="22"/>
          <w:lang w:eastAsia="en-US"/>
        </w:rPr>
        <w:t xml:space="preserve">I dati oltre la settimana 78 </w:t>
      </w:r>
      <w:r w:rsidR="00291165">
        <w:rPr>
          <w:sz w:val="22"/>
          <w:szCs w:val="22"/>
          <w:lang w:eastAsia="en-US"/>
        </w:rPr>
        <w:t>sono stati</w:t>
      </w:r>
      <w:r w:rsidRPr="00004788" w:rsidR="00004788">
        <w:rPr>
          <w:sz w:val="22"/>
          <w:szCs w:val="22"/>
          <w:lang w:eastAsia="en-US"/>
        </w:rPr>
        <w:t xml:space="preserve"> generalmente coerenti con questi risultati, ma il numero di soggetti arruolati è diminuito dopo questo periodo</w:t>
      </w:r>
      <w:r w:rsidR="00004788">
        <w:rPr>
          <w:sz w:val="22"/>
          <w:szCs w:val="22"/>
          <w:lang w:eastAsia="en-US"/>
        </w:rPr>
        <w:t>.</w:t>
      </w:r>
      <w:r w:rsidRPr="00004788" w:rsidR="00004788">
        <w:rPr>
          <w:sz w:val="22"/>
          <w:szCs w:val="22"/>
          <w:lang w:eastAsia="en-US"/>
        </w:rPr>
        <w:t xml:space="preserve"> </w:t>
      </w:r>
      <w:r w:rsidR="00004788">
        <w:rPr>
          <w:sz w:val="22"/>
          <w:szCs w:val="22"/>
          <w:lang w:eastAsia="en-US"/>
        </w:rPr>
        <w:t xml:space="preserve">Complessivamente </w:t>
      </w:r>
      <w:bookmarkEnd w:id="41"/>
      <w:r w:rsidR="00004788">
        <w:rPr>
          <w:sz w:val="22"/>
          <w:szCs w:val="22"/>
          <w:lang w:eastAsia="en-US"/>
        </w:rPr>
        <w:t>t</w:t>
      </w:r>
      <w:r w:rsidRPr="00295E71">
        <w:rPr>
          <w:sz w:val="22"/>
          <w:szCs w:val="22"/>
          <w:lang w:eastAsia="en-US"/>
        </w:rPr>
        <w:t xml:space="preserve">ra i pazienti che hanno interrotto lo studio, </w:t>
      </w:r>
      <w:r w:rsidR="00004788">
        <w:rPr>
          <w:sz w:val="22"/>
          <w:szCs w:val="22"/>
          <w:lang w:eastAsia="en-US"/>
        </w:rPr>
        <w:t xml:space="preserve">il </w:t>
      </w:r>
      <w:r w:rsidRPr="00295E71">
        <w:rPr>
          <w:sz w:val="22"/>
          <w:szCs w:val="22"/>
          <w:lang w:eastAsia="en-US"/>
        </w:rPr>
        <w:t>1</w:t>
      </w:r>
      <w:r w:rsidR="00004788">
        <w:rPr>
          <w:sz w:val="22"/>
          <w:szCs w:val="22"/>
          <w:lang w:eastAsia="en-US"/>
        </w:rPr>
        <w:t>8</w:t>
      </w:r>
      <w:r w:rsidRPr="00295E71">
        <w:rPr>
          <w:sz w:val="22"/>
          <w:szCs w:val="22"/>
          <w:lang w:eastAsia="en-US"/>
        </w:rPr>
        <w:t>% ha interrotto a causa di eventi avversi, e</w:t>
      </w:r>
      <w:r w:rsidR="00291165">
        <w:rPr>
          <w:sz w:val="22"/>
          <w:szCs w:val="22"/>
          <w:lang w:eastAsia="en-US"/>
        </w:rPr>
        <w:t xml:space="preserve"> l’</w:t>
      </w:r>
      <w:r w:rsidRPr="00295E71">
        <w:rPr>
          <w:sz w:val="22"/>
          <w:szCs w:val="22"/>
          <w:lang w:eastAsia="en-US"/>
        </w:rPr>
        <w:t xml:space="preserve"> </w:t>
      </w:r>
      <w:r w:rsidR="00291165">
        <w:rPr>
          <w:sz w:val="22"/>
          <w:szCs w:val="22"/>
          <w:lang w:eastAsia="en-US"/>
        </w:rPr>
        <w:t>8</w:t>
      </w:r>
      <w:r w:rsidRPr="00295E71">
        <w:rPr>
          <w:sz w:val="22"/>
          <w:szCs w:val="22"/>
          <w:lang w:eastAsia="en-US"/>
        </w:rPr>
        <w:t>% a causa di risposta insufficiente al trattamento con adalimumab.</w:t>
      </w:r>
    </w:p>
    <w:p w:rsidR="00291165" w:rsidP="00157870" w14:paraId="4EE5ECE8" w14:textId="77777777">
      <w:pPr>
        <w:tabs>
          <w:tab w:val="left" w:pos="562"/>
        </w:tabs>
        <w:suppressAutoHyphens/>
        <w:rPr>
          <w:i/>
          <w:sz w:val="22"/>
          <w:szCs w:val="22"/>
          <w:u w:val="single"/>
          <w:lang w:eastAsia="en-US"/>
        </w:rPr>
      </w:pPr>
    </w:p>
    <w:p w:rsidR="00157870" w:rsidRPr="00295E71" w:rsidP="00157870" w14:paraId="65BE5AA5" w14:textId="77777777">
      <w:pPr>
        <w:tabs>
          <w:tab w:val="left" w:pos="562"/>
        </w:tabs>
        <w:suppressAutoHyphens/>
        <w:rPr>
          <w:i/>
          <w:sz w:val="22"/>
          <w:szCs w:val="22"/>
          <w:u w:val="single"/>
          <w:lang w:eastAsia="en-US"/>
        </w:rPr>
      </w:pPr>
      <w:r w:rsidRPr="00295E71">
        <w:rPr>
          <w:i/>
          <w:sz w:val="22"/>
          <w:szCs w:val="22"/>
          <w:u w:val="single"/>
          <w:lang w:eastAsia="en-US"/>
        </w:rPr>
        <w:t>Qualità della vita</w:t>
      </w:r>
    </w:p>
    <w:p w:rsidR="00157870" w:rsidRPr="00295E71" w:rsidP="00157870" w14:paraId="52A84807" w14:textId="77777777">
      <w:pPr>
        <w:tabs>
          <w:tab w:val="left" w:pos="562"/>
        </w:tabs>
        <w:suppressAutoHyphens/>
        <w:rPr>
          <w:i/>
          <w:sz w:val="22"/>
          <w:szCs w:val="22"/>
          <w:u w:val="single"/>
          <w:lang w:eastAsia="en-US"/>
        </w:rPr>
      </w:pPr>
    </w:p>
    <w:p w:rsidR="00157870" w:rsidRPr="00295E71" w:rsidP="00157870" w14:paraId="1CE01773" w14:textId="77777777">
      <w:pPr>
        <w:tabs>
          <w:tab w:val="left" w:pos="567"/>
          <w:tab w:val="left" w:pos="1294"/>
        </w:tabs>
        <w:autoSpaceDE w:val="0"/>
        <w:autoSpaceDN w:val="0"/>
        <w:adjustRightInd w:val="0"/>
        <w:jc w:val="both"/>
        <w:rPr>
          <w:sz w:val="22"/>
          <w:szCs w:val="22"/>
          <w:lang w:eastAsia="en-US"/>
        </w:rPr>
      </w:pPr>
      <w:r w:rsidRPr="00295E71">
        <w:rPr>
          <w:sz w:val="22"/>
          <w:szCs w:val="22"/>
          <w:lang w:eastAsia="en-US"/>
        </w:rPr>
        <w:t>Gli esiti riferiti dal paziente per quanto riguarda la funzione visiva sono stati misurati in entrambi gli studi clinici, utilizzando la scala NEI VFQ-25. Humira è stato numericamente favorito per la maggior parte dei punteggi parziali con differenze medie statisticamente significative per la visione generale, il dolore oculare, la visione da vicino, la salute mentale e il punteggio totale nello Studio UV I e per la visione generale e la salute mentale nello Studio UV II. Gli effetti legati alla visione non erano numericamente a favore di Humira per la visione del colore nello Studio UV I e per la visione del colore, la visione periferica e la visione da vicino nello Studio UV II.</w:t>
      </w:r>
    </w:p>
    <w:p w:rsidR="00157870" w:rsidRPr="00295E71" w:rsidP="00157870" w14:paraId="5BF067A0" w14:textId="77777777">
      <w:pPr>
        <w:tabs>
          <w:tab w:val="left" w:pos="567"/>
          <w:tab w:val="left" w:pos="1294"/>
        </w:tabs>
        <w:autoSpaceDE w:val="0"/>
        <w:autoSpaceDN w:val="0"/>
        <w:adjustRightInd w:val="0"/>
        <w:jc w:val="both"/>
        <w:rPr>
          <w:sz w:val="22"/>
          <w:szCs w:val="22"/>
          <w:lang w:eastAsia="en-US"/>
        </w:rPr>
      </w:pPr>
    </w:p>
    <w:p w:rsidR="00157870" w:rsidRPr="00295E71" w:rsidP="00157870" w14:paraId="30C43E97" w14:textId="77777777">
      <w:pPr>
        <w:keepNext/>
        <w:keepLines/>
        <w:tabs>
          <w:tab w:val="left" w:pos="567"/>
          <w:tab w:val="left" w:pos="1294"/>
        </w:tabs>
        <w:autoSpaceDE w:val="0"/>
        <w:autoSpaceDN w:val="0"/>
        <w:adjustRightInd w:val="0"/>
        <w:jc w:val="both"/>
        <w:rPr>
          <w:color w:val="000000"/>
          <w:sz w:val="22"/>
          <w:szCs w:val="22"/>
          <w:u w:val="single"/>
        </w:rPr>
      </w:pPr>
      <w:r w:rsidRPr="00295E71">
        <w:rPr>
          <w:color w:val="000000"/>
          <w:sz w:val="22"/>
          <w:szCs w:val="22"/>
          <w:u w:val="single"/>
        </w:rPr>
        <w:t>Immunogenicità</w:t>
      </w:r>
    </w:p>
    <w:p w:rsidR="00157870" w:rsidRPr="00295E71" w:rsidP="00157870" w14:paraId="73A1FC0C" w14:textId="77777777">
      <w:pPr>
        <w:keepNext/>
        <w:keepLines/>
        <w:tabs>
          <w:tab w:val="left" w:pos="567"/>
          <w:tab w:val="left" w:pos="1294"/>
        </w:tabs>
        <w:autoSpaceDE w:val="0"/>
        <w:autoSpaceDN w:val="0"/>
        <w:adjustRightInd w:val="0"/>
        <w:jc w:val="both"/>
        <w:rPr>
          <w:color w:val="000000"/>
          <w:sz w:val="22"/>
          <w:szCs w:val="22"/>
          <w:u w:val="single"/>
        </w:rPr>
      </w:pPr>
    </w:p>
    <w:p w:rsidR="00157870" w:rsidRPr="00295E71" w:rsidP="00157870" w14:paraId="284F465B" w14:textId="77777777">
      <w:pPr>
        <w:keepNext/>
        <w:keepLines/>
        <w:tabs>
          <w:tab w:val="left" w:pos="567"/>
          <w:tab w:val="left" w:pos="1294"/>
        </w:tabs>
        <w:autoSpaceDE w:val="0"/>
        <w:autoSpaceDN w:val="0"/>
        <w:adjustRightInd w:val="0"/>
        <w:jc w:val="both"/>
        <w:rPr>
          <w:color w:val="000000"/>
          <w:sz w:val="22"/>
          <w:szCs w:val="22"/>
        </w:rPr>
      </w:pPr>
      <w:r w:rsidRPr="00295E71">
        <w:rPr>
          <w:color w:val="000000"/>
          <w:sz w:val="22"/>
          <w:szCs w:val="22"/>
        </w:rPr>
        <w:t>La formazione di anticorpi anti-adalimumab è associata all’aumento della clearance ed alla riduzione dell’efficacia di adalimumab. Non esiste una correlazione evidente tra la presenza di anticorpi anti-adalimumab e l’insorgenza di eventi avversi.</w:t>
      </w:r>
    </w:p>
    <w:p w:rsidR="00157870" w:rsidRPr="00295E71" w:rsidP="00157870" w14:paraId="044ADD6A" w14:textId="77777777">
      <w:pPr>
        <w:tabs>
          <w:tab w:val="left" w:pos="567"/>
          <w:tab w:val="left" w:pos="1294"/>
        </w:tabs>
        <w:autoSpaceDE w:val="0"/>
        <w:autoSpaceDN w:val="0"/>
        <w:adjustRightInd w:val="0"/>
        <w:jc w:val="both"/>
        <w:rPr>
          <w:color w:val="000000"/>
          <w:sz w:val="22"/>
          <w:szCs w:val="22"/>
        </w:rPr>
      </w:pPr>
    </w:p>
    <w:p w:rsidR="00157870" w:rsidRPr="00295E71" w:rsidP="00157870" w14:paraId="471CE281"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Nei pazienti </w:t>
      </w:r>
      <w:r w:rsidRPr="00295E71" w:rsidR="00224E13">
        <w:rPr>
          <w:color w:val="000000"/>
          <w:sz w:val="22"/>
          <w:szCs w:val="22"/>
        </w:rPr>
        <w:t>con</w:t>
      </w:r>
      <w:r w:rsidRPr="00295E71">
        <w:rPr>
          <w:color w:val="000000"/>
          <w:sz w:val="22"/>
          <w:szCs w:val="22"/>
        </w:rPr>
        <w:t xml:space="preserve"> artrite idiopatica giovanile poliarticolare di età compresa tra 4 e 17 anni, sono stati identificati anticorpi anti-adalimumab nel 15,8% dei pazienti (27/171) trattati con adalimumab. </w:t>
      </w:r>
    </w:p>
    <w:p w:rsidR="00157870" w:rsidRPr="00295E71" w:rsidP="00157870" w14:paraId="3A2A5524"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Nei pazienti ai quali non è stato somministrato </w:t>
      </w:r>
      <w:r w:rsidR="00DE3314">
        <w:rPr>
          <w:color w:val="000000"/>
          <w:sz w:val="22"/>
          <w:szCs w:val="22"/>
        </w:rPr>
        <w:t xml:space="preserve">contemporaneamente </w:t>
      </w:r>
      <w:r w:rsidRPr="00295E71">
        <w:rPr>
          <w:color w:val="000000"/>
          <w:sz w:val="22"/>
          <w:szCs w:val="22"/>
        </w:rPr>
        <w:t>metotressato, l’incidenza è stata pari al</w:t>
      </w:r>
      <w:r w:rsidRPr="00295E71" w:rsidR="007F1EB6">
        <w:rPr>
          <w:color w:val="000000"/>
          <w:sz w:val="22"/>
          <w:szCs w:val="22"/>
        </w:rPr>
        <w:t xml:space="preserve"> </w:t>
      </w:r>
      <w:r w:rsidRPr="00295E71">
        <w:rPr>
          <w:color w:val="000000"/>
          <w:sz w:val="22"/>
          <w:szCs w:val="22"/>
        </w:rPr>
        <w:t>25,6% (22/86) rispetto al 5,9%</w:t>
      </w:r>
      <w:r w:rsidRPr="00295E71" w:rsidR="007F1EB6">
        <w:rPr>
          <w:color w:val="000000"/>
          <w:sz w:val="22"/>
          <w:szCs w:val="22"/>
        </w:rPr>
        <w:t xml:space="preserve"> </w:t>
      </w:r>
      <w:r w:rsidRPr="00295E71">
        <w:rPr>
          <w:color w:val="000000"/>
          <w:sz w:val="22"/>
          <w:szCs w:val="22"/>
        </w:rPr>
        <w:t xml:space="preserve">(5/85), quando adalimumab è stato utilizzato in associazione al metotressato. In pazienti con artrite idiopatica giovanile poliarticolare da 2 a &lt; 4 anni di età o con 4 anni </w:t>
      </w:r>
      <w:r w:rsidR="00DE3314">
        <w:rPr>
          <w:color w:val="000000"/>
          <w:sz w:val="22"/>
          <w:szCs w:val="22"/>
        </w:rPr>
        <w:t xml:space="preserve">o più </w:t>
      </w:r>
      <w:r w:rsidRPr="00295E71">
        <w:rPr>
          <w:color w:val="000000"/>
          <w:sz w:val="22"/>
          <w:szCs w:val="22"/>
        </w:rPr>
        <w:t>di età ed un peso inferiore ai 15 kg, sono stati identificati anticorpi anti-adalimumab nel 7% (1/15) dei pazienti, e l’unico paziente era stato sottoposto alla terapia concomitante con metotressato.</w:t>
      </w:r>
    </w:p>
    <w:p w:rsidR="00157870" w:rsidRPr="00295E71" w:rsidP="00157870" w14:paraId="05111D99" w14:textId="77777777">
      <w:pPr>
        <w:tabs>
          <w:tab w:val="left" w:pos="567"/>
          <w:tab w:val="left" w:pos="1294"/>
        </w:tabs>
        <w:autoSpaceDE w:val="0"/>
        <w:autoSpaceDN w:val="0"/>
        <w:adjustRightInd w:val="0"/>
        <w:jc w:val="both"/>
        <w:rPr>
          <w:color w:val="000000"/>
          <w:sz w:val="22"/>
          <w:szCs w:val="22"/>
        </w:rPr>
      </w:pPr>
    </w:p>
    <w:p w:rsidR="00157870" w:rsidRPr="00295E71" w:rsidP="00157870" w14:paraId="7CA9300C"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con artrite associata ad entesite, sono stati identificati anticorpi anti-adalimumab nel 10</w:t>
      </w:r>
      <w:r w:rsidR="00DE3314">
        <w:rPr>
          <w:color w:val="000000"/>
          <w:sz w:val="22"/>
          <w:szCs w:val="22"/>
        </w:rPr>
        <w:t>,</w:t>
      </w:r>
      <w:r w:rsidRPr="00295E71">
        <w:rPr>
          <w:color w:val="000000"/>
          <w:sz w:val="22"/>
          <w:szCs w:val="22"/>
        </w:rPr>
        <w:t>9% (5/46) dei pazienti trattati con adalimumab. Nei pazienti ai quali non è stato somministrato metotressato in concomitanza, l’incidenza è stata del 13</w:t>
      </w:r>
      <w:r w:rsidR="00DE3314">
        <w:rPr>
          <w:color w:val="000000"/>
          <w:sz w:val="22"/>
          <w:szCs w:val="22"/>
        </w:rPr>
        <w:t>,</w:t>
      </w:r>
      <w:r w:rsidRPr="00295E71">
        <w:rPr>
          <w:color w:val="000000"/>
          <w:sz w:val="22"/>
          <w:szCs w:val="22"/>
        </w:rPr>
        <w:t>6% (3/22), rispetto all’8</w:t>
      </w:r>
      <w:r w:rsidR="00DE3314">
        <w:rPr>
          <w:color w:val="000000"/>
          <w:sz w:val="22"/>
          <w:szCs w:val="22"/>
        </w:rPr>
        <w:t>,</w:t>
      </w:r>
      <w:r w:rsidRPr="00295E71">
        <w:rPr>
          <w:color w:val="000000"/>
          <w:sz w:val="22"/>
          <w:szCs w:val="22"/>
        </w:rPr>
        <w:t>3% (2/24) quando adalimumab è stato utilizzato in combinazione con metotressato.</w:t>
      </w:r>
    </w:p>
    <w:p w:rsidR="00157870" w:rsidRPr="00295E71" w:rsidP="00157870" w14:paraId="01A548C7" w14:textId="77777777">
      <w:pPr>
        <w:tabs>
          <w:tab w:val="left" w:pos="567"/>
          <w:tab w:val="left" w:pos="1294"/>
        </w:tabs>
        <w:autoSpaceDE w:val="0"/>
        <w:autoSpaceDN w:val="0"/>
        <w:adjustRightInd w:val="0"/>
        <w:jc w:val="both"/>
        <w:rPr>
          <w:color w:val="000000"/>
          <w:sz w:val="22"/>
          <w:szCs w:val="22"/>
        </w:rPr>
      </w:pPr>
    </w:p>
    <w:p w:rsidR="00157870" w:rsidRPr="00295E71" w:rsidP="00157870" w14:paraId="3CE5BD0E"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I pazienti degli studi </w:t>
      </w:r>
      <w:r w:rsidRPr="00295E71" w:rsidR="000455A9">
        <w:rPr>
          <w:color w:val="000000"/>
          <w:sz w:val="22"/>
          <w:szCs w:val="22"/>
        </w:rPr>
        <w:t xml:space="preserve">I, II e III </w:t>
      </w:r>
      <w:r w:rsidRPr="00295E71">
        <w:rPr>
          <w:color w:val="000000"/>
          <w:sz w:val="22"/>
          <w:szCs w:val="22"/>
        </w:rPr>
        <w:t xml:space="preserve">sull’artrite reumatoide sono stati esaminati a vari intervalli di tempo per valutare gli anticorpi anti-adalimumab durante il periodo da 6 a 12 mesi. Negli studi clinici </w:t>
      </w:r>
      <w:r w:rsidRPr="00020442" w:rsidR="00DE3314">
        <w:rPr>
          <w:color w:val="000000"/>
          <w:sz w:val="22"/>
          <w:szCs w:val="22"/>
        </w:rPr>
        <w:t>registrativi</w:t>
      </w:r>
      <w:r w:rsidRPr="00295E71">
        <w:rPr>
          <w:color w:val="000000"/>
          <w:sz w:val="22"/>
          <w:szCs w:val="22"/>
        </w:rPr>
        <w:t>, gli anticorpi anti-adalimumab sono stati riscontrati nel 5,5%</w:t>
      </w:r>
      <w:r w:rsidR="00DE3314">
        <w:rPr>
          <w:color w:val="000000"/>
          <w:sz w:val="22"/>
          <w:szCs w:val="22"/>
        </w:rPr>
        <w:t xml:space="preserve"> </w:t>
      </w:r>
      <w:r w:rsidRPr="00295E71">
        <w:rPr>
          <w:color w:val="000000"/>
          <w:sz w:val="22"/>
          <w:szCs w:val="22"/>
        </w:rPr>
        <w:t>(58/1053) dei pazienti trattati con adalimumab, rispetto allo</w:t>
      </w:r>
      <w:r w:rsidRPr="00295E71" w:rsidR="007F1EB6">
        <w:rPr>
          <w:color w:val="000000"/>
          <w:sz w:val="22"/>
          <w:szCs w:val="22"/>
        </w:rPr>
        <w:t xml:space="preserve"> </w:t>
      </w:r>
      <w:r w:rsidRPr="00295E71">
        <w:rPr>
          <w:color w:val="000000"/>
          <w:sz w:val="22"/>
          <w:szCs w:val="22"/>
        </w:rPr>
        <w:t>0,5% (2/370)</w:t>
      </w:r>
      <w:r w:rsidRPr="00295E71" w:rsidR="00540717">
        <w:rPr>
          <w:color w:val="000000"/>
          <w:sz w:val="22"/>
          <w:szCs w:val="22"/>
        </w:rPr>
        <w:t xml:space="preserve"> </w:t>
      </w:r>
      <w:r w:rsidRPr="00295E71">
        <w:rPr>
          <w:color w:val="000000"/>
          <w:sz w:val="22"/>
          <w:szCs w:val="22"/>
        </w:rPr>
        <w:t>dei pazienti trattati con placebo. Nei pazienti a cui non è stato somministrato contemporaneamente il metotressato, l’incidenza è stata del 12,4%, rispetto allo 0,6% quando adalimumab è stato usato in combinazione con metotressato.</w:t>
      </w:r>
    </w:p>
    <w:p w:rsidR="00157870" w:rsidRPr="00295E71" w:rsidP="00157870" w14:paraId="549295DB" w14:textId="77777777">
      <w:pPr>
        <w:tabs>
          <w:tab w:val="left" w:pos="567"/>
          <w:tab w:val="left" w:pos="1294"/>
        </w:tabs>
        <w:autoSpaceDE w:val="0"/>
        <w:autoSpaceDN w:val="0"/>
        <w:adjustRightInd w:val="0"/>
        <w:jc w:val="both"/>
        <w:rPr>
          <w:color w:val="000000"/>
          <w:sz w:val="22"/>
          <w:szCs w:val="22"/>
        </w:rPr>
      </w:pPr>
    </w:p>
    <w:p w:rsidR="00157870" w:rsidRPr="00295E71" w:rsidP="00157870" w14:paraId="168BDAB6"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con psoriasi pediatrica sono stati identificati anticorpi anti-adalimumab in 5/38 soggetti (13%) trattati con 0,8 mg/kg di adalimumab in monoterapia.</w:t>
      </w:r>
    </w:p>
    <w:p w:rsidR="00157870" w:rsidRPr="00295E71" w:rsidP="00157870" w14:paraId="0E523E07" w14:textId="77777777">
      <w:pPr>
        <w:tabs>
          <w:tab w:val="left" w:pos="567"/>
          <w:tab w:val="left" w:pos="1294"/>
        </w:tabs>
        <w:autoSpaceDE w:val="0"/>
        <w:autoSpaceDN w:val="0"/>
        <w:adjustRightInd w:val="0"/>
        <w:jc w:val="both"/>
        <w:rPr>
          <w:color w:val="000000"/>
          <w:sz w:val="22"/>
          <w:szCs w:val="22"/>
        </w:rPr>
      </w:pPr>
    </w:p>
    <w:p w:rsidR="00157870" w:rsidRPr="00295E71" w:rsidP="00157870" w14:paraId="04225815"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Nei pazienti adulti </w:t>
      </w:r>
      <w:r w:rsidRPr="00295E71" w:rsidR="00224E13">
        <w:rPr>
          <w:color w:val="000000"/>
          <w:sz w:val="22"/>
          <w:szCs w:val="22"/>
        </w:rPr>
        <w:t>con</w:t>
      </w:r>
      <w:r w:rsidRPr="00295E71">
        <w:rPr>
          <w:color w:val="000000"/>
          <w:sz w:val="22"/>
          <w:szCs w:val="22"/>
        </w:rPr>
        <w:t xml:space="preserve"> psoriasi, sono stati identificati anticorpi anti-adalimumab in 77/920 (8,4%) soggetti trattati con adalimumab in monoterapia.</w:t>
      </w:r>
    </w:p>
    <w:p w:rsidR="00157870" w:rsidRPr="00295E71" w:rsidP="00157870" w14:paraId="3499C052" w14:textId="77777777">
      <w:pPr>
        <w:tabs>
          <w:tab w:val="left" w:pos="567"/>
          <w:tab w:val="left" w:pos="1294"/>
        </w:tabs>
        <w:autoSpaceDE w:val="0"/>
        <w:autoSpaceDN w:val="0"/>
        <w:adjustRightInd w:val="0"/>
        <w:jc w:val="both"/>
        <w:rPr>
          <w:color w:val="000000"/>
          <w:sz w:val="22"/>
          <w:szCs w:val="22"/>
        </w:rPr>
      </w:pPr>
    </w:p>
    <w:p w:rsidR="00157870" w:rsidRPr="00295E71" w:rsidP="00157870" w14:paraId="0973E774"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In pazienti adulti </w:t>
      </w:r>
      <w:r w:rsidRPr="00295E71" w:rsidR="00224E13">
        <w:rPr>
          <w:color w:val="000000"/>
          <w:sz w:val="22"/>
          <w:szCs w:val="22"/>
        </w:rPr>
        <w:t>con</w:t>
      </w:r>
      <w:r w:rsidRPr="00295E71">
        <w:rPr>
          <w:color w:val="000000"/>
          <w:sz w:val="22"/>
          <w:szCs w:val="22"/>
        </w:rPr>
        <w:t xml:space="preserve"> psoriasi a placche trattati a lungo termine in monoterapia con adalimumab che hanno partecipato ad uno studio di sospensione e di ri-trattamento, la percentuale di positività per anticorpi anti</w:t>
      </w:r>
      <w:r w:rsidR="00CE538E">
        <w:rPr>
          <w:color w:val="000000"/>
          <w:sz w:val="22"/>
          <w:szCs w:val="22"/>
        </w:rPr>
        <w:t>-</w:t>
      </w:r>
      <w:r w:rsidRPr="00295E71">
        <w:rPr>
          <w:color w:val="000000"/>
          <w:sz w:val="22"/>
          <w:szCs w:val="22"/>
        </w:rPr>
        <w:t>adalimumab dopo la ripresa del trattamento (11 casi su 482 soggetti, 2,3%) si è mostrata simile a quella osservata prima della sospensione del farmaco (11 casi su 590 soggetti, 1,9%).</w:t>
      </w:r>
    </w:p>
    <w:p w:rsidR="00157870" w:rsidRPr="00295E71" w:rsidP="00157870" w14:paraId="3E830291" w14:textId="77777777">
      <w:pPr>
        <w:tabs>
          <w:tab w:val="left" w:pos="567"/>
          <w:tab w:val="left" w:pos="1294"/>
        </w:tabs>
        <w:autoSpaceDE w:val="0"/>
        <w:autoSpaceDN w:val="0"/>
        <w:adjustRightInd w:val="0"/>
        <w:jc w:val="both"/>
        <w:rPr>
          <w:color w:val="000000"/>
          <w:sz w:val="22"/>
          <w:szCs w:val="22"/>
        </w:rPr>
      </w:pPr>
    </w:p>
    <w:p w:rsidR="00157870" w:rsidRPr="00295E71" w:rsidP="00157870" w14:paraId="43063BB5"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in età pediatrica con malattia di Crohn attiva di grado da moderato a severo, il tasso di sviluppo di anticorpi anti-adalimumab è stato del 3,3% nei pazienti in trattamento con adalimumab.</w:t>
      </w:r>
    </w:p>
    <w:p w:rsidR="00157870" w:rsidRPr="00295E71" w:rsidP="00157870" w14:paraId="612D7016" w14:textId="77777777">
      <w:pPr>
        <w:tabs>
          <w:tab w:val="left" w:pos="567"/>
          <w:tab w:val="left" w:pos="1294"/>
        </w:tabs>
        <w:autoSpaceDE w:val="0"/>
        <w:autoSpaceDN w:val="0"/>
        <w:adjustRightInd w:val="0"/>
        <w:jc w:val="both"/>
        <w:rPr>
          <w:color w:val="000000"/>
          <w:sz w:val="22"/>
          <w:szCs w:val="22"/>
        </w:rPr>
      </w:pPr>
    </w:p>
    <w:p w:rsidR="00157870" w:rsidRPr="00295E71" w:rsidP="00157870" w14:paraId="2731D3F6"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con malattia di Crohn, sono stati identificati anticorpi anti-adalimumab in 7/269 pazienti (2,6%).</w:t>
      </w:r>
    </w:p>
    <w:p w:rsidR="00157870" w:rsidRPr="00295E71" w:rsidP="00157870" w14:paraId="3D9D4149" w14:textId="77777777">
      <w:pPr>
        <w:tabs>
          <w:tab w:val="left" w:pos="567"/>
          <w:tab w:val="left" w:pos="1294"/>
        </w:tabs>
        <w:autoSpaceDE w:val="0"/>
        <w:autoSpaceDN w:val="0"/>
        <w:adjustRightInd w:val="0"/>
        <w:jc w:val="both"/>
        <w:rPr>
          <w:color w:val="000000"/>
          <w:sz w:val="22"/>
          <w:szCs w:val="22"/>
        </w:rPr>
      </w:pPr>
    </w:p>
    <w:p w:rsidR="00157870" w:rsidRPr="00295E71" w:rsidP="00157870" w14:paraId="54DE5AD8"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Nei pazienti </w:t>
      </w:r>
      <w:r w:rsidRPr="00020442" w:rsidR="00DE3314">
        <w:rPr>
          <w:color w:val="000000"/>
          <w:sz w:val="22"/>
          <w:szCs w:val="22"/>
        </w:rPr>
        <w:t xml:space="preserve">adulti </w:t>
      </w:r>
      <w:r w:rsidRPr="00295E71">
        <w:rPr>
          <w:color w:val="000000"/>
          <w:sz w:val="22"/>
          <w:szCs w:val="22"/>
        </w:rPr>
        <w:t>con uveite non infettiva, sono stati identificati anticorpi anti-adalimumab nel 4,8% (12/249) dei pazienti trattati con adalimumab.</w:t>
      </w:r>
    </w:p>
    <w:p w:rsidR="00157870" w:rsidRPr="00295E71" w:rsidP="00157870" w14:paraId="714FFBB0" w14:textId="77777777">
      <w:pPr>
        <w:tabs>
          <w:tab w:val="left" w:pos="567"/>
          <w:tab w:val="left" w:pos="1294"/>
        </w:tabs>
        <w:autoSpaceDE w:val="0"/>
        <w:autoSpaceDN w:val="0"/>
        <w:adjustRightInd w:val="0"/>
        <w:jc w:val="both"/>
        <w:rPr>
          <w:color w:val="000000"/>
          <w:sz w:val="22"/>
          <w:szCs w:val="22"/>
        </w:rPr>
      </w:pPr>
    </w:p>
    <w:p w:rsidR="00157870" w:rsidRPr="00295E71" w:rsidP="00157870" w14:paraId="24778C5F"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Poiché le analisi di immunogenicità sono specifiche del prodotto, il confronto fra le quantità di anticorpi con </w:t>
      </w:r>
      <w:r w:rsidRPr="00020442" w:rsidR="00DE3314">
        <w:rPr>
          <w:color w:val="000000"/>
          <w:sz w:val="22"/>
          <w:szCs w:val="22"/>
        </w:rPr>
        <w:t xml:space="preserve">quelle di </w:t>
      </w:r>
      <w:r w:rsidRPr="00295E71">
        <w:rPr>
          <w:color w:val="000000"/>
          <w:sz w:val="22"/>
          <w:szCs w:val="22"/>
        </w:rPr>
        <w:t>altri prodotti non è appropriato.</w:t>
      </w:r>
    </w:p>
    <w:p w:rsidR="00157870" w:rsidRPr="00295E71" w:rsidP="00157870" w14:paraId="1950CEB0" w14:textId="77777777">
      <w:pPr>
        <w:tabs>
          <w:tab w:val="left" w:pos="567"/>
          <w:tab w:val="left" w:pos="1294"/>
        </w:tabs>
        <w:autoSpaceDE w:val="0"/>
        <w:autoSpaceDN w:val="0"/>
        <w:adjustRightInd w:val="0"/>
        <w:jc w:val="both"/>
        <w:rPr>
          <w:color w:val="000000"/>
          <w:sz w:val="22"/>
          <w:szCs w:val="22"/>
        </w:rPr>
      </w:pPr>
    </w:p>
    <w:p w:rsidR="00157870" w:rsidRPr="00295E71" w:rsidP="00157870" w14:paraId="4C15F5ED" w14:textId="77777777">
      <w:pPr>
        <w:rPr>
          <w:color w:val="000000"/>
          <w:sz w:val="22"/>
          <w:szCs w:val="22"/>
          <w:u w:val="single"/>
        </w:rPr>
      </w:pPr>
      <w:r w:rsidRPr="00295E71">
        <w:rPr>
          <w:color w:val="000000"/>
          <w:sz w:val="22"/>
          <w:szCs w:val="22"/>
          <w:u w:val="single"/>
        </w:rPr>
        <w:t>Popolazione pediatrica</w:t>
      </w:r>
    </w:p>
    <w:p w:rsidR="00210210" w:rsidRPr="00612824" w:rsidP="00210210" w14:paraId="01886396" w14:textId="77777777">
      <w:pPr>
        <w:tabs>
          <w:tab w:val="left" w:pos="567"/>
        </w:tabs>
        <w:jc w:val="both"/>
        <w:rPr>
          <w:i/>
          <w:color w:val="000000"/>
          <w:sz w:val="22"/>
          <w:szCs w:val="22"/>
        </w:rPr>
      </w:pPr>
    </w:p>
    <w:p w:rsidR="00210210" w:rsidRPr="00612824" w:rsidP="00210210" w14:paraId="686126D7" w14:textId="77777777">
      <w:pPr>
        <w:tabs>
          <w:tab w:val="left" w:pos="567"/>
        </w:tabs>
        <w:jc w:val="both"/>
        <w:rPr>
          <w:i/>
          <w:color w:val="000000"/>
          <w:sz w:val="22"/>
          <w:szCs w:val="22"/>
        </w:rPr>
      </w:pPr>
      <w:r w:rsidRPr="00612824">
        <w:rPr>
          <w:i/>
          <w:color w:val="000000"/>
          <w:sz w:val="22"/>
          <w:szCs w:val="22"/>
        </w:rPr>
        <w:t>Artrite idiopatica giovanile (JIA)</w:t>
      </w:r>
    </w:p>
    <w:p w:rsidR="00210210" w:rsidRPr="00612824" w:rsidP="00210210" w14:paraId="721BEC88" w14:textId="77777777">
      <w:pPr>
        <w:tabs>
          <w:tab w:val="left" w:pos="567"/>
        </w:tabs>
        <w:jc w:val="both"/>
        <w:rPr>
          <w:color w:val="000000"/>
          <w:sz w:val="22"/>
          <w:szCs w:val="22"/>
          <w:u w:val="single"/>
        </w:rPr>
      </w:pPr>
    </w:p>
    <w:p w:rsidR="00210210" w:rsidRPr="00612824" w:rsidP="00210210" w14:paraId="344E0E53" w14:textId="77777777">
      <w:pPr>
        <w:tabs>
          <w:tab w:val="left" w:pos="567"/>
        </w:tabs>
        <w:jc w:val="both"/>
        <w:rPr>
          <w:i/>
          <w:color w:val="000000"/>
          <w:sz w:val="22"/>
          <w:szCs w:val="22"/>
          <w:u w:val="single"/>
        </w:rPr>
      </w:pPr>
      <w:r w:rsidRPr="00612824">
        <w:rPr>
          <w:i/>
          <w:color w:val="000000"/>
          <w:sz w:val="22"/>
          <w:szCs w:val="22"/>
          <w:u w:val="single"/>
        </w:rPr>
        <w:t>Artrite idiopatica giovanile poliarticolare (pJIA)</w:t>
      </w:r>
    </w:p>
    <w:p w:rsidR="00210210" w:rsidRPr="00612824" w:rsidP="00210210" w14:paraId="318855CD" w14:textId="77777777">
      <w:pPr>
        <w:tabs>
          <w:tab w:val="left" w:pos="567"/>
        </w:tabs>
        <w:jc w:val="both"/>
        <w:rPr>
          <w:color w:val="000000"/>
          <w:sz w:val="22"/>
          <w:szCs w:val="22"/>
          <w:u w:val="single"/>
        </w:rPr>
      </w:pPr>
    </w:p>
    <w:p w:rsidR="00210210" w:rsidRPr="00612824" w:rsidP="00210210" w14:paraId="56507688" w14:textId="77777777">
      <w:pPr>
        <w:tabs>
          <w:tab w:val="left" w:pos="567"/>
        </w:tabs>
        <w:jc w:val="both"/>
        <w:rPr>
          <w:color w:val="000000"/>
          <w:sz w:val="22"/>
          <w:szCs w:val="22"/>
        </w:rPr>
      </w:pPr>
      <w:r w:rsidRPr="00612824">
        <w:rPr>
          <w:color w:val="000000"/>
          <w:sz w:val="22"/>
          <w:szCs w:val="22"/>
        </w:rPr>
        <w:t>La sicurezza e l’efficacia di Humira sono state valutate in due studi (pJIA I e II) in bambini con artrite idiopatica giovanile poliarticolare attiva o a decorso poliarticolare, che avevano diversi tipi di insorgenza della JIA (più frequentemente poliartrite negativa o positiva al fattore reumatoide e oligoartrite estesa).</w:t>
      </w:r>
    </w:p>
    <w:p w:rsidR="00210210" w:rsidRPr="00612824" w:rsidP="00210210" w14:paraId="67E0302C" w14:textId="77777777">
      <w:pPr>
        <w:tabs>
          <w:tab w:val="left" w:pos="567"/>
        </w:tabs>
        <w:jc w:val="both"/>
        <w:rPr>
          <w:color w:val="000000"/>
          <w:sz w:val="22"/>
          <w:szCs w:val="22"/>
          <w:u w:val="single"/>
        </w:rPr>
      </w:pPr>
    </w:p>
    <w:p w:rsidR="00210210" w:rsidRPr="00612824" w:rsidP="00210210" w14:paraId="1EA4EFFD" w14:textId="77777777">
      <w:pPr>
        <w:keepNext/>
        <w:tabs>
          <w:tab w:val="left" w:pos="567"/>
        </w:tabs>
        <w:jc w:val="both"/>
        <w:rPr>
          <w:color w:val="000000"/>
          <w:sz w:val="22"/>
          <w:szCs w:val="22"/>
        </w:rPr>
      </w:pPr>
      <w:r w:rsidRPr="00612824">
        <w:rPr>
          <w:color w:val="000000"/>
          <w:sz w:val="22"/>
          <w:szCs w:val="22"/>
        </w:rPr>
        <w:t>pJIA-I</w:t>
      </w:r>
    </w:p>
    <w:p w:rsidR="00210210" w:rsidRPr="00612824" w:rsidP="00210210" w14:paraId="389774E2" w14:textId="77777777">
      <w:pPr>
        <w:keepNext/>
        <w:tabs>
          <w:tab w:val="left" w:pos="567"/>
        </w:tabs>
        <w:jc w:val="both"/>
        <w:rPr>
          <w:color w:val="000000"/>
          <w:sz w:val="22"/>
          <w:szCs w:val="22"/>
          <w:u w:val="single"/>
        </w:rPr>
      </w:pPr>
    </w:p>
    <w:p w:rsidR="00210210" w:rsidRPr="00612824" w:rsidP="00210210" w14:paraId="256BCFE1" w14:textId="77777777">
      <w:pPr>
        <w:keepNext/>
        <w:tabs>
          <w:tab w:val="left" w:pos="567"/>
        </w:tabs>
        <w:jc w:val="both"/>
        <w:rPr>
          <w:sz w:val="22"/>
          <w:szCs w:val="22"/>
        </w:rPr>
      </w:pPr>
      <w:r w:rsidRPr="00612824">
        <w:rPr>
          <w:sz w:val="22"/>
          <w:szCs w:val="22"/>
        </w:rPr>
        <w:t xml:space="preserve">La sicurezza e l’efficacia di Humira sono state valutate in uno studio multicentrico, randomizzato, in doppio-cieco, a gruppi paralleli, in 171 bambini (di età compresa tra 4 e 17 anni) con artrite idiopatica giovanile poliarticolare (JIA). Nel corso della fase di ammissione in aperto (open-label lead in phase = OL LI), i pazienti sono stati stratificati in due gruppi, il gruppo trattato con MTX (metotressato) ed il gruppo non trattato con MTX. I pazienti ammessi nel braccio non trattato con MTX non erano stati mai </w:t>
      </w:r>
      <w:r w:rsidRPr="00612824">
        <w:rPr>
          <w:sz w:val="22"/>
          <w:szCs w:val="22"/>
        </w:rPr>
        <w:t>trattati prima con MTX oppure avevano sospeso la sua assunzione almeno due settimane prima della somministrazione del farmaco in studio. Ai pazienti sono state somministrate dosi costanti di farmaci antinfiammatori non steroidei (FANS) e/o di prednisone (≤0,2 mg/kg/die o un massimo di 10 mg/die). Nel corso della fase OL LI, a tutti i pazienti sono stati somministrati 24 mg/m</w:t>
      </w:r>
      <w:r w:rsidRPr="00612824">
        <w:rPr>
          <w:sz w:val="22"/>
          <w:szCs w:val="22"/>
          <w:vertAlign w:val="superscript"/>
        </w:rPr>
        <w:t>2</w:t>
      </w:r>
      <w:r w:rsidRPr="00612824">
        <w:rPr>
          <w:sz w:val="22"/>
          <w:szCs w:val="22"/>
        </w:rPr>
        <w:t xml:space="preserve"> di Humira fino ad una dose massima pari a 40 mg, a settimane alterne per 16 settimane. La distribuzione dei pazienti per età e la dose minima, media e massima somministrata nel corso della fase OL LI sono riportate nella Tabella 17.</w:t>
      </w:r>
    </w:p>
    <w:p w:rsidR="00210210" w:rsidRPr="00612824" w:rsidP="00210210" w14:paraId="3412B30C" w14:textId="77777777">
      <w:pPr>
        <w:rPr>
          <w:sz w:val="22"/>
          <w:szCs w:val="22"/>
        </w:rPr>
      </w:pPr>
    </w:p>
    <w:p w:rsidR="00210210" w:rsidRPr="00612824" w:rsidP="00210210" w14:paraId="4C6B91B3" w14:textId="77777777">
      <w:pPr>
        <w:pStyle w:val="BodyTextIndent"/>
        <w:ind w:left="110" w:right="53"/>
        <w:jc w:val="center"/>
        <w:rPr>
          <w:b/>
          <w:color w:val="auto"/>
        </w:rPr>
      </w:pPr>
      <w:r w:rsidRPr="00612824">
        <w:rPr>
          <w:b/>
          <w:color w:val="auto"/>
        </w:rPr>
        <w:t>Tabella 17</w:t>
      </w:r>
    </w:p>
    <w:p w:rsidR="00210210" w:rsidRPr="00612824" w:rsidP="00210210" w14:paraId="55C15EA9" w14:textId="77777777">
      <w:pPr>
        <w:pStyle w:val="BodyTextIndent"/>
        <w:ind w:left="110" w:right="53"/>
        <w:jc w:val="center"/>
        <w:rPr>
          <w:b/>
          <w:color w:val="auto"/>
        </w:rPr>
      </w:pPr>
      <w:r w:rsidRPr="00612824">
        <w:rPr>
          <w:b/>
          <w:color w:val="auto"/>
        </w:rPr>
        <w:t>Distribuzione dei pazienti per età e per dose di adalimumab somministrata durante la fase OL LI</w:t>
      </w:r>
    </w:p>
    <w:p w:rsidR="00210210" w:rsidRPr="00612824" w:rsidP="00210210" w14:paraId="7659630A" w14:textId="77777777">
      <w:pPr>
        <w:pStyle w:val="BodyTextIndent"/>
        <w:ind w:left="110" w:right="53"/>
        <w:rPr>
          <w:b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0"/>
        <w:gridCol w:w="3472"/>
        <w:gridCol w:w="3198"/>
      </w:tblGrid>
      <w:tr w14:paraId="3A16536E" w14:textId="77777777" w:rsidTr="00166946">
        <w:tblPrEx>
          <w:tblW w:w="0" w:type="auto"/>
          <w:tblLook w:val="0000"/>
        </w:tblPrEx>
        <w:trPr>
          <w:cantSplit/>
        </w:trPr>
        <w:tc>
          <w:tcPr>
            <w:tcW w:w="2418" w:type="dxa"/>
          </w:tcPr>
          <w:p w:rsidR="00210210" w:rsidRPr="00612824" w:rsidP="00166946" w14:paraId="5E397B2E" w14:textId="77777777">
            <w:pPr>
              <w:pStyle w:val="BodyTextIndent"/>
              <w:ind w:right="53"/>
              <w:rPr>
                <w:bCs/>
                <w:color w:val="auto"/>
              </w:rPr>
            </w:pPr>
            <w:r w:rsidRPr="00612824">
              <w:rPr>
                <w:bCs/>
                <w:color w:val="auto"/>
              </w:rPr>
              <w:t xml:space="preserve">Gruppo d’età </w:t>
            </w:r>
          </w:p>
        </w:tc>
        <w:tc>
          <w:tcPr>
            <w:tcW w:w="3520" w:type="dxa"/>
          </w:tcPr>
          <w:p w:rsidR="00210210" w:rsidRPr="00612824" w:rsidP="00166946" w14:paraId="5E3779FD" w14:textId="77777777">
            <w:pPr>
              <w:pStyle w:val="BodyTextIndent"/>
              <w:ind w:right="53"/>
              <w:rPr>
                <w:bCs/>
                <w:color w:val="auto"/>
              </w:rPr>
            </w:pPr>
            <w:r w:rsidRPr="00612824">
              <w:rPr>
                <w:bCs/>
                <w:color w:val="auto"/>
              </w:rPr>
              <w:t>Numero di pazienti al basale n (%)</w:t>
            </w:r>
          </w:p>
        </w:tc>
        <w:tc>
          <w:tcPr>
            <w:tcW w:w="3239" w:type="dxa"/>
          </w:tcPr>
          <w:p w:rsidR="00210210" w:rsidRPr="00612824" w:rsidP="00166946" w14:paraId="114FB66E" w14:textId="77777777">
            <w:pPr>
              <w:pStyle w:val="BodyTextIndent"/>
              <w:ind w:right="53"/>
              <w:rPr>
                <w:bCs/>
                <w:color w:val="auto"/>
              </w:rPr>
            </w:pPr>
            <w:r w:rsidRPr="00612824">
              <w:rPr>
                <w:bCs/>
                <w:color w:val="auto"/>
              </w:rPr>
              <w:t>Dose minima, media e massima</w:t>
            </w:r>
          </w:p>
        </w:tc>
      </w:tr>
      <w:tr w14:paraId="7DF4E4A7" w14:textId="77777777" w:rsidTr="00166946">
        <w:tblPrEx>
          <w:tblW w:w="0" w:type="auto"/>
          <w:tblLook w:val="0000"/>
        </w:tblPrEx>
        <w:trPr>
          <w:cantSplit/>
        </w:trPr>
        <w:tc>
          <w:tcPr>
            <w:tcW w:w="2418" w:type="dxa"/>
          </w:tcPr>
          <w:p w:rsidR="00210210" w:rsidRPr="00612824" w:rsidP="00166946" w14:paraId="058B8904" w14:textId="77777777">
            <w:pPr>
              <w:pStyle w:val="BodyTextIndent"/>
              <w:ind w:right="53"/>
              <w:rPr>
                <w:bCs/>
                <w:color w:val="auto"/>
              </w:rPr>
            </w:pPr>
            <w:r w:rsidRPr="00612824">
              <w:rPr>
                <w:bCs/>
                <w:color w:val="auto"/>
              </w:rPr>
              <w:t xml:space="preserve">da 4 a 7 anni </w:t>
            </w:r>
          </w:p>
        </w:tc>
        <w:tc>
          <w:tcPr>
            <w:tcW w:w="3520" w:type="dxa"/>
          </w:tcPr>
          <w:p w:rsidR="00210210" w:rsidRPr="00612824" w:rsidP="00166946" w14:paraId="55142110" w14:textId="77777777">
            <w:pPr>
              <w:pStyle w:val="BodyTextIndent"/>
              <w:ind w:right="53"/>
              <w:rPr>
                <w:bCs/>
                <w:color w:val="auto"/>
              </w:rPr>
            </w:pPr>
            <w:r w:rsidRPr="00612824">
              <w:rPr>
                <w:bCs/>
                <w:color w:val="auto"/>
              </w:rPr>
              <w:t>31 (18,1)</w:t>
            </w:r>
          </w:p>
        </w:tc>
        <w:tc>
          <w:tcPr>
            <w:tcW w:w="3239" w:type="dxa"/>
          </w:tcPr>
          <w:p w:rsidR="00210210" w:rsidRPr="00612824" w:rsidP="00166946" w14:paraId="00454F03" w14:textId="77777777">
            <w:pPr>
              <w:pStyle w:val="BodyTextIndent"/>
              <w:ind w:right="53"/>
              <w:rPr>
                <w:bCs/>
                <w:color w:val="auto"/>
              </w:rPr>
            </w:pPr>
            <w:r w:rsidRPr="00612824">
              <w:rPr>
                <w:bCs/>
                <w:color w:val="auto"/>
              </w:rPr>
              <w:t>10, 20 e 25 mg</w:t>
            </w:r>
          </w:p>
        </w:tc>
      </w:tr>
      <w:tr w14:paraId="152F32B3" w14:textId="77777777" w:rsidTr="00166946">
        <w:tblPrEx>
          <w:tblW w:w="0" w:type="auto"/>
          <w:tblLook w:val="0000"/>
        </w:tblPrEx>
        <w:trPr>
          <w:cantSplit/>
        </w:trPr>
        <w:tc>
          <w:tcPr>
            <w:tcW w:w="2418" w:type="dxa"/>
          </w:tcPr>
          <w:p w:rsidR="00210210" w:rsidRPr="00612824" w:rsidP="00166946" w14:paraId="36F4CE36" w14:textId="77777777">
            <w:pPr>
              <w:pStyle w:val="BodyTextIndent"/>
              <w:ind w:right="53"/>
              <w:rPr>
                <w:bCs/>
                <w:color w:val="auto"/>
              </w:rPr>
            </w:pPr>
            <w:r w:rsidRPr="00612824">
              <w:rPr>
                <w:bCs/>
                <w:color w:val="auto"/>
              </w:rPr>
              <w:t>da 8 a 12 anni</w:t>
            </w:r>
          </w:p>
        </w:tc>
        <w:tc>
          <w:tcPr>
            <w:tcW w:w="3520" w:type="dxa"/>
          </w:tcPr>
          <w:p w:rsidR="00210210" w:rsidRPr="00612824" w:rsidP="00166946" w14:paraId="6897B2EC" w14:textId="77777777">
            <w:pPr>
              <w:pStyle w:val="BodyTextIndent"/>
              <w:ind w:right="53"/>
              <w:rPr>
                <w:bCs/>
                <w:color w:val="auto"/>
              </w:rPr>
            </w:pPr>
            <w:r w:rsidRPr="00612824">
              <w:rPr>
                <w:bCs/>
                <w:color w:val="auto"/>
              </w:rPr>
              <w:t>71 (41,5)</w:t>
            </w:r>
          </w:p>
        </w:tc>
        <w:tc>
          <w:tcPr>
            <w:tcW w:w="3239" w:type="dxa"/>
          </w:tcPr>
          <w:p w:rsidR="00210210" w:rsidRPr="00612824" w:rsidP="00166946" w14:paraId="1EB8089D" w14:textId="77777777">
            <w:pPr>
              <w:pStyle w:val="BodyTextIndent"/>
              <w:ind w:right="53"/>
              <w:rPr>
                <w:bCs/>
                <w:color w:val="auto"/>
              </w:rPr>
            </w:pPr>
            <w:r w:rsidRPr="00612824">
              <w:rPr>
                <w:bCs/>
                <w:color w:val="auto"/>
              </w:rPr>
              <w:t>20, 25 e 40 mg</w:t>
            </w:r>
          </w:p>
        </w:tc>
      </w:tr>
      <w:tr w14:paraId="5447E859" w14:textId="77777777" w:rsidTr="00166946">
        <w:tblPrEx>
          <w:tblW w:w="0" w:type="auto"/>
          <w:tblLook w:val="0000"/>
        </w:tblPrEx>
        <w:trPr>
          <w:cantSplit/>
        </w:trPr>
        <w:tc>
          <w:tcPr>
            <w:tcW w:w="2418" w:type="dxa"/>
          </w:tcPr>
          <w:p w:rsidR="00210210" w:rsidRPr="00612824" w:rsidP="00166946" w14:paraId="4EB8B154" w14:textId="77777777">
            <w:pPr>
              <w:pStyle w:val="BodyTextIndent"/>
              <w:ind w:right="53"/>
              <w:rPr>
                <w:bCs/>
                <w:color w:val="auto"/>
              </w:rPr>
            </w:pPr>
            <w:r w:rsidRPr="00612824">
              <w:rPr>
                <w:bCs/>
                <w:color w:val="auto"/>
              </w:rPr>
              <w:t xml:space="preserve">da 13 a 17 anni </w:t>
            </w:r>
          </w:p>
        </w:tc>
        <w:tc>
          <w:tcPr>
            <w:tcW w:w="3520" w:type="dxa"/>
          </w:tcPr>
          <w:p w:rsidR="00210210" w:rsidRPr="00612824" w:rsidP="00166946" w14:paraId="1E77B51D" w14:textId="77777777">
            <w:pPr>
              <w:pStyle w:val="BodyTextIndent"/>
              <w:ind w:right="53"/>
              <w:rPr>
                <w:bCs/>
                <w:color w:val="auto"/>
              </w:rPr>
            </w:pPr>
            <w:r w:rsidRPr="00612824">
              <w:rPr>
                <w:bCs/>
                <w:color w:val="auto"/>
              </w:rPr>
              <w:t>69 (40,4)</w:t>
            </w:r>
          </w:p>
        </w:tc>
        <w:tc>
          <w:tcPr>
            <w:tcW w:w="3239" w:type="dxa"/>
          </w:tcPr>
          <w:p w:rsidR="00210210" w:rsidRPr="00612824" w:rsidP="00166946" w14:paraId="716BEBF4" w14:textId="77777777">
            <w:pPr>
              <w:pStyle w:val="BodyTextIndent"/>
              <w:ind w:right="53"/>
              <w:rPr>
                <w:bCs/>
                <w:color w:val="auto"/>
              </w:rPr>
            </w:pPr>
            <w:r w:rsidRPr="00612824">
              <w:rPr>
                <w:bCs/>
                <w:color w:val="auto"/>
              </w:rPr>
              <w:t>25, 40 e 40 mg</w:t>
            </w:r>
          </w:p>
        </w:tc>
      </w:tr>
    </w:tbl>
    <w:p w:rsidR="00210210" w:rsidRPr="00612824" w:rsidP="00210210" w14:paraId="65A99025" w14:textId="77777777">
      <w:pPr>
        <w:rPr>
          <w:color w:val="000000"/>
          <w:sz w:val="22"/>
          <w:szCs w:val="22"/>
        </w:rPr>
      </w:pPr>
    </w:p>
    <w:p w:rsidR="00210210" w:rsidRPr="00612824" w:rsidP="00210210" w14:paraId="350BD846" w14:textId="77777777">
      <w:pPr>
        <w:rPr>
          <w:color w:val="000000"/>
          <w:sz w:val="22"/>
          <w:szCs w:val="22"/>
        </w:rPr>
      </w:pPr>
      <w:r w:rsidRPr="00612824">
        <w:rPr>
          <w:color w:val="000000"/>
          <w:sz w:val="22"/>
          <w:szCs w:val="22"/>
        </w:rPr>
        <w:t>I pazienti che avevano dimostrato una risposta ACR30 pediatrica alla 16</w:t>
      </w:r>
      <w:r w:rsidRPr="00612824">
        <w:rPr>
          <w:color w:val="000000"/>
          <w:sz w:val="22"/>
          <w:szCs w:val="22"/>
          <w:vertAlign w:val="superscript"/>
        </w:rPr>
        <w:t>a </w:t>
      </w:r>
      <w:r w:rsidRPr="00612824">
        <w:rPr>
          <w:color w:val="000000"/>
          <w:sz w:val="22"/>
          <w:szCs w:val="22"/>
        </w:rPr>
        <w:t>settimana possedevano i requisiti necessari per essere randomizzati nella fase dello studio in doppio cieco (Double Blind = DB) ed hanno ricevuto 24 mg/m</w:t>
      </w:r>
      <w:r w:rsidRPr="00612824">
        <w:rPr>
          <w:color w:val="000000"/>
          <w:sz w:val="22"/>
          <w:szCs w:val="22"/>
          <w:vertAlign w:val="superscript"/>
        </w:rPr>
        <w:t>2</w:t>
      </w:r>
      <w:r w:rsidRPr="00612824">
        <w:rPr>
          <w:color w:val="000000"/>
          <w:sz w:val="22"/>
          <w:szCs w:val="22"/>
        </w:rPr>
        <w:t xml:space="preserve"> di Humira fino ad un massimo di 40 mg o placebo a settimane alterne per un ulteriore periodo di 32 settimane oppure fino alla riacutizzazione della malattia. I criteri di definizione della riacutizzazione della malattia sono stati definiti in base ad un peggioramento maggiore o uguale al 30% (</w:t>
      </w:r>
      <w:r w:rsidRPr="00612824">
        <w:rPr>
          <w:rFonts w:ascii="Symbol" w:hAnsi="Symbol"/>
          <w:color w:val="000000"/>
          <w:sz w:val="22"/>
          <w:szCs w:val="22"/>
        </w:rPr>
        <w:sym w:font="Symbol" w:char="F0B3"/>
      </w:r>
      <w:r w:rsidRPr="00612824">
        <w:rPr>
          <w:color w:val="000000"/>
          <w:sz w:val="22"/>
          <w:szCs w:val="22"/>
        </w:rPr>
        <w:t> 30%) rispetto al valore basale di 3 o più dei 6 criteri principali dell’“ACR Paediatric core”, alla presenza di 2 o più articolazioni attive, ed in base ad un miglioramento maggiore del 30% in non più di 1 dei 6 criteri suddetti. Dopo 32 settimane o nel momento in cui si è verificata la riacutizzazione della malattia, i pazienti sono stati ritenuti idonei per essere ammessi alla fase di estensione in aperto.</w:t>
      </w:r>
    </w:p>
    <w:p w:rsidR="00210210" w:rsidRPr="00612824" w:rsidP="00210210" w14:paraId="2274C06F" w14:textId="77777777">
      <w:pPr>
        <w:tabs>
          <w:tab w:val="left" w:pos="567"/>
          <w:tab w:val="left" w:pos="1294"/>
        </w:tabs>
        <w:autoSpaceDE w:val="0"/>
        <w:autoSpaceDN w:val="0"/>
        <w:adjustRightInd w:val="0"/>
        <w:rPr>
          <w:color w:val="000000"/>
          <w:sz w:val="22"/>
          <w:szCs w:val="22"/>
        </w:rPr>
      </w:pPr>
    </w:p>
    <w:p w:rsidR="00210210" w:rsidRPr="00612824" w:rsidP="00210210" w14:paraId="74073558" w14:textId="77777777">
      <w:pPr>
        <w:pStyle w:val="BodyTextIndent"/>
        <w:keepNext/>
        <w:keepLines/>
        <w:ind w:right="53"/>
        <w:jc w:val="center"/>
        <w:rPr>
          <w:b/>
          <w:bCs/>
        </w:rPr>
      </w:pPr>
      <w:r w:rsidRPr="00612824">
        <w:rPr>
          <w:b/>
          <w:bCs/>
        </w:rPr>
        <w:t>Tabella 18</w:t>
      </w:r>
    </w:p>
    <w:p w:rsidR="00210210" w:rsidRPr="00612824" w:rsidP="00210210" w14:paraId="539654B3" w14:textId="77777777">
      <w:pPr>
        <w:pStyle w:val="BodyTextIndent"/>
        <w:keepNext/>
        <w:keepLines/>
        <w:ind w:left="110" w:right="53"/>
        <w:jc w:val="center"/>
        <w:rPr>
          <w:b/>
          <w:bCs/>
        </w:rPr>
      </w:pPr>
      <w:r w:rsidRPr="00612824">
        <w:rPr>
          <w:b/>
          <w:bCs/>
        </w:rPr>
        <w:t>Risposta PedACR 30 nel corso dello studio JIA</w:t>
      </w:r>
    </w:p>
    <w:p w:rsidR="00210210" w:rsidRPr="00612824" w:rsidP="00210210" w14:paraId="493C27E0" w14:textId="77777777">
      <w:pPr>
        <w:pStyle w:val="BodyTextIndent"/>
        <w:keepNext/>
        <w:keepLines/>
        <w:ind w:left="110" w:right="53"/>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7"/>
        <w:gridCol w:w="1743"/>
        <w:gridCol w:w="1734"/>
        <w:gridCol w:w="1641"/>
        <w:gridCol w:w="1575"/>
      </w:tblGrid>
      <w:tr w14:paraId="617C91A9" w14:textId="77777777" w:rsidTr="00166946">
        <w:tblPrEx>
          <w:tblW w:w="0" w:type="auto"/>
          <w:tblLook w:val="0000"/>
        </w:tblPrEx>
        <w:trPr>
          <w:cantSplit/>
        </w:trPr>
        <w:tc>
          <w:tcPr>
            <w:tcW w:w="2418" w:type="dxa"/>
          </w:tcPr>
          <w:p w:rsidR="00210210" w:rsidRPr="00612824" w:rsidP="00166946" w14:paraId="23D295D7" w14:textId="77777777">
            <w:pPr>
              <w:pStyle w:val="BodyTextIndent"/>
              <w:keepNext/>
              <w:keepLines/>
              <w:ind w:right="53"/>
              <w:rPr>
                <w:b/>
              </w:rPr>
            </w:pPr>
            <w:r w:rsidRPr="00612824">
              <w:rPr>
                <w:b/>
              </w:rPr>
              <w:t>Braccio</w:t>
            </w:r>
          </w:p>
        </w:tc>
        <w:tc>
          <w:tcPr>
            <w:tcW w:w="3520" w:type="dxa"/>
            <w:gridSpan w:val="2"/>
          </w:tcPr>
          <w:p w:rsidR="00210210" w:rsidRPr="00612824" w:rsidP="00166946" w14:paraId="60CB2E4C" w14:textId="77777777">
            <w:pPr>
              <w:pStyle w:val="BodyTextIndent"/>
              <w:keepNext/>
              <w:keepLines/>
              <w:ind w:right="53"/>
              <w:jc w:val="center"/>
              <w:rPr>
                <w:b/>
              </w:rPr>
            </w:pPr>
            <w:r w:rsidRPr="00612824">
              <w:rPr>
                <w:b/>
              </w:rPr>
              <w:t>MTX</w:t>
            </w:r>
          </w:p>
        </w:tc>
        <w:tc>
          <w:tcPr>
            <w:tcW w:w="3239" w:type="dxa"/>
            <w:gridSpan w:val="2"/>
          </w:tcPr>
          <w:p w:rsidR="00210210" w:rsidRPr="00612824" w:rsidP="00166946" w14:paraId="6DBC079A" w14:textId="77777777">
            <w:pPr>
              <w:pStyle w:val="BodyTextIndent"/>
              <w:keepNext/>
              <w:keepLines/>
              <w:ind w:right="53"/>
              <w:jc w:val="center"/>
              <w:rPr>
                <w:b/>
              </w:rPr>
            </w:pPr>
            <w:r w:rsidRPr="00612824">
              <w:rPr>
                <w:b/>
              </w:rPr>
              <w:t>Senza MTX</w:t>
            </w:r>
          </w:p>
        </w:tc>
      </w:tr>
      <w:tr w14:paraId="3D0F7F82" w14:textId="77777777" w:rsidTr="00166946">
        <w:tblPrEx>
          <w:tblW w:w="0" w:type="auto"/>
          <w:tblLook w:val="0000"/>
        </w:tblPrEx>
        <w:trPr>
          <w:cantSplit/>
        </w:trPr>
        <w:tc>
          <w:tcPr>
            <w:tcW w:w="2418" w:type="dxa"/>
          </w:tcPr>
          <w:p w:rsidR="00210210" w:rsidRPr="00612824" w:rsidP="00166946" w14:paraId="02ECDDD6" w14:textId="77777777">
            <w:pPr>
              <w:pStyle w:val="BodyTextIndent"/>
              <w:keepNext/>
              <w:keepLines/>
              <w:ind w:right="53"/>
              <w:rPr>
                <w:b/>
              </w:rPr>
            </w:pPr>
            <w:r w:rsidRPr="00612824">
              <w:rPr>
                <w:b/>
              </w:rPr>
              <w:t>Fase</w:t>
            </w:r>
          </w:p>
        </w:tc>
        <w:tc>
          <w:tcPr>
            <w:tcW w:w="3520" w:type="dxa"/>
            <w:gridSpan w:val="2"/>
          </w:tcPr>
          <w:p w:rsidR="00210210" w:rsidRPr="00612824" w:rsidP="00166946" w14:paraId="5406FB43" w14:textId="77777777">
            <w:pPr>
              <w:pStyle w:val="BodyTextIndent"/>
              <w:keepNext/>
              <w:keepLines/>
              <w:ind w:right="53"/>
              <w:jc w:val="center"/>
            </w:pPr>
          </w:p>
        </w:tc>
        <w:tc>
          <w:tcPr>
            <w:tcW w:w="3239" w:type="dxa"/>
            <w:gridSpan w:val="2"/>
          </w:tcPr>
          <w:p w:rsidR="00210210" w:rsidRPr="00612824" w:rsidP="00166946" w14:paraId="2AE20CBD" w14:textId="77777777">
            <w:pPr>
              <w:pStyle w:val="BodyTextIndent"/>
              <w:keepNext/>
              <w:keepLines/>
              <w:ind w:right="53"/>
              <w:jc w:val="center"/>
            </w:pPr>
          </w:p>
        </w:tc>
      </w:tr>
      <w:tr w14:paraId="6E894AEA" w14:textId="77777777" w:rsidTr="00166946">
        <w:tblPrEx>
          <w:tblW w:w="0" w:type="auto"/>
          <w:tblLook w:val="0000"/>
        </w:tblPrEx>
        <w:trPr>
          <w:cantSplit/>
        </w:trPr>
        <w:tc>
          <w:tcPr>
            <w:tcW w:w="2418" w:type="dxa"/>
          </w:tcPr>
          <w:p w:rsidR="00210210" w:rsidRPr="00612824" w:rsidP="00166946" w14:paraId="169B77B2" w14:textId="77777777">
            <w:pPr>
              <w:pStyle w:val="BodyTextIndent"/>
              <w:keepNext/>
              <w:keepLines/>
              <w:ind w:right="53"/>
            </w:pPr>
            <w:r w:rsidRPr="00612824">
              <w:t>OL-LI 16a settimana</w:t>
            </w:r>
          </w:p>
        </w:tc>
        <w:tc>
          <w:tcPr>
            <w:tcW w:w="3520" w:type="dxa"/>
            <w:gridSpan w:val="2"/>
          </w:tcPr>
          <w:p w:rsidR="00210210" w:rsidRPr="00612824" w:rsidP="00166946" w14:paraId="654B967E" w14:textId="77777777">
            <w:pPr>
              <w:pStyle w:val="BodyTextIndent"/>
              <w:keepNext/>
              <w:keepLines/>
              <w:ind w:right="53"/>
              <w:jc w:val="center"/>
            </w:pPr>
          </w:p>
        </w:tc>
        <w:tc>
          <w:tcPr>
            <w:tcW w:w="3239" w:type="dxa"/>
            <w:gridSpan w:val="2"/>
          </w:tcPr>
          <w:p w:rsidR="00210210" w:rsidRPr="00612824" w:rsidP="00166946" w14:paraId="1FD94DC5" w14:textId="77777777">
            <w:pPr>
              <w:pStyle w:val="BodyTextIndent"/>
              <w:keepNext/>
              <w:keepLines/>
              <w:ind w:right="53"/>
              <w:jc w:val="center"/>
            </w:pPr>
          </w:p>
        </w:tc>
      </w:tr>
      <w:tr w14:paraId="557CB91D" w14:textId="77777777" w:rsidTr="00166946">
        <w:tblPrEx>
          <w:tblW w:w="0" w:type="auto"/>
          <w:tblLook w:val="0000"/>
        </w:tblPrEx>
        <w:trPr>
          <w:cantSplit/>
        </w:trPr>
        <w:tc>
          <w:tcPr>
            <w:tcW w:w="2418" w:type="dxa"/>
          </w:tcPr>
          <w:p w:rsidR="00210210" w:rsidRPr="00612824" w:rsidP="00166946" w14:paraId="240BF6BC" w14:textId="77777777">
            <w:pPr>
              <w:pStyle w:val="BodyTextIndent"/>
              <w:keepNext/>
              <w:keepLines/>
              <w:ind w:right="53"/>
            </w:pPr>
            <w:r w:rsidRPr="00612824">
              <w:t>Risposta PedACR 30 (n/N)</w:t>
            </w:r>
          </w:p>
        </w:tc>
        <w:tc>
          <w:tcPr>
            <w:tcW w:w="3520" w:type="dxa"/>
            <w:gridSpan w:val="2"/>
          </w:tcPr>
          <w:p w:rsidR="00210210" w:rsidRPr="00612824" w:rsidP="00166946" w14:paraId="7A054A5B" w14:textId="77777777">
            <w:pPr>
              <w:pStyle w:val="BodyTextIndent"/>
              <w:keepNext/>
              <w:keepLines/>
              <w:ind w:right="53"/>
              <w:jc w:val="center"/>
            </w:pPr>
            <w:r w:rsidRPr="00612824">
              <w:t>94,1% (80/85)</w:t>
            </w:r>
          </w:p>
        </w:tc>
        <w:tc>
          <w:tcPr>
            <w:tcW w:w="3239" w:type="dxa"/>
            <w:gridSpan w:val="2"/>
          </w:tcPr>
          <w:p w:rsidR="00210210" w:rsidRPr="00612824" w:rsidP="00166946" w14:paraId="380290E0" w14:textId="77777777">
            <w:pPr>
              <w:pStyle w:val="BodyTextIndent"/>
              <w:keepNext/>
              <w:keepLines/>
              <w:ind w:right="53"/>
              <w:jc w:val="center"/>
            </w:pPr>
            <w:r w:rsidRPr="00612824">
              <w:t>74,4% (64/86)</w:t>
            </w:r>
          </w:p>
        </w:tc>
      </w:tr>
      <w:tr w14:paraId="3C50911F" w14:textId="77777777" w:rsidTr="00166946">
        <w:tblPrEx>
          <w:tblW w:w="0" w:type="auto"/>
          <w:tblLook w:val="0000"/>
        </w:tblPrEx>
        <w:trPr>
          <w:cantSplit/>
        </w:trPr>
        <w:tc>
          <w:tcPr>
            <w:tcW w:w="9177" w:type="dxa"/>
            <w:gridSpan w:val="5"/>
          </w:tcPr>
          <w:p w:rsidR="00210210" w:rsidRPr="00612824" w:rsidP="00166946" w14:paraId="2CD68246" w14:textId="77777777">
            <w:pPr>
              <w:pStyle w:val="BodyTextIndent"/>
              <w:keepNext/>
              <w:keepLines/>
              <w:ind w:right="53"/>
              <w:jc w:val="center"/>
            </w:pPr>
            <w:r w:rsidRPr="00612824">
              <w:t>Risultati di efficacia</w:t>
            </w:r>
          </w:p>
        </w:tc>
      </w:tr>
      <w:tr w14:paraId="56767EC3" w14:textId="77777777" w:rsidTr="00166946">
        <w:tblPrEx>
          <w:tblW w:w="0" w:type="auto"/>
          <w:tblLook w:val="0000"/>
        </w:tblPrEx>
        <w:tc>
          <w:tcPr>
            <w:tcW w:w="2418" w:type="dxa"/>
          </w:tcPr>
          <w:p w:rsidR="00210210" w:rsidRPr="00612824" w:rsidP="00166946" w14:paraId="79DC15FE" w14:textId="77777777">
            <w:pPr>
              <w:pStyle w:val="BodyTextIndent"/>
              <w:keepNext/>
              <w:keepLines/>
              <w:ind w:right="53"/>
            </w:pPr>
            <w:r w:rsidRPr="00612824">
              <w:t>Doppio cieco 32a settimana</w:t>
            </w:r>
          </w:p>
        </w:tc>
        <w:tc>
          <w:tcPr>
            <w:tcW w:w="1760" w:type="dxa"/>
          </w:tcPr>
          <w:p w:rsidR="00210210" w:rsidRPr="00612824" w:rsidP="00166946" w14:paraId="0B44B946" w14:textId="77777777">
            <w:pPr>
              <w:pStyle w:val="BodyTextIndent"/>
              <w:keepNext/>
              <w:keepLines/>
              <w:ind w:right="53"/>
            </w:pPr>
            <w:r w:rsidRPr="00612824">
              <w:t>Humira / MTX</w:t>
            </w:r>
          </w:p>
          <w:p w:rsidR="00210210" w:rsidRPr="00612824" w:rsidP="00166946" w14:paraId="6684599D" w14:textId="77777777">
            <w:pPr>
              <w:pStyle w:val="BodyTextIndent"/>
              <w:keepNext/>
              <w:keepLines/>
              <w:ind w:right="53"/>
            </w:pPr>
            <w:r w:rsidRPr="00612824">
              <w:t>(N = 38)</w:t>
            </w:r>
          </w:p>
          <w:p w:rsidR="00210210" w:rsidRPr="00612824" w:rsidP="00166946" w14:paraId="7E6EDC29" w14:textId="77777777">
            <w:pPr>
              <w:pStyle w:val="BodyTextIndent"/>
              <w:keepNext/>
              <w:keepLines/>
              <w:ind w:right="53"/>
            </w:pPr>
          </w:p>
        </w:tc>
        <w:tc>
          <w:tcPr>
            <w:tcW w:w="1760" w:type="dxa"/>
          </w:tcPr>
          <w:p w:rsidR="00210210" w:rsidRPr="00612824" w:rsidP="00166946" w14:paraId="7E0101F5" w14:textId="77777777">
            <w:pPr>
              <w:pStyle w:val="BodyTextIndent"/>
              <w:keepNext/>
              <w:keepLines/>
              <w:ind w:right="53"/>
            </w:pPr>
            <w:r w:rsidRPr="00612824">
              <w:t>Placebo / MTX</w:t>
            </w:r>
          </w:p>
          <w:p w:rsidR="00210210" w:rsidRPr="00612824" w:rsidP="00166946" w14:paraId="07B517F5" w14:textId="77777777">
            <w:pPr>
              <w:pStyle w:val="BodyTextIndent"/>
              <w:keepNext/>
              <w:keepLines/>
              <w:ind w:right="53"/>
            </w:pPr>
            <w:r w:rsidRPr="00612824">
              <w:t>(N = 37)</w:t>
            </w:r>
          </w:p>
        </w:tc>
        <w:tc>
          <w:tcPr>
            <w:tcW w:w="1650" w:type="dxa"/>
          </w:tcPr>
          <w:p w:rsidR="00210210" w:rsidRPr="00612824" w:rsidP="00166946" w14:paraId="4964C089" w14:textId="77777777">
            <w:pPr>
              <w:pStyle w:val="BodyTextIndent"/>
              <w:keepNext/>
              <w:keepLines/>
              <w:ind w:right="53"/>
            </w:pPr>
            <w:r w:rsidRPr="00612824">
              <w:t xml:space="preserve">Humira </w:t>
            </w:r>
          </w:p>
          <w:p w:rsidR="00210210" w:rsidRPr="00612824" w:rsidP="00166946" w14:paraId="393B19E4" w14:textId="77777777">
            <w:pPr>
              <w:pStyle w:val="BodyTextIndent"/>
              <w:keepNext/>
              <w:keepLines/>
              <w:ind w:right="53"/>
            </w:pPr>
            <w:r w:rsidRPr="00612824">
              <w:t>(N = 30)</w:t>
            </w:r>
          </w:p>
        </w:tc>
        <w:tc>
          <w:tcPr>
            <w:tcW w:w="1589" w:type="dxa"/>
          </w:tcPr>
          <w:p w:rsidR="00210210" w:rsidRPr="00612824" w:rsidP="00166946" w14:paraId="2B5D1CAA" w14:textId="77777777">
            <w:pPr>
              <w:pStyle w:val="BodyTextIndent"/>
              <w:keepNext/>
              <w:keepLines/>
              <w:ind w:right="53"/>
            </w:pPr>
            <w:r w:rsidRPr="00612824">
              <w:t>Placebo</w:t>
            </w:r>
          </w:p>
          <w:p w:rsidR="00210210" w:rsidRPr="00612824" w:rsidP="00166946" w14:paraId="2E21819F" w14:textId="77777777">
            <w:pPr>
              <w:pStyle w:val="BodyTextIndent"/>
              <w:keepNext/>
              <w:keepLines/>
              <w:ind w:right="53"/>
            </w:pPr>
            <w:r w:rsidRPr="00612824">
              <w:t>(N = 28)</w:t>
            </w:r>
          </w:p>
        </w:tc>
      </w:tr>
      <w:tr w14:paraId="313718E2" w14:textId="77777777" w:rsidTr="00166946">
        <w:tblPrEx>
          <w:tblW w:w="0" w:type="auto"/>
          <w:tblLook w:val="0000"/>
        </w:tblPrEx>
        <w:tc>
          <w:tcPr>
            <w:tcW w:w="2418" w:type="dxa"/>
          </w:tcPr>
          <w:p w:rsidR="00210210" w:rsidRPr="00612824" w:rsidP="00166946" w14:paraId="1AE9DC0E" w14:textId="77777777">
            <w:pPr>
              <w:pStyle w:val="BodyTextIndent"/>
              <w:keepNext/>
              <w:keepLines/>
              <w:ind w:right="53"/>
            </w:pPr>
            <w:r w:rsidRPr="00612824">
              <w:t>Riacutizzazione della malattia alla fine della 32a settimana</w:t>
            </w:r>
            <w:r w:rsidRPr="00612824">
              <w:rPr>
                <w:vertAlign w:val="superscript"/>
              </w:rPr>
              <w:t>a</w:t>
            </w:r>
            <w:r w:rsidRPr="00612824">
              <w:t xml:space="preserve"> (n/N)</w:t>
            </w:r>
          </w:p>
        </w:tc>
        <w:tc>
          <w:tcPr>
            <w:tcW w:w="1760" w:type="dxa"/>
          </w:tcPr>
          <w:p w:rsidR="00210210" w:rsidRPr="00612824" w:rsidP="00166946" w14:paraId="18ABB711" w14:textId="77777777">
            <w:pPr>
              <w:pStyle w:val="BodyTextIndent"/>
              <w:keepNext/>
              <w:keepLines/>
              <w:ind w:right="53"/>
            </w:pPr>
            <w:r w:rsidRPr="00612824">
              <w:t>36,8% (14/38)</w:t>
            </w:r>
          </w:p>
        </w:tc>
        <w:tc>
          <w:tcPr>
            <w:tcW w:w="1760" w:type="dxa"/>
          </w:tcPr>
          <w:p w:rsidR="00210210" w:rsidRPr="00612824" w:rsidP="00166946" w14:paraId="0E9AC093" w14:textId="77777777">
            <w:pPr>
              <w:pStyle w:val="BodyTextIndent"/>
              <w:keepNext/>
              <w:keepLines/>
              <w:ind w:right="53"/>
            </w:pPr>
            <w:r w:rsidRPr="00612824">
              <w:t>64,9% (24/37)</w:t>
            </w:r>
            <w:r w:rsidRPr="00612824">
              <w:rPr>
                <w:vertAlign w:val="superscript"/>
              </w:rPr>
              <w:t>b</w:t>
            </w:r>
          </w:p>
        </w:tc>
        <w:tc>
          <w:tcPr>
            <w:tcW w:w="1650" w:type="dxa"/>
          </w:tcPr>
          <w:p w:rsidR="00210210" w:rsidRPr="00612824" w:rsidP="00166946" w14:paraId="61DA801F" w14:textId="77777777">
            <w:pPr>
              <w:pStyle w:val="BodyTextIndent"/>
              <w:keepNext/>
              <w:keepLines/>
              <w:ind w:right="53"/>
            </w:pPr>
            <w:r w:rsidRPr="00612824">
              <w:t>43,3% (13/30)</w:t>
            </w:r>
          </w:p>
        </w:tc>
        <w:tc>
          <w:tcPr>
            <w:tcW w:w="1589" w:type="dxa"/>
          </w:tcPr>
          <w:p w:rsidR="00210210" w:rsidRPr="00612824" w:rsidP="00166946" w14:paraId="1672125C" w14:textId="77777777">
            <w:pPr>
              <w:pStyle w:val="BodyTextIndent"/>
              <w:keepNext/>
              <w:keepLines/>
              <w:ind w:right="53"/>
            </w:pPr>
            <w:r w:rsidRPr="00612824">
              <w:t>71,4% (20/28)</w:t>
            </w:r>
            <w:r w:rsidRPr="00612824">
              <w:rPr>
                <w:vertAlign w:val="superscript"/>
              </w:rPr>
              <w:t>c</w:t>
            </w:r>
          </w:p>
        </w:tc>
      </w:tr>
      <w:tr w14:paraId="70BFB9C6" w14:textId="77777777" w:rsidTr="00166946">
        <w:tblPrEx>
          <w:tblW w:w="0" w:type="auto"/>
          <w:tblLook w:val="0000"/>
        </w:tblPrEx>
        <w:tc>
          <w:tcPr>
            <w:tcW w:w="2418" w:type="dxa"/>
          </w:tcPr>
          <w:p w:rsidR="00210210" w:rsidRPr="00612824" w:rsidP="00166946" w14:paraId="29C25831" w14:textId="77777777">
            <w:pPr>
              <w:pStyle w:val="BodyTextIndent"/>
              <w:keepNext/>
              <w:keepLines/>
              <w:ind w:right="53"/>
            </w:pPr>
            <w:r w:rsidRPr="00612824">
              <w:t>Tempo medio alla riacutizzazione della malattia</w:t>
            </w:r>
          </w:p>
        </w:tc>
        <w:tc>
          <w:tcPr>
            <w:tcW w:w="1760" w:type="dxa"/>
          </w:tcPr>
          <w:p w:rsidR="00210210" w:rsidRPr="00612824" w:rsidP="00166946" w14:paraId="1FBE0B39" w14:textId="77777777">
            <w:pPr>
              <w:pStyle w:val="BodyTextIndent"/>
              <w:keepNext/>
              <w:keepLines/>
              <w:ind w:right="53"/>
            </w:pPr>
            <w:r w:rsidRPr="00612824">
              <w:t>&gt;32 settimane</w:t>
            </w:r>
          </w:p>
        </w:tc>
        <w:tc>
          <w:tcPr>
            <w:tcW w:w="1760" w:type="dxa"/>
          </w:tcPr>
          <w:p w:rsidR="00210210" w:rsidRPr="00612824" w:rsidP="00166946" w14:paraId="58C13EC1" w14:textId="77777777">
            <w:pPr>
              <w:pStyle w:val="BodyTextIndent"/>
              <w:keepNext/>
              <w:keepLines/>
              <w:ind w:right="53"/>
            </w:pPr>
            <w:r w:rsidRPr="00612824">
              <w:t>20 settimane</w:t>
            </w:r>
          </w:p>
        </w:tc>
        <w:tc>
          <w:tcPr>
            <w:tcW w:w="1650" w:type="dxa"/>
          </w:tcPr>
          <w:p w:rsidR="00210210" w:rsidRPr="00612824" w:rsidP="00166946" w14:paraId="08916309" w14:textId="77777777">
            <w:pPr>
              <w:pStyle w:val="BodyTextIndent"/>
              <w:keepNext/>
              <w:keepLines/>
              <w:ind w:right="53"/>
            </w:pPr>
            <w:r w:rsidRPr="00612824">
              <w:t>&gt;32 settimane</w:t>
            </w:r>
          </w:p>
        </w:tc>
        <w:tc>
          <w:tcPr>
            <w:tcW w:w="1589" w:type="dxa"/>
          </w:tcPr>
          <w:p w:rsidR="00210210" w:rsidRPr="00612824" w:rsidP="00166946" w14:paraId="4C90F97B" w14:textId="77777777">
            <w:pPr>
              <w:pStyle w:val="BodyTextIndent"/>
              <w:keepNext/>
              <w:keepLines/>
              <w:ind w:right="53"/>
            </w:pPr>
            <w:r w:rsidRPr="00612824">
              <w:t>14 settimane</w:t>
            </w:r>
          </w:p>
        </w:tc>
      </w:tr>
    </w:tbl>
    <w:p w:rsidR="00210210" w:rsidRPr="00612824" w:rsidP="00210210" w14:paraId="0646D5D2" w14:textId="77777777">
      <w:pPr>
        <w:pStyle w:val="BodyTextIndent"/>
        <w:keepNext/>
        <w:keepLines/>
        <w:ind w:right="53"/>
      </w:pPr>
      <w:r w:rsidRPr="00612824">
        <w:rPr>
          <w:vertAlign w:val="superscript"/>
        </w:rPr>
        <w:t>a</w:t>
      </w:r>
      <w:r w:rsidRPr="00612824">
        <w:t xml:space="preserve"> Le risposte PedACR 30/50/70 alla 48a settimana sono risultate significativamente maggiori rispetto a quelle ottenute nei pazienti trattati con placebo </w:t>
      </w:r>
    </w:p>
    <w:p w:rsidR="00210210" w:rsidRPr="00612824" w:rsidP="00210210" w14:paraId="66859A8D" w14:textId="77777777">
      <w:pPr>
        <w:pStyle w:val="BodyTextIndent"/>
        <w:ind w:right="53"/>
      </w:pPr>
      <w:r w:rsidRPr="00612824">
        <w:rPr>
          <w:vertAlign w:val="superscript"/>
        </w:rPr>
        <w:t xml:space="preserve">b </w:t>
      </w:r>
      <w:r w:rsidRPr="00612824">
        <w:t>p = 0,015</w:t>
      </w:r>
    </w:p>
    <w:p w:rsidR="00210210" w:rsidRPr="00612824" w:rsidP="00210210" w14:paraId="2E86F515" w14:textId="77777777">
      <w:pPr>
        <w:pStyle w:val="BodyTextIndent"/>
        <w:ind w:right="53"/>
        <w:rPr>
          <w:b/>
          <w:bCs/>
        </w:rPr>
      </w:pPr>
      <w:r w:rsidRPr="00612824">
        <w:rPr>
          <w:vertAlign w:val="superscript"/>
        </w:rPr>
        <w:t xml:space="preserve">c </w:t>
      </w:r>
      <w:r w:rsidRPr="00612824">
        <w:t>p = 0,031</w:t>
      </w:r>
    </w:p>
    <w:p w:rsidR="00210210" w:rsidRPr="00612824" w:rsidP="00210210" w14:paraId="0A74E2A6" w14:textId="77777777">
      <w:pPr>
        <w:tabs>
          <w:tab w:val="left" w:pos="567"/>
          <w:tab w:val="left" w:pos="1294"/>
        </w:tabs>
        <w:autoSpaceDE w:val="0"/>
        <w:autoSpaceDN w:val="0"/>
        <w:adjustRightInd w:val="0"/>
        <w:jc w:val="both"/>
        <w:rPr>
          <w:sz w:val="22"/>
          <w:szCs w:val="22"/>
        </w:rPr>
      </w:pPr>
    </w:p>
    <w:p w:rsidR="00210210" w:rsidRPr="00612824" w:rsidP="00210210" w14:paraId="4127C0BD" w14:textId="77777777">
      <w:pPr>
        <w:tabs>
          <w:tab w:val="left" w:pos="567"/>
          <w:tab w:val="left" w:pos="1294"/>
        </w:tabs>
        <w:autoSpaceDE w:val="0"/>
        <w:autoSpaceDN w:val="0"/>
        <w:adjustRightInd w:val="0"/>
        <w:jc w:val="both"/>
        <w:rPr>
          <w:sz w:val="22"/>
          <w:szCs w:val="22"/>
        </w:rPr>
      </w:pPr>
      <w:r w:rsidRPr="00612824">
        <w:rPr>
          <w:sz w:val="22"/>
          <w:szCs w:val="22"/>
        </w:rPr>
        <w:t xml:space="preserve">Tra coloro che alla 16a settimana hanno risposto al trattamento (n=144), le risposte Ped ACR 30/50/70/90 sono state mantenute per un massimo di sei anni durante la fase OLE nei pazienti a cui è stato somministrato Humira nel corso di tutto lo studio. Complessivamente, 19 soggetti, di cui 11 appartenenti al gruppo di età al basale compresa tra 4 e 12 anni e 8 appartenenti al gruppo dietà al basale compresa tra 13 e 17 anni, sono stati trattati per 6 anni o più. </w:t>
      </w:r>
    </w:p>
    <w:p w:rsidR="00210210" w:rsidRPr="00612824" w:rsidP="00210210" w14:paraId="2D19E29C" w14:textId="77777777">
      <w:pPr>
        <w:tabs>
          <w:tab w:val="left" w:pos="567"/>
          <w:tab w:val="left" w:pos="1294"/>
        </w:tabs>
        <w:autoSpaceDE w:val="0"/>
        <w:autoSpaceDN w:val="0"/>
        <w:adjustRightInd w:val="0"/>
        <w:jc w:val="both"/>
        <w:rPr>
          <w:color w:val="000000"/>
          <w:sz w:val="22"/>
          <w:szCs w:val="22"/>
        </w:rPr>
      </w:pPr>
    </w:p>
    <w:p w:rsidR="00210210" w:rsidRPr="00612824" w:rsidP="00210210" w14:paraId="55174D3E" w14:textId="77777777">
      <w:pPr>
        <w:tabs>
          <w:tab w:val="left" w:pos="567"/>
          <w:tab w:val="left" w:pos="1294"/>
        </w:tabs>
        <w:autoSpaceDE w:val="0"/>
        <w:autoSpaceDN w:val="0"/>
        <w:adjustRightInd w:val="0"/>
        <w:jc w:val="both"/>
        <w:rPr>
          <w:sz w:val="22"/>
          <w:szCs w:val="22"/>
        </w:rPr>
      </w:pPr>
      <w:r w:rsidRPr="00612824">
        <w:rPr>
          <w:sz w:val="22"/>
          <w:szCs w:val="22"/>
        </w:rPr>
        <w:t>Le risposte complessive sono risultate generalmente migliori e meno pazienti hanno sviluppato anticorpi quando sono stati trattati con la terapia combinata Humira e MTX rispetto al trattamento con Humira somministrato in monoterapia. Prendendo in considerazione tali risultati, l’uso di Humira è raccomandato in associazione al MTX ed in monoterapia nei pazienti per i quali l’uso di MTX sia sconsigliato (vedere paragrafo 4.2).</w:t>
      </w:r>
    </w:p>
    <w:p w:rsidR="00210210" w:rsidRPr="00612824" w:rsidP="00210210" w14:paraId="79FB23CE" w14:textId="77777777">
      <w:pPr>
        <w:rPr>
          <w:sz w:val="22"/>
          <w:szCs w:val="22"/>
        </w:rPr>
      </w:pPr>
    </w:p>
    <w:p w:rsidR="00210210" w:rsidRPr="00612824" w:rsidP="00210210" w14:paraId="32997F56" w14:textId="77777777">
      <w:pPr>
        <w:keepNext/>
        <w:tabs>
          <w:tab w:val="left" w:pos="567"/>
          <w:tab w:val="left" w:pos="1294"/>
        </w:tabs>
        <w:autoSpaceDE w:val="0"/>
        <w:autoSpaceDN w:val="0"/>
        <w:adjustRightInd w:val="0"/>
        <w:jc w:val="both"/>
        <w:rPr>
          <w:sz w:val="22"/>
          <w:szCs w:val="22"/>
        </w:rPr>
      </w:pPr>
      <w:r w:rsidRPr="00612824">
        <w:rPr>
          <w:sz w:val="22"/>
          <w:szCs w:val="22"/>
        </w:rPr>
        <w:t>pJIA II</w:t>
      </w:r>
    </w:p>
    <w:p w:rsidR="00210210" w:rsidRPr="00612824" w:rsidP="00210210" w14:paraId="45B6D67E" w14:textId="77777777">
      <w:pPr>
        <w:keepNext/>
        <w:tabs>
          <w:tab w:val="left" w:pos="567"/>
          <w:tab w:val="left" w:pos="1294"/>
        </w:tabs>
        <w:autoSpaceDE w:val="0"/>
        <w:autoSpaceDN w:val="0"/>
        <w:adjustRightInd w:val="0"/>
        <w:jc w:val="both"/>
        <w:rPr>
          <w:sz w:val="22"/>
          <w:szCs w:val="22"/>
        </w:rPr>
      </w:pPr>
    </w:p>
    <w:p w:rsidR="00210210" w:rsidRPr="00612824" w:rsidP="00210210" w14:paraId="124F67DC" w14:textId="77777777">
      <w:pPr>
        <w:keepNext/>
        <w:tabs>
          <w:tab w:val="left" w:pos="567"/>
          <w:tab w:val="left" w:pos="1294"/>
        </w:tabs>
        <w:autoSpaceDE w:val="0"/>
        <w:autoSpaceDN w:val="0"/>
        <w:adjustRightInd w:val="0"/>
        <w:jc w:val="both"/>
        <w:rPr>
          <w:sz w:val="22"/>
          <w:szCs w:val="22"/>
        </w:rPr>
      </w:pPr>
      <w:r w:rsidRPr="00612824">
        <w:rPr>
          <w:sz w:val="22"/>
          <w:szCs w:val="22"/>
        </w:rPr>
        <w:t>La sicurezza e l’efficacia di Humira è stata valutata in uno studio multicentrico in aperto in 32 bambini (2-&lt;4 anni di età o 4 anni di età o più e peso &lt;15 kg) con artrite idiopatica giovanile poliarticolare da moderatamente a gravemente attiva. I pazienti hanno ricevuto 24 mg/m</w:t>
      </w:r>
      <w:r w:rsidRPr="00612824">
        <w:rPr>
          <w:sz w:val="22"/>
          <w:szCs w:val="22"/>
          <w:vertAlign w:val="superscript"/>
        </w:rPr>
        <w:t>2</w:t>
      </w:r>
      <w:r w:rsidRPr="00612824">
        <w:rPr>
          <w:sz w:val="22"/>
          <w:szCs w:val="22"/>
        </w:rPr>
        <w:t xml:space="preserve"> di superficie corporea (BSA) di Humira fino a un massimo di 20 mg a settimane alterne come singola dose per via sottocutanea per almeno 24 settimane. Durante lo studio la maggior parte dei soggetti faceva un uso concomitante di MTX, con alcuni soggetti che riportavano l’uso di corticosteroidi o antinfiammatori non steroidei (FANS).</w:t>
      </w:r>
    </w:p>
    <w:p w:rsidR="00210210" w:rsidRPr="00612824" w:rsidP="00210210" w14:paraId="0B500C5C" w14:textId="77777777">
      <w:pPr>
        <w:tabs>
          <w:tab w:val="left" w:pos="567"/>
          <w:tab w:val="left" w:pos="1294"/>
        </w:tabs>
        <w:autoSpaceDE w:val="0"/>
        <w:autoSpaceDN w:val="0"/>
        <w:adjustRightInd w:val="0"/>
        <w:jc w:val="both"/>
        <w:rPr>
          <w:sz w:val="22"/>
          <w:szCs w:val="22"/>
        </w:rPr>
      </w:pPr>
    </w:p>
    <w:p w:rsidR="00210210" w:rsidRPr="00612824" w:rsidP="00210210" w14:paraId="18F6EA0F" w14:textId="77777777">
      <w:pPr>
        <w:jc w:val="both"/>
        <w:rPr>
          <w:sz w:val="22"/>
          <w:szCs w:val="22"/>
        </w:rPr>
      </w:pPr>
      <w:r w:rsidRPr="00612824">
        <w:rPr>
          <w:sz w:val="22"/>
          <w:szCs w:val="22"/>
        </w:rPr>
        <w:t>Alla settimana 12 e alla settimana 24, la risposta PedACR30 era, rispettivamente, 93,5% e 90,0% usando l’approccio dei dati osservati. Le percentuali dei soggetti con PedACR50/70/90 alla settimana 12 e alla settimana 24 erano, rispettivamente, 90,3%/61,3%/38,7% e 83,3%/73,3%/36,7%. Tra quelli che rispondevano (PedACR30) alla settimana 24 (n=27 pazienti su 30), le risposte PedACR30 erano mantenute fino a 60 settimane nei pazienti che ricevevano Humira nel corso della fasedi estensione in aperto (OLE). In totale, 20 soggetti erano trattati per 60 settimane o oltre.</w:t>
      </w:r>
    </w:p>
    <w:p w:rsidR="00210210" w:rsidRPr="00612824" w:rsidP="00210210" w14:paraId="537E039C" w14:textId="77777777">
      <w:pPr>
        <w:tabs>
          <w:tab w:val="left" w:pos="567"/>
        </w:tabs>
        <w:jc w:val="both"/>
        <w:rPr>
          <w:color w:val="000000"/>
          <w:sz w:val="22"/>
          <w:szCs w:val="22"/>
          <w:u w:val="single"/>
        </w:rPr>
      </w:pPr>
    </w:p>
    <w:p w:rsidR="00210210" w:rsidRPr="00612824" w:rsidP="00210210" w14:paraId="245D606C" w14:textId="77777777">
      <w:pPr>
        <w:pStyle w:val="gtcbodytext"/>
        <w:spacing w:before="0" w:after="0" w:line="240" w:lineRule="auto"/>
        <w:rPr>
          <w:rStyle w:val="gtcbold9"/>
          <w:b w:val="0"/>
          <w:i/>
          <w:sz w:val="22"/>
          <w:szCs w:val="22"/>
          <w:u w:val="single"/>
          <w:lang w:val="it-IT"/>
        </w:rPr>
      </w:pPr>
      <w:r w:rsidRPr="00612824">
        <w:rPr>
          <w:rStyle w:val="gtcbold9"/>
          <w:b w:val="0"/>
          <w:i/>
          <w:sz w:val="22"/>
          <w:szCs w:val="22"/>
          <w:u w:val="single"/>
          <w:lang w:val="it-IT"/>
        </w:rPr>
        <w:t>Artrite associata ad entesite</w:t>
      </w:r>
    </w:p>
    <w:p w:rsidR="00210210" w:rsidRPr="00612824" w:rsidP="00210210" w14:paraId="2D48E687" w14:textId="77777777">
      <w:pPr>
        <w:pStyle w:val="gtcbodytext"/>
        <w:spacing w:before="0" w:after="0" w:line="240" w:lineRule="auto"/>
        <w:rPr>
          <w:rStyle w:val="gtcbold9"/>
          <w:b w:val="0"/>
          <w:sz w:val="22"/>
          <w:szCs w:val="22"/>
          <w:lang w:val="it-IT"/>
        </w:rPr>
      </w:pPr>
    </w:p>
    <w:p w:rsidR="00210210" w:rsidRPr="00295E71" w:rsidP="00210210" w14:paraId="60C093F8" w14:textId="77777777">
      <w:pPr>
        <w:pStyle w:val="gtcbodytext"/>
        <w:spacing w:before="0" w:after="0" w:line="240" w:lineRule="auto"/>
        <w:jc w:val="both"/>
        <w:rPr>
          <w:rStyle w:val="gtcbold9"/>
          <w:b w:val="0"/>
          <w:sz w:val="22"/>
          <w:szCs w:val="22"/>
          <w:lang w:val="it-IT"/>
        </w:rPr>
      </w:pPr>
      <w:r w:rsidRPr="00612824">
        <w:rPr>
          <w:rStyle w:val="gtcbold9"/>
          <w:b w:val="0"/>
          <w:sz w:val="22"/>
          <w:szCs w:val="22"/>
          <w:lang w:val="it-IT"/>
        </w:rPr>
        <w:t>La sicurezza e l’efficacia di Humira sono state valutate in uno studio multicentrico, randomizzato, in doppio cieco in 46 pazienti pediatrici (da 6 a 17 anni di età) con entesite associata ad artrite di grado moderato. I pazienti sono stati randomizzati per ricevere o 24 mg/m</w:t>
      </w:r>
      <w:r w:rsidRPr="00612824">
        <w:rPr>
          <w:rStyle w:val="gtcbold9"/>
          <w:b w:val="0"/>
          <w:sz w:val="22"/>
          <w:szCs w:val="22"/>
          <w:vertAlign w:val="superscript"/>
          <w:lang w:val="it-IT"/>
        </w:rPr>
        <w:t>2</w:t>
      </w:r>
      <w:r w:rsidRPr="00612824">
        <w:rPr>
          <w:rStyle w:val="gtcbold9"/>
          <w:b w:val="0"/>
          <w:sz w:val="22"/>
          <w:szCs w:val="22"/>
          <w:lang w:val="it-IT"/>
        </w:rPr>
        <w:t xml:space="preserve"> di superficie corporea (BSA) di Humira, fino ad un massimo di 40 mg, o placebo a settimane alterne per 12 settimane. Il periodo in doppio cieco è stato seguito da un periodo di studio in aperto (OL), durante il quale i pazienti hanno ricevuto 24 mg/m</w:t>
      </w:r>
      <w:r w:rsidRPr="00612824">
        <w:rPr>
          <w:rStyle w:val="gtcbold9"/>
          <w:b w:val="0"/>
          <w:sz w:val="22"/>
          <w:szCs w:val="22"/>
          <w:vertAlign w:val="superscript"/>
          <w:lang w:val="it-IT"/>
        </w:rPr>
        <w:t xml:space="preserve">2 </w:t>
      </w:r>
      <w:r w:rsidRPr="00612824">
        <w:rPr>
          <w:rStyle w:val="gtcbold9"/>
          <w:b w:val="0"/>
          <w:sz w:val="22"/>
          <w:szCs w:val="22"/>
          <w:lang w:val="it-IT"/>
        </w:rPr>
        <w:t>di superficie corporea di Humira, fino ad un massimo di 40 mg per via sottocutanea a settimane alterne, per altre 192 settimane. L’endpoint primario era la variazione percentuale nel numero di articolazioni con artrite attiva dal valore al basale a quello alla settimana 12 (gonfiore non dovuto a deformità o articolazioni con perdita di movimento più dolore e/o dolorabilità), ed è stato raggiunto con una diminuzione media percentuale del -62,6% (variazione mediana percentuale – 88,9%) nei pazienti del gruppo trattato con Humira rispetto al -11,6% (variazione mediana percentuale – 50,0%) nei pazienti del gruppo trattato con placebo. Il miglioramento nel numero di articolazioni attive con artrite è stato mantenuto durante il periodo in aperto dello studio fino alla settimana 156 per 26 dei 31 (84%) pazienti del gruppo trattato con Humira che sono rimasti nello studio. Nonostante non fosse statisticamente significativo, la maggior parte dei pazienti ha dimostrato un miglioramento clinico negli endpoint secondari, come il numero di siti di entesite, la conta delle articolazioni dolenti (TJC), la conta delle articolazioni tumefatte (SJC), la risposta ACR 50 Pediatrica e la risposta ACR 70 Pediatrica.</w:t>
      </w:r>
    </w:p>
    <w:p w:rsidR="00210210" w:rsidRPr="00295E71" w:rsidP="00210210" w14:paraId="56F98382" w14:textId="77777777">
      <w:pPr>
        <w:pStyle w:val="gtcbodytext"/>
        <w:spacing w:before="0" w:after="0" w:line="240" w:lineRule="auto"/>
        <w:jc w:val="both"/>
        <w:rPr>
          <w:rStyle w:val="gtcbold9"/>
          <w:b w:val="0"/>
          <w:sz w:val="22"/>
          <w:szCs w:val="22"/>
          <w:u w:val="single"/>
          <w:lang w:val="it-IT"/>
        </w:rPr>
      </w:pPr>
    </w:p>
    <w:p w:rsidR="00210210" w:rsidRPr="00295E71" w:rsidP="00210210" w14:paraId="3D36FA14" w14:textId="77777777">
      <w:pPr>
        <w:rPr>
          <w:i/>
          <w:iCs/>
          <w:color w:val="000000"/>
          <w:sz w:val="22"/>
          <w:szCs w:val="22"/>
        </w:rPr>
      </w:pPr>
      <w:r w:rsidRPr="00295E71">
        <w:rPr>
          <w:i/>
          <w:iCs/>
          <w:color w:val="000000"/>
          <w:sz w:val="22"/>
          <w:szCs w:val="22"/>
        </w:rPr>
        <w:t>Psoriasi a placche pediatrica</w:t>
      </w:r>
    </w:p>
    <w:p w:rsidR="00210210" w:rsidRPr="00295E71" w:rsidP="00210210" w14:paraId="0124A1AB" w14:textId="77777777">
      <w:pPr>
        <w:tabs>
          <w:tab w:val="left" w:pos="567"/>
        </w:tabs>
        <w:jc w:val="both"/>
        <w:rPr>
          <w:color w:val="000000"/>
          <w:sz w:val="22"/>
          <w:szCs w:val="22"/>
        </w:rPr>
      </w:pPr>
    </w:p>
    <w:p w:rsidR="00210210" w:rsidRPr="00295E71" w:rsidP="00210210" w14:paraId="755ACCC6" w14:textId="77777777">
      <w:pPr>
        <w:tabs>
          <w:tab w:val="left" w:pos="567"/>
        </w:tabs>
        <w:jc w:val="both"/>
        <w:rPr>
          <w:color w:val="000000"/>
          <w:sz w:val="22"/>
          <w:szCs w:val="22"/>
        </w:rPr>
      </w:pPr>
      <w:r w:rsidRPr="00295E71">
        <w:rPr>
          <w:color w:val="000000"/>
          <w:sz w:val="22"/>
          <w:szCs w:val="22"/>
        </w:rPr>
        <w:t>L’efficacia di Humira è stata valutata in uno studio randomizzato, controllato, in doppio cieco, su 114 pazienti pediatrici a partire da 4 anni d’età con psoriasi cronica a placche grave (definita da un Physician’s Global Assessment</w:t>
      </w:r>
      <w:r>
        <w:rPr>
          <w:color w:val="000000"/>
          <w:sz w:val="22"/>
          <w:szCs w:val="22"/>
        </w:rPr>
        <w:t xml:space="preserve"> </w:t>
      </w:r>
      <w:r w:rsidRPr="00295E71">
        <w:rPr>
          <w:color w:val="000000"/>
          <w:sz w:val="22"/>
          <w:szCs w:val="22"/>
        </w:rPr>
        <w:t>(PGA) ≥ 4 o BSA &gt; 20% o BSA &gt; 10% con lesioni molto spesse o Psoriasis Area and Severity Index (PASI) ≥ 20 o ≥ 10 con coinvolgimento facciale, genitale o di mani/piedi clinicamente rilevante) inadeguatamente controllata con la terapia topica e l’elioterapia o la fototerapia.</w:t>
      </w:r>
    </w:p>
    <w:p w:rsidR="00210210" w:rsidRPr="00295E71" w:rsidP="00210210" w14:paraId="376EB5DA" w14:textId="77777777">
      <w:pPr>
        <w:tabs>
          <w:tab w:val="left" w:pos="567"/>
        </w:tabs>
        <w:jc w:val="both"/>
        <w:rPr>
          <w:color w:val="000000"/>
          <w:sz w:val="22"/>
          <w:szCs w:val="22"/>
        </w:rPr>
      </w:pPr>
    </w:p>
    <w:p w:rsidR="00210210" w:rsidRPr="00295E71" w:rsidP="00210210" w14:paraId="2D433D32" w14:textId="77777777">
      <w:pPr>
        <w:tabs>
          <w:tab w:val="left" w:pos="567"/>
        </w:tabs>
        <w:jc w:val="both"/>
        <w:rPr>
          <w:color w:val="000000"/>
          <w:sz w:val="22"/>
          <w:szCs w:val="22"/>
        </w:rPr>
      </w:pPr>
      <w:r w:rsidRPr="00295E71">
        <w:rPr>
          <w:color w:val="000000"/>
          <w:sz w:val="22"/>
          <w:szCs w:val="22"/>
        </w:rPr>
        <w:t>I pazienti hanno ricevuto Humira 0,8 mg/kg a settimane alterne (fino a 40 mg), 0,4 mg/kg a settimane alterne (fino a 20 mg), oppure metotressato 0,1 – 0,4 mg/kg una volta a settimana (fino a 25 mg). Alla settimana 16, un maggior numero di pazienti randomizzati ad Humira 0,8 mg/kg ha avuto risposte di efficacia positive (ad es.,</w:t>
      </w:r>
      <w:r>
        <w:rPr>
          <w:color w:val="000000"/>
          <w:sz w:val="22"/>
          <w:szCs w:val="22"/>
        </w:rPr>
        <w:t xml:space="preserve"> </w:t>
      </w:r>
      <w:r w:rsidRPr="00295E71">
        <w:rPr>
          <w:color w:val="000000"/>
          <w:sz w:val="22"/>
          <w:szCs w:val="22"/>
        </w:rPr>
        <w:t>risposta PASI 75) rispetto a quelli randomizzati a 0,4 mg/kg a settimane alterne o a metotressato.</w:t>
      </w:r>
    </w:p>
    <w:p w:rsidR="00210210" w:rsidRPr="00295E71" w:rsidP="00210210" w14:paraId="078F6835" w14:textId="77777777">
      <w:pPr>
        <w:tabs>
          <w:tab w:val="left" w:pos="567"/>
        </w:tabs>
        <w:jc w:val="both"/>
        <w:rPr>
          <w:color w:val="000000"/>
          <w:sz w:val="22"/>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4185"/>
        <w:gridCol w:w="1131"/>
        <w:gridCol w:w="2771"/>
      </w:tblGrid>
      <w:tr w14:paraId="300D9061" w14:textId="77777777" w:rsidTr="00166946">
        <w:tblPrEx>
          <w:tblW w:w="4458" w:type="pct"/>
          <w:tblLook w:val="00A0"/>
        </w:tblPrEx>
        <w:tc>
          <w:tcPr>
            <w:tcW w:w="5000" w:type="pct"/>
            <w:gridSpan w:val="3"/>
            <w:tcBorders>
              <w:top w:val="nil"/>
              <w:left w:val="nil"/>
              <w:bottom w:val="nil"/>
              <w:right w:val="nil"/>
            </w:tcBorders>
            <w:vAlign w:val="center"/>
          </w:tcPr>
          <w:p w:rsidR="00210210" w:rsidRPr="00295E71" w:rsidP="00166946" w14:paraId="239D5FD8" w14:textId="77777777">
            <w:pPr>
              <w:autoSpaceDE w:val="0"/>
              <w:autoSpaceDN w:val="0"/>
              <w:adjustRightInd w:val="0"/>
              <w:jc w:val="center"/>
              <w:rPr>
                <w:rStyle w:val="gtcbold9"/>
                <w:rFonts w:eastAsia="Arial"/>
                <w:sz w:val="22"/>
                <w:szCs w:val="22"/>
                <w:lang w:bidi="it-IT"/>
              </w:rPr>
            </w:pPr>
            <w:r w:rsidRPr="00295E71">
              <w:rPr>
                <w:rStyle w:val="gtcbold9"/>
                <w:rFonts w:eastAsia="Arial"/>
                <w:sz w:val="22"/>
                <w:szCs w:val="22"/>
                <w:lang w:bidi="it-IT"/>
              </w:rPr>
              <w:t>Tabella 1</w:t>
            </w:r>
            <w:r w:rsidR="0063590A">
              <w:rPr>
                <w:rStyle w:val="gtcbold9"/>
                <w:rFonts w:eastAsia="Arial"/>
                <w:sz w:val="22"/>
                <w:szCs w:val="22"/>
                <w:lang w:bidi="it-IT"/>
              </w:rPr>
              <w:t>9</w:t>
            </w:r>
            <w:r w:rsidRPr="00295E71">
              <w:rPr>
                <w:rStyle w:val="gtcbold9"/>
                <w:rFonts w:eastAsia="Arial"/>
                <w:sz w:val="22"/>
                <w:szCs w:val="22"/>
                <w:lang w:bidi="it-IT"/>
              </w:rPr>
              <w:t>: Psoriasi a Placche Pediatrica</w:t>
            </w:r>
          </w:p>
          <w:p w:rsidR="00210210" w:rsidRPr="00295E71" w:rsidP="00166946" w14:paraId="6772A9D9" w14:textId="77777777">
            <w:pPr>
              <w:jc w:val="center"/>
              <w:rPr>
                <w:rStyle w:val="gtcbold9"/>
                <w:rFonts w:eastAsia="Arial"/>
                <w:sz w:val="22"/>
                <w:szCs w:val="22"/>
                <w:lang w:bidi="it-IT"/>
              </w:rPr>
            </w:pPr>
            <w:r w:rsidRPr="00295E71">
              <w:rPr>
                <w:rStyle w:val="gtcbold9"/>
                <w:rFonts w:eastAsia="Arial"/>
                <w:sz w:val="22"/>
                <w:szCs w:val="22"/>
                <w:lang w:bidi="it-IT"/>
              </w:rPr>
              <w:t>Risultati relativi all’efficacia alla settimana 16</w:t>
            </w:r>
          </w:p>
          <w:p w:rsidR="00210210" w:rsidRPr="00295E71" w:rsidP="00166946" w14:paraId="34EAD581" w14:textId="77777777">
            <w:pPr>
              <w:jc w:val="center"/>
              <w:rPr>
                <w:b/>
                <w:sz w:val="22"/>
                <w:szCs w:val="22"/>
              </w:rPr>
            </w:pPr>
          </w:p>
        </w:tc>
      </w:tr>
      <w:tr w14:paraId="3C5F9EF9" w14:textId="77777777" w:rsidTr="00166946">
        <w:tblPrEx>
          <w:tblW w:w="4458" w:type="pct"/>
          <w:tblLook w:val="00A0"/>
        </w:tblPrEx>
        <w:tc>
          <w:tcPr>
            <w:tcW w:w="2588" w:type="pct"/>
            <w:tcBorders>
              <w:top w:val="single" w:sz="6" w:space="0" w:color="000000"/>
              <w:left w:val="single" w:sz="6" w:space="0" w:color="000000"/>
              <w:bottom w:val="outset" w:sz="6" w:space="0" w:color="auto"/>
              <w:right w:val="outset" w:sz="6" w:space="0" w:color="auto"/>
            </w:tcBorders>
            <w:vAlign w:val="center"/>
          </w:tcPr>
          <w:p w:rsidR="00210210" w:rsidRPr="00295E71" w:rsidP="00166946" w14:paraId="13689CE7" w14:textId="77777777">
            <w:pPr>
              <w:rPr>
                <w:sz w:val="22"/>
                <w:szCs w:val="22"/>
              </w:rPr>
            </w:pPr>
          </w:p>
        </w:tc>
        <w:tc>
          <w:tcPr>
            <w:tcW w:w="699" w:type="pct"/>
            <w:tcBorders>
              <w:top w:val="single" w:sz="6" w:space="0" w:color="000000"/>
              <w:left w:val="single" w:sz="6" w:space="0" w:color="000000"/>
              <w:bottom w:val="outset" w:sz="6" w:space="0" w:color="auto"/>
              <w:right w:val="outset" w:sz="6" w:space="0" w:color="auto"/>
            </w:tcBorders>
            <w:vAlign w:val="center"/>
          </w:tcPr>
          <w:p w:rsidR="00210210" w:rsidRPr="00295E71" w:rsidP="00166946" w14:paraId="2F57FE38" w14:textId="77777777">
            <w:pPr>
              <w:jc w:val="center"/>
              <w:rPr>
                <w:sz w:val="22"/>
                <w:szCs w:val="22"/>
              </w:rPr>
            </w:pPr>
            <w:r w:rsidRPr="00295E71">
              <w:rPr>
                <w:sz w:val="22"/>
                <w:szCs w:val="22"/>
              </w:rPr>
              <w:t>MTX</w:t>
            </w:r>
            <w:r w:rsidRPr="00295E71">
              <w:rPr>
                <w:sz w:val="22"/>
                <w:szCs w:val="22"/>
                <w:vertAlign w:val="superscript"/>
              </w:rPr>
              <w:t>a</w:t>
            </w:r>
            <w:r w:rsidRPr="00295E71">
              <w:rPr>
                <w:sz w:val="22"/>
                <w:szCs w:val="22"/>
              </w:rPr>
              <w:br/>
              <w:t xml:space="preserve">N=37 </w:t>
            </w:r>
          </w:p>
        </w:tc>
        <w:tc>
          <w:tcPr>
            <w:tcW w:w="1713" w:type="pct"/>
            <w:tcBorders>
              <w:top w:val="single" w:sz="6" w:space="0" w:color="000000"/>
              <w:left w:val="single" w:sz="6" w:space="0" w:color="000000"/>
              <w:bottom w:val="outset" w:sz="6" w:space="0" w:color="auto"/>
              <w:right w:val="single" w:sz="6" w:space="0" w:color="000000"/>
            </w:tcBorders>
            <w:vAlign w:val="center"/>
          </w:tcPr>
          <w:p w:rsidR="00210210" w:rsidRPr="00295E71" w:rsidP="00166946" w14:paraId="5DC07BF0" w14:textId="77777777">
            <w:pPr>
              <w:jc w:val="center"/>
              <w:rPr>
                <w:sz w:val="22"/>
                <w:szCs w:val="22"/>
              </w:rPr>
            </w:pPr>
            <w:r w:rsidRPr="00295E71">
              <w:rPr>
                <w:sz w:val="22"/>
                <w:szCs w:val="22"/>
              </w:rPr>
              <w:t>Humira 0,8 mg/kg </w:t>
            </w:r>
            <w:r w:rsidRPr="00295E71">
              <w:rPr>
                <w:rFonts w:eastAsia="Arial"/>
                <w:sz w:val="22"/>
                <w:szCs w:val="22"/>
                <w:lang w:bidi="it-IT"/>
              </w:rPr>
              <w:t>a settimane alterne</w:t>
            </w:r>
            <w:r w:rsidRPr="00295E71">
              <w:rPr>
                <w:sz w:val="22"/>
                <w:szCs w:val="22"/>
              </w:rPr>
              <w:br/>
              <w:t xml:space="preserve">N=38 </w:t>
            </w:r>
          </w:p>
        </w:tc>
      </w:tr>
      <w:tr w14:paraId="34AA18CF" w14:textId="77777777" w:rsidTr="00166946">
        <w:tblPrEx>
          <w:tblW w:w="4458" w:type="pct"/>
          <w:tblLook w:val="00A0"/>
        </w:tblPrEx>
        <w:tc>
          <w:tcPr>
            <w:tcW w:w="2588" w:type="pct"/>
            <w:tcBorders>
              <w:top w:val="single" w:sz="6" w:space="0" w:color="000000"/>
              <w:left w:val="single" w:sz="6" w:space="0" w:color="000000"/>
              <w:bottom w:val="outset" w:sz="6" w:space="0" w:color="auto"/>
              <w:right w:val="outset" w:sz="6" w:space="0" w:color="auto"/>
            </w:tcBorders>
            <w:vAlign w:val="center"/>
          </w:tcPr>
          <w:p w:rsidR="00210210" w:rsidRPr="00295E71" w:rsidP="00166946" w14:paraId="3B6288CE" w14:textId="77777777">
            <w:pPr>
              <w:rPr>
                <w:sz w:val="22"/>
                <w:szCs w:val="22"/>
              </w:rPr>
            </w:pPr>
            <w:r w:rsidRPr="00295E71">
              <w:rPr>
                <w:sz w:val="22"/>
                <w:szCs w:val="22"/>
              </w:rPr>
              <w:t> </w:t>
            </w:r>
            <w:r w:rsidRPr="00295E71">
              <w:rPr>
                <w:sz w:val="22"/>
                <w:szCs w:val="22"/>
              </w:rPr>
              <w:t>PASI 75</w:t>
            </w:r>
            <w:r w:rsidRPr="00295E71">
              <w:rPr>
                <w:sz w:val="22"/>
                <w:szCs w:val="22"/>
                <w:vertAlign w:val="superscript"/>
              </w:rPr>
              <w:t>b</w:t>
            </w:r>
          </w:p>
        </w:tc>
        <w:tc>
          <w:tcPr>
            <w:tcW w:w="699" w:type="pct"/>
            <w:tcBorders>
              <w:top w:val="single" w:sz="6" w:space="0" w:color="000000"/>
              <w:left w:val="single" w:sz="6" w:space="0" w:color="000000"/>
              <w:bottom w:val="outset" w:sz="6" w:space="0" w:color="auto"/>
              <w:right w:val="outset" w:sz="6" w:space="0" w:color="auto"/>
            </w:tcBorders>
            <w:vAlign w:val="center"/>
          </w:tcPr>
          <w:p w:rsidR="00210210" w:rsidRPr="00295E71" w:rsidP="00166946" w14:paraId="4E271237" w14:textId="77777777">
            <w:pPr>
              <w:jc w:val="center"/>
              <w:rPr>
                <w:sz w:val="22"/>
                <w:szCs w:val="22"/>
              </w:rPr>
            </w:pPr>
            <w:r w:rsidRPr="00295E71">
              <w:rPr>
                <w:sz w:val="22"/>
                <w:szCs w:val="22"/>
              </w:rPr>
              <w:t>12 (32,4%)</w:t>
            </w:r>
          </w:p>
        </w:tc>
        <w:tc>
          <w:tcPr>
            <w:tcW w:w="1713" w:type="pct"/>
            <w:tcBorders>
              <w:top w:val="single" w:sz="6" w:space="0" w:color="000000"/>
              <w:left w:val="single" w:sz="6" w:space="0" w:color="000000"/>
              <w:bottom w:val="outset" w:sz="6" w:space="0" w:color="auto"/>
              <w:right w:val="single" w:sz="6" w:space="0" w:color="000000"/>
            </w:tcBorders>
            <w:vAlign w:val="center"/>
          </w:tcPr>
          <w:p w:rsidR="00210210" w:rsidRPr="00295E71" w:rsidP="00166946" w14:paraId="4BF2977B" w14:textId="77777777">
            <w:pPr>
              <w:jc w:val="center"/>
              <w:rPr>
                <w:sz w:val="22"/>
                <w:szCs w:val="22"/>
              </w:rPr>
            </w:pPr>
            <w:r w:rsidRPr="00295E71">
              <w:rPr>
                <w:sz w:val="22"/>
                <w:szCs w:val="22"/>
              </w:rPr>
              <w:t>22 (57,9%)</w:t>
            </w:r>
          </w:p>
        </w:tc>
      </w:tr>
      <w:tr w14:paraId="2373AB13" w14:textId="77777777" w:rsidTr="00166946">
        <w:tblPrEx>
          <w:tblW w:w="4458" w:type="pct"/>
          <w:tblLook w:val="00A0"/>
        </w:tblPrEx>
        <w:tc>
          <w:tcPr>
            <w:tcW w:w="2588" w:type="pct"/>
            <w:tcBorders>
              <w:top w:val="single" w:sz="6" w:space="0" w:color="000000"/>
              <w:left w:val="single" w:sz="6" w:space="0" w:color="000000"/>
              <w:bottom w:val="single" w:sz="6" w:space="0" w:color="000000"/>
              <w:right w:val="outset" w:sz="6" w:space="0" w:color="auto"/>
            </w:tcBorders>
            <w:vAlign w:val="center"/>
          </w:tcPr>
          <w:p w:rsidR="00210210" w:rsidRPr="00295E71" w:rsidP="00166946" w14:paraId="7C868FD7" w14:textId="77777777">
            <w:pPr>
              <w:rPr>
                <w:sz w:val="22"/>
                <w:szCs w:val="22"/>
              </w:rPr>
            </w:pPr>
            <w:r w:rsidRPr="00295E71">
              <w:rPr>
                <w:sz w:val="22"/>
                <w:szCs w:val="22"/>
              </w:rPr>
              <w:t> </w:t>
            </w:r>
            <w:r w:rsidRPr="00295E71">
              <w:rPr>
                <w:rFonts w:eastAsia="Arial"/>
                <w:sz w:val="22"/>
                <w:szCs w:val="22"/>
                <w:lang w:bidi="it-IT"/>
              </w:rPr>
              <w:t>PGA: Guarigione/Marcato miglioramento</w:t>
            </w:r>
            <w:r w:rsidRPr="00295E71">
              <w:rPr>
                <w:rFonts w:eastAsia="Arial"/>
                <w:sz w:val="22"/>
                <w:szCs w:val="22"/>
                <w:vertAlign w:val="superscript"/>
                <w:lang w:bidi="it-IT"/>
              </w:rPr>
              <w:t>c</w:t>
            </w:r>
          </w:p>
        </w:tc>
        <w:tc>
          <w:tcPr>
            <w:tcW w:w="699" w:type="pct"/>
            <w:tcBorders>
              <w:top w:val="single" w:sz="6" w:space="0" w:color="000000"/>
              <w:left w:val="single" w:sz="6" w:space="0" w:color="000000"/>
              <w:bottom w:val="single" w:sz="6" w:space="0" w:color="000000"/>
              <w:right w:val="outset" w:sz="6" w:space="0" w:color="auto"/>
            </w:tcBorders>
            <w:vAlign w:val="center"/>
          </w:tcPr>
          <w:p w:rsidR="00210210" w:rsidRPr="00295E71" w:rsidP="00166946" w14:paraId="514938B8" w14:textId="77777777">
            <w:pPr>
              <w:jc w:val="center"/>
              <w:rPr>
                <w:sz w:val="22"/>
                <w:szCs w:val="22"/>
              </w:rPr>
            </w:pPr>
            <w:r w:rsidRPr="00295E71">
              <w:rPr>
                <w:sz w:val="22"/>
                <w:szCs w:val="22"/>
              </w:rPr>
              <w:t>15 (40,5%)</w:t>
            </w:r>
          </w:p>
        </w:tc>
        <w:tc>
          <w:tcPr>
            <w:tcW w:w="1713" w:type="pct"/>
            <w:tcBorders>
              <w:top w:val="single" w:sz="6" w:space="0" w:color="000000"/>
              <w:left w:val="single" w:sz="6" w:space="0" w:color="000000"/>
              <w:bottom w:val="single" w:sz="6" w:space="0" w:color="000000"/>
              <w:right w:val="single" w:sz="6" w:space="0" w:color="000000"/>
            </w:tcBorders>
            <w:vAlign w:val="center"/>
          </w:tcPr>
          <w:p w:rsidR="00210210" w:rsidRPr="00295E71" w:rsidP="00166946" w14:paraId="0111D060" w14:textId="77777777">
            <w:pPr>
              <w:jc w:val="center"/>
              <w:rPr>
                <w:sz w:val="22"/>
                <w:szCs w:val="22"/>
              </w:rPr>
            </w:pPr>
            <w:r w:rsidRPr="00295E71">
              <w:rPr>
                <w:sz w:val="22"/>
                <w:szCs w:val="22"/>
              </w:rPr>
              <w:t>23 (60,5%)</w:t>
            </w:r>
          </w:p>
        </w:tc>
      </w:tr>
      <w:tr w14:paraId="42BAD2A3" w14:textId="77777777" w:rsidTr="00166946">
        <w:tblPrEx>
          <w:tblW w:w="4458" w:type="pct"/>
          <w:tblLook w:val="00A0"/>
        </w:tblPrEx>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210210" w:rsidRPr="00295E71" w:rsidP="00166946" w14:paraId="2776B439" w14:textId="77777777">
            <w:pPr>
              <w:rPr>
                <w:sz w:val="22"/>
                <w:szCs w:val="22"/>
              </w:rPr>
            </w:pPr>
            <w:r w:rsidRPr="00295E71">
              <w:rPr>
                <w:sz w:val="22"/>
                <w:szCs w:val="22"/>
                <w:vertAlign w:val="superscript"/>
              </w:rPr>
              <w:t xml:space="preserve">a </w:t>
            </w:r>
            <w:r w:rsidRPr="00295E71">
              <w:rPr>
                <w:sz w:val="22"/>
                <w:szCs w:val="22"/>
              </w:rPr>
              <w:t xml:space="preserve">MTX = </w:t>
            </w:r>
            <w:r w:rsidRPr="00295E71">
              <w:rPr>
                <w:rFonts w:eastAsia="Arial"/>
                <w:sz w:val="22"/>
                <w:szCs w:val="22"/>
                <w:lang w:bidi="it-IT"/>
              </w:rPr>
              <w:t>metotressato</w:t>
            </w:r>
          </w:p>
          <w:p w:rsidR="00210210" w:rsidRPr="00295E71" w:rsidP="00166946" w14:paraId="0FECB628" w14:textId="77777777">
            <w:pPr>
              <w:rPr>
                <w:sz w:val="22"/>
                <w:szCs w:val="22"/>
              </w:rPr>
            </w:pPr>
            <w:r w:rsidRPr="00295E71">
              <w:rPr>
                <w:sz w:val="22"/>
                <w:szCs w:val="22"/>
                <w:vertAlign w:val="superscript"/>
              </w:rPr>
              <w:t>b</w:t>
            </w:r>
            <w:r w:rsidRPr="00295E71">
              <w:rPr>
                <w:sz w:val="22"/>
                <w:szCs w:val="22"/>
              </w:rPr>
              <w:t xml:space="preserve"> P=0,027, Humira 0,8 mg/kg vs. MTX</w:t>
            </w:r>
          </w:p>
          <w:p w:rsidR="00210210" w:rsidRPr="00295E71" w:rsidP="00166946" w14:paraId="0714C449" w14:textId="77777777">
            <w:pPr>
              <w:rPr>
                <w:sz w:val="22"/>
                <w:szCs w:val="22"/>
              </w:rPr>
            </w:pPr>
            <w:r w:rsidRPr="00295E71">
              <w:rPr>
                <w:sz w:val="22"/>
                <w:szCs w:val="22"/>
                <w:vertAlign w:val="superscript"/>
              </w:rPr>
              <w:t>c</w:t>
            </w:r>
            <w:r w:rsidRPr="00295E71">
              <w:rPr>
                <w:sz w:val="22"/>
                <w:szCs w:val="22"/>
              </w:rPr>
              <w:t xml:space="preserve"> P=0,083, Humira 0,8 mg/kg vs. MTX</w:t>
            </w:r>
          </w:p>
        </w:tc>
      </w:tr>
    </w:tbl>
    <w:p w:rsidR="00210210" w:rsidRPr="00295E71" w:rsidP="00210210" w14:paraId="142F9C8F" w14:textId="77777777">
      <w:pPr>
        <w:rPr>
          <w:color w:val="000000"/>
          <w:sz w:val="22"/>
          <w:szCs w:val="22"/>
        </w:rPr>
      </w:pPr>
    </w:p>
    <w:p w:rsidR="00210210" w:rsidRPr="00295E71" w:rsidP="00210210" w14:paraId="0195D3F3" w14:textId="77777777">
      <w:pPr>
        <w:keepNext/>
        <w:keepLines/>
        <w:rPr>
          <w:color w:val="000000"/>
          <w:sz w:val="22"/>
          <w:szCs w:val="22"/>
        </w:rPr>
      </w:pPr>
      <w:r w:rsidRPr="00295E71">
        <w:rPr>
          <w:color w:val="000000"/>
          <w:sz w:val="22"/>
          <w:szCs w:val="22"/>
        </w:rPr>
        <w:t>A pazienti che hanno ottenuto una risposta PASI 75 e un PGA corrispondente a remissione totale della malattia o a persistenza di malattia minima è stato interrotto il trattamento per un massimo di 36 settimane, e sono stati monitorati per la perdita del controllo della malattia (ovvero, un peggioramento della risposta PGA di almeno 2 gradi). I pazienti sono stati quindi ritrattati con adalimumab 0,8 mg/kg a settimane alterne per ulteriori 16 settimane, e le percentuali di risposta osservate durante il ritrattamento erano simili a quelle osservate durante il precedente periodo in doppio cieco: risposta PASI 75 del 78,9% (15 soggetti su 19) e PGA corrispondente a remissione totale della malattia o a persistenza di malattia minima del 52,6% (10 soggetti su 19).</w:t>
      </w:r>
    </w:p>
    <w:p w:rsidR="00210210" w:rsidRPr="00295E71" w:rsidP="00210210" w14:paraId="6BF0B504" w14:textId="77777777">
      <w:pPr>
        <w:rPr>
          <w:color w:val="000000"/>
          <w:sz w:val="22"/>
          <w:szCs w:val="22"/>
        </w:rPr>
      </w:pPr>
    </w:p>
    <w:p w:rsidR="00210210" w:rsidRPr="00295E71" w:rsidP="00210210" w14:paraId="0C5D4CF3" w14:textId="77777777">
      <w:pPr>
        <w:rPr>
          <w:color w:val="000000"/>
          <w:sz w:val="22"/>
          <w:szCs w:val="22"/>
        </w:rPr>
      </w:pPr>
      <w:r w:rsidRPr="00295E71">
        <w:rPr>
          <w:color w:val="000000"/>
          <w:sz w:val="22"/>
          <w:szCs w:val="22"/>
        </w:rPr>
        <w:t>Nel periodo in aperto dello studio, le risposte PASI 75 e PGA corrispondente a remissione totale della malattia o a persistenza di malattia minima sono state mantenute per ulteriori 52 settimane senza che siano emerse nuove problematiche di sicurezza.</w:t>
      </w:r>
    </w:p>
    <w:p w:rsidR="00210210" w:rsidRPr="00295E71" w:rsidP="00210210" w14:paraId="725DB3E8" w14:textId="77777777">
      <w:pPr>
        <w:rPr>
          <w:color w:val="000000"/>
          <w:sz w:val="22"/>
          <w:szCs w:val="22"/>
        </w:rPr>
      </w:pPr>
    </w:p>
    <w:p w:rsidR="00166946" w:rsidRPr="00612824" w:rsidP="00612824" w14:paraId="0FCBBCE0" w14:textId="77777777">
      <w:pPr>
        <w:keepNext/>
        <w:tabs>
          <w:tab w:val="left" w:pos="567"/>
        </w:tabs>
        <w:jc w:val="both"/>
        <w:rPr>
          <w:i/>
          <w:sz w:val="22"/>
          <w:szCs w:val="22"/>
        </w:rPr>
      </w:pPr>
      <w:r w:rsidRPr="00612824">
        <w:rPr>
          <w:i/>
          <w:sz w:val="22"/>
          <w:szCs w:val="22"/>
        </w:rPr>
        <w:t>Malattia di Crohn in pazienti pediatrici</w:t>
      </w:r>
    </w:p>
    <w:p w:rsidR="00166946" w:rsidRPr="00612824" w:rsidP="00612824" w14:paraId="16199EF1" w14:textId="77777777">
      <w:pPr>
        <w:keepNext/>
        <w:tabs>
          <w:tab w:val="left" w:pos="567"/>
        </w:tabs>
        <w:jc w:val="both"/>
        <w:rPr>
          <w:sz w:val="22"/>
          <w:szCs w:val="22"/>
        </w:rPr>
      </w:pPr>
    </w:p>
    <w:p w:rsidR="00166946" w:rsidRPr="00612824" w:rsidP="00166946" w14:paraId="6FF3348D" w14:textId="77777777">
      <w:pPr>
        <w:tabs>
          <w:tab w:val="left" w:pos="567"/>
        </w:tabs>
        <w:jc w:val="both"/>
        <w:rPr>
          <w:sz w:val="22"/>
          <w:szCs w:val="22"/>
        </w:rPr>
      </w:pPr>
      <w:r w:rsidRPr="00612824">
        <w:rPr>
          <w:sz w:val="22"/>
          <w:szCs w:val="22"/>
        </w:rPr>
        <w:t>Humira è stato testato in uno studio clinico multicentrico, randomizzato, in doppio cieco disegnato per valutare l’efficacia e la sicurezza del trattamento di induzione e di mantenimento con dosi dipendenti dal peso corporeo (&lt; 40 kg o≥ 40 kg) in 192 soggetti pediatrici di età compresa tra 6 e 17 anni (inclusi), con la Malattiadi Crohn (MC) di grado da moderato a severo definita da un punteggio dell’Indice di Attività della Malattia di Crohn Pediatrica (Paediatric Crohn's Disease Activity Index - PCDAI) &gt; 30. I soggetti dovevano aver fallito la terapia convenzionale (incluso un corticosteroide e/o un immunomodulatore) per MC. I soggetti, inoltre, potevano aver precedentemente perso la risposta o essere stati intolleranti ad infliximab.</w:t>
      </w:r>
    </w:p>
    <w:p w:rsidR="00166946" w:rsidRPr="00612824" w:rsidP="00166946" w14:paraId="6033FD7B" w14:textId="77777777">
      <w:pPr>
        <w:tabs>
          <w:tab w:val="left" w:pos="567"/>
        </w:tabs>
        <w:jc w:val="both"/>
        <w:rPr>
          <w:sz w:val="22"/>
          <w:szCs w:val="22"/>
        </w:rPr>
      </w:pPr>
    </w:p>
    <w:p w:rsidR="00166946" w:rsidRPr="00612824" w:rsidP="00166946" w14:paraId="4590460E" w14:textId="77777777">
      <w:pPr>
        <w:tabs>
          <w:tab w:val="left" w:pos="567"/>
        </w:tabs>
        <w:jc w:val="both"/>
        <w:rPr>
          <w:sz w:val="22"/>
          <w:szCs w:val="22"/>
        </w:rPr>
      </w:pPr>
      <w:r w:rsidRPr="00612824">
        <w:rPr>
          <w:sz w:val="22"/>
          <w:szCs w:val="22"/>
        </w:rPr>
        <w:t>Tutti i soggetti hanno ricevuto una terapia di induzione in aperto con una dose basata sul loro peso corporeo al basale: 160 mg alla settimana 0 e 80 mg alla settimana 2 per i soggetti con peso ≥ 40 kg, e rispettivamente, 80 mg e 40 mg per i soggetti con peso &lt; 40 kg.</w:t>
      </w:r>
    </w:p>
    <w:p w:rsidR="00166946" w:rsidRPr="00612824" w:rsidP="00166946" w14:paraId="4ADC4FEA" w14:textId="77777777">
      <w:pPr>
        <w:tabs>
          <w:tab w:val="left" w:pos="567"/>
        </w:tabs>
        <w:jc w:val="both"/>
        <w:rPr>
          <w:sz w:val="22"/>
          <w:szCs w:val="22"/>
        </w:rPr>
      </w:pPr>
    </w:p>
    <w:p w:rsidR="00166946" w:rsidRPr="00612824" w:rsidP="00166946" w14:paraId="00F2B321" w14:textId="77777777">
      <w:pPr>
        <w:tabs>
          <w:tab w:val="left" w:pos="567"/>
        </w:tabs>
        <w:jc w:val="both"/>
        <w:rPr>
          <w:sz w:val="22"/>
          <w:szCs w:val="22"/>
        </w:rPr>
      </w:pPr>
      <w:r w:rsidRPr="00612824">
        <w:rPr>
          <w:sz w:val="22"/>
          <w:szCs w:val="22"/>
        </w:rPr>
        <w:t>Alla settimana 4, in base al loro peso corporeo i soggetti sono stati randomizzati 1:1 o nel regime di mantenimento a Bassa Dose o in quello a Dose Standard, come mostrato nella Tabella 20.</w:t>
      </w:r>
    </w:p>
    <w:p w:rsidR="00166946" w:rsidRPr="00612824" w:rsidP="00166946" w14:paraId="79CEBAC6" w14:textId="77777777">
      <w:pPr>
        <w:keepNext/>
        <w:tabs>
          <w:tab w:val="left" w:pos="567"/>
        </w:tabs>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9"/>
        <w:gridCol w:w="1842"/>
        <w:gridCol w:w="1913"/>
      </w:tblGrid>
      <w:tr w14:paraId="5FB5F49B" w14:textId="77777777" w:rsidTr="00166946">
        <w:tblPrEx>
          <w:tblW w:w="0" w:type="auto"/>
          <w:tblLook w:val="01E0"/>
        </w:tblPrEx>
        <w:trPr>
          <w:trHeight w:val="263"/>
        </w:trPr>
        <w:tc>
          <w:tcPr>
            <w:tcW w:w="4894" w:type="dxa"/>
            <w:gridSpan w:val="3"/>
            <w:tcBorders>
              <w:top w:val="nil"/>
              <w:left w:val="nil"/>
              <w:right w:val="nil"/>
            </w:tcBorders>
          </w:tcPr>
          <w:p w:rsidR="00166946" w:rsidRPr="00612824" w:rsidP="00166946" w14:paraId="0AE02A35" w14:textId="77777777">
            <w:pPr>
              <w:pStyle w:val="EMEANormal"/>
              <w:keepNext/>
              <w:jc w:val="center"/>
              <w:rPr>
                <w:b/>
                <w:lang w:val="it-IT"/>
              </w:rPr>
            </w:pPr>
            <w:r w:rsidRPr="00612824">
              <w:rPr>
                <w:lang w:val="it-IT"/>
              </w:rPr>
              <w:br w:type="page"/>
            </w:r>
            <w:r w:rsidRPr="00612824">
              <w:rPr>
                <w:b/>
                <w:lang w:val="it-IT"/>
              </w:rPr>
              <w:t>Tabella 20</w:t>
            </w:r>
          </w:p>
          <w:p w:rsidR="00166946" w:rsidRPr="00612824" w:rsidP="00166946" w14:paraId="54BFDE09" w14:textId="77777777">
            <w:pPr>
              <w:pStyle w:val="EMEANormal"/>
              <w:keepNext/>
              <w:jc w:val="center"/>
              <w:rPr>
                <w:lang w:val="it-IT"/>
              </w:rPr>
            </w:pPr>
            <w:r w:rsidRPr="00612824">
              <w:rPr>
                <w:b/>
                <w:lang w:val="it-IT"/>
              </w:rPr>
              <w:t>Regime di mantenimento</w:t>
            </w:r>
          </w:p>
        </w:tc>
      </w:tr>
      <w:tr w14:paraId="403992FB" w14:textId="77777777" w:rsidTr="00166946">
        <w:tblPrEx>
          <w:tblW w:w="0" w:type="auto"/>
          <w:tblLook w:val="01E0"/>
        </w:tblPrEx>
        <w:tc>
          <w:tcPr>
            <w:tcW w:w="1139" w:type="dxa"/>
          </w:tcPr>
          <w:p w:rsidR="00166946" w:rsidRPr="00612824" w:rsidP="00166946" w14:paraId="6275C961" w14:textId="77777777">
            <w:pPr>
              <w:pStyle w:val="EMEANormal"/>
              <w:keepNext/>
              <w:jc w:val="center"/>
              <w:rPr>
                <w:b/>
                <w:lang w:val="it-IT"/>
              </w:rPr>
            </w:pPr>
            <w:r w:rsidRPr="00612824">
              <w:rPr>
                <w:b/>
                <w:lang w:val="it-IT"/>
              </w:rPr>
              <w:t>Peso del paziente</w:t>
            </w:r>
          </w:p>
        </w:tc>
        <w:tc>
          <w:tcPr>
            <w:tcW w:w="1842" w:type="dxa"/>
          </w:tcPr>
          <w:p w:rsidR="00166946" w:rsidRPr="00612824" w:rsidP="00166946" w14:paraId="5BBB7DBB" w14:textId="77777777">
            <w:pPr>
              <w:pStyle w:val="EMEANormal"/>
              <w:keepNext/>
              <w:jc w:val="center"/>
              <w:rPr>
                <w:b/>
                <w:lang w:val="it-IT"/>
              </w:rPr>
            </w:pPr>
            <w:r w:rsidRPr="00612824">
              <w:rPr>
                <w:b/>
                <w:lang w:val="it-IT"/>
              </w:rPr>
              <w:t>Bassa dose</w:t>
            </w:r>
          </w:p>
        </w:tc>
        <w:tc>
          <w:tcPr>
            <w:tcW w:w="1913" w:type="dxa"/>
          </w:tcPr>
          <w:p w:rsidR="00166946" w:rsidRPr="00612824" w:rsidP="00166946" w14:paraId="42D35390" w14:textId="77777777">
            <w:pPr>
              <w:pStyle w:val="EMEANormal"/>
              <w:keepNext/>
              <w:jc w:val="center"/>
              <w:rPr>
                <w:b/>
                <w:lang w:val="it-IT"/>
              </w:rPr>
            </w:pPr>
            <w:r w:rsidRPr="00612824">
              <w:rPr>
                <w:b/>
                <w:lang w:val="it-IT"/>
              </w:rPr>
              <w:t>Dose standard</w:t>
            </w:r>
          </w:p>
        </w:tc>
      </w:tr>
      <w:tr w14:paraId="5A815ED6" w14:textId="77777777" w:rsidTr="00166946">
        <w:tblPrEx>
          <w:tblW w:w="0" w:type="auto"/>
          <w:tblLook w:val="01E0"/>
        </w:tblPrEx>
        <w:tc>
          <w:tcPr>
            <w:tcW w:w="1139" w:type="dxa"/>
          </w:tcPr>
          <w:p w:rsidR="00166946" w:rsidRPr="00612824" w:rsidP="00166946" w14:paraId="7BC86E96" w14:textId="77777777">
            <w:pPr>
              <w:pStyle w:val="EMEANormal"/>
              <w:keepNext/>
              <w:jc w:val="both"/>
              <w:rPr>
                <w:lang w:val="it-IT"/>
              </w:rPr>
            </w:pPr>
            <w:r w:rsidRPr="00612824">
              <w:rPr>
                <w:lang w:val="it-IT"/>
              </w:rPr>
              <w:t>&lt; 40 kg</w:t>
            </w:r>
          </w:p>
        </w:tc>
        <w:tc>
          <w:tcPr>
            <w:tcW w:w="1842" w:type="dxa"/>
          </w:tcPr>
          <w:p w:rsidR="00166946" w:rsidRPr="00612824" w:rsidP="00166946" w14:paraId="534774AA" w14:textId="77777777">
            <w:pPr>
              <w:pStyle w:val="EMEANormal"/>
              <w:keepNext/>
              <w:jc w:val="both"/>
              <w:rPr>
                <w:lang w:val="it-IT"/>
              </w:rPr>
            </w:pPr>
            <w:r w:rsidRPr="00612824">
              <w:rPr>
                <w:lang w:val="it-IT"/>
              </w:rPr>
              <w:t>10 mg a settimane alterne</w:t>
            </w:r>
          </w:p>
        </w:tc>
        <w:tc>
          <w:tcPr>
            <w:tcW w:w="1913" w:type="dxa"/>
          </w:tcPr>
          <w:p w:rsidR="00166946" w:rsidRPr="00612824" w:rsidP="00166946" w14:paraId="7753877B" w14:textId="77777777">
            <w:pPr>
              <w:pStyle w:val="EMEANormal"/>
              <w:keepNext/>
              <w:jc w:val="both"/>
              <w:rPr>
                <w:lang w:val="it-IT"/>
              </w:rPr>
            </w:pPr>
            <w:r w:rsidRPr="00612824">
              <w:rPr>
                <w:lang w:val="it-IT"/>
              </w:rPr>
              <w:t>20 mg a settimane alterne</w:t>
            </w:r>
          </w:p>
        </w:tc>
      </w:tr>
      <w:tr w14:paraId="3FBC1238" w14:textId="77777777" w:rsidTr="00166946">
        <w:tblPrEx>
          <w:tblW w:w="0" w:type="auto"/>
          <w:tblLook w:val="01E0"/>
        </w:tblPrEx>
        <w:tc>
          <w:tcPr>
            <w:tcW w:w="1139" w:type="dxa"/>
          </w:tcPr>
          <w:p w:rsidR="00166946" w:rsidRPr="00612824" w:rsidP="00166946" w14:paraId="302019F9" w14:textId="77777777">
            <w:pPr>
              <w:pStyle w:val="EMEANormal"/>
              <w:keepNext/>
              <w:jc w:val="both"/>
              <w:rPr>
                <w:lang w:val="it-IT"/>
              </w:rPr>
            </w:pPr>
            <w:r w:rsidRPr="00612824">
              <w:rPr>
                <w:lang w:val="it-IT"/>
              </w:rPr>
              <w:t>≥ 40 kg</w:t>
            </w:r>
          </w:p>
        </w:tc>
        <w:tc>
          <w:tcPr>
            <w:tcW w:w="1842" w:type="dxa"/>
          </w:tcPr>
          <w:p w:rsidR="00166946" w:rsidRPr="00612824" w:rsidP="00166946" w14:paraId="5A914451" w14:textId="77777777">
            <w:pPr>
              <w:pStyle w:val="EMEANormal"/>
              <w:keepNext/>
              <w:jc w:val="both"/>
              <w:rPr>
                <w:lang w:val="it-IT"/>
              </w:rPr>
            </w:pPr>
            <w:r w:rsidRPr="00612824">
              <w:rPr>
                <w:lang w:val="it-IT"/>
              </w:rPr>
              <w:t>20 mg a settimane alterne</w:t>
            </w:r>
          </w:p>
        </w:tc>
        <w:tc>
          <w:tcPr>
            <w:tcW w:w="1913" w:type="dxa"/>
          </w:tcPr>
          <w:p w:rsidR="00166946" w:rsidRPr="00612824" w:rsidP="00166946" w14:paraId="11F6AF9F" w14:textId="77777777">
            <w:pPr>
              <w:pStyle w:val="EMEANormal"/>
              <w:keepNext/>
              <w:jc w:val="both"/>
              <w:rPr>
                <w:lang w:val="it-IT"/>
              </w:rPr>
            </w:pPr>
            <w:r w:rsidRPr="00612824">
              <w:rPr>
                <w:lang w:val="it-IT"/>
              </w:rPr>
              <w:t>40 mg a settimane alterne</w:t>
            </w:r>
          </w:p>
        </w:tc>
      </w:tr>
    </w:tbl>
    <w:p w:rsidR="00166946" w:rsidRPr="00612824" w:rsidP="00166946" w14:paraId="2D13D5AC" w14:textId="77777777">
      <w:pPr>
        <w:keepNext/>
        <w:tabs>
          <w:tab w:val="left" w:pos="567"/>
        </w:tabs>
        <w:jc w:val="both"/>
        <w:rPr>
          <w:sz w:val="22"/>
          <w:szCs w:val="22"/>
        </w:rPr>
      </w:pPr>
    </w:p>
    <w:p w:rsidR="00166946" w:rsidRPr="00612824" w:rsidP="00166946" w14:paraId="6CF8ED77" w14:textId="77777777">
      <w:pPr>
        <w:keepNext/>
        <w:keepLines/>
        <w:rPr>
          <w:i/>
          <w:sz w:val="22"/>
          <w:szCs w:val="22"/>
          <w:u w:val="single"/>
        </w:rPr>
      </w:pPr>
      <w:r w:rsidRPr="00612824">
        <w:rPr>
          <w:i/>
          <w:sz w:val="22"/>
          <w:szCs w:val="22"/>
          <w:u w:val="single"/>
        </w:rPr>
        <w:t>Risultati di efficacia</w:t>
      </w:r>
    </w:p>
    <w:p w:rsidR="00166946" w:rsidRPr="00612824" w:rsidP="00166946" w14:paraId="24BAE119" w14:textId="77777777">
      <w:pPr>
        <w:keepNext/>
        <w:keepLines/>
        <w:tabs>
          <w:tab w:val="left" w:pos="567"/>
        </w:tabs>
        <w:jc w:val="both"/>
        <w:rPr>
          <w:sz w:val="22"/>
          <w:szCs w:val="22"/>
        </w:rPr>
      </w:pPr>
    </w:p>
    <w:p w:rsidR="00166946" w:rsidRPr="00612824" w:rsidP="00166946" w14:paraId="305A4118" w14:textId="77777777">
      <w:pPr>
        <w:keepNext/>
        <w:keepLines/>
        <w:tabs>
          <w:tab w:val="left" w:pos="567"/>
        </w:tabs>
        <w:jc w:val="both"/>
        <w:rPr>
          <w:sz w:val="22"/>
          <w:szCs w:val="22"/>
        </w:rPr>
      </w:pPr>
      <w:r w:rsidRPr="00612824">
        <w:rPr>
          <w:sz w:val="22"/>
          <w:szCs w:val="22"/>
        </w:rPr>
        <w:t xml:space="preserve">L’endpoint primario dello studio è stato la remissione clinica alla settimana 26, definita da un punteggio PCDAI </w:t>
      </w:r>
      <w:r w:rsidRPr="00612824">
        <w:rPr>
          <w:rFonts w:ascii="Symbol" w:hAnsi="Symbol"/>
        </w:rPr>
        <w:sym w:font="Symbol" w:char="F0A3"/>
      </w:r>
      <w:r w:rsidRPr="00612824">
        <w:rPr>
          <w:sz w:val="22"/>
          <w:szCs w:val="22"/>
        </w:rPr>
        <w:t>10.</w:t>
      </w:r>
    </w:p>
    <w:p w:rsidR="00166946" w:rsidRPr="00612824" w:rsidP="00166946" w14:paraId="117FF45D" w14:textId="77777777">
      <w:pPr>
        <w:tabs>
          <w:tab w:val="left" w:pos="567"/>
        </w:tabs>
        <w:jc w:val="both"/>
        <w:rPr>
          <w:sz w:val="22"/>
          <w:szCs w:val="22"/>
        </w:rPr>
      </w:pPr>
    </w:p>
    <w:p w:rsidR="00166946" w:rsidRPr="00612824" w:rsidP="00166946" w14:paraId="74CE4190" w14:textId="77777777">
      <w:pPr>
        <w:tabs>
          <w:tab w:val="left" w:pos="567"/>
        </w:tabs>
        <w:jc w:val="both"/>
        <w:rPr>
          <w:sz w:val="22"/>
          <w:szCs w:val="22"/>
        </w:rPr>
      </w:pPr>
      <w:r w:rsidRPr="00612824">
        <w:rPr>
          <w:sz w:val="22"/>
          <w:szCs w:val="22"/>
        </w:rPr>
        <w:t>Le percentuali di remissione clinica e di risposta clinica (definite come riduzione del punteggio PCDAI di almeno 15 punti dal basale) sono riportate nella Tabella 21. Le percentuali di interruzione dei corticosteroidi o degli immunomodulatori sono riportate nella Tabella 22.</w:t>
      </w:r>
    </w:p>
    <w:p w:rsidR="00166946" w:rsidRPr="00612824" w:rsidP="00166946" w14:paraId="27B630D8" w14:textId="77777777">
      <w:pPr>
        <w:tabs>
          <w:tab w:val="left" w:pos="567"/>
        </w:tabs>
        <w:jc w:val="both"/>
        <w:rPr>
          <w:sz w:val="22"/>
          <w:szCs w:val="22"/>
        </w:rPr>
      </w:pPr>
    </w:p>
    <w:tbl>
      <w:tblPr>
        <w:tblW w:w="0" w:type="auto"/>
        <w:jc w:val="center"/>
        <w:tblCellMar>
          <w:left w:w="0" w:type="dxa"/>
          <w:right w:w="0" w:type="dxa"/>
        </w:tblCellMar>
        <w:tblLook w:val="00A0"/>
      </w:tblPr>
      <w:tblGrid>
        <w:gridCol w:w="2321"/>
        <w:gridCol w:w="1614"/>
        <w:gridCol w:w="1591"/>
        <w:gridCol w:w="1147"/>
      </w:tblGrid>
      <w:tr w14:paraId="776FE58C" w14:textId="77777777" w:rsidTr="00166946">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166946" w:rsidRPr="00612824" w:rsidP="00166946" w14:paraId="137C87F1" w14:textId="77777777">
            <w:pPr>
              <w:tabs>
                <w:tab w:val="left" w:pos="-878"/>
              </w:tabs>
              <w:autoSpaceDE w:val="0"/>
              <w:autoSpaceDN w:val="0"/>
              <w:adjustRightInd w:val="0"/>
              <w:ind w:left="15"/>
              <w:jc w:val="center"/>
              <w:rPr>
                <w:b/>
                <w:bCs/>
                <w:sz w:val="22"/>
                <w:szCs w:val="22"/>
              </w:rPr>
            </w:pPr>
            <w:r w:rsidRPr="00612824">
              <w:rPr>
                <w:b/>
                <w:bCs/>
                <w:sz w:val="22"/>
                <w:szCs w:val="22"/>
              </w:rPr>
              <w:t>Tabella 21</w:t>
            </w:r>
          </w:p>
          <w:p w:rsidR="00166946" w:rsidRPr="00612824" w:rsidP="00166946" w14:paraId="2B77E83E" w14:textId="77777777">
            <w:pPr>
              <w:tabs>
                <w:tab w:val="left" w:pos="-878"/>
              </w:tabs>
              <w:autoSpaceDE w:val="0"/>
              <w:autoSpaceDN w:val="0"/>
              <w:adjustRightInd w:val="0"/>
              <w:ind w:left="15"/>
              <w:jc w:val="center"/>
              <w:rPr>
                <w:b/>
                <w:bCs/>
                <w:sz w:val="22"/>
                <w:szCs w:val="22"/>
              </w:rPr>
            </w:pPr>
            <w:r w:rsidRPr="00612824">
              <w:rPr>
                <w:b/>
                <w:bCs/>
                <w:sz w:val="22"/>
                <w:szCs w:val="22"/>
              </w:rPr>
              <w:t>Studio della Malattia di Crohn Pediatrica</w:t>
            </w:r>
          </w:p>
          <w:p w:rsidR="00166946" w:rsidRPr="00612824" w:rsidP="00166946" w14:paraId="32155523" w14:textId="77777777">
            <w:pPr>
              <w:tabs>
                <w:tab w:val="left" w:pos="-878"/>
              </w:tabs>
              <w:autoSpaceDE w:val="0"/>
              <w:autoSpaceDN w:val="0"/>
              <w:adjustRightInd w:val="0"/>
              <w:ind w:left="15"/>
              <w:jc w:val="center"/>
              <w:rPr>
                <w:b/>
                <w:bCs/>
                <w:sz w:val="22"/>
                <w:szCs w:val="22"/>
              </w:rPr>
            </w:pPr>
            <w:r w:rsidRPr="00612824">
              <w:rPr>
                <w:b/>
                <w:bCs/>
                <w:sz w:val="22"/>
                <w:szCs w:val="22"/>
              </w:rPr>
              <w:t>PCDAI di Remissione Clinica e di Risposta</w:t>
            </w:r>
          </w:p>
        </w:tc>
      </w:tr>
      <w:tr w14:paraId="0C959ADE" w14:textId="77777777" w:rsidTr="00166946">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166946" w:rsidRPr="00612824" w:rsidP="00166946" w14:paraId="1AC610CA" w14:textId="77777777">
            <w:pPr>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rsidR="00166946" w:rsidRPr="00612824" w:rsidP="00166946" w14:paraId="3B7EE2A2" w14:textId="77777777">
            <w:pPr>
              <w:tabs>
                <w:tab w:val="left" w:pos="-1080"/>
              </w:tabs>
              <w:autoSpaceDE w:val="0"/>
              <w:autoSpaceDN w:val="0"/>
              <w:adjustRightInd w:val="0"/>
              <w:ind w:left="15"/>
              <w:jc w:val="center"/>
              <w:rPr>
                <w:b/>
                <w:bCs/>
                <w:sz w:val="22"/>
                <w:szCs w:val="22"/>
              </w:rPr>
            </w:pPr>
            <w:r w:rsidRPr="00612824">
              <w:rPr>
                <w:b/>
                <w:bCs/>
                <w:sz w:val="22"/>
                <w:szCs w:val="22"/>
              </w:rPr>
              <w:t>Dose standard</w:t>
            </w:r>
          </w:p>
          <w:p w:rsidR="00166946" w:rsidRPr="00612824" w:rsidP="00166946" w14:paraId="0DC9451C" w14:textId="77777777">
            <w:pPr>
              <w:tabs>
                <w:tab w:val="left" w:pos="-1080"/>
              </w:tabs>
              <w:autoSpaceDE w:val="0"/>
              <w:autoSpaceDN w:val="0"/>
              <w:adjustRightInd w:val="0"/>
              <w:ind w:left="15"/>
              <w:jc w:val="center"/>
              <w:rPr>
                <w:b/>
                <w:bCs/>
                <w:sz w:val="22"/>
                <w:szCs w:val="22"/>
              </w:rPr>
            </w:pPr>
            <w:r w:rsidRPr="00612824">
              <w:rPr>
                <w:b/>
                <w:bCs/>
                <w:sz w:val="22"/>
                <w:szCs w:val="22"/>
              </w:rPr>
              <w:t>40/20 mg a settimane alterne</w:t>
            </w:r>
          </w:p>
          <w:p w:rsidR="00166946" w:rsidRPr="00612824" w:rsidP="00166946" w14:paraId="7D6CF7FE" w14:textId="77777777">
            <w:pPr>
              <w:tabs>
                <w:tab w:val="left" w:pos="-1080"/>
              </w:tabs>
              <w:autoSpaceDE w:val="0"/>
              <w:autoSpaceDN w:val="0"/>
              <w:adjustRightInd w:val="0"/>
              <w:ind w:left="15"/>
              <w:jc w:val="center"/>
              <w:rPr>
                <w:b/>
                <w:sz w:val="22"/>
                <w:szCs w:val="22"/>
              </w:rPr>
            </w:pPr>
            <w:r w:rsidRPr="00612824">
              <w:rPr>
                <w:b/>
                <w:sz w:val="22"/>
                <w:szCs w:val="22"/>
              </w:rPr>
              <w:t>N = 93</w:t>
            </w:r>
          </w:p>
        </w:tc>
        <w:tc>
          <w:tcPr>
            <w:tcW w:w="1591" w:type="dxa"/>
            <w:tcBorders>
              <w:top w:val="single" w:sz="6" w:space="0" w:color="000000"/>
              <w:left w:val="single" w:sz="6" w:space="0" w:color="000000"/>
              <w:bottom w:val="single" w:sz="6" w:space="0" w:color="000000"/>
              <w:right w:val="single" w:sz="6" w:space="0" w:color="000000"/>
            </w:tcBorders>
          </w:tcPr>
          <w:p w:rsidR="00166946" w:rsidRPr="00612824" w:rsidP="00166946" w14:paraId="5872CDA6" w14:textId="77777777">
            <w:pPr>
              <w:tabs>
                <w:tab w:val="left" w:pos="-1080"/>
              </w:tabs>
              <w:autoSpaceDE w:val="0"/>
              <w:autoSpaceDN w:val="0"/>
              <w:adjustRightInd w:val="0"/>
              <w:ind w:left="15"/>
              <w:jc w:val="center"/>
              <w:rPr>
                <w:b/>
                <w:bCs/>
                <w:sz w:val="22"/>
                <w:szCs w:val="22"/>
              </w:rPr>
            </w:pPr>
            <w:r w:rsidRPr="00612824">
              <w:rPr>
                <w:b/>
                <w:bCs/>
                <w:sz w:val="22"/>
                <w:szCs w:val="22"/>
              </w:rPr>
              <w:t>Bassa dose20/10 mg a settimane alterne</w:t>
            </w:r>
          </w:p>
          <w:p w:rsidR="00166946" w:rsidRPr="00612824" w:rsidP="00166946" w14:paraId="4748353E" w14:textId="77777777">
            <w:pPr>
              <w:tabs>
                <w:tab w:val="left" w:pos="-1080"/>
              </w:tabs>
              <w:autoSpaceDE w:val="0"/>
              <w:autoSpaceDN w:val="0"/>
              <w:adjustRightInd w:val="0"/>
              <w:ind w:left="15"/>
              <w:jc w:val="center"/>
              <w:rPr>
                <w:b/>
                <w:sz w:val="22"/>
                <w:szCs w:val="22"/>
              </w:rPr>
            </w:pPr>
            <w:r w:rsidRPr="00612824">
              <w:rPr>
                <w:b/>
                <w:sz w:val="22"/>
                <w:szCs w:val="22"/>
              </w:rPr>
              <w:t>N = 95</w:t>
            </w:r>
          </w:p>
        </w:tc>
        <w:tc>
          <w:tcPr>
            <w:tcW w:w="1147" w:type="dxa"/>
            <w:tcBorders>
              <w:top w:val="single" w:sz="6" w:space="0" w:color="000000"/>
              <w:left w:val="single" w:sz="6" w:space="0" w:color="000000"/>
              <w:bottom w:val="single" w:sz="6" w:space="0" w:color="000000"/>
              <w:right w:val="single" w:sz="6" w:space="0" w:color="000000"/>
            </w:tcBorders>
          </w:tcPr>
          <w:p w:rsidR="00166946" w:rsidRPr="00612824" w:rsidP="00166946" w14:paraId="382F607E" w14:textId="77777777">
            <w:pPr>
              <w:tabs>
                <w:tab w:val="left" w:pos="-1080"/>
              </w:tabs>
              <w:autoSpaceDE w:val="0"/>
              <w:autoSpaceDN w:val="0"/>
              <w:adjustRightInd w:val="0"/>
              <w:ind w:left="15"/>
              <w:jc w:val="center"/>
              <w:rPr>
                <w:sz w:val="22"/>
                <w:szCs w:val="22"/>
              </w:rPr>
            </w:pPr>
            <w:r w:rsidRPr="00612824">
              <w:rPr>
                <w:b/>
                <w:bCs/>
                <w:sz w:val="22"/>
                <w:szCs w:val="22"/>
              </w:rPr>
              <w:t xml:space="preserve">valore P </w:t>
            </w:r>
            <w:r w:rsidRPr="00612824">
              <w:rPr>
                <w:sz w:val="22"/>
                <w:szCs w:val="22"/>
              </w:rPr>
              <w:t>*</w:t>
            </w:r>
          </w:p>
        </w:tc>
      </w:tr>
      <w:tr w14:paraId="2FDBB45D" w14:textId="77777777" w:rsidTr="00166946">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6262E900" w14:textId="77777777">
            <w:pPr>
              <w:tabs>
                <w:tab w:val="left" w:pos="-1080"/>
              </w:tabs>
              <w:autoSpaceDE w:val="0"/>
              <w:autoSpaceDN w:val="0"/>
              <w:adjustRightInd w:val="0"/>
              <w:ind w:left="15"/>
              <w:jc w:val="center"/>
              <w:rPr>
                <w:b/>
                <w:bCs/>
                <w:sz w:val="22"/>
                <w:szCs w:val="22"/>
              </w:rPr>
            </w:pPr>
            <w:r w:rsidRPr="00612824">
              <w:rPr>
                <w:b/>
                <w:bCs/>
                <w:sz w:val="22"/>
                <w:szCs w:val="22"/>
              </w:rPr>
              <w:t>Settimana 26</w:t>
            </w:r>
          </w:p>
        </w:tc>
        <w:tc>
          <w:tcPr>
            <w:tcW w:w="1614"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0791813E" w14:textId="77777777">
            <w:pPr>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7417CBA3" w14:textId="77777777">
            <w:pPr>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4FEC1B2F" w14:textId="77777777">
            <w:pPr>
              <w:autoSpaceDE w:val="0"/>
              <w:autoSpaceDN w:val="0"/>
              <w:adjustRightInd w:val="0"/>
              <w:ind w:left="15"/>
              <w:jc w:val="center"/>
              <w:rPr>
                <w:b/>
                <w:bCs/>
                <w:sz w:val="22"/>
                <w:szCs w:val="22"/>
              </w:rPr>
            </w:pPr>
          </w:p>
        </w:tc>
      </w:tr>
      <w:tr w14:paraId="6952FC76" w14:textId="77777777" w:rsidTr="00166946">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1AA328E8" w14:textId="77777777">
            <w:pPr>
              <w:tabs>
                <w:tab w:val="left" w:pos="-1080"/>
              </w:tabs>
              <w:autoSpaceDE w:val="0"/>
              <w:autoSpaceDN w:val="0"/>
              <w:adjustRightInd w:val="0"/>
              <w:ind w:left="15"/>
              <w:jc w:val="both"/>
              <w:rPr>
                <w:sz w:val="22"/>
                <w:szCs w:val="22"/>
              </w:rPr>
            </w:pPr>
            <w:r w:rsidRPr="00612824">
              <w:rPr>
                <w:sz w:val="22"/>
                <w:szCs w:val="22"/>
              </w:rPr>
              <w:t xml:space="preserve">   Remissione clinica </w:t>
            </w:r>
          </w:p>
        </w:tc>
        <w:tc>
          <w:tcPr>
            <w:tcW w:w="1614"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00650CF3" w14:textId="77777777">
            <w:pPr>
              <w:tabs>
                <w:tab w:val="left" w:pos="-1080"/>
              </w:tabs>
              <w:autoSpaceDE w:val="0"/>
              <w:autoSpaceDN w:val="0"/>
              <w:adjustRightInd w:val="0"/>
              <w:ind w:left="15"/>
              <w:jc w:val="both"/>
              <w:rPr>
                <w:sz w:val="22"/>
                <w:szCs w:val="22"/>
              </w:rPr>
            </w:pPr>
            <w:r w:rsidRPr="00612824">
              <w:rPr>
                <w:sz w:val="22"/>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3FAE7063" w14:textId="77777777">
            <w:pPr>
              <w:tabs>
                <w:tab w:val="left" w:pos="-1080"/>
              </w:tabs>
              <w:autoSpaceDE w:val="0"/>
              <w:autoSpaceDN w:val="0"/>
              <w:adjustRightInd w:val="0"/>
              <w:ind w:left="15"/>
              <w:jc w:val="both"/>
              <w:rPr>
                <w:sz w:val="22"/>
                <w:szCs w:val="22"/>
              </w:rPr>
            </w:pPr>
            <w:r w:rsidRPr="00612824">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221A62F4" w14:textId="77777777">
            <w:pPr>
              <w:tabs>
                <w:tab w:val="left" w:pos="-1080"/>
              </w:tabs>
              <w:autoSpaceDE w:val="0"/>
              <w:autoSpaceDN w:val="0"/>
              <w:adjustRightInd w:val="0"/>
              <w:ind w:left="15"/>
              <w:jc w:val="both"/>
              <w:rPr>
                <w:sz w:val="22"/>
                <w:szCs w:val="22"/>
              </w:rPr>
            </w:pPr>
            <w:r w:rsidRPr="00612824">
              <w:rPr>
                <w:sz w:val="22"/>
                <w:szCs w:val="22"/>
              </w:rPr>
              <w:t>0,075</w:t>
            </w:r>
          </w:p>
        </w:tc>
      </w:tr>
      <w:tr w14:paraId="5A6057C2" w14:textId="77777777" w:rsidTr="00166946">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166946" w:rsidRPr="00612824" w:rsidP="00166946" w14:paraId="2FAC2232" w14:textId="77777777">
            <w:pPr>
              <w:tabs>
                <w:tab w:val="left" w:pos="-1080"/>
              </w:tabs>
              <w:autoSpaceDE w:val="0"/>
              <w:autoSpaceDN w:val="0"/>
              <w:adjustRightInd w:val="0"/>
              <w:ind w:left="15"/>
              <w:jc w:val="both"/>
              <w:rPr>
                <w:sz w:val="22"/>
                <w:szCs w:val="22"/>
              </w:rPr>
            </w:pPr>
            <w:r w:rsidRPr="00612824">
              <w:rPr>
                <w:sz w:val="22"/>
                <w:szCs w:val="22"/>
              </w:rPr>
              <w:t xml:space="preserve">   Risposta clinica</w:t>
            </w:r>
          </w:p>
        </w:tc>
        <w:tc>
          <w:tcPr>
            <w:tcW w:w="1614" w:type="dxa"/>
            <w:tcBorders>
              <w:top w:val="single" w:sz="6" w:space="0" w:color="000000"/>
              <w:left w:val="single" w:sz="6" w:space="0" w:color="000000"/>
              <w:bottom w:val="single" w:sz="6" w:space="0" w:color="000000"/>
              <w:right w:val="single" w:sz="6" w:space="0" w:color="000000"/>
            </w:tcBorders>
          </w:tcPr>
          <w:p w:rsidR="00166946" w:rsidRPr="00612824" w:rsidP="00166946" w14:paraId="79A89E25" w14:textId="77777777">
            <w:pPr>
              <w:tabs>
                <w:tab w:val="left" w:pos="-1080"/>
              </w:tabs>
              <w:autoSpaceDE w:val="0"/>
              <w:autoSpaceDN w:val="0"/>
              <w:adjustRightInd w:val="0"/>
              <w:ind w:left="15"/>
              <w:jc w:val="both"/>
              <w:rPr>
                <w:sz w:val="22"/>
                <w:szCs w:val="22"/>
              </w:rPr>
            </w:pPr>
            <w:r w:rsidRPr="00612824">
              <w:rPr>
                <w:sz w:val="22"/>
                <w:szCs w:val="22"/>
              </w:rPr>
              <w:t>59,1%</w:t>
            </w:r>
          </w:p>
        </w:tc>
        <w:tc>
          <w:tcPr>
            <w:tcW w:w="1591" w:type="dxa"/>
            <w:tcBorders>
              <w:top w:val="single" w:sz="6" w:space="0" w:color="000000"/>
              <w:left w:val="single" w:sz="6" w:space="0" w:color="000000"/>
              <w:bottom w:val="single" w:sz="6" w:space="0" w:color="000000"/>
              <w:right w:val="single" w:sz="6" w:space="0" w:color="000000"/>
            </w:tcBorders>
          </w:tcPr>
          <w:p w:rsidR="00166946" w:rsidRPr="00612824" w:rsidP="00166946" w14:paraId="54C7E44E" w14:textId="77777777">
            <w:pPr>
              <w:tabs>
                <w:tab w:val="left" w:pos="-1080"/>
              </w:tabs>
              <w:autoSpaceDE w:val="0"/>
              <w:autoSpaceDN w:val="0"/>
              <w:adjustRightInd w:val="0"/>
              <w:ind w:left="15"/>
              <w:jc w:val="both"/>
              <w:rPr>
                <w:sz w:val="22"/>
                <w:szCs w:val="22"/>
              </w:rPr>
            </w:pPr>
            <w:r w:rsidRPr="00612824">
              <w:rPr>
                <w:sz w:val="22"/>
                <w:szCs w:val="22"/>
              </w:rPr>
              <w:t>48,4%</w:t>
            </w:r>
          </w:p>
        </w:tc>
        <w:tc>
          <w:tcPr>
            <w:tcW w:w="1147" w:type="dxa"/>
            <w:tcBorders>
              <w:top w:val="single" w:sz="6" w:space="0" w:color="000000"/>
              <w:left w:val="single" w:sz="6" w:space="0" w:color="000000"/>
              <w:bottom w:val="single" w:sz="6" w:space="0" w:color="000000"/>
              <w:right w:val="single" w:sz="6" w:space="0" w:color="000000"/>
            </w:tcBorders>
          </w:tcPr>
          <w:p w:rsidR="00166946" w:rsidRPr="00612824" w:rsidP="00166946" w14:paraId="138E6FB6" w14:textId="77777777">
            <w:pPr>
              <w:tabs>
                <w:tab w:val="left" w:pos="-1080"/>
              </w:tabs>
              <w:autoSpaceDE w:val="0"/>
              <w:autoSpaceDN w:val="0"/>
              <w:adjustRightInd w:val="0"/>
              <w:ind w:left="15"/>
              <w:jc w:val="both"/>
              <w:rPr>
                <w:sz w:val="22"/>
                <w:szCs w:val="22"/>
              </w:rPr>
            </w:pPr>
            <w:r w:rsidRPr="00612824">
              <w:rPr>
                <w:sz w:val="22"/>
                <w:szCs w:val="22"/>
              </w:rPr>
              <w:t>0,073</w:t>
            </w:r>
          </w:p>
        </w:tc>
      </w:tr>
      <w:tr w14:paraId="0B976ECA" w14:textId="77777777" w:rsidTr="00166946">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3D13819F" w14:textId="77777777">
            <w:pPr>
              <w:tabs>
                <w:tab w:val="left" w:pos="-1080"/>
              </w:tabs>
              <w:autoSpaceDE w:val="0"/>
              <w:autoSpaceDN w:val="0"/>
              <w:adjustRightInd w:val="0"/>
              <w:ind w:left="15"/>
              <w:jc w:val="center"/>
              <w:rPr>
                <w:b/>
                <w:bCs/>
                <w:sz w:val="22"/>
                <w:szCs w:val="22"/>
              </w:rPr>
            </w:pPr>
            <w:r w:rsidRPr="00612824">
              <w:rPr>
                <w:b/>
                <w:bCs/>
                <w:sz w:val="22"/>
                <w:szCs w:val="22"/>
              </w:rPr>
              <w:t>Settimana 52</w:t>
            </w:r>
          </w:p>
        </w:tc>
        <w:tc>
          <w:tcPr>
            <w:tcW w:w="1614"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306089ED" w14:textId="77777777">
            <w:pPr>
              <w:tabs>
                <w:tab w:val="left" w:pos="-1080"/>
              </w:tabs>
              <w:autoSpaceDE w:val="0"/>
              <w:autoSpaceDN w:val="0"/>
              <w:adjustRightInd w:val="0"/>
              <w:ind w:left="15"/>
              <w:jc w:val="both"/>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029828C9" w14:textId="77777777">
            <w:pPr>
              <w:tabs>
                <w:tab w:val="left" w:pos="-1080"/>
              </w:tabs>
              <w:autoSpaceDE w:val="0"/>
              <w:autoSpaceDN w:val="0"/>
              <w:adjustRightInd w:val="0"/>
              <w:ind w:left="15"/>
              <w:jc w:val="both"/>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226158C6" w14:textId="77777777">
            <w:pPr>
              <w:autoSpaceDE w:val="0"/>
              <w:autoSpaceDN w:val="0"/>
              <w:adjustRightInd w:val="0"/>
              <w:ind w:left="15"/>
              <w:jc w:val="both"/>
              <w:rPr>
                <w:b/>
                <w:bCs/>
                <w:sz w:val="22"/>
                <w:szCs w:val="22"/>
              </w:rPr>
            </w:pPr>
          </w:p>
        </w:tc>
      </w:tr>
      <w:tr w14:paraId="3CDC1187" w14:textId="77777777" w:rsidTr="00166946">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4B81F11B" w14:textId="77777777">
            <w:pPr>
              <w:tabs>
                <w:tab w:val="left" w:pos="-1080"/>
              </w:tabs>
              <w:autoSpaceDE w:val="0"/>
              <w:autoSpaceDN w:val="0"/>
              <w:adjustRightInd w:val="0"/>
              <w:ind w:left="15"/>
              <w:jc w:val="both"/>
              <w:rPr>
                <w:sz w:val="22"/>
                <w:szCs w:val="22"/>
              </w:rPr>
            </w:pPr>
            <w:r w:rsidRPr="00612824">
              <w:rPr>
                <w:sz w:val="22"/>
                <w:szCs w:val="22"/>
              </w:rPr>
              <w:t xml:space="preserve">   Remissione clinica </w:t>
            </w:r>
          </w:p>
        </w:tc>
        <w:tc>
          <w:tcPr>
            <w:tcW w:w="1614"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530B7BB7" w14:textId="77777777">
            <w:pPr>
              <w:tabs>
                <w:tab w:val="left" w:pos="-1080"/>
              </w:tabs>
              <w:autoSpaceDE w:val="0"/>
              <w:autoSpaceDN w:val="0"/>
              <w:adjustRightInd w:val="0"/>
              <w:ind w:left="15"/>
              <w:jc w:val="both"/>
              <w:rPr>
                <w:sz w:val="22"/>
                <w:szCs w:val="22"/>
              </w:rPr>
            </w:pPr>
            <w:r w:rsidRPr="00612824">
              <w:rPr>
                <w:sz w:val="22"/>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7A95EC53" w14:textId="77777777">
            <w:pPr>
              <w:tabs>
                <w:tab w:val="left" w:pos="-1080"/>
              </w:tabs>
              <w:autoSpaceDE w:val="0"/>
              <w:autoSpaceDN w:val="0"/>
              <w:adjustRightInd w:val="0"/>
              <w:ind w:left="15"/>
              <w:jc w:val="both"/>
              <w:rPr>
                <w:sz w:val="22"/>
                <w:szCs w:val="22"/>
              </w:rPr>
            </w:pPr>
            <w:r w:rsidRPr="00612824">
              <w:rPr>
                <w:sz w:val="22"/>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64982BFA" w14:textId="77777777">
            <w:pPr>
              <w:tabs>
                <w:tab w:val="left" w:pos="-1080"/>
              </w:tabs>
              <w:autoSpaceDE w:val="0"/>
              <w:autoSpaceDN w:val="0"/>
              <w:adjustRightInd w:val="0"/>
              <w:ind w:left="15"/>
              <w:jc w:val="both"/>
              <w:rPr>
                <w:sz w:val="22"/>
                <w:szCs w:val="22"/>
              </w:rPr>
            </w:pPr>
            <w:r w:rsidRPr="00612824">
              <w:rPr>
                <w:sz w:val="22"/>
                <w:szCs w:val="22"/>
              </w:rPr>
              <w:t>0,100</w:t>
            </w:r>
          </w:p>
        </w:tc>
      </w:tr>
      <w:tr w14:paraId="5B65122C" w14:textId="77777777" w:rsidTr="00166946">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166946" w:rsidRPr="00612824" w:rsidP="00166946" w14:paraId="61993D9C" w14:textId="77777777">
            <w:pPr>
              <w:tabs>
                <w:tab w:val="left" w:pos="-1080"/>
              </w:tabs>
              <w:autoSpaceDE w:val="0"/>
              <w:autoSpaceDN w:val="0"/>
              <w:adjustRightInd w:val="0"/>
              <w:ind w:left="15"/>
              <w:jc w:val="both"/>
              <w:rPr>
                <w:sz w:val="22"/>
                <w:szCs w:val="22"/>
              </w:rPr>
            </w:pPr>
            <w:r w:rsidRPr="00612824">
              <w:rPr>
                <w:sz w:val="22"/>
                <w:szCs w:val="22"/>
              </w:rPr>
              <w:t xml:space="preserve">   Risposta clinica</w:t>
            </w:r>
          </w:p>
        </w:tc>
        <w:tc>
          <w:tcPr>
            <w:tcW w:w="1614" w:type="dxa"/>
            <w:tcBorders>
              <w:top w:val="single" w:sz="6" w:space="0" w:color="000000"/>
              <w:left w:val="single" w:sz="6" w:space="0" w:color="000000"/>
              <w:bottom w:val="single" w:sz="6" w:space="0" w:color="000000"/>
              <w:right w:val="single" w:sz="6" w:space="0" w:color="000000"/>
            </w:tcBorders>
          </w:tcPr>
          <w:p w:rsidR="00166946" w:rsidRPr="00612824" w:rsidP="00166946" w14:paraId="4EDD7425" w14:textId="77777777">
            <w:pPr>
              <w:tabs>
                <w:tab w:val="left" w:pos="-1080"/>
              </w:tabs>
              <w:autoSpaceDE w:val="0"/>
              <w:autoSpaceDN w:val="0"/>
              <w:adjustRightInd w:val="0"/>
              <w:ind w:left="15"/>
              <w:jc w:val="both"/>
              <w:rPr>
                <w:sz w:val="22"/>
                <w:szCs w:val="22"/>
              </w:rPr>
            </w:pPr>
            <w:r w:rsidRPr="00612824">
              <w:rPr>
                <w:sz w:val="22"/>
                <w:szCs w:val="22"/>
              </w:rPr>
              <w:t>41,9%</w:t>
            </w:r>
          </w:p>
        </w:tc>
        <w:tc>
          <w:tcPr>
            <w:tcW w:w="1591" w:type="dxa"/>
            <w:tcBorders>
              <w:top w:val="single" w:sz="6" w:space="0" w:color="000000"/>
              <w:left w:val="single" w:sz="6" w:space="0" w:color="000000"/>
              <w:bottom w:val="single" w:sz="6" w:space="0" w:color="000000"/>
              <w:right w:val="single" w:sz="6" w:space="0" w:color="000000"/>
            </w:tcBorders>
          </w:tcPr>
          <w:p w:rsidR="00166946" w:rsidRPr="00612824" w:rsidP="00166946" w14:paraId="20BD8D8E" w14:textId="77777777">
            <w:pPr>
              <w:tabs>
                <w:tab w:val="left" w:pos="-1080"/>
              </w:tabs>
              <w:autoSpaceDE w:val="0"/>
              <w:autoSpaceDN w:val="0"/>
              <w:adjustRightInd w:val="0"/>
              <w:ind w:left="15"/>
              <w:jc w:val="both"/>
              <w:rPr>
                <w:sz w:val="22"/>
                <w:szCs w:val="22"/>
              </w:rPr>
            </w:pPr>
            <w:r w:rsidRPr="00612824">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tcPr>
          <w:p w:rsidR="00166946" w:rsidRPr="00612824" w:rsidP="00166946" w14:paraId="22EC3975" w14:textId="77777777">
            <w:pPr>
              <w:tabs>
                <w:tab w:val="left" w:pos="-1080"/>
              </w:tabs>
              <w:autoSpaceDE w:val="0"/>
              <w:autoSpaceDN w:val="0"/>
              <w:adjustRightInd w:val="0"/>
              <w:ind w:left="15"/>
              <w:jc w:val="both"/>
              <w:rPr>
                <w:sz w:val="22"/>
                <w:szCs w:val="22"/>
              </w:rPr>
            </w:pPr>
            <w:r w:rsidRPr="00612824">
              <w:rPr>
                <w:sz w:val="22"/>
                <w:szCs w:val="22"/>
              </w:rPr>
              <w:t>0,038</w:t>
            </w:r>
          </w:p>
        </w:tc>
      </w:tr>
      <w:tr w14:paraId="241D4E84" w14:textId="77777777" w:rsidTr="00166946">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166946" w:rsidRPr="00612824" w:rsidP="00166946" w14:paraId="4F770590" w14:textId="77777777">
            <w:pPr>
              <w:tabs>
                <w:tab w:val="left" w:pos="-1080"/>
              </w:tabs>
              <w:autoSpaceDE w:val="0"/>
              <w:autoSpaceDN w:val="0"/>
              <w:adjustRightInd w:val="0"/>
              <w:ind w:left="15"/>
              <w:jc w:val="both"/>
              <w:rPr>
                <w:sz w:val="22"/>
                <w:szCs w:val="22"/>
              </w:rPr>
            </w:pPr>
            <w:r w:rsidRPr="00612824">
              <w:rPr>
                <w:sz w:val="22"/>
                <w:szCs w:val="22"/>
              </w:rPr>
              <w:t xml:space="preserve">* confronto valore P per Dose Standard </w:t>
            </w:r>
            <w:r w:rsidRPr="00612824">
              <w:rPr>
                <w:i/>
                <w:iCs/>
                <w:sz w:val="22"/>
                <w:szCs w:val="22"/>
              </w:rPr>
              <w:t>versus</w:t>
            </w:r>
            <w:r w:rsidRPr="00612824">
              <w:rPr>
                <w:sz w:val="22"/>
                <w:szCs w:val="22"/>
              </w:rPr>
              <w:t xml:space="preserve"> Bassa Dose.</w:t>
            </w:r>
          </w:p>
        </w:tc>
      </w:tr>
    </w:tbl>
    <w:p w:rsidR="00166946" w:rsidRPr="00612824" w:rsidP="00166946" w14:paraId="1359D255" w14:textId="77777777">
      <w:pPr>
        <w:tabs>
          <w:tab w:val="left" w:pos="567"/>
        </w:tabs>
        <w:jc w:val="both"/>
        <w:rPr>
          <w:sz w:val="22"/>
          <w:szCs w:val="22"/>
        </w:rPr>
      </w:pPr>
    </w:p>
    <w:tbl>
      <w:tblPr>
        <w:tblW w:w="0" w:type="auto"/>
        <w:jc w:val="center"/>
        <w:tblCellMar>
          <w:left w:w="0" w:type="dxa"/>
          <w:right w:w="0" w:type="dxa"/>
        </w:tblCellMar>
        <w:tblLook w:val="00A0"/>
      </w:tblPr>
      <w:tblGrid>
        <w:gridCol w:w="4025"/>
        <w:gridCol w:w="1656"/>
        <w:gridCol w:w="1619"/>
        <w:gridCol w:w="1140"/>
      </w:tblGrid>
      <w:tr w14:paraId="143883CE" w14:textId="77777777" w:rsidTr="00166946">
        <w:tblPrEx>
          <w:tblW w:w="0" w:type="auto"/>
          <w:tblLook w:val="00A0"/>
        </w:tblPrEx>
        <w:tc>
          <w:tcPr>
            <w:tcW w:w="8440" w:type="dxa"/>
            <w:gridSpan w:val="4"/>
            <w:tcBorders>
              <w:top w:val="single" w:sz="6" w:space="0" w:color="000000"/>
              <w:left w:val="single" w:sz="6" w:space="0" w:color="000000"/>
              <w:bottom w:val="single" w:sz="6" w:space="0" w:color="000000"/>
              <w:right w:val="single" w:sz="6" w:space="0" w:color="000000"/>
            </w:tcBorders>
          </w:tcPr>
          <w:p w:rsidR="00166946" w:rsidRPr="00612824" w:rsidP="00166946" w14:paraId="77E6B914" w14:textId="77777777">
            <w:pPr>
              <w:keepNext/>
              <w:tabs>
                <w:tab w:val="left" w:pos="-878"/>
              </w:tabs>
              <w:autoSpaceDE w:val="0"/>
              <w:autoSpaceDN w:val="0"/>
              <w:adjustRightInd w:val="0"/>
              <w:jc w:val="center"/>
              <w:rPr>
                <w:b/>
                <w:bCs/>
                <w:sz w:val="22"/>
                <w:szCs w:val="22"/>
              </w:rPr>
            </w:pPr>
            <w:r w:rsidRPr="00612824">
              <w:rPr>
                <w:sz w:val="22"/>
                <w:szCs w:val="22"/>
              </w:rPr>
              <w:br w:type="page"/>
            </w:r>
            <w:r w:rsidRPr="00612824">
              <w:rPr>
                <w:b/>
                <w:bCs/>
                <w:sz w:val="22"/>
                <w:szCs w:val="22"/>
              </w:rPr>
              <w:t>Tabella 22</w:t>
            </w:r>
          </w:p>
          <w:p w:rsidR="00166946" w:rsidRPr="00612824" w:rsidP="00166946" w14:paraId="695728ED" w14:textId="77777777">
            <w:pPr>
              <w:keepNext/>
              <w:tabs>
                <w:tab w:val="left" w:pos="-878"/>
              </w:tabs>
              <w:autoSpaceDE w:val="0"/>
              <w:autoSpaceDN w:val="0"/>
              <w:adjustRightInd w:val="0"/>
              <w:jc w:val="center"/>
              <w:rPr>
                <w:b/>
                <w:bCs/>
                <w:sz w:val="22"/>
                <w:szCs w:val="22"/>
              </w:rPr>
            </w:pPr>
            <w:r w:rsidRPr="00612824">
              <w:rPr>
                <w:b/>
                <w:bCs/>
                <w:sz w:val="22"/>
                <w:szCs w:val="22"/>
              </w:rPr>
              <w:t>Studio della Malattia di Crohn Pediatrica</w:t>
            </w:r>
          </w:p>
          <w:p w:rsidR="00166946" w:rsidRPr="00612824" w:rsidP="00166946" w14:paraId="4FCA0542" w14:textId="77777777">
            <w:pPr>
              <w:keepNext/>
              <w:tabs>
                <w:tab w:val="left" w:pos="-878"/>
              </w:tabs>
              <w:autoSpaceDE w:val="0"/>
              <w:autoSpaceDN w:val="0"/>
              <w:adjustRightInd w:val="0"/>
              <w:jc w:val="center"/>
              <w:rPr>
                <w:b/>
                <w:bCs/>
                <w:sz w:val="22"/>
                <w:szCs w:val="22"/>
              </w:rPr>
            </w:pPr>
            <w:r w:rsidRPr="00612824">
              <w:rPr>
                <w:b/>
                <w:bCs/>
                <w:sz w:val="22"/>
                <w:szCs w:val="22"/>
              </w:rPr>
              <w:t>Discontinuazione dei Corticosteroidi o Immunomodulatori e Remissione della Fistola</w:t>
            </w:r>
          </w:p>
        </w:tc>
      </w:tr>
      <w:tr w14:paraId="44B4637A" w14:textId="77777777" w:rsidTr="00166946">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166946" w:rsidRPr="00612824" w:rsidP="00166946" w14:paraId="57252C9C" w14:textId="77777777">
            <w:pPr>
              <w:keepNext/>
              <w:keepLines/>
              <w:tabs>
                <w:tab w:val="left" w:pos="-1080"/>
              </w:tabs>
              <w:autoSpaceDE w:val="0"/>
              <w:autoSpaceDN w:val="0"/>
              <w:adjustRightInd w:val="0"/>
              <w:jc w:val="center"/>
              <w:rPr>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rsidR="00166946" w:rsidRPr="00612824" w:rsidP="00166946" w14:paraId="482D2E0B" w14:textId="77777777">
            <w:pPr>
              <w:keepNext/>
              <w:keepLines/>
              <w:tabs>
                <w:tab w:val="left" w:pos="-1080"/>
              </w:tabs>
              <w:autoSpaceDE w:val="0"/>
              <w:autoSpaceDN w:val="0"/>
              <w:adjustRightInd w:val="0"/>
              <w:ind w:left="15"/>
              <w:jc w:val="center"/>
              <w:rPr>
                <w:b/>
                <w:bCs/>
                <w:sz w:val="22"/>
                <w:szCs w:val="22"/>
              </w:rPr>
            </w:pPr>
            <w:r w:rsidRPr="00612824">
              <w:rPr>
                <w:b/>
                <w:bCs/>
                <w:sz w:val="22"/>
                <w:szCs w:val="22"/>
              </w:rPr>
              <w:t>Dose standard</w:t>
            </w:r>
          </w:p>
          <w:p w:rsidR="00166946" w:rsidRPr="00612824" w:rsidP="00166946" w14:paraId="084C3FE1" w14:textId="77777777">
            <w:pPr>
              <w:keepNext/>
              <w:keepLines/>
              <w:tabs>
                <w:tab w:val="left" w:pos="-1080"/>
              </w:tabs>
              <w:autoSpaceDE w:val="0"/>
              <w:autoSpaceDN w:val="0"/>
              <w:adjustRightInd w:val="0"/>
              <w:ind w:left="15"/>
              <w:jc w:val="center"/>
              <w:rPr>
                <w:b/>
                <w:bCs/>
                <w:sz w:val="22"/>
                <w:szCs w:val="22"/>
              </w:rPr>
            </w:pPr>
            <w:r w:rsidRPr="00612824">
              <w:rPr>
                <w:b/>
                <w:bCs/>
                <w:sz w:val="22"/>
                <w:szCs w:val="22"/>
              </w:rPr>
              <w:t>40/20 mg a settimane alterne</w:t>
            </w:r>
          </w:p>
        </w:tc>
        <w:tc>
          <w:tcPr>
            <w:tcW w:w="1619" w:type="dxa"/>
            <w:tcBorders>
              <w:top w:val="single" w:sz="6" w:space="0" w:color="000000"/>
              <w:left w:val="single" w:sz="6" w:space="0" w:color="000000"/>
              <w:bottom w:val="single" w:sz="6" w:space="0" w:color="000000"/>
              <w:right w:val="single" w:sz="6" w:space="0" w:color="000000"/>
            </w:tcBorders>
          </w:tcPr>
          <w:p w:rsidR="00166946" w:rsidRPr="00612824" w:rsidP="00166946" w14:paraId="703B5315" w14:textId="77777777">
            <w:pPr>
              <w:keepNext/>
              <w:keepLines/>
              <w:tabs>
                <w:tab w:val="left" w:pos="-1080"/>
              </w:tabs>
              <w:autoSpaceDE w:val="0"/>
              <w:autoSpaceDN w:val="0"/>
              <w:adjustRightInd w:val="0"/>
              <w:ind w:left="15"/>
              <w:jc w:val="center"/>
              <w:rPr>
                <w:b/>
                <w:bCs/>
                <w:sz w:val="22"/>
                <w:szCs w:val="22"/>
              </w:rPr>
            </w:pPr>
            <w:r w:rsidRPr="00612824">
              <w:rPr>
                <w:b/>
                <w:bCs/>
                <w:sz w:val="22"/>
                <w:szCs w:val="22"/>
              </w:rPr>
              <w:t>Dose</w:t>
            </w:r>
          </w:p>
          <w:p w:rsidR="00166946" w:rsidRPr="00612824" w:rsidP="00166946" w14:paraId="2EEF3D3F" w14:textId="77777777">
            <w:pPr>
              <w:keepNext/>
              <w:keepLines/>
              <w:tabs>
                <w:tab w:val="left" w:pos="-1080"/>
              </w:tabs>
              <w:autoSpaceDE w:val="0"/>
              <w:autoSpaceDN w:val="0"/>
              <w:adjustRightInd w:val="0"/>
              <w:ind w:left="15"/>
              <w:jc w:val="center"/>
              <w:rPr>
                <w:b/>
                <w:bCs/>
                <w:sz w:val="22"/>
                <w:szCs w:val="22"/>
              </w:rPr>
            </w:pPr>
            <w:r w:rsidRPr="00612824">
              <w:rPr>
                <w:b/>
                <w:bCs/>
                <w:sz w:val="22"/>
                <w:szCs w:val="22"/>
              </w:rPr>
              <w:t>Bassa</w:t>
            </w:r>
          </w:p>
          <w:p w:rsidR="00166946" w:rsidRPr="00612824" w:rsidP="00166946" w14:paraId="2B0D7407" w14:textId="77777777">
            <w:pPr>
              <w:keepNext/>
              <w:keepLines/>
              <w:tabs>
                <w:tab w:val="left" w:pos="-1080"/>
              </w:tabs>
              <w:autoSpaceDE w:val="0"/>
              <w:autoSpaceDN w:val="0"/>
              <w:adjustRightInd w:val="0"/>
              <w:ind w:left="15"/>
              <w:jc w:val="center"/>
              <w:rPr>
                <w:b/>
                <w:bCs/>
                <w:sz w:val="22"/>
                <w:szCs w:val="22"/>
              </w:rPr>
            </w:pPr>
            <w:r w:rsidRPr="00612824">
              <w:rPr>
                <w:b/>
                <w:bCs/>
                <w:sz w:val="22"/>
                <w:szCs w:val="22"/>
              </w:rPr>
              <w:t>20/10 mg a settimane alterne</w:t>
            </w:r>
          </w:p>
        </w:tc>
        <w:tc>
          <w:tcPr>
            <w:tcW w:w="1140" w:type="dxa"/>
            <w:tcBorders>
              <w:top w:val="single" w:sz="6" w:space="0" w:color="000000"/>
              <w:left w:val="single" w:sz="6" w:space="0" w:color="000000"/>
              <w:bottom w:val="single" w:sz="6" w:space="0" w:color="000000"/>
              <w:right w:val="single" w:sz="6" w:space="0" w:color="000000"/>
            </w:tcBorders>
          </w:tcPr>
          <w:p w:rsidR="00166946" w:rsidRPr="00612824" w:rsidP="00166946" w14:paraId="3E28F7BA" w14:textId="77777777">
            <w:pPr>
              <w:keepNext/>
              <w:keepLines/>
              <w:tabs>
                <w:tab w:val="left" w:pos="-1080"/>
              </w:tabs>
              <w:autoSpaceDE w:val="0"/>
              <w:autoSpaceDN w:val="0"/>
              <w:adjustRightInd w:val="0"/>
              <w:ind w:left="15"/>
              <w:jc w:val="center"/>
              <w:rPr>
                <w:b/>
                <w:bCs/>
                <w:sz w:val="22"/>
                <w:szCs w:val="22"/>
              </w:rPr>
            </w:pPr>
            <w:r w:rsidRPr="00612824">
              <w:rPr>
                <w:b/>
                <w:bCs/>
                <w:sz w:val="22"/>
                <w:szCs w:val="22"/>
              </w:rPr>
              <w:t xml:space="preserve">Valore P </w:t>
            </w:r>
            <w:r w:rsidRPr="00612824">
              <w:rPr>
                <w:b/>
                <w:bCs/>
                <w:sz w:val="22"/>
                <w:szCs w:val="22"/>
                <w:vertAlign w:val="superscript"/>
              </w:rPr>
              <w:t>1</w:t>
            </w:r>
          </w:p>
        </w:tc>
      </w:tr>
      <w:tr w14:paraId="5BFFC55B" w14:textId="77777777" w:rsidTr="00166946">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57590F0B" w14:textId="77777777">
            <w:pPr>
              <w:keepNext/>
              <w:keepLines/>
              <w:tabs>
                <w:tab w:val="left" w:pos="-1080"/>
              </w:tabs>
              <w:autoSpaceDE w:val="0"/>
              <w:autoSpaceDN w:val="0"/>
              <w:adjustRightInd w:val="0"/>
              <w:jc w:val="center"/>
              <w:rPr>
                <w:b/>
                <w:sz w:val="22"/>
                <w:szCs w:val="22"/>
              </w:rPr>
            </w:pPr>
            <w:r w:rsidRPr="00612824">
              <w:rPr>
                <w:b/>
                <w:sz w:val="22"/>
                <w:szCs w:val="22"/>
              </w:rPr>
              <w:t>Corticosteroidi discontinuati</w:t>
            </w:r>
          </w:p>
        </w:tc>
        <w:tc>
          <w:tcPr>
            <w:tcW w:w="1656"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0EA2FD07" w14:textId="77777777">
            <w:pPr>
              <w:keepNext/>
              <w:keepLines/>
              <w:tabs>
                <w:tab w:val="left" w:pos="-1080"/>
              </w:tabs>
              <w:autoSpaceDE w:val="0"/>
              <w:autoSpaceDN w:val="0"/>
              <w:adjustRightInd w:val="0"/>
              <w:ind w:left="15"/>
              <w:jc w:val="center"/>
              <w:rPr>
                <w:b/>
                <w:sz w:val="22"/>
                <w:szCs w:val="22"/>
              </w:rPr>
            </w:pPr>
            <w:r w:rsidRPr="00612824">
              <w:rPr>
                <w:b/>
                <w:sz w:val="22"/>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1DD1BBD4" w14:textId="77777777">
            <w:pPr>
              <w:keepNext/>
              <w:keepLines/>
              <w:tabs>
                <w:tab w:val="left" w:pos="-1080"/>
              </w:tabs>
              <w:autoSpaceDE w:val="0"/>
              <w:autoSpaceDN w:val="0"/>
              <w:adjustRightInd w:val="0"/>
              <w:ind w:left="15"/>
              <w:jc w:val="center"/>
              <w:rPr>
                <w:b/>
                <w:sz w:val="22"/>
                <w:szCs w:val="22"/>
              </w:rPr>
            </w:pPr>
            <w:r w:rsidRPr="00612824">
              <w:rPr>
                <w:b/>
                <w:sz w:val="22"/>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121F7608" w14:textId="77777777">
            <w:pPr>
              <w:keepNext/>
              <w:autoSpaceDE w:val="0"/>
              <w:autoSpaceDN w:val="0"/>
              <w:adjustRightInd w:val="0"/>
              <w:ind w:left="15"/>
              <w:jc w:val="center"/>
              <w:rPr>
                <w:b/>
                <w:sz w:val="22"/>
                <w:szCs w:val="22"/>
              </w:rPr>
            </w:pPr>
          </w:p>
        </w:tc>
      </w:tr>
      <w:tr w14:paraId="43B9D52B" w14:textId="77777777" w:rsidTr="00166946">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7E431397" w14:textId="77777777">
            <w:pPr>
              <w:keepNext/>
              <w:keepLines/>
              <w:tabs>
                <w:tab w:val="left" w:pos="-1080"/>
              </w:tabs>
              <w:autoSpaceDE w:val="0"/>
              <w:autoSpaceDN w:val="0"/>
              <w:adjustRightInd w:val="0"/>
              <w:jc w:val="both"/>
              <w:rPr>
                <w:bCs/>
                <w:sz w:val="22"/>
                <w:szCs w:val="22"/>
              </w:rPr>
            </w:pPr>
            <w:r w:rsidRPr="00612824">
              <w:rPr>
                <w:bCs/>
                <w:sz w:val="22"/>
                <w:szCs w:val="22"/>
              </w:rPr>
              <w:t>Settimana 26</w:t>
            </w:r>
          </w:p>
        </w:tc>
        <w:tc>
          <w:tcPr>
            <w:tcW w:w="1656"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6E537865" w14:textId="77777777">
            <w:pPr>
              <w:keepNext/>
              <w:keepLines/>
              <w:tabs>
                <w:tab w:val="left" w:pos="-1080"/>
              </w:tabs>
              <w:autoSpaceDE w:val="0"/>
              <w:autoSpaceDN w:val="0"/>
              <w:adjustRightInd w:val="0"/>
              <w:ind w:left="15"/>
              <w:jc w:val="center"/>
              <w:rPr>
                <w:sz w:val="22"/>
                <w:szCs w:val="22"/>
              </w:rPr>
            </w:pPr>
            <w:r w:rsidRPr="00612824">
              <w:rPr>
                <w:sz w:val="22"/>
                <w:szCs w:val="22"/>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133EB44E" w14:textId="77777777">
            <w:pPr>
              <w:keepNext/>
              <w:keepLines/>
              <w:tabs>
                <w:tab w:val="left" w:pos="-1080"/>
              </w:tabs>
              <w:autoSpaceDE w:val="0"/>
              <w:autoSpaceDN w:val="0"/>
              <w:adjustRightInd w:val="0"/>
              <w:ind w:left="15"/>
              <w:jc w:val="center"/>
              <w:rPr>
                <w:sz w:val="22"/>
                <w:szCs w:val="22"/>
              </w:rPr>
            </w:pPr>
            <w:r w:rsidRPr="00612824">
              <w:rPr>
                <w:sz w:val="22"/>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6797C051" w14:textId="77777777">
            <w:pPr>
              <w:keepNext/>
              <w:keepLines/>
              <w:tabs>
                <w:tab w:val="left" w:pos="-1080"/>
              </w:tabs>
              <w:autoSpaceDE w:val="0"/>
              <w:autoSpaceDN w:val="0"/>
              <w:adjustRightInd w:val="0"/>
              <w:ind w:left="15"/>
              <w:jc w:val="center"/>
              <w:rPr>
                <w:sz w:val="22"/>
                <w:szCs w:val="22"/>
              </w:rPr>
            </w:pPr>
            <w:r w:rsidRPr="00612824">
              <w:rPr>
                <w:sz w:val="22"/>
                <w:szCs w:val="22"/>
              </w:rPr>
              <w:t>0,066</w:t>
            </w:r>
          </w:p>
        </w:tc>
      </w:tr>
      <w:tr w14:paraId="16F37C1D" w14:textId="77777777" w:rsidTr="00166946">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4B33A21F" w14:textId="77777777">
            <w:pPr>
              <w:keepNext/>
              <w:keepLines/>
              <w:tabs>
                <w:tab w:val="left" w:pos="-1080"/>
              </w:tabs>
              <w:autoSpaceDE w:val="0"/>
              <w:autoSpaceDN w:val="0"/>
              <w:adjustRightInd w:val="0"/>
              <w:jc w:val="both"/>
              <w:rPr>
                <w:bCs/>
                <w:sz w:val="22"/>
                <w:szCs w:val="22"/>
              </w:rPr>
            </w:pPr>
            <w:r w:rsidRPr="00612824">
              <w:rPr>
                <w:bCs/>
                <w:sz w:val="22"/>
                <w:szCs w:val="22"/>
              </w:rPr>
              <w:t>Settimana 52</w:t>
            </w:r>
          </w:p>
        </w:tc>
        <w:tc>
          <w:tcPr>
            <w:tcW w:w="1656" w:type="dxa"/>
            <w:tcBorders>
              <w:top w:val="single" w:sz="6" w:space="0" w:color="000000"/>
              <w:left w:val="single" w:sz="6" w:space="0" w:color="000000"/>
              <w:bottom w:val="single" w:sz="6" w:space="0" w:color="000000"/>
              <w:right w:val="single" w:sz="6" w:space="0" w:color="000000"/>
            </w:tcBorders>
          </w:tcPr>
          <w:p w:rsidR="00166946" w:rsidRPr="00612824" w:rsidP="00166946" w14:paraId="16DF4E64" w14:textId="77777777">
            <w:pPr>
              <w:keepNext/>
              <w:keepLines/>
              <w:tabs>
                <w:tab w:val="left" w:pos="-1080"/>
              </w:tabs>
              <w:autoSpaceDE w:val="0"/>
              <w:autoSpaceDN w:val="0"/>
              <w:adjustRightInd w:val="0"/>
              <w:ind w:left="15"/>
              <w:jc w:val="center"/>
              <w:rPr>
                <w:sz w:val="22"/>
                <w:szCs w:val="22"/>
              </w:rPr>
            </w:pPr>
            <w:r w:rsidRPr="00612824">
              <w:rPr>
                <w:sz w:val="22"/>
                <w:szCs w:val="22"/>
              </w:rPr>
              <w:t>69,7%</w:t>
            </w:r>
          </w:p>
        </w:tc>
        <w:tc>
          <w:tcPr>
            <w:tcW w:w="1619" w:type="dxa"/>
            <w:tcBorders>
              <w:top w:val="single" w:sz="6" w:space="0" w:color="000000"/>
              <w:left w:val="single" w:sz="6" w:space="0" w:color="000000"/>
              <w:bottom w:val="single" w:sz="6" w:space="0" w:color="000000"/>
              <w:right w:val="single" w:sz="6" w:space="0" w:color="000000"/>
            </w:tcBorders>
          </w:tcPr>
          <w:p w:rsidR="00166946" w:rsidRPr="00612824" w:rsidP="00166946" w14:paraId="0FCEFE9D" w14:textId="77777777">
            <w:pPr>
              <w:keepNext/>
              <w:keepLines/>
              <w:tabs>
                <w:tab w:val="left" w:pos="-1080"/>
              </w:tabs>
              <w:autoSpaceDE w:val="0"/>
              <w:autoSpaceDN w:val="0"/>
              <w:adjustRightInd w:val="0"/>
              <w:ind w:left="15"/>
              <w:jc w:val="center"/>
              <w:rPr>
                <w:sz w:val="22"/>
                <w:szCs w:val="22"/>
              </w:rPr>
            </w:pPr>
            <w:r w:rsidRPr="00612824">
              <w:rPr>
                <w:sz w:val="22"/>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130A8DED" w14:textId="77777777">
            <w:pPr>
              <w:keepNext/>
              <w:keepLines/>
              <w:tabs>
                <w:tab w:val="left" w:pos="-1080"/>
              </w:tabs>
              <w:autoSpaceDE w:val="0"/>
              <w:autoSpaceDN w:val="0"/>
              <w:adjustRightInd w:val="0"/>
              <w:ind w:left="15"/>
              <w:jc w:val="center"/>
              <w:rPr>
                <w:sz w:val="22"/>
                <w:szCs w:val="22"/>
              </w:rPr>
            </w:pPr>
            <w:r w:rsidRPr="00612824">
              <w:rPr>
                <w:sz w:val="22"/>
                <w:szCs w:val="22"/>
              </w:rPr>
              <w:t>0,420</w:t>
            </w:r>
          </w:p>
        </w:tc>
      </w:tr>
      <w:tr w14:paraId="47D560B0" w14:textId="77777777" w:rsidTr="00166946">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15ED3529" w14:textId="77777777">
            <w:pPr>
              <w:keepNext/>
              <w:keepLines/>
              <w:tabs>
                <w:tab w:val="left" w:pos="-1080"/>
              </w:tabs>
              <w:autoSpaceDE w:val="0"/>
              <w:autoSpaceDN w:val="0"/>
              <w:adjustRightInd w:val="0"/>
              <w:jc w:val="center"/>
              <w:rPr>
                <w:b/>
                <w:sz w:val="22"/>
                <w:szCs w:val="22"/>
              </w:rPr>
            </w:pPr>
            <w:r w:rsidRPr="00612824">
              <w:rPr>
                <w:b/>
                <w:sz w:val="22"/>
                <w:szCs w:val="22"/>
              </w:rPr>
              <w:t>Discontinuazione di Immunomodulatori</w:t>
            </w:r>
            <w:r w:rsidRPr="00612824">
              <w:rPr>
                <w:b/>
                <w:sz w:val="22"/>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481D2A74" w14:textId="77777777">
            <w:pPr>
              <w:keepNext/>
              <w:keepLines/>
              <w:tabs>
                <w:tab w:val="left" w:pos="-1080"/>
              </w:tabs>
              <w:autoSpaceDE w:val="0"/>
              <w:autoSpaceDN w:val="0"/>
              <w:adjustRightInd w:val="0"/>
              <w:ind w:left="15"/>
              <w:jc w:val="center"/>
              <w:rPr>
                <w:b/>
                <w:sz w:val="22"/>
                <w:szCs w:val="22"/>
              </w:rPr>
            </w:pPr>
            <w:r w:rsidRPr="00612824">
              <w:rPr>
                <w:b/>
                <w:sz w:val="22"/>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21F285B3" w14:textId="77777777">
            <w:pPr>
              <w:keepNext/>
              <w:keepLines/>
              <w:tabs>
                <w:tab w:val="left" w:pos="-1080"/>
              </w:tabs>
              <w:autoSpaceDE w:val="0"/>
              <w:autoSpaceDN w:val="0"/>
              <w:adjustRightInd w:val="0"/>
              <w:ind w:left="15"/>
              <w:jc w:val="center"/>
              <w:rPr>
                <w:b/>
                <w:sz w:val="22"/>
                <w:szCs w:val="22"/>
              </w:rPr>
            </w:pPr>
            <w:r w:rsidRPr="00612824">
              <w:rPr>
                <w:b/>
                <w:sz w:val="22"/>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rsidR="00166946" w:rsidRPr="00612824" w:rsidP="00166946" w14:paraId="6FFFEA88" w14:textId="77777777">
            <w:pPr>
              <w:keepNext/>
              <w:autoSpaceDE w:val="0"/>
              <w:autoSpaceDN w:val="0"/>
              <w:adjustRightInd w:val="0"/>
              <w:ind w:left="15"/>
              <w:jc w:val="center"/>
              <w:rPr>
                <w:b/>
                <w:sz w:val="22"/>
                <w:szCs w:val="22"/>
              </w:rPr>
            </w:pPr>
          </w:p>
        </w:tc>
      </w:tr>
      <w:tr w14:paraId="5B838B13" w14:textId="77777777" w:rsidTr="00166946">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166946" w:rsidRPr="00612824" w:rsidP="00166946" w14:paraId="5FEB0E63" w14:textId="77777777">
            <w:pPr>
              <w:keepNext/>
              <w:keepLines/>
              <w:tabs>
                <w:tab w:val="left" w:pos="-1080"/>
              </w:tabs>
              <w:autoSpaceDE w:val="0"/>
              <w:autoSpaceDN w:val="0"/>
              <w:adjustRightInd w:val="0"/>
              <w:jc w:val="both"/>
              <w:rPr>
                <w:bCs/>
                <w:sz w:val="22"/>
                <w:szCs w:val="22"/>
              </w:rPr>
            </w:pPr>
            <w:r w:rsidRPr="00612824">
              <w:rPr>
                <w:bCs/>
                <w:sz w:val="22"/>
                <w:szCs w:val="22"/>
              </w:rPr>
              <w:t>Settimana 52</w:t>
            </w:r>
          </w:p>
        </w:tc>
        <w:tc>
          <w:tcPr>
            <w:tcW w:w="1656" w:type="dxa"/>
            <w:tcBorders>
              <w:top w:val="single" w:sz="6" w:space="0" w:color="000000"/>
              <w:left w:val="single" w:sz="6" w:space="0" w:color="000000"/>
              <w:bottom w:val="single" w:sz="6" w:space="0" w:color="000000"/>
              <w:right w:val="single" w:sz="6" w:space="0" w:color="000000"/>
            </w:tcBorders>
          </w:tcPr>
          <w:p w:rsidR="00166946" w:rsidRPr="00612824" w:rsidP="00166946" w14:paraId="5793CC9F" w14:textId="77777777">
            <w:pPr>
              <w:keepNext/>
              <w:keepLines/>
              <w:tabs>
                <w:tab w:val="left" w:pos="-1080"/>
              </w:tabs>
              <w:autoSpaceDE w:val="0"/>
              <w:autoSpaceDN w:val="0"/>
              <w:adjustRightInd w:val="0"/>
              <w:ind w:left="15"/>
              <w:jc w:val="center"/>
              <w:rPr>
                <w:sz w:val="22"/>
                <w:szCs w:val="22"/>
              </w:rPr>
            </w:pPr>
            <w:r w:rsidRPr="00612824">
              <w:rPr>
                <w:sz w:val="22"/>
                <w:szCs w:val="22"/>
              </w:rPr>
              <w:t>30,0%</w:t>
            </w:r>
          </w:p>
        </w:tc>
        <w:tc>
          <w:tcPr>
            <w:tcW w:w="1619" w:type="dxa"/>
            <w:tcBorders>
              <w:top w:val="single" w:sz="6" w:space="0" w:color="000000"/>
              <w:left w:val="single" w:sz="6" w:space="0" w:color="000000"/>
              <w:bottom w:val="single" w:sz="6" w:space="0" w:color="000000"/>
              <w:right w:val="single" w:sz="6" w:space="0" w:color="000000"/>
            </w:tcBorders>
          </w:tcPr>
          <w:p w:rsidR="00166946" w:rsidRPr="00612824" w:rsidP="00166946" w14:paraId="5C1DD5BD" w14:textId="77777777">
            <w:pPr>
              <w:keepNext/>
              <w:keepLines/>
              <w:tabs>
                <w:tab w:val="left" w:pos="-1080"/>
              </w:tabs>
              <w:autoSpaceDE w:val="0"/>
              <w:autoSpaceDN w:val="0"/>
              <w:adjustRightInd w:val="0"/>
              <w:ind w:left="15"/>
              <w:jc w:val="center"/>
              <w:rPr>
                <w:sz w:val="22"/>
                <w:szCs w:val="22"/>
              </w:rPr>
            </w:pPr>
            <w:r w:rsidRPr="00612824">
              <w:rPr>
                <w:sz w:val="22"/>
                <w:szCs w:val="22"/>
              </w:rPr>
              <w:t>29,8%</w:t>
            </w:r>
          </w:p>
        </w:tc>
        <w:tc>
          <w:tcPr>
            <w:tcW w:w="1140" w:type="dxa"/>
            <w:tcBorders>
              <w:top w:val="single" w:sz="6" w:space="0" w:color="000000"/>
              <w:left w:val="single" w:sz="6" w:space="0" w:color="000000"/>
              <w:bottom w:val="single" w:sz="6" w:space="0" w:color="000000"/>
              <w:right w:val="single" w:sz="6" w:space="0" w:color="000000"/>
            </w:tcBorders>
          </w:tcPr>
          <w:p w:rsidR="00166946" w:rsidRPr="00612824" w:rsidP="00166946" w14:paraId="7F9D95AA" w14:textId="77777777">
            <w:pPr>
              <w:keepNext/>
              <w:keepLines/>
              <w:tabs>
                <w:tab w:val="left" w:pos="-1080"/>
              </w:tabs>
              <w:autoSpaceDE w:val="0"/>
              <w:autoSpaceDN w:val="0"/>
              <w:adjustRightInd w:val="0"/>
              <w:ind w:left="15"/>
              <w:jc w:val="center"/>
              <w:rPr>
                <w:sz w:val="22"/>
                <w:szCs w:val="22"/>
              </w:rPr>
            </w:pPr>
            <w:r w:rsidRPr="00612824">
              <w:rPr>
                <w:sz w:val="22"/>
                <w:szCs w:val="22"/>
              </w:rPr>
              <w:t>0,983</w:t>
            </w:r>
          </w:p>
        </w:tc>
      </w:tr>
      <w:tr w14:paraId="172761D3" w14:textId="77777777" w:rsidTr="00166946">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166946" w:rsidRPr="00612824" w:rsidP="00166946" w14:paraId="607B3C88" w14:textId="77777777">
            <w:pPr>
              <w:keepNext/>
              <w:keepLines/>
              <w:tabs>
                <w:tab w:val="left" w:pos="-1080"/>
              </w:tabs>
              <w:autoSpaceDE w:val="0"/>
              <w:autoSpaceDN w:val="0"/>
              <w:adjustRightInd w:val="0"/>
              <w:jc w:val="center"/>
              <w:rPr>
                <w:b/>
                <w:bCs/>
                <w:sz w:val="22"/>
                <w:szCs w:val="22"/>
              </w:rPr>
            </w:pPr>
            <w:r w:rsidRPr="00612824">
              <w:rPr>
                <w:b/>
                <w:sz w:val="22"/>
                <w:szCs w:val="22"/>
              </w:rPr>
              <w:t>Remissione della Fistola</w:t>
            </w:r>
            <w:r w:rsidRPr="00612824">
              <w:rPr>
                <w:b/>
                <w:sz w:val="22"/>
                <w:szCs w:val="22"/>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rsidR="00166946" w:rsidRPr="00612824" w:rsidP="00166946" w14:paraId="72CE0512" w14:textId="77777777">
            <w:pPr>
              <w:keepNext/>
              <w:keepLines/>
              <w:tabs>
                <w:tab w:val="left" w:pos="-1080"/>
              </w:tabs>
              <w:autoSpaceDE w:val="0"/>
              <w:autoSpaceDN w:val="0"/>
              <w:adjustRightInd w:val="0"/>
              <w:ind w:left="15"/>
              <w:jc w:val="center"/>
              <w:rPr>
                <w:b/>
                <w:sz w:val="22"/>
                <w:szCs w:val="22"/>
              </w:rPr>
            </w:pPr>
            <w:r w:rsidRPr="00612824">
              <w:rPr>
                <w:b/>
                <w:sz w:val="22"/>
                <w:szCs w:val="22"/>
              </w:rPr>
              <w:t>N=15</w:t>
            </w:r>
          </w:p>
        </w:tc>
        <w:tc>
          <w:tcPr>
            <w:tcW w:w="1619" w:type="dxa"/>
            <w:tcBorders>
              <w:top w:val="single" w:sz="6" w:space="0" w:color="000000"/>
              <w:left w:val="single" w:sz="6" w:space="0" w:color="000000"/>
              <w:bottom w:val="single" w:sz="6" w:space="0" w:color="000000"/>
              <w:right w:val="single" w:sz="6" w:space="0" w:color="000000"/>
            </w:tcBorders>
          </w:tcPr>
          <w:p w:rsidR="00166946" w:rsidRPr="00612824" w:rsidP="00166946" w14:paraId="64A5714F" w14:textId="77777777">
            <w:pPr>
              <w:keepNext/>
              <w:keepLines/>
              <w:tabs>
                <w:tab w:val="left" w:pos="-1080"/>
              </w:tabs>
              <w:autoSpaceDE w:val="0"/>
              <w:autoSpaceDN w:val="0"/>
              <w:adjustRightInd w:val="0"/>
              <w:ind w:left="15"/>
              <w:jc w:val="center"/>
              <w:rPr>
                <w:b/>
                <w:sz w:val="22"/>
                <w:szCs w:val="22"/>
              </w:rPr>
            </w:pPr>
            <w:r w:rsidRPr="00612824">
              <w:rPr>
                <w:b/>
                <w:sz w:val="22"/>
                <w:szCs w:val="22"/>
              </w:rPr>
              <w:t>N=21</w:t>
            </w:r>
          </w:p>
        </w:tc>
        <w:tc>
          <w:tcPr>
            <w:tcW w:w="1140" w:type="dxa"/>
            <w:tcBorders>
              <w:top w:val="single" w:sz="6" w:space="0" w:color="000000"/>
              <w:left w:val="single" w:sz="6" w:space="0" w:color="000000"/>
              <w:bottom w:val="single" w:sz="6" w:space="0" w:color="000000"/>
              <w:right w:val="single" w:sz="6" w:space="0" w:color="000000"/>
            </w:tcBorders>
          </w:tcPr>
          <w:p w:rsidR="00166946" w:rsidRPr="00612824" w:rsidP="00166946" w14:paraId="39F8C196" w14:textId="77777777">
            <w:pPr>
              <w:keepNext/>
              <w:keepLines/>
              <w:tabs>
                <w:tab w:val="left" w:pos="-1080"/>
              </w:tabs>
              <w:autoSpaceDE w:val="0"/>
              <w:autoSpaceDN w:val="0"/>
              <w:adjustRightInd w:val="0"/>
              <w:ind w:left="15"/>
              <w:jc w:val="center"/>
              <w:rPr>
                <w:sz w:val="22"/>
                <w:szCs w:val="22"/>
              </w:rPr>
            </w:pPr>
          </w:p>
        </w:tc>
      </w:tr>
      <w:tr w14:paraId="56303310" w14:textId="77777777" w:rsidTr="00166946">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166946" w:rsidRPr="00612824" w:rsidP="00166946" w14:paraId="5CE09652" w14:textId="77777777">
            <w:pPr>
              <w:keepNext/>
              <w:keepLines/>
              <w:tabs>
                <w:tab w:val="left" w:pos="-1080"/>
              </w:tabs>
              <w:autoSpaceDE w:val="0"/>
              <w:autoSpaceDN w:val="0"/>
              <w:adjustRightInd w:val="0"/>
              <w:jc w:val="both"/>
              <w:rPr>
                <w:bCs/>
                <w:sz w:val="22"/>
                <w:szCs w:val="22"/>
              </w:rPr>
            </w:pPr>
            <w:r w:rsidRPr="00612824">
              <w:rPr>
                <w:bCs/>
                <w:sz w:val="22"/>
                <w:szCs w:val="22"/>
              </w:rPr>
              <w:t>Settimana 26</w:t>
            </w:r>
          </w:p>
        </w:tc>
        <w:tc>
          <w:tcPr>
            <w:tcW w:w="1656" w:type="dxa"/>
            <w:tcBorders>
              <w:top w:val="single" w:sz="6" w:space="0" w:color="000000"/>
              <w:left w:val="single" w:sz="6" w:space="0" w:color="000000"/>
              <w:bottom w:val="single" w:sz="6" w:space="0" w:color="000000"/>
              <w:right w:val="single" w:sz="6" w:space="0" w:color="000000"/>
            </w:tcBorders>
          </w:tcPr>
          <w:p w:rsidR="00166946" w:rsidRPr="00612824" w:rsidP="00166946" w14:paraId="2EF3AA3F" w14:textId="77777777">
            <w:pPr>
              <w:keepNext/>
              <w:keepLines/>
              <w:tabs>
                <w:tab w:val="left" w:pos="-1080"/>
              </w:tabs>
              <w:autoSpaceDE w:val="0"/>
              <w:autoSpaceDN w:val="0"/>
              <w:adjustRightInd w:val="0"/>
              <w:ind w:left="15"/>
              <w:jc w:val="center"/>
              <w:rPr>
                <w:sz w:val="22"/>
                <w:szCs w:val="22"/>
              </w:rPr>
            </w:pPr>
            <w:r w:rsidRPr="00612824">
              <w:rPr>
                <w:sz w:val="22"/>
                <w:szCs w:val="22"/>
              </w:rPr>
              <w:t>46,7%</w:t>
            </w:r>
          </w:p>
        </w:tc>
        <w:tc>
          <w:tcPr>
            <w:tcW w:w="1619" w:type="dxa"/>
            <w:tcBorders>
              <w:top w:val="single" w:sz="6" w:space="0" w:color="000000"/>
              <w:left w:val="single" w:sz="6" w:space="0" w:color="000000"/>
              <w:bottom w:val="single" w:sz="6" w:space="0" w:color="000000"/>
              <w:right w:val="single" w:sz="6" w:space="0" w:color="000000"/>
            </w:tcBorders>
          </w:tcPr>
          <w:p w:rsidR="00166946" w:rsidRPr="00612824" w:rsidP="00166946" w14:paraId="54D70049" w14:textId="77777777">
            <w:pPr>
              <w:keepNext/>
              <w:keepLines/>
              <w:tabs>
                <w:tab w:val="left" w:pos="-1080"/>
              </w:tabs>
              <w:autoSpaceDE w:val="0"/>
              <w:autoSpaceDN w:val="0"/>
              <w:adjustRightInd w:val="0"/>
              <w:ind w:left="15"/>
              <w:jc w:val="center"/>
              <w:rPr>
                <w:sz w:val="22"/>
                <w:szCs w:val="22"/>
              </w:rPr>
            </w:pPr>
            <w:r w:rsidRPr="00612824">
              <w:rPr>
                <w:sz w:val="22"/>
                <w:szCs w:val="22"/>
              </w:rPr>
              <w:t>38,1%</w:t>
            </w:r>
          </w:p>
        </w:tc>
        <w:tc>
          <w:tcPr>
            <w:tcW w:w="1140" w:type="dxa"/>
            <w:tcBorders>
              <w:top w:val="single" w:sz="6" w:space="0" w:color="000000"/>
              <w:left w:val="single" w:sz="6" w:space="0" w:color="000000"/>
              <w:bottom w:val="single" w:sz="6" w:space="0" w:color="000000"/>
              <w:right w:val="single" w:sz="6" w:space="0" w:color="000000"/>
            </w:tcBorders>
          </w:tcPr>
          <w:p w:rsidR="00166946" w:rsidRPr="00612824" w:rsidP="00166946" w14:paraId="5732E2B6" w14:textId="77777777">
            <w:pPr>
              <w:keepNext/>
              <w:keepLines/>
              <w:tabs>
                <w:tab w:val="left" w:pos="-1080"/>
              </w:tabs>
              <w:autoSpaceDE w:val="0"/>
              <w:autoSpaceDN w:val="0"/>
              <w:adjustRightInd w:val="0"/>
              <w:ind w:left="15"/>
              <w:jc w:val="center"/>
              <w:rPr>
                <w:sz w:val="22"/>
                <w:szCs w:val="22"/>
              </w:rPr>
            </w:pPr>
            <w:r w:rsidRPr="00612824">
              <w:rPr>
                <w:sz w:val="22"/>
                <w:szCs w:val="22"/>
              </w:rPr>
              <w:t>0,608</w:t>
            </w:r>
          </w:p>
        </w:tc>
      </w:tr>
      <w:tr w14:paraId="2757946F" w14:textId="77777777" w:rsidTr="00166946">
        <w:tblPrEx>
          <w:tblW w:w="0" w:type="auto"/>
          <w:tblLook w:val="00A0"/>
        </w:tblPrEx>
        <w:tc>
          <w:tcPr>
            <w:tcW w:w="4025" w:type="dxa"/>
            <w:tcBorders>
              <w:top w:val="single" w:sz="6" w:space="0" w:color="000000"/>
              <w:left w:val="single" w:sz="6" w:space="0" w:color="000000"/>
              <w:bottom w:val="single" w:sz="4" w:space="0" w:color="auto"/>
              <w:right w:val="single" w:sz="6" w:space="0" w:color="000000"/>
            </w:tcBorders>
          </w:tcPr>
          <w:p w:rsidR="00166946" w:rsidRPr="00612824" w:rsidP="00166946" w14:paraId="1223C994" w14:textId="77777777">
            <w:pPr>
              <w:keepNext/>
              <w:keepLines/>
              <w:tabs>
                <w:tab w:val="left" w:pos="-1080"/>
              </w:tabs>
              <w:autoSpaceDE w:val="0"/>
              <w:autoSpaceDN w:val="0"/>
              <w:adjustRightInd w:val="0"/>
              <w:jc w:val="both"/>
              <w:rPr>
                <w:bCs/>
                <w:sz w:val="22"/>
                <w:szCs w:val="22"/>
              </w:rPr>
            </w:pPr>
            <w:r w:rsidRPr="00612824">
              <w:rPr>
                <w:bCs/>
                <w:sz w:val="22"/>
                <w:szCs w:val="22"/>
              </w:rPr>
              <w:t>Settimana</w:t>
            </w:r>
            <w:r w:rsidRPr="00612824">
              <w:rPr>
                <w:sz w:val="22"/>
                <w:szCs w:val="22"/>
              </w:rPr>
              <w:t> 52</w:t>
            </w:r>
          </w:p>
        </w:tc>
        <w:tc>
          <w:tcPr>
            <w:tcW w:w="1656" w:type="dxa"/>
            <w:tcBorders>
              <w:top w:val="single" w:sz="6" w:space="0" w:color="000000"/>
              <w:left w:val="single" w:sz="6" w:space="0" w:color="000000"/>
              <w:bottom w:val="single" w:sz="4" w:space="0" w:color="auto"/>
              <w:right w:val="single" w:sz="6" w:space="0" w:color="000000"/>
            </w:tcBorders>
          </w:tcPr>
          <w:p w:rsidR="00166946" w:rsidRPr="00612824" w:rsidP="00166946" w14:paraId="01F8E14D" w14:textId="77777777">
            <w:pPr>
              <w:keepNext/>
              <w:keepLines/>
              <w:tabs>
                <w:tab w:val="left" w:pos="-1080"/>
              </w:tabs>
              <w:autoSpaceDE w:val="0"/>
              <w:autoSpaceDN w:val="0"/>
              <w:adjustRightInd w:val="0"/>
              <w:ind w:left="15"/>
              <w:jc w:val="center"/>
              <w:rPr>
                <w:sz w:val="22"/>
                <w:szCs w:val="22"/>
              </w:rPr>
            </w:pPr>
            <w:r w:rsidRPr="00612824">
              <w:rPr>
                <w:sz w:val="22"/>
                <w:szCs w:val="22"/>
              </w:rPr>
              <w:t>40,0%</w:t>
            </w:r>
          </w:p>
        </w:tc>
        <w:tc>
          <w:tcPr>
            <w:tcW w:w="1619" w:type="dxa"/>
            <w:tcBorders>
              <w:top w:val="single" w:sz="6" w:space="0" w:color="000000"/>
              <w:left w:val="single" w:sz="6" w:space="0" w:color="000000"/>
              <w:bottom w:val="single" w:sz="4" w:space="0" w:color="auto"/>
              <w:right w:val="single" w:sz="6" w:space="0" w:color="000000"/>
            </w:tcBorders>
          </w:tcPr>
          <w:p w:rsidR="00166946" w:rsidRPr="00612824" w:rsidP="00166946" w14:paraId="43E7F2BB" w14:textId="77777777">
            <w:pPr>
              <w:keepNext/>
              <w:keepLines/>
              <w:tabs>
                <w:tab w:val="left" w:pos="-1080"/>
              </w:tabs>
              <w:autoSpaceDE w:val="0"/>
              <w:autoSpaceDN w:val="0"/>
              <w:adjustRightInd w:val="0"/>
              <w:ind w:left="15"/>
              <w:jc w:val="center"/>
              <w:rPr>
                <w:sz w:val="22"/>
                <w:szCs w:val="22"/>
              </w:rPr>
            </w:pPr>
            <w:r w:rsidRPr="00612824">
              <w:rPr>
                <w:sz w:val="22"/>
                <w:szCs w:val="22"/>
              </w:rPr>
              <w:t>23,8%</w:t>
            </w:r>
          </w:p>
        </w:tc>
        <w:tc>
          <w:tcPr>
            <w:tcW w:w="1140" w:type="dxa"/>
            <w:tcBorders>
              <w:top w:val="single" w:sz="6" w:space="0" w:color="000000"/>
              <w:left w:val="single" w:sz="6" w:space="0" w:color="000000"/>
              <w:bottom w:val="single" w:sz="4" w:space="0" w:color="auto"/>
              <w:right w:val="single" w:sz="6" w:space="0" w:color="000000"/>
            </w:tcBorders>
          </w:tcPr>
          <w:p w:rsidR="00166946" w:rsidRPr="00612824" w:rsidP="00166946" w14:paraId="3457CCC6" w14:textId="77777777">
            <w:pPr>
              <w:keepNext/>
              <w:keepLines/>
              <w:tabs>
                <w:tab w:val="left" w:pos="-1080"/>
              </w:tabs>
              <w:autoSpaceDE w:val="0"/>
              <w:autoSpaceDN w:val="0"/>
              <w:adjustRightInd w:val="0"/>
              <w:ind w:left="15"/>
              <w:jc w:val="center"/>
              <w:rPr>
                <w:sz w:val="22"/>
                <w:szCs w:val="22"/>
              </w:rPr>
            </w:pPr>
            <w:r w:rsidRPr="00612824">
              <w:rPr>
                <w:sz w:val="22"/>
                <w:szCs w:val="22"/>
              </w:rPr>
              <w:t>0,303</w:t>
            </w:r>
          </w:p>
        </w:tc>
      </w:tr>
      <w:tr w14:paraId="783FE3D8" w14:textId="77777777" w:rsidTr="00166946">
        <w:tblPrEx>
          <w:tblW w:w="0" w:type="auto"/>
          <w:tblLook w:val="00A0"/>
        </w:tblPrEx>
        <w:trPr>
          <w:trHeight w:val="177"/>
        </w:trPr>
        <w:tc>
          <w:tcPr>
            <w:tcW w:w="8440" w:type="dxa"/>
            <w:gridSpan w:val="4"/>
            <w:tcBorders>
              <w:top w:val="single" w:sz="4" w:space="0" w:color="auto"/>
            </w:tcBorders>
          </w:tcPr>
          <w:p w:rsidR="00166946" w:rsidRPr="00612824" w:rsidP="00166946" w14:paraId="65E62B42" w14:textId="77777777">
            <w:pPr>
              <w:keepNext/>
              <w:keepLines/>
              <w:tabs>
                <w:tab w:val="left" w:pos="-1080"/>
              </w:tabs>
              <w:autoSpaceDE w:val="0"/>
              <w:autoSpaceDN w:val="0"/>
              <w:adjustRightInd w:val="0"/>
              <w:jc w:val="both"/>
              <w:rPr>
                <w:sz w:val="22"/>
                <w:szCs w:val="22"/>
              </w:rPr>
            </w:pPr>
            <w:r w:rsidRPr="00612824">
              <w:rPr>
                <w:sz w:val="22"/>
                <w:szCs w:val="22"/>
                <w:vertAlign w:val="superscript"/>
              </w:rPr>
              <w:t>1</w:t>
            </w:r>
            <w:r w:rsidRPr="00612824">
              <w:rPr>
                <w:sz w:val="22"/>
                <w:szCs w:val="22"/>
              </w:rPr>
              <w:t xml:space="preserve">confronto valore P per Dose Standard </w:t>
            </w:r>
            <w:r w:rsidRPr="00612824">
              <w:rPr>
                <w:i/>
                <w:iCs/>
                <w:sz w:val="22"/>
                <w:szCs w:val="22"/>
              </w:rPr>
              <w:t xml:space="preserve">versus </w:t>
            </w:r>
            <w:r w:rsidRPr="00612824">
              <w:rPr>
                <w:sz w:val="22"/>
                <w:szCs w:val="22"/>
              </w:rPr>
              <w:t>Dose Bassa.</w:t>
            </w:r>
          </w:p>
          <w:p w:rsidR="00166946" w:rsidRPr="00612824" w:rsidP="00166946" w14:paraId="4A166103" w14:textId="77777777">
            <w:pPr>
              <w:keepNext/>
              <w:keepLines/>
              <w:tabs>
                <w:tab w:val="left" w:pos="-1080"/>
              </w:tabs>
              <w:autoSpaceDE w:val="0"/>
              <w:autoSpaceDN w:val="0"/>
              <w:adjustRightInd w:val="0"/>
              <w:jc w:val="both"/>
              <w:rPr>
                <w:sz w:val="22"/>
                <w:szCs w:val="22"/>
              </w:rPr>
            </w:pPr>
            <w:r w:rsidRPr="00612824">
              <w:rPr>
                <w:sz w:val="22"/>
                <w:szCs w:val="22"/>
                <w:vertAlign w:val="superscript"/>
              </w:rPr>
              <w:t xml:space="preserve"> 2</w:t>
            </w:r>
            <w:r w:rsidRPr="00612824">
              <w:rPr>
                <w:sz w:val="22"/>
                <w:szCs w:val="22"/>
              </w:rPr>
              <w:t>la terapia immunosoppressiva poteva essere interrotta solo alla o dopo la Settimana 26 a discrezione dello sperimentatore se il soggetto aveva raggiunto il criterio della risposta clinica</w:t>
            </w:r>
          </w:p>
          <w:p w:rsidR="00166946" w:rsidRPr="00612824" w:rsidP="00166946" w14:paraId="5794885B" w14:textId="77777777">
            <w:pPr>
              <w:keepNext/>
              <w:keepLines/>
              <w:tabs>
                <w:tab w:val="left" w:pos="-1080"/>
              </w:tabs>
              <w:autoSpaceDE w:val="0"/>
              <w:autoSpaceDN w:val="0"/>
              <w:adjustRightInd w:val="0"/>
              <w:jc w:val="both"/>
              <w:rPr>
                <w:sz w:val="22"/>
                <w:szCs w:val="22"/>
              </w:rPr>
            </w:pPr>
            <w:r w:rsidRPr="00612824">
              <w:rPr>
                <w:sz w:val="22"/>
                <w:szCs w:val="22"/>
                <w:vertAlign w:val="superscript"/>
              </w:rPr>
              <w:t>3</w:t>
            </w:r>
            <w:r w:rsidRPr="00612824">
              <w:rPr>
                <w:sz w:val="22"/>
                <w:szCs w:val="22"/>
              </w:rPr>
              <w:t>definito come chiusura di tutte le fistole che si stavano esaurendo al basale per almeno 2 visite consecutive post-basale</w:t>
            </w:r>
          </w:p>
        </w:tc>
      </w:tr>
    </w:tbl>
    <w:p w:rsidR="00166946" w:rsidRPr="00166946" w:rsidP="00166946" w14:paraId="4614DF09" w14:textId="77777777">
      <w:pPr>
        <w:keepNext/>
        <w:tabs>
          <w:tab w:val="left" w:pos="567"/>
        </w:tabs>
        <w:jc w:val="both"/>
        <w:rPr>
          <w:sz w:val="22"/>
          <w:szCs w:val="22"/>
        </w:rPr>
      </w:pPr>
    </w:p>
    <w:p w:rsidR="00166946" w:rsidRPr="00612824" w:rsidP="00166946" w14:paraId="29BD48FE" w14:textId="77777777">
      <w:pPr>
        <w:tabs>
          <w:tab w:val="left" w:pos="567"/>
        </w:tabs>
        <w:jc w:val="both"/>
        <w:rPr>
          <w:sz w:val="22"/>
          <w:szCs w:val="22"/>
        </w:rPr>
      </w:pPr>
      <w:r w:rsidRPr="00612824">
        <w:rPr>
          <w:sz w:val="22"/>
          <w:szCs w:val="22"/>
        </w:rPr>
        <w:t>Per entrambi i gruppi di trattamento sono stati osservati incrementi (miglioramenti) statisticamente significativi dell’Indice di Massa Corporea e della velocità di accrescimento staturale dal basale alla Settimana 26 e 52.</w:t>
      </w:r>
    </w:p>
    <w:p w:rsidR="00166946" w:rsidRPr="00612824" w:rsidP="00166946" w14:paraId="5DA60141" w14:textId="77777777">
      <w:pPr>
        <w:tabs>
          <w:tab w:val="left" w:pos="567"/>
        </w:tabs>
        <w:jc w:val="both"/>
        <w:rPr>
          <w:sz w:val="22"/>
          <w:szCs w:val="22"/>
        </w:rPr>
      </w:pPr>
    </w:p>
    <w:p w:rsidR="00166946" w:rsidRPr="00612824" w:rsidP="00166946" w14:paraId="448AF14E" w14:textId="77777777">
      <w:pPr>
        <w:tabs>
          <w:tab w:val="left" w:pos="567"/>
        </w:tabs>
        <w:jc w:val="both"/>
        <w:rPr>
          <w:sz w:val="22"/>
          <w:szCs w:val="22"/>
        </w:rPr>
      </w:pPr>
      <w:r w:rsidRPr="00612824">
        <w:rPr>
          <w:sz w:val="22"/>
          <w:szCs w:val="22"/>
        </w:rPr>
        <w:t>In entrambi i gruppi di trattamento sono stati inoltre osservati miglioramenti statisticamente e clinicamente significativi rispetto al basale dei parametri di qualità di vita (incluso IMPACT III).</w:t>
      </w:r>
    </w:p>
    <w:p w:rsidR="00166946" w:rsidRPr="00612824" w:rsidP="00166946" w14:paraId="21581D3F" w14:textId="77777777">
      <w:pPr>
        <w:tabs>
          <w:tab w:val="left" w:pos="567"/>
        </w:tabs>
        <w:jc w:val="both"/>
        <w:rPr>
          <w:sz w:val="22"/>
          <w:szCs w:val="22"/>
        </w:rPr>
      </w:pPr>
    </w:p>
    <w:p w:rsidR="00166946" w:rsidRPr="00D765DF" w:rsidP="00166946" w14:paraId="4C66C08B" w14:textId="77777777">
      <w:pPr>
        <w:rPr>
          <w:sz w:val="22"/>
          <w:szCs w:val="22"/>
        </w:rPr>
      </w:pPr>
      <w:r w:rsidRPr="00612824">
        <w:rPr>
          <w:sz w:val="22"/>
          <w:szCs w:val="22"/>
        </w:rPr>
        <w:t>Cento pazienti (n=100) dello Studio della Malattia di Crohn Pediatrica hanno continuato in uno studio di estensione in aperto a lungo termine. Dopo 5 anni di trattamento con adalimumab, il 74,0% (37/50) dei 50 pazienti rimasti nello studio ha continuato ad essere in remissione clinica e il 92,0% (46/50) dei pazienti ha continuato ad avere la risposta clinica per PCDAI.</w:t>
      </w:r>
    </w:p>
    <w:p w:rsidR="0041314F" w:rsidRPr="00D765DF" w:rsidP="0041314F" w14:paraId="1CF5795A" w14:textId="77777777">
      <w:pPr>
        <w:rPr>
          <w:sz w:val="22"/>
          <w:szCs w:val="22"/>
        </w:rPr>
      </w:pPr>
    </w:p>
    <w:p w:rsidR="00D765DF" w:rsidRPr="00612824" w:rsidP="00A60A0D" w14:paraId="103D37E8" w14:textId="77777777">
      <w:pPr>
        <w:pStyle w:val="gtcbodytext"/>
        <w:keepNext/>
        <w:spacing w:before="0" w:after="0" w:line="240" w:lineRule="auto"/>
        <w:rPr>
          <w:bCs/>
          <w:i/>
          <w:sz w:val="22"/>
          <w:szCs w:val="22"/>
          <w:lang w:val="it-IT"/>
        </w:rPr>
      </w:pPr>
      <w:r w:rsidRPr="00612824">
        <w:rPr>
          <w:bCs/>
          <w:i/>
          <w:sz w:val="22"/>
          <w:szCs w:val="22"/>
          <w:lang w:val="it-IT"/>
        </w:rPr>
        <w:t>Uveite pediatrica</w:t>
      </w:r>
    </w:p>
    <w:p w:rsidR="00D765DF" w:rsidRPr="00612824" w:rsidP="00A60A0D" w14:paraId="17967A54" w14:textId="77777777">
      <w:pPr>
        <w:pStyle w:val="gtcbodytext"/>
        <w:keepNext/>
        <w:spacing w:before="0" w:after="0" w:line="240" w:lineRule="auto"/>
        <w:rPr>
          <w:bCs/>
          <w:sz w:val="22"/>
          <w:szCs w:val="22"/>
          <w:lang w:val="it-IT"/>
        </w:rPr>
      </w:pPr>
    </w:p>
    <w:p w:rsidR="00D765DF" w:rsidRPr="00612824" w:rsidP="00D765DF" w14:paraId="02DFA117" w14:textId="77777777">
      <w:pPr>
        <w:pStyle w:val="gtcbodytext"/>
        <w:spacing w:before="0" w:after="0" w:line="240" w:lineRule="auto"/>
        <w:rPr>
          <w:bCs/>
          <w:sz w:val="22"/>
          <w:szCs w:val="22"/>
          <w:lang w:val="it-IT"/>
        </w:rPr>
      </w:pPr>
      <w:r w:rsidRPr="00612824">
        <w:rPr>
          <w:bCs/>
          <w:sz w:val="22"/>
          <w:szCs w:val="22"/>
          <w:lang w:val="it-IT"/>
        </w:rPr>
        <w:t>La sicurezza e l’efficacia di Humira sono state valutate in uno studio randomizzato, controllato, in doppio cieco su 90 pazienti pediatrici da 2 a &lt;18 anni di età con uveite anteriore non infettiva attiva associata ad artrite idiopatica giovanile (JIA) refrattari ad almeno 12 settimane di trattamento con metotressato. I pazienti hanno ricevuto placebo oppure 20 mg di adalimumab (se &lt;30 kg) o 40 mg di adalimumab (se ≥30 kg) a settimane alterne in combinazione con la loro dose basale di metotressato.</w:t>
      </w:r>
    </w:p>
    <w:p w:rsidR="00D765DF" w:rsidRPr="00612824" w:rsidP="00D765DF" w14:paraId="5833A826" w14:textId="77777777">
      <w:pPr>
        <w:pStyle w:val="gtcbodytext"/>
        <w:spacing w:before="0" w:after="0" w:line="240" w:lineRule="auto"/>
        <w:rPr>
          <w:bCs/>
          <w:sz w:val="22"/>
          <w:szCs w:val="22"/>
          <w:lang w:val="it-IT"/>
        </w:rPr>
      </w:pPr>
    </w:p>
    <w:p w:rsidR="00D765DF" w:rsidRPr="00612824" w:rsidP="00D765DF" w14:paraId="50C6ADDF" w14:textId="77777777">
      <w:pPr>
        <w:pStyle w:val="gtcbodytext"/>
        <w:spacing w:before="0" w:after="0" w:line="240" w:lineRule="auto"/>
        <w:rPr>
          <w:color w:val="000000"/>
          <w:sz w:val="22"/>
          <w:szCs w:val="22"/>
          <w:lang w:val="it-IT"/>
        </w:rPr>
      </w:pPr>
      <w:r w:rsidRPr="00612824">
        <w:rPr>
          <w:color w:val="000000"/>
          <w:sz w:val="22"/>
          <w:szCs w:val="22"/>
          <w:lang w:val="it-IT"/>
        </w:rPr>
        <w:t>L'endpoint primario era il “tempo al fallimento del trattamento”. I criteri che definivano il fallimento del trattamento erano il peggioramento o l’assenza prolungata di un miglioramento dell’infiammazione oculare, il miglioramento parziale con sviluppo di comorbidità oculari prolungate o peggioramento delle comorbidità oculari esistenti, l’uso non consentito di medicinali concomitanti e la sospensione del trattamento per un periodo di tempo prolungato.</w:t>
      </w:r>
    </w:p>
    <w:p w:rsidR="00D765DF" w:rsidRPr="00612824" w:rsidP="00D765DF" w14:paraId="71091C59" w14:textId="77777777">
      <w:pPr>
        <w:pStyle w:val="gtcbodytext"/>
        <w:spacing w:before="0" w:after="0" w:line="240" w:lineRule="auto"/>
        <w:rPr>
          <w:bCs/>
          <w:sz w:val="22"/>
          <w:szCs w:val="22"/>
          <w:lang w:val="it-IT"/>
        </w:rPr>
      </w:pPr>
    </w:p>
    <w:p w:rsidR="00D765DF" w:rsidRPr="00612824" w:rsidP="00D765DF" w14:paraId="05918875" w14:textId="77777777">
      <w:pPr>
        <w:pStyle w:val="EMEAHeadingUnderline"/>
        <w:spacing w:beforeLines="0" w:afterLines="0"/>
        <w:rPr>
          <w:i/>
          <w:lang w:val="it-IT"/>
        </w:rPr>
      </w:pPr>
      <w:r w:rsidRPr="00612824">
        <w:rPr>
          <w:i/>
          <w:lang w:val="it-IT"/>
        </w:rPr>
        <w:t>Risposta clinica</w:t>
      </w:r>
    </w:p>
    <w:p w:rsidR="00D765DF" w:rsidRPr="00612824" w:rsidP="00D765DF" w14:paraId="3B2CA960" w14:textId="77777777">
      <w:pPr>
        <w:pStyle w:val="gtcbodytext"/>
        <w:spacing w:before="0" w:after="0" w:line="240" w:lineRule="auto"/>
        <w:rPr>
          <w:i/>
          <w:sz w:val="22"/>
          <w:szCs w:val="22"/>
          <w:u w:val="single"/>
          <w:lang w:val="it-IT"/>
        </w:rPr>
      </w:pPr>
    </w:p>
    <w:p w:rsidR="00D765DF" w:rsidRPr="00612824" w:rsidP="00D765DF" w14:paraId="3B6A9C8B" w14:textId="77777777">
      <w:pPr>
        <w:pStyle w:val="gtcbodytext"/>
        <w:spacing w:before="0" w:after="0" w:line="240" w:lineRule="auto"/>
        <w:rPr>
          <w:color w:val="000000"/>
          <w:sz w:val="22"/>
          <w:szCs w:val="22"/>
          <w:lang w:val="it-IT"/>
        </w:rPr>
      </w:pPr>
      <w:r w:rsidRPr="00612824">
        <w:rPr>
          <w:bCs/>
          <w:sz w:val="22"/>
          <w:szCs w:val="22"/>
          <w:lang w:val="it-IT"/>
        </w:rPr>
        <w:t xml:space="preserve">Adalimumab ha ritardato in misura significativa il tempo al fallimento del trattamento rispetto al placebo (vedere Figura 2, P &lt;0,0001 </w:t>
      </w:r>
      <w:r w:rsidRPr="00612824">
        <w:rPr>
          <w:color w:val="000000"/>
          <w:sz w:val="22"/>
          <w:szCs w:val="22"/>
          <w:lang w:val="it-IT"/>
        </w:rPr>
        <w:t>dal test dei ranghi logaritmici). La mediana del tempo al fallimento del trattamento è stata di 24,1 settimane per i soggetti trattati con placebo, mentre la mediana del tempo al fallimento del trattamento è risultata non valutabile per i soggetti trattati con adalimumab in quanto meno di metà di questi soggetti è andata incontro a fallimento del trattamento. Adalimumab ha ridotto in maniera significativa il rischio di fallimento del trattamento nella misura del 75% rispetto al placebo, come evidenziato dal rapporto di rischio (HR = 0,25 [IC al 95%: 0,12; 0,49]).</w:t>
      </w:r>
    </w:p>
    <w:p w:rsidR="00D765DF" w:rsidRPr="00612824" w:rsidP="00D765DF" w14:paraId="04046414" w14:textId="77777777">
      <w:pPr>
        <w:pStyle w:val="gtcbodytext"/>
        <w:spacing w:before="0" w:after="0" w:line="240" w:lineRule="auto"/>
        <w:rPr>
          <w:bCs/>
          <w:sz w:val="22"/>
          <w:szCs w:val="22"/>
          <w:lang w:val="it-IT"/>
        </w:rPr>
      </w:pPr>
    </w:p>
    <w:p w:rsidR="00D765DF" w:rsidRPr="00612824" w:rsidP="00D765DF" w14:paraId="3780161A" w14:textId="77777777">
      <w:pPr>
        <w:keepNext/>
        <w:tabs>
          <w:tab w:val="left" w:pos="562"/>
        </w:tabs>
        <w:suppressAutoHyphens/>
        <w:jc w:val="center"/>
        <w:rPr>
          <w:b/>
          <w:sz w:val="22"/>
          <w:szCs w:val="22"/>
          <w:lang w:eastAsia="en-US"/>
        </w:rPr>
      </w:pPr>
      <w:r w:rsidRPr="00612824">
        <w:rPr>
          <w:b/>
          <w:sz w:val="22"/>
          <w:szCs w:val="22"/>
        </w:rPr>
        <w:t xml:space="preserve">Figura 2: </w:t>
      </w:r>
      <w:r w:rsidRPr="00612824">
        <w:rPr>
          <w:b/>
          <w:sz w:val="22"/>
          <w:szCs w:val="22"/>
          <w:lang w:eastAsia="en-US"/>
        </w:rPr>
        <w:t>curve di Kaplan-Meier del tempo al fallimento del trattamento nello studio sull’uveite pediatrica</w:t>
      </w:r>
    </w:p>
    <w:p w:rsidR="00D765DF" w:rsidRPr="00612824" w:rsidP="00D765DF" w14:paraId="47DCBE2F" w14:textId="77777777">
      <w:pPr>
        <w:keepNext/>
        <w:tabs>
          <w:tab w:val="left" w:pos="562"/>
        </w:tabs>
        <w:suppressAutoHyphens/>
        <w:jc w:val="center"/>
        <w:rPr>
          <w:b/>
          <w:sz w:val="22"/>
          <w:szCs w:val="22"/>
          <w:lang w:eastAsia="en-US"/>
        </w:rPr>
      </w:pPr>
    </w:p>
    <w:tbl>
      <w:tblPr>
        <w:tblW w:w="9288" w:type="dxa"/>
        <w:tblLayout w:type="fixed"/>
        <w:tblLook w:val="04A0"/>
      </w:tblPr>
      <w:tblGrid>
        <w:gridCol w:w="468"/>
        <w:gridCol w:w="3510"/>
        <w:gridCol w:w="1170"/>
        <w:gridCol w:w="1350"/>
        <w:gridCol w:w="900"/>
        <w:gridCol w:w="1890"/>
      </w:tblGrid>
      <w:tr w14:paraId="481CB889" w14:textId="77777777" w:rsidTr="00BB70B7">
        <w:tblPrEx>
          <w:tblW w:w="9288" w:type="dxa"/>
          <w:tblLayout w:type="fixed"/>
          <w:tblLook w:val="04A0"/>
        </w:tblPrEx>
        <w:trPr>
          <w:cantSplit/>
          <w:trHeight w:val="3806"/>
        </w:trPr>
        <w:tc>
          <w:tcPr>
            <w:tcW w:w="468" w:type="dxa"/>
            <w:textDirection w:val="btLr"/>
            <w:vAlign w:val="bottom"/>
          </w:tcPr>
          <w:p w:rsidR="00D765DF" w:rsidRPr="00612824" w:rsidP="00BB70B7" w14:paraId="7A78E9A3" w14:textId="77777777">
            <w:pPr>
              <w:pStyle w:val="EMEANormal"/>
              <w:keepNext/>
              <w:ind w:left="113" w:right="113"/>
              <w:jc w:val="center"/>
              <w:rPr>
                <w:b/>
                <w:lang w:val="it-IT"/>
              </w:rPr>
            </w:pPr>
            <w:r w:rsidRPr="00612824">
              <w:rPr>
                <w:b/>
                <w:lang w:val="it-IT"/>
              </w:rPr>
              <w:t>P</w:t>
            </w:r>
            <w:r w:rsidRPr="00612824">
              <w:rPr>
                <w:b/>
                <w:caps/>
                <w:lang w:val="it-IT"/>
              </w:rPr>
              <w:t>ROBABILITà di fallimento del trattamento</w:t>
            </w:r>
          </w:p>
        </w:tc>
        <w:tc>
          <w:tcPr>
            <w:tcW w:w="8820" w:type="dxa"/>
            <w:gridSpan w:val="5"/>
            <w:vAlign w:val="bottom"/>
          </w:tcPr>
          <w:p w:rsidR="00D765DF" w:rsidRPr="00612824" w:rsidP="00BB70B7" w14:paraId="0BA806E2" w14:textId="77777777">
            <w:pPr>
              <w:pStyle w:val="EMEANormal"/>
              <w:keepNext/>
              <w:rPr>
                <w:lang w:val="it-IT"/>
              </w:rPr>
            </w:pPr>
            <w:r w:rsidRPr="003B3A5A">
              <w:rPr>
                <w:noProof/>
                <w:lang w:val="en-GB"/>
              </w:rPr>
              <w:drawing>
                <wp:inline distT="0" distB="0" distL="0" distR="0">
                  <wp:extent cx="5486400" cy="4552950"/>
                  <wp:effectExtent l="0" t="0" r="0" b="0"/>
                  <wp:docPr id="145" name="Immagine 56"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 descr="Humira PED UV KM Curve REVISED 3"/>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14:paraId="555F266E" w14:textId="77777777" w:rsidTr="00BB70B7">
        <w:tblPrEx>
          <w:tblW w:w="9288" w:type="dxa"/>
          <w:tblLayout w:type="fixed"/>
          <w:tblLook w:val="04A0"/>
        </w:tblPrEx>
        <w:tc>
          <w:tcPr>
            <w:tcW w:w="468" w:type="dxa"/>
          </w:tcPr>
          <w:p w:rsidR="00D765DF" w:rsidRPr="00612824" w:rsidP="00BB70B7" w14:paraId="10E02E99" w14:textId="77777777">
            <w:pPr>
              <w:pStyle w:val="EMEANormal"/>
              <w:keepNext/>
              <w:rPr>
                <w:lang w:val="it-IT"/>
              </w:rPr>
            </w:pPr>
          </w:p>
        </w:tc>
        <w:tc>
          <w:tcPr>
            <w:tcW w:w="8820" w:type="dxa"/>
            <w:gridSpan w:val="5"/>
          </w:tcPr>
          <w:p w:rsidR="00D765DF" w:rsidRPr="00612824" w:rsidP="00BB70B7" w14:paraId="03685A5C" w14:textId="77777777">
            <w:pPr>
              <w:pStyle w:val="EMEANormal"/>
              <w:keepNext/>
              <w:jc w:val="center"/>
              <w:rPr>
                <w:b/>
                <w:lang w:val="it-IT"/>
              </w:rPr>
            </w:pPr>
            <w:r w:rsidRPr="00612824">
              <w:rPr>
                <w:b/>
                <w:lang w:val="it-IT"/>
              </w:rPr>
              <w:t>TEMPO (SETTIMANE)</w:t>
            </w:r>
          </w:p>
        </w:tc>
      </w:tr>
      <w:tr w14:paraId="6498FC2A" w14:textId="77777777" w:rsidTr="00BB70B7">
        <w:tblPrEx>
          <w:tblW w:w="9288" w:type="dxa"/>
          <w:tblLayout w:type="fixed"/>
          <w:tblLook w:val="04A0"/>
        </w:tblPrEx>
        <w:tc>
          <w:tcPr>
            <w:tcW w:w="468" w:type="dxa"/>
          </w:tcPr>
          <w:p w:rsidR="00D765DF" w:rsidRPr="00612824" w:rsidP="00BB70B7" w14:paraId="3E522DD7" w14:textId="77777777">
            <w:pPr>
              <w:pStyle w:val="EMEANormal"/>
              <w:keepNext/>
              <w:rPr>
                <w:lang w:val="it-IT"/>
              </w:rPr>
            </w:pPr>
          </w:p>
        </w:tc>
        <w:tc>
          <w:tcPr>
            <w:tcW w:w="3510" w:type="dxa"/>
          </w:tcPr>
          <w:p w:rsidR="00D765DF" w:rsidRPr="00612824" w:rsidP="00BB70B7" w14:paraId="71B56FD0" w14:textId="77777777">
            <w:pPr>
              <w:pStyle w:val="EMEANormal"/>
              <w:keepNext/>
              <w:rPr>
                <w:lang w:val="it-IT"/>
              </w:rPr>
            </w:pPr>
            <w:r w:rsidRPr="00612824">
              <w:rPr>
                <w:lang w:val="it-IT"/>
              </w:rPr>
              <w:t>Trattamento</w:t>
            </w:r>
          </w:p>
        </w:tc>
        <w:tc>
          <w:tcPr>
            <w:tcW w:w="1170" w:type="dxa"/>
            <w:vAlign w:val="bottom"/>
          </w:tcPr>
          <w:p w:rsidR="00D765DF" w:rsidRPr="00612824" w:rsidP="00BB70B7" w14:paraId="588F6F2E" w14:textId="77777777">
            <w:pPr>
              <w:pStyle w:val="EMEANormal"/>
              <w:keepNext/>
              <w:jc w:val="center"/>
              <w:rPr>
                <w:lang w:val="it-IT"/>
              </w:rPr>
            </w:pPr>
            <w:r w:rsidRPr="003B3A5A">
              <w:rPr>
                <w:noProof/>
                <w:lang w:val="en-GB"/>
              </w:rPr>
              <w:drawing>
                <wp:inline distT="0" distB="0" distL="0" distR="0">
                  <wp:extent cx="457200" cy="123825"/>
                  <wp:effectExtent l="0" t="0" r="0" b="0"/>
                  <wp:docPr id="146" name="Immagine 55"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2" descr="Humira PED UV KM Curve 11"/>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tcPr>
          <w:p w:rsidR="00D765DF" w:rsidRPr="00612824" w:rsidP="00BB70B7" w14:paraId="11A911DA" w14:textId="77777777">
            <w:pPr>
              <w:pStyle w:val="EMEANormal"/>
              <w:keepNext/>
              <w:rPr>
                <w:lang w:val="it-IT"/>
              </w:rPr>
            </w:pPr>
            <w:r w:rsidRPr="00612824">
              <w:rPr>
                <w:lang w:val="it-IT"/>
              </w:rPr>
              <w:t>Placebo</w:t>
            </w:r>
          </w:p>
        </w:tc>
        <w:tc>
          <w:tcPr>
            <w:tcW w:w="900" w:type="dxa"/>
            <w:vAlign w:val="center"/>
          </w:tcPr>
          <w:p w:rsidR="00D765DF" w:rsidRPr="00612824" w:rsidP="00BB70B7" w14:paraId="1E1E9F61" w14:textId="77777777">
            <w:pPr>
              <w:pStyle w:val="EMEANormal"/>
              <w:keepNext/>
              <w:rPr>
                <w:lang w:val="it-IT"/>
              </w:rPr>
            </w:pPr>
            <w:r w:rsidRPr="003B3A5A">
              <w:rPr>
                <w:noProof/>
                <w:lang w:val="en-GB"/>
              </w:rPr>
              <w:drawing>
                <wp:inline distT="0" distB="0" distL="0" distR="0">
                  <wp:extent cx="457200" cy="85725"/>
                  <wp:effectExtent l="0" t="0" r="0" b="0"/>
                  <wp:docPr id="147" name="Immagine 54"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3" descr="Humira PED UV KM Curve 11"/>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tcPr>
          <w:p w:rsidR="00D765DF" w:rsidRPr="00612824" w:rsidP="00BB70B7" w14:paraId="17D51525" w14:textId="77777777">
            <w:pPr>
              <w:pStyle w:val="EMEANormal"/>
              <w:keepNext/>
              <w:rPr>
                <w:lang w:val="it-IT"/>
              </w:rPr>
            </w:pPr>
            <w:r w:rsidRPr="00612824">
              <w:rPr>
                <w:lang w:val="it-IT"/>
              </w:rPr>
              <w:t>Adalimumab</w:t>
            </w:r>
          </w:p>
        </w:tc>
      </w:tr>
      <w:tr w14:paraId="2A2C4FA2" w14:textId="77777777" w:rsidTr="00BB70B7">
        <w:tblPrEx>
          <w:tblW w:w="9288" w:type="dxa"/>
          <w:tblLayout w:type="fixed"/>
          <w:tblLook w:val="04A0"/>
        </w:tblPrEx>
        <w:tc>
          <w:tcPr>
            <w:tcW w:w="468" w:type="dxa"/>
          </w:tcPr>
          <w:p w:rsidR="00D765DF" w:rsidRPr="00612824" w:rsidP="00BB70B7" w14:paraId="5C0EBB49" w14:textId="77777777">
            <w:pPr>
              <w:pStyle w:val="EMEANormal"/>
              <w:rPr>
                <w:lang w:val="it-IT"/>
              </w:rPr>
            </w:pPr>
          </w:p>
        </w:tc>
        <w:tc>
          <w:tcPr>
            <w:tcW w:w="8820" w:type="dxa"/>
            <w:gridSpan w:val="5"/>
          </w:tcPr>
          <w:p w:rsidR="00D765DF" w:rsidRPr="00612824" w:rsidP="00BB70B7" w14:paraId="3C33CC2B" w14:textId="77777777">
            <w:pPr>
              <w:pStyle w:val="EMEANormal"/>
              <w:rPr>
                <w:lang w:val="it-IT"/>
              </w:rPr>
            </w:pPr>
            <w:r w:rsidRPr="00612824">
              <w:rPr>
                <w:lang w:val="it-IT"/>
              </w:rPr>
              <w:t>Nota: P = Placebo (Numero a rischio); H = HUMIRA (Numero a rischio).</w:t>
            </w:r>
          </w:p>
        </w:tc>
      </w:tr>
    </w:tbl>
    <w:p w:rsidR="00D765DF" w:rsidP="0041314F" w14:paraId="00F7D4AB" w14:textId="77777777">
      <w:pPr>
        <w:rPr>
          <w:sz w:val="22"/>
          <w:szCs w:val="22"/>
        </w:rPr>
      </w:pPr>
    </w:p>
    <w:p w:rsidR="00157870" w:rsidRPr="00295E71" w:rsidP="00A60A0D" w14:paraId="3EA65D4B" w14:textId="77777777">
      <w:pPr>
        <w:keepNext/>
        <w:numPr>
          <w:ilvl w:val="1"/>
          <w:numId w:val="2"/>
        </w:numPr>
        <w:tabs>
          <w:tab w:val="left" w:pos="567"/>
          <w:tab w:val="clear" w:pos="570"/>
        </w:tabs>
        <w:jc w:val="both"/>
        <w:rPr>
          <w:b/>
          <w:bCs/>
          <w:sz w:val="22"/>
          <w:szCs w:val="22"/>
        </w:rPr>
      </w:pPr>
      <w:r w:rsidRPr="00295E71">
        <w:rPr>
          <w:b/>
          <w:bCs/>
          <w:sz w:val="22"/>
          <w:szCs w:val="22"/>
        </w:rPr>
        <w:t>Proprietà farmacocinetiche</w:t>
      </w:r>
    </w:p>
    <w:p w:rsidR="00157870" w:rsidRPr="00295E71" w:rsidP="00157870" w14:paraId="0F55D06E" w14:textId="77777777">
      <w:pPr>
        <w:tabs>
          <w:tab w:val="left" w:pos="567"/>
        </w:tabs>
        <w:jc w:val="both"/>
        <w:rPr>
          <w:sz w:val="22"/>
          <w:szCs w:val="22"/>
        </w:rPr>
      </w:pPr>
    </w:p>
    <w:p w:rsidR="00157870" w:rsidRPr="00295E71" w:rsidP="00157870" w14:paraId="6A29C428" w14:textId="77777777">
      <w:pPr>
        <w:tabs>
          <w:tab w:val="left" w:pos="567"/>
        </w:tabs>
        <w:autoSpaceDE w:val="0"/>
        <w:autoSpaceDN w:val="0"/>
        <w:adjustRightInd w:val="0"/>
        <w:jc w:val="both"/>
        <w:rPr>
          <w:color w:val="000000"/>
          <w:sz w:val="22"/>
          <w:szCs w:val="22"/>
          <w:u w:val="single"/>
        </w:rPr>
      </w:pPr>
      <w:r w:rsidRPr="00295E71">
        <w:rPr>
          <w:color w:val="000000"/>
          <w:sz w:val="22"/>
          <w:szCs w:val="22"/>
          <w:u w:val="single"/>
        </w:rPr>
        <w:t>Assorbimento e distribuzione</w:t>
      </w:r>
    </w:p>
    <w:p w:rsidR="00157870" w:rsidRPr="00295E71" w:rsidP="00157870" w14:paraId="5F571536" w14:textId="77777777">
      <w:pPr>
        <w:tabs>
          <w:tab w:val="left" w:pos="567"/>
        </w:tabs>
        <w:autoSpaceDE w:val="0"/>
        <w:autoSpaceDN w:val="0"/>
        <w:adjustRightInd w:val="0"/>
        <w:jc w:val="both"/>
        <w:rPr>
          <w:color w:val="000000"/>
          <w:sz w:val="22"/>
          <w:szCs w:val="22"/>
        </w:rPr>
      </w:pPr>
    </w:p>
    <w:p w:rsidR="00157870" w:rsidRPr="00295E71" w:rsidP="00157870" w14:paraId="2AD59AED" w14:textId="77777777">
      <w:pPr>
        <w:tabs>
          <w:tab w:val="left" w:pos="567"/>
        </w:tabs>
        <w:autoSpaceDE w:val="0"/>
        <w:autoSpaceDN w:val="0"/>
        <w:adjustRightInd w:val="0"/>
        <w:jc w:val="both"/>
        <w:rPr>
          <w:color w:val="000000"/>
          <w:sz w:val="22"/>
          <w:szCs w:val="22"/>
        </w:rPr>
      </w:pPr>
      <w:r w:rsidRPr="00295E71">
        <w:rPr>
          <w:color w:val="000000"/>
          <w:sz w:val="22"/>
          <w:szCs w:val="22"/>
        </w:rPr>
        <w:t>Dopo la somministrazione sottocutanea di 24 mg/m</w:t>
      </w:r>
      <w:r w:rsidRPr="00295E71">
        <w:rPr>
          <w:color w:val="000000"/>
          <w:sz w:val="22"/>
          <w:szCs w:val="22"/>
          <w:vertAlign w:val="superscript"/>
        </w:rPr>
        <w:t>2</w:t>
      </w:r>
      <w:r w:rsidRPr="00295E71">
        <w:rPr>
          <w:color w:val="000000"/>
          <w:sz w:val="22"/>
          <w:szCs w:val="22"/>
        </w:rPr>
        <w:t xml:space="preserve"> (massimo 40 mg) a settimane alterne a pazienti di età da 4 a 17 anni </w:t>
      </w:r>
      <w:r w:rsidRPr="00295E71" w:rsidR="00224E13">
        <w:rPr>
          <w:color w:val="000000"/>
          <w:sz w:val="22"/>
          <w:szCs w:val="22"/>
        </w:rPr>
        <w:t>con</w:t>
      </w:r>
      <w:r w:rsidRPr="00295E71">
        <w:rPr>
          <w:color w:val="000000"/>
          <w:sz w:val="22"/>
          <w:szCs w:val="22"/>
        </w:rPr>
        <w:t xml:space="preserve"> artrite idiopatica giovanile poliarticolare (JIA) il valore medio minimo all’equilibrio della concentrazione sierica di adalimumab (valori misurati dalla settimana 20 alla 48) è stato di 5,6 </w:t>
      </w:r>
      <w:r w:rsidRPr="00295E71">
        <w:rPr>
          <w:rFonts w:ascii="Symbol" w:hAnsi="Symbol"/>
          <w:color w:val="000000"/>
          <w:sz w:val="22"/>
          <w:szCs w:val="22"/>
        </w:rPr>
        <w:sym w:font="Symbol" w:char="F0B1"/>
      </w:r>
      <w:r w:rsidRPr="00295E71">
        <w:rPr>
          <w:color w:val="000000"/>
          <w:sz w:val="22"/>
          <w:szCs w:val="22"/>
        </w:rPr>
        <w:t> 5,6 µg/ml (102% CV) con adalimumab senza l’uso concomitante di metotressato e di 10,9 </w:t>
      </w:r>
      <w:r w:rsidRPr="00295E71">
        <w:rPr>
          <w:rFonts w:ascii="Symbol" w:hAnsi="Symbol"/>
          <w:color w:val="000000"/>
          <w:sz w:val="22"/>
          <w:szCs w:val="22"/>
        </w:rPr>
        <w:sym w:font="Symbol" w:char="F0B1"/>
      </w:r>
      <w:r w:rsidRPr="00295E71">
        <w:rPr>
          <w:color w:val="000000"/>
          <w:sz w:val="22"/>
          <w:szCs w:val="22"/>
        </w:rPr>
        <w:t> 5,2 µg/ml (47,7% CV) in co</w:t>
      </w:r>
      <w:r w:rsidRPr="00295E71" w:rsidR="0066449A">
        <w:rPr>
          <w:color w:val="000000"/>
          <w:sz w:val="22"/>
          <w:szCs w:val="22"/>
        </w:rPr>
        <w:t>-</w:t>
      </w:r>
      <w:r w:rsidRPr="00295E71">
        <w:rPr>
          <w:color w:val="000000"/>
          <w:sz w:val="22"/>
          <w:szCs w:val="22"/>
        </w:rPr>
        <w:t>somministrazione con metotressato.</w:t>
      </w:r>
    </w:p>
    <w:p w:rsidR="00157870" w:rsidRPr="00295E71" w:rsidP="00157870" w14:paraId="5FA5358F" w14:textId="77777777">
      <w:pPr>
        <w:tabs>
          <w:tab w:val="left" w:pos="567"/>
        </w:tabs>
        <w:autoSpaceDE w:val="0"/>
        <w:autoSpaceDN w:val="0"/>
        <w:adjustRightInd w:val="0"/>
        <w:jc w:val="both"/>
        <w:rPr>
          <w:color w:val="000000"/>
          <w:sz w:val="22"/>
          <w:szCs w:val="22"/>
        </w:rPr>
      </w:pPr>
    </w:p>
    <w:p w:rsidR="00157870" w:rsidRPr="00295E71" w:rsidP="00157870" w14:paraId="6004A961" w14:textId="77777777">
      <w:pPr>
        <w:tabs>
          <w:tab w:val="left" w:pos="567"/>
        </w:tabs>
        <w:autoSpaceDE w:val="0"/>
        <w:autoSpaceDN w:val="0"/>
        <w:adjustRightInd w:val="0"/>
        <w:jc w:val="both"/>
        <w:rPr>
          <w:color w:val="000000"/>
          <w:sz w:val="22"/>
          <w:szCs w:val="22"/>
        </w:rPr>
      </w:pPr>
      <w:r w:rsidRPr="00295E71">
        <w:rPr>
          <w:color w:val="000000"/>
          <w:sz w:val="22"/>
          <w:szCs w:val="22"/>
        </w:rPr>
        <w:t>Nei pazienti con JIA poliarticolare di età da 2 a &lt;4 anni o di 4 anni e oltre di peso &lt; 15 kg trattati con adalimumab 24 mg/m</w:t>
      </w:r>
      <w:r w:rsidRPr="00295E71">
        <w:rPr>
          <w:color w:val="000000"/>
          <w:sz w:val="22"/>
          <w:szCs w:val="22"/>
          <w:vertAlign w:val="superscript"/>
        </w:rPr>
        <w:t>2</w:t>
      </w:r>
      <w:r w:rsidRPr="00295E71">
        <w:rPr>
          <w:color w:val="000000"/>
          <w:sz w:val="22"/>
          <w:szCs w:val="22"/>
        </w:rPr>
        <w:t xml:space="preserve"> il valore medio minimo all’equilibrio della concentrazione sierica di adalimumab è stato di 6,0 </w:t>
      </w:r>
      <w:r w:rsidRPr="00295E71">
        <w:rPr>
          <w:rFonts w:ascii="Symbol" w:hAnsi="Symbol"/>
          <w:color w:val="000000"/>
          <w:sz w:val="22"/>
          <w:szCs w:val="22"/>
        </w:rPr>
        <w:sym w:font="Symbol" w:char="F0B1"/>
      </w:r>
      <w:r w:rsidRPr="00295E71">
        <w:rPr>
          <w:color w:val="000000"/>
          <w:sz w:val="22"/>
          <w:szCs w:val="22"/>
        </w:rPr>
        <w:t> 6,1 µg/ml (101% CV) con adalimumab senza l’uso concomitante di metotressato e di 7,9 </w:t>
      </w:r>
      <w:r w:rsidRPr="00295E71">
        <w:rPr>
          <w:rFonts w:ascii="Symbol" w:hAnsi="Symbol"/>
          <w:color w:val="000000"/>
          <w:sz w:val="22"/>
          <w:szCs w:val="22"/>
        </w:rPr>
        <w:sym w:font="Symbol" w:char="F0B1"/>
      </w:r>
      <w:r w:rsidRPr="00295E71">
        <w:rPr>
          <w:color w:val="000000"/>
          <w:sz w:val="22"/>
          <w:szCs w:val="22"/>
        </w:rPr>
        <w:t> 5,6 µg/ml (71,2% CV) in co</w:t>
      </w:r>
      <w:r w:rsidRPr="00295E71" w:rsidR="0066449A">
        <w:rPr>
          <w:color w:val="000000"/>
          <w:sz w:val="22"/>
          <w:szCs w:val="22"/>
        </w:rPr>
        <w:t>-</w:t>
      </w:r>
      <w:r w:rsidRPr="00295E71">
        <w:rPr>
          <w:color w:val="000000"/>
          <w:sz w:val="22"/>
          <w:szCs w:val="22"/>
        </w:rPr>
        <w:t>somministrazione con metotressato.</w:t>
      </w:r>
    </w:p>
    <w:p w:rsidR="00157870" w:rsidRPr="00295E71" w:rsidP="00157870" w14:paraId="2DE2E6CD" w14:textId="77777777">
      <w:pPr>
        <w:pStyle w:val="EMEANormal"/>
        <w:jc w:val="both"/>
        <w:rPr>
          <w:lang w:val="it-IT" w:eastAsia="en-GB"/>
        </w:rPr>
      </w:pPr>
    </w:p>
    <w:p w:rsidR="00157870" w:rsidRPr="00295E71" w:rsidP="00157870" w14:paraId="74BD03E9" w14:textId="77777777">
      <w:pPr>
        <w:pStyle w:val="EMEANormal"/>
        <w:jc w:val="both"/>
        <w:rPr>
          <w:lang w:val="it-IT"/>
        </w:rPr>
      </w:pPr>
      <w:r w:rsidRPr="00295E71">
        <w:rPr>
          <w:lang w:val="it-IT" w:eastAsia="en-GB"/>
        </w:rPr>
        <w:t>A seguito della somministrazione sottocutanea di 24 mg/m</w:t>
      </w:r>
      <w:r w:rsidRPr="00295E71">
        <w:rPr>
          <w:vertAlign w:val="superscript"/>
          <w:lang w:val="it-IT" w:eastAsia="en-GB"/>
        </w:rPr>
        <w:t xml:space="preserve">2 </w:t>
      </w:r>
      <w:r w:rsidRPr="00295E71">
        <w:rPr>
          <w:lang w:val="it-IT" w:eastAsia="en-GB"/>
        </w:rPr>
        <w:t>(massimo 40 mg), a settimane alterne a pazienti di età compresa tra 6 e 17 anni con artrite associata ad entesite, i</w:t>
      </w:r>
      <w:r w:rsidRPr="00295E71">
        <w:rPr>
          <w:color w:val="000000"/>
          <w:lang w:val="it-IT"/>
        </w:rPr>
        <w:t xml:space="preserve">l valore medio minimo delle concentrazioni sieriche di adalimumab allo stato stazionario (valori misurati alla settimana 24) sono stati di </w:t>
      </w:r>
      <w:r w:rsidRPr="00295E71">
        <w:rPr>
          <w:lang w:val="it-IT"/>
        </w:rPr>
        <w:t>8</w:t>
      </w:r>
      <w:r w:rsidR="00DE3314">
        <w:rPr>
          <w:lang w:val="it-IT"/>
        </w:rPr>
        <w:t>,</w:t>
      </w:r>
      <w:r w:rsidRPr="00295E71">
        <w:rPr>
          <w:lang w:val="it-IT"/>
        </w:rPr>
        <w:t>8 ± 6</w:t>
      </w:r>
      <w:r w:rsidR="00DE3314">
        <w:rPr>
          <w:lang w:val="it-IT"/>
        </w:rPr>
        <w:t>,</w:t>
      </w:r>
      <w:r w:rsidRPr="00295E71">
        <w:rPr>
          <w:lang w:val="it-IT"/>
        </w:rPr>
        <w:t>6 μg/ml con adalimumab senza l’uso concomitante di metotressato e di 11</w:t>
      </w:r>
      <w:r w:rsidR="00DE3314">
        <w:rPr>
          <w:lang w:val="it-IT"/>
        </w:rPr>
        <w:t>,</w:t>
      </w:r>
      <w:r w:rsidRPr="00295E71">
        <w:rPr>
          <w:lang w:val="it-IT"/>
        </w:rPr>
        <w:t>8 ± 4</w:t>
      </w:r>
      <w:r w:rsidR="00DE3314">
        <w:rPr>
          <w:lang w:val="it-IT"/>
        </w:rPr>
        <w:t>,</w:t>
      </w:r>
      <w:r w:rsidRPr="00295E71">
        <w:rPr>
          <w:lang w:val="it-IT"/>
        </w:rPr>
        <w:t>3 μg/ml in co</w:t>
      </w:r>
      <w:r w:rsidRPr="00295E71" w:rsidR="0066449A">
        <w:rPr>
          <w:lang w:val="it-IT"/>
        </w:rPr>
        <w:t>-</w:t>
      </w:r>
      <w:r w:rsidRPr="00295E71">
        <w:rPr>
          <w:lang w:val="it-IT"/>
        </w:rPr>
        <w:t>somministrazione con metotressato.</w:t>
      </w:r>
    </w:p>
    <w:p w:rsidR="00157870" w:rsidRPr="00295E71" w:rsidP="00157870" w14:paraId="124BFFC1" w14:textId="77777777">
      <w:pPr>
        <w:pStyle w:val="EMEANormal"/>
        <w:jc w:val="both"/>
        <w:rPr>
          <w:lang w:val="it-IT" w:eastAsia="en-GB"/>
        </w:rPr>
      </w:pPr>
    </w:p>
    <w:p w:rsidR="00157870" w:rsidRPr="00295E71" w:rsidP="00157870" w14:paraId="089F3734" w14:textId="77777777">
      <w:pPr>
        <w:pStyle w:val="EMEANormal"/>
        <w:jc w:val="both"/>
        <w:rPr>
          <w:lang w:val="it-IT"/>
        </w:rPr>
      </w:pPr>
      <w:r w:rsidRPr="00295E71">
        <w:rPr>
          <w:lang w:val="it-IT"/>
        </w:rPr>
        <w:t>Dopo la somministrazione di 0,8 mg/kg (massimo 40 mg) per via sottocutanea a settimane alterne nei pazienti pediatrici con psoriasi cronica a placche, le concentrazioni sieriche medie (±SD) dei livelli minimi di adalimumab allo stato stazionario erano circa 7,4 ± 5,8 µg/ml (79% CV).</w:t>
      </w:r>
    </w:p>
    <w:p w:rsidR="00157870" w:rsidRPr="00295E71" w:rsidP="00157870" w14:paraId="5F15802F" w14:textId="77777777">
      <w:pPr>
        <w:pStyle w:val="EMEANormal"/>
        <w:jc w:val="both"/>
        <w:rPr>
          <w:lang w:val="it-IT" w:eastAsia="en-GB"/>
        </w:rPr>
      </w:pPr>
    </w:p>
    <w:p w:rsidR="00157870" w:rsidRPr="00295E71" w:rsidP="00157870" w14:paraId="56E3710D" w14:textId="77777777">
      <w:pPr>
        <w:pStyle w:val="EMEANormal"/>
        <w:jc w:val="both"/>
        <w:rPr>
          <w:lang w:val="it-IT"/>
        </w:rPr>
      </w:pPr>
      <w:r w:rsidRPr="00295E71">
        <w:rPr>
          <w:lang w:val="it-IT" w:eastAsia="en-GB"/>
        </w:rPr>
        <w:t xml:space="preserve">Nei pazienti pediatrici con MC di grado da moderato a severo, la dose di induzione di adalimumab in aperto era 160/80 mg o 80/40 mg alle settimane 0 e 2, rispettivamente, a seconda del cut-off del peso corporeo a 40 kg. Alla settimana 4, i pazienti erano randomizzati </w:t>
      </w:r>
      <w:r w:rsidRPr="00295E71">
        <w:rPr>
          <w:lang w:val="it-IT"/>
        </w:rPr>
        <w:t xml:space="preserve">1:1 </w:t>
      </w:r>
      <w:r w:rsidRPr="00295E71">
        <w:rPr>
          <w:lang w:val="it-IT" w:eastAsia="en-GB"/>
        </w:rPr>
        <w:t>sulla base del peso corporeo</w:t>
      </w:r>
      <w:r w:rsidRPr="00295E71">
        <w:rPr>
          <w:lang w:val="it-IT"/>
        </w:rPr>
        <w:t xml:space="preserve"> nei gruppi del trattamento di mantenimento o alla Dose Standard (</w:t>
      </w:r>
      <w:r w:rsidRPr="00295E71">
        <w:rPr>
          <w:lang w:val="it-IT" w:eastAsia="en-GB"/>
        </w:rPr>
        <w:t xml:space="preserve">40/20 mg a settimane alterne) </w:t>
      </w:r>
      <w:r w:rsidRPr="00295E71">
        <w:rPr>
          <w:lang w:val="it-IT"/>
        </w:rPr>
        <w:t>o alla Dose Bassa (</w:t>
      </w:r>
      <w:r w:rsidRPr="00295E71">
        <w:rPr>
          <w:lang w:val="it-IT" w:eastAsia="en-GB"/>
        </w:rPr>
        <w:t>20/10 mg a settimane alterne). Le concentrazioni sieriche medie (</w:t>
      </w:r>
      <w:r w:rsidRPr="00295E71">
        <w:rPr>
          <w:rFonts w:eastAsia="Arial Unicode MS"/>
          <w:lang w:val="it-IT"/>
        </w:rPr>
        <w:t>±SD) dei livelli minimi</w:t>
      </w:r>
      <w:r w:rsidRPr="00295E71" w:rsidR="0066449A">
        <w:rPr>
          <w:rFonts w:eastAsia="Arial Unicode MS"/>
          <w:lang w:val="it-IT"/>
        </w:rPr>
        <w:t xml:space="preserve"> </w:t>
      </w:r>
      <w:r w:rsidRPr="00295E71">
        <w:rPr>
          <w:rFonts w:eastAsia="Arial Unicode MS"/>
          <w:lang w:val="it-IT"/>
        </w:rPr>
        <w:t xml:space="preserve">di adalimumab </w:t>
      </w:r>
      <w:r w:rsidRPr="00295E71">
        <w:rPr>
          <w:lang w:val="it-IT" w:eastAsia="en-GB"/>
        </w:rPr>
        <w:t>raggiunte alla settimana 4 erano 15</w:t>
      </w:r>
      <w:r w:rsidR="00DE3314">
        <w:rPr>
          <w:lang w:val="it-IT" w:eastAsia="en-GB"/>
        </w:rPr>
        <w:t>,</w:t>
      </w:r>
      <w:r w:rsidRPr="00295E71">
        <w:rPr>
          <w:lang w:val="it-IT" w:eastAsia="en-GB"/>
        </w:rPr>
        <w:t>7 </w:t>
      </w:r>
      <w:r w:rsidRPr="00295E71">
        <w:rPr>
          <w:rFonts w:eastAsia="Arial Unicode MS"/>
          <w:lang w:val="it-IT"/>
        </w:rPr>
        <w:t>± 6</w:t>
      </w:r>
      <w:r w:rsidR="00DE3314">
        <w:rPr>
          <w:rFonts w:eastAsia="Arial Unicode MS"/>
          <w:lang w:val="it-IT"/>
        </w:rPr>
        <w:t>,</w:t>
      </w:r>
      <w:r w:rsidRPr="00295E71">
        <w:rPr>
          <w:rFonts w:eastAsia="Arial Unicode MS"/>
          <w:lang w:val="it-IT"/>
        </w:rPr>
        <w:t>6 </w:t>
      </w:r>
      <w:r w:rsidRPr="00295E71">
        <w:rPr>
          <w:rFonts w:ascii="Symbol" w:hAnsi="Symbol"/>
          <w:lang w:val="it-IT"/>
        </w:rPr>
        <w:sym w:font="Symbol" w:char="F06D"/>
      </w:r>
      <w:r w:rsidRPr="00295E71">
        <w:rPr>
          <w:lang w:val="it-IT"/>
        </w:rPr>
        <w:t xml:space="preserve">g/ml per i pazienti </w:t>
      </w:r>
      <w:r w:rsidRPr="00295E71" w:rsidR="00B3546E">
        <w:rPr>
          <w:szCs w:val="20"/>
          <w:lang w:val="it-IT"/>
        </w:rPr>
        <w:t xml:space="preserve">≥ </w:t>
      </w:r>
      <w:r w:rsidRPr="00295E71">
        <w:rPr>
          <w:lang w:val="it-IT"/>
        </w:rPr>
        <w:t>40 kg (160/80 mg) e</w:t>
      </w:r>
      <w:r w:rsidR="00DE3314">
        <w:rPr>
          <w:lang w:val="it-IT"/>
        </w:rPr>
        <w:t xml:space="preserve"> </w:t>
      </w:r>
      <w:r w:rsidRPr="00295E71">
        <w:rPr>
          <w:lang w:val="it-IT" w:eastAsia="en-GB"/>
        </w:rPr>
        <w:t>10</w:t>
      </w:r>
      <w:r w:rsidR="00DE3314">
        <w:rPr>
          <w:lang w:val="it-IT" w:eastAsia="en-GB"/>
        </w:rPr>
        <w:t>,</w:t>
      </w:r>
      <w:r w:rsidRPr="00295E71">
        <w:rPr>
          <w:lang w:val="it-IT" w:eastAsia="en-GB"/>
        </w:rPr>
        <w:t>6 </w:t>
      </w:r>
      <w:r w:rsidRPr="00295E71">
        <w:rPr>
          <w:rFonts w:eastAsia="Arial Unicode MS"/>
          <w:lang w:val="it-IT"/>
        </w:rPr>
        <w:t>± 6</w:t>
      </w:r>
      <w:r w:rsidR="00DE3314">
        <w:rPr>
          <w:rFonts w:eastAsia="Arial Unicode MS"/>
          <w:lang w:val="it-IT"/>
        </w:rPr>
        <w:t>,</w:t>
      </w:r>
      <w:r w:rsidRPr="00295E71">
        <w:rPr>
          <w:rFonts w:eastAsia="Arial Unicode MS"/>
          <w:lang w:val="it-IT"/>
        </w:rPr>
        <w:t>1 </w:t>
      </w:r>
      <w:r w:rsidRPr="00295E71">
        <w:rPr>
          <w:rFonts w:ascii="Symbol" w:hAnsi="Symbol"/>
          <w:lang w:val="it-IT"/>
        </w:rPr>
        <w:sym w:font="Symbol" w:char="F06D"/>
      </w:r>
      <w:r w:rsidRPr="00295E71">
        <w:rPr>
          <w:lang w:val="it-IT"/>
        </w:rPr>
        <w:t>g/ml per i pazienti &lt; 40 kg (80/40 mg).</w:t>
      </w:r>
    </w:p>
    <w:p w:rsidR="00157870" w:rsidRPr="00295E71" w:rsidP="00157870" w14:paraId="6E74E1BA" w14:textId="77777777">
      <w:pPr>
        <w:pStyle w:val="EMEANormal"/>
        <w:jc w:val="both"/>
        <w:rPr>
          <w:lang w:val="it-IT" w:eastAsia="en-GB"/>
        </w:rPr>
      </w:pPr>
    </w:p>
    <w:p w:rsidR="00157870" w:rsidRPr="00295E71" w:rsidP="00157870" w14:paraId="15048CE4" w14:textId="77777777">
      <w:pPr>
        <w:pStyle w:val="EMEANormal"/>
        <w:jc w:val="both"/>
        <w:rPr>
          <w:lang w:val="it-IT"/>
        </w:rPr>
      </w:pPr>
      <w:r w:rsidRPr="00295E71">
        <w:rPr>
          <w:rFonts w:eastAsia="Arial Unicode MS"/>
          <w:lang w:val="it-IT"/>
        </w:rPr>
        <w:t xml:space="preserve">Per i pazienti che rimanevano nella loro terapia randomizzata, le concentrazioni medie dei livelli minimi </w:t>
      </w:r>
      <w:r w:rsidRPr="00295E71">
        <w:rPr>
          <w:lang w:val="it-IT" w:eastAsia="en-GB"/>
        </w:rPr>
        <w:t>(</w:t>
      </w:r>
      <w:r w:rsidRPr="00295E71">
        <w:rPr>
          <w:rFonts w:eastAsia="Arial Unicode MS"/>
          <w:lang w:val="it-IT"/>
        </w:rPr>
        <w:t xml:space="preserve">±SD) di </w:t>
      </w:r>
      <w:r w:rsidRPr="00295E71">
        <w:rPr>
          <w:lang w:val="it-IT"/>
        </w:rPr>
        <w:t xml:space="preserve">adalimumab alla settimana 52 erano </w:t>
      </w:r>
      <w:r w:rsidRPr="00295E71">
        <w:rPr>
          <w:rFonts w:eastAsia="Arial Unicode MS"/>
          <w:lang w:val="it-IT"/>
        </w:rPr>
        <w:t>9,5 ± 5,6</w:t>
      </w:r>
      <w:r w:rsidRPr="00295E71">
        <w:rPr>
          <w:lang w:val="it-IT"/>
        </w:rPr>
        <w:t> </w:t>
      </w:r>
      <w:r w:rsidRPr="00295E71">
        <w:rPr>
          <w:rFonts w:ascii="Symbol" w:hAnsi="Symbol"/>
          <w:lang w:val="it-IT"/>
        </w:rPr>
        <w:sym w:font="Symbol" w:char="F06D"/>
      </w:r>
      <w:r w:rsidRPr="00295E71">
        <w:rPr>
          <w:lang w:val="it-IT"/>
        </w:rPr>
        <w:t xml:space="preserve">g/ml per il gruppo a Dose Standard e </w:t>
      </w:r>
      <w:r w:rsidRPr="00295E71">
        <w:rPr>
          <w:rFonts w:eastAsia="Arial Unicode MS"/>
          <w:lang w:val="it-IT"/>
        </w:rPr>
        <w:t>3,5 ± 2,2</w:t>
      </w:r>
      <w:r w:rsidRPr="00295E71">
        <w:rPr>
          <w:lang w:val="it-IT"/>
        </w:rPr>
        <w:t> </w:t>
      </w:r>
      <w:r w:rsidRPr="00295E71">
        <w:rPr>
          <w:rFonts w:ascii="Symbol" w:hAnsi="Symbol"/>
          <w:lang w:val="it-IT"/>
        </w:rPr>
        <w:sym w:font="Symbol" w:char="F06D"/>
      </w:r>
      <w:r w:rsidRPr="00295E71">
        <w:rPr>
          <w:lang w:val="it-IT"/>
        </w:rPr>
        <w:t>g/ml per il gruppo a Bassa Dose. Le concentrazioni medie</w:t>
      </w:r>
      <w:r w:rsidRPr="00295E71">
        <w:rPr>
          <w:rFonts w:eastAsia="Arial Unicode MS"/>
          <w:lang w:val="it-IT"/>
        </w:rPr>
        <w:t xml:space="preserve"> dei livelli minimi </w:t>
      </w:r>
      <w:r w:rsidRPr="00295E71">
        <w:rPr>
          <w:lang w:val="it-IT" w:eastAsia="en-GB"/>
        </w:rPr>
        <w:t>erano mantenute nei pazienti che continuavano a ricevere il trattamento di adalimumab a settimane alterne per 52 settimane. Per i pazienti che aumentavano la dose da un regime a settimane alterne a uno settimanale</w:t>
      </w:r>
      <w:r w:rsidRPr="00295E71">
        <w:rPr>
          <w:lang w:val="it-IT"/>
        </w:rPr>
        <w:t xml:space="preserve">, le concentrazioni sieriche medie </w:t>
      </w:r>
      <w:r w:rsidRPr="00295E71">
        <w:rPr>
          <w:lang w:val="it-IT" w:eastAsia="en-GB"/>
        </w:rPr>
        <w:t>(</w:t>
      </w:r>
      <w:r w:rsidRPr="00295E71">
        <w:rPr>
          <w:rFonts w:eastAsia="Arial Unicode MS"/>
          <w:lang w:val="it-IT"/>
        </w:rPr>
        <w:t xml:space="preserve">±SD) di adalimumab alla settimana 52 erano </w:t>
      </w:r>
      <w:r w:rsidRPr="00295E71">
        <w:rPr>
          <w:lang w:val="it-IT"/>
        </w:rPr>
        <w:t>15,3 </w:t>
      </w:r>
      <w:r w:rsidRPr="00295E71">
        <w:rPr>
          <w:rFonts w:eastAsia="Arial Unicode MS"/>
          <w:lang w:val="it-IT"/>
        </w:rPr>
        <w:t>± 11,4</w:t>
      </w:r>
      <w:r w:rsidRPr="00295E71">
        <w:rPr>
          <w:lang w:val="it-IT"/>
        </w:rPr>
        <w:t> μg/ml (40/20 mg, a settimana) e 6,7 </w:t>
      </w:r>
      <w:r w:rsidRPr="00295E71">
        <w:rPr>
          <w:rFonts w:eastAsia="Arial Unicode MS"/>
          <w:lang w:val="it-IT"/>
        </w:rPr>
        <w:t>± 3,5 </w:t>
      </w:r>
      <w:r w:rsidRPr="00295E71">
        <w:rPr>
          <w:lang w:val="it-IT"/>
        </w:rPr>
        <w:t>μg/ml (20/10 mg, a settimana).</w:t>
      </w:r>
    </w:p>
    <w:p w:rsidR="00157870" w:rsidRPr="00295E71" w:rsidP="00157870" w14:paraId="6A9DC517" w14:textId="77777777">
      <w:pPr>
        <w:pStyle w:val="EMEANormal"/>
        <w:jc w:val="both"/>
        <w:rPr>
          <w:iCs/>
          <w:lang w:val="it-IT"/>
        </w:rPr>
      </w:pPr>
    </w:p>
    <w:p w:rsidR="00157870" w:rsidRPr="00295E71" w:rsidP="00157870" w14:paraId="419F0163" w14:textId="77777777">
      <w:pPr>
        <w:pStyle w:val="EMEANormal"/>
        <w:jc w:val="both"/>
        <w:rPr>
          <w:iCs/>
          <w:lang w:val="it-IT"/>
        </w:rPr>
      </w:pPr>
      <w:r w:rsidRPr="00295E71">
        <w:rPr>
          <w:iCs/>
          <w:lang w:val="it-IT"/>
        </w:rPr>
        <w:t>L’esposizione ad adalimumab nei pazienti pediatrici con uveite è stata predetta usando modelli e simulazione farmacocinetica di popolazione basati sulla farmacocinetica cross-indicazione in altri pazienti pediatrici (psoriasi pediatrica, artrite idiopatica giovanile, malattia di Crohn pediatrica e artrite associata ad entesite). Non sono disponibili dati sull’esposizione clinica relativi all’uso di una dose di carico nei bambini di età inferiore a 6 anni. Le esposizioni previste indicano che in assenza di metotressato una dose di carico potrebbe causare un aumento iniziale dell’esposizione sistemica.</w:t>
      </w:r>
    </w:p>
    <w:p w:rsidR="00996365" w:rsidRPr="00295E71" w:rsidP="00157870" w14:paraId="0C04FA60" w14:textId="77777777">
      <w:pPr>
        <w:tabs>
          <w:tab w:val="left" w:pos="567"/>
        </w:tabs>
        <w:autoSpaceDE w:val="0"/>
        <w:autoSpaceDN w:val="0"/>
        <w:adjustRightInd w:val="0"/>
        <w:jc w:val="both"/>
        <w:rPr>
          <w:color w:val="000000"/>
          <w:sz w:val="22"/>
          <w:szCs w:val="22"/>
        </w:rPr>
      </w:pPr>
    </w:p>
    <w:p w:rsidR="00157870" w:rsidRPr="00295E71" w:rsidP="00222EA4" w14:paraId="3605EC53" w14:textId="77777777">
      <w:pPr>
        <w:keepNext/>
        <w:tabs>
          <w:tab w:val="left" w:pos="567"/>
        </w:tabs>
        <w:autoSpaceDE w:val="0"/>
        <w:autoSpaceDN w:val="0"/>
        <w:adjustRightInd w:val="0"/>
        <w:jc w:val="both"/>
        <w:rPr>
          <w:color w:val="000000"/>
          <w:sz w:val="22"/>
          <w:szCs w:val="22"/>
          <w:u w:val="single"/>
        </w:rPr>
      </w:pPr>
      <w:r w:rsidRPr="00295E71">
        <w:rPr>
          <w:color w:val="000000"/>
          <w:sz w:val="22"/>
          <w:szCs w:val="22"/>
          <w:u w:val="single"/>
        </w:rPr>
        <w:t>Rapporto esposizione-risposta nella popolazione pediatrica</w:t>
      </w:r>
    </w:p>
    <w:p w:rsidR="00157870" w:rsidRPr="00295E71" w:rsidP="00222EA4" w14:paraId="1C47EF84" w14:textId="77777777">
      <w:pPr>
        <w:keepNext/>
        <w:tabs>
          <w:tab w:val="left" w:pos="567"/>
        </w:tabs>
        <w:autoSpaceDE w:val="0"/>
        <w:autoSpaceDN w:val="0"/>
        <w:adjustRightInd w:val="0"/>
        <w:jc w:val="both"/>
        <w:rPr>
          <w:color w:val="000000"/>
          <w:sz w:val="22"/>
          <w:szCs w:val="22"/>
        </w:rPr>
      </w:pPr>
    </w:p>
    <w:p w:rsidR="00157870" w:rsidRPr="00295E71" w:rsidP="00222EA4" w14:paraId="0EBC59BF" w14:textId="77777777">
      <w:pPr>
        <w:keepNext/>
        <w:tabs>
          <w:tab w:val="left" w:pos="567"/>
        </w:tabs>
        <w:autoSpaceDE w:val="0"/>
        <w:autoSpaceDN w:val="0"/>
        <w:adjustRightInd w:val="0"/>
        <w:jc w:val="both"/>
        <w:rPr>
          <w:color w:val="000000"/>
          <w:sz w:val="22"/>
          <w:szCs w:val="22"/>
        </w:rPr>
      </w:pPr>
      <w:r w:rsidRPr="00295E71">
        <w:rPr>
          <w:color w:val="000000"/>
          <w:sz w:val="22"/>
          <w:szCs w:val="22"/>
        </w:rPr>
        <w:t>Sulla base dei risultati degli studi clinici in pazienti con JIA (pJIA e ERA), è stat</w:t>
      </w:r>
      <w:r w:rsidRPr="00295E71" w:rsidR="00996365">
        <w:rPr>
          <w:color w:val="000000"/>
          <w:sz w:val="22"/>
          <w:szCs w:val="22"/>
        </w:rPr>
        <w:t>o</w:t>
      </w:r>
      <w:r w:rsidRPr="00295E71">
        <w:rPr>
          <w:color w:val="000000"/>
          <w:sz w:val="22"/>
          <w:szCs w:val="22"/>
        </w:rPr>
        <w:t xml:space="preserve"> stabilit</w:t>
      </w:r>
      <w:r w:rsidRPr="00295E71" w:rsidR="00996365">
        <w:rPr>
          <w:color w:val="000000"/>
          <w:sz w:val="22"/>
          <w:szCs w:val="22"/>
        </w:rPr>
        <w:t>o</w:t>
      </w:r>
      <w:r w:rsidRPr="00295E71">
        <w:rPr>
          <w:color w:val="000000"/>
          <w:sz w:val="22"/>
          <w:szCs w:val="22"/>
        </w:rPr>
        <w:t xml:space="preserve"> un rapporto esposizione-risposta tra le concentrazioni plasmatiche e la risposta PedACR 50. La concentrazione </w:t>
      </w:r>
      <w:r w:rsidRPr="00295E71">
        <w:rPr>
          <w:color w:val="000000"/>
          <w:sz w:val="22"/>
          <w:szCs w:val="22"/>
        </w:rPr>
        <w:t>plasmatica apparente di adalimumab che produce metà della massima probabilità di risposta PedACR 50 (EC50) è stata 3 μg/ml (95% IC: 1-6 μg/ml).</w:t>
      </w:r>
    </w:p>
    <w:p w:rsidR="00157870" w:rsidRPr="00295E71" w:rsidP="00222EA4" w14:paraId="6ACBB01A" w14:textId="77777777">
      <w:pPr>
        <w:keepNext/>
        <w:tabs>
          <w:tab w:val="left" w:pos="567"/>
        </w:tabs>
        <w:autoSpaceDE w:val="0"/>
        <w:autoSpaceDN w:val="0"/>
        <w:adjustRightInd w:val="0"/>
        <w:jc w:val="both"/>
        <w:rPr>
          <w:color w:val="000000"/>
          <w:sz w:val="22"/>
          <w:szCs w:val="22"/>
        </w:rPr>
      </w:pPr>
    </w:p>
    <w:p w:rsidR="00157870" w:rsidRPr="00295E71" w:rsidP="00157870" w14:paraId="232FCCBC" w14:textId="77777777">
      <w:pPr>
        <w:tabs>
          <w:tab w:val="left" w:pos="567"/>
        </w:tabs>
        <w:autoSpaceDE w:val="0"/>
        <w:autoSpaceDN w:val="0"/>
        <w:adjustRightInd w:val="0"/>
        <w:jc w:val="both"/>
        <w:rPr>
          <w:color w:val="000000"/>
          <w:sz w:val="22"/>
          <w:szCs w:val="22"/>
        </w:rPr>
      </w:pPr>
      <w:r w:rsidRPr="00295E71">
        <w:rPr>
          <w:color w:val="000000"/>
          <w:sz w:val="22"/>
          <w:szCs w:val="22"/>
        </w:rPr>
        <w:t xml:space="preserve">I rapporti esposizione-risposta tra la concentrazione di adalimumab e l’efficacia in pazienti pediatrici </w:t>
      </w:r>
      <w:r w:rsidRPr="00295E71" w:rsidR="00224E13">
        <w:rPr>
          <w:color w:val="000000"/>
          <w:sz w:val="22"/>
          <w:szCs w:val="22"/>
        </w:rPr>
        <w:t>con</w:t>
      </w:r>
      <w:r w:rsidRPr="00295E71">
        <w:rPr>
          <w:color w:val="000000"/>
          <w:sz w:val="22"/>
          <w:szCs w:val="22"/>
        </w:rPr>
        <w:t xml:space="preserve"> psoriasi cronica a placche di grado severo sono stati stabiliti per PASI 75 e PGA corrispondente a remissione totale della malattia o a persistenza di malattia minima rispettivamente. PASI75 e PGA corrispondente a remissione totale della malattia o a persistenza di malattia minima sono aumentati all’aumentare delle concentrazioni di adalimumab, entrambi con una simile EC50 apparente di circa 4,5 μg/ml (95% IC 0,4-47,6 e 1,9-10,5, rispettivamente).</w:t>
      </w:r>
    </w:p>
    <w:p w:rsidR="00157870" w:rsidRPr="00295E71" w:rsidP="00157870" w14:paraId="7BCE025D" w14:textId="77777777">
      <w:pPr>
        <w:keepNext/>
        <w:tabs>
          <w:tab w:val="left" w:pos="567"/>
        </w:tabs>
        <w:autoSpaceDE w:val="0"/>
        <w:autoSpaceDN w:val="0"/>
        <w:adjustRightInd w:val="0"/>
        <w:jc w:val="both"/>
        <w:rPr>
          <w:color w:val="000000"/>
          <w:sz w:val="22"/>
          <w:szCs w:val="22"/>
          <w:u w:val="single"/>
        </w:rPr>
      </w:pPr>
    </w:p>
    <w:p w:rsidR="00157870" w:rsidRPr="00295E71" w:rsidP="00157870" w14:paraId="293DA139" w14:textId="77777777">
      <w:pPr>
        <w:keepNext/>
        <w:tabs>
          <w:tab w:val="left" w:pos="567"/>
        </w:tabs>
        <w:autoSpaceDE w:val="0"/>
        <w:autoSpaceDN w:val="0"/>
        <w:adjustRightInd w:val="0"/>
        <w:jc w:val="both"/>
        <w:rPr>
          <w:color w:val="000000"/>
          <w:sz w:val="22"/>
          <w:szCs w:val="22"/>
          <w:u w:val="single"/>
        </w:rPr>
      </w:pPr>
      <w:r w:rsidRPr="00295E71">
        <w:rPr>
          <w:color w:val="000000"/>
          <w:sz w:val="22"/>
          <w:szCs w:val="22"/>
          <w:u w:val="single"/>
        </w:rPr>
        <w:t xml:space="preserve">Adulti </w:t>
      </w:r>
    </w:p>
    <w:p w:rsidR="00157870" w:rsidRPr="00295E71" w:rsidP="00157870" w14:paraId="3C5ECFDD" w14:textId="77777777">
      <w:pPr>
        <w:keepNext/>
        <w:tabs>
          <w:tab w:val="left" w:pos="567"/>
        </w:tabs>
        <w:autoSpaceDE w:val="0"/>
        <w:autoSpaceDN w:val="0"/>
        <w:adjustRightInd w:val="0"/>
        <w:jc w:val="both"/>
        <w:rPr>
          <w:color w:val="000000"/>
          <w:sz w:val="22"/>
          <w:szCs w:val="22"/>
        </w:rPr>
      </w:pPr>
    </w:p>
    <w:p w:rsidR="00157870" w:rsidRPr="00295E71" w:rsidP="00157870" w14:paraId="1C59280E" w14:textId="77777777">
      <w:pPr>
        <w:keepNext/>
        <w:tabs>
          <w:tab w:val="left" w:pos="567"/>
        </w:tabs>
        <w:autoSpaceDE w:val="0"/>
        <w:autoSpaceDN w:val="0"/>
        <w:adjustRightInd w:val="0"/>
        <w:jc w:val="both"/>
        <w:rPr>
          <w:color w:val="000000"/>
          <w:sz w:val="22"/>
          <w:szCs w:val="22"/>
        </w:rPr>
      </w:pPr>
      <w:r w:rsidRPr="00295E71">
        <w:rPr>
          <w:color w:val="000000"/>
          <w:sz w:val="22"/>
          <w:szCs w:val="22"/>
        </w:rPr>
        <w:t>Dopo la somministrazione sottocutanea di una singola dose di 40 mg, l’assorbimento e la distribuzione di adalimumab sono stati lenti, con picchi di concentrazione sierica raggiunti circa 5 giorni dopo la somministrazione. La biodisponibilità media assoluta di adalimumab rilevata nei tre studi dopo una dose sottocutanea unica di 40 mg è stata del 64%.</w:t>
      </w:r>
      <w:r w:rsidRPr="00295E71" w:rsidR="0066449A">
        <w:rPr>
          <w:color w:val="000000"/>
          <w:sz w:val="22"/>
          <w:szCs w:val="22"/>
        </w:rPr>
        <w:t xml:space="preserve"> </w:t>
      </w:r>
      <w:r w:rsidRPr="00295E71">
        <w:rPr>
          <w:color w:val="000000"/>
          <w:sz w:val="22"/>
          <w:szCs w:val="22"/>
        </w:rPr>
        <w:t>Dopo dosi endovenose singole da 0,25 a 10 mg/kg, le concentrazioni sono state proporzionali alla dose. Dopo dosi di 0,5 mg/kg (~40 mg), la clearance è variata da 11 a 15 ml/ora, il volume di distribuzione (V</w:t>
      </w:r>
      <w:r w:rsidRPr="00295E71">
        <w:rPr>
          <w:color w:val="000000"/>
          <w:sz w:val="22"/>
          <w:szCs w:val="22"/>
          <w:vertAlign w:val="subscript"/>
        </w:rPr>
        <w:t>ss</w:t>
      </w:r>
      <w:r w:rsidRPr="00295E71">
        <w:rPr>
          <w:color w:val="000000"/>
          <w:sz w:val="22"/>
          <w:szCs w:val="22"/>
        </w:rPr>
        <w:t xml:space="preserve">) è variato dai 5 ai 6 litri, e l’emivita media della fase finale è stata di circa due settimane. Le concentrazioni di adalimumab nel liquido sinoviale in diversi pazienti </w:t>
      </w:r>
      <w:r w:rsidRPr="00295E71" w:rsidR="00224E13">
        <w:rPr>
          <w:color w:val="000000"/>
          <w:sz w:val="22"/>
          <w:szCs w:val="22"/>
        </w:rPr>
        <w:t>con</w:t>
      </w:r>
      <w:r w:rsidRPr="00295E71">
        <w:rPr>
          <w:color w:val="000000"/>
          <w:sz w:val="22"/>
          <w:szCs w:val="22"/>
        </w:rPr>
        <w:t xml:space="preserve"> artrite reumatoide sono </w:t>
      </w:r>
      <w:r w:rsidRPr="00020442" w:rsidR="00DE3314">
        <w:rPr>
          <w:color w:val="000000"/>
          <w:sz w:val="22"/>
          <w:szCs w:val="22"/>
        </w:rPr>
        <w:t>state</w:t>
      </w:r>
      <w:r w:rsidRPr="00295E71">
        <w:rPr>
          <w:color w:val="000000"/>
          <w:sz w:val="22"/>
          <w:szCs w:val="22"/>
        </w:rPr>
        <w:t xml:space="preserve"> del 31-96% rispetto a quelle sieriche.</w:t>
      </w:r>
    </w:p>
    <w:p w:rsidR="00157870" w:rsidRPr="00295E71" w:rsidP="00157870" w14:paraId="2362619A" w14:textId="77777777">
      <w:pPr>
        <w:tabs>
          <w:tab w:val="left" w:pos="567"/>
        </w:tabs>
        <w:autoSpaceDE w:val="0"/>
        <w:autoSpaceDN w:val="0"/>
        <w:adjustRightInd w:val="0"/>
        <w:jc w:val="both"/>
        <w:rPr>
          <w:color w:val="000000"/>
          <w:sz w:val="22"/>
          <w:szCs w:val="22"/>
        </w:rPr>
      </w:pPr>
    </w:p>
    <w:p w:rsidR="00157870" w:rsidRPr="00295E71" w:rsidP="00157870" w14:paraId="1047137C" w14:textId="77777777">
      <w:pPr>
        <w:tabs>
          <w:tab w:val="left" w:pos="567"/>
        </w:tabs>
        <w:autoSpaceDE w:val="0"/>
        <w:autoSpaceDN w:val="0"/>
        <w:adjustRightInd w:val="0"/>
        <w:jc w:val="both"/>
        <w:rPr>
          <w:color w:val="000000"/>
          <w:sz w:val="22"/>
          <w:szCs w:val="22"/>
        </w:rPr>
      </w:pPr>
      <w:r w:rsidRPr="00295E71">
        <w:rPr>
          <w:color w:val="000000"/>
          <w:sz w:val="22"/>
          <w:szCs w:val="22"/>
        </w:rPr>
        <w:t xml:space="preserve">In seguito a somministrazione sottocutanea di 40 mg di adalimumab ogni due settimane in pazienti adulti con artrite reumatoide (AR) le concentrazioni minime all’equilibrio sono state in media di circa 5 </w:t>
      </w:r>
      <w:r w:rsidRPr="00295E71">
        <w:rPr>
          <w:rFonts w:ascii="Symbol" w:hAnsi="Symbol"/>
          <w:color w:val="000000"/>
          <w:sz w:val="22"/>
          <w:szCs w:val="22"/>
        </w:rPr>
        <w:sym w:font="Symbol" w:char="F06D"/>
      </w:r>
      <w:r w:rsidRPr="00295E71">
        <w:rPr>
          <w:color w:val="000000"/>
          <w:sz w:val="22"/>
          <w:szCs w:val="22"/>
        </w:rPr>
        <w:t xml:space="preserve">g/ml (senza terapia concomitante con metotressato) e 8-9 </w:t>
      </w:r>
      <w:r w:rsidRPr="00295E71">
        <w:rPr>
          <w:rFonts w:ascii="Symbol" w:hAnsi="Symbol"/>
          <w:color w:val="000000"/>
          <w:sz w:val="22"/>
          <w:szCs w:val="22"/>
        </w:rPr>
        <w:sym w:font="Symbol" w:char="F06D"/>
      </w:r>
      <w:r w:rsidRPr="00295E71">
        <w:rPr>
          <w:color w:val="000000"/>
          <w:sz w:val="22"/>
          <w:szCs w:val="22"/>
        </w:rPr>
        <w:t>g/ml (in combinazione con metotressato). I livelli sierici minimi di adalimumab all’equilibrio a seguito di dosaggi sottocutanei da 20, 40 e 80 mg ogni 2 settimane o settimanalmente sono aumentati in maniera pressoché dose-dipendente.</w:t>
      </w:r>
    </w:p>
    <w:p w:rsidR="00157870" w:rsidRPr="00295E71" w:rsidP="00157870" w14:paraId="11C33AEA" w14:textId="77777777">
      <w:pPr>
        <w:tabs>
          <w:tab w:val="left" w:pos="567"/>
        </w:tabs>
        <w:autoSpaceDE w:val="0"/>
        <w:autoSpaceDN w:val="0"/>
        <w:adjustRightInd w:val="0"/>
        <w:jc w:val="both"/>
        <w:rPr>
          <w:color w:val="000000"/>
          <w:sz w:val="22"/>
          <w:szCs w:val="22"/>
        </w:rPr>
      </w:pPr>
    </w:p>
    <w:p w:rsidR="00157870" w:rsidRPr="00295E71" w:rsidP="00157870" w14:paraId="09B7E5B3" w14:textId="77777777">
      <w:pPr>
        <w:tabs>
          <w:tab w:val="left" w:pos="567"/>
        </w:tabs>
        <w:autoSpaceDE w:val="0"/>
        <w:autoSpaceDN w:val="0"/>
        <w:adjustRightInd w:val="0"/>
        <w:jc w:val="both"/>
        <w:rPr>
          <w:color w:val="000000"/>
          <w:sz w:val="22"/>
          <w:szCs w:val="22"/>
        </w:rPr>
      </w:pPr>
      <w:r w:rsidRPr="00295E71">
        <w:rPr>
          <w:color w:val="000000"/>
          <w:sz w:val="22"/>
          <w:szCs w:val="22"/>
        </w:rPr>
        <w:t xml:space="preserve">Nei pazienti adulti </w:t>
      </w:r>
      <w:r w:rsidRPr="00295E71" w:rsidR="00224E13">
        <w:rPr>
          <w:color w:val="000000"/>
          <w:sz w:val="22"/>
          <w:szCs w:val="22"/>
        </w:rPr>
        <w:t>con</w:t>
      </w:r>
      <w:r w:rsidRPr="00295E71">
        <w:rPr>
          <w:color w:val="000000"/>
          <w:sz w:val="22"/>
          <w:szCs w:val="22"/>
        </w:rPr>
        <w:t xml:space="preserve"> psoriasi, l</w:t>
      </w:r>
      <w:r w:rsidR="00DE3314">
        <w:rPr>
          <w:color w:val="000000"/>
          <w:sz w:val="22"/>
          <w:szCs w:val="22"/>
        </w:rPr>
        <w:t>a</w:t>
      </w:r>
      <w:r w:rsidRPr="00295E71">
        <w:rPr>
          <w:color w:val="000000"/>
          <w:sz w:val="22"/>
          <w:szCs w:val="22"/>
        </w:rPr>
        <w:t xml:space="preserve"> </w:t>
      </w:r>
      <w:r w:rsidR="00DE3314">
        <w:rPr>
          <w:color w:val="000000"/>
          <w:sz w:val="22"/>
          <w:szCs w:val="22"/>
        </w:rPr>
        <w:t>media delle</w:t>
      </w:r>
      <w:r w:rsidRPr="00020442" w:rsidR="00DE3314">
        <w:rPr>
          <w:color w:val="000000"/>
          <w:sz w:val="22"/>
          <w:szCs w:val="22"/>
        </w:rPr>
        <w:t xml:space="preserve"> </w:t>
      </w:r>
      <w:r w:rsidRPr="00295E71">
        <w:rPr>
          <w:color w:val="000000"/>
          <w:sz w:val="22"/>
          <w:szCs w:val="22"/>
        </w:rPr>
        <w:t>concentrazioni minim</w:t>
      </w:r>
      <w:r w:rsidR="008C22A2">
        <w:rPr>
          <w:color w:val="000000"/>
          <w:sz w:val="22"/>
          <w:szCs w:val="22"/>
        </w:rPr>
        <w:t>e</w:t>
      </w:r>
      <w:r w:rsidRPr="00295E71">
        <w:rPr>
          <w:color w:val="000000"/>
          <w:sz w:val="22"/>
          <w:szCs w:val="22"/>
        </w:rPr>
        <w:t xml:space="preserve"> allo stato stazionario erano di 5 μg/ml durante</w:t>
      </w:r>
      <w:r w:rsidR="008C22A2">
        <w:rPr>
          <w:color w:val="000000"/>
          <w:sz w:val="22"/>
          <w:szCs w:val="22"/>
        </w:rPr>
        <w:t xml:space="preserve"> </w:t>
      </w:r>
      <w:r w:rsidRPr="00295E71">
        <w:rPr>
          <w:color w:val="000000"/>
          <w:sz w:val="22"/>
          <w:szCs w:val="22"/>
        </w:rPr>
        <w:t>il trattamento in monoterapia con adalimumab 40 mg a settimane alterne.</w:t>
      </w:r>
    </w:p>
    <w:p w:rsidR="00157870" w:rsidRPr="00295E71" w:rsidP="00157870" w14:paraId="6EF3AA77" w14:textId="77777777">
      <w:pPr>
        <w:tabs>
          <w:tab w:val="left" w:pos="567"/>
        </w:tabs>
        <w:autoSpaceDE w:val="0"/>
        <w:autoSpaceDN w:val="0"/>
        <w:adjustRightInd w:val="0"/>
        <w:jc w:val="both"/>
        <w:rPr>
          <w:color w:val="000000"/>
          <w:sz w:val="22"/>
          <w:szCs w:val="22"/>
        </w:rPr>
      </w:pPr>
    </w:p>
    <w:p w:rsidR="00157870" w:rsidRPr="00295E71" w:rsidP="00157870" w14:paraId="14DF780A" w14:textId="77777777">
      <w:pPr>
        <w:tabs>
          <w:tab w:val="left" w:pos="567"/>
        </w:tabs>
        <w:autoSpaceDE w:val="0"/>
        <w:autoSpaceDN w:val="0"/>
        <w:adjustRightInd w:val="0"/>
        <w:jc w:val="both"/>
        <w:rPr>
          <w:color w:val="000000"/>
          <w:sz w:val="22"/>
          <w:szCs w:val="22"/>
        </w:rPr>
      </w:pPr>
      <w:r w:rsidRPr="00295E71">
        <w:rPr>
          <w:color w:val="000000"/>
          <w:sz w:val="22"/>
          <w:szCs w:val="22"/>
        </w:rPr>
        <w:t xml:space="preserve">Nei pazienti con malattia di Crohn, la dose di carico con 80 mg di Humira alla settimana 0 seguita da 40 mg di Humira alla settimana 2 ha ottenuto concentrazioni sieriche minime di adalimumab di circa 5,5 </w:t>
      </w:r>
      <w:r w:rsidRPr="00295E71">
        <w:t>μ</w:t>
      </w:r>
      <w:r w:rsidRPr="00295E71">
        <w:rPr>
          <w:color w:val="000000"/>
          <w:sz w:val="22"/>
          <w:szCs w:val="22"/>
        </w:rPr>
        <w:t xml:space="preserve">g/ml durante il periodo di induzione. Una dose di carico con 160 mg di Humira alla settimana 0 seguita da 80 mg di Humira alla settimana 2 ha ottenuto concentrazioni sieriche minime di adalimumab di circa 12 </w:t>
      </w:r>
      <w:r w:rsidRPr="00295E71">
        <w:t>μ</w:t>
      </w:r>
      <w:r w:rsidRPr="00295E71">
        <w:rPr>
          <w:color w:val="000000"/>
          <w:sz w:val="22"/>
          <w:szCs w:val="22"/>
        </w:rPr>
        <w:t>g/ml durante il periodo di induzione. Sono stati osservati livelli medi</w:t>
      </w:r>
      <w:r w:rsidR="008C22A2">
        <w:rPr>
          <w:color w:val="000000"/>
          <w:sz w:val="22"/>
          <w:szCs w:val="22"/>
        </w:rPr>
        <w:t xml:space="preserve"> </w:t>
      </w:r>
      <w:r w:rsidRPr="00020442" w:rsidR="008C22A2">
        <w:rPr>
          <w:color w:val="000000"/>
          <w:sz w:val="22"/>
          <w:szCs w:val="22"/>
        </w:rPr>
        <w:t>minimi</w:t>
      </w:r>
      <w:r w:rsidRPr="00295E71">
        <w:rPr>
          <w:color w:val="000000"/>
          <w:sz w:val="22"/>
          <w:szCs w:val="22"/>
        </w:rPr>
        <w:t xml:space="preserve"> all’equilibrio di circa 7 </w:t>
      </w:r>
      <w:r w:rsidRPr="00295E71">
        <w:t>μ</w:t>
      </w:r>
      <w:r w:rsidRPr="00295E71">
        <w:rPr>
          <w:color w:val="000000"/>
          <w:sz w:val="22"/>
          <w:szCs w:val="22"/>
        </w:rPr>
        <w:t>g/ml nei pazienti con malattia di Crohn che hanno ricevuto una dose di mantenimento di 40 mg di Humira ogni due settimane.</w:t>
      </w:r>
    </w:p>
    <w:p w:rsidR="00157870" w:rsidRPr="00295E71" w:rsidP="00157870" w14:paraId="5C0CE52F" w14:textId="77777777">
      <w:pPr>
        <w:tabs>
          <w:tab w:val="left" w:pos="567"/>
        </w:tabs>
        <w:autoSpaceDE w:val="0"/>
        <w:autoSpaceDN w:val="0"/>
        <w:adjustRightInd w:val="0"/>
        <w:jc w:val="both"/>
        <w:rPr>
          <w:color w:val="000000"/>
          <w:sz w:val="22"/>
          <w:szCs w:val="22"/>
        </w:rPr>
      </w:pPr>
    </w:p>
    <w:p w:rsidR="00157870" w:rsidRPr="00295E71" w:rsidP="00157870" w14:paraId="75C115D6" w14:textId="77777777">
      <w:pPr>
        <w:tabs>
          <w:tab w:val="left" w:pos="567"/>
        </w:tabs>
        <w:autoSpaceDE w:val="0"/>
        <w:autoSpaceDN w:val="0"/>
        <w:adjustRightInd w:val="0"/>
        <w:jc w:val="both"/>
        <w:rPr>
          <w:color w:val="000000"/>
          <w:sz w:val="22"/>
          <w:szCs w:val="22"/>
        </w:rPr>
      </w:pPr>
      <w:r w:rsidRPr="00295E71">
        <w:rPr>
          <w:color w:val="000000"/>
          <w:sz w:val="22"/>
          <w:szCs w:val="22"/>
        </w:rPr>
        <w:t xml:space="preserve">Nei pazienti </w:t>
      </w:r>
      <w:r w:rsidR="008C22A2">
        <w:rPr>
          <w:color w:val="000000"/>
          <w:sz w:val="22"/>
          <w:szCs w:val="22"/>
        </w:rPr>
        <w:t xml:space="preserve">adulti </w:t>
      </w:r>
      <w:r w:rsidRPr="00295E71" w:rsidR="00224E13">
        <w:rPr>
          <w:color w:val="000000"/>
          <w:sz w:val="22"/>
          <w:szCs w:val="22"/>
        </w:rPr>
        <w:t>con</w:t>
      </w:r>
      <w:r w:rsidRPr="00295E71">
        <w:rPr>
          <w:color w:val="000000"/>
          <w:sz w:val="22"/>
          <w:szCs w:val="22"/>
        </w:rPr>
        <w:t xml:space="preserve"> uveite, una dose di carico di 80 mg di adalimumab alla settimana 0 seguita da 40 mg di adalimumab a settimane alterne a partire dalla settimana 1 ha determinato concentrazioni medie allo stato stazionario di circa 8-10 </w:t>
      </w:r>
      <w:r w:rsidRPr="00295E71">
        <w:rPr>
          <w:rFonts w:ascii="Symbol" w:hAnsi="Symbol"/>
          <w:color w:val="000000"/>
          <w:sz w:val="22"/>
          <w:szCs w:val="22"/>
        </w:rPr>
        <w:sym w:font="Symbol" w:char="F06D"/>
      </w:r>
      <w:r w:rsidRPr="00295E71">
        <w:rPr>
          <w:color w:val="000000"/>
          <w:sz w:val="22"/>
          <w:szCs w:val="22"/>
        </w:rPr>
        <w:t>g/ml.</w:t>
      </w:r>
    </w:p>
    <w:p w:rsidR="009D52F1" w:rsidRPr="00295E71" w:rsidP="00157870" w14:paraId="0B6FA3D0" w14:textId="77777777">
      <w:pPr>
        <w:tabs>
          <w:tab w:val="left" w:pos="567"/>
        </w:tabs>
        <w:autoSpaceDE w:val="0"/>
        <w:autoSpaceDN w:val="0"/>
        <w:adjustRightInd w:val="0"/>
        <w:jc w:val="both"/>
        <w:rPr>
          <w:color w:val="000000"/>
          <w:sz w:val="22"/>
          <w:szCs w:val="22"/>
        </w:rPr>
      </w:pPr>
    </w:p>
    <w:p w:rsidR="00157870" w:rsidRPr="00295E71" w:rsidP="00157870" w14:paraId="54EC19C9" w14:textId="77777777">
      <w:pPr>
        <w:tabs>
          <w:tab w:val="left" w:pos="567"/>
        </w:tabs>
        <w:autoSpaceDE w:val="0"/>
        <w:autoSpaceDN w:val="0"/>
        <w:adjustRightInd w:val="0"/>
        <w:jc w:val="both"/>
        <w:rPr>
          <w:color w:val="000000"/>
          <w:sz w:val="22"/>
          <w:szCs w:val="22"/>
        </w:rPr>
      </w:pPr>
      <w:r w:rsidRPr="00295E71">
        <w:rPr>
          <w:color w:val="000000"/>
          <w:sz w:val="22"/>
          <w:szCs w:val="22"/>
        </w:rPr>
        <w:t>Dal modello e dalla simulazione farmacocinetica e farmacocinetica/ farmacodinamica di popolazione è stato previsto che l’esposizione e l'efficacia di adalimumab sono paragonabili in pazienti trattati con 80 mg a settimane alterne e in quelli trattati con 40 mg ogni settimana (compresi i pazienti adulti con AR, HS, CU, MC o Ps, pazienti con HS negli adolescenti e nei pazienti pediatrici ≥ 40 kg con MC).</w:t>
      </w:r>
    </w:p>
    <w:p w:rsidR="004735F6" w:rsidRPr="00295E71" w:rsidP="00157870" w14:paraId="00A608D8" w14:textId="77777777">
      <w:pPr>
        <w:tabs>
          <w:tab w:val="left" w:pos="567"/>
        </w:tabs>
        <w:autoSpaceDE w:val="0"/>
        <w:autoSpaceDN w:val="0"/>
        <w:adjustRightInd w:val="0"/>
        <w:jc w:val="both"/>
        <w:rPr>
          <w:color w:val="000000"/>
          <w:sz w:val="22"/>
          <w:szCs w:val="22"/>
        </w:rPr>
      </w:pPr>
    </w:p>
    <w:p w:rsidR="00157870" w:rsidRPr="00295E71" w:rsidP="00A60A0D" w14:paraId="7CADEB41" w14:textId="77777777">
      <w:pPr>
        <w:keepLines/>
        <w:tabs>
          <w:tab w:val="left" w:pos="567"/>
        </w:tabs>
        <w:autoSpaceDE w:val="0"/>
        <w:autoSpaceDN w:val="0"/>
        <w:adjustRightInd w:val="0"/>
        <w:jc w:val="both"/>
        <w:rPr>
          <w:color w:val="000000"/>
          <w:sz w:val="22"/>
          <w:szCs w:val="22"/>
          <w:u w:val="single"/>
        </w:rPr>
      </w:pPr>
      <w:r w:rsidRPr="00295E71">
        <w:rPr>
          <w:color w:val="000000"/>
          <w:sz w:val="22"/>
          <w:szCs w:val="22"/>
          <w:u w:val="single"/>
        </w:rPr>
        <w:t>Eliminazione</w:t>
      </w:r>
    </w:p>
    <w:p w:rsidR="00157870" w:rsidRPr="00295E71" w:rsidP="00A60A0D" w14:paraId="372723F0" w14:textId="77777777">
      <w:pPr>
        <w:keepLines/>
        <w:tabs>
          <w:tab w:val="left" w:pos="567"/>
        </w:tabs>
        <w:autoSpaceDE w:val="0"/>
        <w:autoSpaceDN w:val="0"/>
        <w:adjustRightInd w:val="0"/>
        <w:jc w:val="both"/>
        <w:rPr>
          <w:color w:val="000000"/>
          <w:sz w:val="22"/>
          <w:szCs w:val="22"/>
        </w:rPr>
      </w:pPr>
    </w:p>
    <w:p w:rsidR="00157870" w:rsidRPr="00295E71" w:rsidP="00A60A0D" w14:paraId="739A6ED9" w14:textId="77777777">
      <w:pPr>
        <w:keepLines/>
        <w:tabs>
          <w:tab w:val="left" w:pos="567"/>
        </w:tabs>
        <w:autoSpaceDE w:val="0"/>
        <w:autoSpaceDN w:val="0"/>
        <w:adjustRightInd w:val="0"/>
        <w:jc w:val="both"/>
        <w:rPr>
          <w:color w:val="000000"/>
          <w:sz w:val="22"/>
          <w:szCs w:val="22"/>
        </w:rPr>
      </w:pPr>
      <w:r w:rsidRPr="00295E71">
        <w:rPr>
          <w:color w:val="000000"/>
          <w:sz w:val="22"/>
          <w:szCs w:val="22"/>
        </w:rPr>
        <w:t>Le analisi farmacocinetiche di popolazione, su un campione di più di 1.300 pazienti con AR, hanno evidenziato una tendenza ad un apparente aumento della clearance di adalimumab con l’aumentare del peso corporeo. Dopo correzione per le differenze di peso corporeo, sesso ed età sono risultati avere un effetto minimo sulla clearance di adalimumab. I livelli sierici di adalimumab libero (non legato agli anticorpi anti-adalimumab – AAA) sono stati più bassi nei pazienti con titoli misurabili di AAA.</w:t>
      </w:r>
    </w:p>
    <w:p w:rsidR="00157870" w:rsidRPr="00295E71" w:rsidP="00A60A0D" w14:paraId="069B71AC" w14:textId="77777777">
      <w:pPr>
        <w:tabs>
          <w:tab w:val="left" w:pos="567"/>
        </w:tabs>
        <w:autoSpaceDE w:val="0"/>
        <w:autoSpaceDN w:val="0"/>
        <w:adjustRightInd w:val="0"/>
        <w:jc w:val="both"/>
        <w:rPr>
          <w:color w:val="000000"/>
          <w:sz w:val="22"/>
          <w:szCs w:val="22"/>
        </w:rPr>
      </w:pPr>
    </w:p>
    <w:p w:rsidR="00157870" w:rsidRPr="00295E71" w:rsidP="00A60A0D" w14:paraId="14648A43" w14:textId="77777777">
      <w:pPr>
        <w:keepNext/>
        <w:rPr>
          <w:color w:val="000000"/>
          <w:sz w:val="22"/>
          <w:szCs w:val="22"/>
          <w:u w:val="single"/>
        </w:rPr>
      </w:pPr>
      <w:r w:rsidRPr="00295E71">
        <w:rPr>
          <w:color w:val="000000"/>
          <w:sz w:val="22"/>
          <w:szCs w:val="22"/>
          <w:u w:val="single"/>
        </w:rPr>
        <w:t>Insufficienza epatica o renale</w:t>
      </w:r>
    </w:p>
    <w:p w:rsidR="00157870" w:rsidRPr="00295E71" w:rsidP="00A60A0D" w14:paraId="7018D759" w14:textId="77777777">
      <w:pPr>
        <w:keepNext/>
        <w:tabs>
          <w:tab w:val="left" w:pos="567"/>
        </w:tabs>
        <w:autoSpaceDE w:val="0"/>
        <w:autoSpaceDN w:val="0"/>
        <w:adjustRightInd w:val="0"/>
        <w:jc w:val="both"/>
        <w:rPr>
          <w:color w:val="000000"/>
          <w:sz w:val="22"/>
          <w:szCs w:val="22"/>
        </w:rPr>
      </w:pPr>
    </w:p>
    <w:p w:rsidR="00157870" w:rsidRPr="00295E71" w:rsidP="00157870" w14:paraId="040A5537" w14:textId="77777777">
      <w:pPr>
        <w:tabs>
          <w:tab w:val="left" w:pos="567"/>
        </w:tabs>
        <w:autoSpaceDE w:val="0"/>
        <w:autoSpaceDN w:val="0"/>
        <w:adjustRightInd w:val="0"/>
        <w:jc w:val="both"/>
        <w:rPr>
          <w:color w:val="000000"/>
          <w:sz w:val="22"/>
          <w:szCs w:val="22"/>
        </w:rPr>
      </w:pPr>
      <w:r w:rsidRPr="00295E71">
        <w:rPr>
          <w:color w:val="000000"/>
          <w:sz w:val="22"/>
          <w:szCs w:val="22"/>
        </w:rPr>
        <w:t>Humira non è stato studiato nei pazienti con insufficienza epatica o renale</w:t>
      </w:r>
    </w:p>
    <w:p w:rsidR="00157870" w:rsidRPr="00295E71" w:rsidP="00157870" w14:paraId="1B73D767" w14:textId="77777777">
      <w:pPr>
        <w:tabs>
          <w:tab w:val="left" w:pos="567"/>
        </w:tabs>
        <w:autoSpaceDE w:val="0"/>
        <w:autoSpaceDN w:val="0"/>
        <w:adjustRightInd w:val="0"/>
        <w:jc w:val="both"/>
        <w:rPr>
          <w:b/>
          <w:bCs/>
          <w:sz w:val="22"/>
          <w:szCs w:val="22"/>
        </w:rPr>
      </w:pPr>
    </w:p>
    <w:p w:rsidR="00157870" w:rsidRPr="00295E71" w:rsidP="00157870" w14:paraId="461B5BA4" w14:textId="77777777">
      <w:pPr>
        <w:pStyle w:val="IndexHeading"/>
        <w:tabs>
          <w:tab w:val="left" w:pos="540"/>
          <w:tab w:val="left" w:pos="2304"/>
          <w:tab w:val="left" w:pos="3024"/>
        </w:tabs>
        <w:autoSpaceDE w:val="0"/>
        <w:autoSpaceDN w:val="0"/>
        <w:adjustRightInd w:val="0"/>
        <w:spacing w:line="240" w:lineRule="auto"/>
        <w:jc w:val="both"/>
        <w:rPr>
          <w:rFonts w:ascii="Times New Roman" w:hAnsi="Times New Roman" w:cs="Times New Roman"/>
          <w:lang w:val="it-IT" w:eastAsia="it-IT"/>
        </w:rPr>
      </w:pPr>
      <w:r w:rsidRPr="00295E71">
        <w:rPr>
          <w:rFonts w:ascii="Times New Roman" w:hAnsi="Times New Roman" w:cs="Times New Roman"/>
          <w:lang w:val="it-IT" w:eastAsia="it-IT"/>
        </w:rPr>
        <w:t xml:space="preserve">5.3 </w:t>
      </w:r>
      <w:r w:rsidRPr="00295E71">
        <w:rPr>
          <w:rFonts w:ascii="Times New Roman" w:hAnsi="Times New Roman" w:cs="Times New Roman"/>
          <w:lang w:val="it-IT" w:eastAsia="it-IT"/>
        </w:rPr>
        <w:tab/>
        <w:t>Dati preclinici di sicurezza</w:t>
      </w:r>
    </w:p>
    <w:p w:rsidR="00157870" w:rsidRPr="00295E71" w:rsidP="00157870" w14:paraId="22977886" w14:textId="77777777">
      <w:pPr>
        <w:pStyle w:val="EndnoteText"/>
        <w:jc w:val="both"/>
        <w:rPr>
          <w:lang w:val="it-IT"/>
        </w:rPr>
      </w:pPr>
    </w:p>
    <w:p w:rsidR="00157870" w:rsidRPr="00295E71" w:rsidP="00157870" w14:paraId="27F76D45" w14:textId="77777777">
      <w:pPr>
        <w:tabs>
          <w:tab w:val="left" w:pos="567"/>
        </w:tabs>
        <w:autoSpaceDE w:val="0"/>
        <w:autoSpaceDN w:val="0"/>
        <w:adjustRightInd w:val="0"/>
        <w:jc w:val="both"/>
        <w:rPr>
          <w:color w:val="000000"/>
          <w:sz w:val="22"/>
          <w:szCs w:val="22"/>
        </w:rPr>
      </w:pPr>
      <w:r w:rsidRPr="00295E71">
        <w:rPr>
          <w:color w:val="000000"/>
          <w:sz w:val="22"/>
          <w:szCs w:val="22"/>
        </w:rPr>
        <w:t>I dati preclinici non rivelano rischi particolari per l’uomo</w:t>
      </w:r>
      <w:r w:rsidRPr="00295E71" w:rsidR="0066449A">
        <w:rPr>
          <w:color w:val="000000"/>
          <w:sz w:val="22"/>
          <w:szCs w:val="22"/>
        </w:rPr>
        <w:t xml:space="preserve"> </w:t>
      </w:r>
      <w:r w:rsidRPr="00295E71">
        <w:rPr>
          <w:color w:val="000000"/>
          <w:sz w:val="22"/>
          <w:szCs w:val="22"/>
        </w:rPr>
        <w:t>sulla base di studi di tossicità a dosi singole, tossicità a dosi ripetute e di genotossicità.</w:t>
      </w:r>
    </w:p>
    <w:p w:rsidR="00157870" w:rsidRPr="00295E71" w:rsidP="00157870" w14:paraId="5A27B992" w14:textId="77777777">
      <w:pPr>
        <w:tabs>
          <w:tab w:val="left" w:pos="567"/>
        </w:tabs>
        <w:autoSpaceDE w:val="0"/>
        <w:autoSpaceDN w:val="0"/>
        <w:adjustRightInd w:val="0"/>
        <w:jc w:val="both"/>
        <w:rPr>
          <w:color w:val="000000"/>
          <w:sz w:val="22"/>
          <w:szCs w:val="22"/>
        </w:rPr>
      </w:pPr>
    </w:p>
    <w:p w:rsidR="00157870" w:rsidRPr="00295E71" w:rsidP="00157870" w14:paraId="4106F725" w14:textId="77777777">
      <w:pPr>
        <w:tabs>
          <w:tab w:val="left" w:pos="567"/>
        </w:tabs>
        <w:autoSpaceDE w:val="0"/>
        <w:autoSpaceDN w:val="0"/>
        <w:adjustRightInd w:val="0"/>
        <w:jc w:val="both"/>
        <w:rPr>
          <w:sz w:val="22"/>
          <w:szCs w:val="22"/>
        </w:rPr>
      </w:pPr>
      <w:r w:rsidRPr="00295E71">
        <w:rPr>
          <w:sz w:val="22"/>
          <w:szCs w:val="22"/>
        </w:rPr>
        <w:t xml:space="preserve">È stato condotto uno studio sulla tossicità nello sviluppo embrio-fetale/sviluppo perinatale in scimmie cinomologhe con dosaggi di 0, 30 e 100 mg/kg (9-17 scimmie/gruppo); tale studio non ha evidenziato danni fetali provocati da adalimumab. </w:t>
      </w:r>
      <w:r w:rsidRPr="00295E71" w:rsidR="0066449A">
        <w:rPr>
          <w:sz w:val="22"/>
          <w:szCs w:val="22"/>
        </w:rPr>
        <w:t>Sia l</w:t>
      </w:r>
      <w:r w:rsidRPr="00295E71">
        <w:rPr>
          <w:sz w:val="22"/>
          <w:szCs w:val="22"/>
        </w:rPr>
        <w:t xml:space="preserve">e prove di cancerogenesi </w:t>
      </w:r>
      <w:r w:rsidRPr="00295E71" w:rsidR="0066449A">
        <w:rPr>
          <w:sz w:val="22"/>
          <w:szCs w:val="22"/>
        </w:rPr>
        <w:t>ch</w:t>
      </w:r>
      <w:r w:rsidRPr="00295E71">
        <w:rPr>
          <w:sz w:val="22"/>
          <w:szCs w:val="22"/>
        </w:rPr>
        <w:t>e le valutazioni standard sulla fertilità e sulla tossicità postnatale non sono state condotte</w:t>
      </w:r>
      <w:r w:rsidR="008C22A2">
        <w:rPr>
          <w:sz w:val="22"/>
          <w:szCs w:val="22"/>
        </w:rPr>
        <w:t xml:space="preserve"> </w:t>
      </w:r>
      <w:r w:rsidRPr="00020442" w:rsidR="008C22A2">
        <w:rPr>
          <w:sz w:val="22"/>
          <w:szCs w:val="22"/>
        </w:rPr>
        <w:t>con adalimumab</w:t>
      </w:r>
      <w:r w:rsidRPr="00295E71">
        <w:rPr>
          <w:sz w:val="22"/>
          <w:szCs w:val="22"/>
        </w:rPr>
        <w:t xml:space="preserve"> a causa di mancanza di modelli appropriati per un anticorpo con limitata reattività crociata per il TNF nei roditori e lo sviluppo di anticorpi neutralizzanti nei roditori.</w:t>
      </w:r>
    </w:p>
    <w:p w:rsidR="00157870" w:rsidRPr="00295E71" w:rsidP="00157870" w14:paraId="43442FDE" w14:textId="77777777">
      <w:pPr>
        <w:tabs>
          <w:tab w:val="left" w:pos="567"/>
        </w:tabs>
        <w:autoSpaceDE w:val="0"/>
        <w:autoSpaceDN w:val="0"/>
        <w:adjustRightInd w:val="0"/>
        <w:jc w:val="both"/>
        <w:rPr>
          <w:sz w:val="22"/>
          <w:szCs w:val="22"/>
        </w:rPr>
      </w:pPr>
    </w:p>
    <w:p w:rsidR="00157870" w:rsidRPr="00295E71" w:rsidP="00157870" w14:paraId="29ED20EE" w14:textId="77777777">
      <w:pPr>
        <w:tabs>
          <w:tab w:val="left" w:pos="567"/>
        </w:tabs>
        <w:autoSpaceDE w:val="0"/>
        <w:autoSpaceDN w:val="0"/>
        <w:adjustRightInd w:val="0"/>
        <w:jc w:val="both"/>
        <w:rPr>
          <w:sz w:val="22"/>
          <w:szCs w:val="22"/>
        </w:rPr>
      </w:pPr>
    </w:p>
    <w:p w:rsidR="00157870" w:rsidRPr="00295E71" w:rsidP="00157870" w14:paraId="091516AB" w14:textId="77777777">
      <w:pPr>
        <w:keepNext/>
        <w:rPr>
          <w:b/>
          <w:bCs/>
          <w:sz w:val="22"/>
          <w:szCs w:val="22"/>
        </w:rPr>
      </w:pPr>
      <w:r w:rsidRPr="00295E71">
        <w:rPr>
          <w:b/>
          <w:bCs/>
          <w:sz w:val="22"/>
          <w:szCs w:val="22"/>
        </w:rPr>
        <w:t>6.</w:t>
      </w:r>
      <w:r w:rsidRPr="00295E71">
        <w:rPr>
          <w:b/>
          <w:bCs/>
          <w:sz w:val="22"/>
          <w:szCs w:val="22"/>
        </w:rPr>
        <w:tab/>
        <w:t>INFORMAZIONI FARMACEUTICHE</w:t>
      </w:r>
    </w:p>
    <w:p w:rsidR="00157870" w:rsidRPr="00295E71" w:rsidP="00157870" w14:paraId="0913472F" w14:textId="77777777">
      <w:pPr>
        <w:keepNext/>
        <w:tabs>
          <w:tab w:val="left" w:pos="567"/>
        </w:tabs>
        <w:jc w:val="both"/>
        <w:rPr>
          <w:b/>
          <w:bCs/>
          <w:sz w:val="22"/>
          <w:szCs w:val="22"/>
        </w:rPr>
      </w:pPr>
    </w:p>
    <w:p w:rsidR="00157870" w:rsidRPr="00295E71" w:rsidP="00157870" w14:paraId="439E9E3B" w14:textId="77777777">
      <w:pPr>
        <w:keepNext/>
        <w:tabs>
          <w:tab w:val="left" w:pos="567"/>
        </w:tabs>
        <w:jc w:val="both"/>
        <w:rPr>
          <w:b/>
          <w:bCs/>
          <w:sz w:val="22"/>
          <w:szCs w:val="22"/>
        </w:rPr>
      </w:pPr>
      <w:r w:rsidRPr="00295E71">
        <w:rPr>
          <w:b/>
          <w:bCs/>
          <w:sz w:val="22"/>
          <w:szCs w:val="22"/>
        </w:rPr>
        <w:t>6.1</w:t>
      </w:r>
      <w:r w:rsidRPr="00295E71">
        <w:rPr>
          <w:b/>
          <w:bCs/>
          <w:sz w:val="22"/>
          <w:szCs w:val="22"/>
        </w:rPr>
        <w:tab/>
        <w:t>Elenco degli eccipienti</w:t>
      </w:r>
    </w:p>
    <w:p w:rsidR="00157870" w:rsidRPr="00295E71" w:rsidP="00157870" w14:paraId="37291434" w14:textId="77777777">
      <w:pPr>
        <w:keepNext/>
        <w:tabs>
          <w:tab w:val="left" w:pos="567"/>
        </w:tabs>
        <w:autoSpaceDE w:val="0"/>
        <w:autoSpaceDN w:val="0"/>
        <w:adjustRightInd w:val="0"/>
        <w:jc w:val="both"/>
        <w:rPr>
          <w:sz w:val="22"/>
          <w:szCs w:val="22"/>
        </w:rPr>
      </w:pPr>
    </w:p>
    <w:p w:rsidR="00157870" w:rsidRPr="00295E71" w:rsidP="00157870" w14:paraId="3DF8CF68" w14:textId="77777777">
      <w:pPr>
        <w:tabs>
          <w:tab w:val="left" w:pos="567"/>
        </w:tabs>
        <w:autoSpaceDE w:val="0"/>
        <w:autoSpaceDN w:val="0"/>
        <w:adjustRightInd w:val="0"/>
        <w:ind w:left="567" w:hanging="567"/>
        <w:jc w:val="both"/>
        <w:rPr>
          <w:sz w:val="22"/>
          <w:szCs w:val="22"/>
        </w:rPr>
      </w:pPr>
      <w:r w:rsidRPr="00295E71">
        <w:rPr>
          <w:sz w:val="22"/>
          <w:szCs w:val="22"/>
        </w:rPr>
        <w:t>Mannitolo</w:t>
      </w:r>
    </w:p>
    <w:p w:rsidR="00157870" w:rsidRPr="00295E71" w:rsidP="00157870" w14:paraId="0D398B52" w14:textId="77777777">
      <w:pPr>
        <w:tabs>
          <w:tab w:val="left" w:pos="567"/>
        </w:tabs>
        <w:autoSpaceDE w:val="0"/>
        <w:autoSpaceDN w:val="0"/>
        <w:adjustRightInd w:val="0"/>
        <w:jc w:val="both"/>
        <w:rPr>
          <w:sz w:val="22"/>
          <w:szCs w:val="22"/>
        </w:rPr>
      </w:pPr>
      <w:r w:rsidRPr="00295E71">
        <w:rPr>
          <w:sz w:val="22"/>
          <w:szCs w:val="22"/>
        </w:rPr>
        <w:t>Polisorbato 80</w:t>
      </w:r>
    </w:p>
    <w:p w:rsidR="00157870" w:rsidRPr="00295E71" w:rsidP="00157870" w14:paraId="73A287A7" w14:textId="77777777">
      <w:pPr>
        <w:tabs>
          <w:tab w:val="left" w:pos="567"/>
        </w:tabs>
        <w:autoSpaceDE w:val="0"/>
        <w:autoSpaceDN w:val="0"/>
        <w:adjustRightInd w:val="0"/>
        <w:ind w:left="567" w:hanging="567"/>
        <w:jc w:val="both"/>
        <w:rPr>
          <w:sz w:val="22"/>
          <w:szCs w:val="22"/>
        </w:rPr>
      </w:pPr>
      <w:r w:rsidRPr="00295E71">
        <w:rPr>
          <w:sz w:val="22"/>
          <w:szCs w:val="22"/>
        </w:rPr>
        <w:t>Acqua per preparazioni iniettabili</w:t>
      </w:r>
    </w:p>
    <w:p w:rsidR="00157870" w:rsidRPr="00295E71" w:rsidP="00157870" w14:paraId="3D3AFAB8" w14:textId="77777777">
      <w:pPr>
        <w:tabs>
          <w:tab w:val="left" w:pos="567"/>
        </w:tabs>
        <w:ind w:right="-2"/>
        <w:jc w:val="both"/>
        <w:rPr>
          <w:sz w:val="22"/>
          <w:szCs w:val="22"/>
        </w:rPr>
      </w:pPr>
    </w:p>
    <w:p w:rsidR="00157870" w:rsidRPr="00295E71" w:rsidP="00C04163" w14:paraId="1AB131CC" w14:textId="77777777">
      <w:pPr>
        <w:keepNext/>
        <w:tabs>
          <w:tab w:val="left" w:pos="567"/>
        </w:tabs>
        <w:ind w:left="567" w:hanging="567"/>
        <w:jc w:val="both"/>
        <w:rPr>
          <w:b/>
          <w:bCs/>
          <w:sz w:val="22"/>
          <w:szCs w:val="22"/>
        </w:rPr>
      </w:pPr>
      <w:r w:rsidRPr="00295E71">
        <w:rPr>
          <w:b/>
          <w:bCs/>
          <w:sz w:val="22"/>
          <w:szCs w:val="22"/>
        </w:rPr>
        <w:t>6.2</w:t>
      </w:r>
      <w:r w:rsidRPr="00295E71">
        <w:rPr>
          <w:b/>
          <w:bCs/>
          <w:sz w:val="22"/>
          <w:szCs w:val="22"/>
        </w:rPr>
        <w:tab/>
        <w:t>Incompatibilità</w:t>
      </w:r>
    </w:p>
    <w:p w:rsidR="00157870" w:rsidRPr="00295E71" w:rsidP="00157870" w14:paraId="1AD0277E" w14:textId="77777777">
      <w:pPr>
        <w:tabs>
          <w:tab w:val="left" w:pos="567"/>
        </w:tabs>
        <w:jc w:val="both"/>
        <w:rPr>
          <w:sz w:val="22"/>
          <w:szCs w:val="22"/>
        </w:rPr>
      </w:pPr>
    </w:p>
    <w:p w:rsidR="00157870" w:rsidRPr="00295E71" w:rsidP="00157870" w14:paraId="3E87D215" w14:textId="77777777">
      <w:pPr>
        <w:pStyle w:val="BodyText"/>
        <w:tabs>
          <w:tab w:val="left" w:pos="567"/>
        </w:tabs>
      </w:pPr>
      <w:r w:rsidRPr="00295E71">
        <w:t>In assenza di studi di compatibilità, questo medicinale non deve essere miscelato con altri medicinali.</w:t>
      </w:r>
    </w:p>
    <w:p w:rsidR="00157870" w:rsidRPr="00295E71" w:rsidP="00157870" w14:paraId="7B934A24" w14:textId="77777777">
      <w:pPr>
        <w:tabs>
          <w:tab w:val="left" w:pos="567"/>
        </w:tabs>
        <w:jc w:val="both"/>
        <w:rPr>
          <w:sz w:val="22"/>
          <w:szCs w:val="22"/>
        </w:rPr>
      </w:pPr>
    </w:p>
    <w:p w:rsidR="00157870" w:rsidRPr="00295E71" w:rsidP="003B3A5A" w14:paraId="5C90311A" w14:textId="77777777">
      <w:pPr>
        <w:keepNext/>
        <w:tabs>
          <w:tab w:val="left" w:pos="567"/>
        </w:tabs>
        <w:ind w:left="567" w:hanging="567"/>
        <w:jc w:val="both"/>
        <w:rPr>
          <w:b/>
          <w:bCs/>
          <w:sz w:val="22"/>
          <w:szCs w:val="22"/>
        </w:rPr>
      </w:pPr>
      <w:r w:rsidRPr="00295E71">
        <w:rPr>
          <w:b/>
          <w:bCs/>
          <w:sz w:val="22"/>
          <w:szCs w:val="22"/>
        </w:rPr>
        <w:t>6.3</w:t>
      </w:r>
      <w:r w:rsidRPr="00295E71">
        <w:rPr>
          <w:b/>
          <w:bCs/>
          <w:sz w:val="22"/>
          <w:szCs w:val="22"/>
        </w:rPr>
        <w:tab/>
        <w:t>Periodo di validità</w:t>
      </w:r>
    </w:p>
    <w:p w:rsidR="00157870" w:rsidRPr="00295E71" w:rsidP="003B3A5A" w14:paraId="22B88D30" w14:textId="77777777">
      <w:pPr>
        <w:keepNext/>
        <w:tabs>
          <w:tab w:val="left" w:pos="567"/>
        </w:tabs>
        <w:jc w:val="both"/>
        <w:rPr>
          <w:sz w:val="22"/>
          <w:szCs w:val="22"/>
        </w:rPr>
      </w:pPr>
    </w:p>
    <w:p w:rsidR="00157870" w:rsidRPr="00295E71" w:rsidP="003B3A5A" w14:paraId="1D0D1CA4" w14:textId="77777777">
      <w:pPr>
        <w:keepNext/>
        <w:tabs>
          <w:tab w:val="left" w:pos="567"/>
        </w:tabs>
        <w:jc w:val="both"/>
        <w:rPr>
          <w:sz w:val="22"/>
          <w:szCs w:val="22"/>
        </w:rPr>
      </w:pPr>
      <w:r w:rsidRPr="00295E71">
        <w:rPr>
          <w:sz w:val="22"/>
          <w:szCs w:val="22"/>
        </w:rPr>
        <w:t>2 anni</w:t>
      </w:r>
    </w:p>
    <w:p w:rsidR="00157870" w:rsidRPr="00295E71" w:rsidP="003B3A5A" w14:paraId="1B108DE1" w14:textId="77777777">
      <w:pPr>
        <w:keepNext/>
        <w:tabs>
          <w:tab w:val="left" w:pos="567"/>
        </w:tabs>
        <w:jc w:val="both"/>
        <w:rPr>
          <w:sz w:val="22"/>
          <w:szCs w:val="22"/>
        </w:rPr>
      </w:pPr>
    </w:p>
    <w:p w:rsidR="00157870" w:rsidRPr="00295E71" w:rsidP="003B3A5A" w14:paraId="651FC375" w14:textId="77777777">
      <w:pPr>
        <w:keepNext/>
        <w:tabs>
          <w:tab w:val="left" w:pos="567"/>
        </w:tabs>
        <w:jc w:val="both"/>
        <w:rPr>
          <w:b/>
          <w:bCs/>
          <w:sz w:val="22"/>
          <w:szCs w:val="22"/>
        </w:rPr>
      </w:pPr>
      <w:r w:rsidRPr="00295E71">
        <w:rPr>
          <w:b/>
          <w:bCs/>
          <w:sz w:val="22"/>
          <w:szCs w:val="22"/>
        </w:rPr>
        <w:t>6.4</w:t>
      </w:r>
      <w:r w:rsidRPr="00295E71">
        <w:rPr>
          <w:b/>
          <w:bCs/>
          <w:sz w:val="22"/>
          <w:szCs w:val="22"/>
        </w:rPr>
        <w:tab/>
        <w:t>Precauzioni particolari per la conservazione</w:t>
      </w:r>
    </w:p>
    <w:p w:rsidR="00157870" w:rsidRPr="00295E71" w:rsidP="00157870" w14:paraId="0E9A4DBA" w14:textId="77777777">
      <w:pPr>
        <w:tabs>
          <w:tab w:val="left" w:pos="567"/>
        </w:tabs>
        <w:jc w:val="both"/>
        <w:rPr>
          <w:sz w:val="22"/>
          <w:szCs w:val="22"/>
        </w:rPr>
      </w:pPr>
    </w:p>
    <w:p w:rsidR="00157870" w:rsidRPr="00295E71" w:rsidP="00157870" w14:paraId="50A49377" w14:textId="77777777">
      <w:pPr>
        <w:tabs>
          <w:tab w:val="left" w:pos="567"/>
        </w:tabs>
        <w:jc w:val="both"/>
        <w:rPr>
          <w:sz w:val="22"/>
          <w:szCs w:val="22"/>
        </w:rPr>
      </w:pPr>
      <w:r w:rsidRPr="00295E71">
        <w:rPr>
          <w:sz w:val="22"/>
          <w:szCs w:val="22"/>
        </w:rPr>
        <w:t>Conservare in frigorifero (2</w:t>
      </w:r>
      <w:r w:rsidRPr="00295E71">
        <w:rPr>
          <w:rFonts w:ascii="Symbol" w:hAnsi="Symbol"/>
          <w:sz w:val="22"/>
          <w:szCs w:val="22"/>
        </w:rPr>
        <w:sym w:font="Symbol" w:char="F0B0"/>
      </w:r>
      <w:r w:rsidRPr="00295E71">
        <w:rPr>
          <w:sz w:val="22"/>
          <w:szCs w:val="22"/>
        </w:rPr>
        <w:t>C – 8</w:t>
      </w:r>
      <w:r w:rsidRPr="00295E71">
        <w:rPr>
          <w:rFonts w:ascii="Symbol" w:hAnsi="Symbol"/>
          <w:sz w:val="22"/>
          <w:szCs w:val="22"/>
        </w:rPr>
        <w:sym w:font="Symbol" w:char="F0B0"/>
      </w:r>
      <w:r w:rsidRPr="00295E71">
        <w:rPr>
          <w:sz w:val="22"/>
          <w:szCs w:val="22"/>
        </w:rPr>
        <w:t xml:space="preserve">C). Non congelare. </w:t>
      </w:r>
      <w:r w:rsidRPr="00295E71" w:rsidR="00B77C96">
        <w:rPr>
          <w:sz w:val="22"/>
          <w:szCs w:val="22"/>
        </w:rPr>
        <w:t>Tenere</w:t>
      </w:r>
      <w:r w:rsidRPr="00295E71">
        <w:rPr>
          <w:sz w:val="22"/>
          <w:szCs w:val="22"/>
        </w:rPr>
        <w:t xml:space="preserve"> la siringa pre-riempita nell</w:t>
      </w:r>
      <w:r w:rsidRPr="00295E71" w:rsidR="00B77C96">
        <w:rPr>
          <w:sz w:val="22"/>
          <w:szCs w:val="22"/>
        </w:rPr>
        <w:t>’imballaggio esterno</w:t>
      </w:r>
      <w:r w:rsidRPr="00295E71">
        <w:rPr>
          <w:sz w:val="22"/>
          <w:szCs w:val="22"/>
        </w:rPr>
        <w:t xml:space="preserve"> per proteggere il medicinale dalla luce.</w:t>
      </w:r>
    </w:p>
    <w:p w:rsidR="00157870" w:rsidRPr="00295E71" w:rsidP="00157870" w14:paraId="54BA0D3A" w14:textId="77777777">
      <w:pPr>
        <w:tabs>
          <w:tab w:val="left" w:pos="567"/>
        </w:tabs>
        <w:jc w:val="both"/>
        <w:rPr>
          <w:sz w:val="22"/>
          <w:szCs w:val="22"/>
        </w:rPr>
      </w:pPr>
    </w:p>
    <w:p w:rsidR="00157870" w:rsidRPr="00295E71" w:rsidP="00157870" w14:paraId="009A517A" w14:textId="77777777">
      <w:pPr>
        <w:tabs>
          <w:tab w:val="left" w:pos="567"/>
        </w:tabs>
        <w:jc w:val="both"/>
        <w:rPr>
          <w:sz w:val="22"/>
          <w:szCs w:val="22"/>
        </w:rPr>
      </w:pPr>
      <w:r w:rsidRPr="00295E71">
        <w:rPr>
          <w:sz w:val="22"/>
          <w:szCs w:val="22"/>
        </w:rPr>
        <w:t>Una singola siringa pre-riempita di Humira può essere conservata a temperature fino a un massimo di 25°C per un periodo di non oltre 14 giorni. La siringa deve essere protetta dalla luce e gettata se non usata durante il periodo dei 14 giorni.</w:t>
      </w:r>
    </w:p>
    <w:p w:rsidR="00157870" w:rsidRPr="00295E71" w:rsidP="00157870" w14:paraId="3B345BE9" w14:textId="77777777">
      <w:pPr>
        <w:tabs>
          <w:tab w:val="left" w:pos="567"/>
        </w:tabs>
        <w:jc w:val="both"/>
        <w:rPr>
          <w:sz w:val="22"/>
          <w:szCs w:val="22"/>
        </w:rPr>
      </w:pPr>
    </w:p>
    <w:p w:rsidR="00157870" w:rsidRPr="00295E71" w:rsidP="00157870" w14:paraId="62B6C206" w14:textId="77777777">
      <w:pPr>
        <w:keepNext/>
        <w:tabs>
          <w:tab w:val="left" w:pos="567"/>
        </w:tabs>
        <w:jc w:val="both"/>
        <w:rPr>
          <w:b/>
          <w:bCs/>
          <w:sz w:val="22"/>
          <w:szCs w:val="22"/>
        </w:rPr>
      </w:pPr>
      <w:r w:rsidRPr="00295E71">
        <w:rPr>
          <w:b/>
          <w:bCs/>
          <w:sz w:val="22"/>
          <w:szCs w:val="22"/>
        </w:rPr>
        <w:t>6.5</w:t>
      </w:r>
      <w:r w:rsidRPr="00295E71">
        <w:rPr>
          <w:b/>
          <w:bCs/>
          <w:sz w:val="22"/>
          <w:szCs w:val="22"/>
        </w:rPr>
        <w:tab/>
        <w:t>Natura e contenuto del contenitore</w:t>
      </w:r>
    </w:p>
    <w:p w:rsidR="00157870" w:rsidRPr="00295E71" w:rsidP="00157870" w14:paraId="183E5752" w14:textId="77777777">
      <w:pPr>
        <w:keepNext/>
        <w:tabs>
          <w:tab w:val="left" w:pos="567"/>
        </w:tabs>
        <w:jc w:val="both"/>
        <w:rPr>
          <w:sz w:val="22"/>
          <w:szCs w:val="22"/>
        </w:rPr>
      </w:pPr>
    </w:p>
    <w:p w:rsidR="00157870" w:rsidRPr="00295E71" w:rsidP="00157870" w14:paraId="2AA890EC" w14:textId="77777777">
      <w:pPr>
        <w:keepNext/>
        <w:tabs>
          <w:tab w:val="left" w:pos="567"/>
        </w:tabs>
        <w:jc w:val="both"/>
        <w:rPr>
          <w:sz w:val="22"/>
          <w:szCs w:val="22"/>
        </w:rPr>
      </w:pPr>
      <w:r w:rsidRPr="00295E71">
        <w:rPr>
          <w:sz w:val="22"/>
          <w:szCs w:val="22"/>
        </w:rPr>
        <w:t>Humira 20 mg soluzione iniettabile in siringa pre-riempita (vetro tipo I) monouso, con uno stantuffo (gomma bromobutilica) e un ago con cappuccio (elastomero termoplastico).</w:t>
      </w:r>
    </w:p>
    <w:p w:rsidR="00157870" w:rsidRPr="00295E71" w:rsidP="00157870" w14:paraId="1FCC870D" w14:textId="77777777">
      <w:pPr>
        <w:keepNext/>
        <w:tabs>
          <w:tab w:val="left" w:pos="567"/>
        </w:tabs>
        <w:jc w:val="both"/>
        <w:rPr>
          <w:sz w:val="22"/>
          <w:szCs w:val="22"/>
        </w:rPr>
      </w:pPr>
    </w:p>
    <w:p w:rsidR="00157870" w:rsidRPr="00295E71" w:rsidP="00157870" w14:paraId="0465C4FC" w14:textId="77777777">
      <w:pPr>
        <w:keepNext/>
        <w:tabs>
          <w:tab w:val="left" w:pos="567"/>
        </w:tabs>
        <w:jc w:val="both"/>
        <w:rPr>
          <w:sz w:val="22"/>
          <w:szCs w:val="22"/>
        </w:rPr>
      </w:pPr>
      <w:r w:rsidRPr="00295E71">
        <w:rPr>
          <w:sz w:val="22"/>
          <w:szCs w:val="22"/>
        </w:rPr>
        <w:t>Confezione da:</w:t>
      </w:r>
    </w:p>
    <w:p w:rsidR="00157870" w:rsidRPr="00295E71" w:rsidP="00157870" w14:paraId="4F42A10E" w14:textId="77777777">
      <w:pPr>
        <w:tabs>
          <w:tab w:val="left" w:pos="567"/>
        </w:tabs>
        <w:jc w:val="both"/>
        <w:rPr>
          <w:sz w:val="22"/>
          <w:szCs w:val="22"/>
        </w:rPr>
      </w:pPr>
      <w:r w:rsidRPr="008C22A2">
        <w:rPr>
          <w:sz w:val="22"/>
          <w:szCs w:val="22"/>
        </w:rPr>
        <w:t>2 siringhe pre-riempite (0,2 ml di soluzione sterile), ognuna con 1 tampone imbevuto di alcool, in un blister</w:t>
      </w:r>
      <w:r w:rsidRPr="00295E71">
        <w:rPr>
          <w:sz w:val="22"/>
          <w:szCs w:val="22"/>
        </w:rPr>
        <w:t>.</w:t>
      </w:r>
    </w:p>
    <w:p w:rsidR="00157870" w:rsidRPr="00295E71" w:rsidP="00157870" w14:paraId="4A29880D" w14:textId="77777777">
      <w:pPr>
        <w:tabs>
          <w:tab w:val="left" w:pos="567"/>
        </w:tabs>
        <w:jc w:val="both"/>
        <w:rPr>
          <w:sz w:val="22"/>
          <w:szCs w:val="22"/>
        </w:rPr>
      </w:pPr>
    </w:p>
    <w:p w:rsidR="00157870" w:rsidRPr="00295E71" w:rsidP="00157870" w14:paraId="36553F21" w14:textId="77777777">
      <w:pPr>
        <w:tabs>
          <w:tab w:val="left" w:pos="567"/>
        </w:tabs>
        <w:ind w:left="567" w:hanging="567"/>
        <w:jc w:val="both"/>
        <w:rPr>
          <w:b/>
          <w:bCs/>
          <w:sz w:val="22"/>
          <w:szCs w:val="22"/>
        </w:rPr>
      </w:pPr>
      <w:r w:rsidRPr="00295E71">
        <w:rPr>
          <w:b/>
          <w:bCs/>
          <w:sz w:val="22"/>
          <w:szCs w:val="22"/>
        </w:rPr>
        <w:t>6.6</w:t>
      </w:r>
      <w:r w:rsidRPr="00295E71">
        <w:rPr>
          <w:b/>
          <w:bCs/>
          <w:sz w:val="22"/>
          <w:szCs w:val="22"/>
        </w:rPr>
        <w:tab/>
        <w:t>Precauzioni particolari per lo smaltimento</w:t>
      </w:r>
    </w:p>
    <w:p w:rsidR="00157870" w:rsidRPr="00295E71" w:rsidP="00157870" w14:paraId="7F6397BF" w14:textId="77777777">
      <w:pPr>
        <w:tabs>
          <w:tab w:val="left" w:pos="567"/>
        </w:tabs>
        <w:jc w:val="both"/>
        <w:rPr>
          <w:sz w:val="22"/>
          <w:szCs w:val="22"/>
        </w:rPr>
      </w:pPr>
    </w:p>
    <w:p w:rsidR="005A3930" w:rsidRPr="00295E71" w:rsidP="00157870" w14:paraId="2AC17485" w14:textId="77777777">
      <w:pPr>
        <w:tabs>
          <w:tab w:val="left" w:pos="567"/>
        </w:tabs>
        <w:jc w:val="both"/>
        <w:rPr>
          <w:sz w:val="22"/>
          <w:szCs w:val="22"/>
        </w:rPr>
      </w:pPr>
      <w:r w:rsidRPr="00295E71">
        <w:rPr>
          <w:sz w:val="22"/>
          <w:szCs w:val="22"/>
        </w:rPr>
        <w:t>Il medicinale non utilizzato e i rifiuti derivati da tale medicinale devono essere smaltiti in conformità alla normativa locale vigente.</w:t>
      </w:r>
    </w:p>
    <w:p w:rsidR="00157870" w:rsidRPr="00295E71" w:rsidP="00157870" w14:paraId="5A9FEF27" w14:textId="77777777">
      <w:pPr>
        <w:tabs>
          <w:tab w:val="left" w:pos="567"/>
        </w:tabs>
        <w:jc w:val="both"/>
        <w:rPr>
          <w:sz w:val="22"/>
          <w:szCs w:val="22"/>
        </w:rPr>
      </w:pPr>
    </w:p>
    <w:p w:rsidR="00157870" w:rsidRPr="00295E71" w:rsidP="00157870" w14:paraId="44A68708" w14:textId="77777777">
      <w:pPr>
        <w:tabs>
          <w:tab w:val="left" w:pos="567"/>
        </w:tabs>
        <w:jc w:val="both"/>
        <w:rPr>
          <w:sz w:val="22"/>
          <w:szCs w:val="22"/>
        </w:rPr>
      </w:pPr>
    </w:p>
    <w:p w:rsidR="00157870" w:rsidRPr="00295E71" w:rsidP="00A60A0D" w14:paraId="43970BE8" w14:textId="77777777">
      <w:pPr>
        <w:keepNext/>
        <w:tabs>
          <w:tab w:val="left" w:pos="567"/>
        </w:tabs>
        <w:ind w:left="567" w:hanging="567"/>
        <w:jc w:val="both"/>
        <w:rPr>
          <w:b/>
          <w:bCs/>
          <w:sz w:val="22"/>
          <w:szCs w:val="22"/>
        </w:rPr>
      </w:pPr>
      <w:r w:rsidRPr="00295E71">
        <w:rPr>
          <w:b/>
          <w:bCs/>
          <w:sz w:val="22"/>
          <w:szCs w:val="22"/>
        </w:rPr>
        <w:t>7.</w:t>
      </w:r>
      <w:r w:rsidRPr="00295E71">
        <w:rPr>
          <w:b/>
          <w:bCs/>
          <w:sz w:val="22"/>
          <w:szCs w:val="22"/>
        </w:rPr>
        <w:tab/>
        <w:t>TITOLARE DELL’AUTORIZZAZIONE ALL’IMMISSIONE IN COMMERCIO</w:t>
      </w:r>
    </w:p>
    <w:p w:rsidR="00157870" w:rsidRPr="00295E71" w:rsidP="00157870" w14:paraId="14B0A07F" w14:textId="77777777">
      <w:pPr>
        <w:tabs>
          <w:tab w:val="left" w:pos="567"/>
        </w:tabs>
        <w:jc w:val="both"/>
        <w:rPr>
          <w:sz w:val="22"/>
          <w:szCs w:val="22"/>
        </w:rPr>
      </w:pPr>
    </w:p>
    <w:p w:rsidR="00D815A9" w:rsidRPr="00295E71" w:rsidP="00D815A9" w14:paraId="5709DA1D" w14:textId="77777777">
      <w:pPr>
        <w:tabs>
          <w:tab w:val="left" w:pos="567"/>
        </w:tabs>
        <w:jc w:val="both"/>
        <w:rPr>
          <w:sz w:val="22"/>
          <w:szCs w:val="22"/>
        </w:rPr>
      </w:pPr>
      <w:r w:rsidRPr="00295E71">
        <w:rPr>
          <w:sz w:val="22"/>
          <w:szCs w:val="22"/>
        </w:rPr>
        <w:t>AbbVie Deutschland GmbH &amp; Co. KG</w:t>
      </w:r>
    </w:p>
    <w:p w:rsidR="00D815A9" w:rsidRPr="00295E71" w:rsidP="00D815A9" w14:paraId="30016A4B" w14:textId="77777777">
      <w:pPr>
        <w:tabs>
          <w:tab w:val="left" w:pos="567"/>
        </w:tabs>
        <w:jc w:val="both"/>
        <w:rPr>
          <w:sz w:val="22"/>
          <w:szCs w:val="22"/>
        </w:rPr>
      </w:pPr>
      <w:r w:rsidRPr="00295E71">
        <w:rPr>
          <w:sz w:val="22"/>
          <w:szCs w:val="22"/>
        </w:rPr>
        <w:t>Knollstrasse</w:t>
      </w:r>
    </w:p>
    <w:p w:rsidR="00D815A9" w:rsidRPr="00295E71" w:rsidP="00D815A9" w14:paraId="41579E55" w14:textId="77777777">
      <w:pPr>
        <w:tabs>
          <w:tab w:val="left" w:pos="567"/>
        </w:tabs>
        <w:jc w:val="both"/>
        <w:rPr>
          <w:sz w:val="22"/>
          <w:szCs w:val="22"/>
        </w:rPr>
      </w:pPr>
      <w:r w:rsidRPr="00295E71">
        <w:rPr>
          <w:sz w:val="22"/>
          <w:szCs w:val="22"/>
        </w:rPr>
        <w:t>67061 Ludwigshafen</w:t>
      </w:r>
    </w:p>
    <w:p w:rsidR="00157870" w:rsidRPr="00295E71" w:rsidP="00D815A9" w14:paraId="5961E99C" w14:textId="77777777">
      <w:pPr>
        <w:tabs>
          <w:tab w:val="left" w:pos="567"/>
        </w:tabs>
        <w:jc w:val="both"/>
        <w:rPr>
          <w:sz w:val="22"/>
          <w:szCs w:val="22"/>
        </w:rPr>
      </w:pPr>
      <w:r w:rsidRPr="00295E71">
        <w:rPr>
          <w:sz w:val="22"/>
          <w:szCs w:val="22"/>
        </w:rPr>
        <w:t>Germania</w:t>
      </w:r>
    </w:p>
    <w:p w:rsidR="00157870" w:rsidRPr="00295E71" w:rsidP="00157870" w14:paraId="1C4BF17F" w14:textId="77777777">
      <w:pPr>
        <w:tabs>
          <w:tab w:val="left" w:pos="567"/>
        </w:tabs>
        <w:jc w:val="both"/>
        <w:rPr>
          <w:sz w:val="22"/>
          <w:szCs w:val="22"/>
        </w:rPr>
      </w:pPr>
    </w:p>
    <w:p w:rsidR="00A3209A" w:rsidRPr="00295E71" w:rsidP="00157870" w14:paraId="287C573A" w14:textId="77777777">
      <w:pPr>
        <w:tabs>
          <w:tab w:val="left" w:pos="567"/>
        </w:tabs>
        <w:jc w:val="both"/>
        <w:rPr>
          <w:sz w:val="22"/>
          <w:szCs w:val="22"/>
        </w:rPr>
      </w:pPr>
    </w:p>
    <w:p w:rsidR="00157870" w:rsidRPr="00295E71" w:rsidP="00157870" w14:paraId="452B077D" w14:textId="77777777">
      <w:pPr>
        <w:tabs>
          <w:tab w:val="left" w:pos="567"/>
        </w:tabs>
        <w:jc w:val="both"/>
        <w:rPr>
          <w:b/>
          <w:bCs/>
          <w:sz w:val="22"/>
          <w:szCs w:val="22"/>
        </w:rPr>
      </w:pPr>
      <w:r w:rsidRPr="00295E71">
        <w:rPr>
          <w:b/>
          <w:bCs/>
          <w:sz w:val="22"/>
          <w:szCs w:val="22"/>
        </w:rPr>
        <w:t>8.</w:t>
      </w:r>
      <w:r w:rsidRPr="00295E71">
        <w:rPr>
          <w:b/>
          <w:bCs/>
          <w:sz w:val="22"/>
          <w:szCs w:val="22"/>
        </w:rPr>
        <w:tab/>
        <w:t>NUMERO</w:t>
      </w:r>
      <w:r w:rsidR="008C22A2">
        <w:rPr>
          <w:b/>
          <w:bCs/>
          <w:sz w:val="22"/>
          <w:szCs w:val="22"/>
        </w:rPr>
        <w:t>(I)</w:t>
      </w:r>
      <w:r w:rsidRPr="00295E71">
        <w:rPr>
          <w:b/>
          <w:bCs/>
          <w:sz w:val="22"/>
          <w:szCs w:val="22"/>
        </w:rPr>
        <w:t xml:space="preserve"> DELL’AUTORIZZAZIONE ALL’IMMISSIONE IN COMMERCIO</w:t>
      </w:r>
    </w:p>
    <w:p w:rsidR="00157870" w:rsidRPr="00295E71" w:rsidP="00157870" w14:paraId="1ECB21D3" w14:textId="77777777">
      <w:pPr>
        <w:tabs>
          <w:tab w:val="left" w:pos="567"/>
        </w:tabs>
        <w:jc w:val="both"/>
        <w:rPr>
          <w:bCs/>
          <w:sz w:val="22"/>
          <w:szCs w:val="22"/>
        </w:rPr>
      </w:pPr>
    </w:p>
    <w:p w:rsidR="00157870" w:rsidRPr="00295E71" w:rsidP="00157870" w14:paraId="71DD6634" w14:textId="77777777">
      <w:pPr>
        <w:tabs>
          <w:tab w:val="left" w:pos="567"/>
        </w:tabs>
        <w:jc w:val="both"/>
        <w:rPr>
          <w:sz w:val="22"/>
          <w:szCs w:val="22"/>
        </w:rPr>
      </w:pPr>
      <w:r w:rsidRPr="00295E71">
        <w:rPr>
          <w:sz w:val="22"/>
          <w:szCs w:val="22"/>
        </w:rPr>
        <w:t>EU/1/03/256/022</w:t>
      </w:r>
    </w:p>
    <w:p w:rsidR="00157870" w:rsidRPr="00295E71" w:rsidP="00157870" w14:paraId="55A6CED4" w14:textId="77777777">
      <w:pPr>
        <w:tabs>
          <w:tab w:val="left" w:pos="567"/>
        </w:tabs>
        <w:jc w:val="both"/>
        <w:rPr>
          <w:sz w:val="22"/>
          <w:szCs w:val="22"/>
        </w:rPr>
      </w:pPr>
    </w:p>
    <w:p w:rsidR="00157870" w:rsidRPr="00295E71" w:rsidP="00157870" w14:paraId="7B597141" w14:textId="77777777">
      <w:pPr>
        <w:tabs>
          <w:tab w:val="left" w:pos="567"/>
        </w:tabs>
        <w:jc w:val="both"/>
        <w:rPr>
          <w:sz w:val="22"/>
          <w:szCs w:val="22"/>
        </w:rPr>
      </w:pPr>
    </w:p>
    <w:p w:rsidR="00157870" w:rsidRPr="00295E71" w:rsidP="00157870" w14:paraId="315ACD70" w14:textId="77777777">
      <w:pPr>
        <w:keepNext/>
        <w:tabs>
          <w:tab w:val="left" w:pos="567"/>
        </w:tabs>
        <w:ind w:left="567" w:hanging="567"/>
        <w:jc w:val="both"/>
        <w:rPr>
          <w:b/>
          <w:bCs/>
          <w:sz w:val="22"/>
          <w:szCs w:val="22"/>
        </w:rPr>
      </w:pPr>
      <w:r w:rsidRPr="00295E71">
        <w:rPr>
          <w:b/>
          <w:bCs/>
          <w:sz w:val="22"/>
          <w:szCs w:val="22"/>
        </w:rPr>
        <w:t>9.</w:t>
      </w:r>
      <w:r w:rsidRPr="00295E71">
        <w:rPr>
          <w:b/>
          <w:bCs/>
          <w:sz w:val="22"/>
          <w:szCs w:val="22"/>
        </w:rPr>
        <w:tab/>
        <w:t>DATA DELLA PRIMA AUTORIZZAZIONE/RINNOVO DELL’AUTORIZZAZIONE</w:t>
      </w:r>
    </w:p>
    <w:p w:rsidR="00157870" w:rsidRPr="00295E71" w:rsidP="00157870" w14:paraId="0388213A" w14:textId="77777777">
      <w:pPr>
        <w:keepNext/>
        <w:tabs>
          <w:tab w:val="left" w:pos="567"/>
        </w:tabs>
        <w:jc w:val="both"/>
        <w:rPr>
          <w:sz w:val="22"/>
          <w:szCs w:val="22"/>
        </w:rPr>
      </w:pPr>
    </w:p>
    <w:p w:rsidR="00157870" w:rsidRPr="00295E71" w:rsidP="00157870" w14:paraId="186F51E4" w14:textId="77777777">
      <w:pPr>
        <w:keepNext/>
        <w:tabs>
          <w:tab w:val="left" w:pos="567"/>
        </w:tabs>
        <w:ind w:left="567" w:hanging="567"/>
        <w:jc w:val="both"/>
        <w:rPr>
          <w:rStyle w:val="hps"/>
          <w:color w:val="000000"/>
          <w:sz w:val="22"/>
          <w:szCs w:val="22"/>
        </w:rPr>
      </w:pPr>
      <w:r w:rsidRPr="00295E71">
        <w:rPr>
          <w:sz w:val="22"/>
          <w:szCs w:val="22"/>
        </w:rPr>
        <w:t xml:space="preserve">Data della prima autorizzazione: 08 </w:t>
      </w:r>
      <w:r w:rsidRPr="00295E71">
        <w:rPr>
          <w:rStyle w:val="hps"/>
          <w:color w:val="000000"/>
          <w:sz w:val="22"/>
          <w:szCs w:val="22"/>
        </w:rPr>
        <w:t>settembre 2003</w:t>
      </w:r>
    </w:p>
    <w:p w:rsidR="00157870" w:rsidRPr="00295E71" w:rsidP="00157870" w14:paraId="01A54490" w14:textId="77777777">
      <w:pPr>
        <w:keepNext/>
        <w:tabs>
          <w:tab w:val="left" w:pos="567"/>
        </w:tabs>
        <w:ind w:left="567" w:hanging="567"/>
        <w:jc w:val="both"/>
        <w:rPr>
          <w:sz w:val="22"/>
          <w:szCs w:val="22"/>
        </w:rPr>
      </w:pPr>
      <w:r w:rsidRPr="00295E71">
        <w:rPr>
          <w:sz w:val="22"/>
          <w:szCs w:val="22"/>
        </w:rPr>
        <w:t xml:space="preserve">Data del rinnovo più recente: 08 </w:t>
      </w:r>
      <w:r w:rsidRPr="00295E71">
        <w:rPr>
          <w:rStyle w:val="hps"/>
          <w:color w:val="000000"/>
          <w:sz w:val="22"/>
          <w:szCs w:val="22"/>
        </w:rPr>
        <w:t>settembre 2008</w:t>
      </w:r>
    </w:p>
    <w:p w:rsidR="00157870" w:rsidRPr="00295E71" w:rsidP="00157870" w14:paraId="3C440CA6" w14:textId="77777777">
      <w:pPr>
        <w:tabs>
          <w:tab w:val="left" w:pos="567"/>
        </w:tabs>
        <w:ind w:left="567" w:hanging="567"/>
        <w:jc w:val="both"/>
        <w:rPr>
          <w:sz w:val="22"/>
          <w:szCs w:val="22"/>
        </w:rPr>
      </w:pPr>
    </w:p>
    <w:p w:rsidR="00157870" w:rsidRPr="00295E71" w:rsidP="00157870" w14:paraId="19A608F6" w14:textId="77777777">
      <w:pPr>
        <w:tabs>
          <w:tab w:val="left" w:pos="567"/>
        </w:tabs>
        <w:ind w:left="567" w:hanging="567"/>
        <w:jc w:val="both"/>
        <w:rPr>
          <w:sz w:val="22"/>
          <w:szCs w:val="22"/>
        </w:rPr>
      </w:pPr>
    </w:p>
    <w:p w:rsidR="00157870" w:rsidRPr="00295E71" w:rsidP="00157870" w14:paraId="11B27D57" w14:textId="77777777">
      <w:pPr>
        <w:tabs>
          <w:tab w:val="left" w:pos="567"/>
        </w:tabs>
        <w:jc w:val="both"/>
        <w:rPr>
          <w:b/>
          <w:bCs/>
          <w:sz w:val="22"/>
          <w:szCs w:val="22"/>
        </w:rPr>
      </w:pPr>
      <w:r w:rsidRPr="00295E71">
        <w:rPr>
          <w:b/>
          <w:bCs/>
          <w:sz w:val="22"/>
          <w:szCs w:val="22"/>
        </w:rPr>
        <w:t>10.</w:t>
      </w:r>
      <w:r w:rsidRPr="00295E71">
        <w:rPr>
          <w:b/>
          <w:bCs/>
          <w:sz w:val="22"/>
          <w:szCs w:val="22"/>
        </w:rPr>
        <w:tab/>
        <w:t>DATA DI REVISIONE DEL TESTO</w:t>
      </w:r>
    </w:p>
    <w:p w:rsidR="00157870" w:rsidRPr="00295E71" w:rsidP="00157870" w14:paraId="077F4063" w14:textId="77777777">
      <w:pPr>
        <w:tabs>
          <w:tab w:val="left" w:pos="567"/>
        </w:tabs>
        <w:jc w:val="both"/>
        <w:rPr>
          <w:b/>
          <w:bCs/>
          <w:sz w:val="22"/>
          <w:szCs w:val="22"/>
        </w:rPr>
      </w:pPr>
    </w:p>
    <w:p w:rsidR="00157870" w:rsidRPr="00295E71" w:rsidP="00157870" w14:paraId="37D5B7E8" w14:textId="77777777">
      <w:pPr>
        <w:rPr>
          <w:bCs/>
          <w:sz w:val="22"/>
          <w:szCs w:val="22"/>
        </w:rPr>
      </w:pPr>
      <w:r w:rsidRPr="00295E71">
        <w:rPr>
          <w:bCs/>
          <w:sz w:val="22"/>
          <w:szCs w:val="22"/>
        </w:rPr>
        <w:t>Informazioni più dettagliate su questo medicinale sono disponibili sul sito web dell’Agenzia europea dei medicinali</w:t>
      </w:r>
      <w:r w:rsidR="008C22A2">
        <w:rPr>
          <w:bCs/>
          <w:sz w:val="22"/>
          <w:szCs w:val="22"/>
        </w:rPr>
        <w:t>,</w:t>
      </w:r>
      <w:r w:rsidRPr="00295E71">
        <w:rPr>
          <w:bCs/>
          <w:sz w:val="22"/>
          <w:szCs w:val="22"/>
        </w:rPr>
        <w:t xml:space="preserve"> </w:t>
      </w:r>
      <w:ins w:id="42" w:author="AbbVie14" w:date="2025-05-09T10:24:00Z">
        <w:r w:rsidR="00AD7AF0">
          <w:rPr>
            <w:bCs/>
            <w:sz w:val="22"/>
            <w:szCs w:val="22"/>
          </w:rPr>
          <w:fldChar w:fldCharType="begin"/>
        </w:r>
      </w:ins>
      <w:ins w:id="43" w:author="AbbVie14" w:date="2025-05-09T10:24:00Z">
        <w:r w:rsidR="00AD7AF0">
          <w:rPr>
            <w:bCs/>
            <w:sz w:val="22"/>
            <w:szCs w:val="22"/>
          </w:rPr>
          <w:instrText>HYPERLINK "</w:instrText>
        </w:r>
      </w:ins>
      <w:r w:rsidRPr="00AD7AF0" w:rsidR="00AD7AF0">
        <w:rPr>
          <w:rStyle w:val="Hyperlink"/>
          <w:bCs/>
          <w:sz w:val="22"/>
          <w:szCs w:val="22"/>
        </w:rPr>
        <w:instrText>http</w:instrText>
      </w:r>
      <w:ins w:id="44" w:author="AbbVie14" w:date="2025-05-09T10:24:00Z">
        <w:r w:rsidRPr="00AD7AF0" w:rsidR="00AD7AF0">
          <w:rPr>
            <w:rStyle w:val="Hyperlink"/>
            <w:bCs/>
            <w:sz w:val="22"/>
            <w:szCs w:val="22"/>
          </w:rPr>
          <w:instrText>s</w:instrText>
        </w:r>
      </w:ins>
      <w:r w:rsidRPr="00AD7AF0" w:rsidR="00AD7AF0">
        <w:rPr>
          <w:rStyle w:val="Hyperlink"/>
          <w:bCs/>
          <w:sz w:val="22"/>
          <w:szCs w:val="22"/>
        </w:rPr>
        <w:instrText>://www.ema.europa.eu</w:instrText>
      </w:r>
      <w:ins w:id="45" w:author="AbbVie14" w:date="2025-05-09T10:24:00Z">
        <w:r w:rsidR="00AD7AF0">
          <w:rPr>
            <w:bCs/>
            <w:sz w:val="22"/>
            <w:szCs w:val="22"/>
          </w:rPr>
          <w:instrText>"</w:instrText>
        </w:r>
      </w:ins>
      <w:ins w:id="46" w:author="AbbVie14" w:date="2025-05-09T10:24:00Z">
        <w:r w:rsidR="00AD7AF0">
          <w:rPr>
            <w:bCs/>
            <w:sz w:val="22"/>
            <w:szCs w:val="22"/>
          </w:rPr>
          <w:fldChar w:fldCharType="separate"/>
        </w:r>
      </w:ins>
      <w:r w:rsidRPr="00AD7AF0" w:rsidR="00AD7AF0">
        <w:rPr>
          <w:rStyle w:val="Hyperlink"/>
          <w:bCs/>
          <w:sz w:val="22"/>
          <w:szCs w:val="22"/>
        </w:rPr>
        <w:t>http</w:t>
      </w:r>
      <w:ins w:id="47" w:author="AbbVie14" w:date="2025-05-09T10:24:00Z">
        <w:r w:rsidRPr="00AD7AF0" w:rsidR="00AD7AF0">
          <w:rPr>
            <w:rStyle w:val="Hyperlink"/>
            <w:bCs/>
            <w:sz w:val="22"/>
            <w:szCs w:val="22"/>
          </w:rPr>
          <w:t>s</w:t>
        </w:r>
      </w:ins>
      <w:r w:rsidRPr="00AD7AF0" w:rsidR="00AD7AF0">
        <w:rPr>
          <w:rStyle w:val="Hyperlink"/>
          <w:bCs/>
          <w:sz w:val="22"/>
          <w:szCs w:val="22"/>
        </w:rPr>
        <w:t>://www.ema.europa.eu</w:t>
      </w:r>
      <w:ins w:id="48" w:author="AbbVie14" w:date="2025-05-09T10:24:00Z">
        <w:r w:rsidR="00AD7AF0">
          <w:rPr>
            <w:bCs/>
            <w:sz w:val="22"/>
            <w:szCs w:val="22"/>
          </w:rPr>
          <w:fldChar w:fldCharType="end"/>
        </w:r>
      </w:ins>
    </w:p>
    <w:p w:rsidR="006224C2" w:rsidRPr="00295E71" w:rsidP="00AD7AF0" w14:paraId="1CFD23FD" w14:textId="77777777">
      <w:pPr>
        <w:pStyle w:val="Heading2"/>
        <w:keepNext w:val="0"/>
        <w:spacing w:before="0" w:after="0" w:line="240" w:lineRule="auto"/>
        <w:jc w:val="both"/>
        <w:rPr>
          <w:del w:id="49" w:author="AbbVie14" w:date="2025-05-09T10:28:00Z"/>
          <w:rFonts w:ascii="Times New Roman" w:hAnsi="Times New Roman" w:cs="Times New Roman"/>
          <w:i w:val="0"/>
          <w:iCs w:val="0"/>
          <w:sz w:val="22"/>
          <w:szCs w:val="22"/>
          <w:lang w:val="it-IT"/>
        </w:rPr>
      </w:pPr>
      <w:r w:rsidRPr="000B3DBE">
        <w:rPr>
          <w:sz w:val="22"/>
          <w:szCs w:val="22"/>
          <w:lang w:val="it-IT"/>
        </w:rPr>
        <w:br w:type="page"/>
      </w:r>
      <w:del w:id="50" w:author="AbbVie14" w:date="2025-05-09T10:28:00Z">
        <w:r w:rsidRPr="00295E71" w:rsidR="00226BC4">
          <w:rPr>
            <w:rFonts w:ascii="Times New Roman" w:hAnsi="Times New Roman" w:cs="Times New Roman"/>
            <w:i w:val="0"/>
            <w:iCs w:val="0"/>
            <w:sz w:val="22"/>
            <w:szCs w:val="22"/>
            <w:lang w:val="it-IT"/>
          </w:rPr>
          <w:delText>1.</w:delText>
        </w:r>
      </w:del>
      <w:del w:id="51" w:author="AbbVie14" w:date="2025-05-09T10:28:00Z">
        <w:r w:rsidRPr="00295E71" w:rsidR="00226BC4">
          <w:rPr>
            <w:rFonts w:ascii="Times New Roman" w:hAnsi="Times New Roman" w:cs="Times New Roman"/>
            <w:i w:val="0"/>
            <w:iCs w:val="0"/>
            <w:sz w:val="22"/>
            <w:szCs w:val="22"/>
            <w:lang w:val="it-IT"/>
          </w:rPr>
          <w:tab/>
        </w:r>
      </w:del>
      <w:del w:id="52" w:author="AbbVie14" w:date="2025-05-09T10:28:00Z">
        <w:r w:rsidRPr="00295E71" w:rsidR="00226BC4">
          <w:rPr>
            <w:rFonts w:ascii="Times New Roman" w:hAnsi="Times New Roman" w:cs="Times New Roman"/>
            <w:i w:val="0"/>
            <w:iCs w:val="0"/>
            <w:caps/>
            <w:sz w:val="22"/>
            <w:szCs w:val="22"/>
            <w:lang w:val="it-IT"/>
          </w:rPr>
          <w:delText>Denominazione del medicinale</w:delText>
        </w:r>
      </w:del>
    </w:p>
    <w:p w:rsidR="006224C2" w:rsidRPr="00295E71" w:rsidP="00AD7AF0" w14:paraId="365A592F" w14:textId="77777777">
      <w:pPr>
        <w:tabs>
          <w:tab w:val="left" w:pos="567"/>
        </w:tabs>
        <w:autoSpaceDE w:val="0"/>
        <w:autoSpaceDN w:val="0"/>
        <w:adjustRightInd w:val="0"/>
        <w:jc w:val="both"/>
        <w:rPr>
          <w:del w:id="53" w:author="AbbVie14" w:date="2025-05-09T10:28:00Z"/>
          <w:color w:val="000000"/>
          <w:sz w:val="22"/>
          <w:szCs w:val="22"/>
        </w:rPr>
      </w:pPr>
    </w:p>
    <w:p w:rsidR="006224C2" w:rsidRPr="00295E71" w:rsidP="00AD7AF0" w14:paraId="431C235C" w14:textId="77777777">
      <w:pPr>
        <w:tabs>
          <w:tab w:val="left" w:pos="567"/>
        </w:tabs>
        <w:autoSpaceDE w:val="0"/>
        <w:autoSpaceDN w:val="0"/>
        <w:adjustRightInd w:val="0"/>
        <w:jc w:val="both"/>
        <w:rPr>
          <w:del w:id="54" w:author="AbbVie14" w:date="2025-05-09T10:28:00Z"/>
          <w:color w:val="000000"/>
          <w:sz w:val="22"/>
          <w:szCs w:val="22"/>
        </w:rPr>
      </w:pPr>
      <w:del w:id="55" w:author="AbbVie14" w:date="2025-05-09T10:28:00Z">
        <w:r w:rsidRPr="00295E71">
          <w:rPr>
            <w:color w:val="000000"/>
            <w:sz w:val="22"/>
            <w:szCs w:val="22"/>
          </w:rPr>
          <w:delText>Humira 40 mg/0,8 ml soluzione iniettabile</w:delText>
        </w:r>
      </w:del>
    </w:p>
    <w:p w:rsidR="006224C2" w:rsidRPr="00295E71" w:rsidP="00AD7AF0" w14:paraId="29855E9C" w14:textId="77777777">
      <w:pPr>
        <w:tabs>
          <w:tab w:val="left" w:pos="567"/>
        </w:tabs>
        <w:autoSpaceDE w:val="0"/>
        <w:autoSpaceDN w:val="0"/>
        <w:adjustRightInd w:val="0"/>
        <w:jc w:val="both"/>
        <w:rPr>
          <w:del w:id="56" w:author="AbbVie14" w:date="2025-05-09T10:28:00Z"/>
          <w:color w:val="000000"/>
          <w:sz w:val="22"/>
          <w:szCs w:val="22"/>
        </w:rPr>
      </w:pPr>
    </w:p>
    <w:p w:rsidR="006224C2" w:rsidRPr="00295E71" w:rsidP="00AD7AF0" w14:paraId="7C8B4682" w14:textId="77777777">
      <w:pPr>
        <w:tabs>
          <w:tab w:val="left" w:pos="567"/>
        </w:tabs>
        <w:autoSpaceDE w:val="0"/>
        <w:autoSpaceDN w:val="0"/>
        <w:adjustRightInd w:val="0"/>
        <w:jc w:val="both"/>
        <w:rPr>
          <w:del w:id="57" w:author="AbbVie14" w:date="2025-05-09T10:28:00Z"/>
          <w:color w:val="000000"/>
          <w:sz w:val="22"/>
          <w:szCs w:val="22"/>
        </w:rPr>
      </w:pPr>
    </w:p>
    <w:p w:rsidR="006224C2" w:rsidRPr="00295E71" w:rsidP="00AD7AF0" w14:paraId="061CE024" w14:textId="77777777">
      <w:pPr>
        <w:tabs>
          <w:tab w:val="left" w:pos="567"/>
        </w:tabs>
        <w:jc w:val="both"/>
        <w:rPr>
          <w:del w:id="58" w:author="AbbVie14" w:date="2025-05-09T10:28:00Z"/>
          <w:b/>
          <w:bCs/>
          <w:sz w:val="22"/>
          <w:szCs w:val="22"/>
        </w:rPr>
      </w:pPr>
      <w:del w:id="59" w:author="AbbVie14" w:date="2025-05-09T10:28:00Z">
        <w:r w:rsidRPr="00295E71">
          <w:rPr>
            <w:b/>
            <w:bCs/>
            <w:sz w:val="22"/>
            <w:szCs w:val="22"/>
          </w:rPr>
          <w:delText>2.</w:delText>
        </w:r>
      </w:del>
      <w:del w:id="60" w:author="AbbVie14" w:date="2025-05-09T10:28:00Z">
        <w:r w:rsidRPr="00295E71">
          <w:rPr>
            <w:b/>
            <w:bCs/>
            <w:sz w:val="22"/>
            <w:szCs w:val="22"/>
          </w:rPr>
          <w:tab/>
          <w:delText>COMPOSIZIONE QUALITATIVA E QUANTITATIVA</w:delText>
        </w:r>
      </w:del>
    </w:p>
    <w:p w:rsidR="006224C2" w:rsidRPr="00295E71" w:rsidP="00AD7AF0" w14:paraId="1CCF82BF" w14:textId="77777777">
      <w:pPr>
        <w:tabs>
          <w:tab w:val="left" w:pos="567"/>
        </w:tabs>
        <w:autoSpaceDE w:val="0"/>
        <w:autoSpaceDN w:val="0"/>
        <w:adjustRightInd w:val="0"/>
        <w:jc w:val="both"/>
        <w:rPr>
          <w:del w:id="61" w:author="AbbVie14" w:date="2025-05-09T10:28:00Z"/>
          <w:color w:val="000000"/>
          <w:sz w:val="22"/>
          <w:szCs w:val="22"/>
        </w:rPr>
      </w:pPr>
    </w:p>
    <w:p w:rsidR="006224C2" w:rsidRPr="00295E71" w:rsidP="00AD7AF0" w14:paraId="5FD79FAB" w14:textId="77777777">
      <w:pPr>
        <w:tabs>
          <w:tab w:val="left" w:pos="567"/>
        </w:tabs>
        <w:autoSpaceDE w:val="0"/>
        <w:autoSpaceDN w:val="0"/>
        <w:adjustRightInd w:val="0"/>
        <w:jc w:val="both"/>
        <w:rPr>
          <w:del w:id="62" w:author="AbbVie14" w:date="2025-05-09T10:28:00Z"/>
          <w:color w:val="000000"/>
          <w:sz w:val="22"/>
          <w:szCs w:val="22"/>
        </w:rPr>
      </w:pPr>
      <w:del w:id="63" w:author="AbbVie14" w:date="2025-05-09T10:28:00Z">
        <w:r w:rsidRPr="00295E71">
          <w:rPr>
            <w:color w:val="000000"/>
            <w:sz w:val="22"/>
            <w:szCs w:val="22"/>
          </w:rPr>
          <w:delText>Ciascun flaconcino monodose da 0,8 ml contiene 40 mg di adalimumab.</w:delText>
        </w:r>
      </w:del>
    </w:p>
    <w:p w:rsidR="006224C2" w:rsidRPr="00295E71" w:rsidP="00AD7AF0" w14:paraId="6E154B7E" w14:textId="77777777">
      <w:pPr>
        <w:tabs>
          <w:tab w:val="left" w:pos="567"/>
        </w:tabs>
        <w:autoSpaceDE w:val="0"/>
        <w:autoSpaceDN w:val="0"/>
        <w:adjustRightInd w:val="0"/>
        <w:jc w:val="both"/>
        <w:rPr>
          <w:del w:id="64" w:author="AbbVie14" w:date="2025-05-09T10:28:00Z"/>
          <w:sz w:val="22"/>
          <w:szCs w:val="22"/>
        </w:rPr>
      </w:pPr>
    </w:p>
    <w:p w:rsidR="006224C2" w:rsidRPr="00295E71" w:rsidP="00AD7AF0" w14:paraId="41FE21F3" w14:textId="77777777">
      <w:pPr>
        <w:tabs>
          <w:tab w:val="left" w:pos="567"/>
        </w:tabs>
        <w:autoSpaceDE w:val="0"/>
        <w:autoSpaceDN w:val="0"/>
        <w:adjustRightInd w:val="0"/>
        <w:jc w:val="both"/>
        <w:rPr>
          <w:del w:id="65" w:author="AbbVie14" w:date="2025-05-09T10:28:00Z"/>
          <w:color w:val="000000"/>
          <w:sz w:val="22"/>
          <w:szCs w:val="22"/>
        </w:rPr>
      </w:pPr>
      <w:del w:id="66" w:author="AbbVie14" w:date="2025-05-09T10:28:00Z">
        <w:r w:rsidRPr="00295E71">
          <w:rPr>
            <w:color w:val="000000"/>
            <w:sz w:val="22"/>
            <w:szCs w:val="22"/>
          </w:rPr>
          <w:delText xml:space="preserve">Adalimumab è un anticorpo monoclonale umano ricombinante </w:delText>
        </w:r>
      </w:del>
      <w:del w:id="67" w:author="AbbVie14" w:date="2025-05-09T10:28:00Z">
        <w:r w:rsidRPr="00295E71" w:rsidR="00CB7B65">
          <w:rPr>
            <w:color w:val="000000"/>
            <w:sz w:val="22"/>
            <w:szCs w:val="22"/>
          </w:rPr>
          <w:delText xml:space="preserve">prodotto </w:delText>
        </w:r>
      </w:del>
      <w:del w:id="68" w:author="AbbVie14" w:date="2025-05-09T10:28:00Z">
        <w:r w:rsidRPr="00295E71">
          <w:rPr>
            <w:color w:val="000000"/>
            <w:sz w:val="22"/>
            <w:szCs w:val="22"/>
          </w:rPr>
          <w:delText>in cellule ovariche di criceto cinese (Chinese Hamster Ovary).</w:delText>
        </w:r>
      </w:del>
    </w:p>
    <w:p w:rsidR="006224C2" w:rsidRPr="00295E71" w:rsidP="00AD7AF0" w14:paraId="4D6946CF" w14:textId="77777777">
      <w:pPr>
        <w:tabs>
          <w:tab w:val="left" w:pos="567"/>
        </w:tabs>
        <w:autoSpaceDE w:val="0"/>
        <w:autoSpaceDN w:val="0"/>
        <w:adjustRightInd w:val="0"/>
        <w:jc w:val="both"/>
        <w:rPr>
          <w:del w:id="69" w:author="AbbVie14" w:date="2025-05-09T10:28:00Z"/>
          <w:color w:val="000000"/>
          <w:sz w:val="22"/>
          <w:szCs w:val="22"/>
        </w:rPr>
      </w:pPr>
    </w:p>
    <w:p w:rsidR="006224C2" w:rsidRPr="00295E71" w:rsidP="00AD7AF0" w14:paraId="5ACE63BD" w14:textId="77777777">
      <w:pPr>
        <w:tabs>
          <w:tab w:val="left" w:pos="567"/>
        </w:tabs>
        <w:jc w:val="both"/>
        <w:rPr>
          <w:del w:id="70" w:author="AbbVie14" w:date="2025-05-09T10:28:00Z"/>
          <w:sz w:val="22"/>
          <w:szCs w:val="22"/>
        </w:rPr>
      </w:pPr>
      <w:del w:id="71" w:author="AbbVie14" w:date="2025-05-09T10:28:00Z">
        <w:r w:rsidRPr="00295E71">
          <w:rPr>
            <w:sz w:val="22"/>
            <w:szCs w:val="22"/>
          </w:rPr>
          <w:delText>Per l’elenco completo degli eccipienti, vedere paragrafo 6.1.</w:delText>
        </w:r>
      </w:del>
    </w:p>
    <w:p w:rsidR="006224C2" w:rsidRPr="00295E71" w14:paraId="3AD5431F" w14:textId="77777777">
      <w:pPr>
        <w:tabs>
          <w:tab w:val="left" w:pos="567"/>
        </w:tabs>
        <w:jc w:val="both"/>
        <w:rPr>
          <w:del w:id="72" w:author="AbbVie14" w:date="2025-05-09T10:28:00Z"/>
          <w:b/>
          <w:bCs/>
          <w:caps/>
          <w:sz w:val="22"/>
          <w:szCs w:val="22"/>
        </w:rPr>
      </w:pPr>
      <w:del w:id="73" w:author="AbbVie14" w:date="2025-05-09T10:28:00Z">
        <w:r w:rsidRPr="00295E71">
          <w:rPr>
            <w:b/>
            <w:bCs/>
            <w:sz w:val="22"/>
            <w:szCs w:val="22"/>
          </w:rPr>
          <w:delText>3.</w:delText>
        </w:r>
      </w:del>
      <w:del w:id="74" w:author="AbbVie14" w:date="2025-05-09T10:28:00Z">
        <w:r w:rsidRPr="00295E71">
          <w:rPr>
            <w:b/>
            <w:bCs/>
            <w:sz w:val="22"/>
            <w:szCs w:val="22"/>
          </w:rPr>
          <w:tab/>
          <w:delText>FORMA FARMACEUTICA</w:delText>
        </w:r>
      </w:del>
    </w:p>
    <w:p w:rsidR="006224C2" w:rsidRPr="00295E71" w14:paraId="227CC099" w14:textId="77777777">
      <w:pPr>
        <w:tabs>
          <w:tab w:val="left" w:pos="567"/>
        </w:tabs>
        <w:jc w:val="both"/>
        <w:rPr>
          <w:del w:id="75" w:author="AbbVie14" w:date="2025-05-09T10:28:00Z"/>
          <w:caps/>
          <w:sz w:val="22"/>
          <w:szCs w:val="22"/>
        </w:rPr>
      </w:pPr>
    </w:p>
    <w:p w:rsidR="006224C2" w:rsidRPr="00295E71" w14:paraId="26F57A3C" w14:textId="77777777">
      <w:pPr>
        <w:tabs>
          <w:tab w:val="left" w:pos="567"/>
        </w:tabs>
        <w:jc w:val="both"/>
        <w:rPr>
          <w:del w:id="76" w:author="AbbVie14" w:date="2025-05-09T10:28:00Z"/>
          <w:sz w:val="22"/>
          <w:szCs w:val="22"/>
        </w:rPr>
      </w:pPr>
      <w:del w:id="77" w:author="AbbVie14" w:date="2025-05-09T10:28:00Z">
        <w:r w:rsidRPr="00295E71">
          <w:rPr>
            <w:sz w:val="22"/>
            <w:szCs w:val="22"/>
          </w:rPr>
          <w:delText>Soluzione iniettabile.</w:delText>
        </w:r>
      </w:del>
      <w:del w:id="78" w:author="AbbVie14" w:date="2025-05-09T10:28:00Z">
        <w:r w:rsidRPr="00295E71" w:rsidR="00870615">
          <w:rPr>
            <w:sz w:val="22"/>
            <w:szCs w:val="22"/>
          </w:rPr>
          <w:delText xml:space="preserve"> (iniettabile)</w:delText>
        </w:r>
      </w:del>
    </w:p>
    <w:p w:rsidR="006224C2" w:rsidRPr="00295E71" w14:paraId="325F22AB" w14:textId="77777777">
      <w:pPr>
        <w:tabs>
          <w:tab w:val="left" w:pos="567"/>
        </w:tabs>
        <w:jc w:val="both"/>
        <w:rPr>
          <w:del w:id="79" w:author="AbbVie14" w:date="2025-05-09T10:28:00Z"/>
          <w:sz w:val="22"/>
          <w:szCs w:val="22"/>
        </w:rPr>
      </w:pPr>
    </w:p>
    <w:p w:rsidR="006224C2" w:rsidRPr="00295E71" w14:paraId="06C1CFEB" w14:textId="77777777">
      <w:pPr>
        <w:tabs>
          <w:tab w:val="left" w:pos="567"/>
        </w:tabs>
        <w:jc w:val="both"/>
        <w:rPr>
          <w:del w:id="80" w:author="AbbVie14" w:date="2025-05-09T10:28:00Z"/>
          <w:sz w:val="22"/>
          <w:szCs w:val="22"/>
        </w:rPr>
      </w:pPr>
      <w:del w:id="81" w:author="AbbVie14" w:date="2025-05-09T10:28:00Z">
        <w:r w:rsidRPr="00295E71">
          <w:rPr>
            <w:sz w:val="22"/>
            <w:szCs w:val="22"/>
          </w:rPr>
          <w:delText xml:space="preserve">Soluzione limpida e incolore. </w:delText>
        </w:r>
      </w:del>
    </w:p>
    <w:p w:rsidR="006224C2" w:rsidRPr="00295E71" w14:paraId="54521D06" w14:textId="77777777">
      <w:pPr>
        <w:tabs>
          <w:tab w:val="left" w:pos="567"/>
        </w:tabs>
        <w:jc w:val="both"/>
        <w:rPr>
          <w:del w:id="82" w:author="AbbVie14" w:date="2025-05-09T10:28:00Z"/>
          <w:sz w:val="22"/>
          <w:szCs w:val="22"/>
        </w:rPr>
      </w:pPr>
    </w:p>
    <w:p w:rsidR="006224C2" w:rsidRPr="00295E71" w14:paraId="6D3040ED" w14:textId="77777777">
      <w:pPr>
        <w:tabs>
          <w:tab w:val="left" w:pos="567"/>
        </w:tabs>
        <w:jc w:val="both"/>
        <w:rPr>
          <w:del w:id="83" w:author="AbbVie14" w:date="2025-05-09T10:28:00Z"/>
          <w:sz w:val="22"/>
          <w:szCs w:val="22"/>
        </w:rPr>
      </w:pPr>
    </w:p>
    <w:p w:rsidR="006224C2" w:rsidRPr="00295E71" w14:paraId="6F37A474" w14:textId="77777777">
      <w:pPr>
        <w:tabs>
          <w:tab w:val="left" w:pos="567"/>
        </w:tabs>
        <w:ind w:left="567" w:hanging="567"/>
        <w:jc w:val="both"/>
        <w:rPr>
          <w:del w:id="84" w:author="AbbVie14" w:date="2025-05-09T10:28:00Z"/>
          <w:b/>
          <w:bCs/>
          <w:caps/>
          <w:sz w:val="22"/>
          <w:szCs w:val="22"/>
        </w:rPr>
      </w:pPr>
      <w:del w:id="85" w:author="AbbVie14" w:date="2025-05-09T10:28:00Z">
        <w:r w:rsidRPr="00295E71">
          <w:rPr>
            <w:b/>
            <w:bCs/>
            <w:caps/>
            <w:sz w:val="22"/>
            <w:szCs w:val="22"/>
          </w:rPr>
          <w:delText>4.</w:delText>
        </w:r>
      </w:del>
      <w:del w:id="86" w:author="AbbVie14" w:date="2025-05-09T10:28:00Z">
        <w:r w:rsidRPr="00295E71">
          <w:rPr>
            <w:b/>
            <w:bCs/>
            <w:caps/>
            <w:sz w:val="22"/>
            <w:szCs w:val="22"/>
          </w:rPr>
          <w:tab/>
          <w:delText>INFORMAZIONI CLINICHE</w:delText>
        </w:r>
      </w:del>
    </w:p>
    <w:p w:rsidR="006224C2" w:rsidRPr="00295E71" w14:paraId="44ACE6C2" w14:textId="77777777">
      <w:pPr>
        <w:tabs>
          <w:tab w:val="left" w:pos="567"/>
        </w:tabs>
        <w:jc w:val="both"/>
        <w:rPr>
          <w:del w:id="87" w:author="AbbVie14" w:date="2025-05-09T10:28:00Z"/>
          <w:sz w:val="22"/>
          <w:szCs w:val="22"/>
        </w:rPr>
      </w:pPr>
    </w:p>
    <w:p w:rsidR="006224C2" w:rsidRPr="00295E71" w14:paraId="381D7A9E" w14:textId="77777777">
      <w:pPr>
        <w:tabs>
          <w:tab w:val="left" w:pos="567"/>
        </w:tabs>
        <w:ind w:left="567" w:hanging="567"/>
        <w:jc w:val="both"/>
        <w:rPr>
          <w:del w:id="88" w:author="AbbVie14" w:date="2025-05-09T10:28:00Z"/>
          <w:b/>
          <w:bCs/>
          <w:sz w:val="22"/>
          <w:szCs w:val="22"/>
        </w:rPr>
      </w:pPr>
      <w:del w:id="89" w:author="AbbVie14" w:date="2025-05-09T10:28:00Z">
        <w:r w:rsidRPr="00295E71">
          <w:rPr>
            <w:b/>
            <w:bCs/>
            <w:sz w:val="22"/>
            <w:szCs w:val="22"/>
          </w:rPr>
          <w:delText>4.1</w:delText>
        </w:r>
      </w:del>
      <w:del w:id="90" w:author="AbbVie14" w:date="2025-05-09T10:28:00Z">
        <w:r w:rsidRPr="00295E71">
          <w:rPr>
            <w:b/>
            <w:bCs/>
            <w:sz w:val="22"/>
            <w:szCs w:val="22"/>
          </w:rPr>
          <w:tab/>
          <w:delText>Indicazioni terapeutiche</w:delText>
        </w:r>
      </w:del>
    </w:p>
    <w:p w:rsidR="006224C2" w:rsidRPr="00295E71" w14:paraId="5DF5C694" w14:textId="77777777">
      <w:pPr>
        <w:jc w:val="both"/>
        <w:rPr>
          <w:del w:id="91" w:author="AbbVie14" w:date="2025-05-09T10:28:00Z"/>
          <w:sz w:val="22"/>
          <w:szCs w:val="22"/>
        </w:rPr>
      </w:pPr>
    </w:p>
    <w:p w:rsidR="006224C2" w:rsidRPr="00295E71" w14:paraId="38D00B09" w14:textId="77777777">
      <w:pPr>
        <w:tabs>
          <w:tab w:val="left" w:pos="567"/>
        </w:tabs>
        <w:jc w:val="both"/>
        <w:rPr>
          <w:del w:id="92" w:author="AbbVie14" w:date="2025-05-09T10:28:00Z"/>
          <w:sz w:val="22"/>
          <w:szCs w:val="22"/>
          <w:u w:val="single"/>
        </w:rPr>
      </w:pPr>
      <w:del w:id="93" w:author="AbbVie14" w:date="2025-05-09T10:28:00Z">
        <w:r w:rsidRPr="00295E71">
          <w:rPr>
            <w:sz w:val="22"/>
            <w:szCs w:val="22"/>
            <w:u w:val="single"/>
          </w:rPr>
          <w:delText>Artrite idiopatica giovanile</w:delText>
        </w:r>
      </w:del>
    </w:p>
    <w:p w:rsidR="006224C2" w:rsidRPr="00295E71" w14:paraId="204427FF" w14:textId="77777777">
      <w:pPr>
        <w:tabs>
          <w:tab w:val="left" w:pos="567"/>
        </w:tabs>
        <w:jc w:val="both"/>
        <w:rPr>
          <w:del w:id="94" w:author="AbbVie14" w:date="2025-05-09T10:28:00Z"/>
          <w:sz w:val="22"/>
          <w:szCs w:val="22"/>
        </w:rPr>
      </w:pPr>
    </w:p>
    <w:p w:rsidR="006224C2" w:rsidRPr="00295E71" w14:paraId="71BF1F4D" w14:textId="77777777">
      <w:pPr>
        <w:tabs>
          <w:tab w:val="left" w:pos="567"/>
        </w:tabs>
        <w:jc w:val="both"/>
        <w:rPr>
          <w:del w:id="95" w:author="AbbVie14" w:date="2025-05-09T10:28:00Z"/>
          <w:i/>
          <w:sz w:val="22"/>
          <w:szCs w:val="22"/>
        </w:rPr>
      </w:pPr>
      <w:del w:id="96" w:author="AbbVie14" w:date="2025-05-09T10:28:00Z">
        <w:r w:rsidRPr="00295E71">
          <w:rPr>
            <w:i/>
            <w:sz w:val="22"/>
            <w:szCs w:val="22"/>
          </w:rPr>
          <w:delText xml:space="preserve">Artrite idiopatica giovanile poliarticolare  </w:delText>
        </w:r>
      </w:del>
    </w:p>
    <w:p w:rsidR="006224C2" w:rsidRPr="00295E71" w14:paraId="4C20B99E" w14:textId="77777777">
      <w:pPr>
        <w:tabs>
          <w:tab w:val="left" w:pos="567"/>
        </w:tabs>
        <w:jc w:val="both"/>
        <w:rPr>
          <w:del w:id="97" w:author="AbbVie14" w:date="2025-05-09T10:28:00Z"/>
          <w:sz w:val="22"/>
          <w:szCs w:val="22"/>
        </w:rPr>
      </w:pPr>
    </w:p>
    <w:p w:rsidR="006224C2" w:rsidRPr="00295E71" w14:paraId="1E7DCAED" w14:textId="77777777">
      <w:pPr>
        <w:pStyle w:val="EMEAFigureTitle"/>
        <w:suppressAutoHyphens w:val="0"/>
        <w:jc w:val="both"/>
        <w:rPr>
          <w:del w:id="98" w:author="AbbVie14" w:date="2025-05-09T10:28:00Z"/>
          <w:lang w:val="it-IT" w:eastAsia="it-IT"/>
        </w:rPr>
      </w:pPr>
      <w:del w:id="99" w:author="AbbVie14" w:date="2025-05-09T10:28:00Z">
        <w:r w:rsidRPr="00295E71">
          <w:rPr>
            <w:lang w:val="it-IT" w:eastAsia="it-IT"/>
          </w:rPr>
          <w:delText>Humira in combinazione con metotressato è indicato per il trattamento dell’artrite idiopatica giovanile poliarticolare attiva, nei pazienti</w:delText>
        </w:r>
      </w:del>
      <w:del w:id="100" w:author="AbbVie14" w:date="2025-05-09T10:28:00Z">
        <w:r w:rsidRPr="00295E71" w:rsidR="00DC4000">
          <w:rPr>
            <w:lang w:val="it-IT" w:eastAsia="it-IT"/>
          </w:rPr>
          <w:delText xml:space="preserve"> </w:delText>
        </w:r>
      </w:del>
      <w:del w:id="101" w:author="AbbVie14" w:date="2025-05-09T10:28:00Z">
        <w:r w:rsidRPr="00295E71">
          <w:rPr>
            <w:lang w:val="it-IT" w:eastAsia="it-IT"/>
          </w:rPr>
          <w:delText>da 2 anni di età, che hanno avuto una risposta inadeguata ad uno o più farmaci anti-reumatici modificanti la malattia (DMARD). Humira può essere somministrato come monoterapia in caso di intolleranza al metotressato o quando il trattamento continuato con metotressato non è appropriato (per l’efficacia in monoterapia vedere paragrafo 5.1). Humira non è stato studiato in pazienti di età inferiore a 2 anni.</w:delText>
        </w:r>
      </w:del>
    </w:p>
    <w:p w:rsidR="006224C2" w:rsidRPr="00295E71" w14:paraId="5ADEA87C" w14:textId="77777777">
      <w:pPr>
        <w:pStyle w:val="EMEANormal"/>
        <w:jc w:val="both"/>
        <w:rPr>
          <w:del w:id="102" w:author="AbbVie14" w:date="2025-05-09T10:28:00Z"/>
          <w:lang w:val="it-IT" w:eastAsia="it-IT"/>
        </w:rPr>
      </w:pPr>
    </w:p>
    <w:p w:rsidR="006224C2" w:rsidRPr="00295E71" w14:paraId="2AF27457" w14:textId="77777777">
      <w:pPr>
        <w:rPr>
          <w:del w:id="103" w:author="AbbVie14" w:date="2025-05-09T10:28:00Z"/>
          <w:i/>
          <w:sz w:val="22"/>
          <w:szCs w:val="22"/>
        </w:rPr>
      </w:pPr>
      <w:del w:id="104" w:author="AbbVie14" w:date="2025-05-09T10:28:00Z">
        <w:r w:rsidRPr="00295E71">
          <w:rPr>
            <w:i/>
            <w:sz w:val="22"/>
            <w:szCs w:val="22"/>
          </w:rPr>
          <w:delText>Artrite associata ad entesite</w:delText>
        </w:r>
      </w:del>
    </w:p>
    <w:p w:rsidR="006224C2" w:rsidRPr="00295E71" w14:paraId="3265F889" w14:textId="77777777">
      <w:pPr>
        <w:rPr>
          <w:del w:id="105" w:author="AbbVie14" w:date="2025-05-09T10:28:00Z"/>
          <w:b/>
          <w:i/>
          <w:sz w:val="22"/>
          <w:szCs w:val="22"/>
        </w:rPr>
      </w:pPr>
    </w:p>
    <w:p w:rsidR="006224C2" w:rsidRPr="00295E71" w14:paraId="0CFC6BD3" w14:textId="77777777">
      <w:pPr>
        <w:rPr>
          <w:del w:id="106" w:author="AbbVie14" w:date="2025-05-09T10:28:00Z"/>
          <w:bCs/>
          <w:iCs/>
          <w:sz w:val="22"/>
          <w:szCs w:val="22"/>
        </w:rPr>
      </w:pPr>
      <w:del w:id="107" w:author="AbbVie14" w:date="2025-05-09T10:28:00Z">
        <w:r w:rsidRPr="00295E71">
          <w:rPr>
            <w:bCs/>
            <w:iCs/>
            <w:sz w:val="22"/>
            <w:szCs w:val="22"/>
          </w:rPr>
          <w:delText>Humira è indicato per il trattamento</w:delText>
        </w:r>
      </w:del>
      <w:del w:id="108" w:author="AbbVie14" w:date="2025-05-09T10:28:00Z">
        <w:r w:rsidRPr="00295E71" w:rsidR="00DC4000">
          <w:rPr>
            <w:bCs/>
            <w:iCs/>
            <w:sz w:val="22"/>
            <w:szCs w:val="22"/>
          </w:rPr>
          <w:delText xml:space="preserve"> </w:delText>
        </w:r>
      </w:del>
      <w:del w:id="109" w:author="AbbVie14" w:date="2025-05-09T10:28:00Z">
        <w:r w:rsidRPr="00295E71">
          <w:rPr>
            <w:bCs/>
            <w:iCs/>
            <w:sz w:val="22"/>
            <w:szCs w:val="22"/>
          </w:rPr>
          <w:delText>delle forme attive di artrite associata a entesite, nei pazienti da 6 anni di età, che hanno avuto una risposta inadeguata o che sono intolleranti alla terapia convenzionale (vedere paragrafo 5.1).</w:delText>
        </w:r>
      </w:del>
    </w:p>
    <w:p w:rsidR="006224C2" w:rsidRPr="00295E71" w14:paraId="4AC13F24" w14:textId="77777777">
      <w:pPr>
        <w:rPr>
          <w:del w:id="110" w:author="AbbVie14" w:date="2025-05-09T10:28:00Z"/>
          <w:bCs/>
          <w:iCs/>
          <w:sz w:val="22"/>
          <w:szCs w:val="22"/>
        </w:rPr>
      </w:pPr>
    </w:p>
    <w:p w:rsidR="006224C2" w:rsidRPr="00295E71" w14:paraId="72A01879" w14:textId="77777777">
      <w:pPr>
        <w:pStyle w:val="EMEANormal"/>
        <w:jc w:val="both"/>
        <w:rPr>
          <w:del w:id="111" w:author="AbbVie14" w:date="2025-05-09T10:28:00Z"/>
          <w:rFonts w:eastAsia="Arial"/>
          <w:u w:val="single"/>
          <w:lang w:val="it-IT" w:bidi="it-IT"/>
        </w:rPr>
      </w:pPr>
      <w:del w:id="112" w:author="AbbVie14" w:date="2025-05-09T10:28:00Z">
        <w:r w:rsidRPr="00295E71">
          <w:rPr>
            <w:rFonts w:eastAsia="Arial"/>
            <w:u w:val="single"/>
            <w:lang w:val="it-IT" w:bidi="it-IT"/>
          </w:rPr>
          <w:delText>Psoriasi a placche pediatrica</w:delText>
        </w:r>
      </w:del>
    </w:p>
    <w:p w:rsidR="006224C2" w:rsidRPr="00295E71" w14:paraId="02D7D658" w14:textId="77777777">
      <w:pPr>
        <w:pStyle w:val="EMEANormal"/>
        <w:jc w:val="both"/>
        <w:rPr>
          <w:del w:id="113" w:author="AbbVie14" w:date="2025-05-09T10:28:00Z"/>
          <w:rFonts w:eastAsia="Arial"/>
          <w:u w:val="single"/>
          <w:lang w:val="it-IT" w:bidi="it-IT"/>
        </w:rPr>
      </w:pPr>
    </w:p>
    <w:p w:rsidR="006224C2" w:rsidRPr="00295E71" w14:paraId="2D468F2A" w14:textId="77777777">
      <w:pPr>
        <w:pStyle w:val="EMEANormal"/>
        <w:jc w:val="both"/>
        <w:rPr>
          <w:del w:id="114" w:author="AbbVie14" w:date="2025-05-09T10:28:00Z"/>
          <w:rFonts w:eastAsia="Arial"/>
          <w:iCs/>
          <w:lang w:val="it-IT" w:bidi="it-IT"/>
        </w:rPr>
      </w:pPr>
      <w:del w:id="115" w:author="AbbVie14" w:date="2025-05-09T10:28:00Z">
        <w:r w:rsidRPr="00295E71">
          <w:rPr>
            <w:rFonts w:eastAsia="Arial"/>
            <w:lang w:val="it-IT" w:bidi="it-IT"/>
          </w:rPr>
          <w:delText>Humira è indicato per il trattamento della psoriasi cronica a placche grave in bambini e adolescenti da 4 anni di età che abbiano avuto una risposta inadeguata, o siano candidati inappropriati alla terapia topica e alle fototerapie</w:delText>
        </w:r>
      </w:del>
      <w:del w:id="116" w:author="AbbVie14" w:date="2025-05-09T10:28:00Z">
        <w:r w:rsidRPr="00295E71">
          <w:rPr>
            <w:rFonts w:eastAsia="Arial"/>
            <w:iCs/>
            <w:lang w:val="it-IT" w:bidi="it-IT"/>
          </w:rPr>
          <w:delText>.</w:delText>
        </w:r>
      </w:del>
    </w:p>
    <w:p w:rsidR="006224C2" w:rsidRPr="00295E71" w14:paraId="06EF03A6" w14:textId="77777777">
      <w:pPr>
        <w:pStyle w:val="EMEANormal"/>
        <w:jc w:val="both"/>
        <w:rPr>
          <w:del w:id="117" w:author="AbbVie14" w:date="2025-05-09T10:28:00Z"/>
          <w:u w:val="single"/>
          <w:lang w:val="it-IT" w:eastAsia="it-IT"/>
        </w:rPr>
      </w:pPr>
    </w:p>
    <w:p w:rsidR="0041314F" w:rsidRPr="00295E71" w:rsidP="0041314F" w14:paraId="1A6BA311" w14:textId="77777777">
      <w:pPr>
        <w:keepNext/>
        <w:rPr>
          <w:del w:id="118" w:author="AbbVie14" w:date="2025-05-09T10:28:00Z"/>
          <w:iCs/>
          <w:sz w:val="22"/>
          <w:szCs w:val="22"/>
          <w:u w:val="single"/>
        </w:rPr>
      </w:pPr>
      <w:del w:id="119" w:author="AbbVie14" w:date="2025-05-09T10:28:00Z">
        <w:r w:rsidRPr="00295E71">
          <w:rPr>
            <w:iCs/>
            <w:sz w:val="22"/>
            <w:szCs w:val="22"/>
            <w:u w:val="single"/>
          </w:rPr>
          <w:delText>Idrosadenite suppurativa negli adolescenti</w:delText>
        </w:r>
      </w:del>
    </w:p>
    <w:p w:rsidR="0041314F" w:rsidRPr="00295E71" w:rsidP="0041314F" w14:paraId="2E5B79A6" w14:textId="77777777">
      <w:pPr>
        <w:keepNext/>
        <w:rPr>
          <w:del w:id="120" w:author="AbbVie14" w:date="2025-05-09T10:28:00Z"/>
          <w:iCs/>
          <w:sz w:val="22"/>
          <w:szCs w:val="22"/>
        </w:rPr>
      </w:pPr>
    </w:p>
    <w:p w:rsidR="0041314F" w:rsidRPr="00295E71" w:rsidP="0041314F" w14:paraId="0656B12C" w14:textId="77777777">
      <w:pPr>
        <w:keepNext/>
        <w:rPr>
          <w:del w:id="121" w:author="AbbVie14" w:date="2025-05-09T10:28:00Z"/>
          <w:iCs/>
          <w:sz w:val="22"/>
          <w:szCs w:val="22"/>
        </w:rPr>
      </w:pPr>
      <w:del w:id="122" w:author="AbbVie14" w:date="2025-05-09T10:28:00Z">
        <w:r w:rsidRPr="00295E71">
          <w:rPr>
            <w:iCs/>
            <w:sz w:val="22"/>
            <w:szCs w:val="22"/>
          </w:rPr>
          <w:delText>Humira è indicato per il trattamento dell’idrosadenite suppurativa (acne inversa) attiva di grado da moderato a severo negli adolescenti dai 12 anni di età con una risposta inadeguata alla terapia sistemica convenzionale per l’idrosadenite suppurativa (</w:delText>
        </w:r>
      </w:del>
      <w:del w:id="123" w:author="AbbVie14" w:date="2025-05-09T10:28:00Z">
        <w:r w:rsidRPr="00295E71">
          <w:rPr>
            <w:i/>
            <w:iCs/>
            <w:sz w:val="22"/>
            <w:szCs w:val="22"/>
          </w:rPr>
          <w:delText>hidradenitis suppurativa</w:delText>
        </w:r>
      </w:del>
      <w:del w:id="124" w:author="AbbVie14" w:date="2025-05-09T10:28:00Z">
        <w:r w:rsidRPr="00295E71">
          <w:rPr>
            <w:iCs/>
            <w:sz w:val="22"/>
            <w:szCs w:val="22"/>
          </w:rPr>
          <w:delText>, HS) (vedere paragrafi 5.1 e 5.2).</w:delText>
        </w:r>
      </w:del>
    </w:p>
    <w:p w:rsidR="0041314F" w14:paraId="46D78C9F" w14:textId="77777777">
      <w:pPr>
        <w:pStyle w:val="EMEANormal"/>
        <w:jc w:val="both"/>
        <w:rPr>
          <w:del w:id="125" w:author="AbbVie14" w:date="2025-05-09T10:28:00Z"/>
          <w:u w:val="single"/>
          <w:lang w:val="it-IT" w:eastAsia="it-IT"/>
        </w:rPr>
      </w:pPr>
    </w:p>
    <w:p w:rsidR="006224C2" w:rsidRPr="00295E71" w:rsidP="00C04163" w14:paraId="563A8CF9" w14:textId="77777777">
      <w:pPr>
        <w:pStyle w:val="EMEANormal"/>
        <w:keepNext/>
        <w:jc w:val="both"/>
        <w:rPr>
          <w:del w:id="126" w:author="AbbVie14" w:date="2025-05-09T10:28:00Z"/>
          <w:u w:val="single"/>
          <w:lang w:val="it-IT" w:eastAsia="it-IT"/>
        </w:rPr>
      </w:pPr>
      <w:del w:id="127" w:author="AbbVie14" w:date="2025-05-09T10:28:00Z">
        <w:r w:rsidRPr="00295E71">
          <w:rPr>
            <w:u w:val="single"/>
            <w:lang w:val="it-IT" w:eastAsia="it-IT"/>
          </w:rPr>
          <w:delText>Malattia di Crohn in pazienti pediatrici</w:delText>
        </w:r>
      </w:del>
    </w:p>
    <w:p w:rsidR="006224C2" w:rsidRPr="00295E71" w:rsidP="00C04163" w14:paraId="1F3F04CD" w14:textId="77777777">
      <w:pPr>
        <w:pStyle w:val="EMEANormal"/>
        <w:keepNext/>
        <w:jc w:val="both"/>
        <w:rPr>
          <w:del w:id="128" w:author="AbbVie14" w:date="2025-05-09T10:28:00Z"/>
          <w:lang w:val="it-IT" w:eastAsia="it-IT"/>
        </w:rPr>
      </w:pPr>
    </w:p>
    <w:p w:rsidR="006224C2" w:rsidRPr="00295E71" w14:paraId="4FA7E5DE" w14:textId="77777777">
      <w:pPr>
        <w:pStyle w:val="EMEANormal"/>
        <w:jc w:val="both"/>
        <w:rPr>
          <w:del w:id="129" w:author="AbbVie14" w:date="2025-05-09T10:28:00Z"/>
          <w:lang w:val="it-IT"/>
        </w:rPr>
      </w:pPr>
      <w:del w:id="130" w:author="AbbVie14" w:date="2025-05-09T10:28:00Z">
        <w:r w:rsidRPr="00295E71">
          <w:rPr>
            <w:lang w:val="it-IT" w:eastAsia="it-IT"/>
          </w:rPr>
          <w:delText xml:space="preserve">Humira è indicato nel trattamento della malattia di Crohn attiva di grado da moderato a severo nei pazienti pediatrici (da 6 anni di età) che hanno avuto una risposta inadeguata alla terapia convenzionale, inclusa la terapia nutrizionale primaria e a una terapia a base di un corticosteroide e/o ad un immunomodulatore, o che sono intolleranti o hanno controindicazioni a tali </w:delText>
        </w:r>
      </w:del>
      <w:del w:id="131" w:author="AbbVie14" w:date="2025-05-09T10:28:00Z">
        <w:r w:rsidRPr="00295E71">
          <w:rPr>
            <w:lang w:val="it-IT"/>
          </w:rPr>
          <w:delText>terapie.</w:delText>
        </w:r>
      </w:del>
    </w:p>
    <w:p w:rsidR="006224C2" w:rsidRPr="00295E71" w14:paraId="772A54BB" w14:textId="77777777">
      <w:pPr>
        <w:pStyle w:val="EMEANormal"/>
        <w:jc w:val="both"/>
        <w:rPr>
          <w:del w:id="132" w:author="AbbVie14" w:date="2025-05-09T10:28:00Z"/>
          <w:lang w:val="it-IT"/>
        </w:rPr>
      </w:pPr>
    </w:p>
    <w:p w:rsidR="0041314F" w:rsidRPr="00863077" w14:paraId="2E017708" w14:textId="77777777">
      <w:pPr>
        <w:rPr>
          <w:del w:id="133" w:author="AbbVie14" w:date="2025-05-09T10:28:00Z"/>
          <w:sz w:val="22"/>
          <w:szCs w:val="22"/>
          <w:u w:val="single"/>
        </w:rPr>
      </w:pPr>
      <w:bookmarkStart w:id="134" w:name="_Hlk53135429"/>
      <w:del w:id="135" w:author="AbbVie14" w:date="2025-05-09T10:28:00Z">
        <w:r w:rsidRPr="00863077">
          <w:rPr>
            <w:sz w:val="22"/>
            <w:szCs w:val="22"/>
            <w:u w:val="single"/>
          </w:rPr>
          <w:delText>Colite ulcerosa pediatrica</w:delText>
        </w:r>
      </w:del>
    </w:p>
    <w:p w:rsidR="0041314F" w:rsidRPr="00612824" w14:paraId="0940335E" w14:textId="77777777">
      <w:pPr>
        <w:rPr>
          <w:del w:id="136" w:author="AbbVie14" w:date="2025-05-09T10:28:00Z"/>
          <w:sz w:val="22"/>
          <w:szCs w:val="22"/>
        </w:rPr>
      </w:pPr>
    </w:p>
    <w:p w:rsidR="0041314F" w:rsidRPr="00612824" w:rsidP="0041314F" w14:paraId="7EFF5F3B" w14:textId="77777777">
      <w:pPr>
        <w:rPr>
          <w:del w:id="137" w:author="AbbVie14" w:date="2025-05-09T10:28:00Z"/>
          <w:sz w:val="22"/>
          <w:szCs w:val="22"/>
        </w:rPr>
      </w:pPr>
      <w:del w:id="138" w:author="AbbVie14" w:date="2025-05-09T10:28:00Z">
        <w:r w:rsidRPr="00612824">
          <w:rPr>
            <w:sz w:val="22"/>
            <w:szCs w:val="22"/>
          </w:rPr>
          <w:delText xml:space="preserve">Humira è indicato per il trattamento della colite ulcerosa </w:delText>
        </w:r>
      </w:del>
      <w:del w:id="139" w:author="AbbVie14" w:date="2025-05-09T10:28:00Z">
        <w:r w:rsidR="00DA6A50">
          <w:rPr>
            <w:sz w:val="22"/>
            <w:szCs w:val="22"/>
          </w:rPr>
          <w:delText>attiva di grado da moderato a severo nei</w:delText>
        </w:r>
      </w:del>
      <w:del w:id="140" w:author="AbbVie14" w:date="2025-05-09T10:28:00Z">
        <w:r w:rsidRPr="00612824">
          <w:rPr>
            <w:sz w:val="22"/>
            <w:szCs w:val="22"/>
          </w:rPr>
          <w:delText xml:space="preserve"> pazienti pediatrici (dai 6 anni di età) che hanno avuto una risposta inadeguata alla terapia convenzionale, inclusi corticosteroidi e/o 6-mercaptopurina (6-MP) o azatioprina (AZA), o che sono intolleranti o </w:delText>
        </w:r>
      </w:del>
      <w:del w:id="141" w:author="AbbVie14" w:date="2025-05-09T10:28:00Z">
        <w:r w:rsidR="00DA6A50">
          <w:rPr>
            <w:sz w:val="22"/>
            <w:szCs w:val="22"/>
          </w:rPr>
          <w:delText>hanno</w:delText>
        </w:r>
      </w:del>
      <w:del w:id="142" w:author="AbbVie14" w:date="2025-05-09T10:28:00Z">
        <w:r w:rsidRPr="00612824">
          <w:rPr>
            <w:sz w:val="22"/>
            <w:szCs w:val="22"/>
          </w:rPr>
          <w:delText xml:space="preserve"> controindicazioni mediche per tali terapie.</w:delText>
        </w:r>
      </w:del>
    </w:p>
    <w:bookmarkEnd w:id="134"/>
    <w:p w:rsidR="0041314F" w14:paraId="25F56295" w14:textId="77777777">
      <w:pPr>
        <w:rPr>
          <w:del w:id="143" w:author="AbbVie14" w:date="2025-05-09T10:28:00Z"/>
          <w:iCs/>
          <w:sz w:val="22"/>
          <w:szCs w:val="22"/>
          <w:u w:val="single"/>
        </w:rPr>
      </w:pPr>
    </w:p>
    <w:p w:rsidR="006224C2" w:rsidRPr="00295E71" w14:paraId="51D3A341" w14:textId="77777777">
      <w:pPr>
        <w:rPr>
          <w:del w:id="144" w:author="AbbVie14" w:date="2025-05-09T10:28:00Z"/>
          <w:iCs/>
          <w:sz w:val="22"/>
          <w:szCs w:val="22"/>
          <w:u w:val="single"/>
        </w:rPr>
      </w:pPr>
      <w:del w:id="145" w:author="AbbVie14" w:date="2025-05-09T10:28:00Z">
        <w:r w:rsidRPr="00295E71">
          <w:rPr>
            <w:iCs/>
            <w:sz w:val="22"/>
            <w:szCs w:val="22"/>
            <w:u w:val="single"/>
          </w:rPr>
          <w:delText>Uveite pediatrica</w:delText>
        </w:r>
      </w:del>
    </w:p>
    <w:p w:rsidR="006224C2" w:rsidRPr="00295E71" w14:paraId="3F2AC623" w14:textId="77777777">
      <w:pPr>
        <w:rPr>
          <w:del w:id="146" w:author="AbbVie14" w:date="2025-05-09T10:28:00Z"/>
          <w:iCs/>
          <w:sz w:val="22"/>
          <w:szCs w:val="22"/>
        </w:rPr>
      </w:pPr>
    </w:p>
    <w:p w:rsidR="006224C2" w:rsidRPr="00295E71" w14:paraId="66FFF82A" w14:textId="77777777">
      <w:pPr>
        <w:rPr>
          <w:del w:id="147" w:author="AbbVie14" w:date="2025-05-09T10:28:00Z"/>
          <w:iCs/>
          <w:sz w:val="22"/>
          <w:szCs w:val="22"/>
        </w:rPr>
      </w:pPr>
      <w:del w:id="148" w:author="AbbVie14" w:date="2025-05-09T10:28:00Z">
        <w:r w:rsidRPr="00295E71">
          <w:rPr>
            <w:iCs/>
            <w:sz w:val="22"/>
            <w:szCs w:val="22"/>
          </w:rPr>
          <w:delText xml:space="preserve">Humira è indicato per il trattamento dell’uveite anteriore </w:delText>
        </w:r>
      </w:del>
      <w:del w:id="149" w:author="AbbVie14" w:date="2025-05-09T10:28:00Z">
        <w:r w:rsidRPr="00295E71" w:rsidR="00E5212B">
          <w:rPr>
            <w:iCs/>
            <w:sz w:val="22"/>
            <w:szCs w:val="22"/>
          </w:rPr>
          <w:delText xml:space="preserve">pediatrica </w:delText>
        </w:r>
      </w:del>
      <w:del w:id="150" w:author="AbbVie14" w:date="2025-05-09T10:28:00Z">
        <w:r w:rsidRPr="00295E71">
          <w:rPr>
            <w:iCs/>
            <w:sz w:val="22"/>
            <w:szCs w:val="22"/>
          </w:rPr>
          <w:delText>cronica non infettiva nei pazienti dai 2 anni di età che hanno avuto una risposta inadeguata o sono intolleranti alla terapia convenzionale o per i quali la terapia convenzionale non è appropriata.</w:delText>
        </w:r>
      </w:del>
    </w:p>
    <w:p w:rsidR="006224C2" w:rsidRPr="00295E71" w14:paraId="04E06018" w14:textId="77777777">
      <w:pPr>
        <w:rPr>
          <w:del w:id="151" w:author="AbbVie14" w:date="2025-05-09T10:28:00Z"/>
          <w:sz w:val="22"/>
          <w:szCs w:val="22"/>
          <w:lang w:eastAsia="en-US"/>
        </w:rPr>
      </w:pPr>
    </w:p>
    <w:p w:rsidR="006224C2" w:rsidRPr="00295E71" w14:paraId="2ED31D5C" w14:textId="77777777">
      <w:pPr>
        <w:keepNext/>
        <w:rPr>
          <w:del w:id="152" w:author="AbbVie14" w:date="2025-05-09T10:28:00Z"/>
          <w:b/>
          <w:bCs/>
          <w:sz w:val="22"/>
          <w:szCs w:val="22"/>
        </w:rPr>
      </w:pPr>
      <w:del w:id="153" w:author="AbbVie14" w:date="2025-05-09T10:28:00Z">
        <w:r w:rsidRPr="00295E71">
          <w:rPr>
            <w:b/>
            <w:bCs/>
            <w:sz w:val="22"/>
            <w:szCs w:val="22"/>
          </w:rPr>
          <w:delText>4.2</w:delText>
        </w:r>
      </w:del>
      <w:del w:id="154" w:author="AbbVie14" w:date="2025-05-09T10:28:00Z">
        <w:r w:rsidRPr="00295E71">
          <w:rPr>
            <w:b/>
            <w:bCs/>
            <w:sz w:val="22"/>
            <w:szCs w:val="22"/>
          </w:rPr>
          <w:tab/>
          <w:delText>Posologia e modo di somministrazione</w:delText>
        </w:r>
      </w:del>
    </w:p>
    <w:p w:rsidR="006224C2" w:rsidRPr="00295E71" w14:paraId="741A2571" w14:textId="77777777">
      <w:pPr>
        <w:keepNext/>
        <w:tabs>
          <w:tab w:val="left" w:pos="567"/>
        </w:tabs>
        <w:jc w:val="both"/>
        <w:rPr>
          <w:del w:id="155" w:author="AbbVie14" w:date="2025-05-09T10:28:00Z"/>
          <w:sz w:val="22"/>
          <w:szCs w:val="22"/>
        </w:rPr>
      </w:pPr>
    </w:p>
    <w:p w:rsidR="006224C2" w:rsidRPr="00295E71" w14:paraId="2A1B43C8" w14:textId="77777777">
      <w:pPr>
        <w:pStyle w:val="EndnoteText"/>
        <w:keepNext/>
        <w:jc w:val="both"/>
        <w:rPr>
          <w:del w:id="156" w:author="AbbVie14" w:date="2025-05-09T10:28:00Z"/>
          <w:lang w:val="it-IT"/>
        </w:rPr>
      </w:pPr>
      <w:del w:id="157" w:author="AbbVie14" w:date="2025-05-09T10:28:00Z">
        <w:r w:rsidRPr="00295E71">
          <w:rPr>
            <w:lang w:val="it-IT"/>
          </w:rPr>
          <w:delText>La terapia con Humira deve essere iniziata e monitorata da medici specialisti con esperienza nella diagnosi e nel trattamento delle patologie per cui Humira è indicato. Gli oculisti sono invitati a consultare uno specialista appropriato prima di iniziare il trattamento con Humira (vedere paragrafo 4.4).</w:delText>
        </w:r>
      </w:del>
      <w:del w:id="158" w:author="AbbVie14" w:date="2025-05-09T10:28:00Z">
        <w:r w:rsidR="0045068C">
          <w:rPr>
            <w:lang w:val="it-IT"/>
          </w:rPr>
          <w:delText xml:space="preserve"> </w:delText>
        </w:r>
      </w:del>
      <w:del w:id="159" w:author="AbbVie14" w:date="2025-05-09T10:28:00Z">
        <w:r w:rsidRPr="00295E71">
          <w:rPr>
            <w:lang w:val="it-IT"/>
          </w:rPr>
          <w:delText>Ai pazienti trattati con Humira deve essere consegnata una</w:delText>
        </w:r>
      </w:del>
      <w:del w:id="160" w:author="AbbVie14" w:date="2025-05-09T10:28:00Z">
        <w:r w:rsidR="004D7963">
          <w:rPr>
            <w:lang w:val="it-IT"/>
          </w:rPr>
          <w:delText xml:space="preserve"> Scheda Promemoria per il P</w:delText>
        </w:r>
      </w:del>
      <w:del w:id="161" w:author="AbbVie14" w:date="2025-05-09T10:28:00Z">
        <w:r w:rsidRPr="004D7963" w:rsidR="004D7963">
          <w:rPr>
            <w:lang w:val="it-IT"/>
          </w:rPr>
          <w:delText>aziente</w:delText>
        </w:r>
      </w:del>
      <w:del w:id="162" w:author="AbbVie14" w:date="2025-05-09T10:28:00Z">
        <w:r w:rsidRPr="00295E71">
          <w:rPr>
            <w:lang w:val="it-IT"/>
          </w:rPr>
          <w:delText>.</w:delText>
        </w:r>
      </w:del>
    </w:p>
    <w:p w:rsidR="006224C2" w:rsidRPr="00295E71" w14:paraId="73042080" w14:textId="77777777">
      <w:pPr>
        <w:pStyle w:val="EndnoteText"/>
        <w:jc w:val="both"/>
        <w:rPr>
          <w:del w:id="163" w:author="AbbVie14" w:date="2025-05-09T10:28:00Z"/>
          <w:lang w:val="it-IT"/>
        </w:rPr>
      </w:pPr>
    </w:p>
    <w:p w:rsidR="006224C2" w:rsidRPr="00295E71" w14:paraId="005FCE55" w14:textId="77777777">
      <w:pPr>
        <w:pStyle w:val="EndnoteText"/>
        <w:jc w:val="both"/>
        <w:rPr>
          <w:del w:id="164" w:author="AbbVie14" w:date="2025-05-09T10:28:00Z"/>
          <w:lang w:val="it-IT"/>
        </w:rPr>
      </w:pPr>
      <w:del w:id="165" w:author="AbbVie14" w:date="2025-05-09T10:28:00Z">
        <w:r w:rsidRPr="00295E71">
          <w:rPr>
            <w:lang w:val="it-IT"/>
          </w:rPr>
          <w:delText>Dopo adeguate istruzioni sulla tecnica di iniezione di Humira, i pazienti possono eseguire da soli l’iniezione, se il medico lo ritiene opportuno, e con controlli medici periodici, secondo necessità.</w:delText>
        </w:r>
      </w:del>
    </w:p>
    <w:p w:rsidR="006224C2" w:rsidRPr="00295E71" w14:paraId="767B41DB" w14:textId="77777777">
      <w:pPr>
        <w:tabs>
          <w:tab w:val="left" w:pos="567"/>
        </w:tabs>
        <w:jc w:val="both"/>
        <w:rPr>
          <w:del w:id="166" w:author="AbbVie14" w:date="2025-05-09T10:28:00Z"/>
          <w:color w:val="000000"/>
          <w:sz w:val="22"/>
          <w:szCs w:val="22"/>
          <w:u w:val="single"/>
        </w:rPr>
      </w:pPr>
    </w:p>
    <w:p w:rsidR="00CB7B65" w:rsidRPr="00295E71" w:rsidP="00CB7B65" w14:paraId="719A6A7D" w14:textId="77777777">
      <w:pPr>
        <w:tabs>
          <w:tab w:val="left" w:pos="567"/>
        </w:tabs>
        <w:jc w:val="both"/>
        <w:rPr>
          <w:del w:id="167" w:author="AbbVie14" w:date="2025-05-09T10:28:00Z"/>
          <w:sz w:val="22"/>
          <w:szCs w:val="22"/>
        </w:rPr>
      </w:pPr>
      <w:del w:id="168" w:author="AbbVie14" w:date="2025-05-09T10:28:00Z">
        <w:r w:rsidRPr="00295E71">
          <w:rPr>
            <w:sz w:val="22"/>
            <w:szCs w:val="22"/>
          </w:rPr>
          <w:delText>Durante il trattamento con Humira, le altre terapie concomitanti (per esempio, i corticosteroidi e/o gli agenti immunomodulatori) devono essere ottimizzate.</w:delText>
        </w:r>
      </w:del>
    </w:p>
    <w:p w:rsidR="00CB7B65" w:rsidRPr="00295E71" w14:paraId="4BF43645" w14:textId="77777777">
      <w:pPr>
        <w:tabs>
          <w:tab w:val="left" w:pos="567"/>
        </w:tabs>
        <w:jc w:val="both"/>
        <w:rPr>
          <w:del w:id="169" w:author="AbbVie14" w:date="2025-05-09T10:28:00Z"/>
          <w:color w:val="000000"/>
          <w:sz w:val="22"/>
          <w:szCs w:val="22"/>
          <w:u w:val="single"/>
        </w:rPr>
      </w:pPr>
    </w:p>
    <w:p w:rsidR="006224C2" w:rsidRPr="00295E71" w14:paraId="72D2CE74" w14:textId="77777777">
      <w:pPr>
        <w:pStyle w:val="EndnoteText"/>
        <w:jc w:val="both"/>
        <w:rPr>
          <w:del w:id="170" w:author="AbbVie14" w:date="2025-05-09T10:28:00Z"/>
          <w:u w:val="single"/>
          <w:lang w:val="it-IT"/>
        </w:rPr>
      </w:pPr>
      <w:del w:id="171" w:author="AbbVie14" w:date="2025-05-09T10:28:00Z">
        <w:r w:rsidRPr="00295E71">
          <w:rPr>
            <w:u w:val="single"/>
            <w:lang w:val="it-IT"/>
          </w:rPr>
          <w:delText>Posologia</w:delText>
        </w:r>
      </w:del>
    </w:p>
    <w:p w:rsidR="006224C2" w:rsidRPr="00295E71" w14:paraId="1C472CBB" w14:textId="77777777">
      <w:pPr>
        <w:pStyle w:val="EndnoteText"/>
        <w:jc w:val="both"/>
        <w:rPr>
          <w:del w:id="172" w:author="AbbVie14" w:date="2025-05-09T10:28:00Z"/>
          <w:lang w:val="it-IT"/>
        </w:rPr>
      </w:pPr>
    </w:p>
    <w:p w:rsidR="006224C2" w:rsidRPr="00295E71" w14:paraId="718BCDAF" w14:textId="77777777">
      <w:pPr>
        <w:tabs>
          <w:tab w:val="left" w:pos="567"/>
        </w:tabs>
        <w:jc w:val="both"/>
        <w:rPr>
          <w:del w:id="173" w:author="AbbVie14" w:date="2025-05-09T10:28:00Z"/>
          <w:color w:val="000000"/>
          <w:sz w:val="22"/>
          <w:szCs w:val="22"/>
          <w:u w:val="single"/>
        </w:rPr>
      </w:pPr>
      <w:del w:id="174" w:author="AbbVie14" w:date="2025-05-09T10:28:00Z">
        <w:r w:rsidRPr="00295E71">
          <w:rPr>
            <w:color w:val="000000"/>
            <w:sz w:val="22"/>
            <w:szCs w:val="22"/>
            <w:u w:val="single"/>
          </w:rPr>
          <w:delText>Popolazione pediatrica</w:delText>
        </w:r>
      </w:del>
    </w:p>
    <w:p w:rsidR="006224C2" w:rsidRPr="00295E71" w14:paraId="1B5EA4EB" w14:textId="77777777">
      <w:pPr>
        <w:tabs>
          <w:tab w:val="left" w:pos="567"/>
        </w:tabs>
        <w:jc w:val="both"/>
        <w:rPr>
          <w:del w:id="175" w:author="AbbVie14" w:date="2025-05-09T10:28:00Z"/>
          <w:i/>
          <w:color w:val="000000"/>
          <w:sz w:val="22"/>
          <w:szCs w:val="22"/>
        </w:rPr>
      </w:pPr>
    </w:p>
    <w:p w:rsidR="006224C2" w:rsidRPr="00295E71" w14:paraId="18E9860B" w14:textId="77777777">
      <w:pPr>
        <w:tabs>
          <w:tab w:val="left" w:pos="567"/>
        </w:tabs>
        <w:jc w:val="both"/>
        <w:rPr>
          <w:del w:id="176" w:author="AbbVie14" w:date="2025-05-09T10:28:00Z"/>
          <w:i/>
          <w:color w:val="000000"/>
          <w:sz w:val="22"/>
          <w:szCs w:val="22"/>
        </w:rPr>
      </w:pPr>
      <w:del w:id="177" w:author="AbbVie14" w:date="2025-05-09T10:28:00Z">
        <w:r w:rsidRPr="00295E71">
          <w:rPr>
            <w:i/>
            <w:color w:val="000000"/>
            <w:sz w:val="22"/>
            <w:szCs w:val="22"/>
          </w:rPr>
          <w:delText>Artrite idiopatica giovanile</w:delText>
        </w:r>
      </w:del>
    </w:p>
    <w:p w:rsidR="006224C2" w:rsidRPr="00295E71" w:rsidP="00003981" w14:paraId="51C81016" w14:textId="77777777">
      <w:pPr>
        <w:tabs>
          <w:tab w:val="left" w:pos="7798"/>
        </w:tabs>
        <w:jc w:val="both"/>
        <w:rPr>
          <w:del w:id="178" w:author="AbbVie14" w:date="2025-05-09T10:28:00Z"/>
          <w:color w:val="000000"/>
          <w:sz w:val="22"/>
          <w:szCs w:val="22"/>
          <w:u w:val="single"/>
        </w:rPr>
      </w:pPr>
    </w:p>
    <w:p w:rsidR="006224C2" w:rsidRPr="00295E71" w14:paraId="031E0FC3" w14:textId="77777777">
      <w:pPr>
        <w:tabs>
          <w:tab w:val="left" w:pos="567"/>
          <w:tab w:val="left" w:pos="6943"/>
        </w:tabs>
        <w:jc w:val="both"/>
        <w:rPr>
          <w:del w:id="179" w:author="AbbVie14" w:date="2025-05-09T10:28:00Z"/>
          <w:color w:val="000000"/>
          <w:sz w:val="22"/>
          <w:szCs w:val="22"/>
          <w:u w:val="single"/>
        </w:rPr>
      </w:pPr>
      <w:del w:id="180" w:author="AbbVie14" w:date="2025-05-09T10:28:00Z">
        <w:r w:rsidRPr="00295E71">
          <w:rPr>
            <w:i/>
            <w:color w:val="000000"/>
            <w:sz w:val="22"/>
            <w:szCs w:val="22"/>
            <w:u w:val="single"/>
          </w:rPr>
          <w:delText>Artrite idiopatica giovanile poliarticolare da 2 anni d’età</w:delText>
        </w:r>
      </w:del>
    </w:p>
    <w:p w:rsidR="006224C2" w:rsidRPr="00295E71" w14:paraId="334F514E" w14:textId="77777777">
      <w:pPr>
        <w:tabs>
          <w:tab w:val="left" w:pos="567"/>
        </w:tabs>
        <w:jc w:val="both"/>
        <w:rPr>
          <w:del w:id="181" w:author="AbbVie14" w:date="2025-05-09T10:28:00Z"/>
          <w:color w:val="000000"/>
          <w:sz w:val="22"/>
          <w:szCs w:val="22"/>
        </w:rPr>
      </w:pPr>
    </w:p>
    <w:p w:rsidR="006224C2" w:rsidRPr="00295E71" w14:paraId="04EEF04A" w14:textId="77777777">
      <w:pPr>
        <w:tabs>
          <w:tab w:val="left" w:pos="567"/>
        </w:tabs>
        <w:jc w:val="both"/>
        <w:rPr>
          <w:del w:id="182" w:author="AbbVie14" w:date="2025-05-09T10:28:00Z"/>
          <w:color w:val="000000"/>
          <w:sz w:val="22"/>
          <w:szCs w:val="22"/>
        </w:rPr>
      </w:pPr>
      <w:del w:id="183" w:author="AbbVie14" w:date="2025-05-09T10:28:00Z">
        <w:r w:rsidRPr="00295E71">
          <w:rPr>
            <w:color w:val="000000"/>
            <w:sz w:val="22"/>
            <w:szCs w:val="22"/>
          </w:rPr>
          <w:delText>La dose raccomandata di Humira per pazienti con artrite idiopatica giovanile poliarticolare da 2 anni</w:delText>
        </w:r>
      </w:del>
      <w:del w:id="184" w:author="AbbVie14" w:date="2025-05-09T10:28:00Z">
        <w:r w:rsidRPr="00295E71" w:rsidR="00CB7B65">
          <w:rPr>
            <w:color w:val="000000"/>
            <w:sz w:val="22"/>
            <w:szCs w:val="22"/>
          </w:rPr>
          <w:delText xml:space="preserve"> di età è basata sul peso corporeo (Tabella 1).</w:delText>
        </w:r>
      </w:del>
      <w:del w:id="185" w:author="AbbVie14" w:date="2025-05-09T10:28:00Z">
        <w:r w:rsidRPr="00295E71">
          <w:rPr>
            <w:color w:val="000000"/>
            <w:sz w:val="22"/>
            <w:szCs w:val="22"/>
          </w:rPr>
          <w:delText xml:space="preserve"> </w:delText>
        </w:r>
      </w:del>
      <w:del w:id="186" w:author="AbbVie14" w:date="2025-05-09T10:28:00Z">
        <w:r w:rsidRPr="00295E71" w:rsidR="00CB7B65">
          <w:rPr>
            <w:color w:val="000000"/>
            <w:sz w:val="22"/>
            <w:szCs w:val="22"/>
          </w:rPr>
          <w:delText xml:space="preserve">Humira è </w:delText>
        </w:r>
      </w:del>
      <w:del w:id="187" w:author="AbbVie14" w:date="2025-05-09T10:28:00Z">
        <w:r w:rsidRPr="00295E71">
          <w:rPr>
            <w:color w:val="000000"/>
            <w:sz w:val="22"/>
            <w:szCs w:val="22"/>
          </w:rPr>
          <w:delText>somministrat</w:delText>
        </w:r>
      </w:del>
      <w:del w:id="188" w:author="AbbVie14" w:date="2025-05-09T10:28:00Z">
        <w:r w:rsidRPr="00295E71" w:rsidR="00704C52">
          <w:rPr>
            <w:color w:val="000000"/>
            <w:sz w:val="22"/>
            <w:szCs w:val="22"/>
          </w:rPr>
          <w:delText>o</w:delText>
        </w:r>
      </w:del>
      <w:del w:id="189" w:author="AbbVie14" w:date="2025-05-09T10:28:00Z">
        <w:r w:rsidRPr="00295E71">
          <w:rPr>
            <w:color w:val="000000"/>
            <w:sz w:val="22"/>
            <w:szCs w:val="22"/>
          </w:rPr>
          <w:delText xml:space="preserve"> a settimane alterne </w:delText>
        </w:r>
      </w:del>
      <w:del w:id="190" w:author="AbbVie14" w:date="2025-05-09T10:28:00Z">
        <w:r w:rsidRPr="00295E71" w:rsidR="00870615">
          <w:rPr>
            <w:color w:val="000000"/>
            <w:sz w:val="22"/>
            <w:szCs w:val="22"/>
          </w:rPr>
          <w:delText>attraverso iniezione</w:delText>
        </w:r>
      </w:del>
      <w:del w:id="191" w:author="AbbVie14" w:date="2025-05-09T10:28:00Z">
        <w:r w:rsidRPr="00295E71">
          <w:rPr>
            <w:color w:val="000000"/>
            <w:sz w:val="22"/>
            <w:szCs w:val="22"/>
          </w:rPr>
          <w:delText xml:space="preserve"> sottocutanea. </w:delText>
        </w:r>
      </w:del>
      <w:del w:id="192" w:author="AbbVie14" w:date="2025-05-09T10:28:00Z">
        <w:r w:rsidRPr="00295E71" w:rsidR="00CB7B65">
          <w:rPr>
            <w:color w:val="000000"/>
            <w:sz w:val="22"/>
            <w:szCs w:val="22"/>
          </w:rPr>
          <w:delText xml:space="preserve"> </w:delText>
        </w:r>
      </w:del>
    </w:p>
    <w:p w:rsidR="006224C2" w:rsidRPr="00295E71" w14:paraId="5D84EDEB" w14:textId="77777777">
      <w:pPr>
        <w:tabs>
          <w:tab w:val="left" w:pos="567"/>
        </w:tabs>
        <w:rPr>
          <w:del w:id="193" w:author="AbbVie14" w:date="2025-05-09T10:28:00Z"/>
          <w:color w:val="000000"/>
          <w:sz w:val="22"/>
          <w:szCs w:val="22"/>
        </w:rPr>
      </w:pPr>
    </w:p>
    <w:p w:rsidR="00CB7B65" w:rsidRPr="00295E71" w:rsidP="00631049" w14:paraId="4FA84290" w14:textId="77777777">
      <w:pPr>
        <w:tabs>
          <w:tab w:val="left" w:pos="562"/>
        </w:tabs>
        <w:jc w:val="center"/>
        <w:rPr>
          <w:del w:id="194" w:author="AbbVie14" w:date="2025-05-09T10:28:00Z"/>
          <w:b/>
          <w:color w:val="000000"/>
          <w:sz w:val="22"/>
          <w:szCs w:val="22"/>
        </w:rPr>
      </w:pPr>
      <w:del w:id="195" w:author="AbbVie14" w:date="2025-05-09T10:28:00Z">
        <w:r w:rsidRPr="00295E71">
          <w:rPr>
            <w:b/>
            <w:color w:val="000000"/>
            <w:sz w:val="22"/>
            <w:szCs w:val="22"/>
          </w:rPr>
          <w:delText>Ta</w:delText>
        </w:r>
      </w:del>
      <w:del w:id="196" w:author="AbbVie14" w:date="2025-05-09T10:28:00Z">
        <w:r w:rsidRPr="00295E71" w:rsidR="0030107D">
          <w:rPr>
            <w:b/>
            <w:color w:val="000000"/>
            <w:sz w:val="22"/>
            <w:szCs w:val="22"/>
          </w:rPr>
          <w:delText>bella 1</w:delText>
        </w:r>
      </w:del>
      <w:del w:id="197" w:author="AbbVie14" w:date="2025-05-09T10:28:00Z">
        <w:r w:rsidRPr="00295E71">
          <w:rPr>
            <w:b/>
            <w:color w:val="000000"/>
            <w:sz w:val="22"/>
            <w:szCs w:val="22"/>
          </w:rPr>
          <w:delText xml:space="preserve">. </w:delText>
        </w:r>
      </w:del>
      <w:del w:id="198" w:author="AbbVie14" w:date="2025-05-09T10:28:00Z">
        <w:r w:rsidRPr="00295E71" w:rsidR="0030107D">
          <w:rPr>
            <w:b/>
            <w:color w:val="000000"/>
            <w:sz w:val="22"/>
            <w:szCs w:val="22"/>
          </w:rPr>
          <w:delText xml:space="preserve">Dose di </w:delText>
        </w:r>
      </w:del>
      <w:del w:id="199" w:author="AbbVie14" w:date="2025-05-09T10:28:00Z">
        <w:r w:rsidRPr="00295E71">
          <w:rPr>
            <w:b/>
            <w:color w:val="000000"/>
            <w:sz w:val="22"/>
            <w:szCs w:val="22"/>
          </w:rPr>
          <w:delText xml:space="preserve">Humira </w:delText>
        </w:r>
      </w:del>
      <w:del w:id="200" w:author="AbbVie14" w:date="2025-05-09T10:28:00Z">
        <w:r w:rsidRPr="00295E71" w:rsidR="0030107D">
          <w:rPr>
            <w:b/>
            <w:color w:val="000000"/>
            <w:sz w:val="22"/>
            <w:szCs w:val="22"/>
          </w:rPr>
          <w:delText>per Pazienti con Artrite Idiopatica Giovanile Poliarticolare</w:delText>
        </w:r>
      </w:del>
    </w:p>
    <w:p w:rsidR="00CB7B65" w:rsidRPr="00295E71" w:rsidP="00CB7B65" w14:paraId="050E6143" w14:textId="77777777">
      <w:pPr>
        <w:tabs>
          <w:tab w:val="left" w:pos="562"/>
        </w:tabs>
        <w:jc w:val="both"/>
        <w:rPr>
          <w:del w:id="201" w:author="AbbVie14" w:date="2025-05-09T10:28:00Z"/>
          <w:color w:val="000000"/>
          <w:sz w:val="22"/>
          <w:szCs w:val="22"/>
        </w:rPr>
      </w:pPr>
    </w:p>
    <w:tbl>
      <w:tblPr>
        <w:tblW w:w="6795" w:type="dxa"/>
        <w:jc w:val="center"/>
        <w:tblLayout w:type="fixed"/>
        <w:tblLook w:val="0000"/>
      </w:tblPr>
      <w:tblGrid>
        <w:gridCol w:w="3401"/>
        <w:gridCol w:w="3394"/>
      </w:tblGrid>
      <w:tr w14:paraId="2D8BE9B5" w14:textId="77777777" w:rsidTr="00CB7B65">
        <w:tblPrEx>
          <w:tblW w:w="6795" w:type="dxa"/>
          <w:tblLayout w:type="fixed"/>
          <w:tblLook w:val="0000"/>
        </w:tblPrEx>
        <w:trPr>
          <w:tblHeader/>
          <w:del w:id="202" w:author="AbbVie14" w:date="2025-05-09T10:28:00Z"/>
        </w:trPr>
        <w:tc>
          <w:tcPr>
            <w:tcW w:w="3401" w:type="dxa"/>
            <w:tcBorders>
              <w:top w:val="single" w:sz="4" w:space="0" w:color="auto"/>
              <w:bottom w:val="single" w:sz="4" w:space="0" w:color="auto"/>
            </w:tcBorders>
          </w:tcPr>
          <w:p w:rsidR="00CB7B65" w:rsidRPr="00295E71" w:rsidP="00631049" w14:paraId="13B5FDBE" w14:textId="77777777">
            <w:pPr>
              <w:tabs>
                <w:tab w:val="left" w:pos="567"/>
              </w:tabs>
              <w:jc w:val="center"/>
              <w:rPr>
                <w:del w:id="203" w:author="AbbVie14" w:date="2025-05-09T10:28:00Z"/>
                <w:b/>
                <w:color w:val="000000"/>
                <w:sz w:val="22"/>
                <w:szCs w:val="22"/>
              </w:rPr>
            </w:pPr>
            <w:del w:id="204" w:author="AbbVie14" w:date="2025-05-09T10:28:00Z">
              <w:r w:rsidRPr="00295E71">
                <w:rPr>
                  <w:b/>
                  <w:color w:val="000000"/>
                  <w:sz w:val="22"/>
                  <w:szCs w:val="22"/>
                </w:rPr>
                <w:delText>Peso del Paziente</w:delText>
              </w:r>
            </w:del>
          </w:p>
        </w:tc>
        <w:tc>
          <w:tcPr>
            <w:tcW w:w="3394" w:type="dxa"/>
            <w:tcBorders>
              <w:top w:val="single" w:sz="4" w:space="0" w:color="auto"/>
              <w:bottom w:val="single" w:sz="4" w:space="0" w:color="auto"/>
            </w:tcBorders>
          </w:tcPr>
          <w:p w:rsidR="00CB7B65" w:rsidRPr="00295E71" w:rsidP="00631049" w14:paraId="47D4108E" w14:textId="77777777">
            <w:pPr>
              <w:tabs>
                <w:tab w:val="left" w:pos="567"/>
              </w:tabs>
              <w:jc w:val="center"/>
              <w:rPr>
                <w:del w:id="205" w:author="AbbVie14" w:date="2025-05-09T10:28:00Z"/>
                <w:b/>
                <w:color w:val="000000"/>
                <w:sz w:val="22"/>
                <w:szCs w:val="22"/>
              </w:rPr>
            </w:pPr>
            <w:del w:id="206" w:author="AbbVie14" w:date="2025-05-09T10:28:00Z">
              <w:r w:rsidRPr="00295E71">
                <w:rPr>
                  <w:b/>
                  <w:color w:val="000000"/>
                  <w:sz w:val="22"/>
                  <w:szCs w:val="22"/>
                </w:rPr>
                <w:delText>Schema</w:delText>
              </w:r>
            </w:del>
            <w:del w:id="207" w:author="AbbVie14" w:date="2025-05-09T10:28:00Z">
              <w:r w:rsidRPr="00295E71" w:rsidR="002D3D9D">
                <w:rPr>
                  <w:b/>
                  <w:color w:val="000000"/>
                  <w:sz w:val="22"/>
                  <w:szCs w:val="22"/>
                </w:rPr>
                <w:delText xml:space="preserve"> P</w:delText>
              </w:r>
            </w:del>
            <w:del w:id="208" w:author="AbbVie14" w:date="2025-05-09T10:28:00Z">
              <w:r w:rsidRPr="00295E71" w:rsidR="0030107D">
                <w:rPr>
                  <w:b/>
                  <w:color w:val="000000"/>
                  <w:sz w:val="22"/>
                  <w:szCs w:val="22"/>
                </w:rPr>
                <w:delText>osologico</w:delText>
              </w:r>
            </w:del>
          </w:p>
        </w:tc>
      </w:tr>
      <w:tr w14:paraId="53A8D5FE" w14:textId="77777777" w:rsidTr="00CB7B65">
        <w:tblPrEx>
          <w:tblW w:w="6795" w:type="dxa"/>
          <w:tblLayout w:type="fixed"/>
          <w:tblLook w:val="0000"/>
        </w:tblPrEx>
        <w:trPr>
          <w:tblHeader/>
          <w:del w:id="209" w:author="AbbVie14" w:date="2025-05-09T10:28:00Z"/>
        </w:trPr>
        <w:tc>
          <w:tcPr>
            <w:tcW w:w="3401" w:type="dxa"/>
            <w:tcBorders>
              <w:top w:val="single" w:sz="4" w:space="0" w:color="auto"/>
              <w:bottom w:val="single" w:sz="4" w:space="0" w:color="auto"/>
            </w:tcBorders>
          </w:tcPr>
          <w:p w:rsidR="00CB7B65" w:rsidRPr="00295E71" w:rsidP="00631049" w14:paraId="6B91A196" w14:textId="77777777">
            <w:pPr>
              <w:tabs>
                <w:tab w:val="left" w:pos="567"/>
              </w:tabs>
              <w:jc w:val="center"/>
              <w:rPr>
                <w:del w:id="210" w:author="AbbVie14" w:date="2025-05-09T10:28:00Z"/>
                <w:b/>
                <w:color w:val="000000"/>
                <w:sz w:val="22"/>
                <w:szCs w:val="22"/>
              </w:rPr>
            </w:pPr>
            <w:del w:id="211" w:author="AbbVie14" w:date="2025-05-09T10:28:00Z">
              <w:r w:rsidRPr="00295E71">
                <w:rPr>
                  <w:color w:val="000000"/>
                  <w:sz w:val="22"/>
                  <w:szCs w:val="22"/>
                </w:rPr>
                <w:delText xml:space="preserve">10 kg </w:delText>
              </w:r>
            </w:del>
            <w:del w:id="212" w:author="AbbVie14" w:date="2025-05-09T10:28:00Z">
              <w:r w:rsidRPr="00295E71" w:rsidR="004A349E">
                <w:rPr>
                  <w:color w:val="000000"/>
                  <w:sz w:val="22"/>
                  <w:szCs w:val="22"/>
                </w:rPr>
                <w:delText xml:space="preserve">fino </w:delText>
              </w:r>
            </w:del>
            <w:del w:id="213" w:author="AbbVie14" w:date="2025-05-09T10:28:00Z">
              <w:r w:rsidRPr="00295E71" w:rsidR="0030107D">
                <w:rPr>
                  <w:color w:val="000000"/>
                  <w:sz w:val="22"/>
                  <w:szCs w:val="22"/>
                </w:rPr>
                <w:delText xml:space="preserve">a </w:delText>
              </w:r>
            </w:del>
            <w:del w:id="214" w:author="AbbVie14" w:date="2025-05-09T10:28:00Z">
              <w:r w:rsidRPr="00295E71">
                <w:rPr>
                  <w:color w:val="000000"/>
                  <w:sz w:val="22"/>
                  <w:szCs w:val="22"/>
                </w:rPr>
                <w:delText>&lt; 30 kg</w:delText>
              </w:r>
            </w:del>
          </w:p>
        </w:tc>
        <w:tc>
          <w:tcPr>
            <w:tcW w:w="3394" w:type="dxa"/>
            <w:tcBorders>
              <w:top w:val="single" w:sz="4" w:space="0" w:color="auto"/>
              <w:bottom w:val="single" w:sz="4" w:space="0" w:color="auto"/>
            </w:tcBorders>
          </w:tcPr>
          <w:p w:rsidR="00CB7B65" w:rsidRPr="00295E71" w:rsidP="00631049" w14:paraId="4CF0F9B8" w14:textId="77777777">
            <w:pPr>
              <w:tabs>
                <w:tab w:val="left" w:pos="567"/>
              </w:tabs>
              <w:jc w:val="center"/>
              <w:rPr>
                <w:del w:id="215" w:author="AbbVie14" w:date="2025-05-09T10:28:00Z"/>
                <w:b/>
                <w:color w:val="000000"/>
                <w:sz w:val="22"/>
                <w:szCs w:val="22"/>
              </w:rPr>
            </w:pPr>
            <w:del w:id="216" w:author="AbbVie14" w:date="2025-05-09T10:28:00Z">
              <w:r w:rsidRPr="00295E71">
                <w:rPr>
                  <w:color w:val="000000"/>
                  <w:sz w:val="22"/>
                  <w:szCs w:val="22"/>
                </w:rPr>
                <w:delText xml:space="preserve">20 mg </w:delText>
              </w:r>
            </w:del>
            <w:del w:id="217" w:author="AbbVie14" w:date="2025-05-09T10:28:00Z">
              <w:r w:rsidRPr="00295E71" w:rsidR="0030107D">
                <w:rPr>
                  <w:color w:val="000000"/>
                  <w:sz w:val="22"/>
                  <w:szCs w:val="22"/>
                </w:rPr>
                <w:delText>a settimane alterne</w:delText>
              </w:r>
            </w:del>
          </w:p>
        </w:tc>
      </w:tr>
      <w:tr w14:paraId="1D867C64" w14:textId="77777777" w:rsidTr="00CB7B65">
        <w:tblPrEx>
          <w:tblW w:w="6795" w:type="dxa"/>
          <w:tblLayout w:type="fixed"/>
          <w:tblLook w:val="0000"/>
        </w:tblPrEx>
        <w:trPr>
          <w:tblHeader/>
          <w:del w:id="218" w:author="AbbVie14" w:date="2025-05-09T10:28:00Z"/>
        </w:trPr>
        <w:tc>
          <w:tcPr>
            <w:tcW w:w="3401" w:type="dxa"/>
            <w:tcBorders>
              <w:top w:val="single" w:sz="4" w:space="0" w:color="auto"/>
              <w:bottom w:val="single" w:sz="4" w:space="0" w:color="auto"/>
            </w:tcBorders>
          </w:tcPr>
          <w:p w:rsidR="00CB7B65" w:rsidRPr="00295E71" w:rsidP="00631049" w14:paraId="0F265C6D" w14:textId="77777777">
            <w:pPr>
              <w:tabs>
                <w:tab w:val="left" w:pos="567"/>
              </w:tabs>
              <w:jc w:val="center"/>
              <w:rPr>
                <w:del w:id="219" w:author="AbbVie14" w:date="2025-05-09T10:28:00Z"/>
                <w:b/>
                <w:color w:val="000000"/>
                <w:sz w:val="22"/>
                <w:szCs w:val="22"/>
              </w:rPr>
            </w:pPr>
            <w:del w:id="220" w:author="AbbVie14" w:date="2025-05-09T10:28:00Z">
              <w:r w:rsidRPr="00295E71">
                <w:rPr>
                  <w:color w:val="000000"/>
                  <w:sz w:val="22"/>
                  <w:szCs w:val="22"/>
                </w:rPr>
                <w:delText>≥ 30 kg</w:delText>
              </w:r>
            </w:del>
          </w:p>
        </w:tc>
        <w:tc>
          <w:tcPr>
            <w:tcW w:w="3394" w:type="dxa"/>
            <w:tcBorders>
              <w:top w:val="single" w:sz="4" w:space="0" w:color="auto"/>
              <w:bottom w:val="single" w:sz="4" w:space="0" w:color="auto"/>
            </w:tcBorders>
          </w:tcPr>
          <w:p w:rsidR="00CB7B65" w:rsidRPr="00295E71" w:rsidP="00631049" w14:paraId="4DB46B55" w14:textId="77777777">
            <w:pPr>
              <w:tabs>
                <w:tab w:val="left" w:pos="567"/>
              </w:tabs>
              <w:jc w:val="center"/>
              <w:rPr>
                <w:del w:id="221" w:author="AbbVie14" w:date="2025-05-09T10:28:00Z"/>
                <w:b/>
                <w:color w:val="000000"/>
                <w:sz w:val="22"/>
                <w:szCs w:val="22"/>
              </w:rPr>
            </w:pPr>
            <w:del w:id="222" w:author="AbbVie14" w:date="2025-05-09T10:28:00Z">
              <w:r w:rsidRPr="00295E71">
                <w:rPr>
                  <w:color w:val="000000"/>
                  <w:sz w:val="22"/>
                  <w:szCs w:val="22"/>
                </w:rPr>
                <w:delText xml:space="preserve">40 mg </w:delText>
              </w:r>
            </w:del>
            <w:del w:id="223" w:author="AbbVie14" w:date="2025-05-09T10:28:00Z">
              <w:r w:rsidRPr="00295E71" w:rsidR="0030107D">
                <w:rPr>
                  <w:color w:val="000000"/>
                  <w:sz w:val="22"/>
                  <w:szCs w:val="22"/>
                </w:rPr>
                <w:delText>a settimane alterne</w:delText>
              </w:r>
            </w:del>
          </w:p>
        </w:tc>
      </w:tr>
    </w:tbl>
    <w:p w:rsidR="006224C2" w:rsidRPr="00295E71" w14:paraId="4B5EBA01" w14:textId="77777777">
      <w:pPr>
        <w:tabs>
          <w:tab w:val="left" w:pos="567"/>
        </w:tabs>
        <w:jc w:val="both"/>
        <w:rPr>
          <w:del w:id="224" w:author="AbbVie14" w:date="2025-05-09T10:28:00Z"/>
          <w:color w:val="000000"/>
          <w:sz w:val="22"/>
          <w:szCs w:val="22"/>
        </w:rPr>
      </w:pPr>
    </w:p>
    <w:p w:rsidR="006224C2" w:rsidRPr="00295E71" w14:paraId="0C12A29D" w14:textId="77777777">
      <w:pPr>
        <w:tabs>
          <w:tab w:val="left" w:pos="567"/>
        </w:tabs>
        <w:jc w:val="both"/>
        <w:rPr>
          <w:del w:id="225" w:author="AbbVie14" w:date="2025-05-09T10:28:00Z"/>
          <w:sz w:val="22"/>
          <w:szCs w:val="22"/>
        </w:rPr>
      </w:pPr>
      <w:del w:id="226" w:author="AbbVie14" w:date="2025-05-09T10:28:00Z">
        <w:r w:rsidRPr="00295E71">
          <w:rPr>
            <w:sz w:val="22"/>
            <w:szCs w:val="22"/>
          </w:rPr>
          <w:delText xml:space="preserve">I dati disponibili suggeriscono che la risposta clinica viene di solito ottenuta entro 12 settimane di trattamento. In un paziente che non risponde entro questo periodo di tempo, la continuazione della terapia deve essere </w:delText>
        </w:r>
      </w:del>
      <w:del w:id="227" w:author="AbbVie14" w:date="2025-05-09T10:28:00Z">
        <w:r w:rsidR="008C22A2">
          <w:rPr>
            <w:sz w:val="22"/>
            <w:szCs w:val="22"/>
          </w:rPr>
          <w:delText>attentamente</w:delText>
        </w:r>
      </w:del>
      <w:del w:id="228" w:author="AbbVie14" w:date="2025-05-09T10:28:00Z">
        <w:r w:rsidRPr="00295E71" w:rsidR="008C22A2">
          <w:rPr>
            <w:sz w:val="22"/>
            <w:szCs w:val="22"/>
          </w:rPr>
          <w:delText xml:space="preserve"> </w:delText>
        </w:r>
      </w:del>
      <w:del w:id="229" w:author="AbbVie14" w:date="2025-05-09T10:28:00Z">
        <w:r w:rsidRPr="00295E71">
          <w:rPr>
            <w:sz w:val="22"/>
            <w:szCs w:val="22"/>
          </w:rPr>
          <w:delText>riconsiderata.</w:delText>
        </w:r>
      </w:del>
    </w:p>
    <w:p w:rsidR="006224C2" w:rsidRPr="00295E71" w14:paraId="41F52A3E" w14:textId="77777777">
      <w:pPr>
        <w:tabs>
          <w:tab w:val="left" w:pos="567"/>
        </w:tabs>
        <w:jc w:val="both"/>
        <w:rPr>
          <w:del w:id="230" w:author="AbbVie14" w:date="2025-05-09T10:28:00Z"/>
          <w:sz w:val="22"/>
          <w:szCs w:val="22"/>
        </w:rPr>
      </w:pPr>
    </w:p>
    <w:p w:rsidR="006224C2" w:rsidRPr="00295E71" w14:paraId="756251C1" w14:textId="77777777">
      <w:pPr>
        <w:tabs>
          <w:tab w:val="left" w:pos="567"/>
        </w:tabs>
        <w:jc w:val="both"/>
        <w:rPr>
          <w:del w:id="231" w:author="AbbVie14" w:date="2025-05-09T10:28:00Z"/>
          <w:sz w:val="22"/>
          <w:szCs w:val="22"/>
        </w:rPr>
      </w:pPr>
      <w:del w:id="232" w:author="AbbVie14" w:date="2025-05-09T10:28:00Z">
        <w:r w:rsidRPr="00295E71">
          <w:rPr>
            <w:sz w:val="22"/>
            <w:szCs w:val="22"/>
          </w:rPr>
          <w:delText>Non c’è un uso rilevante di Humira nei pazienti di età inferiore a 2 anni per questa indicazione.</w:delText>
        </w:r>
      </w:del>
    </w:p>
    <w:p w:rsidR="000227BD" w:rsidRPr="00295E71" w14:paraId="57E75305" w14:textId="77777777">
      <w:pPr>
        <w:tabs>
          <w:tab w:val="left" w:pos="567"/>
        </w:tabs>
        <w:jc w:val="both"/>
        <w:rPr>
          <w:del w:id="233" w:author="AbbVie14" w:date="2025-05-09T10:28:00Z"/>
          <w:sz w:val="22"/>
          <w:szCs w:val="22"/>
        </w:rPr>
      </w:pPr>
    </w:p>
    <w:p w:rsidR="000227BD" w:rsidRPr="00295E71" w14:paraId="6068D509" w14:textId="77777777">
      <w:pPr>
        <w:tabs>
          <w:tab w:val="left" w:pos="567"/>
        </w:tabs>
        <w:jc w:val="both"/>
        <w:rPr>
          <w:del w:id="234" w:author="AbbVie14" w:date="2025-05-09T10:28:00Z"/>
          <w:sz w:val="22"/>
          <w:szCs w:val="22"/>
        </w:rPr>
      </w:pPr>
      <w:del w:id="235" w:author="AbbVie14" w:date="2025-05-09T10:28:00Z">
        <w:r w:rsidRPr="00295E71">
          <w:rPr>
            <w:color w:val="000000"/>
            <w:sz w:val="22"/>
            <w:szCs w:val="22"/>
          </w:rPr>
          <w:delText>Humira può essere disponibile in altre concentrazioni e/o presentazioni a seconda delle necessità individuali di trattamento.</w:delText>
        </w:r>
      </w:del>
    </w:p>
    <w:p w:rsidR="006224C2" w:rsidRPr="00295E71" w14:paraId="30C19B87" w14:textId="77777777">
      <w:pPr>
        <w:tabs>
          <w:tab w:val="left" w:pos="567"/>
        </w:tabs>
        <w:jc w:val="both"/>
        <w:rPr>
          <w:del w:id="236" w:author="AbbVie14" w:date="2025-05-09T10:28:00Z"/>
          <w:sz w:val="22"/>
          <w:szCs w:val="22"/>
        </w:rPr>
      </w:pPr>
    </w:p>
    <w:p w:rsidR="006224C2" w:rsidRPr="00295E71" w14:paraId="0E785B0B" w14:textId="77777777">
      <w:pPr>
        <w:keepNext/>
        <w:keepLines/>
        <w:rPr>
          <w:del w:id="237" w:author="AbbVie14" w:date="2025-05-09T10:28:00Z"/>
          <w:i/>
          <w:sz w:val="22"/>
          <w:szCs w:val="22"/>
          <w:u w:val="single"/>
        </w:rPr>
      </w:pPr>
      <w:del w:id="238" w:author="AbbVie14" w:date="2025-05-09T10:28:00Z">
        <w:r w:rsidRPr="00295E71">
          <w:rPr>
            <w:i/>
            <w:sz w:val="22"/>
            <w:szCs w:val="22"/>
            <w:u w:val="single"/>
          </w:rPr>
          <w:delText>Artrite associata ad entesite</w:delText>
        </w:r>
      </w:del>
    </w:p>
    <w:p w:rsidR="006224C2" w:rsidRPr="00295E71" w14:paraId="3A497609" w14:textId="77777777">
      <w:pPr>
        <w:keepNext/>
        <w:keepLines/>
        <w:tabs>
          <w:tab w:val="left" w:pos="567"/>
        </w:tabs>
        <w:jc w:val="both"/>
        <w:rPr>
          <w:del w:id="239" w:author="AbbVie14" w:date="2025-05-09T10:28:00Z"/>
          <w:sz w:val="22"/>
          <w:szCs w:val="22"/>
          <w:u w:val="single"/>
        </w:rPr>
      </w:pPr>
    </w:p>
    <w:p w:rsidR="006224C2" w:rsidRPr="00295E71" w14:paraId="2F420439" w14:textId="77777777">
      <w:pPr>
        <w:pStyle w:val="gtcbodytext"/>
        <w:keepNext/>
        <w:keepLines/>
        <w:spacing w:before="0" w:after="0" w:line="240" w:lineRule="auto"/>
        <w:jc w:val="both"/>
        <w:rPr>
          <w:del w:id="240" w:author="AbbVie14" w:date="2025-05-09T10:28:00Z"/>
          <w:color w:val="000000"/>
          <w:sz w:val="22"/>
          <w:szCs w:val="22"/>
          <w:lang w:val="it-IT"/>
        </w:rPr>
      </w:pPr>
      <w:del w:id="241" w:author="AbbVie14" w:date="2025-05-09T10:28:00Z">
        <w:r w:rsidRPr="00295E71">
          <w:rPr>
            <w:sz w:val="22"/>
            <w:szCs w:val="22"/>
            <w:lang w:val="it-IT"/>
          </w:rPr>
          <w:delText xml:space="preserve">La dose raccomandata di Humira nei pazienti con artrite associata ad entesite, </w:delText>
        </w:r>
      </w:del>
      <w:del w:id="242" w:author="AbbVie14" w:date="2025-05-09T10:28:00Z">
        <w:r w:rsidRPr="00295E71">
          <w:rPr>
            <w:bCs/>
            <w:iCs/>
            <w:sz w:val="22"/>
            <w:szCs w:val="22"/>
            <w:lang w:val="it-IT"/>
          </w:rPr>
          <w:delText>da 6 anni in poi</w:delText>
        </w:r>
      </w:del>
      <w:del w:id="243" w:author="AbbVie14" w:date="2025-05-09T10:28:00Z">
        <w:r w:rsidRPr="00295E71">
          <w:rPr>
            <w:sz w:val="22"/>
            <w:szCs w:val="22"/>
            <w:lang w:val="it-IT"/>
          </w:rPr>
          <w:delText>,</w:delText>
        </w:r>
      </w:del>
      <w:del w:id="244" w:author="AbbVie14" w:date="2025-05-09T10:28:00Z">
        <w:r w:rsidRPr="00295E71" w:rsidR="00704C52">
          <w:rPr>
            <w:sz w:val="22"/>
            <w:szCs w:val="22"/>
            <w:lang w:val="it-IT"/>
          </w:rPr>
          <w:delText xml:space="preserve"> è basata sul peso corporeo (Tabella 2). Humira è</w:delText>
        </w:r>
      </w:del>
      <w:del w:id="245" w:author="AbbVie14" w:date="2025-05-09T10:28:00Z">
        <w:r w:rsidRPr="00295E71">
          <w:rPr>
            <w:sz w:val="22"/>
            <w:szCs w:val="22"/>
            <w:lang w:val="it-IT"/>
          </w:rPr>
          <w:delText xml:space="preserve"> somministrato a settimane alterne attraverso iniezione sottocutanea. </w:delText>
        </w:r>
      </w:del>
      <w:del w:id="246" w:author="AbbVie14" w:date="2025-05-09T10:28:00Z">
        <w:r w:rsidRPr="00295E71" w:rsidR="00704C52">
          <w:rPr>
            <w:sz w:val="22"/>
            <w:szCs w:val="22"/>
            <w:lang w:val="it-IT"/>
          </w:rPr>
          <w:delText xml:space="preserve"> </w:delText>
        </w:r>
      </w:del>
    </w:p>
    <w:p w:rsidR="00704C52" w:rsidRPr="00295E71" w14:paraId="12A8C717" w14:textId="77777777">
      <w:pPr>
        <w:pStyle w:val="gtcbodytext"/>
        <w:keepNext/>
        <w:keepLines/>
        <w:spacing w:before="0" w:after="0" w:line="240" w:lineRule="auto"/>
        <w:jc w:val="both"/>
        <w:rPr>
          <w:del w:id="247" w:author="AbbVie14" w:date="2025-05-09T10:28:00Z"/>
          <w:color w:val="000000"/>
          <w:sz w:val="22"/>
          <w:szCs w:val="22"/>
          <w:lang w:val="it-IT"/>
        </w:rPr>
      </w:pPr>
    </w:p>
    <w:p w:rsidR="00704C52" w:rsidRPr="00295E71" w:rsidP="00704C52" w14:paraId="6FEA82A9" w14:textId="77777777">
      <w:pPr>
        <w:tabs>
          <w:tab w:val="left" w:pos="562"/>
        </w:tabs>
        <w:jc w:val="center"/>
        <w:rPr>
          <w:del w:id="248" w:author="AbbVie14" w:date="2025-05-09T10:28:00Z"/>
          <w:b/>
          <w:color w:val="000000"/>
          <w:sz w:val="22"/>
          <w:szCs w:val="22"/>
        </w:rPr>
      </w:pPr>
      <w:del w:id="249" w:author="AbbVie14" w:date="2025-05-09T10:28:00Z">
        <w:r w:rsidRPr="00295E71">
          <w:rPr>
            <w:b/>
            <w:color w:val="000000"/>
            <w:sz w:val="22"/>
            <w:szCs w:val="22"/>
          </w:rPr>
          <w:delText>Tabella 2. Dose di Humira per Pazienti con Artrite Associata ad Entesite</w:delText>
        </w:r>
      </w:del>
    </w:p>
    <w:p w:rsidR="00704C52" w:rsidRPr="00295E71" w:rsidP="00704C52" w14:paraId="12A38E46" w14:textId="77777777">
      <w:pPr>
        <w:tabs>
          <w:tab w:val="left" w:pos="562"/>
        </w:tabs>
        <w:jc w:val="both"/>
        <w:rPr>
          <w:del w:id="250" w:author="AbbVie14" w:date="2025-05-09T10:28:00Z"/>
          <w:color w:val="000000"/>
          <w:sz w:val="22"/>
          <w:szCs w:val="22"/>
        </w:rPr>
      </w:pPr>
    </w:p>
    <w:tbl>
      <w:tblPr>
        <w:tblW w:w="6795" w:type="dxa"/>
        <w:jc w:val="center"/>
        <w:tblLayout w:type="fixed"/>
        <w:tblLook w:val="0000"/>
      </w:tblPr>
      <w:tblGrid>
        <w:gridCol w:w="3401"/>
        <w:gridCol w:w="3394"/>
      </w:tblGrid>
      <w:tr w14:paraId="78C85969" w14:textId="77777777" w:rsidTr="00AC3426">
        <w:tblPrEx>
          <w:tblW w:w="6795" w:type="dxa"/>
          <w:tblLayout w:type="fixed"/>
          <w:tblLook w:val="0000"/>
        </w:tblPrEx>
        <w:trPr>
          <w:tblHeader/>
          <w:del w:id="251" w:author="AbbVie14" w:date="2025-05-09T10:28:00Z"/>
        </w:trPr>
        <w:tc>
          <w:tcPr>
            <w:tcW w:w="3401" w:type="dxa"/>
            <w:tcBorders>
              <w:top w:val="single" w:sz="4" w:space="0" w:color="auto"/>
              <w:bottom w:val="single" w:sz="4" w:space="0" w:color="auto"/>
            </w:tcBorders>
          </w:tcPr>
          <w:p w:rsidR="00704C52" w:rsidRPr="00295E71" w:rsidP="00AC3426" w14:paraId="2795D717" w14:textId="77777777">
            <w:pPr>
              <w:tabs>
                <w:tab w:val="left" w:pos="567"/>
              </w:tabs>
              <w:jc w:val="center"/>
              <w:rPr>
                <w:del w:id="252" w:author="AbbVie14" w:date="2025-05-09T10:28:00Z"/>
                <w:b/>
                <w:color w:val="000000"/>
                <w:sz w:val="22"/>
                <w:szCs w:val="22"/>
              </w:rPr>
            </w:pPr>
            <w:del w:id="253" w:author="AbbVie14" w:date="2025-05-09T10:28:00Z">
              <w:r w:rsidRPr="00295E71">
                <w:rPr>
                  <w:b/>
                  <w:color w:val="000000"/>
                  <w:sz w:val="22"/>
                  <w:szCs w:val="22"/>
                </w:rPr>
                <w:delText>Peso del Paziente</w:delText>
              </w:r>
            </w:del>
          </w:p>
        </w:tc>
        <w:tc>
          <w:tcPr>
            <w:tcW w:w="3394" w:type="dxa"/>
            <w:tcBorders>
              <w:top w:val="single" w:sz="4" w:space="0" w:color="auto"/>
              <w:bottom w:val="single" w:sz="4" w:space="0" w:color="auto"/>
            </w:tcBorders>
          </w:tcPr>
          <w:p w:rsidR="00704C52" w:rsidRPr="00295E71" w:rsidP="00AC3426" w14:paraId="3A696805" w14:textId="77777777">
            <w:pPr>
              <w:tabs>
                <w:tab w:val="left" w:pos="567"/>
              </w:tabs>
              <w:jc w:val="center"/>
              <w:rPr>
                <w:del w:id="254" w:author="AbbVie14" w:date="2025-05-09T10:28:00Z"/>
                <w:b/>
                <w:color w:val="000000"/>
                <w:sz w:val="22"/>
                <w:szCs w:val="22"/>
              </w:rPr>
            </w:pPr>
            <w:del w:id="255" w:author="AbbVie14" w:date="2025-05-09T10:28:00Z">
              <w:r w:rsidRPr="00295E71">
                <w:rPr>
                  <w:b/>
                  <w:color w:val="000000"/>
                  <w:sz w:val="22"/>
                  <w:szCs w:val="22"/>
                </w:rPr>
                <w:delText>Schema</w:delText>
              </w:r>
            </w:del>
            <w:del w:id="256" w:author="AbbVie14" w:date="2025-05-09T10:28:00Z">
              <w:r w:rsidRPr="00295E71" w:rsidR="002D3D9D">
                <w:rPr>
                  <w:b/>
                  <w:color w:val="000000"/>
                  <w:sz w:val="22"/>
                  <w:szCs w:val="22"/>
                </w:rPr>
                <w:delText xml:space="preserve"> P</w:delText>
              </w:r>
            </w:del>
            <w:del w:id="257" w:author="AbbVie14" w:date="2025-05-09T10:28:00Z">
              <w:r w:rsidRPr="00295E71">
                <w:rPr>
                  <w:b/>
                  <w:color w:val="000000"/>
                  <w:sz w:val="22"/>
                  <w:szCs w:val="22"/>
                </w:rPr>
                <w:delText>osologico</w:delText>
              </w:r>
            </w:del>
          </w:p>
        </w:tc>
      </w:tr>
      <w:tr w14:paraId="310FED94" w14:textId="77777777" w:rsidTr="00AC3426">
        <w:tblPrEx>
          <w:tblW w:w="6795" w:type="dxa"/>
          <w:tblLayout w:type="fixed"/>
          <w:tblLook w:val="0000"/>
        </w:tblPrEx>
        <w:trPr>
          <w:tblHeader/>
          <w:del w:id="258" w:author="AbbVie14" w:date="2025-05-09T10:28:00Z"/>
        </w:trPr>
        <w:tc>
          <w:tcPr>
            <w:tcW w:w="3401" w:type="dxa"/>
            <w:tcBorders>
              <w:top w:val="single" w:sz="4" w:space="0" w:color="auto"/>
              <w:bottom w:val="single" w:sz="4" w:space="0" w:color="auto"/>
            </w:tcBorders>
          </w:tcPr>
          <w:p w:rsidR="00704C52" w:rsidRPr="00295E71" w:rsidP="005D7629" w14:paraId="391B09EE" w14:textId="77777777">
            <w:pPr>
              <w:tabs>
                <w:tab w:val="left" w:pos="567"/>
              </w:tabs>
              <w:jc w:val="center"/>
              <w:rPr>
                <w:del w:id="259" w:author="AbbVie14" w:date="2025-05-09T10:28:00Z"/>
                <w:b/>
                <w:color w:val="000000"/>
                <w:sz w:val="22"/>
                <w:szCs w:val="22"/>
              </w:rPr>
            </w:pPr>
            <w:del w:id="260" w:author="AbbVie14" w:date="2025-05-09T10:28:00Z">
              <w:r w:rsidRPr="00295E71">
                <w:rPr>
                  <w:color w:val="000000"/>
                  <w:sz w:val="22"/>
                  <w:szCs w:val="22"/>
                </w:rPr>
                <w:delText>1</w:delText>
              </w:r>
            </w:del>
            <w:del w:id="261" w:author="AbbVie14" w:date="2025-05-09T10:28:00Z">
              <w:r w:rsidRPr="00295E71" w:rsidR="005D7629">
                <w:rPr>
                  <w:color w:val="000000"/>
                  <w:sz w:val="22"/>
                  <w:szCs w:val="22"/>
                </w:rPr>
                <w:delText>5</w:delText>
              </w:r>
            </w:del>
            <w:del w:id="262" w:author="AbbVie14" w:date="2025-05-09T10:28:00Z">
              <w:r w:rsidRPr="00295E71">
                <w:rPr>
                  <w:color w:val="000000"/>
                  <w:sz w:val="22"/>
                  <w:szCs w:val="22"/>
                </w:rPr>
                <w:delText xml:space="preserve"> kg </w:delText>
              </w:r>
            </w:del>
            <w:del w:id="263" w:author="AbbVie14" w:date="2025-05-09T10:28:00Z">
              <w:r w:rsidRPr="00295E71" w:rsidR="004A349E">
                <w:rPr>
                  <w:color w:val="000000"/>
                  <w:sz w:val="22"/>
                  <w:szCs w:val="22"/>
                </w:rPr>
                <w:delText xml:space="preserve">fino </w:delText>
              </w:r>
            </w:del>
            <w:del w:id="264" w:author="AbbVie14" w:date="2025-05-09T10:28:00Z">
              <w:r w:rsidRPr="00295E71">
                <w:rPr>
                  <w:color w:val="000000"/>
                  <w:sz w:val="22"/>
                  <w:szCs w:val="22"/>
                </w:rPr>
                <w:delText>a &lt; 30 kg</w:delText>
              </w:r>
            </w:del>
          </w:p>
        </w:tc>
        <w:tc>
          <w:tcPr>
            <w:tcW w:w="3394" w:type="dxa"/>
            <w:tcBorders>
              <w:top w:val="single" w:sz="4" w:space="0" w:color="auto"/>
              <w:bottom w:val="single" w:sz="4" w:space="0" w:color="auto"/>
            </w:tcBorders>
          </w:tcPr>
          <w:p w:rsidR="00704C52" w:rsidRPr="00295E71" w:rsidP="00AC3426" w14:paraId="5D58C1CE" w14:textId="77777777">
            <w:pPr>
              <w:tabs>
                <w:tab w:val="left" w:pos="567"/>
              </w:tabs>
              <w:jc w:val="center"/>
              <w:rPr>
                <w:del w:id="265" w:author="AbbVie14" w:date="2025-05-09T10:28:00Z"/>
                <w:b/>
                <w:color w:val="000000"/>
                <w:sz w:val="22"/>
                <w:szCs w:val="22"/>
              </w:rPr>
            </w:pPr>
            <w:del w:id="266" w:author="AbbVie14" w:date="2025-05-09T10:28:00Z">
              <w:r w:rsidRPr="00295E71">
                <w:rPr>
                  <w:color w:val="000000"/>
                  <w:sz w:val="22"/>
                  <w:szCs w:val="22"/>
                </w:rPr>
                <w:delText>20 mg a settimane alterne</w:delText>
              </w:r>
            </w:del>
          </w:p>
        </w:tc>
      </w:tr>
      <w:tr w14:paraId="001A80AA" w14:textId="77777777" w:rsidTr="00AC3426">
        <w:tblPrEx>
          <w:tblW w:w="6795" w:type="dxa"/>
          <w:tblLayout w:type="fixed"/>
          <w:tblLook w:val="0000"/>
        </w:tblPrEx>
        <w:trPr>
          <w:tblHeader/>
          <w:del w:id="267" w:author="AbbVie14" w:date="2025-05-09T10:28:00Z"/>
        </w:trPr>
        <w:tc>
          <w:tcPr>
            <w:tcW w:w="3401" w:type="dxa"/>
            <w:tcBorders>
              <w:top w:val="single" w:sz="4" w:space="0" w:color="auto"/>
              <w:bottom w:val="single" w:sz="4" w:space="0" w:color="auto"/>
            </w:tcBorders>
          </w:tcPr>
          <w:p w:rsidR="00704C52" w:rsidRPr="00295E71" w:rsidP="00AC3426" w14:paraId="4B1A1644" w14:textId="77777777">
            <w:pPr>
              <w:tabs>
                <w:tab w:val="left" w:pos="567"/>
              </w:tabs>
              <w:jc w:val="center"/>
              <w:rPr>
                <w:del w:id="268" w:author="AbbVie14" w:date="2025-05-09T10:28:00Z"/>
                <w:b/>
                <w:color w:val="000000"/>
                <w:sz w:val="22"/>
                <w:szCs w:val="22"/>
              </w:rPr>
            </w:pPr>
            <w:del w:id="269" w:author="AbbVie14" w:date="2025-05-09T10:28:00Z">
              <w:r w:rsidRPr="00295E71">
                <w:rPr>
                  <w:color w:val="000000"/>
                  <w:sz w:val="22"/>
                  <w:szCs w:val="22"/>
                </w:rPr>
                <w:delText>≥ 30 kg</w:delText>
              </w:r>
            </w:del>
          </w:p>
        </w:tc>
        <w:tc>
          <w:tcPr>
            <w:tcW w:w="3394" w:type="dxa"/>
            <w:tcBorders>
              <w:top w:val="single" w:sz="4" w:space="0" w:color="auto"/>
              <w:bottom w:val="single" w:sz="4" w:space="0" w:color="auto"/>
            </w:tcBorders>
          </w:tcPr>
          <w:p w:rsidR="00704C52" w:rsidRPr="00295E71" w:rsidP="00AC3426" w14:paraId="42D4FDD4" w14:textId="77777777">
            <w:pPr>
              <w:tabs>
                <w:tab w:val="left" w:pos="567"/>
              </w:tabs>
              <w:jc w:val="center"/>
              <w:rPr>
                <w:del w:id="270" w:author="AbbVie14" w:date="2025-05-09T10:28:00Z"/>
                <w:b/>
                <w:color w:val="000000"/>
                <w:sz w:val="22"/>
                <w:szCs w:val="22"/>
              </w:rPr>
            </w:pPr>
            <w:del w:id="271" w:author="AbbVie14" w:date="2025-05-09T10:28:00Z">
              <w:r w:rsidRPr="00295E71">
                <w:rPr>
                  <w:color w:val="000000"/>
                  <w:sz w:val="22"/>
                  <w:szCs w:val="22"/>
                </w:rPr>
                <w:delText>40 mg a settimane alterne</w:delText>
              </w:r>
            </w:del>
          </w:p>
        </w:tc>
      </w:tr>
    </w:tbl>
    <w:p w:rsidR="006224C2" w:rsidRPr="00295E71" w14:paraId="13C6BAA6" w14:textId="77777777">
      <w:pPr>
        <w:pStyle w:val="gtcbodytext"/>
        <w:spacing w:before="0" w:after="0" w:line="240" w:lineRule="auto"/>
        <w:jc w:val="both"/>
        <w:rPr>
          <w:del w:id="272" w:author="AbbVie14" w:date="2025-05-09T10:28:00Z"/>
          <w:sz w:val="22"/>
          <w:szCs w:val="22"/>
          <w:lang w:val="it-IT"/>
        </w:rPr>
      </w:pPr>
    </w:p>
    <w:p w:rsidR="006224C2" w:rsidRPr="00295E71" w14:paraId="49F33152" w14:textId="77777777">
      <w:pPr>
        <w:pStyle w:val="gtcbodytext"/>
        <w:spacing w:before="0" w:after="0" w:line="240" w:lineRule="auto"/>
        <w:jc w:val="both"/>
        <w:rPr>
          <w:del w:id="273" w:author="AbbVie14" w:date="2025-05-09T10:28:00Z"/>
          <w:sz w:val="22"/>
          <w:szCs w:val="22"/>
          <w:lang w:val="it-IT"/>
        </w:rPr>
      </w:pPr>
      <w:del w:id="274" w:author="AbbVie14" w:date="2025-05-09T10:28:00Z">
        <w:r w:rsidRPr="00295E71">
          <w:rPr>
            <w:sz w:val="22"/>
            <w:szCs w:val="22"/>
            <w:lang w:val="it-IT"/>
          </w:rPr>
          <w:delText>Humira non è stato studiato nei pazienti di età inferiore a 6 anni con artrite associata ad entesite.</w:delText>
        </w:r>
      </w:del>
    </w:p>
    <w:p w:rsidR="000227BD" w:rsidRPr="00295E71" w14:paraId="11B7F5C8" w14:textId="77777777">
      <w:pPr>
        <w:pStyle w:val="gtcbodytext"/>
        <w:spacing w:before="0" w:after="0" w:line="240" w:lineRule="auto"/>
        <w:jc w:val="both"/>
        <w:rPr>
          <w:del w:id="275" w:author="AbbVie14" w:date="2025-05-09T10:28:00Z"/>
          <w:sz w:val="22"/>
          <w:szCs w:val="22"/>
          <w:lang w:val="it-IT"/>
        </w:rPr>
      </w:pPr>
    </w:p>
    <w:p w:rsidR="000227BD" w:rsidRPr="00295E71" w14:paraId="595CC149" w14:textId="77777777">
      <w:pPr>
        <w:pStyle w:val="gtcbodytext"/>
        <w:spacing w:before="0" w:after="0" w:line="240" w:lineRule="auto"/>
        <w:jc w:val="both"/>
        <w:rPr>
          <w:del w:id="276" w:author="AbbVie14" w:date="2025-05-09T10:28:00Z"/>
          <w:sz w:val="22"/>
          <w:szCs w:val="22"/>
          <w:lang w:val="it-IT"/>
        </w:rPr>
      </w:pPr>
      <w:del w:id="277" w:author="AbbVie14" w:date="2025-05-09T10:28:00Z">
        <w:r w:rsidRPr="00295E71">
          <w:rPr>
            <w:sz w:val="22"/>
            <w:szCs w:val="22"/>
            <w:lang w:val="it-IT"/>
          </w:rPr>
          <w:delText>Humira può essere disponibile in altre concentrazioni e/o presentazioni a seconda delle necessità individuali di trattamento.</w:delText>
        </w:r>
      </w:del>
    </w:p>
    <w:p w:rsidR="006224C2" w:rsidRPr="00295E71" w14:paraId="5670003C" w14:textId="77777777">
      <w:pPr>
        <w:tabs>
          <w:tab w:val="left" w:pos="567"/>
        </w:tabs>
        <w:jc w:val="both"/>
        <w:rPr>
          <w:del w:id="278" w:author="AbbVie14" w:date="2025-05-09T10:28:00Z"/>
          <w:sz w:val="22"/>
          <w:szCs w:val="22"/>
          <w:u w:val="single"/>
        </w:rPr>
      </w:pPr>
    </w:p>
    <w:p w:rsidR="006224C2" w:rsidRPr="00295E71" w14:paraId="21C5DB29" w14:textId="77777777">
      <w:pPr>
        <w:pStyle w:val="gtcbodytext"/>
        <w:spacing w:before="0" w:after="0" w:line="240" w:lineRule="auto"/>
        <w:jc w:val="both"/>
        <w:rPr>
          <w:del w:id="279" w:author="AbbVie14" w:date="2025-05-09T10:28:00Z"/>
          <w:i/>
          <w:sz w:val="22"/>
          <w:szCs w:val="22"/>
          <w:lang w:val="it-IT"/>
        </w:rPr>
      </w:pPr>
      <w:del w:id="280" w:author="AbbVie14" w:date="2025-05-09T10:28:00Z">
        <w:r w:rsidRPr="00295E71">
          <w:rPr>
            <w:i/>
            <w:sz w:val="22"/>
            <w:szCs w:val="22"/>
            <w:lang w:val="it-IT"/>
          </w:rPr>
          <w:delText>Psoriasi a placche pediatrica</w:delText>
        </w:r>
      </w:del>
    </w:p>
    <w:p w:rsidR="006224C2" w:rsidRPr="00295E71" w14:paraId="3E7573CF" w14:textId="77777777">
      <w:pPr>
        <w:pStyle w:val="gtcbodytext"/>
        <w:spacing w:before="0" w:after="0" w:line="240" w:lineRule="auto"/>
        <w:jc w:val="both"/>
        <w:rPr>
          <w:del w:id="281" w:author="AbbVie14" w:date="2025-05-09T10:28:00Z"/>
          <w:sz w:val="22"/>
          <w:szCs w:val="22"/>
          <w:lang w:val="it-IT"/>
        </w:rPr>
      </w:pPr>
    </w:p>
    <w:p w:rsidR="005A3E22" w:rsidRPr="00295E71" w:rsidP="00631049" w14:paraId="3AE8A3B7" w14:textId="77777777">
      <w:pPr>
        <w:pStyle w:val="gtcbodytext"/>
        <w:spacing w:before="0" w:after="0" w:line="240" w:lineRule="auto"/>
        <w:jc w:val="both"/>
        <w:rPr>
          <w:del w:id="282" w:author="AbbVie14" w:date="2025-05-09T10:28:00Z"/>
          <w:sz w:val="22"/>
          <w:szCs w:val="22"/>
          <w:lang w:val="it-IT"/>
        </w:rPr>
      </w:pPr>
      <w:del w:id="283" w:author="AbbVie14" w:date="2025-05-09T10:28:00Z">
        <w:r w:rsidRPr="00295E71">
          <w:rPr>
            <w:sz w:val="22"/>
            <w:szCs w:val="22"/>
            <w:lang w:val="it-IT"/>
          </w:rPr>
          <w:delText xml:space="preserve">La dose raccomandata di Humira per pazienti con psoriasi a placche </w:delText>
        </w:r>
      </w:del>
      <w:del w:id="284" w:author="AbbVie14" w:date="2025-05-09T10:28:00Z">
        <w:r w:rsidRPr="00295E71" w:rsidR="00DC4000">
          <w:rPr>
            <w:sz w:val="22"/>
            <w:szCs w:val="22"/>
            <w:lang w:val="it-IT"/>
          </w:rPr>
          <w:delText xml:space="preserve">di età compresa tra 4 e 17 anni </w:delText>
        </w:r>
      </w:del>
      <w:del w:id="285" w:author="AbbVie14" w:date="2025-05-09T10:28:00Z">
        <w:r w:rsidRPr="00295E71">
          <w:rPr>
            <w:sz w:val="22"/>
            <w:szCs w:val="22"/>
            <w:lang w:val="it-IT"/>
          </w:rPr>
          <w:delText xml:space="preserve">è basata sul peso corporeo (Tabella 3). Humira è somministrato attraverso iniezione sottocutanea. </w:delText>
        </w:r>
      </w:del>
    </w:p>
    <w:p w:rsidR="005A3E22" w:rsidRPr="00295E71" w14:paraId="09DD8351" w14:textId="77777777">
      <w:pPr>
        <w:pStyle w:val="gtcbodytext"/>
        <w:spacing w:before="0" w:after="0" w:line="240" w:lineRule="auto"/>
        <w:jc w:val="both"/>
        <w:rPr>
          <w:del w:id="286" w:author="AbbVie14" w:date="2025-05-09T10:28:00Z"/>
          <w:sz w:val="22"/>
          <w:szCs w:val="22"/>
          <w:lang w:val="it-IT"/>
        </w:rPr>
      </w:pPr>
    </w:p>
    <w:p w:rsidR="005A3E22" w:rsidRPr="00295E71" w:rsidP="005A3E22" w14:paraId="12037A1E" w14:textId="77777777">
      <w:pPr>
        <w:tabs>
          <w:tab w:val="left" w:pos="562"/>
        </w:tabs>
        <w:jc w:val="center"/>
        <w:rPr>
          <w:del w:id="287" w:author="AbbVie14" w:date="2025-05-09T10:28:00Z"/>
          <w:b/>
          <w:color w:val="000000"/>
          <w:sz w:val="22"/>
          <w:szCs w:val="22"/>
        </w:rPr>
      </w:pPr>
      <w:del w:id="288" w:author="AbbVie14" w:date="2025-05-09T10:28:00Z">
        <w:r w:rsidRPr="00295E71">
          <w:rPr>
            <w:b/>
            <w:color w:val="000000"/>
            <w:sz w:val="22"/>
            <w:szCs w:val="22"/>
          </w:rPr>
          <w:delText xml:space="preserve">Tabella 3. Dose di Humira per Pazienti </w:delText>
        </w:r>
      </w:del>
      <w:del w:id="289" w:author="AbbVie14" w:date="2025-05-09T10:28:00Z">
        <w:r w:rsidRPr="00295E71" w:rsidR="002D318C">
          <w:rPr>
            <w:b/>
            <w:color w:val="000000"/>
            <w:sz w:val="22"/>
            <w:szCs w:val="22"/>
          </w:rPr>
          <w:delText xml:space="preserve">Pediatrici </w:delText>
        </w:r>
      </w:del>
      <w:del w:id="290" w:author="AbbVie14" w:date="2025-05-09T10:28:00Z">
        <w:r w:rsidRPr="00295E71">
          <w:rPr>
            <w:b/>
            <w:color w:val="000000"/>
            <w:sz w:val="22"/>
            <w:szCs w:val="22"/>
          </w:rPr>
          <w:delText xml:space="preserve">con </w:delText>
        </w:r>
      </w:del>
      <w:del w:id="291" w:author="AbbVie14" w:date="2025-05-09T10:28:00Z">
        <w:r w:rsidRPr="00295E71" w:rsidR="002D318C">
          <w:rPr>
            <w:b/>
            <w:color w:val="000000"/>
            <w:sz w:val="22"/>
            <w:szCs w:val="22"/>
          </w:rPr>
          <w:delText>Psoriasi a Placche</w:delText>
        </w:r>
      </w:del>
    </w:p>
    <w:p w:rsidR="005A3E22" w:rsidRPr="00295E71" w:rsidP="005A3E22" w14:paraId="2A709383" w14:textId="77777777">
      <w:pPr>
        <w:tabs>
          <w:tab w:val="left" w:pos="562"/>
        </w:tabs>
        <w:jc w:val="both"/>
        <w:rPr>
          <w:del w:id="292" w:author="AbbVie14" w:date="2025-05-09T10:28:00Z"/>
          <w:color w:val="000000"/>
          <w:sz w:val="22"/>
          <w:szCs w:val="22"/>
        </w:rPr>
      </w:pPr>
    </w:p>
    <w:tbl>
      <w:tblPr>
        <w:tblW w:w="6795" w:type="dxa"/>
        <w:jc w:val="center"/>
        <w:tblLayout w:type="fixed"/>
        <w:tblLook w:val="0000"/>
      </w:tblPr>
      <w:tblGrid>
        <w:gridCol w:w="3401"/>
        <w:gridCol w:w="3394"/>
      </w:tblGrid>
      <w:tr w14:paraId="47221A6F" w14:textId="77777777" w:rsidTr="00AC3426">
        <w:tblPrEx>
          <w:tblW w:w="6795" w:type="dxa"/>
          <w:tblLayout w:type="fixed"/>
          <w:tblLook w:val="0000"/>
        </w:tblPrEx>
        <w:trPr>
          <w:tblHeader/>
          <w:del w:id="293" w:author="AbbVie14" w:date="2025-05-09T10:28:00Z"/>
        </w:trPr>
        <w:tc>
          <w:tcPr>
            <w:tcW w:w="3401" w:type="dxa"/>
            <w:tcBorders>
              <w:top w:val="single" w:sz="4" w:space="0" w:color="auto"/>
              <w:bottom w:val="single" w:sz="4" w:space="0" w:color="auto"/>
            </w:tcBorders>
          </w:tcPr>
          <w:p w:rsidR="005A3E22" w:rsidRPr="00295E71" w:rsidP="00AC3426" w14:paraId="3BD7CE6C" w14:textId="77777777">
            <w:pPr>
              <w:tabs>
                <w:tab w:val="left" w:pos="567"/>
              </w:tabs>
              <w:jc w:val="center"/>
              <w:rPr>
                <w:del w:id="294" w:author="AbbVie14" w:date="2025-05-09T10:28:00Z"/>
                <w:b/>
                <w:color w:val="000000"/>
                <w:sz w:val="22"/>
                <w:szCs w:val="22"/>
              </w:rPr>
            </w:pPr>
            <w:del w:id="295" w:author="AbbVie14" w:date="2025-05-09T10:28:00Z">
              <w:r w:rsidRPr="00295E71">
                <w:rPr>
                  <w:b/>
                  <w:color w:val="000000"/>
                  <w:sz w:val="22"/>
                  <w:szCs w:val="22"/>
                </w:rPr>
                <w:delText>Peso del Paziente</w:delText>
              </w:r>
            </w:del>
          </w:p>
        </w:tc>
        <w:tc>
          <w:tcPr>
            <w:tcW w:w="3394" w:type="dxa"/>
            <w:tcBorders>
              <w:top w:val="single" w:sz="4" w:space="0" w:color="auto"/>
              <w:bottom w:val="single" w:sz="4" w:space="0" w:color="auto"/>
            </w:tcBorders>
          </w:tcPr>
          <w:p w:rsidR="005A3E22" w:rsidRPr="00295E71" w:rsidP="00AC3426" w14:paraId="6116EA29" w14:textId="77777777">
            <w:pPr>
              <w:tabs>
                <w:tab w:val="left" w:pos="567"/>
              </w:tabs>
              <w:jc w:val="center"/>
              <w:rPr>
                <w:del w:id="296" w:author="AbbVie14" w:date="2025-05-09T10:28:00Z"/>
                <w:b/>
                <w:color w:val="000000"/>
                <w:sz w:val="22"/>
                <w:szCs w:val="22"/>
              </w:rPr>
            </w:pPr>
            <w:del w:id="297" w:author="AbbVie14" w:date="2025-05-09T10:28:00Z">
              <w:r w:rsidRPr="00295E71">
                <w:rPr>
                  <w:b/>
                  <w:color w:val="000000"/>
                  <w:sz w:val="22"/>
                  <w:szCs w:val="22"/>
                </w:rPr>
                <w:delText>Schema</w:delText>
              </w:r>
            </w:del>
            <w:del w:id="298" w:author="AbbVie14" w:date="2025-05-09T10:28:00Z">
              <w:r w:rsidRPr="00295E71" w:rsidR="002D3D9D">
                <w:rPr>
                  <w:b/>
                  <w:color w:val="000000"/>
                  <w:sz w:val="22"/>
                  <w:szCs w:val="22"/>
                </w:rPr>
                <w:delText xml:space="preserve"> P</w:delText>
              </w:r>
            </w:del>
            <w:del w:id="299" w:author="AbbVie14" w:date="2025-05-09T10:28:00Z">
              <w:r w:rsidRPr="00295E71">
                <w:rPr>
                  <w:b/>
                  <w:color w:val="000000"/>
                  <w:sz w:val="22"/>
                  <w:szCs w:val="22"/>
                </w:rPr>
                <w:delText>osologico</w:delText>
              </w:r>
            </w:del>
          </w:p>
        </w:tc>
      </w:tr>
      <w:tr w14:paraId="209D94D3" w14:textId="77777777" w:rsidTr="00AC3426">
        <w:tblPrEx>
          <w:tblW w:w="6795" w:type="dxa"/>
          <w:tblLayout w:type="fixed"/>
          <w:tblLook w:val="0000"/>
        </w:tblPrEx>
        <w:trPr>
          <w:tblHeader/>
          <w:del w:id="300" w:author="AbbVie14" w:date="2025-05-09T10:28:00Z"/>
        </w:trPr>
        <w:tc>
          <w:tcPr>
            <w:tcW w:w="3401" w:type="dxa"/>
            <w:tcBorders>
              <w:top w:val="single" w:sz="4" w:space="0" w:color="auto"/>
              <w:bottom w:val="single" w:sz="4" w:space="0" w:color="auto"/>
            </w:tcBorders>
          </w:tcPr>
          <w:p w:rsidR="005A3E22" w:rsidRPr="00295E71" w:rsidP="00AC3426" w14:paraId="025CF19D" w14:textId="77777777">
            <w:pPr>
              <w:tabs>
                <w:tab w:val="left" w:pos="567"/>
              </w:tabs>
              <w:jc w:val="center"/>
              <w:rPr>
                <w:del w:id="301" w:author="AbbVie14" w:date="2025-05-09T10:28:00Z"/>
                <w:b/>
                <w:color w:val="000000"/>
                <w:sz w:val="22"/>
                <w:szCs w:val="22"/>
              </w:rPr>
            </w:pPr>
            <w:del w:id="302" w:author="AbbVie14" w:date="2025-05-09T10:28:00Z">
              <w:r w:rsidRPr="00295E71">
                <w:rPr>
                  <w:color w:val="000000"/>
                  <w:sz w:val="22"/>
                  <w:szCs w:val="22"/>
                </w:rPr>
                <w:delText xml:space="preserve">15 kg </w:delText>
              </w:r>
            </w:del>
            <w:del w:id="303" w:author="AbbVie14" w:date="2025-05-09T10:28:00Z">
              <w:r w:rsidRPr="00295E71" w:rsidR="004A349E">
                <w:rPr>
                  <w:color w:val="000000"/>
                  <w:sz w:val="22"/>
                  <w:szCs w:val="22"/>
                </w:rPr>
                <w:delText xml:space="preserve">fino </w:delText>
              </w:r>
            </w:del>
            <w:del w:id="304" w:author="AbbVie14" w:date="2025-05-09T10:28:00Z">
              <w:r w:rsidRPr="00295E71">
                <w:rPr>
                  <w:color w:val="000000"/>
                  <w:sz w:val="22"/>
                  <w:szCs w:val="22"/>
                </w:rPr>
                <w:delText>a &lt; 30 kg</w:delText>
              </w:r>
            </w:del>
          </w:p>
        </w:tc>
        <w:tc>
          <w:tcPr>
            <w:tcW w:w="3394" w:type="dxa"/>
            <w:tcBorders>
              <w:top w:val="single" w:sz="4" w:space="0" w:color="auto"/>
              <w:bottom w:val="single" w:sz="4" w:space="0" w:color="auto"/>
            </w:tcBorders>
          </w:tcPr>
          <w:p w:rsidR="005A3E22" w:rsidRPr="00295E71" w:rsidP="00AC3426" w14:paraId="42ADCCFB" w14:textId="77777777">
            <w:pPr>
              <w:tabs>
                <w:tab w:val="left" w:pos="567"/>
              </w:tabs>
              <w:jc w:val="center"/>
              <w:rPr>
                <w:del w:id="305" w:author="AbbVie14" w:date="2025-05-09T10:28:00Z"/>
                <w:b/>
                <w:color w:val="000000"/>
                <w:sz w:val="22"/>
                <w:szCs w:val="22"/>
              </w:rPr>
            </w:pPr>
            <w:del w:id="306" w:author="AbbVie14" w:date="2025-05-09T10:28:00Z">
              <w:r w:rsidRPr="00295E71">
                <w:rPr>
                  <w:color w:val="000000"/>
                  <w:sz w:val="22"/>
                  <w:szCs w:val="22"/>
                </w:rPr>
                <w:delText>Dose iniziale di 20 mg, seguita da 20 mg somministrati a settimane alterne iniziando una settimana dopo la dose iniziale</w:delText>
              </w:r>
            </w:del>
          </w:p>
        </w:tc>
      </w:tr>
      <w:tr w14:paraId="17A84C05" w14:textId="77777777" w:rsidTr="00AC3426">
        <w:tblPrEx>
          <w:tblW w:w="6795" w:type="dxa"/>
          <w:tblLayout w:type="fixed"/>
          <w:tblLook w:val="0000"/>
        </w:tblPrEx>
        <w:trPr>
          <w:tblHeader/>
          <w:del w:id="307" w:author="AbbVie14" w:date="2025-05-09T10:28:00Z"/>
        </w:trPr>
        <w:tc>
          <w:tcPr>
            <w:tcW w:w="3401" w:type="dxa"/>
            <w:tcBorders>
              <w:top w:val="single" w:sz="4" w:space="0" w:color="auto"/>
              <w:bottom w:val="single" w:sz="4" w:space="0" w:color="auto"/>
            </w:tcBorders>
          </w:tcPr>
          <w:p w:rsidR="005A3E22" w:rsidRPr="00295E71" w:rsidP="00AC3426" w14:paraId="586332C0" w14:textId="77777777">
            <w:pPr>
              <w:tabs>
                <w:tab w:val="left" w:pos="567"/>
              </w:tabs>
              <w:jc w:val="center"/>
              <w:rPr>
                <w:del w:id="308" w:author="AbbVie14" w:date="2025-05-09T10:28:00Z"/>
                <w:b/>
                <w:color w:val="000000"/>
                <w:sz w:val="22"/>
                <w:szCs w:val="22"/>
              </w:rPr>
            </w:pPr>
            <w:del w:id="309" w:author="AbbVie14" w:date="2025-05-09T10:28:00Z">
              <w:r w:rsidRPr="00295E71">
                <w:rPr>
                  <w:color w:val="000000"/>
                  <w:sz w:val="22"/>
                  <w:szCs w:val="22"/>
                </w:rPr>
                <w:delText>≥ 30 kg</w:delText>
              </w:r>
            </w:del>
          </w:p>
        </w:tc>
        <w:tc>
          <w:tcPr>
            <w:tcW w:w="3394" w:type="dxa"/>
            <w:tcBorders>
              <w:top w:val="single" w:sz="4" w:space="0" w:color="auto"/>
              <w:bottom w:val="single" w:sz="4" w:space="0" w:color="auto"/>
            </w:tcBorders>
          </w:tcPr>
          <w:p w:rsidR="005A3E22" w:rsidRPr="00295E71" w:rsidP="00AC3426" w14:paraId="709ED041" w14:textId="77777777">
            <w:pPr>
              <w:tabs>
                <w:tab w:val="left" w:pos="567"/>
              </w:tabs>
              <w:jc w:val="center"/>
              <w:rPr>
                <w:del w:id="310" w:author="AbbVie14" w:date="2025-05-09T10:28:00Z"/>
                <w:b/>
                <w:color w:val="000000"/>
                <w:sz w:val="22"/>
                <w:szCs w:val="22"/>
              </w:rPr>
            </w:pPr>
            <w:del w:id="311" w:author="AbbVie14" w:date="2025-05-09T10:28:00Z">
              <w:r w:rsidRPr="00295E71">
                <w:rPr>
                  <w:color w:val="000000"/>
                  <w:sz w:val="22"/>
                  <w:szCs w:val="22"/>
                </w:rPr>
                <w:delText>Dose iniziale di 40 mg, seguita da 40 mg somministrati a settimane alterne iniziando una settimana dopo la dose iniziale</w:delText>
              </w:r>
            </w:del>
          </w:p>
        </w:tc>
      </w:tr>
    </w:tbl>
    <w:p w:rsidR="005A3E22" w:rsidRPr="00295E71" w14:paraId="2E791FC7" w14:textId="77777777">
      <w:pPr>
        <w:pStyle w:val="gtcbodytext"/>
        <w:spacing w:before="0" w:after="0" w:line="240" w:lineRule="auto"/>
        <w:jc w:val="both"/>
        <w:rPr>
          <w:del w:id="312" w:author="AbbVie14" w:date="2025-05-09T10:28:00Z"/>
          <w:sz w:val="22"/>
          <w:szCs w:val="22"/>
          <w:lang w:val="it-IT"/>
        </w:rPr>
      </w:pPr>
    </w:p>
    <w:p w:rsidR="006224C2" w:rsidRPr="00295E71" w14:paraId="77C4E577" w14:textId="77777777">
      <w:pPr>
        <w:pStyle w:val="gtcbodytext"/>
        <w:spacing w:before="0" w:after="0" w:line="240" w:lineRule="auto"/>
        <w:jc w:val="both"/>
        <w:rPr>
          <w:del w:id="313" w:author="AbbVie14" w:date="2025-05-09T10:28:00Z"/>
          <w:sz w:val="22"/>
          <w:szCs w:val="22"/>
          <w:lang w:val="it-IT"/>
        </w:rPr>
      </w:pPr>
      <w:del w:id="314" w:author="AbbVie14" w:date="2025-05-09T10:28:00Z">
        <w:r w:rsidRPr="00295E71">
          <w:rPr>
            <w:sz w:val="22"/>
            <w:szCs w:val="22"/>
            <w:lang w:val="it-IT"/>
          </w:rPr>
          <w:delText>Il proseguimento della terapia oltre le 16 settimane dovrebbe essere attentamente valutato in pazienti che non rispondono entro questo periodo di tempo.</w:delText>
        </w:r>
      </w:del>
    </w:p>
    <w:p w:rsidR="006224C2" w:rsidRPr="00295E71" w14:paraId="57A3EDB5" w14:textId="77777777">
      <w:pPr>
        <w:pStyle w:val="gtcbodytext"/>
        <w:spacing w:before="0" w:after="0" w:line="240" w:lineRule="auto"/>
        <w:jc w:val="both"/>
        <w:rPr>
          <w:del w:id="315" w:author="AbbVie14" w:date="2025-05-09T10:28:00Z"/>
          <w:sz w:val="22"/>
          <w:szCs w:val="22"/>
          <w:lang w:val="it-IT"/>
        </w:rPr>
      </w:pPr>
    </w:p>
    <w:p w:rsidR="006224C2" w:rsidRPr="00295E71" w14:paraId="46E30CC0" w14:textId="77777777">
      <w:pPr>
        <w:pStyle w:val="gtcbodytext"/>
        <w:spacing w:before="0" w:after="0" w:line="240" w:lineRule="auto"/>
        <w:jc w:val="both"/>
        <w:rPr>
          <w:del w:id="316" w:author="AbbVie14" w:date="2025-05-09T10:28:00Z"/>
          <w:sz w:val="22"/>
          <w:szCs w:val="22"/>
          <w:lang w:val="it-IT"/>
        </w:rPr>
      </w:pPr>
      <w:del w:id="317" w:author="AbbVie14" w:date="2025-05-09T10:28:00Z">
        <w:r w:rsidRPr="00295E71">
          <w:rPr>
            <w:sz w:val="22"/>
            <w:szCs w:val="22"/>
            <w:lang w:val="it-IT"/>
          </w:rPr>
          <w:delText>Laddove sia indicato il ri-trattamento con Humira, occorre seguire le indicazioni sopra riportate</w:delText>
        </w:r>
      </w:del>
      <w:del w:id="318" w:author="AbbVie14" w:date="2025-05-09T10:28:00Z">
        <w:r w:rsidR="00955E55">
          <w:rPr>
            <w:sz w:val="22"/>
            <w:szCs w:val="22"/>
            <w:lang w:val="it-IT"/>
          </w:rPr>
          <w:delText xml:space="preserve"> </w:delText>
        </w:r>
      </w:del>
      <w:del w:id="319" w:author="AbbVie14" w:date="2025-05-09T10:28:00Z">
        <w:r w:rsidRPr="00295E71">
          <w:rPr>
            <w:sz w:val="22"/>
            <w:szCs w:val="22"/>
            <w:lang w:val="it-IT"/>
          </w:rPr>
          <w:delText>riguardo la dose e la durata del trattamento.</w:delText>
        </w:r>
      </w:del>
    </w:p>
    <w:p w:rsidR="006224C2" w:rsidRPr="00295E71" w14:paraId="0F6CECFB" w14:textId="77777777">
      <w:pPr>
        <w:pStyle w:val="gtcbodytext"/>
        <w:spacing w:before="0" w:after="0" w:line="240" w:lineRule="auto"/>
        <w:jc w:val="both"/>
        <w:rPr>
          <w:del w:id="320" w:author="AbbVie14" w:date="2025-05-09T10:28:00Z"/>
          <w:sz w:val="22"/>
          <w:szCs w:val="22"/>
          <w:lang w:val="it-IT"/>
        </w:rPr>
      </w:pPr>
    </w:p>
    <w:p w:rsidR="006224C2" w:rsidRPr="00295E71" w14:paraId="60CC1ABF" w14:textId="77777777">
      <w:pPr>
        <w:pStyle w:val="gtcbodytext"/>
        <w:spacing w:before="0" w:after="0" w:line="240" w:lineRule="auto"/>
        <w:jc w:val="both"/>
        <w:rPr>
          <w:del w:id="321" w:author="AbbVie14" w:date="2025-05-09T10:28:00Z"/>
          <w:sz w:val="22"/>
          <w:szCs w:val="22"/>
          <w:lang w:val="it-IT"/>
        </w:rPr>
      </w:pPr>
      <w:del w:id="322" w:author="AbbVie14" w:date="2025-05-09T10:28:00Z">
        <w:r w:rsidRPr="00295E71">
          <w:rPr>
            <w:sz w:val="22"/>
            <w:szCs w:val="22"/>
            <w:lang w:val="it-IT"/>
          </w:rPr>
          <w:delText>La sicurezza di Humira nei pazienti pediatrici con psoriasi a placche è stata valutata per un periodo medio di</w:delText>
        </w:r>
      </w:del>
      <w:del w:id="323" w:author="AbbVie14" w:date="2025-05-09T10:28:00Z">
        <w:r w:rsidR="00955E55">
          <w:rPr>
            <w:sz w:val="22"/>
            <w:szCs w:val="22"/>
            <w:lang w:val="it-IT"/>
          </w:rPr>
          <w:delText xml:space="preserve"> </w:delText>
        </w:r>
      </w:del>
      <w:del w:id="324" w:author="AbbVie14" w:date="2025-05-09T10:28:00Z">
        <w:r w:rsidRPr="00295E71">
          <w:rPr>
            <w:sz w:val="22"/>
            <w:szCs w:val="22"/>
            <w:lang w:val="it-IT"/>
          </w:rPr>
          <w:delText>13 mesi.</w:delText>
        </w:r>
      </w:del>
    </w:p>
    <w:p w:rsidR="006224C2" w:rsidRPr="00295E71" w14:paraId="112AE8C2" w14:textId="77777777">
      <w:pPr>
        <w:pStyle w:val="gtcbodytext"/>
        <w:spacing w:before="0" w:after="0" w:line="240" w:lineRule="auto"/>
        <w:jc w:val="both"/>
        <w:rPr>
          <w:del w:id="325" w:author="AbbVie14" w:date="2025-05-09T10:28:00Z"/>
          <w:sz w:val="22"/>
          <w:szCs w:val="22"/>
          <w:lang w:val="it-IT"/>
        </w:rPr>
      </w:pPr>
    </w:p>
    <w:p w:rsidR="006224C2" w:rsidRPr="00295E71" w14:paraId="36300603" w14:textId="77777777">
      <w:pPr>
        <w:pStyle w:val="gtcbodytext"/>
        <w:spacing w:before="0" w:after="0" w:line="240" w:lineRule="auto"/>
        <w:jc w:val="both"/>
        <w:rPr>
          <w:del w:id="326" w:author="AbbVie14" w:date="2025-05-09T10:28:00Z"/>
          <w:sz w:val="22"/>
          <w:szCs w:val="22"/>
          <w:lang w:val="it-IT"/>
        </w:rPr>
      </w:pPr>
      <w:del w:id="327" w:author="AbbVie14" w:date="2025-05-09T10:28:00Z">
        <w:r w:rsidRPr="00295E71">
          <w:rPr>
            <w:sz w:val="22"/>
            <w:szCs w:val="22"/>
            <w:lang w:val="it-IT"/>
          </w:rPr>
          <w:delText>Non c’è un uso rilevante di Humira nei bambini di età inferiore a 4 anni per questa indicazione.</w:delText>
        </w:r>
      </w:del>
    </w:p>
    <w:p w:rsidR="000227BD" w:rsidRPr="00295E71" w14:paraId="6B636905" w14:textId="77777777">
      <w:pPr>
        <w:pStyle w:val="gtcbodytext"/>
        <w:spacing w:before="0" w:after="0" w:line="240" w:lineRule="auto"/>
        <w:jc w:val="both"/>
        <w:rPr>
          <w:del w:id="328" w:author="AbbVie14" w:date="2025-05-09T10:28:00Z"/>
          <w:sz w:val="22"/>
          <w:szCs w:val="22"/>
          <w:lang w:val="it-IT"/>
        </w:rPr>
      </w:pPr>
    </w:p>
    <w:p w:rsidR="000227BD" w:rsidRPr="00295E71" w14:paraId="5FC0CD0A" w14:textId="77777777">
      <w:pPr>
        <w:pStyle w:val="gtcbodytext"/>
        <w:spacing w:before="0" w:after="0" w:line="240" w:lineRule="auto"/>
        <w:jc w:val="both"/>
        <w:rPr>
          <w:del w:id="329" w:author="AbbVie14" w:date="2025-05-09T10:28:00Z"/>
          <w:sz w:val="22"/>
          <w:szCs w:val="22"/>
          <w:lang w:val="it-IT"/>
        </w:rPr>
      </w:pPr>
      <w:del w:id="330" w:author="AbbVie14" w:date="2025-05-09T10:28:00Z">
        <w:r w:rsidRPr="00295E71">
          <w:rPr>
            <w:sz w:val="22"/>
            <w:szCs w:val="22"/>
            <w:lang w:val="it-IT"/>
          </w:rPr>
          <w:delText xml:space="preserve">Humira è somministrato attraverso iniezione sottocutanea. </w:delText>
        </w:r>
      </w:del>
      <w:del w:id="331" w:author="AbbVie14" w:date="2025-05-09T10:28:00Z">
        <w:r w:rsidRPr="00295E71">
          <w:rPr>
            <w:color w:val="000000"/>
            <w:sz w:val="22"/>
            <w:szCs w:val="22"/>
            <w:lang w:val="it-IT"/>
          </w:rPr>
          <w:delText>Humira può essere disponibile in altre concentrazioni e/o presentazioni a seconda delle necessità individuali di trattamento.</w:delText>
        </w:r>
      </w:del>
    </w:p>
    <w:p w:rsidR="006224C2" w:rsidRPr="00295E71" w14:paraId="0286EBF4" w14:textId="77777777">
      <w:pPr>
        <w:rPr>
          <w:del w:id="332" w:author="AbbVie14" w:date="2025-05-09T10:28:00Z"/>
          <w:sz w:val="22"/>
          <w:szCs w:val="22"/>
          <w:u w:val="single"/>
        </w:rPr>
      </w:pPr>
    </w:p>
    <w:p w:rsidR="006224C2" w:rsidRPr="00295E71" w14:paraId="0D1691A9" w14:textId="77777777">
      <w:pPr>
        <w:keepNext/>
        <w:rPr>
          <w:del w:id="333" w:author="AbbVie14" w:date="2025-05-09T10:28:00Z"/>
          <w:i/>
          <w:sz w:val="22"/>
          <w:szCs w:val="22"/>
        </w:rPr>
      </w:pPr>
      <w:del w:id="334" w:author="AbbVie14" w:date="2025-05-09T10:28:00Z">
        <w:r w:rsidRPr="00295E71">
          <w:rPr>
            <w:i/>
            <w:sz w:val="22"/>
            <w:szCs w:val="22"/>
          </w:rPr>
          <w:delText>Idrosadenite suppurativa negli adolescenti (dai 12 anni d’età, di almeno 30 kg di peso)</w:delText>
        </w:r>
      </w:del>
    </w:p>
    <w:p w:rsidR="006224C2" w:rsidRPr="00295E71" w14:paraId="35DEC5B5" w14:textId="77777777">
      <w:pPr>
        <w:keepNext/>
        <w:rPr>
          <w:del w:id="335" w:author="AbbVie14" w:date="2025-05-09T10:28:00Z"/>
          <w:i/>
          <w:sz w:val="22"/>
          <w:szCs w:val="22"/>
        </w:rPr>
      </w:pPr>
    </w:p>
    <w:p w:rsidR="002D318C" w:rsidRPr="00295E71" w14:paraId="3E537BE6" w14:textId="77777777">
      <w:pPr>
        <w:rPr>
          <w:del w:id="336" w:author="AbbVie14" w:date="2025-05-09T10:28:00Z"/>
          <w:sz w:val="22"/>
          <w:szCs w:val="22"/>
        </w:rPr>
      </w:pPr>
      <w:del w:id="337" w:author="AbbVie14" w:date="2025-05-09T10:28:00Z">
        <w:r w:rsidRPr="00295E71">
          <w:rPr>
            <w:sz w:val="22"/>
            <w:szCs w:val="22"/>
          </w:rPr>
          <w:delText>Non ci sono studi clinici con Humira in pazienti adolescenti con HS.</w:delText>
        </w:r>
      </w:del>
    </w:p>
    <w:p w:rsidR="002D318C" w:rsidRPr="00295E71" w14:paraId="23C4F83B" w14:textId="77777777">
      <w:pPr>
        <w:rPr>
          <w:del w:id="338" w:author="AbbVie14" w:date="2025-05-09T10:28:00Z"/>
          <w:sz w:val="22"/>
          <w:szCs w:val="22"/>
        </w:rPr>
      </w:pPr>
    </w:p>
    <w:p w:rsidR="006224C2" w:rsidRPr="00295E71" w14:paraId="5673A275" w14:textId="77777777">
      <w:pPr>
        <w:rPr>
          <w:del w:id="339" w:author="AbbVie14" w:date="2025-05-09T10:28:00Z"/>
          <w:sz w:val="22"/>
          <w:szCs w:val="22"/>
          <w:shd w:val="clear" w:color="auto" w:fill="FFFFFF"/>
        </w:rPr>
      </w:pPr>
      <w:del w:id="340" w:author="AbbVie14" w:date="2025-05-09T10:28:00Z">
        <w:r w:rsidRPr="00295E71">
          <w:rPr>
            <w:sz w:val="22"/>
            <w:szCs w:val="22"/>
          </w:rPr>
          <w:delText>La posologia di Humira in questi pazienti è stata determinata sulla base di modelli e simulazione farmacocinetica (vedere paragrafo 5.2).</w:delText>
        </w:r>
      </w:del>
    </w:p>
    <w:p w:rsidR="006224C2" w:rsidRPr="00295E71" w14:paraId="2D2C5718" w14:textId="77777777">
      <w:pPr>
        <w:pStyle w:val="EMEANormal"/>
        <w:rPr>
          <w:del w:id="341" w:author="AbbVie14" w:date="2025-05-09T10:28:00Z"/>
          <w:lang w:val="it-IT"/>
        </w:rPr>
      </w:pPr>
    </w:p>
    <w:p w:rsidR="006224C2" w:rsidRPr="00295E71" w14:paraId="1915FF79" w14:textId="77777777">
      <w:pPr>
        <w:pStyle w:val="EMEANormal"/>
        <w:rPr>
          <w:del w:id="342" w:author="AbbVie14" w:date="2025-05-09T10:28:00Z"/>
          <w:lang w:val="it-IT"/>
        </w:rPr>
      </w:pPr>
      <w:del w:id="343" w:author="AbbVie14" w:date="2025-05-09T10:28:00Z">
        <w:r w:rsidRPr="00295E71">
          <w:rPr>
            <w:lang w:val="it-IT"/>
          </w:rPr>
          <w:delText xml:space="preserve">La dose raccomandata di Humira è di 80 mg alla settimana 0 seguiti da 40 mg a settimane alterne a partire dalla settimana 1 </w:delText>
        </w:r>
      </w:del>
      <w:del w:id="344" w:author="AbbVie14" w:date="2025-05-09T10:28:00Z">
        <w:r w:rsidR="00955E55">
          <w:rPr>
            <w:lang w:val="it-IT"/>
          </w:rPr>
          <w:delText xml:space="preserve">attraverso </w:delText>
        </w:r>
      </w:del>
      <w:del w:id="345" w:author="AbbVie14" w:date="2025-05-09T10:28:00Z">
        <w:r w:rsidRPr="00ED5508" w:rsidR="00955E55">
          <w:rPr>
            <w:lang w:val="it-IT"/>
          </w:rPr>
          <w:delText>iniezione</w:delText>
        </w:r>
      </w:del>
      <w:del w:id="346" w:author="AbbVie14" w:date="2025-05-09T10:28:00Z">
        <w:r w:rsidR="006312AE">
          <w:rPr>
            <w:lang w:val="it-IT"/>
          </w:rPr>
          <w:delText xml:space="preserve"> </w:delText>
        </w:r>
      </w:del>
      <w:del w:id="347" w:author="AbbVie14" w:date="2025-05-09T10:28:00Z">
        <w:r w:rsidRPr="00295E71">
          <w:rPr>
            <w:color w:val="000000"/>
            <w:lang w:val="it-IT"/>
          </w:rPr>
          <w:delText>sottocutanea</w:delText>
        </w:r>
      </w:del>
      <w:del w:id="348" w:author="AbbVie14" w:date="2025-05-09T10:28:00Z">
        <w:r w:rsidRPr="00295E71">
          <w:rPr>
            <w:lang w:val="it-IT"/>
          </w:rPr>
          <w:delText xml:space="preserve">. </w:delText>
        </w:r>
      </w:del>
    </w:p>
    <w:p w:rsidR="00955E55" w:rsidRPr="00295E71" w14:paraId="7BF690EE" w14:textId="77777777">
      <w:pPr>
        <w:pStyle w:val="EMEANormal"/>
        <w:rPr>
          <w:del w:id="349" w:author="AbbVie14" w:date="2025-05-09T10:28:00Z"/>
          <w:lang w:val="it-IT"/>
        </w:rPr>
      </w:pPr>
    </w:p>
    <w:p w:rsidR="006224C2" w:rsidRPr="00295E71" w14:paraId="3D2301B5" w14:textId="77777777">
      <w:pPr>
        <w:rPr>
          <w:del w:id="350" w:author="AbbVie14" w:date="2025-05-09T10:28:00Z"/>
          <w:sz w:val="22"/>
          <w:szCs w:val="22"/>
        </w:rPr>
      </w:pPr>
      <w:del w:id="351" w:author="AbbVie14" w:date="2025-05-09T10:28:00Z">
        <w:r w:rsidRPr="00295E71">
          <w:rPr>
            <w:sz w:val="22"/>
            <w:szCs w:val="22"/>
          </w:rPr>
          <w:delText xml:space="preserve">In pazienti adolescenti con una risposta inadeguata a 40 mg </w:delText>
        </w:r>
      </w:del>
      <w:del w:id="352" w:author="AbbVie14" w:date="2025-05-09T10:28:00Z">
        <w:r w:rsidRPr="00295E71" w:rsidR="00F54387">
          <w:rPr>
            <w:sz w:val="22"/>
            <w:szCs w:val="22"/>
          </w:rPr>
          <w:delText xml:space="preserve">di Humira </w:delText>
        </w:r>
      </w:del>
      <w:del w:id="353" w:author="AbbVie14" w:date="2025-05-09T10:28:00Z">
        <w:r w:rsidRPr="00295E71">
          <w:rPr>
            <w:sz w:val="22"/>
            <w:szCs w:val="22"/>
          </w:rPr>
          <w:delText>a settimane alterne, può essere preso in considerazione un incremento del dos</w:delText>
        </w:r>
      </w:del>
      <w:del w:id="354" w:author="AbbVie14" w:date="2025-05-09T10:28:00Z">
        <w:r w:rsidRPr="00295E71" w:rsidR="009271A2">
          <w:rPr>
            <w:sz w:val="22"/>
            <w:szCs w:val="22"/>
          </w:rPr>
          <w:delText>aggio</w:delText>
        </w:r>
      </w:del>
      <w:del w:id="355" w:author="AbbVie14" w:date="2025-05-09T10:28:00Z">
        <w:r w:rsidRPr="00295E71">
          <w:rPr>
            <w:sz w:val="22"/>
            <w:szCs w:val="22"/>
          </w:rPr>
          <w:delText xml:space="preserve"> a 40 mg ogni settimana</w:delText>
        </w:r>
      </w:del>
      <w:del w:id="356" w:author="AbbVie14" w:date="2025-05-09T10:28:00Z">
        <w:r w:rsidRPr="00295E71" w:rsidR="000227BD">
          <w:rPr>
            <w:sz w:val="22"/>
            <w:szCs w:val="22"/>
          </w:rPr>
          <w:delText xml:space="preserve"> o 80 mg a settimane alterne</w:delText>
        </w:r>
      </w:del>
      <w:del w:id="357" w:author="AbbVie14" w:date="2025-05-09T10:28:00Z">
        <w:r w:rsidRPr="00295E71">
          <w:rPr>
            <w:sz w:val="22"/>
            <w:szCs w:val="22"/>
          </w:rPr>
          <w:delText>.</w:delText>
        </w:r>
      </w:del>
    </w:p>
    <w:p w:rsidR="006224C2" w:rsidRPr="00295E71" w14:paraId="0305515A" w14:textId="77777777">
      <w:pPr>
        <w:pStyle w:val="EMEANormal"/>
        <w:rPr>
          <w:del w:id="358" w:author="AbbVie14" w:date="2025-05-09T10:28:00Z"/>
          <w:lang w:val="it-IT"/>
        </w:rPr>
      </w:pPr>
    </w:p>
    <w:p w:rsidR="006224C2" w:rsidRPr="00295E71" w14:paraId="7E0E9FF1" w14:textId="77777777">
      <w:pPr>
        <w:pStyle w:val="EMEANormal"/>
        <w:rPr>
          <w:del w:id="359" w:author="AbbVie14" w:date="2025-05-09T10:28:00Z"/>
          <w:lang w:val="it-IT"/>
        </w:rPr>
      </w:pPr>
      <w:del w:id="360" w:author="AbbVie14" w:date="2025-05-09T10:28:00Z">
        <w:r w:rsidRPr="00295E71">
          <w:rPr>
            <w:lang w:val="it-IT"/>
          </w:rPr>
          <w:delText>Se necessario, è possibile continuare la terapia</w:delText>
        </w:r>
      </w:del>
      <w:del w:id="361" w:author="AbbVie14" w:date="2025-05-09T10:28:00Z">
        <w:r w:rsidRPr="00295E71" w:rsidR="00F54387">
          <w:rPr>
            <w:lang w:val="it-IT"/>
          </w:rPr>
          <w:delText xml:space="preserve"> </w:delText>
        </w:r>
      </w:del>
      <w:del w:id="362" w:author="AbbVie14" w:date="2025-05-09T10:28:00Z">
        <w:r w:rsidRPr="00295E71">
          <w:rPr>
            <w:lang w:val="it-IT"/>
          </w:rPr>
          <w:delText xml:space="preserve">antibiotica durante il trattamento con Humira. Durante il trattamento con Humira si raccomanda ai pazienti di usare tutti i giorni una soluzione di lavaggio antisettica </w:delText>
        </w:r>
      </w:del>
      <w:del w:id="363" w:author="AbbVie14" w:date="2025-05-09T10:28:00Z">
        <w:r w:rsidR="00955E55">
          <w:rPr>
            <w:lang w:val="it-IT"/>
          </w:rPr>
          <w:delText xml:space="preserve">topica </w:delText>
        </w:r>
      </w:del>
      <w:del w:id="364" w:author="AbbVie14" w:date="2025-05-09T10:28:00Z">
        <w:r w:rsidRPr="00295E71">
          <w:rPr>
            <w:lang w:val="it-IT"/>
          </w:rPr>
          <w:delText>sulle lesioni correlate all’HS.</w:delText>
        </w:r>
      </w:del>
    </w:p>
    <w:p w:rsidR="006224C2" w:rsidRPr="00295E71" w14:paraId="121ACDE0" w14:textId="77777777">
      <w:pPr>
        <w:pStyle w:val="EMEANormal"/>
        <w:rPr>
          <w:del w:id="365" w:author="AbbVie14" w:date="2025-05-09T10:28:00Z"/>
          <w:lang w:val="it-IT"/>
        </w:rPr>
      </w:pPr>
    </w:p>
    <w:p w:rsidR="006224C2" w:rsidRPr="00295E71" w14:paraId="2958D561" w14:textId="77777777">
      <w:pPr>
        <w:pStyle w:val="EMEANormal"/>
        <w:rPr>
          <w:del w:id="366" w:author="AbbVie14" w:date="2025-05-09T10:28:00Z"/>
          <w:lang w:val="it-IT"/>
        </w:rPr>
      </w:pPr>
      <w:del w:id="367" w:author="AbbVie14" w:date="2025-05-09T10:28:00Z">
        <w:r w:rsidRPr="00295E71">
          <w:rPr>
            <w:lang w:val="it-IT"/>
          </w:rPr>
          <w:delText>La prosecuzione della terapia oltre 12 settimane di trattamento deve essere valutata attentamente se i pazienti non sono migliorati in tale periodo.</w:delText>
        </w:r>
      </w:del>
    </w:p>
    <w:p w:rsidR="006224C2" w:rsidRPr="00295E71" w14:paraId="4FFEBD42" w14:textId="77777777">
      <w:pPr>
        <w:rPr>
          <w:del w:id="368" w:author="AbbVie14" w:date="2025-05-09T10:28:00Z"/>
          <w:i/>
          <w:sz w:val="22"/>
          <w:szCs w:val="22"/>
        </w:rPr>
      </w:pPr>
    </w:p>
    <w:p w:rsidR="006224C2" w:rsidRPr="00295E71" w14:paraId="7AAF70B4" w14:textId="77777777">
      <w:pPr>
        <w:pStyle w:val="EMEANormal"/>
        <w:rPr>
          <w:del w:id="369" w:author="AbbVie14" w:date="2025-05-09T10:28:00Z"/>
          <w:lang w:val="it-IT"/>
        </w:rPr>
      </w:pPr>
      <w:del w:id="370" w:author="AbbVie14" w:date="2025-05-09T10:28:00Z">
        <w:r w:rsidRPr="00295E71">
          <w:rPr>
            <w:lang w:val="it-IT"/>
          </w:rPr>
          <w:delText>Laddove fosse necessario interrompere il trattamento, è possibile riprendere la terapia con Humira.</w:delText>
        </w:r>
      </w:del>
    </w:p>
    <w:p w:rsidR="006224C2" w:rsidRPr="00295E71" w14:paraId="3783A087" w14:textId="77777777">
      <w:pPr>
        <w:pStyle w:val="EMEANormal"/>
        <w:rPr>
          <w:del w:id="371" w:author="AbbVie14" w:date="2025-05-09T10:28:00Z"/>
          <w:lang w:val="it-IT"/>
        </w:rPr>
      </w:pPr>
    </w:p>
    <w:p w:rsidR="006224C2" w:rsidRPr="00295E71" w14:paraId="4FB22DB0" w14:textId="77777777">
      <w:pPr>
        <w:pStyle w:val="EMEANormal"/>
        <w:rPr>
          <w:del w:id="372" w:author="AbbVie14" w:date="2025-05-09T10:28:00Z"/>
          <w:lang w:val="it-IT"/>
        </w:rPr>
      </w:pPr>
      <w:del w:id="373" w:author="AbbVie14" w:date="2025-05-09T10:28:00Z">
        <w:r w:rsidRPr="00295E71">
          <w:rPr>
            <w:lang w:val="it-IT"/>
          </w:rPr>
          <w:delText>La valutazione dei benefici e dei rischi del trattamento continuato a lungo termine deve essere effettuata periodicamente (vedere i dati relativi agli</w:delText>
        </w:r>
      </w:del>
      <w:del w:id="374" w:author="AbbVie14" w:date="2025-05-09T10:28:00Z">
        <w:r w:rsidR="00955E55">
          <w:rPr>
            <w:lang w:val="it-IT"/>
          </w:rPr>
          <w:delText xml:space="preserve"> </w:delText>
        </w:r>
      </w:del>
      <w:del w:id="375" w:author="AbbVie14" w:date="2025-05-09T10:28:00Z">
        <w:r w:rsidRPr="00295E71">
          <w:rPr>
            <w:lang w:val="it-IT"/>
          </w:rPr>
          <w:delText>adulti nel paragrafo 5.1).</w:delText>
        </w:r>
      </w:del>
    </w:p>
    <w:p w:rsidR="006224C2" w:rsidRPr="00295E71" w14:paraId="018FA031" w14:textId="77777777">
      <w:pPr>
        <w:pStyle w:val="EMEANormal"/>
        <w:rPr>
          <w:del w:id="376" w:author="AbbVie14" w:date="2025-05-09T10:28:00Z"/>
          <w:lang w:val="it-IT"/>
        </w:rPr>
      </w:pPr>
    </w:p>
    <w:p w:rsidR="006224C2" w:rsidRPr="00295E71" w14:paraId="7E0136D0" w14:textId="77777777">
      <w:pPr>
        <w:tabs>
          <w:tab w:val="left" w:pos="567"/>
        </w:tabs>
        <w:jc w:val="both"/>
        <w:rPr>
          <w:del w:id="377" w:author="AbbVie14" w:date="2025-05-09T10:28:00Z"/>
          <w:sz w:val="22"/>
          <w:szCs w:val="22"/>
        </w:rPr>
      </w:pPr>
      <w:del w:id="378" w:author="AbbVie14" w:date="2025-05-09T10:28:00Z">
        <w:r w:rsidRPr="00295E71">
          <w:rPr>
            <w:sz w:val="22"/>
            <w:szCs w:val="22"/>
          </w:rPr>
          <w:delText>Non c’è un uso rilevante di Humira nei bambini di età inferiore ai 12 anni in questa indicazione.</w:delText>
        </w:r>
      </w:del>
    </w:p>
    <w:p w:rsidR="000227BD" w:rsidRPr="00295E71" w14:paraId="0FA0C08E" w14:textId="77777777">
      <w:pPr>
        <w:tabs>
          <w:tab w:val="left" w:pos="567"/>
        </w:tabs>
        <w:jc w:val="both"/>
        <w:rPr>
          <w:del w:id="379" w:author="AbbVie14" w:date="2025-05-09T10:28:00Z"/>
          <w:sz w:val="22"/>
          <w:szCs w:val="22"/>
        </w:rPr>
      </w:pPr>
    </w:p>
    <w:p w:rsidR="000227BD" w:rsidRPr="00295E71" w:rsidP="000227BD" w14:paraId="2507B153" w14:textId="77777777">
      <w:pPr>
        <w:pStyle w:val="EMEANormal"/>
        <w:rPr>
          <w:del w:id="380" w:author="AbbVie14" w:date="2025-05-09T10:28:00Z"/>
          <w:color w:val="000000"/>
          <w:lang w:val="it-IT"/>
        </w:rPr>
      </w:pPr>
      <w:del w:id="381" w:author="AbbVie14" w:date="2025-05-09T10:28:00Z">
        <w:r w:rsidRPr="00295E71">
          <w:rPr>
            <w:color w:val="000000"/>
            <w:lang w:val="it-IT"/>
          </w:rPr>
          <w:delText>Humira può essere disponibile in altre concentrazioni e/o presentazioni a seconda delle necessità individuali di trattamento.</w:delText>
        </w:r>
      </w:del>
    </w:p>
    <w:p w:rsidR="006224C2" w:rsidRPr="00295E71" w14:paraId="332A774C" w14:textId="77777777">
      <w:pPr>
        <w:rPr>
          <w:del w:id="382" w:author="AbbVie14" w:date="2025-05-09T10:28:00Z"/>
          <w:i/>
          <w:sz w:val="22"/>
          <w:szCs w:val="22"/>
        </w:rPr>
      </w:pPr>
    </w:p>
    <w:p w:rsidR="006224C2" w:rsidRPr="00295E71" w14:paraId="7F2F76A6" w14:textId="77777777">
      <w:pPr>
        <w:rPr>
          <w:del w:id="383" w:author="AbbVie14" w:date="2025-05-09T10:28:00Z"/>
          <w:i/>
          <w:sz w:val="22"/>
          <w:szCs w:val="22"/>
        </w:rPr>
      </w:pPr>
      <w:del w:id="384" w:author="AbbVie14" w:date="2025-05-09T10:28:00Z">
        <w:r w:rsidRPr="00295E71">
          <w:rPr>
            <w:i/>
            <w:sz w:val="22"/>
            <w:szCs w:val="22"/>
          </w:rPr>
          <w:delText>Malattia di Crohn in pazienti pediatrici</w:delText>
        </w:r>
      </w:del>
    </w:p>
    <w:p w:rsidR="006224C2" w:rsidRPr="00295E71" w14:paraId="5AE7A88D" w14:textId="77777777">
      <w:pPr>
        <w:tabs>
          <w:tab w:val="left" w:pos="567"/>
        </w:tabs>
        <w:jc w:val="both"/>
        <w:rPr>
          <w:del w:id="385" w:author="AbbVie14" w:date="2025-05-09T10:28:00Z"/>
          <w:sz w:val="22"/>
          <w:szCs w:val="22"/>
        </w:rPr>
      </w:pPr>
    </w:p>
    <w:p w:rsidR="002D318C" w:rsidRPr="00295E71" w:rsidP="002D318C" w14:paraId="043A18F2" w14:textId="77777777">
      <w:pPr>
        <w:pStyle w:val="gtcbodytext"/>
        <w:spacing w:before="0" w:after="0" w:line="240" w:lineRule="auto"/>
        <w:jc w:val="both"/>
        <w:rPr>
          <w:del w:id="386" w:author="AbbVie14" w:date="2025-05-09T10:28:00Z"/>
          <w:sz w:val="22"/>
          <w:szCs w:val="22"/>
          <w:lang w:val="it-IT"/>
        </w:rPr>
      </w:pPr>
      <w:del w:id="387" w:author="AbbVie14" w:date="2025-05-09T10:28:00Z">
        <w:r w:rsidRPr="00295E71">
          <w:rPr>
            <w:sz w:val="22"/>
            <w:szCs w:val="22"/>
            <w:lang w:val="it-IT"/>
          </w:rPr>
          <w:delText xml:space="preserve">La dose raccomandata di Humira per pazienti con malattia di Crohn </w:delText>
        </w:r>
      </w:del>
      <w:del w:id="388" w:author="AbbVie14" w:date="2025-05-09T10:28:00Z">
        <w:r w:rsidRPr="00295E71" w:rsidR="004A349E">
          <w:rPr>
            <w:sz w:val="22"/>
            <w:szCs w:val="22"/>
            <w:lang w:val="it-IT"/>
          </w:rPr>
          <w:delText>di età compresa tra</w:delText>
        </w:r>
      </w:del>
      <w:del w:id="389" w:author="AbbVie14" w:date="2025-05-09T10:28:00Z">
        <w:r w:rsidRPr="00295E71">
          <w:rPr>
            <w:sz w:val="22"/>
            <w:szCs w:val="22"/>
            <w:lang w:val="it-IT"/>
          </w:rPr>
          <w:delText xml:space="preserve"> 6 </w:delText>
        </w:r>
      </w:del>
      <w:del w:id="390" w:author="AbbVie14" w:date="2025-05-09T10:28:00Z">
        <w:r w:rsidRPr="00295E71" w:rsidR="004A349E">
          <w:rPr>
            <w:sz w:val="22"/>
            <w:szCs w:val="22"/>
            <w:lang w:val="it-IT"/>
          </w:rPr>
          <w:delText>e 17 anni</w:delText>
        </w:r>
      </w:del>
      <w:del w:id="391" w:author="AbbVie14" w:date="2025-05-09T10:28:00Z">
        <w:r w:rsidRPr="00295E71">
          <w:rPr>
            <w:sz w:val="22"/>
            <w:szCs w:val="22"/>
            <w:lang w:val="it-IT"/>
          </w:rPr>
          <w:delText xml:space="preserve"> è basata sul peso corporeo (Tabella 4). Humira è somministrato attraverso iniezione sottocutanea</w:delText>
        </w:r>
      </w:del>
      <w:del w:id="392" w:author="AbbVie14" w:date="2025-05-09T10:28:00Z">
        <w:r w:rsidRPr="00295E71" w:rsidR="009A4CF1">
          <w:rPr>
            <w:sz w:val="22"/>
            <w:szCs w:val="22"/>
            <w:lang w:val="it-IT"/>
          </w:rPr>
          <w:delText>.</w:delText>
        </w:r>
      </w:del>
      <w:del w:id="393" w:author="AbbVie14" w:date="2025-05-09T10:28:00Z">
        <w:r w:rsidRPr="00295E71">
          <w:rPr>
            <w:sz w:val="22"/>
            <w:szCs w:val="22"/>
            <w:lang w:val="it-IT"/>
          </w:rPr>
          <w:delText xml:space="preserve"> </w:delText>
        </w:r>
      </w:del>
    </w:p>
    <w:p w:rsidR="002D318C" w:rsidRPr="00295E71" w:rsidP="002D318C" w14:paraId="43DBA8B9" w14:textId="77777777">
      <w:pPr>
        <w:pStyle w:val="gtcbodytext"/>
        <w:spacing w:before="0" w:after="0" w:line="240" w:lineRule="auto"/>
        <w:jc w:val="both"/>
        <w:rPr>
          <w:del w:id="394" w:author="AbbVie14" w:date="2025-05-09T10:28:00Z"/>
          <w:sz w:val="22"/>
          <w:szCs w:val="22"/>
          <w:lang w:val="it-IT"/>
        </w:rPr>
      </w:pPr>
    </w:p>
    <w:p w:rsidR="009A4CF1" w:rsidRPr="00295E71" w:rsidP="009A4CF1" w14:paraId="5CE48C82" w14:textId="77777777">
      <w:pPr>
        <w:jc w:val="center"/>
        <w:rPr>
          <w:del w:id="395" w:author="AbbVie14" w:date="2025-05-09T10:28:00Z"/>
          <w:b/>
          <w:sz w:val="22"/>
          <w:szCs w:val="22"/>
        </w:rPr>
      </w:pPr>
      <w:del w:id="396" w:author="AbbVie14" w:date="2025-05-09T10:28:00Z">
        <w:r w:rsidRPr="00295E71">
          <w:rPr>
            <w:b/>
            <w:sz w:val="22"/>
            <w:szCs w:val="22"/>
          </w:rPr>
          <w:delText>Tabella 4. Dose di Humira per Pazienti Pediatrici con malattia di Crohn</w:delText>
        </w:r>
      </w:del>
    </w:p>
    <w:p w:rsidR="009A4CF1" w:rsidRPr="00295E71" w:rsidP="009A4CF1" w14:paraId="46EF461F" w14:textId="77777777">
      <w:pPr>
        <w:rPr>
          <w:del w:id="397" w:author="AbbVie14" w:date="2025-05-09T10:28:00Z"/>
          <w:sz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20"/>
        <w:gridCol w:w="5832"/>
        <w:gridCol w:w="2202"/>
      </w:tblGrid>
      <w:tr w14:paraId="4F859B44" w14:textId="77777777" w:rsidTr="00AC3426">
        <w:tblPrEx>
          <w:tblW w:w="5000" w:type="pct"/>
          <w:tblLook w:val="04A0"/>
        </w:tblPrEx>
        <w:trPr>
          <w:tblHeader/>
          <w:del w:id="398" w:author="AbbVie14" w:date="2025-05-09T10:28:00Z"/>
        </w:trPr>
        <w:tc>
          <w:tcPr>
            <w:tcW w:w="0" w:type="auto"/>
            <w:tcBorders>
              <w:top w:val="single" w:sz="6" w:space="0" w:color="000000"/>
              <w:left w:val="single" w:sz="6" w:space="0" w:color="000000"/>
              <w:bottom w:val="single" w:sz="6" w:space="0" w:color="000000"/>
              <w:right w:val="single" w:sz="6" w:space="0" w:color="000000"/>
            </w:tcBorders>
            <w:hideMark/>
          </w:tcPr>
          <w:p w:rsidR="009A4CF1" w:rsidRPr="00295E71" w:rsidP="00AC3426" w14:paraId="6461E681" w14:textId="77777777">
            <w:pPr>
              <w:jc w:val="center"/>
              <w:rPr>
                <w:del w:id="399" w:author="AbbVie14" w:date="2025-05-09T10:28:00Z"/>
                <w:sz w:val="22"/>
              </w:rPr>
            </w:pPr>
            <w:del w:id="400" w:author="AbbVie14" w:date="2025-05-09T10:28:00Z">
              <w:r w:rsidRPr="00295E71">
                <w:rPr>
                  <w:b/>
                  <w:sz w:val="22"/>
                </w:rPr>
                <w:delText>Peso del Paziente</w:delText>
              </w:r>
            </w:del>
          </w:p>
        </w:tc>
        <w:tc>
          <w:tcPr>
            <w:tcW w:w="0" w:type="auto"/>
            <w:tcBorders>
              <w:top w:val="single" w:sz="6" w:space="0" w:color="000000"/>
              <w:left w:val="single" w:sz="6" w:space="0" w:color="000000"/>
              <w:bottom w:val="single" w:sz="6" w:space="0" w:color="000000"/>
              <w:right w:val="single" w:sz="6" w:space="0" w:color="000000"/>
            </w:tcBorders>
            <w:hideMark/>
          </w:tcPr>
          <w:p w:rsidR="009A4CF1" w:rsidRPr="00295E71" w:rsidP="00AC3426" w14:paraId="1AD4DB80" w14:textId="77777777">
            <w:pPr>
              <w:jc w:val="center"/>
              <w:rPr>
                <w:del w:id="401" w:author="AbbVie14" w:date="2025-05-09T10:28:00Z"/>
                <w:sz w:val="22"/>
              </w:rPr>
            </w:pPr>
            <w:del w:id="402" w:author="AbbVie14" w:date="2025-05-09T10:28:00Z">
              <w:r w:rsidRPr="00295E71">
                <w:rPr>
                  <w:b/>
                  <w:sz w:val="22"/>
                </w:rPr>
                <w:delText>Dose di Induzione</w:delText>
              </w:r>
            </w:del>
          </w:p>
        </w:tc>
        <w:tc>
          <w:tcPr>
            <w:tcW w:w="0" w:type="auto"/>
            <w:tcBorders>
              <w:top w:val="single" w:sz="6" w:space="0" w:color="000000"/>
              <w:left w:val="single" w:sz="6" w:space="0" w:color="000000"/>
              <w:bottom w:val="single" w:sz="6" w:space="0" w:color="000000"/>
              <w:right w:val="single" w:sz="6" w:space="0" w:color="000000"/>
            </w:tcBorders>
            <w:hideMark/>
          </w:tcPr>
          <w:p w:rsidR="009A4CF1" w:rsidRPr="00295E71" w:rsidP="00DC4000" w14:paraId="72F581E8" w14:textId="77777777">
            <w:pPr>
              <w:jc w:val="center"/>
              <w:rPr>
                <w:del w:id="403" w:author="AbbVie14" w:date="2025-05-09T10:28:00Z"/>
                <w:sz w:val="22"/>
              </w:rPr>
            </w:pPr>
            <w:del w:id="404" w:author="AbbVie14" w:date="2025-05-09T10:28:00Z">
              <w:r w:rsidRPr="00295E71">
                <w:rPr>
                  <w:b/>
                  <w:sz w:val="22"/>
                </w:rPr>
                <w:delText xml:space="preserve">Dose di Mantenimento a partire dalla </w:delText>
              </w:r>
            </w:del>
            <w:del w:id="405" w:author="AbbVie14" w:date="2025-05-09T10:28:00Z">
              <w:r w:rsidRPr="00295E71" w:rsidR="00DC4000">
                <w:rPr>
                  <w:b/>
                  <w:sz w:val="22"/>
                </w:rPr>
                <w:delText>S</w:delText>
              </w:r>
            </w:del>
            <w:del w:id="406" w:author="AbbVie14" w:date="2025-05-09T10:28:00Z">
              <w:r w:rsidRPr="00295E71">
                <w:rPr>
                  <w:b/>
                  <w:sz w:val="22"/>
                </w:rPr>
                <w:delText>ettimana 4</w:delText>
              </w:r>
            </w:del>
          </w:p>
        </w:tc>
      </w:tr>
      <w:tr w14:paraId="60A69FF5" w14:textId="77777777" w:rsidTr="00AC3426">
        <w:tblPrEx>
          <w:tblW w:w="5000" w:type="pct"/>
          <w:tblLook w:val="04A0"/>
        </w:tblPrEx>
        <w:trPr>
          <w:del w:id="407" w:author="AbbVie14" w:date="2025-05-09T10:28:00Z"/>
        </w:trPr>
        <w:tc>
          <w:tcPr>
            <w:tcW w:w="0" w:type="auto"/>
            <w:tcBorders>
              <w:top w:val="single" w:sz="6" w:space="0" w:color="000000"/>
              <w:left w:val="single" w:sz="6" w:space="0" w:color="000000"/>
              <w:bottom w:val="single" w:sz="6" w:space="0" w:color="000000"/>
              <w:right w:val="single" w:sz="6" w:space="0" w:color="000000"/>
            </w:tcBorders>
            <w:hideMark/>
          </w:tcPr>
          <w:p w:rsidR="009A4CF1" w:rsidRPr="00295E71" w:rsidP="00AC3426" w14:paraId="53A24E74" w14:textId="77777777">
            <w:pPr>
              <w:jc w:val="center"/>
              <w:rPr>
                <w:del w:id="408" w:author="AbbVie14" w:date="2025-05-09T10:28:00Z"/>
                <w:sz w:val="22"/>
              </w:rPr>
            </w:pPr>
            <w:del w:id="409" w:author="AbbVie14" w:date="2025-05-09T10:28:00Z">
              <w:r w:rsidRPr="00295E71">
                <w:rPr>
                  <w:sz w:val="22"/>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9A4CF1" w:rsidRPr="00295E71" w:rsidP="009A4CF1" w14:paraId="14A88E50" w14:textId="77777777">
            <w:pPr>
              <w:numPr>
                <w:ilvl w:val="0"/>
                <w:numId w:val="128"/>
              </w:numPr>
              <w:ind w:left="307" w:hanging="180"/>
              <w:rPr>
                <w:del w:id="410" w:author="AbbVie14" w:date="2025-05-09T10:28:00Z"/>
                <w:sz w:val="22"/>
                <w:szCs w:val="22"/>
              </w:rPr>
            </w:pPr>
            <w:del w:id="411" w:author="AbbVie14" w:date="2025-05-09T10:28:00Z">
              <w:r w:rsidRPr="00295E71">
                <w:rPr>
                  <w:sz w:val="22"/>
                  <w:szCs w:val="22"/>
                </w:rPr>
                <w:delText xml:space="preserve">40 mg </w:delText>
              </w:r>
            </w:del>
            <w:del w:id="412" w:author="AbbVie14" w:date="2025-05-09T10:28:00Z">
              <w:r w:rsidRPr="00295E71" w:rsidR="004A349E">
                <w:rPr>
                  <w:sz w:val="22"/>
                  <w:szCs w:val="22"/>
                </w:rPr>
                <w:delText xml:space="preserve">alla </w:delText>
              </w:r>
            </w:del>
            <w:del w:id="413" w:author="AbbVie14" w:date="2025-05-09T10:28:00Z">
              <w:r w:rsidRPr="00295E71" w:rsidR="00075CD9">
                <w:rPr>
                  <w:sz w:val="22"/>
                  <w:szCs w:val="22"/>
                </w:rPr>
                <w:delText>s</w:delText>
              </w:r>
            </w:del>
            <w:del w:id="414" w:author="AbbVie14" w:date="2025-05-09T10:28:00Z">
              <w:r w:rsidRPr="00295E71">
                <w:rPr>
                  <w:sz w:val="22"/>
                  <w:szCs w:val="22"/>
                </w:rPr>
                <w:delText xml:space="preserve">ettimana 0 e 20 mg alla </w:delText>
              </w:r>
            </w:del>
            <w:del w:id="415" w:author="AbbVie14" w:date="2025-05-09T10:28:00Z">
              <w:r w:rsidRPr="00295E71" w:rsidR="00075CD9">
                <w:rPr>
                  <w:sz w:val="22"/>
                  <w:szCs w:val="22"/>
                </w:rPr>
                <w:delText>s</w:delText>
              </w:r>
            </w:del>
            <w:del w:id="416" w:author="AbbVie14" w:date="2025-05-09T10:28:00Z">
              <w:r w:rsidRPr="00295E71">
                <w:rPr>
                  <w:sz w:val="22"/>
                  <w:szCs w:val="22"/>
                </w:rPr>
                <w:delText>ettimana 2</w:delText>
              </w:r>
            </w:del>
          </w:p>
          <w:p w:rsidR="009A4CF1" w:rsidRPr="00295E71" w:rsidP="00AC3426" w14:paraId="21684232" w14:textId="77777777">
            <w:pPr>
              <w:ind w:left="337"/>
              <w:rPr>
                <w:del w:id="417" w:author="AbbVie14" w:date="2025-05-09T10:28:00Z"/>
                <w:sz w:val="22"/>
                <w:szCs w:val="22"/>
              </w:rPr>
            </w:pPr>
          </w:p>
          <w:p w:rsidR="009A4CF1" w:rsidRPr="00295E71" w:rsidP="00AC3426" w14:paraId="37C0354E" w14:textId="77777777">
            <w:pPr>
              <w:ind w:left="150"/>
              <w:rPr>
                <w:del w:id="418" w:author="AbbVie14" w:date="2025-05-09T10:28:00Z"/>
                <w:sz w:val="22"/>
                <w:szCs w:val="22"/>
              </w:rPr>
            </w:pPr>
            <w:del w:id="419" w:author="AbbVie14" w:date="2025-05-09T10:28:00Z">
              <w:r w:rsidRPr="00295E71">
                <w:rPr>
                  <w:sz w:val="22"/>
                  <w:szCs w:val="22"/>
                </w:rPr>
                <w:delText>Nel caso sia necessaria una risposta più rapida alla terapia, con la consapevolezza che il rischio di eventi avversi possa aumentare con l’utilizzo della dose di induzione più alta, può essere somministrata la seguente dose:</w:delText>
              </w:r>
            </w:del>
          </w:p>
          <w:p w:rsidR="009A4CF1" w:rsidRPr="00295E71" w:rsidP="00FB547E" w14:paraId="63C9D391" w14:textId="77777777">
            <w:pPr>
              <w:numPr>
                <w:ilvl w:val="0"/>
                <w:numId w:val="130"/>
              </w:numPr>
              <w:ind w:left="307" w:hanging="180"/>
              <w:rPr>
                <w:del w:id="420" w:author="AbbVie14" w:date="2025-05-09T10:28:00Z"/>
                <w:iCs/>
                <w:sz w:val="22"/>
                <w:szCs w:val="22"/>
              </w:rPr>
            </w:pPr>
            <w:del w:id="421" w:author="AbbVie14" w:date="2025-05-09T10:28:00Z">
              <w:r w:rsidRPr="00295E71">
                <w:rPr>
                  <w:sz w:val="22"/>
                  <w:szCs w:val="22"/>
                </w:rPr>
                <w:delText>80 mg a</w:delText>
              </w:r>
            </w:del>
            <w:del w:id="422" w:author="AbbVie14" w:date="2025-05-09T10:28:00Z">
              <w:r w:rsidRPr="00295E71" w:rsidR="004A349E">
                <w:rPr>
                  <w:sz w:val="22"/>
                  <w:szCs w:val="22"/>
                </w:rPr>
                <w:delText xml:space="preserve">lla </w:delText>
              </w:r>
            </w:del>
            <w:del w:id="423" w:author="AbbVie14" w:date="2025-05-09T10:28:00Z">
              <w:r w:rsidRPr="00295E71" w:rsidR="00075CD9">
                <w:rPr>
                  <w:sz w:val="22"/>
                  <w:szCs w:val="22"/>
                </w:rPr>
                <w:delText>s</w:delText>
              </w:r>
            </w:del>
            <w:del w:id="424" w:author="AbbVie14" w:date="2025-05-09T10:28:00Z">
              <w:r w:rsidRPr="00295E71">
                <w:rPr>
                  <w:sz w:val="22"/>
                  <w:szCs w:val="22"/>
                </w:rPr>
                <w:delText>ettimana 0 e 40 mg a</w:delText>
              </w:r>
            </w:del>
            <w:del w:id="425" w:author="AbbVie14" w:date="2025-05-09T10:28:00Z">
              <w:r w:rsidRPr="00295E71" w:rsidR="004A349E">
                <w:rPr>
                  <w:sz w:val="22"/>
                  <w:szCs w:val="22"/>
                </w:rPr>
                <w:delText xml:space="preserve">lla </w:delText>
              </w:r>
            </w:del>
            <w:del w:id="426" w:author="AbbVie14" w:date="2025-05-09T10:28:00Z">
              <w:r w:rsidRPr="00295E71" w:rsidR="00075CD9">
                <w:rPr>
                  <w:sz w:val="22"/>
                  <w:szCs w:val="22"/>
                </w:rPr>
                <w:delText>s</w:delText>
              </w:r>
            </w:del>
            <w:del w:id="427" w:author="AbbVie14" w:date="2025-05-09T10:28:00Z">
              <w:r w:rsidRPr="00295E71">
                <w:rPr>
                  <w:sz w:val="22"/>
                  <w:szCs w:val="22"/>
                </w:rPr>
                <w:delText>ettimana 2</w:delText>
              </w:r>
            </w:del>
          </w:p>
        </w:tc>
        <w:tc>
          <w:tcPr>
            <w:tcW w:w="0" w:type="auto"/>
            <w:tcBorders>
              <w:top w:val="single" w:sz="6" w:space="0" w:color="000000"/>
              <w:left w:val="single" w:sz="6" w:space="0" w:color="000000"/>
              <w:bottom w:val="single" w:sz="6" w:space="0" w:color="000000"/>
              <w:right w:val="single" w:sz="6" w:space="0" w:color="000000"/>
            </w:tcBorders>
            <w:hideMark/>
          </w:tcPr>
          <w:p w:rsidR="009A4CF1" w:rsidRPr="00295E71" w:rsidP="009A4CF1" w14:paraId="50C64089" w14:textId="77777777">
            <w:pPr>
              <w:ind w:left="16"/>
              <w:jc w:val="center"/>
              <w:rPr>
                <w:del w:id="428" w:author="AbbVie14" w:date="2025-05-09T10:28:00Z"/>
                <w:sz w:val="22"/>
              </w:rPr>
            </w:pPr>
            <w:del w:id="429" w:author="AbbVie14" w:date="2025-05-09T10:28:00Z">
              <w:r w:rsidRPr="00295E71">
                <w:rPr>
                  <w:sz w:val="22"/>
                </w:rPr>
                <w:delText>20 mg a settimane alterne</w:delText>
              </w:r>
            </w:del>
          </w:p>
        </w:tc>
      </w:tr>
      <w:tr w14:paraId="10C28E44" w14:textId="77777777" w:rsidTr="00AC3426">
        <w:tblPrEx>
          <w:tblW w:w="5000" w:type="pct"/>
          <w:tblLook w:val="04A0"/>
        </w:tblPrEx>
        <w:trPr>
          <w:del w:id="430" w:author="AbbVie14" w:date="2025-05-09T10:28:00Z"/>
        </w:trPr>
        <w:tc>
          <w:tcPr>
            <w:tcW w:w="0" w:type="auto"/>
            <w:tcBorders>
              <w:top w:val="single" w:sz="6" w:space="0" w:color="000000"/>
              <w:left w:val="single" w:sz="6" w:space="0" w:color="000000"/>
              <w:bottom w:val="single" w:sz="6" w:space="0" w:color="000000"/>
              <w:right w:val="single" w:sz="6" w:space="0" w:color="000000"/>
            </w:tcBorders>
            <w:hideMark/>
          </w:tcPr>
          <w:p w:rsidR="009A4CF1" w:rsidRPr="00295E71" w:rsidP="00AC3426" w14:paraId="73537230" w14:textId="77777777">
            <w:pPr>
              <w:jc w:val="center"/>
              <w:rPr>
                <w:del w:id="431" w:author="AbbVie14" w:date="2025-05-09T10:28:00Z"/>
                <w:sz w:val="22"/>
              </w:rPr>
            </w:pPr>
            <w:del w:id="432" w:author="AbbVie14" w:date="2025-05-09T10:28:00Z">
              <w:r w:rsidRPr="00295E71">
                <w:rPr>
                  <w:sz w:val="22"/>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9A4CF1" w:rsidRPr="00295E71" w:rsidP="009A4CF1" w14:paraId="635082C3" w14:textId="77777777">
            <w:pPr>
              <w:numPr>
                <w:ilvl w:val="0"/>
                <w:numId w:val="131"/>
              </w:numPr>
              <w:ind w:left="307" w:hanging="175"/>
              <w:rPr>
                <w:del w:id="433" w:author="AbbVie14" w:date="2025-05-09T10:28:00Z"/>
                <w:sz w:val="22"/>
                <w:szCs w:val="22"/>
              </w:rPr>
            </w:pPr>
            <w:del w:id="434" w:author="AbbVie14" w:date="2025-05-09T10:28:00Z">
              <w:r w:rsidRPr="00295E71">
                <w:rPr>
                  <w:sz w:val="22"/>
                  <w:szCs w:val="22"/>
                </w:rPr>
                <w:delText>80 mg alla settimana 0 e 40 mg alla settimana 2</w:delText>
              </w:r>
            </w:del>
          </w:p>
          <w:p w:rsidR="009A4CF1" w:rsidRPr="00295E71" w:rsidP="00AC3426" w14:paraId="22B55F43" w14:textId="77777777">
            <w:pPr>
              <w:rPr>
                <w:del w:id="435" w:author="AbbVie14" w:date="2025-05-09T10:28:00Z"/>
                <w:sz w:val="22"/>
                <w:szCs w:val="22"/>
              </w:rPr>
            </w:pPr>
          </w:p>
          <w:p w:rsidR="004A349E" w:rsidRPr="00295E71" w:rsidP="004A349E" w14:paraId="231460D0" w14:textId="77777777">
            <w:pPr>
              <w:ind w:left="150"/>
              <w:rPr>
                <w:del w:id="436" w:author="AbbVie14" w:date="2025-05-09T10:28:00Z"/>
                <w:sz w:val="22"/>
                <w:szCs w:val="22"/>
              </w:rPr>
            </w:pPr>
            <w:del w:id="437" w:author="AbbVie14" w:date="2025-05-09T10:28:00Z">
              <w:r w:rsidRPr="00295E71">
                <w:rPr>
                  <w:sz w:val="22"/>
                  <w:szCs w:val="22"/>
                </w:rPr>
                <w:delText>Nel caso sia necessaria una risposta più rapida alla terapia, con la consapevolezza che il rischio di eventi avversi possa aumentare con l’utilizzo della dose di induzione più alta, può essere somministrata la seguente dose:</w:delText>
              </w:r>
            </w:del>
          </w:p>
          <w:p w:rsidR="009A4CF1" w:rsidRPr="00295E71" w:rsidP="00FB547E" w14:paraId="5FD2CC60" w14:textId="77777777">
            <w:pPr>
              <w:numPr>
                <w:ilvl w:val="0"/>
                <w:numId w:val="129"/>
              </w:numPr>
              <w:ind w:left="314" w:hanging="187"/>
              <w:rPr>
                <w:del w:id="438" w:author="AbbVie14" w:date="2025-05-09T10:28:00Z"/>
                <w:sz w:val="22"/>
                <w:szCs w:val="22"/>
              </w:rPr>
            </w:pPr>
            <w:del w:id="439" w:author="AbbVie14" w:date="2025-05-09T10:28:00Z">
              <w:r w:rsidRPr="00295E71">
                <w:rPr>
                  <w:sz w:val="22"/>
                  <w:szCs w:val="22"/>
                </w:rPr>
                <w:delText xml:space="preserve">160 mg </w:delText>
              </w:r>
            </w:del>
            <w:del w:id="440" w:author="AbbVie14" w:date="2025-05-09T10:28:00Z">
              <w:r w:rsidRPr="00295E71" w:rsidR="005734DB">
                <w:rPr>
                  <w:sz w:val="22"/>
                  <w:szCs w:val="22"/>
                </w:rPr>
                <w:delText xml:space="preserve">alla </w:delText>
              </w:r>
            </w:del>
            <w:del w:id="441" w:author="AbbVie14" w:date="2025-05-09T10:28:00Z">
              <w:r w:rsidRPr="00295E71" w:rsidR="00075CD9">
                <w:rPr>
                  <w:sz w:val="22"/>
                  <w:szCs w:val="22"/>
                </w:rPr>
                <w:delText>s</w:delText>
              </w:r>
            </w:del>
            <w:del w:id="442" w:author="AbbVie14" w:date="2025-05-09T10:28:00Z">
              <w:r w:rsidRPr="00295E71">
                <w:rPr>
                  <w:sz w:val="22"/>
                  <w:szCs w:val="22"/>
                </w:rPr>
                <w:delText>ettimana 0 e 80 mg a</w:delText>
              </w:r>
            </w:del>
            <w:del w:id="443" w:author="AbbVie14" w:date="2025-05-09T10:28:00Z">
              <w:r w:rsidRPr="00295E71" w:rsidR="005734DB">
                <w:rPr>
                  <w:sz w:val="22"/>
                  <w:szCs w:val="22"/>
                </w:rPr>
                <w:delText xml:space="preserve">lla </w:delText>
              </w:r>
            </w:del>
            <w:del w:id="444" w:author="AbbVie14" w:date="2025-05-09T10:28:00Z">
              <w:r w:rsidRPr="00295E71" w:rsidR="00075CD9">
                <w:rPr>
                  <w:sz w:val="22"/>
                  <w:szCs w:val="22"/>
                </w:rPr>
                <w:delText>s</w:delText>
              </w:r>
            </w:del>
            <w:del w:id="445" w:author="AbbVie14" w:date="2025-05-09T10:28:00Z">
              <w:r w:rsidRPr="00295E71">
                <w:rPr>
                  <w:sz w:val="22"/>
                  <w:szCs w:val="22"/>
                </w:rPr>
                <w:delText>ettimana 2</w:delText>
              </w:r>
            </w:del>
          </w:p>
        </w:tc>
        <w:tc>
          <w:tcPr>
            <w:tcW w:w="0" w:type="auto"/>
            <w:tcBorders>
              <w:top w:val="single" w:sz="6" w:space="0" w:color="000000"/>
              <w:left w:val="single" w:sz="6" w:space="0" w:color="000000"/>
              <w:bottom w:val="single" w:sz="6" w:space="0" w:color="000000"/>
              <w:right w:val="single" w:sz="6" w:space="0" w:color="000000"/>
            </w:tcBorders>
            <w:hideMark/>
          </w:tcPr>
          <w:p w:rsidR="009A4CF1" w:rsidRPr="00295E71" w:rsidP="009A4CF1" w14:paraId="34F75D49" w14:textId="77777777">
            <w:pPr>
              <w:ind w:left="16"/>
              <w:jc w:val="center"/>
              <w:rPr>
                <w:del w:id="446" w:author="AbbVie14" w:date="2025-05-09T10:28:00Z"/>
                <w:sz w:val="22"/>
              </w:rPr>
            </w:pPr>
            <w:del w:id="447" w:author="AbbVie14" w:date="2025-05-09T10:28:00Z">
              <w:r w:rsidRPr="00295E71">
                <w:rPr>
                  <w:sz w:val="22"/>
                </w:rPr>
                <w:delText>40 mg a settimane alterne</w:delText>
              </w:r>
            </w:del>
          </w:p>
        </w:tc>
      </w:tr>
    </w:tbl>
    <w:p w:rsidR="009A4CF1" w:rsidRPr="00295E71" w:rsidP="009A4CF1" w14:paraId="12D88AE4" w14:textId="77777777">
      <w:pPr>
        <w:keepNext/>
        <w:rPr>
          <w:del w:id="448" w:author="AbbVie14" w:date="2025-05-09T10:28:00Z"/>
          <w:sz w:val="22"/>
        </w:rPr>
      </w:pPr>
      <w:bookmarkStart w:id="449" w:name="l35893291409284316"/>
      <w:bookmarkStart w:id="450" w:name="l409706291409284374"/>
      <w:bookmarkStart w:id="451" w:name="l409697291409284461"/>
      <w:bookmarkStart w:id="452" w:name="l604373291409284474"/>
      <w:bookmarkEnd w:id="449"/>
      <w:bookmarkEnd w:id="450"/>
      <w:bookmarkEnd w:id="451"/>
      <w:bookmarkEnd w:id="452"/>
    </w:p>
    <w:p w:rsidR="009A4CF1" w:rsidRPr="00295E71" w:rsidP="009A4CF1" w14:paraId="18550B8C" w14:textId="77777777">
      <w:pPr>
        <w:keepNext/>
        <w:rPr>
          <w:del w:id="453" w:author="AbbVie14" w:date="2025-05-09T10:28:00Z"/>
          <w:sz w:val="22"/>
        </w:rPr>
      </w:pPr>
      <w:del w:id="454" w:author="AbbVie14" w:date="2025-05-09T10:28:00Z">
        <w:r w:rsidRPr="00295E71">
          <w:rPr>
            <w:sz w:val="22"/>
          </w:rPr>
          <w:delText>P</w:delText>
        </w:r>
      </w:del>
      <w:del w:id="455" w:author="AbbVie14" w:date="2025-05-09T10:28:00Z">
        <w:r w:rsidRPr="00295E71" w:rsidR="00987BBA">
          <w:rPr>
            <w:sz w:val="22"/>
          </w:rPr>
          <w:delText xml:space="preserve">azienti che </w:delText>
        </w:r>
      </w:del>
      <w:del w:id="456" w:author="AbbVie14" w:date="2025-05-09T10:28:00Z">
        <w:r w:rsidRPr="00295E71" w:rsidR="005734DB">
          <w:rPr>
            <w:sz w:val="22"/>
          </w:rPr>
          <w:delText>manifestano</w:delText>
        </w:r>
      </w:del>
      <w:del w:id="457" w:author="AbbVie14" w:date="2025-05-09T10:28:00Z">
        <w:r w:rsidRPr="00295E71" w:rsidR="00987BBA">
          <w:rPr>
            <w:sz w:val="22"/>
          </w:rPr>
          <w:delText xml:space="preserve"> una risposta insufficiente possono beneficiare di un</w:delText>
        </w:r>
      </w:del>
      <w:del w:id="458" w:author="AbbVie14" w:date="2025-05-09T10:28:00Z">
        <w:r w:rsidRPr="00295E71" w:rsidR="005734DB">
          <w:rPr>
            <w:sz w:val="22"/>
          </w:rPr>
          <w:delText xml:space="preserve"> incremento </w:delText>
        </w:r>
      </w:del>
      <w:del w:id="459" w:author="AbbVie14" w:date="2025-05-09T10:28:00Z">
        <w:r w:rsidRPr="00295E71" w:rsidR="00987BBA">
          <w:rPr>
            <w:sz w:val="22"/>
          </w:rPr>
          <w:delText xml:space="preserve">del </w:delText>
        </w:r>
      </w:del>
      <w:del w:id="460" w:author="AbbVie14" w:date="2025-05-09T10:28:00Z">
        <w:r w:rsidRPr="00295E71" w:rsidR="005734DB">
          <w:rPr>
            <w:sz w:val="22"/>
          </w:rPr>
          <w:delText>dos</w:delText>
        </w:r>
      </w:del>
      <w:del w:id="461" w:author="AbbVie14" w:date="2025-05-09T10:28:00Z">
        <w:r w:rsidRPr="00295E71" w:rsidR="00F54387">
          <w:rPr>
            <w:sz w:val="22"/>
          </w:rPr>
          <w:delText>aggio</w:delText>
        </w:r>
      </w:del>
      <w:del w:id="462" w:author="AbbVie14" w:date="2025-05-09T10:28:00Z">
        <w:r w:rsidRPr="00295E71" w:rsidR="00987BBA">
          <w:rPr>
            <w:sz w:val="22"/>
          </w:rPr>
          <w:delText>:</w:delText>
        </w:r>
      </w:del>
    </w:p>
    <w:p w:rsidR="009A4CF1" w:rsidRPr="00295E71" w:rsidP="009A4CF1" w14:paraId="11A8AE9D" w14:textId="77777777">
      <w:pPr>
        <w:keepNext/>
        <w:numPr>
          <w:ilvl w:val="0"/>
          <w:numId w:val="129"/>
        </w:numPr>
        <w:tabs>
          <w:tab w:val="left" w:pos="540"/>
        </w:tabs>
        <w:suppressAutoHyphens/>
        <w:ind w:left="540" w:hanging="540"/>
        <w:rPr>
          <w:del w:id="463" w:author="AbbVie14" w:date="2025-05-09T10:28:00Z"/>
          <w:sz w:val="22"/>
        </w:rPr>
      </w:pPr>
      <w:del w:id="464" w:author="AbbVie14" w:date="2025-05-09T10:28:00Z">
        <w:r w:rsidRPr="00295E71">
          <w:rPr>
            <w:sz w:val="22"/>
          </w:rPr>
          <w:delText xml:space="preserve">&lt; 40 kg: 20 mg </w:delText>
        </w:r>
      </w:del>
      <w:del w:id="465" w:author="AbbVie14" w:date="2025-05-09T10:28:00Z">
        <w:r w:rsidRPr="00295E71" w:rsidR="00987BBA">
          <w:rPr>
            <w:sz w:val="22"/>
          </w:rPr>
          <w:delText>ogni settimana</w:delText>
        </w:r>
      </w:del>
    </w:p>
    <w:p w:rsidR="009A4CF1" w:rsidRPr="00295E71" w:rsidP="009A4CF1" w14:paraId="0F3F6BB8" w14:textId="77777777">
      <w:pPr>
        <w:keepNext/>
        <w:numPr>
          <w:ilvl w:val="0"/>
          <w:numId w:val="129"/>
        </w:numPr>
        <w:tabs>
          <w:tab w:val="left" w:pos="540"/>
        </w:tabs>
        <w:suppressAutoHyphens/>
        <w:ind w:left="540" w:hanging="540"/>
        <w:rPr>
          <w:del w:id="466" w:author="AbbVie14" w:date="2025-05-09T10:28:00Z"/>
          <w:sz w:val="22"/>
        </w:rPr>
      </w:pPr>
      <w:del w:id="467" w:author="AbbVie14" w:date="2025-05-09T10:28:00Z">
        <w:r w:rsidRPr="00295E71">
          <w:rPr>
            <w:sz w:val="22"/>
          </w:rPr>
          <w:delText xml:space="preserve">≥ 40 kg: 40 mg </w:delText>
        </w:r>
      </w:del>
      <w:del w:id="468" w:author="AbbVie14" w:date="2025-05-09T10:28:00Z">
        <w:r w:rsidRPr="00295E71" w:rsidR="00987BBA">
          <w:rPr>
            <w:sz w:val="22"/>
          </w:rPr>
          <w:delText>ogni settimana</w:delText>
        </w:r>
      </w:del>
      <w:del w:id="469" w:author="AbbVie14" w:date="2025-05-09T10:28:00Z">
        <w:r w:rsidRPr="00295E71" w:rsidR="000227BD">
          <w:rPr>
            <w:sz w:val="22"/>
          </w:rPr>
          <w:delText xml:space="preserve"> o 80 mg a settimane alterne</w:delText>
        </w:r>
      </w:del>
    </w:p>
    <w:p w:rsidR="006224C2" w:rsidRPr="00295E71" w14:paraId="0F142B8B" w14:textId="77777777">
      <w:pPr>
        <w:tabs>
          <w:tab w:val="left" w:pos="567"/>
        </w:tabs>
        <w:jc w:val="both"/>
        <w:rPr>
          <w:del w:id="470" w:author="AbbVie14" w:date="2025-05-09T10:28:00Z"/>
          <w:sz w:val="22"/>
          <w:szCs w:val="22"/>
        </w:rPr>
      </w:pPr>
      <w:del w:id="471" w:author="AbbVie14" w:date="2025-05-09T10:28:00Z">
        <w:r w:rsidRPr="00295E71">
          <w:rPr>
            <w:sz w:val="22"/>
            <w:szCs w:val="22"/>
          </w:rPr>
          <w:delText xml:space="preserve"> </w:delText>
        </w:r>
      </w:del>
    </w:p>
    <w:p w:rsidR="006224C2" w:rsidRPr="00295E71" w14:paraId="13D721BB" w14:textId="77777777">
      <w:pPr>
        <w:tabs>
          <w:tab w:val="left" w:pos="567"/>
        </w:tabs>
        <w:jc w:val="both"/>
        <w:rPr>
          <w:del w:id="472" w:author="AbbVie14" w:date="2025-05-09T10:28:00Z"/>
          <w:sz w:val="22"/>
          <w:szCs w:val="22"/>
        </w:rPr>
      </w:pPr>
      <w:del w:id="473" w:author="AbbVie14" w:date="2025-05-09T10:28:00Z">
        <w:r w:rsidRPr="00295E71">
          <w:rPr>
            <w:sz w:val="22"/>
            <w:szCs w:val="22"/>
          </w:rPr>
          <w:delText xml:space="preserve">La </w:delText>
        </w:r>
      </w:del>
      <w:del w:id="474" w:author="AbbVie14" w:date="2025-05-09T10:28:00Z">
        <w:r w:rsidRPr="00295E71" w:rsidR="003A68D3">
          <w:rPr>
            <w:sz w:val="22"/>
            <w:szCs w:val="22"/>
          </w:rPr>
          <w:delText xml:space="preserve">continuazione della </w:delText>
        </w:r>
      </w:del>
      <w:del w:id="475" w:author="AbbVie14" w:date="2025-05-09T10:28:00Z">
        <w:r w:rsidRPr="00295E71">
          <w:rPr>
            <w:sz w:val="22"/>
            <w:szCs w:val="22"/>
          </w:rPr>
          <w:delText>terapia deve essere attentamente considerata in un soggetto che non risponde alla settimana 12.</w:delText>
        </w:r>
      </w:del>
    </w:p>
    <w:p w:rsidR="006224C2" w:rsidRPr="00295E71" w14:paraId="3F35B92F" w14:textId="77777777">
      <w:pPr>
        <w:tabs>
          <w:tab w:val="left" w:pos="567"/>
        </w:tabs>
        <w:jc w:val="both"/>
        <w:rPr>
          <w:del w:id="476" w:author="AbbVie14" w:date="2025-05-09T10:28:00Z"/>
          <w:sz w:val="22"/>
          <w:szCs w:val="22"/>
        </w:rPr>
      </w:pPr>
    </w:p>
    <w:p w:rsidR="006224C2" w:rsidRPr="00295E71" w14:paraId="0B0E0709" w14:textId="77777777">
      <w:pPr>
        <w:tabs>
          <w:tab w:val="left" w:pos="567"/>
          <w:tab w:val="right" w:pos="9070"/>
        </w:tabs>
        <w:jc w:val="both"/>
        <w:rPr>
          <w:del w:id="477" w:author="AbbVie14" w:date="2025-05-09T10:28:00Z"/>
          <w:sz w:val="22"/>
          <w:szCs w:val="22"/>
        </w:rPr>
      </w:pPr>
      <w:del w:id="478" w:author="AbbVie14" w:date="2025-05-09T10:28:00Z">
        <w:r w:rsidRPr="00295E71">
          <w:rPr>
            <w:sz w:val="22"/>
            <w:szCs w:val="22"/>
          </w:rPr>
          <w:delText>Non c’è un uso rilevante di Humira nei bambini di età inferiore a 6 anni per questa indicazione.</w:delText>
        </w:r>
      </w:del>
    </w:p>
    <w:p w:rsidR="006224C2" w:rsidRPr="00295E71" w14:paraId="34309845" w14:textId="77777777">
      <w:pPr>
        <w:tabs>
          <w:tab w:val="left" w:pos="567"/>
          <w:tab w:val="right" w:pos="9070"/>
        </w:tabs>
        <w:jc w:val="both"/>
        <w:rPr>
          <w:del w:id="479" w:author="AbbVie14" w:date="2025-05-09T10:28:00Z"/>
          <w:sz w:val="22"/>
          <w:szCs w:val="22"/>
        </w:rPr>
      </w:pPr>
    </w:p>
    <w:p w:rsidR="000227BD" w:rsidRPr="00295E71" w:rsidP="000227BD" w14:paraId="474E6B27" w14:textId="77777777">
      <w:pPr>
        <w:pStyle w:val="EMEANormal"/>
        <w:rPr>
          <w:del w:id="480" w:author="AbbVie14" w:date="2025-05-09T10:28:00Z"/>
          <w:color w:val="000000"/>
          <w:lang w:val="it-IT"/>
        </w:rPr>
      </w:pPr>
      <w:del w:id="481" w:author="AbbVie14" w:date="2025-05-09T10:28:00Z">
        <w:r w:rsidRPr="00295E71">
          <w:rPr>
            <w:color w:val="000000"/>
            <w:lang w:val="it-IT"/>
          </w:rPr>
          <w:delText>Humira può essere disponibile in altre concentrazioni e/o presentazioni a seconda delle necessità individuali di trattamento.</w:delText>
        </w:r>
      </w:del>
    </w:p>
    <w:p w:rsidR="000227BD" w:rsidRPr="00295E71" w14:paraId="26719A13" w14:textId="77777777">
      <w:pPr>
        <w:tabs>
          <w:tab w:val="left" w:pos="567"/>
          <w:tab w:val="right" w:pos="9070"/>
        </w:tabs>
        <w:jc w:val="both"/>
        <w:rPr>
          <w:del w:id="482" w:author="AbbVie14" w:date="2025-05-09T10:28:00Z"/>
          <w:sz w:val="22"/>
          <w:szCs w:val="22"/>
        </w:rPr>
      </w:pPr>
    </w:p>
    <w:p w:rsidR="0041314F" w:rsidRPr="00612824" w:rsidP="0041314F" w14:paraId="6F309BBF" w14:textId="77777777">
      <w:pPr>
        <w:rPr>
          <w:del w:id="483" w:author="AbbVie14" w:date="2025-05-09T10:28:00Z"/>
          <w:b/>
          <w:sz w:val="22"/>
          <w:szCs w:val="22"/>
        </w:rPr>
      </w:pPr>
      <w:del w:id="484" w:author="AbbVie14" w:date="2025-05-09T10:28:00Z">
        <w:r w:rsidRPr="00612824">
          <w:rPr>
            <w:i/>
            <w:sz w:val="22"/>
            <w:szCs w:val="22"/>
          </w:rPr>
          <w:delText>Colite ulcerosa pediatrica</w:delText>
        </w:r>
      </w:del>
      <w:del w:id="485" w:author="AbbVie14" w:date="2025-05-09T10:28:00Z">
        <w:r w:rsidRPr="00612824">
          <w:rPr>
            <w:b/>
            <w:sz w:val="22"/>
            <w:szCs w:val="22"/>
          </w:rPr>
          <w:delText xml:space="preserve"> </w:delText>
        </w:r>
      </w:del>
    </w:p>
    <w:p w:rsidR="0041314F" w:rsidRPr="00612824" w:rsidP="0041314F" w14:paraId="36D3EE37" w14:textId="77777777">
      <w:pPr>
        <w:rPr>
          <w:del w:id="486" w:author="AbbVie14" w:date="2025-05-09T10:28:00Z"/>
          <w:b/>
          <w:sz w:val="22"/>
          <w:szCs w:val="22"/>
        </w:rPr>
      </w:pPr>
    </w:p>
    <w:p w:rsidR="0041314F" w:rsidRPr="00612824" w:rsidP="0041314F" w14:paraId="7B668952" w14:textId="77777777">
      <w:pPr>
        <w:rPr>
          <w:del w:id="487" w:author="AbbVie14" w:date="2025-05-09T10:28:00Z"/>
          <w:sz w:val="22"/>
          <w:szCs w:val="22"/>
        </w:rPr>
      </w:pPr>
      <w:del w:id="488" w:author="AbbVie14" w:date="2025-05-09T10:28:00Z">
        <w:r w:rsidRPr="00612824">
          <w:rPr>
            <w:sz w:val="22"/>
            <w:szCs w:val="22"/>
          </w:rPr>
          <w:delText xml:space="preserve">La dose raccomandata di Humira per i pazienti di età compresa tra 6 e 17 anni </w:delText>
        </w:r>
      </w:del>
      <w:del w:id="489" w:author="AbbVie14" w:date="2025-05-09T10:28:00Z">
        <w:r w:rsidR="00882D98">
          <w:rPr>
            <w:sz w:val="22"/>
            <w:szCs w:val="22"/>
          </w:rPr>
          <w:delText>affetti da</w:delText>
        </w:r>
      </w:del>
      <w:del w:id="490" w:author="AbbVie14" w:date="2025-05-09T10:28:00Z">
        <w:r w:rsidRPr="00612824">
          <w:rPr>
            <w:sz w:val="22"/>
            <w:szCs w:val="22"/>
          </w:rPr>
          <w:delText xml:space="preserve"> colite ulcerosa </w:delText>
        </w:r>
      </w:del>
      <w:del w:id="491" w:author="AbbVie14" w:date="2025-05-09T10:28:00Z">
        <w:r w:rsidR="00DA6A50">
          <w:rPr>
            <w:sz w:val="22"/>
            <w:szCs w:val="22"/>
          </w:rPr>
          <w:delText>è basata</w:delText>
        </w:r>
      </w:del>
      <w:del w:id="492" w:author="AbbVie14" w:date="2025-05-09T10:28:00Z">
        <w:r w:rsidRPr="00612824">
          <w:rPr>
            <w:sz w:val="22"/>
            <w:szCs w:val="22"/>
          </w:rPr>
          <w:delText xml:space="preserve"> sul peso corporeo (Tabella 5). Humira </w:delText>
        </w:r>
      </w:del>
      <w:del w:id="493" w:author="AbbVie14" w:date="2025-05-09T10:28:00Z">
        <w:r w:rsidR="00DA6A50">
          <w:rPr>
            <w:sz w:val="22"/>
            <w:szCs w:val="22"/>
          </w:rPr>
          <w:delText>è</w:delText>
        </w:r>
      </w:del>
      <w:del w:id="494" w:author="AbbVie14" w:date="2025-05-09T10:28:00Z">
        <w:r w:rsidRPr="00612824">
          <w:rPr>
            <w:sz w:val="22"/>
            <w:szCs w:val="22"/>
          </w:rPr>
          <w:delText xml:space="preserve"> somministrato mediante iniezione sottocutanea.</w:delText>
        </w:r>
      </w:del>
    </w:p>
    <w:p w:rsidR="0041314F" w:rsidRPr="00612824" w:rsidP="0041314F" w14:paraId="27AF0AB9" w14:textId="77777777">
      <w:pPr>
        <w:rPr>
          <w:del w:id="495" w:author="AbbVie14" w:date="2025-05-09T10:28:00Z"/>
          <w:sz w:val="22"/>
          <w:szCs w:val="22"/>
        </w:rPr>
      </w:pPr>
      <w:del w:id="496" w:author="AbbVie14" w:date="2025-05-09T10:28:00Z">
        <w:r w:rsidRPr="00612824">
          <w:rPr>
            <w:sz w:val="22"/>
            <w:szCs w:val="22"/>
          </w:rPr>
          <w:delText xml:space="preserve"> </w:delText>
        </w:r>
      </w:del>
    </w:p>
    <w:p w:rsidR="0041314F" w:rsidRPr="00612824" w:rsidP="0041314F" w14:paraId="013B1F79" w14:textId="77777777">
      <w:pPr>
        <w:keepNext/>
        <w:jc w:val="center"/>
        <w:rPr>
          <w:del w:id="497" w:author="AbbVie14" w:date="2025-05-09T10:28:00Z"/>
          <w:sz w:val="22"/>
          <w:szCs w:val="22"/>
        </w:rPr>
      </w:pPr>
      <w:del w:id="498" w:author="AbbVie14" w:date="2025-05-09T10:28:00Z">
        <w:r w:rsidRPr="00612824">
          <w:rPr>
            <w:b/>
            <w:sz w:val="22"/>
            <w:szCs w:val="22"/>
          </w:rPr>
          <w:delText xml:space="preserve">Tabella 5. Dose di </w:delText>
        </w:r>
      </w:del>
      <w:del w:id="499" w:author="AbbVie14" w:date="2025-05-09T10:28:00Z">
        <w:r w:rsidR="00DA6A50">
          <w:rPr>
            <w:b/>
            <w:sz w:val="22"/>
            <w:szCs w:val="22"/>
          </w:rPr>
          <w:delText>H</w:delText>
        </w:r>
      </w:del>
      <w:del w:id="500" w:author="AbbVie14" w:date="2025-05-09T10:28:00Z">
        <w:r w:rsidRPr="00612824">
          <w:rPr>
            <w:b/>
            <w:sz w:val="22"/>
            <w:szCs w:val="22"/>
          </w:rPr>
          <w:delText xml:space="preserve">umira per </w:delText>
        </w:r>
      </w:del>
      <w:del w:id="501" w:author="AbbVie14" w:date="2025-05-09T10:28:00Z">
        <w:r w:rsidR="00DA6A50">
          <w:rPr>
            <w:b/>
            <w:sz w:val="22"/>
            <w:szCs w:val="22"/>
          </w:rPr>
          <w:delText>P</w:delText>
        </w:r>
      </w:del>
      <w:del w:id="502" w:author="AbbVie14" w:date="2025-05-09T10:28:00Z">
        <w:r w:rsidRPr="00612824">
          <w:rPr>
            <w:b/>
            <w:sz w:val="22"/>
            <w:szCs w:val="22"/>
          </w:rPr>
          <w:delText xml:space="preserve">azienti </w:delText>
        </w:r>
      </w:del>
      <w:del w:id="503" w:author="AbbVie14" w:date="2025-05-09T10:28:00Z">
        <w:r w:rsidR="00DA6A50">
          <w:rPr>
            <w:b/>
            <w:sz w:val="22"/>
            <w:szCs w:val="22"/>
          </w:rPr>
          <w:delText>P</w:delText>
        </w:r>
      </w:del>
      <w:del w:id="504" w:author="AbbVie14" w:date="2025-05-09T10:28:00Z">
        <w:r w:rsidRPr="00612824">
          <w:rPr>
            <w:b/>
            <w:sz w:val="22"/>
            <w:szCs w:val="22"/>
          </w:rPr>
          <w:delText xml:space="preserve">ediatrici con </w:delText>
        </w:r>
      </w:del>
      <w:del w:id="505" w:author="AbbVie14" w:date="2025-05-09T10:28:00Z">
        <w:r w:rsidR="00DA6A50">
          <w:rPr>
            <w:b/>
            <w:sz w:val="22"/>
            <w:szCs w:val="22"/>
          </w:rPr>
          <w:delText>C</w:delText>
        </w:r>
      </w:del>
      <w:del w:id="506" w:author="AbbVie14" w:date="2025-05-09T10:28:00Z">
        <w:r w:rsidRPr="00612824">
          <w:rPr>
            <w:b/>
            <w:sz w:val="22"/>
            <w:szCs w:val="22"/>
          </w:rPr>
          <w:delText xml:space="preserve">olite </w:delText>
        </w:r>
      </w:del>
      <w:del w:id="507" w:author="AbbVie14" w:date="2025-05-09T10:28:00Z">
        <w:r w:rsidR="00DA6A50">
          <w:rPr>
            <w:b/>
            <w:sz w:val="22"/>
            <w:szCs w:val="22"/>
          </w:rPr>
          <w:delText>U</w:delText>
        </w:r>
      </w:del>
      <w:del w:id="508" w:author="AbbVie14" w:date="2025-05-09T10:28:00Z">
        <w:r w:rsidRPr="00612824">
          <w:rPr>
            <w:b/>
            <w:sz w:val="22"/>
            <w:szCs w:val="22"/>
          </w:rPr>
          <w:delText xml:space="preserve">lcerosa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05"/>
        <w:gridCol w:w="3321"/>
        <w:gridCol w:w="3157"/>
      </w:tblGrid>
      <w:tr w14:paraId="4847F370" w14:textId="77777777" w:rsidTr="0041314F">
        <w:tblPrEx>
          <w:tblW w:w="4574" w:type="pct"/>
          <w:tblLook w:val="04A0"/>
        </w:tblPrEx>
        <w:trPr>
          <w:del w:id="509" w:author="AbbVie14" w:date="2025-05-09T10:28:00Z"/>
        </w:trPr>
        <w:tc>
          <w:tcPr>
            <w:tcW w:w="0" w:type="auto"/>
            <w:tcBorders>
              <w:top w:val="single" w:sz="6" w:space="0" w:color="000000"/>
              <w:left w:val="single" w:sz="6" w:space="0" w:color="000000"/>
              <w:bottom w:val="single" w:sz="6" w:space="0" w:color="000000"/>
              <w:right w:val="single" w:sz="6" w:space="0" w:color="000000"/>
            </w:tcBorders>
            <w:vAlign w:val="center"/>
            <w:hideMark/>
          </w:tcPr>
          <w:p w:rsidR="0041314F" w:rsidRPr="00612824" w:rsidP="0041314F" w14:paraId="54330447" w14:textId="77777777">
            <w:pPr>
              <w:jc w:val="center"/>
              <w:rPr>
                <w:del w:id="510" w:author="AbbVie14" w:date="2025-05-09T10:28:00Z"/>
                <w:b/>
                <w:sz w:val="22"/>
                <w:szCs w:val="22"/>
              </w:rPr>
            </w:pPr>
            <w:del w:id="511" w:author="AbbVie14" w:date="2025-05-09T10:28:00Z">
              <w:r w:rsidRPr="00612824">
                <w:rPr>
                  <w:b/>
                  <w:sz w:val="22"/>
                  <w:szCs w:val="22"/>
                </w:rPr>
                <w:delText>Peso del paziente</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41314F" w:rsidRPr="00612824" w:rsidP="0041314F" w14:paraId="4437EEC9" w14:textId="77777777">
            <w:pPr>
              <w:jc w:val="center"/>
              <w:rPr>
                <w:del w:id="512" w:author="AbbVie14" w:date="2025-05-09T10:28:00Z"/>
                <w:b/>
                <w:sz w:val="22"/>
                <w:szCs w:val="22"/>
              </w:rPr>
            </w:pPr>
            <w:del w:id="513" w:author="AbbVie14" w:date="2025-05-09T10:28:00Z">
              <w:r w:rsidRPr="00612824">
                <w:rPr>
                  <w:b/>
                  <w:sz w:val="22"/>
                  <w:szCs w:val="22"/>
                </w:rPr>
                <w:delText xml:space="preserve">Dose di </w:delText>
              </w:r>
            </w:del>
            <w:del w:id="514" w:author="AbbVie14" w:date="2025-05-09T10:28:00Z">
              <w:r w:rsidR="00DA6A50">
                <w:rPr>
                  <w:b/>
                  <w:sz w:val="22"/>
                  <w:szCs w:val="22"/>
                </w:rPr>
                <w:delText>I</w:delText>
              </w:r>
            </w:del>
            <w:del w:id="515" w:author="AbbVie14" w:date="2025-05-09T10:28:00Z">
              <w:r w:rsidRPr="00612824">
                <w:rPr>
                  <w:b/>
                  <w:sz w:val="22"/>
                  <w:szCs w:val="22"/>
                </w:rPr>
                <w:delText>nduzione</w:delText>
              </w:r>
            </w:del>
          </w:p>
        </w:tc>
        <w:tc>
          <w:tcPr>
            <w:tcW w:w="1906" w:type="pct"/>
            <w:tcBorders>
              <w:top w:val="single" w:sz="6" w:space="0" w:color="000000"/>
              <w:left w:val="single" w:sz="6" w:space="0" w:color="000000"/>
              <w:bottom w:val="single" w:sz="6" w:space="0" w:color="000000"/>
              <w:right w:val="single" w:sz="6" w:space="0" w:color="000000"/>
            </w:tcBorders>
            <w:hideMark/>
          </w:tcPr>
          <w:p w:rsidR="0041314F" w:rsidRPr="00612824" w:rsidP="0041314F" w14:paraId="30D075E7" w14:textId="77777777">
            <w:pPr>
              <w:jc w:val="center"/>
              <w:rPr>
                <w:del w:id="516" w:author="AbbVie14" w:date="2025-05-09T10:28:00Z"/>
                <w:b/>
                <w:sz w:val="22"/>
                <w:szCs w:val="22"/>
              </w:rPr>
            </w:pPr>
            <w:del w:id="517" w:author="AbbVie14" w:date="2025-05-09T10:28:00Z">
              <w:r w:rsidRPr="00612824">
                <w:rPr>
                  <w:b/>
                  <w:sz w:val="22"/>
                  <w:szCs w:val="22"/>
                </w:rPr>
                <w:delText xml:space="preserve">Dose di </w:delText>
              </w:r>
            </w:del>
            <w:del w:id="518" w:author="AbbVie14" w:date="2025-05-09T10:28:00Z">
              <w:r w:rsidR="00DA6A50">
                <w:rPr>
                  <w:b/>
                  <w:sz w:val="22"/>
                  <w:szCs w:val="22"/>
                </w:rPr>
                <w:delText>M</w:delText>
              </w:r>
            </w:del>
            <w:del w:id="519" w:author="AbbVie14" w:date="2025-05-09T10:28:00Z">
              <w:r w:rsidRPr="00612824">
                <w:rPr>
                  <w:b/>
                  <w:sz w:val="22"/>
                  <w:szCs w:val="22"/>
                </w:rPr>
                <w:delText>antenimento</w:delText>
              </w:r>
            </w:del>
            <w:del w:id="520" w:author="AbbVie14" w:date="2025-05-09T10:28:00Z">
              <w:r w:rsidRPr="00612824">
                <w:rPr>
                  <w:b/>
                  <w:sz w:val="22"/>
                  <w:szCs w:val="22"/>
                </w:rPr>
                <w:br/>
                <w:delText xml:space="preserve">a partire dalla </w:delText>
              </w:r>
            </w:del>
            <w:del w:id="521" w:author="AbbVie14" w:date="2025-05-09T10:28:00Z">
              <w:r w:rsidR="00DA6A50">
                <w:rPr>
                  <w:b/>
                  <w:sz w:val="22"/>
                  <w:szCs w:val="22"/>
                </w:rPr>
                <w:delText>S</w:delText>
              </w:r>
            </w:del>
            <w:del w:id="522" w:author="AbbVie14" w:date="2025-05-09T10:28:00Z">
              <w:r w:rsidRPr="00612824">
                <w:rPr>
                  <w:b/>
                  <w:sz w:val="22"/>
                  <w:szCs w:val="22"/>
                </w:rPr>
                <w:delText>ettimana 4*</w:delText>
              </w:r>
            </w:del>
          </w:p>
        </w:tc>
      </w:tr>
      <w:tr w14:paraId="642B2A3F" w14:textId="77777777" w:rsidTr="0041314F">
        <w:tblPrEx>
          <w:tblW w:w="4574" w:type="pct"/>
          <w:tblLook w:val="04A0"/>
        </w:tblPrEx>
        <w:trPr>
          <w:del w:id="523" w:author="AbbVie14" w:date="2025-05-09T10:28:00Z"/>
        </w:trPr>
        <w:tc>
          <w:tcPr>
            <w:tcW w:w="0" w:type="auto"/>
            <w:tcBorders>
              <w:top w:val="single" w:sz="6" w:space="0" w:color="000000"/>
              <w:left w:val="single" w:sz="6" w:space="0" w:color="000000"/>
              <w:bottom w:val="single" w:sz="6" w:space="0" w:color="000000"/>
              <w:right w:val="single" w:sz="6" w:space="0" w:color="000000"/>
            </w:tcBorders>
            <w:hideMark/>
          </w:tcPr>
          <w:p w:rsidR="0041314F" w:rsidRPr="00612824" w:rsidP="0041314F" w14:paraId="0B52E556" w14:textId="77777777">
            <w:pPr>
              <w:jc w:val="center"/>
              <w:rPr>
                <w:del w:id="524" w:author="AbbVie14" w:date="2025-05-09T10:28:00Z"/>
                <w:sz w:val="22"/>
                <w:szCs w:val="22"/>
              </w:rPr>
            </w:pPr>
            <w:del w:id="525" w:author="AbbVie14" w:date="2025-05-09T10:28:00Z">
              <w:r w:rsidRPr="00612824">
                <w:rPr>
                  <w:sz w:val="22"/>
                  <w:szCs w:val="22"/>
                </w:rPr>
                <w:delText>&lt;40 kg</w:delText>
              </w:r>
            </w:del>
          </w:p>
        </w:tc>
        <w:tc>
          <w:tcPr>
            <w:tcW w:w="2005" w:type="pct"/>
            <w:tcBorders>
              <w:top w:val="single" w:sz="6" w:space="0" w:color="000000"/>
              <w:left w:val="single" w:sz="6" w:space="0" w:color="000000"/>
              <w:bottom w:val="single" w:sz="6" w:space="0" w:color="000000"/>
              <w:right w:val="single" w:sz="6" w:space="0" w:color="000000"/>
            </w:tcBorders>
            <w:hideMark/>
          </w:tcPr>
          <w:p w:rsidR="0041314F" w:rsidRPr="00612824" w:rsidP="0041314F" w14:paraId="0634B8F6" w14:textId="77777777">
            <w:pPr>
              <w:numPr>
                <w:ilvl w:val="0"/>
                <w:numId w:val="154"/>
              </w:numPr>
              <w:ind w:left="360" w:hanging="210"/>
              <w:rPr>
                <w:del w:id="526" w:author="AbbVie14" w:date="2025-05-09T10:28:00Z"/>
                <w:sz w:val="22"/>
                <w:szCs w:val="22"/>
              </w:rPr>
            </w:pPr>
            <w:del w:id="527" w:author="AbbVie14" w:date="2025-05-09T10:28:00Z">
              <w:r w:rsidRPr="00612824">
                <w:rPr>
                  <w:sz w:val="22"/>
                  <w:szCs w:val="22"/>
                </w:rPr>
                <w:delText>80 mg alla Settimana 0 (somministrati in due iniezioni da 40 mg nello stesso giorno) e</w:delText>
              </w:r>
            </w:del>
          </w:p>
          <w:p w:rsidR="0041314F" w:rsidRPr="00612824" w:rsidP="0041314F" w14:paraId="2FA868FE" w14:textId="77777777">
            <w:pPr>
              <w:numPr>
                <w:ilvl w:val="0"/>
                <w:numId w:val="154"/>
              </w:numPr>
              <w:ind w:left="360" w:hanging="210"/>
              <w:rPr>
                <w:del w:id="528" w:author="AbbVie14" w:date="2025-05-09T10:28:00Z"/>
                <w:sz w:val="22"/>
                <w:szCs w:val="22"/>
              </w:rPr>
            </w:pPr>
            <w:del w:id="529" w:author="AbbVie14" w:date="2025-05-09T10:28:00Z">
              <w:r w:rsidRPr="00612824">
                <w:rPr>
                  <w:sz w:val="22"/>
                  <w:szCs w:val="22"/>
                </w:rPr>
                <w:delText>40 mg alla Settimana 2 (somministrati con una sola iniezione da 40 mg)</w:delText>
              </w:r>
            </w:del>
          </w:p>
        </w:tc>
        <w:tc>
          <w:tcPr>
            <w:tcW w:w="1906" w:type="pct"/>
            <w:tcBorders>
              <w:top w:val="single" w:sz="6" w:space="0" w:color="000000"/>
              <w:left w:val="single" w:sz="6" w:space="0" w:color="000000"/>
              <w:bottom w:val="single" w:sz="6" w:space="0" w:color="000000"/>
              <w:right w:val="single" w:sz="6" w:space="0" w:color="000000"/>
            </w:tcBorders>
            <w:hideMark/>
          </w:tcPr>
          <w:p w:rsidR="0041314F" w:rsidRPr="00612824" w:rsidP="0041314F" w14:paraId="6AD0B7E1" w14:textId="77777777">
            <w:pPr>
              <w:numPr>
                <w:ilvl w:val="0"/>
                <w:numId w:val="154"/>
              </w:numPr>
              <w:ind w:left="360" w:hanging="210"/>
              <w:rPr>
                <w:del w:id="530" w:author="AbbVie14" w:date="2025-05-09T10:28:00Z"/>
                <w:sz w:val="22"/>
                <w:szCs w:val="22"/>
              </w:rPr>
            </w:pPr>
            <w:del w:id="531" w:author="AbbVie14" w:date="2025-05-09T10:28:00Z">
              <w:r w:rsidRPr="00525220">
                <w:rPr>
                  <w:sz w:val="22"/>
                  <w:szCs w:val="22"/>
                </w:rPr>
                <w:delText>40 </w:delText>
              </w:r>
            </w:del>
            <w:del w:id="532" w:author="AbbVie14" w:date="2025-05-09T10:28:00Z">
              <w:r w:rsidRPr="00612824">
                <w:rPr>
                  <w:sz w:val="22"/>
                  <w:szCs w:val="22"/>
                </w:rPr>
                <w:delText>mg a settimane alterne</w:delText>
              </w:r>
            </w:del>
          </w:p>
        </w:tc>
      </w:tr>
      <w:tr w14:paraId="5BDBA057" w14:textId="77777777" w:rsidTr="0041314F">
        <w:tblPrEx>
          <w:tblW w:w="4574" w:type="pct"/>
          <w:tblLook w:val="04A0"/>
        </w:tblPrEx>
        <w:trPr>
          <w:del w:id="533" w:author="AbbVie14" w:date="2025-05-09T10:28:00Z"/>
        </w:trPr>
        <w:tc>
          <w:tcPr>
            <w:tcW w:w="0" w:type="auto"/>
            <w:tcBorders>
              <w:top w:val="single" w:sz="6" w:space="0" w:color="000000"/>
              <w:left w:val="single" w:sz="6" w:space="0" w:color="000000"/>
              <w:bottom w:val="single" w:sz="4" w:space="0" w:color="auto"/>
              <w:right w:val="single" w:sz="6" w:space="0" w:color="000000"/>
            </w:tcBorders>
            <w:hideMark/>
          </w:tcPr>
          <w:p w:rsidR="0041314F" w:rsidRPr="00612824" w:rsidP="0041314F" w14:paraId="6700A84C" w14:textId="77777777">
            <w:pPr>
              <w:jc w:val="center"/>
              <w:rPr>
                <w:del w:id="534" w:author="AbbVie14" w:date="2025-05-09T10:28:00Z"/>
                <w:sz w:val="22"/>
                <w:szCs w:val="22"/>
              </w:rPr>
            </w:pPr>
            <w:del w:id="535" w:author="AbbVie14" w:date="2025-05-09T10:28:00Z">
              <w:r w:rsidRPr="00612824">
                <w:rPr>
                  <w:sz w:val="22"/>
                  <w:szCs w:val="22"/>
                </w:rPr>
                <w:delText>≥40 kg</w:delText>
              </w:r>
            </w:del>
          </w:p>
        </w:tc>
        <w:tc>
          <w:tcPr>
            <w:tcW w:w="2005" w:type="pct"/>
            <w:tcBorders>
              <w:top w:val="single" w:sz="6" w:space="0" w:color="000000"/>
              <w:left w:val="single" w:sz="6" w:space="0" w:color="000000"/>
              <w:bottom w:val="single" w:sz="4" w:space="0" w:color="auto"/>
              <w:right w:val="single" w:sz="6" w:space="0" w:color="000000"/>
            </w:tcBorders>
            <w:hideMark/>
          </w:tcPr>
          <w:p w:rsidR="0041314F" w:rsidRPr="00612824" w:rsidP="0041314F" w14:paraId="1F455DA7" w14:textId="77777777">
            <w:pPr>
              <w:numPr>
                <w:ilvl w:val="0"/>
                <w:numId w:val="155"/>
              </w:numPr>
              <w:ind w:left="360" w:hanging="210"/>
              <w:rPr>
                <w:del w:id="536" w:author="AbbVie14" w:date="2025-05-09T10:28:00Z"/>
                <w:sz w:val="22"/>
                <w:szCs w:val="22"/>
              </w:rPr>
            </w:pPr>
            <w:del w:id="537" w:author="AbbVie14" w:date="2025-05-09T10:28:00Z">
              <w:r w:rsidRPr="00612824">
                <w:rPr>
                  <w:sz w:val="22"/>
                  <w:szCs w:val="22"/>
                </w:rPr>
                <w:delText>160 mg alla Settimana 0 (somministrati con quattro iniezioni da 40 mg in un giorno o due iniezioni da 40 mg al giorno per due giorni consecutivi) e</w:delText>
              </w:r>
            </w:del>
          </w:p>
          <w:p w:rsidR="0041314F" w:rsidRPr="00612824" w:rsidP="0041314F" w14:paraId="432694AD" w14:textId="77777777">
            <w:pPr>
              <w:numPr>
                <w:ilvl w:val="0"/>
                <w:numId w:val="155"/>
              </w:numPr>
              <w:ind w:left="360" w:hanging="210"/>
              <w:rPr>
                <w:del w:id="538" w:author="AbbVie14" w:date="2025-05-09T10:28:00Z"/>
                <w:sz w:val="22"/>
                <w:szCs w:val="22"/>
              </w:rPr>
            </w:pPr>
            <w:del w:id="539" w:author="AbbVie14" w:date="2025-05-09T10:28:00Z">
              <w:r w:rsidRPr="00612824">
                <w:rPr>
                  <w:sz w:val="22"/>
                  <w:szCs w:val="22"/>
                </w:rPr>
                <w:delText>80 mg alla Settimana 2 (somministrati con due iniezioni da 40 mg in un giorno)</w:delText>
              </w:r>
            </w:del>
          </w:p>
        </w:tc>
        <w:tc>
          <w:tcPr>
            <w:tcW w:w="1906" w:type="pct"/>
            <w:tcBorders>
              <w:top w:val="single" w:sz="6" w:space="0" w:color="000000"/>
              <w:left w:val="single" w:sz="6" w:space="0" w:color="000000"/>
              <w:bottom w:val="single" w:sz="4" w:space="0" w:color="auto"/>
              <w:right w:val="single" w:sz="6" w:space="0" w:color="000000"/>
            </w:tcBorders>
            <w:hideMark/>
          </w:tcPr>
          <w:p w:rsidR="0041314F" w:rsidRPr="00612824" w:rsidP="0041314F" w14:paraId="3A2295DA" w14:textId="77777777">
            <w:pPr>
              <w:numPr>
                <w:ilvl w:val="0"/>
                <w:numId w:val="154"/>
              </w:numPr>
              <w:ind w:left="360" w:hanging="210"/>
              <w:rPr>
                <w:del w:id="540" w:author="AbbVie14" w:date="2025-05-09T10:28:00Z"/>
                <w:sz w:val="22"/>
                <w:szCs w:val="22"/>
              </w:rPr>
            </w:pPr>
            <w:del w:id="541" w:author="AbbVie14" w:date="2025-05-09T10:28:00Z">
              <w:r w:rsidRPr="00612824">
                <w:rPr>
                  <w:sz w:val="22"/>
                  <w:szCs w:val="22"/>
                </w:rPr>
                <w:delText>80 mg a settimane alterne</w:delText>
              </w:r>
            </w:del>
          </w:p>
        </w:tc>
      </w:tr>
      <w:tr w14:paraId="6FAE1F3F" w14:textId="77777777" w:rsidTr="0041314F">
        <w:tblPrEx>
          <w:tblW w:w="4574" w:type="pct"/>
          <w:tblLook w:val="04A0"/>
        </w:tblPrEx>
        <w:trPr>
          <w:del w:id="542" w:author="AbbVie14" w:date="2025-05-09T10:28:00Z"/>
        </w:trPr>
        <w:tc>
          <w:tcPr>
            <w:tcW w:w="5000" w:type="pct"/>
            <w:gridSpan w:val="3"/>
            <w:tcBorders>
              <w:top w:val="single" w:sz="4" w:space="0" w:color="auto"/>
              <w:left w:val="nil"/>
              <w:bottom w:val="nil"/>
              <w:right w:val="nil"/>
            </w:tcBorders>
          </w:tcPr>
          <w:p w:rsidR="0041314F" w:rsidRPr="00612824" w:rsidP="0041314F" w14:paraId="13A302C6" w14:textId="77777777">
            <w:pPr>
              <w:rPr>
                <w:del w:id="543" w:author="AbbVie14" w:date="2025-05-09T10:28:00Z"/>
                <w:sz w:val="22"/>
                <w:szCs w:val="22"/>
              </w:rPr>
            </w:pPr>
            <w:del w:id="544" w:author="AbbVie14" w:date="2025-05-09T10:28:00Z">
              <w:r w:rsidRPr="00612824">
                <w:rPr>
                  <w:sz w:val="22"/>
                  <w:szCs w:val="22"/>
                  <w:vertAlign w:val="superscript"/>
                </w:rPr>
                <w:delText xml:space="preserve">* </w:delText>
              </w:r>
            </w:del>
            <w:del w:id="545" w:author="AbbVie14" w:date="2025-05-09T10:28:00Z">
              <w:r w:rsidRPr="00612824">
                <w:rPr>
                  <w:sz w:val="22"/>
                  <w:szCs w:val="22"/>
                </w:rPr>
                <w:delText>I pazienti pediatrici che compiono 18 anni di età durante il trattamento con Humira devono continuare la dose di mantenimento prescritta.</w:delText>
              </w:r>
            </w:del>
          </w:p>
        </w:tc>
      </w:tr>
    </w:tbl>
    <w:p w:rsidR="0041314F" w:rsidRPr="00612824" w:rsidP="0041314F" w14:paraId="05F1B25F" w14:textId="77777777">
      <w:pPr>
        <w:rPr>
          <w:del w:id="546" w:author="AbbVie14" w:date="2025-05-09T10:28:00Z"/>
          <w:sz w:val="22"/>
          <w:szCs w:val="22"/>
          <w:lang w:eastAsia="en-US"/>
        </w:rPr>
      </w:pPr>
    </w:p>
    <w:p w:rsidR="0041314F" w:rsidRPr="00612824" w:rsidP="0041314F" w14:paraId="24548B01" w14:textId="77777777">
      <w:pPr>
        <w:rPr>
          <w:del w:id="547" w:author="AbbVie14" w:date="2025-05-09T10:28:00Z"/>
          <w:sz w:val="22"/>
          <w:szCs w:val="22"/>
        </w:rPr>
      </w:pPr>
      <w:del w:id="548" w:author="AbbVie14" w:date="2025-05-09T10:28:00Z">
        <w:r w:rsidRPr="00612824">
          <w:rPr>
            <w:sz w:val="22"/>
            <w:szCs w:val="22"/>
          </w:rPr>
          <w:delText>La continuazione della terapia oltre le 8 settimane deve essere attentamente considerata nei pazienti che non mostrano segni di risposta entro questo periodo di tempo.</w:delText>
        </w:r>
      </w:del>
    </w:p>
    <w:p w:rsidR="0041314F" w:rsidRPr="00612824" w:rsidP="0041314F" w14:paraId="5A656A72" w14:textId="77777777">
      <w:pPr>
        <w:rPr>
          <w:del w:id="549" w:author="AbbVie14" w:date="2025-05-09T10:28:00Z"/>
          <w:sz w:val="22"/>
          <w:szCs w:val="22"/>
        </w:rPr>
      </w:pPr>
    </w:p>
    <w:p w:rsidR="00B803E3" w:rsidRPr="00295E71" w:rsidP="00B803E3" w14:paraId="7FB18362" w14:textId="77777777">
      <w:pPr>
        <w:tabs>
          <w:tab w:val="left" w:pos="567"/>
          <w:tab w:val="right" w:pos="9070"/>
        </w:tabs>
        <w:jc w:val="both"/>
        <w:rPr>
          <w:del w:id="550" w:author="AbbVie14" w:date="2025-05-09T10:28:00Z"/>
          <w:sz w:val="22"/>
          <w:szCs w:val="22"/>
        </w:rPr>
      </w:pPr>
      <w:del w:id="551" w:author="AbbVie14" w:date="2025-05-09T10:28:00Z">
        <w:r w:rsidRPr="00295E71">
          <w:rPr>
            <w:sz w:val="22"/>
            <w:szCs w:val="22"/>
          </w:rPr>
          <w:delText>Non c’è un uso rilevante di Humira nei bambini di età inferiore a 6 anni per questa indicazione.</w:delText>
        </w:r>
      </w:del>
    </w:p>
    <w:p w:rsidR="0041314F" w:rsidRPr="00612824" w:rsidP="0041314F" w14:paraId="580A3CFD" w14:textId="77777777">
      <w:pPr>
        <w:rPr>
          <w:del w:id="552" w:author="AbbVie14" w:date="2025-05-09T10:28:00Z"/>
          <w:sz w:val="22"/>
          <w:szCs w:val="22"/>
        </w:rPr>
      </w:pPr>
    </w:p>
    <w:p w:rsidR="0041314F" w:rsidP="0041314F" w14:paraId="1BD28F74" w14:textId="77777777">
      <w:pPr>
        <w:rPr>
          <w:del w:id="553" w:author="AbbVie14" w:date="2025-05-09T10:28:00Z"/>
          <w:sz w:val="22"/>
          <w:szCs w:val="22"/>
        </w:rPr>
      </w:pPr>
      <w:del w:id="554" w:author="AbbVie14" w:date="2025-05-09T10:28:00Z">
        <w:r w:rsidRPr="00612824">
          <w:rPr>
            <w:sz w:val="22"/>
            <w:szCs w:val="22"/>
          </w:rPr>
          <w:delText>Humira può essere disponibile in divers</w:delText>
        </w:r>
      </w:del>
      <w:del w:id="555" w:author="AbbVie14" w:date="2025-05-09T10:28:00Z">
        <w:r w:rsidR="009D2CEC">
          <w:rPr>
            <w:sz w:val="22"/>
            <w:szCs w:val="22"/>
          </w:rPr>
          <w:delText>e</w:delText>
        </w:r>
      </w:del>
      <w:del w:id="556" w:author="AbbVie14" w:date="2025-05-09T10:28:00Z">
        <w:r w:rsidRPr="00612824">
          <w:rPr>
            <w:sz w:val="22"/>
            <w:szCs w:val="22"/>
          </w:rPr>
          <w:delText xml:space="preserve"> </w:delText>
        </w:r>
      </w:del>
      <w:del w:id="557" w:author="AbbVie14" w:date="2025-05-09T10:28:00Z">
        <w:r w:rsidR="009D2CEC">
          <w:rPr>
            <w:sz w:val="22"/>
            <w:szCs w:val="22"/>
          </w:rPr>
          <w:delText xml:space="preserve">concentrazioni </w:delText>
        </w:r>
      </w:del>
      <w:del w:id="558" w:author="AbbVie14" w:date="2025-05-09T10:28:00Z">
        <w:r w:rsidRPr="00612824">
          <w:rPr>
            <w:sz w:val="22"/>
            <w:szCs w:val="22"/>
          </w:rPr>
          <w:delText xml:space="preserve">e/o presentazioni a seconda delle </w:delText>
        </w:r>
      </w:del>
      <w:del w:id="559" w:author="AbbVie14" w:date="2025-05-09T10:28:00Z">
        <w:r w:rsidR="009D2CEC">
          <w:rPr>
            <w:sz w:val="22"/>
            <w:szCs w:val="22"/>
          </w:rPr>
          <w:delText>necessità individuali</w:delText>
        </w:r>
      </w:del>
      <w:del w:id="560" w:author="AbbVie14" w:date="2025-05-09T10:28:00Z">
        <w:r w:rsidRPr="00612824">
          <w:rPr>
            <w:sz w:val="22"/>
            <w:szCs w:val="22"/>
          </w:rPr>
          <w:delText xml:space="preserve"> di trattamento. </w:delText>
        </w:r>
      </w:del>
    </w:p>
    <w:p w:rsidR="0041314F" w:rsidRPr="00612824" w:rsidP="0041314F" w14:paraId="77D60AF0" w14:textId="77777777">
      <w:pPr>
        <w:rPr>
          <w:del w:id="561" w:author="AbbVie14" w:date="2025-05-09T10:28:00Z"/>
          <w:sz w:val="22"/>
          <w:szCs w:val="22"/>
        </w:rPr>
      </w:pPr>
    </w:p>
    <w:p w:rsidR="006224C2" w:rsidRPr="00295E71" w:rsidP="00222EA4" w14:paraId="696E830F" w14:textId="77777777">
      <w:pPr>
        <w:keepNext/>
        <w:tabs>
          <w:tab w:val="left" w:pos="567"/>
          <w:tab w:val="right" w:pos="9070"/>
        </w:tabs>
        <w:jc w:val="both"/>
        <w:rPr>
          <w:del w:id="562" w:author="AbbVie14" w:date="2025-05-09T10:28:00Z"/>
          <w:i/>
          <w:sz w:val="22"/>
          <w:szCs w:val="22"/>
        </w:rPr>
      </w:pPr>
      <w:del w:id="563" w:author="AbbVie14" w:date="2025-05-09T10:28:00Z">
        <w:r w:rsidRPr="00295E71">
          <w:rPr>
            <w:i/>
            <w:sz w:val="22"/>
            <w:szCs w:val="22"/>
          </w:rPr>
          <w:delText>Uveite pediatrica</w:delText>
        </w:r>
      </w:del>
    </w:p>
    <w:p w:rsidR="006224C2" w:rsidRPr="00295E71" w:rsidP="00222EA4" w14:paraId="4FA6C99D" w14:textId="77777777">
      <w:pPr>
        <w:keepNext/>
        <w:tabs>
          <w:tab w:val="left" w:pos="567"/>
          <w:tab w:val="right" w:pos="9070"/>
        </w:tabs>
        <w:jc w:val="both"/>
        <w:rPr>
          <w:del w:id="564" w:author="AbbVie14" w:date="2025-05-09T10:28:00Z"/>
          <w:sz w:val="22"/>
          <w:szCs w:val="22"/>
        </w:rPr>
      </w:pPr>
    </w:p>
    <w:p w:rsidR="00987BBA" w:rsidRPr="00295E71" w:rsidP="00222EA4" w14:paraId="4C916CD8" w14:textId="77777777">
      <w:pPr>
        <w:pStyle w:val="gtcbodytext"/>
        <w:keepNext/>
        <w:spacing w:before="0" w:after="0" w:line="240" w:lineRule="auto"/>
        <w:jc w:val="both"/>
        <w:rPr>
          <w:del w:id="565" w:author="AbbVie14" w:date="2025-05-09T10:28:00Z"/>
          <w:sz w:val="22"/>
          <w:szCs w:val="22"/>
          <w:lang w:val="it-IT"/>
        </w:rPr>
      </w:pPr>
      <w:del w:id="566" w:author="AbbVie14" w:date="2025-05-09T10:28:00Z">
        <w:r w:rsidRPr="00295E71">
          <w:rPr>
            <w:sz w:val="22"/>
            <w:szCs w:val="22"/>
            <w:lang w:val="it-IT"/>
          </w:rPr>
          <w:delText xml:space="preserve">La dose raccomandata di Humira </w:delText>
        </w:r>
      </w:del>
      <w:del w:id="567" w:author="AbbVie14" w:date="2025-05-09T10:28:00Z">
        <w:r w:rsidRPr="00295E71" w:rsidR="002D3D9D">
          <w:rPr>
            <w:sz w:val="22"/>
            <w:szCs w:val="22"/>
            <w:lang w:val="it-IT"/>
          </w:rPr>
          <w:delText>nei</w:delText>
        </w:r>
      </w:del>
      <w:del w:id="568" w:author="AbbVie14" w:date="2025-05-09T10:28:00Z">
        <w:r w:rsidRPr="00295E71">
          <w:rPr>
            <w:sz w:val="22"/>
            <w:szCs w:val="22"/>
            <w:lang w:val="it-IT"/>
          </w:rPr>
          <w:delText xml:space="preserve"> pazienti pediatrici con uveite da 2 anni di età è basata sul peso corporeo (Tabella </w:delText>
        </w:r>
      </w:del>
      <w:del w:id="569" w:author="AbbVie14" w:date="2025-05-09T10:28:00Z">
        <w:r w:rsidR="000203FD">
          <w:rPr>
            <w:sz w:val="22"/>
            <w:szCs w:val="22"/>
            <w:lang w:val="it-IT"/>
          </w:rPr>
          <w:delText>6</w:delText>
        </w:r>
      </w:del>
      <w:del w:id="570" w:author="AbbVie14" w:date="2025-05-09T10:28:00Z">
        <w:r w:rsidRPr="00295E71">
          <w:rPr>
            <w:sz w:val="22"/>
            <w:szCs w:val="22"/>
            <w:lang w:val="it-IT"/>
          </w:rPr>
          <w:delText xml:space="preserve">). </w:delText>
        </w:r>
      </w:del>
      <w:del w:id="571" w:author="AbbVie14" w:date="2025-05-09T10:28:00Z">
        <w:r w:rsidRPr="00295E71" w:rsidR="00074E3E">
          <w:rPr>
            <w:sz w:val="22"/>
            <w:szCs w:val="22"/>
            <w:lang w:val="it-IT"/>
          </w:rPr>
          <w:delText xml:space="preserve">Humira è somministrato attraverso iniezione sottocutanea. </w:delText>
        </w:r>
      </w:del>
    </w:p>
    <w:p w:rsidR="00987BBA" w:rsidRPr="00295E71" w14:paraId="02096806" w14:textId="77777777">
      <w:pPr>
        <w:tabs>
          <w:tab w:val="left" w:pos="567"/>
          <w:tab w:val="right" w:pos="9070"/>
        </w:tabs>
        <w:jc w:val="both"/>
        <w:rPr>
          <w:del w:id="572" w:author="AbbVie14" w:date="2025-05-09T10:28:00Z"/>
          <w:sz w:val="22"/>
          <w:szCs w:val="22"/>
        </w:rPr>
      </w:pPr>
    </w:p>
    <w:p w:rsidR="006224C2" w:rsidRPr="00295E71" w14:paraId="3DE86195" w14:textId="77777777">
      <w:pPr>
        <w:tabs>
          <w:tab w:val="left" w:pos="567"/>
          <w:tab w:val="right" w:pos="9070"/>
        </w:tabs>
        <w:jc w:val="both"/>
        <w:rPr>
          <w:del w:id="573" w:author="AbbVie14" w:date="2025-05-09T10:28:00Z"/>
          <w:sz w:val="22"/>
          <w:szCs w:val="22"/>
        </w:rPr>
      </w:pPr>
      <w:del w:id="574" w:author="AbbVie14" w:date="2025-05-09T10:28:00Z">
        <w:r w:rsidRPr="00295E71">
          <w:rPr>
            <w:sz w:val="22"/>
            <w:szCs w:val="22"/>
          </w:rPr>
          <w:delText xml:space="preserve">Nell’uveite pediatrica, non </w:delText>
        </w:r>
      </w:del>
      <w:del w:id="575" w:author="AbbVie14" w:date="2025-05-09T10:28:00Z">
        <w:r w:rsidRPr="00295E71" w:rsidR="00E5212B">
          <w:rPr>
            <w:sz w:val="22"/>
            <w:szCs w:val="22"/>
          </w:rPr>
          <w:delText>c’è</w:delText>
        </w:r>
      </w:del>
      <w:del w:id="576" w:author="AbbVie14" w:date="2025-05-09T10:28:00Z">
        <w:r w:rsidRPr="00295E71">
          <w:rPr>
            <w:sz w:val="22"/>
            <w:szCs w:val="22"/>
          </w:rPr>
          <w:delText xml:space="preserve"> esperienz</w:delText>
        </w:r>
      </w:del>
      <w:del w:id="577" w:author="AbbVie14" w:date="2025-05-09T10:28:00Z">
        <w:r w:rsidRPr="00295E71" w:rsidR="00E5212B">
          <w:rPr>
            <w:sz w:val="22"/>
            <w:szCs w:val="22"/>
          </w:rPr>
          <w:delText>a</w:delText>
        </w:r>
      </w:del>
      <w:del w:id="578" w:author="AbbVie14" w:date="2025-05-09T10:28:00Z">
        <w:r w:rsidRPr="00295E71">
          <w:rPr>
            <w:sz w:val="22"/>
            <w:szCs w:val="22"/>
          </w:rPr>
          <w:delText xml:space="preserve"> </w:delText>
        </w:r>
      </w:del>
      <w:del w:id="579" w:author="AbbVie14" w:date="2025-05-09T10:28:00Z">
        <w:r w:rsidRPr="00295E71" w:rsidR="00E5212B">
          <w:rPr>
            <w:sz w:val="22"/>
            <w:szCs w:val="22"/>
          </w:rPr>
          <w:delText>nel</w:delText>
        </w:r>
      </w:del>
      <w:del w:id="580" w:author="AbbVie14" w:date="2025-05-09T10:28:00Z">
        <w:r w:rsidRPr="00295E71">
          <w:rPr>
            <w:sz w:val="22"/>
            <w:szCs w:val="22"/>
          </w:rPr>
          <w:delText xml:space="preserve"> trattamento con Humira senza terapia concomitante con metotressato.</w:delText>
        </w:r>
      </w:del>
    </w:p>
    <w:p w:rsidR="006224C2" w:rsidRPr="00295E71" w14:paraId="16F45BD6" w14:textId="77777777">
      <w:pPr>
        <w:tabs>
          <w:tab w:val="left" w:pos="567"/>
          <w:tab w:val="right" w:pos="9070"/>
        </w:tabs>
        <w:jc w:val="both"/>
        <w:rPr>
          <w:del w:id="581" w:author="AbbVie14" w:date="2025-05-09T10:28:00Z"/>
          <w:sz w:val="22"/>
          <w:szCs w:val="22"/>
        </w:rPr>
      </w:pPr>
    </w:p>
    <w:p w:rsidR="00987BBA" w:rsidRPr="00295E71" w:rsidP="00C04163" w14:paraId="3773EEE5" w14:textId="77777777">
      <w:pPr>
        <w:keepNext/>
        <w:tabs>
          <w:tab w:val="left" w:pos="562"/>
        </w:tabs>
        <w:jc w:val="center"/>
        <w:rPr>
          <w:del w:id="582" w:author="AbbVie14" w:date="2025-05-09T10:28:00Z"/>
          <w:b/>
          <w:color w:val="000000"/>
          <w:sz w:val="22"/>
          <w:szCs w:val="22"/>
        </w:rPr>
      </w:pPr>
      <w:del w:id="583" w:author="AbbVie14" w:date="2025-05-09T10:28:00Z">
        <w:r w:rsidRPr="00295E71">
          <w:rPr>
            <w:b/>
            <w:color w:val="000000"/>
            <w:sz w:val="22"/>
            <w:szCs w:val="22"/>
          </w:rPr>
          <w:delText xml:space="preserve">Tabella </w:delText>
        </w:r>
      </w:del>
      <w:del w:id="584" w:author="AbbVie14" w:date="2025-05-09T10:28:00Z">
        <w:r w:rsidR="000203FD">
          <w:rPr>
            <w:b/>
            <w:color w:val="000000"/>
            <w:sz w:val="22"/>
            <w:szCs w:val="22"/>
          </w:rPr>
          <w:delText>6</w:delText>
        </w:r>
      </w:del>
      <w:del w:id="585" w:author="AbbVie14" w:date="2025-05-09T10:28:00Z">
        <w:r w:rsidRPr="00295E71">
          <w:rPr>
            <w:b/>
            <w:color w:val="000000"/>
            <w:sz w:val="22"/>
            <w:szCs w:val="22"/>
          </w:rPr>
          <w:delText>. Dose di Humira per Pazienti Pediatrici con Uveite</w:delText>
        </w:r>
      </w:del>
    </w:p>
    <w:p w:rsidR="00987BBA" w:rsidRPr="00295E71" w:rsidP="00C04163" w14:paraId="75A08BF9" w14:textId="77777777">
      <w:pPr>
        <w:keepNext/>
        <w:tabs>
          <w:tab w:val="left" w:pos="562"/>
        </w:tabs>
        <w:jc w:val="both"/>
        <w:rPr>
          <w:del w:id="586" w:author="AbbVie14" w:date="2025-05-09T10:28:00Z"/>
          <w:color w:val="000000"/>
          <w:sz w:val="22"/>
          <w:szCs w:val="22"/>
        </w:rPr>
      </w:pPr>
    </w:p>
    <w:tbl>
      <w:tblPr>
        <w:tblW w:w="6795" w:type="dxa"/>
        <w:jc w:val="center"/>
        <w:tblLayout w:type="fixed"/>
        <w:tblLook w:val="0000"/>
      </w:tblPr>
      <w:tblGrid>
        <w:gridCol w:w="3401"/>
        <w:gridCol w:w="3394"/>
      </w:tblGrid>
      <w:tr w14:paraId="1AF577A7" w14:textId="77777777" w:rsidTr="00AC3426">
        <w:tblPrEx>
          <w:tblW w:w="6795" w:type="dxa"/>
          <w:tblLayout w:type="fixed"/>
          <w:tblLook w:val="0000"/>
        </w:tblPrEx>
        <w:trPr>
          <w:tblHeader/>
          <w:del w:id="587" w:author="AbbVie14" w:date="2025-05-09T10:28:00Z"/>
        </w:trPr>
        <w:tc>
          <w:tcPr>
            <w:tcW w:w="3401" w:type="dxa"/>
            <w:tcBorders>
              <w:top w:val="single" w:sz="4" w:space="0" w:color="auto"/>
              <w:bottom w:val="single" w:sz="4" w:space="0" w:color="auto"/>
            </w:tcBorders>
          </w:tcPr>
          <w:p w:rsidR="00987BBA" w:rsidRPr="00295E71" w:rsidP="00AC3426" w14:paraId="2B26C5EC" w14:textId="77777777">
            <w:pPr>
              <w:tabs>
                <w:tab w:val="left" w:pos="567"/>
              </w:tabs>
              <w:jc w:val="center"/>
              <w:rPr>
                <w:del w:id="588" w:author="AbbVie14" w:date="2025-05-09T10:28:00Z"/>
                <w:b/>
                <w:color w:val="000000"/>
                <w:sz w:val="22"/>
                <w:szCs w:val="22"/>
              </w:rPr>
            </w:pPr>
            <w:del w:id="589" w:author="AbbVie14" w:date="2025-05-09T10:28:00Z">
              <w:r w:rsidRPr="00295E71">
                <w:rPr>
                  <w:b/>
                  <w:color w:val="000000"/>
                  <w:sz w:val="22"/>
                  <w:szCs w:val="22"/>
                </w:rPr>
                <w:delText>Peso del Paziente</w:delText>
              </w:r>
            </w:del>
          </w:p>
        </w:tc>
        <w:tc>
          <w:tcPr>
            <w:tcW w:w="3394" w:type="dxa"/>
            <w:tcBorders>
              <w:top w:val="single" w:sz="4" w:space="0" w:color="auto"/>
              <w:bottom w:val="single" w:sz="4" w:space="0" w:color="auto"/>
            </w:tcBorders>
          </w:tcPr>
          <w:p w:rsidR="00987BBA" w:rsidRPr="00295E71" w:rsidP="00AC3426" w14:paraId="0983A8F5" w14:textId="77777777">
            <w:pPr>
              <w:tabs>
                <w:tab w:val="left" w:pos="567"/>
              </w:tabs>
              <w:jc w:val="center"/>
              <w:rPr>
                <w:del w:id="590" w:author="AbbVie14" w:date="2025-05-09T10:28:00Z"/>
                <w:b/>
                <w:color w:val="000000"/>
                <w:sz w:val="22"/>
                <w:szCs w:val="22"/>
              </w:rPr>
            </w:pPr>
            <w:del w:id="591" w:author="AbbVie14" w:date="2025-05-09T10:28:00Z">
              <w:r w:rsidRPr="00295E71">
                <w:rPr>
                  <w:b/>
                  <w:color w:val="000000"/>
                  <w:sz w:val="22"/>
                  <w:szCs w:val="22"/>
                </w:rPr>
                <w:delText>Schema</w:delText>
              </w:r>
            </w:del>
            <w:del w:id="592" w:author="AbbVie14" w:date="2025-05-09T10:28:00Z">
              <w:r w:rsidRPr="00295E71" w:rsidR="002D3D9D">
                <w:rPr>
                  <w:b/>
                  <w:color w:val="000000"/>
                  <w:sz w:val="22"/>
                  <w:szCs w:val="22"/>
                </w:rPr>
                <w:delText xml:space="preserve"> P</w:delText>
              </w:r>
            </w:del>
            <w:del w:id="593" w:author="AbbVie14" w:date="2025-05-09T10:28:00Z">
              <w:r w:rsidRPr="00295E71">
                <w:rPr>
                  <w:b/>
                  <w:color w:val="000000"/>
                  <w:sz w:val="22"/>
                  <w:szCs w:val="22"/>
                </w:rPr>
                <w:delText>osologico</w:delText>
              </w:r>
            </w:del>
          </w:p>
        </w:tc>
      </w:tr>
      <w:tr w14:paraId="215B2DFF" w14:textId="77777777" w:rsidTr="00AC3426">
        <w:tblPrEx>
          <w:tblW w:w="6795" w:type="dxa"/>
          <w:tblLayout w:type="fixed"/>
          <w:tblLook w:val="0000"/>
        </w:tblPrEx>
        <w:trPr>
          <w:tblHeader/>
          <w:del w:id="594" w:author="AbbVie14" w:date="2025-05-09T10:28:00Z"/>
        </w:trPr>
        <w:tc>
          <w:tcPr>
            <w:tcW w:w="3401" w:type="dxa"/>
            <w:tcBorders>
              <w:top w:val="single" w:sz="4" w:space="0" w:color="auto"/>
              <w:bottom w:val="single" w:sz="4" w:space="0" w:color="auto"/>
            </w:tcBorders>
          </w:tcPr>
          <w:p w:rsidR="00987BBA" w:rsidRPr="00295E71" w:rsidP="00AC3426" w14:paraId="55FC016E" w14:textId="77777777">
            <w:pPr>
              <w:tabs>
                <w:tab w:val="left" w:pos="567"/>
              </w:tabs>
              <w:jc w:val="center"/>
              <w:rPr>
                <w:del w:id="595" w:author="AbbVie14" w:date="2025-05-09T10:28:00Z"/>
                <w:b/>
                <w:color w:val="000000"/>
                <w:sz w:val="22"/>
                <w:szCs w:val="22"/>
              </w:rPr>
            </w:pPr>
            <w:del w:id="596" w:author="AbbVie14" w:date="2025-05-09T10:28:00Z">
              <w:r w:rsidRPr="00295E71">
                <w:rPr>
                  <w:color w:val="000000"/>
                  <w:sz w:val="22"/>
                  <w:szCs w:val="22"/>
                </w:rPr>
                <w:delText>&lt; 30 kg</w:delText>
              </w:r>
            </w:del>
          </w:p>
        </w:tc>
        <w:tc>
          <w:tcPr>
            <w:tcW w:w="3394" w:type="dxa"/>
            <w:tcBorders>
              <w:top w:val="single" w:sz="4" w:space="0" w:color="auto"/>
              <w:bottom w:val="single" w:sz="4" w:space="0" w:color="auto"/>
            </w:tcBorders>
          </w:tcPr>
          <w:p w:rsidR="00987BBA" w:rsidRPr="00295E71" w:rsidP="002D3D9D" w14:paraId="3FCFC8E7" w14:textId="77777777">
            <w:pPr>
              <w:tabs>
                <w:tab w:val="left" w:pos="567"/>
              </w:tabs>
              <w:jc w:val="center"/>
              <w:rPr>
                <w:del w:id="597" w:author="AbbVie14" w:date="2025-05-09T10:28:00Z"/>
                <w:b/>
                <w:color w:val="000000"/>
                <w:sz w:val="22"/>
                <w:szCs w:val="22"/>
              </w:rPr>
            </w:pPr>
            <w:del w:id="598" w:author="AbbVie14" w:date="2025-05-09T10:28:00Z">
              <w:r w:rsidRPr="00295E71">
                <w:rPr>
                  <w:color w:val="000000"/>
                  <w:sz w:val="22"/>
                  <w:szCs w:val="22"/>
                </w:rPr>
                <w:delText xml:space="preserve">20 mg a settimane alterne in </w:delText>
              </w:r>
            </w:del>
            <w:del w:id="599" w:author="AbbVie14" w:date="2025-05-09T10:28:00Z">
              <w:r w:rsidRPr="00295E71" w:rsidR="002D3D9D">
                <w:rPr>
                  <w:color w:val="000000"/>
                  <w:sz w:val="22"/>
                  <w:szCs w:val="22"/>
                </w:rPr>
                <w:delText>associazione</w:delText>
              </w:r>
            </w:del>
            <w:del w:id="600" w:author="AbbVie14" w:date="2025-05-09T10:28:00Z">
              <w:r w:rsidRPr="00295E71">
                <w:rPr>
                  <w:color w:val="000000"/>
                  <w:sz w:val="22"/>
                  <w:szCs w:val="22"/>
                </w:rPr>
                <w:delText xml:space="preserve"> con metotressato</w:delText>
              </w:r>
            </w:del>
          </w:p>
        </w:tc>
      </w:tr>
      <w:tr w14:paraId="654DF0EA" w14:textId="77777777" w:rsidTr="00AC3426">
        <w:tblPrEx>
          <w:tblW w:w="6795" w:type="dxa"/>
          <w:tblLayout w:type="fixed"/>
          <w:tblLook w:val="0000"/>
        </w:tblPrEx>
        <w:trPr>
          <w:tblHeader/>
          <w:del w:id="601" w:author="AbbVie14" w:date="2025-05-09T10:28:00Z"/>
        </w:trPr>
        <w:tc>
          <w:tcPr>
            <w:tcW w:w="3401" w:type="dxa"/>
            <w:tcBorders>
              <w:top w:val="single" w:sz="4" w:space="0" w:color="auto"/>
              <w:bottom w:val="single" w:sz="4" w:space="0" w:color="auto"/>
            </w:tcBorders>
          </w:tcPr>
          <w:p w:rsidR="00987BBA" w:rsidRPr="00295E71" w:rsidP="00AC3426" w14:paraId="42004E94" w14:textId="77777777">
            <w:pPr>
              <w:tabs>
                <w:tab w:val="left" w:pos="567"/>
              </w:tabs>
              <w:jc w:val="center"/>
              <w:rPr>
                <w:del w:id="602" w:author="AbbVie14" w:date="2025-05-09T10:28:00Z"/>
                <w:b/>
                <w:color w:val="000000"/>
                <w:sz w:val="22"/>
                <w:szCs w:val="22"/>
              </w:rPr>
            </w:pPr>
            <w:del w:id="603" w:author="AbbVie14" w:date="2025-05-09T10:28:00Z">
              <w:r w:rsidRPr="00295E71">
                <w:rPr>
                  <w:color w:val="000000"/>
                  <w:sz w:val="22"/>
                  <w:szCs w:val="22"/>
                </w:rPr>
                <w:delText>≥ 30 kg</w:delText>
              </w:r>
            </w:del>
          </w:p>
        </w:tc>
        <w:tc>
          <w:tcPr>
            <w:tcW w:w="3394" w:type="dxa"/>
            <w:tcBorders>
              <w:top w:val="single" w:sz="4" w:space="0" w:color="auto"/>
              <w:bottom w:val="single" w:sz="4" w:space="0" w:color="auto"/>
            </w:tcBorders>
          </w:tcPr>
          <w:p w:rsidR="00987BBA" w:rsidRPr="00295E71" w:rsidP="002D3D9D" w14:paraId="20D34D6C" w14:textId="77777777">
            <w:pPr>
              <w:tabs>
                <w:tab w:val="left" w:pos="567"/>
              </w:tabs>
              <w:jc w:val="center"/>
              <w:rPr>
                <w:del w:id="604" w:author="AbbVie14" w:date="2025-05-09T10:28:00Z"/>
                <w:b/>
                <w:color w:val="000000"/>
                <w:sz w:val="22"/>
                <w:szCs w:val="22"/>
              </w:rPr>
            </w:pPr>
            <w:del w:id="605" w:author="AbbVie14" w:date="2025-05-09T10:28:00Z">
              <w:r w:rsidRPr="00295E71">
                <w:rPr>
                  <w:color w:val="000000"/>
                  <w:sz w:val="22"/>
                  <w:szCs w:val="22"/>
                </w:rPr>
                <w:delText xml:space="preserve">40 mg a settimane alterne in </w:delText>
              </w:r>
            </w:del>
            <w:del w:id="606" w:author="AbbVie14" w:date="2025-05-09T10:28:00Z">
              <w:r w:rsidRPr="00295E71" w:rsidR="002D3D9D">
                <w:rPr>
                  <w:color w:val="000000"/>
                  <w:sz w:val="22"/>
                  <w:szCs w:val="22"/>
                </w:rPr>
                <w:delText>associazione</w:delText>
              </w:r>
            </w:del>
            <w:del w:id="607" w:author="AbbVie14" w:date="2025-05-09T10:28:00Z">
              <w:r w:rsidRPr="00295E71">
                <w:rPr>
                  <w:color w:val="000000"/>
                  <w:sz w:val="22"/>
                  <w:szCs w:val="22"/>
                </w:rPr>
                <w:delText xml:space="preserve"> con metotressato</w:delText>
              </w:r>
            </w:del>
          </w:p>
        </w:tc>
      </w:tr>
    </w:tbl>
    <w:p w:rsidR="00987BBA" w:rsidRPr="00295E71" w14:paraId="7A202230" w14:textId="77777777">
      <w:pPr>
        <w:tabs>
          <w:tab w:val="left" w:pos="567"/>
          <w:tab w:val="right" w:pos="9070"/>
        </w:tabs>
        <w:jc w:val="both"/>
        <w:rPr>
          <w:del w:id="608" w:author="AbbVie14" w:date="2025-05-09T10:28:00Z"/>
          <w:sz w:val="22"/>
          <w:szCs w:val="22"/>
        </w:rPr>
      </w:pPr>
    </w:p>
    <w:p w:rsidR="006224C2" w:rsidRPr="00295E71" w:rsidP="00291BD8" w14:paraId="3DCC7BD5" w14:textId="77777777">
      <w:pPr>
        <w:keepNext/>
        <w:keepLines/>
        <w:tabs>
          <w:tab w:val="left" w:pos="567"/>
          <w:tab w:val="right" w:pos="9070"/>
        </w:tabs>
        <w:jc w:val="both"/>
        <w:rPr>
          <w:del w:id="609" w:author="AbbVie14" w:date="2025-05-09T10:28:00Z"/>
          <w:sz w:val="22"/>
          <w:szCs w:val="22"/>
        </w:rPr>
      </w:pPr>
      <w:del w:id="610" w:author="AbbVie14" w:date="2025-05-09T10:28:00Z">
        <w:r w:rsidRPr="00295E71">
          <w:rPr>
            <w:sz w:val="22"/>
            <w:szCs w:val="22"/>
          </w:rPr>
          <w:delText xml:space="preserve">Quando si inizia la terapia con Humira, è possibile somministrare una dose di carico da 40 mg </w:delText>
        </w:r>
      </w:del>
      <w:del w:id="611" w:author="AbbVie14" w:date="2025-05-09T10:28:00Z">
        <w:r w:rsidRPr="00295E71" w:rsidR="00987BBA">
          <w:rPr>
            <w:sz w:val="22"/>
            <w:szCs w:val="22"/>
          </w:rPr>
          <w:delText xml:space="preserve">per </w:delText>
        </w:r>
      </w:del>
      <w:del w:id="612" w:author="AbbVie14" w:date="2025-05-09T10:28:00Z">
        <w:r w:rsidRPr="00295E71" w:rsidR="002D3D9D">
          <w:rPr>
            <w:sz w:val="22"/>
            <w:szCs w:val="22"/>
          </w:rPr>
          <w:delText xml:space="preserve">i </w:delText>
        </w:r>
      </w:del>
      <w:del w:id="613" w:author="AbbVie14" w:date="2025-05-09T10:28:00Z">
        <w:r w:rsidRPr="00295E71" w:rsidR="00987BBA">
          <w:rPr>
            <w:sz w:val="22"/>
            <w:szCs w:val="22"/>
          </w:rPr>
          <w:delText xml:space="preserve">pazienti con peso &lt; 30 kg o 80 mg per </w:delText>
        </w:r>
      </w:del>
      <w:del w:id="614" w:author="AbbVie14" w:date="2025-05-09T10:28:00Z">
        <w:r w:rsidRPr="00295E71" w:rsidR="002D3D9D">
          <w:rPr>
            <w:sz w:val="22"/>
            <w:szCs w:val="22"/>
          </w:rPr>
          <w:delText xml:space="preserve">i </w:delText>
        </w:r>
      </w:del>
      <w:del w:id="615" w:author="AbbVie14" w:date="2025-05-09T10:28:00Z">
        <w:r w:rsidRPr="00295E71" w:rsidR="00987BBA">
          <w:rPr>
            <w:sz w:val="22"/>
            <w:szCs w:val="22"/>
          </w:rPr>
          <w:delText xml:space="preserve">pazienti con peso ≥ 30 kg </w:delText>
        </w:r>
      </w:del>
      <w:del w:id="616" w:author="AbbVie14" w:date="2025-05-09T10:28:00Z">
        <w:r w:rsidRPr="00295E71">
          <w:rPr>
            <w:sz w:val="22"/>
            <w:szCs w:val="22"/>
          </w:rPr>
          <w:delText>una settimana prima dell’inizio della terapia di mantenimento. Non sono disponibili dati clinici sull’uso della dose di carico di Humira nei bambini di età inferiore ai 6 anni (vedere paragrafo 5.2).</w:delText>
        </w:r>
      </w:del>
    </w:p>
    <w:p w:rsidR="006224C2" w:rsidRPr="00295E71" w14:paraId="68B75F89" w14:textId="77777777">
      <w:pPr>
        <w:pStyle w:val="gtcbodytext"/>
        <w:spacing w:before="0" w:after="0" w:line="240" w:lineRule="auto"/>
        <w:jc w:val="both"/>
        <w:rPr>
          <w:del w:id="617" w:author="AbbVie14" w:date="2025-05-09T10:28:00Z"/>
          <w:sz w:val="22"/>
          <w:szCs w:val="22"/>
          <w:lang w:val="it-IT"/>
        </w:rPr>
      </w:pPr>
      <w:del w:id="618" w:author="AbbVie14" w:date="2025-05-09T10:28:00Z">
        <w:r w:rsidRPr="00295E71">
          <w:rPr>
            <w:sz w:val="22"/>
            <w:szCs w:val="22"/>
            <w:lang w:val="it-IT"/>
          </w:rPr>
          <w:delText>Non c’è un uso rilevante di Humira nei bambini di età inferiore a 2 anni per questa indicazione.</w:delText>
        </w:r>
      </w:del>
    </w:p>
    <w:p w:rsidR="006224C2" w:rsidRPr="00295E71" w14:paraId="5DD8FDB5" w14:textId="77777777">
      <w:pPr>
        <w:pStyle w:val="gtcbodytext"/>
        <w:spacing w:before="0" w:after="0" w:line="240" w:lineRule="auto"/>
        <w:jc w:val="both"/>
        <w:rPr>
          <w:del w:id="619" w:author="AbbVie14" w:date="2025-05-09T10:28:00Z"/>
          <w:sz w:val="22"/>
          <w:szCs w:val="22"/>
          <w:lang w:val="it-IT"/>
        </w:rPr>
      </w:pPr>
    </w:p>
    <w:p w:rsidR="006224C2" w:rsidRPr="00295E71" w14:paraId="6889FB04" w14:textId="77777777">
      <w:pPr>
        <w:tabs>
          <w:tab w:val="left" w:pos="567"/>
          <w:tab w:val="right" w:pos="9070"/>
        </w:tabs>
        <w:jc w:val="both"/>
        <w:rPr>
          <w:del w:id="620" w:author="AbbVie14" w:date="2025-05-09T10:28:00Z"/>
          <w:sz w:val="22"/>
          <w:szCs w:val="22"/>
        </w:rPr>
      </w:pPr>
      <w:del w:id="621" w:author="AbbVie14" w:date="2025-05-09T10:28:00Z">
        <w:r w:rsidRPr="00295E71">
          <w:rPr>
            <w:sz w:val="22"/>
            <w:szCs w:val="22"/>
          </w:rPr>
          <w:delText>Si raccomanda che i benefici e i rischi del trattamento continuato a lungo termine siano valutati su base annua (vedere paragrafo 5.1).</w:delText>
        </w:r>
      </w:del>
    </w:p>
    <w:p w:rsidR="000227BD" w:rsidRPr="00295E71" w14:paraId="106FC8BC" w14:textId="77777777">
      <w:pPr>
        <w:tabs>
          <w:tab w:val="left" w:pos="567"/>
          <w:tab w:val="right" w:pos="9070"/>
        </w:tabs>
        <w:jc w:val="both"/>
        <w:rPr>
          <w:del w:id="622" w:author="AbbVie14" w:date="2025-05-09T10:28:00Z"/>
          <w:sz w:val="22"/>
          <w:szCs w:val="22"/>
        </w:rPr>
      </w:pPr>
    </w:p>
    <w:p w:rsidR="000227BD" w:rsidRPr="00295E71" w14:paraId="2B748693" w14:textId="77777777">
      <w:pPr>
        <w:tabs>
          <w:tab w:val="left" w:pos="567"/>
          <w:tab w:val="right" w:pos="9070"/>
        </w:tabs>
        <w:jc w:val="both"/>
        <w:rPr>
          <w:del w:id="623" w:author="AbbVie14" w:date="2025-05-09T10:28:00Z"/>
          <w:sz w:val="22"/>
          <w:szCs w:val="22"/>
        </w:rPr>
      </w:pPr>
      <w:del w:id="624" w:author="AbbVie14" w:date="2025-05-09T10:28:00Z">
        <w:r w:rsidRPr="00295E71">
          <w:rPr>
            <w:sz w:val="22"/>
            <w:szCs w:val="22"/>
          </w:rPr>
          <w:delText xml:space="preserve">Humira è somministrato attraverso iniezione sottocutanea. </w:delText>
        </w:r>
      </w:del>
      <w:del w:id="625" w:author="AbbVie14" w:date="2025-05-09T10:28:00Z">
        <w:r w:rsidRPr="00295E71">
          <w:rPr>
            <w:color w:val="000000"/>
            <w:sz w:val="22"/>
            <w:szCs w:val="22"/>
          </w:rPr>
          <w:delText>Humira può essere disponibile in altre concentrazioni e/o presentazioni a seconda delle necessità individuali di trattamento.</w:delText>
        </w:r>
      </w:del>
    </w:p>
    <w:p w:rsidR="006224C2" w:rsidRPr="00295E71" w14:paraId="305B8AAC" w14:textId="77777777">
      <w:pPr>
        <w:tabs>
          <w:tab w:val="left" w:pos="567"/>
        </w:tabs>
        <w:jc w:val="both"/>
        <w:rPr>
          <w:del w:id="626" w:author="AbbVie14" w:date="2025-05-09T10:28:00Z"/>
          <w:sz w:val="22"/>
          <w:szCs w:val="22"/>
        </w:rPr>
      </w:pPr>
    </w:p>
    <w:p w:rsidR="006224C2" w:rsidRPr="0002593D" w14:paraId="42E3B716" w14:textId="77777777">
      <w:pPr>
        <w:pStyle w:val="Heading3"/>
        <w:keepNext w:val="0"/>
        <w:tabs>
          <w:tab w:val="left" w:pos="567"/>
        </w:tabs>
        <w:rPr>
          <w:del w:id="627" w:author="AbbVie14" w:date="2025-05-09T10:28:00Z"/>
          <w:i/>
        </w:rPr>
      </w:pPr>
      <w:del w:id="628" w:author="AbbVie14" w:date="2025-05-09T10:28:00Z">
        <w:r w:rsidRPr="0002593D">
          <w:rPr>
            <w:i/>
          </w:rPr>
          <w:delText>Insufficienza renale e/o epatica</w:delText>
        </w:r>
      </w:del>
    </w:p>
    <w:p w:rsidR="006224C2" w:rsidRPr="00295E71" w14:paraId="34F38F39" w14:textId="77777777">
      <w:pPr>
        <w:jc w:val="both"/>
        <w:rPr>
          <w:del w:id="629" w:author="AbbVie14" w:date="2025-05-09T10:28:00Z"/>
          <w:sz w:val="22"/>
          <w:szCs w:val="22"/>
        </w:rPr>
      </w:pPr>
    </w:p>
    <w:p w:rsidR="006224C2" w:rsidRPr="00295E71" w14:paraId="7ECA5B70" w14:textId="77777777">
      <w:pPr>
        <w:tabs>
          <w:tab w:val="left" w:pos="567"/>
        </w:tabs>
        <w:jc w:val="both"/>
        <w:rPr>
          <w:del w:id="630" w:author="AbbVie14" w:date="2025-05-09T10:28:00Z"/>
          <w:sz w:val="22"/>
          <w:szCs w:val="22"/>
        </w:rPr>
      </w:pPr>
      <w:del w:id="631" w:author="AbbVie14" w:date="2025-05-09T10:28:00Z">
        <w:r w:rsidRPr="00295E71">
          <w:rPr>
            <w:sz w:val="22"/>
            <w:szCs w:val="22"/>
          </w:rPr>
          <w:delText>Humira non è stato studiato in quest</w:delText>
        </w:r>
      </w:del>
      <w:del w:id="632" w:author="AbbVie14" w:date="2025-05-09T10:28:00Z">
        <w:r w:rsidRPr="00295E71" w:rsidR="002D3D9D">
          <w:rPr>
            <w:sz w:val="22"/>
            <w:szCs w:val="22"/>
          </w:rPr>
          <w:delText>e popolazioni di pazienti</w:delText>
        </w:r>
      </w:del>
      <w:del w:id="633" w:author="AbbVie14" w:date="2025-05-09T10:28:00Z">
        <w:r w:rsidRPr="00295E71">
          <w:rPr>
            <w:sz w:val="22"/>
            <w:szCs w:val="22"/>
          </w:rPr>
          <w:delText>. Non possono essere fornite raccomandazioni posologiche.</w:delText>
        </w:r>
      </w:del>
    </w:p>
    <w:p w:rsidR="006224C2" w:rsidRPr="00295E71" w14:paraId="3422E0CF" w14:textId="77777777">
      <w:pPr>
        <w:tabs>
          <w:tab w:val="left" w:pos="567"/>
        </w:tabs>
        <w:jc w:val="both"/>
        <w:rPr>
          <w:del w:id="634" w:author="AbbVie14" w:date="2025-05-09T10:28:00Z"/>
          <w:sz w:val="22"/>
          <w:szCs w:val="22"/>
        </w:rPr>
      </w:pPr>
    </w:p>
    <w:p w:rsidR="006224C2" w:rsidRPr="0002593D" w14:paraId="39172843" w14:textId="77777777">
      <w:pPr>
        <w:tabs>
          <w:tab w:val="left" w:pos="567"/>
        </w:tabs>
        <w:jc w:val="both"/>
        <w:rPr>
          <w:del w:id="635" w:author="AbbVie14" w:date="2025-05-09T10:28:00Z"/>
          <w:i/>
          <w:sz w:val="22"/>
          <w:szCs w:val="22"/>
          <w:u w:val="single"/>
        </w:rPr>
      </w:pPr>
      <w:del w:id="636" w:author="AbbVie14" w:date="2025-05-09T10:28:00Z">
        <w:r w:rsidRPr="0002593D">
          <w:rPr>
            <w:i/>
            <w:sz w:val="22"/>
            <w:szCs w:val="22"/>
            <w:u w:val="single"/>
          </w:rPr>
          <w:delText>Modo di somministrazione</w:delText>
        </w:r>
      </w:del>
    </w:p>
    <w:p w:rsidR="006224C2" w:rsidRPr="00295E71" w14:paraId="48705B9F" w14:textId="77777777">
      <w:pPr>
        <w:tabs>
          <w:tab w:val="left" w:pos="567"/>
        </w:tabs>
        <w:jc w:val="both"/>
        <w:rPr>
          <w:del w:id="637" w:author="AbbVie14" w:date="2025-05-09T10:28:00Z"/>
          <w:sz w:val="22"/>
          <w:szCs w:val="22"/>
        </w:rPr>
      </w:pPr>
    </w:p>
    <w:p w:rsidR="006224C2" w:rsidRPr="00295E71" w14:paraId="1977AEF7" w14:textId="77777777">
      <w:pPr>
        <w:tabs>
          <w:tab w:val="left" w:pos="567"/>
        </w:tabs>
        <w:jc w:val="both"/>
        <w:rPr>
          <w:del w:id="638" w:author="AbbVie14" w:date="2025-05-09T10:28:00Z"/>
          <w:sz w:val="22"/>
          <w:szCs w:val="22"/>
        </w:rPr>
      </w:pPr>
      <w:del w:id="639" w:author="AbbVie14" w:date="2025-05-09T10:28:00Z">
        <w:r w:rsidRPr="00295E71">
          <w:rPr>
            <w:sz w:val="22"/>
            <w:szCs w:val="22"/>
          </w:rPr>
          <w:delText>Humira è somministrato per iniezione sottocutanea. Istruzioni complete per l’uso sono fornite nel foglio illustrativo.</w:delText>
        </w:r>
      </w:del>
    </w:p>
    <w:p w:rsidR="006224C2" w:rsidRPr="00295E71" w14:paraId="1F800928" w14:textId="77777777">
      <w:pPr>
        <w:tabs>
          <w:tab w:val="left" w:pos="567"/>
        </w:tabs>
        <w:jc w:val="both"/>
        <w:rPr>
          <w:del w:id="640" w:author="AbbVie14" w:date="2025-05-09T10:28:00Z"/>
          <w:sz w:val="22"/>
          <w:szCs w:val="22"/>
        </w:rPr>
      </w:pPr>
    </w:p>
    <w:p w:rsidR="006224C2" w:rsidRPr="00295E71" w14:paraId="0DEC0BB1" w14:textId="77777777">
      <w:pPr>
        <w:tabs>
          <w:tab w:val="left" w:pos="567"/>
        </w:tabs>
        <w:jc w:val="both"/>
        <w:rPr>
          <w:del w:id="641" w:author="AbbVie14" w:date="2025-05-09T10:28:00Z"/>
          <w:sz w:val="22"/>
          <w:szCs w:val="22"/>
        </w:rPr>
      </w:pPr>
      <w:del w:id="642" w:author="AbbVie14" w:date="2025-05-09T10:28:00Z">
        <w:r w:rsidRPr="00295E71">
          <w:rPr>
            <w:sz w:val="22"/>
            <w:szCs w:val="22"/>
          </w:rPr>
          <w:delText>Humira è disponibile in altr</w:delText>
        </w:r>
      </w:del>
      <w:del w:id="643" w:author="AbbVie14" w:date="2025-05-09T10:28:00Z">
        <w:r w:rsidRPr="00295E71" w:rsidR="002D3D9D">
          <w:rPr>
            <w:sz w:val="22"/>
            <w:szCs w:val="22"/>
          </w:rPr>
          <w:delText>e</w:delText>
        </w:r>
      </w:del>
      <w:del w:id="644" w:author="AbbVie14" w:date="2025-05-09T10:28:00Z">
        <w:r w:rsidRPr="00295E71">
          <w:rPr>
            <w:sz w:val="22"/>
            <w:szCs w:val="22"/>
          </w:rPr>
          <w:delText xml:space="preserve"> </w:delText>
        </w:r>
      </w:del>
      <w:del w:id="645" w:author="AbbVie14" w:date="2025-05-09T10:28:00Z">
        <w:r w:rsidRPr="00295E71" w:rsidR="002D3D9D">
          <w:rPr>
            <w:sz w:val="22"/>
            <w:szCs w:val="22"/>
          </w:rPr>
          <w:delText>concentrazioni</w:delText>
        </w:r>
      </w:del>
      <w:del w:id="646" w:author="AbbVie14" w:date="2025-05-09T10:28:00Z">
        <w:r w:rsidRPr="00295E71">
          <w:rPr>
            <w:sz w:val="22"/>
            <w:szCs w:val="22"/>
          </w:rPr>
          <w:delText xml:space="preserve"> e presentazioni.</w:delText>
        </w:r>
      </w:del>
    </w:p>
    <w:p w:rsidR="006224C2" w:rsidRPr="00295E71" w14:paraId="338935B5" w14:textId="77777777">
      <w:pPr>
        <w:tabs>
          <w:tab w:val="left" w:pos="567"/>
        </w:tabs>
        <w:jc w:val="both"/>
        <w:rPr>
          <w:del w:id="647" w:author="AbbVie14" w:date="2025-05-09T10:28:00Z"/>
          <w:sz w:val="22"/>
          <w:szCs w:val="22"/>
        </w:rPr>
      </w:pPr>
    </w:p>
    <w:p w:rsidR="006224C2" w:rsidRPr="00295E71" w14:paraId="31DE2145" w14:textId="77777777">
      <w:pPr>
        <w:keepNext/>
        <w:keepLines/>
        <w:tabs>
          <w:tab w:val="left" w:pos="567"/>
          <w:tab w:val="left" w:pos="2708"/>
        </w:tabs>
        <w:ind w:left="567" w:hanging="567"/>
        <w:jc w:val="both"/>
        <w:rPr>
          <w:del w:id="648" w:author="AbbVie14" w:date="2025-05-09T10:28:00Z"/>
          <w:b/>
          <w:bCs/>
          <w:sz w:val="22"/>
          <w:szCs w:val="22"/>
        </w:rPr>
      </w:pPr>
      <w:del w:id="649" w:author="AbbVie14" w:date="2025-05-09T10:28:00Z">
        <w:r w:rsidRPr="00295E71">
          <w:rPr>
            <w:b/>
            <w:bCs/>
            <w:sz w:val="22"/>
            <w:szCs w:val="22"/>
          </w:rPr>
          <w:delText>4.3</w:delText>
        </w:r>
      </w:del>
      <w:del w:id="650" w:author="AbbVie14" w:date="2025-05-09T10:28:00Z">
        <w:r w:rsidRPr="00295E71">
          <w:rPr>
            <w:b/>
            <w:bCs/>
            <w:sz w:val="22"/>
            <w:szCs w:val="22"/>
          </w:rPr>
          <w:tab/>
          <w:delText>Controindicazioni</w:delText>
        </w:r>
      </w:del>
      <w:del w:id="651" w:author="AbbVie14" w:date="2025-05-09T10:28:00Z">
        <w:r w:rsidRPr="00295E71">
          <w:rPr>
            <w:b/>
            <w:bCs/>
            <w:sz w:val="22"/>
            <w:szCs w:val="22"/>
          </w:rPr>
          <w:tab/>
        </w:r>
      </w:del>
    </w:p>
    <w:p w:rsidR="006224C2" w:rsidRPr="00295E71" w14:paraId="31AF169B" w14:textId="77777777">
      <w:pPr>
        <w:pStyle w:val="EndnoteText"/>
        <w:keepNext/>
        <w:keepLines/>
        <w:jc w:val="both"/>
        <w:rPr>
          <w:del w:id="652" w:author="AbbVie14" w:date="2025-05-09T10:28:00Z"/>
          <w:lang w:val="it-IT"/>
        </w:rPr>
      </w:pPr>
    </w:p>
    <w:p w:rsidR="006224C2" w:rsidRPr="00295E71" w14:paraId="2502F72D" w14:textId="77777777">
      <w:pPr>
        <w:keepNext/>
        <w:keepLines/>
        <w:tabs>
          <w:tab w:val="left" w:pos="567"/>
        </w:tabs>
        <w:jc w:val="both"/>
        <w:rPr>
          <w:del w:id="653" w:author="AbbVie14" w:date="2025-05-09T10:28:00Z"/>
          <w:sz w:val="22"/>
          <w:szCs w:val="22"/>
        </w:rPr>
      </w:pPr>
      <w:del w:id="654" w:author="AbbVie14" w:date="2025-05-09T10:28:00Z">
        <w:r w:rsidRPr="00295E71">
          <w:rPr>
            <w:sz w:val="22"/>
            <w:szCs w:val="22"/>
          </w:rPr>
          <w:delText>Ipersensibilità al principio attivo o ad uno qualsiasi degli eccipienti elencati al paragrafo 6.1.</w:delText>
        </w:r>
      </w:del>
    </w:p>
    <w:p w:rsidR="006224C2" w:rsidRPr="00295E71" w14:paraId="7DD13C08" w14:textId="77777777">
      <w:pPr>
        <w:keepNext/>
        <w:keepLines/>
        <w:tabs>
          <w:tab w:val="left" w:pos="567"/>
        </w:tabs>
        <w:jc w:val="both"/>
        <w:rPr>
          <w:del w:id="655" w:author="AbbVie14" w:date="2025-05-09T10:28:00Z"/>
          <w:sz w:val="22"/>
          <w:szCs w:val="22"/>
        </w:rPr>
      </w:pPr>
    </w:p>
    <w:p w:rsidR="006224C2" w:rsidRPr="00295E71" w14:paraId="5EF8F212" w14:textId="77777777">
      <w:pPr>
        <w:tabs>
          <w:tab w:val="left" w:pos="567"/>
        </w:tabs>
        <w:jc w:val="both"/>
        <w:rPr>
          <w:del w:id="656" w:author="AbbVie14" w:date="2025-05-09T10:28:00Z"/>
          <w:sz w:val="22"/>
          <w:szCs w:val="22"/>
        </w:rPr>
      </w:pPr>
      <w:del w:id="657" w:author="AbbVie14" w:date="2025-05-09T10:28:00Z">
        <w:r w:rsidRPr="00295E71">
          <w:rPr>
            <w:sz w:val="22"/>
            <w:szCs w:val="22"/>
          </w:rPr>
          <w:delText>Tubercolosi attiva o altre gravi infezioni come sepsi e infezioni opportunistiche (vedere paragrafo 4.4).</w:delText>
        </w:r>
      </w:del>
    </w:p>
    <w:p w:rsidR="006224C2" w:rsidRPr="00295E71" w14:paraId="0F6B7D6D" w14:textId="77777777">
      <w:pPr>
        <w:tabs>
          <w:tab w:val="left" w:pos="567"/>
        </w:tabs>
        <w:jc w:val="both"/>
        <w:rPr>
          <w:del w:id="658" w:author="AbbVie14" w:date="2025-05-09T10:28:00Z"/>
          <w:sz w:val="22"/>
          <w:szCs w:val="22"/>
        </w:rPr>
      </w:pPr>
    </w:p>
    <w:p w:rsidR="006224C2" w:rsidRPr="00295E71" w14:paraId="29B76CC1" w14:textId="77777777">
      <w:pPr>
        <w:tabs>
          <w:tab w:val="left" w:pos="567"/>
        </w:tabs>
        <w:jc w:val="both"/>
        <w:rPr>
          <w:del w:id="659" w:author="AbbVie14" w:date="2025-05-09T10:28:00Z"/>
          <w:sz w:val="22"/>
          <w:szCs w:val="22"/>
        </w:rPr>
      </w:pPr>
      <w:del w:id="660" w:author="AbbVie14" w:date="2025-05-09T10:28:00Z">
        <w:r w:rsidRPr="00295E71">
          <w:rPr>
            <w:sz w:val="22"/>
            <w:szCs w:val="22"/>
          </w:rPr>
          <w:delText>Insufficienza cardiaca da moderata a grave (classe III/IV NYHA) (vedere paragrafo 4.4).</w:delText>
        </w:r>
      </w:del>
    </w:p>
    <w:p w:rsidR="006224C2" w:rsidRPr="00295E71" w14:paraId="7CD3FDC1" w14:textId="77777777">
      <w:pPr>
        <w:tabs>
          <w:tab w:val="left" w:pos="567"/>
          <w:tab w:val="left" w:pos="720"/>
        </w:tabs>
        <w:jc w:val="both"/>
        <w:rPr>
          <w:del w:id="661" w:author="AbbVie14" w:date="2025-05-09T10:28:00Z"/>
          <w:sz w:val="22"/>
          <w:szCs w:val="22"/>
        </w:rPr>
      </w:pPr>
    </w:p>
    <w:p w:rsidR="006224C2" w:rsidRPr="00295E71" w14:paraId="6BBAC68D" w14:textId="77777777">
      <w:pPr>
        <w:rPr>
          <w:del w:id="662" w:author="AbbVie14" w:date="2025-05-09T10:28:00Z"/>
          <w:b/>
          <w:bCs/>
          <w:sz w:val="22"/>
          <w:szCs w:val="22"/>
        </w:rPr>
      </w:pPr>
      <w:del w:id="663" w:author="AbbVie14" w:date="2025-05-09T10:28:00Z">
        <w:r w:rsidRPr="00295E71">
          <w:rPr>
            <w:b/>
            <w:bCs/>
            <w:sz w:val="22"/>
            <w:szCs w:val="22"/>
          </w:rPr>
          <w:delText>4.4</w:delText>
        </w:r>
      </w:del>
      <w:del w:id="664" w:author="AbbVie14" w:date="2025-05-09T10:28:00Z">
        <w:r w:rsidRPr="00295E71">
          <w:rPr>
            <w:b/>
            <w:bCs/>
            <w:sz w:val="22"/>
            <w:szCs w:val="22"/>
          </w:rPr>
          <w:tab/>
          <w:delText>Avvertenze speciali e precauzioni d’impiego</w:delText>
        </w:r>
      </w:del>
    </w:p>
    <w:p w:rsidR="00F71A2F" w:rsidRPr="00295E71" w14:paraId="77600FB9" w14:textId="77777777">
      <w:pPr>
        <w:rPr>
          <w:del w:id="665" w:author="AbbVie14" w:date="2025-05-09T10:28:00Z"/>
          <w:b/>
          <w:bCs/>
          <w:sz w:val="22"/>
          <w:szCs w:val="22"/>
        </w:rPr>
      </w:pPr>
    </w:p>
    <w:p w:rsidR="00F71A2F" w:rsidRPr="00295E71" w14:paraId="3B4819D4" w14:textId="77777777">
      <w:pPr>
        <w:rPr>
          <w:del w:id="666" w:author="AbbVie14" w:date="2025-05-09T10:28:00Z"/>
          <w:bCs/>
          <w:sz w:val="22"/>
          <w:szCs w:val="22"/>
          <w:u w:val="single"/>
        </w:rPr>
      </w:pPr>
      <w:del w:id="667" w:author="AbbVie14" w:date="2025-05-09T10:28:00Z">
        <w:r w:rsidRPr="00295E71">
          <w:rPr>
            <w:bCs/>
            <w:sz w:val="22"/>
            <w:szCs w:val="22"/>
            <w:u w:val="single"/>
          </w:rPr>
          <w:delText>Tracciabilità</w:delText>
        </w:r>
      </w:del>
    </w:p>
    <w:p w:rsidR="006224C2" w:rsidRPr="00295E71" w14:paraId="5813A9F7" w14:textId="77777777">
      <w:pPr>
        <w:pStyle w:val="EndnoteText"/>
        <w:jc w:val="both"/>
        <w:rPr>
          <w:del w:id="668" w:author="AbbVie14" w:date="2025-05-09T10:28:00Z"/>
          <w:lang w:val="it-IT" w:eastAsia="it-IT"/>
        </w:rPr>
      </w:pPr>
    </w:p>
    <w:p w:rsidR="006224C2" w:rsidRPr="00295E71" w14:paraId="056C3B4E" w14:textId="77777777">
      <w:pPr>
        <w:pStyle w:val="Heading4"/>
        <w:keepNext w:val="0"/>
        <w:autoSpaceDE w:val="0"/>
        <w:autoSpaceDN w:val="0"/>
        <w:adjustRightInd w:val="0"/>
        <w:rPr>
          <w:del w:id="669" w:author="AbbVie14" w:date="2025-05-09T10:28:00Z"/>
          <w:b w:val="0"/>
          <w:bCs w:val="0"/>
          <w:noProof w:val="0"/>
          <w:lang w:val="it-IT"/>
        </w:rPr>
      </w:pPr>
      <w:del w:id="670" w:author="AbbVie14" w:date="2025-05-09T10:28:00Z">
        <w:r w:rsidRPr="00295E71">
          <w:rPr>
            <w:b w:val="0"/>
            <w:bCs w:val="0"/>
            <w:noProof w:val="0"/>
            <w:lang w:val="it-IT"/>
          </w:rPr>
          <w:delText xml:space="preserve">Al fine di migliorare la tracciabilità dei medicinali biologici, il </w:delText>
        </w:r>
      </w:del>
      <w:del w:id="671" w:author="AbbVie14" w:date="2025-05-09T10:28:00Z">
        <w:r w:rsidRPr="00295E71" w:rsidR="00F71A2F">
          <w:rPr>
            <w:b w:val="0"/>
            <w:bCs w:val="0"/>
            <w:noProof w:val="0"/>
            <w:lang w:val="it-IT"/>
          </w:rPr>
          <w:delText xml:space="preserve">nome </w:delText>
        </w:r>
      </w:del>
      <w:del w:id="672" w:author="AbbVie14" w:date="2025-05-09T10:28:00Z">
        <w:r w:rsidRPr="00295E71">
          <w:rPr>
            <w:b w:val="0"/>
            <w:bCs w:val="0"/>
            <w:noProof w:val="0"/>
            <w:lang w:val="it-IT"/>
          </w:rPr>
          <w:delText>e</w:delText>
        </w:r>
      </w:del>
      <w:del w:id="673" w:author="AbbVie14" w:date="2025-05-09T10:28:00Z">
        <w:r w:rsidRPr="00295E71" w:rsidR="00075CD9">
          <w:rPr>
            <w:b w:val="0"/>
            <w:bCs w:val="0"/>
            <w:noProof w:val="0"/>
            <w:lang w:val="it-IT"/>
          </w:rPr>
          <w:delText>d</w:delText>
        </w:r>
      </w:del>
      <w:del w:id="674" w:author="AbbVie14" w:date="2025-05-09T10:28:00Z">
        <w:r w:rsidRPr="00295E71">
          <w:rPr>
            <w:b w:val="0"/>
            <w:bCs w:val="0"/>
            <w:noProof w:val="0"/>
            <w:lang w:val="it-IT"/>
          </w:rPr>
          <w:delText xml:space="preserve"> il numero di</w:delText>
        </w:r>
      </w:del>
      <w:del w:id="675" w:author="AbbVie14" w:date="2025-05-09T10:28:00Z">
        <w:r w:rsidRPr="00295E71" w:rsidR="00AD5C14">
          <w:rPr>
            <w:b w:val="0"/>
            <w:bCs w:val="0"/>
            <w:noProof w:val="0"/>
            <w:lang w:val="it-IT"/>
          </w:rPr>
          <w:delText xml:space="preserve"> </w:delText>
        </w:r>
      </w:del>
      <w:del w:id="676" w:author="AbbVie14" w:date="2025-05-09T10:28:00Z">
        <w:r w:rsidRPr="00295E71">
          <w:rPr>
            <w:b w:val="0"/>
            <w:bCs w:val="0"/>
            <w:noProof w:val="0"/>
            <w:lang w:val="it-IT"/>
          </w:rPr>
          <w:delText>lotto del prodotto somministrato devono essere chiaramente registrati.</w:delText>
        </w:r>
      </w:del>
    </w:p>
    <w:p w:rsidR="006224C2" w:rsidRPr="00295E71" w14:paraId="242BD942" w14:textId="77777777">
      <w:pPr>
        <w:pStyle w:val="Heading4"/>
        <w:keepNext w:val="0"/>
        <w:autoSpaceDE w:val="0"/>
        <w:autoSpaceDN w:val="0"/>
        <w:adjustRightInd w:val="0"/>
        <w:spacing w:line="240" w:lineRule="auto"/>
        <w:rPr>
          <w:del w:id="677" w:author="AbbVie14" w:date="2025-05-09T10:28:00Z"/>
          <w:b w:val="0"/>
          <w:bCs w:val="0"/>
          <w:noProof w:val="0"/>
          <w:u w:val="single"/>
          <w:lang w:val="it-IT"/>
        </w:rPr>
      </w:pPr>
    </w:p>
    <w:p w:rsidR="006224C2" w:rsidRPr="00295E71" w:rsidP="00222EA4" w14:paraId="413A7C1D" w14:textId="77777777">
      <w:pPr>
        <w:pStyle w:val="Heading4"/>
        <w:autoSpaceDE w:val="0"/>
        <w:autoSpaceDN w:val="0"/>
        <w:adjustRightInd w:val="0"/>
        <w:spacing w:line="240" w:lineRule="auto"/>
        <w:rPr>
          <w:del w:id="678" w:author="AbbVie14" w:date="2025-05-09T10:28:00Z"/>
          <w:b w:val="0"/>
          <w:bCs w:val="0"/>
          <w:noProof w:val="0"/>
          <w:u w:val="single"/>
          <w:lang w:val="it-IT"/>
        </w:rPr>
      </w:pPr>
      <w:del w:id="679" w:author="AbbVie14" w:date="2025-05-09T10:28:00Z">
        <w:r w:rsidRPr="00295E71">
          <w:rPr>
            <w:b w:val="0"/>
            <w:bCs w:val="0"/>
            <w:noProof w:val="0"/>
            <w:u w:val="single"/>
            <w:lang w:val="it-IT"/>
          </w:rPr>
          <w:delText>Infezioni</w:delText>
        </w:r>
      </w:del>
    </w:p>
    <w:p w:rsidR="006224C2" w:rsidRPr="00295E71" w:rsidP="00222EA4" w14:paraId="7BB834C8" w14:textId="77777777">
      <w:pPr>
        <w:keepNext/>
        <w:tabs>
          <w:tab w:val="left" w:pos="567"/>
        </w:tabs>
        <w:jc w:val="both"/>
        <w:rPr>
          <w:del w:id="680" w:author="AbbVie14" w:date="2025-05-09T10:28:00Z"/>
          <w:sz w:val="22"/>
          <w:szCs w:val="22"/>
        </w:rPr>
      </w:pPr>
    </w:p>
    <w:p w:rsidR="006224C2" w:rsidRPr="00295E71" w:rsidP="00222EA4" w14:paraId="64CDCB19" w14:textId="77777777">
      <w:pPr>
        <w:keepNext/>
        <w:tabs>
          <w:tab w:val="left" w:pos="567"/>
        </w:tabs>
        <w:autoSpaceDE w:val="0"/>
        <w:autoSpaceDN w:val="0"/>
        <w:adjustRightInd w:val="0"/>
        <w:jc w:val="both"/>
        <w:rPr>
          <w:del w:id="681" w:author="AbbVie14" w:date="2025-05-09T10:28:00Z"/>
          <w:color w:val="000000"/>
          <w:sz w:val="22"/>
          <w:szCs w:val="22"/>
        </w:rPr>
      </w:pPr>
      <w:del w:id="682" w:author="AbbVie14" w:date="2025-05-09T10:28:00Z">
        <w:r w:rsidRPr="00295E71">
          <w:rPr>
            <w:color w:val="000000"/>
            <w:sz w:val="22"/>
            <w:szCs w:val="22"/>
          </w:rPr>
          <w:delText>I pazienti in trattamento conantagonisti del TNF sono più suscettibili alle infezioni gravi.</w:delText>
        </w:r>
      </w:del>
      <w:del w:id="683" w:author="AbbVie14" w:date="2025-05-09T10:28:00Z">
        <w:r w:rsidRPr="00295E71" w:rsidR="00DF37EE">
          <w:rPr>
            <w:color w:val="000000"/>
            <w:sz w:val="22"/>
            <w:szCs w:val="22"/>
          </w:rPr>
          <w:delText xml:space="preserve"> </w:delText>
        </w:r>
      </w:del>
      <w:del w:id="684" w:author="AbbVie14" w:date="2025-05-09T10:28:00Z">
        <w:r w:rsidRPr="00295E71">
          <w:rPr>
            <w:color w:val="000000"/>
            <w:sz w:val="22"/>
            <w:szCs w:val="22"/>
          </w:rPr>
          <w:delText>Una funzione polmonare compromessa può aumentare il rischio di sviluppare infezioni.</w:delText>
        </w:r>
      </w:del>
      <w:del w:id="685" w:author="AbbVie14" w:date="2025-05-09T10:28:00Z">
        <w:r w:rsidRPr="00295E71" w:rsidR="00DF37EE">
          <w:rPr>
            <w:color w:val="000000"/>
            <w:sz w:val="22"/>
            <w:szCs w:val="22"/>
          </w:rPr>
          <w:delText xml:space="preserve"> </w:delText>
        </w:r>
      </w:del>
      <w:del w:id="686" w:author="AbbVie14" w:date="2025-05-09T10:28:00Z">
        <w:r w:rsidRPr="00295E71">
          <w:rPr>
            <w:color w:val="000000"/>
            <w:sz w:val="22"/>
            <w:szCs w:val="22"/>
          </w:rPr>
          <w:delText>I pazienti devono pertanto essere attentamente esaminati per la valutazione di infezioni, compresa la tubercolosi, prima, durante e dopo il trattamento con Humira. Poichè l’eliminazione di adalimumab può richiedere fino a quattro mesi, il controllo deve essere continuato durante tale periodo.</w:delText>
        </w:r>
      </w:del>
    </w:p>
    <w:p w:rsidR="006224C2" w:rsidRPr="00295E71" w14:paraId="45F57465" w14:textId="77777777">
      <w:pPr>
        <w:tabs>
          <w:tab w:val="left" w:pos="567"/>
        </w:tabs>
        <w:autoSpaceDE w:val="0"/>
        <w:autoSpaceDN w:val="0"/>
        <w:adjustRightInd w:val="0"/>
        <w:jc w:val="both"/>
        <w:rPr>
          <w:del w:id="687" w:author="AbbVie14" w:date="2025-05-09T10:28:00Z"/>
          <w:color w:val="000000"/>
          <w:sz w:val="22"/>
          <w:szCs w:val="22"/>
        </w:rPr>
      </w:pPr>
    </w:p>
    <w:p w:rsidR="006224C2" w:rsidRPr="00295E71" w14:paraId="747F1942" w14:textId="77777777">
      <w:pPr>
        <w:tabs>
          <w:tab w:val="left" w:pos="567"/>
        </w:tabs>
        <w:autoSpaceDE w:val="0"/>
        <w:autoSpaceDN w:val="0"/>
        <w:adjustRightInd w:val="0"/>
        <w:jc w:val="both"/>
        <w:rPr>
          <w:del w:id="688" w:author="AbbVie14" w:date="2025-05-09T10:28:00Z"/>
          <w:color w:val="000000"/>
          <w:sz w:val="22"/>
          <w:szCs w:val="22"/>
        </w:rPr>
      </w:pPr>
      <w:del w:id="689" w:author="AbbVie14" w:date="2025-05-09T10:28:00Z">
        <w:r w:rsidRPr="00295E71">
          <w:rPr>
            <w:color w:val="000000"/>
            <w:sz w:val="22"/>
            <w:szCs w:val="22"/>
          </w:rPr>
          <w:delText>La terapia con Humira non va iniziata inpazienti con infezioni attive, incluse le infezioni croniche o localizzate, fino a che queste non siano sotto controllo. In pazienti che sono stati esposti alla tubercolosi ed in pazienti che hanno viaggiato in aree ad alto rischio di tubercolosi o di micosi endemiche, quali istoplasmosi, coccidioidomicosi o blastomicosi, il rischio ed i benefici del trattamento con Humira devono essere considerati prima di iniziare la terapia (vedere</w:delText>
        </w:r>
      </w:del>
      <w:del w:id="690" w:author="AbbVie14" w:date="2025-05-09T10:28:00Z">
        <w:r w:rsidRPr="00295E71" w:rsidR="00DF37EE">
          <w:rPr>
            <w:color w:val="000000"/>
            <w:sz w:val="22"/>
            <w:szCs w:val="22"/>
          </w:rPr>
          <w:delText xml:space="preserve"> </w:delText>
        </w:r>
      </w:del>
      <w:del w:id="691" w:author="AbbVie14" w:date="2025-05-09T10:28:00Z">
        <w:r w:rsidRPr="00295E71">
          <w:rPr>
            <w:i/>
            <w:color w:val="000000"/>
            <w:sz w:val="22"/>
            <w:szCs w:val="22"/>
          </w:rPr>
          <w:delText xml:space="preserve">Altre </w:delText>
        </w:r>
      </w:del>
      <w:del w:id="692" w:author="AbbVie14" w:date="2025-05-09T10:28:00Z">
        <w:r w:rsidRPr="00295E71">
          <w:rPr>
            <w:i/>
            <w:iCs/>
            <w:color w:val="000000"/>
            <w:sz w:val="22"/>
            <w:szCs w:val="22"/>
          </w:rPr>
          <w:delText>infezioni opportunistiche</w:delText>
        </w:r>
      </w:del>
      <w:del w:id="693" w:author="AbbVie14" w:date="2025-05-09T10:28:00Z">
        <w:r w:rsidRPr="00295E71">
          <w:rPr>
            <w:color w:val="000000"/>
            <w:sz w:val="22"/>
            <w:szCs w:val="22"/>
          </w:rPr>
          <w:delText>).</w:delText>
        </w:r>
      </w:del>
    </w:p>
    <w:p w:rsidR="006224C2" w:rsidRPr="00295E71" w14:paraId="4AF8FF9F" w14:textId="77777777">
      <w:pPr>
        <w:tabs>
          <w:tab w:val="left" w:pos="567"/>
        </w:tabs>
        <w:autoSpaceDE w:val="0"/>
        <w:autoSpaceDN w:val="0"/>
        <w:adjustRightInd w:val="0"/>
        <w:jc w:val="both"/>
        <w:rPr>
          <w:del w:id="694" w:author="AbbVie14" w:date="2025-05-09T10:28:00Z"/>
          <w:color w:val="000000"/>
          <w:sz w:val="22"/>
          <w:szCs w:val="22"/>
        </w:rPr>
      </w:pPr>
    </w:p>
    <w:p w:rsidR="006224C2" w:rsidRPr="00295E71" w14:paraId="4D736056" w14:textId="77777777">
      <w:pPr>
        <w:tabs>
          <w:tab w:val="left" w:pos="567"/>
        </w:tabs>
        <w:autoSpaceDE w:val="0"/>
        <w:autoSpaceDN w:val="0"/>
        <w:adjustRightInd w:val="0"/>
        <w:jc w:val="both"/>
        <w:rPr>
          <w:del w:id="695" w:author="AbbVie14" w:date="2025-05-09T10:28:00Z"/>
          <w:color w:val="000000"/>
          <w:sz w:val="22"/>
          <w:szCs w:val="22"/>
        </w:rPr>
      </w:pPr>
      <w:del w:id="696" w:author="AbbVie14" w:date="2025-05-09T10:28:00Z">
        <w:r w:rsidRPr="00295E71">
          <w:rPr>
            <w:color w:val="000000"/>
            <w:sz w:val="22"/>
            <w:szCs w:val="22"/>
          </w:rPr>
          <w:delText xml:space="preserve">I pazienti che sviluppano una nuova infezione durante la terapia con Humira devono essere attentamente seguiti ed essere sottoposti ad una completa valutazione diagnostica. </w:delText>
        </w:r>
      </w:del>
    </w:p>
    <w:p w:rsidR="006224C2" w:rsidRPr="00295E71" w14:paraId="5E439A75" w14:textId="77777777">
      <w:pPr>
        <w:rPr>
          <w:del w:id="697" w:author="AbbVie14" w:date="2025-05-09T10:28:00Z"/>
          <w:color w:val="000000"/>
          <w:sz w:val="22"/>
          <w:szCs w:val="22"/>
        </w:rPr>
      </w:pPr>
      <w:del w:id="698" w:author="AbbVie14" w:date="2025-05-09T10:28:00Z">
        <w:r w:rsidRPr="00295E71">
          <w:rPr>
            <w:color w:val="000000"/>
            <w:sz w:val="22"/>
            <w:szCs w:val="22"/>
          </w:rPr>
          <w:delText>In caso di insorgenza di una nuova infezione grave o di sepsi, la somministrazione di Humira deve essere interrotta e deve essere istituita una idonea terapia antimicrobica o antifungina fino a quando l’infezione non sia sotto controllo. I medici devono porre cautela nell’usare Humira in pazienti con storia di infezioni recidivanti o con patologie concomitanti che possano predisporre i pazienti alle infezioni, incluso l’uso concomitante di farmaci immunosoppressivi.</w:delText>
        </w:r>
      </w:del>
    </w:p>
    <w:p w:rsidR="006224C2" w:rsidRPr="00295E71" w14:paraId="628964D3" w14:textId="77777777">
      <w:pPr>
        <w:tabs>
          <w:tab w:val="left" w:pos="567"/>
        </w:tabs>
        <w:autoSpaceDE w:val="0"/>
        <w:autoSpaceDN w:val="0"/>
        <w:adjustRightInd w:val="0"/>
        <w:jc w:val="both"/>
        <w:rPr>
          <w:del w:id="699" w:author="AbbVie14" w:date="2025-05-09T10:28:00Z"/>
          <w:color w:val="000000"/>
          <w:sz w:val="22"/>
          <w:szCs w:val="22"/>
        </w:rPr>
      </w:pPr>
    </w:p>
    <w:p w:rsidR="006224C2" w:rsidRPr="00295E71" w14:paraId="4BEDE930" w14:textId="77777777">
      <w:pPr>
        <w:tabs>
          <w:tab w:val="left" w:pos="567"/>
        </w:tabs>
        <w:autoSpaceDE w:val="0"/>
        <w:autoSpaceDN w:val="0"/>
        <w:adjustRightInd w:val="0"/>
        <w:jc w:val="both"/>
        <w:rPr>
          <w:del w:id="700" w:author="AbbVie14" w:date="2025-05-09T10:28:00Z"/>
          <w:color w:val="000000"/>
          <w:sz w:val="22"/>
          <w:szCs w:val="22"/>
        </w:rPr>
      </w:pPr>
      <w:del w:id="701" w:author="AbbVie14" w:date="2025-05-09T10:28:00Z">
        <w:r w:rsidRPr="00295E71">
          <w:rPr>
            <w:i/>
            <w:iCs/>
            <w:color w:val="000000"/>
            <w:sz w:val="22"/>
            <w:szCs w:val="22"/>
          </w:rPr>
          <w:delText>Gravi infezioni</w:delText>
        </w:r>
      </w:del>
    </w:p>
    <w:p w:rsidR="006224C2" w:rsidRPr="00295E71" w14:paraId="0117BDEB" w14:textId="77777777">
      <w:pPr>
        <w:tabs>
          <w:tab w:val="left" w:pos="567"/>
        </w:tabs>
        <w:autoSpaceDE w:val="0"/>
        <w:autoSpaceDN w:val="0"/>
        <w:adjustRightInd w:val="0"/>
        <w:jc w:val="both"/>
        <w:rPr>
          <w:del w:id="702" w:author="AbbVie14" w:date="2025-05-09T10:28:00Z"/>
          <w:color w:val="000000"/>
          <w:sz w:val="22"/>
          <w:szCs w:val="22"/>
        </w:rPr>
      </w:pPr>
    </w:p>
    <w:p w:rsidR="006224C2" w:rsidRPr="00295E71" w14:paraId="06DD8DEE" w14:textId="77777777">
      <w:pPr>
        <w:tabs>
          <w:tab w:val="left" w:pos="567"/>
        </w:tabs>
        <w:autoSpaceDE w:val="0"/>
        <w:autoSpaceDN w:val="0"/>
        <w:adjustRightInd w:val="0"/>
        <w:jc w:val="both"/>
        <w:rPr>
          <w:del w:id="703" w:author="AbbVie14" w:date="2025-05-09T10:28:00Z"/>
          <w:color w:val="000000"/>
          <w:sz w:val="22"/>
          <w:szCs w:val="22"/>
        </w:rPr>
      </w:pPr>
      <w:del w:id="704" w:author="AbbVie14" w:date="2025-05-09T10:28:00Z">
        <w:r w:rsidRPr="00295E71">
          <w:rPr>
            <w:color w:val="000000"/>
            <w:sz w:val="22"/>
            <w:szCs w:val="22"/>
          </w:rPr>
          <w:delText>Sono stati riportati casi di infezioni gravi, inclusa sepsi, causat</w:delText>
        </w:r>
      </w:del>
      <w:del w:id="705" w:author="AbbVie14" w:date="2025-05-09T10:28:00Z">
        <w:r w:rsidR="00955E55">
          <w:rPr>
            <w:color w:val="000000"/>
            <w:sz w:val="22"/>
            <w:szCs w:val="22"/>
          </w:rPr>
          <w:delText>e</w:delText>
        </w:r>
      </w:del>
      <w:del w:id="706" w:author="AbbVie14" w:date="2025-05-09T10:28:00Z">
        <w:r w:rsidRPr="00295E71">
          <w:rPr>
            <w:color w:val="000000"/>
            <w:sz w:val="22"/>
            <w:szCs w:val="22"/>
          </w:rPr>
          <w:delText xml:space="preserve"> da batteri, micobatteri, funghi invasivi, parassiti, virus o altre infezioni opportunistiche, quali listeriosi, legionellosi e pneumocistosi in pazienti trattati con Humira. </w:delText>
        </w:r>
      </w:del>
    </w:p>
    <w:p w:rsidR="006224C2" w:rsidRPr="00295E71" w14:paraId="7C9AA7B8" w14:textId="77777777">
      <w:pPr>
        <w:tabs>
          <w:tab w:val="left" w:pos="567"/>
        </w:tabs>
        <w:autoSpaceDE w:val="0"/>
        <w:autoSpaceDN w:val="0"/>
        <w:adjustRightInd w:val="0"/>
        <w:jc w:val="both"/>
        <w:rPr>
          <w:del w:id="707" w:author="AbbVie14" w:date="2025-05-09T10:28:00Z"/>
          <w:i/>
          <w:iCs/>
          <w:color w:val="000000"/>
          <w:sz w:val="22"/>
          <w:szCs w:val="22"/>
        </w:rPr>
      </w:pPr>
    </w:p>
    <w:p w:rsidR="006224C2" w:rsidRPr="00295E71" w14:paraId="54213564" w14:textId="77777777">
      <w:pPr>
        <w:tabs>
          <w:tab w:val="left" w:pos="567"/>
        </w:tabs>
        <w:autoSpaceDE w:val="0"/>
        <w:autoSpaceDN w:val="0"/>
        <w:adjustRightInd w:val="0"/>
        <w:jc w:val="both"/>
        <w:rPr>
          <w:del w:id="708" w:author="AbbVie14" w:date="2025-05-09T10:28:00Z"/>
          <w:color w:val="000000"/>
          <w:sz w:val="22"/>
          <w:szCs w:val="22"/>
        </w:rPr>
      </w:pPr>
      <w:del w:id="709" w:author="AbbVie14" w:date="2025-05-09T10:28:00Z">
        <w:r w:rsidRPr="00295E71">
          <w:rPr>
            <w:color w:val="000000"/>
            <w:sz w:val="22"/>
            <w:szCs w:val="22"/>
          </w:rPr>
          <w:delText>Altre infezioni gravi osservate nel corso di studi clinici includono polmonite, pielonefrite, artrite settica e setticemia. Sono stati riportati casi di ospedalizzazione o di eventi fatali associati alle infezioni.</w:delText>
        </w:r>
      </w:del>
    </w:p>
    <w:p w:rsidR="006224C2" w:rsidRPr="00295E71" w14:paraId="190A2302" w14:textId="77777777">
      <w:pPr>
        <w:tabs>
          <w:tab w:val="left" w:pos="567"/>
        </w:tabs>
        <w:autoSpaceDE w:val="0"/>
        <w:autoSpaceDN w:val="0"/>
        <w:adjustRightInd w:val="0"/>
        <w:jc w:val="both"/>
        <w:rPr>
          <w:del w:id="710" w:author="AbbVie14" w:date="2025-05-09T10:28:00Z"/>
          <w:i/>
          <w:iCs/>
          <w:color w:val="000000"/>
          <w:sz w:val="22"/>
          <w:szCs w:val="22"/>
        </w:rPr>
      </w:pPr>
    </w:p>
    <w:p w:rsidR="006224C2" w:rsidRPr="00295E71" w14:paraId="34EDC9DC" w14:textId="77777777">
      <w:pPr>
        <w:tabs>
          <w:tab w:val="left" w:pos="567"/>
        </w:tabs>
        <w:autoSpaceDE w:val="0"/>
        <w:autoSpaceDN w:val="0"/>
        <w:adjustRightInd w:val="0"/>
        <w:jc w:val="both"/>
        <w:rPr>
          <w:del w:id="711" w:author="AbbVie14" w:date="2025-05-09T10:28:00Z"/>
          <w:i/>
          <w:iCs/>
          <w:color w:val="000000"/>
          <w:sz w:val="22"/>
          <w:szCs w:val="22"/>
        </w:rPr>
      </w:pPr>
      <w:del w:id="712" w:author="AbbVie14" w:date="2025-05-09T10:28:00Z">
        <w:r w:rsidRPr="00295E71">
          <w:rPr>
            <w:i/>
            <w:iCs/>
            <w:color w:val="000000"/>
            <w:sz w:val="22"/>
            <w:szCs w:val="22"/>
          </w:rPr>
          <w:delText>Tubercolosi</w:delText>
        </w:r>
      </w:del>
    </w:p>
    <w:p w:rsidR="006224C2" w:rsidRPr="00295E71" w14:paraId="2165D75D" w14:textId="77777777">
      <w:pPr>
        <w:tabs>
          <w:tab w:val="left" w:pos="567"/>
        </w:tabs>
        <w:autoSpaceDE w:val="0"/>
        <w:autoSpaceDN w:val="0"/>
        <w:adjustRightInd w:val="0"/>
        <w:jc w:val="both"/>
        <w:rPr>
          <w:del w:id="713" w:author="AbbVie14" w:date="2025-05-09T10:28:00Z"/>
          <w:color w:val="000000"/>
          <w:sz w:val="22"/>
          <w:szCs w:val="22"/>
        </w:rPr>
      </w:pPr>
    </w:p>
    <w:p w:rsidR="006224C2" w:rsidRPr="00295E71" w14:paraId="5B03C77A" w14:textId="77777777">
      <w:pPr>
        <w:tabs>
          <w:tab w:val="left" w:pos="567"/>
        </w:tabs>
        <w:autoSpaceDE w:val="0"/>
        <w:autoSpaceDN w:val="0"/>
        <w:adjustRightInd w:val="0"/>
        <w:jc w:val="both"/>
        <w:rPr>
          <w:del w:id="714" w:author="AbbVie14" w:date="2025-05-09T10:28:00Z"/>
          <w:color w:val="000000"/>
          <w:sz w:val="22"/>
          <w:szCs w:val="22"/>
        </w:rPr>
      </w:pPr>
      <w:del w:id="715" w:author="AbbVie14" w:date="2025-05-09T10:28:00Z">
        <w:r w:rsidRPr="00295E71">
          <w:rPr>
            <w:color w:val="000000"/>
            <w:sz w:val="22"/>
            <w:szCs w:val="22"/>
          </w:rPr>
          <w:delText>È stata riportata tubercolosi, inclusa riattivazione e nuova manifestazione di tubercolosi, in pazienti che utilizzano Humira. Sono stati riportati casi di tubercolosi polmonare ed extra-polmonare (ovvero disseminata).</w:delText>
        </w:r>
      </w:del>
    </w:p>
    <w:p w:rsidR="006224C2" w:rsidRPr="00295E71" w14:paraId="3B08721B" w14:textId="77777777">
      <w:pPr>
        <w:tabs>
          <w:tab w:val="left" w:pos="567"/>
        </w:tabs>
        <w:autoSpaceDE w:val="0"/>
        <w:autoSpaceDN w:val="0"/>
        <w:adjustRightInd w:val="0"/>
        <w:jc w:val="both"/>
        <w:rPr>
          <w:del w:id="716" w:author="AbbVie14" w:date="2025-05-09T10:28:00Z"/>
          <w:color w:val="000000"/>
          <w:sz w:val="22"/>
          <w:szCs w:val="22"/>
        </w:rPr>
      </w:pPr>
    </w:p>
    <w:p w:rsidR="006224C2" w:rsidRPr="00295E71" w14:paraId="4E0E4708" w14:textId="77777777">
      <w:pPr>
        <w:tabs>
          <w:tab w:val="left" w:pos="567"/>
        </w:tabs>
        <w:autoSpaceDE w:val="0"/>
        <w:autoSpaceDN w:val="0"/>
        <w:adjustRightInd w:val="0"/>
        <w:jc w:val="both"/>
        <w:rPr>
          <w:del w:id="717" w:author="AbbVie14" w:date="2025-05-09T10:28:00Z"/>
          <w:color w:val="000000"/>
          <w:sz w:val="22"/>
          <w:szCs w:val="22"/>
        </w:rPr>
      </w:pPr>
      <w:del w:id="718" w:author="AbbVie14" w:date="2025-05-09T10:28:00Z">
        <w:r w:rsidRPr="00295E71">
          <w:rPr>
            <w:color w:val="000000"/>
            <w:sz w:val="22"/>
            <w:szCs w:val="22"/>
          </w:rPr>
          <w:delText xml:space="preserve">Prima di iniziare la terapia con Humira, tutti i pazienti devono essere esaminati per valutare la presenza di tubercolosi attiva o inattiva (“latente”). Tale valutazione deve includere un’anamnesi clinica dettagliata dei pazienti con una storia pregressa di tubercolosi o eventuali contatti con persone affette da tubercolosi attiva, e con precedenti e/o concomitanti terapie immunosoppressive. </w:delText>
        </w:r>
      </w:del>
    </w:p>
    <w:p w:rsidR="006224C2" w:rsidRPr="00295E71" w14:paraId="14C7D3DA" w14:textId="77777777">
      <w:pPr>
        <w:tabs>
          <w:tab w:val="left" w:pos="567"/>
        </w:tabs>
        <w:autoSpaceDE w:val="0"/>
        <w:autoSpaceDN w:val="0"/>
        <w:adjustRightInd w:val="0"/>
        <w:jc w:val="both"/>
        <w:rPr>
          <w:del w:id="719" w:author="AbbVie14" w:date="2025-05-09T10:28:00Z"/>
          <w:color w:val="000000"/>
          <w:sz w:val="22"/>
          <w:szCs w:val="22"/>
        </w:rPr>
      </w:pPr>
      <w:del w:id="720" w:author="AbbVie14" w:date="2025-05-09T10:28:00Z">
        <w:r w:rsidRPr="00295E71">
          <w:rPr>
            <w:color w:val="000000"/>
            <w:sz w:val="22"/>
            <w:szCs w:val="22"/>
          </w:rPr>
          <w:delText>Devono essere eseguiti appropriati esami di screening (ovvero il test cutaneo alla tubercolina e la radiografia toracica) in tutti i pazienti (possono essere seguite le linee guida locali). Si raccomanda che l’esecuzione e i risultati di tali test vengano registrati nella</w:delText>
        </w:r>
      </w:del>
      <w:del w:id="721" w:author="AbbVie14" w:date="2025-05-09T10:28:00Z">
        <w:r w:rsidR="004D7963">
          <w:rPr>
            <w:color w:val="000000"/>
            <w:sz w:val="22"/>
            <w:szCs w:val="22"/>
          </w:rPr>
          <w:delText xml:space="preserve"> </w:delText>
        </w:r>
      </w:del>
      <w:del w:id="722" w:author="AbbVie14" w:date="2025-05-09T10:28:00Z">
        <w:r w:rsidRPr="004D7963" w:rsidR="004D7963">
          <w:rPr>
            <w:color w:val="000000"/>
            <w:sz w:val="22"/>
            <w:szCs w:val="22"/>
          </w:rPr>
          <w:delText>Scheda Promemoria per il Paziente</w:delText>
        </w:r>
      </w:del>
      <w:del w:id="723" w:author="AbbVie14" w:date="2025-05-09T10:28:00Z">
        <w:r w:rsidRPr="00295E71">
          <w:rPr>
            <w:color w:val="000000"/>
            <w:sz w:val="22"/>
            <w:szCs w:val="22"/>
          </w:rPr>
          <w:delText>. I medici devono porre attenzione al rischio di falsi negativi al test cutaneo alla tubercolina, soprattutto in pazienti gravemente ammalati o immunocompromessi.</w:delText>
        </w:r>
      </w:del>
    </w:p>
    <w:p w:rsidR="006224C2" w:rsidRPr="00295E71" w14:paraId="511712C8" w14:textId="77777777">
      <w:pPr>
        <w:tabs>
          <w:tab w:val="left" w:pos="567"/>
        </w:tabs>
        <w:autoSpaceDE w:val="0"/>
        <w:autoSpaceDN w:val="0"/>
        <w:adjustRightInd w:val="0"/>
        <w:jc w:val="both"/>
        <w:rPr>
          <w:del w:id="724" w:author="AbbVie14" w:date="2025-05-09T10:28:00Z"/>
          <w:color w:val="000000"/>
          <w:sz w:val="22"/>
          <w:szCs w:val="22"/>
        </w:rPr>
      </w:pPr>
    </w:p>
    <w:p w:rsidR="006224C2" w:rsidRPr="00295E71" w14:paraId="7D387285" w14:textId="77777777">
      <w:pPr>
        <w:tabs>
          <w:tab w:val="left" w:pos="567"/>
        </w:tabs>
        <w:autoSpaceDE w:val="0"/>
        <w:autoSpaceDN w:val="0"/>
        <w:adjustRightInd w:val="0"/>
        <w:jc w:val="both"/>
        <w:rPr>
          <w:del w:id="725" w:author="AbbVie14" w:date="2025-05-09T10:28:00Z"/>
          <w:sz w:val="22"/>
          <w:szCs w:val="22"/>
        </w:rPr>
      </w:pPr>
      <w:del w:id="726" w:author="AbbVie14" w:date="2025-05-09T10:28:00Z">
        <w:r w:rsidRPr="00295E71">
          <w:rPr>
            <w:sz w:val="22"/>
            <w:szCs w:val="22"/>
          </w:rPr>
          <w:delText>Se si diagnostica una tubercolosi attiva, la terapia con Humira non deve essere iniziata (vedere paragrafo 4.3).</w:delText>
        </w:r>
      </w:del>
    </w:p>
    <w:p w:rsidR="006224C2" w:rsidRPr="00295E71" w14:paraId="798E5FC9" w14:textId="77777777">
      <w:pPr>
        <w:rPr>
          <w:del w:id="727" w:author="AbbVie14" w:date="2025-05-09T10:28:00Z"/>
          <w:sz w:val="22"/>
          <w:szCs w:val="22"/>
        </w:rPr>
      </w:pPr>
    </w:p>
    <w:p w:rsidR="006224C2" w:rsidRPr="00295E71" w14:paraId="65FD8B71" w14:textId="77777777">
      <w:pPr>
        <w:tabs>
          <w:tab w:val="left" w:pos="567"/>
        </w:tabs>
        <w:autoSpaceDE w:val="0"/>
        <w:autoSpaceDN w:val="0"/>
        <w:adjustRightInd w:val="0"/>
        <w:jc w:val="both"/>
        <w:rPr>
          <w:del w:id="728" w:author="AbbVie14" w:date="2025-05-09T10:28:00Z"/>
          <w:sz w:val="22"/>
          <w:szCs w:val="22"/>
        </w:rPr>
      </w:pPr>
      <w:del w:id="729" w:author="AbbVie14" w:date="2025-05-09T10:28:00Z">
        <w:r w:rsidRPr="00295E71">
          <w:rPr>
            <w:sz w:val="22"/>
            <w:szCs w:val="22"/>
          </w:rPr>
          <w:delText>In tutte le situazioni di seguito descritte è opportuno effettuare un’attenta valutazione del rapporto beneficio/rischio della terapia.</w:delText>
        </w:r>
      </w:del>
    </w:p>
    <w:p w:rsidR="006224C2" w:rsidRPr="00295E71" w14:paraId="4ADB5DC5" w14:textId="77777777">
      <w:pPr>
        <w:tabs>
          <w:tab w:val="left" w:pos="567"/>
        </w:tabs>
        <w:autoSpaceDE w:val="0"/>
        <w:autoSpaceDN w:val="0"/>
        <w:adjustRightInd w:val="0"/>
        <w:jc w:val="both"/>
        <w:rPr>
          <w:del w:id="730" w:author="AbbVie14" w:date="2025-05-09T10:28:00Z"/>
          <w:sz w:val="22"/>
          <w:szCs w:val="22"/>
        </w:rPr>
      </w:pPr>
    </w:p>
    <w:p w:rsidR="006224C2" w:rsidRPr="00295E71" w14:paraId="5CA921BC" w14:textId="77777777">
      <w:pPr>
        <w:tabs>
          <w:tab w:val="left" w:pos="567"/>
        </w:tabs>
        <w:autoSpaceDE w:val="0"/>
        <w:autoSpaceDN w:val="0"/>
        <w:adjustRightInd w:val="0"/>
        <w:jc w:val="both"/>
        <w:rPr>
          <w:del w:id="731" w:author="AbbVie14" w:date="2025-05-09T10:28:00Z"/>
          <w:sz w:val="22"/>
          <w:szCs w:val="22"/>
        </w:rPr>
      </w:pPr>
      <w:del w:id="732" w:author="AbbVie14" w:date="2025-05-09T10:28:00Z">
        <w:r w:rsidRPr="00295E71">
          <w:rPr>
            <w:sz w:val="22"/>
            <w:szCs w:val="22"/>
          </w:rPr>
          <w:delText>Se si sospetta una tubercolosi latente, è consigliabile consultare un medico specializzato nel trattamento della tubercolosi.</w:delText>
        </w:r>
      </w:del>
    </w:p>
    <w:p w:rsidR="006224C2" w:rsidRPr="00295E71" w14:paraId="5F801AF6" w14:textId="77777777">
      <w:pPr>
        <w:tabs>
          <w:tab w:val="left" w:pos="567"/>
        </w:tabs>
        <w:autoSpaceDE w:val="0"/>
        <w:autoSpaceDN w:val="0"/>
        <w:adjustRightInd w:val="0"/>
        <w:jc w:val="both"/>
        <w:rPr>
          <w:del w:id="733" w:author="AbbVie14" w:date="2025-05-09T10:28:00Z"/>
          <w:sz w:val="22"/>
          <w:szCs w:val="22"/>
        </w:rPr>
      </w:pPr>
    </w:p>
    <w:p w:rsidR="006224C2" w:rsidRPr="00295E71" w14:paraId="50973E43" w14:textId="77777777">
      <w:pPr>
        <w:tabs>
          <w:tab w:val="left" w:pos="567"/>
        </w:tabs>
        <w:jc w:val="both"/>
        <w:rPr>
          <w:del w:id="734" w:author="AbbVie14" w:date="2025-05-09T10:28:00Z"/>
          <w:color w:val="000000"/>
          <w:sz w:val="22"/>
          <w:szCs w:val="22"/>
        </w:rPr>
      </w:pPr>
      <w:del w:id="735" w:author="AbbVie14" w:date="2025-05-09T10:28:00Z">
        <w:r w:rsidRPr="00295E71">
          <w:rPr>
            <w:color w:val="000000"/>
            <w:sz w:val="22"/>
            <w:szCs w:val="22"/>
          </w:rPr>
          <w:delText>In caso di diagnosi positiva di tubercolosi latente, prima di iniziare la terapia con Humira deve essere istituito il trattamento di profilassi anti-tubercolare in accordo alle raccomandazioni locali.</w:delText>
        </w:r>
      </w:del>
    </w:p>
    <w:p w:rsidR="006224C2" w:rsidRPr="00295E71" w14:paraId="553C6396" w14:textId="77777777">
      <w:pPr>
        <w:tabs>
          <w:tab w:val="left" w:pos="567"/>
        </w:tabs>
        <w:jc w:val="both"/>
        <w:rPr>
          <w:del w:id="736" w:author="AbbVie14" w:date="2025-05-09T10:28:00Z"/>
          <w:color w:val="000000"/>
          <w:sz w:val="22"/>
          <w:szCs w:val="22"/>
        </w:rPr>
      </w:pPr>
    </w:p>
    <w:p w:rsidR="006224C2" w:rsidRPr="00295E71" w14:paraId="08C543C4" w14:textId="77777777">
      <w:pPr>
        <w:tabs>
          <w:tab w:val="left" w:pos="567"/>
        </w:tabs>
        <w:jc w:val="both"/>
        <w:rPr>
          <w:del w:id="737" w:author="AbbVie14" w:date="2025-05-09T10:28:00Z"/>
          <w:color w:val="000000"/>
          <w:sz w:val="22"/>
          <w:szCs w:val="22"/>
        </w:rPr>
      </w:pPr>
      <w:del w:id="738" w:author="AbbVie14" w:date="2025-05-09T10:28:00Z">
        <w:r w:rsidRPr="00295E71">
          <w:rPr>
            <w:color w:val="000000"/>
            <w:sz w:val="22"/>
            <w:szCs w:val="22"/>
          </w:rPr>
          <w:delText>L’istituzione di un trattamento di profilassi anti-tubercolare deve essere presa in considerazione anche prima di iniziare il trattamento a base di Humira in pazienti con diversi o significativi fattori di rischio per la tubercolosi nonostante un test negativo per la tubercolosi e in quei pazienti che all’anamnesi presentano una storia personale di tubercolosi latente o attiva nei quali non sia possibile confermare se il ciclo di trattamento cui sono stati sottoposti sia risultato adeguato.</w:delText>
        </w:r>
      </w:del>
    </w:p>
    <w:p w:rsidR="006224C2" w:rsidRPr="00295E71" w14:paraId="12C57A9E" w14:textId="77777777">
      <w:pPr>
        <w:tabs>
          <w:tab w:val="left" w:pos="567"/>
        </w:tabs>
        <w:jc w:val="both"/>
        <w:rPr>
          <w:del w:id="739" w:author="AbbVie14" w:date="2025-05-09T10:28:00Z"/>
          <w:color w:val="000000"/>
          <w:sz w:val="22"/>
          <w:szCs w:val="22"/>
        </w:rPr>
      </w:pPr>
    </w:p>
    <w:p w:rsidR="006224C2" w:rsidRPr="00295E71" w:rsidP="00AF7A05" w14:paraId="3CFDACA8" w14:textId="77777777">
      <w:pPr>
        <w:keepNext/>
        <w:keepLines/>
        <w:tabs>
          <w:tab w:val="left" w:pos="567"/>
        </w:tabs>
        <w:jc w:val="both"/>
        <w:rPr>
          <w:del w:id="740" w:author="AbbVie14" w:date="2025-05-09T10:28:00Z"/>
          <w:color w:val="000000"/>
          <w:sz w:val="22"/>
          <w:szCs w:val="22"/>
        </w:rPr>
      </w:pPr>
      <w:del w:id="741" w:author="AbbVie14" w:date="2025-05-09T10:28:00Z">
        <w:r w:rsidRPr="00295E71">
          <w:rPr>
            <w:color w:val="000000"/>
            <w:sz w:val="22"/>
            <w:szCs w:val="22"/>
          </w:rPr>
          <w:delText>Nonostante il trattamento di profilassi per la tubercolosi, si sono verificati casi di riattivazione di tubercolosi in pazienti trattati con Humira. Nel corso del trattamento con Humira, alcuni pazienti</w:delText>
        </w:r>
      </w:del>
      <w:del w:id="742" w:author="AbbVie14" w:date="2025-05-09T10:28:00Z">
        <w:r w:rsidR="00955E55">
          <w:rPr>
            <w:color w:val="000000"/>
            <w:sz w:val="22"/>
            <w:szCs w:val="22"/>
          </w:rPr>
          <w:delText xml:space="preserve"> </w:delText>
        </w:r>
      </w:del>
      <w:del w:id="743" w:author="AbbVie14" w:date="2025-05-09T10:28:00Z">
        <w:r w:rsidRPr="00295E71">
          <w:rPr>
            <w:color w:val="000000"/>
            <w:sz w:val="22"/>
            <w:szCs w:val="22"/>
          </w:rPr>
          <w:delText>trattati con successo per la tubercolosi attiva hanno manifestato nuovamente la comparsa di tubercolosi.</w:delText>
        </w:r>
      </w:del>
    </w:p>
    <w:p w:rsidR="006224C2" w:rsidRPr="00295E71" w14:paraId="6AD577C7" w14:textId="77777777">
      <w:pPr>
        <w:tabs>
          <w:tab w:val="left" w:pos="567"/>
        </w:tabs>
        <w:autoSpaceDE w:val="0"/>
        <w:autoSpaceDN w:val="0"/>
        <w:adjustRightInd w:val="0"/>
        <w:jc w:val="both"/>
        <w:rPr>
          <w:del w:id="744" w:author="AbbVie14" w:date="2025-05-09T10:28:00Z"/>
          <w:color w:val="000000"/>
          <w:sz w:val="22"/>
          <w:szCs w:val="22"/>
        </w:rPr>
      </w:pPr>
    </w:p>
    <w:p w:rsidR="006224C2" w:rsidRPr="00295E71" w14:paraId="1A6109D4" w14:textId="77777777">
      <w:pPr>
        <w:tabs>
          <w:tab w:val="left" w:pos="567"/>
        </w:tabs>
        <w:autoSpaceDE w:val="0"/>
        <w:autoSpaceDN w:val="0"/>
        <w:adjustRightInd w:val="0"/>
        <w:jc w:val="both"/>
        <w:rPr>
          <w:del w:id="745" w:author="AbbVie14" w:date="2025-05-09T10:28:00Z"/>
          <w:color w:val="000000"/>
          <w:sz w:val="22"/>
          <w:szCs w:val="22"/>
        </w:rPr>
      </w:pPr>
      <w:del w:id="746" w:author="AbbVie14" w:date="2025-05-09T10:28:00Z">
        <w:r w:rsidRPr="00295E71">
          <w:rPr>
            <w:color w:val="000000"/>
            <w:sz w:val="22"/>
            <w:szCs w:val="22"/>
          </w:rPr>
          <w:delText>I pazienti devono essere avvisati di rivolgersi al medico se, durante o dopo la terapia con Humira, si manifestano segni/sintomi indicativi di possibile infezione tubercolare (per es. tosse persistente, deperimento, perdita di peso, febbre moderata, svogliatezza).</w:delText>
        </w:r>
      </w:del>
    </w:p>
    <w:p w:rsidR="006224C2" w:rsidRPr="00295E71" w14:paraId="17C2B94C" w14:textId="77777777">
      <w:pPr>
        <w:tabs>
          <w:tab w:val="left" w:pos="567"/>
        </w:tabs>
        <w:autoSpaceDE w:val="0"/>
        <w:autoSpaceDN w:val="0"/>
        <w:adjustRightInd w:val="0"/>
        <w:jc w:val="both"/>
        <w:rPr>
          <w:del w:id="747" w:author="AbbVie14" w:date="2025-05-09T10:28:00Z"/>
          <w:color w:val="000000"/>
          <w:sz w:val="22"/>
          <w:szCs w:val="22"/>
        </w:rPr>
      </w:pPr>
    </w:p>
    <w:p w:rsidR="006224C2" w:rsidRPr="00295E71" w:rsidP="00A60A0D" w14:paraId="244B63B1" w14:textId="77777777">
      <w:pPr>
        <w:keepNext/>
        <w:rPr>
          <w:del w:id="748" w:author="AbbVie14" w:date="2025-05-09T10:28:00Z"/>
          <w:color w:val="000000"/>
          <w:sz w:val="22"/>
          <w:szCs w:val="22"/>
        </w:rPr>
      </w:pPr>
      <w:del w:id="749" w:author="AbbVie14" w:date="2025-05-09T10:28:00Z">
        <w:r w:rsidRPr="00295E71">
          <w:rPr>
            <w:i/>
            <w:iCs/>
            <w:color w:val="000000"/>
            <w:sz w:val="22"/>
            <w:szCs w:val="22"/>
          </w:rPr>
          <w:delText>Altre infezioni opportunistiche</w:delText>
        </w:r>
      </w:del>
    </w:p>
    <w:p w:rsidR="006224C2" w:rsidRPr="00295E71" w:rsidP="00A60A0D" w14:paraId="7B3C30EC" w14:textId="77777777">
      <w:pPr>
        <w:keepNext/>
        <w:tabs>
          <w:tab w:val="left" w:pos="567"/>
        </w:tabs>
        <w:autoSpaceDE w:val="0"/>
        <w:autoSpaceDN w:val="0"/>
        <w:adjustRightInd w:val="0"/>
        <w:jc w:val="both"/>
        <w:rPr>
          <w:del w:id="750" w:author="AbbVie14" w:date="2025-05-09T10:28:00Z"/>
          <w:color w:val="000000"/>
          <w:sz w:val="22"/>
          <w:szCs w:val="22"/>
        </w:rPr>
      </w:pPr>
    </w:p>
    <w:p w:rsidR="006224C2" w:rsidRPr="00295E71" w14:paraId="4F2DD3B5" w14:textId="77777777">
      <w:pPr>
        <w:tabs>
          <w:tab w:val="left" w:pos="567"/>
        </w:tabs>
        <w:autoSpaceDE w:val="0"/>
        <w:autoSpaceDN w:val="0"/>
        <w:adjustRightInd w:val="0"/>
        <w:jc w:val="both"/>
        <w:rPr>
          <w:del w:id="751" w:author="AbbVie14" w:date="2025-05-09T10:28:00Z"/>
          <w:color w:val="000000"/>
          <w:sz w:val="22"/>
          <w:szCs w:val="22"/>
        </w:rPr>
      </w:pPr>
      <w:del w:id="752" w:author="AbbVie14" w:date="2025-05-09T10:28:00Z">
        <w:r w:rsidRPr="00295E71">
          <w:rPr>
            <w:color w:val="000000"/>
            <w:sz w:val="22"/>
            <w:szCs w:val="22"/>
          </w:rPr>
          <w:delText>In pazienti che hanno assunto Humira sono stati osservati casi di infezioni opportunistiche, incluse infezioni fungine invasive. Queste infezioni non sono state correttamente diagnosticate in pazienti che assumevano antagonisti del TNF e ciò ha comportato un ritardo nel trattamento appropriato, talvolta con esito fatale.</w:delText>
        </w:r>
      </w:del>
    </w:p>
    <w:p w:rsidR="006224C2" w:rsidRPr="00295E71" w14:paraId="2C1F97E7" w14:textId="77777777">
      <w:pPr>
        <w:tabs>
          <w:tab w:val="left" w:pos="567"/>
        </w:tabs>
        <w:autoSpaceDE w:val="0"/>
        <w:autoSpaceDN w:val="0"/>
        <w:adjustRightInd w:val="0"/>
        <w:jc w:val="both"/>
        <w:rPr>
          <w:del w:id="753" w:author="AbbVie14" w:date="2025-05-09T10:28:00Z"/>
          <w:color w:val="000000"/>
          <w:sz w:val="22"/>
          <w:szCs w:val="22"/>
        </w:rPr>
      </w:pPr>
    </w:p>
    <w:p w:rsidR="006224C2" w:rsidRPr="00295E71" w:rsidP="00AD7AF0" w14:paraId="531347E4" w14:textId="77777777">
      <w:pPr>
        <w:tabs>
          <w:tab w:val="left" w:pos="567"/>
        </w:tabs>
        <w:autoSpaceDE w:val="0"/>
        <w:autoSpaceDN w:val="0"/>
        <w:adjustRightInd w:val="0"/>
        <w:jc w:val="both"/>
        <w:rPr>
          <w:del w:id="754" w:author="AbbVie14" w:date="2025-05-09T10:28:00Z"/>
          <w:color w:val="000000"/>
          <w:sz w:val="22"/>
          <w:szCs w:val="22"/>
        </w:rPr>
      </w:pPr>
      <w:del w:id="755" w:author="AbbVie14" w:date="2025-05-09T10:28:00Z">
        <w:r w:rsidRPr="00295E71">
          <w:rPr>
            <w:color w:val="000000"/>
            <w:sz w:val="22"/>
            <w:szCs w:val="22"/>
          </w:rPr>
          <w:delText>In pazienti che sviluppano segni e sintomi quali febbre, malessere, perdita di peso, sudorazione, tosse, dispnea e/o infiltrato polmonare o altre malattie sistemiche gravi con o senza shock concomitante si deve sospettare un’infezione fungina invasiva e deve essere prontamente interrotta la somministrazione di Humira. La diagnosi e la somministrazione di terapia antifungina empirica in questi pazienti dovrebbero essere effettuate consultando un medico specializzato nella cura di pazienti con infezioni fungine invasive.</w:delText>
        </w:r>
      </w:del>
    </w:p>
    <w:p w:rsidR="006224C2" w:rsidRPr="00295E71" w:rsidP="00AD7AF0" w14:paraId="25B9E0E7" w14:textId="77777777">
      <w:pPr>
        <w:tabs>
          <w:tab w:val="left" w:pos="567"/>
        </w:tabs>
        <w:autoSpaceDE w:val="0"/>
        <w:autoSpaceDN w:val="0"/>
        <w:adjustRightInd w:val="0"/>
        <w:jc w:val="both"/>
        <w:rPr>
          <w:del w:id="756" w:author="AbbVie14" w:date="2025-05-09T10:28:00Z"/>
          <w:color w:val="000000"/>
          <w:sz w:val="22"/>
          <w:szCs w:val="22"/>
          <w:u w:val="single"/>
        </w:rPr>
      </w:pPr>
    </w:p>
    <w:p w:rsidR="006224C2" w:rsidRPr="00295E71" w:rsidP="00AD7AF0" w14:paraId="66F5C70C" w14:textId="77777777">
      <w:pPr>
        <w:tabs>
          <w:tab w:val="left" w:pos="567"/>
        </w:tabs>
        <w:autoSpaceDE w:val="0"/>
        <w:autoSpaceDN w:val="0"/>
        <w:adjustRightInd w:val="0"/>
        <w:jc w:val="both"/>
        <w:rPr>
          <w:del w:id="757" w:author="AbbVie14" w:date="2025-05-09T10:28:00Z"/>
          <w:color w:val="000000"/>
          <w:sz w:val="22"/>
          <w:szCs w:val="22"/>
        </w:rPr>
      </w:pPr>
      <w:del w:id="758" w:author="AbbVie14" w:date="2025-05-09T10:28:00Z">
        <w:r w:rsidRPr="00295E71">
          <w:rPr>
            <w:color w:val="000000"/>
            <w:sz w:val="22"/>
            <w:szCs w:val="22"/>
            <w:u w:val="single"/>
          </w:rPr>
          <w:delText>Riattivazione dell’Epatite B</w:delText>
        </w:r>
      </w:del>
    </w:p>
    <w:p w:rsidR="006224C2" w:rsidRPr="00295E71" w:rsidP="00AD7AF0" w14:paraId="7DE1FBFC" w14:textId="77777777">
      <w:pPr>
        <w:tabs>
          <w:tab w:val="left" w:pos="567"/>
        </w:tabs>
        <w:autoSpaceDE w:val="0"/>
        <w:autoSpaceDN w:val="0"/>
        <w:adjustRightInd w:val="0"/>
        <w:jc w:val="both"/>
        <w:rPr>
          <w:del w:id="759" w:author="AbbVie14" w:date="2025-05-09T10:28:00Z"/>
          <w:color w:val="000000"/>
          <w:sz w:val="22"/>
          <w:szCs w:val="22"/>
        </w:rPr>
      </w:pPr>
    </w:p>
    <w:p w:rsidR="006224C2" w14:paraId="618CF093" w14:textId="77777777">
      <w:pPr>
        <w:widowControl/>
        <w:tabs>
          <w:tab w:val="left" w:pos="567"/>
        </w:tabs>
        <w:autoSpaceDE w:val="0"/>
        <w:autoSpaceDN w:val="0"/>
        <w:adjustRightInd w:val="0"/>
        <w:jc w:val="both"/>
        <w:pPrChange w:id="760" w:author="AbbVie14" w:date="2025-05-09T10:28:00Z">
          <w:pPr>
            <w:widowControl w:val="0"/>
            <w:tabs>
              <w:tab w:val="left" w:pos="567"/>
            </w:tabs>
            <w:autoSpaceDE w:val="0"/>
            <w:autoSpaceDN w:val="0"/>
            <w:adjustRightInd w:val="0"/>
            <w:jc w:val="both"/>
          </w:pPr>
        </w:pPrChange>
        <w:rPr>
          <w:del w:id="761" w:author="AbbVie14" w:date="2025-05-09T10:28:00Z"/>
          <w:color w:val="000000"/>
          <w:sz w:val="22"/>
          <w:szCs w:val="22"/>
        </w:rPr>
      </w:pPr>
      <w:del w:id="762" w:author="AbbVie14" w:date="2025-05-09T10:28:00Z">
        <w:r w:rsidRPr="00295E71">
          <w:rPr>
            <w:color w:val="000000"/>
            <w:sz w:val="22"/>
            <w:szCs w:val="22"/>
          </w:rPr>
          <w:delText>In pazienti portatori cronici del virus dell’epatite B sottoposti a trattamento con antagonisti del TNF incluso Humira si è verificata una riattivazione dell’epatite B (ad es.antigene di superficie positivo) . Alcuni casi hanno avuto un esito fatale. Prima di iniziare il trattamento con Humira, i pazienti devono essere testati per l’infezione da virus dell’epatite B. Si raccomanda la consultazione di un medico con esperienza nel trattamento dell’epatite B per quei pazienti che risultano positivi al test per l’epatite B.</w:delText>
        </w:r>
      </w:del>
    </w:p>
    <w:p w:rsidR="006224C2" w:rsidRPr="00295E71" w14:paraId="76F62552" w14:textId="77777777">
      <w:pPr>
        <w:widowControl/>
        <w:tabs>
          <w:tab w:val="left" w:pos="567"/>
        </w:tabs>
        <w:autoSpaceDE w:val="0"/>
        <w:autoSpaceDN w:val="0"/>
        <w:adjustRightInd w:val="0"/>
        <w:jc w:val="both"/>
        <w:pPrChange w:id="763" w:author="AbbVie14" w:date="2025-05-09T10:28:00Z">
          <w:pPr>
            <w:widowControl w:val="0"/>
            <w:tabs>
              <w:tab w:val="left" w:pos="567"/>
            </w:tabs>
            <w:autoSpaceDE w:val="0"/>
            <w:autoSpaceDN w:val="0"/>
            <w:adjustRightInd w:val="0"/>
            <w:jc w:val="both"/>
          </w:pPr>
        </w:pPrChange>
        <w:rPr>
          <w:del w:id="764" w:author="AbbVie14" w:date="2025-05-09T10:28:00Z"/>
          <w:color w:val="000000"/>
          <w:sz w:val="22"/>
          <w:szCs w:val="22"/>
        </w:rPr>
      </w:pPr>
      <w:del w:id="765" w:author="AbbVie14" w:date="2025-05-09T10:28:00Z">
        <w:r w:rsidRPr="00295E71">
          <w:rPr>
            <w:color w:val="000000"/>
            <w:sz w:val="22"/>
            <w:szCs w:val="22"/>
          </w:rPr>
          <w:delText>I portatori del virus dell’epatite B che necessitano di un trattamento con Humira devono essere attentamente monitorati allo scopo di rilevare la comparsa dei segni e sintomi dell’infezione attiva da virus dell’epatite B non solo nel corso di tutta la terapia, ma anche durante i mesi successivi alla sospensione della terapia. Non sono disponibili dati adeguati derivanti dal trattamento di pazienti portatori del virus dell’epatite B, sottoposti a terapia anti-virale al fine di evitare la riattivazione del virus dell’epatite B, in concomitanza con la terapia con antagonisti del TNF. Nei pazienti che sviluppano una riattivazione del virus dell’epatite B, la somministrazione di Humira deve essere interrotta e deve essere istituita un’efficace terapia anti-virale accompagnata da un adeguato trattamento di supporto.</w:delText>
        </w:r>
      </w:del>
    </w:p>
    <w:p w:rsidR="006224C2" w:rsidRPr="00295E71" w:rsidP="00AD7AF0" w14:paraId="5C02A689" w14:textId="77777777">
      <w:pPr>
        <w:tabs>
          <w:tab w:val="left" w:pos="567"/>
        </w:tabs>
        <w:autoSpaceDE w:val="0"/>
        <w:autoSpaceDN w:val="0"/>
        <w:adjustRightInd w:val="0"/>
        <w:jc w:val="both"/>
        <w:rPr>
          <w:del w:id="766" w:author="AbbVie14" w:date="2025-05-09T10:28:00Z"/>
          <w:color w:val="000000"/>
          <w:sz w:val="22"/>
          <w:szCs w:val="22"/>
        </w:rPr>
      </w:pPr>
    </w:p>
    <w:p w:rsidR="006224C2" w:rsidRPr="00295E71" w14:paraId="6CBBB766" w14:textId="77777777">
      <w:pPr>
        <w:keepNext w:val="0"/>
        <w:keepLines w:val="0"/>
        <w:tabs>
          <w:tab w:val="left" w:pos="567"/>
        </w:tabs>
        <w:autoSpaceDE w:val="0"/>
        <w:autoSpaceDN w:val="0"/>
        <w:adjustRightInd w:val="0"/>
        <w:jc w:val="both"/>
        <w:pPrChange w:id="767" w:author="AbbVie14" w:date="2025-05-09T10:28:00Z">
          <w:pPr>
            <w:keepNext/>
            <w:keepLines/>
            <w:tabs>
              <w:tab w:val="left" w:pos="567"/>
            </w:tabs>
            <w:autoSpaceDE w:val="0"/>
            <w:autoSpaceDN w:val="0"/>
            <w:adjustRightInd w:val="0"/>
            <w:jc w:val="both"/>
          </w:pPr>
        </w:pPrChange>
        <w:rPr>
          <w:del w:id="768" w:author="AbbVie14" w:date="2025-05-09T10:28:00Z"/>
          <w:color w:val="000000"/>
          <w:sz w:val="22"/>
          <w:szCs w:val="22"/>
          <w:u w:val="single"/>
        </w:rPr>
      </w:pPr>
      <w:del w:id="769" w:author="AbbVie14" w:date="2025-05-09T10:28:00Z">
        <w:r w:rsidRPr="00295E71">
          <w:rPr>
            <w:color w:val="000000"/>
            <w:sz w:val="22"/>
            <w:szCs w:val="22"/>
            <w:u w:val="single"/>
          </w:rPr>
          <w:delText>Eventi neurologici</w:delText>
        </w:r>
      </w:del>
    </w:p>
    <w:p w:rsidR="006224C2" w:rsidRPr="00295E71" w14:paraId="7877B7E4" w14:textId="77777777">
      <w:pPr>
        <w:keepNext w:val="0"/>
        <w:keepLines w:val="0"/>
        <w:tabs>
          <w:tab w:val="left" w:pos="567"/>
        </w:tabs>
        <w:autoSpaceDE w:val="0"/>
        <w:autoSpaceDN w:val="0"/>
        <w:adjustRightInd w:val="0"/>
        <w:jc w:val="both"/>
        <w:pPrChange w:id="770" w:author="AbbVie14" w:date="2025-05-09T10:28:00Z">
          <w:pPr>
            <w:keepNext/>
            <w:keepLines/>
            <w:tabs>
              <w:tab w:val="left" w:pos="567"/>
            </w:tabs>
            <w:autoSpaceDE w:val="0"/>
            <w:autoSpaceDN w:val="0"/>
            <w:adjustRightInd w:val="0"/>
            <w:jc w:val="both"/>
          </w:pPr>
        </w:pPrChange>
        <w:rPr>
          <w:del w:id="771" w:author="AbbVie14" w:date="2025-05-09T10:28:00Z"/>
          <w:color w:val="000000"/>
          <w:sz w:val="22"/>
          <w:szCs w:val="22"/>
          <w:u w:val="single"/>
        </w:rPr>
      </w:pPr>
    </w:p>
    <w:p w:rsidR="006224C2" w:rsidRPr="00295E71" w14:paraId="23D69F24" w14:textId="77777777">
      <w:pPr>
        <w:keepNext w:val="0"/>
        <w:keepLines w:val="0"/>
        <w:tabs>
          <w:tab w:val="left" w:pos="567"/>
        </w:tabs>
        <w:autoSpaceDE w:val="0"/>
        <w:autoSpaceDN w:val="0"/>
        <w:adjustRightInd w:val="0"/>
        <w:jc w:val="both"/>
        <w:pPrChange w:id="772" w:author="AbbVie14" w:date="2025-05-09T10:28:00Z">
          <w:pPr>
            <w:keepNext/>
            <w:keepLines/>
            <w:tabs>
              <w:tab w:val="left" w:pos="567"/>
            </w:tabs>
            <w:autoSpaceDE w:val="0"/>
            <w:autoSpaceDN w:val="0"/>
            <w:adjustRightInd w:val="0"/>
            <w:jc w:val="both"/>
          </w:pPr>
        </w:pPrChange>
        <w:rPr>
          <w:del w:id="773" w:author="AbbVie14" w:date="2025-05-09T10:28:00Z"/>
          <w:color w:val="000000"/>
          <w:sz w:val="22"/>
          <w:szCs w:val="22"/>
        </w:rPr>
      </w:pPr>
      <w:del w:id="774" w:author="AbbVie14" w:date="2025-05-09T10:28:00Z">
        <w:r w:rsidRPr="00295E71">
          <w:rPr>
            <w:color w:val="000000"/>
            <w:sz w:val="22"/>
            <w:szCs w:val="22"/>
          </w:rPr>
          <w:delText xml:space="preserve">I farmaci anti-TNF, compreso Humira, sono stati correlati, in rari casi, con la nuova insorgenza o con l’esacerbazione di sintomi clinici e/o evidenze radiografiche di malattie demielinizzanti del sistema nervoso centrale inclusa la sclerosi </w:delText>
        </w:r>
      </w:del>
      <w:del w:id="775" w:author="AbbVie14" w:date="2025-05-09T10:28:00Z">
        <w:r w:rsidRPr="00295E71">
          <w:rPr>
            <w:sz w:val="22"/>
            <w:szCs w:val="22"/>
          </w:rPr>
          <w:delText>multipla,la neurite ottica e</w:delText>
        </w:r>
      </w:del>
      <w:del w:id="776" w:author="AbbVie14" w:date="2025-05-09T10:28:00Z">
        <w:r w:rsidRPr="00295E71">
          <w:rPr>
            <w:color w:val="000000"/>
            <w:sz w:val="22"/>
            <w:szCs w:val="22"/>
          </w:rPr>
          <w:delText>le malattie demielinizzanti periferiche, compresa la sindrome di Guillain-Barrè. Deve essere usata cautela nell’uso di Humira in quei pazienti con patologie demielinizzanti del sistema nervoso centrale o periferico pregresse o di recente insorgenza; l’interruzione di Humira deve essere presa in considerazione nel caso in cui si sviluppi una qualsiasi di queste patologie. Sussiste una nota associazione tra l’uveite intermedia e le patologie demielinizzanti del sistema nervoso centrale . La valutazione neurologica deve essere effettuata sui pazienti con uveite intermedia non infettiva prima di iniziare la terapia con Humira e a intervalli regolari durante il trattamento al fine di valutare le patologie demielinizzanti del sistema nervoso centrale pregresse o in fase di sviluppo.</w:delText>
        </w:r>
      </w:del>
    </w:p>
    <w:p w:rsidR="006224C2" w:rsidRPr="00295E71" w:rsidP="00AD7AF0" w14:paraId="7BA3DE8C" w14:textId="77777777">
      <w:pPr>
        <w:tabs>
          <w:tab w:val="left" w:pos="567"/>
        </w:tabs>
        <w:autoSpaceDE w:val="0"/>
        <w:autoSpaceDN w:val="0"/>
        <w:adjustRightInd w:val="0"/>
        <w:ind w:left="1152"/>
        <w:jc w:val="both"/>
        <w:rPr>
          <w:del w:id="777" w:author="AbbVie14" w:date="2025-05-09T10:28:00Z"/>
          <w:color w:val="000000"/>
          <w:sz w:val="22"/>
          <w:szCs w:val="22"/>
          <w:u w:val="single"/>
        </w:rPr>
      </w:pPr>
    </w:p>
    <w:p w:rsidR="006224C2" w:rsidRPr="00295E71" w:rsidP="00AD7AF0" w14:paraId="589DA315" w14:textId="77777777">
      <w:pPr>
        <w:keepNext/>
        <w:keepLines/>
        <w:tabs>
          <w:tab w:val="left" w:pos="567"/>
        </w:tabs>
        <w:jc w:val="both"/>
        <w:rPr>
          <w:del w:id="778" w:author="AbbVie14" w:date="2025-05-09T10:28:00Z"/>
          <w:color w:val="000000"/>
          <w:sz w:val="22"/>
          <w:szCs w:val="22"/>
          <w:u w:val="single"/>
        </w:rPr>
      </w:pPr>
      <w:del w:id="779" w:author="AbbVie14" w:date="2025-05-09T10:28:00Z">
        <w:r w:rsidRPr="00295E71">
          <w:rPr>
            <w:color w:val="000000"/>
            <w:sz w:val="22"/>
            <w:szCs w:val="22"/>
            <w:u w:val="single"/>
          </w:rPr>
          <w:delText>Reazioni allergiche</w:delText>
        </w:r>
      </w:del>
    </w:p>
    <w:p w:rsidR="006224C2" w:rsidRPr="00295E71" w:rsidP="00AD7AF0" w14:paraId="32865125" w14:textId="77777777">
      <w:pPr>
        <w:keepNext/>
        <w:keepLines/>
        <w:tabs>
          <w:tab w:val="left" w:pos="567"/>
        </w:tabs>
        <w:jc w:val="both"/>
        <w:rPr>
          <w:del w:id="780" w:author="AbbVie14" w:date="2025-05-09T10:28:00Z"/>
          <w:color w:val="000000"/>
          <w:sz w:val="22"/>
          <w:szCs w:val="22"/>
          <w:u w:val="single"/>
        </w:rPr>
      </w:pPr>
    </w:p>
    <w:p w:rsidR="006224C2" w:rsidRPr="00295E71" w:rsidP="00AD7AF0" w14:paraId="65E3BD39" w14:textId="77777777">
      <w:pPr>
        <w:keepNext/>
        <w:keepLines/>
        <w:tabs>
          <w:tab w:val="left" w:pos="567"/>
        </w:tabs>
        <w:autoSpaceDE w:val="0"/>
        <w:autoSpaceDN w:val="0"/>
        <w:adjustRightInd w:val="0"/>
        <w:jc w:val="both"/>
        <w:rPr>
          <w:del w:id="781" w:author="AbbVie14" w:date="2025-05-09T10:28:00Z"/>
          <w:color w:val="000000"/>
          <w:sz w:val="22"/>
          <w:szCs w:val="22"/>
        </w:rPr>
      </w:pPr>
      <w:del w:id="782" w:author="AbbVie14" w:date="2025-05-09T10:28:00Z">
        <w:r w:rsidRPr="00295E71">
          <w:rPr>
            <w:color w:val="000000"/>
            <w:sz w:val="22"/>
            <w:szCs w:val="22"/>
          </w:rPr>
          <w:delText>Nel corso degli studi clinici, reazioni allergiche gravi associate con Humira sono state rare. Le reazioni allergiche non gravi associate con Humira durante gli studi clinici sono state non comuni. Sono state ricevute segnalazioni di reazioni allergiche gravi inclusa l’anafilassi a seguito della somministrazione di Humira. Se si verificano reazioni anafilattiche o altre gravi manifestazioni allergiche, la somministrazione di Humira deve essere immediatamente interrotta e deve essere iniziata una terapia appropriata.</w:delText>
        </w:r>
      </w:del>
    </w:p>
    <w:p w:rsidR="006224C2" w:rsidRPr="00295E71" w:rsidP="00AD7AF0" w14:paraId="6CDF2A2B" w14:textId="77777777">
      <w:pPr>
        <w:tabs>
          <w:tab w:val="left" w:pos="567"/>
        </w:tabs>
        <w:autoSpaceDE w:val="0"/>
        <w:autoSpaceDN w:val="0"/>
        <w:adjustRightInd w:val="0"/>
        <w:jc w:val="both"/>
        <w:rPr>
          <w:del w:id="783" w:author="AbbVie14" w:date="2025-05-09T10:28:00Z"/>
          <w:color w:val="000000"/>
          <w:sz w:val="22"/>
          <w:szCs w:val="22"/>
        </w:rPr>
      </w:pPr>
    </w:p>
    <w:p w:rsidR="006224C2" w:rsidRPr="00295E71" w:rsidP="00AD7AF0" w14:paraId="48619421" w14:textId="77777777">
      <w:pPr>
        <w:keepNext/>
        <w:rPr>
          <w:del w:id="784" w:author="AbbVie14" w:date="2025-05-09T10:28:00Z"/>
          <w:color w:val="000000"/>
          <w:sz w:val="22"/>
          <w:szCs w:val="22"/>
          <w:u w:val="single"/>
        </w:rPr>
      </w:pPr>
      <w:del w:id="785" w:author="AbbVie14" w:date="2025-05-09T10:28:00Z">
        <w:r w:rsidRPr="00295E71">
          <w:rPr>
            <w:color w:val="000000"/>
            <w:sz w:val="22"/>
            <w:szCs w:val="22"/>
            <w:u w:val="single"/>
          </w:rPr>
          <w:delText>Immunosoppressione</w:delText>
        </w:r>
      </w:del>
    </w:p>
    <w:p w:rsidR="006224C2" w:rsidRPr="00295E71" w:rsidP="00AD7AF0" w14:paraId="627C8E07" w14:textId="77777777">
      <w:pPr>
        <w:keepNext/>
        <w:tabs>
          <w:tab w:val="left" w:pos="567"/>
        </w:tabs>
        <w:autoSpaceDE w:val="0"/>
        <w:autoSpaceDN w:val="0"/>
        <w:adjustRightInd w:val="0"/>
        <w:jc w:val="both"/>
        <w:rPr>
          <w:del w:id="786" w:author="AbbVie14" w:date="2025-05-09T10:28:00Z"/>
          <w:color w:val="000000"/>
          <w:sz w:val="22"/>
          <w:szCs w:val="22"/>
          <w:u w:val="single"/>
        </w:rPr>
      </w:pPr>
    </w:p>
    <w:p w:rsidR="006224C2" w:rsidRPr="00295E71" w:rsidP="00AD7AF0" w14:paraId="5F618CCA" w14:textId="77777777">
      <w:pPr>
        <w:keepNext/>
        <w:tabs>
          <w:tab w:val="left" w:pos="567"/>
        </w:tabs>
        <w:jc w:val="both"/>
        <w:rPr>
          <w:del w:id="787" w:author="AbbVie14" w:date="2025-05-09T10:28:00Z"/>
          <w:color w:val="000000"/>
          <w:sz w:val="22"/>
          <w:szCs w:val="22"/>
        </w:rPr>
      </w:pPr>
      <w:del w:id="788" w:author="AbbVie14" w:date="2025-05-09T10:28:00Z">
        <w:r w:rsidRPr="00295E71">
          <w:rPr>
            <w:color w:val="000000"/>
            <w:sz w:val="22"/>
            <w:szCs w:val="22"/>
          </w:rPr>
          <w:delText xml:space="preserve">In uno studio su 64 pazienti con artrite reumatoide, sottoposti a trattamento con Humira, non è stata evidenziata alcuna inibizione dell’ipersensibilità ritardata, nè riduzione dei livelli delle immunoglobuline o cambiamenti nel numero dei linfociti T, B, delle cellule NK, dei monociti/macrofagi e dei neutrofili. </w:delText>
        </w:r>
      </w:del>
    </w:p>
    <w:p w:rsidR="006224C2" w:rsidRPr="00295E71" w:rsidP="00AD7AF0" w14:paraId="3C6310F4" w14:textId="77777777">
      <w:pPr>
        <w:tabs>
          <w:tab w:val="left" w:pos="567"/>
        </w:tabs>
        <w:jc w:val="both"/>
        <w:rPr>
          <w:del w:id="789" w:author="AbbVie14" w:date="2025-05-09T10:28:00Z"/>
          <w:color w:val="000000"/>
          <w:sz w:val="22"/>
          <w:szCs w:val="22"/>
        </w:rPr>
      </w:pPr>
    </w:p>
    <w:p w:rsidR="006224C2" w:rsidRPr="00295E71" w:rsidP="00AD7AF0" w14:paraId="3F8E25E0" w14:textId="77777777">
      <w:pPr>
        <w:rPr>
          <w:del w:id="790" w:author="AbbVie14" w:date="2025-05-09T10:28:00Z"/>
          <w:color w:val="000000"/>
          <w:sz w:val="22"/>
          <w:szCs w:val="22"/>
          <w:u w:val="single"/>
        </w:rPr>
      </w:pPr>
      <w:del w:id="791" w:author="AbbVie14" w:date="2025-05-09T10:28:00Z">
        <w:r w:rsidRPr="00295E71">
          <w:rPr>
            <w:color w:val="000000"/>
            <w:sz w:val="22"/>
            <w:szCs w:val="22"/>
            <w:u w:val="single"/>
          </w:rPr>
          <w:delText>Neoplasie e malattie linfoproliferative</w:delText>
        </w:r>
      </w:del>
    </w:p>
    <w:p w:rsidR="006224C2" w:rsidRPr="00295E71" w14:paraId="4B4FD5EB" w14:textId="77777777">
      <w:pPr>
        <w:tabs>
          <w:tab w:val="left" w:pos="567"/>
        </w:tabs>
        <w:jc w:val="both"/>
        <w:rPr>
          <w:del w:id="792" w:author="AbbVie14" w:date="2025-05-09T10:29:00Z"/>
          <w:color w:val="000000"/>
          <w:sz w:val="22"/>
          <w:szCs w:val="22"/>
        </w:rPr>
      </w:pPr>
    </w:p>
    <w:p w:rsidR="006224C2" w:rsidRPr="00295E71" w14:paraId="50CE8684" w14:textId="77777777">
      <w:pPr>
        <w:tabs>
          <w:tab w:val="left" w:pos="567"/>
        </w:tabs>
        <w:jc w:val="both"/>
        <w:rPr>
          <w:del w:id="793" w:author="AbbVie14" w:date="2025-05-09T10:29:00Z"/>
          <w:color w:val="000000"/>
          <w:sz w:val="22"/>
          <w:szCs w:val="22"/>
        </w:rPr>
      </w:pPr>
      <w:del w:id="794" w:author="AbbVie14" w:date="2025-05-09T10:29:00Z">
        <w:r w:rsidRPr="00295E71">
          <w:rPr>
            <w:color w:val="000000"/>
            <w:sz w:val="22"/>
            <w:szCs w:val="22"/>
          </w:rPr>
          <w:delText>Nelle sezioni controllate degli studi clinici con farmaci anti-TNF, sono stati osservati più casi di neoplasie, incluso linfoma, nei pazienti riceventi un anti-TNF rispetto al gruppo di controllo. Tuttavia, i casi sono stati rari.</w:delText>
        </w:r>
      </w:del>
      <w:del w:id="795" w:author="AbbVie14" w:date="2025-05-09T10:29:00Z">
        <w:r w:rsidRPr="00295E71" w:rsidR="003A68D3">
          <w:rPr>
            <w:color w:val="000000"/>
            <w:sz w:val="22"/>
            <w:szCs w:val="22"/>
          </w:rPr>
          <w:delText xml:space="preserve"> </w:delText>
        </w:r>
      </w:del>
      <w:del w:id="796" w:author="AbbVie14" w:date="2025-05-09T10:29:00Z">
        <w:r w:rsidRPr="00295E71">
          <w:rPr>
            <w:color w:val="000000"/>
            <w:sz w:val="22"/>
            <w:szCs w:val="22"/>
          </w:rPr>
          <w:delText>In studi postmarketing, sono stati riportati casi di leucemia in pazienti trattati con un antagonista-TNF.C’è un maggiore aumento del rischio di sviluppare linfomi e leucemia per i pazienti con artrite reumatoide gravemente attiva e di lunga durata, una patologia infiammatoria che complica la valutazione del rischio. Con le attuali conoscenze, non è possibile escludere lo sviluppo di linfomi, leucemia e altre neoplasie in pazienti trattati con farmaci anti-TNF.</w:delText>
        </w:r>
      </w:del>
    </w:p>
    <w:p w:rsidR="006224C2" w:rsidRPr="00295E71" w14:paraId="1E0B503E" w14:textId="77777777">
      <w:pPr>
        <w:tabs>
          <w:tab w:val="left" w:pos="567"/>
        </w:tabs>
        <w:jc w:val="both"/>
        <w:rPr>
          <w:del w:id="797" w:author="AbbVie14" w:date="2025-05-09T10:29:00Z"/>
          <w:color w:val="000000"/>
          <w:sz w:val="22"/>
          <w:szCs w:val="22"/>
        </w:rPr>
      </w:pPr>
    </w:p>
    <w:p w:rsidR="006224C2" w:rsidRPr="00295E71" w14:paraId="33122FA5" w14:textId="77777777">
      <w:pPr>
        <w:tabs>
          <w:tab w:val="left" w:pos="567"/>
        </w:tabs>
        <w:jc w:val="both"/>
        <w:rPr>
          <w:del w:id="798" w:author="AbbVie14" w:date="2025-05-09T10:29:00Z"/>
          <w:color w:val="000000"/>
          <w:sz w:val="22"/>
          <w:szCs w:val="22"/>
        </w:rPr>
      </w:pPr>
      <w:del w:id="799" w:author="AbbVie14" w:date="2025-05-09T10:29:00Z">
        <w:r w:rsidRPr="00295E71">
          <w:rPr>
            <w:color w:val="000000"/>
            <w:sz w:val="22"/>
            <w:szCs w:val="22"/>
          </w:rPr>
          <w:delText>Casi di tumori, alcuni fatali, sono stati riportati inbambini, adolescenti e adulti di giovane età (fino all’età di 22 anni) trattati con antagonisti del TNF (inizio della terapia ≤ 18 anni), compreso l’ adalimumab, negli studi postmarketing.</w:delText>
        </w:r>
      </w:del>
    </w:p>
    <w:p w:rsidR="006224C2" w:rsidRPr="00295E71" w14:paraId="5BBA8D9A" w14:textId="77777777">
      <w:pPr>
        <w:tabs>
          <w:tab w:val="left" w:pos="567"/>
        </w:tabs>
        <w:jc w:val="both"/>
        <w:rPr>
          <w:del w:id="800" w:author="AbbVie14" w:date="2025-05-09T10:29:00Z"/>
          <w:color w:val="000000"/>
          <w:sz w:val="22"/>
          <w:szCs w:val="22"/>
        </w:rPr>
      </w:pPr>
      <w:del w:id="801" w:author="AbbVie14" w:date="2025-05-09T10:29:00Z">
        <w:r w:rsidRPr="00295E71">
          <w:rPr>
            <w:color w:val="000000"/>
            <w:sz w:val="22"/>
            <w:szCs w:val="22"/>
          </w:rPr>
          <w:delText>Circa metà dei casi sono stati linfomi. Gli altri casi hanno rappresentato una molteplicità di differenti tumori e hanno incluso rari tumori solitamente associati con immunosoppressione. Non può essere escluso un rischio per lo sviluppo di tumori in bambini ed adolescenti trattati con antagonisti del TNF.</w:delText>
        </w:r>
      </w:del>
    </w:p>
    <w:p w:rsidR="006224C2" w:rsidRPr="00295E71" w14:paraId="1ED743C9" w14:textId="77777777">
      <w:pPr>
        <w:tabs>
          <w:tab w:val="left" w:pos="567"/>
        </w:tabs>
        <w:jc w:val="both"/>
        <w:rPr>
          <w:del w:id="802" w:author="AbbVie14" w:date="2025-05-09T10:29:00Z"/>
          <w:color w:val="000000"/>
          <w:sz w:val="22"/>
          <w:szCs w:val="22"/>
        </w:rPr>
      </w:pPr>
    </w:p>
    <w:p w:rsidR="006224C2" w:rsidRPr="00295E71" w14:paraId="43502CA4" w14:textId="77777777">
      <w:pPr>
        <w:tabs>
          <w:tab w:val="left" w:pos="567"/>
        </w:tabs>
        <w:jc w:val="both"/>
        <w:rPr>
          <w:del w:id="803" w:author="AbbVie14" w:date="2025-05-09T10:29:00Z"/>
          <w:color w:val="000000"/>
          <w:sz w:val="22"/>
          <w:szCs w:val="22"/>
        </w:rPr>
      </w:pPr>
      <w:del w:id="804" w:author="AbbVie14" w:date="2025-05-09T10:29:00Z">
        <w:r w:rsidRPr="00295E71">
          <w:rPr>
            <w:color w:val="000000"/>
            <w:sz w:val="22"/>
            <w:szCs w:val="22"/>
          </w:rPr>
          <w:delText>Nei pazienti trattati con adalimumab sono stati osservati rari casi postmarketing di linfoma epatosplenico a cellule T. Questo raro tipo di linfoma a cellule T ha un decorso clinico molto aggressivo ed è spesso fatale. Alcuni di questi casi di linfoma epatosplenico a cellule T si sono manifestati in giovani pazienti adulti trattati con Humira e sottoposti a terapia concomitante con azatioprina o 6</w:delText>
        </w:r>
      </w:del>
      <w:del w:id="805" w:author="AbbVie14" w:date="2025-05-09T10:29:00Z">
        <w:r w:rsidRPr="00295E71">
          <w:rPr>
            <w:color w:val="000000"/>
            <w:sz w:val="22"/>
            <w:szCs w:val="22"/>
          </w:rPr>
          <w:noBreakHyphen/>
          <w:delText>mercaptopurina, farmaci utilizzati per il trattamento delle malattie infiammatorie intestinali.Deve essere attentamente considerato il rischio potenziale derivante dalla combinazione di azatioprina o 6</w:delText>
        </w:r>
      </w:del>
      <w:del w:id="806" w:author="AbbVie14" w:date="2025-05-09T10:29:00Z">
        <w:r w:rsidRPr="00295E71">
          <w:rPr>
            <w:color w:val="000000"/>
            <w:sz w:val="22"/>
            <w:szCs w:val="22"/>
          </w:rPr>
          <w:noBreakHyphen/>
          <w:delText>mercaptopurina e Humira.</w:delText>
        </w:r>
      </w:del>
      <w:del w:id="807" w:author="AbbVie14" w:date="2025-05-09T10:29:00Z">
        <w:r w:rsidRPr="00295E71" w:rsidR="005A2662">
          <w:rPr>
            <w:color w:val="000000"/>
            <w:sz w:val="22"/>
            <w:szCs w:val="22"/>
          </w:rPr>
          <w:delText xml:space="preserve"> </w:delText>
        </w:r>
      </w:del>
      <w:del w:id="808" w:author="AbbVie14" w:date="2025-05-09T10:29:00Z">
        <w:r w:rsidRPr="00295E71">
          <w:rPr>
            <w:color w:val="000000"/>
            <w:sz w:val="22"/>
            <w:szCs w:val="22"/>
          </w:rPr>
          <w:delText>Nei pazienti trattati con Humira non può essere escluso il rischio di sviluppo del linfoma epatosplenico a cellule T (vedere paragrafo 4.8).</w:delText>
        </w:r>
      </w:del>
    </w:p>
    <w:p w:rsidR="006224C2" w:rsidRPr="00295E71" w14:paraId="75CD7960" w14:textId="77777777">
      <w:pPr>
        <w:tabs>
          <w:tab w:val="left" w:pos="567"/>
        </w:tabs>
        <w:jc w:val="both"/>
        <w:rPr>
          <w:del w:id="809" w:author="AbbVie14" w:date="2025-05-09T10:29:00Z"/>
          <w:color w:val="000000"/>
          <w:sz w:val="22"/>
          <w:szCs w:val="22"/>
        </w:rPr>
      </w:pPr>
    </w:p>
    <w:p w:rsidR="006224C2" w:rsidRPr="00295E71" w:rsidP="00F57FE5" w14:paraId="66B643FF" w14:textId="77777777">
      <w:pPr>
        <w:keepNext/>
        <w:keepLines/>
        <w:tabs>
          <w:tab w:val="left" w:pos="567"/>
        </w:tabs>
        <w:jc w:val="both"/>
        <w:rPr>
          <w:del w:id="810" w:author="AbbVie14" w:date="2025-05-09T10:29:00Z"/>
          <w:color w:val="000000"/>
          <w:sz w:val="22"/>
          <w:szCs w:val="22"/>
        </w:rPr>
      </w:pPr>
      <w:del w:id="811" w:author="AbbVie14" w:date="2025-05-09T10:29:00Z">
        <w:r w:rsidRPr="00295E71">
          <w:rPr>
            <w:color w:val="000000"/>
            <w:sz w:val="22"/>
            <w:szCs w:val="22"/>
          </w:rPr>
          <w:delText>Non sono stati condotti studi clinici su pazienti con anamnesi positiva per neoplasie o su pazienti nei quali il trattamento con Humira è continuato dopo lo sviluppo di neoplasia. Pertanto, il trattamento con Humira in questa tipologia di pazienti deve essere considerato con ulteriore cautela (vedere paragrafo 4.8).</w:delText>
        </w:r>
      </w:del>
    </w:p>
    <w:p w:rsidR="006224C2" w:rsidRPr="00295E71" w14:paraId="795B6BAB" w14:textId="77777777">
      <w:pPr>
        <w:tabs>
          <w:tab w:val="left" w:pos="567"/>
        </w:tabs>
        <w:jc w:val="both"/>
        <w:rPr>
          <w:del w:id="812" w:author="AbbVie14" w:date="2025-05-09T10:29:00Z"/>
          <w:color w:val="000000"/>
          <w:sz w:val="22"/>
          <w:szCs w:val="22"/>
        </w:rPr>
      </w:pPr>
    </w:p>
    <w:p w:rsidR="006224C2" w:rsidRPr="00295E71" w14:paraId="433E7DC0" w14:textId="77777777">
      <w:pPr>
        <w:tabs>
          <w:tab w:val="left" w:pos="567"/>
        </w:tabs>
        <w:jc w:val="both"/>
        <w:rPr>
          <w:del w:id="813" w:author="AbbVie14" w:date="2025-05-09T10:29:00Z"/>
          <w:color w:val="000000"/>
          <w:sz w:val="22"/>
          <w:szCs w:val="22"/>
        </w:rPr>
      </w:pPr>
      <w:del w:id="814" w:author="AbbVie14" w:date="2025-05-09T10:29:00Z">
        <w:r w:rsidRPr="00295E71">
          <w:rPr>
            <w:color w:val="000000"/>
            <w:sz w:val="22"/>
            <w:szCs w:val="22"/>
          </w:rPr>
          <w:delText>Prima e durante il trattamento con Humira, tutti i pazienti, in particolare i soggetti che presentano una storia clinica da cui risultino massicce terapie immunosoppressive o soggetti affetti da psoriasi che presentano storia clinica di trattamento con PUVA, devono essere esaminati per valutare la presenza di un eventuale tumore della pelle non melanotico. Nei pazienti trattati con antagonisti del TNF, incluso adalimumab, sono stati anche riportati melanoma e carcinoma a cellule di Merkel (vedere paragrafo 4.8).</w:delText>
        </w:r>
      </w:del>
    </w:p>
    <w:p w:rsidR="006224C2" w:rsidRPr="00295E71" w14:paraId="4F6B07B0" w14:textId="77777777">
      <w:pPr>
        <w:tabs>
          <w:tab w:val="left" w:pos="567"/>
        </w:tabs>
        <w:jc w:val="both"/>
        <w:rPr>
          <w:del w:id="815" w:author="AbbVie14" w:date="2025-05-09T10:29:00Z"/>
          <w:color w:val="000000"/>
          <w:sz w:val="22"/>
          <w:szCs w:val="22"/>
        </w:rPr>
      </w:pPr>
    </w:p>
    <w:p w:rsidR="006224C2" w:rsidRPr="00295E71" w14:paraId="5812DC14" w14:textId="77777777">
      <w:pPr>
        <w:tabs>
          <w:tab w:val="left" w:pos="567"/>
        </w:tabs>
        <w:jc w:val="both"/>
        <w:rPr>
          <w:del w:id="816" w:author="AbbVie14" w:date="2025-05-09T10:29:00Z"/>
          <w:color w:val="000000"/>
          <w:sz w:val="22"/>
          <w:szCs w:val="22"/>
        </w:rPr>
      </w:pPr>
      <w:del w:id="817" w:author="AbbVie14" w:date="2025-05-09T10:29:00Z">
        <w:r w:rsidRPr="00295E71">
          <w:rPr>
            <w:color w:val="000000"/>
            <w:sz w:val="22"/>
            <w:szCs w:val="22"/>
          </w:rPr>
          <w:delText>In uno studio clinico esplorativo sulla valutazione dell’uso di un altro agente antagonista del TNF, infliximab, in pazienti con malattia polmonare cronica ostruttiva (COPD) da moderata a grave, furono riportate, nei pazienti trattati con infliximab rispetto ai pazienti controllo, più neoplasie, soprattutto al polmone o alla testa ed al collo. Tutti i pazienti avevano una storia di grandi fumatori.</w:delText>
        </w:r>
      </w:del>
    </w:p>
    <w:p w:rsidR="006224C2" w:rsidRPr="00295E71" w14:paraId="6691CFBE" w14:textId="77777777">
      <w:pPr>
        <w:tabs>
          <w:tab w:val="left" w:pos="567"/>
        </w:tabs>
        <w:jc w:val="both"/>
        <w:rPr>
          <w:del w:id="818" w:author="AbbVie14" w:date="2025-05-09T10:29:00Z"/>
          <w:color w:val="000000"/>
          <w:sz w:val="22"/>
          <w:szCs w:val="22"/>
        </w:rPr>
      </w:pPr>
      <w:del w:id="819" w:author="AbbVie14" w:date="2025-05-09T10:29:00Z">
        <w:r w:rsidRPr="00295E71">
          <w:rPr>
            <w:color w:val="000000"/>
            <w:sz w:val="22"/>
            <w:szCs w:val="22"/>
          </w:rPr>
          <w:delText>Pertanto, deve essere usata cautela quando si utilizza qualsiasi antagonista-TNF in pazienti affetti da COPD, così come in pazienti con aumentato rischio di neoplasia dovut</w:delText>
        </w:r>
      </w:del>
      <w:del w:id="820" w:author="AbbVie14" w:date="2025-05-09T10:29:00Z">
        <w:r w:rsidR="00955E55">
          <w:rPr>
            <w:color w:val="000000"/>
            <w:sz w:val="22"/>
            <w:szCs w:val="22"/>
          </w:rPr>
          <w:delText>o</w:delText>
        </w:r>
      </w:del>
      <w:del w:id="821" w:author="AbbVie14" w:date="2025-05-09T10:29:00Z">
        <w:r w:rsidRPr="00295E71">
          <w:rPr>
            <w:color w:val="000000"/>
            <w:sz w:val="22"/>
            <w:szCs w:val="22"/>
          </w:rPr>
          <w:delText xml:space="preserve"> al fumo eccessivo.</w:delText>
        </w:r>
      </w:del>
    </w:p>
    <w:p w:rsidR="006224C2" w:rsidRPr="00295E71" w14:paraId="02DB9C1F" w14:textId="77777777">
      <w:pPr>
        <w:tabs>
          <w:tab w:val="left" w:pos="567"/>
        </w:tabs>
        <w:jc w:val="both"/>
        <w:rPr>
          <w:del w:id="822" w:author="AbbVie14" w:date="2025-05-09T10:29:00Z"/>
          <w:color w:val="000000"/>
          <w:sz w:val="22"/>
          <w:szCs w:val="22"/>
        </w:rPr>
      </w:pPr>
    </w:p>
    <w:p w:rsidR="006224C2" w:rsidRPr="00295E71" w14:paraId="3E00FA8C" w14:textId="77777777">
      <w:pPr>
        <w:tabs>
          <w:tab w:val="left" w:pos="567"/>
        </w:tabs>
        <w:jc w:val="both"/>
        <w:rPr>
          <w:del w:id="823" w:author="AbbVie14" w:date="2025-05-09T10:29:00Z"/>
          <w:color w:val="000000"/>
          <w:sz w:val="22"/>
          <w:szCs w:val="22"/>
        </w:rPr>
      </w:pPr>
      <w:del w:id="824" w:author="AbbVie14" w:date="2025-05-09T10:29:00Z">
        <w:r w:rsidRPr="00295E71">
          <w:rPr>
            <w:color w:val="000000"/>
            <w:sz w:val="22"/>
            <w:szCs w:val="22"/>
          </w:rPr>
          <w:delText>In base ai dati attuali non è noto se il trattamento con adalimumab influenzi il rischio di sviluppare displasia o cancro del colon. Tutti i pazienti affetti da colite ulcerosa che sono ad aumentato rischio di displasia o carcinoma del colon</w:delText>
        </w:r>
      </w:del>
      <w:del w:id="825" w:author="AbbVie14" w:date="2025-05-09T10:29:00Z">
        <w:r w:rsidRPr="00295E71" w:rsidR="005D077B">
          <w:rPr>
            <w:color w:val="000000"/>
            <w:sz w:val="22"/>
            <w:szCs w:val="22"/>
          </w:rPr>
          <w:delText xml:space="preserve"> </w:delText>
        </w:r>
      </w:del>
      <w:del w:id="826" w:author="AbbVie14" w:date="2025-05-09T10:29:00Z">
        <w:r w:rsidRPr="00295E71">
          <w:rPr>
            <w:color w:val="000000"/>
            <w:sz w:val="22"/>
            <w:szCs w:val="22"/>
          </w:rPr>
          <w:delText xml:space="preserve">(per esempio, pazienti affetti da colite ulcerosa da lunga data o da colangite sclerosante primaria), o che hanno avuto una precedente anamnesi di displasia o di carcinoma al colon devono essere sottoposti a screening regolari per displasia </w:delText>
        </w:r>
      </w:del>
      <w:del w:id="827" w:author="AbbVie14" w:date="2025-05-09T10:29:00Z">
        <w:r w:rsidRPr="00295E71" w:rsidR="00522EA6">
          <w:rPr>
            <w:color w:val="000000"/>
            <w:sz w:val="22"/>
            <w:szCs w:val="22"/>
          </w:rPr>
          <w:delText xml:space="preserve">prima della terapia e </w:delText>
        </w:r>
      </w:del>
      <w:del w:id="828" w:author="AbbVie14" w:date="2025-05-09T10:29:00Z">
        <w:r w:rsidRPr="00295E71">
          <w:rPr>
            <w:color w:val="000000"/>
            <w:sz w:val="22"/>
            <w:szCs w:val="22"/>
          </w:rPr>
          <w:delText>durante tutto il corso della malattia. Questa valutazione deve includere colonscopie e biopsie in base a</w:delText>
        </w:r>
      </w:del>
      <w:del w:id="829" w:author="AbbVie14" w:date="2025-05-09T10:29:00Z">
        <w:r w:rsidR="00955E55">
          <w:rPr>
            <w:color w:val="000000"/>
            <w:sz w:val="22"/>
            <w:szCs w:val="22"/>
          </w:rPr>
          <w:delText>lle</w:delText>
        </w:r>
      </w:del>
      <w:del w:id="830" w:author="AbbVie14" w:date="2025-05-09T10:29:00Z">
        <w:r w:rsidRPr="00295E71">
          <w:rPr>
            <w:color w:val="000000"/>
            <w:sz w:val="22"/>
            <w:szCs w:val="22"/>
          </w:rPr>
          <w:delText xml:space="preserve"> raccomandazioni locali. </w:delText>
        </w:r>
      </w:del>
    </w:p>
    <w:p w:rsidR="006224C2" w:rsidRPr="00295E71" w14:paraId="4698A9EC" w14:textId="77777777">
      <w:pPr>
        <w:tabs>
          <w:tab w:val="left" w:pos="567"/>
        </w:tabs>
        <w:jc w:val="both"/>
        <w:rPr>
          <w:del w:id="831" w:author="AbbVie14" w:date="2025-05-09T10:29:00Z"/>
          <w:color w:val="000000"/>
          <w:sz w:val="22"/>
          <w:szCs w:val="22"/>
        </w:rPr>
      </w:pPr>
    </w:p>
    <w:p w:rsidR="006224C2" w:rsidRPr="00295E71" w:rsidP="00A60A0D" w14:paraId="69BBA424" w14:textId="77777777">
      <w:pPr>
        <w:keepNext/>
        <w:tabs>
          <w:tab w:val="left" w:pos="567"/>
        </w:tabs>
        <w:jc w:val="both"/>
        <w:rPr>
          <w:del w:id="832" w:author="AbbVie14" w:date="2025-05-09T10:29:00Z"/>
          <w:color w:val="000000"/>
          <w:sz w:val="22"/>
          <w:szCs w:val="22"/>
          <w:u w:val="single"/>
        </w:rPr>
      </w:pPr>
      <w:del w:id="833" w:author="AbbVie14" w:date="2025-05-09T10:29:00Z">
        <w:r w:rsidRPr="00295E71">
          <w:rPr>
            <w:color w:val="000000"/>
            <w:sz w:val="22"/>
            <w:szCs w:val="22"/>
            <w:u w:val="single"/>
          </w:rPr>
          <w:delText>Reazioni a carico del sistema emopoietico</w:delText>
        </w:r>
      </w:del>
    </w:p>
    <w:p w:rsidR="006224C2" w:rsidRPr="00295E71" w:rsidP="00A60A0D" w14:paraId="5E94D803" w14:textId="77777777">
      <w:pPr>
        <w:keepNext/>
        <w:tabs>
          <w:tab w:val="left" w:pos="567"/>
        </w:tabs>
        <w:jc w:val="both"/>
        <w:rPr>
          <w:del w:id="834" w:author="AbbVie14" w:date="2025-05-09T10:29:00Z"/>
          <w:color w:val="000000"/>
          <w:sz w:val="22"/>
          <w:szCs w:val="22"/>
          <w:u w:val="single"/>
        </w:rPr>
      </w:pPr>
    </w:p>
    <w:p w:rsidR="006224C2" w:rsidRPr="00295E71" w14:paraId="0F2FCA41" w14:textId="77777777">
      <w:pPr>
        <w:tabs>
          <w:tab w:val="left" w:pos="567"/>
        </w:tabs>
        <w:jc w:val="both"/>
        <w:rPr>
          <w:del w:id="835" w:author="AbbVie14" w:date="2025-05-09T10:29:00Z"/>
          <w:color w:val="000000"/>
          <w:sz w:val="22"/>
          <w:szCs w:val="22"/>
        </w:rPr>
      </w:pPr>
      <w:del w:id="836" w:author="AbbVie14" w:date="2025-05-09T10:29:00Z">
        <w:r w:rsidRPr="00295E71">
          <w:rPr>
            <w:color w:val="000000"/>
            <w:sz w:val="22"/>
            <w:szCs w:val="22"/>
          </w:rPr>
          <w:delText xml:space="preserve">In seguito all’uso di farmaci anti-TNF, sono stati segnalati rari casi di pancitopenia, tra cui la comparsa di anemia aplastica. </w:delText>
        </w:r>
      </w:del>
    </w:p>
    <w:p w:rsidR="006224C2" w:rsidRPr="00295E71" w14:paraId="376EC6F4" w14:textId="77777777">
      <w:pPr>
        <w:tabs>
          <w:tab w:val="left" w:pos="567"/>
        </w:tabs>
        <w:jc w:val="both"/>
        <w:rPr>
          <w:del w:id="837" w:author="AbbVie14" w:date="2025-05-09T10:29:00Z"/>
          <w:color w:val="000000"/>
          <w:sz w:val="22"/>
          <w:szCs w:val="22"/>
        </w:rPr>
      </w:pPr>
    </w:p>
    <w:p w:rsidR="006224C2" w:rsidRPr="00295E71" w14:paraId="2FD33FFB" w14:textId="77777777">
      <w:pPr>
        <w:tabs>
          <w:tab w:val="left" w:pos="567"/>
        </w:tabs>
        <w:jc w:val="both"/>
        <w:rPr>
          <w:del w:id="838" w:author="AbbVie14" w:date="2025-05-09T10:29:00Z"/>
          <w:color w:val="000000"/>
          <w:sz w:val="22"/>
          <w:szCs w:val="22"/>
        </w:rPr>
      </w:pPr>
      <w:del w:id="839" w:author="AbbVie14" w:date="2025-05-09T10:29:00Z">
        <w:r w:rsidRPr="00295E71">
          <w:rPr>
            <w:color w:val="000000"/>
            <w:sz w:val="22"/>
            <w:szCs w:val="22"/>
          </w:rPr>
          <w:delText>Nei pazienti sottoposti a trattamento con Humira, sono stati segnalati eventi avversi a carico del sistema emopoietico, tra cui citopenie significative dal punto di vista medico (per esempio, trombocitopenia, leucopenia). Durante il trattamento con Humira tutti i pazienti devono essere avvisati della necessità di consultare immediatamente un medico per ottenere adeguata assistenza nel caso in cui si manifestino segni e sintomi che suggeriscano la presenza di discrasia ematica (per esempio, febbre persistente, ecchimosi, emorragia, pallore). Nel caso di pazienti che presentino confermate significative alterazioni a carico del sistema emopoietico, si deve prendere in considerazione la necessità di interrompere la terapia a base di Humira.</w:delText>
        </w:r>
      </w:del>
    </w:p>
    <w:p w:rsidR="006224C2" w:rsidRPr="00295E71" w14:paraId="564A42A5" w14:textId="77777777">
      <w:pPr>
        <w:tabs>
          <w:tab w:val="left" w:pos="567"/>
        </w:tabs>
        <w:jc w:val="both"/>
        <w:rPr>
          <w:del w:id="840" w:author="AbbVie14" w:date="2025-05-09T10:29:00Z"/>
          <w:sz w:val="22"/>
          <w:szCs w:val="22"/>
        </w:rPr>
      </w:pPr>
    </w:p>
    <w:p w:rsidR="006224C2" w:rsidRPr="00295E71" w14:paraId="79EB9233" w14:textId="77777777">
      <w:pPr>
        <w:keepNext/>
        <w:tabs>
          <w:tab w:val="left" w:pos="567"/>
        </w:tabs>
        <w:autoSpaceDE w:val="0"/>
        <w:autoSpaceDN w:val="0"/>
        <w:adjustRightInd w:val="0"/>
        <w:jc w:val="both"/>
        <w:rPr>
          <w:del w:id="841" w:author="AbbVie14" w:date="2025-05-09T10:29:00Z"/>
          <w:sz w:val="22"/>
          <w:szCs w:val="22"/>
          <w:u w:val="single"/>
        </w:rPr>
      </w:pPr>
      <w:del w:id="842" w:author="AbbVie14" w:date="2025-05-09T10:29:00Z">
        <w:r w:rsidRPr="00295E71">
          <w:rPr>
            <w:sz w:val="22"/>
            <w:szCs w:val="22"/>
            <w:u w:val="single"/>
          </w:rPr>
          <w:delText>Vaccinazioni</w:delText>
        </w:r>
      </w:del>
    </w:p>
    <w:p w:rsidR="006224C2" w:rsidRPr="00295E71" w14:paraId="5D549BB2" w14:textId="77777777">
      <w:pPr>
        <w:keepNext/>
        <w:tabs>
          <w:tab w:val="left" w:pos="567"/>
        </w:tabs>
        <w:autoSpaceDE w:val="0"/>
        <w:autoSpaceDN w:val="0"/>
        <w:adjustRightInd w:val="0"/>
        <w:jc w:val="both"/>
        <w:rPr>
          <w:del w:id="843" w:author="AbbVie14" w:date="2025-05-09T10:29:00Z"/>
          <w:sz w:val="22"/>
          <w:szCs w:val="22"/>
          <w:u w:val="single"/>
        </w:rPr>
      </w:pPr>
    </w:p>
    <w:p w:rsidR="006224C2" w:rsidRPr="00295E71" w14:paraId="11E5EE88" w14:textId="77777777">
      <w:pPr>
        <w:keepNext/>
        <w:tabs>
          <w:tab w:val="left" w:pos="567"/>
        </w:tabs>
        <w:autoSpaceDE w:val="0"/>
        <w:autoSpaceDN w:val="0"/>
        <w:adjustRightInd w:val="0"/>
        <w:jc w:val="both"/>
        <w:rPr>
          <w:del w:id="844" w:author="AbbVie14" w:date="2025-05-09T10:29:00Z"/>
          <w:sz w:val="22"/>
          <w:szCs w:val="22"/>
        </w:rPr>
      </w:pPr>
      <w:del w:id="845" w:author="AbbVie14" w:date="2025-05-09T10:29:00Z">
        <w:r w:rsidRPr="00295E71">
          <w:rPr>
            <w:sz w:val="22"/>
            <w:szCs w:val="22"/>
          </w:rPr>
          <w:delText xml:space="preserve">Risposte anticorpali simili al vaccino standard 23-valente pneumococcico ed al vaccino trivalente per il virus dell’influenza sono state osservate in uno studio condotto su 226 soggetti adulti affetti da artrite reumatoide che sono stati trattati con adalimumab o con placebo. Non ci sono dati disponibili sulla trasmissione secondaria di infezione da vaccini vivi in pazienti che stanno assumendo Humira. </w:delText>
        </w:r>
      </w:del>
    </w:p>
    <w:p w:rsidR="006224C2" w:rsidRPr="00295E71" w14:paraId="3CFC9C57" w14:textId="77777777">
      <w:pPr>
        <w:tabs>
          <w:tab w:val="left" w:pos="567"/>
        </w:tabs>
        <w:autoSpaceDE w:val="0"/>
        <w:autoSpaceDN w:val="0"/>
        <w:adjustRightInd w:val="0"/>
        <w:jc w:val="both"/>
        <w:rPr>
          <w:del w:id="846" w:author="AbbVie14" w:date="2025-05-09T10:29:00Z"/>
          <w:sz w:val="22"/>
          <w:szCs w:val="22"/>
        </w:rPr>
      </w:pPr>
    </w:p>
    <w:p w:rsidR="006224C2" w:rsidRPr="00295E71" w14:paraId="420693A4" w14:textId="77777777">
      <w:pPr>
        <w:tabs>
          <w:tab w:val="left" w:pos="567"/>
        </w:tabs>
        <w:autoSpaceDE w:val="0"/>
        <w:autoSpaceDN w:val="0"/>
        <w:adjustRightInd w:val="0"/>
        <w:jc w:val="both"/>
        <w:rPr>
          <w:del w:id="847" w:author="AbbVie14" w:date="2025-05-09T10:29:00Z"/>
          <w:sz w:val="22"/>
          <w:szCs w:val="22"/>
        </w:rPr>
      </w:pPr>
      <w:del w:id="848" w:author="AbbVie14" w:date="2025-05-09T10:29:00Z">
        <w:r w:rsidRPr="00295E71">
          <w:rPr>
            <w:sz w:val="22"/>
            <w:szCs w:val="22"/>
          </w:rPr>
          <w:delText>Nei pazienti pediatrici, prima di iniziare la terapia a base di Humira si raccomanda, se possibile, di attuare il programma di vaccinazioni previsto, in ottemperanza alle linee guida in vigore sulle vaccinazioni.</w:delText>
        </w:r>
      </w:del>
    </w:p>
    <w:p w:rsidR="006224C2" w:rsidRPr="00295E71" w14:paraId="115AD2D9" w14:textId="77777777">
      <w:pPr>
        <w:tabs>
          <w:tab w:val="left" w:pos="567"/>
        </w:tabs>
        <w:autoSpaceDE w:val="0"/>
        <w:autoSpaceDN w:val="0"/>
        <w:adjustRightInd w:val="0"/>
        <w:jc w:val="both"/>
        <w:rPr>
          <w:del w:id="849" w:author="AbbVie14" w:date="2025-05-09T10:29:00Z"/>
          <w:sz w:val="22"/>
          <w:szCs w:val="22"/>
        </w:rPr>
      </w:pPr>
    </w:p>
    <w:p w:rsidR="006224C2" w:rsidRPr="00295E71" w14:paraId="64578142" w14:textId="77777777">
      <w:pPr>
        <w:tabs>
          <w:tab w:val="left" w:pos="567"/>
        </w:tabs>
        <w:autoSpaceDE w:val="0"/>
        <w:autoSpaceDN w:val="0"/>
        <w:adjustRightInd w:val="0"/>
        <w:jc w:val="both"/>
        <w:rPr>
          <w:del w:id="850" w:author="AbbVie14" w:date="2025-05-09T10:29:00Z"/>
          <w:sz w:val="22"/>
          <w:szCs w:val="22"/>
        </w:rPr>
      </w:pPr>
      <w:del w:id="851" w:author="AbbVie14" w:date="2025-05-09T10:29:00Z">
        <w:r w:rsidRPr="00295E71">
          <w:rPr>
            <w:sz w:val="22"/>
            <w:szCs w:val="22"/>
          </w:rPr>
          <w:delText xml:space="preserve">Pazienti trattati con Humira possono ricevere vaccinazioni simultanee, ad eccezione dei vaccini vivi. La somministrazione di vaccini vivi </w:delText>
        </w:r>
      </w:del>
      <w:del w:id="852" w:author="AbbVie14" w:date="2025-05-09T10:29:00Z">
        <w:r w:rsidR="00284FF4">
          <w:rPr>
            <w:sz w:val="22"/>
            <w:szCs w:val="22"/>
          </w:rPr>
          <w:delText xml:space="preserve">(ad es. vaccino BCG) </w:delText>
        </w:r>
      </w:del>
      <w:del w:id="853" w:author="AbbVie14" w:date="2025-05-09T10:29:00Z">
        <w:r w:rsidRPr="00295E71">
          <w:rPr>
            <w:sz w:val="22"/>
            <w:szCs w:val="22"/>
          </w:rPr>
          <w:delText xml:space="preserve">a bambini esposti ad adalimumab nell’utero non è raccomandata </w:delText>
        </w:r>
      </w:del>
      <w:del w:id="854" w:author="AbbVie14" w:date="2025-05-09T10:29:00Z">
        <w:r w:rsidR="008C57BD">
          <w:rPr>
            <w:sz w:val="22"/>
            <w:szCs w:val="22"/>
          </w:rPr>
          <w:delText>fino a</w:delText>
        </w:r>
      </w:del>
      <w:del w:id="855" w:author="AbbVie14" w:date="2025-05-09T10:29:00Z">
        <w:r w:rsidRPr="00295E71">
          <w:rPr>
            <w:sz w:val="22"/>
            <w:szCs w:val="22"/>
          </w:rPr>
          <w:delText xml:space="preserve"> 5 mesi dall’ultima somministrazione di adalimumab alla madre durante la gravidanza.</w:delText>
        </w:r>
      </w:del>
    </w:p>
    <w:p w:rsidR="006224C2" w:rsidRPr="00295E71" w14:paraId="0C06A42F" w14:textId="77777777">
      <w:pPr>
        <w:tabs>
          <w:tab w:val="left" w:pos="567"/>
        </w:tabs>
        <w:autoSpaceDE w:val="0"/>
        <w:autoSpaceDN w:val="0"/>
        <w:adjustRightInd w:val="0"/>
        <w:jc w:val="both"/>
        <w:rPr>
          <w:del w:id="856" w:author="AbbVie14" w:date="2025-05-09T10:29:00Z"/>
          <w:sz w:val="22"/>
          <w:szCs w:val="22"/>
        </w:rPr>
      </w:pPr>
    </w:p>
    <w:p w:rsidR="006224C2" w:rsidRPr="00295E71" w:rsidP="00F57FE5" w14:paraId="75D5656E" w14:textId="77777777">
      <w:pPr>
        <w:keepNext/>
        <w:keepLines/>
        <w:tabs>
          <w:tab w:val="left" w:pos="567"/>
        </w:tabs>
        <w:autoSpaceDE w:val="0"/>
        <w:autoSpaceDN w:val="0"/>
        <w:adjustRightInd w:val="0"/>
        <w:spacing w:line="240" w:lineRule="atLeast"/>
        <w:jc w:val="both"/>
        <w:rPr>
          <w:del w:id="857" w:author="AbbVie14" w:date="2025-05-09T10:29:00Z"/>
          <w:sz w:val="22"/>
          <w:szCs w:val="22"/>
          <w:u w:val="single"/>
        </w:rPr>
      </w:pPr>
      <w:del w:id="858" w:author="AbbVie14" w:date="2025-05-09T10:29:00Z">
        <w:r w:rsidRPr="00295E71">
          <w:rPr>
            <w:sz w:val="22"/>
            <w:szCs w:val="22"/>
            <w:u w:val="single"/>
          </w:rPr>
          <w:delText>Insufficienza cardiaca congestizia</w:delText>
        </w:r>
      </w:del>
    </w:p>
    <w:p w:rsidR="006224C2" w:rsidRPr="00295E71" w:rsidP="00F57FE5" w14:paraId="16A11C4F" w14:textId="77777777">
      <w:pPr>
        <w:keepNext/>
        <w:keepLines/>
        <w:tabs>
          <w:tab w:val="left" w:pos="567"/>
        </w:tabs>
        <w:autoSpaceDE w:val="0"/>
        <w:autoSpaceDN w:val="0"/>
        <w:adjustRightInd w:val="0"/>
        <w:spacing w:line="240" w:lineRule="atLeast"/>
        <w:jc w:val="both"/>
        <w:rPr>
          <w:del w:id="859" w:author="AbbVie14" w:date="2025-05-09T10:29:00Z"/>
          <w:color w:val="000000"/>
          <w:sz w:val="22"/>
          <w:szCs w:val="22"/>
          <w:u w:val="single"/>
        </w:rPr>
      </w:pPr>
    </w:p>
    <w:p w:rsidR="006224C2" w:rsidRPr="00295E71" w:rsidP="00F57FE5" w14:paraId="3DC7B32E" w14:textId="77777777">
      <w:pPr>
        <w:keepNext/>
        <w:keepLines/>
        <w:tabs>
          <w:tab w:val="left" w:pos="567"/>
        </w:tabs>
        <w:autoSpaceDE w:val="0"/>
        <w:autoSpaceDN w:val="0"/>
        <w:adjustRightInd w:val="0"/>
        <w:spacing w:line="240" w:lineRule="atLeast"/>
        <w:jc w:val="both"/>
        <w:rPr>
          <w:del w:id="860" w:author="AbbVie14" w:date="2025-05-09T10:29:00Z"/>
          <w:color w:val="000000"/>
          <w:sz w:val="22"/>
          <w:szCs w:val="22"/>
        </w:rPr>
      </w:pPr>
      <w:del w:id="861" w:author="AbbVie14" w:date="2025-05-09T10:29:00Z">
        <w:r w:rsidRPr="00295E71">
          <w:rPr>
            <w:color w:val="000000"/>
            <w:sz w:val="22"/>
            <w:szCs w:val="22"/>
          </w:rPr>
          <w:delText>In uno</w:delText>
        </w:r>
      </w:del>
      <w:del w:id="862" w:author="AbbVie14" w:date="2025-05-09T10:29:00Z">
        <w:r w:rsidRPr="00295E71" w:rsidR="009E3292">
          <w:rPr>
            <w:color w:val="000000"/>
            <w:sz w:val="22"/>
            <w:szCs w:val="22"/>
          </w:rPr>
          <w:delText xml:space="preserve"> </w:delText>
        </w:r>
      </w:del>
      <w:del w:id="863" w:author="AbbVie14" w:date="2025-05-09T10:29:00Z">
        <w:r w:rsidRPr="00295E71">
          <w:rPr>
            <w:color w:val="000000"/>
            <w:sz w:val="22"/>
            <w:szCs w:val="22"/>
          </w:rPr>
          <w:delText xml:space="preserve">studio clinico con un altro farmaco anti-TNF sono stati osservati il peggioramento dell’insufficienza cardiaca congestizia e l’aumento di mortalità ad essa correlata. Anche in pazienti trattati con Humira sono stati osservati casi di peggioramento di insufficienza cardiaca congestizia. Humira deve essere usato con cautela in pazienti con lieve insufficienza cardiaca (classe I/II NYHA). Humira è controindicato nell’insufficienza cardiaca moderata o severa (vedere paragrafo 4.3). Il trattamento con Humira deve essere interrotto nei pazienti che presentino peggioramento o insorgenza di nuovi sintomi dell’insufficienza cardiaca congestizia. </w:delText>
        </w:r>
      </w:del>
    </w:p>
    <w:p w:rsidR="006224C2" w:rsidRPr="00295E71" w14:paraId="3131B332" w14:textId="77777777">
      <w:pPr>
        <w:tabs>
          <w:tab w:val="left" w:pos="567"/>
        </w:tabs>
        <w:jc w:val="both"/>
        <w:rPr>
          <w:del w:id="864" w:author="AbbVie14" w:date="2025-05-09T10:29:00Z"/>
          <w:sz w:val="22"/>
          <w:szCs w:val="22"/>
          <w:u w:val="single"/>
        </w:rPr>
      </w:pPr>
    </w:p>
    <w:p w:rsidR="006224C2" w:rsidRPr="00295E71" w:rsidP="00222EA4" w14:paraId="5AB44394" w14:textId="77777777">
      <w:pPr>
        <w:keepNext/>
        <w:tabs>
          <w:tab w:val="left" w:pos="567"/>
        </w:tabs>
        <w:jc w:val="both"/>
        <w:rPr>
          <w:del w:id="865" w:author="AbbVie14" w:date="2025-05-09T10:29:00Z"/>
          <w:sz w:val="22"/>
          <w:szCs w:val="22"/>
          <w:u w:val="single"/>
        </w:rPr>
      </w:pPr>
      <w:del w:id="866" w:author="AbbVie14" w:date="2025-05-09T10:29:00Z">
        <w:r w:rsidRPr="00295E71">
          <w:rPr>
            <w:sz w:val="22"/>
            <w:szCs w:val="22"/>
            <w:u w:val="single"/>
          </w:rPr>
          <w:delText>Processi autoimmuni</w:delText>
        </w:r>
      </w:del>
    </w:p>
    <w:p w:rsidR="006224C2" w:rsidRPr="00295E71" w:rsidP="00222EA4" w14:paraId="50916A5E" w14:textId="77777777">
      <w:pPr>
        <w:keepNext/>
        <w:tabs>
          <w:tab w:val="left" w:pos="567"/>
        </w:tabs>
        <w:jc w:val="both"/>
        <w:rPr>
          <w:del w:id="867" w:author="AbbVie14" w:date="2025-05-09T10:29:00Z"/>
          <w:sz w:val="22"/>
          <w:szCs w:val="22"/>
          <w:u w:val="single"/>
        </w:rPr>
      </w:pPr>
    </w:p>
    <w:p w:rsidR="006224C2" w:rsidRPr="00295E71" w:rsidP="00222EA4" w14:paraId="75AA7DAC" w14:textId="77777777">
      <w:pPr>
        <w:pStyle w:val="BodyText"/>
        <w:keepNext/>
        <w:tabs>
          <w:tab w:val="left" w:pos="567"/>
        </w:tabs>
        <w:rPr>
          <w:del w:id="868" w:author="AbbVie14" w:date="2025-05-09T10:29:00Z"/>
          <w:lang w:eastAsia="en-US"/>
        </w:rPr>
      </w:pPr>
      <w:del w:id="869" w:author="AbbVie14" w:date="2025-05-09T10:29:00Z">
        <w:r w:rsidRPr="00295E71">
          <w:rPr>
            <w:lang w:eastAsia="en-US"/>
          </w:rPr>
          <w:delText>Il trattamento con Humira può indurre la formazione di anticorpi autoimmuni. Non è noto l’impatto del trattamento a lungo termine con Humira sullo sviluppo di malattie autoimmuni. Se un paziente sviluppa sintomi indicativi di sindrome lupus-like a seguito di trattamento con Humira e risulta positivo per gli anticorpi contro il DNA a doppia catena, non deve essere somministrato un ulteriore trattamento con Humira (vedere paragrafo 4.8).</w:delText>
        </w:r>
      </w:del>
    </w:p>
    <w:p w:rsidR="006224C2" w:rsidRPr="00295E71" w:rsidP="00222EA4" w14:paraId="28A43469" w14:textId="77777777">
      <w:pPr>
        <w:keepNext/>
        <w:tabs>
          <w:tab w:val="left" w:pos="567"/>
        </w:tabs>
        <w:jc w:val="both"/>
        <w:rPr>
          <w:del w:id="870" w:author="AbbVie14" w:date="2025-05-09T10:29:00Z"/>
          <w:sz w:val="22"/>
          <w:szCs w:val="22"/>
        </w:rPr>
      </w:pPr>
    </w:p>
    <w:p w:rsidR="006224C2" w:rsidRPr="00295E71" w14:paraId="3E7B5C9D" w14:textId="77777777">
      <w:pPr>
        <w:pStyle w:val="Heading3"/>
        <w:keepNext w:val="0"/>
        <w:tabs>
          <w:tab w:val="left" w:pos="567"/>
        </w:tabs>
        <w:rPr>
          <w:del w:id="871" w:author="AbbVie14" w:date="2025-05-09T10:29:00Z"/>
        </w:rPr>
      </w:pPr>
      <w:del w:id="872" w:author="AbbVie14" w:date="2025-05-09T10:29:00Z">
        <w:r w:rsidRPr="00295E71">
          <w:delText>Somministrazione concomitante di DMARD biologici o antagonisti del TNF</w:delText>
        </w:r>
      </w:del>
    </w:p>
    <w:p w:rsidR="006224C2" w:rsidRPr="00295E71" w14:paraId="1D9CBCEB" w14:textId="77777777">
      <w:pPr>
        <w:tabs>
          <w:tab w:val="left" w:pos="567"/>
        </w:tabs>
        <w:jc w:val="both"/>
        <w:rPr>
          <w:del w:id="873" w:author="AbbVie14" w:date="2025-05-09T10:29:00Z"/>
          <w:sz w:val="22"/>
          <w:szCs w:val="22"/>
        </w:rPr>
      </w:pPr>
    </w:p>
    <w:p w:rsidR="006224C2" w:rsidRPr="00295E71" w14:paraId="21083A98" w14:textId="77777777">
      <w:pPr>
        <w:tabs>
          <w:tab w:val="left" w:pos="567"/>
        </w:tabs>
        <w:jc w:val="both"/>
        <w:rPr>
          <w:del w:id="874" w:author="AbbVie14" w:date="2025-05-09T10:29:00Z"/>
          <w:sz w:val="22"/>
          <w:szCs w:val="22"/>
        </w:rPr>
      </w:pPr>
      <w:del w:id="875" w:author="AbbVie14" w:date="2025-05-09T10:29:00Z">
        <w:r w:rsidRPr="00295E71">
          <w:rPr>
            <w:sz w:val="22"/>
            <w:szCs w:val="22"/>
          </w:rPr>
          <w:delText>Nel corso di studi clinici condotti sulla terapia combinata con anakinra ed un altro farmaco anti-TNF, etanercept, sono s</w:delText>
        </w:r>
      </w:del>
      <w:del w:id="876" w:author="AbbVie14" w:date="2025-05-09T10:29:00Z">
        <w:r w:rsidR="00955E55">
          <w:rPr>
            <w:sz w:val="22"/>
            <w:szCs w:val="22"/>
          </w:rPr>
          <w:delText>t</w:delText>
        </w:r>
      </w:del>
      <w:del w:id="877" w:author="AbbVie14" w:date="2025-05-09T10:29:00Z">
        <w:r w:rsidRPr="00295E71">
          <w:rPr>
            <w:sz w:val="22"/>
            <w:szCs w:val="22"/>
          </w:rPr>
          <w:delText>ate osservate infezioni gravi senza alcun beneficio clinico rispetto ad etanercept in monoterapia. Considerata la tipologia degli eventi avversi osservati con la combinazione di anakinra ed etanercept, potrebbero manifestarsi effetti indesiderati simili in seguito alla combinazione di anakinra ed un altro farmaco anti-TNF. Pertanto, la combinazione di adalimumab con anakinra non è raccomandata (vedere paragrafo 4.5).</w:delText>
        </w:r>
      </w:del>
    </w:p>
    <w:p w:rsidR="006224C2" w:rsidRPr="00295E71" w14:paraId="53BCAE09" w14:textId="77777777">
      <w:pPr>
        <w:tabs>
          <w:tab w:val="left" w:pos="567"/>
        </w:tabs>
        <w:jc w:val="both"/>
        <w:rPr>
          <w:del w:id="878" w:author="AbbVie14" w:date="2025-05-09T10:29:00Z"/>
          <w:sz w:val="22"/>
          <w:szCs w:val="22"/>
        </w:rPr>
      </w:pPr>
    </w:p>
    <w:p w:rsidR="006224C2" w:rsidRPr="00295E71" w14:paraId="086D80CA" w14:textId="77777777">
      <w:pPr>
        <w:tabs>
          <w:tab w:val="left" w:pos="567"/>
        </w:tabs>
        <w:jc w:val="both"/>
        <w:rPr>
          <w:del w:id="879" w:author="AbbVie14" w:date="2025-05-09T10:29:00Z"/>
          <w:sz w:val="22"/>
          <w:szCs w:val="22"/>
        </w:rPr>
      </w:pPr>
      <w:del w:id="880" w:author="AbbVie14" w:date="2025-05-09T10:29:00Z">
        <w:r w:rsidRPr="00295E71">
          <w:rPr>
            <w:sz w:val="22"/>
            <w:szCs w:val="22"/>
          </w:rPr>
          <w:delText>La somministrazione concomitante di adalimumab con altri DMARD biologici (per es. anakinra e abatacept) o altri antagonisti del TNF non è raccomandata sulla base di un possibile aumento del rischio di infezioni, incluse infezioni gravi e altre potenziali interazioni farmacologiche (vedere paragrafo 4.5).</w:delText>
        </w:r>
      </w:del>
    </w:p>
    <w:p w:rsidR="006224C2" w:rsidRPr="00295E71" w14:paraId="6BF27FF9" w14:textId="77777777">
      <w:pPr>
        <w:rPr>
          <w:del w:id="881" w:author="AbbVie14" w:date="2025-05-09T10:29:00Z"/>
          <w:sz w:val="22"/>
          <w:szCs w:val="22"/>
          <w:u w:val="single"/>
        </w:rPr>
      </w:pPr>
    </w:p>
    <w:p w:rsidR="006224C2" w:rsidRPr="00295E71" w14:paraId="5124754F" w14:textId="77777777">
      <w:pPr>
        <w:keepNext/>
        <w:rPr>
          <w:del w:id="882" w:author="AbbVie14" w:date="2025-05-09T10:29:00Z"/>
          <w:sz w:val="22"/>
          <w:szCs w:val="22"/>
          <w:u w:val="single"/>
        </w:rPr>
      </w:pPr>
      <w:del w:id="883" w:author="AbbVie14" w:date="2025-05-09T10:29:00Z">
        <w:r w:rsidRPr="00295E71">
          <w:rPr>
            <w:sz w:val="22"/>
            <w:szCs w:val="22"/>
            <w:u w:val="single"/>
          </w:rPr>
          <w:delText>Interventi chirurgici</w:delText>
        </w:r>
      </w:del>
    </w:p>
    <w:p w:rsidR="006224C2" w:rsidRPr="00295E71" w14:paraId="7EB5294B" w14:textId="77777777">
      <w:pPr>
        <w:keepNext/>
        <w:tabs>
          <w:tab w:val="left" w:pos="567"/>
        </w:tabs>
        <w:jc w:val="both"/>
        <w:rPr>
          <w:del w:id="884" w:author="AbbVie14" w:date="2025-05-09T10:29:00Z"/>
          <w:sz w:val="22"/>
          <w:szCs w:val="22"/>
        </w:rPr>
      </w:pPr>
    </w:p>
    <w:p w:rsidR="006224C2" w:rsidRPr="00295E71" w14:paraId="06FE1B09" w14:textId="77777777">
      <w:pPr>
        <w:keepNext/>
        <w:tabs>
          <w:tab w:val="left" w:pos="567"/>
        </w:tabs>
        <w:jc w:val="both"/>
        <w:rPr>
          <w:del w:id="885" w:author="AbbVie14" w:date="2025-05-09T10:29:00Z"/>
          <w:sz w:val="22"/>
          <w:szCs w:val="22"/>
        </w:rPr>
      </w:pPr>
      <w:del w:id="886" w:author="AbbVie14" w:date="2025-05-09T10:29:00Z">
        <w:r w:rsidRPr="00295E71">
          <w:rPr>
            <w:sz w:val="22"/>
            <w:szCs w:val="22"/>
          </w:rPr>
          <w:delText>Nei pazienti trattati con Humira c’è un’esperienza limitata relativa alla sicurezza di procedure chirurgiche. Nel caso in cui si pianifichi un intervento chirurgico si deve considerare la lunga emivita di adalimumab. Un paziente che dovesse essere sottoposto ad intervento chirurgico durante il trattamento con Humira deve essere attentamente seguito per lo sviluppo di infezioni, nel qual caso andrebbero intraprese opportune azioni. C’è un’esperienza limitata per quanto riguarda la sicurezza in pazienti sottoposti ad interventi di artroplastica in corso di trattamento con Humira.</w:delText>
        </w:r>
      </w:del>
    </w:p>
    <w:p w:rsidR="006224C2" w:rsidRPr="00295E71" w14:paraId="5D5FD440" w14:textId="77777777">
      <w:pPr>
        <w:tabs>
          <w:tab w:val="left" w:pos="567"/>
        </w:tabs>
        <w:jc w:val="both"/>
        <w:rPr>
          <w:del w:id="887" w:author="AbbVie14" w:date="2025-05-09T10:29:00Z"/>
          <w:sz w:val="22"/>
          <w:szCs w:val="22"/>
        </w:rPr>
      </w:pPr>
    </w:p>
    <w:p w:rsidR="006224C2" w:rsidRPr="00295E71" w14:paraId="405E8CFE" w14:textId="77777777">
      <w:pPr>
        <w:keepNext/>
        <w:tabs>
          <w:tab w:val="left" w:pos="567"/>
        </w:tabs>
        <w:jc w:val="both"/>
        <w:rPr>
          <w:del w:id="888" w:author="AbbVie14" w:date="2025-05-09T10:29:00Z"/>
          <w:sz w:val="22"/>
          <w:szCs w:val="22"/>
          <w:u w:val="single"/>
        </w:rPr>
      </w:pPr>
      <w:del w:id="889" w:author="AbbVie14" w:date="2025-05-09T10:29:00Z">
        <w:r w:rsidRPr="00295E71">
          <w:rPr>
            <w:sz w:val="22"/>
            <w:szCs w:val="22"/>
            <w:u w:val="single"/>
          </w:rPr>
          <w:delText>Ostruzione dell’intestino tenue</w:delText>
        </w:r>
      </w:del>
    </w:p>
    <w:p w:rsidR="006224C2" w:rsidRPr="00295E71" w14:paraId="0653BBC7" w14:textId="77777777">
      <w:pPr>
        <w:keepNext/>
        <w:tabs>
          <w:tab w:val="left" w:pos="567"/>
        </w:tabs>
        <w:jc w:val="both"/>
        <w:rPr>
          <w:del w:id="890" w:author="AbbVie14" w:date="2025-05-09T10:29:00Z"/>
          <w:sz w:val="22"/>
          <w:szCs w:val="22"/>
          <w:u w:val="single"/>
        </w:rPr>
      </w:pPr>
    </w:p>
    <w:p w:rsidR="006224C2" w:rsidRPr="00295E71" w14:paraId="55576A0E" w14:textId="77777777">
      <w:pPr>
        <w:pStyle w:val="EMEAFigureTitle"/>
        <w:keepNext/>
        <w:suppressAutoHyphens w:val="0"/>
        <w:jc w:val="both"/>
        <w:rPr>
          <w:del w:id="891" w:author="AbbVie14" w:date="2025-05-09T10:29:00Z"/>
          <w:lang w:val="it-IT" w:eastAsia="it-IT"/>
        </w:rPr>
      </w:pPr>
      <w:del w:id="892" w:author="AbbVie14" w:date="2025-05-09T10:29:00Z">
        <w:r w:rsidRPr="00295E71">
          <w:rPr>
            <w:lang w:val="it-IT" w:eastAsia="it-IT"/>
          </w:rPr>
          <w:delText>La mancata risposta al trattamento per la malattia di Crohn può indicare la presenza di stenosi rigida fibrotica che può richiedere un intervento chirurgico. I dati disponibili suggeriscono che Humira non peggiora o causa stenosi.</w:delText>
        </w:r>
      </w:del>
    </w:p>
    <w:p w:rsidR="006224C2" w:rsidRPr="00295E71" w14:paraId="158C6DBC" w14:textId="77777777">
      <w:pPr>
        <w:pStyle w:val="EMEANormal"/>
        <w:jc w:val="both"/>
        <w:rPr>
          <w:del w:id="893" w:author="AbbVie14" w:date="2025-05-09T10:29:00Z"/>
          <w:lang w:val="it-IT" w:eastAsia="it-IT"/>
        </w:rPr>
      </w:pPr>
    </w:p>
    <w:p w:rsidR="006224C2" w:rsidRPr="00295E71" w14:paraId="475A862F" w14:textId="77777777">
      <w:pPr>
        <w:pStyle w:val="EMEANormal"/>
        <w:keepNext/>
        <w:jc w:val="both"/>
        <w:rPr>
          <w:del w:id="894" w:author="AbbVie14" w:date="2025-05-09T10:29:00Z"/>
          <w:color w:val="000000"/>
          <w:u w:val="single"/>
          <w:lang w:val="it-IT" w:eastAsia="it-IT"/>
        </w:rPr>
      </w:pPr>
      <w:del w:id="895" w:author="AbbVie14" w:date="2025-05-09T10:29:00Z">
        <w:r w:rsidRPr="00295E71">
          <w:rPr>
            <w:color w:val="000000"/>
            <w:u w:val="single"/>
            <w:lang w:val="it-IT" w:eastAsia="it-IT"/>
          </w:rPr>
          <w:delText>Anziani</w:delText>
        </w:r>
      </w:del>
    </w:p>
    <w:p w:rsidR="006224C2" w:rsidRPr="00295E71" w14:paraId="76DA9E73" w14:textId="77777777">
      <w:pPr>
        <w:pStyle w:val="EMEANormal"/>
        <w:keepNext/>
        <w:jc w:val="both"/>
        <w:rPr>
          <w:del w:id="896" w:author="AbbVie14" w:date="2025-05-09T10:29:00Z"/>
          <w:color w:val="000000"/>
          <w:lang w:val="it-IT" w:eastAsia="it-IT"/>
        </w:rPr>
      </w:pPr>
    </w:p>
    <w:p w:rsidR="006224C2" w:rsidRPr="00295E71" w14:paraId="3BFD98C4" w14:textId="77777777">
      <w:pPr>
        <w:pStyle w:val="EMEANormal"/>
        <w:keepNext/>
        <w:jc w:val="both"/>
        <w:rPr>
          <w:del w:id="897" w:author="AbbVie14" w:date="2025-05-09T10:29:00Z"/>
          <w:lang w:val="it-IT" w:eastAsia="it-IT"/>
        </w:rPr>
      </w:pPr>
      <w:del w:id="898" w:author="AbbVie14" w:date="2025-05-09T10:29:00Z">
        <w:r w:rsidRPr="00295E71">
          <w:rPr>
            <w:lang w:val="it-IT" w:eastAsia="it-IT"/>
          </w:rPr>
          <w:delText>La frequenza di infezioni gravi tra i pazienti di età superiore ai 65 anni (3,7%) trattati con Humira è stata superiore rispetto a quelli di età inferiore ai 65 anni (1,5%). Alcuni di questi hanno avuto un esito fatale. Particolare attenzione per quanto riguarda il rischio di infezione deve essere prestata nel trattamento dei pazienti anziani.</w:delText>
        </w:r>
      </w:del>
    </w:p>
    <w:p w:rsidR="006224C2" w:rsidRPr="00295E71" w14:paraId="0ADA5BC4" w14:textId="77777777">
      <w:pPr>
        <w:pStyle w:val="EMEANormal"/>
        <w:keepNext/>
        <w:jc w:val="both"/>
        <w:rPr>
          <w:del w:id="899" w:author="AbbVie14" w:date="2025-05-09T10:29:00Z"/>
          <w:lang w:val="it-IT" w:eastAsia="it-IT"/>
        </w:rPr>
      </w:pPr>
    </w:p>
    <w:p w:rsidR="006224C2" w:rsidRPr="00295E71" w14:paraId="75FF2965" w14:textId="77777777">
      <w:pPr>
        <w:pStyle w:val="EMEANormal"/>
        <w:jc w:val="both"/>
        <w:rPr>
          <w:del w:id="900" w:author="AbbVie14" w:date="2025-05-09T10:29:00Z"/>
          <w:u w:val="single"/>
          <w:lang w:val="it-IT" w:eastAsia="it-IT"/>
        </w:rPr>
      </w:pPr>
      <w:del w:id="901" w:author="AbbVie14" w:date="2025-05-09T10:29:00Z">
        <w:r w:rsidRPr="00295E71">
          <w:rPr>
            <w:u w:val="single"/>
            <w:lang w:val="it-IT" w:eastAsia="it-IT"/>
          </w:rPr>
          <w:delText>Popolazione pediatrica</w:delText>
        </w:r>
      </w:del>
    </w:p>
    <w:p w:rsidR="006224C2" w:rsidRPr="00295E71" w14:paraId="58E3F490" w14:textId="77777777">
      <w:pPr>
        <w:pStyle w:val="EMEANormal"/>
        <w:jc w:val="both"/>
        <w:rPr>
          <w:del w:id="902" w:author="AbbVie14" w:date="2025-05-09T10:29:00Z"/>
          <w:lang w:val="it-IT" w:eastAsia="it-IT"/>
        </w:rPr>
      </w:pPr>
    </w:p>
    <w:p w:rsidR="006224C2" w:rsidRPr="00295E71" w14:paraId="3C2A0F4E" w14:textId="77777777">
      <w:pPr>
        <w:pStyle w:val="EMEANormal"/>
        <w:jc w:val="both"/>
        <w:rPr>
          <w:del w:id="903" w:author="AbbVie14" w:date="2025-05-09T10:29:00Z"/>
          <w:lang w:val="it-IT" w:eastAsia="it-IT"/>
        </w:rPr>
      </w:pPr>
      <w:del w:id="904" w:author="AbbVie14" w:date="2025-05-09T10:29:00Z">
        <w:r w:rsidRPr="00295E71">
          <w:rPr>
            <w:lang w:val="it-IT" w:eastAsia="it-IT"/>
          </w:rPr>
          <w:delText>Vedere Vaccinazioni sopra.</w:delText>
        </w:r>
      </w:del>
    </w:p>
    <w:p w:rsidR="00955E55" w:rsidRPr="00295E71" w14:paraId="3499F8C1" w14:textId="77777777">
      <w:pPr>
        <w:pStyle w:val="EMEANormal"/>
        <w:jc w:val="both"/>
        <w:rPr>
          <w:del w:id="905" w:author="AbbVie14" w:date="2025-05-09T10:29:00Z"/>
          <w:lang w:val="it-IT"/>
        </w:rPr>
      </w:pPr>
    </w:p>
    <w:p w:rsidR="00AD5C14" w:rsidRPr="00295E71" w14:paraId="11E8E0A7" w14:textId="77777777">
      <w:pPr>
        <w:pStyle w:val="EMEANormal"/>
        <w:jc w:val="both"/>
        <w:rPr>
          <w:del w:id="906" w:author="AbbVie14" w:date="2025-05-09T10:29:00Z"/>
          <w:u w:val="single"/>
          <w:lang w:val="it-IT"/>
        </w:rPr>
      </w:pPr>
      <w:del w:id="907" w:author="AbbVie14" w:date="2025-05-09T10:29:00Z">
        <w:r w:rsidRPr="00295E71">
          <w:rPr>
            <w:u w:val="single"/>
            <w:lang w:val="it-IT"/>
          </w:rPr>
          <w:delText>Eccipienti</w:delText>
        </w:r>
      </w:del>
      <w:del w:id="908" w:author="AbbVie14" w:date="2025-05-09T10:29:00Z">
        <w:r w:rsidRPr="00295E71" w:rsidR="006D3828">
          <w:rPr>
            <w:u w:val="single"/>
            <w:lang w:val="it-IT"/>
          </w:rPr>
          <w:delText xml:space="preserve"> con effetti noti</w:delText>
        </w:r>
      </w:del>
    </w:p>
    <w:p w:rsidR="00AD5C14" w:rsidRPr="00295E71" w14:paraId="2DFF26A8" w14:textId="77777777">
      <w:pPr>
        <w:pStyle w:val="EMEANormal"/>
        <w:jc w:val="both"/>
        <w:rPr>
          <w:del w:id="909" w:author="AbbVie14" w:date="2025-05-09T10:29:00Z"/>
          <w:u w:val="single"/>
          <w:lang w:val="it-IT"/>
        </w:rPr>
      </w:pPr>
    </w:p>
    <w:p w:rsidR="00AD5C14" w:rsidRPr="00295E71" w14:paraId="307AD984" w14:textId="77777777">
      <w:pPr>
        <w:pStyle w:val="EMEANormal"/>
        <w:jc w:val="both"/>
        <w:rPr>
          <w:del w:id="910" w:author="AbbVie14" w:date="2025-05-09T10:29:00Z"/>
          <w:lang w:val="it-IT"/>
        </w:rPr>
      </w:pPr>
      <w:del w:id="911" w:author="AbbVie14" w:date="2025-05-09T10:29:00Z">
        <w:r w:rsidRPr="00295E71">
          <w:rPr>
            <w:lang w:val="it-IT"/>
          </w:rPr>
          <w:delText xml:space="preserve">Questo medicinale contiene meno di 1 mmol </w:delText>
        </w:r>
      </w:del>
      <w:del w:id="912" w:author="AbbVie14" w:date="2025-05-09T10:29:00Z">
        <w:r w:rsidRPr="00295E71" w:rsidR="00955E55">
          <w:rPr>
            <w:lang w:val="it-IT"/>
          </w:rPr>
          <w:delText xml:space="preserve">(23 mg) </w:delText>
        </w:r>
      </w:del>
      <w:del w:id="913" w:author="AbbVie14" w:date="2025-05-09T10:29:00Z">
        <w:r w:rsidRPr="00295E71">
          <w:rPr>
            <w:lang w:val="it-IT"/>
          </w:rPr>
          <w:delText xml:space="preserve">di sodio per </w:delText>
        </w:r>
      </w:del>
      <w:del w:id="914" w:author="AbbVie14" w:date="2025-05-09T10:29:00Z">
        <w:r w:rsidR="00955E55">
          <w:rPr>
            <w:lang w:val="it-IT"/>
          </w:rPr>
          <w:delText xml:space="preserve">dose di </w:delText>
        </w:r>
      </w:del>
      <w:del w:id="915" w:author="AbbVie14" w:date="2025-05-09T10:29:00Z">
        <w:r w:rsidRPr="00295E71">
          <w:rPr>
            <w:lang w:val="it-IT"/>
          </w:rPr>
          <w:delText>0,8 ml, cio</w:delText>
        </w:r>
      </w:del>
      <w:del w:id="916" w:author="AbbVie14" w:date="2025-05-09T10:29:00Z">
        <w:r w:rsidR="00955E55">
          <w:rPr>
            <w:lang w:val="it-IT"/>
          </w:rPr>
          <w:delText>è</w:delText>
        </w:r>
      </w:del>
      <w:del w:id="917" w:author="AbbVie14" w:date="2025-05-09T10:29:00Z">
        <w:r w:rsidRPr="00295E71">
          <w:rPr>
            <w:lang w:val="it-IT"/>
          </w:rPr>
          <w:delText xml:space="preserve"> </w:delText>
        </w:r>
      </w:del>
      <w:del w:id="918" w:author="AbbVie14" w:date="2025-05-09T10:29:00Z">
        <w:r w:rsidR="00742F77">
          <w:rPr>
            <w:lang w:val="it-IT"/>
          </w:rPr>
          <w:delText xml:space="preserve"> </w:delText>
        </w:r>
      </w:del>
      <w:del w:id="919" w:author="AbbVie14" w:date="2025-05-09T10:29:00Z">
        <w:r w:rsidR="00955E55">
          <w:rPr>
            <w:lang w:val="it-IT"/>
          </w:rPr>
          <w:delText>essenzialmente</w:delText>
        </w:r>
      </w:del>
      <w:del w:id="920" w:author="AbbVie14" w:date="2025-05-09T10:29:00Z">
        <w:r w:rsidRPr="00295E71" w:rsidR="00955E55">
          <w:rPr>
            <w:lang w:val="it-IT"/>
          </w:rPr>
          <w:delText xml:space="preserve"> </w:delText>
        </w:r>
      </w:del>
      <w:del w:id="921" w:author="AbbVie14" w:date="2025-05-09T10:29:00Z">
        <w:r w:rsidRPr="00295E71">
          <w:rPr>
            <w:lang w:val="it-IT"/>
          </w:rPr>
          <w:delText>"senza sodio".</w:delText>
        </w:r>
      </w:del>
    </w:p>
    <w:p w:rsidR="00AD5C14" w:rsidRPr="00295E71" w14:paraId="73F778AA" w14:textId="77777777">
      <w:pPr>
        <w:pStyle w:val="EMEANormal"/>
        <w:jc w:val="both"/>
        <w:rPr>
          <w:del w:id="922" w:author="AbbVie14" w:date="2025-05-09T10:29:00Z"/>
          <w:lang w:val="it-IT"/>
        </w:rPr>
      </w:pPr>
    </w:p>
    <w:p w:rsidR="006224C2" w:rsidRPr="00295E71" w14:paraId="77DCF82F" w14:textId="77777777">
      <w:pPr>
        <w:tabs>
          <w:tab w:val="left" w:pos="567"/>
        </w:tabs>
        <w:autoSpaceDE w:val="0"/>
        <w:autoSpaceDN w:val="0"/>
        <w:adjustRightInd w:val="0"/>
        <w:jc w:val="both"/>
        <w:rPr>
          <w:del w:id="923" w:author="AbbVie14" w:date="2025-05-09T10:29:00Z"/>
          <w:b/>
          <w:bCs/>
          <w:sz w:val="22"/>
          <w:szCs w:val="22"/>
        </w:rPr>
      </w:pPr>
      <w:del w:id="924" w:author="AbbVie14" w:date="2025-05-09T10:29:00Z">
        <w:r w:rsidRPr="00295E71">
          <w:rPr>
            <w:b/>
            <w:bCs/>
            <w:color w:val="000000"/>
            <w:sz w:val="22"/>
            <w:szCs w:val="22"/>
          </w:rPr>
          <w:delText>4.5</w:delText>
        </w:r>
      </w:del>
      <w:del w:id="925" w:author="AbbVie14" w:date="2025-05-09T10:29:00Z">
        <w:r w:rsidRPr="00295E71">
          <w:rPr>
            <w:b/>
            <w:bCs/>
            <w:color w:val="000000"/>
            <w:sz w:val="22"/>
            <w:szCs w:val="22"/>
          </w:rPr>
          <w:tab/>
        </w:r>
      </w:del>
      <w:del w:id="926" w:author="AbbVie14" w:date="2025-05-09T10:29:00Z">
        <w:r w:rsidRPr="00295E71">
          <w:rPr>
            <w:b/>
            <w:bCs/>
            <w:sz w:val="22"/>
            <w:szCs w:val="22"/>
          </w:rPr>
          <w:delText>Interazioni con altri medicinali ed altre forme d’interazione</w:delText>
        </w:r>
      </w:del>
    </w:p>
    <w:p w:rsidR="006224C2" w:rsidRPr="00295E71" w14:paraId="732A0899" w14:textId="77777777">
      <w:pPr>
        <w:pStyle w:val="EndnoteText"/>
        <w:jc w:val="both"/>
        <w:rPr>
          <w:del w:id="927" w:author="AbbVie14" w:date="2025-05-09T10:29:00Z"/>
          <w:lang w:val="it-IT"/>
        </w:rPr>
      </w:pPr>
    </w:p>
    <w:p w:rsidR="006224C2" w:rsidRPr="00295E71" w14:paraId="2E98DA95" w14:textId="77777777">
      <w:pPr>
        <w:tabs>
          <w:tab w:val="left" w:pos="567"/>
        </w:tabs>
        <w:autoSpaceDE w:val="0"/>
        <w:autoSpaceDN w:val="0"/>
        <w:adjustRightInd w:val="0"/>
        <w:jc w:val="both"/>
        <w:rPr>
          <w:del w:id="928" w:author="AbbVie14" w:date="2025-05-09T10:29:00Z"/>
          <w:color w:val="000000"/>
          <w:sz w:val="22"/>
          <w:szCs w:val="22"/>
        </w:rPr>
      </w:pPr>
      <w:del w:id="929" w:author="AbbVie14" w:date="2025-05-09T10:29:00Z">
        <w:r w:rsidRPr="00295E71">
          <w:rPr>
            <w:color w:val="000000"/>
            <w:sz w:val="22"/>
            <w:szCs w:val="22"/>
          </w:rPr>
          <w:delText xml:space="preserve">La terapia con Humira è stata studiata in monoterapia e in combinazione con metotressato in pazienti affetti da artrite reumatoide, artrite idiopatica giovanile poliarticolare e artrite psoriasica. Quando Humira è stato somministrato in combinazione con metotressato la formazione di anticorpi è stata inferiore rispetto alla monoterapia. La somministrazione di Humira senza il metotressato ha determinato un aumento della formazione di anticorpi, un aumento della clearance ed una riduzione dell’efficacia di adalimumab (vedere paragrafo 5.1). </w:delText>
        </w:r>
      </w:del>
    </w:p>
    <w:p w:rsidR="006224C2" w:rsidRPr="00295E71" w14:paraId="3906497D" w14:textId="77777777">
      <w:pPr>
        <w:tabs>
          <w:tab w:val="left" w:pos="567"/>
        </w:tabs>
        <w:autoSpaceDE w:val="0"/>
        <w:autoSpaceDN w:val="0"/>
        <w:adjustRightInd w:val="0"/>
        <w:jc w:val="both"/>
        <w:rPr>
          <w:del w:id="930" w:author="AbbVie14" w:date="2025-05-09T10:29:00Z"/>
          <w:color w:val="000000"/>
          <w:sz w:val="22"/>
          <w:szCs w:val="22"/>
        </w:rPr>
      </w:pPr>
    </w:p>
    <w:p w:rsidR="006224C2" w:rsidRPr="00295E71" w14:paraId="413E2590" w14:textId="77777777">
      <w:pPr>
        <w:tabs>
          <w:tab w:val="left" w:pos="567"/>
        </w:tabs>
        <w:autoSpaceDE w:val="0"/>
        <w:autoSpaceDN w:val="0"/>
        <w:adjustRightInd w:val="0"/>
        <w:jc w:val="both"/>
        <w:rPr>
          <w:del w:id="931" w:author="AbbVie14" w:date="2025-05-09T10:29:00Z"/>
          <w:color w:val="000000"/>
          <w:sz w:val="22"/>
          <w:szCs w:val="22"/>
        </w:rPr>
      </w:pPr>
      <w:del w:id="932" w:author="AbbVie14" w:date="2025-05-09T10:29:00Z">
        <w:r w:rsidRPr="00295E71">
          <w:rPr>
            <w:color w:val="000000"/>
            <w:sz w:val="22"/>
            <w:szCs w:val="22"/>
          </w:rPr>
          <w:delText>La combinazione di Humira e anakinra non è raccomandata (vedere paragrafo 4.4 “Somministrazione concomitante di DMARD biologici o antagonisti del TNF”).</w:delText>
        </w:r>
      </w:del>
    </w:p>
    <w:p w:rsidR="006224C2" w:rsidRPr="00295E71" w14:paraId="0833E766" w14:textId="77777777">
      <w:pPr>
        <w:tabs>
          <w:tab w:val="left" w:pos="567"/>
        </w:tabs>
        <w:autoSpaceDE w:val="0"/>
        <w:autoSpaceDN w:val="0"/>
        <w:adjustRightInd w:val="0"/>
        <w:jc w:val="both"/>
        <w:rPr>
          <w:del w:id="933" w:author="AbbVie14" w:date="2025-05-09T10:29:00Z"/>
          <w:color w:val="000000"/>
          <w:sz w:val="22"/>
          <w:szCs w:val="22"/>
        </w:rPr>
      </w:pPr>
    </w:p>
    <w:p w:rsidR="006224C2" w:rsidRPr="00295E71" w14:paraId="4A40DE9D" w14:textId="77777777">
      <w:pPr>
        <w:tabs>
          <w:tab w:val="left" w:pos="567"/>
        </w:tabs>
        <w:autoSpaceDE w:val="0"/>
        <w:autoSpaceDN w:val="0"/>
        <w:adjustRightInd w:val="0"/>
        <w:jc w:val="both"/>
        <w:rPr>
          <w:del w:id="934" w:author="AbbVie14" w:date="2025-05-09T10:29:00Z"/>
          <w:color w:val="000000"/>
          <w:sz w:val="22"/>
          <w:szCs w:val="22"/>
        </w:rPr>
      </w:pPr>
      <w:del w:id="935" w:author="AbbVie14" w:date="2025-05-09T10:29:00Z">
        <w:r w:rsidRPr="00295E71">
          <w:rPr>
            <w:color w:val="000000"/>
            <w:sz w:val="22"/>
            <w:szCs w:val="22"/>
          </w:rPr>
          <w:delText>La combinazione di Humira e abatacept non è raccomandata (vedere paragrafo 4.4 “Somministrazione concomitante di DMARD biologici o antagonisti del TNF”).</w:delText>
        </w:r>
      </w:del>
    </w:p>
    <w:p w:rsidR="006224C2" w:rsidRPr="00295E71" w14:paraId="35A90D78" w14:textId="77777777">
      <w:pPr>
        <w:tabs>
          <w:tab w:val="left" w:pos="567"/>
        </w:tabs>
        <w:autoSpaceDE w:val="0"/>
        <w:autoSpaceDN w:val="0"/>
        <w:adjustRightInd w:val="0"/>
        <w:jc w:val="both"/>
        <w:rPr>
          <w:del w:id="936" w:author="AbbVie14" w:date="2025-05-09T10:29:00Z"/>
          <w:color w:val="000000"/>
          <w:sz w:val="22"/>
          <w:szCs w:val="22"/>
        </w:rPr>
      </w:pPr>
    </w:p>
    <w:p w:rsidR="006224C2" w:rsidRPr="00295E71" w:rsidP="00612824" w14:paraId="317685AB" w14:textId="77777777">
      <w:pPr>
        <w:keepNext/>
        <w:tabs>
          <w:tab w:val="left" w:pos="567"/>
        </w:tabs>
        <w:autoSpaceDE w:val="0"/>
        <w:autoSpaceDN w:val="0"/>
        <w:adjustRightInd w:val="0"/>
        <w:jc w:val="both"/>
        <w:rPr>
          <w:del w:id="937" w:author="AbbVie14" w:date="2025-05-09T10:29:00Z"/>
          <w:b/>
          <w:bCs/>
          <w:sz w:val="22"/>
          <w:szCs w:val="22"/>
        </w:rPr>
      </w:pPr>
      <w:del w:id="938" w:author="AbbVie14" w:date="2025-05-09T10:29:00Z">
        <w:r w:rsidRPr="00295E71">
          <w:rPr>
            <w:b/>
            <w:bCs/>
            <w:sz w:val="22"/>
            <w:szCs w:val="22"/>
          </w:rPr>
          <w:delText>4.6</w:delText>
        </w:r>
      </w:del>
      <w:del w:id="939" w:author="AbbVie14" w:date="2025-05-09T10:29:00Z">
        <w:r w:rsidRPr="00295E71">
          <w:rPr>
            <w:b/>
            <w:bCs/>
            <w:sz w:val="22"/>
            <w:szCs w:val="22"/>
          </w:rPr>
          <w:tab/>
        </w:r>
      </w:del>
      <w:del w:id="940" w:author="AbbVie14" w:date="2025-05-09T10:29:00Z">
        <w:r w:rsidRPr="00295E71" w:rsidR="00226BC4">
          <w:rPr>
            <w:b/>
            <w:bCs/>
            <w:sz w:val="22"/>
            <w:szCs w:val="22"/>
          </w:rPr>
          <w:delText>Fertilità, gravidanza e allattamento</w:delText>
        </w:r>
      </w:del>
    </w:p>
    <w:p w:rsidR="006224C2" w:rsidRPr="00295E71" w:rsidP="00525220" w14:paraId="2AF2B921" w14:textId="77777777">
      <w:pPr>
        <w:keepNext/>
        <w:keepLines/>
        <w:tabs>
          <w:tab w:val="left" w:pos="567"/>
        </w:tabs>
        <w:autoSpaceDE w:val="0"/>
        <w:autoSpaceDN w:val="0"/>
        <w:adjustRightInd w:val="0"/>
        <w:jc w:val="both"/>
        <w:rPr>
          <w:del w:id="941" w:author="AbbVie14" w:date="2025-05-09T10:29:00Z"/>
          <w:color w:val="000000"/>
          <w:sz w:val="22"/>
          <w:szCs w:val="22"/>
        </w:rPr>
      </w:pPr>
    </w:p>
    <w:p w:rsidR="006224C2" w:rsidRPr="00295E71" w:rsidP="00AF7A05" w14:paraId="3CB4EFD2" w14:textId="77777777">
      <w:pPr>
        <w:keepNext/>
        <w:keepLines/>
        <w:tabs>
          <w:tab w:val="left" w:pos="567"/>
        </w:tabs>
        <w:jc w:val="both"/>
        <w:rPr>
          <w:del w:id="942" w:author="AbbVie14" w:date="2025-05-09T10:29:00Z"/>
          <w:sz w:val="22"/>
          <w:szCs w:val="22"/>
          <w:u w:val="single"/>
        </w:rPr>
      </w:pPr>
      <w:del w:id="943" w:author="AbbVie14" w:date="2025-05-09T10:29:00Z">
        <w:r w:rsidRPr="00295E71">
          <w:rPr>
            <w:sz w:val="22"/>
            <w:szCs w:val="22"/>
            <w:u w:val="single"/>
          </w:rPr>
          <w:delText>Donne in età fertile</w:delText>
        </w:r>
      </w:del>
    </w:p>
    <w:p w:rsidR="006224C2" w:rsidRPr="00295E71" w:rsidP="00AF7A05" w14:paraId="0461140C" w14:textId="77777777">
      <w:pPr>
        <w:keepNext/>
        <w:keepLines/>
        <w:tabs>
          <w:tab w:val="left" w:pos="567"/>
        </w:tabs>
        <w:jc w:val="both"/>
        <w:rPr>
          <w:del w:id="944" w:author="AbbVie14" w:date="2025-05-09T10:29:00Z"/>
          <w:sz w:val="22"/>
          <w:szCs w:val="22"/>
        </w:rPr>
      </w:pPr>
    </w:p>
    <w:p w:rsidR="006224C2" w:rsidRPr="00295E71" w:rsidP="00AF7A05" w14:paraId="1B4AD226" w14:textId="77777777">
      <w:pPr>
        <w:keepNext/>
        <w:keepLines/>
        <w:tabs>
          <w:tab w:val="left" w:pos="567"/>
        </w:tabs>
        <w:jc w:val="both"/>
        <w:rPr>
          <w:del w:id="945" w:author="AbbVie14" w:date="2025-05-09T10:29:00Z"/>
          <w:sz w:val="22"/>
          <w:szCs w:val="22"/>
        </w:rPr>
      </w:pPr>
      <w:del w:id="946" w:author="AbbVie14" w:date="2025-05-09T10:29:00Z">
        <w:r w:rsidRPr="00295E71">
          <w:rPr>
            <w:sz w:val="22"/>
            <w:szCs w:val="22"/>
          </w:rPr>
          <w:delText xml:space="preserve">Le donne in età fertile devono </w:delText>
        </w:r>
      </w:del>
      <w:del w:id="947" w:author="AbbVie14" w:date="2025-05-09T10:29:00Z">
        <w:r w:rsidRPr="005F28A0" w:rsidR="005F28A0">
          <w:rPr>
            <w:sz w:val="22"/>
            <w:szCs w:val="22"/>
          </w:rPr>
          <w:delText>considerare l’utilizzo di</w:delText>
        </w:r>
      </w:del>
      <w:del w:id="948" w:author="AbbVie14" w:date="2025-05-09T10:29:00Z">
        <w:r w:rsidRPr="00295E71">
          <w:rPr>
            <w:sz w:val="22"/>
            <w:szCs w:val="22"/>
          </w:rPr>
          <w:delText xml:space="preserve"> un adeguato metodo contraccettivo per prevenire una gravidanza e l’uso di tale metodo deve proseguire per almeno cinque mesi dopo l’ultimo trattamento con Humira.</w:delText>
        </w:r>
      </w:del>
    </w:p>
    <w:p w:rsidR="006224C2" w:rsidRPr="00295E71" w14:paraId="206CC1B7" w14:textId="77777777">
      <w:pPr>
        <w:tabs>
          <w:tab w:val="left" w:pos="567"/>
        </w:tabs>
        <w:autoSpaceDE w:val="0"/>
        <w:autoSpaceDN w:val="0"/>
        <w:adjustRightInd w:val="0"/>
        <w:jc w:val="both"/>
        <w:rPr>
          <w:del w:id="949" w:author="AbbVie14" w:date="2025-05-09T10:29:00Z"/>
          <w:sz w:val="22"/>
          <w:szCs w:val="22"/>
        </w:rPr>
      </w:pPr>
    </w:p>
    <w:p w:rsidR="006224C2" w:rsidRPr="00295E71" w14:paraId="07504F05" w14:textId="77777777">
      <w:pPr>
        <w:rPr>
          <w:del w:id="950" w:author="AbbVie14" w:date="2025-05-09T10:29:00Z"/>
          <w:sz w:val="22"/>
          <w:szCs w:val="22"/>
          <w:u w:val="single"/>
        </w:rPr>
      </w:pPr>
      <w:del w:id="951" w:author="AbbVie14" w:date="2025-05-09T10:29:00Z">
        <w:r w:rsidRPr="00295E71">
          <w:rPr>
            <w:sz w:val="22"/>
            <w:szCs w:val="22"/>
            <w:u w:val="single"/>
          </w:rPr>
          <w:delText>Gravidanza</w:delText>
        </w:r>
      </w:del>
    </w:p>
    <w:p w:rsidR="006224C2" w:rsidRPr="00295E71" w14:paraId="2EF41582" w14:textId="77777777">
      <w:pPr>
        <w:tabs>
          <w:tab w:val="left" w:pos="567"/>
        </w:tabs>
        <w:autoSpaceDE w:val="0"/>
        <w:autoSpaceDN w:val="0"/>
        <w:adjustRightInd w:val="0"/>
        <w:jc w:val="both"/>
        <w:rPr>
          <w:del w:id="952" w:author="AbbVie14" w:date="2025-05-09T10:29:00Z"/>
          <w:sz w:val="22"/>
          <w:szCs w:val="22"/>
        </w:rPr>
      </w:pPr>
    </w:p>
    <w:p w:rsidR="00A60BC9" w:rsidP="00A60BC9" w14:paraId="64E9F9E3" w14:textId="77777777">
      <w:pPr>
        <w:tabs>
          <w:tab w:val="left" w:pos="567"/>
        </w:tabs>
        <w:autoSpaceDE w:val="0"/>
        <w:autoSpaceDN w:val="0"/>
        <w:adjustRightInd w:val="0"/>
        <w:jc w:val="both"/>
        <w:rPr>
          <w:del w:id="953" w:author="AbbVie14" w:date="2025-05-09T10:29:00Z"/>
          <w:sz w:val="22"/>
          <w:szCs w:val="22"/>
        </w:rPr>
      </w:pPr>
      <w:del w:id="954" w:author="AbbVie14" w:date="2025-05-09T10:29:00Z">
        <w:r>
          <w:rPr>
            <w:sz w:val="22"/>
            <w:szCs w:val="22"/>
          </w:rPr>
          <w:delText xml:space="preserve">Un numero elevato (circa 2100) di gravidanze esposte ad adalimumab, </w:delText>
        </w:r>
      </w:del>
      <w:del w:id="955" w:author="AbbVie14" w:date="2025-05-09T10:29:00Z">
        <w:r w:rsidRPr="003F31B0">
          <w:rPr>
            <w:sz w:val="22"/>
            <w:szCs w:val="22"/>
          </w:rPr>
          <w:delText>raccolte</w:delText>
        </w:r>
      </w:del>
      <w:del w:id="956" w:author="AbbVie14" w:date="2025-05-09T10:29:00Z">
        <w:r>
          <w:rPr>
            <w:sz w:val="22"/>
            <w:szCs w:val="22"/>
          </w:rPr>
          <w:delText xml:space="preserve"> in modo prospettico, </w:delText>
        </w:r>
      </w:del>
      <w:del w:id="957" w:author="AbbVie14" w:date="2025-05-09T10:29:00Z">
        <w:r w:rsidRPr="003F31B0">
          <w:rPr>
            <w:sz w:val="22"/>
            <w:szCs w:val="22"/>
          </w:rPr>
          <w:delText xml:space="preserve">che hanno portato </w:delText>
        </w:r>
      </w:del>
      <w:del w:id="958" w:author="AbbVie14" w:date="2025-05-09T10:29:00Z">
        <w:r w:rsidRPr="00F7229B">
          <w:rPr>
            <w:sz w:val="22"/>
            <w:szCs w:val="22"/>
          </w:rPr>
          <w:delText>a nati</w:delText>
        </w:r>
      </w:del>
      <w:del w:id="959" w:author="AbbVie14" w:date="2025-05-09T10:29:00Z">
        <w:r>
          <w:rPr>
            <w:sz w:val="22"/>
            <w:szCs w:val="22"/>
          </w:rPr>
          <w:delText xml:space="preserve"> </w:delText>
        </w:r>
      </w:del>
      <w:del w:id="960" w:author="AbbVie14" w:date="2025-05-09T10:29:00Z">
        <w:r w:rsidRPr="00400881">
          <w:rPr>
            <w:sz w:val="22"/>
            <w:szCs w:val="22"/>
          </w:rPr>
          <w:delText xml:space="preserve">vivi </w:delText>
        </w:r>
      </w:del>
      <w:del w:id="961" w:author="AbbVie14" w:date="2025-05-09T10:29:00Z">
        <w:r w:rsidRPr="003F31B0">
          <w:rPr>
            <w:sz w:val="22"/>
            <w:szCs w:val="22"/>
          </w:rPr>
          <w:delText>con esiti noti</w:delText>
        </w:r>
      </w:del>
      <w:del w:id="962" w:author="AbbVie14" w:date="2025-05-09T10:29:00Z">
        <w:r>
          <w:rPr>
            <w:sz w:val="22"/>
            <w:szCs w:val="22"/>
          </w:rPr>
          <w:delText xml:space="preserve"> e che includevano più di 1500 gravidanze esposte durante il primo trimestre, non ha indicato un aumento del tasso di malformazione nel neonato.</w:delText>
        </w:r>
      </w:del>
    </w:p>
    <w:p w:rsidR="00A60BC9" w:rsidRPr="00295E71" w:rsidP="00A60BC9" w14:paraId="7F245540" w14:textId="77777777">
      <w:pPr>
        <w:tabs>
          <w:tab w:val="left" w:pos="567"/>
        </w:tabs>
        <w:autoSpaceDE w:val="0"/>
        <w:autoSpaceDN w:val="0"/>
        <w:adjustRightInd w:val="0"/>
        <w:jc w:val="both"/>
        <w:rPr>
          <w:del w:id="963" w:author="AbbVie14" w:date="2025-05-09T10:29:00Z"/>
          <w:sz w:val="22"/>
          <w:szCs w:val="22"/>
        </w:rPr>
      </w:pPr>
      <w:del w:id="964" w:author="AbbVie14" w:date="2025-05-09T10:29:00Z">
        <w:r>
          <w:rPr>
            <w:sz w:val="22"/>
            <w:szCs w:val="22"/>
          </w:rPr>
          <w:delText xml:space="preserve">   </w:delText>
        </w:r>
      </w:del>
    </w:p>
    <w:p w:rsidR="002A7FA6" w:rsidP="002A7FA6" w14:paraId="2FE765A6" w14:textId="77777777">
      <w:pPr>
        <w:rPr>
          <w:del w:id="965" w:author="AbbVie14" w:date="2025-05-09T10:29:00Z"/>
          <w:color w:val="000000"/>
          <w:sz w:val="22"/>
          <w:szCs w:val="22"/>
        </w:rPr>
      </w:pPr>
      <w:del w:id="966" w:author="AbbVie14" w:date="2025-05-09T10:29:00Z">
        <w:r>
          <w:rPr>
            <w:color w:val="000000"/>
            <w:sz w:val="22"/>
            <w:szCs w:val="22"/>
          </w:rPr>
          <w:delText xml:space="preserve">In </w:delText>
        </w:r>
      </w:del>
      <w:del w:id="967" w:author="AbbVie14" w:date="2025-05-09T10:29:00Z">
        <w:r w:rsidRPr="00C1727B">
          <w:rPr>
            <w:color w:val="000000"/>
            <w:sz w:val="22"/>
            <w:szCs w:val="22"/>
          </w:rPr>
          <w:delText xml:space="preserve">un registro </w:delText>
        </w:r>
      </w:del>
      <w:del w:id="968" w:author="AbbVie14" w:date="2025-05-09T10:29:00Z">
        <w:r>
          <w:rPr>
            <w:color w:val="000000"/>
            <w:sz w:val="22"/>
            <w:szCs w:val="22"/>
          </w:rPr>
          <w:delText xml:space="preserve">di coorte </w:delText>
        </w:r>
      </w:del>
      <w:del w:id="969" w:author="AbbVie14" w:date="2025-05-09T10:29:00Z">
        <w:r w:rsidRPr="00C1727B">
          <w:rPr>
            <w:color w:val="000000"/>
            <w:sz w:val="22"/>
            <w:szCs w:val="22"/>
          </w:rPr>
          <w:delText>prospettico,</w:delText>
        </w:r>
      </w:del>
      <w:del w:id="970" w:author="AbbVie14" w:date="2025-05-09T10:29:00Z">
        <w:r>
          <w:rPr>
            <w:color w:val="000000"/>
            <w:sz w:val="22"/>
            <w:szCs w:val="22"/>
          </w:rPr>
          <w:delText xml:space="preserve"> sono state arruolate 257 donne con artrite reumatoide (AR) o malattia di Crohn (MC) trattate con adalimumab almeno durante il primo trimestre di gravidanza e 120 donne con AR o MC non trattate con adalimumab. L’endpoint primario è stato la prevalenza di gravi difetti alla nascita. Il tasso delle gravidanze che si sono concluse con la nascita di almeno un neonato vivo con un grave difetto alla nascita è stato 6/69 (8,7%) nelle donne con AR trattate con adalimumab e 5/74 (6,8%) nelle donne con AR non trattate (</w:delText>
        </w:r>
      </w:del>
      <w:del w:id="971" w:author="AbbVie14" w:date="2025-05-09T10:29:00Z">
        <w:r w:rsidRPr="00400881">
          <w:rPr>
            <w:color w:val="000000"/>
            <w:sz w:val="22"/>
            <w:szCs w:val="22"/>
          </w:rPr>
          <w:delText xml:space="preserve">OR </w:delText>
        </w:r>
      </w:del>
      <w:del w:id="972" w:author="AbbVie14" w:date="2025-05-09T10:29:00Z">
        <w:r w:rsidRPr="004C4F83">
          <w:delText>non aggiustato</w:delText>
        </w:r>
      </w:del>
      <w:del w:id="973" w:author="AbbVie14" w:date="2025-05-09T10:29:00Z">
        <w:r>
          <w:delText xml:space="preserve"> </w:delText>
        </w:r>
      </w:del>
      <w:del w:id="974" w:author="AbbVie14" w:date="2025-05-09T10:29:00Z">
        <w:r>
          <w:rPr>
            <w:color w:val="000000"/>
            <w:sz w:val="22"/>
            <w:szCs w:val="22"/>
          </w:rPr>
          <w:delText>1,31; 95% IC 0,38-4,52) e 16/152 (10,5%) nelle donne con MC trattate con adalimumab e 3/32 (9,4%) nelle donne con MC non trattate (</w:delText>
        </w:r>
      </w:del>
      <w:del w:id="975" w:author="AbbVie14" w:date="2025-05-09T10:29:00Z">
        <w:r w:rsidRPr="00400881">
          <w:rPr>
            <w:color w:val="000000"/>
            <w:sz w:val="22"/>
            <w:szCs w:val="22"/>
          </w:rPr>
          <w:delText xml:space="preserve">OR </w:delText>
        </w:r>
      </w:del>
      <w:del w:id="976" w:author="AbbVie14" w:date="2025-05-09T10:29:00Z">
        <w:r w:rsidRPr="004C4F83">
          <w:delText>non aggiustato</w:delText>
        </w:r>
      </w:del>
      <w:del w:id="977" w:author="AbbVie14" w:date="2025-05-09T10:29:00Z">
        <w:r>
          <w:delText xml:space="preserve"> </w:delText>
        </w:r>
      </w:del>
      <w:del w:id="978" w:author="AbbVie14" w:date="2025-05-09T10:29:00Z">
        <w:r>
          <w:rPr>
            <w:color w:val="000000"/>
            <w:sz w:val="22"/>
            <w:szCs w:val="22"/>
          </w:rPr>
          <w:delText xml:space="preserve">1,14, 95% IC 0,31-4,16). </w:delText>
        </w:r>
      </w:del>
      <w:del w:id="979" w:author="AbbVie14" w:date="2025-05-09T10:29:00Z">
        <w:r w:rsidRPr="00400881">
          <w:rPr>
            <w:color w:val="000000"/>
            <w:sz w:val="22"/>
            <w:szCs w:val="22"/>
          </w:rPr>
          <w:delText xml:space="preserve">L’OR </w:delText>
        </w:r>
      </w:del>
      <w:del w:id="980" w:author="AbbVie14" w:date="2025-05-09T10:29:00Z">
        <w:r>
          <w:rPr>
            <w:color w:val="000000"/>
            <w:sz w:val="22"/>
            <w:szCs w:val="22"/>
          </w:rPr>
          <w:delText xml:space="preserve">aggiustato (che considera le differenze rispetto al baseline) era 1,10 (95% IC 0,45-2,73) per AR e MC combinate. Tra le donne trattate con adalimumab e quelle non trattate </w:delText>
        </w:r>
      </w:del>
      <w:del w:id="981" w:author="AbbVie14" w:date="2025-05-09T10:29:00Z">
        <w:r w:rsidRPr="008C57BD">
          <w:rPr>
            <w:color w:val="000000"/>
            <w:sz w:val="22"/>
            <w:szCs w:val="22"/>
          </w:rPr>
          <w:delText>non ci sono state evidenti differenze</w:delText>
        </w:r>
      </w:del>
      <w:del w:id="982" w:author="AbbVie14" w:date="2025-05-09T10:29:00Z">
        <w:r>
          <w:rPr>
            <w:color w:val="000000"/>
            <w:sz w:val="22"/>
            <w:szCs w:val="22"/>
          </w:rPr>
          <w:delText xml:space="preserve"> negli endpoint secondari come aborti spontanei, difetti minori alla nascita, parto pretermine, dimensione del neonato e infezioni gravi o opportunistiche e non sono stati riportati casi di nati morti o tumori maligni. L’interpretazione dei dati può essere influenzata dalle limitazioni metodologiche dello studio, compresi la piccola dimensione del campione e il disegno non randomizzato.   </w:delText>
        </w:r>
      </w:del>
    </w:p>
    <w:p w:rsidR="002A7FA6" w14:paraId="5B334C46" w14:textId="77777777">
      <w:pPr>
        <w:tabs>
          <w:tab w:val="left" w:pos="567"/>
        </w:tabs>
        <w:autoSpaceDE w:val="0"/>
        <w:autoSpaceDN w:val="0"/>
        <w:adjustRightInd w:val="0"/>
        <w:jc w:val="both"/>
        <w:rPr>
          <w:del w:id="983" w:author="AbbVie14" w:date="2025-05-09T10:29:00Z"/>
          <w:color w:val="000000"/>
          <w:sz w:val="22"/>
          <w:szCs w:val="22"/>
        </w:rPr>
      </w:pPr>
    </w:p>
    <w:p w:rsidR="006224C2" w:rsidRPr="00295E71" w14:paraId="5A01F165" w14:textId="77777777">
      <w:pPr>
        <w:tabs>
          <w:tab w:val="left" w:pos="567"/>
        </w:tabs>
        <w:autoSpaceDE w:val="0"/>
        <w:autoSpaceDN w:val="0"/>
        <w:adjustRightInd w:val="0"/>
        <w:jc w:val="both"/>
        <w:rPr>
          <w:del w:id="984" w:author="AbbVie14" w:date="2025-05-09T10:29:00Z"/>
          <w:color w:val="000000"/>
          <w:sz w:val="22"/>
          <w:szCs w:val="22"/>
        </w:rPr>
      </w:pPr>
      <w:del w:id="985" w:author="AbbVie14" w:date="2025-05-09T10:29:00Z">
        <w:r w:rsidRPr="00295E71">
          <w:rPr>
            <w:color w:val="000000"/>
            <w:sz w:val="22"/>
            <w:szCs w:val="22"/>
          </w:rPr>
          <w:delText>In uno studio di tossicità dello sviluppo</w:delText>
        </w:r>
      </w:del>
      <w:del w:id="986" w:author="AbbVie14" w:date="2025-05-09T10:29:00Z">
        <w:r w:rsidRPr="00295E71" w:rsidR="003C47F5">
          <w:rPr>
            <w:color w:val="000000"/>
            <w:sz w:val="22"/>
            <w:szCs w:val="22"/>
          </w:rPr>
          <w:delText xml:space="preserve"> </w:delText>
        </w:r>
      </w:del>
      <w:del w:id="987" w:author="AbbVie14" w:date="2025-05-09T10:29:00Z">
        <w:r w:rsidRPr="00295E71">
          <w:rPr>
            <w:color w:val="000000"/>
            <w:sz w:val="22"/>
            <w:szCs w:val="22"/>
          </w:rPr>
          <w:delText>condotto su scimmie non è stata riscontrata tossicità nella madre, nè embriotossicità o teratogenicità. Non sono disponibili dati preclinici sulla tossicità postnatale di adalimumab (vedere paragrafo 5.3).</w:delText>
        </w:r>
      </w:del>
    </w:p>
    <w:p w:rsidR="006224C2" w:rsidRPr="00295E71" w14:paraId="179692F9" w14:textId="77777777">
      <w:pPr>
        <w:tabs>
          <w:tab w:val="left" w:pos="567"/>
        </w:tabs>
        <w:autoSpaceDE w:val="0"/>
        <w:autoSpaceDN w:val="0"/>
        <w:adjustRightInd w:val="0"/>
        <w:jc w:val="both"/>
        <w:rPr>
          <w:del w:id="988" w:author="AbbVie14" w:date="2025-05-09T10:29:00Z"/>
          <w:color w:val="000000"/>
          <w:sz w:val="22"/>
          <w:szCs w:val="22"/>
        </w:rPr>
      </w:pPr>
    </w:p>
    <w:p w:rsidR="006224C2" w:rsidRPr="00295E71" w14:paraId="069127C9" w14:textId="77777777">
      <w:pPr>
        <w:tabs>
          <w:tab w:val="left" w:pos="567"/>
        </w:tabs>
        <w:autoSpaceDE w:val="0"/>
        <w:autoSpaceDN w:val="0"/>
        <w:adjustRightInd w:val="0"/>
        <w:jc w:val="both"/>
        <w:rPr>
          <w:del w:id="989" w:author="AbbVie14" w:date="2025-05-09T10:29:00Z"/>
          <w:color w:val="000000"/>
          <w:sz w:val="22"/>
          <w:szCs w:val="22"/>
        </w:rPr>
      </w:pPr>
      <w:del w:id="990" w:author="AbbVie14" w:date="2025-05-09T10:29:00Z">
        <w:r w:rsidRPr="00295E71">
          <w:rPr>
            <w:color w:val="000000"/>
            <w:sz w:val="22"/>
            <w:szCs w:val="22"/>
          </w:rPr>
          <w:delText>A causa dell’inibizione del TNF</w:delText>
        </w:r>
      </w:del>
      <w:del w:id="991" w:author="AbbVie14" w:date="2025-05-09T10:29:00Z">
        <w:r w:rsidRPr="00295E71">
          <w:rPr>
            <w:rFonts w:ascii="Symbol" w:hAnsi="Symbol"/>
            <w:color w:val="000000"/>
            <w:sz w:val="22"/>
            <w:szCs w:val="22"/>
          </w:rPr>
          <w:sym w:font="Symbol" w:char="F061"/>
        </w:r>
      </w:del>
      <w:del w:id="992" w:author="AbbVie14" w:date="2025-05-09T10:29:00Z">
        <w:r w:rsidRPr="00295E71">
          <w:rPr>
            <w:color w:val="000000"/>
            <w:sz w:val="22"/>
            <w:szCs w:val="22"/>
          </w:rPr>
          <w:delText xml:space="preserve">, la somministrazione di adalimumab durante la gravidanza potrebbe interferire con la normale risposta immunitaria del neonato. </w:delText>
        </w:r>
      </w:del>
      <w:del w:id="993" w:author="AbbVie14" w:date="2025-05-09T10:29:00Z">
        <w:r w:rsidRPr="002A7FA6" w:rsidR="002A7FA6">
          <w:rPr>
            <w:color w:val="000000"/>
            <w:sz w:val="22"/>
            <w:szCs w:val="22"/>
          </w:rPr>
          <w:delText>Adalimumab deve essere utilizzato in gravidanza soltanto se strettamente necessario.</w:delText>
        </w:r>
      </w:del>
      <w:del w:id="994" w:author="AbbVie14" w:date="2025-05-09T10:29:00Z">
        <w:r w:rsidRPr="00295E71">
          <w:rPr>
            <w:color w:val="000000"/>
            <w:sz w:val="22"/>
            <w:szCs w:val="22"/>
          </w:rPr>
          <w:delText xml:space="preserve"> </w:delText>
        </w:r>
      </w:del>
    </w:p>
    <w:p w:rsidR="006224C2" w:rsidRPr="00295E71" w14:paraId="09B00EE2" w14:textId="77777777">
      <w:pPr>
        <w:tabs>
          <w:tab w:val="left" w:pos="567"/>
        </w:tabs>
        <w:autoSpaceDE w:val="0"/>
        <w:autoSpaceDN w:val="0"/>
        <w:adjustRightInd w:val="0"/>
        <w:jc w:val="both"/>
        <w:rPr>
          <w:del w:id="995" w:author="AbbVie14" w:date="2025-05-09T10:29:00Z"/>
          <w:color w:val="000000"/>
          <w:sz w:val="22"/>
          <w:szCs w:val="22"/>
        </w:rPr>
      </w:pPr>
    </w:p>
    <w:p w:rsidR="006224C2" w:rsidRPr="00295E71" w14:paraId="4237A4CE" w14:textId="77777777">
      <w:pPr>
        <w:tabs>
          <w:tab w:val="left" w:pos="567"/>
        </w:tabs>
        <w:autoSpaceDE w:val="0"/>
        <w:autoSpaceDN w:val="0"/>
        <w:adjustRightInd w:val="0"/>
        <w:jc w:val="both"/>
        <w:rPr>
          <w:del w:id="996" w:author="AbbVie14" w:date="2025-05-09T10:29:00Z"/>
          <w:color w:val="000000"/>
          <w:sz w:val="22"/>
          <w:szCs w:val="22"/>
        </w:rPr>
      </w:pPr>
      <w:del w:id="997" w:author="AbbVie14" w:date="2025-05-09T10:29:00Z">
        <w:r w:rsidRPr="00295E71">
          <w:rPr>
            <w:color w:val="000000"/>
            <w:sz w:val="22"/>
            <w:szCs w:val="22"/>
          </w:rPr>
          <w:delText xml:space="preserve">Adalimumab può attraversare la placenta e raggiungere il siero dei bambini nati da madri trattate con adalimumab durante la gravidanza. Di conseguenza, questi bambini sono soggetti ad un maggior rischio di infezione. </w:delText>
        </w:r>
      </w:del>
    </w:p>
    <w:p w:rsidR="006224C2" w:rsidRPr="00295E71" w14:paraId="6BBA4F38" w14:textId="77777777">
      <w:pPr>
        <w:tabs>
          <w:tab w:val="left" w:pos="567"/>
        </w:tabs>
        <w:autoSpaceDE w:val="0"/>
        <w:autoSpaceDN w:val="0"/>
        <w:adjustRightInd w:val="0"/>
        <w:jc w:val="both"/>
        <w:rPr>
          <w:del w:id="998" w:author="AbbVie14" w:date="2025-05-09T10:29:00Z"/>
          <w:color w:val="000000"/>
          <w:sz w:val="22"/>
          <w:szCs w:val="22"/>
        </w:rPr>
      </w:pPr>
      <w:del w:id="999" w:author="AbbVie14" w:date="2025-05-09T10:29:00Z">
        <w:r w:rsidRPr="00295E71">
          <w:rPr>
            <w:color w:val="000000"/>
            <w:sz w:val="22"/>
            <w:szCs w:val="22"/>
          </w:rPr>
          <w:delText xml:space="preserve">La somministrazione di vaccini vivi </w:delText>
        </w:r>
      </w:del>
      <w:del w:id="1000" w:author="AbbVie14" w:date="2025-05-09T10:29:00Z">
        <w:r w:rsidR="002A7FA6">
          <w:rPr>
            <w:color w:val="000000"/>
            <w:sz w:val="22"/>
            <w:szCs w:val="22"/>
          </w:rPr>
          <w:delText xml:space="preserve">(ad es. vaccino BCG) </w:delText>
        </w:r>
      </w:del>
      <w:del w:id="1001" w:author="AbbVie14" w:date="2025-05-09T10:29:00Z">
        <w:r w:rsidRPr="00295E71">
          <w:rPr>
            <w:color w:val="000000"/>
            <w:sz w:val="22"/>
            <w:szCs w:val="22"/>
          </w:rPr>
          <w:delText xml:space="preserve">a bambini esposti ad adalimumab nell’utero non è raccomandata </w:delText>
        </w:r>
      </w:del>
      <w:del w:id="1002" w:author="AbbVie14" w:date="2025-05-09T10:29:00Z">
        <w:r w:rsidR="008C57BD">
          <w:rPr>
            <w:sz w:val="22"/>
            <w:szCs w:val="22"/>
          </w:rPr>
          <w:delText>fino a</w:delText>
        </w:r>
      </w:del>
      <w:del w:id="1003" w:author="AbbVie14" w:date="2025-05-09T10:29:00Z">
        <w:r w:rsidRPr="00295E71" w:rsidR="008C57BD">
          <w:rPr>
            <w:color w:val="000000"/>
            <w:sz w:val="22"/>
            <w:szCs w:val="22"/>
          </w:rPr>
          <w:delText xml:space="preserve"> </w:delText>
        </w:r>
      </w:del>
      <w:del w:id="1004" w:author="AbbVie14" w:date="2025-05-09T10:29:00Z">
        <w:r w:rsidRPr="00295E71">
          <w:rPr>
            <w:color w:val="000000"/>
            <w:sz w:val="22"/>
            <w:szCs w:val="22"/>
          </w:rPr>
          <w:delText>5 mesi dall’ultima somministrazione di adalimumab alla madre durante la gravidanza.</w:delText>
        </w:r>
      </w:del>
    </w:p>
    <w:p w:rsidR="006224C2" w:rsidRPr="00295E71" w14:paraId="657E161F" w14:textId="77777777">
      <w:pPr>
        <w:tabs>
          <w:tab w:val="left" w:pos="567"/>
        </w:tabs>
        <w:autoSpaceDE w:val="0"/>
        <w:autoSpaceDN w:val="0"/>
        <w:adjustRightInd w:val="0"/>
        <w:jc w:val="both"/>
        <w:rPr>
          <w:del w:id="1005" w:author="AbbVie14" w:date="2025-05-09T10:29:00Z"/>
          <w:color w:val="000000"/>
          <w:sz w:val="22"/>
          <w:szCs w:val="22"/>
        </w:rPr>
      </w:pPr>
    </w:p>
    <w:p w:rsidR="006224C2" w:rsidRPr="00295E71" w14:paraId="312389FD" w14:textId="77777777">
      <w:pPr>
        <w:rPr>
          <w:del w:id="1006" w:author="AbbVie14" w:date="2025-05-09T10:29:00Z"/>
          <w:color w:val="000000"/>
          <w:sz w:val="22"/>
          <w:szCs w:val="22"/>
        </w:rPr>
      </w:pPr>
      <w:del w:id="1007" w:author="AbbVie14" w:date="2025-05-09T10:29:00Z">
        <w:r w:rsidRPr="00295E71">
          <w:rPr>
            <w:color w:val="000000"/>
            <w:sz w:val="22"/>
            <w:szCs w:val="22"/>
            <w:u w:val="single"/>
          </w:rPr>
          <w:delText>Allattamento</w:delText>
        </w:r>
      </w:del>
    </w:p>
    <w:p w:rsidR="006224C2" w:rsidRPr="00295E71" w14:paraId="3B7189E0" w14:textId="77777777">
      <w:pPr>
        <w:tabs>
          <w:tab w:val="left" w:pos="567"/>
        </w:tabs>
        <w:jc w:val="both"/>
        <w:rPr>
          <w:del w:id="1008" w:author="AbbVie14" w:date="2025-05-09T10:29:00Z"/>
          <w:color w:val="000000"/>
          <w:sz w:val="22"/>
          <w:szCs w:val="22"/>
        </w:rPr>
      </w:pPr>
    </w:p>
    <w:p w:rsidR="006224C2" w:rsidRPr="00295E71" w14:paraId="0DC31D7C" w14:textId="77777777">
      <w:pPr>
        <w:tabs>
          <w:tab w:val="left" w:pos="567"/>
        </w:tabs>
        <w:jc w:val="both"/>
        <w:rPr>
          <w:del w:id="1009" w:author="AbbVie14" w:date="2025-05-09T10:29:00Z"/>
          <w:sz w:val="22"/>
          <w:szCs w:val="22"/>
        </w:rPr>
      </w:pPr>
      <w:del w:id="1010" w:author="AbbVie14" w:date="2025-05-09T10:29:00Z">
        <w:r>
          <w:rPr>
            <w:sz w:val="22"/>
            <w:szCs w:val="22"/>
          </w:rPr>
          <w:delText xml:space="preserve">Le limitate informazioni dalla letteratura pubblicata indicano che adalimumab è escreto nel latte materno in concentrazioni molto basse e che la concentrazione di adalimumab nel latte umano è pari allo 0,1% - 1% </w:delText>
        </w:r>
      </w:del>
      <w:del w:id="1011" w:author="AbbVie14" w:date="2025-05-09T10:29:00Z">
        <w:r w:rsidRPr="00AB1F1C">
          <w:rPr>
            <w:sz w:val="22"/>
            <w:szCs w:val="22"/>
          </w:rPr>
          <w:delText>del livello</w:delText>
        </w:r>
      </w:del>
      <w:del w:id="1012" w:author="AbbVie14" w:date="2025-05-09T10:29:00Z">
        <w:r w:rsidRPr="00C53732">
          <w:rPr>
            <w:sz w:val="22"/>
            <w:szCs w:val="22"/>
          </w:rPr>
          <w:delText xml:space="preserve"> </w:delText>
        </w:r>
      </w:del>
      <w:del w:id="1013" w:author="AbbVie14" w:date="2025-05-09T10:29:00Z">
        <w:r w:rsidRPr="00B902E6">
          <w:rPr>
            <w:sz w:val="22"/>
            <w:szCs w:val="22"/>
          </w:rPr>
          <w:delText>sierico</w:delText>
        </w:r>
      </w:del>
      <w:del w:id="1014" w:author="AbbVie14" w:date="2025-05-09T10:29:00Z">
        <w:r>
          <w:rPr>
            <w:sz w:val="22"/>
            <w:szCs w:val="22"/>
          </w:rPr>
          <w:delText xml:space="preserve"> della madre. Somministrate per via orale, le immunoglobuline G sono sottoposte a proteolisi intestinale ed hanno una scarsa biodisponibilità. </w:delText>
        </w:r>
      </w:del>
      <w:del w:id="1015" w:author="AbbVie14" w:date="2025-05-09T10:29:00Z">
        <w:r w:rsidRPr="001113B9">
          <w:rPr>
            <w:sz w:val="22"/>
            <w:szCs w:val="22"/>
          </w:rPr>
          <w:delText xml:space="preserve">Non si ritiene che possa </w:delText>
        </w:r>
      </w:del>
      <w:del w:id="1016" w:author="AbbVie14" w:date="2025-05-09T10:29:00Z">
        <w:r>
          <w:rPr>
            <w:sz w:val="22"/>
            <w:szCs w:val="22"/>
          </w:rPr>
          <w:delText xml:space="preserve">avere </w:delText>
        </w:r>
      </w:del>
      <w:del w:id="1017" w:author="AbbVie14" w:date="2025-05-09T10:29:00Z">
        <w:r w:rsidRPr="001113B9">
          <w:rPr>
            <w:sz w:val="22"/>
            <w:szCs w:val="22"/>
          </w:rPr>
          <w:delText>effetti su neonati/lattanti</w:delText>
        </w:r>
      </w:del>
      <w:del w:id="1018" w:author="AbbVie14" w:date="2025-05-09T10:29:00Z">
        <w:r>
          <w:rPr>
            <w:sz w:val="22"/>
            <w:szCs w:val="22"/>
          </w:rPr>
          <w:delText>. Conseguentemente, Humira può essere utilizzato durante l’allat</w:delText>
        </w:r>
      </w:del>
      <w:del w:id="1019" w:author="AbbVie14" w:date="2025-05-09T10:29:00Z">
        <w:r w:rsidR="008437A6">
          <w:rPr>
            <w:sz w:val="22"/>
            <w:szCs w:val="22"/>
          </w:rPr>
          <w:delText>t</w:delText>
        </w:r>
      </w:del>
      <w:del w:id="1020" w:author="AbbVie14" w:date="2025-05-09T10:29:00Z">
        <w:r>
          <w:rPr>
            <w:sz w:val="22"/>
            <w:szCs w:val="22"/>
          </w:rPr>
          <w:delText>amento.</w:delText>
        </w:r>
      </w:del>
    </w:p>
    <w:p w:rsidR="006224C2" w:rsidRPr="00295E71" w14:paraId="114EDFFD" w14:textId="77777777">
      <w:pPr>
        <w:tabs>
          <w:tab w:val="left" w:pos="567"/>
        </w:tabs>
        <w:jc w:val="both"/>
        <w:rPr>
          <w:del w:id="1021" w:author="AbbVie14" w:date="2025-05-09T10:29:00Z"/>
          <w:sz w:val="22"/>
          <w:szCs w:val="22"/>
        </w:rPr>
      </w:pPr>
    </w:p>
    <w:p w:rsidR="006224C2" w:rsidRPr="00295E71" w14:paraId="19F39A65" w14:textId="77777777">
      <w:pPr>
        <w:tabs>
          <w:tab w:val="left" w:pos="567"/>
        </w:tabs>
        <w:jc w:val="both"/>
        <w:rPr>
          <w:del w:id="1022" w:author="AbbVie14" w:date="2025-05-09T10:29:00Z"/>
          <w:sz w:val="22"/>
          <w:szCs w:val="22"/>
          <w:u w:val="single"/>
        </w:rPr>
      </w:pPr>
      <w:del w:id="1023" w:author="AbbVie14" w:date="2025-05-09T10:29:00Z">
        <w:r w:rsidRPr="00295E71">
          <w:rPr>
            <w:sz w:val="22"/>
            <w:szCs w:val="22"/>
            <w:u w:val="single"/>
          </w:rPr>
          <w:delText>Fertilità</w:delText>
        </w:r>
      </w:del>
    </w:p>
    <w:p w:rsidR="006224C2" w:rsidRPr="00295E71" w14:paraId="3176D1FC" w14:textId="77777777">
      <w:pPr>
        <w:tabs>
          <w:tab w:val="left" w:pos="567"/>
        </w:tabs>
        <w:jc w:val="both"/>
        <w:rPr>
          <w:del w:id="1024" w:author="AbbVie14" w:date="2025-05-09T10:29:00Z"/>
          <w:sz w:val="22"/>
          <w:szCs w:val="22"/>
        </w:rPr>
      </w:pPr>
    </w:p>
    <w:p w:rsidR="006224C2" w:rsidRPr="00295E71" w14:paraId="36627A5A" w14:textId="77777777">
      <w:pPr>
        <w:tabs>
          <w:tab w:val="left" w:pos="567"/>
        </w:tabs>
        <w:jc w:val="both"/>
        <w:rPr>
          <w:del w:id="1025" w:author="AbbVie14" w:date="2025-05-09T10:29:00Z"/>
          <w:sz w:val="22"/>
          <w:szCs w:val="22"/>
        </w:rPr>
      </w:pPr>
      <w:del w:id="1026" w:author="AbbVie14" w:date="2025-05-09T10:29:00Z">
        <w:r w:rsidRPr="00295E71">
          <w:rPr>
            <w:sz w:val="22"/>
            <w:szCs w:val="22"/>
          </w:rPr>
          <w:delText>Non sono disponibili dati preclinici sugli effetti di adalimumab sulla fertilità.</w:delText>
        </w:r>
      </w:del>
    </w:p>
    <w:p w:rsidR="006224C2" w:rsidRPr="00295E71" w14:paraId="7AFCA54F" w14:textId="77777777">
      <w:pPr>
        <w:tabs>
          <w:tab w:val="left" w:pos="567"/>
        </w:tabs>
        <w:jc w:val="both"/>
        <w:rPr>
          <w:del w:id="1027" w:author="AbbVie14" w:date="2025-05-09T10:29:00Z"/>
          <w:sz w:val="22"/>
          <w:szCs w:val="22"/>
        </w:rPr>
      </w:pPr>
    </w:p>
    <w:p w:rsidR="006224C2" w:rsidRPr="00295E71" w:rsidP="00F57FE5" w14:paraId="495EC701" w14:textId="77777777">
      <w:pPr>
        <w:keepNext/>
        <w:keepLines/>
        <w:tabs>
          <w:tab w:val="left" w:pos="567"/>
        </w:tabs>
        <w:ind w:left="567" w:hanging="567"/>
        <w:jc w:val="both"/>
        <w:rPr>
          <w:del w:id="1028" w:author="AbbVie14" w:date="2025-05-09T10:29:00Z"/>
          <w:b/>
          <w:bCs/>
          <w:sz w:val="22"/>
          <w:szCs w:val="22"/>
        </w:rPr>
      </w:pPr>
      <w:del w:id="1029" w:author="AbbVie14" w:date="2025-05-09T10:29:00Z">
        <w:r w:rsidRPr="00295E71">
          <w:rPr>
            <w:b/>
            <w:bCs/>
            <w:sz w:val="22"/>
            <w:szCs w:val="22"/>
          </w:rPr>
          <w:delText>4.7</w:delText>
        </w:r>
      </w:del>
      <w:del w:id="1030" w:author="AbbVie14" w:date="2025-05-09T10:29:00Z">
        <w:r w:rsidRPr="00295E71">
          <w:rPr>
            <w:b/>
            <w:bCs/>
            <w:sz w:val="22"/>
            <w:szCs w:val="22"/>
          </w:rPr>
          <w:tab/>
          <w:delText>Effetti sulla capacità di guidare veicoli e sull’uso di macchinari</w:delText>
        </w:r>
      </w:del>
    </w:p>
    <w:p w:rsidR="006224C2" w:rsidRPr="00295E71" w:rsidP="00F57FE5" w14:paraId="54053C37" w14:textId="77777777">
      <w:pPr>
        <w:keepNext/>
        <w:keepLines/>
        <w:tabs>
          <w:tab w:val="left" w:pos="567"/>
        </w:tabs>
        <w:jc w:val="both"/>
        <w:rPr>
          <w:del w:id="1031" w:author="AbbVie14" w:date="2025-05-09T10:29:00Z"/>
          <w:sz w:val="22"/>
          <w:szCs w:val="22"/>
        </w:rPr>
      </w:pPr>
    </w:p>
    <w:p w:rsidR="006224C2" w:rsidRPr="00295E71" w:rsidP="00F57FE5" w14:paraId="67E3F56D" w14:textId="77777777">
      <w:pPr>
        <w:keepNext/>
        <w:keepLines/>
        <w:tabs>
          <w:tab w:val="left" w:pos="567"/>
        </w:tabs>
        <w:jc w:val="both"/>
        <w:rPr>
          <w:del w:id="1032" w:author="AbbVie14" w:date="2025-05-09T10:29:00Z"/>
          <w:sz w:val="22"/>
          <w:szCs w:val="22"/>
        </w:rPr>
      </w:pPr>
      <w:del w:id="1033" w:author="AbbVie14" w:date="2025-05-09T10:29:00Z">
        <w:r w:rsidRPr="00295E71">
          <w:rPr>
            <w:sz w:val="22"/>
            <w:szCs w:val="22"/>
          </w:rPr>
          <w:delText>Humira altera lievemente la capacità di guidare veicolie di usare macchinari. Dopo la somministrazione di Humira si possono verificare</w:delText>
        </w:r>
      </w:del>
      <w:del w:id="1034" w:author="AbbVie14" w:date="2025-05-09T10:29:00Z">
        <w:r w:rsidRPr="00295E71" w:rsidR="003C47F5">
          <w:rPr>
            <w:sz w:val="22"/>
            <w:szCs w:val="22"/>
          </w:rPr>
          <w:delText xml:space="preserve"> </w:delText>
        </w:r>
      </w:del>
      <w:del w:id="1035" w:author="AbbVie14" w:date="2025-05-09T10:29:00Z">
        <w:r w:rsidRPr="00295E71">
          <w:rPr>
            <w:sz w:val="22"/>
            <w:szCs w:val="22"/>
          </w:rPr>
          <w:delText>vertigini e disturbi della vista (vedere paragrafo 4.8).</w:delText>
        </w:r>
      </w:del>
    </w:p>
    <w:p w:rsidR="006224C2" w:rsidRPr="00295E71" w14:paraId="2F4B4292" w14:textId="77777777">
      <w:pPr>
        <w:tabs>
          <w:tab w:val="left" w:pos="567"/>
        </w:tabs>
        <w:jc w:val="both"/>
        <w:rPr>
          <w:del w:id="1036" w:author="AbbVie14" w:date="2025-05-09T10:29:00Z"/>
          <w:sz w:val="22"/>
          <w:szCs w:val="22"/>
        </w:rPr>
      </w:pPr>
    </w:p>
    <w:p w:rsidR="006224C2" w:rsidRPr="00295E71" w:rsidP="00222EA4" w14:paraId="7545AB0F" w14:textId="77777777">
      <w:pPr>
        <w:keepNext/>
        <w:tabs>
          <w:tab w:val="left" w:pos="567"/>
          <w:tab w:val="left" w:pos="720"/>
        </w:tabs>
        <w:jc w:val="both"/>
        <w:rPr>
          <w:del w:id="1037" w:author="AbbVie14" w:date="2025-05-09T10:29:00Z"/>
          <w:b/>
          <w:bCs/>
          <w:sz w:val="22"/>
          <w:szCs w:val="22"/>
        </w:rPr>
      </w:pPr>
      <w:del w:id="1038" w:author="AbbVie14" w:date="2025-05-09T10:29:00Z">
        <w:r w:rsidRPr="00295E71">
          <w:rPr>
            <w:b/>
            <w:bCs/>
            <w:sz w:val="22"/>
            <w:szCs w:val="22"/>
          </w:rPr>
          <w:delText>4.8</w:delText>
        </w:r>
      </w:del>
      <w:del w:id="1039" w:author="AbbVie14" w:date="2025-05-09T10:29:00Z">
        <w:r w:rsidRPr="00295E71">
          <w:rPr>
            <w:b/>
            <w:bCs/>
            <w:sz w:val="22"/>
            <w:szCs w:val="22"/>
          </w:rPr>
          <w:tab/>
          <w:delText>Effetti indesiderati</w:delText>
        </w:r>
      </w:del>
    </w:p>
    <w:p w:rsidR="006224C2" w:rsidRPr="00295E71" w:rsidP="00222EA4" w14:paraId="0CC05E5B" w14:textId="77777777">
      <w:pPr>
        <w:keepNext/>
        <w:tabs>
          <w:tab w:val="left" w:pos="567"/>
        </w:tabs>
        <w:autoSpaceDE w:val="0"/>
        <w:autoSpaceDN w:val="0"/>
        <w:adjustRightInd w:val="0"/>
        <w:jc w:val="both"/>
        <w:rPr>
          <w:del w:id="1040" w:author="AbbVie14" w:date="2025-05-09T10:29:00Z"/>
          <w:color w:val="000000"/>
          <w:sz w:val="22"/>
          <w:szCs w:val="22"/>
        </w:rPr>
      </w:pPr>
    </w:p>
    <w:p w:rsidR="006224C2" w:rsidRPr="00295E71" w:rsidP="00222EA4" w14:paraId="4AF07EEF" w14:textId="77777777">
      <w:pPr>
        <w:keepNext/>
        <w:tabs>
          <w:tab w:val="left" w:pos="567"/>
        </w:tabs>
        <w:autoSpaceDE w:val="0"/>
        <w:autoSpaceDN w:val="0"/>
        <w:adjustRightInd w:val="0"/>
        <w:jc w:val="both"/>
        <w:rPr>
          <w:del w:id="1041" w:author="AbbVie14" w:date="2025-05-09T10:29:00Z"/>
          <w:color w:val="000000"/>
          <w:sz w:val="22"/>
          <w:szCs w:val="22"/>
          <w:u w:val="single"/>
        </w:rPr>
      </w:pPr>
      <w:del w:id="1042" w:author="AbbVie14" w:date="2025-05-09T10:29:00Z">
        <w:r w:rsidRPr="00295E71">
          <w:rPr>
            <w:color w:val="000000"/>
            <w:sz w:val="22"/>
            <w:szCs w:val="22"/>
            <w:u w:val="single"/>
          </w:rPr>
          <w:delText>Riassunto del profilo di</w:delText>
        </w:r>
      </w:del>
      <w:del w:id="1043" w:author="AbbVie14" w:date="2025-05-09T10:29:00Z">
        <w:r w:rsidR="008437A6">
          <w:rPr>
            <w:color w:val="000000"/>
            <w:sz w:val="22"/>
            <w:szCs w:val="22"/>
            <w:u w:val="single"/>
          </w:rPr>
          <w:delText xml:space="preserve"> </w:delText>
        </w:r>
      </w:del>
      <w:del w:id="1044" w:author="AbbVie14" w:date="2025-05-09T10:29:00Z">
        <w:r w:rsidRPr="00295E71">
          <w:rPr>
            <w:color w:val="000000"/>
            <w:sz w:val="22"/>
            <w:szCs w:val="22"/>
            <w:u w:val="single"/>
          </w:rPr>
          <w:delText>sicurezza</w:delText>
        </w:r>
      </w:del>
    </w:p>
    <w:p w:rsidR="006224C2" w:rsidRPr="00295E71" w:rsidP="00222EA4" w14:paraId="0742614F" w14:textId="77777777">
      <w:pPr>
        <w:keepNext/>
        <w:tabs>
          <w:tab w:val="left" w:pos="567"/>
        </w:tabs>
        <w:autoSpaceDE w:val="0"/>
        <w:autoSpaceDN w:val="0"/>
        <w:adjustRightInd w:val="0"/>
        <w:jc w:val="both"/>
        <w:rPr>
          <w:del w:id="1045" w:author="AbbVie14" w:date="2025-05-09T10:29:00Z"/>
          <w:color w:val="000000"/>
          <w:sz w:val="22"/>
          <w:szCs w:val="22"/>
        </w:rPr>
      </w:pPr>
    </w:p>
    <w:p w:rsidR="006224C2" w:rsidRPr="00295E71" w:rsidP="00222EA4" w14:paraId="189BB5F2" w14:textId="77777777">
      <w:pPr>
        <w:keepNext/>
        <w:tabs>
          <w:tab w:val="left" w:pos="567"/>
        </w:tabs>
        <w:autoSpaceDE w:val="0"/>
        <w:autoSpaceDN w:val="0"/>
        <w:adjustRightInd w:val="0"/>
        <w:jc w:val="both"/>
        <w:rPr>
          <w:del w:id="1046" w:author="AbbVie14" w:date="2025-05-09T10:29:00Z"/>
          <w:color w:val="000000"/>
          <w:sz w:val="22"/>
          <w:szCs w:val="22"/>
        </w:rPr>
      </w:pPr>
      <w:del w:id="1047" w:author="AbbVie14" w:date="2025-05-09T10:29:00Z">
        <w:r w:rsidRPr="00295E71">
          <w:rPr>
            <w:color w:val="000000"/>
            <w:sz w:val="22"/>
            <w:szCs w:val="22"/>
          </w:rPr>
          <w:delText xml:space="preserve">Humira è stato studiato in 9.506 pazienti nel corso di studi clinici </w:delText>
        </w:r>
      </w:del>
      <w:del w:id="1048" w:author="AbbVie14" w:date="2025-05-09T10:29:00Z">
        <w:r w:rsidRPr="00020442" w:rsidR="008437A6">
          <w:rPr>
            <w:color w:val="000000"/>
            <w:sz w:val="22"/>
            <w:szCs w:val="22"/>
          </w:rPr>
          <w:delText>registrativi</w:delText>
        </w:r>
      </w:del>
      <w:del w:id="1049" w:author="AbbVie14" w:date="2025-05-09T10:29:00Z">
        <w:r w:rsidRPr="00295E71">
          <w:rPr>
            <w:color w:val="000000"/>
            <w:sz w:val="22"/>
            <w:szCs w:val="22"/>
          </w:rPr>
          <w:delText xml:space="preserve"> controllati e in aperto per un periodo fino a 60 mesi o superiore. Tali studi sono stati effettuati su pazienti affetti da artrite reumatoide ad insorgenza precoce e di lunga durata, artrite idiopatica giovanile (artrite idiopatica giovanile poliarticolare e artrite associata ad entesite) così come su pazienti affetti da spondiloartrite assiale (spondilite anchilosante e spondiloartrite assiale senza evidenza radiografica di spondilite anchilosante), artrite psoriasica, malattia di Crohn, colite ulcerosa, psoriasi, idrosadenite suppurativa e uveite. Gli studi registrativi controllati sono stati condotti su</w:delText>
        </w:r>
      </w:del>
      <w:del w:id="1050" w:author="AbbVie14" w:date="2025-05-09T10:29:00Z">
        <w:r w:rsidRPr="00295E71" w:rsidR="003C47F5">
          <w:rPr>
            <w:color w:val="000000"/>
            <w:sz w:val="22"/>
            <w:szCs w:val="22"/>
          </w:rPr>
          <w:delText xml:space="preserve"> </w:delText>
        </w:r>
      </w:del>
      <w:del w:id="1051" w:author="AbbVie14" w:date="2025-05-09T10:29:00Z">
        <w:r w:rsidRPr="00295E71">
          <w:rPr>
            <w:color w:val="000000"/>
            <w:sz w:val="22"/>
            <w:szCs w:val="22"/>
          </w:rPr>
          <w:delText>6.089 pazienti sottoposti a trattamento con Humira e su</w:delText>
        </w:r>
      </w:del>
      <w:del w:id="1052" w:author="AbbVie14" w:date="2025-05-09T10:29:00Z">
        <w:r w:rsidRPr="00295E71" w:rsidR="003C47F5">
          <w:rPr>
            <w:color w:val="000000"/>
            <w:sz w:val="22"/>
            <w:szCs w:val="22"/>
          </w:rPr>
          <w:delText xml:space="preserve"> </w:delText>
        </w:r>
      </w:del>
      <w:del w:id="1053" w:author="AbbVie14" w:date="2025-05-09T10:29:00Z">
        <w:r w:rsidRPr="00295E71">
          <w:rPr>
            <w:color w:val="000000"/>
            <w:sz w:val="22"/>
            <w:szCs w:val="22"/>
          </w:rPr>
          <w:delText>3.801 pazienti cui è stato somministrato placebo o un comparatore attivo durante il periodo di controllo.</w:delText>
        </w:r>
      </w:del>
    </w:p>
    <w:p w:rsidR="006224C2" w:rsidRPr="00295E71" w14:paraId="289FB8C4" w14:textId="77777777">
      <w:pPr>
        <w:tabs>
          <w:tab w:val="left" w:pos="567"/>
        </w:tabs>
        <w:autoSpaceDE w:val="0"/>
        <w:autoSpaceDN w:val="0"/>
        <w:adjustRightInd w:val="0"/>
        <w:jc w:val="both"/>
        <w:rPr>
          <w:del w:id="1054" w:author="AbbVie14" w:date="2025-05-09T10:29:00Z"/>
          <w:color w:val="000000"/>
          <w:sz w:val="22"/>
          <w:szCs w:val="22"/>
        </w:rPr>
      </w:pPr>
    </w:p>
    <w:p w:rsidR="006224C2" w:rsidRPr="00295E71" w14:paraId="1280055B" w14:textId="77777777">
      <w:pPr>
        <w:pStyle w:val="BodyTextIndent"/>
        <w:tabs>
          <w:tab w:val="left" w:pos="567"/>
        </w:tabs>
        <w:rPr>
          <w:del w:id="1055" w:author="AbbVie14" w:date="2025-05-09T10:29:00Z"/>
        </w:rPr>
      </w:pPr>
      <w:del w:id="1056" w:author="AbbVie14" w:date="2025-05-09T10:29:00Z">
        <w:r w:rsidRPr="00295E71">
          <w:delText>La percentuale di pazienti che hanno interrotto il trattamento a causa di eventi avversi durante la fase in doppio cieco, controllata, degli studi registrativi è stata del 5,9% per i pazienti che hanno assunto Humira e del 5,4% per i pazienti trattati con il controllo.</w:delText>
        </w:r>
      </w:del>
    </w:p>
    <w:p w:rsidR="006224C2" w:rsidRPr="00295E71" w14:paraId="545A38D8" w14:textId="77777777">
      <w:pPr>
        <w:pStyle w:val="BodyTextIndent"/>
        <w:tabs>
          <w:tab w:val="left" w:pos="567"/>
        </w:tabs>
        <w:rPr>
          <w:del w:id="1057" w:author="AbbVie14" w:date="2025-05-09T10:29:00Z"/>
        </w:rPr>
      </w:pPr>
    </w:p>
    <w:p w:rsidR="006224C2" w:rsidRPr="00295E71" w14:paraId="24438692" w14:textId="77777777">
      <w:pPr>
        <w:pStyle w:val="BodyTextIndent"/>
        <w:tabs>
          <w:tab w:val="left" w:pos="567"/>
        </w:tabs>
        <w:rPr>
          <w:del w:id="1058" w:author="AbbVie14" w:date="2025-05-09T10:29:00Z"/>
        </w:rPr>
      </w:pPr>
      <w:del w:id="1059" w:author="AbbVie14" w:date="2025-05-09T10:29:00Z">
        <w:r w:rsidRPr="00295E71">
          <w:delText>Le reazioni avverse più comunemente riportate sono infezioni (quali rinofaringiti, infezione delle alte vie respiratorie e sinusite), reazioni al sito di somministrazione (eritema, prurito, emorragia, dolore o tumefazione), cefalea e dolore muscoloscheletrico.</w:delText>
        </w:r>
      </w:del>
    </w:p>
    <w:p w:rsidR="006224C2" w:rsidRPr="00295E71" w14:paraId="4D8E492F" w14:textId="77777777">
      <w:pPr>
        <w:pStyle w:val="BodyTextIndent"/>
        <w:tabs>
          <w:tab w:val="left" w:pos="567"/>
        </w:tabs>
        <w:rPr>
          <w:del w:id="1060" w:author="AbbVie14" w:date="2025-05-09T10:29:00Z"/>
        </w:rPr>
      </w:pPr>
    </w:p>
    <w:p w:rsidR="006224C2" w:rsidRPr="00295E71" w14:paraId="669A681D" w14:textId="77777777">
      <w:pPr>
        <w:pStyle w:val="BodyTextIndent"/>
        <w:tabs>
          <w:tab w:val="left" w:pos="567"/>
        </w:tabs>
        <w:rPr>
          <w:del w:id="1061" w:author="AbbVie14" w:date="2025-05-09T10:29:00Z"/>
        </w:rPr>
      </w:pPr>
      <w:del w:id="1062" w:author="AbbVie14" w:date="2025-05-09T10:29:00Z">
        <w:r w:rsidRPr="00295E71">
          <w:delText xml:space="preserve">Sono state riportate gravi reazioni avverse per Humira. I farmaci anti-TNF, come Humira, influenzano il sistema immunitario e il loro uso può influenzare le difese dell’organismo contro infezioni e cancro. </w:delText>
        </w:r>
      </w:del>
    </w:p>
    <w:p w:rsidR="006224C2" w:rsidRPr="00295E71" w14:paraId="4C990AC8" w14:textId="77777777">
      <w:pPr>
        <w:pStyle w:val="BodyTextIndent"/>
        <w:tabs>
          <w:tab w:val="left" w:pos="567"/>
        </w:tabs>
        <w:rPr>
          <w:del w:id="1063" w:author="AbbVie14" w:date="2025-05-09T10:29:00Z"/>
        </w:rPr>
      </w:pPr>
      <w:del w:id="1064" w:author="AbbVie14" w:date="2025-05-09T10:29:00Z">
        <w:r w:rsidRPr="00295E71">
          <w:delText xml:space="preserve">A seguito della somministrazione di Humira, sono stati riportati anche casi di infezioni fatali </w:delText>
        </w:r>
      </w:del>
      <w:del w:id="1065" w:author="AbbVie14" w:date="2025-05-09T10:29:00Z">
        <w:r w:rsidRPr="00020442" w:rsidR="008437A6">
          <w:delText xml:space="preserve">e potenzialmente fatali </w:delText>
        </w:r>
      </w:del>
      <w:del w:id="1066" w:author="AbbVie14" w:date="2025-05-09T10:29:00Z">
        <w:r w:rsidR="008437A6">
          <w:delText xml:space="preserve"> </w:delText>
        </w:r>
      </w:del>
      <w:del w:id="1067" w:author="AbbVie14" w:date="2025-05-09T10:29:00Z">
        <w:r w:rsidRPr="00295E71">
          <w:delText>(inclusi casi di sepsi, infezioni opportunistiche e TBC), riattivazione dell’infezione da HBV evari tipi di tumori maligni (inclusi casi di leucemia, linfomi e linfoma epato-splenico a cellule T-HSTCL).</w:delText>
        </w:r>
      </w:del>
    </w:p>
    <w:p w:rsidR="006224C2" w:rsidRPr="00295E71" w14:paraId="263F8A3A" w14:textId="77777777">
      <w:pPr>
        <w:pStyle w:val="BodyTextIndent"/>
        <w:tabs>
          <w:tab w:val="left" w:pos="567"/>
        </w:tabs>
        <w:rPr>
          <w:del w:id="1068" w:author="AbbVie14" w:date="2025-05-09T10:29:00Z"/>
        </w:rPr>
      </w:pPr>
    </w:p>
    <w:p w:rsidR="006224C2" w:rsidRPr="00295E71" w14:paraId="6EA6984D" w14:textId="77777777">
      <w:pPr>
        <w:pStyle w:val="BodyTextIndent"/>
        <w:tabs>
          <w:tab w:val="left" w:pos="567"/>
        </w:tabs>
        <w:rPr>
          <w:del w:id="1069" w:author="AbbVie14" w:date="2025-05-09T10:29:00Z"/>
        </w:rPr>
      </w:pPr>
      <w:del w:id="1070" w:author="AbbVie14" w:date="2025-05-09T10:29:00Z">
        <w:r w:rsidRPr="00295E71">
          <w:delText xml:space="preserve">Sono state inoltre riportate gravi reazioni ematologiche, neurologiche e autoimmuni. Queste ultime includono rari casi di pancitopenia, anemia aplastica, eventi di demielinizzazione centrale e periferica e casi di lupus, condizioni lupus-correlate e sindrome di Stevens-Johnson. </w:delText>
        </w:r>
      </w:del>
    </w:p>
    <w:p w:rsidR="006224C2" w:rsidRPr="00295E71" w14:paraId="082DBBE2" w14:textId="77777777">
      <w:pPr>
        <w:rPr>
          <w:del w:id="1071" w:author="AbbVie14" w:date="2025-05-09T10:29:00Z"/>
          <w:color w:val="000000"/>
          <w:sz w:val="22"/>
          <w:szCs w:val="22"/>
          <w:u w:val="single"/>
        </w:rPr>
      </w:pPr>
    </w:p>
    <w:p w:rsidR="006224C2" w:rsidRPr="00295E71" w:rsidP="00174188" w14:paraId="5D8D94F5" w14:textId="77777777">
      <w:pPr>
        <w:keepNext/>
        <w:rPr>
          <w:del w:id="1072" w:author="AbbVie14" w:date="2025-05-09T10:29:00Z"/>
          <w:color w:val="000000"/>
          <w:sz w:val="22"/>
          <w:szCs w:val="22"/>
          <w:u w:val="single"/>
        </w:rPr>
      </w:pPr>
      <w:del w:id="1073" w:author="AbbVie14" w:date="2025-05-09T10:29:00Z">
        <w:r w:rsidRPr="00295E71">
          <w:rPr>
            <w:color w:val="000000"/>
            <w:sz w:val="22"/>
            <w:szCs w:val="22"/>
            <w:u w:val="single"/>
          </w:rPr>
          <w:delText>Popolazione pediatrica</w:delText>
        </w:r>
      </w:del>
    </w:p>
    <w:p w:rsidR="006224C2" w:rsidRPr="00295E71" w:rsidP="00174188" w14:paraId="1B985C43" w14:textId="77777777">
      <w:pPr>
        <w:keepNext/>
        <w:tabs>
          <w:tab w:val="left" w:pos="567"/>
        </w:tabs>
        <w:autoSpaceDE w:val="0"/>
        <w:autoSpaceDN w:val="0"/>
        <w:adjustRightInd w:val="0"/>
        <w:jc w:val="both"/>
        <w:rPr>
          <w:del w:id="1074" w:author="AbbVie14" w:date="2025-05-09T10:29:00Z"/>
          <w:color w:val="000000"/>
          <w:sz w:val="22"/>
          <w:szCs w:val="22"/>
        </w:rPr>
      </w:pPr>
    </w:p>
    <w:p w:rsidR="006224C2" w:rsidRPr="00295E71" w:rsidP="00174188" w14:paraId="3F184756" w14:textId="77777777">
      <w:pPr>
        <w:keepNext/>
        <w:tabs>
          <w:tab w:val="left" w:pos="567"/>
        </w:tabs>
        <w:autoSpaceDE w:val="0"/>
        <w:autoSpaceDN w:val="0"/>
        <w:adjustRightInd w:val="0"/>
        <w:jc w:val="both"/>
        <w:rPr>
          <w:del w:id="1075" w:author="AbbVie14" w:date="2025-05-09T10:29:00Z"/>
          <w:color w:val="000000"/>
          <w:sz w:val="22"/>
          <w:szCs w:val="22"/>
        </w:rPr>
      </w:pPr>
      <w:del w:id="1076" w:author="AbbVie14" w:date="2025-05-09T10:29:00Z">
        <w:r w:rsidRPr="00295E71">
          <w:rPr>
            <w:color w:val="000000"/>
            <w:sz w:val="22"/>
            <w:szCs w:val="22"/>
          </w:rPr>
          <w:delText>In generale, gli eventi avversi nei pazienti pediatrici sono risultati simili a quelli riscontrati nei pazienti adulti sia in termini di frequenza che di tipologia.</w:delText>
        </w:r>
      </w:del>
    </w:p>
    <w:p w:rsidR="006224C2" w:rsidRPr="00295E71" w:rsidP="00174188" w14:paraId="217595A5" w14:textId="77777777">
      <w:pPr>
        <w:keepNext/>
        <w:tabs>
          <w:tab w:val="left" w:pos="567"/>
        </w:tabs>
        <w:autoSpaceDE w:val="0"/>
        <w:autoSpaceDN w:val="0"/>
        <w:adjustRightInd w:val="0"/>
        <w:jc w:val="both"/>
        <w:rPr>
          <w:del w:id="1077" w:author="AbbVie14" w:date="2025-05-09T10:29:00Z"/>
          <w:color w:val="000000"/>
          <w:sz w:val="22"/>
          <w:szCs w:val="22"/>
        </w:rPr>
      </w:pPr>
    </w:p>
    <w:p w:rsidR="006224C2" w:rsidRPr="00295E71" w:rsidP="00222EA4" w14:paraId="36FAA7E5" w14:textId="77777777">
      <w:pPr>
        <w:rPr>
          <w:del w:id="1078" w:author="AbbVie14" w:date="2025-05-09T10:29:00Z"/>
          <w:color w:val="000000"/>
          <w:sz w:val="22"/>
          <w:szCs w:val="22"/>
          <w:u w:val="single"/>
        </w:rPr>
      </w:pPr>
      <w:del w:id="1079" w:author="AbbVie14" w:date="2025-05-09T10:29:00Z">
        <w:r w:rsidRPr="00295E71">
          <w:rPr>
            <w:color w:val="000000"/>
            <w:sz w:val="22"/>
            <w:szCs w:val="22"/>
            <w:u w:val="single"/>
          </w:rPr>
          <w:delText>Tabella dell’elenco delle reazioni avverse</w:delText>
        </w:r>
      </w:del>
    </w:p>
    <w:p w:rsidR="006224C2" w:rsidRPr="00295E71" w14:paraId="4907C492" w14:textId="77777777">
      <w:pPr>
        <w:tabs>
          <w:tab w:val="left" w:pos="567"/>
        </w:tabs>
        <w:autoSpaceDE w:val="0"/>
        <w:autoSpaceDN w:val="0"/>
        <w:adjustRightInd w:val="0"/>
        <w:jc w:val="both"/>
        <w:rPr>
          <w:del w:id="1080" w:author="AbbVie14" w:date="2025-05-09T10:29:00Z"/>
          <w:color w:val="000000"/>
          <w:sz w:val="22"/>
          <w:szCs w:val="22"/>
        </w:rPr>
      </w:pPr>
    </w:p>
    <w:p w:rsidR="006224C2" w:rsidRPr="00295E71" w14:paraId="4A0D00B6" w14:textId="77777777">
      <w:pPr>
        <w:tabs>
          <w:tab w:val="left" w:pos="567"/>
        </w:tabs>
        <w:jc w:val="both"/>
        <w:rPr>
          <w:del w:id="1081" w:author="AbbVie14" w:date="2025-05-09T10:29:00Z"/>
          <w:sz w:val="22"/>
          <w:szCs w:val="22"/>
        </w:rPr>
      </w:pPr>
      <w:del w:id="1082" w:author="AbbVie14" w:date="2025-05-09T10:29:00Z">
        <w:r w:rsidRPr="00295E71">
          <w:rPr>
            <w:color w:val="000000"/>
            <w:sz w:val="22"/>
            <w:szCs w:val="22"/>
          </w:rPr>
          <w:delText>La seguente lista di reazioni avverse è basata su esperienza proveniente da studi clinici ed esperienze post marketing</w:delText>
        </w:r>
      </w:del>
      <w:del w:id="1083" w:author="AbbVie14" w:date="2025-05-09T10:29:00Z">
        <w:r w:rsidRPr="00295E71">
          <w:rPr>
            <w:sz w:val="22"/>
            <w:szCs w:val="22"/>
          </w:rPr>
          <w:delText xml:space="preserve"> ed è riportata nella Tabella </w:delText>
        </w:r>
      </w:del>
      <w:del w:id="1084" w:author="AbbVie14" w:date="2025-05-09T10:29:00Z">
        <w:r w:rsidR="000203FD">
          <w:rPr>
            <w:sz w:val="22"/>
            <w:szCs w:val="22"/>
          </w:rPr>
          <w:delText>7</w:delText>
        </w:r>
      </w:del>
      <w:del w:id="1085" w:author="AbbVie14" w:date="2025-05-09T10:29:00Z">
        <w:r w:rsidRPr="00295E71">
          <w:rPr>
            <w:sz w:val="22"/>
            <w:szCs w:val="22"/>
          </w:rPr>
          <w:delText xml:space="preserve"> classificata in base al sistema/organo coinvolto e alla frequenza: molto comune (</w:delText>
        </w:r>
      </w:del>
      <w:del w:id="1086" w:author="AbbVie14" w:date="2025-05-09T10:29:00Z">
        <w:r w:rsidRPr="00295E71">
          <w:rPr>
            <w:sz w:val="22"/>
            <w:szCs w:val="22"/>
            <w:u w:val="single"/>
          </w:rPr>
          <w:delText>&gt;</w:delText>
        </w:r>
      </w:del>
      <w:del w:id="1087" w:author="AbbVie14" w:date="2025-05-09T10:29:00Z">
        <w:r w:rsidRPr="00295E71">
          <w:rPr>
            <w:sz w:val="22"/>
            <w:szCs w:val="22"/>
          </w:rPr>
          <w:delText xml:space="preserve">1/10); </w:delText>
        </w:r>
      </w:del>
      <w:del w:id="1088" w:author="AbbVie14" w:date="2025-05-09T10:29:00Z">
        <w:r w:rsidRPr="00295E71">
          <w:rPr>
            <w:color w:val="000000"/>
            <w:sz w:val="22"/>
            <w:szCs w:val="22"/>
          </w:rPr>
          <w:delText>comune (≥1/100</w:delText>
        </w:r>
      </w:del>
      <w:del w:id="1089" w:author="AbbVie14" w:date="2025-05-09T10:29:00Z">
        <w:r w:rsidR="008437A6">
          <w:rPr>
            <w:color w:val="000000"/>
            <w:sz w:val="22"/>
            <w:szCs w:val="22"/>
          </w:rPr>
          <w:delText>,</w:delText>
        </w:r>
      </w:del>
      <w:del w:id="1090" w:author="AbbVie14" w:date="2025-05-09T10:29:00Z">
        <w:r w:rsidRPr="00295E71">
          <w:rPr>
            <w:color w:val="000000"/>
            <w:sz w:val="22"/>
            <w:szCs w:val="22"/>
          </w:rPr>
          <w:delText xml:space="preserve"> &lt;1/10); non comune (≥1/1.000</w:delText>
        </w:r>
      </w:del>
      <w:del w:id="1091" w:author="AbbVie14" w:date="2025-05-09T10:29:00Z">
        <w:r w:rsidR="008437A6">
          <w:rPr>
            <w:color w:val="000000"/>
            <w:sz w:val="22"/>
            <w:szCs w:val="22"/>
          </w:rPr>
          <w:delText>,</w:delText>
        </w:r>
      </w:del>
      <w:del w:id="1092" w:author="AbbVie14" w:date="2025-05-09T10:29:00Z">
        <w:r w:rsidRPr="00295E71">
          <w:rPr>
            <w:color w:val="000000"/>
            <w:sz w:val="22"/>
            <w:szCs w:val="22"/>
          </w:rPr>
          <w:delText xml:space="preserve"> &lt;1/100),</w:delText>
        </w:r>
      </w:del>
      <w:del w:id="1093" w:author="AbbVie14" w:date="2025-05-09T10:29:00Z">
        <w:r w:rsidRPr="00295E71">
          <w:rPr>
            <w:sz w:val="22"/>
            <w:szCs w:val="22"/>
          </w:rPr>
          <w:delText xml:space="preserve"> raro (</w:delText>
        </w:r>
      </w:del>
      <w:del w:id="1094" w:author="AbbVie14" w:date="2025-05-09T10:29:00Z">
        <w:r w:rsidRPr="00295E71">
          <w:rPr>
            <w:color w:val="000000"/>
            <w:sz w:val="22"/>
            <w:szCs w:val="22"/>
          </w:rPr>
          <w:delText>≥1/10.000</w:delText>
        </w:r>
      </w:del>
      <w:del w:id="1095" w:author="AbbVie14" w:date="2025-05-09T10:29:00Z">
        <w:r w:rsidR="008437A6">
          <w:rPr>
            <w:color w:val="000000"/>
            <w:sz w:val="22"/>
            <w:szCs w:val="22"/>
          </w:rPr>
          <w:delText>,</w:delText>
        </w:r>
      </w:del>
      <w:del w:id="1096" w:author="AbbVie14" w:date="2025-05-09T10:29:00Z">
        <w:r w:rsidRPr="00295E71">
          <w:rPr>
            <w:color w:val="000000"/>
            <w:sz w:val="22"/>
            <w:szCs w:val="22"/>
          </w:rPr>
          <w:delText xml:space="preserve"> </w:delText>
        </w:r>
      </w:del>
      <w:del w:id="1097" w:author="AbbVie14" w:date="2025-05-09T10:29:00Z">
        <w:r w:rsidRPr="00295E71">
          <w:rPr>
            <w:sz w:val="22"/>
            <w:szCs w:val="22"/>
          </w:rPr>
          <w:delText>&lt;1/1.000)</w:delText>
        </w:r>
      </w:del>
      <w:del w:id="1098" w:author="AbbVie14" w:date="2025-05-09T10:29:00Z">
        <w:r w:rsidRPr="00295E71" w:rsidR="00A73840">
          <w:rPr>
            <w:sz w:val="22"/>
            <w:szCs w:val="22"/>
          </w:rPr>
          <w:delText xml:space="preserve"> </w:delText>
        </w:r>
      </w:del>
      <w:del w:id="1099" w:author="AbbVie14" w:date="2025-05-09T10:29:00Z">
        <w:r w:rsidRPr="00295E71">
          <w:rPr>
            <w:sz w:val="22"/>
            <w:szCs w:val="22"/>
          </w:rPr>
          <w:delText>e non nota (la frequenza non può essere definita sulla base</w:delText>
        </w:r>
      </w:del>
      <w:del w:id="1100" w:author="AbbVie14" w:date="2025-05-09T10:29:00Z">
        <w:r w:rsidRPr="00295E71" w:rsidR="00A73840">
          <w:rPr>
            <w:sz w:val="22"/>
            <w:szCs w:val="22"/>
          </w:rPr>
          <w:delText xml:space="preserve"> </w:delText>
        </w:r>
      </w:del>
      <w:del w:id="1101" w:author="AbbVie14" w:date="2025-05-09T10:29:00Z">
        <w:r w:rsidRPr="00295E71">
          <w:rPr>
            <w:sz w:val="22"/>
            <w:szCs w:val="22"/>
          </w:rPr>
          <w:delText xml:space="preserve">dei dati disponibili). All’interno di ogni gruppo di frequenza, gli effetti indesiderati sono riportati in ordine decrescente di gravità. È stata inclusa la frequenza più elevata osservata tra le varie indicazioni. Nella colonna Classificazione per sistemi ed organi compare un asterisco (*) nel caso in cui siano presenti ulteriori informazioni contenute nei paragrafi 4.3, 4.4 e 4.8. </w:delText>
        </w:r>
      </w:del>
    </w:p>
    <w:p w:rsidR="006224C2" w:rsidRPr="00295E71" w14:paraId="6FE120A1" w14:textId="77777777">
      <w:pPr>
        <w:tabs>
          <w:tab w:val="left" w:pos="567"/>
        </w:tabs>
        <w:jc w:val="both"/>
        <w:rPr>
          <w:del w:id="1102" w:author="AbbVie14" w:date="2025-05-09T10:29:00Z"/>
          <w:sz w:val="22"/>
          <w:szCs w:val="22"/>
        </w:rPr>
      </w:pPr>
    </w:p>
    <w:p w:rsidR="006224C2" w:rsidRPr="00295E71" w14:paraId="2AADAA83" w14:textId="77777777">
      <w:pPr>
        <w:keepNext/>
        <w:jc w:val="center"/>
        <w:rPr>
          <w:del w:id="1103" w:author="AbbVie14" w:date="2025-05-09T10:29:00Z"/>
          <w:b/>
          <w:bCs/>
          <w:sz w:val="22"/>
          <w:szCs w:val="22"/>
        </w:rPr>
      </w:pPr>
      <w:del w:id="1104" w:author="AbbVie14" w:date="2025-05-09T10:29:00Z">
        <w:r w:rsidRPr="00295E71">
          <w:rPr>
            <w:b/>
            <w:bCs/>
            <w:sz w:val="22"/>
            <w:szCs w:val="22"/>
          </w:rPr>
          <w:delText xml:space="preserve">Tabella </w:delText>
        </w:r>
      </w:del>
      <w:del w:id="1105" w:author="AbbVie14" w:date="2025-05-09T10:29:00Z">
        <w:r w:rsidR="000203FD">
          <w:rPr>
            <w:b/>
            <w:bCs/>
            <w:sz w:val="22"/>
            <w:szCs w:val="22"/>
          </w:rPr>
          <w:delText>7</w:delText>
        </w:r>
      </w:del>
    </w:p>
    <w:p w:rsidR="006224C2" w:rsidRPr="00295E71" w14:paraId="63733E53" w14:textId="77777777">
      <w:pPr>
        <w:keepNext/>
        <w:tabs>
          <w:tab w:val="left" w:pos="567"/>
        </w:tabs>
        <w:jc w:val="center"/>
        <w:rPr>
          <w:del w:id="1106" w:author="AbbVie14" w:date="2025-05-09T10:29:00Z"/>
          <w:b/>
          <w:bCs/>
          <w:sz w:val="22"/>
          <w:szCs w:val="22"/>
        </w:rPr>
      </w:pPr>
      <w:del w:id="1107" w:author="AbbVie14" w:date="2025-05-09T10:29:00Z">
        <w:r w:rsidRPr="00295E71">
          <w:rPr>
            <w:b/>
            <w:bCs/>
            <w:sz w:val="22"/>
            <w:szCs w:val="22"/>
          </w:rPr>
          <w:delText xml:space="preserve">Effetti indesiderati </w:delText>
        </w:r>
      </w:del>
    </w:p>
    <w:p w:rsidR="006224C2" w:rsidRPr="00295E71" w14:paraId="572AF514" w14:textId="77777777">
      <w:pPr>
        <w:keepNext/>
        <w:tabs>
          <w:tab w:val="left" w:pos="567"/>
        </w:tabs>
        <w:autoSpaceDE w:val="0"/>
        <w:autoSpaceDN w:val="0"/>
        <w:adjustRightInd w:val="0"/>
        <w:jc w:val="both"/>
        <w:rPr>
          <w:del w:id="1108" w:author="AbbVie14" w:date="2025-05-09T10:29:00Z"/>
          <w:color w:val="00000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9"/>
        <w:gridCol w:w="2038"/>
        <w:gridCol w:w="4463"/>
      </w:tblGrid>
      <w:tr w14:paraId="23B7BEB8" w14:textId="77777777" w:rsidTr="00C04163">
        <w:tblPrEx>
          <w:tblW w:w="0" w:type="auto"/>
          <w:tblLook w:val="01E0"/>
        </w:tblPrEx>
        <w:trPr>
          <w:tblHeader/>
          <w:del w:id="1109" w:author="AbbVie14" w:date="2025-05-09T10:29:00Z"/>
        </w:trPr>
        <w:tc>
          <w:tcPr>
            <w:tcW w:w="2559" w:type="dxa"/>
          </w:tcPr>
          <w:p w:rsidR="006224C2" w:rsidRPr="00295E71" w14:paraId="2608F4EE" w14:textId="77777777">
            <w:pPr>
              <w:pStyle w:val="IndexHeading"/>
              <w:keepNext/>
              <w:widowControl w:val="0"/>
              <w:tabs>
                <w:tab w:val="clear" w:pos="567"/>
              </w:tabs>
              <w:spacing w:before="120" w:after="120" w:line="240" w:lineRule="auto"/>
              <w:jc w:val="center"/>
              <w:rPr>
                <w:del w:id="1110" w:author="AbbVie14" w:date="2025-05-09T10:29:00Z"/>
                <w:rFonts w:ascii="Times New Roman" w:hAnsi="Times New Roman" w:cs="Times New Roman"/>
                <w:lang w:val="it-IT" w:eastAsia="it-IT"/>
              </w:rPr>
            </w:pPr>
            <w:del w:id="1111" w:author="AbbVie14" w:date="2025-05-09T10:29:00Z">
              <w:r w:rsidRPr="00295E71">
                <w:rPr>
                  <w:rFonts w:ascii="Times New Roman" w:hAnsi="Times New Roman" w:cs="Times New Roman"/>
                  <w:lang w:val="it-IT" w:eastAsia="it-IT"/>
                </w:rPr>
                <w:delText>Classificazione per sistemi e organi</w:delText>
              </w:r>
            </w:del>
          </w:p>
        </w:tc>
        <w:tc>
          <w:tcPr>
            <w:tcW w:w="2038" w:type="dxa"/>
            <w:tcBorders>
              <w:bottom w:val="single" w:sz="4" w:space="0" w:color="auto"/>
            </w:tcBorders>
          </w:tcPr>
          <w:p w:rsidR="006224C2" w:rsidRPr="00295E71" w14:paraId="40A9212F" w14:textId="77777777">
            <w:pPr>
              <w:pStyle w:val="EMEATitle"/>
              <w:keepNext/>
              <w:widowControl w:val="0"/>
              <w:tabs>
                <w:tab w:val="clear" w:pos="562"/>
              </w:tabs>
              <w:suppressAutoHyphens w:val="0"/>
              <w:spacing w:before="120" w:after="120"/>
              <w:rPr>
                <w:del w:id="1112" w:author="AbbVie14" w:date="2025-05-09T10:29:00Z"/>
                <w:rFonts w:ascii="Times New Roman" w:hAnsi="Times New Roman"/>
                <w:caps w:val="0"/>
                <w:lang w:val="it-IT"/>
              </w:rPr>
            </w:pPr>
            <w:del w:id="1113" w:author="AbbVie14" w:date="2025-05-09T10:29:00Z">
              <w:r w:rsidRPr="00295E71">
                <w:rPr>
                  <w:rFonts w:ascii="Times New Roman" w:hAnsi="Times New Roman"/>
                  <w:caps w:val="0"/>
                  <w:lang w:val="it-IT"/>
                </w:rPr>
                <w:delText>Frequenza</w:delText>
              </w:r>
            </w:del>
          </w:p>
        </w:tc>
        <w:tc>
          <w:tcPr>
            <w:tcW w:w="4463" w:type="dxa"/>
            <w:tcBorders>
              <w:bottom w:val="single" w:sz="4" w:space="0" w:color="auto"/>
            </w:tcBorders>
          </w:tcPr>
          <w:p w:rsidR="006224C2" w:rsidRPr="00295E71" w14:paraId="336ACFEE" w14:textId="77777777">
            <w:pPr>
              <w:pStyle w:val="EMEATitle"/>
              <w:keepNext/>
              <w:widowControl w:val="0"/>
              <w:tabs>
                <w:tab w:val="clear" w:pos="562"/>
              </w:tabs>
              <w:suppressAutoHyphens w:val="0"/>
              <w:spacing w:before="120" w:after="120"/>
              <w:rPr>
                <w:del w:id="1114" w:author="AbbVie14" w:date="2025-05-09T10:29:00Z"/>
                <w:rFonts w:ascii="Times New Roman" w:hAnsi="Times New Roman"/>
                <w:caps w:val="0"/>
                <w:lang w:val="it-IT"/>
              </w:rPr>
            </w:pPr>
            <w:del w:id="1115" w:author="AbbVie14" w:date="2025-05-09T10:29:00Z">
              <w:r w:rsidRPr="00295E71">
                <w:rPr>
                  <w:rFonts w:ascii="Times New Roman" w:hAnsi="Times New Roman"/>
                  <w:caps w:val="0"/>
                  <w:lang w:val="it-IT"/>
                </w:rPr>
                <w:delText>Reazione avversa</w:delText>
              </w:r>
            </w:del>
          </w:p>
        </w:tc>
      </w:tr>
      <w:tr w14:paraId="0C0037F3" w14:textId="77777777" w:rsidTr="00C04163">
        <w:tblPrEx>
          <w:tblW w:w="0" w:type="auto"/>
          <w:tblLook w:val="01E0"/>
        </w:tblPrEx>
        <w:trPr>
          <w:cantSplit/>
          <w:del w:id="1116" w:author="AbbVie14" w:date="2025-05-09T10:29:00Z"/>
        </w:trPr>
        <w:tc>
          <w:tcPr>
            <w:tcW w:w="2559" w:type="dxa"/>
            <w:vMerge w:val="restart"/>
          </w:tcPr>
          <w:p w:rsidR="006224C2" w:rsidRPr="00295E71" w14:paraId="5B1C69D7" w14:textId="77777777">
            <w:pPr>
              <w:pStyle w:val="EMEANormal"/>
              <w:keepNext/>
              <w:widowControl w:val="0"/>
              <w:spacing w:before="60"/>
              <w:rPr>
                <w:del w:id="1117" w:author="AbbVie14" w:date="2025-05-09T10:29:00Z"/>
                <w:lang w:val="it-IT"/>
              </w:rPr>
            </w:pPr>
            <w:del w:id="1118" w:author="AbbVie14" w:date="2025-05-09T10:29:00Z">
              <w:r w:rsidRPr="00295E71">
                <w:rPr>
                  <w:lang w:val="it-IT"/>
                </w:rPr>
                <w:delText>Infezioni ed infestazioni*</w:delText>
              </w:r>
            </w:del>
          </w:p>
          <w:p w:rsidR="006224C2" w:rsidRPr="00295E71" w14:paraId="6C154481" w14:textId="77777777">
            <w:pPr>
              <w:keepNext/>
              <w:widowControl w:val="0"/>
              <w:spacing w:before="60"/>
              <w:jc w:val="center"/>
              <w:rPr>
                <w:del w:id="1119" w:author="AbbVie14" w:date="2025-05-09T10:29:00Z"/>
                <w:sz w:val="22"/>
                <w:szCs w:val="22"/>
              </w:rPr>
            </w:pPr>
          </w:p>
        </w:tc>
        <w:tc>
          <w:tcPr>
            <w:tcW w:w="2038" w:type="dxa"/>
            <w:tcBorders>
              <w:bottom w:val="single" w:sz="4" w:space="0" w:color="auto"/>
            </w:tcBorders>
          </w:tcPr>
          <w:p w:rsidR="006224C2" w:rsidRPr="00295E71" w14:paraId="06F1FC2F" w14:textId="77777777">
            <w:pPr>
              <w:pStyle w:val="EMEANormal"/>
              <w:keepNext/>
              <w:widowControl w:val="0"/>
              <w:spacing w:before="60"/>
              <w:rPr>
                <w:del w:id="1120" w:author="AbbVie14" w:date="2025-05-09T10:29:00Z"/>
                <w:lang w:val="it-IT"/>
              </w:rPr>
            </w:pPr>
            <w:del w:id="1121" w:author="AbbVie14" w:date="2025-05-09T10:29:00Z">
              <w:r w:rsidRPr="00295E71">
                <w:rPr>
                  <w:lang w:val="it-IT"/>
                </w:rPr>
                <w:delText>Molto comune</w:delText>
              </w:r>
            </w:del>
          </w:p>
        </w:tc>
        <w:tc>
          <w:tcPr>
            <w:tcW w:w="4463" w:type="dxa"/>
            <w:tcBorders>
              <w:bottom w:val="single" w:sz="4" w:space="0" w:color="auto"/>
            </w:tcBorders>
          </w:tcPr>
          <w:p w:rsidR="006224C2" w:rsidRPr="00295E71" w14:paraId="0C64392C" w14:textId="77777777">
            <w:pPr>
              <w:pStyle w:val="EMEANormal"/>
              <w:keepNext/>
              <w:widowControl w:val="0"/>
              <w:spacing w:before="60"/>
              <w:jc w:val="both"/>
              <w:rPr>
                <w:del w:id="1122" w:author="AbbVie14" w:date="2025-05-09T10:29:00Z"/>
                <w:lang w:val="it-IT"/>
              </w:rPr>
            </w:pPr>
            <w:del w:id="1123" w:author="AbbVie14" w:date="2025-05-09T10:29:00Z">
              <w:r w:rsidRPr="00295E71">
                <w:rPr>
                  <w:lang w:val="it-IT"/>
                </w:rPr>
                <w:delText>I</w:delText>
              </w:r>
            </w:del>
            <w:del w:id="1124" w:author="AbbVie14" w:date="2025-05-09T10:29:00Z">
              <w:r w:rsidRPr="00295E71" w:rsidR="00226BC4">
                <w:rPr>
                  <w:lang w:val="it-IT"/>
                </w:rPr>
                <w:delText>nfezioni delle vie respiratorie (tra cui infezioni delle vie respiratorie superiori ed inferiori, polmonite, sinusite, faringite, rinofaringite e polmonite da herpes virus)</w:delText>
              </w:r>
            </w:del>
          </w:p>
          <w:p w:rsidR="006224C2" w:rsidRPr="00295E71" w14:paraId="7BF1F2E5" w14:textId="77777777">
            <w:pPr>
              <w:pStyle w:val="EMEANormal"/>
              <w:keepNext/>
              <w:widowControl w:val="0"/>
              <w:spacing w:before="60"/>
              <w:rPr>
                <w:del w:id="1125" w:author="AbbVie14" w:date="2025-05-09T10:29:00Z"/>
                <w:lang w:val="it-IT"/>
              </w:rPr>
            </w:pPr>
          </w:p>
        </w:tc>
      </w:tr>
      <w:tr w14:paraId="4DE680A8" w14:textId="77777777" w:rsidTr="00C04163">
        <w:tblPrEx>
          <w:tblW w:w="0" w:type="auto"/>
          <w:tblLook w:val="01E0"/>
        </w:tblPrEx>
        <w:trPr>
          <w:cantSplit/>
          <w:del w:id="1126" w:author="AbbVie14" w:date="2025-05-09T10:29:00Z"/>
        </w:trPr>
        <w:tc>
          <w:tcPr>
            <w:tcW w:w="2559" w:type="dxa"/>
            <w:vMerge/>
          </w:tcPr>
          <w:p w:rsidR="006224C2" w:rsidRPr="00295E71" w14:paraId="7F6F2962" w14:textId="77777777">
            <w:pPr>
              <w:keepNext/>
              <w:widowControl w:val="0"/>
              <w:spacing w:before="60"/>
              <w:jc w:val="center"/>
              <w:rPr>
                <w:del w:id="1127" w:author="AbbVie14" w:date="2025-05-09T10:29:00Z"/>
                <w:b/>
                <w:sz w:val="22"/>
                <w:szCs w:val="22"/>
              </w:rPr>
            </w:pPr>
          </w:p>
        </w:tc>
        <w:tc>
          <w:tcPr>
            <w:tcW w:w="2038" w:type="dxa"/>
            <w:tcBorders>
              <w:top w:val="single" w:sz="4" w:space="0" w:color="auto"/>
              <w:bottom w:val="single" w:sz="4" w:space="0" w:color="auto"/>
            </w:tcBorders>
          </w:tcPr>
          <w:p w:rsidR="006224C2" w:rsidRPr="00295E71" w14:paraId="66939913" w14:textId="77777777">
            <w:pPr>
              <w:pStyle w:val="EMEANormal"/>
              <w:keepNext/>
              <w:widowControl w:val="0"/>
              <w:spacing w:before="60"/>
              <w:rPr>
                <w:del w:id="1128" w:author="AbbVie14" w:date="2025-05-09T10:29:00Z"/>
                <w:lang w:val="it-IT"/>
              </w:rPr>
            </w:pPr>
            <w:del w:id="1129" w:author="AbbVie14" w:date="2025-05-09T10:29:00Z">
              <w:r w:rsidRPr="00295E71">
                <w:rPr>
                  <w:lang w:val="it-IT"/>
                </w:rPr>
                <w:delText>Comune</w:delText>
              </w:r>
            </w:del>
          </w:p>
          <w:p w:rsidR="006224C2" w:rsidRPr="00295E71" w14:paraId="47644D23" w14:textId="77777777">
            <w:pPr>
              <w:pStyle w:val="EMEANormal"/>
              <w:keepNext/>
              <w:widowControl w:val="0"/>
              <w:spacing w:before="60"/>
              <w:rPr>
                <w:del w:id="1130" w:author="AbbVie14" w:date="2025-05-09T10:29:00Z"/>
                <w:lang w:val="it-IT"/>
              </w:rPr>
            </w:pPr>
          </w:p>
        </w:tc>
        <w:tc>
          <w:tcPr>
            <w:tcW w:w="4463" w:type="dxa"/>
            <w:tcBorders>
              <w:top w:val="single" w:sz="4" w:space="0" w:color="auto"/>
              <w:bottom w:val="single" w:sz="4" w:space="0" w:color="auto"/>
            </w:tcBorders>
          </w:tcPr>
          <w:p w:rsidR="006224C2" w:rsidRPr="00295E71" w14:paraId="6DF00C62" w14:textId="77777777">
            <w:pPr>
              <w:keepNext/>
              <w:widowControl w:val="0"/>
              <w:jc w:val="both"/>
              <w:rPr>
                <w:del w:id="1131" w:author="AbbVie14" w:date="2025-05-09T10:29:00Z"/>
                <w:sz w:val="22"/>
                <w:szCs w:val="22"/>
              </w:rPr>
            </w:pPr>
            <w:del w:id="1132" w:author="AbbVie14" w:date="2025-05-09T10:29:00Z">
              <w:r w:rsidRPr="00295E71">
                <w:rPr>
                  <w:sz w:val="22"/>
                  <w:szCs w:val="22"/>
                </w:rPr>
                <w:delText>I</w:delText>
              </w:r>
            </w:del>
            <w:del w:id="1133" w:author="AbbVie14" w:date="2025-05-09T10:29:00Z">
              <w:r w:rsidRPr="00295E71" w:rsidR="00226BC4">
                <w:rPr>
                  <w:sz w:val="22"/>
                  <w:szCs w:val="22"/>
                </w:rPr>
                <w:delText xml:space="preserve">nfezioni sistemiche (tra cui sepsi, candidosi ed influenza), </w:delText>
              </w:r>
            </w:del>
          </w:p>
          <w:p w:rsidR="006224C2" w:rsidRPr="00295E71" w14:paraId="2D17EF2F" w14:textId="77777777">
            <w:pPr>
              <w:keepNext/>
              <w:widowControl w:val="0"/>
              <w:jc w:val="both"/>
              <w:rPr>
                <w:del w:id="1134" w:author="AbbVie14" w:date="2025-05-09T10:29:00Z"/>
                <w:sz w:val="22"/>
                <w:szCs w:val="22"/>
              </w:rPr>
            </w:pPr>
            <w:del w:id="1135" w:author="AbbVie14" w:date="2025-05-09T10:29:00Z">
              <w:r w:rsidRPr="00295E71">
                <w:rPr>
                  <w:sz w:val="22"/>
                  <w:szCs w:val="22"/>
                </w:rPr>
                <w:delText xml:space="preserve">infezioni intestinali (tra cui gastroenterite virale), </w:delText>
              </w:r>
            </w:del>
          </w:p>
          <w:p w:rsidR="006224C2" w:rsidRPr="00295E71" w14:paraId="0A3FA0FD" w14:textId="77777777">
            <w:pPr>
              <w:keepNext/>
              <w:widowControl w:val="0"/>
              <w:jc w:val="both"/>
              <w:rPr>
                <w:del w:id="1136" w:author="AbbVie14" w:date="2025-05-09T10:29:00Z"/>
                <w:sz w:val="22"/>
                <w:szCs w:val="22"/>
              </w:rPr>
            </w:pPr>
            <w:del w:id="1137" w:author="AbbVie14" w:date="2025-05-09T10:29:00Z">
              <w:r w:rsidRPr="00295E71">
                <w:rPr>
                  <w:sz w:val="22"/>
                  <w:szCs w:val="22"/>
                </w:rPr>
                <w:delText>infezioni della pelle e dei tessuti molli (tra cui paronichia, cellulite, impetigine, fascite necrotizzante ed herpes zoster),</w:delText>
              </w:r>
            </w:del>
          </w:p>
          <w:p w:rsidR="006224C2" w:rsidRPr="00295E71" w14:paraId="460FC541" w14:textId="77777777">
            <w:pPr>
              <w:pStyle w:val="EndnoteText"/>
              <w:keepNext/>
              <w:widowControl w:val="0"/>
              <w:tabs>
                <w:tab w:val="clear" w:pos="567"/>
              </w:tabs>
              <w:jc w:val="both"/>
              <w:rPr>
                <w:del w:id="1138" w:author="AbbVie14" w:date="2025-05-09T10:29:00Z"/>
                <w:lang w:val="it-IT" w:eastAsia="it-IT"/>
              </w:rPr>
            </w:pPr>
            <w:del w:id="1139" w:author="AbbVie14" w:date="2025-05-09T10:29:00Z">
              <w:r w:rsidRPr="00295E71">
                <w:rPr>
                  <w:lang w:val="it-IT" w:eastAsia="it-IT"/>
                </w:rPr>
                <w:delText>infezioni dell’orecchio,</w:delText>
              </w:r>
            </w:del>
          </w:p>
          <w:p w:rsidR="006224C2" w:rsidRPr="00295E71" w14:paraId="660F230E" w14:textId="77777777">
            <w:pPr>
              <w:keepNext/>
              <w:jc w:val="both"/>
              <w:rPr>
                <w:del w:id="1140" w:author="AbbVie14" w:date="2025-05-09T10:29:00Z"/>
                <w:sz w:val="22"/>
                <w:szCs w:val="22"/>
              </w:rPr>
            </w:pPr>
            <w:del w:id="1141" w:author="AbbVie14" w:date="2025-05-09T10:29:00Z">
              <w:r w:rsidRPr="00295E71">
                <w:rPr>
                  <w:sz w:val="22"/>
                  <w:szCs w:val="22"/>
                </w:rPr>
                <w:delText>infezioni del cavo orale (tra cui herpes simplex, herpes orale ed infezioni dentali),</w:delText>
              </w:r>
            </w:del>
          </w:p>
          <w:p w:rsidR="006224C2" w:rsidRPr="00295E71" w14:paraId="6DC0C51F" w14:textId="77777777">
            <w:pPr>
              <w:keepNext/>
              <w:jc w:val="both"/>
              <w:rPr>
                <w:del w:id="1142" w:author="AbbVie14" w:date="2025-05-09T10:29:00Z"/>
                <w:sz w:val="22"/>
                <w:szCs w:val="22"/>
              </w:rPr>
            </w:pPr>
            <w:del w:id="1143" w:author="AbbVie14" w:date="2025-05-09T10:29:00Z">
              <w:r w:rsidRPr="00295E71">
                <w:rPr>
                  <w:sz w:val="22"/>
                  <w:szCs w:val="22"/>
                </w:rPr>
                <w:delText>infezioni dell’apparato riproduttivo (tra cui infezione vulvovaginale micotica),</w:delText>
              </w:r>
            </w:del>
          </w:p>
          <w:p w:rsidR="006224C2" w:rsidRPr="00295E71" w14:paraId="17572BD4" w14:textId="77777777">
            <w:pPr>
              <w:pStyle w:val="EndnoteText"/>
              <w:keepNext/>
              <w:tabs>
                <w:tab w:val="clear" w:pos="567"/>
              </w:tabs>
              <w:jc w:val="both"/>
              <w:rPr>
                <w:del w:id="1144" w:author="AbbVie14" w:date="2025-05-09T10:29:00Z"/>
                <w:lang w:val="it-IT" w:eastAsia="it-IT"/>
              </w:rPr>
            </w:pPr>
            <w:del w:id="1145" w:author="AbbVie14" w:date="2025-05-09T10:29:00Z">
              <w:r w:rsidRPr="00295E71">
                <w:rPr>
                  <w:lang w:val="it-IT" w:eastAsia="it-IT"/>
                </w:rPr>
                <w:delText>infezioni delle vie urinarie (tra cui pielonefriti),</w:delText>
              </w:r>
            </w:del>
          </w:p>
          <w:p w:rsidR="006224C2" w:rsidRPr="00295E71" w14:paraId="06391758" w14:textId="77777777">
            <w:pPr>
              <w:pStyle w:val="EMEANormal"/>
              <w:keepNext/>
              <w:widowControl w:val="0"/>
              <w:spacing w:before="60"/>
              <w:jc w:val="both"/>
              <w:rPr>
                <w:del w:id="1146" w:author="AbbVie14" w:date="2025-05-09T10:29:00Z"/>
                <w:lang w:val="it-IT"/>
              </w:rPr>
            </w:pPr>
            <w:del w:id="1147" w:author="AbbVie14" w:date="2025-05-09T10:29:00Z">
              <w:r w:rsidRPr="00295E71">
                <w:rPr>
                  <w:lang w:val="it-IT"/>
                </w:rPr>
                <w:delText>infezioni fungine,</w:delText>
              </w:r>
            </w:del>
          </w:p>
          <w:p w:rsidR="006224C2" w:rsidRPr="00295E71" w14:paraId="57414EB4" w14:textId="77777777">
            <w:pPr>
              <w:pStyle w:val="EMEANormal"/>
              <w:keepNext/>
              <w:widowControl w:val="0"/>
              <w:spacing w:before="60"/>
              <w:jc w:val="both"/>
              <w:rPr>
                <w:del w:id="1148" w:author="AbbVie14" w:date="2025-05-09T10:29:00Z"/>
                <w:lang w:val="it-IT"/>
              </w:rPr>
            </w:pPr>
            <w:del w:id="1149" w:author="AbbVie14" w:date="2025-05-09T10:29:00Z">
              <w:r w:rsidRPr="00295E71">
                <w:rPr>
                  <w:lang w:val="it-IT"/>
                </w:rPr>
                <w:delText>infezioni articolari</w:delText>
              </w:r>
            </w:del>
          </w:p>
          <w:p w:rsidR="006224C2" w:rsidRPr="00295E71" w14:paraId="7F753105" w14:textId="77777777">
            <w:pPr>
              <w:pStyle w:val="EMEANormal"/>
              <w:keepNext/>
              <w:widowControl w:val="0"/>
              <w:spacing w:before="60"/>
              <w:rPr>
                <w:del w:id="1150" w:author="AbbVie14" w:date="2025-05-09T10:29:00Z"/>
                <w:lang w:val="it-IT"/>
              </w:rPr>
            </w:pPr>
          </w:p>
        </w:tc>
      </w:tr>
      <w:tr w14:paraId="74BADBFA" w14:textId="77777777" w:rsidTr="00C04163">
        <w:tblPrEx>
          <w:tblW w:w="0" w:type="auto"/>
          <w:tblLook w:val="01E0"/>
        </w:tblPrEx>
        <w:trPr>
          <w:cantSplit/>
          <w:del w:id="1151" w:author="AbbVie14" w:date="2025-05-09T10:29:00Z"/>
        </w:trPr>
        <w:tc>
          <w:tcPr>
            <w:tcW w:w="2559" w:type="dxa"/>
            <w:vMerge/>
          </w:tcPr>
          <w:p w:rsidR="006224C2" w:rsidRPr="00295E71" w14:paraId="1EE27FFB" w14:textId="77777777">
            <w:pPr>
              <w:keepNext/>
              <w:widowControl w:val="0"/>
              <w:spacing w:before="60"/>
              <w:jc w:val="center"/>
              <w:rPr>
                <w:del w:id="1152" w:author="AbbVie14" w:date="2025-05-09T10:29:00Z"/>
                <w:b/>
                <w:sz w:val="22"/>
                <w:szCs w:val="22"/>
              </w:rPr>
            </w:pPr>
          </w:p>
        </w:tc>
        <w:tc>
          <w:tcPr>
            <w:tcW w:w="2038" w:type="dxa"/>
            <w:tcBorders>
              <w:top w:val="single" w:sz="4" w:space="0" w:color="auto"/>
              <w:bottom w:val="single" w:sz="4" w:space="0" w:color="auto"/>
            </w:tcBorders>
          </w:tcPr>
          <w:p w:rsidR="006224C2" w:rsidRPr="00295E71" w14:paraId="72547694" w14:textId="77777777">
            <w:pPr>
              <w:pStyle w:val="EMEANormal"/>
              <w:keepNext/>
              <w:widowControl w:val="0"/>
              <w:rPr>
                <w:del w:id="1153" w:author="AbbVie14" w:date="2025-05-09T10:29:00Z"/>
                <w:lang w:val="it-IT"/>
              </w:rPr>
            </w:pPr>
            <w:del w:id="1154" w:author="AbbVie14" w:date="2025-05-09T10:29:00Z">
              <w:r w:rsidRPr="00295E71">
                <w:rPr>
                  <w:lang w:val="it-IT"/>
                </w:rPr>
                <w:delText>Non comune</w:delText>
              </w:r>
            </w:del>
          </w:p>
          <w:p w:rsidR="006224C2" w:rsidRPr="00295E71" w14:paraId="2D560706" w14:textId="77777777">
            <w:pPr>
              <w:pStyle w:val="EMEANormal"/>
              <w:keepNext/>
              <w:widowControl w:val="0"/>
              <w:rPr>
                <w:del w:id="1155" w:author="AbbVie14" w:date="2025-05-09T10:29:00Z"/>
                <w:lang w:val="it-IT"/>
              </w:rPr>
            </w:pPr>
          </w:p>
        </w:tc>
        <w:tc>
          <w:tcPr>
            <w:tcW w:w="4463" w:type="dxa"/>
            <w:tcBorders>
              <w:top w:val="single" w:sz="4" w:space="0" w:color="auto"/>
              <w:bottom w:val="single" w:sz="4" w:space="0" w:color="auto"/>
            </w:tcBorders>
          </w:tcPr>
          <w:p w:rsidR="006224C2" w:rsidRPr="00295E71" w14:paraId="58584360" w14:textId="77777777">
            <w:pPr>
              <w:pStyle w:val="EMEANormal"/>
              <w:keepNext/>
              <w:widowControl w:val="0"/>
              <w:jc w:val="both"/>
              <w:rPr>
                <w:del w:id="1156" w:author="AbbVie14" w:date="2025-05-09T10:29:00Z"/>
                <w:lang w:val="it-IT"/>
              </w:rPr>
            </w:pPr>
            <w:del w:id="1157" w:author="AbbVie14" w:date="2025-05-09T10:29:00Z">
              <w:r w:rsidRPr="00295E71">
                <w:rPr>
                  <w:lang w:val="it-IT"/>
                </w:rPr>
                <w:delText>I</w:delText>
              </w:r>
            </w:del>
            <w:del w:id="1158" w:author="AbbVie14" w:date="2025-05-09T10:29:00Z">
              <w:r w:rsidRPr="00295E71" w:rsidR="00226BC4">
                <w:rPr>
                  <w:lang w:val="it-IT"/>
                </w:rPr>
                <w:delText xml:space="preserve">nfezioni neurologiche (tra cui meningite virale), </w:delText>
              </w:r>
            </w:del>
          </w:p>
          <w:p w:rsidR="006224C2" w:rsidRPr="00295E71" w14:paraId="4D1D9DAE" w14:textId="77777777">
            <w:pPr>
              <w:pStyle w:val="EMEANormal"/>
              <w:keepNext/>
              <w:widowControl w:val="0"/>
              <w:jc w:val="both"/>
              <w:rPr>
                <w:del w:id="1159" w:author="AbbVie14" w:date="2025-05-09T10:29:00Z"/>
                <w:lang w:val="it-IT"/>
              </w:rPr>
            </w:pPr>
            <w:del w:id="1160" w:author="AbbVie14" w:date="2025-05-09T10:29:00Z">
              <w:r w:rsidRPr="00295E71">
                <w:rPr>
                  <w:lang w:val="it-IT"/>
                </w:rPr>
                <w:delText>infezioni opportunistiche e tubercolosi (tra cui coccidioidomicosi, istoplasmosi e infezioni da mycobacterium avium complex),</w:delText>
              </w:r>
            </w:del>
          </w:p>
          <w:p w:rsidR="006224C2" w:rsidRPr="00295E71" w14:paraId="0436F3F5" w14:textId="77777777">
            <w:pPr>
              <w:pStyle w:val="EMEANormal"/>
              <w:keepNext/>
              <w:widowControl w:val="0"/>
              <w:jc w:val="both"/>
              <w:rPr>
                <w:del w:id="1161" w:author="AbbVie14" w:date="2025-05-09T10:29:00Z"/>
                <w:lang w:val="it-IT"/>
              </w:rPr>
            </w:pPr>
            <w:del w:id="1162" w:author="AbbVie14" w:date="2025-05-09T10:29:00Z">
              <w:r w:rsidRPr="00295E71">
                <w:rPr>
                  <w:lang w:val="it-IT"/>
                </w:rPr>
                <w:delText>infezioni batteriche,</w:delText>
              </w:r>
            </w:del>
          </w:p>
          <w:p w:rsidR="006224C2" w:rsidRPr="00295E71" w14:paraId="4B39A604" w14:textId="77777777">
            <w:pPr>
              <w:pStyle w:val="EMEANormal"/>
              <w:keepNext/>
              <w:widowControl w:val="0"/>
              <w:jc w:val="both"/>
              <w:rPr>
                <w:del w:id="1163" w:author="AbbVie14" w:date="2025-05-09T10:29:00Z"/>
                <w:lang w:val="it-IT"/>
              </w:rPr>
            </w:pPr>
            <w:del w:id="1164" w:author="AbbVie14" w:date="2025-05-09T10:29:00Z">
              <w:r w:rsidRPr="00295E71">
                <w:rPr>
                  <w:lang w:val="it-IT"/>
                </w:rPr>
                <w:delText>infezioni oculari,</w:delText>
              </w:r>
            </w:del>
          </w:p>
          <w:p w:rsidR="006224C2" w:rsidRPr="00295E71" w14:paraId="7DA2C124" w14:textId="77777777">
            <w:pPr>
              <w:pStyle w:val="EMEANormal"/>
              <w:keepNext/>
              <w:widowControl w:val="0"/>
              <w:jc w:val="both"/>
              <w:rPr>
                <w:del w:id="1165" w:author="AbbVie14" w:date="2025-05-09T10:29:00Z"/>
                <w:lang w:val="it-IT"/>
              </w:rPr>
            </w:pPr>
            <w:del w:id="1166" w:author="AbbVie14" w:date="2025-05-09T10:29:00Z">
              <w:r w:rsidRPr="00295E71">
                <w:rPr>
                  <w:lang w:val="it-IT"/>
                </w:rPr>
                <w:delText>diverticolite</w:delText>
              </w:r>
            </w:del>
            <w:del w:id="1167" w:author="AbbVie14" w:date="2025-05-09T10:29:00Z">
              <w:r w:rsidRPr="00295E71">
                <w:rPr>
                  <w:vertAlign w:val="superscript"/>
                  <w:lang w:val="it-IT"/>
                </w:rPr>
                <w:delText>1)</w:delText>
              </w:r>
            </w:del>
          </w:p>
          <w:p w:rsidR="006224C2" w:rsidRPr="00295E71" w14:paraId="67D86C2D" w14:textId="77777777">
            <w:pPr>
              <w:pStyle w:val="EMEANormal"/>
              <w:keepNext/>
              <w:widowControl w:val="0"/>
              <w:jc w:val="both"/>
              <w:rPr>
                <w:del w:id="1168" w:author="AbbVie14" w:date="2025-05-09T10:29:00Z"/>
                <w:lang w:val="it-IT"/>
              </w:rPr>
            </w:pPr>
          </w:p>
        </w:tc>
      </w:tr>
      <w:tr w14:paraId="441F2C31" w14:textId="77777777" w:rsidTr="00C04163">
        <w:tblPrEx>
          <w:tblW w:w="0" w:type="auto"/>
          <w:tblLook w:val="01E0"/>
        </w:tblPrEx>
        <w:trPr>
          <w:cantSplit/>
          <w:del w:id="1169" w:author="AbbVie14" w:date="2025-05-09T10:29:00Z"/>
        </w:trPr>
        <w:tc>
          <w:tcPr>
            <w:tcW w:w="2559" w:type="dxa"/>
          </w:tcPr>
          <w:p w:rsidR="00C04163" w:rsidRPr="00295E71" w:rsidP="00035AC5" w14:paraId="3F95F9A9" w14:textId="77777777">
            <w:pPr>
              <w:pStyle w:val="IndexHeading"/>
              <w:keepNext/>
              <w:widowControl w:val="0"/>
              <w:tabs>
                <w:tab w:val="clear" w:pos="567"/>
              </w:tabs>
              <w:spacing w:before="120" w:after="120" w:line="240" w:lineRule="auto"/>
              <w:jc w:val="center"/>
              <w:rPr>
                <w:del w:id="1170" w:author="AbbVie14" w:date="2025-05-09T10:29:00Z"/>
                <w:rFonts w:ascii="Times New Roman" w:hAnsi="Times New Roman" w:cs="Times New Roman"/>
                <w:lang w:val="it-IT" w:eastAsia="it-IT"/>
              </w:rPr>
            </w:pPr>
            <w:del w:id="1171" w:author="AbbVie14" w:date="2025-05-09T10:29:00Z">
              <w:r w:rsidRPr="00295E71">
                <w:rPr>
                  <w:lang w:val="it-IT"/>
                </w:rPr>
                <w:br w:type="page"/>
              </w:r>
            </w:del>
            <w:del w:id="1172" w:author="AbbVie14" w:date="2025-05-09T10:29:00Z">
              <w:r w:rsidRPr="00295E71">
                <w:rPr>
                  <w:rFonts w:ascii="Times New Roman" w:hAnsi="Times New Roman" w:cs="Times New Roman"/>
                  <w:lang w:val="it-IT" w:eastAsia="it-IT"/>
                </w:rPr>
                <w:delText>Classificazione per sistemi e organi</w:delText>
              </w:r>
            </w:del>
          </w:p>
        </w:tc>
        <w:tc>
          <w:tcPr>
            <w:tcW w:w="2038" w:type="dxa"/>
            <w:tcBorders>
              <w:top w:val="single" w:sz="4" w:space="0" w:color="auto"/>
              <w:left w:val="single" w:sz="4" w:space="0" w:color="auto"/>
              <w:bottom w:val="single" w:sz="4" w:space="0" w:color="auto"/>
              <w:right w:val="single" w:sz="4" w:space="0" w:color="auto"/>
            </w:tcBorders>
          </w:tcPr>
          <w:p w:rsidR="00C04163" w:rsidRPr="00C04163" w:rsidP="00C04163" w14:paraId="77979B56" w14:textId="77777777">
            <w:pPr>
              <w:pStyle w:val="EMEANormal"/>
              <w:spacing w:before="60"/>
              <w:rPr>
                <w:del w:id="1173" w:author="AbbVie14" w:date="2025-05-09T10:29:00Z"/>
                <w:lang w:val="it-IT"/>
              </w:rPr>
            </w:pPr>
            <w:del w:id="1174" w:author="AbbVie14" w:date="2025-05-09T10:29:00Z">
              <w:r w:rsidRPr="00295E71">
                <w:rPr>
                  <w:lang w:val="it-IT"/>
                </w:rPr>
                <w:delText>Frequenza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0E2F355F" w14:textId="77777777">
            <w:pPr>
              <w:pStyle w:val="EMEANormal"/>
              <w:spacing w:before="60"/>
              <w:rPr>
                <w:del w:id="1175" w:author="AbbVie14" w:date="2025-05-09T10:29:00Z"/>
                <w:lang w:val="it-IT"/>
              </w:rPr>
            </w:pPr>
            <w:del w:id="1176" w:author="AbbVie14" w:date="2025-05-09T10:29:00Z">
              <w:r w:rsidRPr="00295E71">
                <w:rPr>
                  <w:lang w:val="it-IT"/>
                </w:rPr>
                <w:delText>Reazione avversa</w:delText>
              </w:r>
            </w:del>
          </w:p>
        </w:tc>
      </w:tr>
      <w:tr w14:paraId="56D5C152" w14:textId="77777777" w:rsidTr="00C04163">
        <w:tblPrEx>
          <w:tblW w:w="0" w:type="auto"/>
          <w:tblLook w:val="01E0"/>
        </w:tblPrEx>
        <w:trPr>
          <w:cantSplit/>
          <w:del w:id="1177" w:author="AbbVie14" w:date="2025-05-09T10:29:00Z"/>
        </w:trPr>
        <w:tc>
          <w:tcPr>
            <w:tcW w:w="2559" w:type="dxa"/>
            <w:vMerge w:val="restart"/>
          </w:tcPr>
          <w:p w:rsidR="00C04163" w:rsidRPr="00295E71" w:rsidP="00035AC5" w14:paraId="7AEF33DB" w14:textId="77777777">
            <w:pPr>
              <w:pStyle w:val="EndnoteText"/>
              <w:keepNext/>
              <w:widowControl w:val="0"/>
              <w:tabs>
                <w:tab w:val="clear" w:pos="567"/>
              </w:tabs>
              <w:spacing w:before="60"/>
              <w:rPr>
                <w:del w:id="1178" w:author="AbbVie14" w:date="2025-05-09T10:29:00Z"/>
                <w:b/>
                <w:lang w:val="it-IT" w:eastAsia="it-IT"/>
              </w:rPr>
            </w:pPr>
            <w:del w:id="1179" w:author="AbbVie14" w:date="2025-05-09T10:29:00Z">
              <w:r w:rsidRPr="00295E71">
                <w:rPr>
                  <w:lang w:val="it-IT" w:eastAsia="it-IT"/>
                </w:rPr>
                <w:delText>Tumori benigni, maligni e non specificati (cisti e polipi compresi)*</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035AC5" w14:paraId="45A55384" w14:textId="77777777">
            <w:pPr>
              <w:pStyle w:val="EMEANormal"/>
              <w:keepNext/>
              <w:widowControl w:val="0"/>
              <w:spacing w:before="60"/>
              <w:rPr>
                <w:del w:id="1180" w:author="AbbVie14" w:date="2025-05-09T10:29:00Z"/>
                <w:lang w:val="it-IT"/>
              </w:rPr>
            </w:pPr>
            <w:del w:id="1181" w:author="AbbVie14" w:date="2025-05-09T10:29:00Z">
              <w:r w:rsidRPr="00295E71">
                <w:rPr>
                  <w:lang w:val="it-IT"/>
                </w:rPr>
                <w:delText>Comune</w:delText>
              </w:r>
            </w:del>
          </w:p>
          <w:p w:rsidR="00C04163" w:rsidRPr="00295E71" w:rsidP="00035AC5" w14:paraId="7281CBA3" w14:textId="77777777">
            <w:pPr>
              <w:pStyle w:val="EMEANormal"/>
              <w:keepNext/>
              <w:widowControl w:val="0"/>
              <w:spacing w:before="60"/>
              <w:rPr>
                <w:del w:id="1182"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786E2080" w14:textId="77777777">
            <w:pPr>
              <w:pStyle w:val="EMEANormal"/>
              <w:keepNext/>
              <w:widowControl w:val="0"/>
              <w:spacing w:before="60"/>
              <w:rPr>
                <w:del w:id="1183" w:author="AbbVie14" w:date="2025-05-09T10:29:00Z"/>
                <w:lang w:val="it-IT"/>
              </w:rPr>
            </w:pPr>
            <w:del w:id="1184" w:author="AbbVie14" w:date="2025-05-09T10:29:00Z">
              <w:r w:rsidRPr="00295E71">
                <w:rPr>
                  <w:lang w:val="it-IT"/>
                </w:rPr>
                <w:delText>Tumore cutaneo escluso il melanoma (tra cui carcinoma basocellulare e carcinoma a cellule squamose),</w:delText>
              </w:r>
            </w:del>
          </w:p>
          <w:p w:rsidR="00C04163" w:rsidRPr="00295E71" w:rsidP="00C04163" w14:paraId="33E1CB1B" w14:textId="77777777">
            <w:pPr>
              <w:pStyle w:val="EMEANormal"/>
              <w:keepNext/>
              <w:widowControl w:val="0"/>
              <w:spacing w:before="60"/>
              <w:rPr>
                <w:del w:id="1185" w:author="AbbVie14" w:date="2025-05-09T10:29:00Z"/>
                <w:lang w:val="it-IT"/>
              </w:rPr>
            </w:pPr>
            <w:del w:id="1186" w:author="AbbVie14" w:date="2025-05-09T10:29:00Z">
              <w:r w:rsidRPr="00295E71">
                <w:rPr>
                  <w:lang w:val="it-IT"/>
                </w:rPr>
                <w:delText>neoplasia benigna</w:delText>
              </w:r>
            </w:del>
          </w:p>
          <w:p w:rsidR="00C04163" w:rsidRPr="00295E71" w:rsidP="00C04163" w14:paraId="7839A758" w14:textId="77777777">
            <w:pPr>
              <w:pStyle w:val="EMEANormal"/>
              <w:keepNext/>
              <w:widowControl w:val="0"/>
              <w:spacing w:before="60"/>
              <w:rPr>
                <w:del w:id="1187" w:author="AbbVie14" w:date="2025-05-09T10:29:00Z"/>
                <w:lang w:val="it-IT"/>
              </w:rPr>
            </w:pPr>
          </w:p>
        </w:tc>
      </w:tr>
      <w:tr w14:paraId="42B6246F" w14:textId="77777777" w:rsidTr="00C04163">
        <w:tblPrEx>
          <w:tblW w:w="0" w:type="auto"/>
          <w:tblLook w:val="01E0"/>
        </w:tblPrEx>
        <w:trPr>
          <w:cantSplit/>
          <w:del w:id="1188" w:author="AbbVie14" w:date="2025-05-09T10:29:00Z"/>
        </w:trPr>
        <w:tc>
          <w:tcPr>
            <w:tcW w:w="2559" w:type="dxa"/>
            <w:vMerge/>
          </w:tcPr>
          <w:p w:rsidR="00C04163" w:rsidRPr="00295E71" w:rsidP="00035AC5" w14:paraId="6166456C" w14:textId="77777777">
            <w:pPr>
              <w:widowControl w:val="0"/>
              <w:spacing w:before="60"/>
              <w:jc w:val="center"/>
              <w:rPr>
                <w:del w:id="1189"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2B8229E3" w14:textId="77777777">
            <w:pPr>
              <w:pStyle w:val="EMEANormal"/>
              <w:keepNext/>
              <w:widowControl w:val="0"/>
              <w:spacing w:before="60"/>
              <w:rPr>
                <w:del w:id="1190" w:author="AbbVie14" w:date="2025-05-09T10:29:00Z"/>
                <w:lang w:val="it-IT"/>
              </w:rPr>
            </w:pPr>
            <w:del w:id="1191" w:author="AbbVie14" w:date="2025-05-09T10:29:00Z">
              <w:r w:rsidRPr="00295E71">
                <w:rPr>
                  <w:lang w:val="it-IT"/>
                </w:rPr>
                <w:delText>Non comune</w:delText>
              </w:r>
            </w:del>
          </w:p>
          <w:p w:rsidR="00C04163" w:rsidRPr="00295E71" w:rsidP="00C04163" w14:paraId="3B8DA149" w14:textId="77777777">
            <w:pPr>
              <w:pStyle w:val="EMEANormal"/>
              <w:keepNext/>
              <w:widowControl w:val="0"/>
              <w:spacing w:before="60"/>
              <w:rPr>
                <w:del w:id="1192"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37153B9" w14:textId="77777777">
            <w:pPr>
              <w:pStyle w:val="EMEANormal"/>
              <w:keepNext/>
              <w:widowControl w:val="0"/>
              <w:spacing w:before="60"/>
              <w:rPr>
                <w:del w:id="1193" w:author="AbbVie14" w:date="2025-05-09T10:29:00Z"/>
                <w:lang w:val="it-IT"/>
              </w:rPr>
            </w:pPr>
            <w:del w:id="1194" w:author="AbbVie14" w:date="2025-05-09T10:29:00Z">
              <w:r w:rsidRPr="00295E71">
                <w:rPr>
                  <w:lang w:val="it-IT"/>
                </w:rPr>
                <w:delText>Linfoma**,</w:delText>
              </w:r>
            </w:del>
          </w:p>
          <w:p w:rsidR="00C04163" w:rsidRPr="00295E71" w:rsidP="00C04163" w14:paraId="6DA5B0C1" w14:textId="77777777">
            <w:pPr>
              <w:pStyle w:val="EMEANormal"/>
              <w:keepNext/>
              <w:widowControl w:val="0"/>
              <w:spacing w:before="60"/>
              <w:rPr>
                <w:del w:id="1195" w:author="AbbVie14" w:date="2025-05-09T10:29:00Z"/>
                <w:lang w:val="it-IT"/>
              </w:rPr>
            </w:pPr>
            <w:del w:id="1196" w:author="AbbVie14" w:date="2025-05-09T10:29:00Z">
              <w:r w:rsidRPr="00295E71">
                <w:rPr>
                  <w:lang w:val="it-IT"/>
                </w:rPr>
                <w:delText>tumori solidi (tra cui carcinoma mammario, neoplasia polmonare e neoplasia tiroidea),</w:delText>
              </w:r>
            </w:del>
          </w:p>
          <w:p w:rsidR="00C04163" w:rsidRPr="00295E71" w:rsidP="00C04163" w14:paraId="087AC012" w14:textId="77777777">
            <w:pPr>
              <w:pStyle w:val="EMEANormal"/>
              <w:keepNext/>
              <w:widowControl w:val="0"/>
              <w:spacing w:before="60"/>
              <w:rPr>
                <w:del w:id="1197" w:author="AbbVie14" w:date="2025-05-09T10:29:00Z"/>
                <w:lang w:val="it-IT"/>
              </w:rPr>
            </w:pPr>
            <w:del w:id="1198" w:author="AbbVie14" w:date="2025-05-09T10:29:00Z">
              <w:r w:rsidRPr="00295E71">
                <w:rPr>
                  <w:lang w:val="it-IT"/>
                </w:rPr>
                <w:delText>melanoma**</w:delText>
              </w:r>
            </w:del>
          </w:p>
          <w:p w:rsidR="00C04163" w:rsidRPr="00295E71" w:rsidP="00C04163" w14:paraId="68273200" w14:textId="77777777">
            <w:pPr>
              <w:pStyle w:val="EMEANormal"/>
              <w:keepNext/>
              <w:widowControl w:val="0"/>
              <w:spacing w:before="60"/>
              <w:rPr>
                <w:del w:id="1199" w:author="AbbVie14" w:date="2025-05-09T10:29:00Z"/>
                <w:lang w:val="it-IT"/>
              </w:rPr>
            </w:pPr>
          </w:p>
        </w:tc>
      </w:tr>
      <w:tr w14:paraId="0395175A" w14:textId="77777777" w:rsidTr="00C04163">
        <w:tblPrEx>
          <w:tblW w:w="0" w:type="auto"/>
          <w:tblLook w:val="01E0"/>
        </w:tblPrEx>
        <w:trPr>
          <w:cantSplit/>
          <w:del w:id="1200" w:author="AbbVie14" w:date="2025-05-09T10:29:00Z"/>
        </w:trPr>
        <w:tc>
          <w:tcPr>
            <w:tcW w:w="2559" w:type="dxa"/>
            <w:vMerge/>
          </w:tcPr>
          <w:p w:rsidR="00C04163" w:rsidRPr="00295E71" w:rsidP="00035AC5" w14:paraId="60A08885" w14:textId="77777777">
            <w:pPr>
              <w:widowControl w:val="0"/>
              <w:spacing w:before="60"/>
              <w:jc w:val="center"/>
              <w:rPr>
                <w:del w:id="1201"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9A23A20" w14:textId="77777777">
            <w:pPr>
              <w:pStyle w:val="EMEANormal"/>
              <w:keepNext/>
              <w:widowControl w:val="0"/>
              <w:spacing w:before="60"/>
              <w:rPr>
                <w:del w:id="1202" w:author="AbbVie14" w:date="2025-05-09T10:29:00Z"/>
                <w:lang w:val="it-IT"/>
              </w:rPr>
            </w:pPr>
            <w:del w:id="1203" w:author="AbbVie14" w:date="2025-05-09T10:29: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2F9C8F01" w14:textId="77777777">
            <w:pPr>
              <w:pStyle w:val="EMEANormal"/>
              <w:keepNext/>
              <w:widowControl w:val="0"/>
              <w:spacing w:before="60"/>
              <w:rPr>
                <w:del w:id="1204" w:author="AbbVie14" w:date="2025-05-09T10:29:00Z"/>
                <w:lang w:val="it-IT"/>
              </w:rPr>
            </w:pPr>
            <w:del w:id="1205" w:author="AbbVie14" w:date="2025-05-09T10:29:00Z">
              <w:r w:rsidRPr="00295E71">
                <w:rPr>
                  <w:lang w:val="it-IT"/>
                </w:rPr>
                <w:delText>Leucemia</w:delText>
              </w:r>
            </w:del>
            <w:del w:id="1206" w:author="AbbVie14" w:date="2025-05-09T10:29:00Z">
              <w:r w:rsidRPr="00C04163">
                <w:rPr>
                  <w:lang w:val="it-IT"/>
                </w:rPr>
                <w:delText>1)</w:delText>
              </w:r>
            </w:del>
          </w:p>
          <w:p w:rsidR="00C04163" w:rsidRPr="00295E71" w:rsidP="00C04163" w14:paraId="2426E7BE" w14:textId="77777777">
            <w:pPr>
              <w:pStyle w:val="EMEANormal"/>
              <w:keepNext/>
              <w:widowControl w:val="0"/>
              <w:spacing w:before="60"/>
              <w:rPr>
                <w:del w:id="1207" w:author="AbbVie14" w:date="2025-05-09T10:29:00Z"/>
                <w:lang w:val="it-IT"/>
              </w:rPr>
            </w:pPr>
          </w:p>
        </w:tc>
      </w:tr>
      <w:tr w14:paraId="514C410F" w14:textId="77777777" w:rsidTr="00C04163">
        <w:tblPrEx>
          <w:tblW w:w="0" w:type="auto"/>
          <w:tblLook w:val="01E0"/>
        </w:tblPrEx>
        <w:trPr>
          <w:cantSplit/>
          <w:del w:id="1208" w:author="AbbVie14" w:date="2025-05-09T10:29:00Z"/>
        </w:trPr>
        <w:tc>
          <w:tcPr>
            <w:tcW w:w="2559" w:type="dxa"/>
            <w:vMerge/>
          </w:tcPr>
          <w:p w:rsidR="00C04163" w:rsidRPr="00295E71" w:rsidP="00035AC5" w14:paraId="09AD9B6F" w14:textId="77777777">
            <w:pPr>
              <w:widowControl w:val="0"/>
              <w:spacing w:before="60"/>
              <w:jc w:val="center"/>
              <w:rPr>
                <w:del w:id="1209"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430AC97" w14:textId="77777777">
            <w:pPr>
              <w:pStyle w:val="EMEANormal"/>
              <w:keepNext/>
              <w:widowControl w:val="0"/>
              <w:spacing w:before="60"/>
              <w:rPr>
                <w:del w:id="1210" w:author="AbbVie14" w:date="2025-05-09T10:29:00Z"/>
                <w:lang w:val="it-IT"/>
              </w:rPr>
            </w:pPr>
            <w:del w:id="1211" w:author="AbbVie14" w:date="2025-05-09T10:29:00Z">
              <w:r w:rsidRPr="00295E71">
                <w:rPr>
                  <w:lang w:val="it-IT"/>
                </w:rPr>
                <w:delText>Non nota</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3A5A10B2" w14:textId="77777777">
            <w:pPr>
              <w:pStyle w:val="EMEANormal"/>
              <w:keepNext/>
              <w:widowControl w:val="0"/>
              <w:spacing w:before="60"/>
              <w:rPr>
                <w:del w:id="1212" w:author="AbbVie14" w:date="2025-05-09T10:29:00Z"/>
                <w:lang w:val="it-IT"/>
              </w:rPr>
            </w:pPr>
            <w:del w:id="1213" w:author="AbbVie14" w:date="2025-05-09T10:29:00Z">
              <w:r w:rsidRPr="00295E71">
                <w:rPr>
                  <w:lang w:val="it-IT"/>
                </w:rPr>
                <w:delText xml:space="preserve">Linfoma epato-splenico a cellule T </w:delText>
              </w:r>
            </w:del>
            <w:del w:id="1214" w:author="AbbVie14" w:date="2025-05-09T10:29:00Z">
              <w:r w:rsidRPr="00C04163">
                <w:rPr>
                  <w:lang w:val="it-IT"/>
                </w:rPr>
                <w:delText>1)</w:delText>
              </w:r>
            </w:del>
            <w:del w:id="1215" w:author="AbbVie14" w:date="2025-05-09T10:29:00Z">
              <w:r w:rsidRPr="00295E71">
                <w:rPr>
                  <w:lang w:val="it-IT"/>
                </w:rPr>
                <w:delText>,</w:delText>
              </w:r>
            </w:del>
          </w:p>
          <w:p w:rsidR="00C04163" w:rsidP="00C04163" w14:paraId="2C3F4F76" w14:textId="77777777">
            <w:pPr>
              <w:pStyle w:val="EMEANormal"/>
              <w:keepNext/>
              <w:widowControl w:val="0"/>
              <w:spacing w:before="60"/>
              <w:rPr>
                <w:del w:id="1216" w:author="AbbVie14" w:date="2025-05-09T10:29:00Z"/>
                <w:lang w:val="it-IT"/>
              </w:rPr>
            </w:pPr>
            <w:bookmarkStart w:id="1217" w:name="OLE_LINK4"/>
            <w:bookmarkStart w:id="1218" w:name="OLE_LINK5"/>
            <w:del w:id="1219" w:author="AbbVie14" w:date="2025-05-09T10:29:00Z">
              <w:r w:rsidRPr="00295E71">
                <w:rPr>
                  <w:lang w:val="it-IT"/>
                </w:rPr>
                <w:delText>Carcinoma a cellule di Merkel (carcinoma neuroendocrino della pelle)</w:delText>
              </w:r>
            </w:del>
            <w:del w:id="1220" w:author="AbbVie14" w:date="2025-05-09T10:29:00Z">
              <w:r w:rsidRPr="00C04163">
                <w:rPr>
                  <w:lang w:val="it-IT"/>
                </w:rPr>
                <w:delText>1)</w:delText>
              </w:r>
            </w:del>
            <w:bookmarkEnd w:id="1217"/>
            <w:bookmarkEnd w:id="1218"/>
            <w:del w:id="1221" w:author="AbbVie14" w:date="2025-05-09T10:29:00Z">
              <w:r>
                <w:rPr>
                  <w:lang w:val="it-IT"/>
                </w:rPr>
                <w:delText xml:space="preserve"> ,</w:delText>
              </w:r>
            </w:del>
          </w:p>
          <w:p w:rsidR="00C04163" w:rsidP="00C04163" w14:paraId="13D830B2" w14:textId="77777777">
            <w:pPr>
              <w:pStyle w:val="EMEANormal"/>
              <w:keepNext/>
              <w:widowControl w:val="0"/>
              <w:spacing w:before="60"/>
              <w:rPr>
                <w:del w:id="1222" w:author="AbbVie14" w:date="2025-05-09T10:29:00Z"/>
                <w:lang w:val="it-IT"/>
              </w:rPr>
            </w:pPr>
            <w:del w:id="1223" w:author="AbbVie14" w:date="2025-05-09T10:29:00Z">
              <w:r w:rsidRPr="000B3DBE">
                <w:rPr>
                  <w:lang w:val="it-IT"/>
                </w:rPr>
                <w:delText>sarcoma di Kaposi</w:delText>
              </w:r>
            </w:del>
          </w:p>
          <w:p w:rsidR="00C04163" w:rsidRPr="00295E71" w:rsidP="00C04163" w14:paraId="67D0D36F" w14:textId="77777777">
            <w:pPr>
              <w:pStyle w:val="EMEANormal"/>
              <w:keepNext/>
              <w:widowControl w:val="0"/>
              <w:spacing w:before="60"/>
              <w:rPr>
                <w:del w:id="1224" w:author="AbbVie14" w:date="2025-05-09T10:29:00Z"/>
                <w:lang w:val="it-IT"/>
              </w:rPr>
            </w:pPr>
          </w:p>
        </w:tc>
      </w:tr>
      <w:tr w14:paraId="2D045E1A" w14:textId="77777777" w:rsidTr="00C04163">
        <w:tblPrEx>
          <w:tblW w:w="0" w:type="auto"/>
          <w:tblLook w:val="01E0"/>
        </w:tblPrEx>
        <w:trPr>
          <w:cantSplit/>
          <w:del w:id="1225" w:author="AbbVie14" w:date="2025-05-09T10:29:00Z"/>
        </w:trPr>
        <w:tc>
          <w:tcPr>
            <w:tcW w:w="2559" w:type="dxa"/>
            <w:vMerge w:val="restart"/>
          </w:tcPr>
          <w:p w:rsidR="00C04163" w:rsidRPr="00295E71" w:rsidP="00035AC5" w14:paraId="7568C053" w14:textId="77777777">
            <w:pPr>
              <w:pStyle w:val="EndnoteText"/>
              <w:widowControl w:val="0"/>
              <w:tabs>
                <w:tab w:val="clear" w:pos="567"/>
              </w:tabs>
              <w:spacing w:before="60"/>
              <w:rPr>
                <w:del w:id="1226" w:author="AbbVie14" w:date="2025-05-09T10:29:00Z"/>
                <w:b/>
                <w:lang w:val="it-IT" w:eastAsia="it-IT"/>
              </w:rPr>
            </w:pPr>
            <w:del w:id="1227" w:author="AbbVie14" w:date="2025-05-09T10:29:00Z">
              <w:r w:rsidRPr="00295E71">
                <w:rPr>
                  <w:lang w:val="it-IT" w:eastAsia="it-IT"/>
                </w:rPr>
                <w:delText>Patologie del sistema emolinfopoietico*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EA73539" w14:textId="77777777">
            <w:pPr>
              <w:pStyle w:val="EMEANormal"/>
              <w:keepNext/>
              <w:widowControl w:val="0"/>
              <w:spacing w:before="60"/>
              <w:rPr>
                <w:del w:id="1228" w:author="AbbVie14" w:date="2025-05-09T10:29:00Z"/>
                <w:lang w:val="it-IT"/>
              </w:rPr>
            </w:pPr>
            <w:del w:id="1229" w:author="AbbVie14" w:date="2025-05-09T10:29:00Z">
              <w:r w:rsidRPr="00295E71">
                <w:rPr>
                  <w:lang w:val="it-IT"/>
                </w:rPr>
                <w:delText>Molto comune</w:delText>
              </w:r>
            </w:del>
          </w:p>
          <w:p w:rsidR="00C04163" w:rsidRPr="00295E71" w:rsidP="00C04163" w14:paraId="7FB1BC52" w14:textId="77777777">
            <w:pPr>
              <w:pStyle w:val="EMEANormal"/>
              <w:keepNext/>
              <w:widowControl w:val="0"/>
              <w:spacing w:before="60"/>
              <w:rPr>
                <w:del w:id="1230"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0929637" w14:textId="77777777">
            <w:pPr>
              <w:pStyle w:val="EMEANormal"/>
              <w:keepNext/>
              <w:rPr>
                <w:del w:id="1231" w:author="AbbVie14" w:date="2025-05-09T10:29:00Z"/>
                <w:lang w:val="it-IT"/>
              </w:rPr>
            </w:pPr>
            <w:del w:id="1232" w:author="AbbVie14" w:date="2025-05-09T10:29:00Z">
              <w:r w:rsidRPr="00295E71">
                <w:rPr>
                  <w:lang w:val="it-IT"/>
                </w:rPr>
                <w:delText>Leucopenia (tra cui neutropenia e agranulocitosi),</w:delText>
              </w:r>
            </w:del>
          </w:p>
          <w:p w:rsidR="00C04163" w:rsidRPr="00C04163" w:rsidP="00C04163" w14:paraId="7299A2B4" w14:textId="77777777">
            <w:pPr>
              <w:pStyle w:val="EMEANormal"/>
              <w:keepNext/>
              <w:rPr>
                <w:del w:id="1233" w:author="AbbVie14" w:date="2025-05-09T10:29:00Z"/>
                <w:lang w:val="it-IT"/>
              </w:rPr>
            </w:pPr>
            <w:del w:id="1234" w:author="AbbVie14" w:date="2025-05-09T10:29:00Z">
              <w:r w:rsidRPr="00C04163">
                <w:rPr>
                  <w:lang w:val="it-IT"/>
                </w:rPr>
                <w:delText>anemia</w:delText>
              </w:r>
            </w:del>
          </w:p>
          <w:p w:rsidR="00C04163" w:rsidRPr="00C04163" w:rsidP="00C04163" w14:paraId="0B03D4B8" w14:textId="77777777">
            <w:pPr>
              <w:pStyle w:val="EMEANormal"/>
              <w:keepNext/>
              <w:rPr>
                <w:del w:id="1235" w:author="AbbVie14" w:date="2025-05-09T10:29:00Z"/>
                <w:lang w:val="it-IT"/>
              </w:rPr>
            </w:pPr>
          </w:p>
        </w:tc>
      </w:tr>
      <w:tr w14:paraId="6FA11307" w14:textId="77777777" w:rsidTr="00C04163">
        <w:tblPrEx>
          <w:tblW w:w="0" w:type="auto"/>
          <w:tblLook w:val="01E0"/>
        </w:tblPrEx>
        <w:trPr>
          <w:cantSplit/>
          <w:del w:id="1236" w:author="AbbVie14" w:date="2025-05-09T10:29:00Z"/>
        </w:trPr>
        <w:tc>
          <w:tcPr>
            <w:tcW w:w="2559" w:type="dxa"/>
            <w:vMerge/>
          </w:tcPr>
          <w:p w:rsidR="00C04163" w:rsidRPr="00295E71" w:rsidP="00035AC5" w14:paraId="1B9ADB52" w14:textId="77777777">
            <w:pPr>
              <w:widowControl w:val="0"/>
              <w:spacing w:before="144" w:beforeLines="60"/>
              <w:jc w:val="center"/>
              <w:rPr>
                <w:del w:id="1237"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1EDCA465" w14:textId="77777777">
            <w:pPr>
              <w:pStyle w:val="EMEANormal"/>
              <w:keepNext/>
              <w:widowControl w:val="0"/>
              <w:spacing w:before="60"/>
              <w:rPr>
                <w:del w:id="1238" w:author="AbbVie14" w:date="2025-05-09T10:29:00Z"/>
                <w:lang w:val="it-IT"/>
              </w:rPr>
            </w:pPr>
            <w:del w:id="1239" w:author="AbbVie14" w:date="2025-05-09T10:29:00Z">
              <w:r w:rsidRPr="00295E71">
                <w:rPr>
                  <w:lang w:val="it-IT"/>
                </w:rPr>
                <w:delText>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119B74BC" w14:textId="77777777">
            <w:pPr>
              <w:pStyle w:val="EMEANormal"/>
              <w:keepNext/>
              <w:spacing w:before="60"/>
              <w:rPr>
                <w:del w:id="1240" w:author="AbbVie14" w:date="2025-05-09T10:29:00Z"/>
                <w:lang w:val="it-IT"/>
              </w:rPr>
            </w:pPr>
            <w:del w:id="1241" w:author="AbbVie14" w:date="2025-05-09T10:29:00Z">
              <w:r w:rsidRPr="00C04163">
                <w:rPr>
                  <w:lang w:val="it-IT"/>
                </w:rPr>
                <w:delText>Leucocitosi,</w:delText>
              </w:r>
            </w:del>
          </w:p>
          <w:p w:rsidR="00C04163" w:rsidRPr="00295E71" w:rsidP="00C04163" w14:paraId="13DA1310" w14:textId="77777777">
            <w:pPr>
              <w:pStyle w:val="EMEANormal"/>
              <w:keepNext/>
              <w:spacing w:before="60"/>
              <w:rPr>
                <w:del w:id="1242" w:author="AbbVie14" w:date="2025-05-09T10:29:00Z"/>
                <w:lang w:val="it-IT"/>
              </w:rPr>
            </w:pPr>
            <w:del w:id="1243" w:author="AbbVie14" w:date="2025-05-09T10:29:00Z">
              <w:r w:rsidRPr="00295E71">
                <w:rPr>
                  <w:lang w:val="it-IT"/>
                </w:rPr>
                <w:delText>trombocitopenia</w:delText>
              </w:r>
            </w:del>
          </w:p>
          <w:p w:rsidR="00C04163" w:rsidRPr="00C04163" w:rsidP="00C04163" w14:paraId="3019FA38" w14:textId="77777777">
            <w:pPr>
              <w:pStyle w:val="EMEANormal"/>
              <w:keepNext/>
              <w:spacing w:before="60"/>
              <w:rPr>
                <w:del w:id="1244" w:author="AbbVie14" w:date="2025-05-09T10:29:00Z"/>
                <w:lang w:val="it-IT"/>
              </w:rPr>
            </w:pPr>
          </w:p>
        </w:tc>
      </w:tr>
      <w:tr w14:paraId="2B7A62F6" w14:textId="77777777" w:rsidTr="00C04163">
        <w:tblPrEx>
          <w:tblW w:w="0" w:type="auto"/>
          <w:tblLook w:val="01E0"/>
        </w:tblPrEx>
        <w:trPr>
          <w:cantSplit/>
          <w:del w:id="1245" w:author="AbbVie14" w:date="2025-05-09T10:29:00Z"/>
        </w:trPr>
        <w:tc>
          <w:tcPr>
            <w:tcW w:w="2559" w:type="dxa"/>
            <w:vMerge/>
          </w:tcPr>
          <w:p w:rsidR="00C04163" w:rsidRPr="00295E71" w:rsidP="00035AC5" w14:paraId="1163E7D6" w14:textId="77777777">
            <w:pPr>
              <w:widowControl w:val="0"/>
              <w:spacing w:before="144" w:beforeLines="60"/>
              <w:jc w:val="center"/>
              <w:rPr>
                <w:del w:id="1246"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0C1AC9F" w14:textId="77777777">
            <w:pPr>
              <w:pStyle w:val="EMEANormal"/>
              <w:keepNext/>
              <w:widowControl w:val="0"/>
              <w:spacing w:before="60"/>
              <w:rPr>
                <w:del w:id="1247" w:author="AbbVie14" w:date="2025-05-09T10:29:00Z"/>
                <w:lang w:val="it-IT"/>
              </w:rPr>
            </w:pPr>
            <w:del w:id="1248" w:author="AbbVie14" w:date="2025-05-09T10:29: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1082C39" w14:textId="77777777">
            <w:pPr>
              <w:pStyle w:val="EMEANormal"/>
              <w:keepNext/>
              <w:spacing w:before="60"/>
              <w:rPr>
                <w:del w:id="1249" w:author="AbbVie14" w:date="2025-05-09T10:29:00Z"/>
                <w:lang w:val="it-IT"/>
              </w:rPr>
            </w:pPr>
            <w:del w:id="1250" w:author="AbbVie14" w:date="2025-05-09T10:29:00Z">
              <w:r w:rsidRPr="00295E71">
                <w:rPr>
                  <w:lang w:val="it-IT"/>
                </w:rPr>
                <w:delText>Porpora trombocitopenica idiopatica</w:delText>
              </w:r>
            </w:del>
          </w:p>
          <w:p w:rsidR="00C04163" w:rsidRPr="00295E71" w:rsidP="00C04163" w14:paraId="11956618" w14:textId="77777777">
            <w:pPr>
              <w:pStyle w:val="EMEANormal"/>
              <w:keepNext/>
              <w:widowControl w:val="0"/>
              <w:spacing w:before="60"/>
              <w:rPr>
                <w:del w:id="1251" w:author="AbbVie14" w:date="2025-05-09T10:29:00Z"/>
                <w:lang w:val="it-IT"/>
              </w:rPr>
            </w:pPr>
          </w:p>
        </w:tc>
      </w:tr>
      <w:tr w14:paraId="0E99A14C" w14:textId="77777777" w:rsidTr="00C04163">
        <w:tblPrEx>
          <w:tblW w:w="0" w:type="auto"/>
          <w:tblLook w:val="01E0"/>
        </w:tblPrEx>
        <w:trPr>
          <w:cantSplit/>
          <w:del w:id="1252" w:author="AbbVie14" w:date="2025-05-09T10:29:00Z"/>
        </w:trPr>
        <w:tc>
          <w:tcPr>
            <w:tcW w:w="2559" w:type="dxa"/>
            <w:vMerge/>
          </w:tcPr>
          <w:p w:rsidR="00C04163" w:rsidRPr="00295E71" w:rsidP="00035AC5" w14:paraId="113352B5" w14:textId="77777777">
            <w:pPr>
              <w:widowControl w:val="0"/>
              <w:spacing w:before="144" w:beforeLines="60"/>
              <w:jc w:val="center"/>
              <w:rPr>
                <w:del w:id="1253"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8F8AD56" w14:textId="77777777">
            <w:pPr>
              <w:pStyle w:val="EMEANormal"/>
              <w:keepNext/>
              <w:widowControl w:val="0"/>
              <w:spacing w:before="60"/>
              <w:rPr>
                <w:del w:id="1254" w:author="AbbVie14" w:date="2025-05-09T10:29:00Z"/>
                <w:lang w:val="it-IT"/>
              </w:rPr>
            </w:pPr>
            <w:del w:id="1255" w:author="AbbVie14" w:date="2025-05-09T10:29:00Z">
              <w:r w:rsidRPr="00295E71">
                <w:rPr>
                  <w:lang w:val="it-IT"/>
                </w:rPr>
                <w:delText>Raro</w:delText>
              </w:r>
            </w:del>
          </w:p>
          <w:p w:rsidR="00C04163" w:rsidRPr="00295E71" w:rsidP="00C04163" w14:paraId="771EB64C" w14:textId="77777777">
            <w:pPr>
              <w:pStyle w:val="EMEANormal"/>
              <w:keepNext/>
              <w:widowControl w:val="0"/>
              <w:spacing w:before="60"/>
              <w:rPr>
                <w:del w:id="1256"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70447DC3" w14:textId="77777777">
            <w:pPr>
              <w:pStyle w:val="EMEANormal"/>
              <w:keepNext/>
              <w:spacing w:before="60"/>
              <w:rPr>
                <w:del w:id="1257" w:author="AbbVie14" w:date="2025-05-09T10:29:00Z"/>
                <w:lang w:val="it-IT"/>
              </w:rPr>
            </w:pPr>
            <w:del w:id="1258" w:author="AbbVie14" w:date="2025-05-09T10:29:00Z">
              <w:r w:rsidRPr="00295E71">
                <w:rPr>
                  <w:lang w:val="it-IT"/>
                </w:rPr>
                <w:delText>Pancitopenia</w:delText>
              </w:r>
            </w:del>
          </w:p>
        </w:tc>
      </w:tr>
      <w:tr w14:paraId="59CA8CC1" w14:textId="77777777" w:rsidTr="00C04163">
        <w:tblPrEx>
          <w:tblW w:w="0" w:type="auto"/>
          <w:tblLook w:val="01E0"/>
        </w:tblPrEx>
        <w:trPr>
          <w:cantSplit/>
          <w:del w:id="1259" w:author="AbbVie14" w:date="2025-05-09T10:29:00Z"/>
        </w:trPr>
        <w:tc>
          <w:tcPr>
            <w:tcW w:w="2559" w:type="dxa"/>
            <w:vMerge w:val="restart"/>
          </w:tcPr>
          <w:p w:rsidR="00C04163" w:rsidRPr="00295E71" w:rsidP="00035AC5" w14:paraId="36CD9309" w14:textId="77777777">
            <w:pPr>
              <w:pStyle w:val="EMEANormal"/>
              <w:widowControl w:val="0"/>
              <w:spacing w:before="60"/>
              <w:rPr>
                <w:del w:id="1260" w:author="AbbVie14" w:date="2025-05-09T10:29:00Z"/>
                <w:lang w:val="it-IT"/>
              </w:rPr>
            </w:pPr>
            <w:del w:id="1261" w:author="AbbVie14" w:date="2025-05-09T10:29:00Z">
              <w:r w:rsidRPr="00295E71">
                <w:rPr>
                  <w:lang w:val="it-IT"/>
                </w:rPr>
                <w:delText>Disturbi del sistema immunitario*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78EA37A" w14:textId="77777777">
            <w:pPr>
              <w:pStyle w:val="EMEANormal"/>
              <w:keepNext/>
              <w:widowControl w:val="0"/>
              <w:spacing w:before="60"/>
              <w:rPr>
                <w:del w:id="1262" w:author="AbbVie14" w:date="2025-05-09T10:29:00Z"/>
                <w:lang w:val="it-IT"/>
              </w:rPr>
            </w:pPr>
            <w:del w:id="1263" w:author="AbbVie14" w:date="2025-05-09T10:29:00Z">
              <w:r w:rsidRPr="00295E71">
                <w:rPr>
                  <w:lang w:val="it-IT"/>
                </w:rPr>
                <w:delText>Comune</w:delText>
              </w:r>
            </w:del>
          </w:p>
          <w:p w:rsidR="00C04163" w:rsidRPr="00295E71" w:rsidP="00C04163" w14:paraId="062245AF" w14:textId="77777777">
            <w:pPr>
              <w:pStyle w:val="EMEANormal"/>
              <w:keepNext/>
              <w:widowControl w:val="0"/>
              <w:spacing w:before="60"/>
              <w:rPr>
                <w:del w:id="1264"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BD7ED30" w14:textId="77777777">
            <w:pPr>
              <w:pStyle w:val="EMEANormal"/>
              <w:keepNext/>
              <w:widowControl w:val="0"/>
              <w:spacing w:before="60"/>
              <w:rPr>
                <w:del w:id="1265" w:author="AbbVie14" w:date="2025-05-09T10:29:00Z"/>
                <w:lang w:val="it-IT"/>
              </w:rPr>
            </w:pPr>
            <w:del w:id="1266" w:author="AbbVie14" w:date="2025-05-09T10:29:00Z">
              <w:r w:rsidRPr="00295E71">
                <w:rPr>
                  <w:lang w:val="it-IT"/>
                </w:rPr>
                <w:delText>Ipersensibilità,</w:delText>
              </w:r>
            </w:del>
          </w:p>
          <w:p w:rsidR="00C04163" w:rsidRPr="00295E71" w:rsidP="00C04163" w14:paraId="55B3477E" w14:textId="77777777">
            <w:pPr>
              <w:pStyle w:val="EMEANormal"/>
              <w:keepNext/>
              <w:widowControl w:val="0"/>
              <w:spacing w:before="60"/>
              <w:rPr>
                <w:del w:id="1267" w:author="AbbVie14" w:date="2025-05-09T10:29:00Z"/>
                <w:lang w:val="it-IT"/>
              </w:rPr>
            </w:pPr>
            <w:del w:id="1268" w:author="AbbVie14" w:date="2025-05-09T10:29:00Z">
              <w:r w:rsidRPr="00295E71">
                <w:rPr>
                  <w:lang w:val="it-IT"/>
                </w:rPr>
                <w:delText>allergie (tra cui allergia stagionale)</w:delText>
              </w:r>
            </w:del>
          </w:p>
        </w:tc>
      </w:tr>
      <w:tr w14:paraId="655480BC" w14:textId="77777777" w:rsidTr="00C04163">
        <w:tblPrEx>
          <w:tblW w:w="0" w:type="auto"/>
          <w:tblLook w:val="01E0"/>
        </w:tblPrEx>
        <w:trPr>
          <w:cantSplit/>
          <w:del w:id="1269" w:author="AbbVie14" w:date="2025-05-09T10:29:00Z"/>
        </w:trPr>
        <w:tc>
          <w:tcPr>
            <w:tcW w:w="2559" w:type="dxa"/>
            <w:vMerge/>
          </w:tcPr>
          <w:p w:rsidR="00C04163" w:rsidRPr="00295E71" w:rsidP="00035AC5" w14:paraId="4A86BC1A" w14:textId="77777777">
            <w:pPr>
              <w:pStyle w:val="EMEANormal"/>
              <w:widowControl w:val="0"/>
              <w:spacing w:before="60"/>
              <w:rPr>
                <w:del w:id="1270"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2DEB122E" w14:textId="77777777">
            <w:pPr>
              <w:pStyle w:val="EMEANormal"/>
              <w:keepNext/>
              <w:widowControl w:val="0"/>
              <w:spacing w:before="60"/>
              <w:rPr>
                <w:del w:id="1271" w:author="AbbVie14" w:date="2025-05-09T10:29:00Z"/>
                <w:lang w:val="it-IT"/>
              </w:rPr>
            </w:pPr>
          </w:p>
          <w:p w:rsidR="00C04163" w:rsidRPr="00295E71" w:rsidP="00C04163" w14:paraId="2E25354B" w14:textId="77777777">
            <w:pPr>
              <w:pStyle w:val="EMEANormal"/>
              <w:keepNext/>
              <w:widowControl w:val="0"/>
              <w:spacing w:before="60"/>
              <w:rPr>
                <w:del w:id="1272" w:author="AbbVie14" w:date="2025-05-09T10:29:00Z"/>
                <w:lang w:val="it-IT"/>
              </w:rPr>
            </w:pPr>
            <w:del w:id="1273" w:author="AbbVie14" w:date="2025-05-09T10:29: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47A5C21" w14:textId="77777777">
            <w:pPr>
              <w:pStyle w:val="EMEANormal"/>
              <w:keepNext/>
              <w:widowControl w:val="0"/>
              <w:spacing w:before="60"/>
              <w:rPr>
                <w:del w:id="1274" w:author="AbbVie14" w:date="2025-05-09T10:29:00Z"/>
                <w:lang w:val="it-IT"/>
              </w:rPr>
            </w:pPr>
          </w:p>
          <w:p w:rsidR="00C04163" w:rsidRPr="00295E71" w:rsidP="00C04163" w14:paraId="452D4EAE" w14:textId="77777777">
            <w:pPr>
              <w:pStyle w:val="EMEANormal"/>
              <w:keepNext/>
              <w:widowControl w:val="0"/>
              <w:spacing w:before="60"/>
              <w:rPr>
                <w:del w:id="1275" w:author="AbbVie14" w:date="2025-05-09T10:29:00Z"/>
                <w:lang w:val="it-IT"/>
              </w:rPr>
            </w:pPr>
            <w:del w:id="1276" w:author="AbbVie14" w:date="2025-05-09T10:29:00Z">
              <w:r w:rsidRPr="00295E71">
                <w:rPr>
                  <w:lang w:val="it-IT"/>
                </w:rPr>
                <w:delText>Sarcoidosi</w:delText>
              </w:r>
            </w:del>
            <w:del w:id="1277" w:author="AbbVie14" w:date="2025-05-09T10:29:00Z">
              <w:r w:rsidRPr="00C04163">
                <w:rPr>
                  <w:lang w:val="it-IT"/>
                </w:rPr>
                <w:delText>1)</w:delText>
              </w:r>
            </w:del>
            <w:del w:id="1278" w:author="AbbVie14" w:date="2025-05-09T10:29:00Z">
              <w:r w:rsidRPr="00295E71">
                <w:rPr>
                  <w:lang w:val="it-IT"/>
                </w:rPr>
                <w:delText>,</w:delText>
              </w:r>
            </w:del>
          </w:p>
          <w:p w:rsidR="00C04163" w:rsidRPr="00295E71" w:rsidP="00C04163" w14:paraId="76304A3D" w14:textId="77777777">
            <w:pPr>
              <w:pStyle w:val="EMEANormal"/>
              <w:keepNext/>
              <w:widowControl w:val="0"/>
              <w:spacing w:before="60"/>
              <w:rPr>
                <w:del w:id="1279" w:author="AbbVie14" w:date="2025-05-09T10:29:00Z"/>
                <w:lang w:val="it-IT"/>
              </w:rPr>
            </w:pPr>
            <w:del w:id="1280" w:author="AbbVie14" w:date="2025-05-09T10:29:00Z">
              <w:r w:rsidRPr="00295E71">
                <w:rPr>
                  <w:lang w:val="it-IT"/>
                </w:rPr>
                <w:delText>vasculite</w:delText>
              </w:r>
            </w:del>
          </w:p>
          <w:p w:rsidR="00C04163" w:rsidRPr="00295E71" w:rsidP="00C04163" w14:paraId="359D0EFB" w14:textId="77777777">
            <w:pPr>
              <w:pStyle w:val="EMEANormal"/>
              <w:keepNext/>
              <w:widowControl w:val="0"/>
              <w:spacing w:before="60"/>
              <w:rPr>
                <w:del w:id="1281" w:author="AbbVie14" w:date="2025-05-09T10:29:00Z"/>
                <w:lang w:val="it-IT"/>
              </w:rPr>
            </w:pPr>
          </w:p>
        </w:tc>
      </w:tr>
      <w:tr w14:paraId="310A8FCC" w14:textId="77777777" w:rsidTr="00C04163">
        <w:tblPrEx>
          <w:tblW w:w="0" w:type="auto"/>
          <w:tblLook w:val="01E0"/>
        </w:tblPrEx>
        <w:trPr>
          <w:cantSplit/>
          <w:del w:id="1282" w:author="AbbVie14" w:date="2025-05-09T10:29:00Z"/>
        </w:trPr>
        <w:tc>
          <w:tcPr>
            <w:tcW w:w="2559" w:type="dxa"/>
            <w:vMerge/>
          </w:tcPr>
          <w:p w:rsidR="00C04163" w:rsidRPr="00295E71" w:rsidP="00035AC5" w14:paraId="75DB860F" w14:textId="77777777">
            <w:pPr>
              <w:pStyle w:val="EMEANormal"/>
              <w:widowControl w:val="0"/>
              <w:spacing w:before="60"/>
              <w:rPr>
                <w:del w:id="1283"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1B2DE85" w14:textId="77777777">
            <w:pPr>
              <w:pStyle w:val="EMEANormal"/>
              <w:keepNext/>
              <w:widowControl w:val="0"/>
              <w:spacing w:before="60"/>
              <w:rPr>
                <w:del w:id="1284" w:author="AbbVie14" w:date="2025-05-09T10:29:00Z"/>
                <w:lang w:val="it-IT"/>
              </w:rPr>
            </w:pPr>
            <w:del w:id="1285" w:author="AbbVie14" w:date="2025-05-09T10:29: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460F4B8A" w14:textId="77777777">
            <w:pPr>
              <w:pStyle w:val="EMEANormal"/>
              <w:keepNext/>
              <w:widowControl w:val="0"/>
              <w:spacing w:before="60"/>
              <w:rPr>
                <w:del w:id="1286" w:author="AbbVie14" w:date="2025-05-09T10:29:00Z"/>
                <w:lang w:val="it-IT"/>
              </w:rPr>
            </w:pPr>
            <w:del w:id="1287" w:author="AbbVie14" w:date="2025-05-09T10:29:00Z">
              <w:r w:rsidRPr="00295E71">
                <w:rPr>
                  <w:lang w:val="it-IT"/>
                </w:rPr>
                <w:delText>Anafilassi</w:delText>
              </w:r>
            </w:del>
            <w:del w:id="1288" w:author="AbbVie14" w:date="2025-05-09T10:29:00Z">
              <w:r w:rsidRPr="00C04163">
                <w:rPr>
                  <w:lang w:val="it-IT"/>
                </w:rPr>
                <w:delText>1)</w:delText>
              </w:r>
            </w:del>
          </w:p>
          <w:p w:rsidR="00C04163" w:rsidRPr="00295E71" w:rsidP="00C04163" w14:paraId="53D1C1F4" w14:textId="77777777">
            <w:pPr>
              <w:pStyle w:val="EMEANormal"/>
              <w:keepNext/>
              <w:widowControl w:val="0"/>
              <w:spacing w:before="60"/>
              <w:rPr>
                <w:del w:id="1289" w:author="AbbVie14" w:date="2025-05-09T10:29:00Z"/>
                <w:lang w:val="it-IT"/>
              </w:rPr>
            </w:pPr>
          </w:p>
        </w:tc>
      </w:tr>
      <w:tr w14:paraId="348AB87E" w14:textId="77777777" w:rsidTr="00C04163">
        <w:tblPrEx>
          <w:tblW w:w="0" w:type="auto"/>
          <w:tblLook w:val="01E0"/>
        </w:tblPrEx>
        <w:trPr>
          <w:cantSplit/>
          <w:del w:id="1290" w:author="AbbVie14" w:date="2025-05-09T10:29:00Z"/>
        </w:trPr>
        <w:tc>
          <w:tcPr>
            <w:tcW w:w="2559" w:type="dxa"/>
            <w:vMerge w:val="restart"/>
          </w:tcPr>
          <w:p w:rsidR="00C04163" w:rsidRPr="00295E71" w:rsidP="00035AC5" w14:paraId="7D3B5CFF" w14:textId="77777777">
            <w:pPr>
              <w:pStyle w:val="EMEANormal"/>
              <w:widowControl w:val="0"/>
              <w:spacing w:before="60"/>
              <w:rPr>
                <w:del w:id="1291" w:author="AbbVie14" w:date="2025-05-09T10:29:00Z"/>
                <w:lang w:val="it-IT"/>
              </w:rPr>
            </w:pPr>
            <w:del w:id="1292" w:author="AbbVie14" w:date="2025-05-09T10:29:00Z">
              <w:r w:rsidRPr="00295E71">
                <w:rPr>
                  <w:lang w:val="it-IT"/>
                </w:rPr>
                <w:delText>Disturbi del metabolismo e della nutrizione</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96BA54F" w14:textId="77777777">
            <w:pPr>
              <w:pStyle w:val="EMEANormal"/>
              <w:keepNext/>
              <w:widowControl w:val="0"/>
              <w:spacing w:before="60"/>
              <w:rPr>
                <w:del w:id="1293" w:author="AbbVie14" w:date="2025-05-09T10:29:00Z"/>
                <w:lang w:val="it-IT"/>
              </w:rPr>
            </w:pPr>
            <w:del w:id="1294" w:author="AbbVie14" w:date="2025-05-09T10:29:00Z">
              <w:r w:rsidRPr="00295E71">
                <w:rPr>
                  <w:lang w:val="it-IT"/>
                </w:rPr>
                <w:delText>Molto comune</w:delText>
              </w:r>
            </w:del>
          </w:p>
          <w:p w:rsidR="00C04163" w:rsidRPr="00295E71" w:rsidP="00C04163" w14:paraId="61B1BF82" w14:textId="77777777">
            <w:pPr>
              <w:pStyle w:val="EMEANormal"/>
              <w:keepNext/>
              <w:widowControl w:val="0"/>
              <w:spacing w:before="60"/>
              <w:rPr>
                <w:del w:id="1295"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7B0CC912" w14:textId="77777777">
            <w:pPr>
              <w:pStyle w:val="EMEANormal"/>
              <w:keepNext/>
              <w:widowControl w:val="0"/>
              <w:spacing w:before="60"/>
              <w:rPr>
                <w:del w:id="1296" w:author="AbbVie14" w:date="2025-05-09T10:29:00Z"/>
                <w:lang w:val="it-IT"/>
              </w:rPr>
            </w:pPr>
            <w:del w:id="1297" w:author="AbbVie14" w:date="2025-05-09T10:29:00Z">
              <w:r w:rsidRPr="00295E71">
                <w:rPr>
                  <w:lang w:val="it-IT"/>
                </w:rPr>
                <w:delText>Iperlipidemia</w:delText>
              </w:r>
            </w:del>
          </w:p>
        </w:tc>
      </w:tr>
      <w:tr w14:paraId="1AE5B232" w14:textId="77777777" w:rsidTr="00C04163">
        <w:tblPrEx>
          <w:tblW w:w="0" w:type="auto"/>
          <w:tblLook w:val="01E0"/>
        </w:tblPrEx>
        <w:trPr>
          <w:cantSplit/>
          <w:del w:id="1298" w:author="AbbVie14" w:date="2025-05-09T10:29:00Z"/>
        </w:trPr>
        <w:tc>
          <w:tcPr>
            <w:tcW w:w="2559" w:type="dxa"/>
            <w:vMerge/>
          </w:tcPr>
          <w:p w:rsidR="00C04163" w:rsidRPr="00295E71" w:rsidP="00035AC5" w14:paraId="48D4847A" w14:textId="77777777">
            <w:pPr>
              <w:pStyle w:val="EMEANormal"/>
              <w:widowControl w:val="0"/>
              <w:spacing w:before="60"/>
              <w:rPr>
                <w:del w:id="1299"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1BEB19D5" w14:textId="77777777">
            <w:pPr>
              <w:pStyle w:val="EMEANormal"/>
              <w:keepNext/>
              <w:widowControl w:val="0"/>
              <w:spacing w:before="60"/>
              <w:rPr>
                <w:del w:id="1300" w:author="AbbVie14" w:date="2025-05-09T10:29:00Z"/>
                <w:lang w:val="it-IT"/>
              </w:rPr>
            </w:pPr>
            <w:del w:id="1301" w:author="AbbVie14" w:date="2025-05-09T10:29:00Z">
              <w:r w:rsidRPr="00295E71">
                <w:rPr>
                  <w:lang w:val="it-IT"/>
                </w:rPr>
                <w:delText>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254ACE3B" w14:textId="77777777">
            <w:pPr>
              <w:pStyle w:val="EMEANormal"/>
              <w:keepNext/>
              <w:widowControl w:val="0"/>
              <w:spacing w:before="60"/>
              <w:rPr>
                <w:del w:id="1302" w:author="AbbVie14" w:date="2025-05-09T10:29:00Z"/>
                <w:lang w:val="it-IT"/>
              </w:rPr>
            </w:pPr>
            <w:del w:id="1303" w:author="AbbVie14" w:date="2025-05-09T10:29:00Z">
              <w:r w:rsidRPr="00295E71">
                <w:rPr>
                  <w:lang w:val="it-IT"/>
                </w:rPr>
                <w:delText xml:space="preserve">Ipokaliemia, </w:delText>
              </w:r>
            </w:del>
          </w:p>
          <w:p w:rsidR="00C04163" w:rsidRPr="00295E71" w:rsidP="00C04163" w14:paraId="41D67CB5" w14:textId="77777777">
            <w:pPr>
              <w:pStyle w:val="EMEANormal"/>
              <w:keepNext/>
              <w:widowControl w:val="0"/>
              <w:spacing w:before="60"/>
              <w:rPr>
                <w:del w:id="1304" w:author="AbbVie14" w:date="2025-05-09T10:29:00Z"/>
                <w:lang w:val="it-IT"/>
              </w:rPr>
            </w:pPr>
            <w:del w:id="1305" w:author="AbbVie14" w:date="2025-05-09T10:29:00Z">
              <w:r w:rsidRPr="00295E71">
                <w:rPr>
                  <w:lang w:val="it-IT"/>
                </w:rPr>
                <w:delText xml:space="preserve">iperuricemia, </w:delText>
              </w:r>
            </w:del>
          </w:p>
          <w:p w:rsidR="00C04163" w:rsidRPr="00295E71" w:rsidP="00C04163" w14:paraId="5C7B0C56" w14:textId="77777777">
            <w:pPr>
              <w:pStyle w:val="EMEANormal"/>
              <w:keepNext/>
              <w:widowControl w:val="0"/>
              <w:spacing w:before="60"/>
              <w:rPr>
                <w:del w:id="1306" w:author="AbbVie14" w:date="2025-05-09T10:29:00Z"/>
                <w:lang w:val="it-IT"/>
              </w:rPr>
            </w:pPr>
            <w:del w:id="1307" w:author="AbbVie14" w:date="2025-05-09T10:29:00Z">
              <w:r w:rsidRPr="00295E71">
                <w:rPr>
                  <w:lang w:val="it-IT"/>
                </w:rPr>
                <w:delText>alterazione della sodiemia,</w:delText>
              </w:r>
            </w:del>
          </w:p>
          <w:p w:rsidR="00C04163" w:rsidRPr="00295E71" w:rsidP="00C04163" w14:paraId="77951E40" w14:textId="77777777">
            <w:pPr>
              <w:pStyle w:val="EMEANormal"/>
              <w:keepNext/>
              <w:widowControl w:val="0"/>
              <w:spacing w:before="60"/>
              <w:rPr>
                <w:del w:id="1308" w:author="AbbVie14" w:date="2025-05-09T10:29:00Z"/>
                <w:lang w:val="it-IT"/>
              </w:rPr>
            </w:pPr>
            <w:del w:id="1309" w:author="AbbVie14" w:date="2025-05-09T10:29:00Z">
              <w:r w:rsidRPr="00295E71">
                <w:rPr>
                  <w:lang w:val="it-IT"/>
                </w:rPr>
                <w:delText>ipocalcemia,</w:delText>
              </w:r>
            </w:del>
          </w:p>
          <w:p w:rsidR="00C04163" w:rsidRPr="00295E71" w:rsidP="00C04163" w14:paraId="2EB66361" w14:textId="77777777">
            <w:pPr>
              <w:pStyle w:val="EMEANormal"/>
              <w:keepNext/>
              <w:widowControl w:val="0"/>
              <w:spacing w:before="60"/>
              <w:rPr>
                <w:del w:id="1310" w:author="AbbVie14" w:date="2025-05-09T10:29:00Z"/>
                <w:lang w:val="it-IT"/>
              </w:rPr>
            </w:pPr>
            <w:del w:id="1311" w:author="AbbVie14" w:date="2025-05-09T10:29:00Z">
              <w:r w:rsidRPr="00295E71">
                <w:rPr>
                  <w:lang w:val="it-IT"/>
                </w:rPr>
                <w:delText>iperglicemia,</w:delText>
              </w:r>
            </w:del>
          </w:p>
          <w:p w:rsidR="00C04163" w:rsidRPr="00295E71" w:rsidP="00C04163" w14:paraId="260F49E5" w14:textId="77777777">
            <w:pPr>
              <w:pStyle w:val="EMEANormal"/>
              <w:keepNext/>
              <w:widowControl w:val="0"/>
              <w:spacing w:before="60"/>
              <w:rPr>
                <w:del w:id="1312" w:author="AbbVie14" w:date="2025-05-09T10:29:00Z"/>
                <w:lang w:val="it-IT"/>
              </w:rPr>
            </w:pPr>
            <w:del w:id="1313" w:author="AbbVie14" w:date="2025-05-09T10:29:00Z">
              <w:r w:rsidRPr="00295E71">
                <w:rPr>
                  <w:lang w:val="it-IT"/>
                </w:rPr>
                <w:delText>ipofosfatemia,</w:delText>
              </w:r>
            </w:del>
          </w:p>
          <w:p w:rsidR="00C04163" w:rsidRPr="00295E71" w:rsidP="00C04163" w14:paraId="33929EDF" w14:textId="77777777">
            <w:pPr>
              <w:pStyle w:val="EMEANormal"/>
              <w:keepNext/>
              <w:widowControl w:val="0"/>
              <w:spacing w:before="60"/>
              <w:rPr>
                <w:del w:id="1314" w:author="AbbVie14" w:date="2025-05-09T10:29:00Z"/>
                <w:lang w:val="it-IT"/>
              </w:rPr>
            </w:pPr>
            <w:del w:id="1315" w:author="AbbVie14" w:date="2025-05-09T10:29:00Z">
              <w:r w:rsidRPr="00295E71">
                <w:rPr>
                  <w:lang w:val="it-IT"/>
                </w:rPr>
                <w:delText>disidratazione</w:delText>
              </w:r>
            </w:del>
          </w:p>
        </w:tc>
      </w:tr>
      <w:tr w14:paraId="3F67D2C8" w14:textId="77777777" w:rsidTr="00C04163">
        <w:tblPrEx>
          <w:tblW w:w="0" w:type="auto"/>
          <w:tblLook w:val="01E0"/>
        </w:tblPrEx>
        <w:trPr>
          <w:cantSplit/>
          <w:del w:id="1316" w:author="AbbVie14" w:date="2025-05-09T10:29:00Z"/>
        </w:trPr>
        <w:tc>
          <w:tcPr>
            <w:tcW w:w="2559" w:type="dxa"/>
          </w:tcPr>
          <w:p w:rsidR="00C04163" w:rsidRPr="00295E71" w:rsidP="00035AC5" w14:paraId="78F1F231" w14:textId="77777777">
            <w:pPr>
              <w:pStyle w:val="IndexHeading"/>
              <w:keepNext/>
              <w:widowControl w:val="0"/>
              <w:tabs>
                <w:tab w:val="clear" w:pos="567"/>
              </w:tabs>
              <w:spacing w:before="120" w:after="120" w:line="240" w:lineRule="auto"/>
              <w:jc w:val="center"/>
              <w:rPr>
                <w:del w:id="1317" w:author="AbbVie14" w:date="2025-05-09T10:29:00Z"/>
                <w:rFonts w:ascii="Times New Roman" w:hAnsi="Times New Roman" w:cs="Times New Roman"/>
                <w:lang w:val="it-IT" w:eastAsia="it-IT"/>
              </w:rPr>
            </w:pPr>
            <w:del w:id="1318" w:author="AbbVie14" w:date="2025-05-09T10:29:00Z">
              <w:r w:rsidRPr="00295E71">
                <w:rPr>
                  <w:rFonts w:ascii="Times New Roman" w:hAnsi="Times New Roman" w:cs="Times New Roman"/>
                  <w:lang w:val="it-IT" w:eastAsia="it-IT"/>
                </w:rPr>
                <w:delText>Classificazione per sistemi e organi</w:delText>
              </w:r>
            </w:del>
          </w:p>
        </w:tc>
        <w:tc>
          <w:tcPr>
            <w:tcW w:w="2038" w:type="dxa"/>
            <w:tcBorders>
              <w:top w:val="single" w:sz="4" w:space="0" w:color="auto"/>
              <w:left w:val="single" w:sz="4" w:space="0" w:color="auto"/>
              <w:bottom w:val="single" w:sz="4" w:space="0" w:color="auto"/>
              <w:right w:val="single" w:sz="4" w:space="0" w:color="auto"/>
            </w:tcBorders>
          </w:tcPr>
          <w:p w:rsidR="00C04163" w:rsidRPr="00C04163" w:rsidP="00C04163" w14:paraId="74E52D52" w14:textId="77777777">
            <w:pPr>
              <w:pStyle w:val="EMEANormal"/>
              <w:spacing w:before="60"/>
              <w:rPr>
                <w:del w:id="1319" w:author="AbbVie14" w:date="2025-05-09T10:29:00Z"/>
                <w:lang w:val="it-IT"/>
              </w:rPr>
            </w:pPr>
            <w:del w:id="1320" w:author="AbbVie14" w:date="2025-05-09T10:29:00Z">
              <w:r w:rsidRPr="00295E71">
                <w:rPr>
                  <w:lang w:val="it-IT"/>
                </w:rPr>
                <w:delText>Frequenza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170895CF" w14:textId="77777777">
            <w:pPr>
              <w:pStyle w:val="EMEANormal"/>
              <w:spacing w:before="60"/>
              <w:rPr>
                <w:del w:id="1321" w:author="AbbVie14" w:date="2025-05-09T10:29:00Z"/>
                <w:lang w:val="it-IT"/>
              </w:rPr>
            </w:pPr>
            <w:del w:id="1322" w:author="AbbVie14" w:date="2025-05-09T10:29:00Z">
              <w:r w:rsidRPr="00295E71">
                <w:rPr>
                  <w:lang w:val="it-IT"/>
                </w:rPr>
                <w:delText>Reazione avversa</w:delText>
              </w:r>
            </w:del>
          </w:p>
        </w:tc>
      </w:tr>
      <w:tr w14:paraId="2B7F46AC" w14:textId="77777777" w:rsidTr="00C04163">
        <w:tblPrEx>
          <w:tblW w:w="0" w:type="auto"/>
          <w:tblLook w:val="01E0"/>
        </w:tblPrEx>
        <w:trPr>
          <w:cantSplit/>
          <w:del w:id="1323" w:author="AbbVie14" w:date="2025-05-09T10:29:00Z"/>
        </w:trPr>
        <w:tc>
          <w:tcPr>
            <w:tcW w:w="2559" w:type="dxa"/>
          </w:tcPr>
          <w:p w:rsidR="00C04163" w:rsidRPr="00295E71" w:rsidP="00035AC5" w14:paraId="0D0E1F6C" w14:textId="77777777">
            <w:pPr>
              <w:pStyle w:val="EMEANormal"/>
              <w:widowControl w:val="0"/>
              <w:spacing w:before="60"/>
              <w:rPr>
                <w:del w:id="1324" w:author="AbbVie14" w:date="2025-05-09T10:29:00Z"/>
                <w:lang w:val="it-IT"/>
              </w:rPr>
            </w:pPr>
            <w:del w:id="1325" w:author="AbbVie14" w:date="2025-05-09T10:29:00Z">
              <w:r w:rsidRPr="00295E71">
                <w:rPr>
                  <w:lang w:val="it-IT"/>
                </w:rPr>
                <w:delText>Disturbi psichiatrici</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1D820C3" w14:textId="77777777">
            <w:pPr>
              <w:pStyle w:val="EMEANormal"/>
              <w:keepNext/>
              <w:widowControl w:val="0"/>
              <w:spacing w:before="60"/>
              <w:rPr>
                <w:del w:id="1326" w:author="AbbVie14" w:date="2025-05-09T10:29:00Z"/>
                <w:lang w:val="it-IT"/>
              </w:rPr>
            </w:pPr>
            <w:del w:id="1327" w:author="AbbVie14" w:date="2025-05-09T10:29:00Z">
              <w:r w:rsidRPr="00295E71">
                <w:rPr>
                  <w:lang w:val="it-IT"/>
                </w:rPr>
                <w:delText>Comune</w:delText>
              </w:r>
            </w:del>
          </w:p>
          <w:p w:rsidR="00C04163" w:rsidRPr="00295E71" w:rsidP="00C04163" w14:paraId="0B6DD154" w14:textId="77777777">
            <w:pPr>
              <w:pStyle w:val="EMEANormal"/>
              <w:keepNext/>
              <w:widowControl w:val="0"/>
              <w:spacing w:before="60"/>
              <w:rPr>
                <w:del w:id="1328"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F0439FE" w14:textId="77777777">
            <w:pPr>
              <w:pStyle w:val="EMEANormal"/>
              <w:keepNext/>
              <w:widowControl w:val="0"/>
              <w:spacing w:before="60"/>
              <w:rPr>
                <w:del w:id="1329" w:author="AbbVie14" w:date="2025-05-09T10:29:00Z"/>
                <w:lang w:val="it-IT"/>
              </w:rPr>
            </w:pPr>
            <w:del w:id="1330" w:author="AbbVie14" w:date="2025-05-09T10:29:00Z">
              <w:r w:rsidRPr="00295E71">
                <w:rPr>
                  <w:lang w:val="it-IT"/>
                </w:rPr>
                <w:delText>Disturbi dell’umore (tra cui depressione),</w:delText>
              </w:r>
            </w:del>
          </w:p>
          <w:p w:rsidR="00C04163" w:rsidRPr="00295E71" w:rsidP="00C04163" w14:paraId="30317AC6" w14:textId="77777777">
            <w:pPr>
              <w:pStyle w:val="EMEANormal"/>
              <w:keepNext/>
              <w:widowControl w:val="0"/>
              <w:spacing w:before="60"/>
              <w:rPr>
                <w:del w:id="1331" w:author="AbbVie14" w:date="2025-05-09T10:29:00Z"/>
                <w:lang w:val="it-IT"/>
              </w:rPr>
            </w:pPr>
            <w:del w:id="1332" w:author="AbbVie14" w:date="2025-05-09T10:29:00Z">
              <w:r w:rsidRPr="00295E71">
                <w:rPr>
                  <w:lang w:val="it-IT"/>
                </w:rPr>
                <w:delText>ansia,</w:delText>
              </w:r>
            </w:del>
          </w:p>
          <w:p w:rsidR="00C04163" w:rsidRPr="00295E71" w:rsidP="00C04163" w14:paraId="753FCBED" w14:textId="77777777">
            <w:pPr>
              <w:pStyle w:val="EMEANormal"/>
              <w:keepNext/>
              <w:widowControl w:val="0"/>
              <w:spacing w:before="60"/>
              <w:rPr>
                <w:del w:id="1333" w:author="AbbVie14" w:date="2025-05-09T10:29:00Z"/>
                <w:lang w:val="it-IT"/>
              </w:rPr>
            </w:pPr>
            <w:del w:id="1334" w:author="AbbVie14" w:date="2025-05-09T10:29:00Z">
              <w:r w:rsidRPr="00295E71">
                <w:rPr>
                  <w:lang w:val="it-IT"/>
                </w:rPr>
                <w:delText xml:space="preserve"> insonnia</w:delText>
              </w:r>
            </w:del>
          </w:p>
        </w:tc>
      </w:tr>
      <w:tr w14:paraId="1CE99215" w14:textId="77777777" w:rsidTr="00C04163">
        <w:tblPrEx>
          <w:tblW w:w="0" w:type="auto"/>
          <w:tblLook w:val="01E0"/>
        </w:tblPrEx>
        <w:trPr>
          <w:cantSplit/>
          <w:del w:id="1335" w:author="AbbVie14" w:date="2025-05-09T10:29:00Z"/>
        </w:trPr>
        <w:tc>
          <w:tcPr>
            <w:tcW w:w="2559" w:type="dxa"/>
            <w:vMerge w:val="restart"/>
          </w:tcPr>
          <w:p w:rsidR="00C04163" w:rsidRPr="00295E71" w:rsidP="00035AC5" w14:paraId="4CC70CD3" w14:textId="77777777">
            <w:pPr>
              <w:pStyle w:val="EMEANormal"/>
              <w:widowControl w:val="0"/>
              <w:spacing w:before="60"/>
              <w:rPr>
                <w:del w:id="1336" w:author="AbbVie14" w:date="2025-05-09T10:29:00Z"/>
                <w:lang w:val="it-IT"/>
              </w:rPr>
            </w:pPr>
            <w:del w:id="1337" w:author="AbbVie14" w:date="2025-05-09T10:29:00Z">
              <w:r w:rsidRPr="00295E71">
                <w:rPr>
                  <w:lang w:val="it-IT"/>
                </w:rPr>
                <w:delText>Patologie del sistema nervoso*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B43DA6A" w14:textId="77777777">
            <w:pPr>
              <w:pStyle w:val="EMEANormal"/>
              <w:keepNext/>
              <w:widowControl w:val="0"/>
              <w:spacing w:before="60"/>
              <w:rPr>
                <w:del w:id="1338" w:author="AbbVie14" w:date="2025-05-09T10:29:00Z"/>
                <w:lang w:val="it-IT"/>
              </w:rPr>
            </w:pPr>
            <w:del w:id="1339" w:author="AbbVie14" w:date="2025-05-09T10:29:00Z">
              <w:r w:rsidRPr="00295E71">
                <w:rPr>
                  <w:lang w:val="it-IT"/>
                </w:rPr>
                <w:delText>Molto comune</w:delText>
              </w:r>
            </w:del>
          </w:p>
          <w:p w:rsidR="00C04163" w:rsidRPr="00295E71" w:rsidP="00C04163" w14:paraId="451ECD3B" w14:textId="77777777">
            <w:pPr>
              <w:pStyle w:val="EMEANormal"/>
              <w:keepNext/>
              <w:widowControl w:val="0"/>
              <w:spacing w:before="60"/>
              <w:rPr>
                <w:del w:id="1340"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9B4172A" w14:textId="77777777">
            <w:pPr>
              <w:pStyle w:val="EMEANormal"/>
              <w:keepNext/>
              <w:widowControl w:val="0"/>
              <w:spacing w:before="60"/>
              <w:rPr>
                <w:del w:id="1341" w:author="AbbVie14" w:date="2025-05-09T10:29:00Z"/>
                <w:lang w:val="it-IT"/>
              </w:rPr>
            </w:pPr>
            <w:del w:id="1342" w:author="AbbVie14" w:date="2025-05-09T10:29:00Z">
              <w:r w:rsidRPr="00295E71">
                <w:rPr>
                  <w:lang w:val="it-IT"/>
                </w:rPr>
                <w:delText>Cefalea</w:delText>
              </w:r>
            </w:del>
          </w:p>
        </w:tc>
      </w:tr>
      <w:tr w14:paraId="07C1DBA1" w14:textId="77777777" w:rsidTr="00C04163">
        <w:tblPrEx>
          <w:tblW w:w="0" w:type="auto"/>
          <w:tblLook w:val="01E0"/>
        </w:tblPrEx>
        <w:trPr>
          <w:cantSplit/>
          <w:del w:id="1343" w:author="AbbVie14" w:date="2025-05-09T10:29:00Z"/>
        </w:trPr>
        <w:tc>
          <w:tcPr>
            <w:tcW w:w="2559" w:type="dxa"/>
            <w:vMerge/>
          </w:tcPr>
          <w:p w:rsidR="00C04163" w:rsidRPr="00295E71" w:rsidP="00035AC5" w14:paraId="4795F1B7" w14:textId="77777777">
            <w:pPr>
              <w:pStyle w:val="EMEANormal"/>
              <w:widowControl w:val="0"/>
              <w:spacing w:before="60"/>
              <w:rPr>
                <w:del w:id="1344"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5E66DB43" w14:textId="77777777">
            <w:pPr>
              <w:pStyle w:val="EMEANormal"/>
              <w:keepNext/>
              <w:widowControl w:val="0"/>
              <w:spacing w:before="60"/>
              <w:rPr>
                <w:del w:id="1345" w:author="AbbVie14" w:date="2025-05-09T10:29:00Z"/>
                <w:lang w:val="it-IT"/>
              </w:rPr>
            </w:pPr>
            <w:del w:id="1346" w:author="AbbVie14" w:date="2025-05-09T10:29:00Z">
              <w:r w:rsidRPr="00295E71">
                <w:rPr>
                  <w:lang w:val="it-IT"/>
                </w:rPr>
                <w:delText>Comune</w:delText>
              </w:r>
            </w:del>
          </w:p>
          <w:p w:rsidR="00C04163" w:rsidRPr="00295E71" w:rsidP="00C04163" w14:paraId="2AF674C1" w14:textId="77777777">
            <w:pPr>
              <w:pStyle w:val="EMEANormal"/>
              <w:keepNext/>
              <w:widowControl w:val="0"/>
              <w:spacing w:before="60"/>
              <w:rPr>
                <w:del w:id="1347"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BE9DAAB" w14:textId="77777777">
            <w:pPr>
              <w:pStyle w:val="EMEANormal"/>
              <w:keepNext/>
              <w:widowControl w:val="0"/>
              <w:spacing w:before="60"/>
              <w:rPr>
                <w:del w:id="1348" w:author="AbbVie14" w:date="2025-05-09T10:29:00Z"/>
                <w:lang w:val="it-IT"/>
              </w:rPr>
            </w:pPr>
            <w:del w:id="1349" w:author="AbbVie14" w:date="2025-05-09T10:29:00Z">
              <w:r w:rsidRPr="00295E71">
                <w:rPr>
                  <w:lang w:val="it-IT"/>
                </w:rPr>
                <w:delText>Parestesia (tra cui ipoestesia),</w:delText>
              </w:r>
            </w:del>
          </w:p>
          <w:p w:rsidR="00C04163" w:rsidRPr="00295E71" w:rsidP="00C04163" w14:paraId="6576A1B1" w14:textId="77777777">
            <w:pPr>
              <w:pStyle w:val="EMEANormal"/>
              <w:keepNext/>
              <w:widowControl w:val="0"/>
              <w:spacing w:before="60"/>
              <w:rPr>
                <w:del w:id="1350" w:author="AbbVie14" w:date="2025-05-09T10:29:00Z"/>
                <w:lang w:val="it-IT"/>
              </w:rPr>
            </w:pPr>
            <w:del w:id="1351" w:author="AbbVie14" w:date="2025-05-09T10:29:00Z">
              <w:r w:rsidRPr="00295E71">
                <w:rPr>
                  <w:lang w:val="it-IT"/>
                </w:rPr>
                <w:delText>emicrania,</w:delText>
              </w:r>
            </w:del>
          </w:p>
          <w:p w:rsidR="00C04163" w:rsidRPr="00295E71" w:rsidP="00C04163" w14:paraId="1325FFC2" w14:textId="77777777">
            <w:pPr>
              <w:pStyle w:val="EMEANormal"/>
              <w:keepNext/>
              <w:widowControl w:val="0"/>
              <w:spacing w:before="60"/>
              <w:rPr>
                <w:del w:id="1352" w:author="AbbVie14" w:date="2025-05-09T10:29:00Z"/>
                <w:lang w:val="it-IT"/>
              </w:rPr>
            </w:pPr>
            <w:del w:id="1353" w:author="AbbVie14" w:date="2025-05-09T10:29:00Z">
              <w:r w:rsidRPr="00295E71">
                <w:rPr>
                  <w:lang w:val="it-IT"/>
                </w:rPr>
                <w:delText>compressione di radice nervosa</w:delText>
              </w:r>
            </w:del>
          </w:p>
          <w:p w:rsidR="00C04163" w:rsidRPr="00295E71" w:rsidP="00C04163" w14:paraId="33D18401" w14:textId="77777777">
            <w:pPr>
              <w:pStyle w:val="EMEANormal"/>
              <w:keepNext/>
              <w:widowControl w:val="0"/>
              <w:spacing w:before="60"/>
              <w:rPr>
                <w:del w:id="1354" w:author="AbbVie14" w:date="2025-05-09T10:29:00Z"/>
                <w:lang w:val="it-IT"/>
              </w:rPr>
            </w:pPr>
          </w:p>
        </w:tc>
      </w:tr>
      <w:tr w14:paraId="0BE6414C" w14:textId="77777777" w:rsidTr="00C04163">
        <w:tblPrEx>
          <w:tblW w:w="0" w:type="auto"/>
          <w:tblLook w:val="01E0"/>
        </w:tblPrEx>
        <w:trPr>
          <w:cantSplit/>
          <w:del w:id="1355" w:author="AbbVie14" w:date="2025-05-09T10:29:00Z"/>
        </w:trPr>
        <w:tc>
          <w:tcPr>
            <w:tcW w:w="2559" w:type="dxa"/>
            <w:vMerge/>
          </w:tcPr>
          <w:p w:rsidR="00C04163" w:rsidRPr="00295E71" w:rsidP="00035AC5" w14:paraId="33136AFC" w14:textId="77777777">
            <w:pPr>
              <w:widowControl w:val="0"/>
              <w:spacing w:before="60"/>
              <w:jc w:val="center"/>
              <w:rPr>
                <w:del w:id="1356"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AFC0191" w14:textId="77777777">
            <w:pPr>
              <w:pStyle w:val="EMEANormal"/>
              <w:keepNext/>
              <w:widowControl w:val="0"/>
              <w:spacing w:before="60"/>
              <w:rPr>
                <w:del w:id="1357" w:author="AbbVie14" w:date="2025-05-09T10:29:00Z"/>
                <w:lang w:val="it-IT"/>
              </w:rPr>
            </w:pPr>
            <w:del w:id="1358" w:author="AbbVie14" w:date="2025-05-09T10:29:00Z">
              <w:r w:rsidRPr="00295E71">
                <w:rPr>
                  <w:lang w:val="it-IT"/>
                </w:rPr>
                <w:delText>Non comune</w:delText>
              </w:r>
            </w:del>
          </w:p>
          <w:p w:rsidR="00C04163" w:rsidRPr="00295E71" w:rsidP="00C04163" w14:paraId="00D4DE1D" w14:textId="77777777">
            <w:pPr>
              <w:pStyle w:val="EMEANormal"/>
              <w:keepNext/>
              <w:widowControl w:val="0"/>
              <w:spacing w:before="60"/>
              <w:rPr>
                <w:del w:id="1359"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159A820" w14:textId="77777777">
            <w:pPr>
              <w:pStyle w:val="EMEANormal"/>
              <w:keepNext/>
              <w:widowControl w:val="0"/>
              <w:spacing w:before="60"/>
              <w:rPr>
                <w:del w:id="1360" w:author="AbbVie14" w:date="2025-05-09T10:29:00Z"/>
                <w:lang w:val="it-IT"/>
              </w:rPr>
            </w:pPr>
            <w:del w:id="1361" w:author="AbbVie14" w:date="2025-05-09T10:29:00Z">
              <w:r w:rsidRPr="00295E71">
                <w:rPr>
                  <w:lang w:val="it-IT"/>
                </w:rPr>
                <w:delText>Accidente cerebrovascolare</w:delText>
              </w:r>
            </w:del>
            <w:del w:id="1362" w:author="AbbVie14" w:date="2025-05-09T10:29:00Z">
              <w:r w:rsidRPr="00C04163">
                <w:rPr>
                  <w:lang w:val="it-IT"/>
                </w:rPr>
                <w:delText>1)</w:delText>
              </w:r>
            </w:del>
            <w:del w:id="1363" w:author="AbbVie14" w:date="2025-05-09T10:29:00Z">
              <w:r w:rsidRPr="00295E71">
                <w:rPr>
                  <w:lang w:val="it-IT"/>
                </w:rPr>
                <w:delText xml:space="preserve">, </w:delText>
              </w:r>
            </w:del>
          </w:p>
          <w:p w:rsidR="00C04163" w:rsidRPr="00295E71" w:rsidP="00C04163" w14:paraId="67937FD5" w14:textId="77777777">
            <w:pPr>
              <w:pStyle w:val="EMEANormal"/>
              <w:keepNext/>
              <w:widowControl w:val="0"/>
              <w:spacing w:before="60"/>
              <w:rPr>
                <w:del w:id="1364" w:author="AbbVie14" w:date="2025-05-09T10:29:00Z"/>
                <w:lang w:val="it-IT"/>
              </w:rPr>
            </w:pPr>
            <w:del w:id="1365" w:author="AbbVie14" w:date="2025-05-09T10:29:00Z">
              <w:r w:rsidRPr="00295E71">
                <w:rPr>
                  <w:lang w:val="it-IT"/>
                </w:rPr>
                <w:delText>tremore,</w:delText>
              </w:r>
            </w:del>
          </w:p>
          <w:p w:rsidR="00C04163" w:rsidRPr="00295E71" w:rsidP="00C04163" w14:paraId="209BFA2A" w14:textId="77777777">
            <w:pPr>
              <w:pStyle w:val="EMEANormal"/>
              <w:keepNext/>
              <w:widowControl w:val="0"/>
              <w:spacing w:before="60"/>
              <w:rPr>
                <w:del w:id="1366" w:author="AbbVie14" w:date="2025-05-09T10:29:00Z"/>
                <w:lang w:val="it-IT"/>
              </w:rPr>
            </w:pPr>
            <w:del w:id="1367" w:author="AbbVie14" w:date="2025-05-09T10:29:00Z">
              <w:r w:rsidRPr="00295E71">
                <w:rPr>
                  <w:lang w:val="it-IT"/>
                </w:rPr>
                <w:delText xml:space="preserve">neuropatia </w:delText>
              </w:r>
            </w:del>
          </w:p>
          <w:p w:rsidR="00C04163" w:rsidRPr="00295E71" w:rsidP="00C04163" w14:paraId="1AD8D814" w14:textId="77777777">
            <w:pPr>
              <w:pStyle w:val="EMEANormal"/>
              <w:keepNext/>
              <w:widowControl w:val="0"/>
              <w:spacing w:before="60"/>
              <w:rPr>
                <w:del w:id="1368" w:author="AbbVie14" w:date="2025-05-09T10:29:00Z"/>
                <w:lang w:val="it-IT"/>
              </w:rPr>
            </w:pPr>
          </w:p>
        </w:tc>
      </w:tr>
      <w:tr w14:paraId="6970A2D8" w14:textId="77777777" w:rsidTr="00C04163">
        <w:tblPrEx>
          <w:tblW w:w="0" w:type="auto"/>
          <w:tblLook w:val="01E0"/>
        </w:tblPrEx>
        <w:trPr>
          <w:cantSplit/>
          <w:del w:id="1369" w:author="AbbVie14" w:date="2025-05-09T10:29:00Z"/>
        </w:trPr>
        <w:tc>
          <w:tcPr>
            <w:tcW w:w="2559" w:type="dxa"/>
            <w:vMerge/>
          </w:tcPr>
          <w:p w:rsidR="00C04163" w:rsidRPr="00295E71" w:rsidP="00035AC5" w14:paraId="1B63C5C5" w14:textId="77777777">
            <w:pPr>
              <w:widowControl w:val="0"/>
              <w:spacing w:before="60"/>
              <w:jc w:val="center"/>
              <w:rPr>
                <w:del w:id="1370"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5DA6E324" w14:textId="77777777">
            <w:pPr>
              <w:pStyle w:val="EMEANormal"/>
              <w:keepNext/>
              <w:widowControl w:val="0"/>
              <w:spacing w:before="60"/>
              <w:rPr>
                <w:del w:id="1371" w:author="AbbVie14" w:date="2025-05-09T10:29:00Z"/>
                <w:lang w:val="it-IT"/>
              </w:rPr>
            </w:pPr>
            <w:del w:id="1372" w:author="AbbVie14" w:date="2025-05-09T10:29:00Z">
              <w:r w:rsidRPr="00295E71">
                <w:rPr>
                  <w:lang w:val="it-IT"/>
                </w:rPr>
                <w:delText>Raro</w:delText>
              </w:r>
            </w:del>
          </w:p>
          <w:p w:rsidR="00C04163" w:rsidRPr="00295E71" w:rsidP="00C04163" w14:paraId="6664CE57" w14:textId="77777777">
            <w:pPr>
              <w:pStyle w:val="EMEANormal"/>
              <w:keepNext/>
              <w:widowControl w:val="0"/>
              <w:spacing w:before="60"/>
              <w:rPr>
                <w:del w:id="1373"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44CDFE2" w14:textId="77777777">
            <w:pPr>
              <w:pStyle w:val="EMEANormal"/>
              <w:keepNext/>
              <w:widowControl w:val="0"/>
              <w:spacing w:before="60"/>
              <w:rPr>
                <w:del w:id="1374" w:author="AbbVie14" w:date="2025-05-09T10:29:00Z"/>
                <w:lang w:val="it-IT"/>
              </w:rPr>
            </w:pPr>
            <w:del w:id="1375" w:author="AbbVie14" w:date="2025-05-09T10:29:00Z">
              <w:r w:rsidRPr="00295E71">
                <w:rPr>
                  <w:lang w:val="it-IT"/>
                </w:rPr>
                <w:delText>Sclerosi multipla</w:delText>
              </w:r>
            </w:del>
            <w:del w:id="1376" w:author="AbbVie14" w:date="2025-05-09T10:29:00Z">
              <w:r>
                <w:rPr>
                  <w:lang w:val="it-IT"/>
                </w:rPr>
                <w:delText>,</w:delText>
              </w:r>
            </w:del>
          </w:p>
          <w:p w:rsidR="00C04163" w:rsidRPr="00C04163" w:rsidP="00C04163" w14:paraId="5435B9BE" w14:textId="77777777">
            <w:pPr>
              <w:pStyle w:val="EMEANormal"/>
              <w:keepNext/>
              <w:widowControl w:val="0"/>
              <w:spacing w:before="60"/>
              <w:rPr>
                <w:del w:id="1377" w:author="AbbVie14" w:date="2025-05-09T10:29:00Z"/>
                <w:lang w:val="it-IT"/>
              </w:rPr>
            </w:pPr>
            <w:del w:id="1378" w:author="AbbVie14" w:date="2025-05-09T10:29:00Z">
              <w:r w:rsidRPr="00295E71">
                <w:rPr>
                  <w:lang w:val="it-IT"/>
                </w:rPr>
                <w:delText>disturbi demielinizzanti (e.s. neurite ottica, sindrome di Guillain-Barré)</w:delText>
              </w:r>
            </w:del>
            <w:del w:id="1379" w:author="AbbVie14" w:date="2025-05-09T10:29:00Z">
              <w:r w:rsidRPr="00C04163">
                <w:rPr>
                  <w:lang w:val="it-IT"/>
                </w:rPr>
                <w:delText xml:space="preserve"> 1)</w:delText>
              </w:r>
            </w:del>
          </w:p>
          <w:p w:rsidR="00C04163" w:rsidRPr="00295E71" w:rsidP="00C04163" w14:paraId="2C23834B" w14:textId="77777777">
            <w:pPr>
              <w:pStyle w:val="EMEANormal"/>
              <w:keepNext/>
              <w:widowControl w:val="0"/>
              <w:spacing w:before="60"/>
              <w:rPr>
                <w:del w:id="1380" w:author="AbbVie14" w:date="2025-05-09T10:29:00Z"/>
                <w:lang w:val="it-IT"/>
              </w:rPr>
            </w:pPr>
          </w:p>
        </w:tc>
      </w:tr>
      <w:tr w14:paraId="0F43F979" w14:textId="77777777" w:rsidTr="00C04163">
        <w:tblPrEx>
          <w:tblW w:w="0" w:type="auto"/>
          <w:tblLook w:val="01E0"/>
        </w:tblPrEx>
        <w:trPr>
          <w:cantSplit/>
          <w:del w:id="1381" w:author="AbbVie14" w:date="2025-05-09T10:29:00Z"/>
        </w:trPr>
        <w:tc>
          <w:tcPr>
            <w:tcW w:w="2559" w:type="dxa"/>
            <w:vMerge w:val="restart"/>
          </w:tcPr>
          <w:p w:rsidR="00C04163" w:rsidRPr="00295E71" w:rsidP="00035AC5" w14:paraId="21242711" w14:textId="77777777">
            <w:pPr>
              <w:pStyle w:val="EMEANormal"/>
              <w:widowControl w:val="0"/>
              <w:spacing w:before="60"/>
              <w:rPr>
                <w:del w:id="1382" w:author="AbbVie14" w:date="2025-05-09T10:29:00Z"/>
                <w:lang w:val="it-IT"/>
              </w:rPr>
            </w:pPr>
            <w:del w:id="1383" w:author="AbbVie14" w:date="2025-05-09T10:29:00Z">
              <w:r w:rsidRPr="00295E71">
                <w:rPr>
                  <w:lang w:val="it-IT"/>
                </w:rPr>
                <w:delText>Patologie dell’occhio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2FB6E8D" w14:textId="77777777">
            <w:pPr>
              <w:pStyle w:val="EMEANormal"/>
              <w:keepNext/>
              <w:widowControl w:val="0"/>
              <w:spacing w:before="60"/>
              <w:rPr>
                <w:del w:id="1384" w:author="AbbVie14" w:date="2025-05-09T10:29:00Z"/>
                <w:lang w:val="it-IT"/>
              </w:rPr>
            </w:pPr>
            <w:del w:id="1385" w:author="AbbVie14" w:date="2025-05-09T10:29:00Z">
              <w:r w:rsidRPr="00295E71">
                <w:rPr>
                  <w:lang w:val="it-IT"/>
                </w:rPr>
                <w:delText>Comune</w:delText>
              </w:r>
            </w:del>
          </w:p>
          <w:p w:rsidR="00C04163" w:rsidRPr="00295E71" w:rsidP="00C04163" w14:paraId="02CCD39E" w14:textId="77777777">
            <w:pPr>
              <w:pStyle w:val="EMEANormal"/>
              <w:keepNext/>
              <w:widowControl w:val="0"/>
              <w:spacing w:before="60"/>
              <w:rPr>
                <w:del w:id="1386"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6DF1751" w14:textId="77777777">
            <w:pPr>
              <w:pStyle w:val="EMEANormal"/>
              <w:keepNext/>
              <w:widowControl w:val="0"/>
              <w:spacing w:before="60"/>
              <w:rPr>
                <w:del w:id="1387" w:author="AbbVie14" w:date="2025-05-09T10:29:00Z"/>
                <w:lang w:val="it-IT"/>
              </w:rPr>
            </w:pPr>
            <w:del w:id="1388" w:author="AbbVie14" w:date="2025-05-09T10:29:00Z">
              <w:r w:rsidRPr="00295E71">
                <w:rPr>
                  <w:lang w:val="it-IT"/>
                </w:rPr>
                <w:delText>Disturbi visivi,</w:delText>
              </w:r>
            </w:del>
          </w:p>
          <w:p w:rsidR="00C04163" w:rsidRPr="00295E71" w:rsidP="00C04163" w14:paraId="378E2A68" w14:textId="77777777">
            <w:pPr>
              <w:pStyle w:val="EMEANormal"/>
              <w:keepNext/>
              <w:widowControl w:val="0"/>
              <w:spacing w:before="60"/>
              <w:rPr>
                <w:del w:id="1389" w:author="AbbVie14" w:date="2025-05-09T10:29:00Z"/>
                <w:lang w:val="it-IT"/>
              </w:rPr>
            </w:pPr>
            <w:del w:id="1390" w:author="AbbVie14" w:date="2025-05-09T10:29:00Z">
              <w:r w:rsidRPr="00295E71">
                <w:rPr>
                  <w:lang w:val="it-IT"/>
                </w:rPr>
                <w:delText>congiuntivit</w:delText>
              </w:r>
            </w:del>
            <w:del w:id="1391" w:author="AbbVie14" w:date="2025-05-09T10:29:00Z">
              <w:r>
                <w:rPr>
                  <w:lang w:val="it-IT"/>
                </w:rPr>
                <w:delText>e</w:delText>
              </w:r>
            </w:del>
            <w:del w:id="1392" w:author="AbbVie14" w:date="2025-05-09T10:29:00Z">
              <w:r w:rsidRPr="00295E71">
                <w:rPr>
                  <w:lang w:val="it-IT"/>
                </w:rPr>
                <w:delText>,</w:delText>
              </w:r>
            </w:del>
          </w:p>
          <w:p w:rsidR="00C04163" w:rsidRPr="00295E71" w:rsidP="00C04163" w14:paraId="63FD9B89" w14:textId="77777777">
            <w:pPr>
              <w:pStyle w:val="EMEANormal"/>
              <w:keepNext/>
              <w:widowControl w:val="0"/>
              <w:spacing w:before="60"/>
              <w:rPr>
                <w:del w:id="1393" w:author="AbbVie14" w:date="2025-05-09T10:29:00Z"/>
                <w:lang w:val="it-IT"/>
              </w:rPr>
            </w:pPr>
            <w:del w:id="1394" w:author="AbbVie14" w:date="2025-05-09T10:29:00Z">
              <w:r w:rsidRPr="00295E71">
                <w:rPr>
                  <w:lang w:val="it-IT"/>
                </w:rPr>
                <w:delText>blefarite,</w:delText>
              </w:r>
            </w:del>
          </w:p>
          <w:p w:rsidR="00C04163" w:rsidRPr="00295E71" w:rsidP="00C04163" w14:paraId="1344B089" w14:textId="77777777">
            <w:pPr>
              <w:pStyle w:val="EMEANormal"/>
              <w:keepNext/>
              <w:widowControl w:val="0"/>
              <w:spacing w:before="60"/>
              <w:rPr>
                <w:del w:id="1395" w:author="AbbVie14" w:date="2025-05-09T10:29:00Z"/>
                <w:lang w:val="it-IT"/>
              </w:rPr>
            </w:pPr>
            <w:del w:id="1396" w:author="AbbVie14" w:date="2025-05-09T10:29:00Z">
              <w:r w:rsidRPr="00295E71">
                <w:rPr>
                  <w:lang w:val="it-IT"/>
                </w:rPr>
                <w:delText>edema periorbitale</w:delText>
              </w:r>
            </w:del>
          </w:p>
          <w:p w:rsidR="00C04163" w:rsidRPr="00295E71" w:rsidP="00C04163" w14:paraId="4D354279" w14:textId="77777777">
            <w:pPr>
              <w:pStyle w:val="EMEANormal"/>
              <w:keepNext/>
              <w:widowControl w:val="0"/>
              <w:spacing w:before="60"/>
              <w:rPr>
                <w:del w:id="1397" w:author="AbbVie14" w:date="2025-05-09T10:29:00Z"/>
                <w:lang w:val="it-IT"/>
              </w:rPr>
            </w:pPr>
          </w:p>
        </w:tc>
      </w:tr>
      <w:tr w14:paraId="20060128" w14:textId="77777777" w:rsidTr="00C04163">
        <w:tblPrEx>
          <w:tblW w:w="0" w:type="auto"/>
          <w:tblLook w:val="01E0"/>
        </w:tblPrEx>
        <w:trPr>
          <w:cantSplit/>
          <w:del w:id="1398" w:author="AbbVie14" w:date="2025-05-09T10:29:00Z"/>
        </w:trPr>
        <w:tc>
          <w:tcPr>
            <w:tcW w:w="2559" w:type="dxa"/>
            <w:vMerge/>
          </w:tcPr>
          <w:p w:rsidR="00C04163" w:rsidRPr="00295E71" w:rsidP="00035AC5" w14:paraId="3DC63E72" w14:textId="77777777">
            <w:pPr>
              <w:widowControl w:val="0"/>
              <w:spacing w:before="60"/>
              <w:jc w:val="center"/>
              <w:rPr>
                <w:del w:id="1399"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9566AAF" w14:textId="77777777">
            <w:pPr>
              <w:pStyle w:val="EMEANormal"/>
              <w:keepNext/>
              <w:widowControl w:val="0"/>
              <w:spacing w:before="60"/>
              <w:rPr>
                <w:del w:id="1400" w:author="AbbVie14" w:date="2025-05-09T10:29:00Z"/>
                <w:lang w:val="it-IT"/>
              </w:rPr>
            </w:pPr>
            <w:del w:id="1401" w:author="AbbVie14" w:date="2025-05-09T10:29: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347C286" w14:textId="77777777">
            <w:pPr>
              <w:pStyle w:val="EMEANormal"/>
              <w:keepNext/>
              <w:widowControl w:val="0"/>
              <w:spacing w:before="60"/>
              <w:rPr>
                <w:del w:id="1402" w:author="AbbVie14" w:date="2025-05-09T10:29:00Z"/>
                <w:lang w:val="it-IT"/>
              </w:rPr>
            </w:pPr>
            <w:del w:id="1403" w:author="AbbVie14" w:date="2025-05-09T10:29:00Z">
              <w:r w:rsidRPr="00295E71">
                <w:rPr>
                  <w:lang w:val="it-IT"/>
                </w:rPr>
                <w:delText>Diplopia</w:delText>
              </w:r>
            </w:del>
          </w:p>
          <w:p w:rsidR="00C04163" w:rsidRPr="00295E71" w:rsidP="00C04163" w14:paraId="72FE4766" w14:textId="77777777">
            <w:pPr>
              <w:pStyle w:val="EMEANormal"/>
              <w:keepNext/>
              <w:widowControl w:val="0"/>
              <w:spacing w:before="60"/>
              <w:rPr>
                <w:del w:id="1404" w:author="AbbVie14" w:date="2025-05-09T10:29:00Z"/>
                <w:lang w:val="it-IT"/>
              </w:rPr>
            </w:pPr>
          </w:p>
        </w:tc>
      </w:tr>
      <w:tr w14:paraId="5E0D04DF" w14:textId="77777777" w:rsidTr="00C04163">
        <w:tblPrEx>
          <w:tblW w:w="0" w:type="auto"/>
          <w:tblLook w:val="01E0"/>
        </w:tblPrEx>
        <w:trPr>
          <w:cantSplit/>
          <w:del w:id="1405" w:author="AbbVie14" w:date="2025-05-09T10:29:00Z"/>
        </w:trPr>
        <w:tc>
          <w:tcPr>
            <w:tcW w:w="2559" w:type="dxa"/>
            <w:vMerge w:val="restart"/>
          </w:tcPr>
          <w:p w:rsidR="00C04163" w:rsidRPr="00295E71" w:rsidP="00035AC5" w14:paraId="216711B5" w14:textId="77777777">
            <w:pPr>
              <w:pStyle w:val="EMEANormal"/>
              <w:widowControl w:val="0"/>
              <w:spacing w:before="60"/>
              <w:rPr>
                <w:del w:id="1406" w:author="AbbVie14" w:date="2025-05-09T10:29:00Z"/>
                <w:lang w:val="it-IT"/>
              </w:rPr>
            </w:pPr>
            <w:del w:id="1407" w:author="AbbVie14" w:date="2025-05-09T10:29:00Z">
              <w:r w:rsidRPr="00295E71">
                <w:rPr>
                  <w:lang w:val="it-IT"/>
                </w:rPr>
                <w:delText xml:space="preserve">Patologie dell’orecchio e del labirinto </w:delText>
              </w:r>
            </w:del>
          </w:p>
          <w:p w:rsidR="00C04163" w:rsidRPr="00295E71" w:rsidP="00035AC5" w14:paraId="0A1F0CBF" w14:textId="77777777">
            <w:pPr>
              <w:pStyle w:val="EMEANormal"/>
              <w:widowControl w:val="0"/>
              <w:spacing w:before="60"/>
              <w:rPr>
                <w:del w:id="1408"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438B382" w14:textId="77777777">
            <w:pPr>
              <w:pStyle w:val="EMEANormal"/>
              <w:keepNext/>
              <w:widowControl w:val="0"/>
              <w:spacing w:before="60"/>
              <w:rPr>
                <w:del w:id="1409" w:author="AbbVie14" w:date="2025-05-09T10:29:00Z"/>
                <w:lang w:val="it-IT"/>
              </w:rPr>
            </w:pPr>
            <w:del w:id="1410" w:author="AbbVie14" w:date="2025-05-09T10:29:00Z">
              <w:r w:rsidRPr="00295E71">
                <w:rPr>
                  <w:lang w:val="it-IT"/>
                </w:rPr>
                <w:delText>Comune</w:delText>
              </w:r>
            </w:del>
          </w:p>
          <w:p w:rsidR="00C04163" w:rsidRPr="00295E71" w:rsidP="00C04163" w14:paraId="6E4B5DF0" w14:textId="77777777">
            <w:pPr>
              <w:pStyle w:val="EMEANormal"/>
              <w:keepNext/>
              <w:widowControl w:val="0"/>
              <w:spacing w:before="60"/>
              <w:rPr>
                <w:del w:id="1411"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C5FA69D" w14:textId="77777777">
            <w:pPr>
              <w:pStyle w:val="EMEANormal"/>
              <w:keepNext/>
              <w:widowControl w:val="0"/>
              <w:spacing w:before="60"/>
              <w:rPr>
                <w:del w:id="1412" w:author="AbbVie14" w:date="2025-05-09T10:29:00Z"/>
                <w:lang w:val="it-IT"/>
              </w:rPr>
            </w:pPr>
            <w:del w:id="1413" w:author="AbbVie14" w:date="2025-05-09T10:29:00Z">
              <w:r w:rsidRPr="00295E71">
                <w:rPr>
                  <w:lang w:val="it-IT"/>
                </w:rPr>
                <w:delText>Vertigini</w:delText>
              </w:r>
            </w:del>
          </w:p>
          <w:p w:rsidR="00C04163" w:rsidRPr="00295E71" w:rsidP="00C04163" w14:paraId="5C87BA90" w14:textId="77777777">
            <w:pPr>
              <w:pStyle w:val="EMEANormal"/>
              <w:keepNext/>
              <w:widowControl w:val="0"/>
              <w:spacing w:before="60"/>
              <w:rPr>
                <w:del w:id="1414" w:author="AbbVie14" w:date="2025-05-09T10:29:00Z"/>
                <w:lang w:val="it-IT"/>
              </w:rPr>
            </w:pPr>
          </w:p>
        </w:tc>
      </w:tr>
      <w:tr w14:paraId="5F68C7C2" w14:textId="77777777" w:rsidTr="00C04163">
        <w:tblPrEx>
          <w:tblW w:w="0" w:type="auto"/>
          <w:tblLook w:val="01E0"/>
        </w:tblPrEx>
        <w:trPr>
          <w:cantSplit/>
          <w:del w:id="1415" w:author="AbbVie14" w:date="2025-05-09T10:29:00Z"/>
        </w:trPr>
        <w:tc>
          <w:tcPr>
            <w:tcW w:w="2559" w:type="dxa"/>
            <w:vMerge/>
          </w:tcPr>
          <w:p w:rsidR="00C04163" w:rsidRPr="00295E71" w:rsidP="00035AC5" w14:paraId="3480C1B1" w14:textId="77777777">
            <w:pPr>
              <w:widowControl w:val="0"/>
              <w:spacing w:before="60"/>
              <w:jc w:val="center"/>
              <w:rPr>
                <w:del w:id="1416"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A93859B" w14:textId="77777777">
            <w:pPr>
              <w:pStyle w:val="EMEANormal"/>
              <w:keepNext/>
              <w:widowControl w:val="0"/>
              <w:spacing w:before="60"/>
              <w:rPr>
                <w:del w:id="1417" w:author="AbbVie14" w:date="2025-05-09T10:29:00Z"/>
                <w:lang w:val="it-IT"/>
              </w:rPr>
            </w:pPr>
            <w:del w:id="1418" w:author="AbbVie14" w:date="2025-05-09T10:29:00Z">
              <w:r w:rsidRPr="00295E71">
                <w:rPr>
                  <w:lang w:val="it-IT"/>
                </w:rPr>
                <w:delText>Non comune</w:delText>
              </w:r>
            </w:del>
          </w:p>
          <w:p w:rsidR="00C04163" w:rsidRPr="00295E71" w:rsidP="00C04163" w14:paraId="18797124" w14:textId="77777777">
            <w:pPr>
              <w:pStyle w:val="EMEANormal"/>
              <w:keepNext/>
              <w:widowControl w:val="0"/>
              <w:spacing w:before="60"/>
              <w:rPr>
                <w:del w:id="1419"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5F61FCA" w14:textId="77777777">
            <w:pPr>
              <w:pStyle w:val="EMEANormal"/>
              <w:keepNext/>
              <w:widowControl w:val="0"/>
              <w:spacing w:before="60"/>
              <w:rPr>
                <w:del w:id="1420" w:author="AbbVie14" w:date="2025-05-09T10:29:00Z"/>
                <w:lang w:val="it-IT"/>
              </w:rPr>
            </w:pPr>
            <w:del w:id="1421" w:author="AbbVie14" w:date="2025-05-09T10:29:00Z">
              <w:r w:rsidRPr="00295E71">
                <w:rPr>
                  <w:lang w:val="it-IT"/>
                </w:rPr>
                <w:delText xml:space="preserve">Perdita dell’udito, </w:delText>
              </w:r>
            </w:del>
          </w:p>
          <w:p w:rsidR="00C04163" w:rsidRPr="00295E71" w:rsidP="00C04163" w14:paraId="4E2E3437" w14:textId="77777777">
            <w:pPr>
              <w:pStyle w:val="EMEANormal"/>
              <w:keepNext/>
              <w:widowControl w:val="0"/>
              <w:spacing w:before="60"/>
              <w:rPr>
                <w:del w:id="1422" w:author="AbbVie14" w:date="2025-05-09T10:29:00Z"/>
                <w:lang w:val="it-IT"/>
              </w:rPr>
            </w:pPr>
            <w:del w:id="1423" w:author="AbbVie14" w:date="2025-05-09T10:29:00Z">
              <w:r w:rsidRPr="00295E71">
                <w:rPr>
                  <w:lang w:val="it-IT"/>
                </w:rPr>
                <w:delText>tinnito</w:delText>
              </w:r>
            </w:del>
          </w:p>
          <w:p w:rsidR="00C04163" w:rsidRPr="00295E71" w:rsidP="00C04163" w14:paraId="5D9605C9" w14:textId="77777777">
            <w:pPr>
              <w:pStyle w:val="EMEANormal"/>
              <w:keepNext/>
              <w:widowControl w:val="0"/>
              <w:spacing w:before="60"/>
              <w:rPr>
                <w:del w:id="1424" w:author="AbbVie14" w:date="2025-05-09T10:29:00Z"/>
                <w:lang w:val="it-IT"/>
              </w:rPr>
            </w:pPr>
          </w:p>
        </w:tc>
      </w:tr>
      <w:tr w14:paraId="49F5144C" w14:textId="77777777" w:rsidTr="00C04163">
        <w:tblPrEx>
          <w:tblW w:w="0" w:type="auto"/>
          <w:tblLook w:val="01E0"/>
        </w:tblPrEx>
        <w:trPr>
          <w:cantSplit/>
          <w:del w:id="1425" w:author="AbbVie14" w:date="2025-05-09T10:29:00Z"/>
        </w:trPr>
        <w:tc>
          <w:tcPr>
            <w:tcW w:w="2559" w:type="dxa"/>
            <w:vMerge w:val="restart"/>
          </w:tcPr>
          <w:p w:rsidR="00C04163" w:rsidRPr="00295E71" w:rsidP="00035AC5" w14:paraId="51C45237" w14:textId="77777777">
            <w:pPr>
              <w:pStyle w:val="EMEANormal"/>
              <w:widowControl w:val="0"/>
              <w:spacing w:before="60"/>
              <w:rPr>
                <w:del w:id="1426" w:author="AbbVie14" w:date="2025-05-09T10:29:00Z"/>
                <w:lang w:val="it-IT"/>
              </w:rPr>
            </w:pPr>
            <w:del w:id="1427" w:author="AbbVie14" w:date="2025-05-09T10:29:00Z">
              <w:r w:rsidRPr="00295E71">
                <w:rPr>
                  <w:lang w:val="it-IT"/>
                </w:rPr>
                <w:delText xml:space="preserve">Patologie cardiache* </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392E1AB" w14:textId="77777777">
            <w:pPr>
              <w:pStyle w:val="EMEANormal"/>
              <w:keepNext/>
              <w:widowControl w:val="0"/>
              <w:spacing w:before="60"/>
              <w:rPr>
                <w:del w:id="1428" w:author="AbbVie14" w:date="2025-05-09T10:29:00Z"/>
                <w:lang w:val="it-IT"/>
              </w:rPr>
            </w:pPr>
            <w:del w:id="1429" w:author="AbbVie14" w:date="2025-05-09T10:29:00Z">
              <w:r w:rsidRPr="00295E71">
                <w:rPr>
                  <w:lang w:val="it-IT"/>
                </w:rPr>
                <w:delText>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4E84738" w14:textId="77777777">
            <w:pPr>
              <w:pStyle w:val="EMEANormal"/>
              <w:keepNext/>
              <w:widowControl w:val="0"/>
              <w:spacing w:before="60"/>
              <w:rPr>
                <w:del w:id="1430" w:author="AbbVie14" w:date="2025-05-09T10:29:00Z"/>
                <w:lang w:val="it-IT"/>
              </w:rPr>
            </w:pPr>
            <w:del w:id="1431" w:author="AbbVie14" w:date="2025-05-09T10:29:00Z">
              <w:r w:rsidRPr="00295E71">
                <w:rPr>
                  <w:lang w:val="it-IT"/>
                </w:rPr>
                <w:delText>Tachicardia</w:delText>
              </w:r>
            </w:del>
          </w:p>
          <w:p w:rsidR="00C04163" w:rsidRPr="00295E71" w:rsidP="00C04163" w14:paraId="3E0110FA" w14:textId="77777777">
            <w:pPr>
              <w:pStyle w:val="EMEANormal"/>
              <w:keepNext/>
              <w:widowControl w:val="0"/>
              <w:spacing w:before="60"/>
              <w:rPr>
                <w:del w:id="1432" w:author="AbbVie14" w:date="2025-05-09T10:29:00Z"/>
                <w:lang w:val="it-IT"/>
              </w:rPr>
            </w:pPr>
          </w:p>
        </w:tc>
      </w:tr>
      <w:tr w14:paraId="087E8F98" w14:textId="77777777" w:rsidTr="00C04163">
        <w:tblPrEx>
          <w:tblW w:w="0" w:type="auto"/>
          <w:tblLook w:val="01E0"/>
        </w:tblPrEx>
        <w:trPr>
          <w:cantSplit/>
          <w:del w:id="1433" w:author="AbbVie14" w:date="2025-05-09T10:29:00Z"/>
        </w:trPr>
        <w:tc>
          <w:tcPr>
            <w:tcW w:w="2559" w:type="dxa"/>
            <w:vMerge/>
          </w:tcPr>
          <w:p w:rsidR="00C04163" w:rsidRPr="00295E71" w:rsidP="00035AC5" w14:paraId="5A187A67" w14:textId="77777777">
            <w:pPr>
              <w:pStyle w:val="EMEANormal"/>
              <w:widowControl w:val="0"/>
              <w:spacing w:before="60"/>
              <w:rPr>
                <w:del w:id="1434"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81CB69A" w14:textId="77777777">
            <w:pPr>
              <w:pStyle w:val="EMEANormal"/>
              <w:keepNext/>
              <w:widowControl w:val="0"/>
              <w:spacing w:before="60"/>
              <w:rPr>
                <w:del w:id="1435" w:author="AbbVie14" w:date="2025-05-09T10:29:00Z"/>
                <w:lang w:val="it-IT"/>
              </w:rPr>
            </w:pPr>
            <w:del w:id="1436" w:author="AbbVie14" w:date="2025-05-09T10:29:00Z">
              <w:r w:rsidRPr="00295E71">
                <w:rPr>
                  <w:lang w:val="it-IT"/>
                </w:rPr>
                <w:delText>Non comune</w:delText>
              </w:r>
            </w:del>
          </w:p>
          <w:p w:rsidR="00C04163" w:rsidRPr="00295E71" w:rsidP="00C04163" w14:paraId="00963573" w14:textId="77777777">
            <w:pPr>
              <w:pStyle w:val="EMEANormal"/>
              <w:keepNext/>
              <w:widowControl w:val="0"/>
              <w:spacing w:before="60"/>
              <w:rPr>
                <w:del w:id="1437"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D8D27DD" w14:textId="77777777">
            <w:pPr>
              <w:pStyle w:val="EMEANormal"/>
              <w:keepNext/>
              <w:widowControl w:val="0"/>
              <w:spacing w:before="60"/>
              <w:rPr>
                <w:del w:id="1438" w:author="AbbVie14" w:date="2025-05-09T10:29:00Z"/>
                <w:lang w:val="it-IT"/>
              </w:rPr>
            </w:pPr>
            <w:del w:id="1439" w:author="AbbVie14" w:date="2025-05-09T10:29:00Z">
              <w:r w:rsidRPr="00295E71">
                <w:rPr>
                  <w:lang w:val="it-IT"/>
                </w:rPr>
                <w:delText>Infarto del miocardio</w:delText>
              </w:r>
            </w:del>
            <w:del w:id="1440" w:author="AbbVie14" w:date="2025-05-09T10:29:00Z">
              <w:r w:rsidRPr="00C04163">
                <w:rPr>
                  <w:lang w:val="it-IT"/>
                </w:rPr>
                <w:delText>1)</w:delText>
              </w:r>
            </w:del>
            <w:del w:id="1441" w:author="AbbVie14" w:date="2025-05-09T10:29:00Z">
              <w:r w:rsidRPr="00295E71">
                <w:rPr>
                  <w:lang w:val="it-IT"/>
                </w:rPr>
                <w:delText>,</w:delText>
              </w:r>
            </w:del>
          </w:p>
          <w:p w:rsidR="00C04163" w:rsidRPr="00295E71" w:rsidP="00C04163" w14:paraId="4B3F0DC5" w14:textId="77777777">
            <w:pPr>
              <w:pStyle w:val="EMEANormal"/>
              <w:keepNext/>
              <w:widowControl w:val="0"/>
              <w:spacing w:before="60"/>
              <w:rPr>
                <w:del w:id="1442" w:author="AbbVie14" w:date="2025-05-09T10:29:00Z"/>
                <w:lang w:val="it-IT"/>
              </w:rPr>
            </w:pPr>
            <w:del w:id="1443" w:author="AbbVie14" w:date="2025-05-09T10:29:00Z">
              <w:r w:rsidRPr="00295E71">
                <w:rPr>
                  <w:lang w:val="it-IT"/>
                </w:rPr>
                <w:delText>aritmia,</w:delText>
              </w:r>
            </w:del>
          </w:p>
          <w:p w:rsidR="00C04163" w:rsidRPr="00295E71" w:rsidP="00C04163" w14:paraId="4D0024A8" w14:textId="77777777">
            <w:pPr>
              <w:pStyle w:val="EMEANormal"/>
              <w:keepNext/>
              <w:widowControl w:val="0"/>
              <w:spacing w:before="60"/>
              <w:rPr>
                <w:del w:id="1444" w:author="AbbVie14" w:date="2025-05-09T10:29:00Z"/>
                <w:lang w:val="it-IT"/>
              </w:rPr>
            </w:pPr>
            <w:del w:id="1445" w:author="AbbVie14" w:date="2025-05-09T10:29:00Z">
              <w:r w:rsidRPr="00295E71">
                <w:rPr>
                  <w:lang w:val="it-IT"/>
                </w:rPr>
                <w:delText>Insufficienza cardiaca congestizia</w:delText>
              </w:r>
            </w:del>
          </w:p>
          <w:p w:rsidR="00C04163" w:rsidRPr="00295E71" w:rsidP="00C04163" w14:paraId="198B1A59" w14:textId="77777777">
            <w:pPr>
              <w:pStyle w:val="EMEANormal"/>
              <w:keepNext/>
              <w:widowControl w:val="0"/>
              <w:spacing w:before="60"/>
              <w:rPr>
                <w:del w:id="1446" w:author="AbbVie14" w:date="2025-05-09T10:29:00Z"/>
                <w:lang w:val="it-IT"/>
              </w:rPr>
            </w:pPr>
          </w:p>
        </w:tc>
      </w:tr>
      <w:tr w14:paraId="7C02C870" w14:textId="77777777" w:rsidTr="00C04163">
        <w:tblPrEx>
          <w:tblW w:w="0" w:type="auto"/>
          <w:tblLook w:val="01E0"/>
        </w:tblPrEx>
        <w:trPr>
          <w:cantSplit/>
          <w:del w:id="1447" w:author="AbbVie14" w:date="2025-05-09T10:29:00Z"/>
        </w:trPr>
        <w:tc>
          <w:tcPr>
            <w:tcW w:w="2559" w:type="dxa"/>
            <w:vMerge/>
          </w:tcPr>
          <w:p w:rsidR="00C04163" w:rsidRPr="00295E71" w:rsidP="00035AC5" w14:paraId="7A5763BA" w14:textId="77777777">
            <w:pPr>
              <w:widowControl w:val="0"/>
              <w:spacing w:before="60"/>
              <w:jc w:val="center"/>
              <w:rPr>
                <w:del w:id="1448"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599C88A" w14:textId="77777777">
            <w:pPr>
              <w:pStyle w:val="EMEANormal"/>
              <w:keepNext/>
              <w:widowControl w:val="0"/>
              <w:spacing w:before="60"/>
              <w:rPr>
                <w:del w:id="1449" w:author="AbbVie14" w:date="2025-05-09T10:29:00Z"/>
                <w:lang w:val="it-IT"/>
              </w:rPr>
            </w:pPr>
            <w:del w:id="1450" w:author="AbbVie14" w:date="2025-05-09T10:29:00Z">
              <w:r w:rsidRPr="00295E71">
                <w:rPr>
                  <w:lang w:val="it-IT"/>
                </w:rPr>
                <w:delText>Raro</w:delText>
              </w:r>
            </w:del>
          </w:p>
          <w:p w:rsidR="00C04163" w:rsidRPr="00295E71" w:rsidP="00C04163" w14:paraId="77AF143F" w14:textId="77777777">
            <w:pPr>
              <w:pStyle w:val="EMEANormal"/>
              <w:keepNext/>
              <w:widowControl w:val="0"/>
              <w:spacing w:before="60"/>
              <w:rPr>
                <w:del w:id="1451"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2A8A4FC" w14:textId="77777777">
            <w:pPr>
              <w:pStyle w:val="EMEANormal"/>
              <w:keepNext/>
              <w:widowControl w:val="0"/>
              <w:spacing w:before="60"/>
              <w:rPr>
                <w:del w:id="1452" w:author="AbbVie14" w:date="2025-05-09T10:29:00Z"/>
                <w:lang w:val="it-IT"/>
              </w:rPr>
            </w:pPr>
            <w:del w:id="1453" w:author="AbbVie14" w:date="2025-05-09T10:29:00Z">
              <w:r w:rsidRPr="00295E71">
                <w:rPr>
                  <w:lang w:val="it-IT"/>
                </w:rPr>
                <w:delText>Arresto cardiaco</w:delText>
              </w:r>
            </w:del>
          </w:p>
          <w:p w:rsidR="00C04163" w:rsidRPr="00295E71" w:rsidP="00C04163" w14:paraId="6ACE00D5" w14:textId="77777777">
            <w:pPr>
              <w:pStyle w:val="EMEANormal"/>
              <w:keepNext/>
              <w:widowControl w:val="0"/>
              <w:spacing w:before="60"/>
              <w:rPr>
                <w:del w:id="1454" w:author="AbbVie14" w:date="2025-05-09T10:29:00Z"/>
                <w:lang w:val="it-IT"/>
              </w:rPr>
            </w:pPr>
          </w:p>
        </w:tc>
      </w:tr>
      <w:tr w14:paraId="755A315F" w14:textId="77777777" w:rsidTr="00C04163">
        <w:tblPrEx>
          <w:tblW w:w="0" w:type="auto"/>
          <w:tblLook w:val="01E0"/>
        </w:tblPrEx>
        <w:trPr>
          <w:cantSplit/>
          <w:del w:id="1455" w:author="AbbVie14" w:date="2025-05-09T10:29:00Z"/>
        </w:trPr>
        <w:tc>
          <w:tcPr>
            <w:tcW w:w="2559" w:type="dxa"/>
            <w:vMerge w:val="restart"/>
          </w:tcPr>
          <w:p w:rsidR="00C04163" w:rsidRPr="00295E71" w:rsidP="00035AC5" w14:paraId="11D0619C" w14:textId="77777777">
            <w:pPr>
              <w:pStyle w:val="EMEANormal"/>
              <w:widowControl w:val="0"/>
              <w:spacing w:before="60"/>
              <w:rPr>
                <w:del w:id="1456" w:author="AbbVie14" w:date="2025-05-09T10:29:00Z"/>
                <w:lang w:val="it-IT"/>
              </w:rPr>
            </w:pPr>
            <w:del w:id="1457" w:author="AbbVie14" w:date="2025-05-09T10:29:00Z">
              <w:r w:rsidRPr="00295E71">
                <w:rPr>
                  <w:lang w:val="it-IT"/>
                </w:rPr>
                <w:delText>Patologie vascolari</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23D46F6" w14:textId="77777777">
            <w:pPr>
              <w:pStyle w:val="EMEANormal"/>
              <w:keepNext/>
              <w:widowControl w:val="0"/>
              <w:spacing w:before="60"/>
              <w:rPr>
                <w:del w:id="1458" w:author="AbbVie14" w:date="2025-05-09T10:29:00Z"/>
                <w:lang w:val="it-IT"/>
              </w:rPr>
            </w:pPr>
            <w:del w:id="1459" w:author="AbbVie14" w:date="2025-05-09T10:29:00Z">
              <w:r w:rsidRPr="00295E71">
                <w:rPr>
                  <w:lang w:val="it-IT"/>
                </w:rPr>
                <w:delText>Comune</w:delText>
              </w:r>
            </w:del>
          </w:p>
          <w:p w:rsidR="00C04163" w:rsidRPr="00295E71" w:rsidP="00C04163" w14:paraId="03D80212" w14:textId="77777777">
            <w:pPr>
              <w:pStyle w:val="EMEANormal"/>
              <w:keepNext/>
              <w:widowControl w:val="0"/>
              <w:spacing w:before="60"/>
              <w:rPr>
                <w:del w:id="1460"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0D41096" w14:textId="77777777">
            <w:pPr>
              <w:pStyle w:val="EMEANormal"/>
              <w:keepNext/>
              <w:widowControl w:val="0"/>
              <w:spacing w:before="60"/>
              <w:rPr>
                <w:del w:id="1461" w:author="AbbVie14" w:date="2025-05-09T10:29:00Z"/>
                <w:lang w:val="it-IT"/>
              </w:rPr>
            </w:pPr>
            <w:del w:id="1462" w:author="AbbVie14" w:date="2025-05-09T10:29:00Z">
              <w:r w:rsidRPr="00295E71">
                <w:rPr>
                  <w:lang w:val="it-IT"/>
                </w:rPr>
                <w:delText xml:space="preserve">Ipertensione, </w:delText>
              </w:r>
            </w:del>
          </w:p>
          <w:p w:rsidR="00C04163" w:rsidRPr="00295E71" w:rsidP="00C04163" w14:paraId="328CFCC3" w14:textId="77777777">
            <w:pPr>
              <w:pStyle w:val="EMEANormal"/>
              <w:keepNext/>
              <w:widowControl w:val="0"/>
              <w:spacing w:before="60"/>
              <w:rPr>
                <w:del w:id="1463" w:author="AbbVie14" w:date="2025-05-09T10:29:00Z"/>
                <w:lang w:val="it-IT"/>
              </w:rPr>
            </w:pPr>
            <w:del w:id="1464" w:author="AbbVie14" w:date="2025-05-09T10:29:00Z">
              <w:r w:rsidRPr="00295E71">
                <w:rPr>
                  <w:lang w:val="it-IT"/>
                </w:rPr>
                <w:delText xml:space="preserve">vampate, </w:delText>
              </w:r>
            </w:del>
          </w:p>
          <w:p w:rsidR="00C04163" w:rsidRPr="00295E71" w:rsidP="00C04163" w14:paraId="65C98ADC" w14:textId="77777777">
            <w:pPr>
              <w:pStyle w:val="EMEANormal"/>
              <w:keepNext/>
              <w:widowControl w:val="0"/>
              <w:spacing w:before="60"/>
              <w:rPr>
                <w:del w:id="1465" w:author="AbbVie14" w:date="2025-05-09T10:29:00Z"/>
                <w:lang w:val="it-IT"/>
              </w:rPr>
            </w:pPr>
            <w:del w:id="1466" w:author="AbbVie14" w:date="2025-05-09T10:29:00Z">
              <w:r w:rsidRPr="00295E71">
                <w:rPr>
                  <w:lang w:val="it-IT"/>
                </w:rPr>
                <w:delText>ematoma</w:delText>
              </w:r>
            </w:del>
          </w:p>
          <w:p w:rsidR="00C04163" w:rsidRPr="00295E71" w:rsidP="00C04163" w14:paraId="7FE0FD16" w14:textId="77777777">
            <w:pPr>
              <w:pStyle w:val="EMEANormal"/>
              <w:keepNext/>
              <w:widowControl w:val="0"/>
              <w:spacing w:before="60"/>
              <w:rPr>
                <w:del w:id="1467" w:author="AbbVie14" w:date="2025-05-09T10:29:00Z"/>
                <w:lang w:val="it-IT"/>
              </w:rPr>
            </w:pPr>
          </w:p>
        </w:tc>
      </w:tr>
      <w:tr w14:paraId="4007C856" w14:textId="77777777" w:rsidTr="00C04163">
        <w:tblPrEx>
          <w:tblW w:w="0" w:type="auto"/>
          <w:tblLook w:val="01E0"/>
        </w:tblPrEx>
        <w:trPr>
          <w:cantSplit/>
          <w:del w:id="1468" w:author="AbbVie14" w:date="2025-05-09T10:29:00Z"/>
        </w:trPr>
        <w:tc>
          <w:tcPr>
            <w:tcW w:w="2559" w:type="dxa"/>
            <w:vMerge/>
          </w:tcPr>
          <w:p w:rsidR="00C04163" w:rsidRPr="00295E71" w:rsidP="00035AC5" w14:paraId="2024F76F" w14:textId="77777777">
            <w:pPr>
              <w:pStyle w:val="EMEANormal"/>
              <w:widowControl w:val="0"/>
              <w:spacing w:before="60"/>
              <w:rPr>
                <w:del w:id="1469"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53522C8" w14:textId="77777777">
            <w:pPr>
              <w:pStyle w:val="EMEANormal"/>
              <w:keepNext/>
              <w:widowControl w:val="0"/>
              <w:spacing w:before="60"/>
              <w:rPr>
                <w:del w:id="1470" w:author="AbbVie14" w:date="2025-05-09T10:29:00Z"/>
                <w:lang w:val="it-IT"/>
              </w:rPr>
            </w:pPr>
            <w:del w:id="1471" w:author="AbbVie14" w:date="2025-05-09T10:29: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22843B1C" w14:textId="77777777">
            <w:pPr>
              <w:pStyle w:val="EMEANormal"/>
              <w:keepNext/>
              <w:widowControl w:val="0"/>
              <w:spacing w:before="60"/>
              <w:rPr>
                <w:del w:id="1472" w:author="AbbVie14" w:date="2025-05-09T10:29:00Z"/>
                <w:lang w:val="it-IT"/>
              </w:rPr>
            </w:pPr>
            <w:del w:id="1473" w:author="AbbVie14" w:date="2025-05-09T10:29:00Z">
              <w:r w:rsidRPr="00295E71">
                <w:rPr>
                  <w:lang w:val="it-IT"/>
                </w:rPr>
                <w:delText>Aneurisma dell’aorta,</w:delText>
              </w:r>
            </w:del>
          </w:p>
          <w:p w:rsidR="00C04163" w:rsidRPr="00295E71" w:rsidP="00C04163" w14:paraId="45DC5C97" w14:textId="77777777">
            <w:pPr>
              <w:pStyle w:val="EMEANormal"/>
              <w:keepNext/>
              <w:widowControl w:val="0"/>
              <w:spacing w:before="60"/>
              <w:rPr>
                <w:del w:id="1474" w:author="AbbVie14" w:date="2025-05-09T10:29:00Z"/>
                <w:lang w:val="it-IT"/>
              </w:rPr>
            </w:pPr>
            <w:del w:id="1475" w:author="AbbVie14" w:date="2025-05-09T10:29:00Z">
              <w:r w:rsidRPr="00295E71">
                <w:rPr>
                  <w:lang w:val="it-IT"/>
                </w:rPr>
                <w:delText>occlusione vascolare arteriosa,</w:delText>
              </w:r>
            </w:del>
          </w:p>
          <w:p w:rsidR="00C04163" w:rsidRPr="00295E71" w:rsidP="00C04163" w14:paraId="31D8E845" w14:textId="77777777">
            <w:pPr>
              <w:pStyle w:val="EMEANormal"/>
              <w:keepNext/>
              <w:widowControl w:val="0"/>
              <w:spacing w:before="60"/>
              <w:rPr>
                <w:del w:id="1476" w:author="AbbVie14" w:date="2025-05-09T10:29:00Z"/>
                <w:lang w:val="it-IT"/>
              </w:rPr>
            </w:pPr>
            <w:del w:id="1477" w:author="AbbVie14" w:date="2025-05-09T10:29:00Z">
              <w:r w:rsidRPr="00295E71">
                <w:rPr>
                  <w:lang w:val="it-IT"/>
                </w:rPr>
                <w:delText>tromboflebite</w:delText>
              </w:r>
            </w:del>
          </w:p>
          <w:p w:rsidR="00C04163" w:rsidRPr="00295E71" w:rsidP="00C04163" w14:paraId="6953699E" w14:textId="77777777">
            <w:pPr>
              <w:pStyle w:val="EMEANormal"/>
              <w:keepNext/>
              <w:widowControl w:val="0"/>
              <w:spacing w:before="60"/>
              <w:rPr>
                <w:del w:id="1478" w:author="AbbVie14" w:date="2025-05-09T10:29:00Z"/>
                <w:lang w:val="it-IT"/>
              </w:rPr>
            </w:pPr>
          </w:p>
        </w:tc>
      </w:tr>
      <w:tr w14:paraId="109FF2E1" w14:textId="77777777" w:rsidTr="00C04163">
        <w:tblPrEx>
          <w:tblW w:w="0" w:type="auto"/>
          <w:tblLook w:val="01E0"/>
        </w:tblPrEx>
        <w:trPr>
          <w:cantSplit/>
          <w:del w:id="1479" w:author="AbbVie14" w:date="2025-05-09T10:29:00Z"/>
        </w:trPr>
        <w:tc>
          <w:tcPr>
            <w:tcW w:w="2559" w:type="dxa"/>
          </w:tcPr>
          <w:p w:rsidR="00C04163" w:rsidRPr="00295E71" w:rsidP="00035AC5" w14:paraId="059D6157" w14:textId="77777777">
            <w:pPr>
              <w:pStyle w:val="IndexHeading"/>
              <w:widowControl w:val="0"/>
              <w:tabs>
                <w:tab w:val="clear" w:pos="567"/>
              </w:tabs>
              <w:spacing w:before="120" w:after="120" w:line="240" w:lineRule="auto"/>
              <w:jc w:val="center"/>
              <w:rPr>
                <w:del w:id="1480" w:author="AbbVie14" w:date="2025-05-09T10:29:00Z"/>
                <w:rFonts w:ascii="Times New Roman" w:hAnsi="Times New Roman" w:cs="Times New Roman"/>
                <w:lang w:val="it-IT" w:eastAsia="it-IT"/>
              </w:rPr>
            </w:pPr>
            <w:del w:id="1481" w:author="AbbVie14" w:date="2025-05-09T10:29:00Z">
              <w:r w:rsidRPr="00295E71">
                <w:rPr>
                  <w:rFonts w:ascii="Times New Roman" w:hAnsi="Times New Roman" w:cs="Times New Roman"/>
                  <w:lang w:val="it-IT" w:eastAsia="it-IT"/>
                </w:rPr>
                <w:delText>Classificazione per sistemi e organi</w:delText>
              </w:r>
            </w:del>
          </w:p>
        </w:tc>
        <w:tc>
          <w:tcPr>
            <w:tcW w:w="2038" w:type="dxa"/>
            <w:tcBorders>
              <w:top w:val="single" w:sz="4" w:space="0" w:color="auto"/>
              <w:left w:val="single" w:sz="4" w:space="0" w:color="auto"/>
              <w:bottom w:val="single" w:sz="4" w:space="0" w:color="auto"/>
              <w:right w:val="single" w:sz="4" w:space="0" w:color="auto"/>
            </w:tcBorders>
          </w:tcPr>
          <w:p w:rsidR="00C04163" w:rsidRPr="00C04163" w:rsidP="00C04163" w14:paraId="01ABEEC5" w14:textId="77777777">
            <w:pPr>
              <w:pStyle w:val="EMEANormal"/>
              <w:keepNext/>
              <w:spacing w:before="60"/>
              <w:rPr>
                <w:del w:id="1482" w:author="AbbVie14" w:date="2025-05-09T10:29:00Z"/>
                <w:lang w:val="it-IT"/>
              </w:rPr>
            </w:pPr>
            <w:del w:id="1483" w:author="AbbVie14" w:date="2025-05-09T10:29:00Z">
              <w:r w:rsidRPr="00295E71">
                <w:rPr>
                  <w:lang w:val="it-IT"/>
                </w:rPr>
                <w:delText>Frequenza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3BF3BCD4" w14:textId="77777777">
            <w:pPr>
              <w:pStyle w:val="EMEANormal"/>
              <w:keepNext/>
              <w:spacing w:before="60"/>
              <w:rPr>
                <w:del w:id="1484" w:author="AbbVie14" w:date="2025-05-09T10:29:00Z"/>
                <w:lang w:val="it-IT"/>
              </w:rPr>
            </w:pPr>
            <w:del w:id="1485" w:author="AbbVie14" w:date="2025-05-09T10:29:00Z">
              <w:r w:rsidRPr="00295E71">
                <w:rPr>
                  <w:lang w:val="it-IT"/>
                </w:rPr>
                <w:delText>Reazione avversa</w:delText>
              </w:r>
            </w:del>
          </w:p>
        </w:tc>
      </w:tr>
      <w:tr w14:paraId="2E89ABEB" w14:textId="77777777" w:rsidTr="00C04163">
        <w:tblPrEx>
          <w:tblW w:w="0" w:type="auto"/>
          <w:tblLook w:val="01E0"/>
        </w:tblPrEx>
        <w:trPr>
          <w:cantSplit/>
          <w:del w:id="1486" w:author="AbbVie14" w:date="2025-05-09T10:29:00Z"/>
        </w:trPr>
        <w:tc>
          <w:tcPr>
            <w:tcW w:w="2559" w:type="dxa"/>
            <w:vMerge w:val="restart"/>
          </w:tcPr>
          <w:p w:rsidR="00C04163" w:rsidRPr="00295E71" w:rsidP="00035AC5" w14:paraId="63354E65" w14:textId="77777777">
            <w:pPr>
              <w:pStyle w:val="EMEANormal"/>
              <w:widowControl w:val="0"/>
              <w:spacing w:before="60"/>
              <w:rPr>
                <w:del w:id="1487" w:author="AbbVie14" w:date="2025-05-09T10:29:00Z"/>
                <w:lang w:val="it-IT"/>
              </w:rPr>
            </w:pPr>
            <w:del w:id="1488" w:author="AbbVie14" w:date="2025-05-09T10:29:00Z">
              <w:r w:rsidRPr="00295E71">
                <w:rPr>
                  <w:lang w:val="it-IT"/>
                </w:rPr>
                <w:delText>Patologie respiratorie, toraciche e mediastiniche*</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F0D5C6D" w14:textId="77777777">
            <w:pPr>
              <w:pStyle w:val="EMEANormal"/>
              <w:keepNext/>
              <w:widowControl w:val="0"/>
              <w:spacing w:before="60"/>
              <w:rPr>
                <w:del w:id="1489" w:author="AbbVie14" w:date="2025-05-09T10:29:00Z"/>
                <w:lang w:val="it-IT"/>
              </w:rPr>
            </w:pPr>
            <w:del w:id="1490" w:author="AbbVie14" w:date="2025-05-09T10:29:00Z">
              <w:r w:rsidRPr="00295E71">
                <w:rPr>
                  <w:lang w:val="it-IT"/>
                </w:rPr>
                <w:delText>Comune</w:delText>
              </w:r>
            </w:del>
          </w:p>
          <w:p w:rsidR="00C04163" w:rsidRPr="00295E71" w:rsidP="00C04163" w14:paraId="0E9F6C03" w14:textId="77777777">
            <w:pPr>
              <w:pStyle w:val="EMEANormal"/>
              <w:keepNext/>
              <w:widowControl w:val="0"/>
              <w:spacing w:before="60"/>
              <w:rPr>
                <w:del w:id="1491"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4FF5B3A" w14:textId="77777777">
            <w:pPr>
              <w:pStyle w:val="EMEANormal"/>
              <w:keepNext/>
              <w:widowControl w:val="0"/>
              <w:spacing w:before="60"/>
              <w:rPr>
                <w:del w:id="1492" w:author="AbbVie14" w:date="2025-05-09T10:29:00Z"/>
                <w:lang w:val="it-IT"/>
              </w:rPr>
            </w:pPr>
            <w:del w:id="1493" w:author="AbbVie14" w:date="2025-05-09T10:29:00Z">
              <w:r w:rsidRPr="00295E71">
                <w:rPr>
                  <w:lang w:val="it-IT"/>
                </w:rPr>
                <w:delText xml:space="preserve">Asma, </w:delText>
              </w:r>
            </w:del>
          </w:p>
          <w:p w:rsidR="00C04163" w:rsidRPr="00295E71" w:rsidP="00C04163" w14:paraId="235B7306" w14:textId="77777777">
            <w:pPr>
              <w:pStyle w:val="EMEANormal"/>
              <w:keepNext/>
              <w:widowControl w:val="0"/>
              <w:spacing w:before="60"/>
              <w:rPr>
                <w:del w:id="1494" w:author="AbbVie14" w:date="2025-05-09T10:29:00Z"/>
                <w:lang w:val="it-IT"/>
              </w:rPr>
            </w:pPr>
            <w:del w:id="1495" w:author="AbbVie14" w:date="2025-05-09T10:29:00Z">
              <w:r w:rsidRPr="00295E71">
                <w:rPr>
                  <w:lang w:val="it-IT"/>
                </w:rPr>
                <w:delText>dispnea,</w:delText>
              </w:r>
            </w:del>
          </w:p>
          <w:p w:rsidR="00C04163" w:rsidRPr="00295E71" w:rsidP="00C04163" w14:paraId="06587471" w14:textId="77777777">
            <w:pPr>
              <w:pStyle w:val="EMEANormal"/>
              <w:keepNext/>
              <w:widowControl w:val="0"/>
              <w:spacing w:before="60"/>
              <w:rPr>
                <w:del w:id="1496" w:author="AbbVie14" w:date="2025-05-09T10:29:00Z"/>
                <w:lang w:val="it-IT"/>
              </w:rPr>
            </w:pPr>
            <w:del w:id="1497" w:author="AbbVie14" w:date="2025-05-09T10:29:00Z">
              <w:r w:rsidRPr="00295E71">
                <w:rPr>
                  <w:lang w:val="it-IT"/>
                </w:rPr>
                <w:delText>tosse</w:delText>
              </w:r>
            </w:del>
          </w:p>
          <w:p w:rsidR="00C04163" w:rsidRPr="00295E71" w:rsidP="00C04163" w14:paraId="0A77BC91" w14:textId="77777777">
            <w:pPr>
              <w:pStyle w:val="EMEANormal"/>
              <w:keepNext/>
              <w:widowControl w:val="0"/>
              <w:spacing w:before="60"/>
              <w:rPr>
                <w:del w:id="1498" w:author="AbbVie14" w:date="2025-05-09T10:29:00Z"/>
                <w:lang w:val="it-IT"/>
              </w:rPr>
            </w:pPr>
          </w:p>
        </w:tc>
      </w:tr>
      <w:tr w14:paraId="49EF4797" w14:textId="77777777" w:rsidTr="00C04163">
        <w:tblPrEx>
          <w:tblW w:w="0" w:type="auto"/>
          <w:tblLook w:val="01E0"/>
        </w:tblPrEx>
        <w:trPr>
          <w:cantSplit/>
          <w:del w:id="1499" w:author="AbbVie14" w:date="2025-05-09T10:29:00Z"/>
        </w:trPr>
        <w:tc>
          <w:tcPr>
            <w:tcW w:w="2559" w:type="dxa"/>
            <w:vMerge/>
          </w:tcPr>
          <w:p w:rsidR="00C04163" w:rsidRPr="00295E71" w:rsidP="00035AC5" w14:paraId="72951469" w14:textId="77777777">
            <w:pPr>
              <w:widowControl w:val="0"/>
              <w:spacing w:before="60"/>
              <w:jc w:val="center"/>
              <w:rPr>
                <w:del w:id="1500"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5C3CE944" w14:textId="77777777">
            <w:pPr>
              <w:pStyle w:val="EMEANormal"/>
              <w:keepNext/>
              <w:widowControl w:val="0"/>
              <w:spacing w:before="60"/>
              <w:rPr>
                <w:del w:id="1501" w:author="AbbVie14" w:date="2025-05-09T10:29:00Z"/>
                <w:lang w:val="it-IT"/>
              </w:rPr>
            </w:pPr>
            <w:del w:id="1502" w:author="AbbVie14" w:date="2025-05-09T10:29:00Z">
              <w:r w:rsidRPr="00295E71">
                <w:rPr>
                  <w:lang w:val="it-IT"/>
                </w:rPr>
                <w:delText>Non comune</w:delText>
              </w:r>
            </w:del>
          </w:p>
          <w:p w:rsidR="00C04163" w:rsidRPr="00295E71" w:rsidP="00C04163" w14:paraId="27CDCFEA" w14:textId="77777777">
            <w:pPr>
              <w:pStyle w:val="EMEANormal"/>
              <w:keepNext/>
              <w:widowControl w:val="0"/>
              <w:spacing w:before="60"/>
              <w:rPr>
                <w:del w:id="1503"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DAE014D" w14:textId="77777777">
            <w:pPr>
              <w:pStyle w:val="EMEANormal"/>
              <w:keepNext/>
              <w:widowControl w:val="0"/>
              <w:spacing w:before="60"/>
              <w:rPr>
                <w:del w:id="1504" w:author="AbbVie14" w:date="2025-05-09T10:29:00Z"/>
                <w:lang w:val="it-IT"/>
              </w:rPr>
            </w:pPr>
            <w:del w:id="1505" w:author="AbbVie14" w:date="2025-05-09T10:29:00Z">
              <w:r w:rsidRPr="00295E71">
                <w:rPr>
                  <w:lang w:val="it-IT"/>
                </w:rPr>
                <w:delText>Embolia polmonare</w:delText>
              </w:r>
            </w:del>
            <w:del w:id="1506" w:author="AbbVie14" w:date="2025-05-09T10:29:00Z">
              <w:r w:rsidRPr="00C04163">
                <w:rPr>
                  <w:lang w:val="it-IT"/>
                </w:rPr>
                <w:delText>1)</w:delText>
              </w:r>
            </w:del>
            <w:del w:id="1507" w:author="AbbVie14" w:date="2025-05-09T10:29:00Z">
              <w:r w:rsidRPr="00295E71">
                <w:rPr>
                  <w:lang w:val="it-IT"/>
                </w:rPr>
                <w:delText>,</w:delText>
              </w:r>
            </w:del>
          </w:p>
          <w:p w:rsidR="00C04163" w:rsidRPr="00295E71" w:rsidP="00C04163" w14:paraId="3774B0C7" w14:textId="77777777">
            <w:pPr>
              <w:pStyle w:val="EMEANormal"/>
              <w:keepNext/>
              <w:widowControl w:val="0"/>
              <w:spacing w:before="60"/>
              <w:rPr>
                <w:del w:id="1508" w:author="AbbVie14" w:date="2025-05-09T10:29:00Z"/>
                <w:lang w:val="it-IT"/>
              </w:rPr>
            </w:pPr>
            <w:del w:id="1509" w:author="AbbVie14" w:date="2025-05-09T10:29:00Z">
              <w:r w:rsidRPr="00295E71">
                <w:rPr>
                  <w:lang w:val="it-IT"/>
                </w:rPr>
                <w:delText>interstiziopatia polmonare,</w:delText>
              </w:r>
            </w:del>
          </w:p>
          <w:p w:rsidR="00C04163" w:rsidRPr="00295E71" w:rsidP="00C04163" w14:paraId="12AE98EA" w14:textId="77777777">
            <w:pPr>
              <w:pStyle w:val="EMEANormal"/>
              <w:keepNext/>
              <w:widowControl w:val="0"/>
              <w:spacing w:before="60"/>
              <w:rPr>
                <w:del w:id="1510" w:author="AbbVie14" w:date="2025-05-09T10:29:00Z"/>
                <w:lang w:val="it-IT"/>
              </w:rPr>
            </w:pPr>
            <w:del w:id="1511" w:author="AbbVie14" w:date="2025-05-09T10:29:00Z">
              <w:r w:rsidRPr="00295E71">
                <w:rPr>
                  <w:lang w:val="it-IT"/>
                </w:rPr>
                <w:delText>malattia polmonare cronica ostruttiva,</w:delText>
              </w:r>
            </w:del>
          </w:p>
          <w:p w:rsidR="00C04163" w:rsidRPr="00295E71" w:rsidP="00C04163" w14:paraId="4F2CFB95" w14:textId="77777777">
            <w:pPr>
              <w:pStyle w:val="EMEANormal"/>
              <w:keepNext/>
              <w:widowControl w:val="0"/>
              <w:spacing w:before="60"/>
              <w:rPr>
                <w:del w:id="1512" w:author="AbbVie14" w:date="2025-05-09T10:29:00Z"/>
                <w:lang w:val="it-IT"/>
              </w:rPr>
            </w:pPr>
            <w:del w:id="1513" w:author="AbbVie14" w:date="2025-05-09T10:29:00Z">
              <w:r w:rsidRPr="00295E71">
                <w:rPr>
                  <w:lang w:val="it-IT"/>
                </w:rPr>
                <w:delText>polmonite,</w:delText>
              </w:r>
            </w:del>
          </w:p>
          <w:p w:rsidR="00C04163" w:rsidRPr="00295E71" w:rsidP="00C04163" w14:paraId="0BBC7446" w14:textId="77777777">
            <w:pPr>
              <w:pStyle w:val="EMEANormal"/>
              <w:keepNext/>
              <w:widowControl w:val="0"/>
              <w:spacing w:before="60"/>
              <w:rPr>
                <w:del w:id="1514" w:author="AbbVie14" w:date="2025-05-09T10:29:00Z"/>
                <w:lang w:val="it-IT"/>
              </w:rPr>
            </w:pPr>
            <w:del w:id="1515" w:author="AbbVie14" w:date="2025-05-09T10:29:00Z">
              <w:r w:rsidRPr="00295E71">
                <w:rPr>
                  <w:lang w:val="it-IT"/>
                </w:rPr>
                <w:delText>effusione pleurica</w:delText>
              </w:r>
            </w:del>
            <w:del w:id="1516" w:author="AbbVie14" w:date="2025-05-09T10:29:00Z">
              <w:r w:rsidRPr="00C04163">
                <w:rPr>
                  <w:lang w:val="it-IT"/>
                </w:rPr>
                <w:delText>1)</w:delText>
              </w:r>
            </w:del>
          </w:p>
          <w:p w:rsidR="00C04163" w:rsidRPr="00295E71" w:rsidP="00C04163" w14:paraId="57C55F8B" w14:textId="77777777">
            <w:pPr>
              <w:pStyle w:val="EMEANormal"/>
              <w:keepNext/>
              <w:widowControl w:val="0"/>
              <w:spacing w:before="60"/>
              <w:rPr>
                <w:del w:id="1517" w:author="AbbVie14" w:date="2025-05-09T10:29:00Z"/>
                <w:lang w:val="it-IT"/>
              </w:rPr>
            </w:pPr>
          </w:p>
        </w:tc>
      </w:tr>
      <w:tr w14:paraId="31AC3C9E" w14:textId="77777777" w:rsidTr="00C04163">
        <w:tblPrEx>
          <w:tblW w:w="0" w:type="auto"/>
          <w:tblLook w:val="01E0"/>
        </w:tblPrEx>
        <w:trPr>
          <w:cantSplit/>
          <w:del w:id="1518" w:author="AbbVie14" w:date="2025-05-09T10:29:00Z"/>
        </w:trPr>
        <w:tc>
          <w:tcPr>
            <w:tcW w:w="2559" w:type="dxa"/>
            <w:vMerge/>
          </w:tcPr>
          <w:p w:rsidR="00C04163" w:rsidRPr="00295E71" w:rsidP="00035AC5" w14:paraId="7B9A3B80" w14:textId="77777777">
            <w:pPr>
              <w:widowControl w:val="0"/>
              <w:spacing w:before="60"/>
              <w:jc w:val="center"/>
              <w:rPr>
                <w:del w:id="1519"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6E9A0EC" w14:textId="77777777">
            <w:pPr>
              <w:pStyle w:val="EMEANormal"/>
              <w:keepNext/>
              <w:widowControl w:val="0"/>
              <w:spacing w:before="60"/>
              <w:rPr>
                <w:del w:id="1520" w:author="AbbVie14" w:date="2025-05-09T10:29:00Z"/>
                <w:lang w:val="it-IT"/>
              </w:rPr>
            </w:pPr>
            <w:del w:id="1521" w:author="AbbVie14" w:date="2025-05-09T10:29: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2BCF6EA7" w14:textId="77777777">
            <w:pPr>
              <w:pStyle w:val="EMEANormal"/>
              <w:keepNext/>
              <w:widowControl w:val="0"/>
              <w:spacing w:before="60"/>
              <w:rPr>
                <w:del w:id="1522" w:author="AbbVie14" w:date="2025-05-09T10:29:00Z"/>
                <w:lang w:val="it-IT"/>
              </w:rPr>
            </w:pPr>
            <w:del w:id="1523" w:author="AbbVie14" w:date="2025-05-09T10:29:00Z">
              <w:r w:rsidRPr="00295E71">
                <w:rPr>
                  <w:lang w:val="it-IT"/>
                </w:rPr>
                <w:delText>Fibrosi polmonare</w:delText>
              </w:r>
            </w:del>
            <w:del w:id="1524" w:author="AbbVie14" w:date="2025-05-09T10:29:00Z">
              <w:r w:rsidRPr="00C04163">
                <w:rPr>
                  <w:lang w:val="it-IT"/>
                </w:rPr>
                <w:delText>1)</w:delText>
              </w:r>
            </w:del>
          </w:p>
          <w:p w:rsidR="00C04163" w:rsidRPr="00295E71" w:rsidP="00C04163" w14:paraId="4FD4CC3E" w14:textId="77777777">
            <w:pPr>
              <w:pStyle w:val="EMEANormal"/>
              <w:keepNext/>
              <w:widowControl w:val="0"/>
              <w:spacing w:before="60"/>
              <w:rPr>
                <w:del w:id="1525" w:author="AbbVie14" w:date="2025-05-09T10:29:00Z"/>
                <w:lang w:val="it-IT"/>
              </w:rPr>
            </w:pPr>
          </w:p>
        </w:tc>
      </w:tr>
      <w:tr w14:paraId="7F5E61E0" w14:textId="77777777" w:rsidTr="00C04163">
        <w:tblPrEx>
          <w:tblW w:w="0" w:type="auto"/>
          <w:tblLook w:val="01E0"/>
        </w:tblPrEx>
        <w:trPr>
          <w:cantSplit/>
          <w:del w:id="1526" w:author="AbbVie14" w:date="2025-05-09T10:29:00Z"/>
        </w:trPr>
        <w:tc>
          <w:tcPr>
            <w:tcW w:w="2559" w:type="dxa"/>
            <w:vMerge w:val="restart"/>
          </w:tcPr>
          <w:p w:rsidR="00C04163" w:rsidRPr="00295E71" w:rsidP="00035AC5" w14:paraId="379E47ED" w14:textId="77777777">
            <w:pPr>
              <w:pStyle w:val="EMEANormal"/>
              <w:widowControl w:val="0"/>
              <w:spacing w:before="60"/>
              <w:rPr>
                <w:del w:id="1527" w:author="AbbVie14" w:date="2025-05-09T10:29:00Z"/>
                <w:lang w:val="it-IT"/>
              </w:rPr>
            </w:pPr>
            <w:del w:id="1528" w:author="AbbVie14" w:date="2025-05-09T10:29:00Z">
              <w:r w:rsidRPr="00295E71">
                <w:rPr>
                  <w:lang w:val="it-IT"/>
                </w:rPr>
                <w:delText>Patologie gastrointestinali</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E3A105C" w14:textId="77777777">
            <w:pPr>
              <w:pStyle w:val="EMEANormal"/>
              <w:keepNext/>
              <w:widowControl w:val="0"/>
              <w:spacing w:before="60"/>
              <w:rPr>
                <w:del w:id="1529" w:author="AbbVie14" w:date="2025-05-09T10:29:00Z"/>
                <w:lang w:val="it-IT"/>
              </w:rPr>
            </w:pPr>
            <w:del w:id="1530" w:author="AbbVie14" w:date="2025-05-09T10:29:00Z">
              <w:r w:rsidRPr="00295E71">
                <w:rPr>
                  <w:lang w:val="it-IT"/>
                </w:rPr>
                <w:delText>Molto comune</w:delText>
              </w:r>
            </w:del>
          </w:p>
          <w:p w:rsidR="00C04163" w:rsidRPr="00295E71" w:rsidP="00C04163" w14:paraId="24927B48" w14:textId="77777777">
            <w:pPr>
              <w:pStyle w:val="EMEANormal"/>
              <w:keepNext/>
              <w:widowControl w:val="0"/>
              <w:spacing w:before="60"/>
              <w:rPr>
                <w:del w:id="1531"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2290352D" w14:textId="77777777">
            <w:pPr>
              <w:pStyle w:val="EMEANormal"/>
              <w:keepNext/>
              <w:widowControl w:val="0"/>
              <w:spacing w:before="60"/>
              <w:rPr>
                <w:del w:id="1532" w:author="AbbVie14" w:date="2025-05-09T10:29:00Z"/>
                <w:lang w:val="it-IT"/>
              </w:rPr>
            </w:pPr>
            <w:del w:id="1533" w:author="AbbVie14" w:date="2025-05-09T10:29:00Z">
              <w:r w:rsidRPr="00295E71">
                <w:rPr>
                  <w:lang w:val="it-IT"/>
                </w:rPr>
                <w:delText xml:space="preserve">Dolore addominale, </w:delText>
              </w:r>
            </w:del>
          </w:p>
          <w:p w:rsidR="00C04163" w:rsidRPr="00295E71" w:rsidP="00C04163" w14:paraId="1154C5C9" w14:textId="77777777">
            <w:pPr>
              <w:pStyle w:val="EMEANormal"/>
              <w:keepNext/>
              <w:widowControl w:val="0"/>
              <w:spacing w:before="60"/>
              <w:rPr>
                <w:del w:id="1534" w:author="AbbVie14" w:date="2025-05-09T10:29:00Z"/>
                <w:lang w:val="it-IT"/>
              </w:rPr>
            </w:pPr>
            <w:del w:id="1535" w:author="AbbVie14" w:date="2025-05-09T10:29:00Z">
              <w:r w:rsidRPr="00295E71">
                <w:rPr>
                  <w:lang w:val="it-IT"/>
                </w:rPr>
                <w:delText>nausea e vomito</w:delText>
              </w:r>
            </w:del>
          </w:p>
          <w:p w:rsidR="00C04163" w:rsidRPr="00295E71" w:rsidP="00C04163" w14:paraId="7C34599A" w14:textId="77777777">
            <w:pPr>
              <w:pStyle w:val="EMEANormal"/>
              <w:keepNext/>
              <w:widowControl w:val="0"/>
              <w:spacing w:before="60"/>
              <w:rPr>
                <w:del w:id="1536" w:author="AbbVie14" w:date="2025-05-09T10:29:00Z"/>
                <w:lang w:val="it-IT"/>
              </w:rPr>
            </w:pPr>
          </w:p>
        </w:tc>
      </w:tr>
      <w:tr w14:paraId="3B15C086" w14:textId="77777777" w:rsidTr="00C04163">
        <w:tblPrEx>
          <w:tblW w:w="0" w:type="auto"/>
          <w:tblLook w:val="01E0"/>
        </w:tblPrEx>
        <w:trPr>
          <w:cantSplit/>
          <w:del w:id="1537" w:author="AbbVie14" w:date="2025-05-09T10:29:00Z"/>
        </w:trPr>
        <w:tc>
          <w:tcPr>
            <w:tcW w:w="2559" w:type="dxa"/>
            <w:vMerge/>
          </w:tcPr>
          <w:p w:rsidR="00C04163" w:rsidRPr="00295E71" w:rsidP="00035AC5" w14:paraId="62DDD52B" w14:textId="77777777">
            <w:pPr>
              <w:widowControl w:val="0"/>
              <w:spacing w:before="60"/>
              <w:jc w:val="center"/>
              <w:rPr>
                <w:del w:id="1538"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347CA21" w14:textId="77777777">
            <w:pPr>
              <w:pStyle w:val="EMEANormal"/>
              <w:keepNext/>
              <w:widowControl w:val="0"/>
              <w:spacing w:before="60"/>
              <w:rPr>
                <w:del w:id="1539" w:author="AbbVie14" w:date="2025-05-09T10:29:00Z"/>
                <w:lang w:val="it-IT"/>
              </w:rPr>
            </w:pPr>
            <w:del w:id="1540" w:author="AbbVie14" w:date="2025-05-09T10:29:00Z">
              <w:r w:rsidRPr="00295E71">
                <w:rPr>
                  <w:lang w:val="it-IT"/>
                </w:rPr>
                <w:delText>Comune</w:delText>
              </w:r>
            </w:del>
          </w:p>
          <w:p w:rsidR="00C04163" w:rsidRPr="00295E71" w:rsidP="00C04163" w14:paraId="24224954" w14:textId="77777777">
            <w:pPr>
              <w:pStyle w:val="EMEANormal"/>
              <w:keepNext/>
              <w:widowControl w:val="0"/>
              <w:spacing w:before="60"/>
              <w:rPr>
                <w:del w:id="1541"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263E060" w14:textId="77777777">
            <w:pPr>
              <w:pStyle w:val="EMEANormal"/>
              <w:keepNext/>
              <w:widowControl w:val="0"/>
              <w:spacing w:before="60"/>
              <w:rPr>
                <w:del w:id="1542" w:author="AbbVie14" w:date="2025-05-09T10:29:00Z"/>
                <w:lang w:val="it-IT"/>
              </w:rPr>
            </w:pPr>
            <w:del w:id="1543" w:author="AbbVie14" w:date="2025-05-09T10:29:00Z">
              <w:r w:rsidRPr="00295E71">
                <w:rPr>
                  <w:lang w:val="it-IT"/>
                </w:rPr>
                <w:delText xml:space="preserve">Emorragia gastrointestinale, </w:delText>
              </w:r>
            </w:del>
          </w:p>
          <w:p w:rsidR="00C04163" w:rsidRPr="00295E71" w:rsidP="00C04163" w14:paraId="5CA399F1" w14:textId="77777777">
            <w:pPr>
              <w:pStyle w:val="EMEANormal"/>
              <w:keepNext/>
              <w:widowControl w:val="0"/>
              <w:spacing w:before="60"/>
              <w:rPr>
                <w:del w:id="1544" w:author="AbbVie14" w:date="2025-05-09T10:29:00Z"/>
                <w:lang w:val="it-IT"/>
              </w:rPr>
            </w:pPr>
            <w:del w:id="1545" w:author="AbbVie14" w:date="2025-05-09T10:29:00Z">
              <w:r w:rsidRPr="00295E71">
                <w:rPr>
                  <w:lang w:val="it-IT"/>
                </w:rPr>
                <w:delText>dispepsia,</w:delText>
              </w:r>
            </w:del>
          </w:p>
          <w:p w:rsidR="00C04163" w:rsidRPr="00295E71" w:rsidP="00C04163" w14:paraId="0B558EF1" w14:textId="77777777">
            <w:pPr>
              <w:pStyle w:val="EMEANormal"/>
              <w:keepNext/>
              <w:widowControl w:val="0"/>
              <w:spacing w:before="60"/>
              <w:rPr>
                <w:del w:id="1546" w:author="AbbVie14" w:date="2025-05-09T10:29:00Z"/>
                <w:lang w:val="it-IT"/>
              </w:rPr>
            </w:pPr>
            <w:del w:id="1547" w:author="AbbVie14" w:date="2025-05-09T10:29:00Z">
              <w:r w:rsidRPr="00295E71">
                <w:rPr>
                  <w:lang w:val="it-IT"/>
                </w:rPr>
                <w:delText>malattia da reflusso gastroesofageo,</w:delText>
              </w:r>
            </w:del>
          </w:p>
          <w:p w:rsidR="00C04163" w:rsidRPr="00295E71" w:rsidP="00C04163" w14:paraId="6C59659A" w14:textId="77777777">
            <w:pPr>
              <w:pStyle w:val="EMEANormal"/>
              <w:keepNext/>
              <w:widowControl w:val="0"/>
              <w:spacing w:before="60"/>
              <w:rPr>
                <w:del w:id="1548" w:author="AbbVie14" w:date="2025-05-09T10:29:00Z"/>
                <w:lang w:val="it-IT"/>
              </w:rPr>
            </w:pPr>
            <w:del w:id="1549" w:author="AbbVie14" w:date="2025-05-09T10:29:00Z">
              <w:r w:rsidRPr="00295E71">
                <w:rPr>
                  <w:lang w:val="it-IT"/>
                </w:rPr>
                <w:delText>sindrome sicca</w:delText>
              </w:r>
            </w:del>
          </w:p>
          <w:p w:rsidR="00C04163" w:rsidRPr="00295E71" w:rsidP="00C04163" w14:paraId="3C9BABAC" w14:textId="77777777">
            <w:pPr>
              <w:pStyle w:val="EMEANormal"/>
              <w:keepNext/>
              <w:widowControl w:val="0"/>
              <w:spacing w:before="60"/>
              <w:rPr>
                <w:del w:id="1550" w:author="AbbVie14" w:date="2025-05-09T10:29:00Z"/>
                <w:lang w:val="it-IT"/>
              </w:rPr>
            </w:pPr>
          </w:p>
        </w:tc>
      </w:tr>
      <w:tr w14:paraId="06CF7C65" w14:textId="77777777" w:rsidTr="00C04163">
        <w:tblPrEx>
          <w:tblW w:w="0" w:type="auto"/>
          <w:tblLook w:val="01E0"/>
        </w:tblPrEx>
        <w:trPr>
          <w:cantSplit/>
          <w:del w:id="1551" w:author="AbbVie14" w:date="2025-05-09T10:29:00Z"/>
        </w:trPr>
        <w:tc>
          <w:tcPr>
            <w:tcW w:w="2559" w:type="dxa"/>
            <w:vMerge/>
          </w:tcPr>
          <w:p w:rsidR="00C04163" w:rsidRPr="00295E71" w:rsidP="00035AC5" w14:paraId="4C87A2C1" w14:textId="77777777">
            <w:pPr>
              <w:widowControl w:val="0"/>
              <w:spacing w:before="60"/>
              <w:jc w:val="center"/>
              <w:rPr>
                <w:del w:id="1552"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A7BAA4C" w14:textId="77777777">
            <w:pPr>
              <w:pStyle w:val="EMEANormal"/>
              <w:keepNext/>
              <w:widowControl w:val="0"/>
              <w:spacing w:before="60"/>
              <w:rPr>
                <w:del w:id="1553" w:author="AbbVie14" w:date="2025-05-09T10:29:00Z"/>
                <w:lang w:val="it-IT"/>
              </w:rPr>
            </w:pPr>
            <w:del w:id="1554" w:author="AbbVie14" w:date="2025-05-09T10:29:00Z">
              <w:r w:rsidRPr="00295E71">
                <w:rPr>
                  <w:lang w:val="it-IT"/>
                </w:rPr>
                <w:delText>Non comune</w:delText>
              </w:r>
            </w:del>
          </w:p>
          <w:p w:rsidR="00C04163" w:rsidRPr="00295E71" w:rsidP="00C04163" w14:paraId="4540D377" w14:textId="77777777">
            <w:pPr>
              <w:pStyle w:val="EMEANormal"/>
              <w:keepNext/>
              <w:widowControl w:val="0"/>
              <w:spacing w:before="60"/>
              <w:rPr>
                <w:del w:id="1555"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2FD5C5D" w14:textId="77777777">
            <w:pPr>
              <w:pStyle w:val="EMEANormal"/>
              <w:keepNext/>
              <w:widowControl w:val="0"/>
              <w:spacing w:before="60"/>
              <w:rPr>
                <w:del w:id="1556" w:author="AbbVie14" w:date="2025-05-09T10:29:00Z"/>
                <w:lang w:val="it-IT"/>
              </w:rPr>
            </w:pPr>
            <w:del w:id="1557" w:author="AbbVie14" w:date="2025-05-09T10:29:00Z">
              <w:r w:rsidRPr="00295E71">
                <w:rPr>
                  <w:lang w:val="it-IT"/>
                </w:rPr>
                <w:delText xml:space="preserve">Pancreatite, </w:delText>
              </w:r>
            </w:del>
          </w:p>
          <w:p w:rsidR="00C04163" w:rsidRPr="00295E71" w:rsidP="00C04163" w14:paraId="2CCD3759" w14:textId="77777777">
            <w:pPr>
              <w:pStyle w:val="EMEANormal"/>
              <w:keepNext/>
              <w:widowControl w:val="0"/>
              <w:spacing w:before="60"/>
              <w:rPr>
                <w:del w:id="1558" w:author="AbbVie14" w:date="2025-05-09T10:29:00Z"/>
                <w:lang w:val="it-IT"/>
              </w:rPr>
            </w:pPr>
            <w:del w:id="1559" w:author="AbbVie14" w:date="2025-05-09T10:29:00Z">
              <w:r w:rsidRPr="00295E71">
                <w:rPr>
                  <w:lang w:val="it-IT"/>
                </w:rPr>
                <w:delText>disfagia</w:delText>
              </w:r>
            </w:del>
          </w:p>
          <w:p w:rsidR="00C04163" w:rsidRPr="00295E71" w:rsidP="00C04163" w14:paraId="57D129D2" w14:textId="77777777">
            <w:pPr>
              <w:pStyle w:val="EMEANormal"/>
              <w:keepNext/>
              <w:widowControl w:val="0"/>
              <w:spacing w:before="60"/>
              <w:rPr>
                <w:del w:id="1560" w:author="AbbVie14" w:date="2025-05-09T10:29:00Z"/>
                <w:lang w:val="it-IT"/>
              </w:rPr>
            </w:pPr>
            <w:del w:id="1561" w:author="AbbVie14" w:date="2025-05-09T10:29:00Z">
              <w:r w:rsidRPr="00295E71">
                <w:rPr>
                  <w:lang w:val="it-IT"/>
                </w:rPr>
                <w:delText>edema facciale</w:delText>
              </w:r>
            </w:del>
          </w:p>
          <w:p w:rsidR="00C04163" w:rsidRPr="00295E71" w:rsidP="00C04163" w14:paraId="0E3E4AFD" w14:textId="77777777">
            <w:pPr>
              <w:pStyle w:val="EMEANormal"/>
              <w:keepNext/>
              <w:widowControl w:val="0"/>
              <w:spacing w:before="60"/>
              <w:rPr>
                <w:del w:id="1562" w:author="AbbVie14" w:date="2025-05-09T10:29:00Z"/>
                <w:lang w:val="it-IT"/>
              </w:rPr>
            </w:pPr>
          </w:p>
        </w:tc>
      </w:tr>
      <w:tr w14:paraId="75512365" w14:textId="77777777" w:rsidTr="00C04163">
        <w:tblPrEx>
          <w:tblW w:w="0" w:type="auto"/>
          <w:tblLook w:val="01E0"/>
        </w:tblPrEx>
        <w:trPr>
          <w:cantSplit/>
          <w:del w:id="1563" w:author="AbbVie14" w:date="2025-05-09T10:29:00Z"/>
        </w:trPr>
        <w:tc>
          <w:tcPr>
            <w:tcW w:w="2559" w:type="dxa"/>
            <w:vMerge/>
          </w:tcPr>
          <w:p w:rsidR="00C04163" w:rsidRPr="00295E71" w:rsidP="00035AC5" w14:paraId="60E3CFCF" w14:textId="77777777">
            <w:pPr>
              <w:widowControl w:val="0"/>
              <w:spacing w:before="60"/>
              <w:jc w:val="center"/>
              <w:rPr>
                <w:del w:id="1564"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1EA81CFB" w14:textId="77777777">
            <w:pPr>
              <w:pStyle w:val="EMEANormal"/>
              <w:keepNext/>
              <w:widowControl w:val="0"/>
              <w:spacing w:before="60"/>
              <w:rPr>
                <w:del w:id="1565" w:author="AbbVie14" w:date="2025-05-09T10:29:00Z"/>
                <w:lang w:val="it-IT"/>
              </w:rPr>
            </w:pPr>
            <w:del w:id="1566" w:author="AbbVie14" w:date="2025-05-09T10:29: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326C886D" w14:textId="77777777">
            <w:pPr>
              <w:pStyle w:val="EMEANormal"/>
              <w:keepNext/>
              <w:widowControl w:val="0"/>
              <w:spacing w:before="60"/>
              <w:rPr>
                <w:del w:id="1567" w:author="AbbVie14" w:date="2025-05-09T10:29:00Z"/>
                <w:lang w:val="it-IT"/>
              </w:rPr>
            </w:pPr>
            <w:del w:id="1568" w:author="AbbVie14" w:date="2025-05-09T10:29:00Z">
              <w:r w:rsidRPr="00295E71">
                <w:rPr>
                  <w:lang w:val="it-IT"/>
                </w:rPr>
                <w:delText>Perforazione intestinale</w:delText>
              </w:r>
            </w:del>
            <w:del w:id="1569" w:author="AbbVie14" w:date="2025-05-09T10:29:00Z">
              <w:r w:rsidRPr="00C04163">
                <w:rPr>
                  <w:lang w:val="it-IT"/>
                </w:rPr>
                <w:delText>1)</w:delText>
              </w:r>
            </w:del>
          </w:p>
          <w:p w:rsidR="00C04163" w:rsidRPr="00295E71" w:rsidP="00C04163" w14:paraId="08BA7CC4" w14:textId="77777777">
            <w:pPr>
              <w:pStyle w:val="EMEANormal"/>
              <w:keepNext/>
              <w:widowControl w:val="0"/>
              <w:spacing w:before="60"/>
              <w:rPr>
                <w:del w:id="1570" w:author="AbbVie14" w:date="2025-05-09T10:29:00Z"/>
                <w:lang w:val="it-IT"/>
              </w:rPr>
            </w:pPr>
          </w:p>
        </w:tc>
      </w:tr>
      <w:tr w14:paraId="72CE8856" w14:textId="77777777" w:rsidTr="00C04163">
        <w:tblPrEx>
          <w:tblW w:w="0" w:type="auto"/>
          <w:tblLook w:val="01E0"/>
        </w:tblPrEx>
        <w:trPr>
          <w:cantSplit/>
          <w:del w:id="1571" w:author="AbbVie14" w:date="2025-05-09T10:29:00Z"/>
        </w:trPr>
        <w:tc>
          <w:tcPr>
            <w:tcW w:w="2559" w:type="dxa"/>
            <w:vMerge w:val="restart"/>
          </w:tcPr>
          <w:p w:rsidR="00C04163" w:rsidRPr="00295E71" w:rsidP="00035AC5" w14:paraId="44C7E2BC" w14:textId="77777777">
            <w:pPr>
              <w:pStyle w:val="EMEANormal"/>
              <w:widowControl w:val="0"/>
              <w:spacing w:before="60"/>
              <w:rPr>
                <w:del w:id="1572" w:author="AbbVie14" w:date="2025-05-09T10:29:00Z"/>
                <w:lang w:val="it-IT"/>
              </w:rPr>
            </w:pPr>
            <w:del w:id="1573" w:author="AbbVie14" w:date="2025-05-09T10:29:00Z">
              <w:r w:rsidRPr="00295E71">
                <w:rPr>
                  <w:lang w:val="it-IT"/>
                </w:rPr>
                <w:delText>Patologie epatobiliari*</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35228AE" w14:textId="77777777">
            <w:pPr>
              <w:pStyle w:val="EMEANormal"/>
              <w:keepNext/>
              <w:widowControl w:val="0"/>
              <w:spacing w:before="60"/>
              <w:rPr>
                <w:del w:id="1574" w:author="AbbVie14" w:date="2025-05-09T10:29:00Z"/>
                <w:lang w:val="it-IT"/>
              </w:rPr>
            </w:pPr>
            <w:del w:id="1575" w:author="AbbVie14" w:date="2025-05-09T10:29:00Z">
              <w:r w:rsidRPr="00295E71">
                <w:rPr>
                  <w:lang w:val="it-IT"/>
                </w:rPr>
                <w:delText>Molto comune</w:delText>
              </w:r>
            </w:del>
          </w:p>
          <w:p w:rsidR="00C04163" w:rsidRPr="00295E71" w:rsidP="00C04163" w14:paraId="41EF61A5" w14:textId="77777777">
            <w:pPr>
              <w:pStyle w:val="EMEANormal"/>
              <w:keepNext/>
              <w:widowControl w:val="0"/>
              <w:spacing w:before="60"/>
              <w:rPr>
                <w:del w:id="1576"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781C6E5" w14:textId="77777777">
            <w:pPr>
              <w:pStyle w:val="EMEANormal"/>
              <w:keepNext/>
              <w:widowControl w:val="0"/>
              <w:spacing w:before="60"/>
              <w:rPr>
                <w:del w:id="1577" w:author="AbbVie14" w:date="2025-05-09T10:29:00Z"/>
                <w:lang w:val="it-IT"/>
              </w:rPr>
            </w:pPr>
            <w:del w:id="1578" w:author="AbbVie14" w:date="2025-05-09T10:29:00Z">
              <w:r w:rsidRPr="00295E71">
                <w:rPr>
                  <w:lang w:val="it-IT"/>
                </w:rPr>
                <w:delText>Aumento degli enzimi epatici</w:delText>
              </w:r>
            </w:del>
          </w:p>
          <w:p w:rsidR="00C04163" w:rsidRPr="00295E71" w:rsidP="00C04163" w14:paraId="68B7EB66" w14:textId="77777777">
            <w:pPr>
              <w:pStyle w:val="EMEANormal"/>
              <w:keepNext/>
              <w:widowControl w:val="0"/>
              <w:spacing w:before="60"/>
              <w:rPr>
                <w:del w:id="1579" w:author="AbbVie14" w:date="2025-05-09T10:29:00Z"/>
                <w:lang w:val="it-IT"/>
              </w:rPr>
            </w:pPr>
          </w:p>
        </w:tc>
      </w:tr>
      <w:tr w14:paraId="3ABC230A" w14:textId="77777777" w:rsidTr="00C04163">
        <w:tblPrEx>
          <w:tblW w:w="0" w:type="auto"/>
          <w:tblLook w:val="01E0"/>
        </w:tblPrEx>
        <w:trPr>
          <w:cantSplit/>
          <w:del w:id="1580" w:author="AbbVie14" w:date="2025-05-09T10:29:00Z"/>
        </w:trPr>
        <w:tc>
          <w:tcPr>
            <w:tcW w:w="2559" w:type="dxa"/>
            <w:vMerge/>
          </w:tcPr>
          <w:p w:rsidR="00C04163" w:rsidRPr="00295E71" w:rsidP="00035AC5" w14:paraId="785134BD" w14:textId="77777777">
            <w:pPr>
              <w:pStyle w:val="EMEANormal"/>
              <w:widowControl w:val="0"/>
              <w:spacing w:before="60"/>
              <w:rPr>
                <w:del w:id="1581"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5E612D45" w14:textId="77777777">
            <w:pPr>
              <w:pStyle w:val="EMEANormal"/>
              <w:keepNext/>
              <w:widowControl w:val="0"/>
              <w:spacing w:before="60"/>
              <w:rPr>
                <w:del w:id="1582" w:author="AbbVie14" w:date="2025-05-09T10:29:00Z"/>
                <w:lang w:val="it-IT"/>
              </w:rPr>
            </w:pPr>
            <w:del w:id="1583" w:author="AbbVie14" w:date="2025-05-09T10:29:00Z">
              <w:r w:rsidRPr="00295E71">
                <w:rPr>
                  <w:lang w:val="it-IT"/>
                </w:rPr>
                <w:delText>Non comune</w:delText>
              </w:r>
            </w:del>
          </w:p>
          <w:p w:rsidR="00C04163" w:rsidRPr="00295E71" w:rsidP="00C04163" w14:paraId="51129E96" w14:textId="77777777">
            <w:pPr>
              <w:pStyle w:val="EMEANormal"/>
              <w:keepNext/>
              <w:widowControl w:val="0"/>
              <w:spacing w:before="60"/>
              <w:rPr>
                <w:del w:id="1584"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25AB742" w14:textId="77777777">
            <w:pPr>
              <w:pStyle w:val="EMEANormal"/>
              <w:keepNext/>
              <w:widowControl w:val="0"/>
              <w:spacing w:before="60"/>
              <w:rPr>
                <w:del w:id="1585" w:author="AbbVie14" w:date="2025-05-09T10:29:00Z"/>
                <w:lang w:val="it-IT"/>
              </w:rPr>
            </w:pPr>
            <w:del w:id="1586" w:author="AbbVie14" w:date="2025-05-09T10:29:00Z">
              <w:r w:rsidRPr="00295E71">
                <w:rPr>
                  <w:lang w:val="it-IT"/>
                </w:rPr>
                <w:delText xml:space="preserve">Colecistite e colelitiasi, </w:delText>
              </w:r>
            </w:del>
          </w:p>
          <w:p w:rsidR="00C04163" w:rsidRPr="00295E71" w:rsidP="00C04163" w14:paraId="7D3545DA" w14:textId="77777777">
            <w:pPr>
              <w:pStyle w:val="EMEANormal"/>
              <w:keepNext/>
              <w:widowControl w:val="0"/>
              <w:spacing w:before="60"/>
              <w:rPr>
                <w:del w:id="1587" w:author="AbbVie14" w:date="2025-05-09T10:29:00Z"/>
                <w:lang w:val="it-IT"/>
              </w:rPr>
            </w:pPr>
            <w:del w:id="1588" w:author="AbbVie14" w:date="2025-05-09T10:29:00Z">
              <w:r w:rsidRPr="00295E71">
                <w:rPr>
                  <w:lang w:val="it-IT"/>
                </w:rPr>
                <w:delText>steatosi epatica,</w:delText>
              </w:r>
            </w:del>
          </w:p>
          <w:p w:rsidR="00C04163" w:rsidRPr="00295E71" w:rsidP="00C04163" w14:paraId="7FC5A517" w14:textId="77777777">
            <w:pPr>
              <w:pStyle w:val="EMEANormal"/>
              <w:keepNext/>
              <w:widowControl w:val="0"/>
              <w:spacing w:before="60"/>
              <w:rPr>
                <w:del w:id="1589" w:author="AbbVie14" w:date="2025-05-09T10:29:00Z"/>
                <w:lang w:val="it-IT"/>
              </w:rPr>
            </w:pPr>
            <w:del w:id="1590" w:author="AbbVie14" w:date="2025-05-09T10:29:00Z">
              <w:r w:rsidRPr="00295E71">
                <w:rPr>
                  <w:lang w:val="it-IT"/>
                </w:rPr>
                <w:delText>aumento della bilirubina,</w:delText>
              </w:r>
            </w:del>
          </w:p>
          <w:p w:rsidR="00C04163" w:rsidRPr="00295E71" w:rsidP="00C04163" w14:paraId="5C5B6EF2" w14:textId="77777777">
            <w:pPr>
              <w:pStyle w:val="EMEANormal"/>
              <w:keepNext/>
              <w:widowControl w:val="0"/>
              <w:spacing w:before="60"/>
              <w:rPr>
                <w:del w:id="1591" w:author="AbbVie14" w:date="2025-05-09T10:29:00Z"/>
                <w:lang w:val="it-IT"/>
              </w:rPr>
            </w:pPr>
          </w:p>
        </w:tc>
      </w:tr>
      <w:tr w14:paraId="4F79E75E" w14:textId="77777777" w:rsidTr="00C04163">
        <w:tblPrEx>
          <w:tblW w:w="0" w:type="auto"/>
          <w:tblLook w:val="01E0"/>
        </w:tblPrEx>
        <w:trPr>
          <w:cantSplit/>
          <w:del w:id="1592" w:author="AbbVie14" w:date="2025-05-09T10:29:00Z"/>
        </w:trPr>
        <w:tc>
          <w:tcPr>
            <w:tcW w:w="2559" w:type="dxa"/>
            <w:vMerge/>
          </w:tcPr>
          <w:p w:rsidR="00C04163" w:rsidRPr="00295E71" w:rsidP="00035AC5" w14:paraId="5E990A67" w14:textId="77777777">
            <w:pPr>
              <w:pStyle w:val="EMEANormal"/>
              <w:widowControl w:val="0"/>
              <w:spacing w:before="60"/>
              <w:rPr>
                <w:del w:id="1593"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030EE1B" w14:textId="77777777">
            <w:pPr>
              <w:pStyle w:val="EMEANormal"/>
              <w:keepNext/>
              <w:widowControl w:val="0"/>
              <w:spacing w:before="60"/>
              <w:rPr>
                <w:del w:id="1594" w:author="AbbVie14" w:date="2025-05-09T10:29:00Z"/>
                <w:lang w:val="it-IT"/>
              </w:rPr>
            </w:pPr>
            <w:del w:id="1595" w:author="AbbVie14" w:date="2025-05-09T10:29: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02B4FBB" w14:textId="77777777">
            <w:pPr>
              <w:pStyle w:val="EMEANormal"/>
              <w:keepNext/>
              <w:widowControl w:val="0"/>
              <w:spacing w:before="60"/>
              <w:rPr>
                <w:del w:id="1596" w:author="AbbVie14" w:date="2025-05-09T10:29:00Z"/>
                <w:lang w:val="it-IT"/>
              </w:rPr>
            </w:pPr>
            <w:del w:id="1597" w:author="AbbVie14" w:date="2025-05-09T10:29:00Z">
              <w:r w:rsidRPr="00295E71">
                <w:rPr>
                  <w:lang w:val="it-IT"/>
                </w:rPr>
                <w:delText>Epatite</w:delText>
              </w:r>
            </w:del>
          </w:p>
          <w:p w:rsidR="00C04163" w:rsidRPr="00C04163" w:rsidP="00C04163" w14:paraId="789EB589" w14:textId="77777777">
            <w:pPr>
              <w:pStyle w:val="EMEANormal"/>
              <w:keepNext/>
              <w:widowControl w:val="0"/>
              <w:spacing w:before="60"/>
              <w:rPr>
                <w:del w:id="1598" w:author="AbbVie14" w:date="2025-05-09T10:29:00Z"/>
                <w:lang w:val="it-IT"/>
              </w:rPr>
            </w:pPr>
            <w:del w:id="1599" w:author="AbbVie14" w:date="2025-05-09T10:29:00Z">
              <w:r w:rsidRPr="00295E71">
                <w:rPr>
                  <w:lang w:val="it-IT"/>
                </w:rPr>
                <w:delText xml:space="preserve">riattivazione </w:delText>
              </w:r>
            </w:del>
            <w:del w:id="1600" w:author="AbbVie14" w:date="2025-05-09T10:29:00Z">
              <w:r>
                <w:rPr>
                  <w:lang w:val="it-IT"/>
                </w:rPr>
                <w:delText>dell’</w:delText>
              </w:r>
            </w:del>
            <w:del w:id="1601" w:author="AbbVie14" w:date="2025-05-09T10:29:00Z">
              <w:r w:rsidRPr="00295E71">
                <w:rPr>
                  <w:lang w:val="it-IT"/>
                </w:rPr>
                <w:delText xml:space="preserve">epatite B </w:delText>
              </w:r>
            </w:del>
            <w:del w:id="1602" w:author="AbbVie14" w:date="2025-05-09T10:29:00Z">
              <w:r w:rsidRPr="00C04163">
                <w:rPr>
                  <w:lang w:val="it-IT"/>
                </w:rPr>
                <w:delText>1)</w:delText>
              </w:r>
            </w:del>
            <w:del w:id="1603" w:author="AbbVie14" w:date="2025-05-09T10:29:00Z">
              <w:r w:rsidRPr="00295E71">
                <w:rPr>
                  <w:lang w:val="it-IT"/>
                </w:rPr>
                <w:delText>,</w:delText>
              </w:r>
            </w:del>
          </w:p>
          <w:p w:rsidR="00C04163" w:rsidRPr="00C04163" w:rsidP="00C04163" w14:paraId="7BA74B97" w14:textId="77777777">
            <w:pPr>
              <w:pStyle w:val="EMEANormal"/>
              <w:keepNext/>
              <w:widowControl w:val="0"/>
              <w:spacing w:before="60"/>
              <w:rPr>
                <w:del w:id="1604" w:author="AbbVie14" w:date="2025-05-09T10:29:00Z"/>
                <w:lang w:val="it-IT"/>
              </w:rPr>
            </w:pPr>
            <w:del w:id="1605" w:author="AbbVie14" w:date="2025-05-09T10:29:00Z">
              <w:r w:rsidRPr="00295E71">
                <w:rPr>
                  <w:lang w:val="it-IT"/>
                </w:rPr>
                <w:delText xml:space="preserve">epatite autoimmune </w:delText>
              </w:r>
            </w:del>
            <w:del w:id="1606" w:author="AbbVie14" w:date="2025-05-09T10:29:00Z">
              <w:r w:rsidRPr="00C04163">
                <w:rPr>
                  <w:lang w:val="it-IT"/>
                </w:rPr>
                <w:delText>1)</w:delText>
              </w:r>
            </w:del>
          </w:p>
          <w:p w:rsidR="00C04163" w:rsidRPr="00295E71" w:rsidP="00C04163" w14:paraId="5C0BE5C0" w14:textId="77777777">
            <w:pPr>
              <w:pStyle w:val="EMEANormal"/>
              <w:keepNext/>
              <w:widowControl w:val="0"/>
              <w:spacing w:before="60"/>
              <w:rPr>
                <w:del w:id="1607" w:author="AbbVie14" w:date="2025-05-09T10:29:00Z"/>
                <w:lang w:val="it-IT"/>
              </w:rPr>
            </w:pPr>
          </w:p>
        </w:tc>
      </w:tr>
      <w:tr w14:paraId="7D62686D" w14:textId="77777777" w:rsidTr="00C04163">
        <w:tblPrEx>
          <w:tblW w:w="0" w:type="auto"/>
          <w:tblLook w:val="01E0"/>
        </w:tblPrEx>
        <w:trPr>
          <w:cantSplit/>
          <w:del w:id="1608" w:author="AbbVie14" w:date="2025-05-09T10:29:00Z"/>
        </w:trPr>
        <w:tc>
          <w:tcPr>
            <w:tcW w:w="2559" w:type="dxa"/>
            <w:vMerge/>
          </w:tcPr>
          <w:p w:rsidR="00C04163" w:rsidRPr="00295E71" w:rsidP="00035AC5" w14:paraId="12ADDB37" w14:textId="77777777">
            <w:pPr>
              <w:pStyle w:val="EMEANormal"/>
              <w:widowControl w:val="0"/>
              <w:spacing w:before="60"/>
              <w:rPr>
                <w:del w:id="1609"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2BF8D32" w14:textId="77777777">
            <w:pPr>
              <w:pStyle w:val="EMEANormal"/>
              <w:keepNext/>
              <w:widowControl w:val="0"/>
              <w:spacing w:before="60"/>
              <w:rPr>
                <w:del w:id="1610" w:author="AbbVie14" w:date="2025-05-09T10:29:00Z"/>
                <w:lang w:val="it-IT"/>
              </w:rPr>
            </w:pPr>
            <w:del w:id="1611" w:author="AbbVie14" w:date="2025-05-09T10:29:00Z">
              <w:r w:rsidRPr="00295E71">
                <w:rPr>
                  <w:lang w:val="it-IT"/>
                </w:rPr>
                <w:delText>Non nota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79988430" w14:textId="77777777">
            <w:pPr>
              <w:pStyle w:val="EMEANormal"/>
              <w:keepNext/>
              <w:widowControl w:val="0"/>
              <w:spacing w:before="60"/>
              <w:rPr>
                <w:del w:id="1612" w:author="AbbVie14" w:date="2025-05-09T10:29:00Z"/>
                <w:lang w:val="it-IT"/>
              </w:rPr>
            </w:pPr>
            <w:del w:id="1613" w:author="AbbVie14" w:date="2025-05-09T10:29:00Z">
              <w:r w:rsidRPr="00295E71">
                <w:rPr>
                  <w:lang w:val="it-IT"/>
                </w:rPr>
                <w:delText xml:space="preserve">Insufficienza epatica </w:delText>
              </w:r>
            </w:del>
            <w:del w:id="1614" w:author="AbbVie14" w:date="2025-05-09T10:29:00Z">
              <w:r w:rsidRPr="00C04163">
                <w:rPr>
                  <w:lang w:val="it-IT"/>
                </w:rPr>
                <w:delText>1)</w:delText>
              </w:r>
            </w:del>
          </w:p>
          <w:p w:rsidR="00C04163" w:rsidRPr="00295E71" w:rsidP="00C04163" w14:paraId="6B141B26" w14:textId="77777777">
            <w:pPr>
              <w:pStyle w:val="EMEANormal"/>
              <w:keepNext/>
              <w:widowControl w:val="0"/>
              <w:spacing w:before="60"/>
              <w:rPr>
                <w:del w:id="1615" w:author="AbbVie14" w:date="2025-05-09T10:29:00Z"/>
                <w:lang w:val="it-IT"/>
              </w:rPr>
            </w:pPr>
          </w:p>
        </w:tc>
      </w:tr>
      <w:tr w14:paraId="64663865" w14:textId="77777777" w:rsidTr="00C04163">
        <w:tblPrEx>
          <w:tblW w:w="0" w:type="auto"/>
          <w:tblLook w:val="01E0"/>
        </w:tblPrEx>
        <w:trPr>
          <w:cantSplit/>
          <w:del w:id="1616" w:author="AbbVie14" w:date="2025-05-09T10:29:00Z"/>
        </w:trPr>
        <w:tc>
          <w:tcPr>
            <w:tcW w:w="2559" w:type="dxa"/>
          </w:tcPr>
          <w:p w:rsidR="00C04163" w:rsidRPr="00295E71" w:rsidP="00035AC5" w14:paraId="434D25E4" w14:textId="77777777">
            <w:pPr>
              <w:pStyle w:val="IndexHeading"/>
              <w:widowControl w:val="0"/>
              <w:tabs>
                <w:tab w:val="clear" w:pos="567"/>
              </w:tabs>
              <w:spacing w:before="120" w:after="120" w:line="240" w:lineRule="auto"/>
              <w:jc w:val="center"/>
              <w:rPr>
                <w:del w:id="1617" w:author="AbbVie14" w:date="2025-05-09T10:29:00Z"/>
                <w:rFonts w:ascii="Times New Roman" w:hAnsi="Times New Roman" w:cs="Times New Roman"/>
                <w:lang w:val="it-IT" w:eastAsia="it-IT"/>
              </w:rPr>
            </w:pPr>
            <w:del w:id="1618" w:author="AbbVie14" w:date="2025-05-09T10:29:00Z">
              <w:r w:rsidRPr="00295E71">
                <w:rPr>
                  <w:rFonts w:ascii="Times New Roman" w:hAnsi="Times New Roman" w:cs="Times New Roman"/>
                  <w:lang w:val="it-IT" w:eastAsia="it-IT"/>
                </w:rPr>
                <w:delText>Classificazione per sistemi e organi</w:delText>
              </w:r>
            </w:del>
          </w:p>
        </w:tc>
        <w:tc>
          <w:tcPr>
            <w:tcW w:w="2038" w:type="dxa"/>
            <w:tcBorders>
              <w:top w:val="single" w:sz="4" w:space="0" w:color="auto"/>
              <w:left w:val="single" w:sz="4" w:space="0" w:color="auto"/>
              <w:bottom w:val="single" w:sz="4" w:space="0" w:color="auto"/>
              <w:right w:val="single" w:sz="4" w:space="0" w:color="auto"/>
            </w:tcBorders>
          </w:tcPr>
          <w:p w:rsidR="00C04163" w:rsidRPr="00C04163" w:rsidP="00C04163" w14:paraId="01B38542" w14:textId="77777777">
            <w:pPr>
              <w:pStyle w:val="EMEANormal"/>
              <w:keepNext/>
              <w:spacing w:before="60"/>
              <w:rPr>
                <w:del w:id="1619" w:author="AbbVie14" w:date="2025-05-09T10:29:00Z"/>
                <w:lang w:val="it-IT"/>
              </w:rPr>
            </w:pPr>
            <w:del w:id="1620" w:author="AbbVie14" w:date="2025-05-09T10:29:00Z">
              <w:r w:rsidRPr="00295E71">
                <w:rPr>
                  <w:lang w:val="it-IT"/>
                </w:rPr>
                <w:delText>Frequenza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5F0BD7E4" w14:textId="77777777">
            <w:pPr>
              <w:pStyle w:val="EMEANormal"/>
              <w:keepNext/>
              <w:spacing w:before="60"/>
              <w:rPr>
                <w:del w:id="1621" w:author="AbbVie14" w:date="2025-05-09T10:29:00Z"/>
                <w:lang w:val="it-IT"/>
              </w:rPr>
            </w:pPr>
            <w:del w:id="1622" w:author="AbbVie14" w:date="2025-05-09T10:29:00Z">
              <w:r w:rsidRPr="00295E71">
                <w:rPr>
                  <w:lang w:val="it-IT"/>
                </w:rPr>
                <w:delText>Reazione avversa</w:delText>
              </w:r>
            </w:del>
          </w:p>
        </w:tc>
      </w:tr>
      <w:tr w14:paraId="26BFFF32" w14:textId="77777777" w:rsidTr="00C04163">
        <w:tblPrEx>
          <w:tblW w:w="0" w:type="auto"/>
          <w:tblLook w:val="01E0"/>
        </w:tblPrEx>
        <w:trPr>
          <w:cantSplit/>
          <w:del w:id="1623" w:author="AbbVie14" w:date="2025-05-09T10:29:00Z"/>
        </w:trPr>
        <w:tc>
          <w:tcPr>
            <w:tcW w:w="2559" w:type="dxa"/>
            <w:vMerge w:val="restart"/>
          </w:tcPr>
          <w:p w:rsidR="00C04163" w:rsidRPr="00295E71" w:rsidP="00035AC5" w14:paraId="408E611E" w14:textId="77777777">
            <w:pPr>
              <w:pStyle w:val="EMEANormal"/>
              <w:widowControl w:val="0"/>
              <w:spacing w:before="60"/>
              <w:rPr>
                <w:del w:id="1624" w:author="AbbVie14" w:date="2025-05-09T10:29:00Z"/>
                <w:lang w:val="it-IT"/>
              </w:rPr>
            </w:pPr>
            <w:del w:id="1625" w:author="AbbVie14" w:date="2025-05-09T10:29:00Z">
              <w:r w:rsidRPr="00295E71">
                <w:rPr>
                  <w:lang w:val="it-IT"/>
                </w:rPr>
                <w:delText>Patologie della cute e del tessuto sottocutaneo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130A15A" w14:textId="77777777">
            <w:pPr>
              <w:pStyle w:val="EMEANormal"/>
              <w:keepNext/>
              <w:widowControl w:val="0"/>
              <w:spacing w:before="60"/>
              <w:rPr>
                <w:del w:id="1626" w:author="AbbVie14" w:date="2025-05-09T10:29:00Z"/>
                <w:lang w:val="it-IT"/>
              </w:rPr>
            </w:pPr>
            <w:del w:id="1627" w:author="AbbVie14" w:date="2025-05-09T10:29:00Z">
              <w:r w:rsidRPr="00295E71">
                <w:rPr>
                  <w:lang w:val="it-IT"/>
                </w:rPr>
                <w:delText>Molto comune</w:delText>
              </w:r>
            </w:del>
          </w:p>
          <w:p w:rsidR="00C04163" w:rsidRPr="00295E71" w:rsidP="00C04163" w14:paraId="31AAD14A" w14:textId="77777777">
            <w:pPr>
              <w:pStyle w:val="EMEANormal"/>
              <w:keepNext/>
              <w:widowControl w:val="0"/>
              <w:spacing w:before="60"/>
              <w:rPr>
                <w:del w:id="1628"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12BC453" w14:textId="77777777">
            <w:pPr>
              <w:pStyle w:val="EMEANormal"/>
              <w:keepNext/>
              <w:widowControl w:val="0"/>
              <w:spacing w:before="60"/>
              <w:rPr>
                <w:del w:id="1629" w:author="AbbVie14" w:date="2025-05-09T10:29:00Z"/>
                <w:lang w:val="it-IT"/>
              </w:rPr>
            </w:pPr>
            <w:del w:id="1630" w:author="AbbVie14" w:date="2025-05-09T10:29:00Z">
              <w:r w:rsidRPr="00295E71">
                <w:rPr>
                  <w:lang w:val="it-IT"/>
                </w:rPr>
                <w:delText>Rash (tra cui rash esfoliativo)</w:delText>
              </w:r>
            </w:del>
          </w:p>
          <w:p w:rsidR="00C04163" w:rsidRPr="00295E71" w:rsidP="00C04163" w14:paraId="07175FB9" w14:textId="77777777">
            <w:pPr>
              <w:pStyle w:val="EMEANormal"/>
              <w:keepNext/>
              <w:widowControl w:val="0"/>
              <w:spacing w:before="60"/>
              <w:rPr>
                <w:del w:id="1631" w:author="AbbVie14" w:date="2025-05-09T10:29:00Z"/>
                <w:lang w:val="it-IT"/>
              </w:rPr>
            </w:pPr>
          </w:p>
        </w:tc>
      </w:tr>
      <w:tr w14:paraId="4887F4F9" w14:textId="77777777" w:rsidTr="00C04163">
        <w:tblPrEx>
          <w:tblW w:w="0" w:type="auto"/>
          <w:tblLook w:val="01E0"/>
        </w:tblPrEx>
        <w:trPr>
          <w:cantSplit/>
          <w:del w:id="1632" w:author="AbbVie14" w:date="2025-05-09T10:29:00Z"/>
        </w:trPr>
        <w:tc>
          <w:tcPr>
            <w:tcW w:w="2559" w:type="dxa"/>
            <w:vMerge/>
          </w:tcPr>
          <w:p w:rsidR="00C04163" w:rsidRPr="00295E71" w:rsidP="00035AC5" w14:paraId="2EADEEFA" w14:textId="77777777">
            <w:pPr>
              <w:widowControl w:val="0"/>
              <w:spacing w:before="60"/>
              <w:jc w:val="center"/>
              <w:rPr>
                <w:del w:id="1633"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1B5CBCA" w14:textId="77777777">
            <w:pPr>
              <w:pStyle w:val="EMEANormal"/>
              <w:keepNext/>
              <w:widowControl w:val="0"/>
              <w:spacing w:before="60"/>
              <w:rPr>
                <w:del w:id="1634" w:author="AbbVie14" w:date="2025-05-09T10:29:00Z"/>
                <w:lang w:val="it-IT"/>
              </w:rPr>
            </w:pPr>
            <w:del w:id="1635" w:author="AbbVie14" w:date="2025-05-09T10:29:00Z">
              <w:r w:rsidRPr="00295E71">
                <w:rPr>
                  <w:lang w:val="it-IT"/>
                </w:rPr>
                <w:delText>Comune</w:delText>
              </w:r>
            </w:del>
          </w:p>
          <w:p w:rsidR="00C04163" w:rsidRPr="00295E71" w:rsidP="00C04163" w14:paraId="1657FA36" w14:textId="77777777">
            <w:pPr>
              <w:pStyle w:val="EMEANormal"/>
              <w:keepNext/>
              <w:widowControl w:val="0"/>
              <w:spacing w:before="60"/>
              <w:rPr>
                <w:del w:id="1636"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826A21D" w14:textId="77777777">
            <w:pPr>
              <w:pStyle w:val="EMEANormal"/>
              <w:keepNext/>
              <w:widowControl w:val="0"/>
              <w:spacing w:before="60"/>
              <w:rPr>
                <w:del w:id="1637" w:author="AbbVie14" w:date="2025-05-09T10:29:00Z"/>
                <w:lang w:val="it-IT"/>
              </w:rPr>
            </w:pPr>
            <w:del w:id="1638" w:author="AbbVie14" w:date="2025-05-09T10:29:00Z">
              <w:r w:rsidRPr="00295E71">
                <w:rPr>
                  <w:lang w:val="it-IT"/>
                </w:rPr>
                <w:delText>Peggioramento o insorgenza di psoriasi (tra cui psoriasi pustol</w:delText>
              </w:r>
            </w:del>
            <w:del w:id="1639" w:author="AbbVie14" w:date="2025-05-09T10:29:00Z">
              <w:r>
                <w:rPr>
                  <w:lang w:val="it-IT"/>
                </w:rPr>
                <w:delText>osa</w:delText>
              </w:r>
            </w:del>
            <w:del w:id="1640" w:author="AbbVie14" w:date="2025-05-09T10:29:00Z">
              <w:r w:rsidRPr="00295E71">
                <w:rPr>
                  <w:lang w:val="it-IT"/>
                </w:rPr>
                <w:delText xml:space="preserve"> palmoplantare)</w:delText>
              </w:r>
            </w:del>
            <w:del w:id="1641" w:author="AbbVie14" w:date="2025-05-09T10:29:00Z">
              <w:r w:rsidRPr="00C04163">
                <w:rPr>
                  <w:lang w:val="it-IT"/>
                </w:rPr>
                <w:delText xml:space="preserve"> 1)</w:delText>
              </w:r>
            </w:del>
            <w:del w:id="1642" w:author="AbbVie14" w:date="2025-05-09T10:29:00Z">
              <w:r w:rsidRPr="00295E71">
                <w:rPr>
                  <w:lang w:val="it-IT"/>
                </w:rPr>
                <w:delText>,</w:delText>
              </w:r>
            </w:del>
          </w:p>
          <w:p w:rsidR="00C04163" w:rsidRPr="00295E71" w:rsidP="00C04163" w14:paraId="0D260ABB" w14:textId="77777777">
            <w:pPr>
              <w:pStyle w:val="EMEANormal"/>
              <w:keepNext/>
              <w:widowControl w:val="0"/>
              <w:spacing w:before="60"/>
              <w:rPr>
                <w:del w:id="1643" w:author="AbbVie14" w:date="2025-05-09T10:29:00Z"/>
                <w:lang w:val="it-IT"/>
              </w:rPr>
            </w:pPr>
            <w:del w:id="1644" w:author="AbbVie14" w:date="2025-05-09T10:29:00Z">
              <w:r w:rsidRPr="00295E71">
                <w:rPr>
                  <w:lang w:val="it-IT"/>
                </w:rPr>
                <w:delText>orticaria,</w:delText>
              </w:r>
            </w:del>
          </w:p>
          <w:p w:rsidR="00C04163" w:rsidRPr="00295E71" w:rsidP="00C04163" w14:paraId="07765365" w14:textId="77777777">
            <w:pPr>
              <w:pStyle w:val="EMEANormal"/>
              <w:keepNext/>
              <w:widowControl w:val="0"/>
              <w:spacing w:before="60"/>
              <w:rPr>
                <w:del w:id="1645" w:author="AbbVie14" w:date="2025-05-09T10:29:00Z"/>
                <w:lang w:val="it-IT"/>
              </w:rPr>
            </w:pPr>
            <w:del w:id="1646" w:author="AbbVie14" w:date="2025-05-09T10:29:00Z">
              <w:r w:rsidRPr="00295E71">
                <w:rPr>
                  <w:lang w:val="it-IT"/>
                </w:rPr>
                <w:delText xml:space="preserve">ecchimosi (tra cui porpora), </w:delText>
              </w:r>
            </w:del>
          </w:p>
          <w:p w:rsidR="00C04163" w:rsidRPr="00295E71" w:rsidP="00C04163" w14:paraId="616A0AA7" w14:textId="77777777">
            <w:pPr>
              <w:pStyle w:val="EMEANormal"/>
              <w:keepNext/>
              <w:widowControl w:val="0"/>
              <w:spacing w:before="60"/>
              <w:rPr>
                <w:del w:id="1647" w:author="AbbVie14" w:date="2025-05-09T10:29:00Z"/>
                <w:lang w:val="it-IT"/>
              </w:rPr>
            </w:pPr>
            <w:del w:id="1648" w:author="AbbVie14" w:date="2025-05-09T10:29:00Z">
              <w:r w:rsidRPr="00295E71">
                <w:rPr>
                  <w:lang w:val="it-IT"/>
                </w:rPr>
                <w:delText>dermatite (tra cui eczema),</w:delText>
              </w:r>
            </w:del>
          </w:p>
          <w:p w:rsidR="00C04163" w:rsidRPr="00295E71" w:rsidP="00C04163" w14:paraId="3C279504" w14:textId="77777777">
            <w:pPr>
              <w:pStyle w:val="EMEANormal"/>
              <w:keepNext/>
              <w:widowControl w:val="0"/>
              <w:spacing w:before="60"/>
              <w:rPr>
                <w:del w:id="1649" w:author="AbbVie14" w:date="2025-05-09T10:29:00Z"/>
                <w:lang w:val="it-IT"/>
              </w:rPr>
            </w:pPr>
            <w:del w:id="1650" w:author="AbbVie14" w:date="2025-05-09T10:29:00Z">
              <w:r w:rsidRPr="00295E71">
                <w:rPr>
                  <w:lang w:val="it-IT"/>
                </w:rPr>
                <w:delText xml:space="preserve">onicoclasia, </w:delText>
              </w:r>
            </w:del>
          </w:p>
          <w:p w:rsidR="00C04163" w:rsidRPr="00295E71" w:rsidP="00C04163" w14:paraId="558C86F4" w14:textId="77777777">
            <w:pPr>
              <w:pStyle w:val="EMEANormal"/>
              <w:keepNext/>
              <w:widowControl w:val="0"/>
              <w:spacing w:before="60"/>
              <w:rPr>
                <w:del w:id="1651" w:author="AbbVie14" w:date="2025-05-09T10:29:00Z"/>
                <w:lang w:val="it-IT"/>
              </w:rPr>
            </w:pPr>
            <w:del w:id="1652" w:author="AbbVie14" w:date="2025-05-09T10:29:00Z">
              <w:r w:rsidRPr="00295E71">
                <w:rPr>
                  <w:lang w:val="it-IT"/>
                </w:rPr>
                <w:delText>iperidrosi,</w:delText>
              </w:r>
            </w:del>
          </w:p>
          <w:p w:rsidR="00C04163" w:rsidRPr="00295E71" w:rsidP="00C04163" w14:paraId="0B2229F1" w14:textId="77777777">
            <w:pPr>
              <w:pStyle w:val="EMEANormal"/>
              <w:keepNext/>
              <w:widowControl w:val="0"/>
              <w:spacing w:before="60"/>
              <w:rPr>
                <w:del w:id="1653" w:author="AbbVie14" w:date="2025-05-09T10:29:00Z"/>
                <w:lang w:val="it-IT"/>
              </w:rPr>
            </w:pPr>
            <w:del w:id="1654" w:author="AbbVie14" w:date="2025-05-09T10:29:00Z">
              <w:r w:rsidRPr="00295E71">
                <w:rPr>
                  <w:lang w:val="it-IT"/>
                </w:rPr>
                <w:delText>alopecia</w:delText>
              </w:r>
            </w:del>
            <w:del w:id="1655" w:author="AbbVie14" w:date="2025-05-09T10:29:00Z">
              <w:r w:rsidRPr="00C04163">
                <w:rPr>
                  <w:lang w:val="it-IT"/>
                </w:rPr>
                <w:delText>1)</w:delText>
              </w:r>
            </w:del>
            <w:del w:id="1656" w:author="AbbVie14" w:date="2025-05-09T10:29:00Z">
              <w:r w:rsidRPr="00295E71">
                <w:rPr>
                  <w:lang w:val="it-IT"/>
                </w:rPr>
                <w:delText>,</w:delText>
              </w:r>
            </w:del>
          </w:p>
          <w:p w:rsidR="00C04163" w:rsidRPr="00295E71" w:rsidP="00C04163" w14:paraId="38AFBA39" w14:textId="77777777">
            <w:pPr>
              <w:pStyle w:val="EMEANormal"/>
              <w:keepNext/>
              <w:widowControl w:val="0"/>
              <w:spacing w:before="60"/>
              <w:rPr>
                <w:del w:id="1657" w:author="AbbVie14" w:date="2025-05-09T10:29:00Z"/>
                <w:lang w:val="it-IT"/>
              </w:rPr>
            </w:pPr>
            <w:del w:id="1658" w:author="AbbVie14" w:date="2025-05-09T10:29:00Z">
              <w:r w:rsidRPr="00295E71">
                <w:rPr>
                  <w:lang w:val="it-IT"/>
                </w:rPr>
                <w:delText>prurito</w:delText>
              </w:r>
            </w:del>
          </w:p>
        </w:tc>
      </w:tr>
      <w:tr w14:paraId="28703F4A" w14:textId="77777777" w:rsidTr="00C04163">
        <w:tblPrEx>
          <w:tblW w:w="0" w:type="auto"/>
          <w:tblLook w:val="01E0"/>
        </w:tblPrEx>
        <w:trPr>
          <w:cantSplit/>
          <w:del w:id="1659" w:author="AbbVie14" w:date="2025-05-09T10:29:00Z"/>
        </w:trPr>
        <w:tc>
          <w:tcPr>
            <w:tcW w:w="2559" w:type="dxa"/>
            <w:vMerge/>
          </w:tcPr>
          <w:p w:rsidR="00C04163" w:rsidRPr="00295E71" w:rsidP="00035AC5" w14:paraId="22CDCD40" w14:textId="77777777">
            <w:pPr>
              <w:widowControl w:val="0"/>
              <w:spacing w:before="60"/>
              <w:jc w:val="center"/>
              <w:rPr>
                <w:del w:id="1660"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C47CD17" w14:textId="77777777">
            <w:pPr>
              <w:pStyle w:val="EMEANormal"/>
              <w:keepNext/>
              <w:widowControl w:val="0"/>
              <w:spacing w:before="60"/>
              <w:rPr>
                <w:del w:id="1661" w:author="AbbVie14" w:date="2025-05-09T10:29:00Z"/>
                <w:lang w:val="it-IT"/>
              </w:rPr>
            </w:pPr>
            <w:del w:id="1662" w:author="AbbVie14" w:date="2025-05-09T10:29:00Z">
              <w:r w:rsidRPr="00295E71">
                <w:rPr>
                  <w:lang w:val="it-IT"/>
                </w:rPr>
                <w:delText>Non comune</w:delText>
              </w:r>
            </w:del>
          </w:p>
          <w:p w:rsidR="00C04163" w:rsidRPr="00295E71" w:rsidP="00C04163" w14:paraId="7993D813" w14:textId="77777777">
            <w:pPr>
              <w:pStyle w:val="EMEANormal"/>
              <w:keepNext/>
              <w:widowControl w:val="0"/>
              <w:spacing w:before="60"/>
              <w:rPr>
                <w:del w:id="1663"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37D5403F" w14:textId="77777777">
            <w:pPr>
              <w:pStyle w:val="EMEANormal"/>
              <w:keepNext/>
              <w:widowControl w:val="0"/>
              <w:spacing w:before="60"/>
              <w:rPr>
                <w:del w:id="1664" w:author="AbbVie14" w:date="2025-05-09T10:29:00Z"/>
                <w:lang w:val="it-IT"/>
              </w:rPr>
            </w:pPr>
            <w:del w:id="1665" w:author="AbbVie14" w:date="2025-05-09T10:29:00Z">
              <w:r w:rsidRPr="00295E71">
                <w:rPr>
                  <w:lang w:val="it-IT"/>
                </w:rPr>
                <w:delText>Sudorazione notturna,</w:delText>
              </w:r>
            </w:del>
          </w:p>
          <w:p w:rsidR="00C04163" w:rsidRPr="00295E71" w:rsidP="00C04163" w14:paraId="0B0E87BB" w14:textId="77777777">
            <w:pPr>
              <w:pStyle w:val="EMEANormal"/>
              <w:keepNext/>
              <w:widowControl w:val="0"/>
              <w:spacing w:before="60"/>
              <w:rPr>
                <w:del w:id="1666" w:author="AbbVie14" w:date="2025-05-09T10:29:00Z"/>
                <w:lang w:val="it-IT"/>
              </w:rPr>
            </w:pPr>
            <w:del w:id="1667" w:author="AbbVie14" w:date="2025-05-09T10:29:00Z">
              <w:r w:rsidRPr="00295E71">
                <w:rPr>
                  <w:lang w:val="it-IT"/>
                </w:rPr>
                <w:delText>cicatrice</w:delText>
              </w:r>
            </w:del>
          </w:p>
          <w:p w:rsidR="00C04163" w:rsidRPr="00295E71" w:rsidP="00C04163" w14:paraId="4779D86A" w14:textId="77777777">
            <w:pPr>
              <w:pStyle w:val="EMEANormal"/>
              <w:keepNext/>
              <w:widowControl w:val="0"/>
              <w:spacing w:before="60"/>
              <w:rPr>
                <w:del w:id="1668" w:author="AbbVie14" w:date="2025-05-09T10:29:00Z"/>
                <w:lang w:val="it-IT"/>
              </w:rPr>
            </w:pPr>
          </w:p>
        </w:tc>
      </w:tr>
      <w:tr w14:paraId="36B1BA31" w14:textId="77777777" w:rsidTr="00C04163">
        <w:tblPrEx>
          <w:tblW w:w="0" w:type="auto"/>
          <w:tblLook w:val="01E0"/>
        </w:tblPrEx>
        <w:trPr>
          <w:cantSplit/>
          <w:del w:id="1669" w:author="AbbVie14" w:date="2025-05-09T10:29:00Z"/>
        </w:trPr>
        <w:tc>
          <w:tcPr>
            <w:tcW w:w="2559" w:type="dxa"/>
            <w:vMerge/>
          </w:tcPr>
          <w:p w:rsidR="00C04163" w:rsidRPr="00295E71" w:rsidP="00035AC5" w14:paraId="7538B91F" w14:textId="77777777">
            <w:pPr>
              <w:widowControl w:val="0"/>
              <w:spacing w:before="60"/>
              <w:jc w:val="center"/>
              <w:rPr>
                <w:del w:id="1670"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1C22BFCB" w14:textId="77777777">
            <w:pPr>
              <w:pStyle w:val="EMEANormal"/>
              <w:keepNext/>
              <w:widowControl w:val="0"/>
              <w:spacing w:before="60"/>
              <w:rPr>
                <w:del w:id="1671" w:author="AbbVie14" w:date="2025-05-09T10:29:00Z"/>
                <w:lang w:val="it-IT"/>
              </w:rPr>
            </w:pPr>
            <w:del w:id="1672" w:author="AbbVie14" w:date="2025-05-09T10:29: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7C248704" w14:textId="77777777">
            <w:pPr>
              <w:pStyle w:val="EMEANormal"/>
              <w:keepNext/>
              <w:widowControl w:val="0"/>
              <w:spacing w:before="60"/>
              <w:rPr>
                <w:del w:id="1673" w:author="AbbVie14" w:date="2025-05-09T10:29:00Z"/>
                <w:lang w:val="it-IT"/>
              </w:rPr>
            </w:pPr>
            <w:del w:id="1674" w:author="AbbVie14" w:date="2025-05-09T10:29:00Z">
              <w:r w:rsidRPr="00295E71">
                <w:rPr>
                  <w:lang w:val="it-IT"/>
                </w:rPr>
                <w:delText>Eritema multiforme</w:delText>
              </w:r>
            </w:del>
            <w:del w:id="1675" w:author="AbbVie14" w:date="2025-05-09T10:29:00Z">
              <w:r w:rsidRPr="00C04163">
                <w:rPr>
                  <w:lang w:val="it-IT"/>
                </w:rPr>
                <w:delText>1)</w:delText>
              </w:r>
            </w:del>
            <w:del w:id="1676" w:author="AbbVie14" w:date="2025-05-09T10:29:00Z">
              <w:r w:rsidRPr="00295E71">
                <w:rPr>
                  <w:lang w:val="it-IT"/>
                </w:rPr>
                <w:delText>,</w:delText>
              </w:r>
            </w:del>
          </w:p>
          <w:p w:rsidR="00C04163" w:rsidRPr="00295E71" w:rsidP="00C04163" w14:paraId="205C8E1B" w14:textId="77777777">
            <w:pPr>
              <w:pStyle w:val="EMEANormal"/>
              <w:keepNext/>
              <w:widowControl w:val="0"/>
              <w:spacing w:before="60"/>
              <w:rPr>
                <w:del w:id="1677" w:author="AbbVie14" w:date="2025-05-09T10:29:00Z"/>
                <w:lang w:val="it-IT"/>
              </w:rPr>
            </w:pPr>
            <w:del w:id="1678" w:author="AbbVie14" w:date="2025-05-09T10:29:00Z">
              <w:r w:rsidRPr="00295E71">
                <w:rPr>
                  <w:lang w:val="it-IT"/>
                </w:rPr>
                <w:delText>sindrome di Stevens-Johnson</w:delText>
              </w:r>
            </w:del>
            <w:del w:id="1679" w:author="AbbVie14" w:date="2025-05-09T10:29:00Z">
              <w:r w:rsidRPr="00C04163">
                <w:rPr>
                  <w:lang w:val="it-IT"/>
                </w:rPr>
                <w:delText>1)</w:delText>
              </w:r>
            </w:del>
            <w:del w:id="1680" w:author="AbbVie14" w:date="2025-05-09T10:29:00Z">
              <w:r w:rsidRPr="00295E71">
                <w:rPr>
                  <w:lang w:val="it-IT"/>
                </w:rPr>
                <w:delText>,</w:delText>
              </w:r>
            </w:del>
          </w:p>
          <w:p w:rsidR="00C04163" w:rsidRPr="00295E71" w:rsidP="00C04163" w14:paraId="19C459C8" w14:textId="77777777">
            <w:pPr>
              <w:pStyle w:val="EMEANormal"/>
              <w:keepNext/>
              <w:widowControl w:val="0"/>
              <w:spacing w:before="60"/>
              <w:rPr>
                <w:del w:id="1681" w:author="AbbVie14" w:date="2025-05-09T10:29:00Z"/>
                <w:lang w:val="it-IT"/>
              </w:rPr>
            </w:pPr>
            <w:del w:id="1682" w:author="AbbVie14" w:date="2025-05-09T10:29:00Z">
              <w:r w:rsidRPr="00295E71">
                <w:rPr>
                  <w:lang w:val="it-IT"/>
                </w:rPr>
                <w:delText>angioedema</w:delText>
              </w:r>
            </w:del>
            <w:del w:id="1683" w:author="AbbVie14" w:date="2025-05-09T10:29:00Z">
              <w:r w:rsidRPr="00C04163">
                <w:rPr>
                  <w:lang w:val="it-IT"/>
                </w:rPr>
                <w:delText>1)</w:delText>
              </w:r>
            </w:del>
            <w:del w:id="1684" w:author="AbbVie14" w:date="2025-05-09T10:29:00Z">
              <w:r w:rsidRPr="00295E71">
                <w:rPr>
                  <w:lang w:val="it-IT"/>
                </w:rPr>
                <w:delText>,</w:delText>
              </w:r>
            </w:del>
          </w:p>
          <w:p w:rsidR="00C04163" w:rsidRPr="00C04163" w:rsidP="00C04163" w14:paraId="1CB51B6F" w14:textId="77777777">
            <w:pPr>
              <w:pStyle w:val="EMEANormal"/>
              <w:keepNext/>
              <w:widowControl w:val="0"/>
              <w:spacing w:before="60"/>
              <w:rPr>
                <w:del w:id="1685" w:author="AbbVie14" w:date="2025-05-09T10:29:00Z"/>
                <w:lang w:val="it-IT"/>
              </w:rPr>
            </w:pPr>
            <w:del w:id="1686" w:author="AbbVie14" w:date="2025-05-09T10:29:00Z">
              <w:r w:rsidRPr="00295E71">
                <w:rPr>
                  <w:lang w:val="it-IT"/>
                </w:rPr>
                <w:delText>vasculite cutanea</w:delText>
              </w:r>
            </w:del>
            <w:del w:id="1687" w:author="AbbVie14" w:date="2025-05-09T10:29:00Z">
              <w:r w:rsidRPr="00C04163">
                <w:rPr>
                  <w:lang w:val="it-IT"/>
                </w:rPr>
                <w:delText>1)</w:delText>
              </w:r>
            </w:del>
          </w:p>
          <w:p w:rsidR="00C04163" w:rsidRPr="00295E71" w:rsidP="00C04163" w14:paraId="6AEA39A1" w14:textId="77777777">
            <w:pPr>
              <w:pStyle w:val="EMEANormal"/>
              <w:keepNext/>
              <w:widowControl w:val="0"/>
              <w:spacing w:before="60"/>
              <w:rPr>
                <w:del w:id="1688" w:author="AbbVie14" w:date="2025-05-09T10:29:00Z"/>
                <w:lang w:val="it-IT"/>
              </w:rPr>
            </w:pPr>
            <w:del w:id="1689" w:author="AbbVie14" w:date="2025-05-09T10:29:00Z">
              <w:r>
                <w:rPr>
                  <w:lang w:val="it-IT"/>
                </w:rPr>
                <w:delText>reazione cutanea lichenoide</w:delText>
              </w:r>
            </w:del>
            <w:del w:id="1690" w:author="AbbVie14" w:date="2025-05-09T10:29:00Z">
              <w:r w:rsidRPr="00C04163">
                <w:rPr>
                  <w:lang w:val="it-IT"/>
                </w:rPr>
                <w:delText>1)</w:delText>
              </w:r>
            </w:del>
          </w:p>
        </w:tc>
      </w:tr>
      <w:tr w14:paraId="7A893AC7" w14:textId="77777777" w:rsidTr="00C04163">
        <w:tblPrEx>
          <w:tblW w:w="0" w:type="auto"/>
          <w:tblLook w:val="01E0"/>
        </w:tblPrEx>
        <w:trPr>
          <w:cantSplit/>
          <w:del w:id="1691" w:author="AbbVie14" w:date="2025-05-09T10:29:00Z"/>
        </w:trPr>
        <w:tc>
          <w:tcPr>
            <w:tcW w:w="2559" w:type="dxa"/>
            <w:vMerge/>
          </w:tcPr>
          <w:p w:rsidR="00C04163" w:rsidRPr="00295E71" w:rsidP="00035AC5" w14:paraId="5B40C86F" w14:textId="77777777">
            <w:pPr>
              <w:widowControl w:val="0"/>
              <w:spacing w:before="60"/>
              <w:jc w:val="center"/>
              <w:rPr>
                <w:del w:id="1692"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5F5633F9" w14:textId="77777777">
            <w:pPr>
              <w:pStyle w:val="EMEANormal"/>
              <w:keepNext/>
              <w:widowControl w:val="0"/>
              <w:spacing w:before="60"/>
              <w:rPr>
                <w:del w:id="1693" w:author="AbbVie14" w:date="2025-05-09T10:29:00Z"/>
                <w:lang w:val="it-IT"/>
              </w:rPr>
            </w:pPr>
            <w:del w:id="1694" w:author="AbbVie14" w:date="2025-05-09T10:29:00Z">
              <w:r w:rsidRPr="00295E71">
                <w:rPr>
                  <w:lang w:val="it-IT"/>
                </w:rPr>
                <w:delText>Non nota</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914B5A5" w14:textId="77777777">
            <w:pPr>
              <w:pStyle w:val="EMEANormal"/>
              <w:keepNext/>
              <w:widowControl w:val="0"/>
              <w:spacing w:before="60"/>
              <w:rPr>
                <w:del w:id="1695" w:author="AbbVie14" w:date="2025-05-09T10:29:00Z"/>
                <w:lang w:val="it-IT"/>
              </w:rPr>
            </w:pPr>
            <w:del w:id="1696" w:author="AbbVie14" w:date="2025-05-09T10:29:00Z">
              <w:r w:rsidRPr="00295E71">
                <w:rPr>
                  <w:lang w:val="it-IT"/>
                </w:rPr>
                <w:delText>Peggioramento dei sintomi di dermatomiosite</w:delText>
              </w:r>
            </w:del>
            <w:del w:id="1697" w:author="AbbVie14" w:date="2025-05-09T10:29:00Z">
              <w:r w:rsidRPr="00C04163">
                <w:rPr>
                  <w:lang w:val="it-IT"/>
                </w:rPr>
                <w:delText>1)</w:delText>
              </w:r>
            </w:del>
          </w:p>
        </w:tc>
      </w:tr>
      <w:tr w14:paraId="1AD45AB4" w14:textId="77777777" w:rsidTr="00C04163">
        <w:tblPrEx>
          <w:tblW w:w="0" w:type="auto"/>
          <w:tblLook w:val="01E0"/>
        </w:tblPrEx>
        <w:trPr>
          <w:cantSplit/>
          <w:del w:id="1698" w:author="AbbVie14" w:date="2025-05-09T10:29:00Z"/>
        </w:trPr>
        <w:tc>
          <w:tcPr>
            <w:tcW w:w="2559" w:type="dxa"/>
            <w:vMerge/>
          </w:tcPr>
          <w:p w:rsidR="00C04163" w:rsidRPr="00295E71" w:rsidP="00035AC5" w14:paraId="7DA0DB33" w14:textId="77777777">
            <w:pPr>
              <w:widowControl w:val="0"/>
              <w:spacing w:before="60"/>
              <w:jc w:val="center"/>
              <w:rPr>
                <w:del w:id="1699"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1F063DEC" w14:textId="77777777">
            <w:pPr>
              <w:pStyle w:val="EMEANormal"/>
              <w:keepNext/>
              <w:widowControl w:val="0"/>
              <w:spacing w:before="60"/>
              <w:rPr>
                <w:del w:id="1700"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4D824D17" w14:textId="77777777">
            <w:pPr>
              <w:pStyle w:val="EMEANormal"/>
              <w:keepNext/>
              <w:widowControl w:val="0"/>
              <w:spacing w:before="60"/>
              <w:rPr>
                <w:del w:id="1701" w:author="AbbVie14" w:date="2025-05-09T10:29:00Z"/>
                <w:lang w:val="it-IT"/>
              </w:rPr>
            </w:pPr>
          </w:p>
        </w:tc>
      </w:tr>
      <w:tr w14:paraId="0A03D676" w14:textId="77777777" w:rsidTr="00C04163">
        <w:tblPrEx>
          <w:tblW w:w="0" w:type="auto"/>
          <w:tblLook w:val="01E0"/>
        </w:tblPrEx>
        <w:trPr>
          <w:cantSplit/>
          <w:del w:id="1702" w:author="AbbVie14" w:date="2025-05-09T10:29:00Z"/>
        </w:trPr>
        <w:tc>
          <w:tcPr>
            <w:tcW w:w="2559" w:type="dxa"/>
            <w:vMerge w:val="restart"/>
          </w:tcPr>
          <w:p w:rsidR="00C04163" w:rsidRPr="00295E71" w:rsidP="00035AC5" w14:paraId="5FA85BB8" w14:textId="77777777">
            <w:pPr>
              <w:pStyle w:val="EMEANormal"/>
              <w:widowControl w:val="0"/>
              <w:spacing w:before="60"/>
              <w:rPr>
                <w:del w:id="1703" w:author="AbbVie14" w:date="2025-05-09T10:29:00Z"/>
                <w:lang w:val="it-IT"/>
              </w:rPr>
            </w:pPr>
            <w:del w:id="1704" w:author="AbbVie14" w:date="2025-05-09T10:29:00Z">
              <w:r w:rsidRPr="00295E71">
                <w:rPr>
                  <w:lang w:val="it-IT"/>
                </w:rPr>
                <w:delText>Patologie del sistema muscolo-scheletrico e del tessuto connettivo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58D381C0" w14:textId="77777777">
            <w:pPr>
              <w:pStyle w:val="EMEANormal"/>
              <w:keepNext/>
              <w:widowControl w:val="0"/>
              <w:spacing w:before="60"/>
              <w:rPr>
                <w:del w:id="1705" w:author="AbbVie14" w:date="2025-05-09T10:29:00Z"/>
                <w:lang w:val="it-IT"/>
              </w:rPr>
            </w:pPr>
            <w:del w:id="1706" w:author="AbbVie14" w:date="2025-05-09T10:29:00Z">
              <w:r w:rsidRPr="00295E71">
                <w:rPr>
                  <w:lang w:val="it-IT"/>
                </w:rPr>
                <w:delText>Molto comune</w:delText>
              </w:r>
            </w:del>
          </w:p>
          <w:p w:rsidR="00C04163" w:rsidRPr="00295E71" w:rsidP="00C04163" w14:paraId="45258FC5" w14:textId="77777777">
            <w:pPr>
              <w:pStyle w:val="EMEANormal"/>
              <w:keepNext/>
              <w:widowControl w:val="0"/>
              <w:spacing w:before="60"/>
              <w:rPr>
                <w:del w:id="1707"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D095D6B" w14:textId="77777777">
            <w:pPr>
              <w:pStyle w:val="EMEANormal"/>
              <w:keepNext/>
              <w:widowControl w:val="0"/>
              <w:spacing w:before="60"/>
              <w:rPr>
                <w:del w:id="1708" w:author="AbbVie14" w:date="2025-05-09T10:29:00Z"/>
                <w:lang w:val="it-IT"/>
              </w:rPr>
            </w:pPr>
            <w:del w:id="1709" w:author="AbbVie14" w:date="2025-05-09T10:29:00Z">
              <w:r w:rsidRPr="00295E71">
                <w:rPr>
                  <w:lang w:val="it-IT"/>
                </w:rPr>
                <w:delText>Dolore muscoloscheletrico</w:delText>
              </w:r>
            </w:del>
          </w:p>
          <w:p w:rsidR="00C04163" w:rsidRPr="00295E71" w:rsidP="00C04163" w14:paraId="7B51BE70" w14:textId="77777777">
            <w:pPr>
              <w:pStyle w:val="EMEANormal"/>
              <w:keepNext/>
              <w:widowControl w:val="0"/>
              <w:spacing w:before="60"/>
              <w:rPr>
                <w:del w:id="1710" w:author="AbbVie14" w:date="2025-05-09T10:29:00Z"/>
                <w:lang w:val="it-IT"/>
              </w:rPr>
            </w:pPr>
          </w:p>
        </w:tc>
      </w:tr>
      <w:tr w14:paraId="022253A3" w14:textId="77777777" w:rsidTr="00C04163">
        <w:tblPrEx>
          <w:tblW w:w="0" w:type="auto"/>
          <w:tblLook w:val="01E0"/>
        </w:tblPrEx>
        <w:trPr>
          <w:cantSplit/>
          <w:del w:id="1711" w:author="AbbVie14" w:date="2025-05-09T10:29:00Z"/>
        </w:trPr>
        <w:tc>
          <w:tcPr>
            <w:tcW w:w="2559" w:type="dxa"/>
            <w:vMerge/>
          </w:tcPr>
          <w:p w:rsidR="00C04163" w:rsidRPr="00295E71" w:rsidP="00035AC5" w14:paraId="50472570" w14:textId="77777777">
            <w:pPr>
              <w:pStyle w:val="EMEANormal"/>
              <w:widowControl w:val="0"/>
              <w:spacing w:before="60"/>
              <w:rPr>
                <w:del w:id="1712"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547418D8" w14:textId="77777777">
            <w:pPr>
              <w:pStyle w:val="EMEANormal"/>
              <w:keepNext/>
              <w:widowControl w:val="0"/>
              <w:spacing w:before="60"/>
              <w:rPr>
                <w:del w:id="1713" w:author="AbbVie14" w:date="2025-05-09T10:29:00Z"/>
                <w:lang w:val="it-IT"/>
              </w:rPr>
            </w:pPr>
            <w:del w:id="1714" w:author="AbbVie14" w:date="2025-05-09T10:29:00Z">
              <w:r w:rsidRPr="00295E71">
                <w:rPr>
                  <w:lang w:val="it-IT"/>
                </w:rPr>
                <w:delText>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4EA0A89" w14:textId="77777777">
            <w:pPr>
              <w:pStyle w:val="EMEANormal"/>
              <w:keepNext/>
              <w:widowControl w:val="0"/>
              <w:spacing w:before="60"/>
              <w:rPr>
                <w:del w:id="1715" w:author="AbbVie14" w:date="2025-05-09T10:29:00Z"/>
                <w:lang w:val="it-IT"/>
              </w:rPr>
            </w:pPr>
            <w:del w:id="1716" w:author="AbbVie14" w:date="2025-05-09T10:29:00Z">
              <w:r w:rsidRPr="00295E71">
                <w:rPr>
                  <w:lang w:val="it-IT"/>
                </w:rPr>
                <w:delText>Spasmi muscolari (tra cui aumento della creatinfosfochinasi ematica)</w:delText>
              </w:r>
            </w:del>
          </w:p>
          <w:p w:rsidR="00C04163" w:rsidRPr="00295E71" w:rsidP="00C04163" w14:paraId="21A2EB1C" w14:textId="77777777">
            <w:pPr>
              <w:pStyle w:val="EMEANormal"/>
              <w:keepNext/>
              <w:widowControl w:val="0"/>
              <w:spacing w:before="60"/>
              <w:rPr>
                <w:del w:id="1717" w:author="AbbVie14" w:date="2025-05-09T10:29:00Z"/>
                <w:lang w:val="it-IT"/>
              </w:rPr>
            </w:pPr>
          </w:p>
        </w:tc>
      </w:tr>
      <w:tr w14:paraId="3631537D" w14:textId="77777777" w:rsidTr="00C04163">
        <w:tblPrEx>
          <w:tblW w:w="0" w:type="auto"/>
          <w:tblLook w:val="01E0"/>
        </w:tblPrEx>
        <w:trPr>
          <w:cantSplit/>
          <w:del w:id="1718" w:author="AbbVie14" w:date="2025-05-09T10:29:00Z"/>
        </w:trPr>
        <w:tc>
          <w:tcPr>
            <w:tcW w:w="2559" w:type="dxa"/>
            <w:vMerge/>
          </w:tcPr>
          <w:p w:rsidR="00C04163" w:rsidRPr="00295E71" w:rsidP="00035AC5" w14:paraId="79EF4C1C" w14:textId="77777777">
            <w:pPr>
              <w:widowControl w:val="0"/>
              <w:spacing w:before="60"/>
              <w:jc w:val="center"/>
              <w:rPr>
                <w:del w:id="1719"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C47BB58" w14:textId="77777777">
            <w:pPr>
              <w:pStyle w:val="EMEANormal"/>
              <w:keepNext/>
              <w:widowControl w:val="0"/>
              <w:spacing w:before="60"/>
              <w:rPr>
                <w:del w:id="1720" w:author="AbbVie14" w:date="2025-05-09T10:29:00Z"/>
                <w:lang w:val="it-IT"/>
              </w:rPr>
            </w:pPr>
            <w:del w:id="1721" w:author="AbbVie14" w:date="2025-05-09T10:29: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6EB0267" w14:textId="77777777">
            <w:pPr>
              <w:pStyle w:val="EMEANormal"/>
              <w:keepNext/>
              <w:widowControl w:val="0"/>
              <w:spacing w:before="60"/>
              <w:rPr>
                <w:del w:id="1722" w:author="AbbVie14" w:date="2025-05-09T10:29:00Z"/>
                <w:lang w:val="it-IT"/>
              </w:rPr>
            </w:pPr>
            <w:del w:id="1723" w:author="AbbVie14" w:date="2025-05-09T10:29:00Z">
              <w:r w:rsidRPr="00295E71">
                <w:rPr>
                  <w:lang w:val="it-IT"/>
                </w:rPr>
                <w:delText>Rabdomiolisi</w:delText>
              </w:r>
            </w:del>
          </w:p>
          <w:p w:rsidR="00C04163" w:rsidRPr="00295E71" w:rsidP="00C04163" w14:paraId="50C7DE64" w14:textId="77777777">
            <w:pPr>
              <w:pStyle w:val="EMEANormal"/>
              <w:keepNext/>
              <w:widowControl w:val="0"/>
              <w:spacing w:before="60"/>
              <w:rPr>
                <w:del w:id="1724" w:author="AbbVie14" w:date="2025-05-09T10:29:00Z"/>
                <w:lang w:val="it-IT"/>
              </w:rPr>
            </w:pPr>
            <w:del w:id="1725" w:author="AbbVie14" w:date="2025-05-09T10:29:00Z">
              <w:r w:rsidRPr="00295E71">
                <w:rPr>
                  <w:lang w:val="it-IT"/>
                </w:rPr>
                <w:delText>lupus eritematoso sistemico</w:delText>
              </w:r>
            </w:del>
          </w:p>
          <w:p w:rsidR="00C04163" w:rsidRPr="00295E71" w:rsidP="00C04163" w14:paraId="1EAB8C47" w14:textId="77777777">
            <w:pPr>
              <w:pStyle w:val="EMEANormal"/>
              <w:keepNext/>
              <w:widowControl w:val="0"/>
              <w:spacing w:before="60"/>
              <w:rPr>
                <w:del w:id="1726" w:author="AbbVie14" w:date="2025-05-09T10:29:00Z"/>
                <w:lang w:val="it-IT"/>
              </w:rPr>
            </w:pPr>
          </w:p>
        </w:tc>
      </w:tr>
      <w:tr w14:paraId="4BFCDC66" w14:textId="77777777" w:rsidTr="00C04163">
        <w:tblPrEx>
          <w:tblW w:w="0" w:type="auto"/>
          <w:tblLook w:val="01E0"/>
        </w:tblPrEx>
        <w:trPr>
          <w:cantSplit/>
          <w:del w:id="1727" w:author="AbbVie14" w:date="2025-05-09T10:29:00Z"/>
        </w:trPr>
        <w:tc>
          <w:tcPr>
            <w:tcW w:w="2559" w:type="dxa"/>
            <w:vMerge/>
          </w:tcPr>
          <w:p w:rsidR="00C04163" w:rsidRPr="00295E71" w:rsidP="00035AC5" w14:paraId="1D5CB821" w14:textId="77777777">
            <w:pPr>
              <w:widowControl w:val="0"/>
              <w:spacing w:before="60"/>
              <w:jc w:val="center"/>
              <w:rPr>
                <w:del w:id="1728"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9109C0A" w14:textId="77777777">
            <w:pPr>
              <w:pStyle w:val="EMEANormal"/>
              <w:keepNext/>
              <w:widowControl w:val="0"/>
              <w:spacing w:before="60"/>
              <w:rPr>
                <w:del w:id="1729" w:author="AbbVie14" w:date="2025-05-09T10:29:00Z"/>
                <w:lang w:val="it-IT"/>
              </w:rPr>
            </w:pPr>
            <w:del w:id="1730" w:author="AbbVie14" w:date="2025-05-09T10:29:00Z">
              <w:r w:rsidRPr="00295E71">
                <w:rPr>
                  <w:lang w:val="it-IT"/>
                </w:rPr>
                <w:delText>Raro</w:delText>
              </w:r>
            </w:del>
          </w:p>
          <w:p w:rsidR="00C04163" w:rsidRPr="00295E71" w:rsidP="00C04163" w14:paraId="5D3EDB23" w14:textId="77777777">
            <w:pPr>
              <w:pStyle w:val="EMEANormal"/>
              <w:keepNext/>
              <w:widowControl w:val="0"/>
              <w:spacing w:before="60"/>
              <w:rPr>
                <w:del w:id="1731"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F69ADB3" w14:textId="77777777">
            <w:pPr>
              <w:pStyle w:val="EMEANormal"/>
              <w:keepNext/>
              <w:widowControl w:val="0"/>
              <w:spacing w:before="60"/>
              <w:rPr>
                <w:del w:id="1732" w:author="AbbVie14" w:date="2025-05-09T10:29:00Z"/>
                <w:lang w:val="it-IT"/>
              </w:rPr>
            </w:pPr>
            <w:del w:id="1733" w:author="AbbVie14" w:date="2025-05-09T10:29:00Z">
              <w:r w:rsidRPr="00295E71">
                <w:rPr>
                  <w:lang w:val="it-IT"/>
                </w:rPr>
                <w:delText>Sindrome simile al lupus</w:delText>
              </w:r>
            </w:del>
            <w:del w:id="1734" w:author="AbbVie14" w:date="2025-05-09T10:29:00Z">
              <w:r w:rsidRPr="00C04163">
                <w:rPr>
                  <w:lang w:val="it-IT"/>
                </w:rPr>
                <w:delText>1)</w:delText>
              </w:r>
            </w:del>
          </w:p>
          <w:p w:rsidR="00C04163" w:rsidRPr="00295E71" w:rsidP="00C04163" w14:paraId="243979A8" w14:textId="77777777">
            <w:pPr>
              <w:pStyle w:val="EMEANormal"/>
              <w:keepNext/>
              <w:widowControl w:val="0"/>
              <w:spacing w:before="60"/>
              <w:rPr>
                <w:del w:id="1735" w:author="AbbVie14" w:date="2025-05-09T10:29:00Z"/>
                <w:lang w:val="it-IT"/>
              </w:rPr>
            </w:pPr>
          </w:p>
        </w:tc>
      </w:tr>
      <w:tr w14:paraId="44FC9027" w14:textId="77777777" w:rsidTr="00C04163">
        <w:tblPrEx>
          <w:tblW w:w="0" w:type="auto"/>
          <w:tblLook w:val="01E0"/>
        </w:tblPrEx>
        <w:trPr>
          <w:cantSplit/>
          <w:del w:id="1736" w:author="AbbVie14" w:date="2025-05-09T10:29:00Z"/>
        </w:trPr>
        <w:tc>
          <w:tcPr>
            <w:tcW w:w="2559" w:type="dxa"/>
            <w:vMerge w:val="restart"/>
          </w:tcPr>
          <w:p w:rsidR="00C04163" w:rsidRPr="00295E71" w:rsidP="00035AC5" w14:paraId="3EA02200" w14:textId="77777777">
            <w:pPr>
              <w:pStyle w:val="EMEANormal"/>
              <w:widowControl w:val="0"/>
              <w:spacing w:before="60"/>
              <w:rPr>
                <w:del w:id="1737" w:author="AbbVie14" w:date="2025-05-09T10:29:00Z"/>
                <w:lang w:val="it-IT"/>
              </w:rPr>
            </w:pPr>
            <w:del w:id="1738" w:author="AbbVie14" w:date="2025-05-09T10:29:00Z">
              <w:r w:rsidRPr="00295E71">
                <w:rPr>
                  <w:lang w:val="it-IT"/>
                </w:rPr>
                <w:delText xml:space="preserve">Patologie renali e urinarie </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204537E3" w14:textId="77777777">
            <w:pPr>
              <w:pStyle w:val="EMEANormal"/>
              <w:keepNext/>
              <w:widowControl w:val="0"/>
              <w:spacing w:before="60"/>
              <w:rPr>
                <w:del w:id="1739" w:author="AbbVie14" w:date="2025-05-09T10:29:00Z"/>
                <w:lang w:val="it-IT"/>
              </w:rPr>
            </w:pPr>
            <w:del w:id="1740" w:author="AbbVie14" w:date="2025-05-09T10:29:00Z">
              <w:r w:rsidRPr="00295E71">
                <w:rPr>
                  <w:lang w:val="it-IT"/>
                </w:rPr>
                <w:delText>Comune</w:delText>
              </w:r>
            </w:del>
          </w:p>
          <w:p w:rsidR="00C04163" w:rsidRPr="00295E71" w:rsidP="00C04163" w14:paraId="1A7DC9CC" w14:textId="77777777">
            <w:pPr>
              <w:pStyle w:val="EMEANormal"/>
              <w:keepNext/>
              <w:widowControl w:val="0"/>
              <w:spacing w:before="60"/>
              <w:rPr>
                <w:del w:id="1741"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6B351C7" w14:textId="77777777">
            <w:pPr>
              <w:pStyle w:val="EMEANormal"/>
              <w:keepNext/>
              <w:widowControl w:val="0"/>
              <w:spacing w:before="60"/>
              <w:rPr>
                <w:del w:id="1742" w:author="AbbVie14" w:date="2025-05-09T10:29:00Z"/>
                <w:lang w:val="it-IT"/>
              </w:rPr>
            </w:pPr>
            <w:del w:id="1743" w:author="AbbVie14" w:date="2025-05-09T10:29:00Z">
              <w:r w:rsidRPr="00295E71">
                <w:rPr>
                  <w:lang w:val="it-IT"/>
                </w:rPr>
                <w:delText>Insufficienza renale,</w:delText>
              </w:r>
            </w:del>
          </w:p>
          <w:p w:rsidR="00C04163" w:rsidRPr="00295E71" w:rsidP="00C04163" w14:paraId="085521C1" w14:textId="77777777">
            <w:pPr>
              <w:pStyle w:val="EMEANormal"/>
              <w:keepNext/>
              <w:widowControl w:val="0"/>
              <w:spacing w:before="60"/>
              <w:rPr>
                <w:del w:id="1744" w:author="AbbVie14" w:date="2025-05-09T10:29:00Z"/>
                <w:lang w:val="it-IT"/>
              </w:rPr>
            </w:pPr>
            <w:del w:id="1745" w:author="AbbVie14" w:date="2025-05-09T10:29:00Z">
              <w:r w:rsidRPr="00295E71">
                <w:rPr>
                  <w:lang w:val="it-IT"/>
                </w:rPr>
                <w:delText>ematuria</w:delText>
              </w:r>
            </w:del>
          </w:p>
        </w:tc>
      </w:tr>
      <w:tr w14:paraId="06B7695B" w14:textId="77777777" w:rsidTr="00C04163">
        <w:tblPrEx>
          <w:tblW w:w="0" w:type="auto"/>
          <w:tblLook w:val="01E0"/>
        </w:tblPrEx>
        <w:trPr>
          <w:cantSplit/>
          <w:del w:id="1746" w:author="AbbVie14" w:date="2025-05-09T10:29:00Z"/>
        </w:trPr>
        <w:tc>
          <w:tcPr>
            <w:tcW w:w="2559" w:type="dxa"/>
            <w:vMerge/>
          </w:tcPr>
          <w:p w:rsidR="00C04163" w:rsidRPr="00295E71" w:rsidP="00035AC5" w14:paraId="2832F3FF" w14:textId="77777777">
            <w:pPr>
              <w:widowControl w:val="0"/>
              <w:spacing w:before="60"/>
              <w:jc w:val="center"/>
              <w:rPr>
                <w:del w:id="1747"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5C75095" w14:textId="77777777">
            <w:pPr>
              <w:pStyle w:val="EMEANormal"/>
              <w:keepNext/>
              <w:widowControl w:val="0"/>
              <w:spacing w:before="60"/>
              <w:rPr>
                <w:del w:id="1748" w:author="AbbVie14" w:date="2025-05-09T10:29:00Z"/>
                <w:lang w:val="it-IT"/>
              </w:rPr>
            </w:pPr>
            <w:del w:id="1749" w:author="AbbVie14" w:date="2025-05-09T10:29:00Z">
              <w:r w:rsidRPr="00295E71">
                <w:rPr>
                  <w:lang w:val="it-IT"/>
                </w:rPr>
                <w:delText>Non comune</w:delText>
              </w:r>
            </w:del>
          </w:p>
          <w:p w:rsidR="00C04163" w:rsidRPr="00295E71" w:rsidP="00C04163" w14:paraId="0A6B40E5" w14:textId="77777777">
            <w:pPr>
              <w:pStyle w:val="EMEANormal"/>
              <w:keepNext/>
              <w:widowControl w:val="0"/>
              <w:spacing w:before="60"/>
              <w:rPr>
                <w:del w:id="1750"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FA53FB9" w14:textId="77777777">
            <w:pPr>
              <w:pStyle w:val="EMEANormal"/>
              <w:keepNext/>
              <w:widowControl w:val="0"/>
              <w:spacing w:before="60"/>
              <w:rPr>
                <w:del w:id="1751" w:author="AbbVie14" w:date="2025-05-09T10:29:00Z"/>
                <w:lang w:val="it-IT"/>
              </w:rPr>
            </w:pPr>
            <w:del w:id="1752" w:author="AbbVie14" w:date="2025-05-09T10:29:00Z">
              <w:r>
                <w:rPr>
                  <w:lang w:val="it-IT"/>
                </w:rPr>
                <w:delText>N</w:delText>
              </w:r>
            </w:del>
            <w:del w:id="1753" w:author="AbbVie14" w:date="2025-05-09T10:29:00Z">
              <w:r w:rsidRPr="00295E71">
                <w:rPr>
                  <w:lang w:val="it-IT"/>
                </w:rPr>
                <w:delText>icturia</w:delText>
              </w:r>
            </w:del>
          </w:p>
          <w:p w:rsidR="00C04163" w:rsidRPr="00295E71" w:rsidP="00C04163" w14:paraId="118A6E55" w14:textId="77777777">
            <w:pPr>
              <w:pStyle w:val="EMEANormal"/>
              <w:keepNext/>
              <w:widowControl w:val="0"/>
              <w:spacing w:before="60"/>
              <w:rPr>
                <w:del w:id="1754" w:author="AbbVie14" w:date="2025-05-09T10:29:00Z"/>
                <w:lang w:val="it-IT"/>
              </w:rPr>
            </w:pPr>
          </w:p>
        </w:tc>
      </w:tr>
      <w:tr w14:paraId="4124FF82" w14:textId="77777777" w:rsidTr="00C04163">
        <w:tblPrEx>
          <w:tblW w:w="0" w:type="auto"/>
          <w:tblLook w:val="01E0"/>
        </w:tblPrEx>
        <w:trPr>
          <w:cantSplit/>
          <w:del w:id="1755" w:author="AbbVie14" w:date="2025-05-09T10:29:00Z"/>
        </w:trPr>
        <w:tc>
          <w:tcPr>
            <w:tcW w:w="2559" w:type="dxa"/>
          </w:tcPr>
          <w:p w:rsidR="00C04163" w:rsidRPr="00295E71" w:rsidP="00035AC5" w14:paraId="45517D8F" w14:textId="77777777">
            <w:pPr>
              <w:pStyle w:val="EMEANormal"/>
              <w:widowControl w:val="0"/>
              <w:spacing w:before="60"/>
              <w:rPr>
                <w:del w:id="1756" w:author="AbbVie14" w:date="2025-05-09T10:29:00Z"/>
                <w:lang w:val="it-IT"/>
              </w:rPr>
            </w:pPr>
            <w:del w:id="1757" w:author="AbbVie14" w:date="2025-05-09T10:29:00Z">
              <w:r w:rsidRPr="00295E71">
                <w:rPr>
                  <w:lang w:val="it-IT"/>
                </w:rPr>
                <w:delText>Patologie dell’apparato riproduttivo e della mammella</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24AA4F3" w14:textId="77777777">
            <w:pPr>
              <w:pStyle w:val="EMEANormal"/>
              <w:keepNext/>
              <w:widowControl w:val="0"/>
              <w:spacing w:before="60"/>
              <w:rPr>
                <w:del w:id="1758" w:author="AbbVie14" w:date="2025-05-09T10:29:00Z"/>
                <w:lang w:val="it-IT"/>
              </w:rPr>
            </w:pPr>
            <w:del w:id="1759" w:author="AbbVie14" w:date="2025-05-09T10:29: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4A6DB7C" w14:textId="77777777">
            <w:pPr>
              <w:pStyle w:val="EMEANormal"/>
              <w:keepNext/>
              <w:widowControl w:val="0"/>
              <w:spacing w:before="60"/>
              <w:rPr>
                <w:del w:id="1760" w:author="AbbVie14" w:date="2025-05-09T10:29:00Z"/>
                <w:lang w:val="it-IT"/>
              </w:rPr>
            </w:pPr>
            <w:del w:id="1761" w:author="AbbVie14" w:date="2025-05-09T10:29:00Z">
              <w:r w:rsidRPr="00295E71">
                <w:rPr>
                  <w:lang w:val="it-IT"/>
                </w:rPr>
                <w:delText>Disfunzione erettile</w:delText>
              </w:r>
            </w:del>
          </w:p>
          <w:p w:rsidR="00C04163" w:rsidRPr="00295E71" w:rsidP="00C04163" w14:paraId="703F22BF" w14:textId="77777777">
            <w:pPr>
              <w:pStyle w:val="EMEANormal"/>
              <w:keepNext/>
              <w:widowControl w:val="0"/>
              <w:spacing w:before="60"/>
              <w:rPr>
                <w:del w:id="1762" w:author="AbbVie14" w:date="2025-05-09T10:29:00Z"/>
                <w:lang w:val="it-IT"/>
              </w:rPr>
            </w:pPr>
          </w:p>
        </w:tc>
      </w:tr>
      <w:tr w14:paraId="0D2753E7" w14:textId="77777777" w:rsidTr="00C04163">
        <w:tblPrEx>
          <w:tblW w:w="0" w:type="auto"/>
          <w:tblLook w:val="01E0"/>
        </w:tblPrEx>
        <w:trPr>
          <w:cantSplit/>
          <w:del w:id="1763" w:author="AbbVie14" w:date="2025-05-09T10:29:00Z"/>
        </w:trPr>
        <w:tc>
          <w:tcPr>
            <w:tcW w:w="2559" w:type="dxa"/>
            <w:vMerge w:val="restart"/>
          </w:tcPr>
          <w:p w:rsidR="00C04163" w:rsidRPr="00295E71" w:rsidP="00035AC5" w14:paraId="436AFD76" w14:textId="77777777">
            <w:pPr>
              <w:pStyle w:val="EMEANormal"/>
              <w:widowControl w:val="0"/>
              <w:spacing w:before="60"/>
              <w:rPr>
                <w:del w:id="1764" w:author="AbbVie14" w:date="2025-05-09T10:29:00Z"/>
                <w:lang w:val="it-IT"/>
              </w:rPr>
            </w:pPr>
            <w:del w:id="1765" w:author="AbbVie14" w:date="2025-05-09T10:29:00Z">
              <w:r w:rsidRPr="00295E71">
                <w:rPr>
                  <w:lang w:val="it-IT"/>
                </w:rPr>
                <w:delText>Patologie sistemiche e condizioni relative alla sede di somministrazione*</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A8A6C88" w14:textId="77777777">
            <w:pPr>
              <w:pStyle w:val="EMEANormal"/>
              <w:keepNext/>
              <w:widowControl w:val="0"/>
              <w:spacing w:before="60"/>
              <w:rPr>
                <w:del w:id="1766" w:author="AbbVie14" w:date="2025-05-09T10:29:00Z"/>
                <w:lang w:val="it-IT"/>
              </w:rPr>
            </w:pPr>
            <w:del w:id="1767" w:author="AbbVie14" w:date="2025-05-09T10:29:00Z">
              <w:r w:rsidRPr="00295E71">
                <w:rPr>
                  <w:lang w:val="it-IT"/>
                </w:rPr>
                <w:delText>Molto comune</w:delText>
              </w:r>
            </w:del>
          </w:p>
          <w:p w:rsidR="00C04163" w:rsidRPr="00295E71" w:rsidP="00C04163" w14:paraId="2B72A75A" w14:textId="77777777">
            <w:pPr>
              <w:pStyle w:val="EMEANormal"/>
              <w:keepNext/>
              <w:widowControl w:val="0"/>
              <w:spacing w:before="60"/>
              <w:rPr>
                <w:del w:id="1768"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88AEA9B" w14:textId="77777777">
            <w:pPr>
              <w:pStyle w:val="EMEANormal"/>
              <w:keepNext/>
              <w:widowControl w:val="0"/>
              <w:spacing w:before="60"/>
              <w:rPr>
                <w:del w:id="1769" w:author="AbbVie14" w:date="2025-05-09T10:29:00Z"/>
                <w:lang w:val="it-IT"/>
              </w:rPr>
            </w:pPr>
            <w:del w:id="1770" w:author="AbbVie14" w:date="2025-05-09T10:29:00Z">
              <w:r w:rsidRPr="00295E71">
                <w:rPr>
                  <w:lang w:val="it-IT"/>
                </w:rPr>
                <w:delText>Reazione al sito di iniezione (tra cui eritema al sito di iniezione)</w:delText>
              </w:r>
            </w:del>
          </w:p>
          <w:p w:rsidR="00C04163" w:rsidRPr="00295E71" w:rsidP="00C04163" w14:paraId="34571E04" w14:textId="77777777">
            <w:pPr>
              <w:pStyle w:val="EMEANormal"/>
              <w:keepNext/>
              <w:widowControl w:val="0"/>
              <w:spacing w:before="60"/>
              <w:rPr>
                <w:del w:id="1771" w:author="AbbVie14" w:date="2025-05-09T10:29:00Z"/>
                <w:lang w:val="it-IT"/>
              </w:rPr>
            </w:pPr>
          </w:p>
        </w:tc>
      </w:tr>
      <w:tr w14:paraId="1ED00319" w14:textId="77777777" w:rsidTr="00C04163">
        <w:tblPrEx>
          <w:tblW w:w="0" w:type="auto"/>
          <w:tblLook w:val="01E0"/>
        </w:tblPrEx>
        <w:trPr>
          <w:cantSplit/>
          <w:del w:id="1772" w:author="AbbVie14" w:date="2025-05-09T10:29:00Z"/>
        </w:trPr>
        <w:tc>
          <w:tcPr>
            <w:tcW w:w="2559" w:type="dxa"/>
            <w:vMerge/>
          </w:tcPr>
          <w:p w:rsidR="00C04163" w:rsidRPr="00295E71" w:rsidP="00035AC5" w14:paraId="38CA6D3B" w14:textId="77777777">
            <w:pPr>
              <w:widowControl w:val="0"/>
              <w:spacing w:before="60"/>
              <w:jc w:val="center"/>
              <w:rPr>
                <w:del w:id="1773"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8CD3FA2" w14:textId="77777777">
            <w:pPr>
              <w:pStyle w:val="EMEANormal"/>
              <w:keepNext/>
              <w:widowControl w:val="0"/>
              <w:spacing w:before="60"/>
              <w:rPr>
                <w:del w:id="1774" w:author="AbbVie14" w:date="2025-05-09T10:29:00Z"/>
                <w:lang w:val="it-IT"/>
              </w:rPr>
            </w:pPr>
            <w:del w:id="1775" w:author="AbbVie14" w:date="2025-05-09T10:29:00Z">
              <w:r w:rsidRPr="00295E71">
                <w:rPr>
                  <w:lang w:val="it-IT"/>
                </w:rPr>
                <w:delText>Comune</w:delText>
              </w:r>
            </w:del>
          </w:p>
          <w:p w:rsidR="00C04163" w:rsidRPr="00295E71" w:rsidP="00C04163" w14:paraId="050F0378" w14:textId="77777777">
            <w:pPr>
              <w:pStyle w:val="EMEANormal"/>
              <w:keepNext/>
              <w:widowControl w:val="0"/>
              <w:spacing w:before="60"/>
              <w:rPr>
                <w:del w:id="1776"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2C04CF5D" w14:textId="77777777">
            <w:pPr>
              <w:pStyle w:val="EMEANormal"/>
              <w:keepNext/>
              <w:widowControl w:val="0"/>
              <w:spacing w:before="60"/>
              <w:rPr>
                <w:del w:id="1777" w:author="AbbVie14" w:date="2025-05-09T10:29:00Z"/>
                <w:lang w:val="it-IT"/>
              </w:rPr>
            </w:pPr>
            <w:del w:id="1778" w:author="AbbVie14" w:date="2025-05-09T10:29:00Z">
              <w:r w:rsidRPr="00295E71">
                <w:rPr>
                  <w:lang w:val="it-IT"/>
                </w:rPr>
                <w:delText xml:space="preserve">Dolore toracico, </w:delText>
              </w:r>
            </w:del>
          </w:p>
          <w:p w:rsidR="00C04163" w:rsidRPr="00295E71" w:rsidP="00C04163" w14:paraId="4F93E22D" w14:textId="77777777">
            <w:pPr>
              <w:pStyle w:val="EMEANormal"/>
              <w:keepNext/>
              <w:widowControl w:val="0"/>
              <w:spacing w:before="60"/>
              <w:rPr>
                <w:del w:id="1779" w:author="AbbVie14" w:date="2025-05-09T10:29:00Z"/>
                <w:lang w:val="it-IT"/>
              </w:rPr>
            </w:pPr>
            <w:del w:id="1780" w:author="AbbVie14" w:date="2025-05-09T10:29:00Z">
              <w:r w:rsidRPr="00295E71">
                <w:rPr>
                  <w:lang w:val="it-IT"/>
                </w:rPr>
                <w:delText>edema,</w:delText>
              </w:r>
            </w:del>
          </w:p>
          <w:p w:rsidR="00C04163" w:rsidRPr="00295E71" w:rsidP="00C04163" w14:paraId="7758A572" w14:textId="77777777">
            <w:pPr>
              <w:pStyle w:val="EMEANormal"/>
              <w:keepNext/>
              <w:widowControl w:val="0"/>
              <w:spacing w:before="60"/>
              <w:rPr>
                <w:del w:id="1781" w:author="AbbVie14" w:date="2025-05-09T10:29:00Z"/>
                <w:lang w:val="it-IT"/>
              </w:rPr>
            </w:pPr>
            <w:del w:id="1782" w:author="AbbVie14" w:date="2025-05-09T10:29:00Z">
              <w:r w:rsidRPr="00295E71">
                <w:rPr>
                  <w:lang w:val="it-IT"/>
                </w:rPr>
                <w:delText>piressia</w:delText>
              </w:r>
            </w:del>
            <w:del w:id="1783" w:author="AbbVie14" w:date="2025-05-09T10:29:00Z">
              <w:r w:rsidRPr="00C04163">
                <w:rPr>
                  <w:lang w:val="it-IT"/>
                </w:rPr>
                <w:delText>1)</w:delText>
              </w:r>
            </w:del>
          </w:p>
        </w:tc>
      </w:tr>
      <w:tr w14:paraId="682ABB21" w14:textId="77777777" w:rsidTr="00C04163">
        <w:tblPrEx>
          <w:tblW w:w="0" w:type="auto"/>
          <w:tblLook w:val="01E0"/>
        </w:tblPrEx>
        <w:trPr>
          <w:cantSplit/>
          <w:del w:id="1784" w:author="AbbVie14" w:date="2025-05-09T10:29:00Z"/>
        </w:trPr>
        <w:tc>
          <w:tcPr>
            <w:tcW w:w="2559" w:type="dxa"/>
            <w:vMerge/>
          </w:tcPr>
          <w:p w:rsidR="00C04163" w:rsidRPr="00295E71" w:rsidP="00035AC5" w14:paraId="2D139326" w14:textId="77777777">
            <w:pPr>
              <w:widowControl w:val="0"/>
              <w:spacing w:before="60"/>
              <w:jc w:val="center"/>
              <w:rPr>
                <w:del w:id="1785" w:author="AbbVie14" w:date="2025-05-09T10:29: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300F411" w14:textId="77777777">
            <w:pPr>
              <w:pStyle w:val="EMEANormal"/>
              <w:keepNext/>
              <w:widowControl w:val="0"/>
              <w:spacing w:before="60"/>
              <w:rPr>
                <w:del w:id="1786" w:author="AbbVie14" w:date="2025-05-09T10:29:00Z"/>
                <w:lang w:val="it-IT"/>
              </w:rPr>
            </w:pPr>
          </w:p>
          <w:p w:rsidR="00C04163" w:rsidRPr="00295E71" w:rsidP="00C04163" w14:paraId="36A01328" w14:textId="77777777">
            <w:pPr>
              <w:pStyle w:val="EMEANormal"/>
              <w:keepNext/>
              <w:widowControl w:val="0"/>
              <w:spacing w:before="60"/>
              <w:rPr>
                <w:del w:id="1787" w:author="AbbVie14" w:date="2025-05-09T10:29:00Z"/>
                <w:lang w:val="it-IT"/>
              </w:rPr>
            </w:pPr>
            <w:del w:id="1788" w:author="AbbVie14" w:date="2025-05-09T10:29:00Z">
              <w:r w:rsidRPr="00295E71">
                <w:rPr>
                  <w:lang w:val="it-IT"/>
                </w:rPr>
                <w:delText>Non comune</w:delText>
              </w:r>
            </w:del>
          </w:p>
          <w:p w:rsidR="00C04163" w:rsidRPr="00295E71" w:rsidP="00C04163" w14:paraId="360BBD59" w14:textId="77777777">
            <w:pPr>
              <w:pStyle w:val="EMEANormal"/>
              <w:keepNext/>
              <w:widowControl w:val="0"/>
              <w:spacing w:before="60"/>
              <w:rPr>
                <w:del w:id="1789" w:author="AbbVie14" w:date="2025-05-09T10:29: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7B6BD4AC" w14:textId="77777777">
            <w:pPr>
              <w:pStyle w:val="EMEANormal"/>
              <w:keepNext/>
              <w:widowControl w:val="0"/>
              <w:spacing w:before="60"/>
              <w:rPr>
                <w:del w:id="1790" w:author="AbbVie14" w:date="2025-05-09T10:29:00Z"/>
                <w:lang w:val="it-IT"/>
              </w:rPr>
            </w:pPr>
          </w:p>
          <w:p w:rsidR="00C04163" w:rsidRPr="00295E71" w:rsidP="00C04163" w14:paraId="72CAC66A" w14:textId="77777777">
            <w:pPr>
              <w:pStyle w:val="EMEANormal"/>
              <w:keepNext/>
              <w:widowControl w:val="0"/>
              <w:spacing w:before="60"/>
              <w:rPr>
                <w:del w:id="1791" w:author="AbbVie14" w:date="2025-05-09T10:29:00Z"/>
                <w:lang w:val="it-IT"/>
              </w:rPr>
            </w:pPr>
            <w:del w:id="1792" w:author="AbbVie14" w:date="2025-05-09T10:29:00Z">
              <w:r w:rsidRPr="00295E71">
                <w:rPr>
                  <w:lang w:val="it-IT"/>
                </w:rPr>
                <w:delText>Infiammazione</w:delText>
              </w:r>
            </w:del>
          </w:p>
        </w:tc>
      </w:tr>
      <w:tr w14:paraId="755BF34A" w14:textId="77777777" w:rsidTr="00C04163">
        <w:tblPrEx>
          <w:tblW w:w="0" w:type="auto"/>
          <w:tblLook w:val="01E0"/>
        </w:tblPrEx>
        <w:trPr>
          <w:cantSplit/>
          <w:del w:id="1793" w:author="AbbVie14" w:date="2025-05-09T10:29:00Z"/>
        </w:trPr>
        <w:tc>
          <w:tcPr>
            <w:tcW w:w="2559" w:type="dxa"/>
          </w:tcPr>
          <w:p w:rsidR="00C04163" w:rsidRPr="00295E71" w:rsidP="00035AC5" w14:paraId="4A59CD1C" w14:textId="77777777">
            <w:pPr>
              <w:pStyle w:val="IndexHeading"/>
              <w:widowControl w:val="0"/>
              <w:tabs>
                <w:tab w:val="clear" w:pos="567"/>
              </w:tabs>
              <w:spacing w:before="120" w:after="120" w:line="240" w:lineRule="auto"/>
              <w:jc w:val="center"/>
              <w:rPr>
                <w:del w:id="1794" w:author="AbbVie14" w:date="2025-05-09T10:29:00Z"/>
                <w:rFonts w:ascii="Times New Roman" w:hAnsi="Times New Roman" w:cs="Times New Roman"/>
                <w:lang w:val="it-IT" w:eastAsia="it-IT"/>
              </w:rPr>
            </w:pPr>
            <w:del w:id="1795" w:author="AbbVie14" w:date="2025-05-09T10:29:00Z">
              <w:r w:rsidRPr="0020624D">
                <w:rPr>
                  <w:lang w:val="it-IT"/>
                </w:rPr>
                <w:br w:type="page"/>
              </w:r>
            </w:del>
            <w:del w:id="1796" w:author="AbbVie14" w:date="2025-05-09T10:29:00Z">
              <w:r w:rsidRPr="00295E71">
                <w:rPr>
                  <w:rFonts w:ascii="Times New Roman" w:hAnsi="Times New Roman" w:cs="Times New Roman"/>
                  <w:lang w:val="it-IT" w:eastAsia="it-IT"/>
                </w:rPr>
                <w:delText>Classificazione per sistemi e organi</w:delText>
              </w:r>
            </w:del>
          </w:p>
        </w:tc>
        <w:tc>
          <w:tcPr>
            <w:tcW w:w="2038" w:type="dxa"/>
            <w:tcBorders>
              <w:top w:val="single" w:sz="4" w:space="0" w:color="auto"/>
              <w:left w:val="single" w:sz="4" w:space="0" w:color="auto"/>
              <w:bottom w:val="single" w:sz="4" w:space="0" w:color="auto"/>
              <w:right w:val="single" w:sz="4" w:space="0" w:color="auto"/>
            </w:tcBorders>
          </w:tcPr>
          <w:p w:rsidR="00C04163" w:rsidRPr="00C04163" w:rsidP="00C04163" w14:paraId="721E8921" w14:textId="77777777">
            <w:pPr>
              <w:pStyle w:val="EMEANormal"/>
              <w:keepNext/>
              <w:spacing w:before="60"/>
              <w:rPr>
                <w:del w:id="1797" w:author="AbbVie14" w:date="2025-05-09T10:29:00Z"/>
                <w:lang w:val="it-IT"/>
              </w:rPr>
            </w:pPr>
            <w:del w:id="1798" w:author="AbbVie14" w:date="2025-05-09T10:29:00Z">
              <w:r w:rsidRPr="00295E71">
                <w:rPr>
                  <w:lang w:val="it-IT"/>
                </w:rPr>
                <w:delText>Frequenza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187FAEA7" w14:textId="77777777">
            <w:pPr>
              <w:pStyle w:val="EMEANormal"/>
              <w:keepNext/>
              <w:spacing w:before="60"/>
              <w:rPr>
                <w:del w:id="1799" w:author="AbbVie14" w:date="2025-05-09T10:29:00Z"/>
                <w:lang w:val="it-IT"/>
              </w:rPr>
            </w:pPr>
            <w:del w:id="1800" w:author="AbbVie14" w:date="2025-05-09T10:29:00Z">
              <w:r w:rsidRPr="00295E71">
                <w:rPr>
                  <w:lang w:val="it-IT"/>
                </w:rPr>
                <w:delText>Reazione avversa</w:delText>
              </w:r>
            </w:del>
          </w:p>
        </w:tc>
      </w:tr>
      <w:tr w14:paraId="29A8AA37" w14:textId="77777777" w:rsidTr="00C04163">
        <w:tblPrEx>
          <w:tblW w:w="0" w:type="auto"/>
          <w:tblLook w:val="01E0"/>
        </w:tblPrEx>
        <w:trPr>
          <w:cantSplit/>
          <w:del w:id="1801" w:author="AbbVie14" w:date="2025-05-09T10:29:00Z"/>
        </w:trPr>
        <w:tc>
          <w:tcPr>
            <w:tcW w:w="2559" w:type="dxa"/>
            <w:vMerge w:val="restart"/>
          </w:tcPr>
          <w:p w:rsidR="003118FF" w:rsidRPr="00295E71" w:rsidP="00035AC5" w14:paraId="639147AE" w14:textId="77777777">
            <w:pPr>
              <w:pStyle w:val="EMEANormal"/>
              <w:widowControl w:val="0"/>
              <w:spacing w:before="60"/>
              <w:rPr>
                <w:del w:id="1802" w:author="AbbVie14" w:date="2025-05-09T10:29:00Z"/>
                <w:lang w:val="it-IT"/>
              </w:rPr>
            </w:pPr>
            <w:del w:id="1803" w:author="AbbVie14" w:date="2025-05-09T10:29:00Z">
              <w:r w:rsidRPr="00295E71">
                <w:rPr>
                  <w:lang w:val="it-IT"/>
                </w:rPr>
                <w:delText>Esami diagnostici*</w:delText>
              </w:r>
            </w:del>
          </w:p>
        </w:tc>
        <w:tc>
          <w:tcPr>
            <w:tcW w:w="2038" w:type="dxa"/>
            <w:tcBorders>
              <w:top w:val="single" w:sz="4" w:space="0" w:color="auto"/>
              <w:left w:val="single" w:sz="4" w:space="0" w:color="auto"/>
              <w:bottom w:val="single" w:sz="4" w:space="0" w:color="auto"/>
              <w:right w:val="single" w:sz="4" w:space="0" w:color="auto"/>
            </w:tcBorders>
          </w:tcPr>
          <w:p w:rsidR="003118FF" w:rsidRPr="00295E71" w:rsidP="00C04163" w14:paraId="5777CA55" w14:textId="77777777">
            <w:pPr>
              <w:pStyle w:val="EMEANormal"/>
              <w:keepNext/>
              <w:widowControl w:val="0"/>
              <w:spacing w:before="60"/>
              <w:rPr>
                <w:del w:id="1804" w:author="AbbVie14" w:date="2025-05-09T10:29:00Z"/>
                <w:lang w:val="it-IT"/>
              </w:rPr>
            </w:pPr>
            <w:del w:id="1805" w:author="AbbVie14" w:date="2025-05-09T10:29:00Z">
              <w:r w:rsidRPr="00295E71">
                <w:rPr>
                  <w:lang w:val="it-IT"/>
                </w:rPr>
                <w:delText>Comune</w:delText>
              </w:r>
            </w:del>
          </w:p>
        </w:tc>
        <w:tc>
          <w:tcPr>
            <w:tcW w:w="4463" w:type="dxa"/>
            <w:tcBorders>
              <w:top w:val="single" w:sz="4" w:space="0" w:color="auto"/>
              <w:left w:val="single" w:sz="4" w:space="0" w:color="auto"/>
              <w:bottom w:val="single" w:sz="4" w:space="0" w:color="auto"/>
              <w:right w:val="single" w:sz="4" w:space="0" w:color="auto"/>
            </w:tcBorders>
          </w:tcPr>
          <w:p w:rsidR="003118FF" w:rsidRPr="00295E71" w:rsidP="00C04163" w14:paraId="2999FCD7" w14:textId="77777777">
            <w:pPr>
              <w:pStyle w:val="EMEANormal"/>
              <w:keepNext/>
              <w:widowControl w:val="0"/>
              <w:spacing w:before="60"/>
              <w:rPr>
                <w:del w:id="1806" w:author="AbbVie14" w:date="2025-05-09T10:29:00Z"/>
                <w:lang w:val="it-IT"/>
              </w:rPr>
            </w:pPr>
            <w:del w:id="1807" w:author="AbbVie14" w:date="2025-05-09T10:29:00Z">
              <w:r w:rsidRPr="00295E71">
                <w:rPr>
                  <w:lang w:val="it-IT"/>
                </w:rPr>
                <w:delText xml:space="preserve">Disturbi della coagulazione </w:delText>
              </w:r>
            </w:del>
            <w:del w:id="1808" w:author="AbbVie14" w:date="2025-05-09T10:29:00Z">
              <w:r>
                <w:rPr>
                  <w:lang w:val="it-IT"/>
                </w:rPr>
                <w:delText xml:space="preserve">e disturbi emorragici </w:delText>
              </w:r>
            </w:del>
            <w:del w:id="1809" w:author="AbbVie14" w:date="2025-05-09T10:29:00Z">
              <w:r w:rsidRPr="00295E71">
                <w:rPr>
                  <w:lang w:val="it-IT"/>
                </w:rPr>
                <w:delText xml:space="preserve">(tra cui prolungamento del tempo di tromboplastina parziale attivata), </w:delText>
              </w:r>
            </w:del>
          </w:p>
          <w:p w:rsidR="003118FF" w:rsidRPr="00295E71" w:rsidP="00C04163" w14:paraId="13859568" w14:textId="77777777">
            <w:pPr>
              <w:pStyle w:val="EMEANormal"/>
              <w:keepNext/>
              <w:widowControl w:val="0"/>
              <w:spacing w:before="60"/>
              <w:rPr>
                <w:del w:id="1810" w:author="AbbVie14" w:date="2025-05-09T10:29:00Z"/>
                <w:lang w:val="it-IT"/>
              </w:rPr>
            </w:pPr>
            <w:del w:id="1811" w:author="AbbVie14" w:date="2025-05-09T10:29:00Z">
              <w:r w:rsidRPr="00295E71">
                <w:rPr>
                  <w:lang w:val="it-IT"/>
                </w:rPr>
                <w:delText>positività ai test per autoanticorpi (tra cui anticorpi anti</w:delText>
              </w:r>
            </w:del>
            <w:del w:id="1812" w:author="AbbVie14" w:date="2025-05-09T10:29:00Z">
              <w:r>
                <w:rPr>
                  <w:lang w:val="it-IT"/>
                </w:rPr>
                <w:delText>-</w:delText>
              </w:r>
            </w:del>
            <w:del w:id="1813" w:author="AbbVie14" w:date="2025-05-09T10:29:00Z">
              <w:r w:rsidRPr="00295E71">
                <w:rPr>
                  <w:lang w:val="it-IT"/>
                </w:rPr>
                <w:delText xml:space="preserve">DNA a doppia catena), </w:delText>
              </w:r>
            </w:del>
          </w:p>
          <w:p w:rsidR="003118FF" w:rsidRPr="00295E71" w:rsidP="00C04163" w14:paraId="06C16D55" w14:textId="77777777">
            <w:pPr>
              <w:pStyle w:val="EMEANormal"/>
              <w:keepNext/>
              <w:widowControl w:val="0"/>
              <w:spacing w:before="60"/>
              <w:rPr>
                <w:del w:id="1814" w:author="AbbVie14" w:date="2025-05-09T10:29:00Z"/>
                <w:lang w:val="it-IT"/>
              </w:rPr>
            </w:pPr>
            <w:del w:id="1815" w:author="AbbVie14" w:date="2025-05-09T10:29:00Z">
              <w:r w:rsidRPr="00295E71">
                <w:rPr>
                  <w:lang w:val="it-IT"/>
                </w:rPr>
                <w:delText>aumento della lattato deidrogenasi ematica</w:delText>
              </w:r>
            </w:del>
          </w:p>
          <w:p w:rsidR="003118FF" w:rsidRPr="00295E71" w:rsidP="00C04163" w14:paraId="458C1259" w14:textId="77777777">
            <w:pPr>
              <w:pStyle w:val="EMEANormal"/>
              <w:keepNext/>
              <w:widowControl w:val="0"/>
              <w:spacing w:before="60"/>
              <w:rPr>
                <w:del w:id="1816" w:author="AbbVie14" w:date="2025-05-09T10:29:00Z"/>
                <w:lang w:val="it-IT"/>
              </w:rPr>
            </w:pPr>
          </w:p>
        </w:tc>
      </w:tr>
      <w:tr w14:paraId="7DA8CF05" w14:textId="77777777" w:rsidTr="00C04163">
        <w:tblPrEx>
          <w:tblW w:w="0" w:type="auto"/>
          <w:tblLook w:val="01E0"/>
        </w:tblPrEx>
        <w:trPr>
          <w:cantSplit/>
          <w:del w:id="1817" w:author="AbbVie14" w:date="2025-05-09T10:29:00Z"/>
        </w:trPr>
        <w:tc>
          <w:tcPr>
            <w:tcW w:w="2559" w:type="dxa"/>
            <w:vMerge/>
          </w:tcPr>
          <w:p w:rsidR="003118FF" w:rsidRPr="00295E71" w:rsidP="00035AC5" w14:paraId="4696B734" w14:textId="77777777">
            <w:pPr>
              <w:pStyle w:val="EMEANormal"/>
              <w:widowControl w:val="0"/>
              <w:spacing w:before="60"/>
              <w:rPr>
                <w:del w:id="1818" w:author="AbbVie14" w:date="2025-05-09T10:29:00Z"/>
                <w:lang w:val="it-IT"/>
              </w:rPr>
            </w:pPr>
          </w:p>
        </w:tc>
        <w:tc>
          <w:tcPr>
            <w:tcW w:w="2038" w:type="dxa"/>
            <w:tcBorders>
              <w:top w:val="single" w:sz="4" w:space="0" w:color="auto"/>
              <w:left w:val="single" w:sz="4" w:space="0" w:color="auto"/>
              <w:bottom w:val="single" w:sz="4" w:space="0" w:color="auto"/>
              <w:right w:val="single" w:sz="4" w:space="0" w:color="auto"/>
            </w:tcBorders>
          </w:tcPr>
          <w:p w:rsidR="003118FF" w:rsidRPr="00295E71" w:rsidP="00C04163" w14:paraId="1EFF1AB6" w14:textId="77777777">
            <w:pPr>
              <w:pStyle w:val="EMEANormal"/>
              <w:keepNext/>
              <w:widowControl w:val="0"/>
              <w:spacing w:before="60"/>
              <w:rPr>
                <w:del w:id="1819" w:author="AbbVie14" w:date="2025-05-09T10:29:00Z"/>
                <w:lang w:val="it-IT"/>
              </w:rPr>
            </w:pPr>
            <w:del w:id="1820" w:author="AbbVie14" w:date="2025-05-09T10:29:00Z">
              <w:r>
                <w:rPr>
                  <w:lang w:val="it-IT"/>
                </w:rPr>
                <w:delText>Non nota</w:delText>
              </w:r>
            </w:del>
          </w:p>
        </w:tc>
        <w:tc>
          <w:tcPr>
            <w:tcW w:w="4463" w:type="dxa"/>
            <w:tcBorders>
              <w:top w:val="single" w:sz="4" w:space="0" w:color="auto"/>
              <w:left w:val="single" w:sz="4" w:space="0" w:color="auto"/>
              <w:bottom w:val="single" w:sz="4" w:space="0" w:color="auto"/>
              <w:right w:val="single" w:sz="4" w:space="0" w:color="auto"/>
            </w:tcBorders>
          </w:tcPr>
          <w:p w:rsidR="003118FF" w:rsidRPr="00FD1D51" w:rsidP="00C04163" w14:paraId="3BB08345" w14:textId="77777777">
            <w:pPr>
              <w:pStyle w:val="EMEANormal"/>
              <w:keepNext/>
              <w:widowControl w:val="0"/>
              <w:spacing w:before="60"/>
              <w:rPr>
                <w:del w:id="1821" w:author="AbbVie14" w:date="2025-05-09T10:29:00Z"/>
                <w:vertAlign w:val="superscript"/>
                <w:lang w:val="it-IT"/>
              </w:rPr>
            </w:pPr>
            <w:del w:id="1822" w:author="AbbVie14" w:date="2025-05-09T10:29:00Z">
              <w:r>
                <w:rPr>
                  <w:lang w:val="it-IT"/>
                </w:rPr>
                <w:delText>Aumento di peso</w:delText>
              </w:r>
            </w:del>
            <w:del w:id="1823" w:author="AbbVie14" w:date="2025-05-09T10:29:00Z">
              <w:r>
                <w:rPr>
                  <w:vertAlign w:val="superscript"/>
                  <w:lang w:val="it-IT"/>
                </w:rPr>
                <w:delText>2)</w:delText>
              </w:r>
            </w:del>
          </w:p>
        </w:tc>
      </w:tr>
      <w:tr w14:paraId="4E5A8B1A" w14:textId="77777777" w:rsidTr="00C04163">
        <w:tblPrEx>
          <w:tblW w:w="0" w:type="auto"/>
          <w:tblLook w:val="01E0"/>
        </w:tblPrEx>
        <w:trPr>
          <w:cantSplit/>
          <w:del w:id="1824" w:author="AbbVie14" w:date="2025-05-09T10:29:00Z"/>
        </w:trPr>
        <w:tc>
          <w:tcPr>
            <w:tcW w:w="2559" w:type="dxa"/>
          </w:tcPr>
          <w:p w:rsidR="00C04163" w:rsidRPr="00295E71" w:rsidP="00035AC5" w14:paraId="501AF4AB" w14:textId="77777777">
            <w:pPr>
              <w:pStyle w:val="EMEANormal"/>
              <w:widowControl w:val="0"/>
              <w:spacing w:before="60"/>
              <w:rPr>
                <w:del w:id="1825" w:author="AbbVie14" w:date="2025-05-09T10:29:00Z"/>
                <w:lang w:val="it-IT"/>
              </w:rPr>
            </w:pPr>
            <w:del w:id="1826" w:author="AbbVie14" w:date="2025-05-09T10:29:00Z">
              <w:r w:rsidRPr="00295E71">
                <w:rPr>
                  <w:lang w:val="it-IT"/>
                </w:rPr>
                <w:delText>Traumatismo, avvelenamento e complicazioni da procedura</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52915B8" w14:textId="77777777">
            <w:pPr>
              <w:pStyle w:val="EMEANormal"/>
              <w:keepNext/>
              <w:widowControl w:val="0"/>
              <w:spacing w:before="60"/>
              <w:rPr>
                <w:del w:id="1827" w:author="AbbVie14" w:date="2025-05-09T10:29:00Z"/>
                <w:lang w:val="it-IT"/>
              </w:rPr>
            </w:pPr>
            <w:del w:id="1828" w:author="AbbVie14" w:date="2025-05-09T10:29:00Z">
              <w:r w:rsidRPr="00295E71">
                <w:rPr>
                  <w:lang w:val="it-IT"/>
                </w:rPr>
                <w:delText>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4330645" w14:textId="77777777">
            <w:pPr>
              <w:pStyle w:val="EMEANormal"/>
              <w:keepNext/>
              <w:widowControl w:val="0"/>
              <w:spacing w:before="60"/>
              <w:rPr>
                <w:del w:id="1829" w:author="AbbVie14" w:date="2025-05-09T10:29:00Z"/>
                <w:lang w:val="it-IT"/>
              </w:rPr>
            </w:pPr>
            <w:del w:id="1830" w:author="AbbVie14" w:date="2025-05-09T10:29:00Z">
              <w:r w:rsidRPr="00295E71">
                <w:rPr>
                  <w:lang w:val="it-IT"/>
                </w:rPr>
                <w:delText>Difficoltà di cicatrizzazione</w:delText>
              </w:r>
            </w:del>
          </w:p>
          <w:p w:rsidR="00C04163" w:rsidRPr="00295E71" w:rsidP="00C04163" w14:paraId="3484310D" w14:textId="77777777">
            <w:pPr>
              <w:pStyle w:val="EMEANormal"/>
              <w:keepNext/>
              <w:widowControl w:val="0"/>
              <w:spacing w:before="60"/>
              <w:rPr>
                <w:del w:id="1831" w:author="AbbVie14" w:date="2025-05-09T10:29:00Z"/>
                <w:lang w:val="it-IT"/>
              </w:rPr>
            </w:pPr>
          </w:p>
        </w:tc>
      </w:tr>
    </w:tbl>
    <w:p w:rsidR="006224C2" w:rsidRPr="00295E71" w14:paraId="029733F3" w14:textId="77777777">
      <w:pPr>
        <w:tabs>
          <w:tab w:val="left" w:pos="567"/>
        </w:tabs>
        <w:autoSpaceDE w:val="0"/>
        <w:autoSpaceDN w:val="0"/>
        <w:adjustRightInd w:val="0"/>
        <w:jc w:val="both"/>
        <w:rPr>
          <w:del w:id="1832" w:author="AbbVie14" w:date="2025-05-09T10:29:00Z"/>
          <w:color w:val="000000"/>
          <w:sz w:val="22"/>
          <w:szCs w:val="22"/>
        </w:rPr>
      </w:pPr>
      <w:del w:id="1833" w:author="AbbVie14" w:date="2025-05-09T10:29:00Z">
        <w:r w:rsidRPr="00295E71">
          <w:rPr>
            <w:color w:val="000000"/>
            <w:sz w:val="22"/>
            <w:szCs w:val="22"/>
          </w:rPr>
          <w:delText>* sono presenti ulteriori informazioni contenute</w:delText>
        </w:r>
      </w:del>
      <w:del w:id="1834" w:author="AbbVie14" w:date="2025-05-09T10:29:00Z">
        <w:r w:rsidR="00101E3D">
          <w:rPr>
            <w:color w:val="000000"/>
            <w:sz w:val="22"/>
            <w:szCs w:val="22"/>
          </w:rPr>
          <w:delText xml:space="preserve"> </w:delText>
        </w:r>
      </w:del>
      <w:del w:id="1835" w:author="AbbVie14" w:date="2025-05-09T10:29:00Z">
        <w:r w:rsidRPr="00295E71">
          <w:rPr>
            <w:color w:val="000000"/>
            <w:sz w:val="22"/>
            <w:szCs w:val="22"/>
          </w:rPr>
          <w:delText>nei paragrafi 4.3, 4.4 e 4.8</w:delText>
        </w:r>
      </w:del>
    </w:p>
    <w:p w:rsidR="006224C2" w:rsidRPr="00295E71" w14:paraId="7DB09A09" w14:textId="77777777">
      <w:pPr>
        <w:tabs>
          <w:tab w:val="left" w:pos="567"/>
        </w:tabs>
        <w:autoSpaceDE w:val="0"/>
        <w:autoSpaceDN w:val="0"/>
        <w:adjustRightInd w:val="0"/>
        <w:jc w:val="both"/>
        <w:rPr>
          <w:del w:id="1836" w:author="AbbVie14" w:date="2025-05-09T10:29:00Z"/>
          <w:color w:val="000000"/>
          <w:sz w:val="22"/>
          <w:szCs w:val="22"/>
        </w:rPr>
      </w:pPr>
      <w:del w:id="1837" w:author="AbbVie14" w:date="2025-05-09T10:29:00Z">
        <w:r w:rsidRPr="00295E71">
          <w:rPr>
            <w:color w:val="000000"/>
            <w:sz w:val="22"/>
            <w:szCs w:val="22"/>
          </w:rPr>
          <w:delText>** tra cui studi di estensione in aperto</w:delText>
        </w:r>
      </w:del>
    </w:p>
    <w:p w:rsidR="006224C2" w:rsidP="003B3A5A" w14:paraId="7B124447" w14:textId="77777777">
      <w:pPr>
        <w:pStyle w:val="EMEANormal"/>
        <w:widowControl w:val="0"/>
        <w:numPr>
          <w:ilvl w:val="0"/>
          <w:numId w:val="162"/>
        </w:numPr>
        <w:spacing w:before="60"/>
        <w:jc w:val="both"/>
        <w:rPr>
          <w:del w:id="1838" w:author="AbbVie14" w:date="2025-05-09T10:29:00Z"/>
          <w:lang w:val="it-IT"/>
        </w:rPr>
      </w:pPr>
      <w:del w:id="1839" w:author="AbbVie14" w:date="2025-05-09T10:29:00Z">
        <w:r w:rsidRPr="00295E71">
          <w:rPr>
            <w:lang w:val="it-IT"/>
          </w:rPr>
          <w:delText>tra cui dati provenienti da segnalazioni spontanee</w:delText>
        </w:r>
      </w:del>
    </w:p>
    <w:p w:rsidR="003118FF" w:rsidRPr="00A01AD4" w:rsidP="007A3ADA" w14:paraId="06D2560D" w14:textId="77777777">
      <w:pPr>
        <w:pStyle w:val="EMEANormal"/>
        <w:widowControl w:val="0"/>
        <w:numPr>
          <w:ilvl w:val="0"/>
          <w:numId w:val="162"/>
        </w:numPr>
        <w:rPr>
          <w:del w:id="1840" w:author="AbbVie14" w:date="2025-05-09T10:29:00Z"/>
          <w:lang w:val="it-IT"/>
        </w:rPr>
      </w:pPr>
      <w:del w:id="1841" w:author="AbbVie14" w:date="2025-05-09T10:29:00Z">
        <w:r w:rsidRPr="0025081D">
          <w:rPr>
            <w:lang w:val="it-IT"/>
          </w:rPr>
          <w:delText>La variazione ponderale media rispetto al basale per adalimumab era compresa tra 0,3 kg e 1,0 kg per le indicazioni per adulti rispetto a (meno) - 0,4 kg e 0,4 kg per il placebo nell’arco di un periodo di trattamento di 4-6 mesi. È stato osservato anche un aumento di peso di 5-6 kg in studi di estensione a lungo termine con esposizioni medie di circa 1-2 anni in assenza di un gruppo di controllo, in particolare nei pazienti affetti da morbo di Crohn e colite ulcerosa. Il meccanismo alla base di questo effetto non è chiaro, ma potrebbe essere associato all’effetto antinfiammatorio di adalimumab.</w:delText>
        </w:r>
      </w:del>
    </w:p>
    <w:p w:rsidR="006224C2" w:rsidRPr="00295E71" w14:paraId="4E3BE6BF" w14:textId="77777777">
      <w:pPr>
        <w:tabs>
          <w:tab w:val="left" w:pos="567"/>
        </w:tabs>
        <w:autoSpaceDE w:val="0"/>
        <w:autoSpaceDN w:val="0"/>
        <w:adjustRightInd w:val="0"/>
        <w:jc w:val="both"/>
        <w:rPr>
          <w:del w:id="1842" w:author="AbbVie14" w:date="2025-05-09T10:29:00Z"/>
          <w:color w:val="000000"/>
          <w:sz w:val="22"/>
          <w:szCs w:val="22"/>
          <w:u w:val="single"/>
        </w:rPr>
      </w:pPr>
    </w:p>
    <w:p w:rsidR="001D1CEA" w:rsidRPr="00295E71" w:rsidP="001D1CEA" w14:paraId="6B1005CD" w14:textId="77777777">
      <w:pPr>
        <w:tabs>
          <w:tab w:val="left" w:pos="567"/>
        </w:tabs>
        <w:autoSpaceDE w:val="0"/>
        <w:autoSpaceDN w:val="0"/>
        <w:adjustRightInd w:val="0"/>
        <w:jc w:val="both"/>
        <w:rPr>
          <w:del w:id="1843" w:author="AbbVie14" w:date="2025-05-09T10:29:00Z"/>
          <w:color w:val="000000"/>
          <w:sz w:val="22"/>
          <w:szCs w:val="22"/>
          <w:u w:val="single"/>
        </w:rPr>
      </w:pPr>
      <w:del w:id="1844" w:author="AbbVie14" w:date="2025-05-09T10:29:00Z">
        <w:r w:rsidRPr="00295E71">
          <w:rPr>
            <w:color w:val="000000"/>
            <w:sz w:val="22"/>
            <w:szCs w:val="22"/>
            <w:u w:val="single"/>
          </w:rPr>
          <w:delText>Idrosadenite Suppurativa</w:delText>
        </w:r>
      </w:del>
    </w:p>
    <w:p w:rsidR="001D1CEA" w:rsidRPr="00295E71" w:rsidP="001D1CEA" w14:paraId="60BB7033" w14:textId="77777777">
      <w:pPr>
        <w:tabs>
          <w:tab w:val="left" w:pos="567"/>
        </w:tabs>
        <w:autoSpaceDE w:val="0"/>
        <w:autoSpaceDN w:val="0"/>
        <w:adjustRightInd w:val="0"/>
        <w:jc w:val="both"/>
        <w:rPr>
          <w:del w:id="1845" w:author="AbbVie14" w:date="2025-05-09T10:29:00Z"/>
          <w:color w:val="000000"/>
          <w:sz w:val="22"/>
          <w:szCs w:val="22"/>
        </w:rPr>
      </w:pPr>
    </w:p>
    <w:p w:rsidR="001D1CEA" w:rsidRPr="00295E71" w:rsidP="001D1CEA" w14:paraId="11CC2F92" w14:textId="77777777">
      <w:pPr>
        <w:tabs>
          <w:tab w:val="left" w:pos="567"/>
        </w:tabs>
        <w:autoSpaceDE w:val="0"/>
        <w:autoSpaceDN w:val="0"/>
        <w:adjustRightInd w:val="0"/>
        <w:jc w:val="both"/>
        <w:rPr>
          <w:del w:id="1846" w:author="AbbVie14" w:date="2025-05-09T10:29:00Z"/>
          <w:color w:val="000000"/>
          <w:sz w:val="22"/>
          <w:szCs w:val="22"/>
        </w:rPr>
      </w:pPr>
      <w:del w:id="1847" w:author="AbbVie14" w:date="2025-05-09T10:29:00Z">
        <w:r w:rsidRPr="00295E71">
          <w:rPr>
            <w:color w:val="000000"/>
            <w:sz w:val="22"/>
            <w:szCs w:val="22"/>
          </w:rPr>
          <w:delText xml:space="preserve">Il profilo di sicurezza di Humira utilizzato ogni settimana nei pazienti con Idrosadenite Suppurativa (HS) è </w:delText>
        </w:r>
      </w:del>
      <w:del w:id="1848" w:author="AbbVie14" w:date="2025-05-09T10:29:00Z">
        <w:r w:rsidRPr="00020442" w:rsidR="00101E3D">
          <w:rPr>
            <w:color w:val="000000"/>
            <w:sz w:val="22"/>
            <w:szCs w:val="22"/>
          </w:rPr>
          <w:delText>stato coerente con</w:delText>
        </w:r>
      </w:del>
      <w:del w:id="1849" w:author="AbbVie14" w:date="2025-05-09T10:29:00Z">
        <w:r w:rsidR="00101E3D">
          <w:rPr>
            <w:color w:val="000000"/>
            <w:sz w:val="22"/>
            <w:szCs w:val="22"/>
          </w:rPr>
          <w:delText xml:space="preserve"> il </w:delText>
        </w:r>
      </w:del>
      <w:del w:id="1850" w:author="AbbVie14" w:date="2025-05-09T10:29:00Z">
        <w:r w:rsidRPr="00295E71">
          <w:rPr>
            <w:color w:val="000000"/>
            <w:sz w:val="22"/>
            <w:szCs w:val="22"/>
          </w:rPr>
          <w:delText>profilo di sicurezza noto di Humira.</w:delText>
        </w:r>
      </w:del>
    </w:p>
    <w:p w:rsidR="001D1CEA" w:rsidRPr="00295E71" w:rsidP="001D1CEA" w14:paraId="61499BC0" w14:textId="77777777">
      <w:pPr>
        <w:tabs>
          <w:tab w:val="left" w:pos="567"/>
        </w:tabs>
        <w:autoSpaceDE w:val="0"/>
        <w:autoSpaceDN w:val="0"/>
        <w:adjustRightInd w:val="0"/>
        <w:jc w:val="both"/>
        <w:rPr>
          <w:del w:id="1851" w:author="AbbVie14" w:date="2025-05-09T10:29:00Z"/>
          <w:color w:val="000000"/>
          <w:sz w:val="22"/>
          <w:szCs w:val="22"/>
        </w:rPr>
      </w:pPr>
    </w:p>
    <w:p w:rsidR="001D1CEA" w:rsidRPr="00295E71" w:rsidP="001D1CEA" w14:paraId="5FE8F8ED" w14:textId="77777777">
      <w:pPr>
        <w:keepNext/>
        <w:rPr>
          <w:del w:id="1852" w:author="AbbVie14" w:date="2025-05-09T10:29:00Z"/>
          <w:color w:val="000000"/>
          <w:sz w:val="22"/>
          <w:szCs w:val="22"/>
          <w:u w:val="single"/>
        </w:rPr>
      </w:pPr>
      <w:del w:id="1853" w:author="AbbVie14" w:date="2025-05-09T10:29:00Z">
        <w:r w:rsidRPr="00295E71">
          <w:rPr>
            <w:color w:val="000000"/>
            <w:sz w:val="22"/>
            <w:szCs w:val="22"/>
            <w:u w:val="single"/>
          </w:rPr>
          <w:delText>Uveite</w:delText>
        </w:r>
      </w:del>
    </w:p>
    <w:p w:rsidR="001D1CEA" w:rsidRPr="00295E71" w:rsidP="001D1CEA" w14:paraId="07A296AF" w14:textId="77777777">
      <w:pPr>
        <w:keepNext/>
        <w:tabs>
          <w:tab w:val="left" w:pos="567"/>
        </w:tabs>
        <w:autoSpaceDE w:val="0"/>
        <w:autoSpaceDN w:val="0"/>
        <w:adjustRightInd w:val="0"/>
        <w:jc w:val="both"/>
        <w:rPr>
          <w:del w:id="1854" w:author="AbbVie14" w:date="2025-05-09T10:29:00Z"/>
          <w:color w:val="000000"/>
          <w:sz w:val="22"/>
          <w:szCs w:val="22"/>
        </w:rPr>
      </w:pPr>
    </w:p>
    <w:p w:rsidR="001D1CEA" w:rsidRPr="00295E71" w:rsidP="001D1CEA" w14:paraId="037B7159" w14:textId="77777777">
      <w:pPr>
        <w:keepNext/>
        <w:tabs>
          <w:tab w:val="left" w:pos="567"/>
        </w:tabs>
        <w:autoSpaceDE w:val="0"/>
        <w:autoSpaceDN w:val="0"/>
        <w:adjustRightInd w:val="0"/>
        <w:jc w:val="both"/>
        <w:rPr>
          <w:del w:id="1855" w:author="AbbVie14" w:date="2025-05-09T10:29:00Z"/>
          <w:color w:val="000000"/>
          <w:sz w:val="22"/>
          <w:szCs w:val="22"/>
        </w:rPr>
      </w:pPr>
      <w:del w:id="1856" w:author="AbbVie14" w:date="2025-05-09T10:29:00Z">
        <w:r w:rsidRPr="00295E71">
          <w:rPr>
            <w:color w:val="000000"/>
            <w:sz w:val="22"/>
            <w:szCs w:val="22"/>
          </w:rPr>
          <w:delText xml:space="preserve">Il profilo di sicurezza nei pazienti affetti da uveite trattati con Humira a settimane alterne è </w:delText>
        </w:r>
      </w:del>
      <w:del w:id="1857" w:author="AbbVie14" w:date="2025-05-09T10:29:00Z">
        <w:r w:rsidR="00101E3D">
          <w:rPr>
            <w:color w:val="000000"/>
            <w:sz w:val="22"/>
            <w:szCs w:val="22"/>
          </w:rPr>
          <w:delText xml:space="preserve">stato </w:delText>
        </w:r>
      </w:del>
      <w:del w:id="1858" w:author="AbbVie14" w:date="2025-05-09T10:29:00Z">
        <w:r w:rsidRPr="00295E71">
          <w:rPr>
            <w:color w:val="000000"/>
            <w:sz w:val="22"/>
            <w:szCs w:val="22"/>
          </w:rPr>
          <w:delText>coerente con il profilo di sicurezza noto di Humira.</w:delText>
        </w:r>
      </w:del>
    </w:p>
    <w:p w:rsidR="001D1CEA" w:rsidRPr="00295E71" w14:paraId="31B81888" w14:textId="77777777">
      <w:pPr>
        <w:tabs>
          <w:tab w:val="left" w:pos="567"/>
        </w:tabs>
        <w:autoSpaceDE w:val="0"/>
        <w:autoSpaceDN w:val="0"/>
        <w:adjustRightInd w:val="0"/>
        <w:jc w:val="both"/>
        <w:rPr>
          <w:del w:id="1859" w:author="AbbVie14" w:date="2025-05-09T10:29:00Z"/>
          <w:color w:val="000000"/>
          <w:sz w:val="22"/>
          <w:szCs w:val="22"/>
          <w:u w:val="single"/>
        </w:rPr>
      </w:pPr>
    </w:p>
    <w:p w:rsidR="006224C2" w:rsidRPr="00295E71" w14:paraId="7E91F1E5" w14:textId="77777777">
      <w:pPr>
        <w:tabs>
          <w:tab w:val="left" w:pos="567"/>
        </w:tabs>
        <w:autoSpaceDE w:val="0"/>
        <w:autoSpaceDN w:val="0"/>
        <w:adjustRightInd w:val="0"/>
        <w:jc w:val="both"/>
        <w:rPr>
          <w:del w:id="1860" w:author="AbbVie14" w:date="2025-05-09T10:29:00Z"/>
          <w:color w:val="000000"/>
          <w:sz w:val="22"/>
          <w:szCs w:val="22"/>
          <w:u w:val="single"/>
        </w:rPr>
      </w:pPr>
      <w:del w:id="1861" w:author="AbbVie14" w:date="2025-05-09T10:29:00Z">
        <w:r w:rsidRPr="00295E71">
          <w:rPr>
            <w:color w:val="000000"/>
            <w:sz w:val="22"/>
            <w:szCs w:val="22"/>
            <w:u w:val="single"/>
          </w:rPr>
          <w:delText>Descrizione delle reazioni avverse selezionate</w:delText>
        </w:r>
      </w:del>
    </w:p>
    <w:p w:rsidR="006224C2" w:rsidRPr="00295E71" w14:paraId="3FF9CBE3" w14:textId="77777777">
      <w:pPr>
        <w:tabs>
          <w:tab w:val="left" w:pos="567"/>
        </w:tabs>
        <w:autoSpaceDE w:val="0"/>
        <w:autoSpaceDN w:val="0"/>
        <w:adjustRightInd w:val="0"/>
        <w:jc w:val="both"/>
        <w:rPr>
          <w:del w:id="1862" w:author="AbbVie14" w:date="2025-05-09T10:29:00Z"/>
          <w:color w:val="000000"/>
          <w:sz w:val="22"/>
          <w:szCs w:val="22"/>
          <w:u w:val="single"/>
        </w:rPr>
      </w:pPr>
    </w:p>
    <w:p w:rsidR="006224C2" w:rsidRPr="00295E71" w14:paraId="6D0F9A4E" w14:textId="77777777">
      <w:pPr>
        <w:tabs>
          <w:tab w:val="left" w:pos="567"/>
        </w:tabs>
        <w:autoSpaceDE w:val="0"/>
        <w:autoSpaceDN w:val="0"/>
        <w:adjustRightInd w:val="0"/>
        <w:jc w:val="both"/>
        <w:rPr>
          <w:del w:id="1863" w:author="AbbVie14" w:date="2025-05-09T10:29:00Z"/>
          <w:i/>
          <w:color w:val="000000"/>
          <w:sz w:val="22"/>
          <w:szCs w:val="22"/>
        </w:rPr>
      </w:pPr>
      <w:del w:id="1864" w:author="AbbVie14" w:date="2025-05-09T10:29:00Z">
        <w:r w:rsidRPr="00295E71">
          <w:rPr>
            <w:i/>
            <w:color w:val="000000"/>
            <w:sz w:val="22"/>
            <w:szCs w:val="22"/>
          </w:rPr>
          <w:delText>Reazioni nel sito di iniezione</w:delText>
        </w:r>
      </w:del>
    </w:p>
    <w:p w:rsidR="006224C2" w:rsidRPr="00295E71" w14:paraId="0A9F902F" w14:textId="77777777">
      <w:pPr>
        <w:tabs>
          <w:tab w:val="left" w:pos="567"/>
        </w:tabs>
        <w:autoSpaceDE w:val="0"/>
        <w:autoSpaceDN w:val="0"/>
        <w:adjustRightInd w:val="0"/>
        <w:jc w:val="both"/>
        <w:rPr>
          <w:del w:id="1865" w:author="AbbVie14" w:date="2025-05-09T10:29:00Z"/>
          <w:color w:val="000000"/>
          <w:sz w:val="22"/>
          <w:szCs w:val="22"/>
          <w:u w:val="single"/>
        </w:rPr>
      </w:pPr>
    </w:p>
    <w:p w:rsidR="006224C2" w:rsidRPr="00295E71" w14:paraId="266B19A4" w14:textId="77777777">
      <w:pPr>
        <w:tabs>
          <w:tab w:val="left" w:pos="567"/>
        </w:tabs>
        <w:autoSpaceDE w:val="0"/>
        <w:autoSpaceDN w:val="0"/>
        <w:adjustRightInd w:val="0"/>
        <w:jc w:val="both"/>
        <w:rPr>
          <w:del w:id="1866" w:author="AbbVie14" w:date="2025-05-09T10:29:00Z"/>
          <w:color w:val="000000"/>
          <w:sz w:val="22"/>
          <w:szCs w:val="22"/>
        </w:rPr>
      </w:pPr>
      <w:del w:id="1867" w:author="AbbVie14" w:date="2025-05-09T10:29:00Z">
        <w:r w:rsidRPr="00295E71">
          <w:rPr>
            <w:color w:val="000000"/>
            <w:sz w:val="22"/>
            <w:szCs w:val="22"/>
          </w:rPr>
          <w:delText xml:space="preserve">Negli studi clinici registrativi controllati su adulti e bambini, il 12,9% dei pazienti trattati con Humira ha manifestato reazioni nel sito d’iniezione (eritema e/o prurito, emorragia, dolore o edema), contro il 7,2% dei pazienti trattati con placebo o con controllo attivo. Le reazioni nel sito d’iniezione non hanno richiesto generalmente la sospensione del </w:delText>
        </w:r>
      </w:del>
      <w:del w:id="1868" w:author="AbbVie14" w:date="2025-05-09T10:29:00Z">
        <w:r w:rsidR="00101E3D">
          <w:rPr>
            <w:color w:val="000000"/>
            <w:sz w:val="22"/>
            <w:szCs w:val="22"/>
          </w:rPr>
          <w:delText>medicinale</w:delText>
        </w:r>
      </w:del>
      <w:del w:id="1869" w:author="AbbVie14" w:date="2025-05-09T10:29:00Z">
        <w:r w:rsidRPr="00295E71">
          <w:rPr>
            <w:color w:val="000000"/>
            <w:sz w:val="22"/>
            <w:szCs w:val="22"/>
          </w:rPr>
          <w:delText>.</w:delText>
        </w:r>
      </w:del>
    </w:p>
    <w:p w:rsidR="006224C2" w:rsidRPr="00295E71" w14:paraId="75C375C0" w14:textId="77777777">
      <w:pPr>
        <w:rPr>
          <w:del w:id="1870" w:author="AbbVie14" w:date="2025-05-09T10:29:00Z"/>
          <w:color w:val="000000"/>
          <w:sz w:val="22"/>
          <w:szCs w:val="22"/>
          <w:u w:val="single"/>
        </w:rPr>
      </w:pPr>
    </w:p>
    <w:p w:rsidR="006224C2" w:rsidRPr="00295E71" w14:paraId="66894A66" w14:textId="77777777">
      <w:pPr>
        <w:tabs>
          <w:tab w:val="left" w:pos="567"/>
        </w:tabs>
        <w:autoSpaceDE w:val="0"/>
        <w:autoSpaceDN w:val="0"/>
        <w:adjustRightInd w:val="0"/>
        <w:jc w:val="both"/>
        <w:rPr>
          <w:del w:id="1871" w:author="AbbVie14" w:date="2025-05-09T10:29:00Z"/>
          <w:i/>
          <w:color w:val="000000"/>
          <w:sz w:val="22"/>
          <w:szCs w:val="22"/>
        </w:rPr>
      </w:pPr>
      <w:del w:id="1872" w:author="AbbVie14" w:date="2025-05-09T10:29:00Z">
        <w:r w:rsidRPr="00295E71">
          <w:rPr>
            <w:i/>
            <w:color w:val="000000"/>
            <w:sz w:val="22"/>
            <w:szCs w:val="22"/>
          </w:rPr>
          <w:delText>Infezioni</w:delText>
        </w:r>
      </w:del>
    </w:p>
    <w:p w:rsidR="006224C2" w:rsidRPr="00295E71" w14:paraId="3BF80A70" w14:textId="77777777">
      <w:pPr>
        <w:tabs>
          <w:tab w:val="left" w:pos="567"/>
        </w:tabs>
        <w:autoSpaceDE w:val="0"/>
        <w:autoSpaceDN w:val="0"/>
        <w:adjustRightInd w:val="0"/>
        <w:jc w:val="both"/>
        <w:rPr>
          <w:del w:id="1873" w:author="AbbVie14" w:date="2025-05-09T10:29:00Z"/>
          <w:color w:val="000000"/>
          <w:sz w:val="22"/>
          <w:szCs w:val="22"/>
        </w:rPr>
      </w:pPr>
    </w:p>
    <w:p w:rsidR="006224C2" w:rsidRPr="00295E71" w14:paraId="35B54D4B" w14:textId="77777777">
      <w:pPr>
        <w:pStyle w:val="BodyText"/>
        <w:tabs>
          <w:tab w:val="left" w:pos="567"/>
        </w:tabs>
        <w:rPr>
          <w:del w:id="1874" w:author="AbbVie14" w:date="2025-05-09T10:29:00Z"/>
        </w:rPr>
      </w:pPr>
      <w:del w:id="1875" w:author="AbbVie14" w:date="2025-05-09T10:29:00Z">
        <w:r w:rsidRPr="00295E71">
          <w:delText>Negli studi clinici registrativi controllati su adulti e bambini, il tasso d’infezione è stato di 1,51 per paziente/anno nel gruppo trattato con Humira e di 1,46 per paziente/anno nel gruppo trattato con placebo e con controllo attivo. Le infezioni sono state rappresentate principalmente da rinofaringiti, infezioni delle vie respiratorie superiori e sinusite. La maggior parte dei pazienti ha continuato ad assumere Humira dopo la remissione dell’infezione.</w:delText>
        </w:r>
      </w:del>
    </w:p>
    <w:p w:rsidR="006224C2" w:rsidRPr="00295E71" w14:paraId="07631196" w14:textId="77777777">
      <w:pPr>
        <w:pStyle w:val="BodyText"/>
        <w:tabs>
          <w:tab w:val="left" w:pos="567"/>
        </w:tabs>
        <w:rPr>
          <w:del w:id="1876" w:author="AbbVie14" w:date="2025-05-09T10:29:00Z"/>
        </w:rPr>
      </w:pPr>
    </w:p>
    <w:p w:rsidR="006224C2" w:rsidRPr="00295E71" w14:paraId="7EA66B13" w14:textId="77777777">
      <w:pPr>
        <w:pStyle w:val="BodyText"/>
        <w:tabs>
          <w:tab w:val="left" w:pos="567"/>
        </w:tabs>
        <w:rPr>
          <w:del w:id="1877" w:author="AbbVie14" w:date="2025-05-09T10:29:00Z"/>
        </w:rPr>
      </w:pPr>
      <w:del w:id="1878" w:author="AbbVie14" w:date="2025-05-09T10:29:00Z">
        <w:r w:rsidRPr="00295E71">
          <w:delText>L’incidenza di infezioni gravi è stata di 0,04</w:delText>
        </w:r>
      </w:del>
      <w:del w:id="1879" w:author="AbbVie14" w:date="2025-05-09T10:29:00Z">
        <w:r w:rsidRPr="00295E71" w:rsidR="007F1EB6">
          <w:delText xml:space="preserve"> </w:delText>
        </w:r>
      </w:del>
      <w:del w:id="1880" w:author="AbbVie14" w:date="2025-05-09T10:29:00Z">
        <w:r w:rsidRPr="00295E71">
          <w:delText>per paziente/anno nel gruppo trattato con Humira e di 0,03 per paziente/anno in quello trattato con placebo e con controllo attivo.</w:delText>
        </w:r>
      </w:del>
    </w:p>
    <w:p w:rsidR="006224C2" w:rsidRPr="00295E71" w14:paraId="5166B1F6" w14:textId="77777777">
      <w:pPr>
        <w:pStyle w:val="BodyText"/>
        <w:tabs>
          <w:tab w:val="left" w:pos="567"/>
        </w:tabs>
        <w:rPr>
          <w:del w:id="1881" w:author="AbbVie14" w:date="2025-05-09T10:29:00Z"/>
        </w:rPr>
      </w:pPr>
    </w:p>
    <w:p w:rsidR="006224C2" w:rsidRPr="00295E71" w14:paraId="6BC60028" w14:textId="77777777">
      <w:pPr>
        <w:pStyle w:val="BodyText"/>
        <w:tabs>
          <w:tab w:val="left" w:pos="567"/>
        </w:tabs>
        <w:rPr>
          <w:del w:id="1882" w:author="AbbVie14" w:date="2025-05-09T10:29:00Z"/>
        </w:rPr>
      </w:pPr>
      <w:del w:id="1883" w:author="AbbVie14" w:date="2025-05-09T10:29:00Z">
        <w:r w:rsidRPr="00295E71">
          <w:delText>Nel corso degli studi controllati e in aperto condotti con Humira su adulti e bambini, sono state segnalate infezioni di grave entità (anche infezioni fatali, verificatesi solo raramente), che hanno incluso segnalazioni di casi di tubercolosi (anche con localizzazioni miliari ed extra-polmonari) e infezioni opportunistiche invasive (per esempio, istoplasmosi disseminata o extrapolmonare, blastomicosi, coccidioidomicosi, pneumocistosi, candidosi, aspergillosi e listeriosi). La maggior parte dei casi di tubercolosi si è verificata nel corso dei primi otto mesi dall’inizio della terapia e possono essere interpretati come una recrudescenza della malattia latente.</w:delText>
        </w:r>
      </w:del>
    </w:p>
    <w:p w:rsidR="006224C2" w:rsidRPr="00295E71" w14:paraId="2600FDE9" w14:textId="77777777">
      <w:pPr>
        <w:tabs>
          <w:tab w:val="left" w:pos="567"/>
        </w:tabs>
        <w:jc w:val="both"/>
        <w:rPr>
          <w:del w:id="1884" w:author="AbbVie14" w:date="2025-05-09T10:29:00Z"/>
          <w:sz w:val="22"/>
          <w:szCs w:val="22"/>
        </w:rPr>
      </w:pPr>
    </w:p>
    <w:p w:rsidR="006224C2" w:rsidRPr="00295E71" w14:paraId="0F19A565" w14:textId="77777777">
      <w:pPr>
        <w:tabs>
          <w:tab w:val="left" w:pos="567"/>
        </w:tabs>
        <w:autoSpaceDE w:val="0"/>
        <w:autoSpaceDN w:val="0"/>
        <w:adjustRightInd w:val="0"/>
        <w:jc w:val="both"/>
        <w:rPr>
          <w:del w:id="1885" w:author="AbbVie14" w:date="2025-05-09T10:29:00Z"/>
          <w:i/>
          <w:color w:val="000000"/>
          <w:sz w:val="22"/>
          <w:szCs w:val="22"/>
        </w:rPr>
      </w:pPr>
      <w:del w:id="1886" w:author="AbbVie14" w:date="2025-05-09T10:29:00Z">
        <w:r w:rsidRPr="00295E71">
          <w:rPr>
            <w:i/>
            <w:color w:val="000000"/>
            <w:sz w:val="22"/>
            <w:szCs w:val="22"/>
          </w:rPr>
          <w:delText>Neoplasie e malattie linfoproliferative</w:delText>
        </w:r>
      </w:del>
    </w:p>
    <w:p w:rsidR="006224C2" w:rsidRPr="00295E71" w14:paraId="65EACDAF" w14:textId="77777777">
      <w:pPr>
        <w:tabs>
          <w:tab w:val="left" w:pos="567"/>
        </w:tabs>
        <w:autoSpaceDE w:val="0"/>
        <w:autoSpaceDN w:val="0"/>
        <w:adjustRightInd w:val="0"/>
        <w:jc w:val="both"/>
        <w:rPr>
          <w:del w:id="1887" w:author="AbbVie14" w:date="2025-05-09T10:29:00Z"/>
          <w:color w:val="000000"/>
          <w:sz w:val="22"/>
          <w:szCs w:val="22"/>
          <w:u w:val="single"/>
        </w:rPr>
      </w:pPr>
    </w:p>
    <w:p w:rsidR="006224C2" w:rsidRPr="00612824" w:rsidP="00612824" w14:paraId="7BE1A30A" w14:textId="77777777">
      <w:pPr>
        <w:rPr>
          <w:del w:id="1888" w:author="AbbVie14" w:date="2025-05-09T10:29:00Z"/>
          <w:shd w:val="clear" w:color="auto" w:fill="FFFFFF"/>
        </w:rPr>
      </w:pPr>
      <w:del w:id="1889" w:author="AbbVie14" w:date="2025-05-09T10:29:00Z">
        <w:r w:rsidRPr="00295E71">
          <w:rPr>
            <w:color w:val="000000"/>
            <w:sz w:val="22"/>
            <w:szCs w:val="22"/>
          </w:rPr>
          <w:delText>Nel corso di studi eseguiti somministrando Humira ai pazienti affetti da artrite idiopatica giovanile (artrite idiopatica giovanile poliarticolare e artrite associata ad entesite), non sono state osservate neoplasie maligne nei 249</w:delText>
        </w:r>
      </w:del>
      <w:del w:id="1890" w:author="AbbVie14" w:date="2025-05-09T10:29:00Z">
        <w:r w:rsidRPr="00295E71" w:rsidR="00881DCE">
          <w:rPr>
            <w:color w:val="000000"/>
            <w:sz w:val="22"/>
            <w:szCs w:val="22"/>
          </w:rPr>
          <w:delText xml:space="preserve"> </w:delText>
        </w:r>
      </w:del>
      <w:del w:id="1891" w:author="AbbVie14" w:date="2025-05-09T10:29:00Z">
        <w:r w:rsidRPr="00295E71">
          <w:rPr>
            <w:color w:val="000000"/>
            <w:sz w:val="22"/>
            <w:szCs w:val="22"/>
          </w:rPr>
          <w:delText>pazienti pediatrici con un’esposizione di</w:delText>
        </w:r>
      </w:del>
      <w:del w:id="1892" w:author="AbbVie14" w:date="2025-05-09T10:29:00Z">
        <w:r w:rsidRPr="00295E71" w:rsidR="00881DCE">
          <w:rPr>
            <w:color w:val="000000"/>
            <w:sz w:val="22"/>
            <w:szCs w:val="22"/>
          </w:rPr>
          <w:delText xml:space="preserve"> </w:delText>
        </w:r>
      </w:del>
      <w:del w:id="1893" w:author="AbbVie14" w:date="2025-05-09T10:29:00Z">
        <w:r w:rsidRPr="00295E71">
          <w:rPr>
            <w:color w:val="000000"/>
            <w:sz w:val="22"/>
            <w:szCs w:val="22"/>
          </w:rPr>
          <w:delText>655,6 </w:delText>
        </w:r>
      </w:del>
      <w:del w:id="1894" w:author="AbbVie14" w:date="2025-05-09T10:29:00Z">
        <w:r w:rsidRPr="00020442" w:rsidR="00101E3D">
          <w:rPr>
            <w:color w:val="000000"/>
            <w:sz w:val="22"/>
            <w:szCs w:val="22"/>
          </w:rPr>
          <w:delText>anni-paziente</w:delText>
        </w:r>
      </w:del>
      <w:del w:id="1895" w:author="AbbVie14" w:date="2025-05-09T10:29:00Z">
        <w:r w:rsidRPr="00295E71">
          <w:rPr>
            <w:color w:val="000000"/>
            <w:sz w:val="22"/>
            <w:szCs w:val="22"/>
          </w:rPr>
          <w:delText>. In aggiunta non sono state osservate neoplasie maligne nei 192 pazienti pediatrici con una esposizione di 498,1 </w:delText>
        </w:r>
      </w:del>
      <w:del w:id="1896" w:author="AbbVie14" w:date="2025-05-09T10:29:00Z">
        <w:r w:rsidRPr="00020442" w:rsidR="00101E3D">
          <w:rPr>
            <w:color w:val="000000"/>
            <w:sz w:val="22"/>
            <w:szCs w:val="22"/>
          </w:rPr>
          <w:delText>anni-paziente</w:delText>
        </w:r>
      </w:del>
      <w:del w:id="1897" w:author="AbbVie14" w:date="2025-05-09T10:29:00Z">
        <w:r w:rsidRPr="00295E71">
          <w:rPr>
            <w:color w:val="000000"/>
            <w:sz w:val="22"/>
            <w:szCs w:val="22"/>
          </w:rPr>
          <w:delText xml:space="preserve">durante studi eseguiti somministrando Humira ai pazienti pediatrici affetti da </w:delText>
        </w:r>
      </w:del>
      <w:del w:id="1898" w:author="AbbVie14" w:date="2025-05-09T10:29:00Z">
        <w:r w:rsidRPr="00295E71">
          <w:rPr>
            <w:sz w:val="22"/>
            <w:szCs w:val="22"/>
          </w:rPr>
          <w:delText>Malattia</w:delText>
        </w:r>
      </w:del>
      <w:del w:id="1899" w:author="AbbVie14" w:date="2025-05-09T10:29:00Z">
        <w:r w:rsidR="00101E3D">
          <w:rPr>
            <w:sz w:val="22"/>
            <w:szCs w:val="22"/>
          </w:rPr>
          <w:delText xml:space="preserve"> </w:delText>
        </w:r>
      </w:del>
      <w:del w:id="1900" w:author="AbbVie14" w:date="2025-05-09T10:29:00Z">
        <w:r w:rsidRPr="00295E71">
          <w:rPr>
            <w:color w:val="000000"/>
            <w:sz w:val="22"/>
            <w:szCs w:val="22"/>
          </w:rPr>
          <w:delText>di Crohn.</w:delText>
        </w:r>
      </w:del>
      <w:del w:id="1901" w:author="AbbVie14" w:date="2025-05-09T10:29:00Z">
        <w:r w:rsidRPr="00295E71">
          <w:rPr>
            <w:rFonts w:eastAsia="Arial"/>
            <w:sz w:val="22"/>
            <w:szCs w:val="22"/>
            <w:lang w:bidi="it-IT"/>
          </w:rPr>
          <w:delText xml:space="preserve"> Nel corso di uno studio in cui è stato somministrato Humira a pazienti pediatrici con psoriasi cronica a placche, non è stata osservata alcuna neoplasia maligna in 77 pazienti con un’esposizione di 80,0 </w:delText>
        </w:r>
      </w:del>
      <w:del w:id="1902" w:author="AbbVie14" w:date="2025-05-09T10:29:00Z">
        <w:r w:rsidRPr="00020442" w:rsidR="00101E3D">
          <w:rPr>
            <w:color w:val="000000"/>
            <w:sz w:val="22"/>
            <w:szCs w:val="22"/>
          </w:rPr>
          <w:delText>anni-paziente</w:delText>
        </w:r>
      </w:del>
      <w:del w:id="1903" w:author="AbbVie14" w:date="2025-05-09T10:29:00Z">
        <w:r w:rsidRPr="00295E71">
          <w:rPr>
            <w:rFonts w:eastAsia="Arial"/>
            <w:sz w:val="22"/>
            <w:szCs w:val="22"/>
            <w:lang w:bidi="it-IT"/>
          </w:rPr>
          <w:delText xml:space="preserve">. </w:delText>
        </w:r>
      </w:del>
      <w:bookmarkStart w:id="1904" w:name="_Hlk53738652"/>
      <w:del w:id="1905" w:author="AbbVie14" w:date="2025-05-09T10:29:00Z">
        <w:r w:rsidR="00580D20">
          <w:rPr>
            <w:rFonts w:eastAsia="Arial"/>
            <w:sz w:val="22"/>
            <w:szCs w:val="22"/>
            <w:lang w:bidi="it-IT"/>
          </w:rPr>
          <w:delText xml:space="preserve">Durante uno studio su Humira in pazienti pediatrici affetti da colite ulcerosa, </w:delText>
        </w:r>
      </w:del>
      <w:del w:id="1906" w:author="AbbVie14" w:date="2025-05-09T10:29:00Z">
        <w:r w:rsidRPr="00612824" w:rsidR="000203FD">
          <w:rPr>
            <w:rStyle w:val="normaltextrun"/>
            <w:sz w:val="22"/>
            <w:szCs w:val="22"/>
            <w:shd w:val="clear" w:color="auto" w:fill="FFFFFF"/>
          </w:rPr>
          <w:delText xml:space="preserve">in 93 pazienti pediatrici con un'esposizione di 65,3 anni-paziente </w:delText>
        </w:r>
      </w:del>
      <w:del w:id="1907" w:author="AbbVie14" w:date="2025-05-09T10:29:00Z">
        <w:r w:rsidR="00580D20">
          <w:rPr>
            <w:rStyle w:val="normaltextrun"/>
            <w:sz w:val="22"/>
            <w:szCs w:val="22"/>
            <w:shd w:val="clear" w:color="auto" w:fill="FFFFFF"/>
          </w:rPr>
          <w:delText>n</w:delText>
        </w:r>
      </w:del>
      <w:del w:id="1908" w:author="AbbVie14" w:date="2025-05-09T10:29:00Z">
        <w:r w:rsidRPr="00612824" w:rsidR="00580D20">
          <w:rPr>
            <w:rStyle w:val="normaltextrun"/>
            <w:sz w:val="22"/>
            <w:szCs w:val="22"/>
            <w:shd w:val="clear" w:color="auto" w:fill="FFFFFF"/>
          </w:rPr>
          <w:delText>on sono state osservate neoplasie maligne</w:delText>
        </w:r>
      </w:del>
      <w:del w:id="1909" w:author="AbbVie14" w:date="2025-05-09T10:29:00Z">
        <w:r w:rsidR="00580D20">
          <w:rPr>
            <w:rStyle w:val="normaltextrun"/>
            <w:sz w:val="22"/>
            <w:szCs w:val="22"/>
            <w:shd w:val="clear" w:color="auto" w:fill="FFFFFF"/>
          </w:rPr>
          <w:delText>.</w:delText>
        </w:r>
      </w:del>
      <w:del w:id="1910" w:author="AbbVie14" w:date="2025-05-09T10:29:00Z">
        <w:r w:rsidRPr="00612824" w:rsidR="000203FD">
          <w:rPr>
            <w:rStyle w:val="normaltextrun"/>
            <w:sz w:val="22"/>
            <w:szCs w:val="22"/>
            <w:shd w:val="clear" w:color="auto" w:fill="FFFFFF"/>
          </w:rPr>
          <w:delText xml:space="preserve"> </w:delText>
        </w:r>
      </w:del>
      <w:bookmarkEnd w:id="1904"/>
      <w:del w:id="1911" w:author="AbbVie14" w:date="2025-05-09T10:29:00Z">
        <w:r w:rsidRPr="00295E71">
          <w:rPr>
            <w:rFonts w:eastAsia="Arial"/>
            <w:sz w:val="22"/>
            <w:szCs w:val="22"/>
            <w:lang w:bidi="it-IT"/>
          </w:rPr>
          <w:delText>Nel corso di uno studio in cui è stato somministrato Humira a pazienti pediatrici con uveite, non è stata osservata alcuna neoplasia maligna in 60 pazienti pediatrici con un’esposizione di 58,4 </w:delText>
        </w:r>
      </w:del>
      <w:del w:id="1912" w:author="AbbVie14" w:date="2025-05-09T10:29:00Z">
        <w:r w:rsidRPr="00020442" w:rsidR="00101E3D">
          <w:rPr>
            <w:color w:val="000000"/>
            <w:sz w:val="22"/>
            <w:szCs w:val="22"/>
          </w:rPr>
          <w:delText>anni-paziente</w:delText>
        </w:r>
      </w:del>
      <w:del w:id="1913" w:author="AbbVie14" w:date="2025-05-09T10:29:00Z">
        <w:r w:rsidRPr="00295E71">
          <w:rPr>
            <w:rFonts w:eastAsia="Arial"/>
            <w:sz w:val="22"/>
            <w:szCs w:val="22"/>
            <w:lang w:bidi="it-IT"/>
          </w:rPr>
          <w:delText>.</w:delText>
        </w:r>
      </w:del>
    </w:p>
    <w:p w:rsidR="006224C2" w:rsidRPr="00295E71" w14:paraId="1A38A920" w14:textId="77777777">
      <w:pPr>
        <w:tabs>
          <w:tab w:val="left" w:pos="567"/>
        </w:tabs>
        <w:autoSpaceDE w:val="0"/>
        <w:autoSpaceDN w:val="0"/>
        <w:adjustRightInd w:val="0"/>
        <w:jc w:val="both"/>
        <w:rPr>
          <w:del w:id="1914" w:author="AbbVie14" w:date="2025-05-09T10:29:00Z"/>
          <w:color w:val="000000"/>
          <w:sz w:val="22"/>
          <w:szCs w:val="22"/>
        </w:rPr>
      </w:pPr>
    </w:p>
    <w:p w:rsidR="006224C2" w:rsidRPr="00295E71" w14:paraId="0ABCF916" w14:textId="77777777">
      <w:pPr>
        <w:tabs>
          <w:tab w:val="left" w:pos="567"/>
        </w:tabs>
        <w:autoSpaceDE w:val="0"/>
        <w:autoSpaceDN w:val="0"/>
        <w:adjustRightInd w:val="0"/>
        <w:jc w:val="both"/>
        <w:rPr>
          <w:del w:id="1915" w:author="AbbVie14" w:date="2025-05-09T10:29:00Z"/>
          <w:color w:val="000000"/>
          <w:sz w:val="22"/>
          <w:szCs w:val="22"/>
        </w:rPr>
      </w:pPr>
      <w:del w:id="1916" w:author="AbbVie14" w:date="2025-05-09T10:29:00Z">
        <w:r w:rsidRPr="00295E71">
          <w:rPr>
            <w:color w:val="000000"/>
            <w:sz w:val="22"/>
            <w:szCs w:val="22"/>
          </w:rPr>
          <w:delText>Nelle sezioni controllate di studi registrativi su adulti con Humira della durata di almeno 12 settimane in pazienti con artrite reumatoide attiva di grado da moderato a severo, spondilite anchilosante,</w:delText>
        </w:r>
      </w:del>
      <w:del w:id="1917" w:author="AbbVie14" w:date="2025-05-09T10:29:00Z">
        <w:r w:rsidR="00101E3D">
          <w:rPr>
            <w:color w:val="000000"/>
            <w:sz w:val="22"/>
            <w:szCs w:val="22"/>
          </w:rPr>
          <w:delText xml:space="preserve"> </w:delText>
        </w:r>
      </w:del>
      <w:del w:id="1918" w:author="AbbVie14" w:date="2025-05-09T10:29:00Z">
        <w:r w:rsidRPr="00295E71">
          <w:rPr>
            <w:color w:val="000000"/>
            <w:sz w:val="22"/>
            <w:szCs w:val="22"/>
          </w:rPr>
          <w:delText>spondiloartrite assiale senza evidenza radiografica di spondilite anchilosante, artrite psoriasica, psoriasi,</w:delText>
        </w:r>
      </w:del>
      <w:del w:id="1919" w:author="AbbVie14" w:date="2025-05-09T10:29:00Z">
        <w:r w:rsidR="00101E3D">
          <w:rPr>
            <w:color w:val="000000"/>
            <w:sz w:val="22"/>
            <w:szCs w:val="22"/>
          </w:rPr>
          <w:delText xml:space="preserve"> </w:delText>
        </w:r>
      </w:del>
      <w:del w:id="1920" w:author="AbbVie14" w:date="2025-05-09T10:29:00Z">
        <w:r w:rsidRPr="00295E71">
          <w:rPr>
            <w:color w:val="000000"/>
            <w:sz w:val="22"/>
            <w:szCs w:val="22"/>
          </w:rPr>
          <w:delText>idrosadenite suppurativa, malattia di Crohn, colite ulcerosa e uveite, neoplasie, oltre a linfoma e carcinoma cutaneo non melanotico sono stat</w:delText>
        </w:r>
      </w:del>
      <w:del w:id="1921" w:author="AbbVie14" w:date="2025-05-09T10:29:00Z">
        <w:r w:rsidR="00101E3D">
          <w:rPr>
            <w:color w:val="000000"/>
            <w:sz w:val="22"/>
            <w:szCs w:val="22"/>
          </w:rPr>
          <w:delText>e</w:delText>
        </w:r>
      </w:del>
      <w:del w:id="1922" w:author="AbbVie14" w:date="2025-05-09T10:29:00Z">
        <w:r w:rsidRPr="00295E71">
          <w:rPr>
            <w:color w:val="000000"/>
            <w:sz w:val="22"/>
            <w:szCs w:val="22"/>
          </w:rPr>
          <w:delText xml:space="preserve"> osservat</w:delText>
        </w:r>
      </w:del>
      <w:del w:id="1923" w:author="AbbVie14" w:date="2025-05-09T10:29:00Z">
        <w:r w:rsidR="00101E3D">
          <w:rPr>
            <w:color w:val="000000"/>
            <w:sz w:val="22"/>
            <w:szCs w:val="22"/>
          </w:rPr>
          <w:delText>e</w:delText>
        </w:r>
      </w:del>
      <w:del w:id="1924" w:author="AbbVie14" w:date="2025-05-09T10:29:00Z">
        <w:r w:rsidRPr="00295E71">
          <w:rPr>
            <w:color w:val="000000"/>
            <w:sz w:val="22"/>
            <w:szCs w:val="22"/>
          </w:rPr>
          <w:delText xml:space="preserve"> con un tasso (95% di intervallo di confidenza) di 6,8 (4,4; 10,5) per 1.000 </w:delText>
        </w:r>
      </w:del>
      <w:del w:id="1925" w:author="AbbVie14" w:date="2025-05-09T10:29:00Z">
        <w:r w:rsidRPr="00020442" w:rsidR="00101E3D">
          <w:rPr>
            <w:color w:val="000000"/>
            <w:sz w:val="22"/>
            <w:szCs w:val="22"/>
          </w:rPr>
          <w:delText>anni-paziente</w:delText>
        </w:r>
      </w:del>
      <w:del w:id="1926" w:author="AbbVie14" w:date="2025-05-09T10:29:00Z">
        <w:r w:rsidR="00101E3D">
          <w:rPr>
            <w:color w:val="000000"/>
            <w:sz w:val="22"/>
            <w:szCs w:val="22"/>
          </w:rPr>
          <w:delText xml:space="preserve"> </w:delText>
        </w:r>
      </w:del>
      <w:del w:id="1927" w:author="AbbVie14" w:date="2025-05-09T10:29:00Z">
        <w:r w:rsidRPr="00295E71">
          <w:rPr>
            <w:color w:val="000000"/>
            <w:sz w:val="22"/>
            <w:szCs w:val="22"/>
          </w:rPr>
          <w:delText xml:space="preserve">fra 5.291 pazienti trattati con Humira </w:delText>
        </w:r>
      </w:del>
      <w:del w:id="1928" w:author="AbbVie14" w:date="2025-05-09T10:29:00Z">
        <w:r w:rsidRPr="00295E71">
          <w:rPr>
            <w:i/>
            <w:iCs/>
            <w:color w:val="000000"/>
            <w:sz w:val="22"/>
            <w:szCs w:val="22"/>
          </w:rPr>
          <w:delText>verso</w:delText>
        </w:r>
      </w:del>
      <w:del w:id="1929" w:author="AbbVie14" w:date="2025-05-09T10:29:00Z">
        <w:r w:rsidRPr="00295E71">
          <w:rPr>
            <w:color w:val="000000"/>
            <w:sz w:val="22"/>
            <w:szCs w:val="22"/>
          </w:rPr>
          <w:delText xml:space="preserve"> un tasso</w:delText>
        </w:r>
      </w:del>
      <w:del w:id="1930" w:author="AbbVie14" w:date="2025-05-09T10:29:00Z">
        <w:r w:rsidR="008F5876">
          <w:rPr>
            <w:color w:val="000000"/>
            <w:sz w:val="22"/>
            <w:szCs w:val="22"/>
          </w:rPr>
          <w:delText xml:space="preserve"> </w:delText>
        </w:r>
      </w:del>
      <w:del w:id="1931" w:author="AbbVie14" w:date="2025-05-09T10:29:00Z">
        <w:r w:rsidRPr="00295E71">
          <w:rPr>
            <w:color w:val="000000"/>
            <w:sz w:val="22"/>
            <w:szCs w:val="22"/>
          </w:rPr>
          <w:delText>di 6,3</w:delText>
        </w:r>
      </w:del>
      <w:del w:id="1932" w:author="AbbVie14" w:date="2025-05-09T10:29:00Z">
        <w:r w:rsidRPr="00295E71" w:rsidR="001909F8">
          <w:rPr>
            <w:color w:val="000000"/>
            <w:sz w:val="22"/>
            <w:szCs w:val="22"/>
          </w:rPr>
          <w:delText xml:space="preserve"> </w:delText>
        </w:r>
      </w:del>
      <w:del w:id="1933" w:author="AbbVie14" w:date="2025-05-09T10:29:00Z">
        <w:r w:rsidRPr="00295E71">
          <w:rPr>
            <w:color w:val="000000"/>
            <w:sz w:val="22"/>
            <w:szCs w:val="22"/>
          </w:rPr>
          <w:delText xml:space="preserve">(3,4; 11,8) per 1.000 </w:delText>
        </w:r>
      </w:del>
      <w:del w:id="1934" w:author="AbbVie14" w:date="2025-05-09T10:29:00Z">
        <w:r w:rsidRPr="00020442" w:rsidR="00101E3D">
          <w:rPr>
            <w:color w:val="000000"/>
            <w:sz w:val="22"/>
            <w:szCs w:val="22"/>
          </w:rPr>
          <w:delText>anni-paziente</w:delText>
        </w:r>
      </w:del>
      <w:del w:id="1935" w:author="AbbVie14" w:date="2025-05-09T10:29:00Z">
        <w:r w:rsidRPr="00295E71">
          <w:rPr>
            <w:color w:val="000000"/>
            <w:sz w:val="22"/>
            <w:szCs w:val="22"/>
          </w:rPr>
          <w:delText xml:space="preserve"> su 3.444 pazienti controllo (la durata mediana del trattamento è stata 4,0 mesi per i pazienti trattati con Humira e 3,8 mesi per i pazienti controllo). Il tasso (95% di intervallo di confidenza) dei carcinomi cutanei non melanotici è stato di 8,8</w:delText>
        </w:r>
      </w:del>
      <w:del w:id="1936" w:author="AbbVie14" w:date="2025-05-09T10:29:00Z">
        <w:r w:rsidRPr="00295E71" w:rsidR="001909F8">
          <w:rPr>
            <w:color w:val="000000"/>
            <w:sz w:val="22"/>
            <w:szCs w:val="22"/>
          </w:rPr>
          <w:delText xml:space="preserve"> </w:delText>
        </w:r>
      </w:del>
      <w:del w:id="1937" w:author="AbbVie14" w:date="2025-05-09T10:29:00Z">
        <w:r w:rsidRPr="00295E71">
          <w:rPr>
            <w:color w:val="000000"/>
            <w:sz w:val="22"/>
            <w:szCs w:val="22"/>
          </w:rPr>
          <w:delText xml:space="preserve">(6,0; 13,0) per 1.000 </w:delText>
        </w:r>
      </w:del>
      <w:del w:id="1938" w:author="AbbVie14" w:date="2025-05-09T10:29:00Z">
        <w:r w:rsidRPr="00020442" w:rsidR="00101E3D">
          <w:rPr>
            <w:color w:val="000000"/>
            <w:sz w:val="22"/>
            <w:szCs w:val="22"/>
          </w:rPr>
          <w:delText>anni-paziente</w:delText>
        </w:r>
      </w:del>
      <w:del w:id="1939" w:author="AbbVie14" w:date="2025-05-09T10:29:00Z">
        <w:r w:rsidRPr="00295E71">
          <w:rPr>
            <w:color w:val="000000"/>
            <w:sz w:val="22"/>
            <w:szCs w:val="22"/>
          </w:rPr>
          <w:delText xml:space="preserve"> nei pazienti trattati con Humira e 3,2 (1,3; 7,6) per 1.000 </w:delText>
        </w:r>
      </w:del>
      <w:del w:id="1940" w:author="AbbVie14" w:date="2025-05-09T10:29:00Z">
        <w:r w:rsidRPr="00020442" w:rsidR="00101E3D">
          <w:rPr>
            <w:color w:val="000000"/>
            <w:sz w:val="22"/>
            <w:szCs w:val="22"/>
          </w:rPr>
          <w:delText>anni-paziente</w:delText>
        </w:r>
      </w:del>
      <w:del w:id="1941" w:author="AbbVie14" w:date="2025-05-09T10:29:00Z">
        <w:r w:rsidRPr="00295E71">
          <w:rPr>
            <w:color w:val="000000"/>
            <w:sz w:val="22"/>
            <w:szCs w:val="22"/>
          </w:rPr>
          <w:delText xml:space="preserve"> nei pazienti controllo. Di questi carcinomi cutanei, carcinomi a cellule squamose si sono verificati con tassi (95% di intervallo di confidenza) di 2,7 (1,4; 5,4) per 1.000 </w:delText>
        </w:r>
      </w:del>
      <w:del w:id="1942" w:author="AbbVie14" w:date="2025-05-09T10:29:00Z">
        <w:r w:rsidRPr="00020442" w:rsidR="00101E3D">
          <w:rPr>
            <w:color w:val="000000"/>
            <w:sz w:val="22"/>
            <w:szCs w:val="22"/>
          </w:rPr>
          <w:delText>anni-paziente</w:delText>
        </w:r>
      </w:del>
      <w:del w:id="1943" w:author="AbbVie14" w:date="2025-05-09T10:29:00Z">
        <w:r w:rsidR="00101E3D">
          <w:rPr>
            <w:color w:val="000000"/>
            <w:sz w:val="22"/>
            <w:szCs w:val="22"/>
          </w:rPr>
          <w:delText xml:space="preserve"> </w:delText>
        </w:r>
      </w:del>
      <w:del w:id="1944" w:author="AbbVie14" w:date="2025-05-09T10:29:00Z">
        <w:r w:rsidRPr="00295E71">
          <w:rPr>
            <w:color w:val="000000"/>
            <w:sz w:val="22"/>
            <w:szCs w:val="22"/>
          </w:rPr>
          <w:delText>nei pazienti trattati con Humira e</w:delText>
        </w:r>
      </w:del>
      <w:del w:id="1945" w:author="AbbVie14" w:date="2025-05-09T10:29:00Z">
        <w:r w:rsidRPr="00295E71" w:rsidR="003C47F5">
          <w:rPr>
            <w:color w:val="000000"/>
            <w:sz w:val="22"/>
            <w:szCs w:val="22"/>
          </w:rPr>
          <w:delText xml:space="preserve"> </w:delText>
        </w:r>
      </w:del>
      <w:del w:id="1946" w:author="AbbVie14" w:date="2025-05-09T10:29:00Z">
        <w:r w:rsidRPr="00295E71">
          <w:rPr>
            <w:color w:val="000000"/>
            <w:sz w:val="22"/>
            <w:szCs w:val="22"/>
          </w:rPr>
          <w:delText xml:space="preserve">0,6 (0,1; 4,5) per 1.000 </w:delText>
        </w:r>
      </w:del>
      <w:del w:id="1947" w:author="AbbVie14" w:date="2025-05-09T10:29:00Z">
        <w:r w:rsidRPr="00020442" w:rsidR="00101E3D">
          <w:rPr>
            <w:color w:val="000000"/>
            <w:sz w:val="22"/>
            <w:szCs w:val="22"/>
          </w:rPr>
          <w:delText>anni-paziente</w:delText>
        </w:r>
      </w:del>
      <w:del w:id="1948" w:author="AbbVie14" w:date="2025-05-09T10:29:00Z">
        <w:r w:rsidRPr="00295E71">
          <w:rPr>
            <w:color w:val="000000"/>
            <w:sz w:val="22"/>
            <w:szCs w:val="22"/>
          </w:rPr>
          <w:delText xml:space="preserve"> nei pazienti controllo. Il tasso (95% di intervallo di confidenza) di linfomi è stato di 0,7 (0,2; 2,7) per 1.000 </w:delText>
        </w:r>
      </w:del>
      <w:del w:id="1949" w:author="AbbVie14" w:date="2025-05-09T10:29:00Z">
        <w:r w:rsidRPr="00020442" w:rsidR="00101E3D">
          <w:rPr>
            <w:color w:val="000000"/>
            <w:sz w:val="22"/>
            <w:szCs w:val="22"/>
          </w:rPr>
          <w:delText>anni-paziente</w:delText>
        </w:r>
      </w:del>
      <w:del w:id="1950" w:author="AbbVie14" w:date="2025-05-09T10:29:00Z">
        <w:r w:rsidRPr="00295E71">
          <w:rPr>
            <w:color w:val="000000"/>
            <w:sz w:val="22"/>
            <w:szCs w:val="22"/>
          </w:rPr>
          <w:delText xml:space="preserve"> nei pazienti trattati con Humira e</w:delText>
        </w:r>
      </w:del>
      <w:del w:id="1951" w:author="AbbVie14" w:date="2025-05-09T10:29:00Z">
        <w:r w:rsidRPr="00295E71" w:rsidR="003C47F5">
          <w:rPr>
            <w:color w:val="000000"/>
            <w:sz w:val="22"/>
            <w:szCs w:val="22"/>
          </w:rPr>
          <w:delText xml:space="preserve"> </w:delText>
        </w:r>
      </w:del>
      <w:del w:id="1952" w:author="AbbVie14" w:date="2025-05-09T10:29:00Z">
        <w:r w:rsidRPr="00295E71">
          <w:rPr>
            <w:color w:val="000000"/>
            <w:sz w:val="22"/>
            <w:szCs w:val="22"/>
          </w:rPr>
          <w:delText xml:space="preserve">0,6 (0,1; 4,5) per 1.000 </w:delText>
        </w:r>
      </w:del>
      <w:del w:id="1953" w:author="AbbVie14" w:date="2025-05-09T10:29:00Z">
        <w:r w:rsidRPr="00020442" w:rsidR="00101E3D">
          <w:rPr>
            <w:color w:val="000000"/>
            <w:sz w:val="22"/>
            <w:szCs w:val="22"/>
          </w:rPr>
          <w:delText>anni-paziente</w:delText>
        </w:r>
      </w:del>
      <w:del w:id="1954" w:author="AbbVie14" w:date="2025-05-09T10:29:00Z">
        <w:r w:rsidRPr="00295E71">
          <w:rPr>
            <w:color w:val="000000"/>
            <w:sz w:val="22"/>
            <w:szCs w:val="22"/>
          </w:rPr>
          <w:delText xml:space="preserve"> nei pazienti controllo.</w:delText>
        </w:r>
      </w:del>
    </w:p>
    <w:p w:rsidR="006224C2" w:rsidRPr="00295E71" w14:paraId="0EAC66E9" w14:textId="77777777">
      <w:pPr>
        <w:tabs>
          <w:tab w:val="left" w:pos="567"/>
        </w:tabs>
        <w:autoSpaceDE w:val="0"/>
        <w:autoSpaceDN w:val="0"/>
        <w:adjustRightInd w:val="0"/>
        <w:jc w:val="both"/>
        <w:rPr>
          <w:del w:id="1955" w:author="AbbVie14" w:date="2025-05-09T10:29:00Z"/>
          <w:color w:val="000000"/>
          <w:sz w:val="22"/>
          <w:szCs w:val="22"/>
        </w:rPr>
      </w:pPr>
    </w:p>
    <w:p w:rsidR="006224C2" w:rsidRPr="00295E71" w14:paraId="06F4A8AD" w14:textId="77777777">
      <w:pPr>
        <w:tabs>
          <w:tab w:val="left" w:pos="567"/>
        </w:tabs>
        <w:autoSpaceDE w:val="0"/>
        <w:autoSpaceDN w:val="0"/>
        <w:adjustRightInd w:val="0"/>
        <w:jc w:val="both"/>
        <w:rPr>
          <w:del w:id="1956" w:author="AbbVie14" w:date="2025-05-09T10:29:00Z"/>
          <w:color w:val="000000"/>
          <w:sz w:val="22"/>
          <w:szCs w:val="22"/>
        </w:rPr>
      </w:pPr>
      <w:del w:id="1957" w:author="AbbVie14" w:date="2025-05-09T10:29:00Z">
        <w:r w:rsidRPr="00295E71">
          <w:rPr>
            <w:color w:val="000000"/>
            <w:sz w:val="22"/>
            <w:szCs w:val="22"/>
          </w:rPr>
          <w:delText>Quando vengono combinat</w:delText>
        </w:r>
      </w:del>
      <w:del w:id="1958" w:author="AbbVie14" w:date="2025-05-09T10:29:00Z">
        <w:r w:rsidR="00101E3D">
          <w:rPr>
            <w:color w:val="000000"/>
            <w:sz w:val="22"/>
            <w:szCs w:val="22"/>
          </w:rPr>
          <w:delText>e</w:delText>
        </w:r>
      </w:del>
      <w:del w:id="1959" w:author="AbbVie14" w:date="2025-05-09T10:29:00Z">
        <w:r w:rsidRPr="00295E71">
          <w:rPr>
            <w:color w:val="000000"/>
            <w:sz w:val="22"/>
            <w:szCs w:val="22"/>
          </w:rPr>
          <w:delText xml:space="preserve"> parti</w:delText>
        </w:r>
      </w:del>
      <w:del w:id="1960" w:author="AbbVie14" w:date="2025-05-09T10:29:00Z">
        <w:r w:rsidR="00101E3D">
          <w:rPr>
            <w:color w:val="000000"/>
            <w:sz w:val="22"/>
            <w:szCs w:val="22"/>
          </w:rPr>
          <w:delText xml:space="preserve"> controllate</w:delText>
        </w:r>
      </w:del>
      <w:del w:id="1961" w:author="AbbVie14" w:date="2025-05-09T10:29:00Z">
        <w:r w:rsidRPr="00295E71">
          <w:rPr>
            <w:color w:val="000000"/>
            <w:sz w:val="22"/>
            <w:szCs w:val="22"/>
          </w:rPr>
          <w:delText xml:space="preserve"> di questi studi e studi di estensione in aperto sia in corso che completati, con una durata media di circa 3,3 anni includendo 6.427 pazienti e più di 26.439 </w:delText>
        </w:r>
      </w:del>
      <w:del w:id="1962" w:author="AbbVie14" w:date="2025-05-09T10:29:00Z">
        <w:r w:rsidR="00BE49F5">
          <w:rPr>
            <w:color w:val="000000"/>
            <w:sz w:val="22"/>
            <w:szCs w:val="22"/>
          </w:rPr>
          <w:delText>anni-</w:delText>
        </w:r>
      </w:del>
      <w:del w:id="1963" w:author="AbbVie14" w:date="2025-05-09T10:29:00Z">
        <w:r w:rsidRPr="00295E71">
          <w:rPr>
            <w:color w:val="000000"/>
            <w:sz w:val="22"/>
            <w:szCs w:val="22"/>
          </w:rPr>
          <w:delText>pazient</w:delText>
        </w:r>
      </w:del>
      <w:del w:id="1964" w:author="AbbVie14" w:date="2025-05-09T10:29:00Z">
        <w:r w:rsidR="00BE49F5">
          <w:rPr>
            <w:color w:val="000000"/>
            <w:sz w:val="22"/>
            <w:szCs w:val="22"/>
          </w:rPr>
          <w:delText>e</w:delText>
        </w:r>
      </w:del>
      <w:del w:id="1965" w:author="AbbVie14" w:date="2025-05-09T10:29:00Z">
        <w:r w:rsidRPr="00295E71">
          <w:rPr>
            <w:color w:val="000000"/>
            <w:sz w:val="22"/>
            <w:szCs w:val="22"/>
          </w:rPr>
          <w:delText xml:space="preserve"> di terapia, il tasso di neoplasie osservate, a parte linfoma e carcinoma cutaneo non melanotico, è circa 8,5</w:delText>
        </w:r>
      </w:del>
      <w:del w:id="1966" w:author="AbbVie14" w:date="2025-05-09T10:29:00Z">
        <w:r w:rsidRPr="00295E71" w:rsidR="003C47F5">
          <w:rPr>
            <w:color w:val="000000"/>
            <w:sz w:val="22"/>
            <w:szCs w:val="22"/>
          </w:rPr>
          <w:delText xml:space="preserve"> </w:delText>
        </w:r>
      </w:del>
      <w:del w:id="1967" w:author="AbbVie14" w:date="2025-05-09T10:29:00Z">
        <w:r w:rsidRPr="00295E71">
          <w:rPr>
            <w:color w:val="000000"/>
            <w:sz w:val="22"/>
            <w:szCs w:val="22"/>
          </w:rPr>
          <w:delText xml:space="preserve">per 1.000 </w:delText>
        </w:r>
      </w:del>
      <w:del w:id="1968" w:author="AbbVie14" w:date="2025-05-09T10:29:00Z">
        <w:r w:rsidRPr="00020442" w:rsidR="00BE49F5">
          <w:rPr>
            <w:color w:val="000000"/>
            <w:sz w:val="22"/>
            <w:szCs w:val="22"/>
          </w:rPr>
          <w:delText>anni-paziente</w:delText>
        </w:r>
      </w:del>
      <w:del w:id="1969" w:author="AbbVie14" w:date="2025-05-09T10:29:00Z">
        <w:r w:rsidRPr="00295E71">
          <w:rPr>
            <w:color w:val="000000"/>
            <w:sz w:val="22"/>
            <w:szCs w:val="22"/>
          </w:rPr>
          <w:delText xml:space="preserve">. Il tasso osservato di carcinoma cutaneo non melanotico è circa 9,6 per 1.000 </w:delText>
        </w:r>
      </w:del>
      <w:del w:id="1970" w:author="AbbVie14" w:date="2025-05-09T10:29:00Z">
        <w:r w:rsidRPr="00020442" w:rsidR="00BE49F5">
          <w:rPr>
            <w:color w:val="000000"/>
            <w:sz w:val="22"/>
            <w:szCs w:val="22"/>
          </w:rPr>
          <w:delText>anni-paziente</w:delText>
        </w:r>
      </w:del>
      <w:del w:id="1971" w:author="AbbVie14" w:date="2025-05-09T10:29:00Z">
        <w:r w:rsidRPr="00295E71">
          <w:rPr>
            <w:color w:val="000000"/>
            <w:sz w:val="22"/>
            <w:szCs w:val="22"/>
          </w:rPr>
          <w:delText xml:space="preserve"> e il tasso osservato di linfomi è circa 1,3</w:delText>
        </w:r>
      </w:del>
      <w:del w:id="1972" w:author="AbbVie14" w:date="2025-05-09T10:29:00Z">
        <w:r w:rsidR="00BE49F5">
          <w:rPr>
            <w:color w:val="000000"/>
            <w:sz w:val="22"/>
            <w:szCs w:val="22"/>
          </w:rPr>
          <w:delText xml:space="preserve"> </w:delText>
        </w:r>
      </w:del>
      <w:del w:id="1973" w:author="AbbVie14" w:date="2025-05-09T10:29:00Z">
        <w:r w:rsidRPr="00295E71">
          <w:rPr>
            <w:color w:val="000000"/>
            <w:sz w:val="22"/>
            <w:szCs w:val="22"/>
          </w:rPr>
          <w:delText xml:space="preserve">per 1.000 </w:delText>
        </w:r>
      </w:del>
      <w:del w:id="1974" w:author="AbbVie14" w:date="2025-05-09T10:29:00Z">
        <w:r w:rsidRPr="00020442" w:rsidR="00BE49F5">
          <w:rPr>
            <w:color w:val="000000"/>
            <w:sz w:val="22"/>
            <w:szCs w:val="22"/>
          </w:rPr>
          <w:delText>anni-paziente</w:delText>
        </w:r>
      </w:del>
      <w:del w:id="1975" w:author="AbbVie14" w:date="2025-05-09T10:29:00Z">
        <w:r w:rsidRPr="00295E71">
          <w:rPr>
            <w:color w:val="000000"/>
            <w:sz w:val="22"/>
            <w:szCs w:val="22"/>
          </w:rPr>
          <w:delText>.</w:delText>
        </w:r>
      </w:del>
    </w:p>
    <w:p w:rsidR="006224C2" w:rsidRPr="00295E71" w14:paraId="72F7B8E1" w14:textId="77777777">
      <w:pPr>
        <w:tabs>
          <w:tab w:val="left" w:pos="567"/>
        </w:tabs>
        <w:autoSpaceDE w:val="0"/>
        <w:autoSpaceDN w:val="0"/>
        <w:adjustRightInd w:val="0"/>
        <w:jc w:val="both"/>
        <w:rPr>
          <w:del w:id="1976" w:author="AbbVie14" w:date="2025-05-09T10:29:00Z"/>
          <w:color w:val="000000"/>
          <w:sz w:val="22"/>
          <w:szCs w:val="22"/>
        </w:rPr>
      </w:pPr>
    </w:p>
    <w:p w:rsidR="006224C2" w:rsidRPr="00295E71" w14:paraId="247C8D3F" w14:textId="77777777">
      <w:pPr>
        <w:tabs>
          <w:tab w:val="left" w:pos="567"/>
        </w:tabs>
        <w:autoSpaceDE w:val="0"/>
        <w:autoSpaceDN w:val="0"/>
        <w:adjustRightInd w:val="0"/>
        <w:jc w:val="both"/>
        <w:rPr>
          <w:del w:id="1977" w:author="AbbVie14" w:date="2025-05-09T10:29:00Z"/>
          <w:color w:val="000000"/>
          <w:sz w:val="22"/>
          <w:szCs w:val="22"/>
        </w:rPr>
      </w:pPr>
      <w:del w:id="1978" w:author="AbbVie14" w:date="2025-05-09T10:29:00Z">
        <w:r w:rsidRPr="00295E71">
          <w:rPr>
            <w:color w:val="000000"/>
            <w:sz w:val="22"/>
            <w:szCs w:val="22"/>
          </w:rPr>
          <w:delText xml:space="preserve">In una esperienza post-marketing dal gennaio 2003 al dicembre 2010, principalmente in pazienti affetti da artrite reumatoide, il tasso di neoplasie </w:delText>
        </w:r>
      </w:del>
      <w:del w:id="1979" w:author="AbbVie14" w:date="2025-05-09T10:29:00Z">
        <w:r w:rsidRPr="00295E71" w:rsidR="00CD7FA4">
          <w:rPr>
            <w:color w:val="000000"/>
            <w:sz w:val="22"/>
            <w:szCs w:val="22"/>
          </w:rPr>
          <w:delText>riportat</w:delText>
        </w:r>
      </w:del>
      <w:del w:id="1980" w:author="AbbVie14" w:date="2025-05-09T10:29:00Z">
        <w:r w:rsidR="00306285">
          <w:rPr>
            <w:color w:val="000000"/>
            <w:sz w:val="22"/>
            <w:szCs w:val="22"/>
          </w:rPr>
          <w:delText>o</w:delText>
        </w:r>
      </w:del>
      <w:del w:id="1981" w:author="AbbVie14" w:date="2025-05-09T10:29:00Z">
        <w:r w:rsidRPr="00295E71" w:rsidR="00CD7FA4">
          <w:rPr>
            <w:color w:val="000000"/>
            <w:sz w:val="22"/>
            <w:szCs w:val="22"/>
          </w:rPr>
          <w:delText xml:space="preserve"> </w:delText>
        </w:r>
      </w:del>
      <w:del w:id="1982" w:author="AbbVie14" w:date="2025-05-09T10:29:00Z">
        <w:r w:rsidR="00CD7FA4">
          <w:rPr>
            <w:color w:val="000000"/>
            <w:sz w:val="22"/>
            <w:szCs w:val="22"/>
          </w:rPr>
          <w:delText xml:space="preserve">spontaneamente </w:delText>
        </w:r>
      </w:del>
      <w:del w:id="1983" w:author="AbbVie14" w:date="2025-05-09T10:29:00Z">
        <w:r w:rsidRPr="00295E71">
          <w:rPr>
            <w:color w:val="000000"/>
            <w:sz w:val="22"/>
            <w:szCs w:val="22"/>
          </w:rPr>
          <w:delText>è circa 2,7</w:delText>
        </w:r>
      </w:del>
      <w:del w:id="1984" w:author="AbbVie14" w:date="2025-05-09T10:29:00Z">
        <w:r w:rsidRPr="00295E71" w:rsidR="003C47F5">
          <w:rPr>
            <w:color w:val="000000"/>
            <w:sz w:val="22"/>
            <w:szCs w:val="22"/>
          </w:rPr>
          <w:delText xml:space="preserve"> </w:delText>
        </w:r>
      </w:del>
      <w:del w:id="1985" w:author="AbbVie14" w:date="2025-05-09T10:29:00Z">
        <w:r w:rsidRPr="00295E71">
          <w:rPr>
            <w:color w:val="000000"/>
            <w:sz w:val="22"/>
            <w:szCs w:val="22"/>
          </w:rPr>
          <w:delText>per 1.000 anni trattamento</w:delText>
        </w:r>
      </w:del>
      <w:del w:id="1986" w:author="AbbVie14" w:date="2025-05-09T10:29:00Z">
        <w:r w:rsidR="00BE49F5">
          <w:rPr>
            <w:color w:val="000000"/>
            <w:sz w:val="22"/>
            <w:szCs w:val="22"/>
          </w:rPr>
          <w:delText>-</w:delText>
        </w:r>
      </w:del>
      <w:del w:id="1987" w:author="AbbVie14" w:date="2025-05-09T10:29:00Z">
        <w:r w:rsidRPr="00295E71">
          <w:rPr>
            <w:color w:val="000000"/>
            <w:sz w:val="22"/>
            <w:szCs w:val="22"/>
          </w:rPr>
          <w:delText>paziente. I tassi riportati</w:delText>
        </w:r>
      </w:del>
      <w:del w:id="1988" w:author="AbbVie14" w:date="2025-05-09T10:29:00Z">
        <w:r w:rsidR="00536BF7">
          <w:rPr>
            <w:color w:val="000000"/>
            <w:sz w:val="22"/>
            <w:szCs w:val="22"/>
          </w:rPr>
          <w:delText xml:space="preserve"> </w:delText>
        </w:r>
      </w:del>
      <w:del w:id="1989" w:author="AbbVie14" w:date="2025-05-09T10:29:00Z">
        <w:r w:rsidR="0026134F">
          <w:rPr>
            <w:color w:val="000000"/>
            <w:sz w:val="22"/>
            <w:szCs w:val="22"/>
          </w:rPr>
          <w:delText>spontaneamente</w:delText>
        </w:r>
      </w:del>
      <w:del w:id="1990" w:author="AbbVie14" w:date="2025-05-09T10:29:00Z">
        <w:r w:rsidRPr="00295E71">
          <w:rPr>
            <w:color w:val="000000"/>
            <w:sz w:val="22"/>
            <w:szCs w:val="22"/>
          </w:rPr>
          <w:delText xml:space="preserve"> rispettivamente per carcinomi cutanei non melanotici e linfomi sono circa 0,2 e 0,3 per 1.000 anni trattamento</w:delText>
        </w:r>
      </w:del>
      <w:del w:id="1991" w:author="AbbVie14" w:date="2025-05-09T10:29:00Z">
        <w:r w:rsidR="00BE49F5">
          <w:rPr>
            <w:color w:val="000000"/>
            <w:sz w:val="22"/>
            <w:szCs w:val="22"/>
          </w:rPr>
          <w:delText>-</w:delText>
        </w:r>
      </w:del>
      <w:del w:id="1992" w:author="AbbVie14" w:date="2025-05-09T10:29:00Z">
        <w:r w:rsidRPr="00295E71">
          <w:rPr>
            <w:color w:val="000000"/>
            <w:sz w:val="22"/>
            <w:szCs w:val="22"/>
          </w:rPr>
          <w:delText>paziente (vedere paragrafo 4.4).</w:delText>
        </w:r>
      </w:del>
    </w:p>
    <w:p w:rsidR="006224C2" w:rsidRPr="00295E71" w14:paraId="594366F4" w14:textId="77777777">
      <w:pPr>
        <w:tabs>
          <w:tab w:val="left" w:pos="567"/>
        </w:tabs>
        <w:autoSpaceDE w:val="0"/>
        <w:autoSpaceDN w:val="0"/>
        <w:adjustRightInd w:val="0"/>
        <w:jc w:val="both"/>
        <w:rPr>
          <w:del w:id="1993" w:author="AbbVie14" w:date="2025-05-09T10:29:00Z"/>
          <w:color w:val="000000"/>
          <w:sz w:val="22"/>
          <w:szCs w:val="22"/>
        </w:rPr>
      </w:pPr>
    </w:p>
    <w:p w:rsidR="006224C2" w:rsidRPr="00295E71" w14:paraId="09D179E8" w14:textId="77777777">
      <w:pPr>
        <w:tabs>
          <w:tab w:val="left" w:pos="567"/>
        </w:tabs>
        <w:autoSpaceDE w:val="0"/>
        <w:autoSpaceDN w:val="0"/>
        <w:adjustRightInd w:val="0"/>
        <w:jc w:val="both"/>
        <w:rPr>
          <w:del w:id="1994" w:author="AbbVie14" w:date="2025-05-09T10:29:00Z"/>
          <w:color w:val="000000"/>
          <w:sz w:val="22"/>
          <w:szCs w:val="22"/>
        </w:rPr>
      </w:pPr>
      <w:del w:id="1995" w:author="AbbVie14" w:date="2025-05-09T10:29:00Z">
        <w:r w:rsidRPr="00295E71">
          <w:rPr>
            <w:color w:val="000000"/>
            <w:sz w:val="22"/>
            <w:szCs w:val="22"/>
          </w:rPr>
          <w:delText>Nell’esperienza post-marketing sono stati segnalati rari casi di linfoma epatosplenico a cellule T nei pazienti trattati con adalimumab (vedere paragrafo 4.4).</w:delText>
        </w:r>
      </w:del>
    </w:p>
    <w:p w:rsidR="006224C2" w:rsidRPr="00295E71" w14:paraId="443E75E6" w14:textId="77777777">
      <w:pPr>
        <w:tabs>
          <w:tab w:val="left" w:pos="567"/>
        </w:tabs>
        <w:autoSpaceDE w:val="0"/>
        <w:autoSpaceDN w:val="0"/>
        <w:adjustRightInd w:val="0"/>
        <w:jc w:val="both"/>
        <w:rPr>
          <w:del w:id="1996" w:author="AbbVie14" w:date="2025-05-09T10:29:00Z"/>
          <w:color w:val="000000"/>
          <w:sz w:val="22"/>
          <w:szCs w:val="22"/>
        </w:rPr>
      </w:pPr>
    </w:p>
    <w:p w:rsidR="006224C2" w:rsidRPr="00295E71" w:rsidP="003B3A5A" w14:paraId="2B3DD05F" w14:textId="77777777">
      <w:pPr>
        <w:keepNext/>
        <w:tabs>
          <w:tab w:val="left" w:pos="567"/>
        </w:tabs>
        <w:autoSpaceDE w:val="0"/>
        <w:autoSpaceDN w:val="0"/>
        <w:adjustRightInd w:val="0"/>
        <w:jc w:val="both"/>
        <w:rPr>
          <w:del w:id="1997" w:author="AbbVie14" w:date="2025-05-09T10:29:00Z"/>
          <w:i/>
          <w:color w:val="000000"/>
          <w:sz w:val="22"/>
          <w:szCs w:val="22"/>
        </w:rPr>
      </w:pPr>
      <w:del w:id="1998" w:author="AbbVie14" w:date="2025-05-09T10:29:00Z">
        <w:r w:rsidRPr="00295E71">
          <w:rPr>
            <w:i/>
            <w:color w:val="000000"/>
            <w:sz w:val="22"/>
            <w:szCs w:val="22"/>
          </w:rPr>
          <w:delText>Autoanticorpi</w:delText>
        </w:r>
      </w:del>
    </w:p>
    <w:p w:rsidR="006224C2" w:rsidRPr="00295E71" w:rsidP="003B3A5A" w14:paraId="7D6FA1DA" w14:textId="77777777">
      <w:pPr>
        <w:keepNext/>
        <w:tabs>
          <w:tab w:val="left" w:pos="567"/>
        </w:tabs>
        <w:autoSpaceDE w:val="0"/>
        <w:autoSpaceDN w:val="0"/>
        <w:adjustRightInd w:val="0"/>
        <w:jc w:val="both"/>
        <w:rPr>
          <w:del w:id="1999" w:author="AbbVie14" w:date="2025-05-09T10:29:00Z"/>
          <w:color w:val="000000"/>
          <w:sz w:val="22"/>
          <w:szCs w:val="22"/>
        </w:rPr>
      </w:pPr>
    </w:p>
    <w:p w:rsidR="006224C2" w:rsidRPr="00295E71" w:rsidP="003B3A5A" w14:paraId="3EA12421" w14:textId="77777777">
      <w:pPr>
        <w:keepNext/>
        <w:tabs>
          <w:tab w:val="left" w:pos="567"/>
        </w:tabs>
        <w:autoSpaceDE w:val="0"/>
        <w:autoSpaceDN w:val="0"/>
        <w:adjustRightInd w:val="0"/>
        <w:jc w:val="both"/>
        <w:rPr>
          <w:del w:id="2000" w:author="AbbVie14" w:date="2025-05-09T10:29:00Z"/>
          <w:color w:val="000000"/>
          <w:sz w:val="22"/>
          <w:szCs w:val="22"/>
        </w:rPr>
      </w:pPr>
      <w:del w:id="2001" w:author="AbbVie14" w:date="2025-05-09T10:29:00Z">
        <w:r w:rsidRPr="00295E71">
          <w:rPr>
            <w:color w:val="000000"/>
            <w:sz w:val="22"/>
            <w:szCs w:val="22"/>
          </w:rPr>
          <w:delText>Nel corso d</w:delText>
        </w:r>
      </w:del>
      <w:del w:id="2002" w:author="AbbVie14" w:date="2025-05-09T10:29:00Z">
        <w:r w:rsidR="00BE49F5">
          <w:rPr>
            <w:color w:val="000000"/>
            <w:sz w:val="22"/>
            <w:szCs w:val="22"/>
          </w:rPr>
          <w:delText>egl</w:delText>
        </w:r>
      </w:del>
      <w:del w:id="2003" w:author="AbbVie14" w:date="2025-05-09T10:29:00Z">
        <w:r w:rsidRPr="00295E71">
          <w:rPr>
            <w:color w:val="000000"/>
            <w:sz w:val="22"/>
            <w:szCs w:val="22"/>
          </w:rPr>
          <w:delText xml:space="preserve">i studi I-V condotti sull’artrite reumatoide, sono stati analizzati, </w:delText>
        </w:r>
      </w:del>
      <w:del w:id="2004" w:author="AbbVie14" w:date="2025-05-09T10:29:00Z">
        <w:r w:rsidRPr="00020442" w:rsidR="00BE49F5">
          <w:rPr>
            <w:color w:val="000000"/>
            <w:sz w:val="22"/>
            <w:szCs w:val="22"/>
          </w:rPr>
          <w:delText>a vari intervalli temporali</w:delText>
        </w:r>
      </w:del>
      <w:del w:id="2005" w:author="AbbVie14" w:date="2025-05-09T10:29:00Z">
        <w:r w:rsidRPr="00295E71">
          <w:rPr>
            <w:color w:val="000000"/>
            <w:sz w:val="22"/>
            <w:szCs w:val="22"/>
          </w:rPr>
          <w:delText xml:space="preserve">, i campioni sierici dei pazienti per la valutazione degli autoanticorpi. In questi studi, l’11,9% dei pazienti trattati con Humira e l’8,1% dei pazienti trattati con placebo e con controllo attivo, che presentavano valori negativi di anticorpi antinucleo </w:delText>
        </w:r>
      </w:del>
      <w:del w:id="2006" w:author="AbbVie14" w:date="2025-05-09T10:29:00Z">
        <w:r w:rsidRPr="00020442" w:rsidR="00BE49F5">
          <w:rPr>
            <w:color w:val="000000"/>
            <w:sz w:val="22"/>
            <w:szCs w:val="22"/>
          </w:rPr>
          <w:delText>al basale</w:delText>
        </w:r>
      </w:del>
      <w:del w:id="2007" w:author="AbbVie14" w:date="2025-05-09T10:29:00Z">
        <w:r w:rsidRPr="00295E71">
          <w:rPr>
            <w:color w:val="000000"/>
            <w:sz w:val="22"/>
            <w:szCs w:val="22"/>
          </w:rPr>
          <w:delText>, ha presentato valori positivi alla ventiquattresima settimana.</w:delText>
        </w:r>
      </w:del>
      <w:del w:id="2008" w:author="AbbVie14" w:date="2025-05-09T10:29:00Z">
        <w:r w:rsidR="00BE49F5">
          <w:rPr>
            <w:color w:val="000000"/>
            <w:sz w:val="22"/>
            <w:szCs w:val="22"/>
          </w:rPr>
          <w:delText xml:space="preserve"> </w:delText>
        </w:r>
      </w:del>
      <w:del w:id="2009" w:author="AbbVie14" w:date="2025-05-09T10:29:00Z">
        <w:r w:rsidRPr="00295E71">
          <w:rPr>
            <w:color w:val="000000"/>
            <w:sz w:val="22"/>
            <w:szCs w:val="22"/>
          </w:rPr>
          <w:delText>Due pazienti su 3.441 trattati con Humira nel corso di tutti gli studi condotti sull’artrite reumatoide e sull’artrite psoriasica hanno manifestato segni clinici che indicavano l’inizio di una sindrome simile al lupus. I pazienti</w:delText>
        </w:r>
      </w:del>
      <w:del w:id="2010" w:author="AbbVie14" w:date="2025-05-09T10:29:00Z">
        <w:r w:rsidRPr="00295E71" w:rsidR="003C47F5">
          <w:rPr>
            <w:color w:val="000000"/>
            <w:sz w:val="22"/>
            <w:szCs w:val="22"/>
          </w:rPr>
          <w:delText xml:space="preserve"> </w:delText>
        </w:r>
      </w:del>
      <w:del w:id="2011" w:author="AbbVie14" w:date="2025-05-09T10:29:00Z">
        <w:r w:rsidRPr="00295E71">
          <w:rPr>
            <w:color w:val="000000"/>
            <w:sz w:val="22"/>
            <w:szCs w:val="22"/>
          </w:rPr>
          <w:delText>sono</w:delText>
        </w:r>
      </w:del>
      <w:del w:id="2012" w:author="AbbVie14" w:date="2025-05-09T10:29:00Z">
        <w:r w:rsidRPr="00295E71" w:rsidR="003C47F5">
          <w:rPr>
            <w:color w:val="000000"/>
            <w:sz w:val="22"/>
            <w:szCs w:val="22"/>
          </w:rPr>
          <w:delText xml:space="preserve"> </w:delText>
        </w:r>
      </w:del>
      <w:del w:id="2013" w:author="AbbVie14" w:date="2025-05-09T10:29:00Z">
        <w:r w:rsidRPr="00295E71">
          <w:rPr>
            <w:color w:val="000000"/>
            <w:sz w:val="22"/>
            <w:szCs w:val="22"/>
          </w:rPr>
          <w:delText>migliorati dopo la sospensione della terapia. Nessun paziente ha sviluppato una nefrite da lupus o sintomi a carico del sistema nervoso centrale.</w:delText>
        </w:r>
      </w:del>
    </w:p>
    <w:p w:rsidR="006224C2" w:rsidRPr="00295E71" w14:paraId="46F3CA3F" w14:textId="77777777">
      <w:pPr>
        <w:tabs>
          <w:tab w:val="left" w:pos="567"/>
        </w:tabs>
        <w:ind w:left="567" w:hanging="567"/>
        <w:jc w:val="both"/>
        <w:rPr>
          <w:del w:id="2014" w:author="AbbVie14" w:date="2025-05-09T10:29:00Z"/>
          <w:sz w:val="22"/>
          <w:szCs w:val="22"/>
        </w:rPr>
      </w:pPr>
    </w:p>
    <w:p w:rsidR="006224C2" w:rsidRPr="00295E71" w:rsidP="00222EA4" w14:paraId="11A2BEF0" w14:textId="77777777">
      <w:pPr>
        <w:keepNext/>
        <w:tabs>
          <w:tab w:val="left" w:pos="567"/>
        </w:tabs>
        <w:ind w:left="567" w:hanging="567"/>
        <w:jc w:val="both"/>
        <w:rPr>
          <w:del w:id="2015" w:author="AbbVie14" w:date="2025-05-09T10:29:00Z"/>
          <w:i/>
          <w:sz w:val="22"/>
          <w:szCs w:val="22"/>
        </w:rPr>
      </w:pPr>
      <w:del w:id="2016" w:author="AbbVie14" w:date="2025-05-09T10:29:00Z">
        <w:r w:rsidRPr="00295E71">
          <w:rPr>
            <w:i/>
            <w:sz w:val="22"/>
            <w:szCs w:val="22"/>
          </w:rPr>
          <w:delText>Eventi epato-biliari</w:delText>
        </w:r>
      </w:del>
    </w:p>
    <w:p w:rsidR="006224C2" w:rsidRPr="00295E71" w:rsidP="00222EA4" w14:paraId="2B83ADD1" w14:textId="77777777">
      <w:pPr>
        <w:keepNext/>
        <w:tabs>
          <w:tab w:val="left" w:pos="567"/>
        </w:tabs>
        <w:ind w:left="567" w:hanging="567"/>
        <w:jc w:val="both"/>
        <w:rPr>
          <w:del w:id="2017" w:author="AbbVie14" w:date="2025-05-09T10:29:00Z"/>
          <w:sz w:val="22"/>
          <w:szCs w:val="22"/>
          <w:u w:val="single"/>
        </w:rPr>
      </w:pPr>
    </w:p>
    <w:p w:rsidR="006224C2" w:rsidRPr="00295E71" w:rsidP="00222EA4" w14:paraId="75B00057" w14:textId="77777777">
      <w:pPr>
        <w:keepNext/>
        <w:tabs>
          <w:tab w:val="left" w:pos="180"/>
          <w:tab w:val="left" w:pos="360"/>
        </w:tabs>
        <w:jc w:val="both"/>
        <w:rPr>
          <w:del w:id="2018" w:author="AbbVie14" w:date="2025-05-09T10:29:00Z"/>
          <w:sz w:val="22"/>
          <w:szCs w:val="22"/>
        </w:rPr>
      </w:pPr>
      <w:del w:id="2019" w:author="AbbVie14" w:date="2025-05-09T10:29:00Z">
        <w:r w:rsidRPr="00295E71">
          <w:rPr>
            <w:sz w:val="22"/>
            <w:szCs w:val="22"/>
          </w:rPr>
          <w:delText xml:space="preserve">Negli studi clinici controllati di Fase 3 di Humira in pazienti con artrite reumatoide e artrite psoriasica con una durata del periodo di controllo che va </w:delText>
        </w:r>
      </w:del>
      <w:del w:id="2020" w:author="AbbVie14" w:date="2025-05-09T10:29:00Z">
        <w:r w:rsidR="00BE49F5">
          <w:rPr>
            <w:sz w:val="22"/>
            <w:szCs w:val="22"/>
          </w:rPr>
          <w:delText xml:space="preserve">da </w:delText>
        </w:r>
      </w:del>
      <w:del w:id="2021" w:author="AbbVie14" w:date="2025-05-09T10:29:00Z">
        <w:r w:rsidRPr="00295E71">
          <w:rPr>
            <w:sz w:val="22"/>
            <w:szCs w:val="22"/>
          </w:rPr>
          <w:delText>4 a 104 settimane, aumenti delle transaminasi ALT superiori o uguali a tre volte il limite superiore di normalità si sono verificati nel 3</w:delText>
        </w:r>
      </w:del>
      <w:del w:id="2022" w:author="AbbVie14" w:date="2025-05-09T10:29:00Z">
        <w:r w:rsidR="00BE49F5">
          <w:rPr>
            <w:sz w:val="22"/>
            <w:szCs w:val="22"/>
          </w:rPr>
          <w:delText>,</w:delText>
        </w:r>
      </w:del>
      <w:del w:id="2023" w:author="AbbVie14" w:date="2025-05-09T10:29:00Z">
        <w:r w:rsidRPr="00295E71">
          <w:rPr>
            <w:sz w:val="22"/>
            <w:szCs w:val="22"/>
          </w:rPr>
          <w:delText>7% dei pazienti trattati con Humira e nell’1</w:delText>
        </w:r>
      </w:del>
      <w:del w:id="2024" w:author="AbbVie14" w:date="2025-05-09T10:29:00Z">
        <w:r w:rsidR="00BE49F5">
          <w:rPr>
            <w:sz w:val="22"/>
            <w:szCs w:val="22"/>
          </w:rPr>
          <w:delText>,</w:delText>
        </w:r>
      </w:del>
      <w:del w:id="2025" w:author="AbbVie14" w:date="2025-05-09T10:29:00Z">
        <w:r w:rsidRPr="00295E71">
          <w:rPr>
            <w:sz w:val="22"/>
            <w:szCs w:val="22"/>
          </w:rPr>
          <w:delText>6% dei pazienti trattati con il controllo.</w:delText>
        </w:r>
      </w:del>
    </w:p>
    <w:p w:rsidR="006224C2" w:rsidRPr="00295E71" w14:paraId="7C0A0C80" w14:textId="77777777">
      <w:pPr>
        <w:tabs>
          <w:tab w:val="left" w:pos="180"/>
          <w:tab w:val="left" w:pos="360"/>
        </w:tabs>
        <w:jc w:val="both"/>
        <w:rPr>
          <w:del w:id="2026" w:author="AbbVie14" w:date="2025-05-09T10:29:00Z"/>
          <w:sz w:val="22"/>
          <w:szCs w:val="22"/>
        </w:rPr>
      </w:pPr>
    </w:p>
    <w:p w:rsidR="006224C2" w:rsidRPr="00295E71" w14:paraId="288E974B" w14:textId="77777777">
      <w:pPr>
        <w:pStyle w:val="EMEANormal"/>
        <w:jc w:val="both"/>
        <w:rPr>
          <w:del w:id="2027" w:author="AbbVie14" w:date="2025-05-09T10:29:00Z"/>
          <w:iCs/>
          <w:lang w:val="it-IT"/>
        </w:rPr>
      </w:pPr>
      <w:del w:id="2028" w:author="AbbVie14" w:date="2025-05-09T10:29:00Z">
        <w:r w:rsidRPr="00295E71">
          <w:rPr>
            <w:iCs/>
            <w:lang w:val="it-IT"/>
          </w:rPr>
          <w:delText xml:space="preserve">Negli studi clinici controllati di Fase 3 di Humira in pazienti con artrite idiopatica giovanile poliarticolare che avevano da 4 a 17 anni di età e in pazienti con artrite associata ad entesite, dai 6 ai 17 anni di età, gli aumenti delle transaminasi ALT superiori o uguali a tre volte il </w:delText>
        </w:r>
      </w:del>
      <w:del w:id="2029" w:author="AbbVie14" w:date="2025-05-09T10:29:00Z">
        <w:r w:rsidRPr="00295E71">
          <w:rPr>
            <w:lang w:val="it-IT"/>
          </w:rPr>
          <w:delText>limite superiore di normalità</w:delText>
        </w:r>
      </w:del>
      <w:del w:id="2030" w:author="AbbVie14" w:date="2025-05-09T10:29:00Z">
        <w:r w:rsidRPr="00295E71">
          <w:rPr>
            <w:iCs/>
            <w:lang w:val="it-IT"/>
          </w:rPr>
          <w:delText xml:space="preserve"> ULN si sono verificati nel 6</w:delText>
        </w:r>
      </w:del>
      <w:del w:id="2031" w:author="AbbVie14" w:date="2025-05-09T10:29:00Z">
        <w:r w:rsidR="00BE49F5">
          <w:rPr>
            <w:iCs/>
            <w:lang w:val="it-IT"/>
          </w:rPr>
          <w:delText>,</w:delText>
        </w:r>
      </w:del>
      <w:del w:id="2032" w:author="AbbVie14" w:date="2025-05-09T10:29:00Z">
        <w:r w:rsidRPr="00295E71">
          <w:rPr>
            <w:iCs/>
            <w:lang w:val="it-IT"/>
          </w:rPr>
          <w:delText>1% dei pazienti trattati con Humira e nel</w:delText>
        </w:r>
      </w:del>
      <w:del w:id="2033" w:author="AbbVie14" w:date="2025-05-09T10:29:00Z">
        <w:r w:rsidR="00BE49F5">
          <w:rPr>
            <w:iCs/>
            <w:lang w:val="it-IT"/>
          </w:rPr>
          <w:delText>l’</w:delText>
        </w:r>
      </w:del>
      <w:del w:id="2034" w:author="AbbVie14" w:date="2025-05-09T10:29:00Z">
        <w:r w:rsidRPr="00295E71">
          <w:rPr>
            <w:iCs/>
            <w:lang w:val="it-IT"/>
          </w:rPr>
          <w:delText>1</w:delText>
        </w:r>
      </w:del>
      <w:del w:id="2035" w:author="AbbVie14" w:date="2025-05-09T10:29:00Z">
        <w:r w:rsidR="00BE49F5">
          <w:rPr>
            <w:iCs/>
            <w:lang w:val="it-IT"/>
          </w:rPr>
          <w:delText>,</w:delText>
        </w:r>
      </w:del>
      <w:del w:id="2036" w:author="AbbVie14" w:date="2025-05-09T10:29:00Z">
        <w:r w:rsidRPr="00295E71">
          <w:rPr>
            <w:iCs/>
            <w:lang w:val="it-IT"/>
          </w:rPr>
          <w:delText>3% dei pazienti trattati con il farmaco di controllo. La maggior parte degli aumenti delle transaminasi ALT si sono verificati con l’uso concomitante di metotressato. Non si sono verificati aumenti delle transaminasi ALT superior</w:delText>
        </w:r>
      </w:del>
      <w:del w:id="2037" w:author="AbbVie14" w:date="2025-05-09T10:29:00Z">
        <w:r w:rsidR="00BE49F5">
          <w:rPr>
            <w:iCs/>
            <w:lang w:val="it-IT"/>
          </w:rPr>
          <w:delText>i</w:delText>
        </w:r>
      </w:del>
      <w:del w:id="2038" w:author="AbbVie14" w:date="2025-05-09T10:29:00Z">
        <w:r w:rsidRPr="00295E71">
          <w:rPr>
            <w:iCs/>
            <w:lang w:val="it-IT"/>
          </w:rPr>
          <w:delText xml:space="preserve"> o ugual</w:delText>
        </w:r>
      </w:del>
      <w:del w:id="2039" w:author="AbbVie14" w:date="2025-05-09T10:29:00Z">
        <w:r w:rsidR="00BE49F5">
          <w:rPr>
            <w:iCs/>
            <w:lang w:val="it-IT"/>
          </w:rPr>
          <w:delText>i</w:delText>
        </w:r>
      </w:del>
      <w:del w:id="2040" w:author="AbbVie14" w:date="2025-05-09T10:29:00Z">
        <w:r w:rsidRPr="00295E71">
          <w:rPr>
            <w:iCs/>
            <w:lang w:val="it-IT"/>
          </w:rPr>
          <w:delText xml:space="preserve"> a tre volte il limite superiore di normalità nello studio clinico di Fase 3 con Humira in pazienti con artrite idiopatica giovanile poliarticolare di età compresa tra 2 e &lt;4 anni.</w:delText>
        </w:r>
      </w:del>
    </w:p>
    <w:p w:rsidR="006224C2" w:rsidRPr="00295E71" w14:paraId="014ED76A" w14:textId="77777777">
      <w:pPr>
        <w:tabs>
          <w:tab w:val="left" w:pos="180"/>
          <w:tab w:val="left" w:pos="360"/>
        </w:tabs>
        <w:jc w:val="both"/>
        <w:rPr>
          <w:del w:id="2041" w:author="AbbVie14" w:date="2025-05-09T10:29:00Z"/>
          <w:sz w:val="22"/>
          <w:szCs w:val="22"/>
        </w:rPr>
      </w:pPr>
    </w:p>
    <w:p w:rsidR="006224C2" w:rsidRPr="00295E71" w14:paraId="48AAB5B4" w14:textId="77777777">
      <w:pPr>
        <w:pStyle w:val="EMEANormal"/>
        <w:jc w:val="both"/>
        <w:rPr>
          <w:del w:id="2042" w:author="AbbVie14" w:date="2025-05-09T10:29:00Z"/>
          <w:lang w:val="it-IT"/>
        </w:rPr>
      </w:pPr>
      <w:del w:id="2043" w:author="AbbVie14" w:date="2025-05-09T10:29:00Z">
        <w:r w:rsidRPr="00295E71">
          <w:rPr>
            <w:iCs/>
            <w:lang w:val="it-IT"/>
          </w:rPr>
          <w:delText xml:space="preserve">Negli studi clinici controllati di Fase 3 di Humira in pazienti con malattia di Crohn e colite ulcerosa con un periodo di controllo che va </w:delText>
        </w:r>
      </w:del>
      <w:del w:id="2044" w:author="AbbVie14" w:date="2025-05-09T10:29:00Z">
        <w:r w:rsidRPr="00295E71" w:rsidR="007F1EB6">
          <w:rPr>
            <w:iCs/>
            <w:lang w:val="it-IT"/>
          </w:rPr>
          <w:delText xml:space="preserve">da </w:delText>
        </w:r>
      </w:del>
      <w:del w:id="2045" w:author="AbbVie14" w:date="2025-05-09T10:29:00Z">
        <w:r w:rsidRPr="00295E71">
          <w:rPr>
            <w:iCs/>
            <w:lang w:val="it-IT"/>
          </w:rPr>
          <w:delText>4 a 52 settimane</w:delText>
        </w:r>
      </w:del>
      <w:del w:id="2046" w:author="AbbVie14" w:date="2025-05-09T10:29:00Z">
        <w:r w:rsidRPr="00295E71">
          <w:rPr>
            <w:lang w:val="it-IT"/>
          </w:rPr>
          <w:delText>, gli aumenti delle transaminasi ALT superiori o uguali a tre volte il limite superiore di normalità</w:delText>
        </w:r>
      </w:del>
      <w:del w:id="2047" w:author="AbbVie14" w:date="2025-05-09T10:29:00Z">
        <w:r w:rsidR="00BE49F5">
          <w:rPr>
            <w:lang w:val="it-IT"/>
          </w:rPr>
          <w:delText xml:space="preserve"> </w:delText>
        </w:r>
      </w:del>
      <w:del w:id="2048" w:author="AbbVie14" w:date="2025-05-09T10:29:00Z">
        <w:r w:rsidRPr="00295E71">
          <w:rPr>
            <w:lang w:val="it-IT"/>
          </w:rPr>
          <w:delText>si sono verificati nello 0</w:delText>
        </w:r>
      </w:del>
      <w:del w:id="2049" w:author="AbbVie14" w:date="2025-05-09T10:29:00Z">
        <w:r w:rsidR="00BE49F5">
          <w:rPr>
            <w:lang w:val="it-IT"/>
          </w:rPr>
          <w:delText>,</w:delText>
        </w:r>
      </w:del>
      <w:del w:id="2050" w:author="AbbVie14" w:date="2025-05-09T10:29:00Z">
        <w:r w:rsidRPr="00295E71">
          <w:rPr>
            <w:lang w:val="it-IT"/>
          </w:rPr>
          <w:delText>9% dei pazienti trattati con Humira e nello 0</w:delText>
        </w:r>
      </w:del>
      <w:del w:id="2051" w:author="AbbVie14" w:date="2025-05-09T10:29:00Z">
        <w:r w:rsidR="00BE49F5">
          <w:rPr>
            <w:lang w:val="it-IT"/>
          </w:rPr>
          <w:delText>,</w:delText>
        </w:r>
      </w:del>
      <w:del w:id="2052" w:author="AbbVie14" w:date="2025-05-09T10:29:00Z">
        <w:r w:rsidRPr="00295E71">
          <w:rPr>
            <w:lang w:val="it-IT"/>
          </w:rPr>
          <w:delText>9% dei pazienti trattati con il controllo.</w:delText>
        </w:r>
      </w:del>
    </w:p>
    <w:p w:rsidR="006224C2" w:rsidRPr="00295E71" w14:paraId="58099D12" w14:textId="77777777">
      <w:pPr>
        <w:pStyle w:val="EMEANormal"/>
        <w:jc w:val="both"/>
        <w:rPr>
          <w:del w:id="2053" w:author="AbbVie14" w:date="2025-05-09T10:29:00Z"/>
          <w:lang w:val="it-IT"/>
        </w:rPr>
      </w:pPr>
    </w:p>
    <w:p w:rsidR="006224C2" w:rsidRPr="00295E71" w14:paraId="03DBA950" w14:textId="77777777">
      <w:pPr>
        <w:pStyle w:val="EMEANormal"/>
        <w:jc w:val="both"/>
        <w:rPr>
          <w:del w:id="2054" w:author="AbbVie14" w:date="2025-05-09T10:29:00Z"/>
          <w:lang w:val="it-IT"/>
        </w:rPr>
      </w:pPr>
      <w:del w:id="2055" w:author="AbbVie14" w:date="2025-05-09T10:29:00Z">
        <w:r w:rsidRPr="00295E71">
          <w:rPr>
            <w:lang w:val="it-IT"/>
          </w:rPr>
          <w:delText xml:space="preserve">Nello studio di fase 3 di Humira, in pazienti con malattia di </w:delText>
        </w:r>
      </w:del>
      <w:del w:id="2056" w:author="AbbVie14" w:date="2025-05-09T10:29:00Z">
        <w:r w:rsidRPr="00020442" w:rsidR="00BE49F5">
          <w:rPr>
            <w:lang w:val="it-IT"/>
          </w:rPr>
          <w:delText>Crohn</w:delText>
        </w:r>
      </w:del>
      <w:del w:id="2057" w:author="AbbVie14" w:date="2025-05-09T10:29:00Z">
        <w:r w:rsidRPr="00295E71">
          <w:rPr>
            <w:lang w:val="it-IT"/>
          </w:rPr>
          <w:delText xml:space="preserve"> in età pediatrica, che ha valutato la sicurezza e l’efficacia dei due regimi posologici aggiustati per il peso corporeo per la terapia di mantenimento che segue la terapia di induzione aggiustata per il peso fino a 52 settimane, sono stati trovati livelli di ALT superior</w:delText>
        </w:r>
      </w:del>
      <w:del w:id="2058" w:author="AbbVie14" w:date="2025-05-09T10:29:00Z">
        <w:r w:rsidR="00BE49F5">
          <w:rPr>
            <w:lang w:val="it-IT"/>
          </w:rPr>
          <w:delText>i</w:delText>
        </w:r>
      </w:del>
      <w:del w:id="2059" w:author="AbbVie14" w:date="2025-05-09T10:29:00Z">
        <w:r w:rsidRPr="00295E71">
          <w:rPr>
            <w:lang w:val="it-IT"/>
          </w:rPr>
          <w:delText xml:space="preserve"> o ugual</w:delText>
        </w:r>
      </w:del>
      <w:del w:id="2060" w:author="AbbVie14" w:date="2025-05-09T10:29:00Z">
        <w:r w:rsidR="00BE49F5">
          <w:rPr>
            <w:lang w:val="it-IT"/>
          </w:rPr>
          <w:delText>i</w:delText>
        </w:r>
      </w:del>
      <w:del w:id="2061" w:author="AbbVie14" w:date="2025-05-09T10:29:00Z">
        <w:r w:rsidRPr="00295E71">
          <w:rPr>
            <w:lang w:val="it-IT"/>
          </w:rPr>
          <w:delText xml:space="preserve"> a tre volte il limite superiore di normalitànel 2,6% (5/192) d</w:delText>
        </w:r>
      </w:del>
      <w:del w:id="2062" w:author="AbbVie14" w:date="2025-05-09T10:29:00Z">
        <w:r w:rsidR="00BE49F5">
          <w:rPr>
            <w:lang w:val="it-IT"/>
          </w:rPr>
          <w:delText>e</w:delText>
        </w:r>
      </w:del>
      <w:del w:id="2063" w:author="AbbVie14" w:date="2025-05-09T10:29:00Z">
        <w:r w:rsidRPr="00295E71">
          <w:rPr>
            <w:lang w:val="it-IT"/>
          </w:rPr>
          <w:delText>i pazienti</w:delText>
        </w:r>
      </w:del>
      <w:del w:id="2064" w:author="AbbVie14" w:date="2025-05-09T10:29:00Z">
        <w:r w:rsidR="00BE49F5">
          <w:rPr>
            <w:lang w:val="it-IT"/>
          </w:rPr>
          <w:delText>,</w:delText>
        </w:r>
      </w:del>
      <w:del w:id="2065" w:author="AbbVie14" w:date="2025-05-09T10:29:00Z">
        <w:r w:rsidRPr="00295E71">
          <w:rPr>
            <w:lang w:val="it-IT"/>
          </w:rPr>
          <w:delText xml:space="preserve"> </w:delText>
        </w:r>
      </w:del>
      <w:del w:id="2066" w:author="AbbVie14" w:date="2025-05-09T10:29:00Z">
        <w:r w:rsidRPr="00020442" w:rsidR="00BE49F5">
          <w:rPr>
            <w:lang w:val="it-IT"/>
          </w:rPr>
          <w:delText>di cui 4 ricevevano un</w:delText>
        </w:r>
      </w:del>
      <w:del w:id="2067" w:author="AbbVie14" w:date="2025-05-09T10:29:00Z">
        <w:r w:rsidRPr="00295E71">
          <w:rPr>
            <w:lang w:val="it-IT"/>
          </w:rPr>
          <w:delText xml:space="preserve"> trattamento concomitante con immunosoppressori </w:delText>
        </w:r>
      </w:del>
      <w:del w:id="2068" w:author="AbbVie14" w:date="2025-05-09T10:29:00Z">
        <w:r w:rsidR="00BE49F5">
          <w:rPr>
            <w:lang w:val="it-IT"/>
          </w:rPr>
          <w:delText xml:space="preserve">al </w:delText>
        </w:r>
      </w:del>
      <w:del w:id="2069" w:author="AbbVie14" w:date="2025-05-09T10:29:00Z">
        <w:r w:rsidRPr="00295E71">
          <w:rPr>
            <w:lang w:val="it-IT"/>
          </w:rPr>
          <w:delText>basal</w:delText>
        </w:r>
      </w:del>
      <w:del w:id="2070" w:author="AbbVie14" w:date="2025-05-09T10:29:00Z">
        <w:r w:rsidR="00BE49F5">
          <w:rPr>
            <w:lang w:val="it-IT"/>
          </w:rPr>
          <w:delText>e</w:delText>
        </w:r>
      </w:del>
      <w:del w:id="2071" w:author="AbbVie14" w:date="2025-05-09T10:29:00Z">
        <w:r w:rsidRPr="00295E71">
          <w:rPr>
            <w:lang w:val="it-IT"/>
          </w:rPr>
          <w:delText xml:space="preserve">. </w:delText>
        </w:r>
      </w:del>
    </w:p>
    <w:p w:rsidR="006224C2" w:rsidRPr="00295E71" w14:paraId="1CFB1983" w14:textId="77777777">
      <w:pPr>
        <w:tabs>
          <w:tab w:val="left" w:pos="180"/>
          <w:tab w:val="left" w:pos="360"/>
        </w:tabs>
        <w:jc w:val="both"/>
        <w:rPr>
          <w:del w:id="2072" w:author="AbbVie14" w:date="2025-05-09T10:29:00Z"/>
          <w:sz w:val="22"/>
          <w:szCs w:val="22"/>
        </w:rPr>
      </w:pPr>
    </w:p>
    <w:p w:rsidR="006224C2" w:rsidRPr="00295E71" w14:paraId="680E79F3" w14:textId="77777777">
      <w:pPr>
        <w:pStyle w:val="EMEANormal"/>
        <w:jc w:val="both"/>
        <w:rPr>
          <w:del w:id="2073" w:author="AbbVie14" w:date="2025-05-09T10:29:00Z"/>
          <w:lang w:val="it-IT"/>
        </w:rPr>
      </w:pPr>
      <w:del w:id="2074" w:author="AbbVie14" w:date="2025-05-09T10:29:00Z">
        <w:r w:rsidRPr="00295E71">
          <w:rPr>
            <w:iCs/>
            <w:lang w:val="it-IT"/>
          </w:rPr>
          <w:delText>Negli</w:delText>
        </w:r>
      </w:del>
      <w:del w:id="2075" w:author="AbbVie14" w:date="2025-05-09T10:29:00Z">
        <w:r w:rsidRPr="00295E71">
          <w:rPr>
            <w:lang w:val="it-IT"/>
          </w:rPr>
          <w:delText xml:space="preserve"> studi clinici controllati di Fase 3 di Humira in pazienti con </w:delText>
        </w:r>
      </w:del>
      <w:del w:id="2076" w:author="AbbVie14" w:date="2025-05-09T10:29:00Z">
        <w:r w:rsidRPr="00295E71" w:rsidR="001D1CEA">
          <w:rPr>
            <w:lang w:val="it-IT"/>
          </w:rPr>
          <w:delText>p</w:delText>
        </w:r>
      </w:del>
      <w:del w:id="2077" w:author="AbbVie14" w:date="2025-05-09T10:29:00Z">
        <w:r w:rsidRPr="00295E71">
          <w:rPr>
            <w:lang w:val="it-IT"/>
          </w:rPr>
          <w:delText>soriasi a placche con una durata del periodo di controllo che va da 12 a 24 settimane, aumenti delle transaminasi ALT superiori o uguali a tre volte il limite superiore di normalità si sono verificati nell’1</w:delText>
        </w:r>
      </w:del>
      <w:del w:id="2078" w:author="AbbVie14" w:date="2025-05-09T10:29:00Z">
        <w:r w:rsidR="00BE49F5">
          <w:rPr>
            <w:lang w:val="it-IT"/>
          </w:rPr>
          <w:delText>,</w:delText>
        </w:r>
      </w:del>
      <w:del w:id="2079" w:author="AbbVie14" w:date="2025-05-09T10:29:00Z">
        <w:r w:rsidRPr="00295E71">
          <w:rPr>
            <w:lang w:val="it-IT"/>
          </w:rPr>
          <w:delText>8% dei pazienti trattati con Humira e nell’1</w:delText>
        </w:r>
      </w:del>
      <w:del w:id="2080" w:author="AbbVie14" w:date="2025-05-09T10:29:00Z">
        <w:r w:rsidR="00BE49F5">
          <w:rPr>
            <w:lang w:val="it-IT"/>
          </w:rPr>
          <w:delText>,</w:delText>
        </w:r>
      </w:del>
      <w:del w:id="2081" w:author="AbbVie14" w:date="2025-05-09T10:29:00Z">
        <w:r w:rsidRPr="00295E71">
          <w:rPr>
            <w:lang w:val="it-IT"/>
          </w:rPr>
          <w:delText>8% dei pazienti trattati con il controllo.</w:delText>
        </w:r>
      </w:del>
    </w:p>
    <w:p w:rsidR="006224C2" w:rsidRPr="00295E71" w14:paraId="0E69446F" w14:textId="77777777">
      <w:pPr>
        <w:pStyle w:val="EMEANormal"/>
        <w:jc w:val="both"/>
        <w:rPr>
          <w:del w:id="2082" w:author="AbbVie14" w:date="2025-05-09T10:29:00Z"/>
          <w:lang w:val="it-IT"/>
        </w:rPr>
      </w:pPr>
    </w:p>
    <w:p w:rsidR="006224C2" w:rsidRPr="00295E71" w14:paraId="7773120A" w14:textId="77777777">
      <w:pPr>
        <w:pStyle w:val="EMEANormal"/>
        <w:jc w:val="both"/>
        <w:rPr>
          <w:del w:id="2083" w:author="AbbVie14" w:date="2025-05-09T10:29:00Z"/>
          <w:lang w:val="it-IT"/>
        </w:rPr>
      </w:pPr>
      <w:del w:id="2084" w:author="AbbVie14" w:date="2025-05-09T10:29:00Z">
        <w:r w:rsidRPr="00295E71">
          <w:rPr>
            <w:lang w:val="it-IT"/>
          </w:rPr>
          <w:delText>Nello studio di fase 3 di Humira in pazienti pediatrici con psoriasi a placche non si è verificato alcun aumento dei livelli di ALT superiore o uguale a tre volte il limite superiore di normalità.</w:delText>
        </w:r>
      </w:del>
    </w:p>
    <w:p w:rsidR="006224C2" w:rsidRPr="00295E71" w14:paraId="148800EC" w14:textId="77777777">
      <w:pPr>
        <w:pStyle w:val="EMEANormal"/>
        <w:jc w:val="both"/>
        <w:rPr>
          <w:del w:id="2085" w:author="AbbVie14" w:date="2025-05-09T10:29:00Z"/>
          <w:lang w:val="it-IT"/>
        </w:rPr>
      </w:pPr>
    </w:p>
    <w:p w:rsidR="006224C2" w14:paraId="409817CE" w14:textId="77777777">
      <w:pPr>
        <w:pStyle w:val="EMEANormal"/>
        <w:jc w:val="both"/>
        <w:rPr>
          <w:del w:id="2086" w:author="AbbVie14" w:date="2025-05-09T10:29:00Z"/>
          <w:lang w:val="it-IT"/>
        </w:rPr>
      </w:pPr>
      <w:del w:id="2087" w:author="AbbVie14" w:date="2025-05-09T10:29:00Z">
        <w:r w:rsidRPr="00295E71">
          <w:rPr>
            <w:lang w:val="it-IT"/>
          </w:rPr>
          <w:delText>Negli studi clinici controllati di Humira (dosi iniziali di 160 mg alla settimana 0 e 80 mg alla settimana 2, seguiti da 40 mg ogni settimana a partire dalla settimana 4) in pazienti con idrosadenite suppurativa, con una durata del periodo di controllo tra 12 e 16 settimane, aumenti dei livelli di ALT superiori o uguali a tre volte il limite superiore di normalità si sono verificati nello 0</w:delText>
        </w:r>
      </w:del>
      <w:del w:id="2088" w:author="AbbVie14" w:date="2025-05-09T10:29:00Z">
        <w:r w:rsidR="00BE49F5">
          <w:rPr>
            <w:lang w:val="it-IT"/>
          </w:rPr>
          <w:delText>,</w:delText>
        </w:r>
      </w:del>
      <w:del w:id="2089" w:author="AbbVie14" w:date="2025-05-09T10:29:00Z">
        <w:r w:rsidRPr="00295E71">
          <w:rPr>
            <w:lang w:val="it-IT"/>
          </w:rPr>
          <w:delText>3% dei pazienti trattati con Humira e nello 0</w:delText>
        </w:r>
      </w:del>
      <w:del w:id="2090" w:author="AbbVie14" w:date="2025-05-09T10:29:00Z">
        <w:r w:rsidR="00BE49F5">
          <w:rPr>
            <w:lang w:val="it-IT"/>
          </w:rPr>
          <w:delText>,</w:delText>
        </w:r>
      </w:del>
      <w:del w:id="2091" w:author="AbbVie14" w:date="2025-05-09T10:29:00Z">
        <w:r w:rsidRPr="00295E71">
          <w:rPr>
            <w:lang w:val="it-IT"/>
          </w:rPr>
          <w:delText xml:space="preserve">6% dei pazienti trattati con il controllo.  </w:delText>
        </w:r>
      </w:del>
    </w:p>
    <w:p w:rsidR="00BE49F5" w:rsidRPr="00295E71" w14:paraId="25D60AE9" w14:textId="77777777">
      <w:pPr>
        <w:pStyle w:val="EMEANormal"/>
        <w:jc w:val="both"/>
        <w:rPr>
          <w:del w:id="2092" w:author="AbbVie14" w:date="2025-05-09T10:29:00Z"/>
          <w:lang w:val="it-IT"/>
        </w:rPr>
      </w:pPr>
    </w:p>
    <w:p w:rsidR="001D1CEA" w:rsidRPr="00295E71" w:rsidP="001D1CEA" w14:paraId="1F6D54A7" w14:textId="77777777">
      <w:pPr>
        <w:pStyle w:val="EMEANormal"/>
        <w:jc w:val="both"/>
        <w:rPr>
          <w:del w:id="2093" w:author="AbbVie14" w:date="2025-05-09T10:29:00Z"/>
          <w:lang w:val="it-IT"/>
        </w:rPr>
      </w:pPr>
      <w:del w:id="2094" w:author="AbbVie14" w:date="2025-05-09T10:29:00Z">
        <w:r w:rsidRPr="00295E71">
          <w:rPr>
            <w:lang w:val="it-IT"/>
          </w:rPr>
          <w:delText>Negli studi clinici controllati di Humira (dosi iniziali di 80 mg alla settimana 0 seguiti da 40 mg a settimane alterne a partire dalla settimana 1) in pazienti adulti con uveite fino a 80 settimane con un’esposizione mediana rispettivamente di 166,5 giorni nei pazienti trattati con Humira e di 105,0 giorni nei pazienti trattati con il controllo, aumenti dei livelli di ALT superiori o uguali a tre volte il limite superiore di normalità ULN si sono verificati nel 2,4% dei pazienti trattati con Humira e nel 2,4% dei pazienti trattati con il controllo.</w:delText>
        </w:r>
      </w:del>
    </w:p>
    <w:p w:rsidR="006224C2" w:rsidRPr="00295E71" w14:paraId="40555380" w14:textId="77777777">
      <w:pPr>
        <w:pStyle w:val="EMEANormal"/>
        <w:jc w:val="both"/>
        <w:rPr>
          <w:del w:id="2095" w:author="AbbVie14" w:date="2025-05-09T10:29:00Z"/>
          <w:lang w:val="it-IT"/>
        </w:rPr>
      </w:pPr>
    </w:p>
    <w:p w:rsidR="00580D20" w:rsidP="00580D20" w14:paraId="24711E42" w14:textId="77777777">
      <w:pPr>
        <w:pStyle w:val="EMEANormal"/>
        <w:jc w:val="both"/>
        <w:rPr>
          <w:del w:id="2096" w:author="AbbVie14" w:date="2025-05-09T10:29:00Z"/>
          <w:lang w:val="it-IT"/>
        </w:rPr>
      </w:pPr>
      <w:del w:id="2097" w:author="AbbVie14" w:date="2025-05-09T10:29:00Z">
        <w:r>
          <w:rPr>
            <w:lang w:val="it-IT"/>
          </w:rPr>
          <w:delText>Uno</w:delText>
        </w:r>
      </w:del>
      <w:del w:id="2098" w:author="AbbVie14" w:date="2025-05-09T10:29:00Z">
        <w:r w:rsidRPr="000203FD">
          <w:rPr>
            <w:lang w:val="it-IT"/>
          </w:rPr>
          <w:delText xml:space="preserve"> studio controllato di fase 3 </w:delText>
        </w:r>
      </w:del>
      <w:del w:id="2099" w:author="AbbVie14" w:date="2025-05-09T10:29:00Z">
        <w:r>
          <w:rPr>
            <w:lang w:val="it-IT"/>
          </w:rPr>
          <w:delText>su</w:delText>
        </w:r>
      </w:del>
      <w:del w:id="2100" w:author="AbbVie14" w:date="2025-05-09T10:29:00Z">
        <w:r w:rsidRPr="000203FD">
          <w:rPr>
            <w:lang w:val="it-IT"/>
          </w:rPr>
          <w:delText xml:space="preserve"> Humira in pazienti </w:delText>
        </w:r>
      </w:del>
      <w:del w:id="2101" w:author="AbbVie14" w:date="2025-05-09T10:29:00Z">
        <w:r>
          <w:rPr>
            <w:lang w:val="it-IT"/>
          </w:rPr>
          <w:delText>affetti da</w:delText>
        </w:r>
      </w:del>
      <w:del w:id="2102" w:author="AbbVie14" w:date="2025-05-09T10:29:00Z">
        <w:r w:rsidRPr="000203FD">
          <w:rPr>
            <w:lang w:val="it-IT"/>
          </w:rPr>
          <w:delText xml:space="preserve"> colite ulcerosa pediatrica (N=93) ha valutato l'efficacia e la sicurezza di una dose di induzione aggiust</w:delText>
        </w:r>
      </w:del>
      <w:del w:id="2103" w:author="AbbVie14" w:date="2025-05-09T10:29:00Z">
        <w:r>
          <w:rPr>
            <w:lang w:val="it-IT"/>
          </w:rPr>
          <w:delText>ata per il peso corporeo di 2,4 </w:delText>
        </w:r>
      </w:del>
      <w:del w:id="2104" w:author="AbbVie14" w:date="2025-05-09T10:29:00Z">
        <w:r w:rsidRPr="000203FD">
          <w:rPr>
            <w:lang w:val="it-IT"/>
          </w:rPr>
          <w:delText>mg/kg (massimo 160 mg) alla Settimana</w:delText>
        </w:r>
      </w:del>
      <w:del w:id="2105" w:author="AbbVie14" w:date="2025-05-09T10:29:00Z">
        <w:r>
          <w:rPr>
            <w:lang w:val="it-IT"/>
          </w:rPr>
          <w:delText xml:space="preserve"> 0 e alla Settimana 1 e di 1,2 mg/kg (massimo 80 </w:delText>
        </w:r>
      </w:del>
      <w:del w:id="2106" w:author="AbbVie14" w:date="2025-05-09T10:29:00Z">
        <w:r w:rsidRPr="000203FD">
          <w:rPr>
            <w:lang w:val="it-IT"/>
          </w:rPr>
          <w:delText>mg) alla Settimana 2 (N=63), o</w:delText>
        </w:r>
      </w:del>
      <w:del w:id="2107" w:author="AbbVie14" w:date="2025-05-09T10:29:00Z">
        <w:r>
          <w:rPr>
            <w:lang w:val="it-IT"/>
          </w:rPr>
          <w:delText>ppure</w:delText>
        </w:r>
      </w:del>
      <w:del w:id="2108" w:author="AbbVie14" w:date="2025-05-09T10:29:00Z">
        <w:r w:rsidRPr="000203FD">
          <w:rPr>
            <w:lang w:val="it-IT"/>
          </w:rPr>
          <w:delText xml:space="preserve"> </w:delText>
        </w:r>
      </w:del>
      <w:del w:id="2109" w:author="AbbVie14" w:date="2025-05-09T10:29:00Z">
        <w:r>
          <w:rPr>
            <w:lang w:val="it-IT"/>
          </w:rPr>
          <w:delText>di una dose di induzione di 2,4 mg/kg (massimo 160 </w:delText>
        </w:r>
      </w:del>
      <w:del w:id="2110" w:author="AbbVie14" w:date="2025-05-09T10:29:00Z">
        <w:r w:rsidRPr="000203FD">
          <w:rPr>
            <w:lang w:val="it-IT"/>
          </w:rPr>
          <w:delText>mg) alla Settimana 0, placebo alla Setti</w:delText>
        </w:r>
      </w:del>
      <w:del w:id="2111" w:author="AbbVie14" w:date="2025-05-09T10:29:00Z">
        <w:r>
          <w:rPr>
            <w:lang w:val="it-IT"/>
          </w:rPr>
          <w:delText>mana 1, e 1,2 mg/kg (massimo 80 </w:delText>
        </w:r>
      </w:del>
      <w:del w:id="2112" w:author="AbbVie14" w:date="2025-05-09T10:29:00Z">
        <w:r w:rsidRPr="000203FD">
          <w:rPr>
            <w:lang w:val="it-IT"/>
          </w:rPr>
          <w:delText>mg) alla Settimana 2 (N=30)</w:delText>
        </w:r>
      </w:del>
      <w:del w:id="2113" w:author="AbbVie14" w:date="2025-05-09T10:29:00Z">
        <w:r>
          <w:rPr>
            <w:lang w:val="it-IT"/>
          </w:rPr>
          <w:delText xml:space="preserve"> e, a seguire, di una dose di mantenimento di 0,6 mg/kg (massimo 40 </w:delText>
        </w:r>
      </w:del>
      <w:del w:id="2114" w:author="AbbVie14" w:date="2025-05-09T10:29:00Z">
        <w:r w:rsidRPr="000203FD">
          <w:rPr>
            <w:lang w:val="it-IT"/>
          </w:rPr>
          <w:delText xml:space="preserve">mg) a settimane alterne (N=31) </w:delText>
        </w:r>
      </w:del>
      <w:del w:id="2115" w:author="AbbVie14" w:date="2025-05-09T10:29:00Z">
        <w:r>
          <w:rPr>
            <w:lang w:val="it-IT"/>
          </w:rPr>
          <w:delText>o</w:delText>
        </w:r>
      </w:del>
      <w:del w:id="2116" w:author="AbbVie14" w:date="2025-05-09T10:29:00Z">
        <w:r w:rsidRPr="000203FD">
          <w:rPr>
            <w:lang w:val="it-IT"/>
          </w:rPr>
          <w:delText xml:space="preserve"> di una dose di m</w:delText>
        </w:r>
      </w:del>
      <w:del w:id="2117" w:author="AbbVie14" w:date="2025-05-09T10:29:00Z">
        <w:r>
          <w:rPr>
            <w:lang w:val="it-IT"/>
          </w:rPr>
          <w:delText>antenimento di 0,6 </w:delText>
        </w:r>
      </w:del>
      <w:del w:id="2118" w:author="AbbVie14" w:date="2025-05-09T10:29:00Z">
        <w:r w:rsidRPr="000203FD">
          <w:rPr>
            <w:lang w:val="it-IT"/>
          </w:rPr>
          <w:delText>mg/kg (massimo 40 mg) ogni settimana (N=32)</w:delText>
        </w:r>
      </w:del>
      <w:del w:id="2119" w:author="AbbVie14" w:date="2025-05-09T10:29:00Z">
        <w:r>
          <w:rPr>
            <w:lang w:val="it-IT"/>
          </w:rPr>
          <w:delText>.</w:delText>
        </w:r>
      </w:del>
      <w:del w:id="2120" w:author="AbbVie14" w:date="2025-05-09T10:29:00Z">
        <w:r w:rsidRPr="000203FD">
          <w:rPr>
            <w:lang w:val="it-IT"/>
          </w:rPr>
          <w:delText xml:space="preserve"> </w:delText>
        </w:r>
      </w:del>
      <w:del w:id="2121" w:author="AbbVie14" w:date="2025-05-09T10:29:00Z">
        <w:r>
          <w:rPr>
            <w:lang w:val="it-IT"/>
          </w:rPr>
          <w:delText xml:space="preserve">In tale studio </w:delText>
        </w:r>
      </w:del>
      <w:del w:id="2122" w:author="AbbVie14" w:date="2025-05-09T10:29:00Z">
        <w:r w:rsidRPr="000203FD">
          <w:rPr>
            <w:lang w:val="it-IT"/>
          </w:rPr>
          <w:delText xml:space="preserve">sono stati riscontrati aumenti delle ALT ≥ 3 </w:delText>
        </w:r>
      </w:del>
      <w:del w:id="2123" w:author="AbbVie14" w:date="2025-05-09T10:29:00Z">
        <w:r>
          <w:rPr>
            <w:lang w:val="it-IT"/>
          </w:rPr>
          <w:delText>volte il limite superiore di normalità</w:delText>
        </w:r>
      </w:del>
      <w:del w:id="2124" w:author="AbbVie14" w:date="2025-05-09T10:29:00Z">
        <w:r w:rsidRPr="000203FD">
          <w:rPr>
            <w:lang w:val="it-IT"/>
          </w:rPr>
          <w:delText xml:space="preserve"> </w:delText>
        </w:r>
      </w:del>
      <w:del w:id="2125" w:author="AbbVie14" w:date="2025-05-09T10:29:00Z">
        <w:r>
          <w:rPr>
            <w:lang w:val="it-IT"/>
          </w:rPr>
          <w:delText>(</w:delText>
        </w:r>
      </w:del>
      <w:del w:id="2126" w:author="AbbVie14" w:date="2025-05-09T10:29:00Z">
        <w:r w:rsidRPr="000203FD">
          <w:rPr>
            <w:lang w:val="it-IT"/>
          </w:rPr>
          <w:delText>ULN</w:delText>
        </w:r>
      </w:del>
      <w:del w:id="2127" w:author="AbbVie14" w:date="2025-05-09T10:29:00Z">
        <w:r>
          <w:rPr>
            <w:lang w:val="it-IT"/>
          </w:rPr>
          <w:delText>)</w:delText>
        </w:r>
      </w:del>
      <w:del w:id="2128" w:author="AbbVie14" w:date="2025-05-09T10:29:00Z">
        <w:r w:rsidRPr="000203FD">
          <w:rPr>
            <w:lang w:val="it-IT"/>
          </w:rPr>
          <w:delText xml:space="preserve"> nell'1,1% (1/93) dei pazienti.</w:delText>
        </w:r>
      </w:del>
    </w:p>
    <w:p w:rsidR="000203FD" w14:paraId="22A28BC4" w14:textId="77777777">
      <w:pPr>
        <w:pStyle w:val="EMEANormal"/>
        <w:jc w:val="both"/>
        <w:rPr>
          <w:del w:id="2129" w:author="AbbVie14" w:date="2025-05-09T10:29:00Z"/>
          <w:lang w:val="it-IT"/>
        </w:rPr>
      </w:pPr>
    </w:p>
    <w:p w:rsidR="006224C2" w:rsidRPr="00295E71" w14:paraId="50D8A41C" w14:textId="77777777">
      <w:pPr>
        <w:pStyle w:val="EMEANormal"/>
        <w:jc w:val="both"/>
        <w:rPr>
          <w:del w:id="2130" w:author="AbbVie14" w:date="2025-05-09T10:29:00Z"/>
          <w:lang w:val="it-IT"/>
        </w:rPr>
      </w:pPr>
      <w:del w:id="2131" w:author="AbbVie14" w:date="2025-05-09T10:29:00Z">
        <w:r w:rsidRPr="00295E71">
          <w:rPr>
            <w:lang w:val="it-IT"/>
          </w:rPr>
          <w:delText xml:space="preserve">Negli studi clinici, in tutte le indicazioni, i pazienti con livelli aumentati di transaminasi </w:delText>
        </w:r>
      </w:del>
      <w:del w:id="2132" w:author="AbbVie14" w:date="2025-05-09T10:29:00Z">
        <w:r w:rsidR="00BE49F5">
          <w:rPr>
            <w:lang w:val="it-IT"/>
          </w:rPr>
          <w:delText xml:space="preserve">ALT </w:delText>
        </w:r>
      </w:del>
      <w:del w:id="2133" w:author="AbbVie14" w:date="2025-05-09T10:29:00Z">
        <w:r w:rsidRPr="00295E71">
          <w:rPr>
            <w:lang w:val="it-IT"/>
          </w:rPr>
          <w:delText>erano asintomatici e nella maggior parte dei casi gli innalzamenti erano transitori e si sono risolti nel corso del trattamento. Tuttavia,</w:delText>
        </w:r>
      </w:del>
      <w:del w:id="2134" w:author="AbbVie14" w:date="2025-05-09T10:29:00Z">
        <w:r w:rsidR="00BE49F5">
          <w:rPr>
            <w:lang w:val="it-IT"/>
          </w:rPr>
          <w:delText xml:space="preserve"> </w:delText>
        </w:r>
      </w:del>
      <w:del w:id="2135" w:author="AbbVie14" w:date="2025-05-09T10:29:00Z">
        <w:r w:rsidRPr="00295E71">
          <w:rPr>
            <w:lang w:val="it-IT"/>
          </w:rPr>
          <w:delText>in pazienti trattati con adalimumab sono stati riportati anche casi post-marketing di insufficienza epatica come pure di disordini epatici meno gravi che possono precedere l’insufficienza epatica, come l’epatite</w:delText>
        </w:r>
      </w:del>
      <w:del w:id="2136" w:author="AbbVie14" w:date="2025-05-09T10:29:00Z">
        <w:r w:rsidR="00BE49F5">
          <w:rPr>
            <w:lang w:val="it-IT"/>
          </w:rPr>
          <w:delText>,</w:delText>
        </w:r>
      </w:del>
      <w:del w:id="2137" w:author="AbbVie14" w:date="2025-05-09T10:29:00Z">
        <w:r w:rsidRPr="00295E71">
          <w:rPr>
            <w:lang w:val="it-IT"/>
          </w:rPr>
          <w:delText xml:space="preserve"> inclusa l’epatite autoimmune.</w:delText>
        </w:r>
      </w:del>
    </w:p>
    <w:p w:rsidR="006224C2" w:rsidRPr="00295E71" w14:paraId="221CB212" w14:textId="77777777">
      <w:pPr>
        <w:rPr>
          <w:del w:id="2138" w:author="AbbVie14" w:date="2025-05-09T10:29:00Z"/>
          <w:sz w:val="22"/>
          <w:szCs w:val="22"/>
          <w:u w:val="single"/>
        </w:rPr>
      </w:pPr>
    </w:p>
    <w:p w:rsidR="006224C2" w:rsidRPr="00295E71" w14:paraId="41E82598" w14:textId="77777777">
      <w:pPr>
        <w:tabs>
          <w:tab w:val="left" w:pos="0"/>
        </w:tabs>
        <w:jc w:val="both"/>
        <w:rPr>
          <w:del w:id="2139" w:author="AbbVie14" w:date="2025-05-09T10:29:00Z"/>
          <w:sz w:val="22"/>
          <w:szCs w:val="22"/>
          <w:u w:val="single"/>
        </w:rPr>
      </w:pPr>
      <w:del w:id="2140" w:author="AbbVie14" w:date="2025-05-09T10:29:00Z">
        <w:r w:rsidRPr="00295E71">
          <w:rPr>
            <w:sz w:val="22"/>
            <w:szCs w:val="22"/>
            <w:u w:val="single"/>
          </w:rPr>
          <w:delText>Trattamento concomitante con azatioprina/6</w:delText>
        </w:r>
      </w:del>
      <w:del w:id="2141" w:author="AbbVie14" w:date="2025-05-09T10:29:00Z">
        <w:r w:rsidRPr="00295E71">
          <w:rPr>
            <w:sz w:val="22"/>
            <w:szCs w:val="22"/>
            <w:u w:val="single"/>
          </w:rPr>
          <w:noBreakHyphen/>
          <w:delText>mercaptopurina</w:delText>
        </w:r>
      </w:del>
    </w:p>
    <w:p w:rsidR="006224C2" w:rsidRPr="00295E71" w14:paraId="01F715E2" w14:textId="77777777">
      <w:pPr>
        <w:tabs>
          <w:tab w:val="left" w:pos="0"/>
        </w:tabs>
        <w:jc w:val="both"/>
        <w:rPr>
          <w:del w:id="2142" w:author="AbbVie14" w:date="2025-05-09T10:29:00Z"/>
          <w:sz w:val="22"/>
          <w:szCs w:val="22"/>
        </w:rPr>
      </w:pPr>
    </w:p>
    <w:p w:rsidR="006224C2" w:rsidRPr="00295E71" w14:paraId="7F0F3486" w14:textId="77777777">
      <w:pPr>
        <w:tabs>
          <w:tab w:val="left" w:pos="0"/>
        </w:tabs>
        <w:jc w:val="both"/>
        <w:rPr>
          <w:del w:id="2143" w:author="AbbVie14" w:date="2025-05-09T10:29:00Z"/>
          <w:sz w:val="22"/>
          <w:szCs w:val="22"/>
        </w:rPr>
      </w:pPr>
      <w:del w:id="2144" w:author="AbbVie14" w:date="2025-05-09T10:29:00Z">
        <w:r w:rsidRPr="00295E71">
          <w:rPr>
            <w:sz w:val="22"/>
            <w:szCs w:val="22"/>
          </w:rPr>
          <w:delText>Negli studi sulla malattia di Crohn negli adulti, con la combinazione di Humira e azatioprina/6</w:delText>
        </w:r>
      </w:del>
      <w:del w:id="2145" w:author="AbbVie14" w:date="2025-05-09T10:29:00Z">
        <w:r w:rsidRPr="00295E71">
          <w:rPr>
            <w:sz w:val="22"/>
            <w:szCs w:val="22"/>
          </w:rPr>
          <w:noBreakHyphen/>
          <w:delText>mercaptopurina sono state osservate incidenze più elevate di eventi avversi correlati a infezioni</w:delText>
        </w:r>
      </w:del>
      <w:del w:id="2146" w:author="AbbVie14" w:date="2025-05-09T10:29:00Z">
        <w:r w:rsidR="00BE49F5">
          <w:rPr>
            <w:sz w:val="22"/>
            <w:szCs w:val="22"/>
          </w:rPr>
          <w:delText xml:space="preserve"> </w:delText>
        </w:r>
      </w:del>
      <w:del w:id="2147" w:author="AbbVie14" w:date="2025-05-09T10:29:00Z">
        <w:r w:rsidRPr="00295E71">
          <w:rPr>
            <w:sz w:val="22"/>
            <w:szCs w:val="22"/>
          </w:rPr>
          <w:delText>gravi e a tumori maligni rispetto a Humira da solo.</w:delText>
        </w:r>
      </w:del>
    </w:p>
    <w:p w:rsidR="006224C2" w:rsidRPr="00295E71" w14:paraId="055EE615" w14:textId="77777777">
      <w:pPr>
        <w:tabs>
          <w:tab w:val="left" w:pos="0"/>
        </w:tabs>
        <w:jc w:val="both"/>
        <w:rPr>
          <w:del w:id="2148" w:author="AbbVie14" w:date="2025-05-09T10:29:00Z"/>
          <w:sz w:val="22"/>
          <w:szCs w:val="22"/>
          <w:u w:val="single"/>
        </w:rPr>
      </w:pPr>
    </w:p>
    <w:p w:rsidR="006224C2" w:rsidRPr="00295E71" w14:paraId="24AD5F50" w14:textId="77777777">
      <w:pPr>
        <w:tabs>
          <w:tab w:val="left" w:pos="0"/>
        </w:tabs>
        <w:jc w:val="both"/>
        <w:rPr>
          <w:del w:id="2149" w:author="AbbVie14" w:date="2025-05-09T10:29:00Z"/>
          <w:sz w:val="22"/>
          <w:szCs w:val="22"/>
          <w:u w:val="single"/>
        </w:rPr>
      </w:pPr>
      <w:del w:id="2150" w:author="AbbVie14" w:date="2025-05-09T10:29:00Z">
        <w:r w:rsidRPr="00295E71">
          <w:rPr>
            <w:sz w:val="22"/>
            <w:szCs w:val="22"/>
            <w:u w:val="single"/>
          </w:rPr>
          <w:delText>Segnalazione delle reazioni avverse sospette</w:delText>
        </w:r>
      </w:del>
    </w:p>
    <w:p w:rsidR="006224C2" w:rsidRPr="00295E71" w14:paraId="2A2E55EF" w14:textId="77777777">
      <w:pPr>
        <w:tabs>
          <w:tab w:val="left" w:pos="0"/>
        </w:tabs>
        <w:jc w:val="both"/>
        <w:rPr>
          <w:del w:id="2151" w:author="AbbVie14" w:date="2025-05-09T10:29:00Z"/>
          <w:sz w:val="22"/>
          <w:szCs w:val="22"/>
        </w:rPr>
      </w:pPr>
      <w:del w:id="2152" w:author="AbbVie14" w:date="2025-05-09T10:29:00Z">
        <w:r w:rsidRPr="00295E71">
          <w:rPr>
            <w:sz w:val="22"/>
            <w:szCs w:val="22"/>
          </w:rPr>
          <w:delText>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w:delText>
        </w:r>
      </w:del>
      <w:del w:id="2153" w:author="AbbVie14" w:date="2025-05-09T10:29:00Z">
        <w:r w:rsidRPr="00295E71" w:rsidR="005B4084">
          <w:rPr>
            <w:sz w:val="22"/>
            <w:szCs w:val="22"/>
          </w:rPr>
          <w:delText xml:space="preserve"> </w:delText>
        </w:r>
      </w:del>
      <w:del w:id="2154" w:author="AbbVie14" w:date="2025-05-09T10:29:00Z">
        <w:r w:rsidRPr="00295E71">
          <w:rPr>
            <w:sz w:val="22"/>
            <w:szCs w:val="22"/>
          </w:rPr>
          <w:delText xml:space="preserve">il </w:delText>
        </w:r>
      </w:del>
      <w:del w:id="2155" w:author="AbbVie14" w:date="2025-05-09T10:29:00Z">
        <w:r w:rsidRPr="00295E71">
          <w:rPr>
            <w:sz w:val="22"/>
            <w:szCs w:val="22"/>
            <w:highlight w:val="lightGray"/>
          </w:rPr>
          <w:delText>sistema nazionale di segnalazione riportato nell’</w:delText>
        </w:r>
      </w:del>
      <w:del w:id="2156" w:author="AbbVie14" w:date="2025-05-09T10:29:00Z">
        <w:r>
          <w:fldChar w:fldCharType="begin"/>
        </w:r>
      </w:del>
      <w:del w:id="2157" w:author="AbbVie14" w:date="2025-05-09T10:29:00Z">
        <w:r>
          <w:delInstrText>HYPERLINK "http://www.ema.europa.eu/docs/en_GB/document_library/Template_or_form/2013/03/WC500139752.doc"</w:delInstrText>
        </w:r>
      </w:del>
      <w:del w:id="2158" w:author="AbbVie14" w:date="2025-05-09T10:29:00Z">
        <w:r>
          <w:fldChar w:fldCharType="separate"/>
        </w:r>
      </w:del>
      <w:del w:id="2159" w:author="AbbVie14" w:date="2025-05-09T10:29:00Z">
        <w:r w:rsidRPr="00295E71">
          <w:rPr>
            <w:rStyle w:val="Hyperlink"/>
            <w:sz w:val="22"/>
            <w:szCs w:val="22"/>
            <w:highlight w:val="lightGray"/>
          </w:rPr>
          <w:delText>allegato V</w:delText>
        </w:r>
      </w:del>
      <w:del w:id="2160" w:author="AbbVie14" w:date="2025-05-09T10:29:00Z">
        <w:r>
          <w:fldChar w:fldCharType="end"/>
        </w:r>
      </w:del>
      <w:del w:id="2161" w:author="AbbVie14" w:date="2025-05-09T10:29:00Z">
        <w:r w:rsidRPr="00295E71">
          <w:rPr>
            <w:sz w:val="22"/>
            <w:szCs w:val="22"/>
            <w:highlight w:val="lightGray"/>
          </w:rPr>
          <w:delText>.</w:delText>
        </w:r>
      </w:del>
    </w:p>
    <w:p w:rsidR="006224C2" w:rsidRPr="00295E71" w14:paraId="4EA36B72" w14:textId="77777777">
      <w:pPr>
        <w:tabs>
          <w:tab w:val="left" w:pos="0"/>
        </w:tabs>
        <w:jc w:val="both"/>
        <w:rPr>
          <w:del w:id="2162" w:author="AbbVie14" w:date="2025-05-09T10:29:00Z"/>
          <w:sz w:val="22"/>
          <w:szCs w:val="22"/>
        </w:rPr>
      </w:pPr>
    </w:p>
    <w:p w:rsidR="006224C2" w:rsidRPr="00295E71" w:rsidP="00A60A0D" w14:paraId="6E5DC20A" w14:textId="77777777">
      <w:pPr>
        <w:keepNext/>
        <w:tabs>
          <w:tab w:val="left" w:pos="567"/>
        </w:tabs>
        <w:ind w:left="567" w:hanging="567"/>
        <w:jc w:val="both"/>
        <w:rPr>
          <w:del w:id="2163" w:author="AbbVie14" w:date="2025-05-09T10:29:00Z"/>
          <w:b/>
          <w:bCs/>
          <w:sz w:val="22"/>
          <w:szCs w:val="22"/>
        </w:rPr>
      </w:pPr>
      <w:del w:id="2164" w:author="AbbVie14" w:date="2025-05-09T10:29:00Z">
        <w:r w:rsidRPr="00295E71">
          <w:rPr>
            <w:b/>
            <w:bCs/>
            <w:sz w:val="22"/>
            <w:szCs w:val="22"/>
          </w:rPr>
          <w:delText>4.9</w:delText>
        </w:r>
      </w:del>
      <w:del w:id="2165" w:author="AbbVie14" w:date="2025-05-09T10:29:00Z">
        <w:r w:rsidRPr="00295E71">
          <w:rPr>
            <w:b/>
            <w:bCs/>
            <w:sz w:val="22"/>
            <w:szCs w:val="22"/>
          </w:rPr>
          <w:tab/>
          <w:delText>Sovradosaggio</w:delText>
        </w:r>
      </w:del>
    </w:p>
    <w:p w:rsidR="006224C2" w:rsidRPr="00295E71" w:rsidP="00A60A0D" w14:paraId="1DE9DA5E" w14:textId="77777777">
      <w:pPr>
        <w:keepNext/>
        <w:tabs>
          <w:tab w:val="left" w:pos="567"/>
        </w:tabs>
        <w:jc w:val="both"/>
        <w:rPr>
          <w:del w:id="2166" w:author="AbbVie14" w:date="2025-05-09T10:29:00Z"/>
          <w:sz w:val="22"/>
          <w:szCs w:val="22"/>
        </w:rPr>
      </w:pPr>
    </w:p>
    <w:p w:rsidR="006224C2" w:rsidRPr="00295E71" w14:paraId="2F6B0ECF" w14:textId="77777777">
      <w:pPr>
        <w:tabs>
          <w:tab w:val="left" w:pos="567"/>
        </w:tabs>
        <w:jc w:val="both"/>
        <w:rPr>
          <w:del w:id="2167" w:author="AbbVie14" w:date="2025-05-09T10:29:00Z"/>
          <w:color w:val="000000"/>
          <w:sz w:val="22"/>
          <w:szCs w:val="22"/>
        </w:rPr>
      </w:pPr>
      <w:del w:id="2168" w:author="AbbVie14" w:date="2025-05-09T10:29:00Z">
        <w:r w:rsidRPr="00295E71">
          <w:rPr>
            <w:color w:val="000000"/>
            <w:sz w:val="22"/>
            <w:szCs w:val="22"/>
          </w:rPr>
          <w:delText xml:space="preserve">Non è stata osservata tossicità </w:delText>
        </w:r>
      </w:del>
      <w:del w:id="2169" w:author="AbbVie14" w:date="2025-05-09T10:29:00Z">
        <w:r w:rsidR="00BE49F5">
          <w:rPr>
            <w:color w:val="000000"/>
            <w:sz w:val="22"/>
            <w:szCs w:val="22"/>
          </w:rPr>
          <w:delText xml:space="preserve">dose-limitante </w:delText>
        </w:r>
      </w:del>
      <w:del w:id="2170" w:author="AbbVie14" w:date="2025-05-09T10:29:00Z">
        <w:r w:rsidRPr="00295E71">
          <w:rPr>
            <w:color w:val="000000"/>
            <w:sz w:val="22"/>
            <w:szCs w:val="22"/>
          </w:rPr>
          <w:delText>durante gli studi clinici. La dose più elevata valutata</w:delText>
        </w:r>
      </w:del>
      <w:del w:id="2171" w:author="AbbVie14" w:date="2025-05-09T10:29:00Z">
        <w:r w:rsidR="00BE49F5">
          <w:rPr>
            <w:color w:val="000000"/>
            <w:sz w:val="22"/>
            <w:szCs w:val="22"/>
          </w:rPr>
          <w:delText xml:space="preserve"> </w:delText>
        </w:r>
      </w:del>
      <w:del w:id="2172" w:author="AbbVie14" w:date="2025-05-09T10:29:00Z">
        <w:r w:rsidRPr="00295E71">
          <w:rPr>
            <w:color w:val="000000"/>
            <w:sz w:val="22"/>
            <w:szCs w:val="22"/>
          </w:rPr>
          <w:delText>è stata quella</w:delText>
        </w:r>
      </w:del>
      <w:del w:id="2173" w:author="AbbVie14" w:date="2025-05-09T10:29:00Z">
        <w:r w:rsidRPr="00295E71" w:rsidR="007F1EB6">
          <w:rPr>
            <w:color w:val="000000"/>
            <w:sz w:val="22"/>
            <w:szCs w:val="22"/>
          </w:rPr>
          <w:delText xml:space="preserve"> </w:delText>
        </w:r>
      </w:del>
      <w:del w:id="2174" w:author="AbbVie14" w:date="2025-05-09T10:29:00Z">
        <w:r w:rsidRPr="00295E71">
          <w:rPr>
            <w:color w:val="000000"/>
            <w:sz w:val="22"/>
            <w:szCs w:val="22"/>
          </w:rPr>
          <w:delText xml:space="preserve">costituita da dosi multiple di 10 mg/kg per via endovenosa; tale dose risulta equivalente a circa 15 volte la dose raccomandata.  </w:delText>
        </w:r>
      </w:del>
    </w:p>
    <w:p w:rsidR="006224C2" w:rsidRPr="00295E71" w14:paraId="3923D9B1" w14:textId="77777777">
      <w:pPr>
        <w:tabs>
          <w:tab w:val="left" w:pos="567"/>
        </w:tabs>
        <w:jc w:val="both"/>
        <w:rPr>
          <w:del w:id="2175" w:author="AbbVie14" w:date="2025-05-09T10:29:00Z"/>
          <w:color w:val="000000"/>
          <w:sz w:val="22"/>
          <w:szCs w:val="22"/>
        </w:rPr>
      </w:pPr>
    </w:p>
    <w:p w:rsidR="006224C2" w:rsidRPr="00295E71" w14:paraId="2F632183" w14:textId="77777777">
      <w:pPr>
        <w:tabs>
          <w:tab w:val="left" w:pos="567"/>
        </w:tabs>
        <w:jc w:val="both"/>
        <w:rPr>
          <w:del w:id="2176" w:author="AbbVie14" w:date="2025-05-09T10:29:00Z"/>
          <w:color w:val="000000"/>
          <w:sz w:val="22"/>
          <w:szCs w:val="22"/>
        </w:rPr>
      </w:pPr>
    </w:p>
    <w:p w:rsidR="006224C2" w:rsidRPr="00295E71" w14:paraId="090959A3" w14:textId="77777777">
      <w:pPr>
        <w:keepNext/>
        <w:tabs>
          <w:tab w:val="left" w:pos="567"/>
        </w:tabs>
        <w:ind w:left="567" w:hanging="567"/>
        <w:jc w:val="both"/>
        <w:rPr>
          <w:del w:id="2177" w:author="AbbVie14" w:date="2025-05-09T10:29:00Z"/>
          <w:b/>
          <w:bCs/>
          <w:sz w:val="22"/>
          <w:szCs w:val="22"/>
        </w:rPr>
      </w:pPr>
      <w:del w:id="2178" w:author="AbbVie14" w:date="2025-05-09T10:29:00Z">
        <w:r w:rsidRPr="00295E71">
          <w:rPr>
            <w:b/>
            <w:bCs/>
            <w:sz w:val="22"/>
            <w:szCs w:val="22"/>
          </w:rPr>
          <w:delText>5.</w:delText>
        </w:r>
      </w:del>
      <w:del w:id="2179" w:author="AbbVie14" w:date="2025-05-09T10:29:00Z">
        <w:r w:rsidRPr="00295E71">
          <w:rPr>
            <w:b/>
            <w:bCs/>
            <w:sz w:val="22"/>
            <w:szCs w:val="22"/>
          </w:rPr>
          <w:tab/>
          <w:delText>PROPRIETÀ FARMACOLOGICHE</w:delText>
        </w:r>
      </w:del>
    </w:p>
    <w:p w:rsidR="006224C2" w:rsidRPr="00295E71" w14:paraId="46C07AC9" w14:textId="77777777">
      <w:pPr>
        <w:keepNext/>
        <w:tabs>
          <w:tab w:val="left" w:pos="567"/>
        </w:tabs>
        <w:jc w:val="both"/>
        <w:rPr>
          <w:del w:id="2180" w:author="AbbVie14" w:date="2025-05-09T10:29:00Z"/>
          <w:b/>
          <w:bCs/>
          <w:sz w:val="22"/>
          <w:szCs w:val="22"/>
        </w:rPr>
      </w:pPr>
    </w:p>
    <w:p w:rsidR="006224C2" w:rsidRPr="00295E71" w14:paraId="6133502D" w14:textId="77777777">
      <w:pPr>
        <w:keepNext/>
        <w:tabs>
          <w:tab w:val="left" w:pos="567"/>
        </w:tabs>
        <w:ind w:left="567" w:hanging="567"/>
        <w:jc w:val="both"/>
        <w:rPr>
          <w:del w:id="2181" w:author="AbbVie14" w:date="2025-05-09T10:29:00Z"/>
          <w:b/>
          <w:bCs/>
          <w:sz w:val="22"/>
          <w:szCs w:val="22"/>
        </w:rPr>
      </w:pPr>
      <w:del w:id="2182" w:author="AbbVie14" w:date="2025-05-09T10:29:00Z">
        <w:r w:rsidRPr="00295E71">
          <w:rPr>
            <w:b/>
            <w:bCs/>
            <w:sz w:val="22"/>
            <w:szCs w:val="22"/>
          </w:rPr>
          <w:delText xml:space="preserve">5.1 </w:delText>
        </w:r>
      </w:del>
      <w:del w:id="2183" w:author="AbbVie14" w:date="2025-05-09T10:29:00Z">
        <w:r w:rsidRPr="00295E71">
          <w:rPr>
            <w:b/>
            <w:bCs/>
            <w:sz w:val="22"/>
            <w:szCs w:val="22"/>
          </w:rPr>
          <w:tab/>
          <w:delText>Proprietà farmacodinamiche</w:delText>
        </w:r>
      </w:del>
    </w:p>
    <w:p w:rsidR="006224C2" w:rsidRPr="00295E71" w14:paraId="0897C26A" w14:textId="77777777">
      <w:pPr>
        <w:keepNext/>
        <w:tabs>
          <w:tab w:val="left" w:pos="567"/>
        </w:tabs>
        <w:jc w:val="both"/>
        <w:rPr>
          <w:del w:id="2184" w:author="AbbVie14" w:date="2025-05-09T10:29:00Z"/>
          <w:sz w:val="22"/>
          <w:szCs w:val="22"/>
        </w:rPr>
      </w:pPr>
    </w:p>
    <w:p w:rsidR="006224C2" w:rsidRPr="00295E71" w14:paraId="410A1DD8" w14:textId="77777777">
      <w:pPr>
        <w:keepNext/>
        <w:tabs>
          <w:tab w:val="left" w:pos="567"/>
        </w:tabs>
        <w:jc w:val="both"/>
        <w:rPr>
          <w:del w:id="2185" w:author="AbbVie14" w:date="2025-05-09T10:29:00Z"/>
          <w:sz w:val="22"/>
          <w:szCs w:val="22"/>
        </w:rPr>
      </w:pPr>
      <w:del w:id="2186" w:author="AbbVie14" w:date="2025-05-09T10:29:00Z">
        <w:r w:rsidRPr="00295E71">
          <w:rPr>
            <w:sz w:val="22"/>
            <w:szCs w:val="22"/>
          </w:rPr>
          <w:delText>Categoria farmacoterapeutica: Immunosoppressori, inibitori del Fattore di Necrosi Tumorale alfa (TNF</w:delText>
        </w:r>
      </w:del>
      <w:del w:id="2187" w:author="AbbVie14" w:date="2025-05-09T10:29:00Z">
        <w:r w:rsidRPr="00295E71">
          <w:rPr>
            <w:sz w:val="22"/>
            <w:szCs w:val="22"/>
          </w:rPr>
          <w:noBreakHyphen/>
          <w:delText>α). Codice ATC: L04AB04</w:delText>
        </w:r>
      </w:del>
    </w:p>
    <w:p w:rsidR="006224C2" w:rsidRPr="00295E71" w14:paraId="3C27D04B" w14:textId="77777777">
      <w:pPr>
        <w:keepNext/>
        <w:tabs>
          <w:tab w:val="left" w:pos="567"/>
        </w:tabs>
        <w:jc w:val="both"/>
        <w:rPr>
          <w:del w:id="2188" w:author="AbbVie14" w:date="2025-05-09T10:29:00Z"/>
          <w:sz w:val="22"/>
          <w:szCs w:val="22"/>
        </w:rPr>
      </w:pPr>
    </w:p>
    <w:p w:rsidR="006224C2" w:rsidRPr="00295E71" w14:paraId="5E6EAB81" w14:textId="77777777">
      <w:pPr>
        <w:keepNext/>
        <w:tabs>
          <w:tab w:val="left" w:pos="567"/>
        </w:tabs>
        <w:jc w:val="both"/>
        <w:rPr>
          <w:del w:id="2189" w:author="AbbVie14" w:date="2025-05-09T10:29:00Z"/>
          <w:sz w:val="22"/>
          <w:szCs w:val="22"/>
          <w:u w:val="single"/>
        </w:rPr>
      </w:pPr>
      <w:del w:id="2190" w:author="AbbVie14" w:date="2025-05-09T10:29:00Z">
        <w:r w:rsidRPr="00295E71">
          <w:rPr>
            <w:sz w:val="22"/>
            <w:szCs w:val="22"/>
            <w:u w:val="single"/>
          </w:rPr>
          <w:delText>Meccanismo d’azione</w:delText>
        </w:r>
      </w:del>
    </w:p>
    <w:p w:rsidR="006224C2" w:rsidRPr="00295E71" w14:paraId="56B66108" w14:textId="77777777">
      <w:pPr>
        <w:keepNext/>
        <w:tabs>
          <w:tab w:val="left" w:pos="567"/>
        </w:tabs>
        <w:jc w:val="both"/>
        <w:rPr>
          <w:del w:id="2191" w:author="AbbVie14" w:date="2025-05-09T10:29:00Z"/>
          <w:sz w:val="22"/>
          <w:szCs w:val="22"/>
        </w:rPr>
      </w:pPr>
    </w:p>
    <w:p w:rsidR="006224C2" w:rsidRPr="00295E71" w14:paraId="2DB562B3" w14:textId="77777777">
      <w:pPr>
        <w:pStyle w:val="BodyText"/>
        <w:keepNext/>
        <w:tabs>
          <w:tab w:val="left" w:pos="567"/>
        </w:tabs>
        <w:rPr>
          <w:del w:id="2192" w:author="AbbVie14" w:date="2025-05-09T10:29:00Z"/>
        </w:rPr>
      </w:pPr>
      <w:del w:id="2193" w:author="AbbVie14" w:date="2025-05-09T10:29:00Z">
        <w:r w:rsidRPr="00295E71">
          <w:delText>Adalimumab si lega selettivamente al TNF e ne neutralizza la funzione biologica bloccando la sua interazione con i recettori del TNF di membrana cellulare, p55 e p75.</w:delText>
        </w:r>
      </w:del>
    </w:p>
    <w:p w:rsidR="006224C2" w:rsidRPr="00295E71" w14:paraId="22982AFF" w14:textId="77777777">
      <w:pPr>
        <w:keepNext/>
        <w:tabs>
          <w:tab w:val="left" w:pos="567"/>
        </w:tabs>
        <w:jc w:val="both"/>
        <w:rPr>
          <w:del w:id="2194" w:author="AbbVie14" w:date="2025-05-09T10:29:00Z"/>
          <w:sz w:val="22"/>
          <w:szCs w:val="22"/>
        </w:rPr>
      </w:pPr>
    </w:p>
    <w:p w:rsidR="006224C2" w:rsidRPr="00295E71" w14:paraId="42B6346E" w14:textId="77777777">
      <w:pPr>
        <w:tabs>
          <w:tab w:val="left" w:pos="567"/>
        </w:tabs>
        <w:jc w:val="both"/>
        <w:rPr>
          <w:del w:id="2195" w:author="AbbVie14" w:date="2025-05-09T10:29:00Z"/>
          <w:sz w:val="22"/>
          <w:szCs w:val="22"/>
        </w:rPr>
      </w:pPr>
      <w:del w:id="2196" w:author="AbbVie14" w:date="2025-05-09T10:29:00Z">
        <w:r w:rsidRPr="00295E71">
          <w:rPr>
            <w:sz w:val="22"/>
            <w:szCs w:val="22"/>
          </w:rPr>
          <w:delText>Adalimumab modula anche le risposte biologiche che sono indotte o regolate dal TNF, inclusi i cambiamenti dei livelli delle molecole di adesione responsabili della migrazione dei leucociti (ELAM-1, VCAM-1 e ICAM-1 con un IC</w:delText>
        </w:r>
      </w:del>
      <w:del w:id="2197" w:author="AbbVie14" w:date="2025-05-09T10:29:00Z">
        <w:r w:rsidRPr="00295E71">
          <w:rPr>
            <w:sz w:val="22"/>
            <w:szCs w:val="22"/>
            <w:vertAlign w:val="subscript"/>
          </w:rPr>
          <w:delText>50</w:delText>
        </w:r>
      </w:del>
      <w:del w:id="2198" w:author="AbbVie14" w:date="2025-05-09T10:29:00Z">
        <w:r w:rsidRPr="00295E71">
          <w:rPr>
            <w:sz w:val="22"/>
            <w:szCs w:val="22"/>
          </w:rPr>
          <w:delText xml:space="preserve"> di 0,1-0,2 nM).</w:delText>
        </w:r>
      </w:del>
    </w:p>
    <w:p w:rsidR="006224C2" w:rsidRPr="00295E71" w14:paraId="630637DA" w14:textId="77777777">
      <w:pPr>
        <w:tabs>
          <w:tab w:val="left" w:pos="567"/>
        </w:tabs>
        <w:jc w:val="both"/>
        <w:rPr>
          <w:del w:id="2199" w:author="AbbVie14" w:date="2025-05-09T10:29:00Z"/>
          <w:sz w:val="22"/>
          <w:szCs w:val="22"/>
        </w:rPr>
      </w:pPr>
    </w:p>
    <w:p w:rsidR="006224C2" w:rsidRPr="00295E71" w14:paraId="00998283" w14:textId="77777777">
      <w:pPr>
        <w:tabs>
          <w:tab w:val="left" w:pos="567"/>
        </w:tabs>
        <w:autoSpaceDE w:val="0"/>
        <w:autoSpaceDN w:val="0"/>
        <w:adjustRightInd w:val="0"/>
        <w:jc w:val="both"/>
        <w:rPr>
          <w:del w:id="2200" w:author="AbbVie14" w:date="2025-05-09T10:29:00Z"/>
          <w:color w:val="000000"/>
          <w:sz w:val="22"/>
          <w:szCs w:val="22"/>
          <w:u w:val="single"/>
        </w:rPr>
      </w:pPr>
      <w:del w:id="2201" w:author="AbbVie14" w:date="2025-05-09T10:29:00Z">
        <w:r w:rsidRPr="00295E71">
          <w:rPr>
            <w:color w:val="000000"/>
            <w:sz w:val="22"/>
            <w:szCs w:val="22"/>
            <w:u w:val="single"/>
          </w:rPr>
          <w:delText>Effetti farmacodinamici</w:delText>
        </w:r>
      </w:del>
    </w:p>
    <w:p w:rsidR="006224C2" w:rsidRPr="00295E71" w14:paraId="1C3086AD" w14:textId="77777777">
      <w:pPr>
        <w:tabs>
          <w:tab w:val="left" w:pos="567"/>
        </w:tabs>
        <w:autoSpaceDE w:val="0"/>
        <w:autoSpaceDN w:val="0"/>
        <w:adjustRightInd w:val="0"/>
        <w:jc w:val="both"/>
        <w:rPr>
          <w:del w:id="2202" w:author="AbbVie14" w:date="2025-05-09T10:29:00Z"/>
          <w:color w:val="000000"/>
          <w:sz w:val="22"/>
          <w:szCs w:val="22"/>
          <w:u w:val="single"/>
        </w:rPr>
      </w:pPr>
    </w:p>
    <w:p w:rsidR="006224C2" w:rsidRPr="00295E71" w:rsidP="00AD7AF0" w14:paraId="0CAB5F56" w14:textId="77777777">
      <w:pPr>
        <w:tabs>
          <w:tab w:val="left" w:pos="567"/>
        </w:tabs>
        <w:jc w:val="both"/>
        <w:rPr>
          <w:del w:id="2203" w:author="AbbVie14" w:date="2025-05-09T10:29:00Z"/>
          <w:color w:val="000000"/>
          <w:sz w:val="22"/>
          <w:szCs w:val="22"/>
        </w:rPr>
      </w:pPr>
      <w:del w:id="2204" w:author="AbbVie14" w:date="2025-05-09T10:29:00Z">
        <w:r w:rsidRPr="00295E71">
          <w:rPr>
            <w:color w:val="000000"/>
            <w:sz w:val="22"/>
            <w:szCs w:val="22"/>
          </w:rPr>
          <w:delText>Dopo trattamento con Humira, si è osservata una rapida diminuzione delle proteine di fase acuta, indici di infiammazione (proteina C reattiva -PCR, velocità di eritrosedimentazione -VES) e delle citochine sieriche (IL-6) nei pazienti con artrite reumatoide rispetto al valore basale. Anche i livelli sierici delle metalloproteinasi della matrice (MMP-1 e MMP-3), coinvolte nel rimodellamento tissutale responsabile della distruzione della cartilagine, erano diminuiti in seguito alla somministrazione di Humira. I pazienti trattati con Humira hanno generalmente mostrato un miglioramento dei segni emato</w:delText>
        </w:r>
      </w:del>
      <w:del w:id="2205" w:author="AbbVie14" w:date="2025-05-09T10:29:00Z">
        <w:r w:rsidR="00BE49F5">
          <w:rPr>
            <w:color w:val="000000"/>
            <w:sz w:val="22"/>
            <w:szCs w:val="22"/>
          </w:rPr>
          <w:delText>logici</w:delText>
        </w:r>
      </w:del>
      <w:del w:id="2206" w:author="AbbVie14" w:date="2025-05-09T10:29:00Z">
        <w:r w:rsidRPr="00295E71">
          <w:rPr>
            <w:color w:val="000000"/>
            <w:sz w:val="22"/>
            <w:szCs w:val="22"/>
          </w:rPr>
          <w:delText xml:space="preserve"> dell’infiammazione cronica.</w:delText>
        </w:r>
      </w:del>
    </w:p>
    <w:p w:rsidR="006224C2" w:rsidRPr="00295E71" w:rsidP="00AD7AF0" w14:paraId="257525F8" w14:textId="77777777">
      <w:pPr>
        <w:tabs>
          <w:tab w:val="left" w:pos="567"/>
        </w:tabs>
        <w:jc w:val="both"/>
        <w:rPr>
          <w:del w:id="2207" w:author="AbbVie14" w:date="2025-05-09T10:29:00Z"/>
          <w:color w:val="000000"/>
          <w:sz w:val="22"/>
          <w:szCs w:val="22"/>
        </w:rPr>
      </w:pPr>
    </w:p>
    <w:p w:rsidR="006224C2" w:rsidRPr="00295E71" w:rsidP="00AD7AF0" w14:paraId="1A3E7460" w14:textId="77777777">
      <w:pPr>
        <w:tabs>
          <w:tab w:val="left" w:pos="567"/>
        </w:tabs>
        <w:jc w:val="both"/>
        <w:rPr>
          <w:del w:id="2208" w:author="AbbVie14" w:date="2025-05-09T10:30:00Z"/>
          <w:sz w:val="22"/>
          <w:szCs w:val="22"/>
        </w:rPr>
      </w:pPr>
      <w:del w:id="2209" w:author="AbbVie14" w:date="2025-05-09T10:30:00Z">
        <w:r w:rsidRPr="00295E71">
          <w:rPr>
            <w:sz w:val="22"/>
            <w:szCs w:val="22"/>
          </w:rPr>
          <w:delText xml:space="preserve">Dopo trattamento con Humira, </w:delText>
        </w:r>
      </w:del>
      <w:del w:id="2210" w:author="AbbVie14" w:date="2025-05-09T10:30:00Z">
        <w:r w:rsidR="00BE49F5">
          <w:rPr>
            <w:sz w:val="22"/>
            <w:szCs w:val="22"/>
          </w:rPr>
          <w:delText>anche nei</w:delText>
        </w:r>
      </w:del>
      <w:del w:id="2211" w:author="AbbVie14" w:date="2025-05-09T10:30:00Z">
        <w:r w:rsidRPr="00295E71">
          <w:rPr>
            <w:sz w:val="22"/>
            <w:szCs w:val="22"/>
          </w:rPr>
          <w:delText xml:space="preserve"> pazienti affetti da Artrite Idiopatica Giovanile Poliarticolare, malattia di Crohn, colite ulcerosa e Idrosadenite Suppurativa è stata osservata una rapida diminuzione dei livelli di PCR (proteina C reattiva).</w:delText>
        </w:r>
      </w:del>
      <w:del w:id="2212" w:author="AbbVie14" w:date="2025-05-09T10:30:00Z">
        <w:r w:rsidRPr="00295E71" w:rsidR="00A73B2C">
          <w:rPr>
            <w:sz w:val="22"/>
            <w:szCs w:val="22"/>
          </w:rPr>
          <w:delText xml:space="preserve"> </w:delText>
        </w:r>
      </w:del>
      <w:del w:id="2213" w:author="AbbVie14" w:date="2025-05-09T10:30:00Z">
        <w:r w:rsidRPr="00295E71">
          <w:rPr>
            <w:sz w:val="22"/>
            <w:szCs w:val="22"/>
          </w:rPr>
          <w:delText>Nei pazienti affetti dalla malattia di Crohn, è stata osservata una riduzione del numero di cellule che esprimono i marcatori infiammatori nel colon compresa una significativa riduzione dell’espressione del TNFα. Studi endoscopici della mucosa intestinale hanno evidenziato la guarigione mucosale nei pazienti trattati con adalimumab.</w:delText>
        </w:r>
      </w:del>
    </w:p>
    <w:p w:rsidR="006224C2" w:rsidRPr="00295E71" w:rsidP="00AD7AF0" w14:paraId="69033777" w14:textId="77777777">
      <w:pPr>
        <w:tabs>
          <w:tab w:val="left" w:pos="567"/>
        </w:tabs>
        <w:jc w:val="both"/>
        <w:rPr>
          <w:del w:id="2214" w:author="AbbVie14" w:date="2025-05-09T10:30:00Z"/>
          <w:sz w:val="22"/>
          <w:szCs w:val="22"/>
        </w:rPr>
      </w:pPr>
    </w:p>
    <w:p w:rsidR="006224C2" w:rsidRPr="00D30F73" w:rsidP="00AD7AF0" w14:paraId="3B73B559" w14:textId="77777777">
      <w:pPr>
        <w:tabs>
          <w:tab w:val="left" w:pos="567"/>
        </w:tabs>
        <w:jc w:val="both"/>
        <w:rPr>
          <w:del w:id="2215" w:author="AbbVie14" w:date="2025-05-09T10:30:00Z"/>
          <w:color w:val="000000"/>
          <w:sz w:val="22"/>
          <w:szCs w:val="22"/>
          <w:u w:val="single"/>
        </w:rPr>
      </w:pPr>
      <w:del w:id="2216" w:author="AbbVie14" w:date="2025-05-09T10:30:00Z">
        <w:r w:rsidRPr="00D30F73">
          <w:rPr>
            <w:color w:val="000000"/>
            <w:sz w:val="22"/>
            <w:szCs w:val="22"/>
            <w:u w:val="single"/>
          </w:rPr>
          <w:delText>Efficacia e sicurezza clinica</w:delText>
        </w:r>
      </w:del>
      <w:bookmarkStart w:id="2217" w:name="_Hlk52784493"/>
    </w:p>
    <w:bookmarkEnd w:id="2217"/>
    <w:p w:rsidR="006224C2" w:rsidRPr="00D30F73" w14:paraId="6100E2B5" w14:textId="77777777">
      <w:pPr>
        <w:tabs>
          <w:tab w:val="left" w:pos="567"/>
        </w:tabs>
        <w:jc w:val="both"/>
        <w:pPrChange w:id="2218" w:author="AbbVie14" w:date="2025-05-09T10:30:00Z">
          <w:pPr>
            <w:pStyle w:val="gtcbodytext"/>
            <w:spacing w:before="0" w:after="0" w:line="240" w:lineRule="auto"/>
            <w:jc w:val="both"/>
          </w:pPr>
        </w:pPrChange>
        <w:rPr>
          <w:del w:id="2219" w:author="AbbVie14" w:date="2025-05-09T10:30:00Z"/>
          <w:rStyle w:val="gtcbold9"/>
          <w:b w:val="0"/>
          <w:sz w:val="22"/>
          <w:szCs w:val="22"/>
          <w:u w:val="single"/>
        </w:rPr>
      </w:pPr>
    </w:p>
    <w:p w:rsidR="006224C2" w:rsidRPr="00D30F73" w:rsidP="00AD7AF0" w14:paraId="7A062F9D" w14:textId="77777777">
      <w:pPr>
        <w:tabs>
          <w:tab w:val="left" w:pos="567"/>
        </w:tabs>
        <w:jc w:val="both"/>
        <w:rPr>
          <w:del w:id="2220" w:author="AbbVie14" w:date="2025-05-09T10:30:00Z"/>
          <w:i/>
          <w:color w:val="000000"/>
          <w:sz w:val="22"/>
          <w:szCs w:val="22"/>
        </w:rPr>
      </w:pPr>
      <w:del w:id="2221" w:author="AbbVie14" w:date="2025-05-09T10:30:00Z">
        <w:r w:rsidRPr="00D30F73">
          <w:rPr>
            <w:i/>
            <w:color w:val="000000"/>
            <w:sz w:val="22"/>
            <w:szCs w:val="22"/>
          </w:rPr>
          <w:delText>Artrite reumatoide dell’adulto</w:delText>
        </w:r>
      </w:del>
    </w:p>
    <w:p w:rsidR="006224C2" w:rsidRPr="00D30F73" w:rsidP="00AD7AF0" w14:paraId="5A5D8F85" w14:textId="77777777">
      <w:pPr>
        <w:tabs>
          <w:tab w:val="left" w:pos="567"/>
        </w:tabs>
        <w:jc w:val="both"/>
        <w:rPr>
          <w:del w:id="2222" w:author="AbbVie14" w:date="2025-05-09T10:30:00Z"/>
          <w:color w:val="000000"/>
          <w:sz w:val="22"/>
          <w:szCs w:val="22"/>
          <w:u w:val="single"/>
        </w:rPr>
      </w:pPr>
    </w:p>
    <w:p w:rsidR="006224C2" w:rsidRPr="00295E71" w:rsidP="00AD7AF0" w14:paraId="5257DA53" w14:textId="77777777">
      <w:pPr>
        <w:tabs>
          <w:tab w:val="left" w:pos="567"/>
        </w:tabs>
        <w:jc w:val="both"/>
        <w:rPr>
          <w:del w:id="2223" w:author="AbbVie14" w:date="2025-05-09T10:30:00Z"/>
          <w:sz w:val="22"/>
          <w:szCs w:val="22"/>
        </w:rPr>
      </w:pPr>
      <w:del w:id="2224" w:author="AbbVie14" w:date="2025-05-09T10:30:00Z">
        <w:r w:rsidRPr="00D30F73">
          <w:rPr>
            <w:sz w:val="22"/>
            <w:szCs w:val="22"/>
          </w:rPr>
          <w:delText>Humira è stato valutato su oltre 3.000 pazienti in tutti gli studi clinici sull’artrite reumatoide. L’efficacia e la sicurezza di Humira sono state valutate in cinque studi randomizzati, in doppio cieco e ben controllati. Alcuni</w:delText>
        </w:r>
      </w:del>
      <w:del w:id="2225" w:author="AbbVie14" w:date="2025-05-09T10:30:00Z">
        <w:r w:rsidRPr="00295E71">
          <w:rPr>
            <w:sz w:val="22"/>
            <w:szCs w:val="22"/>
          </w:rPr>
          <w:delText xml:space="preserve"> pazienti sono stati sottoposti a trattamento per un periodo fino a 120 mesi. </w:delText>
        </w:r>
      </w:del>
    </w:p>
    <w:p w:rsidR="006224C2" w:rsidRPr="00295E71" w14:paraId="0F5F8968" w14:textId="77777777">
      <w:pPr>
        <w:tabs>
          <w:tab w:val="left" w:pos="567"/>
        </w:tabs>
        <w:jc w:val="both"/>
        <w:pPrChange w:id="2226" w:author="AbbVie14" w:date="2025-05-09T10:30:00Z">
          <w:pPr/>
        </w:pPrChange>
        <w:rPr>
          <w:del w:id="2227" w:author="AbbVie14" w:date="2025-05-09T10:30:00Z"/>
          <w:sz w:val="22"/>
          <w:szCs w:val="22"/>
        </w:rPr>
      </w:pPr>
    </w:p>
    <w:p w:rsidR="006224C2" w:rsidRPr="00295E71" w14:paraId="5F2719CB" w14:textId="77777777">
      <w:pPr>
        <w:tabs>
          <w:tab w:val="left" w:pos="567"/>
        </w:tabs>
        <w:jc w:val="both"/>
        <w:pPrChange w:id="2228" w:author="AbbVie14" w:date="2025-05-09T10:30:00Z">
          <w:pPr>
            <w:pStyle w:val="BodyText"/>
            <w:tabs>
              <w:tab w:val="left" w:pos="567"/>
            </w:tabs>
          </w:pPr>
        </w:pPrChange>
        <w:rPr>
          <w:del w:id="2229" w:author="AbbVie14" w:date="2025-05-09T10:30:00Z"/>
        </w:rPr>
      </w:pPr>
      <w:del w:id="2230" w:author="AbbVie14" w:date="2025-05-09T10:30:00Z">
        <w:r w:rsidRPr="00295E71">
          <w:delText xml:space="preserve">Lo studio AR I è stato condotto su 271 pazienti di età </w:delText>
        </w:r>
      </w:del>
      <w:del w:id="2231" w:author="AbbVie14" w:date="2025-05-09T10:30:00Z">
        <w:r w:rsidRPr="00295E71">
          <w:rPr>
            <w:rFonts w:ascii="Symbol" w:hAnsi="Symbol"/>
          </w:rPr>
          <w:sym w:font="Symbol" w:char="F0B3"/>
        </w:r>
      </w:del>
      <w:del w:id="2232" w:author="AbbVie14" w:date="2025-05-09T10:30:00Z">
        <w:r w:rsidRPr="00295E71">
          <w:delText xml:space="preserve"> 18 anni, affetti da artrite reumatoide </w:delText>
        </w:r>
      </w:del>
      <w:del w:id="2233" w:author="AbbVie14" w:date="2025-05-09T10:30:00Z">
        <w:r w:rsidRPr="00020442" w:rsidR="00191A42">
          <w:delText xml:space="preserve">attiva </w:delText>
        </w:r>
      </w:del>
      <w:del w:id="2234" w:author="AbbVie14" w:date="2025-05-09T10:30:00Z">
        <w:r w:rsidRPr="00295E71">
          <w:delText xml:space="preserve">di grado moderato-severo, refrattari ad almeno un farmaco DMARD </w:delText>
        </w:r>
      </w:del>
      <w:del w:id="2235" w:author="AbbVie14" w:date="2025-05-09T10:30:00Z">
        <w:r w:rsidR="00191A42">
          <w:delText xml:space="preserve">e con risposta inadeguata al </w:delText>
        </w:r>
      </w:del>
      <w:del w:id="2236" w:author="AbbVie14" w:date="2025-05-09T10:30:00Z">
        <w:r w:rsidRPr="00295E71">
          <w:delText>metotressato a dosaggi compresi tra 12,5 e 25 mg (10 mg se intolleranti al metotressato) a settimana e la cui dose di metotressato è rimasta costante a 10-25 mg a settimana. Humira 20, 40 o 80 mg o placebo sono stati somministrati a settimane alterne per 24 settimane.</w:delText>
        </w:r>
      </w:del>
    </w:p>
    <w:p w:rsidR="006224C2" w:rsidRPr="00295E71" w:rsidP="00AD7AF0" w14:paraId="7A1577BB" w14:textId="77777777">
      <w:pPr>
        <w:tabs>
          <w:tab w:val="left" w:pos="567"/>
        </w:tabs>
        <w:jc w:val="both"/>
        <w:rPr>
          <w:del w:id="2237" w:author="AbbVie14" w:date="2025-05-09T10:30:00Z"/>
          <w:sz w:val="22"/>
          <w:szCs w:val="22"/>
        </w:rPr>
      </w:pPr>
    </w:p>
    <w:p w:rsidR="006224C2" w:rsidRPr="00295E71" w:rsidP="00AD7AF0" w14:paraId="249F2BDC" w14:textId="77777777">
      <w:pPr>
        <w:tabs>
          <w:tab w:val="left" w:pos="567"/>
        </w:tabs>
        <w:jc w:val="both"/>
        <w:rPr>
          <w:del w:id="2238" w:author="AbbVie14" w:date="2025-05-09T10:30:00Z"/>
          <w:sz w:val="22"/>
          <w:szCs w:val="22"/>
        </w:rPr>
      </w:pPr>
      <w:del w:id="2239" w:author="AbbVie14" w:date="2025-05-09T10:30:00Z">
        <w:r w:rsidRPr="00295E71">
          <w:rPr>
            <w:sz w:val="22"/>
            <w:szCs w:val="22"/>
          </w:rPr>
          <w:delText xml:space="preserve">Nello studio AR II sono stati studiati 544 pazienti di età </w:delText>
        </w:r>
      </w:del>
      <w:del w:id="2240" w:author="AbbVie14" w:date="2025-05-09T10:30:00Z">
        <w:r w:rsidRPr="00295E71">
          <w:rPr>
            <w:rFonts w:ascii="Symbol" w:hAnsi="Symbol"/>
            <w:sz w:val="22"/>
            <w:szCs w:val="22"/>
          </w:rPr>
          <w:sym w:font="Symbol" w:char="F0B3"/>
        </w:r>
      </w:del>
      <w:del w:id="2241" w:author="AbbVie14" w:date="2025-05-09T10:30:00Z">
        <w:r w:rsidRPr="00295E71">
          <w:rPr>
            <w:sz w:val="22"/>
            <w:szCs w:val="22"/>
          </w:rPr>
          <w:delText xml:space="preserve"> 18 anni, affetti da artrite reumatoide</w:delText>
        </w:r>
      </w:del>
      <w:del w:id="2242" w:author="AbbVie14" w:date="2025-05-09T10:30:00Z">
        <w:r w:rsidR="00191A42">
          <w:rPr>
            <w:sz w:val="22"/>
            <w:szCs w:val="22"/>
          </w:rPr>
          <w:delText xml:space="preserve"> </w:delText>
        </w:r>
      </w:del>
      <w:del w:id="2243" w:author="AbbVie14" w:date="2025-05-09T10:30:00Z">
        <w:r w:rsidRPr="00020442" w:rsidR="00191A42">
          <w:rPr>
            <w:sz w:val="22"/>
            <w:szCs w:val="22"/>
          </w:rPr>
          <w:delText>attiva</w:delText>
        </w:r>
      </w:del>
      <w:del w:id="2244" w:author="AbbVie14" w:date="2025-05-09T10:30:00Z">
        <w:r w:rsidRPr="00295E71">
          <w:rPr>
            <w:sz w:val="22"/>
            <w:szCs w:val="22"/>
          </w:rPr>
          <w:delText xml:space="preserve"> di grado moderato-severo, con insufficiente risposta ad almeno un farmaco DMARD. Sono state somministrate dosi di 20 o 40 mg di Humira attraverso iniezione sottocutanea ogni due settimane con placebo a settimane alterne, o ogni settimana per 26 settimane; il placebo è stato somministrato ogni settimana per la stessa durata. Non è stato consentito l’uso di altri DMARD.</w:delText>
        </w:r>
      </w:del>
    </w:p>
    <w:p w:rsidR="006224C2" w:rsidRPr="00295E71" w:rsidP="00AD7AF0" w14:paraId="09625232" w14:textId="77777777">
      <w:pPr>
        <w:tabs>
          <w:tab w:val="left" w:pos="567"/>
        </w:tabs>
        <w:jc w:val="both"/>
        <w:rPr>
          <w:del w:id="2245" w:author="AbbVie14" w:date="2025-05-09T10:30:00Z"/>
          <w:sz w:val="22"/>
          <w:szCs w:val="22"/>
        </w:rPr>
      </w:pPr>
    </w:p>
    <w:p w:rsidR="006224C2" w:rsidRPr="00295E71" w:rsidP="00AD7AF0" w14:paraId="1BF7EF47" w14:textId="77777777">
      <w:pPr>
        <w:tabs>
          <w:tab w:val="left" w:pos="567"/>
        </w:tabs>
        <w:jc w:val="both"/>
        <w:rPr>
          <w:del w:id="2246" w:author="AbbVie14" w:date="2025-05-09T10:30:00Z"/>
          <w:sz w:val="22"/>
          <w:szCs w:val="22"/>
        </w:rPr>
      </w:pPr>
      <w:del w:id="2247" w:author="AbbVie14" w:date="2025-05-09T10:30:00Z">
        <w:r w:rsidRPr="00295E71">
          <w:rPr>
            <w:sz w:val="22"/>
            <w:szCs w:val="22"/>
          </w:rPr>
          <w:delText xml:space="preserve">Allo studio AR III hanno partecipato 619 pazienti, di età </w:delText>
        </w:r>
      </w:del>
      <w:del w:id="2248" w:author="AbbVie14" w:date="2025-05-09T10:30:00Z">
        <w:r w:rsidRPr="00295E71">
          <w:rPr>
            <w:rFonts w:ascii="Symbol" w:hAnsi="Symbol"/>
            <w:sz w:val="22"/>
            <w:szCs w:val="22"/>
          </w:rPr>
          <w:sym w:font="Symbol" w:char="F0B3"/>
        </w:r>
      </w:del>
      <w:del w:id="2249" w:author="AbbVie14" w:date="2025-05-09T10:30:00Z">
        <w:r w:rsidRPr="00295E71">
          <w:rPr>
            <w:sz w:val="22"/>
            <w:szCs w:val="22"/>
          </w:rPr>
          <w:delText xml:space="preserve"> 18 anni, con artrite reumatoide attiva di grado da moderato a severo con inadeguata risposta alla terapia con metotressato a dosaggi compresi tra 12,5 e 25 mg, o intolleranti a 10 mg di metotressato ogni settimana. In questo studio sono stati costituiti 3 gruppi. Il primo ha ricevuto iniezioni di placebo ogni settimana per 52 settimane. Il secondo ha ricevuto 20 mg di Humira a settimana per 52 settimane, mentre il terzo ha ricevuto 40 mg di Humira ogni due settimane e iniezioni di placebo a settimane alterne. Al completamento delle prime 52 settimane, 457 pazienti sono stati arruolati in una fase di estensione in aperto in cui Humira/MTX è stato somministrato alla dose di 40 mg a settimane alterne fino a 10 anni.</w:delText>
        </w:r>
      </w:del>
    </w:p>
    <w:p w:rsidR="006224C2" w:rsidRPr="00295E71" w:rsidP="00AD7AF0" w14:paraId="11A34998" w14:textId="77777777">
      <w:pPr>
        <w:tabs>
          <w:tab w:val="left" w:pos="567"/>
        </w:tabs>
        <w:jc w:val="both"/>
        <w:rPr>
          <w:del w:id="2250" w:author="AbbVie14" w:date="2025-05-09T10:30:00Z"/>
          <w:sz w:val="22"/>
          <w:szCs w:val="22"/>
        </w:rPr>
      </w:pPr>
    </w:p>
    <w:p w:rsidR="006224C2" w:rsidRPr="00295E71" w:rsidP="00AD7AF0" w14:paraId="404AF4AE" w14:textId="77777777">
      <w:pPr>
        <w:tabs>
          <w:tab w:val="left" w:pos="567"/>
        </w:tabs>
        <w:jc w:val="both"/>
        <w:rPr>
          <w:del w:id="2251" w:author="AbbVie14" w:date="2025-05-09T10:30:00Z"/>
          <w:sz w:val="22"/>
          <w:szCs w:val="22"/>
        </w:rPr>
      </w:pPr>
      <w:del w:id="2252" w:author="AbbVie14" w:date="2025-05-09T10:30:00Z">
        <w:r w:rsidRPr="00295E71">
          <w:rPr>
            <w:sz w:val="22"/>
            <w:szCs w:val="22"/>
          </w:rPr>
          <w:delText>Lo studio AR IV ha valutato in primo luogo la sicurezza di Humira in 636 pazienti con artrite reumatoide attiva di grado da moderato a severo</w:delText>
        </w:r>
      </w:del>
      <w:del w:id="2253" w:author="AbbVie14" w:date="2025-05-09T10:30:00Z">
        <w:r w:rsidR="00191A42">
          <w:rPr>
            <w:sz w:val="22"/>
            <w:szCs w:val="22"/>
          </w:rPr>
          <w:delText xml:space="preserve"> </w:delText>
        </w:r>
      </w:del>
      <w:del w:id="2254" w:author="AbbVie14" w:date="2025-05-09T10:30:00Z">
        <w:r w:rsidRPr="00295E71">
          <w:rPr>
            <w:sz w:val="22"/>
            <w:szCs w:val="22"/>
          </w:rPr>
          <w:delText xml:space="preserve">e con età </w:delText>
        </w:r>
      </w:del>
      <w:del w:id="2255" w:author="AbbVie14" w:date="2025-05-09T10:30:00Z">
        <w:r w:rsidRPr="00295E71">
          <w:rPr>
            <w:rFonts w:ascii="Symbol" w:hAnsi="Symbol"/>
            <w:sz w:val="22"/>
            <w:szCs w:val="22"/>
          </w:rPr>
          <w:sym w:font="Symbol" w:char="F0B3"/>
        </w:r>
      </w:del>
      <w:del w:id="2256" w:author="AbbVie14" w:date="2025-05-09T10:30:00Z">
        <w:r w:rsidRPr="00295E71">
          <w:rPr>
            <w:sz w:val="22"/>
            <w:szCs w:val="22"/>
          </w:rPr>
          <w:delText xml:space="preserve"> 18 anni. La popolazione studiata era costituita sia da pazienti mai trattati con DMARD, sia da pazienti che avevano continuato la terapia anti-reumatica preesistente a condizione che questa fosse stabile da un minimo di 28 giorni. </w:delText>
        </w:r>
      </w:del>
    </w:p>
    <w:p w:rsidR="006224C2" w:rsidRPr="00295E71" w:rsidP="00AD7AF0" w14:paraId="1699945A" w14:textId="77777777">
      <w:pPr>
        <w:tabs>
          <w:tab w:val="left" w:pos="567"/>
        </w:tabs>
        <w:jc w:val="both"/>
        <w:rPr>
          <w:del w:id="2257" w:author="AbbVie14" w:date="2025-05-09T10:30:00Z"/>
          <w:sz w:val="22"/>
          <w:szCs w:val="22"/>
        </w:rPr>
      </w:pPr>
      <w:del w:id="2258" w:author="AbbVie14" w:date="2025-05-09T10:30:00Z">
        <w:r w:rsidRPr="00295E71">
          <w:rPr>
            <w:sz w:val="22"/>
            <w:szCs w:val="22"/>
          </w:rPr>
          <w:delText>Queste terapie includono metotressato, leflunomide, idrossiclorochina, sulfasalazina e/o sali d’oro. I pazienti sono stati randomizzati per ricevere 40 mg di Humira o placebo ogni due settimane per 24 settimane.</w:delText>
        </w:r>
      </w:del>
    </w:p>
    <w:p w:rsidR="006224C2" w:rsidRPr="00295E71" w:rsidP="00AD7AF0" w14:paraId="1CDCEBB5" w14:textId="77777777">
      <w:pPr>
        <w:tabs>
          <w:tab w:val="left" w:pos="567"/>
        </w:tabs>
        <w:jc w:val="both"/>
        <w:rPr>
          <w:del w:id="2259" w:author="AbbVie14" w:date="2025-05-09T10:30:00Z"/>
          <w:sz w:val="22"/>
          <w:szCs w:val="22"/>
        </w:rPr>
      </w:pPr>
    </w:p>
    <w:p w:rsidR="006224C2" w:rsidRPr="00295E71" w:rsidP="00AD7AF0" w14:paraId="624B3C45" w14:textId="77777777">
      <w:pPr>
        <w:tabs>
          <w:tab w:val="left" w:pos="567"/>
        </w:tabs>
        <w:jc w:val="both"/>
        <w:rPr>
          <w:del w:id="2260" w:author="AbbVie14" w:date="2025-05-09T10:30:00Z"/>
          <w:sz w:val="22"/>
          <w:szCs w:val="22"/>
        </w:rPr>
      </w:pPr>
      <w:del w:id="2261" w:author="AbbVie14" w:date="2025-05-09T10:30:00Z">
        <w:r w:rsidRPr="00295E71">
          <w:rPr>
            <w:sz w:val="22"/>
            <w:szCs w:val="22"/>
          </w:rPr>
          <w:delText>Lo studio AR V ha valutato 799 pazienti adulti mai trattati in precedenza con metotressato ed affetti da artrite reumatoide precoce attiva di grado moderato-grave (durata media della malattia inferiore a 9 mesi). Questo studio ha valutato l’efficacia di 40 mg di Humira somministrato a settimane alterne in terapia associata con il metotressato, di 40 mg di Humira somministrato in monoterapia a settimane alterne e di metotressato in monoterapia nella riduzione dei segni e sintomi di malattia e dell’indice di progressione del danno articolare causato dall’artrite reumatoide per 104 settimane. Al completamento delle prime 104 settimane, 497 pazienti sono stati arruolati in una fase di estensione in aperto in cui Humira è stato somministrato alla dose di 40 mg a settimane alterne fino a 10 anni.</w:delText>
        </w:r>
      </w:del>
    </w:p>
    <w:p w:rsidR="006224C2" w:rsidRPr="00295E71" w:rsidP="00AD7AF0" w14:paraId="7B5401C6" w14:textId="77777777">
      <w:pPr>
        <w:tabs>
          <w:tab w:val="left" w:pos="567"/>
        </w:tabs>
        <w:jc w:val="both"/>
        <w:rPr>
          <w:del w:id="2262" w:author="AbbVie14" w:date="2025-05-09T10:30:00Z"/>
          <w:sz w:val="22"/>
          <w:szCs w:val="22"/>
        </w:rPr>
      </w:pPr>
    </w:p>
    <w:p w:rsidR="006224C2" w:rsidRPr="00295E71" w:rsidP="00AD7AF0" w14:paraId="60D4F98C" w14:textId="77777777">
      <w:pPr>
        <w:tabs>
          <w:tab w:val="left" w:pos="567"/>
        </w:tabs>
        <w:jc w:val="both"/>
        <w:rPr>
          <w:del w:id="2263" w:author="AbbVie14" w:date="2025-05-09T10:30:00Z"/>
          <w:sz w:val="22"/>
          <w:szCs w:val="22"/>
        </w:rPr>
      </w:pPr>
      <w:del w:id="2264" w:author="AbbVie14" w:date="2025-05-09T10:30:00Z">
        <w:r w:rsidRPr="00295E71">
          <w:rPr>
            <w:sz w:val="22"/>
            <w:szCs w:val="22"/>
          </w:rPr>
          <w:delText>L’</w:delText>
        </w:r>
      </w:del>
      <w:del w:id="2265" w:author="AbbVie14" w:date="2025-05-09T10:30:00Z">
        <w:r w:rsidRPr="00295E71" w:rsidR="00191A42">
          <w:rPr>
            <w:sz w:val="22"/>
            <w:szCs w:val="22"/>
          </w:rPr>
          <w:delText>obiettivo</w:delText>
        </w:r>
      </w:del>
      <w:del w:id="2266" w:author="AbbVie14" w:date="2025-05-09T10:30:00Z">
        <w:r w:rsidRPr="00295E71">
          <w:rPr>
            <w:sz w:val="22"/>
            <w:szCs w:val="22"/>
          </w:rPr>
          <w:delText xml:space="preserve"> primario degli studi AR I, II, III, e secondario dello studio AR IV, era la valutazione della percentuale di pazienti che raggiungeva una risposta ACR 20 alla settimana 24 o 26. L’</w:delText>
        </w:r>
      </w:del>
      <w:del w:id="2267" w:author="AbbVie14" w:date="2025-05-09T10:30:00Z">
        <w:r w:rsidRPr="00295E71" w:rsidR="00191A42">
          <w:rPr>
            <w:sz w:val="22"/>
            <w:szCs w:val="22"/>
          </w:rPr>
          <w:delText>obiettivo</w:delText>
        </w:r>
      </w:del>
      <w:del w:id="2268" w:author="AbbVie14" w:date="2025-05-09T10:30:00Z">
        <w:r w:rsidRPr="00295E71">
          <w:rPr>
            <w:sz w:val="22"/>
            <w:szCs w:val="22"/>
          </w:rPr>
          <w:delText xml:space="preserve"> primario dello studio AR V era la valutazione della percentuale di pazienti che raggiungeva una risposta ACR 50 alla settimana 52. Inoltre, gli studi AR III e V avevano </w:delText>
        </w:r>
      </w:del>
      <w:del w:id="2269" w:author="AbbVie14" w:date="2025-05-09T10:30:00Z">
        <w:r w:rsidR="00191A42">
          <w:rPr>
            <w:sz w:val="22"/>
            <w:szCs w:val="22"/>
          </w:rPr>
          <w:delText>un ulteriore endpoint primario rappresentato dal ritardo</w:delText>
        </w:r>
      </w:del>
      <w:del w:id="2270" w:author="AbbVie14" w:date="2025-05-09T10:30:00Z">
        <w:r w:rsidRPr="00295E71">
          <w:rPr>
            <w:sz w:val="22"/>
            <w:szCs w:val="22"/>
          </w:rPr>
          <w:delText xml:space="preserve"> della progressione di malattia (attraverso gli esami radiografici) alla settimana 52. Lo studio AR III aveva anche l’</w:delText>
        </w:r>
      </w:del>
      <w:del w:id="2271" w:author="AbbVie14" w:date="2025-05-09T10:30:00Z">
        <w:r w:rsidR="00191A42">
          <w:rPr>
            <w:sz w:val="22"/>
            <w:szCs w:val="22"/>
          </w:rPr>
          <w:delText>endpoint</w:delText>
        </w:r>
      </w:del>
      <w:del w:id="2272" w:author="AbbVie14" w:date="2025-05-09T10:30:00Z">
        <w:r w:rsidRPr="00295E71">
          <w:rPr>
            <w:sz w:val="22"/>
            <w:szCs w:val="22"/>
          </w:rPr>
          <w:delText xml:space="preserve"> primario di </w:delText>
        </w:r>
      </w:del>
      <w:del w:id="2273" w:author="AbbVie14" w:date="2025-05-09T10:30:00Z">
        <w:r w:rsidR="00191A42">
          <w:rPr>
            <w:sz w:val="22"/>
            <w:szCs w:val="22"/>
          </w:rPr>
          <w:delText>variazione</w:delText>
        </w:r>
      </w:del>
      <w:del w:id="2274" w:author="AbbVie14" w:date="2025-05-09T10:30:00Z">
        <w:r w:rsidRPr="00295E71">
          <w:rPr>
            <w:sz w:val="22"/>
            <w:szCs w:val="22"/>
          </w:rPr>
          <w:delText xml:space="preserve"> della qualità di vita.</w:delText>
        </w:r>
      </w:del>
    </w:p>
    <w:p w:rsidR="006224C2" w:rsidRPr="00295E71" w:rsidP="00AD7AF0" w14:paraId="657649FF" w14:textId="77777777">
      <w:pPr>
        <w:tabs>
          <w:tab w:val="left" w:pos="567"/>
        </w:tabs>
        <w:jc w:val="both"/>
        <w:rPr>
          <w:del w:id="2275" w:author="AbbVie14" w:date="2025-05-09T10:30:00Z"/>
          <w:sz w:val="22"/>
          <w:szCs w:val="22"/>
        </w:rPr>
      </w:pPr>
    </w:p>
    <w:p w:rsidR="006224C2" w:rsidRPr="00295E71" w:rsidP="00AD7AF0" w14:paraId="0601A930" w14:textId="77777777">
      <w:pPr>
        <w:rPr>
          <w:del w:id="2276" w:author="AbbVie14" w:date="2025-05-09T10:30:00Z"/>
          <w:i/>
          <w:iCs/>
          <w:sz w:val="22"/>
          <w:szCs w:val="22"/>
          <w:u w:val="single"/>
        </w:rPr>
      </w:pPr>
      <w:del w:id="2277" w:author="AbbVie14" w:date="2025-05-09T10:30:00Z">
        <w:r w:rsidRPr="00295E71">
          <w:rPr>
            <w:i/>
            <w:sz w:val="22"/>
            <w:szCs w:val="22"/>
            <w:u w:val="single"/>
          </w:rPr>
          <w:delText>Risposta ACR</w:delText>
        </w:r>
      </w:del>
    </w:p>
    <w:p w:rsidR="006224C2" w:rsidRPr="00295E71" w:rsidP="00AD7AF0" w14:paraId="08C438FC" w14:textId="77777777">
      <w:pPr>
        <w:tabs>
          <w:tab w:val="left" w:pos="567"/>
        </w:tabs>
        <w:jc w:val="both"/>
        <w:rPr>
          <w:del w:id="2278" w:author="AbbVie14" w:date="2025-05-09T10:30:00Z"/>
          <w:sz w:val="22"/>
          <w:szCs w:val="22"/>
        </w:rPr>
      </w:pPr>
    </w:p>
    <w:p w:rsidR="006224C2" w:rsidRPr="00295E71" w:rsidP="00AD7AF0" w14:paraId="6ACAC4E8" w14:textId="77777777">
      <w:pPr>
        <w:tabs>
          <w:tab w:val="left" w:pos="567"/>
        </w:tabs>
        <w:jc w:val="both"/>
        <w:rPr>
          <w:del w:id="2279" w:author="AbbVie14" w:date="2025-05-09T10:30:00Z"/>
          <w:sz w:val="22"/>
          <w:szCs w:val="22"/>
        </w:rPr>
      </w:pPr>
      <w:del w:id="2280" w:author="AbbVie14" w:date="2025-05-09T10:30:00Z">
        <w:r w:rsidRPr="00295E71">
          <w:rPr>
            <w:sz w:val="22"/>
            <w:szCs w:val="22"/>
          </w:rPr>
          <w:delText xml:space="preserve">Le percentuali di pazienti trattati con Humira che hanno raggiunto risposte ACR 20, 50 e 70 erano sovrapponibili negli studi AR I, II e III. I risultati relativi al trattamento con 40 mg ogni due settimane sono riassunti nella Tabella </w:delText>
        </w:r>
      </w:del>
      <w:del w:id="2281" w:author="AbbVie14" w:date="2025-05-09T10:30:00Z">
        <w:r w:rsidR="000203FD">
          <w:rPr>
            <w:sz w:val="22"/>
            <w:szCs w:val="22"/>
          </w:rPr>
          <w:delText>8</w:delText>
        </w:r>
      </w:del>
      <w:del w:id="2282" w:author="AbbVie14" w:date="2025-05-09T10:30:00Z">
        <w:r w:rsidRPr="00295E71">
          <w:rPr>
            <w:sz w:val="22"/>
            <w:szCs w:val="22"/>
          </w:rPr>
          <w:delText>.</w:delText>
        </w:r>
      </w:del>
    </w:p>
    <w:p w:rsidR="006224C2" w:rsidRPr="00295E71" w14:paraId="7FF0DC4F" w14:textId="77777777">
      <w:pPr>
        <w:tabs>
          <w:tab w:val="left" w:pos="567"/>
        </w:tabs>
        <w:jc w:val="both"/>
        <w:pPrChange w:id="2283" w:author="AbbVie14" w:date="2025-05-09T10:30:00Z">
          <w:pPr/>
        </w:pPrChange>
        <w:rPr>
          <w:del w:id="2284" w:author="AbbVie14" w:date="2025-05-09T10:30:00Z"/>
          <w:sz w:val="22"/>
          <w:szCs w:val="22"/>
        </w:rPr>
      </w:pPr>
    </w:p>
    <w:tbl>
      <w:tblPr>
        <w:tblW w:w="9074" w:type="dxa"/>
        <w:tblLayout w:type="fixed"/>
        <w:tblCellMar>
          <w:left w:w="0" w:type="dxa"/>
          <w:right w:w="0" w:type="dxa"/>
        </w:tblCellMar>
        <w:tblLook w:val="0000"/>
      </w:tblPr>
      <w:tblGrid>
        <w:gridCol w:w="1069"/>
        <w:gridCol w:w="1393"/>
        <w:gridCol w:w="1417"/>
        <w:gridCol w:w="1071"/>
        <w:gridCol w:w="1197"/>
        <w:gridCol w:w="1418"/>
        <w:gridCol w:w="1509"/>
      </w:tblGrid>
      <w:tr w14:paraId="59EFF28D" w14:textId="77777777">
        <w:tblPrEx>
          <w:tblW w:w="9074" w:type="dxa"/>
          <w:tblLayout w:type="fixed"/>
          <w:tblLook w:val="0000"/>
        </w:tblPrEx>
        <w:trPr>
          <w:del w:id="2285" w:author="AbbVie14" w:date="2025-05-09T10:30:00Z"/>
        </w:trPr>
        <w:tc>
          <w:tcPr>
            <w:tcW w:w="9074" w:type="dxa"/>
            <w:gridSpan w:val="7"/>
          </w:tcPr>
          <w:p w:rsidR="006224C2" w:rsidRPr="00295E71" w:rsidP="00AD7AF0" w14:paraId="5640AF6B" w14:textId="77777777">
            <w:pPr>
              <w:pStyle w:val="BodyText1"/>
              <w:keepNext/>
              <w:tabs>
                <w:tab w:val="left" w:pos="567"/>
                <w:tab w:val="clear" w:pos="1152"/>
                <w:tab w:val="clear" w:pos="1872"/>
              </w:tabs>
              <w:spacing w:after="0" w:line="240" w:lineRule="auto"/>
              <w:ind w:left="0"/>
              <w:jc w:val="center"/>
              <w:rPr>
                <w:del w:id="2286" w:author="AbbVie14" w:date="2025-05-09T10:30:00Z"/>
                <w:b/>
                <w:bCs/>
                <w:sz w:val="22"/>
                <w:szCs w:val="22"/>
                <w:lang w:val="it-IT"/>
              </w:rPr>
            </w:pPr>
            <w:del w:id="2287" w:author="AbbVie14" w:date="2025-05-09T10:30:00Z">
              <w:r w:rsidRPr="00295E71">
                <w:rPr>
                  <w:sz w:val="22"/>
                  <w:szCs w:val="22"/>
                  <w:lang w:val="it-IT"/>
                </w:rPr>
                <w:br w:type="page"/>
              </w:r>
            </w:del>
            <w:del w:id="2288" w:author="AbbVie14" w:date="2025-05-09T10:30:00Z">
              <w:r w:rsidRPr="00295E71">
                <w:rPr>
                  <w:b/>
                  <w:bCs/>
                  <w:sz w:val="22"/>
                  <w:szCs w:val="22"/>
                  <w:lang w:val="it-IT"/>
                </w:rPr>
                <w:delText xml:space="preserve">Tabella </w:delText>
              </w:r>
            </w:del>
            <w:del w:id="2289" w:author="AbbVie14" w:date="2025-05-09T10:30:00Z">
              <w:r w:rsidR="000203FD">
                <w:rPr>
                  <w:b/>
                  <w:bCs/>
                  <w:sz w:val="22"/>
                  <w:szCs w:val="22"/>
                  <w:lang w:val="it-IT"/>
                </w:rPr>
                <w:delText>8</w:delText>
              </w:r>
            </w:del>
          </w:p>
          <w:p w:rsidR="006224C2" w:rsidRPr="00295E71" w:rsidP="00AD7AF0" w14:paraId="0A968B4B" w14:textId="77777777">
            <w:pPr>
              <w:pStyle w:val="BodyText1"/>
              <w:keepNext/>
              <w:tabs>
                <w:tab w:val="left" w:pos="567"/>
                <w:tab w:val="clear" w:pos="1152"/>
                <w:tab w:val="clear" w:pos="1872"/>
              </w:tabs>
              <w:spacing w:after="0" w:line="240" w:lineRule="auto"/>
              <w:ind w:left="0"/>
              <w:jc w:val="center"/>
              <w:rPr>
                <w:del w:id="2290" w:author="AbbVie14" w:date="2025-05-09T10:30:00Z"/>
                <w:b/>
                <w:bCs/>
                <w:sz w:val="22"/>
                <w:szCs w:val="22"/>
                <w:lang w:val="it-IT"/>
              </w:rPr>
            </w:pPr>
            <w:del w:id="2291" w:author="AbbVie14" w:date="2025-05-09T10:30:00Z">
              <w:r w:rsidRPr="00295E71">
                <w:rPr>
                  <w:b/>
                  <w:bCs/>
                  <w:sz w:val="22"/>
                  <w:szCs w:val="22"/>
                  <w:lang w:val="it-IT"/>
                </w:rPr>
                <w:delText>Risposte ACR negli studi clinici controllati con placebo</w:delText>
              </w:r>
            </w:del>
          </w:p>
          <w:p w:rsidR="006224C2" w:rsidRPr="00295E71" w:rsidP="00AD7AF0" w14:paraId="4C6A738B" w14:textId="77777777">
            <w:pPr>
              <w:pStyle w:val="BodyText1"/>
              <w:keepNext/>
              <w:tabs>
                <w:tab w:val="left" w:pos="567"/>
                <w:tab w:val="clear" w:pos="1152"/>
                <w:tab w:val="clear" w:pos="1872"/>
              </w:tabs>
              <w:spacing w:after="0" w:line="240" w:lineRule="auto"/>
              <w:ind w:left="0"/>
              <w:jc w:val="center"/>
              <w:rPr>
                <w:del w:id="2292" w:author="AbbVie14" w:date="2025-05-09T10:30:00Z"/>
                <w:b/>
                <w:bCs/>
                <w:sz w:val="22"/>
                <w:szCs w:val="22"/>
                <w:lang w:val="it-IT"/>
              </w:rPr>
            </w:pPr>
            <w:del w:id="2293" w:author="AbbVie14" w:date="2025-05-09T10:30:00Z">
              <w:r w:rsidRPr="00295E71">
                <w:rPr>
                  <w:b/>
                  <w:bCs/>
                  <w:sz w:val="22"/>
                  <w:szCs w:val="22"/>
                  <w:lang w:val="it-IT"/>
                </w:rPr>
                <w:delText>(percentuale di pazienti)</w:delText>
              </w:r>
            </w:del>
          </w:p>
          <w:p w:rsidR="006224C2" w:rsidRPr="00295E71" w:rsidP="00AD7AF0" w14:paraId="2ADF7749" w14:textId="77777777">
            <w:pPr>
              <w:pStyle w:val="BodyText1"/>
              <w:keepNext/>
              <w:tabs>
                <w:tab w:val="left" w:pos="567"/>
                <w:tab w:val="clear" w:pos="1152"/>
                <w:tab w:val="clear" w:pos="1872"/>
              </w:tabs>
              <w:spacing w:after="0" w:line="240" w:lineRule="auto"/>
              <w:ind w:left="0"/>
              <w:jc w:val="center"/>
              <w:rPr>
                <w:del w:id="2294" w:author="AbbVie14" w:date="2025-05-09T10:30:00Z"/>
                <w:sz w:val="22"/>
                <w:szCs w:val="22"/>
                <w:lang w:val="it-IT"/>
              </w:rPr>
            </w:pPr>
          </w:p>
        </w:tc>
      </w:tr>
      <w:tr w14:paraId="6411E776" w14:textId="77777777">
        <w:tblPrEx>
          <w:tblW w:w="9074" w:type="dxa"/>
          <w:tblLayout w:type="fixed"/>
          <w:tblLook w:val="0000"/>
        </w:tblPrEx>
        <w:trPr>
          <w:cantSplit/>
          <w:del w:id="2295" w:author="AbbVie14" w:date="2025-05-09T10:30:00Z"/>
        </w:trPr>
        <w:tc>
          <w:tcPr>
            <w:tcW w:w="1069" w:type="dxa"/>
            <w:tcBorders>
              <w:top w:val="single" w:sz="6" w:space="0" w:color="auto"/>
              <w:right w:val="single" w:sz="6" w:space="0" w:color="auto"/>
            </w:tcBorders>
          </w:tcPr>
          <w:p w:rsidR="006224C2" w:rsidRPr="00295E71" w14:paraId="6538EC8D" w14:textId="77777777">
            <w:pPr>
              <w:tabs>
                <w:tab w:val="left" w:pos="567"/>
              </w:tabs>
              <w:jc w:val="both"/>
              <w:pPrChange w:id="2296" w:author="AbbVie14" w:date="2025-05-09T10:30:00Z">
                <w:pPr>
                  <w:pStyle w:val="In-texttable"/>
                  <w:tabs>
                    <w:tab w:val="left" w:pos="567"/>
                  </w:tabs>
                  <w:spacing w:line="240" w:lineRule="auto"/>
                </w:pPr>
              </w:pPrChange>
              <w:rPr>
                <w:del w:id="2297" w:author="AbbVie14" w:date="2025-05-09T10:30:00Z"/>
                <w:sz w:val="22"/>
                <w:szCs w:val="22"/>
              </w:rPr>
            </w:pPr>
            <w:del w:id="2298" w:author="AbbVie14" w:date="2025-05-09T10:30:00Z">
              <w:r w:rsidRPr="00295E71">
                <w:rPr>
                  <w:sz w:val="22"/>
                  <w:szCs w:val="22"/>
                </w:rPr>
                <w:delText>Risposta</w:delText>
              </w:r>
            </w:del>
          </w:p>
        </w:tc>
        <w:tc>
          <w:tcPr>
            <w:tcW w:w="2810" w:type="dxa"/>
            <w:gridSpan w:val="2"/>
            <w:tcBorders>
              <w:top w:val="single" w:sz="6" w:space="0" w:color="auto"/>
              <w:left w:val="single" w:sz="6" w:space="0" w:color="auto"/>
              <w:bottom w:val="single" w:sz="6" w:space="0" w:color="auto"/>
              <w:right w:val="single" w:sz="6" w:space="0" w:color="auto"/>
            </w:tcBorders>
          </w:tcPr>
          <w:p w:rsidR="006224C2" w:rsidRPr="00295E71" w14:paraId="53D7DB8D" w14:textId="77777777">
            <w:pPr>
              <w:tabs>
                <w:tab w:val="left" w:pos="567"/>
              </w:tabs>
              <w:jc w:val="both"/>
              <w:pPrChange w:id="2299" w:author="AbbVie14" w:date="2025-05-09T10:30:00Z">
                <w:pPr>
                  <w:pStyle w:val="In-texttable"/>
                  <w:tabs>
                    <w:tab w:val="left" w:pos="567"/>
                  </w:tabs>
                  <w:spacing w:line="240" w:lineRule="auto"/>
                  <w:jc w:val="center"/>
                </w:pPr>
              </w:pPrChange>
              <w:rPr>
                <w:del w:id="2300" w:author="AbbVie14" w:date="2025-05-09T10:30:00Z"/>
                <w:sz w:val="22"/>
                <w:szCs w:val="22"/>
              </w:rPr>
            </w:pPr>
            <w:del w:id="2301" w:author="AbbVie14" w:date="2025-05-09T10:30:00Z">
              <w:r w:rsidRPr="00295E71">
                <w:rPr>
                  <w:sz w:val="22"/>
                  <w:szCs w:val="22"/>
                </w:rPr>
                <w:delText>studio AR I</w:delText>
              </w:r>
            </w:del>
            <w:del w:id="2302" w:author="AbbVie14" w:date="2025-05-09T10:30:00Z">
              <w:r w:rsidRPr="00295E71">
                <w:rPr>
                  <w:sz w:val="22"/>
                  <w:szCs w:val="22"/>
                  <w:vertAlign w:val="superscript"/>
                </w:rPr>
                <w:delText>a</w:delText>
              </w:r>
            </w:del>
            <w:del w:id="2303" w:author="AbbVie14" w:date="2025-05-09T10:30:00Z">
              <w:r w:rsidRPr="00295E71">
                <w:rPr>
                  <w:sz w:val="22"/>
                  <w:szCs w:val="22"/>
                </w:rPr>
                <w:delText>**</w:delText>
              </w:r>
            </w:del>
          </w:p>
        </w:tc>
        <w:tc>
          <w:tcPr>
            <w:tcW w:w="2268" w:type="dxa"/>
            <w:gridSpan w:val="2"/>
            <w:tcBorders>
              <w:top w:val="single" w:sz="6" w:space="0" w:color="auto"/>
              <w:left w:val="single" w:sz="6" w:space="0" w:color="auto"/>
              <w:bottom w:val="single" w:sz="6" w:space="0" w:color="auto"/>
              <w:right w:val="single" w:sz="6" w:space="0" w:color="auto"/>
            </w:tcBorders>
          </w:tcPr>
          <w:p w:rsidR="006224C2" w:rsidRPr="00295E71" w14:paraId="1B0E9381" w14:textId="77777777">
            <w:pPr>
              <w:tabs>
                <w:tab w:val="left" w:pos="567"/>
              </w:tabs>
              <w:jc w:val="both"/>
              <w:pPrChange w:id="2304" w:author="AbbVie14" w:date="2025-05-09T10:30:00Z">
                <w:pPr>
                  <w:pStyle w:val="In-texttable"/>
                  <w:tabs>
                    <w:tab w:val="left" w:pos="567"/>
                  </w:tabs>
                  <w:spacing w:line="240" w:lineRule="auto"/>
                  <w:jc w:val="center"/>
                </w:pPr>
              </w:pPrChange>
              <w:rPr>
                <w:del w:id="2305" w:author="AbbVie14" w:date="2025-05-09T10:30:00Z"/>
                <w:sz w:val="22"/>
                <w:szCs w:val="22"/>
              </w:rPr>
            </w:pPr>
            <w:del w:id="2306" w:author="AbbVie14" w:date="2025-05-09T10:30:00Z">
              <w:r w:rsidRPr="00295E71">
                <w:rPr>
                  <w:sz w:val="22"/>
                  <w:szCs w:val="22"/>
                </w:rPr>
                <w:delText>studio AR II</w:delText>
              </w:r>
            </w:del>
            <w:del w:id="2307" w:author="AbbVie14" w:date="2025-05-09T10:30:00Z">
              <w:r w:rsidRPr="00295E71">
                <w:rPr>
                  <w:sz w:val="22"/>
                  <w:szCs w:val="22"/>
                  <w:vertAlign w:val="superscript"/>
                </w:rPr>
                <w:delText>a</w:delText>
              </w:r>
            </w:del>
            <w:del w:id="2308" w:author="AbbVie14" w:date="2025-05-09T10:30:00Z">
              <w:r w:rsidRPr="00295E71">
                <w:rPr>
                  <w:sz w:val="22"/>
                  <w:szCs w:val="22"/>
                </w:rPr>
                <w:delText>**</w:delText>
              </w:r>
            </w:del>
          </w:p>
        </w:tc>
        <w:tc>
          <w:tcPr>
            <w:tcW w:w="2927" w:type="dxa"/>
            <w:gridSpan w:val="2"/>
            <w:tcBorders>
              <w:top w:val="single" w:sz="6" w:space="0" w:color="auto"/>
              <w:left w:val="single" w:sz="6" w:space="0" w:color="auto"/>
              <w:bottom w:val="single" w:sz="6" w:space="0" w:color="auto"/>
            </w:tcBorders>
          </w:tcPr>
          <w:p w:rsidR="006224C2" w:rsidRPr="00295E71" w14:paraId="193D8931" w14:textId="77777777">
            <w:pPr>
              <w:tabs>
                <w:tab w:val="left" w:pos="567"/>
              </w:tabs>
              <w:jc w:val="both"/>
              <w:pPrChange w:id="2309" w:author="AbbVie14" w:date="2025-05-09T10:30:00Z">
                <w:pPr>
                  <w:pStyle w:val="In-texttable"/>
                  <w:tabs>
                    <w:tab w:val="left" w:pos="567"/>
                  </w:tabs>
                  <w:spacing w:line="240" w:lineRule="auto"/>
                  <w:jc w:val="center"/>
                </w:pPr>
              </w:pPrChange>
              <w:rPr>
                <w:del w:id="2310" w:author="AbbVie14" w:date="2025-05-09T10:30:00Z"/>
                <w:sz w:val="22"/>
                <w:szCs w:val="22"/>
              </w:rPr>
            </w:pPr>
            <w:del w:id="2311" w:author="AbbVie14" w:date="2025-05-09T10:30:00Z">
              <w:r w:rsidRPr="00295E71">
                <w:rPr>
                  <w:sz w:val="22"/>
                  <w:szCs w:val="22"/>
                </w:rPr>
                <w:delText>studio AR III</w:delText>
              </w:r>
            </w:del>
            <w:del w:id="2312" w:author="AbbVie14" w:date="2025-05-09T10:30:00Z">
              <w:r w:rsidRPr="00295E71">
                <w:rPr>
                  <w:sz w:val="22"/>
                  <w:szCs w:val="22"/>
                  <w:vertAlign w:val="superscript"/>
                </w:rPr>
                <w:delText>a</w:delText>
              </w:r>
            </w:del>
            <w:del w:id="2313" w:author="AbbVie14" w:date="2025-05-09T10:30:00Z">
              <w:r w:rsidRPr="00295E71">
                <w:rPr>
                  <w:sz w:val="22"/>
                  <w:szCs w:val="22"/>
                </w:rPr>
                <w:delText>**</w:delText>
              </w:r>
            </w:del>
          </w:p>
          <w:p w:rsidR="006224C2" w:rsidRPr="00295E71" w14:paraId="68C4E1A8" w14:textId="77777777">
            <w:pPr>
              <w:tabs>
                <w:tab w:val="left" w:pos="567"/>
              </w:tabs>
              <w:jc w:val="both"/>
              <w:pPrChange w:id="2314" w:author="AbbVie14" w:date="2025-05-09T10:30:00Z">
                <w:pPr>
                  <w:pStyle w:val="In-texttable"/>
                  <w:tabs>
                    <w:tab w:val="left" w:pos="567"/>
                  </w:tabs>
                  <w:spacing w:line="240" w:lineRule="auto"/>
                  <w:jc w:val="center"/>
                </w:pPr>
              </w:pPrChange>
              <w:rPr>
                <w:del w:id="2315" w:author="AbbVie14" w:date="2025-05-09T10:30:00Z"/>
                <w:sz w:val="22"/>
                <w:szCs w:val="22"/>
              </w:rPr>
            </w:pPr>
          </w:p>
        </w:tc>
      </w:tr>
      <w:tr w14:paraId="5863A1F9" w14:textId="77777777">
        <w:tblPrEx>
          <w:tblW w:w="9074" w:type="dxa"/>
          <w:tblLayout w:type="fixed"/>
          <w:tblLook w:val="0000"/>
        </w:tblPrEx>
        <w:trPr>
          <w:cantSplit/>
          <w:del w:id="2316" w:author="AbbVie14" w:date="2025-05-09T10:30:00Z"/>
        </w:trPr>
        <w:tc>
          <w:tcPr>
            <w:tcW w:w="1069" w:type="dxa"/>
            <w:tcBorders>
              <w:bottom w:val="single" w:sz="6" w:space="0" w:color="auto"/>
              <w:right w:val="single" w:sz="6" w:space="0" w:color="auto"/>
            </w:tcBorders>
          </w:tcPr>
          <w:p w:rsidR="006224C2" w:rsidRPr="00295E71" w:rsidP="00AD7AF0" w14:paraId="1DE97642" w14:textId="77777777">
            <w:pPr>
              <w:pStyle w:val="In-texttable"/>
              <w:tabs>
                <w:tab w:val="left" w:pos="567"/>
              </w:tabs>
              <w:spacing w:line="240" w:lineRule="auto"/>
              <w:rPr>
                <w:del w:id="2317" w:author="AbbVie14" w:date="2025-05-09T10:30:00Z"/>
                <w:rFonts w:ascii="Times New Roman" w:hAnsi="Times New Roman" w:cs="Times New Roman"/>
                <w:sz w:val="22"/>
                <w:szCs w:val="22"/>
                <w:lang w:val="it-IT"/>
              </w:rPr>
            </w:pPr>
          </w:p>
        </w:tc>
        <w:tc>
          <w:tcPr>
            <w:tcW w:w="1393" w:type="dxa"/>
            <w:tcBorders>
              <w:top w:val="single" w:sz="6" w:space="0" w:color="auto"/>
              <w:left w:val="single" w:sz="6" w:space="0" w:color="auto"/>
              <w:bottom w:val="single" w:sz="6" w:space="0" w:color="auto"/>
            </w:tcBorders>
          </w:tcPr>
          <w:p w:rsidR="006224C2" w:rsidRPr="00295E71" w:rsidP="00AD7AF0" w14:paraId="206A7408" w14:textId="77777777">
            <w:pPr>
              <w:pStyle w:val="In-texttable"/>
              <w:tabs>
                <w:tab w:val="left" w:pos="567"/>
              </w:tabs>
              <w:spacing w:line="240" w:lineRule="auto"/>
              <w:jc w:val="center"/>
              <w:rPr>
                <w:del w:id="2318" w:author="AbbVie14" w:date="2025-05-09T10:30:00Z"/>
                <w:rFonts w:ascii="Times New Roman" w:hAnsi="Times New Roman" w:cs="Times New Roman"/>
                <w:sz w:val="22"/>
                <w:szCs w:val="22"/>
                <w:lang w:val="it-IT"/>
              </w:rPr>
            </w:pPr>
            <w:del w:id="2319" w:author="AbbVie14" w:date="2025-05-09T10:30:00Z">
              <w:r w:rsidRPr="00295E71">
                <w:rPr>
                  <w:rFonts w:ascii="Times New Roman" w:hAnsi="Times New Roman" w:cs="Times New Roman"/>
                  <w:sz w:val="22"/>
                  <w:szCs w:val="22"/>
                  <w:lang w:val="it-IT"/>
                </w:rPr>
                <w:delText>Placebo/ MTX</w:delText>
              </w:r>
            </w:del>
            <w:del w:id="2320" w:author="AbbVie14" w:date="2025-05-09T10:30:00Z">
              <w:r w:rsidRPr="00295E71">
                <w:rPr>
                  <w:rFonts w:ascii="Times New Roman" w:hAnsi="Times New Roman" w:cs="Times New Roman"/>
                  <w:sz w:val="22"/>
                  <w:szCs w:val="22"/>
                  <w:vertAlign w:val="superscript"/>
                  <w:lang w:val="it-IT"/>
                </w:rPr>
                <w:delText>c</w:delText>
              </w:r>
            </w:del>
          </w:p>
          <w:p w:rsidR="006224C2" w:rsidRPr="00295E71" w:rsidP="00AD7AF0" w14:paraId="2EF21745" w14:textId="77777777">
            <w:pPr>
              <w:pStyle w:val="In-texttable"/>
              <w:tabs>
                <w:tab w:val="left" w:pos="567"/>
              </w:tabs>
              <w:spacing w:line="240" w:lineRule="auto"/>
              <w:jc w:val="center"/>
              <w:rPr>
                <w:del w:id="2321" w:author="AbbVie14" w:date="2025-05-09T10:30:00Z"/>
                <w:rFonts w:ascii="Times New Roman" w:hAnsi="Times New Roman" w:cs="Times New Roman"/>
                <w:sz w:val="22"/>
                <w:szCs w:val="22"/>
                <w:lang w:val="it-IT"/>
              </w:rPr>
            </w:pPr>
            <w:del w:id="2322" w:author="AbbVie14" w:date="2025-05-09T10:30:00Z">
              <w:r w:rsidRPr="00295E71">
                <w:rPr>
                  <w:rFonts w:ascii="Times New Roman" w:hAnsi="Times New Roman" w:cs="Times New Roman"/>
                  <w:sz w:val="22"/>
                  <w:szCs w:val="22"/>
                  <w:lang w:val="it-IT"/>
                </w:rPr>
                <w:delText>n=60</w:delText>
              </w:r>
            </w:del>
          </w:p>
        </w:tc>
        <w:tc>
          <w:tcPr>
            <w:tcW w:w="1417" w:type="dxa"/>
            <w:tcBorders>
              <w:top w:val="single" w:sz="6" w:space="0" w:color="auto"/>
              <w:bottom w:val="single" w:sz="6" w:space="0" w:color="auto"/>
              <w:right w:val="single" w:sz="6" w:space="0" w:color="auto"/>
            </w:tcBorders>
          </w:tcPr>
          <w:p w:rsidR="006224C2" w:rsidRPr="00295E71" w:rsidP="00AD7AF0" w14:paraId="18738D08" w14:textId="77777777">
            <w:pPr>
              <w:pStyle w:val="In-texttable"/>
              <w:tabs>
                <w:tab w:val="left" w:pos="567"/>
              </w:tabs>
              <w:spacing w:line="240" w:lineRule="auto"/>
              <w:jc w:val="center"/>
              <w:rPr>
                <w:del w:id="2323" w:author="AbbVie14" w:date="2025-05-09T10:30:00Z"/>
                <w:rFonts w:ascii="Times New Roman" w:hAnsi="Times New Roman" w:cs="Times New Roman"/>
                <w:sz w:val="22"/>
                <w:szCs w:val="22"/>
                <w:lang w:val="it-IT"/>
              </w:rPr>
            </w:pPr>
            <w:del w:id="2324" w:author="AbbVie14" w:date="2025-05-09T10:30:00Z">
              <w:r w:rsidRPr="00295E71">
                <w:rPr>
                  <w:rFonts w:ascii="Times New Roman" w:hAnsi="Times New Roman" w:cs="Times New Roman"/>
                  <w:sz w:val="22"/>
                  <w:szCs w:val="22"/>
                  <w:lang w:val="it-IT"/>
                </w:rPr>
                <w:delText>Humira</w:delText>
              </w:r>
            </w:del>
            <w:del w:id="2325" w:author="AbbVie14" w:date="2025-05-09T10:30:00Z">
              <w:r w:rsidRPr="00295E71">
                <w:rPr>
                  <w:rFonts w:ascii="Times New Roman" w:hAnsi="Times New Roman" w:cs="Times New Roman"/>
                  <w:sz w:val="22"/>
                  <w:szCs w:val="22"/>
                  <w:vertAlign w:val="superscript"/>
                  <w:lang w:val="it-IT"/>
                </w:rPr>
                <w:delText>b</w:delText>
              </w:r>
            </w:del>
            <w:del w:id="2326" w:author="AbbVie14" w:date="2025-05-09T10:30:00Z">
              <w:r w:rsidRPr="00295E71">
                <w:rPr>
                  <w:rFonts w:ascii="Times New Roman" w:hAnsi="Times New Roman" w:cs="Times New Roman"/>
                  <w:sz w:val="22"/>
                  <w:szCs w:val="22"/>
                  <w:lang w:val="it-IT"/>
                </w:rPr>
                <w:delText>/ MTX</w:delText>
              </w:r>
            </w:del>
            <w:del w:id="2327" w:author="AbbVie14" w:date="2025-05-09T10:30:00Z">
              <w:r w:rsidRPr="00295E71">
                <w:rPr>
                  <w:rFonts w:ascii="Times New Roman" w:hAnsi="Times New Roman" w:cs="Times New Roman"/>
                  <w:sz w:val="22"/>
                  <w:szCs w:val="22"/>
                  <w:vertAlign w:val="superscript"/>
                  <w:lang w:val="it-IT"/>
                </w:rPr>
                <w:delText>c</w:delText>
              </w:r>
            </w:del>
          </w:p>
          <w:p w:rsidR="006224C2" w:rsidRPr="00295E71" w:rsidP="00AD7AF0" w14:paraId="23F63304" w14:textId="77777777">
            <w:pPr>
              <w:pStyle w:val="In-texttable"/>
              <w:tabs>
                <w:tab w:val="left" w:pos="567"/>
              </w:tabs>
              <w:spacing w:line="240" w:lineRule="auto"/>
              <w:jc w:val="center"/>
              <w:rPr>
                <w:del w:id="2328" w:author="AbbVie14" w:date="2025-05-09T10:30:00Z"/>
                <w:rFonts w:ascii="Times New Roman" w:hAnsi="Times New Roman" w:cs="Times New Roman"/>
                <w:sz w:val="22"/>
                <w:szCs w:val="22"/>
                <w:lang w:val="it-IT"/>
              </w:rPr>
            </w:pPr>
            <w:del w:id="2329" w:author="AbbVie14" w:date="2025-05-09T10:30:00Z">
              <w:r w:rsidRPr="00295E71">
                <w:rPr>
                  <w:rFonts w:ascii="Times New Roman" w:hAnsi="Times New Roman" w:cs="Times New Roman"/>
                  <w:sz w:val="22"/>
                  <w:szCs w:val="22"/>
                  <w:lang w:val="it-IT"/>
                </w:rPr>
                <w:delText>n=63</w:delText>
              </w:r>
            </w:del>
          </w:p>
        </w:tc>
        <w:tc>
          <w:tcPr>
            <w:tcW w:w="1071" w:type="dxa"/>
            <w:tcBorders>
              <w:top w:val="single" w:sz="6" w:space="0" w:color="auto"/>
              <w:left w:val="single" w:sz="6" w:space="0" w:color="auto"/>
              <w:bottom w:val="single" w:sz="6" w:space="0" w:color="auto"/>
            </w:tcBorders>
          </w:tcPr>
          <w:p w:rsidR="006224C2" w:rsidRPr="00295E71" w:rsidP="00AD7AF0" w14:paraId="370FE264" w14:textId="77777777">
            <w:pPr>
              <w:pStyle w:val="In-texttable"/>
              <w:tabs>
                <w:tab w:val="left" w:pos="567"/>
              </w:tabs>
              <w:spacing w:line="240" w:lineRule="auto"/>
              <w:jc w:val="center"/>
              <w:rPr>
                <w:del w:id="2330" w:author="AbbVie14" w:date="2025-05-09T10:30:00Z"/>
                <w:rFonts w:ascii="Times New Roman" w:hAnsi="Times New Roman" w:cs="Times New Roman"/>
                <w:sz w:val="22"/>
                <w:szCs w:val="22"/>
                <w:lang w:val="it-IT"/>
              </w:rPr>
            </w:pPr>
            <w:del w:id="2331" w:author="AbbVie14" w:date="2025-05-09T10:30:00Z">
              <w:r w:rsidRPr="00295E71">
                <w:rPr>
                  <w:rFonts w:ascii="Times New Roman" w:hAnsi="Times New Roman" w:cs="Times New Roman"/>
                  <w:sz w:val="22"/>
                  <w:szCs w:val="22"/>
                  <w:lang w:val="it-IT"/>
                </w:rPr>
                <w:delText>Placebo</w:delText>
              </w:r>
            </w:del>
          </w:p>
          <w:p w:rsidR="006224C2" w:rsidRPr="00295E71" w:rsidP="00AD7AF0" w14:paraId="776CEA2B" w14:textId="77777777">
            <w:pPr>
              <w:pStyle w:val="In-texttable"/>
              <w:tabs>
                <w:tab w:val="left" w:pos="567"/>
              </w:tabs>
              <w:spacing w:line="240" w:lineRule="auto"/>
              <w:jc w:val="center"/>
              <w:rPr>
                <w:del w:id="2332" w:author="AbbVie14" w:date="2025-05-09T10:30:00Z"/>
                <w:rFonts w:ascii="Times New Roman" w:hAnsi="Times New Roman" w:cs="Times New Roman"/>
                <w:sz w:val="22"/>
                <w:szCs w:val="22"/>
                <w:lang w:val="it-IT"/>
              </w:rPr>
            </w:pPr>
            <w:del w:id="2333" w:author="AbbVie14" w:date="2025-05-09T10:30:00Z">
              <w:r w:rsidRPr="00295E71">
                <w:rPr>
                  <w:rFonts w:ascii="Times New Roman" w:hAnsi="Times New Roman" w:cs="Times New Roman"/>
                  <w:sz w:val="22"/>
                  <w:szCs w:val="22"/>
                  <w:lang w:val="it-IT"/>
                </w:rPr>
                <w:delText>N=110</w:delText>
              </w:r>
            </w:del>
          </w:p>
        </w:tc>
        <w:tc>
          <w:tcPr>
            <w:tcW w:w="1197" w:type="dxa"/>
            <w:tcBorders>
              <w:top w:val="single" w:sz="6" w:space="0" w:color="auto"/>
              <w:bottom w:val="single" w:sz="6" w:space="0" w:color="auto"/>
              <w:right w:val="single" w:sz="6" w:space="0" w:color="auto"/>
            </w:tcBorders>
          </w:tcPr>
          <w:p w:rsidR="006224C2" w:rsidRPr="00295E71" w:rsidP="00AD7AF0" w14:paraId="28607DA4" w14:textId="77777777">
            <w:pPr>
              <w:pStyle w:val="In-texttable"/>
              <w:tabs>
                <w:tab w:val="left" w:pos="567"/>
              </w:tabs>
              <w:spacing w:line="240" w:lineRule="auto"/>
              <w:jc w:val="center"/>
              <w:rPr>
                <w:del w:id="2334" w:author="AbbVie14" w:date="2025-05-09T10:30:00Z"/>
                <w:rFonts w:ascii="Times New Roman" w:hAnsi="Times New Roman" w:cs="Times New Roman"/>
                <w:sz w:val="22"/>
                <w:szCs w:val="22"/>
                <w:lang w:val="it-IT"/>
              </w:rPr>
            </w:pPr>
            <w:del w:id="2335" w:author="AbbVie14" w:date="2025-05-09T10:30:00Z">
              <w:r w:rsidRPr="00295E71">
                <w:rPr>
                  <w:rFonts w:ascii="Times New Roman" w:hAnsi="Times New Roman" w:cs="Times New Roman"/>
                  <w:sz w:val="22"/>
                  <w:szCs w:val="22"/>
                  <w:lang w:val="it-IT"/>
                </w:rPr>
                <w:delText>Humira</w:delText>
              </w:r>
            </w:del>
            <w:del w:id="2336" w:author="AbbVie14" w:date="2025-05-09T10:30:00Z">
              <w:r w:rsidRPr="00295E71">
                <w:rPr>
                  <w:rFonts w:ascii="Times New Roman" w:hAnsi="Times New Roman" w:cs="Times New Roman"/>
                  <w:sz w:val="22"/>
                  <w:szCs w:val="22"/>
                  <w:vertAlign w:val="superscript"/>
                  <w:lang w:val="it-IT"/>
                </w:rPr>
                <w:delText>b</w:delText>
              </w:r>
            </w:del>
          </w:p>
          <w:p w:rsidR="006224C2" w:rsidRPr="00295E71" w:rsidP="00AD7AF0" w14:paraId="18C0C689" w14:textId="77777777">
            <w:pPr>
              <w:pStyle w:val="In-texttable"/>
              <w:tabs>
                <w:tab w:val="left" w:pos="567"/>
              </w:tabs>
              <w:spacing w:line="240" w:lineRule="auto"/>
              <w:jc w:val="center"/>
              <w:rPr>
                <w:del w:id="2337" w:author="AbbVie14" w:date="2025-05-09T10:30:00Z"/>
                <w:rFonts w:ascii="Times New Roman" w:hAnsi="Times New Roman" w:cs="Times New Roman"/>
                <w:sz w:val="22"/>
                <w:szCs w:val="22"/>
                <w:lang w:val="it-IT"/>
              </w:rPr>
            </w:pPr>
            <w:del w:id="2338" w:author="AbbVie14" w:date="2025-05-09T10:30:00Z">
              <w:r w:rsidRPr="00295E71">
                <w:rPr>
                  <w:rFonts w:ascii="Times New Roman" w:hAnsi="Times New Roman" w:cs="Times New Roman"/>
                  <w:sz w:val="22"/>
                  <w:szCs w:val="22"/>
                  <w:lang w:val="it-IT"/>
                </w:rPr>
                <w:delText>n=113</w:delText>
              </w:r>
            </w:del>
          </w:p>
        </w:tc>
        <w:tc>
          <w:tcPr>
            <w:tcW w:w="1418" w:type="dxa"/>
            <w:tcBorders>
              <w:top w:val="single" w:sz="6" w:space="0" w:color="auto"/>
              <w:left w:val="single" w:sz="6" w:space="0" w:color="auto"/>
              <w:bottom w:val="single" w:sz="6" w:space="0" w:color="auto"/>
            </w:tcBorders>
          </w:tcPr>
          <w:p w:rsidR="006224C2" w:rsidRPr="00295E71" w:rsidP="00AD7AF0" w14:paraId="368D33F6" w14:textId="77777777">
            <w:pPr>
              <w:pStyle w:val="In-texttable"/>
              <w:tabs>
                <w:tab w:val="left" w:pos="567"/>
              </w:tabs>
              <w:spacing w:line="240" w:lineRule="auto"/>
              <w:jc w:val="center"/>
              <w:rPr>
                <w:del w:id="2339" w:author="AbbVie14" w:date="2025-05-09T10:30:00Z"/>
                <w:rFonts w:ascii="Times New Roman" w:hAnsi="Times New Roman" w:cs="Times New Roman"/>
                <w:sz w:val="22"/>
                <w:szCs w:val="22"/>
                <w:lang w:val="it-IT"/>
              </w:rPr>
            </w:pPr>
            <w:del w:id="2340" w:author="AbbVie14" w:date="2025-05-09T10:30:00Z">
              <w:r w:rsidRPr="00295E71">
                <w:rPr>
                  <w:rFonts w:ascii="Times New Roman" w:hAnsi="Times New Roman" w:cs="Times New Roman"/>
                  <w:sz w:val="22"/>
                  <w:szCs w:val="22"/>
                  <w:lang w:val="it-IT"/>
                </w:rPr>
                <w:delText>Placebo/ MTX</w:delText>
              </w:r>
            </w:del>
            <w:del w:id="2341" w:author="AbbVie14" w:date="2025-05-09T10:30:00Z">
              <w:r w:rsidRPr="00295E71">
                <w:rPr>
                  <w:rFonts w:ascii="Times New Roman" w:hAnsi="Times New Roman" w:cs="Times New Roman"/>
                  <w:sz w:val="22"/>
                  <w:szCs w:val="22"/>
                  <w:vertAlign w:val="superscript"/>
                  <w:lang w:val="it-IT"/>
                </w:rPr>
                <w:delText>c</w:delText>
              </w:r>
            </w:del>
          </w:p>
          <w:p w:rsidR="006224C2" w:rsidRPr="00295E71" w:rsidP="00AD7AF0" w14:paraId="620F3510" w14:textId="77777777">
            <w:pPr>
              <w:pStyle w:val="In-texttable"/>
              <w:tabs>
                <w:tab w:val="left" w:pos="567"/>
              </w:tabs>
              <w:spacing w:line="240" w:lineRule="auto"/>
              <w:jc w:val="center"/>
              <w:rPr>
                <w:del w:id="2342" w:author="AbbVie14" w:date="2025-05-09T10:30:00Z"/>
                <w:rFonts w:ascii="Times New Roman" w:hAnsi="Times New Roman" w:cs="Times New Roman"/>
                <w:sz w:val="22"/>
                <w:szCs w:val="22"/>
                <w:lang w:val="it-IT"/>
              </w:rPr>
            </w:pPr>
            <w:del w:id="2343" w:author="AbbVie14" w:date="2025-05-09T10:30:00Z">
              <w:r w:rsidRPr="00295E71">
                <w:rPr>
                  <w:rFonts w:ascii="Times New Roman" w:hAnsi="Times New Roman" w:cs="Times New Roman"/>
                  <w:sz w:val="22"/>
                  <w:szCs w:val="22"/>
                  <w:lang w:val="it-IT"/>
                </w:rPr>
                <w:delText>n=200</w:delText>
              </w:r>
            </w:del>
          </w:p>
        </w:tc>
        <w:tc>
          <w:tcPr>
            <w:tcW w:w="1509" w:type="dxa"/>
            <w:tcBorders>
              <w:top w:val="single" w:sz="6" w:space="0" w:color="auto"/>
              <w:bottom w:val="single" w:sz="6" w:space="0" w:color="auto"/>
            </w:tcBorders>
          </w:tcPr>
          <w:p w:rsidR="006224C2" w:rsidRPr="00295E71" w:rsidP="00AD7AF0" w14:paraId="7C7398B3" w14:textId="77777777">
            <w:pPr>
              <w:pStyle w:val="In-texttable"/>
              <w:tabs>
                <w:tab w:val="left" w:pos="567"/>
              </w:tabs>
              <w:spacing w:line="240" w:lineRule="auto"/>
              <w:jc w:val="center"/>
              <w:rPr>
                <w:del w:id="2344" w:author="AbbVie14" w:date="2025-05-09T10:30:00Z"/>
                <w:rFonts w:ascii="Times New Roman" w:hAnsi="Times New Roman" w:cs="Times New Roman"/>
                <w:sz w:val="22"/>
                <w:szCs w:val="22"/>
                <w:lang w:val="it-IT"/>
              </w:rPr>
            </w:pPr>
            <w:del w:id="2345" w:author="AbbVie14" w:date="2025-05-09T10:30:00Z">
              <w:r w:rsidRPr="00295E71">
                <w:rPr>
                  <w:rFonts w:ascii="Times New Roman" w:hAnsi="Times New Roman" w:cs="Times New Roman"/>
                  <w:sz w:val="22"/>
                  <w:szCs w:val="22"/>
                  <w:lang w:val="it-IT"/>
                </w:rPr>
                <w:delText>Humira</w:delText>
              </w:r>
            </w:del>
            <w:del w:id="2346" w:author="AbbVie14" w:date="2025-05-09T10:30:00Z">
              <w:r w:rsidRPr="00295E71">
                <w:rPr>
                  <w:rFonts w:ascii="Times New Roman" w:hAnsi="Times New Roman" w:cs="Times New Roman"/>
                  <w:sz w:val="22"/>
                  <w:szCs w:val="22"/>
                  <w:vertAlign w:val="superscript"/>
                  <w:lang w:val="it-IT"/>
                </w:rPr>
                <w:delText>b</w:delText>
              </w:r>
            </w:del>
            <w:del w:id="2347" w:author="AbbVie14" w:date="2025-05-09T10:30:00Z">
              <w:r w:rsidRPr="00295E71">
                <w:rPr>
                  <w:rFonts w:ascii="Times New Roman" w:hAnsi="Times New Roman" w:cs="Times New Roman"/>
                  <w:sz w:val="22"/>
                  <w:szCs w:val="22"/>
                  <w:lang w:val="it-IT"/>
                </w:rPr>
                <w:delText>/ MTX</w:delText>
              </w:r>
            </w:del>
            <w:del w:id="2348" w:author="AbbVie14" w:date="2025-05-09T10:30:00Z">
              <w:r w:rsidRPr="00295E71">
                <w:rPr>
                  <w:rFonts w:ascii="Times New Roman" w:hAnsi="Times New Roman" w:cs="Times New Roman"/>
                  <w:sz w:val="22"/>
                  <w:szCs w:val="22"/>
                  <w:vertAlign w:val="superscript"/>
                  <w:lang w:val="it-IT"/>
                </w:rPr>
                <w:delText>c</w:delText>
              </w:r>
            </w:del>
          </w:p>
          <w:p w:rsidR="006224C2" w:rsidRPr="00295E71" w:rsidP="00AD7AF0" w14:paraId="79B60ED3" w14:textId="77777777">
            <w:pPr>
              <w:pStyle w:val="In-texttable"/>
              <w:tabs>
                <w:tab w:val="left" w:pos="567"/>
              </w:tabs>
              <w:spacing w:line="240" w:lineRule="auto"/>
              <w:jc w:val="center"/>
              <w:rPr>
                <w:del w:id="2349" w:author="AbbVie14" w:date="2025-05-09T10:30:00Z"/>
                <w:rFonts w:ascii="Times New Roman" w:hAnsi="Times New Roman" w:cs="Times New Roman"/>
                <w:sz w:val="22"/>
                <w:szCs w:val="22"/>
                <w:lang w:val="it-IT"/>
              </w:rPr>
            </w:pPr>
            <w:del w:id="2350" w:author="AbbVie14" w:date="2025-05-09T10:30:00Z">
              <w:r w:rsidRPr="00295E71">
                <w:rPr>
                  <w:rFonts w:ascii="Times New Roman" w:hAnsi="Times New Roman" w:cs="Times New Roman"/>
                  <w:sz w:val="22"/>
                  <w:szCs w:val="22"/>
                  <w:lang w:val="it-IT"/>
                </w:rPr>
                <w:delText>n=207</w:delText>
              </w:r>
            </w:del>
          </w:p>
        </w:tc>
      </w:tr>
      <w:tr w14:paraId="123E991D" w14:textId="77777777">
        <w:tblPrEx>
          <w:tblW w:w="9074" w:type="dxa"/>
          <w:tblLayout w:type="fixed"/>
          <w:tblLook w:val="0000"/>
        </w:tblPrEx>
        <w:trPr>
          <w:cantSplit/>
          <w:del w:id="2351" w:author="AbbVie14" w:date="2025-05-09T10:30:00Z"/>
        </w:trPr>
        <w:tc>
          <w:tcPr>
            <w:tcW w:w="1069" w:type="dxa"/>
            <w:tcBorders>
              <w:right w:val="single" w:sz="6" w:space="0" w:color="auto"/>
            </w:tcBorders>
          </w:tcPr>
          <w:p w:rsidR="006224C2" w:rsidRPr="00295E71" w14:paraId="0149A7E6" w14:textId="77777777">
            <w:pPr>
              <w:tabs>
                <w:tab w:val="left" w:pos="567"/>
              </w:tabs>
              <w:jc w:val="both"/>
              <w:pPrChange w:id="2352" w:author="AbbVie14" w:date="2025-05-09T10:30:00Z">
                <w:pPr>
                  <w:pStyle w:val="In-texttable"/>
                  <w:tabs>
                    <w:tab w:val="left" w:pos="144"/>
                    <w:tab w:val="left" w:pos="567"/>
                  </w:tabs>
                  <w:spacing w:line="240" w:lineRule="auto"/>
                </w:pPr>
              </w:pPrChange>
              <w:rPr>
                <w:del w:id="2353" w:author="AbbVie14" w:date="2025-05-09T10:30:00Z"/>
                <w:sz w:val="22"/>
                <w:szCs w:val="22"/>
              </w:rPr>
            </w:pPr>
            <w:del w:id="2354" w:author="AbbVie14" w:date="2025-05-09T10:30:00Z">
              <w:r w:rsidRPr="00295E71">
                <w:rPr>
                  <w:sz w:val="22"/>
                  <w:szCs w:val="22"/>
                </w:rPr>
                <w:delText>ACR 20</w:delText>
              </w:r>
            </w:del>
          </w:p>
        </w:tc>
        <w:tc>
          <w:tcPr>
            <w:tcW w:w="1393" w:type="dxa"/>
            <w:tcBorders>
              <w:left w:val="single" w:sz="6" w:space="0" w:color="auto"/>
            </w:tcBorders>
          </w:tcPr>
          <w:p w:rsidR="006224C2" w:rsidRPr="00295E71" w14:paraId="01BADF40" w14:textId="77777777">
            <w:pPr>
              <w:tabs>
                <w:tab w:val="left" w:pos="567"/>
              </w:tabs>
              <w:jc w:val="both"/>
              <w:pPrChange w:id="2355" w:author="AbbVie14" w:date="2025-05-09T10:30:00Z">
                <w:pPr>
                  <w:pStyle w:val="In-texttable"/>
                  <w:tabs>
                    <w:tab w:val="left" w:pos="567"/>
                  </w:tabs>
                  <w:spacing w:line="240" w:lineRule="auto"/>
                  <w:jc w:val="center"/>
                </w:pPr>
              </w:pPrChange>
              <w:rPr>
                <w:del w:id="2356" w:author="AbbVie14" w:date="2025-05-09T10:30:00Z"/>
                <w:sz w:val="22"/>
                <w:szCs w:val="22"/>
              </w:rPr>
            </w:pPr>
          </w:p>
        </w:tc>
        <w:tc>
          <w:tcPr>
            <w:tcW w:w="1417" w:type="dxa"/>
            <w:tcBorders>
              <w:right w:val="single" w:sz="6" w:space="0" w:color="auto"/>
            </w:tcBorders>
          </w:tcPr>
          <w:p w:rsidR="006224C2" w:rsidRPr="00295E71" w14:paraId="791352AB" w14:textId="77777777">
            <w:pPr>
              <w:tabs>
                <w:tab w:val="left" w:pos="567"/>
              </w:tabs>
              <w:jc w:val="both"/>
              <w:pPrChange w:id="2357" w:author="AbbVie14" w:date="2025-05-09T10:30:00Z">
                <w:pPr>
                  <w:pStyle w:val="In-texttable"/>
                  <w:tabs>
                    <w:tab w:val="left" w:pos="567"/>
                  </w:tabs>
                  <w:spacing w:line="240" w:lineRule="auto"/>
                  <w:jc w:val="center"/>
                </w:pPr>
              </w:pPrChange>
              <w:rPr>
                <w:del w:id="2358" w:author="AbbVie14" w:date="2025-05-09T10:30:00Z"/>
                <w:sz w:val="22"/>
                <w:szCs w:val="22"/>
              </w:rPr>
            </w:pPr>
          </w:p>
        </w:tc>
        <w:tc>
          <w:tcPr>
            <w:tcW w:w="1071" w:type="dxa"/>
            <w:tcBorders>
              <w:left w:val="single" w:sz="6" w:space="0" w:color="auto"/>
            </w:tcBorders>
          </w:tcPr>
          <w:p w:rsidR="006224C2" w:rsidRPr="00295E71" w14:paraId="75576D34" w14:textId="77777777">
            <w:pPr>
              <w:tabs>
                <w:tab w:val="left" w:pos="567"/>
              </w:tabs>
              <w:jc w:val="both"/>
              <w:pPrChange w:id="2359" w:author="AbbVie14" w:date="2025-05-09T10:30:00Z">
                <w:pPr>
                  <w:pStyle w:val="In-texttable"/>
                  <w:tabs>
                    <w:tab w:val="left" w:pos="567"/>
                  </w:tabs>
                  <w:spacing w:line="240" w:lineRule="auto"/>
                  <w:jc w:val="center"/>
                </w:pPr>
              </w:pPrChange>
              <w:rPr>
                <w:del w:id="2360" w:author="AbbVie14" w:date="2025-05-09T10:30:00Z"/>
                <w:sz w:val="22"/>
                <w:szCs w:val="22"/>
              </w:rPr>
            </w:pPr>
          </w:p>
        </w:tc>
        <w:tc>
          <w:tcPr>
            <w:tcW w:w="1197" w:type="dxa"/>
            <w:tcBorders>
              <w:right w:val="single" w:sz="6" w:space="0" w:color="auto"/>
            </w:tcBorders>
          </w:tcPr>
          <w:p w:rsidR="006224C2" w:rsidRPr="00295E71" w14:paraId="360557F5" w14:textId="77777777">
            <w:pPr>
              <w:tabs>
                <w:tab w:val="left" w:pos="567"/>
              </w:tabs>
              <w:jc w:val="both"/>
              <w:pPrChange w:id="2361" w:author="AbbVie14" w:date="2025-05-09T10:30:00Z">
                <w:pPr>
                  <w:pStyle w:val="In-texttable"/>
                  <w:tabs>
                    <w:tab w:val="left" w:pos="567"/>
                  </w:tabs>
                  <w:spacing w:line="240" w:lineRule="auto"/>
                  <w:jc w:val="center"/>
                </w:pPr>
              </w:pPrChange>
              <w:rPr>
                <w:del w:id="2362" w:author="AbbVie14" w:date="2025-05-09T10:30:00Z"/>
                <w:sz w:val="22"/>
                <w:szCs w:val="22"/>
              </w:rPr>
            </w:pPr>
          </w:p>
        </w:tc>
        <w:tc>
          <w:tcPr>
            <w:tcW w:w="1418" w:type="dxa"/>
            <w:tcBorders>
              <w:top w:val="single" w:sz="6" w:space="0" w:color="auto"/>
              <w:left w:val="single" w:sz="6" w:space="0" w:color="auto"/>
            </w:tcBorders>
          </w:tcPr>
          <w:p w:rsidR="006224C2" w:rsidRPr="00295E71" w14:paraId="060C136C" w14:textId="77777777">
            <w:pPr>
              <w:tabs>
                <w:tab w:val="left" w:pos="567"/>
              </w:tabs>
              <w:jc w:val="both"/>
              <w:pPrChange w:id="2363" w:author="AbbVie14" w:date="2025-05-09T10:30:00Z">
                <w:pPr>
                  <w:pStyle w:val="In-texttable"/>
                  <w:tabs>
                    <w:tab w:val="left" w:pos="567"/>
                  </w:tabs>
                  <w:spacing w:line="240" w:lineRule="auto"/>
                  <w:jc w:val="center"/>
                </w:pPr>
              </w:pPrChange>
              <w:rPr>
                <w:del w:id="2364" w:author="AbbVie14" w:date="2025-05-09T10:30:00Z"/>
                <w:sz w:val="22"/>
                <w:szCs w:val="22"/>
              </w:rPr>
            </w:pPr>
          </w:p>
        </w:tc>
        <w:tc>
          <w:tcPr>
            <w:tcW w:w="1509" w:type="dxa"/>
            <w:tcBorders>
              <w:top w:val="single" w:sz="6" w:space="0" w:color="auto"/>
            </w:tcBorders>
          </w:tcPr>
          <w:p w:rsidR="006224C2" w:rsidRPr="00295E71" w14:paraId="1851B94E" w14:textId="77777777">
            <w:pPr>
              <w:tabs>
                <w:tab w:val="left" w:pos="567"/>
              </w:tabs>
              <w:jc w:val="both"/>
              <w:pPrChange w:id="2365" w:author="AbbVie14" w:date="2025-05-09T10:30:00Z">
                <w:pPr>
                  <w:pStyle w:val="In-texttable"/>
                  <w:tabs>
                    <w:tab w:val="left" w:pos="567"/>
                  </w:tabs>
                  <w:spacing w:line="240" w:lineRule="auto"/>
                  <w:jc w:val="center"/>
                </w:pPr>
              </w:pPrChange>
              <w:rPr>
                <w:del w:id="2366" w:author="AbbVie14" w:date="2025-05-09T10:30:00Z"/>
                <w:sz w:val="22"/>
                <w:szCs w:val="22"/>
              </w:rPr>
            </w:pPr>
          </w:p>
        </w:tc>
      </w:tr>
      <w:tr w14:paraId="6A1BF66D" w14:textId="77777777">
        <w:tblPrEx>
          <w:tblW w:w="9074" w:type="dxa"/>
          <w:tblLayout w:type="fixed"/>
          <w:tblLook w:val="0000"/>
        </w:tblPrEx>
        <w:trPr>
          <w:cantSplit/>
          <w:del w:id="2367" w:author="AbbVie14" w:date="2025-05-09T10:30:00Z"/>
        </w:trPr>
        <w:tc>
          <w:tcPr>
            <w:tcW w:w="1069" w:type="dxa"/>
            <w:tcBorders>
              <w:right w:val="single" w:sz="6" w:space="0" w:color="auto"/>
            </w:tcBorders>
          </w:tcPr>
          <w:p w:rsidR="006224C2" w:rsidRPr="00295E71" w14:paraId="0684B4B9" w14:textId="77777777">
            <w:pPr>
              <w:tabs>
                <w:tab w:val="left" w:pos="567"/>
              </w:tabs>
              <w:jc w:val="both"/>
              <w:pPrChange w:id="2368" w:author="AbbVie14" w:date="2025-05-09T10:30:00Z">
                <w:pPr>
                  <w:pStyle w:val="In-texttable"/>
                  <w:tabs>
                    <w:tab w:val="left" w:pos="144"/>
                    <w:tab w:val="left" w:pos="567"/>
                  </w:tabs>
                  <w:spacing w:line="240" w:lineRule="auto"/>
                </w:pPr>
              </w:pPrChange>
              <w:rPr>
                <w:del w:id="2369" w:author="AbbVie14" w:date="2025-05-09T10:30:00Z"/>
                <w:sz w:val="22"/>
                <w:szCs w:val="22"/>
              </w:rPr>
            </w:pPr>
            <w:del w:id="2370" w:author="AbbVie14" w:date="2025-05-09T10:30:00Z">
              <w:r w:rsidRPr="00295E71">
                <w:rPr>
                  <w:sz w:val="22"/>
                  <w:szCs w:val="22"/>
                </w:rPr>
                <w:tab/>
                <w:delText>6 mesi</w:delText>
              </w:r>
            </w:del>
          </w:p>
        </w:tc>
        <w:tc>
          <w:tcPr>
            <w:tcW w:w="1393" w:type="dxa"/>
            <w:tcBorders>
              <w:left w:val="single" w:sz="6" w:space="0" w:color="auto"/>
            </w:tcBorders>
          </w:tcPr>
          <w:p w:rsidR="006224C2" w:rsidRPr="00295E71" w14:paraId="2C15BFC0" w14:textId="77777777">
            <w:pPr>
              <w:tabs>
                <w:tab w:val="left" w:pos="567"/>
              </w:tabs>
              <w:jc w:val="both"/>
              <w:pPrChange w:id="2371" w:author="AbbVie14" w:date="2025-05-09T10:30:00Z">
                <w:pPr>
                  <w:pStyle w:val="In-texttable"/>
                  <w:tabs>
                    <w:tab w:val="decimal" w:pos="259"/>
                    <w:tab w:val="left" w:pos="567"/>
                  </w:tabs>
                  <w:spacing w:line="240" w:lineRule="auto"/>
                  <w:jc w:val="center"/>
                </w:pPr>
              </w:pPrChange>
              <w:rPr>
                <w:del w:id="2372" w:author="AbbVie14" w:date="2025-05-09T10:30:00Z"/>
                <w:sz w:val="22"/>
                <w:szCs w:val="22"/>
              </w:rPr>
            </w:pPr>
            <w:del w:id="2373" w:author="AbbVie14" w:date="2025-05-09T10:30:00Z">
              <w:r w:rsidRPr="00295E71">
                <w:rPr>
                  <w:sz w:val="22"/>
                  <w:szCs w:val="22"/>
                </w:rPr>
                <w:delText>13,3%</w:delText>
              </w:r>
            </w:del>
          </w:p>
        </w:tc>
        <w:tc>
          <w:tcPr>
            <w:tcW w:w="1417" w:type="dxa"/>
            <w:tcBorders>
              <w:right w:val="single" w:sz="6" w:space="0" w:color="auto"/>
            </w:tcBorders>
          </w:tcPr>
          <w:p w:rsidR="006224C2" w:rsidRPr="00295E71" w14:paraId="5969F879" w14:textId="77777777">
            <w:pPr>
              <w:tabs>
                <w:tab w:val="left" w:pos="567"/>
              </w:tabs>
              <w:jc w:val="both"/>
              <w:pPrChange w:id="2374" w:author="AbbVie14" w:date="2025-05-09T10:30:00Z">
                <w:pPr>
                  <w:pStyle w:val="In-texttable"/>
                  <w:tabs>
                    <w:tab w:val="decimal" w:pos="250"/>
                    <w:tab w:val="left" w:pos="567"/>
                  </w:tabs>
                  <w:spacing w:line="240" w:lineRule="auto"/>
                  <w:jc w:val="center"/>
                </w:pPr>
              </w:pPrChange>
              <w:rPr>
                <w:del w:id="2375" w:author="AbbVie14" w:date="2025-05-09T10:30:00Z"/>
                <w:sz w:val="22"/>
                <w:szCs w:val="22"/>
              </w:rPr>
            </w:pPr>
            <w:del w:id="2376" w:author="AbbVie14" w:date="2025-05-09T10:30:00Z">
              <w:r w:rsidRPr="00295E71">
                <w:rPr>
                  <w:sz w:val="22"/>
                  <w:szCs w:val="22"/>
                </w:rPr>
                <w:delText>65,1%</w:delText>
              </w:r>
            </w:del>
          </w:p>
        </w:tc>
        <w:tc>
          <w:tcPr>
            <w:tcW w:w="1071" w:type="dxa"/>
            <w:tcBorders>
              <w:left w:val="single" w:sz="6" w:space="0" w:color="auto"/>
            </w:tcBorders>
          </w:tcPr>
          <w:p w:rsidR="006224C2" w:rsidRPr="00295E71" w14:paraId="516E1DFC" w14:textId="77777777">
            <w:pPr>
              <w:tabs>
                <w:tab w:val="left" w:pos="567"/>
              </w:tabs>
              <w:jc w:val="both"/>
              <w:pPrChange w:id="2377" w:author="AbbVie14" w:date="2025-05-09T10:30:00Z">
                <w:pPr>
                  <w:pStyle w:val="In-texttable"/>
                  <w:tabs>
                    <w:tab w:val="left" w:pos="567"/>
                  </w:tabs>
                  <w:spacing w:line="240" w:lineRule="auto"/>
                  <w:jc w:val="center"/>
                </w:pPr>
              </w:pPrChange>
              <w:rPr>
                <w:del w:id="2378" w:author="AbbVie14" w:date="2025-05-09T10:30:00Z"/>
                <w:sz w:val="22"/>
                <w:szCs w:val="22"/>
              </w:rPr>
            </w:pPr>
            <w:del w:id="2379" w:author="AbbVie14" w:date="2025-05-09T10:30:00Z">
              <w:r w:rsidRPr="00295E71">
                <w:rPr>
                  <w:sz w:val="22"/>
                  <w:szCs w:val="22"/>
                </w:rPr>
                <w:delText>19,1%</w:delText>
              </w:r>
            </w:del>
          </w:p>
        </w:tc>
        <w:tc>
          <w:tcPr>
            <w:tcW w:w="1197" w:type="dxa"/>
            <w:tcBorders>
              <w:right w:val="single" w:sz="6" w:space="0" w:color="auto"/>
            </w:tcBorders>
          </w:tcPr>
          <w:p w:rsidR="006224C2" w:rsidRPr="00295E71" w14:paraId="08813932" w14:textId="77777777">
            <w:pPr>
              <w:tabs>
                <w:tab w:val="left" w:pos="567"/>
              </w:tabs>
              <w:jc w:val="both"/>
              <w:pPrChange w:id="2380" w:author="AbbVie14" w:date="2025-05-09T10:30:00Z">
                <w:pPr>
                  <w:pStyle w:val="In-texttable"/>
                  <w:tabs>
                    <w:tab w:val="decimal" w:pos="205"/>
                    <w:tab w:val="left" w:pos="567"/>
                  </w:tabs>
                  <w:spacing w:line="240" w:lineRule="auto"/>
                  <w:jc w:val="center"/>
                </w:pPr>
              </w:pPrChange>
              <w:rPr>
                <w:del w:id="2381" w:author="AbbVie14" w:date="2025-05-09T10:30:00Z"/>
                <w:sz w:val="22"/>
                <w:szCs w:val="22"/>
              </w:rPr>
            </w:pPr>
            <w:del w:id="2382" w:author="AbbVie14" w:date="2025-05-09T10:30:00Z">
              <w:r w:rsidRPr="00295E71">
                <w:rPr>
                  <w:sz w:val="22"/>
                  <w:szCs w:val="22"/>
                </w:rPr>
                <w:delText>46,0%</w:delText>
              </w:r>
            </w:del>
          </w:p>
        </w:tc>
        <w:tc>
          <w:tcPr>
            <w:tcW w:w="1418" w:type="dxa"/>
            <w:tcBorders>
              <w:left w:val="single" w:sz="6" w:space="0" w:color="auto"/>
            </w:tcBorders>
          </w:tcPr>
          <w:p w:rsidR="006224C2" w:rsidRPr="00295E71" w14:paraId="607BF52D" w14:textId="77777777">
            <w:pPr>
              <w:tabs>
                <w:tab w:val="left" w:pos="567"/>
              </w:tabs>
              <w:jc w:val="both"/>
              <w:pPrChange w:id="2383" w:author="AbbVie14" w:date="2025-05-09T10:30:00Z">
                <w:pPr>
                  <w:pStyle w:val="In-texttable"/>
                  <w:tabs>
                    <w:tab w:val="decimal" w:pos="144"/>
                    <w:tab w:val="left" w:pos="567"/>
                  </w:tabs>
                  <w:spacing w:line="240" w:lineRule="auto"/>
                  <w:jc w:val="center"/>
                </w:pPr>
              </w:pPrChange>
              <w:rPr>
                <w:del w:id="2384" w:author="AbbVie14" w:date="2025-05-09T10:30:00Z"/>
                <w:sz w:val="22"/>
                <w:szCs w:val="22"/>
              </w:rPr>
            </w:pPr>
            <w:del w:id="2385" w:author="AbbVie14" w:date="2025-05-09T10:30:00Z">
              <w:r w:rsidRPr="00295E71">
                <w:rPr>
                  <w:sz w:val="22"/>
                  <w:szCs w:val="22"/>
                </w:rPr>
                <w:delText>29,5%</w:delText>
              </w:r>
            </w:del>
          </w:p>
        </w:tc>
        <w:tc>
          <w:tcPr>
            <w:tcW w:w="1509" w:type="dxa"/>
          </w:tcPr>
          <w:p w:rsidR="006224C2" w:rsidRPr="00295E71" w14:paraId="0E799A2A" w14:textId="77777777">
            <w:pPr>
              <w:tabs>
                <w:tab w:val="left" w:pos="567"/>
              </w:tabs>
              <w:jc w:val="both"/>
              <w:pPrChange w:id="2386" w:author="AbbVie14" w:date="2025-05-09T10:30:00Z">
                <w:pPr>
                  <w:pStyle w:val="In-texttable"/>
                  <w:tabs>
                    <w:tab w:val="decimal" w:pos="95"/>
                    <w:tab w:val="left" w:pos="567"/>
                  </w:tabs>
                  <w:spacing w:line="240" w:lineRule="auto"/>
                  <w:jc w:val="center"/>
                </w:pPr>
              </w:pPrChange>
              <w:rPr>
                <w:del w:id="2387" w:author="AbbVie14" w:date="2025-05-09T10:30:00Z"/>
                <w:sz w:val="22"/>
                <w:szCs w:val="22"/>
              </w:rPr>
            </w:pPr>
            <w:del w:id="2388" w:author="AbbVie14" w:date="2025-05-09T10:30:00Z">
              <w:r w:rsidRPr="00295E71">
                <w:rPr>
                  <w:sz w:val="22"/>
                  <w:szCs w:val="22"/>
                </w:rPr>
                <w:delText>63,3%</w:delText>
              </w:r>
            </w:del>
          </w:p>
        </w:tc>
      </w:tr>
      <w:tr w14:paraId="70FE133C" w14:textId="77777777">
        <w:tblPrEx>
          <w:tblW w:w="9074" w:type="dxa"/>
          <w:tblLayout w:type="fixed"/>
          <w:tblLook w:val="0000"/>
        </w:tblPrEx>
        <w:trPr>
          <w:cantSplit/>
          <w:del w:id="2389" w:author="AbbVie14" w:date="2025-05-09T10:30:00Z"/>
        </w:trPr>
        <w:tc>
          <w:tcPr>
            <w:tcW w:w="1069" w:type="dxa"/>
            <w:tcBorders>
              <w:right w:val="single" w:sz="6" w:space="0" w:color="auto"/>
            </w:tcBorders>
          </w:tcPr>
          <w:p w:rsidR="006224C2" w:rsidRPr="00295E71" w14:paraId="4DC9A424" w14:textId="77777777">
            <w:pPr>
              <w:tabs>
                <w:tab w:val="left" w:pos="567"/>
              </w:tabs>
              <w:jc w:val="both"/>
              <w:pPrChange w:id="2390" w:author="AbbVie14" w:date="2025-05-09T10:30:00Z">
                <w:pPr>
                  <w:pStyle w:val="In-texttable"/>
                  <w:tabs>
                    <w:tab w:val="left" w:pos="144"/>
                    <w:tab w:val="left" w:pos="567"/>
                  </w:tabs>
                  <w:spacing w:line="240" w:lineRule="auto"/>
                </w:pPr>
              </w:pPrChange>
              <w:rPr>
                <w:del w:id="2391" w:author="AbbVie14" w:date="2025-05-09T10:30:00Z"/>
                <w:sz w:val="22"/>
                <w:szCs w:val="22"/>
              </w:rPr>
            </w:pPr>
            <w:del w:id="2392" w:author="AbbVie14" w:date="2025-05-09T10:30:00Z">
              <w:r w:rsidRPr="00295E71">
                <w:rPr>
                  <w:sz w:val="22"/>
                  <w:szCs w:val="22"/>
                </w:rPr>
                <w:tab/>
                <w:delText>12 mesi</w:delText>
              </w:r>
            </w:del>
          </w:p>
        </w:tc>
        <w:tc>
          <w:tcPr>
            <w:tcW w:w="1393" w:type="dxa"/>
            <w:tcBorders>
              <w:left w:val="single" w:sz="6" w:space="0" w:color="auto"/>
            </w:tcBorders>
          </w:tcPr>
          <w:p w:rsidR="006224C2" w:rsidRPr="00295E71" w14:paraId="4BAACC2C" w14:textId="77777777">
            <w:pPr>
              <w:tabs>
                <w:tab w:val="left" w:pos="567"/>
              </w:tabs>
              <w:jc w:val="both"/>
              <w:pPrChange w:id="2393" w:author="AbbVie14" w:date="2025-05-09T10:30:00Z">
                <w:pPr>
                  <w:pStyle w:val="In-texttable"/>
                  <w:tabs>
                    <w:tab w:val="decimal" w:pos="259"/>
                    <w:tab w:val="left" w:pos="567"/>
                  </w:tabs>
                  <w:spacing w:line="240" w:lineRule="auto"/>
                  <w:jc w:val="center"/>
                </w:pPr>
              </w:pPrChange>
              <w:rPr>
                <w:del w:id="2394" w:author="AbbVie14" w:date="2025-05-09T10:30:00Z"/>
                <w:sz w:val="22"/>
                <w:szCs w:val="22"/>
              </w:rPr>
            </w:pPr>
            <w:del w:id="2395" w:author="AbbVie14" w:date="2025-05-09T10:30:00Z">
              <w:r w:rsidRPr="00295E71">
                <w:rPr>
                  <w:sz w:val="22"/>
                  <w:szCs w:val="22"/>
                </w:rPr>
                <w:delText>ND</w:delText>
              </w:r>
            </w:del>
          </w:p>
        </w:tc>
        <w:tc>
          <w:tcPr>
            <w:tcW w:w="1417" w:type="dxa"/>
            <w:tcBorders>
              <w:right w:val="single" w:sz="6" w:space="0" w:color="auto"/>
            </w:tcBorders>
          </w:tcPr>
          <w:p w:rsidR="006224C2" w:rsidRPr="00295E71" w14:paraId="72679EAE" w14:textId="77777777">
            <w:pPr>
              <w:tabs>
                <w:tab w:val="left" w:pos="567"/>
              </w:tabs>
              <w:jc w:val="both"/>
              <w:pPrChange w:id="2396" w:author="AbbVie14" w:date="2025-05-09T10:30:00Z">
                <w:pPr>
                  <w:pStyle w:val="In-texttable"/>
                  <w:tabs>
                    <w:tab w:val="decimal" w:pos="250"/>
                    <w:tab w:val="left" w:pos="567"/>
                  </w:tabs>
                  <w:spacing w:line="240" w:lineRule="auto"/>
                  <w:jc w:val="center"/>
                </w:pPr>
              </w:pPrChange>
              <w:rPr>
                <w:del w:id="2397" w:author="AbbVie14" w:date="2025-05-09T10:30:00Z"/>
                <w:sz w:val="22"/>
                <w:szCs w:val="22"/>
              </w:rPr>
            </w:pPr>
            <w:del w:id="2398" w:author="AbbVie14" w:date="2025-05-09T10:30:00Z">
              <w:r w:rsidRPr="00295E71">
                <w:rPr>
                  <w:sz w:val="22"/>
                  <w:szCs w:val="22"/>
                </w:rPr>
                <w:delText>ND</w:delText>
              </w:r>
            </w:del>
          </w:p>
        </w:tc>
        <w:tc>
          <w:tcPr>
            <w:tcW w:w="1071" w:type="dxa"/>
            <w:tcBorders>
              <w:left w:val="single" w:sz="6" w:space="0" w:color="auto"/>
            </w:tcBorders>
          </w:tcPr>
          <w:p w:rsidR="006224C2" w:rsidRPr="00295E71" w14:paraId="0C3F6C3B" w14:textId="77777777">
            <w:pPr>
              <w:tabs>
                <w:tab w:val="left" w:pos="567"/>
              </w:tabs>
              <w:jc w:val="both"/>
              <w:pPrChange w:id="2399" w:author="AbbVie14" w:date="2025-05-09T10:30:00Z">
                <w:pPr>
                  <w:pStyle w:val="In-texttable"/>
                  <w:tabs>
                    <w:tab w:val="decimal" w:pos="259"/>
                    <w:tab w:val="left" w:pos="567"/>
                  </w:tabs>
                  <w:spacing w:line="240" w:lineRule="auto"/>
                  <w:jc w:val="center"/>
                </w:pPr>
              </w:pPrChange>
              <w:rPr>
                <w:del w:id="2400" w:author="AbbVie14" w:date="2025-05-09T10:30:00Z"/>
                <w:sz w:val="22"/>
                <w:szCs w:val="22"/>
              </w:rPr>
            </w:pPr>
            <w:del w:id="2401" w:author="AbbVie14" w:date="2025-05-09T10:30:00Z">
              <w:r w:rsidRPr="00295E71">
                <w:rPr>
                  <w:sz w:val="22"/>
                  <w:szCs w:val="22"/>
                </w:rPr>
                <w:delText>ND</w:delText>
              </w:r>
            </w:del>
          </w:p>
        </w:tc>
        <w:tc>
          <w:tcPr>
            <w:tcW w:w="1197" w:type="dxa"/>
            <w:tcBorders>
              <w:right w:val="single" w:sz="6" w:space="0" w:color="auto"/>
            </w:tcBorders>
          </w:tcPr>
          <w:p w:rsidR="006224C2" w:rsidRPr="00295E71" w14:paraId="7827C003" w14:textId="77777777">
            <w:pPr>
              <w:tabs>
                <w:tab w:val="left" w:pos="567"/>
              </w:tabs>
              <w:jc w:val="both"/>
              <w:pPrChange w:id="2402" w:author="AbbVie14" w:date="2025-05-09T10:30:00Z">
                <w:pPr>
                  <w:pStyle w:val="In-texttable"/>
                  <w:tabs>
                    <w:tab w:val="decimal" w:pos="250"/>
                    <w:tab w:val="left" w:pos="567"/>
                  </w:tabs>
                  <w:spacing w:line="240" w:lineRule="auto"/>
                  <w:jc w:val="center"/>
                </w:pPr>
              </w:pPrChange>
              <w:rPr>
                <w:del w:id="2403" w:author="AbbVie14" w:date="2025-05-09T10:30:00Z"/>
                <w:sz w:val="22"/>
                <w:szCs w:val="22"/>
              </w:rPr>
            </w:pPr>
            <w:del w:id="2404" w:author="AbbVie14" w:date="2025-05-09T10:30:00Z">
              <w:r w:rsidRPr="00295E71">
                <w:rPr>
                  <w:sz w:val="22"/>
                  <w:szCs w:val="22"/>
                </w:rPr>
                <w:delText>ND</w:delText>
              </w:r>
            </w:del>
          </w:p>
        </w:tc>
        <w:tc>
          <w:tcPr>
            <w:tcW w:w="1418" w:type="dxa"/>
            <w:tcBorders>
              <w:left w:val="single" w:sz="6" w:space="0" w:color="auto"/>
            </w:tcBorders>
          </w:tcPr>
          <w:p w:rsidR="006224C2" w:rsidRPr="00295E71" w14:paraId="27FE3637" w14:textId="77777777">
            <w:pPr>
              <w:tabs>
                <w:tab w:val="left" w:pos="567"/>
              </w:tabs>
              <w:jc w:val="both"/>
              <w:pPrChange w:id="2405" w:author="AbbVie14" w:date="2025-05-09T10:30:00Z">
                <w:pPr>
                  <w:pStyle w:val="In-texttable"/>
                  <w:tabs>
                    <w:tab w:val="decimal" w:pos="144"/>
                    <w:tab w:val="left" w:pos="567"/>
                  </w:tabs>
                  <w:spacing w:line="240" w:lineRule="auto"/>
                  <w:jc w:val="center"/>
                </w:pPr>
              </w:pPrChange>
              <w:rPr>
                <w:del w:id="2406" w:author="AbbVie14" w:date="2025-05-09T10:30:00Z"/>
                <w:sz w:val="22"/>
                <w:szCs w:val="22"/>
              </w:rPr>
            </w:pPr>
            <w:del w:id="2407" w:author="AbbVie14" w:date="2025-05-09T10:30:00Z">
              <w:r w:rsidRPr="00295E71">
                <w:rPr>
                  <w:sz w:val="22"/>
                  <w:szCs w:val="22"/>
                </w:rPr>
                <w:delText>24,0%</w:delText>
              </w:r>
            </w:del>
          </w:p>
        </w:tc>
        <w:tc>
          <w:tcPr>
            <w:tcW w:w="1509" w:type="dxa"/>
          </w:tcPr>
          <w:p w:rsidR="006224C2" w:rsidRPr="00295E71" w14:paraId="5E72B106" w14:textId="77777777">
            <w:pPr>
              <w:tabs>
                <w:tab w:val="left" w:pos="567"/>
              </w:tabs>
              <w:jc w:val="both"/>
              <w:pPrChange w:id="2408" w:author="AbbVie14" w:date="2025-05-09T10:30:00Z">
                <w:pPr>
                  <w:pStyle w:val="In-texttable"/>
                  <w:tabs>
                    <w:tab w:val="decimal" w:pos="95"/>
                    <w:tab w:val="left" w:pos="567"/>
                  </w:tabs>
                  <w:spacing w:line="240" w:lineRule="auto"/>
                  <w:jc w:val="center"/>
                </w:pPr>
              </w:pPrChange>
              <w:rPr>
                <w:del w:id="2409" w:author="AbbVie14" w:date="2025-05-09T10:30:00Z"/>
                <w:sz w:val="22"/>
                <w:szCs w:val="22"/>
              </w:rPr>
            </w:pPr>
            <w:del w:id="2410" w:author="AbbVie14" w:date="2025-05-09T10:30:00Z">
              <w:r w:rsidRPr="00295E71">
                <w:rPr>
                  <w:sz w:val="22"/>
                  <w:szCs w:val="22"/>
                </w:rPr>
                <w:delText>58,9%</w:delText>
              </w:r>
            </w:del>
          </w:p>
        </w:tc>
      </w:tr>
      <w:tr w14:paraId="5BBD6DF1" w14:textId="77777777">
        <w:tblPrEx>
          <w:tblW w:w="9074" w:type="dxa"/>
          <w:tblLayout w:type="fixed"/>
          <w:tblLook w:val="0000"/>
        </w:tblPrEx>
        <w:trPr>
          <w:cantSplit/>
          <w:del w:id="2411" w:author="AbbVie14" w:date="2025-05-09T10:30:00Z"/>
        </w:trPr>
        <w:tc>
          <w:tcPr>
            <w:tcW w:w="1069" w:type="dxa"/>
            <w:tcBorders>
              <w:right w:val="single" w:sz="6" w:space="0" w:color="auto"/>
            </w:tcBorders>
          </w:tcPr>
          <w:p w:rsidR="006224C2" w:rsidRPr="00295E71" w14:paraId="5E34DFC1" w14:textId="77777777">
            <w:pPr>
              <w:tabs>
                <w:tab w:val="left" w:pos="567"/>
              </w:tabs>
              <w:jc w:val="both"/>
              <w:pPrChange w:id="2412" w:author="AbbVie14" w:date="2025-05-09T10:30:00Z">
                <w:pPr>
                  <w:pStyle w:val="In-texttable"/>
                  <w:tabs>
                    <w:tab w:val="left" w:pos="144"/>
                    <w:tab w:val="left" w:pos="567"/>
                  </w:tabs>
                  <w:spacing w:line="240" w:lineRule="auto"/>
                </w:pPr>
              </w:pPrChange>
              <w:rPr>
                <w:del w:id="2413" w:author="AbbVie14" w:date="2025-05-09T10:30:00Z"/>
                <w:sz w:val="22"/>
                <w:szCs w:val="22"/>
              </w:rPr>
            </w:pPr>
            <w:del w:id="2414" w:author="AbbVie14" w:date="2025-05-09T10:30:00Z">
              <w:r w:rsidRPr="00295E71">
                <w:rPr>
                  <w:sz w:val="22"/>
                  <w:szCs w:val="22"/>
                </w:rPr>
                <w:delText>ACR 50</w:delText>
              </w:r>
            </w:del>
          </w:p>
        </w:tc>
        <w:tc>
          <w:tcPr>
            <w:tcW w:w="1393" w:type="dxa"/>
            <w:tcBorders>
              <w:left w:val="single" w:sz="6" w:space="0" w:color="auto"/>
            </w:tcBorders>
          </w:tcPr>
          <w:p w:rsidR="006224C2" w:rsidRPr="00295E71" w14:paraId="2D78CBCD" w14:textId="77777777">
            <w:pPr>
              <w:tabs>
                <w:tab w:val="left" w:pos="567"/>
              </w:tabs>
              <w:jc w:val="both"/>
              <w:pPrChange w:id="2415" w:author="AbbVie14" w:date="2025-05-09T10:30:00Z">
                <w:pPr>
                  <w:pStyle w:val="In-texttable"/>
                  <w:tabs>
                    <w:tab w:val="decimal" w:pos="259"/>
                    <w:tab w:val="left" w:pos="567"/>
                  </w:tabs>
                  <w:spacing w:line="240" w:lineRule="auto"/>
                  <w:jc w:val="center"/>
                </w:pPr>
              </w:pPrChange>
              <w:rPr>
                <w:del w:id="2416" w:author="AbbVie14" w:date="2025-05-09T10:30:00Z"/>
                <w:sz w:val="22"/>
                <w:szCs w:val="22"/>
              </w:rPr>
            </w:pPr>
          </w:p>
        </w:tc>
        <w:tc>
          <w:tcPr>
            <w:tcW w:w="1417" w:type="dxa"/>
            <w:tcBorders>
              <w:right w:val="single" w:sz="6" w:space="0" w:color="auto"/>
            </w:tcBorders>
          </w:tcPr>
          <w:p w:rsidR="006224C2" w:rsidRPr="00295E71" w14:paraId="0E2F4567" w14:textId="77777777">
            <w:pPr>
              <w:tabs>
                <w:tab w:val="left" w:pos="567"/>
              </w:tabs>
              <w:jc w:val="both"/>
              <w:pPrChange w:id="2417" w:author="AbbVie14" w:date="2025-05-09T10:30:00Z">
                <w:pPr>
                  <w:pStyle w:val="In-texttable"/>
                  <w:tabs>
                    <w:tab w:val="decimal" w:pos="250"/>
                    <w:tab w:val="left" w:pos="567"/>
                  </w:tabs>
                  <w:spacing w:line="240" w:lineRule="auto"/>
                  <w:jc w:val="center"/>
                </w:pPr>
              </w:pPrChange>
              <w:rPr>
                <w:del w:id="2418" w:author="AbbVie14" w:date="2025-05-09T10:30:00Z"/>
                <w:sz w:val="22"/>
                <w:szCs w:val="22"/>
              </w:rPr>
            </w:pPr>
          </w:p>
        </w:tc>
        <w:tc>
          <w:tcPr>
            <w:tcW w:w="1071" w:type="dxa"/>
            <w:tcBorders>
              <w:left w:val="single" w:sz="6" w:space="0" w:color="auto"/>
            </w:tcBorders>
          </w:tcPr>
          <w:p w:rsidR="006224C2" w:rsidRPr="00295E71" w14:paraId="4686304C" w14:textId="77777777">
            <w:pPr>
              <w:tabs>
                <w:tab w:val="left" w:pos="567"/>
              </w:tabs>
              <w:jc w:val="both"/>
              <w:pPrChange w:id="2419" w:author="AbbVie14" w:date="2025-05-09T10:30:00Z">
                <w:pPr>
                  <w:pStyle w:val="In-texttable"/>
                  <w:tabs>
                    <w:tab w:val="left" w:pos="567"/>
                  </w:tabs>
                  <w:spacing w:line="240" w:lineRule="auto"/>
                  <w:jc w:val="center"/>
                </w:pPr>
              </w:pPrChange>
              <w:rPr>
                <w:del w:id="2420" w:author="AbbVie14" w:date="2025-05-09T10:30:00Z"/>
                <w:sz w:val="22"/>
                <w:szCs w:val="22"/>
              </w:rPr>
            </w:pPr>
          </w:p>
        </w:tc>
        <w:tc>
          <w:tcPr>
            <w:tcW w:w="1197" w:type="dxa"/>
            <w:tcBorders>
              <w:right w:val="single" w:sz="6" w:space="0" w:color="auto"/>
            </w:tcBorders>
          </w:tcPr>
          <w:p w:rsidR="006224C2" w:rsidRPr="00295E71" w14:paraId="24F7B013" w14:textId="77777777">
            <w:pPr>
              <w:tabs>
                <w:tab w:val="left" w:pos="567"/>
              </w:tabs>
              <w:jc w:val="both"/>
              <w:pPrChange w:id="2421" w:author="AbbVie14" w:date="2025-05-09T10:30:00Z">
                <w:pPr>
                  <w:pStyle w:val="In-texttable"/>
                  <w:tabs>
                    <w:tab w:val="decimal" w:pos="205"/>
                    <w:tab w:val="left" w:pos="567"/>
                  </w:tabs>
                  <w:spacing w:line="240" w:lineRule="auto"/>
                  <w:jc w:val="center"/>
                </w:pPr>
              </w:pPrChange>
              <w:rPr>
                <w:del w:id="2422" w:author="AbbVie14" w:date="2025-05-09T10:30:00Z"/>
                <w:sz w:val="22"/>
                <w:szCs w:val="22"/>
              </w:rPr>
            </w:pPr>
          </w:p>
        </w:tc>
        <w:tc>
          <w:tcPr>
            <w:tcW w:w="1418" w:type="dxa"/>
            <w:tcBorders>
              <w:left w:val="single" w:sz="6" w:space="0" w:color="auto"/>
            </w:tcBorders>
          </w:tcPr>
          <w:p w:rsidR="006224C2" w:rsidRPr="00295E71" w14:paraId="4D2A81EC" w14:textId="77777777">
            <w:pPr>
              <w:tabs>
                <w:tab w:val="left" w:pos="567"/>
              </w:tabs>
              <w:jc w:val="both"/>
              <w:pPrChange w:id="2423" w:author="AbbVie14" w:date="2025-05-09T10:30:00Z">
                <w:pPr>
                  <w:pStyle w:val="In-texttable"/>
                  <w:tabs>
                    <w:tab w:val="decimal" w:pos="144"/>
                    <w:tab w:val="left" w:pos="567"/>
                  </w:tabs>
                  <w:spacing w:line="240" w:lineRule="auto"/>
                  <w:jc w:val="center"/>
                </w:pPr>
              </w:pPrChange>
              <w:rPr>
                <w:del w:id="2424" w:author="AbbVie14" w:date="2025-05-09T10:30:00Z"/>
                <w:sz w:val="22"/>
                <w:szCs w:val="22"/>
              </w:rPr>
            </w:pPr>
          </w:p>
        </w:tc>
        <w:tc>
          <w:tcPr>
            <w:tcW w:w="1509" w:type="dxa"/>
          </w:tcPr>
          <w:p w:rsidR="006224C2" w:rsidRPr="00295E71" w14:paraId="72C71D56" w14:textId="77777777">
            <w:pPr>
              <w:tabs>
                <w:tab w:val="left" w:pos="567"/>
              </w:tabs>
              <w:jc w:val="both"/>
              <w:pPrChange w:id="2425" w:author="AbbVie14" w:date="2025-05-09T10:30:00Z">
                <w:pPr>
                  <w:pStyle w:val="In-texttable"/>
                  <w:tabs>
                    <w:tab w:val="decimal" w:pos="95"/>
                    <w:tab w:val="left" w:pos="567"/>
                  </w:tabs>
                  <w:spacing w:line="240" w:lineRule="auto"/>
                  <w:jc w:val="center"/>
                </w:pPr>
              </w:pPrChange>
              <w:rPr>
                <w:del w:id="2426" w:author="AbbVie14" w:date="2025-05-09T10:30:00Z"/>
                <w:sz w:val="22"/>
                <w:szCs w:val="22"/>
              </w:rPr>
            </w:pPr>
          </w:p>
        </w:tc>
      </w:tr>
      <w:tr w14:paraId="2E40A05F" w14:textId="77777777">
        <w:tblPrEx>
          <w:tblW w:w="9074" w:type="dxa"/>
          <w:tblLayout w:type="fixed"/>
          <w:tblLook w:val="0000"/>
        </w:tblPrEx>
        <w:trPr>
          <w:cantSplit/>
          <w:del w:id="2427" w:author="AbbVie14" w:date="2025-05-09T10:30:00Z"/>
        </w:trPr>
        <w:tc>
          <w:tcPr>
            <w:tcW w:w="1069" w:type="dxa"/>
            <w:tcBorders>
              <w:right w:val="single" w:sz="6" w:space="0" w:color="auto"/>
            </w:tcBorders>
          </w:tcPr>
          <w:p w:rsidR="006224C2" w:rsidRPr="00295E71" w14:paraId="0D2FA094" w14:textId="77777777">
            <w:pPr>
              <w:tabs>
                <w:tab w:val="left" w:pos="567"/>
              </w:tabs>
              <w:jc w:val="both"/>
              <w:pPrChange w:id="2428" w:author="AbbVie14" w:date="2025-05-09T10:30:00Z">
                <w:pPr>
                  <w:pStyle w:val="In-texttable"/>
                  <w:tabs>
                    <w:tab w:val="left" w:pos="144"/>
                    <w:tab w:val="left" w:pos="567"/>
                  </w:tabs>
                  <w:spacing w:line="240" w:lineRule="auto"/>
                </w:pPr>
              </w:pPrChange>
              <w:rPr>
                <w:del w:id="2429" w:author="AbbVie14" w:date="2025-05-09T10:30:00Z"/>
                <w:sz w:val="22"/>
                <w:szCs w:val="22"/>
              </w:rPr>
            </w:pPr>
            <w:del w:id="2430" w:author="AbbVie14" w:date="2025-05-09T10:30:00Z">
              <w:r w:rsidRPr="00295E71">
                <w:rPr>
                  <w:sz w:val="22"/>
                  <w:szCs w:val="22"/>
                </w:rPr>
                <w:tab/>
                <w:delText>6 mesi</w:delText>
              </w:r>
            </w:del>
          </w:p>
        </w:tc>
        <w:tc>
          <w:tcPr>
            <w:tcW w:w="1393" w:type="dxa"/>
            <w:tcBorders>
              <w:left w:val="single" w:sz="6" w:space="0" w:color="auto"/>
            </w:tcBorders>
          </w:tcPr>
          <w:p w:rsidR="006224C2" w:rsidRPr="00295E71" w14:paraId="77300210" w14:textId="77777777">
            <w:pPr>
              <w:tabs>
                <w:tab w:val="left" w:pos="567"/>
              </w:tabs>
              <w:jc w:val="both"/>
              <w:pPrChange w:id="2431" w:author="AbbVie14" w:date="2025-05-09T10:30:00Z">
                <w:pPr>
                  <w:pStyle w:val="In-texttable"/>
                  <w:tabs>
                    <w:tab w:val="decimal" w:pos="259"/>
                    <w:tab w:val="left" w:pos="567"/>
                  </w:tabs>
                  <w:spacing w:line="240" w:lineRule="auto"/>
                  <w:jc w:val="center"/>
                </w:pPr>
              </w:pPrChange>
              <w:rPr>
                <w:del w:id="2432" w:author="AbbVie14" w:date="2025-05-09T10:30:00Z"/>
                <w:sz w:val="22"/>
                <w:szCs w:val="22"/>
              </w:rPr>
            </w:pPr>
            <w:del w:id="2433" w:author="AbbVie14" w:date="2025-05-09T10:30:00Z">
              <w:r w:rsidRPr="00295E71">
                <w:rPr>
                  <w:sz w:val="22"/>
                  <w:szCs w:val="22"/>
                </w:rPr>
                <w:delText>6,7%</w:delText>
              </w:r>
            </w:del>
          </w:p>
        </w:tc>
        <w:tc>
          <w:tcPr>
            <w:tcW w:w="1417" w:type="dxa"/>
            <w:tcBorders>
              <w:right w:val="single" w:sz="6" w:space="0" w:color="auto"/>
            </w:tcBorders>
          </w:tcPr>
          <w:p w:rsidR="006224C2" w:rsidRPr="00295E71" w14:paraId="07CC17C7" w14:textId="77777777">
            <w:pPr>
              <w:tabs>
                <w:tab w:val="left" w:pos="567"/>
              </w:tabs>
              <w:jc w:val="both"/>
              <w:pPrChange w:id="2434" w:author="AbbVie14" w:date="2025-05-09T10:30:00Z">
                <w:pPr>
                  <w:pStyle w:val="In-texttable"/>
                  <w:tabs>
                    <w:tab w:val="decimal" w:pos="250"/>
                    <w:tab w:val="left" w:pos="567"/>
                  </w:tabs>
                  <w:spacing w:line="240" w:lineRule="auto"/>
                  <w:jc w:val="center"/>
                </w:pPr>
              </w:pPrChange>
              <w:rPr>
                <w:del w:id="2435" w:author="AbbVie14" w:date="2025-05-09T10:30:00Z"/>
                <w:sz w:val="22"/>
                <w:szCs w:val="22"/>
              </w:rPr>
            </w:pPr>
            <w:del w:id="2436" w:author="AbbVie14" w:date="2025-05-09T10:30:00Z">
              <w:r w:rsidRPr="00295E71">
                <w:rPr>
                  <w:sz w:val="22"/>
                  <w:szCs w:val="22"/>
                </w:rPr>
                <w:delText>52,4%</w:delText>
              </w:r>
            </w:del>
          </w:p>
        </w:tc>
        <w:tc>
          <w:tcPr>
            <w:tcW w:w="1071" w:type="dxa"/>
            <w:tcBorders>
              <w:left w:val="single" w:sz="6" w:space="0" w:color="auto"/>
            </w:tcBorders>
          </w:tcPr>
          <w:p w:rsidR="006224C2" w:rsidRPr="00295E71" w14:paraId="3BB8D96D" w14:textId="77777777">
            <w:pPr>
              <w:tabs>
                <w:tab w:val="left" w:pos="567"/>
              </w:tabs>
              <w:jc w:val="both"/>
              <w:pPrChange w:id="2437" w:author="AbbVie14" w:date="2025-05-09T10:30:00Z">
                <w:pPr>
                  <w:pStyle w:val="In-texttable"/>
                  <w:tabs>
                    <w:tab w:val="left" w:pos="567"/>
                  </w:tabs>
                  <w:spacing w:line="240" w:lineRule="auto"/>
                  <w:jc w:val="center"/>
                </w:pPr>
              </w:pPrChange>
              <w:rPr>
                <w:del w:id="2438" w:author="AbbVie14" w:date="2025-05-09T10:30:00Z"/>
                <w:sz w:val="22"/>
                <w:szCs w:val="22"/>
              </w:rPr>
            </w:pPr>
            <w:del w:id="2439" w:author="AbbVie14" w:date="2025-05-09T10:30:00Z">
              <w:r w:rsidRPr="00295E71">
                <w:rPr>
                  <w:sz w:val="22"/>
                  <w:szCs w:val="22"/>
                </w:rPr>
                <w:delText>8,2%</w:delText>
              </w:r>
            </w:del>
          </w:p>
        </w:tc>
        <w:tc>
          <w:tcPr>
            <w:tcW w:w="1197" w:type="dxa"/>
            <w:tcBorders>
              <w:right w:val="single" w:sz="6" w:space="0" w:color="auto"/>
            </w:tcBorders>
          </w:tcPr>
          <w:p w:rsidR="006224C2" w:rsidRPr="00295E71" w14:paraId="3D7A03EA" w14:textId="77777777">
            <w:pPr>
              <w:tabs>
                <w:tab w:val="left" w:pos="567"/>
              </w:tabs>
              <w:jc w:val="both"/>
              <w:pPrChange w:id="2440" w:author="AbbVie14" w:date="2025-05-09T10:30:00Z">
                <w:pPr>
                  <w:pStyle w:val="In-texttable"/>
                  <w:tabs>
                    <w:tab w:val="decimal" w:pos="205"/>
                    <w:tab w:val="left" w:pos="567"/>
                  </w:tabs>
                  <w:spacing w:line="240" w:lineRule="auto"/>
                  <w:jc w:val="center"/>
                </w:pPr>
              </w:pPrChange>
              <w:rPr>
                <w:del w:id="2441" w:author="AbbVie14" w:date="2025-05-09T10:30:00Z"/>
                <w:sz w:val="22"/>
                <w:szCs w:val="22"/>
              </w:rPr>
            </w:pPr>
            <w:del w:id="2442" w:author="AbbVie14" w:date="2025-05-09T10:30:00Z">
              <w:r w:rsidRPr="00295E71">
                <w:rPr>
                  <w:sz w:val="22"/>
                  <w:szCs w:val="22"/>
                </w:rPr>
                <w:delText>22,1%</w:delText>
              </w:r>
            </w:del>
          </w:p>
        </w:tc>
        <w:tc>
          <w:tcPr>
            <w:tcW w:w="1418" w:type="dxa"/>
            <w:tcBorders>
              <w:left w:val="single" w:sz="6" w:space="0" w:color="auto"/>
            </w:tcBorders>
          </w:tcPr>
          <w:p w:rsidR="006224C2" w:rsidRPr="00295E71" w14:paraId="0CF4EF45" w14:textId="77777777">
            <w:pPr>
              <w:tabs>
                <w:tab w:val="left" w:pos="567"/>
              </w:tabs>
              <w:jc w:val="both"/>
              <w:pPrChange w:id="2443" w:author="AbbVie14" w:date="2025-05-09T10:30:00Z">
                <w:pPr>
                  <w:pStyle w:val="In-texttable"/>
                  <w:tabs>
                    <w:tab w:val="decimal" w:pos="144"/>
                    <w:tab w:val="left" w:pos="567"/>
                  </w:tabs>
                  <w:spacing w:line="240" w:lineRule="auto"/>
                  <w:jc w:val="center"/>
                </w:pPr>
              </w:pPrChange>
              <w:rPr>
                <w:del w:id="2444" w:author="AbbVie14" w:date="2025-05-09T10:30:00Z"/>
                <w:sz w:val="22"/>
                <w:szCs w:val="22"/>
              </w:rPr>
            </w:pPr>
            <w:del w:id="2445" w:author="AbbVie14" w:date="2025-05-09T10:30:00Z">
              <w:r w:rsidRPr="00295E71">
                <w:rPr>
                  <w:sz w:val="22"/>
                  <w:szCs w:val="22"/>
                </w:rPr>
                <w:delText>9,5%</w:delText>
              </w:r>
            </w:del>
          </w:p>
        </w:tc>
        <w:tc>
          <w:tcPr>
            <w:tcW w:w="1509" w:type="dxa"/>
          </w:tcPr>
          <w:p w:rsidR="006224C2" w:rsidRPr="00295E71" w14:paraId="2B8BD394" w14:textId="77777777">
            <w:pPr>
              <w:tabs>
                <w:tab w:val="left" w:pos="567"/>
              </w:tabs>
              <w:jc w:val="both"/>
              <w:pPrChange w:id="2446" w:author="AbbVie14" w:date="2025-05-09T10:30:00Z">
                <w:pPr>
                  <w:pStyle w:val="In-texttable"/>
                  <w:tabs>
                    <w:tab w:val="decimal" w:pos="95"/>
                    <w:tab w:val="left" w:pos="567"/>
                  </w:tabs>
                  <w:spacing w:line="240" w:lineRule="auto"/>
                  <w:jc w:val="center"/>
                </w:pPr>
              </w:pPrChange>
              <w:rPr>
                <w:del w:id="2447" w:author="AbbVie14" w:date="2025-05-09T10:30:00Z"/>
                <w:sz w:val="22"/>
                <w:szCs w:val="22"/>
              </w:rPr>
            </w:pPr>
            <w:del w:id="2448" w:author="AbbVie14" w:date="2025-05-09T10:30:00Z">
              <w:r w:rsidRPr="00295E71">
                <w:rPr>
                  <w:sz w:val="22"/>
                  <w:szCs w:val="22"/>
                </w:rPr>
                <w:delText>39,1%</w:delText>
              </w:r>
            </w:del>
          </w:p>
        </w:tc>
      </w:tr>
      <w:tr w14:paraId="13DA2331" w14:textId="77777777">
        <w:tblPrEx>
          <w:tblW w:w="9074" w:type="dxa"/>
          <w:tblLayout w:type="fixed"/>
          <w:tblLook w:val="0000"/>
        </w:tblPrEx>
        <w:trPr>
          <w:cantSplit/>
          <w:del w:id="2449" w:author="AbbVie14" w:date="2025-05-09T10:30:00Z"/>
        </w:trPr>
        <w:tc>
          <w:tcPr>
            <w:tcW w:w="1069" w:type="dxa"/>
            <w:tcBorders>
              <w:right w:val="single" w:sz="6" w:space="0" w:color="auto"/>
            </w:tcBorders>
          </w:tcPr>
          <w:p w:rsidR="006224C2" w:rsidRPr="00295E71" w14:paraId="00551A8E" w14:textId="77777777">
            <w:pPr>
              <w:tabs>
                <w:tab w:val="left" w:pos="567"/>
              </w:tabs>
              <w:jc w:val="both"/>
              <w:pPrChange w:id="2450" w:author="AbbVie14" w:date="2025-05-09T10:30:00Z">
                <w:pPr>
                  <w:pStyle w:val="In-texttable"/>
                  <w:tabs>
                    <w:tab w:val="left" w:pos="144"/>
                    <w:tab w:val="left" w:pos="567"/>
                  </w:tabs>
                  <w:spacing w:line="240" w:lineRule="auto"/>
                </w:pPr>
              </w:pPrChange>
              <w:rPr>
                <w:del w:id="2451" w:author="AbbVie14" w:date="2025-05-09T10:30:00Z"/>
                <w:sz w:val="22"/>
                <w:szCs w:val="22"/>
              </w:rPr>
            </w:pPr>
            <w:del w:id="2452" w:author="AbbVie14" w:date="2025-05-09T10:30:00Z">
              <w:r w:rsidRPr="00295E71">
                <w:rPr>
                  <w:sz w:val="22"/>
                  <w:szCs w:val="22"/>
                </w:rPr>
                <w:tab/>
                <w:delText>12 mesi</w:delText>
              </w:r>
            </w:del>
          </w:p>
        </w:tc>
        <w:tc>
          <w:tcPr>
            <w:tcW w:w="1393" w:type="dxa"/>
            <w:tcBorders>
              <w:left w:val="single" w:sz="6" w:space="0" w:color="auto"/>
            </w:tcBorders>
          </w:tcPr>
          <w:p w:rsidR="006224C2" w:rsidRPr="00295E71" w14:paraId="5BE87C58" w14:textId="77777777">
            <w:pPr>
              <w:tabs>
                <w:tab w:val="left" w:pos="567"/>
              </w:tabs>
              <w:jc w:val="both"/>
              <w:pPrChange w:id="2453" w:author="AbbVie14" w:date="2025-05-09T10:30:00Z">
                <w:pPr>
                  <w:pStyle w:val="In-texttable"/>
                  <w:tabs>
                    <w:tab w:val="decimal" w:pos="259"/>
                    <w:tab w:val="left" w:pos="567"/>
                  </w:tabs>
                  <w:spacing w:line="240" w:lineRule="auto"/>
                  <w:jc w:val="center"/>
                </w:pPr>
              </w:pPrChange>
              <w:rPr>
                <w:del w:id="2454" w:author="AbbVie14" w:date="2025-05-09T10:30:00Z"/>
                <w:sz w:val="22"/>
                <w:szCs w:val="22"/>
              </w:rPr>
            </w:pPr>
            <w:del w:id="2455" w:author="AbbVie14" w:date="2025-05-09T10:30:00Z">
              <w:r w:rsidRPr="00295E71">
                <w:rPr>
                  <w:sz w:val="22"/>
                  <w:szCs w:val="22"/>
                </w:rPr>
                <w:delText>ND</w:delText>
              </w:r>
            </w:del>
          </w:p>
        </w:tc>
        <w:tc>
          <w:tcPr>
            <w:tcW w:w="1417" w:type="dxa"/>
            <w:tcBorders>
              <w:right w:val="single" w:sz="6" w:space="0" w:color="auto"/>
            </w:tcBorders>
          </w:tcPr>
          <w:p w:rsidR="006224C2" w:rsidRPr="00295E71" w14:paraId="00F7361C" w14:textId="77777777">
            <w:pPr>
              <w:tabs>
                <w:tab w:val="left" w:pos="567"/>
              </w:tabs>
              <w:jc w:val="both"/>
              <w:pPrChange w:id="2456" w:author="AbbVie14" w:date="2025-05-09T10:30:00Z">
                <w:pPr>
                  <w:pStyle w:val="In-texttable"/>
                  <w:tabs>
                    <w:tab w:val="decimal" w:pos="250"/>
                    <w:tab w:val="left" w:pos="567"/>
                  </w:tabs>
                  <w:spacing w:line="240" w:lineRule="auto"/>
                  <w:jc w:val="center"/>
                </w:pPr>
              </w:pPrChange>
              <w:rPr>
                <w:del w:id="2457" w:author="AbbVie14" w:date="2025-05-09T10:30:00Z"/>
                <w:sz w:val="22"/>
                <w:szCs w:val="22"/>
              </w:rPr>
            </w:pPr>
            <w:del w:id="2458" w:author="AbbVie14" w:date="2025-05-09T10:30:00Z">
              <w:r w:rsidRPr="00295E71">
                <w:rPr>
                  <w:sz w:val="22"/>
                  <w:szCs w:val="22"/>
                </w:rPr>
                <w:delText>ND</w:delText>
              </w:r>
            </w:del>
          </w:p>
        </w:tc>
        <w:tc>
          <w:tcPr>
            <w:tcW w:w="1071" w:type="dxa"/>
            <w:tcBorders>
              <w:left w:val="single" w:sz="6" w:space="0" w:color="auto"/>
            </w:tcBorders>
          </w:tcPr>
          <w:p w:rsidR="006224C2" w:rsidRPr="00295E71" w14:paraId="26E36E85" w14:textId="77777777">
            <w:pPr>
              <w:tabs>
                <w:tab w:val="left" w:pos="567"/>
              </w:tabs>
              <w:jc w:val="both"/>
              <w:pPrChange w:id="2459" w:author="AbbVie14" w:date="2025-05-09T10:30:00Z">
                <w:pPr>
                  <w:pStyle w:val="In-texttable"/>
                  <w:tabs>
                    <w:tab w:val="decimal" w:pos="259"/>
                    <w:tab w:val="left" w:pos="567"/>
                  </w:tabs>
                  <w:spacing w:line="240" w:lineRule="auto"/>
                  <w:jc w:val="center"/>
                </w:pPr>
              </w:pPrChange>
              <w:rPr>
                <w:del w:id="2460" w:author="AbbVie14" w:date="2025-05-09T10:30:00Z"/>
                <w:sz w:val="22"/>
                <w:szCs w:val="22"/>
              </w:rPr>
            </w:pPr>
            <w:del w:id="2461" w:author="AbbVie14" w:date="2025-05-09T10:30:00Z">
              <w:r w:rsidRPr="00295E71">
                <w:rPr>
                  <w:sz w:val="22"/>
                  <w:szCs w:val="22"/>
                </w:rPr>
                <w:delText>ND</w:delText>
              </w:r>
            </w:del>
          </w:p>
        </w:tc>
        <w:tc>
          <w:tcPr>
            <w:tcW w:w="1197" w:type="dxa"/>
            <w:tcBorders>
              <w:right w:val="single" w:sz="6" w:space="0" w:color="auto"/>
            </w:tcBorders>
          </w:tcPr>
          <w:p w:rsidR="006224C2" w:rsidRPr="00295E71" w14:paraId="7E13AD72" w14:textId="77777777">
            <w:pPr>
              <w:tabs>
                <w:tab w:val="left" w:pos="567"/>
              </w:tabs>
              <w:jc w:val="both"/>
              <w:pPrChange w:id="2462" w:author="AbbVie14" w:date="2025-05-09T10:30:00Z">
                <w:pPr>
                  <w:pStyle w:val="In-texttable"/>
                  <w:tabs>
                    <w:tab w:val="decimal" w:pos="250"/>
                    <w:tab w:val="left" w:pos="567"/>
                  </w:tabs>
                  <w:spacing w:line="240" w:lineRule="auto"/>
                  <w:jc w:val="center"/>
                </w:pPr>
              </w:pPrChange>
              <w:rPr>
                <w:del w:id="2463" w:author="AbbVie14" w:date="2025-05-09T10:30:00Z"/>
                <w:sz w:val="22"/>
                <w:szCs w:val="22"/>
              </w:rPr>
            </w:pPr>
            <w:del w:id="2464" w:author="AbbVie14" w:date="2025-05-09T10:30:00Z">
              <w:r w:rsidRPr="00295E71">
                <w:rPr>
                  <w:sz w:val="22"/>
                  <w:szCs w:val="22"/>
                </w:rPr>
                <w:delText>ND</w:delText>
              </w:r>
            </w:del>
          </w:p>
        </w:tc>
        <w:tc>
          <w:tcPr>
            <w:tcW w:w="1418" w:type="dxa"/>
            <w:tcBorders>
              <w:left w:val="single" w:sz="6" w:space="0" w:color="auto"/>
            </w:tcBorders>
          </w:tcPr>
          <w:p w:rsidR="006224C2" w:rsidRPr="00295E71" w14:paraId="53F1DE8B" w14:textId="77777777">
            <w:pPr>
              <w:tabs>
                <w:tab w:val="left" w:pos="567"/>
              </w:tabs>
              <w:jc w:val="both"/>
              <w:pPrChange w:id="2465" w:author="AbbVie14" w:date="2025-05-09T10:30:00Z">
                <w:pPr>
                  <w:pStyle w:val="In-texttable"/>
                  <w:tabs>
                    <w:tab w:val="decimal" w:pos="144"/>
                    <w:tab w:val="left" w:pos="567"/>
                  </w:tabs>
                  <w:spacing w:line="240" w:lineRule="auto"/>
                  <w:jc w:val="center"/>
                </w:pPr>
              </w:pPrChange>
              <w:rPr>
                <w:del w:id="2466" w:author="AbbVie14" w:date="2025-05-09T10:30:00Z"/>
                <w:sz w:val="22"/>
                <w:szCs w:val="22"/>
              </w:rPr>
            </w:pPr>
            <w:del w:id="2467" w:author="AbbVie14" w:date="2025-05-09T10:30:00Z">
              <w:r w:rsidRPr="00295E71">
                <w:rPr>
                  <w:sz w:val="22"/>
                  <w:szCs w:val="22"/>
                </w:rPr>
                <w:delText xml:space="preserve"> 9,5%</w:delText>
              </w:r>
            </w:del>
          </w:p>
        </w:tc>
        <w:tc>
          <w:tcPr>
            <w:tcW w:w="1509" w:type="dxa"/>
          </w:tcPr>
          <w:p w:rsidR="006224C2" w:rsidRPr="00295E71" w14:paraId="00F360ED" w14:textId="77777777">
            <w:pPr>
              <w:tabs>
                <w:tab w:val="left" w:pos="567"/>
              </w:tabs>
              <w:jc w:val="both"/>
              <w:pPrChange w:id="2468" w:author="AbbVie14" w:date="2025-05-09T10:30:00Z">
                <w:pPr>
                  <w:pStyle w:val="In-texttable"/>
                  <w:tabs>
                    <w:tab w:val="decimal" w:pos="95"/>
                    <w:tab w:val="left" w:pos="567"/>
                  </w:tabs>
                  <w:spacing w:line="240" w:lineRule="auto"/>
                  <w:jc w:val="center"/>
                </w:pPr>
              </w:pPrChange>
              <w:rPr>
                <w:del w:id="2469" w:author="AbbVie14" w:date="2025-05-09T10:30:00Z"/>
                <w:sz w:val="22"/>
                <w:szCs w:val="22"/>
              </w:rPr>
            </w:pPr>
            <w:del w:id="2470" w:author="AbbVie14" w:date="2025-05-09T10:30:00Z">
              <w:r w:rsidRPr="00295E71">
                <w:rPr>
                  <w:sz w:val="22"/>
                  <w:szCs w:val="22"/>
                </w:rPr>
                <w:delText>41,5%</w:delText>
              </w:r>
            </w:del>
          </w:p>
        </w:tc>
      </w:tr>
      <w:tr w14:paraId="3C092259" w14:textId="77777777">
        <w:tblPrEx>
          <w:tblW w:w="9074" w:type="dxa"/>
          <w:tblLayout w:type="fixed"/>
          <w:tblLook w:val="0000"/>
        </w:tblPrEx>
        <w:trPr>
          <w:cantSplit/>
          <w:del w:id="2471" w:author="AbbVie14" w:date="2025-05-09T10:30:00Z"/>
        </w:trPr>
        <w:tc>
          <w:tcPr>
            <w:tcW w:w="1069" w:type="dxa"/>
            <w:tcBorders>
              <w:right w:val="single" w:sz="6" w:space="0" w:color="auto"/>
            </w:tcBorders>
          </w:tcPr>
          <w:p w:rsidR="006224C2" w:rsidRPr="00295E71" w14:paraId="3284C008" w14:textId="77777777">
            <w:pPr>
              <w:tabs>
                <w:tab w:val="left" w:pos="567"/>
              </w:tabs>
              <w:jc w:val="both"/>
              <w:pPrChange w:id="2472" w:author="AbbVie14" w:date="2025-05-09T10:30:00Z">
                <w:pPr>
                  <w:pStyle w:val="In-texttable"/>
                  <w:tabs>
                    <w:tab w:val="left" w:pos="144"/>
                    <w:tab w:val="left" w:pos="567"/>
                  </w:tabs>
                  <w:spacing w:line="240" w:lineRule="auto"/>
                </w:pPr>
              </w:pPrChange>
              <w:rPr>
                <w:del w:id="2473" w:author="AbbVie14" w:date="2025-05-09T10:30:00Z"/>
                <w:sz w:val="22"/>
                <w:szCs w:val="22"/>
              </w:rPr>
            </w:pPr>
            <w:del w:id="2474" w:author="AbbVie14" w:date="2025-05-09T10:30:00Z">
              <w:r w:rsidRPr="003B3A5A">
                <w:rPr>
                  <w:noProof/>
                  <w:sz w:val="22"/>
                  <w:lang w:val="en-GB"/>
                </w:rPr>
                <mc:AlternateContent>
                  <mc:Choice Requires="wps">
                    <w:drawing>
                      <wp:anchor distT="0" distB="0" distL="114300" distR="114300" simplePos="0" relativeHeight="251660288" behindDoc="0" locked="0" layoutInCell="0" allowOverlap="1">
                        <wp:simplePos x="0" y="0"/>
                        <wp:positionH relativeFrom="column">
                          <wp:posOffset>-4972050</wp:posOffset>
                        </wp:positionH>
                        <wp:positionV relativeFrom="paragraph">
                          <wp:posOffset>38735</wp:posOffset>
                        </wp:positionV>
                        <wp:extent cx="3543300" cy="342900"/>
                        <wp:effectExtent l="0" t="0" r="0" b="0"/>
                        <wp:wrapNone/>
                        <wp:docPr id="15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43300" cy="342900"/>
                                </a:xfrm>
                                <a:prstGeom prst="rect">
                                  <a:avLst/>
                                </a:prstGeom>
                                <a:solidFill>
                                  <a:srgbClr val="FFFFFF"/>
                                </a:solidFill>
                                <a:ln>
                                  <a:noFill/>
                                </a:ln>
                              </wps:spPr>
                              <wps:txbx>
                                <w:txbxContent>
                                  <w:p w:rsidR="003B3A5A" w14:textId="77777777">
                                    <w:pPr>
                                      <w:rPr>
                                        <w:sz w:val="20"/>
                                        <w:szCs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7" type="#_x0000_t202" style="width:279pt;height:27pt;margin-top:3.05pt;margin-left:-391.5pt;mso-height-percent:0;mso-height-relative:page;mso-width-percent:0;mso-width-relative:page;mso-wrap-distance-bottom:0;mso-wrap-distance-left:9pt;mso-wrap-distance-right:9pt;mso-wrap-distance-top:0;mso-wrap-style:square;position:absolute;visibility:visible;v-text-anchor:top;z-index:251661312" o:allowincell="f" stroked="f">
                        <v:textbox>
                          <w:txbxContent>
                            <w:p w:rsidR="003B3A5A" w14:paraId="4E837CC1" w14:textId="77777777">
                              <w:pPr>
                                <w:rPr>
                                  <w:sz w:val="20"/>
                                  <w:szCs w:val="20"/>
                                </w:rPr>
                              </w:pPr>
                            </w:p>
                          </w:txbxContent>
                        </v:textbox>
                      </v:shape>
                    </w:pict>
                  </mc:Fallback>
                </mc:AlternateContent>
              </w:r>
            </w:del>
            <w:del w:id="2475" w:author="AbbVie14" w:date="2025-05-09T10:30:00Z">
              <w:r w:rsidRPr="00295E71" w:rsidR="00226BC4">
                <w:rPr>
                  <w:sz w:val="22"/>
                  <w:szCs w:val="22"/>
                </w:rPr>
                <w:delText>ACR 70</w:delText>
              </w:r>
            </w:del>
          </w:p>
        </w:tc>
        <w:tc>
          <w:tcPr>
            <w:tcW w:w="1393" w:type="dxa"/>
            <w:tcBorders>
              <w:left w:val="single" w:sz="6" w:space="0" w:color="auto"/>
            </w:tcBorders>
          </w:tcPr>
          <w:p w:rsidR="006224C2" w:rsidRPr="00295E71" w14:paraId="29C7BED9" w14:textId="77777777">
            <w:pPr>
              <w:tabs>
                <w:tab w:val="left" w:pos="567"/>
              </w:tabs>
              <w:jc w:val="both"/>
              <w:pPrChange w:id="2476" w:author="AbbVie14" w:date="2025-05-09T10:30:00Z">
                <w:pPr>
                  <w:pStyle w:val="In-texttable"/>
                  <w:tabs>
                    <w:tab w:val="decimal" w:pos="259"/>
                    <w:tab w:val="left" w:pos="567"/>
                  </w:tabs>
                  <w:spacing w:line="240" w:lineRule="auto"/>
                  <w:jc w:val="center"/>
                </w:pPr>
              </w:pPrChange>
              <w:rPr>
                <w:del w:id="2477" w:author="AbbVie14" w:date="2025-05-09T10:30:00Z"/>
                <w:sz w:val="22"/>
                <w:szCs w:val="22"/>
              </w:rPr>
            </w:pPr>
          </w:p>
        </w:tc>
        <w:tc>
          <w:tcPr>
            <w:tcW w:w="1417" w:type="dxa"/>
            <w:tcBorders>
              <w:right w:val="single" w:sz="6" w:space="0" w:color="auto"/>
            </w:tcBorders>
          </w:tcPr>
          <w:p w:rsidR="006224C2" w:rsidRPr="00295E71" w14:paraId="6EF1550C" w14:textId="77777777">
            <w:pPr>
              <w:tabs>
                <w:tab w:val="left" w:pos="567"/>
              </w:tabs>
              <w:jc w:val="both"/>
              <w:pPrChange w:id="2478" w:author="AbbVie14" w:date="2025-05-09T10:30:00Z">
                <w:pPr>
                  <w:pStyle w:val="In-texttable"/>
                  <w:tabs>
                    <w:tab w:val="decimal" w:pos="250"/>
                    <w:tab w:val="left" w:pos="567"/>
                  </w:tabs>
                  <w:spacing w:line="240" w:lineRule="auto"/>
                  <w:jc w:val="center"/>
                </w:pPr>
              </w:pPrChange>
              <w:rPr>
                <w:del w:id="2479" w:author="AbbVie14" w:date="2025-05-09T10:30:00Z"/>
                <w:sz w:val="22"/>
                <w:szCs w:val="22"/>
              </w:rPr>
            </w:pPr>
          </w:p>
        </w:tc>
        <w:tc>
          <w:tcPr>
            <w:tcW w:w="1071" w:type="dxa"/>
            <w:tcBorders>
              <w:left w:val="single" w:sz="6" w:space="0" w:color="auto"/>
            </w:tcBorders>
          </w:tcPr>
          <w:p w:rsidR="006224C2" w:rsidRPr="00295E71" w14:paraId="3B58971F" w14:textId="77777777">
            <w:pPr>
              <w:tabs>
                <w:tab w:val="left" w:pos="567"/>
              </w:tabs>
              <w:jc w:val="both"/>
              <w:pPrChange w:id="2480" w:author="AbbVie14" w:date="2025-05-09T10:30:00Z">
                <w:pPr>
                  <w:pStyle w:val="In-texttable"/>
                  <w:tabs>
                    <w:tab w:val="left" w:pos="567"/>
                  </w:tabs>
                  <w:spacing w:line="240" w:lineRule="auto"/>
                  <w:jc w:val="center"/>
                </w:pPr>
              </w:pPrChange>
              <w:rPr>
                <w:del w:id="2481" w:author="AbbVie14" w:date="2025-05-09T10:30:00Z"/>
                <w:sz w:val="22"/>
                <w:szCs w:val="22"/>
              </w:rPr>
            </w:pPr>
          </w:p>
        </w:tc>
        <w:tc>
          <w:tcPr>
            <w:tcW w:w="1197" w:type="dxa"/>
            <w:tcBorders>
              <w:right w:val="single" w:sz="6" w:space="0" w:color="auto"/>
            </w:tcBorders>
          </w:tcPr>
          <w:p w:rsidR="006224C2" w:rsidRPr="00295E71" w14:paraId="50AA55C1" w14:textId="77777777">
            <w:pPr>
              <w:tabs>
                <w:tab w:val="left" w:pos="567"/>
              </w:tabs>
              <w:jc w:val="both"/>
              <w:pPrChange w:id="2482" w:author="AbbVie14" w:date="2025-05-09T10:30:00Z">
                <w:pPr>
                  <w:pStyle w:val="In-texttable"/>
                  <w:tabs>
                    <w:tab w:val="decimal" w:pos="205"/>
                    <w:tab w:val="left" w:pos="567"/>
                  </w:tabs>
                  <w:spacing w:line="240" w:lineRule="auto"/>
                  <w:jc w:val="center"/>
                </w:pPr>
              </w:pPrChange>
              <w:rPr>
                <w:del w:id="2483" w:author="AbbVie14" w:date="2025-05-09T10:30:00Z"/>
                <w:sz w:val="22"/>
                <w:szCs w:val="22"/>
              </w:rPr>
            </w:pPr>
          </w:p>
        </w:tc>
        <w:tc>
          <w:tcPr>
            <w:tcW w:w="1418" w:type="dxa"/>
            <w:tcBorders>
              <w:left w:val="single" w:sz="6" w:space="0" w:color="auto"/>
            </w:tcBorders>
          </w:tcPr>
          <w:p w:rsidR="006224C2" w:rsidRPr="00295E71" w14:paraId="31A8B09F" w14:textId="77777777">
            <w:pPr>
              <w:tabs>
                <w:tab w:val="left" w:pos="567"/>
              </w:tabs>
              <w:jc w:val="both"/>
              <w:pPrChange w:id="2484" w:author="AbbVie14" w:date="2025-05-09T10:30:00Z">
                <w:pPr>
                  <w:pStyle w:val="In-texttable"/>
                  <w:tabs>
                    <w:tab w:val="decimal" w:pos="144"/>
                    <w:tab w:val="left" w:pos="567"/>
                  </w:tabs>
                  <w:spacing w:line="240" w:lineRule="auto"/>
                  <w:jc w:val="center"/>
                </w:pPr>
              </w:pPrChange>
              <w:rPr>
                <w:del w:id="2485" w:author="AbbVie14" w:date="2025-05-09T10:30:00Z"/>
                <w:sz w:val="22"/>
                <w:szCs w:val="22"/>
              </w:rPr>
            </w:pPr>
          </w:p>
        </w:tc>
        <w:tc>
          <w:tcPr>
            <w:tcW w:w="1509" w:type="dxa"/>
          </w:tcPr>
          <w:p w:rsidR="006224C2" w:rsidRPr="00295E71" w14:paraId="2F8C7FA1" w14:textId="77777777">
            <w:pPr>
              <w:tabs>
                <w:tab w:val="left" w:pos="567"/>
              </w:tabs>
              <w:jc w:val="both"/>
              <w:pPrChange w:id="2486" w:author="AbbVie14" w:date="2025-05-09T10:30:00Z">
                <w:pPr>
                  <w:pStyle w:val="In-texttable"/>
                  <w:tabs>
                    <w:tab w:val="decimal" w:pos="95"/>
                    <w:tab w:val="left" w:pos="567"/>
                  </w:tabs>
                  <w:spacing w:line="240" w:lineRule="auto"/>
                  <w:jc w:val="center"/>
                </w:pPr>
              </w:pPrChange>
              <w:rPr>
                <w:del w:id="2487" w:author="AbbVie14" w:date="2025-05-09T10:30:00Z"/>
                <w:sz w:val="22"/>
                <w:szCs w:val="22"/>
              </w:rPr>
            </w:pPr>
          </w:p>
        </w:tc>
      </w:tr>
      <w:tr w14:paraId="1F093AB6" w14:textId="77777777">
        <w:tblPrEx>
          <w:tblW w:w="9074" w:type="dxa"/>
          <w:tblLayout w:type="fixed"/>
          <w:tblLook w:val="0000"/>
        </w:tblPrEx>
        <w:trPr>
          <w:cantSplit/>
          <w:del w:id="2488" w:author="AbbVie14" w:date="2025-05-09T10:30:00Z"/>
        </w:trPr>
        <w:tc>
          <w:tcPr>
            <w:tcW w:w="1069" w:type="dxa"/>
            <w:tcBorders>
              <w:right w:val="single" w:sz="6" w:space="0" w:color="auto"/>
            </w:tcBorders>
          </w:tcPr>
          <w:p w:rsidR="006224C2" w:rsidRPr="00295E71" w14:paraId="45778886" w14:textId="77777777">
            <w:pPr>
              <w:tabs>
                <w:tab w:val="left" w:pos="567"/>
              </w:tabs>
              <w:jc w:val="both"/>
              <w:pPrChange w:id="2489" w:author="AbbVie14" w:date="2025-05-09T10:30:00Z">
                <w:pPr>
                  <w:pStyle w:val="In-texttable"/>
                  <w:tabs>
                    <w:tab w:val="left" w:pos="144"/>
                    <w:tab w:val="left" w:pos="567"/>
                  </w:tabs>
                  <w:spacing w:line="240" w:lineRule="auto"/>
                </w:pPr>
              </w:pPrChange>
              <w:rPr>
                <w:del w:id="2490" w:author="AbbVie14" w:date="2025-05-09T10:30:00Z"/>
                <w:sz w:val="22"/>
                <w:szCs w:val="22"/>
              </w:rPr>
            </w:pPr>
            <w:del w:id="2491" w:author="AbbVie14" w:date="2025-05-09T10:30:00Z">
              <w:r w:rsidRPr="00295E71">
                <w:rPr>
                  <w:sz w:val="22"/>
                  <w:szCs w:val="22"/>
                </w:rPr>
                <w:tab/>
                <w:delText>6 mesi</w:delText>
              </w:r>
            </w:del>
          </w:p>
        </w:tc>
        <w:tc>
          <w:tcPr>
            <w:tcW w:w="1393" w:type="dxa"/>
            <w:tcBorders>
              <w:left w:val="single" w:sz="6" w:space="0" w:color="auto"/>
            </w:tcBorders>
          </w:tcPr>
          <w:p w:rsidR="006224C2" w:rsidRPr="00295E71" w14:paraId="15BD4E81" w14:textId="77777777">
            <w:pPr>
              <w:tabs>
                <w:tab w:val="left" w:pos="567"/>
              </w:tabs>
              <w:jc w:val="both"/>
              <w:pPrChange w:id="2492" w:author="AbbVie14" w:date="2025-05-09T10:30:00Z">
                <w:pPr>
                  <w:pStyle w:val="In-texttable"/>
                  <w:tabs>
                    <w:tab w:val="decimal" w:pos="259"/>
                    <w:tab w:val="left" w:pos="567"/>
                  </w:tabs>
                  <w:spacing w:line="240" w:lineRule="auto"/>
                  <w:jc w:val="center"/>
                </w:pPr>
              </w:pPrChange>
              <w:rPr>
                <w:del w:id="2493" w:author="AbbVie14" w:date="2025-05-09T10:30:00Z"/>
                <w:sz w:val="22"/>
                <w:szCs w:val="22"/>
              </w:rPr>
            </w:pPr>
            <w:del w:id="2494" w:author="AbbVie14" w:date="2025-05-09T10:30:00Z">
              <w:r w:rsidRPr="00295E71">
                <w:rPr>
                  <w:sz w:val="22"/>
                  <w:szCs w:val="22"/>
                </w:rPr>
                <w:delText>3,3%</w:delText>
              </w:r>
            </w:del>
          </w:p>
        </w:tc>
        <w:tc>
          <w:tcPr>
            <w:tcW w:w="1417" w:type="dxa"/>
            <w:tcBorders>
              <w:right w:val="single" w:sz="6" w:space="0" w:color="auto"/>
            </w:tcBorders>
          </w:tcPr>
          <w:p w:rsidR="006224C2" w:rsidRPr="00295E71" w14:paraId="1A796BD4" w14:textId="77777777">
            <w:pPr>
              <w:tabs>
                <w:tab w:val="left" w:pos="567"/>
              </w:tabs>
              <w:jc w:val="both"/>
              <w:pPrChange w:id="2495" w:author="AbbVie14" w:date="2025-05-09T10:30:00Z">
                <w:pPr>
                  <w:pStyle w:val="In-texttable"/>
                  <w:tabs>
                    <w:tab w:val="decimal" w:pos="250"/>
                    <w:tab w:val="left" w:pos="567"/>
                  </w:tabs>
                  <w:spacing w:line="240" w:lineRule="auto"/>
                  <w:jc w:val="center"/>
                </w:pPr>
              </w:pPrChange>
              <w:rPr>
                <w:del w:id="2496" w:author="AbbVie14" w:date="2025-05-09T10:30:00Z"/>
                <w:sz w:val="22"/>
                <w:szCs w:val="22"/>
              </w:rPr>
            </w:pPr>
            <w:del w:id="2497" w:author="AbbVie14" w:date="2025-05-09T10:30:00Z">
              <w:r w:rsidRPr="00295E71">
                <w:rPr>
                  <w:sz w:val="22"/>
                  <w:szCs w:val="22"/>
                </w:rPr>
                <w:delText>23,8%</w:delText>
              </w:r>
            </w:del>
          </w:p>
        </w:tc>
        <w:tc>
          <w:tcPr>
            <w:tcW w:w="1071" w:type="dxa"/>
            <w:tcBorders>
              <w:left w:val="single" w:sz="6" w:space="0" w:color="auto"/>
            </w:tcBorders>
          </w:tcPr>
          <w:p w:rsidR="006224C2" w:rsidRPr="00295E71" w14:paraId="3F2A6A00" w14:textId="77777777">
            <w:pPr>
              <w:tabs>
                <w:tab w:val="left" w:pos="567"/>
              </w:tabs>
              <w:jc w:val="both"/>
              <w:pPrChange w:id="2498" w:author="AbbVie14" w:date="2025-05-09T10:30:00Z">
                <w:pPr>
                  <w:pStyle w:val="In-texttable"/>
                  <w:tabs>
                    <w:tab w:val="left" w:pos="567"/>
                  </w:tabs>
                  <w:spacing w:line="240" w:lineRule="auto"/>
                  <w:jc w:val="center"/>
                </w:pPr>
              </w:pPrChange>
              <w:rPr>
                <w:del w:id="2499" w:author="AbbVie14" w:date="2025-05-09T10:30:00Z"/>
                <w:sz w:val="22"/>
                <w:szCs w:val="22"/>
              </w:rPr>
            </w:pPr>
            <w:del w:id="2500" w:author="AbbVie14" w:date="2025-05-09T10:30:00Z">
              <w:r w:rsidRPr="00295E71">
                <w:rPr>
                  <w:sz w:val="22"/>
                  <w:szCs w:val="22"/>
                </w:rPr>
                <w:delText>1,8%</w:delText>
              </w:r>
            </w:del>
          </w:p>
        </w:tc>
        <w:tc>
          <w:tcPr>
            <w:tcW w:w="1197" w:type="dxa"/>
            <w:tcBorders>
              <w:right w:val="single" w:sz="6" w:space="0" w:color="auto"/>
            </w:tcBorders>
          </w:tcPr>
          <w:p w:rsidR="006224C2" w:rsidRPr="00295E71" w14:paraId="59314E80" w14:textId="77777777">
            <w:pPr>
              <w:tabs>
                <w:tab w:val="left" w:pos="567"/>
              </w:tabs>
              <w:jc w:val="both"/>
              <w:pPrChange w:id="2501" w:author="AbbVie14" w:date="2025-05-09T10:30:00Z">
                <w:pPr>
                  <w:pStyle w:val="In-texttable"/>
                  <w:tabs>
                    <w:tab w:val="decimal" w:pos="205"/>
                    <w:tab w:val="left" w:pos="567"/>
                  </w:tabs>
                  <w:spacing w:line="240" w:lineRule="auto"/>
                  <w:jc w:val="center"/>
                </w:pPr>
              </w:pPrChange>
              <w:rPr>
                <w:del w:id="2502" w:author="AbbVie14" w:date="2025-05-09T10:30:00Z"/>
                <w:sz w:val="22"/>
                <w:szCs w:val="22"/>
              </w:rPr>
            </w:pPr>
            <w:del w:id="2503" w:author="AbbVie14" w:date="2025-05-09T10:30:00Z">
              <w:r w:rsidRPr="00295E71">
                <w:rPr>
                  <w:sz w:val="22"/>
                  <w:szCs w:val="22"/>
                </w:rPr>
                <w:delText>12,4%</w:delText>
              </w:r>
            </w:del>
          </w:p>
        </w:tc>
        <w:tc>
          <w:tcPr>
            <w:tcW w:w="1418" w:type="dxa"/>
            <w:tcBorders>
              <w:left w:val="single" w:sz="6" w:space="0" w:color="auto"/>
            </w:tcBorders>
          </w:tcPr>
          <w:p w:rsidR="006224C2" w:rsidRPr="00295E71" w14:paraId="539D6FCC" w14:textId="77777777">
            <w:pPr>
              <w:tabs>
                <w:tab w:val="left" w:pos="567"/>
              </w:tabs>
              <w:jc w:val="both"/>
              <w:pPrChange w:id="2504" w:author="AbbVie14" w:date="2025-05-09T10:30:00Z">
                <w:pPr>
                  <w:pStyle w:val="In-texttable"/>
                  <w:tabs>
                    <w:tab w:val="decimal" w:pos="144"/>
                    <w:tab w:val="left" w:pos="567"/>
                  </w:tabs>
                  <w:spacing w:line="240" w:lineRule="auto"/>
                  <w:jc w:val="center"/>
                </w:pPr>
              </w:pPrChange>
              <w:rPr>
                <w:del w:id="2505" w:author="AbbVie14" w:date="2025-05-09T10:30:00Z"/>
                <w:sz w:val="22"/>
                <w:szCs w:val="22"/>
              </w:rPr>
            </w:pPr>
            <w:del w:id="2506" w:author="AbbVie14" w:date="2025-05-09T10:30:00Z">
              <w:r w:rsidRPr="00295E71">
                <w:rPr>
                  <w:sz w:val="22"/>
                  <w:szCs w:val="22"/>
                </w:rPr>
                <w:delText>2,5%</w:delText>
              </w:r>
            </w:del>
          </w:p>
        </w:tc>
        <w:tc>
          <w:tcPr>
            <w:tcW w:w="1509" w:type="dxa"/>
          </w:tcPr>
          <w:p w:rsidR="006224C2" w:rsidRPr="00295E71" w14:paraId="59D6C325" w14:textId="77777777">
            <w:pPr>
              <w:tabs>
                <w:tab w:val="left" w:pos="567"/>
              </w:tabs>
              <w:jc w:val="both"/>
              <w:pPrChange w:id="2507" w:author="AbbVie14" w:date="2025-05-09T10:30:00Z">
                <w:pPr>
                  <w:pStyle w:val="In-texttable"/>
                  <w:tabs>
                    <w:tab w:val="decimal" w:pos="95"/>
                    <w:tab w:val="left" w:pos="567"/>
                  </w:tabs>
                  <w:spacing w:line="240" w:lineRule="auto"/>
                  <w:jc w:val="center"/>
                </w:pPr>
              </w:pPrChange>
              <w:rPr>
                <w:del w:id="2508" w:author="AbbVie14" w:date="2025-05-09T10:30:00Z"/>
                <w:sz w:val="22"/>
                <w:szCs w:val="22"/>
              </w:rPr>
            </w:pPr>
            <w:del w:id="2509" w:author="AbbVie14" w:date="2025-05-09T10:30:00Z">
              <w:r w:rsidRPr="00295E71">
                <w:rPr>
                  <w:sz w:val="22"/>
                  <w:szCs w:val="22"/>
                </w:rPr>
                <w:delText>20,8%</w:delText>
              </w:r>
            </w:del>
          </w:p>
        </w:tc>
      </w:tr>
      <w:tr w14:paraId="71B8345B" w14:textId="77777777">
        <w:tblPrEx>
          <w:tblW w:w="9074" w:type="dxa"/>
          <w:tblLayout w:type="fixed"/>
          <w:tblLook w:val="0000"/>
        </w:tblPrEx>
        <w:trPr>
          <w:cantSplit/>
          <w:del w:id="2510" w:author="AbbVie14" w:date="2025-05-09T10:30:00Z"/>
        </w:trPr>
        <w:tc>
          <w:tcPr>
            <w:tcW w:w="1069" w:type="dxa"/>
            <w:tcBorders>
              <w:bottom w:val="single" w:sz="6" w:space="0" w:color="auto"/>
              <w:right w:val="single" w:sz="6" w:space="0" w:color="auto"/>
            </w:tcBorders>
          </w:tcPr>
          <w:p w:rsidR="006224C2" w:rsidRPr="00295E71" w14:paraId="401E0A8B" w14:textId="77777777">
            <w:pPr>
              <w:tabs>
                <w:tab w:val="left" w:pos="567"/>
              </w:tabs>
              <w:jc w:val="both"/>
              <w:pPrChange w:id="2511" w:author="AbbVie14" w:date="2025-05-09T10:30:00Z">
                <w:pPr>
                  <w:pStyle w:val="In-texttable"/>
                  <w:tabs>
                    <w:tab w:val="left" w:pos="144"/>
                    <w:tab w:val="left" w:pos="567"/>
                  </w:tabs>
                  <w:spacing w:line="240" w:lineRule="auto"/>
                </w:pPr>
              </w:pPrChange>
              <w:rPr>
                <w:del w:id="2512" w:author="AbbVie14" w:date="2025-05-09T10:30:00Z"/>
                <w:sz w:val="22"/>
                <w:szCs w:val="22"/>
              </w:rPr>
            </w:pPr>
            <w:del w:id="2513" w:author="AbbVie14" w:date="2025-05-09T10:30:00Z">
              <w:r w:rsidRPr="00295E71">
                <w:rPr>
                  <w:sz w:val="22"/>
                  <w:szCs w:val="22"/>
                </w:rPr>
                <w:tab/>
                <w:delText>12 mesi</w:delText>
              </w:r>
            </w:del>
          </w:p>
        </w:tc>
        <w:tc>
          <w:tcPr>
            <w:tcW w:w="1393" w:type="dxa"/>
            <w:tcBorders>
              <w:left w:val="single" w:sz="6" w:space="0" w:color="auto"/>
              <w:bottom w:val="single" w:sz="6" w:space="0" w:color="auto"/>
            </w:tcBorders>
          </w:tcPr>
          <w:p w:rsidR="006224C2" w:rsidRPr="00295E71" w14:paraId="5B8759B3" w14:textId="77777777">
            <w:pPr>
              <w:tabs>
                <w:tab w:val="left" w:pos="567"/>
              </w:tabs>
              <w:jc w:val="both"/>
              <w:pPrChange w:id="2514" w:author="AbbVie14" w:date="2025-05-09T10:30:00Z">
                <w:pPr>
                  <w:pStyle w:val="In-texttable"/>
                  <w:tabs>
                    <w:tab w:val="decimal" w:pos="259"/>
                    <w:tab w:val="left" w:pos="567"/>
                  </w:tabs>
                  <w:spacing w:line="240" w:lineRule="auto"/>
                  <w:jc w:val="center"/>
                </w:pPr>
              </w:pPrChange>
              <w:rPr>
                <w:del w:id="2515" w:author="AbbVie14" w:date="2025-05-09T10:30:00Z"/>
                <w:sz w:val="22"/>
                <w:szCs w:val="22"/>
              </w:rPr>
            </w:pPr>
            <w:del w:id="2516" w:author="AbbVie14" w:date="2025-05-09T10:30:00Z">
              <w:r w:rsidRPr="00295E71">
                <w:rPr>
                  <w:sz w:val="22"/>
                  <w:szCs w:val="22"/>
                </w:rPr>
                <w:delText>ND</w:delText>
              </w:r>
            </w:del>
          </w:p>
        </w:tc>
        <w:tc>
          <w:tcPr>
            <w:tcW w:w="1417" w:type="dxa"/>
            <w:tcBorders>
              <w:bottom w:val="single" w:sz="6" w:space="0" w:color="auto"/>
              <w:right w:val="single" w:sz="6" w:space="0" w:color="auto"/>
            </w:tcBorders>
          </w:tcPr>
          <w:p w:rsidR="006224C2" w:rsidRPr="00295E71" w14:paraId="728914BF" w14:textId="77777777">
            <w:pPr>
              <w:tabs>
                <w:tab w:val="left" w:pos="567"/>
              </w:tabs>
              <w:jc w:val="both"/>
              <w:pPrChange w:id="2517" w:author="AbbVie14" w:date="2025-05-09T10:30:00Z">
                <w:pPr>
                  <w:pStyle w:val="In-texttable"/>
                  <w:tabs>
                    <w:tab w:val="decimal" w:pos="250"/>
                    <w:tab w:val="left" w:pos="567"/>
                  </w:tabs>
                  <w:spacing w:line="240" w:lineRule="auto"/>
                  <w:jc w:val="center"/>
                </w:pPr>
              </w:pPrChange>
              <w:rPr>
                <w:del w:id="2518" w:author="AbbVie14" w:date="2025-05-09T10:30:00Z"/>
                <w:sz w:val="22"/>
                <w:szCs w:val="22"/>
              </w:rPr>
            </w:pPr>
            <w:del w:id="2519" w:author="AbbVie14" w:date="2025-05-09T10:30:00Z">
              <w:r w:rsidRPr="00295E71">
                <w:rPr>
                  <w:sz w:val="22"/>
                  <w:szCs w:val="22"/>
                </w:rPr>
                <w:delText>ND</w:delText>
              </w:r>
            </w:del>
          </w:p>
        </w:tc>
        <w:tc>
          <w:tcPr>
            <w:tcW w:w="1071" w:type="dxa"/>
            <w:tcBorders>
              <w:left w:val="single" w:sz="6" w:space="0" w:color="auto"/>
              <w:bottom w:val="single" w:sz="6" w:space="0" w:color="auto"/>
            </w:tcBorders>
          </w:tcPr>
          <w:p w:rsidR="006224C2" w:rsidRPr="00295E71" w14:paraId="0FEDD2BC" w14:textId="77777777">
            <w:pPr>
              <w:tabs>
                <w:tab w:val="left" w:pos="567"/>
              </w:tabs>
              <w:jc w:val="both"/>
              <w:pPrChange w:id="2520" w:author="AbbVie14" w:date="2025-05-09T10:30:00Z">
                <w:pPr>
                  <w:pStyle w:val="In-texttable"/>
                  <w:tabs>
                    <w:tab w:val="decimal" w:pos="259"/>
                    <w:tab w:val="left" w:pos="567"/>
                  </w:tabs>
                  <w:spacing w:line="240" w:lineRule="auto"/>
                  <w:jc w:val="center"/>
                </w:pPr>
              </w:pPrChange>
              <w:rPr>
                <w:del w:id="2521" w:author="AbbVie14" w:date="2025-05-09T10:30:00Z"/>
                <w:sz w:val="22"/>
                <w:szCs w:val="22"/>
              </w:rPr>
            </w:pPr>
            <w:del w:id="2522" w:author="AbbVie14" w:date="2025-05-09T10:30:00Z">
              <w:r w:rsidRPr="00295E71">
                <w:rPr>
                  <w:sz w:val="22"/>
                  <w:szCs w:val="22"/>
                </w:rPr>
                <w:delText>ND</w:delText>
              </w:r>
            </w:del>
          </w:p>
        </w:tc>
        <w:tc>
          <w:tcPr>
            <w:tcW w:w="1197" w:type="dxa"/>
            <w:tcBorders>
              <w:bottom w:val="single" w:sz="6" w:space="0" w:color="auto"/>
              <w:right w:val="single" w:sz="6" w:space="0" w:color="auto"/>
            </w:tcBorders>
          </w:tcPr>
          <w:p w:rsidR="006224C2" w:rsidRPr="00295E71" w14:paraId="31BA26C7" w14:textId="77777777">
            <w:pPr>
              <w:tabs>
                <w:tab w:val="left" w:pos="567"/>
              </w:tabs>
              <w:jc w:val="both"/>
              <w:pPrChange w:id="2523" w:author="AbbVie14" w:date="2025-05-09T10:30:00Z">
                <w:pPr>
                  <w:pStyle w:val="In-texttable"/>
                  <w:tabs>
                    <w:tab w:val="decimal" w:pos="250"/>
                    <w:tab w:val="left" w:pos="567"/>
                  </w:tabs>
                  <w:spacing w:line="240" w:lineRule="auto"/>
                  <w:jc w:val="center"/>
                </w:pPr>
              </w:pPrChange>
              <w:rPr>
                <w:del w:id="2524" w:author="AbbVie14" w:date="2025-05-09T10:30:00Z"/>
                <w:sz w:val="22"/>
                <w:szCs w:val="22"/>
              </w:rPr>
            </w:pPr>
            <w:del w:id="2525" w:author="AbbVie14" w:date="2025-05-09T10:30:00Z">
              <w:r w:rsidRPr="00295E71">
                <w:rPr>
                  <w:sz w:val="22"/>
                  <w:szCs w:val="22"/>
                </w:rPr>
                <w:delText>ND</w:delText>
              </w:r>
            </w:del>
          </w:p>
        </w:tc>
        <w:tc>
          <w:tcPr>
            <w:tcW w:w="1418" w:type="dxa"/>
            <w:tcBorders>
              <w:left w:val="single" w:sz="6" w:space="0" w:color="auto"/>
              <w:bottom w:val="single" w:sz="6" w:space="0" w:color="auto"/>
            </w:tcBorders>
          </w:tcPr>
          <w:p w:rsidR="006224C2" w:rsidRPr="00295E71" w14:paraId="4D6E67C6" w14:textId="77777777">
            <w:pPr>
              <w:tabs>
                <w:tab w:val="left" w:pos="567"/>
              </w:tabs>
              <w:jc w:val="both"/>
              <w:pPrChange w:id="2526" w:author="AbbVie14" w:date="2025-05-09T10:30:00Z">
                <w:pPr>
                  <w:pStyle w:val="In-texttable"/>
                  <w:tabs>
                    <w:tab w:val="decimal" w:pos="144"/>
                    <w:tab w:val="left" w:pos="567"/>
                  </w:tabs>
                  <w:spacing w:line="240" w:lineRule="auto"/>
                  <w:jc w:val="center"/>
                </w:pPr>
              </w:pPrChange>
              <w:rPr>
                <w:del w:id="2527" w:author="AbbVie14" w:date="2025-05-09T10:30:00Z"/>
                <w:sz w:val="22"/>
                <w:szCs w:val="22"/>
              </w:rPr>
            </w:pPr>
            <w:del w:id="2528" w:author="AbbVie14" w:date="2025-05-09T10:30:00Z">
              <w:r w:rsidRPr="00295E71">
                <w:rPr>
                  <w:sz w:val="22"/>
                  <w:szCs w:val="22"/>
                </w:rPr>
                <w:delText>4,5%</w:delText>
              </w:r>
            </w:del>
          </w:p>
        </w:tc>
        <w:tc>
          <w:tcPr>
            <w:tcW w:w="1509" w:type="dxa"/>
            <w:tcBorders>
              <w:bottom w:val="single" w:sz="6" w:space="0" w:color="auto"/>
            </w:tcBorders>
          </w:tcPr>
          <w:p w:rsidR="006224C2" w:rsidRPr="00295E71" w14:paraId="1F8FFBB6" w14:textId="77777777">
            <w:pPr>
              <w:tabs>
                <w:tab w:val="left" w:pos="567"/>
              </w:tabs>
              <w:jc w:val="both"/>
              <w:pPrChange w:id="2529" w:author="AbbVie14" w:date="2025-05-09T10:30:00Z">
                <w:pPr>
                  <w:pStyle w:val="In-texttable"/>
                  <w:tabs>
                    <w:tab w:val="decimal" w:pos="95"/>
                    <w:tab w:val="left" w:pos="567"/>
                  </w:tabs>
                  <w:spacing w:line="240" w:lineRule="auto"/>
                  <w:jc w:val="center"/>
                </w:pPr>
              </w:pPrChange>
              <w:rPr>
                <w:del w:id="2530" w:author="AbbVie14" w:date="2025-05-09T10:30:00Z"/>
                <w:sz w:val="22"/>
                <w:szCs w:val="22"/>
              </w:rPr>
            </w:pPr>
            <w:del w:id="2531" w:author="AbbVie14" w:date="2025-05-09T10:30:00Z">
              <w:r w:rsidRPr="00295E71">
                <w:rPr>
                  <w:sz w:val="22"/>
                  <w:szCs w:val="22"/>
                </w:rPr>
                <w:delText>23,2%</w:delText>
              </w:r>
            </w:del>
          </w:p>
        </w:tc>
      </w:tr>
      <w:tr w14:paraId="7C0241FA" w14:textId="77777777">
        <w:tblPrEx>
          <w:tblW w:w="9074" w:type="dxa"/>
          <w:tblLayout w:type="fixed"/>
          <w:tblLook w:val="0000"/>
        </w:tblPrEx>
        <w:trPr>
          <w:cantSplit/>
          <w:del w:id="2532" w:author="AbbVie14" w:date="2025-05-09T10:30:00Z"/>
        </w:trPr>
        <w:tc>
          <w:tcPr>
            <w:tcW w:w="9074" w:type="dxa"/>
            <w:gridSpan w:val="7"/>
          </w:tcPr>
          <w:p w:rsidR="006224C2" w:rsidRPr="00295E71" w14:paraId="42BD6C96" w14:textId="77777777">
            <w:pPr>
              <w:tabs>
                <w:tab w:val="left" w:pos="567"/>
              </w:tabs>
              <w:jc w:val="both"/>
              <w:pPrChange w:id="2533" w:author="AbbVie14" w:date="2025-05-09T10:30:00Z">
                <w:pPr>
                  <w:pStyle w:val="In-textfootnote"/>
                  <w:tabs>
                    <w:tab w:val="left" w:pos="567"/>
                  </w:tabs>
                  <w:spacing w:before="0" w:line="240" w:lineRule="auto"/>
                  <w:ind w:left="144" w:hanging="144"/>
                </w:pPr>
              </w:pPrChange>
              <w:rPr>
                <w:del w:id="2534" w:author="AbbVie14" w:date="2025-05-09T10:30:00Z"/>
                <w:sz w:val="22"/>
                <w:szCs w:val="22"/>
              </w:rPr>
            </w:pPr>
            <w:del w:id="2535" w:author="AbbVie14" w:date="2025-05-09T10:30:00Z">
              <w:r w:rsidRPr="00295E71">
                <w:rPr>
                  <w:sz w:val="22"/>
                  <w:szCs w:val="22"/>
                  <w:vertAlign w:val="superscript"/>
                </w:rPr>
                <w:delText>a</w:delText>
              </w:r>
            </w:del>
            <w:del w:id="2536" w:author="AbbVie14" w:date="2025-05-09T10:30:00Z">
              <w:r w:rsidRPr="00295E71">
                <w:rPr>
                  <w:sz w:val="22"/>
                  <w:szCs w:val="22"/>
                </w:rPr>
                <w:tab/>
                <w:delText>studio AR I a 24 settimane, studio AR II a 26 settimane, e studio AR III a 24 e 52 settimane</w:delText>
              </w:r>
            </w:del>
          </w:p>
          <w:p w:rsidR="006224C2" w:rsidRPr="00295E71" w14:paraId="77FB9520" w14:textId="77777777">
            <w:pPr>
              <w:tabs>
                <w:tab w:val="left" w:pos="567"/>
              </w:tabs>
              <w:jc w:val="both"/>
              <w:pPrChange w:id="2537" w:author="AbbVie14" w:date="2025-05-09T10:30:00Z">
                <w:pPr>
                  <w:pStyle w:val="In-textfootnote"/>
                  <w:tabs>
                    <w:tab w:val="left" w:pos="567"/>
                  </w:tabs>
                  <w:spacing w:before="0" w:line="240" w:lineRule="auto"/>
                  <w:ind w:left="144" w:hanging="144"/>
                </w:pPr>
              </w:pPrChange>
              <w:rPr>
                <w:del w:id="2538" w:author="AbbVie14" w:date="2025-05-09T10:30:00Z"/>
                <w:sz w:val="22"/>
                <w:szCs w:val="22"/>
              </w:rPr>
            </w:pPr>
            <w:del w:id="2539" w:author="AbbVie14" w:date="2025-05-09T10:30:00Z">
              <w:r w:rsidRPr="00295E71">
                <w:rPr>
                  <w:sz w:val="22"/>
                  <w:szCs w:val="22"/>
                  <w:vertAlign w:val="superscript"/>
                </w:rPr>
                <w:delText>b</w:delText>
              </w:r>
            </w:del>
            <w:del w:id="2540" w:author="AbbVie14" w:date="2025-05-09T10:30:00Z">
              <w:r w:rsidRPr="00295E71">
                <w:rPr>
                  <w:sz w:val="22"/>
                  <w:szCs w:val="22"/>
                </w:rPr>
                <w:tab/>
                <w:delText>40 mg di Humira somministrato ogni due settimane</w:delText>
              </w:r>
            </w:del>
          </w:p>
          <w:p w:rsidR="006224C2" w:rsidRPr="00295E71" w14:paraId="0994D647" w14:textId="77777777">
            <w:pPr>
              <w:tabs>
                <w:tab w:val="left" w:pos="567"/>
              </w:tabs>
              <w:jc w:val="both"/>
              <w:pPrChange w:id="2541" w:author="AbbVie14" w:date="2025-05-09T10:30:00Z">
                <w:pPr>
                  <w:pStyle w:val="In-textfootnote"/>
                  <w:tabs>
                    <w:tab w:val="left" w:pos="567"/>
                  </w:tabs>
                  <w:spacing w:before="0" w:line="240" w:lineRule="auto"/>
                  <w:ind w:left="144" w:hanging="144"/>
                </w:pPr>
              </w:pPrChange>
              <w:rPr>
                <w:del w:id="2542" w:author="AbbVie14" w:date="2025-05-09T10:30:00Z"/>
                <w:sz w:val="22"/>
                <w:szCs w:val="22"/>
              </w:rPr>
            </w:pPr>
            <w:del w:id="2543" w:author="AbbVie14" w:date="2025-05-09T10:30:00Z">
              <w:r w:rsidRPr="00295E71">
                <w:rPr>
                  <w:sz w:val="22"/>
                  <w:szCs w:val="22"/>
                  <w:vertAlign w:val="superscript"/>
                </w:rPr>
                <w:delText>c</w:delText>
              </w:r>
            </w:del>
            <w:del w:id="2544" w:author="AbbVie14" w:date="2025-05-09T10:30:00Z">
              <w:r w:rsidRPr="00295E71">
                <w:rPr>
                  <w:sz w:val="22"/>
                  <w:szCs w:val="22"/>
                </w:rPr>
                <w:delText xml:space="preserve"> MTX = metotressato</w:delText>
              </w:r>
            </w:del>
          </w:p>
          <w:p w:rsidR="006224C2" w:rsidRPr="00295E71" w14:paraId="2DED19C4" w14:textId="77777777">
            <w:pPr>
              <w:tabs>
                <w:tab w:val="left" w:pos="567"/>
              </w:tabs>
              <w:jc w:val="both"/>
              <w:pPrChange w:id="2545" w:author="AbbVie14" w:date="2025-05-09T10:30:00Z">
                <w:pPr>
                  <w:pStyle w:val="In-textfootnote"/>
                  <w:tabs>
                    <w:tab w:val="left" w:pos="567"/>
                  </w:tabs>
                  <w:spacing w:before="0" w:line="240" w:lineRule="auto"/>
                  <w:ind w:left="144" w:hanging="144"/>
                </w:pPr>
              </w:pPrChange>
              <w:rPr>
                <w:del w:id="2546" w:author="AbbVie14" w:date="2025-05-09T10:30:00Z"/>
                <w:sz w:val="22"/>
                <w:szCs w:val="22"/>
              </w:rPr>
            </w:pPr>
            <w:del w:id="2547" w:author="AbbVie14" w:date="2025-05-09T10:30:00Z">
              <w:r w:rsidRPr="00295E71">
                <w:rPr>
                  <w:sz w:val="22"/>
                  <w:szCs w:val="22"/>
                </w:rPr>
                <w:delText xml:space="preserve">**p&lt;0,01, Humira </w:delText>
              </w:r>
            </w:del>
            <w:del w:id="2548" w:author="AbbVie14" w:date="2025-05-09T10:30:00Z">
              <w:r w:rsidRPr="00295E71">
                <w:rPr>
                  <w:i/>
                  <w:sz w:val="22"/>
                  <w:szCs w:val="22"/>
                </w:rPr>
                <w:delText>versus</w:delText>
              </w:r>
            </w:del>
            <w:del w:id="2549" w:author="AbbVie14" w:date="2025-05-09T10:30:00Z">
              <w:r w:rsidRPr="00295E71">
                <w:rPr>
                  <w:sz w:val="22"/>
                  <w:szCs w:val="22"/>
                </w:rPr>
                <w:delText xml:space="preserve"> placebo</w:delText>
              </w:r>
            </w:del>
          </w:p>
        </w:tc>
      </w:tr>
    </w:tbl>
    <w:p w:rsidR="006224C2" w:rsidRPr="00295E71" w14:paraId="7DAA027C" w14:textId="77777777">
      <w:pPr>
        <w:tabs>
          <w:tab w:val="left" w:pos="567"/>
        </w:tabs>
        <w:jc w:val="both"/>
        <w:pPrChange w:id="2550" w:author="AbbVie14" w:date="2025-05-09T10:30:00Z">
          <w:pPr>
            <w:pStyle w:val="EndnoteText"/>
          </w:pPr>
        </w:pPrChange>
        <w:rPr>
          <w:del w:id="2551" w:author="AbbVie14" w:date="2025-05-09T10:30:00Z"/>
        </w:rPr>
      </w:pPr>
    </w:p>
    <w:p w:rsidR="006224C2" w:rsidRPr="00295E71" w14:paraId="7E2E5A2F" w14:textId="77777777">
      <w:pPr>
        <w:tabs>
          <w:tab w:val="left" w:pos="567"/>
        </w:tabs>
        <w:jc w:val="both"/>
        <w:pPrChange w:id="2552" w:author="AbbVie14" w:date="2025-05-09T10:30:00Z">
          <w:pPr>
            <w:pStyle w:val="EMEAFigureTitle"/>
            <w:suppressAutoHyphens w:val="0"/>
            <w:jc w:val="both"/>
          </w:pPr>
        </w:pPrChange>
        <w:rPr>
          <w:del w:id="2553" w:author="AbbVie14" w:date="2025-05-09T10:30:00Z"/>
        </w:rPr>
      </w:pPr>
      <w:del w:id="2554" w:author="AbbVie14" w:date="2025-05-09T10:30:00Z">
        <w:r w:rsidRPr="00295E71">
          <w:delText>Negli studi AR I-IV, tutti i parametri valutati per la definizione della risposta ACR (numero di articolazioni dolenti e tumefatte, valutazione dell’attività di malattia da parte del medico e del paziente, valutazione del dolore da parte del paziente, indice di disabilità - HAQ e i valori di PCR (mg/dl)</w:delText>
        </w:r>
      </w:del>
      <w:del w:id="2555" w:author="AbbVie14" w:date="2025-05-09T10:30:00Z">
        <w:r w:rsidR="00191A42">
          <w:delText>)</w:delText>
        </w:r>
      </w:del>
      <w:del w:id="2556" w:author="AbbVie14" w:date="2025-05-09T10:30:00Z">
        <w:r w:rsidRPr="00295E71">
          <w:delText xml:space="preserve"> sono migliorati a 24 o 26 settimane rispetto al placebo. Nello studio AR III, tali miglioramenti si sono mantenuti nell’arco di 52 settimane. </w:delText>
        </w:r>
      </w:del>
    </w:p>
    <w:p w:rsidR="006224C2" w:rsidRPr="00295E71" w:rsidP="00AD7AF0" w14:paraId="5346C91D" w14:textId="77777777">
      <w:pPr>
        <w:tabs>
          <w:tab w:val="left" w:pos="567"/>
        </w:tabs>
        <w:jc w:val="both"/>
        <w:rPr>
          <w:del w:id="2557" w:author="AbbVie14" w:date="2025-05-09T10:30:00Z"/>
          <w:sz w:val="22"/>
          <w:szCs w:val="22"/>
        </w:rPr>
      </w:pPr>
    </w:p>
    <w:p w:rsidR="006224C2" w:rsidRPr="00295E71" w:rsidP="00AD7AF0" w14:paraId="5D9E4A1B" w14:textId="77777777">
      <w:pPr>
        <w:tabs>
          <w:tab w:val="left" w:pos="567"/>
        </w:tabs>
        <w:jc w:val="both"/>
        <w:rPr>
          <w:del w:id="2558" w:author="AbbVie14" w:date="2025-05-09T10:30:00Z"/>
          <w:sz w:val="22"/>
          <w:szCs w:val="22"/>
        </w:rPr>
      </w:pPr>
      <w:del w:id="2559" w:author="AbbVie14" w:date="2025-05-09T10:30:00Z">
        <w:r w:rsidRPr="00295E71">
          <w:rPr>
            <w:sz w:val="22"/>
            <w:szCs w:val="22"/>
          </w:rPr>
          <w:delText xml:space="preserve">Nella fase di estensione in aperto dello studio AR III, la maggior parte dei pazienti che hanno avuto una risposta ACR hanno mantenuto la risposta quando </w:delText>
        </w:r>
      </w:del>
      <w:del w:id="2560" w:author="AbbVie14" w:date="2025-05-09T10:30:00Z">
        <w:r w:rsidRPr="00020442" w:rsidR="00191A42">
          <w:rPr>
            <w:sz w:val="22"/>
            <w:szCs w:val="22"/>
          </w:rPr>
          <w:delText>sono stati seguiti fino a</w:delText>
        </w:r>
      </w:del>
      <w:del w:id="2561" w:author="AbbVie14" w:date="2025-05-09T10:30:00Z">
        <w:r w:rsidR="00191A42">
          <w:rPr>
            <w:sz w:val="22"/>
            <w:szCs w:val="22"/>
          </w:rPr>
          <w:delText xml:space="preserve"> </w:delText>
        </w:r>
      </w:del>
      <w:del w:id="2562" w:author="AbbVie14" w:date="2025-05-09T10:30:00Z">
        <w:r w:rsidRPr="00295E71">
          <w:rPr>
            <w:sz w:val="22"/>
            <w:szCs w:val="22"/>
          </w:rPr>
          <w:delText>10 anni. Su un totale di 207 pazienti</w:delText>
        </w:r>
      </w:del>
      <w:del w:id="2563" w:author="AbbVie14" w:date="2025-05-09T10:30:00Z">
        <w:r w:rsidR="00191A42">
          <w:rPr>
            <w:sz w:val="22"/>
            <w:szCs w:val="22"/>
          </w:rPr>
          <w:delText xml:space="preserve"> </w:delText>
        </w:r>
      </w:del>
      <w:del w:id="2564" w:author="AbbVie14" w:date="2025-05-09T10:30:00Z">
        <w:r w:rsidRPr="00295E71">
          <w:rPr>
            <w:sz w:val="22"/>
            <w:szCs w:val="22"/>
          </w:rPr>
          <w:delText>che erano stati randomizzati alla somministrazione di 40 mg di Humira a settimane alterne, 114 hanno continuato il trattamento con Humira 40 mg a settimane alterne per 5 anni.</w:delText>
        </w:r>
      </w:del>
    </w:p>
    <w:p w:rsidR="006224C2" w:rsidRPr="00295E71" w:rsidP="00AD7AF0" w14:paraId="1C8DCF38" w14:textId="77777777">
      <w:pPr>
        <w:tabs>
          <w:tab w:val="left" w:pos="567"/>
        </w:tabs>
        <w:jc w:val="both"/>
        <w:rPr>
          <w:del w:id="2565" w:author="AbbVie14" w:date="2025-05-09T10:30:00Z"/>
          <w:sz w:val="22"/>
          <w:szCs w:val="22"/>
        </w:rPr>
      </w:pPr>
      <w:del w:id="2566" w:author="AbbVie14" w:date="2025-05-09T10:30:00Z">
        <w:r w:rsidRPr="00295E71">
          <w:rPr>
            <w:sz w:val="22"/>
            <w:szCs w:val="22"/>
          </w:rPr>
          <w:delText>Di questi, 86 pazienti (75,4%) hanno avuto risposte ACR 20; 72 pazienti (63,2%) hanno avuto risposte ACR 50; e 41 pazienti (36%) hanno avuto risposte ACR 70. Su un totale di 207 pazienti, 81 hanno continuato il trattamento con Humira 40 mg a settimane alterne per 10 anni. Di questi, 64 pazienti (79,0%) hanno avuto risposte ACR 20; 56 pazienti (69,1%) hanno avuto risposte ACR 50; e 43 pazienti (53,1%) hanno avuto risposte ACR 70.</w:delText>
        </w:r>
      </w:del>
    </w:p>
    <w:p w:rsidR="006224C2" w:rsidRPr="00295E71" w:rsidP="00AD7AF0" w14:paraId="07534FEB" w14:textId="77777777">
      <w:pPr>
        <w:tabs>
          <w:tab w:val="left" w:pos="567"/>
        </w:tabs>
        <w:jc w:val="both"/>
        <w:rPr>
          <w:del w:id="2567" w:author="AbbVie14" w:date="2025-05-09T10:30:00Z"/>
          <w:sz w:val="22"/>
          <w:szCs w:val="22"/>
        </w:rPr>
      </w:pPr>
    </w:p>
    <w:p w:rsidR="006224C2" w:rsidRPr="00295E71" w:rsidP="00AD7AF0" w14:paraId="222DA32B" w14:textId="77777777">
      <w:pPr>
        <w:tabs>
          <w:tab w:val="left" w:pos="567"/>
        </w:tabs>
        <w:jc w:val="both"/>
        <w:rPr>
          <w:del w:id="2568" w:author="AbbVie14" w:date="2025-05-09T10:30:00Z"/>
          <w:sz w:val="22"/>
          <w:szCs w:val="22"/>
        </w:rPr>
      </w:pPr>
      <w:del w:id="2569" w:author="AbbVie14" w:date="2025-05-09T10:30:00Z">
        <w:r w:rsidRPr="00295E71">
          <w:rPr>
            <w:sz w:val="22"/>
            <w:szCs w:val="22"/>
          </w:rPr>
          <w:delText xml:space="preserve">Nello studio AR IV, la risposta ACR 20 di pazienti trattati con Humira, in combinazione con la terapia convenzionale, è stata </w:delText>
        </w:r>
      </w:del>
      <w:del w:id="2570" w:author="AbbVie14" w:date="2025-05-09T10:30:00Z">
        <w:r w:rsidRPr="00020442" w:rsidR="00191A42">
          <w:rPr>
            <w:sz w:val="22"/>
            <w:szCs w:val="22"/>
          </w:rPr>
          <w:delText xml:space="preserve">migliore in misura statisticamente </w:delText>
        </w:r>
      </w:del>
      <w:del w:id="2571" w:author="AbbVie14" w:date="2025-05-09T10:30:00Z">
        <w:r w:rsidRPr="00295E71">
          <w:rPr>
            <w:sz w:val="22"/>
            <w:szCs w:val="22"/>
          </w:rPr>
          <w:delText xml:space="preserve">significativa rispetto ai pazienti trattati con placebo associato a </w:delText>
        </w:r>
      </w:del>
      <w:del w:id="2572" w:author="AbbVie14" w:date="2025-05-09T10:30:00Z">
        <w:r w:rsidRPr="00020442" w:rsidR="00191A42">
          <w:rPr>
            <w:sz w:val="22"/>
            <w:szCs w:val="22"/>
          </w:rPr>
          <w:delText>terapia convenzionale</w:delText>
        </w:r>
      </w:del>
      <w:del w:id="2573" w:author="AbbVie14" w:date="2025-05-09T10:30:00Z">
        <w:r w:rsidRPr="00295E71">
          <w:rPr>
            <w:sz w:val="22"/>
            <w:szCs w:val="22"/>
          </w:rPr>
          <w:delText xml:space="preserve"> (p&lt;0,001).</w:delText>
        </w:r>
      </w:del>
    </w:p>
    <w:p w:rsidR="006224C2" w:rsidRPr="00295E71" w14:paraId="4BD97652" w14:textId="77777777">
      <w:pPr>
        <w:tabs>
          <w:tab w:val="left" w:pos="567"/>
        </w:tabs>
        <w:jc w:val="both"/>
        <w:pPrChange w:id="2574" w:author="AbbVie14" w:date="2025-05-09T10:30:00Z">
          <w:pPr>
            <w:pStyle w:val="BodyText1"/>
            <w:tabs>
              <w:tab w:val="left" w:pos="567"/>
              <w:tab w:val="clear" w:pos="1152"/>
              <w:tab w:val="clear" w:pos="1872"/>
            </w:tabs>
            <w:spacing w:after="0" w:line="240" w:lineRule="auto"/>
            <w:ind w:left="0"/>
          </w:pPr>
        </w:pPrChange>
        <w:rPr>
          <w:del w:id="2575" w:author="AbbVie14" w:date="2025-05-09T10:30:00Z"/>
          <w:sz w:val="22"/>
          <w:szCs w:val="22"/>
        </w:rPr>
      </w:pPr>
    </w:p>
    <w:p w:rsidR="006224C2" w:rsidRPr="00295E71" w:rsidP="00AD7AF0" w14:paraId="709D0F7D" w14:textId="77777777">
      <w:pPr>
        <w:tabs>
          <w:tab w:val="left" w:pos="567"/>
        </w:tabs>
        <w:jc w:val="both"/>
        <w:rPr>
          <w:del w:id="2576" w:author="AbbVie14" w:date="2025-05-09T10:30:00Z"/>
          <w:sz w:val="22"/>
          <w:szCs w:val="22"/>
        </w:rPr>
      </w:pPr>
      <w:del w:id="2577" w:author="AbbVie14" w:date="2025-05-09T10:30:00Z">
        <w:r w:rsidRPr="00295E71">
          <w:rPr>
            <w:sz w:val="22"/>
            <w:szCs w:val="22"/>
          </w:rPr>
          <w:delText xml:space="preserve">Negli studi AR I-IV, i pazienti trattati con Humira hanno raggiunto risposte ACR 20 e 50 </w:delText>
        </w:r>
      </w:del>
      <w:del w:id="2578" w:author="AbbVie14" w:date="2025-05-09T10:30:00Z">
        <w:r w:rsidRPr="00020442" w:rsidR="00191A42">
          <w:rPr>
            <w:sz w:val="22"/>
            <w:szCs w:val="22"/>
          </w:rPr>
          <w:delText xml:space="preserve">statisticamente significative </w:delText>
        </w:r>
      </w:del>
      <w:del w:id="2579" w:author="AbbVie14" w:date="2025-05-09T10:30:00Z">
        <w:r w:rsidRPr="00295E71">
          <w:rPr>
            <w:sz w:val="22"/>
            <w:szCs w:val="22"/>
          </w:rPr>
          <w:delText>rispetto al placebo già entro 1-2 settimane dall’inizio del trattamento.</w:delText>
        </w:r>
      </w:del>
    </w:p>
    <w:p w:rsidR="006224C2" w:rsidRPr="00295E71" w:rsidP="00AD7AF0" w14:paraId="5468173C" w14:textId="77777777">
      <w:pPr>
        <w:tabs>
          <w:tab w:val="left" w:pos="567"/>
        </w:tabs>
        <w:jc w:val="both"/>
        <w:rPr>
          <w:del w:id="2580" w:author="AbbVie14" w:date="2025-05-09T10:30:00Z"/>
          <w:sz w:val="22"/>
          <w:szCs w:val="22"/>
        </w:rPr>
      </w:pPr>
    </w:p>
    <w:p w:rsidR="006224C2" w:rsidRPr="00295E71" w:rsidP="00AD7AF0" w14:paraId="38503722" w14:textId="77777777">
      <w:pPr>
        <w:tabs>
          <w:tab w:val="left" w:pos="567"/>
        </w:tabs>
        <w:jc w:val="both"/>
        <w:rPr>
          <w:del w:id="2581" w:author="AbbVie14" w:date="2025-05-09T10:30:00Z"/>
          <w:sz w:val="22"/>
          <w:szCs w:val="22"/>
        </w:rPr>
      </w:pPr>
      <w:del w:id="2582" w:author="AbbVie14" w:date="2025-05-09T10:30:00Z">
        <w:r w:rsidRPr="00295E71">
          <w:rPr>
            <w:sz w:val="22"/>
            <w:szCs w:val="22"/>
          </w:rPr>
          <w:delText xml:space="preserve">Nello studio AR V, nei pazienti affetti da artrite reumatoide precoce che non erano mai stati precedentemente trattati con metotressato, la terapia associata Humira/metotressato ha determinato risposte ACR più rapide e significativamente superiori rispetto alla monoterapia con metotressato ed alla monoterapia con Humira alla settimana 52 e tali risposte si sono mantenute nell’arco di 104 settimane (vedere Tabella </w:delText>
        </w:r>
      </w:del>
      <w:del w:id="2583" w:author="AbbVie14" w:date="2025-05-09T10:30:00Z">
        <w:r w:rsidR="000203FD">
          <w:rPr>
            <w:sz w:val="22"/>
            <w:szCs w:val="22"/>
          </w:rPr>
          <w:delText>9</w:delText>
        </w:r>
      </w:del>
      <w:del w:id="2584" w:author="AbbVie14" w:date="2025-05-09T10:30:00Z">
        <w:r w:rsidRPr="00295E71">
          <w:rPr>
            <w:sz w:val="22"/>
            <w:szCs w:val="22"/>
          </w:rPr>
          <w:delText>).</w:delText>
        </w:r>
      </w:del>
    </w:p>
    <w:p w:rsidR="006224C2" w:rsidRPr="00295E71" w14:paraId="785FE120" w14:textId="77777777">
      <w:pPr>
        <w:tabs>
          <w:tab w:val="left" w:pos="567"/>
        </w:tabs>
        <w:jc w:val="both"/>
        <w:pPrChange w:id="2585" w:author="AbbVie14" w:date="2025-05-09T10:30:00Z">
          <w:pPr/>
        </w:pPrChange>
        <w:rPr>
          <w:del w:id="2586" w:author="AbbVie14" w:date="2025-05-09T10:30:00Z"/>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1"/>
        <w:gridCol w:w="1320"/>
        <w:gridCol w:w="1320"/>
        <w:gridCol w:w="1576"/>
        <w:gridCol w:w="1100"/>
        <w:gridCol w:w="1173"/>
        <w:gridCol w:w="1210"/>
        <w:gridCol w:w="12"/>
      </w:tblGrid>
      <w:tr w14:paraId="63A4C3A2" w14:textId="77777777">
        <w:tblPrEx>
          <w:tblW w:w="0" w:type="auto"/>
          <w:tblLayout w:type="fixed"/>
          <w:tblLook w:val="0000"/>
        </w:tblPrEx>
        <w:trPr>
          <w:cantSplit/>
          <w:del w:id="2587" w:author="AbbVie14" w:date="2025-05-09T10:30:00Z"/>
        </w:trPr>
        <w:tc>
          <w:tcPr>
            <w:tcW w:w="9252" w:type="dxa"/>
            <w:gridSpan w:val="8"/>
            <w:tcBorders>
              <w:top w:val="nil"/>
              <w:left w:val="nil"/>
              <w:bottom w:val="nil"/>
              <w:right w:val="nil"/>
            </w:tcBorders>
            <w:vAlign w:val="center"/>
          </w:tcPr>
          <w:p w:rsidR="006224C2" w:rsidRPr="00295E71" w:rsidP="00AD7AF0" w14:paraId="114C774C" w14:textId="77777777">
            <w:pPr>
              <w:pStyle w:val="BodyText"/>
              <w:keepNext/>
              <w:tabs>
                <w:tab w:val="left" w:pos="3600"/>
                <w:tab w:val="center" w:pos="5760"/>
              </w:tabs>
              <w:jc w:val="center"/>
              <w:rPr>
                <w:del w:id="2588" w:author="AbbVie14" w:date="2025-05-09T10:30:00Z"/>
                <w:b/>
                <w:bCs/>
              </w:rPr>
            </w:pPr>
            <w:del w:id="2589" w:author="AbbVie14" w:date="2025-05-09T10:30:00Z">
              <w:r w:rsidRPr="00295E71">
                <w:rPr>
                  <w:b/>
                  <w:bCs/>
                </w:rPr>
                <w:delText xml:space="preserve">Tabella </w:delText>
              </w:r>
            </w:del>
            <w:del w:id="2590" w:author="AbbVie14" w:date="2025-05-09T10:30:00Z">
              <w:r w:rsidR="000203FD">
                <w:rPr>
                  <w:b/>
                  <w:bCs/>
                </w:rPr>
                <w:delText>9</w:delText>
              </w:r>
            </w:del>
          </w:p>
          <w:p w:rsidR="006224C2" w:rsidRPr="00295E71" w:rsidP="00AD7AF0" w14:paraId="3D895D06" w14:textId="77777777">
            <w:pPr>
              <w:pStyle w:val="BodyText"/>
              <w:keepNext/>
              <w:tabs>
                <w:tab w:val="left" w:pos="3600"/>
                <w:tab w:val="center" w:pos="5760"/>
              </w:tabs>
              <w:jc w:val="center"/>
              <w:rPr>
                <w:del w:id="2591" w:author="AbbVie14" w:date="2025-05-09T10:30:00Z"/>
                <w:b/>
                <w:bCs/>
              </w:rPr>
            </w:pPr>
            <w:del w:id="2592" w:author="AbbVie14" w:date="2025-05-09T10:30:00Z">
              <w:r w:rsidRPr="00295E71">
                <w:rPr>
                  <w:b/>
                  <w:bCs/>
                </w:rPr>
                <w:delText>Risposte ACR nello studio AR V</w:delText>
              </w:r>
            </w:del>
          </w:p>
          <w:p w:rsidR="006224C2" w:rsidRPr="00295E71" w:rsidP="00AD7AF0" w14:paraId="59C294C8" w14:textId="77777777">
            <w:pPr>
              <w:pStyle w:val="BodyText"/>
              <w:keepNext/>
              <w:tabs>
                <w:tab w:val="left" w:pos="3600"/>
                <w:tab w:val="center" w:pos="5760"/>
              </w:tabs>
              <w:jc w:val="center"/>
              <w:rPr>
                <w:del w:id="2593" w:author="AbbVie14" w:date="2025-05-09T10:30:00Z"/>
                <w:b/>
                <w:bCs/>
                <w:caps/>
              </w:rPr>
            </w:pPr>
            <w:del w:id="2594" w:author="AbbVie14" w:date="2025-05-09T10:30:00Z">
              <w:r w:rsidRPr="00295E71">
                <w:rPr>
                  <w:b/>
                  <w:bCs/>
                </w:rPr>
                <w:delText>(percentuale di pazienti</w:delText>
              </w:r>
            </w:del>
            <w:del w:id="2595" w:author="AbbVie14" w:date="2025-05-09T10:30:00Z">
              <w:r w:rsidRPr="00295E71">
                <w:rPr>
                  <w:b/>
                  <w:bCs/>
                  <w:caps/>
                </w:rPr>
                <w:delText>)</w:delText>
              </w:r>
            </w:del>
          </w:p>
          <w:p w:rsidR="006224C2" w:rsidRPr="00295E71" w:rsidP="00AD7AF0" w14:paraId="18D2A230" w14:textId="77777777">
            <w:pPr>
              <w:pStyle w:val="BodyText"/>
              <w:keepNext/>
              <w:tabs>
                <w:tab w:val="left" w:pos="3600"/>
                <w:tab w:val="center" w:pos="5760"/>
              </w:tabs>
              <w:rPr>
                <w:del w:id="2596" w:author="AbbVie14" w:date="2025-05-09T10:30:00Z"/>
                <w:i/>
                <w:iCs/>
              </w:rPr>
            </w:pPr>
          </w:p>
        </w:tc>
      </w:tr>
      <w:tr w14:paraId="29C1EC29" w14:textId="77777777">
        <w:tblPrEx>
          <w:tblW w:w="0" w:type="auto"/>
          <w:tblLayout w:type="fixed"/>
          <w:tblLook w:val="0000"/>
        </w:tblPrEx>
        <w:trPr>
          <w:gridAfter w:val="1"/>
          <w:wAfter w:w="12" w:type="dxa"/>
          <w:cantSplit/>
          <w:del w:id="2597" w:author="AbbVie14" w:date="2025-05-09T10:30:00Z"/>
        </w:trPr>
        <w:tc>
          <w:tcPr>
            <w:tcW w:w="1541" w:type="dxa"/>
            <w:tcBorders>
              <w:top w:val="single" w:sz="4" w:space="0" w:color="auto"/>
              <w:left w:val="single" w:sz="4" w:space="0" w:color="auto"/>
              <w:bottom w:val="single" w:sz="4" w:space="0" w:color="auto"/>
              <w:right w:val="single" w:sz="4" w:space="0" w:color="auto"/>
            </w:tcBorders>
            <w:vAlign w:val="center"/>
          </w:tcPr>
          <w:p w:rsidR="006224C2" w:rsidRPr="00295E71" w:rsidP="00AD7AF0" w14:paraId="42F20088" w14:textId="77777777">
            <w:pPr>
              <w:pStyle w:val="Heading6"/>
              <w:jc w:val="center"/>
              <w:rPr>
                <w:del w:id="2598" w:author="AbbVie14" w:date="2025-05-09T10:30:00Z"/>
                <w:lang w:val="it-IT"/>
              </w:rPr>
            </w:pPr>
            <w:del w:id="2599" w:author="AbbVie14" w:date="2025-05-09T10:30:00Z">
              <w:r w:rsidRPr="00295E71">
                <w:rPr>
                  <w:lang w:val="it-IT"/>
                </w:rPr>
                <w:delText>Risposta</w:delText>
              </w:r>
            </w:del>
          </w:p>
        </w:tc>
        <w:tc>
          <w:tcPr>
            <w:tcW w:w="1320" w:type="dxa"/>
            <w:tcBorders>
              <w:top w:val="single" w:sz="4" w:space="0" w:color="auto"/>
              <w:left w:val="single" w:sz="4" w:space="0" w:color="auto"/>
              <w:bottom w:val="single" w:sz="4" w:space="0" w:color="auto"/>
              <w:right w:val="single" w:sz="4" w:space="0" w:color="auto"/>
            </w:tcBorders>
            <w:vAlign w:val="center"/>
          </w:tcPr>
          <w:p w:rsidR="006224C2" w:rsidRPr="00295E71" w:rsidP="00AD7AF0" w14:paraId="590B43B6" w14:textId="77777777">
            <w:pPr>
              <w:keepNext/>
              <w:jc w:val="center"/>
              <w:rPr>
                <w:del w:id="2600" w:author="AbbVie14" w:date="2025-05-09T10:30:00Z"/>
                <w:b/>
                <w:sz w:val="22"/>
                <w:szCs w:val="22"/>
              </w:rPr>
            </w:pPr>
            <w:del w:id="2601" w:author="AbbVie14" w:date="2025-05-09T10:30:00Z">
              <w:r w:rsidRPr="00295E71">
                <w:rPr>
                  <w:b/>
                  <w:sz w:val="22"/>
                  <w:szCs w:val="22"/>
                </w:rPr>
                <w:delText>MTX</w:delText>
              </w:r>
            </w:del>
          </w:p>
          <w:p w:rsidR="006224C2" w:rsidRPr="00295E71" w:rsidP="00AD7AF0" w14:paraId="203182F2" w14:textId="77777777">
            <w:pPr>
              <w:pStyle w:val="EndnoteText"/>
              <w:keepNext/>
              <w:jc w:val="center"/>
              <w:rPr>
                <w:del w:id="2602" w:author="AbbVie14" w:date="2025-05-09T10:30:00Z"/>
                <w:b/>
                <w:lang w:val="it-IT"/>
              </w:rPr>
            </w:pPr>
            <w:del w:id="2603" w:author="AbbVie14" w:date="2025-05-09T10:30:00Z">
              <w:r w:rsidRPr="00295E71">
                <w:rPr>
                  <w:b/>
                  <w:lang w:val="it-IT"/>
                </w:rPr>
                <w:delText>n=257</w:delText>
              </w:r>
            </w:del>
          </w:p>
        </w:tc>
        <w:tc>
          <w:tcPr>
            <w:tcW w:w="1320" w:type="dxa"/>
            <w:tcBorders>
              <w:top w:val="single" w:sz="4" w:space="0" w:color="auto"/>
              <w:left w:val="single" w:sz="4" w:space="0" w:color="auto"/>
              <w:bottom w:val="single" w:sz="4" w:space="0" w:color="auto"/>
              <w:right w:val="single" w:sz="4" w:space="0" w:color="auto"/>
            </w:tcBorders>
            <w:vAlign w:val="center"/>
          </w:tcPr>
          <w:p w:rsidR="006224C2" w:rsidRPr="00295E71" w:rsidP="00AD7AF0" w14:paraId="267951FC" w14:textId="77777777">
            <w:pPr>
              <w:keepNext/>
              <w:jc w:val="center"/>
              <w:rPr>
                <w:del w:id="2604" w:author="AbbVie14" w:date="2025-05-09T10:30:00Z"/>
                <w:b/>
                <w:sz w:val="22"/>
                <w:szCs w:val="22"/>
              </w:rPr>
            </w:pPr>
            <w:del w:id="2605" w:author="AbbVie14" w:date="2025-05-09T10:30:00Z">
              <w:r w:rsidRPr="00295E71">
                <w:rPr>
                  <w:b/>
                  <w:sz w:val="22"/>
                  <w:szCs w:val="22"/>
                </w:rPr>
                <w:delText>Humira</w:delText>
              </w:r>
            </w:del>
          </w:p>
          <w:p w:rsidR="006224C2" w:rsidRPr="00295E71" w:rsidP="00AD7AF0" w14:paraId="174B02BF" w14:textId="77777777">
            <w:pPr>
              <w:keepNext/>
              <w:jc w:val="center"/>
              <w:rPr>
                <w:del w:id="2606" w:author="AbbVie14" w:date="2025-05-09T10:30:00Z"/>
                <w:b/>
                <w:sz w:val="22"/>
                <w:szCs w:val="22"/>
              </w:rPr>
            </w:pPr>
            <w:del w:id="2607" w:author="AbbVie14" w:date="2025-05-09T10:30:00Z">
              <w:r w:rsidRPr="00295E71">
                <w:rPr>
                  <w:b/>
                  <w:sz w:val="22"/>
                  <w:szCs w:val="22"/>
                </w:rPr>
                <w:delText>n=274</w:delText>
              </w:r>
            </w:del>
          </w:p>
        </w:tc>
        <w:tc>
          <w:tcPr>
            <w:tcW w:w="1576" w:type="dxa"/>
            <w:tcBorders>
              <w:top w:val="single" w:sz="4" w:space="0" w:color="auto"/>
              <w:left w:val="single" w:sz="4" w:space="0" w:color="auto"/>
              <w:bottom w:val="single" w:sz="4" w:space="0" w:color="auto"/>
              <w:right w:val="single" w:sz="4" w:space="0" w:color="auto"/>
            </w:tcBorders>
            <w:vAlign w:val="center"/>
          </w:tcPr>
          <w:p w:rsidR="006224C2" w:rsidRPr="00295E71" w:rsidP="00AD7AF0" w14:paraId="33B516D4" w14:textId="77777777">
            <w:pPr>
              <w:keepNext/>
              <w:jc w:val="center"/>
              <w:rPr>
                <w:del w:id="2608" w:author="AbbVie14" w:date="2025-05-09T10:30:00Z"/>
                <w:b/>
                <w:sz w:val="22"/>
                <w:szCs w:val="22"/>
              </w:rPr>
            </w:pPr>
            <w:del w:id="2609" w:author="AbbVie14" w:date="2025-05-09T10:30:00Z">
              <w:r w:rsidRPr="00295E71">
                <w:rPr>
                  <w:b/>
                  <w:sz w:val="22"/>
                  <w:szCs w:val="22"/>
                </w:rPr>
                <w:delText>Humira/MTX</w:delText>
              </w:r>
            </w:del>
          </w:p>
          <w:p w:rsidR="006224C2" w:rsidRPr="00295E71" w:rsidP="00AD7AF0" w14:paraId="45399AC2" w14:textId="77777777">
            <w:pPr>
              <w:keepNext/>
              <w:jc w:val="center"/>
              <w:rPr>
                <w:del w:id="2610" w:author="AbbVie14" w:date="2025-05-09T10:30:00Z"/>
                <w:b/>
                <w:sz w:val="22"/>
                <w:szCs w:val="22"/>
              </w:rPr>
            </w:pPr>
            <w:del w:id="2611" w:author="AbbVie14" w:date="2025-05-09T10:30:00Z">
              <w:r w:rsidRPr="00295E71">
                <w:rPr>
                  <w:b/>
                  <w:sz w:val="22"/>
                  <w:szCs w:val="22"/>
                </w:rPr>
                <w:delText>n=268</w:delText>
              </w:r>
            </w:del>
          </w:p>
        </w:tc>
        <w:tc>
          <w:tcPr>
            <w:tcW w:w="1100" w:type="dxa"/>
            <w:tcBorders>
              <w:top w:val="single" w:sz="4" w:space="0" w:color="auto"/>
              <w:left w:val="single" w:sz="4" w:space="0" w:color="auto"/>
              <w:bottom w:val="single" w:sz="4" w:space="0" w:color="auto"/>
              <w:right w:val="single" w:sz="4" w:space="0" w:color="auto"/>
            </w:tcBorders>
            <w:vAlign w:val="center"/>
          </w:tcPr>
          <w:p w:rsidR="006224C2" w:rsidRPr="00295E71" w:rsidP="00AD7AF0" w14:paraId="4DF2D2DA" w14:textId="77777777">
            <w:pPr>
              <w:pStyle w:val="EndnoteText"/>
              <w:keepNext/>
              <w:jc w:val="center"/>
              <w:rPr>
                <w:del w:id="2612" w:author="AbbVie14" w:date="2025-05-09T10:30:00Z"/>
                <w:b/>
                <w:lang w:val="it-IT"/>
              </w:rPr>
            </w:pPr>
            <w:del w:id="2613" w:author="AbbVie14" w:date="2025-05-09T10:30:00Z">
              <w:r w:rsidRPr="00295E71">
                <w:rPr>
                  <w:b/>
                  <w:lang w:val="it-IT"/>
                </w:rPr>
                <w:delText>Valore p</w:delText>
              </w:r>
            </w:del>
            <w:del w:id="2614" w:author="AbbVie14" w:date="2025-05-09T10:30:00Z">
              <w:r w:rsidRPr="00295E71">
                <w:rPr>
                  <w:b/>
                  <w:vertAlign w:val="superscript"/>
                  <w:lang w:val="it-IT"/>
                </w:rPr>
                <w:delText>a</w:delText>
              </w:r>
            </w:del>
          </w:p>
        </w:tc>
        <w:tc>
          <w:tcPr>
            <w:tcW w:w="1173" w:type="dxa"/>
            <w:tcBorders>
              <w:top w:val="single" w:sz="4" w:space="0" w:color="auto"/>
              <w:left w:val="single" w:sz="4" w:space="0" w:color="auto"/>
              <w:bottom w:val="single" w:sz="4" w:space="0" w:color="auto"/>
              <w:right w:val="single" w:sz="4" w:space="0" w:color="auto"/>
            </w:tcBorders>
            <w:vAlign w:val="center"/>
          </w:tcPr>
          <w:p w:rsidR="006224C2" w:rsidRPr="00295E71" w:rsidP="00AD7AF0" w14:paraId="778FCEE2" w14:textId="77777777">
            <w:pPr>
              <w:keepNext/>
              <w:jc w:val="center"/>
              <w:rPr>
                <w:del w:id="2615" w:author="AbbVie14" w:date="2025-05-09T10:30:00Z"/>
                <w:b/>
                <w:sz w:val="22"/>
                <w:szCs w:val="22"/>
              </w:rPr>
            </w:pPr>
            <w:del w:id="2616" w:author="AbbVie14" w:date="2025-05-09T10:30:00Z">
              <w:r w:rsidRPr="00295E71">
                <w:rPr>
                  <w:b/>
                  <w:sz w:val="22"/>
                  <w:szCs w:val="22"/>
                </w:rPr>
                <w:delText>Valore p</w:delText>
              </w:r>
            </w:del>
            <w:del w:id="2617" w:author="AbbVie14" w:date="2025-05-09T10:30:00Z">
              <w:r w:rsidRPr="00295E71">
                <w:rPr>
                  <w:b/>
                  <w:sz w:val="22"/>
                  <w:szCs w:val="22"/>
                  <w:vertAlign w:val="superscript"/>
                </w:rPr>
                <w:delText>b</w:delText>
              </w:r>
            </w:del>
          </w:p>
        </w:tc>
        <w:tc>
          <w:tcPr>
            <w:tcW w:w="1210" w:type="dxa"/>
            <w:tcBorders>
              <w:top w:val="single" w:sz="4" w:space="0" w:color="auto"/>
              <w:left w:val="single" w:sz="4" w:space="0" w:color="auto"/>
              <w:bottom w:val="single" w:sz="4" w:space="0" w:color="auto"/>
              <w:right w:val="single" w:sz="4" w:space="0" w:color="auto"/>
            </w:tcBorders>
            <w:vAlign w:val="center"/>
          </w:tcPr>
          <w:p w:rsidR="006224C2" w:rsidRPr="00295E71" w:rsidP="00AD7AF0" w14:paraId="63009E33" w14:textId="77777777">
            <w:pPr>
              <w:keepNext/>
              <w:jc w:val="center"/>
              <w:rPr>
                <w:del w:id="2618" w:author="AbbVie14" w:date="2025-05-09T10:30:00Z"/>
                <w:sz w:val="22"/>
                <w:szCs w:val="22"/>
              </w:rPr>
            </w:pPr>
            <w:del w:id="2619" w:author="AbbVie14" w:date="2025-05-09T10:30:00Z">
              <w:r w:rsidRPr="00295E71">
                <w:rPr>
                  <w:b/>
                  <w:sz w:val="22"/>
                  <w:szCs w:val="22"/>
                </w:rPr>
                <w:delText>Valore p</w:delText>
              </w:r>
            </w:del>
            <w:del w:id="2620" w:author="AbbVie14" w:date="2025-05-09T10:30:00Z">
              <w:r w:rsidRPr="00295E71">
                <w:rPr>
                  <w:b/>
                  <w:sz w:val="22"/>
                  <w:szCs w:val="22"/>
                  <w:vertAlign w:val="superscript"/>
                </w:rPr>
                <w:delText>c</w:delText>
              </w:r>
            </w:del>
          </w:p>
        </w:tc>
      </w:tr>
      <w:tr w14:paraId="52A2E24C" w14:textId="77777777">
        <w:tblPrEx>
          <w:tblW w:w="0" w:type="auto"/>
          <w:tblLayout w:type="fixed"/>
          <w:tblLook w:val="0000"/>
        </w:tblPrEx>
        <w:trPr>
          <w:gridAfter w:val="1"/>
          <w:wAfter w:w="12" w:type="dxa"/>
          <w:cantSplit/>
          <w:del w:id="2621" w:author="AbbVie14" w:date="2025-05-09T10:30:00Z"/>
        </w:trPr>
        <w:tc>
          <w:tcPr>
            <w:tcW w:w="1541" w:type="dxa"/>
            <w:tcBorders>
              <w:top w:val="single" w:sz="4" w:space="0" w:color="auto"/>
              <w:left w:val="single" w:sz="4" w:space="0" w:color="auto"/>
              <w:bottom w:val="single" w:sz="4" w:space="0" w:color="auto"/>
              <w:right w:val="single" w:sz="4" w:space="0" w:color="auto"/>
            </w:tcBorders>
          </w:tcPr>
          <w:p w:rsidR="006224C2" w:rsidRPr="00295E71" w14:paraId="0F8DAE60" w14:textId="77777777">
            <w:pPr>
              <w:keepNext w:val="0"/>
              <w:tabs>
                <w:tab w:val="left" w:pos="567"/>
              </w:tabs>
              <w:jc w:val="both"/>
              <w:pPrChange w:id="2622" w:author="AbbVie14" w:date="2025-05-09T10:30:00Z">
                <w:pPr>
                  <w:keepNext/>
                  <w:jc w:val="both"/>
                </w:pPr>
              </w:pPrChange>
              <w:rPr>
                <w:del w:id="2623" w:author="AbbVie14" w:date="2025-05-09T10:30:00Z"/>
                <w:sz w:val="22"/>
                <w:szCs w:val="22"/>
              </w:rPr>
            </w:pPr>
            <w:del w:id="2624" w:author="AbbVie14" w:date="2025-05-09T10:30:00Z">
              <w:r w:rsidRPr="00295E71">
                <w:rPr>
                  <w:sz w:val="22"/>
                  <w:szCs w:val="22"/>
                </w:rPr>
                <w:delText>ACR 20</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4967454F" w14:textId="77777777">
            <w:pPr>
              <w:keepNext w:val="0"/>
              <w:tabs>
                <w:tab w:val="left" w:pos="567"/>
              </w:tabs>
              <w:jc w:val="both"/>
              <w:pPrChange w:id="2625" w:author="AbbVie14" w:date="2025-05-09T10:30:00Z">
                <w:pPr>
                  <w:keepNext/>
                  <w:jc w:val="both"/>
                </w:pPr>
              </w:pPrChange>
              <w:rPr>
                <w:del w:id="2626" w:author="AbbVie14" w:date="2025-05-09T10:30:00Z"/>
                <w:sz w:val="22"/>
                <w:szCs w:val="22"/>
              </w:rPr>
            </w:pPr>
          </w:p>
        </w:tc>
        <w:tc>
          <w:tcPr>
            <w:tcW w:w="1320" w:type="dxa"/>
            <w:tcBorders>
              <w:top w:val="single" w:sz="4" w:space="0" w:color="auto"/>
              <w:left w:val="single" w:sz="4" w:space="0" w:color="auto"/>
              <w:bottom w:val="single" w:sz="4" w:space="0" w:color="auto"/>
              <w:right w:val="single" w:sz="4" w:space="0" w:color="auto"/>
            </w:tcBorders>
          </w:tcPr>
          <w:p w:rsidR="006224C2" w:rsidRPr="00295E71" w14:paraId="19DAB687" w14:textId="77777777">
            <w:pPr>
              <w:keepNext w:val="0"/>
              <w:tabs>
                <w:tab w:val="left" w:pos="567"/>
              </w:tabs>
              <w:jc w:val="both"/>
              <w:pPrChange w:id="2627" w:author="AbbVie14" w:date="2025-05-09T10:30:00Z">
                <w:pPr>
                  <w:keepNext/>
                  <w:jc w:val="both"/>
                </w:pPr>
              </w:pPrChange>
              <w:rPr>
                <w:del w:id="2628" w:author="AbbVie14" w:date="2025-05-09T10:30:00Z"/>
                <w:sz w:val="22"/>
                <w:szCs w:val="22"/>
              </w:rPr>
            </w:pPr>
          </w:p>
        </w:tc>
        <w:tc>
          <w:tcPr>
            <w:tcW w:w="1576" w:type="dxa"/>
            <w:tcBorders>
              <w:top w:val="single" w:sz="4" w:space="0" w:color="auto"/>
              <w:left w:val="single" w:sz="4" w:space="0" w:color="auto"/>
              <w:bottom w:val="single" w:sz="4" w:space="0" w:color="auto"/>
              <w:right w:val="single" w:sz="4" w:space="0" w:color="auto"/>
            </w:tcBorders>
          </w:tcPr>
          <w:p w:rsidR="006224C2" w:rsidRPr="00295E71" w14:paraId="76990FD0" w14:textId="77777777">
            <w:pPr>
              <w:keepNext w:val="0"/>
              <w:tabs>
                <w:tab w:val="left" w:pos="567"/>
              </w:tabs>
              <w:jc w:val="both"/>
              <w:pPrChange w:id="2629" w:author="AbbVie14" w:date="2025-05-09T10:30:00Z">
                <w:pPr>
                  <w:keepNext/>
                  <w:jc w:val="both"/>
                </w:pPr>
              </w:pPrChange>
              <w:rPr>
                <w:del w:id="2630" w:author="AbbVie14" w:date="2025-05-09T10:30:00Z"/>
                <w:sz w:val="22"/>
                <w:szCs w:val="22"/>
              </w:rPr>
            </w:pPr>
          </w:p>
        </w:tc>
        <w:tc>
          <w:tcPr>
            <w:tcW w:w="1100" w:type="dxa"/>
            <w:tcBorders>
              <w:top w:val="single" w:sz="4" w:space="0" w:color="auto"/>
              <w:left w:val="single" w:sz="4" w:space="0" w:color="auto"/>
              <w:bottom w:val="single" w:sz="4" w:space="0" w:color="auto"/>
              <w:right w:val="single" w:sz="4" w:space="0" w:color="auto"/>
            </w:tcBorders>
          </w:tcPr>
          <w:p w:rsidR="006224C2" w:rsidRPr="00295E71" w14:paraId="6900964C" w14:textId="77777777">
            <w:pPr>
              <w:keepNext w:val="0"/>
              <w:tabs>
                <w:tab w:val="left" w:pos="567"/>
              </w:tabs>
              <w:jc w:val="both"/>
              <w:pPrChange w:id="2631" w:author="AbbVie14" w:date="2025-05-09T10:30:00Z">
                <w:pPr>
                  <w:keepNext/>
                  <w:jc w:val="both"/>
                </w:pPr>
              </w:pPrChange>
              <w:rPr>
                <w:del w:id="2632" w:author="AbbVie14" w:date="2025-05-09T10:30:00Z"/>
                <w:sz w:val="22"/>
                <w:szCs w:val="22"/>
              </w:rPr>
            </w:pPr>
          </w:p>
        </w:tc>
        <w:tc>
          <w:tcPr>
            <w:tcW w:w="1173" w:type="dxa"/>
            <w:tcBorders>
              <w:top w:val="single" w:sz="4" w:space="0" w:color="auto"/>
              <w:left w:val="single" w:sz="4" w:space="0" w:color="auto"/>
              <w:bottom w:val="single" w:sz="4" w:space="0" w:color="auto"/>
              <w:right w:val="single" w:sz="4" w:space="0" w:color="auto"/>
            </w:tcBorders>
          </w:tcPr>
          <w:p w:rsidR="006224C2" w:rsidRPr="00295E71" w14:paraId="5692C5A3" w14:textId="77777777">
            <w:pPr>
              <w:keepNext w:val="0"/>
              <w:tabs>
                <w:tab w:val="left" w:pos="567"/>
              </w:tabs>
              <w:jc w:val="both"/>
              <w:pPrChange w:id="2633" w:author="AbbVie14" w:date="2025-05-09T10:30:00Z">
                <w:pPr>
                  <w:keepNext/>
                  <w:jc w:val="both"/>
                </w:pPr>
              </w:pPrChange>
              <w:rPr>
                <w:del w:id="2634" w:author="AbbVie14" w:date="2025-05-09T10:30:00Z"/>
                <w:sz w:val="22"/>
                <w:szCs w:val="22"/>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57B4EADC" w14:textId="77777777">
            <w:pPr>
              <w:keepNext w:val="0"/>
              <w:tabs>
                <w:tab w:val="left" w:pos="567"/>
              </w:tabs>
              <w:jc w:val="both"/>
              <w:pPrChange w:id="2635" w:author="AbbVie14" w:date="2025-05-09T10:30:00Z">
                <w:pPr>
                  <w:keepNext/>
                  <w:jc w:val="both"/>
                </w:pPr>
              </w:pPrChange>
              <w:rPr>
                <w:del w:id="2636" w:author="AbbVie14" w:date="2025-05-09T10:30:00Z"/>
                <w:sz w:val="22"/>
                <w:szCs w:val="22"/>
              </w:rPr>
            </w:pPr>
          </w:p>
        </w:tc>
      </w:tr>
      <w:tr w14:paraId="7B4F9ED6" w14:textId="77777777">
        <w:tblPrEx>
          <w:tblW w:w="0" w:type="auto"/>
          <w:tblLayout w:type="fixed"/>
          <w:tblLook w:val="0000"/>
        </w:tblPrEx>
        <w:trPr>
          <w:gridAfter w:val="1"/>
          <w:wAfter w:w="12" w:type="dxa"/>
          <w:cantSplit/>
          <w:del w:id="2637" w:author="AbbVie14" w:date="2025-05-09T10:30:00Z"/>
        </w:trPr>
        <w:tc>
          <w:tcPr>
            <w:tcW w:w="1541" w:type="dxa"/>
            <w:tcBorders>
              <w:top w:val="single" w:sz="4" w:space="0" w:color="auto"/>
              <w:left w:val="single" w:sz="4" w:space="0" w:color="auto"/>
              <w:bottom w:val="single" w:sz="4" w:space="0" w:color="auto"/>
              <w:right w:val="single" w:sz="4" w:space="0" w:color="auto"/>
            </w:tcBorders>
          </w:tcPr>
          <w:p w:rsidR="006224C2" w:rsidRPr="00295E71" w14:paraId="4DD0586C" w14:textId="77777777">
            <w:pPr>
              <w:keepNext w:val="0"/>
              <w:tabs>
                <w:tab w:val="left" w:pos="567"/>
              </w:tabs>
              <w:jc w:val="both"/>
              <w:pPrChange w:id="2638" w:author="AbbVie14" w:date="2025-05-09T10:30:00Z">
                <w:pPr>
                  <w:keepNext/>
                  <w:jc w:val="both"/>
                </w:pPr>
              </w:pPrChange>
              <w:rPr>
                <w:del w:id="2639" w:author="AbbVie14" w:date="2025-05-09T10:30:00Z"/>
                <w:sz w:val="22"/>
                <w:szCs w:val="22"/>
              </w:rPr>
            </w:pPr>
            <w:del w:id="2640" w:author="AbbVie14" w:date="2025-05-09T10:30:00Z">
              <w:r w:rsidRPr="00295E71">
                <w:rPr>
                  <w:sz w:val="22"/>
                  <w:szCs w:val="22"/>
                </w:rPr>
                <w:delText>Settimana 52</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4CDD06C4" w14:textId="77777777">
            <w:pPr>
              <w:keepNext w:val="0"/>
              <w:tabs>
                <w:tab w:val="left" w:pos="567"/>
              </w:tabs>
              <w:jc w:val="both"/>
              <w:pPrChange w:id="2641" w:author="AbbVie14" w:date="2025-05-09T10:30:00Z">
                <w:pPr>
                  <w:keepNext/>
                  <w:jc w:val="both"/>
                </w:pPr>
              </w:pPrChange>
              <w:rPr>
                <w:del w:id="2642" w:author="AbbVie14" w:date="2025-05-09T10:30:00Z"/>
                <w:sz w:val="22"/>
                <w:szCs w:val="22"/>
              </w:rPr>
            </w:pPr>
            <w:del w:id="2643" w:author="AbbVie14" w:date="2025-05-09T10:30:00Z">
              <w:r w:rsidRPr="00295E71">
                <w:rPr>
                  <w:sz w:val="22"/>
                  <w:szCs w:val="22"/>
                </w:rPr>
                <w:delText>62,6%</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56597DBF" w14:textId="77777777">
            <w:pPr>
              <w:keepNext w:val="0"/>
              <w:tabs>
                <w:tab w:val="left" w:pos="567"/>
              </w:tabs>
              <w:jc w:val="both"/>
              <w:pPrChange w:id="2644" w:author="AbbVie14" w:date="2025-05-09T10:30:00Z">
                <w:pPr>
                  <w:keepNext/>
                  <w:jc w:val="both"/>
                </w:pPr>
              </w:pPrChange>
              <w:rPr>
                <w:del w:id="2645" w:author="AbbVie14" w:date="2025-05-09T10:30:00Z"/>
                <w:sz w:val="22"/>
                <w:szCs w:val="22"/>
              </w:rPr>
            </w:pPr>
            <w:del w:id="2646" w:author="AbbVie14" w:date="2025-05-09T10:30:00Z">
              <w:r w:rsidRPr="00295E71">
                <w:rPr>
                  <w:sz w:val="22"/>
                  <w:szCs w:val="22"/>
                </w:rPr>
                <w:delText>54,4%</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4239DB7B" w14:textId="77777777">
            <w:pPr>
              <w:keepNext w:val="0"/>
              <w:tabs>
                <w:tab w:val="left" w:pos="567"/>
              </w:tabs>
              <w:jc w:val="both"/>
              <w:pPrChange w:id="2647" w:author="AbbVie14" w:date="2025-05-09T10:30:00Z">
                <w:pPr>
                  <w:keepNext/>
                  <w:jc w:val="both"/>
                </w:pPr>
              </w:pPrChange>
              <w:rPr>
                <w:del w:id="2648" w:author="AbbVie14" w:date="2025-05-09T10:30:00Z"/>
                <w:sz w:val="22"/>
                <w:szCs w:val="22"/>
              </w:rPr>
            </w:pPr>
            <w:del w:id="2649" w:author="AbbVie14" w:date="2025-05-09T10:30:00Z">
              <w:r w:rsidRPr="00295E71">
                <w:rPr>
                  <w:sz w:val="22"/>
                  <w:szCs w:val="22"/>
                </w:rPr>
                <w:delText>72,8%</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40A5E862" w14:textId="77777777">
            <w:pPr>
              <w:keepNext w:val="0"/>
              <w:tabs>
                <w:tab w:val="left" w:pos="567"/>
              </w:tabs>
              <w:jc w:val="both"/>
              <w:pPrChange w:id="2650" w:author="AbbVie14" w:date="2025-05-09T10:30:00Z">
                <w:pPr>
                  <w:keepNext/>
                  <w:jc w:val="both"/>
                </w:pPr>
              </w:pPrChange>
              <w:rPr>
                <w:del w:id="2651" w:author="AbbVie14" w:date="2025-05-09T10:30:00Z"/>
                <w:sz w:val="22"/>
                <w:szCs w:val="22"/>
              </w:rPr>
            </w:pPr>
            <w:del w:id="2652" w:author="AbbVie14" w:date="2025-05-09T10:30:00Z">
              <w:r w:rsidRPr="00295E71">
                <w:rPr>
                  <w:sz w:val="22"/>
                  <w:szCs w:val="22"/>
                </w:rPr>
                <w:delText>0,013</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37D0C441" w14:textId="77777777">
            <w:pPr>
              <w:keepNext w:val="0"/>
              <w:tabs>
                <w:tab w:val="left" w:pos="567"/>
              </w:tabs>
              <w:jc w:val="both"/>
              <w:pPrChange w:id="2653" w:author="AbbVie14" w:date="2025-05-09T10:30:00Z">
                <w:pPr>
                  <w:keepNext/>
                  <w:jc w:val="both"/>
                </w:pPr>
              </w:pPrChange>
              <w:rPr>
                <w:del w:id="2654" w:author="AbbVie14" w:date="2025-05-09T10:30:00Z"/>
                <w:sz w:val="22"/>
                <w:szCs w:val="22"/>
              </w:rPr>
            </w:pPr>
            <w:del w:id="2655" w:author="AbbVie14" w:date="2025-05-09T10:30: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5F05C47B" w14:textId="77777777">
            <w:pPr>
              <w:keepNext w:val="0"/>
              <w:tabs>
                <w:tab w:val="left" w:pos="567"/>
              </w:tabs>
              <w:jc w:val="both"/>
              <w:pPrChange w:id="2656" w:author="AbbVie14" w:date="2025-05-09T10:30:00Z">
                <w:pPr>
                  <w:keepNext/>
                  <w:jc w:val="both"/>
                </w:pPr>
              </w:pPrChange>
              <w:rPr>
                <w:del w:id="2657" w:author="AbbVie14" w:date="2025-05-09T10:30:00Z"/>
                <w:sz w:val="22"/>
                <w:szCs w:val="22"/>
              </w:rPr>
            </w:pPr>
            <w:del w:id="2658" w:author="AbbVie14" w:date="2025-05-09T10:30:00Z">
              <w:r w:rsidRPr="00295E71">
                <w:rPr>
                  <w:sz w:val="22"/>
                  <w:szCs w:val="22"/>
                </w:rPr>
                <w:delText>0,043</w:delText>
              </w:r>
            </w:del>
          </w:p>
        </w:tc>
      </w:tr>
      <w:tr w14:paraId="26E24441" w14:textId="77777777">
        <w:tblPrEx>
          <w:tblW w:w="0" w:type="auto"/>
          <w:tblLayout w:type="fixed"/>
          <w:tblLook w:val="0000"/>
        </w:tblPrEx>
        <w:trPr>
          <w:gridAfter w:val="1"/>
          <w:wAfter w:w="12" w:type="dxa"/>
          <w:cantSplit/>
          <w:del w:id="2659" w:author="AbbVie14" w:date="2025-05-09T10:30:00Z"/>
        </w:trPr>
        <w:tc>
          <w:tcPr>
            <w:tcW w:w="1541" w:type="dxa"/>
            <w:tcBorders>
              <w:top w:val="single" w:sz="4" w:space="0" w:color="auto"/>
              <w:left w:val="single" w:sz="4" w:space="0" w:color="auto"/>
              <w:bottom w:val="single" w:sz="4" w:space="0" w:color="auto"/>
              <w:right w:val="single" w:sz="4" w:space="0" w:color="auto"/>
            </w:tcBorders>
          </w:tcPr>
          <w:p w:rsidR="006224C2" w:rsidRPr="00295E71" w14:paraId="388D771F" w14:textId="77777777">
            <w:pPr>
              <w:keepNext w:val="0"/>
              <w:tabs>
                <w:tab w:val="left" w:pos="567"/>
              </w:tabs>
              <w:jc w:val="both"/>
              <w:pPrChange w:id="2660" w:author="AbbVie14" w:date="2025-05-09T10:30:00Z">
                <w:pPr>
                  <w:keepNext/>
                  <w:jc w:val="both"/>
                </w:pPr>
              </w:pPrChange>
              <w:rPr>
                <w:del w:id="2661" w:author="AbbVie14" w:date="2025-05-09T10:30:00Z"/>
                <w:sz w:val="22"/>
                <w:szCs w:val="22"/>
              </w:rPr>
            </w:pPr>
            <w:del w:id="2662" w:author="AbbVie14" w:date="2025-05-09T10:30:00Z">
              <w:r w:rsidRPr="00295E71">
                <w:rPr>
                  <w:sz w:val="22"/>
                  <w:szCs w:val="22"/>
                </w:rPr>
                <w:delText>Settimana 104</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261FB203" w14:textId="77777777">
            <w:pPr>
              <w:keepNext w:val="0"/>
              <w:tabs>
                <w:tab w:val="left" w:pos="567"/>
              </w:tabs>
              <w:jc w:val="both"/>
              <w:pPrChange w:id="2663" w:author="AbbVie14" w:date="2025-05-09T10:30:00Z">
                <w:pPr>
                  <w:keepNext/>
                  <w:jc w:val="both"/>
                </w:pPr>
              </w:pPrChange>
              <w:rPr>
                <w:del w:id="2664" w:author="AbbVie14" w:date="2025-05-09T10:30:00Z"/>
                <w:sz w:val="22"/>
                <w:szCs w:val="22"/>
              </w:rPr>
            </w:pPr>
            <w:del w:id="2665" w:author="AbbVie14" w:date="2025-05-09T10:30:00Z">
              <w:r w:rsidRPr="00295E71">
                <w:rPr>
                  <w:sz w:val="22"/>
                  <w:szCs w:val="22"/>
                </w:rPr>
                <w:delText>56,0%</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28FCD716" w14:textId="77777777">
            <w:pPr>
              <w:keepNext w:val="0"/>
              <w:tabs>
                <w:tab w:val="left" w:pos="567"/>
              </w:tabs>
              <w:jc w:val="both"/>
              <w:pPrChange w:id="2666" w:author="AbbVie14" w:date="2025-05-09T10:30:00Z">
                <w:pPr>
                  <w:keepNext/>
                  <w:jc w:val="both"/>
                </w:pPr>
              </w:pPrChange>
              <w:rPr>
                <w:del w:id="2667" w:author="AbbVie14" w:date="2025-05-09T10:30:00Z"/>
                <w:sz w:val="22"/>
                <w:szCs w:val="22"/>
              </w:rPr>
            </w:pPr>
            <w:del w:id="2668" w:author="AbbVie14" w:date="2025-05-09T10:30:00Z">
              <w:r w:rsidRPr="00295E71">
                <w:rPr>
                  <w:sz w:val="22"/>
                  <w:szCs w:val="22"/>
                </w:rPr>
                <w:delText>49,3%</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06D4311A" w14:textId="77777777">
            <w:pPr>
              <w:keepNext w:val="0"/>
              <w:tabs>
                <w:tab w:val="left" w:pos="567"/>
              </w:tabs>
              <w:jc w:val="both"/>
              <w:pPrChange w:id="2669" w:author="AbbVie14" w:date="2025-05-09T10:30:00Z">
                <w:pPr>
                  <w:keepNext/>
                  <w:jc w:val="both"/>
                </w:pPr>
              </w:pPrChange>
              <w:rPr>
                <w:del w:id="2670" w:author="AbbVie14" w:date="2025-05-09T10:30:00Z"/>
                <w:sz w:val="22"/>
                <w:szCs w:val="22"/>
              </w:rPr>
            </w:pPr>
            <w:del w:id="2671" w:author="AbbVie14" w:date="2025-05-09T10:30:00Z">
              <w:r w:rsidRPr="00295E71">
                <w:rPr>
                  <w:sz w:val="22"/>
                  <w:szCs w:val="22"/>
                </w:rPr>
                <w:delText>69,4%</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156C5836" w14:textId="77777777">
            <w:pPr>
              <w:keepNext w:val="0"/>
              <w:tabs>
                <w:tab w:val="left" w:pos="567"/>
              </w:tabs>
              <w:jc w:val="both"/>
              <w:pPrChange w:id="2672" w:author="AbbVie14" w:date="2025-05-09T10:30:00Z">
                <w:pPr>
                  <w:keepNext/>
                  <w:jc w:val="both"/>
                </w:pPr>
              </w:pPrChange>
              <w:rPr>
                <w:del w:id="2673" w:author="AbbVie14" w:date="2025-05-09T10:30:00Z"/>
                <w:sz w:val="22"/>
                <w:szCs w:val="22"/>
              </w:rPr>
            </w:pPr>
            <w:del w:id="2674" w:author="AbbVie14" w:date="2025-05-09T10:30:00Z">
              <w:r w:rsidRPr="00295E71">
                <w:rPr>
                  <w:sz w:val="22"/>
                  <w:szCs w:val="22"/>
                </w:rPr>
                <w:delText>0,002</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7880D812" w14:textId="77777777">
            <w:pPr>
              <w:keepNext w:val="0"/>
              <w:tabs>
                <w:tab w:val="left" w:pos="567"/>
              </w:tabs>
              <w:jc w:val="both"/>
              <w:pPrChange w:id="2675" w:author="AbbVie14" w:date="2025-05-09T10:30:00Z">
                <w:pPr>
                  <w:keepNext/>
                  <w:jc w:val="both"/>
                </w:pPr>
              </w:pPrChange>
              <w:rPr>
                <w:del w:id="2676" w:author="AbbVie14" w:date="2025-05-09T10:30:00Z"/>
                <w:sz w:val="22"/>
                <w:szCs w:val="22"/>
              </w:rPr>
            </w:pPr>
            <w:del w:id="2677" w:author="AbbVie14" w:date="2025-05-09T10:30: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01EE1D2F" w14:textId="77777777">
            <w:pPr>
              <w:keepNext w:val="0"/>
              <w:tabs>
                <w:tab w:val="left" w:pos="567"/>
              </w:tabs>
              <w:jc w:val="both"/>
              <w:pPrChange w:id="2678" w:author="AbbVie14" w:date="2025-05-09T10:30:00Z">
                <w:pPr>
                  <w:keepNext/>
                  <w:jc w:val="both"/>
                </w:pPr>
              </w:pPrChange>
              <w:rPr>
                <w:del w:id="2679" w:author="AbbVie14" w:date="2025-05-09T10:30:00Z"/>
                <w:sz w:val="22"/>
                <w:szCs w:val="22"/>
              </w:rPr>
            </w:pPr>
            <w:del w:id="2680" w:author="AbbVie14" w:date="2025-05-09T10:30:00Z">
              <w:r w:rsidRPr="00295E71">
                <w:rPr>
                  <w:sz w:val="22"/>
                  <w:szCs w:val="22"/>
                </w:rPr>
                <w:delText>0,140</w:delText>
              </w:r>
            </w:del>
          </w:p>
        </w:tc>
      </w:tr>
      <w:tr w14:paraId="19F1F62E" w14:textId="77777777">
        <w:tblPrEx>
          <w:tblW w:w="0" w:type="auto"/>
          <w:tblLayout w:type="fixed"/>
          <w:tblLook w:val="0000"/>
        </w:tblPrEx>
        <w:trPr>
          <w:gridAfter w:val="1"/>
          <w:wAfter w:w="12" w:type="dxa"/>
          <w:cantSplit/>
          <w:del w:id="2681" w:author="AbbVie14" w:date="2025-05-09T10:30:00Z"/>
        </w:trPr>
        <w:tc>
          <w:tcPr>
            <w:tcW w:w="1541" w:type="dxa"/>
            <w:tcBorders>
              <w:top w:val="single" w:sz="4" w:space="0" w:color="auto"/>
              <w:left w:val="single" w:sz="4" w:space="0" w:color="auto"/>
              <w:bottom w:val="single" w:sz="4" w:space="0" w:color="auto"/>
              <w:right w:val="single" w:sz="4" w:space="0" w:color="auto"/>
            </w:tcBorders>
          </w:tcPr>
          <w:p w:rsidR="006224C2" w:rsidRPr="00295E71" w14:paraId="51614396" w14:textId="77777777">
            <w:pPr>
              <w:keepNext w:val="0"/>
              <w:tabs>
                <w:tab w:val="left" w:pos="567"/>
              </w:tabs>
              <w:jc w:val="both"/>
              <w:pPrChange w:id="2682" w:author="AbbVie14" w:date="2025-05-09T10:30:00Z">
                <w:pPr>
                  <w:keepNext/>
                  <w:jc w:val="both"/>
                </w:pPr>
              </w:pPrChange>
              <w:rPr>
                <w:del w:id="2683" w:author="AbbVie14" w:date="2025-05-09T10:30:00Z"/>
                <w:sz w:val="22"/>
                <w:szCs w:val="22"/>
              </w:rPr>
            </w:pPr>
            <w:del w:id="2684" w:author="AbbVie14" w:date="2025-05-09T10:30:00Z">
              <w:r w:rsidRPr="00295E71">
                <w:rPr>
                  <w:sz w:val="22"/>
                  <w:szCs w:val="22"/>
                </w:rPr>
                <w:delText>ACR 50</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1B6AB766" w14:textId="77777777">
            <w:pPr>
              <w:keepNext w:val="0"/>
              <w:tabs>
                <w:tab w:val="left" w:pos="567"/>
              </w:tabs>
              <w:jc w:val="both"/>
              <w:pPrChange w:id="2685" w:author="AbbVie14" w:date="2025-05-09T10:30:00Z">
                <w:pPr>
                  <w:keepNext/>
                  <w:jc w:val="both"/>
                </w:pPr>
              </w:pPrChange>
              <w:rPr>
                <w:del w:id="2686" w:author="AbbVie14" w:date="2025-05-09T10:30:00Z"/>
                <w:sz w:val="22"/>
                <w:szCs w:val="22"/>
              </w:rPr>
            </w:pPr>
          </w:p>
        </w:tc>
        <w:tc>
          <w:tcPr>
            <w:tcW w:w="1320" w:type="dxa"/>
            <w:tcBorders>
              <w:top w:val="single" w:sz="4" w:space="0" w:color="auto"/>
              <w:left w:val="single" w:sz="4" w:space="0" w:color="auto"/>
              <w:bottom w:val="single" w:sz="4" w:space="0" w:color="auto"/>
              <w:right w:val="single" w:sz="4" w:space="0" w:color="auto"/>
            </w:tcBorders>
          </w:tcPr>
          <w:p w:rsidR="006224C2" w:rsidRPr="00295E71" w14:paraId="680A78BA" w14:textId="77777777">
            <w:pPr>
              <w:keepNext w:val="0"/>
              <w:tabs>
                <w:tab w:val="left" w:pos="567"/>
              </w:tabs>
              <w:jc w:val="both"/>
              <w:pPrChange w:id="2687" w:author="AbbVie14" w:date="2025-05-09T10:30:00Z">
                <w:pPr>
                  <w:keepNext/>
                  <w:jc w:val="both"/>
                </w:pPr>
              </w:pPrChange>
              <w:rPr>
                <w:del w:id="2688" w:author="AbbVie14" w:date="2025-05-09T10:30:00Z"/>
                <w:sz w:val="22"/>
                <w:szCs w:val="22"/>
              </w:rPr>
            </w:pPr>
          </w:p>
        </w:tc>
        <w:tc>
          <w:tcPr>
            <w:tcW w:w="1576" w:type="dxa"/>
            <w:tcBorders>
              <w:top w:val="single" w:sz="4" w:space="0" w:color="auto"/>
              <w:left w:val="single" w:sz="4" w:space="0" w:color="auto"/>
              <w:bottom w:val="single" w:sz="4" w:space="0" w:color="auto"/>
              <w:right w:val="single" w:sz="4" w:space="0" w:color="auto"/>
            </w:tcBorders>
          </w:tcPr>
          <w:p w:rsidR="006224C2" w:rsidRPr="00295E71" w14:paraId="74C66C02" w14:textId="77777777">
            <w:pPr>
              <w:keepNext w:val="0"/>
              <w:tabs>
                <w:tab w:val="left" w:pos="567"/>
              </w:tabs>
              <w:jc w:val="both"/>
              <w:pPrChange w:id="2689" w:author="AbbVie14" w:date="2025-05-09T10:30:00Z">
                <w:pPr>
                  <w:keepNext/>
                  <w:jc w:val="both"/>
                </w:pPr>
              </w:pPrChange>
              <w:rPr>
                <w:del w:id="2690" w:author="AbbVie14" w:date="2025-05-09T10:30:00Z"/>
                <w:sz w:val="22"/>
                <w:szCs w:val="22"/>
              </w:rPr>
            </w:pPr>
          </w:p>
        </w:tc>
        <w:tc>
          <w:tcPr>
            <w:tcW w:w="1100" w:type="dxa"/>
            <w:tcBorders>
              <w:top w:val="single" w:sz="4" w:space="0" w:color="auto"/>
              <w:left w:val="single" w:sz="4" w:space="0" w:color="auto"/>
              <w:bottom w:val="single" w:sz="4" w:space="0" w:color="auto"/>
              <w:right w:val="single" w:sz="4" w:space="0" w:color="auto"/>
            </w:tcBorders>
          </w:tcPr>
          <w:p w:rsidR="006224C2" w:rsidRPr="00295E71" w14:paraId="7B2A6CE7" w14:textId="77777777">
            <w:pPr>
              <w:keepNext w:val="0"/>
              <w:tabs>
                <w:tab w:val="left" w:pos="567"/>
              </w:tabs>
              <w:jc w:val="both"/>
              <w:pPrChange w:id="2691" w:author="AbbVie14" w:date="2025-05-09T10:30:00Z">
                <w:pPr>
                  <w:keepNext/>
                  <w:jc w:val="both"/>
                </w:pPr>
              </w:pPrChange>
              <w:rPr>
                <w:del w:id="2692" w:author="AbbVie14" w:date="2025-05-09T10:30:00Z"/>
                <w:sz w:val="22"/>
                <w:szCs w:val="22"/>
              </w:rPr>
            </w:pPr>
          </w:p>
        </w:tc>
        <w:tc>
          <w:tcPr>
            <w:tcW w:w="1173" w:type="dxa"/>
            <w:tcBorders>
              <w:top w:val="single" w:sz="4" w:space="0" w:color="auto"/>
              <w:left w:val="single" w:sz="4" w:space="0" w:color="auto"/>
              <w:bottom w:val="single" w:sz="4" w:space="0" w:color="auto"/>
              <w:right w:val="single" w:sz="4" w:space="0" w:color="auto"/>
            </w:tcBorders>
          </w:tcPr>
          <w:p w:rsidR="006224C2" w:rsidRPr="00295E71" w14:paraId="25A0D494" w14:textId="77777777">
            <w:pPr>
              <w:keepNext w:val="0"/>
              <w:tabs>
                <w:tab w:val="left" w:pos="567"/>
              </w:tabs>
              <w:jc w:val="both"/>
              <w:pPrChange w:id="2693" w:author="AbbVie14" w:date="2025-05-09T10:30:00Z">
                <w:pPr>
                  <w:keepNext/>
                  <w:jc w:val="both"/>
                </w:pPr>
              </w:pPrChange>
              <w:rPr>
                <w:del w:id="2694" w:author="AbbVie14" w:date="2025-05-09T10:30:00Z"/>
                <w:sz w:val="22"/>
                <w:szCs w:val="22"/>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2607F295" w14:textId="77777777">
            <w:pPr>
              <w:keepNext w:val="0"/>
              <w:tabs>
                <w:tab w:val="left" w:pos="567"/>
              </w:tabs>
              <w:jc w:val="both"/>
              <w:pPrChange w:id="2695" w:author="AbbVie14" w:date="2025-05-09T10:30:00Z">
                <w:pPr>
                  <w:keepNext/>
                  <w:jc w:val="both"/>
                </w:pPr>
              </w:pPrChange>
              <w:rPr>
                <w:del w:id="2696" w:author="AbbVie14" w:date="2025-05-09T10:30:00Z"/>
                <w:sz w:val="22"/>
                <w:szCs w:val="22"/>
              </w:rPr>
            </w:pPr>
          </w:p>
        </w:tc>
      </w:tr>
      <w:tr w14:paraId="05E0C664" w14:textId="77777777">
        <w:tblPrEx>
          <w:tblW w:w="0" w:type="auto"/>
          <w:tblLayout w:type="fixed"/>
          <w:tblLook w:val="0000"/>
        </w:tblPrEx>
        <w:trPr>
          <w:gridAfter w:val="1"/>
          <w:wAfter w:w="12" w:type="dxa"/>
          <w:cantSplit/>
          <w:del w:id="2697" w:author="AbbVie14" w:date="2025-05-09T10:30:00Z"/>
        </w:trPr>
        <w:tc>
          <w:tcPr>
            <w:tcW w:w="1541" w:type="dxa"/>
            <w:tcBorders>
              <w:top w:val="single" w:sz="4" w:space="0" w:color="auto"/>
              <w:left w:val="single" w:sz="4" w:space="0" w:color="auto"/>
              <w:bottom w:val="single" w:sz="4" w:space="0" w:color="auto"/>
              <w:right w:val="single" w:sz="4" w:space="0" w:color="auto"/>
            </w:tcBorders>
          </w:tcPr>
          <w:p w:rsidR="006224C2" w:rsidRPr="00295E71" w14:paraId="727DF117" w14:textId="77777777">
            <w:pPr>
              <w:keepNext w:val="0"/>
              <w:tabs>
                <w:tab w:val="left" w:pos="567"/>
              </w:tabs>
              <w:jc w:val="both"/>
              <w:pPrChange w:id="2698" w:author="AbbVie14" w:date="2025-05-09T10:30:00Z">
                <w:pPr>
                  <w:keepNext/>
                  <w:jc w:val="both"/>
                </w:pPr>
              </w:pPrChange>
              <w:rPr>
                <w:del w:id="2699" w:author="AbbVie14" w:date="2025-05-09T10:30:00Z"/>
                <w:sz w:val="22"/>
                <w:szCs w:val="22"/>
              </w:rPr>
            </w:pPr>
            <w:del w:id="2700" w:author="AbbVie14" w:date="2025-05-09T10:30:00Z">
              <w:r w:rsidRPr="00295E71">
                <w:rPr>
                  <w:sz w:val="22"/>
                  <w:szCs w:val="22"/>
                </w:rPr>
                <w:delText>Settimana 52</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6496E9E7" w14:textId="77777777">
            <w:pPr>
              <w:keepNext w:val="0"/>
              <w:tabs>
                <w:tab w:val="left" w:pos="567"/>
              </w:tabs>
              <w:jc w:val="both"/>
              <w:pPrChange w:id="2701" w:author="AbbVie14" w:date="2025-05-09T10:30:00Z">
                <w:pPr>
                  <w:keepNext/>
                  <w:jc w:val="both"/>
                </w:pPr>
              </w:pPrChange>
              <w:rPr>
                <w:del w:id="2702" w:author="AbbVie14" w:date="2025-05-09T10:30:00Z"/>
                <w:sz w:val="22"/>
                <w:szCs w:val="22"/>
              </w:rPr>
            </w:pPr>
            <w:del w:id="2703" w:author="AbbVie14" w:date="2025-05-09T10:30:00Z">
              <w:r w:rsidRPr="00295E71">
                <w:rPr>
                  <w:sz w:val="22"/>
                  <w:szCs w:val="22"/>
                </w:rPr>
                <w:delText>45,9%</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0C982826" w14:textId="77777777">
            <w:pPr>
              <w:keepNext w:val="0"/>
              <w:tabs>
                <w:tab w:val="left" w:pos="567"/>
              </w:tabs>
              <w:jc w:val="both"/>
              <w:pPrChange w:id="2704" w:author="AbbVie14" w:date="2025-05-09T10:30:00Z">
                <w:pPr>
                  <w:keepNext/>
                  <w:jc w:val="both"/>
                </w:pPr>
              </w:pPrChange>
              <w:rPr>
                <w:del w:id="2705" w:author="AbbVie14" w:date="2025-05-09T10:30:00Z"/>
                <w:sz w:val="22"/>
                <w:szCs w:val="22"/>
              </w:rPr>
            </w:pPr>
            <w:del w:id="2706" w:author="AbbVie14" w:date="2025-05-09T10:30:00Z">
              <w:r w:rsidRPr="00295E71">
                <w:rPr>
                  <w:sz w:val="22"/>
                  <w:szCs w:val="22"/>
                </w:rPr>
                <w:delText>41,2%</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4448FC7E" w14:textId="77777777">
            <w:pPr>
              <w:keepNext w:val="0"/>
              <w:tabs>
                <w:tab w:val="left" w:pos="567"/>
              </w:tabs>
              <w:jc w:val="both"/>
              <w:pPrChange w:id="2707" w:author="AbbVie14" w:date="2025-05-09T10:30:00Z">
                <w:pPr>
                  <w:keepNext/>
                  <w:jc w:val="both"/>
                </w:pPr>
              </w:pPrChange>
              <w:rPr>
                <w:del w:id="2708" w:author="AbbVie14" w:date="2025-05-09T10:30:00Z"/>
                <w:sz w:val="22"/>
                <w:szCs w:val="22"/>
              </w:rPr>
            </w:pPr>
            <w:del w:id="2709" w:author="AbbVie14" w:date="2025-05-09T10:30:00Z">
              <w:r w:rsidRPr="00295E71">
                <w:rPr>
                  <w:sz w:val="22"/>
                  <w:szCs w:val="22"/>
                </w:rPr>
                <w:delText>61,6%</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3F0B3A93" w14:textId="77777777">
            <w:pPr>
              <w:keepNext w:val="0"/>
              <w:tabs>
                <w:tab w:val="left" w:pos="567"/>
              </w:tabs>
              <w:jc w:val="both"/>
              <w:pPrChange w:id="2710" w:author="AbbVie14" w:date="2025-05-09T10:30:00Z">
                <w:pPr>
                  <w:keepNext/>
                  <w:jc w:val="both"/>
                </w:pPr>
              </w:pPrChange>
              <w:rPr>
                <w:del w:id="2711" w:author="AbbVie14" w:date="2025-05-09T10:30:00Z"/>
                <w:sz w:val="22"/>
                <w:szCs w:val="22"/>
              </w:rPr>
            </w:pPr>
            <w:del w:id="2712" w:author="AbbVie14" w:date="2025-05-09T10:30:00Z">
              <w:r w:rsidRPr="00295E71">
                <w:rPr>
                  <w:sz w:val="22"/>
                  <w:szCs w:val="22"/>
                </w:rPr>
                <w:delText>&lt;0,001</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2CD2FA36" w14:textId="77777777">
            <w:pPr>
              <w:keepNext w:val="0"/>
              <w:tabs>
                <w:tab w:val="left" w:pos="567"/>
              </w:tabs>
              <w:jc w:val="both"/>
              <w:pPrChange w:id="2713" w:author="AbbVie14" w:date="2025-05-09T10:30:00Z">
                <w:pPr>
                  <w:keepNext/>
                  <w:jc w:val="both"/>
                </w:pPr>
              </w:pPrChange>
              <w:rPr>
                <w:del w:id="2714" w:author="AbbVie14" w:date="2025-05-09T10:30:00Z"/>
                <w:sz w:val="22"/>
                <w:szCs w:val="22"/>
              </w:rPr>
            </w:pPr>
            <w:del w:id="2715" w:author="AbbVie14" w:date="2025-05-09T10:30: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34D5B72B" w14:textId="77777777">
            <w:pPr>
              <w:keepNext w:val="0"/>
              <w:tabs>
                <w:tab w:val="left" w:pos="567"/>
              </w:tabs>
              <w:jc w:val="both"/>
              <w:pPrChange w:id="2716" w:author="AbbVie14" w:date="2025-05-09T10:30:00Z">
                <w:pPr>
                  <w:keepNext/>
                  <w:jc w:val="both"/>
                </w:pPr>
              </w:pPrChange>
              <w:rPr>
                <w:del w:id="2717" w:author="AbbVie14" w:date="2025-05-09T10:30:00Z"/>
                <w:sz w:val="22"/>
                <w:szCs w:val="22"/>
              </w:rPr>
            </w:pPr>
            <w:del w:id="2718" w:author="AbbVie14" w:date="2025-05-09T10:30:00Z">
              <w:r w:rsidRPr="00295E71">
                <w:rPr>
                  <w:sz w:val="22"/>
                  <w:szCs w:val="22"/>
                </w:rPr>
                <w:delText>0,317</w:delText>
              </w:r>
            </w:del>
          </w:p>
        </w:tc>
      </w:tr>
      <w:tr w14:paraId="66CD8899" w14:textId="77777777">
        <w:tblPrEx>
          <w:tblW w:w="0" w:type="auto"/>
          <w:tblLayout w:type="fixed"/>
          <w:tblLook w:val="0000"/>
        </w:tblPrEx>
        <w:trPr>
          <w:gridAfter w:val="1"/>
          <w:wAfter w:w="12" w:type="dxa"/>
          <w:cantSplit/>
          <w:del w:id="2719" w:author="AbbVie14" w:date="2025-05-09T10:30:00Z"/>
        </w:trPr>
        <w:tc>
          <w:tcPr>
            <w:tcW w:w="1541" w:type="dxa"/>
            <w:tcBorders>
              <w:top w:val="single" w:sz="4" w:space="0" w:color="auto"/>
              <w:left w:val="single" w:sz="4" w:space="0" w:color="auto"/>
              <w:bottom w:val="single" w:sz="4" w:space="0" w:color="auto"/>
              <w:right w:val="single" w:sz="4" w:space="0" w:color="auto"/>
            </w:tcBorders>
          </w:tcPr>
          <w:p w:rsidR="006224C2" w:rsidRPr="00295E71" w14:paraId="1B278EAC" w14:textId="77777777">
            <w:pPr>
              <w:keepNext w:val="0"/>
              <w:tabs>
                <w:tab w:val="left" w:pos="567"/>
              </w:tabs>
              <w:jc w:val="both"/>
              <w:pPrChange w:id="2720" w:author="AbbVie14" w:date="2025-05-09T10:30:00Z">
                <w:pPr>
                  <w:keepNext/>
                  <w:jc w:val="both"/>
                </w:pPr>
              </w:pPrChange>
              <w:rPr>
                <w:del w:id="2721" w:author="AbbVie14" w:date="2025-05-09T10:30:00Z"/>
                <w:sz w:val="22"/>
                <w:szCs w:val="22"/>
              </w:rPr>
            </w:pPr>
            <w:del w:id="2722" w:author="AbbVie14" w:date="2025-05-09T10:30:00Z">
              <w:r w:rsidRPr="00295E71">
                <w:rPr>
                  <w:sz w:val="22"/>
                  <w:szCs w:val="22"/>
                </w:rPr>
                <w:delText>Settimana 104</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579913A1" w14:textId="77777777">
            <w:pPr>
              <w:keepNext w:val="0"/>
              <w:tabs>
                <w:tab w:val="left" w:pos="567"/>
              </w:tabs>
              <w:jc w:val="both"/>
              <w:pPrChange w:id="2723" w:author="AbbVie14" w:date="2025-05-09T10:30:00Z">
                <w:pPr>
                  <w:keepNext/>
                  <w:jc w:val="both"/>
                </w:pPr>
              </w:pPrChange>
              <w:rPr>
                <w:del w:id="2724" w:author="AbbVie14" w:date="2025-05-09T10:30:00Z"/>
                <w:sz w:val="22"/>
                <w:szCs w:val="22"/>
              </w:rPr>
            </w:pPr>
            <w:del w:id="2725" w:author="AbbVie14" w:date="2025-05-09T10:30:00Z">
              <w:r w:rsidRPr="00295E71">
                <w:rPr>
                  <w:sz w:val="22"/>
                  <w:szCs w:val="22"/>
                </w:rPr>
                <w:delText>42,8%</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2692FBB4" w14:textId="77777777">
            <w:pPr>
              <w:keepNext w:val="0"/>
              <w:tabs>
                <w:tab w:val="left" w:pos="567"/>
              </w:tabs>
              <w:jc w:val="both"/>
              <w:pPrChange w:id="2726" w:author="AbbVie14" w:date="2025-05-09T10:30:00Z">
                <w:pPr>
                  <w:keepNext/>
                  <w:jc w:val="both"/>
                </w:pPr>
              </w:pPrChange>
              <w:rPr>
                <w:del w:id="2727" w:author="AbbVie14" w:date="2025-05-09T10:30:00Z"/>
                <w:sz w:val="22"/>
                <w:szCs w:val="22"/>
              </w:rPr>
            </w:pPr>
            <w:del w:id="2728" w:author="AbbVie14" w:date="2025-05-09T10:30:00Z">
              <w:r w:rsidRPr="00295E71">
                <w:rPr>
                  <w:sz w:val="22"/>
                  <w:szCs w:val="22"/>
                </w:rPr>
                <w:delText>36,9%</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6FCEF7AA" w14:textId="77777777">
            <w:pPr>
              <w:keepNext w:val="0"/>
              <w:tabs>
                <w:tab w:val="left" w:pos="567"/>
              </w:tabs>
              <w:jc w:val="both"/>
              <w:pPrChange w:id="2729" w:author="AbbVie14" w:date="2025-05-09T10:30:00Z">
                <w:pPr>
                  <w:keepNext/>
                  <w:jc w:val="both"/>
                </w:pPr>
              </w:pPrChange>
              <w:rPr>
                <w:del w:id="2730" w:author="AbbVie14" w:date="2025-05-09T10:30:00Z"/>
                <w:sz w:val="22"/>
                <w:szCs w:val="22"/>
              </w:rPr>
            </w:pPr>
            <w:del w:id="2731" w:author="AbbVie14" w:date="2025-05-09T10:30:00Z">
              <w:r w:rsidRPr="00295E71">
                <w:rPr>
                  <w:sz w:val="22"/>
                  <w:szCs w:val="22"/>
                </w:rPr>
                <w:delText>59,0%</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72001556" w14:textId="77777777">
            <w:pPr>
              <w:keepNext w:val="0"/>
              <w:tabs>
                <w:tab w:val="left" w:pos="567"/>
              </w:tabs>
              <w:jc w:val="both"/>
              <w:pPrChange w:id="2732" w:author="AbbVie14" w:date="2025-05-09T10:30:00Z">
                <w:pPr>
                  <w:keepNext/>
                  <w:jc w:val="both"/>
                </w:pPr>
              </w:pPrChange>
              <w:rPr>
                <w:del w:id="2733" w:author="AbbVie14" w:date="2025-05-09T10:30:00Z"/>
                <w:sz w:val="22"/>
                <w:szCs w:val="22"/>
              </w:rPr>
            </w:pPr>
            <w:del w:id="2734" w:author="AbbVie14" w:date="2025-05-09T10:30:00Z">
              <w:r w:rsidRPr="00295E71">
                <w:rPr>
                  <w:sz w:val="22"/>
                  <w:szCs w:val="22"/>
                </w:rPr>
                <w:delText>&lt;0,001</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083F89B1" w14:textId="77777777">
            <w:pPr>
              <w:keepNext w:val="0"/>
              <w:tabs>
                <w:tab w:val="left" w:pos="567"/>
              </w:tabs>
              <w:jc w:val="both"/>
              <w:pPrChange w:id="2735" w:author="AbbVie14" w:date="2025-05-09T10:30:00Z">
                <w:pPr>
                  <w:keepNext/>
                  <w:jc w:val="both"/>
                </w:pPr>
              </w:pPrChange>
              <w:rPr>
                <w:del w:id="2736" w:author="AbbVie14" w:date="2025-05-09T10:30:00Z"/>
                <w:sz w:val="22"/>
                <w:szCs w:val="22"/>
              </w:rPr>
            </w:pPr>
            <w:del w:id="2737" w:author="AbbVie14" w:date="2025-05-09T10:30: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0892121D" w14:textId="77777777">
            <w:pPr>
              <w:keepNext w:val="0"/>
              <w:tabs>
                <w:tab w:val="left" w:pos="567"/>
              </w:tabs>
              <w:jc w:val="both"/>
              <w:pPrChange w:id="2738" w:author="AbbVie14" w:date="2025-05-09T10:30:00Z">
                <w:pPr>
                  <w:keepNext/>
                  <w:jc w:val="both"/>
                </w:pPr>
              </w:pPrChange>
              <w:rPr>
                <w:del w:id="2739" w:author="AbbVie14" w:date="2025-05-09T10:30:00Z"/>
                <w:sz w:val="22"/>
                <w:szCs w:val="22"/>
              </w:rPr>
            </w:pPr>
            <w:del w:id="2740" w:author="AbbVie14" w:date="2025-05-09T10:30:00Z">
              <w:r w:rsidRPr="00295E71">
                <w:rPr>
                  <w:sz w:val="22"/>
                  <w:szCs w:val="22"/>
                </w:rPr>
                <w:delText>0,162</w:delText>
              </w:r>
            </w:del>
          </w:p>
        </w:tc>
      </w:tr>
      <w:tr w14:paraId="1E69DC76" w14:textId="77777777">
        <w:tblPrEx>
          <w:tblW w:w="0" w:type="auto"/>
          <w:tblLayout w:type="fixed"/>
          <w:tblLook w:val="0000"/>
        </w:tblPrEx>
        <w:trPr>
          <w:gridAfter w:val="1"/>
          <w:wAfter w:w="12" w:type="dxa"/>
          <w:cantSplit/>
          <w:del w:id="2741" w:author="AbbVie14" w:date="2025-05-09T10:30:00Z"/>
        </w:trPr>
        <w:tc>
          <w:tcPr>
            <w:tcW w:w="1541" w:type="dxa"/>
            <w:tcBorders>
              <w:top w:val="single" w:sz="4" w:space="0" w:color="auto"/>
              <w:left w:val="single" w:sz="4" w:space="0" w:color="auto"/>
              <w:bottom w:val="single" w:sz="4" w:space="0" w:color="auto"/>
              <w:right w:val="single" w:sz="4" w:space="0" w:color="auto"/>
            </w:tcBorders>
          </w:tcPr>
          <w:p w:rsidR="006224C2" w:rsidRPr="00295E71" w14:paraId="75FE39E8" w14:textId="77777777">
            <w:pPr>
              <w:keepNext w:val="0"/>
              <w:tabs>
                <w:tab w:val="left" w:pos="567"/>
              </w:tabs>
              <w:jc w:val="both"/>
              <w:pPrChange w:id="2742" w:author="AbbVie14" w:date="2025-05-09T10:30:00Z">
                <w:pPr>
                  <w:keepNext/>
                  <w:jc w:val="both"/>
                </w:pPr>
              </w:pPrChange>
              <w:rPr>
                <w:del w:id="2743" w:author="AbbVie14" w:date="2025-05-09T10:30:00Z"/>
                <w:sz w:val="22"/>
                <w:szCs w:val="22"/>
              </w:rPr>
            </w:pPr>
            <w:del w:id="2744" w:author="AbbVie14" w:date="2025-05-09T10:30:00Z">
              <w:r w:rsidRPr="00295E71">
                <w:rPr>
                  <w:sz w:val="22"/>
                  <w:szCs w:val="22"/>
                </w:rPr>
                <w:delText>ACR 70</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350081CD" w14:textId="77777777">
            <w:pPr>
              <w:keepNext w:val="0"/>
              <w:tabs>
                <w:tab w:val="left" w:pos="567"/>
              </w:tabs>
              <w:jc w:val="both"/>
              <w:pPrChange w:id="2745" w:author="AbbVie14" w:date="2025-05-09T10:30:00Z">
                <w:pPr>
                  <w:keepNext/>
                  <w:jc w:val="both"/>
                </w:pPr>
              </w:pPrChange>
              <w:rPr>
                <w:del w:id="2746" w:author="AbbVie14" w:date="2025-05-09T10:30:00Z"/>
                <w:sz w:val="22"/>
                <w:szCs w:val="22"/>
              </w:rPr>
            </w:pPr>
          </w:p>
        </w:tc>
        <w:tc>
          <w:tcPr>
            <w:tcW w:w="1320" w:type="dxa"/>
            <w:tcBorders>
              <w:top w:val="single" w:sz="4" w:space="0" w:color="auto"/>
              <w:left w:val="single" w:sz="4" w:space="0" w:color="auto"/>
              <w:bottom w:val="single" w:sz="4" w:space="0" w:color="auto"/>
              <w:right w:val="single" w:sz="4" w:space="0" w:color="auto"/>
            </w:tcBorders>
          </w:tcPr>
          <w:p w:rsidR="006224C2" w:rsidRPr="00295E71" w14:paraId="6F806D83" w14:textId="77777777">
            <w:pPr>
              <w:keepNext w:val="0"/>
              <w:tabs>
                <w:tab w:val="left" w:pos="567"/>
              </w:tabs>
              <w:jc w:val="both"/>
              <w:pPrChange w:id="2747" w:author="AbbVie14" w:date="2025-05-09T10:30:00Z">
                <w:pPr>
                  <w:keepNext/>
                  <w:jc w:val="both"/>
                </w:pPr>
              </w:pPrChange>
              <w:rPr>
                <w:del w:id="2748" w:author="AbbVie14" w:date="2025-05-09T10:30:00Z"/>
                <w:sz w:val="22"/>
                <w:szCs w:val="22"/>
              </w:rPr>
            </w:pPr>
          </w:p>
        </w:tc>
        <w:tc>
          <w:tcPr>
            <w:tcW w:w="1576" w:type="dxa"/>
            <w:tcBorders>
              <w:top w:val="single" w:sz="4" w:space="0" w:color="auto"/>
              <w:left w:val="single" w:sz="4" w:space="0" w:color="auto"/>
              <w:bottom w:val="single" w:sz="4" w:space="0" w:color="auto"/>
              <w:right w:val="single" w:sz="4" w:space="0" w:color="auto"/>
            </w:tcBorders>
          </w:tcPr>
          <w:p w:rsidR="006224C2" w:rsidRPr="00295E71" w14:paraId="2CF624D7" w14:textId="77777777">
            <w:pPr>
              <w:keepNext w:val="0"/>
              <w:tabs>
                <w:tab w:val="left" w:pos="567"/>
              </w:tabs>
              <w:jc w:val="both"/>
              <w:pPrChange w:id="2749" w:author="AbbVie14" w:date="2025-05-09T10:30:00Z">
                <w:pPr>
                  <w:keepNext/>
                  <w:jc w:val="both"/>
                </w:pPr>
              </w:pPrChange>
              <w:rPr>
                <w:del w:id="2750" w:author="AbbVie14" w:date="2025-05-09T10:30:00Z"/>
                <w:sz w:val="22"/>
                <w:szCs w:val="22"/>
              </w:rPr>
            </w:pPr>
          </w:p>
        </w:tc>
        <w:tc>
          <w:tcPr>
            <w:tcW w:w="1100" w:type="dxa"/>
            <w:tcBorders>
              <w:top w:val="single" w:sz="4" w:space="0" w:color="auto"/>
              <w:left w:val="single" w:sz="4" w:space="0" w:color="auto"/>
              <w:bottom w:val="single" w:sz="4" w:space="0" w:color="auto"/>
              <w:right w:val="single" w:sz="4" w:space="0" w:color="auto"/>
            </w:tcBorders>
          </w:tcPr>
          <w:p w:rsidR="006224C2" w:rsidRPr="00295E71" w14:paraId="79F01575" w14:textId="77777777">
            <w:pPr>
              <w:keepNext w:val="0"/>
              <w:tabs>
                <w:tab w:val="left" w:pos="567"/>
              </w:tabs>
              <w:jc w:val="both"/>
              <w:pPrChange w:id="2751" w:author="AbbVie14" w:date="2025-05-09T10:30:00Z">
                <w:pPr>
                  <w:keepNext/>
                  <w:jc w:val="both"/>
                </w:pPr>
              </w:pPrChange>
              <w:rPr>
                <w:del w:id="2752" w:author="AbbVie14" w:date="2025-05-09T10:30:00Z"/>
                <w:sz w:val="22"/>
                <w:szCs w:val="22"/>
              </w:rPr>
            </w:pPr>
          </w:p>
        </w:tc>
        <w:tc>
          <w:tcPr>
            <w:tcW w:w="1173" w:type="dxa"/>
            <w:tcBorders>
              <w:top w:val="single" w:sz="4" w:space="0" w:color="auto"/>
              <w:left w:val="single" w:sz="4" w:space="0" w:color="auto"/>
              <w:bottom w:val="single" w:sz="4" w:space="0" w:color="auto"/>
              <w:right w:val="single" w:sz="4" w:space="0" w:color="auto"/>
            </w:tcBorders>
          </w:tcPr>
          <w:p w:rsidR="006224C2" w:rsidRPr="00295E71" w14:paraId="0A74230B" w14:textId="77777777">
            <w:pPr>
              <w:keepNext w:val="0"/>
              <w:tabs>
                <w:tab w:val="left" w:pos="567"/>
              </w:tabs>
              <w:jc w:val="both"/>
              <w:pPrChange w:id="2753" w:author="AbbVie14" w:date="2025-05-09T10:30:00Z">
                <w:pPr>
                  <w:keepNext/>
                  <w:jc w:val="both"/>
                </w:pPr>
              </w:pPrChange>
              <w:rPr>
                <w:del w:id="2754" w:author="AbbVie14" w:date="2025-05-09T10:30:00Z"/>
                <w:sz w:val="22"/>
                <w:szCs w:val="22"/>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24710216" w14:textId="77777777">
            <w:pPr>
              <w:keepNext w:val="0"/>
              <w:tabs>
                <w:tab w:val="left" w:pos="567"/>
              </w:tabs>
              <w:jc w:val="both"/>
              <w:pPrChange w:id="2755" w:author="AbbVie14" w:date="2025-05-09T10:30:00Z">
                <w:pPr>
                  <w:keepNext/>
                  <w:jc w:val="both"/>
                </w:pPr>
              </w:pPrChange>
              <w:rPr>
                <w:del w:id="2756" w:author="AbbVie14" w:date="2025-05-09T10:30:00Z"/>
                <w:sz w:val="22"/>
                <w:szCs w:val="22"/>
              </w:rPr>
            </w:pPr>
          </w:p>
        </w:tc>
      </w:tr>
      <w:tr w14:paraId="3734DC7B" w14:textId="77777777">
        <w:tblPrEx>
          <w:tblW w:w="0" w:type="auto"/>
          <w:tblLayout w:type="fixed"/>
          <w:tblLook w:val="0000"/>
        </w:tblPrEx>
        <w:trPr>
          <w:gridAfter w:val="1"/>
          <w:wAfter w:w="12" w:type="dxa"/>
          <w:cantSplit/>
          <w:trHeight w:val="70"/>
          <w:del w:id="2757" w:author="AbbVie14" w:date="2025-05-09T10:30:00Z"/>
        </w:trPr>
        <w:tc>
          <w:tcPr>
            <w:tcW w:w="1541" w:type="dxa"/>
            <w:tcBorders>
              <w:top w:val="single" w:sz="4" w:space="0" w:color="auto"/>
              <w:left w:val="single" w:sz="4" w:space="0" w:color="auto"/>
              <w:bottom w:val="single" w:sz="4" w:space="0" w:color="auto"/>
              <w:right w:val="single" w:sz="4" w:space="0" w:color="auto"/>
            </w:tcBorders>
          </w:tcPr>
          <w:p w:rsidR="006224C2" w:rsidRPr="00295E71" w14:paraId="5E3B65DE" w14:textId="77777777">
            <w:pPr>
              <w:keepNext w:val="0"/>
              <w:tabs>
                <w:tab w:val="left" w:pos="567"/>
              </w:tabs>
              <w:jc w:val="both"/>
              <w:pPrChange w:id="2758" w:author="AbbVie14" w:date="2025-05-09T10:30:00Z">
                <w:pPr>
                  <w:keepNext/>
                  <w:jc w:val="both"/>
                </w:pPr>
              </w:pPrChange>
              <w:rPr>
                <w:del w:id="2759" w:author="AbbVie14" w:date="2025-05-09T10:30:00Z"/>
                <w:sz w:val="22"/>
                <w:szCs w:val="22"/>
              </w:rPr>
            </w:pPr>
            <w:del w:id="2760" w:author="AbbVie14" w:date="2025-05-09T10:30:00Z">
              <w:r w:rsidRPr="00295E71">
                <w:rPr>
                  <w:sz w:val="22"/>
                  <w:szCs w:val="22"/>
                </w:rPr>
                <w:delText>Settimana 52</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27BFEF09" w14:textId="77777777">
            <w:pPr>
              <w:keepNext w:val="0"/>
              <w:tabs>
                <w:tab w:val="left" w:pos="567"/>
              </w:tabs>
              <w:jc w:val="both"/>
              <w:pPrChange w:id="2761" w:author="AbbVie14" w:date="2025-05-09T10:30:00Z">
                <w:pPr>
                  <w:keepNext/>
                  <w:jc w:val="both"/>
                </w:pPr>
              </w:pPrChange>
              <w:rPr>
                <w:del w:id="2762" w:author="AbbVie14" w:date="2025-05-09T10:30:00Z"/>
                <w:sz w:val="22"/>
                <w:szCs w:val="22"/>
              </w:rPr>
            </w:pPr>
            <w:del w:id="2763" w:author="AbbVie14" w:date="2025-05-09T10:30:00Z">
              <w:r w:rsidRPr="00295E71">
                <w:rPr>
                  <w:sz w:val="22"/>
                  <w:szCs w:val="22"/>
                </w:rPr>
                <w:delText>27,2%</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0941E9A4" w14:textId="77777777">
            <w:pPr>
              <w:keepNext w:val="0"/>
              <w:tabs>
                <w:tab w:val="left" w:pos="567"/>
              </w:tabs>
              <w:jc w:val="both"/>
              <w:pPrChange w:id="2764" w:author="AbbVie14" w:date="2025-05-09T10:30:00Z">
                <w:pPr>
                  <w:keepNext/>
                  <w:jc w:val="both"/>
                </w:pPr>
              </w:pPrChange>
              <w:rPr>
                <w:del w:id="2765" w:author="AbbVie14" w:date="2025-05-09T10:30:00Z"/>
                <w:sz w:val="22"/>
                <w:szCs w:val="22"/>
              </w:rPr>
            </w:pPr>
            <w:del w:id="2766" w:author="AbbVie14" w:date="2025-05-09T10:30:00Z">
              <w:r w:rsidRPr="00295E71">
                <w:rPr>
                  <w:sz w:val="22"/>
                  <w:szCs w:val="22"/>
                </w:rPr>
                <w:delText>25,9%</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40ACE2FD" w14:textId="77777777">
            <w:pPr>
              <w:keepNext w:val="0"/>
              <w:tabs>
                <w:tab w:val="left" w:pos="567"/>
              </w:tabs>
              <w:jc w:val="both"/>
              <w:pPrChange w:id="2767" w:author="AbbVie14" w:date="2025-05-09T10:30:00Z">
                <w:pPr>
                  <w:keepNext/>
                  <w:jc w:val="both"/>
                </w:pPr>
              </w:pPrChange>
              <w:rPr>
                <w:del w:id="2768" w:author="AbbVie14" w:date="2025-05-09T10:30:00Z"/>
                <w:sz w:val="22"/>
                <w:szCs w:val="22"/>
              </w:rPr>
            </w:pPr>
            <w:del w:id="2769" w:author="AbbVie14" w:date="2025-05-09T10:30:00Z">
              <w:r w:rsidRPr="00295E71">
                <w:rPr>
                  <w:sz w:val="22"/>
                  <w:szCs w:val="22"/>
                </w:rPr>
                <w:delText>45,5%</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438CD668" w14:textId="77777777">
            <w:pPr>
              <w:keepNext w:val="0"/>
              <w:tabs>
                <w:tab w:val="left" w:pos="567"/>
              </w:tabs>
              <w:jc w:val="both"/>
              <w:pPrChange w:id="2770" w:author="AbbVie14" w:date="2025-05-09T10:30:00Z">
                <w:pPr>
                  <w:keepNext/>
                  <w:jc w:val="both"/>
                </w:pPr>
              </w:pPrChange>
              <w:rPr>
                <w:del w:id="2771" w:author="AbbVie14" w:date="2025-05-09T10:30:00Z"/>
                <w:sz w:val="22"/>
                <w:szCs w:val="22"/>
              </w:rPr>
            </w:pPr>
            <w:del w:id="2772" w:author="AbbVie14" w:date="2025-05-09T10:30:00Z">
              <w:r w:rsidRPr="00295E71">
                <w:rPr>
                  <w:sz w:val="22"/>
                  <w:szCs w:val="22"/>
                </w:rPr>
                <w:delText>&lt;0,001</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0D0A2D19" w14:textId="77777777">
            <w:pPr>
              <w:keepNext w:val="0"/>
              <w:tabs>
                <w:tab w:val="left" w:pos="567"/>
              </w:tabs>
              <w:jc w:val="both"/>
              <w:pPrChange w:id="2773" w:author="AbbVie14" w:date="2025-05-09T10:30:00Z">
                <w:pPr>
                  <w:keepNext/>
                  <w:jc w:val="both"/>
                </w:pPr>
              </w:pPrChange>
              <w:rPr>
                <w:del w:id="2774" w:author="AbbVie14" w:date="2025-05-09T10:30:00Z"/>
                <w:sz w:val="22"/>
                <w:szCs w:val="22"/>
              </w:rPr>
            </w:pPr>
            <w:del w:id="2775" w:author="AbbVie14" w:date="2025-05-09T10:30: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5A70DF56" w14:textId="77777777">
            <w:pPr>
              <w:keepNext w:val="0"/>
              <w:tabs>
                <w:tab w:val="left" w:pos="567"/>
              </w:tabs>
              <w:jc w:val="both"/>
              <w:pPrChange w:id="2776" w:author="AbbVie14" w:date="2025-05-09T10:30:00Z">
                <w:pPr>
                  <w:keepNext/>
                  <w:jc w:val="both"/>
                </w:pPr>
              </w:pPrChange>
              <w:rPr>
                <w:del w:id="2777" w:author="AbbVie14" w:date="2025-05-09T10:30:00Z"/>
                <w:sz w:val="22"/>
                <w:szCs w:val="22"/>
              </w:rPr>
            </w:pPr>
            <w:del w:id="2778" w:author="AbbVie14" w:date="2025-05-09T10:30:00Z">
              <w:r w:rsidRPr="00295E71">
                <w:rPr>
                  <w:sz w:val="22"/>
                  <w:szCs w:val="22"/>
                </w:rPr>
                <w:delText>0,656</w:delText>
              </w:r>
            </w:del>
          </w:p>
        </w:tc>
      </w:tr>
      <w:tr w14:paraId="7F00C549" w14:textId="77777777">
        <w:tblPrEx>
          <w:tblW w:w="0" w:type="auto"/>
          <w:tblLayout w:type="fixed"/>
          <w:tblLook w:val="0000"/>
        </w:tblPrEx>
        <w:trPr>
          <w:gridAfter w:val="1"/>
          <w:wAfter w:w="12" w:type="dxa"/>
          <w:cantSplit/>
          <w:del w:id="2779" w:author="AbbVie14" w:date="2025-05-09T10:30:00Z"/>
        </w:trPr>
        <w:tc>
          <w:tcPr>
            <w:tcW w:w="1541" w:type="dxa"/>
            <w:tcBorders>
              <w:top w:val="single" w:sz="4" w:space="0" w:color="auto"/>
              <w:left w:val="single" w:sz="4" w:space="0" w:color="auto"/>
              <w:bottom w:val="single" w:sz="4" w:space="0" w:color="auto"/>
              <w:right w:val="single" w:sz="4" w:space="0" w:color="auto"/>
            </w:tcBorders>
          </w:tcPr>
          <w:p w:rsidR="006224C2" w:rsidRPr="00295E71" w14:paraId="01FB264A" w14:textId="77777777">
            <w:pPr>
              <w:keepNext w:val="0"/>
              <w:tabs>
                <w:tab w:val="left" w:pos="567"/>
              </w:tabs>
              <w:jc w:val="both"/>
              <w:pPrChange w:id="2780" w:author="AbbVie14" w:date="2025-05-09T10:30:00Z">
                <w:pPr>
                  <w:keepNext/>
                  <w:jc w:val="both"/>
                </w:pPr>
              </w:pPrChange>
              <w:rPr>
                <w:del w:id="2781" w:author="AbbVie14" w:date="2025-05-09T10:30:00Z"/>
                <w:sz w:val="22"/>
                <w:szCs w:val="22"/>
              </w:rPr>
            </w:pPr>
            <w:del w:id="2782" w:author="AbbVie14" w:date="2025-05-09T10:30:00Z">
              <w:r w:rsidRPr="00295E71">
                <w:rPr>
                  <w:sz w:val="22"/>
                  <w:szCs w:val="22"/>
                </w:rPr>
                <w:delText>Settimana 104</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1AF8A2ED" w14:textId="77777777">
            <w:pPr>
              <w:keepNext w:val="0"/>
              <w:tabs>
                <w:tab w:val="left" w:pos="567"/>
              </w:tabs>
              <w:jc w:val="both"/>
              <w:pPrChange w:id="2783" w:author="AbbVie14" w:date="2025-05-09T10:30:00Z">
                <w:pPr>
                  <w:keepNext/>
                  <w:jc w:val="both"/>
                </w:pPr>
              </w:pPrChange>
              <w:rPr>
                <w:del w:id="2784" w:author="AbbVie14" w:date="2025-05-09T10:30:00Z"/>
                <w:sz w:val="22"/>
                <w:szCs w:val="22"/>
              </w:rPr>
            </w:pPr>
            <w:del w:id="2785" w:author="AbbVie14" w:date="2025-05-09T10:30:00Z">
              <w:r w:rsidRPr="00295E71">
                <w:rPr>
                  <w:sz w:val="22"/>
                  <w:szCs w:val="22"/>
                </w:rPr>
                <w:delText>28,4%</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4F8F20DC" w14:textId="77777777">
            <w:pPr>
              <w:keepNext w:val="0"/>
              <w:tabs>
                <w:tab w:val="left" w:pos="567"/>
              </w:tabs>
              <w:jc w:val="both"/>
              <w:pPrChange w:id="2786" w:author="AbbVie14" w:date="2025-05-09T10:30:00Z">
                <w:pPr>
                  <w:keepNext/>
                  <w:jc w:val="both"/>
                </w:pPr>
              </w:pPrChange>
              <w:rPr>
                <w:del w:id="2787" w:author="AbbVie14" w:date="2025-05-09T10:30:00Z"/>
                <w:sz w:val="22"/>
                <w:szCs w:val="22"/>
              </w:rPr>
            </w:pPr>
            <w:del w:id="2788" w:author="AbbVie14" w:date="2025-05-09T10:30:00Z">
              <w:r w:rsidRPr="00295E71">
                <w:rPr>
                  <w:sz w:val="22"/>
                  <w:szCs w:val="22"/>
                </w:rPr>
                <w:delText>28,1%</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40EC82B2" w14:textId="77777777">
            <w:pPr>
              <w:keepNext w:val="0"/>
              <w:tabs>
                <w:tab w:val="left" w:pos="567"/>
              </w:tabs>
              <w:jc w:val="both"/>
              <w:pPrChange w:id="2789" w:author="AbbVie14" w:date="2025-05-09T10:30:00Z">
                <w:pPr>
                  <w:keepNext/>
                  <w:jc w:val="both"/>
                </w:pPr>
              </w:pPrChange>
              <w:rPr>
                <w:del w:id="2790" w:author="AbbVie14" w:date="2025-05-09T10:30:00Z"/>
                <w:sz w:val="22"/>
                <w:szCs w:val="22"/>
              </w:rPr>
            </w:pPr>
            <w:del w:id="2791" w:author="AbbVie14" w:date="2025-05-09T10:30:00Z">
              <w:r w:rsidRPr="00295E71">
                <w:rPr>
                  <w:sz w:val="22"/>
                  <w:szCs w:val="22"/>
                </w:rPr>
                <w:delText>46,6%</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4C5EBA49" w14:textId="77777777">
            <w:pPr>
              <w:keepNext w:val="0"/>
              <w:tabs>
                <w:tab w:val="left" w:pos="567"/>
              </w:tabs>
              <w:jc w:val="both"/>
              <w:pPrChange w:id="2792" w:author="AbbVie14" w:date="2025-05-09T10:30:00Z">
                <w:pPr>
                  <w:keepNext/>
                  <w:jc w:val="both"/>
                </w:pPr>
              </w:pPrChange>
              <w:rPr>
                <w:del w:id="2793" w:author="AbbVie14" w:date="2025-05-09T10:30:00Z"/>
                <w:sz w:val="22"/>
                <w:szCs w:val="22"/>
              </w:rPr>
            </w:pPr>
            <w:del w:id="2794" w:author="AbbVie14" w:date="2025-05-09T10:30:00Z">
              <w:r w:rsidRPr="00295E71">
                <w:rPr>
                  <w:sz w:val="22"/>
                  <w:szCs w:val="22"/>
                </w:rPr>
                <w:delText>&lt;0,001</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691D5144" w14:textId="77777777">
            <w:pPr>
              <w:keepNext w:val="0"/>
              <w:tabs>
                <w:tab w:val="left" w:pos="567"/>
              </w:tabs>
              <w:jc w:val="both"/>
              <w:pPrChange w:id="2795" w:author="AbbVie14" w:date="2025-05-09T10:30:00Z">
                <w:pPr>
                  <w:keepNext/>
                  <w:jc w:val="both"/>
                </w:pPr>
              </w:pPrChange>
              <w:rPr>
                <w:del w:id="2796" w:author="AbbVie14" w:date="2025-05-09T10:30:00Z"/>
                <w:sz w:val="22"/>
                <w:szCs w:val="22"/>
              </w:rPr>
            </w:pPr>
            <w:del w:id="2797" w:author="AbbVie14" w:date="2025-05-09T10:30: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24C39A3C" w14:textId="77777777">
            <w:pPr>
              <w:keepNext w:val="0"/>
              <w:tabs>
                <w:tab w:val="left" w:pos="567"/>
              </w:tabs>
              <w:jc w:val="both"/>
              <w:pPrChange w:id="2798" w:author="AbbVie14" w:date="2025-05-09T10:30:00Z">
                <w:pPr>
                  <w:keepNext/>
                  <w:jc w:val="both"/>
                </w:pPr>
              </w:pPrChange>
              <w:rPr>
                <w:del w:id="2799" w:author="AbbVie14" w:date="2025-05-09T10:30:00Z"/>
                <w:sz w:val="22"/>
                <w:szCs w:val="22"/>
              </w:rPr>
            </w:pPr>
            <w:del w:id="2800" w:author="AbbVie14" w:date="2025-05-09T10:30:00Z">
              <w:r w:rsidRPr="00295E71">
                <w:rPr>
                  <w:sz w:val="22"/>
                  <w:szCs w:val="22"/>
                </w:rPr>
                <w:delText>0,864</w:delText>
              </w:r>
            </w:del>
          </w:p>
        </w:tc>
      </w:tr>
      <w:tr w14:paraId="6E88B65E" w14:textId="77777777">
        <w:tblPrEx>
          <w:tblW w:w="0" w:type="auto"/>
          <w:tblLayout w:type="fixed"/>
          <w:tblLook w:val="0000"/>
        </w:tblPrEx>
        <w:trPr>
          <w:cantSplit/>
          <w:del w:id="2801" w:author="AbbVie14" w:date="2025-05-09T10:30:00Z"/>
        </w:trPr>
        <w:tc>
          <w:tcPr>
            <w:tcW w:w="9252" w:type="dxa"/>
            <w:gridSpan w:val="8"/>
            <w:tcBorders>
              <w:top w:val="single" w:sz="4" w:space="0" w:color="auto"/>
              <w:left w:val="single" w:sz="4" w:space="0" w:color="auto"/>
              <w:bottom w:val="single" w:sz="4" w:space="0" w:color="auto"/>
              <w:right w:val="single" w:sz="4" w:space="0" w:color="auto"/>
            </w:tcBorders>
          </w:tcPr>
          <w:p w:rsidR="006224C2" w:rsidRPr="00295E71" w14:paraId="5B9D8B63" w14:textId="77777777">
            <w:pPr>
              <w:keepNext w:val="0"/>
              <w:tabs>
                <w:tab w:val="clear" w:pos="330"/>
                <w:tab w:val="left" w:pos="567"/>
                <w:tab w:val="clear" w:pos="10728"/>
              </w:tabs>
              <w:ind w:left="0" w:firstLine="0"/>
              <w:jc w:val="both"/>
              <w:pPrChange w:id="2802" w:author="AbbVie14" w:date="2025-05-09T10:30:00Z">
                <w:pPr>
                  <w:keepNext/>
                  <w:tabs>
                    <w:tab w:val="left" w:pos="330"/>
                    <w:tab w:val="left" w:pos="10728"/>
                  </w:tabs>
                  <w:ind w:left="360" w:hanging="360"/>
                  <w:jc w:val="both"/>
                </w:pPr>
              </w:pPrChange>
              <w:rPr>
                <w:del w:id="2803" w:author="AbbVie14" w:date="2025-05-09T10:30:00Z"/>
                <w:sz w:val="22"/>
                <w:szCs w:val="22"/>
              </w:rPr>
            </w:pPr>
            <w:del w:id="2804" w:author="AbbVie14" w:date="2025-05-09T10:30:00Z">
              <w:r w:rsidRPr="00295E71">
                <w:rPr>
                  <w:sz w:val="22"/>
                  <w:szCs w:val="22"/>
                  <w:vertAlign w:val="superscript"/>
                </w:rPr>
                <w:delText>a</w:delText>
              </w:r>
            </w:del>
            <w:del w:id="2805" w:author="AbbVie14" w:date="2025-05-09T10:30:00Z">
              <w:r w:rsidRPr="00295E71">
                <w:rPr>
                  <w:sz w:val="22"/>
                  <w:szCs w:val="22"/>
                </w:rPr>
                <w:tab/>
                <w:delText xml:space="preserve">il valore p è stato ottenuto confrontando a due a due la </w:delText>
              </w:r>
            </w:del>
            <w:del w:id="2806" w:author="AbbVie14" w:date="2025-05-09T10:30:00Z">
              <w:r w:rsidR="00191A42">
                <w:rPr>
                  <w:sz w:val="22"/>
                  <w:szCs w:val="22"/>
                </w:rPr>
                <w:delText>mono</w:delText>
              </w:r>
            </w:del>
            <w:del w:id="2807" w:author="AbbVie14" w:date="2025-05-09T10:30:00Z">
              <w:r w:rsidRPr="00295E71">
                <w:rPr>
                  <w:sz w:val="22"/>
                  <w:szCs w:val="22"/>
                </w:rPr>
                <w:delText>terapia con metotressato e la terapia associata Humira/metotressato utilizzando il test U Mann-Whitney.</w:delText>
              </w:r>
            </w:del>
          </w:p>
          <w:p w:rsidR="006224C2" w:rsidRPr="00295E71" w14:paraId="45F93732" w14:textId="77777777">
            <w:pPr>
              <w:tabs>
                <w:tab w:val="left" w:pos="567"/>
              </w:tabs>
              <w:jc w:val="both"/>
              <w:pPrChange w:id="2808" w:author="AbbVie14" w:date="2025-05-09T10:30:00Z">
                <w:pPr>
                  <w:pStyle w:val="BodyTextIndent"/>
                  <w:keepNext/>
                  <w:autoSpaceDE/>
                  <w:autoSpaceDN/>
                  <w:adjustRightInd/>
                  <w:ind w:left="330" w:hanging="330"/>
                </w:pPr>
              </w:pPrChange>
              <w:rPr>
                <w:del w:id="2809" w:author="AbbVie14" w:date="2025-05-09T10:30:00Z"/>
              </w:rPr>
            </w:pPr>
            <w:del w:id="2810" w:author="AbbVie14" w:date="2025-05-09T10:30:00Z">
              <w:r w:rsidRPr="00295E71">
                <w:rPr>
                  <w:vertAlign w:val="superscript"/>
                </w:rPr>
                <w:delText>b</w:delText>
              </w:r>
            </w:del>
            <w:del w:id="2811" w:author="AbbVie14" w:date="2025-05-09T10:30:00Z">
              <w:r w:rsidRPr="00295E71">
                <w:tab/>
                <w:delText xml:space="preserve">il valore p è stato ottenuto confrontando a due a due la </w:delText>
              </w:r>
            </w:del>
            <w:del w:id="2812" w:author="AbbVie14" w:date="2025-05-09T10:30:00Z">
              <w:r w:rsidR="00191A42">
                <w:delText>mono</w:delText>
              </w:r>
            </w:del>
            <w:del w:id="2813" w:author="AbbVie14" w:date="2025-05-09T10:30:00Z">
              <w:r w:rsidRPr="00295E71">
                <w:delText>terapia con Humira e la terapia associata Humira/metotressato utilizzando il test U Mann-Whitney</w:delText>
              </w:r>
            </w:del>
          </w:p>
          <w:p w:rsidR="006224C2" w:rsidRPr="00295E71" w14:paraId="04C75807" w14:textId="77777777">
            <w:pPr>
              <w:tabs>
                <w:tab w:val="left" w:pos="567"/>
              </w:tabs>
              <w:jc w:val="both"/>
              <w:pPrChange w:id="2814" w:author="AbbVie14" w:date="2025-05-09T10:30:00Z">
                <w:pPr>
                  <w:pStyle w:val="BodyTextIndent"/>
                  <w:keepNext/>
                  <w:autoSpaceDE/>
                  <w:autoSpaceDN/>
                  <w:adjustRightInd/>
                  <w:ind w:left="330" w:hanging="330"/>
                </w:pPr>
              </w:pPrChange>
              <w:rPr>
                <w:del w:id="2815" w:author="AbbVie14" w:date="2025-05-09T10:30:00Z"/>
              </w:rPr>
            </w:pPr>
            <w:del w:id="2816" w:author="AbbVie14" w:date="2025-05-09T10:30:00Z">
              <w:r w:rsidRPr="00295E71">
                <w:rPr>
                  <w:vertAlign w:val="superscript"/>
                </w:rPr>
                <w:delText>c</w:delText>
              </w:r>
            </w:del>
            <w:del w:id="2817" w:author="AbbVie14" w:date="2025-05-09T10:30:00Z">
              <w:r w:rsidRPr="00295E71" w:rsidR="00EF6A7F">
                <w:tab/>
              </w:r>
            </w:del>
            <w:del w:id="2818" w:author="AbbVie14" w:date="2025-05-09T10:30:00Z">
              <w:r w:rsidRPr="00295E71">
                <w:delText xml:space="preserve">il valore p è stato ottenuto confrontando a due a due la </w:delText>
              </w:r>
            </w:del>
            <w:del w:id="2819" w:author="AbbVie14" w:date="2025-05-09T10:30:00Z">
              <w:r w:rsidR="00191A42">
                <w:delText>mono</w:delText>
              </w:r>
            </w:del>
            <w:del w:id="2820" w:author="AbbVie14" w:date="2025-05-09T10:30:00Z">
              <w:r w:rsidRPr="00295E71">
                <w:delText xml:space="preserve">terapia con Humira e la </w:delText>
              </w:r>
            </w:del>
            <w:del w:id="2821" w:author="AbbVie14" w:date="2025-05-09T10:30:00Z">
              <w:r w:rsidR="00191A42">
                <w:delText>mono</w:delText>
              </w:r>
            </w:del>
            <w:del w:id="2822" w:author="AbbVie14" w:date="2025-05-09T10:30:00Z">
              <w:r w:rsidRPr="00295E71">
                <w:delText>terapia con metotressato utilizzando il test U Mann-Whitney</w:delText>
              </w:r>
            </w:del>
          </w:p>
        </w:tc>
      </w:tr>
    </w:tbl>
    <w:p w:rsidR="006224C2" w:rsidRPr="00295E71" w14:paraId="0DC92C56" w14:textId="77777777">
      <w:pPr>
        <w:tabs>
          <w:tab w:val="left" w:pos="567"/>
        </w:tabs>
        <w:jc w:val="both"/>
        <w:pPrChange w:id="2823" w:author="AbbVie14" w:date="2025-05-09T10:30:00Z">
          <w:pPr/>
        </w:pPrChange>
        <w:rPr>
          <w:del w:id="2824" w:author="AbbVie14" w:date="2025-05-09T10:30:00Z"/>
          <w:sz w:val="22"/>
          <w:szCs w:val="22"/>
        </w:rPr>
      </w:pPr>
    </w:p>
    <w:p w:rsidR="006224C2" w:rsidRPr="00295E71" w:rsidP="00AD7AF0" w14:paraId="79B6A034" w14:textId="77777777">
      <w:pPr>
        <w:tabs>
          <w:tab w:val="left" w:pos="567"/>
        </w:tabs>
        <w:jc w:val="both"/>
        <w:rPr>
          <w:del w:id="2825" w:author="AbbVie14" w:date="2025-05-09T10:30:00Z"/>
          <w:sz w:val="22"/>
          <w:szCs w:val="22"/>
        </w:rPr>
      </w:pPr>
      <w:del w:id="2826" w:author="AbbVie14" w:date="2025-05-09T10:30:00Z">
        <w:r w:rsidRPr="00295E71">
          <w:rPr>
            <w:sz w:val="22"/>
            <w:szCs w:val="22"/>
          </w:rPr>
          <w:delText xml:space="preserve">Nella fase di estensione in aperto dello studio AR V, il tasso di risposta ACR è stato mantenuto </w:delText>
        </w:r>
      </w:del>
      <w:del w:id="2827" w:author="AbbVie14" w:date="2025-05-09T10:30:00Z">
        <w:r w:rsidRPr="000B225D" w:rsidR="00191A42">
          <w:rPr>
            <w:sz w:val="22"/>
            <w:szCs w:val="22"/>
          </w:rPr>
          <w:delText>nei pazienti seguiti</w:delText>
        </w:r>
      </w:del>
      <w:del w:id="2828" w:author="AbbVie14" w:date="2025-05-09T10:30:00Z">
        <w:r w:rsidR="00191A42">
          <w:rPr>
            <w:sz w:val="22"/>
            <w:szCs w:val="22"/>
          </w:rPr>
          <w:delText xml:space="preserve"> </w:delText>
        </w:r>
      </w:del>
      <w:del w:id="2829" w:author="AbbVie14" w:date="2025-05-09T10:30:00Z">
        <w:r w:rsidRPr="00295E71">
          <w:rPr>
            <w:sz w:val="22"/>
            <w:szCs w:val="22"/>
          </w:rPr>
          <w:delText>fino a 10 anni. Dei 542 pazienti</w:delText>
        </w:r>
      </w:del>
      <w:del w:id="2830" w:author="AbbVie14" w:date="2025-05-09T10:30:00Z">
        <w:r w:rsidR="00191A42">
          <w:rPr>
            <w:sz w:val="22"/>
            <w:szCs w:val="22"/>
          </w:rPr>
          <w:delText xml:space="preserve"> </w:delText>
        </w:r>
      </w:del>
      <w:del w:id="2831" w:author="AbbVie14" w:date="2025-05-09T10:30:00Z">
        <w:r w:rsidRPr="00295E71">
          <w:rPr>
            <w:sz w:val="22"/>
            <w:szCs w:val="22"/>
          </w:rPr>
          <w:delText xml:space="preserve">che erano stati randomizzati alla somministrazione di 40 mg di Humira a settimane alterne, 170 pazienti hanno continuato il trattamento con Humira 40 mg a settimane alterne per 10 anni. Di questi, 154 pazienti (90,6%) hanno avuto risposte ACR 20; 127 pazienti (74,7%) hanno avuto risposte ACR 50; e 102 pazienti (60,0%) hanno avuto risposte ACR 70. </w:delText>
        </w:r>
      </w:del>
    </w:p>
    <w:p w:rsidR="006224C2" w:rsidRPr="00295E71" w14:paraId="6E2CD73C" w14:textId="77777777">
      <w:pPr>
        <w:tabs>
          <w:tab w:val="left" w:pos="567"/>
        </w:tabs>
        <w:jc w:val="both"/>
        <w:pPrChange w:id="2832" w:author="AbbVie14" w:date="2025-05-09T10:30:00Z">
          <w:pPr/>
        </w:pPrChange>
        <w:rPr>
          <w:del w:id="2833" w:author="AbbVie14" w:date="2025-05-09T10:30:00Z"/>
          <w:sz w:val="22"/>
          <w:szCs w:val="22"/>
        </w:rPr>
      </w:pPr>
    </w:p>
    <w:p w:rsidR="006224C2" w:rsidRPr="00295E71" w14:paraId="494A0BD0" w14:textId="77777777">
      <w:pPr>
        <w:tabs>
          <w:tab w:val="left" w:pos="567"/>
        </w:tabs>
        <w:jc w:val="both"/>
        <w:pPrChange w:id="2834" w:author="AbbVie14" w:date="2025-05-09T10:30:00Z">
          <w:pPr/>
        </w:pPrChange>
        <w:rPr>
          <w:del w:id="2835" w:author="AbbVie14" w:date="2025-05-09T10:30:00Z"/>
          <w:sz w:val="22"/>
          <w:szCs w:val="22"/>
        </w:rPr>
      </w:pPr>
      <w:del w:id="2836" w:author="AbbVie14" w:date="2025-05-09T10:30:00Z">
        <w:r w:rsidRPr="00295E71">
          <w:rPr>
            <w:sz w:val="22"/>
            <w:szCs w:val="22"/>
          </w:rPr>
          <w:delText>Alla settimana 52, il 42,9% dei pazienti che era stato sottoposto a terapia associata con Humira/metotressato ha raggiunto remissione clinica (DAS28 (PCR) &lt; 2,6) rispetto al 20,6% dei pazienti trattat</w:delText>
        </w:r>
      </w:del>
      <w:del w:id="2837" w:author="AbbVie14" w:date="2025-05-09T10:30:00Z">
        <w:r w:rsidR="00191A42">
          <w:rPr>
            <w:sz w:val="22"/>
            <w:szCs w:val="22"/>
          </w:rPr>
          <w:delText>i</w:delText>
        </w:r>
      </w:del>
      <w:del w:id="2838" w:author="AbbVie14" w:date="2025-05-09T10:30:00Z">
        <w:r w:rsidRPr="00295E71">
          <w:rPr>
            <w:sz w:val="22"/>
            <w:szCs w:val="22"/>
          </w:rPr>
          <w:delText xml:space="preserve"> con metotressato in monoterapia ed al 23,4% dei pazienti che aveva ricevuto Humira in monoterapia. La terapia associata Humira/metotressato si è rivelata superiore dal punto di vista clinico e statistico alle monoterapie con metotressato (p&lt;0,001) e Humira (p&lt;0,001) nel determinare una riduzione dell’attività di malattia in pazienti in cui era stata di recente diagnosticata a</w:delText>
        </w:r>
      </w:del>
      <w:del w:id="2839" w:author="AbbVie14" w:date="2025-05-09T10:30:00Z">
        <w:r w:rsidR="00191A42">
          <w:rPr>
            <w:sz w:val="22"/>
            <w:szCs w:val="22"/>
          </w:rPr>
          <w:delText>r</w:delText>
        </w:r>
      </w:del>
      <w:del w:id="2840" w:author="AbbVie14" w:date="2025-05-09T10:30:00Z">
        <w:r w:rsidRPr="00295E71">
          <w:rPr>
            <w:sz w:val="22"/>
            <w:szCs w:val="22"/>
          </w:rPr>
          <w:delText>trite reumatoide di grado da moderato a severo. La risposta ottenuta nei due gruppi in monoterapia è stata simile (p=0,447). Dei 342 pazienti che erano stati inizialmente randomizzati alla somministrazione di Humira in monoterapia o alla terapia associata Humira/metotressato e che erano stati arruolati nella fase di estensione in aperto dello studio, 171 hanno completato i 10 anni di trattamento con Humira. Di questi, è stato riportato che 109 pazienti (63,7%) erano in remissione a 10 anni.</w:delText>
        </w:r>
      </w:del>
    </w:p>
    <w:p w:rsidR="006224C2" w:rsidRPr="00295E71" w:rsidP="00AD7AF0" w14:paraId="38B3FD82" w14:textId="77777777">
      <w:pPr>
        <w:tabs>
          <w:tab w:val="left" w:pos="567"/>
        </w:tabs>
        <w:jc w:val="both"/>
        <w:rPr>
          <w:del w:id="2841" w:author="AbbVie14" w:date="2025-05-09T10:30:00Z"/>
          <w:sz w:val="22"/>
          <w:szCs w:val="22"/>
        </w:rPr>
      </w:pPr>
    </w:p>
    <w:p w:rsidR="006224C2" w:rsidRPr="00295E71" w14:paraId="6C1140FC" w14:textId="77777777">
      <w:pPr>
        <w:tabs>
          <w:tab w:val="left" w:pos="567"/>
        </w:tabs>
        <w:jc w:val="both"/>
        <w:pPrChange w:id="2842" w:author="AbbVie14" w:date="2025-05-09T10:30:00Z">
          <w:pPr>
            <w:pStyle w:val="Heading3"/>
            <w:keepNext w:val="0"/>
            <w:tabs>
              <w:tab w:val="left" w:pos="567"/>
            </w:tabs>
          </w:pPr>
        </w:pPrChange>
        <w:rPr>
          <w:del w:id="2843" w:author="AbbVie14" w:date="2025-05-09T10:30:00Z"/>
          <w:i/>
        </w:rPr>
      </w:pPr>
      <w:del w:id="2844" w:author="AbbVie14" w:date="2025-05-09T10:30:00Z">
        <w:r w:rsidRPr="00295E71">
          <w:rPr>
            <w:i/>
          </w:rPr>
          <w:delText>Risposta radiologica</w:delText>
        </w:r>
      </w:del>
    </w:p>
    <w:p w:rsidR="006224C2" w:rsidRPr="00295E71" w14:paraId="6CF6FECD" w14:textId="77777777">
      <w:pPr>
        <w:tabs>
          <w:tab w:val="left" w:pos="567"/>
        </w:tabs>
        <w:jc w:val="both"/>
        <w:rPr>
          <w:del w:id="2845" w:author="AbbVie14" w:date="2025-05-09T10:30:00Z"/>
          <w:sz w:val="22"/>
          <w:szCs w:val="22"/>
        </w:rPr>
      </w:pPr>
    </w:p>
    <w:p w:rsidR="006224C2" w:rsidRPr="00295E71" w14:paraId="5A99F708" w14:textId="77777777">
      <w:pPr>
        <w:pStyle w:val="BodyText"/>
        <w:tabs>
          <w:tab w:val="left" w:pos="567"/>
        </w:tabs>
        <w:rPr>
          <w:del w:id="2846" w:author="AbbVie14" w:date="2025-05-09T10:30:00Z"/>
        </w:rPr>
      </w:pPr>
      <w:del w:id="2847" w:author="AbbVie14" w:date="2025-05-09T10:30:00Z">
        <w:r w:rsidRPr="00295E71">
          <w:delText>Nello studio AR III, in cui i pazienti trattati con Humira avevano una durata media di malattia di circa 11 anni, il danno strutturale è stato valutato radiograficamente ed espresso come variazione dell’Indice Totale di Sharp modificato (Total Sharp Score</w:delText>
        </w:r>
      </w:del>
      <w:del w:id="2848" w:author="AbbVie14" w:date="2025-05-09T10:30:00Z">
        <w:r w:rsidR="00191A42">
          <w:delText>,</w:delText>
        </w:r>
      </w:del>
      <w:del w:id="2849" w:author="AbbVie14" w:date="2025-05-09T10:30:00Z">
        <w:r w:rsidRPr="00295E71">
          <w:delText xml:space="preserve"> TSS) e dei relativi componenti, gli indici di erosione e di riduzione della rima articolare (Joint Space Narrowing, JSN). </w:delText>
        </w:r>
      </w:del>
    </w:p>
    <w:p w:rsidR="006224C2" w:rsidRPr="00295E71" w14:paraId="5FA6D1C9" w14:textId="77777777">
      <w:pPr>
        <w:pStyle w:val="BodyText"/>
        <w:tabs>
          <w:tab w:val="left" w:pos="567"/>
        </w:tabs>
        <w:rPr>
          <w:del w:id="2850" w:author="AbbVie14" w:date="2025-05-09T10:30:00Z"/>
        </w:rPr>
      </w:pPr>
      <w:del w:id="2851" w:author="AbbVie14" w:date="2025-05-09T10:30:00Z">
        <w:r w:rsidRPr="00295E71">
          <w:delText xml:space="preserve">I pazienti trattati con Humira/MTX hanno mostrato una progressione radiologica significativamente inferiore ai pazienti che hanno ricevuto solo MTX, a 6 e 12 mesi (vedere Tabella </w:delText>
        </w:r>
      </w:del>
      <w:del w:id="2852" w:author="AbbVie14" w:date="2025-05-09T10:30:00Z">
        <w:r w:rsidR="000203FD">
          <w:delText>10</w:delText>
        </w:r>
      </w:del>
      <w:del w:id="2853" w:author="AbbVie14" w:date="2025-05-09T10:30:00Z">
        <w:r w:rsidRPr="00295E71">
          <w:delText xml:space="preserve">). </w:delText>
        </w:r>
      </w:del>
    </w:p>
    <w:p w:rsidR="006224C2" w:rsidRPr="00295E71" w14:paraId="1DCAEABB" w14:textId="77777777">
      <w:pPr>
        <w:pStyle w:val="BodyText"/>
        <w:tabs>
          <w:tab w:val="left" w:pos="567"/>
        </w:tabs>
        <w:rPr>
          <w:del w:id="2854" w:author="AbbVie14" w:date="2025-05-09T10:30:00Z"/>
        </w:rPr>
      </w:pPr>
    </w:p>
    <w:p w:rsidR="006224C2" w:rsidRPr="00295E71" w14:paraId="0C9BD231" w14:textId="77777777">
      <w:pPr>
        <w:pStyle w:val="BodyText"/>
        <w:tabs>
          <w:tab w:val="left" w:pos="567"/>
        </w:tabs>
        <w:rPr>
          <w:del w:id="2855" w:author="AbbVie14" w:date="2025-05-09T10:30:00Z"/>
        </w:rPr>
      </w:pPr>
      <w:del w:id="2856" w:author="AbbVie14" w:date="2025-05-09T10:30:00Z">
        <w:r w:rsidRPr="00295E71">
          <w:delText xml:space="preserve">Nell’estensione in aperto dello studio AR III, la riduzione del tasso di progressione del danno strutturale </w:delText>
        </w:r>
      </w:del>
      <w:del w:id="2857" w:author="AbbVie14" w:date="2025-05-09T10:30:00Z">
        <w:r w:rsidRPr="00020442" w:rsidR="00191A42">
          <w:delText xml:space="preserve">è stata mantenuta </w:delText>
        </w:r>
      </w:del>
      <w:del w:id="2858" w:author="AbbVie14" w:date="2025-05-09T10:30:00Z">
        <w:r w:rsidRPr="00295E71">
          <w:delText>per 8 e 10 anni in un sottogruppo di pazienti. A8 anni, 81 pazienti su 207 originariamente trattati con Humira 40 mg a settimane alterne sono stati valutati radiologicamente. Tra questi, 48 pazienti non hanno mostrato progressione del danno strutturale definita attraverso una modifica del mTSS di 0,5 o meno rispetto al valore basale.</w:delText>
        </w:r>
      </w:del>
    </w:p>
    <w:p w:rsidR="006224C2" w:rsidRPr="00295E71" w14:paraId="50DB5580" w14:textId="77777777">
      <w:pPr>
        <w:pStyle w:val="BodyText"/>
        <w:tabs>
          <w:tab w:val="left" w:pos="567"/>
        </w:tabs>
        <w:rPr>
          <w:del w:id="2859" w:author="AbbVie14" w:date="2025-05-09T10:30:00Z"/>
        </w:rPr>
      </w:pPr>
      <w:del w:id="2860" w:author="AbbVie14" w:date="2025-05-09T10:30:00Z">
        <w:r w:rsidRPr="00295E71">
          <w:delText>A 10 anni, 79 pazienti su 207 originariamente trattati con Humira 40 mg a settimane alterne sono stati valutati radiologicamente. Di questi, 40 pazienti non hanno dimostrato una progressione del danno strutturale definito da un cambiamento del mTSS di 0,5 o minore dal valore basale.</w:delText>
        </w:r>
      </w:del>
    </w:p>
    <w:p w:rsidR="006224C2" w:rsidRPr="00295E71" w14:paraId="096BF615" w14:textId="77777777">
      <w:pPr>
        <w:rPr>
          <w:del w:id="2861" w:author="AbbVie14" w:date="2025-05-09T10:30:00Z"/>
          <w:b/>
          <w:bCs/>
          <w:sz w:val="22"/>
          <w:szCs w:val="22"/>
        </w:rPr>
      </w:pPr>
    </w:p>
    <w:p w:rsidR="006224C2" w:rsidRPr="00295E71" w14:paraId="0DCC2A4C" w14:textId="77777777">
      <w:pPr>
        <w:pStyle w:val="Heading5"/>
        <w:keepNext w:val="0"/>
        <w:tabs>
          <w:tab w:val="left" w:pos="567"/>
        </w:tabs>
        <w:rPr>
          <w:del w:id="2862" w:author="AbbVie14" w:date="2025-05-09T10:30:00Z"/>
          <w:lang w:val="it-IT"/>
        </w:rPr>
      </w:pPr>
      <w:del w:id="2863" w:author="AbbVie14" w:date="2025-05-09T10:30:00Z">
        <w:r w:rsidRPr="00295E71">
          <w:rPr>
            <w:lang w:val="it-IT"/>
          </w:rPr>
          <w:delText xml:space="preserve">Tabella </w:delText>
        </w:r>
      </w:del>
      <w:del w:id="2864" w:author="AbbVie14" w:date="2025-05-09T10:30:00Z">
        <w:r w:rsidR="000203FD">
          <w:rPr>
            <w:lang w:val="it-IT"/>
          </w:rPr>
          <w:delText>10</w:delText>
        </w:r>
      </w:del>
    </w:p>
    <w:p w:rsidR="006224C2" w:rsidRPr="00295E71" w14:paraId="6C7F4E98" w14:textId="77777777">
      <w:pPr>
        <w:pStyle w:val="Heading5"/>
        <w:keepNext w:val="0"/>
        <w:tabs>
          <w:tab w:val="left" w:pos="567"/>
        </w:tabs>
        <w:rPr>
          <w:del w:id="2865" w:author="AbbVie14" w:date="2025-05-09T10:30:00Z"/>
          <w:lang w:val="it-IT"/>
        </w:rPr>
      </w:pPr>
      <w:del w:id="2866" w:author="AbbVie14" w:date="2025-05-09T10:30:00Z">
        <w:r w:rsidRPr="00295E71">
          <w:rPr>
            <w:lang w:val="it-IT"/>
          </w:rPr>
          <w:delText>Variazione radiografica media dopo 12 mesi nello studio AR III</w:delText>
        </w:r>
      </w:del>
    </w:p>
    <w:p w:rsidR="006224C2" w:rsidRPr="00295E71" w14:paraId="6AF704C4" w14:textId="77777777">
      <w:pPr>
        <w:jc w:val="both"/>
        <w:rPr>
          <w:del w:id="2867" w:author="AbbVie14" w:date="2025-05-09T10:30:00Z"/>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1430"/>
        <w:gridCol w:w="1790"/>
        <w:gridCol w:w="2000"/>
        <w:gridCol w:w="1548"/>
      </w:tblGrid>
      <w:tr w14:paraId="47F07C10" w14:textId="77777777">
        <w:tblPrEx>
          <w:tblW w:w="0" w:type="auto"/>
          <w:tblInd w:w="108" w:type="dxa"/>
          <w:tblLook w:val="0000"/>
        </w:tblPrEx>
        <w:trPr>
          <w:del w:id="2868" w:author="AbbVie14" w:date="2025-05-09T10:30:00Z"/>
        </w:trPr>
        <w:tc>
          <w:tcPr>
            <w:tcW w:w="1980" w:type="dxa"/>
            <w:tcBorders>
              <w:top w:val="single" w:sz="4" w:space="0" w:color="auto"/>
              <w:left w:val="single" w:sz="4" w:space="0" w:color="auto"/>
              <w:bottom w:val="single" w:sz="4" w:space="0" w:color="auto"/>
              <w:right w:val="single" w:sz="4" w:space="0" w:color="auto"/>
            </w:tcBorders>
          </w:tcPr>
          <w:p w:rsidR="006224C2" w:rsidRPr="00295E71" w14:paraId="217ED49B" w14:textId="77777777">
            <w:pPr>
              <w:jc w:val="both"/>
              <w:rPr>
                <w:del w:id="2869" w:author="AbbVie14" w:date="2025-05-09T10:30:00Z"/>
                <w:sz w:val="22"/>
                <w:szCs w:val="22"/>
              </w:rPr>
            </w:pPr>
          </w:p>
        </w:tc>
        <w:tc>
          <w:tcPr>
            <w:tcW w:w="1430" w:type="dxa"/>
            <w:tcBorders>
              <w:top w:val="single" w:sz="4" w:space="0" w:color="auto"/>
              <w:left w:val="single" w:sz="4" w:space="0" w:color="auto"/>
              <w:bottom w:val="single" w:sz="4" w:space="0" w:color="auto"/>
              <w:right w:val="single" w:sz="4" w:space="0" w:color="auto"/>
            </w:tcBorders>
          </w:tcPr>
          <w:p w:rsidR="006224C2" w:rsidRPr="00295E71" w14:paraId="19AF0C76" w14:textId="77777777">
            <w:pPr>
              <w:jc w:val="both"/>
              <w:rPr>
                <w:del w:id="2870" w:author="AbbVie14" w:date="2025-05-09T10:30:00Z"/>
                <w:sz w:val="22"/>
                <w:szCs w:val="22"/>
              </w:rPr>
            </w:pPr>
            <w:del w:id="2871" w:author="AbbVie14" w:date="2025-05-09T10:30:00Z">
              <w:r w:rsidRPr="00295E71">
                <w:rPr>
                  <w:sz w:val="22"/>
                  <w:szCs w:val="22"/>
                </w:rPr>
                <w:delText>Placebo/</w:delText>
              </w:r>
            </w:del>
          </w:p>
          <w:p w:rsidR="006224C2" w:rsidRPr="00295E71" w14:paraId="6B7DCFA6" w14:textId="77777777">
            <w:pPr>
              <w:jc w:val="both"/>
              <w:rPr>
                <w:del w:id="2872" w:author="AbbVie14" w:date="2025-05-09T10:30:00Z"/>
                <w:sz w:val="22"/>
                <w:szCs w:val="22"/>
                <w:vertAlign w:val="superscript"/>
              </w:rPr>
            </w:pPr>
            <w:del w:id="2873" w:author="AbbVie14" w:date="2025-05-09T10:30:00Z">
              <w:r w:rsidRPr="00295E71">
                <w:rPr>
                  <w:sz w:val="22"/>
                  <w:szCs w:val="22"/>
                </w:rPr>
                <w:delText>MTX</w:delText>
              </w:r>
            </w:del>
            <w:del w:id="2874" w:author="AbbVie14" w:date="2025-05-09T10:30:00Z">
              <w:r w:rsidRPr="00295E71">
                <w:rPr>
                  <w:sz w:val="22"/>
                  <w:szCs w:val="22"/>
                  <w:vertAlign w:val="superscript"/>
                </w:rPr>
                <w:delText>a</w:delText>
              </w:r>
            </w:del>
          </w:p>
        </w:tc>
        <w:tc>
          <w:tcPr>
            <w:tcW w:w="1790" w:type="dxa"/>
            <w:tcBorders>
              <w:top w:val="single" w:sz="4" w:space="0" w:color="auto"/>
              <w:left w:val="single" w:sz="4" w:space="0" w:color="auto"/>
              <w:bottom w:val="single" w:sz="4" w:space="0" w:color="auto"/>
              <w:right w:val="single" w:sz="4" w:space="0" w:color="auto"/>
            </w:tcBorders>
          </w:tcPr>
          <w:p w:rsidR="006224C2" w:rsidRPr="00295E71" w14:paraId="549409C4" w14:textId="77777777">
            <w:pPr>
              <w:jc w:val="both"/>
              <w:rPr>
                <w:del w:id="2875" w:author="AbbVie14" w:date="2025-05-09T10:30:00Z"/>
                <w:sz w:val="22"/>
                <w:szCs w:val="22"/>
              </w:rPr>
            </w:pPr>
            <w:del w:id="2876" w:author="AbbVie14" w:date="2025-05-09T10:30:00Z">
              <w:r w:rsidRPr="00295E71">
                <w:rPr>
                  <w:sz w:val="22"/>
                  <w:szCs w:val="22"/>
                </w:rPr>
                <w:delText>Humira/MTX</w:delText>
              </w:r>
            </w:del>
          </w:p>
          <w:p w:rsidR="006224C2" w:rsidRPr="00295E71" w14:paraId="4E4784C9" w14:textId="77777777">
            <w:pPr>
              <w:jc w:val="both"/>
              <w:rPr>
                <w:del w:id="2877" w:author="AbbVie14" w:date="2025-05-09T10:30:00Z"/>
                <w:sz w:val="22"/>
                <w:szCs w:val="22"/>
              </w:rPr>
            </w:pPr>
            <w:del w:id="2878" w:author="AbbVie14" w:date="2025-05-09T10:30:00Z">
              <w:r w:rsidRPr="00295E71">
                <w:rPr>
                  <w:sz w:val="22"/>
                  <w:szCs w:val="22"/>
                </w:rPr>
                <w:delText>40 mg a settimane alterne</w:delText>
              </w:r>
            </w:del>
          </w:p>
        </w:tc>
        <w:tc>
          <w:tcPr>
            <w:tcW w:w="2000" w:type="dxa"/>
            <w:tcBorders>
              <w:top w:val="single" w:sz="4" w:space="0" w:color="auto"/>
              <w:left w:val="single" w:sz="4" w:space="0" w:color="auto"/>
              <w:bottom w:val="single" w:sz="4" w:space="0" w:color="auto"/>
              <w:right w:val="single" w:sz="4" w:space="0" w:color="auto"/>
            </w:tcBorders>
          </w:tcPr>
          <w:p w:rsidR="006224C2" w:rsidRPr="00295E71" w14:paraId="28BDF208" w14:textId="77777777">
            <w:pPr>
              <w:jc w:val="both"/>
              <w:rPr>
                <w:del w:id="2879" w:author="AbbVie14" w:date="2025-05-09T10:30:00Z"/>
                <w:sz w:val="22"/>
                <w:szCs w:val="22"/>
              </w:rPr>
            </w:pPr>
            <w:del w:id="2880" w:author="AbbVie14" w:date="2025-05-09T10:30:00Z">
              <w:r w:rsidRPr="00295E71">
                <w:rPr>
                  <w:sz w:val="22"/>
                  <w:szCs w:val="22"/>
                </w:rPr>
                <w:delText>Placebo/MTX-Humira/MTX (intervallo di confidenza 95%</w:delText>
              </w:r>
            </w:del>
            <w:del w:id="2881" w:author="AbbVie14" w:date="2025-05-09T10:30:00Z">
              <w:r w:rsidRPr="00295E71">
                <w:rPr>
                  <w:sz w:val="22"/>
                  <w:szCs w:val="22"/>
                  <w:vertAlign w:val="superscript"/>
                </w:rPr>
                <w:delText>b</w:delText>
              </w:r>
            </w:del>
            <w:del w:id="2882" w:author="AbbVie14" w:date="2025-05-09T10:30:00Z">
              <w:r w:rsidRPr="00295E71">
                <w:rPr>
                  <w:sz w:val="22"/>
                  <w:szCs w:val="22"/>
                </w:rPr>
                <w:delText>)</w:delText>
              </w:r>
            </w:del>
          </w:p>
        </w:tc>
        <w:tc>
          <w:tcPr>
            <w:tcW w:w="1548" w:type="dxa"/>
            <w:tcBorders>
              <w:top w:val="single" w:sz="4" w:space="0" w:color="auto"/>
              <w:left w:val="single" w:sz="4" w:space="0" w:color="auto"/>
              <w:bottom w:val="single" w:sz="4" w:space="0" w:color="auto"/>
              <w:right w:val="single" w:sz="4" w:space="0" w:color="auto"/>
            </w:tcBorders>
          </w:tcPr>
          <w:p w:rsidR="006224C2" w:rsidRPr="00295E71" w14:paraId="19FADCAC" w14:textId="77777777">
            <w:pPr>
              <w:jc w:val="both"/>
              <w:rPr>
                <w:del w:id="2883" w:author="AbbVie14" w:date="2025-05-09T10:30:00Z"/>
                <w:sz w:val="22"/>
                <w:szCs w:val="22"/>
              </w:rPr>
            </w:pPr>
            <w:del w:id="2884" w:author="AbbVie14" w:date="2025-05-09T10:30:00Z">
              <w:r w:rsidRPr="00295E71">
                <w:rPr>
                  <w:sz w:val="22"/>
                  <w:szCs w:val="22"/>
                </w:rPr>
                <w:delText>Valore di p</w:delText>
              </w:r>
            </w:del>
          </w:p>
        </w:tc>
      </w:tr>
      <w:tr w14:paraId="5AE20A94" w14:textId="77777777">
        <w:tblPrEx>
          <w:tblW w:w="0" w:type="auto"/>
          <w:tblInd w:w="108" w:type="dxa"/>
          <w:tblLook w:val="0000"/>
        </w:tblPrEx>
        <w:trPr>
          <w:del w:id="2885" w:author="AbbVie14" w:date="2025-05-09T10:30:00Z"/>
        </w:trPr>
        <w:tc>
          <w:tcPr>
            <w:tcW w:w="1980" w:type="dxa"/>
            <w:tcBorders>
              <w:top w:val="single" w:sz="4" w:space="0" w:color="auto"/>
              <w:left w:val="single" w:sz="4" w:space="0" w:color="auto"/>
              <w:bottom w:val="single" w:sz="4" w:space="0" w:color="auto"/>
              <w:right w:val="single" w:sz="4" w:space="0" w:color="auto"/>
            </w:tcBorders>
          </w:tcPr>
          <w:p w:rsidR="006224C2" w:rsidRPr="00295E71" w14:paraId="6FD459E3" w14:textId="77777777">
            <w:pPr>
              <w:jc w:val="both"/>
              <w:rPr>
                <w:del w:id="2886" w:author="AbbVie14" w:date="2025-05-09T10:30:00Z"/>
                <w:sz w:val="22"/>
                <w:szCs w:val="22"/>
              </w:rPr>
            </w:pPr>
            <w:del w:id="2887" w:author="AbbVie14" w:date="2025-05-09T10:30:00Z">
              <w:r w:rsidRPr="00295E71">
                <w:rPr>
                  <w:sz w:val="22"/>
                  <w:szCs w:val="22"/>
                </w:rPr>
                <w:delText>Indice Totale di Sharp</w:delText>
              </w:r>
            </w:del>
          </w:p>
        </w:tc>
        <w:tc>
          <w:tcPr>
            <w:tcW w:w="1430" w:type="dxa"/>
            <w:tcBorders>
              <w:top w:val="single" w:sz="4" w:space="0" w:color="auto"/>
              <w:left w:val="single" w:sz="4" w:space="0" w:color="auto"/>
              <w:bottom w:val="single" w:sz="4" w:space="0" w:color="auto"/>
              <w:right w:val="single" w:sz="4" w:space="0" w:color="auto"/>
            </w:tcBorders>
          </w:tcPr>
          <w:p w:rsidR="006224C2" w:rsidRPr="00295E71" w14:paraId="40893EC5" w14:textId="77777777">
            <w:pPr>
              <w:jc w:val="both"/>
              <w:rPr>
                <w:del w:id="2888" w:author="AbbVie14" w:date="2025-05-09T10:30:00Z"/>
                <w:sz w:val="22"/>
                <w:szCs w:val="22"/>
              </w:rPr>
            </w:pPr>
            <w:del w:id="2889" w:author="AbbVie14" w:date="2025-05-09T10:30:00Z">
              <w:r w:rsidRPr="00295E71">
                <w:rPr>
                  <w:sz w:val="22"/>
                  <w:szCs w:val="22"/>
                </w:rPr>
                <w:delText>2,7</w:delText>
              </w:r>
            </w:del>
          </w:p>
        </w:tc>
        <w:tc>
          <w:tcPr>
            <w:tcW w:w="1790" w:type="dxa"/>
            <w:tcBorders>
              <w:top w:val="single" w:sz="4" w:space="0" w:color="auto"/>
              <w:left w:val="single" w:sz="4" w:space="0" w:color="auto"/>
              <w:bottom w:val="single" w:sz="4" w:space="0" w:color="auto"/>
              <w:right w:val="single" w:sz="4" w:space="0" w:color="auto"/>
            </w:tcBorders>
          </w:tcPr>
          <w:p w:rsidR="006224C2" w:rsidRPr="00295E71" w14:paraId="6C39D538" w14:textId="77777777">
            <w:pPr>
              <w:jc w:val="both"/>
              <w:rPr>
                <w:del w:id="2890" w:author="AbbVie14" w:date="2025-05-09T10:30:00Z"/>
                <w:sz w:val="22"/>
                <w:szCs w:val="22"/>
              </w:rPr>
            </w:pPr>
            <w:del w:id="2891" w:author="AbbVie14" w:date="2025-05-09T10:30:00Z">
              <w:r w:rsidRPr="00295E71">
                <w:rPr>
                  <w:sz w:val="22"/>
                  <w:szCs w:val="22"/>
                </w:rPr>
                <w:delText>0,1</w:delText>
              </w:r>
            </w:del>
          </w:p>
        </w:tc>
        <w:tc>
          <w:tcPr>
            <w:tcW w:w="2000" w:type="dxa"/>
            <w:tcBorders>
              <w:top w:val="single" w:sz="4" w:space="0" w:color="auto"/>
              <w:left w:val="single" w:sz="4" w:space="0" w:color="auto"/>
              <w:bottom w:val="single" w:sz="4" w:space="0" w:color="auto"/>
              <w:right w:val="single" w:sz="4" w:space="0" w:color="auto"/>
            </w:tcBorders>
          </w:tcPr>
          <w:p w:rsidR="006224C2" w:rsidRPr="00295E71" w14:paraId="01B5B464" w14:textId="77777777">
            <w:pPr>
              <w:jc w:val="both"/>
              <w:rPr>
                <w:del w:id="2892" w:author="AbbVie14" w:date="2025-05-09T10:30:00Z"/>
                <w:sz w:val="22"/>
                <w:szCs w:val="22"/>
              </w:rPr>
            </w:pPr>
            <w:del w:id="2893" w:author="AbbVie14" w:date="2025-05-09T10:30:00Z">
              <w:r w:rsidRPr="00295E71">
                <w:rPr>
                  <w:sz w:val="22"/>
                  <w:szCs w:val="22"/>
                </w:rPr>
                <w:delText xml:space="preserve">2,6 (1,4-3,8) </w:delText>
              </w:r>
            </w:del>
          </w:p>
        </w:tc>
        <w:tc>
          <w:tcPr>
            <w:tcW w:w="1548" w:type="dxa"/>
            <w:tcBorders>
              <w:top w:val="single" w:sz="4" w:space="0" w:color="auto"/>
              <w:left w:val="single" w:sz="4" w:space="0" w:color="auto"/>
              <w:bottom w:val="single" w:sz="4" w:space="0" w:color="auto"/>
              <w:right w:val="single" w:sz="4" w:space="0" w:color="auto"/>
            </w:tcBorders>
          </w:tcPr>
          <w:p w:rsidR="006224C2" w:rsidRPr="00295E71" w14:paraId="32D61B4C" w14:textId="77777777">
            <w:pPr>
              <w:jc w:val="both"/>
              <w:rPr>
                <w:del w:id="2894" w:author="AbbVie14" w:date="2025-05-09T10:30:00Z"/>
                <w:sz w:val="22"/>
                <w:szCs w:val="22"/>
                <w:vertAlign w:val="superscript"/>
              </w:rPr>
            </w:pPr>
            <w:del w:id="2895" w:author="AbbVie14" w:date="2025-05-09T10:30:00Z">
              <w:r w:rsidRPr="00295E71">
                <w:rPr>
                  <w:sz w:val="22"/>
                  <w:szCs w:val="22"/>
                </w:rPr>
                <w:delText>&lt;0,001</w:delText>
              </w:r>
            </w:del>
            <w:del w:id="2896" w:author="AbbVie14" w:date="2025-05-09T10:30:00Z">
              <w:r w:rsidRPr="00295E71">
                <w:rPr>
                  <w:sz w:val="22"/>
                  <w:szCs w:val="22"/>
                  <w:vertAlign w:val="superscript"/>
                </w:rPr>
                <w:delText>c</w:delText>
              </w:r>
            </w:del>
          </w:p>
        </w:tc>
      </w:tr>
      <w:tr w14:paraId="1F5E27E5" w14:textId="77777777">
        <w:tblPrEx>
          <w:tblW w:w="0" w:type="auto"/>
          <w:tblInd w:w="108" w:type="dxa"/>
          <w:tblLook w:val="0000"/>
        </w:tblPrEx>
        <w:trPr>
          <w:del w:id="2897" w:author="AbbVie14" w:date="2025-05-09T10:30:00Z"/>
        </w:trPr>
        <w:tc>
          <w:tcPr>
            <w:tcW w:w="1980" w:type="dxa"/>
            <w:tcBorders>
              <w:top w:val="single" w:sz="4" w:space="0" w:color="auto"/>
              <w:left w:val="single" w:sz="4" w:space="0" w:color="auto"/>
              <w:bottom w:val="single" w:sz="4" w:space="0" w:color="auto"/>
              <w:right w:val="single" w:sz="4" w:space="0" w:color="auto"/>
            </w:tcBorders>
          </w:tcPr>
          <w:p w:rsidR="006224C2" w:rsidRPr="00295E71" w14:paraId="2CBCA3B0" w14:textId="77777777">
            <w:pPr>
              <w:jc w:val="both"/>
              <w:rPr>
                <w:del w:id="2898" w:author="AbbVie14" w:date="2025-05-09T10:30:00Z"/>
                <w:sz w:val="22"/>
                <w:szCs w:val="22"/>
              </w:rPr>
            </w:pPr>
            <w:del w:id="2899" w:author="AbbVie14" w:date="2025-05-09T10:30:00Z">
              <w:r w:rsidRPr="00295E71">
                <w:rPr>
                  <w:sz w:val="22"/>
                  <w:szCs w:val="22"/>
                </w:rPr>
                <w:delText>Indice di erosione</w:delText>
              </w:r>
            </w:del>
          </w:p>
        </w:tc>
        <w:tc>
          <w:tcPr>
            <w:tcW w:w="1430" w:type="dxa"/>
            <w:tcBorders>
              <w:top w:val="single" w:sz="4" w:space="0" w:color="auto"/>
              <w:left w:val="single" w:sz="4" w:space="0" w:color="auto"/>
              <w:bottom w:val="single" w:sz="4" w:space="0" w:color="auto"/>
              <w:right w:val="single" w:sz="4" w:space="0" w:color="auto"/>
            </w:tcBorders>
          </w:tcPr>
          <w:p w:rsidR="006224C2" w:rsidRPr="00295E71" w14:paraId="5BE05B32" w14:textId="77777777">
            <w:pPr>
              <w:jc w:val="both"/>
              <w:rPr>
                <w:del w:id="2900" w:author="AbbVie14" w:date="2025-05-09T10:30:00Z"/>
                <w:sz w:val="22"/>
                <w:szCs w:val="22"/>
              </w:rPr>
            </w:pPr>
            <w:del w:id="2901" w:author="AbbVie14" w:date="2025-05-09T10:30:00Z">
              <w:r w:rsidRPr="00295E71">
                <w:rPr>
                  <w:sz w:val="22"/>
                  <w:szCs w:val="22"/>
                </w:rPr>
                <w:delText>1,6</w:delText>
              </w:r>
            </w:del>
          </w:p>
        </w:tc>
        <w:tc>
          <w:tcPr>
            <w:tcW w:w="1790" w:type="dxa"/>
            <w:tcBorders>
              <w:top w:val="single" w:sz="4" w:space="0" w:color="auto"/>
              <w:left w:val="single" w:sz="4" w:space="0" w:color="auto"/>
              <w:bottom w:val="single" w:sz="4" w:space="0" w:color="auto"/>
              <w:right w:val="single" w:sz="4" w:space="0" w:color="auto"/>
            </w:tcBorders>
          </w:tcPr>
          <w:p w:rsidR="006224C2" w:rsidRPr="00295E71" w14:paraId="49177936" w14:textId="77777777">
            <w:pPr>
              <w:jc w:val="both"/>
              <w:rPr>
                <w:del w:id="2902" w:author="AbbVie14" w:date="2025-05-09T10:30:00Z"/>
                <w:sz w:val="22"/>
                <w:szCs w:val="22"/>
              </w:rPr>
            </w:pPr>
            <w:del w:id="2903" w:author="AbbVie14" w:date="2025-05-09T10:30:00Z">
              <w:r w:rsidRPr="00295E71">
                <w:rPr>
                  <w:sz w:val="22"/>
                  <w:szCs w:val="22"/>
                </w:rPr>
                <w:delText>0,0</w:delText>
              </w:r>
            </w:del>
          </w:p>
        </w:tc>
        <w:tc>
          <w:tcPr>
            <w:tcW w:w="2000" w:type="dxa"/>
            <w:tcBorders>
              <w:top w:val="single" w:sz="4" w:space="0" w:color="auto"/>
              <w:left w:val="single" w:sz="4" w:space="0" w:color="auto"/>
              <w:bottom w:val="single" w:sz="4" w:space="0" w:color="auto"/>
              <w:right w:val="single" w:sz="4" w:space="0" w:color="auto"/>
            </w:tcBorders>
          </w:tcPr>
          <w:p w:rsidR="006224C2" w:rsidRPr="00295E71" w14:paraId="2491E39C" w14:textId="77777777">
            <w:pPr>
              <w:jc w:val="both"/>
              <w:rPr>
                <w:del w:id="2904" w:author="AbbVie14" w:date="2025-05-09T10:30:00Z"/>
                <w:sz w:val="22"/>
                <w:szCs w:val="22"/>
              </w:rPr>
            </w:pPr>
            <w:del w:id="2905" w:author="AbbVie14" w:date="2025-05-09T10:30:00Z">
              <w:r w:rsidRPr="00295E71">
                <w:rPr>
                  <w:sz w:val="22"/>
                  <w:szCs w:val="22"/>
                </w:rPr>
                <w:delText>1,6 (0,9-2,2)</w:delText>
              </w:r>
            </w:del>
          </w:p>
        </w:tc>
        <w:tc>
          <w:tcPr>
            <w:tcW w:w="1548" w:type="dxa"/>
            <w:tcBorders>
              <w:top w:val="single" w:sz="4" w:space="0" w:color="auto"/>
              <w:left w:val="single" w:sz="4" w:space="0" w:color="auto"/>
              <w:bottom w:val="single" w:sz="4" w:space="0" w:color="auto"/>
              <w:right w:val="single" w:sz="4" w:space="0" w:color="auto"/>
            </w:tcBorders>
          </w:tcPr>
          <w:p w:rsidR="006224C2" w:rsidRPr="00295E71" w14:paraId="0BD5AD18" w14:textId="77777777">
            <w:pPr>
              <w:jc w:val="both"/>
              <w:rPr>
                <w:del w:id="2906" w:author="AbbVie14" w:date="2025-05-09T10:30:00Z"/>
                <w:sz w:val="22"/>
                <w:szCs w:val="22"/>
              </w:rPr>
            </w:pPr>
            <w:del w:id="2907" w:author="AbbVie14" w:date="2025-05-09T10:30:00Z">
              <w:r w:rsidRPr="00295E71">
                <w:rPr>
                  <w:sz w:val="22"/>
                  <w:szCs w:val="22"/>
                </w:rPr>
                <w:delText>&lt;0,001</w:delText>
              </w:r>
            </w:del>
          </w:p>
        </w:tc>
      </w:tr>
      <w:tr w14:paraId="376E9FF8" w14:textId="77777777">
        <w:tblPrEx>
          <w:tblW w:w="0" w:type="auto"/>
          <w:tblInd w:w="108" w:type="dxa"/>
          <w:tblLook w:val="0000"/>
        </w:tblPrEx>
        <w:trPr>
          <w:del w:id="2908" w:author="AbbVie14" w:date="2025-05-09T10:30:00Z"/>
        </w:trPr>
        <w:tc>
          <w:tcPr>
            <w:tcW w:w="1980" w:type="dxa"/>
            <w:tcBorders>
              <w:top w:val="single" w:sz="4" w:space="0" w:color="auto"/>
              <w:left w:val="single" w:sz="4" w:space="0" w:color="auto"/>
              <w:bottom w:val="single" w:sz="4" w:space="0" w:color="auto"/>
              <w:right w:val="single" w:sz="4" w:space="0" w:color="auto"/>
            </w:tcBorders>
          </w:tcPr>
          <w:p w:rsidR="006224C2" w:rsidRPr="00295E71" w14:paraId="7A2D3C2D" w14:textId="77777777">
            <w:pPr>
              <w:jc w:val="both"/>
              <w:rPr>
                <w:del w:id="2909" w:author="AbbVie14" w:date="2025-05-09T10:30:00Z"/>
                <w:sz w:val="22"/>
                <w:szCs w:val="22"/>
              </w:rPr>
            </w:pPr>
            <w:del w:id="2910" w:author="AbbVie14" w:date="2025-05-09T10:30:00Z">
              <w:r w:rsidRPr="00295E71">
                <w:rPr>
                  <w:sz w:val="22"/>
                  <w:szCs w:val="22"/>
                </w:rPr>
                <w:delText>Indice JSN</w:delText>
              </w:r>
            </w:del>
            <w:del w:id="2911" w:author="AbbVie14" w:date="2025-05-09T10:30:00Z">
              <w:r w:rsidRPr="00295E71">
                <w:rPr>
                  <w:sz w:val="22"/>
                  <w:szCs w:val="22"/>
                  <w:vertAlign w:val="superscript"/>
                </w:rPr>
                <w:delText>d</w:delText>
              </w:r>
            </w:del>
          </w:p>
        </w:tc>
        <w:tc>
          <w:tcPr>
            <w:tcW w:w="1430" w:type="dxa"/>
            <w:tcBorders>
              <w:top w:val="single" w:sz="4" w:space="0" w:color="auto"/>
              <w:left w:val="single" w:sz="4" w:space="0" w:color="auto"/>
              <w:bottom w:val="single" w:sz="4" w:space="0" w:color="auto"/>
              <w:right w:val="single" w:sz="4" w:space="0" w:color="auto"/>
            </w:tcBorders>
          </w:tcPr>
          <w:p w:rsidR="006224C2" w:rsidRPr="00295E71" w14:paraId="346A8F32" w14:textId="77777777">
            <w:pPr>
              <w:jc w:val="both"/>
              <w:rPr>
                <w:del w:id="2912" w:author="AbbVie14" w:date="2025-05-09T10:30:00Z"/>
                <w:sz w:val="22"/>
                <w:szCs w:val="22"/>
              </w:rPr>
            </w:pPr>
            <w:del w:id="2913" w:author="AbbVie14" w:date="2025-05-09T10:30:00Z">
              <w:r w:rsidRPr="00295E71">
                <w:rPr>
                  <w:sz w:val="22"/>
                  <w:szCs w:val="22"/>
                </w:rPr>
                <w:delText>1,0</w:delText>
              </w:r>
            </w:del>
          </w:p>
        </w:tc>
        <w:tc>
          <w:tcPr>
            <w:tcW w:w="1790" w:type="dxa"/>
            <w:tcBorders>
              <w:top w:val="single" w:sz="4" w:space="0" w:color="auto"/>
              <w:left w:val="single" w:sz="4" w:space="0" w:color="auto"/>
              <w:bottom w:val="single" w:sz="4" w:space="0" w:color="auto"/>
              <w:right w:val="single" w:sz="4" w:space="0" w:color="auto"/>
            </w:tcBorders>
          </w:tcPr>
          <w:p w:rsidR="006224C2" w:rsidRPr="00295E71" w14:paraId="77044CF3" w14:textId="77777777">
            <w:pPr>
              <w:jc w:val="both"/>
              <w:rPr>
                <w:del w:id="2914" w:author="AbbVie14" w:date="2025-05-09T10:30:00Z"/>
                <w:sz w:val="22"/>
                <w:szCs w:val="22"/>
              </w:rPr>
            </w:pPr>
            <w:del w:id="2915" w:author="AbbVie14" w:date="2025-05-09T10:30:00Z">
              <w:r w:rsidRPr="00295E71">
                <w:rPr>
                  <w:sz w:val="22"/>
                  <w:szCs w:val="22"/>
                </w:rPr>
                <w:delText>0,1</w:delText>
              </w:r>
            </w:del>
          </w:p>
        </w:tc>
        <w:tc>
          <w:tcPr>
            <w:tcW w:w="2000" w:type="dxa"/>
            <w:tcBorders>
              <w:top w:val="single" w:sz="4" w:space="0" w:color="auto"/>
              <w:left w:val="single" w:sz="4" w:space="0" w:color="auto"/>
              <w:bottom w:val="single" w:sz="4" w:space="0" w:color="auto"/>
              <w:right w:val="single" w:sz="4" w:space="0" w:color="auto"/>
            </w:tcBorders>
          </w:tcPr>
          <w:p w:rsidR="006224C2" w:rsidRPr="00295E71" w14:paraId="7B08F3AB" w14:textId="77777777">
            <w:pPr>
              <w:jc w:val="both"/>
              <w:rPr>
                <w:del w:id="2916" w:author="AbbVie14" w:date="2025-05-09T10:30:00Z"/>
                <w:sz w:val="22"/>
                <w:szCs w:val="22"/>
              </w:rPr>
            </w:pPr>
            <w:del w:id="2917" w:author="AbbVie14" w:date="2025-05-09T10:30:00Z">
              <w:r w:rsidRPr="00295E71">
                <w:rPr>
                  <w:sz w:val="22"/>
                  <w:szCs w:val="22"/>
                </w:rPr>
                <w:delText>0,9 (0,3-1,4)</w:delText>
              </w:r>
            </w:del>
          </w:p>
        </w:tc>
        <w:tc>
          <w:tcPr>
            <w:tcW w:w="1548" w:type="dxa"/>
            <w:tcBorders>
              <w:top w:val="single" w:sz="4" w:space="0" w:color="auto"/>
              <w:left w:val="single" w:sz="4" w:space="0" w:color="auto"/>
              <w:bottom w:val="single" w:sz="4" w:space="0" w:color="auto"/>
              <w:right w:val="single" w:sz="4" w:space="0" w:color="auto"/>
            </w:tcBorders>
          </w:tcPr>
          <w:p w:rsidR="006224C2" w:rsidRPr="00295E71" w14:paraId="2178EED2" w14:textId="77777777">
            <w:pPr>
              <w:jc w:val="both"/>
              <w:rPr>
                <w:del w:id="2918" w:author="AbbVie14" w:date="2025-05-09T10:30:00Z"/>
                <w:sz w:val="22"/>
                <w:szCs w:val="22"/>
              </w:rPr>
            </w:pPr>
            <w:del w:id="2919" w:author="AbbVie14" w:date="2025-05-09T10:30:00Z">
              <w:r w:rsidRPr="00295E71">
                <w:rPr>
                  <w:sz w:val="22"/>
                  <w:szCs w:val="22"/>
                </w:rPr>
                <w:delText xml:space="preserve">  0,002</w:delText>
              </w:r>
            </w:del>
          </w:p>
        </w:tc>
      </w:tr>
    </w:tbl>
    <w:p w:rsidR="006224C2" w:rsidRPr="00295E71" w14:paraId="29FBB0FB" w14:textId="77777777">
      <w:pPr>
        <w:pStyle w:val="In-textfootnote"/>
        <w:keepNext w:val="0"/>
        <w:spacing w:line="240" w:lineRule="auto"/>
        <w:jc w:val="both"/>
        <w:rPr>
          <w:del w:id="2920" w:author="AbbVie14" w:date="2025-05-09T10:30:00Z"/>
          <w:rFonts w:ascii="Times New Roman" w:hAnsi="Times New Roman" w:cs="Times New Roman"/>
          <w:sz w:val="22"/>
          <w:szCs w:val="22"/>
          <w:lang w:val="it-IT"/>
        </w:rPr>
      </w:pPr>
      <w:del w:id="2921" w:author="AbbVie14" w:date="2025-05-09T10:30:00Z">
        <w:r w:rsidRPr="00295E71">
          <w:rPr>
            <w:rFonts w:ascii="Times New Roman" w:hAnsi="Times New Roman" w:cs="Times New Roman"/>
            <w:b/>
            <w:bCs/>
            <w:sz w:val="22"/>
            <w:szCs w:val="22"/>
            <w:vertAlign w:val="superscript"/>
            <w:lang w:val="it-IT"/>
          </w:rPr>
          <w:delText>a</w:delText>
        </w:r>
      </w:del>
      <w:del w:id="2922" w:author="AbbVie14" w:date="2025-05-09T10:30:00Z">
        <w:r w:rsidRPr="00295E71">
          <w:rPr>
            <w:rFonts w:ascii="Times New Roman" w:hAnsi="Times New Roman" w:cs="Times New Roman"/>
            <w:sz w:val="22"/>
            <w:szCs w:val="22"/>
            <w:lang w:val="it-IT"/>
          </w:rPr>
          <w:delText>metotressato</w:delText>
        </w:r>
      </w:del>
    </w:p>
    <w:p w:rsidR="006224C2" w:rsidRPr="00295E71" w14:paraId="37C15664" w14:textId="77777777">
      <w:pPr>
        <w:pStyle w:val="In-textfootnote"/>
        <w:keepNext w:val="0"/>
        <w:spacing w:line="240" w:lineRule="auto"/>
        <w:jc w:val="both"/>
        <w:rPr>
          <w:del w:id="2923" w:author="AbbVie14" w:date="2025-05-09T10:30:00Z"/>
          <w:rFonts w:ascii="Times New Roman" w:hAnsi="Times New Roman" w:cs="Times New Roman"/>
          <w:sz w:val="22"/>
          <w:szCs w:val="22"/>
          <w:lang w:val="it-IT"/>
        </w:rPr>
      </w:pPr>
      <w:del w:id="2924" w:author="AbbVie14" w:date="2025-05-09T10:30:00Z">
        <w:r w:rsidRPr="00295E71">
          <w:rPr>
            <w:rFonts w:ascii="Times New Roman" w:hAnsi="Times New Roman" w:cs="Times New Roman"/>
            <w:sz w:val="22"/>
            <w:szCs w:val="22"/>
            <w:vertAlign w:val="superscript"/>
            <w:lang w:val="it-IT"/>
          </w:rPr>
          <w:delText>b</w:delText>
        </w:r>
      </w:del>
      <w:del w:id="2925" w:author="AbbVie14" w:date="2025-05-09T10:30:00Z">
        <w:r w:rsidRPr="00295E71">
          <w:rPr>
            <w:rFonts w:ascii="Times New Roman" w:hAnsi="Times New Roman" w:cs="Times New Roman"/>
            <w:sz w:val="22"/>
            <w:szCs w:val="22"/>
            <w:lang w:val="it-IT"/>
          </w:rPr>
          <w:delText xml:space="preserve">Intervallo di confidenza del 95% per le differenze nelle variazioni degli indici tra metotressato e Humira. </w:delText>
        </w:r>
      </w:del>
    </w:p>
    <w:p w:rsidR="006224C2" w:rsidRPr="00295E71" w14:paraId="0F1BFF91" w14:textId="77777777">
      <w:pPr>
        <w:pStyle w:val="In-textfootnote"/>
        <w:keepNext w:val="0"/>
        <w:spacing w:line="240" w:lineRule="auto"/>
        <w:jc w:val="both"/>
        <w:rPr>
          <w:del w:id="2926" w:author="AbbVie14" w:date="2025-05-09T10:30:00Z"/>
          <w:rFonts w:ascii="Times New Roman" w:hAnsi="Times New Roman" w:cs="Times New Roman"/>
          <w:sz w:val="22"/>
          <w:szCs w:val="22"/>
          <w:lang w:val="it-IT"/>
        </w:rPr>
      </w:pPr>
      <w:del w:id="2927" w:author="AbbVie14" w:date="2025-05-09T10:30:00Z">
        <w:r w:rsidRPr="00295E71">
          <w:rPr>
            <w:rFonts w:ascii="Times New Roman" w:hAnsi="Times New Roman" w:cs="Times New Roman"/>
            <w:sz w:val="22"/>
            <w:szCs w:val="22"/>
            <w:vertAlign w:val="superscript"/>
            <w:lang w:val="it-IT"/>
          </w:rPr>
          <w:delText>c</w:delText>
        </w:r>
      </w:del>
      <w:del w:id="2928" w:author="AbbVie14" w:date="2025-05-09T10:30:00Z">
        <w:r w:rsidRPr="00295E71">
          <w:rPr>
            <w:rFonts w:ascii="Times New Roman" w:hAnsi="Times New Roman" w:cs="Times New Roman"/>
            <w:sz w:val="22"/>
            <w:szCs w:val="22"/>
            <w:lang w:val="it-IT"/>
          </w:rPr>
          <w:delText xml:space="preserve">Basato sull’analisi a ranghi. </w:delText>
        </w:r>
      </w:del>
    </w:p>
    <w:p w:rsidR="006224C2" w:rsidRPr="00295E71" w14:paraId="40280ADC" w14:textId="77777777">
      <w:pPr>
        <w:pStyle w:val="In-textfootnote"/>
        <w:keepNext w:val="0"/>
        <w:spacing w:line="240" w:lineRule="auto"/>
        <w:jc w:val="both"/>
        <w:rPr>
          <w:del w:id="2929" w:author="AbbVie14" w:date="2025-05-09T10:30:00Z"/>
          <w:rFonts w:ascii="Times New Roman" w:hAnsi="Times New Roman" w:cs="Times New Roman"/>
          <w:sz w:val="22"/>
          <w:szCs w:val="22"/>
          <w:lang w:val="it-IT"/>
        </w:rPr>
      </w:pPr>
      <w:del w:id="2930" w:author="AbbVie14" w:date="2025-05-09T10:30:00Z">
        <w:r w:rsidRPr="00295E71">
          <w:rPr>
            <w:rFonts w:ascii="Times New Roman" w:hAnsi="Times New Roman" w:cs="Times New Roman"/>
            <w:sz w:val="22"/>
            <w:szCs w:val="22"/>
            <w:vertAlign w:val="superscript"/>
            <w:lang w:val="it-IT"/>
          </w:rPr>
          <w:delText>d</w:delText>
        </w:r>
      </w:del>
      <w:del w:id="2931" w:author="AbbVie14" w:date="2025-05-09T10:30:00Z">
        <w:r w:rsidRPr="00295E71">
          <w:rPr>
            <w:rFonts w:ascii="Times New Roman" w:hAnsi="Times New Roman" w:cs="Times New Roman"/>
            <w:sz w:val="22"/>
            <w:szCs w:val="22"/>
            <w:lang w:val="it-IT"/>
          </w:rPr>
          <w:delText>Joint Space Narrowing (riduzione della rima articolare).</w:delText>
        </w:r>
      </w:del>
    </w:p>
    <w:p w:rsidR="006224C2" w:rsidRPr="00295E71" w14:paraId="5B3561B4" w14:textId="77777777">
      <w:pPr>
        <w:tabs>
          <w:tab w:val="left" w:pos="567"/>
        </w:tabs>
        <w:jc w:val="both"/>
        <w:rPr>
          <w:del w:id="2932" w:author="AbbVie14" w:date="2025-05-09T10:30:00Z"/>
          <w:sz w:val="22"/>
          <w:szCs w:val="22"/>
        </w:rPr>
      </w:pPr>
    </w:p>
    <w:p w:rsidR="006224C2" w:rsidRPr="00295E71" w14:paraId="29F210AE" w14:textId="77777777">
      <w:pPr>
        <w:tabs>
          <w:tab w:val="left" w:pos="567"/>
        </w:tabs>
        <w:jc w:val="both"/>
        <w:rPr>
          <w:del w:id="2933" w:author="AbbVie14" w:date="2025-05-09T10:30:00Z"/>
          <w:sz w:val="22"/>
          <w:szCs w:val="22"/>
        </w:rPr>
      </w:pPr>
      <w:del w:id="2934" w:author="AbbVie14" w:date="2025-05-09T10:30:00Z">
        <w:r w:rsidRPr="00295E71">
          <w:rPr>
            <w:sz w:val="22"/>
            <w:szCs w:val="22"/>
          </w:rPr>
          <w:delText xml:space="preserve">Nello studio AR V, il danno articolare strutturale è stato valutato radiograficamente ed è espresso in termini di variazione dell’Indice Totale di Sharp modificato (vedere Tabella </w:delText>
        </w:r>
      </w:del>
      <w:del w:id="2935" w:author="AbbVie14" w:date="2025-05-09T10:30:00Z">
        <w:r w:rsidRPr="00295E71" w:rsidR="00EC0066">
          <w:rPr>
            <w:sz w:val="22"/>
            <w:szCs w:val="22"/>
          </w:rPr>
          <w:delText>1</w:delText>
        </w:r>
      </w:del>
      <w:del w:id="2936" w:author="AbbVie14" w:date="2025-05-09T10:30:00Z">
        <w:r w:rsidR="000203FD">
          <w:rPr>
            <w:sz w:val="22"/>
            <w:szCs w:val="22"/>
          </w:rPr>
          <w:delText>1</w:delText>
        </w:r>
      </w:del>
      <w:del w:id="2937" w:author="AbbVie14" w:date="2025-05-09T10:30:00Z">
        <w:r w:rsidRPr="00295E71">
          <w:rPr>
            <w:sz w:val="22"/>
            <w:szCs w:val="22"/>
          </w:rPr>
          <w:delText>).</w:delText>
        </w:r>
      </w:del>
    </w:p>
    <w:p w:rsidR="006224C2" w:rsidRPr="00295E71" w14:paraId="4676B854" w14:textId="77777777">
      <w:pPr>
        <w:rPr>
          <w:del w:id="2938" w:author="AbbVie14" w:date="2025-05-09T10:30:00Z"/>
          <w:sz w:val="22"/>
          <w:szCs w:val="22"/>
        </w:rPr>
      </w:pPr>
    </w:p>
    <w:tbl>
      <w:tblPr>
        <w:tblW w:w="8910" w:type="dxa"/>
        <w:tblInd w:w="108" w:type="dxa"/>
        <w:tblLayout w:type="fixed"/>
        <w:tblLook w:val="0000"/>
      </w:tblPr>
      <w:tblGrid>
        <w:gridCol w:w="1430"/>
        <w:gridCol w:w="1540"/>
        <w:gridCol w:w="1482"/>
        <w:gridCol w:w="1488"/>
        <w:gridCol w:w="990"/>
        <w:gridCol w:w="990"/>
        <w:gridCol w:w="990"/>
      </w:tblGrid>
      <w:tr w14:paraId="2BDFE124" w14:textId="77777777">
        <w:tblPrEx>
          <w:tblW w:w="8910" w:type="dxa"/>
          <w:tblInd w:w="108" w:type="dxa"/>
          <w:tblLayout w:type="fixed"/>
          <w:tblLook w:val="0000"/>
        </w:tblPrEx>
        <w:trPr>
          <w:cantSplit/>
          <w:del w:id="2939" w:author="AbbVie14" w:date="2025-05-09T10:30:00Z"/>
        </w:trPr>
        <w:tc>
          <w:tcPr>
            <w:tcW w:w="8910" w:type="dxa"/>
            <w:gridSpan w:val="7"/>
            <w:tcBorders>
              <w:bottom w:val="single" w:sz="4" w:space="0" w:color="auto"/>
            </w:tcBorders>
          </w:tcPr>
          <w:p w:rsidR="006224C2" w:rsidRPr="00295E71" w14:paraId="538A558B" w14:textId="77777777">
            <w:pPr>
              <w:pStyle w:val="Heading5"/>
              <w:keepNext w:val="0"/>
              <w:rPr>
                <w:del w:id="2940" w:author="AbbVie14" w:date="2025-05-09T10:30:00Z"/>
                <w:lang w:val="it-IT"/>
              </w:rPr>
            </w:pPr>
            <w:del w:id="2941" w:author="AbbVie14" w:date="2025-05-09T10:30:00Z">
              <w:r w:rsidRPr="00295E71">
                <w:rPr>
                  <w:lang w:val="it-IT"/>
                </w:rPr>
                <w:br w:type="page"/>
                <w:delText xml:space="preserve">Tabella </w:delText>
              </w:r>
            </w:del>
            <w:del w:id="2942" w:author="AbbVie14" w:date="2025-05-09T10:30:00Z">
              <w:r w:rsidRPr="00295E71" w:rsidR="00EC0066">
                <w:rPr>
                  <w:lang w:val="it-IT"/>
                </w:rPr>
                <w:delText>1</w:delText>
              </w:r>
            </w:del>
            <w:del w:id="2943" w:author="AbbVie14" w:date="2025-05-09T10:30:00Z">
              <w:r w:rsidR="000203FD">
                <w:rPr>
                  <w:lang w:val="it-IT"/>
                </w:rPr>
                <w:delText>1</w:delText>
              </w:r>
            </w:del>
          </w:p>
          <w:p w:rsidR="006224C2" w:rsidRPr="00295E71" w14:paraId="7D0085F7" w14:textId="77777777">
            <w:pPr>
              <w:pStyle w:val="Heading5"/>
              <w:keepNext w:val="0"/>
              <w:rPr>
                <w:del w:id="2944" w:author="AbbVie14" w:date="2025-05-09T10:30:00Z"/>
                <w:lang w:val="it-IT"/>
              </w:rPr>
            </w:pPr>
            <w:del w:id="2945" w:author="AbbVie14" w:date="2025-05-09T10:30:00Z">
              <w:r w:rsidRPr="00295E71">
                <w:rPr>
                  <w:lang w:val="it-IT"/>
                </w:rPr>
                <w:delText>Variazioni radiografiche medie alla settimana 52 nello studio AR V</w:delText>
              </w:r>
            </w:del>
          </w:p>
          <w:p w:rsidR="006224C2" w:rsidRPr="00295E71" w14:paraId="18205815" w14:textId="77777777">
            <w:pPr>
              <w:jc w:val="both"/>
              <w:rPr>
                <w:del w:id="2946" w:author="AbbVie14" w:date="2025-05-09T10:30:00Z"/>
                <w:sz w:val="22"/>
                <w:szCs w:val="22"/>
              </w:rPr>
            </w:pPr>
          </w:p>
        </w:tc>
      </w:tr>
      <w:tr w14:paraId="6650D5AE" w14:textId="77777777">
        <w:tblPrEx>
          <w:tblW w:w="8910" w:type="dxa"/>
          <w:tblInd w:w="108" w:type="dxa"/>
          <w:tblLayout w:type="fixed"/>
          <w:tblLook w:val="0000"/>
        </w:tblPrEx>
        <w:trPr>
          <w:del w:id="2947" w:author="AbbVie14" w:date="2025-05-09T10:30:00Z"/>
        </w:trPr>
        <w:tc>
          <w:tcPr>
            <w:tcW w:w="1430" w:type="dxa"/>
            <w:tcBorders>
              <w:top w:val="single" w:sz="4" w:space="0" w:color="auto"/>
              <w:left w:val="single" w:sz="4" w:space="0" w:color="auto"/>
              <w:bottom w:val="single" w:sz="4" w:space="0" w:color="auto"/>
              <w:right w:val="single" w:sz="4" w:space="0" w:color="auto"/>
            </w:tcBorders>
            <w:vAlign w:val="center"/>
          </w:tcPr>
          <w:p w:rsidR="006224C2" w:rsidRPr="00295E71" w14:paraId="46CCEECE" w14:textId="77777777">
            <w:pPr>
              <w:pStyle w:val="EndnoteText"/>
              <w:tabs>
                <w:tab w:val="clear" w:pos="567"/>
              </w:tabs>
              <w:jc w:val="both"/>
              <w:rPr>
                <w:del w:id="2948" w:author="AbbVie14" w:date="2025-05-09T10:30:00Z"/>
                <w:lang w:val="it-IT" w:eastAsia="it-IT"/>
              </w:rPr>
            </w:pPr>
          </w:p>
        </w:tc>
        <w:tc>
          <w:tcPr>
            <w:tcW w:w="1540" w:type="dxa"/>
            <w:tcBorders>
              <w:top w:val="single" w:sz="4" w:space="0" w:color="auto"/>
              <w:left w:val="single" w:sz="4" w:space="0" w:color="auto"/>
              <w:bottom w:val="single" w:sz="4" w:space="0" w:color="auto"/>
              <w:right w:val="single" w:sz="4" w:space="0" w:color="auto"/>
            </w:tcBorders>
            <w:vAlign w:val="center"/>
          </w:tcPr>
          <w:p w:rsidR="006224C2" w:rsidRPr="00295E71" w14:paraId="3EF22EAD" w14:textId="77777777">
            <w:pPr>
              <w:jc w:val="both"/>
              <w:rPr>
                <w:del w:id="2949" w:author="AbbVie14" w:date="2025-05-09T10:30:00Z"/>
                <w:sz w:val="22"/>
                <w:szCs w:val="22"/>
              </w:rPr>
            </w:pPr>
            <w:del w:id="2950" w:author="AbbVie14" w:date="2025-05-09T10:30:00Z">
              <w:r w:rsidRPr="00295E71">
                <w:rPr>
                  <w:sz w:val="22"/>
                  <w:szCs w:val="22"/>
                </w:rPr>
                <w:delText>MTX</w:delText>
              </w:r>
            </w:del>
          </w:p>
          <w:p w:rsidR="006224C2" w:rsidRPr="00295E71" w14:paraId="6BF57484" w14:textId="77777777">
            <w:pPr>
              <w:jc w:val="both"/>
              <w:rPr>
                <w:del w:id="2951" w:author="AbbVie14" w:date="2025-05-09T10:30:00Z"/>
                <w:sz w:val="22"/>
                <w:szCs w:val="22"/>
              </w:rPr>
            </w:pPr>
            <w:del w:id="2952" w:author="AbbVie14" w:date="2025-05-09T10:30:00Z">
              <w:r w:rsidRPr="00295E71">
                <w:rPr>
                  <w:sz w:val="22"/>
                  <w:szCs w:val="22"/>
                </w:rPr>
                <w:delText>n=257</w:delText>
              </w:r>
            </w:del>
          </w:p>
          <w:p w:rsidR="006224C2" w:rsidRPr="00295E71" w14:paraId="4283EBB5" w14:textId="77777777">
            <w:pPr>
              <w:jc w:val="both"/>
              <w:rPr>
                <w:del w:id="2953" w:author="AbbVie14" w:date="2025-05-09T10:30:00Z"/>
                <w:sz w:val="22"/>
                <w:szCs w:val="22"/>
              </w:rPr>
            </w:pPr>
            <w:del w:id="2954" w:author="AbbVie14" w:date="2025-05-09T10:30:00Z">
              <w:r w:rsidRPr="00295E71">
                <w:rPr>
                  <w:sz w:val="22"/>
                  <w:szCs w:val="22"/>
                </w:rPr>
                <w:delText>(95% intervallo di confidenza)</w:delText>
              </w:r>
            </w:del>
          </w:p>
        </w:tc>
        <w:tc>
          <w:tcPr>
            <w:tcW w:w="1482" w:type="dxa"/>
            <w:tcBorders>
              <w:top w:val="single" w:sz="4" w:space="0" w:color="auto"/>
              <w:left w:val="single" w:sz="4" w:space="0" w:color="auto"/>
              <w:bottom w:val="single" w:sz="4" w:space="0" w:color="auto"/>
              <w:right w:val="single" w:sz="4" w:space="0" w:color="auto"/>
            </w:tcBorders>
            <w:vAlign w:val="center"/>
          </w:tcPr>
          <w:p w:rsidR="006224C2" w:rsidRPr="00295E71" w14:paraId="59F64D0D" w14:textId="77777777">
            <w:pPr>
              <w:jc w:val="both"/>
              <w:rPr>
                <w:del w:id="2955" w:author="AbbVie14" w:date="2025-05-09T10:30:00Z"/>
                <w:sz w:val="22"/>
                <w:szCs w:val="22"/>
              </w:rPr>
            </w:pPr>
            <w:del w:id="2956" w:author="AbbVie14" w:date="2025-05-09T10:30:00Z">
              <w:r w:rsidRPr="00295E71">
                <w:rPr>
                  <w:sz w:val="22"/>
                  <w:szCs w:val="22"/>
                </w:rPr>
                <w:delText>Humira</w:delText>
              </w:r>
            </w:del>
          </w:p>
          <w:p w:rsidR="006224C2" w:rsidRPr="00295E71" w14:paraId="58F6E4CE" w14:textId="77777777">
            <w:pPr>
              <w:pStyle w:val="EMEAFigureTitle"/>
              <w:jc w:val="both"/>
              <w:rPr>
                <w:del w:id="2957" w:author="AbbVie14" w:date="2025-05-09T10:30:00Z"/>
                <w:lang w:val="it-IT"/>
              </w:rPr>
            </w:pPr>
            <w:del w:id="2958" w:author="AbbVie14" w:date="2025-05-09T10:30:00Z">
              <w:r w:rsidRPr="00295E71">
                <w:rPr>
                  <w:lang w:val="it-IT"/>
                </w:rPr>
                <w:delText>n=274</w:delText>
              </w:r>
            </w:del>
          </w:p>
          <w:p w:rsidR="006224C2" w:rsidRPr="00295E71" w14:paraId="12B4A10F" w14:textId="77777777">
            <w:pPr>
              <w:jc w:val="both"/>
              <w:rPr>
                <w:del w:id="2959" w:author="AbbVie14" w:date="2025-05-09T10:30:00Z"/>
                <w:sz w:val="22"/>
                <w:szCs w:val="22"/>
              </w:rPr>
            </w:pPr>
            <w:del w:id="2960" w:author="AbbVie14" w:date="2025-05-09T10:30:00Z">
              <w:r w:rsidRPr="00295E71">
                <w:rPr>
                  <w:sz w:val="22"/>
                  <w:szCs w:val="22"/>
                </w:rPr>
                <w:delText>(95% intervallo di confidenza)</w:delText>
              </w:r>
            </w:del>
          </w:p>
        </w:tc>
        <w:tc>
          <w:tcPr>
            <w:tcW w:w="1488" w:type="dxa"/>
            <w:tcBorders>
              <w:top w:val="single" w:sz="4" w:space="0" w:color="auto"/>
              <w:left w:val="single" w:sz="4" w:space="0" w:color="auto"/>
              <w:bottom w:val="single" w:sz="4" w:space="0" w:color="auto"/>
              <w:right w:val="single" w:sz="4" w:space="0" w:color="auto"/>
            </w:tcBorders>
            <w:vAlign w:val="center"/>
          </w:tcPr>
          <w:p w:rsidR="006224C2" w:rsidRPr="00295E71" w14:paraId="36937758" w14:textId="77777777">
            <w:pPr>
              <w:jc w:val="both"/>
              <w:rPr>
                <w:del w:id="2961" w:author="AbbVie14" w:date="2025-05-09T10:30:00Z"/>
                <w:sz w:val="22"/>
                <w:szCs w:val="22"/>
              </w:rPr>
            </w:pPr>
            <w:del w:id="2962" w:author="AbbVie14" w:date="2025-05-09T10:30:00Z">
              <w:r w:rsidRPr="00295E71">
                <w:rPr>
                  <w:sz w:val="22"/>
                  <w:szCs w:val="22"/>
                </w:rPr>
                <w:delText>Humira/MTX</w:delText>
              </w:r>
            </w:del>
          </w:p>
          <w:p w:rsidR="006224C2" w:rsidRPr="00295E71" w14:paraId="52563BF7" w14:textId="77777777">
            <w:pPr>
              <w:pStyle w:val="EMEAFigureTitle"/>
              <w:jc w:val="both"/>
              <w:rPr>
                <w:del w:id="2963" w:author="AbbVie14" w:date="2025-05-09T10:30:00Z"/>
                <w:lang w:val="it-IT"/>
              </w:rPr>
            </w:pPr>
            <w:del w:id="2964" w:author="AbbVie14" w:date="2025-05-09T10:30:00Z">
              <w:r w:rsidRPr="00295E71">
                <w:rPr>
                  <w:lang w:val="it-IT"/>
                </w:rPr>
                <w:delText>n=268</w:delText>
              </w:r>
            </w:del>
          </w:p>
          <w:p w:rsidR="006224C2" w:rsidRPr="00295E71" w14:paraId="51475A21" w14:textId="77777777">
            <w:pPr>
              <w:pStyle w:val="EMEANormal"/>
              <w:jc w:val="both"/>
              <w:rPr>
                <w:del w:id="2965" w:author="AbbVie14" w:date="2025-05-09T10:30:00Z"/>
                <w:lang w:val="it-IT"/>
              </w:rPr>
            </w:pPr>
            <w:del w:id="2966" w:author="AbbVie14" w:date="2025-05-09T10:30:00Z">
              <w:r w:rsidRPr="00295E71">
                <w:rPr>
                  <w:lang w:val="it-IT"/>
                </w:rPr>
                <w:delText>(95% intervallo di confidenza)</w:delText>
              </w:r>
            </w:del>
          </w:p>
        </w:tc>
        <w:tc>
          <w:tcPr>
            <w:tcW w:w="990" w:type="dxa"/>
            <w:tcBorders>
              <w:top w:val="single" w:sz="4" w:space="0" w:color="auto"/>
              <w:left w:val="single" w:sz="4" w:space="0" w:color="auto"/>
              <w:bottom w:val="single" w:sz="4" w:space="0" w:color="auto"/>
              <w:right w:val="single" w:sz="4" w:space="0" w:color="auto"/>
            </w:tcBorders>
            <w:vAlign w:val="center"/>
          </w:tcPr>
          <w:p w:rsidR="006224C2" w:rsidRPr="00295E71" w14:paraId="3959974E" w14:textId="77777777">
            <w:pPr>
              <w:pStyle w:val="EMEANormal"/>
              <w:jc w:val="both"/>
              <w:rPr>
                <w:del w:id="2967" w:author="AbbVie14" w:date="2025-05-09T10:30:00Z"/>
                <w:lang w:val="it-IT"/>
              </w:rPr>
            </w:pPr>
            <w:del w:id="2968" w:author="AbbVie14" w:date="2025-05-09T10:30:00Z">
              <w:r w:rsidRPr="00295E71">
                <w:rPr>
                  <w:lang w:val="it-IT"/>
                </w:rPr>
                <w:delText>Valore p</w:delText>
              </w:r>
            </w:del>
            <w:del w:id="2969" w:author="AbbVie14" w:date="2025-05-09T10:30:00Z">
              <w:r w:rsidRPr="00295E71">
                <w:rPr>
                  <w:vertAlign w:val="superscript"/>
                  <w:lang w:val="it-IT"/>
                </w:rPr>
                <w:delText>a</w:delText>
              </w:r>
            </w:del>
          </w:p>
        </w:tc>
        <w:tc>
          <w:tcPr>
            <w:tcW w:w="990" w:type="dxa"/>
            <w:tcBorders>
              <w:top w:val="single" w:sz="4" w:space="0" w:color="auto"/>
              <w:left w:val="single" w:sz="4" w:space="0" w:color="auto"/>
              <w:bottom w:val="single" w:sz="4" w:space="0" w:color="auto"/>
              <w:right w:val="single" w:sz="4" w:space="0" w:color="auto"/>
            </w:tcBorders>
            <w:vAlign w:val="center"/>
          </w:tcPr>
          <w:p w:rsidR="006224C2" w:rsidRPr="00295E71" w14:paraId="3D0E53B8" w14:textId="77777777">
            <w:pPr>
              <w:jc w:val="both"/>
              <w:rPr>
                <w:del w:id="2970" w:author="AbbVie14" w:date="2025-05-09T10:30:00Z"/>
                <w:sz w:val="22"/>
                <w:szCs w:val="22"/>
              </w:rPr>
            </w:pPr>
            <w:del w:id="2971" w:author="AbbVie14" w:date="2025-05-09T10:30:00Z">
              <w:r w:rsidRPr="00295E71">
                <w:rPr>
                  <w:sz w:val="22"/>
                  <w:szCs w:val="22"/>
                </w:rPr>
                <w:delText>Valore p</w:delText>
              </w:r>
            </w:del>
            <w:del w:id="2972" w:author="AbbVie14" w:date="2025-05-09T10:30:00Z">
              <w:r w:rsidRPr="00295E71">
                <w:rPr>
                  <w:sz w:val="22"/>
                  <w:szCs w:val="22"/>
                  <w:vertAlign w:val="superscript"/>
                </w:rPr>
                <w:delText>b</w:delText>
              </w:r>
            </w:del>
          </w:p>
        </w:tc>
        <w:tc>
          <w:tcPr>
            <w:tcW w:w="990" w:type="dxa"/>
            <w:tcBorders>
              <w:top w:val="single" w:sz="4" w:space="0" w:color="auto"/>
              <w:left w:val="single" w:sz="4" w:space="0" w:color="auto"/>
              <w:bottom w:val="single" w:sz="4" w:space="0" w:color="auto"/>
              <w:right w:val="single" w:sz="4" w:space="0" w:color="auto"/>
            </w:tcBorders>
            <w:vAlign w:val="center"/>
          </w:tcPr>
          <w:p w:rsidR="006224C2" w:rsidRPr="00295E71" w14:paraId="69AE7F26" w14:textId="77777777">
            <w:pPr>
              <w:jc w:val="both"/>
              <w:rPr>
                <w:del w:id="2973" w:author="AbbVie14" w:date="2025-05-09T10:30:00Z"/>
                <w:sz w:val="22"/>
                <w:szCs w:val="22"/>
              </w:rPr>
            </w:pPr>
            <w:del w:id="2974" w:author="AbbVie14" w:date="2025-05-09T10:30:00Z">
              <w:r w:rsidRPr="00295E71">
                <w:rPr>
                  <w:sz w:val="22"/>
                  <w:szCs w:val="22"/>
                </w:rPr>
                <w:delText>Valore p</w:delText>
              </w:r>
            </w:del>
            <w:del w:id="2975" w:author="AbbVie14" w:date="2025-05-09T10:30:00Z">
              <w:r w:rsidRPr="00295E71">
                <w:rPr>
                  <w:sz w:val="22"/>
                  <w:szCs w:val="22"/>
                  <w:vertAlign w:val="superscript"/>
                </w:rPr>
                <w:delText>c</w:delText>
              </w:r>
            </w:del>
          </w:p>
        </w:tc>
      </w:tr>
      <w:tr w14:paraId="21907EF1" w14:textId="77777777">
        <w:tblPrEx>
          <w:tblW w:w="8910" w:type="dxa"/>
          <w:tblInd w:w="108" w:type="dxa"/>
          <w:tblLayout w:type="fixed"/>
          <w:tblLook w:val="0000"/>
        </w:tblPrEx>
        <w:trPr>
          <w:del w:id="2976" w:author="AbbVie14" w:date="2025-05-09T10:30:00Z"/>
        </w:trPr>
        <w:tc>
          <w:tcPr>
            <w:tcW w:w="1430" w:type="dxa"/>
            <w:tcBorders>
              <w:top w:val="single" w:sz="4" w:space="0" w:color="auto"/>
              <w:left w:val="single" w:sz="4" w:space="0" w:color="auto"/>
              <w:bottom w:val="single" w:sz="4" w:space="0" w:color="auto"/>
              <w:right w:val="single" w:sz="4" w:space="0" w:color="auto"/>
            </w:tcBorders>
          </w:tcPr>
          <w:p w:rsidR="006224C2" w:rsidRPr="00295E71" w14:paraId="46225E3C" w14:textId="77777777">
            <w:pPr>
              <w:pStyle w:val="EMEAFigureTitle"/>
              <w:jc w:val="both"/>
              <w:rPr>
                <w:del w:id="2977" w:author="AbbVie14" w:date="2025-05-09T10:30:00Z"/>
                <w:lang w:val="it-IT"/>
              </w:rPr>
            </w:pPr>
            <w:del w:id="2978" w:author="AbbVie14" w:date="2025-05-09T10:30:00Z">
              <w:r w:rsidRPr="00295E71">
                <w:rPr>
                  <w:lang w:val="it-IT"/>
                </w:rPr>
                <w:delText>Indice Totale di Sharp</w:delText>
              </w:r>
            </w:del>
          </w:p>
        </w:tc>
        <w:tc>
          <w:tcPr>
            <w:tcW w:w="1540" w:type="dxa"/>
            <w:tcBorders>
              <w:top w:val="single" w:sz="4" w:space="0" w:color="auto"/>
              <w:left w:val="single" w:sz="4" w:space="0" w:color="auto"/>
              <w:bottom w:val="single" w:sz="4" w:space="0" w:color="auto"/>
              <w:right w:val="single" w:sz="4" w:space="0" w:color="auto"/>
            </w:tcBorders>
          </w:tcPr>
          <w:p w:rsidR="006224C2" w:rsidRPr="00295E71" w14:paraId="2F85FE76" w14:textId="77777777">
            <w:pPr>
              <w:jc w:val="both"/>
              <w:rPr>
                <w:del w:id="2979" w:author="AbbVie14" w:date="2025-05-09T10:30:00Z"/>
                <w:sz w:val="22"/>
                <w:szCs w:val="22"/>
              </w:rPr>
            </w:pPr>
            <w:del w:id="2980" w:author="AbbVie14" w:date="2025-05-09T10:30:00Z">
              <w:r w:rsidRPr="00295E71">
                <w:rPr>
                  <w:sz w:val="22"/>
                  <w:szCs w:val="22"/>
                </w:rPr>
                <w:delText>5,7 (4,2-7,3)</w:delText>
              </w:r>
            </w:del>
          </w:p>
        </w:tc>
        <w:tc>
          <w:tcPr>
            <w:tcW w:w="1482" w:type="dxa"/>
            <w:tcBorders>
              <w:top w:val="single" w:sz="4" w:space="0" w:color="auto"/>
              <w:left w:val="single" w:sz="4" w:space="0" w:color="auto"/>
              <w:bottom w:val="single" w:sz="4" w:space="0" w:color="auto"/>
              <w:right w:val="single" w:sz="4" w:space="0" w:color="auto"/>
            </w:tcBorders>
          </w:tcPr>
          <w:p w:rsidR="006224C2" w:rsidRPr="00295E71" w14:paraId="427FC677" w14:textId="77777777">
            <w:pPr>
              <w:pStyle w:val="EndnoteText"/>
              <w:jc w:val="both"/>
              <w:rPr>
                <w:del w:id="2981" w:author="AbbVie14" w:date="2025-05-09T10:30:00Z"/>
                <w:lang w:val="it-IT"/>
              </w:rPr>
            </w:pPr>
            <w:del w:id="2982" w:author="AbbVie14" w:date="2025-05-09T10:30:00Z">
              <w:r w:rsidRPr="00295E71">
                <w:rPr>
                  <w:lang w:val="it-IT"/>
                </w:rPr>
                <w:delText>3,0 (1,7-4,3)</w:delText>
              </w:r>
            </w:del>
          </w:p>
        </w:tc>
        <w:tc>
          <w:tcPr>
            <w:tcW w:w="1488" w:type="dxa"/>
            <w:tcBorders>
              <w:top w:val="single" w:sz="4" w:space="0" w:color="auto"/>
              <w:left w:val="single" w:sz="4" w:space="0" w:color="auto"/>
              <w:bottom w:val="single" w:sz="4" w:space="0" w:color="auto"/>
              <w:right w:val="single" w:sz="4" w:space="0" w:color="auto"/>
            </w:tcBorders>
          </w:tcPr>
          <w:p w:rsidR="006224C2" w:rsidRPr="00295E71" w14:paraId="3AED95A7" w14:textId="77777777">
            <w:pPr>
              <w:pStyle w:val="EndnoteText"/>
              <w:jc w:val="both"/>
              <w:rPr>
                <w:del w:id="2983" w:author="AbbVie14" w:date="2025-05-09T10:30:00Z"/>
                <w:lang w:val="it-IT"/>
              </w:rPr>
            </w:pPr>
            <w:del w:id="2984" w:author="AbbVie14" w:date="2025-05-09T10:30:00Z">
              <w:r w:rsidRPr="00295E71">
                <w:rPr>
                  <w:lang w:val="it-IT"/>
                </w:rPr>
                <w:delText>1,3 (0,5-2,1)</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4792FA04" w14:textId="77777777">
            <w:pPr>
              <w:pStyle w:val="EndnoteText"/>
              <w:jc w:val="both"/>
              <w:rPr>
                <w:del w:id="2985" w:author="AbbVie14" w:date="2025-05-09T10:30:00Z"/>
                <w:lang w:val="it-IT"/>
              </w:rPr>
            </w:pPr>
            <w:del w:id="2986" w:author="AbbVie14" w:date="2025-05-09T10:30:00Z">
              <w:r w:rsidRPr="00295E71">
                <w:rPr>
                  <w:lang w:val="it-IT"/>
                </w:rPr>
                <w:delText>&lt;0,001</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6C8E36D4" w14:textId="77777777">
            <w:pPr>
              <w:jc w:val="both"/>
              <w:rPr>
                <w:del w:id="2987" w:author="AbbVie14" w:date="2025-05-09T10:30:00Z"/>
                <w:sz w:val="22"/>
                <w:szCs w:val="22"/>
              </w:rPr>
            </w:pPr>
            <w:del w:id="2988" w:author="AbbVie14" w:date="2025-05-09T10:30:00Z">
              <w:r w:rsidRPr="00295E71">
                <w:rPr>
                  <w:sz w:val="22"/>
                  <w:szCs w:val="22"/>
                </w:rPr>
                <w:delText>0,0020</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26DA58E1" w14:textId="77777777">
            <w:pPr>
              <w:jc w:val="both"/>
              <w:rPr>
                <w:del w:id="2989" w:author="AbbVie14" w:date="2025-05-09T10:30:00Z"/>
                <w:sz w:val="22"/>
                <w:szCs w:val="22"/>
              </w:rPr>
            </w:pPr>
            <w:del w:id="2990" w:author="AbbVie14" w:date="2025-05-09T10:30:00Z">
              <w:r w:rsidRPr="00295E71">
                <w:rPr>
                  <w:sz w:val="22"/>
                  <w:szCs w:val="22"/>
                </w:rPr>
                <w:delText>&lt;0,001</w:delText>
              </w:r>
            </w:del>
          </w:p>
        </w:tc>
      </w:tr>
      <w:tr w14:paraId="3AF2CA34" w14:textId="77777777">
        <w:tblPrEx>
          <w:tblW w:w="8910" w:type="dxa"/>
          <w:tblInd w:w="108" w:type="dxa"/>
          <w:tblLayout w:type="fixed"/>
          <w:tblLook w:val="0000"/>
        </w:tblPrEx>
        <w:trPr>
          <w:del w:id="2991" w:author="AbbVie14" w:date="2025-05-09T10:30:00Z"/>
        </w:trPr>
        <w:tc>
          <w:tcPr>
            <w:tcW w:w="1430" w:type="dxa"/>
            <w:tcBorders>
              <w:top w:val="single" w:sz="4" w:space="0" w:color="auto"/>
              <w:left w:val="single" w:sz="4" w:space="0" w:color="auto"/>
              <w:bottom w:val="single" w:sz="4" w:space="0" w:color="auto"/>
              <w:right w:val="single" w:sz="4" w:space="0" w:color="auto"/>
            </w:tcBorders>
          </w:tcPr>
          <w:p w:rsidR="006224C2" w:rsidRPr="00295E71" w14:paraId="3F6296CD" w14:textId="77777777">
            <w:pPr>
              <w:jc w:val="both"/>
              <w:rPr>
                <w:del w:id="2992" w:author="AbbVie14" w:date="2025-05-09T10:30:00Z"/>
                <w:sz w:val="22"/>
                <w:szCs w:val="22"/>
              </w:rPr>
            </w:pPr>
            <w:del w:id="2993" w:author="AbbVie14" w:date="2025-05-09T10:30:00Z">
              <w:r w:rsidRPr="00295E71">
                <w:rPr>
                  <w:sz w:val="22"/>
                  <w:szCs w:val="22"/>
                </w:rPr>
                <w:delText>Indice di erosione</w:delText>
              </w:r>
            </w:del>
          </w:p>
        </w:tc>
        <w:tc>
          <w:tcPr>
            <w:tcW w:w="1540" w:type="dxa"/>
            <w:tcBorders>
              <w:top w:val="single" w:sz="4" w:space="0" w:color="auto"/>
              <w:left w:val="single" w:sz="4" w:space="0" w:color="auto"/>
              <w:bottom w:val="single" w:sz="4" w:space="0" w:color="auto"/>
              <w:right w:val="single" w:sz="4" w:space="0" w:color="auto"/>
            </w:tcBorders>
          </w:tcPr>
          <w:p w:rsidR="006224C2" w:rsidRPr="00295E71" w14:paraId="4440199A" w14:textId="77777777">
            <w:pPr>
              <w:jc w:val="both"/>
              <w:rPr>
                <w:del w:id="2994" w:author="AbbVie14" w:date="2025-05-09T10:30:00Z"/>
                <w:sz w:val="22"/>
                <w:szCs w:val="22"/>
              </w:rPr>
            </w:pPr>
            <w:del w:id="2995" w:author="AbbVie14" w:date="2025-05-09T10:30:00Z">
              <w:r w:rsidRPr="00295E71">
                <w:rPr>
                  <w:sz w:val="22"/>
                  <w:szCs w:val="22"/>
                </w:rPr>
                <w:delText>3,7 (2,7-4,7)</w:delText>
              </w:r>
            </w:del>
          </w:p>
        </w:tc>
        <w:tc>
          <w:tcPr>
            <w:tcW w:w="1482" w:type="dxa"/>
            <w:tcBorders>
              <w:top w:val="single" w:sz="4" w:space="0" w:color="auto"/>
              <w:left w:val="single" w:sz="4" w:space="0" w:color="auto"/>
              <w:bottom w:val="single" w:sz="4" w:space="0" w:color="auto"/>
              <w:right w:val="single" w:sz="4" w:space="0" w:color="auto"/>
            </w:tcBorders>
          </w:tcPr>
          <w:p w:rsidR="006224C2" w:rsidRPr="00295E71" w14:paraId="6A230EB2" w14:textId="77777777">
            <w:pPr>
              <w:jc w:val="both"/>
              <w:rPr>
                <w:del w:id="2996" w:author="AbbVie14" w:date="2025-05-09T10:30:00Z"/>
                <w:sz w:val="22"/>
                <w:szCs w:val="22"/>
              </w:rPr>
            </w:pPr>
            <w:del w:id="2997" w:author="AbbVie14" w:date="2025-05-09T10:30:00Z">
              <w:r w:rsidRPr="00295E71">
                <w:rPr>
                  <w:sz w:val="22"/>
                  <w:szCs w:val="22"/>
                </w:rPr>
                <w:delText>1,7 (1,0-2,4)</w:delText>
              </w:r>
            </w:del>
          </w:p>
        </w:tc>
        <w:tc>
          <w:tcPr>
            <w:tcW w:w="1488" w:type="dxa"/>
            <w:tcBorders>
              <w:top w:val="single" w:sz="4" w:space="0" w:color="auto"/>
              <w:left w:val="single" w:sz="4" w:space="0" w:color="auto"/>
              <w:bottom w:val="single" w:sz="4" w:space="0" w:color="auto"/>
              <w:right w:val="single" w:sz="4" w:space="0" w:color="auto"/>
            </w:tcBorders>
          </w:tcPr>
          <w:p w:rsidR="006224C2" w:rsidRPr="00295E71" w14:paraId="5DF7B621" w14:textId="77777777">
            <w:pPr>
              <w:jc w:val="both"/>
              <w:rPr>
                <w:del w:id="2998" w:author="AbbVie14" w:date="2025-05-09T10:30:00Z"/>
                <w:sz w:val="22"/>
                <w:szCs w:val="22"/>
              </w:rPr>
            </w:pPr>
            <w:del w:id="2999" w:author="AbbVie14" w:date="2025-05-09T10:30:00Z">
              <w:r w:rsidRPr="00295E71">
                <w:rPr>
                  <w:sz w:val="22"/>
                  <w:szCs w:val="22"/>
                </w:rPr>
                <w:delText>0,8 (0,4-1,2)</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0312E64F" w14:textId="77777777">
            <w:pPr>
              <w:jc w:val="both"/>
              <w:rPr>
                <w:del w:id="3000" w:author="AbbVie14" w:date="2025-05-09T10:30:00Z"/>
                <w:sz w:val="22"/>
                <w:szCs w:val="22"/>
              </w:rPr>
            </w:pPr>
            <w:del w:id="3001" w:author="AbbVie14" w:date="2025-05-09T10:30:00Z">
              <w:r w:rsidRPr="00295E71">
                <w:rPr>
                  <w:sz w:val="22"/>
                  <w:szCs w:val="22"/>
                </w:rPr>
                <w:delText>&lt;0,001</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071A21C5" w14:textId="77777777">
            <w:pPr>
              <w:jc w:val="both"/>
              <w:rPr>
                <w:del w:id="3002" w:author="AbbVie14" w:date="2025-05-09T10:30:00Z"/>
                <w:sz w:val="22"/>
                <w:szCs w:val="22"/>
              </w:rPr>
            </w:pPr>
            <w:del w:id="3003" w:author="AbbVie14" w:date="2025-05-09T10:30:00Z">
              <w:r w:rsidRPr="00295E71">
                <w:rPr>
                  <w:sz w:val="22"/>
                  <w:szCs w:val="22"/>
                </w:rPr>
                <w:delText>0,0082</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108E3779" w14:textId="77777777">
            <w:pPr>
              <w:jc w:val="both"/>
              <w:rPr>
                <w:del w:id="3004" w:author="AbbVie14" w:date="2025-05-09T10:30:00Z"/>
                <w:sz w:val="22"/>
                <w:szCs w:val="22"/>
              </w:rPr>
            </w:pPr>
            <w:del w:id="3005" w:author="AbbVie14" w:date="2025-05-09T10:30:00Z">
              <w:r w:rsidRPr="00295E71">
                <w:rPr>
                  <w:sz w:val="22"/>
                  <w:szCs w:val="22"/>
                </w:rPr>
                <w:delText>&lt;0,001</w:delText>
              </w:r>
            </w:del>
          </w:p>
        </w:tc>
      </w:tr>
      <w:tr w14:paraId="7AE1F9D3" w14:textId="77777777">
        <w:tblPrEx>
          <w:tblW w:w="8910" w:type="dxa"/>
          <w:tblInd w:w="108" w:type="dxa"/>
          <w:tblLayout w:type="fixed"/>
          <w:tblLook w:val="0000"/>
        </w:tblPrEx>
        <w:trPr>
          <w:del w:id="3006" w:author="AbbVie14" w:date="2025-05-09T10:30:00Z"/>
        </w:trPr>
        <w:tc>
          <w:tcPr>
            <w:tcW w:w="1430" w:type="dxa"/>
            <w:tcBorders>
              <w:top w:val="single" w:sz="4" w:space="0" w:color="auto"/>
              <w:left w:val="single" w:sz="4" w:space="0" w:color="auto"/>
              <w:bottom w:val="single" w:sz="4" w:space="0" w:color="auto"/>
              <w:right w:val="single" w:sz="4" w:space="0" w:color="auto"/>
            </w:tcBorders>
          </w:tcPr>
          <w:p w:rsidR="006224C2" w:rsidRPr="00295E71" w14:paraId="0F4412C2" w14:textId="77777777">
            <w:pPr>
              <w:jc w:val="both"/>
              <w:rPr>
                <w:del w:id="3007" w:author="AbbVie14" w:date="2025-05-09T10:30:00Z"/>
                <w:sz w:val="22"/>
                <w:szCs w:val="22"/>
              </w:rPr>
            </w:pPr>
            <w:del w:id="3008" w:author="AbbVie14" w:date="2025-05-09T10:30:00Z">
              <w:r w:rsidRPr="00295E71">
                <w:rPr>
                  <w:sz w:val="22"/>
                  <w:szCs w:val="22"/>
                </w:rPr>
                <w:delText>JSN</w:delText>
              </w:r>
            </w:del>
          </w:p>
        </w:tc>
        <w:tc>
          <w:tcPr>
            <w:tcW w:w="1540" w:type="dxa"/>
            <w:tcBorders>
              <w:top w:val="single" w:sz="4" w:space="0" w:color="auto"/>
              <w:left w:val="single" w:sz="4" w:space="0" w:color="auto"/>
              <w:bottom w:val="single" w:sz="4" w:space="0" w:color="auto"/>
              <w:right w:val="single" w:sz="4" w:space="0" w:color="auto"/>
            </w:tcBorders>
          </w:tcPr>
          <w:p w:rsidR="006224C2" w:rsidRPr="00295E71" w14:paraId="419060D0" w14:textId="77777777">
            <w:pPr>
              <w:jc w:val="both"/>
              <w:rPr>
                <w:del w:id="3009" w:author="AbbVie14" w:date="2025-05-09T10:30:00Z"/>
                <w:sz w:val="22"/>
                <w:szCs w:val="22"/>
              </w:rPr>
            </w:pPr>
            <w:del w:id="3010" w:author="AbbVie14" w:date="2025-05-09T10:30:00Z">
              <w:r w:rsidRPr="00295E71">
                <w:rPr>
                  <w:sz w:val="22"/>
                  <w:szCs w:val="22"/>
                </w:rPr>
                <w:delText>2,0 (1,2-2,8)</w:delText>
              </w:r>
            </w:del>
          </w:p>
        </w:tc>
        <w:tc>
          <w:tcPr>
            <w:tcW w:w="1482" w:type="dxa"/>
            <w:tcBorders>
              <w:top w:val="single" w:sz="4" w:space="0" w:color="auto"/>
              <w:left w:val="single" w:sz="4" w:space="0" w:color="auto"/>
              <w:bottom w:val="single" w:sz="4" w:space="0" w:color="auto"/>
              <w:right w:val="single" w:sz="4" w:space="0" w:color="auto"/>
            </w:tcBorders>
          </w:tcPr>
          <w:p w:rsidR="006224C2" w:rsidRPr="00295E71" w14:paraId="5ADED836" w14:textId="77777777">
            <w:pPr>
              <w:jc w:val="both"/>
              <w:rPr>
                <w:del w:id="3011" w:author="AbbVie14" w:date="2025-05-09T10:30:00Z"/>
                <w:sz w:val="22"/>
                <w:szCs w:val="22"/>
              </w:rPr>
            </w:pPr>
            <w:del w:id="3012" w:author="AbbVie14" w:date="2025-05-09T10:30:00Z">
              <w:r w:rsidRPr="00295E71">
                <w:rPr>
                  <w:sz w:val="22"/>
                  <w:szCs w:val="22"/>
                </w:rPr>
                <w:delText>1,3 (0,5-2,1)</w:delText>
              </w:r>
            </w:del>
          </w:p>
        </w:tc>
        <w:tc>
          <w:tcPr>
            <w:tcW w:w="1488" w:type="dxa"/>
            <w:tcBorders>
              <w:top w:val="single" w:sz="4" w:space="0" w:color="auto"/>
              <w:left w:val="single" w:sz="4" w:space="0" w:color="auto"/>
              <w:bottom w:val="single" w:sz="4" w:space="0" w:color="auto"/>
              <w:right w:val="single" w:sz="4" w:space="0" w:color="auto"/>
            </w:tcBorders>
          </w:tcPr>
          <w:p w:rsidR="006224C2" w:rsidRPr="00295E71" w14:paraId="321988DA" w14:textId="77777777">
            <w:pPr>
              <w:jc w:val="both"/>
              <w:rPr>
                <w:del w:id="3013" w:author="AbbVie14" w:date="2025-05-09T10:30:00Z"/>
                <w:sz w:val="22"/>
                <w:szCs w:val="22"/>
              </w:rPr>
            </w:pPr>
            <w:del w:id="3014" w:author="AbbVie14" w:date="2025-05-09T10:30:00Z">
              <w:r w:rsidRPr="00295E71">
                <w:rPr>
                  <w:sz w:val="22"/>
                  <w:szCs w:val="22"/>
                </w:rPr>
                <w:delText>0,5 (0-1,0)</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18A3E8FE" w14:textId="77777777">
            <w:pPr>
              <w:jc w:val="both"/>
              <w:rPr>
                <w:del w:id="3015" w:author="AbbVie14" w:date="2025-05-09T10:30:00Z"/>
                <w:sz w:val="22"/>
                <w:szCs w:val="22"/>
              </w:rPr>
            </w:pPr>
            <w:del w:id="3016" w:author="AbbVie14" w:date="2025-05-09T10:30:00Z">
              <w:r w:rsidRPr="00295E71">
                <w:rPr>
                  <w:sz w:val="22"/>
                  <w:szCs w:val="22"/>
                </w:rPr>
                <w:delText>&lt;0,001</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632E0AEC" w14:textId="77777777">
            <w:pPr>
              <w:jc w:val="both"/>
              <w:rPr>
                <w:del w:id="3017" w:author="AbbVie14" w:date="2025-05-09T10:30:00Z"/>
                <w:sz w:val="22"/>
                <w:szCs w:val="22"/>
              </w:rPr>
            </w:pPr>
            <w:del w:id="3018" w:author="AbbVie14" w:date="2025-05-09T10:30:00Z">
              <w:r w:rsidRPr="00295E71">
                <w:rPr>
                  <w:sz w:val="22"/>
                  <w:szCs w:val="22"/>
                </w:rPr>
                <w:delText>0,0037</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7865F7D7" w14:textId="77777777">
            <w:pPr>
              <w:jc w:val="both"/>
              <w:rPr>
                <w:del w:id="3019" w:author="AbbVie14" w:date="2025-05-09T10:30:00Z"/>
                <w:sz w:val="22"/>
                <w:szCs w:val="22"/>
              </w:rPr>
            </w:pPr>
            <w:del w:id="3020" w:author="AbbVie14" w:date="2025-05-09T10:30:00Z">
              <w:r w:rsidRPr="00295E71">
                <w:rPr>
                  <w:sz w:val="22"/>
                  <w:szCs w:val="22"/>
                </w:rPr>
                <w:delText>0,151</w:delText>
              </w:r>
            </w:del>
          </w:p>
        </w:tc>
      </w:tr>
      <w:tr w14:paraId="0A98F699" w14:textId="77777777">
        <w:tblPrEx>
          <w:tblW w:w="8910" w:type="dxa"/>
          <w:tblInd w:w="108" w:type="dxa"/>
          <w:tblLayout w:type="fixed"/>
          <w:tblLook w:val="0000"/>
        </w:tblPrEx>
        <w:trPr>
          <w:cantSplit/>
          <w:del w:id="3021" w:author="AbbVie14" w:date="2025-05-09T10:30:00Z"/>
        </w:trPr>
        <w:tc>
          <w:tcPr>
            <w:tcW w:w="8910" w:type="dxa"/>
            <w:gridSpan w:val="7"/>
            <w:tcBorders>
              <w:top w:val="single" w:sz="4" w:space="0" w:color="auto"/>
              <w:bottom w:val="single" w:sz="4" w:space="0" w:color="auto"/>
            </w:tcBorders>
          </w:tcPr>
          <w:p w:rsidR="006224C2" w:rsidRPr="00295E71" w14:paraId="4A3A0445" w14:textId="77777777">
            <w:pPr>
              <w:tabs>
                <w:tab w:val="left" w:pos="330"/>
                <w:tab w:val="left" w:pos="10728"/>
              </w:tabs>
              <w:ind w:left="360" w:hanging="360"/>
              <w:jc w:val="both"/>
              <w:rPr>
                <w:del w:id="3022" w:author="AbbVie14" w:date="2025-05-09T10:30:00Z"/>
                <w:sz w:val="22"/>
                <w:szCs w:val="22"/>
              </w:rPr>
            </w:pPr>
            <w:del w:id="3023" w:author="AbbVie14" w:date="2025-05-09T10:30:00Z">
              <w:r w:rsidRPr="00295E71">
                <w:rPr>
                  <w:sz w:val="22"/>
                  <w:szCs w:val="22"/>
                  <w:vertAlign w:val="superscript"/>
                </w:rPr>
                <w:delText>a</w:delText>
              </w:r>
            </w:del>
            <w:del w:id="3024" w:author="AbbVie14" w:date="2025-05-09T10:30:00Z">
              <w:r w:rsidRPr="00295E71">
                <w:rPr>
                  <w:sz w:val="22"/>
                  <w:szCs w:val="22"/>
                </w:rPr>
                <w:tab/>
                <w:delText xml:space="preserve">il valore p è stato ottenuto confrontando a due a due la </w:delText>
              </w:r>
            </w:del>
            <w:del w:id="3025" w:author="AbbVie14" w:date="2025-05-09T10:30:00Z">
              <w:r w:rsidR="00191A42">
                <w:rPr>
                  <w:sz w:val="22"/>
                  <w:szCs w:val="22"/>
                </w:rPr>
                <w:delText>mono</w:delText>
              </w:r>
            </w:del>
            <w:del w:id="3026" w:author="AbbVie14" w:date="2025-05-09T10:30:00Z">
              <w:r w:rsidRPr="00295E71">
                <w:rPr>
                  <w:sz w:val="22"/>
                  <w:szCs w:val="22"/>
                </w:rPr>
                <w:delText>terapia con metotressato e la terapia associata Humira/metotressato utilizzando il test U Mann-Whitney.</w:delText>
              </w:r>
            </w:del>
          </w:p>
          <w:p w:rsidR="006224C2" w:rsidRPr="00295E71" w14:paraId="2EC2A535" w14:textId="77777777">
            <w:pPr>
              <w:pStyle w:val="BodyTextIndent"/>
              <w:autoSpaceDE/>
              <w:autoSpaceDN/>
              <w:adjustRightInd/>
              <w:ind w:left="330" w:hanging="330"/>
              <w:rPr>
                <w:del w:id="3027" w:author="AbbVie14" w:date="2025-05-09T10:30:00Z"/>
                <w:color w:val="auto"/>
              </w:rPr>
            </w:pPr>
            <w:del w:id="3028" w:author="AbbVie14" w:date="2025-05-09T10:30:00Z">
              <w:r w:rsidRPr="00295E71">
                <w:rPr>
                  <w:vertAlign w:val="superscript"/>
                </w:rPr>
                <w:delText>b</w:delText>
              </w:r>
            </w:del>
            <w:del w:id="3029" w:author="AbbVie14" w:date="2025-05-09T10:30:00Z">
              <w:r w:rsidRPr="00295E71">
                <w:rPr>
                  <w:color w:val="auto"/>
                </w:rPr>
                <w:tab/>
                <w:delText xml:space="preserve">il valore p è stato ottenuto confrontando a due a due la </w:delText>
              </w:r>
            </w:del>
            <w:del w:id="3030" w:author="AbbVie14" w:date="2025-05-09T10:30:00Z">
              <w:r w:rsidR="00191A42">
                <w:rPr>
                  <w:color w:val="auto"/>
                </w:rPr>
                <w:delText>mono</w:delText>
              </w:r>
            </w:del>
            <w:del w:id="3031" w:author="AbbVie14" w:date="2025-05-09T10:30:00Z">
              <w:r w:rsidRPr="00295E71">
                <w:rPr>
                  <w:color w:val="auto"/>
                </w:rPr>
                <w:delText>terapia con Humira e la terapia associata Humira/metotressato utilizzando il test U Mann-Whitney</w:delText>
              </w:r>
            </w:del>
          </w:p>
          <w:p w:rsidR="006224C2" w:rsidRPr="00295E71" w14:paraId="7C48A96F" w14:textId="77777777">
            <w:pPr>
              <w:tabs>
                <w:tab w:val="left" w:pos="330"/>
              </w:tabs>
              <w:ind w:left="360" w:hanging="360"/>
              <w:jc w:val="both"/>
              <w:rPr>
                <w:del w:id="3032" w:author="AbbVie14" w:date="2025-05-09T10:30:00Z"/>
                <w:sz w:val="22"/>
                <w:szCs w:val="22"/>
              </w:rPr>
            </w:pPr>
            <w:del w:id="3033" w:author="AbbVie14" w:date="2025-05-09T10:30:00Z">
              <w:r w:rsidRPr="00295E71">
                <w:rPr>
                  <w:sz w:val="22"/>
                  <w:szCs w:val="22"/>
                  <w:vertAlign w:val="superscript"/>
                </w:rPr>
                <w:delText>c</w:delText>
              </w:r>
            </w:del>
            <w:del w:id="3034" w:author="AbbVie14" w:date="2025-05-09T10:30:00Z">
              <w:r w:rsidRPr="00295E71" w:rsidR="00EF6A7F">
                <w:tab/>
              </w:r>
            </w:del>
            <w:del w:id="3035" w:author="AbbVie14" w:date="2025-05-09T10:30:00Z">
              <w:r w:rsidRPr="00295E71">
                <w:rPr>
                  <w:sz w:val="22"/>
                  <w:szCs w:val="22"/>
                </w:rPr>
                <w:delText xml:space="preserve">il valore p è stato ottenuto confrontando a due a due la </w:delText>
              </w:r>
            </w:del>
            <w:del w:id="3036" w:author="AbbVie14" w:date="2025-05-09T10:30:00Z">
              <w:r w:rsidR="00191A42">
                <w:rPr>
                  <w:sz w:val="22"/>
                  <w:szCs w:val="22"/>
                </w:rPr>
                <w:delText>mono</w:delText>
              </w:r>
            </w:del>
            <w:del w:id="3037" w:author="AbbVie14" w:date="2025-05-09T10:30:00Z">
              <w:r w:rsidRPr="00295E71">
                <w:rPr>
                  <w:sz w:val="22"/>
                  <w:szCs w:val="22"/>
                </w:rPr>
                <w:delText xml:space="preserve">terapia con Humira e la </w:delText>
              </w:r>
            </w:del>
            <w:del w:id="3038" w:author="AbbVie14" w:date="2025-05-09T10:30:00Z">
              <w:r w:rsidR="00191A42">
                <w:rPr>
                  <w:sz w:val="22"/>
                  <w:szCs w:val="22"/>
                </w:rPr>
                <w:delText>mono</w:delText>
              </w:r>
            </w:del>
            <w:del w:id="3039" w:author="AbbVie14" w:date="2025-05-09T10:30:00Z">
              <w:r w:rsidRPr="00295E71">
                <w:rPr>
                  <w:sz w:val="22"/>
                  <w:szCs w:val="22"/>
                </w:rPr>
                <w:delText>terapia con metotressato utilizzando il test U Mann-Whitney</w:delText>
              </w:r>
            </w:del>
          </w:p>
        </w:tc>
      </w:tr>
    </w:tbl>
    <w:p w:rsidR="006224C2" w:rsidRPr="00295E71" w14:paraId="2938F505" w14:textId="77777777">
      <w:pPr>
        <w:tabs>
          <w:tab w:val="left" w:pos="567"/>
        </w:tabs>
        <w:jc w:val="both"/>
        <w:rPr>
          <w:del w:id="3040" w:author="AbbVie14" w:date="2025-05-09T10:30:00Z"/>
          <w:sz w:val="22"/>
          <w:szCs w:val="22"/>
        </w:rPr>
      </w:pPr>
    </w:p>
    <w:p w:rsidR="006224C2" w:rsidRPr="00295E71" w14:paraId="091C8574" w14:textId="77777777">
      <w:pPr>
        <w:tabs>
          <w:tab w:val="left" w:pos="567"/>
        </w:tabs>
        <w:jc w:val="both"/>
        <w:rPr>
          <w:del w:id="3041" w:author="AbbVie14" w:date="2025-05-09T10:30:00Z"/>
          <w:sz w:val="22"/>
          <w:szCs w:val="22"/>
        </w:rPr>
      </w:pPr>
      <w:del w:id="3042" w:author="AbbVie14" w:date="2025-05-09T10:30:00Z">
        <w:r w:rsidRPr="00295E71">
          <w:rPr>
            <w:sz w:val="22"/>
            <w:szCs w:val="22"/>
          </w:rPr>
          <w:delText xml:space="preserve">Dopo 52 settimane e 104 settimane di trattamento, la percentuale di pazienti in cui non si è avuta progressione (variazione rispetto al valore basale dell’Indice Totale di Sharp modificato </w:delText>
        </w:r>
      </w:del>
      <w:del w:id="3043" w:author="AbbVie14" w:date="2025-05-09T10:30:00Z">
        <w:r w:rsidRPr="00295E71">
          <w:rPr>
            <w:rFonts w:ascii="Symbol" w:hAnsi="Symbol"/>
            <w:sz w:val="22"/>
            <w:szCs w:val="22"/>
          </w:rPr>
          <w:sym w:font="Symbol" w:char="F0A3"/>
        </w:r>
      </w:del>
      <w:del w:id="3044" w:author="AbbVie14" w:date="2025-05-09T10:30:00Z">
        <w:r w:rsidRPr="00295E71">
          <w:rPr>
            <w:sz w:val="22"/>
            <w:szCs w:val="22"/>
          </w:rPr>
          <w:delText xml:space="preserve"> 0,5) è stata significativamente maggiore con la terapia associata Humira/metotressato (rispettivamente 63,8% e 61,2%) rispetto alla monoterapia con metotressato (rispettivamente 37,4% e 33,5%, p&lt;0,001) ed alla monoterapia con Humira (rispettivamente 50,7%, p&lt;0,002 e 44,5%, p&lt;0,001).</w:delText>
        </w:r>
      </w:del>
    </w:p>
    <w:p w:rsidR="006224C2" w:rsidRPr="00295E71" w14:paraId="2638754E" w14:textId="77777777">
      <w:pPr>
        <w:tabs>
          <w:tab w:val="left" w:pos="567"/>
        </w:tabs>
        <w:jc w:val="both"/>
        <w:rPr>
          <w:del w:id="3045" w:author="AbbVie14" w:date="2025-05-09T10:30:00Z"/>
          <w:sz w:val="22"/>
          <w:szCs w:val="22"/>
        </w:rPr>
      </w:pPr>
    </w:p>
    <w:p w:rsidR="006224C2" w:rsidRPr="00295E71" w14:paraId="5EF8F3B9" w14:textId="77777777">
      <w:pPr>
        <w:tabs>
          <w:tab w:val="left" w:pos="567"/>
        </w:tabs>
        <w:jc w:val="both"/>
        <w:rPr>
          <w:del w:id="3046" w:author="AbbVie14" w:date="2025-05-09T10:30:00Z"/>
          <w:sz w:val="22"/>
          <w:szCs w:val="22"/>
        </w:rPr>
      </w:pPr>
      <w:del w:id="3047" w:author="AbbVie14" w:date="2025-05-09T10:30:00Z">
        <w:r w:rsidRPr="00295E71">
          <w:rPr>
            <w:sz w:val="22"/>
            <w:szCs w:val="22"/>
          </w:rPr>
          <w:delText>Nella fase di estensione in aperto dello studio AR V, la variazione media rispetto al valore basale all’Anno 10 dell’Indice Totale di Sharp modificato è stata, rispettivamente, di 10,8; 9,2 e 3,9 nei pazienti che erano stati inizialmente randomizzati alla somministrazione di metotressato in monoterapia, di Humira in monoterapia e della terapia associata Humira/metotressato. Le corrispondenti percentuali di pazienti senza progressione radiologica sono state, rispettivamente, 31,3%, 23,7% e 36,7%.</w:delText>
        </w:r>
      </w:del>
    </w:p>
    <w:p w:rsidR="006224C2" w:rsidRPr="00295E71" w14:paraId="0FAAD780" w14:textId="77777777">
      <w:pPr>
        <w:tabs>
          <w:tab w:val="left" w:pos="567"/>
        </w:tabs>
        <w:jc w:val="both"/>
        <w:rPr>
          <w:del w:id="3048" w:author="AbbVie14" w:date="2025-05-09T10:30:00Z"/>
          <w:sz w:val="22"/>
          <w:szCs w:val="22"/>
        </w:rPr>
      </w:pPr>
    </w:p>
    <w:p w:rsidR="006224C2" w:rsidRPr="00295E71" w:rsidP="00174188" w14:paraId="281A146E" w14:textId="77777777">
      <w:pPr>
        <w:pStyle w:val="Heading7"/>
        <w:spacing w:line="240" w:lineRule="auto"/>
        <w:rPr>
          <w:del w:id="3049" w:author="AbbVie14" w:date="2025-05-09T10:30:00Z"/>
          <w:u w:val="single"/>
          <w:lang w:val="it-IT"/>
        </w:rPr>
      </w:pPr>
      <w:del w:id="3050" w:author="AbbVie14" w:date="2025-05-09T10:30:00Z">
        <w:r w:rsidRPr="00295E71">
          <w:rPr>
            <w:u w:val="single"/>
            <w:lang w:val="it-IT"/>
          </w:rPr>
          <w:delText>Qualità della vita e funzionalità fisica</w:delText>
        </w:r>
      </w:del>
    </w:p>
    <w:p w:rsidR="006224C2" w:rsidRPr="00295E71" w:rsidP="00174188" w14:paraId="0B8E8C04" w14:textId="77777777">
      <w:pPr>
        <w:keepNext/>
        <w:tabs>
          <w:tab w:val="left" w:pos="567"/>
        </w:tabs>
        <w:jc w:val="both"/>
        <w:rPr>
          <w:del w:id="3051" w:author="AbbVie14" w:date="2025-05-09T10:30:00Z"/>
          <w:sz w:val="22"/>
          <w:szCs w:val="22"/>
        </w:rPr>
      </w:pPr>
    </w:p>
    <w:p w:rsidR="006224C2" w:rsidRPr="00295E71" w:rsidP="00174188" w14:paraId="769E36F0" w14:textId="77777777">
      <w:pPr>
        <w:keepNext/>
        <w:tabs>
          <w:tab w:val="left" w:pos="567"/>
        </w:tabs>
        <w:jc w:val="both"/>
        <w:rPr>
          <w:del w:id="3052" w:author="AbbVie14" w:date="2025-05-09T10:30:00Z"/>
          <w:sz w:val="22"/>
          <w:szCs w:val="22"/>
        </w:rPr>
      </w:pPr>
      <w:del w:id="3053" w:author="AbbVie14" w:date="2025-05-09T10:30:00Z">
        <w:r w:rsidRPr="00295E71">
          <w:rPr>
            <w:sz w:val="22"/>
            <w:szCs w:val="22"/>
          </w:rPr>
          <w:delText xml:space="preserve">La qualità di vita </w:delText>
        </w:r>
      </w:del>
      <w:del w:id="3054" w:author="AbbVie14" w:date="2025-05-09T10:30:00Z">
        <w:r w:rsidRPr="00020442" w:rsidR="00191A42">
          <w:rPr>
            <w:sz w:val="22"/>
            <w:szCs w:val="22"/>
          </w:rPr>
          <w:delText xml:space="preserve">correlata allo stato di salute </w:delText>
        </w:r>
      </w:del>
      <w:del w:id="3055" w:author="AbbVie14" w:date="2025-05-09T10:30:00Z">
        <w:r w:rsidRPr="00295E71">
          <w:rPr>
            <w:sz w:val="22"/>
            <w:szCs w:val="22"/>
          </w:rPr>
          <w:delText xml:space="preserve">e la funzionalità fisica sono state valutate con l’indice di disabilità ottenuto attraverso il questionario di valutazione dello stato di salute (Health Assessment Questionnaire - HAQ), in quattro studi originali, adeguati e ben controllati, </w:delText>
        </w:r>
      </w:del>
      <w:del w:id="3056" w:author="AbbVie14" w:date="2025-05-09T10:30:00Z">
        <w:r w:rsidR="00191A42">
          <w:rPr>
            <w:sz w:val="22"/>
            <w:szCs w:val="22"/>
          </w:rPr>
          <w:delText>che</w:delText>
        </w:r>
      </w:del>
      <w:del w:id="3057" w:author="AbbVie14" w:date="2025-05-09T10:30:00Z">
        <w:r w:rsidRPr="00295E71">
          <w:rPr>
            <w:sz w:val="22"/>
            <w:szCs w:val="22"/>
          </w:rPr>
          <w:delText xml:space="preserve"> è stato un </w:delText>
        </w:r>
      </w:del>
      <w:del w:id="3058" w:author="AbbVie14" w:date="2025-05-09T10:30:00Z">
        <w:r w:rsidR="00191A42">
          <w:rPr>
            <w:sz w:val="22"/>
            <w:szCs w:val="22"/>
          </w:rPr>
          <w:delText xml:space="preserve">endpoint </w:delText>
        </w:r>
      </w:del>
      <w:del w:id="3059" w:author="AbbVie14" w:date="2025-05-09T10:30:00Z">
        <w:r w:rsidRPr="00295E71">
          <w:rPr>
            <w:sz w:val="22"/>
            <w:szCs w:val="22"/>
          </w:rPr>
          <w:delText xml:space="preserve"> primari</w:delText>
        </w:r>
      </w:del>
      <w:del w:id="3060" w:author="AbbVie14" w:date="2025-05-09T10:30:00Z">
        <w:r w:rsidR="00191A42">
          <w:rPr>
            <w:sz w:val="22"/>
            <w:szCs w:val="22"/>
          </w:rPr>
          <w:delText>o prespecificato</w:delText>
        </w:r>
      </w:del>
      <w:del w:id="3061" w:author="AbbVie14" w:date="2025-05-09T10:30:00Z">
        <w:r w:rsidRPr="00295E71">
          <w:rPr>
            <w:sz w:val="22"/>
            <w:szCs w:val="22"/>
          </w:rPr>
          <w:delText xml:space="preserve"> dello studio AR III alla 52 settimana. Tutti gli schemi terapeutici con Humira nei quattro studi hanno evidenziato miglioramenti </w:delText>
        </w:r>
      </w:del>
      <w:del w:id="3062" w:author="AbbVie14" w:date="2025-05-09T10:30:00Z">
        <w:r w:rsidRPr="00020442" w:rsidR="00191A42">
          <w:rPr>
            <w:sz w:val="22"/>
            <w:szCs w:val="22"/>
          </w:rPr>
          <w:delText xml:space="preserve">maggiori in misura </w:delText>
        </w:r>
      </w:del>
      <w:del w:id="3063" w:author="AbbVie14" w:date="2025-05-09T10:30:00Z">
        <w:r w:rsidRPr="00295E71">
          <w:rPr>
            <w:sz w:val="22"/>
            <w:szCs w:val="22"/>
          </w:rPr>
          <w:delText>statisticamente significativ</w:delText>
        </w:r>
      </w:del>
      <w:del w:id="3064" w:author="AbbVie14" w:date="2025-05-09T10:30:00Z">
        <w:r w:rsidR="00191A42">
          <w:rPr>
            <w:sz w:val="22"/>
            <w:szCs w:val="22"/>
          </w:rPr>
          <w:delText>a</w:delText>
        </w:r>
      </w:del>
      <w:del w:id="3065" w:author="AbbVie14" w:date="2025-05-09T10:30:00Z">
        <w:r w:rsidRPr="00295E71">
          <w:rPr>
            <w:sz w:val="22"/>
            <w:szCs w:val="22"/>
          </w:rPr>
          <w:delText xml:space="preserve"> dell’indice di disabilità dell’HAQ tra il valore basale e il 6° mese rispetto al placebo e nello studio AR III il medesimo risultato è stato osservato alla settimana 52. L’analisi dello stato generale di salute, valutato attraverso lo Short Form Health Survey (SF-36) nei quattro studi, supporta queste conclusioni per tutti gli schemi di somministrazione di Humira con risultati statisticamente significativi per quanto riguarda gli indici di attività fisica, di dolore e dello stato di benessere, registrati con Humira 40 mg a settimane alterne. </w:delText>
        </w:r>
      </w:del>
    </w:p>
    <w:p w:rsidR="006224C2" w:rsidRPr="00295E71" w14:paraId="2EAE8BF3" w14:textId="77777777">
      <w:pPr>
        <w:tabs>
          <w:tab w:val="left" w:pos="567"/>
        </w:tabs>
        <w:jc w:val="both"/>
        <w:rPr>
          <w:del w:id="3066" w:author="AbbVie14" w:date="2025-05-09T10:30:00Z"/>
          <w:sz w:val="22"/>
          <w:szCs w:val="22"/>
        </w:rPr>
      </w:pPr>
      <w:del w:id="3067" w:author="AbbVie14" w:date="2025-05-09T10:30:00Z">
        <w:r w:rsidRPr="00295E71">
          <w:rPr>
            <w:sz w:val="22"/>
            <w:szCs w:val="22"/>
          </w:rPr>
          <w:delText>Una diminuzione statisticamente significativa del senso di affaticamento così come risulta dagli indici della valutazione funzionale relativa al trattamento della patologia cronica (FACIT) è stata riscontrata in tutti i tre studi in cui è stata valutata (studi AR I, III, IV).</w:delText>
        </w:r>
      </w:del>
    </w:p>
    <w:p w:rsidR="006224C2" w:rsidRPr="00295E71" w14:paraId="793BBF5E" w14:textId="77777777">
      <w:pPr>
        <w:tabs>
          <w:tab w:val="left" w:pos="567"/>
        </w:tabs>
        <w:jc w:val="both"/>
        <w:rPr>
          <w:del w:id="3068" w:author="AbbVie14" w:date="2025-05-09T10:30:00Z"/>
          <w:sz w:val="22"/>
          <w:szCs w:val="22"/>
        </w:rPr>
      </w:pPr>
    </w:p>
    <w:p w:rsidR="006224C2" w:rsidRPr="00295E71" w14:paraId="04296E0A" w14:textId="77777777">
      <w:pPr>
        <w:tabs>
          <w:tab w:val="left" w:pos="567"/>
        </w:tabs>
        <w:jc w:val="both"/>
        <w:rPr>
          <w:del w:id="3069" w:author="AbbVie14" w:date="2025-05-09T10:30:00Z"/>
          <w:sz w:val="22"/>
          <w:szCs w:val="22"/>
        </w:rPr>
      </w:pPr>
      <w:del w:id="3070" w:author="AbbVie14" w:date="2025-05-09T10:30:00Z">
        <w:r w:rsidRPr="00295E71">
          <w:rPr>
            <w:sz w:val="22"/>
            <w:szCs w:val="22"/>
          </w:rPr>
          <w:delText>Nello studio AR III, la maggioranza dei soggetti che hanno raggiunto il miglioramento della funzionalità fisica e che hanno continuato il trattamento hanno mantenuto il miglioramento per 520 settimane (120 mesi) di trattamento in aperto. Il miglioramento della qualità di vita è stato misurato fino alla settimana 156 (36 mesi) ed il miglioramento è stato mantenuto nel tempo.</w:delText>
        </w:r>
      </w:del>
    </w:p>
    <w:p w:rsidR="006224C2" w:rsidRPr="00295E71" w14:paraId="446F36E5" w14:textId="77777777">
      <w:pPr>
        <w:tabs>
          <w:tab w:val="left" w:pos="567"/>
        </w:tabs>
        <w:jc w:val="both"/>
        <w:rPr>
          <w:del w:id="3071" w:author="AbbVie14" w:date="2025-05-09T10:30:00Z"/>
          <w:sz w:val="22"/>
          <w:szCs w:val="22"/>
        </w:rPr>
      </w:pPr>
    </w:p>
    <w:p w:rsidR="006224C2" w:rsidRPr="00295E71" w14:paraId="7999D10B" w14:textId="77777777">
      <w:pPr>
        <w:rPr>
          <w:del w:id="3072" w:author="AbbVie14" w:date="2025-05-09T10:30:00Z"/>
          <w:color w:val="000000"/>
          <w:sz w:val="22"/>
          <w:szCs w:val="22"/>
        </w:rPr>
      </w:pPr>
      <w:del w:id="3073" w:author="AbbVie14" w:date="2025-05-09T10:30:00Z">
        <w:r w:rsidRPr="00295E71">
          <w:rPr>
            <w:sz w:val="22"/>
            <w:szCs w:val="22"/>
          </w:rPr>
          <w:delText>Nello studio AR V l’indice di disabilità valutato in base all’HAQ e la componente fisica dell’SF-36 hanno dimostrato un miglioramento superiore (p&lt;0,001) quando è stata effettuata terapia associata Humira/metotressato rispetto alla monoterapia con metotressato ed a quella con Humira alla settimana 52, e questo miglioramento si è mantenuto nell’arco di 104 settimane.</w:delText>
        </w:r>
      </w:del>
      <w:del w:id="3074" w:author="AbbVie14" w:date="2025-05-09T10:30:00Z">
        <w:r w:rsidR="00191A42">
          <w:rPr>
            <w:sz w:val="22"/>
            <w:szCs w:val="22"/>
          </w:rPr>
          <w:delText xml:space="preserve"> </w:delText>
        </w:r>
      </w:del>
      <w:del w:id="3075" w:author="AbbVie14" w:date="2025-05-09T10:30:00Z">
        <w:r w:rsidRPr="00295E71">
          <w:rPr>
            <w:sz w:val="22"/>
            <w:szCs w:val="22"/>
          </w:rPr>
          <w:delText>Nei 250 pazienti che hanno completato la fase di estensione in aperto dello studio, i miglioramenti nella funzionalità fisica sono stati mantenuti nell’arco dei 10 anni di trattamento.</w:delText>
        </w:r>
      </w:del>
    </w:p>
    <w:p w:rsidR="006224C2" w:rsidRPr="00295E71" w14:paraId="1CF59BBE" w14:textId="77777777">
      <w:pPr>
        <w:rPr>
          <w:del w:id="3076" w:author="AbbVie14" w:date="2025-05-09T10:30:00Z"/>
          <w:i/>
          <w:iCs/>
          <w:color w:val="000000"/>
          <w:sz w:val="22"/>
          <w:szCs w:val="22"/>
        </w:rPr>
      </w:pPr>
      <w:bookmarkStart w:id="3077" w:name="_Hlk52784580"/>
    </w:p>
    <w:bookmarkEnd w:id="3077"/>
    <w:p w:rsidR="006224C2" w:rsidRPr="00FC3A54" w14:paraId="15648E89" w14:textId="77777777">
      <w:pPr>
        <w:rPr>
          <w:del w:id="3078" w:author="AbbVie14" w:date="2025-05-09T10:30:00Z"/>
          <w:i/>
          <w:color w:val="000000"/>
          <w:sz w:val="22"/>
          <w:szCs w:val="22"/>
        </w:rPr>
      </w:pPr>
      <w:del w:id="3079" w:author="AbbVie14" w:date="2025-05-09T10:30:00Z">
        <w:r w:rsidRPr="00FC3A54">
          <w:rPr>
            <w:i/>
            <w:color w:val="000000"/>
            <w:sz w:val="22"/>
            <w:szCs w:val="22"/>
          </w:rPr>
          <w:delText xml:space="preserve">Psoriasi a placche negli adulti </w:delText>
        </w:r>
      </w:del>
    </w:p>
    <w:p w:rsidR="006224C2" w:rsidRPr="00FC3A54" w14:paraId="4DBCCE53" w14:textId="77777777">
      <w:pPr>
        <w:tabs>
          <w:tab w:val="left" w:pos="567"/>
        </w:tabs>
        <w:jc w:val="both"/>
        <w:rPr>
          <w:del w:id="3080" w:author="AbbVie14" w:date="2025-05-09T10:30:00Z"/>
          <w:color w:val="000000"/>
          <w:sz w:val="22"/>
          <w:szCs w:val="22"/>
        </w:rPr>
      </w:pPr>
    </w:p>
    <w:p w:rsidR="006224C2" w:rsidRPr="00295E71" w14:paraId="5F44149A" w14:textId="77777777">
      <w:pPr>
        <w:rPr>
          <w:del w:id="3081" w:author="AbbVie14" w:date="2025-05-09T10:30:00Z"/>
          <w:color w:val="000000"/>
          <w:sz w:val="22"/>
          <w:szCs w:val="22"/>
        </w:rPr>
      </w:pPr>
      <w:del w:id="3082" w:author="AbbVie14" w:date="2025-05-09T10:30:00Z">
        <w:r w:rsidRPr="00FC3A54">
          <w:rPr>
            <w:color w:val="000000"/>
            <w:sz w:val="22"/>
            <w:szCs w:val="22"/>
          </w:rPr>
          <w:delText>La sicurezza e l’efficacia di Humira sono state studiate in pazienti adulti affetti da psoriasi cronica a placche (</w:delText>
        </w:r>
      </w:del>
      <w:del w:id="3083" w:author="AbbVie14" w:date="2025-05-09T10:30:00Z">
        <w:r w:rsidRPr="00295E71">
          <w:rPr>
            <w:color w:val="000000"/>
            <w:sz w:val="22"/>
            <w:szCs w:val="22"/>
          </w:rPr>
          <w:delText xml:space="preserve">BSA </w:delText>
        </w:r>
      </w:del>
      <w:del w:id="3084" w:author="AbbVie14" w:date="2025-05-09T10:30:00Z">
        <w:r w:rsidRPr="00295E71">
          <w:rPr>
            <w:rFonts w:ascii="Symbol" w:hAnsi="Symbol"/>
            <w:sz w:val="22"/>
            <w:szCs w:val="22"/>
          </w:rPr>
          <w:sym w:font="Symbol" w:char="F0B3"/>
        </w:r>
      </w:del>
      <w:del w:id="3085" w:author="AbbVie14" w:date="2025-05-09T10:30:00Z">
        <w:r w:rsidRPr="00295E71">
          <w:rPr>
            <w:color w:val="000000"/>
            <w:sz w:val="22"/>
            <w:szCs w:val="22"/>
          </w:rPr>
          <w:delText xml:space="preserve"> 10% e PASI </w:delText>
        </w:r>
      </w:del>
      <w:del w:id="3086" w:author="AbbVie14" w:date="2025-05-09T10:30:00Z">
        <w:r w:rsidRPr="00295E71">
          <w:rPr>
            <w:rFonts w:ascii="Symbol" w:hAnsi="Symbol"/>
            <w:sz w:val="22"/>
            <w:szCs w:val="22"/>
          </w:rPr>
          <w:sym w:font="Symbol" w:char="F0B3"/>
        </w:r>
      </w:del>
      <w:del w:id="3087" w:author="AbbVie14" w:date="2025-05-09T10:30:00Z">
        <w:r w:rsidRPr="00295E71">
          <w:rPr>
            <w:color w:val="000000"/>
            <w:sz w:val="22"/>
            <w:szCs w:val="22"/>
          </w:rPr>
          <w:delText xml:space="preserve"> 12 o </w:delText>
        </w:r>
      </w:del>
      <w:del w:id="3088" w:author="AbbVie14" w:date="2025-05-09T10:30:00Z">
        <w:r w:rsidRPr="00295E71">
          <w:rPr>
            <w:rFonts w:ascii="Symbol" w:hAnsi="Symbol"/>
            <w:sz w:val="22"/>
            <w:szCs w:val="22"/>
          </w:rPr>
          <w:sym w:font="Symbol" w:char="F0B3"/>
        </w:r>
      </w:del>
      <w:del w:id="3089" w:author="AbbVie14" w:date="2025-05-09T10:30:00Z">
        <w:r w:rsidRPr="00295E71">
          <w:rPr>
            <w:color w:val="000000"/>
            <w:sz w:val="22"/>
            <w:szCs w:val="22"/>
          </w:rPr>
          <w:delText xml:space="preserve"> 10) che erano candidati alla terapia sistemica o alla fototerapia, durante gli studi randomizzati in doppio cieco. Il 73% dei pazienti </w:delText>
        </w:r>
      </w:del>
      <w:del w:id="3090" w:author="AbbVie14" w:date="2025-05-09T10:30:00Z">
        <w:r w:rsidRPr="00020442" w:rsidR="00191A42">
          <w:rPr>
            <w:color w:val="000000"/>
            <w:sz w:val="22"/>
            <w:szCs w:val="22"/>
          </w:rPr>
          <w:delText>arruolati negli</w:delText>
        </w:r>
      </w:del>
      <w:del w:id="3091" w:author="AbbVie14" w:date="2025-05-09T10:30:00Z">
        <w:r w:rsidRPr="00295E71">
          <w:rPr>
            <w:color w:val="000000"/>
            <w:sz w:val="22"/>
            <w:szCs w:val="22"/>
          </w:rPr>
          <w:delText xml:space="preserve"> studi I e II sulla psoriasi era stato precedentemente sottoposto a terapia sistemica o fototerapica.</w:delText>
        </w:r>
      </w:del>
      <w:del w:id="3092" w:author="AbbVie14" w:date="2025-05-09T10:30:00Z">
        <w:r w:rsidR="00191A42">
          <w:rPr>
            <w:color w:val="000000"/>
            <w:sz w:val="22"/>
            <w:szCs w:val="22"/>
          </w:rPr>
          <w:delText xml:space="preserve"> </w:delText>
        </w:r>
      </w:del>
      <w:del w:id="3093" w:author="AbbVie14" w:date="2025-05-09T10:30:00Z">
        <w:r w:rsidRPr="00295E71">
          <w:rPr>
            <w:sz w:val="22"/>
            <w:szCs w:val="22"/>
          </w:rPr>
          <w:delText>La sicurezza e l’efficacia di Humira sono state studiate anche nei pazienti adulti affetti da psoriasi cronica a placche da moderata a severa con concomitante psoriasi localizzata alla mano e/o al piede, i quali erano candidati alla terapia sistemica in uno studio randomizzato in doppio cieco (studio di fase III sulla psoriasi).</w:delText>
        </w:r>
      </w:del>
    </w:p>
    <w:p w:rsidR="006224C2" w:rsidRPr="00295E71" w14:paraId="51D7389A" w14:textId="77777777">
      <w:pPr>
        <w:rPr>
          <w:del w:id="3094" w:author="AbbVie14" w:date="2025-05-09T10:30:00Z"/>
          <w:color w:val="000000"/>
          <w:sz w:val="22"/>
          <w:szCs w:val="22"/>
        </w:rPr>
      </w:pPr>
    </w:p>
    <w:p w:rsidR="006224C2" w:rsidRPr="00295E71" w14:paraId="48A351EC" w14:textId="77777777">
      <w:pPr>
        <w:rPr>
          <w:del w:id="3095" w:author="AbbVie14" w:date="2025-05-09T10:30:00Z"/>
          <w:color w:val="000000"/>
          <w:sz w:val="22"/>
          <w:szCs w:val="22"/>
        </w:rPr>
      </w:pPr>
      <w:del w:id="3096" w:author="AbbVie14" w:date="2025-05-09T10:30:00Z">
        <w:r w:rsidRPr="00295E71">
          <w:rPr>
            <w:color w:val="000000"/>
            <w:sz w:val="22"/>
            <w:szCs w:val="22"/>
          </w:rPr>
          <w:delText xml:space="preserve">Lo studio I sulla psoriasi (REVEAL) ha valutato 1.212 pazienti entro tre periodi di trattamento. Nel corso del periodo A, ai pazienti è stato somministrato placebo o Humira ad una dose iniziale pari a 80 mg, seguita da una dose pari a 40 mg, a settimane alterne, somministrata a partire dalla settimana successiva all’assunzione della dose iniziale. Dopo 16 settimane di terapia, i pazienti che hanno ottenuto almeno una risposta PASI 75 (in cui il punteggio PASI ha registrato un miglioramento pari ad almeno il 75% del valore al basale) sono stati ammessi al periodo B ed hanno ricevuto una dose di Humira pari a 40 mg, a settimane alterne, in aperto. I pazienti che hanno mantenuto una risposta </w:delText>
        </w:r>
      </w:del>
      <w:del w:id="3097" w:author="AbbVie14" w:date="2025-05-09T10:30:00Z">
        <w:r w:rsidRPr="00295E71">
          <w:rPr>
            <w:rFonts w:ascii="Symbol" w:hAnsi="Symbol"/>
            <w:sz w:val="22"/>
            <w:szCs w:val="22"/>
          </w:rPr>
          <w:sym w:font="Symbol" w:char="F0B3"/>
        </w:r>
      </w:del>
      <w:del w:id="3098" w:author="AbbVie14" w:date="2025-05-09T10:30:00Z">
        <w:r w:rsidRPr="00295E71">
          <w:rPr>
            <w:color w:val="000000"/>
            <w:sz w:val="22"/>
            <w:szCs w:val="22"/>
          </w:rPr>
          <w:delText>PASI 75 alla settimana 33 e che erano stati inizialmente randomizzati per la terapia attiva nel corso del periodo A sono stati nuovamente randomizzati nel periodo C a ricevere 40 mg di Humira, a settimane alterne, o placebo, per un ulteriore periodo di 19 settimane. In tutti i gruppi di trattamento, il punteggio PASI medio al basale è risultato pari a 18,9 ed il punteggio al basale relativo al PGA è risultato di grado “moderato” (nel 53% dei soggetti inclusi), “grave” (nel 41%) e “molto grave” (nel 6%).</w:delText>
        </w:r>
      </w:del>
    </w:p>
    <w:p w:rsidR="006224C2" w:rsidRPr="00295E71" w14:paraId="3C8AACBE" w14:textId="77777777">
      <w:pPr>
        <w:tabs>
          <w:tab w:val="left" w:pos="567"/>
        </w:tabs>
        <w:jc w:val="both"/>
        <w:rPr>
          <w:del w:id="3099" w:author="AbbVie14" w:date="2025-05-09T10:30:00Z"/>
          <w:color w:val="000000"/>
          <w:sz w:val="22"/>
          <w:szCs w:val="22"/>
        </w:rPr>
      </w:pPr>
    </w:p>
    <w:p w:rsidR="006224C2" w:rsidRPr="00295E71" w14:paraId="2F11BEFB" w14:textId="77777777">
      <w:pPr>
        <w:autoSpaceDE w:val="0"/>
        <w:autoSpaceDN w:val="0"/>
        <w:adjustRightInd w:val="0"/>
        <w:rPr>
          <w:del w:id="3100" w:author="AbbVie14" w:date="2025-05-09T10:30:00Z"/>
          <w:color w:val="000000"/>
          <w:sz w:val="22"/>
          <w:szCs w:val="22"/>
        </w:rPr>
      </w:pPr>
      <w:del w:id="3101" w:author="AbbVie14" w:date="2025-05-09T10:30:00Z">
        <w:r w:rsidRPr="00295E71">
          <w:rPr>
            <w:color w:val="000000"/>
            <w:sz w:val="22"/>
            <w:szCs w:val="22"/>
          </w:rPr>
          <w:delText>Lo studio II sulla psoriasi (CHAMPION) ha paragonato l’efficacia e la sicurezza di Humira rispetto al metotressato ed al placebo in 271 pazienti. Per un periodo di 16 settimane, i pazienti hanno ricevuto placebo, o metotressato con una dose iniziale pari a 7,5 mg successivamente elevata fino alla settimana 12 e con un massimo di 25 mg, o Humira alla dose iniziale di 80 mg seguita dalla dose di 40 mg somministrata a settimane alterne (ad iniziare dalla settimana successiva all’assunzione della dose iniziale). Non sono disponibili dati che mettano a confronto Humira e metotressato oltre le 16 settimane di terapia. Nei pazienti trattati con metotressato che hanno raggiunto una risposta ≥PASI 50 alla settimana 8 e/o alla settimana 12, non sono stati effettuati incrementi della dose. In tutti i gruppi di trattamento, il punteggio PASI al basale medio è risultato pari a 19,7 ed il punteggio PGA al basale è risultato da “lieve” (&lt;1%) a “moderato” (48%) a “severo” (46%) a “molto severo” (6%).</w:delText>
        </w:r>
      </w:del>
    </w:p>
    <w:p w:rsidR="006224C2" w:rsidRPr="00295E71" w14:paraId="56D8615F" w14:textId="77777777">
      <w:pPr>
        <w:tabs>
          <w:tab w:val="left" w:pos="567"/>
        </w:tabs>
        <w:jc w:val="both"/>
        <w:rPr>
          <w:del w:id="3102" w:author="AbbVie14" w:date="2025-05-09T10:30:00Z"/>
          <w:color w:val="000000"/>
          <w:sz w:val="22"/>
          <w:szCs w:val="22"/>
        </w:rPr>
      </w:pPr>
    </w:p>
    <w:p w:rsidR="006224C2" w:rsidRPr="00295E71" w14:paraId="461C7093" w14:textId="77777777">
      <w:pPr>
        <w:autoSpaceDE w:val="0"/>
        <w:autoSpaceDN w:val="0"/>
        <w:adjustRightInd w:val="0"/>
        <w:rPr>
          <w:del w:id="3103" w:author="AbbVie14" w:date="2025-05-09T10:30:00Z"/>
          <w:color w:val="000000"/>
          <w:sz w:val="22"/>
          <w:szCs w:val="22"/>
        </w:rPr>
      </w:pPr>
      <w:del w:id="3104" w:author="AbbVie14" w:date="2025-05-09T10:30:00Z">
        <w:r w:rsidRPr="00295E71">
          <w:rPr>
            <w:color w:val="000000"/>
            <w:sz w:val="22"/>
            <w:szCs w:val="22"/>
          </w:rPr>
          <w:delText>I pazienti che hanno partecipato a tutti gli studi di Fase 2 e Fase 3 sulla psoriasi sono stati considerati idonei ad essere arruolati in uno studio di estensione in aperto, dove Humira è stato somministrato per un periodo aggiuntivo di almeno 108 settimane.</w:delText>
        </w:r>
      </w:del>
    </w:p>
    <w:p w:rsidR="006224C2" w:rsidRPr="00295E71" w14:paraId="4C1782EE" w14:textId="77777777">
      <w:pPr>
        <w:tabs>
          <w:tab w:val="left" w:pos="567"/>
        </w:tabs>
        <w:jc w:val="both"/>
        <w:rPr>
          <w:del w:id="3105" w:author="AbbVie14" w:date="2025-05-09T10:30:00Z"/>
          <w:color w:val="000000"/>
          <w:sz w:val="22"/>
          <w:szCs w:val="22"/>
        </w:rPr>
      </w:pPr>
    </w:p>
    <w:p w:rsidR="00191A42" w14:paraId="3D06C1E6" w14:textId="77777777">
      <w:pPr>
        <w:autoSpaceDE w:val="0"/>
        <w:autoSpaceDN w:val="0"/>
        <w:adjustRightInd w:val="0"/>
        <w:rPr>
          <w:del w:id="3106" w:author="AbbVie14" w:date="2025-05-09T10:30:00Z"/>
          <w:color w:val="000000"/>
          <w:sz w:val="22"/>
          <w:szCs w:val="22"/>
        </w:rPr>
      </w:pPr>
      <w:del w:id="3107" w:author="AbbVie14" w:date="2025-05-09T10:30:00Z">
        <w:r w:rsidRPr="00295E71">
          <w:rPr>
            <w:color w:val="000000"/>
            <w:sz w:val="22"/>
            <w:szCs w:val="22"/>
          </w:rPr>
          <w:delText xml:space="preserve">Negli studi I e II sulla psoriasi, </w:delText>
        </w:r>
      </w:del>
      <w:del w:id="3108" w:author="AbbVie14" w:date="2025-05-09T10:30:00Z">
        <w:r>
          <w:rPr>
            <w:color w:val="000000"/>
            <w:sz w:val="22"/>
            <w:szCs w:val="22"/>
          </w:rPr>
          <w:delText xml:space="preserve">un </w:delText>
        </w:r>
      </w:del>
      <w:del w:id="3109" w:author="AbbVie14" w:date="2025-05-09T10:30:00Z">
        <w:r w:rsidRPr="00295E71">
          <w:rPr>
            <w:color w:val="000000"/>
            <w:sz w:val="22"/>
            <w:szCs w:val="22"/>
          </w:rPr>
          <w:delText>endpoint primario è stato rappresentato dalla percentuale di pazienti che ha ottenuto una risposta PASI 75 dal valore basale alla settimana 16 (vedere Tabelle 1</w:delText>
        </w:r>
      </w:del>
      <w:del w:id="3110" w:author="AbbVie14" w:date="2025-05-09T10:30:00Z">
        <w:r w:rsidR="000203FD">
          <w:rPr>
            <w:color w:val="000000"/>
            <w:sz w:val="22"/>
            <w:szCs w:val="22"/>
          </w:rPr>
          <w:delText>2</w:delText>
        </w:r>
      </w:del>
      <w:del w:id="3111" w:author="AbbVie14" w:date="2025-05-09T10:30:00Z">
        <w:r w:rsidRPr="00295E71">
          <w:rPr>
            <w:color w:val="000000"/>
            <w:sz w:val="22"/>
            <w:szCs w:val="22"/>
          </w:rPr>
          <w:delText xml:space="preserve"> e 1</w:delText>
        </w:r>
      </w:del>
      <w:del w:id="3112" w:author="AbbVie14" w:date="2025-05-09T10:30:00Z">
        <w:r w:rsidR="000203FD">
          <w:rPr>
            <w:color w:val="000000"/>
            <w:sz w:val="22"/>
            <w:szCs w:val="22"/>
          </w:rPr>
          <w:delText>3</w:delText>
        </w:r>
      </w:del>
      <w:del w:id="3113" w:author="AbbVie14" w:date="2025-05-09T10:30:00Z">
        <w:r w:rsidRPr="00295E71">
          <w:rPr>
            <w:color w:val="000000"/>
            <w:sz w:val="22"/>
            <w:szCs w:val="22"/>
          </w:rPr>
          <w:delText>).</w:delText>
        </w:r>
      </w:del>
    </w:p>
    <w:p w:rsidR="00191A42" w:rsidRPr="00295E71" w14:paraId="47495B70" w14:textId="77777777">
      <w:pPr>
        <w:autoSpaceDE w:val="0"/>
        <w:autoSpaceDN w:val="0"/>
        <w:adjustRightInd w:val="0"/>
        <w:rPr>
          <w:del w:id="3114" w:author="AbbVie14" w:date="2025-05-09T10:30:00Z"/>
          <w:color w:val="000000"/>
          <w:sz w:val="22"/>
          <w:szCs w:val="22"/>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77"/>
        <w:gridCol w:w="1620"/>
        <w:gridCol w:w="2352"/>
      </w:tblGrid>
      <w:tr w14:paraId="69FF352D" w14:textId="77777777">
        <w:tblPrEx>
          <w:tblW w:w="6949" w:type="dxa"/>
          <w:tblLook w:val="0000"/>
        </w:tblPrEx>
        <w:trPr>
          <w:cantSplit/>
          <w:del w:id="3115" w:author="AbbVie14" w:date="2025-05-09T10:30:00Z"/>
        </w:trPr>
        <w:tc>
          <w:tcPr>
            <w:tcW w:w="6949" w:type="dxa"/>
            <w:gridSpan w:val="3"/>
            <w:tcBorders>
              <w:top w:val="nil"/>
              <w:left w:val="nil"/>
              <w:right w:val="nil"/>
            </w:tcBorders>
          </w:tcPr>
          <w:p w:rsidR="006224C2" w:rsidRPr="00295E71" w14:paraId="6445AB15" w14:textId="77777777">
            <w:pPr>
              <w:pStyle w:val="DefaultText"/>
              <w:keepNext/>
              <w:jc w:val="center"/>
              <w:rPr>
                <w:del w:id="3116" w:author="AbbVie14" w:date="2025-05-09T10:30:00Z"/>
                <w:rFonts w:ascii="Times New Roman" w:eastAsia="Arial" w:hAnsi="Times New Roman" w:cs="Times New Roman"/>
                <w:b/>
                <w:lang w:val="it-IT" w:bidi="it-IT"/>
              </w:rPr>
            </w:pPr>
          </w:p>
          <w:p w:rsidR="006224C2" w:rsidRPr="00295E71" w14:paraId="5FC124D6" w14:textId="77777777">
            <w:pPr>
              <w:pStyle w:val="DefaultText"/>
              <w:keepNext/>
              <w:jc w:val="center"/>
              <w:rPr>
                <w:del w:id="3117" w:author="AbbVie14" w:date="2025-05-09T10:30:00Z"/>
                <w:rFonts w:ascii="Times New Roman" w:hAnsi="Times New Roman" w:cs="Times New Roman"/>
                <w:b/>
                <w:bCs/>
                <w:lang w:val="it-IT"/>
              </w:rPr>
            </w:pPr>
            <w:del w:id="3118" w:author="AbbVie14" w:date="2025-05-09T10:30:00Z">
              <w:r w:rsidRPr="00295E71">
                <w:rPr>
                  <w:rFonts w:ascii="Times New Roman" w:eastAsia="Arial" w:hAnsi="Times New Roman" w:cs="Times New Roman"/>
                  <w:b/>
                  <w:lang w:val="it-IT" w:bidi="it-IT"/>
                </w:rPr>
                <w:delText>Tabella 1</w:delText>
              </w:r>
            </w:del>
            <w:del w:id="3119" w:author="AbbVie14" w:date="2025-05-09T10:30:00Z">
              <w:r w:rsidR="000203FD">
                <w:rPr>
                  <w:rFonts w:ascii="Times New Roman" w:eastAsia="Arial" w:hAnsi="Times New Roman" w:cs="Times New Roman"/>
                  <w:b/>
                  <w:lang w:val="it-IT" w:bidi="it-IT"/>
                </w:rPr>
                <w:delText>2</w:delText>
              </w:r>
            </w:del>
          </w:p>
          <w:p w:rsidR="006224C2" w:rsidRPr="00295E71" w14:paraId="0FAF0847" w14:textId="77777777">
            <w:pPr>
              <w:pStyle w:val="DefaultText"/>
              <w:keepNext/>
              <w:jc w:val="center"/>
              <w:rPr>
                <w:del w:id="3120" w:author="AbbVie14" w:date="2025-05-09T10:30:00Z"/>
                <w:rFonts w:ascii="Times New Roman" w:eastAsia="Arial" w:hAnsi="Times New Roman" w:cs="Times New Roman"/>
                <w:b/>
                <w:bCs/>
                <w:lang w:val="it-IT" w:bidi="it-IT"/>
              </w:rPr>
            </w:pPr>
            <w:del w:id="3121" w:author="AbbVie14" w:date="2025-05-09T10:30:00Z">
              <w:r w:rsidRPr="00295E71">
                <w:rPr>
                  <w:rFonts w:ascii="Times New Roman" w:eastAsia="Arial" w:hAnsi="Times New Roman" w:cs="Times New Roman"/>
                  <w:b/>
                  <w:bCs/>
                  <w:lang w:val="it-IT" w:bidi="it-IT"/>
                </w:rPr>
                <w:delText>Studio I sulla psoriasi (REVEAL) - Risultati relativi all’efficacia alla settimana 16</w:delText>
              </w:r>
            </w:del>
          </w:p>
          <w:p w:rsidR="006224C2" w:rsidRPr="00295E71" w14:paraId="48DD39CC" w14:textId="77777777">
            <w:pPr>
              <w:pStyle w:val="DefaultText"/>
              <w:keepNext/>
              <w:jc w:val="center"/>
              <w:rPr>
                <w:del w:id="3122" w:author="AbbVie14" w:date="2025-05-09T10:30:00Z"/>
                <w:rFonts w:ascii="Times New Roman" w:hAnsi="Times New Roman" w:cs="Times New Roman"/>
                <w:b/>
                <w:bCs/>
                <w:lang w:val="it-IT"/>
              </w:rPr>
            </w:pPr>
          </w:p>
        </w:tc>
      </w:tr>
      <w:tr w14:paraId="37272592" w14:textId="77777777">
        <w:tblPrEx>
          <w:tblW w:w="6949" w:type="dxa"/>
          <w:tblLook w:val="0000"/>
        </w:tblPrEx>
        <w:trPr>
          <w:cantSplit/>
          <w:del w:id="3123" w:author="AbbVie14" w:date="2025-05-09T10:30:00Z"/>
        </w:trPr>
        <w:tc>
          <w:tcPr>
            <w:tcW w:w="2977" w:type="dxa"/>
            <w:vAlign w:val="center"/>
          </w:tcPr>
          <w:p w:rsidR="006224C2" w:rsidRPr="00295E71" w14:paraId="7EA7F907" w14:textId="77777777">
            <w:pPr>
              <w:pStyle w:val="DefaultText"/>
              <w:keepNext/>
              <w:rPr>
                <w:del w:id="3124" w:author="AbbVie14" w:date="2025-05-09T10:30:00Z"/>
                <w:rFonts w:ascii="Times New Roman" w:hAnsi="Times New Roman" w:cs="Times New Roman"/>
                <w:b/>
                <w:bCs/>
                <w:lang w:val="it-IT"/>
              </w:rPr>
            </w:pPr>
          </w:p>
        </w:tc>
        <w:tc>
          <w:tcPr>
            <w:tcW w:w="1620" w:type="dxa"/>
            <w:vAlign w:val="center"/>
          </w:tcPr>
          <w:p w:rsidR="006224C2" w:rsidRPr="00295E71" w14:paraId="0D098126" w14:textId="77777777">
            <w:pPr>
              <w:pStyle w:val="DefaultText"/>
              <w:keepNext/>
              <w:jc w:val="center"/>
              <w:rPr>
                <w:del w:id="3125" w:author="AbbVie14" w:date="2025-05-09T10:30:00Z"/>
                <w:rFonts w:ascii="Times New Roman" w:hAnsi="Times New Roman" w:cs="Times New Roman"/>
                <w:b/>
                <w:lang w:val="it-IT"/>
              </w:rPr>
            </w:pPr>
            <w:del w:id="3126" w:author="AbbVie14" w:date="2025-05-09T10:30:00Z">
              <w:r w:rsidRPr="00295E71">
                <w:rPr>
                  <w:rFonts w:ascii="Times New Roman" w:hAnsi="Times New Roman" w:cs="Times New Roman"/>
                  <w:b/>
                  <w:lang w:val="it-IT"/>
                </w:rPr>
                <w:delText>Placebo</w:delText>
              </w:r>
            </w:del>
          </w:p>
          <w:p w:rsidR="006224C2" w:rsidRPr="00295E71" w14:paraId="40AC4F2B" w14:textId="77777777">
            <w:pPr>
              <w:pStyle w:val="DefaultText"/>
              <w:keepNext/>
              <w:jc w:val="center"/>
              <w:rPr>
                <w:del w:id="3127" w:author="AbbVie14" w:date="2025-05-09T10:30:00Z"/>
                <w:rFonts w:ascii="Times New Roman" w:hAnsi="Times New Roman" w:cs="Times New Roman"/>
                <w:b/>
                <w:lang w:val="it-IT"/>
              </w:rPr>
            </w:pPr>
            <w:del w:id="3128" w:author="AbbVie14" w:date="2025-05-09T10:30:00Z">
              <w:r w:rsidRPr="00295E71">
                <w:rPr>
                  <w:rFonts w:ascii="Times New Roman" w:hAnsi="Times New Roman" w:cs="Times New Roman"/>
                  <w:b/>
                  <w:lang w:val="it-IT"/>
                </w:rPr>
                <w:delText>N=398</w:delText>
              </w:r>
            </w:del>
          </w:p>
          <w:p w:rsidR="006224C2" w:rsidRPr="00295E71" w14:paraId="2D65FF96" w14:textId="77777777">
            <w:pPr>
              <w:pStyle w:val="DefaultText"/>
              <w:keepNext/>
              <w:jc w:val="center"/>
              <w:rPr>
                <w:del w:id="3129" w:author="AbbVie14" w:date="2025-05-09T10:30:00Z"/>
                <w:rFonts w:ascii="Times New Roman" w:hAnsi="Times New Roman" w:cs="Times New Roman"/>
                <w:b/>
                <w:lang w:val="it-IT"/>
              </w:rPr>
            </w:pPr>
            <w:del w:id="3130" w:author="AbbVie14" w:date="2025-05-09T10:30:00Z">
              <w:r w:rsidRPr="00295E71">
                <w:rPr>
                  <w:rFonts w:ascii="Times New Roman" w:hAnsi="Times New Roman" w:cs="Times New Roman"/>
                  <w:b/>
                  <w:lang w:val="it-IT"/>
                </w:rPr>
                <w:delText>n (%)</w:delText>
              </w:r>
            </w:del>
          </w:p>
        </w:tc>
        <w:tc>
          <w:tcPr>
            <w:tcW w:w="2352" w:type="dxa"/>
            <w:vAlign w:val="center"/>
          </w:tcPr>
          <w:p w:rsidR="006224C2" w:rsidRPr="00295E71" w14:paraId="3D0AE49A" w14:textId="77777777">
            <w:pPr>
              <w:pStyle w:val="DefaultText"/>
              <w:keepNext/>
              <w:jc w:val="center"/>
              <w:rPr>
                <w:del w:id="3131" w:author="AbbVie14" w:date="2025-05-09T10:30:00Z"/>
                <w:rFonts w:ascii="Times New Roman" w:hAnsi="Times New Roman" w:cs="Times New Roman"/>
                <w:b/>
                <w:bCs/>
                <w:lang w:val="it-IT"/>
              </w:rPr>
            </w:pPr>
            <w:del w:id="3132" w:author="AbbVie14" w:date="2025-05-09T10:30:00Z">
              <w:r w:rsidRPr="00295E71">
                <w:rPr>
                  <w:rFonts w:ascii="Times New Roman" w:hAnsi="Times New Roman" w:cs="Times New Roman"/>
                  <w:b/>
                  <w:bCs/>
                  <w:lang w:val="it-IT"/>
                </w:rPr>
                <w:delText>Humira 40 mg </w:delText>
              </w:r>
            </w:del>
            <w:del w:id="3133" w:author="AbbVie14" w:date="2025-05-09T10:30:00Z">
              <w:r w:rsidRPr="00295E71">
                <w:rPr>
                  <w:rFonts w:ascii="Times New Roman" w:eastAsia="Arial" w:hAnsi="Times New Roman" w:cs="Times New Roman"/>
                  <w:b/>
                  <w:lang w:val="it-IT" w:bidi="it-IT"/>
                </w:rPr>
                <w:delText>a settimane alterne</w:delText>
              </w:r>
            </w:del>
          </w:p>
          <w:p w:rsidR="006224C2" w:rsidRPr="00295E71" w14:paraId="65F0A9E1" w14:textId="77777777">
            <w:pPr>
              <w:pStyle w:val="DefaultText"/>
              <w:keepNext/>
              <w:jc w:val="center"/>
              <w:rPr>
                <w:del w:id="3134" w:author="AbbVie14" w:date="2025-05-09T10:30:00Z"/>
                <w:rFonts w:ascii="Times New Roman" w:hAnsi="Times New Roman" w:cs="Times New Roman"/>
                <w:b/>
                <w:bCs/>
                <w:lang w:val="it-IT"/>
              </w:rPr>
            </w:pPr>
            <w:del w:id="3135" w:author="AbbVie14" w:date="2025-05-09T10:30:00Z">
              <w:r w:rsidRPr="00295E71">
                <w:rPr>
                  <w:rFonts w:ascii="Times New Roman" w:hAnsi="Times New Roman" w:cs="Times New Roman"/>
                  <w:b/>
                  <w:bCs/>
                  <w:lang w:val="it-IT"/>
                </w:rPr>
                <w:delText>N=814</w:delText>
              </w:r>
            </w:del>
          </w:p>
          <w:p w:rsidR="006224C2" w:rsidRPr="00295E71" w14:paraId="5CB216F2" w14:textId="77777777">
            <w:pPr>
              <w:pStyle w:val="DefaultText"/>
              <w:keepNext/>
              <w:jc w:val="center"/>
              <w:rPr>
                <w:del w:id="3136" w:author="AbbVie14" w:date="2025-05-09T10:30:00Z"/>
                <w:rFonts w:ascii="Times New Roman" w:hAnsi="Times New Roman" w:cs="Times New Roman"/>
                <w:b/>
                <w:lang w:val="it-IT"/>
              </w:rPr>
            </w:pPr>
            <w:del w:id="3137" w:author="AbbVie14" w:date="2025-05-09T10:30:00Z">
              <w:r w:rsidRPr="00295E71">
                <w:rPr>
                  <w:rFonts w:ascii="Times New Roman" w:hAnsi="Times New Roman" w:cs="Times New Roman"/>
                  <w:b/>
                  <w:lang w:val="it-IT"/>
                </w:rPr>
                <w:delText>n (%)</w:delText>
              </w:r>
            </w:del>
          </w:p>
        </w:tc>
      </w:tr>
      <w:tr w14:paraId="385AD3AE" w14:textId="77777777">
        <w:tblPrEx>
          <w:tblW w:w="6949" w:type="dxa"/>
          <w:tblLook w:val="0000"/>
        </w:tblPrEx>
        <w:trPr>
          <w:cantSplit/>
          <w:del w:id="3138" w:author="AbbVie14" w:date="2025-05-09T10:30:00Z"/>
        </w:trPr>
        <w:tc>
          <w:tcPr>
            <w:tcW w:w="2977" w:type="dxa"/>
          </w:tcPr>
          <w:p w:rsidR="006224C2" w:rsidRPr="00295E71" w14:paraId="73D91BD7" w14:textId="77777777">
            <w:pPr>
              <w:pStyle w:val="DefaultText"/>
              <w:keepNext/>
              <w:rPr>
                <w:del w:id="3139" w:author="AbbVie14" w:date="2025-05-09T10:30:00Z"/>
                <w:rFonts w:ascii="Times New Roman" w:hAnsi="Times New Roman" w:cs="Times New Roman"/>
                <w:b/>
                <w:bCs/>
                <w:lang w:val="it-IT"/>
              </w:rPr>
            </w:pPr>
            <w:del w:id="3140" w:author="AbbVie14" w:date="2025-05-09T10:30:00Z">
              <w:r w:rsidRPr="00295E71">
                <w:rPr>
                  <w:rFonts w:ascii="Symbol" w:hAnsi="Symbol" w:cs="Times New Roman"/>
                  <w:b/>
                  <w:lang w:val="it-IT"/>
                </w:rPr>
                <w:sym w:font="Symbol" w:char="F0B3"/>
              </w:r>
            </w:del>
            <w:del w:id="3141" w:author="AbbVie14" w:date="2025-05-09T10:30:00Z">
              <w:r w:rsidRPr="00295E71">
                <w:rPr>
                  <w:rFonts w:ascii="Times New Roman" w:hAnsi="Times New Roman" w:cs="Times New Roman"/>
                  <w:b/>
                  <w:bCs/>
                  <w:lang w:val="it-IT"/>
                </w:rPr>
                <w:delText>PASI 75</w:delText>
              </w:r>
            </w:del>
            <w:del w:id="3142" w:author="AbbVie14" w:date="2025-05-09T10:30:00Z">
              <w:r w:rsidRPr="00295E71">
                <w:rPr>
                  <w:rFonts w:ascii="Times New Roman" w:hAnsi="Times New Roman" w:cs="Times New Roman"/>
                  <w:b/>
                  <w:bCs/>
                  <w:vertAlign w:val="superscript"/>
                  <w:lang w:val="it-IT"/>
                </w:rPr>
                <w:delText>a</w:delText>
              </w:r>
            </w:del>
          </w:p>
        </w:tc>
        <w:tc>
          <w:tcPr>
            <w:tcW w:w="1620" w:type="dxa"/>
          </w:tcPr>
          <w:p w:rsidR="006224C2" w:rsidRPr="00295E71" w14:paraId="6B0E0415" w14:textId="77777777">
            <w:pPr>
              <w:pStyle w:val="DefaultText"/>
              <w:keepNext/>
              <w:jc w:val="center"/>
              <w:rPr>
                <w:del w:id="3143" w:author="AbbVie14" w:date="2025-05-09T10:30:00Z"/>
                <w:rFonts w:ascii="Times New Roman" w:hAnsi="Times New Roman" w:cs="Times New Roman"/>
                <w:lang w:val="it-IT"/>
              </w:rPr>
            </w:pPr>
            <w:del w:id="3144" w:author="AbbVie14" w:date="2025-05-09T10:30:00Z">
              <w:r w:rsidRPr="00295E71">
                <w:rPr>
                  <w:rFonts w:ascii="Times New Roman" w:hAnsi="Times New Roman" w:cs="Times New Roman"/>
                  <w:lang w:val="it-IT"/>
                </w:rPr>
                <w:delText>26 (6,5)</w:delText>
              </w:r>
            </w:del>
          </w:p>
        </w:tc>
        <w:tc>
          <w:tcPr>
            <w:tcW w:w="2352" w:type="dxa"/>
          </w:tcPr>
          <w:p w:rsidR="006224C2" w:rsidRPr="00295E71" w14:paraId="13BF98EF" w14:textId="77777777">
            <w:pPr>
              <w:pStyle w:val="DefaultText"/>
              <w:keepNext/>
              <w:jc w:val="center"/>
              <w:rPr>
                <w:del w:id="3145" w:author="AbbVie14" w:date="2025-05-09T10:30:00Z"/>
                <w:rFonts w:ascii="Times New Roman" w:hAnsi="Times New Roman" w:cs="Times New Roman"/>
                <w:lang w:val="it-IT"/>
              </w:rPr>
            </w:pPr>
            <w:del w:id="3146" w:author="AbbVie14" w:date="2025-05-09T10:30:00Z">
              <w:r w:rsidRPr="00295E71">
                <w:rPr>
                  <w:rFonts w:ascii="Times New Roman" w:hAnsi="Times New Roman" w:cs="Times New Roman"/>
                  <w:lang w:val="it-IT"/>
                </w:rPr>
                <w:delText>578 (70,9)</w:delText>
              </w:r>
            </w:del>
            <w:del w:id="3147" w:author="AbbVie14" w:date="2025-05-09T10:30:00Z">
              <w:r w:rsidRPr="00295E71">
                <w:rPr>
                  <w:rFonts w:ascii="Times New Roman" w:hAnsi="Times New Roman" w:cs="Times New Roman"/>
                  <w:vertAlign w:val="superscript"/>
                  <w:lang w:val="it-IT"/>
                </w:rPr>
                <w:delText>b</w:delText>
              </w:r>
            </w:del>
          </w:p>
        </w:tc>
      </w:tr>
      <w:tr w14:paraId="20517FB1" w14:textId="77777777">
        <w:tblPrEx>
          <w:tblW w:w="6949" w:type="dxa"/>
          <w:tblLook w:val="0000"/>
        </w:tblPrEx>
        <w:trPr>
          <w:cantSplit/>
          <w:trHeight w:val="70"/>
          <w:del w:id="3148" w:author="AbbVie14" w:date="2025-05-09T10:30:00Z"/>
        </w:trPr>
        <w:tc>
          <w:tcPr>
            <w:tcW w:w="2977" w:type="dxa"/>
          </w:tcPr>
          <w:p w:rsidR="006224C2" w:rsidRPr="00295E71" w14:paraId="0F777F4C" w14:textId="77777777">
            <w:pPr>
              <w:pStyle w:val="DefaultText"/>
              <w:keepNext/>
              <w:rPr>
                <w:del w:id="3149" w:author="AbbVie14" w:date="2025-05-09T10:30:00Z"/>
                <w:rFonts w:ascii="Times New Roman" w:hAnsi="Times New Roman" w:cs="Times New Roman"/>
                <w:b/>
                <w:bCs/>
                <w:lang w:val="it-IT"/>
              </w:rPr>
            </w:pPr>
            <w:del w:id="3150" w:author="AbbVie14" w:date="2025-05-09T10:30:00Z">
              <w:r w:rsidRPr="00295E71">
                <w:rPr>
                  <w:rFonts w:ascii="Times New Roman" w:hAnsi="Times New Roman" w:cs="Times New Roman"/>
                  <w:b/>
                  <w:bCs/>
                  <w:lang w:val="it-IT"/>
                </w:rPr>
                <w:delText>PASI 100</w:delText>
              </w:r>
            </w:del>
          </w:p>
        </w:tc>
        <w:tc>
          <w:tcPr>
            <w:tcW w:w="1620" w:type="dxa"/>
          </w:tcPr>
          <w:p w:rsidR="006224C2" w:rsidRPr="00295E71" w14:paraId="765B4C37" w14:textId="77777777">
            <w:pPr>
              <w:pStyle w:val="DefaultText"/>
              <w:keepNext/>
              <w:jc w:val="center"/>
              <w:rPr>
                <w:del w:id="3151" w:author="AbbVie14" w:date="2025-05-09T10:30:00Z"/>
                <w:rFonts w:ascii="Times New Roman" w:hAnsi="Times New Roman" w:cs="Times New Roman"/>
                <w:lang w:val="it-IT"/>
              </w:rPr>
            </w:pPr>
            <w:del w:id="3152" w:author="AbbVie14" w:date="2025-05-09T10:30:00Z">
              <w:r w:rsidRPr="00295E71">
                <w:rPr>
                  <w:rFonts w:ascii="Times New Roman" w:hAnsi="Times New Roman" w:cs="Times New Roman"/>
                  <w:lang w:val="it-IT"/>
                </w:rPr>
                <w:delText>3 (0,8)</w:delText>
              </w:r>
            </w:del>
          </w:p>
        </w:tc>
        <w:tc>
          <w:tcPr>
            <w:tcW w:w="2352" w:type="dxa"/>
          </w:tcPr>
          <w:p w:rsidR="006224C2" w:rsidRPr="00295E71" w14:paraId="2787D05E" w14:textId="77777777">
            <w:pPr>
              <w:pStyle w:val="DefaultText"/>
              <w:keepNext/>
              <w:jc w:val="center"/>
              <w:rPr>
                <w:del w:id="3153" w:author="AbbVie14" w:date="2025-05-09T10:30:00Z"/>
                <w:rFonts w:ascii="Times New Roman" w:hAnsi="Times New Roman" w:cs="Times New Roman"/>
                <w:lang w:val="it-IT"/>
              </w:rPr>
            </w:pPr>
            <w:del w:id="3154" w:author="AbbVie14" w:date="2025-05-09T10:30:00Z">
              <w:r w:rsidRPr="00295E71">
                <w:rPr>
                  <w:rFonts w:ascii="Times New Roman" w:hAnsi="Times New Roman" w:cs="Times New Roman"/>
                  <w:lang w:val="it-IT"/>
                </w:rPr>
                <w:delText>163 (20,0)</w:delText>
              </w:r>
            </w:del>
            <w:del w:id="3155" w:author="AbbVie14" w:date="2025-05-09T10:30:00Z">
              <w:r w:rsidRPr="00295E71">
                <w:rPr>
                  <w:rFonts w:ascii="Times New Roman" w:hAnsi="Times New Roman" w:cs="Times New Roman"/>
                  <w:vertAlign w:val="superscript"/>
                  <w:lang w:val="it-IT"/>
                </w:rPr>
                <w:delText>b</w:delText>
              </w:r>
            </w:del>
          </w:p>
        </w:tc>
      </w:tr>
      <w:tr w14:paraId="68FC19A4" w14:textId="77777777">
        <w:tblPrEx>
          <w:tblW w:w="6949" w:type="dxa"/>
          <w:tblLook w:val="0000"/>
        </w:tblPrEx>
        <w:trPr>
          <w:cantSplit/>
          <w:del w:id="3156" w:author="AbbVie14" w:date="2025-05-09T10:30:00Z"/>
        </w:trPr>
        <w:tc>
          <w:tcPr>
            <w:tcW w:w="2977" w:type="dxa"/>
          </w:tcPr>
          <w:p w:rsidR="006224C2" w:rsidRPr="00295E71" w14:paraId="719C5F19" w14:textId="77777777">
            <w:pPr>
              <w:pStyle w:val="DefaultText"/>
              <w:keepNext/>
              <w:rPr>
                <w:del w:id="3157" w:author="AbbVie14" w:date="2025-05-09T10:30:00Z"/>
                <w:rFonts w:ascii="Times New Roman" w:hAnsi="Times New Roman" w:cs="Times New Roman"/>
                <w:b/>
                <w:lang w:val="it-IT"/>
              </w:rPr>
            </w:pPr>
            <w:del w:id="3158" w:author="AbbVie14" w:date="2025-05-09T10:30:00Z">
              <w:r w:rsidRPr="00295E71">
                <w:rPr>
                  <w:rFonts w:ascii="Times New Roman" w:eastAsia="Arial" w:hAnsi="Times New Roman" w:cs="Times New Roman"/>
                  <w:b/>
                  <w:bCs/>
                  <w:lang w:val="it-IT" w:bidi="it-IT"/>
                </w:rPr>
                <w:delText>PGA: Guarigione/Marcato miglioramento</w:delText>
              </w:r>
            </w:del>
          </w:p>
        </w:tc>
        <w:tc>
          <w:tcPr>
            <w:tcW w:w="1620" w:type="dxa"/>
          </w:tcPr>
          <w:p w:rsidR="006224C2" w:rsidRPr="00295E71" w14:paraId="16F92BF5" w14:textId="77777777">
            <w:pPr>
              <w:pStyle w:val="DefaultText"/>
              <w:keepNext/>
              <w:jc w:val="center"/>
              <w:rPr>
                <w:del w:id="3159" w:author="AbbVie14" w:date="2025-05-09T10:30:00Z"/>
                <w:rFonts w:ascii="Times New Roman" w:hAnsi="Times New Roman" w:cs="Times New Roman"/>
                <w:lang w:val="it-IT"/>
              </w:rPr>
            </w:pPr>
            <w:del w:id="3160" w:author="AbbVie14" w:date="2025-05-09T10:30:00Z">
              <w:r w:rsidRPr="00295E71">
                <w:rPr>
                  <w:rFonts w:ascii="Times New Roman" w:hAnsi="Times New Roman" w:cs="Times New Roman"/>
                  <w:lang w:val="it-IT"/>
                </w:rPr>
                <w:delText>17 (4,3)</w:delText>
              </w:r>
            </w:del>
          </w:p>
        </w:tc>
        <w:tc>
          <w:tcPr>
            <w:tcW w:w="2352" w:type="dxa"/>
          </w:tcPr>
          <w:p w:rsidR="006224C2" w:rsidRPr="00295E71" w14:paraId="701822CE" w14:textId="77777777">
            <w:pPr>
              <w:pStyle w:val="DefaultText"/>
              <w:keepNext/>
              <w:jc w:val="center"/>
              <w:rPr>
                <w:del w:id="3161" w:author="AbbVie14" w:date="2025-05-09T10:30:00Z"/>
                <w:rFonts w:ascii="Times New Roman" w:hAnsi="Times New Roman" w:cs="Times New Roman"/>
                <w:lang w:val="it-IT"/>
              </w:rPr>
            </w:pPr>
            <w:del w:id="3162" w:author="AbbVie14" w:date="2025-05-09T10:30:00Z">
              <w:r w:rsidRPr="00295E71">
                <w:rPr>
                  <w:rFonts w:ascii="Times New Roman" w:hAnsi="Times New Roman" w:cs="Times New Roman"/>
                  <w:lang w:val="it-IT"/>
                </w:rPr>
                <w:delText>506 (62,2)</w:delText>
              </w:r>
            </w:del>
            <w:del w:id="3163" w:author="AbbVie14" w:date="2025-05-09T10:30:00Z">
              <w:r w:rsidRPr="00295E71">
                <w:rPr>
                  <w:rFonts w:ascii="Times New Roman" w:hAnsi="Times New Roman" w:cs="Times New Roman"/>
                  <w:vertAlign w:val="superscript"/>
                  <w:lang w:val="it-IT"/>
                </w:rPr>
                <w:delText>b</w:delText>
              </w:r>
            </w:del>
          </w:p>
        </w:tc>
      </w:tr>
      <w:tr w14:paraId="0500E3D7" w14:textId="77777777">
        <w:tblPrEx>
          <w:tblW w:w="6949" w:type="dxa"/>
          <w:tblLook w:val="0000"/>
        </w:tblPrEx>
        <w:trPr>
          <w:cantSplit/>
          <w:del w:id="3164" w:author="AbbVie14" w:date="2025-05-09T10:30:00Z"/>
        </w:trPr>
        <w:tc>
          <w:tcPr>
            <w:tcW w:w="6949" w:type="dxa"/>
            <w:gridSpan w:val="3"/>
          </w:tcPr>
          <w:p w:rsidR="006224C2" w:rsidRPr="00295E71" w14:paraId="2A709C7E" w14:textId="77777777">
            <w:pPr>
              <w:pStyle w:val="DefaultText"/>
              <w:keepNext/>
              <w:rPr>
                <w:del w:id="3165" w:author="AbbVie14" w:date="2025-05-09T10:30:00Z"/>
                <w:rFonts w:ascii="Times New Roman" w:hAnsi="Times New Roman" w:cs="Times New Roman"/>
                <w:lang w:val="it-IT"/>
              </w:rPr>
            </w:pPr>
            <w:del w:id="3166" w:author="AbbVie14" w:date="2025-05-09T10:30:00Z">
              <w:r w:rsidRPr="00295E71">
                <w:rPr>
                  <w:rFonts w:ascii="Times New Roman" w:eastAsia="Arial" w:hAnsi="Times New Roman" w:cs="Times New Roman"/>
                  <w:vertAlign w:val="superscript"/>
                  <w:lang w:val="it-IT" w:bidi="it-IT"/>
                </w:rPr>
                <w:delText>a</w:delText>
              </w:r>
            </w:del>
            <w:del w:id="3167" w:author="AbbVie14" w:date="2025-05-09T10:30:00Z">
              <w:r w:rsidRPr="00295E71">
                <w:rPr>
                  <w:rFonts w:ascii="Times New Roman" w:eastAsia="Arial" w:hAnsi="Times New Roman" w:cs="Times New Roman"/>
                  <w:lang w:val="it-IT" w:bidi="it-IT"/>
                </w:rPr>
                <w:delText xml:space="preserve"> La percentuale di pazienti che ha ottenuto una risposta PASI 75 è stata calcolata sotto forma di centre-adjusted rate</w:delText>
              </w:r>
            </w:del>
          </w:p>
          <w:p w:rsidR="006224C2" w:rsidRPr="00C04163" w14:paraId="3D30678A" w14:textId="77777777">
            <w:pPr>
              <w:pStyle w:val="DefaultText"/>
              <w:keepNext/>
              <w:tabs>
                <w:tab w:val="left" w:pos="567"/>
              </w:tabs>
              <w:ind w:left="360" w:hanging="360"/>
              <w:outlineLvl w:val="0"/>
              <w:rPr>
                <w:del w:id="3168" w:author="AbbVie14" w:date="2025-05-09T10:30:00Z"/>
                <w:rFonts w:ascii="Times New Roman" w:hAnsi="Times New Roman" w:cs="Times New Roman"/>
                <w:b/>
                <w:bCs/>
                <w:caps/>
                <w:lang w:val="pt-PT"/>
              </w:rPr>
            </w:pPr>
            <w:del w:id="3169" w:author="AbbVie14" w:date="2025-05-09T10:30:00Z">
              <w:r w:rsidRPr="00C04163">
                <w:rPr>
                  <w:rFonts w:ascii="Times New Roman" w:eastAsia="Arial" w:hAnsi="Times New Roman" w:cs="Times New Roman"/>
                  <w:vertAlign w:val="superscript"/>
                  <w:lang w:val="pt-PT"/>
                </w:rPr>
                <w:delText>b</w:delText>
              </w:r>
            </w:del>
            <w:del w:id="3170" w:author="AbbVie14" w:date="2025-05-09T10:30:00Z">
              <w:r w:rsidRPr="00C04163">
                <w:rPr>
                  <w:rFonts w:ascii="Times New Roman" w:eastAsia="Arial" w:hAnsi="Times New Roman" w:cs="Times New Roman"/>
                  <w:lang w:val="pt-PT"/>
                </w:rPr>
                <w:delText xml:space="preserve"> p&lt;0,001, Humira vs. placebo</w:delText>
              </w:r>
            </w:del>
          </w:p>
        </w:tc>
      </w:tr>
    </w:tbl>
    <w:p w:rsidR="006224C2" w:rsidRPr="00C04163" w14:paraId="0E316642" w14:textId="77777777">
      <w:pPr>
        <w:pStyle w:val="BodyText3"/>
        <w:rPr>
          <w:del w:id="3171" w:author="AbbVie14" w:date="2025-05-09T10:30:00Z"/>
          <w:lang w:val="pt-PT"/>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8"/>
        <w:gridCol w:w="1522"/>
        <w:gridCol w:w="1242"/>
        <w:gridCol w:w="2134"/>
      </w:tblGrid>
      <w:tr w14:paraId="6F38F66C" w14:textId="77777777">
        <w:tblPrEx>
          <w:tblW w:w="7046" w:type="dxa"/>
          <w:tblLook w:val="0000"/>
        </w:tblPrEx>
        <w:trPr>
          <w:cantSplit/>
          <w:del w:id="3172" w:author="AbbVie14" w:date="2025-05-09T10:30:00Z"/>
        </w:trPr>
        <w:tc>
          <w:tcPr>
            <w:tcW w:w="7046" w:type="dxa"/>
            <w:gridSpan w:val="4"/>
            <w:tcBorders>
              <w:top w:val="nil"/>
              <w:left w:val="nil"/>
              <w:right w:val="nil"/>
            </w:tcBorders>
          </w:tcPr>
          <w:p w:rsidR="006224C2" w:rsidRPr="00295E71" w14:paraId="182C9977" w14:textId="77777777">
            <w:pPr>
              <w:pStyle w:val="DefaultText"/>
              <w:keepNext/>
              <w:jc w:val="center"/>
              <w:rPr>
                <w:del w:id="3173" w:author="AbbVie14" w:date="2025-05-09T10:30:00Z"/>
                <w:rFonts w:ascii="Times New Roman" w:hAnsi="Times New Roman" w:cs="Times New Roman"/>
                <w:b/>
                <w:bCs/>
                <w:lang w:val="it-IT"/>
              </w:rPr>
            </w:pPr>
            <w:del w:id="3174" w:author="AbbVie14" w:date="2025-05-09T10:30:00Z">
              <w:r w:rsidRPr="00AD7AF0">
                <w:rPr>
                  <w:rFonts w:ascii="Times New Roman" w:hAnsi="Times New Roman" w:cs="Times New Roman"/>
                  <w:lang w:val="it-IT"/>
                </w:rPr>
                <w:br w:type="page"/>
              </w:r>
            </w:del>
            <w:del w:id="3175" w:author="AbbVie14" w:date="2025-05-09T10:30:00Z">
              <w:r w:rsidRPr="00AD7AF0">
                <w:rPr>
                  <w:rFonts w:ascii="Times New Roman" w:hAnsi="Times New Roman" w:cs="Times New Roman"/>
                  <w:lang w:val="it-IT"/>
                </w:rPr>
                <w:br w:type="page"/>
              </w:r>
            </w:del>
            <w:del w:id="3176" w:author="AbbVie14" w:date="2025-05-09T10:30:00Z">
              <w:r w:rsidRPr="00295E71" w:rsidR="00226BC4">
                <w:rPr>
                  <w:rFonts w:ascii="Times New Roman" w:eastAsia="Arial" w:hAnsi="Times New Roman" w:cs="Times New Roman"/>
                  <w:b/>
                  <w:lang w:val="it-IT" w:bidi="it-IT"/>
                </w:rPr>
                <w:delText>Tabella 1</w:delText>
              </w:r>
            </w:del>
            <w:del w:id="3177" w:author="AbbVie14" w:date="2025-05-09T10:30:00Z">
              <w:r w:rsidR="000203FD">
                <w:rPr>
                  <w:rFonts w:ascii="Times New Roman" w:eastAsia="Arial" w:hAnsi="Times New Roman" w:cs="Times New Roman"/>
                  <w:b/>
                  <w:lang w:val="it-IT" w:bidi="it-IT"/>
                </w:rPr>
                <w:delText>3</w:delText>
              </w:r>
            </w:del>
          </w:p>
          <w:p w:rsidR="006224C2" w:rsidRPr="00295E71" w14:paraId="02083982" w14:textId="77777777">
            <w:pPr>
              <w:pStyle w:val="DefaultText"/>
              <w:keepNext/>
              <w:jc w:val="center"/>
              <w:rPr>
                <w:del w:id="3178" w:author="AbbVie14" w:date="2025-05-09T10:30:00Z"/>
                <w:rFonts w:ascii="Times New Roman" w:eastAsia="Arial" w:hAnsi="Times New Roman" w:cs="Times New Roman"/>
                <w:b/>
                <w:lang w:val="it-IT" w:bidi="it-IT"/>
              </w:rPr>
            </w:pPr>
            <w:del w:id="3179" w:author="AbbVie14" w:date="2025-05-09T10:30:00Z">
              <w:r w:rsidRPr="00295E71">
                <w:rPr>
                  <w:rFonts w:ascii="Times New Roman" w:eastAsia="Arial" w:hAnsi="Times New Roman" w:cs="Times New Roman"/>
                  <w:b/>
                  <w:lang w:val="it-IT" w:bidi="it-IT"/>
                </w:rPr>
                <w:delText xml:space="preserve"> Studio II sulla psoriasi (CHAMPION) Risultati relativi all’efficacia alla settimana 16</w:delText>
              </w:r>
            </w:del>
          </w:p>
          <w:p w:rsidR="006224C2" w:rsidRPr="00295E71" w14:paraId="1092EA73" w14:textId="77777777">
            <w:pPr>
              <w:pStyle w:val="DefaultText"/>
              <w:keepNext/>
              <w:jc w:val="center"/>
              <w:rPr>
                <w:del w:id="3180" w:author="AbbVie14" w:date="2025-05-09T10:30:00Z"/>
                <w:rFonts w:ascii="Times New Roman" w:hAnsi="Times New Roman" w:cs="Times New Roman"/>
                <w:lang w:val="it-IT"/>
              </w:rPr>
            </w:pPr>
          </w:p>
        </w:tc>
      </w:tr>
      <w:tr w14:paraId="53DD83A4" w14:textId="77777777">
        <w:tblPrEx>
          <w:tblW w:w="7046" w:type="dxa"/>
          <w:tblLook w:val="0000"/>
        </w:tblPrEx>
        <w:trPr>
          <w:cantSplit/>
          <w:del w:id="3181" w:author="AbbVie14" w:date="2025-05-09T10:30:00Z"/>
        </w:trPr>
        <w:tc>
          <w:tcPr>
            <w:tcW w:w="2148" w:type="dxa"/>
          </w:tcPr>
          <w:p w:rsidR="006224C2" w:rsidRPr="00295E71" w14:paraId="77528A5D" w14:textId="77777777">
            <w:pPr>
              <w:pStyle w:val="DefaultText"/>
              <w:keepNext/>
              <w:jc w:val="center"/>
              <w:rPr>
                <w:del w:id="3182" w:author="AbbVie14" w:date="2025-05-09T10:30:00Z"/>
                <w:rFonts w:ascii="Times New Roman" w:hAnsi="Times New Roman" w:cs="Times New Roman"/>
                <w:b/>
                <w:bCs/>
                <w:lang w:val="it-IT"/>
              </w:rPr>
            </w:pPr>
          </w:p>
        </w:tc>
        <w:tc>
          <w:tcPr>
            <w:tcW w:w="1522" w:type="dxa"/>
            <w:vAlign w:val="center"/>
          </w:tcPr>
          <w:p w:rsidR="006224C2" w:rsidRPr="00295E71" w14:paraId="3492F8D0" w14:textId="77777777">
            <w:pPr>
              <w:pStyle w:val="DefaultText"/>
              <w:keepNext/>
              <w:jc w:val="center"/>
              <w:rPr>
                <w:del w:id="3183" w:author="AbbVie14" w:date="2025-05-09T10:30:00Z"/>
                <w:rFonts w:ascii="Times New Roman" w:hAnsi="Times New Roman" w:cs="Times New Roman"/>
                <w:b/>
                <w:lang w:val="it-IT"/>
              </w:rPr>
            </w:pPr>
            <w:del w:id="3184" w:author="AbbVie14" w:date="2025-05-09T10:30:00Z">
              <w:r w:rsidRPr="00295E71">
                <w:rPr>
                  <w:rFonts w:ascii="Times New Roman" w:hAnsi="Times New Roman" w:cs="Times New Roman"/>
                  <w:b/>
                  <w:lang w:val="it-IT"/>
                </w:rPr>
                <w:delText>Placebo</w:delText>
              </w:r>
            </w:del>
          </w:p>
          <w:p w:rsidR="006224C2" w:rsidRPr="00295E71" w14:paraId="0560141D" w14:textId="77777777">
            <w:pPr>
              <w:pStyle w:val="DefaultText"/>
              <w:keepNext/>
              <w:jc w:val="center"/>
              <w:rPr>
                <w:del w:id="3185" w:author="AbbVie14" w:date="2025-05-09T10:30:00Z"/>
                <w:rFonts w:ascii="Times New Roman" w:hAnsi="Times New Roman" w:cs="Times New Roman"/>
                <w:b/>
                <w:lang w:val="it-IT"/>
              </w:rPr>
            </w:pPr>
            <w:del w:id="3186" w:author="AbbVie14" w:date="2025-05-09T10:30:00Z">
              <w:r w:rsidRPr="00295E71">
                <w:rPr>
                  <w:rFonts w:ascii="Times New Roman" w:hAnsi="Times New Roman" w:cs="Times New Roman"/>
                  <w:b/>
                  <w:lang w:val="it-IT"/>
                </w:rPr>
                <w:delText>N=53</w:delText>
              </w:r>
            </w:del>
          </w:p>
          <w:p w:rsidR="006224C2" w:rsidRPr="00295E71" w14:paraId="51F05A20" w14:textId="77777777">
            <w:pPr>
              <w:pStyle w:val="DefaultText"/>
              <w:keepNext/>
              <w:jc w:val="center"/>
              <w:rPr>
                <w:del w:id="3187" w:author="AbbVie14" w:date="2025-05-09T10:30:00Z"/>
                <w:rFonts w:ascii="Times New Roman" w:hAnsi="Times New Roman" w:cs="Times New Roman"/>
                <w:b/>
                <w:lang w:val="it-IT"/>
              </w:rPr>
            </w:pPr>
            <w:del w:id="3188" w:author="AbbVie14" w:date="2025-05-09T10:30:00Z">
              <w:r w:rsidRPr="00295E71">
                <w:rPr>
                  <w:rFonts w:ascii="Times New Roman" w:hAnsi="Times New Roman" w:cs="Times New Roman"/>
                  <w:b/>
                  <w:lang w:val="it-IT"/>
                </w:rPr>
                <w:delText>n (%)</w:delText>
              </w:r>
            </w:del>
          </w:p>
        </w:tc>
        <w:tc>
          <w:tcPr>
            <w:tcW w:w="1242" w:type="dxa"/>
            <w:vAlign w:val="center"/>
          </w:tcPr>
          <w:p w:rsidR="006224C2" w:rsidRPr="00295E71" w14:paraId="0CBE634E" w14:textId="77777777">
            <w:pPr>
              <w:pStyle w:val="DefaultText"/>
              <w:keepNext/>
              <w:jc w:val="center"/>
              <w:rPr>
                <w:del w:id="3189" w:author="AbbVie14" w:date="2025-05-09T10:30:00Z"/>
                <w:rFonts w:ascii="Times New Roman" w:hAnsi="Times New Roman" w:cs="Times New Roman"/>
                <w:b/>
                <w:lang w:val="it-IT"/>
              </w:rPr>
            </w:pPr>
            <w:del w:id="3190" w:author="AbbVie14" w:date="2025-05-09T10:30:00Z">
              <w:r w:rsidRPr="00295E71">
                <w:rPr>
                  <w:rFonts w:ascii="Times New Roman" w:hAnsi="Times New Roman" w:cs="Times New Roman"/>
                  <w:b/>
                  <w:lang w:val="it-IT"/>
                </w:rPr>
                <w:delText>MTX</w:delText>
              </w:r>
            </w:del>
          </w:p>
          <w:p w:rsidR="006224C2" w:rsidRPr="00295E71" w14:paraId="7EF46D77" w14:textId="77777777">
            <w:pPr>
              <w:pStyle w:val="DefaultText"/>
              <w:keepNext/>
              <w:jc w:val="center"/>
              <w:rPr>
                <w:del w:id="3191" w:author="AbbVie14" w:date="2025-05-09T10:30:00Z"/>
                <w:rFonts w:ascii="Times New Roman" w:hAnsi="Times New Roman" w:cs="Times New Roman"/>
                <w:b/>
                <w:lang w:val="it-IT"/>
              </w:rPr>
            </w:pPr>
            <w:del w:id="3192" w:author="AbbVie14" w:date="2025-05-09T10:30:00Z">
              <w:r w:rsidRPr="00295E71">
                <w:rPr>
                  <w:rFonts w:ascii="Times New Roman" w:hAnsi="Times New Roman" w:cs="Times New Roman"/>
                  <w:b/>
                  <w:lang w:val="it-IT"/>
                </w:rPr>
                <w:delText>N=110</w:delText>
              </w:r>
            </w:del>
          </w:p>
          <w:p w:rsidR="006224C2" w:rsidRPr="00295E71" w14:paraId="02186F09" w14:textId="77777777">
            <w:pPr>
              <w:pStyle w:val="DefaultText"/>
              <w:keepNext/>
              <w:jc w:val="center"/>
              <w:rPr>
                <w:del w:id="3193" w:author="AbbVie14" w:date="2025-05-09T10:30:00Z"/>
                <w:rFonts w:ascii="Times New Roman" w:hAnsi="Times New Roman" w:cs="Times New Roman"/>
                <w:b/>
                <w:lang w:val="it-IT"/>
              </w:rPr>
            </w:pPr>
            <w:del w:id="3194" w:author="AbbVie14" w:date="2025-05-09T10:30:00Z">
              <w:r w:rsidRPr="00295E71">
                <w:rPr>
                  <w:rFonts w:ascii="Times New Roman" w:hAnsi="Times New Roman" w:cs="Times New Roman"/>
                  <w:b/>
                  <w:lang w:val="it-IT"/>
                </w:rPr>
                <w:delText>n (%)</w:delText>
              </w:r>
            </w:del>
          </w:p>
        </w:tc>
        <w:tc>
          <w:tcPr>
            <w:tcW w:w="2134" w:type="dxa"/>
            <w:vAlign w:val="center"/>
          </w:tcPr>
          <w:p w:rsidR="006224C2" w:rsidRPr="00295E71" w14:paraId="7E686908" w14:textId="77777777">
            <w:pPr>
              <w:pStyle w:val="DefaultText"/>
              <w:keepNext/>
              <w:jc w:val="center"/>
              <w:rPr>
                <w:del w:id="3195" w:author="AbbVie14" w:date="2025-05-09T10:30:00Z"/>
                <w:rFonts w:ascii="Times New Roman" w:hAnsi="Times New Roman" w:cs="Times New Roman"/>
                <w:b/>
                <w:bCs/>
                <w:lang w:val="it-IT"/>
              </w:rPr>
            </w:pPr>
            <w:del w:id="3196" w:author="AbbVie14" w:date="2025-05-09T10:30:00Z">
              <w:r w:rsidRPr="00295E71">
                <w:rPr>
                  <w:rFonts w:ascii="Times New Roman" w:hAnsi="Times New Roman" w:cs="Times New Roman"/>
                  <w:b/>
                  <w:bCs/>
                  <w:lang w:val="it-IT"/>
                </w:rPr>
                <w:delText>Humira 40 mg </w:delText>
              </w:r>
            </w:del>
            <w:del w:id="3197" w:author="AbbVie14" w:date="2025-05-09T10:30:00Z">
              <w:r w:rsidRPr="00295E71">
                <w:rPr>
                  <w:rFonts w:ascii="Times New Roman" w:eastAsia="Arial" w:hAnsi="Times New Roman" w:cs="Times New Roman"/>
                  <w:b/>
                  <w:lang w:val="it-IT" w:bidi="it-IT"/>
                </w:rPr>
                <w:delText>a settimane alterne</w:delText>
              </w:r>
            </w:del>
          </w:p>
          <w:p w:rsidR="006224C2" w:rsidRPr="00295E71" w14:paraId="06926407" w14:textId="77777777">
            <w:pPr>
              <w:pStyle w:val="DefaultText"/>
              <w:keepNext/>
              <w:jc w:val="center"/>
              <w:rPr>
                <w:del w:id="3198" w:author="AbbVie14" w:date="2025-05-09T10:30:00Z"/>
                <w:rFonts w:ascii="Times New Roman" w:hAnsi="Times New Roman" w:cs="Times New Roman"/>
                <w:b/>
                <w:bCs/>
                <w:lang w:val="it-IT"/>
              </w:rPr>
            </w:pPr>
            <w:del w:id="3199" w:author="AbbVie14" w:date="2025-05-09T10:30:00Z">
              <w:r w:rsidRPr="00295E71">
                <w:rPr>
                  <w:rFonts w:ascii="Times New Roman" w:hAnsi="Times New Roman" w:cs="Times New Roman"/>
                  <w:b/>
                  <w:bCs/>
                  <w:lang w:val="it-IT"/>
                </w:rPr>
                <w:delText>N=108</w:delText>
              </w:r>
            </w:del>
          </w:p>
          <w:p w:rsidR="006224C2" w:rsidRPr="00295E71" w14:paraId="39141E5C" w14:textId="77777777">
            <w:pPr>
              <w:pStyle w:val="DefaultText"/>
              <w:keepNext/>
              <w:jc w:val="center"/>
              <w:rPr>
                <w:del w:id="3200" w:author="AbbVie14" w:date="2025-05-09T10:30:00Z"/>
                <w:rFonts w:ascii="Times New Roman" w:hAnsi="Times New Roman" w:cs="Times New Roman"/>
                <w:b/>
                <w:lang w:val="it-IT"/>
              </w:rPr>
            </w:pPr>
            <w:del w:id="3201" w:author="AbbVie14" w:date="2025-05-09T10:30:00Z">
              <w:r w:rsidRPr="00295E71">
                <w:rPr>
                  <w:rFonts w:ascii="Times New Roman" w:hAnsi="Times New Roman" w:cs="Times New Roman"/>
                  <w:b/>
                  <w:lang w:val="it-IT"/>
                </w:rPr>
                <w:delText>n (%)</w:delText>
              </w:r>
            </w:del>
          </w:p>
        </w:tc>
      </w:tr>
      <w:tr w14:paraId="276275D5" w14:textId="77777777">
        <w:tblPrEx>
          <w:tblW w:w="7046" w:type="dxa"/>
          <w:tblLook w:val="0000"/>
        </w:tblPrEx>
        <w:trPr>
          <w:cantSplit/>
          <w:del w:id="3202" w:author="AbbVie14" w:date="2025-05-09T10:30:00Z"/>
        </w:trPr>
        <w:tc>
          <w:tcPr>
            <w:tcW w:w="2148" w:type="dxa"/>
          </w:tcPr>
          <w:p w:rsidR="006224C2" w:rsidRPr="00295E71" w14:paraId="74100AB5" w14:textId="77777777">
            <w:pPr>
              <w:pStyle w:val="DefaultText"/>
              <w:keepNext/>
              <w:rPr>
                <w:del w:id="3203" w:author="AbbVie14" w:date="2025-05-09T10:30:00Z"/>
                <w:rFonts w:ascii="Times New Roman" w:hAnsi="Times New Roman" w:cs="Times New Roman"/>
                <w:b/>
                <w:bCs/>
                <w:lang w:val="it-IT"/>
              </w:rPr>
            </w:pPr>
            <w:del w:id="3204" w:author="AbbVie14" w:date="2025-05-09T10:30:00Z">
              <w:r w:rsidRPr="00295E71">
                <w:rPr>
                  <w:rFonts w:ascii="Symbol" w:hAnsi="Symbol" w:cs="Times New Roman"/>
                  <w:b/>
                  <w:lang w:val="it-IT"/>
                </w:rPr>
                <w:sym w:font="Symbol" w:char="F0B3"/>
              </w:r>
            </w:del>
            <w:del w:id="3205" w:author="AbbVie14" w:date="2025-05-09T10:30:00Z">
              <w:r w:rsidRPr="00295E71">
                <w:rPr>
                  <w:rFonts w:ascii="Times New Roman" w:hAnsi="Times New Roman" w:cs="Times New Roman"/>
                  <w:b/>
                  <w:bCs/>
                  <w:lang w:val="it-IT"/>
                </w:rPr>
                <w:delText>PASI 75</w:delText>
              </w:r>
            </w:del>
          </w:p>
        </w:tc>
        <w:tc>
          <w:tcPr>
            <w:tcW w:w="1522" w:type="dxa"/>
          </w:tcPr>
          <w:p w:rsidR="006224C2" w:rsidRPr="00295E71" w14:paraId="2677C3AE" w14:textId="77777777">
            <w:pPr>
              <w:pStyle w:val="DefaultText"/>
              <w:keepNext/>
              <w:jc w:val="center"/>
              <w:rPr>
                <w:del w:id="3206" w:author="AbbVie14" w:date="2025-05-09T10:30:00Z"/>
                <w:rFonts w:ascii="Times New Roman" w:hAnsi="Times New Roman" w:cs="Times New Roman"/>
                <w:lang w:val="it-IT"/>
              </w:rPr>
            </w:pPr>
            <w:del w:id="3207" w:author="AbbVie14" w:date="2025-05-09T10:30:00Z">
              <w:r w:rsidRPr="00295E71">
                <w:rPr>
                  <w:rFonts w:ascii="Times New Roman" w:hAnsi="Times New Roman" w:cs="Times New Roman"/>
                  <w:lang w:val="it-IT"/>
                </w:rPr>
                <w:delText>10 (18,9)</w:delText>
              </w:r>
            </w:del>
          </w:p>
        </w:tc>
        <w:tc>
          <w:tcPr>
            <w:tcW w:w="1242" w:type="dxa"/>
          </w:tcPr>
          <w:p w:rsidR="006224C2" w:rsidRPr="00295E71" w14:paraId="5B9AC2DA" w14:textId="77777777">
            <w:pPr>
              <w:pStyle w:val="DefaultText"/>
              <w:keepNext/>
              <w:jc w:val="center"/>
              <w:rPr>
                <w:del w:id="3208" w:author="AbbVie14" w:date="2025-05-09T10:30:00Z"/>
                <w:rFonts w:ascii="Times New Roman" w:hAnsi="Times New Roman" w:cs="Times New Roman"/>
                <w:lang w:val="it-IT"/>
              </w:rPr>
            </w:pPr>
            <w:del w:id="3209" w:author="AbbVie14" w:date="2025-05-09T10:30:00Z">
              <w:r w:rsidRPr="00295E71">
                <w:rPr>
                  <w:rFonts w:ascii="Times New Roman" w:hAnsi="Times New Roman" w:cs="Times New Roman"/>
                  <w:lang w:val="it-IT"/>
                </w:rPr>
                <w:delText>39 (35,5)</w:delText>
              </w:r>
            </w:del>
          </w:p>
        </w:tc>
        <w:tc>
          <w:tcPr>
            <w:tcW w:w="2134" w:type="dxa"/>
          </w:tcPr>
          <w:p w:rsidR="006224C2" w:rsidRPr="00295E71" w14:paraId="5B31FA76" w14:textId="77777777">
            <w:pPr>
              <w:pStyle w:val="DefaultText"/>
              <w:keepNext/>
              <w:jc w:val="center"/>
              <w:rPr>
                <w:del w:id="3210" w:author="AbbVie14" w:date="2025-05-09T10:30:00Z"/>
                <w:rFonts w:ascii="Times New Roman" w:hAnsi="Times New Roman" w:cs="Times New Roman"/>
                <w:lang w:val="it-IT"/>
              </w:rPr>
            </w:pPr>
            <w:del w:id="3211" w:author="AbbVie14" w:date="2025-05-09T10:30:00Z">
              <w:r w:rsidRPr="00295E71">
                <w:rPr>
                  <w:rFonts w:ascii="Times New Roman" w:hAnsi="Times New Roman" w:cs="Times New Roman"/>
                  <w:lang w:val="it-IT"/>
                </w:rPr>
                <w:delText>86 (79,6)</w:delText>
              </w:r>
            </w:del>
            <w:del w:id="3212" w:author="AbbVie14" w:date="2025-05-09T10:30:00Z">
              <w:r w:rsidRPr="00295E71">
                <w:rPr>
                  <w:rFonts w:ascii="Times New Roman" w:hAnsi="Times New Roman" w:cs="Times New Roman"/>
                  <w:vertAlign w:val="superscript"/>
                  <w:lang w:val="it-IT"/>
                </w:rPr>
                <w:delText xml:space="preserve"> a, b</w:delText>
              </w:r>
            </w:del>
          </w:p>
        </w:tc>
      </w:tr>
      <w:tr w14:paraId="0AA776B5" w14:textId="77777777">
        <w:tblPrEx>
          <w:tblW w:w="7046" w:type="dxa"/>
          <w:tblLook w:val="0000"/>
        </w:tblPrEx>
        <w:trPr>
          <w:cantSplit/>
          <w:del w:id="3213" w:author="AbbVie14" w:date="2025-05-09T10:30:00Z"/>
        </w:trPr>
        <w:tc>
          <w:tcPr>
            <w:tcW w:w="2148" w:type="dxa"/>
          </w:tcPr>
          <w:p w:rsidR="006224C2" w:rsidRPr="00295E71" w14:paraId="074F349D" w14:textId="77777777">
            <w:pPr>
              <w:pStyle w:val="DefaultText"/>
              <w:keepNext/>
              <w:rPr>
                <w:del w:id="3214" w:author="AbbVie14" w:date="2025-05-09T10:30:00Z"/>
                <w:rFonts w:ascii="Times New Roman" w:hAnsi="Times New Roman" w:cs="Times New Roman"/>
                <w:b/>
                <w:bCs/>
                <w:lang w:val="it-IT"/>
              </w:rPr>
            </w:pPr>
            <w:del w:id="3215" w:author="AbbVie14" w:date="2025-05-09T10:30:00Z">
              <w:r w:rsidRPr="00295E71">
                <w:rPr>
                  <w:rFonts w:ascii="Times New Roman" w:hAnsi="Times New Roman" w:cs="Times New Roman"/>
                  <w:b/>
                  <w:bCs/>
                  <w:lang w:val="it-IT"/>
                </w:rPr>
                <w:delText>PASI 100</w:delText>
              </w:r>
            </w:del>
          </w:p>
        </w:tc>
        <w:tc>
          <w:tcPr>
            <w:tcW w:w="1522" w:type="dxa"/>
          </w:tcPr>
          <w:p w:rsidR="006224C2" w:rsidRPr="00295E71" w14:paraId="04A22269" w14:textId="77777777">
            <w:pPr>
              <w:pStyle w:val="DefaultText"/>
              <w:keepNext/>
              <w:jc w:val="center"/>
              <w:rPr>
                <w:del w:id="3216" w:author="AbbVie14" w:date="2025-05-09T10:30:00Z"/>
                <w:rFonts w:ascii="Times New Roman" w:hAnsi="Times New Roman" w:cs="Times New Roman"/>
                <w:lang w:val="it-IT"/>
              </w:rPr>
            </w:pPr>
            <w:del w:id="3217" w:author="AbbVie14" w:date="2025-05-09T10:30:00Z">
              <w:r w:rsidRPr="00295E71">
                <w:rPr>
                  <w:rFonts w:ascii="Times New Roman" w:hAnsi="Times New Roman" w:cs="Times New Roman"/>
                  <w:lang w:val="it-IT"/>
                </w:rPr>
                <w:delText>1 (1,9)</w:delText>
              </w:r>
            </w:del>
          </w:p>
        </w:tc>
        <w:tc>
          <w:tcPr>
            <w:tcW w:w="1242" w:type="dxa"/>
          </w:tcPr>
          <w:p w:rsidR="006224C2" w:rsidRPr="00295E71" w14:paraId="5B0ED289" w14:textId="77777777">
            <w:pPr>
              <w:pStyle w:val="DefaultText"/>
              <w:keepNext/>
              <w:jc w:val="center"/>
              <w:rPr>
                <w:del w:id="3218" w:author="AbbVie14" w:date="2025-05-09T10:30:00Z"/>
                <w:rFonts w:ascii="Times New Roman" w:hAnsi="Times New Roman" w:cs="Times New Roman"/>
                <w:lang w:val="it-IT"/>
              </w:rPr>
            </w:pPr>
            <w:del w:id="3219" w:author="AbbVie14" w:date="2025-05-09T10:30:00Z">
              <w:r w:rsidRPr="00295E71">
                <w:rPr>
                  <w:rFonts w:ascii="Times New Roman" w:hAnsi="Times New Roman" w:cs="Times New Roman"/>
                  <w:lang w:val="it-IT"/>
                </w:rPr>
                <w:delText>8 (7,3)</w:delText>
              </w:r>
            </w:del>
          </w:p>
        </w:tc>
        <w:tc>
          <w:tcPr>
            <w:tcW w:w="2134" w:type="dxa"/>
          </w:tcPr>
          <w:p w:rsidR="006224C2" w:rsidRPr="00295E71" w14:paraId="62AFBB0B" w14:textId="77777777">
            <w:pPr>
              <w:pStyle w:val="DefaultText"/>
              <w:keepNext/>
              <w:jc w:val="center"/>
              <w:rPr>
                <w:del w:id="3220" w:author="AbbVie14" w:date="2025-05-09T10:30:00Z"/>
                <w:rFonts w:ascii="Times New Roman" w:hAnsi="Times New Roman" w:cs="Times New Roman"/>
                <w:lang w:val="it-IT"/>
              </w:rPr>
            </w:pPr>
            <w:del w:id="3221" w:author="AbbVie14" w:date="2025-05-09T10:30:00Z">
              <w:r w:rsidRPr="00295E71">
                <w:rPr>
                  <w:rFonts w:ascii="Times New Roman" w:hAnsi="Times New Roman" w:cs="Times New Roman"/>
                  <w:lang w:val="it-IT"/>
                </w:rPr>
                <w:delText>18 (16,7)</w:delText>
              </w:r>
            </w:del>
            <w:del w:id="3222" w:author="AbbVie14" w:date="2025-05-09T10:30:00Z">
              <w:r w:rsidRPr="00295E71">
                <w:rPr>
                  <w:rFonts w:ascii="Times New Roman" w:hAnsi="Times New Roman" w:cs="Times New Roman"/>
                  <w:vertAlign w:val="superscript"/>
                  <w:lang w:val="it-IT"/>
                </w:rPr>
                <w:delText xml:space="preserve"> c, d</w:delText>
              </w:r>
            </w:del>
          </w:p>
        </w:tc>
      </w:tr>
      <w:tr w14:paraId="0D282A4D" w14:textId="77777777">
        <w:tblPrEx>
          <w:tblW w:w="7046" w:type="dxa"/>
          <w:tblLook w:val="0000"/>
        </w:tblPrEx>
        <w:trPr>
          <w:cantSplit/>
          <w:del w:id="3223" w:author="AbbVie14" w:date="2025-05-09T10:30:00Z"/>
        </w:trPr>
        <w:tc>
          <w:tcPr>
            <w:tcW w:w="2148" w:type="dxa"/>
          </w:tcPr>
          <w:p w:rsidR="006224C2" w:rsidRPr="00295E71" w14:paraId="5581ABD5" w14:textId="77777777">
            <w:pPr>
              <w:pStyle w:val="DefaultText"/>
              <w:keepNext/>
              <w:rPr>
                <w:del w:id="3224" w:author="AbbVie14" w:date="2025-05-09T10:30:00Z"/>
                <w:rFonts w:ascii="Times New Roman" w:hAnsi="Times New Roman" w:cs="Times New Roman"/>
                <w:b/>
                <w:lang w:val="it-IT"/>
              </w:rPr>
            </w:pPr>
            <w:del w:id="3225" w:author="AbbVie14" w:date="2025-05-09T10:30:00Z">
              <w:r w:rsidRPr="00295E71">
                <w:rPr>
                  <w:rFonts w:ascii="Times New Roman" w:eastAsia="Arial" w:hAnsi="Times New Roman" w:cs="Times New Roman"/>
                  <w:b/>
                  <w:bCs/>
                  <w:lang w:val="it-IT" w:bidi="it-IT"/>
                </w:rPr>
                <w:delText>PGA: Guarigione/Marcato miglioramento</w:delText>
              </w:r>
            </w:del>
          </w:p>
        </w:tc>
        <w:tc>
          <w:tcPr>
            <w:tcW w:w="1522" w:type="dxa"/>
          </w:tcPr>
          <w:p w:rsidR="006224C2" w:rsidRPr="00295E71" w14:paraId="6AA9FF6A" w14:textId="77777777">
            <w:pPr>
              <w:pStyle w:val="DefaultText"/>
              <w:keepNext/>
              <w:jc w:val="center"/>
              <w:rPr>
                <w:del w:id="3226" w:author="AbbVie14" w:date="2025-05-09T10:30:00Z"/>
                <w:rFonts w:ascii="Times New Roman" w:hAnsi="Times New Roman" w:cs="Times New Roman"/>
                <w:lang w:val="it-IT"/>
              </w:rPr>
            </w:pPr>
            <w:del w:id="3227" w:author="AbbVie14" w:date="2025-05-09T10:30:00Z">
              <w:r w:rsidRPr="00295E71">
                <w:rPr>
                  <w:rFonts w:ascii="Times New Roman" w:hAnsi="Times New Roman" w:cs="Times New Roman"/>
                  <w:lang w:val="it-IT"/>
                </w:rPr>
                <w:delText>6 (11,3)</w:delText>
              </w:r>
            </w:del>
          </w:p>
        </w:tc>
        <w:tc>
          <w:tcPr>
            <w:tcW w:w="1242" w:type="dxa"/>
          </w:tcPr>
          <w:p w:rsidR="006224C2" w:rsidRPr="00295E71" w14:paraId="16B87B13" w14:textId="77777777">
            <w:pPr>
              <w:pStyle w:val="DefaultText"/>
              <w:keepNext/>
              <w:jc w:val="center"/>
              <w:rPr>
                <w:del w:id="3228" w:author="AbbVie14" w:date="2025-05-09T10:30:00Z"/>
                <w:rFonts w:ascii="Times New Roman" w:hAnsi="Times New Roman" w:cs="Times New Roman"/>
                <w:lang w:val="it-IT"/>
              </w:rPr>
            </w:pPr>
            <w:del w:id="3229" w:author="AbbVie14" w:date="2025-05-09T10:30:00Z">
              <w:r w:rsidRPr="00295E71">
                <w:rPr>
                  <w:rFonts w:ascii="Times New Roman" w:hAnsi="Times New Roman" w:cs="Times New Roman"/>
                  <w:lang w:val="it-IT"/>
                </w:rPr>
                <w:delText>33 (30,0)</w:delText>
              </w:r>
            </w:del>
          </w:p>
        </w:tc>
        <w:tc>
          <w:tcPr>
            <w:tcW w:w="2134" w:type="dxa"/>
          </w:tcPr>
          <w:p w:rsidR="006224C2" w:rsidRPr="00295E71" w14:paraId="3E563B27" w14:textId="77777777">
            <w:pPr>
              <w:pStyle w:val="DefaultText"/>
              <w:keepNext/>
              <w:jc w:val="center"/>
              <w:rPr>
                <w:del w:id="3230" w:author="AbbVie14" w:date="2025-05-09T10:30:00Z"/>
                <w:rFonts w:ascii="Times New Roman" w:hAnsi="Times New Roman" w:cs="Times New Roman"/>
                <w:lang w:val="it-IT"/>
              </w:rPr>
            </w:pPr>
            <w:del w:id="3231" w:author="AbbVie14" w:date="2025-05-09T10:30:00Z">
              <w:r w:rsidRPr="00295E71">
                <w:rPr>
                  <w:rFonts w:ascii="Times New Roman" w:hAnsi="Times New Roman" w:cs="Times New Roman"/>
                  <w:lang w:val="it-IT"/>
                </w:rPr>
                <w:delText>79 (73,1)</w:delText>
              </w:r>
            </w:del>
            <w:del w:id="3232" w:author="AbbVie14" w:date="2025-05-09T10:30:00Z">
              <w:r w:rsidRPr="00295E71">
                <w:rPr>
                  <w:rFonts w:ascii="Times New Roman" w:hAnsi="Times New Roman" w:cs="Times New Roman"/>
                  <w:vertAlign w:val="superscript"/>
                  <w:lang w:val="it-IT"/>
                </w:rPr>
                <w:delText xml:space="preserve"> a, b</w:delText>
              </w:r>
            </w:del>
          </w:p>
        </w:tc>
      </w:tr>
      <w:tr w14:paraId="06A46442" w14:textId="77777777">
        <w:tblPrEx>
          <w:tblW w:w="7046" w:type="dxa"/>
          <w:tblLook w:val="0000"/>
        </w:tblPrEx>
        <w:trPr>
          <w:cantSplit/>
          <w:del w:id="3233" w:author="AbbVie14" w:date="2025-05-09T10:30:00Z"/>
        </w:trPr>
        <w:tc>
          <w:tcPr>
            <w:tcW w:w="7046" w:type="dxa"/>
            <w:gridSpan w:val="4"/>
          </w:tcPr>
          <w:p w:rsidR="006224C2" w:rsidRPr="00295E71" w14:paraId="58EB8B5C" w14:textId="77777777">
            <w:pPr>
              <w:pStyle w:val="DefaultText"/>
              <w:keepNext/>
              <w:rPr>
                <w:del w:id="3234" w:author="AbbVie14" w:date="2025-05-09T10:30:00Z"/>
                <w:rFonts w:ascii="Times New Roman" w:hAnsi="Times New Roman" w:cs="Times New Roman"/>
                <w:lang w:val="it-IT"/>
              </w:rPr>
            </w:pPr>
            <w:del w:id="3235" w:author="AbbVie14" w:date="2025-05-09T10:30:00Z">
              <w:r w:rsidRPr="00295E71">
                <w:rPr>
                  <w:rFonts w:ascii="Times New Roman" w:eastAsia="Arial" w:hAnsi="Times New Roman" w:cs="Times New Roman"/>
                  <w:vertAlign w:val="superscript"/>
                  <w:lang w:val="it-IT" w:bidi="it-IT"/>
                </w:rPr>
                <w:delText>a</w:delText>
              </w:r>
            </w:del>
            <w:del w:id="3236" w:author="AbbVie14" w:date="2025-05-09T10:30:00Z">
              <w:r w:rsidRPr="00295E71">
                <w:rPr>
                  <w:rFonts w:ascii="Times New Roman" w:eastAsia="Arial" w:hAnsi="Times New Roman" w:cs="Times New Roman"/>
                  <w:lang w:val="it-IT" w:bidi="it-IT"/>
                </w:rPr>
                <w:delText xml:space="preserve"> p&lt;0,001 Humira vs. placebo</w:delText>
              </w:r>
            </w:del>
          </w:p>
          <w:p w:rsidR="006224C2" w:rsidRPr="00295E71" w14:paraId="5F4E3BE3" w14:textId="77777777">
            <w:pPr>
              <w:pStyle w:val="DefaultText"/>
              <w:keepNext/>
              <w:rPr>
                <w:del w:id="3237" w:author="AbbVie14" w:date="2025-05-09T10:30:00Z"/>
                <w:rFonts w:ascii="Times New Roman" w:hAnsi="Times New Roman" w:cs="Times New Roman"/>
                <w:lang w:val="it-IT"/>
              </w:rPr>
            </w:pPr>
            <w:del w:id="3238" w:author="AbbVie14" w:date="2025-05-09T10:30:00Z">
              <w:r w:rsidRPr="00295E71">
                <w:rPr>
                  <w:rFonts w:ascii="Times New Roman" w:eastAsia="Arial" w:hAnsi="Times New Roman" w:cs="Times New Roman"/>
                  <w:vertAlign w:val="superscript"/>
                  <w:lang w:val="it-IT" w:bidi="it-IT"/>
                </w:rPr>
                <w:delText>b</w:delText>
              </w:r>
            </w:del>
            <w:del w:id="3239" w:author="AbbVie14" w:date="2025-05-09T10:30:00Z">
              <w:r w:rsidRPr="00295E71">
                <w:rPr>
                  <w:rFonts w:ascii="Times New Roman" w:eastAsia="Arial" w:hAnsi="Times New Roman" w:cs="Times New Roman"/>
                  <w:lang w:val="it-IT" w:bidi="it-IT"/>
                </w:rPr>
                <w:delText xml:space="preserve"> p&lt;0,001 Humira vs. metotressato</w:delText>
              </w:r>
            </w:del>
          </w:p>
          <w:p w:rsidR="006224C2" w:rsidRPr="00295E71" w14:paraId="575C49C8" w14:textId="77777777">
            <w:pPr>
              <w:pStyle w:val="DefaultText"/>
              <w:keepNext/>
              <w:rPr>
                <w:del w:id="3240" w:author="AbbVie14" w:date="2025-05-09T10:30:00Z"/>
                <w:rFonts w:ascii="Times New Roman" w:hAnsi="Times New Roman" w:cs="Times New Roman"/>
                <w:lang w:val="it-IT"/>
              </w:rPr>
            </w:pPr>
            <w:del w:id="3241" w:author="AbbVie14" w:date="2025-05-09T10:30:00Z">
              <w:r w:rsidRPr="00295E71">
                <w:rPr>
                  <w:rFonts w:ascii="Times New Roman" w:eastAsia="Arial" w:hAnsi="Times New Roman" w:cs="Times New Roman"/>
                  <w:vertAlign w:val="superscript"/>
                  <w:lang w:val="it-IT" w:bidi="it-IT"/>
                </w:rPr>
                <w:delText>c</w:delText>
              </w:r>
            </w:del>
            <w:del w:id="3242" w:author="AbbVie14" w:date="2025-05-09T10:30:00Z">
              <w:r w:rsidRPr="00295E71">
                <w:rPr>
                  <w:rFonts w:ascii="Times New Roman" w:eastAsia="Arial" w:hAnsi="Times New Roman" w:cs="Times New Roman"/>
                  <w:lang w:val="it-IT" w:bidi="it-IT"/>
                </w:rPr>
                <w:delText xml:space="preserve"> p&lt;0,01 Humira vs. placebo</w:delText>
              </w:r>
            </w:del>
          </w:p>
          <w:p w:rsidR="006224C2" w:rsidRPr="00295E71" w14:paraId="0A876117" w14:textId="77777777">
            <w:pPr>
              <w:pStyle w:val="DefaultText"/>
              <w:keepNext/>
              <w:rPr>
                <w:del w:id="3243" w:author="AbbVie14" w:date="2025-05-09T10:30:00Z"/>
                <w:rFonts w:ascii="Times New Roman" w:hAnsi="Times New Roman" w:cs="Times New Roman"/>
                <w:lang w:val="it-IT"/>
              </w:rPr>
            </w:pPr>
            <w:del w:id="3244" w:author="AbbVie14" w:date="2025-05-09T10:30:00Z">
              <w:r w:rsidRPr="00295E71">
                <w:rPr>
                  <w:rFonts w:ascii="Times New Roman" w:eastAsia="Arial" w:hAnsi="Times New Roman" w:cs="Times New Roman"/>
                  <w:vertAlign w:val="superscript"/>
                  <w:lang w:val="it-IT" w:bidi="it-IT"/>
                </w:rPr>
                <w:delText>d</w:delText>
              </w:r>
            </w:del>
            <w:del w:id="3245" w:author="AbbVie14" w:date="2025-05-09T10:30:00Z">
              <w:r w:rsidRPr="00295E71">
                <w:rPr>
                  <w:rFonts w:ascii="Times New Roman" w:eastAsia="Arial" w:hAnsi="Times New Roman" w:cs="Times New Roman"/>
                  <w:lang w:val="it-IT" w:bidi="it-IT"/>
                </w:rPr>
                <w:delText xml:space="preserve"> p&lt;0,05 Humira vs. metotressato</w:delText>
              </w:r>
            </w:del>
          </w:p>
        </w:tc>
      </w:tr>
    </w:tbl>
    <w:p w:rsidR="006224C2" w:rsidRPr="00295E71" w14:paraId="6BA6F497" w14:textId="77777777">
      <w:pPr>
        <w:keepNext/>
        <w:tabs>
          <w:tab w:val="left" w:pos="567"/>
        </w:tabs>
        <w:jc w:val="both"/>
        <w:rPr>
          <w:del w:id="3246" w:author="AbbVie14" w:date="2025-05-09T10:30:00Z"/>
          <w:rFonts w:eastAsia="Arial"/>
          <w:sz w:val="22"/>
          <w:szCs w:val="22"/>
          <w:lang w:bidi="it-IT"/>
        </w:rPr>
      </w:pPr>
    </w:p>
    <w:p w:rsidR="006224C2" w:rsidRPr="00295E71" w:rsidP="00AD7AF0" w14:paraId="7F024308" w14:textId="77777777">
      <w:pPr>
        <w:rPr>
          <w:del w:id="3247" w:author="AbbVie14" w:date="2025-05-09T10:30:00Z"/>
          <w:rFonts w:eastAsia="Arial"/>
          <w:sz w:val="22"/>
          <w:szCs w:val="22"/>
          <w:lang w:bidi="it-IT"/>
        </w:rPr>
      </w:pPr>
      <w:del w:id="3248" w:author="AbbVie14" w:date="2025-05-09T10:30:00Z">
        <w:r w:rsidRPr="00295E71">
          <w:rPr>
            <w:rFonts w:eastAsia="Arial"/>
            <w:sz w:val="22"/>
            <w:szCs w:val="22"/>
            <w:lang w:bidi="it-IT"/>
          </w:rPr>
          <w:delText xml:space="preserve">Nel corso dello studio I sulla psoriasi, </w:delText>
        </w:r>
      </w:del>
      <w:del w:id="3249" w:author="AbbVie14" w:date="2025-05-09T10:30:00Z">
        <w:r w:rsidR="00CB53AC">
          <w:rPr>
            <w:rFonts w:eastAsia="Arial"/>
            <w:sz w:val="22"/>
            <w:szCs w:val="22"/>
            <w:lang w:bidi="it-IT"/>
          </w:rPr>
          <w:delText>nel</w:delText>
        </w:r>
      </w:del>
      <w:del w:id="3250" w:author="AbbVie14" w:date="2025-05-09T10:30:00Z">
        <w:r w:rsidRPr="00295E71">
          <w:rPr>
            <w:rFonts w:eastAsia="Arial"/>
            <w:sz w:val="22"/>
            <w:szCs w:val="22"/>
            <w:lang w:bidi="it-IT"/>
          </w:rPr>
          <w:delText xml:space="preserve"> 28% dei pazienti randomizzati a placebo alla settimana 33 dopo aver ottenuto una risposta PASI 75 rispetto al 5% di pazienti che ha proseguito la terapia con Humira, p&lt;0,001, si è verificata una “perdita di risposta adeguata” (definita da un punteggio PASI che dopo la settimana 33 e prima </w:delText>
        </w:r>
      </w:del>
      <w:del w:id="3251" w:author="AbbVie14" w:date="2025-05-09T10:30:00Z">
        <w:r w:rsidR="00CB53AC">
          <w:rPr>
            <w:rFonts w:eastAsia="Arial"/>
            <w:sz w:val="22"/>
            <w:szCs w:val="22"/>
            <w:lang w:bidi="it-IT"/>
          </w:rPr>
          <w:delText>o a</w:delText>
        </w:r>
      </w:del>
      <w:del w:id="3252" w:author="AbbVie14" w:date="2025-05-09T10:30:00Z">
        <w:r w:rsidRPr="00295E71">
          <w:rPr>
            <w:rFonts w:eastAsia="Arial"/>
            <w:sz w:val="22"/>
            <w:szCs w:val="22"/>
            <w:lang w:bidi="it-IT"/>
          </w:rPr>
          <w:delText xml:space="preserve">lla scadenza della settimana 52 sia risultato &lt;PASI 50 rispetto al valore basale con un aumento minimo di 6 punti del punteggio PASI relativo alla settimana 33). Tra i pazienti in cui si è verificata la “perdita di risposta adeguata” dopo la ri-randomizzazione per ricevere placebo, e che sono stati successivamente </w:delText>
        </w:r>
      </w:del>
      <w:del w:id="3253" w:author="AbbVie14" w:date="2025-05-09T10:30:00Z">
        <w:r w:rsidRPr="00020442" w:rsidR="00CB53AC">
          <w:rPr>
            <w:rFonts w:eastAsia="Arial"/>
            <w:sz w:val="22"/>
            <w:szCs w:val="22"/>
            <w:lang w:bidi="it-IT"/>
          </w:rPr>
          <w:delText>arruolati nello</w:delText>
        </w:r>
      </w:del>
      <w:del w:id="3254" w:author="AbbVie14" w:date="2025-05-09T10:30:00Z">
        <w:r w:rsidRPr="00295E71">
          <w:rPr>
            <w:rFonts w:eastAsia="Arial"/>
            <w:sz w:val="22"/>
            <w:szCs w:val="22"/>
            <w:lang w:bidi="it-IT"/>
          </w:rPr>
          <w:delText xml:space="preserve"> studio di estensione in aperto, il 38% (25/66) ed il 55% (36/66) sono riusciti ad ottenere una risposta PASI 75 rispettivamente dopo 12 e 24 settimane di ri-trattamento.</w:delText>
        </w:r>
      </w:del>
    </w:p>
    <w:p w:rsidR="006224C2" w:rsidRPr="00295E71" w:rsidP="00AD7AF0" w14:paraId="14D2859E" w14:textId="77777777">
      <w:pPr>
        <w:rPr>
          <w:del w:id="3255" w:author="AbbVie14" w:date="2025-05-09T10:30:00Z"/>
          <w:rFonts w:eastAsia="Arial"/>
          <w:sz w:val="22"/>
          <w:szCs w:val="22"/>
          <w:lang w:bidi="it-IT"/>
        </w:rPr>
      </w:pPr>
    </w:p>
    <w:p w:rsidR="006224C2" w:rsidRPr="00295E71" w:rsidP="00AD7AF0" w14:paraId="6B5CADAD" w14:textId="77777777">
      <w:pPr>
        <w:rPr>
          <w:del w:id="3256" w:author="AbbVie14" w:date="2025-05-09T10:30:00Z"/>
          <w:rFonts w:eastAsia="Arial"/>
          <w:sz w:val="22"/>
          <w:szCs w:val="22"/>
          <w:lang w:bidi="it-IT"/>
        </w:rPr>
      </w:pPr>
      <w:del w:id="3257" w:author="AbbVie14" w:date="2025-05-09T10:30:00Z">
        <w:r w:rsidRPr="00295E71">
          <w:rPr>
            <w:rFonts w:eastAsia="Arial"/>
            <w:sz w:val="22"/>
            <w:szCs w:val="22"/>
            <w:lang w:bidi="it-IT"/>
          </w:rPr>
          <w:delText>Durante lo studio I sulla psoriasi, un totale di 233 pazienti che avevano ottenuto una risposta PASI 75 alla settimana 16 e alla settimana 33 hanno ricevuto la terapia con Humira fino alla settimana 52, ed hanno continuato la somministrazione di Humira nello studio di estensione in aperto. In questi pazienti, le percentuali di risposta PASI 75 e PGA corrispondente a remissione totale della malattia o a persistenza di malattia minima sono state rispettivamente 74,7% e 59,0%, dopo un ulteriore periodo di 108 settimane di terapia somministrata in aperto (per un totale di terapia continuativa di 160 settimane). In un’analisi effettuata su tutti i pazienti che avevano interrotto lo studio per eventi avversi o per mancanza di efficacia, o che avevano aumentato la posologia e che per tali motivi erano stati considerati come non rispondenti alla terapia, le percentuali di risposta PASI 75 e PGA corrispondente a remissione totale della malattia o a persistenza di malattia minima sono state rispettivamente del 69,6% e del 55,7%, dopo un ulteriore periodo di 108 settimane di terapia somministrata in aperto (per un totale di terapia continuativa di 160 settimane).</w:delText>
        </w:r>
      </w:del>
    </w:p>
    <w:p w:rsidR="006224C2" w:rsidRPr="00295E71" w:rsidP="00AD7AF0" w14:paraId="5D7FB74A" w14:textId="77777777">
      <w:pPr>
        <w:rPr>
          <w:del w:id="3258" w:author="AbbVie14" w:date="2025-05-09T10:30:00Z"/>
          <w:rFonts w:eastAsia="Arial"/>
          <w:sz w:val="22"/>
          <w:szCs w:val="22"/>
          <w:lang w:bidi="it-IT"/>
        </w:rPr>
      </w:pPr>
    </w:p>
    <w:p w:rsidR="006224C2" w:rsidP="00AD7AF0" w14:paraId="07A76C06" w14:textId="77777777">
      <w:pPr>
        <w:rPr>
          <w:del w:id="3259" w:author="AbbVie14" w:date="2025-05-09T10:30:00Z"/>
          <w:rFonts w:eastAsia="Arial"/>
          <w:sz w:val="22"/>
          <w:szCs w:val="22"/>
          <w:lang w:bidi="it-IT"/>
        </w:rPr>
      </w:pPr>
      <w:del w:id="3260" w:author="AbbVie14" w:date="2025-05-09T10:30:00Z">
        <w:r w:rsidRPr="00295E71">
          <w:rPr>
            <w:rFonts w:eastAsia="Arial"/>
            <w:sz w:val="22"/>
            <w:szCs w:val="22"/>
            <w:lang w:bidi="it-IT"/>
          </w:rPr>
          <w:delText>Un totale di 347 pazienti, caratterizzati da una risposta stabile alla terapia, ha preso parte ad uno studio di estensione in aperto per la valutazione degli effetti della sospensione e della ripresa del trattamento. Durante il periodo di sospensione della terapia, i sintomi della psoriasi si sono ripresentati in maniera progressiva con un tempo medi</w:delText>
        </w:r>
      </w:del>
      <w:del w:id="3261" w:author="AbbVie14" w:date="2025-05-09T10:30:00Z">
        <w:r w:rsidR="00CB53AC">
          <w:rPr>
            <w:rFonts w:eastAsia="Arial"/>
            <w:sz w:val="22"/>
            <w:szCs w:val="22"/>
            <w:lang w:bidi="it-IT"/>
          </w:rPr>
          <w:delText>an</w:delText>
        </w:r>
      </w:del>
      <w:del w:id="3262" w:author="AbbVie14" w:date="2025-05-09T10:30:00Z">
        <w:r w:rsidRPr="00295E71">
          <w:rPr>
            <w:rFonts w:eastAsia="Arial"/>
            <w:sz w:val="22"/>
            <w:szCs w:val="22"/>
            <w:lang w:bidi="it-IT"/>
          </w:rPr>
          <w:delText xml:space="preserve">o </w:delText>
        </w:r>
      </w:del>
      <w:del w:id="3263" w:author="AbbVie14" w:date="2025-05-09T10:30:00Z">
        <w:r w:rsidR="00CB53AC">
          <w:rPr>
            <w:rFonts w:eastAsia="Arial"/>
            <w:sz w:val="22"/>
            <w:szCs w:val="22"/>
            <w:lang w:bidi="it-IT"/>
          </w:rPr>
          <w:delText>alla</w:delText>
        </w:r>
      </w:del>
      <w:del w:id="3264" w:author="AbbVie14" w:date="2025-05-09T10:30:00Z">
        <w:r w:rsidRPr="00295E71">
          <w:rPr>
            <w:rFonts w:eastAsia="Arial"/>
            <w:sz w:val="22"/>
            <w:szCs w:val="22"/>
            <w:lang w:bidi="it-IT"/>
          </w:rPr>
          <w:delText xml:space="preserve"> recidiva (progredendo fino ad uno stadio PGA “moderato” o peggiore) di circa 5 mesi. Nessuno di questi pazienti ha manifestato fenomeni di rebound durante il periodo di sospensione del trattamento. Complessivamente, il 76,5% dei pazienti (218/285) che erano entrati nella fase di ri-trattamento aveva ottenuto una risposta PGA corrispondente a </w:delText>
        </w:r>
      </w:del>
      <w:del w:id="3265" w:author="AbbVie14" w:date="2025-05-09T10:30:00Z">
        <w:r w:rsidR="00CB53AC">
          <w:rPr>
            <w:rFonts w:eastAsia="Arial"/>
            <w:sz w:val="22"/>
            <w:szCs w:val="22"/>
            <w:lang w:bidi="it-IT"/>
          </w:rPr>
          <w:delText>“</w:delText>
        </w:r>
      </w:del>
      <w:del w:id="3266" w:author="AbbVie14" w:date="2025-05-09T10:30:00Z">
        <w:r w:rsidRPr="00295E71">
          <w:rPr>
            <w:rFonts w:eastAsia="Arial"/>
            <w:sz w:val="22"/>
            <w:szCs w:val="22"/>
            <w:lang w:bidi="it-IT"/>
          </w:rPr>
          <w:delText>remissione totale della malattia</w:delText>
        </w:r>
      </w:del>
      <w:del w:id="3267" w:author="AbbVie14" w:date="2025-05-09T10:30:00Z">
        <w:r w:rsidR="00CB53AC">
          <w:rPr>
            <w:rFonts w:eastAsia="Arial"/>
            <w:sz w:val="22"/>
            <w:szCs w:val="22"/>
            <w:lang w:bidi="it-IT"/>
          </w:rPr>
          <w:delText>”</w:delText>
        </w:r>
      </w:del>
      <w:del w:id="3268" w:author="AbbVie14" w:date="2025-05-09T10:30:00Z">
        <w:r w:rsidRPr="00295E71">
          <w:rPr>
            <w:rFonts w:eastAsia="Arial"/>
            <w:sz w:val="22"/>
            <w:szCs w:val="22"/>
            <w:lang w:bidi="it-IT"/>
          </w:rPr>
          <w:delText xml:space="preserve"> o a </w:delText>
        </w:r>
      </w:del>
      <w:del w:id="3269" w:author="AbbVie14" w:date="2025-05-09T10:30:00Z">
        <w:r w:rsidR="00CB53AC">
          <w:rPr>
            <w:rFonts w:eastAsia="Arial"/>
            <w:sz w:val="22"/>
            <w:szCs w:val="22"/>
            <w:lang w:bidi="it-IT"/>
          </w:rPr>
          <w:delText>“</w:delText>
        </w:r>
      </w:del>
      <w:del w:id="3270" w:author="AbbVie14" w:date="2025-05-09T10:30:00Z">
        <w:r w:rsidRPr="00295E71">
          <w:rPr>
            <w:rFonts w:eastAsia="Arial"/>
            <w:sz w:val="22"/>
            <w:szCs w:val="22"/>
            <w:lang w:bidi="it-IT"/>
          </w:rPr>
          <w:delText>malattia minima</w:delText>
        </w:r>
      </w:del>
      <w:del w:id="3271" w:author="AbbVie14" w:date="2025-05-09T10:30:00Z">
        <w:r w:rsidR="00CB53AC">
          <w:rPr>
            <w:rFonts w:eastAsia="Arial"/>
            <w:sz w:val="22"/>
            <w:szCs w:val="22"/>
            <w:lang w:bidi="it-IT"/>
          </w:rPr>
          <w:delText>”</w:delText>
        </w:r>
      </w:del>
      <w:del w:id="3272" w:author="AbbVie14" w:date="2025-05-09T10:30:00Z">
        <w:r w:rsidRPr="00295E71">
          <w:rPr>
            <w:rFonts w:eastAsia="Arial"/>
            <w:sz w:val="22"/>
            <w:szCs w:val="22"/>
            <w:lang w:bidi="it-IT"/>
          </w:rPr>
          <w:delText xml:space="preserve"> dopo 16 settimane di terapia, indipendentemente dal fatto di aver avuto o meno riacutizzazione della malattia durante il periodo di sospensione d</w:delText>
        </w:r>
      </w:del>
      <w:del w:id="3273" w:author="AbbVie14" w:date="2025-05-09T10:30:00Z">
        <w:r w:rsidR="00CB53AC">
          <w:rPr>
            <w:rFonts w:eastAsia="Arial"/>
            <w:sz w:val="22"/>
            <w:szCs w:val="22"/>
            <w:lang w:bidi="it-IT"/>
          </w:rPr>
          <w:delText>e</w:delText>
        </w:r>
      </w:del>
      <w:del w:id="3274" w:author="AbbVie14" w:date="2025-05-09T10:30:00Z">
        <w:r w:rsidRPr="00295E71">
          <w:rPr>
            <w:rFonts w:eastAsia="Arial"/>
            <w:sz w:val="22"/>
            <w:szCs w:val="22"/>
            <w:lang w:bidi="it-IT"/>
          </w:rPr>
          <w:delText>l farmaco (rispettivamente il 69,1% [123/178] e 88,8% [95/107] dei pazienti che avevano avuto o meno una riacutizzazione della malattia durante il periodo di sospensione). Durante la ripresa del trattamento è stato osservato un profilo di sicurezza del tutto simile a quello osservato durante il periodo precedente alla sospensione della terapia.</w:delText>
        </w:r>
      </w:del>
    </w:p>
    <w:p w:rsidR="00CB53AC" w:rsidRPr="00295E71" w:rsidP="00AD7AF0" w14:paraId="3CE7E95D" w14:textId="77777777">
      <w:pPr>
        <w:rPr>
          <w:del w:id="3275" w:author="AbbVie14" w:date="2025-05-09T10:30:00Z"/>
          <w:sz w:val="22"/>
          <w:szCs w:val="22"/>
        </w:rPr>
      </w:pPr>
    </w:p>
    <w:p w:rsidR="006224C2" w:rsidRPr="00295E71" w:rsidP="00AD7AF0" w14:paraId="27F05DB1" w14:textId="77777777">
      <w:pPr>
        <w:rPr>
          <w:del w:id="3276" w:author="AbbVie14" w:date="2025-05-09T10:30:00Z"/>
          <w:rFonts w:eastAsia="Arial"/>
          <w:sz w:val="22"/>
          <w:szCs w:val="22"/>
          <w:lang w:bidi="it-IT"/>
        </w:rPr>
      </w:pPr>
      <w:del w:id="3277" w:author="AbbVie14" w:date="2025-05-09T10:30:00Z">
        <w:r w:rsidRPr="00295E71">
          <w:rPr>
            <w:rFonts w:eastAsia="Arial"/>
            <w:sz w:val="22"/>
            <w:szCs w:val="22"/>
            <w:lang w:bidi="it-IT"/>
          </w:rPr>
          <w:delText>Miglioramenti significativi del DLQI (Dermatology Life Quality Index) sono stati dimostrati alla settimana 16 a partire dal valore basale rispetto al placebo (studi I e II) ed al metotressato (studio II). Nel corso dello studio I, anche i miglioramenti relativi ai punteggi complessivi delle componenti fisiche e mentali del SF-36 sono risultati significativi rispetto al placebo.</w:delText>
        </w:r>
      </w:del>
    </w:p>
    <w:p w:rsidR="006224C2" w:rsidRPr="00295E71" w:rsidP="00AD7AF0" w14:paraId="4B471F06" w14:textId="77777777">
      <w:pPr>
        <w:rPr>
          <w:del w:id="3278" w:author="AbbVie14" w:date="2025-05-09T10:30:00Z"/>
          <w:rFonts w:eastAsia="Arial"/>
          <w:sz w:val="22"/>
          <w:szCs w:val="22"/>
          <w:lang w:bidi="it-IT"/>
        </w:rPr>
      </w:pPr>
    </w:p>
    <w:p w:rsidR="006224C2" w:rsidRPr="00295E71" w:rsidP="00AD7AF0" w14:paraId="027E0D37" w14:textId="77777777">
      <w:pPr>
        <w:rPr>
          <w:del w:id="3279" w:author="AbbVie14" w:date="2025-05-09T10:30:00Z"/>
          <w:sz w:val="22"/>
          <w:szCs w:val="22"/>
        </w:rPr>
      </w:pPr>
      <w:del w:id="3280" w:author="AbbVie14" w:date="2025-05-09T10:30:00Z">
        <w:r w:rsidRPr="00295E71">
          <w:rPr>
            <w:rFonts w:eastAsia="Arial"/>
            <w:sz w:val="22"/>
            <w:szCs w:val="22"/>
            <w:lang w:bidi="it-IT"/>
          </w:rPr>
          <w:delText>In uno studio di estensione in aperto, tra i pazienti che a causa di risposta PASI inferiore al 50% avevano ricevuto incrementi della dose da 40 mg a settimane alterne alla dose di 40 mg ogni settimana, il 26,4% (92/349) e il 37,8% (132/349) ha ottenuto una risposta PASI 75 alla settimana 12 e 24, rispettivamente.</w:delText>
        </w:r>
      </w:del>
    </w:p>
    <w:p w:rsidR="006224C2" w:rsidRPr="00295E71" w14:paraId="38CD96E7" w14:textId="77777777">
      <w:pPr>
        <w:tabs>
          <w:tab w:val="clear" w:pos="567"/>
        </w:tabs>
        <w:jc w:val="left"/>
        <w:pPrChange w:id="3281" w:author="AbbVie14" w:date="2025-05-09T10:30:00Z">
          <w:pPr>
            <w:tabs>
              <w:tab w:val="left" w:pos="567"/>
            </w:tabs>
            <w:jc w:val="both"/>
          </w:pPr>
        </w:pPrChange>
        <w:rPr>
          <w:del w:id="3282" w:author="AbbVie14" w:date="2025-05-09T10:30:00Z"/>
          <w:sz w:val="22"/>
          <w:szCs w:val="22"/>
        </w:rPr>
      </w:pPr>
    </w:p>
    <w:p w:rsidR="006224C2" w:rsidRPr="00295E71" w14:paraId="4222DDEF" w14:textId="77777777">
      <w:pPr>
        <w:tabs>
          <w:tab w:val="clear" w:pos="567"/>
          <w:tab w:val="clear" w:pos="1294"/>
        </w:tabs>
        <w:autoSpaceDE/>
        <w:autoSpaceDN/>
        <w:adjustRightInd/>
        <w:jc w:val="left"/>
        <w:pPrChange w:id="3283" w:author="AbbVie14" w:date="2025-05-09T10:30:00Z">
          <w:pPr>
            <w:tabs>
              <w:tab w:val="left" w:pos="567"/>
              <w:tab w:val="left" w:pos="1294"/>
            </w:tabs>
            <w:autoSpaceDE w:val="0"/>
            <w:autoSpaceDN w:val="0"/>
            <w:adjustRightInd w:val="0"/>
            <w:jc w:val="both"/>
          </w:pPr>
        </w:pPrChange>
        <w:rPr>
          <w:del w:id="3284" w:author="AbbVie14" w:date="2025-05-09T10:30:00Z"/>
          <w:color w:val="000000"/>
          <w:sz w:val="22"/>
          <w:szCs w:val="22"/>
        </w:rPr>
      </w:pPr>
      <w:del w:id="3285" w:author="AbbVie14" w:date="2025-05-09T10:30:00Z">
        <w:r w:rsidRPr="00295E71">
          <w:rPr>
            <w:color w:val="000000"/>
            <w:sz w:val="22"/>
            <w:szCs w:val="22"/>
          </w:rPr>
          <w:delText xml:space="preserve">Lo studio di fase III sulla psoriasi (REACH) ha paragonato l’efficacia e la sicurezza di Humira rispetto al placebo in 72 pazienti affetti da psoriasi cronica a placche da moderata a severa e psoriasi localizzata alla mano e/o al piede. I pazienti hanno ricevuto una dose iniziale di 80 mg di Humira seguita dalla dose di 40 mg somministrata a settimane alterne (a iniziare dalla settimana successiva all’assunzione della dose iniziale) o placebo per 16 settimane. Alla settimana 16, una percentuale maggiore </w:delText>
        </w:r>
      </w:del>
      <w:del w:id="3286" w:author="AbbVie14" w:date="2025-05-09T10:30:00Z">
        <w:r w:rsidRPr="00020442" w:rsidR="00CB53AC">
          <w:rPr>
            <w:color w:val="000000"/>
            <w:sz w:val="22"/>
            <w:szCs w:val="22"/>
          </w:rPr>
          <w:delText xml:space="preserve">in misura statisticamente significativa </w:delText>
        </w:r>
      </w:del>
      <w:del w:id="3287" w:author="AbbVie14" w:date="2025-05-09T10:30:00Z">
        <w:r w:rsidRPr="00295E71">
          <w:rPr>
            <w:color w:val="000000"/>
            <w:sz w:val="22"/>
            <w:szCs w:val="22"/>
          </w:rPr>
          <w:delText>di pazienti che aveva ricevuto Humira, ha ottenuto una risposta PGA corrispondente a remissione totale o pressochè totale della malattia alle mani e/o ai piedi rispetto ai pazienti che avevano ricevuto il placebo (rispettivamente 30,6% vs 4,3%, [P = 0,014]).</w:delText>
        </w:r>
      </w:del>
    </w:p>
    <w:p w:rsidR="006224C2" w:rsidRPr="00295E71" w14:paraId="4EA8E547" w14:textId="77777777">
      <w:pPr>
        <w:pPrChange w:id="3288" w:author="AbbVie14" w:date="2025-05-09T10:30:00Z">
          <w:pPr>
            <w:pStyle w:val="gtcbodytext"/>
            <w:spacing w:before="0" w:after="0" w:line="240" w:lineRule="auto"/>
          </w:pPr>
        </w:pPrChange>
        <w:rPr>
          <w:del w:id="3289" w:author="AbbVie14" w:date="2025-05-09T10:30:00Z"/>
          <w:sz w:val="22"/>
          <w:szCs w:val="22"/>
        </w:rPr>
      </w:pPr>
    </w:p>
    <w:p w:rsidR="006224C2" w:rsidRPr="00295E71" w14:paraId="4070AB43" w14:textId="77777777">
      <w:pPr>
        <w:pPrChange w:id="3290" w:author="AbbVie14" w:date="2025-05-09T10:30:00Z">
          <w:pPr>
            <w:pStyle w:val="gtcbodytext"/>
            <w:spacing w:before="0" w:after="0" w:line="240" w:lineRule="auto"/>
            <w:jc w:val="both"/>
          </w:pPr>
        </w:pPrChange>
        <w:rPr>
          <w:del w:id="3291" w:author="AbbVie14" w:date="2025-05-09T10:30:00Z"/>
          <w:sz w:val="22"/>
          <w:szCs w:val="22"/>
        </w:rPr>
      </w:pPr>
      <w:del w:id="3292" w:author="AbbVie14" w:date="2025-05-09T10:30:00Z">
        <w:r w:rsidRPr="00295E71">
          <w:rPr>
            <w:sz w:val="22"/>
            <w:szCs w:val="22"/>
          </w:rPr>
          <w:delText>Lo studio IV sulla psoriasi ha paragonato l’efficacia e la sicurezza di Humira rispetto al placebo in 217 pazienti adulti affetti da psoriasi ungueale da moderata a severa. I pazienti hanno ricevuto una dose iniziale di 80 mg di Humira seguita da 40 mg a settimane alterne (a partire da una settimana dopo la dose iniziale) o di placebo per 26 settimane seguita da un trattamento in aperto con Humira per altre 26 settimane.Le valutazioni della psoriasi ungueale comprendevano il Modified Nail Psoriasis Severity Index (mNAPSI), il Physician’s Global Assessment of Fingernail Psoriasis (PGA-F) e il Nail Psoriasis Severity Index (NAPSI) (vedere Tabella 1</w:delText>
        </w:r>
      </w:del>
      <w:del w:id="3293" w:author="AbbVie14" w:date="2025-05-09T10:30:00Z">
        <w:r w:rsidR="000203FD">
          <w:rPr>
            <w:sz w:val="22"/>
            <w:szCs w:val="22"/>
          </w:rPr>
          <w:delText>4</w:delText>
        </w:r>
      </w:del>
      <w:del w:id="3294" w:author="AbbVie14" w:date="2025-05-09T10:30:00Z">
        <w:r w:rsidRPr="00295E71">
          <w:rPr>
            <w:sz w:val="22"/>
            <w:szCs w:val="22"/>
          </w:rPr>
          <w:delText>). Il trattamento con Humira ha dimostrato un beneficio terapeutico nei pazienti affetti da psoriasi ungueale con coinvolgimento cutaneo di grado variabile (BSA≥10% (60% dei pazienti) e BSA&lt;10% e ≥5% (40% dei pazienti)).</w:delText>
        </w:r>
      </w:del>
    </w:p>
    <w:p w:rsidR="006224C2" w:rsidRPr="00295E71" w14:paraId="3D66F458" w14:textId="77777777">
      <w:pPr>
        <w:tabs>
          <w:tab w:val="clear" w:pos="567"/>
          <w:tab w:val="clear" w:pos="1294"/>
        </w:tabs>
        <w:autoSpaceDE/>
        <w:autoSpaceDN/>
        <w:adjustRightInd/>
        <w:jc w:val="left"/>
        <w:pPrChange w:id="3295" w:author="AbbVie14" w:date="2025-05-09T10:30:00Z">
          <w:pPr>
            <w:tabs>
              <w:tab w:val="left" w:pos="567"/>
              <w:tab w:val="left" w:pos="1294"/>
            </w:tabs>
            <w:autoSpaceDE w:val="0"/>
            <w:autoSpaceDN w:val="0"/>
            <w:adjustRightInd w:val="0"/>
            <w:jc w:val="both"/>
          </w:pPr>
        </w:pPrChange>
        <w:rPr>
          <w:del w:id="3296" w:author="AbbVie14" w:date="2025-05-09T10:30:00Z"/>
          <w:color w:val="000000"/>
          <w:sz w:val="22"/>
          <w:szCs w:val="22"/>
        </w:rPr>
      </w:pPr>
    </w:p>
    <w:p w:rsidR="006224C2" w:rsidRPr="00295E71" w14:paraId="31B8A6FE" w14:textId="77777777">
      <w:pPr>
        <w:pPrChange w:id="3297" w:author="AbbVie14" w:date="2025-05-09T10:30:00Z">
          <w:pPr>
            <w:pStyle w:val="gtctabletitleotherwise"/>
            <w:keepNext/>
            <w:spacing w:before="0"/>
          </w:pPr>
        </w:pPrChange>
        <w:rPr>
          <w:del w:id="3298" w:author="AbbVie14" w:date="2025-05-09T10:30:00Z"/>
          <w:sz w:val="22"/>
          <w:szCs w:val="22"/>
        </w:rPr>
      </w:pPr>
      <w:del w:id="3299" w:author="AbbVie14" w:date="2025-05-09T10:30:00Z">
        <w:r w:rsidRPr="00295E71">
          <w:rPr>
            <w:sz w:val="22"/>
            <w:szCs w:val="22"/>
          </w:rPr>
          <w:delText>Tabella 1</w:delText>
        </w:r>
      </w:del>
      <w:del w:id="3300" w:author="AbbVie14" w:date="2025-05-09T10:30:00Z">
        <w:r w:rsidR="000203FD">
          <w:rPr>
            <w:sz w:val="22"/>
            <w:szCs w:val="22"/>
          </w:rPr>
          <w:delText>4</w:delText>
        </w:r>
      </w:del>
    </w:p>
    <w:p w:rsidR="006224C2" w:rsidRPr="00295E71" w14:paraId="13EB1BA5" w14:textId="77777777">
      <w:pPr>
        <w:pPrChange w:id="3301" w:author="AbbVie14" w:date="2025-05-09T10:30:00Z">
          <w:pPr>
            <w:pStyle w:val="gtctabletitleotherwise"/>
            <w:keepNext/>
            <w:spacing w:before="0"/>
          </w:pPr>
        </w:pPrChange>
        <w:rPr>
          <w:del w:id="3302" w:author="AbbVie14" w:date="2025-05-09T10:30:00Z"/>
          <w:sz w:val="22"/>
          <w:szCs w:val="22"/>
        </w:rPr>
      </w:pPr>
      <w:del w:id="3303" w:author="AbbVie14" w:date="2025-05-09T10:30:00Z">
        <w:r w:rsidRPr="00295E71">
          <w:rPr>
            <w:sz w:val="22"/>
            <w:szCs w:val="22"/>
          </w:rPr>
          <w:delText>Risultati di efficacia dello Studio Ps IV alle settimane 16, 26 e 52</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240E3F45" w14:textId="77777777">
        <w:tblPrEx>
          <w:tblW w:w="0" w:type="auto"/>
          <w:tblLayout w:type="fixed"/>
          <w:tblLook w:val="04A0"/>
        </w:tblPrEx>
        <w:trPr>
          <w:del w:id="3304" w:author="AbbVie14" w:date="2025-05-09T10:30:00Z"/>
        </w:trPr>
        <w:tc>
          <w:tcPr>
            <w:tcW w:w="2718" w:type="dxa"/>
            <w:vMerge w:val="restart"/>
          </w:tcPr>
          <w:p w:rsidR="006224C2" w:rsidRPr="00295E71" w14:paraId="3D90335A" w14:textId="77777777">
            <w:pPr>
              <w:pPrChange w:id="3305" w:author="AbbVie14" w:date="2025-05-09T10:30:00Z">
                <w:pPr>
                  <w:pStyle w:val="gtctablespaceafter"/>
                  <w:keepNext/>
                  <w:spacing w:after="0"/>
                </w:pPr>
              </w:pPrChange>
              <w:rPr>
                <w:del w:id="3306" w:author="AbbVie14" w:date="2025-05-09T10:30:00Z"/>
                <w:sz w:val="22"/>
                <w:szCs w:val="22"/>
              </w:rPr>
            </w:pPr>
            <w:del w:id="3307" w:author="AbbVie14" w:date="2025-05-09T10:30:00Z">
              <w:r w:rsidRPr="00295E71">
                <w:rPr>
                  <w:sz w:val="22"/>
                  <w:szCs w:val="22"/>
                </w:rPr>
                <w:delText>Endpoint</w:delText>
              </w:r>
            </w:del>
          </w:p>
        </w:tc>
        <w:tc>
          <w:tcPr>
            <w:tcW w:w="2340" w:type="dxa"/>
            <w:gridSpan w:val="2"/>
          </w:tcPr>
          <w:p w:rsidR="006224C2" w:rsidRPr="00295E71" w14:paraId="600ED631" w14:textId="77777777">
            <w:pPr>
              <w:pPrChange w:id="3308" w:author="AbbVie14" w:date="2025-05-09T10:30:00Z">
                <w:pPr>
                  <w:pStyle w:val="gtctablespaceafter"/>
                  <w:keepNext/>
                  <w:spacing w:after="0"/>
                  <w:jc w:val="center"/>
                </w:pPr>
              </w:pPrChange>
              <w:rPr>
                <w:del w:id="3309" w:author="AbbVie14" w:date="2025-05-09T10:30:00Z"/>
                <w:sz w:val="22"/>
                <w:szCs w:val="22"/>
              </w:rPr>
            </w:pPr>
            <w:del w:id="3310" w:author="AbbVie14" w:date="2025-05-09T10:30:00Z">
              <w:r w:rsidRPr="00295E71">
                <w:rPr>
                  <w:sz w:val="22"/>
                  <w:szCs w:val="22"/>
                </w:rPr>
                <w:delText>Settimana 16</w:delText>
              </w:r>
            </w:del>
          </w:p>
          <w:p w:rsidR="006224C2" w:rsidRPr="00295E71" w14:paraId="343BEF1E" w14:textId="77777777">
            <w:pPr>
              <w:pPrChange w:id="3311" w:author="AbbVie14" w:date="2025-05-09T10:30:00Z">
                <w:pPr>
                  <w:pStyle w:val="gtctablespaceafter"/>
                  <w:keepNext/>
                  <w:spacing w:after="0"/>
                  <w:jc w:val="center"/>
                </w:pPr>
              </w:pPrChange>
              <w:rPr>
                <w:del w:id="3312" w:author="AbbVie14" w:date="2025-05-09T10:30:00Z"/>
                <w:sz w:val="22"/>
                <w:szCs w:val="22"/>
              </w:rPr>
            </w:pPr>
            <w:del w:id="3313" w:author="AbbVie14" w:date="2025-05-09T10:30:00Z">
              <w:r w:rsidRPr="00295E71">
                <w:rPr>
                  <w:sz w:val="22"/>
                  <w:szCs w:val="22"/>
                </w:rPr>
                <w:delText>Controllato verso placebo</w:delText>
              </w:r>
            </w:del>
          </w:p>
        </w:tc>
        <w:tc>
          <w:tcPr>
            <w:tcW w:w="2250" w:type="dxa"/>
            <w:gridSpan w:val="2"/>
          </w:tcPr>
          <w:p w:rsidR="006224C2" w:rsidRPr="00295E71" w14:paraId="7A511927" w14:textId="77777777">
            <w:pPr>
              <w:pPrChange w:id="3314" w:author="AbbVie14" w:date="2025-05-09T10:30:00Z">
                <w:pPr>
                  <w:pStyle w:val="gtctablespaceafter"/>
                  <w:keepNext/>
                  <w:spacing w:after="0"/>
                  <w:jc w:val="center"/>
                </w:pPr>
              </w:pPrChange>
              <w:rPr>
                <w:del w:id="3315" w:author="AbbVie14" w:date="2025-05-09T10:30:00Z"/>
                <w:sz w:val="22"/>
                <w:szCs w:val="22"/>
              </w:rPr>
            </w:pPr>
            <w:del w:id="3316" w:author="AbbVie14" w:date="2025-05-09T10:30:00Z">
              <w:r w:rsidRPr="00295E71">
                <w:rPr>
                  <w:sz w:val="22"/>
                  <w:szCs w:val="22"/>
                </w:rPr>
                <w:delText>Settimana 26</w:delText>
              </w:r>
            </w:del>
          </w:p>
          <w:p w:rsidR="006224C2" w:rsidRPr="00295E71" w14:paraId="143EE368" w14:textId="77777777">
            <w:pPr>
              <w:pPrChange w:id="3317" w:author="AbbVie14" w:date="2025-05-09T10:30:00Z">
                <w:pPr>
                  <w:pStyle w:val="gtctablespaceafter"/>
                  <w:keepNext/>
                  <w:spacing w:after="0"/>
                  <w:jc w:val="center"/>
                </w:pPr>
              </w:pPrChange>
              <w:rPr>
                <w:del w:id="3318" w:author="AbbVie14" w:date="2025-05-09T10:30:00Z"/>
                <w:sz w:val="22"/>
                <w:szCs w:val="22"/>
              </w:rPr>
            </w:pPr>
            <w:del w:id="3319" w:author="AbbVie14" w:date="2025-05-09T10:30:00Z">
              <w:r w:rsidRPr="00295E71">
                <w:rPr>
                  <w:sz w:val="22"/>
                  <w:szCs w:val="22"/>
                </w:rPr>
                <w:delText>Controllato verso placebo</w:delText>
              </w:r>
            </w:del>
          </w:p>
        </w:tc>
        <w:tc>
          <w:tcPr>
            <w:tcW w:w="2268" w:type="dxa"/>
            <w:vAlign w:val="center"/>
          </w:tcPr>
          <w:p w:rsidR="006224C2" w:rsidRPr="00295E71" w14:paraId="4BA6D889" w14:textId="77777777">
            <w:pPr>
              <w:pPrChange w:id="3320" w:author="AbbVie14" w:date="2025-05-09T10:30:00Z">
                <w:pPr>
                  <w:pStyle w:val="gtctablespaceafter"/>
                  <w:keepNext/>
                  <w:spacing w:after="0"/>
                  <w:jc w:val="center"/>
                </w:pPr>
              </w:pPrChange>
              <w:rPr>
                <w:del w:id="3321" w:author="AbbVie14" w:date="2025-05-09T10:30:00Z"/>
                <w:sz w:val="22"/>
                <w:szCs w:val="22"/>
              </w:rPr>
            </w:pPr>
            <w:del w:id="3322" w:author="AbbVie14" w:date="2025-05-09T10:30:00Z">
              <w:r w:rsidRPr="00295E71">
                <w:rPr>
                  <w:sz w:val="22"/>
                  <w:szCs w:val="22"/>
                </w:rPr>
                <w:delText>Settimana 52</w:delText>
              </w:r>
            </w:del>
          </w:p>
          <w:p w:rsidR="006224C2" w:rsidRPr="00295E71" w14:paraId="5ACDCBBF" w14:textId="77777777">
            <w:pPr>
              <w:pPrChange w:id="3323" w:author="AbbVie14" w:date="2025-05-09T10:30:00Z">
                <w:pPr>
                  <w:pStyle w:val="gtctablespaceafter"/>
                  <w:keepNext/>
                  <w:spacing w:after="0"/>
                  <w:jc w:val="center"/>
                </w:pPr>
              </w:pPrChange>
              <w:rPr>
                <w:del w:id="3324" w:author="AbbVie14" w:date="2025-05-09T10:30:00Z"/>
                <w:sz w:val="22"/>
                <w:szCs w:val="22"/>
              </w:rPr>
            </w:pPr>
            <w:del w:id="3325" w:author="AbbVie14" w:date="2025-05-09T10:30:00Z">
              <w:r w:rsidRPr="00295E71">
                <w:rPr>
                  <w:sz w:val="22"/>
                  <w:szCs w:val="22"/>
                </w:rPr>
                <w:delText>In aperto</w:delText>
              </w:r>
            </w:del>
          </w:p>
        </w:tc>
      </w:tr>
      <w:tr w14:paraId="2B885A1C" w14:textId="77777777">
        <w:tblPrEx>
          <w:tblW w:w="0" w:type="auto"/>
          <w:tblLayout w:type="fixed"/>
          <w:tblLook w:val="04A0"/>
        </w:tblPrEx>
        <w:trPr>
          <w:del w:id="3326" w:author="AbbVie14" w:date="2025-05-09T10:30:00Z"/>
        </w:trPr>
        <w:tc>
          <w:tcPr>
            <w:tcW w:w="2718" w:type="dxa"/>
            <w:vMerge/>
          </w:tcPr>
          <w:p w:rsidR="006224C2" w:rsidRPr="00295E71" w14:paraId="519E0E96" w14:textId="77777777">
            <w:pPr>
              <w:pPrChange w:id="3327" w:author="AbbVie14" w:date="2025-05-09T10:30:00Z">
                <w:pPr>
                  <w:pStyle w:val="gtctablespaceafter"/>
                  <w:keepNext/>
                  <w:spacing w:after="0"/>
                </w:pPr>
              </w:pPrChange>
              <w:rPr>
                <w:del w:id="3328" w:author="AbbVie14" w:date="2025-05-09T10:30:00Z"/>
                <w:sz w:val="22"/>
                <w:szCs w:val="22"/>
              </w:rPr>
            </w:pPr>
          </w:p>
        </w:tc>
        <w:tc>
          <w:tcPr>
            <w:tcW w:w="1080" w:type="dxa"/>
          </w:tcPr>
          <w:p w:rsidR="006224C2" w:rsidRPr="00295E71" w14:paraId="37A26623" w14:textId="77777777">
            <w:pPr>
              <w:pPrChange w:id="3329" w:author="AbbVie14" w:date="2025-05-09T10:30:00Z">
                <w:pPr>
                  <w:pStyle w:val="gtctablespaceafter"/>
                  <w:keepNext/>
                  <w:spacing w:after="0"/>
                  <w:jc w:val="center"/>
                </w:pPr>
              </w:pPrChange>
              <w:rPr>
                <w:del w:id="3330" w:author="AbbVie14" w:date="2025-05-09T10:30:00Z"/>
                <w:sz w:val="22"/>
                <w:szCs w:val="22"/>
              </w:rPr>
            </w:pPr>
            <w:del w:id="3331" w:author="AbbVie14" w:date="2025-05-09T10:30:00Z">
              <w:r w:rsidRPr="00295E71">
                <w:rPr>
                  <w:sz w:val="22"/>
                  <w:szCs w:val="22"/>
                </w:rPr>
                <w:delText>Placebo</w:delText>
              </w:r>
            </w:del>
            <w:del w:id="3332" w:author="AbbVie14" w:date="2025-05-09T10:30:00Z">
              <w:r w:rsidRPr="00295E71">
                <w:rPr>
                  <w:sz w:val="22"/>
                  <w:szCs w:val="22"/>
                </w:rPr>
                <w:br/>
                <w:delText>N=108</w:delText>
              </w:r>
            </w:del>
          </w:p>
        </w:tc>
        <w:tc>
          <w:tcPr>
            <w:tcW w:w="1260" w:type="dxa"/>
          </w:tcPr>
          <w:p w:rsidR="006224C2" w:rsidRPr="00295E71" w14:paraId="6C3517CA" w14:textId="77777777">
            <w:pPr>
              <w:pPrChange w:id="3333" w:author="AbbVie14" w:date="2025-05-09T10:30:00Z">
                <w:pPr>
                  <w:pStyle w:val="In-texttable"/>
                  <w:spacing w:line="240" w:lineRule="auto"/>
                  <w:jc w:val="center"/>
                </w:pPr>
              </w:pPrChange>
              <w:rPr>
                <w:del w:id="3334" w:author="AbbVie14" w:date="2025-05-09T10:30:00Z"/>
                <w:sz w:val="22"/>
                <w:szCs w:val="22"/>
              </w:rPr>
            </w:pPr>
            <w:del w:id="3335" w:author="AbbVie14" w:date="2025-05-09T10:30:00Z">
              <w:r w:rsidRPr="00295E71">
                <w:rPr>
                  <w:sz w:val="22"/>
                  <w:szCs w:val="22"/>
                </w:rPr>
                <w:delText>Humira</w:delText>
              </w:r>
            </w:del>
          </w:p>
          <w:p w:rsidR="006224C2" w:rsidRPr="00295E71" w14:paraId="4BDEA0BC" w14:textId="77777777">
            <w:pPr>
              <w:pPrChange w:id="3336" w:author="AbbVie14" w:date="2025-05-09T10:30:00Z">
                <w:pPr>
                  <w:pStyle w:val="gtctablespaceafter"/>
                  <w:keepNext/>
                  <w:spacing w:after="0"/>
                  <w:jc w:val="center"/>
                </w:pPr>
              </w:pPrChange>
              <w:rPr>
                <w:del w:id="3337" w:author="AbbVie14" w:date="2025-05-09T10:30:00Z"/>
                <w:sz w:val="22"/>
                <w:szCs w:val="22"/>
              </w:rPr>
            </w:pPr>
            <w:del w:id="3338" w:author="AbbVie14" w:date="2025-05-09T10:30:00Z">
              <w:r w:rsidRPr="00295E71">
                <w:rPr>
                  <w:sz w:val="22"/>
                  <w:szCs w:val="22"/>
                </w:rPr>
                <w:delText xml:space="preserve">40 mg a settimane alterne </w:delText>
              </w:r>
            </w:del>
            <w:del w:id="3339" w:author="AbbVie14" w:date="2025-05-09T10:30:00Z">
              <w:r w:rsidRPr="00295E71">
                <w:rPr>
                  <w:sz w:val="22"/>
                  <w:szCs w:val="22"/>
                </w:rPr>
                <w:br/>
                <w:delText>N=109</w:delText>
              </w:r>
            </w:del>
          </w:p>
        </w:tc>
        <w:tc>
          <w:tcPr>
            <w:tcW w:w="990" w:type="dxa"/>
          </w:tcPr>
          <w:p w:rsidR="006224C2" w:rsidRPr="00295E71" w14:paraId="36C92BFB" w14:textId="77777777">
            <w:pPr>
              <w:pPrChange w:id="3340" w:author="AbbVie14" w:date="2025-05-09T10:30:00Z">
                <w:pPr>
                  <w:pStyle w:val="gtctablespaceafter"/>
                  <w:keepNext/>
                  <w:spacing w:after="0"/>
                  <w:jc w:val="center"/>
                </w:pPr>
              </w:pPrChange>
              <w:rPr>
                <w:del w:id="3341" w:author="AbbVie14" w:date="2025-05-09T10:30:00Z"/>
                <w:sz w:val="22"/>
                <w:szCs w:val="22"/>
              </w:rPr>
            </w:pPr>
            <w:del w:id="3342" w:author="AbbVie14" w:date="2025-05-09T10:30:00Z">
              <w:r w:rsidRPr="00295E71">
                <w:rPr>
                  <w:sz w:val="22"/>
                  <w:szCs w:val="22"/>
                </w:rPr>
                <w:delText>Placebo</w:delText>
              </w:r>
            </w:del>
            <w:del w:id="3343" w:author="AbbVie14" w:date="2025-05-09T10:30:00Z">
              <w:r w:rsidRPr="00295E71">
                <w:rPr>
                  <w:sz w:val="22"/>
                  <w:szCs w:val="22"/>
                </w:rPr>
                <w:br/>
                <w:delText>N=108</w:delText>
              </w:r>
            </w:del>
          </w:p>
        </w:tc>
        <w:tc>
          <w:tcPr>
            <w:tcW w:w="1260" w:type="dxa"/>
          </w:tcPr>
          <w:p w:rsidR="006224C2" w:rsidRPr="00295E71" w14:paraId="5EA9144C" w14:textId="77777777">
            <w:pPr>
              <w:pPrChange w:id="3344" w:author="AbbVie14" w:date="2025-05-09T10:30:00Z">
                <w:pPr>
                  <w:pStyle w:val="In-texttable"/>
                  <w:spacing w:line="240" w:lineRule="auto"/>
                  <w:jc w:val="center"/>
                </w:pPr>
              </w:pPrChange>
              <w:rPr>
                <w:del w:id="3345" w:author="AbbVie14" w:date="2025-05-09T10:30:00Z"/>
                <w:sz w:val="22"/>
                <w:szCs w:val="22"/>
              </w:rPr>
            </w:pPr>
            <w:del w:id="3346" w:author="AbbVie14" w:date="2025-05-09T10:30:00Z">
              <w:r w:rsidRPr="00295E71">
                <w:rPr>
                  <w:sz w:val="22"/>
                  <w:szCs w:val="22"/>
                </w:rPr>
                <w:delText>Humira</w:delText>
              </w:r>
            </w:del>
          </w:p>
          <w:p w:rsidR="006224C2" w:rsidRPr="00295E71" w14:paraId="177C98D4" w14:textId="77777777">
            <w:pPr>
              <w:pPrChange w:id="3347" w:author="AbbVie14" w:date="2025-05-09T10:30:00Z">
                <w:pPr>
                  <w:pStyle w:val="gtctablespaceafter"/>
                  <w:keepNext/>
                  <w:spacing w:after="0"/>
                  <w:jc w:val="center"/>
                </w:pPr>
              </w:pPrChange>
              <w:rPr>
                <w:del w:id="3348" w:author="AbbVie14" w:date="2025-05-09T10:30:00Z"/>
                <w:sz w:val="22"/>
                <w:szCs w:val="22"/>
              </w:rPr>
            </w:pPr>
            <w:del w:id="3349" w:author="AbbVie14" w:date="2025-05-09T10:30:00Z">
              <w:r w:rsidRPr="00295E71">
                <w:rPr>
                  <w:sz w:val="22"/>
                  <w:szCs w:val="22"/>
                </w:rPr>
                <w:delText xml:space="preserve">40 mg a settimane alterne </w:delText>
              </w:r>
            </w:del>
            <w:del w:id="3350" w:author="AbbVie14" w:date="2025-05-09T10:30:00Z">
              <w:r w:rsidRPr="00295E71">
                <w:rPr>
                  <w:sz w:val="22"/>
                  <w:szCs w:val="22"/>
                </w:rPr>
                <w:br/>
                <w:delText>N=109</w:delText>
              </w:r>
            </w:del>
          </w:p>
        </w:tc>
        <w:tc>
          <w:tcPr>
            <w:tcW w:w="2268" w:type="dxa"/>
          </w:tcPr>
          <w:p w:rsidR="006224C2" w:rsidRPr="00295E71" w14:paraId="21FFC21A" w14:textId="77777777">
            <w:pPr>
              <w:pPrChange w:id="3351" w:author="AbbVie14" w:date="2025-05-09T10:30:00Z">
                <w:pPr>
                  <w:pStyle w:val="In-texttable"/>
                  <w:spacing w:line="240" w:lineRule="auto"/>
                  <w:jc w:val="center"/>
                </w:pPr>
              </w:pPrChange>
              <w:rPr>
                <w:del w:id="3352" w:author="AbbVie14" w:date="2025-05-09T10:30:00Z"/>
                <w:sz w:val="22"/>
                <w:szCs w:val="22"/>
              </w:rPr>
            </w:pPr>
            <w:del w:id="3353" w:author="AbbVie14" w:date="2025-05-09T10:30:00Z">
              <w:r w:rsidRPr="00295E71">
                <w:rPr>
                  <w:sz w:val="22"/>
                  <w:szCs w:val="22"/>
                </w:rPr>
                <w:delText>Humira</w:delText>
              </w:r>
            </w:del>
          </w:p>
          <w:p w:rsidR="006224C2" w:rsidRPr="00295E71" w14:paraId="6BC6250D" w14:textId="77777777">
            <w:pPr>
              <w:pPrChange w:id="3354" w:author="AbbVie14" w:date="2025-05-09T10:30:00Z">
                <w:pPr>
                  <w:pStyle w:val="gtctablespaceafter"/>
                  <w:keepNext/>
                  <w:spacing w:after="0"/>
                  <w:jc w:val="center"/>
                </w:pPr>
              </w:pPrChange>
              <w:rPr>
                <w:del w:id="3355" w:author="AbbVie14" w:date="2025-05-09T10:30:00Z"/>
                <w:sz w:val="22"/>
                <w:szCs w:val="22"/>
              </w:rPr>
            </w:pPr>
            <w:del w:id="3356" w:author="AbbVie14" w:date="2025-05-09T10:30:00Z">
              <w:r w:rsidRPr="00295E71">
                <w:rPr>
                  <w:sz w:val="22"/>
                  <w:szCs w:val="22"/>
                </w:rPr>
                <w:delText xml:space="preserve">40 mg a settimane alterne </w:delText>
              </w:r>
            </w:del>
            <w:del w:id="3357" w:author="AbbVie14" w:date="2025-05-09T10:30:00Z">
              <w:r w:rsidRPr="00295E71">
                <w:rPr>
                  <w:sz w:val="22"/>
                  <w:szCs w:val="22"/>
                </w:rPr>
                <w:br/>
                <w:delText>N=80</w:delText>
              </w:r>
            </w:del>
          </w:p>
        </w:tc>
      </w:tr>
      <w:tr w14:paraId="08BD5621" w14:textId="77777777">
        <w:tblPrEx>
          <w:tblW w:w="0" w:type="auto"/>
          <w:tblLayout w:type="fixed"/>
          <w:tblLook w:val="04A0"/>
        </w:tblPrEx>
        <w:trPr>
          <w:del w:id="3358" w:author="AbbVie14" w:date="2025-05-09T10:30:00Z"/>
        </w:trPr>
        <w:tc>
          <w:tcPr>
            <w:tcW w:w="2718" w:type="dxa"/>
          </w:tcPr>
          <w:p w:rsidR="006224C2" w:rsidRPr="00295E71" w14:paraId="28F5BDB7" w14:textId="77777777">
            <w:pPr>
              <w:pPrChange w:id="3359" w:author="AbbVie14" w:date="2025-05-09T10:30:00Z">
                <w:pPr>
                  <w:pStyle w:val="gtctablespaceafter"/>
                  <w:keepNext/>
                  <w:spacing w:after="0"/>
                </w:pPr>
              </w:pPrChange>
              <w:rPr>
                <w:del w:id="3360" w:author="AbbVie14" w:date="2025-05-09T10:30:00Z"/>
                <w:sz w:val="22"/>
                <w:szCs w:val="22"/>
              </w:rPr>
            </w:pPr>
            <w:del w:id="3361" w:author="AbbVie14" w:date="2025-05-09T10:30:00Z">
              <w:r w:rsidRPr="00295E71">
                <w:rPr>
                  <w:sz w:val="22"/>
                  <w:szCs w:val="22"/>
                </w:rPr>
                <w:delText>≥ mNAPSI 75 (%)</w:delText>
              </w:r>
            </w:del>
          </w:p>
        </w:tc>
        <w:tc>
          <w:tcPr>
            <w:tcW w:w="1080" w:type="dxa"/>
          </w:tcPr>
          <w:p w:rsidR="006224C2" w:rsidRPr="00295E71" w14:paraId="767BCB47" w14:textId="77777777">
            <w:pPr>
              <w:pPrChange w:id="3362" w:author="AbbVie14" w:date="2025-05-09T10:30:00Z">
                <w:pPr>
                  <w:pStyle w:val="gtctablespaceafter"/>
                  <w:keepNext/>
                  <w:spacing w:after="0"/>
                  <w:jc w:val="center"/>
                </w:pPr>
              </w:pPrChange>
              <w:rPr>
                <w:del w:id="3363" w:author="AbbVie14" w:date="2025-05-09T10:30:00Z"/>
                <w:sz w:val="22"/>
                <w:szCs w:val="22"/>
              </w:rPr>
            </w:pPr>
            <w:del w:id="3364" w:author="AbbVie14" w:date="2025-05-09T10:30:00Z">
              <w:r w:rsidRPr="00295E71">
                <w:rPr>
                  <w:sz w:val="22"/>
                  <w:szCs w:val="22"/>
                </w:rPr>
                <w:delText>2,9</w:delText>
              </w:r>
            </w:del>
          </w:p>
        </w:tc>
        <w:tc>
          <w:tcPr>
            <w:tcW w:w="1260" w:type="dxa"/>
          </w:tcPr>
          <w:p w:rsidR="006224C2" w:rsidRPr="00295E71" w14:paraId="06324CAC" w14:textId="77777777">
            <w:pPr>
              <w:pPrChange w:id="3365" w:author="AbbVie14" w:date="2025-05-09T10:30:00Z">
                <w:pPr>
                  <w:pStyle w:val="gtctablespaceafter"/>
                  <w:keepNext/>
                  <w:spacing w:after="0"/>
                  <w:jc w:val="center"/>
                </w:pPr>
              </w:pPrChange>
              <w:rPr>
                <w:del w:id="3366" w:author="AbbVie14" w:date="2025-05-09T10:30:00Z"/>
                <w:sz w:val="22"/>
                <w:szCs w:val="22"/>
              </w:rPr>
            </w:pPr>
            <w:del w:id="3367" w:author="AbbVie14" w:date="2025-05-09T10:30:00Z">
              <w:r w:rsidRPr="00295E71">
                <w:rPr>
                  <w:sz w:val="22"/>
                  <w:szCs w:val="22"/>
                </w:rPr>
                <w:delText>26,0</w:delText>
              </w:r>
            </w:del>
            <w:del w:id="3368" w:author="AbbVie14" w:date="2025-05-09T10:30:00Z">
              <w:r w:rsidRPr="00295E71">
                <w:rPr>
                  <w:sz w:val="22"/>
                  <w:szCs w:val="22"/>
                  <w:vertAlign w:val="superscript"/>
                </w:rPr>
                <w:delText>a</w:delText>
              </w:r>
            </w:del>
          </w:p>
        </w:tc>
        <w:tc>
          <w:tcPr>
            <w:tcW w:w="990" w:type="dxa"/>
          </w:tcPr>
          <w:p w:rsidR="006224C2" w:rsidRPr="00295E71" w14:paraId="52B408EC" w14:textId="77777777">
            <w:pPr>
              <w:keepNext w:val="0"/>
              <w:jc w:val="left"/>
              <w:pPrChange w:id="3369" w:author="AbbVie14" w:date="2025-05-09T10:30:00Z">
                <w:pPr>
                  <w:keepNext/>
                  <w:jc w:val="center"/>
                </w:pPr>
              </w:pPrChange>
              <w:rPr>
                <w:del w:id="3370" w:author="AbbVie14" w:date="2025-05-09T10:30:00Z"/>
                <w:sz w:val="22"/>
                <w:szCs w:val="22"/>
              </w:rPr>
            </w:pPr>
            <w:del w:id="3371" w:author="AbbVie14" w:date="2025-05-09T10:30:00Z">
              <w:r w:rsidRPr="00295E71">
                <w:rPr>
                  <w:sz w:val="22"/>
                  <w:szCs w:val="22"/>
                </w:rPr>
                <w:delText>3,4</w:delText>
              </w:r>
            </w:del>
          </w:p>
        </w:tc>
        <w:tc>
          <w:tcPr>
            <w:tcW w:w="1260" w:type="dxa"/>
          </w:tcPr>
          <w:p w:rsidR="006224C2" w:rsidRPr="00295E71" w14:paraId="5FC7268A" w14:textId="77777777">
            <w:pPr>
              <w:keepNext w:val="0"/>
              <w:jc w:val="left"/>
              <w:pPrChange w:id="3372" w:author="AbbVie14" w:date="2025-05-09T10:30:00Z">
                <w:pPr>
                  <w:keepNext/>
                  <w:jc w:val="center"/>
                </w:pPr>
              </w:pPrChange>
              <w:rPr>
                <w:del w:id="3373" w:author="AbbVie14" w:date="2025-05-09T10:30:00Z"/>
                <w:sz w:val="22"/>
                <w:szCs w:val="22"/>
              </w:rPr>
            </w:pPr>
            <w:del w:id="3374" w:author="AbbVie14" w:date="2025-05-09T10:30:00Z">
              <w:r w:rsidRPr="00295E71">
                <w:rPr>
                  <w:sz w:val="22"/>
                  <w:szCs w:val="22"/>
                </w:rPr>
                <w:delText>46,6</w:delText>
              </w:r>
            </w:del>
            <w:del w:id="3375" w:author="AbbVie14" w:date="2025-05-09T10:30:00Z">
              <w:r w:rsidRPr="00295E71">
                <w:rPr>
                  <w:sz w:val="22"/>
                  <w:szCs w:val="22"/>
                  <w:vertAlign w:val="superscript"/>
                </w:rPr>
                <w:delText>a</w:delText>
              </w:r>
            </w:del>
          </w:p>
        </w:tc>
        <w:tc>
          <w:tcPr>
            <w:tcW w:w="2268" w:type="dxa"/>
          </w:tcPr>
          <w:p w:rsidR="006224C2" w:rsidRPr="00295E71" w14:paraId="761E700B" w14:textId="77777777">
            <w:pPr>
              <w:pPrChange w:id="3376" w:author="AbbVie14" w:date="2025-05-09T10:30:00Z">
                <w:pPr>
                  <w:pStyle w:val="gtctablespaceafter"/>
                  <w:keepNext/>
                  <w:spacing w:after="0"/>
                  <w:jc w:val="center"/>
                </w:pPr>
              </w:pPrChange>
              <w:rPr>
                <w:del w:id="3377" w:author="AbbVie14" w:date="2025-05-09T10:30:00Z"/>
                <w:sz w:val="22"/>
                <w:szCs w:val="22"/>
              </w:rPr>
            </w:pPr>
            <w:del w:id="3378" w:author="AbbVie14" w:date="2025-05-09T10:30:00Z">
              <w:r w:rsidRPr="00295E71">
                <w:rPr>
                  <w:sz w:val="22"/>
                  <w:szCs w:val="22"/>
                </w:rPr>
                <w:delText>65,0</w:delText>
              </w:r>
            </w:del>
          </w:p>
        </w:tc>
      </w:tr>
      <w:tr w14:paraId="6EABCFF9" w14:textId="77777777">
        <w:tblPrEx>
          <w:tblW w:w="0" w:type="auto"/>
          <w:tblLayout w:type="fixed"/>
          <w:tblLook w:val="04A0"/>
        </w:tblPrEx>
        <w:trPr>
          <w:del w:id="3379" w:author="AbbVie14" w:date="2025-05-09T10:30:00Z"/>
        </w:trPr>
        <w:tc>
          <w:tcPr>
            <w:tcW w:w="2718" w:type="dxa"/>
          </w:tcPr>
          <w:p w:rsidR="006224C2" w:rsidRPr="00295E71" w14:paraId="629DD47A" w14:textId="77777777">
            <w:pPr>
              <w:pPrChange w:id="3380" w:author="AbbVie14" w:date="2025-05-09T10:30:00Z">
                <w:pPr>
                  <w:pStyle w:val="gtctablespaceafter"/>
                  <w:keepNext/>
                  <w:spacing w:after="0"/>
                </w:pPr>
              </w:pPrChange>
              <w:rPr>
                <w:del w:id="3381" w:author="AbbVie14" w:date="2025-05-09T10:30:00Z"/>
                <w:sz w:val="22"/>
                <w:szCs w:val="22"/>
              </w:rPr>
            </w:pPr>
            <w:del w:id="3382" w:author="AbbVie14" w:date="2025-05-09T10:30:00Z">
              <w:r w:rsidRPr="00295E71">
                <w:rPr>
                  <w:sz w:val="22"/>
                  <w:szCs w:val="22"/>
                </w:rPr>
                <w:delText>PGA-F guarigione/marcato miglioramento e miglioramento di grado ≥2 (%)</w:delText>
              </w:r>
            </w:del>
          </w:p>
        </w:tc>
        <w:tc>
          <w:tcPr>
            <w:tcW w:w="1080" w:type="dxa"/>
          </w:tcPr>
          <w:p w:rsidR="006224C2" w:rsidRPr="00295E71" w14:paraId="5BED37C4" w14:textId="77777777">
            <w:pPr>
              <w:pPrChange w:id="3383" w:author="AbbVie14" w:date="2025-05-09T10:30:00Z">
                <w:pPr>
                  <w:pStyle w:val="gtctablespaceafter"/>
                  <w:keepNext/>
                  <w:spacing w:after="0"/>
                  <w:jc w:val="center"/>
                </w:pPr>
              </w:pPrChange>
              <w:rPr>
                <w:del w:id="3384" w:author="AbbVie14" w:date="2025-05-09T10:30:00Z"/>
                <w:sz w:val="22"/>
                <w:szCs w:val="22"/>
              </w:rPr>
            </w:pPr>
            <w:del w:id="3385" w:author="AbbVie14" w:date="2025-05-09T10:30:00Z">
              <w:r w:rsidRPr="00295E71">
                <w:rPr>
                  <w:sz w:val="22"/>
                  <w:szCs w:val="22"/>
                </w:rPr>
                <w:delText>2,9</w:delText>
              </w:r>
            </w:del>
          </w:p>
        </w:tc>
        <w:tc>
          <w:tcPr>
            <w:tcW w:w="1260" w:type="dxa"/>
          </w:tcPr>
          <w:p w:rsidR="006224C2" w:rsidRPr="00295E71" w14:paraId="3681462D" w14:textId="77777777">
            <w:pPr>
              <w:pPrChange w:id="3386" w:author="AbbVie14" w:date="2025-05-09T10:30:00Z">
                <w:pPr>
                  <w:pStyle w:val="gtctablespaceafter"/>
                  <w:keepNext/>
                  <w:spacing w:after="0"/>
                  <w:jc w:val="center"/>
                </w:pPr>
              </w:pPrChange>
              <w:rPr>
                <w:del w:id="3387" w:author="AbbVie14" w:date="2025-05-09T10:30:00Z"/>
                <w:sz w:val="22"/>
                <w:szCs w:val="22"/>
              </w:rPr>
            </w:pPr>
            <w:del w:id="3388" w:author="AbbVie14" w:date="2025-05-09T10:30:00Z">
              <w:r w:rsidRPr="00295E71">
                <w:rPr>
                  <w:sz w:val="22"/>
                  <w:szCs w:val="22"/>
                </w:rPr>
                <w:delText>29,7</w:delText>
              </w:r>
            </w:del>
            <w:del w:id="3389" w:author="AbbVie14" w:date="2025-05-09T10:30:00Z">
              <w:r w:rsidRPr="00295E71">
                <w:rPr>
                  <w:sz w:val="22"/>
                  <w:szCs w:val="22"/>
                  <w:vertAlign w:val="superscript"/>
                </w:rPr>
                <w:delText>a</w:delText>
              </w:r>
            </w:del>
          </w:p>
        </w:tc>
        <w:tc>
          <w:tcPr>
            <w:tcW w:w="990" w:type="dxa"/>
          </w:tcPr>
          <w:p w:rsidR="006224C2" w:rsidRPr="00295E71" w14:paraId="186DFC60" w14:textId="77777777">
            <w:pPr>
              <w:keepNext w:val="0"/>
              <w:jc w:val="left"/>
              <w:pPrChange w:id="3390" w:author="AbbVie14" w:date="2025-05-09T10:30:00Z">
                <w:pPr>
                  <w:keepNext/>
                  <w:jc w:val="center"/>
                </w:pPr>
              </w:pPrChange>
              <w:rPr>
                <w:del w:id="3391" w:author="AbbVie14" w:date="2025-05-09T10:30:00Z"/>
                <w:sz w:val="22"/>
                <w:szCs w:val="22"/>
              </w:rPr>
            </w:pPr>
            <w:del w:id="3392" w:author="AbbVie14" w:date="2025-05-09T10:30:00Z">
              <w:r w:rsidRPr="00295E71">
                <w:rPr>
                  <w:sz w:val="22"/>
                  <w:szCs w:val="22"/>
                </w:rPr>
                <w:delText>6,9</w:delText>
              </w:r>
            </w:del>
          </w:p>
        </w:tc>
        <w:tc>
          <w:tcPr>
            <w:tcW w:w="1260" w:type="dxa"/>
          </w:tcPr>
          <w:p w:rsidR="006224C2" w:rsidRPr="00295E71" w14:paraId="4E77A20D" w14:textId="77777777">
            <w:pPr>
              <w:keepNext w:val="0"/>
              <w:jc w:val="left"/>
              <w:pPrChange w:id="3393" w:author="AbbVie14" w:date="2025-05-09T10:30:00Z">
                <w:pPr>
                  <w:keepNext/>
                  <w:jc w:val="center"/>
                </w:pPr>
              </w:pPrChange>
              <w:rPr>
                <w:del w:id="3394" w:author="AbbVie14" w:date="2025-05-09T10:30:00Z"/>
                <w:sz w:val="22"/>
                <w:szCs w:val="22"/>
              </w:rPr>
            </w:pPr>
            <w:del w:id="3395" w:author="AbbVie14" w:date="2025-05-09T10:30:00Z">
              <w:r w:rsidRPr="00295E71">
                <w:rPr>
                  <w:sz w:val="22"/>
                  <w:szCs w:val="22"/>
                </w:rPr>
                <w:delText>48,9</w:delText>
              </w:r>
            </w:del>
            <w:del w:id="3396" w:author="AbbVie14" w:date="2025-05-09T10:30:00Z">
              <w:r w:rsidRPr="00295E71">
                <w:rPr>
                  <w:sz w:val="22"/>
                  <w:szCs w:val="22"/>
                  <w:vertAlign w:val="superscript"/>
                </w:rPr>
                <w:delText>a</w:delText>
              </w:r>
            </w:del>
          </w:p>
        </w:tc>
        <w:tc>
          <w:tcPr>
            <w:tcW w:w="2268" w:type="dxa"/>
          </w:tcPr>
          <w:p w:rsidR="006224C2" w:rsidRPr="00295E71" w14:paraId="5E90A8E2" w14:textId="77777777">
            <w:pPr>
              <w:pPrChange w:id="3397" w:author="AbbVie14" w:date="2025-05-09T10:30:00Z">
                <w:pPr>
                  <w:pStyle w:val="gtctablespaceafter"/>
                  <w:keepNext/>
                  <w:spacing w:after="0"/>
                  <w:jc w:val="center"/>
                </w:pPr>
              </w:pPrChange>
              <w:rPr>
                <w:del w:id="3398" w:author="AbbVie14" w:date="2025-05-09T10:30:00Z"/>
                <w:sz w:val="22"/>
                <w:szCs w:val="22"/>
              </w:rPr>
            </w:pPr>
            <w:del w:id="3399" w:author="AbbVie14" w:date="2025-05-09T10:30:00Z">
              <w:r w:rsidRPr="00295E71">
                <w:rPr>
                  <w:sz w:val="22"/>
                  <w:szCs w:val="22"/>
                </w:rPr>
                <w:delText>61,3</w:delText>
              </w:r>
            </w:del>
          </w:p>
        </w:tc>
      </w:tr>
      <w:tr w14:paraId="2D23429D" w14:textId="77777777">
        <w:tblPrEx>
          <w:tblW w:w="0" w:type="auto"/>
          <w:tblLayout w:type="fixed"/>
          <w:tblLook w:val="04A0"/>
        </w:tblPrEx>
        <w:trPr>
          <w:del w:id="3400" w:author="AbbVie14" w:date="2025-05-09T10:30:00Z"/>
        </w:trPr>
        <w:tc>
          <w:tcPr>
            <w:tcW w:w="2718" w:type="dxa"/>
          </w:tcPr>
          <w:p w:rsidR="006224C2" w:rsidRPr="00295E71" w14:paraId="5056768C" w14:textId="77777777">
            <w:pPr>
              <w:pPrChange w:id="3401" w:author="AbbVie14" w:date="2025-05-09T10:30:00Z">
                <w:pPr>
                  <w:pStyle w:val="gtctablespaceafter"/>
                  <w:keepNext/>
                  <w:spacing w:after="0"/>
                </w:pPr>
              </w:pPrChange>
              <w:rPr>
                <w:del w:id="3402" w:author="AbbVie14" w:date="2025-05-09T10:30:00Z"/>
                <w:sz w:val="22"/>
                <w:szCs w:val="22"/>
              </w:rPr>
            </w:pPr>
            <w:del w:id="3403" w:author="AbbVie14" w:date="2025-05-09T10:30:00Z">
              <w:r w:rsidRPr="00295E71">
                <w:rPr>
                  <w:sz w:val="22"/>
                  <w:szCs w:val="22"/>
                </w:rPr>
                <w:delText>Variazione percentuale nel punteggio NAPSI totale (%)</w:delText>
              </w:r>
            </w:del>
          </w:p>
        </w:tc>
        <w:tc>
          <w:tcPr>
            <w:tcW w:w="1080" w:type="dxa"/>
          </w:tcPr>
          <w:p w:rsidR="006224C2" w:rsidRPr="00295E71" w14:paraId="200EB2B3" w14:textId="77777777">
            <w:pPr>
              <w:pPrChange w:id="3404" w:author="AbbVie14" w:date="2025-05-09T10:30:00Z">
                <w:pPr>
                  <w:pStyle w:val="gtctablespaceafter"/>
                  <w:keepNext/>
                  <w:spacing w:after="0"/>
                  <w:jc w:val="center"/>
                </w:pPr>
              </w:pPrChange>
              <w:rPr>
                <w:del w:id="3405" w:author="AbbVie14" w:date="2025-05-09T10:30:00Z"/>
                <w:sz w:val="22"/>
                <w:szCs w:val="22"/>
              </w:rPr>
            </w:pPr>
            <w:del w:id="3406" w:author="AbbVie14" w:date="2025-05-09T10:30:00Z">
              <w:r w:rsidRPr="00295E71">
                <w:rPr>
                  <w:sz w:val="22"/>
                  <w:szCs w:val="22"/>
                </w:rPr>
                <w:delText>-7,8</w:delText>
              </w:r>
            </w:del>
          </w:p>
        </w:tc>
        <w:tc>
          <w:tcPr>
            <w:tcW w:w="1260" w:type="dxa"/>
          </w:tcPr>
          <w:p w:rsidR="006224C2" w:rsidRPr="00295E71" w14:paraId="6EEA4EB2" w14:textId="77777777">
            <w:pPr>
              <w:pPrChange w:id="3407" w:author="AbbVie14" w:date="2025-05-09T10:30:00Z">
                <w:pPr>
                  <w:pStyle w:val="gtctablespaceafter"/>
                  <w:keepNext/>
                  <w:spacing w:after="0"/>
                  <w:jc w:val="center"/>
                </w:pPr>
              </w:pPrChange>
              <w:rPr>
                <w:del w:id="3408" w:author="AbbVie14" w:date="2025-05-09T10:30:00Z"/>
                <w:sz w:val="22"/>
                <w:szCs w:val="22"/>
              </w:rPr>
            </w:pPr>
            <w:del w:id="3409" w:author="AbbVie14" w:date="2025-05-09T10:30:00Z">
              <w:r w:rsidRPr="00295E71">
                <w:rPr>
                  <w:sz w:val="22"/>
                  <w:szCs w:val="22"/>
                </w:rPr>
                <w:delText>-44,2</w:delText>
              </w:r>
            </w:del>
            <w:del w:id="3410" w:author="AbbVie14" w:date="2025-05-09T10:30:00Z">
              <w:r w:rsidRPr="00295E71">
                <w:rPr>
                  <w:sz w:val="22"/>
                  <w:szCs w:val="22"/>
                  <w:vertAlign w:val="superscript"/>
                </w:rPr>
                <w:delText>a</w:delText>
              </w:r>
            </w:del>
          </w:p>
        </w:tc>
        <w:tc>
          <w:tcPr>
            <w:tcW w:w="990" w:type="dxa"/>
          </w:tcPr>
          <w:p w:rsidR="006224C2" w:rsidRPr="00295E71" w14:paraId="2DDA026B" w14:textId="77777777">
            <w:pPr>
              <w:keepNext w:val="0"/>
              <w:jc w:val="left"/>
              <w:pPrChange w:id="3411" w:author="AbbVie14" w:date="2025-05-09T10:30:00Z">
                <w:pPr>
                  <w:keepNext/>
                  <w:jc w:val="center"/>
                </w:pPr>
              </w:pPrChange>
              <w:rPr>
                <w:del w:id="3412" w:author="AbbVie14" w:date="2025-05-09T10:30:00Z"/>
                <w:sz w:val="22"/>
                <w:szCs w:val="22"/>
              </w:rPr>
            </w:pPr>
            <w:del w:id="3413" w:author="AbbVie14" w:date="2025-05-09T10:30:00Z">
              <w:r w:rsidRPr="00295E71">
                <w:rPr>
                  <w:sz w:val="22"/>
                  <w:szCs w:val="22"/>
                </w:rPr>
                <w:delText>-11,5</w:delText>
              </w:r>
            </w:del>
          </w:p>
        </w:tc>
        <w:tc>
          <w:tcPr>
            <w:tcW w:w="1260" w:type="dxa"/>
          </w:tcPr>
          <w:p w:rsidR="006224C2" w:rsidRPr="00295E71" w14:paraId="1F9B912C" w14:textId="77777777">
            <w:pPr>
              <w:keepNext w:val="0"/>
              <w:jc w:val="left"/>
              <w:pPrChange w:id="3414" w:author="AbbVie14" w:date="2025-05-09T10:30:00Z">
                <w:pPr>
                  <w:keepNext/>
                  <w:jc w:val="center"/>
                </w:pPr>
              </w:pPrChange>
              <w:rPr>
                <w:del w:id="3415" w:author="AbbVie14" w:date="2025-05-09T10:30:00Z"/>
                <w:sz w:val="22"/>
                <w:szCs w:val="22"/>
              </w:rPr>
            </w:pPr>
            <w:del w:id="3416" w:author="AbbVie14" w:date="2025-05-09T10:30:00Z">
              <w:r w:rsidRPr="00295E71">
                <w:rPr>
                  <w:sz w:val="22"/>
                  <w:szCs w:val="22"/>
                </w:rPr>
                <w:delText>-56,2</w:delText>
              </w:r>
            </w:del>
            <w:del w:id="3417" w:author="AbbVie14" w:date="2025-05-09T10:30:00Z">
              <w:r w:rsidRPr="00295E71">
                <w:rPr>
                  <w:sz w:val="22"/>
                  <w:szCs w:val="22"/>
                  <w:vertAlign w:val="superscript"/>
                </w:rPr>
                <w:delText>a</w:delText>
              </w:r>
            </w:del>
          </w:p>
        </w:tc>
        <w:tc>
          <w:tcPr>
            <w:tcW w:w="2268" w:type="dxa"/>
          </w:tcPr>
          <w:p w:rsidR="006224C2" w:rsidRPr="00295E71" w14:paraId="2E1D17B5" w14:textId="77777777">
            <w:pPr>
              <w:pPrChange w:id="3418" w:author="AbbVie14" w:date="2025-05-09T10:30:00Z">
                <w:pPr>
                  <w:pStyle w:val="gtctablespaceafter"/>
                  <w:keepNext/>
                  <w:spacing w:after="0"/>
                  <w:jc w:val="center"/>
                </w:pPr>
              </w:pPrChange>
              <w:rPr>
                <w:del w:id="3419" w:author="AbbVie14" w:date="2025-05-09T10:30:00Z"/>
                <w:sz w:val="22"/>
                <w:szCs w:val="22"/>
              </w:rPr>
            </w:pPr>
            <w:del w:id="3420" w:author="AbbVie14" w:date="2025-05-09T10:30:00Z">
              <w:r w:rsidRPr="00295E71">
                <w:rPr>
                  <w:sz w:val="22"/>
                  <w:szCs w:val="22"/>
                </w:rPr>
                <w:delText>-72,2</w:delText>
              </w:r>
            </w:del>
          </w:p>
        </w:tc>
      </w:tr>
      <w:tr w14:paraId="0F6AEA76" w14:textId="77777777">
        <w:tblPrEx>
          <w:tblW w:w="0" w:type="auto"/>
          <w:tblLayout w:type="fixed"/>
          <w:tblLook w:val="04A0"/>
        </w:tblPrEx>
        <w:trPr>
          <w:del w:id="3421" w:author="AbbVie14" w:date="2025-05-09T10:30:00Z"/>
        </w:trPr>
        <w:tc>
          <w:tcPr>
            <w:tcW w:w="9576" w:type="dxa"/>
            <w:gridSpan w:val="6"/>
          </w:tcPr>
          <w:p w:rsidR="006224C2" w:rsidRPr="00295E71" w14:paraId="3CBF3BEE" w14:textId="77777777">
            <w:pPr>
              <w:pPrChange w:id="3422" w:author="AbbVie14" w:date="2025-05-09T10:30:00Z">
                <w:pPr>
                  <w:pStyle w:val="gtctablespaceafter"/>
                  <w:keepNext/>
                  <w:spacing w:after="0"/>
                </w:pPr>
              </w:pPrChange>
              <w:rPr>
                <w:del w:id="3423" w:author="AbbVie14" w:date="2025-05-09T10:30:00Z"/>
                <w:sz w:val="22"/>
                <w:szCs w:val="22"/>
              </w:rPr>
            </w:pPr>
            <w:del w:id="3424" w:author="AbbVie14" w:date="2025-05-09T10:30:00Z">
              <w:r w:rsidRPr="00295E71">
                <w:rPr>
                  <w:sz w:val="22"/>
                  <w:szCs w:val="22"/>
                  <w:vertAlign w:val="superscript"/>
                </w:rPr>
                <w:delText>a</w:delText>
              </w:r>
            </w:del>
            <w:del w:id="3425" w:author="AbbVie14" w:date="2025-05-09T10:30:00Z">
              <w:r w:rsidRPr="00295E71">
                <w:rPr>
                  <w:sz w:val="22"/>
                  <w:szCs w:val="22"/>
                </w:rPr>
                <w:delText xml:space="preserve"> p&lt;0,001, Humira </w:delText>
              </w:r>
            </w:del>
            <w:del w:id="3426" w:author="AbbVie14" w:date="2025-05-09T10:30:00Z">
              <w:r w:rsidRPr="00295E71">
                <w:rPr>
                  <w:i/>
                  <w:sz w:val="22"/>
                  <w:szCs w:val="22"/>
                </w:rPr>
                <w:delText>vs.</w:delText>
              </w:r>
            </w:del>
            <w:del w:id="3427" w:author="AbbVie14" w:date="2025-05-09T10:30:00Z">
              <w:r w:rsidRPr="00295E71">
                <w:rPr>
                  <w:sz w:val="22"/>
                  <w:szCs w:val="22"/>
                </w:rPr>
                <w:delText xml:space="preserve"> placebo </w:delText>
              </w:r>
            </w:del>
          </w:p>
        </w:tc>
      </w:tr>
    </w:tbl>
    <w:p w:rsidR="006224C2" w:rsidRPr="00295E71" w14:paraId="13B171E8" w14:textId="77777777">
      <w:pPr>
        <w:pPrChange w:id="3428" w:author="AbbVie14" w:date="2025-05-09T10:30:00Z">
          <w:pPr>
            <w:pStyle w:val="gtctablespaceafter"/>
            <w:keepNext/>
            <w:spacing w:after="0"/>
            <w:jc w:val="both"/>
          </w:pPr>
        </w:pPrChange>
        <w:rPr>
          <w:del w:id="3429" w:author="AbbVie14" w:date="2025-05-09T10:30:00Z"/>
          <w:sz w:val="22"/>
          <w:szCs w:val="22"/>
        </w:rPr>
      </w:pPr>
    </w:p>
    <w:p w:rsidR="006224C2" w:rsidRPr="00BB70B7" w14:paraId="196B9E3C" w14:textId="77777777">
      <w:pPr>
        <w:pPrChange w:id="3430" w:author="AbbVie14" w:date="2025-05-09T10:30:00Z">
          <w:pPr>
            <w:pStyle w:val="EMEANormal"/>
            <w:jc w:val="both"/>
          </w:pPr>
        </w:pPrChange>
        <w:rPr>
          <w:del w:id="3431" w:author="AbbVie14" w:date="2025-05-09T10:30:00Z"/>
        </w:rPr>
      </w:pPr>
      <w:del w:id="3432" w:author="AbbVie14" w:date="2025-05-09T10:30:00Z">
        <w:r w:rsidRPr="00295E71">
          <w:delText>I pazienti trattati con Humira hanno mostrato miglioramenti statisticamente significativi alla settimana </w:delText>
        </w:r>
      </w:del>
      <w:del w:id="3433" w:author="AbbVie14" w:date="2025-05-09T10:30:00Z">
        <w:r w:rsidRPr="00BB70B7">
          <w:delText>26 rispetto al placebo nel DLQI.</w:delText>
        </w:r>
      </w:del>
    </w:p>
    <w:p w:rsidR="006224C2" w:rsidRPr="00BB70B7" w14:paraId="50A22C2D" w14:textId="77777777">
      <w:pPr>
        <w:pPrChange w:id="3434" w:author="AbbVie14" w:date="2025-05-09T10:30:00Z">
          <w:pPr>
            <w:pStyle w:val="EMEANormal"/>
          </w:pPr>
        </w:pPrChange>
        <w:rPr>
          <w:del w:id="3435" w:author="AbbVie14" w:date="2025-05-09T10:30:00Z"/>
        </w:rPr>
      </w:pPr>
      <w:bookmarkStart w:id="3436" w:name="_Hlk52784635"/>
    </w:p>
    <w:bookmarkEnd w:id="3436"/>
    <w:p w:rsidR="006224C2" w:rsidRPr="00295E71" w14:paraId="7885A604" w14:textId="77777777">
      <w:pPr>
        <w:pPrChange w:id="3437" w:author="AbbVie14" w:date="2025-05-09T10:30:00Z">
          <w:pPr>
            <w:pStyle w:val="EMEANormal"/>
          </w:pPr>
        </w:pPrChange>
        <w:rPr>
          <w:del w:id="3438" w:author="AbbVie14" w:date="2025-05-09T10:30:00Z"/>
          <w:i/>
        </w:rPr>
      </w:pPr>
      <w:del w:id="3439" w:author="AbbVie14" w:date="2025-05-09T10:30:00Z">
        <w:r w:rsidRPr="006461E3">
          <w:rPr>
            <w:i/>
          </w:rPr>
          <w:delText>Idrosadenite suppurativa negli adulti</w:delText>
        </w:r>
      </w:del>
      <w:del w:id="3440" w:author="AbbVie14" w:date="2025-05-09T10:30:00Z">
        <w:r w:rsidRPr="00295E71">
          <w:rPr>
            <w:i/>
          </w:rPr>
          <w:delText xml:space="preserve"> </w:delText>
        </w:r>
      </w:del>
    </w:p>
    <w:p w:rsidR="006224C2" w:rsidRPr="00295E71" w14:paraId="3A3EE855" w14:textId="77777777">
      <w:pPr>
        <w:pPrChange w:id="3441" w:author="AbbVie14" w:date="2025-05-09T10:30:00Z">
          <w:pPr>
            <w:pStyle w:val="EMEANormal"/>
          </w:pPr>
        </w:pPrChange>
        <w:rPr>
          <w:del w:id="3442" w:author="AbbVie14" w:date="2025-05-09T10:30:00Z"/>
          <w:u w:val="single"/>
        </w:rPr>
      </w:pPr>
    </w:p>
    <w:p w:rsidR="006224C2" w:rsidRPr="00295E71" w14:paraId="1A63C88B" w14:textId="77777777">
      <w:pPr>
        <w:keepNext w:val="0"/>
        <w:jc w:val="left"/>
        <w:pPrChange w:id="3443" w:author="AbbVie14" w:date="2025-05-09T10:30:00Z">
          <w:pPr>
            <w:keepNext/>
            <w:jc w:val="both"/>
          </w:pPr>
        </w:pPrChange>
        <w:rPr>
          <w:del w:id="3444" w:author="AbbVie14" w:date="2025-05-09T10:30:00Z"/>
          <w:sz w:val="22"/>
          <w:szCs w:val="22"/>
          <w:lang w:eastAsia="en-US"/>
        </w:rPr>
      </w:pPr>
      <w:del w:id="3445" w:author="AbbVie14" w:date="2025-05-09T10:30:00Z">
        <w:r w:rsidRPr="00295E71">
          <w:rPr>
            <w:sz w:val="22"/>
            <w:szCs w:val="22"/>
            <w:lang w:eastAsia="en-US"/>
          </w:rPr>
          <w:delText xml:space="preserve">La sicurezza e l’efficacia di Humira sono state valutate in studi randomizzati, in doppio cieco, controllati con placebo e in uno studio di estensione in aperto, in pazienti adulti affetti da idrosadenite suppurativa (HS) di grado da moderato a severo, che erano intolleranti, presentavano una controindicazione o una risposta inadeguata ad almeno 3 mesi di terapia antibiotica sistemica. I pazienti in HS-I e HS-II avevano uno Stadio Hurley II o III della malattia con almeno 3 ascessi o noduli infiammatori. </w:delText>
        </w:r>
      </w:del>
    </w:p>
    <w:p w:rsidR="006224C2" w:rsidRPr="00295E71" w:rsidP="00AD7AF0" w14:paraId="011130CD" w14:textId="77777777">
      <w:pPr>
        <w:rPr>
          <w:del w:id="3446" w:author="AbbVie14" w:date="2025-05-09T10:30:00Z"/>
          <w:rFonts w:eastAsia="MS Mincho"/>
          <w:sz w:val="22"/>
          <w:szCs w:val="22"/>
          <w:lang w:eastAsia="ja-JP"/>
        </w:rPr>
      </w:pPr>
    </w:p>
    <w:p w:rsidR="006224C2" w:rsidRPr="00295E71" w14:paraId="0B89D3B6" w14:textId="77777777">
      <w:pPr>
        <w:jc w:val="left"/>
        <w:pPrChange w:id="3447" w:author="AbbVie14" w:date="2025-05-09T10:30:00Z">
          <w:pPr>
            <w:jc w:val="both"/>
          </w:pPr>
        </w:pPrChange>
        <w:rPr>
          <w:del w:id="3448" w:author="AbbVie14" w:date="2025-05-09T10:30:00Z"/>
          <w:sz w:val="22"/>
          <w:szCs w:val="22"/>
        </w:rPr>
      </w:pPr>
      <w:del w:id="3449" w:author="AbbVie14" w:date="2025-05-09T10:30:00Z">
        <w:r w:rsidRPr="00295E71">
          <w:rPr>
            <w:sz w:val="22"/>
            <w:szCs w:val="22"/>
            <w:lang w:eastAsia="en-US"/>
          </w:rPr>
          <w:delText>Lo Studio HS-I (PIONEER I) ha valutato 307 pazienti con 2 periodi di trattamento. Nel Periodo A, i pazienti hanno ricevuto placebo o Humira ad una dose iniziale di 160 mg alla settimana 0, 80 mg alla settimana 2 e 40 mg ogni settimana a partire dalla settimana 4 fino alla settimana 11. Durante lo studio non era consentito l’uso concomitante di antibiotici. Dopo 12 settimane di trattamento, i pazienti che avevano ricevuto Humira nel Periodo A sono stati ri-randomizzati nel Periodo B ad 1 dei 3 gruppi di trattamento (Humira 40 mg ogni settimana, Humira 40 mg a settimane alterne o placebo dalla settimana 12 alla settimana 35). I pazienti che erano stati randomizzati al placebo nel Periodo A, sono stati assegnati a ricevere Humira 40 mg ogni settimana nel Periodo B.</w:delText>
        </w:r>
      </w:del>
    </w:p>
    <w:p w:rsidR="006224C2" w:rsidRPr="00295E71" w:rsidP="00AD7AF0" w14:paraId="418B992D" w14:textId="77777777">
      <w:pPr>
        <w:rPr>
          <w:del w:id="3450" w:author="AbbVie14" w:date="2025-05-09T10:30:00Z"/>
          <w:rFonts w:eastAsia="MS Mincho"/>
          <w:sz w:val="22"/>
          <w:szCs w:val="22"/>
          <w:lang w:eastAsia="ja-JP"/>
        </w:rPr>
      </w:pPr>
    </w:p>
    <w:p w:rsidR="006224C2" w:rsidRPr="00295E71" w14:paraId="23803133" w14:textId="77777777">
      <w:pPr>
        <w:keepNext w:val="0"/>
        <w:keepLines w:val="0"/>
        <w:jc w:val="left"/>
        <w:pPrChange w:id="3451" w:author="AbbVie14" w:date="2025-05-09T10:30:00Z">
          <w:pPr>
            <w:keepNext/>
            <w:keepLines/>
            <w:jc w:val="both"/>
          </w:pPr>
        </w:pPrChange>
        <w:rPr>
          <w:del w:id="3452" w:author="AbbVie14" w:date="2025-05-09T10:30:00Z"/>
          <w:sz w:val="22"/>
          <w:szCs w:val="22"/>
        </w:rPr>
      </w:pPr>
      <w:del w:id="3453" w:author="AbbVie14" w:date="2025-05-09T10:30:00Z">
        <w:r w:rsidRPr="00295E71">
          <w:rPr>
            <w:sz w:val="22"/>
            <w:szCs w:val="22"/>
            <w:lang w:eastAsia="en-US"/>
          </w:rPr>
          <w:delText>Lo Studio HS-II (PIONEER II) ha valutato 326 pazienti con 2 periodi di trattamento. Nel Periodo A, i pazienti hanno ricevuto placebo o Humira ad una dose iniziale di 160 mg alla settimana 0, 80 mg alla settimana 2 e 40 mg ogni settimana a partire dalla settimana 4 fino alla settimana 11. Durante lo studio il 19,3% dei pazienti ha continuato la terapia antibiotica orale che faceva all’inizio dello studio. Dopo 12 settimane di trattamento, i pazienti che avevano ricevuto Humira nel Periodo A sono stati ri-randomizzati nel Periodo B ad 1 dei 3 gruppi di trattamento (Humira 40 mg ogni settimana, Humira 40 mg a settimane alterne o placebo dalla settimana 12 alla settimana 35). I pazienti che erano stati randomizzati al placebo nel Periodo A, sono stati assegnati a ricevere placebo nel Periodo B.</w:delText>
        </w:r>
      </w:del>
    </w:p>
    <w:p w:rsidR="006224C2" w:rsidRPr="00295E71" w:rsidP="00AD7AF0" w14:paraId="07EC253B" w14:textId="77777777">
      <w:pPr>
        <w:rPr>
          <w:del w:id="3454" w:author="AbbVie14" w:date="2025-05-09T10:30:00Z"/>
          <w:rFonts w:eastAsia="MS Mincho"/>
          <w:sz w:val="22"/>
          <w:szCs w:val="22"/>
          <w:lang w:eastAsia="ja-JP"/>
        </w:rPr>
      </w:pPr>
    </w:p>
    <w:p w:rsidR="006224C2" w:rsidRPr="00295E71" w14:paraId="095D08A7" w14:textId="77777777">
      <w:pPr>
        <w:jc w:val="left"/>
        <w:pPrChange w:id="3455" w:author="AbbVie14" w:date="2025-05-09T10:30:00Z">
          <w:pPr>
            <w:jc w:val="both"/>
          </w:pPr>
        </w:pPrChange>
        <w:rPr>
          <w:del w:id="3456" w:author="AbbVie14" w:date="2025-05-09T10:30:00Z"/>
          <w:sz w:val="22"/>
          <w:szCs w:val="22"/>
        </w:rPr>
      </w:pPr>
      <w:del w:id="3457" w:author="AbbVie14" w:date="2025-05-09T10:30:00Z">
        <w:r w:rsidRPr="00295E71">
          <w:rPr>
            <w:sz w:val="22"/>
            <w:szCs w:val="22"/>
            <w:lang w:eastAsia="en-US"/>
          </w:rPr>
          <w:delText>I pazienti che avevano preso parte agli Studi HS-I e HS-II erano idonei a partecipare ad uno studio di estensione in aperto in cui ogni settimana veniva somministrato Humira 40 mg.</w:delText>
        </w:r>
      </w:del>
      <w:del w:id="3458" w:author="AbbVie14" w:date="2025-05-09T10:30:00Z">
        <w:r w:rsidRPr="00295E71" w:rsidR="00176CDB">
          <w:rPr>
            <w:sz w:val="22"/>
            <w:szCs w:val="22"/>
            <w:lang w:eastAsia="en-US"/>
          </w:rPr>
          <w:delText xml:space="preserve"> L’esposizione media in tutta la popolazione trattata con adalimumab è stata di 762 giorni.</w:delText>
        </w:r>
      </w:del>
      <w:del w:id="3459" w:author="AbbVie14" w:date="2025-05-09T10:30:00Z">
        <w:r w:rsidRPr="00295E71">
          <w:rPr>
            <w:sz w:val="22"/>
            <w:szCs w:val="22"/>
            <w:lang w:eastAsia="en-US"/>
          </w:rPr>
          <w:delText xml:space="preserve"> Durante tutti e 3 gli studi, i pazienti hanno usato tutti i giorni una soluzione di lavaggio antisettica topica.</w:delText>
        </w:r>
      </w:del>
    </w:p>
    <w:p w:rsidR="006224C2" w:rsidRPr="00295E71" w:rsidP="00AD7AF0" w14:paraId="51219555" w14:textId="77777777">
      <w:pPr>
        <w:rPr>
          <w:del w:id="3460" w:author="AbbVie14" w:date="2025-05-09T10:30:00Z"/>
          <w:rFonts w:eastAsia="MS Mincho"/>
          <w:sz w:val="22"/>
          <w:szCs w:val="22"/>
          <w:lang w:eastAsia="ja-JP"/>
        </w:rPr>
      </w:pPr>
    </w:p>
    <w:p w:rsidR="006224C2" w:rsidRPr="00295E71" w14:paraId="106AAD3B" w14:textId="77777777">
      <w:pPr>
        <w:keepNext w:val="0"/>
        <w:keepLines w:val="0"/>
        <w:pPrChange w:id="3461" w:author="AbbVie14" w:date="2025-05-09T10:30:00Z">
          <w:pPr>
            <w:keepNext/>
            <w:keepLines/>
          </w:pPr>
        </w:pPrChange>
        <w:rPr>
          <w:del w:id="3462" w:author="AbbVie14" w:date="2025-05-09T10:30:00Z"/>
          <w:rFonts w:eastAsia="MS Mincho"/>
          <w:bCs/>
          <w:i/>
          <w:sz w:val="22"/>
          <w:szCs w:val="22"/>
          <w:u w:val="single"/>
          <w:lang w:eastAsia="ja-JP"/>
        </w:rPr>
      </w:pPr>
      <w:del w:id="3463" w:author="AbbVie14" w:date="2025-05-09T10:30:00Z">
        <w:r w:rsidRPr="00295E71">
          <w:rPr>
            <w:rFonts w:eastAsia="MS Mincho"/>
            <w:bCs/>
            <w:i/>
            <w:sz w:val="22"/>
            <w:szCs w:val="22"/>
            <w:u w:val="single"/>
            <w:lang w:eastAsia="ja-JP"/>
          </w:rPr>
          <w:delText>Risposta Clinica</w:delText>
        </w:r>
      </w:del>
    </w:p>
    <w:p w:rsidR="006224C2" w:rsidRPr="00295E71" w:rsidP="00AD7AF0" w14:paraId="6784719E" w14:textId="77777777">
      <w:pPr>
        <w:rPr>
          <w:del w:id="3464" w:author="AbbVie14" w:date="2025-05-09T10:30:00Z"/>
          <w:rFonts w:eastAsia="MS Mincho"/>
          <w:sz w:val="22"/>
          <w:szCs w:val="22"/>
          <w:lang w:eastAsia="ja-JP"/>
        </w:rPr>
      </w:pPr>
    </w:p>
    <w:p w:rsidR="006224C2" w:rsidRPr="00295E71" w14:paraId="5F07BBA6" w14:textId="77777777">
      <w:pPr>
        <w:keepNext w:val="0"/>
        <w:jc w:val="left"/>
        <w:pPrChange w:id="3465" w:author="AbbVie14" w:date="2025-05-09T10:30:00Z">
          <w:pPr>
            <w:keepNext/>
            <w:jc w:val="both"/>
          </w:pPr>
        </w:pPrChange>
        <w:rPr>
          <w:del w:id="3466" w:author="AbbVie14" w:date="2025-05-09T10:30:00Z"/>
          <w:sz w:val="22"/>
          <w:szCs w:val="22"/>
        </w:rPr>
      </w:pPr>
      <w:del w:id="3467" w:author="AbbVie14" w:date="2025-05-09T10:30:00Z">
        <w:r w:rsidRPr="00295E71">
          <w:rPr>
            <w:sz w:val="22"/>
            <w:szCs w:val="22"/>
            <w:lang w:eastAsia="en-US"/>
          </w:rPr>
          <w:delText>La riduzione delle lesioni infiammatorie e la prevenzione del peggioramento degli ascessi e delle fistole drenanti sono state valutate utilizzando l’Hidradenitis Suppurativa Clinical Response (HiSCR; una riduzione di almeno il 50% nella conta totale di ascessi e noduli infiammatori senza aumento nella conta degli ascessi né di fistole drenanti rispetto al valore basale). La riduzione del dolore cutaneo riferito all’HS è stata valutata utilizzando la Scala di Valutazione Numerica (Numeric Rating Scale) nei pazienti che erano entrati nello studio con un punteggio basale iniziale pari a 3 o superiore su una scala di 11 punti.</w:delText>
        </w:r>
      </w:del>
    </w:p>
    <w:p w:rsidR="006224C2" w:rsidRPr="00295E71" w:rsidP="00AD7AF0" w14:paraId="46B6B5CE" w14:textId="77777777">
      <w:pPr>
        <w:rPr>
          <w:del w:id="3468" w:author="AbbVie14" w:date="2025-05-09T10:30:00Z"/>
          <w:rFonts w:eastAsia="MS Mincho"/>
          <w:sz w:val="22"/>
          <w:szCs w:val="22"/>
          <w:lang w:eastAsia="ja-JP"/>
        </w:rPr>
      </w:pPr>
    </w:p>
    <w:p w:rsidR="006224C2" w:rsidRPr="00295E71" w14:paraId="6A698C41" w14:textId="77777777">
      <w:pPr>
        <w:jc w:val="left"/>
        <w:pPrChange w:id="3469" w:author="AbbVie14" w:date="2025-05-09T10:30:00Z">
          <w:pPr>
            <w:jc w:val="both"/>
          </w:pPr>
        </w:pPrChange>
        <w:rPr>
          <w:del w:id="3470" w:author="AbbVie14" w:date="2025-05-09T10:30:00Z"/>
          <w:sz w:val="22"/>
          <w:szCs w:val="22"/>
        </w:rPr>
      </w:pPr>
      <w:del w:id="3471" w:author="AbbVie14" w:date="2025-05-09T10:30:00Z">
        <w:r w:rsidRPr="00295E71">
          <w:rPr>
            <w:sz w:val="22"/>
            <w:szCs w:val="22"/>
            <w:lang w:eastAsia="en-US"/>
          </w:rPr>
          <w:delText>Alla settimana 12, una percentuale significativamente maggiore di pazienti trattati con Humira verso placebo ha raggiunto l’HiSCR. Alla settimana 12, una percentuale significativamente superiore di pazienti nello Studio HS-II ha</w:delText>
        </w:r>
      </w:del>
      <w:del w:id="3472" w:author="AbbVie14" w:date="2025-05-09T10:30:00Z">
        <w:r w:rsidR="00CB53AC">
          <w:rPr>
            <w:sz w:val="22"/>
            <w:szCs w:val="22"/>
            <w:lang w:eastAsia="en-US"/>
          </w:rPr>
          <w:delText xml:space="preserve"> </w:delText>
        </w:r>
      </w:del>
      <w:del w:id="3473" w:author="AbbVie14" w:date="2025-05-09T10:30:00Z">
        <w:r w:rsidRPr="00295E71">
          <w:rPr>
            <w:sz w:val="22"/>
            <w:szCs w:val="22"/>
            <w:lang w:eastAsia="en-US"/>
          </w:rPr>
          <w:delText>mostrato una diminuzione clinicamente rilevante del dolore cutaneo riferito all’HS (vedere Tabella 1</w:delText>
        </w:r>
      </w:del>
      <w:del w:id="3474" w:author="AbbVie14" w:date="2025-05-09T10:30:00Z">
        <w:r w:rsidR="000203FD">
          <w:rPr>
            <w:sz w:val="22"/>
            <w:szCs w:val="22"/>
            <w:lang w:eastAsia="en-US"/>
          </w:rPr>
          <w:delText>5</w:delText>
        </w:r>
      </w:del>
      <w:del w:id="3475" w:author="AbbVie14" w:date="2025-05-09T10:30:00Z">
        <w:r w:rsidRPr="00295E71">
          <w:rPr>
            <w:sz w:val="22"/>
            <w:szCs w:val="22"/>
            <w:lang w:eastAsia="en-US"/>
          </w:rPr>
          <w:delText>). I pazienti trattati con Humira presentavano un rischio significativamente ridotto di riacutizzazione della malattia durante le 12 settimane iniziali di trattamento.</w:delText>
        </w:r>
      </w:del>
    </w:p>
    <w:p w:rsidR="006224C2" w:rsidRPr="00295E71" w:rsidP="00AD7AF0" w14:paraId="6E369372" w14:textId="77777777">
      <w:pPr>
        <w:rPr>
          <w:del w:id="3476" w:author="AbbVie14" w:date="2025-05-09T10:30:00Z"/>
          <w:sz w:val="22"/>
          <w:szCs w:val="22"/>
        </w:rPr>
      </w:pPr>
    </w:p>
    <w:p w:rsidR="006224C2" w:rsidRPr="00295E71" w14:paraId="3EC36397" w14:textId="77777777">
      <w:pPr>
        <w:keepNext w:val="0"/>
        <w:keepLines w:val="0"/>
        <w:widowControl/>
        <w:spacing w:line="240" w:lineRule="auto"/>
        <w:ind w:left="0"/>
        <w:jc w:val="left"/>
        <w:pPrChange w:id="3477" w:author="AbbVie14" w:date="2025-05-09T10:30:00Z">
          <w:pPr>
            <w:keepNext/>
            <w:keepLines/>
            <w:widowControl w:val="0"/>
            <w:spacing w:line="320" w:lineRule="exact"/>
            <w:ind w:left="360"/>
            <w:jc w:val="center"/>
          </w:pPr>
        </w:pPrChange>
        <w:rPr>
          <w:del w:id="3478" w:author="AbbVie14" w:date="2025-05-09T10:30:00Z"/>
          <w:rFonts w:eastAsia="MS Mincho"/>
          <w:b/>
          <w:bCs/>
          <w:iCs/>
          <w:sz w:val="22"/>
          <w:szCs w:val="22"/>
          <w:lang w:eastAsia="ja-JP"/>
        </w:rPr>
      </w:pPr>
      <w:del w:id="3479" w:author="AbbVie14" w:date="2025-05-09T10:30:00Z">
        <w:r w:rsidRPr="00295E71">
          <w:rPr>
            <w:rFonts w:eastAsia="MS Mincho"/>
            <w:b/>
            <w:sz w:val="22"/>
            <w:szCs w:val="22"/>
            <w:lang w:eastAsia="ja-JP"/>
          </w:rPr>
          <w:delText>Tabella 1</w:delText>
        </w:r>
      </w:del>
      <w:del w:id="3480" w:author="AbbVie14" w:date="2025-05-09T10:30:00Z">
        <w:r w:rsidR="000203FD">
          <w:rPr>
            <w:rFonts w:eastAsia="MS Mincho"/>
            <w:b/>
            <w:sz w:val="22"/>
            <w:szCs w:val="22"/>
            <w:lang w:eastAsia="ja-JP"/>
          </w:rPr>
          <w:delText>5</w:delText>
        </w:r>
      </w:del>
      <w:del w:id="3481" w:author="AbbVie14" w:date="2025-05-09T10:30:00Z">
        <w:r w:rsidRPr="00295E71">
          <w:rPr>
            <w:rFonts w:eastAsia="MS Mincho"/>
            <w:b/>
            <w:sz w:val="22"/>
            <w:szCs w:val="22"/>
            <w:lang w:eastAsia="ja-JP"/>
          </w:rPr>
          <w:delText xml:space="preserve">: </w:delText>
        </w:r>
      </w:del>
      <w:del w:id="3482" w:author="AbbVie14" w:date="2025-05-09T10:30:00Z">
        <w:r w:rsidRPr="00295E71">
          <w:rPr>
            <w:b/>
            <w:sz w:val="22"/>
            <w:szCs w:val="22"/>
            <w:lang w:eastAsia="en-US"/>
          </w:rPr>
          <w:delText>Risultati di efficacia a 12 settimane, Studi HS I e II</w:delText>
        </w:r>
      </w:del>
    </w:p>
    <w:p w:rsidR="006224C2" w:rsidRPr="00295E71" w14:paraId="68D07656" w14:textId="77777777">
      <w:pPr>
        <w:keepNext w:val="0"/>
        <w:keepLines w:val="0"/>
        <w:widowControl/>
        <w:spacing w:line="240" w:lineRule="auto"/>
        <w:ind w:left="0"/>
        <w:jc w:val="left"/>
        <w:pPrChange w:id="3483" w:author="AbbVie14" w:date="2025-05-09T10:30:00Z">
          <w:pPr>
            <w:keepNext/>
            <w:keepLines/>
            <w:widowControl w:val="0"/>
            <w:spacing w:line="320" w:lineRule="exact"/>
            <w:ind w:left="360"/>
            <w:jc w:val="center"/>
          </w:pPr>
        </w:pPrChange>
        <w:rPr>
          <w:del w:id="3484" w:author="AbbVie14" w:date="2025-05-09T10:30:00Z"/>
          <w:rFonts w:eastAsia="MS Mincho"/>
          <w:b/>
          <w:sz w:val="22"/>
          <w:szCs w:val="22"/>
          <w:lang w:eastAsia="ja-JP"/>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2847"/>
        <w:gridCol w:w="1440"/>
        <w:gridCol w:w="1746"/>
        <w:gridCol w:w="1404"/>
        <w:gridCol w:w="1856"/>
      </w:tblGrid>
      <w:tr w14:paraId="6A73E7E5" w14:textId="77777777">
        <w:tblPrEx>
          <w:tblW w:w="9293" w:type="dxa"/>
          <w:tblLook w:val="04A0"/>
        </w:tblPrEx>
        <w:trPr>
          <w:del w:id="3485" w:author="AbbVie14" w:date="2025-05-09T10:30:00Z"/>
        </w:trPr>
        <w:tc>
          <w:tcPr>
            <w:tcW w:w="2847" w:type="dxa"/>
            <w:vMerge w:val="restart"/>
            <w:tcMar>
              <w:top w:w="0" w:type="dxa"/>
              <w:left w:w="115" w:type="dxa"/>
              <w:bottom w:w="0" w:type="dxa"/>
              <w:right w:w="115" w:type="dxa"/>
            </w:tcMar>
            <w:vAlign w:val="bottom"/>
          </w:tcPr>
          <w:p w:rsidR="006224C2" w:rsidRPr="00295E71" w14:paraId="2058C352" w14:textId="77777777">
            <w:pPr>
              <w:widowControl/>
              <w:pPrChange w:id="3486" w:author="AbbVie14" w:date="2025-05-09T10:30:00Z">
                <w:pPr>
                  <w:widowControl w:val="0"/>
                </w:pPr>
              </w:pPrChange>
              <w:rPr>
                <w:del w:id="3487" w:author="AbbVie14" w:date="2025-05-09T10:30:00Z"/>
                <w:b/>
                <w:sz w:val="22"/>
                <w:szCs w:val="22"/>
              </w:rPr>
            </w:pPr>
          </w:p>
        </w:tc>
        <w:tc>
          <w:tcPr>
            <w:tcW w:w="3186" w:type="dxa"/>
            <w:gridSpan w:val="2"/>
            <w:tcMar>
              <w:top w:w="0" w:type="dxa"/>
              <w:left w:w="115" w:type="dxa"/>
              <w:bottom w:w="0" w:type="dxa"/>
              <w:right w:w="115" w:type="dxa"/>
            </w:tcMar>
            <w:vAlign w:val="bottom"/>
          </w:tcPr>
          <w:p w:rsidR="006224C2" w:rsidRPr="00295E71" w14:paraId="0849E0DB" w14:textId="77777777">
            <w:pPr>
              <w:widowControl/>
              <w:jc w:val="left"/>
              <w:pPrChange w:id="3488" w:author="AbbVie14" w:date="2025-05-09T10:30:00Z">
                <w:pPr>
                  <w:widowControl w:val="0"/>
                  <w:jc w:val="center"/>
                </w:pPr>
              </w:pPrChange>
              <w:rPr>
                <w:del w:id="3489" w:author="AbbVie14" w:date="2025-05-09T10:30:00Z"/>
                <w:b/>
                <w:bCs/>
                <w:sz w:val="22"/>
                <w:szCs w:val="22"/>
              </w:rPr>
            </w:pPr>
            <w:del w:id="3490" w:author="AbbVie14" w:date="2025-05-09T10:30:00Z">
              <w:r w:rsidRPr="00295E71">
                <w:rPr>
                  <w:b/>
                  <w:bCs/>
                  <w:sz w:val="22"/>
                  <w:szCs w:val="22"/>
                </w:rPr>
                <w:delText>Studio HS I</w:delText>
              </w:r>
            </w:del>
          </w:p>
        </w:tc>
        <w:tc>
          <w:tcPr>
            <w:tcW w:w="3260" w:type="dxa"/>
            <w:gridSpan w:val="2"/>
            <w:tcMar>
              <w:top w:w="0" w:type="dxa"/>
              <w:left w:w="115" w:type="dxa"/>
              <w:bottom w:w="0" w:type="dxa"/>
              <w:right w:w="115" w:type="dxa"/>
            </w:tcMar>
            <w:vAlign w:val="bottom"/>
          </w:tcPr>
          <w:p w:rsidR="006224C2" w:rsidRPr="00295E71" w14:paraId="1543F0A7" w14:textId="77777777">
            <w:pPr>
              <w:widowControl/>
              <w:jc w:val="left"/>
              <w:pPrChange w:id="3491" w:author="AbbVie14" w:date="2025-05-09T10:30:00Z">
                <w:pPr>
                  <w:widowControl w:val="0"/>
                  <w:jc w:val="center"/>
                </w:pPr>
              </w:pPrChange>
              <w:rPr>
                <w:del w:id="3492" w:author="AbbVie14" w:date="2025-05-09T10:30:00Z"/>
                <w:b/>
                <w:bCs/>
                <w:sz w:val="22"/>
                <w:szCs w:val="22"/>
              </w:rPr>
            </w:pPr>
            <w:del w:id="3493" w:author="AbbVie14" w:date="2025-05-09T10:30:00Z">
              <w:r w:rsidRPr="00295E71">
                <w:rPr>
                  <w:b/>
                  <w:bCs/>
                  <w:sz w:val="22"/>
                  <w:szCs w:val="22"/>
                </w:rPr>
                <w:delText>Studio HS II</w:delText>
              </w:r>
            </w:del>
          </w:p>
        </w:tc>
      </w:tr>
      <w:tr w14:paraId="65C02B51" w14:textId="77777777">
        <w:tblPrEx>
          <w:tblW w:w="9293" w:type="dxa"/>
          <w:tblLook w:val="04A0"/>
        </w:tblPrEx>
        <w:trPr>
          <w:del w:id="3494" w:author="AbbVie14" w:date="2025-05-09T10:30:00Z"/>
        </w:trPr>
        <w:tc>
          <w:tcPr>
            <w:tcW w:w="2847" w:type="dxa"/>
            <w:vMerge/>
            <w:tcMar>
              <w:top w:w="0" w:type="dxa"/>
              <w:left w:w="115" w:type="dxa"/>
              <w:bottom w:w="0" w:type="dxa"/>
              <w:right w:w="115" w:type="dxa"/>
            </w:tcMar>
            <w:vAlign w:val="center"/>
            <w:hideMark/>
          </w:tcPr>
          <w:p w:rsidR="006224C2" w:rsidRPr="00295E71" w14:paraId="7B9422FD" w14:textId="77777777">
            <w:pPr>
              <w:widowControl/>
              <w:pPrChange w:id="3495" w:author="AbbVie14" w:date="2025-05-09T10:30:00Z">
                <w:pPr>
                  <w:widowControl w:val="0"/>
                </w:pPr>
              </w:pPrChange>
              <w:rPr>
                <w:del w:id="3496" w:author="AbbVie14" w:date="2025-05-09T10:30:00Z"/>
                <w:sz w:val="22"/>
                <w:szCs w:val="22"/>
              </w:rPr>
            </w:pPr>
          </w:p>
        </w:tc>
        <w:tc>
          <w:tcPr>
            <w:tcW w:w="1440" w:type="dxa"/>
            <w:tcMar>
              <w:top w:w="0" w:type="dxa"/>
              <w:left w:w="115" w:type="dxa"/>
              <w:bottom w:w="0" w:type="dxa"/>
              <w:right w:w="115" w:type="dxa"/>
            </w:tcMar>
            <w:vAlign w:val="bottom"/>
            <w:hideMark/>
          </w:tcPr>
          <w:p w:rsidR="006224C2" w:rsidRPr="00295E71" w14:paraId="7D0F4C34" w14:textId="77777777">
            <w:pPr>
              <w:widowControl/>
              <w:jc w:val="left"/>
              <w:pPrChange w:id="3497" w:author="AbbVie14" w:date="2025-05-09T10:30:00Z">
                <w:pPr>
                  <w:widowControl w:val="0"/>
                  <w:jc w:val="center"/>
                </w:pPr>
              </w:pPrChange>
              <w:rPr>
                <w:del w:id="3498" w:author="AbbVie14" w:date="2025-05-09T10:30:00Z"/>
                <w:sz w:val="22"/>
                <w:szCs w:val="22"/>
              </w:rPr>
            </w:pPr>
            <w:del w:id="3499" w:author="AbbVie14" w:date="2025-05-09T10:30:00Z">
              <w:r w:rsidRPr="00295E71">
                <w:rPr>
                  <w:b/>
                  <w:bCs/>
                  <w:sz w:val="22"/>
                  <w:szCs w:val="22"/>
                </w:rPr>
                <w:delText>Placebo</w:delText>
              </w:r>
            </w:del>
          </w:p>
        </w:tc>
        <w:tc>
          <w:tcPr>
            <w:tcW w:w="1746" w:type="dxa"/>
            <w:tcMar>
              <w:top w:w="0" w:type="dxa"/>
              <w:left w:w="115" w:type="dxa"/>
              <w:bottom w:w="0" w:type="dxa"/>
              <w:right w:w="115" w:type="dxa"/>
            </w:tcMar>
            <w:vAlign w:val="bottom"/>
            <w:hideMark/>
          </w:tcPr>
          <w:p w:rsidR="006224C2" w:rsidRPr="00295E71" w14:paraId="4EEB5050" w14:textId="77777777">
            <w:pPr>
              <w:widowControl/>
              <w:jc w:val="left"/>
              <w:pPrChange w:id="3500" w:author="AbbVie14" w:date="2025-05-09T10:30:00Z">
                <w:pPr>
                  <w:widowControl w:val="0"/>
                  <w:jc w:val="center"/>
                </w:pPr>
              </w:pPrChange>
              <w:rPr>
                <w:del w:id="3501" w:author="AbbVie14" w:date="2025-05-09T10:30:00Z"/>
                <w:b/>
                <w:bCs/>
                <w:sz w:val="22"/>
                <w:szCs w:val="22"/>
              </w:rPr>
            </w:pPr>
            <w:del w:id="3502" w:author="AbbVie14" w:date="2025-05-09T10:30:00Z">
              <w:r w:rsidRPr="00295E71">
                <w:rPr>
                  <w:b/>
                  <w:bCs/>
                  <w:sz w:val="22"/>
                  <w:szCs w:val="22"/>
                </w:rPr>
                <w:delText>Humira 40 mg a settimana</w:delText>
              </w:r>
            </w:del>
          </w:p>
        </w:tc>
        <w:tc>
          <w:tcPr>
            <w:tcW w:w="1404" w:type="dxa"/>
            <w:tcMar>
              <w:top w:w="0" w:type="dxa"/>
              <w:left w:w="115" w:type="dxa"/>
              <w:bottom w:w="0" w:type="dxa"/>
              <w:right w:w="115" w:type="dxa"/>
            </w:tcMar>
            <w:vAlign w:val="bottom"/>
            <w:hideMark/>
          </w:tcPr>
          <w:p w:rsidR="006224C2" w:rsidRPr="00295E71" w14:paraId="3474FCC8" w14:textId="77777777">
            <w:pPr>
              <w:widowControl/>
              <w:jc w:val="left"/>
              <w:pPrChange w:id="3503" w:author="AbbVie14" w:date="2025-05-09T10:30:00Z">
                <w:pPr>
                  <w:widowControl w:val="0"/>
                  <w:jc w:val="center"/>
                </w:pPr>
              </w:pPrChange>
              <w:rPr>
                <w:del w:id="3504" w:author="AbbVie14" w:date="2025-05-09T10:30:00Z"/>
                <w:b/>
                <w:bCs/>
                <w:sz w:val="22"/>
                <w:szCs w:val="22"/>
              </w:rPr>
            </w:pPr>
            <w:del w:id="3505" w:author="AbbVie14" w:date="2025-05-09T10:30:00Z">
              <w:r w:rsidRPr="00295E71">
                <w:rPr>
                  <w:b/>
                  <w:bCs/>
                  <w:sz w:val="22"/>
                  <w:szCs w:val="22"/>
                </w:rPr>
                <w:delText xml:space="preserve">Placebo </w:delText>
              </w:r>
            </w:del>
          </w:p>
        </w:tc>
        <w:tc>
          <w:tcPr>
            <w:tcW w:w="1856" w:type="dxa"/>
            <w:tcMar>
              <w:top w:w="0" w:type="dxa"/>
              <w:left w:w="115" w:type="dxa"/>
              <w:bottom w:w="0" w:type="dxa"/>
              <w:right w:w="115" w:type="dxa"/>
            </w:tcMar>
            <w:vAlign w:val="bottom"/>
            <w:hideMark/>
          </w:tcPr>
          <w:p w:rsidR="006224C2" w:rsidRPr="00295E71" w14:paraId="071257D5" w14:textId="77777777">
            <w:pPr>
              <w:widowControl/>
              <w:jc w:val="left"/>
              <w:pPrChange w:id="3506" w:author="AbbVie14" w:date="2025-05-09T10:30:00Z">
                <w:pPr>
                  <w:widowControl w:val="0"/>
                  <w:jc w:val="center"/>
                </w:pPr>
              </w:pPrChange>
              <w:rPr>
                <w:del w:id="3507" w:author="AbbVie14" w:date="2025-05-09T10:30:00Z"/>
                <w:b/>
                <w:bCs/>
                <w:sz w:val="22"/>
                <w:szCs w:val="22"/>
              </w:rPr>
            </w:pPr>
            <w:del w:id="3508" w:author="AbbVie14" w:date="2025-05-09T10:30:00Z">
              <w:r w:rsidRPr="00295E71">
                <w:rPr>
                  <w:b/>
                  <w:bCs/>
                  <w:sz w:val="22"/>
                  <w:szCs w:val="22"/>
                </w:rPr>
                <w:delText>Humira 40 mg a settimana</w:delText>
              </w:r>
            </w:del>
          </w:p>
        </w:tc>
      </w:tr>
      <w:tr w14:paraId="7D0D7FBF" w14:textId="77777777">
        <w:tblPrEx>
          <w:tblW w:w="9293" w:type="dxa"/>
          <w:tblLook w:val="04A0"/>
        </w:tblPrEx>
        <w:trPr>
          <w:trHeight w:val="755"/>
          <w:del w:id="3509" w:author="AbbVie14" w:date="2025-05-09T10:30:00Z"/>
        </w:trPr>
        <w:tc>
          <w:tcPr>
            <w:tcW w:w="2847" w:type="dxa"/>
            <w:tcMar>
              <w:top w:w="0" w:type="dxa"/>
              <w:left w:w="115" w:type="dxa"/>
              <w:bottom w:w="0" w:type="dxa"/>
              <w:right w:w="115" w:type="dxa"/>
            </w:tcMar>
            <w:vAlign w:val="center"/>
            <w:hideMark/>
          </w:tcPr>
          <w:p w:rsidR="006224C2" w:rsidRPr="00295E71" w14:paraId="184AB153" w14:textId="77777777">
            <w:pPr>
              <w:widowControl/>
              <w:pPrChange w:id="3510" w:author="AbbVie14" w:date="2025-05-09T10:30:00Z">
                <w:pPr>
                  <w:widowControl w:val="0"/>
                </w:pPr>
              </w:pPrChange>
              <w:rPr>
                <w:del w:id="3511" w:author="AbbVie14" w:date="2025-05-09T10:30:00Z"/>
                <w:sz w:val="22"/>
                <w:szCs w:val="22"/>
              </w:rPr>
            </w:pPr>
            <w:del w:id="3512" w:author="AbbVie14" w:date="2025-05-09T10:30:00Z">
              <w:r w:rsidRPr="00295E71">
                <w:rPr>
                  <w:sz w:val="22"/>
                  <w:szCs w:val="22"/>
                </w:rPr>
                <w:delText>Hidradenitis Suppurativa Clinical Response(HiSCR)</w:delText>
              </w:r>
            </w:del>
            <w:del w:id="3513" w:author="AbbVie14" w:date="2025-05-09T10:30:00Z">
              <w:r w:rsidRPr="00295E71">
                <w:rPr>
                  <w:sz w:val="22"/>
                  <w:szCs w:val="22"/>
                  <w:vertAlign w:val="superscript"/>
                </w:rPr>
                <w:delText>a</w:delText>
              </w:r>
            </w:del>
          </w:p>
          <w:p w:rsidR="006224C2" w:rsidRPr="00295E71" w14:paraId="04816A0A" w14:textId="77777777">
            <w:pPr>
              <w:widowControl/>
              <w:pPrChange w:id="3514" w:author="AbbVie14" w:date="2025-05-09T10:30:00Z">
                <w:pPr>
                  <w:widowControl w:val="0"/>
                </w:pPr>
              </w:pPrChange>
              <w:rPr>
                <w:del w:id="3515" w:author="AbbVie14" w:date="2025-05-09T10:30:00Z"/>
                <w:sz w:val="22"/>
                <w:szCs w:val="22"/>
              </w:rPr>
            </w:pPr>
          </w:p>
        </w:tc>
        <w:tc>
          <w:tcPr>
            <w:tcW w:w="1440" w:type="dxa"/>
            <w:tcMar>
              <w:top w:w="0" w:type="dxa"/>
              <w:left w:w="115" w:type="dxa"/>
              <w:bottom w:w="0" w:type="dxa"/>
              <w:right w:w="115" w:type="dxa"/>
            </w:tcMar>
            <w:hideMark/>
          </w:tcPr>
          <w:p w:rsidR="006224C2" w:rsidRPr="00295E71" w14:paraId="73CDAD8A" w14:textId="77777777">
            <w:pPr>
              <w:widowControl/>
              <w:jc w:val="left"/>
              <w:pPrChange w:id="3516" w:author="AbbVie14" w:date="2025-05-09T10:30:00Z">
                <w:pPr>
                  <w:widowControl w:val="0"/>
                  <w:jc w:val="center"/>
                </w:pPr>
              </w:pPrChange>
              <w:rPr>
                <w:del w:id="3517" w:author="AbbVie14" w:date="2025-05-09T10:30:00Z"/>
                <w:sz w:val="22"/>
                <w:szCs w:val="22"/>
              </w:rPr>
            </w:pPr>
            <w:del w:id="3518" w:author="AbbVie14" w:date="2025-05-09T10:30:00Z">
              <w:r w:rsidRPr="00295E71">
                <w:rPr>
                  <w:sz w:val="22"/>
                  <w:szCs w:val="22"/>
                </w:rPr>
                <w:delText>N = 154</w:delText>
              </w:r>
            </w:del>
            <w:del w:id="3519" w:author="AbbVie14" w:date="2025-05-09T10:30:00Z">
              <w:r w:rsidRPr="00295E71">
                <w:rPr>
                  <w:sz w:val="22"/>
                  <w:szCs w:val="22"/>
                </w:rPr>
                <w:br/>
                <w:delText>40 (26,0%)</w:delText>
              </w:r>
            </w:del>
          </w:p>
        </w:tc>
        <w:tc>
          <w:tcPr>
            <w:tcW w:w="1746" w:type="dxa"/>
            <w:tcMar>
              <w:top w:w="0" w:type="dxa"/>
              <w:left w:w="115" w:type="dxa"/>
              <w:bottom w:w="0" w:type="dxa"/>
              <w:right w:w="115" w:type="dxa"/>
            </w:tcMar>
            <w:hideMark/>
          </w:tcPr>
          <w:p w:rsidR="006224C2" w:rsidRPr="00295E71" w14:paraId="348771E8" w14:textId="77777777">
            <w:pPr>
              <w:widowControl/>
              <w:jc w:val="left"/>
              <w:pPrChange w:id="3520" w:author="AbbVie14" w:date="2025-05-09T10:30:00Z">
                <w:pPr>
                  <w:widowControl w:val="0"/>
                  <w:jc w:val="center"/>
                </w:pPr>
              </w:pPrChange>
              <w:rPr>
                <w:del w:id="3521" w:author="AbbVie14" w:date="2025-05-09T10:30:00Z"/>
                <w:sz w:val="22"/>
                <w:szCs w:val="22"/>
              </w:rPr>
            </w:pPr>
            <w:del w:id="3522" w:author="AbbVie14" w:date="2025-05-09T10:30:00Z">
              <w:r w:rsidRPr="00295E71">
                <w:rPr>
                  <w:sz w:val="22"/>
                  <w:szCs w:val="22"/>
                </w:rPr>
                <w:delText>N = 153</w:delText>
              </w:r>
            </w:del>
            <w:del w:id="3523" w:author="AbbVie14" w:date="2025-05-09T10:30:00Z">
              <w:r w:rsidRPr="00295E71">
                <w:rPr>
                  <w:sz w:val="22"/>
                  <w:szCs w:val="22"/>
                </w:rPr>
                <w:br/>
                <w:delText xml:space="preserve">64 (41,8%) </w:delText>
              </w:r>
            </w:del>
            <w:del w:id="3524" w:author="AbbVie14" w:date="2025-05-09T10:30:00Z">
              <w:r w:rsidRPr="00295E71">
                <w:rPr>
                  <w:sz w:val="22"/>
                  <w:szCs w:val="22"/>
                  <w:vertAlign w:val="superscript"/>
                </w:rPr>
                <w:delText>*</w:delText>
              </w:r>
            </w:del>
          </w:p>
        </w:tc>
        <w:tc>
          <w:tcPr>
            <w:tcW w:w="1404" w:type="dxa"/>
            <w:tcMar>
              <w:top w:w="0" w:type="dxa"/>
              <w:left w:w="115" w:type="dxa"/>
              <w:bottom w:w="0" w:type="dxa"/>
              <w:right w:w="115" w:type="dxa"/>
            </w:tcMar>
          </w:tcPr>
          <w:p w:rsidR="006224C2" w:rsidRPr="00295E71" w14:paraId="4B29A4FA" w14:textId="77777777">
            <w:pPr>
              <w:widowControl/>
              <w:jc w:val="left"/>
              <w:pPrChange w:id="3525" w:author="AbbVie14" w:date="2025-05-09T10:30:00Z">
                <w:pPr>
                  <w:widowControl w:val="0"/>
                  <w:jc w:val="center"/>
                </w:pPr>
              </w:pPrChange>
              <w:rPr>
                <w:del w:id="3526" w:author="AbbVie14" w:date="2025-05-09T10:30:00Z"/>
                <w:sz w:val="22"/>
                <w:szCs w:val="22"/>
              </w:rPr>
            </w:pPr>
            <w:del w:id="3527" w:author="AbbVie14" w:date="2025-05-09T10:30:00Z">
              <w:r w:rsidRPr="00295E71">
                <w:rPr>
                  <w:sz w:val="22"/>
                  <w:szCs w:val="22"/>
                </w:rPr>
                <w:delText>N=163</w:delText>
              </w:r>
            </w:del>
          </w:p>
          <w:p w:rsidR="006224C2" w:rsidRPr="00295E71" w14:paraId="17AAE08B" w14:textId="77777777">
            <w:pPr>
              <w:widowControl/>
              <w:jc w:val="left"/>
              <w:pPrChange w:id="3528" w:author="AbbVie14" w:date="2025-05-09T10:30:00Z">
                <w:pPr>
                  <w:widowControl w:val="0"/>
                  <w:jc w:val="center"/>
                </w:pPr>
              </w:pPrChange>
              <w:rPr>
                <w:del w:id="3529" w:author="AbbVie14" w:date="2025-05-09T10:30:00Z"/>
                <w:sz w:val="22"/>
                <w:szCs w:val="22"/>
              </w:rPr>
            </w:pPr>
            <w:del w:id="3530" w:author="AbbVie14" w:date="2025-05-09T10:30:00Z">
              <w:r w:rsidRPr="00295E71">
                <w:rPr>
                  <w:sz w:val="22"/>
                  <w:szCs w:val="22"/>
                </w:rPr>
                <w:delText>45 (27,6%)</w:delText>
              </w:r>
            </w:del>
          </w:p>
        </w:tc>
        <w:tc>
          <w:tcPr>
            <w:tcW w:w="1856" w:type="dxa"/>
            <w:tcMar>
              <w:top w:w="0" w:type="dxa"/>
              <w:left w:w="115" w:type="dxa"/>
              <w:bottom w:w="0" w:type="dxa"/>
              <w:right w:w="115" w:type="dxa"/>
            </w:tcMar>
          </w:tcPr>
          <w:p w:rsidR="006224C2" w:rsidRPr="00295E71" w14:paraId="1174E02F" w14:textId="77777777">
            <w:pPr>
              <w:widowControl/>
              <w:jc w:val="left"/>
              <w:pPrChange w:id="3531" w:author="AbbVie14" w:date="2025-05-09T10:30:00Z">
                <w:pPr>
                  <w:widowControl w:val="0"/>
                  <w:jc w:val="center"/>
                </w:pPr>
              </w:pPrChange>
              <w:rPr>
                <w:del w:id="3532" w:author="AbbVie14" w:date="2025-05-09T10:30:00Z"/>
                <w:sz w:val="22"/>
                <w:szCs w:val="22"/>
              </w:rPr>
            </w:pPr>
            <w:del w:id="3533" w:author="AbbVie14" w:date="2025-05-09T10:30:00Z">
              <w:r w:rsidRPr="00295E71">
                <w:rPr>
                  <w:sz w:val="22"/>
                  <w:szCs w:val="22"/>
                </w:rPr>
                <w:delText>N = 163</w:delText>
              </w:r>
            </w:del>
          </w:p>
          <w:p w:rsidR="006224C2" w:rsidRPr="00295E71" w14:paraId="4BC91A94" w14:textId="77777777">
            <w:pPr>
              <w:widowControl/>
              <w:jc w:val="left"/>
              <w:pPrChange w:id="3534" w:author="AbbVie14" w:date="2025-05-09T10:30:00Z">
                <w:pPr>
                  <w:widowControl w:val="0"/>
                  <w:jc w:val="center"/>
                </w:pPr>
              </w:pPrChange>
              <w:rPr>
                <w:del w:id="3535" w:author="AbbVie14" w:date="2025-05-09T10:30:00Z"/>
                <w:sz w:val="22"/>
                <w:szCs w:val="22"/>
              </w:rPr>
            </w:pPr>
            <w:del w:id="3536" w:author="AbbVie14" w:date="2025-05-09T10:30:00Z">
              <w:r w:rsidRPr="00295E71">
                <w:rPr>
                  <w:sz w:val="22"/>
                  <w:szCs w:val="22"/>
                </w:rPr>
                <w:delText>96 (58,9%)</w:delText>
              </w:r>
            </w:del>
            <w:del w:id="3537" w:author="AbbVie14" w:date="2025-05-09T10:30:00Z">
              <w:r w:rsidRPr="00295E71">
                <w:rPr>
                  <w:sz w:val="22"/>
                  <w:szCs w:val="22"/>
                  <w:vertAlign w:val="superscript"/>
                </w:rPr>
                <w:delText>***</w:delText>
              </w:r>
            </w:del>
          </w:p>
        </w:tc>
      </w:tr>
      <w:tr w14:paraId="4BC3A27A" w14:textId="77777777">
        <w:tblPrEx>
          <w:tblW w:w="9293" w:type="dxa"/>
          <w:tblLook w:val="04A0"/>
        </w:tblPrEx>
        <w:trPr>
          <w:del w:id="3538" w:author="AbbVie14" w:date="2025-05-09T10:30:00Z"/>
        </w:trPr>
        <w:tc>
          <w:tcPr>
            <w:tcW w:w="2847" w:type="dxa"/>
            <w:tcMar>
              <w:top w:w="0" w:type="dxa"/>
              <w:left w:w="115" w:type="dxa"/>
              <w:bottom w:w="0" w:type="dxa"/>
              <w:right w:w="115" w:type="dxa"/>
            </w:tcMar>
            <w:vAlign w:val="center"/>
            <w:hideMark/>
          </w:tcPr>
          <w:p w:rsidR="006224C2" w:rsidRPr="00295E71" w14:paraId="09EAB661" w14:textId="77777777">
            <w:pPr>
              <w:widowControl/>
              <w:pPrChange w:id="3539" w:author="AbbVie14" w:date="2025-05-09T10:30:00Z">
                <w:pPr>
                  <w:widowControl w:val="0"/>
                </w:pPr>
              </w:pPrChange>
              <w:rPr>
                <w:del w:id="3540" w:author="AbbVie14" w:date="2025-05-09T10:30:00Z"/>
                <w:sz w:val="22"/>
                <w:szCs w:val="22"/>
              </w:rPr>
            </w:pPr>
            <w:del w:id="3541" w:author="AbbVie14" w:date="2025-05-09T10:30:00Z">
              <w:r w:rsidRPr="00295E71">
                <w:rPr>
                  <w:sz w:val="22"/>
                  <w:szCs w:val="22"/>
                </w:rPr>
                <w:delText>≥ 30% Riduzione di Dolore cutaneo</w:delText>
              </w:r>
            </w:del>
            <w:del w:id="3542" w:author="AbbVie14" w:date="2025-05-09T10:30:00Z">
              <w:r w:rsidRPr="00295E71">
                <w:rPr>
                  <w:sz w:val="22"/>
                  <w:szCs w:val="22"/>
                  <w:vertAlign w:val="superscript"/>
                </w:rPr>
                <w:delText>b</w:delText>
              </w:r>
            </w:del>
          </w:p>
        </w:tc>
        <w:tc>
          <w:tcPr>
            <w:tcW w:w="1440" w:type="dxa"/>
            <w:tcMar>
              <w:top w:w="0" w:type="dxa"/>
              <w:left w:w="115" w:type="dxa"/>
              <w:bottom w:w="0" w:type="dxa"/>
              <w:right w:w="115" w:type="dxa"/>
            </w:tcMar>
            <w:hideMark/>
          </w:tcPr>
          <w:p w:rsidR="006224C2" w:rsidRPr="00295E71" w14:paraId="0C63619C" w14:textId="77777777">
            <w:pPr>
              <w:widowControl/>
              <w:jc w:val="left"/>
              <w:pPrChange w:id="3543" w:author="AbbVie14" w:date="2025-05-09T10:30:00Z">
                <w:pPr>
                  <w:widowControl w:val="0"/>
                  <w:jc w:val="center"/>
                </w:pPr>
              </w:pPrChange>
              <w:rPr>
                <w:del w:id="3544" w:author="AbbVie14" w:date="2025-05-09T10:30:00Z"/>
                <w:sz w:val="22"/>
                <w:szCs w:val="22"/>
              </w:rPr>
            </w:pPr>
            <w:del w:id="3545" w:author="AbbVie14" w:date="2025-05-09T10:30:00Z">
              <w:r w:rsidRPr="00295E71">
                <w:rPr>
                  <w:sz w:val="22"/>
                  <w:szCs w:val="22"/>
                </w:rPr>
                <w:delText>N = 109</w:delText>
              </w:r>
            </w:del>
            <w:del w:id="3546" w:author="AbbVie14" w:date="2025-05-09T10:30:00Z">
              <w:r w:rsidRPr="00295E71">
                <w:rPr>
                  <w:sz w:val="22"/>
                  <w:szCs w:val="22"/>
                </w:rPr>
                <w:br/>
                <w:delText>27 (24,8%)</w:delText>
              </w:r>
            </w:del>
          </w:p>
        </w:tc>
        <w:tc>
          <w:tcPr>
            <w:tcW w:w="1746" w:type="dxa"/>
            <w:tcMar>
              <w:top w:w="0" w:type="dxa"/>
              <w:left w:w="115" w:type="dxa"/>
              <w:bottom w:w="0" w:type="dxa"/>
              <w:right w:w="115" w:type="dxa"/>
            </w:tcMar>
            <w:hideMark/>
          </w:tcPr>
          <w:p w:rsidR="006224C2" w:rsidRPr="00295E71" w14:paraId="5BA46441" w14:textId="77777777">
            <w:pPr>
              <w:widowControl/>
              <w:jc w:val="left"/>
              <w:pPrChange w:id="3547" w:author="AbbVie14" w:date="2025-05-09T10:30:00Z">
                <w:pPr>
                  <w:widowControl w:val="0"/>
                  <w:jc w:val="center"/>
                </w:pPr>
              </w:pPrChange>
              <w:rPr>
                <w:del w:id="3548" w:author="AbbVie14" w:date="2025-05-09T10:30:00Z"/>
                <w:sz w:val="22"/>
                <w:szCs w:val="22"/>
              </w:rPr>
            </w:pPr>
            <w:del w:id="3549" w:author="AbbVie14" w:date="2025-05-09T10:30:00Z">
              <w:r w:rsidRPr="00295E71">
                <w:rPr>
                  <w:sz w:val="22"/>
                  <w:szCs w:val="22"/>
                </w:rPr>
                <w:delText>N = 122</w:delText>
              </w:r>
            </w:del>
            <w:del w:id="3550" w:author="AbbVie14" w:date="2025-05-09T10:30:00Z">
              <w:r w:rsidRPr="00295E71">
                <w:rPr>
                  <w:sz w:val="22"/>
                  <w:szCs w:val="22"/>
                </w:rPr>
                <w:br/>
                <w:delText>34 (27,9%)</w:delText>
              </w:r>
            </w:del>
          </w:p>
        </w:tc>
        <w:tc>
          <w:tcPr>
            <w:tcW w:w="1404" w:type="dxa"/>
            <w:tcMar>
              <w:top w:w="0" w:type="dxa"/>
              <w:left w:w="115" w:type="dxa"/>
              <w:bottom w:w="0" w:type="dxa"/>
              <w:right w:w="115" w:type="dxa"/>
            </w:tcMar>
          </w:tcPr>
          <w:p w:rsidR="006224C2" w:rsidRPr="00295E71" w14:paraId="4CA6EF7F" w14:textId="77777777">
            <w:pPr>
              <w:widowControl/>
              <w:jc w:val="left"/>
              <w:pPrChange w:id="3551" w:author="AbbVie14" w:date="2025-05-09T10:30:00Z">
                <w:pPr>
                  <w:widowControl w:val="0"/>
                  <w:jc w:val="center"/>
                </w:pPr>
              </w:pPrChange>
              <w:rPr>
                <w:del w:id="3552" w:author="AbbVie14" w:date="2025-05-09T10:30:00Z"/>
                <w:sz w:val="22"/>
                <w:szCs w:val="22"/>
              </w:rPr>
            </w:pPr>
            <w:del w:id="3553" w:author="AbbVie14" w:date="2025-05-09T10:30:00Z">
              <w:r w:rsidRPr="00295E71">
                <w:rPr>
                  <w:sz w:val="22"/>
                  <w:szCs w:val="22"/>
                </w:rPr>
                <w:delText>N = 111</w:delText>
              </w:r>
            </w:del>
          </w:p>
          <w:p w:rsidR="006224C2" w:rsidRPr="00295E71" w14:paraId="3B3ECBD4" w14:textId="77777777">
            <w:pPr>
              <w:widowControl/>
              <w:jc w:val="left"/>
              <w:pPrChange w:id="3554" w:author="AbbVie14" w:date="2025-05-09T10:30:00Z">
                <w:pPr>
                  <w:widowControl w:val="0"/>
                  <w:jc w:val="center"/>
                </w:pPr>
              </w:pPrChange>
              <w:rPr>
                <w:del w:id="3555" w:author="AbbVie14" w:date="2025-05-09T10:30:00Z"/>
                <w:sz w:val="22"/>
                <w:szCs w:val="22"/>
              </w:rPr>
            </w:pPr>
            <w:del w:id="3556" w:author="AbbVie14" w:date="2025-05-09T10:30:00Z">
              <w:r w:rsidRPr="00295E71">
                <w:rPr>
                  <w:sz w:val="22"/>
                  <w:szCs w:val="22"/>
                </w:rPr>
                <w:delText>23 (20,7%)</w:delText>
              </w:r>
            </w:del>
          </w:p>
        </w:tc>
        <w:tc>
          <w:tcPr>
            <w:tcW w:w="1856" w:type="dxa"/>
            <w:tcMar>
              <w:top w:w="0" w:type="dxa"/>
              <w:left w:w="115" w:type="dxa"/>
              <w:bottom w:w="0" w:type="dxa"/>
              <w:right w:w="115" w:type="dxa"/>
            </w:tcMar>
          </w:tcPr>
          <w:p w:rsidR="006224C2" w:rsidRPr="00295E71" w14:paraId="731E650C" w14:textId="77777777">
            <w:pPr>
              <w:widowControl/>
              <w:jc w:val="left"/>
              <w:pPrChange w:id="3557" w:author="AbbVie14" w:date="2025-05-09T10:30:00Z">
                <w:pPr>
                  <w:widowControl w:val="0"/>
                  <w:jc w:val="center"/>
                </w:pPr>
              </w:pPrChange>
              <w:rPr>
                <w:del w:id="3558" w:author="AbbVie14" w:date="2025-05-09T10:30:00Z"/>
                <w:sz w:val="22"/>
                <w:szCs w:val="22"/>
              </w:rPr>
            </w:pPr>
            <w:del w:id="3559" w:author="AbbVie14" w:date="2025-05-09T10:30:00Z">
              <w:r w:rsidRPr="00295E71">
                <w:rPr>
                  <w:sz w:val="22"/>
                  <w:szCs w:val="22"/>
                </w:rPr>
                <w:delText>N = 105</w:delText>
              </w:r>
            </w:del>
          </w:p>
          <w:p w:rsidR="006224C2" w:rsidRPr="00295E71" w14:paraId="70175FD0" w14:textId="77777777">
            <w:pPr>
              <w:widowControl/>
              <w:jc w:val="left"/>
              <w:pPrChange w:id="3560" w:author="AbbVie14" w:date="2025-05-09T10:30:00Z">
                <w:pPr>
                  <w:widowControl w:val="0"/>
                  <w:jc w:val="center"/>
                </w:pPr>
              </w:pPrChange>
              <w:rPr>
                <w:del w:id="3561" w:author="AbbVie14" w:date="2025-05-09T10:30:00Z"/>
                <w:sz w:val="22"/>
                <w:szCs w:val="22"/>
              </w:rPr>
            </w:pPr>
            <w:del w:id="3562" w:author="AbbVie14" w:date="2025-05-09T10:30:00Z">
              <w:r w:rsidRPr="00295E71">
                <w:rPr>
                  <w:sz w:val="22"/>
                  <w:szCs w:val="22"/>
                </w:rPr>
                <w:delText>48 (45,7%)</w:delText>
              </w:r>
            </w:del>
            <w:del w:id="3563" w:author="AbbVie14" w:date="2025-05-09T10:30:00Z">
              <w:r w:rsidRPr="00295E71">
                <w:rPr>
                  <w:sz w:val="22"/>
                  <w:szCs w:val="22"/>
                  <w:vertAlign w:val="superscript"/>
                </w:rPr>
                <w:delText>***</w:delText>
              </w:r>
            </w:del>
          </w:p>
        </w:tc>
      </w:tr>
      <w:tr w14:paraId="15293067" w14:textId="77777777">
        <w:tblPrEx>
          <w:tblW w:w="9293" w:type="dxa"/>
          <w:tblLook w:val="04A0"/>
        </w:tblPrEx>
        <w:trPr>
          <w:del w:id="3564" w:author="AbbVie14" w:date="2025-05-09T10:30:00Z"/>
        </w:trPr>
        <w:tc>
          <w:tcPr>
            <w:tcW w:w="9293" w:type="dxa"/>
            <w:gridSpan w:val="5"/>
            <w:tcMar>
              <w:top w:w="0" w:type="dxa"/>
              <w:left w:w="115" w:type="dxa"/>
              <w:bottom w:w="0" w:type="dxa"/>
              <w:right w:w="115" w:type="dxa"/>
            </w:tcMar>
            <w:vAlign w:val="center"/>
          </w:tcPr>
          <w:p w:rsidR="006224C2" w:rsidRPr="00295E71" w14:paraId="2B3CFC29" w14:textId="77777777">
            <w:pPr>
              <w:keepNext w:val="0"/>
              <w:widowControl/>
              <w:ind w:left="0"/>
              <w:pPrChange w:id="3565" w:author="AbbVie14" w:date="2025-05-09T10:30:00Z">
                <w:pPr>
                  <w:keepNext/>
                  <w:widowControl w:val="0"/>
                  <w:ind w:left="360"/>
                </w:pPr>
              </w:pPrChange>
              <w:rPr>
                <w:del w:id="3566" w:author="AbbVie14" w:date="2025-05-09T10:30:00Z"/>
                <w:sz w:val="22"/>
                <w:szCs w:val="22"/>
              </w:rPr>
            </w:pPr>
            <w:del w:id="3567" w:author="AbbVie14" w:date="2025-05-09T10:30:00Z">
              <w:r w:rsidRPr="00295E71">
                <w:rPr>
                  <w:sz w:val="22"/>
                  <w:szCs w:val="22"/>
                </w:rPr>
                <w:delText xml:space="preserve">* </w:delText>
              </w:r>
            </w:del>
            <w:del w:id="3568" w:author="AbbVie14" w:date="2025-05-09T10:30:00Z">
              <w:r w:rsidRPr="00295E71">
                <w:rPr>
                  <w:i/>
                  <w:sz w:val="22"/>
                  <w:szCs w:val="22"/>
                </w:rPr>
                <w:delText>P</w:delText>
              </w:r>
            </w:del>
            <w:del w:id="3569" w:author="AbbVie14" w:date="2025-05-09T10:30:00Z">
              <w:r w:rsidRPr="00295E71">
                <w:rPr>
                  <w:sz w:val="22"/>
                  <w:szCs w:val="22"/>
                </w:rPr>
                <w:delText>&lt; 0,05, *** </w:delText>
              </w:r>
            </w:del>
            <w:del w:id="3570" w:author="AbbVie14" w:date="2025-05-09T10:30:00Z">
              <w:r w:rsidRPr="00295E71">
                <w:rPr>
                  <w:i/>
                  <w:sz w:val="22"/>
                  <w:szCs w:val="22"/>
                </w:rPr>
                <w:delText xml:space="preserve">P </w:delText>
              </w:r>
            </w:del>
            <w:del w:id="3571" w:author="AbbVie14" w:date="2025-05-09T10:30:00Z">
              <w:r w:rsidRPr="00295E71">
                <w:rPr>
                  <w:sz w:val="22"/>
                  <w:szCs w:val="22"/>
                </w:rPr>
                <w:delText xml:space="preserve">&lt; 0,001, Humira verso placebo </w:delText>
              </w:r>
            </w:del>
          </w:p>
          <w:p w:rsidR="006224C2" w:rsidRPr="00295E71" w14:paraId="5DA28291" w14:textId="77777777">
            <w:pPr>
              <w:keepNext w:val="0"/>
              <w:keepLines w:val="0"/>
              <w:widowControl/>
              <w:numPr>
                <w:numId w:val="0"/>
              </w:numPr>
              <w:spacing w:line="240" w:lineRule="auto"/>
              <w:ind w:left="0" w:firstLine="0"/>
              <w:pPrChange w:id="3572" w:author="AbbVie14" w:date="2025-05-09T10:30:00Z">
                <w:pPr>
                  <w:keepNext/>
                  <w:keepLines/>
                  <w:widowControl w:val="0"/>
                  <w:numPr>
                    <w:numId w:val="56"/>
                  </w:numPr>
                  <w:spacing w:line="240" w:lineRule="exact"/>
                  <w:ind w:left="360" w:hanging="360"/>
                </w:pPr>
              </w:pPrChange>
              <w:rPr>
                <w:del w:id="3573" w:author="AbbVie14" w:date="2025-05-09T10:30:00Z"/>
                <w:sz w:val="22"/>
                <w:szCs w:val="22"/>
              </w:rPr>
            </w:pPr>
            <w:del w:id="3574" w:author="AbbVie14" w:date="2025-05-09T10:30:00Z">
              <w:r w:rsidRPr="00295E71">
                <w:rPr>
                  <w:sz w:val="22"/>
                  <w:szCs w:val="22"/>
                </w:rPr>
                <w:delText>Tra tutti i pazienti randomizzati.</w:delText>
              </w:r>
            </w:del>
          </w:p>
          <w:p w:rsidR="006224C2" w:rsidRPr="00295E71" w14:paraId="3E77CE11" w14:textId="77777777">
            <w:pPr>
              <w:keepNext w:val="0"/>
              <w:keepLines w:val="0"/>
              <w:widowControl/>
              <w:numPr>
                <w:numId w:val="0"/>
              </w:numPr>
              <w:spacing w:line="240" w:lineRule="auto"/>
              <w:ind w:left="0" w:firstLine="0"/>
              <w:pPrChange w:id="3575" w:author="AbbVie14" w:date="2025-05-09T10:30:00Z">
                <w:pPr>
                  <w:keepNext/>
                  <w:keepLines/>
                  <w:widowControl w:val="0"/>
                  <w:numPr>
                    <w:numId w:val="56"/>
                  </w:numPr>
                  <w:spacing w:line="240" w:lineRule="exact"/>
                  <w:ind w:left="360" w:hanging="360"/>
                </w:pPr>
              </w:pPrChange>
              <w:rPr>
                <w:del w:id="3576" w:author="AbbVie14" w:date="2025-05-09T10:30:00Z"/>
                <w:sz w:val="22"/>
                <w:szCs w:val="22"/>
              </w:rPr>
            </w:pPr>
            <w:del w:id="3577" w:author="AbbVie14" w:date="2025-05-09T10:30:00Z">
              <w:r w:rsidRPr="00295E71">
                <w:rPr>
                  <w:sz w:val="22"/>
                  <w:szCs w:val="22"/>
                </w:rPr>
                <w:delText>Tra i pazienti con una valutazione di dolore cutaneo legato all’HS ≥ 3, in base alla Scala di Valutazione Numerica 0 – 10; 0 = nessun dolore cutaneo, 10 = dolore cutaneo più forte che si possa immaginare.</w:delText>
              </w:r>
            </w:del>
          </w:p>
        </w:tc>
      </w:tr>
    </w:tbl>
    <w:p w:rsidR="006224C2" w:rsidRPr="00295E71" w:rsidP="00AD7AF0" w14:paraId="6832AB2B" w14:textId="77777777">
      <w:pPr>
        <w:rPr>
          <w:del w:id="3578" w:author="AbbVie14" w:date="2025-05-09T10:30:00Z"/>
          <w:sz w:val="22"/>
          <w:szCs w:val="22"/>
        </w:rPr>
      </w:pPr>
    </w:p>
    <w:p w:rsidR="006224C2" w:rsidRPr="00295E71" w14:paraId="7ADD82F5" w14:textId="77777777">
      <w:pPr>
        <w:jc w:val="left"/>
        <w:pPrChange w:id="3579" w:author="AbbVie14" w:date="2025-05-09T10:30:00Z">
          <w:pPr>
            <w:jc w:val="both"/>
          </w:pPr>
        </w:pPrChange>
        <w:rPr>
          <w:del w:id="3580" w:author="AbbVie14" w:date="2025-05-09T10:30:00Z"/>
          <w:sz w:val="22"/>
          <w:szCs w:val="22"/>
        </w:rPr>
      </w:pPr>
      <w:del w:id="3581" w:author="AbbVie14" w:date="2025-05-09T10:30:00Z">
        <w:r w:rsidRPr="00295E71">
          <w:rPr>
            <w:sz w:val="22"/>
            <w:szCs w:val="22"/>
          </w:rPr>
          <w:delText>Il trattamento con Humira 40 mg ogni settimana ha ridotto in maniera significativa il rischio di peggioramento di ascessi e fistole drenanti. Nelle prime 12 settimane degli Studi HS-I e HS-II, nel gruppo con placebo circa il doppio della percentuale dei pazienti ha avuto un peggioramento degli ascessi (23,0% vs 11,4%, rispettivamente) e delle fistole drenanti (30,0% vs 13,9%, rispettivamente) rispetto ai pazienti nel gruppo con Humira.</w:delText>
        </w:r>
      </w:del>
    </w:p>
    <w:p w:rsidR="006224C2" w:rsidRPr="00295E71" w:rsidP="00AD7AF0" w14:paraId="1EF5F840" w14:textId="77777777">
      <w:pPr>
        <w:rPr>
          <w:del w:id="3582" w:author="AbbVie14" w:date="2025-05-09T10:30:00Z"/>
          <w:sz w:val="22"/>
          <w:szCs w:val="22"/>
          <w:lang w:eastAsia="ja-JP"/>
        </w:rPr>
      </w:pPr>
    </w:p>
    <w:p w:rsidR="006224C2" w:rsidRPr="00295E71" w14:paraId="5D4183D8" w14:textId="77777777">
      <w:pPr>
        <w:keepNext w:val="0"/>
        <w:keepLines w:val="0"/>
        <w:jc w:val="left"/>
        <w:pPrChange w:id="3583" w:author="AbbVie14" w:date="2025-05-09T10:30:00Z">
          <w:pPr>
            <w:keepNext/>
            <w:keepLines/>
            <w:jc w:val="both"/>
          </w:pPr>
        </w:pPrChange>
        <w:rPr>
          <w:del w:id="3584" w:author="AbbVie14" w:date="2025-05-09T10:30:00Z"/>
          <w:sz w:val="22"/>
          <w:szCs w:val="22"/>
          <w:lang w:eastAsia="ja-JP"/>
        </w:rPr>
      </w:pPr>
      <w:del w:id="3585" w:author="AbbVie14" w:date="2025-05-09T10:30:00Z">
        <w:r w:rsidRPr="00295E71">
          <w:rPr>
            <w:color w:val="000000"/>
            <w:sz w:val="22"/>
            <w:szCs w:val="22"/>
          </w:rPr>
          <w:delText>Miglioramenti maggiori della qualità della vita, definita come stato di salute generale correlato alla patologia cutaneae misurato attraverso il Dermatology Life Quality Index (DLQI; Studi HS-I e HS-II), sono stati dimostrati alla settimana 12 a partire dal valore basale rispetto al placebo, la soddisfazione globale dei pazienti in trattamento con il medicinale, misurata con il questionario Treatment Satisfaction Questionnaire - medication (TSQM; Studi HS-I e HS-II), e salute fisica misurata attraverso il Physical Component Summary Score del SF-36 (Studio HS-I).</w:delText>
        </w:r>
      </w:del>
    </w:p>
    <w:p w:rsidR="006224C2" w:rsidRPr="00295E71" w14:paraId="356BD215" w14:textId="77777777">
      <w:pPr>
        <w:keepNext w:val="0"/>
        <w:keepLines w:val="0"/>
        <w:pPrChange w:id="3586" w:author="AbbVie14" w:date="2025-05-09T10:30:00Z">
          <w:pPr>
            <w:keepNext/>
            <w:keepLines/>
          </w:pPr>
        </w:pPrChange>
        <w:rPr>
          <w:del w:id="3587" w:author="AbbVie14" w:date="2025-05-09T10:30:00Z"/>
          <w:sz w:val="22"/>
          <w:szCs w:val="22"/>
          <w:lang w:eastAsia="ja-JP"/>
        </w:rPr>
      </w:pPr>
    </w:p>
    <w:p w:rsidR="006224C2" w:rsidRPr="00295E71" w14:paraId="04673697" w14:textId="77777777">
      <w:pPr>
        <w:tabs>
          <w:tab w:val="clear" w:pos="567"/>
          <w:tab w:val="clear" w:pos="1294"/>
        </w:tabs>
        <w:autoSpaceDE/>
        <w:autoSpaceDN/>
        <w:adjustRightInd/>
        <w:jc w:val="left"/>
        <w:pPrChange w:id="3588" w:author="AbbVie14" w:date="2025-05-09T10:30:00Z">
          <w:pPr>
            <w:tabs>
              <w:tab w:val="left" w:pos="567"/>
              <w:tab w:val="left" w:pos="1294"/>
            </w:tabs>
            <w:autoSpaceDE w:val="0"/>
            <w:autoSpaceDN w:val="0"/>
            <w:adjustRightInd w:val="0"/>
            <w:jc w:val="both"/>
          </w:pPr>
        </w:pPrChange>
        <w:rPr>
          <w:del w:id="3589" w:author="AbbVie14" w:date="2025-05-09T10:30:00Z"/>
          <w:color w:val="000000"/>
          <w:sz w:val="22"/>
          <w:szCs w:val="22"/>
        </w:rPr>
      </w:pPr>
      <w:del w:id="3590" w:author="AbbVie14" w:date="2025-05-09T10:30:00Z">
        <w:r w:rsidRPr="00295E71">
          <w:rPr>
            <w:color w:val="000000"/>
            <w:sz w:val="22"/>
            <w:szCs w:val="22"/>
          </w:rPr>
          <w:delText>Nei pazienti che alla settimana 12 avevano una risposta almeno parziale ad Humira 40 mg somministrato ogni settimana, la percentuale di HiSCR alla settimana 36 era superiore nei pazienti che avevano continuato Humira ogni settimana rispetto ai pazienti in cui la frequenza di somministrazione era stata ridotta a settimane alterne, o nei quali era stato sospeso il trattamento (vedere Tabella 1</w:delText>
        </w:r>
      </w:del>
      <w:del w:id="3591" w:author="AbbVie14" w:date="2025-05-09T10:30:00Z">
        <w:r w:rsidR="000203FD">
          <w:rPr>
            <w:color w:val="000000"/>
            <w:sz w:val="22"/>
            <w:szCs w:val="22"/>
          </w:rPr>
          <w:delText>6</w:delText>
        </w:r>
      </w:del>
      <w:del w:id="3592" w:author="AbbVie14" w:date="2025-05-09T10:30:00Z">
        <w:r w:rsidRPr="00295E71">
          <w:rPr>
            <w:color w:val="000000"/>
            <w:sz w:val="22"/>
            <w:szCs w:val="22"/>
          </w:rPr>
          <w:delText>).</w:delText>
        </w:r>
      </w:del>
    </w:p>
    <w:p w:rsidR="006224C2" w:rsidRPr="00295E71" w14:paraId="06A5F2DC" w14:textId="77777777">
      <w:pPr>
        <w:pPrChange w:id="3593" w:author="AbbVie14" w:date="2025-05-09T10:30:00Z">
          <w:pPr>
            <w:pStyle w:val="EMEANormal"/>
          </w:pPr>
        </w:pPrChange>
        <w:rPr>
          <w:del w:id="3594" w:author="AbbVie14" w:date="2025-05-09T10:30:00Z"/>
        </w:rPr>
      </w:pPr>
    </w:p>
    <w:p w:rsidR="006224C2" w:rsidRPr="00295E71" w14:paraId="276297A6" w14:textId="77777777">
      <w:pPr>
        <w:pPrChange w:id="3595" w:author="AbbVie14" w:date="2025-05-09T10:30:00Z">
          <w:pPr>
            <w:pStyle w:val="Paragraph"/>
            <w:tabs>
              <w:tab w:val="left" w:pos="567"/>
              <w:tab w:val="left" w:pos="709"/>
              <w:tab w:val="left" w:pos="1276"/>
            </w:tabs>
            <w:spacing w:after="0" w:line="240" w:lineRule="auto"/>
            <w:jc w:val="center"/>
          </w:pPr>
        </w:pPrChange>
        <w:rPr>
          <w:del w:id="3596" w:author="AbbVie14" w:date="2025-05-09T10:30:00Z"/>
          <w:b/>
          <w:sz w:val="22"/>
          <w:szCs w:val="22"/>
        </w:rPr>
      </w:pPr>
      <w:del w:id="3597" w:author="AbbVie14" w:date="2025-05-09T10:30:00Z">
        <w:r w:rsidRPr="00295E71">
          <w:rPr>
            <w:b/>
            <w:sz w:val="22"/>
            <w:szCs w:val="22"/>
          </w:rPr>
          <w:delText>Tabella 1</w:delText>
        </w:r>
      </w:del>
      <w:del w:id="3598" w:author="AbbVie14" w:date="2025-05-09T10:30:00Z">
        <w:r w:rsidR="000203FD">
          <w:rPr>
            <w:b/>
            <w:sz w:val="22"/>
            <w:szCs w:val="22"/>
          </w:rPr>
          <w:delText>6</w:delText>
        </w:r>
      </w:del>
      <w:del w:id="3599" w:author="AbbVie14" w:date="2025-05-09T10:30:00Z">
        <w:r w:rsidRPr="00295E71">
          <w:rPr>
            <w:b/>
            <w:sz w:val="22"/>
            <w:szCs w:val="22"/>
          </w:rPr>
          <w:delText>:</w:delText>
        </w:r>
      </w:del>
      <w:del w:id="3600" w:author="AbbVie14" w:date="2025-05-09T10:30:00Z">
        <w:r w:rsidRPr="00295E71">
          <w:rPr>
            <w:b/>
            <w:sz w:val="22"/>
            <w:szCs w:val="22"/>
          </w:rPr>
          <w:tab/>
        </w:r>
      </w:del>
      <w:del w:id="3601" w:author="AbbVie14" w:date="2025-05-09T10:30:00Z">
        <w:r w:rsidRPr="00295E71">
          <w:rPr>
            <w:b/>
            <w:color w:val="000000"/>
            <w:sz w:val="22"/>
            <w:szCs w:val="22"/>
          </w:rPr>
          <w:delText>Percentuale di Pazienti</w:delText>
        </w:r>
      </w:del>
      <w:del w:id="3602" w:author="AbbVie14" w:date="2025-05-09T10:30:00Z">
        <w:r w:rsidRPr="00295E71">
          <w:rPr>
            <w:b/>
            <w:color w:val="000000"/>
            <w:sz w:val="22"/>
            <w:szCs w:val="22"/>
            <w:vertAlign w:val="superscript"/>
          </w:rPr>
          <w:delText>a</w:delText>
        </w:r>
      </w:del>
      <w:del w:id="3603" w:author="AbbVie14" w:date="2025-05-09T10:30:00Z">
        <w:r w:rsidRPr="00295E71">
          <w:rPr>
            <w:b/>
            <w:color w:val="000000"/>
            <w:sz w:val="22"/>
            <w:szCs w:val="22"/>
          </w:rPr>
          <w:delText xml:space="preserve"> che hanno ottenuto HiSCR</w:delText>
        </w:r>
      </w:del>
      <w:del w:id="3604" w:author="AbbVie14" w:date="2025-05-09T10:30:00Z">
        <w:r w:rsidRPr="00295E71">
          <w:rPr>
            <w:b/>
            <w:color w:val="000000"/>
            <w:sz w:val="22"/>
            <w:szCs w:val="22"/>
            <w:vertAlign w:val="superscript"/>
          </w:rPr>
          <w:delText xml:space="preserve">b </w:delText>
        </w:r>
      </w:del>
      <w:del w:id="3605" w:author="AbbVie14" w:date="2025-05-09T10:30:00Z">
        <w:r w:rsidRPr="00295E71">
          <w:rPr>
            <w:b/>
            <w:color w:val="000000"/>
            <w:sz w:val="22"/>
            <w:szCs w:val="22"/>
          </w:rPr>
          <w:delText>alle settimane 24 e 36 dopo il Riassegnamento del Trattamento alla settimana 12 da Humira ogni settimana</w:delText>
        </w:r>
      </w:del>
    </w:p>
    <w:p w:rsidR="006224C2" w:rsidRPr="00295E71" w14:paraId="0C6077DA" w14:textId="77777777">
      <w:pPr>
        <w:pPrChange w:id="3606" w:author="AbbVie14" w:date="2025-05-09T10:30:00Z">
          <w:pPr>
            <w:pStyle w:val="Paragraph"/>
            <w:spacing w:after="0" w:line="240" w:lineRule="auto"/>
            <w:ind w:left="567"/>
            <w:jc w:val="center"/>
          </w:pPr>
        </w:pPrChange>
        <w:rPr>
          <w:del w:id="3607" w:author="AbbVie14" w:date="2025-05-09T10:30:00Z"/>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7"/>
        <w:gridCol w:w="1980"/>
        <w:gridCol w:w="1980"/>
        <w:gridCol w:w="1855"/>
      </w:tblGrid>
      <w:tr w14:paraId="4CD2B77E" w14:textId="77777777">
        <w:tblPrEx>
          <w:tblW w:w="0" w:type="auto"/>
          <w:tblLayout w:type="fixed"/>
          <w:tblLook w:val="0000"/>
        </w:tblPrEx>
        <w:trPr>
          <w:tblHeader/>
          <w:del w:id="3608" w:author="AbbVie14" w:date="2025-05-09T10:30:00Z"/>
        </w:trPr>
        <w:tc>
          <w:tcPr>
            <w:tcW w:w="1437" w:type="dxa"/>
            <w:vAlign w:val="bottom"/>
          </w:tcPr>
          <w:p w:rsidR="006224C2" w:rsidRPr="00295E71" w14:paraId="6BE290AD" w14:textId="77777777">
            <w:pPr>
              <w:pPrChange w:id="3609" w:author="AbbVie14" w:date="2025-05-09T10:30:00Z">
                <w:pPr>
                  <w:pStyle w:val="TableLeft"/>
                  <w:spacing w:before="0" w:after="0"/>
                </w:pPr>
              </w:pPrChange>
              <w:rPr>
                <w:del w:id="3610" w:author="AbbVie14" w:date="2025-05-09T10:30:00Z"/>
                <w:b/>
                <w:sz w:val="22"/>
                <w:szCs w:val="22"/>
              </w:rPr>
            </w:pPr>
          </w:p>
        </w:tc>
        <w:tc>
          <w:tcPr>
            <w:tcW w:w="1980" w:type="dxa"/>
            <w:vAlign w:val="bottom"/>
          </w:tcPr>
          <w:p w:rsidR="006224C2" w:rsidRPr="00295E71" w14:paraId="6DD53CAC" w14:textId="77777777">
            <w:pPr>
              <w:pPrChange w:id="3611" w:author="AbbVie14" w:date="2025-05-09T10:30:00Z">
                <w:pPr>
                  <w:pStyle w:val="TableLeft"/>
                  <w:spacing w:before="0" w:after="0"/>
                  <w:jc w:val="center"/>
                </w:pPr>
              </w:pPrChange>
              <w:rPr>
                <w:del w:id="3612" w:author="AbbVie14" w:date="2025-05-09T10:30:00Z"/>
                <w:b/>
                <w:sz w:val="22"/>
                <w:szCs w:val="22"/>
              </w:rPr>
            </w:pPr>
            <w:del w:id="3613" w:author="AbbVie14" w:date="2025-05-09T10:30:00Z">
              <w:r w:rsidRPr="00295E71">
                <w:rPr>
                  <w:b/>
                  <w:sz w:val="22"/>
                  <w:szCs w:val="22"/>
                </w:rPr>
                <w:delText>Placebo</w:delText>
              </w:r>
            </w:del>
            <w:del w:id="3614" w:author="AbbVie14" w:date="2025-05-09T10:30:00Z">
              <w:r w:rsidRPr="00295E71">
                <w:rPr>
                  <w:b/>
                  <w:sz w:val="22"/>
                  <w:szCs w:val="22"/>
                </w:rPr>
                <w:br/>
                <w:delText>(trattamento sospeso)</w:delText>
              </w:r>
            </w:del>
            <w:del w:id="3615" w:author="AbbVie14" w:date="2025-05-09T10:30:00Z">
              <w:r w:rsidRPr="00295E71">
                <w:rPr>
                  <w:b/>
                  <w:sz w:val="22"/>
                  <w:szCs w:val="22"/>
                </w:rPr>
                <w:br/>
                <w:delText>N = 73</w:delText>
              </w:r>
            </w:del>
          </w:p>
        </w:tc>
        <w:tc>
          <w:tcPr>
            <w:tcW w:w="1980" w:type="dxa"/>
            <w:vAlign w:val="bottom"/>
          </w:tcPr>
          <w:p w:rsidR="006224C2" w:rsidRPr="00295E71" w14:paraId="28858E31" w14:textId="77777777">
            <w:pPr>
              <w:pPrChange w:id="3616" w:author="AbbVie14" w:date="2025-05-09T10:30:00Z">
                <w:pPr>
                  <w:pStyle w:val="TableLeft"/>
                  <w:spacing w:before="0" w:after="0"/>
                  <w:jc w:val="center"/>
                </w:pPr>
              </w:pPrChange>
              <w:rPr>
                <w:del w:id="3617" w:author="AbbVie14" w:date="2025-05-09T10:30:00Z"/>
                <w:b/>
                <w:sz w:val="22"/>
                <w:szCs w:val="22"/>
              </w:rPr>
            </w:pPr>
            <w:del w:id="3618" w:author="AbbVie14" w:date="2025-05-09T10:30:00Z">
              <w:r w:rsidRPr="00295E71">
                <w:rPr>
                  <w:b/>
                  <w:sz w:val="22"/>
                  <w:szCs w:val="22"/>
                </w:rPr>
                <w:delText>Humira 40 mg</w:delText>
              </w:r>
            </w:del>
            <w:del w:id="3619" w:author="AbbVie14" w:date="2025-05-09T10:30:00Z">
              <w:r w:rsidRPr="00295E71">
                <w:rPr>
                  <w:b/>
                  <w:sz w:val="22"/>
                  <w:szCs w:val="22"/>
                </w:rPr>
                <w:br/>
                <w:delText xml:space="preserve">a settimane alterne </w:delText>
              </w:r>
            </w:del>
            <w:del w:id="3620" w:author="AbbVie14" w:date="2025-05-09T10:30:00Z">
              <w:r w:rsidRPr="00295E71">
                <w:rPr>
                  <w:b/>
                  <w:sz w:val="22"/>
                  <w:szCs w:val="22"/>
                </w:rPr>
                <w:br/>
                <w:delText>N = 70</w:delText>
              </w:r>
            </w:del>
          </w:p>
        </w:tc>
        <w:tc>
          <w:tcPr>
            <w:tcW w:w="1855" w:type="dxa"/>
            <w:vAlign w:val="bottom"/>
          </w:tcPr>
          <w:p w:rsidR="006224C2" w:rsidRPr="00295E71" w14:paraId="26ACC372" w14:textId="77777777">
            <w:pPr>
              <w:pPrChange w:id="3621" w:author="AbbVie14" w:date="2025-05-09T10:30:00Z">
                <w:pPr>
                  <w:pStyle w:val="TableLeft"/>
                  <w:spacing w:before="0" w:after="0"/>
                  <w:jc w:val="center"/>
                </w:pPr>
              </w:pPrChange>
              <w:rPr>
                <w:del w:id="3622" w:author="AbbVie14" w:date="2025-05-09T10:30:00Z"/>
                <w:b/>
                <w:sz w:val="22"/>
                <w:szCs w:val="22"/>
              </w:rPr>
            </w:pPr>
            <w:del w:id="3623" w:author="AbbVie14" w:date="2025-05-09T10:30:00Z">
              <w:r w:rsidRPr="00295E71">
                <w:rPr>
                  <w:b/>
                  <w:sz w:val="22"/>
                  <w:szCs w:val="22"/>
                </w:rPr>
                <w:delText>Humira 40 mg</w:delText>
              </w:r>
            </w:del>
            <w:del w:id="3624" w:author="AbbVie14" w:date="2025-05-09T10:30:00Z">
              <w:r w:rsidRPr="00295E71">
                <w:rPr>
                  <w:b/>
                  <w:sz w:val="22"/>
                  <w:szCs w:val="22"/>
                </w:rPr>
                <w:br/>
                <w:delText>ogni settimana</w:delText>
              </w:r>
            </w:del>
            <w:del w:id="3625" w:author="AbbVie14" w:date="2025-05-09T10:30:00Z">
              <w:r w:rsidRPr="00295E71">
                <w:rPr>
                  <w:b/>
                  <w:sz w:val="22"/>
                  <w:szCs w:val="22"/>
                </w:rPr>
                <w:br/>
                <w:delText>N = 70</w:delText>
              </w:r>
            </w:del>
          </w:p>
        </w:tc>
      </w:tr>
      <w:tr w14:paraId="5091BEC3" w14:textId="77777777">
        <w:tblPrEx>
          <w:tblW w:w="0" w:type="auto"/>
          <w:tblLayout w:type="fixed"/>
          <w:tblLook w:val="0000"/>
        </w:tblPrEx>
        <w:trPr>
          <w:del w:id="3626" w:author="AbbVie14" w:date="2025-05-09T10:30:00Z"/>
        </w:trPr>
        <w:tc>
          <w:tcPr>
            <w:tcW w:w="1437" w:type="dxa"/>
          </w:tcPr>
          <w:p w:rsidR="006224C2" w:rsidRPr="00295E71" w14:paraId="4AD636C3" w14:textId="77777777">
            <w:pPr>
              <w:pPrChange w:id="3627" w:author="AbbVie14" w:date="2025-05-09T10:30:00Z">
                <w:pPr>
                  <w:pStyle w:val="TableLeft"/>
                  <w:spacing w:before="0" w:after="0"/>
                </w:pPr>
              </w:pPrChange>
              <w:rPr>
                <w:del w:id="3628" w:author="AbbVie14" w:date="2025-05-09T10:30:00Z"/>
                <w:sz w:val="22"/>
                <w:szCs w:val="22"/>
              </w:rPr>
            </w:pPr>
            <w:del w:id="3629" w:author="AbbVie14" w:date="2025-05-09T10:30:00Z">
              <w:r w:rsidRPr="00295E71">
                <w:rPr>
                  <w:sz w:val="22"/>
                  <w:szCs w:val="22"/>
                </w:rPr>
                <w:delText>Settimana 24</w:delText>
              </w:r>
            </w:del>
          </w:p>
        </w:tc>
        <w:tc>
          <w:tcPr>
            <w:tcW w:w="1980" w:type="dxa"/>
          </w:tcPr>
          <w:p w:rsidR="006224C2" w:rsidRPr="00295E71" w14:paraId="16FFB674" w14:textId="77777777">
            <w:pPr>
              <w:pPrChange w:id="3630" w:author="AbbVie14" w:date="2025-05-09T10:30:00Z">
                <w:pPr>
                  <w:pStyle w:val="TableLeft"/>
                  <w:spacing w:before="0" w:after="0"/>
                  <w:jc w:val="center"/>
                </w:pPr>
              </w:pPrChange>
              <w:rPr>
                <w:del w:id="3631" w:author="AbbVie14" w:date="2025-05-09T10:30:00Z"/>
                <w:sz w:val="22"/>
                <w:szCs w:val="22"/>
              </w:rPr>
            </w:pPr>
            <w:del w:id="3632" w:author="AbbVie14" w:date="2025-05-09T10:30:00Z">
              <w:r w:rsidRPr="00295E71">
                <w:rPr>
                  <w:sz w:val="22"/>
                  <w:szCs w:val="22"/>
                </w:rPr>
                <w:delText>24 (32,9%)</w:delText>
              </w:r>
            </w:del>
          </w:p>
        </w:tc>
        <w:tc>
          <w:tcPr>
            <w:tcW w:w="1980" w:type="dxa"/>
          </w:tcPr>
          <w:p w:rsidR="006224C2" w:rsidRPr="00295E71" w14:paraId="6B072AEC" w14:textId="77777777">
            <w:pPr>
              <w:pPrChange w:id="3633" w:author="AbbVie14" w:date="2025-05-09T10:30:00Z">
                <w:pPr>
                  <w:pStyle w:val="TableLeft"/>
                  <w:spacing w:before="0" w:after="0"/>
                  <w:jc w:val="center"/>
                </w:pPr>
              </w:pPrChange>
              <w:rPr>
                <w:del w:id="3634" w:author="AbbVie14" w:date="2025-05-09T10:30:00Z"/>
                <w:sz w:val="22"/>
                <w:szCs w:val="22"/>
              </w:rPr>
            </w:pPr>
            <w:del w:id="3635" w:author="AbbVie14" w:date="2025-05-09T10:30:00Z">
              <w:r w:rsidRPr="00295E71">
                <w:rPr>
                  <w:sz w:val="22"/>
                  <w:szCs w:val="22"/>
                </w:rPr>
                <w:delText>36 (51,4%)</w:delText>
              </w:r>
            </w:del>
          </w:p>
        </w:tc>
        <w:tc>
          <w:tcPr>
            <w:tcW w:w="1855" w:type="dxa"/>
          </w:tcPr>
          <w:p w:rsidR="006224C2" w:rsidRPr="00295E71" w14:paraId="0D069513" w14:textId="77777777">
            <w:pPr>
              <w:pPrChange w:id="3636" w:author="AbbVie14" w:date="2025-05-09T10:30:00Z">
                <w:pPr>
                  <w:pStyle w:val="TableLeft"/>
                  <w:spacing w:before="0" w:after="0"/>
                  <w:jc w:val="center"/>
                </w:pPr>
              </w:pPrChange>
              <w:rPr>
                <w:del w:id="3637" w:author="AbbVie14" w:date="2025-05-09T10:30:00Z"/>
                <w:sz w:val="22"/>
                <w:szCs w:val="22"/>
              </w:rPr>
            </w:pPr>
            <w:del w:id="3638" w:author="AbbVie14" w:date="2025-05-09T10:30:00Z">
              <w:r w:rsidRPr="00295E71">
                <w:rPr>
                  <w:sz w:val="22"/>
                  <w:szCs w:val="22"/>
                </w:rPr>
                <w:delText>40 (57,1%)</w:delText>
              </w:r>
            </w:del>
          </w:p>
        </w:tc>
      </w:tr>
      <w:tr w14:paraId="0899CE66" w14:textId="77777777">
        <w:tblPrEx>
          <w:tblW w:w="0" w:type="auto"/>
          <w:tblLayout w:type="fixed"/>
          <w:tblLook w:val="0000"/>
        </w:tblPrEx>
        <w:trPr>
          <w:del w:id="3639" w:author="AbbVie14" w:date="2025-05-09T10:30:00Z"/>
        </w:trPr>
        <w:tc>
          <w:tcPr>
            <w:tcW w:w="1437" w:type="dxa"/>
          </w:tcPr>
          <w:p w:rsidR="006224C2" w:rsidRPr="00295E71" w14:paraId="025015E9" w14:textId="77777777">
            <w:pPr>
              <w:pPrChange w:id="3640" w:author="AbbVie14" w:date="2025-05-09T10:30:00Z">
                <w:pPr>
                  <w:pStyle w:val="TableLeft"/>
                  <w:spacing w:before="0" w:after="0"/>
                </w:pPr>
              </w:pPrChange>
              <w:rPr>
                <w:del w:id="3641" w:author="AbbVie14" w:date="2025-05-09T10:30:00Z"/>
                <w:sz w:val="22"/>
                <w:szCs w:val="22"/>
              </w:rPr>
            </w:pPr>
            <w:del w:id="3642" w:author="AbbVie14" w:date="2025-05-09T10:30:00Z">
              <w:r w:rsidRPr="00295E71">
                <w:rPr>
                  <w:sz w:val="22"/>
                  <w:szCs w:val="22"/>
                </w:rPr>
                <w:delText>Settimana 36</w:delText>
              </w:r>
            </w:del>
          </w:p>
        </w:tc>
        <w:tc>
          <w:tcPr>
            <w:tcW w:w="1980" w:type="dxa"/>
          </w:tcPr>
          <w:p w:rsidR="006224C2" w:rsidRPr="00295E71" w14:paraId="556541AB" w14:textId="77777777">
            <w:pPr>
              <w:pPrChange w:id="3643" w:author="AbbVie14" w:date="2025-05-09T10:30:00Z">
                <w:pPr>
                  <w:pStyle w:val="TableLeft"/>
                  <w:spacing w:before="0" w:after="0"/>
                  <w:jc w:val="center"/>
                </w:pPr>
              </w:pPrChange>
              <w:rPr>
                <w:del w:id="3644" w:author="AbbVie14" w:date="2025-05-09T10:30:00Z"/>
                <w:sz w:val="22"/>
                <w:szCs w:val="22"/>
              </w:rPr>
            </w:pPr>
            <w:del w:id="3645" w:author="AbbVie14" w:date="2025-05-09T10:30:00Z">
              <w:r w:rsidRPr="00295E71">
                <w:rPr>
                  <w:sz w:val="22"/>
                  <w:szCs w:val="22"/>
                </w:rPr>
                <w:delText>22 (30,1%)</w:delText>
              </w:r>
            </w:del>
          </w:p>
        </w:tc>
        <w:tc>
          <w:tcPr>
            <w:tcW w:w="1980" w:type="dxa"/>
          </w:tcPr>
          <w:p w:rsidR="006224C2" w:rsidRPr="00295E71" w14:paraId="2895158A" w14:textId="77777777">
            <w:pPr>
              <w:pPrChange w:id="3646" w:author="AbbVie14" w:date="2025-05-09T10:30:00Z">
                <w:pPr>
                  <w:pStyle w:val="TableLeft"/>
                  <w:spacing w:before="0" w:after="0"/>
                  <w:jc w:val="center"/>
                </w:pPr>
              </w:pPrChange>
              <w:rPr>
                <w:del w:id="3647" w:author="AbbVie14" w:date="2025-05-09T10:30:00Z"/>
                <w:sz w:val="22"/>
                <w:szCs w:val="22"/>
              </w:rPr>
            </w:pPr>
            <w:del w:id="3648" w:author="AbbVie14" w:date="2025-05-09T10:30:00Z">
              <w:r w:rsidRPr="00295E71">
                <w:rPr>
                  <w:sz w:val="22"/>
                  <w:szCs w:val="22"/>
                </w:rPr>
                <w:delText>28 (40,0%)</w:delText>
              </w:r>
            </w:del>
          </w:p>
        </w:tc>
        <w:tc>
          <w:tcPr>
            <w:tcW w:w="1855" w:type="dxa"/>
          </w:tcPr>
          <w:p w:rsidR="006224C2" w:rsidRPr="00295E71" w14:paraId="7A68267F" w14:textId="77777777">
            <w:pPr>
              <w:pPrChange w:id="3649" w:author="AbbVie14" w:date="2025-05-09T10:30:00Z">
                <w:pPr>
                  <w:pStyle w:val="TableLeft"/>
                  <w:spacing w:before="0" w:after="0"/>
                  <w:jc w:val="center"/>
                </w:pPr>
              </w:pPrChange>
              <w:rPr>
                <w:del w:id="3650" w:author="AbbVie14" w:date="2025-05-09T10:30:00Z"/>
                <w:sz w:val="22"/>
                <w:szCs w:val="22"/>
              </w:rPr>
            </w:pPr>
            <w:del w:id="3651" w:author="AbbVie14" w:date="2025-05-09T10:30:00Z">
              <w:r w:rsidRPr="00295E71">
                <w:rPr>
                  <w:sz w:val="22"/>
                  <w:szCs w:val="22"/>
                </w:rPr>
                <w:delText>39 (55,7%)</w:delText>
              </w:r>
            </w:del>
          </w:p>
        </w:tc>
      </w:tr>
      <w:tr w14:paraId="7F0497B1" w14:textId="77777777">
        <w:tblPrEx>
          <w:tblW w:w="0" w:type="auto"/>
          <w:tblLayout w:type="fixed"/>
          <w:tblLook w:val="0000"/>
        </w:tblPrEx>
        <w:trPr>
          <w:del w:id="3652" w:author="AbbVie14" w:date="2025-05-09T10:30:00Z"/>
        </w:trPr>
        <w:tc>
          <w:tcPr>
            <w:tcW w:w="7252" w:type="dxa"/>
            <w:gridSpan w:val="4"/>
          </w:tcPr>
          <w:p w:rsidR="006224C2" w:rsidRPr="00295E71" w14:paraId="0F8FE710" w14:textId="77777777">
            <w:pPr>
              <w:pPrChange w:id="3653" w:author="AbbVie14" w:date="2025-05-09T10:30:00Z">
                <w:pPr>
                  <w:pStyle w:val="TableFootnoteLetter"/>
                  <w:numPr>
                    <w:numId w:val="57"/>
                  </w:numPr>
                  <w:spacing w:before="0"/>
                  <w:ind w:left="333" w:hanging="270"/>
                </w:pPr>
              </w:pPrChange>
              <w:rPr>
                <w:del w:id="3654" w:author="AbbVie14" w:date="2025-05-09T10:30:00Z"/>
                <w:sz w:val="22"/>
                <w:szCs w:val="22"/>
              </w:rPr>
            </w:pPr>
            <w:del w:id="3655" w:author="AbbVie14" w:date="2025-05-09T10:30:00Z">
              <w:r w:rsidRPr="00295E71">
                <w:rPr>
                  <w:sz w:val="22"/>
                  <w:szCs w:val="22"/>
                </w:rPr>
                <w:delText>Pazienti con almeno una risposta parziale ad Humira 40 mg ogni settimana dopo 12 settimane di trattamento.</w:delText>
              </w:r>
            </w:del>
          </w:p>
          <w:p w:rsidR="006224C2" w:rsidRPr="00295E71" w14:paraId="1EA019A5" w14:textId="77777777">
            <w:pPr>
              <w:pPrChange w:id="3656" w:author="AbbVie14" w:date="2025-05-09T10:30:00Z">
                <w:pPr>
                  <w:pStyle w:val="TableFootnoteLetter"/>
                  <w:numPr>
                    <w:numId w:val="57"/>
                  </w:numPr>
                  <w:spacing w:before="0"/>
                  <w:ind w:left="333" w:hanging="270"/>
                </w:pPr>
              </w:pPrChange>
              <w:rPr>
                <w:del w:id="3657" w:author="AbbVie14" w:date="2025-05-09T10:30:00Z"/>
                <w:sz w:val="22"/>
                <w:szCs w:val="22"/>
              </w:rPr>
            </w:pPr>
            <w:del w:id="3658" w:author="AbbVie14" w:date="2025-05-09T10:30:00Z">
              <w:r w:rsidRPr="00295E71">
                <w:rPr>
                  <w:sz w:val="22"/>
                  <w:szCs w:val="22"/>
                </w:rPr>
                <w:delText>Pazienti che rispettavano i criteri specificati nel protocollo per la perdita di risposta o per la mancanza di miglioramento ai quali è stato richiesto di interrompere gli studi ed erano stati considerati come non-responders.</w:delText>
              </w:r>
            </w:del>
          </w:p>
        </w:tc>
      </w:tr>
    </w:tbl>
    <w:p w:rsidR="006224C2" w:rsidRPr="00295E71" w14:paraId="6E3C6FD0" w14:textId="77777777">
      <w:pPr>
        <w:pPrChange w:id="3659" w:author="AbbVie14" w:date="2025-05-09T10:30:00Z">
          <w:pPr>
            <w:pStyle w:val="TableFootnoteLetter"/>
            <w:numPr>
              <w:numId w:val="0"/>
            </w:numPr>
            <w:tabs>
              <w:tab w:val="num" w:pos="720"/>
            </w:tabs>
            <w:spacing w:before="0"/>
            <w:ind w:left="567" w:firstLine="0"/>
          </w:pPr>
        </w:pPrChange>
        <w:rPr>
          <w:del w:id="3660" w:author="AbbVie14" w:date="2025-05-09T10:30:00Z"/>
          <w:sz w:val="22"/>
          <w:szCs w:val="22"/>
        </w:rPr>
      </w:pPr>
      <w:del w:id="3661" w:author="AbbVie14" w:date="2025-05-09T10:30:00Z">
        <w:r w:rsidRPr="00295E71">
          <w:rPr>
            <w:sz w:val="22"/>
            <w:szCs w:val="22"/>
          </w:rPr>
          <w:tab/>
        </w:r>
      </w:del>
      <w:del w:id="3662" w:author="AbbVie14" w:date="2025-05-09T10:30:00Z">
        <w:r w:rsidRPr="00295E71">
          <w:rPr>
            <w:sz w:val="22"/>
            <w:szCs w:val="22"/>
          </w:rPr>
          <w:tab/>
        </w:r>
      </w:del>
    </w:p>
    <w:p w:rsidR="006224C2" w:rsidRPr="00295E71" w14:paraId="1F9A6AFC" w14:textId="77777777">
      <w:pPr>
        <w:jc w:val="left"/>
        <w:pPrChange w:id="3663" w:author="AbbVie14" w:date="2025-05-09T10:30:00Z">
          <w:pPr>
            <w:jc w:val="both"/>
          </w:pPr>
        </w:pPrChange>
        <w:rPr>
          <w:del w:id="3664" w:author="AbbVie14" w:date="2025-05-09T10:30:00Z"/>
          <w:sz w:val="22"/>
          <w:szCs w:val="22"/>
          <w:lang w:eastAsia="en-US"/>
        </w:rPr>
      </w:pPr>
      <w:del w:id="3665" w:author="AbbVie14" w:date="2025-05-09T10:30:00Z">
        <w:r w:rsidRPr="00295E71">
          <w:rPr>
            <w:sz w:val="22"/>
            <w:szCs w:val="22"/>
            <w:lang w:eastAsia="en-US"/>
          </w:rPr>
          <w:delText xml:space="preserve">Tra i pazienti con una risposta parziale alla settimana 12 e che hanno ricevuto una terapia settimanale senza interruzione con Humira, la percentuale di HiSCR alla settimana 48 era del </w:delText>
        </w:r>
      </w:del>
      <w:del w:id="3666" w:author="AbbVie14" w:date="2025-05-09T10:30:00Z">
        <w:r w:rsidRPr="00295E71" w:rsidR="00176CDB">
          <w:rPr>
            <w:sz w:val="22"/>
            <w:szCs w:val="22"/>
            <w:lang w:eastAsia="en-US"/>
          </w:rPr>
          <w:delText xml:space="preserve">68,3% ed alla settimana 96 era del 65,1%. Nel trattamento a lungo termine con Humira 40 mg </w:delText>
        </w:r>
      </w:del>
      <w:del w:id="3667" w:author="AbbVie14" w:date="2025-05-09T10:30:00Z">
        <w:r w:rsidRPr="00295E71" w:rsidR="00E5212B">
          <w:rPr>
            <w:sz w:val="22"/>
            <w:szCs w:val="22"/>
            <w:lang w:eastAsia="en-US"/>
          </w:rPr>
          <w:delText xml:space="preserve">a settimana </w:delText>
        </w:r>
      </w:del>
      <w:del w:id="3668" w:author="AbbVie14" w:date="2025-05-09T10:30:00Z">
        <w:r w:rsidRPr="00295E71" w:rsidR="00176CDB">
          <w:rPr>
            <w:sz w:val="22"/>
            <w:szCs w:val="22"/>
            <w:lang w:eastAsia="en-US"/>
          </w:rPr>
          <w:delText>per 96 settimane non sono emerse nuove problematiche di sicurezza.</w:delText>
        </w:r>
      </w:del>
    </w:p>
    <w:p w:rsidR="001907B3" w:rsidRPr="00295E71" w14:paraId="02071919" w14:textId="77777777">
      <w:pPr>
        <w:jc w:val="left"/>
        <w:pPrChange w:id="3669" w:author="AbbVie14" w:date="2025-05-09T10:30:00Z">
          <w:pPr>
            <w:jc w:val="both"/>
          </w:pPr>
        </w:pPrChange>
        <w:rPr>
          <w:del w:id="3670" w:author="AbbVie14" w:date="2025-05-09T10:30:00Z"/>
          <w:sz w:val="22"/>
          <w:szCs w:val="22"/>
        </w:rPr>
      </w:pPr>
    </w:p>
    <w:p w:rsidR="006224C2" w:rsidRPr="00287663" w14:paraId="655A7580" w14:textId="77777777">
      <w:pPr>
        <w:jc w:val="left"/>
        <w:pPrChange w:id="3671" w:author="AbbVie14" w:date="2025-05-09T10:30:00Z">
          <w:pPr>
            <w:jc w:val="both"/>
          </w:pPr>
        </w:pPrChange>
        <w:rPr>
          <w:del w:id="3672" w:author="AbbVie14" w:date="2025-05-09T10:30:00Z"/>
          <w:sz w:val="22"/>
          <w:szCs w:val="22"/>
        </w:rPr>
      </w:pPr>
      <w:del w:id="3673" w:author="AbbVie14" w:date="2025-05-09T10:30:00Z">
        <w:r w:rsidRPr="00295E71">
          <w:rPr>
            <w:sz w:val="22"/>
            <w:szCs w:val="22"/>
            <w:lang w:eastAsia="en-US"/>
          </w:rPr>
          <w:delText xml:space="preserve">Tra i pazienti negli Studi HS-I e HS-II che avevano interrotto il trattamento con Humira alla settimana 12, la </w:delText>
        </w:r>
      </w:del>
      <w:del w:id="3674" w:author="AbbVie14" w:date="2025-05-09T10:30:00Z">
        <w:r w:rsidRPr="006461E3">
          <w:rPr>
            <w:sz w:val="22"/>
            <w:szCs w:val="22"/>
            <w:lang w:eastAsia="en-US"/>
          </w:rPr>
          <w:delText>percentuale di HiSCR 12 settimane dopo la ripresa di Humira 40 mg ogni settimana, è ritornata ai livelli simili a quelli osservati prima della sospensione (56,0%).</w:delText>
        </w:r>
      </w:del>
    </w:p>
    <w:p w:rsidR="006224C2" w:rsidRPr="00287663" w:rsidP="00AD7AF0" w14:paraId="5A5A89CA" w14:textId="77777777">
      <w:pPr>
        <w:rPr>
          <w:del w:id="3675" w:author="AbbVie14" w:date="2025-05-09T10:30:00Z"/>
          <w:i/>
          <w:sz w:val="22"/>
          <w:szCs w:val="22"/>
        </w:rPr>
      </w:pPr>
    </w:p>
    <w:p w:rsidR="006224C2" w:rsidRPr="00295E71" w14:paraId="5E64F681" w14:textId="77777777">
      <w:pPr>
        <w:tabs>
          <w:tab w:val="clear" w:pos="567"/>
        </w:tabs>
        <w:jc w:val="left"/>
        <w:pPrChange w:id="3676" w:author="AbbVie14" w:date="2025-05-09T10:30:00Z">
          <w:pPr>
            <w:tabs>
              <w:tab w:val="left" w:pos="567"/>
            </w:tabs>
            <w:jc w:val="both"/>
          </w:pPr>
        </w:pPrChange>
        <w:rPr>
          <w:del w:id="3677" w:author="AbbVie14" w:date="2025-05-09T10:30:00Z"/>
          <w:i/>
          <w:sz w:val="22"/>
          <w:szCs w:val="22"/>
        </w:rPr>
      </w:pPr>
      <w:del w:id="3678" w:author="AbbVie14" w:date="2025-05-09T10:30:00Z">
        <w:r w:rsidRPr="00287663">
          <w:rPr>
            <w:i/>
            <w:sz w:val="22"/>
            <w:szCs w:val="22"/>
          </w:rPr>
          <w:delText>Malattia di Crohn negli adulti</w:delText>
        </w:r>
      </w:del>
    </w:p>
    <w:p w:rsidR="006224C2" w:rsidRPr="00295E71" w14:paraId="625190D2" w14:textId="77777777">
      <w:pPr>
        <w:tabs>
          <w:tab w:val="clear" w:pos="567"/>
        </w:tabs>
        <w:jc w:val="left"/>
        <w:pPrChange w:id="3679" w:author="AbbVie14" w:date="2025-05-09T10:30:00Z">
          <w:pPr>
            <w:tabs>
              <w:tab w:val="left" w:pos="567"/>
            </w:tabs>
            <w:jc w:val="both"/>
          </w:pPr>
        </w:pPrChange>
        <w:rPr>
          <w:del w:id="3680" w:author="AbbVie14" w:date="2025-05-09T10:30:00Z"/>
          <w:sz w:val="22"/>
          <w:szCs w:val="22"/>
        </w:rPr>
      </w:pPr>
    </w:p>
    <w:p w:rsidR="006224C2" w:rsidRPr="00295E71" w14:paraId="6E2DBFF2" w14:textId="77777777">
      <w:pPr>
        <w:tabs>
          <w:tab w:val="clear" w:pos="567"/>
        </w:tabs>
        <w:jc w:val="left"/>
        <w:pPrChange w:id="3681" w:author="AbbVie14" w:date="2025-05-09T10:30:00Z">
          <w:pPr>
            <w:tabs>
              <w:tab w:val="left" w:pos="567"/>
            </w:tabs>
            <w:jc w:val="both"/>
          </w:pPr>
        </w:pPrChange>
        <w:rPr>
          <w:del w:id="3682" w:author="AbbVie14" w:date="2025-05-09T10:30:00Z"/>
          <w:sz w:val="22"/>
          <w:szCs w:val="22"/>
        </w:rPr>
      </w:pPr>
      <w:del w:id="3683" w:author="AbbVie14" w:date="2025-05-09T10:30:00Z">
        <w:r w:rsidRPr="00295E71">
          <w:rPr>
            <w:sz w:val="22"/>
            <w:szCs w:val="22"/>
          </w:rPr>
          <w:delText xml:space="preserve">La sicurezza e l’efficacia di Humira sono state valutate in oltre 1500 pazienti affetti da Malattia di Crohn, da moderatamente a gravemente attiva (Crohn’s Disease Activity Index = Indice di Attività della Malattia di Crohn (CDAI) </w:delText>
        </w:r>
      </w:del>
      <w:del w:id="3684" w:author="AbbVie14" w:date="2025-05-09T10:30:00Z">
        <w:r w:rsidRPr="00295E71">
          <w:rPr>
            <w:rFonts w:ascii="Symbol" w:hAnsi="Symbol"/>
            <w:sz w:val="22"/>
            <w:szCs w:val="22"/>
          </w:rPr>
          <w:sym w:font="Symbol" w:char="F0B3"/>
        </w:r>
      </w:del>
      <w:del w:id="3685" w:author="AbbVie14" w:date="2025-05-09T10:30:00Z">
        <w:r w:rsidRPr="00295E71">
          <w:rPr>
            <w:sz w:val="22"/>
            <w:szCs w:val="22"/>
          </w:rPr>
          <w:delText xml:space="preserve"> 220 e </w:delText>
        </w:r>
      </w:del>
      <w:del w:id="3686" w:author="AbbVie14" w:date="2025-05-09T10:30:00Z">
        <w:r w:rsidRPr="00295E71">
          <w:rPr>
            <w:rFonts w:ascii="Symbol" w:hAnsi="Symbol"/>
            <w:sz w:val="22"/>
            <w:szCs w:val="22"/>
          </w:rPr>
          <w:sym w:font="Symbol" w:char="F0A3"/>
        </w:r>
      </w:del>
      <w:del w:id="3687" w:author="AbbVie14" w:date="2025-05-09T10:30:00Z">
        <w:r w:rsidRPr="00295E71">
          <w:rPr>
            <w:sz w:val="22"/>
            <w:szCs w:val="22"/>
          </w:rPr>
          <w:delText> 450) in studi randomizzati, in doppio cieco, controllati con placebo. È stata consentita la somministrazione concomitante di dosi costanti di aminosalicilati, di corticosteroidi, e/o agenti immunomodulatori e l’80% dei pazienti ha continuato ad assumere almeno uno di questi farmaci</w:delText>
        </w:r>
      </w:del>
    </w:p>
    <w:p w:rsidR="006224C2" w:rsidRPr="00295E71" w14:paraId="6C29AA30" w14:textId="77777777">
      <w:pPr>
        <w:tabs>
          <w:tab w:val="clear" w:pos="567"/>
        </w:tabs>
        <w:jc w:val="left"/>
        <w:pPrChange w:id="3688" w:author="AbbVie14" w:date="2025-05-09T10:30:00Z">
          <w:pPr>
            <w:tabs>
              <w:tab w:val="left" w:pos="567"/>
            </w:tabs>
            <w:jc w:val="both"/>
          </w:pPr>
        </w:pPrChange>
        <w:rPr>
          <w:del w:id="3689" w:author="AbbVie14" w:date="2025-05-09T10:30:00Z"/>
          <w:sz w:val="22"/>
          <w:szCs w:val="22"/>
        </w:rPr>
      </w:pPr>
    </w:p>
    <w:p w:rsidR="006224C2" w:rsidRPr="00295E71" w:rsidP="00AD7AF0" w14:paraId="1572D645" w14:textId="77777777">
      <w:pPr>
        <w:rPr>
          <w:del w:id="3690" w:author="AbbVie14" w:date="2025-05-09T10:30:00Z"/>
          <w:sz w:val="22"/>
          <w:szCs w:val="22"/>
        </w:rPr>
      </w:pPr>
      <w:del w:id="3691" w:author="AbbVie14" w:date="2025-05-09T10:30:00Z">
        <w:r w:rsidRPr="00295E71">
          <w:rPr>
            <w:sz w:val="22"/>
            <w:szCs w:val="22"/>
          </w:rPr>
          <w:delText>L’induzione della remissione clinica (definita come CDAI &lt; 150) è stata valutata in 2 studi, studio CD I (CLASSIC I) e studio CD II (GAIN). Nello studio CD I, 299 pazienti mai trattati con anti-TNF.sono stati randomizzati ad uno dei quattro gruppi di trattamento: il gruppo trattato con</w:delText>
        </w:r>
      </w:del>
      <w:del w:id="3692" w:author="AbbVie14" w:date="2025-05-09T10:30:00Z">
        <w:r w:rsidR="00CB53AC">
          <w:rPr>
            <w:sz w:val="22"/>
            <w:szCs w:val="22"/>
          </w:rPr>
          <w:delText xml:space="preserve"> </w:delText>
        </w:r>
      </w:del>
      <w:del w:id="3693" w:author="AbbVie14" w:date="2025-05-09T10:30:00Z">
        <w:r w:rsidRPr="00295E71">
          <w:rPr>
            <w:sz w:val="22"/>
            <w:szCs w:val="22"/>
          </w:rPr>
          <w:delText>placebo alla settimana 0 e 2, il gruppo trattato con 160 mg di Humira alla settimana 0 e con 80 mg alla settimana 2, il gruppo trattato con 80 mg alla settimana 0 e 40 mg alla settimana 2, ed il gruppo trattato con 40 mg alla settimana 0 e 20 mg alla settimana 2. Nello Studio CD II, 325 dei pazienti che avevano perso la risposta o si sono rivelati intolleranti ad infliximab sono stati randomizzati per ricevere 160 mg di Humira alla settimana 0 e 80 mg di Humira alla settimana 2 oppure placebo alla settimana 0 ed alla settimana 2. I non-responders primari sono stati esclusi dagli studi e, di conseguenza, questi pazienti non sono stati sottoposti ad ulteriori valutazioni.</w:delText>
        </w:r>
      </w:del>
    </w:p>
    <w:p w:rsidR="006224C2" w:rsidRPr="00295E71" w14:paraId="7192DF05" w14:textId="77777777">
      <w:pPr>
        <w:pPrChange w:id="3694" w:author="AbbVie14" w:date="2025-05-09T10:30:00Z">
          <w:pPr>
            <w:pStyle w:val="EMEANormal"/>
            <w:jc w:val="both"/>
          </w:pPr>
        </w:pPrChange>
        <w:rPr>
          <w:del w:id="3695" w:author="AbbVie14" w:date="2025-05-09T10:30:00Z"/>
        </w:rPr>
      </w:pPr>
    </w:p>
    <w:p w:rsidR="006224C2" w:rsidRPr="00295E71" w14:paraId="2A82A75F" w14:textId="77777777">
      <w:pPr>
        <w:pPrChange w:id="3696" w:author="AbbVie14" w:date="2025-05-09T10:30:00Z">
          <w:pPr>
            <w:pStyle w:val="EMEANormal"/>
            <w:keepNext/>
            <w:keepLines/>
            <w:jc w:val="both"/>
          </w:pPr>
        </w:pPrChange>
        <w:rPr>
          <w:del w:id="3697" w:author="AbbVie14" w:date="2025-05-09T10:30:00Z"/>
        </w:rPr>
      </w:pPr>
      <w:del w:id="3698" w:author="AbbVie14" w:date="2025-05-09T10:30:00Z">
        <w:r w:rsidRPr="00295E71">
          <w:delText>Il mantenimento della remissione clinica è stato valutato nello studio CD III (CHARM).</w:delText>
        </w:r>
      </w:del>
      <w:del w:id="3699" w:author="AbbVie14" w:date="2025-05-09T10:30:00Z">
        <w:r w:rsidRPr="00295E71" w:rsidR="00AF7A05">
          <w:delText xml:space="preserve"> </w:delText>
        </w:r>
      </w:del>
      <w:del w:id="3700" w:author="AbbVie14" w:date="2025-05-09T10:30:00Z">
        <w:r w:rsidRPr="00295E71">
          <w:delText>Nello studio CD III, 854 pazienti hanno ricevuto in aperto 80 mg di Humira alla settimana 0 e 40 mg alla settimana 2. Alla settimana 4 i pazienti sono stati randomizzati per ricevere</w:delText>
        </w:r>
      </w:del>
      <w:del w:id="3701" w:author="AbbVie14" w:date="2025-05-09T10:30:00Z">
        <w:r w:rsidRPr="00295E71" w:rsidR="00AF7A05">
          <w:delText xml:space="preserve"> </w:delText>
        </w:r>
      </w:del>
      <w:del w:id="3702" w:author="AbbVie14" w:date="2025-05-09T10:30:00Z">
        <w:r w:rsidRPr="00295E71">
          <w:delText>40 mg a settimane alterne, 40 mg ogni settimana, oppure il placebo;</w:delText>
        </w:r>
      </w:del>
      <w:del w:id="3703" w:author="AbbVie14" w:date="2025-05-09T10:30:00Z">
        <w:r w:rsidRPr="00295E71" w:rsidR="00AF7A05">
          <w:delText xml:space="preserve"> </w:delText>
        </w:r>
      </w:del>
      <w:del w:id="3704" w:author="AbbVie14" w:date="2025-05-09T10:30:00Z">
        <w:r w:rsidRPr="00295E71">
          <w:delText xml:space="preserve">la durata totale dello studio è stata pari a 56 settimane. </w:delText>
        </w:r>
      </w:del>
    </w:p>
    <w:p w:rsidR="006224C2" w:rsidRPr="00295E71" w14:paraId="715BB85B" w14:textId="77777777">
      <w:pPr>
        <w:pPrChange w:id="3705" w:author="AbbVie14" w:date="2025-05-09T10:30:00Z">
          <w:pPr>
            <w:pStyle w:val="EMEANormal"/>
            <w:jc w:val="both"/>
          </w:pPr>
        </w:pPrChange>
        <w:rPr>
          <w:del w:id="3706" w:author="AbbVie14" w:date="2025-05-09T10:30:00Z"/>
        </w:rPr>
      </w:pPr>
    </w:p>
    <w:p w:rsidR="006224C2" w:rsidRPr="00295E71" w14:paraId="66BC7AE2" w14:textId="77777777">
      <w:pPr>
        <w:pPrChange w:id="3707" w:author="AbbVie14" w:date="2025-05-09T10:30:00Z">
          <w:pPr>
            <w:pStyle w:val="EMEANormal"/>
            <w:keepNext/>
            <w:keepLines/>
            <w:jc w:val="both"/>
          </w:pPr>
        </w:pPrChange>
        <w:rPr>
          <w:del w:id="3708" w:author="AbbVie14" w:date="2025-05-09T10:30:00Z"/>
        </w:rPr>
      </w:pPr>
      <w:del w:id="3709" w:author="AbbVie14" w:date="2025-05-09T10:30:00Z">
        <w:r w:rsidRPr="00295E71">
          <w:delText xml:space="preserve">I pazienti </w:delText>
        </w:r>
      </w:del>
      <w:del w:id="3710" w:author="AbbVie14" w:date="2025-05-09T10:30:00Z">
        <w:r w:rsidRPr="00295E71">
          <w:rPr>
            <w:color w:val="000000"/>
          </w:rPr>
          <w:delText xml:space="preserve">che hanno manifestato una risposta clinica </w:delText>
        </w:r>
      </w:del>
      <w:del w:id="3711" w:author="AbbVie14" w:date="2025-05-09T10:30:00Z">
        <w:r w:rsidRPr="00295E71">
          <w:delText xml:space="preserve">(diminuzione </w:delText>
        </w:r>
      </w:del>
      <w:del w:id="3712" w:author="AbbVie14" w:date="2025-05-09T10:30:00Z">
        <w:r w:rsidRPr="00295E71">
          <w:rPr>
            <w:color w:val="000000"/>
          </w:rPr>
          <w:delText xml:space="preserve">dell’indice </w:delText>
        </w:r>
      </w:del>
      <w:del w:id="3713" w:author="AbbVie14" w:date="2025-05-09T10:30:00Z">
        <w:r w:rsidRPr="00295E71">
          <w:delText xml:space="preserve">CDAI ≥ 70) alla settimana 4 sono stati stratificati e analizzati separatamente da coloro </w:delText>
        </w:r>
      </w:del>
      <w:del w:id="3714" w:author="AbbVie14" w:date="2025-05-09T10:30:00Z">
        <w:r w:rsidRPr="00295E71">
          <w:rPr>
            <w:color w:val="000000"/>
          </w:rPr>
          <w:delText>che non hanno manifestato una risposta</w:delText>
        </w:r>
      </w:del>
      <w:del w:id="3715" w:author="AbbVie14" w:date="2025-05-09T10:30:00Z">
        <w:r w:rsidRPr="00295E71">
          <w:delText xml:space="preserve"> clinica alla settimana 4. </w:delText>
        </w:r>
      </w:del>
      <w:del w:id="3716" w:author="AbbVie14" w:date="2025-05-09T10:30:00Z">
        <w:r w:rsidRPr="00295E71">
          <w:rPr>
            <w:color w:val="000000"/>
          </w:rPr>
          <w:delText>È stata consentita una riduzione graduale della</w:delText>
        </w:r>
      </w:del>
      <w:del w:id="3717" w:author="AbbVie14" w:date="2025-05-09T10:30:00Z">
        <w:r w:rsidRPr="00295E71" w:rsidR="00AF7A05">
          <w:rPr>
            <w:color w:val="000000"/>
          </w:rPr>
          <w:delText xml:space="preserve"> </w:delText>
        </w:r>
      </w:del>
      <w:del w:id="3718" w:author="AbbVie14" w:date="2025-05-09T10:30:00Z">
        <w:r w:rsidRPr="00295E71">
          <w:rPr>
            <w:color w:val="000000"/>
          </w:rPr>
          <w:delText>dose di corticosteroidi dopo la settimana 8.</w:delText>
        </w:r>
      </w:del>
    </w:p>
    <w:p w:rsidR="006224C2" w:rsidRPr="00295E71" w14:paraId="67C32BCE" w14:textId="77777777">
      <w:pPr>
        <w:pPrChange w:id="3719" w:author="AbbVie14" w:date="2025-05-09T10:30:00Z">
          <w:pPr>
            <w:pStyle w:val="EMEANormal"/>
            <w:jc w:val="both"/>
          </w:pPr>
        </w:pPrChange>
        <w:rPr>
          <w:del w:id="3720" w:author="AbbVie14" w:date="2025-05-09T10:30:00Z"/>
        </w:rPr>
      </w:pPr>
    </w:p>
    <w:p w:rsidR="006224C2" w:rsidRPr="00295E71" w14:paraId="457479C4" w14:textId="77777777">
      <w:pPr>
        <w:pPrChange w:id="3721" w:author="AbbVie14" w:date="2025-05-09T10:30:00Z">
          <w:pPr>
            <w:pStyle w:val="EMEANormal"/>
            <w:jc w:val="both"/>
          </w:pPr>
        </w:pPrChange>
        <w:rPr>
          <w:del w:id="3722" w:author="AbbVie14" w:date="2025-05-09T10:30:00Z"/>
        </w:rPr>
      </w:pPr>
      <w:del w:id="3723" w:author="AbbVie14" w:date="2025-05-09T10:30:00Z">
        <w:r w:rsidRPr="00295E71">
          <w:delText>Le percentuali relative all’induzione della remissione e della risposta clinica dello studio</w:delText>
        </w:r>
      </w:del>
      <w:del w:id="3724" w:author="AbbVie14" w:date="2025-05-09T10:30:00Z">
        <w:r w:rsidRPr="00295E71" w:rsidR="00AF7A05">
          <w:delText xml:space="preserve"> </w:delText>
        </w:r>
      </w:del>
      <w:del w:id="3725" w:author="AbbVie14" w:date="2025-05-09T10:30:00Z">
        <w:r w:rsidRPr="00295E71">
          <w:delText>CD I e</w:delText>
        </w:r>
      </w:del>
      <w:del w:id="3726" w:author="AbbVie14" w:date="2025-05-09T10:30:00Z">
        <w:r w:rsidRPr="00295E71" w:rsidR="00AF7A05">
          <w:delText xml:space="preserve"> </w:delText>
        </w:r>
      </w:del>
      <w:del w:id="3727" w:author="AbbVie14" w:date="2025-05-09T10:30:00Z">
        <w:r w:rsidRPr="00295E71">
          <w:delText xml:space="preserve">dello studio CD II sono riportate nella Tabella </w:delText>
        </w:r>
      </w:del>
      <w:del w:id="3728" w:author="AbbVie14" w:date="2025-05-09T10:30:00Z">
        <w:r w:rsidR="000203FD">
          <w:delText>17</w:delText>
        </w:r>
      </w:del>
      <w:del w:id="3729" w:author="AbbVie14" w:date="2025-05-09T10:30:00Z">
        <w:r w:rsidRPr="00295E71">
          <w:delText>.</w:delText>
        </w:r>
      </w:del>
    </w:p>
    <w:p w:rsidR="006224C2" w:rsidRPr="00295E71" w14:paraId="20703EAE" w14:textId="77777777">
      <w:pPr>
        <w:pPrChange w:id="3730" w:author="AbbVie14" w:date="2025-05-09T10:30:00Z">
          <w:pPr>
            <w:pStyle w:val="EMEANormal"/>
            <w:jc w:val="both"/>
          </w:pPr>
        </w:pPrChange>
        <w:rPr>
          <w:del w:id="3731" w:author="AbbVie14" w:date="2025-05-09T10:30:00Z"/>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20"/>
        <w:gridCol w:w="1190"/>
        <w:gridCol w:w="1248"/>
        <w:gridCol w:w="1176"/>
        <w:gridCol w:w="1491"/>
        <w:gridCol w:w="1813"/>
      </w:tblGrid>
      <w:tr w14:paraId="262EAE7F" w14:textId="77777777">
        <w:tblPrEx>
          <w:tblW w:w="9238" w:type="dxa"/>
          <w:tblLook w:val="0000"/>
        </w:tblPrEx>
        <w:trPr>
          <w:cantSplit/>
          <w:del w:id="3732" w:author="AbbVie14" w:date="2025-05-09T10:30:00Z"/>
        </w:trPr>
        <w:tc>
          <w:tcPr>
            <w:tcW w:w="9238" w:type="dxa"/>
            <w:gridSpan w:val="6"/>
            <w:tcBorders>
              <w:top w:val="nil"/>
              <w:left w:val="nil"/>
              <w:right w:val="nil"/>
            </w:tcBorders>
          </w:tcPr>
          <w:p w:rsidR="006224C2" w:rsidRPr="00295E71" w14:paraId="0D2150F6" w14:textId="77777777">
            <w:pPr>
              <w:pPrChange w:id="3733" w:author="AbbVie14" w:date="2025-05-09T10:30:00Z">
                <w:pPr>
                  <w:pStyle w:val="TableText"/>
                  <w:jc w:val="center"/>
                </w:pPr>
              </w:pPrChange>
              <w:rPr>
                <w:del w:id="3734" w:author="AbbVie14" w:date="2025-05-09T10:30:00Z"/>
                <w:b/>
                <w:bCs/>
                <w:sz w:val="22"/>
                <w:szCs w:val="22"/>
              </w:rPr>
            </w:pPr>
            <w:del w:id="3735" w:author="AbbVie14" w:date="2025-05-09T10:30:00Z">
              <w:r w:rsidRPr="00295E71">
                <w:rPr>
                  <w:b/>
                  <w:bCs/>
                  <w:sz w:val="22"/>
                  <w:szCs w:val="22"/>
                </w:rPr>
                <w:delText xml:space="preserve">Tabella </w:delText>
              </w:r>
            </w:del>
            <w:del w:id="3736" w:author="AbbVie14" w:date="2025-05-09T10:30:00Z">
              <w:r w:rsidR="000203FD">
                <w:rPr>
                  <w:b/>
                  <w:bCs/>
                  <w:sz w:val="22"/>
                  <w:szCs w:val="22"/>
                </w:rPr>
                <w:delText>1</w:delText>
              </w:r>
            </w:del>
            <w:del w:id="3737" w:author="AbbVie14" w:date="2025-05-09T10:30:00Z">
              <w:r w:rsidRPr="00612824" w:rsidR="000203FD">
                <w:rPr>
                  <w:b/>
                  <w:bCs/>
                  <w:sz w:val="22"/>
                  <w:szCs w:val="22"/>
                </w:rPr>
                <w:delText>7</w:delText>
              </w:r>
            </w:del>
          </w:p>
          <w:p w:rsidR="006224C2" w:rsidRPr="00295E71" w14:paraId="522BA63D" w14:textId="77777777">
            <w:pPr>
              <w:pPrChange w:id="3738" w:author="AbbVie14" w:date="2025-05-09T10:30:00Z">
                <w:pPr>
                  <w:pStyle w:val="TableText"/>
                  <w:jc w:val="center"/>
                </w:pPr>
              </w:pPrChange>
              <w:rPr>
                <w:del w:id="3739" w:author="AbbVie14" w:date="2025-05-09T10:30:00Z"/>
                <w:b/>
                <w:bCs/>
                <w:sz w:val="22"/>
                <w:szCs w:val="22"/>
              </w:rPr>
            </w:pPr>
            <w:del w:id="3740" w:author="AbbVie14" w:date="2025-05-09T10:30:00Z">
              <w:r w:rsidRPr="00295E71">
                <w:rPr>
                  <w:b/>
                  <w:bCs/>
                  <w:sz w:val="22"/>
                  <w:szCs w:val="22"/>
                </w:rPr>
                <w:delText>Induzione della Remissione e della Risposta Clinica</w:delText>
              </w:r>
            </w:del>
          </w:p>
          <w:p w:rsidR="006224C2" w:rsidRPr="00295E71" w14:paraId="6F9546D4" w14:textId="77777777">
            <w:pPr>
              <w:pPrChange w:id="3741" w:author="AbbVie14" w:date="2025-05-09T10:30:00Z">
                <w:pPr>
                  <w:pStyle w:val="TableText"/>
                  <w:jc w:val="center"/>
                </w:pPr>
              </w:pPrChange>
              <w:rPr>
                <w:del w:id="3742" w:author="AbbVie14" w:date="2025-05-09T10:30:00Z"/>
                <w:b/>
                <w:sz w:val="22"/>
                <w:szCs w:val="22"/>
              </w:rPr>
            </w:pPr>
            <w:del w:id="3743" w:author="AbbVie14" w:date="2025-05-09T10:30:00Z">
              <w:r w:rsidRPr="00295E71">
                <w:rPr>
                  <w:b/>
                  <w:sz w:val="22"/>
                  <w:szCs w:val="22"/>
                </w:rPr>
                <w:delText>(Percentuale di Pazienti)</w:delText>
              </w:r>
            </w:del>
          </w:p>
          <w:p w:rsidR="006224C2" w:rsidRPr="00295E71" w14:paraId="4CCB1698" w14:textId="77777777">
            <w:pPr>
              <w:pPrChange w:id="3744" w:author="AbbVie14" w:date="2025-05-09T10:30:00Z">
                <w:pPr>
                  <w:pStyle w:val="TableText"/>
                  <w:jc w:val="center"/>
                </w:pPr>
              </w:pPrChange>
              <w:rPr>
                <w:del w:id="3745" w:author="AbbVie14" w:date="2025-05-09T10:30:00Z"/>
                <w:b/>
                <w:sz w:val="22"/>
                <w:szCs w:val="22"/>
              </w:rPr>
            </w:pPr>
          </w:p>
        </w:tc>
      </w:tr>
      <w:tr w14:paraId="3530811C" w14:textId="77777777">
        <w:tblPrEx>
          <w:tblW w:w="9238" w:type="dxa"/>
          <w:tblLook w:val="0000"/>
        </w:tblPrEx>
        <w:trPr>
          <w:cantSplit/>
          <w:del w:id="3746" w:author="AbbVie14" w:date="2025-05-09T10:30:00Z"/>
        </w:trPr>
        <w:tc>
          <w:tcPr>
            <w:tcW w:w="2320" w:type="dxa"/>
          </w:tcPr>
          <w:p w:rsidR="006224C2" w:rsidRPr="00295E71" w14:paraId="67E8F97A" w14:textId="77777777">
            <w:pPr>
              <w:pPrChange w:id="3747" w:author="AbbVie14" w:date="2025-05-09T10:30:00Z">
                <w:pPr>
                  <w:pStyle w:val="TableText"/>
                  <w:jc w:val="both"/>
                </w:pPr>
              </w:pPrChange>
              <w:rPr>
                <w:del w:id="3748" w:author="AbbVie14" w:date="2025-05-09T10:30:00Z"/>
                <w:b/>
                <w:sz w:val="22"/>
                <w:szCs w:val="22"/>
              </w:rPr>
            </w:pPr>
          </w:p>
        </w:tc>
        <w:tc>
          <w:tcPr>
            <w:tcW w:w="3614" w:type="dxa"/>
            <w:gridSpan w:val="3"/>
          </w:tcPr>
          <w:p w:rsidR="006224C2" w:rsidRPr="00295E71" w14:paraId="6FB7B820" w14:textId="77777777">
            <w:pPr>
              <w:pPrChange w:id="3749" w:author="AbbVie14" w:date="2025-05-09T10:30:00Z">
                <w:pPr>
                  <w:pStyle w:val="TableText"/>
                </w:pPr>
              </w:pPrChange>
              <w:rPr>
                <w:del w:id="3750" w:author="AbbVie14" w:date="2025-05-09T10:30:00Z"/>
                <w:b/>
                <w:bCs/>
                <w:sz w:val="22"/>
                <w:szCs w:val="22"/>
              </w:rPr>
            </w:pPr>
            <w:del w:id="3751" w:author="AbbVie14" w:date="2025-05-09T10:30:00Z">
              <w:r w:rsidRPr="00295E71">
                <w:rPr>
                  <w:b/>
                  <w:bCs/>
                  <w:sz w:val="22"/>
                  <w:szCs w:val="22"/>
                </w:rPr>
                <w:delText>Studio CD I: Pazienti mai trattati con Infliximab</w:delText>
              </w:r>
            </w:del>
          </w:p>
        </w:tc>
        <w:tc>
          <w:tcPr>
            <w:tcW w:w="3304" w:type="dxa"/>
            <w:gridSpan w:val="2"/>
          </w:tcPr>
          <w:p w:rsidR="006224C2" w:rsidRPr="00295E71" w14:paraId="761F98A9" w14:textId="77777777">
            <w:pPr>
              <w:pPrChange w:id="3752" w:author="AbbVie14" w:date="2025-05-09T10:30:00Z">
                <w:pPr>
                  <w:pStyle w:val="TableText"/>
                </w:pPr>
              </w:pPrChange>
              <w:rPr>
                <w:del w:id="3753" w:author="AbbVie14" w:date="2025-05-09T10:30:00Z"/>
                <w:b/>
                <w:bCs/>
                <w:sz w:val="22"/>
                <w:szCs w:val="22"/>
              </w:rPr>
            </w:pPr>
            <w:del w:id="3754" w:author="AbbVie14" w:date="2025-05-09T10:30:00Z">
              <w:r w:rsidRPr="00295E71">
                <w:rPr>
                  <w:b/>
                  <w:bCs/>
                  <w:sz w:val="22"/>
                  <w:szCs w:val="22"/>
                </w:rPr>
                <w:delText>Studio CD II: Pazienti precedentemente trattati con</w:delText>
              </w:r>
            </w:del>
            <w:del w:id="3755" w:author="AbbVie14" w:date="2025-05-09T10:30:00Z">
              <w:r w:rsidR="00A007C6">
                <w:rPr>
                  <w:b/>
                  <w:bCs/>
                  <w:sz w:val="22"/>
                  <w:szCs w:val="22"/>
                </w:rPr>
                <w:delText xml:space="preserve"> </w:delText>
              </w:r>
            </w:del>
            <w:del w:id="3756" w:author="AbbVie14" w:date="2025-05-09T10:30:00Z">
              <w:r w:rsidRPr="00295E71">
                <w:rPr>
                  <w:b/>
                  <w:bCs/>
                  <w:sz w:val="22"/>
                  <w:szCs w:val="22"/>
                </w:rPr>
                <w:delText>Infliximab</w:delText>
              </w:r>
            </w:del>
          </w:p>
        </w:tc>
      </w:tr>
      <w:tr w14:paraId="5AEC6E8E" w14:textId="77777777">
        <w:tblPrEx>
          <w:tblW w:w="9238" w:type="dxa"/>
          <w:tblLook w:val="0000"/>
        </w:tblPrEx>
        <w:trPr>
          <w:cantSplit/>
          <w:del w:id="3757" w:author="AbbVie14" w:date="2025-05-09T10:30:00Z"/>
        </w:trPr>
        <w:tc>
          <w:tcPr>
            <w:tcW w:w="2320" w:type="dxa"/>
          </w:tcPr>
          <w:p w:rsidR="006224C2" w:rsidRPr="00295E71" w14:paraId="20D5D070" w14:textId="77777777">
            <w:pPr>
              <w:pPrChange w:id="3758" w:author="AbbVie14" w:date="2025-05-09T10:30:00Z">
                <w:pPr>
                  <w:pStyle w:val="TableText"/>
                  <w:jc w:val="both"/>
                </w:pPr>
              </w:pPrChange>
              <w:rPr>
                <w:del w:id="3759" w:author="AbbVie14" w:date="2025-05-09T10:30:00Z"/>
                <w:b/>
                <w:bCs/>
                <w:sz w:val="22"/>
                <w:szCs w:val="22"/>
              </w:rPr>
            </w:pPr>
          </w:p>
        </w:tc>
        <w:tc>
          <w:tcPr>
            <w:tcW w:w="1190" w:type="dxa"/>
          </w:tcPr>
          <w:p w:rsidR="006224C2" w:rsidRPr="00295E71" w14:paraId="45AA142E" w14:textId="77777777">
            <w:pPr>
              <w:pPrChange w:id="3760" w:author="AbbVie14" w:date="2025-05-09T10:30:00Z">
                <w:pPr>
                  <w:pStyle w:val="TableText"/>
                  <w:jc w:val="center"/>
                </w:pPr>
              </w:pPrChange>
              <w:rPr>
                <w:del w:id="3761" w:author="AbbVie14" w:date="2025-05-09T10:30:00Z"/>
                <w:b/>
                <w:sz w:val="22"/>
                <w:szCs w:val="22"/>
              </w:rPr>
            </w:pPr>
            <w:del w:id="3762" w:author="AbbVie14" w:date="2025-05-09T10:30:00Z">
              <w:r w:rsidRPr="00295E71">
                <w:rPr>
                  <w:b/>
                  <w:sz w:val="22"/>
                  <w:szCs w:val="22"/>
                </w:rPr>
                <w:delText>Placebo</w:delText>
              </w:r>
            </w:del>
          </w:p>
          <w:p w:rsidR="006224C2" w:rsidRPr="00295E71" w14:paraId="28D50B18" w14:textId="77777777">
            <w:pPr>
              <w:pPrChange w:id="3763" w:author="AbbVie14" w:date="2025-05-09T10:30:00Z">
                <w:pPr>
                  <w:pStyle w:val="TableText"/>
                  <w:jc w:val="center"/>
                </w:pPr>
              </w:pPrChange>
              <w:rPr>
                <w:del w:id="3764" w:author="AbbVie14" w:date="2025-05-09T10:30:00Z"/>
                <w:b/>
                <w:sz w:val="22"/>
                <w:szCs w:val="22"/>
              </w:rPr>
            </w:pPr>
            <w:del w:id="3765" w:author="AbbVie14" w:date="2025-05-09T10:30:00Z">
              <w:r w:rsidRPr="00295E71">
                <w:rPr>
                  <w:b/>
                  <w:sz w:val="22"/>
                  <w:szCs w:val="22"/>
                </w:rPr>
                <w:delText>N=74</w:delText>
              </w:r>
            </w:del>
          </w:p>
        </w:tc>
        <w:tc>
          <w:tcPr>
            <w:tcW w:w="1248" w:type="dxa"/>
          </w:tcPr>
          <w:p w:rsidR="006224C2" w:rsidRPr="00295E71" w14:paraId="10175E28" w14:textId="77777777">
            <w:pPr>
              <w:pPrChange w:id="3766" w:author="AbbVie14" w:date="2025-05-09T10:30:00Z">
                <w:pPr>
                  <w:pStyle w:val="TableText"/>
                  <w:jc w:val="center"/>
                </w:pPr>
              </w:pPrChange>
              <w:rPr>
                <w:del w:id="3767" w:author="AbbVie14" w:date="2025-05-09T10:30:00Z"/>
                <w:b/>
                <w:sz w:val="22"/>
                <w:szCs w:val="22"/>
              </w:rPr>
            </w:pPr>
            <w:del w:id="3768" w:author="AbbVie14" w:date="2025-05-09T10:30:00Z">
              <w:r w:rsidRPr="00295E71">
                <w:rPr>
                  <w:b/>
                  <w:sz w:val="22"/>
                  <w:szCs w:val="22"/>
                </w:rPr>
                <w:delText>Humira</w:delText>
              </w:r>
            </w:del>
          </w:p>
          <w:p w:rsidR="006224C2" w:rsidRPr="00295E71" w14:paraId="6B83CE1D" w14:textId="77777777">
            <w:pPr>
              <w:pPrChange w:id="3769" w:author="AbbVie14" w:date="2025-05-09T10:30:00Z">
                <w:pPr>
                  <w:pStyle w:val="TableText"/>
                  <w:jc w:val="center"/>
                </w:pPr>
              </w:pPrChange>
              <w:rPr>
                <w:del w:id="3770" w:author="AbbVie14" w:date="2025-05-09T10:30:00Z"/>
                <w:b/>
                <w:sz w:val="22"/>
                <w:szCs w:val="22"/>
              </w:rPr>
            </w:pPr>
            <w:del w:id="3771" w:author="AbbVie14" w:date="2025-05-09T10:30:00Z">
              <w:r w:rsidRPr="00295E71">
                <w:rPr>
                  <w:b/>
                  <w:sz w:val="22"/>
                  <w:szCs w:val="22"/>
                </w:rPr>
                <w:delText>80/40 mg</w:delText>
              </w:r>
            </w:del>
          </w:p>
          <w:p w:rsidR="006224C2" w:rsidRPr="00295E71" w14:paraId="3A872778" w14:textId="77777777">
            <w:pPr>
              <w:pPrChange w:id="3772" w:author="AbbVie14" w:date="2025-05-09T10:30:00Z">
                <w:pPr>
                  <w:pStyle w:val="TableText"/>
                  <w:jc w:val="center"/>
                </w:pPr>
              </w:pPrChange>
              <w:rPr>
                <w:del w:id="3773" w:author="AbbVie14" w:date="2025-05-09T10:30:00Z"/>
                <w:b/>
                <w:sz w:val="22"/>
                <w:szCs w:val="22"/>
              </w:rPr>
            </w:pPr>
            <w:del w:id="3774" w:author="AbbVie14" w:date="2025-05-09T10:30:00Z">
              <w:r w:rsidRPr="00295E71">
                <w:rPr>
                  <w:b/>
                  <w:sz w:val="22"/>
                  <w:szCs w:val="22"/>
                </w:rPr>
                <w:delText>N = 75</w:delText>
              </w:r>
            </w:del>
          </w:p>
        </w:tc>
        <w:tc>
          <w:tcPr>
            <w:tcW w:w="1176" w:type="dxa"/>
          </w:tcPr>
          <w:p w:rsidR="006224C2" w:rsidRPr="00295E71" w14:paraId="6E020706" w14:textId="77777777">
            <w:pPr>
              <w:pPrChange w:id="3775" w:author="AbbVie14" w:date="2025-05-09T10:30:00Z">
                <w:pPr>
                  <w:pStyle w:val="TableText"/>
                  <w:jc w:val="center"/>
                </w:pPr>
              </w:pPrChange>
              <w:rPr>
                <w:del w:id="3776" w:author="AbbVie14" w:date="2025-05-09T10:30:00Z"/>
                <w:b/>
                <w:sz w:val="22"/>
                <w:szCs w:val="22"/>
              </w:rPr>
            </w:pPr>
            <w:del w:id="3777" w:author="AbbVie14" w:date="2025-05-09T10:30:00Z">
              <w:r w:rsidRPr="00295E71">
                <w:rPr>
                  <w:b/>
                  <w:sz w:val="22"/>
                  <w:szCs w:val="22"/>
                </w:rPr>
                <w:delText>Humira</w:delText>
              </w:r>
            </w:del>
          </w:p>
          <w:p w:rsidR="006224C2" w:rsidRPr="00295E71" w14:paraId="5ED4689D" w14:textId="77777777">
            <w:pPr>
              <w:pPrChange w:id="3778" w:author="AbbVie14" w:date="2025-05-09T10:30:00Z">
                <w:pPr>
                  <w:pStyle w:val="TableText"/>
                  <w:jc w:val="center"/>
                </w:pPr>
              </w:pPrChange>
              <w:rPr>
                <w:del w:id="3779" w:author="AbbVie14" w:date="2025-05-09T10:30:00Z"/>
                <w:b/>
                <w:sz w:val="22"/>
                <w:szCs w:val="22"/>
              </w:rPr>
            </w:pPr>
            <w:del w:id="3780" w:author="AbbVie14" w:date="2025-05-09T10:30:00Z">
              <w:r w:rsidRPr="00295E71">
                <w:rPr>
                  <w:b/>
                  <w:sz w:val="22"/>
                  <w:szCs w:val="22"/>
                </w:rPr>
                <w:delText>160/80 mg N=76</w:delText>
              </w:r>
            </w:del>
          </w:p>
        </w:tc>
        <w:tc>
          <w:tcPr>
            <w:tcW w:w="1491" w:type="dxa"/>
          </w:tcPr>
          <w:p w:rsidR="006224C2" w:rsidRPr="00295E71" w14:paraId="15BE3D8F" w14:textId="77777777">
            <w:pPr>
              <w:pPrChange w:id="3781" w:author="AbbVie14" w:date="2025-05-09T10:30:00Z">
                <w:pPr>
                  <w:pStyle w:val="TableText"/>
                  <w:jc w:val="center"/>
                </w:pPr>
              </w:pPrChange>
              <w:rPr>
                <w:del w:id="3782" w:author="AbbVie14" w:date="2025-05-09T10:30:00Z"/>
                <w:b/>
                <w:sz w:val="22"/>
                <w:szCs w:val="22"/>
              </w:rPr>
            </w:pPr>
            <w:del w:id="3783" w:author="AbbVie14" w:date="2025-05-09T10:30:00Z">
              <w:r w:rsidRPr="00295E71">
                <w:rPr>
                  <w:b/>
                  <w:sz w:val="22"/>
                  <w:szCs w:val="22"/>
                </w:rPr>
                <w:delText>Placebo</w:delText>
              </w:r>
            </w:del>
          </w:p>
          <w:p w:rsidR="006224C2" w:rsidRPr="00295E71" w14:paraId="3E4C475A" w14:textId="77777777">
            <w:pPr>
              <w:pPrChange w:id="3784" w:author="AbbVie14" w:date="2025-05-09T10:30:00Z">
                <w:pPr>
                  <w:pStyle w:val="TableText"/>
                  <w:jc w:val="center"/>
                </w:pPr>
              </w:pPrChange>
              <w:rPr>
                <w:del w:id="3785" w:author="AbbVie14" w:date="2025-05-09T10:30:00Z"/>
                <w:b/>
                <w:sz w:val="22"/>
                <w:szCs w:val="22"/>
              </w:rPr>
            </w:pPr>
            <w:del w:id="3786" w:author="AbbVie14" w:date="2025-05-09T10:30:00Z">
              <w:r w:rsidRPr="00295E71">
                <w:rPr>
                  <w:b/>
                  <w:sz w:val="22"/>
                  <w:szCs w:val="22"/>
                </w:rPr>
                <w:delText>N=166</w:delText>
              </w:r>
            </w:del>
          </w:p>
        </w:tc>
        <w:tc>
          <w:tcPr>
            <w:tcW w:w="1813" w:type="dxa"/>
          </w:tcPr>
          <w:p w:rsidR="006224C2" w:rsidRPr="00295E71" w14:paraId="0F5A2E93" w14:textId="77777777">
            <w:pPr>
              <w:pPrChange w:id="3787" w:author="AbbVie14" w:date="2025-05-09T10:30:00Z">
                <w:pPr>
                  <w:pStyle w:val="TableText"/>
                  <w:jc w:val="center"/>
                </w:pPr>
              </w:pPrChange>
              <w:rPr>
                <w:del w:id="3788" w:author="AbbVie14" w:date="2025-05-09T10:30:00Z"/>
                <w:b/>
                <w:sz w:val="22"/>
                <w:szCs w:val="22"/>
              </w:rPr>
            </w:pPr>
            <w:del w:id="3789" w:author="AbbVie14" w:date="2025-05-09T10:30:00Z">
              <w:r w:rsidRPr="00295E71">
                <w:rPr>
                  <w:b/>
                  <w:sz w:val="22"/>
                  <w:szCs w:val="22"/>
                </w:rPr>
                <w:delText>Humira</w:delText>
              </w:r>
            </w:del>
          </w:p>
          <w:p w:rsidR="006224C2" w:rsidRPr="00295E71" w14:paraId="11B97FF1" w14:textId="77777777">
            <w:pPr>
              <w:pPrChange w:id="3790" w:author="AbbVie14" w:date="2025-05-09T10:30:00Z">
                <w:pPr>
                  <w:pStyle w:val="TableText"/>
                  <w:jc w:val="center"/>
                </w:pPr>
              </w:pPrChange>
              <w:rPr>
                <w:del w:id="3791" w:author="AbbVie14" w:date="2025-05-09T10:30:00Z"/>
                <w:b/>
                <w:sz w:val="22"/>
                <w:szCs w:val="22"/>
              </w:rPr>
            </w:pPr>
            <w:del w:id="3792" w:author="AbbVie14" w:date="2025-05-09T10:30:00Z">
              <w:r w:rsidRPr="00295E71">
                <w:rPr>
                  <w:b/>
                  <w:sz w:val="22"/>
                  <w:szCs w:val="22"/>
                </w:rPr>
                <w:delText>160/80 mg</w:delText>
              </w:r>
            </w:del>
          </w:p>
          <w:p w:rsidR="006224C2" w:rsidRPr="00295E71" w14:paraId="146DFF6B" w14:textId="77777777">
            <w:pPr>
              <w:pPrChange w:id="3793" w:author="AbbVie14" w:date="2025-05-09T10:30:00Z">
                <w:pPr>
                  <w:pStyle w:val="TableText"/>
                  <w:jc w:val="center"/>
                </w:pPr>
              </w:pPrChange>
              <w:rPr>
                <w:del w:id="3794" w:author="AbbVie14" w:date="2025-05-09T10:30:00Z"/>
                <w:b/>
                <w:sz w:val="22"/>
                <w:szCs w:val="22"/>
              </w:rPr>
            </w:pPr>
            <w:del w:id="3795" w:author="AbbVie14" w:date="2025-05-09T10:30:00Z">
              <w:r w:rsidRPr="00295E71">
                <w:rPr>
                  <w:b/>
                  <w:sz w:val="22"/>
                  <w:szCs w:val="22"/>
                </w:rPr>
                <w:delText>N=159</w:delText>
              </w:r>
            </w:del>
          </w:p>
        </w:tc>
      </w:tr>
      <w:tr w14:paraId="33AE9619" w14:textId="77777777">
        <w:tblPrEx>
          <w:tblW w:w="9238" w:type="dxa"/>
          <w:tblLook w:val="0000"/>
        </w:tblPrEx>
        <w:trPr>
          <w:cantSplit/>
          <w:del w:id="3796" w:author="AbbVie14" w:date="2025-05-09T10:30:00Z"/>
        </w:trPr>
        <w:tc>
          <w:tcPr>
            <w:tcW w:w="2320" w:type="dxa"/>
            <w:vAlign w:val="bottom"/>
          </w:tcPr>
          <w:p w:rsidR="006224C2" w:rsidRPr="00295E71" w14:paraId="3B5A30C0" w14:textId="77777777">
            <w:pPr>
              <w:pPrChange w:id="3797" w:author="AbbVie14" w:date="2025-05-09T10:30:00Z">
                <w:pPr>
                  <w:pStyle w:val="TableText"/>
                  <w:jc w:val="both"/>
                </w:pPr>
              </w:pPrChange>
              <w:rPr>
                <w:del w:id="3798" w:author="AbbVie14" w:date="2025-05-09T10:30:00Z"/>
                <w:sz w:val="22"/>
                <w:szCs w:val="22"/>
              </w:rPr>
            </w:pPr>
            <w:del w:id="3799" w:author="AbbVie14" w:date="2025-05-09T10:30:00Z">
              <w:r w:rsidRPr="00295E71">
                <w:rPr>
                  <w:sz w:val="22"/>
                  <w:szCs w:val="22"/>
                </w:rPr>
                <w:delText>Settimana 4</w:delText>
              </w:r>
            </w:del>
          </w:p>
        </w:tc>
        <w:tc>
          <w:tcPr>
            <w:tcW w:w="1190" w:type="dxa"/>
            <w:vAlign w:val="bottom"/>
          </w:tcPr>
          <w:p w:rsidR="006224C2" w:rsidRPr="00295E71" w14:paraId="0E0D1690" w14:textId="77777777">
            <w:pPr>
              <w:pPrChange w:id="3800" w:author="AbbVie14" w:date="2025-05-09T10:30:00Z">
                <w:pPr>
                  <w:pStyle w:val="TableText"/>
                  <w:jc w:val="center"/>
                </w:pPr>
              </w:pPrChange>
              <w:rPr>
                <w:del w:id="3801" w:author="AbbVie14" w:date="2025-05-09T10:30:00Z"/>
                <w:sz w:val="22"/>
                <w:szCs w:val="22"/>
              </w:rPr>
            </w:pPr>
          </w:p>
        </w:tc>
        <w:tc>
          <w:tcPr>
            <w:tcW w:w="1248" w:type="dxa"/>
            <w:vAlign w:val="bottom"/>
          </w:tcPr>
          <w:p w:rsidR="006224C2" w:rsidRPr="00295E71" w14:paraId="27273980" w14:textId="77777777">
            <w:pPr>
              <w:pPrChange w:id="3802" w:author="AbbVie14" w:date="2025-05-09T10:30:00Z">
                <w:pPr>
                  <w:pStyle w:val="TableText"/>
                  <w:jc w:val="center"/>
                </w:pPr>
              </w:pPrChange>
              <w:rPr>
                <w:del w:id="3803" w:author="AbbVie14" w:date="2025-05-09T10:30:00Z"/>
                <w:sz w:val="22"/>
                <w:szCs w:val="22"/>
              </w:rPr>
            </w:pPr>
          </w:p>
        </w:tc>
        <w:tc>
          <w:tcPr>
            <w:tcW w:w="1176" w:type="dxa"/>
            <w:vAlign w:val="bottom"/>
          </w:tcPr>
          <w:p w:rsidR="006224C2" w:rsidRPr="00295E71" w14:paraId="26D5BD44" w14:textId="77777777">
            <w:pPr>
              <w:pPrChange w:id="3804" w:author="AbbVie14" w:date="2025-05-09T10:30:00Z">
                <w:pPr>
                  <w:pStyle w:val="TableText"/>
                  <w:jc w:val="center"/>
                </w:pPr>
              </w:pPrChange>
              <w:rPr>
                <w:del w:id="3805" w:author="AbbVie14" w:date="2025-05-09T10:30:00Z"/>
                <w:sz w:val="22"/>
                <w:szCs w:val="22"/>
              </w:rPr>
            </w:pPr>
          </w:p>
        </w:tc>
        <w:tc>
          <w:tcPr>
            <w:tcW w:w="1491" w:type="dxa"/>
            <w:vAlign w:val="bottom"/>
          </w:tcPr>
          <w:p w:rsidR="006224C2" w:rsidRPr="00295E71" w14:paraId="70CAA467" w14:textId="77777777">
            <w:pPr>
              <w:pPrChange w:id="3806" w:author="AbbVie14" w:date="2025-05-09T10:30:00Z">
                <w:pPr>
                  <w:pStyle w:val="TableText"/>
                  <w:jc w:val="center"/>
                </w:pPr>
              </w:pPrChange>
              <w:rPr>
                <w:del w:id="3807" w:author="AbbVie14" w:date="2025-05-09T10:30:00Z"/>
                <w:sz w:val="22"/>
                <w:szCs w:val="22"/>
              </w:rPr>
            </w:pPr>
          </w:p>
        </w:tc>
        <w:tc>
          <w:tcPr>
            <w:tcW w:w="1813" w:type="dxa"/>
            <w:vAlign w:val="bottom"/>
          </w:tcPr>
          <w:p w:rsidR="006224C2" w:rsidRPr="00295E71" w14:paraId="2912074B" w14:textId="77777777">
            <w:pPr>
              <w:pPrChange w:id="3808" w:author="AbbVie14" w:date="2025-05-09T10:30:00Z">
                <w:pPr>
                  <w:pStyle w:val="TableText"/>
                  <w:jc w:val="center"/>
                </w:pPr>
              </w:pPrChange>
              <w:rPr>
                <w:del w:id="3809" w:author="AbbVie14" w:date="2025-05-09T10:30:00Z"/>
                <w:sz w:val="22"/>
                <w:szCs w:val="22"/>
              </w:rPr>
            </w:pPr>
          </w:p>
        </w:tc>
      </w:tr>
      <w:tr w14:paraId="227C2F97" w14:textId="77777777">
        <w:tblPrEx>
          <w:tblW w:w="9238" w:type="dxa"/>
          <w:tblLook w:val="0000"/>
        </w:tblPrEx>
        <w:trPr>
          <w:cantSplit/>
          <w:del w:id="3810" w:author="AbbVie14" w:date="2025-05-09T10:30:00Z"/>
        </w:trPr>
        <w:tc>
          <w:tcPr>
            <w:tcW w:w="2320" w:type="dxa"/>
            <w:vAlign w:val="bottom"/>
          </w:tcPr>
          <w:p w:rsidR="006224C2" w:rsidRPr="00295E71" w14:paraId="4BC10C5B" w14:textId="77777777">
            <w:pPr>
              <w:pPrChange w:id="3811" w:author="AbbVie14" w:date="2025-05-09T10:30:00Z">
                <w:pPr>
                  <w:pStyle w:val="TableText"/>
                  <w:jc w:val="both"/>
                </w:pPr>
              </w:pPrChange>
              <w:rPr>
                <w:del w:id="3812" w:author="AbbVie14" w:date="2025-05-09T10:30:00Z"/>
                <w:sz w:val="22"/>
                <w:szCs w:val="22"/>
              </w:rPr>
            </w:pPr>
            <w:del w:id="3813" w:author="AbbVie14" w:date="2025-05-09T10:30:00Z">
              <w:r w:rsidRPr="00295E71">
                <w:rPr>
                  <w:sz w:val="22"/>
                  <w:szCs w:val="22"/>
                </w:rPr>
                <w:delText>Remissione clinica</w:delText>
              </w:r>
            </w:del>
          </w:p>
        </w:tc>
        <w:tc>
          <w:tcPr>
            <w:tcW w:w="1190" w:type="dxa"/>
            <w:vAlign w:val="bottom"/>
          </w:tcPr>
          <w:p w:rsidR="006224C2" w:rsidRPr="00295E71" w14:paraId="4803DFA4" w14:textId="77777777">
            <w:pPr>
              <w:pPrChange w:id="3814" w:author="AbbVie14" w:date="2025-05-09T10:30:00Z">
                <w:pPr>
                  <w:pStyle w:val="TableText"/>
                  <w:jc w:val="center"/>
                </w:pPr>
              </w:pPrChange>
              <w:rPr>
                <w:del w:id="3815" w:author="AbbVie14" w:date="2025-05-09T10:30:00Z"/>
                <w:sz w:val="22"/>
                <w:szCs w:val="22"/>
              </w:rPr>
            </w:pPr>
            <w:del w:id="3816" w:author="AbbVie14" w:date="2025-05-09T10:30:00Z">
              <w:r w:rsidRPr="00295E71">
                <w:rPr>
                  <w:sz w:val="22"/>
                  <w:szCs w:val="22"/>
                </w:rPr>
                <w:delText>12%</w:delText>
              </w:r>
            </w:del>
          </w:p>
        </w:tc>
        <w:tc>
          <w:tcPr>
            <w:tcW w:w="1248" w:type="dxa"/>
            <w:vAlign w:val="bottom"/>
          </w:tcPr>
          <w:p w:rsidR="006224C2" w:rsidRPr="00295E71" w14:paraId="57A77596" w14:textId="77777777">
            <w:pPr>
              <w:pPrChange w:id="3817" w:author="AbbVie14" w:date="2025-05-09T10:30:00Z">
                <w:pPr>
                  <w:pStyle w:val="TableText"/>
                  <w:jc w:val="center"/>
                </w:pPr>
              </w:pPrChange>
              <w:rPr>
                <w:del w:id="3818" w:author="AbbVie14" w:date="2025-05-09T10:30:00Z"/>
                <w:sz w:val="22"/>
                <w:szCs w:val="22"/>
              </w:rPr>
            </w:pPr>
            <w:del w:id="3819" w:author="AbbVie14" w:date="2025-05-09T10:30:00Z">
              <w:r w:rsidRPr="00295E71">
                <w:rPr>
                  <w:sz w:val="22"/>
                  <w:szCs w:val="22"/>
                </w:rPr>
                <w:delText>24%</w:delText>
              </w:r>
            </w:del>
          </w:p>
        </w:tc>
        <w:tc>
          <w:tcPr>
            <w:tcW w:w="1176" w:type="dxa"/>
            <w:vAlign w:val="bottom"/>
          </w:tcPr>
          <w:p w:rsidR="006224C2" w:rsidRPr="00295E71" w14:paraId="4E56E19E" w14:textId="77777777">
            <w:pPr>
              <w:pPrChange w:id="3820" w:author="AbbVie14" w:date="2025-05-09T10:30:00Z">
                <w:pPr>
                  <w:pStyle w:val="TableText"/>
                  <w:jc w:val="center"/>
                </w:pPr>
              </w:pPrChange>
              <w:rPr>
                <w:del w:id="3821" w:author="AbbVie14" w:date="2025-05-09T10:30:00Z"/>
                <w:sz w:val="22"/>
                <w:szCs w:val="22"/>
              </w:rPr>
            </w:pPr>
            <w:del w:id="3822" w:author="AbbVie14" w:date="2025-05-09T10:30:00Z">
              <w:r w:rsidRPr="00295E71">
                <w:rPr>
                  <w:sz w:val="22"/>
                  <w:szCs w:val="22"/>
                </w:rPr>
                <w:delText>36%</w:delText>
              </w:r>
            </w:del>
            <w:del w:id="3823" w:author="AbbVie14" w:date="2025-05-09T10:30:00Z">
              <w:r w:rsidRPr="00295E71">
                <w:rPr>
                  <w:sz w:val="22"/>
                  <w:szCs w:val="22"/>
                  <w:vertAlign w:val="superscript"/>
                </w:rPr>
                <w:delText>*</w:delText>
              </w:r>
            </w:del>
          </w:p>
        </w:tc>
        <w:tc>
          <w:tcPr>
            <w:tcW w:w="1491" w:type="dxa"/>
            <w:vAlign w:val="bottom"/>
          </w:tcPr>
          <w:p w:rsidR="006224C2" w:rsidRPr="00295E71" w14:paraId="761A5A57" w14:textId="77777777">
            <w:pPr>
              <w:pPrChange w:id="3824" w:author="AbbVie14" w:date="2025-05-09T10:30:00Z">
                <w:pPr>
                  <w:pStyle w:val="TableText"/>
                  <w:jc w:val="center"/>
                </w:pPr>
              </w:pPrChange>
              <w:rPr>
                <w:del w:id="3825" w:author="AbbVie14" w:date="2025-05-09T10:30:00Z"/>
                <w:sz w:val="22"/>
                <w:szCs w:val="22"/>
              </w:rPr>
            </w:pPr>
            <w:del w:id="3826" w:author="AbbVie14" w:date="2025-05-09T10:30:00Z">
              <w:r w:rsidRPr="00295E71">
                <w:rPr>
                  <w:sz w:val="22"/>
                  <w:szCs w:val="22"/>
                </w:rPr>
                <w:delText>7%</w:delText>
              </w:r>
            </w:del>
          </w:p>
        </w:tc>
        <w:tc>
          <w:tcPr>
            <w:tcW w:w="1813" w:type="dxa"/>
            <w:vAlign w:val="bottom"/>
          </w:tcPr>
          <w:p w:rsidR="006224C2" w:rsidRPr="00295E71" w14:paraId="6C08A3AE" w14:textId="77777777">
            <w:pPr>
              <w:pPrChange w:id="3827" w:author="AbbVie14" w:date="2025-05-09T10:30:00Z">
                <w:pPr>
                  <w:pStyle w:val="TableText"/>
                  <w:jc w:val="center"/>
                </w:pPr>
              </w:pPrChange>
              <w:rPr>
                <w:del w:id="3828" w:author="AbbVie14" w:date="2025-05-09T10:30:00Z"/>
                <w:sz w:val="22"/>
                <w:szCs w:val="22"/>
              </w:rPr>
            </w:pPr>
            <w:del w:id="3829" w:author="AbbVie14" w:date="2025-05-09T10:30:00Z">
              <w:r w:rsidRPr="00295E71">
                <w:rPr>
                  <w:sz w:val="22"/>
                  <w:szCs w:val="22"/>
                </w:rPr>
                <w:delText>21%</w:delText>
              </w:r>
            </w:del>
            <w:del w:id="3830" w:author="AbbVie14" w:date="2025-05-09T10:30:00Z">
              <w:r w:rsidRPr="00295E71">
                <w:rPr>
                  <w:sz w:val="22"/>
                  <w:szCs w:val="22"/>
                  <w:vertAlign w:val="superscript"/>
                </w:rPr>
                <w:delText>*</w:delText>
              </w:r>
            </w:del>
          </w:p>
        </w:tc>
      </w:tr>
      <w:tr w14:paraId="3B44CBA8" w14:textId="77777777">
        <w:tblPrEx>
          <w:tblW w:w="9238" w:type="dxa"/>
          <w:tblLook w:val="0000"/>
        </w:tblPrEx>
        <w:trPr>
          <w:cantSplit/>
          <w:del w:id="3831" w:author="AbbVie14" w:date="2025-05-09T10:30:00Z"/>
        </w:trPr>
        <w:tc>
          <w:tcPr>
            <w:tcW w:w="2320" w:type="dxa"/>
            <w:tcBorders>
              <w:bottom w:val="single" w:sz="4" w:space="0" w:color="auto"/>
            </w:tcBorders>
          </w:tcPr>
          <w:p w:rsidR="006224C2" w:rsidRPr="00295E71" w14:paraId="113A848E" w14:textId="77777777">
            <w:pPr>
              <w:pPrChange w:id="3832" w:author="AbbVie14" w:date="2025-05-09T10:30:00Z">
                <w:pPr>
                  <w:pStyle w:val="TableText"/>
                  <w:jc w:val="both"/>
                </w:pPr>
              </w:pPrChange>
              <w:rPr>
                <w:del w:id="3833" w:author="AbbVie14" w:date="2025-05-09T10:30:00Z"/>
                <w:sz w:val="22"/>
                <w:szCs w:val="22"/>
              </w:rPr>
            </w:pPr>
            <w:del w:id="3834" w:author="AbbVie14" w:date="2025-05-09T10:30:00Z">
              <w:r w:rsidRPr="00295E71">
                <w:rPr>
                  <w:sz w:val="22"/>
                  <w:szCs w:val="22"/>
                </w:rPr>
                <w:delText>Risposta clinica (CR-100)</w:delText>
              </w:r>
            </w:del>
          </w:p>
        </w:tc>
        <w:tc>
          <w:tcPr>
            <w:tcW w:w="1190" w:type="dxa"/>
            <w:tcBorders>
              <w:bottom w:val="single" w:sz="4" w:space="0" w:color="auto"/>
            </w:tcBorders>
          </w:tcPr>
          <w:p w:rsidR="006224C2" w:rsidRPr="00295E71" w14:paraId="0CFC071E" w14:textId="77777777">
            <w:pPr>
              <w:pPrChange w:id="3835" w:author="AbbVie14" w:date="2025-05-09T10:30:00Z">
                <w:pPr>
                  <w:pStyle w:val="TableText"/>
                  <w:jc w:val="center"/>
                </w:pPr>
              </w:pPrChange>
              <w:rPr>
                <w:del w:id="3836" w:author="AbbVie14" w:date="2025-05-09T10:30:00Z"/>
                <w:sz w:val="22"/>
                <w:szCs w:val="22"/>
              </w:rPr>
            </w:pPr>
            <w:del w:id="3837" w:author="AbbVie14" w:date="2025-05-09T10:30:00Z">
              <w:r w:rsidRPr="00295E71">
                <w:rPr>
                  <w:sz w:val="22"/>
                  <w:szCs w:val="22"/>
                </w:rPr>
                <w:delText>24%</w:delText>
              </w:r>
            </w:del>
          </w:p>
        </w:tc>
        <w:tc>
          <w:tcPr>
            <w:tcW w:w="1248" w:type="dxa"/>
            <w:tcBorders>
              <w:bottom w:val="single" w:sz="4" w:space="0" w:color="auto"/>
            </w:tcBorders>
          </w:tcPr>
          <w:p w:rsidR="006224C2" w:rsidRPr="00295E71" w14:paraId="3BA9C0F9" w14:textId="77777777">
            <w:pPr>
              <w:pPrChange w:id="3838" w:author="AbbVie14" w:date="2025-05-09T10:30:00Z">
                <w:pPr>
                  <w:pStyle w:val="TableText"/>
                  <w:jc w:val="center"/>
                </w:pPr>
              </w:pPrChange>
              <w:rPr>
                <w:del w:id="3839" w:author="AbbVie14" w:date="2025-05-09T10:30:00Z"/>
                <w:sz w:val="22"/>
                <w:szCs w:val="22"/>
              </w:rPr>
            </w:pPr>
            <w:del w:id="3840" w:author="AbbVie14" w:date="2025-05-09T10:30:00Z">
              <w:r w:rsidRPr="00295E71">
                <w:rPr>
                  <w:sz w:val="22"/>
                  <w:szCs w:val="22"/>
                </w:rPr>
                <w:delText>37%</w:delText>
              </w:r>
            </w:del>
          </w:p>
        </w:tc>
        <w:tc>
          <w:tcPr>
            <w:tcW w:w="1176" w:type="dxa"/>
            <w:tcBorders>
              <w:bottom w:val="single" w:sz="4" w:space="0" w:color="auto"/>
            </w:tcBorders>
          </w:tcPr>
          <w:p w:rsidR="006224C2" w:rsidRPr="00295E71" w14:paraId="7A5CD756" w14:textId="77777777">
            <w:pPr>
              <w:pPrChange w:id="3841" w:author="AbbVie14" w:date="2025-05-09T10:30:00Z">
                <w:pPr>
                  <w:pStyle w:val="TableText"/>
                  <w:jc w:val="center"/>
                </w:pPr>
              </w:pPrChange>
              <w:rPr>
                <w:del w:id="3842" w:author="AbbVie14" w:date="2025-05-09T10:30:00Z"/>
                <w:sz w:val="22"/>
                <w:szCs w:val="22"/>
              </w:rPr>
            </w:pPr>
            <w:del w:id="3843" w:author="AbbVie14" w:date="2025-05-09T10:30:00Z">
              <w:r w:rsidRPr="00295E71">
                <w:rPr>
                  <w:sz w:val="22"/>
                  <w:szCs w:val="22"/>
                </w:rPr>
                <w:delText>49%</w:delText>
              </w:r>
            </w:del>
            <w:del w:id="3844" w:author="AbbVie14" w:date="2025-05-09T10:30:00Z">
              <w:r w:rsidRPr="00295E71">
                <w:rPr>
                  <w:sz w:val="22"/>
                  <w:szCs w:val="22"/>
                  <w:vertAlign w:val="superscript"/>
                </w:rPr>
                <w:delText>**</w:delText>
              </w:r>
            </w:del>
          </w:p>
        </w:tc>
        <w:tc>
          <w:tcPr>
            <w:tcW w:w="1491" w:type="dxa"/>
            <w:tcBorders>
              <w:bottom w:val="single" w:sz="4" w:space="0" w:color="auto"/>
            </w:tcBorders>
          </w:tcPr>
          <w:p w:rsidR="006224C2" w:rsidRPr="00295E71" w14:paraId="56BDF800" w14:textId="77777777">
            <w:pPr>
              <w:pPrChange w:id="3845" w:author="AbbVie14" w:date="2025-05-09T10:30:00Z">
                <w:pPr>
                  <w:pStyle w:val="TableText"/>
                  <w:jc w:val="center"/>
                </w:pPr>
              </w:pPrChange>
              <w:rPr>
                <w:del w:id="3846" w:author="AbbVie14" w:date="2025-05-09T10:30:00Z"/>
                <w:sz w:val="22"/>
                <w:szCs w:val="22"/>
              </w:rPr>
            </w:pPr>
            <w:del w:id="3847" w:author="AbbVie14" w:date="2025-05-09T10:30:00Z">
              <w:r w:rsidRPr="00295E71">
                <w:rPr>
                  <w:sz w:val="22"/>
                  <w:szCs w:val="22"/>
                </w:rPr>
                <w:delText>25%</w:delText>
              </w:r>
            </w:del>
          </w:p>
        </w:tc>
        <w:tc>
          <w:tcPr>
            <w:tcW w:w="1813" w:type="dxa"/>
            <w:tcBorders>
              <w:bottom w:val="single" w:sz="4" w:space="0" w:color="auto"/>
            </w:tcBorders>
          </w:tcPr>
          <w:p w:rsidR="006224C2" w:rsidRPr="00295E71" w14:paraId="50DFF848" w14:textId="77777777">
            <w:pPr>
              <w:pPrChange w:id="3848" w:author="AbbVie14" w:date="2025-05-09T10:30:00Z">
                <w:pPr>
                  <w:pStyle w:val="TableText"/>
                  <w:jc w:val="center"/>
                </w:pPr>
              </w:pPrChange>
              <w:rPr>
                <w:del w:id="3849" w:author="AbbVie14" w:date="2025-05-09T10:30:00Z"/>
                <w:sz w:val="22"/>
                <w:szCs w:val="22"/>
              </w:rPr>
            </w:pPr>
            <w:del w:id="3850" w:author="AbbVie14" w:date="2025-05-09T10:30:00Z">
              <w:r w:rsidRPr="00295E71">
                <w:rPr>
                  <w:sz w:val="22"/>
                  <w:szCs w:val="22"/>
                </w:rPr>
                <w:delText>38%</w:delText>
              </w:r>
            </w:del>
            <w:del w:id="3851" w:author="AbbVie14" w:date="2025-05-09T10:30:00Z">
              <w:r w:rsidRPr="00295E71">
                <w:rPr>
                  <w:sz w:val="22"/>
                  <w:szCs w:val="22"/>
                  <w:vertAlign w:val="superscript"/>
                </w:rPr>
                <w:delText>**</w:delText>
              </w:r>
            </w:del>
          </w:p>
        </w:tc>
      </w:tr>
      <w:tr w14:paraId="7BC53700" w14:textId="77777777">
        <w:tblPrEx>
          <w:tblW w:w="9238" w:type="dxa"/>
          <w:tblLook w:val="0000"/>
        </w:tblPrEx>
        <w:trPr>
          <w:cantSplit/>
          <w:del w:id="3852" w:author="AbbVie14" w:date="2025-05-09T10:30:00Z"/>
        </w:trPr>
        <w:tc>
          <w:tcPr>
            <w:tcW w:w="9238" w:type="dxa"/>
            <w:gridSpan w:val="6"/>
            <w:tcBorders>
              <w:left w:val="nil"/>
              <w:bottom w:val="nil"/>
              <w:right w:val="nil"/>
            </w:tcBorders>
          </w:tcPr>
          <w:p w:rsidR="006224C2" w:rsidRPr="00295E71" w14:paraId="5945BC47" w14:textId="77777777">
            <w:pPr>
              <w:pPrChange w:id="3853" w:author="AbbVie14" w:date="2025-05-09T10:30:00Z">
                <w:pPr>
                  <w:pStyle w:val="TableText"/>
                  <w:jc w:val="both"/>
                </w:pPr>
              </w:pPrChange>
              <w:rPr>
                <w:del w:id="3854" w:author="AbbVie14" w:date="2025-05-09T10:30:00Z"/>
                <w:sz w:val="22"/>
                <w:szCs w:val="22"/>
              </w:rPr>
            </w:pPr>
            <w:del w:id="3855" w:author="AbbVie14" w:date="2025-05-09T10:30:00Z">
              <w:r w:rsidRPr="00295E71">
                <w:rPr>
                  <w:sz w:val="22"/>
                  <w:szCs w:val="22"/>
                </w:rPr>
                <w:delText>Tutti i valori p rappresentano i confronti a coppie delle percentuali di Humira verso placebo</w:delText>
              </w:r>
            </w:del>
          </w:p>
          <w:p w:rsidR="006224C2" w:rsidRPr="00295E71" w14:paraId="6354DE3C" w14:textId="77777777">
            <w:pPr>
              <w:pPrChange w:id="3856" w:author="AbbVie14" w:date="2025-05-09T10:30:00Z">
                <w:pPr>
                  <w:pStyle w:val="TableText"/>
                  <w:jc w:val="both"/>
                </w:pPr>
              </w:pPrChange>
              <w:rPr>
                <w:del w:id="3857" w:author="AbbVie14" w:date="2025-05-09T10:30:00Z"/>
                <w:sz w:val="22"/>
                <w:szCs w:val="22"/>
              </w:rPr>
            </w:pPr>
            <w:del w:id="3858" w:author="AbbVie14" w:date="2025-05-09T10:30:00Z">
              <w:r w:rsidRPr="00295E71">
                <w:rPr>
                  <w:sz w:val="22"/>
                  <w:szCs w:val="22"/>
                  <w:vertAlign w:val="superscript"/>
                </w:rPr>
                <w:delText>*</w:delText>
              </w:r>
            </w:del>
            <w:del w:id="3859" w:author="AbbVie14" w:date="2025-05-09T10:30:00Z">
              <w:r w:rsidRPr="00295E71">
                <w:rPr>
                  <w:sz w:val="22"/>
                  <w:szCs w:val="22"/>
                </w:rPr>
                <w:tab/>
                <w:delText>p &lt; 0,001</w:delText>
              </w:r>
            </w:del>
          </w:p>
          <w:p w:rsidR="006224C2" w:rsidRPr="00295E71" w14:paraId="49DE99F5" w14:textId="77777777">
            <w:pPr>
              <w:pPrChange w:id="3860" w:author="AbbVie14" w:date="2025-05-09T10:30:00Z">
                <w:pPr>
                  <w:pStyle w:val="TableText"/>
                  <w:jc w:val="both"/>
                </w:pPr>
              </w:pPrChange>
              <w:rPr>
                <w:del w:id="3861" w:author="AbbVie14" w:date="2025-05-09T10:30:00Z"/>
                <w:sz w:val="22"/>
                <w:szCs w:val="22"/>
              </w:rPr>
            </w:pPr>
            <w:del w:id="3862" w:author="AbbVie14" w:date="2025-05-09T10:30:00Z">
              <w:r w:rsidRPr="00295E71">
                <w:rPr>
                  <w:sz w:val="22"/>
                  <w:szCs w:val="22"/>
                  <w:vertAlign w:val="superscript"/>
                </w:rPr>
                <w:delText>**</w:delText>
              </w:r>
            </w:del>
            <w:del w:id="3863" w:author="AbbVie14" w:date="2025-05-09T10:30:00Z">
              <w:r w:rsidRPr="00295E71">
                <w:rPr>
                  <w:sz w:val="22"/>
                  <w:szCs w:val="22"/>
                </w:rPr>
                <w:tab/>
                <w:delText>p &lt; 0,01</w:delText>
              </w:r>
            </w:del>
          </w:p>
        </w:tc>
      </w:tr>
    </w:tbl>
    <w:p w:rsidR="006224C2" w:rsidRPr="00295E71" w14:paraId="57DBE386" w14:textId="77777777">
      <w:pPr>
        <w:pPrChange w:id="3864" w:author="AbbVie14" w:date="2025-05-09T10:30:00Z">
          <w:pPr>
            <w:pStyle w:val="EMEANormal"/>
            <w:jc w:val="both"/>
          </w:pPr>
        </w:pPrChange>
        <w:rPr>
          <w:del w:id="3865" w:author="AbbVie14" w:date="2025-05-09T10:30:00Z"/>
        </w:rPr>
      </w:pPr>
    </w:p>
    <w:p w:rsidR="006224C2" w:rsidRPr="00295E71" w14:paraId="29B47482" w14:textId="77777777">
      <w:pPr>
        <w:pPrChange w:id="3866" w:author="AbbVie14" w:date="2025-05-09T10:30:00Z">
          <w:pPr>
            <w:pStyle w:val="EMEANormal"/>
            <w:jc w:val="both"/>
          </w:pPr>
        </w:pPrChange>
        <w:rPr>
          <w:del w:id="3867" w:author="AbbVie14" w:date="2025-05-09T10:30:00Z"/>
          <w:color w:val="000000"/>
        </w:rPr>
      </w:pPr>
      <w:del w:id="3868" w:author="AbbVie14" w:date="2025-05-09T10:30:00Z">
        <w:r w:rsidRPr="00295E71">
          <w:rPr>
            <w:color w:val="000000"/>
          </w:rPr>
          <w:delText>Percentuali di remissione simili sono state osservate nel gruppo trattato con la dose di induzione pari a 160/80 mg ed a 80/40 mg entro la settimana 8 e gli eventi avversi si sono manifestati più frequentemente nel gruppo trattato con il dosaggio pari a 160/80 mg.</w:delText>
        </w:r>
      </w:del>
    </w:p>
    <w:p w:rsidR="006224C2" w:rsidRPr="00295E71" w14:paraId="0AE65720" w14:textId="77777777">
      <w:pPr>
        <w:pPrChange w:id="3869" w:author="AbbVie14" w:date="2025-05-09T10:30:00Z">
          <w:pPr>
            <w:pStyle w:val="EMEANormal"/>
            <w:jc w:val="both"/>
          </w:pPr>
        </w:pPrChange>
        <w:rPr>
          <w:del w:id="3870" w:author="AbbVie14" w:date="2025-05-09T10:30:00Z"/>
        </w:rPr>
      </w:pPr>
    </w:p>
    <w:p w:rsidR="006224C2" w:rsidRPr="00295E71" w14:paraId="41A92D6F" w14:textId="77777777">
      <w:pPr>
        <w:pPrChange w:id="3871" w:author="AbbVie14" w:date="2025-05-09T10:30:00Z">
          <w:pPr>
            <w:pStyle w:val="EMEANormal"/>
            <w:jc w:val="both"/>
          </w:pPr>
        </w:pPrChange>
        <w:rPr>
          <w:del w:id="3872" w:author="AbbVie14" w:date="2025-05-09T10:30:00Z"/>
        </w:rPr>
      </w:pPr>
      <w:del w:id="3873" w:author="AbbVie14" w:date="2025-05-09T10:30:00Z">
        <w:r w:rsidRPr="00295E71">
          <w:delText xml:space="preserve">Nello studio CD III, alla settimana 4, il 58% (499/854) dei pazienti ha manifestato una risposta clinica ed è stato valutato nell’analisi primaria. Tra i pazienti che hanno manifestato una risposta clinica alla settimana 4, il 48% era stato esposto precedentemente a terapia con altri farmaci antagonisti del TNF. Le percentuali relative al mantenimento della remissione e della risposta clinica sono riportate nella Tabella </w:delText>
        </w:r>
      </w:del>
      <w:del w:id="3874" w:author="AbbVie14" w:date="2025-05-09T10:30:00Z">
        <w:r w:rsidR="000203FD">
          <w:delText>18</w:delText>
        </w:r>
      </w:del>
      <w:del w:id="3875" w:author="AbbVie14" w:date="2025-05-09T10:30:00Z">
        <w:r w:rsidRPr="00295E71">
          <w:delText>. I risultati relativi alla remissione clinica sono rimasti relativamente costanti a prescindere dall’esposizione precedente a farmaci anti-TNF.</w:delText>
        </w:r>
      </w:del>
    </w:p>
    <w:p w:rsidR="006224C2" w:rsidRPr="00295E71" w14:paraId="1240C7C1" w14:textId="77777777">
      <w:pPr>
        <w:pPrChange w:id="3876" w:author="AbbVie14" w:date="2025-05-09T10:30:00Z">
          <w:pPr>
            <w:pStyle w:val="EMEANormal"/>
            <w:jc w:val="both"/>
          </w:pPr>
        </w:pPrChange>
        <w:rPr>
          <w:del w:id="3877" w:author="AbbVie14" w:date="2025-05-09T10:30:00Z"/>
          <w:bCs/>
        </w:rPr>
      </w:pPr>
    </w:p>
    <w:p w:rsidR="006224C2" w:rsidRPr="00295E71" w14:paraId="5A3BF514" w14:textId="77777777">
      <w:pPr>
        <w:pPrChange w:id="3878" w:author="AbbVie14" w:date="2025-05-09T10:30:00Z">
          <w:pPr>
            <w:pStyle w:val="EMEANormal"/>
            <w:jc w:val="both"/>
          </w:pPr>
        </w:pPrChange>
        <w:rPr>
          <w:del w:id="3879" w:author="AbbVie14" w:date="2025-05-09T10:30:00Z"/>
          <w:bCs/>
        </w:rPr>
      </w:pPr>
      <w:del w:id="3880" w:author="AbbVie14" w:date="2025-05-09T10:30:00Z">
        <w:r w:rsidRPr="00295E71">
          <w:rPr>
            <w:bCs/>
          </w:rPr>
          <w:delText>Alla settimana 56, le ospedalizzazioni e gli interventi chirurgici correlati alla malattia erano ridotti in modo statisticamente significativo con adalimumab rispetto al placebo.</w:delText>
        </w:r>
      </w:del>
    </w:p>
    <w:p w:rsidR="006224C2" w:rsidRPr="00295E71" w14:paraId="4935E26C" w14:textId="77777777">
      <w:pPr>
        <w:pPrChange w:id="3881" w:author="AbbVie14" w:date="2025-05-09T10:30:00Z">
          <w:pPr>
            <w:pStyle w:val="EMEANormal"/>
            <w:keepNext/>
            <w:jc w:val="both"/>
          </w:pPr>
        </w:pPrChange>
        <w:rPr>
          <w:del w:id="3882" w:author="AbbVie14" w:date="2025-05-09T10:30:00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13"/>
        <w:gridCol w:w="1740"/>
        <w:gridCol w:w="1917"/>
        <w:gridCol w:w="1692"/>
      </w:tblGrid>
      <w:tr w14:paraId="48A99DB3" w14:textId="77777777">
        <w:tblPrEx>
          <w:tblW w:w="0" w:type="auto"/>
          <w:tblInd w:w="108" w:type="dxa"/>
          <w:tblLook w:val="0000"/>
        </w:tblPrEx>
        <w:trPr>
          <w:cantSplit/>
          <w:del w:id="3883" w:author="AbbVie14" w:date="2025-05-09T10:30:00Z"/>
        </w:trPr>
        <w:tc>
          <w:tcPr>
            <w:tcW w:w="9020" w:type="dxa"/>
            <w:gridSpan w:val="4"/>
            <w:tcBorders>
              <w:top w:val="nil"/>
              <w:left w:val="nil"/>
              <w:right w:val="nil"/>
            </w:tcBorders>
          </w:tcPr>
          <w:p w:rsidR="006224C2" w:rsidRPr="00295E71" w14:paraId="333C2120" w14:textId="77777777">
            <w:pPr>
              <w:pPrChange w:id="3884" w:author="AbbVie14" w:date="2025-05-09T10:30:00Z">
                <w:pPr>
                  <w:pStyle w:val="TableText"/>
                  <w:jc w:val="center"/>
                </w:pPr>
              </w:pPrChange>
              <w:rPr>
                <w:del w:id="3885" w:author="AbbVie14" w:date="2025-05-09T10:30:00Z"/>
                <w:b/>
                <w:bCs/>
                <w:sz w:val="22"/>
                <w:szCs w:val="22"/>
              </w:rPr>
            </w:pPr>
            <w:del w:id="3886" w:author="AbbVie14" w:date="2025-05-09T10:30:00Z">
              <w:r w:rsidRPr="00295E71">
                <w:rPr>
                  <w:sz w:val="22"/>
                  <w:szCs w:val="22"/>
                </w:rPr>
                <w:br w:type="page"/>
              </w:r>
            </w:del>
            <w:del w:id="3887" w:author="AbbVie14" w:date="2025-05-09T10:30:00Z">
              <w:r w:rsidRPr="00295E71">
                <w:rPr>
                  <w:b/>
                  <w:bCs/>
                  <w:sz w:val="22"/>
                  <w:szCs w:val="22"/>
                </w:rPr>
                <w:delText xml:space="preserve">Tabella </w:delText>
              </w:r>
            </w:del>
            <w:del w:id="3888" w:author="AbbVie14" w:date="2025-05-09T10:30:00Z">
              <w:r w:rsidR="000203FD">
                <w:rPr>
                  <w:b/>
                  <w:bCs/>
                  <w:sz w:val="22"/>
                  <w:szCs w:val="22"/>
                </w:rPr>
                <w:delText>1</w:delText>
              </w:r>
            </w:del>
            <w:del w:id="3889" w:author="AbbVie14" w:date="2025-05-09T10:30:00Z">
              <w:r w:rsidRPr="00612824" w:rsidR="000203FD">
                <w:rPr>
                  <w:b/>
                  <w:bCs/>
                  <w:sz w:val="22"/>
                  <w:szCs w:val="22"/>
                </w:rPr>
                <w:delText>8</w:delText>
              </w:r>
            </w:del>
          </w:p>
          <w:p w:rsidR="006224C2" w:rsidRPr="00295E71" w14:paraId="24CFA4F0" w14:textId="77777777">
            <w:pPr>
              <w:pPrChange w:id="3890" w:author="AbbVie14" w:date="2025-05-09T10:30:00Z">
                <w:pPr>
                  <w:pStyle w:val="TableText"/>
                  <w:jc w:val="center"/>
                </w:pPr>
              </w:pPrChange>
              <w:rPr>
                <w:del w:id="3891" w:author="AbbVie14" w:date="2025-05-09T10:30:00Z"/>
                <w:b/>
                <w:bCs/>
                <w:sz w:val="22"/>
                <w:szCs w:val="22"/>
              </w:rPr>
            </w:pPr>
            <w:del w:id="3892" w:author="AbbVie14" w:date="2025-05-09T10:30:00Z">
              <w:r w:rsidRPr="00295E71">
                <w:rPr>
                  <w:b/>
                  <w:bCs/>
                  <w:sz w:val="22"/>
                  <w:szCs w:val="22"/>
                </w:rPr>
                <w:delText>Mantenimento della Remissione e della Risposta Clinica</w:delText>
              </w:r>
            </w:del>
          </w:p>
          <w:p w:rsidR="006224C2" w:rsidRPr="00295E71" w14:paraId="4CF75CA2" w14:textId="77777777">
            <w:pPr>
              <w:pPrChange w:id="3893" w:author="AbbVie14" w:date="2025-05-09T10:30:00Z">
                <w:pPr>
                  <w:pStyle w:val="TableText"/>
                  <w:jc w:val="center"/>
                </w:pPr>
              </w:pPrChange>
              <w:rPr>
                <w:del w:id="3894" w:author="AbbVie14" w:date="2025-05-09T10:30:00Z"/>
                <w:b/>
                <w:sz w:val="22"/>
                <w:szCs w:val="22"/>
              </w:rPr>
            </w:pPr>
            <w:del w:id="3895" w:author="AbbVie14" w:date="2025-05-09T10:30:00Z">
              <w:r w:rsidRPr="00295E71">
                <w:rPr>
                  <w:b/>
                  <w:sz w:val="22"/>
                  <w:szCs w:val="22"/>
                </w:rPr>
                <w:delText>(Percentuale di Pazienti)</w:delText>
              </w:r>
            </w:del>
          </w:p>
        </w:tc>
      </w:tr>
      <w:tr w14:paraId="69A084A1" w14:textId="77777777">
        <w:tblPrEx>
          <w:tblW w:w="0" w:type="auto"/>
          <w:tblInd w:w="108" w:type="dxa"/>
          <w:tblLook w:val="0000"/>
        </w:tblPrEx>
        <w:trPr>
          <w:del w:id="3896" w:author="AbbVie14" w:date="2025-05-09T10:30:00Z"/>
        </w:trPr>
        <w:tc>
          <w:tcPr>
            <w:tcW w:w="3641" w:type="dxa"/>
          </w:tcPr>
          <w:p w:rsidR="006224C2" w:rsidRPr="00295E71" w14:paraId="2E13B69E" w14:textId="77777777">
            <w:pPr>
              <w:pPrChange w:id="3897" w:author="AbbVie14" w:date="2025-05-09T10:30:00Z">
                <w:pPr>
                  <w:pStyle w:val="TableText"/>
                  <w:jc w:val="both"/>
                </w:pPr>
              </w:pPrChange>
              <w:rPr>
                <w:del w:id="3898" w:author="AbbVie14" w:date="2025-05-09T10:30:00Z"/>
                <w:b/>
                <w:sz w:val="22"/>
                <w:szCs w:val="22"/>
              </w:rPr>
            </w:pPr>
          </w:p>
        </w:tc>
        <w:tc>
          <w:tcPr>
            <w:tcW w:w="1751" w:type="dxa"/>
          </w:tcPr>
          <w:p w:rsidR="006224C2" w:rsidRPr="00295E71" w14:paraId="45519607" w14:textId="77777777">
            <w:pPr>
              <w:pPrChange w:id="3899" w:author="AbbVie14" w:date="2025-05-09T10:30:00Z">
                <w:pPr>
                  <w:pStyle w:val="TableText"/>
                  <w:jc w:val="center"/>
                </w:pPr>
              </w:pPrChange>
              <w:rPr>
                <w:del w:id="3900" w:author="AbbVie14" w:date="2025-05-09T10:30:00Z"/>
                <w:b/>
                <w:sz w:val="22"/>
                <w:szCs w:val="22"/>
              </w:rPr>
            </w:pPr>
            <w:del w:id="3901" w:author="AbbVie14" w:date="2025-05-09T10:30:00Z">
              <w:r w:rsidRPr="00295E71">
                <w:rPr>
                  <w:b/>
                  <w:sz w:val="22"/>
                  <w:szCs w:val="22"/>
                </w:rPr>
                <w:delText>Placebo</w:delText>
              </w:r>
            </w:del>
          </w:p>
        </w:tc>
        <w:tc>
          <w:tcPr>
            <w:tcW w:w="1928" w:type="dxa"/>
          </w:tcPr>
          <w:p w:rsidR="006224C2" w:rsidRPr="00295E71" w14:paraId="65F56115" w14:textId="77777777">
            <w:pPr>
              <w:pPrChange w:id="3902" w:author="AbbVie14" w:date="2025-05-09T10:30:00Z">
                <w:pPr>
                  <w:pStyle w:val="TableText"/>
                  <w:jc w:val="center"/>
                </w:pPr>
              </w:pPrChange>
              <w:rPr>
                <w:del w:id="3903" w:author="AbbVie14" w:date="2025-05-09T10:30:00Z"/>
                <w:b/>
                <w:bCs/>
                <w:sz w:val="22"/>
                <w:szCs w:val="22"/>
              </w:rPr>
            </w:pPr>
            <w:del w:id="3904" w:author="AbbVie14" w:date="2025-05-09T10:30:00Z">
              <w:r w:rsidRPr="00295E71">
                <w:rPr>
                  <w:b/>
                  <w:bCs/>
                  <w:sz w:val="22"/>
                  <w:szCs w:val="22"/>
                </w:rPr>
                <w:delText>40 mg Humira</w:delText>
              </w:r>
            </w:del>
            <w:del w:id="3905" w:author="AbbVie14" w:date="2025-05-09T10:30:00Z">
              <w:r w:rsidRPr="00295E71">
                <w:rPr>
                  <w:b/>
                  <w:bCs/>
                  <w:sz w:val="22"/>
                  <w:szCs w:val="22"/>
                </w:rPr>
                <w:br/>
                <w:delText>a settimane alterne</w:delText>
              </w:r>
            </w:del>
          </w:p>
        </w:tc>
        <w:tc>
          <w:tcPr>
            <w:tcW w:w="1700" w:type="dxa"/>
          </w:tcPr>
          <w:p w:rsidR="006224C2" w:rsidRPr="00295E71" w14:paraId="119A5AF8" w14:textId="77777777">
            <w:pPr>
              <w:pPrChange w:id="3906" w:author="AbbVie14" w:date="2025-05-09T10:30:00Z">
                <w:pPr>
                  <w:pStyle w:val="TableText"/>
                  <w:jc w:val="center"/>
                </w:pPr>
              </w:pPrChange>
              <w:rPr>
                <w:del w:id="3907" w:author="AbbVie14" w:date="2025-05-09T10:30:00Z"/>
                <w:b/>
                <w:sz w:val="22"/>
                <w:szCs w:val="22"/>
              </w:rPr>
            </w:pPr>
            <w:del w:id="3908" w:author="AbbVie14" w:date="2025-05-09T10:30:00Z">
              <w:r w:rsidRPr="00295E71">
                <w:rPr>
                  <w:b/>
                  <w:sz w:val="22"/>
                  <w:szCs w:val="22"/>
                </w:rPr>
                <w:delText>40 mg Humira</w:delText>
              </w:r>
            </w:del>
            <w:del w:id="3909" w:author="AbbVie14" w:date="2025-05-09T10:30:00Z">
              <w:r w:rsidRPr="00295E71">
                <w:rPr>
                  <w:b/>
                  <w:sz w:val="22"/>
                  <w:szCs w:val="22"/>
                </w:rPr>
                <w:br/>
                <w:delText>ogni settimana</w:delText>
              </w:r>
            </w:del>
          </w:p>
        </w:tc>
      </w:tr>
      <w:tr w14:paraId="6D59EED3" w14:textId="77777777">
        <w:tblPrEx>
          <w:tblW w:w="0" w:type="auto"/>
          <w:tblInd w:w="108" w:type="dxa"/>
          <w:tblLook w:val="0000"/>
        </w:tblPrEx>
        <w:trPr>
          <w:del w:id="3910" w:author="AbbVie14" w:date="2025-05-09T10:30:00Z"/>
        </w:trPr>
        <w:tc>
          <w:tcPr>
            <w:tcW w:w="3641" w:type="dxa"/>
          </w:tcPr>
          <w:p w:rsidR="006224C2" w:rsidRPr="00295E71" w14:paraId="4E0CF898" w14:textId="77777777">
            <w:pPr>
              <w:pPrChange w:id="3911" w:author="AbbVie14" w:date="2025-05-09T10:30:00Z">
                <w:pPr>
                  <w:pStyle w:val="TableText"/>
                </w:pPr>
              </w:pPrChange>
              <w:rPr>
                <w:del w:id="3912" w:author="AbbVie14" w:date="2025-05-09T10:30:00Z"/>
                <w:b/>
                <w:sz w:val="22"/>
                <w:szCs w:val="22"/>
              </w:rPr>
            </w:pPr>
            <w:del w:id="3913" w:author="AbbVie14" w:date="2025-05-09T10:30:00Z">
              <w:r w:rsidRPr="00295E71">
                <w:rPr>
                  <w:b/>
                  <w:sz w:val="22"/>
                  <w:szCs w:val="22"/>
                </w:rPr>
                <w:delText>Settimana 26</w:delText>
              </w:r>
            </w:del>
          </w:p>
        </w:tc>
        <w:tc>
          <w:tcPr>
            <w:tcW w:w="1751" w:type="dxa"/>
          </w:tcPr>
          <w:p w:rsidR="006224C2" w:rsidRPr="00295E71" w14:paraId="62A9AC78" w14:textId="77777777">
            <w:pPr>
              <w:pPrChange w:id="3914" w:author="AbbVie14" w:date="2025-05-09T10:30:00Z">
                <w:pPr>
                  <w:pStyle w:val="TableText"/>
                  <w:jc w:val="center"/>
                </w:pPr>
              </w:pPrChange>
              <w:rPr>
                <w:del w:id="3915" w:author="AbbVie14" w:date="2025-05-09T10:30:00Z"/>
                <w:b/>
                <w:sz w:val="22"/>
                <w:szCs w:val="22"/>
              </w:rPr>
            </w:pPr>
            <w:del w:id="3916" w:author="AbbVie14" w:date="2025-05-09T10:30:00Z">
              <w:r w:rsidRPr="00295E71">
                <w:rPr>
                  <w:b/>
                  <w:sz w:val="22"/>
                  <w:szCs w:val="22"/>
                </w:rPr>
                <w:delText>N=170</w:delText>
              </w:r>
            </w:del>
          </w:p>
        </w:tc>
        <w:tc>
          <w:tcPr>
            <w:tcW w:w="1928" w:type="dxa"/>
          </w:tcPr>
          <w:p w:rsidR="006224C2" w:rsidRPr="00295E71" w14:paraId="224A5BDA" w14:textId="77777777">
            <w:pPr>
              <w:pPrChange w:id="3917" w:author="AbbVie14" w:date="2025-05-09T10:30:00Z">
                <w:pPr>
                  <w:pStyle w:val="TableText"/>
                  <w:jc w:val="center"/>
                </w:pPr>
              </w:pPrChange>
              <w:rPr>
                <w:del w:id="3918" w:author="AbbVie14" w:date="2025-05-09T10:30:00Z"/>
                <w:b/>
                <w:sz w:val="22"/>
                <w:szCs w:val="22"/>
              </w:rPr>
            </w:pPr>
            <w:del w:id="3919" w:author="AbbVie14" w:date="2025-05-09T10:30:00Z">
              <w:r w:rsidRPr="00295E71">
                <w:rPr>
                  <w:b/>
                  <w:sz w:val="22"/>
                  <w:szCs w:val="22"/>
                </w:rPr>
                <w:delText>N=172</w:delText>
              </w:r>
            </w:del>
          </w:p>
        </w:tc>
        <w:tc>
          <w:tcPr>
            <w:tcW w:w="1700" w:type="dxa"/>
          </w:tcPr>
          <w:p w:rsidR="006224C2" w:rsidRPr="00295E71" w14:paraId="19B26F06" w14:textId="77777777">
            <w:pPr>
              <w:pPrChange w:id="3920" w:author="AbbVie14" w:date="2025-05-09T10:30:00Z">
                <w:pPr>
                  <w:pStyle w:val="TableText"/>
                  <w:jc w:val="center"/>
                </w:pPr>
              </w:pPrChange>
              <w:rPr>
                <w:del w:id="3921" w:author="AbbVie14" w:date="2025-05-09T10:30:00Z"/>
                <w:b/>
                <w:sz w:val="22"/>
                <w:szCs w:val="22"/>
              </w:rPr>
            </w:pPr>
            <w:del w:id="3922" w:author="AbbVie14" w:date="2025-05-09T10:30:00Z">
              <w:r w:rsidRPr="00295E71">
                <w:rPr>
                  <w:b/>
                  <w:sz w:val="22"/>
                  <w:szCs w:val="22"/>
                </w:rPr>
                <w:delText>N=157</w:delText>
              </w:r>
            </w:del>
          </w:p>
        </w:tc>
      </w:tr>
      <w:tr w14:paraId="5C7F10C4" w14:textId="77777777">
        <w:tblPrEx>
          <w:tblW w:w="0" w:type="auto"/>
          <w:tblInd w:w="108" w:type="dxa"/>
          <w:tblLook w:val="0000"/>
        </w:tblPrEx>
        <w:trPr>
          <w:del w:id="3923" w:author="AbbVie14" w:date="2025-05-09T10:30:00Z"/>
        </w:trPr>
        <w:tc>
          <w:tcPr>
            <w:tcW w:w="3641" w:type="dxa"/>
          </w:tcPr>
          <w:p w:rsidR="006224C2" w:rsidRPr="00295E71" w14:paraId="2E2C16F4" w14:textId="77777777">
            <w:pPr>
              <w:pPrChange w:id="3924" w:author="AbbVie14" w:date="2025-05-09T10:30:00Z">
                <w:pPr>
                  <w:pStyle w:val="TableText"/>
                </w:pPr>
              </w:pPrChange>
              <w:rPr>
                <w:del w:id="3925" w:author="AbbVie14" w:date="2025-05-09T10:30:00Z"/>
                <w:sz w:val="22"/>
                <w:szCs w:val="22"/>
              </w:rPr>
            </w:pPr>
            <w:del w:id="3926" w:author="AbbVie14" w:date="2025-05-09T10:30:00Z">
              <w:r w:rsidRPr="00295E71">
                <w:rPr>
                  <w:sz w:val="22"/>
                  <w:szCs w:val="22"/>
                </w:rPr>
                <w:delText>Remissione clinica</w:delText>
              </w:r>
            </w:del>
          </w:p>
        </w:tc>
        <w:tc>
          <w:tcPr>
            <w:tcW w:w="1751" w:type="dxa"/>
          </w:tcPr>
          <w:p w:rsidR="006224C2" w:rsidRPr="00295E71" w14:paraId="6C7963AF" w14:textId="77777777">
            <w:pPr>
              <w:pPrChange w:id="3927" w:author="AbbVie14" w:date="2025-05-09T10:30:00Z">
                <w:pPr>
                  <w:pStyle w:val="TableText"/>
                  <w:jc w:val="center"/>
                </w:pPr>
              </w:pPrChange>
              <w:rPr>
                <w:del w:id="3928" w:author="AbbVie14" w:date="2025-05-09T10:30:00Z"/>
                <w:sz w:val="22"/>
                <w:szCs w:val="22"/>
              </w:rPr>
            </w:pPr>
            <w:del w:id="3929" w:author="AbbVie14" w:date="2025-05-09T10:30:00Z">
              <w:r w:rsidRPr="00295E71">
                <w:rPr>
                  <w:sz w:val="22"/>
                  <w:szCs w:val="22"/>
                </w:rPr>
                <w:delText>17%</w:delText>
              </w:r>
            </w:del>
          </w:p>
        </w:tc>
        <w:tc>
          <w:tcPr>
            <w:tcW w:w="1928" w:type="dxa"/>
          </w:tcPr>
          <w:p w:rsidR="006224C2" w:rsidRPr="00295E71" w14:paraId="07F210A3" w14:textId="77777777">
            <w:pPr>
              <w:pPrChange w:id="3930" w:author="AbbVie14" w:date="2025-05-09T10:30:00Z">
                <w:pPr>
                  <w:pStyle w:val="TableText"/>
                  <w:jc w:val="center"/>
                </w:pPr>
              </w:pPrChange>
              <w:rPr>
                <w:del w:id="3931" w:author="AbbVie14" w:date="2025-05-09T10:30:00Z"/>
                <w:sz w:val="22"/>
                <w:szCs w:val="22"/>
              </w:rPr>
            </w:pPr>
            <w:del w:id="3932" w:author="AbbVie14" w:date="2025-05-09T10:30:00Z">
              <w:r w:rsidRPr="00295E71">
                <w:rPr>
                  <w:sz w:val="22"/>
                  <w:szCs w:val="22"/>
                </w:rPr>
                <w:delText>40%*</w:delText>
              </w:r>
            </w:del>
          </w:p>
        </w:tc>
        <w:tc>
          <w:tcPr>
            <w:tcW w:w="1700" w:type="dxa"/>
          </w:tcPr>
          <w:p w:rsidR="006224C2" w:rsidRPr="00295E71" w14:paraId="6C74EB98" w14:textId="77777777">
            <w:pPr>
              <w:pPrChange w:id="3933" w:author="AbbVie14" w:date="2025-05-09T10:30:00Z">
                <w:pPr>
                  <w:pStyle w:val="TableText"/>
                  <w:jc w:val="center"/>
                </w:pPr>
              </w:pPrChange>
              <w:rPr>
                <w:del w:id="3934" w:author="AbbVie14" w:date="2025-05-09T10:30:00Z"/>
                <w:sz w:val="22"/>
                <w:szCs w:val="22"/>
              </w:rPr>
            </w:pPr>
            <w:del w:id="3935" w:author="AbbVie14" w:date="2025-05-09T10:30:00Z">
              <w:r w:rsidRPr="00295E71">
                <w:rPr>
                  <w:sz w:val="22"/>
                  <w:szCs w:val="22"/>
                </w:rPr>
                <w:delText>47%*</w:delText>
              </w:r>
            </w:del>
          </w:p>
        </w:tc>
      </w:tr>
      <w:tr w14:paraId="3A81FDC4" w14:textId="77777777">
        <w:tblPrEx>
          <w:tblW w:w="0" w:type="auto"/>
          <w:tblInd w:w="108" w:type="dxa"/>
          <w:tblLook w:val="0000"/>
        </w:tblPrEx>
        <w:trPr>
          <w:del w:id="3936" w:author="AbbVie14" w:date="2025-05-09T10:30:00Z"/>
        </w:trPr>
        <w:tc>
          <w:tcPr>
            <w:tcW w:w="3641" w:type="dxa"/>
          </w:tcPr>
          <w:p w:rsidR="006224C2" w:rsidRPr="00295E71" w14:paraId="11B3146F" w14:textId="77777777">
            <w:pPr>
              <w:pPrChange w:id="3937" w:author="AbbVie14" w:date="2025-05-09T10:30:00Z">
                <w:pPr>
                  <w:pStyle w:val="TableText"/>
                </w:pPr>
              </w:pPrChange>
              <w:rPr>
                <w:del w:id="3938" w:author="AbbVie14" w:date="2025-05-09T10:30:00Z"/>
                <w:sz w:val="22"/>
                <w:szCs w:val="22"/>
              </w:rPr>
            </w:pPr>
            <w:del w:id="3939" w:author="AbbVie14" w:date="2025-05-09T10:30:00Z">
              <w:r w:rsidRPr="00295E71">
                <w:rPr>
                  <w:sz w:val="22"/>
                  <w:szCs w:val="22"/>
                </w:rPr>
                <w:delText>Risposta clinica (CR-100)</w:delText>
              </w:r>
            </w:del>
          </w:p>
        </w:tc>
        <w:tc>
          <w:tcPr>
            <w:tcW w:w="1751" w:type="dxa"/>
          </w:tcPr>
          <w:p w:rsidR="006224C2" w:rsidRPr="00295E71" w14:paraId="1E23A903" w14:textId="77777777">
            <w:pPr>
              <w:pPrChange w:id="3940" w:author="AbbVie14" w:date="2025-05-09T10:30:00Z">
                <w:pPr>
                  <w:pStyle w:val="TableText"/>
                  <w:jc w:val="center"/>
                </w:pPr>
              </w:pPrChange>
              <w:rPr>
                <w:del w:id="3941" w:author="AbbVie14" w:date="2025-05-09T10:30:00Z"/>
                <w:sz w:val="22"/>
                <w:szCs w:val="22"/>
              </w:rPr>
            </w:pPr>
            <w:del w:id="3942" w:author="AbbVie14" w:date="2025-05-09T10:30:00Z">
              <w:r w:rsidRPr="00295E71">
                <w:rPr>
                  <w:sz w:val="22"/>
                  <w:szCs w:val="22"/>
                </w:rPr>
                <w:delText>27%</w:delText>
              </w:r>
            </w:del>
          </w:p>
        </w:tc>
        <w:tc>
          <w:tcPr>
            <w:tcW w:w="1928" w:type="dxa"/>
          </w:tcPr>
          <w:p w:rsidR="006224C2" w:rsidRPr="00295E71" w14:paraId="5917A4E4" w14:textId="77777777">
            <w:pPr>
              <w:pPrChange w:id="3943" w:author="AbbVie14" w:date="2025-05-09T10:30:00Z">
                <w:pPr>
                  <w:pStyle w:val="TableText"/>
                  <w:jc w:val="center"/>
                </w:pPr>
              </w:pPrChange>
              <w:rPr>
                <w:del w:id="3944" w:author="AbbVie14" w:date="2025-05-09T10:30:00Z"/>
                <w:sz w:val="22"/>
                <w:szCs w:val="22"/>
              </w:rPr>
            </w:pPr>
            <w:del w:id="3945" w:author="AbbVie14" w:date="2025-05-09T10:30:00Z">
              <w:r w:rsidRPr="00295E71">
                <w:rPr>
                  <w:sz w:val="22"/>
                  <w:szCs w:val="22"/>
                </w:rPr>
                <w:delText>52%*</w:delText>
              </w:r>
            </w:del>
          </w:p>
        </w:tc>
        <w:tc>
          <w:tcPr>
            <w:tcW w:w="1700" w:type="dxa"/>
          </w:tcPr>
          <w:p w:rsidR="006224C2" w:rsidRPr="00295E71" w14:paraId="7B1D9FA2" w14:textId="77777777">
            <w:pPr>
              <w:pPrChange w:id="3946" w:author="AbbVie14" w:date="2025-05-09T10:30:00Z">
                <w:pPr>
                  <w:pStyle w:val="TableText"/>
                  <w:jc w:val="center"/>
                </w:pPr>
              </w:pPrChange>
              <w:rPr>
                <w:del w:id="3947" w:author="AbbVie14" w:date="2025-05-09T10:30:00Z"/>
                <w:sz w:val="22"/>
                <w:szCs w:val="22"/>
              </w:rPr>
            </w:pPr>
            <w:del w:id="3948" w:author="AbbVie14" w:date="2025-05-09T10:30:00Z">
              <w:r w:rsidRPr="00295E71">
                <w:rPr>
                  <w:sz w:val="22"/>
                  <w:szCs w:val="22"/>
                </w:rPr>
                <w:delText>52%*</w:delText>
              </w:r>
            </w:del>
          </w:p>
        </w:tc>
      </w:tr>
      <w:tr w14:paraId="5B128D30" w14:textId="77777777">
        <w:tblPrEx>
          <w:tblW w:w="0" w:type="auto"/>
          <w:tblInd w:w="108" w:type="dxa"/>
          <w:tblLook w:val="0000"/>
        </w:tblPrEx>
        <w:trPr>
          <w:del w:id="3949" w:author="AbbVie14" w:date="2025-05-09T10:30:00Z"/>
        </w:trPr>
        <w:tc>
          <w:tcPr>
            <w:tcW w:w="3641" w:type="dxa"/>
          </w:tcPr>
          <w:p w:rsidR="006224C2" w:rsidRPr="00295E71" w14:paraId="27F1220B" w14:textId="77777777">
            <w:pPr>
              <w:pPrChange w:id="3950" w:author="AbbVie14" w:date="2025-05-09T10:30:00Z">
                <w:pPr>
                  <w:pStyle w:val="TableText"/>
                  <w:ind w:left="360"/>
                </w:pPr>
              </w:pPrChange>
              <w:rPr>
                <w:del w:id="3951" w:author="AbbVie14" w:date="2025-05-09T10:30:00Z"/>
                <w:sz w:val="22"/>
                <w:szCs w:val="22"/>
              </w:rPr>
            </w:pPr>
            <w:del w:id="3952" w:author="AbbVie14" w:date="2025-05-09T10:30:00Z">
              <w:r w:rsidRPr="00295E71">
                <w:rPr>
                  <w:sz w:val="22"/>
                  <w:szCs w:val="22"/>
                </w:rPr>
                <w:delText xml:space="preserve">Pazienti in remissione senza trattamento steroideo </w:delText>
              </w:r>
            </w:del>
          </w:p>
          <w:p w:rsidR="006224C2" w:rsidRPr="00295E71" w14:paraId="68B3D1AA" w14:textId="77777777">
            <w:pPr>
              <w:pPrChange w:id="3953" w:author="AbbVie14" w:date="2025-05-09T10:30:00Z">
                <w:pPr>
                  <w:pStyle w:val="TableText"/>
                  <w:ind w:left="360"/>
                </w:pPr>
              </w:pPrChange>
              <w:rPr>
                <w:del w:id="3954" w:author="AbbVie14" w:date="2025-05-09T10:30:00Z"/>
                <w:sz w:val="22"/>
                <w:szCs w:val="22"/>
              </w:rPr>
            </w:pPr>
            <w:del w:id="3955" w:author="AbbVie14" w:date="2025-05-09T10:30:00Z">
              <w:r w:rsidRPr="00295E71">
                <w:rPr>
                  <w:sz w:val="22"/>
                  <w:szCs w:val="22"/>
                </w:rPr>
                <w:delText>per&gt;=90 giorni</w:delText>
              </w:r>
            </w:del>
            <w:del w:id="3956" w:author="AbbVie14" w:date="2025-05-09T10:30:00Z">
              <w:r w:rsidRPr="00295E71">
                <w:rPr>
                  <w:sz w:val="22"/>
                  <w:szCs w:val="22"/>
                  <w:vertAlign w:val="superscript"/>
                </w:rPr>
                <w:delText>a</w:delText>
              </w:r>
            </w:del>
          </w:p>
        </w:tc>
        <w:tc>
          <w:tcPr>
            <w:tcW w:w="1751" w:type="dxa"/>
          </w:tcPr>
          <w:p w:rsidR="006224C2" w:rsidRPr="00295E71" w14:paraId="557F6682" w14:textId="77777777">
            <w:pPr>
              <w:pPrChange w:id="3957" w:author="AbbVie14" w:date="2025-05-09T10:30:00Z">
                <w:pPr>
                  <w:pStyle w:val="TableText"/>
                  <w:jc w:val="center"/>
                </w:pPr>
              </w:pPrChange>
              <w:rPr>
                <w:del w:id="3958" w:author="AbbVie14" w:date="2025-05-09T10:30:00Z"/>
                <w:sz w:val="22"/>
                <w:szCs w:val="22"/>
              </w:rPr>
            </w:pPr>
            <w:del w:id="3959" w:author="AbbVie14" w:date="2025-05-09T10:30:00Z">
              <w:r w:rsidRPr="00295E71">
                <w:rPr>
                  <w:sz w:val="22"/>
                  <w:szCs w:val="22"/>
                </w:rPr>
                <w:delText>3% (2/66)</w:delText>
              </w:r>
            </w:del>
          </w:p>
        </w:tc>
        <w:tc>
          <w:tcPr>
            <w:tcW w:w="1928" w:type="dxa"/>
          </w:tcPr>
          <w:p w:rsidR="006224C2" w:rsidRPr="00295E71" w14:paraId="138C7DD1" w14:textId="77777777">
            <w:pPr>
              <w:pPrChange w:id="3960" w:author="AbbVie14" w:date="2025-05-09T10:30:00Z">
                <w:pPr>
                  <w:pStyle w:val="TableText"/>
                  <w:jc w:val="center"/>
                </w:pPr>
              </w:pPrChange>
              <w:rPr>
                <w:del w:id="3961" w:author="AbbVie14" w:date="2025-05-09T10:30:00Z"/>
                <w:sz w:val="22"/>
                <w:szCs w:val="22"/>
              </w:rPr>
            </w:pPr>
            <w:del w:id="3962" w:author="AbbVie14" w:date="2025-05-09T10:30:00Z">
              <w:r w:rsidRPr="00295E71">
                <w:rPr>
                  <w:sz w:val="22"/>
                  <w:szCs w:val="22"/>
                </w:rPr>
                <w:delText>19% (11/58)**</w:delText>
              </w:r>
            </w:del>
          </w:p>
        </w:tc>
        <w:tc>
          <w:tcPr>
            <w:tcW w:w="1700" w:type="dxa"/>
          </w:tcPr>
          <w:p w:rsidR="006224C2" w:rsidRPr="00295E71" w14:paraId="0FC386AE" w14:textId="77777777">
            <w:pPr>
              <w:pPrChange w:id="3963" w:author="AbbVie14" w:date="2025-05-09T10:30:00Z">
                <w:pPr>
                  <w:pStyle w:val="TableText"/>
                  <w:jc w:val="center"/>
                </w:pPr>
              </w:pPrChange>
              <w:rPr>
                <w:del w:id="3964" w:author="AbbVie14" w:date="2025-05-09T10:30:00Z"/>
                <w:sz w:val="22"/>
                <w:szCs w:val="22"/>
              </w:rPr>
            </w:pPr>
            <w:del w:id="3965" w:author="AbbVie14" w:date="2025-05-09T10:30:00Z">
              <w:r w:rsidRPr="00295E71">
                <w:rPr>
                  <w:sz w:val="22"/>
                  <w:szCs w:val="22"/>
                </w:rPr>
                <w:delText>15% (11/74)**</w:delText>
              </w:r>
            </w:del>
          </w:p>
        </w:tc>
      </w:tr>
      <w:tr w14:paraId="3562B259" w14:textId="77777777">
        <w:tblPrEx>
          <w:tblW w:w="0" w:type="auto"/>
          <w:tblInd w:w="108" w:type="dxa"/>
          <w:tblLook w:val="0000"/>
        </w:tblPrEx>
        <w:trPr>
          <w:del w:id="3966" w:author="AbbVie14" w:date="2025-05-09T10:30:00Z"/>
        </w:trPr>
        <w:tc>
          <w:tcPr>
            <w:tcW w:w="3641" w:type="dxa"/>
          </w:tcPr>
          <w:p w:rsidR="006224C2" w:rsidRPr="00295E71" w14:paraId="71BF4B51" w14:textId="77777777">
            <w:pPr>
              <w:pPrChange w:id="3967" w:author="AbbVie14" w:date="2025-05-09T10:30:00Z">
                <w:pPr>
                  <w:pStyle w:val="TableText"/>
                </w:pPr>
              </w:pPrChange>
              <w:rPr>
                <w:del w:id="3968" w:author="AbbVie14" w:date="2025-05-09T10:30:00Z"/>
                <w:b/>
                <w:sz w:val="22"/>
                <w:szCs w:val="22"/>
              </w:rPr>
            </w:pPr>
            <w:del w:id="3969" w:author="AbbVie14" w:date="2025-05-09T10:30:00Z">
              <w:r w:rsidRPr="00295E71">
                <w:rPr>
                  <w:b/>
                  <w:sz w:val="22"/>
                  <w:szCs w:val="22"/>
                </w:rPr>
                <w:delText>Settimana 56</w:delText>
              </w:r>
            </w:del>
          </w:p>
        </w:tc>
        <w:tc>
          <w:tcPr>
            <w:tcW w:w="1751" w:type="dxa"/>
          </w:tcPr>
          <w:p w:rsidR="006224C2" w:rsidRPr="00295E71" w14:paraId="52B95D4F" w14:textId="77777777">
            <w:pPr>
              <w:pPrChange w:id="3970" w:author="AbbVie14" w:date="2025-05-09T10:30:00Z">
                <w:pPr>
                  <w:pStyle w:val="TableText"/>
                  <w:jc w:val="center"/>
                </w:pPr>
              </w:pPrChange>
              <w:rPr>
                <w:del w:id="3971" w:author="AbbVie14" w:date="2025-05-09T10:30:00Z"/>
                <w:b/>
                <w:sz w:val="22"/>
                <w:szCs w:val="22"/>
              </w:rPr>
            </w:pPr>
            <w:del w:id="3972" w:author="AbbVie14" w:date="2025-05-09T10:30:00Z">
              <w:r w:rsidRPr="00295E71">
                <w:rPr>
                  <w:b/>
                  <w:sz w:val="22"/>
                  <w:szCs w:val="22"/>
                </w:rPr>
                <w:delText>N=170</w:delText>
              </w:r>
            </w:del>
          </w:p>
        </w:tc>
        <w:tc>
          <w:tcPr>
            <w:tcW w:w="1928" w:type="dxa"/>
          </w:tcPr>
          <w:p w:rsidR="006224C2" w:rsidRPr="00295E71" w14:paraId="2C3D7558" w14:textId="77777777">
            <w:pPr>
              <w:pPrChange w:id="3973" w:author="AbbVie14" w:date="2025-05-09T10:30:00Z">
                <w:pPr>
                  <w:pStyle w:val="TableText"/>
                  <w:jc w:val="center"/>
                </w:pPr>
              </w:pPrChange>
              <w:rPr>
                <w:del w:id="3974" w:author="AbbVie14" w:date="2025-05-09T10:30:00Z"/>
                <w:b/>
                <w:sz w:val="22"/>
                <w:szCs w:val="22"/>
              </w:rPr>
            </w:pPr>
            <w:del w:id="3975" w:author="AbbVie14" w:date="2025-05-09T10:30:00Z">
              <w:r w:rsidRPr="00295E71">
                <w:rPr>
                  <w:b/>
                  <w:sz w:val="22"/>
                  <w:szCs w:val="22"/>
                </w:rPr>
                <w:delText>N=172</w:delText>
              </w:r>
            </w:del>
          </w:p>
        </w:tc>
        <w:tc>
          <w:tcPr>
            <w:tcW w:w="1700" w:type="dxa"/>
          </w:tcPr>
          <w:p w:rsidR="006224C2" w:rsidRPr="00295E71" w14:paraId="4CCB7C0C" w14:textId="77777777">
            <w:pPr>
              <w:pPrChange w:id="3976" w:author="AbbVie14" w:date="2025-05-09T10:30:00Z">
                <w:pPr>
                  <w:pStyle w:val="TableText"/>
                  <w:jc w:val="center"/>
                </w:pPr>
              </w:pPrChange>
              <w:rPr>
                <w:del w:id="3977" w:author="AbbVie14" w:date="2025-05-09T10:30:00Z"/>
                <w:b/>
                <w:sz w:val="22"/>
                <w:szCs w:val="22"/>
              </w:rPr>
            </w:pPr>
            <w:del w:id="3978" w:author="AbbVie14" w:date="2025-05-09T10:30:00Z">
              <w:r w:rsidRPr="00295E71">
                <w:rPr>
                  <w:b/>
                  <w:sz w:val="22"/>
                  <w:szCs w:val="22"/>
                </w:rPr>
                <w:delText>N=157</w:delText>
              </w:r>
            </w:del>
          </w:p>
        </w:tc>
      </w:tr>
      <w:tr w14:paraId="6714A7C6" w14:textId="77777777">
        <w:tblPrEx>
          <w:tblW w:w="0" w:type="auto"/>
          <w:tblInd w:w="108" w:type="dxa"/>
          <w:tblLook w:val="0000"/>
        </w:tblPrEx>
        <w:trPr>
          <w:del w:id="3979" w:author="AbbVie14" w:date="2025-05-09T10:30:00Z"/>
        </w:trPr>
        <w:tc>
          <w:tcPr>
            <w:tcW w:w="3641" w:type="dxa"/>
          </w:tcPr>
          <w:p w:rsidR="006224C2" w:rsidRPr="00295E71" w14:paraId="2660DFF1" w14:textId="77777777">
            <w:pPr>
              <w:pPrChange w:id="3980" w:author="AbbVie14" w:date="2025-05-09T10:30:00Z">
                <w:pPr>
                  <w:pStyle w:val="TableText"/>
                </w:pPr>
              </w:pPrChange>
              <w:rPr>
                <w:del w:id="3981" w:author="AbbVie14" w:date="2025-05-09T10:30:00Z"/>
                <w:sz w:val="22"/>
                <w:szCs w:val="22"/>
              </w:rPr>
            </w:pPr>
            <w:del w:id="3982" w:author="AbbVie14" w:date="2025-05-09T10:30:00Z">
              <w:r w:rsidRPr="00295E71">
                <w:rPr>
                  <w:sz w:val="22"/>
                  <w:szCs w:val="22"/>
                </w:rPr>
                <w:delText>Remissione clinica</w:delText>
              </w:r>
            </w:del>
          </w:p>
        </w:tc>
        <w:tc>
          <w:tcPr>
            <w:tcW w:w="1751" w:type="dxa"/>
          </w:tcPr>
          <w:p w:rsidR="006224C2" w:rsidRPr="00295E71" w14:paraId="6D7BF1B2" w14:textId="77777777">
            <w:pPr>
              <w:pPrChange w:id="3983" w:author="AbbVie14" w:date="2025-05-09T10:30:00Z">
                <w:pPr>
                  <w:pStyle w:val="TableText"/>
                  <w:jc w:val="center"/>
                </w:pPr>
              </w:pPrChange>
              <w:rPr>
                <w:del w:id="3984" w:author="AbbVie14" w:date="2025-05-09T10:30:00Z"/>
                <w:sz w:val="22"/>
                <w:szCs w:val="22"/>
              </w:rPr>
            </w:pPr>
            <w:del w:id="3985" w:author="AbbVie14" w:date="2025-05-09T10:30:00Z">
              <w:r w:rsidRPr="00295E71">
                <w:rPr>
                  <w:sz w:val="22"/>
                  <w:szCs w:val="22"/>
                </w:rPr>
                <w:delText>12%</w:delText>
              </w:r>
            </w:del>
          </w:p>
        </w:tc>
        <w:tc>
          <w:tcPr>
            <w:tcW w:w="1928" w:type="dxa"/>
          </w:tcPr>
          <w:p w:rsidR="006224C2" w:rsidRPr="00295E71" w14:paraId="46F42F00" w14:textId="77777777">
            <w:pPr>
              <w:pPrChange w:id="3986" w:author="AbbVie14" w:date="2025-05-09T10:30:00Z">
                <w:pPr>
                  <w:pStyle w:val="TableText"/>
                  <w:jc w:val="center"/>
                </w:pPr>
              </w:pPrChange>
              <w:rPr>
                <w:del w:id="3987" w:author="AbbVie14" w:date="2025-05-09T10:30:00Z"/>
                <w:sz w:val="22"/>
                <w:szCs w:val="22"/>
              </w:rPr>
            </w:pPr>
            <w:del w:id="3988" w:author="AbbVie14" w:date="2025-05-09T10:30:00Z">
              <w:r w:rsidRPr="00295E71">
                <w:rPr>
                  <w:sz w:val="22"/>
                  <w:szCs w:val="22"/>
                </w:rPr>
                <w:delText>36%*</w:delText>
              </w:r>
            </w:del>
          </w:p>
        </w:tc>
        <w:tc>
          <w:tcPr>
            <w:tcW w:w="1700" w:type="dxa"/>
          </w:tcPr>
          <w:p w:rsidR="006224C2" w:rsidRPr="00295E71" w14:paraId="20BBFE3A" w14:textId="77777777">
            <w:pPr>
              <w:pPrChange w:id="3989" w:author="AbbVie14" w:date="2025-05-09T10:30:00Z">
                <w:pPr>
                  <w:pStyle w:val="TableText"/>
                  <w:jc w:val="center"/>
                </w:pPr>
              </w:pPrChange>
              <w:rPr>
                <w:del w:id="3990" w:author="AbbVie14" w:date="2025-05-09T10:30:00Z"/>
                <w:sz w:val="22"/>
                <w:szCs w:val="22"/>
              </w:rPr>
            </w:pPr>
            <w:del w:id="3991" w:author="AbbVie14" w:date="2025-05-09T10:30:00Z">
              <w:r w:rsidRPr="00295E71">
                <w:rPr>
                  <w:sz w:val="22"/>
                  <w:szCs w:val="22"/>
                </w:rPr>
                <w:delText>41%*</w:delText>
              </w:r>
            </w:del>
          </w:p>
        </w:tc>
      </w:tr>
      <w:tr w14:paraId="791CFD13" w14:textId="77777777">
        <w:tblPrEx>
          <w:tblW w:w="0" w:type="auto"/>
          <w:tblInd w:w="108" w:type="dxa"/>
          <w:tblLook w:val="0000"/>
        </w:tblPrEx>
        <w:trPr>
          <w:del w:id="3992" w:author="AbbVie14" w:date="2025-05-09T10:30:00Z"/>
        </w:trPr>
        <w:tc>
          <w:tcPr>
            <w:tcW w:w="3641" w:type="dxa"/>
          </w:tcPr>
          <w:p w:rsidR="006224C2" w:rsidRPr="00295E71" w14:paraId="1E753352" w14:textId="77777777">
            <w:pPr>
              <w:pPrChange w:id="3993" w:author="AbbVie14" w:date="2025-05-09T10:30:00Z">
                <w:pPr>
                  <w:pStyle w:val="TableText"/>
                </w:pPr>
              </w:pPrChange>
              <w:rPr>
                <w:del w:id="3994" w:author="AbbVie14" w:date="2025-05-09T10:30:00Z"/>
                <w:sz w:val="22"/>
                <w:szCs w:val="22"/>
              </w:rPr>
            </w:pPr>
            <w:del w:id="3995" w:author="AbbVie14" w:date="2025-05-09T10:30:00Z">
              <w:r w:rsidRPr="00295E71">
                <w:rPr>
                  <w:sz w:val="22"/>
                  <w:szCs w:val="22"/>
                </w:rPr>
                <w:delText>Risposta clinica (CR-100)</w:delText>
              </w:r>
            </w:del>
          </w:p>
        </w:tc>
        <w:tc>
          <w:tcPr>
            <w:tcW w:w="1751" w:type="dxa"/>
          </w:tcPr>
          <w:p w:rsidR="006224C2" w:rsidRPr="00295E71" w14:paraId="113E82D8" w14:textId="77777777">
            <w:pPr>
              <w:pPrChange w:id="3996" w:author="AbbVie14" w:date="2025-05-09T10:30:00Z">
                <w:pPr>
                  <w:pStyle w:val="TableText"/>
                  <w:jc w:val="center"/>
                </w:pPr>
              </w:pPrChange>
              <w:rPr>
                <w:del w:id="3997" w:author="AbbVie14" w:date="2025-05-09T10:30:00Z"/>
                <w:sz w:val="22"/>
                <w:szCs w:val="22"/>
              </w:rPr>
            </w:pPr>
            <w:del w:id="3998" w:author="AbbVie14" w:date="2025-05-09T10:30:00Z">
              <w:r w:rsidRPr="00295E71">
                <w:rPr>
                  <w:sz w:val="22"/>
                  <w:szCs w:val="22"/>
                </w:rPr>
                <w:delText>17%</w:delText>
              </w:r>
            </w:del>
          </w:p>
        </w:tc>
        <w:tc>
          <w:tcPr>
            <w:tcW w:w="1928" w:type="dxa"/>
          </w:tcPr>
          <w:p w:rsidR="006224C2" w:rsidRPr="00295E71" w14:paraId="262E58D6" w14:textId="77777777">
            <w:pPr>
              <w:pPrChange w:id="3999" w:author="AbbVie14" w:date="2025-05-09T10:30:00Z">
                <w:pPr>
                  <w:pStyle w:val="TableText"/>
                  <w:jc w:val="center"/>
                </w:pPr>
              </w:pPrChange>
              <w:rPr>
                <w:del w:id="4000" w:author="AbbVie14" w:date="2025-05-09T10:30:00Z"/>
                <w:sz w:val="22"/>
                <w:szCs w:val="22"/>
              </w:rPr>
            </w:pPr>
            <w:del w:id="4001" w:author="AbbVie14" w:date="2025-05-09T10:30:00Z">
              <w:r w:rsidRPr="00295E71">
                <w:rPr>
                  <w:sz w:val="22"/>
                  <w:szCs w:val="22"/>
                </w:rPr>
                <w:delText>41%*</w:delText>
              </w:r>
            </w:del>
          </w:p>
        </w:tc>
        <w:tc>
          <w:tcPr>
            <w:tcW w:w="1700" w:type="dxa"/>
          </w:tcPr>
          <w:p w:rsidR="006224C2" w:rsidRPr="00295E71" w14:paraId="5B12BE57" w14:textId="77777777">
            <w:pPr>
              <w:pPrChange w:id="4002" w:author="AbbVie14" w:date="2025-05-09T10:30:00Z">
                <w:pPr>
                  <w:pStyle w:val="TableText"/>
                  <w:jc w:val="center"/>
                </w:pPr>
              </w:pPrChange>
              <w:rPr>
                <w:del w:id="4003" w:author="AbbVie14" w:date="2025-05-09T10:30:00Z"/>
                <w:sz w:val="22"/>
                <w:szCs w:val="22"/>
              </w:rPr>
            </w:pPr>
            <w:del w:id="4004" w:author="AbbVie14" w:date="2025-05-09T10:30:00Z">
              <w:r w:rsidRPr="00295E71">
                <w:rPr>
                  <w:sz w:val="22"/>
                  <w:szCs w:val="22"/>
                </w:rPr>
                <w:delText>48%*</w:delText>
              </w:r>
            </w:del>
          </w:p>
        </w:tc>
      </w:tr>
      <w:tr w14:paraId="6EB4451B" w14:textId="77777777">
        <w:tblPrEx>
          <w:tblW w:w="0" w:type="auto"/>
          <w:tblInd w:w="108" w:type="dxa"/>
          <w:tblLook w:val="0000"/>
        </w:tblPrEx>
        <w:trPr>
          <w:del w:id="4005" w:author="AbbVie14" w:date="2025-05-09T10:30:00Z"/>
        </w:trPr>
        <w:tc>
          <w:tcPr>
            <w:tcW w:w="3641" w:type="dxa"/>
          </w:tcPr>
          <w:p w:rsidR="006224C2" w:rsidRPr="00295E71" w14:paraId="6825AA33" w14:textId="77777777">
            <w:pPr>
              <w:pPrChange w:id="4006" w:author="AbbVie14" w:date="2025-05-09T10:30:00Z">
                <w:pPr>
                  <w:pStyle w:val="TableText"/>
                  <w:ind w:left="360"/>
                </w:pPr>
              </w:pPrChange>
              <w:rPr>
                <w:del w:id="4007" w:author="AbbVie14" w:date="2025-05-09T10:30:00Z"/>
                <w:sz w:val="22"/>
                <w:szCs w:val="22"/>
              </w:rPr>
            </w:pPr>
            <w:del w:id="4008" w:author="AbbVie14" w:date="2025-05-09T10:30:00Z">
              <w:r w:rsidRPr="00295E71">
                <w:rPr>
                  <w:sz w:val="22"/>
                  <w:szCs w:val="22"/>
                </w:rPr>
                <w:delText>Pazienti in remissione senza trattamento steroideo per &gt;=90 giorni</w:delText>
              </w:r>
            </w:del>
            <w:del w:id="4009" w:author="AbbVie14" w:date="2025-05-09T10:30:00Z">
              <w:r w:rsidRPr="00295E71">
                <w:rPr>
                  <w:sz w:val="22"/>
                  <w:szCs w:val="22"/>
                  <w:vertAlign w:val="superscript"/>
                </w:rPr>
                <w:delText>a</w:delText>
              </w:r>
            </w:del>
          </w:p>
        </w:tc>
        <w:tc>
          <w:tcPr>
            <w:tcW w:w="1751" w:type="dxa"/>
          </w:tcPr>
          <w:p w:rsidR="006224C2" w:rsidRPr="00295E71" w14:paraId="07FF60BD" w14:textId="77777777">
            <w:pPr>
              <w:pPrChange w:id="4010" w:author="AbbVie14" w:date="2025-05-09T10:30:00Z">
                <w:pPr>
                  <w:pStyle w:val="TableText"/>
                  <w:jc w:val="center"/>
                </w:pPr>
              </w:pPrChange>
              <w:rPr>
                <w:del w:id="4011" w:author="AbbVie14" w:date="2025-05-09T10:30:00Z"/>
                <w:sz w:val="22"/>
                <w:szCs w:val="22"/>
              </w:rPr>
            </w:pPr>
            <w:del w:id="4012" w:author="AbbVie14" w:date="2025-05-09T10:30:00Z">
              <w:r w:rsidRPr="00295E71">
                <w:rPr>
                  <w:sz w:val="22"/>
                  <w:szCs w:val="22"/>
                </w:rPr>
                <w:delText>5% (3/66)</w:delText>
              </w:r>
            </w:del>
          </w:p>
        </w:tc>
        <w:tc>
          <w:tcPr>
            <w:tcW w:w="1928" w:type="dxa"/>
          </w:tcPr>
          <w:p w:rsidR="006224C2" w:rsidRPr="00295E71" w14:paraId="6B2EEFF3" w14:textId="77777777">
            <w:pPr>
              <w:pPrChange w:id="4013" w:author="AbbVie14" w:date="2025-05-09T10:30:00Z">
                <w:pPr>
                  <w:pStyle w:val="TableText"/>
                  <w:jc w:val="center"/>
                </w:pPr>
              </w:pPrChange>
              <w:rPr>
                <w:del w:id="4014" w:author="AbbVie14" w:date="2025-05-09T10:30:00Z"/>
                <w:sz w:val="22"/>
                <w:szCs w:val="22"/>
              </w:rPr>
            </w:pPr>
            <w:del w:id="4015" w:author="AbbVie14" w:date="2025-05-09T10:30:00Z">
              <w:r w:rsidRPr="00295E71">
                <w:rPr>
                  <w:sz w:val="22"/>
                  <w:szCs w:val="22"/>
                </w:rPr>
                <w:delText>29% (17/58)*</w:delText>
              </w:r>
            </w:del>
          </w:p>
        </w:tc>
        <w:tc>
          <w:tcPr>
            <w:tcW w:w="1700" w:type="dxa"/>
          </w:tcPr>
          <w:p w:rsidR="006224C2" w:rsidRPr="00295E71" w14:paraId="02B82D73" w14:textId="77777777">
            <w:pPr>
              <w:pPrChange w:id="4016" w:author="AbbVie14" w:date="2025-05-09T10:30:00Z">
                <w:pPr>
                  <w:pStyle w:val="TableText"/>
                  <w:jc w:val="center"/>
                </w:pPr>
              </w:pPrChange>
              <w:rPr>
                <w:del w:id="4017" w:author="AbbVie14" w:date="2025-05-09T10:30:00Z"/>
                <w:sz w:val="22"/>
                <w:szCs w:val="22"/>
              </w:rPr>
            </w:pPr>
            <w:del w:id="4018" w:author="AbbVie14" w:date="2025-05-09T10:30:00Z">
              <w:r w:rsidRPr="00295E71">
                <w:rPr>
                  <w:sz w:val="22"/>
                  <w:szCs w:val="22"/>
                </w:rPr>
                <w:delText>20% (15/74)**</w:delText>
              </w:r>
            </w:del>
          </w:p>
        </w:tc>
      </w:tr>
      <w:tr w14:paraId="618983BD" w14:textId="77777777">
        <w:tblPrEx>
          <w:tblW w:w="0" w:type="auto"/>
          <w:tblInd w:w="108" w:type="dxa"/>
          <w:tblLook w:val="0000"/>
        </w:tblPrEx>
        <w:trPr>
          <w:cantSplit/>
          <w:del w:id="4019" w:author="AbbVie14" w:date="2025-05-09T10:30:00Z"/>
        </w:trPr>
        <w:tc>
          <w:tcPr>
            <w:tcW w:w="9020" w:type="dxa"/>
            <w:gridSpan w:val="4"/>
            <w:tcBorders>
              <w:left w:val="nil"/>
              <w:right w:val="nil"/>
            </w:tcBorders>
          </w:tcPr>
          <w:p w:rsidR="006224C2" w:rsidRPr="00295E71" w14:paraId="14CBFCB9" w14:textId="77777777">
            <w:pPr>
              <w:pPrChange w:id="4020" w:author="AbbVie14" w:date="2025-05-09T10:30:00Z">
                <w:pPr>
                  <w:pStyle w:val="Default"/>
                  <w:keepNext/>
                  <w:spacing w:before="20"/>
                  <w:ind w:left="-108" w:right="-20"/>
                  <w:jc w:val="both"/>
                </w:pPr>
              </w:pPrChange>
              <w:rPr>
                <w:del w:id="4021" w:author="AbbVie14" w:date="2025-05-09T10:30:00Z"/>
                <w:sz w:val="22"/>
                <w:szCs w:val="22"/>
              </w:rPr>
            </w:pPr>
            <w:del w:id="4022" w:author="AbbVie14" w:date="2025-05-09T10:30:00Z">
              <w:r w:rsidRPr="00295E71">
                <w:rPr>
                  <w:sz w:val="22"/>
                  <w:szCs w:val="22"/>
                </w:rPr>
                <w:delText xml:space="preserve">* p&lt;0,001 per confronti a coppie delle percentuali Humira verso placebo </w:delText>
              </w:r>
            </w:del>
          </w:p>
          <w:p w:rsidR="006224C2" w:rsidRPr="00295E71" w14:paraId="70AAFC94" w14:textId="77777777">
            <w:pPr>
              <w:pPrChange w:id="4023" w:author="AbbVie14" w:date="2025-05-09T10:30:00Z">
                <w:pPr>
                  <w:pStyle w:val="Default"/>
                  <w:keepNext/>
                  <w:spacing w:before="20"/>
                  <w:ind w:right="-20"/>
                  <w:jc w:val="both"/>
                </w:pPr>
              </w:pPrChange>
              <w:rPr>
                <w:del w:id="4024" w:author="AbbVie14" w:date="2025-05-09T10:30:00Z"/>
                <w:sz w:val="22"/>
                <w:szCs w:val="22"/>
              </w:rPr>
            </w:pPr>
            <w:del w:id="4025" w:author="AbbVie14" w:date="2025-05-09T10:30:00Z">
              <w:r w:rsidRPr="00295E71">
                <w:rPr>
                  <w:sz w:val="22"/>
                  <w:szCs w:val="22"/>
                </w:rPr>
                <w:delText xml:space="preserve">** p&lt;0,02 per confronti a coppie delle percentuali Humira verso placebo </w:delText>
              </w:r>
            </w:del>
          </w:p>
          <w:p w:rsidR="006224C2" w:rsidRPr="00295E71" w14:paraId="6AA89C85" w14:textId="77777777">
            <w:pPr>
              <w:pPrChange w:id="4026" w:author="AbbVie14" w:date="2025-05-09T10:30:00Z">
                <w:pPr>
                  <w:pStyle w:val="TableText"/>
                  <w:jc w:val="both"/>
                </w:pPr>
              </w:pPrChange>
              <w:rPr>
                <w:del w:id="4027" w:author="AbbVie14" w:date="2025-05-09T10:30:00Z"/>
                <w:sz w:val="22"/>
                <w:szCs w:val="22"/>
              </w:rPr>
            </w:pPr>
            <w:del w:id="4028" w:author="AbbVie14" w:date="2025-05-09T10:30:00Z">
              <w:r w:rsidRPr="00295E71">
                <w:rPr>
                  <w:sz w:val="22"/>
                  <w:szCs w:val="22"/>
                  <w:vertAlign w:val="superscript"/>
                </w:rPr>
                <w:delText>a</w:delText>
              </w:r>
            </w:del>
            <w:del w:id="4029" w:author="AbbVie14" w:date="2025-05-09T10:30:00Z">
              <w:r w:rsidRPr="00295E71">
                <w:rPr>
                  <w:sz w:val="22"/>
                  <w:szCs w:val="22"/>
                </w:rPr>
                <w:delText>di coloro che sono stati trattati con corticosteroidi al basale</w:delText>
              </w:r>
            </w:del>
          </w:p>
        </w:tc>
      </w:tr>
    </w:tbl>
    <w:p w:rsidR="006224C2" w:rsidRPr="00295E71" w14:paraId="738FD94D" w14:textId="77777777">
      <w:pPr>
        <w:pPrChange w:id="4030" w:author="AbbVie14" w:date="2025-05-09T10:30:00Z">
          <w:pPr>
            <w:pStyle w:val="EMEANormal"/>
            <w:jc w:val="both"/>
          </w:pPr>
        </w:pPrChange>
        <w:rPr>
          <w:del w:id="4031" w:author="AbbVie14" w:date="2025-05-09T10:30:00Z"/>
        </w:rPr>
      </w:pPr>
    </w:p>
    <w:p w:rsidR="006224C2" w:rsidRPr="00295E71" w14:paraId="70905189" w14:textId="77777777">
      <w:pPr>
        <w:jc w:val="left"/>
        <w:pPrChange w:id="4032" w:author="AbbVie14" w:date="2025-05-09T10:30:00Z">
          <w:pPr>
            <w:jc w:val="both"/>
          </w:pPr>
        </w:pPrChange>
        <w:rPr>
          <w:del w:id="4033" w:author="AbbVie14" w:date="2025-05-09T10:30:00Z"/>
          <w:color w:val="000000"/>
          <w:sz w:val="22"/>
          <w:szCs w:val="22"/>
        </w:rPr>
      </w:pPr>
      <w:del w:id="4034" w:author="AbbVie14" w:date="2025-05-09T10:30:00Z">
        <w:r w:rsidRPr="00295E71">
          <w:rPr>
            <w:color w:val="000000"/>
            <w:sz w:val="22"/>
            <w:szCs w:val="22"/>
          </w:rPr>
          <w:delText>Tra i pazienti che non hanno evidenziato una risposta alla settimana 4, il 43% dei pazienti trattati con terapia di mantenimento a base di Humira ha manifestato una risposta entro la settimana 12 rispetto al 30% dei pazienti trattati con placebo. Tali risultati suggeriscono che alcuni pazienti che non hanno manifestato una risposta alla settimana 4 traggono giovamento dalla terapia di mantenimento continuata fino alla settimana 12. La terapia proseguita oltre le 12 settimane non ha portato ad un numero significativamente più elevato di risposte (vedere paragrafo 4.2).</w:delText>
        </w:r>
      </w:del>
    </w:p>
    <w:p w:rsidR="006224C2" w:rsidRPr="00295E71" w14:paraId="6B94EAA1" w14:textId="77777777">
      <w:pPr>
        <w:jc w:val="left"/>
        <w:pPrChange w:id="4035" w:author="AbbVie14" w:date="2025-05-09T10:30:00Z">
          <w:pPr>
            <w:jc w:val="both"/>
          </w:pPr>
        </w:pPrChange>
        <w:rPr>
          <w:del w:id="4036" w:author="AbbVie14" w:date="2025-05-09T10:30:00Z"/>
          <w:color w:val="000000"/>
          <w:sz w:val="22"/>
          <w:szCs w:val="22"/>
        </w:rPr>
      </w:pPr>
    </w:p>
    <w:p w:rsidR="006224C2" w:rsidRPr="00295E71" w14:paraId="4AFA180D" w14:textId="77777777">
      <w:pPr>
        <w:pPrChange w:id="4037" w:author="AbbVie14" w:date="2025-05-09T10:30:00Z">
          <w:pPr>
            <w:pStyle w:val="EMEAHeadingUnderline"/>
            <w:spacing w:beforeLines="0" w:afterLines="0"/>
            <w:jc w:val="both"/>
          </w:pPr>
        </w:pPrChange>
        <w:rPr>
          <w:del w:id="4038" w:author="AbbVie14" w:date="2025-05-09T10:30:00Z"/>
        </w:rPr>
      </w:pPr>
      <w:del w:id="4039" w:author="AbbVie14" w:date="2025-05-09T10:30:00Z">
        <w:r w:rsidRPr="00295E71">
          <w:delText>117/276 pazienti dallo studio CD I e 272/777 pazienti provenienti da</w:delText>
        </w:r>
      </w:del>
      <w:del w:id="4040" w:author="AbbVie14" w:date="2025-05-09T10:30:00Z">
        <w:r w:rsidR="00CB53AC">
          <w:delText>gli</w:delText>
        </w:r>
      </w:del>
      <w:del w:id="4041" w:author="AbbVie14" w:date="2025-05-09T10:30:00Z">
        <w:r w:rsidRPr="00295E71">
          <w:delText xml:space="preserve"> studi CD II e III sono stati seguiti per almeno 3 anni di terapia con adalimumab in aperto. Rispettivamente 88 e 189 pazienti hanno continuato a mantenere la remissione clinica. La risposta clinica (CR-100) è stata mantenuta rispettivamente in 102 e 233 pazienti.</w:delText>
        </w:r>
      </w:del>
    </w:p>
    <w:p w:rsidR="006224C2" w:rsidRPr="00295E71" w:rsidP="00AD7AF0" w14:paraId="77798469" w14:textId="77777777">
      <w:pPr>
        <w:rPr>
          <w:del w:id="4042" w:author="AbbVie14" w:date="2025-05-09T10:30:00Z"/>
          <w:sz w:val="22"/>
          <w:szCs w:val="22"/>
          <w:lang w:eastAsia="en-US"/>
        </w:rPr>
      </w:pPr>
    </w:p>
    <w:p w:rsidR="006224C2" w:rsidRPr="00295E71" w:rsidP="00AD7AF0" w14:paraId="0BD99A3F" w14:textId="77777777">
      <w:pPr>
        <w:rPr>
          <w:del w:id="4043" w:author="AbbVie14" w:date="2025-05-09T10:30:00Z"/>
          <w:i/>
          <w:sz w:val="22"/>
          <w:szCs w:val="22"/>
          <w:u w:val="single"/>
        </w:rPr>
      </w:pPr>
      <w:del w:id="4044" w:author="AbbVie14" w:date="2025-05-09T10:30:00Z">
        <w:r w:rsidRPr="00295E71">
          <w:rPr>
            <w:i/>
            <w:sz w:val="22"/>
            <w:szCs w:val="22"/>
            <w:u w:val="single"/>
          </w:rPr>
          <w:delText>Qualità di vita</w:delText>
        </w:r>
      </w:del>
    </w:p>
    <w:p w:rsidR="006224C2" w:rsidRPr="00295E71" w:rsidP="00AD7AF0" w14:paraId="35FF1E28" w14:textId="77777777">
      <w:pPr>
        <w:rPr>
          <w:del w:id="4045" w:author="AbbVie14" w:date="2025-05-09T10:30:00Z"/>
          <w:sz w:val="22"/>
          <w:szCs w:val="22"/>
          <w:lang w:eastAsia="en-US"/>
        </w:rPr>
      </w:pPr>
    </w:p>
    <w:p w:rsidR="006224C2" w:rsidRPr="00287663" w14:paraId="1734B203" w14:textId="77777777">
      <w:pPr>
        <w:pPrChange w:id="4046" w:author="AbbVie14" w:date="2025-05-09T10:30:00Z">
          <w:pPr>
            <w:pStyle w:val="EMEANormal"/>
            <w:jc w:val="both"/>
          </w:pPr>
        </w:pPrChange>
        <w:rPr>
          <w:del w:id="4047" w:author="AbbVie14" w:date="2025-05-09T10:30:00Z"/>
        </w:rPr>
      </w:pPr>
      <w:del w:id="4048" w:author="AbbVie14" w:date="2025-05-09T10:30:00Z">
        <w:r w:rsidRPr="00295E71">
          <w:rPr>
            <w:bCs/>
          </w:rPr>
          <w:delText xml:space="preserve">Negli Studi CD I e CD II, alla settimana 4 era raggiunto un miglioramento statisticamente significativo nel punteggio totale del questionario IBDQ (inflammatory bowel disease questionnaire) nei pazienti </w:delText>
        </w:r>
      </w:del>
      <w:del w:id="4049" w:author="AbbVie14" w:date="2025-05-09T10:30:00Z">
        <w:r w:rsidRPr="006461E3">
          <w:rPr>
            <w:bCs/>
          </w:rPr>
          <w:delText>randomizzati a Humira 80/40 mg e 160/80 mg rispetto al placebo</w:delText>
        </w:r>
      </w:del>
      <w:del w:id="4050" w:author="AbbVie14" w:date="2025-05-09T10:30:00Z">
        <w:r w:rsidRPr="006461E3" w:rsidR="00CB53AC">
          <w:rPr>
            <w:bCs/>
          </w:rPr>
          <w:delText xml:space="preserve"> </w:delText>
        </w:r>
      </w:del>
      <w:del w:id="4051" w:author="AbbVie14" w:date="2025-05-09T10:30:00Z">
        <w:r w:rsidRPr="0007648D">
          <w:rPr>
            <w:bCs/>
          </w:rPr>
          <w:delText xml:space="preserve">ed era visto alla settimana 26 e 56 nello Studio CD III come pure tra i gruppi di trattamento con </w:delText>
        </w:r>
      </w:del>
      <w:del w:id="4052" w:author="AbbVie14" w:date="2025-05-09T10:30:00Z">
        <w:r w:rsidRPr="00287663" w:rsidR="00CB53AC">
          <w:rPr>
            <w:bCs/>
          </w:rPr>
          <w:delText xml:space="preserve">adalimumab </w:delText>
        </w:r>
      </w:del>
      <w:del w:id="4053" w:author="AbbVie14" w:date="2025-05-09T10:30:00Z">
        <w:r w:rsidRPr="00287663">
          <w:rPr>
            <w:bCs/>
          </w:rPr>
          <w:delText>rispetto al gruppo placebo.</w:delText>
        </w:r>
      </w:del>
    </w:p>
    <w:p w:rsidR="006224C2" w:rsidRPr="00287663" w:rsidP="00AD7AF0" w14:paraId="5B9DC985" w14:textId="77777777">
      <w:pPr>
        <w:rPr>
          <w:del w:id="4054" w:author="AbbVie14" w:date="2025-05-09T10:30:00Z"/>
          <w:color w:val="000000"/>
          <w:sz w:val="22"/>
          <w:szCs w:val="22"/>
          <w:u w:val="single"/>
        </w:rPr>
      </w:pPr>
    </w:p>
    <w:p w:rsidR="006224C2" w:rsidRPr="00295E71" w14:paraId="4F48E881" w14:textId="77777777">
      <w:pPr>
        <w:pPrChange w:id="4055" w:author="AbbVie14" w:date="2025-05-09T10:30:00Z">
          <w:pPr>
            <w:pStyle w:val="EMEANormal"/>
            <w:keepNext/>
            <w:keepLines/>
          </w:pPr>
        </w:pPrChange>
        <w:rPr>
          <w:del w:id="4056" w:author="AbbVie14" w:date="2025-05-09T10:30:00Z"/>
          <w:bCs/>
          <w:i/>
        </w:rPr>
      </w:pPr>
      <w:del w:id="4057" w:author="AbbVie14" w:date="2025-05-09T10:30:00Z">
        <w:r w:rsidRPr="00287663">
          <w:rPr>
            <w:bCs/>
            <w:i/>
          </w:rPr>
          <w:delText>Uveite dell’adulto</w:delText>
        </w:r>
      </w:del>
    </w:p>
    <w:p w:rsidR="006224C2" w:rsidRPr="00295E71" w14:paraId="3B0C7A00" w14:textId="77777777">
      <w:pPr>
        <w:pPrChange w:id="4058" w:author="AbbVie14" w:date="2025-05-09T10:30:00Z">
          <w:pPr>
            <w:pStyle w:val="EMEANormal"/>
            <w:keepNext/>
            <w:keepLines/>
          </w:pPr>
        </w:pPrChange>
        <w:rPr>
          <w:del w:id="4059" w:author="AbbVie14" w:date="2025-05-09T10:30:00Z"/>
          <w:bCs/>
        </w:rPr>
      </w:pPr>
    </w:p>
    <w:p w:rsidR="006224C2" w:rsidRPr="00295E71" w14:paraId="68B1235F" w14:textId="77777777">
      <w:pPr>
        <w:keepNext w:val="0"/>
        <w:keepLines w:val="0"/>
        <w:tabs>
          <w:tab w:val="clear" w:pos="567"/>
          <w:tab w:val="clear" w:pos="1294"/>
        </w:tabs>
        <w:autoSpaceDE/>
        <w:autoSpaceDN/>
        <w:adjustRightInd/>
        <w:jc w:val="left"/>
        <w:pPrChange w:id="4060" w:author="AbbVie14" w:date="2025-05-09T10:30:00Z">
          <w:pPr>
            <w:keepNext/>
            <w:keepLines/>
            <w:tabs>
              <w:tab w:val="left" w:pos="567"/>
              <w:tab w:val="left" w:pos="1294"/>
            </w:tabs>
            <w:autoSpaceDE w:val="0"/>
            <w:autoSpaceDN w:val="0"/>
            <w:adjustRightInd w:val="0"/>
            <w:jc w:val="both"/>
          </w:pPr>
        </w:pPrChange>
        <w:rPr>
          <w:del w:id="4061" w:author="AbbVie14" w:date="2025-05-09T10:30:00Z"/>
          <w:color w:val="000000"/>
          <w:sz w:val="22"/>
          <w:szCs w:val="22"/>
        </w:rPr>
      </w:pPr>
      <w:del w:id="4062" w:author="AbbVie14" w:date="2025-05-09T10:30:00Z">
        <w:r w:rsidRPr="00295E71">
          <w:rPr>
            <w:color w:val="000000"/>
            <w:sz w:val="22"/>
            <w:szCs w:val="22"/>
          </w:rPr>
          <w:delText>La sicurezza e l'efficacia di Humira sono state valutate in pazienti adulti con uveite non-infettiva intermedia, posteriore e panuveite, escludendo i pazienti con uveite anteriore isolata, in due studi randomizzati, in doppio cieco, controllati con placebo (UV I e II). I pazienti hanno ricevuto placebo o Humira a una dose iniziale di 80 mg seguita da 40 mg a settimane alterne a partire da una settimana dopo la dose iniziale. Erano consentite dosi stabili concomitanti di un immunosoppressore non biologico.</w:delText>
        </w:r>
      </w:del>
    </w:p>
    <w:p w:rsidR="006224C2" w:rsidRPr="00295E71" w14:paraId="6EA6D763" w14:textId="77777777">
      <w:pPr>
        <w:tabs>
          <w:tab w:val="clear" w:pos="567"/>
          <w:tab w:val="clear" w:pos="1294"/>
        </w:tabs>
        <w:autoSpaceDE/>
        <w:autoSpaceDN/>
        <w:adjustRightInd/>
        <w:jc w:val="left"/>
        <w:pPrChange w:id="4063" w:author="AbbVie14" w:date="2025-05-09T10:30:00Z">
          <w:pPr>
            <w:tabs>
              <w:tab w:val="left" w:pos="567"/>
              <w:tab w:val="left" w:pos="1294"/>
            </w:tabs>
            <w:autoSpaceDE w:val="0"/>
            <w:autoSpaceDN w:val="0"/>
            <w:adjustRightInd w:val="0"/>
            <w:jc w:val="both"/>
          </w:pPr>
        </w:pPrChange>
        <w:rPr>
          <w:del w:id="4064" w:author="AbbVie14" w:date="2025-05-09T10:30:00Z"/>
          <w:color w:val="000000"/>
          <w:sz w:val="22"/>
          <w:szCs w:val="22"/>
        </w:rPr>
      </w:pPr>
    </w:p>
    <w:p w:rsidR="006224C2" w:rsidRPr="00295E71" w14:paraId="11A1F60A" w14:textId="77777777">
      <w:pPr>
        <w:tabs>
          <w:tab w:val="clear" w:pos="567"/>
          <w:tab w:val="clear" w:pos="1294"/>
        </w:tabs>
        <w:autoSpaceDE/>
        <w:autoSpaceDN/>
        <w:adjustRightInd/>
        <w:jc w:val="left"/>
        <w:pPrChange w:id="4065" w:author="AbbVie14" w:date="2025-05-09T10:30:00Z">
          <w:pPr>
            <w:tabs>
              <w:tab w:val="left" w:pos="567"/>
              <w:tab w:val="left" w:pos="1294"/>
            </w:tabs>
            <w:autoSpaceDE w:val="0"/>
            <w:autoSpaceDN w:val="0"/>
            <w:adjustRightInd w:val="0"/>
            <w:jc w:val="both"/>
          </w:pPr>
        </w:pPrChange>
        <w:rPr>
          <w:del w:id="4066" w:author="AbbVie14" w:date="2025-05-09T10:30:00Z"/>
          <w:color w:val="000000"/>
          <w:sz w:val="22"/>
          <w:szCs w:val="22"/>
        </w:rPr>
      </w:pPr>
      <w:del w:id="4067" w:author="AbbVie14" w:date="2025-05-09T10:30:00Z">
        <w:r w:rsidRPr="00295E71">
          <w:rPr>
            <w:color w:val="000000"/>
            <w:sz w:val="22"/>
            <w:szCs w:val="22"/>
          </w:rPr>
          <w:delText xml:space="preserve">Lo Studio UV I ha valutato 217 pazienti con uveite attiva nonostante il trattamento con corticosteroidi (prednisone orale a una dose di 10-60 mg/die). Tutti i pazienti hanno ricevuto </w:delText>
        </w:r>
      </w:del>
      <w:del w:id="4068" w:author="AbbVie14" w:date="2025-05-09T10:30:00Z">
        <w:r w:rsidRPr="00295E71" w:rsidR="00C55A5F">
          <w:rPr>
            <w:color w:val="000000"/>
            <w:sz w:val="22"/>
            <w:szCs w:val="22"/>
          </w:rPr>
          <w:delText xml:space="preserve">all’ingresso nello studio </w:delText>
        </w:r>
      </w:del>
      <w:del w:id="4069" w:author="AbbVie14" w:date="2025-05-09T10:30:00Z">
        <w:r w:rsidRPr="00295E71">
          <w:rPr>
            <w:color w:val="000000"/>
            <w:sz w:val="22"/>
            <w:szCs w:val="22"/>
          </w:rPr>
          <w:delText xml:space="preserve">una dose standardizzata di prednisone pari a 60 mg/die per 2 settimane seguita da un programma obbligatorio di riduzione del dosaggio, fino alla sospensione totale del corticosteroide </w:delText>
        </w:r>
      </w:del>
      <w:del w:id="4070" w:author="AbbVie14" w:date="2025-05-09T10:30:00Z">
        <w:r w:rsidRPr="00295E71" w:rsidR="00085A55">
          <w:rPr>
            <w:color w:val="000000"/>
            <w:sz w:val="22"/>
            <w:szCs w:val="22"/>
          </w:rPr>
          <w:delText>entro la</w:delText>
        </w:r>
      </w:del>
      <w:del w:id="4071" w:author="AbbVie14" w:date="2025-05-09T10:30:00Z">
        <w:r w:rsidRPr="00295E71">
          <w:rPr>
            <w:color w:val="000000"/>
            <w:sz w:val="22"/>
            <w:szCs w:val="22"/>
          </w:rPr>
          <w:delText xml:space="preserve"> settimana 15.</w:delText>
        </w:r>
      </w:del>
    </w:p>
    <w:p w:rsidR="006224C2" w:rsidRPr="00295E71" w14:paraId="0D68A7E4" w14:textId="77777777">
      <w:pPr>
        <w:tabs>
          <w:tab w:val="clear" w:pos="567"/>
          <w:tab w:val="clear" w:pos="1294"/>
        </w:tabs>
        <w:autoSpaceDE/>
        <w:autoSpaceDN/>
        <w:adjustRightInd/>
        <w:jc w:val="left"/>
        <w:pPrChange w:id="4072" w:author="AbbVie14" w:date="2025-05-09T10:30:00Z">
          <w:pPr>
            <w:tabs>
              <w:tab w:val="left" w:pos="567"/>
              <w:tab w:val="left" w:pos="1294"/>
            </w:tabs>
            <w:autoSpaceDE w:val="0"/>
            <w:autoSpaceDN w:val="0"/>
            <w:adjustRightInd w:val="0"/>
            <w:jc w:val="both"/>
          </w:pPr>
        </w:pPrChange>
        <w:rPr>
          <w:del w:id="4073" w:author="AbbVie14" w:date="2025-05-09T10:30:00Z"/>
          <w:color w:val="000000"/>
          <w:sz w:val="22"/>
          <w:szCs w:val="22"/>
        </w:rPr>
      </w:pPr>
    </w:p>
    <w:p w:rsidR="006224C2" w:rsidRPr="00295E71" w14:paraId="02FD8988" w14:textId="77777777">
      <w:pPr>
        <w:tabs>
          <w:tab w:val="clear" w:pos="567"/>
          <w:tab w:val="clear" w:pos="1294"/>
        </w:tabs>
        <w:autoSpaceDE/>
        <w:autoSpaceDN/>
        <w:adjustRightInd/>
        <w:jc w:val="left"/>
        <w:pPrChange w:id="4074" w:author="AbbVie14" w:date="2025-05-09T10:30:00Z">
          <w:pPr>
            <w:tabs>
              <w:tab w:val="left" w:pos="567"/>
              <w:tab w:val="left" w:pos="1294"/>
            </w:tabs>
            <w:autoSpaceDE w:val="0"/>
            <w:autoSpaceDN w:val="0"/>
            <w:adjustRightInd w:val="0"/>
            <w:jc w:val="both"/>
          </w:pPr>
        </w:pPrChange>
        <w:rPr>
          <w:del w:id="4075" w:author="AbbVie14" w:date="2025-05-09T10:30:00Z"/>
          <w:color w:val="000000"/>
          <w:sz w:val="22"/>
          <w:szCs w:val="22"/>
        </w:rPr>
      </w:pPr>
      <w:del w:id="4076" w:author="AbbVie14" w:date="2025-05-09T10:30:00Z">
        <w:r w:rsidRPr="00295E71">
          <w:rPr>
            <w:color w:val="000000"/>
            <w:sz w:val="22"/>
            <w:szCs w:val="22"/>
          </w:rPr>
          <w:delText xml:space="preserve">Lo Studio UV II ha valutato 226 pazienti con uveite inattiva che al basale necessitavano di trattamento cronico con corticosteroide (prednisone orale da 10 a 35 mg/die) per controllare la loro malattia. I pazienti sono stati sottoposti successivamente a un programma obbligatorio di riduzione del dosaggio, fino alla sospensione totale del corticosteroide </w:delText>
        </w:r>
      </w:del>
      <w:del w:id="4077" w:author="AbbVie14" w:date="2025-05-09T10:30:00Z">
        <w:r w:rsidRPr="00295E71" w:rsidR="00085A55">
          <w:rPr>
            <w:color w:val="000000"/>
            <w:sz w:val="22"/>
            <w:szCs w:val="22"/>
          </w:rPr>
          <w:delText>entro la</w:delText>
        </w:r>
      </w:del>
      <w:del w:id="4078" w:author="AbbVie14" w:date="2025-05-09T10:30:00Z">
        <w:r w:rsidRPr="00295E71">
          <w:rPr>
            <w:color w:val="000000"/>
            <w:sz w:val="22"/>
            <w:szCs w:val="22"/>
          </w:rPr>
          <w:delText xml:space="preserve"> settimana 19.</w:delText>
        </w:r>
      </w:del>
    </w:p>
    <w:p w:rsidR="006224C2" w:rsidRPr="00295E71" w14:paraId="5391E69E" w14:textId="77777777">
      <w:pPr>
        <w:tabs>
          <w:tab w:val="clear" w:pos="567"/>
          <w:tab w:val="clear" w:pos="1294"/>
        </w:tabs>
        <w:autoSpaceDE/>
        <w:autoSpaceDN/>
        <w:adjustRightInd/>
        <w:jc w:val="left"/>
        <w:pPrChange w:id="4079" w:author="AbbVie14" w:date="2025-05-09T10:30:00Z">
          <w:pPr>
            <w:tabs>
              <w:tab w:val="left" w:pos="567"/>
              <w:tab w:val="left" w:pos="1294"/>
            </w:tabs>
            <w:autoSpaceDE w:val="0"/>
            <w:autoSpaceDN w:val="0"/>
            <w:adjustRightInd w:val="0"/>
            <w:jc w:val="both"/>
          </w:pPr>
        </w:pPrChange>
        <w:rPr>
          <w:del w:id="4080" w:author="AbbVie14" w:date="2025-05-09T10:30:00Z"/>
          <w:color w:val="000000"/>
          <w:sz w:val="22"/>
          <w:szCs w:val="22"/>
        </w:rPr>
      </w:pPr>
    </w:p>
    <w:p w:rsidR="006224C2" w:rsidRPr="00295E71" w14:paraId="1F492ECB" w14:textId="77777777">
      <w:pPr>
        <w:tabs>
          <w:tab w:val="clear" w:pos="567"/>
          <w:tab w:val="clear" w:pos="1294"/>
        </w:tabs>
        <w:autoSpaceDE/>
        <w:autoSpaceDN/>
        <w:adjustRightInd/>
        <w:jc w:val="left"/>
        <w:pPrChange w:id="4081" w:author="AbbVie14" w:date="2025-05-09T10:30:00Z">
          <w:pPr>
            <w:tabs>
              <w:tab w:val="left" w:pos="567"/>
              <w:tab w:val="left" w:pos="1294"/>
            </w:tabs>
            <w:autoSpaceDE w:val="0"/>
            <w:autoSpaceDN w:val="0"/>
            <w:adjustRightInd w:val="0"/>
            <w:jc w:val="both"/>
          </w:pPr>
        </w:pPrChange>
        <w:rPr>
          <w:del w:id="4082" w:author="AbbVie14" w:date="2025-05-09T10:30:00Z"/>
          <w:color w:val="000000"/>
          <w:sz w:val="22"/>
          <w:szCs w:val="22"/>
        </w:rPr>
      </w:pPr>
      <w:del w:id="4083" w:author="AbbVie14" w:date="2025-05-09T10:30:00Z">
        <w:r w:rsidRPr="00295E71">
          <w:rPr>
            <w:color w:val="000000"/>
            <w:sz w:val="22"/>
            <w:szCs w:val="22"/>
          </w:rPr>
          <w:delText>L'endpoint primario di efficacia in entrambi gli studi era il “tempo al fallimento del trattamento”. Il fallimento del trattamento è stato definito attraverso un parametro a più componenti basato su lesioni vascolari infiammatorie corioretiniche e/o retiniche, numero di cellule in camera anteriore (anterior chamber, AC), grado di opacità del vitreo (vitreous haze, VH) e migliore acuità visiva corretta (best corrected visual acuity, BCVA).</w:delText>
        </w:r>
      </w:del>
    </w:p>
    <w:p w:rsidR="006224C2" w:rsidRPr="00295E71" w14:paraId="5594E1BC" w14:textId="77777777">
      <w:pPr>
        <w:tabs>
          <w:tab w:val="clear" w:pos="567"/>
          <w:tab w:val="clear" w:pos="1294"/>
        </w:tabs>
        <w:autoSpaceDE/>
        <w:autoSpaceDN/>
        <w:adjustRightInd/>
        <w:jc w:val="left"/>
        <w:pPrChange w:id="4084" w:author="AbbVie14" w:date="2025-05-09T10:30:00Z">
          <w:pPr>
            <w:tabs>
              <w:tab w:val="left" w:pos="567"/>
              <w:tab w:val="left" w:pos="1294"/>
            </w:tabs>
            <w:autoSpaceDE w:val="0"/>
            <w:autoSpaceDN w:val="0"/>
            <w:adjustRightInd w:val="0"/>
            <w:jc w:val="both"/>
          </w:pPr>
        </w:pPrChange>
        <w:rPr>
          <w:del w:id="4085" w:author="AbbVie14" w:date="2025-05-09T10:30:00Z"/>
          <w:color w:val="000000"/>
          <w:sz w:val="22"/>
          <w:szCs w:val="22"/>
        </w:rPr>
      </w:pPr>
    </w:p>
    <w:p w:rsidR="004A271A" w14:paraId="4BA4C7C8" w14:textId="77777777">
      <w:pPr>
        <w:pPrChange w:id="4086" w:author="AbbVie14" w:date="2025-05-09T10:30:00Z">
          <w:pPr>
            <w:pStyle w:val="EMEANormal"/>
            <w:jc w:val="both"/>
          </w:pPr>
        </w:pPrChange>
        <w:rPr>
          <w:del w:id="4087" w:author="AbbVie14" w:date="2025-05-09T10:30:00Z"/>
          <w:color w:val="000000"/>
        </w:rPr>
      </w:pPr>
      <w:del w:id="4088" w:author="AbbVie14" w:date="2025-05-09T10:30:00Z">
        <w:r w:rsidRPr="00004788">
          <w:rPr>
            <w:color w:val="000000"/>
          </w:rPr>
          <w:delText xml:space="preserve">I pazienti che hanno completato gli Studi UV I e UV II erano eleggibili per </w:delText>
        </w:r>
      </w:del>
      <w:del w:id="4089" w:author="AbbVie14" w:date="2025-05-09T10:30:00Z">
        <w:r>
          <w:rPr>
            <w:color w:val="000000"/>
          </w:rPr>
          <w:delText xml:space="preserve">essere arruolati in uno </w:delText>
        </w:r>
      </w:del>
      <w:del w:id="4090" w:author="AbbVie14" w:date="2025-05-09T10:30:00Z">
        <w:r w:rsidRPr="00004788">
          <w:rPr>
            <w:color w:val="000000"/>
          </w:rPr>
          <w:delText xml:space="preserve">studio di estensione a lungo termine </w:delText>
        </w:r>
      </w:del>
      <w:del w:id="4091" w:author="AbbVie14" w:date="2025-05-09T10:30:00Z">
        <w:r>
          <w:rPr>
            <w:color w:val="000000"/>
          </w:rPr>
          <w:delText xml:space="preserve">non </w:delText>
        </w:r>
      </w:del>
      <w:del w:id="4092" w:author="AbbVie14" w:date="2025-05-09T10:30:00Z">
        <w:r w:rsidRPr="00004788">
          <w:rPr>
            <w:color w:val="000000"/>
          </w:rPr>
          <w:delText>controllato</w:delText>
        </w:r>
      </w:del>
      <w:del w:id="4093" w:author="AbbVie14" w:date="2025-05-09T10:30:00Z">
        <w:r>
          <w:rPr>
            <w:color w:val="000000"/>
          </w:rPr>
          <w:delText xml:space="preserve"> della </w:delText>
        </w:r>
      </w:del>
      <w:del w:id="4094" w:author="AbbVie14" w:date="2025-05-09T10:30:00Z">
        <w:r w:rsidRPr="00004788">
          <w:rPr>
            <w:color w:val="000000"/>
          </w:rPr>
          <w:delText xml:space="preserve">durata originariamente programmata di 78 settimane. I pazienti sono stati autorizzati a continuare </w:delText>
        </w:r>
      </w:del>
      <w:del w:id="4095" w:author="AbbVie14" w:date="2025-05-09T10:30:00Z">
        <w:r>
          <w:rPr>
            <w:color w:val="000000"/>
          </w:rPr>
          <w:delText xml:space="preserve">il medicinale in studio </w:delText>
        </w:r>
      </w:del>
      <w:del w:id="4096" w:author="AbbVie14" w:date="2025-05-09T10:30:00Z">
        <w:r w:rsidRPr="00004788">
          <w:rPr>
            <w:color w:val="000000"/>
          </w:rPr>
          <w:delText xml:space="preserve">oltre la </w:delText>
        </w:r>
      </w:del>
      <w:del w:id="4097" w:author="AbbVie14" w:date="2025-05-09T10:30:00Z">
        <w:r>
          <w:rPr>
            <w:color w:val="000000"/>
          </w:rPr>
          <w:delText>S</w:delText>
        </w:r>
      </w:del>
      <w:del w:id="4098" w:author="AbbVie14" w:date="2025-05-09T10:30:00Z">
        <w:r w:rsidRPr="00004788">
          <w:rPr>
            <w:color w:val="000000"/>
          </w:rPr>
          <w:delText xml:space="preserve">ettimana 78 fino a quando </w:delText>
        </w:r>
      </w:del>
      <w:del w:id="4099" w:author="AbbVie14" w:date="2025-05-09T10:30:00Z">
        <w:r w:rsidR="00FF189C">
          <w:rPr>
            <w:color w:val="000000"/>
          </w:rPr>
          <w:delText>hanno avuto</w:delText>
        </w:r>
      </w:del>
      <w:del w:id="4100" w:author="AbbVie14" w:date="2025-05-09T10:30:00Z">
        <w:r>
          <w:rPr>
            <w:color w:val="000000"/>
          </w:rPr>
          <w:delText xml:space="preserve"> </w:delText>
        </w:r>
      </w:del>
      <w:del w:id="4101" w:author="AbbVie14" w:date="2025-05-09T10:30:00Z">
        <w:r w:rsidRPr="00004788">
          <w:rPr>
            <w:color w:val="000000"/>
          </w:rPr>
          <w:delText>accesso a</w:delText>
        </w:r>
      </w:del>
      <w:del w:id="4102" w:author="AbbVie14" w:date="2025-05-09T10:30:00Z">
        <w:r>
          <w:rPr>
            <w:color w:val="000000"/>
          </w:rPr>
          <w:delText>d</w:delText>
        </w:r>
      </w:del>
      <w:del w:id="4103" w:author="AbbVie14" w:date="2025-05-09T10:30:00Z">
        <w:r w:rsidRPr="00004788">
          <w:rPr>
            <w:color w:val="000000"/>
          </w:rPr>
          <w:delText xml:space="preserve"> Humira.</w:delText>
        </w:r>
      </w:del>
    </w:p>
    <w:p w:rsidR="004A271A" w14:paraId="0B911F5F" w14:textId="77777777">
      <w:pPr>
        <w:tabs>
          <w:tab w:val="clear" w:pos="567"/>
          <w:tab w:val="clear" w:pos="1294"/>
        </w:tabs>
        <w:autoSpaceDE/>
        <w:autoSpaceDN/>
        <w:adjustRightInd/>
        <w:jc w:val="left"/>
        <w:pPrChange w:id="4104" w:author="AbbVie14" w:date="2025-05-09T10:30:00Z">
          <w:pPr>
            <w:tabs>
              <w:tab w:val="left" w:pos="567"/>
              <w:tab w:val="left" w:pos="1294"/>
            </w:tabs>
            <w:autoSpaceDE w:val="0"/>
            <w:autoSpaceDN w:val="0"/>
            <w:adjustRightInd w:val="0"/>
            <w:jc w:val="both"/>
          </w:pPr>
        </w:pPrChange>
        <w:rPr>
          <w:del w:id="4105" w:author="AbbVie14" w:date="2025-05-09T10:30:00Z"/>
          <w:i/>
          <w:color w:val="000000"/>
          <w:sz w:val="22"/>
          <w:szCs w:val="22"/>
          <w:u w:val="single"/>
        </w:rPr>
      </w:pPr>
    </w:p>
    <w:p w:rsidR="006224C2" w:rsidRPr="00295E71" w14:paraId="596D3F93" w14:textId="77777777">
      <w:pPr>
        <w:tabs>
          <w:tab w:val="clear" w:pos="567"/>
          <w:tab w:val="clear" w:pos="1294"/>
        </w:tabs>
        <w:autoSpaceDE/>
        <w:autoSpaceDN/>
        <w:adjustRightInd/>
        <w:jc w:val="left"/>
        <w:pPrChange w:id="4106" w:author="AbbVie14" w:date="2025-05-09T10:30:00Z">
          <w:pPr>
            <w:tabs>
              <w:tab w:val="left" w:pos="567"/>
              <w:tab w:val="left" w:pos="1294"/>
            </w:tabs>
            <w:autoSpaceDE w:val="0"/>
            <w:autoSpaceDN w:val="0"/>
            <w:adjustRightInd w:val="0"/>
            <w:jc w:val="both"/>
          </w:pPr>
        </w:pPrChange>
        <w:rPr>
          <w:del w:id="4107" w:author="AbbVie14" w:date="2025-05-09T10:30:00Z"/>
          <w:i/>
          <w:color w:val="000000"/>
          <w:sz w:val="22"/>
          <w:szCs w:val="22"/>
          <w:u w:val="single"/>
        </w:rPr>
      </w:pPr>
      <w:del w:id="4108" w:author="AbbVie14" w:date="2025-05-09T10:30:00Z">
        <w:r w:rsidRPr="00295E71">
          <w:rPr>
            <w:i/>
            <w:color w:val="000000"/>
            <w:sz w:val="22"/>
            <w:szCs w:val="22"/>
            <w:u w:val="single"/>
          </w:rPr>
          <w:delText>Risposta clinica</w:delText>
        </w:r>
      </w:del>
    </w:p>
    <w:p w:rsidR="006224C2" w:rsidRPr="00295E71" w14:paraId="4F2CCFDB" w14:textId="77777777">
      <w:pPr>
        <w:tabs>
          <w:tab w:val="left" w:pos="567"/>
          <w:tab w:val="left" w:pos="1294"/>
        </w:tabs>
        <w:autoSpaceDE w:val="0"/>
        <w:autoSpaceDN w:val="0"/>
        <w:adjustRightInd w:val="0"/>
        <w:jc w:val="both"/>
        <w:rPr>
          <w:del w:id="4109" w:author="AbbVie14" w:date="2025-05-09T10:31:00Z"/>
          <w:color w:val="000000"/>
          <w:sz w:val="22"/>
          <w:szCs w:val="22"/>
        </w:rPr>
      </w:pPr>
    </w:p>
    <w:p w:rsidR="006224C2" w:rsidRPr="00295E71" w14:paraId="052EDC27" w14:textId="77777777">
      <w:pPr>
        <w:tabs>
          <w:tab w:val="left" w:pos="567"/>
          <w:tab w:val="left" w:pos="1294"/>
        </w:tabs>
        <w:autoSpaceDE w:val="0"/>
        <w:autoSpaceDN w:val="0"/>
        <w:adjustRightInd w:val="0"/>
        <w:jc w:val="both"/>
        <w:rPr>
          <w:del w:id="4110" w:author="AbbVie14" w:date="2025-05-09T10:31:00Z"/>
          <w:color w:val="000000"/>
          <w:sz w:val="22"/>
          <w:szCs w:val="22"/>
        </w:rPr>
      </w:pPr>
      <w:del w:id="4111" w:author="AbbVie14" w:date="2025-05-09T10:31:00Z">
        <w:r w:rsidRPr="00295E71">
          <w:rPr>
            <w:color w:val="000000"/>
            <w:sz w:val="22"/>
            <w:szCs w:val="22"/>
          </w:rPr>
          <w:delText>I risultati di entrambi gli studi hanno dimostrato la riduzione statisticamente significativa del rischio di fallimento del trattamento nei pazienti trattati con Humira rispetto ai pazienti trattati con placebo (vedere Tabella </w:delText>
        </w:r>
      </w:del>
      <w:del w:id="4112" w:author="AbbVie14" w:date="2025-05-09T10:31:00Z">
        <w:r w:rsidR="000203FD">
          <w:rPr>
            <w:color w:val="000000"/>
            <w:sz w:val="22"/>
            <w:szCs w:val="22"/>
          </w:rPr>
          <w:delText>19</w:delText>
        </w:r>
      </w:del>
      <w:del w:id="4113" w:author="AbbVie14" w:date="2025-05-09T10:31:00Z">
        <w:r w:rsidRPr="00295E71">
          <w:rPr>
            <w:color w:val="000000"/>
            <w:sz w:val="22"/>
            <w:szCs w:val="22"/>
          </w:rPr>
          <w:delText>). Entrambi gli studi hanno dimostrato un effetto precoce e prolungato di Humira sul tasso di fallimento del trattamento rispetto al placebo (vedere Figura </w:delText>
        </w:r>
      </w:del>
      <w:del w:id="4114" w:author="AbbVie14" w:date="2025-05-09T10:31:00Z">
        <w:r w:rsidR="00701BD0">
          <w:rPr>
            <w:color w:val="000000"/>
            <w:sz w:val="22"/>
            <w:szCs w:val="22"/>
          </w:rPr>
          <w:delText>1</w:delText>
        </w:r>
      </w:del>
      <w:del w:id="4115" w:author="AbbVie14" w:date="2025-05-09T10:31:00Z">
        <w:r w:rsidRPr="00295E71">
          <w:rPr>
            <w:color w:val="000000"/>
            <w:sz w:val="22"/>
            <w:szCs w:val="22"/>
          </w:rPr>
          <w:delText>).</w:delText>
        </w:r>
      </w:del>
    </w:p>
    <w:p w:rsidR="006224C2" w:rsidRPr="00295E71" w:rsidP="00174188" w14:paraId="71C0849B" w14:textId="77777777">
      <w:pPr>
        <w:pStyle w:val="EMEANormal"/>
        <w:keepNext/>
        <w:rPr>
          <w:del w:id="4116" w:author="AbbVie14" w:date="2025-05-09T10:31:00Z"/>
          <w:lang w:val="it-IT"/>
        </w:rPr>
      </w:pPr>
    </w:p>
    <w:p w:rsidR="006224C2" w:rsidRPr="00295E71" w:rsidP="00174188" w14:paraId="01AC103E" w14:textId="77777777">
      <w:pPr>
        <w:pStyle w:val="EMEANormal"/>
        <w:keepNext/>
        <w:jc w:val="center"/>
        <w:rPr>
          <w:del w:id="4117" w:author="AbbVie14" w:date="2025-05-09T10:31:00Z"/>
          <w:b/>
          <w:lang w:val="it-IT"/>
        </w:rPr>
      </w:pPr>
      <w:del w:id="4118" w:author="AbbVie14" w:date="2025-05-09T10:31:00Z">
        <w:r w:rsidRPr="00295E71">
          <w:rPr>
            <w:b/>
            <w:lang w:val="it-IT"/>
          </w:rPr>
          <w:delText>Tabella </w:delText>
        </w:r>
      </w:del>
      <w:del w:id="4119" w:author="AbbVie14" w:date="2025-05-09T10:31:00Z">
        <w:r w:rsidR="000203FD">
          <w:rPr>
            <w:b/>
            <w:lang w:val="it-IT"/>
          </w:rPr>
          <w:delText>19</w:delText>
        </w:r>
      </w:del>
    </w:p>
    <w:p w:rsidR="006224C2" w:rsidRPr="00295E71" w:rsidP="00174188" w14:paraId="40F7DD96" w14:textId="77777777">
      <w:pPr>
        <w:pStyle w:val="EMEANormal"/>
        <w:keepNext/>
        <w:jc w:val="center"/>
        <w:rPr>
          <w:del w:id="4120" w:author="AbbVie14" w:date="2025-05-09T10:31:00Z"/>
          <w:b/>
          <w:lang w:val="it-IT"/>
        </w:rPr>
      </w:pPr>
      <w:del w:id="4121" w:author="AbbVie14" w:date="2025-05-09T10:31:00Z">
        <w:r w:rsidRPr="00295E71">
          <w:rPr>
            <w:b/>
            <w:lang w:val="it-IT"/>
          </w:rPr>
          <w:delText>Tempo al fallimento del trattamento negli studi UV I e UV II</w:delText>
        </w:r>
      </w:del>
    </w:p>
    <w:p w:rsidR="006224C2" w:rsidRPr="00295E71" w:rsidP="00174188" w14:paraId="7FFC8CC5" w14:textId="77777777">
      <w:pPr>
        <w:pStyle w:val="EMEANormal"/>
        <w:keepNext/>
        <w:jc w:val="center"/>
        <w:rPr>
          <w:del w:id="4122" w:author="AbbVie14" w:date="2025-05-09T10:31:00Z"/>
          <w:b/>
          <w:lang w:val="it-IT"/>
        </w:rPr>
      </w:pPr>
    </w:p>
    <w:tbl>
      <w:tblPr>
        <w:tblW w:w="0" w:type="auto"/>
        <w:tblBorders>
          <w:top w:val="single" w:sz="4" w:space="0" w:color="auto"/>
          <w:bottom w:val="single" w:sz="4" w:space="0" w:color="auto"/>
        </w:tblBorders>
        <w:tblLook w:val="04A0"/>
      </w:tblPr>
      <w:tblGrid>
        <w:gridCol w:w="2266"/>
        <w:gridCol w:w="719"/>
        <w:gridCol w:w="1231"/>
        <w:gridCol w:w="1887"/>
        <w:gridCol w:w="720"/>
        <w:gridCol w:w="1107"/>
        <w:gridCol w:w="1140"/>
      </w:tblGrid>
      <w:tr w14:paraId="1BF66DCB" w14:textId="77777777">
        <w:tblPrEx>
          <w:tblW w:w="0" w:type="auto"/>
          <w:tblLook w:val="04A0"/>
        </w:tblPrEx>
        <w:trPr>
          <w:del w:id="4123" w:author="AbbVie14" w:date="2025-05-09T10:31:00Z"/>
        </w:trPr>
        <w:tc>
          <w:tcPr>
            <w:tcW w:w="2268" w:type="dxa"/>
            <w:tcBorders>
              <w:top w:val="single" w:sz="4" w:space="0" w:color="auto"/>
              <w:bottom w:val="single" w:sz="4" w:space="0" w:color="auto"/>
            </w:tcBorders>
          </w:tcPr>
          <w:p w:rsidR="006224C2" w:rsidRPr="00295E71" w:rsidP="00174188" w14:paraId="16B16B23" w14:textId="77777777">
            <w:pPr>
              <w:keepNext/>
              <w:tabs>
                <w:tab w:val="left" w:pos="562"/>
              </w:tabs>
              <w:suppressAutoHyphens/>
              <w:rPr>
                <w:del w:id="4124" w:author="AbbVie14" w:date="2025-05-09T10:31:00Z"/>
                <w:b/>
                <w:sz w:val="22"/>
                <w:szCs w:val="22"/>
              </w:rPr>
            </w:pPr>
            <w:del w:id="4125" w:author="AbbVie14" w:date="2025-05-09T10:31:00Z">
              <w:r w:rsidRPr="00295E71">
                <w:rPr>
                  <w:b/>
                  <w:sz w:val="22"/>
                  <w:szCs w:val="22"/>
                </w:rPr>
                <w:delText>Analisi</w:delText>
              </w:r>
            </w:del>
          </w:p>
          <w:p w:rsidR="006224C2" w:rsidRPr="00295E71" w:rsidP="00174188" w14:paraId="2F67E413" w14:textId="77777777">
            <w:pPr>
              <w:keepNext/>
              <w:tabs>
                <w:tab w:val="left" w:pos="562"/>
              </w:tabs>
              <w:suppressAutoHyphens/>
              <w:rPr>
                <w:del w:id="4126" w:author="AbbVie14" w:date="2025-05-09T10:31:00Z"/>
                <w:b/>
                <w:sz w:val="22"/>
                <w:szCs w:val="22"/>
              </w:rPr>
            </w:pPr>
            <w:del w:id="4127" w:author="AbbVie14" w:date="2025-05-09T10:31:00Z">
              <w:r w:rsidRPr="00295E71">
                <w:rPr>
                  <w:b/>
                  <w:sz w:val="22"/>
                  <w:szCs w:val="22"/>
                </w:rPr>
                <w:tab/>
                <w:delText>Trattamento</w:delText>
              </w:r>
            </w:del>
          </w:p>
        </w:tc>
        <w:tc>
          <w:tcPr>
            <w:tcW w:w="720" w:type="dxa"/>
            <w:tcBorders>
              <w:top w:val="single" w:sz="4" w:space="0" w:color="auto"/>
              <w:bottom w:val="single" w:sz="4" w:space="0" w:color="auto"/>
            </w:tcBorders>
          </w:tcPr>
          <w:p w:rsidR="006224C2" w:rsidRPr="00295E71" w:rsidP="00174188" w14:paraId="3FA575E2" w14:textId="77777777">
            <w:pPr>
              <w:keepNext/>
              <w:tabs>
                <w:tab w:val="left" w:pos="562"/>
              </w:tabs>
              <w:suppressAutoHyphens/>
              <w:rPr>
                <w:del w:id="4128" w:author="AbbVie14" w:date="2025-05-09T10:31:00Z"/>
                <w:b/>
                <w:sz w:val="22"/>
                <w:szCs w:val="22"/>
              </w:rPr>
            </w:pPr>
            <w:del w:id="4129" w:author="AbbVie14" w:date="2025-05-09T10:31:00Z">
              <w:r w:rsidRPr="00295E71">
                <w:rPr>
                  <w:b/>
                  <w:sz w:val="22"/>
                  <w:szCs w:val="22"/>
                </w:rPr>
                <w:delText>N</w:delText>
              </w:r>
            </w:del>
          </w:p>
        </w:tc>
        <w:tc>
          <w:tcPr>
            <w:tcW w:w="1231" w:type="dxa"/>
            <w:tcBorders>
              <w:top w:val="single" w:sz="4" w:space="0" w:color="auto"/>
              <w:bottom w:val="single" w:sz="4" w:space="0" w:color="auto"/>
            </w:tcBorders>
          </w:tcPr>
          <w:p w:rsidR="006224C2" w:rsidRPr="00295E71" w:rsidP="00174188" w14:paraId="49A835CB" w14:textId="77777777">
            <w:pPr>
              <w:keepNext/>
              <w:tabs>
                <w:tab w:val="left" w:pos="562"/>
              </w:tabs>
              <w:suppressAutoHyphens/>
              <w:rPr>
                <w:del w:id="4130" w:author="AbbVie14" w:date="2025-05-09T10:31:00Z"/>
                <w:b/>
                <w:sz w:val="22"/>
                <w:szCs w:val="22"/>
              </w:rPr>
            </w:pPr>
            <w:del w:id="4131" w:author="AbbVie14" w:date="2025-05-09T10:31:00Z">
              <w:r w:rsidRPr="00295E71">
                <w:rPr>
                  <w:b/>
                  <w:sz w:val="22"/>
                  <w:szCs w:val="22"/>
                </w:rPr>
                <w:delText>Fallimento</w:delText>
              </w:r>
            </w:del>
            <w:del w:id="4132" w:author="AbbVie14" w:date="2025-05-09T10:31:00Z">
              <w:r w:rsidRPr="00295E71">
                <w:rPr>
                  <w:b/>
                  <w:sz w:val="22"/>
                  <w:szCs w:val="22"/>
                </w:rPr>
                <w:br/>
                <w:delText>N (%)</w:delText>
              </w:r>
            </w:del>
          </w:p>
        </w:tc>
        <w:tc>
          <w:tcPr>
            <w:tcW w:w="1890" w:type="dxa"/>
            <w:tcBorders>
              <w:top w:val="single" w:sz="4" w:space="0" w:color="auto"/>
              <w:bottom w:val="single" w:sz="4" w:space="0" w:color="auto"/>
            </w:tcBorders>
          </w:tcPr>
          <w:p w:rsidR="006224C2" w:rsidRPr="00295E71" w:rsidP="00174188" w14:paraId="55248CA7" w14:textId="77777777">
            <w:pPr>
              <w:keepNext/>
              <w:tabs>
                <w:tab w:val="left" w:pos="562"/>
              </w:tabs>
              <w:suppressAutoHyphens/>
              <w:rPr>
                <w:del w:id="4133" w:author="AbbVie14" w:date="2025-05-09T10:31:00Z"/>
                <w:b/>
                <w:sz w:val="22"/>
                <w:szCs w:val="22"/>
                <w:lang w:eastAsia="en-US"/>
              </w:rPr>
            </w:pPr>
            <w:del w:id="4134" w:author="AbbVie14" w:date="2025-05-09T10:31:00Z">
              <w:r w:rsidRPr="00295E71">
                <w:rPr>
                  <w:b/>
                  <w:sz w:val="22"/>
                  <w:szCs w:val="22"/>
                  <w:lang w:eastAsia="en-US"/>
                </w:rPr>
                <w:delText>Mediana del tempo</w:delText>
              </w:r>
            </w:del>
            <w:del w:id="4135" w:author="AbbVie14" w:date="2025-05-09T10:31:00Z">
              <w:r w:rsidRPr="00295E71" w:rsidR="00226BC4">
                <w:rPr>
                  <w:b/>
                  <w:sz w:val="22"/>
                  <w:szCs w:val="22"/>
                  <w:lang w:eastAsia="en-US"/>
                </w:rPr>
                <w:delText xml:space="preserve"> al fallimento (mesi)</w:delText>
              </w:r>
            </w:del>
          </w:p>
        </w:tc>
        <w:tc>
          <w:tcPr>
            <w:tcW w:w="720" w:type="dxa"/>
            <w:tcBorders>
              <w:top w:val="single" w:sz="4" w:space="0" w:color="auto"/>
              <w:bottom w:val="single" w:sz="4" w:space="0" w:color="auto"/>
            </w:tcBorders>
          </w:tcPr>
          <w:p w:rsidR="006224C2" w:rsidRPr="00295E71" w:rsidP="00174188" w14:paraId="7634CFB0" w14:textId="77777777">
            <w:pPr>
              <w:keepNext/>
              <w:tabs>
                <w:tab w:val="left" w:pos="562"/>
              </w:tabs>
              <w:suppressAutoHyphens/>
              <w:rPr>
                <w:del w:id="4136" w:author="AbbVie14" w:date="2025-05-09T10:31:00Z"/>
                <w:b/>
                <w:sz w:val="22"/>
                <w:szCs w:val="22"/>
              </w:rPr>
            </w:pPr>
            <w:del w:id="4137" w:author="AbbVie14" w:date="2025-05-09T10:31:00Z">
              <w:r w:rsidRPr="00295E71">
                <w:rPr>
                  <w:b/>
                  <w:sz w:val="22"/>
                  <w:szCs w:val="22"/>
                </w:rPr>
                <w:delText>HR</w:delText>
              </w:r>
            </w:del>
            <w:del w:id="4138" w:author="AbbVie14" w:date="2025-05-09T10:31:00Z">
              <w:r w:rsidRPr="00295E71">
                <w:rPr>
                  <w:b/>
                  <w:sz w:val="22"/>
                  <w:szCs w:val="22"/>
                  <w:vertAlign w:val="superscript"/>
                </w:rPr>
                <w:delText>a</w:delText>
              </w:r>
            </w:del>
          </w:p>
        </w:tc>
        <w:tc>
          <w:tcPr>
            <w:tcW w:w="1109" w:type="dxa"/>
            <w:tcBorders>
              <w:top w:val="single" w:sz="4" w:space="0" w:color="auto"/>
              <w:bottom w:val="single" w:sz="4" w:space="0" w:color="auto"/>
            </w:tcBorders>
          </w:tcPr>
          <w:p w:rsidR="006224C2" w:rsidRPr="00295E71" w:rsidP="00174188" w14:paraId="631077CA" w14:textId="77777777">
            <w:pPr>
              <w:keepNext/>
              <w:tabs>
                <w:tab w:val="left" w:pos="562"/>
              </w:tabs>
              <w:suppressAutoHyphens/>
              <w:rPr>
                <w:del w:id="4139" w:author="AbbVie14" w:date="2025-05-09T10:31:00Z"/>
                <w:b/>
                <w:sz w:val="22"/>
                <w:szCs w:val="22"/>
              </w:rPr>
            </w:pPr>
            <w:del w:id="4140" w:author="AbbVie14" w:date="2025-05-09T10:31:00Z">
              <w:r w:rsidRPr="00295E71">
                <w:rPr>
                  <w:b/>
                  <w:sz w:val="22"/>
                  <w:szCs w:val="22"/>
                </w:rPr>
                <w:delText>IC al 95% per l’HR</w:delText>
              </w:r>
            </w:del>
            <w:del w:id="4141" w:author="AbbVie14" w:date="2025-05-09T10:31:00Z">
              <w:r w:rsidRPr="00295E71">
                <w:rPr>
                  <w:b/>
                  <w:sz w:val="22"/>
                  <w:szCs w:val="22"/>
                  <w:vertAlign w:val="superscript"/>
                </w:rPr>
                <w:delText>a</w:delText>
              </w:r>
            </w:del>
          </w:p>
        </w:tc>
        <w:tc>
          <w:tcPr>
            <w:tcW w:w="1141" w:type="dxa"/>
            <w:tcBorders>
              <w:top w:val="single" w:sz="4" w:space="0" w:color="auto"/>
              <w:bottom w:val="single" w:sz="4" w:space="0" w:color="auto"/>
            </w:tcBorders>
          </w:tcPr>
          <w:p w:rsidR="006224C2" w:rsidRPr="00295E71" w:rsidP="00174188" w14:paraId="09D06D1B" w14:textId="77777777">
            <w:pPr>
              <w:keepNext/>
              <w:tabs>
                <w:tab w:val="left" w:pos="562"/>
              </w:tabs>
              <w:suppressAutoHyphens/>
              <w:rPr>
                <w:del w:id="4142" w:author="AbbVie14" w:date="2025-05-09T10:31:00Z"/>
                <w:b/>
                <w:sz w:val="22"/>
                <w:szCs w:val="22"/>
              </w:rPr>
            </w:pPr>
            <w:del w:id="4143" w:author="AbbVie14" w:date="2025-05-09T10:31:00Z">
              <w:r w:rsidRPr="00295E71">
                <w:rPr>
                  <w:b/>
                  <w:sz w:val="22"/>
                  <w:szCs w:val="22"/>
                </w:rPr>
                <w:delText xml:space="preserve">Valore </w:delText>
              </w:r>
            </w:del>
            <w:del w:id="4144" w:author="AbbVie14" w:date="2025-05-09T10:31:00Z">
              <w:r w:rsidRPr="00295E71">
                <w:rPr>
                  <w:b/>
                  <w:i/>
                  <w:sz w:val="22"/>
                  <w:szCs w:val="22"/>
                </w:rPr>
                <w:delText>P</w:delText>
              </w:r>
            </w:del>
            <w:del w:id="4145" w:author="AbbVie14" w:date="2025-05-09T10:31:00Z">
              <w:r w:rsidRPr="00295E71">
                <w:rPr>
                  <w:sz w:val="22"/>
                  <w:szCs w:val="22"/>
                  <w:vertAlign w:val="superscript"/>
                </w:rPr>
                <w:delText>b</w:delText>
              </w:r>
            </w:del>
          </w:p>
        </w:tc>
      </w:tr>
      <w:tr w14:paraId="15D579D0" w14:textId="77777777">
        <w:tblPrEx>
          <w:tblW w:w="0" w:type="auto"/>
          <w:tblLook w:val="04A0"/>
        </w:tblPrEx>
        <w:trPr>
          <w:del w:id="4146" w:author="AbbVie14" w:date="2025-05-09T10:31:00Z"/>
        </w:trPr>
        <w:tc>
          <w:tcPr>
            <w:tcW w:w="9079" w:type="dxa"/>
            <w:gridSpan w:val="7"/>
            <w:tcBorders>
              <w:top w:val="single" w:sz="4" w:space="0" w:color="auto"/>
              <w:bottom w:val="nil"/>
            </w:tcBorders>
          </w:tcPr>
          <w:p w:rsidR="006224C2" w:rsidRPr="00295E71" w14:paraId="57DEB513" w14:textId="77777777">
            <w:pPr>
              <w:keepNext/>
              <w:tabs>
                <w:tab w:val="left" w:pos="562"/>
              </w:tabs>
              <w:suppressAutoHyphens/>
              <w:rPr>
                <w:del w:id="4147" w:author="AbbVie14" w:date="2025-05-09T10:31:00Z"/>
                <w:b/>
                <w:sz w:val="22"/>
                <w:szCs w:val="22"/>
                <w:lang w:eastAsia="en-US"/>
              </w:rPr>
            </w:pPr>
            <w:del w:id="4148" w:author="AbbVie14" w:date="2025-05-09T10:31:00Z">
              <w:r w:rsidRPr="00295E71">
                <w:rPr>
                  <w:b/>
                  <w:sz w:val="22"/>
                  <w:szCs w:val="22"/>
                  <w:lang w:eastAsia="en-US"/>
                </w:rPr>
                <w:delText>Tempo al fallimento del trattamento alla o dopo la settimana 6 nello Studio UV I</w:delText>
              </w:r>
            </w:del>
          </w:p>
        </w:tc>
      </w:tr>
      <w:tr w14:paraId="102004C4" w14:textId="77777777">
        <w:tblPrEx>
          <w:tblW w:w="0" w:type="auto"/>
          <w:tblLook w:val="04A0"/>
        </w:tblPrEx>
        <w:trPr>
          <w:del w:id="4149" w:author="AbbVie14" w:date="2025-05-09T10:31:00Z"/>
        </w:trPr>
        <w:tc>
          <w:tcPr>
            <w:tcW w:w="2988" w:type="dxa"/>
            <w:gridSpan w:val="2"/>
            <w:tcBorders>
              <w:top w:val="nil"/>
              <w:bottom w:val="nil"/>
            </w:tcBorders>
          </w:tcPr>
          <w:p w:rsidR="006224C2" w:rsidRPr="00295E71" w14:paraId="39AEE738" w14:textId="77777777">
            <w:pPr>
              <w:keepNext/>
              <w:tabs>
                <w:tab w:val="left" w:pos="562"/>
              </w:tabs>
              <w:suppressAutoHyphens/>
              <w:rPr>
                <w:del w:id="4150" w:author="AbbVie14" w:date="2025-05-09T10:31:00Z"/>
                <w:sz w:val="22"/>
                <w:szCs w:val="22"/>
              </w:rPr>
            </w:pPr>
            <w:del w:id="4151" w:author="AbbVie14" w:date="2025-05-09T10:31:00Z">
              <w:r w:rsidRPr="00295E71">
                <w:rPr>
                  <w:sz w:val="22"/>
                  <w:szCs w:val="22"/>
                </w:rPr>
                <w:delText>Analisi primaria (ITT)</w:delText>
              </w:r>
            </w:del>
          </w:p>
        </w:tc>
        <w:tc>
          <w:tcPr>
            <w:tcW w:w="1231" w:type="dxa"/>
            <w:tcBorders>
              <w:top w:val="nil"/>
              <w:bottom w:val="nil"/>
            </w:tcBorders>
          </w:tcPr>
          <w:p w:rsidR="006224C2" w:rsidRPr="00295E71" w14:paraId="05E93433" w14:textId="77777777">
            <w:pPr>
              <w:keepNext/>
              <w:tabs>
                <w:tab w:val="left" w:pos="562"/>
              </w:tabs>
              <w:suppressAutoHyphens/>
              <w:rPr>
                <w:del w:id="4152" w:author="AbbVie14" w:date="2025-05-09T10:31:00Z"/>
                <w:sz w:val="22"/>
                <w:szCs w:val="22"/>
              </w:rPr>
            </w:pPr>
          </w:p>
        </w:tc>
        <w:tc>
          <w:tcPr>
            <w:tcW w:w="1890" w:type="dxa"/>
            <w:tcBorders>
              <w:top w:val="nil"/>
              <w:bottom w:val="nil"/>
            </w:tcBorders>
          </w:tcPr>
          <w:p w:rsidR="006224C2" w:rsidRPr="00295E71" w14:paraId="5E844EBC" w14:textId="77777777">
            <w:pPr>
              <w:keepNext/>
              <w:tabs>
                <w:tab w:val="left" w:pos="562"/>
              </w:tabs>
              <w:suppressAutoHyphens/>
              <w:rPr>
                <w:del w:id="4153" w:author="AbbVie14" w:date="2025-05-09T10:31:00Z"/>
                <w:sz w:val="22"/>
                <w:szCs w:val="22"/>
              </w:rPr>
            </w:pPr>
          </w:p>
        </w:tc>
        <w:tc>
          <w:tcPr>
            <w:tcW w:w="720" w:type="dxa"/>
            <w:tcBorders>
              <w:top w:val="nil"/>
              <w:bottom w:val="nil"/>
            </w:tcBorders>
          </w:tcPr>
          <w:p w:rsidR="006224C2" w:rsidRPr="00295E71" w14:paraId="14CD63B5" w14:textId="77777777">
            <w:pPr>
              <w:keepNext/>
              <w:tabs>
                <w:tab w:val="left" w:pos="562"/>
              </w:tabs>
              <w:suppressAutoHyphens/>
              <w:rPr>
                <w:del w:id="4154" w:author="AbbVie14" w:date="2025-05-09T10:31:00Z"/>
                <w:sz w:val="22"/>
                <w:szCs w:val="22"/>
              </w:rPr>
            </w:pPr>
          </w:p>
        </w:tc>
        <w:tc>
          <w:tcPr>
            <w:tcW w:w="1109" w:type="dxa"/>
            <w:tcBorders>
              <w:top w:val="nil"/>
              <w:bottom w:val="nil"/>
            </w:tcBorders>
          </w:tcPr>
          <w:p w:rsidR="006224C2" w:rsidRPr="00295E71" w14:paraId="2676CF54" w14:textId="77777777">
            <w:pPr>
              <w:keepNext/>
              <w:tabs>
                <w:tab w:val="left" w:pos="562"/>
              </w:tabs>
              <w:suppressAutoHyphens/>
              <w:rPr>
                <w:del w:id="4155" w:author="AbbVie14" w:date="2025-05-09T10:31:00Z"/>
                <w:sz w:val="22"/>
                <w:szCs w:val="22"/>
              </w:rPr>
            </w:pPr>
          </w:p>
        </w:tc>
        <w:tc>
          <w:tcPr>
            <w:tcW w:w="1141" w:type="dxa"/>
            <w:tcBorders>
              <w:top w:val="nil"/>
              <w:bottom w:val="nil"/>
            </w:tcBorders>
          </w:tcPr>
          <w:p w:rsidR="006224C2" w:rsidRPr="00295E71" w14:paraId="36FC8250" w14:textId="77777777">
            <w:pPr>
              <w:keepNext/>
              <w:tabs>
                <w:tab w:val="left" w:pos="562"/>
              </w:tabs>
              <w:suppressAutoHyphens/>
              <w:rPr>
                <w:del w:id="4156" w:author="AbbVie14" w:date="2025-05-09T10:31:00Z"/>
                <w:sz w:val="22"/>
                <w:szCs w:val="22"/>
              </w:rPr>
            </w:pPr>
          </w:p>
        </w:tc>
      </w:tr>
      <w:tr w14:paraId="038210B5" w14:textId="77777777">
        <w:tblPrEx>
          <w:tblW w:w="0" w:type="auto"/>
          <w:tblLook w:val="04A0"/>
        </w:tblPrEx>
        <w:trPr>
          <w:del w:id="4157" w:author="AbbVie14" w:date="2025-05-09T10:31:00Z"/>
        </w:trPr>
        <w:tc>
          <w:tcPr>
            <w:tcW w:w="2268" w:type="dxa"/>
            <w:tcBorders>
              <w:top w:val="nil"/>
              <w:bottom w:val="nil"/>
            </w:tcBorders>
          </w:tcPr>
          <w:p w:rsidR="006224C2" w:rsidRPr="00295E71" w14:paraId="3763948B" w14:textId="77777777">
            <w:pPr>
              <w:keepNext/>
              <w:tabs>
                <w:tab w:val="left" w:pos="562"/>
              </w:tabs>
              <w:suppressAutoHyphens/>
              <w:rPr>
                <w:del w:id="4158" w:author="AbbVie14" w:date="2025-05-09T10:31:00Z"/>
                <w:sz w:val="22"/>
                <w:szCs w:val="22"/>
              </w:rPr>
            </w:pPr>
            <w:del w:id="4159" w:author="AbbVie14" w:date="2025-05-09T10:31:00Z">
              <w:r w:rsidRPr="00295E71">
                <w:rPr>
                  <w:sz w:val="22"/>
                  <w:szCs w:val="22"/>
                </w:rPr>
                <w:tab/>
                <w:delText>Placebo</w:delText>
              </w:r>
            </w:del>
          </w:p>
        </w:tc>
        <w:tc>
          <w:tcPr>
            <w:tcW w:w="720" w:type="dxa"/>
            <w:tcBorders>
              <w:top w:val="nil"/>
              <w:bottom w:val="nil"/>
            </w:tcBorders>
          </w:tcPr>
          <w:p w:rsidR="006224C2" w:rsidRPr="00295E71" w14:paraId="02465AF6" w14:textId="77777777">
            <w:pPr>
              <w:keepNext/>
              <w:tabs>
                <w:tab w:val="left" w:pos="562"/>
              </w:tabs>
              <w:suppressAutoHyphens/>
              <w:rPr>
                <w:del w:id="4160" w:author="AbbVie14" w:date="2025-05-09T10:31:00Z"/>
                <w:sz w:val="22"/>
                <w:szCs w:val="22"/>
              </w:rPr>
            </w:pPr>
            <w:del w:id="4161" w:author="AbbVie14" w:date="2025-05-09T10:31:00Z">
              <w:r w:rsidRPr="00295E71">
                <w:rPr>
                  <w:sz w:val="22"/>
                  <w:szCs w:val="22"/>
                </w:rPr>
                <w:delText>107</w:delText>
              </w:r>
            </w:del>
          </w:p>
        </w:tc>
        <w:tc>
          <w:tcPr>
            <w:tcW w:w="1231" w:type="dxa"/>
            <w:tcBorders>
              <w:top w:val="nil"/>
              <w:bottom w:val="nil"/>
            </w:tcBorders>
          </w:tcPr>
          <w:p w:rsidR="006224C2" w:rsidRPr="00295E71" w14:paraId="601C4743" w14:textId="77777777">
            <w:pPr>
              <w:keepNext/>
              <w:tabs>
                <w:tab w:val="left" w:pos="562"/>
              </w:tabs>
              <w:suppressAutoHyphens/>
              <w:rPr>
                <w:del w:id="4162" w:author="AbbVie14" w:date="2025-05-09T10:31:00Z"/>
                <w:sz w:val="22"/>
                <w:szCs w:val="22"/>
              </w:rPr>
            </w:pPr>
            <w:del w:id="4163" w:author="AbbVie14" w:date="2025-05-09T10:31:00Z">
              <w:r w:rsidRPr="00295E71">
                <w:rPr>
                  <w:sz w:val="22"/>
                  <w:szCs w:val="22"/>
                </w:rPr>
                <w:delText>84 (78,5)</w:delText>
              </w:r>
            </w:del>
          </w:p>
        </w:tc>
        <w:tc>
          <w:tcPr>
            <w:tcW w:w="1890" w:type="dxa"/>
            <w:tcBorders>
              <w:top w:val="nil"/>
              <w:bottom w:val="nil"/>
            </w:tcBorders>
          </w:tcPr>
          <w:p w:rsidR="006224C2" w:rsidRPr="00295E71" w14:paraId="37E6C283" w14:textId="77777777">
            <w:pPr>
              <w:keepNext/>
              <w:tabs>
                <w:tab w:val="left" w:pos="562"/>
              </w:tabs>
              <w:suppressAutoHyphens/>
              <w:rPr>
                <w:del w:id="4164" w:author="AbbVie14" w:date="2025-05-09T10:31:00Z"/>
                <w:sz w:val="22"/>
                <w:szCs w:val="22"/>
              </w:rPr>
            </w:pPr>
            <w:del w:id="4165" w:author="AbbVie14" w:date="2025-05-09T10:31:00Z">
              <w:r w:rsidRPr="00295E71">
                <w:rPr>
                  <w:sz w:val="22"/>
                  <w:szCs w:val="22"/>
                </w:rPr>
                <w:delText>3,0</w:delText>
              </w:r>
            </w:del>
          </w:p>
        </w:tc>
        <w:tc>
          <w:tcPr>
            <w:tcW w:w="720" w:type="dxa"/>
            <w:tcBorders>
              <w:top w:val="nil"/>
              <w:bottom w:val="nil"/>
            </w:tcBorders>
          </w:tcPr>
          <w:p w:rsidR="006224C2" w:rsidRPr="00295E71" w14:paraId="2AC0FF05" w14:textId="77777777">
            <w:pPr>
              <w:keepNext/>
              <w:tabs>
                <w:tab w:val="left" w:pos="562"/>
              </w:tabs>
              <w:suppressAutoHyphens/>
              <w:rPr>
                <w:del w:id="4166" w:author="AbbVie14" w:date="2025-05-09T10:31:00Z"/>
                <w:sz w:val="22"/>
                <w:szCs w:val="22"/>
              </w:rPr>
            </w:pPr>
            <w:del w:id="4167" w:author="AbbVie14" w:date="2025-05-09T10:31:00Z">
              <w:r w:rsidRPr="00295E71">
                <w:rPr>
                  <w:sz w:val="22"/>
                  <w:szCs w:val="22"/>
                </w:rPr>
                <w:delText>--</w:delText>
              </w:r>
            </w:del>
          </w:p>
        </w:tc>
        <w:tc>
          <w:tcPr>
            <w:tcW w:w="1109" w:type="dxa"/>
            <w:tcBorders>
              <w:top w:val="nil"/>
              <w:bottom w:val="nil"/>
            </w:tcBorders>
          </w:tcPr>
          <w:p w:rsidR="006224C2" w:rsidRPr="00295E71" w14:paraId="49043E14" w14:textId="77777777">
            <w:pPr>
              <w:keepNext/>
              <w:tabs>
                <w:tab w:val="left" w:pos="562"/>
              </w:tabs>
              <w:suppressAutoHyphens/>
              <w:rPr>
                <w:del w:id="4168" w:author="AbbVie14" w:date="2025-05-09T10:31:00Z"/>
                <w:sz w:val="22"/>
                <w:szCs w:val="22"/>
              </w:rPr>
            </w:pPr>
            <w:del w:id="4169" w:author="AbbVie14" w:date="2025-05-09T10:31:00Z">
              <w:r w:rsidRPr="00295E71">
                <w:rPr>
                  <w:sz w:val="22"/>
                  <w:szCs w:val="22"/>
                </w:rPr>
                <w:delText>--</w:delText>
              </w:r>
            </w:del>
          </w:p>
        </w:tc>
        <w:tc>
          <w:tcPr>
            <w:tcW w:w="1141" w:type="dxa"/>
            <w:tcBorders>
              <w:top w:val="nil"/>
              <w:bottom w:val="nil"/>
            </w:tcBorders>
          </w:tcPr>
          <w:p w:rsidR="006224C2" w:rsidRPr="00295E71" w14:paraId="42CE683F" w14:textId="77777777">
            <w:pPr>
              <w:keepNext/>
              <w:tabs>
                <w:tab w:val="left" w:pos="562"/>
              </w:tabs>
              <w:suppressAutoHyphens/>
              <w:rPr>
                <w:del w:id="4170" w:author="AbbVie14" w:date="2025-05-09T10:31:00Z"/>
                <w:sz w:val="22"/>
                <w:szCs w:val="22"/>
              </w:rPr>
            </w:pPr>
            <w:del w:id="4171" w:author="AbbVie14" w:date="2025-05-09T10:31:00Z">
              <w:r w:rsidRPr="00295E71">
                <w:rPr>
                  <w:sz w:val="22"/>
                  <w:szCs w:val="22"/>
                </w:rPr>
                <w:delText>--</w:delText>
              </w:r>
            </w:del>
          </w:p>
        </w:tc>
      </w:tr>
      <w:tr w14:paraId="5988FE99" w14:textId="77777777">
        <w:tblPrEx>
          <w:tblW w:w="0" w:type="auto"/>
          <w:tblLook w:val="04A0"/>
        </w:tblPrEx>
        <w:trPr>
          <w:del w:id="4172" w:author="AbbVie14" w:date="2025-05-09T10:31:00Z"/>
        </w:trPr>
        <w:tc>
          <w:tcPr>
            <w:tcW w:w="2268" w:type="dxa"/>
            <w:tcBorders>
              <w:top w:val="nil"/>
              <w:bottom w:val="single" w:sz="4" w:space="0" w:color="auto"/>
            </w:tcBorders>
          </w:tcPr>
          <w:p w:rsidR="006224C2" w:rsidRPr="00295E71" w14:paraId="2FC79EBC" w14:textId="77777777">
            <w:pPr>
              <w:keepNext/>
              <w:tabs>
                <w:tab w:val="left" w:pos="562"/>
              </w:tabs>
              <w:suppressAutoHyphens/>
              <w:rPr>
                <w:del w:id="4173" w:author="AbbVie14" w:date="2025-05-09T10:31:00Z"/>
                <w:sz w:val="22"/>
                <w:szCs w:val="22"/>
              </w:rPr>
            </w:pPr>
            <w:del w:id="4174" w:author="AbbVie14" w:date="2025-05-09T10:31:00Z">
              <w:r w:rsidRPr="00295E71">
                <w:rPr>
                  <w:sz w:val="22"/>
                  <w:szCs w:val="22"/>
                </w:rPr>
                <w:tab/>
                <w:delText>Adalimumab</w:delText>
              </w:r>
            </w:del>
          </w:p>
        </w:tc>
        <w:tc>
          <w:tcPr>
            <w:tcW w:w="720" w:type="dxa"/>
            <w:tcBorders>
              <w:top w:val="nil"/>
              <w:bottom w:val="single" w:sz="4" w:space="0" w:color="auto"/>
            </w:tcBorders>
          </w:tcPr>
          <w:p w:rsidR="006224C2" w:rsidRPr="00295E71" w14:paraId="182167DE" w14:textId="77777777">
            <w:pPr>
              <w:keepNext/>
              <w:tabs>
                <w:tab w:val="left" w:pos="562"/>
              </w:tabs>
              <w:suppressAutoHyphens/>
              <w:rPr>
                <w:del w:id="4175" w:author="AbbVie14" w:date="2025-05-09T10:31:00Z"/>
                <w:sz w:val="22"/>
                <w:szCs w:val="22"/>
              </w:rPr>
            </w:pPr>
            <w:del w:id="4176" w:author="AbbVie14" w:date="2025-05-09T10:31:00Z">
              <w:r w:rsidRPr="00295E71">
                <w:rPr>
                  <w:sz w:val="22"/>
                  <w:szCs w:val="22"/>
                </w:rPr>
                <w:delText>110</w:delText>
              </w:r>
            </w:del>
          </w:p>
        </w:tc>
        <w:tc>
          <w:tcPr>
            <w:tcW w:w="1231" w:type="dxa"/>
            <w:tcBorders>
              <w:top w:val="nil"/>
              <w:bottom w:val="single" w:sz="4" w:space="0" w:color="auto"/>
            </w:tcBorders>
          </w:tcPr>
          <w:p w:rsidR="006224C2" w:rsidRPr="00295E71" w14:paraId="549A73C2" w14:textId="77777777">
            <w:pPr>
              <w:keepNext/>
              <w:tabs>
                <w:tab w:val="left" w:pos="562"/>
              </w:tabs>
              <w:suppressAutoHyphens/>
              <w:rPr>
                <w:del w:id="4177" w:author="AbbVie14" w:date="2025-05-09T10:31:00Z"/>
                <w:sz w:val="22"/>
                <w:szCs w:val="22"/>
              </w:rPr>
            </w:pPr>
            <w:del w:id="4178" w:author="AbbVie14" w:date="2025-05-09T10:31:00Z">
              <w:r w:rsidRPr="00295E71">
                <w:rPr>
                  <w:sz w:val="22"/>
                  <w:szCs w:val="22"/>
                </w:rPr>
                <w:delText>60 (54,5)</w:delText>
              </w:r>
            </w:del>
          </w:p>
        </w:tc>
        <w:tc>
          <w:tcPr>
            <w:tcW w:w="1890" w:type="dxa"/>
            <w:tcBorders>
              <w:top w:val="nil"/>
              <w:bottom w:val="single" w:sz="4" w:space="0" w:color="auto"/>
            </w:tcBorders>
          </w:tcPr>
          <w:p w:rsidR="006224C2" w:rsidRPr="00295E71" w14:paraId="4457B796" w14:textId="77777777">
            <w:pPr>
              <w:keepNext/>
              <w:tabs>
                <w:tab w:val="left" w:pos="562"/>
              </w:tabs>
              <w:suppressAutoHyphens/>
              <w:rPr>
                <w:del w:id="4179" w:author="AbbVie14" w:date="2025-05-09T10:31:00Z"/>
                <w:sz w:val="22"/>
                <w:szCs w:val="22"/>
              </w:rPr>
            </w:pPr>
            <w:del w:id="4180" w:author="AbbVie14" w:date="2025-05-09T10:31:00Z">
              <w:r w:rsidRPr="00295E71">
                <w:rPr>
                  <w:sz w:val="22"/>
                  <w:szCs w:val="22"/>
                </w:rPr>
                <w:delText>5,6</w:delText>
              </w:r>
            </w:del>
          </w:p>
        </w:tc>
        <w:tc>
          <w:tcPr>
            <w:tcW w:w="720" w:type="dxa"/>
            <w:tcBorders>
              <w:top w:val="nil"/>
              <w:bottom w:val="single" w:sz="4" w:space="0" w:color="auto"/>
            </w:tcBorders>
          </w:tcPr>
          <w:p w:rsidR="006224C2" w:rsidRPr="00295E71" w14:paraId="742AD4B9" w14:textId="77777777">
            <w:pPr>
              <w:keepNext/>
              <w:tabs>
                <w:tab w:val="left" w:pos="562"/>
              </w:tabs>
              <w:suppressAutoHyphens/>
              <w:rPr>
                <w:del w:id="4181" w:author="AbbVie14" w:date="2025-05-09T10:31:00Z"/>
                <w:sz w:val="22"/>
                <w:szCs w:val="22"/>
              </w:rPr>
            </w:pPr>
            <w:del w:id="4182" w:author="AbbVie14" w:date="2025-05-09T10:31:00Z">
              <w:r w:rsidRPr="00295E71">
                <w:rPr>
                  <w:sz w:val="22"/>
                  <w:szCs w:val="22"/>
                </w:rPr>
                <w:delText>0,50</w:delText>
              </w:r>
            </w:del>
          </w:p>
        </w:tc>
        <w:tc>
          <w:tcPr>
            <w:tcW w:w="1109" w:type="dxa"/>
            <w:tcBorders>
              <w:top w:val="nil"/>
              <w:bottom w:val="single" w:sz="4" w:space="0" w:color="auto"/>
            </w:tcBorders>
          </w:tcPr>
          <w:p w:rsidR="006224C2" w:rsidRPr="00295E71" w14:paraId="2A2FB83E" w14:textId="77777777">
            <w:pPr>
              <w:keepNext/>
              <w:tabs>
                <w:tab w:val="left" w:pos="562"/>
              </w:tabs>
              <w:suppressAutoHyphens/>
              <w:rPr>
                <w:del w:id="4183" w:author="AbbVie14" w:date="2025-05-09T10:31:00Z"/>
                <w:sz w:val="22"/>
                <w:szCs w:val="22"/>
              </w:rPr>
            </w:pPr>
            <w:del w:id="4184" w:author="AbbVie14" w:date="2025-05-09T10:31:00Z">
              <w:r w:rsidRPr="00295E71">
                <w:rPr>
                  <w:sz w:val="22"/>
                  <w:szCs w:val="22"/>
                </w:rPr>
                <w:delText>0,36; 0,70</w:delText>
              </w:r>
            </w:del>
          </w:p>
        </w:tc>
        <w:tc>
          <w:tcPr>
            <w:tcW w:w="1141" w:type="dxa"/>
            <w:tcBorders>
              <w:top w:val="nil"/>
              <w:bottom w:val="single" w:sz="4" w:space="0" w:color="auto"/>
            </w:tcBorders>
          </w:tcPr>
          <w:p w:rsidR="006224C2" w:rsidRPr="00295E71" w14:paraId="03BBDFE5" w14:textId="77777777">
            <w:pPr>
              <w:keepNext/>
              <w:tabs>
                <w:tab w:val="left" w:pos="562"/>
              </w:tabs>
              <w:suppressAutoHyphens/>
              <w:rPr>
                <w:del w:id="4185" w:author="AbbVie14" w:date="2025-05-09T10:31:00Z"/>
                <w:sz w:val="22"/>
                <w:szCs w:val="22"/>
              </w:rPr>
            </w:pPr>
            <w:del w:id="4186" w:author="AbbVie14" w:date="2025-05-09T10:31:00Z">
              <w:r w:rsidRPr="00295E71">
                <w:rPr>
                  <w:sz w:val="22"/>
                  <w:szCs w:val="22"/>
                </w:rPr>
                <w:delText>&lt; 0,001</w:delText>
              </w:r>
            </w:del>
          </w:p>
        </w:tc>
      </w:tr>
      <w:tr w14:paraId="3D61C45E" w14:textId="77777777">
        <w:tblPrEx>
          <w:tblW w:w="0" w:type="auto"/>
          <w:tblBorders>
            <w:left w:val="single" w:sz="4" w:space="0" w:color="auto"/>
            <w:right w:val="single" w:sz="4" w:space="0" w:color="auto"/>
            <w:insideH w:val="single" w:sz="4" w:space="0" w:color="auto"/>
            <w:insideV w:val="single" w:sz="4" w:space="0" w:color="auto"/>
          </w:tblBorders>
          <w:tblLook w:val="04A0"/>
        </w:tblPrEx>
        <w:trPr>
          <w:del w:id="4187" w:author="AbbVie14" w:date="2025-05-09T10:31:00Z"/>
        </w:trPr>
        <w:tc>
          <w:tcPr>
            <w:tcW w:w="9079" w:type="dxa"/>
            <w:gridSpan w:val="7"/>
            <w:tcBorders>
              <w:left w:val="nil"/>
              <w:bottom w:val="nil"/>
              <w:right w:val="nil"/>
            </w:tcBorders>
          </w:tcPr>
          <w:p w:rsidR="006224C2" w:rsidRPr="00295E71" w14:paraId="779C2C70" w14:textId="77777777">
            <w:pPr>
              <w:keepNext/>
              <w:tabs>
                <w:tab w:val="left" w:pos="562"/>
              </w:tabs>
              <w:suppressAutoHyphens/>
              <w:rPr>
                <w:del w:id="4188" w:author="AbbVie14" w:date="2025-05-09T10:31:00Z"/>
                <w:b/>
                <w:sz w:val="22"/>
                <w:szCs w:val="22"/>
                <w:lang w:eastAsia="en-US"/>
              </w:rPr>
            </w:pPr>
            <w:del w:id="4189" w:author="AbbVie14" w:date="2025-05-09T10:31:00Z">
              <w:r w:rsidRPr="00295E71">
                <w:rPr>
                  <w:b/>
                  <w:sz w:val="22"/>
                  <w:szCs w:val="22"/>
                  <w:lang w:eastAsia="en-US"/>
                </w:rPr>
                <w:delText>Tempo al fallimento del trattamento alla o dopo la settimana 2 nello Studio UV II</w:delText>
              </w:r>
            </w:del>
          </w:p>
        </w:tc>
      </w:tr>
      <w:tr w14:paraId="7749F5A5" w14:textId="77777777">
        <w:tblPrEx>
          <w:tblW w:w="0" w:type="auto"/>
          <w:tblBorders>
            <w:left w:val="single" w:sz="4" w:space="0" w:color="auto"/>
            <w:right w:val="single" w:sz="4" w:space="0" w:color="auto"/>
            <w:insideH w:val="single" w:sz="4" w:space="0" w:color="auto"/>
            <w:insideV w:val="single" w:sz="4" w:space="0" w:color="auto"/>
          </w:tblBorders>
          <w:tblLook w:val="04A0"/>
        </w:tblPrEx>
        <w:trPr>
          <w:del w:id="4190" w:author="AbbVie14" w:date="2025-05-09T10:31:00Z"/>
        </w:trPr>
        <w:tc>
          <w:tcPr>
            <w:tcW w:w="2988" w:type="dxa"/>
            <w:gridSpan w:val="2"/>
            <w:tcBorders>
              <w:top w:val="nil"/>
              <w:left w:val="nil"/>
              <w:bottom w:val="nil"/>
              <w:right w:val="nil"/>
            </w:tcBorders>
          </w:tcPr>
          <w:p w:rsidR="006224C2" w:rsidRPr="00295E71" w14:paraId="6AB71167" w14:textId="77777777">
            <w:pPr>
              <w:keepNext/>
              <w:tabs>
                <w:tab w:val="left" w:pos="562"/>
              </w:tabs>
              <w:suppressAutoHyphens/>
              <w:rPr>
                <w:del w:id="4191" w:author="AbbVie14" w:date="2025-05-09T10:31:00Z"/>
                <w:sz w:val="22"/>
                <w:szCs w:val="22"/>
              </w:rPr>
            </w:pPr>
            <w:del w:id="4192" w:author="AbbVie14" w:date="2025-05-09T10:31:00Z">
              <w:r w:rsidRPr="00295E71">
                <w:rPr>
                  <w:sz w:val="22"/>
                  <w:szCs w:val="22"/>
                </w:rPr>
                <w:delText>Analisi primaria (ITT)</w:delText>
              </w:r>
            </w:del>
          </w:p>
        </w:tc>
        <w:tc>
          <w:tcPr>
            <w:tcW w:w="1231" w:type="dxa"/>
            <w:tcBorders>
              <w:top w:val="nil"/>
              <w:left w:val="nil"/>
              <w:bottom w:val="nil"/>
              <w:right w:val="nil"/>
            </w:tcBorders>
          </w:tcPr>
          <w:p w:rsidR="006224C2" w:rsidRPr="00295E71" w14:paraId="0C2392A9" w14:textId="77777777">
            <w:pPr>
              <w:keepNext/>
              <w:tabs>
                <w:tab w:val="left" w:pos="562"/>
              </w:tabs>
              <w:suppressAutoHyphens/>
              <w:rPr>
                <w:del w:id="4193" w:author="AbbVie14" w:date="2025-05-09T10:31:00Z"/>
                <w:sz w:val="22"/>
                <w:szCs w:val="22"/>
              </w:rPr>
            </w:pPr>
          </w:p>
        </w:tc>
        <w:tc>
          <w:tcPr>
            <w:tcW w:w="1890" w:type="dxa"/>
            <w:tcBorders>
              <w:top w:val="nil"/>
              <w:left w:val="nil"/>
              <w:bottom w:val="nil"/>
              <w:right w:val="nil"/>
            </w:tcBorders>
          </w:tcPr>
          <w:p w:rsidR="006224C2" w:rsidRPr="00295E71" w14:paraId="4BBE02A2" w14:textId="77777777">
            <w:pPr>
              <w:keepNext/>
              <w:tabs>
                <w:tab w:val="left" w:pos="562"/>
              </w:tabs>
              <w:suppressAutoHyphens/>
              <w:rPr>
                <w:del w:id="4194" w:author="AbbVie14" w:date="2025-05-09T10:31:00Z"/>
                <w:sz w:val="22"/>
                <w:szCs w:val="22"/>
              </w:rPr>
            </w:pPr>
          </w:p>
        </w:tc>
        <w:tc>
          <w:tcPr>
            <w:tcW w:w="720" w:type="dxa"/>
            <w:tcBorders>
              <w:top w:val="nil"/>
              <w:left w:val="nil"/>
              <w:bottom w:val="nil"/>
              <w:right w:val="nil"/>
            </w:tcBorders>
          </w:tcPr>
          <w:p w:rsidR="006224C2" w:rsidRPr="00295E71" w14:paraId="5377E541" w14:textId="77777777">
            <w:pPr>
              <w:keepNext/>
              <w:tabs>
                <w:tab w:val="left" w:pos="562"/>
              </w:tabs>
              <w:suppressAutoHyphens/>
              <w:rPr>
                <w:del w:id="4195" w:author="AbbVie14" w:date="2025-05-09T10:31:00Z"/>
                <w:sz w:val="22"/>
                <w:szCs w:val="22"/>
              </w:rPr>
            </w:pPr>
          </w:p>
        </w:tc>
        <w:tc>
          <w:tcPr>
            <w:tcW w:w="1109" w:type="dxa"/>
            <w:tcBorders>
              <w:top w:val="nil"/>
              <w:left w:val="nil"/>
              <w:bottom w:val="nil"/>
              <w:right w:val="nil"/>
            </w:tcBorders>
          </w:tcPr>
          <w:p w:rsidR="006224C2" w:rsidRPr="00295E71" w14:paraId="39A2D7BD" w14:textId="77777777">
            <w:pPr>
              <w:keepNext/>
              <w:tabs>
                <w:tab w:val="left" w:pos="562"/>
              </w:tabs>
              <w:suppressAutoHyphens/>
              <w:rPr>
                <w:del w:id="4196" w:author="AbbVie14" w:date="2025-05-09T10:31:00Z"/>
                <w:sz w:val="22"/>
                <w:szCs w:val="22"/>
              </w:rPr>
            </w:pPr>
          </w:p>
        </w:tc>
        <w:tc>
          <w:tcPr>
            <w:tcW w:w="1141" w:type="dxa"/>
            <w:tcBorders>
              <w:top w:val="nil"/>
              <w:left w:val="nil"/>
              <w:bottom w:val="nil"/>
              <w:right w:val="nil"/>
            </w:tcBorders>
          </w:tcPr>
          <w:p w:rsidR="006224C2" w:rsidRPr="00295E71" w14:paraId="373B416E" w14:textId="77777777">
            <w:pPr>
              <w:keepNext/>
              <w:tabs>
                <w:tab w:val="left" w:pos="562"/>
              </w:tabs>
              <w:suppressAutoHyphens/>
              <w:rPr>
                <w:del w:id="4197" w:author="AbbVie14" w:date="2025-05-09T10:31:00Z"/>
                <w:sz w:val="22"/>
                <w:szCs w:val="22"/>
              </w:rPr>
            </w:pPr>
          </w:p>
        </w:tc>
      </w:tr>
      <w:tr w14:paraId="7ADECE92" w14:textId="77777777">
        <w:tblPrEx>
          <w:tblW w:w="0" w:type="auto"/>
          <w:tblBorders>
            <w:left w:val="single" w:sz="4" w:space="0" w:color="auto"/>
            <w:right w:val="single" w:sz="4" w:space="0" w:color="auto"/>
            <w:insideH w:val="single" w:sz="4" w:space="0" w:color="auto"/>
            <w:insideV w:val="single" w:sz="4" w:space="0" w:color="auto"/>
          </w:tblBorders>
          <w:tblLook w:val="04A0"/>
        </w:tblPrEx>
        <w:trPr>
          <w:del w:id="4198" w:author="AbbVie14" w:date="2025-05-09T10:31:00Z"/>
        </w:trPr>
        <w:tc>
          <w:tcPr>
            <w:tcW w:w="2268" w:type="dxa"/>
            <w:tcBorders>
              <w:top w:val="nil"/>
              <w:left w:val="nil"/>
              <w:bottom w:val="nil"/>
              <w:right w:val="nil"/>
            </w:tcBorders>
          </w:tcPr>
          <w:p w:rsidR="006224C2" w:rsidRPr="00295E71" w14:paraId="6B61AF3A" w14:textId="77777777">
            <w:pPr>
              <w:keepNext/>
              <w:tabs>
                <w:tab w:val="left" w:pos="562"/>
              </w:tabs>
              <w:suppressAutoHyphens/>
              <w:rPr>
                <w:del w:id="4199" w:author="AbbVie14" w:date="2025-05-09T10:31:00Z"/>
                <w:sz w:val="22"/>
                <w:szCs w:val="22"/>
              </w:rPr>
            </w:pPr>
            <w:del w:id="4200" w:author="AbbVie14" w:date="2025-05-09T10:31:00Z">
              <w:r w:rsidRPr="00295E71">
                <w:rPr>
                  <w:sz w:val="22"/>
                  <w:szCs w:val="22"/>
                </w:rPr>
                <w:tab/>
                <w:delText>Placebo</w:delText>
              </w:r>
            </w:del>
          </w:p>
        </w:tc>
        <w:tc>
          <w:tcPr>
            <w:tcW w:w="720" w:type="dxa"/>
            <w:tcBorders>
              <w:top w:val="nil"/>
              <w:left w:val="nil"/>
              <w:bottom w:val="nil"/>
              <w:right w:val="nil"/>
            </w:tcBorders>
          </w:tcPr>
          <w:p w:rsidR="006224C2" w:rsidRPr="00295E71" w14:paraId="1D8C40AE" w14:textId="77777777">
            <w:pPr>
              <w:keepNext/>
              <w:tabs>
                <w:tab w:val="left" w:pos="562"/>
              </w:tabs>
              <w:suppressAutoHyphens/>
              <w:rPr>
                <w:del w:id="4201" w:author="AbbVie14" w:date="2025-05-09T10:31:00Z"/>
                <w:sz w:val="22"/>
                <w:szCs w:val="22"/>
              </w:rPr>
            </w:pPr>
            <w:del w:id="4202" w:author="AbbVie14" w:date="2025-05-09T10:31:00Z">
              <w:r w:rsidRPr="00295E71">
                <w:rPr>
                  <w:sz w:val="22"/>
                  <w:szCs w:val="22"/>
                </w:rPr>
                <w:delText>111</w:delText>
              </w:r>
            </w:del>
          </w:p>
        </w:tc>
        <w:tc>
          <w:tcPr>
            <w:tcW w:w="1231" w:type="dxa"/>
            <w:tcBorders>
              <w:top w:val="nil"/>
              <w:left w:val="nil"/>
              <w:bottom w:val="nil"/>
              <w:right w:val="nil"/>
            </w:tcBorders>
          </w:tcPr>
          <w:p w:rsidR="006224C2" w:rsidRPr="00295E71" w14:paraId="289A0963" w14:textId="77777777">
            <w:pPr>
              <w:keepNext/>
              <w:tabs>
                <w:tab w:val="left" w:pos="562"/>
              </w:tabs>
              <w:suppressAutoHyphens/>
              <w:rPr>
                <w:del w:id="4203" w:author="AbbVie14" w:date="2025-05-09T10:31:00Z"/>
                <w:sz w:val="22"/>
                <w:szCs w:val="22"/>
              </w:rPr>
            </w:pPr>
            <w:del w:id="4204" w:author="AbbVie14" w:date="2025-05-09T10:31:00Z">
              <w:r w:rsidRPr="00295E71">
                <w:rPr>
                  <w:sz w:val="22"/>
                  <w:szCs w:val="22"/>
                </w:rPr>
                <w:delText>61 (55,0)</w:delText>
              </w:r>
            </w:del>
          </w:p>
        </w:tc>
        <w:tc>
          <w:tcPr>
            <w:tcW w:w="1890" w:type="dxa"/>
            <w:tcBorders>
              <w:top w:val="nil"/>
              <w:left w:val="nil"/>
              <w:bottom w:val="nil"/>
              <w:right w:val="nil"/>
            </w:tcBorders>
          </w:tcPr>
          <w:p w:rsidR="006224C2" w:rsidRPr="00295E71" w14:paraId="3866DAF4" w14:textId="77777777">
            <w:pPr>
              <w:keepNext/>
              <w:tabs>
                <w:tab w:val="left" w:pos="562"/>
              </w:tabs>
              <w:suppressAutoHyphens/>
              <w:rPr>
                <w:del w:id="4205" w:author="AbbVie14" w:date="2025-05-09T10:31:00Z"/>
                <w:sz w:val="22"/>
                <w:szCs w:val="22"/>
              </w:rPr>
            </w:pPr>
            <w:del w:id="4206" w:author="AbbVie14" w:date="2025-05-09T10:31:00Z">
              <w:r w:rsidRPr="00295E71">
                <w:rPr>
                  <w:sz w:val="22"/>
                  <w:szCs w:val="22"/>
                </w:rPr>
                <w:delText>8,3</w:delText>
              </w:r>
            </w:del>
          </w:p>
        </w:tc>
        <w:tc>
          <w:tcPr>
            <w:tcW w:w="720" w:type="dxa"/>
            <w:tcBorders>
              <w:top w:val="nil"/>
              <w:left w:val="nil"/>
              <w:bottom w:val="nil"/>
              <w:right w:val="nil"/>
            </w:tcBorders>
          </w:tcPr>
          <w:p w:rsidR="006224C2" w:rsidRPr="00295E71" w14:paraId="5CEAA120" w14:textId="77777777">
            <w:pPr>
              <w:keepNext/>
              <w:tabs>
                <w:tab w:val="left" w:pos="562"/>
              </w:tabs>
              <w:suppressAutoHyphens/>
              <w:rPr>
                <w:del w:id="4207" w:author="AbbVie14" w:date="2025-05-09T10:31:00Z"/>
                <w:sz w:val="22"/>
                <w:szCs w:val="22"/>
              </w:rPr>
            </w:pPr>
            <w:del w:id="4208" w:author="AbbVie14" w:date="2025-05-09T10:31:00Z">
              <w:r w:rsidRPr="00295E71">
                <w:rPr>
                  <w:sz w:val="22"/>
                  <w:szCs w:val="22"/>
                </w:rPr>
                <w:delText>--</w:delText>
              </w:r>
            </w:del>
          </w:p>
        </w:tc>
        <w:tc>
          <w:tcPr>
            <w:tcW w:w="1109" w:type="dxa"/>
            <w:tcBorders>
              <w:top w:val="nil"/>
              <w:left w:val="nil"/>
              <w:bottom w:val="nil"/>
              <w:right w:val="nil"/>
            </w:tcBorders>
          </w:tcPr>
          <w:p w:rsidR="006224C2" w:rsidRPr="00295E71" w14:paraId="30342457" w14:textId="77777777">
            <w:pPr>
              <w:keepNext/>
              <w:tabs>
                <w:tab w:val="left" w:pos="562"/>
              </w:tabs>
              <w:suppressAutoHyphens/>
              <w:rPr>
                <w:del w:id="4209" w:author="AbbVie14" w:date="2025-05-09T10:31:00Z"/>
                <w:sz w:val="22"/>
                <w:szCs w:val="22"/>
              </w:rPr>
            </w:pPr>
            <w:del w:id="4210" w:author="AbbVie14" w:date="2025-05-09T10:31:00Z">
              <w:r w:rsidRPr="00295E71">
                <w:rPr>
                  <w:sz w:val="22"/>
                  <w:szCs w:val="22"/>
                </w:rPr>
                <w:delText>--</w:delText>
              </w:r>
            </w:del>
          </w:p>
        </w:tc>
        <w:tc>
          <w:tcPr>
            <w:tcW w:w="1141" w:type="dxa"/>
            <w:tcBorders>
              <w:top w:val="nil"/>
              <w:left w:val="nil"/>
              <w:bottom w:val="nil"/>
              <w:right w:val="nil"/>
            </w:tcBorders>
          </w:tcPr>
          <w:p w:rsidR="006224C2" w:rsidRPr="00295E71" w14:paraId="5B62DDAB" w14:textId="77777777">
            <w:pPr>
              <w:keepNext/>
              <w:tabs>
                <w:tab w:val="left" w:pos="562"/>
              </w:tabs>
              <w:suppressAutoHyphens/>
              <w:rPr>
                <w:del w:id="4211" w:author="AbbVie14" w:date="2025-05-09T10:31:00Z"/>
                <w:sz w:val="22"/>
                <w:szCs w:val="22"/>
              </w:rPr>
            </w:pPr>
            <w:del w:id="4212" w:author="AbbVie14" w:date="2025-05-09T10:31:00Z">
              <w:r w:rsidRPr="00295E71">
                <w:rPr>
                  <w:sz w:val="22"/>
                  <w:szCs w:val="22"/>
                </w:rPr>
                <w:delText>--</w:delText>
              </w:r>
            </w:del>
          </w:p>
        </w:tc>
      </w:tr>
      <w:tr w14:paraId="670F8E0B" w14:textId="77777777">
        <w:tblPrEx>
          <w:tblW w:w="0" w:type="auto"/>
          <w:tblBorders>
            <w:left w:val="single" w:sz="4" w:space="0" w:color="auto"/>
            <w:right w:val="single" w:sz="4" w:space="0" w:color="auto"/>
            <w:insideH w:val="single" w:sz="4" w:space="0" w:color="auto"/>
            <w:insideV w:val="single" w:sz="4" w:space="0" w:color="auto"/>
          </w:tblBorders>
          <w:tblLook w:val="04A0"/>
        </w:tblPrEx>
        <w:trPr>
          <w:del w:id="4213" w:author="AbbVie14" w:date="2025-05-09T10:31:00Z"/>
        </w:trPr>
        <w:tc>
          <w:tcPr>
            <w:tcW w:w="2268" w:type="dxa"/>
            <w:tcBorders>
              <w:top w:val="nil"/>
              <w:left w:val="nil"/>
              <w:bottom w:val="single" w:sz="4" w:space="0" w:color="auto"/>
              <w:right w:val="nil"/>
            </w:tcBorders>
          </w:tcPr>
          <w:p w:rsidR="006224C2" w:rsidRPr="00295E71" w14:paraId="50A7B4FE" w14:textId="77777777">
            <w:pPr>
              <w:keepNext/>
              <w:tabs>
                <w:tab w:val="left" w:pos="562"/>
              </w:tabs>
              <w:suppressAutoHyphens/>
              <w:rPr>
                <w:del w:id="4214" w:author="AbbVie14" w:date="2025-05-09T10:31:00Z"/>
                <w:sz w:val="22"/>
                <w:szCs w:val="22"/>
              </w:rPr>
            </w:pPr>
            <w:del w:id="4215" w:author="AbbVie14" w:date="2025-05-09T10:31:00Z">
              <w:r w:rsidRPr="00295E71">
                <w:rPr>
                  <w:sz w:val="22"/>
                  <w:szCs w:val="22"/>
                </w:rPr>
                <w:tab/>
                <w:delText>Adalimumab</w:delText>
              </w:r>
            </w:del>
          </w:p>
        </w:tc>
        <w:tc>
          <w:tcPr>
            <w:tcW w:w="720" w:type="dxa"/>
            <w:tcBorders>
              <w:top w:val="nil"/>
              <w:left w:val="nil"/>
              <w:bottom w:val="single" w:sz="4" w:space="0" w:color="auto"/>
              <w:right w:val="nil"/>
            </w:tcBorders>
          </w:tcPr>
          <w:p w:rsidR="006224C2" w:rsidRPr="00295E71" w14:paraId="4CD75B26" w14:textId="77777777">
            <w:pPr>
              <w:keepNext/>
              <w:tabs>
                <w:tab w:val="left" w:pos="562"/>
              </w:tabs>
              <w:suppressAutoHyphens/>
              <w:rPr>
                <w:del w:id="4216" w:author="AbbVie14" w:date="2025-05-09T10:31:00Z"/>
                <w:sz w:val="22"/>
                <w:szCs w:val="22"/>
              </w:rPr>
            </w:pPr>
            <w:del w:id="4217" w:author="AbbVie14" w:date="2025-05-09T10:31:00Z">
              <w:r w:rsidRPr="00295E71">
                <w:rPr>
                  <w:sz w:val="22"/>
                  <w:szCs w:val="22"/>
                </w:rPr>
                <w:delText>115</w:delText>
              </w:r>
            </w:del>
          </w:p>
        </w:tc>
        <w:tc>
          <w:tcPr>
            <w:tcW w:w="1231" w:type="dxa"/>
            <w:tcBorders>
              <w:top w:val="nil"/>
              <w:left w:val="nil"/>
              <w:bottom w:val="single" w:sz="4" w:space="0" w:color="auto"/>
              <w:right w:val="nil"/>
            </w:tcBorders>
          </w:tcPr>
          <w:p w:rsidR="006224C2" w:rsidRPr="00295E71" w14:paraId="7CD0A9B3" w14:textId="77777777">
            <w:pPr>
              <w:keepNext/>
              <w:tabs>
                <w:tab w:val="left" w:pos="562"/>
              </w:tabs>
              <w:suppressAutoHyphens/>
              <w:rPr>
                <w:del w:id="4218" w:author="AbbVie14" w:date="2025-05-09T10:31:00Z"/>
                <w:sz w:val="22"/>
                <w:szCs w:val="22"/>
              </w:rPr>
            </w:pPr>
            <w:del w:id="4219" w:author="AbbVie14" w:date="2025-05-09T10:31:00Z">
              <w:r w:rsidRPr="00295E71">
                <w:rPr>
                  <w:sz w:val="22"/>
                  <w:szCs w:val="22"/>
                </w:rPr>
                <w:delText>45 (39,1)</w:delText>
              </w:r>
            </w:del>
          </w:p>
        </w:tc>
        <w:tc>
          <w:tcPr>
            <w:tcW w:w="1890" w:type="dxa"/>
            <w:tcBorders>
              <w:top w:val="nil"/>
              <w:left w:val="nil"/>
              <w:bottom w:val="single" w:sz="4" w:space="0" w:color="auto"/>
              <w:right w:val="nil"/>
            </w:tcBorders>
          </w:tcPr>
          <w:p w:rsidR="006224C2" w:rsidRPr="00295E71" w14:paraId="6C0B439E" w14:textId="77777777">
            <w:pPr>
              <w:keepNext/>
              <w:tabs>
                <w:tab w:val="left" w:pos="562"/>
              </w:tabs>
              <w:suppressAutoHyphens/>
              <w:rPr>
                <w:del w:id="4220" w:author="AbbVie14" w:date="2025-05-09T10:31:00Z"/>
                <w:sz w:val="22"/>
                <w:szCs w:val="22"/>
              </w:rPr>
            </w:pPr>
            <w:del w:id="4221" w:author="AbbVie14" w:date="2025-05-09T10:31:00Z">
              <w:r w:rsidRPr="00295E71">
                <w:rPr>
                  <w:sz w:val="22"/>
                  <w:szCs w:val="22"/>
                </w:rPr>
                <w:delText>NV</w:delText>
              </w:r>
            </w:del>
            <w:del w:id="4222" w:author="AbbVie14" w:date="2025-05-09T10:31:00Z">
              <w:r w:rsidRPr="00295E71">
                <w:rPr>
                  <w:sz w:val="22"/>
                  <w:szCs w:val="22"/>
                  <w:vertAlign w:val="superscript"/>
                </w:rPr>
                <w:delText>c</w:delText>
              </w:r>
            </w:del>
          </w:p>
        </w:tc>
        <w:tc>
          <w:tcPr>
            <w:tcW w:w="720" w:type="dxa"/>
            <w:tcBorders>
              <w:top w:val="nil"/>
              <w:left w:val="nil"/>
              <w:bottom w:val="single" w:sz="4" w:space="0" w:color="auto"/>
              <w:right w:val="nil"/>
            </w:tcBorders>
          </w:tcPr>
          <w:p w:rsidR="006224C2" w:rsidRPr="00295E71" w14:paraId="072DED87" w14:textId="77777777">
            <w:pPr>
              <w:keepNext/>
              <w:tabs>
                <w:tab w:val="left" w:pos="562"/>
              </w:tabs>
              <w:suppressAutoHyphens/>
              <w:rPr>
                <w:del w:id="4223" w:author="AbbVie14" w:date="2025-05-09T10:31:00Z"/>
                <w:sz w:val="22"/>
                <w:szCs w:val="22"/>
              </w:rPr>
            </w:pPr>
            <w:del w:id="4224" w:author="AbbVie14" w:date="2025-05-09T10:31:00Z">
              <w:r w:rsidRPr="00295E71">
                <w:rPr>
                  <w:sz w:val="22"/>
                  <w:szCs w:val="22"/>
                </w:rPr>
                <w:delText>0,57</w:delText>
              </w:r>
            </w:del>
          </w:p>
        </w:tc>
        <w:tc>
          <w:tcPr>
            <w:tcW w:w="1109" w:type="dxa"/>
            <w:tcBorders>
              <w:top w:val="nil"/>
              <w:left w:val="nil"/>
              <w:bottom w:val="single" w:sz="4" w:space="0" w:color="auto"/>
              <w:right w:val="nil"/>
            </w:tcBorders>
          </w:tcPr>
          <w:p w:rsidR="006224C2" w:rsidRPr="00295E71" w14:paraId="07FE0187" w14:textId="77777777">
            <w:pPr>
              <w:keepNext/>
              <w:tabs>
                <w:tab w:val="left" w:pos="562"/>
              </w:tabs>
              <w:suppressAutoHyphens/>
              <w:rPr>
                <w:del w:id="4225" w:author="AbbVie14" w:date="2025-05-09T10:31:00Z"/>
                <w:sz w:val="22"/>
                <w:szCs w:val="22"/>
              </w:rPr>
            </w:pPr>
            <w:del w:id="4226" w:author="AbbVie14" w:date="2025-05-09T10:31:00Z">
              <w:r w:rsidRPr="00295E71">
                <w:rPr>
                  <w:sz w:val="22"/>
                  <w:szCs w:val="22"/>
                </w:rPr>
                <w:delText>0,39; 0,84</w:delText>
              </w:r>
            </w:del>
          </w:p>
        </w:tc>
        <w:tc>
          <w:tcPr>
            <w:tcW w:w="1141" w:type="dxa"/>
            <w:tcBorders>
              <w:top w:val="nil"/>
              <w:left w:val="nil"/>
              <w:bottom w:val="single" w:sz="4" w:space="0" w:color="auto"/>
              <w:right w:val="nil"/>
            </w:tcBorders>
          </w:tcPr>
          <w:p w:rsidR="006224C2" w:rsidRPr="00295E71" w14:paraId="368D5556" w14:textId="77777777">
            <w:pPr>
              <w:keepNext/>
              <w:tabs>
                <w:tab w:val="left" w:pos="562"/>
              </w:tabs>
              <w:suppressAutoHyphens/>
              <w:rPr>
                <w:del w:id="4227" w:author="AbbVie14" w:date="2025-05-09T10:31:00Z"/>
                <w:sz w:val="22"/>
                <w:szCs w:val="22"/>
              </w:rPr>
            </w:pPr>
            <w:del w:id="4228" w:author="AbbVie14" w:date="2025-05-09T10:31:00Z">
              <w:r w:rsidRPr="00295E71">
                <w:rPr>
                  <w:sz w:val="22"/>
                  <w:szCs w:val="22"/>
                </w:rPr>
                <w:delText>0,004</w:delText>
              </w:r>
            </w:del>
          </w:p>
        </w:tc>
      </w:tr>
    </w:tbl>
    <w:p w:rsidR="006224C2" w:rsidRPr="00295E71" w14:paraId="5AC938FA" w14:textId="77777777">
      <w:pPr>
        <w:keepNext/>
        <w:tabs>
          <w:tab w:val="left" w:pos="567"/>
          <w:tab w:val="left" w:pos="1294"/>
        </w:tabs>
        <w:autoSpaceDE w:val="0"/>
        <w:autoSpaceDN w:val="0"/>
        <w:adjustRightInd w:val="0"/>
        <w:jc w:val="both"/>
        <w:rPr>
          <w:del w:id="4229" w:author="AbbVie14" w:date="2025-05-09T10:31:00Z"/>
          <w:color w:val="000000"/>
          <w:sz w:val="22"/>
          <w:szCs w:val="22"/>
        </w:rPr>
      </w:pPr>
      <w:del w:id="4230" w:author="AbbVie14" w:date="2025-05-09T10:31:00Z">
        <w:r w:rsidRPr="00295E71">
          <w:rPr>
            <w:color w:val="000000"/>
            <w:sz w:val="22"/>
            <w:szCs w:val="22"/>
          </w:rPr>
          <w:delText xml:space="preserve">Nota: il fallimento del trattamento alla o dopo la settimana 6 (Studio UV I) oppure alla o dopo la settimana 2 (Studio UV II) è stato contato come evento. Gli abbandoni </w:delText>
        </w:r>
      </w:del>
      <w:del w:id="4231" w:author="AbbVie14" w:date="2025-05-09T10:31:00Z">
        <w:r w:rsidRPr="00295E71" w:rsidR="002A6ED6">
          <w:rPr>
            <w:color w:val="000000"/>
            <w:sz w:val="22"/>
            <w:szCs w:val="22"/>
          </w:rPr>
          <w:delText>dovuti a</w:delText>
        </w:r>
      </w:del>
      <w:del w:id="4232" w:author="AbbVie14" w:date="2025-05-09T10:31:00Z">
        <w:r w:rsidRPr="00295E71">
          <w:rPr>
            <w:color w:val="000000"/>
            <w:sz w:val="22"/>
            <w:szCs w:val="22"/>
          </w:rPr>
          <w:delText xml:space="preserve"> motivi diversi dal fallimento del trattamento sono stati censurati al momento dell’abbandono.</w:delText>
        </w:r>
      </w:del>
    </w:p>
    <w:p w:rsidR="006224C2" w:rsidRPr="00295E71" w14:paraId="749BA7C2" w14:textId="77777777">
      <w:pPr>
        <w:keepNext/>
        <w:tabs>
          <w:tab w:val="left" w:pos="567"/>
          <w:tab w:val="left" w:pos="1294"/>
        </w:tabs>
        <w:autoSpaceDE w:val="0"/>
        <w:autoSpaceDN w:val="0"/>
        <w:adjustRightInd w:val="0"/>
        <w:jc w:val="both"/>
        <w:rPr>
          <w:del w:id="4233" w:author="AbbVie14" w:date="2025-05-09T10:31:00Z"/>
          <w:color w:val="000000"/>
          <w:sz w:val="22"/>
          <w:szCs w:val="22"/>
        </w:rPr>
      </w:pPr>
      <w:del w:id="4234" w:author="AbbVie14" w:date="2025-05-09T10:31:00Z">
        <w:r w:rsidRPr="00295E71">
          <w:rPr>
            <w:color w:val="000000"/>
            <w:sz w:val="22"/>
            <w:szCs w:val="22"/>
            <w:vertAlign w:val="superscript"/>
          </w:rPr>
          <w:delText>a</w:delText>
        </w:r>
      </w:del>
      <w:del w:id="4235" w:author="AbbVie14" w:date="2025-05-09T10:31:00Z">
        <w:r w:rsidRPr="00295E71">
          <w:rPr>
            <w:color w:val="000000"/>
            <w:sz w:val="22"/>
            <w:szCs w:val="22"/>
          </w:rPr>
          <w:tab/>
          <w:delText>HR di adalimumab rispetto al placebo dalla regressione proporzionale dei rischi con il trattamento come fattore.</w:delText>
        </w:r>
      </w:del>
    </w:p>
    <w:p w:rsidR="006224C2" w:rsidRPr="00295E71" w14:paraId="127FAE9F" w14:textId="77777777">
      <w:pPr>
        <w:keepNext/>
        <w:tabs>
          <w:tab w:val="left" w:pos="567"/>
          <w:tab w:val="left" w:pos="1294"/>
        </w:tabs>
        <w:autoSpaceDE w:val="0"/>
        <w:autoSpaceDN w:val="0"/>
        <w:adjustRightInd w:val="0"/>
        <w:jc w:val="both"/>
        <w:rPr>
          <w:del w:id="4236" w:author="AbbVie14" w:date="2025-05-09T10:31:00Z"/>
          <w:color w:val="000000"/>
          <w:sz w:val="22"/>
          <w:szCs w:val="22"/>
        </w:rPr>
      </w:pPr>
      <w:del w:id="4237" w:author="AbbVie14" w:date="2025-05-09T10:31:00Z">
        <w:r w:rsidRPr="00295E71">
          <w:rPr>
            <w:color w:val="000000"/>
            <w:sz w:val="22"/>
            <w:szCs w:val="22"/>
            <w:vertAlign w:val="superscript"/>
          </w:rPr>
          <w:delText>b</w:delText>
        </w:r>
      </w:del>
      <w:del w:id="4238" w:author="AbbVie14" w:date="2025-05-09T10:31:00Z">
        <w:r w:rsidRPr="00295E71">
          <w:rPr>
            <w:color w:val="000000"/>
            <w:sz w:val="22"/>
            <w:szCs w:val="22"/>
          </w:rPr>
          <w:tab/>
          <w:delText xml:space="preserve">Valore </w:delText>
        </w:r>
      </w:del>
      <w:del w:id="4239" w:author="AbbVie14" w:date="2025-05-09T10:31:00Z">
        <w:r w:rsidRPr="00295E71">
          <w:rPr>
            <w:i/>
            <w:color w:val="000000"/>
            <w:sz w:val="22"/>
            <w:szCs w:val="22"/>
          </w:rPr>
          <w:delText>P</w:delText>
        </w:r>
      </w:del>
      <w:del w:id="4240" w:author="AbbVie14" w:date="2025-05-09T10:31:00Z">
        <w:r w:rsidRPr="00295E71">
          <w:rPr>
            <w:color w:val="000000"/>
            <w:sz w:val="22"/>
            <w:szCs w:val="22"/>
          </w:rPr>
          <w:delText xml:space="preserve"> bilaterale dal test dei ranghi logaritmici.</w:delText>
        </w:r>
      </w:del>
    </w:p>
    <w:p w:rsidR="006224C2" w:rsidRPr="00295E71" w14:paraId="475AC807" w14:textId="77777777">
      <w:pPr>
        <w:keepNext/>
        <w:tabs>
          <w:tab w:val="left" w:pos="567"/>
          <w:tab w:val="left" w:pos="1294"/>
        </w:tabs>
        <w:autoSpaceDE w:val="0"/>
        <w:autoSpaceDN w:val="0"/>
        <w:adjustRightInd w:val="0"/>
        <w:jc w:val="both"/>
        <w:rPr>
          <w:del w:id="4241" w:author="AbbVie14" w:date="2025-05-09T10:31:00Z"/>
          <w:color w:val="000000"/>
          <w:sz w:val="22"/>
          <w:szCs w:val="22"/>
        </w:rPr>
      </w:pPr>
      <w:del w:id="4242" w:author="AbbVie14" w:date="2025-05-09T10:31:00Z">
        <w:r w:rsidRPr="00295E71">
          <w:rPr>
            <w:color w:val="000000"/>
            <w:sz w:val="22"/>
            <w:szCs w:val="22"/>
            <w:vertAlign w:val="superscript"/>
          </w:rPr>
          <w:delText>c</w:delText>
        </w:r>
      </w:del>
      <w:del w:id="4243" w:author="AbbVie14" w:date="2025-05-09T10:31:00Z">
        <w:r w:rsidRPr="00295E71">
          <w:rPr>
            <w:color w:val="000000"/>
            <w:sz w:val="22"/>
            <w:szCs w:val="22"/>
          </w:rPr>
          <w:tab/>
          <w:delText>NV = non valutabile. Meno della metà dei soggetti a rischio ha avuto un evento.</w:delText>
        </w:r>
      </w:del>
    </w:p>
    <w:p w:rsidR="006224C2" w:rsidRPr="00295E71" w14:paraId="00B88C37" w14:textId="77777777">
      <w:pPr>
        <w:pStyle w:val="EMEANormal"/>
        <w:rPr>
          <w:del w:id="4244" w:author="AbbVie14" w:date="2025-05-09T10:31:00Z"/>
          <w:lang w:val="it-IT"/>
        </w:rPr>
      </w:pPr>
    </w:p>
    <w:p w:rsidR="006224C2" w:rsidRPr="00295E71" w14:paraId="42E7BB06" w14:textId="77777777">
      <w:pPr>
        <w:keepNext/>
        <w:tabs>
          <w:tab w:val="left" w:pos="562"/>
        </w:tabs>
        <w:suppressAutoHyphens/>
        <w:jc w:val="center"/>
        <w:rPr>
          <w:del w:id="4245" w:author="AbbVie14" w:date="2025-05-09T10:31:00Z"/>
          <w:b/>
          <w:sz w:val="22"/>
          <w:szCs w:val="22"/>
          <w:lang w:eastAsia="en-US"/>
        </w:rPr>
      </w:pPr>
      <w:del w:id="4246" w:author="AbbVie14" w:date="2025-05-09T10:31:00Z">
        <w:r w:rsidRPr="00295E71">
          <w:rPr>
            <w:b/>
            <w:sz w:val="22"/>
            <w:szCs w:val="22"/>
            <w:lang w:eastAsia="en-US"/>
          </w:rPr>
          <w:delText>Figura </w:delText>
        </w:r>
      </w:del>
      <w:del w:id="4247" w:author="AbbVie14" w:date="2025-05-09T10:31:00Z">
        <w:r w:rsidR="000203FD">
          <w:rPr>
            <w:b/>
            <w:sz w:val="22"/>
            <w:szCs w:val="22"/>
            <w:lang w:eastAsia="en-US"/>
          </w:rPr>
          <w:delText>1</w:delText>
        </w:r>
      </w:del>
      <w:del w:id="4248" w:author="AbbVie14" w:date="2025-05-09T10:31:00Z">
        <w:r w:rsidRPr="00295E71">
          <w:rPr>
            <w:b/>
            <w:sz w:val="22"/>
            <w:szCs w:val="22"/>
            <w:lang w:eastAsia="en-US"/>
          </w:rPr>
          <w:delText xml:space="preserve">: curve di Kaplan-Meier del tempo al fallimento del trattamento alla o dopo la settimana 6 (Studio UV I) o la settimana 2 (Studio UV II) </w:delText>
        </w:r>
      </w:del>
    </w:p>
    <w:p w:rsidR="006224C2" w:rsidRPr="00295E71" w14:paraId="4EFEB2FE" w14:textId="77777777">
      <w:pPr>
        <w:keepNext/>
        <w:tabs>
          <w:tab w:val="left" w:pos="562"/>
        </w:tabs>
        <w:suppressAutoHyphens/>
        <w:jc w:val="center"/>
        <w:rPr>
          <w:del w:id="4249" w:author="AbbVie14" w:date="2025-05-09T10:31:00Z"/>
          <w:b/>
          <w:sz w:val="22"/>
          <w:szCs w:val="22"/>
          <w:lang w:eastAsia="en-US"/>
        </w:rPr>
      </w:pPr>
    </w:p>
    <w:tbl>
      <w:tblPr>
        <w:tblW w:w="9481" w:type="dxa"/>
        <w:tblLayout w:type="fixed"/>
        <w:tblLook w:val="04A0"/>
      </w:tblPr>
      <w:tblGrid>
        <w:gridCol w:w="675"/>
        <w:gridCol w:w="3496"/>
        <w:gridCol w:w="1170"/>
        <w:gridCol w:w="1350"/>
        <w:gridCol w:w="900"/>
        <w:gridCol w:w="1890"/>
      </w:tblGrid>
      <w:tr w14:paraId="6DE372B7" w14:textId="77777777">
        <w:tblPrEx>
          <w:tblW w:w="9481" w:type="dxa"/>
          <w:tblLayout w:type="fixed"/>
          <w:tblLook w:val="04A0"/>
        </w:tblPrEx>
        <w:trPr>
          <w:cantSplit/>
          <w:trHeight w:val="3806"/>
          <w:del w:id="4250" w:author="AbbVie14" w:date="2025-05-09T10:31:00Z"/>
        </w:trPr>
        <w:tc>
          <w:tcPr>
            <w:tcW w:w="675" w:type="dxa"/>
            <w:textDirection w:val="btLr"/>
            <w:vAlign w:val="bottom"/>
          </w:tcPr>
          <w:p w:rsidR="006224C2" w:rsidRPr="00295E71" w14:paraId="1C25891A" w14:textId="77777777">
            <w:pPr>
              <w:keepNext/>
              <w:tabs>
                <w:tab w:val="left" w:pos="562"/>
              </w:tabs>
              <w:suppressAutoHyphens/>
              <w:ind w:left="113" w:right="113"/>
              <w:jc w:val="center"/>
              <w:rPr>
                <w:del w:id="4251" w:author="AbbVie14" w:date="2025-05-09T10:31:00Z"/>
                <w:b/>
                <w:sz w:val="22"/>
                <w:szCs w:val="22"/>
                <w:lang w:eastAsia="en-US"/>
              </w:rPr>
            </w:pPr>
            <w:del w:id="4252" w:author="AbbVie14" w:date="2025-05-09T10:31:00Z">
              <w:r w:rsidRPr="00295E71">
                <w:rPr>
                  <w:b/>
                  <w:sz w:val="22"/>
                  <w:szCs w:val="22"/>
                  <w:lang w:eastAsia="en-US"/>
                </w:rPr>
                <w:delText>TASSO DI FALLIMENTO DEL TRATTAMENTO (%)</w:delText>
              </w:r>
            </w:del>
          </w:p>
        </w:tc>
        <w:tc>
          <w:tcPr>
            <w:tcW w:w="8806" w:type="dxa"/>
            <w:gridSpan w:val="5"/>
            <w:vAlign w:val="bottom"/>
          </w:tcPr>
          <w:p w:rsidR="006224C2" w:rsidRPr="00295E71" w14:paraId="67096137" w14:textId="77777777">
            <w:pPr>
              <w:keepNext/>
              <w:tabs>
                <w:tab w:val="left" w:pos="562"/>
              </w:tabs>
              <w:suppressAutoHyphens/>
              <w:rPr>
                <w:del w:id="4253" w:author="AbbVie14" w:date="2025-05-09T10:31:00Z"/>
                <w:sz w:val="22"/>
                <w:szCs w:val="22"/>
              </w:rPr>
            </w:pPr>
            <w:del w:id="4254" w:author="AbbVie14" w:date="2025-05-09T10:31:00Z">
              <w:r w:rsidRPr="003B3A5A">
                <w:rPr>
                  <w:noProof/>
                  <w:sz w:val="22"/>
                  <w:lang w:val="en-GB"/>
                </w:rPr>
                <w:drawing>
                  <wp:inline distT="0" distB="0" distL="0" distR="0">
                    <wp:extent cx="5375082" cy="2210435"/>
                    <wp:effectExtent l="0" t="0" r="0" b="0"/>
                    <wp:docPr id="57" name="Picture 49"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6" descr="Humira Uveitis Figure 5_6"/>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75082" cy="2210435"/>
                            </a:xfrm>
                            <a:prstGeom prst="rect">
                              <a:avLst/>
                            </a:prstGeom>
                            <a:noFill/>
                            <a:ln>
                              <a:noFill/>
                            </a:ln>
                          </pic:spPr>
                        </pic:pic>
                      </a:graphicData>
                    </a:graphic>
                  </wp:inline>
                </w:drawing>
              </w:r>
            </w:del>
          </w:p>
        </w:tc>
      </w:tr>
      <w:tr w14:paraId="7AEBD479" w14:textId="77777777">
        <w:tblPrEx>
          <w:tblW w:w="9481" w:type="dxa"/>
          <w:tblLayout w:type="fixed"/>
          <w:tblLook w:val="04A0"/>
        </w:tblPrEx>
        <w:trPr>
          <w:del w:id="4255" w:author="AbbVie14" w:date="2025-05-09T10:31:00Z"/>
        </w:trPr>
        <w:tc>
          <w:tcPr>
            <w:tcW w:w="675" w:type="dxa"/>
          </w:tcPr>
          <w:p w:rsidR="006224C2" w:rsidRPr="00295E71" w14:paraId="49B4BA5C" w14:textId="77777777">
            <w:pPr>
              <w:tabs>
                <w:tab w:val="left" w:pos="562"/>
              </w:tabs>
              <w:suppressAutoHyphens/>
              <w:rPr>
                <w:del w:id="4256" w:author="AbbVie14" w:date="2025-05-09T10:31:00Z"/>
                <w:sz w:val="22"/>
                <w:szCs w:val="22"/>
              </w:rPr>
            </w:pPr>
          </w:p>
        </w:tc>
        <w:tc>
          <w:tcPr>
            <w:tcW w:w="8806" w:type="dxa"/>
            <w:gridSpan w:val="5"/>
          </w:tcPr>
          <w:p w:rsidR="006224C2" w:rsidRPr="00295E71" w14:paraId="355E3A35" w14:textId="77777777">
            <w:pPr>
              <w:tabs>
                <w:tab w:val="left" w:pos="562"/>
              </w:tabs>
              <w:suppressAutoHyphens/>
              <w:jc w:val="center"/>
              <w:rPr>
                <w:del w:id="4257" w:author="AbbVie14" w:date="2025-05-09T10:31:00Z"/>
                <w:b/>
                <w:sz w:val="22"/>
                <w:szCs w:val="22"/>
              </w:rPr>
            </w:pPr>
            <w:del w:id="4258" w:author="AbbVie14" w:date="2025-05-09T10:31:00Z">
              <w:r w:rsidRPr="00295E71">
                <w:rPr>
                  <w:b/>
                  <w:sz w:val="22"/>
                  <w:szCs w:val="22"/>
                </w:rPr>
                <w:delText>TEMPO (MESI)</w:delText>
              </w:r>
            </w:del>
          </w:p>
        </w:tc>
      </w:tr>
      <w:tr w14:paraId="2CDF4D20" w14:textId="77777777">
        <w:tblPrEx>
          <w:tblW w:w="9481" w:type="dxa"/>
          <w:tblLayout w:type="fixed"/>
          <w:tblLook w:val="04A0"/>
        </w:tblPrEx>
        <w:trPr>
          <w:del w:id="4259" w:author="AbbVie14" w:date="2025-05-09T10:31:00Z"/>
        </w:trPr>
        <w:tc>
          <w:tcPr>
            <w:tcW w:w="675" w:type="dxa"/>
          </w:tcPr>
          <w:p w:rsidR="006224C2" w:rsidRPr="00295E71" w14:paraId="44432243" w14:textId="77777777">
            <w:pPr>
              <w:tabs>
                <w:tab w:val="left" w:pos="562"/>
              </w:tabs>
              <w:suppressAutoHyphens/>
              <w:rPr>
                <w:del w:id="4260" w:author="AbbVie14" w:date="2025-05-09T10:31:00Z"/>
                <w:sz w:val="22"/>
                <w:szCs w:val="22"/>
              </w:rPr>
            </w:pPr>
          </w:p>
        </w:tc>
        <w:tc>
          <w:tcPr>
            <w:tcW w:w="3496" w:type="dxa"/>
          </w:tcPr>
          <w:p w:rsidR="006224C2" w:rsidRPr="00295E71" w14:paraId="5E864B5D" w14:textId="77777777">
            <w:pPr>
              <w:tabs>
                <w:tab w:val="left" w:pos="562"/>
              </w:tabs>
              <w:suppressAutoHyphens/>
              <w:rPr>
                <w:del w:id="4261" w:author="AbbVie14" w:date="2025-05-09T10:31:00Z"/>
                <w:sz w:val="22"/>
                <w:szCs w:val="22"/>
              </w:rPr>
            </w:pPr>
            <w:del w:id="4262" w:author="AbbVie14" w:date="2025-05-09T10:31:00Z">
              <w:r w:rsidRPr="00295E71">
                <w:rPr>
                  <w:sz w:val="22"/>
                  <w:szCs w:val="22"/>
                </w:rPr>
                <w:delText>Studio UV I                    Trattamento</w:delText>
              </w:r>
            </w:del>
          </w:p>
        </w:tc>
        <w:tc>
          <w:tcPr>
            <w:tcW w:w="1170" w:type="dxa"/>
          </w:tcPr>
          <w:p w:rsidR="006224C2" w:rsidRPr="00295E71" w14:paraId="6106259F" w14:textId="77777777">
            <w:pPr>
              <w:tabs>
                <w:tab w:val="left" w:pos="562"/>
              </w:tabs>
              <w:suppressAutoHyphens/>
              <w:jc w:val="right"/>
              <w:rPr>
                <w:del w:id="4263" w:author="AbbVie14" w:date="2025-05-09T10:31:00Z"/>
                <w:sz w:val="22"/>
                <w:szCs w:val="22"/>
              </w:rPr>
            </w:pPr>
            <w:del w:id="4264" w:author="AbbVie14" w:date="2025-05-09T10:31:00Z">
              <w:r w:rsidRPr="003B3A5A">
                <w:rPr>
                  <w:noProof/>
                  <w:sz w:val="22"/>
                  <w:lang w:val="en-GB"/>
                </w:rPr>
                <w:drawing>
                  <wp:inline distT="0" distB="0" distL="0" distR="0">
                    <wp:extent cx="394970" cy="180340"/>
                    <wp:effectExtent l="0" t="0" r="0" b="0"/>
                    <wp:docPr id="66" name="Immagine 4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2" descr="Humira Uveitis Figure 5_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970" cy="180340"/>
                            </a:xfrm>
                            <a:prstGeom prst="rect">
                              <a:avLst/>
                            </a:prstGeom>
                            <a:noFill/>
                            <a:ln>
                              <a:noFill/>
                            </a:ln>
                          </pic:spPr>
                        </pic:pic>
                      </a:graphicData>
                    </a:graphic>
                  </wp:inline>
                </w:drawing>
              </w:r>
            </w:del>
          </w:p>
        </w:tc>
        <w:tc>
          <w:tcPr>
            <w:tcW w:w="1350" w:type="dxa"/>
          </w:tcPr>
          <w:p w:rsidR="006224C2" w:rsidRPr="00295E71" w14:paraId="43DE21BF" w14:textId="77777777">
            <w:pPr>
              <w:tabs>
                <w:tab w:val="left" w:pos="562"/>
              </w:tabs>
              <w:suppressAutoHyphens/>
              <w:rPr>
                <w:del w:id="4265" w:author="AbbVie14" w:date="2025-05-09T10:31:00Z"/>
                <w:sz w:val="22"/>
                <w:szCs w:val="22"/>
              </w:rPr>
            </w:pPr>
            <w:del w:id="4266" w:author="AbbVie14" w:date="2025-05-09T10:31:00Z">
              <w:r w:rsidRPr="00295E71">
                <w:rPr>
                  <w:sz w:val="22"/>
                  <w:szCs w:val="22"/>
                </w:rPr>
                <w:delText>Placebo</w:delText>
              </w:r>
            </w:del>
          </w:p>
        </w:tc>
        <w:tc>
          <w:tcPr>
            <w:tcW w:w="900" w:type="dxa"/>
          </w:tcPr>
          <w:p w:rsidR="006224C2" w:rsidRPr="00295E71" w14:paraId="3BC18630" w14:textId="77777777">
            <w:pPr>
              <w:tabs>
                <w:tab w:val="left" w:pos="562"/>
              </w:tabs>
              <w:suppressAutoHyphens/>
              <w:jc w:val="right"/>
              <w:rPr>
                <w:del w:id="4267" w:author="AbbVie14" w:date="2025-05-09T10:31:00Z"/>
                <w:sz w:val="22"/>
                <w:szCs w:val="22"/>
              </w:rPr>
            </w:pPr>
            <w:del w:id="4268" w:author="AbbVie14" w:date="2025-05-09T10:31:00Z">
              <w:r w:rsidRPr="003B3A5A">
                <w:rPr>
                  <w:noProof/>
                  <w:sz w:val="22"/>
                  <w:lang w:val="en-GB"/>
                </w:rPr>
                <w:drawing>
                  <wp:inline distT="0" distB="0" distL="0" distR="0">
                    <wp:extent cx="561340" cy="180340"/>
                    <wp:effectExtent l="0" t="0" r="0" b="0"/>
                    <wp:docPr id="67" name="Immagine 4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3" descr="Humira Uveitis Figure 5_2"/>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340" cy="180340"/>
                            </a:xfrm>
                            <a:prstGeom prst="rect">
                              <a:avLst/>
                            </a:prstGeom>
                            <a:noFill/>
                            <a:ln>
                              <a:noFill/>
                            </a:ln>
                          </pic:spPr>
                        </pic:pic>
                      </a:graphicData>
                    </a:graphic>
                  </wp:inline>
                </w:drawing>
              </w:r>
            </w:del>
          </w:p>
        </w:tc>
        <w:tc>
          <w:tcPr>
            <w:tcW w:w="1890" w:type="dxa"/>
          </w:tcPr>
          <w:p w:rsidR="006224C2" w:rsidRPr="00295E71" w14:paraId="0A45A533" w14:textId="77777777">
            <w:pPr>
              <w:tabs>
                <w:tab w:val="left" w:pos="562"/>
              </w:tabs>
              <w:suppressAutoHyphens/>
              <w:rPr>
                <w:del w:id="4269" w:author="AbbVie14" w:date="2025-05-09T10:31:00Z"/>
                <w:sz w:val="22"/>
                <w:szCs w:val="22"/>
              </w:rPr>
            </w:pPr>
            <w:del w:id="4270" w:author="AbbVie14" w:date="2025-05-09T10:31:00Z">
              <w:r w:rsidRPr="00295E71">
                <w:rPr>
                  <w:sz w:val="22"/>
                  <w:szCs w:val="22"/>
                </w:rPr>
                <w:delText>Adalimumab</w:delText>
              </w:r>
            </w:del>
          </w:p>
        </w:tc>
      </w:tr>
      <w:tr w14:paraId="39A6A042" w14:textId="77777777">
        <w:tblPrEx>
          <w:tblW w:w="9481" w:type="dxa"/>
          <w:tblLayout w:type="fixed"/>
          <w:tblLook w:val="04A0"/>
        </w:tblPrEx>
        <w:trPr>
          <w:del w:id="4271" w:author="AbbVie14" w:date="2025-05-09T10:31:00Z"/>
        </w:trPr>
        <w:tc>
          <w:tcPr>
            <w:tcW w:w="675" w:type="dxa"/>
          </w:tcPr>
          <w:p w:rsidR="006224C2" w:rsidRPr="00295E71" w14:paraId="0D9E95ED" w14:textId="77777777">
            <w:pPr>
              <w:tabs>
                <w:tab w:val="left" w:pos="562"/>
              </w:tabs>
              <w:suppressAutoHyphens/>
              <w:rPr>
                <w:del w:id="4272" w:author="AbbVie14" w:date="2025-05-09T10:31:00Z"/>
                <w:sz w:val="22"/>
                <w:szCs w:val="22"/>
              </w:rPr>
            </w:pPr>
          </w:p>
        </w:tc>
        <w:tc>
          <w:tcPr>
            <w:tcW w:w="3496" w:type="dxa"/>
          </w:tcPr>
          <w:p w:rsidR="006224C2" w:rsidRPr="00295E71" w14:paraId="17EA5BA6" w14:textId="77777777">
            <w:pPr>
              <w:tabs>
                <w:tab w:val="left" w:pos="562"/>
              </w:tabs>
              <w:suppressAutoHyphens/>
              <w:rPr>
                <w:del w:id="4273" w:author="AbbVie14" w:date="2025-05-09T10:31:00Z"/>
                <w:sz w:val="22"/>
                <w:szCs w:val="22"/>
              </w:rPr>
            </w:pPr>
          </w:p>
        </w:tc>
        <w:tc>
          <w:tcPr>
            <w:tcW w:w="1170" w:type="dxa"/>
          </w:tcPr>
          <w:p w:rsidR="006224C2" w:rsidRPr="00295E71" w14:paraId="14CAABC6" w14:textId="77777777">
            <w:pPr>
              <w:tabs>
                <w:tab w:val="left" w:pos="562"/>
              </w:tabs>
              <w:suppressAutoHyphens/>
              <w:jc w:val="right"/>
              <w:rPr>
                <w:del w:id="4274" w:author="AbbVie14" w:date="2025-05-09T10:31:00Z"/>
                <w:noProof/>
                <w:sz w:val="22"/>
                <w:szCs w:val="22"/>
              </w:rPr>
            </w:pPr>
          </w:p>
        </w:tc>
        <w:tc>
          <w:tcPr>
            <w:tcW w:w="1350" w:type="dxa"/>
          </w:tcPr>
          <w:p w:rsidR="006224C2" w:rsidRPr="00295E71" w14:paraId="3E2C94CF" w14:textId="77777777">
            <w:pPr>
              <w:tabs>
                <w:tab w:val="left" w:pos="562"/>
              </w:tabs>
              <w:suppressAutoHyphens/>
              <w:rPr>
                <w:del w:id="4275" w:author="AbbVie14" w:date="2025-05-09T10:31:00Z"/>
                <w:sz w:val="22"/>
                <w:szCs w:val="22"/>
              </w:rPr>
            </w:pPr>
          </w:p>
        </w:tc>
        <w:tc>
          <w:tcPr>
            <w:tcW w:w="900" w:type="dxa"/>
          </w:tcPr>
          <w:p w:rsidR="006224C2" w:rsidRPr="00295E71" w14:paraId="4F55A6C9" w14:textId="77777777">
            <w:pPr>
              <w:tabs>
                <w:tab w:val="left" w:pos="562"/>
              </w:tabs>
              <w:suppressAutoHyphens/>
              <w:jc w:val="right"/>
              <w:rPr>
                <w:del w:id="4276" w:author="AbbVie14" w:date="2025-05-09T10:31:00Z"/>
                <w:noProof/>
                <w:sz w:val="22"/>
                <w:szCs w:val="22"/>
              </w:rPr>
            </w:pPr>
          </w:p>
        </w:tc>
        <w:tc>
          <w:tcPr>
            <w:tcW w:w="1890" w:type="dxa"/>
          </w:tcPr>
          <w:p w:rsidR="006224C2" w:rsidRPr="00295E71" w14:paraId="23EC41D7" w14:textId="77777777">
            <w:pPr>
              <w:tabs>
                <w:tab w:val="left" w:pos="562"/>
              </w:tabs>
              <w:suppressAutoHyphens/>
              <w:rPr>
                <w:del w:id="4277" w:author="AbbVie14" w:date="2025-05-09T10:31:00Z"/>
                <w:sz w:val="22"/>
                <w:szCs w:val="22"/>
              </w:rPr>
            </w:pPr>
          </w:p>
        </w:tc>
      </w:tr>
      <w:tr w14:paraId="32244E96" w14:textId="77777777">
        <w:tblPrEx>
          <w:tblW w:w="9481" w:type="dxa"/>
          <w:tblLayout w:type="fixed"/>
          <w:tblLook w:val="04A0"/>
        </w:tblPrEx>
        <w:trPr>
          <w:trHeight w:val="3869"/>
          <w:del w:id="4278" w:author="AbbVie14" w:date="2025-05-09T10:31:00Z"/>
        </w:trPr>
        <w:tc>
          <w:tcPr>
            <w:tcW w:w="675" w:type="dxa"/>
            <w:textDirection w:val="btLr"/>
            <w:vAlign w:val="bottom"/>
          </w:tcPr>
          <w:p w:rsidR="006224C2" w:rsidRPr="00295E71" w14:paraId="485EE4EF" w14:textId="77777777">
            <w:pPr>
              <w:tabs>
                <w:tab w:val="left" w:pos="562"/>
              </w:tabs>
              <w:suppressAutoHyphens/>
              <w:jc w:val="center"/>
              <w:rPr>
                <w:del w:id="4279" w:author="AbbVie14" w:date="2025-05-09T10:31:00Z"/>
                <w:sz w:val="22"/>
                <w:szCs w:val="22"/>
                <w:lang w:eastAsia="en-US"/>
              </w:rPr>
            </w:pPr>
            <w:del w:id="4280" w:author="AbbVie14" w:date="2025-05-09T10:31:00Z">
              <w:r w:rsidRPr="00295E71">
                <w:rPr>
                  <w:b/>
                  <w:sz w:val="22"/>
                  <w:szCs w:val="22"/>
                  <w:lang w:eastAsia="en-US"/>
                </w:rPr>
                <w:delText>TASSO DI FALLIMENTO DEL TRATTAMENTO (%)</w:delText>
              </w:r>
            </w:del>
          </w:p>
        </w:tc>
        <w:tc>
          <w:tcPr>
            <w:tcW w:w="8806" w:type="dxa"/>
            <w:gridSpan w:val="5"/>
            <w:vAlign w:val="bottom"/>
          </w:tcPr>
          <w:p w:rsidR="006224C2" w:rsidRPr="00295E71" w14:paraId="7B81804F" w14:textId="77777777">
            <w:pPr>
              <w:tabs>
                <w:tab w:val="left" w:pos="562"/>
              </w:tabs>
              <w:suppressAutoHyphens/>
              <w:rPr>
                <w:del w:id="4281" w:author="AbbVie14" w:date="2025-05-09T10:31:00Z"/>
                <w:sz w:val="22"/>
                <w:szCs w:val="22"/>
                <w:lang w:eastAsia="en-US"/>
              </w:rPr>
            </w:pPr>
            <w:del w:id="4282" w:author="AbbVie14" w:date="2025-05-09T10:31:00Z">
              <w:r w:rsidRPr="003B3A5A">
                <w:rPr>
                  <w:noProof/>
                  <w:sz w:val="22"/>
                  <w:lang w:val="en-GB"/>
                </w:rPr>
                <w:drawing>
                  <wp:inline distT="0" distB="0" distL="0" distR="0">
                    <wp:extent cx="5486400" cy="2182495"/>
                    <wp:effectExtent l="0" t="0" r="0" b="8255"/>
                    <wp:docPr id="68" name="Picture 34"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 descr="Humira Uveitis Figure 5_7"/>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182495"/>
                            </a:xfrm>
                            <a:prstGeom prst="rect">
                              <a:avLst/>
                            </a:prstGeom>
                            <a:noFill/>
                            <a:ln>
                              <a:noFill/>
                            </a:ln>
                          </pic:spPr>
                        </pic:pic>
                      </a:graphicData>
                    </a:graphic>
                  </wp:inline>
                </w:drawing>
              </w:r>
            </w:del>
          </w:p>
        </w:tc>
      </w:tr>
      <w:tr w14:paraId="3B159F9B" w14:textId="77777777">
        <w:tblPrEx>
          <w:tblW w:w="9481" w:type="dxa"/>
          <w:tblLayout w:type="fixed"/>
          <w:tblLook w:val="04A0"/>
        </w:tblPrEx>
        <w:trPr>
          <w:del w:id="4283" w:author="AbbVie14" w:date="2025-05-09T10:31:00Z"/>
        </w:trPr>
        <w:tc>
          <w:tcPr>
            <w:tcW w:w="675" w:type="dxa"/>
          </w:tcPr>
          <w:p w:rsidR="006224C2" w:rsidRPr="00295E71" w14:paraId="35E79BF2" w14:textId="77777777">
            <w:pPr>
              <w:tabs>
                <w:tab w:val="left" w:pos="562"/>
              </w:tabs>
              <w:suppressAutoHyphens/>
              <w:rPr>
                <w:del w:id="4284" w:author="AbbVie14" w:date="2025-05-09T10:31:00Z"/>
                <w:sz w:val="22"/>
                <w:szCs w:val="22"/>
                <w:lang w:eastAsia="en-US"/>
              </w:rPr>
            </w:pPr>
          </w:p>
        </w:tc>
        <w:tc>
          <w:tcPr>
            <w:tcW w:w="8806" w:type="dxa"/>
            <w:gridSpan w:val="5"/>
          </w:tcPr>
          <w:p w:rsidR="006224C2" w:rsidRPr="00295E71" w14:paraId="11566962" w14:textId="77777777">
            <w:pPr>
              <w:tabs>
                <w:tab w:val="left" w:pos="562"/>
              </w:tabs>
              <w:suppressAutoHyphens/>
              <w:jc w:val="center"/>
              <w:rPr>
                <w:del w:id="4285" w:author="AbbVie14" w:date="2025-05-09T10:31:00Z"/>
                <w:b/>
                <w:sz w:val="22"/>
                <w:szCs w:val="22"/>
              </w:rPr>
            </w:pPr>
            <w:del w:id="4286" w:author="AbbVie14" w:date="2025-05-09T10:31:00Z">
              <w:r w:rsidRPr="00295E71">
                <w:rPr>
                  <w:b/>
                  <w:sz w:val="22"/>
                  <w:szCs w:val="22"/>
                </w:rPr>
                <w:delText>TEMPO (MESI)</w:delText>
              </w:r>
            </w:del>
          </w:p>
        </w:tc>
      </w:tr>
      <w:tr w14:paraId="153306CB" w14:textId="77777777">
        <w:tblPrEx>
          <w:tblW w:w="9481" w:type="dxa"/>
          <w:tblLayout w:type="fixed"/>
          <w:tblLook w:val="04A0"/>
        </w:tblPrEx>
        <w:trPr>
          <w:trHeight w:val="369"/>
          <w:del w:id="4287" w:author="AbbVie14" w:date="2025-05-09T10:31:00Z"/>
        </w:trPr>
        <w:tc>
          <w:tcPr>
            <w:tcW w:w="675" w:type="dxa"/>
          </w:tcPr>
          <w:p w:rsidR="006224C2" w:rsidRPr="00295E71" w14:paraId="4798D054" w14:textId="77777777">
            <w:pPr>
              <w:tabs>
                <w:tab w:val="left" w:pos="562"/>
              </w:tabs>
              <w:suppressAutoHyphens/>
              <w:rPr>
                <w:del w:id="4288" w:author="AbbVie14" w:date="2025-05-09T10:31:00Z"/>
                <w:sz w:val="22"/>
                <w:szCs w:val="22"/>
              </w:rPr>
            </w:pPr>
          </w:p>
        </w:tc>
        <w:tc>
          <w:tcPr>
            <w:tcW w:w="3496" w:type="dxa"/>
          </w:tcPr>
          <w:p w:rsidR="006224C2" w:rsidRPr="00295E71" w14:paraId="4C7D0A3F" w14:textId="77777777">
            <w:pPr>
              <w:tabs>
                <w:tab w:val="left" w:pos="562"/>
              </w:tabs>
              <w:suppressAutoHyphens/>
              <w:rPr>
                <w:del w:id="4289" w:author="AbbVie14" w:date="2025-05-09T10:31:00Z"/>
                <w:sz w:val="22"/>
                <w:szCs w:val="22"/>
              </w:rPr>
            </w:pPr>
            <w:del w:id="4290" w:author="AbbVie14" w:date="2025-05-09T10:31:00Z">
              <w:r w:rsidRPr="00295E71">
                <w:rPr>
                  <w:sz w:val="22"/>
                  <w:szCs w:val="22"/>
                </w:rPr>
                <w:delText>Studio UV II                   Trattamento</w:delText>
              </w:r>
            </w:del>
          </w:p>
        </w:tc>
        <w:tc>
          <w:tcPr>
            <w:tcW w:w="1170" w:type="dxa"/>
          </w:tcPr>
          <w:p w:rsidR="006224C2" w:rsidRPr="00295E71" w14:paraId="73FEE3A8" w14:textId="77777777">
            <w:pPr>
              <w:tabs>
                <w:tab w:val="left" w:pos="562"/>
              </w:tabs>
              <w:suppressAutoHyphens/>
              <w:jc w:val="right"/>
              <w:rPr>
                <w:del w:id="4291" w:author="AbbVie14" w:date="2025-05-09T10:31:00Z"/>
                <w:sz w:val="22"/>
                <w:szCs w:val="22"/>
              </w:rPr>
            </w:pPr>
            <w:del w:id="4292" w:author="AbbVie14" w:date="2025-05-09T10:31:00Z">
              <w:r w:rsidRPr="003B3A5A">
                <w:rPr>
                  <w:noProof/>
                  <w:sz w:val="22"/>
                  <w:lang w:val="en-GB"/>
                </w:rPr>
                <w:drawing>
                  <wp:inline distT="0" distB="0" distL="0" distR="0">
                    <wp:extent cx="394970" cy="180340"/>
                    <wp:effectExtent l="0" t="0" r="0" b="0"/>
                    <wp:docPr id="69" name="Immagine 4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5" descr="Humira Uveitis Figure 5_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970" cy="180340"/>
                            </a:xfrm>
                            <a:prstGeom prst="rect">
                              <a:avLst/>
                            </a:prstGeom>
                            <a:noFill/>
                            <a:ln>
                              <a:noFill/>
                            </a:ln>
                          </pic:spPr>
                        </pic:pic>
                      </a:graphicData>
                    </a:graphic>
                  </wp:inline>
                </w:drawing>
              </w:r>
            </w:del>
          </w:p>
        </w:tc>
        <w:tc>
          <w:tcPr>
            <w:tcW w:w="1350" w:type="dxa"/>
          </w:tcPr>
          <w:p w:rsidR="006224C2" w:rsidRPr="00295E71" w14:paraId="14709CE5" w14:textId="77777777">
            <w:pPr>
              <w:tabs>
                <w:tab w:val="left" w:pos="562"/>
              </w:tabs>
              <w:suppressAutoHyphens/>
              <w:rPr>
                <w:del w:id="4293" w:author="AbbVie14" w:date="2025-05-09T10:31:00Z"/>
                <w:sz w:val="22"/>
                <w:szCs w:val="22"/>
                <w:lang w:eastAsia="en-US"/>
              </w:rPr>
            </w:pPr>
            <w:del w:id="4294" w:author="AbbVie14" w:date="2025-05-09T10:31:00Z">
              <w:r w:rsidRPr="00295E71">
                <w:rPr>
                  <w:sz w:val="22"/>
                  <w:szCs w:val="22"/>
                </w:rPr>
                <w:delText>Placebo</w:delText>
              </w:r>
            </w:del>
          </w:p>
        </w:tc>
        <w:tc>
          <w:tcPr>
            <w:tcW w:w="900" w:type="dxa"/>
          </w:tcPr>
          <w:p w:rsidR="006224C2" w:rsidRPr="00295E71" w14:paraId="3F3FB038" w14:textId="77777777">
            <w:pPr>
              <w:tabs>
                <w:tab w:val="left" w:pos="562"/>
              </w:tabs>
              <w:suppressAutoHyphens/>
              <w:jc w:val="right"/>
              <w:rPr>
                <w:del w:id="4295" w:author="AbbVie14" w:date="2025-05-09T10:31:00Z"/>
                <w:sz w:val="22"/>
                <w:szCs w:val="22"/>
              </w:rPr>
            </w:pPr>
            <w:del w:id="4296" w:author="AbbVie14" w:date="2025-05-09T10:31:00Z">
              <w:r w:rsidRPr="003B3A5A">
                <w:rPr>
                  <w:noProof/>
                  <w:sz w:val="22"/>
                  <w:lang w:val="en-GB"/>
                </w:rPr>
                <w:drawing>
                  <wp:inline distT="0" distB="0" distL="0" distR="0">
                    <wp:extent cx="561340" cy="180340"/>
                    <wp:effectExtent l="0" t="0" r="0" b="0"/>
                    <wp:docPr id="71" name="Immagine 4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6" descr="Humira Uveitis Figure 5_2"/>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340" cy="180340"/>
                            </a:xfrm>
                            <a:prstGeom prst="rect">
                              <a:avLst/>
                            </a:prstGeom>
                            <a:noFill/>
                            <a:ln>
                              <a:noFill/>
                            </a:ln>
                          </pic:spPr>
                        </pic:pic>
                      </a:graphicData>
                    </a:graphic>
                  </wp:inline>
                </w:drawing>
              </w:r>
            </w:del>
          </w:p>
        </w:tc>
        <w:tc>
          <w:tcPr>
            <w:tcW w:w="1890" w:type="dxa"/>
          </w:tcPr>
          <w:p w:rsidR="006224C2" w:rsidRPr="00295E71" w14:paraId="09582293" w14:textId="77777777">
            <w:pPr>
              <w:tabs>
                <w:tab w:val="left" w:pos="562"/>
              </w:tabs>
              <w:suppressAutoHyphens/>
              <w:rPr>
                <w:del w:id="4297" w:author="AbbVie14" w:date="2025-05-09T10:31:00Z"/>
                <w:sz w:val="22"/>
                <w:szCs w:val="22"/>
              </w:rPr>
            </w:pPr>
            <w:del w:id="4298" w:author="AbbVie14" w:date="2025-05-09T10:31:00Z">
              <w:r w:rsidRPr="00295E71">
                <w:rPr>
                  <w:sz w:val="22"/>
                  <w:szCs w:val="22"/>
                </w:rPr>
                <w:delText>Adalimumab</w:delText>
              </w:r>
            </w:del>
          </w:p>
        </w:tc>
      </w:tr>
      <w:tr w14:paraId="7DE485DF" w14:textId="77777777">
        <w:tblPrEx>
          <w:tblW w:w="9481" w:type="dxa"/>
          <w:tblLayout w:type="fixed"/>
          <w:tblLook w:val="04A0"/>
        </w:tblPrEx>
        <w:trPr>
          <w:trHeight w:val="629"/>
          <w:del w:id="4299" w:author="AbbVie14" w:date="2025-05-09T10:31:00Z"/>
        </w:trPr>
        <w:tc>
          <w:tcPr>
            <w:tcW w:w="9481" w:type="dxa"/>
            <w:gridSpan w:val="6"/>
            <w:vAlign w:val="center"/>
          </w:tcPr>
          <w:p w:rsidR="006224C2" w:rsidRPr="00295E71" w14:paraId="619865B9" w14:textId="77777777">
            <w:pPr>
              <w:tabs>
                <w:tab w:val="left" w:pos="562"/>
              </w:tabs>
              <w:suppressAutoHyphens/>
              <w:rPr>
                <w:del w:id="4300" w:author="AbbVie14" w:date="2025-05-09T10:31:00Z"/>
                <w:sz w:val="22"/>
                <w:szCs w:val="22"/>
                <w:lang w:eastAsia="en-US"/>
              </w:rPr>
            </w:pPr>
            <w:del w:id="4301" w:author="AbbVie14" w:date="2025-05-09T10:31:00Z">
              <w:r w:rsidRPr="00295E71">
                <w:rPr>
                  <w:sz w:val="22"/>
                  <w:szCs w:val="22"/>
                  <w:lang w:eastAsia="en-US"/>
                </w:rPr>
                <w:delText>Nota: P</w:delText>
              </w:r>
            </w:del>
            <w:del w:id="4302" w:author="AbbVie14" w:date="2025-05-09T10:31:00Z">
              <w:r w:rsidRPr="00295E71" w:rsidR="002A6ED6">
                <w:rPr>
                  <w:sz w:val="22"/>
                  <w:szCs w:val="22"/>
                  <w:lang w:eastAsia="en-US"/>
                </w:rPr>
                <w:delText>#</w:delText>
              </w:r>
            </w:del>
            <w:del w:id="4303" w:author="AbbVie14" w:date="2025-05-09T10:31:00Z">
              <w:r w:rsidRPr="00295E71">
                <w:rPr>
                  <w:sz w:val="22"/>
                  <w:szCs w:val="22"/>
                  <w:lang w:eastAsia="en-US"/>
                </w:rPr>
                <w:delText xml:space="preserve"> = Placebo (Numero di eventi/Numero a rischio); A</w:delText>
              </w:r>
            </w:del>
            <w:del w:id="4304" w:author="AbbVie14" w:date="2025-05-09T10:31:00Z">
              <w:r w:rsidRPr="00295E71" w:rsidR="002A6ED6">
                <w:rPr>
                  <w:sz w:val="22"/>
                  <w:szCs w:val="22"/>
                  <w:lang w:eastAsia="en-US"/>
                </w:rPr>
                <w:delText>#</w:delText>
              </w:r>
            </w:del>
            <w:del w:id="4305" w:author="AbbVie14" w:date="2025-05-09T10:31:00Z">
              <w:r w:rsidRPr="00295E71">
                <w:rPr>
                  <w:sz w:val="22"/>
                  <w:szCs w:val="22"/>
                  <w:lang w:eastAsia="en-US"/>
                </w:rPr>
                <w:delText xml:space="preserve"> = HUMIRA (Numero di</w:delText>
              </w:r>
            </w:del>
          </w:p>
          <w:p w:rsidR="006224C2" w:rsidRPr="00295E71" w14:paraId="2E834B17" w14:textId="77777777">
            <w:pPr>
              <w:tabs>
                <w:tab w:val="left" w:pos="562"/>
              </w:tabs>
              <w:suppressAutoHyphens/>
              <w:rPr>
                <w:del w:id="4306" w:author="AbbVie14" w:date="2025-05-09T10:31:00Z"/>
                <w:sz w:val="22"/>
                <w:szCs w:val="22"/>
              </w:rPr>
            </w:pPr>
            <w:del w:id="4307" w:author="AbbVie14" w:date="2025-05-09T10:31:00Z">
              <w:r w:rsidRPr="00295E71">
                <w:rPr>
                  <w:sz w:val="22"/>
                  <w:szCs w:val="22"/>
                </w:rPr>
                <w:delText>eventi/Numero a rischio).</w:delText>
              </w:r>
            </w:del>
          </w:p>
        </w:tc>
      </w:tr>
    </w:tbl>
    <w:p w:rsidR="006224C2" w:rsidRPr="00295E71" w14:paraId="42F0B805" w14:textId="77777777">
      <w:pPr>
        <w:tabs>
          <w:tab w:val="left" w:pos="562"/>
        </w:tabs>
        <w:suppressAutoHyphens/>
        <w:rPr>
          <w:del w:id="4308" w:author="AbbVie14" w:date="2025-05-09T10:31:00Z"/>
          <w:sz w:val="22"/>
          <w:szCs w:val="22"/>
        </w:rPr>
      </w:pPr>
    </w:p>
    <w:p w:rsidR="006224C2" w:rsidRPr="00295E71" w14:paraId="27D062F9" w14:textId="77777777">
      <w:pPr>
        <w:tabs>
          <w:tab w:val="left" w:pos="562"/>
        </w:tabs>
        <w:suppressAutoHyphens/>
        <w:rPr>
          <w:del w:id="4309" w:author="AbbVie14" w:date="2025-05-09T10:31:00Z"/>
          <w:sz w:val="22"/>
          <w:szCs w:val="22"/>
          <w:lang w:eastAsia="en-US"/>
        </w:rPr>
      </w:pPr>
      <w:del w:id="4310" w:author="AbbVie14" w:date="2025-05-09T10:31:00Z">
        <w:r w:rsidRPr="00295E71">
          <w:rPr>
            <w:sz w:val="22"/>
            <w:szCs w:val="22"/>
            <w:lang w:eastAsia="en-US"/>
          </w:rPr>
          <w:delText>Nello Studio UV I sono state osservate differenze statisticamente significative a favore di adalimumab rispetto al placebo per ogni componente del fallimento del trattamento. Nello Studio UV II sono state osservate differenze statisticamente significative solo per l’acuità visiva, mentre gli altri componenti erano numericamente a favore di adalimumab.</w:delText>
        </w:r>
      </w:del>
    </w:p>
    <w:p w:rsidR="006224C2" w:rsidRPr="00295E71" w14:paraId="0071A50E" w14:textId="77777777">
      <w:pPr>
        <w:tabs>
          <w:tab w:val="left" w:pos="562"/>
        </w:tabs>
        <w:suppressAutoHyphens/>
        <w:rPr>
          <w:del w:id="4311" w:author="AbbVie14" w:date="2025-05-09T10:31:00Z"/>
          <w:sz w:val="22"/>
          <w:szCs w:val="22"/>
          <w:lang w:eastAsia="en-US"/>
        </w:rPr>
      </w:pPr>
    </w:p>
    <w:p w:rsidR="00E17E38" w:rsidP="00E17E38" w14:paraId="22D5BF36" w14:textId="77777777">
      <w:pPr>
        <w:rPr>
          <w:del w:id="4312" w:author="AbbVie14" w:date="2025-05-09T10:31:00Z"/>
        </w:rPr>
      </w:pPr>
      <w:del w:id="4313" w:author="AbbVie14" w:date="2025-05-09T10:31:00Z">
        <w:r w:rsidRPr="00295E71">
          <w:rPr>
            <w:sz w:val="22"/>
            <w:szCs w:val="22"/>
            <w:lang w:eastAsia="en-US"/>
          </w:rPr>
          <w:delText xml:space="preserve">Dei </w:delText>
        </w:r>
      </w:del>
      <w:del w:id="4314" w:author="AbbVie14" w:date="2025-05-09T10:31:00Z">
        <w:r>
          <w:rPr>
            <w:sz w:val="22"/>
            <w:szCs w:val="22"/>
            <w:lang w:eastAsia="en-US"/>
          </w:rPr>
          <w:delText>424</w:delText>
        </w:r>
      </w:del>
      <w:del w:id="4315" w:author="AbbVie14" w:date="2025-05-09T10:31:00Z">
        <w:r w:rsidRPr="00295E71">
          <w:rPr>
            <w:sz w:val="22"/>
            <w:szCs w:val="22"/>
            <w:lang w:eastAsia="en-US"/>
          </w:rPr>
          <w:delText xml:space="preserve"> soggetti inclusi nell’estensione a lungo termine non controllata degli Studi UV I ed UV II, </w:delText>
        </w:r>
      </w:del>
      <w:del w:id="4316" w:author="AbbVie14" w:date="2025-05-09T10:31:00Z">
        <w:r>
          <w:rPr>
            <w:sz w:val="22"/>
            <w:szCs w:val="22"/>
            <w:lang w:eastAsia="en-US"/>
          </w:rPr>
          <w:delText>60</w:delText>
        </w:r>
      </w:del>
      <w:del w:id="4317" w:author="AbbVie14" w:date="2025-05-09T10:31:00Z">
        <w:r w:rsidRPr="00295E71">
          <w:rPr>
            <w:sz w:val="22"/>
            <w:szCs w:val="22"/>
            <w:lang w:eastAsia="en-US"/>
          </w:rPr>
          <w:delText xml:space="preserve"> soggetti sono stati considerati non eleggibili (ad es. </w:delText>
        </w:r>
      </w:del>
      <w:del w:id="4318" w:author="AbbVie14" w:date="2025-05-09T10:31:00Z">
        <w:r>
          <w:rPr>
            <w:sz w:val="22"/>
            <w:szCs w:val="22"/>
            <w:lang w:eastAsia="en-US"/>
          </w:rPr>
          <w:delText>a causa di deviazioni o per</w:delText>
        </w:r>
      </w:del>
    </w:p>
    <w:p w:rsidR="007F1E9C" w:rsidRPr="00295E71" w:rsidP="00E17E38" w14:paraId="7D154C23" w14:textId="77777777">
      <w:pPr>
        <w:rPr>
          <w:del w:id="4319" w:author="AbbVie14" w:date="2025-05-09T10:31:00Z"/>
          <w:sz w:val="22"/>
          <w:szCs w:val="22"/>
          <w:lang w:eastAsia="en-US"/>
        </w:rPr>
      </w:pPr>
      <w:del w:id="4320" w:author="AbbVie14" w:date="2025-05-09T10:31:00Z">
        <w:r w:rsidRPr="00295E71">
          <w:rPr>
            <w:sz w:val="22"/>
            <w:szCs w:val="22"/>
            <w:lang w:eastAsia="en-US"/>
          </w:rPr>
          <w:delText xml:space="preserve">complicazioni secondarie alla retinopatia diabetica, a causa di intervento chirurgico di cataratta o vitrectomia) e sono stati esclusi dall’analisi primaria di efficacia. Dei </w:delText>
        </w:r>
      </w:del>
      <w:del w:id="4321" w:author="AbbVie14" w:date="2025-05-09T10:31:00Z">
        <w:r w:rsidR="00E17E38">
          <w:rPr>
            <w:sz w:val="22"/>
            <w:szCs w:val="22"/>
            <w:lang w:eastAsia="en-US"/>
          </w:rPr>
          <w:delText>364</w:delText>
        </w:r>
      </w:del>
      <w:del w:id="4322" w:author="AbbVie14" w:date="2025-05-09T10:31:00Z">
        <w:r w:rsidRPr="00295E71">
          <w:rPr>
            <w:sz w:val="22"/>
            <w:szCs w:val="22"/>
            <w:lang w:eastAsia="en-US"/>
          </w:rPr>
          <w:delText xml:space="preserve"> pazienti rimanenti, </w:delText>
        </w:r>
      </w:del>
      <w:del w:id="4323" w:author="AbbVie14" w:date="2025-05-09T10:31:00Z">
        <w:r w:rsidR="00E17E38">
          <w:rPr>
            <w:sz w:val="22"/>
            <w:szCs w:val="22"/>
            <w:lang w:eastAsia="en-US"/>
          </w:rPr>
          <w:delText>269</w:delText>
        </w:r>
      </w:del>
      <w:del w:id="4324" w:author="AbbVie14" w:date="2025-05-09T10:31:00Z">
        <w:r w:rsidRPr="00295E71">
          <w:rPr>
            <w:sz w:val="22"/>
            <w:szCs w:val="22"/>
            <w:lang w:eastAsia="en-US"/>
          </w:rPr>
          <w:delText xml:space="preserve"> pazienti </w:delText>
        </w:r>
      </w:del>
      <w:del w:id="4325" w:author="AbbVie14" w:date="2025-05-09T10:31:00Z">
        <w:r w:rsidRPr="005641FA">
          <w:rPr>
            <w:sz w:val="22"/>
            <w:szCs w:val="22"/>
            <w:lang w:eastAsia="en-US"/>
          </w:rPr>
          <w:delText>valutabili</w:delText>
        </w:r>
      </w:del>
      <w:del w:id="4326" w:author="AbbVie14" w:date="2025-05-09T10:31:00Z">
        <w:r w:rsidRPr="00295E71">
          <w:rPr>
            <w:sz w:val="22"/>
            <w:szCs w:val="22"/>
            <w:lang w:eastAsia="en-US"/>
          </w:rPr>
          <w:delText xml:space="preserve"> </w:delText>
        </w:r>
      </w:del>
      <w:del w:id="4327" w:author="AbbVie14" w:date="2025-05-09T10:31:00Z">
        <w:r w:rsidR="00E17E38">
          <w:rPr>
            <w:sz w:val="22"/>
            <w:szCs w:val="22"/>
            <w:lang w:eastAsia="en-US"/>
          </w:rPr>
          <w:delText xml:space="preserve">(74%) </w:delText>
        </w:r>
      </w:del>
      <w:del w:id="4328" w:author="AbbVie14" w:date="2025-05-09T10:31:00Z">
        <w:r w:rsidRPr="00295E71">
          <w:rPr>
            <w:sz w:val="22"/>
            <w:szCs w:val="22"/>
            <w:lang w:eastAsia="en-US"/>
          </w:rPr>
          <w:delText xml:space="preserve">hanno raggiunto 78 settimane di trattamento in aperto con adalimumab. In base all’approccio utilizzato per l’osservazione dei dati, </w:delText>
        </w:r>
      </w:del>
      <w:del w:id="4329" w:author="AbbVie14" w:date="2025-05-09T10:31:00Z">
        <w:r w:rsidR="00E17E38">
          <w:rPr>
            <w:sz w:val="22"/>
            <w:szCs w:val="22"/>
            <w:lang w:eastAsia="en-US"/>
          </w:rPr>
          <w:delText>216</w:delText>
        </w:r>
      </w:del>
      <w:del w:id="4330" w:author="AbbVie14" w:date="2025-05-09T10:31:00Z">
        <w:r w:rsidRPr="00295E71">
          <w:rPr>
            <w:sz w:val="22"/>
            <w:szCs w:val="22"/>
            <w:lang w:eastAsia="en-US"/>
          </w:rPr>
          <w:delText xml:space="preserve"> (80,</w:delText>
        </w:r>
      </w:del>
      <w:del w:id="4331" w:author="AbbVie14" w:date="2025-05-09T10:31:00Z">
        <w:r w:rsidR="00E17E38">
          <w:rPr>
            <w:sz w:val="22"/>
            <w:szCs w:val="22"/>
            <w:lang w:eastAsia="en-US"/>
          </w:rPr>
          <w:delText>3</w:delText>
        </w:r>
      </w:del>
      <w:del w:id="4332" w:author="AbbVie14" w:date="2025-05-09T10:31:00Z">
        <w:r w:rsidRPr="00295E71">
          <w:rPr>
            <w:sz w:val="22"/>
            <w:szCs w:val="22"/>
            <w:lang w:eastAsia="en-US"/>
          </w:rPr>
          <w:delText xml:space="preserve">%) sono stati in quiescenza (nessuna lesione infiammatoria attiva, grado di cellule AC ≤ 0,5+, grado VH ≤ 0,5+) con una dose concomitante di steroidi ≤ 7,5 mg al giorno, e </w:delText>
        </w:r>
      </w:del>
      <w:del w:id="4333" w:author="AbbVie14" w:date="2025-05-09T10:31:00Z">
        <w:r w:rsidR="00E17E38">
          <w:rPr>
            <w:sz w:val="22"/>
            <w:szCs w:val="22"/>
            <w:lang w:eastAsia="en-US"/>
          </w:rPr>
          <w:delText>178</w:delText>
        </w:r>
      </w:del>
      <w:del w:id="4334" w:author="AbbVie14" w:date="2025-05-09T10:31:00Z">
        <w:r w:rsidRPr="00295E71">
          <w:rPr>
            <w:sz w:val="22"/>
            <w:szCs w:val="22"/>
            <w:lang w:eastAsia="en-US"/>
          </w:rPr>
          <w:delText xml:space="preserve"> (66,</w:delText>
        </w:r>
      </w:del>
      <w:del w:id="4335" w:author="AbbVie14" w:date="2025-05-09T10:31:00Z">
        <w:r w:rsidR="00E17E38">
          <w:rPr>
            <w:sz w:val="22"/>
            <w:szCs w:val="22"/>
            <w:lang w:eastAsia="en-US"/>
          </w:rPr>
          <w:delText>2</w:delText>
        </w:r>
      </w:del>
      <w:del w:id="4336" w:author="AbbVie14" w:date="2025-05-09T10:31:00Z">
        <w:r w:rsidRPr="00295E71">
          <w:rPr>
            <w:sz w:val="22"/>
            <w:szCs w:val="22"/>
            <w:lang w:eastAsia="en-US"/>
          </w:rPr>
          <w:delText>%) sono stati in quiescenza senza trattamento steroideo. BCVA era migliorat</w:delText>
        </w:r>
      </w:del>
      <w:del w:id="4337" w:author="AbbVie14" w:date="2025-05-09T10:31:00Z">
        <w:r w:rsidR="00CB53AC">
          <w:rPr>
            <w:sz w:val="22"/>
            <w:szCs w:val="22"/>
            <w:lang w:eastAsia="en-US"/>
          </w:rPr>
          <w:delText>a</w:delText>
        </w:r>
      </w:del>
      <w:del w:id="4338" w:author="AbbVie14" w:date="2025-05-09T10:31:00Z">
        <w:r w:rsidRPr="00295E71">
          <w:rPr>
            <w:sz w:val="22"/>
            <w:szCs w:val="22"/>
            <w:lang w:eastAsia="en-US"/>
          </w:rPr>
          <w:delText xml:space="preserve"> o mantenut</w:delText>
        </w:r>
      </w:del>
      <w:del w:id="4339" w:author="AbbVie14" w:date="2025-05-09T10:31:00Z">
        <w:r w:rsidR="00CB53AC">
          <w:rPr>
            <w:sz w:val="22"/>
            <w:szCs w:val="22"/>
            <w:lang w:eastAsia="en-US"/>
          </w:rPr>
          <w:delText>a</w:delText>
        </w:r>
      </w:del>
      <w:del w:id="4340" w:author="AbbVie14" w:date="2025-05-09T10:31:00Z">
        <w:r w:rsidRPr="00295E71">
          <w:rPr>
            <w:sz w:val="22"/>
            <w:szCs w:val="22"/>
            <w:lang w:eastAsia="en-US"/>
          </w:rPr>
          <w:delText xml:space="preserve"> (deteriorazione &lt; 5 lettere) nell’88,</w:delText>
        </w:r>
      </w:del>
      <w:del w:id="4341" w:author="AbbVie14" w:date="2025-05-09T10:31:00Z">
        <w:r w:rsidR="00E17E38">
          <w:rPr>
            <w:sz w:val="22"/>
            <w:szCs w:val="22"/>
            <w:lang w:eastAsia="en-US"/>
          </w:rPr>
          <w:delText>6</w:delText>
        </w:r>
      </w:del>
      <w:del w:id="4342" w:author="AbbVie14" w:date="2025-05-09T10:31:00Z">
        <w:r w:rsidRPr="00295E71">
          <w:rPr>
            <w:sz w:val="22"/>
            <w:szCs w:val="22"/>
            <w:lang w:eastAsia="en-US"/>
          </w:rPr>
          <w:delText xml:space="preserve">% degli occhi alla settimana 78. </w:delText>
        </w:r>
      </w:del>
      <w:del w:id="4343" w:author="AbbVie14" w:date="2025-05-09T10:31:00Z">
        <w:r w:rsidRPr="00004788" w:rsidR="00E17E38">
          <w:rPr>
            <w:sz w:val="22"/>
            <w:szCs w:val="22"/>
            <w:lang w:eastAsia="en-US"/>
          </w:rPr>
          <w:delText xml:space="preserve">I dati oltre la settimana 78 </w:delText>
        </w:r>
      </w:del>
      <w:del w:id="4344" w:author="AbbVie14" w:date="2025-05-09T10:31:00Z">
        <w:r w:rsidR="00E17E38">
          <w:rPr>
            <w:sz w:val="22"/>
            <w:szCs w:val="22"/>
            <w:lang w:eastAsia="en-US"/>
          </w:rPr>
          <w:delText>sono stati</w:delText>
        </w:r>
      </w:del>
      <w:del w:id="4345" w:author="AbbVie14" w:date="2025-05-09T10:31:00Z">
        <w:r w:rsidRPr="00004788" w:rsidR="00E17E38">
          <w:rPr>
            <w:sz w:val="22"/>
            <w:szCs w:val="22"/>
            <w:lang w:eastAsia="en-US"/>
          </w:rPr>
          <w:delText xml:space="preserve"> generalmente coerenti con questi risultati, ma il numero di soggetti arruolati è diminuito dopo questo periodo</w:delText>
        </w:r>
      </w:del>
      <w:del w:id="4346" w:author="AbbVie14" w:date="2025-05-09T10:31:00Z">
        <w:r w:rsidR="00E17E38">
          <w:rPr>
            <w:sz w:val="22"/>
            <w:szCs w:val="22"/>
            <w:lang w:eastAsia="en-US"/>
          </w:rPr>
          <w:delText>.</w:delText>
        </w:r>
      </w:del>
      <w:del w:id="4347" w:author="AbbVie14" w:date="2025-05-09T10:31:00Z">
        <w:r w:rsidRPr="00004788" w:rsidR="00E17E38">
          <w:rPr>
            <w:sz w:val="22"/>
            <w:szCs w:val="22"/>
            <w:lang w:eastAsia="en-US"/>
          </w:rPr>
          <w:delText xml:space="preserve"> </w:delText>
        </w:r>
      </w:del>
      <w:del w:id="4348" w:author="AbbVie14" w:date="2025-05-09T10:31:00Z">
        <w:r w:rsidR="00E17E38">
          <w:rPr>
            <w:sz w:val="22"/>
            <w:szCs w:val="22"/>
            <w:lang w:eastAsia="en-US"/>
          </w:rPr>
          <w:delText>Complessivamente, t</w:delText>
        </w:r>
      </w:del>
      <w:del w:id="4349" w:author="AbbVie14" w:date="2025-05-09T10:31:00Z">
        <w:r w:rsidRPr="00295E71">
          <w:rPr>
            <w:sz w:val="22"/>
            <w:szCs w:val="22"/>
            <w:lang w:eastAsia="en-US"/>
          </w:rPr>
          <w:delText xml:space="preserve">ra i pazienti che hanno interrotto lo studio, </w:delText>
        </w:r>
      </w:del>
      <w:del w:id="4350" w:author="AbbVie14" w:date="2025-05-09T10:31:00Z">
        <w:r w:rsidR="00E17E38">
          <w:rPr>
            <w:sz w:val="22"/>
            <w:szCs w:val="22"/>
            <w:lang w:eastAsia="en-US"/>
          </w:rPr>
          <w:delText>il 18</w:delText>
        </w:r>
      </w:del>
      <w:del w:id="4351" w:author="AbbVie14" w:date="2025-05-09T10:31:00Z">
        <w:r w:rsidRPr="00295E71">
          <w:rPr>
            <w:sz w:val="22"/>
            <w:szCs w:val="22"/>
            <w:lang w:eastAsia="en-US"/>
          </w:rPr>
          <w:delText>% ha interrotto a causa di eventi avversi, e</w:delText>
        </w:r>
      </w:del>
      <w:del w:id="4352" w:author="AbbVie14" w:date="2025-05-09T10:31:00Z">
        <w:r w:rsidR="00E17E38">
          <w:rPr>
            <w:sz w:val="22"/>
            <w:szCs w:val="22"/>
            <w:lang w:eastAsia="en-US"/>
          </w:rPr>
          <w:delText xml:space="preserve"> l’8</w:delText>
        </w:r>
      </w:del>
      <w:del w:id="4353" w:author="AbbVie14" w:date="2025-05-09T10:31:00Z">
        <w:r w:rsidRPr="00295E71">
          <w:rPr>
            <w:sz w:val="22"/>
            <w:szCs w:val="22"/>
            <w:lang w:eastAsia="en-US"/>
          </w:rPr>
          <w:delText>% a causa di risposta insufficiente al trattamento con adalimumab.</w:delText>
        </w:r>
      </w:del>
    </w:p>
    <w:p w:rsidR="007F1E9C" w:rsidRPr="00295E71" w14:paraId="3516D809" w14:textId="77777777">
      <w:pPr>
        <w:tabs>
          <w:tab w:val="left" w:pos="562"/>
        </w:tabs>
        <w:suppressAutoHyphens/>
        <w:rPr>
          <w:del w:id="4354" w:author="AbbVie14" w:date="2025-05-09T10:31:00Z"/>
          <w:sz w:val="22"/>
          <w:szCs w:val="22"/>
          <w:lang w:eastAsia="en-US"/>
        </w:rPr>
      </w:pPr>
    </w:p>
    <w:p w:rsidR="006224C2" w:rsidRPr="00295E71" w14:paraId="486A9022" w14:textId="77777777">
      <w:pPr>
        <w:tabs>
          <w:tab w:val="left" w:pos="562"/>
        </w:tabs>
        <w:suppressAutoHyphens/>
        <w:rPr>
          <w:del w:id="4355" w:author="AbbVie14" w:date="2025-05-09T10:31:00Z"/>
          <w:i/>
          <w:sz w:val="22"/>
          <w:szCs w:val="22"/>
          <w:u w:val="single"/>
          <w:lang w:eastAsia="en-US"/>
        </w:rPr>
      </w:pPr>
      <w:del w:id="4356" w:author="AbbVie14" w:date="2025-05-09T10:31:00Z">
        <w:r w:rsidRPr="00295E71">
          <w:rPr>
            <w:i/>
            <w:sz w:val="22"/>
            <w:szCs w:val="22"/>
            <w:u w:val="single"/>
            <w:lang w:eastAsia="en-US"/>
          </w:rPr>
          <w:delText>Qualità della vita</w:delText>
        </w:r>
      </w:del>
    </w:p>
    <w:p w:rsidR="006224C2" w:rsidRPr="00295E71" w14:paraId="3B285167" w14:textId="77777777">
      <w:pPr>
        <w:tabs>
          <w:tab w:val="left" w:pos="562"/>
        </w:tabs>
        <w:suppressAutoHyphens/>
        <w:rPr>
          <w:del w:id="4357" w:author="AbbVie14" w:date="2025-05-09T10:31:00Z"/>
          <w:i/>
          <w:sz w:val="22"/>
          <w:szCs w:val="22"/>
          <w:u w:val="single"/>
          <w:lang w:eastAsia="en-US"/>
        </w:rPr>
      </w:pPr>
    </w:p>
    <w:p w:rsidR="006224C2" w:rsidRPr="00295E71" w14:paraId="14C7A939" w14:textId="77777777">
      <w:pPr>
        <w:tabs>
          <w:tab w:val="left" w:pos="567"/>
          <w:tab w:val="left" w:pos="1294"/>
        </w:tabs>
        <w:autoSpaceDE w:val="0"/>
        <w:autoSpaceDN w:val="0"/>
        <w:adjustRightInd w:val="0"/>
        <w:jc w:val="both"/>
        <w:rPr>
          <w:del w:id="4358" w:author="AbbVie14" w:date="2025-05-09T10:31:00Z"/>
          <w:sz w:val="22"/>
          <w:szCs w:val="22"/>
          <w:lang w:eastAsia="en-US"/>
        </w:rPr>
      </w:pPr>
      <w:del w:id="4359" w:author="AbbVie14" w:date="2025-05-09T10:31:00Z">
        <w:r w:rsidRPr="00295E71">
          <w:rPr>
            <w:sz w:val="22"/>
            <w:szCs w:val="22"/>
            <w:lang w:eastAsia="en-US"/>
          </w:rPr>
          <w:delText>Gli esiti riferiti dal paziente per quanto riguarda la funzione visiva sono stati misurati in entrambi gli studi clinici, utilizzando la scala NEI VFQ-25. Humira è stato numericamente favorito per la maggior parte dei punteggi parziali con differenze medie statisticamente significative per la visione generale, il dolore oculare, la visione da vicino, la salute mentale e il punteggio totale nello Studio UV I e per la visione generale e la salute mentale nello Studio UV II. Gli effetti legati alla visione non erano numericamente a favore di Humira per la visione del colore nello Studio UV I e per la visione del colore, la visione periferica e la visione da vicino nello Studio UV II.</w:delText>
        </w:r>
      </w:del>
    </w:p>
    <w:p w:rsidR="006224C2" w:rsidRPr="00295E71" w14:paraId="4AB3AA27" w14:textId="77777777">
      <w:pPr>
        <w:tabs>
          <w:tab w:val="left" w:pos="567"/>
          <w:tab w:val="left" w:pos="1294"/>
        </w:tabs>
        <w:autoSpaceDE w:val="0"/>
        <w:autoSpaceDN w:val="0"/>
        <w:adjustRightInd w:val="0"/>
        <w:jc w:val="both"/>
        <w:rPr>
          <w:del w:id="4360" w:author="AbbVie14" w:date="2025-05-09T10:31:00Z"/>
          <w:sz w:val="22"/>
          <w:szCs w:val="22"/>
          <w:lang w:eastAsia="en-US"/>
        </w:rPr>
      </w:pPr>
    </w:p>
    <w:p w:rsidR="006224C2" w:rsidRPr="00295E71" w:rsidP="00AF7A05" w14:paraId="699367B7" w14:textId="77777777">
      <w:pPr>
        <w:keepNext/>
        <w:keepLines/>
        <w:tabs>
          <w:tab w:val="left" w:pos="567"/>
          <w:tab w:val="left" w:pos="1294"/>
        </w:tabs>
        <w:autoSpaceDE w:val="0"/>
        <w:autoSpaceDN w:val="0"/>
        <w:adjustRightInd w:val="0"/>
        <w:jc w:val="both"/>
        <w:rPr>
          <w:del w:id="4361" w:author="AbbVie14" w:date="2025-05-09T10:31:00Z"/>
          <w:color w:val="000000"/>
          <w:sz w:val="22"/>
          <w:szCs w:val="22"/>
          <w:u w:val="single"/>
        </w:rPr>
      </w:pPr>
      <w:del w:id="4362" w:author="AbbVie14" w:date="2025-05-09T10:31:00Z">
        <w:r w:rsidRPr="00295E71">
          <w:rPr>
            <w:color w:val="000000"/>
            <w:sz w:val="22"/>
            <w:szCs w:val="22"/>
            <w:u w:val="single"/>
          </w:rPr>
          <w:delText>Immunogenicità</w:delText>
        </w:r>
      </w:del>
    </w:p>
    <w:p w:rsidR="006224C2" w:rsidRPr="00295E71" w:rsidP="00AF7A05" w14:paraId="56FED79B" w14:textId="77777777">
      <w:pPr>
        <w:keepNext/>
        <w:keepLines/>
        <w:tabs>
          <w:tab w:val="left" w:pos="567"/>
          <w:tab w:val="left" w:pos="1294"/>
        </w:tabs>
        <w:autoSpaceDE w:val="0"/>
        <w:autoSpaceDN w:val="0"/>
        <w:adjustRightInd w:val="0"/>
        <w:jc w:val="both"/>
        <w:rPr>
          <w:del w:id="4363" w:author="AbbVie14" w:date="2025-05-09T10:31:00Z"/>
          <w:color w:val="000000"/>
          <w:sz w:val="22"/>
          <w:szCs w:val="22"/>
          <w:u w:val="single"/>
        </w:rPr>
      </w:pPr>
    </w:p>
    <w:p w:rsidR="006224C2" w:rsidRPr="00295E71" w:rsidP="00AF7A05" w14:paraId="09A24661" w14:textId="77777777">
      <w:pPr>
        <w:keepNext/>
        <w:keepLines/>
        <w:tabs>
          <w:tab w:val="left" w:pos="567"/>
          <w:tab w:val="left" w:pos="1294"/>
        </w:tabs>
        <w:autoSpaceDE w:val="0"/>
        <w:autoSpaceDN w:val="0"/>
        <w:adjustRightInd w:val="0"/>
        <w:jc w:val="both"/>
        <w:rPr>
          <w:del w:id="4364" w:author="AbbVie14" w:date="2025-05-09T10:31:00Z"/>
          <w:color w:val="000000"/>
          <w:sz w:val="22"/>
          <w:szCs w:val="22"/>
        </w:rPr>
      </w:pPr>
      <w:del w:id="4365" w:author="AbbVie14" w:date="2025-05-09T10:31:00Z">
        <w:r w:rsidRPr="00295E71">
          <w:rPr>
            <w:color w:val="000000"/>
            <w:sz w:val="22"/>
            <w:szCs w:val="22"/>
          </w:rPr>
          <w:delText>La formazione di anticorpi anti-adalimumab è associata all’aumento della clearance ed alla riduzione dell’efficacia di adalimumab. Non esiste una correlazione evidente tra la presenza di anticorpi anti-adalimumab e l’insorgenza di eventi avversi.</w:delText>
        </w:r>
      </w:del>
    </w:p>
    <w:p w:rsidR="006224C2" w:rsidRPr="00295E71" w14:paraId="3172AE63" w14:textId="77777777">
      <w:pPr>
        <w:tabs>
          <w:tab w:val="left" w:pos="567"/>
          <w:tab w:val="left" w:pos="1294"/>
        </w:tabs>
        <w:autoSpaceDE w:val="0"/>
        <w:autoSpaceDN w:val="0"/>
        <w:adjustRightInd w:val="0"/>
        <w:jc w:val="both"/>
        <w:rPr>
          <w:del w:id="4366" w:author="AbbVie14" w:date="2025-05-09T10:31:00Z"/>
          <w:color w:val="000000"/>
          <w:sz w:val="22"/>
          <w:szCs w:val="22"/>
        </w:rPr>
      </w:pPr>
    </w:p>
    <w:p w:rsidR="006224C2" w:rsidRPr="00295E71" w14:paraId="1798D9D1" w14:textId="77777777">
      <w:pPr>
        <w:tabs>
          <w:tab w:val="left" w:pos="567"/>
          <w:tab w:val="left" w:pos="1294"/>
        </w:tabs>
        <w:autoSpaceDE w:val="0"/>
        <w:autoSpaceDN w:val="0"/>
        <w:adjustRightInd w:val="0"/>
        <w:jc w:val="both"/>
        <w:rPr>
          <w:del w:id="4367" w:author="AbbVie14" w:date="2025-05-09T10:31:00Z"/>
          <w:color w:val="000000"/>
          <w:sz w:val="22"/>
          <w:szCs w:val="22"/>
        </w:rPr>
      </w:pPr>
      <w:del w:id="4368" w:author="AbbVie14" w:date="2025-05-09T10:31:00Z">
        <w:r w:rsidRPr="00295E71">
          <w:rPr>
            <w:color w:val="000000"/>
            <w:sz w:val="22"/>
            <w:szCs w:val="22"/>
          </w:rPr>
          <w:delText xml:space="preserve">Nei pazienti affetti da artrite idiopatica giovanile poliarticolare di età compresa tra 4 e 17 anni, sono stati identificati anticorpi anti-adalimumab nel 15,8% dei pazienti (27/171) trattati con adalimumab. </w:delText>
        </w:r>
      </w:del>
    </w:p>
    <w:p w:rsidR="006224C2" w:rsidRPr="00295E71" w14:paraId="5DE8F633" w14:textId="77777777">
      <w:pPr>
        <w:tabs>
          <w:tab w:val="left" w:pos="567"/>
          <w:tab w:val="left" w:pos="1294"/>
        </w:tabs>
        <w:autoSpaceDE w:val="0"/>
        <w:autoSpaceDN w:val="0"/>
        <w:adjustRightInd w:val="0"/>
        <w:jc w:val="both"/>
        <w:rPr>
          <w:del w:id="4369" w:author="AbbVie14" w:date="2025-05-09T10:31:00Z"/>
          <w:color w:val="000000"/>
          <w:sz w:val="22"/>
          <w:szCs w:val="22"/>
        </w:rPr>
      </w:pPr>
      <w:del w:id="4370" w:author="AbbVie14" w:date="2025-05-09T10:31:00Z">
        <w:r w:rsidRPr="00295E71">
          <w:rPr>
            <w:color w:val="000000"/>
            <w:sz w:val="22"/>
            <w:szCs w:val="22"/>
          </w:rPr>
          <w:delText xml:space="preserve">Nei pazienti ai quali non è stato somministrato </w:delText>
        </w:r>
      </w:del>
      <w:del w:id="4371" w:author="AbbVie14" w:date="2025-05-09T10:31:00Z">
        <w:r w:rsidRPr="00020442" w:rsidR="00806926">
          <w:rPr>
            <w:color w:val="000000"/>
            <w:sz w:val="22"/>
            <w:szCs w:val="22"/>
          </w:rPr>
          <w:delText xml:space="preserve">contemporaneamente </w:delText>
        </w:r>
      </w:del>
      <w:del w:id="4372" w:author="AbbVie14" w:date="2025-05-09T10:31:00Z">
        <w:r w:rsidRPr="00295E71">
          <w:rPr>
            <w:color w:val="000000"/>
            <w:sz w:val="22"/>
            <w:szCs w:val="22"/>
          </w:rPr>
          <w:delText>metotressato, l’incidenza è stata pari al</w:delText>
        </w:r>
      </w:del>
      <w:del w:id="4373" w:author="AbbVie14" w:date="2025-05-09T10:31:00Z">
        <w:r w:rsidRPr="00295E71" w:rsidR="007F1EB6">
          <w:rPr>
            <w:color w:val="000000"/>
            <w:sz w:val="22"/>
            <w:szCs w:val="22"/>
          </w:rPr>
          <w:delText xml:space="preserve"> </w:delText>
        </w:r>
      </w:del>
      <w:del w:id="4374" w:author="AbbVie14" w:date="2025-05-09T10:31:00Z">
        <w:r w:rsidRPr="00295E71">
          <w:rPr>
            <w:color w:val="000000"/>
            <w:sz w:val="22"/>
            <w:szCs w:val="22"/>
          </w:rPr>
          <w:delText>25,6% (22/86) rispetto al 5,9%</w:delText>
        </w:r>
      </w:del>
      <w:del w:id="4375" w:author="AbbVie14" w:date="2025-05-09T10:31:00Z">
        <w:r w:rsidRPr="00295E71" w:rsidR="007F1EB6">
          <w:rPr>
            <w:color w:val="000000"/>
            <w:sz w:val="22"/>
            <w:szCs w:val="22"/>
          </w:rPr>
          <w:delText xml:space="preserve"> </w:delText>
        </w:r>
      </w:del>
      <w:del w:id="4376" w:author="AbbVie14" w:date="2025-05-09T10:31:00Z">
        <w:r w:rsidRPr="00295E71">
          <w:rPr>
            <w:color w:val="000000"/>
            <w:sz w:val="22"/>
            <w:szCs w:val="22"/>
          </w:rPr>
          <w:delText>(5/85), quando adalimumab è stato utilizzato in associazione al metotressato.</w:delText>
        </w:r>
      </w:del>
      <w:del w:id="4377" w:author="AbbVie14" w:date="2025-05-09T10:31:00Z">
        <w:r w:rsidRPr="00295E71" w:rsidR="00E64707">
          <w:rPr>
            <w:color w:val="000000"/>
            <w:sz w:val="22"/>
            <w:szCs w:val="22"/>
          </w:rPr>
          <w:delText xml:space="preserve"> In pazienti con artrite idiopatica giovanile poliarticolare da 2 a &lt; 4 anni di età o con 4 anni</w:delText>
        </w:r>
      </w:del>
      <w:del w:id="4378" w:author="AbbVie14" w:date="2025-05-09T10:31:00Z">
        <w:r w:rsidR="00806926">
          <w:rPr>
            <w:color w:val="000000"/>
            <w:sz w:val="22"/>
            <w:szCs w:val="22"/>
          </w:rPr>
          <w:delText xml:space="preserve"> o più</w:delText>
        </w:r>
      </w:del>
      <w:del w:id="4379" w:author="AbbVie14" w:date="2025-05-09T10:31:00Z">
        <w:r w:rsidRPr="00295E71" w:rsidR="00E64707">
          <w:rPr>
            <w:color w:val="000000"/>
            <w:sz w:val="22"/>
            <w:szCs w:val="22"/>
          </w:rPr>
          <w:delText xml:space="preserve"> di età ed un peso inferiore ai 15 kg, sono stati identificati anticorpi anti-adalimumab nel 7% (1/15) dei pazienti, e l’unico paziente era stato sottoposto alla terapia concomitante con metotressato.</w:delText>
        </w:r>
      </w:del>
    </w:p>
    <w:p w:rsidR="006224C2" w:rsidRPr="00295E71" w14:paraId="4D39E31C" w14:textId="77777777">
      <w:pPr>
        <w:tabs>
          <w:tab w:val="left" w:pos="567"/>
          <w:tab w:val="left" w:pos="1294"/>
        </w:tabs>
        <w:autoSpaceDE w:val="0"/>
        <w:autoSpaceDN w:val="0"/>
        <w:adjustRightInd w:val="0"/>
        <w:jc w:val="both"/>
        <w:rPr>
          <w:del w:id="4380" w:author="AbbVie14" w:date="2025-05-09T10:31:00Z"/>
          <w:color w:val="000000"/>
          <w:sz w:val="22"/>
          <w:szCs w:val="22"/>
        </w:rPr>
      </w:pPr>
    </w:p>
    <w:p w:rsidR="006224C2" w:rsidRPr="00295E71" w14:paraId="40CA882E" w14:textId="77777777">
      <w:pPr>
        <w:tabs>
          <w:tab w:val="left" w:pos="567"/>
          <w:tab w:val="left" w:pos="1294"/>
        </w:tabs>
        <w:autoSpaceDE w:val="0"/>
        <w:autoSpaceDN w:val="0"/>
        <w:adjustRightInd w:val="0"/>
        <w:jc w:val="both"/>
        <w:rPr>
          <w:del w:id="4381" w:author="AbbVie14" w:date="2025-05-09T10:31:00Z"/>
          <w:color w:val="000000"/>
          <w:sz w:val="22"/>
          <w:szCs w:val="22"/>
        </w:rPr>
      </w:pPr>
      <w:del w:id="4382" w:author="AbbVie14" w:date="2025-05-09T10:31:00Z">
        <w:r w:rsidRPr="00295E71">
          <w:rPr>
            <w:color w:val="000000"/>
            <w:sz w:val="22"/>
            <w:szCs w:val="22"/>
          </w:rPr>
          <w:delText>Nei pazienti con artrite associata ad entesite, sono stati identificati anticorpi anti-adalimumab nel 10.9% (5/46) dei pazienti trattati con adalimumab. Nei pazienti ai quali non è stato somministrato metotressato in concomitanza, l’incidenza è stata del 13</w:delText>
        </w:r>
      </w:del>
      <w:del w:id="4383" w:author="AbbVie14" w:date="2025-05-09T10:31:00Z">
        <w:r w:rsidR="00806926">
          <w:rPr>
            <w:color w:val="000000"/>
            <w:sz w:val="22"/>
            <w:szCs w:val="22"/>
          </w:rPr>
          <w:delText>,</w:delText>
        </w:r>
      </w:del>
      <w:del w:id="4384" w:author="AbbVie14" w:date="2025-05-09T10:31:00Z">
        <w:r w:rsidRPr="00295E71">
          <w:rPr>
            <w:color w:val="000000"/>
            <w:sz w:val="22"/>
            <w:szCs w:val="22"/>
          </w:rPr>
          <w:delText>6% (3/22), rispetto all’8</w:delText>
        </w:r>
      </w:del>
      <w:del w:id="4385" w:author="AbbVie14" w:date="2025-05-09T10:31:00Z">
        <w:r w:rsidR="00806926">
          <w:rPr>
            <w:color w:val="000000"/>
            <w:sz w:val="22"/>
            <w:szCs w:val="22"/>
          </w:rPr>
          <w:delText>,</w:delText>
        </w:r>
      </w:del>
      <w:del w:id="4386" w:author="AbbVie14" w:date="2025-05-09T10:31:00Z">
        <w:r w:rsidRPr="00295E71">
          <w:rPr>
            <w:color w:val="000000"/>
            <w:sz w:val="22"/>
            <w:szCs w:val="22"/>
          </w:rPr>
          <w:delText>3% (2/24) quando adalimumab è stato utilizzato in combinazione con metotressato.</w:delText>
        </w:r>
      </w:del>
    </w:p>
    <w:p w:rsidR="006224C2" w:rsidRPr="00295E71" w14:paraId="34D732D7" w14:textId="77777777">
      <w:pPr>
        <w:tabs>
          <w:tab w:val="left" w:pos="567"/>
          <w:tab w:val="left" w:pos="1294"/>
        </w:tabs>
        <w:autoSpaceDE w:val="0"/>
        <w:autoSpaceDN w:val="0"/>
        <w:adjustRightInd w:val="0"/>
        <w:jc w:val="both"/>
        <w:rPr>
          <w:del w:id="4387" w:author="AbbVie14" w:date="2025-05-09T10:31:00Z"/>
          <w:color w:val="000000"/>
          <w:sz w:val="22"/>
          <w:szCs w:val="22"/>
        </w:rPr>
      </w:pPr>
    </w:p>
    <w:p w:rsidR="006224C2" w:rsidRPr="00295E71" w14:paraId="3EC62BAF" w14:textId="77777777">
      <w:pPr>
        <w:tabs>
          <w:tab w:val="left" w:pos="567"/>
          <w:tab w:val="left" w:pos="1294"/>
        </w:tabs>
        <w:autoSpaceDE w:val="0"/>
        <w:autoSpaceDN w:val="0"/>
        <w:adjustRightInd w:val="0"/>
        <w:jc w:val="both"/>
        <w:rPr>
          <w:del w:id="4388" w:author="AbbVie14" w:date="2025-05-09T10:31:00Z"/>
          <w:color w:val="000000"/>
          <w:sz w:val="22"/>
          <w:szCs w:val="22"/>
        </w:rPr>
      </w:pPr>
      <w:del w:id="4389" w:author="AbbVie14" w:date="2025-05-09T10:31:00Z">
        <w:r w:rsidRPr="00295E71">
          <w:rPr>
            <w:color w:val="000000"/>
            <w:sz w:val="22"/>
            <w:szCs w:val="22"/>
          </w:rPr>
          <w:delText>I pazienti degli studi</w:delText>
        </w:r>
      </w:del>
      <w:del w:id="4390" w:author="AbbVie14" w:date="2025-05-09T10:31:00Z">
        <w:r w:rsidRPr="00295E71" w:rsidR="000455A9">
          <w:rPr>
            <w:color w:val="000000"/>
            <w:sz w:val="22"/>
            <w:szCs w:val="22"/>
          </w:rPr>
          <w:delText xml:space="preserve"> I, II e III</w:delText>
        </w:r>
      </w:del>
      <w:del w:id="4391" w:author="AbbVie14" w:date="2025-05-09T10:31:00Z">
        <w:r w:rsidRPr="00295E71">
          <w:rPr>
            <w:color w:val="000000"/>
            <w:sz w:val="22"/>
            <w:szCs w:val="22"/>
          </w:rPr>
          <w:delText xml:space="preserve"> sull’artrite reumatoide sono stati esaminati a vari intervalli di tempo per valutare gli anticorpi anti-adalimumab durante il periodo da 6 a 12 mesi. Negli studi clinici </w:delText>
        </w:r>
      </w:del>
      <w:del w:id="4392" w:author="AbbVie14" w:date="2025-05-09T10:31:00Z">
        <w:r w:rsidRPr="00020442" w:rsidR="00806926">
          <w:rPr>
            <w:color w:val="000000"/>
            <w:sz w:val="22"/>
            <w:szCs w:val="22"/>
          </w:rPr>
          <w:delText>registrativi</w:delText>
        </w:r>
      </w:del>
      <w:del w:id="4393" w:author="AbbVie14" w:date="2025-05-09T10:31:00Z">
        <w:r w:rsidRPr="00295E71">
          <w:rPr>
            <w:color w:val="000000"/>
            <w:sz w:val="22"/>
            <w:szCs w:val="22"/>
          </w:rPr>
          <w:delText>, gli anticorpi anti-adalimumab sono stati riscontrati nel 5,5%</w:delText>
        </w:r>
      </w:del>
      <w:del w:id="4394" w:author="AbbVie14" w:date="2025-05-09T10:31:00Z">
        <w:r w:rsidRPr="00295E71" w:rsidR="00585426">
          <w:rPr>
            <w:color w:val="000000"/>
            <w:sz w:val="22"/>
            <w:szCs w:val="22"/>
          </w:rPr>
          <w:delText xml:space="preserve"> </w:delText>
        </w:r>
      </w:del>
      <w:del w:id="4395" w:author="AbbVie14" w:date="2025-05-09T10:31:00Z">
        <w:r w:rsidRPr="00295E71">
          <w:rPr>
            <w:color w:val="000000"/>
            <w:sz w:val="22"/>
            <w:szCs w:val="22"/>
          </w:rPr>
          <w:delText>(58/1053) dei pazienti trattati con adalimumab, rispetto allo</w:delText>
        </w:r>
      </w:del>
      <w:del w:id="4396" w:author="AbbVie14" w:date="2025-05-09T10:31:00Z">
        <w:r w:rsidRPr="00295E71" w:rsidR="007F1EB6">
          <w:rPr>
            <w:color w:val="000000"/>
            <w:sz w:val="22"/>
            <w:szCs w:val="22"/>
          </w:rPr>
          <w:delText xml:space="preserve"> </w:delText>
        </w:r>
      </w:del>
      <w:del w:id="4397" w:author="AbbVie14" w:date="2025-05-09T10:31:00Z">
        <w:r w:rsidRPr="00295E71">
          <w:rPr>
            <w:color w:val="000000"/>
            <w:sz w:val="22"/>
            <w:szCs w:val="22"/>
          </w:rPr>
          <w:delText>0,5% (2/370)</w:delText>
        </w:r>
      </w:del>
      <w:del w:id="4398" w:author="AbbVie14" w:date="2025-05-09T10:31:00Z">
        <w:r w:rsidRPr="00295E71" w:rsidR="00540717">
          <w:rPr>
            <w:color w:val="000000"/>
            <w:sz w:val="22"/>
            <w:szCs w:val="22"/>
          </w:rPr>
          <w:delText xml:space="preserve"> </w:delText>
        </w:r>
      </w:del>
      <w:del w:id="4399" w:author="AbbVie14" w:date="2025-05-09T10:31:00Z">
        <w:r w:rsidRPr="00295E71">
          <w:rPr>
            <w:color w:val="000000"/>
            <w:sz w:val="22"/>
            <w:szCs w:val="22"/>
          </w:rPr>
          <w:delText>dei pazienti trattati con placebo. Nei pazienti a cui non è stato somministrato contemporaneamente il metotressato, l’incidenza è stata del 12,4%, rispetto allo 0,6% quando adalimumab è stato usato in combinazione con metotressato.</w:delText>
        </w:r>
      </w:del>
    </w:p>
    <w:p w:rsidR="006224C2" w:rsidRPr="00295E71" w14:paraId="5386C0A6" w14:textId="77777777">
      <w:pPr>
        <w:tabs>
          <w:tab w:val="left" w:pos="567"/>
          <w:tab w:val="left" w:pos="1294"/>
        </w:tabs>
        <w:autoSpaceDE w:val="0"/>
        <w:autoSpaceDN w:val="0"/>
        <w:adjustRightInd w:val="0"/>
        <w:jc w:val="both"/>
        <w:rPr>
          <w:del w:id="4400" w:author="AbbVie14" w:date="2025-05-09T10:31:00Z"/>
          <w:color w:val="000000"/>
          <w:sz w:val="22"/>
          <w:szCs w:val="22"/>
        </w:rPr>
      </w:pPr>
    </w:p>
    <w:p w:rsidR="006224C2" w:rsidRPr="00295E71" w14:paraId="7399859B" w14:textId="77777777">
      <w:pPr>
        <w:tabs>
          <w:tab w:val="left" w:pos="567"/>
          <w:tab w:val="left" w:pos="1294"/>
        </w:tabs>
        <w:autoSpaceDE w:val="0"/>
        <w:autoSpaceDN w:val="0"/>
        <w:adjustRightInd w:val="0"/>
        <w:jc w:val="both"/>
        <w:rPr>
          <w:del w:id="4401" w:author="AbbVie14" w:date="2025-05-09T10:31:00Z"/>
          <w:color w:val="000000"/>
          <w:sz w:val="22"/>
          <w:szCs w:val="22"/>
        </w:rPr>
      </w:pPr>
      <w:del w:id="4402" w:author="AbbVie14" w:date="2025-05-09T10:31:00Z">
        <w:r w:rsidRPr="00295E71">
          <w:rPr>
            <w:color w:val="000000"/>
            <w:sz w:val="22"/>
            <w:szCs w:val="22"/>
          </w:rPr>
          <w:delText>Nei pazienti con psoriasi pediatrica sono stati identificati anticorpi anti-adalimumab in 5/38 soggetti (13%) trattati con 0,8 mg/kg di adalimumab in monoterapia.</w:delText>
        </w:r>
      </w:del>
    </w:p>
    <w:p w:rsidR="006224C2" w:rsidRPr="00295E71" w14:paraId="63A77B53" w14:textId="77777777">
      <w:pPr>
        <w:tabs>
          <w:tab w:val="left" w:pos="567"/>
          <w:tab w:val="left" w:pos="1294"/>
        </w:tabs>
        <w:autoSpaceDE w:val="0"/>
        <w:autoSpaceDN w:val="0"/>
        <w:adjustRightInd w:val="0"/>
        <w:jc w:val="both"/>
        <w:rPr>
          <w:del w:id="4403" w:author="AbbVie14" w:date="2025-05-09T10:31:00Z"/>
          <w:color w:val="000000"/>
          <w:sz w:val="22"/>
          <w:szCs w:val="22"/>
        </w:rPr>
      </w:pPr>
    </w:p>
    <w:p w:rsidR="006224C2" w:rsidRPr="00295E71" w14:paraId="2B330E46" w14:textId="77777777">
      <w:pPr>
        <w:tabs>
          <w:tab w:val="left" w:pos="567"/>
          <w:tab w:val="left" w:pos="1294"/>
        </w:tabs>
        <w:autoSpaceDE w:val="0"/>
        <w:autoSpaceDN w:val="0"/>
        <w:adjustRightInd w:val="0"/>
        <w:jc w:val="both"/>
        <w:rPr>
          <w:del w:id="4404" w:author="AbbVie14" w:date="2025-05-09T10:31:00Z"/>
          <w:color w:val="000000"/>
          <w:sz w:val="22"/>
          <w:szCs w:val="22"/>
        </w:rPr>
      </w:pPr>
      <w:del w:id="4405" w:author="AbbVie14" w:date="2025-05-09T10:31:00Z">
        <w:r w:rsidRPr="00295E71">
          <w:rPr>
            <w:color w:val="000000"/>
            <w:sz w:val="22"/>
            <w:szCs w:val="22"/>
          </w:rPr>
          <w:delText>Nei pazienti adulti affetti da psoriasi, sono stati identificati anticorpi anti-adalimumab in 77/920 (8,4%) soggetti trattati con adalimumab in monoterapia.</w:delText>
        </w:r>
      </w:del>
    </w:p>
    <w:p w:rsidR="006224C2" w:rsidRPr="00295E71" w14:paraId="60B75537" w14:textId="77777777">
      <w:pPr>
        <w:tabs>
          <w:tab w:val="left" w:pos="567"/>
          <w:tab w:val="left" w:pos="1294"/>
        </w:tabs>
        <w:autoSpaceDE w:val="0"/>
        <w:autoSpaceDN w:val="0"/>
        <w:adjustRightInd w:val="0"/>
        <w:jc w:val="both"/>
        <w:rPr>
          <w:del w:id="4406" w:author="AbbVie14" w:date="2025-05-09T10:31:00Z"/>
          <w:color w:val="000000"/>
          <w:sz w:val="22"/>
          <w:szCs w:val="22"/>
        </w:rPr>
      </w:pPr>
    </w:p>
    <w:p w:rsidR="00265D2D" w:rsidRPr="00295E71" w14:paraId="744D0B40" w14:textId="77777777">
      <w:pPr>
        <w:tabs>
          <w:tab w:val="left" w:pos="567"/>
          <w:tab w:val="left" w:pos="1294"/>
        </w:tabs>
        <w:autoSpaceDE w:val="0"/>
        <w:autoSpaceDN w:val="0"/>
        <w:adjustRightInd w:val="0"/>
        <w:jc w:val="both"/>
        <w:rPr>
          <w:del w:id="4407" w:author="AbbVie14" w:date="2025-05-09T10:31:00Z"/>
          <w:color w:val="000000"/>
          <w:sz w:val="22"/>
          <w:szCs w:val="22"/>
        </w:rPr>
      </w:pPr>
      <w:del w:id="4408" w:author="AbbVie14" w:date="2025-05-09T10:31:00Z">
        <w:r w:rsidRPr="00295E71">
          <w:rPr>
            <w:color w:val="000000"/>
            <w:sz w:val="22"/>
            <w:szCs w:val="22"/>
          </w:rPr>
          <w:delText>In pazienti adulti affetti da psoriasi a placche trattati a lungo termine in monoterapia con adalimumab che hanno partecipato ad uno studio di sospensione e di ri-trattamento, la percentuale di positività per anticorpi anti</w:delText>
        </w:r>
      </w:del>
      <w:del w:id="4409" w:author="AbbVie14" w:date="2025-05-09T10:31:00Z">
        <w:r w:rsidR="00A007C6">
          <w:rPr>
            <w:color w:val="000000"/>
            <w:sz w:val="22"/>
            <w:szCs w:val="22"/>
          </w:rPr>
          <w:delText>-</w:delText>
        </w:r>
      </w:del>
      <w:del w:id="4410" w:author="AbbVie14" w:date="2025-05-09T10:31:00Z">
        <w:r w:rsidRPr="00295E71">
          <w:rPr>
            <w:color w:val="000000"/>
            <w:sz w:val="22"/>
            <w:szCs w:val="22"/>
          </w:rPr>
          <w:delText>adalimumab dopo la ripresa del trattamento (11 casi su 482 soggetti, 2,3%) si è mostrata simile a quella osservata prima della sospensione del farmaco (11 casi su 590 soggetti, 1,9%).</w:delText>
        </w:r>
      </w:del>
    </w:p>
    <w:p w:rsidR="002F7CF2" w:rsidRPr="00295E71" w14:paraId="4AB58225" w14:textId="77777777">
      <w:pPr>
        <w:tabs>
          <w:tab w:val="left" w:pos="567"/>
          <w:tab w:val="left" w:pos="1294"/>
        </w:tabs>
        <w:autoSpaceDE w:val="0"/>
        <w:autoSpaceDN w:val="0"/>
        <w:adjustRightInd w:val="0"/>
        <w:jc w:val="both"/>
        <w:rPr>
          <w:del w:id="4411" w:author="AbbVie14" w:date="2025-05-09T10:31:00Z"/>
          <w:color w:val="000000"/>
          <w:sz w:val="22"/>
          <w:szCs w:val="22"/>
        </w:rPr>
      </w:pPr>
    </w:p>
    <w:p w:rsidR="006224C2" w:rsidRPr="00295E71" w14:paraId="304EB4DC" w14:textId="77777777">
      <w:pPr>
        <w:tabs>
          <w:tab w:val="left" w:pos="567"/>
          <w:tab w:val="left" w:pos="1294"/>
        </w:tabs>
        <w:autoSpaceDE w:val="0"/>
        <w:autoSpaceDN w:val="0"/>
        <w:adjustRightInd w:val="0"/>
        <w:jc w:val="both"/>
        <w:rPr>
          <w:del w:id="4412" w:author="AbbVie14" w:date="2025-05-09T10:31:00Z"/>
          <w:color w:val="000000"/>
          <w:sz w:val="22"/>
          <w:szCs w:val="22"/>
        </w:rPr>
      </w:pPr>
      <w:del w:id="4413" w:author="AbbVie14" w:date="2025-05-09T10:31:00Z">
        <w:r w:rsidRPr="00295E71">
          <w:rPr>
            <w:color w:val="000000"/>
            <w:sz w:val="22"/>
            <w:szCs w:val="22"/>
          </w:rPr>
          <w:delText>Nei pazienti in età pediatrica con malattia di Crohn attiva di grado da moderato a severo, il tasso di sviluppo di anticorpi anti-adalimumab è stato del 3,3% nei pazienti in trattamento con adalimumab.</w:delText>
        </w:r>
      </w:del>
    </w:p>
    <w:p w:rsidR="006224C2" w:rsidRPr="00295E71" w14:paraId="567D3995" w14:textId="77777777">
      <w:pPr>
        <w:tabs>
          <w:tab w:val="left" w:pos="567"/>
          <w:tab w:val="left" w:pos="1294"/>
        </w:tabs>
        <w:autoSpaceDE w:val="0"/>
        <w:autoSpaceDN w:val="0"/>
        <w:adjustRightInd w:val="0"/>
        <w:jc w:val="both"/>
        <w:rPr>
          <w:del w:id="4414" w:author="AbbVie14" w:date="2025-05-09T10:31:00Z"/>
          <w:color w:val="000000"/>
          <w:sz w:val="22"/>
          <w:szCs w:val="22"/>
        </w:rPr>
      </w:pPr>
    </w:p>
    <w:p w:rsidR="00265D2D" w:rsidRPr="00295E71" w14:paraId="1D16E4EB" w14:textId="77777777">
      <w:pPr>
        <w:tabs>
          <w:tab w:val="left" w:pos="567"/>
          <w:tab w:val="left" w:pos="1294"/>
        </w:tabs>
        <w:autoSpaceDE w:val="0"/>
        <w:autoSpaceDN w:val="0"/>
        <w:adjustRightInd w:val="0"/>
        <w:jc w:val="both"/>
        <w:rPr>
          <w:del w:id="4415" w:author="AbbVie14" w:date="2025-05-09T10:31:00Z"/>
          <w:color w:val="000000"/>
          <w:sz w:val="22"/>
          <w:szCs w:val="22"/>
        </w:rPr>
      </w:pPr>
      <w:del w:id="4416" w:author="AbbVie14" w:date="2025-05-09T10:31:00Z">
        <w:r w:rsidRPr="00295E71">
          <w:rPr>
            <w:color w:val="000000"/>
            <w:sz w:val="22"/>
            <w:szCs w:val="22"/>
          </w:rPr>
          <w:delText>Nei pazienti adulti con malattia di Crohn, sono stati identificati anticorpi anti-adalimumab in 7/269 pazienti (2,6%).</w:delText>
        </w:r>
      </w:del>
    </w:p>
    <w:p w:rsidR="00265D2D" w:rsidRPr="00295E71" w14:paraId="1258D268" w14:textId="77777777">
      <w:pPr>
        <w:tabs>
          <w:tab w:val="left" w:pos="567"/>
          <w:tab w:val="left" w:pos="1294"/>
        </w:tabs>
        <w:autoSpaceDE w:val="0"/>
        <w:autoSpaceDN w:val="0"/>
        <w:adjustRightInd w:val="0"/>
        <w:jc w:val="both"/>
        <w:rPr>
          <w:del w:id="4417" w:author="AbbVie14" w:date="2025-05-09T10:31:00Z"/>
          <w:color w:val="000000"/>
          <w:sz w:val="22"/>
          <w:szCs w:val="22"/>
        </w:rPr>
      </w:pPr>
    </w:p>
    <w:p w:rsidR="002F7CF2" w:rsidRPr="00295E71" w:rsidP="002F7CF2" w14:paraId="748C9ABF" w14:textId="77777777">
      <w:pPr>
        <w:tabs>
          <w:tab w:val="left" w:pos="567"/>
          <w:tab w:val="left" w:pos="1294"/>
        </w:tabs>
        <w:autoSpaceDE w:val="0"/>
        <w:autoSpaceDN w:val="0"/>
        <w:adjustRightInd w:val="0"/>
        <w:jc w:val="both"/>
        <w:rPr>
          <w:del w:id="4418" w:author="AbbVie14" w:date="2025-05-09T10:31:00Z"/>
          <w:color w:val="000000"/>
          <w:sz w:val="22"/>
          <w:szCs w:val="22"/>
        </w:rPr>
      </w:pPr>
      <w:del w:id="4419" w:author="AbbVie14" w:date="2025-05-09T10:31:00Z">
        <w:r w:rsidRPr="00295E71">
          <w:rPr>
            <w:color w:val="000000"/>
            <w:sz w:val="22"/>
            <w:szCs w:val="22"/>
          </w:rPr>
          <w:delText xml:space="preserve">Nei pazienti </w:delText>
        </w:r>
      </w:del>
      <w:del w:id="4420" w:author="AbbVie14" w:date="2025-05-09T10:31:00Z">
        <w:r w:rsidRPr="00020442" w:rsidR="00806926">
          <w:rPr>
            <w:color w:val="000000"/>
            <w:sz w:val="22"/>
            <w:szCs w:val="22"/>
          </w:rPr>
          <w:delText xml:space="preserve">adulti </w:delText>
        </w:r>
      </w:del>
      <w:del w:id="4421" w:author="AbbVie14" w:date="2025-05-09T10:31:00Z">
        <w:r w:rsidRPr="00295E71">
          <w:rPr>
            <w:color w:val="000000"/>
            <w:sz w:val="22"/>
            <w:szCs w:val="22"/>
          </w:rPr>
          <w:delText>con uveite non infettiva, sono stati identificati anticorpi anti-adalimumab nel 4,8% (12/249) dei pazienti trattati con adalimumab.</w:delText>
        </w:r>
      </w:del>
    </w:p>
    <w:p w:rsidR="00265D2D" w:rsidRPr="00295E71" w14:paraId="51198FB7" w14:textId="77777777">
      <w:pPr>
        <w:tabs>
          <w:tab w:val="left" w:pos="567"/>
          <w:tab w:val="left" w:pos="1294"/>
        </w:tabs>
        <w:autoSpaceDE w:val="0"/>
        <w:autoSpaceDN w:val="0"/>
        <w:adjustRightInd w:val="0"/>
        <w:jc w:val="both"/>
        <w:rPr>
          <w:del w:id="4422" w:author="AbbVie14" w:date="2025-05-09T10:31:00Z"/>
          <w:color w:val="000000"/>
          <w:sz w:val="22"/>
          <w:szCs w:val="22"/>
        </w:rPr>
      </w:pPr>
    </w:p>
    <w:p w:rsidR="000203FD" w14:paraId="5CAB42E9" w14:textId="77777777">
      <w:pPr>
        <w:tabs>
          <w:tab w:val="left" w:pos="567"/>
          <w:tab w:val="left" w:pos="1294"/>
        </w:tabs>
        <w:autoSpaceDE w:val="0"/>
        <w:autoSpaceDN w:val="0"/>
        <w:adjustRightInd w:val="0"/>
        <w:jc w:val="both"/>
        <w:rPr>
          <w:del w:id="4423" w:author="AbbVie14" w:date="2025-05-09T10:31:00Z"/>
          <w:color w:val="000000"/>
          <w:sz w:val="22"/>
          <w:szCs w:val="22"/>
        </w:rPr>
      </w:pPr>
      <w:del w:id="4424" w:author="AbbVie14" w:date="2025-05-09T10:31:00Z">
        <w:r w:rsidRPr="000203FD">
          <w:rPr>
            <w:color w:val="000000"/>
            <w:sz w:val="22"/>
            <w:szCs w:val="22"/>
          </w:rPr>
          <w:delText xml:space="preserve">Nei pazienti con colite ulcerosa pediatrica </w:delText>
        </w:r>
      </w:del>
      <w:del w:id="4425" w:author="AbbVie14" w:date="2025-05-09T10:31:00Z">
        <w:r w:rsidR="00016531">
          <w:rPr>
            <w:color w:val="000000"/>
            <w:sz w:val="22"/>
            <w:szCs w:val="22"/>
          </w:rPr>
          <w:delText xml:space="preserve">attiva </w:delText>
        </w:r>
      </w:del>
      <w:del w:id="4426" w:author="AbbVie14" w:date="2025-05-09T10:31:00Z">
        <w:r w:rsidR="00016531">
          <w:rPr>
            <w:sz w:val="22"/>
            <w:szCs w:val="22"/>
          </w:rPr>
          <w:delText>di grado da moderato a severo</w:delText>
        </w:r>
      </w:del>
      <w:del w:id="4427" w:author="AbbVie14" w:date="2025-05-09T10:31:00Z">
        <w:r w:rsidRPr="000203FD">
          <w:rPr>
            <w:color w:val="000000"/>
            <w:sz w:val="22"/>
            <w:szCs w:val="22"/>
          </w:rPr>
          <w:delText>, il tasso di sviluppo di anticorpi anti-adalimumab nei pazienti trattati con adalimumab è stato del 3%.</w:delText>
        </w:r>
      </w:del>
    </w:p>
    <w:p w:rsidR="000203FD" w14:paraId="3132BFE9" w14:textId="77777777">
      <w:pPr>
        <w:tabs>
          <w:tab w:val="left" w:pos="567"/>
          <w:tab w:val="left" w:pos="1294"/>
        </w:tabs>
        <w:autoSpaceDE w:val="0"/>
        <w:autoSpaceDN w:val="0"/>
        <w:adjustRightInd w:val="0"/>
        <w:jc w:val="both"/>
        <w:rPr>
          <w:del w:id="4428" w:author="AbbVie14" w:date="2025-05-09T10:31:00Z"/>
          <w:color w:val="000000"/>
          <w:sz w:val="22"/>
          <w:szCs w:val="22"/>
        </w:rPr>
      </w:pPr>
    </w:p>
    <w:p w:rsidR="006224C2" w:rsidRPr="00295E71" w14:paraId="02F90A44" w14:textId="77777777">
      <w:pPr>
        <w:tabs>
          <w:tab w:val="left" w:pos="567"/>
          <w:tab w:val="left" w:pos="1294"/>
        </w:tabs>
        <w:autoSpaceDE w:val="0"/>
        <w:autoSpaceDN w:val="0"/>
        <w:adjustRightInd w:val="0"/>
        <w:jc w:val="both"/>
        <w:rPr>
          <w:del w:id="4429" w:author="AbbVie14" w:date="2025-05-09T10:31:00Z"/>
          <w:color w:val="000000"/>
          <w:sz w:val="22"/>
          <w:szCs w:val="22"/>
        </w:rPr>
      </w:pPr>
      <w:del w:id="4430" w:author="AbbVie14" w:date="2025-05-09T10:31:00Z">
        <w:r w:rsidRPr="00295E71">
          <w:rPr>
            <w:color w:val="000000"/>
            <w:sz w:val="22"/>
            <w:szCs w:val="22"/>
          </w:rPr>
          <w:delText xml:space="preserve">Poiché le analisi di immunogenicità sono specifiche del prodotto, il confronto fra le quantità di anticorpi con </w:delText>
        </w:r>
      </w:del>
      <w:del w:id="4431" w:author="AbbVie14" w:date="2025-05-09T10:31:00Z">
        <w:r w:rsidRPr="00020442" w:rsidR="00806926">
          <w:rPr>
            <w:color w:val="000000"/>
            <w:sz w:val="22"/>
            <w:szCs w:val="22"/>
          </w:rPr>
          <w:delText xml:space="preserve">quelle di </w:delText>
        </w:r>
      </w:del>
      <w:del w:id="4432" w:author="AbbVie14" w:date="2025-05-09T10:31:00Z">
        <w:r w:rsidRPr="00295E71">
          <w:rPr>
            <w:color w:val="000000"/>
            <w:sz w:val="22"/>
            <w:szCs w:val="22"/>
          </w:rPr>
          <w:delText>altri prodotti non è appropriato.</w:delText>
        </w:r>
      </w:del>
    </w:p>
    <w:p w:rsidR="006224C2" w:rsidRPr="00295E71" w14:paraId="270B8428" w14:textId="77777777">
      <w:pPr>
        <w:tabs>
          <w:tab w:val="left" w:pos="567"/>
          <w:tab w:val="left" w:pos="1294"/>
        </w:tabs>
        <w:autoSpaceDE w:val="0"/>
        <w:autoSpaceDN w:val="0"/>
        <w:adjustRightInd w:val="0"/>
        <w:jc w:val="both"/>
        <w:rPr>
          <w:del w:id="4433" w:author="AbbVie14" w:date="2025-05-09T10:31:00Z"/>
          <w:color w:val="000000"/>
          <w:sz w:val="22"/>
          <w:szCs w:val="22"/>
        </w:rPr>
      </w:pPr>
    </w:p>
    <w:p w:rsidR="006224C2" w:rsidRPr="00295E71" w14:paraId="7FD9C7E0" w14:textId="77777777">
      <w:pPr>
        <w:rPr>
          <w:del w:id="4434" w:author="AbbVie14" w:date="2025-05-09T10:31:00Z"/>
          <w:color w:val="000000"/>
          <w:sz w:val="22"/>
          <w:szCs w:val="22"/>
          <w:u w:val="single"/>
        </w:rPr>
      </w:pPr>
      <w:del w:id="4435" w:author="AbbVie14" w:date="2025-05-09T10:31:00Z">
        <w:r w:rsidRPr="00295E71">
          <w:rPr>
            <w:color w:val="000000"/>
            <w:sz w:val="22"/>
            <w:szCs w:val="22"/>
            <w:u w:val="single"/>
          </w:rPr>
          <w:delText>Popolazione pediatrica</w:delText>
        </w:r>
      </w:del>
    </w:p>
    <w:p w:rsidR="00D30F73" w:rsidRPr="00612824" w:rsidP="00D30F73" w14:paraId="60D5C8F2" w14:textId="77777777">
      <w:pPr>
        <w:tabs>
          <w:tab w:val="left" w:pos="567"/>
        </w:tabs>
        <w:jc w:val="both"/>
        <w:rPr>
          <w:del w:id="4436" w:author="AbbVie14" w:date="2025-05-09T10:31:00Z"/>
          <w:i/>
          <w:color w:val="000000"/>
          <w:sz w:val="22"/>
          <w:szCs w:val="22"/>
        </w:rPr>
      </w:pPr>
    </w:p>
    <w:p w:rsidR="00D30F73" w:rsidRPr="00612824" w:rsidP="00D30F73" w14:paraId="048ACD66" w14:textId="77777777">
      <w:pPr>
        <w:tabs>
          <w:tab w:val="left" w:pos="567"/>
        </w:tabs>
        <w:jc w:val="both"/>
        <w:rPr>
          <w:del w:id="4437" w:author="AbbVie14" w:date="2025-05-09T10:31:00Z"/>
          <w:i/>
          <w:color w:val="000000"/>
          <w:sz w:val="22"/>
          <w:szCs w:val="22"/>
        </w:rPr>
      </w:pPr>
      <w:del w:id="4438" w:author="AbbVie14" w:date="2025-05-09T10:31:00Z">
        <w:r w:rsidRPr="00612824">
          <w:rPr>
            <w:i/>
            <w:color w:val="000000"/>
            <w:sz w:val="22"/>
            <w:szCs w:val="22"/>
          </w:rPr>
          <w:delText>Artrite idiopatica giovanile (JIA)</w:delText>
        </w:r>
      </w:del>
    </w:p>
    <w:p w:rsidR="00D30F73" w:rsidRPr="00612824" w:rsidP="00D30F73" w14:paraId="5BF68198" w14:textId="77777777">
      <w:pPr>
        <w:tabs>
          <w:tab w:val="left" w:pos="567"/>
        </w:tabs>
        <w:jc w:val="both"/>
        <w:rPr>
          <w:del w:id="4439" w:author="AbbVie14" w:date="2025-05-09T10:31:00Z"/>
          <w:color w:val="000000"/>
          <w:sz w:val="22"/>
          <w:szCs w:val="22"/>
          <w:u w:val="single"/>
        </w:rPr>
      </w:pPr>
    </w:p>
    <w:p w:rsidR="00D30F73" w:rsidRPr="00612824" w:rsidP="00D30F73" w14:paraId="1AD67F42" w14:textId="77777777">
      <w:pPr>
        <w:tabs>
          <w:tab w:val="left" w:pos="567"/>
        </w:tabs>
        <w:jc w:val="both"/>
        <w:rPr>
          <w:del w:id="4440" w:author="AbbVie14" w:date="2025-05-09T10:31:00Z"/>
          <w:i/>
          <w:color w:val="000000"/>
          <w:sz w:val="22"/>
          <w:szCs w:val="22"/>
          <w:u w:val="single"/>
        </w:rPr>
      </w:pPr>
      <w:del w:id="4441" w:author="AbbVie14" w:date="2025-05-09T10:31:00Z">
        <w:r w:rsidRPr="00612824">
          <w:rPr>
            <w:i/>
            <w:color w:val="000000"/>
            <w:sz w:val="22"/>
            <w:szCs w:val="22"/>
            <w:u w:val="single"/>
          </w:rPr>
          <w:delText>Artrite idiopatica giovanile poliarticolare (pJIA)</w:delText>
        </w:r>
      </w:del>
    </w:p>
    <w:p w:rsidR="00D30F73" w:rsidRPr="00612824" w:rsidP="00D30F73" w14:paraId="31DCD50E" w14:textId="77777777">
      <w:pPr>
        <w:tabs>
          <w:tab w:val="left" w:pos="567"/>
        </w:tabs>
        <w:jc w:val="both"/>
        <w:rPr>
          <w:del w:id="4442" w:author="AbbVie14" w:date="2025-05-09T10:31:00Z"/>
          <w:color w:val="000000"/>
          <w:sz w:val="22"/>
          <w:szCs w:val="22"/>
          <w:u w:val="single"/>
        </w:rPr>
      </w:pPr>
    </w:p>
    <w:p w:rsidR="00D30F73" w:rsidRPr="00612824" w:rsidP="00D30F73" w14:paraId="7FE637E6" w14:textId="77777777">
      <w:pPr>
        <w:tabs>
          <w:tab w:val="left" w:pos="567"/>
        </w:tabs>
        <w:jc w:val="both"/>
        <w:rPr>
          <w:del w:id="4443" w:author="AbbVie14" w:date="2025-05-09T10:31:00Z"/>
          <w:color w:val="000000"/>
          <w:sz w:val="22"/>
          <w:szCs w:val="22"/>
        </w:rPr>
      </w:pPr>
      <w:del w:id="4444" w:author="AbbVie14" w:date="2025-05-09T10:31:00Z">
        <w:r w:rsidRPr="00612824">
          <w:rPr>
            <w:color w:val="000000"/>
            <w:sz w:val="22"/>
            <w:szCs w:val="22"/>
          </w:rPr>
          <w:delText>La sicurezza e l’efficacia di Humira sono state valutate in due studi (pJIA I e II) in bambini con artrite idiopatica giovanile poliarticolare attiva o a decorso poliarticolare, che avevano diversi tipi di insorgenza della JIA (più frequentemente poliartrite negativa o positiva al fattore reumatoide e oligoartrite estesa).</w:delText>
        </w:r>
      </w:del>
    </w:p>
    <w:p w:rsidR="00D30F73" w:rsidRPr="00612824" w:rsidP="00D30F73" w14:paraId="3DFB6D23" w14:textId="77777777">
      <w:pPr>
        <w:tabs>
          <w:tab w:val="left" w:pos="567"/>
        </w:tabs>
        <w:jc w:val="both"/>
        <w:rPr>
          <w:del w:id="4445" w:author="AbbVie14" w:date="2025-05-09T10:31:00Z"/>
          <w:color w:val="000000"/>
          <w:sz w:val="22"/>
          <w:szCs w:val="22"/>
          <w:u w:val="single"/>
        </w:rPr>
      </w:pPr>
    </w:p>
    <w:p w:rsidR="00D30F73" w:rsidRPr="00612824" w:rsidP="00D30F73" w14:paraId="7196B7D8" w14:textId="77777777">
      <w:pPr>
        <w:tabs>
          <w:tab w:val="left" w:pos="567"/>
        </w:tabs>
        <w:jc w:val="both"/>
        <w:rPr>
          <w:del w:id="4446" w:author="AbbVie14" w:date="2025-05-09T10:31:00Z"/>
          <w:color w:val="000000"/>
          <w:sz w:val="22"/>
          <w:szCs w:val="22"/>
        </w:rPr>
      </w:pPr>
      <w:del w:id="4447" w:author="AbbVie14" w:date="2025-05-09T10:31:00Z">
        <w:r w:rsidRPr="00612824">
          <w:rPr>
            <w:color w:val="000000"/>
            <w:sz w:val="22"/>
            <w:szCs w:val="22"/>
          </w:rPr>
          <w:delText>pJIA-I</w:delText>
        </w:r>
      </w:del>
    </w:p>
    <w:p w:rsidR="00D30F73" w:rsidRPr="00612824" w:rsidP="00D30F73" w14:paraId="3E17DB65" w14:textId="77777777">
      <w:pPr>
        <w:tabs>
          <w:tab w:val="left" w:pos="567"/>
        </w:tabs>
        <w:jc w:val="both"/>
        <w:rPr>
          <w:del w:id="4448" w:author="AbbVie14" w:date="2025-05-09T10:31:00Z"/>
          <w:color w:val="000000"/>
          <w:sz w:val="22"/>
          <w:szCs w:val="22"/>
          <w:u w:val="single"/>
        </w:rPr>
      </w:pPr>
    </w:p>
    <w:p w:rsidR="00D30F73" w:rsidRPr="00612824" w:rsidP="00D30F73" w14:paraId="34488A55" w14:textId="77777777">
      <w:pPr>
        <w:tabs>
          <w:tab w:val="left" w:pos="567"/>
        </w:tabs>
        <w:jc w:val="both"/>
        <w:rPr>
          <w:del w:id="4449" w:author="AbbVie14" w:date="2025-05-09T10:31:00Z"/>
          <w:sz w:val="22"/>
          <w:szCs w:val="22"/>
        </w:rPr>
      </w:pPr>
      <w:del w:id="4450" w:author="AbbVie14" w:date="2025-05-09T10:31:00Z">
        <w:r w:rsidRPr="00612824">
          <w:rPr>
            <w:sz w:val="22"/>
            <w:szCs w:val="22"/>
          </w:rPr>
          <w:delText>La sicurezza e l’efficacia di Humira sono state valutate in uno studio multicentrico, randomizzato, in doppio-cieco, a gruppi paralleli, in 171 bambini (di età compresa tra i 4 ed i 17 anni) affetti da artrite idiopatica giovanile poliarticolare (JIA). Nel corso della fase di ammissione in aperto (open-label lead in phase = OL LI), i pazienti sono stati stratificati in due gruppi, il gruppo trattato con MTX (metotressato) ed il gruppo non trattato con MTX. I pazienti ammessi nel braccio non trattato con MTX non erano stati mai trattati prima con MTX oppure avevano sospeso la sua assunzione almeno due settimane prima della somministrazione del farmaco in studio. Ai pazienti sono state somministrate dosi costanti di farmaci antinfiammatori non steroidei (FANS) e/o di prednisone (≤0,2 mg/kg/die o un massimo di 10 mg/die). Nel corso della fase OL LI, a tutti i pazienti sono stati somministrati 24 mg/m</w:delText>
        </w:r>
      </w:del>
      <w:del w:id="4451" w:author="AbbVie14" w:date="2025-05-09T10:31:00Z">
        <w:r w:rsidRPr="00612824">
          <w:rPr>
            <w:sz w:val="22"/>
            <w:szCs w:val="22"/>
            <w:vertAlign w:val="superscript"/>
          </w:rPr>
          <w:delText>2</w:delText>
        </w:r>
      </w:del>
      <w:del w:id="4452" w:author="AbbVie14" w:date="2025-05-09T10:31:00Z">
        <w:r w:rsidRPr="00612824">
          <w:rPr>
            <w:sz w:val="22"/>
            <w:szCs w:val="22"/>
          </w:rPr>
          <w:delText xml:space="preserve"> di Humira fino ad una dose massima pari a 40 mg, a settimane alterne per 16 settimane. La distribuzione dei pazienti per età e la dose minima, media e massima somministrata nel corso della fase OL LI sono riportate nella Tabella </w:delText>
        </w:r>
      </w:del>
      <w:del w:id="4453" w:author="AbbVie14" w:date="2025-05-09T10:31:00Z">
        <w:r w:rsidR="0007648D">
          <w:rPr>
            <w:sz w:val="22"/>
            <w:szCs w:val="22"/>
          </w:rPr>
          <w:delText>20</w:delText>
        </w:r>
      </w:del>
      <w:del w:id="4454" w:author="AbbVie14" w:date="2025-05-09T10:31:00Z">
        <w:r w:rsidRPr="00612824">
          <w:rPr>
            <w:sz w:val="22"/>
            <w:szCs w:val="22"/>
          </w:rPr>
          <w:delText>.</w:delText>
        </w:r>
      </w:del>
    </w:p>
    <w:p w:rsidR="00D30F73" w:rsidRPr="00612824" w:rsidP="00D30F73" w14:paraId="5DEFB425" w14:textId="77777777">
      <w:pPr>
        <w:rPr>
          <w:del w:id="4455" w:author="AbbVie14" w:date="2025-05-09T10:31:00Z"/>
          <w:sz w:val="22"/>
          <w:szCs w:val="22"/>
        </w:rPr>
      </w:pPr>
    </w:p>
    <w:p w:rsidR="00D30F73" w:rsidRPr="00612824" w:rsidP="00D30F73" w14:paraId="4FDEE467" w14:textId="77777777">
      <w:pPr>
        <w:pStyle w:val="BodyTextIndent"/>
        <w:ind w:left="110" w:right="53"/>
        <w:jc w:val="center"/>
        <w:rPr>
          <w:del w:id="4456" w:author="AbbVie14" w:date="2025-05-09T10:31:00Z"/>
          <w:b/>
          <w:color w:val="auto"/>
        </w:rPr>
      </w:pPr>
      <w:del w:id="4457" w:author="AbbVie14" w:date="2025-05-09T10:31:00Z">
        <w:r w:rsidRPr="00612824">
          <w:rPr>
            <w:b/>
            <w:color w:val="auto"/>
          </w:rPr>
          <w:delText xml:space="preserve">Tabella </w:delText>
        </w:r>
      </w:del>
      <w:del w:id="4458" w:author="AbbVie14" w:date="2025-05-09T10:31:00Z">
        <w:r w:rsidR="0007648D">
          <w:rPr>
            <w:b/>
            <w:color w:val="auto"/>
          </w:rPr>
          <w:delText>20</w:delText>
        </w:r>
      </w:del>
    </w:p>
    <w:p w:rsidR="00D30F73" w:rsidRPr="00612824" w:rsidP="00D30F73" w14:paraId="34ED3203" w14:textId="77777777">
      <w:pPr>
        <w:pStyle w:val="BodyTextIndent"/>
        <w:ind w:left="110" w:right="53"/>
        <w:jc w:val="center"/>
        <w:rPr>
          <w:del w:id="4459" w:author="AbbVie14" w:date="2025-05-09T10:31:00Z"/>
          <w:b/>
          <w:color w:val="auto"/>
        </w:rPr>
      </w:pPr>
      <w:del w:id="4460" w:author="AbbVie14" w:date="2025-05-09T10:31:00Z">
        <w:r w:rsidRPr="00612824">
          <w:rPr>
            <w:b/>
            <w:color w:val="auto"/>
          </w:rPr>
          <w:delText>Distribuzione dei pazienti per età e per dose di adalimumab somministrata durante la fase OL LI</w:delText>
        </w:r>
      </w:del>
    </w:p>
    <w:p w:rsidR="00D30F73" w:rsidRPr="00612824" w:rsidP="00D30F73" w14:paraId="0AA47AD4" w14:textId="77777777">
      <w:pPr>
        <w:pStyle w:val="BodyTextIndent"/>
        <w:ind w:left="110" w:right="53"/>
        <w:rPr>
          <w:del w:id="4461" w:author="AbbVie14" w:date="2025-05-09T10:31:00Z"/>
          <w:b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1"/>
        <w:gridCol w:w="3472"/>
        <w:gridCol w:w="3197"/>
      </w:tblGrid>
      <w:tr w14:paraId="79DEE830" w14:textId="77777777" w:rsidTr="00BB70B7">
        <w:tblPrEx>
          <w:tblW w:w="0" w:type="auto"/>
          <w:tblLook w:val="0000"/>
        </w:tblPrEx>
        <w:trPr>
          <w:cantSplit/>
          <w:del w:id="4462" w:author="AbbVie14" w:date="2025-05-09T10:31:00Z"/>
        </w:trPr>
        <w:tc>
          <w:tcPr>
            <w:tcW w:w="2418" w:type="dxa"/>
          </w:tcPr>
          <w:p w:rsidR="00D30F73" w:rsidRPr="00612824" w:rsidP="00BB70B7" w14:paraId="6308D368" w14:textId="77777777">
            <w:pPr>
              <w:pStyle w:val="BodyTextIndent"/>
              <w:ind w:right="53"/>
              <w:rPr>
                <w:del w:id="4463" w:author="AbbVie14" w:date="2025-05-09T10:31:00Z"/>
                <w:b/>
                <w:bCs/>
                <w:color w:val="auto"/>
              </w:rPr>
            </w:pPr>
            <w:del w:id="4464" w:author="AbbVie14" w:date="2025-05-09T10:31:00Z">
              <w:r w:rsidRPr="00612824">
                <w:rPr>
                  <w:b/>
                  <w:bCs/>
                  <w:color w:val="auto"/>
                </w:rPr>
                <w:delText xml:space="preserve">Gruppo d’età </w:delText>
              </w:r>
            </w:del>
          </w:p>
        </w:tc>
        <w:tc>
          <w:tcPr>
            <w:tcW w:w="3520" w:type="dxa"/>
          </w:tcPr>
          <w:p w:rsidR="00D30F73" w:rsidRPr="00612824" w:rsidP="00BB70B7" w14:paraId="64A3260E" w14:textId="77777777">
            <w:pPr>
              <w:pStyle w:val="BodyTextIndent"/>
              <w:ind w:right="53"/>
              <w:rPr>
                <w:del w:id="4465" w:author="AbbVie14" w:date="2025-05-09T10:31:00Z"/>
                <w:b/>
                <w:bCs/>
                <w:color w:val="auto"/>
              </w:rPr>
            </w:pPr>
            <w:del w:id="4466" w:author="AbbVie14" w:date="2025-05-09T10:31:00Z">
              <w:r w:rsidRPr="00612824">
                <w:rPr>
                  <w:b/>
                  <w:bCs/>
                  <w:color w:val="auto"/>
                </w:rPr>
                <w:delText>Numero di pazienti al basale n (%)</w:delText>
              </w:r>
            </w:del>
          </w:p>
        </w:tc>
        <w:tc>
          <w:tcPr>
            <w:tcW w:w="3239" w:type="dxa"/>
          </w:tcPr>
          <w:p w:rsidR="00D30F73" w:rsidRPr="00612824" w:rsidP="00BB70B7" w14:paraId="61F7C8CA" w14:textId="77777777">
            <w:pPr>
              <w:pStyle w:val="BodyTextIndent"/>
              <w:ind w:right="53"/>
              <w:rPr>
                <w:del w:id="4467" w:author="AbbVie14" w:date="2025-05-09T10:31:00Z"/>
                <w:b/>
                <w:bCs/>
                <w:color w:val="auto"/>
              </w:rPr>
            </w:pPr>
            <w:del w:id="4468" w:author="AbbVie14" w:date="2025-05-09T10:31:00Z">
              <w:r w:rsidRPr="00612824">
                <w:rPr>
                  <w:b/>
                  <w:bCs/>
                  <w:color w:val="auto"/>
                </w:rPr>
                <w:delText>Dose minima, media e massima</w:delText>
              </w:r>
            </w:del>
          </w:p>
        </w:tc>
      </w:tr>
      <w:tr w14:paraId="5DFEC13E" w14:textId="77777777" w:rsidTr="00BB70B7">
        <w:tblPrEx>
          <w:tblW w:w="0" w:type="auto"/>
          <w:tblLook w:val="0000"/>
        </w:tblPrEx>
        <w:trPr>
          <w:cantSplit/>
          <w:del w:id="4469" w:author="AbbVie14" w:date="2025-05-09T10:31:00Z"/>
        </w:trPr>
        <w:tc>
          <w:tcPr>
            <w:tcW w:w="2418" w:type="dxa"/>
          </w:tcPr>
          <w:p w:rsidR="00D30F73" w:rsidRPr="00612824" w:rsidP="00BB70B7" w14:paraId="777E6E79" w14:textId="77777777">
            <w:pPr>
              <w:pStyle w:val="BodyTextIndent"/>
              <w:ind w:right="53"/>
              <w:rPr>
                <w:del w:id="4470" w:author="AbbVie14" w:date="2025-05-09T10:31:00Z"/>
                <w:bCs/>
                <w:color w:val="auto"/>
              </w:rPr>
            </w:pPr>
            <w:del w:id="4471" w:author="AbbVie14" w:date="2025-05-09T10:31:00Z">
              <w:r w:rsidRPr="00612824">
                <w:rPr>
                  <w:bCs/>
                  <w:color w:val="auto"/>
                </w:rPr>
                <w:delText xml:space="preserve">da 4 a 7 anni </w:delText>
              </w:r>
            </w:del>
          </w:p>
        </w:tc>
        <w:tc>
          <w:tcPr>
            <w:tcW w:w="3520" w:type="dxa"/>
          </w:tcPr>
          <w:p w:rsidR="00D30F73" w:rsidRPr="00612824" w:rsidP="00BB70B7" w14:paraId="48610DAB" w14:textId="77777777">
            <w:pPr>
              <w:pStyle w:val="BodyTextIndent"/>
              <w:ind w:right="53"/>
              <w:rPr>
                <w:del w:id="4472" w:author="AbbVie14" w:date="2025-05-09T10:31:00Z"/>
                <w:bCs/>
                <w:color w:val="auto"/>
              </w:rPr>
            </w:pPr>
            <w:del w:id="4473" w:author="AbbVie14" w:date="2025-05-09T10:31:00Z">
              <w:r w:rsidRPr="00612824">
                <w:rPr>
                  <w:bCs/>
                  <w:color w:val="auto"/>
                </w:rPr>
                <w:delText>31 (18,1)</w:delText>
              </w:r>
            </w:del>
          </w:p>
        </w:tc>
        <w:tc>
          <w:tcPr>
            <w:tcW w:w="3239" w:type="dxa"/>
          </w:tcPr>
          <w:p w:rsidR="00D30F73" w:rsidRPr="00612824" w:rsidP="00BB70B7" w14:paraId="4E5640BF" w14:textId="77777777">
            <w:pPr>
              <w:pStyle w:val="BodyTextIndent"/>
              <w:ind w:right="53"/>
              <w:rPr>
                <w:del w:id="4474" w:author="AbbVie14" w:date="2025-05-09T10:31:00Z"/>
                <w:bCs/>
                <w:color w:val="auto"/>
              </w:rPr>
            </w:pPr>
            <w:del w:id="4475" w:author="AbbVie14" w:date="2025-05-09T10:31:00Z">
              <w:r w:rsidRPr="00612824">
                <w:rPr>
                  <w:bCs/>
                  <w:color w:val="auto"/>
                </w:rPr>
                <w:delText>10, 20 e 25 mg</w:delText>
              </w:r>
            </w:del>
          </w:p>
        </w:tc>
      </w:tr>
      <w:tr w14:paraId="5349E188" w14:textId="77777777" w:rsidTr="00BB70B7">
        <w:tblPrEx>
          <w:tblW w:w="0" w:type="auto"/>
          <w:tblLook w:val="0000"/>
        </w:tblPrEx>
        <w:trPr>
          <w:cantSplit/>
          <w:del w:id="4476" w:author="AbbVie14" w:date="2025-05-09T10:31:00Z"/>
        </w:trPr>
        <w:tc>
          <w:tcPr>
            <w:tcW w:w="2418" w:type="dxa"/>
          </w:tcPr>
          <w:p w:rsidR="00D30F73" w:rsidRPr="00612824" w:rsidP="00BB70B7" w14:paraId="114849E8" w14:textId="77777777">
            <w:pPr>
              <w:pStyle w:val="BodyTextIndent"/>
              <w:ind w:right="53"/>
              <w:rPr>
                <w:del w:id="4477" w:author="AbbVie14" w:date="2025-05-09T10:31:00Z"/>
                <w:bCs/>
                <w:color w:val="auto"/>
              </w:rPr>
            </w:pPr>
            <w:del w:id="4478" w:author="AbbVie14" w:date="2025-05-09T10:31:00Z">
              <w:r w:rsidRPr="00612824">
                <w:rPr>
                  <w:bCs/>
                  <w:color w:val="auto"/>
                </w:rPr>
                <w:delText>da 8 a 12 anni</w:delText>
              </w:r>
            </w:del>
          </w:p>
        </w:tc>
        <w:tc>
          <w:tcPr>
            <w:tcW w:w="3520" w:type="dxa"/>
          </w:tcPr>
          <w:p w:rsidR="00D30F73" w:rsidRPr="00612824" w:rsidP="00BB70B7" w14:paraId="1D480FB7" w14:textId="77777777">
            <w:pPr>
              <w:pStyle w:val="BodyTextIndent"/>
              <w:ind w:right="53"/>
              <w:rPr>
                <w:del w:id="4479" w:author="AbbVie14" w:date="2025-05-09T10:31:00Z"/>
                <w:bCs/>
                <w:color w:val="auto"/>
              </w:rPr>
            </w:pPr>
            <w:del w:id="4480" w:author="AbbVie14" w:date="2025-05-09T10:31:00Z">
              <w:r w:rsidRPr="00612824">
                <w:rPr>
                  <w:bCs/>
                  <w:color w:val="auto"/>
                </w:rPr>
                <w:delText>71 (41,5)</w:delText>
              </w:r>
            </w:del>
          </w:p>
        </w:tc>
        <w:tc>
          <w:tcPr>
            <w:tcW w:w="3239" w:type="dxa"/>
          </w:tcPr>
          <w:p w:rsidR="00D30F73" w:rsidRPr="00612824" w:rsidP="00BB70B7" w14:paraId="708FAF6D" w14:textId="77777777">
            <w:pPr>
              <w:pStyle w:val="BodyTextIndent"/>
              <w:ind w:right="53"/>
              <w:rPr>
                <w:del w:id="4481" w:author="AbbVie14" w:date="2025-05-09T10:31:00Z"/>
                <w:bCs/>
                <w:color w:val="auto"/>
              </w:rPr>
            </w:pPr>
            <w:del w:id="4482" w:author="AbbVie14" w:date="2025-05-09T10:31:00Z">
              <w:r w:rsidRPr="00612824">
                <w:rPr>
                  <w:bCs/>
                  <w:color w:val="auto"/>
                </w:rPr>
                <w:delText>20, 25 e 40 mg</w:delText>
              </w:r>
            </w:del>
          </w:p>
        </w:tc>
      </w:tr>
      <w:tr w14:paraId="181CDEAD" w14:textId="77777777" w:rsidTr="00BB70B7">
        <w:tblPrEx>
          <w:tblW w:w="0" w:type="auto"/>
          <w:tblLook w:val="0000"/>
        </w:tblPrEx>
        <w:trPr>
          <w:cantSplit/>
          <w:del w:id="4483" w:author="AbbVie14" w:date="2025-05-09T10:31:00Z"/>
        </w:trPr>
        <w:tc>
          <w:tcPr>
            <w:tcW w:w="2418" w:type="dxa"/>
          </w:tcPr>
          <w:p w:rsidR="00D30F73" w:rsidRPr="00612824" w:rsidP="00BB70B7" w14:paraId="545DFED7" w14:textId="77777777">
            <w:pPr>
              <w:pStyle w:val="BodyTextIndent"/>
              <w:ind w:right="53"/>
              <w:rPr>
                <w:del w:id="4484" w:author="AbbVie14" w:date="2025-05-09T10:31:00Z"/>
                <w:bCs/>
                <w:color w:val="auto"/>
              </w:rPr>
            </w:pPr>
            <w:del w:id="4485" w:author="AbbVie14" w:date="2025-05-09T10:31:00Z">
              <w:r w:rsidRPr="00612824">
                <w:rPr>
                  <w:bCs/>
                  <w:color w:val="auto"/>
                </w:rPr>
                <w:delText xml:space="preserve">da 13 a 17 anni </w:delText>
              </w:r>
            </w:del>
          </w:p>
        </w:tc>
        <w:tc>
          <w:tcPr>
            <w:tcW w:w="3520" w:type="dxa"/>
          </w:tcPr>
          <w:p w:rsidR="00D30F73" w:rsidRPr="00612824" w:rsidP="00BB70B7" w14:paraId="35064F2E" w14:textId="77777777">
            <w:pPr>
              <w:pStyle w:val="BodyTextIndent"/>
              <w:ind w:right="53"/>
              <w:rPr>
                <w:del w:id="4486" w:author="AbbVie14" w:date="2025-05-09T10:31:00Z"/>
                <w:bCs/>
                <w:color w:val="auto"/>
              </w:rPr>
            </w:pPr>
            <w:del w:id="4487" w:author="AbbVie14" w:date="2025-05-09T10:31:00Z">
              <w:r w:rsidRPr="00612824">
                <w:rPr>
                  <w:bCs/>
                  <w:color w:val="auto"/>
                </w:rPr>
                <w:delText>69 (40,4)</w:delText>
              </w:r>
            </w:del>
          </w:p>
        </w:tc>
        <w:tc>
          <w:tcPr>
            <w:tcW w:w="3239" w:type="dxa"/>
          </w:tcPr>
          <w:p w:rsidR="00D30F73" w:rsidRPr="00612824" w:rsidP="00BB70B7" w14:paraId="4E185FB7" w14:textId="77777777">
            <w:pPr>
              <w:pStyle w:val="BodyTextIndent"/>
              <w:ind w:right="53"/>
              <w:rPr>
                <w:del w:id="4488" w:author="AbbVie14" w:date="2025-05-09T10:31:00Z"/>
                <w:bCs/>
                <w:color w:val="auto"/>
              </w:rPr>
            </w:pPr>
            <w:del w:id="4489" w:author="AbbVie14" w:date="2025-05-09T10:31:00Z">
              <w:r w:rsidRPr="00612824">
                <w:rPr>
                  <w:bCs/>
                  <w:color w:val="auto"/>
                </w:rPr>
                <w:delText>25, 40 e 40 mg</w:delText>
              </w:r>
            </w:del>
          </w:p>
        </w:tc>
      </w:tr>
    </w:tbl>
    <w:p w:rsidR="00D30F73" w:rsidRPr="00612824" w:rsidP="00D30F73" w14:paraId="26975B9B" w14:textId="77777777">
      <w:pPr>
        <w:rPr>
          <w:del w:id="4490" w:author="AbbVie14" w:date="2025-05-09T10:31:00Z"/>
          <w:color w:val="000000"/>
          <w:sz w:val="22"/>
          <w:szCs w:val="22"/>
        </w:rPr>
      </w:pPr>
    </w:p>
    <w:p w:rsidR="00D30F73" w:rsidRPr="00612824" w:rsidP="00D30F73" w14:paraId="17A20B19" w14:textId="77777777">
      <w:pPr>
        <w:rPr>
          <w:del w:id="4491" w:author="AbbVie14" w:date="2025-05-09T10:31:00Z"/>
          <w:color w:val="000000"/>
          <w:sz w:val="22"/>
          <w:szCs w:val="22"/>
        </w:rPr>
      </w:pPr>
      <w:del w:id="4492" w:author="AbbVie14" w:date="2025-05-09T10:31:00Z">
        <w:r w:rsidRPr="00612824">
          <w:rPr>
            <w:color w:val="000000"/>
            <w:sz w:val="22"/>
            <w:szCs w:val="22"/>
          </w:rPr>
          <w:delText>I pazienti che avevano dimostrato una risposta ACR30 pediatrica alla 16</w:delText>
        </w:r>
      </w:del>
      <w:del w:id="4493" w:author="AbbVie14" w:date="2025-05-09T10:31:00Z">
        <w:r w:rsidRPr="00612824">
          <w:rPr>
            <w:color w:val="000000"/>
            <w:sz w:val="22"/>
            <w:szCs w:val="22"/>
            <w:vertAlign w:val="superscript"/>
          </w:rPr>
          <w:delText>a </w:delText>
        </w:r>
      </w:del>
      <w:del w:id="4494" w:author="AbbVie14" w:date="2025-05-09T10:31:00Z">
        <w:r w:rsidRPr="00612824">
          <w:rPr>
            <w:color w:val="000000"/>
            <w:sz w:val="22"/>
            <w:szCs w:val="22"/>
          </w:rPr>
          <w:delText>settimana possedevano i requisiti necessari per essere randomizzati nella fase dello studio in doppio cieco (Double Blind = DB) ed hanno ricevuto 24 mg/m</w:delText>
        </w:r>
      </w:del>
      <w:del w:id="4495" w:author="AbbVie14" w:date="2025-05-09T10:31:00Z">
        <w:r w:rsidRPr="00612824">
          <w:rPr>
            <w:color w:val="000000"/>
            <w:sz w:val="22"/>
            <w:szCs w:val="22"/>
            <w:vertAlign w:val="superscript"/>
          </w:rPr>
          <w:delText>2</w:delText>
        </w:r>
      </w:del>
      <w:del w:id="4496" w:author="AbbVie14" w:date="2025-05-09T10:31:00Z">
        <w:r w:rsidRPr="00612824">
          <w:rPr>
            <w:color w:val="000000"/>
            <w:sz w:val="22"/>
            <w:szCs w:val="22"/>
          </w:rPr>
          <w:delText xml:space="preserve"> di Humira fino ad un massimo di 40 mg o placebo a settimane alterne per un ulteriore periodo di 32 settimane oppure fino alla riacutizzazione della malattia. I criteri di definizione della riacutizzazione della malattia sono stati definiti in base ad un peggioramento maggiore o uguale al 30% (</w:delText>
        </w:r>
      </w:del>
      <w:del w:id="4497" w:author="AbbVie14" w:date="2025-05-09T10:31:00Z">
        <w:r w:rsidRPr="00612824">
          <w:rPr>
            <w:rFonts w:ascii="Symbol" w:hAnsi="Symbol"/>
            <w:color w:val="000000"/>
            <w:sz w:val="22"/>
            <w:szCs w:val="22"/>
          </w:rPr>
          <w:sym w:font="Symbol" w:char="F0B3"/>
        </w:r>
      </w:del>
      <w:del w:id="4498" w:author="AbbVie14" w:date="2025-05-09T10:31:00Z">
        <w:r w:rsidRPr="00612824">
          <w:rPr>
            <w:color w:val="000000"/>
            <w:sz w:val="22"/>
            <w:szCs w:val="22"/>
          </w:rPr>
          <w:delText> 30%) rispetto al valore basale di 3 o più dei 6 criteri principali dell’“ACR Paediatric core”, alla presenza di 2 o più articolazioni attive, ed in base ad un miglioramento maggiore del 30% in non più di 1 dei 6 criteri suddetti. Dopo 32 settimane o nel momento in cui si è verificata la riacutizzazione della malattia, i pazienti sono stati ritenuti idonei per essere ammessi alla fase di estensione in aperto.</w:delText>
        </w:r>
      </w:del>
    </w:p>
    <w:p w:rsidR="00D30F73" w:rsidRPr="00612824" w:rsidP="00D30F73" w14:paraId="3E9083FE" w14:textId="77777777">
      <w:pPr>
        <w:tabs>
          <w:tab w:val="left" w:pos="567"/>
          <w:tab w:val="left" w:pos="1294"/>
        </w:tabs>
        <w:autoSpaceDE w:val="0"/>
        <w:autoSpaceDN w:val="0"/>
        <w:adjustRightInd w:val="0"/>
        <w:rPr>
          <w:del w:id="4499" w:author="AbbVie14" w:date="2025-05-09T10:31:00Z"/>
          <w:color w:val="000000"/>
          <w:sz w:val="22"/>
          <w:szCs w:val="22"/>
        </w:rPr>
      </w:pPr>
    </w:p>
    <w:p w:rsidR="00D30F73" w:rsidRPr="00612824" w:rsidP="00D30F73" w14:paraId="49246CCF" w14:textId="77777777">
      <w:pPr>
        <w:pStyle w:val="BodyTextIndent"/>
        <w:keepNext/>
        <w:keepLines/>
        <w:ind w:right="53"/>
        <w:jc w:val="center"/>
        <w:rPr>
          <w:del w:id="4500" w:author="AbbVie14" w:date="2025-05-09T10:31:00Z"/>
          <w:b/>
          <w:bCs/>
        </w:rPr>
      </w:pPr>
      <w:del w:id="4501" w:author="AbbVie14" w:date="2025-05-09T10:31:00Z">
        <w:r w:rsidRPr="00612824">
          <w:rPr>
            <w:b/>
            <w:bCs/>
          </w:rPr>
          <w:delText xml:space="preserve">Tabella </w:delText>
        </w:r>
      </w:del>
      <w:del w:id="4502" w:author="AbbVie14" w:date="2025-05-09T10:31:00Z">
        <w:r w:rsidR="0007648D">
          <w:rPr>
            <w:b/>
            <w:bCs/>
          </w:rPr>
          <w:delText>21</w:delText>
        </w:r>
      </w:del>
    </w:p>
    <w:p w:rsidR="00D30F73" w:rsidRPr="00612824" w:rsidP="00D30F73" w14:paraId="156F0A42" w14:textId="77777777">
      <w:pPr>
        <w:pStyle w:val="BodyTextIndent"/>
        <w:keepNext/>
        <w:keepLines/>
        <w:ind w:left="110" w:right="53"/>
        <w:jc w:val="center"/>
        <w:rPr>
          <w:del w:id="4503" w:author="AbbVie14" w:date="2025-05-09T10:31:00Z"/>
          <w:b/>
          <w:bCs/>
        </w:rPr>
      </w:pPr>
      <w:del w:id="4504" w:author="AbbVie14" w:date="2025-05-09T10:31:00Z">
        <w:r w:rsidRPr="00612824">
          <w:rPr>
            <w:b/>
            <w:bCs/>
          </w:rPr>
          <w:delText>Risposta PedACR 30 nel corso dello studio JIA</w:delText>
        </w:r>
      </w:del>
    </w:p>
    <w:p w:rsidR="00D30F73" w:rsidRPr="00612824" w:rsidP="00D30F73" w14:paraId="5FE93D46" w14:textId="77777777">
      <w:pPr>
        <w:pStyle w:val="BodyTextIndent"/>
        <w:keepNext/>
        <w:keepLines/>
        <w:ind w:left="110" w:right="53"/>
        <w:jc w:val="center"/>
        <w:rPr>
          <w:del w:id="4505" w:author="AbbVie14" w:date="2025-05-09T10:31:00Z"/>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7"/>
        <w:gridCol w:w="1743"/>
        <w:gridCol w:w="1734"/>
        <w:gridCol w:w="1641"/>
        <w:gridCol w:w="1575"/>
      </w:tblGrid>
      <w:tr w14:paraId="5E64CA4B" w14:textId="77777777" w:rsidTr="00BB70B7">
        <w:tblPrEx>
          <w:tblW w:w="0" w:type="auto"/>
          <w:tblLook w:val="0000"/>
        </w:tblPrEx>
        <w:trPr>
          <w:cantSplit/>
          <w:del w:id="4506" w:author="AbbVie14" w:date="2025-05-09T10:31:00Z"/>
        </w:trPr>
        <w:tc>
          <w:tcPr>
            <w:tcW w:w="2418" w:type="dxa"/>
          </w:tcPr>
          <w:p w:rsidR="00D30F73" w:rsidRPr="00612824" w:rsidP="00BB70B7" w14:paraId="11E08238" w14:textId="77777777">
            <w:pPr>
              <w:pStyle w:val="BodyTextIndent"/>
              <w:keepNext/>
              <w:keepLines/>
              <w:ind w:right="53"/>
              <w:rPr>
                <w:del w:id="4507" w:author="AbbVie14" w:date="2025-05-09T10:31:00Z"/>
                <w:b/>
              </w:rPr>
            </w:pPr>
            <w:del w:id="4508" w:author="AbbVie14" w:date="2025-05-09T10:31:00Z">
              <w:r w:rsidRPr="00612824">
                <w:rPr>
                  <w:b/>
                </w:rPr>
                <w:delText>Braccio</w:delText>
              </w:r>
            </w:del>
          </w:p>
        </w:tc>
        <w:tc>
          <w:tcPr>
            <w:tcW w:w="3520" w:type="dxa"/>
            <w:gridSpan w:val="2"/>
          </w:tcPr>
          <w:p w:rsidR="00D30F73" w:rsidRPr="00612824" w:rsidP="00BB70B7" w14:paraId="6CF06560" w14:textId="77777777">
            <w:pPr>
              <w:pStyle w:val="BodyTextIndent"/>
              <w:keepNext/>
              <w:keepLines/>
              <w:ind w:right="53"/>
              <w:jc w:val="center"/>
              <w:rPr>
                <w:del w:id="4509" w:author="AbbVie14" w:date="2025-05-09T10:31:00Z"/>
                <w:b/>
              </w:rPr>
            </w:pPr>
            <w:del w:id="4510" w:author="AbbVie14" w:date="2025-05-09T10:31:00Z">
              <w:r w:rsidRPr="00612824">
                <w:rPr>
                  <w:b/>
                </w:rPr>
                <w:delText>MTX</w:delText>
              </w:r>
            </w:del>
          </w:p>
        </w:tc>
        <w:tc>
          <w:tcPr>
            <w:tcW w:w="3239" w:type="dxa"/>
            <w:gridSpan w:val="2"/>
          </w:tcPr>
          <w:p w:rsidR="00D30F73" w:rsidRPr="00612824" w:rsidP="00BB70B7" w14:paraId="5D6DF535" w14:textId="77777777">
            <w:pPr>
              <w:pStyle w:val="BodyTextIndent"/>
              <w:keepNext/>
              <w:keepLines/>
              <w:ind w:right="53"/>
              <w:jc w:val="center"/>
              <w:rPr>
                <w:del w:id="4511" w:author="AbbVie14" w:date="2025-05-09T10:31:00Z"/>
                <w:b/>
              </w:rPr>
            </w:pPr>
            <w:del w:id="4512" w:author="AbbVie14" w:date="2025-05-09T10:31:00Z">
              <w:r w:rsidRPr="00612824">
                <w:rPr>
                  <w:b/>
                </w:rPr>
                <w:delText>Senza MTX</w:delText>
              </w:r>
            </w:del>
          </w:p>
        </w:tc>
      </w:tr>
      <w:tr w14:paraId="6EA8656F" w14:textId="77777777" w:rsidTr="00BB70B7">
        <w:tblPrEx>
          <w:tblW w:w="0" w:type="auto"/>
          <w:tblLook w:val="0000"/>
        </w:tblPrEx>
        <w:trPr>
          <w:cantSplit/>
          <w:del w:id="4513" w:author="AbbVie14" w:date="2025-05-09T10:31:00Z"/>
        </w:trPr>
        <w:tc>
          <w:tcPr>
            <w:tcW w:w="2418" w:type="dxa"/>
          </w:tcPr>
          <w:p w:rsidR="00D30F73" w:rsidRPr="00612824" w:rsidP="00BB70B7" w14:paraId="5BB1897E" w14:textId="77777777">
            <w:pPr>
              <w:pStyle w:val="BodyTextIndent"/>
              <w:keepNext/>
              <w:keepLines/>
              <w:ind w:right="53"/>
              <w:rPr>
                <w:del w:id="4514" w:author="AbbVie14" w:date="2025-05-09T10:31:00Z"/>
                <w:b/>
              </w:rPr>
            </w:pPr>
            <w:del w:id="4515" w:author="AbbVie14" w:date="2025-05-09T10:31:00Z">
              <w:r w:rsidRPr="00612824">
                <w:rPr>
                  <w:b/>
                </w:rPr>
                <w:delText>Fase</w:delText>
              </w:r>
            </w:del>
          </w:p>
        </w:tc>
        <w:tc>
          <w:tcPr>
            <w:tcW w:w="3520" w:type="dxa"/>
            <w:gridSpan w:val="2"/>
          </w:tcPr>
          <w:p w:rsidR="00D30F73" w:rsidRPr="00612824" w:rsidP="00BB70B7" w14:paraId="44F49657" w14:textId="77777777">
            <w:pPr>
              <w:pStyle w:val="BodyTextIndent"/>
              <w:keepNext/>
              <w:keepLines/>
              <w:ind w:right="53"/>
              <w:jc w:val="center"/>
              <w:rPr>
                <w:del w:id="4516" w:author="AbbVie14" w:date="2025-05-09T10:31:00Z"/>
              </w:rPr>
            </w:pPr>
          </w:p>
        </w:tc>
        <w:tc>
          <w:tcPr>
            <w:tcW w:w="3239" w:type="dxa"/>
            <w:gridSpan w:val="2"/>
          </w:tcPr>
          <w:p w:rsidR="00D30F73" w:rsidRPr="00612824" w:rsidP="00BB70B7" w14:paraId="76387333" w14:textId="77777777">
            <w:pPr>
              <w:pStyle w:val="BodyTextIndent"/>
              <w:keepNext/>
              <w:keepLines/>
              <w:ind w:right="53"/>
              <w:jc w:val="center"/>
              <w:rPr>
                <w:del w:id="4517" w:author="AbbVie14" w:date="2025-05-09T10:31:00Z"/>
              </w:rPr>
            </w:pPr>
          </w:p>
        </w:tc>
      </w:tr>
      <w:tr w14:paraId="5CD88E76" w14:textId="77777777" w:rsidTr="00BB70B7">
        <w:tblPrEx>
          <w:tblW w:w="0" w:type="auto"/>
          <w:tblLook w:val="0000"/>
        </w:tblPrEx>
        <w:trPr>
          <w:cantSplit/>
          <w:del w:id="4518" w:author="AbbVie14" w:date="2025-05-09T10:31:00Z"/>
        </w:trPr>
        <w:tc>
          <w:tcPr>
            <w:tcW w:w="2418" w:type="dxa"/>
          </w:tcPr>
          <w:p w:rsidR="00D30F73" w:rsidRPr="00612824" w:rsidP="00BB70B7" w14:paraId="4D48418B" w14:textId="77777777">
            <w:pPr>
              <w:pStyle w:val="BodyTextIndent"/>
              <w:keepNext/>
              <w:keepLines/>
              <w:ind w:right="53"/>
              <w:rPr>
                <w:del w:id="4519" w:author="AbbVie14" w:date="2025-05-09T10:31:00Z"/>
              </w:rPr>
            </w:pPr>
            <w:del w:id="4520" w:author="AbbVie14" w:date="2025-05-09T10:31:00Z">
              <w:r w:rsidRPr="00612824">
                <w:delText>OL-LI 16a settimana</w:delText>
              </w:r>
            </w:del>
          </w:p>
        </w:tc>
        <w:tc>
          <w:tcPr>
            <w:tcW w:w="3520" w:type="dxa"/>
            <w:gridSpan w:val="2"/>
          </w:tcPr>
          <w:p w:rsidR="00D30F73" w:rsidRPr="00612824" w:rsidP="00BB70B7" w14:paraId="680752D3" w14:textId="77777777">
            <w:pPr>
              <w:pStyle w:val="BodyTextIndent"/>
              <w:keepNext/>
              <w:keepLines/>
              <w:ind w:right="53"/>
              <w:jc w:val="center"/>
              <w:rPr>
                <w:del w:id="4521" w:author="AbbVie14" w:date="2025-05-09T10:31:00Z"/>
              </w:rPr>
            </w:pPr>
          </w:p>
        </w:tc>
        <w:tc>
          <w:tcPr>
            <w:tcW w:w="3239" w:type="dxa"/>
            <w:gridSpan w:val="2"/>
          </w:tcPr>
          <w:p w:rsidR="00D30F73" w:rsidRPr="00612824" w:rsidP="00BB70B7" w14:paraId="7C0166FA" w14:textId="77777777">
            <w:pPr>
              <w:pStyle w:val="BodyTextIndent"/>
              <w:keepNext/>
              <w:keepLines/>
              <w:ind w:right="53"/>
              <w:jc w:val="center"/>
              <w:rPr>
                <w:del w:id="4522" w:author="AbbVie14" w:date="2025-05-09T10:31:00Z"/>
              </w:rPr>
            </w:pPr>
          </w:p>
        </w:tc>
      </w:tr>
      <w:tr w14:paraId="04D4A34C" w14:textId="77777777" w:rsidTr="00BB70B7">
        <w:tblPrEx>
          <w:tblW w:w="0" w:type="auto"/>
          <w:tblLook w:val="0000"/>
        </w:tblPrEx>
        <w:trPr>
          <w:cantSplit/>
          <w:del w:id="4523" w:author="AbbVie14" w:date="2025-05-09T10:31:00Z"/>
        </w:trPr>
        <w:tc>
          <w:tcPr>
            <w:tcW w:w="2418" w:type="dxa"/>
          </w:tcPr>
          <w:p w:rsidR="00D30F73" w:rsidRPr="00612824" w:rsidP="00BB70B7" w14:paraId="7ADE38A1" w14:textId="77777777">
            <w:pPr>
              <w:pStyle w:val="BodyTextIndent"/>
              <w:keepNext/>
              <w:keepLines/>
              <w:ind w:right="53"/>
              <w:rPr>
                <w:del w:id="4524" w:author="AbbVie14" w:date="2025-05-09T10:31:00Z"/>
              </w:rPr>
            </w:pPr>
            <w:del w:id="4525" w:author="AbbVie14" w:date="2025-05-09T10:31:00Z">
              <w:r w:rsidRPr="00612824">
                <w:delText>Risposta PedACR 30 (n/N)</w:delText>
              </w:r>
            </w:del>
          </w:p>
        </w:tc>
        <w:tc>
          <w:tcPr>
            <w:tcW w:w="3520" w:type="dxa"/>
            <w:gridSpan w:val="2"/>
          </w:tcPr>
          <w:p w:rsidR="00D30F73" w:rsidRPr="00612824" w:rsidP="00BB70B7" w14:paraId="3A2F6AAE" w14:textId="77777777">
            <w:pPr>
              <w:pStyle w:val="BodyTextIndent"/>
              <w:keepNext/>
              <w:keepLines/>
              <w:ind w:right="53"/>
              <w:jc w:val="center"/>
              <w:rPr>
                <w:del w:id="4526" w:author="AbbVie14" w:date="2025-05-09T10:31:00Z"/>
              </w:rPr>
            </w:pPr>
            <w:del w:id="4527" w:author="AbbVie14" w:date="2025-05-09T10:31:00Z">
              <w:r w:rsidRPr="00612824">
                <w:delText>94,1% (80/85)</w:delText>
              </w:r>
            </w:del>
          </w:p>
        </w:tc>
        <w:tc>
          <w:tcPr>
            <w:tcW w:w="3239" w:type="dxa"/>
            <w:gridSpan w:val="2"/>
          </w:tcPr>
          <w:p w:rsidR="00D30F73" w:rsidRPr="00612824" w:rsidP="00BB70B7" w14:paraId="481C6828" w14:textId="77777777">
            <w:pPr>
              <w:pStyle w:val="BodyTextIndent"/>
              <w:keepNext/>
              <w:keepLines/>
              <w:ind w:right="53"/>
              <w:jc w:val="center"/>
              <w:rPr>
                <w:del w:id="4528" w:author="AbbVie14" w:date="2025-05-09T10:31:00Z"/>
              </w:rPr>
            </w:pPr>
            <w:del w:id="4529" w:author="AbbVie14" w:date="2025-05-09T10:31:00Z">
              <w:r w:rsidRPr="00612824">
                <w:delText>74,4% (64/86)</w:delText>
              </w:r>
            </w:del>
          </w:p>
        </w:tc>
      </w:tr>
      <w:tr w14:paraId="69C7BC33" w14:textId="77777777" w:rsidTr="00BB70B7">
        <w:tblPrEx>
          <w:tblW w:w="0" w:type="auto"/>
          <w:tblLook w:val="0000"/>
        </w:tblPrEx>
        <w:trPr>
          <w:cantSplit/>
          <w:del w:id="4530" w:author="AbbVie14" w:date="2025-05-09T10:31:00Z"/>
        </w:trPr>
        <w:tc>
          <w:tcPr>
            <w:tcW w:w="9177" w:type="dxa"/>
            <w:gridSpan w:val="5"/>
          </w:tcPr>
          <w:p w:rsidR="00D30F73" w:rsidRPr="00612824" w:rsidP="00BB70B7" w14:paraId="6C894923" w14:textId="77777777">
            <w:pPr>
              <w:pStyle w:val="BodyTextIndent"/>
              <w:keepNext/>
              <w:keepLines/>
              <w:ind w:right="53"/>
              <w:jc w:val="center"/>
              <w:rPr>
                <w:del w:id="4531" w:author="AbbVie14" w:date="2025-05-09T10:31:00Z"/>
              </w:rPr>
            </w:pPr>
            <w:del w:id="4532" w:author="AbbVie14" w:date="2025-05-09T10:31:00Z">
              <w:r w:rsidRPr="00612824">
                <w:delText>Risultati di efficacia</w:delText>
              </w:r>
            </w:del>
          </w:p>
        </w:tc>
      </w:tr>
      <w:tr w14:paraId="1EE66DA4" w14:textId="77777777" w:rsidTr="00BB70B7">
        <w:tblPrEx>
          <w:tblW w:w="0" w:type="auto"/>
          <w:tblLook w:val="0000"/>
        </w:tblPrEx>
        <w:trPr>
          <w:del w:id="4533" w:author="AbbVie14" w:date="2025-05-09T10:31:00Z"/>
        </w:trPr>
        <w:tc>
          <w:tcPr>
            <w:tcW w:w="2418" w:type="dxa"/>
          </w:tcPr>
          <w:p w:rsidR="00D30F73" w:rsidRPr="00612824" w:rsidP="00BB70B7" w14:paraId="2E8BCD5D" w14:textId="77777777">
            <w:pPr>
              <w:pStyle w:val="BodyTextIndent"/>
              <w:keepNext/>
              <w:keepLines/>
              <w:ind w:right="53"/>
              <w:rPr>
                <w:del w:id="4534" w:author="AbbVie14" w:date="2025-05-09T10:31:00Z"/>
              </w:rPr>
            </w:pPr>
            <w:del w:id="4535" w:author="AbbVie14" w:date="2025-05-09T10:31:00Z">
              <w:r w:rsidRPr="00612824">
                <w:delText>Doppio cieco 32a settimana</w:delText>
              </w:r>
            </w:del>
          </w:p>
        </w:tc>
        <w:tc>
          <w:tcPr>
            <w:tcW w:w="1760" w:type="dxa"/>
          </w:tcPr>
          <w:p w:rsidR="00D30F73" w:rsidRPr="00612824" w:rsidP="00BB70B7" w14:paraId="445244A6" w14:textId="77777777">
            <w:pPr>
              <w:pStyle w:val="BodyTextIndent"/>
              <w:keepNext/>
              <w:keepLines/>
              <w:ind w:right="53"/>
              <w:rPr>
                <w:del w:id="4536" w:author="AbbVie14" w:date="2025-05-09T10:31:00Z"/>
              </w:rPr>
            </w:pPr>
            <w:del w:id="4537" w:author="AbbVie14" w:date="2025-05-09T10:31:00Z">
              <w:r w:rsidRPr="00612824">
                <w:delText>Humira / MTX</w:delText>
              </w:r>
            </w:del>
          </w:p>
          <w:p w:rsidR="00D30F73" w:rsidRPr="00612824" w:rsidP="00BB70B7" w14:paraId="2320624F" w14:textId="77777777">
            <w:pPr>
              <w:pStyle w:val="BodyTextIndent"/>
              <w:keepNext/>
              <w:keepLines/>
              <w:ind w:right="53"/>
              <w:rPr>
                <w:del w:id="4538" w:author="AbbVie14" w:date="2025-05-09T10:31:00Z"/>
              </w:rPr>
            </w:pPr>
            <w:del w:id="4539" w:author="AbbVie14" w:date="2025-05-09T10:31:00Z">
              <w:r w:rsidRPr="00612824">
                <w:delText>(N = 38)</w:delText>
              </w:r>
            </w:del>
          </w:p>
          <w:p w:rsidR="00D30F73" w:rsidRPr="00612824" w:rsidP="00BB70B7" w14:paraId="2C68278C" w14:textId="77777777">
            <w:pPr>
              <w:pStyle w:val="BodyTextIndent"/>
              <w:keepNext/>
              <w:keepLines/>
              <w:ind w:right="53"/>
              <w:rPr>
                <w:del w:id="4540" w:author="AbbVie14" w:date="2025-05-09T10:31:00Z"/>
              </w:rPr>
            </w:pPr>
          </w:p>
        </w:tc>
        <w:tc>
          <w:tcPr>
            <w:tcW w:w="1760" w:type="dxa"/>
          </w:tcPr>
          <w:p w:rsidR="00D30F73" w:rsidRPr="00612824" w:rsidP="00BB70B7" w14:paraId="32C1FE33" w14:textId="77777777">
            <w:pPr>
              <w:pStyle w:val="BodyTextIndent"/>
              <w:keepNext/>
              <w:keepLines/>
              <w:ind w:right="53"/>
              <w:rPr>
                <w:del w:id="4541" w:author="AbbVie14" w:date="2025-05-09T10:31:00Z"/>
              </w:rPr>
            </w:pPr>
            <w:del w:id="4542" w:author="AbbVie14" w:date="2025-05-09T10:31:00Z">
              <w:r w:rsidRPr="00612824">
                <w:delText>Placebo / MTX</w:delText>
              </w:r>
            </w:del>
          </w:p>
          <w:p w:rsidR="00D30F73" w:rsidRPr="00612824" w:rsidP="00BB70B7" w14:paraId="5741CA49" w14:textId="77777777">
            <w:pPr>
              <w:pStyle w:val="BodyTextIndent"/>
              <w:keepNext/>
              <w:keepLines/>
              <w:ind w:right="53"/>
              <w:rPr>
                <w:del w:id="4543" w:author="AbbVie14" w:date="2025-05-09T10:31:00Z"/>
              </w:rPr>
            </w:pPr>
            <w:del w:id="4544" w:author="AbbVie14" w:date="2025-05-09T10:31:00Z">
              <w:r w:rsidRPr="00612824">
                <w:delText>(N = 37)</w:delText>
              </w:r>
            </w:del>
          </w:p>
        </w:tc>
        <w:tc>
          <w:tcPr>
            <w:tcW w:w="1650" w:type="dxa"/>
          </w:tcPr>
          <w:p w:rsidR="00D30F73" w:rsidRPr="00612824" w:rsidP="00BB70B7" w14:paraId="11FA319B" w14:textId="77777777">
            <w:pPr>
              <w:pStyle w:val="BodyTextIndent"/>
              <w:keepNext/>
              <w:keepLines/>
              <w:ind w:right="53"/>
              <w:rPr>
                <w:del w:id="4545" w:author="AbbVie14" w:date="2025-05-09T10:31:00Z"/>
              </w:rPr>
            </w:pPr>
            <w:del w:id="4546" w:author="AbbVie14" w:date="2025-05-09T10:31:00Z">
              <w:r w:rsidRPr="00612824">
                <w:delText xml:space="preserve">Humira </w:delText>
              </w:r>
            </w:del>
          </w:p>
          <w:p w:rsidR="00D30F73" w:rsidRPr="00612824" w:rsidP="00BB70B7" w14:paraId="464DCE0A" w14:textId="77777777">
            <w:pPr>
              <w:pStyle w:val="BodyTextIndent"/>
              <w:keepNext/>
              <w:keepLines/>
              <w:ind w:right="53"/>
              <w:rPr>
                <w:del w:id="4547" w:author="AbbVie14" w:date="2025-05-09T10:31:00Z"/>
              </w:rPr>
            </w:pPr>
            <w:del w:id="4548" w:author="AbbVie14" w:date="2025-05-09T10:31:00Z">
              <w:r w:rsidRPr="00612824">
                <w:delText>(N = 30)</w:delText>
              </w:r>
            </w:del>
          </w:p>
        </w:tc>
        <w:tc>
          <w:tcPr>
            <w:tcW w:w="1589" w:type="dxa"/>
          </w:tcPr>
          <w:p w:rsidR="00D30F73" w:rsidRPr="00612824" w:rsidP="00BB70B7" w14:paraId="31E64175" w14:textId="77777777">
            <w:pPr>
              <w:pStyle w:val="BodyTextIndent"/>
              <w:keepNext/>
              <w:keepLines/>
              <w:ind w:right="53"/>
              <w:rPr>
                <w:del w:id="4549" w:author="AbbVie14" w:date="2025-05-09T10:31:00Z"/>
              </w:rPr>
            </w:pPr>
            <w:del w:id="4550" w:author="AbbVie14" w:date="2025-05-09T10:31:00Z">
              <w:r w:rsidRPr="00612824">
                <w:delText>Placebo</w:delText>
              </w:r>
            </w:del>
          </w:p>
          <w:p w:rsidR="00D30F73" w:rsidRPr="00612824" w:rsidP="00BB70B7" w14:paraId="6969E797" w14:textId="77777777">
            <w:pPr>
              <w:pStyle w:val="BodyTextIndent"/>
              <w:keepNext/>
              <w:keepLines/>
              <w:ind w:right="53"/>
              <w:rPr>
                <w:del w:id="4551" w:author="AbbVie14" w:date="2025-05-09T10:31:00Z"/>
              </w:rPr>
            </w:pPr>
            <w:del w:id="4552" w:author="AbbVie14" w:date="2025-05-09T10:31:00Z">
              <w:r w:rsidRPr="00612824">
                <w:delText>(N = 28)</w:delText>
              </w:r>
            </w:del>
          </w:p>
        </w:tc>
      </w:tr>
      <w:tr w14:paraId="070806E0" w14:textId="77777777" w:rsidTr="00BB70B7">
        <w:tblPrEx>
          <w:tblW w:w="0" w:type="auto"/>
          <w:tblLook w:val="0000"/>
        </w:tblPrEx>
        <w:trPr>
          <w:del w:id="4553" w:author="AbbVie14" w:date="2025-05-09T10:31:00Z"/>
        </w:trPr>
        <w:tc>
          <w:tcPr>
            <w:tcW w:w="2418" w:type="dxa"/>
          </w:tcPr>
          <w:p w:rsidR="00D30F73" w:rsidRPr="00612824" w:rsidP="00BB70B7" w14:paraId="0908E1A2" w14:textId="77777777">
            <w:pPr>
              <w:pStyle w:val="BodyTextIndent"/>
              <w:keepNext/>
              <w:keepLines/>
              <w:ind w:right="53"/>
              <w:rPr>
                <w:del w:id="4554" w:author="AbbVie14" w:date="2025-05-09T10:31:00Z"/>
              </w:rPr>
            </w:pPr>
            <w:del w:id="4555" w:author="AbbVie14" w:date="2025-05-09T10:31:00Z">
              <w:r w:rsidRPr="00612824">
                <w:delText>Riacutizzazione della malattia alla fine della 32a settimana</w:delText>
              </w:r>
            </w:del>
            <w:del w:id="4556" w:author="AbbVie14" w:date="2025-05-09T10:31:00Z">
              <w:r w:rsidRPr="00612824">
                <w:rPr>
                  <w:vertAlign w:val="superscript"/>
                </w:rPr>
                <w:delText>a</w:delText>
              </w:r>
            </w:del>
            <w:del w:id="4557" w:author="AbbVie14" w:date="2025-05-09T10:31:00Z">
              <w:r w:rsidRPr="00612824">
                <w:delText xml:space="preserve"> (n/N)</w:delText>
              </w:r>
            </w:del>
          </w:p>
        </w:tc>
        <w:tc>
          <w:tcPr>
            <w:tcW w:w="1760" w:type="dxa"/>
          </w:tcPr>
          <w:p w:rsidR="00D30F73" w:rsidRPr="00612824" w:rsidP="00BB70B7" w14:paraId="34C4A80B" w14:textId="77777777">
            <w:pPr>
              <w:pStyle w:val="BodyTextIndent"/>
              <w:keepNext/>
              <w:keepLines/>
              <w:ind w:right="53"/>
              <w:rPr>
                <w:del w:id="4558" w:author="AbbVie14" w:date="2025-05-09T10:31:00Z"/>
              </w:rPr>
            </w:pPr>
            <w:del w:id="4559" w:author="AbbVie14" w:date="2025-05-09T10:31:00Z">
              <w:r w:rsidRPr="00612824">
                <w:delText>36,8% (14/38)</w:delText>
              </w:r>
            </w:del>
          </w:p>
        </w:tc>
        <w:tc>
          <w:tcPr>
            <w:tcW w:w="1760" w:type="dxa"/>
          </w:tcPr>
          <w:p w:rsidR="00D30F73" w:rsidRPr="00612824" w:rsidP="00BB70B7" w14:paraId="776F7D91" w14:textId="77777777">
            <w:pPr>
              <w:pStyle w:val="BodyTextIndent"/>
              <w:keepNext/>
              <w:keepLines/>
              <w:ind w:right="53"/>
              <w:rPr>
                <w:del w:id="4560" w:author="AbbVie14" w:date="2025-05-09T10:31:00Z"/>
              </w:rPr>
            </w:pPr>
            <w:del w:id="4561" w:author="AbbVie14" w:date="2025-05-09T10:31:00Z">
              <w:r w:rsidRPr="00612824">
                <w:delText>64,9% (24/37)</w:delText>
              </w:r>
            </w:del>
            <w:del w:id="4562" w:author="AbbVie14" w:date="2025-05-09T10:31:00Z">
              <w:r w:rsidRPr="00612824">
                <w:rPr>
                  <w:vertAlign w:val="superscript"/>
                </w:rPr>
                <w:delText>b</w:delText>
              </w:r>
            </w:del>
          </w:p>
        </w:tc>
        <w:tc>
          <w:tcPr>
            <w:tcW w:w="1650" w:type="dxa"/>
          </w:tcPr>
          <w:p w:rsidR="00D30F73" w:rsidRPr="00612824" w:rsidP="00BB70B7" w14:paraId="0B312023" w14:textId="77777777">
            <w:pPr>
              <w:pStyle w:val="BodyTextIndent"/>
              <w:keepNext/>
              <w:keepLines/>
              <w:ind w:right="53"/>
              <w:rPr>
                <w:del w:id="4563" w:author="AbbVie14" w:date="2025-05-09T10:31:00Z"/>
              </w:rPr>
            </w:pPr>
            <w:del w:id="4564" w:author="AbbVie14" w:date="2025-05-09T10:31:00Z">
              <w:r w:rsidRPr="00612824">
                <w:delText>43,3% (13/30)</w:delText>
              </w:r>
            </w:del>
          </w:p>
        </w:tc>
        <w:tc>
          <w:tcPr>
            <w:tcW w:w="1589" w:type="dxa"/>
          </w:tcPr>
          <w:p w:rsidR="00D30F73" w:rsidRPr="00612824" w:rsidP="00BB70B7" w14:paraId="76AA86F3" w14:textId="77777777">
            <w:pPr>
              <w:pStyle w:val="BodyTextIndent"/>
              <w:keepNext/>
              <w:keepLines/>
              <w:ind w:right="53"/>
              <w:rPr>
                <w:del w:id="4565" w:author="AbbVie14" w:date="2025-05-09T10:31:00Z"/>
              </w:rPr>
            </w:pPr>
            <w:del w:id="4566" w:author="AbbVie14" w:date="2025-05-09T10:31:00Z">
              <w:r w:rsidRPr="00612824">
                <w:delText>71,4% (20/28)</w:delText>
              </w:r>
            </w:del>
            <w:del w:id="4567" w:author="AbbVie14" w:date="2025-05-09T10:31:00Z">
              <w:r w:rsidRPr="00612824">
                <w:rPr>
                  <w:vertAlign w:val="superscript"/>
                </w:rPr>
                <w:delText>c</w:delText>
              </w:r>
            </w:del>
          </w:p>
        </w:tc>
      </w:tr>
      <w:tr w14:paraId="2F5BF7F6" w14:textId="77777777" w:rsidTr="00BB70B7">
        <w:tblPrEx>
          <w:tblW w:w="0" w:type="auto"/>
          <w:tblLook w:val="0000"/>
        </w:tblPrEx>
        <w:trPr>
          <w:del w:id="4568" w:author="AbbVie14" w:date="2025-05-09T10:31:00Z"/>
        </w:trPr>
        <w:tc>
          <w:tcPr>
            <w:tcW w:w="2418" w:type="dxa"/>
          </w:tcPr>
          <w:p w:rsidR="00D30F73" w:rsidRPr="00612824" w:rsidP="00BB70B7" w14:paraId="59FC76BF" w14:textId="77777777">
            <w:pPr>
              <w:pStyle w:val="BodyTextIndent"/>
              <w:keepNext/>
              <w:keepLines/>
              <w:ind w:right="53"/>
              <w:rPr>
                <w:del w:id="4569" w:author="AbbVie14" w:date="2025-05-09T10:31:00Z"/>
              </w:rPr>
            </w:pPr>
            <w:del w:id="4570" w:author="AbbVie14" w:date="2025-05-09T10:31:00Z">
              <w:r w:rsidRPr="00612824">
                <w:delText>Tempo medio alla riacutizzazione della malattia</w:delText>
              </w:r>
            </w:del>
          </w:p>
        </w:tc>
        <w:tc>
          <w:tcPr>
            <w:tcW w:w="1760" w:type="dxa"/>
          </w:tcPr>
          <w:p w:rsidR="00D30F73" w:rsidRPr="00612824" w:rsidP="00BB70B7" w14:paraId="45646024" w14:textId="77777777">
            <w:pPr>
              <w:pStyle w:val="BodyTextIndent"/>
              <w:keepNext/>
              <w:keepLines/>
              <w:ind w:right="53"/>
              <w:rPr>
                <w:del w:id="4571" w:author="AbbVie14" w:date="2025-05-09T10:31:00Z"/>
              </w:rPr>
            </w:pPr>
            <w:del w:id="4572" w:author="AbbVie14" w:date="2025-05-09T10:31:00Z">
              <w:r w:rsidRPr="00612824">
                <w:delText>&gt;32 settimane</w:delText>
              </w:r>
            </w:del>
          </w:p>
        </w:tc>
        <w:tc>
          <w:tcPr>
            <w:tcW w:w="1760" w:type="dxa"/>
          </w:tcPr>
          <w:p w:rsidR="00D30F73" w:rsidRPr="00612824" w:rsidP="00BB70B7" w14:paraId="36C92E5A" w14:textId="77777777">
            <w:pPr>
              <w:pStyle w:val="BodyTextIndent"/>
              <w:keepNext/>
              <w:keepLines/>
              <w:ind w:right="53"/>
              <w:rPr>
                <w:del w:id="4573" w:author="AbbVie14" w:date="2025-05-09T10:31:00Z"/>
              </w:rPr>
            </w:pPr>
            <w:del w:id="4574" w:author="AbbVie14" w:date="2025-05-09T10:31:00Z">
              <w:r w:rsidRPr="00612824">
                <w:delText>20 settimane</w:delText>
              </w:r>
            </w:del>
          </w:p>
        </w:tc>
        <w:tc>
          <w:tcPr>
            <w:tcW w:w="1650" w:type="dxa"/>
          </w:tcPr>
          <w:p w:rsidR="00D30F73" w:rsidRPr="00612824" w:rsidP="00BB70B7" w14:paraId="5F041466" w14:textId="77777777">
            <w:pPr>
              <w:pStyle w:val="BodyTextIndent"/>
              <w:keepNext/>
              <w:keepLines/>
              <w:ind w:right="53"/>
              <w:rPr>
                <w:del w:id="4575" w:author="AbbVie14" w:date="2025-05-09T10:31:00Z"/>
              </w:rPr>
            </w:pPr>
            <w:del w:id="4576" w:author="AbbVie14" w:date="2025-05-09T10:31:00Z">
              <w:r w:rsidRPr="00612824">
                <w:delText>&gt;32 settimane</w:delText>
              </w:r>
            </w:del>
          </w:p>
        </w:tc>
        <w:tc>
          <w:tcPr>
            <w:tcW w:w="1589" w:type="dxa"/>
          </w:tcPr>
          <w:p w:rsidR="00D30F73" w:rsidRPr="00612824" w:rsidP="00BB70B7" w14:paraId="3A8F87DD" w14:textId="77777777">
            <w:pPr>
              <w:pStyle w:val="BodyTextIndent"/>
              <w:keepNext/>
              <w:keepLines/>
              <w:ind w:right="53"/>
              <w:rPr>
                <w:del w:id="4577" w:author="AbbVie14" w:date="2025-05-09T10:31:00Z"/>
              </w:rPr>
            </w:pPr>
            <w:del w:id="4578" w:author="AbbVie14" w:date="2025-05-09T10:31:00Z">
              <w:r w:rsidRPr="00612824">
                <w:delText>14 settimane</w:delText>
              </w:r>
            </w:del>
          </w:p>
        </w:tc>
      </w:tr>
    </w:tbl>
    <w:p w:rsidR="00D30F73" w:rsidRPr="00612824" w:rsidP="00D30F73" w14:paraId="76446790" w14:textId="77777777">
      <w:pPr>
        <w:pStyle w:val="BodyTextIndent"/>
        <w:keepNext/>
        <w:keepLines/>
        <w:ind w:right="53"/>
        <w:rPr>
          <w:del w:id="4579" w:author="AbbVie14" w:date="2025-05-09T10:31:00Z"/>
          <w:vertAlign w:val="superscript"/>
        </w:rPr>
      </w:pPr>
    </w:p>
    <w:p w:rsidR="00D30F73" w:rsidRPr="00612824" w:rsidP="00D30F73" w14:paraId="3945FF4A" w14:textId="77777777">
      <w:pPr>
        <w:pStyle w:val="BodyTextIndent"/>
        <w:keepNext/>
        <w:keepLines/>
        <w:ind w:right="53"/>
        <w:rPr>
          <w:del w:id="4580" w:author="AbbVie14" w:date="2025-05-09T10:31:00Z"/>
        </w:rPr>
      </w:pPr>
      <w:del w:id="4581" w:author="AbbVie14" w:date="2025-05-09T10:31:00Z">
        <w:r w:rsidRPr="00612824">
          <w:rPr>
            <w:vertAlign w:val="superscript"/>
          </w:rPr>
          <w:delText>a</w:delText>
        </w:r>
      </w:del>
      <w:del w:id="4582" w:author="AbbVie14" w:date="2025-05-09T10:31:00Z">
        <w:r w:rsidRPr="00612824">
          <w:delText xml:space="preserve"> Le risposte PedACR 30/50/70 alla 48a settimana sono risultate significativamente maggiori rispetto a quelle ottenute nei pazienti trattati con placebo </w:delText>
        </w:r>
      </w:del>
    </w:p>
    <w:p w:rsidR="00D30F73" w:rsidRPr="00612824" w:rsidP="00D30F73" w14:paraId="4D5F9D03" w14:textId="77777777">
      <w:pPr>
        <w:pStyle w:val="BodyTextIndent"/>
        <w:ind w:right="53"/>
        <w:rPr>
          <w:del w:id="4583" w:author="AbbVie14" w:date="2025-05-09T10:31:00Z"/>
        </w:rPr>
      </w:pPr>
      <w:del w:id="4584" w:author="AbbVie14" w:date="2025-05-09T10:31:00Z">
        <w:r w:rsidRPr="00612824">
          <w:rPr>
            <w:vertAlign w:val="superscript"/>
          </w:rPr>
          <w:delText xml:space="preserve">b </w:delText>
        </w:r>
      </w:del>
      <w:del w:id="4585" w:author="AbbVie14" w:date="2025-05-09T10:31:00Z">
        <w:r w:rsidRPr="00612824">
          <w:delText>p = 0,015</w:delText>
        </w:r>
      </w:del>
    </w:p>
    <w:p w:rsidR="00D30F73" w:rsidRPr="00612824" w:rsidP="00D30F73" w14:paraId="681761D7" w14:textId="77777777">
      <w:pPr>
        <w:pStyle w:val="BodyTextIndent"/>
        <w:ind w:right="53"/>
        <w:rPr>
          <w:del w:id="4586" w:author="AbbVie14" w:date="2025-05-09T10:31:00Z"/>
          <w:b/>
          <w:bCs/>
        </w:rPr>
      </w:pPr>
      <w:del w:id="4587" w:author="AbbVie14" w:date="2025-05-09T10:31:00Z">
        <w:r w:rsidRPr="00612824">
          <w:rPr>
            <w:vertAlign w:val="superscript"/>
          </w:rPr>
          <w:delText xml:space="preserve">c </w:delText>
        </w:r>
      </w:del>
      <w:del w:id="4588" w:author="AbbVie14" w:date="2025-05-09T10:31:00Z">
        <w:r w:rsidRPr="00612824">
          <w:delText>p = 0,031</w:delText>
        </w:r>
      </w:del>
    </w:p>
    <w:p w:rsidR="00D30F73" w:rsidRPr="00612824" w:rsidP="00D30F73" w14:paraId="64116891" w14:textId="77777777">
      <w:pPr>
        <w:tabs>
          <w:tab w:val="left" w:pos="567"/>
          <w:tab w:val="left" w:pos="1294"/>
        </w:tabs>
        <w:autoSpaceDE w:val="0"/>
        <w:autoSpaceDN w:val="0"/>
        <w:adjustRightInd w:val="0"/>
        <w:jc w:val="both"/>
        <w:rPr>
          <w:del w:id="4589" w:author="AbbVie14" w:date="2025-05-09T10:31:00Z"/>
          <w:sz w:val="22"/>
          <w:szCs w:val="22"/>
        </w:rPr>
      </w:pPr>
    </w:p>
    <w:p w:rsidR="00D30F73" w:rsidRPr="00612824" w:rsidP="00D30F73" w14:paraId="0AE57F5C" w14:textId="77777777">
      <w:pPr>
        <w:tabs>
          <w:tab w:val="left" w:pos="567"/>
          <w:tab w:val="left" w:pos="1294"/>
        </w:tabs>
        <w:autoSpaceDE w:val="0"/>
        <w:autoSpaceDN w:val="0"/>
        <w:adjustRightInd w:val="0"/>
        <w:jc w:val="both"/>
        <w:rPr>
          <w:del w:id="4590" w:author="AbbVie14" w:date="2025-05-09T10:31:00Z"/>
          <w:sz w:val="22"/>
          <w:szCs w:val="22"/>
        </w:rPr>
      </w:pPr>
      <w:del w:id="4591" w:author="AbbVie14" w:date="2025-05-09T10:31:00Z">
        <w:r w:rsidRPr="00612824">
          <w:rPr>
            <w:sz w:val="22"/>
            <w:szCs w:val="22"/>
          </w:rPr>
          <w:delText xml:space="preserve">Tra coloro che alla 16a settimana hanno risposto al trattamento (n=144), le risposte Ped ACR 30/50/70/90 sono state mantenute per un massimo di sei anni durante la fase OLE nei pazienti a cui è stato somministrato Humira nel corso di tutto lo studio. Complessivamente, 19 soggetti, di cui 11 appartenenti al gruppo di età al basale compresa tra 4 e 12 anni e 8 appartenenti al gruppo di età al basale compresa tra 13 e 17 anni, sono stati trattati per 6 anni o più. </w:delText>
        </w:r>
      </w:del>
    </w:p>
    <w:p w:rsidR="00D30F73" w:rsidRPr="00612824" w:rsidP="00D30F73" w14:paraId="2153A97E" w14:textId="77777777">
      <w:pPr>
        <w:tabs>
          <w:tab w:val="left" w:pos="567"/>
          <w:tab w:val="left" w:pos="1294"/>
        </w:tabs>
        <w:autoSpaceDE w:val="0"/>
        <w:autoSpaceDN w:val="0"/>
        <w:adjustRightInd w:val="0"/>
        <w:jc w:val="both"/>
        <w:rPr>
          <w:del w:id="4592" w:author="AbbVie14" w:date="2025-05-09T10:31:00Z"/>
          <w:color w:val="000000"/>
          <w:sz w:val="22"/>
          <w:szCs w:val="22"/>
        </w:rPr>
      </w:pPr>
    </w:p>
    <w:p w:rsidR="00D30F73" w:rsidRPr="00612824" w:rsidP="00D30F73" w14:paraId="2199FBAD" w14:textId="77777777">
      <w:pPr>
        <w:tabs>
          <w:tab w:val="left" w:pos="567"/>
          <w:tab w:val="left" w:pos="1294"/>
        </w:tabs>
        <w:autoSpaceDE w:val="0"/>
        <w:autoSpaceDN w:val="0"/>
        <w:adjustRightInd w:val="0"/>
        <w:jc w:val="both"/>
        <w:rPr>
          <w:del w:id="4593" w:author="AbbVie14" w:date="2025-05-09T10:31:00Z"/>
          <w:sz w:val="22"/>
          <w:szCs w:val="22"/>
        </w:rPr>
      </w:pPr>
      <w:del w:id="4594" w:author="AbbVie14" w:date="2025-05-09T10:31:00Z">
        <w:r w:rsidRPr="00612824">
          <w:rPr>
            <w:sz w:val="22"/>
            <w:szCs w:val="22"/>
          </w:rPr>
          <w:delText>Le risposte complessive sono risultate generalmente migliori e meno pazienti hanno sviluppato anticorpi quando sono stati trattati con la terapia combinata Humira e MTX rispetto al trattamento con Humira somministrato in monoterapia. Prendendo in considerazione tali risultati, l’uso di Humira è raccomandato in associazione al MTX ed in monoterapia nei pazienti per i quali l’uso di MTX sia sconsigliato (vedere paragrafo 4.2).</w:delText>
        </w:r>
      </w:del>
    </w:p>
    <w:p w:rsidR="00D30F73" w:rsidRPr="00612824" w:rsidP="00D30F73" w14:paraId="2B58D877" w14:textId="77777777">
      <w:pPr>
        <w:rPr>
          <w:del w:id="4595" w:author="AbbVie14" w:date="2025-05-09T10:31:00Z"/>
          <w:sz w:val="22"/>
          <w:szCs w:val="22"/>
        </w:rPr>
      </w:pPr>
    </w:p>
    <w:p w:rsidR="00D30F73" w:rsidRPr="00612824" w:rsidP="00D30F73" w14:paraId="0A75250D" w14:textId="77777777">
      <w:pPr>
        <w:tabs>
          <w:tab w:val="left" w:pos="567"/>
          <w:tab w:val="left" w:pos="1294"/>
        </w:tabs>
        <w:autoSpaceDE w:val="0"/>
        <w:autoSpaceDN w:val="0"/>
        <w:adjustRightInd w:val="0"/>
        <w:jc w:val="both"/>
        <w:rPr>
          <w:del w:id="4596" w:author="AbbVie14" w:date="2025-05-09T10:31:00Z"/>
          <w:sz w:val="22"/>
          <w:szCs w:val="22"/>
        </w:rPr>
      </w:pPr>
      <w:del w:id="4597" w:author="AbbVie14" w:date="2025-05-09T10:31:00Z">
        <w:r w:rsidRPr="00612824">
          <w:rPr>
            <w:sz w:val="22"/>
            <w:szCs w:val="22"/>
          </w:rPr>
          <w:delText>pJIA II</w:delText>
        </w:r>
      </w:del>
    </w:p>
    <w:p w:rsidR="00D30F73" w:rsidRPr="00612824" w:rsidP="00D30F73" w14:paraId="4B1B12B4" w14:textId="77777777">
      <w:pPr>
        <w:tabs>
          <w:tab w:val="left" w:pos="567"/>
          <w:tab w:val="left" w:pos="1294"/>
        </w:tabs>
        <w:autoSpaceDE w:val="0"/>
        <w:autoSpaceDN w:val="0"/>
        <w:adjustRightInd w:val="0"/>
        <w:jc w:val="both"/>
        <w:rPr>
          <w:del w:id="4598" w:author="AbbVie14" w:date="2025-05-09T10:31:00Z"/>
          <w:sz w:val="22"/>
          <w:szCs w:val="22"/>
        </w:rPr>
      </w:pPr>
    </w:p>
    <w:p w:rsidR="00D30F73" w:rsidRPr="00612824" w:rsidP="00D30F73" w14:paraId="68A958F5" w14:textId="77777777">
      <w:pPr>
        <w:tabs>
          <w:tab w:val="left" w:pos="567"/>
          <w:tab w:val="left" w:pos="1294"/>
        </w:tabs>
        <w:autoSpaceDE w:val="0"/>
        <w:autoSpaceDN w:val="0"/>
        <w:adjustRightInd w:val="0"/>
        <w:jc w:val="both"/>
        <w:rPr>
          <w:del w:id="4599" w:author="AbbVie14" w:date="2025-05-09T10:31:00Z"/>
          <w:sz w:val="22"/>
          <w:szCs w:val="22"/>
        </w:rPr>
      </w:pPr>
      <w:del w:id="4600" w:author="AbbVie14" w:date="2025-05-09T10:31:00Z">
        <w:r w:rsidRPr="00612824">
          <w:rPr>
            <w:sz w:val="22"/>
            <w:szCs w:val="22"/>
          </w:rPr>
          <w:delText>La sicurezza e l’efficacia di Humira è stata valutata in uno studio multicentrico in aperto in 32 bambini (2-&lt;4 anni di età o 4 anni di età o più e peso &lt;15 kg) con artrite idiopatica giovanile poliarticolare da moderatamente a gravemente attiva. I pazienti hanno ricevuto 24 mg/m</w:delText>
        </w:r>
      </w:del>
      <w:del w:id="4601" w:author="AbbVie14" w:date="2025-05-09T10:31:00Z">
        <w:r w:rsidRPr="00612824">
          <w:rPr>
            <w:sz w:val="22"/>
            <w:szCs w:val="22"/>
            <w:vertAlign w:val="superscript"/>
          </w:rPr>
          <w:delText>2</w:delText>
        </w:r>
      </w:del>
      <w:del w:id="4602" w:author="AbbVie14" w:date="2025-05-09T10:31:00Z">
        <w:r w:rsidRPr="00612824">
          <w:rPr>
            <w:sz w:val="22"/>
            <w:szCs w:val="22"/>
          </w:rPr>
          <w:delText xml:space="preserve"> di superficie corporea (BSA) di Humira fino a un massimo di 20 mg a settimane alterne come singola dose per via sottocutanea per almeno 24 settimane. Durante lo studio la maggior parte dei soggetti faceva un uso concomitante di MTX, con alcuni soggetti che riportavano l’uso di corticosteroidi o antinfiammatori non steroidei (FANS).</w:delText>
        </w:r>
      </w:del>
    </w:p>
    <w:p w:rsidR="00D30F73" w:rsidRPr="00612824" w:rsidP="00D30F73" w14:paraId="43C6997A" w14:textId="77777777">
      <w:pPr>
        <w:tabs>
          <w:tab w:val="left" w:pos="567"/>
          <w:tab w:val="left" w:pos="1294"/>
        </w:tabs>
        <w:autoSpaceDE w:val="0"/>
        <w:autoSpaceDN w:val="0"/>
        <w:adjustRightInd w:val="0"/>
        <w:jc w:val="both"/>
        <w:rPr>
          <w:del w:id="4603" w:author="AbbVie14" w:date="2025-05-09T10:31:00Z"/>
          <w:sz w:val="22"/>
          <w:szCs w:val="22"/>
        </w:rPr>
      </w:pPr>
    </w:p>
    <w:p w:rsidR="00D30F73" w:rsidRPr="00612824" w:rsidP="00D30F73" w14:paraId="34FABB6E" w14:textId="77777777">
      <w:pPr>
        <w:jc w:val="both"/>
        <w:rPr>
          <w:del w:id="4604" w:author="AbbVie14" w:date="2025-05-09T10:31:00Z"/>
          <w:sz w:val="22"/>
          <w:szCs w:val="22"/>
        </w:rPr>
      </w:pPr>
      <w:del w:id="4605" w:author="AbbVie14" w:date="2025-05-09T10:31:00Z">
        <w:r w:rsidRPr="00612824">
          <w:rPr>
            <w:sz w:val="22"/>
            <w:szCs w:val="22"/>
          </w:rPr>
          <w:delText>Alla settimana 12 e alla settimana 24, la risposta PedACR30 era, rispettivamente, 93,5% e 90,0% usando l’approccio dei dati osservati. Le percentuali dei soggetti con PedACR50/70/90 alla settimana 12 e alla settimana 24 erano, rispettivamente, 90,3%/61,3%/38,7% e 83,3%/73,3%/36,7%. Tra quelli che rispondevano (PedACR30) alla settimana 24 (n=27 pazienti su 30), le risposte PedACR30 erano mantenute fino a 60 settimane nei pazienti che ricevevano Humira nel corso della fase di estensione in aperto (OLE). In totale, 20 soggetti erano trattati per 60 settimane o oltre.</w:delText>
        </w:r>
      </w:del>
    </w:p>
    <w:p w:rsidR="00D30F73" w:rsidRPr="00612824" w:rsidP="00D30F73" w14:paraId="11F54A33" w14:textId="77777777">
      <w:pPr>
        <w:tabs>
          <w:tab w:val="left" w:pos="567"/>
        </w:tabs>
        <w:jc w:val="both"/>
        <w:rPr>
          <w:del w:id="4606" w:author="AbbVie14" w:date="2025-05-09T10:31:00Z"/>
          <w:color w:val="000000"/>
          <w:sz w:val="22"/>
          <w:szCs w:val="22"/>
          <w:u w:val="single"/>
        </w:rPr>
      </w:pPr>
    </w:p>
    <w:p w:rsidR="00D30F73" w:rsidRPr="00612824" w:rsidP="00D30F73" w14:paraId="0A2C34D6" w14:textId="77777777">
      <w:pPr>
        <w:pStyle w:val="gtcbodytext"/>
        <w:spacing w:before="0" w:after="0" w:line="240" w:lineRule="auto"/>
        <w:rPr>
          <w:del w:id="4607" w:author="AbbVie14" w:date="2025-05-09T10:31:00Z"/>
          <w:rStyle w:val="gtcbold9"/>
          <w:b w:val="0"/>
          <w:i/>
          <w:sz w:val="22"/>
          <w:szCs w:val="22"/>
          <w:u w:val="single"/>
          <w:lang w:val="it-IT"/>
        </w:rPr>
      </w:pPr>
      <w:del w:id="4608" w:author="AbbVie14" w:date="2025-05-09T10:31:00Z">
        <w:r w:rsidRPr="00612824">
          <w:rPr>
            <w:rStyle w:val="gtcbold9"/>
            <w:b w:val="0"/>
            <w:i/>
            <w:sz w:val="22"/>
            <w:szCs w:val="22"/>
            <w:u w:val="single"/>
            <w:lang w:val="it-IT"/>
          </w:rPr>
          <w:delText>Artrite associata ad entesite</w:delText>
        </w:r>
      </w:del>
    </w:p>
    <w:p w:rsidR="00D30F73" w:rsidRPr="00612824" w:rsidP="00D30F73" w14:paraId="5CF3B2F5" w14:textId="77777777">
      <w:pPr>
        <w:pStyle w:val="gtcbodytext"/>
        <w:spacing w:before="0" w:after="0" w:line="240" w:lineRule="auto"/>
        <w:rPr>
          <w:del w:id="4609" w:author="AbbVie14" w:date="2025-05-09T10:31:00Z"/>
          <w:rStyle w:val="gtcbold9"/>
          <w:b w:val="0"/>
          <w:sz w:val="22"/>
          <w:szCs w:val="22"/>
          <w:lang w:val="it-IT"/>
        </w:rPr>
      </w:pPr>
    </w:p>
    <w:p w:rsidR="00D30F73" w:rsidRPr="006461E3" w:rsidP="00D30F73" w14:paraId="0C254A35" w14:textId="77777777">
      <w:pPr>
        <w:pStyle w:val="gtcbodytext"/>
        <w:spacing w:before="0" w:after="0" w:line="240" w:lineRule="auto"/>
        <w:jc w:val="both"/>
        <w:rPr>
          <w:del w:id="4610" w:author="AbbVie14" w:date="2025-05-09T10:31:00Z"/>
          <w:rStyle w:val="gtcbold9"/>
          <w:b w:val="0"/>
          <w:sz w:val="22"/>
          <w:szCs w:val="22"/>
          <w:lang w:val="it-IT"/>
        </w:rPr>
      </w:pPr>
      <w:del w:id="4611" w:author="AbbVie14" w:date="2025-05-09T10:31:00Z">
        <w:r w:rsidRPr="00612824">
          <w:rPr>
            <w:rStyle w:val="gtcbold9"/>
            <w:b w:val="0"/>
            <w:sz w:val="22"/>
            <w:szCs w:val="22"/>
            <w:lang w:val="it-IT"/>
          </w:rPr>
          <w:delText>La sicurezza e l’efficacia di Humira sono state valutate in uno studio multicentrico, randomizzato, in doppio cieco in 46 pazienti pediatrici (da 6 a 17 anni di età) con entesite associata ad artrite di grado moderato. I pazienti sono stati randomizzati per ricevere o 24 mg/m</w:delText>
        </w:r>
      </w:del>
      <w:del w:id="4612" w:author="AbbVie14" w:date="2025-05-09T10:31:00Z">
        <w:r w:rsidRPr="00612824">
          <w:rPr>
            <w:rStyle w:val="gtcbold9"/>
            <w:b w:val="0"/>
            <w:sz w:val="22"/>
            <w:szCs w:val="22"/>
            <w:vertAlign w:val="superscript"/>
            <w:lang w:val="it-IT"/>
          </w:rPr>
          <w:delText>2</w:delText>
        </w:r>
      </w:del>
      <w:del w:id="4613" w:author="AbbVie14" w:date="2025-05-09T10:31:00Z">
        <w:r w:rsidRPr="00612824">
          <w:rPr>
            <w:rStyle w:val="gtcbold9"/>
            <w:b w:val="0"/>
            <w:sz w:val="22"/>
            <w:szCs w:val="22"/>
            <w:lang w:val="it-IT"/>
          </w:rPr>
          <w:delText xml:space="preserve"> di superficie corporea (BSA) di Humira, fino ad un massimo di 40 mg, o placebo a settimane alterne per 12 settimane. Il periodo in doppio cieco è stato seguito da un periodo di studio in aperto (OL), durante il quale i pazienti hanno ricevuto 24 mg/m</w:delText>
        </w:r>
      </w:del>
      <w:del w:id="4614" w:author="AbbVie14" w:date="2025-05-09T10:31:00Z">
        <w:r w:rsidRPr="00612824">
          <w:rPr>
            <w:rStyle w:val="gtcbold9"/>
            <w:b w:val="0"/>
            <w:sz w:val="22"/>
            <w:szCs w:val="22"/>
            <w:vertAlign w:val="superscript"/>
            <w:lang w:val="it-IT"/>
          </w:rPr>
          <w:delText xml:space="preserve">2 </w:delText>
        </w:r>
      </w:del>
      <w:del w:id="4615" w:author="AbbVie14" w:date="2025-05-09T10:31:00Z">
        <w:r w:rsidRPr="00612824">
          <w:rPr>
            <w:rStyle w:val="gtcbold9"/>
            <w:b w:val="0"/>
            <w:sz w:val="22"/>
            <w:szCs w:val="22"/>
            <w:lang w:val="it-IT"/>
          </w:rPr>
          <w:delText>di superficie corporea di Humira, fino ad un massimo di 40 mg per via sottocutanea a settimane alterne, per altre 192 settimane. L’endpoint primario era la variazione percentuale nel numero di articolazioni con artrite attiva dal valore al basale a quello alla settimana 12 (gonfiore non dovuto a deformità o articolazioni con perdita di movimento più dolore e/o dolorabilità),ed è stato raggiunto con una diminuzione media percentuale del -62,6% (variazione mediana percentuale – 88,9%) nei pazienti del gruppo trattato con Humira rispetto al -11,6% (variazione mediana percentuale – 50,0%) nei pazienti del gruppo trattato con placebo. Il miglioramento nel numero di articolazioni attive con artrite è stato mantenuto durante il periodo in aperto dello studio fino alla settimana 156 per 26 dei 31 (84%) pazienti del gruppo trattato con Humira che sono rimasti nello studio. Nonostante non fosse statisticamente significativo, la maggior parte dei pazienti ha dimostrato un miglioramento clinico negli endpoint secondari, come il numero di siti di entesite, la conta delle articolazioni dolenti (TJC), la conta delle articolazioni tumefatte (SJC), la risposta ACR 50 Pediatrica e la risposta ACR 70 Pediatrica.</w:delText>
        </w:r>
      </w:del>
    </w:p>
    <w:p w:rsidR="00FC3A54" w:rsidRPr="00612824" w:rsidP="00FC3A54" w14:paraId="0D9C87A2" w14:textId="77777777">
      <w:pPr>
        <w:rPr>
          <w:del w:id="4616" w:author="AbbVie14" w:date="2025-05-09T10:31:00Z"/>
          <w:i/>
          <w:iCs/>
          <w:color w:val="000000"/>
          <w:sz w:val="22"/>
          <w:szCs w:val="22"/>
        </w:rPr>
      </w:pPr>
    </w:p>
    <w:p w:rsidR="00FC3A54" w:rsidRPr="00612824" w:rsidP="00FC3A54" w14:paraId="490C040E" w14:textId="77777777">
      <w:pPr>
        <w:rPr>
          <w:del w:id="4617" w:author="AbbVie14" w:date="2025-05-09T10:31:00Z"/>
          <w:i/>
          <w:iCs/>
          <w:color w:val="000000"/>
          <w:sz w:val="22"/>
          <w:szCs w:val="22"/>
        </w:rPr>
      </w:pPr>
      <w:del w:id="4618" w:author="AbbVie14" w:date="2025-05-09T10:31:00Z">
        <w:r w:rsidRPr="00612824">
          <w:rPr>
            <w:i/>
            <w:iCs/>
            <w:color w:val="000000"/>
            <w:sz w:val="22"/>
            <w:szCs w:val="22"/>
          </w:rPr>
          <w:delText>Psoriasi a placche pediatrica</w:delText>
        </w:r>
      </w:del>
    </w:p>
    <w:p w:rsidR="00FC3A54" w:rsidRPr="00612824" w:rsidP="00FC3A54" w14:paraId="6D045B62" w14:textId="77777777">
      <w:pPr>
        <w:tabs>
          <w:tab w:val="left" w:pos="567"/>
        </w:tabs>
        <w:jc w:val="both"/>
        <w:rPr>
          <w:del w:id="4619" w:author="AbbVie14" w:date="2025-05-09T10:31:00Z"/>
          <w:color w:val="000000"/>
          <w:sz w:val="22"/>
          <w:szCs w:val="22"/>
        </w:rPr>
      </w:pPr>
    </w:p>
    <w:p w:rsidR="00FC3A54" w:rsidRPr="00612824" w:rsidP="00FC3A54" w14:paraId="5B32B7AF" w14:textId="77777777">
      <w:pPr>
        <w:tabs>
          <w:tab w:val="left" w:pos="567"/>
        </w:tabs>
        <w:jc w:val="both"/>
        <w:rPr>
          <w:del w:id="4620" w:author="AbbVie14" w:date="2025-05-09T10:31:00Z"/>
          <w:color w:val="000000"/>
          <w:sz w:val="22"/>
          <w:szCs w:val="22"/>
        </w:rPr>
      </w:pPr>
      <w:del w:id="4621" w:author="AbbVie14" w:date="2025-05-09T10:31:00Z">
        <w:r w:rsidRPr="00612824">
          <w:rPr>
            <w:color w:val="000000"/>
            <w:sz w:val="22"/>
            <w:szCs w:val="22"/>
          </w:rPr>
          <w:delText>L’efficacia di Humira è stata valutata in uno studio randomizzato, controllato, in doppio cieco, su 114 pazienti pediatrici a partire dai 4 anni d’età con psoriasi cronica a placche grave (definita da un Physician’s Global Assessment (PGA) ≥ 4 o BSA &gt; 20% o BSA &gt; 10% con lesioni molto spesse o Psoriasis Area and Severity Index (PASI) ≥ 20 o ≥ 10 con coinvolgimento facciale, genitale o di mani/piedi clinicamente rilevante) inadeguatamente controllata con la terapia topica e l’elioterapia o la fototerapia.</w:delText>
        </w:r>
      </w:del>
    </w:p>
    <w:p w:rsidR="00FC3A54" w:rsidRPr="00612824" w:rsidP="00FC3A54" w14:paraId="43BDA2CB" w14:textId="77777777">
      <w:pPr>
        <w:tabs>
          <w:tab w:val="left" w:pos="567"/>
        </w:tabs>
        <w:jc w:val="both"/>
        <w:rPr>
          <w:del w:id="4622" w:author="AbbVie14" w:date="2025-05-09T10:31:00Z"/>
          <w:color w:val="000000"/>
          <w:sz w:val="22"/>
          <w:szCs w:val="22"/>
        </w:rPr>
      </w:pPr>
    </w:p>
    <w:p w:rsidR="00FC3A54" w:rsidRPr="00612824" w:rsidP="00FC3A54" w14:paraId="5D1B2700" w14:textId="77777777">
      <w:pPr>
        <w:tabs>
          <w:tab w:val="left" w:pos="567"/>
        </w:tabs>
        <w:jc w:val="both"/>
        <w:rPr>
          <w:del w:id="4623" w:author="AbbVie14" w:date="2025-05-09T10:31:00Z"/>
          <w:color w:val="000000"/>
          <w:sz w:val="22"/>
          <w:szCs w:val="22"/>
        </w:rPr>
      </w:pPr>
      <w:del w:id="4624" w:author="AbbVie14" w:date="2025-05-09T10:31:00Z">
        <w:r w:rsidRPr="00612824">
          <w:rPr>
            <w:color w:val="000000"/>
            <w:sz w:val="22"/>
            <w:szCs w:val="22"/>
          </w:rPr>
          <w:delText>I pazienti hanno ricevuto Humira 0,8 mg/kg a settimane alterne (fino a 40 mg), 0,4 mg/kg a settimane alterne (fino a 20 mg), oppure metotressato 0,1 – 0,4 mg/kg una volta a settimana (fino a 25 mg). Alla settimana 16, un maggior numero di pazienti randomizzati ad Humira 0,8 mg/kg ha avuto risposte di efficacia positive (ad es., risposta PASI 75) rispetto a quelli randomizzati a 0,4 mg/kg a settimane alterne o a metotressato.</w:delText>
        </w:r>
      </w:del>
    </w:p>
    <w:p w:rsidR="00FC3A54" w:rsidRPr="00612824" w:rsidP="00FC3A54" w14:paraId="75B4225C" w14:textId="77777777">
      <w:pPr>
        <w:tabs>
          <w:tab w:val="left" w:pos="567"/>
        </w:tabs>
        <w:jc w:val="both"/>
        <w:rPr>
          <w:del w:id="4625" w:author="AbbVie14" w:date="2025-05-09T10:31:00Z"/>
          <w:color w:val="000000"/>
          <w:sz w:val="22"/>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4185"/>
        <w:gridCol w:w="1131"/>
        <w:gridCol w:w="2771"/>
      </w:tblGrid>
      <w:tr w14:paraId="082A3A9D" w14:textId="77777777" w:rsidTr="00BB70B7">
        <w:tblPrEx>
          <w:tblW w:w="4458" w:type="pct"/>
          <w:tblLook w:val="00A0"/>
        </w:tblPrEx>
        <w:trPr>
          <w:del w:id="4626" w:author="AbbVie14" w:date="2025-05-09T10:31:00Z"/>
        </w:trPr>
        <w:tc>
          <w:tcPr>
            <w:tcW w:w="5000" w:type="pct"/>
            <w:gridSpan w:val="3"/>
            <w:tcBorders>
              <w:top w:val="nil"/>
              <w:left w:val="nil"/>
              <w:bottom w:val="nil"/>
              <w:right w:val="nil"/>
            </w:tcBorders>
            <w:vAlign w:val="center"/>
          </w:tcPr>
          <w:p w:rsidR="00FC3A54" w:rsidRPr="00612824" w:rsidP="00BB70B7" w14:paraId="1A970AD3" w14:textId="77777777">
            <w:pPr>
              <w:autoSpaceDE w:val="0"/>
              <w:autoSpaceDN w:val="0"/>
              <w:adjustRightInd w:val="0"/>
              <w:jc w:val="center"/>
              <w:rPr>
                <w:del w:id="4627" w:author="AbbVie14" w:date="2025-05-09T10:31:00Z"/>
                <w:rStyle w:val="gtcbold9"/>
                <w:rFonts w:eastAsia="Arial"/>
                <w:sz w:val="22"/>
                <w:szCs w:val="22"/>
                <w:lang w:bidi="it-IT"/>
              </w:rPr>
            </w:pPr>
            <w:del w:id="4628" w:author="AbbVie14" w:date="2025-05-09T10:31:00Z">
              <w:r w:rsidRPr="00612824">
                <w:rPr>
                  <w:rStyle w:val="gtcbold9"/>
                  <w:rFonts w:eastAsia="Arial"/>
                  <w:sz w:val="22"/>
                  <w:szCs w:val="22"/>
                  <w:lang w:bidi="it-IT"/>
                </w:rPr>
                <w:delText>Tabella 22: Psoriasi a Placche Pediatrica</w:delText>
              </w:r>
            </w:del>
          </w:p>
          <w:p w:rsidR="00FC3A54" w:rsidRPr="00612824" w:rsidP="00BB70B7" w14:paraId="2F870D9B" w14:textId="77777777">
            <w:pPr>
              <w:jc w:val="center"/>
              <w:rPr>
                <w:del w:id="4629" w:author="AbbVie14" w:date="2025-05-09T10:31:00Z"/>
                <w:rStyle w:val="gtcbold9"/>
                <w:rFonts w:eastAsia="Arial"/>
                <w:sz w:val="22"/>
                <w:szCs w:val="22"/>
                <w:lang w:bidi="it-IT"/>
              </w:rPr>
            </w:pPr>
            <w:del w:id="4630" w:author="AbbVie14" w:date="2025-05-09T10:31:00Z">
              <w:r w:rsidRPr="00612824">
                <w:rPr>
                  <w:rStyle w:val="gtcbold9"/>
                  <w:rFonts w:eastAsia="Arial"/>
                  <w:sz w:val="22"/>
                  <w:szCs w:val="22"/>
                  <w:lang w:bidi="it-IT"/>
                </w:rPr>
                <w:delText>Risultati relativi all’efficacia alla settimana 16</w:delText>
              </w:r>
            </w:del>
          </w:p>
          <w:p w:rsidR="00FC3A54" w:rsidRPr="00612824" w:rsidP="00BB70B7" w14:paraId="6B21BBB0" w14:textId="77777777">
            <w:pPr>
              <w:jc w:val="center"/>
              <w:rPr>
                <w:del w:id="4631" w:author="AbbVie14" w:date="2025-05-09T10:31:00Z"/>
                <w:b/>
                <w:sz w:val="22"/>
                <w:szCs w:val="22"/>
              </w:rPr>
            </w:pPr>
          </w:p>
        </w:tc>
      </w:tr>
      <w:tr w14:paraId="125C3431" w14:textId="77777777" w:rsidTr="00BB70B7">
        <w:tblPrEx>
          <w:tblW w:w="4458" w:type="pct"/>
          <w:tblLook w:val="00A0"/>
        </w:tblPrEx>
        <w:trPr>
          <w:del w:id="4632" w:author="AbbVie14" w:date="2025-05-09T10:31:00Z"/>
        </w:trPr>
        <w:tc>
          <w:tcPr>
            <w:tcW w:w="2588" w:type="pct"/>
            <w:tcBorders>
              <w:top w:val="single" w:sz="6" w:space="0" w:color="000000"/>
              <w:left w:val="single" w:sz="6" w:space="0" w:color="000000"/>
              <w:bottom w:val="outset" w:sz="6" w:space="0" w:color="auto"/>
              <w:right w:val="outset" w:sz="6" w:space="0" w:color="auto"/>
            </w:tcBorders>
            <w:vAlign w:val="center"/>
          </w:tcPr>
          <w:p w:rsidR="00FC3A54" w:rsidRPr="00612824" w:rsidP="00BB70B7" w14:paraId="57174D42" w14:textId="77777777">
            <w:pPr>
              <w:rPr>
                <w:del w:id="4633" w:author="AbbVie14" w:date="2025-05-09T10:31:00Z"/>
                <w:sz w:val="22"/>
                <w:szCs w:val="22"/>
              </w:rPr>
            </w:pPr>
          </w:p>
        </w:tc>
        <w:tc>
          <w:tcPr>
            <w:tcW w:w="699" w:type="pct"/>
            <w:tcBorders>
              <w:top w:val="single" w:sz="6" w:space="0" w:color="000000"/>
              <w:left w:val="single" w:sz="6" w:space="0" w:color="000000"/>
              <w:bottom w:val="outset" w:sz="6" w:space="0" w:color="auto"/>
              <w:right w:val="outset" w:sz="6" w:space="0" w:color="auto"/>
            </w:tcBorders>
            <w:vAlign w:val="center"/>
          </w:tcPr>
          <w:p w:rsidR="00FC3A54" w:rsidRPr="00612824" w:rsidP="00BB70B7" w14:paraId="33FBCDF8" w14:textId="77777777">
            <w:pPr>
              <w:jc w:val="center"/>
              <w:rPr>
                <w:del w:id="4634" w:author="AbbVie14" w:date="2025-05-09T10:31:00Z"/>
                <w:sz w:val="22"/>
                <w:szCs w:val="22"/>
              </w:rPr>
            </w:pPr>
            <w:del w:id="4635" w:author="AbbVie14" w:date="2025-05-09T10:31:00Z">
              <w:r w:rsidRPr="00612824">
                <w:rPr>
                  <w:sz w:val="22"/>
                  <w:szCs w:val="22"/>
                </w:rPr>
                <w:delText>MTX</w:delText>
              </w:r>
            </w:del>
            <w:del w:id="4636" w:author="AbbVie14" w:date="2025-05-09T10:31:00Z">
              <w:r w:rsidRPr="00612824">
                <w:rPr>
                  <w:sz w:val="22"/>
                  <w:szCs w:val="22"/>
                  <w:vertAlign w:val="superscript"/>
                </w:rPr>
                <w:delText>a</w:delText>
              </w:r>
            </w:del>
            <w:del w:id="4637" w:author="AbbVie14" w:date="2025-05-09T10:31:00Z">
              <w:r w:rsidRPr="00612824">
                <w:rPr>
                  <w:sz w:val="22"/>
                  <w:szCs w:val="22"/>
                </w:rPr>
                <w:br/>
                <w:delText xml:space="preserve">N=37 </w:delText>
              </w:r>
            </w:del>
          </w:p>
        </w:tc>
        <w:tc>
          <w:tcPr>
            <w:tcW w:w="1713" w:type="pct"/>
            <w:tcBorders>
              <w:top w:val="single" w:sz="6" w:space="0" w:color="000000"/>
              <w:left w:val="single" w:sz="6" w:space="0" w:color="000000"/>
              <w:bottom w:val="outset" w:sz="6" w:space="0" w:color="auto"/>
              <w:right w:val="single" w:sz="6" w:space="0" w:color="000000"/>
            </w:tcBorders>
            <w:vAlign w:val="center"/>
          </w:tcPr>
          <w:p w:rsidR="00FC3A54" w:rsidRPr="00612824" w:rsidP="00BB70B7" w14:paraId="5E1979A2" w14:textId="77777777">
            <w:pPr>
              <w:jc w:val="center"/>
              <w:rPr>
                <w:del w:id="4638" w:author="AbbVie14" w:date="2025-05-09T10:31:00Z"/>
                <w:sz w:val="22"/>
                <w:szCs w:val="22"/>
              </w:rPr>
            </w:pPr>
            <w:del w:id="4639" w:author="AbbVie14" w:date="2025-05-09T10:31:00Z">
              <w:r w:rsidRPr="00612824">
                <w:rPr>
                  <w:sz w:val="22"/>
                  <w:szCs w:val="22"/>
                </w:rPr>
                <w:delText>Humira 0,8 mg/kg </w:delText>
              </w:r>
            </w:del>
            <w:del w:id="4640" w:author="AbbVie14" w:date="2025-05-09T10:31:00Z">
              <w:r w:rsidRPr="00612824">
                <w:rPr>
                  <w:rFonts w:eastAsia="Arial"/>
                  <w:sz w:val="22"/>
                  <w:szCs w:val="22"/>
                  <w:lang w:bidi="it-IT"/>
                </w:rPr>
                <w:delText>a settimane alterne</w:delText>
              </w:r>
            </w:del>
            <w:del w:id="4641" w:author="AbbVie14" w:date="2025-05-09T10:31:00Z">
              <w:r w:rsidRPr="00612824">
                <w:rPr>
                  <w:sz w:val="22"/>
                  <w:szCs w:val="22"/>
                </w:rPr>
                <w:br/>
                <w:delText xml:space="preserve">N=38 </w:delText>
              </w:r>
            </w:del>
          </w:p>
        </w:tc>
      </w:tr>
      <w:tr w14:paraId="5A92A262" w14:textId="77777777" w:rsidTr="00BB70B7">
        <w:tblPrEx>
          <w:tblW w:w="4458" w:type="pct"/>
          <w:tblLook w:val="00A0"/>
        </w:tblPrEx>
        <w:trPr>
          <w:del w:id="4642" w:author="AbbVie14" w:date="2025-05-09T10:31:00Z"/>
        </w:trPr>
        <w:tc>
          <w:tcPr>
            <w:tcW w:w="2588" w:type="pct"/>
            <w:tcBorders>
              <w:top w:val="single" w:sz="6" w:space="0" w:color="000000"/>
              <w:left w:val="single" w:sz="6" w:space="0" w:color="000000"/>
              <w:bottom w:val="outset" w:sz="6" w:space="0" w:color="auto"/>
              <w:right w:val="outset" w:sz="6" w:space="0" w:color="auto"/>
            </w:tcBorders>
            <w:vAlign w:val="center"/>
          </w:tcPr>
          <w:p w:rsidR="00FC3A54" w:rsidRPr="00612824" w:rsidP="00BB70B7" w14:paraId="764AE456" w14:textId="77777777">
            <w:pPr>
              <w:rPr>
                <w:del w:id="4643" w:author="AbbVie14" w:date="2025-05-09T10:31:00Z"/>
                <w:sz w:val="22"/>
                <w:szCs w:val="22"/>
              </w:rPr>
            </w:pPr>
            <w:del w:id="4644" w:author="AbbVie14" w:date="2025-05-09T10:31:00Z">
              <w:r w:rsidRPr="00612824">
                <w:rPr>
                  <w:sz w:val="22"/>
                  <w:szCs w:val="22"/>
                </w:rPr>
                <w:delText> </w:delText>
              </w:r>
            </w:del>
            <w:del w:id="4645" w:author="AbbVie14" w:date="2025-05-09T10:31:00Z">
              <w:r w:rsidRPr="00612824">
                <w:rPr>
                  <w:sz w:val="22"/>
                  <w:szCs w:val="22"/>
                </w:rPr>
                <w:delText>PASI 75</w:delText>
              </w:r>
            </w:del>
            <w:del w:id="4646" w:author="AbbVie14" w:date="2025-05-09T10:31:00Z">
              <w:r w:rsidRPr="00612824">
                <w:rPr>
                  <w:sz w:val="22"/>
                  <w:szCs w:val="22"/>
                  <w:vertAlign w:val="superscript"/>
                </w:rPr>
                <w:delText>b</w:delText>
              </w:r>
            </w:del>
          </w:p>
        </w:tc>
        <w:tc>
          <w:tcPr>
            <w:tcW w:w="699" w:type="pct"/>
            <w:tcBorders>
              <w:top w:val="single" w:sz="6" w:space="0" w:color="000000"/>
              <w:left w:val="single" w:sz="6" w:space="0" w:color="000000"/>
              <w:bottom w:val="outset" w:sz="6" w:space="0" w:color="auto"/>
              <w:right w:val="outset" w:sz="6" w:space="0" w:color="auto"/>
            </w:tcBorders>
            <w:vAlign w:val="center"/>
          </w:tcPr>
          <w:p w:rsidR="00FC3A54" w:rsidRPr="00612824" w:rsidP="00BB70B7" w14:paraId="32269B59" w14:textId="77777777">
            <w:pPr>
              <w:jc w:val="center"/>
              <w:rPr>
                <w:del w:id="4647" w:author="AbbVie14" w:date="2025-05-09T10:31:00Z"/>
                <w:sz w:val="22"/>
                <w:szCs w:val="22"/>
              </w:rPr>
            </w:pPr>
            <w:del w:id="4648" w:author="AbbVie14" w:date="2025-05-09T10:31:00Z">
              <w:r w:rsidRPr="00612824">
                <w:rPr>
                  <w:sz w:val="22"/>
                  <w:szCs w:val="22"/>
                </w:rPr>
                <w:delText>12 (32,4%)</w:delText>
              </w:r>
            </w:del>
          </w:p>
        </w:tc>
        <w:tc>
          <w:tcPr>
            <w:tcW w:w="1713" w:type="pct"/>
            <w:tcBorders>
              <w:top w:val="single" w:sz="6" w:space="0" w:color="000000"/>
              <w:left w:val="single" w:sz="6" w:space="0" w:color="000000"/>
              <w:bottom w:val="outset" w:sz="6" w:space="0" w:color="auto"/>
              <w:right w:val="single" w:sz="6" w:space="0" w:color="000000"/>
            </w:tcBorders>
            <w:vAlign w:val="center"/>
          </w:tcPr>
          <w:p w:rsidR="00FC3A54" w:rsidRPr="00612824" w:rsidP="00BB70B7" w14:paraId="0E227296" w14:textId="77777777">
            <w:pPr>
              <w:jc w:val="center"/>
              <w:rPr>
                <w:del w:id="4649" w:author="AbbVie14" w:date="2025-05-09T10:31:00Z"/>
                <w:sz w:val="22"/>
                <w:szCs w:val="22"/>
              </w:rPr>
            </w:pPr>
            <w:del w:id="4650" w:author="AbbVie14" w:date="2025-05-09T10:31:00Z">
              <w:r w:rsidRPr="00612824">
                <w:rPr>
                  <w:sz w:val="22"/>
                  <w:szCs w:val="22"/>
                </w:rPr>
                <w:delText>22 (57,9%)</w:delText>
              </w:r>
            </w:del>
          </w:p>
        </w:tc>
      </w:tr>
      <w:tr w14:paraId="617C1875" w14:textId="77777777" w:rsidTr="00BB70B7">
        <w:tblPrEx>
          <w:tblW w:w="4458" w:type="pct"/>
          <w:tblLook w:val="00A0"/>
        </w:tblPrEx>
        <w:trPr>
          <w:del w:id="4651" w:author="AbbVie14" w:date="2025-05-09T10:31:00Z"/>
        </w:trPr>
        <w:tc>
          <w:tcPr>
            <w:tcW w:w="2588" w:type="pct"/>
            <w:tcBorders>
              <w:top w:val="single" w:sz="6" w:space="0" w:color="000000"/>
              <w:left w:val="single" w:sz="6" w:space="0" w:color="000000"/>
              <w:bottom w:val="single" w:sz="6" w:space="0" w:color="000000"/>
              <w:right w:val="outset" w:sz="6" w:space="0" w:color="auto"/>
            </w:tcBorders>
            <w:vAlign w:val="center"/>
          </w:tcPr>
          <w:p w:rsidR="00FC3A54" w:rsidRPr="00612824" w:rsidP="00BB70B7" w14:paraId="466C64CA" w14:textId="77777777">
            <w:pPr>
              <w:rPr>
                <w:del w:id="4652" w:author="AbbVie14" w:date="2025-05-09T10:31:00Z"/>
                <w:sz w:val="22"/>
                <w:szCs w:val="22"/>
              </w:rPr>
            </w:pPr>
            <w:del w:id="4653" w:author="AbbVie14" w:date="2025-05-09T10:31:00Z">
              <w:r w:rsidRPr="00612824">
                <w:rPr>
                  <w:sz w:val="22"/>
                  <w:szCs w:val="22"/>
                </w:rPr>
                <w:delText> </w:delText>
              </w:r>
            </w:del>
            <w:del w:id="4654" w:author="AbbVie14" w:date="2025-05-09T10:31:00Z">
              <w:r w:rsidRPr="00612824">
                <w:rPr>
                  <w:rFonts w:eastAsia="Arial"/>
                  <w:sz w:val="22"/>
                  <w:szCs w:val="22"/>
                  <w:lang w:bidi="it-IT"/>
                </w:rPr>
                <w:delText>PGA: Guarigione/Marcato miglioramento</w:delText>
              </w:r>
            </w:del>
            <w:del w:id="4655" w:author="AbbVie14" w:date="2025-05-09T10:31:00Z">
              <w:r w:rsidRPr="00612824">
                <w:rPr>
                  <w:rFonts w:eastAsia="Arial"/>
                  <w:sz w:val="22"/>
                  <w:szCs w:val="22"/>
                  <w:vertAlign w:val="superscript"/>
                  <w:lang w:bidi="it-IT"/>
                </w:rPr>
                <w:delText>c</w:delText>
              </w:r>
            </w:del>
          </w:p>
        </w:tc>
        <w:tc>
          <w:tcPr>
            <w:tcW w:w="699" w:type="pct"/>
            <w:tcBorders>
              <w:top w:val="single" w:sz="6" w:space="0" w:color="000000"/>
              <w:left w:val="single" w:sz="6" w:space="0" w:color="000000"/>
              <w:bottom w:val="single" w:sz="6" w:space="0" w:color="000000"/>
              <w:right w:val="outset" w:sz="6" w:space="0" w:color="auto"/>
            </w:tcBorders>
            <w:vAlign w:val="center"/>
          </w:tcPr>
          <w:p w:rsidR="00FC3A54" w:rsidRPr="00612824" w:rsidP="00BB70B7" w14:paraId="47637565" w14:textId="77777777">
            <w:pPr>
              <w:jc w:val="center"/>
              <w:rPr>
                <w:del w:id="4656" w:author="AbbVie14" w:date="2025-05-09T10:31:00Z"/>
                <w:sz w:val="22"/>
                <w:szCs w:val="22"/>
              </w:rPr>
            </w:pPr>
            <w:del w:id="4657" w:author="AbbVie14" w:date="2025-05-09T10:31:00Z">
              <w:r w:rsidRPr="00612824">
                <w:rPr>
                  <w:sz w:val="22"/>
                  <w:szCs w:val="22"/>
                </w:rPr>
                <w:delText>15 (40,5%)</w:delText>
              </w:r>
            </w:del>
          </w:p>
        </w:tc>
        <w:tc>
          <w:tcPr>
            <w:tcW w:w="1713" w:type="pct"/>
            <w:tcBorders>
              <w:top w:val="single" w:sz="6" w:space="0" w:color="000000"/>
              <w:left w:val="single" w:sz="6" w:space="0" w:color="000000"/>
              <w:bottom w:val="single" w:sz="6" w:space="0" w:color="000000"/>
              <w:right w:val="single" w:sz="6" w:space="0" w:color="000000"/>
            </w:tcBorders>
            <w:vAlign w:val="center"/>
          </w:tcPr>
          <w:p w:rsidR="00FC3A54" w:rsidRPr="00612824" w:rsidP="00BB70B7" w14:paraId="4D9B7FA1" w14:textId="77777777">
            <w:pPr>
              <w:jc w:val="center"/>
              <w:rPr>
                <w:del w:id="4658" w:author="AbbVie14" w:date="2025-05-09T10:31:00Z"/>
                <w:sz w:val="22"/>
                <w:szCs w:val="22"/>
              </w:rPr>
            </w:pPr>
            <w:del w:id="4659" w:author="AbbVie14" w:date="2025-05-09T10:31:00Z">
              <w:r w:rsidRPr="00612824">
                <w:rPr>
                  <w:sz w:val="22"/>
                  <w:szCs w:val="22"/>
                </w:rPr>
                <w:delText>23 (60,5%)</w:delText>
              </w:r>
            </w:del>
          </w:p>
        </w:tc>
      </w:tr>
      <w:tr w14:paraId="2C1E5D4B" w14:textId="77777777" w:rsidTr="00BB70B7">
        <w:tblPrEx>
          <w:tblW w:w="4458" w:type="pct"/>
          <w:tblLook w:val="00A0"/>
        </w:tblPrEx>
        <w:trPr>
          <w:del w:id="4660" w:author="AbbVie14" w:date="2025-05-09T10:31: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FC3A54" w:rsidRPr="00612824" w:rsidP="00BB70B7" w14:paraId="70C31997" w14:textId="77777777">
            <w:pPr>
              <w:rPr>
                <w:del w:id="4661" w:author="AbbVie14" w:date="2025-05-09T10:31:00Z"/>
                <w:sz w:val="22"/>
                <w:szCs w:val="22"/>
              </w:rPr>
            </w:pPr>
            <w:del w:id="4662" w:author="AbbVie14" w:date="2025-05-09T10:31:00Z">
              <w:r w:rsidRPr="00612824">
                <w:rPr>
                  <w:sz w:val="22"/>
                  <w:szCs w:val="22"/>
                  <w:vertAlign w:val="superscript"/>
                </w:rPr>
                <w:delText xml:space="preserve">a </w:delText>
              </w:r>
            </w:del>
            <w:del w:id="4663" w:author="AbbVie14" w:date="2025-05-09T10:31:00Z">
              <w:r w:rsidRPr="00612824">
                <w:rPr>
                  <w:sz w:val="22"/>
                  <w:szCs w:val="22"/>
                </w:rPr>
                <w:delText xml:space="preserve">MTX = </w:delText>
              </w:r>
            </w:del>
            <w:del w:id="4664" w:author="AbbVie14" w:date="2025-05-09T10:31:00Z">
              <w:r w:rsidRPr="00612824">
                <w:rPr>
                  <w:rFonts w:eastAsia="Arial"/>
                  <w:sz w:val="22"/>
                  <w:szCs w:val="22"/>
                  <w:lang w:bidi="it-IT"/>
                </w:rPr>
                <w:delText>metotressato</w:delText>
              </w:r>
            </w:del>
          </w:p>
          <w:p w:rsidR="00FC3A54" w:rsidRPr="00612824" w:rsidP="00BB70B7" w14:paraId="07B9B4F0" w14:textId="77777777">
            <w:pPr>
              <w:rPr>
                <w:del w:id="4665" w:author="AbbVie14" w:date="2025-05-09T10:31:00Z"/>
                <w:sz w:val="22"/>
                <w:szCs w:val="22"/>
              </w:rPr>
            </w:pPr>
            <w:del w:id="4666" w:author="AbbVie14" w:date="2025-05-09T10:31:00Z">
              <w:r w:rsidRPr="00612824">
                <w:rPr>
                  <w:sz w:val="22"/>
                  <w:szCs w:val="22"/>
                  <w:vertAlign w:val="superscript"/>
                </w:rPr>
                <w:delText>b</w:delText>
              </w:r>
            </w:del>
            <w:del w:id="4667" w:author="AbbVie14" w:date="2025-05-09T10:31:00Z">
              <w:r w:rsidRPr="00612824">
                <w:rPr>
                  <w:sz w:val="22"/>
                  <w:szCs w:val="22"/>
                </w:rPr>
                <w:delText xml:space="preserve"> P=0,027, Humira 0,8 mg/kg vs. MTX</w:delText>
              </w:r>
            </w:del>
          </w:p>
          <w:p w:rsidR="00FC3A54" w:rsidRPr="00612824" w:rsidP="00BB70B7" w14:paraId="7A5F110F" w14:textId="77777777">
            <w:pPr>
              <w:rPr>
                <w:del w:id="4668" w:author="AbbVie14" w:date="2025-05-09T10:31:00Z"/>
                <w:sz w:val="22"/>
                <w:szCs w:val="22"/>
              </w:rPr>
            </w:pPr>
            <w:del w:id="4669" w:author="AbbVie14" w:date="2025-05-09T10:31:00Z">
              <w:r w:rsidRPr="00612824">
                <w:rPr>
                  <w:sz w:val="22"/>
                  <w:szCs w:val="22"/>
                  <w:vertAlign w:val="superscript"/>
                </w:rPr>
                <w:delText>c</w:delText>
              </w:r>
            </w:del>
            <w:del w:id="4670" w:author="AbbVie14" w:date="2025-05-09T10:31:00Z">
              <w:r w:rsidRPr="00612824">
                <w:rPr>
                  <w:sz w:val="22"/>
                  <w:szCs w:val="22"/>
                </w:rPr>
                <w:delText xml:space="preserve"> P=0,083, Humira 0,8 mg/kg vs. MTX</w:delText>
              </w:r>
            </w:del>
          </w:p>
        </w:tc>
      </w:tr>
    </w:tbl>
    <w:p w:rsidR="00FC3A54" w:rsidRPr="00612824" w:rsidP="00FC3A54" w14:paraId="23EDCF01" w14:textId="77777777">
      <w:pPr>
        <w:rPr>
          <w:del w:id="4671" w:author="AbbVie14" w:date="2025-05-09T10:31:00Z"/>
          <w:color w:val="000000"/>
          <w:sz w:val="22"/>
          <w:szCs w:val="22"/>
        </w:rPr>
      </w:pPr>
    </w:p>
    <w:p w:rsidR="00FC3A54" w:rsidRPr="00612824" w:rsidP="00FC3A54" w14:paraId="752B1B26" w14:textId="77777777">
      <w:pPr>
        <w:keepNext/>
        <w:keepLines/>
        <w:rPr>
          <w:del w:id="4672" w:author="AbbVie14" w:date="2025-05-09T10:31:00Z"/>
          <w:color w:val="000000"/>
          <w:sz w:val="22"/>
          <w:szCs w:val="22"/>
        </w:rPr>
      </w:pPr>
      <w:del w:id="4673" w:author="AbbVie14" w:date="2025-05-09T10:31:00Z">
        <w:r w:rsidRPr="00612824">
          <w:rPr>
            <w:color w:val="000000"/>
            <w:sz w:val="22"/>
            <w:szCs w:val="22"/>
          </w:rPr>
          <w:delText>A pazienti che hanno ottenuto una risposta PASI 75 e un PGA corrispondente a remissione totale della malattia o a persistenza di malattia minima è stato interrotto il trattamento per un massimo di 36 settimane, e sono stati monitorati per la perdita del controllo della malattia (ovvero, un peggioramento della risposta PGA di almeno 2 gradi). I pazienti sono stati quindi ritrattati con adalimumab 0,8 mg/kg a settimane alterne per ulteriori 16 settimane, e le percentuali di risposta osservate durante il ritrattamento erano simili a quelle osservate durante il precedente periodo in doppio cieco: risposta PASI 75 del 78,9% (15 soggetti su 19) e PGA corrispondente a remissione totale della malattia o a persistenza di malattia minima del 52,6% (10 soggetti su 19).</w:delText>
        </w:r>
      </w:del>
    </w:p>
    <w:p w:rsidR="00FC3A54" w:rsidRPr="00612824" w:rsidP="00FC3A54" w14:paraId="11BD6D14" w14:textId="77777777">
      <w:pPr>
        <w:rPr>
          <w:del w:id="4674" w:author="AbbVie14" w:date="2025-05-09T10:31:00Z"/>
          <w:color w:val="000000"/>
          <w:sz w:val="22"/>
          <w:szCs w:val="22"/>
        </w:rPr>
      </w:pPr>
    </w:p>
    <w:p w:rsidR="00FC3A54" w:rsidRPr="006461E3" w:rsidP="00FC3A54" w14:paraId="2B0E5DE0" w14:textId="77777777">
      <w:pPr>
        <w:rPr>
          <w:del w:id="4675" w:author="AbbVie14" w:date="2025-05-09T10:31:00Z"/>
          <w:color w:val="000000"/>
          <w:sz w:val="22"/>
          <w:szCs w:val="22"/>
        </w:rPr>
      </w:pPr>
      <w:del w:id="4676" w:author="AbbVie14" w:date="2025-05-09T10:31:00Z">
        <w:r w:rsidRPr="00612824">
          <w:rPr>
            <w:color w:val="000000"/>
            <w:sz w:val="22"/>
            <w:szCs w:val="22"/>
          </w:rPr>
          <w:delText>Nel periodo in aperto dello studio, le risposte PASI 75 e PGA corrispondente a remissione totale della malattia o a persistenza di malattia minima sono state mantenute per ulteriori 52 settimane senza che siano emerse nuove problematiche di sicurezza.</w:delText>
        </w:r>
      </w:del>
    </w:p>
    <w:p w:rsidR="00BB70B7" w:rsidRPr="0007648D" w:rsidP="00FC3A54" w14:paraId="61342A66" w14:textId="77777777">
      <w:pPr>
        <w:rPr>
          <w:del w:id="4677" w:author="AbbVie14" w:date="2025-05-09T10:31:00Z"/>
          <w:color w:val="000000"/>
          <w:sz w:val="22"/>
          <w:szCs w:val="22"/>
        </w:rPr>
      </w:pPr>
    </w:p>
    <w:p w:rsidR="00BB70B7" w:rsidRPr="00612824" w:rsidP="00612824" w14:paraId="294B6499" w14:textId="77777777">
      <w:pPr>
        <w:pStyle w:val="EMEANormal"/>
        <w:keepNext/>
        <w:rPr>
          <w:del w:id="4678" w:author="AbbVie14" w:date="2025-05-09T10:31:00Z"/>
          <w:i/>
          <w:lang w:val="it-IT"/>
        </w:rPr>
      </w:pPr>
      <w:del w:id="4679" w:author="AbbVie14" w:date="2025-05-09T10:31:00Z">
        <w:r w:rsidRPr="00612824">
          <w:rPr>
            <w:i/>
            <w:lang w:val="it-IT"/>
          </w:rPr>
          <w:delText>Idrosadenite suppurativa negli adolescenti</w:delText>
        </w:r>
      </w:del>
    </w:p>
    <w:p w:rsidR="00BB70B7" w:rsidRPr="00612824" w:rsidP="00612824" w14:paraId="4C5EF761" w14:textId="77777777">
      <w:pPr>
        <w:pStyle w:val="EMEANormal"/>
        <w:keepNext/>
        <w:rPr>
          <w:del w:id="4680" w:author="AbbVie14" w:date="2025-05-09T10:31:00Z"/>
          <w:i/>
          <w:lang w:val="it-IT"/>
        </w:rPr>
      </w:pPr>
    </w:p>
    <w:p w:rsidR="00BB70B7" w:rsidRPr="00612824" w:rsidP="00BB70B7" w14:paraId="72452E1C" w14:textId="77777777">
      <w:pPr>
        <w:pStyle w:val="EMEANormal"/>
        <w:jc w:val="both"/>
        <w:rPr>
          <w:del w:id="4681" w:author="AbbVie14" w:date="2025-05-09T10:31:00Z"/>
          <w:lang w:val="it-IT"/>
        </w:rPr>
      </w:pPr>
      <w:del w:id="4682" w:author="AbbVie14" w:date="2025-05-09T10:31:00Z">
        <w:r w:rsidRPr="00612824">
          <w:rPr>
            <w:lang w:val="it-IT"/>
          </w:rPr>
          <w:delText>Non sono stati condotti studi clinici con Humira in pazienti adolescenti con HS. L’efficacia di</w:delText>
        </w:r>
      </w:del>
      <w:del w:id="4683" w:author="AbbVie14" w:date="2025-05-09T10:31:00Z">
        <w:r w:rsidRPr="00612824">
          <w:rPr>
            <w:iCs/>
            <w:lang w:val="it-IT"/>
          </w:rPr>
          <w:delText xml:space="preserve"> adalimumab nel trattamento di pazienti adolescenti con HS è stata predetta in base all’efficacia dimostrata e al rapporto esposizione-risposta in pazienti adulti con HS ed alla plausibilità che ildecorso di malattia, la patofisiologia e gli effetti del medicinale siano sostanzialmente simili a quelli degli adulti agli stessi livelli di esposizione. La sicurezza della dose raccomandata di adalimumab nella popolazione adolescente con HS si basa sul profilo di sicurezza cross-indicazione di adalimumab sia nei pazienti adulti che nei pazienti pediatrici a dosi simili o più frequenti </w:delText>
        </w:r>
      </w:del>
      <w:del w:id="4684" w:author="AbbVie14" w:date="2025-05-09T10:31:00Z">
        <w:r w:rsidRPr="00612824">
          <w:rPr>
            <w:lang w:val="it-IT"/>
          </w:rPr>
          <w:delText>(vedere paragrafo 5.2).</w:delText>
        </w:r>
      </w:del>
    </w:p>
    <w:p w:rsidR="000203FD" w:rsidRPr="006461E3" w:rsidP="000203FD" w14:paraId="6306DB43" w14:textId="77777777">
      <w:pPr>
        <w:pStyle w:val="EMEANormal"/>
        <w:rPr>
          <w:del w:id="4685" w:author="AbbVie14" w:date="2025-05-09T10:31:00Z"/>
          <w:lang w:val="it-IT"/>
        </w:rPr>
      </w:pPr>
    </w:p>
    <w:p w:rsidR="00BB70B7" w:rsidRPr="00612824" w:rsidP="00BB70B7" w14:paraId="1916732E" w14:textId="77777777">
      <w:pPr>
        <w:tabs>
          <w:tab w:val="left" w:pos="567"/>
        </w:tabs>
        <w:jc w:val="both"/>
        <w:rPr>
          <w:del w:id="4686" w:author="AbbVie14" w:date="2025-05-09T10:31:00Z"/>
          <w:i/>
          <w:sz w:val="22"/>
          <w:szCs w:val="22"/>
        </w:rPr>
      </w:pPr>
      <w:del w:id="4687" w:author="AbbVie14" w:date="2025-05-09T10:31:00Z">
        <w:r w:rsidRPr="00612824">
          <w:rPr>
            <w:i/>
            <w:sz w:val="22"/>
            <w:szCs w:val="22"/>
          </w:rPr>
          <w:delText>Malattia di Crohn in pazienti pediatrici</w:delText>
        </w:r>
      </w:del>
    </w:p>
    <w:p w:rsidR="00BB70B7" w:rsidRPr="00612824" w:rsidP="00BB70B7" w14:paraId="0D4D7D63" w14:textId="77777777">
      <w:pPr>
        <w:tabs>
          <w:tab w:val="left" w:pos="567"/>
        </w:tabs>
        <w:jc w:val="both"/>
        <w:rPr>
          <w:del w:id="4688" w:author="AbbVie14" w:date="2025-05-09T10:31:00Z"/>
          <w:sz w:val="22"/>
          <w:szCs w:val="22"/>
        </w:rPr>
      </w:pPr>
    </w:p>
    <w:p w:rsidR="00BB70B7" w:rsidRPr="00612824" w:rsidP="00BB70B7" w14:paraId="70CFF1FD" w14:textId="77777777">
      <w:pPr>
        <w:tabs>
          <w:tab w:val="left" w:pos="567"/>
        </w:tabs>
        <w:jc w:val="both"/>
        <w:rPr>
          <w:del w:id="4689" w:author="AbbVie14" w:date="2025-05-09T10:31:00Z"/>
          <w:sz w:val="22"/>
          <w:szCs w:val="22"/>
        </w:rPr>
      </w:pPr>
      <w:del w:id="4690" w:author="AbbVie14" w:date="2025-05-09T10:31:00Z">
        <w:r w:rsidRPr="00612824">
          <w:rPr>
            <w:sz w:val="22"/>
            <w:szCs w:val="22"/>
          </w:rPr>
          <w:delText>Humira è stato testato in uno studio clinico multicentrico, randomizzato, in doppio cieco disegnato per valutare l’efficacia e la sicurezza del trattamento di induzione e di mantenimento con dosi dipendenti dal peso corporeo (&lt; 40 kg o≥ 40 kg) in 192 soggetti pediatrici di età compresa tra 6 e 17 anni (inclusi), con la Malattia di Crohn (MC) di grado da moderato a severo definita da un punteggio dell’Indice di Attività della Malattia di Crohn Pediatrica (Paediatric Crohn's Disease Activity Index - PCDAI) &gt; 30. I soggetti dovevano aver fallito la terapia convenzionale (incluso un corticosteroide e/o un immunomodulatore) per MC. I soggetti, inoltre, potevano aver precedentemente perso la risposta o essere stati intolleranti ad infliximab.</w:delText>
        </w:r>
      </w:del>
    </w:p>
    <w:p w:rsidR="00BB70B7" w:rsidRPr="00612824" w:rsidP="00BB70B7" w14:paraId="74836B7F" w14:textId="77777777">
      <w:pPr>
        <w:tabs>
          <w:tab w:val="left" w:pos="567"/>
        </w:tabs>
        <w:jc w:val="both"/>
        <w:rPr>
          <w:del w:id="4691" w:author="AbbVie14" w:date="2025-05-09T10:31:00Z"/>
          <w:sz w:val="22"/>
          <w:szCs w:val="22"/>
        </w:rPr>
      </w:pPr>
    </w:p>
    <w:p w:rsidR="00BB70B7" w:rsidRPr="00612824" w:rsidP="00BB70B7" w14:paraId="70BFD940" w14:textId="77777777">
      <w:pPr>
        <w:tabs>
          <w:tab w:val="left" w:pos="567"/>
        </w:tabs>
        <w:jc w:val="both"/>
        <w:rPr>
          <w:del w:id="4692" w:author="AbbVie14" w:date="2025-05-09T10:31:00Z"/>
          <w:sz w:val="22"/>
          <w:szCs w:val="22"/>
        </w:rPr>
      </w:pPr>
      <w:del w:id="4693" w:author="AbbVie14" w:date="2025-05-09T10:31:00Z">
        <w:r w:rsidRPr="00612824">
          <w:rPr>
            <w:sz w:val="22"/>
            <w:szCs w:val="22"/>
          </w:rPr>
          <w:delText>Tutti i soggetti hanno ricevuto una terapia di induzione in aperto con una dose basata sul loro peso corporeo al basale: 160 mg alla settimana 0 e 80 mg alla settimana 2 per i soggetti con peso ≥ 40 kg, e rispettivamente, 80 mg e 40 mg per i soggetti con peso &lt; 40 kg.</w:delText>
        </w:r>
      </w:del>
    </w:p>
    <w:p w:rsidR="00BB70B7" w:rsidRPr="00612824" w:rsidP="00BB70B7" w14:paraId="0AFE5EAB" w14:textId="77777777">
      <w:pPr>
        <w:tabs>
          <w:tab w:val="left" w:pos="567"/>
        </w:tabs>
        <w:jc w:val="both"/>
        <w:rPr>
          <w:del w:id="4694" w:author="AbbVie14" w:date="2025-05-09T10:31:00Z"/>
          <w:sz w:val="22"/>
          <w:szCs w:val="22"/>
        </w:rPr>
      </w:pPr>
    </w:p>
    <w:p w:rsidR="00BB70B7" w:rsidRPr="00612824" w:rsidP="00BB70B7" w14:paraId="5B8287AF" w14:textId="77777777">
      <w:pPr>
        <w:tabs>
          <w:tab w:val="left" w:pos="567"/>
        </w:tabs>
        <w:jc w:val="both"/>
        <w:rPr>
          <w:del w:id="4695" w:author="AbbVie14" w:date="2025-05-09T10:31:00Z"/>
          <w:sz w:val="22"/>
          <w:szCs w:val="22"/>
        </w:rPr>
      </w:pPr>
      <w:del w:id="4696" w:author="AbbVie14" w:date="2025-05-09T10:31:00Z">
        <w:r w:rsidRPr="00612824">
          <w:rPr>
            <w:sz w:val="22"/>
            <w:szCs w:val="22"/>
          </w:rPr>
          <w:delText xml:space="preserve">Alla settimana 4, in base al loro peso corporeo i soggetti sono stati randomizzati 1:1 o nel regime di mantenimento a Bassa Dose o in quello a Dose Standard, come mostrato nella Tabella </w:delText>
        </w:r>
      </w:del>
      <w:del w:id="4697" w:author="AbbVie14" w:date="2025-05-09T10:31:00Z">
        <w:r w:rsidRPr="00612824" w:rsidR="006461E3">
          <w:rPr>
            <w:sz w:val="22"/>
            <w:szCs w:val="22"/>
          </w:rPr>
          <w:delText>23</w:delText>
        </w:r>
      </w:del>
      <w:del w:id="4698" w:author="AbbVie14" w:date="2025-05-09T10:31:00Z">
        <w:r w:rsidRPr="00612824">
          <w:rPr>
            <w:sz w:val="22"/>
            <w:szCs w:val="22"/>
          </w:rPr>
          <w:delText>.</w:delText>
        </w:r>
      </w:del>
    </w:p>
    <w:p w:rsidR="00BB70B7" w:rsidRPr="00612824" w:rsidP="00BB70B7" w14:paraId="399C1BF1" w14:textId="77777777">
      <w:pPr>
        <w:tabs>
          <w:tab w:val="left" w:pos="567"/>
        </w:tabs>
        <w:jc w:val="both"/>
        <w:rPr>
          <w:del w:id="4699" w:author="AbbVie14" w:date="2025-05-09T10:31:00Z"/>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9"/>
        <w:gridCol w:w="1842"/>
        <w:gridCol w:w="1913"/>
      </w:tblGrid>
      <w:tr w14:paraId="0A844CFC" w14:textId="77777777" w:rsidTr="00BB70B7">
        <w:tblPrEx>
          <w:tblW w:w="0" w:type="auto"/>
          <w:tblLook w:val="01E0"/>
        </w:tblPrEx>
        <w:trPr>
          <w:trHeight w:val="263"/>
          <w:del w:id="4700" w:author="AbbVie14" w:date="2025-05-09T10:31:00Z"/>
        </w:trPr>
        <w:tc>
          <w:tcPr>
            <w:tcW w:w="4894" w:type="dxa"/>
            <w:gridSpan w:val="3"/>
            <w:tcBorders>
              <w:top w:val="nil"/>
              <w:left w:val="nil"/>
              <w:right w:val="nil"/>
            </w:tcBorders>
          </w:tcPr>
          <w:p w:rsidR="00BB70B7" w:rsidRPr="00612824" w:rsidP="00BB70B7" w14:paraId="34E8BE73" w14:textId="77777777">
            <w:pPr>
              <w:pStyle w:val="EMEANormal"/>
              <w:keepNext/>
              <w:keepLines/>
              <w:jc w:val="center"/>
              <w:rPr>
                <w:del w:id="4701" w:author="AbbVie14" w:date="2025-05-09T10:31:00Z"/>
                <w:b/>
                <w:lang w:val="it-IT"/>
              </w:rPr>
            </w:pPr>
            <w:del w:id="4702" w:author="AbbVie14" w:date="2025-05-09T10:31:00Z">
              <w:r w:rsidRPr="00612824">
                <w:rPr>
                  <w:lang w:val="it-IT"/>
                </w:rPr>
                <w:br w:type="page"/>
              </w:r>
            </w:del>
            <w:del w:id="4703" w:author="AbbVie14" w:date="2025-05-09T10:31:00Z">
              <w:r w:rsidRPr="00612824">
                <w:rPr>
                  <w:b/>
                  <w:lang w:val="it-IT"/>
                </w:rPr>
                <w:delText xml:space="preserve">Tabella </w:delText>
              </w:r>
            </w:del>
            <w:del w:id="4704" w:author="AbbVie14" w:date="2025-05-09T10:31:00Z">
              <w:r w:rsidRPr="00612824" w:rsidR="006461E3">
                <w:rPr>
                  <w:b/>
                  <w:lang w:val="it-IT"/>
                </w:rPr>
                <w:delText>23</w:delText>
              </w:r>
            </w:del>
          </w:p>
          <w:p w:rsidR="00BB70B7" w:rsidRPr="00612824" w:rsidP="00BB70B7" w14:paraId="5FDF09B5" w14:textId="77777777">
            <w:pPr>
              <w:pStyle w:val="EMEANormal"/>
              <w:keepNext/>
              <w:keepLines/>
              <w:jc w:val="center"/>
              <w:rPr>
                <w:del w:id="4705" w:author="AbbVie14" w:date="2025-05-09T10:31:00Z"/>
                <w:lang w:val="it-IT"/>
              </w:rPr>
            </w:pPr>
            <w:del w:id="4706" w:author="AbbVie14" w:date="2025-05-09T10:31:00Z">
              <w:r w:rsidRPr="00612824">
                <w:rPr>
                  <w:b/>
                  <w:lang w:val="it-IT"/>
                </w:rPr>
                <w:delText>Regime di mantenimento</w:delText>
              </w:r>
            </w:del>
          </w:p>
        </w:tc>
      </w:tr>
      <w:tr w14:paraId="431C17A4" w14:textId="77777777" w:rsidTr="00BB70B7">
        <w:tblPrEx>
          <w:tblW w:w="0" w:type="auto"/>
          <w:tblLook w:val="01E0"/>
        </w:tblPrEx>
        <w:trPr>
          <w:del w:id="4707" w:author="AbbVie14" w:date="2025-05-09T10:31:00Z"/>
        </w:trPr>
        <w:tc>
          <w:tcPr>
            <w:tcW w:w="1139" w:type="dxa"/>
          </w:tcPr>
          <w:p w:rsidR="00BB70B7" w:rsidRPr="00612824" w:rsidP="00BB70B7" w14:paraId="108A0610" w14:textId="77777777">
            <w:pPr>
              <w:pStyle w:val="EMEANormal"/>
              <w:keepNext/>
              <w:keepLines/>
              <w:jc w:val="center"/>
              <w:rPr>
                <w:del w:id="4708" w:author="AbbVie14" w:date="2025-05-09T10:31:00Z"/>
                <w:b/>
                <w:lang w:val="it-IT"/>
              </w:rPr>
            </w:pPr>
            <w:del w:id="4709" w:author="AbbVie14" w:date="2025-05-09T10:31:00Z">
              <w:r w:rsidRPr="00612824">
                <w:rPr>
                  <w:b/>
                  <w:lang w:val="it-IT"/>
                </w:rPr>
                <w:delText>Peso del paziente</w:delText>
              </w:r>
            </w:del>
          </w:p>
        </w:tc>
        <w:tc>
          <w:tcPr>
            <w:tcW w:w="1842" w:type="dxa"/>
          </w:tcPr>
          <w:p w:rsidR="00BB70B7" w:rsidRPr="00612824" w:rsidP="00BB70B7" w14:paraId="1A17553A" w14:textId="77777777">
            <w:pPr>
              <w:pStyle w:val="EMEANormal"/>
              <w:keepNext/>
              <w:keepLines/>
              <w:jc w:val="center"/>
              <w:rPr>
                <w:del w:id="4710" w:author="AbbVie14" w:date="2025-05-09T10:31:00Z"/>
                <w:b/>
                <w:lang w:val="it-IT"/>
              </w:rPr>
            </w:pPr>
            <w:del w:id="4711" w:author="AbbVie14" w:date="2025-05-09T10:31:00Z">
              <w:r w:rsidRPr="00612824">
                <w:rPr>
                  <w:b/>
                  <w:lang w:val="it-IT"/>
                </w:rPr>
                <w:delText>Bassa dose</w:delText>
              </w:r>
            </w:del>
          </w:p>
        </w:tc>
        <w:tc>
          <w:tcPr>
            <w:tcW w:w="1913" w:type="dxa"/>
          </w:tcPr>
          <w:p w:rsidR="00BB70B7" w:rsidRPr="00612824" w:rsidP="00BB70B7" w14:paraId="0C2D5B81" w14:textId="77777777">
            <w:pPr>
              <w:pStyle w:val="EMEANormal"/>
              <w:keepNext/>
              <w:keepLines/>
              <w:jc w:val="center"/>
              <w:rPr>
                <w:del w:id="4712" w:author="AbbVie14" w:date="2025-05-09T10:31:00Z"/>
                <w:b/>
                <w:lang w:val="it-IT"/>
              </w:rPr>
            </w:pPr>
            <w:del w:id="4713" w:author="AbbVie14" w:date="2025-05-09T10:31:00Z">
              <w:r w:rsidRPr="00612824">
                <w:rPr>
                  <w:b/>
                  <w:lang w:val="it-IT"/>
                </w:rPr>
                <w:delText>Dose standard</w:delText>
              </w:r>
            </w:del>
          </w:p>
        </w:tc>
      </w:tr>
      <w:tr w14:paraId="108ABB34" w14:textId="77777777" w:rsidTr="00BB70B7">
        <w:tblPrEx>
          <w:tblW w:w="0" w:type="auto"/>
          <w:tblLook w:val="01E0"/>
        </w:tblPrEx>
        <w:trPr>
          <w:del w:id="4714" w:author="AbbVie14" w:date="2025-05-09T10:31:00Z"/>
        </w:trPr>
        <w:tc>
          <w:tcPr>
            <w:tcW w:w="1139" w:type="dxa"/>
          </w:tcPr>
          <w:p w:rsidR="00BB70B7" w:rsidRPr="00612824" w:rsidP="00BB70B7" w14:paraId="27C3B5C3" w14:textId="77777777">
            <w:pPr>
              <w:pStyle w:val="EMEANormal"/>
              <w:keepNext/>
              <w:keepLines/>
              <w:jc w:val="both"/>
              <w:rPr>
                <w:del w:id="4715" w:author="AbbVie14" w:date="2025-05-09T10:31:00Z"/>
                <w:lang w:val="it-IT"/>
              </w:rPr>
            </w:pPr>
            <w:del w:id="4716" w:author="AbbVie14" w:date="2025-05-09T10:31:00Z">
              <w:r w:rsidRPr="00612824">
                <w:rPr>
                  <w:lang w:val="it-IT"/>
                </w:rPr>
                <w:delText>&lt; 40 kg</w:delText>
              </w:r>
            </w:del>
          </w:p>
        </w:tc>
        <w:tc>
          <w:tcPr>
            <w:tcW w:w="1842" w:type="dxa"/>
          </w:tcPr>
          <w:p w:rsidR="00BB70B7" w:rsidRPr="00612824" w:rsidP="00BB70B7" w14:paraId="1A20C2BF" w14:textId="77777777">
            <w:pPr>
              <w:pStyle w:val="EMEANormal"/>
              <w:keepNext/>
              <w:keepLines/>
              <w:jc w:val="both"/>
              <w:rPr>
                <w:del w:id="4717" w:author="AbbVie14" w:date="2025-05-09T10:31:00Z"/>
                <w:lang w:val="it-IT"/>
              </w:rPr>
            </w:pPr>
            <w:del w:id="4718" w:author="AbbVie14" w:date="2025-05-09T10:31:00Z">
              <w:r w:rsidRPr="00612824">
                <w:rPr>
                  <w:lang w:val="it-IT"/>
                </w:rPr>
                <w:delText>10 mg a settimane alterne</w:delText>
              </w:r>
            </w:del>
          </w:p>
        </w:tc>
        <w:tc>
          <w:tcPr>
            <w:tcW w:w="1913" w:type="dxa"/>
          </w:tcPr>
          <w:p w:rsidR="00BB70B7" w:rsidRPr="00612824" w:rsidP="00BB70B7" w14:paraId="75DBE91C" w14:textId="77777777">
            <w:pPr>
              <w:pStyle w:val="EMEANormal"/>
              <w:keepNext/>
              <w:keepLines/>
              <w:jc w:val="both"/>
              <w:rPr>
                <w:del w:id="4719" w:author="AbbVie14" w:date="2025-05-09T10:31:00Z"/>
                <w:lang w:val="it-IT"/>
              </w:rPr>
            </w:pPr>
            <w:del w:id="4720" w:author="AbbVie14" w:date="2025-05-09T10:31:00Z">
              <w:r w:rsidRPr="00612824">
                <w:rPr>
                  <w:lang w:val="it-IT"/>
                </w:rPr>
                <w:delText>20 mg a settimane alterne</w:delText>
              </w:r>
            </w:del>
          </w:p>
        </w:tc>
      </w:tr>
      <w:tr w14:paraId="6165C19B" w14:textId="77777777" w:rsidTr="00BB70B7">
        <w:tblPrEx>
          <w:tblW w:w="0" w:type="auto"/>
          <w:tblLook w:val="01E0"/>
        </w:tblPrEx>
        <w:trPr>
          <w:del w:id="4721" w:author="AbbVie14" w:date="2025-05-09T10:31:00Z"/>
        </w:trPr>
        <w:tc>
          <w:tcPr>
            <w:tcW w:w="1139" w:type="dxa"/>
          </w:tcPr>
          <w:p w:rsidR="00BB70B7" w:rsidRPr="00612824" w:rsidP="00BB70B7" w14:paraId="353C8040" w14:textId="77777777">
            <w:pPr>
              <w:pStyle w:val="EMEANormal"/>
              <w:keepNext/>
              <w:keepLines/>
              <w:jc w:val="both"/>
              <w:rPr>
                <w:del w:id="4722" w:author="AbbVie14" w:date="2025-05-09T10:31:00Z"/>
                <w:lang w:val="it-IT"/>
              </w:rPr>
            </w:pPr>
            <w:del w:id="4723" w:author="AbbVie14" w:date="2025-05-09T10:31:00Z">
              <w:r w:rsidRPr="00612824">
                <w:rPr>
                  <w:lang w:val="it-IT"/>
                </w:rPr>
                <w:delText>≥ 40 kg</w:delText>
              </w:r>
            </w:del>
          </w:p>
        </w:tc>
        <w:tc>
          <w:tcPr>
            <w:tcW w:w="1842" w:type="dxa"/>
          </w:tcPr>
          <w:p w:rsidR="00BB70B7" w:rsidRPr="00612824" w:rsidP="00BB70B7" w14:paraId="6D10E03A" w14:textId="77777777">
            <w:pPr>
              <w:pStyle w:val="EMEANormal"/>
              <w:keepNext/>
              <w:keepLines/>
              <w:jc w:val="both"/>
              <w:rPr>
                <w:del w:id="4724" w:author="AbbVie14" w:date="2025-05-09T10:31:00Z"/>
                <w:lang w:val="it-IT"/>
              </w:rPr>
            </w:pPr>
            <w:del w:id="4725" w:author="AbbVie14" w:date="2025-05-09T10:31:00Z">
              <w:r w:rsidRPr="00612824">
                <w:rPr>
                  <w:lang w:val="it-IT"/>
                </w:rPr>
                <w:delText>20 mg a settimane alterne</w:delText>
              </w:r>
            </w:del>
          </w:p>
        </w:tc>
        <w:tc>
          <w:tcPr>
            <w:tcW w:w="1913" w:type="dxa"/>
          </w:tcPr>
          <w:p w:rsidR="00BB70B7" w:rsidRPr="00612824" w:rsidP="00BB70B7" w14:paraId="3B770E20" w14:textId="77777777">
            <w:pPr>
              <w:pStyle w:val="EMEANormal"/>
              <w:keepNext/>
              <w:keepLines/>
              <w:jc w:val="both"/>
              <w:rPr>
                <w:del w:id="4726" w:author="AbbVie14" w:date="2025-05-09T10:31:00Z"/>
                <w:lang w:val="it-IT"/>
              </w:rPr>
            </w:pPr>
            <w:del w:id="4727" w:author="AbbVie14" w:date="2025-05-09T10:31:00Z">
              <w:r w:rsidRPr="00612824">
                <w:rPr>
                  <w:lang w:val="it-IT"/>
                </w:rPr>
                <w:delText>40 mg a settimane alterne</w:delText>
              </w:r>
            </w:del>
          </w:p>
        </w:tc>
      </w:tr>
    </w:tbl>
    <w:p w:rsidR="00BB70B7" w:rsidRPr="00612824" w:rsidP="00BB70B7" w14:paraId="17C14B4D" w14:textId="77777777">
      <w:pPr>
        <w:tabs>
          <w:tab w:val="left" w:pos="567"/>
        </w:tabs>
        <w:jc w:val="both"/>
        <w:rPr>
          <w:del w:id="4728" w:author="AbbVie14" w:date="2025-05-09T10:31:00Z"/>
          <w:sz w:val="22"/>
          <w:szCs w:val="22"/>
        </w:rPr>
      </w:pPr>
    </w:p>
    <w:p w:rsidR="00BB70B7" w:rsidRPr="00612824" w:rsidP="00BB70B7" w14:paraId="6D728357" w14:textId="77777777">
      <w:pPr>
        <w:keepNext/>
        <w:keepLines/>
        <w:rPr>
          <w:del w:id="4729" w:author="AbbVie14" w:date="2025-05-09T10:31:00Z"/>
          <w:i/>
          <w:sz w:val="22"/>
          <w:szCs w:val="22"/>
          <w:u w:val="single"/>
        </w:rPr>
      </w:pPr>
      <w:del w:id="4730" w:author="AbbVie14" w:date="2025-05-09T10:31:00Z">
        <w:r w:rsidRPr="00612824">
          <w:rPr>
            <w:i/>
            <w:sz w:val="22"/>
            <w:szCs w:val="22"/>
            <w:u w:val="single"/>
          </w:rPr>
          <w:delText>Risultati di efficacia</w:delText>
        </w:r>
      </w:del>
    </w:p>
    <w:p w:rsidR="00BB70B7" w:rsidRPr="00612824" w:rsidP="00BB70B7" w14:paraId="5D258D8D" w14:textId="77777777">
      <w:pPr>
        <w:keepNext/>
        <w:keepLines/>
        <w:tabs>
          <w:tab w:val="left" w:pos="567"/>
        </w:tabs>
        <w:jc w:val="both"/>
        <w:rPr>
          <w:del w:id="4731" w:author="AbbVie14" w:date="2025-05-09T10:31:00Z"/>
          <w:sz w:val="22"/>
          <w:szCs w:val="22"/>
        </w:rPr>
      </w:pPr>
    </w:p>
    <w:p w:rsidR="00BB70B7" w:rsidRPr="00612824" w:rsidP="00BB70B7" w14:paraId="04B43843" w14:textId="77777777">
      <w:pPr>
        <w:keepNext/>
        <w:keepLines/>
        <w:tabs>
          <w:tab w:val="left" w:pos="567"/>
        </w:tabs>
        <w:jc w:val="both"/>
        <w:rPr>
          <w:del w:id="4732" w:author="AbbVie14" w:date="2025-05-09T10:31:00Z"/>
          <w:sz w:val="22"/>
          <w:szCs w:val="22"/>
        </w:rPr>
      </w:pPr>
      <w:del w:id="4733" w:author="AbbVie14" w:date="2025-05-09T10:31:00Z">
        <w:r w:rsidRPr="00612824">
          <w:rPr>
            <w:sz w:val="22"/>
            <w:szCs w:val="22"/>
          </w:rPr>
          <w:delText>L’endpoint primario dello studio è stato la remissione clinica alla settimana 26, definita da un punteggio PCDAI </w:delText>
        </w:r>
      </w:del>
      <w:del w:id="4734" w:author="AbbVie14" w:date="2025-05-09T10:31:00Z">
        <w:r w:rsidRPr="00612824">
          <w:rPr>
            <w:rFonts w:ascii="Symbol" w:hAnsi="Symbol"/>
          </w:rPr>
          <w:sym w:font="Symbol" w:char="F0A3"/>
        </w:r>
      </w:del>
      <w:del w:id="4735" w:author="AbbVie14" w:date="2025-05-09T10:31:00Z">
        <w:r w:rsidRPr="00612824">
          <w:rPr>
            <w:szCs w:val="22"/>
          </w:rPr>
          <w:delText> </w:delText>
        </w:r>
      </w:del>
      <w:del w:id="4736" w:author="AbbVie14" w:date="2025-05-09T10:31:00Z">
        <w:r w:rsidRPr="00612824">
          <w:rPr>
            <w:sz w:val="22"/>
            <w:szCs w:val="22"/>
          </w:rPr>
          <w:delText>10.</w:delText>
        </w:r>
      </w:del>
    </w:p>
    <w:p w:rsidR="00BB70B7" w:rsidRPr="00612824" w:rsidP="00BB70B7" w14:paraId="10DF143F" w14:textId="77777777">
      <w:pPr>
        <w:tabs>
          <w:tab w:val="left" w:pos="567"/>
        </w:tabs>
        <w:jc w:val="both"/>
        <w:rPr>
          <w:del w:id="4737" w:author="AbbVie14" w:date="2025-05-09T10:31:00Z"/>
          <w:sz w:val="22"/>
          <w:szCs w:val="22"/>
        </w:rPr>
      </w:pPr>
    </w:p>
    <w:p w:rsidR="00BB70B7" w:rsidRPr="00612824" w:rsidP="00BB70B7" w14:paraId="59186750" w14:textId="77777777">
      <w:pPr>
        <w:tabs>
          <w:tab w:val="left" w:pos="567"/>
        </w:tabs>
        <w:jc w:val="both"/>
        <w:rPr>
          <w:del w:id="4738" w:author="AbbVie14" w:date="2025-05-09T10:31:00Z"/>
          <w:sz w:val="22"/>
          <w:szCs w:val="22"/>
        </w:rPr>
      </w:pPr>
      <w:del w:id="4739" w:author="AbbVie14" w:date="2025-05-09T10:31:00Z">
        <w:r w:rsidRPr="00612824">
          <w:rPr>
            <w:sz w:val="22"/>
            <w:szCs w:val="22"/>
          </w:rPr>
          <w:delText>Le percentuali di remissione clinica e di risposta clinica (definite come riduzione del punteggio PCDAI di almeno 15 punti dal basale) sono riportate nella Tabella 2</w:delText>
        </w:r>
      </w:del>
      <w:del w:id="4740" w:author="AbbVie14" w:date="2025-05-09T10:31:00Z">
        <w:r w:rsidRPr="00612824" w:rsidR="006461E3">
          <w:rPr>
            <w:sz w:val="22"/>
            <w:szCs w:val="22"/>
          </w:rPr>
          <w:delText>4</w:delText>
        </w:r>
      </w:del>
      <w:del w:id="4741" w:author="AbbVie14" w:date="2025-05-09T10:31:00Z">
        <w:r w:rsidRPr="00612824">
          <w:rPr>
            <w:sz w:val="22"/>
            <w:szCs w:val="22"/>
          </w:rPr>
          <w:delText>. Le percentuali di interruzione dei corticosteroidi o degli immunomodulatori sono riportate nella Tabella 2</w:delText>
        </w:r>
      </w:del>
      <w:del w:id="4742" w:author="AbbVie14" w:date="2025-05-09T10:31:00Z">
        <w:r w:rsidRPr="00612824" w:rsidR="006461E3">
          <w:rPr>
            <w:sz w:val="22"/>
            <w:szCs w:val="22"/>
          </w:rPr>
          <w:delText>5</w:delText>
        </w:r>
      </w:del>
      <w:del w:id="4743" w:author="AbbVie14" w:date="2025-05-09T10:31:00Z">
        <w:r w:rsidRPr="00612824">
          <w:rPr>
            <w:sz w:val="22"/>
            <w:szCs w:val="22"/>
          </w:rPr>
          <w:delText>.</w:delText>
        </w:r>
      </w:del>
    </w:p>
    <w:p w:rsidR="00BB70B7" w:rsidRPr="00612824" w:rsidP="00BB70B7" w14:paraId="18404B45" w14:textId="77777777">
      <w:pPr>
        <w:tabs>
          <w:tab w:val="left" w:pos="567"/>
        </w:tabs>
        <w:jc w:val="both"/>
        <w:rPr>
          <w:del w:id="4744" w:author="AbbVie14" w:date="2025-05-09T10:31:00Z"/>
          <w:sz w:val="22"/>
          <w:szCs w:val="22"/>
        </w:rPr>
      </w:pPr>
    </w:p>
    <w:tbl>
      <w:tblPr>
        <w:tblW w:w="0" w:type="auto"/>
        <w:jc w:val="center"/>
        <w:tblCellMar>
          <w:left w:w="0" w:type="dxa"/>
          <w:right w:w="0" w:type="dxa"/>
        </w:tblCellMar>
        <w:tblLook w:val="00A0"/>
      </w:tblPr>
      <w:tblGrid>
        <w:gridCol w:w="2321"/>
        <w:gridCol w:w="1614"/>
        <w:gridCol w:w="1998"/>
        <w:gridCol w:w="1147"/>
      </w:tblGrid>
      <w:tr w14:paraId="5C3CF627" w14:textId="77777777" w:rsidTr="00BB70B7">
        <w:tblPrEx>
          <w:tblW w:w="0" w:type="auto"/>
          <w:tblLook w:val="00A0"/>
        </w:tblPrEx>
        <w:trPr>
          <w:del w:id="4745" w:author="AbbVie14" w:date="2025-05-09T10:31:00Z"/>
        </w:trPr>
        <w:tc>
          <w:tcPr>
            <w:tcW w:w="6673" w:type="dxa"/>
            <w:gridSpan w:val="4"/>
            <w:tcBorders>
              <w:top w:val="single" w:sz="6" w:space="0" w:color="000000"/>
              <w:left w:val="single" w:sz="6" w:space="0" w:color="000000"/>
              <w:bottom w:val="single" w:sz="6" w:space="0" w:color="000000"/>
              <w:right w:val="single" w:sz="6" w:space="0" w:color="000000"/>
            </w:tcBorders>
          </w:tcPr>
          <w:p w:rsidR="00BB70B7" w:rsidRPr="00612824" w:rsidP="00BB70B7" w14:paraId="75945C6C" w14:textId="77777777">
            <w:pPr>
              <w:tabs>
                <w:tab w:val="left" w:pos="-878"/>
              </w:tabs>
              <w:autoSpaceDE w:val="0"/>
              <w:autoSpaceDN w:val="0"/>
              <w:adjustRightInd w:val="0"/>
              <w:ind w:left="15"/>
              <w:jc w:val="center"/>
              <w:rPr>
                <w:del w:id="4746" w:author="AbbVie14" w:date="2025-05-09T10:31:00Z"/>
                <w:b/>
                <w:bCs/>
                <w:sz w:val="22"/>
                <w:szCs w:val="22"/>
              </w:rPr>
            </w:pPr>
            <w:del w:id="4747" w:author="AbbVie14" w:date="2025-05-09T10:31:00Z">
              <w:r w:rsidRPr="00612824">
                <w:rPr>
                  <w:b/>
                  <w:bCs/>
                  <w:sz w:val="22"/>
                  <w:szCs w:val="22"/>
                </w:rPr>
                <w:delText>Tabella 2</w:delText>
              </w:r>
            </w:del>
            <w:del w:id="4748" w:author="AbbVie14" w:date="2025-05-09T10:31:00Z">
              <w:r w:rsidRPr="00612824" w:rsidR="006461E3">
                <w:rPr>
                  <w:b/>
                  <w:bCs/>
                  <w:sz w:val="22"/>
                  <w:szCs w:val="22"/>
                </w:rPr>
                <w:delText>4</w:delText>
              </w:r>
            </w:del>
          </w:p>
          <w:p w:rsidR="00BB70B7" w:rsidRPr="00612824" w:rsidP="00BB70B7" w14:paraId="57AA8A94" w14:textId="77777777">
            <w:pPr>
              <w:tabs>
                <w:tab w:val="left" w:pos="-878"/>
              </w:tabs>
              <w:autoSpaceDE w:val="0"/>
              <w:autoSpaceDN w:val="0"/>
              <w:adjustRightInd w:val="0"/>
              <w:ind w:left="15"/>
              <w:jc w:val="center"/>
              <w:rPr>
                <w:del w:id="4749" w:author="AbbVie14" w:date="2025-05-09T10:31:00Z"/>
                <w:b/>
                <w:bCs/>
                <w:sz w:val="22"/>
                <w:szCs w:val="22"/>
              </w:rPr>
            </w:pPr>
            <w:del w:id="4750" w:author="AbbVie14" w:date="2025-05-09T10:31:00Z">
              <w:r w:rsidRPr="00612824">
                <w:rPr>
                  <w:b/>
                  <w:bCs/>
                  <w:sz w:val="22"/>
                  <w:szCs w:val="22"/>
                </w:rPr>
                <w:delText>Studio della Malattia di Crohn Pediatrica</w:delText>
              </w:r>
            </w:del>
          </w:p>
          <w:p w:rsidR="00BB70B7" w:rsidRPr="00612824" w:rsidP="00BB70B7" w14:paraId="4493269C" w14:textId="77777777">
            <w:pPr>
              <w:tabs>
                <w:tab w:val="left" w:pos="-878"/>
              </w:tabs>
              <w:autoSpaceDE w:val="0"/>
              <w:autoSpaceDN w:val="0"/>
              <w:adjustRightInd w:val="0"/>
              <w:ind w:left="15"/>
              <w:jc w:val="center"/>
              <w:rPr>
                <w:del w:id="4751" w:author="AbbVie14" w:date="2025-05-09T10:31:00Z"/>
                <w:b/>
                <w:bCs/>
                <w:sz w:val="22"/>
                <w:szCs w:val="22"/>
              </w:rPr>
            </w:pPr>
            <w:del w:id="4752" w:author="AbbVie14" w:date="2025-05-09T10:31:00Z">
              <w:r w:rsidRPr="00612824">
                <w:rPr>
                  <w:b/>
                  <w:bCs/>
                  <w:sz w:val="22"/>
                  <w:szCs w:val="22"/>
                </w:rPr>
                <w:delText>PCDAI di Remissione Clinica e di Risposta</w:delText>
              </w:r>
            </w:del>
          </w:p>
        </w:tc>
      </w:tr>
      <w:tr w14:paraId="713EBA57" w14:textId="77777777" w:rsidTr="00BB70B7">
        <w:tblPrEx>
          <w:tblW w:w="0" w:type="auto"/>
          <w:tblLook w:val="00A0"/>
        </w:tblPrEx>
        <w:trPr>
          <w:del w:id="4753" w:author="AbbVie14" w:date="2025-05-09T10:31:00Z"/>
        </w:trPr>
        <w:tc>
          <w:tcPr>
            <w:tcW w:w="2321" w:type="dxa"/>
            <w:tcBorders>
              <w:top w:val="single" w:sz="6" w:space="0" w:color="000000"/>
              <w:left w:val="single" w:sz="6" w:space="0" w:color="000000"/>
              <w:bottom w:val="single" w:sz="6" w:space="0" w:color="000000"/>
              <w:right w:val="single" w:sz="6" w:space="0" w:color="000000"/>
            </w:tcBorders>
          </w:tcPr>
          <w:p w:rsidR="00BB70B7" w:rsidRPr="00612824" w:rsidP="00BB70B7" w14:paraId="29BC1AF3" w14:textId="77777777">
            <w:pPr>
              <w:tabs>
                <w:tab w:val="left" w:pos="-1080"/>
              </w:tabs>
              <w:autoSpaceDE w:val="0"/>
              <w:autoSpaceDN w:val="0"/>
              <w:adjustRightInd w:val="0"/>
              <w:ind w:left="15"/>
              <w:jc w:val="center"/>
              <w:rPr>
                <w:del w:id="4754" w:author="AbbVie14" w:date="2025-05-09T10:31:00Z"/>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rsidR="00BB70B7" w:rsidRPr="00612824" w:rsidP="00BB70B7" w14:paraId="30629B85" w14:textId="77777777">
            <w:pPr>
              <w:tabs>
                <w:tab w:val="left" w:pos="-1080"/>
              </w:tabs>
              <w:autoSpaceDE w:val="0"/>
              <w:autoSpaceDN w:val="0"/>
              <w:adjustRightInd w:val="0"/>
              <w:ind w:left="15"/>
              <w:jc w:val="center"/>
              <w:rPr>
                <w:del w:id="4755" w:author="AbbVie14" w:date="2025-05-09T10:31:00Z"/>
                <w:b/>
                <w:bCs/>
                <w:sz w:val="22"/>
                <w:szCs w:val="22"/>
              </w:rPr>
            </w:pPr>
            <w:del w:id="4756" w:author="AbbVie14" w:date="2025-05-09T10:31:00Z">
              <w:r w:rsidRPr="00612824">
                <w:rPr>
                  <w:b/>
                  <w:bCs/>
                  <w:sz w:val="22"/>
                  <w:szCs w:val="22"/>
                </w:rPr>
                <w:delText>Dose standard</w:delText>
              </w:r>
            </w:del>
          </w:p>
          <w:p w:rsidR="00BB70B7" w:rsidRPr="00612824" w:rsidP="00BB70B7" w14:paraId="51F4FC7B" w14:textId="77777777">
            <w:pPr>
              <w:tabs>
                <w:tab w:val="left" w:pos="-1080"/>
              </w:tabs>
              <w:autoSpaceDE w:val="0"/>
              <w:autoSpaceDN w:val="0"/>
              <w:adjustRightInd w:val="0"/>
              <w:ind w:left="15"/>
              <w:jc w:val="center"/>
              <w:rPr>
                <w:del w:id="4757" w:author="AbbVie14" w:date="2025-05-09T10:31:00Z"/>
                <w:b/>
                <w:bCs/>
                <w:sz w:val="22"/>
                <w:szCs w:val="22"/>
              </w:rPr>
            </w:pPr>
            <w:del w:id="4758" w:author="AbbVie14" w:date="2025-05-09T10:31:00Z">
              <w:r w:rsidRPr="00612824">
                <w:rPr>
                  <w:b/>
                  <w:bCs/>
                  <w:sz w:val="22"/>
                  <w:szCs w:val="22"/>
                </w:rPr>
                <w:delText>40/20 mg a settimane alterne</w:delText>
              </w:r>
            </w:del>
          </w:p>
          <w:p w:rsidR="00BB70B7" w:rsidRPr="00612824" w:rsidP="00BB70B7" w14:paraId="3E86D93E" w14:textId="77777777">
            <w:pPr>
              <w:tabs>
                <w:tab w:val="left" w:pos="-1080"/>
              </w:tabs>
              <w:autoSpaceDE w:val="0"/>
              <w:autoSpaceDN w:val="0"/>
              <w:adjustRightInd w:val="0"/>
              <w:ind w:left="15"/>
              <w:jc w:val="center"/>
              <w:rPr>
                <w:del w:id="4759" w:author="AbbVie14" w:date="2025-05-09T10:31:00Z"/>
                <w:b/>
                <w:sz w:val="22"/>
                <w:szCs w:val="22"/>
              </w:rPr>
            </w:pPr>
            <w:del w:id="4760" w:author="AbbVie14" w:date="2025-05-09T10:31:00Z">
              <w:r w:rsidRPr="00612824">
                <w:rPr>
                  <w:b/>
                  <w:sz w:val="22"/>
                  <w:szCs w:val="22"/>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rsidR="00BB70B7" w:rsidRPr="00612824" w:rsidP="00BB70B7" w14:paraId="56490234" w14:textId="77777777">
            <w:pPr>
              <w:tabs>
                <w:tab w:val="left" w:pos="-1080"/>
              </w:tabs>
              <w:autoSpaceDE w:val="0"/>
              <w:autoSpaceDN w:val="0"/>
              <w:adjustRightInd w:val="0"/>
              <w:ind w:left="15"/>
              <w:jc w:val="center"/>
              <w:rPr>
                <w:del w:id="4761" w:author="AbbVie14" w:date="2025-05-09T10:31:00Z"/>
                <w:b/>
                <w:bCs/>
                <w:sz w:val="22"/>
                <w:szCs w:val="22"/>
              </w:rPr>
            </w:pPr>
            <w:del w:id="4762" w:author="AbbVie14" w:date="2025-05-09T10:31:00Z">
              <w:r w:rsidRPr="00612824">
                <w:rPr>
                  <w:b/>
                  <w:bCs/>
                  <w:sz w:val="22"/>
                  <w:szCs w:val="22"/>
                </w:rPr>
                <w:delText>Bassadose20/10 mg a settimane alterne</w:delText>
              </w:r>
            </w:del>
          </w:p>
          <w:p w:rsidR="00BB70B7" w:rsidRPr="00612824" w:rsidP="00BB70B7" w14:paraId="49E66732" w14:textId="77777777">
            <w:pPr>
              <w:tabs>
                <w:tab w:val="left" w:pos="-1080"/>
              </w:tabs>
              <w:autoSpaceDE w:val="0"/>
              <w:autoSpaceDN w:val="0"/>
              <w:adjustRightInd w:val="0"/>
              <w:ind w:left="15"/>
              <w:jc w:val="center"/>
              <w:rPr>
                <w:del w:id="4763" w:author="AbbVie14" w:date="2025-05-09T10:31:00Z"/>
                <w:b/>
                <w:sz w:val="22"/>
                <w:szCs w:val="22"/>
              </w:rPr>
            </w:pPr>
            <w:del w:id="4764" w:author="AbbVie14" w:date="2025-05-09T10:31:00Z">
              <w:r w:rsidRPr="00612824">
                <w:rPr>
                  <w:b/>
                  <w:sz w:val="22"/>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rsidR="00BB70B7" w:rsidRPr="00612824" w:rsidP="00BB70B7" w14:paraId="2711CEFE" w14:textId="77777777">
            <w:pPr>
              <w:tabs>
                <w:tab w:val="left" w:pos="-1080"/>
              </w:tabs>
              <w:autoSpaceDE w:val="0"/>
              <w:autoSpaceDN w:val="0"/>
              <w:adjustRightInd w:val="0"/>
              <w:ind w:left="15"/>
              <w:jc w:val="center"/>
              <w:rPr>
                <w:del w:id="4765" w:author="AbbVie14" w:date="2025-05-09T10:31:00Z"/>
                <w:sz w:val="22"/>
                <w:szCs w:val="22"/>
              </w:rPr>
            </w:pPr>
            <w:del w:id="4766" w:author="AbbVie14" w:date="2025-05-09T10:31:00Z">
              <w:r w:rsidRPr="00612824">
                <w:rPr>
                  <w:b/>
                  <w:bCs/>
                  <w:sz w:val="22"/>
                  <w:szCs w:val="22"/>
                </w:rPr>
                <w:delText xml:space="preserve">valore P </w:delText>
              </w:r>
            </w:del>
            <w:del w:id="4767" w:author="AbbVie14" w:date="2025-05-09T10:31:00Z">
              <w:r w:rsidRPr="00612824">
                <w:rPr>
                  <w:sz w:val="22"/>
                  <w:szCs w:val="22"/>
                </w:rPr>
                <w:delText>*</w:delText>
              </w:r>
            </w:del>
          </w:p>
        </w:tc>
      </w:tr>
      <w:tr w14:paraId="76C94C42" w14:textId="77777777" w:rsidTr="00BB70B7">
        <w:tblPrEx>
          <w:tblW w:w="0" w:type="auto"/>
          <w:tblLook w:val="00A0"/>
        </w:tblPrEx>
        <w:trPr>
          <w:del w:id="4768" w:author="AbbVie14" w:date="2025-05-09T10:31:00Z"/>
        </w:trPr>
        <w:tc>
          <w:tcPr>
            <w:tcW w:w="2321"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0E7F942B" w14:textId="77777777">
            <w:pPr>
              <w:tabs>
                <w:tab w:val="left" w:pos="-1080"/>
              </w:tabs>
              <w:autoSpaceDE w:val="0"/>
              <w:autoSpaceDN w:val="0"/>
              <w:adjustRightInd w:val="0"/>
              <w:ind w:left="15"/>
              <w:jc w:val="center"/>
              <w:rPr>
                <w:del w:id="4769" w:author="AbbVie14" w:date="2025-05-09T10:31:00Z"/>
                <w:b/>
                <w:bCs/>
                <w:sz w:val="22"/>
                <w:szCs w:val="22"/>
              </w:rPr>
            </w:pPr>
            <w:del w:id="4770" w:author="AbbVie14" w:date="2025-05-09T10:31:00Z">
              <w:r w:rsidRPr="00612824">
                <w:rPr>
                  <w:b/>
                  <w:bCs/>
                  <w:sz w:val="22"/>
                  <w:szCs w:val="22"/>
                </w:rPr>
                <w:delText>Settimana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4F63F323" w14:textId="77777777">
            <w:pPr>
              <w:tabs>
                <w:tab w:val="left" w:pos="-1080"/>
              </w:tabs>
              <w:autoSpaceDE w:val="0"/>
              <w:autoSpaceDN w:val="0"/>
              <w:adjustRightInd w:val="0"/>
              <w:ind w:left="15"/>
              <w:jc w:val="center"/>
              <w:rPr>
                <w:del w:id="4771" w:author="AbbVie14" w:date="2025-05-09T10:31:00Z"/>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4873646D" w14:textId="77777777">
            <w:pPr>
              <w:tabs>
                <w:tab w:val="left" w:pos="-1080"/>
              </w:tabs>
              <w:autoSpaceDE w:val="0"/>
              <w:autoSpaceDN w:val="0"/>
              <w:adjustRightInd w:val="0"/>
              <w:ind w:left="15"/>
              <w:jc w:val="center"/>
              <w:rPr>
                <w:del w:id="4772" w:author="AbbVie14" w:date="2025-05-09T10:31:00Z"/>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0DE073DB" w14:textId="77777777">
            <w:pPr>
              <w:autoSpaceDE w:val="0"/>
              <w:autoSpaceDN w:val="0"/>
              <w:adjustRightInd w:val="0"/>
              <w:ind w:left="15"/>
              <w:jc w:val="center"/>
              <w:rPr>
                <w:del w:id="4773" w:author="AbbVie14" w:date="2025-05-09T10:31:00Z"/>
                <w:b/>
                <w:bCs/>
                <w:sz w:val="22"/>
                <w:szCs w:val="22"/>
              </w:rPr>
            </w:pPr>
          </w:p>
        </w:tc>
      </w:tr>
      <w:tr w14:paraId="7D2B0E41" w14:textId="77777777" w:rsidTr="00BB70B7">
        <w:tblPrEx>
          <w:tblW w:w="0" w:type="auto"/>
          <w:tblLook w:val="00A0"/>
        </w:tblPrEx>
        <w:trPr>
          <w:del w:id="4774" w:author="AbbVie14" w:date="2025-05-09T10:31:00Z"/>
        </w:trPr>
        <w:tc>
          <w:tcPr>
            <w:tcW w:w="2321"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237F668E" w14:textId="77777777">
            <w:pPr>
              <w:tabs>
                <w:tab w:val="left" w:pos="-1080"/>
              </w:tabs>
              <w:autoSpaceDE w:val="0"/>
              <w:autoSpaceDN w:val="0"/>
              <w:adjustRightInd w:val="0"/>
              <w:ind w:left="15"/>
              <w:jc w:val="both"/>
              <w:rPr>
                <w:del w:id="4775" w:author="AbbVie14" w:date="2025-05-09T10:31:00Z"/>
                <w:sz w:val="22"/>
                <w:szCs w:val="22"/>
              </w:rPr>
            </w:pPr>
            <w:del w:id="4776" w:author="AbbVie14" w:date="2025-05-09T10:31:00Z">
              <w:r w:rsidRPr="00612824">
                <w:rPr>
                  <w:sz w:val="22"/>
                  <w:szCs w:val="22"/>
                </w:rPr>
                <w:delText xml:space="preserve">   Remissione clinica </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698E22AF" w14:textId="77777777">
            <w:pPr>
              <w:tabs>
                <w:tab w:val="left" w:pos="-1080"/>
              </w:tabs>
              <w:autoSpaceDE w:val="0"/>
              <w:autoSpaceDN w:val="0"/>
              <w:adjustRightInd w:val="0"/>
              <w:ind w:left="15"/>
              <w:jc w:val="both"/>
              <w:rPr>
                <w:del w:id="4777" w:author="AbbVie14" w:date="2025-05-09T10:31:00Z"/>
                <w:sz w:val="22"/>
                <w:szCs w:val="22"/>
              </w:rPr>
            </w:pPr>
            <w:del w:id="4778" w:author="AbbVie14" w:date="2025-05-09T10:31:00Z">
              <w:r w:rsidRPr="00612824">
                <w:rPr>
                  <w:sz w:val="22"/>
                  <w:szCs w:val="22"/>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0CD59042" w14:textId="77777777">
            <w:pPr>
              <w:tabs>
                <w:tab w:val="left" w:pos="-1080"/>
              </w:tabs>
              <w:autoSpaceDE w:val="0"/>
              <w:autoSpaceDN w:val="0"/>
              <w:adjustRightInd w:val="0"/>
              <w:ind w:left="15"/>
              <w:jc w:val="both"/>
              <w:rPr>
                <w:del w:id="4779" w:author="AbbVie14" w:date="2025-05-09T10:31:00Z"/>
                <w:sz w:val="22"/>
                <w:szCs w:val="22"/>
              </w:rPr>
            </w:pPr>
            <w:del w:id="4780" w:author="AbbVie14" w:date="2025-05-09T10:31:00Z">
              <w:r w:rsidRPr="00612824">
                <w:rPr>
                  <w:sz w:val="22"/>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780BF10A" w14:textId="77777777">
            <w:pPr>
              <w:tabs>
                <w:tab w:val="left" w:pos="-1080"/>
              </w:tabs>
              <w:autoSpaceDE w:val="0"/>
              <w:autoSpaceDN w:val="0"/>
              <w:adjustRightInd w:val="0"/>
              <w:ind w:left="15"/>
              <w:jc w:val="both"/>
              <w:rPr>
                <w:del w:id="4781" w:author="AbbVie14" w:date="2025-05-09T10:31:00Z"/>
                <w:sz w:val="22"/>
                <w:szCs w:val="22"/>
              </w:rPr>
            </w:pPr>
            <w:del w:id="4782" w:author="AbbVie14" w:date="2025-05-09T10:31:00Z">
              <w:r w:rsidRPr="00612824">
                <w:rPr>
                  <w:sz w:val="22"/>
                  <w:szCs w:val="22"/>
                </w:rPr>
                <w:delText>0,075</w:delText>
              </w:r>
            </w:del>
          </w:p>
        </w:tc>
      </w:tr>
      <w:tr w14:paraId="49835F2D" w14:textId="77777777" w:rsidTr="00BB70B7">
        <w:tblPrEx>
          <w:tblW w:w="0" w:type="auto"/>
          <w:tblLook w:val="00A0"/>
        </w:tblPrEx>
        <w:trPr>
          <w:del w:id="4783" w:author="AbbVie14" w:date="2025-05-09T10:31:00Z"/>
        </w:trPr>
        <w:tc>
          <w:tcPr>
            <w:tcW w:w="2321" w:type="dxa"/>
            <w:tcBorders>
              <w:top w:val="single" w:sz="6" w:space="0" w:color="000000"/>
              <w:left w:val="single" w:sz="6" w:space="0" w:color="000000"/>
              <w:bottom w:val="single" w:sz="6" w:space="0" w:color="000000"/>
              <w:right w:val="single" w:sz="6" w:space="0" w:color="000000"/>
            </w:tcBorders>
          </w:tcPr>
          <w:p w:rsidR="00BB70B7" w:rsidRPr="00612824" w:rsidP="00BB70B7" w14:paraId="77CEDD1B" w14:textId="77777777">
            <w:pPr>
              <w:tabs>
                <w:tab w:val="left" w:pos="-1080"/>
              </w:tabs>
              <w:autoSpaceDE w:val="0"/>
              <w:autoSpaceDN w:val="0"/>
              <w:adjustRightInd w:val="0"/>
              <w:ind w:left="15"/>
              <w:jc w:val="both"/>
              <w:rPr>
                <w:del w:id="4784" w:author="AbbVie14" w:date="2025-05-09T10:31:00Z"/>
                <w:sz w:val="22"/>
                <w:szCs w:val="22"/>
              </w:rPr>
            </w:pPr>
            <w:del w:id="4785" w:author="AbbVie14" w:date="2025-05-09T10:31:00Z">
              <w:r w:rsidRPr="00612824">
                <w:rPr>
                  <w:sz w:val="22"/>
                  <w:szCs w:val="22"/>
                </w:rPr>
                <w:delText xml:space="preserve">   Risposta clinica</w:delText>
              </w:r>
            </w:del>
          </w:p>
        </w:tc>
        <w:tc>
          <w:tcPr>
            <w:tcW w:w="1614" w:type="dxa"/>
            <w:tcBorders>
              <w:top w:val="single" w:sz="6" w:space="0" w:color="000000"/>
              <w:left w:val="single" w:sz="6" w:space="0" w:color="000000"/>
              <w:bottom w:val="single" w:sz="6" w:space="0" w:color="000000"/>
              <w:right w:val="single" w:sz="6" w:space="0" w:color="000000"/>
            </w:tcBorders>
          </w:tcPr>
          <w:p w:rsidR="00BB70B7" w:rsidRPr="00612824" w:rsidP="00BB70B7" w14:paraId="56053AA3" w14:textId="77777777">
            <w:pPr>
              <w:tabs>
                <w:tab w:val="left" w:pos="-1080"/>
              </w:tabs>
              <w:autoSpaceDE w:val="0"/>
              <w:autoSpaceDN w:val="0"/>
              <w:adjustRightInd w:val="0"/>
              <w:ind w:left="15"/>
              <w:jc w:val="both"/>
              <w:rPr>
                <w:del w:id="4786" w:author="AbbVie14" w:date="2025-05-09T10:31:00Z"/>
                <w:sz w:val="22"/>
                <w:szCs w:val="22"/>
              </w:rPr>
            </w:pPr>
            <w:del w:id="4787" w:author="AbbVie14" w:date="2025-05-09T10:31:00Z">
              <w:r w:rsidRPr="00612824">
                <w:rPr>
                  <w:sz w:val="22"/>
                  <w:szCs w:val="22"/>
                </w:rPr>
                <w:delText>59,1%</w:delText>
              </w:r>
            </w:del>
          </w:p>
        </w:tc>
        <w:tc>
          <w:tcPr>
            <w:tcW w:w="1591" w:type="dxa"/>
            <w:tcBorders>
              <w:top w:val="single" w:sz="6" w:space="0" w:color="000000"/>
              <w:left w:val="single" w:sz="6" w:space="0" w:color="000000"/>
              <w:bottom w:val="single" w:sz="6" w:space="0" w:color="000000"/>
              <w:right w:val="single" w:sz="6" w:space="0" w:color="000000"/>
            </w:tcBorders>
          </w:tcPr>
          <w:p w:rsidR="00BB70B7" w:rsidRPr="00612824" w:rsidP="00BB70B7" w14:paraId="21A7535D" w14:textId="77777777">
            <w:pPr>
              <w:tabs>
                <w:tab w:val="left" w:pos="-1080"/>
              </w:tabs>
              <w:autoSpaceDE w:val="0"/>
              <w:autoSpaceDN w:val="0"/>
              <w:adjustRightInd w:val="0"/>
              <w:ind w:left="15"/>
              <w:jc w:val="both"/>
              <w:rPr>
                <w:del w:id="4788" w:author="AbbVie14" w:date="2025-05-09T10:31:00Z"/>
                <w:sz w:val="22"/>
                <w:szCs w:val="22"/>
              </w:rPr>
            </w:pPr>
            <w:del w:id="4789" w:author="AbbVie14" w:date="2025-05-09T10:31:00Z">
              <w:r w:rsidRPr="00612824">
                <w:rPr>
                  <w:sz w:val="22"/>
                  <w:szCs w:val="22"/>
                </w:rPr>
                <w:delText>48,4%</w:delText>
              </w:r>
            </w:del>
          </w:p>
        </w:tc>
        <w:tc>
          <w:tcPr>
            <w:tcW w:w="1147" w:type="dxa"/>
            <w:tcBorders>
              <w:top w:val="single" w:sz="6" w:space="0" w:color="000000"/>
              <w:left w:val="single" w:sz="6" w:space="0" w:color="000000"/>
              <w:bottom w:val="single" w:sz="6" w:space="0" w:color="000000"/>
              <w:right w:val="single" w:sz="6" w:space="0" w:color="000000"/>
            </w:tcBorders>
          </w:tcPr>
          <w:p w:rsidR="00BB70B7" w:rsidRPr="00612824" w:rsidP="00BB70B7" w14:paraId="2B35C997" w14:textId="77777777">
            <w:pPr>
              <w:tabs>
                <w:tab w:val="left" w:pos="-1080"/>
              </w:tabs>
              <w:autoSpaceDE w:val="0"/>
              <w:autoSpaceDN w:val="0"/>
              <w:adjustRightInd w:val="0"/>
              <w:ind w:left="15"/>
              <w:jc w:val="both"/>
              <w:rPr>
                <w:del w:id="4790" w:author="AbbVie14" w:date="2025-05-09T10:31:00Z"/>
                <w:sz w:val="22"/>
                <w:szCs w:val="22"/>
              </w:rPr>
            </w:pPr>
            <w:del w:id="4791" w:author="AbbVie14" w:date="2025-05-09T10:31:00Z">
              <w:r w:rsidRPr="00612824">
                <w:rPr>
                  <w:sz w:val="22"/>
                  <w:szCs w:val="22"/>
                </w:rPr>
                <w:delText>0,073</w:delText>
              </w:r>
            </w:del>
          </w:p>
        </w:tc>
      </w:tr>
      <w:tr w14:paraId="3D843725" w14:textId="77777777" w:rsidTr="00BB70B7">
        <w:tblPrEx>
          <w:tblW w:w="0" w:type="auto"/>
          <w:tblLook w:val="00A0"/>
        </w:tblPrEx>
        <w:trPr>
          <w:del w:id="4792" w:author="AbbVie14" w:date="2025-05-09T10:31:00Z"/>
        </w:trPr>
        <w:tc>
          <w:tcPr>
            <w:tcW w:w="2321"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4FE71976" w14:textId="77777777">
            <w:pPr>
              <w:tabs>
                <w:tab w:val="left" w:pos="-1080"/>
              </w:tabs>
              <w:autoSpaceDE w:val="0"/>
              <w:autoSpaceDN w:val="0"/>
              <w:adjustRightInd w:val="0"/>
              <w:ind w:left="15"/>
              <w:jc w:val="center"/>
              <w:rPr>
                <w:del w:id="4793" w:author="AbbVie14" w:date="2025-05-09T10:31:00Z"/>
                <w:b/>
                <w:bCs/>
                <w:sz w:val="22"/>
                <w:szCs w:val="22"/>
              </w:rPr>
            </w:pPr>
            <w:del w:id="4794" w:author="AbbVie14" w:date="2025-05-09T10:31:00Z">
              <w:r w:rsidRPr="00612824">
                <w:rPr>
                  <w:b/>
                  <w:bCs/>
                  <w:sz w:val="22"/>
                  <w:szCs w:val="22"/>
                </w:rPr>
                <w:delText>Settimana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6FC8B515" w14:textId="77777777">
            <w:pPr>
              <w:tabs>
                <w:tab w:val="left" w:pos="-1080"/>
              </w:tabs>
              <w:autoSpaceDE w:val="0"/>
              <w:autoSpaceDN w:val="0"/>
              <w:adjustRightInd w:val="0"/>
              <w:ind w:left="15"/>
              <w:jc w:val="both"/>
              <w:rPr>
                <w:del w:id="4795" w:author="AbbVie14" w:date="2025-05-09T10:31:00Z"/>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01D7D215" w14:textId="77777777">
            <w:pPr>
              <w:tabs>
                <w:tab w:val="left" w:pos="-1080"/>
              </w:tabs>
              <w:autoSpaceDE w:val="0"/>
              <w:autoSpaceDN w:val="0"/>
              <w:adjustRightInd w:val="0"/>
              <w:ind w:left="15"/>
              <w:jc w:val="both"/>
              <w:rPr>
                <w:del w:id="4796" w:author="AbbVie14" w:date="2025-05-09T10:31:00Z"/>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4FA30F06" w14:textId="77777777">
            <w:pPr>
              <w:autoSpaceDE w:val="0"/>
              <w:autoSpaceDN w:val="0"/>
              <w:adjustRightInd w:val="0"/>
              <w:ind w:left="15"/>
              <w:jc w:val="both"/>
              <w:rPr>
                <w:del w:id="4797" w:author="AbbVie14" w:date="2025-05-09T10:31:00Z"/>
                <w:b/>
                <w:bCs/>
                <w:sz w:val="22"/>
                <w:szCs w:val="22"/>
              </w:rPr>
            </w:pPr>
          </w:p>
        </w:tc>
      </w:tr>
      <w:tr w14:paraId="597782C5" w14:textId="77777777" w:rsidTr="00BB70B7">
        <w:tblPrEx>
          <w:tblW w:w="0" w:type="auto"/>
          <w:tblLook w:val="00A0"/>
        </w:tblPrEx>
        <w:trPr>
          <w:del w:id="4798" w:author="AbbVie14" w:date="2025-05-09T10:31:00Z"/>
        </w:trPr>
        <w:tc>
          <w:tcPr>
            <w:tcW w:w="2321"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14444862" w14:textId="77777777">
            <w:pPr>
              <w:tabs>
                <w:tab w:val="left" w:pos="-1080"/>
              </w:tabs>
              <w:autoSpaceDE w:val="0"/>
              <w:autoSpaceDN w:val="0"/>
              <w:adjustRightInd w:val="0"/>
              <w:ind w:left="15"/>
              <w:jc w:val="both"/>
              <w:rPr>
                <w:del w:id="4799" w:author="AbbVie14" w:date="2025-05-09T10:31:00Z"/>
                <w:sz w:val="22"/>
                <w:szCs w:val="22"/>
              </w:rPr>
            </w:pPr>
            <w:del w:id="4800" w:author="AbbVie14" w:date="2025-05-09T10:31:00Z">
              <w:r w:rsidRPr="00612824">
                <w:rPr>
                  <w:sz w:val="22"/>
                  <w:szCs w:val="22"/>
                </w:rPr>
                <w:delText xml:space="preserve">   Remissione clinica </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1A998516" w14:textId="77777777">
            <w:pPr>
              <w:tabs>
                <w:tab w:val="left" w:pos="-1080"/>
              </w:tabs>
              <w:autoSpaceDE w:val="0"/>
              <w:autoSpaceDN w:val="0"/>
              <w:adjustRightInd w:val="0"/>
              <w:ind w:left="15"/>
              <w:jc w:val="both"/>
              <w:rPr>
                <w:del w:id="4801" w:author="AbbVie14" w:date="2025-05-09T10:31:00Z"/>
                <w:sz w:val="22"/>
                <w:szCs w:val="22"/>
              </w:rPr>
            </w:pPr>
            <w:del w:id="4802" w:author="AbbVie14" w:date="2025-05-09T10:31:00Z">
              <w:r w:rsidRPr="00612824">
                <w:rPr>
                  <w:sz w:val="22"/>
                  <w:szCs w:val="22"/>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0E935A49" w14:textId="77777777">
            <w:pPr>
              <w:tabs>
                <w:tab w:val="left" w:pos="-1080"/>
              </w:tabs>
              <w:autoSpaceDE w:val="0"/>
              <w:autoSpaceDN w:val="0"/>
              <w:adjustRightInd w:val="0"/>
              <w:ind w:left="15"/>
              <w:jc w:val="both"/>
              <w:rPr>
                <w:del w:id="4803" w:author="AbbVie14" w:date="2025-05-09T10:31:00Z"/>
                <w:sz w:val="22"/>
                <w:szCs w:val="22"/>
              </w:rPr>
            </w:pPr>
            <w:del w:id="4804" w:author="AbbVie14" w:date="2025-05-09T10:31:00Z">
              <w:r w:rsidRPr="00612824">
                <w:rPr>
                  <w:sz w:val="22"/>
                  <w:szCs w:val="22"/>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45FB6C53" w14:textId="77777777">
            <w:pPr>
              <w:tabs>
                <w:tab w:val="left" w:pos="-1080"/>
              </w:tabs>
              <w:autoSpaceDE w:val="0"/>
              <w:autoSpaceDN w:val="0"/>
              <w:adjustRightInd w:val="0"/>
              <w:ind w:left="15"/>
              <w:jc w:val="both"/>
              <w:rPr>
                <w:del w:id="4805" w:author="AbbVie14" w:date="2025-05-09T10:31:00Z"/>
                <w:sz w:val="22"/>
                <w:szCs w:val="22"/>
              </w:rPr>
            </w:pPr>
            <w:del w:id="4806" w:author="AbbVie14" w:date="2025-05-09T10:31:00Z">
              <w:r w:rsidRPr="00612824">
                <w:rPr>
                  <w:sz w:val="22"/>
                  <w:szCs w:val="22"/>
                </w:rPr>
                <w:delText>0,100</w:delText>
              </w:r>
            </w:del>
          </w:p>
        </w:tc>
      </w:tr>
      <w:tr w14:paraId="5EE04C2D" w14:textId="77777777" w:rsidTr="00BB70B7">
        <w:tblPrEx>
          <w:tblW w:w="0" w:type="auto"/>
          <w:tblLook w:val="00A0"/>
        </w:tblPrEx>
        <w:trPr>
          <w:del w:id="4807" w:author="AbbVie14" w:date="2025-05-09T10:31:00Z"/>
        </w:trPr>
        <w:tc>
          <w:tcPr>
            <w:tcW w:w="2321" w:type="dxa"/>
            <w:tcBorders>
              <w:top w:val="single" w:sz="6" w:space="0" w:color="000000"/>
              <w:left w:val="single" w:sz="6" w:space="0" w:color="000000"/>
              <w:bottom w:val="single" w:sz="6" w:space="0" w:color="000000"/>
              <w:right w:val="single" w:sz="6" w:space="0" w:color="000000"/>
            </w:tcBorders>
          </w:tcPr>
          <w:p w:rsidR="00BB70B7" w:rsidRPr="00612824" w:rsidP="00BB70B7" w14:paraId="58E09881" w14:textId="77777777">
            <w:pPr>
              <w:tabs>
                <w:tab w:val="left" w:pos="-1080"/>
              </w:tabs>
              <w:autoSpaceDE w:val="0"/>
              <w:autoSpaceDN w:val="0"/>
              <w:adjustRightInd w:val="0"/>
              <w:ind w:left="15"/>
              <w:jc w:val="both"/>
              <w:rPr>
                <w:del w:id="4808" w:author="AbbVie14" w:date="2025-05-09T10:31:00Z"/>
                <w:sz w:val="22"/>
                <w:szCs w:val="22"/>
              </w:rPr>
            </w:pPr>
            <w:del w:id="4809" w:author="AbbVie14" w:date="2025-05-09T10:31:00Z">
              <w:r w:rsidRPr="00612824">
                <w:rPr>
                  <w:sz w:val="22"/>
                  <w:szCs w:val="22"/>
                </w:rPr>
                <w:delText xml:space="preserve">   Risposta clinica</w:delText>
              </w:r>
            </w:del>
          </w:p>
        </w:tc>
        <w:tc>
          <w:tcPr>
            <w:tcW w:w="1614" w:type="dxa"/>
            <w:tcBorders>
              <w:top w:val="single" w:sz="6" w:space="0" w:color="000000"/>
              <w:left w:val="single" w:sz="6" w:space="0" w:color="000000"/>
              <w:bottom w:val="single" w:sz="6" w:space="0" w:color="000000"/>
              <w:right w:val="single" w:sz="6" w:space="0" w:color="000000"/>
            </w:tcBorders>
          </w:tcPr>
          <w:p w:rsidR="00BB70B7" w:rsidRPr="00612824" w:rsidP="00BB70B7" w14:paraId="3B477E01" w14:textId="77777777">
            <w:pPr>
              <w:tabs>
                <w:tab w:val="left" w:pos="-1080"/>
              </w:tabs>
              <w:autoSpaceDE w:val="0"/>
              <w:autoSpaceDN w:val="0"/>
              <w:adjustRightInd w:val="0"/>
              <w:ind w:left="15"/>
              <w:jc w:val="both"/>
              <w:rPr>
                <w:del w:id="4810" w:author="AbbVie14" w:date="2025-05-09T10:31:00Z"/>
                <w:sz w:val="22"/>
                <w:szCs w:val="22"/>
              </w:rPr>
            </w:pPr>
            <w:del w:id="4811" w:author="AbbVie14" w:date="2025-05-09T10:31:00Z">
              <w:r w:rsidRPr="00612824">
                <w:rPr>
                  <w:sz w:val="22"/>
                  <w:szCs w:val="22"/>
                </w:rPr>
                <w:delText>41,9%</w:delText>
              </w:r>
            </w:del>
          </w:p>
        </w:tc>
        <w:tc>
          <w:tcPr>
            <w:tcW w:w="1591" w:type="dxa"/>
            <w:tcBorders>
              <w:top w:val="single" w:sz="6" w:space="0" w:color="000000"/>
              <w:left w:val="single" w:sz="6" w:space="0" w:color="000000"/>
              <w:bottom w:val="single" w:sz="6" w:space="0" w:color="000000"/>
              <w:right w:val="single" w:sz="6" w:space="0" w:color="000000"/>
            </w:tcBorders>
          </w:tcPr>
          <w:p w:rsidR="00BB70B7" w:rsidRPr="00612824" w:rsidP="00BB70B7" w14:paraId="40B9D0D8" w14:textId="77777777">
            <w:pPr>
              <w:tabs>
                <w:tab w:val="left" w:pos="-1080"/>
              </w:tabs>
              <w:autoSpaceDE w:val="0"/>
              <w:autoSpaceDN w:val="0"/>
              <w:adjustRightInd w:val="0"/>
              <w:ind w:left="15"/>
              <w:jc w:val="both"/>
              <w:rPr>
                <w:del w:id="4812" w:author="AbbVie14" w:date="2025-05-09T10:31:00Z"/>
                <w:sz w:val="22"/>
                <w:szCs w:val="22"/>
              </w:rPr>
            </w:pPr>
            <w:del w:id="4813" w:author="AbbVie14" w:date="2025-05-09T10:31:00Z">
              <w:r w:rsidRPr="00612824">
                <w:rPr>
                  <w:sz w:val="22"/>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tcPr>
          <w:p w:rsidR="00BB70B7" w:rsidRPr="00612824" w:rsidP="00BB70B7" w14:paraId="338DB833" w14:textId="77777777">
            <w:pPr>
              <w:tabs>
                <w:tab w:val="left" w:pos="-1080"/>
              </w:tabs>
              <w:autoSpaceDE w:val="0"/>
              <w:autoSpaceDN w:val="0"/>
              <w:adjustRightInd w:val="0"/>
              <w:ind w:left="15"/>
              <w:jc w:val="both"/>
              <w:rPr>
                <w:del w:id="4814" w:author="AbbVie14" w:date="2025-05-09T10:31:00Z"/>
                <w:sz w:val="22"/>
                <w:szCs w:val="22"/>
              </w:rPr>
            </w:pPr>
            <w:del w:id="4815" w:author="AbbVie14" w:date="2025-05-09T10:31:00Z">
              <w:r w:rsidRPr="00612824">
                <w:rPr>
                  <w:sz w:val="22"/>
                  <w:szCs w:val="22"/>
                </w:rPr>
                <w:delText>0,038</w:delText>
              </w:r>
            </w:del>
          </w:p>
        </w:tc>
      </w:tr>
      <w:tr w14:paraId="2475818D" w14:textId="77777777" w:rsidTr="00BB70B7">
        <w:tblPrEx>
          <w:tblW w:w="0" w:type="auto"/>
          <w:tblLook w:val="00A0"/>
        </w:tblPrEx>
        <w:trPr>
          <w:del w:id="4816" w:author="AbbVie14" w:date="2025-05-09T10:31:00Z"/>
        </w:trPr>
        <w:tc>
          <w:tcPr>
            <w:tcW w:w="6673" w:type="dxa"/>
            <w:gridSpan w:val="4"/>
            <w:tcBorders>
              <w:top w:val="single" w:sz="6" w:space="0" w:color="000000"/>
              <w:left w:val="single" w:sz="6" w:space="0" w:color="000000"/>
              <w:bottom w:val="single" w:sz="6" w:space="0" w:color="000000"/>
              <w:right w:val="single" w:sz="6" w:space="0" w:color="000000"/>
            </w:tcBorders>
          </w:tcPr>
          <w:p w:rsidR="00BB70B7" w:rsidRPr="00612824" w:rsidP="00BB70B7" w14:paraId="5DD73768" w14:textId="77777777">
            <w:pPr>
              <w:tabs>
                <w:tab w:val="left" w:pos="-1080"/>
              </w:tabs>
              <w:autoSpaceDE w:val="0"/>
              <w:autoSpaceDN w:val="0"/>
              <w:adjustRightInd w:val="0"/>
              <w:ind w:left="15"/>
              <w:jc w:val="both"/>
              <w:rPr>
                <w:del w:id="4817" w:author="AbbVie14" w:date="2025-05-09T10:31:00Z"/>
                <w:sz w:val="22"/>
                <w:szCs w:val="22"/>
              </w:rPr>
            </w:pPr>
            <w:del w:id="4818" w:author="AbbVie14" w:date="2025-05-09T10:31:00Z">
              <w:r w:rsidRPr="00612824">
                <w:rPr>
                  <w:sz w:val="22"/>
                  <w:szCs w:val="22"/>
                </w:rPr>
                <w:delText xml:space="preserve">* confronto valore P per Dose Standard </w:delText>
              </w:r>
            </w:del>
            <w:del w:id="4819" w:author="AbbVie14" w:date="2025-05-09T10:31:00Z">
              <w:r w:rsidRPr="00612824">
                <w:rPr>
                  <w:i/>
                  <w:iCs/>
                  <w:sz w:val="22"/>
                  <w:szCs w:val="22"/>
                </w:rPr>
                <w:delText>versus</w:delText>
              </w:r>
            </w:del>
            <w:del w:id="4820" w:author="AbbVie14" w:date="2025-05-09T10:31:00Z">
              <w:r w:rsidRPr="00612824">
                <w:rPr>
                  <w:sz w:val="22"/>
                  <w:szCs w:val="22"/>
                </w:rPr>
                <w:delText xml:space="preserve"> Bassa Dose.</w:delText>
              </w:r>
            </w:del>
          </w:p>
        </w:tc>
      </w:tr>
    </w:tbl>
    <w:p w:rsidR="00BB70B7" w:rsidRPr="00612824" w:rsidP="00BB70B7" w14:paraId="4AF7BFDC" w14:textId="77777777">
      <w:pPr>
        <w:tabs>
          <w:tab w:val="left" w:pos="567"/>
        </w:tabs>
        <w:jc w:val="both"/>
        <w:rPr>
          <w:del w:id="4821" w:author="AbbVie14" w:date="2025-05-09T10:31:00Z"/>
          <w:sz w:val="22"/>
          <w:szCs w:val="22"/>
        </w:rPr>
      </w:pPr>
    </w:p>
    <w:tbl>
      <w:tblPr>
        <w:tblW w:w="0" w:type="auto"/>
        <w:jc w:val="center"/>
        <w:tblCellMar>
          <w:left w:w="0" w:type="dxa"/>
          <w:right w:w="0" w:type="dxa"/>
        </w:tblCellMar>
        <w:tblLook w:val="00A0"/>
      </w:tblPr>
      <w:tblGrid>
        <w:gridCol w:w="4025"/>
        <w:gridCol w:w="1656"/>
        <w:gridCol w:w="1619"/>
        <w:gridCol w:w="1140"/>
      </w:tblGrid>
      <w:tr w14:paraId="39AA6793" w14:textId="77777777" w:rsidTr="00BB70B7">
        <w:tblPrEx>
          <w:tblW w:w="0" w:type="auto"/>
          <w:tblLook w:val="00A0"/>
        </w:tblPrEx>
        <w:trPr>
          <w:del w:id="4822" w:author="AbbVie14" w:date="2025-05-09T10:31:00Z"/>
        </w:trPr>
        <w:tc>
          <w:tcPr>
            <w:tcW w:w="8440" w:type="dxa"/>
            <w:gridSpan w:val="4"/>
            <w:tcBorders>
              <w:top w:val="single" w:sz="6" w:space="0" w:color="000000"/>
              <w:left w:val="single" w:sz="6" w:space="0" w:color="000000"/>
              <w:bottom w:val="single" w:sz="6" w:space="0" w:color="000000"/>
              <w:right w:val="single" w:sz="6" w:space="0" w:color="000000"/>
            </w:tcBorders>
          </w:tcPr>
          <w:p w:rsidR="00BB70B7" w:rsidRPr="00612824" w:rsidP="00BB70B7" w14:paraId="1D883942" w14:textId="77777777">
            <w:pPr>
              <w:keepNext/>
              <w:tabs>
                <w:tab w:val="left" w:pos="-878"/>
              </w:tabs>
              <w:autoSpaceDE w:val="0"/>
              <w:autoSpaceDN w:val="0"/>
              <w:adjustRightInd w:val="0"/>
              <w:jc w:val="center"/>
              <w:rPr>
                <w:del w:id="4823" w:author="AbbVie14" w:date="2025-05-09T10:31:00Z"/>
                <w:b/>
                <w:bCs/>
                <w:sz w:val="22"/>
                <w:szCs w:val="22"/>
              </w:rPr>
            </w:pPr>
            <w:del w:id="4824" w:author="AbbVie14" w:date="2025-05-09T10:31:00Z">
              <w:r w:rsidRPr="00612824">
                <w:rPr>
                  <w:sz w:val="22"/>
                  <w:szCs w:val="22"/>
                </w:rPr>
                <w:br w:type="page"/>
              </w:r>
            </w:del>
            <w:del w:id="4825" w:author="AbbVie14" w:date="2025-05-09T10:31:00Z">
              <w:r w:rsidRPr="00612824">
                <w:rPr>
                  <w:b/>
                  <w:bCs/>
                  <w:sz w:val="22"/>
                  <w:szCs w:val="22"/>
                </w:rPr>
                <w:delText>Tabella 2</w:delText>
              </w:r>
            </w:del>
            <w:del w:id="4826" w:author="AbbVie14" w:date="2025-05-09T10:31:00Z">
              <w:r w:rsidRPr="00612824" w:rsidR="006461E3">
                <w:rPr>
                  <w:b/>
                  <w:bCs/>
                  <w:sz w:val="22"/>
                  <w:szCs w:val="22"/>
                </w:rPr>
                <w:delText>5</w:delText>
              </w:r>
            </w:del>
          </w:p>
          <w:p w:rsidR="00BB70B7" w:rsidRPr="00612824" w:rsidP="00BB70B7" w14:paraId="0E0966C1" w14:textId="77777777">
            <w:pPr>
              <w:keepNext/>
              <w:tabs>
                <w:tab w:val="left" w:pos="-878"/>
              </w:tabs>
              <w:autoSpaceDE w:val="0"/>
              <w:autoSpaceDN w:val="0"/>
              <w:adjustRightInd w:val="0"/>
              <w:jc w:val="center"/>
              <w:rPr>
                <w:del w:id="4827" w:author="AbbVie14" w:date="2025-05-09T10:31:00Z"/>
                <w:b/>
                <w:bCs/>
                <w:sz w:val="22"/>
                <w:szCs w:val="22"/>
              </w:rPr>
            </w:pPr>
            <w:del w:id="4828" w:author="AbbVie14" w:date="2025-05-09T10:31:00Z">
              <w:r w:rsidRPr="00612824">
                <w:rPr>
                  <w:b/>
                  <w:bCs/>
                  <w:sz w:val="22"/>
                  <w:szCs w:val="22"/>
                </w:rPr>
                <w:delText>Studio della Malattia di Crohn Pediatrica</w:delText>
              </w:r>
            </w:del>
          </w:p>
          <w:p w:rsidR="00BB70B7" w:rsidRPr="00612824" w:rsidP="00BB70B7" w14:paraId="19B7C26C" w14:textId="77777777">
            <w:pPr>
              <w:keepNext/>
              <w:tabs>
                <w:tab w:val="left" w:pos="-878"/>
              </w:tabs>
              <w:autoSpaceDE w:val="0"/>
              <w:autoSpaceDN w:val="0"/>
              <w:adjustRightInd w:val="0"/>
              <w:jc w:val="center"/>
              <w:rPr>
                <w:del w:id="4829" w:author="AbbVie14" w:date="2025-05-09T10:31:00Z"/>
                <w:b/>
                <w:bCs/>
                <w:sz w:val="22"/>
                <w:szCs w:val="22"/>
              </w:rPr>
            </w:pPr>
            <w:del w:id="4830" w:author="AbbVie14" w:date="2025-05-09T10:31:00Z">
              <w:r w:rsidRPr="00612824">
                <w:rPr>
                  <w:b/>
                  <w:bCs/>
                  <w:sz w:val="22"/>
                  <w:szCs w:val="22"/>
                </w:rPr>
                <w:delText>Discontinuazione dei Corticosteroidi o Immunomodulatori e Remissione della Fistola</w:delText>
              </w:r>
            </w:del>
          </w:p>
        </w:tc>
      </w:tr>
      <w:tr w14:paraId="05BF43DF" w14:textId="77777777" w:rsidTr="00BB70B7">
        <w:tblPrEx>
          <w:tblW w:w="0" w:type="auto"/>
          <w:tblLook w:val="00A0"/>
        </w:tblPrEx>
        <w:trPr>
          <w:del w:id="4831" w:author="AbbVie14" w:date="2025-05-09T10:31:00Z"/>
        </w:trPr>
        <w:tc>
          <w:tcPr>
            <w:tcW w:w="4025" w:type="dxa"/>
            <w:tcBorders>
              <w:top w:val="single" w:sz="6" w:space="0" w:color="000000"/>
              <w:left w:val="single" w:sz="6" w:space="0" w:color="000000"/>
              <w:bottom w:val="single" w:sz="6" w:space="0" w:color="000000"/>
              <w:right w:val="single" w:sz="6" w:space="0" w:color="000000"/>
            </w:tcBorders>
          </w:tcPr>
          <w:p w:rsidR="00BB70B7" w:rsidRPr="00612824" w:rsidP="00BB70B7" w14:paraId="59545109" w14:textId="77777777">
            <w:pPr>
              <w:keepNext/>
              <w:keepLines/>
              <w:tabs>
                <w:tab w:val="left" w:pos="-1080"/>
              </w:tabs>
              <w:autoSpaceDE w:val="0"/>
              <w:autoSpaceDN w:val="0"/>
              <w:adjustRightInd w:val="0"/>
              <w:jc w:val="center"/>
              <w:rPr>
                <w:del w:id="4832" w:author="AbbVie14" w:date="2025-05-09T10:31:00Z"/>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rsidR="00BB70B7" w:rsidRPr="00612824" w:rsidP="00BB70B7" w14:paraId="12B5AFEC" w14:textId="77777777">
            <w:pPr>
              <w:keepNext/>
              <w:keepLines/>
              <w:tabs>
                <w:tab w:val="left" w:pos="-1080"/>
              </w:tabs>
              <w:autoSpaceDE w:val="0"/>
              <w:autoSpaceDN w:val="0"/>
              <w:adjustRightInd w:val="0"/>
              <w:ind w:left="15"/>
              <w:jc w:val="center"/>
              <w:rPr>
                <w:del w:id="4833" w:author="AbbVie14" w:date="2025-05-09T10:31:00Z"/>
                <w:b/>
                <w:bCs/>
                <w:sz w:val="22"/>
                <w:szCs w:val="22"/>
              </w:rPr>
            </w:pPr>
            <w:del w:id="4834" w:author="AbbVie14" w:date="2025-05-09T10:31:00Z">
              <w:r w:rsidRPr="00612824">
                <w:rPr>
                  <w:b/>
                  <w:bCs/>
                  <w:sz w:val="22"/>
                  <w:szCs w:val="22"/>
                </w:rPr>
                <w:delText>Dose standard</w:delText>
              </w:r>
            </w:del>
          </w:p>
          <w:p w:rsidR="00BB70B7" w:rsidRPr="00612824" w:rsidP="00BB70B7" w14:paraId="5F2AA88E" w14:textId="77777777">
            <w:pPr>
              <w:keepNext/>
              <w:keepLines/>
              <w:tabs>
                <w:tab w:val="left" w:pos="-1080"/>
              </w:tabs>
              <w:autoSpaceDE w:val="0"/>
              <w:autoSpaceDN w:val="0"/>
              <w:adjustRightInd w:val="0"/>
              <w:ind w:left="15"/>
              <w:jc w:val="center"/>
              <w:rPr>
                <w:del w:id="4835" w:author="AbbVie14" w:date="2025-05-09T10:31:00Z"/>
                <w:b/>
                <w:bCs/>
                <w:sz w:val="22"/>
                <w:szCs w:val="22"/>
              </w:rPr>
            </w:pPr>
            <w:del w:id="4836" w:author="AbbVie14" w:date="2025-05-09T10:31:00Z">
              <w:r w:rsidRPr="00612824">
                <w:rPr>
                  <w:b/>
                  <w:bCs/>
                  <w:sz w:val="22"/>
                  <w:szCs w:val="22"/>
                </w:rPr>
                <w:delText>40/20 mg a settimane alterne</w:delText>
              </w:r>
            </w:del>
          </w:p>
        </w:tc>
        <w:tc>
          <w:tcPr>
            <w:tcW w:w="1619" w:type="dxa"/>
            <w:tcBorders>
              <w:top w:val="single" w:sz="6" w:space="0" w:color="000000"/>
              <w:left w:val="single" w:sz="6" w:space="0" w:color="000000"/>
              <w:bottom w:val="single" w:sz="6" w:space="0" w:color="000000"/>
              <w:right w:val="single" w:sz="6" w:space="0" w:color="000000"/>
            </w:tcBorders>
          </w:tcPr>
          <w:p w:rsidR="00BB70B7" w:rsidRPr="00612824" w:rsidP="00BB70B7" w14:paraId="029135CB" w14:textId="77777777">
            <w:pPr>
              <w:keepNext/>
              <w:keepLines/>
              <w:tabs>
                <w:tab w:val="left" w:pos="-1080"/>
              </w:tabs>
              <w:autoSpaceDE w:val="0"/>
              <w:autoSpaceDN w:val="0"/>
              <w:adjustRightInd w:val="0"/>
              <w:ind w:left="15"/>
              <w:jc w:val="center"/>
              <w:rPr>
                <w:del w:id="4837" w:author="AbbVie14" w:date="2025-05-09T10:31:00Z"/>
                <w:b/>
                <w:bCs/>
                <w:sz w:val="22"/>
                <w:szCs w:val="22"/>
              </w:rPr>
            </w:pPr>
            <w:del w:id="4838" w:author="AbbVie14" w:date="2025-05-09T10:31:00Z">
              <w:r w:rsidRPr="00612824">
                <w:rPr>
                  <w:b/>
                  <w:bCs/>
                  <w:sz w:val="22"/>
                  <w:szCs w:val="22"/>
                </w:rPr>
                <w:delText>Dose</w:delText>
              </w:r>
            </w:del>
          </w:p>
          <w:p w:rsidR="00BB70B7" w:rsidRPr="00612824" w:rsidP="00BB70B7" w14:paraId="17C956EF" w14:textId="77777777">
            <w:pPr>
              <w:keepNext/>
              <w:keepLines/>
              <w:tabs>
                <w:tab w:val="left" w:pos="-1080"/>
              </w:tabs>
              <w:autoSpaceDE w:val="0"/>
              <w:autoSpaceDN w:val="0"/>
              <w:adjustRightInd w:val="0"/>
              <w:ind w:left="15"/>
              <w:jc w:val="center"/>
              <w:rPr>
                <w:del w:id="4839" w:author="AbbVie14" w:date="2025-05-09T10:31:00Z"/>
                <w:b/>
                <w:bCs/>
                <w:sz w:val="22"/>
                <w:szCs w:val="22"/>
              </w:rPr>
            </w:pPr>
            <w:del w:id="4840" w:author="AbbVie14" w:date="2025-05-09T10:31:00Z">
              <w:r w:rsidRPr="00612824">
                <w:rPr>
                  <w:b/>
                  <w:bCs/>
                  <w:sz w:val="22"/>
                  <w:szCs w:val="22"/>
                </w:rPr>
                <w:delText>Bassa</w:delText>
              </w:r>
            </w:del>
          </w:p>
          <w:p w:rsidR="00BB70B7" w:rsidRPr="00612824" w:rsidP="00BB70B7" w14:paraId="2218CC6B" w14:textId="77777777">
            <w:pPr>
              <w:keepNext/>
              <w:keepLines/>
              <w:tabs>
                <w:tab w:val="left" w:pos="-1080"/>
              </w:tabs>
              <w:autoSpaceDE w:val="0"/>
              <w:autoSpaceDN w:val="0"/>
              <w:adjustRightInd w:val="0"/>
              <w:ind w:left="15"/>
              <w:jc w:val="center"/>
              <w:rPr>
                <w:del w:id="4841" w:author="AbbVie14" w:date="2025-05-09T10:31:00Z"/>
                <w:b/>
                <w:bCs/>
                <w:sz w:val="22"/>
                <w:szCs w:val="22"/>
              </w:rPr>
            </w:pPr>
            <w:del w:id="4842" w:author="AbbVie14" w:date="2025-05-09T10:31:00Z">
              <w:r w:rsidRPr="00612824">
                <w:rPr>
                  <w:b/>
                  <w:bCs/>
                  <w:sz w:val="22"/>
                  <w:szCs w:val="22"/>
                </w:rPr>
                <w:delText>20/10 mg a settimane alterne</w:delText>
              </w:r>
            </w:del>
          </w:p>
        </w:tc>
        <w:tc>
          <w:tcPr>
            <w:tcW w:w="1140" w:type="dxa"/>
            <w:tcBorders>
              <w:top w:val="single" w:sz="6" w:space="0" w:color="000000"/>
              <w:left w:val="single" w:sz="6" w:space="0" w:color="000000"/>
              <w:bottom w:val="single" w:sz="6" w:space="0" w:color="000000"/>
              <w:right w:val="single" w:sz="6" w:space="0" w:color="000000"/>
            </w:tcBorders>
          </w:tcPr>
          <w:p w:rsidR="00BB70B7" w:rsidRPr="00612824" w:rsidP="00BB70B7" w14:paraId="2C66FB31" w14:textId="77777777">
            <w:pPr>
              <w:keepNext/>
              <w:keepLines/>
              <w:tabs>
                <w:tab w:val="left" w:pos="-1080"/>
              </w:tabs>
              <w:autoSpaceDE w:val="0"/>
              <w:autoSpaceDN w:val="0"/>
              <w:adjustRightInd w:val="0"/>
              <w:ind w:left="15"/>
              <w:jc w:val="center"/>
              <w:rPr>
                <w:del w:id="4843" w:author="AbbVie14" w:date="2025-05-09T10:31:00Z"/>
                <w:b/>
                <w:bCs/>
                <w:sz w:val="22"/>
                <w:szCs w:val="22"/>
              </w:rPr>
            </w:pPr>
            <w:del w:id="4844" w:author="AbbVie14" w:date="2025-05-09T10:31:00Z">
              <w:r w:rsidRPr="00612824">
                <w:rPr>
                  <w:b/>
                  <w:bCs/>
                  <w:sz w:val="22"/>
                  <w:szCs w:val="22"/>
                </w:rPr>
                <w:delText xml:space="preserve">Valore P </w:delText>
              </w:r>
            </w:del>
            <w:del w:id="4845" w:author="AbbVie14" w:date="2025-05-09T10:31:00Z">
              <w:r w:rsidRPr="00612824">
                <w:rPr>
                  <w:b/>
                  <w:bCs/>
                  <w:sz w:val="22"/>
                  <w:szCs w:val="22"/>
                  <w:vertAlign w:val="superscript"/>
                </w:rPr>
                <w:delText>1</w:delText>
              </w:r>
            </w:del>
          </w:p>
        </w:tc>
      </w:tr>
      <w:tr w14:paraId="749480C2" w14:textId="77777777" w:rsidTr="00BB70B7">
        <w:tblPrEx>
          <w:tblW w:w="0" w:type="auto"/>
          <w:tblLook w:val="00A0"/>
        </w:tblPrEx>
        <w:trPr>
          <w:del w:id="4846" w:author="AbbVie14" w:date="2025-05-09T10:31:00Z"/>
        </w:trPr>
        <w:tc>
          <w:tcPr>
            <w:tcW w:w="4025"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159B76EA" w14:textId="77777777">
            <w:pPr>
              <w:keepNext/>
              <w:keepLines/>
              <w:tabs>
                <w:tab w:val="left" w:pos="-1080"/>
              </w:tabs>
              <w:autoSpaceDE w:val="0"/>
              <w:autoSpaceDN w:val="0"/>
              <w:adjustRightInd w:val="0"/>
              <w:rPr>
                <w:del w:id="4847" w:author="AbbVie14" w:date="2025-05-09T10:31:00Z"/>
                <w:b/>
                <w:sz w:val="22"/>
                <w:szCs w:val="22"/>
              </w:rPr>
            </w:pPr>
            <w:del w:id="4848" w:author="AbbVie14" w:date="2025-05-09T10:31:00Z">
              <w:r w:rsidRPr="00612824">
                <w:rPr>
                  <w:b/>
                  <w:sz w:val="22"/>
                  <w:szCs w:val="22"/>
                </w:rPr>
                <w:delText>Corticosteroidi discontinuati</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082DABA1" w14:textId="77777777">
            <w:pPr>
              <w:keepNext/>
              <w:keepLines/>
              <w:tabs>
                <w:tab w:val="left" w:pos="-1080"/>
              </w:tabs>
              <w:autoSpaceDE w:val="0"/>
              <w:autoSpaceDN w:val="0"/>
              <w:adjustRightInd w:val="0"/>
              <w:ind w:left="15"/>
              <w:jc w:val="center"/>
              <w:rPr>
                <w:del w:id="4849" w:author="AbbVie14" w:date="2025-05-09T10:31:00Z"/>
                <w:b/>
                <w:sz w:val="22"/>
                <w:szCs w:val="22"/>
              </w:rPr>
            </w:pPr>
            <w:del w:id="4850" w:author="AbbVie14" w:date="2025-05-09T10:31:00Z">
              <w:r w:rsidRPr="00612824">
                <w:rPr>
                  <w:b/>
                  <w:sz w:val="22"/>
                  <w:szCs w:val="22"/>
                </w:rPr>
                <w:delText>N=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5B1DF0F1" w14:textId="77777777">
            <w:pPr>
              <w:keepNext/>
              <w:keepLines/>
              <w:tabs>
                <w:tab w:val="left" w:pos="-1080"/>
              </w:tabs>
              <w:autoSpaceDE w:val="0"/>
              <w:autoSpaceDN w:val="0"/>
              <w:adjustRightInd w:val="0"/>
              <w:ind w:left="15"/>
              <w:jc w:val="center"/>
              <w:rPr>
                <w:del w:id="4851" w:author="AbbVie14" w:date="2025-05-09T10:31:00Z"/>
                <w:b/>
                <w:sz w:val="22"/>
                <w:szCs w:val="22"/>
              </w:rPr>
            </w:pPr>
            <w:del w:id="4852" w:author="AbbVie14" w:date="2025-05-09T10:31:00Z">
              <w:r w:rsidRPr="00612824">
                <w:rPr>
                  <w:b/>
                  <w:sz w:val="22"/>
                  <w:szCs w:val="22"/>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26B122E5" w14:textId="77777777">
            <w:pPr>
              <w:keepNext/>
              <w:autoSpaceDE w:val="0"/>
              <w:autoSpaceDN w:val="0"/>
              <w:adjustRightInd w:val="0"/>
              <w:ind w:left="15"/>
              <w:jc w:val="center"/>
              <w:rPr>
                <w:del w:id="4853" w:author="AbbVie14" w:date="2025-05-09T10:31:00Z"/>
                <w:b/>
                <w:sz w:val="22"/>
                <w:szCs w:val="22"/>
              </w:rPr>
            </w:pPr>
          </w:p>
        </w:tc>
      </w:tr>
      <w:tr w14:paraId="36AC4F31" w14:textId="77777777" w:rsidTr="00BB70B7">
        <w:tblPrEx>
          <w:tblW w:w="0" w:type="auto"/>
          <w:tblLook w:val="00A0"/>
        </w:tblPrEx>
        <w:trPr>
          <w:del w:id="4854" w:author="AbbVie14" w:date="2025-05-09T10:31:00Z"/>
        </w:trPr>
        <w:tc>
          <w:tcPr>
            <w:tcW w:w="4025"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001C7CF4" w14:textId="77777777">
            <w:pPr>
              <w:keepNext/>
              <w:keepLines/>
              <w:tabs>
                <w:tab w:val="left" w:pos="-1080"/>
              </w:tabs>
              <w:autoSpaceDE w:val="0"/>
              <w:autoSpaceDN w:val="0"/>
              <w:adjustRightInd w:val="0"/>
              <w:rPr>
                <w:del w:id="4855" w:author="AbbVie14" w:date="2025-05-09T10:31:00Z"/>
                <w:bCs/>
                <w:sz w:val="22"/>
                <w:szCs w:val="22"/>
              </w:rPr>
            </w:pPr>
            <w:del w:id="4856" w:author="AbbVie14" w:date="2025-05-09T10:31:00Z">
              <w:r w:rsidRPr="00612824">
                <w:rPr>
                  <w:bCs/>
                  <w:sz w:val="22"/>
                  <w:szCs w:val="22"/>
                </w:rPr>
                <w:delText>Settimana 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5FF25476" w14:textId="77777777">
            <w:pPr>
              <w:keepNext/>
              <w:keepLines/>
              <w:tabs>
                <w:tab w:val="left" w:pos="-1080"/>
              </w:tabs>
              <w:autoSpaceDE w:val="0"/>
              <w:autoSpaceDN w:val="0"/>
              <w:adjustRightInd w:val="0"/>
              <w:ind w:left="15"/>
              <w:jc w:val="center"/>
              <w:rPr>
                <w:del w:id="4857" w:author="AbbVie14" w:date="2025-05-09T10:31:00Z"/>
                <w:sz w:val="22"/>
                <w:szCs w:val="22"/>
              </w:rPr>
            </w:pPr>
            <w:del w:id="4858" w:author="AbbVie14" w:date="2025-05-09T10:31:00Z">
              <w:r w:rsidRPr="00612824">
                <w:rPr>
                  <w:sz w:val="22"/>
                  <w:szCs w:val="22"/>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6E9F1911" w14:textId="77777777">
            <w:pPr>
              <w:keepNext/>
              <w:keepLines/>
              <w:tabs>
                <w:tab w:val="left" w:pos="-1080"/>
              </w:tabs>
              <w:autoSpaceDE w:val="0"/>
              <w:autoSpaceDN w:val="0"/>
              <w:adjustRightInd w:val="0"/>
              <w:ind w:left="15"/>
              <w:jc w:val="center"/>
              <w:rPr>
                <w:del w:id="4859" w:author="AbbVie14" w:date="2025-05-09T10:31:00Z"/>
                <w:sz w:val="22"/>
                <w:szCs w:val="22"/>
              </w:rPr>
            </w:pPr>
            <w:del w:id="4860" w:author="AbbVie14" w:date="2025-05-09T10:31:00Z">
              <w:r w:rsidRPr="00612824">
                <w:rPr>
                  <w:sz w:val="22"/>
                  <w:szCs w:val="22"/>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6891A679" w14:textId="77777777">
            <w:pPr>
              <w:keepNext/>
              <w:keepLines/>
              <w:tabs>
                <w:tab w:val="left" w:pos="-1080"/>
              </w:tabs>
              <w:autoSpaceDE w:val="0"/>
              <w:autoSpaceDN w:val="0"/>
              <w:adjustRightInd w:val="0"/>
              <w:ind w:left="15"/>
              <w:jc w:val="center"/>
              <w:rPr>
                <w:del w:id="4861" w:author="AbbVie14" w:date="2025-05-09T10:31:00Z"/>
                <w:sz w:val="22"/>
                <w:szCs w:val="22"/>
              </w:rPr>
            </w:pPr>
            <w:del w:id="4862" w:author="AbbVie14" w:date="2025-05-09T10:31:00Z">
              <w:r w:rsidRPr="00612824">
                <w:rPr>
                  <w:sz w:val="22"/>
                  <w:szCs w:val="22"/>
                </w:rPr>
                <w:delText>0,066</w:delText>
              </w:r>
            </w:del>
          </w:p>
        </w:tc>
      </w:tr>
      <w:tr w14:paraId="5278E820" w14:textId="77777777" w:rsidTr="00BB70B7">
        <w:tblPrEx>
          <w:tblW w:w="0" w:type="auto"/>
          <w:tblLook w:val="00A0"/>
        </w:tblPrEx>
        <w:trPr>
          <w:del w:id="4863" w:author="AbbVie14" w:date="2025-05-09T10:31:00Z"/>
        </w:trPr>
        <w:tc>
          <w:tcPr>
            <w:tcW w:w="4025"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0B66DF79" w14:textId="77777777">
            <w:pPr>
              <w:keepNext/>
              <w:keepLines/>
              <w:tabs>
                <w:tab w:val="left" w:pos="-1080"/>
              </w:tabs>
              <w:autoSpaceDE w:val="0"/>
              <w:autoSpaceDN w:val="0"/>
              <w:adjustRightInd w:val="0"/>
              <w:rPr>
                <w:del w:id="4864" w:author="AbbVie14" w:date="2025-05-09T10:31:00Z"/>
                <w:bCs/>
                <w:sz w:val="22"/>
                <w:szCs w:val="22"/>
              </w:rPr>
            </w:pPr>
            <w:del w:id="4865" w:author="AbbVie14" w:date="2025-05-09T10:31:00Z">
              <w:r w:rsidRPr="00612824">
                <w:rPr>
                  <w:bCs/>
                  <w:sz w:val="22"/>
                  <w:szCs w:val="22"/>
                </w:rPr>
                <w:delText>Settimana 52</w:delText>
              </w:r>
            </w:del>
          </w:p>
        </w:tc>
        <w:tc>
          <w:tcPr>
            <w:tcW w:w="1656" w:type="dxa"/>
            <w:tcBorders>
              <w:top w:val="single" w:sz="6" w:space="0" w:color="000000"/>
              <w:left w:val="single" w:sz="6" w:space="0" w:color="000000"/>
              <w:bottom w:val="single" w:sz="6" w:space="0" w:color="000000"/>
              <w:right w:val="single" w:sz="6" w:space="0" w:color="000000"/>
            </w:tcBorders>
          </w:tcPr>
          <w:p w:rsidR="00BB70B7" w:rsidRPr="00612824" w:rsidP="00BB70B7" w14:paraId="0497E22D" w14:textId="77777777">
            <w:pPr>
              <w:keepNext/>
              <w:keepLines/>
              <w:tabs>
                <w:tab w:val="left" w:pos="-1080"/>
              </w:tabs>
              <w:autoSpaceDE w:val="0"/>
              <w:autoSpaceDN w:val="0"/>
              <w:adjustRightInd w:val="0"/>
              <w:ind w:left="15"/>
              <w:jc w:val="center"/>
              <w:rPr>
                <w:del w:id="4866" w:author="AbbVie14" w:date="2025-05-09T10:31:00Z"/>
                <w:sz w:val="22"/>
                <w:szCs w:val="22"/>
              </w:rPr>
            </w:pPr>
            <w:del w:id="4867" w:author="AbbVie14" w:date="2025-05-09T10:31:00Z">
              <w:r w:rsidRPr="00612824">
                <w:rPr>
                  <w:sz w:val="22"/>
                  <w:szCs w:val="22"/>
                </w:rPr>
                <w:delText>69,7%</w:delText>
              </w:r>
            </w:del>
          </w:p>
        </w:tc>
        <w:tc>
          <w:tcPr>
            <w:tcW w:w="1619" w:type="dxa"/>
            <w:tcBorders>
              <w:top w:val="single" w:sz="6" w:space="0" w:color="000000"/>
              <w:left w:val="single" w:sz="6" w:space="0" w:color="000000"/>
              <w:bottom w:val="single" w:sz="6" w:space="0" w:color="000000"/>
              <w:right w:val="single" w:sz="6" w:space="0" w:color="000000"/>
            </w:tcBorders>
          </w:tcPr>
          <w:p w:rsidR="00BB70B7" w:rsidRPr="00612824" w:rsidP="00BB70B7" w14:paraId="51CC9B2F" w14:textId="77777777">
            <w:pPr>
              <w:keepNext/>
              <w:keepLines/>
              <w:tabs>
                <w:tab w:val="left" w:pos="-1080"/>
              </w:tabs>
              <w:autoSpaceDE w:val="0"/>
              <w:autoSpaceDN w:val="0"/>
              <w:adjustRightInd w:val="0"/>
              <w:ind w:left="15"/>
              <w:jc w:val="center"/>
              <w:rPr>
                <w:del w:id="4868" w:author="AbbVie14" w:date="2025-05-09T10:31:00Z"/>
                <w:sz w:val="22"/>
                <w:szCs w:val="22"/>
              </w:rPr>
            </w:pPr>
            <w:del w:id="4869" w:author="AbbVie14" w:date="2025-05-09T10:31:00Z">
              <w:r w:rsidRPr="00612824">
                <w:rPr>
                  <w:sz w:val="22"/>
                  <w:szCs w:val="22"/>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316A34D0" w14:textId="77777777">
            <w:pPr>
              <w:keepNext/>
              <w:keepLines/>
              <w:tabs>
                <w:tab w:val="left" w:pos="-1080"/>
              </w:tabs>
              <w:autoSpaceDE w:val="0"/>
              <w:autoSpaceDN w:val="0"/>
              <w:adjustRightInd w:val="0"/>
              <w:ind w:left="15"/>
              <w:jc w:val="center"/>
              <w:rPr>
                <w:del w:id="4870" w:author="AbbVie14" w:date="2025-05-09T10:31:00Z"/>
                <w:sz w:val="22"/>
                <w:szCs w:val="22"/>
              </w:rPr>
            </w:pPr>
            <w:del w:id="4871" w:author="AbbVie14" w:date="2025-05-09T10:31:00Z">
              <w:r w:rsidRPr="00612824">
                <w:rPr>
                  <w:sz w:val="22"/>
                  <w:szCs w:val="22"/>
                </w:rPr>
                <w:delText>0,420</w:delText>
              </w:r>
            </w:del>
          </w:p>
        </w:tc>
      </w:tr>
      <w:tr w14:paraId="7EEB3BF2" w14:textId="77777777" w:rsidTr="00BB70B7">
        <w:tblPrEx>
          <w:tblW w:w="0" w:type="auto"/>
          <w:tblLook w:val="00A0"/>
        </w:tblPrEx>
        <w:trPr>
          <w:del w:id="4872" w:author="AbbVie14" w:date="2025-05-09T10:31:00Z"/>
        </w:trPr>
        <w:tc>
          <w:tcPr>
            <w:tcW w:w="4025"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036E084B" w14:textId="77777777">
            <w:pPr>
              <w:keepNext/>
              <w:keepLines/>
              <w:tabs>
                <w:tab w:val="left" w:pos="-1080"/>
              </w:tabs>
              <w:autoSpaceDE w:val="0"/>
              <w:autoSpaceDN w:val="0"/>
              <w:adjustRightInd w:val="0"/>
              <w:rPr>
                <w:del w:id="4873" w:author="AbbVie14" w:date="2025-05-09T10:31:00Z"/>
                <w:b/>
                <w:sz w:val="22"/>
                <w:szCs w:val="22"/>
              </w:rPr>
            </w:pPr>
            <w:del w:id="4874" w:author="AbbVie14" w:date="2025-05-09T10:31:00Z">
              <w:r w:rsidRPr="00612824">
                <w:rPr>
                  <w:b/>
                  <w:sz w:val="22"/>
                  <w:szCs w:val="22"/>
                </w:rPr>
                <w:delText>Discontinuazione di Immunomodulatori</w:delText>
              </w:r>
            </w:del>
            <w:del w:id="4875" w:author="AbbVie14" w:date="2025-05-09T10:31:00Z">
              <w:r w:rsidRPr="00612824">
                <w:rPr>
                  <w:b/>
                  <w:sz w:val="22"/>
                  <w:szCs w:val="22"/>
                  <w:vertAlign w:val="superscript"/>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2F40D19B" w14:textId="77777777">
            <w:pPr>
              <w:keepNext/>
              <w:keepLines/>
              <w:tabs>
                <w:tab w:val="left" w:pos="-1080"/>
              </w:tabs>
              <w:autoSpaceDE w:val="0"/>
              <w:autoSpaceDN w:val="0"/>
              <w:adjustRightInd w:val="0"/>
              <w:ind w:left="15"/>
              <w:jc w:val="center"/>
              <w:rPr>
                <w:del w:id="4876" w:author="AbbVie14" w:date="2025-05-09T10:31:00Z"/>
                <w:b/>
                <w:sz w:val="22"/>
                <w:szCs w:val="22"/>
              </w:rPr>
            </w:pPr>
            <w:del w:id="4877" w:author="AbbVie14" w:date="2025-05-09T10:31:00Z">
              <w:r w:rsidRPr="00612824">
                <w:rPr>
                  <w:b/>
                  <w:sz w:val="22"/>
                  <w:szCs w:val="22"/>
                </w:rPr>
                <w:delText>N=60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64B5EF2A" w14:textId="77777777">
            <w:pPr>
              <w:keepNext/>
              <w:keepLines/>
              <w:tabs>
                <w:tab w:val="left" w:pos="-1080"/>
              </w:tabs>
              <w:autoSpaceDE w:val="0"/>
              <w:autoSpaceDN w:val="0"/>
              <w:adjustRightInd w:val="0"/>
              <w:ind w:left="15"/>
              <w:jc w:val="center"/>
              <w:rPr>
                <w:del w:id="4878" w:author="AbbVie14" w:date="2025-05-09T10:31:00Z"/>
                <w:b/>
                <w:sz w:val="22"/>
                <w:szCs w:val="22"/>
              </w:rPr>
            </w:pPr>
            <w:del w:id="4879" w:author="AbbVie14" w:date="2025-05-09T10:31:00Z">
              <w:r w:rsidRPr="00612824">
                <w:rPr>
                  <w:b/>
                  <w:sz w:val="22"/>
                  <w:szCs w:val="22"/>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BB70B7" w:rsidRPr="00612824" w:rsidP="00BB70B7" w14:paraId="32A4FF84" w14:textId="77777777">
            <w:pPr>
              <w:keepNext/>
              <w:autoSpaceDE w:val="0"/>
              <w:autoSpaceDN w:val="0"/>
              <w:adjustRightInd w:val="0"/>
              <w:ind w:left="15"/>
              <w:jc w:val="center"/>
              <w:rPr>
                <w:del w:id="4880" w:author="AbbVie14" w:date="2025-05-09T10:31:00Z"/>
                <w:b/>
                <w:sz w:val="22"/>
                <w:szCs w:val="22"/>
              </w:rPr>
            </w:pPr>
          </w:p>
        </w:tc>
      </w:tr>
      <w:tr w14:paraId="1186E1FB" w14:textId="77777777" w:rsidTr="00BB70B7">
        <w:tblPrEx>
          <w:tblW w:w="0" w:type="auto"/>
          <w:tblLook w:val="00A0"/>
        </w:tblPrEx>
        <w:trPr>
          <w:del w:id="4881" w:author="AbbVie14" w:date="2025-05-09T10:31:00Z"/>
        </w:trPr>
        <w:tc>
          <w:tcPr>
            <w:tcW w:w="4025" w:type="dxa"/>
            <w:tcBorders>
              <w:top w:val="single" w:sz="6" w:space="0" w:color="000000"/>
              <w:left w:val="single" w:sz="6" w:space="0" w:color="000000"/>
              <w:bottom w:val="single" w:sz="6" w:space="0" w:color="000000"/>
              <w:right w:val="single" w:sz="6" w:space="0" w:color="000000"/>
            </w:tcBorders>
          </w:tcPr>
          <w:p w:rsidR="00BB70B7" w:rsidRPr="00612824" w:rsidP="00BB70B7" w14:paraId="2167C0AE" w14:textId="77777777">
            <w:pPr>
              <w:keepNext/>
              <w:keepLines/>
              <w:tabs>
                <w:tab w:val="left" w:pos="-1080"/>
              </w:tabs>
              <w:autoSpaceDE w:val="0"/>
              <w:autoSpaceDN w:val="0"/>
              <w:adjustRightInd w:val="0"/>
              <w:rPr>
                <w:del w:id="4882" w:author="AbbVie14" w:date="2025-05-09T10:31:00Z"/>
                <w:bCs/>
                <w:sz w:val="22"/>
                <w:szCs w:val="22"/>
              </w:rPr>
            </w:pPr>
            <w:del w:id="4883" w:author="AbbVie14" w:date="2025-05-09T10:31:00Z">
              <w:r w:rsidRPr="00612824">
                <w:rPr>
                  <w:bCs/>
                  <w:sz w:val="22"/>
                  <w:szCs w:val="22"/>
                </w:rPr>
                <w:delText>Settimana 52</w:delText>
              </w:r>
            </w:del>
          </w:p>
        </w:tc>
        <w:tc>
          <w:tcPr>
            <w:tcW w:w="1656" w:type="dxa"/>
            <w:tcBorders>
              <w:top w:val="single" w:sz="6" w:space="0" w:color="000000"/>
              <w:left w:val="single" w:sz="6" w:space="0" w:color="000000"/>
              <w:bottom w:val="single" w:sz="6" w:space="0" w:color="000000"/>
              <w:right w:val="single" w:sz="6" w:space="0" w:color="000000"/>
            </w:tcBorders>
          </w:tcPr>
          <w:p w:rsidR="00BB70B7" w:rsidRPr="00612824" w:rsidP="00BB70B7" w14:paraId="2457A02A" w14:textId="77777777">
            <w:pPr>
              <w:keepNext/>
              <w:keepLines/>
              <w:tabs>
                <w:tab w:val="left" w:pos="-1080"/>
              </w:tabs>
              <w:autoSpaceDE w:val="0"/>
              <w:autoSpaceDN w:val="0"/>
              <w:adjustRightInd w:val="0"/>
              <w:ind w:left="15"/>
              <w:jc w:val="center"/>
              <w:rPr>
                <w:del w:id="4884" w:author="AbbVie14" w:date="2025-05-09T10:31:00Z"/>
                <w:sz w:val="22"/>
                <w:szCs w:val="22"/>
              </w:rPr>
            </w:pPr>
            <w:del w:id="4885" w:author="AbbVie14" w:date="2025-05-09T10:31:00Z">
              <w:r w:rsidRPr="00612824">
                <w:rPr>
                  <w:sz w:val="22"/>
                  <w:szCs w:val="22"/>
                </w:rPr>
                <w:delText>30,0%</w:delText>
              </w:r>
            </w:del>
          </w:p>
        </w:tc>
        <w:tc>
          <w:tcPr>
            <w:tcW w:w="1619" w:type="dxa"/>
            <w:tcBorders>
              <w:top w:val="single" w:sz="6" w:space="0" w:color="000000"/>
              <w:left w:val="single" w:sz="6" w:space="0" w:color="000000"/>
              <w:bottom w:val="single" w:sz="6" w:space="0" w:color="000000"/>
              <w:right w:val="single" w:sz="6" w:space="0" w:color="000000"/>
            </w:tcBorders>
          </w:tcPr>
          <w:p w:rsidR="00BB70B7" w:rsidRPr="00612824" w:rsidP="00BB70B7" w14:paraId="50A833A3" w14:textId="77777777">
            <w:pPr>
              <w:keepNext/>
              <w:keepLines/>
              <w:tabs>
                <w:tab w:val="left" w:pos="-1080"/>
              </w:tabs>
              <w:autoSpaceDE w:val="0"/>
              <w:autoSpaceDN w:val="0"/>
              <w:adjustRightInd w:val="0"/>
              <w:ind w:left="15"/>
              <w:jc w:val="center"/>
              <w:rPr>
                <w:del w:id="4886" w:author="AbbVie14" w:date="2025-05-09T10:31:00Z"/>
                <w:sz w:val="22"/>
                <w:szCs w:val="22"/>
              </w:rPr>
            </w:pPr>
            <w:del w:id="4887" w:author="AbbVie14" w:date="2025-05-09T10:31:00Z">
              <w:r w:rsidRPr="00612824">
                <w:rPr>
                  <w:sz w:val="22"/>
                  <w:szCs w:val="22"/>
                </w:rPr>
                <w:delText>29,8%</w:delText>
              </w:r>
            </w:del>
          </w:p>
        </w:tc>
        <w:tc>
          <w:tcPr>
            <w:tcW w:w="1140" w:type="dxa"/>
            <w:tcBorders>
              <w:top w:val="single" w:sz="6" w:space="0" w:color="000000"/>
              <w:left w:val="single" w:sz="6" w:space="0" w:color="000000"/>
              <w:bottom w:val="single" w:sz="6" w:space="0" w:color="000000"/>
              <w:right w:val="single" w:sz="6" w:space="0" w:color="000000"/>
            </w:tcBorders>
          </w:tcPr>
          <w:p w:rsidR="00BB70B7" w:rsidRPr="00612824" w:rsidP="00BB70B7" w14:paraId="5FD1DFE3" w14:textId="77777777">
            <w:pPr>
              <w:keepNext/>
              <w:keepLines/>
              <w:tabs>
                <w:tab w:val="left" w:pos="-1080"/>
              </w:tabs>
              <w:autoSpaceDE w:val="0"/>
              <w:autoSpaceDN w:val="0"/>
              <w:adjustRightInd w:val="0"/>
              <w:ind w:left="15"/>
              <w:jc w:val="center"/>
              <w:rPr>
                <w:del w:id="4888" w:author="AbbVie14" w:date="2025-05-09T10:31:00Z"/>
                <w:sz w:val="22"/>
                <w:szCs w:val="22"/>
              </w:rPr>
            </w:pPr>
            <w:del w:id="4889" w:author="AbbVie14" w:date="2025-05-09T10:31:00Z">
              <w:r w:rsidRPr="00612824">
                <w:rPr>
                  <w:sz w:val="22"/>
                  <w:szCs w:val="22"/>
                </w:rPr>
                <w:delText>0,983</w:delText>
              </w:r>
            </w:del>
          </w:p>
        </w:tc>
      </w:tr>
      <w:tr w14:paraId="7DD90027" w14:textId="77777777" w:rsidTr="00BB70B7">
        <w:tblPrEx>
          <w:tblW w:w="0" w:type="auto"/>
          <w:tblLook w:val="00A0"/>
        </w:tblPrEx>
        <w:trPr>
          <w:del w:id="4890" w:author="AbbVie14" w:date="2025-05-09T10:31:00Z"/>
        </w:trPr>
        <w:tc>
          <w:tcPr>
            <w:tcW w:w="4025" w:type="dxa"/>
            <w:tcBorders>
              <w:top w:val="single" w:sz="6" w:space="0" w:color="000000"/>
              <w:left w:val="single" w:sz="6" w:space="0" w:color="000000"/>
              <w:bottom w:val="single" w:sz="6" w:space="0" w:color="000000"/>
              <w:right w:val="single" w:sz="6" w:space="0" w:color="000000"/>
            </w:tcBorders>
          </w:tcPr>
          <w:p w:rsidR="00BB70B7" w:rsidRPr="00612824" w:rsidP="00BB70B7" w14:paraId="7E981DD7" w14:textId="77777777">
            <w:pPr>
              <w:keepNext/>
              <w:keepLines/>
              <w:tabs>
                <w:tab w:val="left" w:pos="-1080"/>
              </w:tabs>
              <w:autoSpaceDE w:val="0"/>
              <w:autoSpaceDN w:val="0"/>
              <w:adjustRightInd w:val="0"/>
              <w:rPr>
                <w:del w:id="4891" w:author="AbbVie14" w:date="2025-05-09T10:31:00Z"/>
                <w:b/>
                <w:bCs/>
                <w:sz w:val="22"/>
                <w:szCs w:val="22"/>
              </w:rPr>
            </w:pPr>
            <w:del w:id="4892" w:author="AbbVie14" w:date="2025-05-09T10:31:00Z">
              <w:r w:rsidRPr="00612824">
                <w:rPr>
                  <w:b/>
                  <w:sz w:val="22"/>
                  <w:szCs w:val="22"/>
                </w:rPr>
                <w:delText>Remissione della Fistola</w:delText>
              </w:r>
            </w:del>
            <w:del w:id="4893" w:author="AbbVie14" w:date="2025-05-09T10:31:00Z">
              <w:r w:rsidRPr="00612824">
                <w:rPr>
                  <w:b/>
                  <w:sz w:val="22"/>
                  <w:szCs w:val="22"/>
                  <w:vertAlign w:val="superscript"/>
                </w:rPr>
                <w:delText>3</w:delText>
              </w:r>
            </w:del>
          </w:p>
        </w:tc>
        <w:tc>
          <w:tcPr>
            <w:tcW w:w="1656" w:type="dxa"/>
            <w:tcBorders>
              <w:top w:val="single" w:sz="6" w:space="0" w:color="000000"/>
              <w:left w:val="single" w:sz="6" w:space="0" w:color="000000"/>
              <w:bottom w:val="single" w:sz="6" w:space="0" w:color="000000"/>
              <w:right w:val="single" w:sz="6" w:space="0" w:color="000000"/>
            </w:tcBorders>
          </w:tcPr>
          <w:p w:rsidR="00BB70B7" w:rsidRPr="00612824" w:rsidP="00BB70B7" w14:paraId="2CBDC222" w14:textId="77777777">
            <w:pPr>
              <w:keepNext/>
              <w:keepLines/>
              <w:tabs>
                <w:tab w:val="left" w:pos="-1080"/>
              </w:tabs>
              <w:autoSpaceDE w:val="0"/>
              <w:autoSpaceDN w:val="0"/>
              <w:adjustRightInd w:val="0"/>
              <w:ind w:left="15"/>
              <w:jc w:val="center"/>
              <w:rPr>
                <w:del w:id="4894" w:author="AbbVie14" w:date="2025-05-09T10:31:00Z"/>
                <w:b/>
                <w:sz w:val="22"/>
                <w:szCs w:val="22"/>
              </w:rPr>
            </w:pPr>
            <w:del w:id="4895" w:author="AbbVie14" w:date="2025-05-09T10:31:00Z">
              <w:r w:rsidRPr="00612824">
                <w:rPr>
                  <w:b/>
                  <w:sz w:val="22"/>
                  <w:szCs w:val="22"/>
                </w:rPr>
                <w:delText>N=15</w:delText>
              </w:r>
            </w:del>
          </w:p>
        </w:tc>
        <w:tc>
          <w:tcPr>
            <w:tcW w:w="1619" w:type="dxa"/>
            <w:tcBorders>
              <w:top w:val="single" w:sz="6" w:space="0" w:color="000000"/>
              <w:left w:val="single" w:sz="6" w:space="0" w:color="000000"/>
              <w:bottom w:val="single" w:sz="6" w:space="0" w:color="000000"/>
              <w:right w:val="single" w:sz="6" w:space="0" w:color="000000"/>
            </w:tcBorders>
          </w:tcPr>
          <w:p w:rsidR="00BB70B7" w:rsidRPr="00612824" w:rsidP="00BB70B7" w14:paraId="06CD641A" w14:textId="77777777">
            <w:pPr>
              <w:keepNext/>
              <w:keepLines/>
              <w:tabs>
                <w:tab w:val="left" w:pos="-1080"/>
              </w:tabs>
              <w:autoSpaceDE w:val="0"/>
              <w:autoSpaceDN w:val="0"/>
              <w:adjustRightInd w:val="0"/>
              <w:ind w:left="15"/>
              <w:jc w:val="center"/>
              <w:rPr>
                <w:del w:id="4896" w:author="AbbVie14" w:date="2025-05-09T10:31:00Z"/>
                <w:b/>
                <w:sz w:val="22"/>
                <w:szCs w:val="22"/>
              </w:rPr>
            </w:pPr>
            <w:del w:id="4897" w:author="AbbVie14" w:date="2025-05-09T10:31:00Z">
              <w:r w:rsidRPr="00612824">
                <w:rPr>
                  <w:b/>
                  <w:sz w:val="22"/>
                  <w:szCs w:val="22"/>
                </w:rPr>
                <w:delText>N=21</w:delText>
              </w:r>
            </w:del>
          </w:p>
        </w:tc>
        <w:tc>
          <w:tcPr>
            <w:tcW w:w="1140" w:type="dxa"/>
            <w:tcBorders>
              <w:top w:val="single" w:sz="6" w:space="0" w:color="000000"/>
              <w:left w:val="single" w:sz="6" w:space="0" w:color="000000"/>
              <w:bottom w:val="single" w:sz="6" w:space="0" w:color="000000"/>
              <w:right w:val="single" w:sz="6" w:space="0" w:color="000000"/>
            </w:tcBorders>
          </w:tcPr>
          <w:p w:rsidR="00BB70B7" w:rsidRPr="00612824" w:rsidP="00BB70B7" w14:paraId="1085F371" w14:textId="77777777">
            <w:pPr>
              <w:keepNext/>
              <w:keepLines/>
              <w:tabs>
                <w:tab w:val="left" w:pos="-1080"/>
              </w:tabs>
              <w:autoSpaceDE w:val="0"/>
              <w:autoSpaceDN w:val="0"/>
              <w:adjustRightInd w:val="0"/>
              <w:ind w:left="15"/>
              <w:jc w:val="center"/>
              <w:rPr>
                <w:del w:id="4898" w:author="AbbVie14" w:date="2025-05-09T10:31:00Z"/>
                <w:sz w:val="22"/>
                <w:szCs w:val="22"/>
              </w:rPr>
            </w:pPr>
          </w:p>
        </w:tc>
      </w:tr>
      <w:tr w14:paraId="141038CF" w14:textId="77777777" w:rsidTr="00BB70B7">
        <w:tblPrEx>
          <w:tblW w:w="0" w:type="auto"/>
          <w:tblLook w:val="00A0"/>
        </w:tblPrEx>
        <w:trPr>
          <w:del w:id="4899" w:author="AbbVie14" w:date="2025-05-09T10:31:00Z"/>
        </w:trPr>
        <w:tc>
          <w:tcPr>
            <w:tcW w:w="4025" w:type="dxa"/>
            <w:tcBorders>
              <w:top w:val="single" w:sz="6" w:space="0" w:color="000000"/>
              <w:left w:val="single" w:sz="6" w:space="0" w:color="000000"/>
              <w:bottom w:val="single" w:sz="6" w:space="0" w:color="000000"/>
              <w:right w:val="single" w:sz="6" w:space="0" w:color="000000"/>
            </w:tcBorders>
          </w:tcPr>
          <w:p w:rsidR="00BB70B7" w:rsidRPr="00612824" w:rsidP="00BB70B7" w14:paraId="08E7CAA9" w14:textId="77777777">
            <w:pPr>
              <w:keepNext/>
              <w:keepLines/>
              <w:tabs>
                <w:tab w:val="left" w:pos="-1080"/>
              </w:tabs>
              <w:autoSpaceDE w:val="0"/>
              <w:autoSpaceDN w:val="0"/>
              <w:adjustRightInd w:val="0"/>
              <w:rPr>
                <w:del w:id="4900" w:author="AbbVie14" w:date="2025-05-09T10:31:00Z"/>
                <w:bCs/>
                <w:sz w:val="22"/>
                <w:szCs w:val="22"/>
              </w:rPr>
            </w:pPr>
            <w:del w:id="4901" w:author="AbbVie14" w:date="2025-05-09T10:31:00Z">
              <w:r w:rsidRPr="00612824">
                <w:rPr>
                  <w:bCs/>
                  <w:sz w:val="22"/>
                  <w:szCs w:val="22"/>
                </w:rPr>
                <w:delText>Settimana 26</w:delText>
              </w:r>
            </w:del>
          </w:p>
        </w:tc>
        <w:tc>
          <w:tcPr>
            <w:tcW w:w="1656" w:type="dxa"/>
            <w:tcBorders>
              <w:top w:val="single" w:sz="6" w:space="0" w:color="000000"/>
              <w:left w:val="single" w:sz="6" w:space="0" w:color="000000"/>
              <w:bottom w:val="single" w:sz="6" w:space="0" w:color="000000"/>
              <w:right w:val="single" w:sz="6" w:space="0" w:color="000000"/>
            </w:tcBorders>
          </w:tcPr>
          <w:p w:rsidR="00BB70B7" w:rsidRPr="00612824" w:rsidP="00BB70B7" w14:paraId="3F567DDA" w14:textId="77777777">
            <w:pPr>
              <w:keepNext/>
              <w:keepLines/>
              <w:tabs>
                <w:tab w:val="left" w:pos="-1080"/>
              </w:tabs>
              <w:autoSpaceDE w:val="0"/>
              <w:autoSpaceDN w:val="0"/>
              <w:adjustRightInd w:val="0"/>
              <w:ind w:left="15"/>
              <w:jc w:val="center"/>
              <w:rPr>
                <w:del w:id="4902" w:author="AbbVie14" w:date="2025-05-09T10:31:00Z"/>
                <w:sz w:val="22"/>
                <w:szCs w:val="22"/>
              </w:rPr>
            </w:pPr>
            <w:del w:id="4903" w:author="AbbVie14" w:date="2025-05-09T10:31:00Z">
              <w:r w:rsidRPr="00612824">
                <w:rPr>
                  <w:sz w:val="22"/>
                  <w:szCs w:val="22"/>
                </w:rPr>
                <w:delText>46,7%</w:delText>
              </w:r>
            </w:del>
          </w:p>
        </w:tc>
        <w:tc>
          <w:tcPr>
            <w:tcW w:w="1619" w:type="dxa"/>
            <w:tcBorders>
              <w:top w:val="single" w:sz="6" w:space="0" w:color="000000"/>
              <w:left w:val="single" w:sz="6" w:space="0" w:color="000000"/>
              <w:bottom w:val="single" w:sz="6" w:space="0" w:color="000000"/>
              <w:right w:val="single" w:sz="6" w:space="0" w:color="000000"/>
            </w:tcBorders>
          </w:tcPr>
          <w:p w:rsidR="00BB70B7" w:rsidRPr="00612824" w:rsidP="00BB70B7" w14:paraId="7426E078" w14:textId="77777777">
            <w:pPr>
              <w:keepNext/>
              <w:keepLines/>
              <w:tabs>
                <w:tab w:val="left" w:pos="-1080"/>
              </w:tabs>
              <w:autoSpaceDE w:val="0"/>
              <w:autoSpaceDN w:val="0"/>
              <w:adjustRightInd w:val="0"/>
              <w:ind w:left="15"/>
              <w:jc w:val="center"/>
              <w:rPr>
                <w:del w:id="4904" w:author="AbbVie14" w:date="2025-05-09T10:31:00Z"/>
                <w:sz w:val="22"/>
                <w:szCs w:val="22"/>
              </w:rPr>
            </w:pPr>
            <w:del w:id="4905" w:author="AbbVie14" w:date="2025-05-09T10:31:00Z">
              <w:r w:rsidRPr="00612824">
                <w:rPr>
                  <w:sz w:val="22"/>
                  <w:szCs w:val="22"/>
                </w:rPr>
                <w:delText>38,1%</w:delText>
              </w:r>
            </w:del>
          </w:p>
        </w:tc>
        <w:tc>
          <w:tcPr>
            <w:tcW w:w="1140" w:type="dxa"/>
            <w:tcBorders>
              <w:top w:val="single" w:sz="6" w:space="0" w:color="000000"/>
              <w:left w:val="single" w:sz="6" w:space="0" w:color="000000"/>
              <w:bottom w:val="single" w:sz="6" w:space="0" w:color="000000"/>
              <w:right w:val="single" w:sz="6" w:space="0" w:color="000000"/>
            </w:tcBorders>
          </w:tcPr>
          <w:p w:rsidR="00BB70B7" w:rsidRPr="00612824" w:rsidP="00BB70B7" w14:paraId="127E585A" w14:textId="77777777">
            <w:pPr>
              <w:keepNext/>
              <w:keepLines/>
              <w:tabs>
                <w:tab w:val="left" w:pos="-1080"/>
              </w:tabs>
              <w:autoSpaceDE w:val="0"/>
              <w:autoSpaceDN w:val="0"/>
              <w:adjustRightInd w:val="0"/>
              <w:ind w:left="15"/>
              <w:jc w:val="center"/>
              <w:rPr>
                <w:del w:id="4906" w:author="AbbVie14" w:date="2025-05-09T10:31:00Z"/>
                <w:sz w:val="22"/>
                <w:szCs w:val="22"/>
              </w:rPr>
            </w:pPr>
            <w:del w:id="4907" w:author="AbbVie14" w:date="2025-05-09T10:31:00Z">
              <w:r w:rsidRPr="00612824">
                <w:rPr>
                  <w:sz w:val="22"/>
                  <w:szCs w:val="22"/>
                </w:rPr>
                <w:delText>0,608</w:delText>
              </w:r>
            </w:del>
          </w:p>
        </w:tc>
      </w:tr>
      <w:tr w14:paraId="106D3AB7" w14:textId="77777777" w:rsidTr="00BB70B7">
        <w:tblPrEx>
          <w:tblW w:w="0" w:type="auto"/>
          <w:tblLook w:val="00A0"/>
        </w:tblPrEx>
        <w:trPr>
          <w:del w:id="4908" w:author="AbbVie14" w:date="2025-05-09T10:31:00Z"/>
        </w:trPr>
        <w:tc>
          <w:tcPr>
            <w:tcW w:w="4025" w:type="dxa"/>
            <w:tcBorders>
              <w:top w:val="single" w:sz="6" w:space="0" w:color="000000"/>
              <w:left w:val="single" w:sz="6" w:space="0" w:color="000000"/>
              <w:bottom w:val="single" w:sz="4" w:space="0" w:color="auto"/>
              <w:right w:val="single" w:sz="6" w:space="0" w:color="000000"/>
            </w:tcBorders>
          </w:tcPr>
          <w:p w:rsidR="00BB70B7" w:rsidRPr="00612824" w:rsidP="00BB70B7" w14:paraId="4D6014F2" w14:textId="77777777">
            <w:pPr>
              <w:keepNext/>
              <w:keepLines/>
              <w:tabs>
                <w:tab w:val="left" w:pos="-1080"/>
              </w:tabs>
              <w:autoSpaceDE w:val="0"/>
              <w:autoSpaceDN w:val="0"/>
              <w:adjustRightInd w:val="0"/>
              <w:rPr>
                <w:del w:id="4909" w:author="AbbVie14" w:date="2025-05-09T10:31:00Z"/>
                <w:bCs/>
                <w:sz w:val="22"/>
                <w:szCs w:val="22"/>
              </w:rPr>
            </w:pPr>
            <w:del w:id="4910" w:author="AbbVie14" w:date="2025-05-09T10:31:00Z">
              <w:r w:rsidRPr="00612824">
                <w:rPr>
                  <w:bCs/>
                  <w:sz w:val="22"/>
                  <w:szCs w:val="22"/>
                </w:rPr>
                <w:delText>Settimana</w:delText>
              </w:r>
            </w:del>
            <w:del w:id="4911" w:author="AbbVie14" w:date="2025-05-09T10:31:00Z">
              <w:r w:rsidRPr="00612824">
                <w:rPr>
                  <w:sz w:val="22"/>
                  <w:szCs w:val="22"/>
                </w:rPr>
                <w:delText> 52,</w:delText>
              </w:r>
            </w:del>
          </w:p>
        </w:tc>
        <w:tc>
          <w:tcPr>
            <w:tcW w:w="1656" w:type="dxa"/>
            <w:tcBorders>
              <w:top w:val="single" w:sz="6" w:space="0" w:color="000000"/>
              <w:left w:val="single" w:sz="6" w:space="0" w:color="000000"/>
              <w:bottom w:val="single" w:sz="4" w:space="0" w:color="auto"/>
              <w:right w:val="single" w:sz="6" w:space="0" w:color="000000"/>
            </w:tcBorders>
          </w:tcPr>
          <w:p w:rsidR="00BB70B7" w:rsidRPr="00612824" w:rsidP="00BB70B7" w14:paraId="7A106725" w14:textId="77777777">
            <w:pPr>
              <w:keepNext/>
              <w:keepLines/>
              <w:tabs>
                <w:tab w:val="left" w:pos="-1080"/>
              </w:tabs>
              <w:autoSpaceDE w:val="0"/>
              <w:autoSpaceDN w:val="0"/>
              <w:adjustRightInd w:val="0"/>
              <w:ind w:left="15"/>
              <w:jc w:val="center"/>
              <w:rPr>
                <w:del w:id="4912" w:author="AbbVie14" w:date="2025-05-09T10:31:00Z"/>
                <w:sz w:val="22"/>
                <w:szCs w:val="22"/>
              </w:rPr>
            </w:pPr>
            <w:del w:id="4913" w:author="AbbVie14" w:date="2025-05-09T10:31:00Z">
              <w:r w:rsidRPr="00612824">
                <w:rPr>
                  <w:sz w:val="22"/>
                  <w:szCs w:val="22"/>
                </w:rPr>
                <w:delText>40,0%</w:delText>
              </w:r>
            </w:del>
          </w:p>
        </w:tc>
        <w:tc>
          <w:tcPr>
            <w:tcW w:w="1619" w:type="dxa"/>
            <w:tcBorders>
              <w:top w:val="single" w:sz="6" w:space="0" w:color="000000"/>
              <w:left w:val="single" w:sz="6" w:space="0" w:color="000000"/>
              <w:bottom w:val="single" w:sz="4" w:space="0" w:color="auto"/>
              <w:right w:val="single" w:sz="6" w:space="0" w:color="000000"/>
            </w:tcBorders>
          </w:tcPr>
          <w:p w:rsidR="00BB70B7" w:rsidRPr="00612824" w:rsidP="00BB70B7" w14:paraId="6251F179" w14:textId="77777777">
            <w:pPr>
              <w:keepNext/>
              <w:keepLines/>
              <w:tabs>
                <w:tab w:val="left" w:pos="-1080"/>
              </w:tabs>
              <w:autoSpaceDE w:val="0"/>
              <w:autoSpaceDN w:val="0"/>
              <w:adjustRightInd w:val="0"/>
              <w:ind w:left="15"/>
              <w:jc w:val="center"/>
              <w:rPr>
                <w:del w:id="4914" w:author="AbbVie14" w:date="2025-05-09T10:31:00Z"/>
                <w:sz w:val="22"/>
                <w:szCs w:val="22"/>
              </w:rPr>
            </w:pPr>
            <w:del w:id="4915" w:author="AbbVie14" w:date="2025-05-09T10:31:00Z">
              <w:r w:rsidRPr="00612824">
                <w:rPr>
                  <w:sz w:val="22"/>
                  <w:szCs w:val="22"/>
                </w:rPr>
                <w:delText>23,8%</w:delText>
              </w:r>
            </w:del>
          </w:p>
        </w:tc>
        <w:tc>
          <w:tcPr>
            <w:tcW w:w="1140" w:type="dxa"/>
            <w:tcBorders>
              <w:top w:val="single" w:sz="6" w:space="0" w:color="000000"/>
              <w:left w:val="single" w:sz="6" w:space="0" w:color="000000"/>
              <w:bottom w:val="single" w:sz="4" w:space="0" w:color="auto"/>
              <w:right w:val="single" w:sz="6" w:space="0" w:color="000000"/>
            </w:tcBorders>
          </w:tcPr>
          <w:p w:rsidR="00BB70B7" w:rsidRPr="00612824" w:rsidP="00BB70B7" w14:paraId="7CA992AF" w14:textId="77777777">
            <w:pPr>
              <w:keepNext/>
              <w:keepLines/>
              <w:tabs>
                <w:tab w:val="left" w:pos="-1080"/>
              </w:tabs>
              <w:autoSpaceDE w:val="0"/>
              <w:autoSpaceDN w:val="0"/>
              <w:adjustRightInd w:val="0"/>
              <w:ind w:left="15"/>
              <w:jc w:val="center"/>
              <w:rPr>
                <w:del w:id="4916" w:author="AbbVie14" w:date="2025-05-09T10:31:00Z"/>
                <w:sz w:val="22"/>
                <w:szCs w:val="22"/>
              </w:rPr>
            </w:pPr>
            <w:del w:id="4917" w:author="AbbVie14" w:date="2025-05-09T10:31:00Z">
              <w:r w:rsidRPr="00612824">
                <w:rPr>
                  <w:sz w:val="22"/>
                  <w:szCs w:val="22"/>
                </w:rPr>
                <w:delText>0,303</w:delText>
              </w:r>
            </w:del>
          </w:p>
        </w:tc>
      </w:tr>
      <w:tr w14:paraId="68C089EB" w14:textId="77777777" w:rsidTr="00BB70B7">
        <w:tblPrEx>
          <w:tblW w:w="0" w:type="auto"/>
          <w:tblLook w:val="00A0"/>
        </w:tblPrEx>
        <w:trPr>
          <w:trHeight w:val="177"/>
          <w:del w:id="4918" w:author="AbbVie14" w:date="2025-05-09T10:31:00Z"/>
        </w:trPr>
        <w:tc>
          <w:tcPr>
            <w:tcW w:w="8440" w:type="dxa"/>
            <w:gridSpan w:val="4"/>
            <w:tcBorders>
              <w:top w:val="single" w:sz="4" w:space="0" w:color="auto"/>
            </w:tcBorders>
          </w:tcPr>
          <w:p w:rsidR="00BB70B7" w:rsidRPr="00612824" w:rsidP="00BB70B7" w14:paraId="49722AC3" w14:textId="77777777">
            <w:pPr>
              <w:keepNext/>
              <w:keepLines/>
              <w:tabs>
                <w:tab w:val="left" w:pos="-1080"/>
              </w:tabs>
              <w:autoSpaceDE w:val="0"/>
              <w:autoSpaceDN w:val="0"/>
              <w:adjustRightInd w:val="0"/>
              <w:jc w:val="both"/>
              <w:rPr>
                <w:del w:id="4919" w:author="AbbVie14" w:date="2025-05-09T10:31:00Z"/>
                <w:sz w:val="22"/>
                <w:szCs w:val="22"/>
              </w:rPr>
            </w:pPr>
            <w:del w:id="4920" w:author="AbbVie14" w:date="2025-05-09T10:31:00Z">
              <w:r w:rsidRPr="00612824">
                <w:rPr>
                  <w:sz w:val="22"/>
                  <w:szCs w:val="22"/>
                  <w:vertAlign w:val="superscript"/>
                </w:rPr>
                <w:delText>1</w:delText>
              </w:r>
            </w:del>
            <w:del w:id="4921" w:author="AbbVie14" w:date="2025-05-09T10:31:00Z">
              <w:r w:rsidRPr="00612824">
                <w:rPr>
                  <w:sz w:val="22"/>
                  <w:szCs w:val="22"/>
                </w:rPr>
                <w:delText xml:space="preserve">confronto valore P per Dose Standard </w:delText>
              </w:r>
            </w:del>
            <w:del w:id="4922" w:author="AbbVie14" w:date="2025-05-09T10:31:00Z">
              <w:r w:rsidRPr="00612824">
                <w:rPr>
                  <w:i/>
                  <w:iCs/>
                  <w:sz w:val="22"/>
                  <w:szCs w:val="22"/>
                </w:rPr>
                <w:delText xml:space="preserve">versus </w:delText>
              </w:r>
            </w:del>
            <w:del w:id="4923" w:author="AbbVie14" w:date="2025-05-09T10:31:00Z">
              <w:r w:rsidRPr="00612824">
                <w:rPr>
                  <w:sz w:val="22"/>
                  <w:szCs w:val="22"/>
                </w:rPr>
                <w:delText>Dose Bassa.</w:delText>
              </w:r>
            </w:del>
          </w:p>
          <w:p w:rsidR="00BB70B7" w:rsidRPr="00612824" w:rsidP="00BB70B7" w14:paraId="3BDF6217" w14:textId="77777777">
            <w:pPr>
              <w:keepNext/>
              <w:keepLines/>
              <w:tabs>
                <w:tab w:val="left" w:pos="-1080"/>
              </w:tabs>
              <w:autoSpaceDE w:val="0"/>
              <w:autoSpaceDN w:val="0"/>
              <w:adjustRightInd w:val="0"/>
              <w:jc w:val="both"/>
              <w:rPr>
                <w:del w:id="4924" w:author="AbbVie14" w:date="2025-05-09T10:31:00Z"/>
                <w:sz w:val="22"/>
                <w:szCs w:val="22"/>
              </w:rPr>
            </w:pPr>
            <w:del w:id="4925" w:author="AbbVie14" w:date="2025-05-09T10:31:00Z">
              <w:r w:rsidRPr="00612824">
                <w:rPr>
                  <w:sz w:val="22"/>
                  <w:szCs w:val="22"/>
                  <w:vertAlign w:val="superscript"/>
                </w:rPr>
                <w:delText xml:space="preserve"> 2</w:delText>
              </w:r>
            </w:del>
            <w:del w:id="4926" w:author="AbbVie14" w:date="2025-05-09T10:31:00Z">
              <w:r w:rsidRPr="00612824">
                <w:rPr>
                  <w:sz w:val="22"/>
                  <w:szCs w:val="22"/>
                </w:rPr>
                <w:delText>la terapia immunosoppressiva poteva essere interrotta solo alla o dopo la Settimana 26 a discrezione dello sperimentatore se il soggetto aveva raggiunto il criterio della risposta clinica</w:delText>
              </w:r>
            </w:del>
          </w:p>
          <w:p w:rsidR="00BB70B7" w:rsidRPr="00612824" w:rsidP="00BB70B7" w14:paraId="03C2F1BD" w14:textId="77777777">
            <w:pPr>
              <w:keepNext/>
              <w:keepLines/>
              <w:tabs>
                <w:tab w:val="left" w:pos="-1080"/>
              </w:tabs>
              <w:autoSpaceDE w:val="0"/>
              <w:autoSpaceDN w:val="0"/>
              <w:adjustRightInd w:val="0"/>
              <w:jc w:val="both"/>
              <w:rPr>
                <w:del w:id="4927" w:author="AbbVie14" w:date="2025-05-09T10:31:00Z"/>
                <w:sz w:val="22"/>
                <w:szCs w:val="22"/>
              </w:rPr>
            </w:pPr>
            <w:del w:id="4928" w:author="AbbVie14" w:date="2025-05-09T10:31:00Z">
              <w:r w:rsidRPr="00612824">
                <w:rPr>
                  <w:sz w:val="22"/>
                  <w:szCs w:val="22"/>
                  <w:vertAlign w:val="superscript"/>
                </w:rPr>
                <w:delText>3</w:delText>
              </w:r>
            </w:del>
            <w:del w:id="4929" w:author="AbbVie14" w:date="2025-05-09T10:31:00Z">
              <w:r w:rsidRPr="00612824">
                <w:rPr>
                  <w:sz w:val="22"/>
                  <w:szCs w:val="22"/>
                </w:rPr>
                <w:delText>definito come chiusura di tutte le fistole che si stavano esaurendo al basale per almeno 2 visite consecutive post-basale</w:delText>
              </w:r>
            </w:del>
          </w:p>
        </w:tc>
      </w:tr>
    </w:tbl>
    <w:p w:rsidR="00BB70B7" w:rsidRPr="00612824" w:rsidP="00BB70B7" w14:paraId="3D77E74B" w14:textId="77777777">
      <w:pPr>
        <w:keepNext/>
        <w:tabs>
          <w:tab w:val="left" w:pos="567"/>
        </w:tabs>
        <w:jc w:val="both"/>
        <w:rPr>
          <w:del w:id="4930" w:author="AbbVie14" w:date="2025-05-09T10:31:00Z"/>
          <w:sz w:val="22"/>
          <w:szCs w:val="22"/>
        </w:rPr>
      </w:pPr>
    </w:p>
    <w:p w:rsidR="00BB70B7" w:rsidRPr="00612824" w:rsidP="00BB70B7" w14:paraId="3BF109CE" w14:textId="77777777">
      <w:pPr>
        <w:tabs>
          <w:tab w:val="left" w:pos="567"/>
        </w:tabs>
        <w:jc w:val="both"/>
        <w:rPr>
          <w:del w:id="4931" w:author="AbbVie14" w:date="2025-05-09T10:31:00Z"/>
          <w:sz w:val="22"/>
          <w:szCs w:val="22"/>
        </w:rPr>
      </w:pPr>
      <w:del w:id="4932" w:author="AbbVie14" w:date="2025-05-09T10:31:00Z">
        <w:r w:rsidRPr="00612824">
          <w:rPr>
            <w:sz w:val="22"/>
            <w:szCs w:val="22"/>
          </w:rPr>
          <w:delText>Per entrambi i gruppi di trattamento sono stati osservati incrementi (miglioramenti) statisticamente significativi dell’Indice di Massa Corporea e della velocità di accrescimento staturale dal basale alla Settimana 26 e 52.</w:delText>
        </w:r>
      </w:del>
    </w:p>
    <w:p w:rsidR="00BB70B7" w:rsidRPr="00612824" w:rsidP="00BB70B7" w14:paraId="2911EA58" w14:textId="77777777">
      <w:pPr>
        <w:tabs>
          <w:tab w:val="left" w:pos="567"/>
        </w:tabs>
        <w:jc w:val="both"/>
        <w:rPr>
          <w:del w:id="4933" w:author="AbbVie14" w:date="2025-05-09T10:31:00Z"/>
          <w:sz w:val="22"/>
          <w:szCs w:val="22"/>
        </w:rPr>
      </w:pPr>
    </w:p>
    <w:p w:rsidR="00BB70B7" w:rsidRPr="00612824" w:rsidP="00BB70B7" w14:paraId="2F5808E3" w14:textId="77777777">
      <w:pPr>
        <w:tabs>
          <w:tab w:val="left" w:pos="567"/>
        </w:tabs>
        <w:jc w:val="both"/>
        <w:rPr>
          <w:del w:id="4934" w:author="AbbVie14" w:date="2025-05-09T10:31:00Z"/>
          <w:sz w:val="22"/>
          <w:szCs w:val="22"/>
        </w:rPr>
      </w:pPr>
      <w:del w:id="4935" w:author="AbbVie14" w:date="2025-05-09T10:31:00Z">
        <w:r w:rsidRPr="00612824">
          <w:rPr>
            <w:sz w:val="22"/>
            <w:szCs w:val="22"/>
          </w:rPr>
          <w:delText>In entrambi i gruppi di trattamento sono stati inoltre osservati miglioramenti statisticamente e clinicamente significativi rispetto al basale dei parametri di qualità di vita (incluso IMPACT III).</w:delText>
        </w:r>
      </w:del>
    </w:p>
    <w:p w:rsidR="00BB70B7" w:rsidRPr="00612824" w:rsidP="00BB70B7" w14:paraId="5F59BAEA" w14:textId="77777777">
      <w:pPr>
        <w:tabs>
          <w:tab w:val="left" w:pos="567"/>
        </w:tabs>
        <w:jc w:val="both"/>
        <w:rPr>
          <w:del w:id="4936" w:author="AbbVie14" w:date="2025-05-09T10:31:00Z"/>
          <w:sz w:val="22"/>
          <w:szCs w:val="22"/>
        </w:rPr>
      </w:pPr>
    </w:p>
    <w:p w:rsidR="00BB70B7" w:rsidRPr="00295E71" w:rsidP="00BB70B7" w14:paraId="106483AB" w14:textId="77777777">
      <w:pPr>
        <w:rPr>
          <w:del w:id="4937" w:author="AbbVie14" w:date="2025-05-09T10:31:00Z"/>
          <w:sz w:val="22"/>
          <w:szCs w:val="22"/>
        </w:rPr>
      </w:pPr>
      <w:del w:id="4938" w:author="AbbVie14" w:date="2025-05-09T10:31:00Z">
        <w:r w:rsidRPr="00612824">
          <w:rPr>
            <w:sz w:val="22"/>
            <w:szCs w:val="22"/>
          </w:rPr>
          <w:delText>Cento pazienti (n=100) dello Studio della Malattia di Crohn Pediatrica hanno continuato in uno studio di estensione in aperto a lungo termine. Dopo 5 anni di trattamento con adalimumab, il 74,0% (37/50) dei 50 pazienti rimasti nello studio ha continuato ad essere in remissione clinica e il 92,0% (46/50) dei pazienti ha continuato ad avere la risposta clinica per PCDAI.</w:delText>
        </w:r>
      </w:del>
    </w:p>
    <w:p w:rsidR="000203FD" w:rsidP="000203FD" w14:paraId="7B1BF6BB" w14:textId="77777777">
      <w:pPr>
        <w:rPr>
          <w:del w:id="4939" w:author="AbbVie14" w:date="2025-05-09T10:31:00Z"/>
        </w:rPr>
      </w:pPr>
    </w:p>
    <w:p w:rsidR="007718C5" w:rsidRPr="005E345C" w:rsidP="007718C5" w14:paraId="7AD56C4D" w14:textId="77777777">
      <w:pPr>
        <w:keepNext/>
        <w:rPr>
          <w:del w:id="4940" w:author="AbbVie14" w:date="2025-05-09T10:31:00Z"/>
          <w:bCs/>
          <w:i/>
          <w:sz w:val="22"/>
          <w:szCs w:val="22"/>
        </w:rPr>
      </w:pPr>
      <w:del w:id="4941" w:author="AbbVie14" w:date="2025-05-09T10:31:00Z">
        <w:r w:rsidRPr="005E345C">
          <w:rPr>
            <w:i/>
            <w:sz w:val="22"/>
            <w:szCs w:val="22"/>
          </w:rPr>
          <w:delText>Colite ulcerosa pediatrica</w:delText>
        </w:r>
      </w:del>
    </w:p>
    <w:p w:rsidR="007718C5" w:rsidRPr="005E345C" w:rsidP="007718C5" w14:paraId="68A8B64A" w14:textId="77777777">
      <w:pPr>
        <w:keepNext/>
        <w:rPr>
          <w:del w:id="4942" w:author="AbbVie14" w:date="2025-05-09T10:31:00Z"/>
          <w:bCs/>
          <w:i/>
          <w:sz w:val="22"/>
          <w:szCs w:val="22"/>
        </w:rPr>
      </w:pPr>
    </w:p>
    <w:p w:rsidR="007718C5" w:rsidRPr="005E345C" w:rsidP="007718C5" w14:paraId="2B661983" w14:textId="77777777">
      <w:pPr>
        <w:rPr>
          <w:del w:id="4943" w:author="AbbVie14" w:date="2025-05-09T10:31:00Z"/>
          <w:sz w:val="22"/>
          <w:szCs w:val="22"/>
        </w:rPr>
      </w:pPr>
      <w:del w:id="4944" w:author="AbbVie14" w:date="2025-05-09T10:31:00Z">
        <w:r w:rsidRPr="005E345C">
          <w:rPr>
            <w:sz w:val="22"/>
            <w:szCs w:val="22"/>
          </w:rPr>
          <w:delText xml:space="preserve">La sicurezza e l'efficacia di Humira sono state valutate in uno studio multicentrico, randomizzato, in doppio cieco, condotto su 93 pazienti pediatrici di età compresa tra 5 e 17 anni </w:delText>
        </w:r>
      </w:del>
      <w:del w:id="4945" w:author="AbbVie14" w:date="2025-05-09T10:31:00Z">
        <w:r w:rsidR="00933C4B">
          <w:rPr>
            <w:sz w:val="22"/>
            <w:szCs w:val="22"/>
          </w:rPr>
          <w:delText>affetti da</w:delText>
        </w:r>
      </w:del>
      <w:del w:id="4946" w:author="AbbVie14" w:date="2025-05-09T10:31:00Z">
        <w:r w:rsidRPr="005E345C">
          <w:rPr>
            <w:sz w:val="22"/>
            <w:szCs w:val="22"/>
          </w:rPr>
          <w:delText xml:space="preserve"> colite ulcerosa da moderata a </w:delText>
        </w:r>
      </w:del>
      <w:del w:id="4947" w:author="AbbVie14" w:date="2025-05-09T10:31:00Z">
        <w:r w:rsidR="00933C4B">
          <w:rPr>
            <w:sz w:val="22"/>
            <w:szCs w:val="22"/>
          </w:rPr>
          <w:delText>severa</w:delText>
        </w:r>
      </w:del>
      <w:del w:id="4948" w:author="AbbVie14" w:date="2025-05-09T10:31:00Z">
        <w:r w:rsidRPr="005E345C">
          <w:rPr>
            <w:sz w:val="22"/>
            <w:szCs w:val="22"/>
          </w:rPr>
          <w:delText xml:space="preserve"> (Mayo Score da 6 a 12 con </w:delText>
        </w:r>
      </w:del>
      <w:del w:id="4949" w:author="AbbVie14" w:date="2025-05-09T10:31:00Z">
        <w:r w:rsidR="004D484C">
          <w:rPr>
            <w:sz w:val="22"/>
            <w:szCs w:val="22"/>
          </w:rPr>
          <w:delText>sottopunteggio</w:delText>
        </w:r>
      </w:del>
      <w:del w:id="4950" w:author="AbbVie14" w:date="2025-05-09T10:31:00Z">
        <w:r w:rsidRPr="005E345C">
          <w:rPr>
            <w:sz w:val="22"/>
            <w:szCs w:val="22"/>
          </w:rPr>
          <w:delText xml:space="preserve"> endoscopico da 2 a 3 punti, confermato mediante endoscopia </w:delText>
        </w:r>
      </w:del>
      <w:del w:id="4951" w:author="AbbVie14" w:date="2025-05-09T10:31:00Z">
        <w:r w:rsidR="00933C4B">
          <w:rPr>
            <w:sz w:val="22"/>
            <w:szCs w:val="22"/>
          </w:rPr>
          <w:delText>refertata</w:delText>
        </w:r>
      </w:del>
      <w:del w:id="4952" w:author="AbbVie14" w:date="2025-05-09T10:31:00Z">
        <w:r w:rsidRPr="005E345C">
          <w:rPr>
            <w:sz w:val="22"/>
            <w:szCs w:val="22"/>
          </w:rPr>
          <w:delText xml:space="preserve"> da un </w:delText>
        </w:r>
      </w:del>
      <w:del w:id="4953" w:author="AbbVie14" w:date="2025-05-09T10:31:00Z">
        <w:r w:rsidR="00933C4B">
          <w:rPr>
            <w:sz w:val="22"/>
            <w:szCs w:val="22"/>
          </w:rPr>
          <w:delText>operatore indipendente</w:delText>
        </w:r>
      </w:del>
      <w:del w:id="4954" w:author="AbbVie14" w:date="2025-05-09T10:31:00Z">
        <w:r w:rsidRPr="005E345C">
          <w:rPr>
            <w:sz w:val="22"/>
            <w:szCs w:val="22"/>
          </w:rPr>
          <w:delText xml:space="preserve">) che hanno avuto una risposta inadeguata o intolleranza alla terapia convenzionale. Circa il 16% dei pazienti nello studio aveva </w:delText>
        </w:r>
      </w:del>
      <w:del w:id="4955" w:author="AbbVie14" w:date="2025-05-09T10:31:00Z">
        <w:r w:rsidR="001272AD">
          <w:rPr>
            <w:sz w:val="22"/>
            <w:szCs w:val="22"/>
          </w:rPr>
          <w:delText xml:space="preserve">fallito </w:delText>
        </w:r>
      </w:del>
      <w:del w:id="4956" w:author="AbbVie14" w:date="2025-05-09T10:31:00Z">
        <w:r w:rsidR="00933C4B">
          <w:rPr>
            <w:sz w:val="22"/>
            <w:szCs w:val="22"/>
          </w:rPr>
          <w:delText>un</w:delText>
        </w:r>
      </w:del>
      <w:del w:id="4957" w:author="AbbVie14" w:date="2025-05-09T10:31:00Z">
        <w:r w:rsidRPr="005E345C">
          <w:rPr>
            <w:sz w:val="22"/>
            <w:szCs w:val="22"/>
          </w:rPr>
          <w:delText xml:space="preserve"> precedente trattamento</w:delText>
        </w:r>
      </w:del>
      <w:del w:id="4958" w:author="AbbVie14" w:date="2025-05-09T10:31:00Z">
        <w:r w:rsidR="00933C4B">
          <w:rPr>
            <w:sz w:val="22"/>
            <w:szCs w:val="22"/>
          </w:rPr>
          <w:delText xml:space="preserve"> con</w:delText>
        </w:r>
      </w:del>
      <w:del w:id="4959" w:author="AbbVie14" w:date="2025-05-09T10:31:00Z">
        <w:r w:rsidRPr="005E345C">
          <w:rPr>
            <w:sz w:val="22"/>
            <w:szCs w:val="22"/>
          </w:rPr>
          <w:delText xml:space="preserve"> anti-TNF. Ai pazienti che avevano ricevuto corticosteroidi all'arruolamento è stato consentito di ridurre la terapia con corticosteroidi dopo la Settimana 4.</w:delText>
        </w:r>
      </w:del>
    </w:p>
    <w:p w:rsidR="007718C5" w:rsidRPr="005E345C" w:rsidP="007718C5" w14:paraId="06ED8E42" w14:textId="77777777">
      <w:pPr>
        <w:rPr>
          <w:del w:id="4960" w:author="AbbVie14" w:date="2025-05-09T10:31:00Z"/>
          <w:sz w:val="22"/>
          <w:szCs w:val="22"/>
        </w:rPr>
      </w:pPr>
    </w:p>
    <w:p w:rsidR="007718C5" w:rsidRPr="005E345C" w:rsidP="007718C5" w14:paraId="62774162" w14:textId="77777777">
      <w:pPr>
        <w:rPr>
          <w:del w:id="4961" w:author="AbbVie14" w:date="2025-05-09T10:31:00Z"/>
          <w:rStyle w:val="eop"/>
          <w:sz w:val="22"/>
          <w:szCs w:val="22"/>
          <w:shd w:val="clear" w:color="auto" w:fill="FFFFFF"/>
        </w:rPr>
      </w:pPr>
      <w:del w:id="4962" w:author="AbbVie14" w:date="2025-05-09T10:31:00Z">
        <w:r w:rsidRPr="00D91D94">
          <w:rPr>
            <w:rStyle w:val="normaltextrun"/>
            <w:sz w:val="22"/>
            <w:szCs w:val="22"/>
            <w:shd w:val="clear" w:color="auto" w:fill="FFFFFF"/>
          </w:rPr>
          <w:delText>Nel periodo di induzione dello studio, 77 pazienti sono stati randomizzati 3:2 per ricevere un trattamento in doppio cieco con Humira a una dose di induzione di 2,4</w:delText>
        </w:r>
      </w:del>
      <w:del w:id="4963" w:author="AbbVie14" w:date="2025-05-09T10:31:00Z">
        <w:r w:rsidRPr="004D484C">
          <w:rPr>
            <w:rStyle w:val="normaltextrun"/>
            <w:sz w:val="22"/>
            <w:szCs w:val="22"/>
            <w:shd w:val="clear" w:color="auto" w:fill="FFFFFF"/>
          </w:rPr>
          <w:delText> mg/kg (massimo 160 mg) alla Settimana 0 e alla Settimana 1 e di 1,2 mg/kg (massimo 80 mg) alla Settimana 2</w:delText>
        </w:r>
      </w:del>
      <w:del w:id="4964" w:author="AbbVie14" w:date="2025-05-09T10:31:00Z">
        <w:r w:rsidR="00933C4B">
          <w:rPr>
            <w:rStyle w:val="normaltextrun"/>
            <w:sz w:val="22"/>
            <w:szCs w:val="22"/>
            <w:shd w:val="clear" w:color="auto" w:fill="FFFFFF"/>
          </w:rPr>
          <w:delText xml:space="preserve">, </w:delText>
        </w:r>
      </w:del>
      <w:del w:id="4965" w:author="AbbVie14" w:date="2025-05-09T10:31:00Z">
        <w:r w:rsidRPr="004D484C">
          <w:rPr>
            <w:rStyle w:val="normaltextrun"/>
            <w:sz w:val="22"/>
            <w:szCs w:val="22"/>
            <w:shd w:val="clear" w:color="auto" w:fill="FFFFFF"/>
          </w:rPr>
          <w:delText>o</w:delText>
        </w:r>
      </w:del>
      <w:del w:id="4966" w:author="AbbVie14" w:date="2025-05-09T10:31:00Z">
        <w:r w:rsidR="00933C4B">
          <w:rPr>
            <w:rStyle w:val="normaltextrun"/>
            <w:sz w:val="22"/>
            <w:szCs w:val="22"/>
            <w:shd w:val="clear" w:color="auto" w:fill="FFFFFF"/>
          </w:rPr>
          <w:delText>ppure</w:delText>
        </w:r>
      </w:del>
      <w:del w:id="4967" w:author="AbbVie14" w:date="2025-05-09T10:31:00Z">
        <w:r w:rsidRPr="004D484C">
          <w:rPr>
            <w:rStyle w:val="normaltextrun"/>
            <w:sz w:val="22"/>
            <w:szCs w:val="22"/>
            <w:shd w:val="clear" w:color="auto" w:fill="FFFFFF"/>
          </w:rPr>
          <w:delText xml:space="preserve"> una dose di induzione di 2,4 mg/kg (massimo 160 mg) alla Settimana 0, placebo alla Settimana 1 e 1,2 mg/kg (massimo 80 mg) alla Settimana 2. Entr</w:delText>
        </w:r>
      </w:del>
      <w:del w:id="4968" w:author="AbbVie14" w:date="2025-05-09T10:31:00Z">
        <w:r w:rsidRPr="00D91D94">
          <w:rPr>
            <w:rStyle w:val="normaltextrun"/>
            <w:sz w:val="22"/>
            <w:szCs w:val="22"/>
            <w:shd w:val="clear" w:color="auto" w:fill="FFFFFF"/>
          </w:rPr>
          <w:delText>ambi i gruppi hanno ricevuto 0,6 mg/kg (massimo 40 mg) alla Settimana 4 e alla Settimana 6. </w:delText>
        </w:r>
      </w:del>
      <w:del w:id="4969" w:author="AbbVie14" w:date="2025-05-09T10:31:00Z">
        <w:r w:rsidRPr="005E345C">
          <w:rPr>
            <w:rStyle w:val="normaltextrun"/>
            <w:sz w:val="22"/>
            <w:szCs w:val="22"/>
            <w:shd w:val="clear" w:color="auto" w:fill="FFFFFF"/>
          </w:rPr>
          <w:delText>A seguito di un emendamento al disegno dello studio, i restanti 16 pazienti arruolati</w:delText>
        </w:r>
      </w:del>
      <w:del w:id="4970" w:author="AbbVie14" w:date="2025-05-09T10:31:00Z">
        <w:r w:rsidR="00933C4B">
          <w:rPr>
            <w:rStyle w:val="normaltextrun"/>
            <w:sz w:val="22"/>
            <w:szCs w:val="22"/>
            <w:shd w:val="clear" w:color="auto" w:fill="FFFFFF"/>
          </w:rPr>
          <w:delText xml:space="preserve"> hanno ricevuto</w:delText>
        </w:r>
      </w:del>
      <w:del w:id="4971" w:author="AbbVie14" w:date="2025-05-09T10:31:00Z">
        <w:r w:rsidRPr="005E345C">
          <w:rPr>
            <w:rStyle w:val="normaltextrun"/>
            <w:sz w:val="22"/>
            <w:szCs w:val="22"/>
            <w:shd w:val="clear" w:color="auto" w:fill="FFFFFF"/>
          </w:rPr>
          <w:delText xml:space="preserve"> nel periodo di induzione un trattamento in aperto con Humira alla dose di induzione di 2,4 mg/kg (massimo 160 mg) alla Settimana 0 e alla Settimana 1 e di 1,2 mg/kg (massimo 80 mg) alla Settimana 2.</w:delText>
        </w:r>
      </w:del>
      <w:del w:id="4972" w:author="AbbVie14" w:date="2025-05-09T10:31:00Z">
        <w:r w:rsidRPr="005E345C">
          <w:rPr>
            <w:rStyle w:val="eop"/>
            <w:sz w:val="22"/>
            <w:szCs w:val="22"/>
            <w:shd w:val="clear" w:color="auto" w:fill="FFFFFF"/>
          </w:rPr>
          <w:delText> </w:delText>
        </w:r>
      </w:del>
    </w:p>
    <w:p w:rsidR="007718C5" w:rsidRPr="005E345C" w:rsidP="007718C5" w14:paraId="14142A6A" w14:textId="77777777">
      <w:pPr>
        <w:rPr>
          <w:del w:id="4973" w:author="AbbVie14" w:date="2025-05-09T10:31:00Z"/>
          <w:sz w:val="22"/>
          <w:szCs w:val="22"/>
        </w:rPr>
      </w:pPr>
    </w:p>
    <w:p w:rsidR="007718C5" w:rsidRPr="005E345C" w:rsidP="007718C5" w14:paraId="64ABE7DE" w14:textId="77777777">
      <w:pPr>
        <w:rPr>
          <w:del w:id="4974" w:author="AbbVie14" w:date="2025-05-09T10:31:00Z"/>
          <w:rStyle w:val="normaltextrun"/>
          <w:sz w:val="22"/>
          <w:szCs w:val="22"/>
          <w:shd w:val="clear" w:color="auto" w:fill="FFFFFF"/>
        </w:rPr>
      </w:pPr>
      <w:del w:id="4975" w:author="AbbVie14" w:date="2025-05-09T10:31:00Z">
        <w:r w:rsidRPr="005E345C">
          <w:rPr>
            <w:rStyle w:val="normaltextrun"/>
            <w:sz w:val="22"/>
            <w:szCs w:val="22"/>
            <w:shd w:val="clear" w:color="auto" w:fill="FFFFFF"/>
          </w:rPr>
          <w:delText xml:space="preserve">Alla Settimana 8, 62 pazienti che </w:delText>
        </w:r>
      </w:del>
      <w:del w:id="4976" w:author="AbbVie14" w:date="2025-05-09T10:31:00Z">
        <w:r w:rsidR="00933C4B">
          <w:rPr>
            <w:rStyle w:val="normaltextrun"/>
            <w:sz w:val="22"/>
            <w:szCs w:val="22"/>
            <w:shd w:val="clear" w:color="auto" w:fill="FFFFFF"/>
          </w:rPr>
          <w:delText>avevano</w:delText>
        </w:r>
      </w:del>
      <w:del w:id="4977" w:author="AbbVie14" w:date="2025-05-09T10:31:00Z">
        <w:r w:rsidRPr="005E345C">
          <w:rPr>
            <w:rStyle w:val="normaltextrun"/>
            <w:sz w:val="22"/>
            <w:szCs w:val="22"/>
            <w:shd w:val="clear" w:color="auto" w:fill="FFFFFF"/>
          </w:rPr>
          <w:delText xml:space="preserve"> dimostrato una risposta clinica come indicato dal Partial Mayo Score (PMS; definito come una diminuzione del PMS ≥ 2 punti e ≥ 30% dal basale) sono stati randomizzati </w:delText>
        </w:r>
      </w:del>
      <w:del w:id="4978" w:author="AbbVie14" w:date="2025-05-09T10:31:00Z">
        <w:r w:rsidR="00933C4B">
          <w:rPr>
            <w:rStyle w:val="normaltextrun"/>
            <w:sz w:val="22"/>
            <w:szCs w:val="22"/>
            <w:shd w:val="clear" w:color="auto" w:fill="FFFFFF"/>
          </w:rPr>
          <w:delText>1:1</w:delText>
        </w:r>
      </w:del>
      <w:del w:id="4979" w:author="AbbVie14" w:date="2025-05-09T10:31:00Z">
        <w:r w:rsidRPr="005E345C">
          <w:rPr>
            <w:rStyle w:val="normaltextrun"/>
            <w:sz w:val="22"/>
            <w:szCs w:val="22"/>
            <w:shd w:val="clear" w:color="auto" w:fill="FFFFFF"/>
          </w:rPr>
          <w:delText xml:space="preserve"> a ricevere un trattamento di mantenimento in doppio cieco con Humira ad una dose di 0,6 mg/kg (massimo 40 mg) ogni settimana o ad una dose di mantenimento di 0,6 mg/kg (massimo 40 mg) a settimane alterne. Prima di un emendamento al disegno dello studio, altri 12 pazienti che </w:delText>
        </w:r>
      </w:del>
      <w:del w:id="4980" w:author="AbbVie14" w:date="2025-05-09T10:31:00Z">
        <w:r w:rsidR="00D91D94">
          <w:rPr>
            <w:rStyle w:val="normaltextrun"/>
            <w:sz w:val="22"/>
            <w:szCs w:val="22"/>
            <w:shd w:val="clear" w:color="auto" w:fill="FFFFFF"/>
          </w:rPr>
          <w:delText>avevano</w:delText>
        </w:r>
      </w:del>
      <w:del w:id="4981" w:author="AbbVie14" w:date="2025-05-09T10:31:00Z">
        <w:r w:rsidRPr="005E345C">
          <w:rPr>
            <w:rStyle w:val="normaltextrun"/>
            <w:sz w:val="22"/>
            <w:szCs w:val="22"/>
            <w:shd w:val="clear" w:color="auto" w:fill="FFFFFF"/>
          </w:rPr>
          <w:delText xml:space="preserve"> dimostrato una risposta clinica come indicato dal PMS sono stati randomizzati a ricevere placebo ma non sono stati inclusi nell'analisi di conferma dell'efficacia.</w:delText>
        </w:r>
      </w:del>
    </w:p>
    <w:p w:rsidR="007718C5" w:rsidRPr="005E345C" w:rsidP="007718C5" w14:paraId="31EB14CE" w14:textId="77777777">
      <w:pPr>
        <w:rPr>
          <w:del w:id="4982" w:author="AbbVie14" w:date="2025-05-09T10:31:00Z"/>
          <w:sz w:val="22"/>
          <w:szCs w:val="22"/>
          <w:shd w:val="clear" w:color="auto" w:fill="FFFFFF"/>
        </w:rPr>
      </w:pPr>
    </w:p>
    <w:p w:rsidR="007718C5" w:rsidRPr="005E345C" w:rsidP="007718C5" w14:paraId="2289DE8E" w14:textId="77777777">
      <w:pPr>
        <w:rPr>
          <w:del w:id="4983" w:author="AbbVie14" w:date="2025-05-09T10:31:00Z"/>
          <w:sz w:val="22"/>
          <w:szCs w:val="22"/>
        </w:rPr>
      </w:pPr>
      <w:del w:id="4984" w:author="AbbVie14" w:date="2025-05-09T10:31:00Z">
        <w:r w:rsidRPr="005E345C">
          <w:rPr>
            <w:sz w:val="22"/>
            <w:szCs w:val="22"/>
          </w:rPr>
          <w:delText xml:space="preserve">La riacutizzazione della malattia è stata definita come un aumento del PMS di almeno 3 punti (per i pazienti con PMS da 0 a 2 alla Settimana 8), </w:delText>
        </w:r>
      </w:del>
      <w:del w:id="4985" w:author="AbbVie14" w:date="2025-05-09T10:31:00Z">
        <w:r w:rsidR="00D91D94">
          <w:rPr>
            <w:sz w:val="22"/>
            <w:szCs w:val="22"/>
          </w:rPr>
          <w:delText xml:space="preserve">di </w:delText>
        </w:r>
      </w:del>
      <w:del w:id="4986" w:author="AbbVie14" w:date="2025-05-09T10:31:00Z">
        <w:r w:rsidRPr="005E345C">
          <w:rPr>
            <w:sz w:val="22"/>
            <w:szCs w:val="22"/>
          </w:rPr>
          <w:delText xml:space="preserve">almeno 2 punti (per i pazienti con PMS da 3 a 4 alla Settimana 8) o almeno </w:delText>
        </w:r>
      </w:del>
      <w:del w:id="4987" w:author="AbbVie14" w:date="2025-05-09T10:31:00Z">
        <w:r w:rsidR="00D91D94">
          <w:rPr>
            <w:sz w:val="22"/>
            <w:szCs w:val="22"/>
          </w:rPr>
          <w:delText xml:space="preserve">di </w:delText>
        </w:r>
      </w:del>
      <w:del w:id="4988" w:author="AbbVie14" w:date="2025-05-09T10:31:00Z">
        <w:r w:rsidRPr="005E345C">
          <w:rPr>
            <w:sz w:val="22"/>
            <w:szCs w:val="22"/>
          </w:rPr>
          <w:delText>1 punto (per i pazienti con PMS da 5 a 6 alla Settimana 8). </w:delText>
        </w:r>
      </w:del>
    </w:p>
    <w:p w:rsidR="007718C5" w:rsidRPr="005E345C" w:rsidP="007718C5" w14:paraId="1E2BBE83" w14:textId="77777777">
      <w:pPr>
        <w:rPr>
          <w:del w:id="4989" w:author="AbbVie14" w:date="2025-05-09T10:31:00Z"/>
          <w:sz w:val="22"/>
          <w:szCs w:val="22"/>
        </w:rPr>
      </w:pPr>
    </w:p>
    <w:p w:rsidR="007718C5" w:rsidRPr="005E345C" w:rsidP="007718C5" w14:paraId="0F3861AA" w14:textId="77777777">
      <w:pPr>
        <w:rPr>
          <w:del w:id="4990" w:author="AbbVie14" w:date="2025-05-09T10:31:00Z"/>
          <w:sz w:val="22"/>
          <w:szCs w:val="22"/>
        </w:rPr>
      </w:pPr>
      <w:del w:id="4991" w:author="AbbVie14" w:date="2025-05-09T10:31:00Z">
        <w:r w:rsidRPr="005E345C">
          <w:rPr>
            <w:sz w:val="22"/>
            <w:szCs w:val="22"/>
          </w:rPr>
          <w:delText xml:space="preserve">I pazienti che </w:delText>
        </w:r>
      </w:del>
      <w:del w:id="4992" w:author="AbbVie14" w:date="2025-05-09T10:31:00Z">
        <w:r w:rsidR="00933C4B">
          <w:rPr>
            <w:sz w:val="22"/>
            <w:szCs w:val="22"/>
          </w:rPr>
          <w:delText>hanno presentato</w:delText>
        </w:r>
      </w:del>
      <w:del w:id="4993" w:author="AbbVie14" w:date="2025-05-09T10:31:00Z">
        <w:r w:rsidRPr="005E345C">
          <w:rPr>
            <w:sz w:val="22"/>
            <w:szCs w:val="22"/>
          </w:rPr>
          <w:delText xml:space="preserve"> i criteri </w:delText>
        </w:r>
      </w:del>
      <w:del w:id="4994" w:author="AbbVie14" w:date="2025-05-09T10:31:00Z">
        <w:r w:rsidR="00933C4B">
          <w:rPr>
            <w:sz w:val="22"/>
            <w:szCs w:val="22"/>
          </w:rPr>
          <w:delText>di</w:delText>
        </w:r>
      </w:del>
      <w:del w:id="4995" w:author="AbbVie14" w:date="2025-05-09T10:31:00Z">
        <w:r w:rsidRPr="005E345C">
          <w:rPr>
            <w:sz w:val="22"/>
            <w:szCs w:val="22"/>
          </w:rPr>
          <w:delText xml:space="preserve"> riacutizzazione d</w:delText>
        </w:r>
      </w:del>
      <w:del w:id="4996" w:author="AbbVie14" w:date="2025-05-09T10:31:00Z">
        <w:r w:rsidR="00933C4B">
          <w:rPr>
            <w:sz w:val="22"/>
            <w:szCs w:val="22"/>
          </w:rPr>
          <w:delText>i</w:delText>
        </w:r>
      </w:del>
      <w:del w:id="4997" w:author="AbbVie14" w:date="2025-05-09T10:31:00Z">
        <w:r w:rsidRPr="005E345C">
          <w:rPr>
            <w:sz w:val="22"/>
            <w:szCs w:val="22"/>
          </w:rPr>
          <w:delText xml:space="preserve"> malattia alla Settimana 12 o successivamente</w:delText>
        </w:r>
      </w:del>
      <w:del w:id="4998" w:author="AbbVie14" w:date="2025-05-09T10:31:00Z">
        <w:r w:rsidR="00D91D94">
          <w:rPr>
            <w:sz w:val="22"/>
            <w:szCs w:val="22"/>
          </w:rPr>
          <w:delText>,</w:delText>
        </w:r>
      </w:del>
      <w:del w:id="4999" w:author="AbbVie14" w:date="2025-05-09T10:31:00Z">
        <w:r w:rsidRPr="005E345C">
          <w:rPr>
            <w:sz w:val="22"/>
            <w:szCs w:val="22"/>
          </w:rPr>
          <w:delText xml:space="preserve"> sono stati randomizzati a ricevere una dose di reinduzione di 2,4 mg/kg (massimo 160 mg) o una dose di 0,6 mg/kg (massimo 40 mg) e hanno continuato a ricevere successivamente il rispettivo regime di mantenimento. </w:delText>
        </w:r>
      </w:del>
    </w:p>
    <w:p w:rsidR="007718C5" w:rsidRPr="00612824" w:rsidP="007718C5" w14:paraId="01076179" w14:textId="77777777">
      <w:pPr>
        <w:pStyle w:val="gtcbodytext"/>
        <w:spacing w:after="0" w:line="240" w:lineRule="auto"/>
        <w:rPr>
          <w:del w:id="5000" w:author="AbbVie14" w:date="2025-05-09T10:31:00Z"/>
          <w:i/>
          <w:sz w:val="22"/>
          <w:szCs w:val="22"/>
          <w:lang w:val="it-IT"/>
        </w:rPr>
      </w:pPr>
      <w:del w:id="5001" w:author="AbbVie14" w:date="2025-05-09T10:31:00Z">
        <w:r w:rsidRPr="00612824">
          <w:rPr>
            <w:i/>
            <w:sz w:val="22"/>
            <w:szCs w:val="22"/>
            <w:lang w:val="it-IT"/>
          </w:rPr>
          <w:delText>Risultati di efficacia</w:delText>
        </w:r>
      </w:del>
    </w:p>
    <w:p w:rsidR="007718C5" w:rsidRPr="00612824" w:rsidP="007718C5" w14:paraId="1333009A" w14:textId="77777777">
      <w:pPr>
        <w:pStyle w:val="gtcbodytext"/>
        <w:spacing w:before="0" w:after="0" w:line="240" w:lineRule="auto"/>
        <w:rPr>
          <w:del w:id="5002" w:author="AbbVie14" w:date="2025-05-09T10:31:00Z"/>
          <w:i/>
          <w:sz w:val="22"/>
          <w:szCs w:val="22"/>
          <w:lang w:val="it-IT"/>
        </w:rPr>
      </w:pPr>
    </w:p>
    <w:p w:rsidR="007718C5" w:rsidRPr="005E345C" w:rsidP="007718C5" w14:paraId="26AADCC7" w14:textId="77777777">
      <w:pPr>
        <w:textAlignment w:val="baseline"/>
        <w:rPr>
          <w:del w:id="5003" w:author="AbbVie14" w:date="2025-05-09T10:31:00Z"/>
          <w:sz w:val="22"/>
          <w:szCs w:val="22"/>
        </w:rPr>
      </w:pPr>
      <w:del w:id="5004" w:author="AbbVie14" w:date="2025-05-09T10:31:00Z">
        <w:r w:rsidRPr="005E345C">
          <w:rPr>
            <w:sz w:val="22"/>
            <w:szCs w:val="22"/>
          </w:rPr>
          <w:delText xml:space="preserve">Gli endpoint co-primari dello studio sono stati la remissione clinica come indicato dal PMS (definita come PMS ≤ 2 e nessun </w:delText>
        </w:r>
      </w:del>
      <w:del w:id="5005" w:author="AbbVie14" w:date="2025-05-09T10:31:00Z">
        <w:r w:rsidR="004D484C">
          <w:rPr>
            <w:sz w:val="22"/>
            <w:szCs w:val="22"/>
          </w:rPr>
          <w:delText>sottopunteggio</w:delText>
        </w:r>
      </w:del>
      <w:del w:id="5006" w:author="AbbVie14" w:date="2025-05-09T10:31:00Z">
        <w:r w:rsidRPr="005E345C">
          <w:rPr>
            <w:sz w:val="22"/>
            <w:szCs w:val="22"/>
          </w:rPr>
          <w:delText xml:space="preserve"> individuale &gt; 1) alla Settimana 8 e remissione clinica come indicato dal FMS (Full Mayo Score) (definito come Mayo Score ≤ 2 e nessun </w:delText>
        </w:r>
      </w:del>
      <w:del w:id="5007" w:author="AbbVie14" w:date="2025-05-09T10:31:00Z">
        <w:r w:rsidR="004D484C">
          <w:rPr>
            <w:sz w:val="22"/>
            <w:szCs w:val="22"/>
          </w:rPr>
          <w:delText>sottopunteggio</w:delText>
        </w:r>
      </w:del>
      <w:del w:id="5008" w:author="AbbVie14" w:date="2025-05-09T10:31:00Z">
        <w:r w:rsidRPr="005E345C">
          <w:rPr>
            <w:sz w:val="22"/>
            <w:szCs w:val="22"/>
          </w:rPr>
          <w:delText xml:space="preserve"> individuale &gt; 1) alla Settimana 52 </w:delText>
        </w:r>
      </w:del>
      <w:del w:id="5009" w:author="AbbVie14" w:date="2025-05-09T10:31:00Z">
        <w:r w:rsidR="00933C4B">
          <w:rPr>
            <w:sz w:val="22"/>
            <w:szCs w:val="22"/>
          </w:rPr>
          <w:delText>nei</w:delText>
        </w:r>
      </w:del>
      <w:del w:id="5010" w:author="AbbVie14" w:date="2025-05-09T10:31:00Z">
        <w:r w:rsidRPr="005E345C">
          <w:rPr>
            <w:sz w:val="22"/>
            <w:szCs w:val="22"/>
          </w:rPr>
          <w:delText xml:space="preserve"> pazienti che </w:delText>
        </w:r>
      </w:del>
      <w:del w:id="5011" w:author="AbbVie14" w:date="2025-05-09T10:31:00Z">
        <w:r w:rsidR="00933C4B">
          <w:rPr>
            <w:sz w:val="22"/>
            <w:szCs w:val="22"/>
          </w:rPr>
          <w:delText>avevano</w:delText>
        </w:r>
      </w:del>
      <w:del w:id="5012" w:author="AbbVie14" w:date="2025-05-09T10:31:00Z">
        <w:r w:rsidRPr="005E345C">
          <w:rPr>
            <w:sz w:val="22"/>
            <w:szCs w:val="22"/>
          </w:rPr>
          <w:delText xml:space="preserve"> ottenuto una risposta clinica come indicato dal PMS alla Settimana 8.</w:delText>
        </w:r>
      </w:del>
    </w:p>
    <w:p w:rsidR="007718C5" w:rsidRPr="005E345C" w:rsidP="007718C5" w14:paraId="03E4928E" w14:textId="77777777">
      <w:pPr>
        <w:textAlignment w:val="baseline"/>
        <w:rPr>
          <w:del w:id="5013" w:author="AbbVie14" w:date="2025-05-09T10:31:00Z"/>
          <w:sz w:val="22"/>
          <w:szCs w:val="22"/>
          <w:lang w:eastAsia="en-GB"/>
        </w:rPr>
      </w:pPr>
    </w:p>
    <w:p w:rsidR="007718C5" w:rsidRPr="005E345C" w:rsidP="007718C5" w14:paraId="72D6FBA8" w14:textId="77777777">
      <w:pPr>
        <w:textAlignment w:val="baseline"/>
        <w:rPr>
          <w:del w:id="5014" w:author="AbbVie14" w:date="2025-05-09T10:31:00Z"/>
          <w:sz w:val="22"/>
          <w:szCs w:val="22"/>
        </w:rPr>
      </w:pPr>
      <w:del w:id="5015" w:author="AbbVie14" w:date="2025-05-09T10:31:00Z">
        <w:r w:rsidRPr="005E345C">
          <w:rPr>
            <w:sz w:val="22"/>
            <w:szCs w:val="22"/>
          </w:rPr>
          <w:delText xml:space="preserve">I tassi di remissione clinica come indicato dal PMS alla Settimana 8 per i pazienti in ciascuno dei gruppi di induzione in doppio cieco di Humira </w:delText>
        </w:r>
      </w:del>
      <w:del w:id="5016" w:author="AbbVie14" w:date="2025-05-09T10:31:00Z">
        <w:r w:rsidR="000C2471">
          <w:rPr>
            <w:sz w:val="22"/>
            <w:szCs w:val="22"/>
          </w:rPr>
          <w:delText xml:space="preserve">sono mostrati </w:delText>
        </w:r>
      </w:del>
      <w:del w:id="5017" w:author="AbbVie14" w:date="2025-05-09T10:31:00Z">
        <w:r w:rsidR="00293FFC">
          <w:rPr>
            <w:sz w:val="22"/>
            <w:szCs w:val="22"/>
          </w:rPr>
          <w:delText>nella</w:delText>
        </w:r>
      </w:del>
      <w:del w:id="5018" w:author="AbbVie14" w:date="2025-05-09T10:31:00Z">
        <w:r w:rsidR="000C2471">
          <w:rPr>
            <w:sz w:val="22"/>
            <w:szCs w:val="22"/>
          </w:rPr>
          <w:delText xml:space="preserve"> </w:delText>
        </w:r>
      </w:del>
      <w:del w:id="5019" w:author="AbbVie14" w:date="2025-05-09T10:31:00Z">
        <w:r w:rsidRPr="005E345C">
          <w:rPr>
            <w:sz w:val="22"/>
            <w:szCs w:val="22"/>
          </w:rPr>
          <w:delText>Tabella 26. </w:delText>
        </w:r>
      </w:del>
    </w:p>
    <w:p w:rsidR="007718C5" w:rsidRPr="00612824" w:rsidP="007718C5" w14:paraId="3C8148B7" w14:textId="77777777">
      <w:pPr>
        <w:pStyle w:val="gtcbodytext"/>
        <w:spacing w:after="0" w:line="240" w:lineRule="auto"/>
        <w:jc w:val="center"/>
        <w:rPr>
          <w:del w:id="5020" w:author="AbbVie14" w:date="2025-05-09T10:31:00Z"/>
          <w:sz w:val="22"/>
          <w:szCs w:val="22"/>
          <w:lang w:val="it-IT"/>
        </w:rPr>
      </w:pPr>
      <w:del w:id="5021" w:author="AbbVie14" w:date="2025-05-09T10:31:00Z">
        <w:r w:rsidRPr="00612824">
          <w:rPr>
            <w:b/>
            <w:sz w:val="22"/>
            <w:szCs w:val="22"/>
            <w:lang w:val="it-IT"/>
          </w:rPr>
          <w:delText xml:space="preserve">Tabella 26: Remissione </w:delText>
        </w:r>
      </w:del>
      <w:del w:id="5022" w:author="AbbVie14" w:date="2025-05-09T10:31:00Z">
        <w:r w:rsidR="008E722A">
          <w:rPr>
            <w:b/>
            <w:sz w:val="22"/>
            <w:szCs w:val="22"/>
            <w:lang w:val="it-IT"/>
          </w:rPr>
          <w:delText>C</w:delText>
        </w:r>
      </w:del>
      <w:del w:id="5023" w:author="AbbVie14" w:date="2025-05-09T10:31:00Z">
        <w:r w:rsidRPr="00612824">
          <w:rPr>
            <w:b/>
            <w:sz w:val="22"/>
            <w:szCs w:val="22"/>
            <w:lang w:val="it-IT"/>
          </w:rPr>
          <w:delText xml:space="preserve">linica in base al PMS a 8 </w:delText>
        </w:r>
      </w:del>
      <w:del w:id="5024" w:author="AbbVie14" w:date="2025-05-09T10:31:00Z">
        <w:r w:rsidR="008E722A">
          <w:rPr>
            <w:b/>
            <w:sz w:val="22"/>
            <w:szCs w:val="22"/>
            <w:lang w:val="it-IT"/>
          </w:rPr>
          <w:delText>S</w:delText>
        </w:r>
      </w:del>
      <w:del w:id="5025" w:author="AbbVie14" w:date="2025-05-09T10:31:00Z">
        <w:r w:rsidRPr="00612824">
          <w:rPr>
            <w:b/>
            <w:sz w:val="22"/>
            <w:szCs w:val="22"/>
            <w:lang w:val="it-IT"/>
          </w:rPr>
          <w:delText xml:space="preserve">ettimane </w:delText>
        </w:r>
      </w:del>
    </w:p>
    <w:tbl>
      <w:tblPr>
        <w:tblW w:w="4246" w:type="pct"/>
        <w:jc w:val="center"/>
        <w:tblLook w:val="04A0"/>
      </w:tblPr>
      <w:tblGrid>
        <w:gridCol w:w="1904"/>
        <w:gridCol w:w="2866"/>
        <w:gridCol w:w="2919"/>
      </w:tblGrid>
      <w:tr w14:paraId="62BCB39D" w14:textId="77777777" w:rsidTr="00BE7034">
        <w:tblPrEx>
          <w:tblW w:w="4246" w:type="pct"/>
          <w:tblLook w:val="04A0"/>
        </w:tblPrEx>
        <w:trPr>
          <w:del w:id="5026" w:author="AbbVie14" w:date="2025-05-09T10:31: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718C5" w:rsidRPr="005E345C" w:rsidP="00BE7034" w14:paraId="46CF6D45" w14:textId="77777777">
            <w:pPr>
              <w:rPr>
                <w:del w:id="5027" w:author="AbbVie14" w:date="2025-05-09T10:31:00Z"/>
                <w:sz w:val="22"/>
                <w:szCs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718C5" w:rsidRPr="005E345C" w:rsidP="00BE7034" w14:paraId="1E9FD346" w14:textId="77777777">
            <w:pPr>
              <w:pStyle w:val="paragraph0"/>
              <w:spacing w:before="0" w:beforeAutospacing="0" w:after="0" w:afterAutospacing="0"/>
              <w:jc w:val="center"/>
              <w:textAlignment w:val="baseline"/>
              <w:rPr>
                <w:del w:id="5028" w:author="AbbVie14" w:date="2025-05-09T10:31:00Z"/>
                <w:sz w:val="22"/>
                <w:szCs w:val="22"/>
              </w:rPr>
            </w:pPr>
            <w:del w:id="5029" w:author="AbbVie14" w:date="2025-05-09T10:31:00Z">
              <w:r w:rsidRPr="005E345C">
                <w:rPr>
                  <w:rStyle w:val="spellingerror"/>
                  <w:b/>
                  <w:sz w:val="22"/>
                  <w:szCs w:val="22"/>
                </w:rPr>
                <w:delText>Humira</w:delText>
              </w:r>
            </w:del>
            <w:del w:id="5030" w:author="AbbVie14" w:date="2025-05-09T10:31:00Z">
              <w:r w:rsidRPr="005E345C">
                <w:rPr>
                  <w:rStyle w:val="spellingerror"/>
                  <w:b/>
                  <w:sz w:val="22"/>
                  <w:szCs w:val="22"/>
                  <w:vertAlign w:val="superscript"/>
                </w:rPr>
                <w:delText>a</w:delText>
              </w:r>
            </w:del>
            <w:del w:id="5031" w:author="AbbVie14" w:date="2025-05-09T10:31:00Z">
              <w:r w:rsidRPr="005E345C">
                <w:rPr>
                  <w:rStyle w:val="eop"/>
                  <w:sz w:val="22"/>
                  <w:szCs w:val="22"/>
                </w:rPr>
                <w:delText> </w:delText>
              </w:r>
            </w:del>
          </w:p>
          <w:p w:rsidR="007718C5" w:rsidRPr="005E345C" w:rsidP="00BE7034" w14:paraId="7478EAC9" w14:textId="77777777">
            <w:pPr>
              <w:jc w:val="center"/>
              <w:rPr>
                <w:del w:id="5032" w:author="AbbVie14" w:date="2025-05-09T10:31:00Z"/>
                <w:rStyle w:val="eop"/>
                <w:sz w:val="22"/>
                <w:szCs w:val="22"/>
              </w:rPr>
            </w:pPr>
            <w:del w:id="5033" w:author="AbbVie14" w:date="2025-05-09T10:31:00Z">
              <w:r w:rsidRPr="005E345C">
                <w:rPr>
                  <w:rStyle w:val="normaltextrun"/>
                  <w:b/>
                  <w:sz w:val="22"/>
                  <w:szCs w:val="22"/>
                </w:rPr>
                <w:delText>Massimo 160 mg alla Settimana 0/</w:delText>
              </w:r>
            </w:del>
            <w:del w:id="5034" w:author="AbbVie14" w:date="2025-05-09T10:31:00Z">
              <w:r w:rsidR="0016472B">
                <w:rPr>
                  <w:rStyle w:val="normaltextrun"/>
                  <w:b/>
                  <w:sz w:val="22"/>
                  <w:szCs w:val="22"/>
                </w:rPr>
                <w:delText>P</w:delText>
              </w:r>
            </w:del>
            <w:del w:id="5035" w:author="AbbVie14" w:date="2025-05-09T10:31:00Z">
              <w:r w:rsidRPr="005E345C">
                <w:rPr>
                  <w:rStyle w:val="normaltextrun"/>
                  <w:b/>
                  <w:sz w:val="22"/>
                  <w:szCs w:val="22"/>
                </w:rPr>
                <w:delText>lacebo alla Settimana 1</w:delText>
              </w:r>
            </w:del>
            <w:del w:id="5036" w:author="AbbVie14" w:date="2025-05-09T10:31:00Z">
              <w:r w:rsidRPr="005E345C">
                <w:rPr>
                  <w:rStyle w:val="eop"/>
                  <w:sz w:val="22"/>
                  <w:szCs w:val="22"/>
                </w:rPr>
                <w:delText> </w:delText>
              </w:r>
            </w:del>
          </w:p>
          <w:p w:rsidR="007718C5" w:rsidRPr="005E345C" w:rsidP="00BE7034" w14:paraId="5DD4105D" w14:textId="77777777">
            <w:pPr>
              <w:jc w:val="center"/>
              <w:rPr>
                <w:del w:id="5037" w:author="AbbVie14" w:date="2025-05-09T10:31:00Z"/>
                <w:sz w:val="22"/>
                <w:szCs w:val="22"/>
              </w:rPr>
            </w:pPr>
            <w:del w:id="5038" w:author="AbbVie14" w:date="2025-05-09T10:31:00Z">
              <w:r w:rsidRPr="005E345C">
                <w:rPr>
                  <w:rStyle w:val="eop"/>
                  <w:sz w:val="22"/>
                  <w:szCs w:val="22"/>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718C5" w:rsidRPr="005E345C" w:rsidP="00BE7034" w14:paraId="2B8496A1" w14:textId="77777777">
            <w:pPr>
              <w:pStyle w:val="paragraph0"/>
              <w:spacing w:before="0" w:beforeAutospacing="0" w:after="0" w:afterAutospacing="0"/>
              <w:jc w:val="center"/>
              <w:textAlignment w:val="baseline"/>
              <w:rPr>
                <w:del w:id="5039" w:author="AbbVie14" w:date="2025-05-09T10:31:00Z"/>
                <w:sz w:val="22"/>
                <w:szCs w:val="22"/>
              </w:rPr>
            </w:pPr>
            <w:del w:id="5040" w:author="AbbVie14" w:date="2025-05-09T10:31:00Z">
              <w:r w:rsidRPr="005E345C">
                <w:rPr>
                  <w:rStyle w:val="spellingerror"/>
                  <w:b/>
                  <w:sz w:val="22"/>
                  <w:szCs w:val="22"/>
                </w:rPr>
                <w:delText>Humira</w:delText>
              </w:r>
            </w:del>
            <w:del w:id="5041" w:author="AbbVie14" w:date="2025-05-09T10:31:00Z">
              <w:r w:rsidRPr="005E345C">
                <w:rPr>
                  <w:rStyle w:val="spellingerror"/>
                  <w:b/>
                  <w:sz w:val="22"/>
                  <w:szCs w:val="22"/>
                  <w:vertAlign w:val="superscript"/>
                </w:rPr>
                <w:delText>b</w:delText>
              </w:r>
            </w:del>
            <w:del w:id="5042" w:author="AbbVie14" w:date="2025-05-09T10:31:00Z">
              <w:r w:rsidRPr="005E345C">
                <w:rPr>
                  <w:rStyle w:val="normaltextrun"/>
                  <w:b/>
                  <w:sz w:val="22"/>
                  <w:szCs w:val="22"/>
                  <w:vertAlign w:val="superscript"/>
                </w:rPr>
                <w:delText>, c</w:delText>
              </w:r>
            </w:del>
            <w:del w:id="5043" w:author="AbbVie14" w:date="2025-05-09T10:31:00Z">
              <w:r w:rsidRPr="005E345C">
                <w:rPr>
                  <w:rStyle w:val="eop"/>
                  <w:sz w:val="22"/>
                  <w:szCs w:val="22"/>
                </w:rPr>
                <w:delText> </w:delText>
              </w:r>
            </w:del>
          </w:p>
          <w:p w:rsidR="007718C5" w:rsidRPr="005E345C" w:rsidP="00BE7034" w14:paraId="189365F9" w14:textId="77777777">
            <w:pPr>
              <w:jc w:val="center"/>
              <w:rPr>
                <w:del w:id="5044" w:author="AbbVie14" w:date="2025-05-09T10:31:00Z"/>
                <w:rStyle w:val="eop"/>
                <w:sz w:val="22"/>
                <w:szCs w:val="22"/>
              </w:rPr>
            </w:pPr>
            <w:del w:id="5045" w:author="AbbVie14" w:date="2025-05-09T10:31:00Z">
              <w:r w:rsidRPr="005E345C">
                <w:rPr>
                  <w:rStyle w:val="normaltextrun"/>
                  <w:b/>
                  <w:sz w:val="22"/>
                  <w:szCs w:val="22"/>
                </w:rPr>
                <w:delText>Massimo 160 mg alla Settimana 0 e alla Settimana 1</w:delText>
              </w:r>
            </w:del>
            <w:del w:id="5046" w:author="AbbVie14" w:date="2025-05-09T10:31:00Z">
              <w:r w:rsidRPr="005E345C">
                <w:rPr>
                  <w:rStyle w:val="eop"/>
                  <w:sz w:val="22"/>
                  <w:szCs w:val="22"/>
                </w:rPr>
                <w:delText> </w:delText>
              </w:r>
            </w:del>
          </w:p>
          <w:p w:rsidR="007718C5" w:rsidRPr="005E345C" w:rsidP="00BE7034" w14:paraId="69BBBFDF" w14:textId="77777777">
            <w:pPr>
              <w:jc w:val="center"/>
              <w:rPr>
                <w:del w:id="5047" w:author="AbbVie14" w:date="2025-05-09T10:31:00Z"/>
                <w:sz w:val="22"/>
                <w:szCs w:val="22"/>
              </w:rPr>
            </w:pPr>
            <w:del w:id="5048" w:author="AbbVie14" w:date="2025-05-09T10:31:00Z">
              <w:r w:rsidRPr="005E345C">
                <w:rPr>
                  <w:rStyle w:val="eop"/>
                  <w:sz w:val="22"/>
                  <w:szCs w:val="22"/>
                </w:rPr>
                <w:delText>N=47</w:delText>
              </w:r>
            </w:del>
          </w:p>
        </w:tc>
      </w:tr>
      <w:tr w14:paraId="0CCBE25A" w14:textId="77777777" w:rsidTr="00BE7034">
        <w:tblPrEx>
          <w:tblW w:w="4246" w:type="pct"/>
          <w:tblLook w:val="04A0"/>
        </w:tblPrEx>
        <w:trPr>
          <w:del w:id="5049" w:author="AbbVie14" w:date="2025-05-09T10:31: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718C5" w:rsidRPr="005E345C" w:rsidP="00BE7034" w14:paraId="7C43738F" w14:textId="77777777">
            <w:pPr>
              <w:rPr>
                <w:del w:id="5050" w:author="AbbVie14" w:date="2025-05-09T10:31:00Z"/>
                <w:sz w:val="22"/>
                <w:szCs w:val="22"/>
              </w:rPr>
            </w:pPr>
            <w:del w:id="5051" w:author="AbbVie14" w:date="2025-05-09T10:31:00Z">
              <w:r w:rsidRPr="005E345C">
                <w:rPr>
                  <w:sz w:val="22"/>
                  <w:szCs w:val="22"/>
                </w:rPr>
                <w:delText>Remissione clinica</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718C5" w:rsidRPr="005E345C" w:rsidP="00BE7034" w14:paraId="42B539DF" w14:textId="77777777">
            <w:pPr>
              <w:jc w:val="center"/>
              <w:rPr>
                <w:del w:id="5052" w:author="AbbVie14" w:date="2025-05-09T10:31:00Z"/>
                <w:sz w:val="22"/>
                <w:szCs w:val="22"/>
              </w:rPr>
            </w:pPr>
            <w:del w:id="5053" w:author="AbbVie14" w:date="2025-05-09T10:31:00Z">
              <w:r w:rsidRPr="005E345C">
                <w:rPr>
                  <w:sz w:val="22"/>
                  <w:szCs w:val="22"/>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718C5" w:rsidRPr="005E345C" w:rsidP="00BE7034" w14:paraId="3D7A02D8" w14:textId="77777777">
            <w:pPr>
              <w:jc w:val="center"/>
              <w:rPr>
                <w:del w:id="5054" w:author="AbbVie14" w:date="2025-05-09T10:31:00Z"/>
                <w:sz w:val="22"/>
                <w:szCs w:val="22"/>
                <w:vertAlign w:val="superscript"/>
              </w:rPr>
            </w:pPr>
            <w:del w:id="5055" w:author="AbbVie14" w:date="2025-05-09T10:31:00Z">
              <w:r w:rsidRPr="005E345C">
                <w:rPr>
                  <w:sz w:val="22"/>
                  <w:szCs w:val="22"/>
                </w:rPr>
                <w:delText>28/47 (59,6%)</w:delText>
              </w:r>
            </w:del>
          </w:p>
        </w:tc>
      </w:tr>
      <w:tr w14:paraId="0F650124" w14:textId="77777777" w:rsidTr="00BE7034">
        <w:tblPrEx>
          <w:tblW w:w="4246" w:type="pct"/>
          <w:tblLook w:val="04A0"/>
        </w:tblPrEx>
        <w:trPr>
          <w:trHeight w:val="2517"/>
          <w:del w:id="5056" w:author="AbbVie14" w:date="2025-05-09T10:31: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718C5" w:rsidRPr="005E345C" w:rsidP="00BE7034" w14:paraId="04B74DEC" w14:textId="77777777">
            <w:pPr>
              <w:pStyle w:val="paragraph0"/>
              <w:spacing w:before="0" w:beforeAutospacing="0" w:after="0" w:afterAutospacing="0"/>
              <w:textAlignment w:val="baseline"/>
              <w:rPr>
                <w:del w:id="5057" w:author="AbbVie14" w:date="2025-05-09T10:31:00Z"/>
                <w:sz w:val="22"/>
                <w:szCs w:val="22"/>
              </w:rPr>
            </w:pPr>
            <w:del w:id="5058" w:author="AbbVie14" w:date="2025-05-09T10:31:00Z">
              <w:r w:rsidRPr="005E345C">
                <w:rPr>
                  <w:rStyle w:val="normaltextrun"/>
                  <w:sz w:val="22"/>
                  <w:szCs w:val="22"/>
                  <w:vertAlign w:val="superscript"/>
                </w:rPr>
                <w:delText>a</w:delText>
              </w:r>
            </w:del>
            <w:del w:id="5059" w:author="AbbVie14" w:date="2025-05-09T10:31:00Z">
              <w:r w:rsidRPr="005E345C">
                <w:rPr>
                  <w:rStyle w:val="normaltextrun"/>
                  <w:sz w:val="22"/>
                  <w:szCs w:val="22"/>
                </w:rPr>
                <w:delText>Humira 2,4 mg/kg (massimo 160 mg) alla Settimana 0, placebo alla Settimana 1 e 1,2 mg/kg (massimo 80 mg) alla Settimana 2</w:delText>
              </w:r>
            </w:del>
            <w:del w:id="5060" w:author="AbbVie14" w:date="2025-05-09T10:31:00Z">
              <w:r w:rsidRPr="005E345C">
                <w:rPr>
                  <w:rStyle w:val="eop"/>
                  <w:sz w:val="22"/>
                  <w:szCs w:val="22"/>
                </w:rPr>
                <w:delText> </w:delText>
              </w:r>
            </w:del>
          </w:p>
          <w:p w:rsidR="007718C5" w:rsidRPr="005E345C" w:rsidP="00BE7034" w14:paraId="07350532" w14:textId="77777777">
            <w:pPr>
              <w:pStyle w:val="paragraph0"/>
              <w:spacing w:before="0" w:beforeAutospacing="0" w:after="0" w:afterAutospacing="0"/>
              <w:textAlignment w:val="baseline"/>
              <w:rPr>
                <w:del w:id="5061" w:author="AbbVie14" w:date="2025-05-09T10:31:00Z"/>
                <w:sz w:val="22"/>
                <w:szCs w:val="22"/>
              </w:rPr>
            </w:pPr>
            <w:del w:id="5062" w:author="AbbVie14" w:date="2025-05-09T10:31:00Z">
              <w:r w:rsidRPr="005E345C">
                <w:rPr>
                  <w:rStyle w:val="normaltextrun"/>
                  <w:sz w:val="22"/>
                  <w:szCs w:val="22"/>
                  <w:vertAlign w:val="superscript"/>
                </w:rPr>
                <w:delText>b</w:delText>
              </w:r>
            </w:del>
            <w:del w:id="5063" w:author="AbbVie14" w:date="2025-05-09T10:31:00Z">
              <w:r w:rsidRPr="005E345C">
                <w:rPr>
                  <w:rStyle w:val="normaltextrun"/>
                  <w:sz w:val="22"/>
                  <w:szCs w:val="22"/>
                </w:rPr>
                <w:delText>Humira 2,4 mg/kg (massimo 160 mg) alla Settimana 0 e alla Settimana 1 e 1,2 mg/kg (massimo 80 mg) alla Settimana 2</w:delText>
              </w:r>
            </w:del>
            <w:del w:id="5064" w:author="AbbVie14" w:date="2025-05-09T10:31:00Z">
              <w:r w:rsidRPr="005E345C">
                <w:rPr>
                  <w:rStyle w:val="eop"/>
                  <w:sz w:val="22"/>
                  <w:szCs w:val="22"/>
                </w:rPr>
                <w:delText> </w:delText>
              </w:r>
            </w:del>
          </w:p>
          <w:p w:rsidR="007718C5" w:rsidRPr="005E345C" w:rsidP="00BE7034" w14:paraId="1814F3F5" w14:textId="77777777">
            <w:pPr>
              <w:pStyle w:val="paragraph0"/>
              <w:spacing w:before="0" w:beforeAutospacing="0" w:after="0" w:afterAutospacing="0"/>
              <w:textAlignment w:val="baseline"/>
              <w:rPr>
                <w:del w:id="5065" w:author="AbbVie14" w:date="2025-05-09T10:31:00Z"/>
                <w:sz w:val="22"/>
                <w:szCs w:val="22"/>
              </w:rPr>
            </w:pPr>
            <w:del w:id="5066" w:author="AbbVie14" w:date="2025-05-09T10:31:00Z">
              <w:r w:rsidRPr="005E345C">
                <w:rPr>
                  <w:rStyle w:val="normaltextrun"/>
                  <w:sz w:val="22"/>
                  <w:szCs w:val="22"/>
                  <w:vertAlign w:val="superscript"/>
                </w:rPr>
                <w:delText>c</w:delText>
              </w:r>
            </w:del>
            <w:del w:id="5067" w:author="AbbVie14" w:date="2025-05-09T10:31:00Z">
              <w:r w:rsidRPr="005E345C">
                <w:rPr>
                  <w:rStyle w:val="normaltextrun"/>
                  <w:sz w:val="22"/>
                  <w:szCs w:val="22"/>
                </w:rPr>
                <w:delText xml:space="preserve">Senza includere la dose di </w:delText>
              </w:r>
            </w:del>
            <w:del w:id="5068" w:author="AbbVie14" w:date="2025-05-09T10:31:00Z">
              <w:r w:rsidR="008E722A">
                <w:rPr>
                  <w:rStyle w:val="normaltextrun"/>
                  <w:sz w:val="22"/>
                  <w:szCs w:val="22"/>
                </w:rPr>
                <w:delText>I</w:delText>
              </w:r>
            </w:del>
            <w:del w:id="5069" w:author="AbbVie14" w:date="2025-05-09T10:31:00Z">
              <w:r w:rsidRPr="005E345C">
                <w:rPr>
                  <w:rStyle w:val="normaltextrun"/>
                  <w:sz w:val="22"/>
                  <w:szCs w:val="22"/>
                </w:rPr>
                <w:delText>nduzione in aperto di Humira 2,4 mg/kg (massimo 160 mg) alla Settimana 0 e alla Settimana 1 e 1,2 mg/kg (massimo 80 mg) alla Settimana 2</w:delText>
              </w:r>
            </w:del>
          </w:p>
          <w:p w:rsidR="007718C5" w:rsidRPr="005E345C" w:rsidP="00BE7034" w14:paraId="76DFB898" w14:textId="77777777">
            <w:pPr>
              <w:pStyle w:val="paragraph0"/>
              <w:spacing w:before="0" w:beforeAutospacing="0" w:after="0" w:afterAutospacing="0"/>
              <w:textAlignment w:val="baseline"/>
              <w:rPr>
                <w:del w:id="5070" w:author="AbbVie14" w:date="2025-05-09T10:31:00Z"/>
                <w:sz w:val="22"/>
                <w:szCs w:val="22"/>
              </w:rPr>
            </w:pPr>
            <w:del w:id="5071" w:author="AbbVie14" w:date="2025-05-09T10:31:00Z">
              <w:r w:rsidRPr="005E345C">
                <w:rPr>
                  <w:rStyle w:val="normaltextrun"/>
                  <w:sz w:val="22"/>
                  <w:szCs w:val="22"/>
                </w:rPr>
                <w:delText>Nota 1: entrambi i gruppi di induzione hanno ricevuto 0,6 mg/kg (massimo 40 mg) alla Settimana 4 e alla Settimana 6</w:delText>
              </w:r>
            </w:del>
            <w:del w:id="5072" w:author="AbbVie14" w:date="2025-05-09T10:31:00Z">
              <w:r w:rsidRPr="005E345C">
                <w:rPr>
                  <w:rStyle w:val="eop"/>
                  <w:sz w:val="22"/>
                  <w:szCs w:val="22"/>
                </w:rPr>
                <w:delText> </w:delText>
              </w:r>
            </w:del>
          </w:p>
          <w:p w:rsidR="007718C5" w:rsidRPr="005E345C" w:rsidP="00BE7034" w14:paraId="7FB9A111" w14:textId="77777777">
            <w:pPr>
              <w:pStyle w:val="paragraph0"/>
              <w:spacing w:before="0" w:beforeAutospacing="0" w:after="0" w:afterAutospacing="0"/>
              <w:textAlignment w:val="baseline"/>
              <w:rPr>
                <w:del w:id="5073" w:author="AbbVie14" w:date="2025-05-09T10:31:00Z"/>
                <w:sz w:val="22"/>
                <w:szCs w:val="22"/>
              </w:rPr>
            </w:pPr>
            <w:del w:id="5074" w:author="AbbVie14" w:date="2025-05-09T10:31:00Z">
              <w:r w:rsidRPr="005E345C">
                <w:rPr>
                  <w:rStyle w:val="normaltextrun"/>
                  <w:sz w:val="22"/>
                  <w:szCs w:val="22"/>
                </w:rPr>
                <w:delText xml:space="preserve">Nota 2: i pazienti con valori mancanti alla Settimana 8 sono stati considerati come non aver </w:delText>
              </w:r>
            </w:del>
            <w:del w:id="5075" w:author="AbbVie14" w:date="2025-05-09T10:31:00Z">
              <w:r w:rsidR="008E722A">
                <w:rPr>
                  <w:rStyle w:val="normaltextrun"/>
                  <w:sz w:val="22"/>
                  <w:szCs w:val="22"/>
                </w:rPr>
                <w:delText>raggiunto</w:delText>
              </w:r>
            </w:del>
            <w:del w:id="5076" w:author="AbbVie14" w:date="2025-05-09T10:31:00Z">
              <w:r w:rsidRPr="005E345C">
                <w:rPr>
                  <w:rStyle w:val="normaltextrun"/>
                  <w:sz w:val="22"/>
                  <w:szCs w:val="22"/>
                </w:rPr>
                <w:delText xml:space="preserve"> l'endpoint</w:delText>
              </w:r>
            </w:del>
            <w:del w:id="5077" w:author="AbbVie14" w:date="2025-05-09T10:31:00Z">
              <w:r w:rsidRPr="005E345C">
                <w:rPr>
                  <w:rStyle w:val="eop"/>
                  <w:sz w:val="22"/>
                  <w:szCs w:val="22"/>
                </w:rPr>
                <w:delText> </w:delText>
              </w:r>
            </w:del>
          </w:p>
        </w:tc>
      </w:tr>
    </w:tbl>
    <w:p w:rsidR="007718C5" w:rsidRPr="005E345C" w:rsidP="007718C5" w14:paraId="30E96E36" w14:textId="77777777">
      <w:pPr>
        <w:rPr>
          <w:del w:id="5078" w:author="AbbVie14" w:date="2025-05-09T10:31:00Z"/>
          <w:rStyle w:val="normaltextrun"/>
          <w:sz w:val="22"/>
          <w:szCs w:val="22"/>
          <w:shd w:val="clear" w:color="auto" w:fill="FFFFFF"/>
        </w:rPr>
      </w:pPr>
    </w:p>
    <w:p w:rsidR="007718C5" w:rsidRPr="005E345C" w:rsidP="007718C5" w14:paraId="0635E6F0" w14:textId="77777777">
      <w:pPr>
        <w:rPr>
          <w:del w:id="5079" w:author="AbbVie14" w:date="2025-05-09T10:31:00Z"/>
          <w:sz w:val="22"/>
          <w:szCs w:val="22"/>
        </w:rPr>
      </w:pPr>
      <w:bookmarkStart w:id="5080" w:name="_Hlk53739762"/>
      <w:del w:id="5081" w:author="AbbVie14" w:date="2025-05-09T10:31:00Z">
        <w:r w:rsidRPr="005E345C">
          <w:rPr>
            <w:rStyle w:val="normaltextrun"/>
            <w:sz w:val="22"/>
            <w:szCs w:val="22"/>
            <w:shd w:val="clear" w:color="auto" w:fill="FFFFFF"/>
          </w:rPr>
          <w:delText xml:space="preserve">Alla Settimana 52, </w:delText>
        </w:r>
      </w:del>
      <w:del w:id="5082" w:author="AbbVie14" w:date="2025-05-09T10:31:00Z">
        <w:r w:rsidRPr="005E345C" w:rsidR="00933C4B">
          <w:rPr>
            <w:rStyle w:val="normaltextrun"/>
            <w:sz w:val="22"/>
            <w:szCs w:val="22"/>
            <w:shd w:val="clear" w:color="auto" w:fill="FFFFFF"/>
          </w:rPr>
          <w:delText xml:space="preserve">nei pazienti che </w:delText>
        </w:r>
      </w:del>
      <w:del w:id="5083" w:author="AbbVie14" w:date="2025-05-09T10:31:00Z">
        <w:r w:rsidR="00933C4B">
          <w:rPr>
            <w:rStyle w:val="normaltextrun"/>
            <w:sz w:val="22"/>
            <w:szCs w:val="22"/>
            <w:shd w:val="clear" w:color="auto" w:fill="FFFFFF"/>
          </w:rPr>
          <w:delText>avevano</w:delText>
        </w:r>
      </w:del>
      <w:del w:id="5084" w:author="AbbVie14" w:date="2025-05-09T10:31:00Z">
        <w:r w:rsidRPr="005E345C" w:rsidR="00933C4B">
          <w:rPr>
            <w:rStyle w:val="normaltextrun"/>
            <w:sz w:val="22"/>
            <w:szCs w:val="22"/>
            <w:shd w:val="clear" w:color="auto" w:fill="FFFFFF"/>
          </w:rPr>
          <w:delText xml:space="preserve"> ricevuto Humira alle dosi di mantenimento massima in doppio cieco di 40 mg </w:delText>
        </w:r>
      </w:del>
      <w:del w:id="5085" w:author="AbbVie14" w:date="2025-05-09T10:31:00Z">
        <w:r w:rsidR="00933C4B">
          <w:rPr>
            <w:rStyle w:val="spellingerror"/>
            <w:sz w:val="22"/>
            <w:szCs w:val="22"/>
            <w:shd w:val="clear" w:color="auto" w:fill="FFFFFF"/>
          </w:rPr>
          <w:delText>a settimane alterne</w:delText>
        </w:r>
      </w:del>
      <w:del w:id="5086" w:author="AbbVie14" w:date="2025-05-09T10:31:00Z">
        <w:r w:rsidRPr="005E345C" w:rsidR="00933C4B">
          <w:rPr>
            <w:rStyle w:val="normaltextrun"/>
            <w:sz w:val="22"/>
            <w:szCs w:val="22"/>
            <w:shd w:val="clear" w:color="auto" w:fill="FFFFFF"/>
          </w:rPr>
          <w:delText xml:space="preserve"> (0,6 mg/kg) e massima di 40 mg </w:delText>
        </w:r>
      </w:del>
      <w:del w:id="5087" w:author="AbbVie14" w:date="2025-05-09T10:31:00Z">
        <w:r w:rsidR="00933C4B">
          <w:rPr>
            <w:rStyle w:val="spellingerror"/>
            <w:sz w:val="22"/>
            <w:szCs w:val="22"/>
            <w:shd w:val="clear" w:color="auto" w:fill="FFFFFF"/>
          </w:rPr>
          <w:delText>a settimana</w:delText>
        </w:r>
      </w:del>
      <w:del w:id="5088" w:author="AbbVie14" w:date="2025-05-09T10:31:00Z">
        <w:r w:rsidRPr="005E345C" w:rsidR="00933C4B">
          <w:rPr>
            <w:rStyle w:val="normaltextrun"/>
            <w:sz w:val="22"/>
            <w:szCs w:val="22"/>
            <w:shd w:val="clear" w:color="auto" w:fill="FFFFFF"/>
          </w:rPr>
          <w:delText xml:space="preserve"> (0,6 mg/kg)</w:delText>
        </w:r>
      </w:del>
      <w:del w:id="5089" w:author="AbbVie14" w:date="2025-05-09T10:31:00Z">
        <w:r w:rsidR="00933C4B">
          <w:rPr>
            <w:rStyle w:val="normaltextrun"/>
            <w:sz w:val="22"/>
            <w:szCs w:val="22"/>
            <w:shd w:val="clear" w:color="auto" w:fill="FFFFFF"/>
          </w:rPr>
          <w:delText xml:space="preserve">, sono state valutate </w:delText>
        </w:r>
      </w:del>
      <w:del w:id="5090" w:author="AbbVie14" w:date="2025-05-09T10:31:00Z">
        <w:r w:rsidRPr="005E345C">
          <w:rPr>
            <w:rStyle w:val="normaltextrun"/>
            <w:sz w:val="22"/>
            <w:szCs w:val="22"/>
            <w:shd w:val="clear" w:color="auto" w:fill="FFFFFF"/>
          </w:rPr>
          <w:delText>la remissione clinica come indicato dal FMS nei responder alla Settimana 8, la risposta clinica come indicato dal FMS (definita come una diminuzione del Mayo Score ≥ 3 punti e ≥ 30% dal basale) nei responder alla Settimana 8, la guarigione dell</w:delText>
        </w:r>
      </w:del>
      <w:del w:id="5091" w:author="AbbVie14" w:date="2025-05-09T10:31:00Z">
        <w:r w:rsidR="00933C4B">
          <w:rPr>
            <w:rStyle w:val="normaltextrun"/>
            <w:sz w:val="22"/>
            <w:szCs w:val="22"/>
            <w:shd w:val="clear" w:color="auto" w:fill="FFFFFF"/>
          </w:rPr>
          <w:delText>a</w:delText>
        </w:r>
      </w:del>
      <w:del w:id="5092" w:author="AbbVie14" w:date="2025-05-09T10:31:00Z">
        <w:r w:rsidRPr="005E345C">
          <w:rPr>
            <w:rStyle w:val="normaltextrun"/>
            <w:sz w:val="22"/>
            <w:szCs w:val="22"/>
            <w:shd w:val="clear" w:color="auto" w:fill="FFFFFF"/>
          </w:rPr>
          <w:delText xml:space="preserve"> mucos</w:delText>
        </w:r>
      </w:del>
      <w:del w:id="5093" w:author="AbbVie14" w:date="2025-05-09T10:31:00Z">
        <w:r w:rsidR="00933C4B">
          <w:rPr>
            <w:rStyle w:val="normaltextrun"/>
            <w:sz w:val="22"/>
            <w:szCs w:val="22"/>
            <w:shd w:val="clear" w:color="auto" w:fill="FFFFFF"/>
          </w:rPr>
          <w:delText>a</w:delText>
        </w:r>
      </w:del>
      <w:del w:id="5094" w:author="AbbVie14" w:date="2025-05-09T10:31:00Z">
        <w:r w:rsidRPr="005E345C">
          <w:rPr>
            <w:rStyle w:val="normaltextrun"/>
            <w:sz w:val="22"/>
            <w:szCs w:val="22"/>
            <w:shd w:val="clear" w:color="auto" w:fill="FFFFFF"/>
          </w:rPr>
          <w:delText xml:space="preserve"> (definita come Mayo </w:delText>
        </w:r>
      </w:del>
      <w:del w:id="5095" w:author="AbbVie14" w:date="2025-05-09T10:31:00Z">
        <w:r w:rsidR="003649B7">
          <w:rPr>
            <w:rStyle w:val="normaltextrun"/>
            <w:sz w:val="22"/>
            <w:szCs w:val="22"/>
            <w:shd w:val="clear" w:color="auto" w:fill="FFFFFF"/>
          </w:rPr>
          <w:delText>subs</w:delText>
        </w:r>
      </w:del>
      <w:del w:id="5096" w:author="AbbVie14" w:date="2025-05-09T10:31:00Z">
        <w:r w:rsidRPr="005E345C">
          <w:rPr>
            <w:rStyle w:val="normaltextrun"/>
            <w:sz w:val="22"/>
            <w:szCs w:val="22"/>
            <w:shd w:val="clear" w:color="auto" w:fill="FFFFFF"/>
          </w:rPr>
          <w:delText>core per endoscopia ≤ 1) nei responder alla Settimana 8, la remissione clinica come indicato dal FMS nei soggetti in remissione alla Settimana 8 e la proporzione di soggetti in remissione senza corticosteroidi come indicato dal FMS nei responder alla Settimana 8</w:delText>
        </w:r>
      </w:del>
      <w:del w:id="5097" w:author="AbbVie14" w:date="2025-05-09T10:31:00Z">
        <w:r w:rsidR="00A55B2B">
          <w:rPr>
            <w:rStyle w:val="normaltextrun"/>
            <w:sz w:val="22"/>
            <w:szCs w:val="22"/>
            <w:shd w:val="clear" w:color="auto" w:fill="FFFFFF"/>
          </w:rPr>
          <w:delText xml:space="preserve"> </w:delText>
        </w:r>
      </w:del>
      <w:bookmarkEnd w:id="5080"/>
      <w:del w:id="5098" w:author="AbbVie14" w:date="2025-05-09T10:31:00Z">
        <w:r w:rsidRPr="005E345C" w:rsidR="00A55B2B">
          <w:rPr>
            <w:rStyle w:val="normaltextrun"/>
            <w:sz w:val="22"/>
            <w:szCs w:val="22"/>
            <w:shd w:val="clear" w:color="auto" w:fill="FFFFFF"/>
          </w:rPr>
          <w:delText>(Tabella 27)</w:delText>
        </w:r>
      </w:del>
      <w:del w:id="5099" w:author="AbbVie14" w:date="2025-05-09T10:31:00Z">
        <w:r w:rsidR="00933C4B">
          <w:rPr>
            <w:rStyle w:val="normaltextrun"/>
            <w:sz w:val="22"/>
            <w:szCs w:val="22"/>
            <w:shd w:val="clear" w:color="auto" w:fill="FFFFFF"/>
          </w:rPr>
          <w:delText>.</w:delText>
        </w:r>
      </w:del>
      <w:del w:id="5100" w:author="AbbVie14" w:date="2025-05-09T10:31:00Z">
        <w:r w:rsidRPr="005E345C">
          <w:rPr>
            <w:rStyle w:val="eop"/>
            <w:sz w:val="22"/>
            <w:szCs w:val="22"/>
            <w:shd w:val="clear" w:color="auto" w:fill="FFFFFF"/>
          </w:rPr>
          <w:delText> </w:delText>
        </w:r>
      </w:del>
    </w:p>
    <w:p w:rsidR="007718C5" w:rsidRPr="005E345C" w:rsidP="007718C5" w14:paraId="5CE92614" w14:textId="77777777">
      <w:pPr>
        <w:rPr>
          <w:del w:id="5101" w:author="AbbVie14" w:date="2025-05-09T10:31:00Z"/>
          <w:sz w:val="22"/>
          <w:szCs w:val="22"/>
        </w:rPr>
      </w:pPr>
    </w:p>
    <w:p w:rsidR="007718C5" w:rsidRPr="005E345C" w:rsidP="00C04163" w14:paraId="7766C380" w14:textId="77777777">
      <w:pPr>
        <w:keepNext/>
        <w:jc w:val="center"/>
        <w:textAlignment w:val="baseline"/>
        <w:rPr>
          <w:del w:id="5102" w:author="AbbVie14" w:date="2025-05-09T10:31:00Z"/>
          <w:sz w:val="22"/>
          <w:szCs w:val="22"/>
        </w:rPr>
      </w:pPr>
      <w:del w:id="5103" w:author="AbbVie14" w:date="2025-05-09T10:31:00Z">
        <w:r w:rsidRPr="005E345C">
          <w:rPr>
            <w:b/>
            <w:sz w:val="22"/>
            <w:szCs w:val="22"/>
          </w:rPr>
          <w:delText xml:space="preserve">Tabella 27: Risultati di </w:delText>
        </w:r>
      </w:del>
      <w:del w:id="5104" w:author="AbbVie14" w:date="2025-05-09T10:31:00Z">
        <w:r w:rsidR="008821F6">
          <w:rPr>
            <w:b/>
            <w:sz w:val="22"/>
            <w:szCs w:val="22"/>
          </w:rPr>
          <w:delText>E</w:delText>
        </w:r>
      </w:del>
      <w:del w:id="5105" w:author="AbbVie14" w:date="2025-05-09T10:31:00Z">
        <w:r w:rsidRPr="005E345C">
          <w:rPr>
            <w:b/>
            <w:sz w:val="22"/>
            <w:szCs w:val="22"/>
          </w:rPr>
          <w:delText xml:space="preserve">fficacia a 52 </w:delText>
        </w:r>
      </w:del>
      <w:del w:id="5106" w:author="AbbVie14" w:date="2025-05-09T10:31:00Z">
        <w:r w:rsidR="008821F6">
          <w:rPr>
            <w:b/>
            <w:sz w:val="22"/>
            <w:szCs w:val="22"/>
          </w:rPr>
          <w:delText>S</w:delText>
        </w:r>
      </w:del>
      <w:del w:id="5107" w:author="AbbVie14" w:date="2025-05-09T10:31:00Z">
        <w:r w:rsidRPr="005E345C">
          <w:rPr>
            <w:b/>
            <w:sz w:val="22"/>
            <w:szCs w:val="22"/>
          </w:rPr>
          <w:delText>ettimane</w:delText>
        </w:r>
      </w:del>
      <w:del w:id="5108" w:author="AbbVie14" w:date="2025-05-09T10:31:00Z">
        <w:r w:rsidRPr="005E345C">
          <w:rPr>
            <w:sz w:val="22"/>
            <w:szCs w:val="22"/>
          </w:rPr>
          <w:delText> </w:delText>
        </w:r>
      </w:del>
    </w:p>
    <w:p w:rsidR="007718C5" w:rsidRPr="005E345C" w:rsidP="00C04163" w14:paraId="3C66F777" w14:textId="77777777">
      <w:pPr>
        <w:keepNext/>
        <w:jc w:val="center"/>
        <w:textAlignment w:val="baseline"/>
        <w:rPr>
          <w:del w:id="5109" w:author="AbbVie14" w:date="2025-05-09T10:31:00Z"/>
          <w:sz w:val="22"/>
          <w:szCs w:val="22"/>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409"/>
        <w:gridCol w:w="2633"/>
      </w:tblGrid>
      <w:tr w14:paraId="439CC3DB" w14:textId="77777777" w:rsidTr="00BE7034">
        <w:tblPrEx>
          <w:tblW w:w="7568" w:type="dxa"/>
          <w:tblLook w:val="04A0"/>
        </w:tblPrEx>
        <w:trPr>
          <w:trHeight w:val="912"/>
          <w:del w:id="5110" w:author="AbbVie14" w:date="2025-05-09T10:31:00Z"/>
        </w:trPr>
        <w:tc>
          <w:tcPr>
            <w:tcW w:w="2526" w:type="dxa"/>
            <w:tcBorders>
              <w:top w:val="single" w:sz="6" w:space="0" w:color="auto"/>
              <w:left w:val="single" w:sz="6" w:space="0" w:color="auto"/>
              <w:bottom w:val="single" w:sz="6" w:space="0" w:color="auto"/>
              <w:right w:val="single" w:sz="6" w:space="0" w:color="auto"/>
            </w:tcBorders>
            <w:hideMark/>
          </w:tcPr>
          <w:p w:rsidR="007718C5" w:rsidRPr="005E345C" w:rsidP="00BE7034" w14:paraId="553074B5" w14:textId="77777777">
            <w:pPr>
              <w:jc w:val="center"/>
              <w:textAlignment w:val="baseline"/>
              <w:rPr>
                <w:del w:id="5111" w:author="AbbVie14" w:date="2025-05-09T10:31:00Z"/>
                <w:sz w:val="22"/>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rsidR="007718C5" w:rsidRPr="005E345C" w:rsidP="00BE7034" w14:paraId="3EFA33D9" w14:textId="77777777">
            <w:pPr>
              <w:jc w:val="center"/>
              <w:textAlignment w:val="baseline"/>
              <w:rPr>
                <w:del w:id="5112" w:author="AbbVie14" w:date="2025-05-09T10:31:00Z"/>
                <w:sz w:val="22"/>
                <w:szCs w:val="22"/>
              </w:rPr>
            </w:pPr>
            <w:del w:id="5113" w:author="AbbVie14" w:date="2025-05-09T10:31:00Z">
              <w:r w:rsidRPr="005E345C">
                <w:rPr>
                  <w:b/>
                  <w:sz w:val="22"/>
                  <w:szCs w:val="22"/>
                </w:rPr>
                <w:delText>Humira</w:delText>
              </w:r>
            </w:del>
            <w:del w:id="5114" w:author="AbbVie14" w:date="2025-05-09T10:31:00Z">
              <w:r w:rsidRPr="005E345C">
                <w:rPr>
                  <w:b/>
                  <w:sz w:val="22"/>
                  <w:szCs w:val="22"/>
                  <w:vertAlign w:val="superscript"/>
                </w:rPr>
                <w:delText>a</w:delText>
              </w:r>
            </w:del>
            <w:del w:id="5115" w:author="AbbVie14" w:date="2025-05-09T10:31:00Z">
              <w:r w:rsidRPr="005E345C">
                <w:rPr>
                  <w:b/>
                  <w:sz w:val="22"/>
                  <w:szCs w:val="22"/>
                </w:rPr>
                <w:delText> </w:delText>
              </w:r>
            </w:del>
            <w:del w:id="5116" w:author="AbbVie14" w:date="2025-05-09T10:31:00Z">
              <w:r w:rsidRPr="005E345C">
                <w:rPr>
                  <w:sz w:val="22"/>
                  <w:szCs w:val="22"/>
                </w:rPr>
                <w:delText> </w:delText>
              </w:r>
            </w:del>
          </w:p>
          <w:p w:rsidR="007718C5" w:rsidRPr="005E345C" w:rsidP="00BE7034" w14:paraId="1FA3DB7C" w14:textId="77777777">
            <w:pPr>
              <w:jc w:val="center"/>
              <w:textAlignment w:val="baseline"/>
              <w:rPr>
                <w:del w:id="5117" w:author="AbbVie14" w:date="2025-05-09T10:31:00Z"/>
                <w:sz w:val="22"/>
                <w:szCs w:val="22"/>
              </w:rPr>
            </w:pPr>
            <w:del w:id="5118" w:author="AbbVie14" w:date="2025-05-09T10:31:00Z">
              <w:r w:rsidRPr="005E345C">
                <w:rPr>
                  <w:b/>
                  <w:sz w:val="22"/>
                  <w:szCs w:val="22"/>
                </w:rPr>
                <w:delText>Massimo 40 mg</w:delText>
              </w:r>
            </w:del>
            <w:del w:id="5119" w:author="AbbVie14" w:date="2025-05-09T10:31:00Z">
              <w:r w:rsidRPr="005E345C">
                <w:rPr>
                  <w:sz w:val="22"/>
                  <w:szCs w:val="22"/>
                </w:rPr>
                <w:delText> </w:delText>
              </w:r>
            </w:del>
            <w:del w:id="5120" w:author="AbbVie14" w:date="2025-05-09T10:31:00Z">
              <w:r w:rsidR="008821F6">
                <w:rPr>
                  <w:b/>
                  <w:sz w:val="22"/>
                  <w:szCs w:val="22"/>
                </w:rPr>
                <w:delText>a</w:delText>
              </w:r>
            </w:del>
            <w:del w:id="5121" w:author="AbbVie14" w:date="2025-05-09T10:31:00Z">
              <w:r w:rsidR="008821F6">
                <w:rPr>
                  <w:b/>
                </w:rPr>
                <w:delText xml:space="preserve"> settimane alterne</w:delText>
              </w:r>
            </w:del>
            <w:del w:id="5122" w:author="AbbVie14" w:date="2025-05-09T10:31:00Z">
              <w:r w:rsidRPr="005E345C">
                <w:rPr>
                  <w:sz w:val="22"/>
                  <w:szCs w:val="22"/>
                </w:rPr>
                <w:delText> </w:delText>
              </w:r>
            </w:del>
          </w:p>
          <w:p w:rsidR="007718C5" w:rsidRPr="005E345C" w:rsidP="00BE7034" w14:paraId="6C27DABE" w14:textId="77777777">
            <w:pPr>
              <w:jc w:val="center"/>
              <w:textAlignment w:val="baseline"/>
              <w:rPr>
                <w:del w:id="5123" w:author="AbbVie14" w:date="2025-05-09T10:31:00Z"/>
                <w:sz w:val="22"/>
                <w:szCs w:val="22"/>
              </w:rPr>
            </w:pPr>
            <w:del w:id="5124" w:author="AbbVie14" w:date="2025-05-09T10:31:00Z">
              <w:r w:rsidRPr="005E345C">
                <w:rPr>
                  <w:sz w:val="22"/>
                  <w:szCs w:val="22"/>
                </w:rPr>
                <w:delText>N=31</w:delText>
              </w:r>
            </w:del>
          </w:p>
        </w:tc>
        <w:tc>
          <w:tcPr>
            <w:tcW w:w="2633" w:type="dxa"/>
            <w:tcBorders>
              <w:top w:val="single" w:sz="6" w:space="0" w:color="auto"/>
              <w:left w:val="nil"/>
              <w:bottom w:val="single" w:sz="6" w:space="0" w:color="auto"/>
              <w:right w:val="single" w:sz="6" w:space="0" w:color="auto"/>
            </w:tcBorders>
            <w:vAlign w:val="center"/>
            <w:hideMark/>
          </w:tcPr>
          <w:p w:rsidR="007718C5" w:rsidRPr="005E345C" w:rsidP="00BE7034" w14:paraId="4FFF9BCA" w14:textId="77777777">
            <w:pPr>
              <w:jc w:val="center"/>
              <w:textAlignment w:val="baseline"/>
              <w:rPr>
                <w:del w:id="5125" w:author="AbbVie14" w:date="2025-05-09T10:31:00Z"/>
                <w:sz w:val="22"/>
                <w:szCs w:val="22"/>
              </w:rPr>
            </w:pPr>
            <w:del w:id="5126" w:author="AbbVie14" w:date="2025-05-09T10:31:00Z">
              <w:r w:rsidRPr="005E345C">
                <w:rPr>
                  <w:b/>
                  <w:sz w:val="22"/>
                  <w:szCs w:val="22"/>
                </w:rPr>
                <w:delText>Humira</w:delText>
              </w:r>
            </w:del>
            <w:del w:id="5127" w:author="AbbVie14" w:date="2025-05-09T10:31:00Z">
              <w:r w:rsidRPr="005E345C">
                <w:rPr>
                  <w:b/>
                  <w:sz w:val="22"/>
                  <w:szCs w:val="22"/>
                  <w:vertAlign w:val="superscript"/>
                </w:rPr>
                <w:delText>b</w:delText>
              </w:r>
            </w:del>
            <w:del w:id="5128" w:author="AbbVie14" w:date="2025-05-09T10:31:00Z">
              <w:r w:rsidRPr="005E345C">
                <w:rPr>
                  <w:b/>
                  <w:sz w:val="22"/>
                  <w:szCs w:val="22"/>
                </w:rPr>
                <w:delText> </w:delText>
              </w:r>
            </w:del>
            <w:del w:id="5129" w:author="AbbVie14" w:date="2025-05-09T10:31:00Z">
              <w:r w:rsidRPr="005E345C">
                <w:rPr>
                  <w:sz w:val="22"/>
                  <w:szCs w:val="22"/>
                </w:rPr>
                <w:delText> </w:delText>
              </w:r>
            </w:del>
          </w:p>
          <w:p w:rsidR="007718C5" w:rsidRPr="005E345C" w:rsidP="00BE7034" w14:paraId="1C087C76" w14:textId="77777777">
            <w:pPr>
              <w:jc w:val="center"/>
              <w:textAlignment w:val="baseline"/>
              <w:rPr>
                <w:del w:id="5130" w:author="AbbVie14" w:date="2025-05-09T10:31:00Z"/>
                <w:sz w:val="22"/>
                <w:szCs w:val="22"/>
              </w:rPr>
            </w:pPr>
            <w:del w:id="5131" w:author="AbbVie14" w:date="2025-05-09T10:31:00Z">
              <w:r w:rsidRPr="005E345C">
                <w:rPr>
                  <w:b/>
                  <w:sz w:val="22"/>
                  <w:szCs w:val="22"/>
                </w:rPr>
                <w:delText>Massimo 40 mg</w:delText>
              </w:r>
            </w:del>
            <w:del w:id="5132" w:author="AbbVie14" w:date="2025-05-09T10:31:00Z">
              <w:r w:rsidRPr="005E345C">
                <w:rPr>
                  <w:sz w:val="22"/>
                  <w:szCs w:val="22"/>
                </w:rPr>
                <w:delText> </w:delText>
              </w:r>
            </w:del>
            <w:del w:id="5133" w:author="AbbVie14" w:date="2025-05-09T10:31:00Z">
              <w:r w:rsidRPr="00C04163" w:rsidR="008821F6">
                <w:rPr>
                  <w:b/>
                  <w:bCs/>
                  <w:sz w:val="22"/>
                  <w:szCs w:val="22"/>
                </w:rPr>
                <w:delText>a settimana</w:delText>
              </w:r>
            </w:del>
            <w:del w:id="5134" w:author="AbbVie14" w:date="2025-05-09T10:31:00Z">
              <w:r w:rsidRPr="005E345C">
                <w:rPr>
                  <w:sz w:val="22"/>
                  <w:szCs w:val="22"/>
                </w:rPr>
                <w:delText> </w:delText>
              </w:r>
            </w:del>
          </w:p>
          <w:p w:rsidR="007718C5" w:rsidRPr="005E345C" w:rsidP="00BE7034" w14:paraId="0C9B79CF" w14:textId="77777777">
            <w:pPr>
              <w:jc w:val="center"/>
              <w:textAlignment w:val="baseline"/>
              <w:rPr>
                <w:del w:id="5135" w:author="AbbVie14" w:date="2025-05-09T10:31:00Z"/>
                <w:sz w:val="22"/>
                <w:szCs w:val="22"/>
              </w:rPr>
            </w:pPr>
            <w:del w:id="5136" w:author="AbbVie14" w:date="2025-05-09T10:31:00Z">
              <w:r w:rsidRPr="005E345C">
                <w:rPr>
                  <w:sz w:val="22"/>
                  <w:szCs w:val="22"/>
                </w:rPr>
                <w:delText>N=31</w:delText>
              </w:r>
            </w:del>
          </w:p>
        </w:tc>
      </w:tr>
      <w:tr w14:paraId="4B3A9907" w14:textId="77777777" w:rsidTr="00BE7034">
        <w:tblPrEx>
          <w:tblW w:w="7568" w:type="dxa"/>
          <w:tblLook w:val="04A0"/>
        </w:tblPrEx>
        <w:trPr>
          <w:trHeight w:val="570"/>
          <w:del w:id="5137" w:author="AbbVie14" w:date="2025-05-09T10:31:00Z"/>
        </w:trPr>
        <w:tc>
          <w:tcPr>
            <w:tcW w:w="2526" w:type="dxa"/>
            <w:tcBorders>
              <w:top w:val="nil"/>
              <w:left w:val="single" w:sz="6" w:space="0" w:color="auto"/>
              <w:bottom w:val="single" w:sz="6" w:space="0" w:color="auto"/>
              <w:right w:val="single" w:sz="6" w:space="0" w:color="auto"/>
            </w:tcBorders>
            <w:vAlign w:val="center"/>
            <w:hideMark/>
          </w:tcPr>
          <w:p w:rsidR="007718C5" w:rsidRPr="005E345C" w:rsidP="00BE7034" w14:paraId="7012713D" w14:textId="77777777">
            <w:pPr>
              <w:textAlignment w:val="baseline"/>
              <w:rPr>
                <w:del w:id="5138" w:author="AbbVie14" w:date="2025-05-09T10:31:00Z"/>
                <w:sz w:val="22"/>
                <w:szCs w:val="22"/>
              </w:rPr>
            </w:pPr>
            <w:del w:id="5139" w:author="AbbVie14" w:date="2025-05-09T10:31:00Z">
              <w:r w:rsidRPr="005E345C">
                <w:rPr>
                  <w:sz w:val="22"/>
                  <w:szCs w:val="22"/>
                </w:rPr>
                <w:delText>Remissione clinica nei responder PMS alla Settimana 8 </w:delText>
              </w:r>
            </w:del>
          </w:p>
        </w:tc>
        <w:tc>
          <w:tcPr>
            <w:tcW w:w="2409" w:type="dxa"/>
            <w:tcBorders>
              <w:top w:val="nil"/>
              <w:left w:val="nil"/>
              <w:bottom w:val="single" w:sz="6" w:space="0" w:color="auto"/>
              <w:right w:val="single" w:sz="6" w:space="0" w:color="auto"/>
            </w:tcBorders>
            <w:vAlign w:val="center"/>
            <w:hideMark/>
          </w:tcPr>
          <w:p w:rsidR="007718C5" w:rsidRPr="005E345C" w:rsidP="00BE7034" w14:paraId="0E8F1258" w14:textId="77777777">
            <w:pPr>
              <w:jc w:val="center"/>
              <w:textAlignment w:val="baseline"/>
              <w:rPr>
                <w:del w:id="5140" w:author="AbbVie14" w:date="2025-05-09T10:31:00Z"/>
                <w:sz w:val="22"/>
                <w:szCs w:val="22"/>
              </w:rPr>
            </w:pPr>
            <w:del w:id="5141" w:author="AbbVie14" w:date="2025-05-09T10:31:00Z">
              <w:r w:rsidRPr="005E345C">
                <w:rPr>
                  <w:sz w:val="22"/>
                  <w:szCs w:val="22"/>
                </w:rPr>
                <w:delText>9/31 (29,0%) </w:delText>
              </w:r>
            </w:del>
          </w:p>
        </w:tc>
        <w:tc>
          <w:tcPr>
            <w:tcW w:w="2633" w:type="dxa"/>
            <w:tcBorders>
              <w:top w:val="nil"/>
              <w:left w:val="nil"/>
              <w:bottom w:val="single" w:sz="6" w:space="0" w:color="auto"/>
              <w:right w:val="single" w:sz="6" w:space="0" w:color="auto"/>
            </w:tcBorders>
            <w:vAlign w:val="center"/>
            <w:hideMark/>
          </w:tcPr>
          <w:p w:rsidR="007718C5" w:rsidRPr="005E345C" w:rsidP="00BE7034" w14:paraId="21BF8413" w14:textId="77777777">
            <w:pPr>
              <w:jc w:val="center"/>
              <w:textAlignment w:val="baseline"/>
              <w:rPr>
                <w:del w:id="5142" w:author="AbbVie14" w:date="2025-05-09T10:31:00Z"/>
                <w:sz w:val="22"/>
                <w:szCs w:val="22"/>
              </w:rPr>
            </w:pPr>
            <w:del w:id="5143" w:author="AbbVie14" w:date="2025-05-09T10:31:00Z">
              <w:r w:rsidRPr="005E345C">
                <w:rPr>
                  <w:sz w:val="22"/>
                  <w:szCs w:val="22"/>
                </w:rPr>
                <w:delText>14/31 (45,2%)</w:delText>
              </w:r>
            </w:del>
          </w:p>
        </w:tc>
      </w:tr>
      <w:tr w14:paraId="6E12ED5C" w14:textId="77777777" w:rsidTr="00BE7034">
        <w:tblPrEx>
          <w:tblW w:w="7568" w:type="dxa"/>
          <w:tblLook w:val="04A0"/>
        </w:tblPrEx>
        <w:trPr>
          <w:trHeight w:val="555"/>
          <w:del w:id="5144" w:author="AbbVie14" w:date="2025-05-09T10:31:00Z"/>
        </w:trPr>
        <w:tc>
          <w:tcPr>
            <w:tcW w:w="2526" w:type="dxa"/>
            <w:tcBorders>
              <w:top w:val="nil"/>
              <w:left w:val="single" w:sz="6" w:space="0" w:color="auto"/>
              <w:bottom w:val="single" w:sz="6" w:space="0" w:color="auto"/>
              <w:right w:val="single" w:sz="6" w:space="0" w:color="auto"/>
            </w:tcBorders>
            <w:vAlign w:val="center"/>
            <w:hideMark/>
          </w:tcPr>
          <w:p w:rsidR="007718C5" w:rsidRPr="005E345C" w:rsidP="00BE7034" w14:paraId="220D905D" w14:textId="77777777">
            <w:pPr>
              <w:textAlignment w:val="baseline"/>
              <w:rPr>
                <w:del w:id="5145" w:author="AbbVie14" w:date="2025-05-09T10:31:00Z"/>
                <w:sz w:val="22"/>
                <w:szCs w:val="22"/>
              </w:rPr>
            </w:pPr>
            <w:del w:id="5146" w:author="AbbVie14" w:date="2025-05-09T10:31:00Z">
              <w:r w:rsidRPr="005E345C">
                <w:rPr>
                  <w:sz w:val="22"/>
                  <w:szCs w:val="22"/>
                </w:rPr>
                <w:delText>Risposta clinica nei responder PMS alla Settimana 8 </w:delText>
              </w:r>
            </w:del>
          </w:p>
        </w:tc>
        <w:tc>
          <w:tcPr>
            <w:tcW w:w="2409" w:type="dxa"/>
            <w:tcBorders>
              <w:top w:val="nil"/>
              <w:left w:val="nil"/>
              <w:bottom w:val="single" w:sz="6" w:space="0" w:color="auto"/>
              <w:right w:val="single" w:sz="6" w:space="0" w:color="auto"/>
            </w:tcBorders>
            <w:vAlign w:val="center"/>
            <w:hideMark/>
          </w:tcPr>
          <w:p w:rsidR="007718C5" w:rsidRPr="005E345C" w:rsidP="00BE7034" w14:paraId="7D680C0F" w14:textId="77777777">
            <w:pPr>
              <w:jc w:val="center"/>
              <w:textAlignment w:val="baseline"/>
              <w:rPr>
                <w:del w:id="5147" w:author="AbbVie14" w:date="2025-05-09T10:31:00Z"/>
                <w:sz w:val="22"/>
                <w:szCs w:val="22"/>
              </w:rPr>
            </w:pPr>
            <w:del w:id="5148" w:author="AbbVie14" w:date="2025-05-09T10:31:00Z">
              <w:r w:rsidRPr="005E345C">
                <w:rPr>
                  <w:sz w:val="22"/>
                  <w:szCs w:val="22"/>
                </w:rPr>
                <w:delText>19/31 (61,3%) </w:delText>
              </w:r>
            </w:del>
          </w:p>
        </w:tc>
        <w:tc>
          <w:tcPr>
            <w:tcW w:w="2633" w:type="dxa"/>
            <w:tcBorders>
              <w:top w:val="nil"/>
              <w:left w:val="nil"/>
              <w:bottom w:val="single" w:sz="6" w:space="0" w:color="auto"/>
              <w:right w:val="single" w:sz="6" w:space="0" w:color="auto"/>
            </w:tcBorders>
            <w:vAlign w:val="center"/>
            <w:hideMark/>
          </w:tcPr>
          <w:p w:rsidR="007718C5" w:rsidRPr="005E345C" w:rsidP="00BE7034" w14:paraId="1BA39835" w14:textId="77777777">
            <w:pPr>
              <w:jc w:val="center"/>
              <w:textAlignment w:val="baseline"/>
              <w:rPr>
                <w:del w:id="5149" w:author="AbbVie14" w:date="2025-05-09T10:31:00Z"/>
                <w:sz w:val="22"/>
                <w:szCs w:val="22"/>
              </w:rPr>
            </w:pPr>
            <w:del w:id="5150" w:author="AbbVie14" w:date="2025-05-09T10:31:00Z">
              <w:r w:rsidRPr="005E345C">
                <w:rPr>
                  <w:sz w:val="22"/>
                  <w:szCs w:val="22"/>
                </w:rPr>
                <w:delText>21/31 (67,7%) </w:delText>
              </w:r>
            </w:del>
          </w:p>
        </w:tc>
      </w:tr>
      <w:tr w14:paraId="50E48448" w14:textId="77777777" w:rsidTr="00BE7034">
        <w:tblPrEx>
          <w:tblW w:w="7568" w:type="dxa"/>
          <w:tblLook w:val="04A0"/>
        </w:tblPrEx>
        <w:trPr>
          <w:del w:id="5151" w:author="AbbVie14" w:date="2025-05-09T10:31:00Z"/>
        </w:trPr>
        <w:tc>
          <w:tcPr>
            <w:tcW w:w="2526" w:type="dxa"/>
            <w:tcBorders>
              <w:top w:val="nil"/>
              <w:left w:val="single" w:sz="6" w:space="0" w:color="auto"/>
              <w:bottom w:val="single" w:sz="6" w:space="0" w:color="auto"/>
              <w:right w:val="single" w:sz="6" w:space="0" w:color="auto"/>
            </w:tcBorders>
            <w:vAlign w:val="center"/>
            <w:hideMark/>
          </w:tcPr>
          <w:p w:rsidR="007718C5" w:rsidRPr="005E345C" w:rsidP="00BE7034" w14:paraId="6728E6E5" w14:textId="77777777">
            <w:pPr>
              <w:textAlignment w:val="baseline"/>
              <w:rPr>
                <w:del w:id="5152" w:author="AbbVie14" w:date="2025-05-09T10:31:00Z"/>
                <w:sz w:val="22"/>
                <w:szCs w:val="22"/>
              </w:rPr>
            </w:pPr>
            <w:del w:id="5153" w:author="AbbVie14" w:date="2025-05-09T10:31:00Z">
              <w:r w:rsidRPr="005E345C">
                <w:rPr>
                  <w:sz w:val="22"/>
                  <w:szCs w:val="22"/>
                </w:rPr>
                <w:delText>Guarigione dell</w:delText>
              </w:r>
            </w:del>
            <w:del w:id="5154" w:author="AbbVie14" w:date="2025-05-09T10:31:00Z">
              <w:r w:rsidR="00A55B2B">
                <w:rPr>
                  <w:sz w:val="22"/>
                  <w:szCs w:val="22"/>
                </w:rPr>
                <w:delText>a</w:delText>
              </w:r>
            </w:del>
            <w:del w:id="5155" w:author="AbbVie14" w:date="2025-05-09T10:31:00Z">
              <w:r w:rsidRPr="005E345C">
                <w:rPr>
                  <w:sz w:val="22"/>
                  <w:szCs w:val="22"/>
                </w:rPr>
                <w:delText xml:space="preserve"> mucos</w:delText>
              </w:r>
            </w:del>
            <w:del w:id="5156" w:author="AbbVie14" w:date="2025-05-09T10:31:00Z">
              <w:r w:rsidR="00A55B2B">
                <w:rPr>
                  <w:sz w:val="22"/>
                  <w:szCs w:val="22"/>
                </w:rPr>
                <w:delText>a</w:delText>
              </w:r>
            </w:del>
            <w:del w:id="5157" w:author="AbbVie14" w:date="2025-05-09T10:31:00Z">
              <w:r w:rsidRPr="005E345C">
                <w:rPr>
                  <w:sz w:val="22"/>
                  <w:szCs w:val="22"/>
                </w:rPr>
                <w:delText xml:space="preserve"> nei responder PMS alla Settimana 8 </w:delText>
              </w:r>
            </w:del>
          </w:p>
        </w:tc>
        <w:tc>
          <w:tcPr>
            <w:tcW w:w="2409" w:type="dxa"/>
            <w:tcBorders>
              <w:top w:val="nil"/>
              <w:left w:val="nil"/>
              <w:bottom w:val="single" w:sz="6" w:space="0" w:color="auto"/>
              <w:right w:val="single" w:sz="6" w:space="0" w:color="auto"/>
            </w:tcBorders>
            <w:vAlign w:val="center"/>
            <w:hideMark/>
          </w:tcPr>
          <w:p w:rsidR="007718C5" w:rsidRPr="005E345C" w:rsidP="00BE7034" w14:paraId="272EBE6D" w14:textId="77777777">
            <w:pPr>
              <w:jc w:val="center"/>
              <w:textAlignment w:val="baseline"/>
              <w:rPr>
                <w:del w:id="5158" w:author="AbbVie14" w:date="2025-05-09T10:31:00Z"/>
                <w:sz w:val="22"/>
                <w:szCs w:val="22"/>
              </w:rPr>
            </w:pPr>
            <w:del w:id="5159" w:author="AbbVie14" w:date="2025-05-09T10:31:00Z">
              <w:r w:rsidRPr="005E345C">
                <w:rPr>
                  <w:sz w:val="22"/>
                  <w:szCs w:val="22"/>
                </w:rPr>
                <w:delText>12/31 (38,7%) </w:delText>
              </w:r>
            </w:del>
          </w:p>
        </w:tc>
        <w:tc>
          <w:tcPr>
            <w:tcW w:w="2633" w:type="dxa"/>
            <w:tcBorders>
              <w:top w:val="nil"/>
              <w:left w:val="nil"/>
              <w:bottom w:val="single" w:sz="6" w:space="0" w:color="auto"/>
              <w:right w:val="single" w:sz="6" w:space="0" w:color="auto"/>
            </w:tcBorders>
            <w:vAlign w:val="center"/>
            <w:hideMark/>
          </w:tcPr>
          <w:p w:rsidR="007718C5" w:rsidRPr="005E345C" w:rsidP="00BE7034" w14:paraId="474C3044" w14:textId="77777777">
            <w:pPr>
              <w:jc w:val="center"/>
              <w:textAlignment w:val="baseline"/>
              <w:rPr>
                <w:del w:id="5160" w:author="AbbVie14" w:date="2025-05-09T10:31:00Z"/>
                <w:sz w:val="22"/>
                <w:szCs w:val="22"/>
              </w:rPr>
            </w:pPr>
            <w:del w:id="5161" w:author="AbbVie14" w:date="2025-05-09T10:31:00Z">
              <w:r w:rsidRPr="005E345C">
                <w:rPr>
                  <w:sz w:val="22"/>
                  <w:szCs w:val="22"/>
                </w:rPr>
                <w:delText>16/31 (51,6%) </w:delText>
              </w:r>
            </w:del>
          </w:p>
        </w:tc>
      </w:tr>
      <w:tr w14:paraId="14B7A527" w14:textId="77777777" w:rsidTr="00BE7034">
        <w:tblPrEx>
          <w:tblW w:w="7568" w:type="dxa"/>
          <w:tblLook w:val="04A0"/>
        </w:tblPrEx>
        <w:trPr>
          <w:del w:id="5162" w:author="AbbVie14" w:date="2025-05-09T10:31:00Z"/>
        </w:trPr>
        <w:tc>
          <w:tcPr>
            <w:tcW w:w="2526" w:type="dxa"/>
            <w:tcBorders>
              <w:top w:val="nil"/>
              <w:left w:val="single" w:sz="6" w:space="0" w:color="auto"/>
              <w:bottom w:val="single" w:sz="6" w:space="0" w:color="auto"/>
              <w:right w:val="single" w:sz="6" w:space="0" w:color="auto"/>
            </w:tcBorders>
            <w:vAlign w:val="center"/>
            <w:hideMark/>
          </w:tcPr>
          <w:p w:rsidR="007718C5" w:rsidRPr="005E345C" w:rsidP="00BE7034" w14:paraId="69B3A75A" w14:textId="77777777">
            <w:pPr>
              <w:textAlignment w:val="baseline"/>
              <w:rPr>
                <w:del w:id="5163" w:author="AbbVie14" w:date="2025-05-09T10:31:00Z"/>
                <w:sz w:val="22"/>
                <w:szCs w:val="22"/>
              </w:rPr>
            </w:pPr>
            <w:del w:id="5164" w:author="AbbVie14" w:date="2025-05-09T10:31:00Z">
              <w:r w:rsidRPr="005E345C">
                <w:rPr>
                  <w:sz w:val="22"/>
                  <w:szCs w:val="22"/>
                </w:rPr>
                <w:delText>Remissione clinica nei soggetti in remissione PMS alla Settimana 8 </w:delText>
              </w:r>
            </w:del>
          </w:p>
        </w:tc>
        <w:tc>
          <w:tcPr>
            <w:tcW w:w="2409" w:type="dxa"/>
            <w:tcBorders>
              <w:top w:val="nil"/>
              <w:left w:val="nil"/>
              <w:bottom w:val="single" w:sz="6" w:space="0" w:color="auto"/>
              <w:right w:val="single" w:sz="6" w:space="0" w:color="auto"/>
            </w:tcBorders>
            <w:vAlign w:val="center"/>
            <w:hideMark/>
          </w:tcPr>
          <w:p w:rsidR="007718C5" w:rsidRPr="005E345C" w:rsidP="00BE7034" w14:paraId="2C2828CC" w14:textId="77777777">
            <w:pPr>
              <w:jc w:val="center"/>
              <w:textAlignment w:val="baseline"/>
              <w:rPr>
                <w:del w:id="5165" w:author="AbbVie14" w:date="2025-05-09T10:31:00Z"/>
                <w:sz w:val="22"/>
                <w:szCs w:val="22"/>
              </w:rPr>
            </w:pPr>
            <w:del w:id="5166" w:author="AbbVie14" w:date="2025-05-09T10:31:00Z">
              <w:r w:rsidRPr="005E345C">
                <w:rPr>
                  <w:sz w:val="22"/>
                  <w:szCs w:val="22"/>
                </w:rPr>
                <w:delText>9/21 (42,9%) </w:delText>
              </w:r>
            </w:del>
          </w:p>
        </w:tc>
        <w:tc>
          <w:tcPr>
            <w:tcW w:w="2633" w:type="dxa"/>
            <w:tcBorders>
              <w:top w:val="nil"/>
              <w:left w:val="nil"/>
              <w:bottom w:val="single" w:sz="6" w:space="0" w:color="auto"/>
              <w:right w:val="single" w:sz="6" w:space="0" w:color="auto"/>
            </w:tcBorders>
            <w:vAlign w:val="center"/>
            <w:hideMark/>
          </w:tcPr>
          <w:p w:rsidR="007718C5" w:rsidRPr="005E345C" w:rsidP="00BE7034" w14:paraId="1BB1F2AD" w14:textId="77777777">
            <w:pPr>
              <w:jc w:val="center"/>
              <w:textAlignment w:val="baseline"/>
              <w:rPr>
                <w:del w:id="5167" w:author="AbbVie14" w:date="2025-05-09T10:31:00Z"/>
                <w:sz w:val="22"/>
                <w:szCs w:val="22"/>
              </w:rPr>
            </w:pPr>
            <w:del w:id="5168" w:author="AbbVie14" w:date="2025-05-09T10:31:00Z">
              <w:r w:rsidRPr="005E345C">
                <w:rPr>
                  <w:sz w:val="22"/>
                  <w:szCs w:val="22"/>
                </w:rPr>
                <w:delText>10/22 (45,5%) </w:delText>
              </w:r>
            </w:del>
          </w:p>
        </w:tc>
      </w:tr>
      <w:tr w14:paraId="63A0CF8F" w14:textId="77777777" w:rsidTr="00BE7034">
        <w:tblPrEx>
          <w:tblW w:w="7568" w:type="dxa"/>
          <w:tblLook w:val="04A0"/>
        </w:tblPrEx>
        <w:trPr>
          <w:del w:id="5169" w:author="AbbVie14" w:date="2025-05-09T10:31:00Z"/>
        </w:trPr>
        <w:tc>
          <w:tcPr>
            <w:tcW w:w="2526" w:type="dxa"/>
            <w:tcBorders>
              <w:top w:val="nil"/>
              <w:left w:val="single" w:sz="6" w:space="0" w:color="auto"/>
              <w:bottom w:val="single" w:sz="6" w:space="0" w:color="auto"/>
              <w:right w:val="single" w:sz="6" w:space="0" w:color="auto"/>
            </w:tcBorders>
            <w:vAlign w:val="center"/>
            <w:hideMark/>
          </w:tcPr>
          <w:p w:rsidR="007718C5" w:rsidRPr="005E345C" w:rsidP="00BE7034" w14:paraId="64477586" w14:textId="77777777">
            <w:pPr>
              <w:textAlignment w:val="baseline"/>
              <w:rPr>
                <w:del w:id="5170" w:author="AbbVie14" w:date="2025-05-09T10:31:00Z"/>
                <w:sz w:val="22"/>
                <w:szCs w:val="22"/>
              </w:rPr>
            </w:pPr>
            <w:del w:id="5171" w:author="AbbVie14" w:date="2025-05-09T10:31:00Z">
              <w:r w:rsidRPr="005E345C">
                <w:rPr>
                  <w:sz w:val="22"/>
                  <w:szCs w:val="22"/>
                </w:rPr>
                <w:delText>Remissione senza corticosteroidi nei responder PMS alla Settimana 8</w:delText>
              </w:r>
            </w:del>
            <w:del w:id="5172" w:author="AbbVie14" w:date="2025-05-09T10:31:00Z">
              <w:r w:rsidRPr="005E345C">
                <w:rPr>
                  <w:sz w:val="22"/>
                  <w:szCs w:val="22"/>
                  <w:vertAlign w:val="superscript"/>
                </w:rPr>
                <w:delText>c</w:delText>
              </w:r>
            </w:del>
            <w:del w:id="5173" w:author="AbbVie14" w:date="2025-05-09T10:31:00Z">
              <w:r w:rsidRPr="005E345C">
                <w:rPr>
                  <w:sz w:val="22"/>
                  <w:szCs w:val="22"/>
                </w:rPr>
                <w:delText> </w:delText>
              </w:r>
            </w:del>
          </w:p>
        </w:tc>
        <w:tc>
          <w:tcPr>
            <w:tcW w:w="2409" w:type="dxa"/>
            <w:tcBorders>
              <w:top w:val="nil"/>
              <w:left w:val="nil"/>
              <w:bottom w:val="single" w:sz="6" w:space="0" w:color="auto"/>
              <w:right w:val="single" w:sz="6" w:space="0" w:color="auto"/>
            </w:tcBorders>
            <w:vAlign w:val="center"/>
            <w:hideMark/>
          </w:tcPr>
          <w:p w:rsidR="007718C5" w:rsidRPr="005E345C" w:rsidP="00BE7034" w14:paraId="247483E7" w14:textId="77777777">
            <w:pPr>
              <w:jc w:val="center"/>
              <w:textAlignment w:val="baseline"/>
              <w:rPr>
                <w:del w:id="5174" w:author="AbbVie14" w:date="2025-05-09T10:31:00Z"/>
                <w:sz w:val="22"/>
                <w:szCs w:val="22"/>
              </w:rPr>
            </w:pPr>
            <w:del w:id="5175" w:author="AbbVie14" w:date="2025-05-09T10:31:00Z">
              <w:r w:rsidRPr="005E345C">
                <w:rPr>
                  <w:sz w:val="22"/>
                  <w:szCs w:val="22"/>
                </w:rPr>
                <w:delText>4/13 (30,8%) </w:delText>
              </w:r>
            </w:del>
          </w:p>
        </w:tc>
        <w:tc>
          <w:tcPr>
            <w:tcW w:w="2633" w:type="dxa"/>
            <w:tcBorders>
              <w:top w:val="nil"/>
              <w:left w:val="nil"/>
              <w:bottom w:val="single" w:sz="6" w:space="0" w:color="auto"/>
              <w:right w:val="single" w:sz="6" w:space="0" w:color="auto"/>
            </w:tcBorders>
            <w:vAlign w:val="center"/>
            <w:hideMark/>
          </w:tcPr>
          <w:p w:rsidR="007718C5" w:rsidRPr="005E345C" w:rsidP="00BE7034" w14:paraId="24F4EFD0" w14:textId="77777777">
            <w:pPr>
              <w:jc w:val="center"/>
              <w:textAlignment w:val="baseline"/>
              <w:rPr>
                <w:del w:id="5176" w:author="AbbVie14" w:date="2025-05-09T10:31:00Z"/>
                <w:sz w:val="22"/>
                <w:szCs w:val="22"/>
              </w:rPr>
            </w:pPr>
            <w:del w:id="5177" w:author="AbbVie14" w:date="2025-05-09T10:31:00Z">
              <w:r w:rsidRPr="005E345C">
                <w:rPr>
                  <w:sz w:val="22"/>
                  <w:szCs w:val="22"/>
                </w:rPr>
                <w:delText>5/16 (31,3%) </w:delText>
              </w:r>
            </w:del>
          </w:p>
        </w:tc>
      </w:tr>
      <w:tr w14:paraId="1614D925" w14:textId="77777777" w:rsidTr="00BE7034">
        <w:tblPrEx>
          <w:tblW w:w="7568" w:type="dxa"/>
          <w:tblLook w:val="04A0"/>
        </w:tblPrEx>
        <w:trPr>
          <w:del w:id="5178" w:author="AbbVie14" w:date="2025-05-09T10:31:00Z"/>
        </w:trPr>
        <w:tc>
          <w:tcPr>
            <w:tcW w:w="7568" w:type="dxa"/>
            <w:gridSpan w:val="3"/>
            <w:tcBorders>
              <w:top w:val="nil"/>
              <w:left w:val="single" w:sz="6" w:space="0" w:color="auto"/>
              <w:bottom w:val="single" w:sz="6" w:space="0" w:color="auto"/>
              <w:right w:val="single" w:sz="6" w:space="0" w:color="auto"/>
            </w:tcBorders>
            <w:hideMark/>
          </w:tcPr>
          <w:p w:rsidR="007718C5" w:rsidRPr="005E345C" w:rsidP="00BE7034" w14:paraId="2B47885A" w14:textId="77777777">
            <w:pPr>
              <w:textAlignment w:val="baseline"/>
              <w:rPr>
                <w:del w:id="5179" w:author="AbbVie14" w:date="2025-05-09T10:31:00Z"/>
                <w:sz w:val="22"/>
                <w:szCs w:val="22"/>
              </w:rPr>
            </w:pPr>
            <w:del w:id="5180" w:author="AbbVie14" w:date="2025-05-09T10:31:00Z">
              <w:r w:rsidRPr="005E345C">
                <w:rPr>
                  <w:sz w:val="22"/>
                  <w:szCs w:val="22"/>
                  <w:vertAlign w:val="superscript"/>
                </w:rPr>
                <w:delText>a</w:delText>
              </w:r>
            </w:del>
            <w:del w:id="5181" w:author="AbbVie14" w:date="2025-05-09T10:31:00Z">
              <w:r w:rsidRPr="005E345C">
                <w:rPr>
                  <w:sz w:val="22"/>
                  <w:szCs w:val="22"/>
                </w:rPr>
                <w:delText>Humira 0,6 mg/kg (massimo 40 mg) a settimane alterne </w:delText>
              </w:r>
            </w:del>
          </w:p>
          <w:p w:rsidR="007718C5" w:rsidRPr="005E345C" w:rsidP="00BE7034" w14:paraId="7246B1A5" w14:textId="77777777">
            <w:pPr>
              <w:textAlignment w:val="baseline"/>
              <w:rPr>
                <w:del w:id="5182" w:author="AbbVie14" w:date="2025-05-09T10:31:00Z"/>
                <w:sz w:val="22"/>
                <w:szCs w:val="22"/>
              </w:rPr>
            </w:pPr>
            <w:del w:id="5183" w:author="AbbVie14" w:date="2025-05-09T10:31:00Z">
              <w:r w:rsidRPr="005E345C">
                <w:rPr>
                  <w:sz w:val="22"/>
                  <w:szCs w:val="22"/>
                  <w:vertAlign w:val="superscript"/>
                </w:rPr>
                <w:delText>b</w:delText>
              </w:r>
            </w:del>
            <w:del w:id="5184" w:author="AbbVie14" w:date="2025-05-09T10:31:00Z">
              <w:r w:rsidRPr="005E345C">
                <w:rPr>
                  <w:sz w:val="22"/>
                  <w:szCs w:val="22"/>
                </w:rPr>
                <w:delText>Humira 0,6 mg/kg (massimo 40 mg) ogni settimana </w:delText>
              </w:r>
            </w:del>
          </w:p>
          <w:p w:rsidR="007718C5" w:rsidRPr="005E345C" w:rsidP="00BE7034" w14:paraId="1D19F5B0" w14:textId="77777777">
            <w:pPr>
              <w:textAlignment w:val="baseline"/>
              <w:rPr>
                <w:del w:id="5185" w:author="AbbVie14" w:date="2025-05-09T10:31:00Z"/>
                <w:sz w:val="22"/>
                <w:szCs w:val="22"/>
              </w:rPr>
            </w:pPr>
            <w:del w:id="5186" w:author="AbbVie14" w:date="2025-05-09T10:31:00Z">
              <w:r w:rsidRPr="005E345C">
                <w:rPr>
                  <w:sz w:val="22"/>
                  <w:szCs w:val="22"/>
                  <w:vertAlign w:val="superscript"/>
                </w:rPr>
                <w:delText>c</w:delText>
              </w:r>
            </w:del>
            <w:del w:id="5187" w:author="AbbVie14" w:date="2025-05-09T10:31:00Z">
              <w:r w:rsidRPr="005E345C">
                <w:rPr>
                  <w:sz w:val="22"/>
                  <w:szCs w:val="22"/>
                </w:rPr>
                <w:delText>In pazienti che ricevono corticosteroidi concomitanti al basale </w:delText>
              </w:r>
            </w:del>
          </w:p>
          <w:p w:rsidR="007718C5" w:rsidRPr="005E345C" w:rsidP="00BE7034" w14:paraId="07F32666" w14:textId="77777777">
            <w:pPr>
              <w:textAlignment w:val="baseline"/>
              <w:rPr>
                <w:del w:id="5188" w:author="AbbVie14" w:date="2025-05-09T10:31:00Z"/>
                <w:sz w:val="22"/>
                <w:szCs w:val="22"/>
              </w:rPr>
            </w:pPr>
            <w:del w:id="5189" w:author="AbbVie14" w:date="2025-05-09T10:31:00Z">
              <w:r w:rsidRPr="005E345C">
                <w:rPr>
                  <w:sz w:val="22"/>
                  <w:szCs w:val="22"/>
                </w:rPr>
                <w:delText>Nota: i pazienti con valori mancanti alla Settimana 52 o che sono stati randomizzati a ricevere un trattamento di reinduzione o mantenimento sono stati considerati non responder per gli endpoint della Settimana 52 </w:delText>
              </w:r>
            </w:del>
          </w:p>
        </w:tc>
      </w:tr>
    </w:tbl>
    <w:p w:rsidR="007718C5" w:rsidRPr="005E345C" w:rsidP="007718C5" w14:paraId="38DB1BDC" w14:textId="77777777">
      <w:pPr>
        <w:rPr>
          <w:del w:id="5190" w:author="AbbVie14" w:date="2025-05-09T10:31:00Z"/>
          <w:sz w:val="22"/>
          <w:szCs w:val="22"/>
        </w:rPr>
      </w:pPr>
    </w:p>
    <w:p w:rsidR="007718C5" w:rsidRPr="005E345C" w:rsidP="007718C5" w14:paraId="48C8A256" w14:textId="77777777">
      <w:pPr>
        <w:rPr>
          <w:del w:id="5191" w:author="AbbVie14" w:date="2025-05-09T10:31:00Z"/>
          <w:sz w:val="22"/>
          <w:szCs w:val="22"/>
        </w:rPr>
      </w:pPr>
      <w:del w:id="5192" w:author="AbbVie14" w:date="2025-05-09T10:31:00Z">
        <w:r w:rsidRPr="005E345C">
          <w:rPr>
            <w:sz w:val="22"/>
            <w:szCs w:val="22"/>
          </w:rPr>
          <w:delText xml:space="preserve">Ulteriori endpoint di efficacia esplorativi includevano la risposta clinica secondo il PUCAI (Pediatric Ulcerative Colitis Activity Index) (definita come una diminuzione del PUCAI ≥ 20 punti dal basale) e la remissione clinica come indicato dal PUCAI (definita come PUCAI &lt; 10) alla Settimana 8 e alla Settimana 52 (Tabella 28). </w:delText>
        </w:r>
      </w:del>
    </w:p>
    <w:p w:rsidR="007718C5" w:rsidRPr="005E345C" w:rsidP="007718C5" w14:paraId="540887CC" w14:textId="77777777">
      <w:pPr>
        <w:rPr>
          <w:del w:id="5193" w:author="AbbVie14" w:date="2025-05-09T10:31:00Z"/>
          <w:sz w:val="22"/>
          <w:szCs w:val="22"/>
        </w:rPr>
      </w:pPr>
    </w:p>
    <w:tbl>
      <w:tblPr>
        <w:tblW w:w="8262" w:type="dxa"/>
        <w:jc w:val="center"/>
        <w:tblCellMar>
          <w:left w:w="0" w:type="dxa"/>
          <w:right w:w="0" w:type="dxa"/>
        </w:tblCellMar>
        <w:tblLook w:val="04A0"/>
      </w:tblPr>
      <w:tblGrid>
        <w:gridCol w:w="2934"/>
        <w:gridCol w:w="2898"/>
        <w:gridCol w:w="2430"/>
      </w:tblGrid>
      <w:tr w14:paraId="69AC4BAA" w14:textId="77777777" w:rsidTr="00BE7034">
        <w:tblPrEx>
          <w:tblW w:w="8262" w:type="dxa"/>
          <w:tblLook w:val="04A0"/>
        </w:tblPrEx>
        <w:trPr>
          <w:trHeight w:val="60"/>
          <w:del w:id="5194" w:author="AbbVie14" w:date="2025-05-09T10:31:00Z"/>
        </w:trPr>
        <w:tc>
          <w:tcPr>
            <w:tcW w:w="8262" w:type="dxa"/>
            <w:gridSpan w:val="3"/>
            <w:tcMar>
              <w:top w:w="0" w:type="dxa"/>
              <w:left w:w="108" w:type="dxa"/>
              <w:bottom w:w="0" w:type="dxa"/>
              <w:right w:w="108" w:type="dxa"/>
            </w:tcMar>
            <w:hideMark/>
          </w:tcPr>
          <w:p w:rsidR="007718C5" w:rsidRPr="005E345C" w:rsidP="00BE7034" w14:paraId="664E6CAE" w14:textId="77777777">
            <w:pPr>
              <w:jc w:val="center"/>
              <w:rPr>
                <w:del w:id="5195" w:author="AbbVie14" w:date="2025-05-09T10:31:00Z"/>
                <w:b/>
                <w:bCs/>
                <w:sz w:val="22"/>
                <w:szCs w:val="22"/>
              </w:rPr>
            </w:pPr>
            <w:del w:id="5196" w:author="AbbVie14" w:date="2025-05-09T10:31:00Z">
              <w:r w:rsidRPr="005E345C">
                <w:rPr>
                  <w:b/>
                  <w:sz w:val="22"/>
                  <w:szCs w:val="22"/>
                </w:rPr>
                <w:delText xml:space="preserve">Tabella 28: Risultati degli </w:delText>
              </w:r>
            </w:del>
            <w:del w:id="5197" w:author="AbbVie14" w:date="2025-05-09T10:31:00Z">
              <w:r w:rsidR="008821F6">
                <w:rPr>
                  <w:b/>
                  <w:sz w:val="22"/>
                  <w:szCs w:val="22"/>
                </w:rPr>
                <w:delText>E</w:delText>
              </w:r>
            </w:del>
            <w:del w:id="5198" w:author="AbbVie14" w:date="2025-05-09T10:31:00Z">
              <w:r w:rsidRPr="005E345C">
                <w:rPr>
                  <w:b/>
                  <w:sz w:val="22"/>
                  <w:szCs w:val="22"/>
                </w:rPr>
                <w:delText xml:space="preserve">ndpoint </w:delText>
              </w:r>
            </w:del>
            <w:del w:id="5199" w:author="AbbVie14" w:date="2025-05-09T10:31:00Z">
              <w:r w:rsidR="008821F6">
                <w:rPr>
                  <w:b/>
                  <w:sz w:val="22"/>
                  <w:szCs w:val="22"/>
                </w:rPr>
                <w:delText>E</w:delText>
              </w:r>
            </w:del>
            <w:del w:id="5200" w:author="AbbVie14" w:date="2025-05-09T10:31:00Z">
              <w:r w:rsidRPr="005E345C">
                <w:rPr>
                  <w:b/>
                  <w:sz w:val="22"/>
                  <w:szCs w:val="22"/>
                </w:rPr>
                <w:delText>splorativi in base al PUCAI</w:delText>
              </w:r>
            </w:del>
          </w:p>
        </w:tc>
      </w:tr>
      <w:tr w14:paraId="4C0BEE88" w14:textId="77777777" w:rsidTr="00BE7034">
        <w:tblPrEx>
          <w:tblW w:w="8262" w:type="dxa"/>
          <w:tblLook w:val="04A0"/>
        </w:tblPrEx>
        <w:trPr>
          <w:trHeight w:val="265"/>
          <w:del w:id="5201" w:author="AbbVie14" w:date="2025-05-09T10:31: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7718C5" w:rsidRPr="005E345C" w:rsidP="00BE7034" w14:paraId="11DFADA6" w14:textId="77777777">
            <w:pPr>
              <w:rPr>
                <w:del w:id="5202" w:author="AbbVie14" w:date="2025-05-09T10:31:00Z"/>
                <w:sz w:val="22"/>
                <w:szCs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718C5" w:rsidRPr="005E345C" w:rsidP="00BE7034" w14:paraId="4D157A91" w14:textId="77777777">
            <w:pPr>
              <w:jc w:val="center"/>
              <w:rPr>
                <w:del w:id="5203" w:author="AbbVie14" w:date="2025-05-09T10:31:00Z"/>
                <w:b/>
                <w:bCs/>
                <w:sz w:val="22"/>
                <w:szCs w:val="22"/>
              </w:rPr>
            </w:pPr>
            <w:del w:id="5204" w:author="AbbVie14" w:date="2025-05-09T10:31:00Z">
              <w:r w:rsidRPr="005E345C">
                <w:rPr>
                  <w:b/>
                  <w:sz w:val="22"/>
                  <w:szCs w:val="22"/>
                </w:rPr>
                <w:delText>Settimana 8</w:delText>
              </w:r>
            </w:del>
          </w:p>
        </w:tc>
      </w:tr>
      <w:tr w14:paraId="1E236FF3" w14:textId="77777777" w:rsidTr="00BE7034">
        <w:tblPrEx>
          <w:tblW w:w="8262" w:type="dxa"/>
          <w:tblLook w:val="04A0"/>
        </w:tblPrEx>
        <w:trPr>
          <w:trHeight w:val="1042"/>
          <w:del w:id="5205" w:author="AbbVie14" w:date="2025-05-09T10:31:00Z"/>
        </w:trPr>
        <w:tc>
          <w:tcPr>
            <w:tcW w:w="0" w:type="auto"/>
            <w:vMerge/>
            <w:tcBorders>
              <w:top w:val="single" w:sz="4" w:space="0" w:color="auto"/>
              <w:left w:val="single" w:sz="8" w:space="0" w:color="auto"/>
              <w:bottom w:val="single" w:sz="8" w:space="0" w:color="auto"/>
              <w:right w:val="single" w:sz="4" w:space="0" w:color="auto"/>
            </w:tcBorders>
            <w:vAlign w:val="center"/>
            <w:hideMark/>
          </w:tcPr>
          <w:p w:rsidR="007718C5" w:rsidRPr="005E345C" w:rsidP="00BE7034" w14:paraId="00CAB9CB" w14:textId="77777777">
            <w:pPr>
              <w:rPr>
                <w:del w:id="5206" w:author="AbbVie14" w:date="2025-05-09T10:31:00Z"/>
                <w:sz w:val="22"/>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718C5" w:rsidRPr="005E345C" w:rsidP="00BE7034" w14:paraId="7C4640D0" w14:textId="77777777">
            <w:pPr>
              <w:jc w:val="center"/>
              <w:rPr>
                <w:del w:id="5207" w:author="AbbVie14" w:date="2025-05-09T10:31:00Z"/>
                <w:b/>
                <w:bCs/>
                <w:sz w:val="22"/>
                <w:szCs w:val="22"/>
                <w:vertAlign w:val="superscript"/>
              </w:rPr>
            </w:pPr>
            <w:del w:id="5208" w:author="AbbVie14" w:date="2025-05-09T10:31:00Z">
              <w:r w:rsidRPr="005E345C">
                <w:rPr>
                  <w:b/>
                  <w:sz w:val="22"/>
                  <w:szCs w:val="22"/>
                </w:rPr>
                <w:delText>Humira</w:delText>
              </w:r>
            </w:del>
            <w:del w:id="5209" w:author="AbbVie14" w:date="2025-05-09T10:31:00Z">
              <w:r w:rsidRPr="005E345C">
                <w:rPr>
                  <w:b/>
                  <w:sz w:val="22"/>
                  <w:szCs w:val="22"/>
                  <w:vertAlign w:val="superscript"/>
                </w:rPr>
                <w:delText>a</w:delText>
              </w:r>
            </w:del>
          </w:p>
          <w:p w:rsidR="007718C5" w:rsidRPr="005E345C" w:rsidP="00BE7034" w14:paraId="2E3161E0" w14:textId="77777777">
            <w:pPr>
              <w:jc w:val="center"/>
              <w:rPr>
                <w:del w:id="5210" w:author="AbbVie14" w:date="2025-05-09T10:31:00Z"/>
                <w:b/>
                <w:bCs/>
                <w:sz w:val="22"/>
                <w:szCs w:val="22"/>
              </w:rPr>
            </w:pPr>
            <w:del w:id="5211" w:author="AbbVie14" w:date="2025-05-09T10:31:00Z">
              <w:r w:rsidRPr="005E345C">
                <w:rPr>
                  <w:b/>
                  <w:sz w:val="22"/>
                  <w:szCs w:val="22"/>
                </w:rPr>
                <w:delText>Massimo 160 mg alla Settimana 0/</w:delText>
              </w:r>
            </w:del>
            <w:del w:id="5212" w:author="AbbVie14" w:date="2025-05-09T10:31:00Z">
              <w:r w:rsidR="008821F6">
                <w:rPr>
                  <w:b/>
                  <w:sz w:val="22"/>
                  <w:szCs w:val="22"/>
                </w:rPr>
                <w:delText>P</w:delText>
              </w:r>
            </w:del>
            <w:del w:id="5213" w:author="AbbVie14" w:date="2025-05-09T10:31:00Z">
              <w:r w:rsidRPr="005E345C">
                <w:rPr>
                  <w:b/>
                  <w:sz w:val="22"/>
                  <w:szCs w:val="22"/>
                </w:rPr>
                <w:delText>lacebo alla Settimana 1</w:delText>
              </w:r>
            </w:del>
          </w:p>
          <w:p w:rsidR="007718C5" w:rsidRPr="005E345C" w:rsidP="00BE7034" w14:paraId="3784AC90" w14:textId="77777777">
            <w:pPr>
              <w:jc w:val="center"/>
              <w:rPr>
                <w:del w:id="5214" w:author="AbbVie14" w:date="2025-05-09T10:31:00Z"/>
                <w:sz w:val="22"/>
                <w:szCs w:val="22"/>
              </w:rPr>
            </w:pPr>
            <w:del w:id="5215" w:author="AbbVie14" w:date="2025-05-09T10:31:00Z">
              <w:r w:rsidRPr="005E345C">
                <w:rPr>
                  <w:sz w:val="22"/>
                  <w:szCs w:val="22"/>
                </w:rPr>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718C5" w:rsidRPr="005E345C" w:rsidP="00BE7034" w14:paraId="77DCD026" w14:textId="77777777">
            <w:pPr>
              <w:jc w:val="center"/>
              <w:rPr>
                <w:del w:id="5216" w:author="AbbVie14" w:date="2025-05-09T10:31:00Z"/>
                <w:b/>
                <w:bCs/>
                <w:sz w:val="22"/>
                <w:szCs w:val="22"/>
                <w:vertAlign w:val="superscript"/>
              </w:rPr>
            </w:pPr>
            <w:del w:id="5217" w:author="AbbVie14" w:date="2025-05-09T10:31:00Z">
              <w:r w:rsidRPr="005E345C">
                <w:rPr>
                  <w:b/>
                  <w:sz w:val="22"/>
                  <w:szCs w:val="22"/>
                </w:rPr>
                <w:delText>Humira</w:delText>
              </w:r>
            </w:del>
            <w:del w:id="5218" w:author="AbbVie14" w:date="2025-05-09T10:31:00Z">
              <w:r w:rsidRPr="005E345C">
                <w:rPr>
                  <w:b/>
                  <w:sz w:val="22"/>
                  <w:szCs w:val="22"/>
                  <w:vertAlign w:val="superscript"/>
                </w:rPr>
                <w:delText>b,c</w:delText>
              </w:r>
            </w:del>
          </w:p>
          <w:p w:rsidR="007718C5" w:rsidRPr="005E345C" w:rsidP="00BE7034" w14:paraId="6D2A38B7" w14:textId="77777777">
            <w:pPr>
              <w:jc w:val="center"/>
              <w:rPr>
                <w:del w:id="5219" w:author="AbbVie14" w:date="2025-05-09T10:31:00Z"/>
                <w:b/>
                <w:bCs/>
                <w:sz w:val="22"/>
                <w:szCs w:val="22"/>
              </w:rPr>
            </w:pPr>
            <w:del w:id="5220" w:author="AbbVie14" w:date="2025-05-09T10:31:00Z">
              <w:r w:rsidRPr="005E345C">
                <w:rPr>
                  <w:b/>
                  <w:sz w:val="22"/>
                  <w:szCs w:val="22"/>
                </w:rPr>
                <w:delText>Massimo 160 mg alla Settimana 0 e alla Settimana 1</w:delText>
              </w:r>
            </w:del>
          </w:p>
          <w:p w:rsidR="007718C5" w:rsidRPr="005E345C" w:rsidP="00BE7034" w14:paraId="07CEA883" w14:textId="77777777">
            <w:pPr>
              <w:jc w:val="center"/>
              <w:rPr>
                <w:del w:id="5221" w:author="AbbVie14" w:date="2025-05-09T10:31:00Z"/>
                <w:sz w:val="22"/>
                <w:szCs w:val="22"/>
              </w:rPr>
            </w:pPr>
            <w:del w:id="5222" w:author="AbbVie14" w:date="2025-05-09T10:31:00Z">
              <w:r w:rsidRPr="005E345C">
                <w:rPr>
                  <w:sz w:val="22"/>
                  <w:szCs w:val="22"/>
                </w:rPr>
                <w:delText>N=47</w:delText>
              </w:r>
            </w:del>
          </w:p>
        </w:tc>
      </w:tr>
      <w:tr w14:paraId="3E992190" w14:textId="77777777" w:rsidTr="00BE7034">
        <w:tblPrEx>
          <w:tblW w:w="8262" w:type="dxa"/>
          <w:tblLook w:val="04A0"/>
        </w:tblPrEx>
        <w:trPr>
          <w:trHeight w:val="202"/>
          <w:del w:id="5223" w:author="AbbVie14" w:date="2025-05-09T10:31: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718C5" w:rsidRPr="005E345C" w:rsidP="00BE7034" w14:paraId="508A8642" w14:textId="77777777">
            <w:pPr>
              <w:rPr>
                <w:del w:id="5224" w:author="AbbVie14" w:date="2025-05-09T10:31:00Z"/>
                <w:sz w:val="22"/>
                <w:szCs w:val="22"/>
              </w:rPr>
            </w:pPr>
            <w:del w:id="5225" w:author="AbbVie14" w:date="2025-05-09T10:31:00Z">
              <w:r w:rsidRPr="005E345C">
                <w:rPr>
                  <w:sz w:val="22"/>
                  <w:szCs w:val="22"/>
                </w:rPr>
                <w:delText>Remissione clinica in base al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7718C5" w:rsidRPr="005E345C" w:rsidP="00BE7034" w14:paraId="6D4D68AB" w14:textId="77777777">
            <w:pPr>
              <w:jc w:val="center"/>
              <w:rPr>
                <w:del w:id="5226" w:author="AbbVie14" w:date="2025-05-09T10:31:00Z"/>
                <w:sz w:val="22"/>
                <w:szCs w:val="22"/>
              </w:rPr>
            </w:pPr>
            <w:del w:id="5227" w:author="AbbVie14" w:date="2025-05-09T10:31:00Z">
              <w:r w:rsidRPr="005E345C">
                <w:rPr>
                  <w:sz w:val="22"/>
                  <w:szCs w:val="22"/>
                </w:rP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7718C5" w:rsidRPr="005E345C" w:rsidP="00BE7034" w14:paraId="4DB54807" w14:textId="77777777">
            <w:pPr>
              <w:jc w:val="center"/>
              <w:rPr>
                <w:del w:id="5228" w:author="AbbVie14" w:date="2025-05-09T10:31:00Z"/>
                <w:sz w:val="22"/>
                <w:szCs w:val="22"/>
              </w:rPr>
            </w:pPr>
            <w:del w:id="5229" w:author="AbbVie14" w:date="2025-05-09T10:31:00Z">
              <w:r w:rsidRPr="005E345C">
                <w:rPr>
                  <w:sz w:val="22"/>
                  <w:szCs w:val="22"/>
                </w:rPr>
                <w:delText>22/47 (46,8%)</w:delText>
              </w:r>
            </w:del>
          </w:p>
        </w:tc>
      </w:tr>
      <w:tr w14:paraId="1E29D92C" w14:textId="77777777" w:rsidTr="00BE7034">
        <w:tblPrEx>
          <w:tblW w:w="8262" w:type="dxa"/>
          <w:tblLook w:val="04A0"/>
        </w:tblPrEx>
        <w:trPr>
          <w:trHeight w:val="238"/>
          <w:del w:id="5230" w:author="AbbVie14" w:date="2025-05-09T10:31: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718C5" w:rsidRPr="005E345C" w:rsidP="00BE7034" w14:paraId="13A9762B" w14:textId="77777777">
            <w:pPr>
              <w:rPr>
                <w:del w:id="5231" w:author="AbbVie14" w:date="2025-05-09T10:31:00Z"/>
                <w:sz w:val="22"/>
                <w:szCs w:val="22"/>
              </w:rPr>
            </w:pPr>
            <w:del w:id="5232" w:author="AbbVie14" w:date="2025-05-09T10:31:00Z">
              <w:r w:rsidRPr="005E345C">
                <w:rPr>
                  <w:sz w:val="22"/>
                  <w:szCs w:val="22"/>
                </w:rPr>
                <w:delText>Risposta clinica in base al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7718C5" w:rsidRPr="005E345C" w:rsidP="00BE7034" w14:paraId="672715D4" w14:textId="77777777">
            <w:pPr>
              <w:jc w:val="center"/>
              <w:rPr>
                <w:del w:id="5233" w:author="AbbVie14" w:date="2025-05-09T10:31:00Z"/>
                <w:sz w:val="22"/>
                <w:szCs w:val="22"/>
              </w:rPr>
            </w:pPr>
            <w:del w:id="5234" w:author="AbbVie14" w:date="2025-05-09T10:31:00Z">
              <w:r w:rsidRPr="005E345C">
                <w:rPr>
                  <w:sz w:val="22"/>
                  <w:szCs w:val="22"/>
                </w:rP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7718C5" w:rsidRPr="005E345C" w:rsidP="00BE7034" w14:paraId="617D476C" w14:textId="77777777">
            <w:pPr>
              <w:jc w:val="center"/>
              <w:rPr>
                <w:del w:id="5235" w:author="AbbVie14" w:date="2025-05-09T10:31:00Z"/>
                <w:sz w:val="22"/>
                <w:szCs w:val="22"/>
              </w:rPr>
            </w:pPr>
            <w:del w:id="5236" w:author="AbbVie14" w:date="2025-05-09T10:31:00Z">
              <w:r w:rsidRPr="005E345C">
                <w:rPr>
                  <w:sz w:val="22"/>
                  <w:szCs w:val="22"/>
                </w:rPr>
                <w:delText>32/47 (68,1%)</w:delText>
              </w:r>
            </w:del>
          </w:p>
        </w:tc>
      </w:tr>
      <w:tr w14:paraId="2A9B85C3" w14:textId="77777777" w:rsidTr="00BE7034">
        <w:tblPrEx>
          <w:tblW w:w="8262" w:type="dxa"/>
          <w:tblLook w:val="04A0"/>
        </w:tblPrEx>
        <w:trPr>
          <w:trHeight w:val="238"/>
          <w:del w:id="5237" w:author="AbbVie14" w:date="2025-05-09T10:31: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rsidR="007718C5" w:rsidRPr="005E345C" w:rsidP="00BE7034" w14:paraId="467D25C8" w14:textId="77777777">
            <w:pPr>
              <w:rPr>
                <w:del w:id="5238" w:author="AbbVie14" w:date="2025-05-09T10:31:00Z"/>
                <w:sz w:val="22"/>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7718C5" w:rsidRPr="005E345C" w:rsidP="00BE7034" w14:paraId="4A1F375B" w14:textId="77777777">
            <w:pPr>
              <w:jc w:val="center"/>
              <w:rPr>
                <w:del w:id="5239" w:author="AbbVie14" w:date="2025-05-09T10:31:00Z"/>
                <w:b/>
                <w:bCs/>
                <w:sz w:val="22"/>
                <w:szCs w:val="22"/>
              </w:rPr>
            </w:pPr>
            <w:del w:id="5240" w:author="AbbVie14" w:date="2025-05-09T10:31:00Z">
              <w:r w:rsidRPr="005E345C">
                <w:rPr>
                  <w:b/>
                  <w:sz w:val="22"/>
                  <w:szCs w:val="22"/>
                </w:rPr>
                <w:delText>Settimana 52</w:delText>
              </w:r>
            </w:del>
          </w:p>
        </w:tc>
      </w:tr>
      <w:tr w14:paraId="0B134CAD" w14:textId="77777777" w:rsidTr="00BE7034">
        <w:tblPrEx>
          <w:tblW w:w="8262" w:type="dxa"/>
          <w:tblLook w:val="04A0"/>
        </w:tblPrEx>
        <w:trPr>
          <w:trHeight w:val="238"/>
          <w:del w:id="5241" w:author="AbbVie14" w:date="2025-05-09T10:31:00Z"/>
        </w:trPr>
        <w:tc>
          <w:tcPr>
            <w:tcW w:w="0" w:type="auto"/>
            <w:vMerge/>
            <w:tcBorders>
              <w:top w:val="nil"/>
              <w:left w:val="single" w:sz="8" w:space="0" w:color="auto"/>
              <w:bottom w:val="single" w:sz="4" w:space="0" w:color="auto"/>
              <w:right w:val="single" w:sz="8" w:space="0" w:color="auto"/>
            </w:tcBorders>
            <w:vAlign w:val="center"/>
            <w:hideMark/>
          </w:tcPr>
          <w:p w:rsidR="007718C5" w:rsidRPr="005E345C" w:rsidP="00BE7034" w14:paraId="2B674C4E" w14:textId="77777777">
            <w:pPr>
              <w:rPr>
                <w:del w:id="5242" w:author="AbbVie14" w:date="2025-05-09T10:31:00Z"/>
                <w:sz w:val="22"/>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7718C5" w:rsidRPr="005E345C" w:rsidP="00BE7034" w14:paraId="34E7043C" w14:textId="77777777">
            <w:pPr>
              <w:jc w:val="center"/>
              <w:rPr>
                <w:del w:id="5243" w:author="AbbVie14" w:date="2025-05-09T10:31:00Z"/>
                <w:b/>
                <w:bCs/>
                <w:sz w:val="22"/>
                <w:szCs w:val="22"/>
                <w:vertAlign w:val="superscript"/>
              </w:rPr>
            </w:pPr>
            <w:del w:id="5244" w:author="AbbVie14" w:date="2025-05-09T10:31:00Z">
              <w:r w:rsidRPr="005E345C">
                <w:rPr>
                  <w:b/>
                  <w:sz w:val="22"/>
                  <w:szCs w:val="22"/>
                </w:rPr>
                <w:delText>Humira</w:delText>
              </w:r>
            </w:del>
            <w:del w:id="5245" w:author="AbbVie14" w:date="2025-05-09T10:31:00Z">
              <w:r w:rsidRPr="005E345C">
                <w:rPr>
                  <w:b/>
                  <w:sz w:val="22"/>
                  <w:szCs w:val="22"/>
                  <w:vertAlign w:val="superscript"/>
                </w:rPr>
                <w:delText>d</w:delText>
              </w:r>
            </w:del>
          </w:p>
          <w:p w:rsidR="007718C5" w:rsidRPr="005E345C" w:rsidP="00BE7034" w14:paraId="1D9A389B" w14:textId="77777777">
            <w:pPr>
              <w:jc w:val="center"/>
              <w:rPr>
                <w:del w:id="5246" w:author="AbbVie14" w:date="2025-05-09T10:31:00Z"/>
                <w:b/>
                <w:bCs/>
                <w:sz w:val="22"/>
                <w:szCs w:val="22"/>
              </w:rPr>
            </w:pPr>
            <w:del w:id="5247" w:author="AbbVie14" w:date="2025-05-09T10:31:00Z">
              <w:r w:rsidRPr="005E345C">
                <w:rPr>
                  <w:b/>
                  <w:sz w:val="22"/>
                  <w:szCs w:val="22"/>
                </w:rPr>
                <w:delText xml:space="preserve">Massimo 40 mg </w:delText>
              </w:r>
            </w:del>
            <w:del w:id="5248" w:author="AbbVie14" w:date="2025-05-09T10:31:00Z">
              <w:r w:rsidR="00322D1D">
                <w:rPr>
                  <w:b/>
                  <w:sz w:val="22"/>
                  <w:szCs w:val="22"/>
                </w:rPr>
                <w:delText>a settimane alterne</w:delText>
              </w:r>
            </w:del>
          </w:p>
          <w:p w:rsidR="007718C5" w:rsidRPr="005E345C" w:rsidP="00BE7034" w14:paraId="407A5EBC" w14:textId="77777777">
            <w:pPr>
              <w:jc w:val="center"/>
              <w:rPr>
                <w:del w:id="5249" w:author="AbbVie14" w:date="2025-05-09T10:31:00Z"/>
                <w:sz w:val="22"/>
                <w:szCs w:val="22"/>
              </w:rPr>
            </w:pPr>
            <w:del w:id="5250" w:author="AbbVie14" w:date="2025-05-09T10:31:00Z">
              <w:r w:rsidRPr="005E345C">
                <w:rPr>
                  <w:sz w:val="22"/>
                  <w:szCs w:val="22"/>
                </w:rPr>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7718C5" w:rsidRPr="005E345C" w:rsidP="00BE7034" w14:paraId="319136A1" w14:textId="77777777">
            <w:pPr>
              <w:jc w:val="center"/>
              <w:rPr>
                <w:del w:id="5251" w:author="AbbVie14" w:date="2025-05-09T10:31:00Z"/>
                <w:b/>
                <w:bCs/>
                <w:sz w:val="22"/>
                <w:szCs w:val="22"/>
                <w:vertAlign w:val="superscript"/>
              </w:rPr>
            </w:pPr>
            <w:del w:id="5252" w:author="AbbVie14" w:date="2025-05-09T10:31:00Z">
              <w:r w:rsidRPr="005E345C">
                <w:rPr>
                  <w:b/>
                  <w:sz w:val="22"/>
                  <w:szCs w:val="22"/>
                </w:rPr>
                <w:delText>Humira</w:delText>
              </w:r>
            </w:del>
            <w:del w:id="5253" w:author="AbbVie14" w:date="2025-05-09T10:31:00Z">
              <w:r w:rsidRPr="005E345C">
                <w:rPr>
                  <w:b/>
                  <w:sz w:val="22"/>
                  <w:szCs w:val="22"/>
                  <w:vertAlign w:val="superscript"/>
                </w:rPr>
                <w:delText>e</w:delText>
              </w:r>
            </w:del>
          </w:p>
          <w:p w:rsidR="007718C5" w:rsidRPr="005E345C" w:rsidP="00BE7034" w14:paraId="2AE97A48" w14:textId="77777777">
            <w:pPr>
              <w:jc w:val="center"/>
              <w:rPr>
                <w:del w:id="5254" w:author="AbbVie14" w:date="2025-05-09T10:31:00Z"/>
                <w:b/>
                <w:bCs/>
                <w:sz w:val="22"/>
                <w:szCs w:val="22"/>
              </w:rPr>
            </w:pPr>
            <w:del w:id="5255" w:author="AbbVie14" w:date="2025-05-09T10:31:00Z">
              <w:r w:rsidRPr="005E345C">
                <w:rPr>
                  <w:b/>
                  <w:sz w:val="22"/>
                  <w:szCs w:val="22"/>
                </w:rPr>
                <w:delText xml:space="preserve">Massimo 40 mg </w:delText>
              </w:r>
            </w:del>
            <w:del w:id="5256" w:author="AbbVie14" w:date="2025-05-09T10:31:00Z">
              <w:r w:rsidR="00103FAE">
                <w:rPr>
                  <w:b/>
                  <w:sz w:val="22"/>
                  <w:szCs w:val="22"/>
                </w:rPr>
                <w:delText>a</w:delText>
              </w:r>
            </w:del>
            <w:del w:id="5257" w:author="AbbVie14" w:date="2025-05-09T10:31:00Z">
              <w:r w:rsidR="00322D1D">
                <w:rPr>
                  <w:b/>
                  <w:sz w:val="22"/>
                  <w:szCs w:val="22"/>
                </w:rPr>
                <w:delText xml:space="preserve"> settimana</w:delText>
              </w:r>
            </w:del>
          </w:p>
          <w:p w:rsidR="007718C5" w:rsidRPr="005E345C" w:rsidP="00BE7034" w14:paraId="5A04F40C" w14:textId="77777777">
            <w:pPr>
              <w:jc w:val="center"/>
              <w:rPr>
                <w:del w:id="5258" w:author="AbbVie14" w:date="2025-05-09T10:31:00Z"/>
                <w:sz w:val="22"/>
                <w:szCs w:val="22"/>
              </w:rPr>
            </w:pPr>
            <w:del w:id="5259" w:author="AbbVie14" w:date="2025-05-09T10:31:00Z">
              <w:r w:rsidRPr="005E345C">
                <w:rPr>
                  <w:sz w:val="22"/>
                  <w:szCs w:val="22"/>
                </w:rPr>
                <w:delText>N=31</w:delText>
              </w:r>
            </w:del>
          </w:p>
        </w:tc>
      </w:tr>
      <w:tr w14:paraId="708FEA40" w14:textId="77777777" w:rsidTr="00BE7034">
        <w:tblPrEx>
          <w:tblW w:w="8262" w:type="dxa"/>
          <w:tblLook w:val="04A0"/>
        </w:tblPrEx>
        <w:trPr>
          <w:trHeight w:val="238"/>
          <w:del w:id="5260" w:author="AbbVie14" w:date="2025-05-09T10:31: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718C5" w:rsidRPr="005E345C" w:rsidP="00BE7034" w14:paraId="7E7133EE" w14:textId="77777777">
            <w:pPr>
              <w:rPr>
                <w:del w:id="5261" w:author="AbbVie14" w:date="2025-05-09T10:31:00Z"/>
                <w:sz w:val="22"/>
                <w:szCs w:val="22"/>
              </w:rPr>
            </w:pPr>
            <w:del w:id="5262" w:author="AbbVie14" w:date="2025-05-09T10:31:00Z">
              <w:r w:rsidRPr="005E345C">
                <w:rPr>
                  <w:sz w:val="22"/>
                  <w:szCs w:val="22"/>
                </w:rPr>
                <w:delText>Remissione clinica in base al PUCAI nei responder PMS alla Settimana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7718C5" w:rsidRPr="005E345C" w:rsidP="00BE7034" w14:paraId="57E21C4F" w14:textId="77777777">
            <w:pPr>
              <w:jc w:val="center"/>
              <w:rPr>
                <w:del w:id="5263" w:author="AbbVie14" w:date="2025-05-09T10:31:00Z"/>
                <w:sz w:val="22"/>
                <w:szCs w:val="22"/>
              </w:rPr>
            </w:pPr>
            <w:del w:id="5264" w:author="AbbVie14" w:date="2025-05-09T10:31:00Z">
              <w:r w:rsidRPr="005E345C">
                <w:rPr>
                  <w:sz w:val="22"/>
                  <w:szCs w:val="22"/>
                </w:rP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7718C5" w:rsidRPr="005E345C" w:rsidP="00BE7034" w14:paraId="1864DD71" w14:textId="77777777">
            <w:pPr>
              <w:jc w:val="center"/>
              <w:rPr>
                <w:del w:id="5265" w:author="AbbVie14" w:date="2025-05-09T10:31:00Z"/>
                <w:sz w:val="22"/>
                <w:szCs w:val="22"/>
              </w:rPr>
            </w:pPr>
            <w:del w:id="5266" w:author="AbbVie14" w:date="2025-05-09T10:31:00Z">
              <w:r w:rsidRPr="005E345C">
                <w:rPr>
                  <w:sz w:val="22"/>
                  <w:szCs w:val="22"/>
                </w:rPr>
                <w:delText>18/31 (58,1%)</w:delText>
              </w:r>
            </w:del>
          </w:p>
        </w:tc>
      </w:tr>
      <w:tr w14:paraId="478F0588" w14:textId="77777777" w:rsidTr="00BE7034">
        <w:tblPrEx>
          <w:tblW w:w="8262" w:type="dxa"/>
          <w:tblLook w:val="04A0"/>
        </w:tblPrEx>
        <w:trPr>
          <w:trHeight w:val="238"/>
          <w:del w:id="5267" w:author="AbbVie14" w:date="2025-05-09T10:31: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718C5" w:rsidRPr="005E345C" w:rsidP="00BE7034" w14:paraId="5C1A8DE9" w14:textId="77777777">
            <w:pPr>
              <w:rPr>
                <w:del w:id="5268" w:author="AbbVie14" w:date="2025-05-09T10:31:00Z"/>
                <w:sz w:val="22"/>
                <w:szCs w:val="22"/>
              </w:rPr>
            </w:pPr>
            <w:del w:id="5269" w:author="AbbVie14" w:date="2025-05-09T10:31:00Z">
              <w:r w:rsidRPr="005E345C">
                <w:rPr>
                  <w:sz w:val="22"/>
                  <w:szCs w:val="22"/>
                </w:rPr>
                <w:delText>Risposta clinica in base al PUCAI nei responder PMS alla Settimana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7718C5" w:rsidRPr="005E345C" w:rsidP="00BE7034" w14:paraId="01C31CCF" w14:textId="77777777">
            <w:pPr>
              <w:jc w:val="center"/>
              <w:rPr>
                <w:del w:id="5270" w:author="AbbVie14" w:date="2025-05-09T10:31:00Z"/>
                <w:sz w:val="22"/>
                <w:szCs w:val="22"/>
              </w:rPr>
            </w:pPr>
            <w:del w:id="5271" w:author="AbbVie14" w:date="2025-05-09T10:31:00Z">
              <w:r w:rsidRPr="005E345C">
                <w:rPr>
                  <w:sz w:val="22"/>
                  <w:szCs w:val="22"/>
                </w:rP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7718C5" w:rsidRPr="005E345C" w:rsidP="00BE7034" w14:paraId="3534D9A9" w14:textId="77777777">
            <w:pPr>
              <w:jc w:val="center"/>
              <w:rPr>
                <w:del w:id="5272" w:author="AbbVie14" w:date="2025-05-09T10:31:00Z"/>
                <w:sz w:val="22"/>
                <w:szCs w:val="22"/>
              </w:rPr>
            </w:pPr>
            <w:del w:id="5273" w:author="AbbVie14" w:date="2025-05-09T10:31:00Z">
              <w:r w:rsidRPr="005E345C">
                <w:rPr>
                  <w:sz w:val="22"/>
                  <w:szCs w:val="22"/>
                </w:rPr>
                <w:delText>16/31 (51,6%)</w:delText>
              </w:r>
            </w:del>
          </w:p>
        </w:tc>
      </w:tr>
      <w:tr w14:paraId="184A7391" w14:textId="77777777" w:rsidTr="00BE7034">
        <w:tblPrEx>
          <w:tblW w:w="8262" w:type="dxa"/>
          <w:tblLook w:val="04A0"/>
        </w:tblPrEx>
        <w:trPr>
          <w:trHeight w:val="533"/>
          <w:del w:id="5274" w:author="AbbVie14" w:date="2025-05-09T10:31: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718C5" w:rsidRPr="00287663" w:rsidP="00BE7034" w14:paraId="54D41AC8" w14:textId="77777777">
            <w:pPr>
              <w:rPr>
                <w:del w:id="5275" w:author="AbbVie14" w:date="2025-05-09T10:31:00Z"/>
                <w:rStyle w:val="eop"/>
                <w:sz w:val="22"/>
                <w:szCs w:val="22"/>
              </w:rPr>
            </w:pPr>
            <w:del w:id="5276" w:author="AbbVie14" w:date="2025-05-09T10:31:00Z">
              <w:r w:rsidRPr="006461E3">
                <w:rPr>
                  <w:sz w:val="22"/>
                  <w:szCs w:val="22"/>
                  <w:vertAlign w:val="superscript"/>
                </w:rPr>
                <w:delText>a</w:delText>
              </w:r>
            </w:del>
            <w:del w:id="5277" w:author="AbbVie14" w:date="2025-05-09T10:31:00Z">
              <w:r w:rsidRPr="006461E3">
                <w:rPr>
                  <w:rStyle w:val="normaltextrun"/>
                  <w:sz w:val="22"/>
                  <w:szCs w:val="22"/>
                </w:rPr>
                <w:delText>Humira 2,4 mg/kg (massimo 160 mg) alla Settimana 0, placebo alla Settimana 1 e 1,2 mg/kg (massimo 80 mg) alla Settimana 2</w:delText>
              </w:r>
            </w:del>
            <w:del w:id="5278" w:author="AbbVie14" w:date="2025-05-09T10:31:00Z">
              <w:r w:rsidRPr="00287663">
                <w:rPr>
                  <w:rStyle w:val="eop"/>
                  <w:sz w:val="22"/>
                  <w:szCs w:val="22"/>
                </w:rPr>
                <w:delText> </w:delText>
              </w:r>
            </w:del>
          </w:p>
          <w:p w:rsidR="007718C5" w:rsidRPr="00287663" w:rsidP="00BE7034" w14:paraId="68144578" w14:textId="77777777">
            <w:pPr>
              <w:pStyle w:val="paragraph0"/>
              <w:spacing w:before="0" w:beforeAutospacing="0" w:after="0" w:afterAutospacing="0"/>
              <w:textAlignment w:val="baseline"/>
              <w:rPr>
                <w:del w:id="5279" w:author="AbbVie14" w:date="2025-05-09T10:31:00Z"/>
                <w:rStyle w:val="eop"/>
                <w:sz w:val="22"/>
                <w:szCs w:val="22"/>
              </w:rPr>
            </w:pPr>
            <w:del w:id="5280" w:author="AbbVie14" w:date="2025-05-09T10:31:00Z">
              <w:r w:rsidRPr="00287663">
                <w:rPr>
                  <w:sz w:val="22"/>
                  <w:szCs w:val="22"/>
                  <w:vertAlign w:val="superscript"/>
                </w:rPr>
                <w:delText>b</w:delText>
              </w:r>
            </w:del>
            <w:del w:id="5281" w:author="AbbVie14" w:date="2025-05-09T10:31:00Z">
              <w:r w:rsidRPr="00287663">
                <w:rPr>
                  <w:rStyle w:val="normaltextrun"/>
                  <w:sz w:val="22"/>
                  <w:szCs w:val="22"/>
                </w:rPr>
                <w:delText>Humira 2,4 mg/kg (massimo 160 mg) alla Settimana 0 e alla Settimana 1 e 1,2 mg/kg (massimo 80 mg) alla Settimana 2</w:delText>
              </w:r>
            </w:del>
            <w:del w:id="5282" w:author="AbbVie14" w:date="2025-05-09T10:31:00Z">
              <w:r w:rsidRPr="00287663">
                <w:rPr>
                  <w:rStyle w:val="eop"/>
                  <w:sz w:val="22"/>
                  <w:szCs w:val="22"/>
                </w:rPr>
                <w:delText> </w:delText>
              </w:r>
            </w:del>
          </w:p>
          <w:p w:rsidR="007718C5" w:rsidRPr="00287663" w:rsidP="00BE7034" w14:paraId="6CB9EC20" w14:textId="77777777">
            <w:pPr>
              <w:pStyle w:val="paragraph0"/>
              <w:spacing w:before="0" w:beforeAutospacing="0" w:after="0" w:afterAutospacing="0"/>
              <w:textAlignment w:val="baseline"/>
              <w:rPr>
                <w:del w:id="5283" w:author="AbbVie14" w:date="2025-05-09T10:31:00Z"/>
                <w:rStyle w:val="normaltextrun"/>
                <w:sz w:val="22"/>
                <w:szCs w:val="22"/>
              </w:rPr>
            </w:pPr>
            <w:del w:id="5284" w:author="AbbVie14" w:date="2025-05-09T10:31:00Z">
              <w:r w:rsidRPr="00287663">
                <w:rPr>
                  <w:rStyle w:val="normaltextrun"/>
                  <w:sz w:val="22"/>
                  <w:szCs w:val="22"/>
                  <w:vertAlign w:val="superscript"/>
                </w:rPr>
                <w:delText>c</w:delText>
              </w:r>
            </w:del>
            <w:del w:id="5285" w:author="AbbVie14" w:date="2025-05-09T10:31:00Z">
              <w:r w:rsidRPr="00287663">
                <w:rPr>
                  <w:rStyle w:val="normaltextrun"/>
                  <w:sz w:val="22"/>
                  <w:szCs w:val="22"/>
                </w:rPr>
                <w:delText xml:space="preserve">Senza includere la dose di </w:delText>
              </w:r>
            </w:del>
            <w:del w:id="5286" w:author="AbbVie14" w:date="2025-05-09T10:31:00Z">
              <w:r w:rsidR="00322D1D">
                <w:rPr>
                  <w:rStyle w:val="normaltextrun"/>
                  <w:sz w:val="22"/>
                  <w:szCs w:val="22"/>
                </w:rPr>
                <w:delText>I</w:delText>
              </w:r>
            </w:del>
            <w:del w:id="5287" w:author="AbbVie14" w:date="2025-05-09T10:31:00Z">
              <w:r w:rsidRPr="00287663">
                <w:rPr>
                  <w:rStyle w:val="normaltextrun"/>
                  <w:sz w:val="22"/>
                  <w:szCs w:val="22"/>
                </w:rPr>
                <w:delText>nduzione in aperto di Humira 2,4 mg/kg (massimo 160 mg) alla Settimana 0 e alla Settimana 1 e 1,2 mg/kg (massimo 80 mg) alla Settimana 2</w:delText>
              </w:r>
            </w:del>
          </w:p>
          <w:p w:rsidR="007718C5" w:rsidRPr="00287663" w:rsidP="00BE7034" w14:paraId="33A4782B" w14:textId="77777777">
            <w:pPr>
              <w:pStyle w:val="paragraph0"/>
              <w:spacing w:before="0" w:beforeAutospacing="0" w:after="0" w:afterAutospacing="0"/>
              <w:textAlignment w:val="baseline"/>
              <w:rPr>
                <w:del w:id="5288" w:author="AbbVie14" w:date="2025-05-09T10:31:00Z"/>
                <w:sz w:val="22"/>
                <w:szCs w:val="22"/>
              </w:rPr>
            </w:pPr>
            <w:del w:id="5289" w:author="AbbVie14" w:date="2025-05-09T10:31:00Z">
              <w:r w:rsidRPr="00287663">
                <w:rPr>
                  <w:rStyle w:val="normaltextrun"/>
                  <w:sz w:val="22"/>
                  <w:szCs w:val="22"/>
                  <w:vertAlign w:val="superscript"/>
                </w:rPr>
                <w:delText>d</w:delText>
              </w:r>
            </w:del>
            <w:del w:id="5290" w:author="AbbVie14" w:date="2025-05-09T10:31:00Z">
              <w:r w:rsidRPr="00287663">
                <w:rPr>
                  <w:sz w:val="22"/>
                  <w:szCs w:val="22"/>
                </w:rPr>
                <w:delText>Humira 0,6 mg/kg (massimo 40 mg) a settimane alterne</w:delText>
              </w:r>
            </w:del>
          </w:p>
          <w:p w:rsidR="007718C5" w:rsidRPr="00287663" w:rsidP="00BE7034" w14:paraId="47A2DCDE" w14:textId="77777777">
            <w:pPr>
              <w:rPr>
                <w:del w:id="5291" w:author="AbbVie14" w:date="2025-05-09T10:31:00Z"/>
                <w:sz w:val="22"/>
                <w:szCs w:val="22"/>
              </w:rPr>
            </w:pPr>
            <w:del w:id="5292" w:author="AbbVie14" w:date="2025-05-09T10:31:00Z">
              <w:r w:rsidRPr="00287663">
                <w:rPr>
                  <w:sz w:val="22"/>
                  <w:szCs w:val="22"/>
                  <w:vertAlign w:val="superscript"/>
                </w:rPr>
                <w:delText>e</w:delText>
              </w:r>
            </w:del>
            <w:del w:id="5293" w:author="AbbVie14" w:date="2025-05-09T10:31:00Z">
              <w:r w:rsidRPr="00287663">
                <w:rPr>
                  <w:sz w:val="22"/>
                  <w:szCs w:val="22"/>
                </w:rPr>
                <w:delText>Humira 0,6 mg/kg (massimo 40 mg) ogni settimana</w:delText>
              </w:r>
            </w:del>
          </w:p>
          <w:p w:rsidR="007718C5" w:rsidRPr="00287663" w:rsidP="00BE7034" w14:paraId="4E0002EB" w14:textId="77777777">
            <w:pPr>
              <w:pStyle w:val="paragraph0"/>
              <w:spacing w:before="0" w:beforeAutospacing="0" w:after="0" w:afterAutospacing="0"/>
              <w:textAlignment w:val="baseline"/>
              <w:rPr>
                <w:del w:id="5294" w:author="AbbVie14" w:date="2025-05-09T10:31:00Z"/>
                <w:sz w:val="22"/>
                <w:szCs w:val="22"/>
              </w:rPr>
            </w:pPr>
            <w:del w:id="5295" w:author="AbbVie14" w:date="2025-05-09T10:31:00Z">
              <w:r w:rsidRPr="00287663">
                <w:rPr>
                  <w:rStyle w:val="normaltextrun"/>
                  <w:sz w:val="22"/>
                  <w:szCs w:val="22"/>
                </w:rPr>
                <w:delText>Nota 1: entrambi i gruppi di induzione hanno ricevuto 0,6 mg/kg (massimo 40 mg) alla Settimana 4 e alla Settimana 6</w:delText>
              </w:r>
            </w:del>
            <w:del w:id="5296" w:author="AbbVie14" w:date="2025-05-09T10:31:00Z">
              <w:r w:rsidRPr="00287663">
                <w:rPr>
                  <w:rStyle w:val="eop"/>
                  <w:sz w:val="22"/>
                  <w:szCs w:val="22"/>
                </w:rPr>
                <w:delText> </w:delText>
              </w:r>
            </w:del>
          </w:p>
          <w:p w:rsidR="007718C5" w:rsidRPr="00287663" w:rsidP="00BE7034" w14:paraId="717CDC24" w14:textId="77777777">
            <w:pPr>
              <w:pStyle w:val="paragraph0"/>
              <w:spacing w:before="0" w:beforeAutospacing="0" w:after="0" w:afterAutospacing="0"/>
              <w:textAlignment w:val="baseline"/>
              <w:rPr>
                <w:del w:id="5297" w:author="AbbVie14" w:date="2025-05-09T10:31:00Z"/>
                <w:rStyle w:val="eop"/>
                <w:sz w:val="22"/>
                <w:szCs w:val="22"/>
              </w:rPr>
            </w:pPr>
            <w:del w:id="5298" w:author="AbbVie14" w:date="2025-05-09T10:31:00Z">
              <w:r w:rsidRPr="00287663">
                <w:rPr>
                  <w:rStyle w:val="normaltextrun"/>
                  <w:sz w:val="22"/>
                  <w:szCs w:val="22"/>
                </w:rPr>
                <w:delText xml:space="preserve">Nota 2: i pazienti con valori mancanti alla Settimana 8 sono stati considerati come non aver </w:delText>
              </w:r>
            </w:del>
            <w:del w:id="5299" w:author="AbbVie14" w:date="2025-05-09T10:31:00Z">
              <w:r w:rsidR="009913F6">
                <w:rPr>
                  <w:rStyle w:val="normaltextrun"/>
                  <w:sz w:val="22"/>
                  <w:szCs w:val="22"/>
                </w:rPr>
                <w:delText>raggiunto</w:delText>
              </w:r>
            </w:del>
            <w:del w:id="5300" w:author="AbbVie14" w:date="2025-05-09T10:31:00Z">
              <w:r w:rsidRPr="00287663">
                <w:rPr>
                  <w:rStyle w:val="normaltextrun"/>
                  <w:sz w:val="22"/>
                  <w:szCs w:val="22"/>
                </w:rPr>
                <w:delText xml:space="preserve"> gli endpoint</w:delText>
              </w:r>
            </w:del>
            <w:del w:id="5301" w:author="AbbVie14" w:date="2025-05-09T10:31:00Z">
              <w:r w:rsidRPr="00287663">
                <w:rPr>
                  <w:rStyle w:val="eop"/>
                  <w:sz w:val="22"/>
                  <w:szCs w:val="22"/>
                </w:rPr>
                <w:delText> </w:delText>
              </w:r>
            </w:del>
          </w:p>
          <w:p w:rsidR="007718C5" w:rsidRPr="00287663" w:rsidP="00BE7034" w14:paraId="5E164B0F" w14:textId="77777777">
            <w:pPr>
              <w:pStyle w:val="paragraph0"/>
              <w:spacing w:before="0" w:beforeAutospacing="0" w:after="0" w:afterAutospacing="0"/>
              <w:textAlignment w:val="baseline"/>
              <w:rPr>
                <w:del w:id="5302" w:author="AbbVie14" w:date="2025-05-09T10:31:00Z"/>
                <w:sz w:val="22"/>
                <w:szCs w:val="22"/>
              </w:rPr>
            </w:pPr>
            <w:del w:id="5303" w:author="AbbVie14" w:date="2025-05-09T10:31:00Z">
              <w:r w:rsidRPr="00287663">
                <w:rPr>
                  <w:rStyle w:val="eop"/>
                  <w:sz w:val="22"/>
                  <w:szCs w:val="22"/>
                </w:rPr>
                <w:delText xml:space="preserve">Nota 3: </w:delText>
              </w:r>
            </w:del>
            <w:del w:id="5304" w:author="AbbVie14" w:date="2025-05-09T10:31:00Z">
              <w:r w:rsidRPr="00287663">
                <w:rPr>
                  <w:sz w:val="22"/>
                  <w:szCs w:val="22"/>
                </w:rPr>
                <w:delText>i pazienti con valori mancanti alla Settimana 52 o che sono stati randomizzati a ricevere un trattamento di reinduzione o mantenimento sono stati considerati non responder per gli endpoint della Settimana 52</w:delText>
              </w:r>
            </w:del>
          </w:p>
        </w:tc>
      </w:tr>
    </w:tbl>
    <w:p w:rsidR="007718C5" w:rsidRPr="00287663" w:rsidP="007718C5" w14:paraId="7B40317A" w14:textId="77777777">
      <w:pPr>
        <w:rPr>
          <w:del w:id="5305" w:author="AbbVie14" w:date="2025-05-09T10:31:00Z"/>
          <w:sz w:val="22"/>
          <w:szCs w:val="22"/>
        </w:rPr>
      </w:pPr>
    </w:p>
    <w:p w:rsidR="007718C5" w:rsidRPr="00287663" w:rsidP="007718C5" w14:paraId="68B7112D" w14:textId="77777777">
      <w:pPr>
        <w:rPr>
          <w:del w:id="5306" w:author="AbbVie14" w:date="2025-05-09T10:31:00Z"/>
          <w:sz w:val="22"/>
          <w:szCs w:val="22"/>
        </w:rPr>
      </w:pPr>
      <w:del w:id="5307" w:author="AbbVie14" w:date="2025-05-09T10:31:00Z">
        <w:r w:rsidRPr="00287663">
          <w:rPr>
            <w:sz w:val="22"/>
            <w:szCs w:val="22"/>
          </w:rPr>
          <w:delText>Dei pazienti trattati con Humira che hanno ricevuto un trattamento di reinduzione durante il periodo di mantenimento, 2/6 (33%) hanno raggiunto una risposta clinica in base al FMS alla Settimana 52.</w:delText>
        </w:r>
      </w:del>
    </w:p>
    <w:p w:rsidR="007718C5" w:rsidRPr="00287663" w:rsidP="007718C5" w14:paraId="521ACEED" w14:textId="77777777">
      <w:pPr>
        <w:rPr>
          <w:del w:id="5308" w:author="AbbVie14" w:date="2025-05-09T10:31:00Z"/>
          <w:sz w:val="22"/>
          <w:szCs w:val="22"/>
        </w:rPr>
      </w:pPr>
    </w:p>
    <w:p w:rsidR="007718C5" w:rsidRPr="00287663" w:rsidP="007718C5" w14:paraId="6981434B" w14:textId="77777777">
      <w:pPr>
        <w:keepNext/>
        <w:rPr>
          <w:del w:id="5309" w:author="AbbVie14" w:date="2025-05-09T10:31:00Z"/>
          <w:bCs/>
          <w:i/>
          <w:sz w:val="22"/>
          <w:szCs w:val="22"/>
          <w:u w:val="single"/>
        </w:rPr>
      </w:pPr>
      <w:del w:id="5310" w:author="AbbVie14" w:date="2025-05-09T10:31:00Z">
        <w:r w:rsidRPr="00287663">
          <w:rPr>
            <w:i/>
            <w:sz w:val="22"/>
            <w:szCs w:val="22"/>
            <w:u w:val="single"/>
          </w:rPr>
          <w:delText>Qualità della vita</w:delText>
        </w:r>
      </w:del>
    </w:p>
    <w:p w:rsidR="007718C5" w:rsidRPr="00287663" w:rsidP="007718C5" w14:paraId="1EFF955A" w14:textId="77777777">
      <w:pPr>
        <w:keepNext/>
        <w:rPr>
          <w:del w:id="5311" w:author="AbbVie14" w:date="2025-05-09T10:31:00Z"/>
          <w:bCs/>
          <w:i/>
          <w:sz w:val="22"/>
          <w:szCs w:val="22"/>
          <w:u w:val="single"/>
        </w:rPr>
      </w:pPr>
    </w:p>
    <w:p w:rsidR="007718C5" w:rsidRPr="00287663" w:rsidP="007718C5" w14:paraId="4E114FE6" w14:textId="77777777">
      <w:pPr>
        <w:keepNext/>
        <w:rPr>
          <w:del w:id="5312" w:author="AbbVie14" w:date="2025-05-09T10:31:00Z"/>
          <w:sz w:val="22"/>
          <w:szCs w:val="22"/>
        </w:rPr>
      </w:pPr>
      <w:del w:id="5313" w:author="AbbVie14" w:date="2025-05-09T10:31:00Z">
        <w:r w:rsidRPr="00287663">
          <w:rPr>
            <w:sz w:val="22"/>
            <w:szCs w:val="22"/>
          </w:rPr>
          <w:delText>Miglioramenti clinicamente significativi rispetto al basale sono stati osservati nei punteggi IMPACT III e WPAI (Work Productivity and Activity Impairment) dei caregiver per i gruppi trattati con Humira.</w:delText>
        </w:r>
      </w:del>
    </w:p>
    <w:p w:rsidR="007718C5" w:rsidRPr="00287663" w:rsidP="007718C5" w14:paraId="0932F8DC" w14:textId="77777777">
      <w:pPr>
        <w:rPr>
          <w:del w:id="5314" w:author="AbbVie14" w:date="2025-05-09T10:31:00Z"/>
          <w:sz w:val="22"/>
          <w:szCs w:val="22"/>
        </w:rPr>
      </w:pPr>
      <w:del w:id="5315" w:author="AbbVie14" w:date="2025-05-09T10:31:00Z">
        <w:r w:rsidRPr="00287663">
          <w:rPr>
            <w:sz w:val="22"/>
            <w:szCs w:val="22"/>
          </w:rPr>
          <w:delText>Aumenti clinicamente significativi (miglioramento) rispetto al basale della velocità d</w:delText>
        </w:r>
      </w:del>
      <w:del w:id="5316" w:author="AbbVie14" w:date="2025-05-09T10:31:00Z">
        <w:r w:rsidR="00A55B2B">
          <w:rPr>
            <w:sz w:val="22"/>
            <w:szCs w:val="22"/>
          </w:rPr>
          <w:delText>i crescita in altezza</w:delText>
        </w:r>
      </w:del>
      <w:del w:id="5317" w:author="AbbVie14" w:date="2025-05-09T10:31:00Z">
        <w:r w:rsidRPr="00287663">
          <w:rPr>
            <w:sz w:val="22"/>
            <w:szCs w:val="22"/>
          </w:rPr>
          <w:delText xml:space="preserve"> sono stati osservati per i gruppi trattati con adalimumab e aumenti clinicamente significativi (miglioramento) rispetto al basale dell'indice di massa corporea sono stati osservati </w:delText>
        </w:r>
      </w:del>
      <w:del w:id="5318" w:author="AbbVie14" w:date="2025-05-09T10:31:00Z">
        <w:r w:rsidR="00A55B2B">
          <w:rPr>
            <w:sz w:val="22"/>
            <w:szCs w:val="22"/>
          </w:rPr>
          <w:delText>ne</w:delText>
        </w:r>
      </w:del>
      <w:del w:id="5319" w:author="AbbVie14" w:date="2025-05-09T10:31:00Z">
        <w:r w:rsidRPr="00287663">
          <w:rPr>
            <w:sz w:val="22"/>
            <w:szCs w:val="22"/>
          </w:rPr>
          <w:delText xml:space="preserve">i soggetti </w:delText>
        </w:r>
      </w:del>
      <w:del w:id="5320" w:author="AbbVie14" w:date="2025-05-09T10:31:00Z">
        <w:r w:rsidR="00A55B2B">
          <w:rPr>
            <w:sz w:val="22"/>
            <w:szCs w:val="22"/>
          </w:rPr>
          <w:delText xml:space="preserve">trattati </w:delText>
        </w:r>
      </w:del>
      <w:del w:id="5321" w:author="AbbVie14" w:date="2025-05-09T10:31:00Z">
        <w:r w:rsidRPr="00287663">
          <w:rPr>
            <w:sz w:val="22"/>
            <w:szCs w:val="22"/>
          </w:rPr>
          <w:delText xml:space="preserve">con </w:delText>
        </w:r>
      </w:del>
      <w:del w:id="5322" w:author="AbbVie14" w:date="2025-05-09T10:31:00Z">
        <w:r w:rsidR="00A55B2B">
          <w:rPr>
            <w:sz w:val="22"/>
            <w:szCs w:val="22"/>
          </w:rPr>
          <w:delText>la</w:delText>
        </w:r>
      </w:del>
      <w:del w:id="5323" w:author="AbbVie14" w:date="2025-05-09T10:31:00Z">
        <w:r w:rsidRPr="00287663">
          <w:rPr>
            <w:sz w:val="22"/>
            <w:szCs w:val="22"/>
          </w:rPr>
          <w:delText xml:space="preserve"> dose di mantenimento di massimo 40 mg (0,6 mg/kg) </w:delText>
        </w:r>
      </w:del>
      <w:del w:id="5324" w:author="AbbVie14" w:date="2025-05-09T10:31:00Z">
        <w:r w:rsidR="00322D1D">
          <w:rPr>
            <w:sz w:val="22"/>
            <w:szCs w:val="22"/>
          </w:rPr>
          <w:delText>ogni settimana</w:delText>
        </w:r>
      </w:del>
      <w:del w:id="5325" w:author="AbbVie14" w:date="2025-05-09T10:31:00Z">
        <w:r w:rsidRPr="00287663">
          <w:rPr>
            <w:sz w:val="22"/>
            <w:szCs w:val="22"/>
          </w:rPr>
          <w:delText>.</w:delText>
        </w:r>
      </w:del>
    </w:p>
    <w:p w:rsidR="006461E3" w:rsidRPr="00612824" w:rsidP="006461E3" w14:paraId="0381BC49" w14:textId="77777777">
      <w:pPr>
        <w:pStyle w:val="gtcbodytext"/>
        <w:spacing w:before="0" w:after="0" w:line="240" w:lineRule="auto"/>
        <w:rPr>
          <w:del w:id="5326" w:author="AbbVie14" w:date="2025-05-09T10:31:00Z"/>
          <w:bCs/>
          <w:i/>
          <w:sz w:val="22"/>
          <w:szCs w:val="22"/>
          <w:lang w:val="it-IT"/>
        </w:rPr>
      </w:pPr>
    </w:p>
    <w:p w:rsidR="006461E3" w:rsidRPr="00612824" w:rsidP="006461E3" w14:paraId="2320DE04" w14:textId="77777777">
      <w:pPr>
        <w:pStyle w:val="gtcbodytext"/>
        <w:spacing w:before="0" w:after="0" w:line="240" w:lineRule="auto"/>
        <w:rPr>
          <w:del w:id="5327" w:author="AbbVie14" w:date="2025-05-09T10:31:00Z"/>
          <w:bCs/>
          <w:i/>
          <w:sz w:val="22"/>
          <w:szCs w:val="22"/>
          <w:lang w:val="it-IT"/>
        </w:rPr>
      </w:pPr>
      <w:del w:id="5328" w:author="AbbVie14" w:date="2025-05-09T10:31:00Z">
        <w:r w:rsidRPr="00612824">
          <w:rPr>
            <w:bCs/>
            <w:i/>
            <w:sz w:val="22"/>
            <w:szCs w:val="22"/>
            <w:lang w:val="it-IT"/>
          </w:rPr>
          <w:delText>Uveite pediatrica</w:delText>
        </w:r>
      </w:del>
    </w:p>
    <w:p w:rsidR="006461E3" w:rsidRPr="00612824" w:rsidP="006461E3" w14:paraId="3EF1FA59" w14:textId="77777777">
      <w:pPr>
        <w:pStyle w:val="gtcbodytext"/>
        <w:spacing w:before="0" w:after="0" w:line="240" w:lineRule="auto"/>
        <w:rPr>
          <w:del w:id="5329" w:author="AbbVie14" w:date="2025-05-09T10:31:00Z"/>
          <w:bCs/>
          <w:sz w:val="22"/>
          <w:szCs w:val="22"/>
          <w:lang w:val="it-IT"/>
        </w:rPr>
      </w:pPr>
    </w:p>
    <w:p w:rsidR="006461E3" w:rsidRPr="00612824" w:rsidP="006461E3" w14:paraId="641DF954" w14:textId="77777777">
      <w:pPr>
        <w:pStyle w:val="gtcbodytext"/>
        <w:spacing w:before="0" w:after="0" w:line="240" w:lineRule="auto"/>
        <w:rPr>
          <w:del w:id="5330" w:author="AbbVie14" w:date="2025-05-09T10:31:00Z"/>
          <w:bCs/>
          <w:sz w:val="22"/>
          <w:szCs w:val="22"/>
          <w:lang w:val="it-IT"/>
        </w:rPr>
      </w:pPr>
      <w:del w:id="5331" w:author="AbbVie14" w:date="2025-05-09T10:31:00Z">
        <w:r w:rsidRPr="00612824">
          <w:rPr>
            <w:bCs/>
            <w:sz w:val="22"/>
            <w:szCs w:val="22"/>
            <w:lang w:val="it-IT"/>
          </w:rPr>
          <w:delText>La sicurezza e l’efficacia di Humira sono state valutate in uno studio randomizzato, controllato, in doppio cieco su 90 pazienti pediatrici dai 2 ai &lt;18 anni di età con uveite anteriore non infettiva attiva associata ad artrite idiopatica giovanile (JIA) refrattari ad almeno 12 settimane di trattamento con metotressato. I pazienti hanno ricevuto placebo oppure 20 mg di adalimumab (se &lt;30 kg) o 40 mg di adalimumab (se ≥30 kg) a settimane alterne in combinazione con la loro dose basale di metotressato.</w:delText>
        </w:r>
      </w:del>
    </w:p>
    <w:p w:rsidR="006461E3" w:rsidRPr="00612824" w:rsidP="006461E3" w14:paraId="6CF2F2EA" w14:textId="77777777">
      <w:pPr>
        <w:pStyle w:val="gtcbodytext"/>
        <w:spacing w:before="0" w:after="0" w:line="240" w:lineRule="auto"/>
        <w:rPr>
          <w:del w:id="5332" w:author="AbbVie14" w:date="2025-05-09T10:31:00Z"/>
          <w:bCs/>
          <w:sz w:val="22"/>
          <w:szCs w:val="22"/>
          <w:lang w:val="it-IT"/>
        </w:rPr>
      </w:pPr>
    </w:p>
    <w:p w:rsidR="006461E3" w:rsidRPr="00612824" w:rsidP="006461E3" w14:paraId="3F5DEE53" w14:textId="77777777">
      <w:pPr>
        <w:pStyle w:val="gtcbodytext"/>
        <w:keepNext/>
        <w:keepLines/>
        <w:spacing w:before="0" w:after="0" w:line="240" w:lineRule="auto"/>
        <w:rPr>
          <w:del w:id="5333" w:author="AbbVie14" w:date="2025-05-09T10:31:00Z"/>
          <w:color w:val="000000"/>
          <w:sz w:val="22"/>
          <w:szCs w:val="22"/>
          <w:lang w:val="it-IT"/>
        </w:rPr>
      </w:pPr>
      <w:del w:id="5334" w:author="AbbVie14" w:date="2025-05-09T10:31:00Z">
        <w:r w:rsidRPr="00612824">
          <w:rPr>
            <w:color w:val="000000"/>
            <w:sz w:val="22"/>
            <w:szCs w:val="22"/>
            <w:lang w:val="it-IT"/>
          </w:rPr>
          <w:delText>L'endpoint primario era il “tempo al fallimento del trattamento”. I criteri che definivano il fallimento del trattamento erano il peggioramento o l’assenza prolungata di un miglioramento dell’infiammazione oculare, il miglioramento parziale con sviluppo di comorbidità oculari prolungate o peggioramento delle comorbidità oculari esistenti, l’uso non consentito di medicinali concomitanti e la sospensione del trattamento per un periodo di tempo prolungato.</w:delText>
        </w:r>
      </w:del>
    </w:p>
    <w:p w:rsidR="006461E3" w:rsidRPr="00612824" w:rsidP="006461E3" w14:paraId="118CAE9C" w14:textId="77777777">
      <w:pPr>
        <w:pStyle w:val="gtcbodytext"/>
        <w:keepNext/>
        <w:keepLines/>
        <w:spacing w:before="0" w:after="0" w:line="240" w:lineRule="auto"/>
        <w:rPr>
          <w:del w:id="5335" w:author="AbbVie14" w:date="2025-05-09T10:31:00Z"/>
          <w:bCs/>
          <w:sz w:val="22"/>
          <w:szCs w:val="22"/>
          <w:lang w:val="it-IT"/>
        </w:rPr>
      </w:pPr>
    </w:p>
    <w:p w:rsidR="006461E3" w:rsidRPr="00612824" w:rsidP="006461E3" w14:paraId="5D1362F3" w14:textId="77777777">
      <w:pPr>
        <w:pStyle w:val="EMEAHeadingUnderline"/>
        <w:spacing w:beforeLines="0" w:afterLines="0"/>
        <w:rPr>
          <w:del w:id="5336" w:author="AbbVie14" w:date="2025-05-09T10:31:00Z"/>
          <w:i/>
          <w:lang w:val="it-IT"/>
        </w:rPr>
      </w:pPr>
      <w:del w:id="5337" w:author="AbbVie14" w:date="2025-05-09T10:31:00Z">
        <w:r w:rsidRPr="00612824">
          <w:rPr>
            <w:i/>
            <w:lang w:val="it-IT"/>
          </w:rPr>
          <w:delText>Risposta clinica</w:delText>
        </w:r>
      </w:del>
    </w:p>
    <w:p w:rsidR="006461E3" w:rsidRPr="00612824" w:rsidP="006461E3" w14:paraId="4BC7DAAB" w14:textId="77777777">
      <w:pPr>
        <w:pStyle w:val="gtcbodytext"/>
        <w:spacing w:before="0" w:after="0" w:line="240" w:lineRule="auto"/>
        <w:rPr>
          <w:del w:id="5338" w:author="AbbVie14" w:date="2025-05-09T10:31:00Z"/>
          <w:i/>
          <w:sz w:val="22"/>
          <w:szCs w:val="22"/>
          <w:u w:val="single"/>
          <w:lang w:val="it-IT"/>
        </w:rPr>
      </w:pPr>
    </w:p>
    <w:p w:rsidR="006461E3" w:rsidRPr="00612824" w:rsidP="006461E3" w14:paraId="4D1CBC85" w14:textId="77777777">
      <w:pPr>
        <w:pStyle w:val="gtcbodytext"/>
        <w:spacing w:before="0" w:after="0" w:line="240" w:lineRule="auto"/>
        <w:rPr>
          <w:del w:id="5339" w:author="AbbVie14" w:date="2025-05-09T10:31:00Z"/>
          <w:color w:val="000000"/>
          <w:sz w:val="22"/>
          <w:szCs w:val="22"/>
          <w:lang w:val="it-IT"/>
        </w:rPr>
      </w:pPr>
      <w:del w:id="5340" w:author="AbbVie14" w:date="2025-05-09T10:31:00Z">
        <w:r w:rsidRPr="00612824">
          <w:rPr>
            <w:bCs/>
            <w:sz w:val="22"/>
            <w:szCs w:val="22"/>
            <w:lang w:val="it-IT"/>
          </w:rPr>
          <w:delText xml:space="preserve">Adalimumab ha ritardato in misura significativa il tempo al fallimento del trattamento rispetto al placebo (vedere Figura 2, P &lt;0,0001 </w:delText>
        </w:r>
      </w:del>
      <w:del w:id="5341" w:author="AbbVie14" w:date="2025-05-09T10:31:00Z">
        <w:r w:rsidRPr="00612824">
          <w:rPr>
            <w:color w:val="000000"/>
            <w:sz w:val="22"/>
            <w:szCs w:val="22"/>
            <w:lang w:val="it-IT"/>
          </w:rPr>
          <w:delText>dal test dei ranghi logaritmici). La mediana del tempo al fallimento del trattamento è stata di 24,1 settimane per i soggetti trattati con placebo, mentre la mediana del tempo al fallimento del trattamento è risultata non valutabile per i soggetti trattati con adalimumab in quanto meno di metà di questi soggetti è andata incontro a fallimento del trattamento. Adalimumab ha ridotto in maniera significativa il rischio di fallimento del trattamento nella misura del 75% rispetto al placebo, come evidenziato dal rapporto di rischio (HR = 0,25 [IC al 95%: 0,12; 0,49]).</w:delText>
        </w:r>
      </w:del>
    </w:p>
    <w:p w:rsidR="006461E3" w:rsidRPr="00612824" w:rsidP="006461E3" w14:paraId="62791175" w14:textId="77777777">
      <w:pPr>
        <w:pStyle w:val="gtcbodytext"/>
        <w:spacing w:before="0" w:after="0" w:line="240" w:lineRule="auto"/>
        <w:rPr>
          <w:del w:id="5342" w:author="AbbVie14" w:date="2025-05-09T10:31:00Z"/>
          <w:bCs/>
          <w:sz w:val="22"/>
          <w:szCs w:val="22"/>
          <w:lang w:val="it-IT"/>
        </w:rPr>
      </w:pPr>
    </w:p>
    <w:p w:rsidR="006461E3" w:rsidRPr="00612824" w:rsidP="006461E3" w14:paraId="599F98DC" w14:textId="77777777">
      <w:pPr>
        <w:keepNext/>
        <w:tabs>
          <w:tab w:val="left" w:pos="562"/>
        </w:tabs>
        <w:suppressAutoHyphens/>
        <w:jc w:val="center"/>
        <w:rPr>
          <w:del w:id="5343" w:author="AbbVie14" w:date="2025-05-09T10:31:00Z"/>
          <w:b/>
          <w:sz w:val="22"/>
          <w:szCs w:val="22"/>
          <w:lang w:eastAsia="en-US"/>
        </w:rPr>
      </w:pPr>
      <w:del w:id="5344" w:author="AbbVie14" w:date="2025-05-09T10:31:00Z">
        <w:r w:rsidRPr="00612824">
          <w:rPr>
            <w:b/>
            <w:sz w:val="22"/>
            <w:szCs w:val="22"/>
          </w:rPr>
          <w:delText xml:space="preserve">Figura 2: </w:delText>
        </w:r>
      </w:del>
      <w:del w:id="5345" w:author="AbbVie14" w:date="2025-05-09T10:31:00Z">
        <w:r w:rsidRPr="00612824">
          <w:rPr>
            <w:b/>
            <w:sz w:val="22"/>
            <w:szCs w:val="22"/>
            <w:lang w:eastAsia="en-US"/>
          </w:rPr>
          <w:delText>curve di Kaplan-Meier del tempo al fallimento del trattamento nello studio sull’uveite pediatrica</w:delText>
        </w:r>
      </w:del>
    </w:p>
    <w:p w:rsidR="006461E3" w:rsidRPr="00612824" w:rsidP="006461E3" w14:paraId="5AB80437" w14:textId="77777777">
      <w:pPr>
        <w:keepNext/>
        <w:tabs>
          <w:tab w:val="left" w:pos="562"/>
        </w:tabs>
        <w:suppressAutoHyphens/>
        <w:jc w:val="center"/>
        <w:rPr>
          <w:del w:id="5346" w:author="AbbVie14" w:date="2025-05-09T10:31:00Z"/>
          <w:b/>
          <w:sz w:val="22"/>
          <w:szCs w:val="22"/>
          <w:lang w:eastAsia="en-US"/>
        </w:rPr>
      </w:pPr>
    </w:p>
    <w:tbl>
      <w:tblPr>
        <w:tblW w:w="9288" w:type="dxa"/>
        <w:tblLayout w:type="fixed"/>
        <w:tblLook w:val="04A0"/>
      </w:tblPr>
      <w:tblGrid>
        <w:gridCol w:w="468"/>
        <w:gridCol w:w="3510"/>
        <w:gridCol w:w="1170"/>
        <w:gridCol w:w="1350"/>
        <w:gridCol w:w="900"/>
        <w:gridCol w:w="1890"/>
      </w:tblGrid>
      <w:tr w14:paraId="1F0F9568" w14:textId="77777777" w:rsidTr="00F83E38">
        <w:tblPrEx>
          <w:tblW w:w="9288" w:type="dxa"/>
          <w:tblLayout w:type="fixed"/>
          <w:tblLook w:val="04A0"/>
        </w:tblPrEx>
        <w:trPr>
          <w:cantSplit/>
          <w:trHeight w:val="3806"/>
          <w:del w:id="5347" w:author="AbbVie14" w:date="2025-05-09T10:31:00Z"/>
        </w:trPr>
        <w:tc>
          <w:tcPr>
            <w:tcW w:w="468" w:type="dxa"/>
            <w:textDirection w:val="btLr"/>
            <w:vAlign w:val="bottom"/>
          </w:tcPr>
          <w:p w:rsidR="006461E3" w:rsidRPr="00612824" w:rsidP="00F83E38" w14:paraId="60869915" w14:textId="77777777">
            <w:pPr>
              <w:pStyle w:val="EMEANormal"/>
              <w:keepNext/>
              <w:ind w:left="113" w:right="113"/>
              <w:jc w:val="center"/>
              <w:rPr>
                <w:del w:id="5348" w:author="AbbVie14" w:date="2025-05-09T10:31:00Z"/>
                <w:b/>
                <w:lang w:val="it-IT"/>
              </w:rPr>
            </w:pPr>
            <w:del w:id="5349" w:author="AbbVie14" w:date="2025-05-09T10:31:00Z">
              <w:r w:rsidRPr="00612824">
                <w:rPr>
                  <w:b/>
                  <w:lang w:val="it-IT"/>
                </w:rPr>
                <w:delText>P</w:delText>
              </w:r>
            </w:del>
            <w:del w:id="5350" w:author="AbbVie14" w:date="2025-05-09T10:31:00Z">
              <w:r w:rsidRPr="00612824">
                <w:rPr>
                  <w:b/>
                  <w:caps/>
                  <w:lang w:val="it-IT"/>
                </w:rPr>
                <w:delText>ROBABILITà di fallimento del trattamento</w:delText>
              </w:r>
            </w:del>
          </w:p>
        </w:tc>
        <w:tc>
          <w:tcPr>
            <w:tcW w:w="8820" w:type="dxa"/>
            <w:gridSpan w:val="5"/>
            <w:vAlign w:val="bottom"/>
          </w:tcPr>
          <w:p w:rsidR="006461E3" w:rsidRPr="00612824" w:rsidP="00F83E38" w14:paraId="26AB9212" w14:textId="77777777">
            <w:pPr>
              <w:pStyle w:val="EMEANormal"/>
              <w:keepNext/>
              <w:rPr>
                <w:del w:id="5351" w:author="AbbVie14" w:date="2025-05-09T10:31:00Z"/>
                <w:lang w:val="it-IT"/>
              </w:rPr>
            </w:pPr>
            <w:del w:id="5352" w:author="AbbVie14" w:date="2025-05-09T10:31:00Z">
              <w:r w:rsidRPr="003B3A5A">
                <w:rPr>
                  <w:noProof/>
                  <w:lang w:val="en-GB"/>
                </w:rPr>
                <w:drawing>
                  <wp:inline distT="0" distB="0" distL="0" distR="0">
                    <wp:extent cx="5486400" cy="4552950"/>
                    <wp:effectExtent l="0" t="0" r="0" b="0"/>
                    <wp:docPr id="154" name="Immagine 56"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 descr="Humira PED UV KM Curve REVISED 3"/>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del>
          </w:p>
        </w:tc>
      </w:tr>
      <w:tr w14:paraId="7209E0DB" w14:textId="77777777" w:rsidTr="00F83E38">
        <w:tblPrEx>
          <w:tblW w:w="9288" w:type="dxa"/>
          <w:tblLayout w:type="fixed"/>
          <w:tblLook w:val="04A0"/>
        </w:tblPrEx>
        <w:trPr>
          <w:del w:id="5353" w:author="AbbVie14" w:date="2025-05-09T10:31:00Z"/>
        </w:trPr>
        <w:tc>
          <w:tcPr>
            <w:tcW w:w="468" w:type="dxa"/>
          </w:tcPr>
          <w:p w:rsidR="006461E3" w:rsidRPr="00612824" w:rsidP="00F83E38" w14:paraId="33E37A98" w14:textId="77777777">
            <w:pPr>
              <w:pStyle w:val="EMEANormal"/>
              <w:keepNext/>
              <w:rPr>
                <w:del w:id="5354" w:author="AbbVie14" w:date="2025-05-09T10:31:00Z"/>
                <w:lang w:val="it-IT"/>
              </w:rPr>
            </w:pPr>
          </w:p>
        </w:tc>
        <w:tc>
          <w:tcPr>
            <w:tcW w:w="8820" w:type="dxa"/>
            <w:gridSpan w:val="5"/>
          </w:tcPr>
          <w:p w:rsidR="006461E3" w:rsidRPr="00612824" w:rsidP="00F83E38" w14:paraId="38E2DB75" w14:textId="77777777">
            <w:pPr>
              <w:pStyle w:val="EMEANormal"/>
              <w:keepNext/>
              <w:jc w:val="center"/>
              <w:rPr>
                <w:del w:id="5355" w:author="AbbVie14" w:date="2025-05-09T10:31:00Z"/>
                <w:b/>
                <w:lang w:val="it-IT"/>
              </w:rPr>
            </w:pPr>
            <w:del w:id="5356" w:author="AbbVie14" w:date="2025-05-09T10:31:00Z">
              <w:r w:rsidRPr="00612824">
                <w:rPr>
                  <w:b/>
                  <w:lang w:val="it-IT"/>
                </w:rPr>
                <w:delText>TEMPO (SETTIMANE)</w:delText>
              </w:r>
            </w:del>
          </w:p>
        </w:tc>
      </w:tr>
      <w:tr w14:paraId="7BB7E1CF" w14:textId="77777777" w:rsidTr="00F83E38">
        <w:tblPrEx>
          <w:tblW w:w="9288" w:type="dxa"/>
          <w:tblLayout w:type="fixed"/>
          <w:tblLook w:val="04A0"/>
        </w:tblPrEx>
        <w:trPr>
          <w:del w:id="5357" w:author="AbbVie14" w:date="2025-05-09T10:31:00Z"/>
        </w:trPr>
        <w:tc>
          <w:tcPr>
            <w:tcW w:w="468" w:type="dxa"/>
          </w:tcPr>
          <w:p w:rsidR="006461E3" w:rsidRPr="00612824" w:rsidP="00F83E38" w14:paraId="00042B19" w14:textId="77777777">
            <w:pPr>
              <w:pStyle w:val="EMEANormal"/>
              <w:keepNext/>
              <w:rPr>
                <w:del w:id="5358" w:author="AbbVie14" w:date="2025-05-09T10:31:00Z"/>
                <w:lang w:val="it-IT"/>
              </w:rPr>
            </w:pPr>
          </w:p>
        </w:tc>
        <w:tc>
          <w:tcPr>
            <w:tcW w:w="3510" w:type="dxa"/>
          </w:tcPr>
          <w:p w:rsidR="006461E3" w:rsidRPr="00612824" w:rsidP="00F83E38" w14:paraId="3AF6032C" w14:textId="77777777">
            <w:pPr>
              <w:pStyle w:val="EMEANormal"/>
              <w:keepNext/>
              <w:rPr>
                <w:del w:id="5359" w:author="AbbVie14" w:date="2025-05-09T10:31:00Z"/>
                <w:lang w:val="it-IT"/>
              </w:rPr>
            </w:pPr>
            <w:del w:id="5360" w:author="AbbVie14" w:date="2025-05-09T10:31:00Z">
              <w:r w:rsidRPr="00612824">
                <w:rPr>
                  <w:lang w:val="it-IT"/>
                </w:rPr>
                <w:delText>Trattamento</w:delText>
              </w:r>
            </w:del>
          </w:p>
        </w:tc>
        <w:tc>
          <w:tcPr>
            <w:tcW w:w="1170" w:type="dxa"/>
            <w:vAlign w:val="bottom"/>
          </w:tcPr>
          <w:p w:rsidR="006461E3" w:rsidRPr="00612824" w:rsidP="00F83E38" w14:paraId="0AE48575" w14:textId="77777777">
            <w:pPr>
              <w:pStyle w:val="EMEANormal"/>
              <w:keepNext/>
              <w:jc w:val="center"/>
              <w:rPr>
                <w:del w:id="5361" w:author="AbbVie14" w:date="2025-05-09T10:31:00Z"/>
                <w:lang w:val="it-IT"/>
              </w:rPr>
            </w:pPr>
            <w:del w:id="5362" w:author="AbbVie14" w:date="2025-05-09T10:31:00Z">
              <w:r w:rsidRPr="003B3A5A">
                <w:rPr>
                  <w:noProof/>
                  <w:lang w:val="en-GB"/>
                </w:rPr>
                <w:drawing>
                  <wp:inline distT="0" distB="0" distL="0" distR="0">
                    <wp:extent cx="457200" cy="123825"/>
                    <wp:effectExtent l="0" t="0" r="0" b="0"/>
                    <wp:docPr id="155" name="Immagine 55"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2" descr="Humira PED UV KM Curve 11"/>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del>
          </w:p>
        </w:tc>
        <w:tc>
          <w:tcPr>
            <w:tcW w:w="1350" w:type="dxa"/>
          </w:tcPr>
          <w:p w:rsidR="006461E3" w:rsidRPr="00612824" w:rsidP="00F83E38" w14:paraId="7BE08C01" w14:textId="77777777">
            <w:pPr>
              <w:pStyle w:val="EMEANormal"/>
              <w:keepNext/>
              <w:rPr>
                <w:del w:id="5363" w:author="AbbVie14" w:date="2025-05-09T10:31:00Z"/>
                <w:lang w:val="it-IT"/>
              </w:rPr>
            </w:pPr>
            <w:del w:id="5364" w:author="AbbVie14" w:date="2025-05-09T10:31:00Z">
              <w:r w:rsidRPr="00612824">
                <w:rPr>
                  <w:lang w:val="it-IT"/>
                </w:rPr>
                <w:delText>Placebo</w:delText>
              </w:r>
            </w:del>
          </w:p>
        </w:tc>
        <w:tc>
          <w:tcPr>
            <w:tcW w:w="900" w:type="dxa"/>
            <w:vAlign w:val="center"/>
          </w:tcPr>
          <w:p w:rsidR="006461E3" w:rsidRPr="00612824" w:rsidP="00F83E38" w14:paraId="7067EC89" w14:textId="77777777">
            <w:pPr>
              <w:pStyle w:val="EMEANormal"/>
              <w:keepNext/>
              <w:rPr>
                <w:del w:id="5365" w:author="AbbVie14" w:date="2025-05-09T10:31:00Z"/>
                <w:lang w:val="it-IT"/>
              </w:rPr>
            </w:pPr>
            <w:del w:id="5366" w:author="AbbVie14" w:date="2025-05-09T10:31:00Z">
              <w:r w:rsidRPr="003B3A5A">
                <w:rPr>
                  <w:noProof/>
                  <w:lang w:val="en-GB"/>
                </w:rPr>
                <w:drawing>
                  <wp:inline distT="0" distB="0" distL="0" distR="0">
                    <wp:extent cx="457200" cy="85725"/>
                    <wp:effectExtent l="0" t="0" r="0" b="0"/>
                    <wp:docPr id="156" name="Immagine 54"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3" descr="Humira PED UV KM Curve 11"/>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del>
          </w:p>
        </w:tc>
        <w:tc>
          <w:tcPr>
            <w:tcW w:w="1890" w:type="dxa"/>
          </w:tcPr>
          <w:p w:rsidR="006461E3" w:rsidRPr="00612824" w:rsidP="00F83E38" w14:paraId="5DEA2C71" w14:textId="77777777">
            <w:pPr>
              <w:pStyle w:val="EMEANormal"/>
              <w:keepNext/>
              <w:rPr>
                <w:del w:id="5367" w:author="AbbVie14" w:date="2025-05-09T10:31:00Z"/>
                <w:lang w:val="it-IT"/>
              </w:rPr>
            </w:pPr>
            <w:del w:id="5368" w:author="AbbVie14" w:date="2025-05-09T10:31:00Z">
              <w:r w:rsidRPr="00612824">
                <w:rPr>
                  <w:lang w:val="it-IT"/>
                </w:rPr>
                <w:delText>Adalimumab</w:delText>
              </w:r>
            </w:del>
          </w:p>
        </w:tc>
      </w:tr>
      <w:tr w14:paraId="43932252" w14:textId="77777777" w:rsidTr="00F83E38">
        <w:tblPrEx>
          <w:tblW w:w="9288" w:type="dxa"/>
          <w:tblLayout w:type="fixed"/>
          <w:tblLook w:val="04A0"/>
        </w:tblPrEx>
        <w:trPr>
          <w:del w:id="5369" w:author="AbbVie14" w:date="2025-05-09T10:31:00Z"/>
        </w:trPr>
        <w:tc>
          <w:tcPr>
            <w:tcW w:w="468" w:type="dxa"/>
          </w:tcPr>
          <w:p w:rsidR="006461E3" w:rsidRPr="00612824" w:rsidP="00F83E38" w14:paraId="585EBE94" w14:textId="77777777">
            <w:pPr>
              <w:pStyle w:val="EMEANormal"/>
              <w:rPr>
                <w:del w:id="5370" w:author="AbbVie14" w:date="2025-05-09T10:31:00Z"/>
                <w:lang w:val="it-IT"/>
              </w:rPr>
            </w:pPr>
          </w:p>
        </w:tc>
        <w:tc>
          <w:tcPr>
            <w:tcW w:w="8820" w:type="dxa"/>
            <w:gridSpan w:val="5"/>
          </w:tcPr>
          <w:p w:rsidR="006461E3" w:rsidRPr="00612824" w:rsidP="00F83E38" w14:paraId="45C221AF" w14:textId="77777777">
            <w:pPr>
              <w:pStyle w:val="EMEANormal"/>
              <w:rPr>
                <w:del w:id="5371" w:author="AbbVie14" w:date="2025-05-09T10:31:00Z"/>
                <w:lang w:val="it-IT"/>
              </w:rPr>
            </w:pPr>
            <w:del w:id="5372" w:author="AbbVie14" w:date="2025-05-09T10:31:00Z">
              <w:r w:rsidRPr="00612824">
                <w:rPr>
                  <w:lang w:val="it-IT"/>
                </w:rPr>
                <w:delText>Nota: P = Placebo (Numero a rischio); H = HUMIRA (Numero a rischio).</w:delText>
              </w:r>
            </w:del>
          </w:p>
        </w:tc>
      </w:tr>
    </w:tbl>
    <w:p w:rsidR="006224C2" w:rsidRPr="00295E71" w14:paraId="7E988544" w14:textId="77777777">
      <w:pPr>
        <w:tabs>
          <w:tab w:val="left" w:pos="567"/>
          <w:tab w:val="left" w:pos="1294"/>
        </w:tabs>
        <w:autoSpaceDE w:val="0"/>
        <w:autoSpaceDN w:val="0"/>
        <w:adjustRightInd w:val="0"/>
        <w:jc w:val="both"/>
        <w:rPr>
          <w:del w:id="5373" w:author="AbbVie14" w:date="2025-05-09T10:31:00Z"/>
          <w:color w:val="000000"/>
          <w:sz w:val="22"/>
          <w:szCs w:val="22"/>
        </w:rPr>
      </w:pPr>
    </w:p>
    <w:p w:rsidR="006224C2" w:rsidRPr="00295E71" w:rsidP="00FB547E" w14:paraId="3C3D8DF8" w14:textId="77777777">
      <w:pPr>
        <w:numPr>
          <w:ilvl w:val="1"/>
          <w:numId w:val="135"/>
        </w:numPr>
        <w:jc w:val="both"/>
        <w:rPr>
          <w:del w:id="5374" w:author="AbbVie14" w:date="2025-05-09T10:31:00Z"/>
          <w:b/>
          <w:bCs/>
          <w:sz w:val="22"/>
          <w:szCs w:val="22"/>
        </w:rPr>
      </w:pPr>
      <w:del w:id="5375" w:author="AbbVie14" w:date="2025-05-09T10:31:00Z">
        <w:r w:rsidRPr="00295E71">
          <w:rPr>
            <w:b/>
            <w:bCs/>
            <w:sz w:val="22"/>
            <w:szCs w:val="22"/>
          </w:rPr>
          <w:delText>Proprietà farmacocinetiche</w:delText>
        </w:r>
      </w:del>
    </w:p>
    <w:p w:rsidR="006224C2" w:rsidRPr="00295E71" w14:paraId="207C3E22" w14:textId="77777777">
      <w:pPr>
        <w:tabs>
          <w:tab w:val="left" w:pos="567"/>
        </w:tabs>
        <w:jc w:val="both"/>
        <w:rPr>
          <w:del w:id="5376" w:author="AbbVie14" w:date="2025-05-09T10:31:00Z"/>
          <w:sz w:val="22"/>
          <w:szCs w:val="22"/>
        </w:rPr>
      </w:pPr>
    </w:p>
    <w:p w:rsidR="006224C2" w:rsidRPr="00295E71" w14:paraId="59686C6D" w14:textId="77777777">
      <w:pPr>
        <w:tabs>
          <w:tab w:val="left" w:pos="567"/>
        </w:tabs>
        <w:autoSpaceDE w:val="0"/>
        <w:autoSpaceDN w:val="0"/>
        <w:adjustRightInd w:val="0"/>
        <w:jc w:val="both"/>
        <w:rPr>
          <w:del w:id="5377" w:author="AbbVie14" w:date="2025-05-09T10:31:00Z"/>
          <w:color w:val="000000"/>
          <w:sz w:val="22"/>
          <w:szCs w:val="22"/>
          <w:u w:val="single"/>
        </w:rPr>
      </w:pPr>
      <w:del w:id="5378" w:author="AbbVie14" w:date="2025-05-09T10:31:00Z">
        <w:r w:rsidRPr="00295E71">
          <w:rPr>
            <w:color w:val="000000"/>
            <w:sz w:val="22"/>
            <w:szCs w:val="22"/>
            <w:u w:val="single"/>
          </w:rPr>
          <w:delText>Assorbimento e distribuzione</w:delText>
        </w:r>
      </w:del>
    </w:p>
    <w:p w:rsidR="006224C2" w:rsidRPr="00295E71" w14:paraId="161475C8" w14:textId="77777777">
      <w:pPr>
        <w:tabs>
          <w:tab w:val="left" w:pos="567"/>
        </w:tabs>
        <w:autoSpaceDE w:val="0"/>
        <w:autoSpaceDN w:val="0"/>
        <w:adjustRightInd w:val="0"/>
        <w:jc w:val="both"/>
        <w:rPr>
          <w:del w:id="5379" w:author="AbbVie14" w:date="2025-05-09T10:31:00Z"/>
          <w:color w:val="000000"/>
          <w:sz w:val="22"/>
          <w:szCs w:val="22"/>
        </w:rPr>
      </w:pPr>
    </w:p>
    <w:p w:rsidR="006224C2" w:rsidRPr="00295E71" w14:paraId="29F72784" w14:textId="77777777">
      <w:pPr>
        <w:tabs>
          <w:tab w:val="left" w:pos="567"/>
        </w:tabs>
        <w:autoSpaceDE w:val="0"/>
        <w:autoSpaceDN w:val="0"/>
        <w:adjustRightInd w:val="0"/>
        <w:jc w:val="both"/>
        <w:rPr>
          <w:del w:id="5380" w:author="AbbVie14" w:date="2025-05-09T10:31:00Z"/>
          <w:color w:val="000000"/>
          <w:sz w:val="22"/>
          <w:szCs w:val="22"/>
        </w:rPr>
      </w:pPr>
      <w:del w:id="5381" w:author="AbbVie14" w:date="2025-05-09T10:31:00Z">
        <w:r w:rsidRPr="00295E71">
          <w:rPr>
            <w:color w:val="000000"/>
            <w:sz w:val="22"/>
            <w:szCs w:val="22"/>
          </w:rPr>
          <w:delText>Dopo la somministrazione sottocutanea di 24 mg/m</w:delText>
        </w:r>
      </w:del>
      <w:del w:id="5382" w:author="AbbVie14" w:date="2025-05-09T10:31:00Z">
        <w:r w:rsidRPr="00295E71">
          <w:rPr>
            <w:color w:val="000000"/>
            <w:sz w:val="22"/>
            <w:szCs w:val="22"/>
            <w:vertAlign w:val="superscript"/>
          </w:rPr>
          <w:delText>2</w:delText>
        </w:r>
      </w:del>
      <w:del w:id="5383" w:author="AbbVie14" w:date="2025-05-09T10:31:00Z">
        <w:r w:rsidRPr="00295E71">
          <w:rPr>
            <w:color w:val="000000"/>
            <w:sz w:val="22"/>
            <w:szCs w:val="22"/>
          </w:rPr>
          <w:delText xml:space="preserve"> (massimo 40 mg) a settimane alterne a pazienti di età dai 4 ai 17 anni affetti da artrite idiopatica giovanile poliarticolare (JIA) il valore medio minimo all’equilibrio della concentrazione sierica di adalimumab (valori misurati dalla settimana 20 alla 48) è stato di 5,6 </w:delText>
        </w:r>
      </w:del>
      <w:del w:id="5384" w:author="AbbVie14" w:date="2025-05-09T10:31:00Z">
        <w:r w:rsidRPr="00295E71">
          <w:rPr>
            <w:rFonts w:ascii="Symbol" w:hAnsi="Symbol"/>
            <w:color w:val="000000"/>
            <w:sz w:val="22"/>
            <w:szCs w:val="22"/>
          </w:rPr>
          <w:sym w:font="Symbol" w:char="F0B1"/>
        </w:r>
      </w:del>
      <w:del w:id="5385" w:author="AbbVie14" w:date="2025-05-09T10:31:00Z">
        <w:r w:rsidRPr="00295E71">
          <w:rPr>
            <w:color w:val="000000"/>
            <w:sz w:val="22"/>
            <w:szCs w:val="22"/>
          </w:rPr>
          <w:delText> 5,6 µg/ml (102% CV) con adalimumab senza l’uso concomitante di metotressato e di 10,9 </w:delText>
        </w:r>
      </w:del>
      <w:del w:id="5386" w:author="AbbVie14" w:date="2025-05-09T10:31:00Z">
        <w:r w:rsidRPr="00295E71">
          <w:rPr>
            <w:rFonts w:ascii="Symbol" w:hAnsi="Symbol"/>
            <w:color w:val="000000"/>
            <w:sz w:val="22"/>
            <w:szCs w:val="22"/>
          </w:rPr>
          <w:sym w:font="Symbol" w:char="F0B1"/>
        </w:r>
      </w:del>
      <w:del w:id="5387" w:author="AbbVie14" w:date="2025-05-09T10:31:00Z">
        <w:r w:rsidRPr="00295E71">
          <w:rPr>
            <w:color w:val="000000"/>
            <w:sz w:val="22"/>
            <w:szCs w:val="22"/>
          </w:rPr>
          <w:delText> 5,2 µg/ml (47,7% CV) in co</w:delText>
        </w:r>
      </w:del>
      <w:del w:id="5388" w:author="AbbVie14" w:date="2025-05-09T10:31:00Z">
        <w:r w:rsidRPr="00295E71" w:rsidR="0066449A">
          <w:rPr>
            <w:color w:val="000000"/>
            <w:sz w:val="22"/>
            <w:szCs w:val="22"/>
          </w:rPr>
          <w:delText>-</w:delText>
        </w:r>
      </w:del>
      <w:del w:id="5389" w:author="AbbVie14" w:date="2025-05-09T10:31:00Z">
        <w:r w:rsidRPr="00295E71">
          <w:rPr>
            <w:color w:val="000000"/>
            <w:sz w:val="22"/>
            <w:szCs w:val="22"/>
          </w:rPr>
          <w:delText>somministrazione con metotressato.</w:delText>
        </w:r>
      </w:del>
    </w:p>
    <w:p w:rsidR="006224C2" w:rsidRPr="00295E71" w14:paraId="09B3ACBA" w14:textId="77777777">
      <w:pPr>
        <w:tabs>
          <w:tab w:val="left" w:pos="567"/>
        </w:tabs>
        <w:autoSpaceDE w:val="0"/>
        <w:autoSpaceDN w:val="0"/>
        <w:adjustRightInd w:val="0"/>
        <w:jc w:val="both"/>
        <w:rPr>
          <w:del w:id="5390" w:author="AbbVie14" w:date="2025-05-09T10:31:00Z"/>
          <w:color w:val="000000"/>
          <w:sz w:val="22"/>
          <w:szCs w:val="22"/>
        </w:rPr>
      </w:pPr>
    </w:p>
    <w:p w:rsidR="006224C2" w:rsidRPr="00295E71" w14:paraId="4CF610C5" w14:textId="77777777">
      <w:pPr>
        <w:tabs>
          <w:tab w:val="left" w:pos="567"/>
        </w:tabs>
        <w:autoSpaceDE w:val="0"/>
        <w:autoSpaceDN w:val="0"/>
        <w:adjustRightInd w:val="0"/>
        <w:jc w:val="both"/>
        <w:rPr>
          <w:del w:id="5391" w:author="AbbVie14" w:date="2025-05-09T10:31:00Z"/>
          <w:color w:val="000000"/>
          <w:sz w:val="22"/>
          <w:szCs w:val="22"/>
        </w:rPr>
      </w:pPr>
      <w:del w:id="5392" w:author="AbbVie14" w:date="2025-05-09T10:31:00Z">
        <w:r w:rsidRPr="00295E71">
          <w:rPr>
            <w:color w:val="000000"/>
            <w:sz w:val="22"/>
            <w:szCs w:val="22"/>
          </w:rPr>
          <w:delText>Nei pazienti con JIA poliarticolare di età da</w:delText>
        </w:r>
      </w:del>
      <w:del w:id="5393" w:author="AbbVie14" w:date="2025-05-09T10:31:00Z">
        <w:r w:rsidR="00806926">
          <w:rPr>
            <w:color w:val="000000"/>
            <w:sz w:val="22"/>
            <w:szCs w:val="22"/>
          </w:rPr>
          <w:delText xml:space="preserve"> </w:delText>
        </w:r>
      </w:del>
      <w:del w:id="5394" w:author="AbbVie14" w:date="2025-05-09T10:31:00Z">
        <w:r w:rsidRPr="00295E71">
          <w:rPr>
            <w:color w:val="000000"/>
            <w:sz w:val="22"/>
            <w:szCs w:val="22"/>
          </w:rPr>
          <w:delText>2 a &lt;4 anni o di 4 anni e oltre di peso &lt; 15 kg trattati con adalimumab 24 mg/m</w:delText>
        </w:r>
      </w:del>
      <w:del w:id="5395" w:author="AbbVie14" w:date="2025-05-09T10:31:00Z">
        <w:r w:rsidRPr="00295E71">
          <w:rPr>
            <w:color w:val="000000"/>
            <w:sz w:val="22"/>
            <w:szCs w:val="22"/>
            <w:vertAlign w:val="superscript"/>
          </w:rPr>
          <w:delText>2</w:delText>
        </w:r>
      </w:del>
      <w:del w:id="5396" w:author="AbbVie14" w:date="2025-05-09T10:31:00Z">
        <w:r w:rsidRPr="00295E71">
          <w:rPr>
            <w:color w:val="000000"/>
            <w:sz w:val="22"/>
            <w:szCs w:val="22"/>
          </w:rPr>
          <w:delText xml:space="preserve"> il valore medio minimo all’equilibrio della concentrazione sierica di adalimumab è stato di 6,0 </w:delText>
        </w:r>
      </w:del>
      <w:del w:id="5397" w:author="AbbVie14" w:date="2025-05-09T10:31:00Z">
        <w:r w:rsidRPr="00295E71">
          <w:rPr>
            <w:rFonts w:ascii="Symbol" w:hAnsi="Symbol"/>
            <w:color w:val="000000"/>
            <w:sz w:val="22"/>
            <w:szCs w:val="22"/>
          </w:rPr>
          <w:sym w:font="Symbol" w:char="F0B1"/>
        </w:r>
      </w:del>
      <w:del w:id="5398" w:author="AbbVie14" w:date="2025-05-09T10:31:00Z">
        <w:r w:rsidRPr="00295E71">
          <w:rPr>
            <w:color w:val="000000"/>
            <w:sz w:val="22"/>
            <w:szCs w:val="22"/>
          </w:rPr>
          <w:delText> 6,1 µg/ml (101% CV) con adalimumab senza l’uso concomitante di metotressato e di 7,9 </w:delText>
        </w:r>
      </w:del>
      <w:del w:id="5399" w:author="AbbVie14" w:date="2025-05-09T10:31:00Z">
        <w:r w:rsidRPr="00295E71">
          <w:rPr>
            <w:rFonts w:ascii="Symbol" w:hAnsi="Symbol"/>
            <w:color w:val="000000"/>
            <w:sz w:val="22"/>
            <w:szCs w:val="22"/>
          </w:rPr>
          <w:sym w:font="Symbol" w:char="F0B1"/>
        </w:r>
      </w:del>
      <w:del w:id="5400" w:author="AbbVie14" w:date="2025-05-09T10:31:00Z">
        <w:r w:rsidRPr="00295E71">
          <w:rPr>
            <w:color w:val="000000"/>
            <w:sz w:val="22"/>
            <w:szCs w:val="22"/>
          </w:rPr>
          <w:delText> 5,6 µg/ml (71,2% CV) in co</w:delText>
        </w:r>
      </w:del>
      <w:del w:id="5401" w:author="AbbVie14" w:date="2025-05-09T10:31:00Z">
        <w:r w:rsidRPr="00295E71" w:rsidR="0066449A">
          <w:rPr>
            <w:color w:val="000000"/>
            <w:sz w:val="22"/>
            <w:szCs w:val="22"/>
          </w:rPr>
          <w:delText>-</w:delText>
        </w:r>
      </w:del>
      <w:del w:id="5402" w:author="AbbVie14" w:date="2025-05-09T10:31:00Z">
        <w:r w:rsidRPr="00295E71">
          <w:rPr>
            <w:color w:val="000000"/>
            <w:sz w:val="22"/>
            <w:szCs w:val="22"/>
          </w:rPr>
          <w:delText>somministrazione con metotressato.</w:delText>
        </w:r>
      </w:del>
    </w:p>
    <w:p w:rsidR="006224C2" w:rsidRPr="00295E71" w14:paraId="16EE2E0F" w14:textId="77777777">
      <w:pPr>
        <w:pStyle w:val="EMEANormal"/>
        <w:jc w:val="both"/>
        <w:rPr>
          <w:del w:id="5403" w:author="AbbVie14" w:date="2025-05-09T10:31:00Z"/>
          <w:lang w:val="it-IT" w:eastAsia="en-GB"/>
        </w:rPr>
      </w:pPr>
    </w:p>
    <w:p w:rsidR="006224C2" w:rsidRPr="00295E71" w14:paraId="4A69BCC8" w14:textId="77777777">
      <w:pPr>
        <w:pStyle w:val="EMEANormal"/>
        <w:jc w:val="both"/>
        <w:rPr>
          <w:del w:id="5404" w:author="AbbVie14" w:date="2025-05-09T10:31:00Z"/>
          <w:lang w:val="it-IT"/>
        </w:rPr>
      </w:pPr>
      <w:del w:id="5405" w:author="AbbVie14" w:date="2025-05-09T10:31:00Z">
        <w:r w:rsidRPr="00295E71">
          <w:rPr>
            <w:lang w:val="it-IT" w:eastAsia="en-GB"/>
          </w:rPr>
          <w:delText>A seguito della somministrazione sottocutanea di 24 mg/m</w:delText>
        </w:r>
      </w:del>
      <w:del w:id="5406" w:author="AbbVie14" w:date="2025-05-09T10:31:00Z">
        <w:r w:rsidRPr="00295E71">
          <w:rPr>
            <w:vertAlign w:val="superscript"/>
            <w:lang w:val="it-IT" w:eastAsia="en-GB"/>
          </w:rPr>
          <w:delText xml:space="preserve">2 </w:delText>
        </w:r>
      </w:del>
      <w:del w:id="5407" w:author="AbbVie14" w:date="2025-05-09T10:31:00Z">
        <w:r w:rsidRPr="00295E71">
          <w:rPr>
            <w:lang w:val="it-IT" w:eastAsia="en-GB"/>
          </w:rPr>
          <w:delText>(massimo 40 mg), a settimane alterne a pazienti di età compresa tra 6 e 17 anni con artrite associata ad entesite, i</w:delText>
        </w:r>
      </w:del>
      <w:del w:id="5408" w:author="AbbVie14" w:date="2025-05-09T10:31:00Z">
        <w:r w:rsidRPr="00295E71">
          <w:rPr>
            <w:color w:val="000000"/>
            <w:lang w:val="it-IT"/>
          </w:rPr>
          <w:delText xml:space="preserve">l valore medio minimo delle concentrazioni sieriche di adalimumab allo stato stazionario (valori misurati alla settimana 24) sono stati di </w:delText>
        </w:r>
      </w:del>
      <w:del w:id="5409" w:author="AbbVie14" w:date="2025-05-09T10:31:00Z">
        <w:r w:rsidRPr="00295E71">
          <w:rPr>
            <w:lang w:val="it-IT"/>
          </w:rPr>
          <w:delText>8</w:delText>
        </w:r>
      </w:del>
      <w:del w:id="5410" w:author="AbbVie14" w:date="2025-05-09T10:31:00Z">
        <w:r w:rsidR="00806926">
          <w:rPr>
            <w:lang w:val="it-IT"/>
          </w:rPr>
          <w:delText>,</w:delText>
        </w:r>
      </w:del>
      <w:del w:id="5411" w:author="AbbVie14" w:date="2025-05-09T10:31:00Z">
        <w:r w:rsidRPr="00295E71">
          <w:rPr>
            <w:lang w:val="it-IT"/>
          </w:rPr>
          <w:delText>8 ± 6</w:delText>
        </w:r>
      </w:del>
      <w:del w:id="5412" w:author="AbbVie14" w:date="2025-05-09T10:31:00Z">
        <w:r w:rsidR="00806926">
          <w:rPr>
            <w:lang w:val="it-IT"/>
          </w:rPr>
          <w:delText>,</w:delText>
        </w:r>
      </w:del>
      <w:del w:id="5413" w:author="AbbVie14" w:date="2025-05-09T10:31:00Z">
        <w:r w:rsidRPr="00295E71">
          <w:rPr>
            <w:lang w:val="it-IT"/>
          </w:rPr>
          <w:delText>6 μg/ml con adalimumab senza l’uso concomitante di metotressato e di 11</w:delText>
        </w:r>
      </w:del>
      <w:del w:id="5414" w:author="AbbVie14" w:date="2025-05-09T10:31:00Z">
        <w:r w:rsidR="00806926">
          <w:rPr>
            <w:lang w:val="it-IT"/>
          </w:rPr>
          <w:delText>,</w:delText>
        </w:r>
      </w:del>
      <w:del w:id="5415" w:author="AbbVie14" w:date="2025-05-09T10:31:00Z">
        <w:r w:rsidRPr="00295E71">
          <w:rPr>
            <w:lang w:val="it-IT"/>
          </w:rPr>
          <w:delText>8 ± 4</w:delText>
        </w:r>
      </w:del>
      <w:del w:id="5416" w:author="AbbVie14" w:date="2025-05-09T10:31:00Z">
        <w:r w:rsidR="00806926">
          <w:rPr>
            <w:lang w:val="it-IT"/>
          </w:rPr>
          <w:delText>,</w:delText>
        </w:r>
      </w:del>
      <w:del w:id="5417" w:author="AbbVie14" w:date="2025-05-09T10:31:00Z">
        <w:r w:rsidRPr="00295E71">
          <w:rPr>
            <w:lang w:val="it-IT"/>
          </w:rPr>
          <w:delText>3 μg/ml in co</w:delText>
        </w:r>
      </w:del>
      <w:del w:id="5418" w:author="AbbVie14" w:date="2025-05-09T10:31:00Z">
        <w:r w:rsidRPr="00295E71" w:rsidR="0066449A">
          <w:rPr>
            <w:lang w:val="it-IT"/>
          </w:rPr>
          <w:delText>-</w:delText>
        </w:r>
      </w:del>
      <w:del w:id="5419" w:author="AbbVie14" w:date="2025-05-09T10:31:00Z">
        <w:r w:rsidRPr="00295E71">
          <w:rPr>
            <w:lang w:val="it-IT"/>
          </w:rPr>
          <w:delText>somministrazione con metotressato.</w:delText>
        </w:r>
      </w:del>
    </w:p>
    <w:p w:rsidR="002F7CF2" w:rsidRPr="00295E71" w14:paraId="557C1B7F" w14:textId="77777777">
      <w:pPr>
        <w:pStyle w:val="EMEANormal"/>
        <w:jc w:val="both"/>
        <w:rPr>
          <w:del w:id="5420" w:author="AbbVie14" w:date="2025-05-09T10:31:00Z"/>
          <w:lang w:val="it-IT"/>
        </w:rPr>
      </w:pPr>
    </w:p>
    <w:p w:rsidR="002F7CF2" w:rsidRPr="00295E71" w:rsidP="002F7CF2" w14:paraId="1537C4FC" w14:textId="77777777">
      <w:pPr>
        <w:pStyle w:val="EMEANormal"/>
        <w:jc w:val="both"/>
        <w:rPr>
          <w:del w:id="5421" w:author="AbbVie14" w:date="2025-05-09T10:31:00Z"/>
          <w:lang w:val="it-IT"/>
        </w:rPr>
      </w:pPr>
      <w:del w:id="5422" w:author="AbbVie14" w:date="2025-05-09T10:31:00Z">
        <w:r w:rsidRPr="00295E71">
          <w:rPr>
            <w:lang w:val="it-IT"/>
          </w:rPr>
          <w:delText>Dopo la somministrazione di 0,8 mg/kg (massimo 40 mg) per via sottocutanea a settimane alterne nei pazienti pediatrici con psoriasi cronica a placche, le concentrazioni sieriche medie (±SD) dei livelli minimi di adalimumab allo stato stazionario erano circa 7,4 ± 5,8 µg/ml (79% CV).</w:delText>
        </w:r>
      </w:del>
    </w:p>
    <w:p w:rsidR="002F7CF2" w:rsidRPr="00295E71" w:rsidP="002F7CF2" w14:paraId="178CB5F7" w14:textId="77777777">
      <w:pPr>
        <w:keepNext/>
        <w:tabs>
          <w:tab w:val="left" w:pos="567"/>
        </w:tabs>
        <w:autoSpaceDE w:val="0"/>
        <w:autoSpaceDN w:val="0"/>
        <w:adjustRightInd w:val="0"/>
        <w:jc w:val="both"/>
        <w:rPr>
          <w:del w:id="5423" w:author="AbbVie14" w:date="2025-05-09T10:31:00Z"/>
          <w:color w:val="000000"/>
          <w:sz w:val="22"/>
          <w:szCs w:val="22"/>
          <w:u w:val="single"/>
        </w:rPr>
      </w:pPr>
    </w:p>
    <w:p w:rsidR="002F7CF2" w:rsidRPr="00295E71" w:rsidP="002F7CF2" w14:paraId="0C2D83F9" w14:textId="77777777">
      <w:pPr>
        <w:pStyle w:val="EMEANormal"/>
        <w:jc w:val="both"/>
        <w:rPr>
          <w:del w:id="5424" w:author="AbbVie14" w:date="2025-05-09T10:31:00Z"/>
          <w:iCs/>
          <w:lang w:val="it-IT"/>
        </w:rPr>
      </w:pPr>
      <w:del w:id="5425" w:author="AbbVie14" w:date="2025-05-09T10:31:00Z">
        <w:r w:rsidRPr="00295E71">
          <w:rPr>
            <w:iCs/>
            <w:lang w:val="it-IT"/>
          </w:rPr>
          <w:delText>L’esposizione ad adalimumab nei pazienti adolescenti con HS è stata predetta usando modelli e simulazione farmacocinetica di popolazione basati sulla farmacocinetica cross-indicazione in altri pazienti pediatrici (psoriasi pediatrica, artrite idiopatica giovanile, malattia di Crohn pediatrica e artrite associata ad entesite). Lo schema posologico raccomandato per gli adolescenti con HS è di 40 mg a settimane alterne.</w:delText>
        </w:r>
      </w:del>
      <w:del w:id="5426" w:author="AbbVie14" w:date="2025-05-09T10:31:00Z">
        <w:r w:rsidR="00806926">
          <w:rPr>
            <w:iCs/>
            <w:lang w:val="it-IT"/>
          </w:rPr>
          <w:delText xml:space="preserve"> </w:delText>
        </w:r>
      </w:del>
      <w:del w:id="5427" w:author="AbbVie14" w:date="2025-05-09T10:31:00Z">
        <w:r w:rsidRPr="00295E71">
          <w:rPr>
            <w:iCs/>
            <w:lang w:val="it-IT"/>
          </w:rPr>
          <w:delText>Dato che l’esposizione ad adalimumab potrebbe essere influenzata dalla massa corporea, gli adolescenti che hanno un peso corporeo maggiore e una risposta inadeguata possono beneficiare della dose raccomandata per gli adulti di 40 mg ogni settimana.</w:delText>
        </w:r>
      </w:del>
    </w:p>
    <w:p w:rsidR="006224C2" w:rsidRPr="00295E71" w14:paraId="492CA69F" w14:textId="77777777">
      <w:pPr>
        <w:pStyle w:val="EMEANormal"/>
        <w:jc w:val="both"/>
        <w:rPr>
          <w:del w:id="5428" w:author="AbbVie14" w:date="2025-05-09T10:31:00Z"/>
          <w:lang w:val="it-IT" w:eastAsia="en-GB"/>
        </w:rPr>
      </w:pPr>
    </w:p>
    <w:p w:rsidR="006224C2" w:rsidRPr="00295E71" w14:paraId="51010052" w14:textId="77777777">
      <w:pPr>
        <w:pStyle w:val="EMEANormal"/>
        <w:jc w:val="both"/>
        <w:rPr>
          <w:del w:id="5429" w:author="AbbVie14" w:date="2025-05-09T10:31:00Z"/>
          <w:lang w:val="it-IT"/>
        </w:rPr>
      </w:pPr>
      <w:del w:id="5430" w:author="AbbVie14" w:date="2025-05-09T10:31:00Z">
        <w:r w:rsidRPr="00295E71">
          <w:rPr>
            <w:lang w:val="it-IT" w:eastAsia="en-GB"/>
          </w:rPr>
          <w:delText xml:space="preserve">Nei pazienti pediatrici con MC di grado da moderato a severo, la dose di induzione di adalimumab in aperto era 160/80 mg o 80/40 mg alle settimane 0 e 2, rispettivamente, a seconda del cut-off del peso corporeo a 40 kg. Alla settimana 4, i pazienti erano randomizzati </w:delText>
        </w:r>
      </w:del>
      <w:del w:id="5431" w:author="AbbVie14" w:date="2025-05-09T10:31:00Z">
        <w:r w:rsidRPr="00295E71">
          <w:rPr>
            <w:lang w:val="it-IT"/>
          </w:rPr>
          <w:delText xml:space="preserve">1:1 </w:delText>
        </w:r>
      </w:del>
      <w:del w:id="5432" w:author="AbbVie14" w:date="2025-05-09T10:31:00Z">
        <w:r w:rsidRPr="00295E71">
          <w:rPr>
            <w:lang w:val="it-IT" w:eastAsia="en-GB"/>
          </w:rPr>
          <w:delText>sulla base del peso corporeo</w:delText>
        </w:r>
      </w:del>
      <w:del w:id="5433" w:author="AbbVie14" w:date="2025-05-09T10:31:00Z">
        <w:r w:rsidRPr="00295E71">
          <w:rPr>
            <w:lang w:val="it-IT"/>
          </w:rPr>
          <w:delText xml:space="preserve"> nei gruppi del trattamento di mantenimento o alla</w:delText>
        </w:r>
      </w:del>
      <w:del w:id="5434" w:author="AbbVie14" w:date="2025-05-09T10:31:00Z">
        <w:r w:rsidRPr="00295E71" w:rsidR="005F2A6D">
          <w:rPr>
            <w:lang w:val="it-IT"/>
          </w:rPr>
          <w:delText xml:space="preserve"> </w:delText>
        </w:r>
      </w:del>
      <w:del w:id="5435" w:author="AbbVie14" w:date="2025-05-09T10:31:00Z">
        <w:r w:rsidRPr="00295E71">
          <w:rPr>
            <w:lang w:val="it-IT"/>
          </w:rPr>
          <w:delText>Dose Standard (</w:delText>
        </w:r>
      </w:del>
      <w:del w:id="5436" w:author="AbbVie14" w:date="2025-05-09T10:31:00Z">
        <w:r w:rsidRPr="00295E71">
          <w:rPr>
            <w:lang w:val="it-IT" w:eastAsia="en-GB"/>
          </w:rPr>
          <w:delText xml:space="preserve">40/20 mg a settimane alterne) </w:delText>
        </w:r>
      </w:del>
      <w:del w:id="5437" w:author="AbbVie14" w:date="2025-05-09T10:31:00Z">
        <w:r w:rsidRPr="00295E71">
          <w:rPr>
            <w:lang w:val="it-IT"/>
          </w:rPr>
          <w:delText>o alla</w:delText>
        </w:r>
      </w:del>
      <w:del w:id="5438" w:author="AbbVie14" w:date="2025-05-09T10:31:00Z">
        <w:r w:rsidRPr="00295E71" w:rsidR="005F2A6D">
          <w:rPr>
            <w:lang w:val="it-IT"/>
          </w:rPr>
          <w:delText xml:space="preserve"> </w:delText>
        </w:r>
      </w:del>
      <w:del w:id="5439" w:author="AbbVie14" w:date="2025-05-09T10:31:00Z">
        <w:r w:rsidRPr="00295E71">
          <w:rPr>
            <w:lang w:val="it-IT"/>
          </w:rPr>
          <w:delText>Dose Bassa (</w:delText>
        </w:r>
      </w:del>
      <w:del w:id="5440" w:author="AbbVie14" w:date="2025-05-09T10:31:00Z">
        <w:r w:rsidRPr="00295E71">
          <w:rPr>
            <w:lang w:val="it-IT" w:eastAsia="en-GB"/>
          </w:rPr>
          <w:delText>20/10 mg a settimane alterne). Le concentrazioni sieriche medie (</w:delText>
        </w:r>
      </w:del>
      <w:del w:id="5441" w:author="AbbVie14" w:date="2025-05-09T10:31:00Z">
        <w:r w:rsidRPr="00295E71">
          <w:rPr>
            <w:rFonts w:eastAsia="Arial Unicode MS"/>
            <w:lang w:val="it-IT"/>
          </w:rPr>
          <w:delText>±SD) dei livelli minimi</w:delText>
        </w:r>
      </w:del>
      <w:del w:id="5442" w:author="AbbVie14" w:date="2025-05-09T10:31:00Z">
        <w:r w:rsidRPr="00295E71" w:rsidR="0066449A">
          <w:rPr>
            <w:rFonts w:eastAsia="Arial Unicode MS"/>
            <w:lang w:val="it-IT"/>
          </w:rPr>
          <w:delText xml:space="preserve"> </w:delText>
        </w:r>
      </w:del>
      <w:del w:id="5443" w:author="AbbVie14" w:date="2025-05-09T10:31:00Z">
        <w:r w:rsidRPr="00295E71">
          <w:rPr>
            <w:rFonts w:eastAsia="Arial Unicode MS"/>
            <w:lang w:val="it-IT"/>
          </w:rPr>
          <w:delText>di adalimumab</w:delText>
        </w:r>
      </w:del>
      <w:del w:id="5444" w:author="AbbVie14" w:date="2025-05-09T10:31:00Z">
        <w:r w:rsidRPr="00295E71" w:rsidR="00D34DBB">
          <w:rPr>
            <w:rFonts w:eastAsia="Arial Unicode MS"/>
            <w:lang w:val="it-IT"/>
          </w:rPr>
          <w:delText xml:space="preserve"> </w:delText>
        </w:r>
      </w:del>
      <w:del w:id="5445" w:author="AbbVie14" w:date="2025-05-09T10:31:00Z">
        <w:r w:rsidRPr="00295E71">
          <w:rPr>
            <w:lang w:val="it-IT" w:eastAsia="en-GB"/>
          </w:rPr>
          <w:delText>raggiunte alla settimana 4</w:delText>
        </w:r>
      </w:del>
      <w:del w:id="5446" w:author="AbbVie14" w:date="2025-05-09T10:31:00Z">
        <w:r w:rsidRPr="00295E71" w:rsidR="00D34DBB">
          <w:rPr>
            <w:lang w:val="it-IT" w:eastAsia="en-GB"/>
          </w:rPr>
          <w:delText xml:space="preserve"> </w:delText>
        </w:r>
      </w:del>
      <w:del w:id="5447" w:author="AbbVie14" w:date="2025-05-09T10:31:00Z">
        <w:r w:rsidRPr="00295E71">
          <w:rPr>
            <w:lang w:val="it-IT" w:eastAsia="en-GB"/>
          </w:rPr>
          <w:delText>erano 15</w:delText>
        </w:r>
      </w:del>
      <w:del w:id="5448" w:author="AbbVie14" w:date="2025-05-09T10:31:00Z">
        <w:r w:rsidR="00806926">
          <w:rPr>
            <w:lang w:val="it-IT" w:eastAsia="en-GB"/>
          </w:rPr>
          <w:delText>,</w:delText>
        </w:r>
      </w:del>
      <w:del w:id="5449" w:author="AbbVie14" w:date="2025-05-09T10:31:00Z">
        <w:r w:rsidRPr="00295E71">
          <w:rPr>
            <w:lang w:val="it-IT" w:eastAsia="en-GB"/>
          </w:rPr>
          <w:delText>7 </w:delText>
        </w:r>
      </w:del>
      <w:del w:id="5450" w:author="AbbVie14" w:date="2025-05-09T10:31:00Z">
        <w:r w:rsidRPr="00295E71">
          <w:rPr>
            <w:rFonts w:eastAsia="Arial Unicode MS"/>
            <w:lang w:val="it-IT"/>
          </w:rPr>
          <w:delText>± 6</w:delText>
        </w:r>
      </w:del>
      <w:del w:id="5451" w:author="AbbVie14" w:date="2025-05-09T10:31:00Z">
        <w:r w:rsidR="00806926">
          <w:rPr>
            <w:rFonts w:eastAsia="Arial Unicode MS"/>
            <w:lang w:val="it-IT"/>
          </w:rPr>
          <w:delText>,</w:delText>
        </w:r>
      </w:del>
      <w:del w:id="5452" w:author="AbbVie14" w:date="2025-05-09T10:31:00Z">
        <w:r w:rsidRPr="00295E71">
          <w:rPr>
            <w:rFonts w:eastAsia="Arial Unicode MS"/>
            <w:lang w:val="it-IT"/>
          </w:rPr>
          <w:delText>6 </w:delText>
        </w:r>
      </w:del>
      <w:del w:id="5453" w:author="AbbVie14" w:date="2025-05-09T10:31:00Z">
        <w:r w:rsidRPr="00295E71">
          <w:rPr>
            <w:rFonts w:ascii="Symbol" w:hAnsi="Symbol"/>
            <w:lang w:val="it-IT"/>
          </w:rPr>
          <w:sym w:font="Symbol" w:char="F06D"/>
        </w:r>
      </w:del>
      <w:del w:id="5454" w:author="AbbVie14" w:date="2025-05-09T10:31:00Z">
        <w:r w:rsidRPr="00295E71">
          <w:rPr>
            <w:lang w:val="it-IT"/>
          </w:rPr>
          <w:delText xml:space="preserve">g/ml per i pazienti </w:delText>
        </w:r>
      </w:del>
      <w:del w:id="5455" w:author="AbbVie14" w:date="2025-05-09T10:31:00Z">
        <w:r w:rsidRPr="00295E71" w:rsidR="00B3546E">
          <w:rPr>
            <w:szCs w:val="20"/>
            <w:lang w:val="it-IT"/>
          </w:rPr>
          <w:delText>≥</w:delText>
        </w:r>
      </w:del>
      <w:del w:id="5456" w:author="AbbVie14" w:date="2025-05-09T10:31:00Z">
        <w:r w:rsidRPr="00295E71">
          <w:rPr>
            <w:lang w:val="it-IT"/>
          </w:rPr>
          <w:delText> 40 kg (160/80 mg) e</w:delText>
        </w:r>
      </w:del>
      <w:del w:id="5457" w:author="AbbVie14" w:date="2025-05-09T10:31:00Z">
        <w:r w:rsidR="00806926">
          <w:rPr>
            <w:lang w:val="it-IT"/>
          </w:rPr>
          <w:delText xml:space="preserve"> </w:delText>
        </w:r>
      </w:del>
      <w:del w:id="5458" w:author="AbbVie14" w:date="2025-05-09T10:31:00Z">
        <w:r w:rsidRPr="00295E71">
          <w:rPr>
            <w:lang w:val="it-IT" w:eastAsia="en-GB"/>
          </w:rPr>
          <w:delText>10</w:delText>
        </w:r>
      </w:del>
      <w:del w:id="5459" w:author="AbbVie14" w:date="2025-05-09T10:31:00Z">
        <w:r w:rsidR="00806926">
          <w:rPr>
            <w:lang w:val="it-IT" w:eastAsia="en-GB"/>
          </w:rPr>
          <w:delText>,</w:delText>
        </w:r>
      </w:del>
      <w:del w:id="5460" w:author="AbbVie14" w:date="2025-05-09T10:31:00Z">
        <w:r w:rsidRPr="00295E71">
          <w:rPr>
            <w:lang w:val="it-IT" w:eastAsia="en-GB"/>
          </w:rPr>
          <w:delText>6 </w:delText>
        </w:r>
      </w:del>
      <w:del w:id="5461" w:author="AbbVie14" w:date="2025-05-09T10:31:00Z">
        <w:r w:rsidRPr="00295E71">
          <w:rPr>
            <w:rFonts w:eastAsia="Arial Unicode MS"/>
            <w:lang w:val="it-IT"/>
          </w:rPr>
          <w:delText>± 6</w:delText>
        </w:r>
      </w:del>
      <w:del w:id="5462" w:author="AbbVie14" w:date="2025-05-09T10:31:00Z">
        <w:r w:rsidR="00806926">
          <w:rPr>
            <w:rFonts w:eastAsia="Arial Unicode MS"/>
            <w:lang w:val="it-IT"/>
          </w:rPr>
          <w:delText>,</w:delText>
        </w:r>
      </w:del>
      <w:del w:id="5463" w:author="AbbVie14" w:date="2025-05-09T10:31:00Z">
        <w:r w:rsidRPr="00295E71">
          <w:rPr>
            <w:rFonts w:eastAsia="Arial Unicode MS"/>
            <w:lang w:val="it-IT"/>
          </w:rPr>
          <w:delText>1 </w:delText>
        </w:r>
      </w:del>
      <w:del w:id="5464" w:author="AbbVie14" w:date="2025-05-09T10:31:00Z">
        <w:r w:rsidRPr="00295E71">
          <w:rPr>
            <w:rFonts w:ascii="Symbol" w:hAnsi="Symbol"/>
            <w:lang w:val="it-IT"/>
          </w:rPr>
          <w:sym w:font="Symbol" w:char="F06D"/>
        </w:r>
      </w:del>
      <w:del w:id="5465" w:author="AbbVie14" w:date="2025-05-09T10:31:00Z">
        <w:r w:rsidRPr="00295E71">
          <w:rPr>
            <w:lang w:val="it-IT"/>
          </w:rPr>
          <w:delText>g/ml per i pazienti &lt; 40 kg (80/40 mg).</w:delText>
        </w:r>
      </w:del>
    </w:p>
    <w:p w:rsidR="006224C2" w:rsidRPr="00295E71" w14:paraId="2E762C79" w14:textId="77777777">
      <w:pPr>
        <w:pStyle w:val="EMEANormal"/>
        <w:jc w:val="both"/>
        <w:rPr>
          <w:del w:id="5466" w:author="AbbVie14" w:date="2025-05-09T10:31:00Z"/>
          <w:lang w:val="it-IT" w:eastAsia="en-GB"/>
        </w:rPr>
      </w:pPr>
    </w:p>
    <w:p w:rsidR="006224C2" w:rsidRPr="00295E71" w14:paraId="0694D9E7" w14:textId="77777777">
      <w:pPr>
        <w:pStyle w:val="EMEANormal"/>
        <w:jc w:val="both"/>
        <w:rPr>
          <w:del w:id="5467" w:author="AbbVie14" w:date="2025-05-09T10:31:00Z"/>
          <w:lang w:val="it-IT"/>
        </w:rPr>
      </w:pPr>
      <w:del w:id="5468" w:author="AbbVie14" w:date="2025-05-09T10:31:00Z">
        <w:r w:rsidRPr="00295E71">
          <w:rPr>
            <w:rFonts w:eastAsia="Arial Unicode MS"/>
            <w:lang w:val="it-IT"/>
          </w:rPr>
          <w:delText>Per i pazienti</w:delText>
        </w:r>
      </w:del>
      <w:del w:id="5469" w:author="AbbVie14" w:date="2025-05-09T10:31:00Z">
        <w:r w:rsidRPr="00295E71" w:rsidR="00265D2D">
          <w:rPr>
            <w:rFonts w:eastAsia="Arial Unicode MS"/>
            <w:lang w:val="it-IT"/>
          </w:rPr>
          <w:delText xml:space="preserve"> </w:delText>
        </w:r>
      </w:del>
      <w:del w:id="5470" w:author="AbbVie14" w:date="2025-05-09T10:31:00Z">
        <w:r w:rsidRPr="00295E71">
          <w:rPr>
            <w:rFonts w:eastAsia="Arial Unicode MS"/>
            <w:lang w:val="it-IT"/>
          </w:rPr>
          <w:delText xml:space="preserve">che rimanevano nella loro terapia randomizzata, le concentrazioni medie dei livelli minimi </w:delText>
        </w:r>
      </w:del>
      <w:del w:id="5471" w:author="AbbVie14" w:date="2025-05-09T10:31:00Z">
        <w:r w:rsidRPr="00295E71">
          <w:rPr>
            <w:lang w:val="it-IT" w:eastAsia="en-GB"/>
          </w:rPr>
          <w:delText>(</w:delText>
        </w:r>
      </w:del>
      <w:del w:id="5472" w:author="AbbVie14" w:date="2025-05-09T10:31:00Z">
        <w:r w:rsidRPr="00295E71">
          <w:rPr>
            <w:rFonts w:eastAsia="Arial Unicode MS"/>
            <w:lang w:val="it-IT"/>
          </w:rPr>
          <w:delText xml:space="preserve">±SD) di </w:delText>
        </w:r>
      </w:del>
      <w:del w:id="5473" w:author="AbbVie14" w:date="2025-05-09T10:31:00Z">
        <w:r w:rsidRPr="00295E71">
          <w:rPr>
            <w:lang w:val="it-IT"/>
          </w:rPr>
          <w:delText>adalimumab alla settimana 52 erano</w:delText>
        </w:r>
      </w:del>
      <w:del w:id="5474" w:author="AbbVie14" w:date="2025-05-09T10:31:00Z">
        <w:r w:rsidR="00806926">
          <w:rPr>
            <w:lang w:val="it-IT"/>
          </w:rPr>
          <w:delText xml:space="preserve"> </w:delText>
        </w:r>
      </w:del>
      <w:del w:id="5475" w:author="AbbVie14" w:date="2025-05-09T10:31:00Z">
        <w:r w:rsidRPr="00295E71">
          <w:rPr>
            <w:rFonts w:eastAsia="Arial Unicode MS"/>
            <w:lang w:val="it-IT"/>
          </w:rPr>
          <w:delText>9,5 ± 5,6</w:delText>
        </w:r>
      </w:del>
      <w:del w:id="5476" w:author="AbbVie14" w:date="2025-05-09T10:31:00Z">
        <w:r w:rsidRPr="00295E71">
          <w:rPr>
            <w:lang w:val="it-IT"/>
          </w:rPr>
          <w:delText> </w:delText>
        </w:r>
      </w:del>
      <w:del w:id="5477" w:author="AbbVie14" w:date="2025-05-09T10:31:00Z">
        <w:r w:rsidRPr="00295E71">
          <w:rPr>
            <w:rFonts w:ascii="Symbol" w:hAnsi="Symbol"/>
            <w:lang w:val="it-IT"/>
          </w:rPr>
          <w:sym w:font="Symbol" w:char="F06D"/>
        </w:r>
      </w:del>
      <w:del w:id="5478" w:author="AbbVie14" w:date="2025-05-09T10:31:00Z">
        <w:r w:rsidRPr="00295E71">
          <w:rPr>
            <w:lang w:val="it-IT"/>
          </w:rPr>
          <w:delText>g/ml per il gruppo a Dose Standard e</w:delText>
        </w:r>
      </w:del>
      <w:del w:id="5479" w:author="AbbVie14" w:date="2025-05-09T10:31:00Z">
        <w:r w:rsidRPr="00295E71" w:rsidR="00D34DBB">
          <w:rPr>
            <w:lang w:val="it-IT"/>
          </w:rPr>
          <w:delText xml:space="preserve"> </w:delText>
        </w:r>
      </w:del>
      <w:del w:id="5480" w:author="AbbVie14" w:date="2025-05-09T10:31:00Z">
        <w:r w:rsidRPr="00295E71">
          <w:rPr>
            <w:rFonts w:eastAsia="Arial Unicode MS"/>
            <w:lang w:val="it-IT"/>
          </w:rPr>
          <w:delText>3,5 ± 2,2</w:delText>
        </w:r>
      </w:del>
      <w:del w:id="5481" w:author="AbbVie14" w:date="2025-05-09T10:31:00Z">
        <w:r w:rsidRPr="00295E71">
          <w:rPr>
            <w:lang w:val="it-IT"/>
          </w:rPr>
          <w:delText> </w:delText>
        </w:r>
      </w:del>
      <w:del w:id="5482" w:author="AbbVie14" w:date="2025-05-09T10:31:00Z">
        <w:r w:rsidRPr="00295E71">
          <w:rPr>
            <w:rFonts w:ascii="Symbol" w:hAnsi="Symbol"/>
            <w:lang w:val="it-IT"/>
          </w:rPr>
          <w:sym w:font="Symbol" w:char="F06D"/>
        </w:r>
      </w:del>
      <w:del w:id="5483" w:author="AbbVie14" w:date="2025-05-09T10:31:00Z">
        <w:r w:rsidRPr="00295E71">
          <w:rPr>
            <w:lang w:val="it-IT"/>
          </w:rPr>
          <w:delText>g/ml per il gruppo a Bassa</w:delText>
        </w:r>
      </w:del>
      <w:del w:id="5484" w:author="AbbVie14" w:date="2025-05-09T10:31:00Z">
        <w:r w:rsidRPr="00295E71" w:rsidR="00D34DBB">
          <w:rPr>
            <w:lang w:val="it-IT"/>
          </w:rPr>
          <w:delText xml:space="preserve"> </w:delText>
        </w:r>
      </w:del>
      <w:del w:id="5485" w:author="AbbVie14" w:date="2025-05-09T10:31:00Z">
        <w:r w:rsidRPr="00295E71">
          <w:rPr>
            <w:lang w:val="it-IT"/>
          </w:rPr>
          <w:delText>Dose. Le concentrazioni medie</w:delText>
        </w:r>
      </w:del>
      <w:del w:id="5486" w:author="AbbVie14" w:date="2025-05-09T10:31:00Z">
        <w:r w:rsidRPr="00295E71">
          <w:rPr>
            <w:rFonts w:eastAsia="Arial Unicode MS"/>
            <w:lang w:val="it-IT"/>
          </w:rPr>
          <w:delText xml:space="preserve"> dei livelli minimi</w:delText>
        </w:r>
      </w:del>
      <w:del w:id="5487" w:author="AbbVie14" w:date="2025-05-09T10:31:00Z">
        <w:r w:rsidRPr="00295E71" w:rsidR="00D34DBB">
          <w:rPr>
            <w:rFonts w:eastAsia="Arial Unicode MS"/>
            <w:lang w:val="it-IT"/>
          </w:rPr>
          <w:delText xml:space="preserve"> </w:delText>
        </w:r>
      </w:del>
      <w:del w:id="5488" w:author="AbbVie14" w:date="2025-05-09T10:31:00Z">
        <w:r w:rsidRPr="00295E71">
          <w:rPr>
            <w:lang w:val="it-IT" w:eastAsia="en-GB"/>
          </w:rPr>
          <w:delText>erano mantenute nei pazienti</w:delText>
        </w:r>
      </w:del>
      <w:del w:id="5489" w:author="AbbVie14" w:date="2025-05-09T10:31:00Z">
        <w:r w:rsidR="00806926">
          <w:rPr>
            <w:lang w:val="it-IT" w:eastAsia="en-GB"/>
          </w:rPr>
          <w:delText xml:space="preserve"> </w:delText>
        </w:r>
      </w:del>
      <w:del w:id="5490" w:author="AbbVie14" w:date="2025-05-09T10:31:00Z">
        <w:r w:rsidRPr="00295E71">
          <w:rPr>
            <w:lang w:val="it-IT" w:eastAsia="en-GB"/>
          </w:rPr>
          <w:delText>che continuavano a ricevere il trattamento di adalimumab a settimane alterne per 52 settimane. Per i pazienti che aumentavano la dose da un regime a settimane alterne a uno settimanale</w:delText>
        </w:r>
      </w:del>
      <w:del w:id="5491" w:author="AbbVie14" w:date="2025-05-09T10:31:00Z">
        <w:r w:rsidRPr="00295E71">
          <w:rPr>
            <w:lang w:val="it-IT"/>
          </w:rPr>
          <w:delText xml:space="preserve">, le concentrazioni sieriche medie </w:delText>
        </w:r>
      </w:del>
      <w:del w:id="5492" w:author="AbbVie14" w:date="2025-05-09T10:31:00Z">
        <w:r w:rsidRPr="00295E71">
          <w:rPr>
            <w:lang w:val="it-IT" w:eastAsia="en-GB"/>
          </w:rPr>
          <w:delText>(</w:delText>
        </w:r>
      </w:del>
      <w:del w:id="5493" w:author="AbbVie14" w:date="2025-05-09T10:31:00Z">
        <w:r w:rsidRPr="00295E71">
          <w:rPr>
            <w:rFonts w:eastAsia="Arial Unicode MS"/>
            <w:lang w:val="it-IT"/>
          </w:rPr>
          <w:delText xml:space="preserve">±SD) di adalimumab alla settimana 52 erano </w:delText>
        </w:r>
      </w:del>
      <w:del w:id="5494" w:author="AbbVie14" w:date="2025-05-09T10:31:00Z">
        <w:r w:rsidRPr="00295E71">
          <w:rPr>
            <w:lang w:val="it-IT"/>
          </w:rPr>
          <w:delText>15,3 </w:delText>
        </w:r>
      </w:del>
      <w:del w:id="5495" w:author="AbbVie14" w:date="2025-05-09T10:31:00Z">
        <w:r w:rsidRPr="00295E71">
          <w:rPr>
            <w:rFonts w:eastAsia="Arial Unicode MS"/>
            <w:lang w:val="it-IT"/>
          </w:rPr>
          <w:delText>± 11,4</w:delText>
        </w:r>
      </w:del>
      <w:del w:id="5496" w:author="AbbVie14" w:date="2025-05-09T10:31:00Z">
        <w:r w:rsidRPr="00295E71">
          <w:rPr>
            <w:lang w:val="it-IT"/>
          </w:rPr>
          <w:delText xml:space="preserve"> μg/ml (40/20 mg, a settimana) </w:delText>
        </w:r>
      </w:del>
      <w:del w:id="5497" w:author="AbbVie14" w:date="2025-05-09T10:31:00Z">
        <w:r w:rsidRPr="00295E71" w:rsidR="00D34DBB">
          <w:rPr>
            <w:lang w:val="it-IT"/>
          </w:rPr>
          <w:delText xml:space="preserve">e </w:delText>
        </w:r>
      </w:del>
      <w:del w:id="5498" w:author="AbbVie14" w:date="2025-05-09T10:31:00Z">
        <w:r w:rsidRPr="00295E71">
          <w:rPr>
            <w:lang w:val="it-IT"/>
          </w:rPr>
          <w:delText>6,7 </w:delText>
        </w:r>
      </w:del>
      <w:del w:id="5499" w:author="AbbVie14" w:date="2025-05-09T10:31:00Z">
        <w:r w:rsidRPr="00295E71">
          <w:rPr>
            <w:rFonts w:eastAsia="Arial Unicode MS"/>
            <w:lang w:val="it-IT"/>
          </w:rPr>
          <w:delText>± 3,5 </w:delText>
        </w:r>
      </w:del>
      <w:del w:id="5500" w:author="AbbVie14" w:date="2025-05-09T10:31:00Z">
        <w:r w:rsidRPr="00295E71">
          <w:rPr>
            <w:lang w:val="it-IT"/>
          </w:rPr>
          <w:delText>μg/ml (20/10 mg, a settimana).</w:delText>
        </w:r>
      </w:del>
    </w:p>
    <w:p w:rsidR="006224C2" w:rsidRPr="00295E71" w14:paraId="17783263" w14:textId="77777777">
      <w:pPr>
        <w:pStyle w:val="EMEANormal"/>
        <w:jc w:val="both"/>
        <w:rPr>
          <w:del w:id="5501" w:author="AbbVie14" w:date="2025-05-09T10:31:00Z"/>
          <w:iCs/>
          <w:lang w:val="it-IT"/>
        </w:rPr>
      </w:pPr>
    </w:p>
    <w:p w:rsidR="006224C2" w:rsidRPr="00295E71" w14:paraId="7931ADAB" w14:textId="77777777">
      <w:pPr>
        <w:pStyle w:val="EMEANormal"/>
        <w:jc w:val="both"/>
        <w:rPr>
          <w:del w:id="5502" w:author="AbbVie14" w:date="2025-05-09T10:31:00Z"/>
          <w:iCs/>
          <w:lang w:val="it-IT"/>
        </w:rPr>
      </w:pPr>
      <w:del w:id="5503" w:author="AbbVie14" w:date="2025-05-09T10:31:00Z">
        <w:r w:rsidRPr="00295E71">
          <w:rPr>
            <w:iCs/>
            <w:lang w:val="it-IT"/>
          </w:rPr>
          <w:delText>L’esposizione ad adalimumab nei pazienti pediatrici con uveite è stata predetta usando modelli</w:delText>
        </w:r>
      </w:del>
      <w:del w:id="5504" w:author="AbbVie14" w:date="2025-05-09T10:31:00Z">
        <w:r w:rsidRPr="00295E71" w:rsidR="000507D2">
          <w:rPr>
            <w:iCs/>
            <w:lang w:val="it-IT"/>
          </w:rPr>
          <w:delText xml:space="preserve"> </w:delText>
        </w:r>
      </w:del>
      <w:del w:id="5505" w:author="AbbVie14" w:date="2025-05-09T10:31:00Z">
        <w:r w:rsidRPr="00295E71">
          <w:rPr>
            <w:iCs/>
            <w:lang w:val="it-IT"/>
          </w:rPr>
          <w:delText>e simulazione farmacocinetica di popolazione basati sulla farmacocinetica cross-indicazione in altri pazienti pediatrici (psoriasi pediatrica, artrite idiopatica giovanile, malattia di Crohn pediatrica e artrite associata ad entesite). Non sono disponibili dati sull’esposizione clinica relativi all’uso di una dose di carico nei bambini di età inferiore ai 6 anni. Le esposizioni previste indicano che in assenza di metotressato una dose di carico potrebbe causare un aumento iniziale dell’esposizione sistemica.</w:delText>
        </w:r>
      </w:del>
    </w:p>
    <w:p w:rsidR="0000495E" w:rsidRPr="00295E71" w14:paraId="01E071AF" w14:textId="77777777">
      <w:pPr>
        <w:pStyle w:val="EMEANormal"/>
        <w:jc w:val="both"/>
        <w:rPr>
          <w:del w:id="5506" w:author="AbbVie14" w:date="2025-05-09T10:31:00Z"/>
          <w:iCs/>
          <w:lang w:val="it-IT"/>
        </w:rPr>
      </w:pPr>
    </w:p>
    <w:p w:rsidR="00530BB6" w:rsidRPr="00295E71" w:rsidP="00530BB6" w14:paraId="1A760418" w14:textId="77777777">
      <w:pPr>
        <w:tabs>
          <w:tab w:val="left" w:pos="567"/>
        </w:tabs>
        <w:autoSpaceDE w:val="0"/>
        <w:autoSpaceDN w:val="0"/>
        <w:adjustRightInd w:val="0"/>
        <w:jc w:val="both"/>
        <w:rPr>
          <w:del w:id="5507" w:author="AbbVie14" w:date="2025-05-09T10:31:00Z"/>
          <w:color w:val="000000"/>
          <w:sz w:val="22"/>
          <w:szCs w:val="22"/>
          <w:u w:val="single"/>
        </w:rPr>
      </w:pPr>
      <w:del w:id="5508" w:author="AbbVie14" w:date="2025-05-09T10:31:00Z">
        <w:r w:rsidRPr="00295E71">
          <w:rPr>
            <w:color w:val="000000"/>
            <w:sz w:val="22"/>
            <w:szCs w:val="22"/>
            <w:u w:val="single"/>
          </w:rPr>
          <w:delText>Rapporto esposizione-risposta nella popolazione pediatrica</w:delText>
        </w:r>
      </w:del>
    </w:p>
    <w:p w:rsidR="00530BB6" w:rsidRPr="00295E71" w:rsidP="00530BB6" w14:paraId="3C87C511" w14:textId="77777777">
      <w:pPr>
        <w:tabs>
          <w:tab w:val="left" w:pos="567"/>
        </w:tabs>
        <w:autoSpaceDE w:val="0"/>
        <w:autoSpaceDN w:val="0"/>
        <w:adjustRightInd w:val="0"/>
        <w:jc w:val="both"/>
        <w:rPr>
          <w:del w:id="5509" w:author="AbbVie14" w:date="2025-05-09T10:31:00Z"/>
          <w:color w:val="000000"/>
          <w:sz w:val="22"/>
          <w:szCs w:val="22"/>
        </w:rPr>
      </w:pPr>
      <w:del w:id="5510" w:author="AbbVie14" w:date="2025-05-09T10:31:00Z">
        <w:r w:rsidRPr="00295E71">
          <w:rPr>
            <w:color w:val="000000"/>
            <w:sz w:val="22"/>
            <w:szCs w:val="22"/>
          </w:rPr>
          <w:delText>Sulla base dei risultati degli studi clinici in pazienti con JIA (pJIA e ERA), è stato stabilito un rapporto esposizione-risposta tra le concentrazioni plasmatiche e la risposta PedACR 50. La concentrazione plasmatica apparente di adalimumab che produce metà della massima probabilità di risposta PedACR 50 (EC50) è stata 3 μg/ml (95% IC: 1-6 μg/ml).</w:delText>
        </w:r>
      </w:del>
    </w:p>
    <w:p w:rsidR="00530BB6" w:rsidRPr="00295E71" w:rsidP="00530BB6" w14:paraId="3F9FFE6F" w14:textId="77777777">
      <w:pPr>
        <w:tabs>
          <w:tab w:val="left" w:pos="567"/>
        </w:tabs>
        <w:autoSpaceDE w:val="0"/>
        <w:autoSpaceDN w:val="0"/>
        <w:adjustRightInd w:val="0"/>
        <w:jc w:val="both"/>
        <w:rPr>
          <w:del w:id="5511" w:author="AbbVie14" w:date="2025-05-09T10:31:00Z"/>
          <w:color w:val="000000"/>
          <w:sz w:val="22"/>
          <w:szCs w:val="22"/>
        </w:rPr>
      </w:pPr>
    </w:p>
    <w:p w:rsidR="0000495E" w:rsidRPr="00295E71" w14:paraId="77F0B952" w14:textId="77777777">
      <w:pPr>
        <w:keepNext/>
        <w:tabs>
          <w:tab w:val="left" w:pos="567"/>
        </w:tabs>
        <w:autoSpaceDE w:val="0"/>
        <w:autoSpaceDN w:val="0"/>
        <w:adjustRightInd w:val="0"/>
        <w:jc w:val="both"/>
        <w:rPr>
          <w:del w:id="5512" w:author="AbbVie14" w:date="2025-05-09T10:31:00Z"/>
          <w:color w:val="000000"/>
          <w:sz w:val="22"/>
          <w:szCs w:val="22"/>
        </w:rPr>
      </w:pPr>
      <w:del w:id="5513" w:author="AbbVie14" w:date="2025-05-09T10:31:00Z">
        <w:r w:rsidRPr="00295E71">
          <w:rPr>
            <w:color w:val="000000"/>
            <w:sz w:val="22"/>
            <w:szCs w:val="22"/>
          </w:rPr>
          <w:delText>I rapporti esposizione-risposta tra la concentrazione di adalimumab e l’efficacia in pazienti pediatrici affetti da psoriasi cronica a placche di grado severo sono stati stabiliti per PASI 75 e PGA corrispondent</w:delText>
        </w:r>
      </w:del>
      <w:del w:id="5514" w:author="AbbVie14" w:date="2025-05-09T10:31:00Z">
        <w:r w:rsidRPr="00295E71" w:rsidR="007845DB">
          <w:rPr>
            <w:color w:val="000000"/>
            <w:sz w:val="22"/>
            <w:szCs w:val="22"/>
          </w:rPr>
          <w:delText>i</w:delText>
        </w:r>
      </w:del>
      <w:del w:id="5515" w:author="AbbVie14" w:date="2025-05-09T10:31:00Z">
        <w:r w:rsidRPr="00295E71">
          <w:rPr>
            <w:color w:val="000000"/>
            <w:sz w:val="22"/>
            <w:szCs w:val="22"/>
          </w:rPr>
          <w:delText xml:space="preserve"> </w:delText>
        </w:r>
      </w:del>
      <w:del w:id="5516" w:author="AbbVie14" w:date="2025-05-09T10:31:00Z">
        <w:r w:rsidRPr="00295E71" w:rsidR="007845DB">
          <w:rPr>
            <w:color w:val="000000"/>
            <w:sz w:val="22"/>
            <w:szCs w:val="22"/>
          </w:rPr>
          <w:delText xml:space="preserve">rispettivamente </w:delText>
        </w:r>
      </w:del>
      <w:del w:id="5517" w:author="AbbVie14" w:date="2025-05-09T10:31:00Z">
        <w:r w:rsidRPr="00295E71">
          <w:rPr>
            <w:color w:val="000000"/>
            <w:sz w:val="22"/>
            <w:szCs w:val="22"/>
          </w:rPr>
          <w:delText>a remissione totale della malattia o a persistenza d</w:delText>
        </w:r>
      </w:del>
      <w:del w:id="5518" w:author="AbbVie14" w:date="2025-05-09T10:31:00Z">
        <w:r w:rsidRPr="00295E71" w:rsidR="007845DB">
          <w:rPr>
            <w:color w:val="000000"/>
            <w:sz w:val="22"/>
            <w:szCs w:val="22"/>
          </w:rPr>
          <w:delText>ella</w:delText>
        </w:r>
      </w:del>
      <w:del w:id="5519" w:author="AbbVie14" w:date="2025-05-09T10:31:00Z">
        <w:r w:rsidRPr="00295E71">
          <w:rPr>
            <w:color w:val="000000"/>
            <w:sz w:val="22"/>
            <w:szCs w:val="22"/>
          </w:rPr>
          <w:delText xml:space="preserve"> malattia minima. PASI</w:delText>
        </w:r>
      </w:del>
      <w:del w:id="5520" w:author="AbbVie14" w:date="2025-05-09T10:31:00Z">
        <w:r w:rsidRPr="00295E71" w:rsidR="007845DB">
          <w:rPr>
            <w:color w:val="000000"/>
            <w:sz w:val="22"/>
            <w:szCs w:val="22"/>
          </w:rPr>
          <w:delText xml:space="preserve"> </w:delText>
        </w:r>
      </w:del>
      <w:del w:id="5521" w:author="AbbVie14" w:date="2025-05-09T10:31:00Z">
        <w:r w:rsidRPr="00295E71">
          <w:rPr>
            <w:color w:val="000000"/>
            <w:sz w:val="22"/>
            <w:szCs w:val="22"/>
          </w:rPr>
          <w:delText>75 e PGA corrispondent</w:delText>
        </w:r>
      </w:del>
      <w:del w:id="5522" w:author="AbbVie14" w:date="2025-05-09T10:31:00Z">
        <w:r w:rsidRPr="00295E71" w:rsidR="007845DB">
          <w:rPr>
            <w:color w:val="000000"/>
            <w:sz w:val="22"/>
            <w:szCs w:val="22"/>
          </w:rPr>
          <w:delText>i</w:delText>
        </w:r>
      </w:del>
      <w:del w:id="5523" w:author="AbbVie14" w:date="2025-05-09T10:31:00Z">
        <w:r w:rsidRPr="00295E71">
          <w:rPr>
            <w:color w:val="000000"/>
            <w:sz w:val="22"/>
            <w:szCs w:val="22"/>
          </w:rPr>
          <w:delText xml:space="preserve"> a remissione totale della malattia o a persistenza di malattia minima sono aumentati all’aumentare delle concentrazioni di adalimumab, entrambi con una simile EC50 apparente di circa 4,5 μg/ml (95% IC 0,4-47,6 e 1,9-10,5, rispettivamente).</w:delText>
        </w:r>
      </w:del>
    </w:p>
    <w:p w:rsidR="006224C2" w:rsidRPr="00295E71" w14:paraId="69026630" w14:textId="77777777">
      <w:pPr>
        <w:keepNext/>
        <w:tabs>
          <w:tab w:val="left" w:pos="567"/>
        </w:tabs>
        <w:autoSpaceDE w:val="0"/>
        <w:autoSpaceDN w:val="0"/>
        <w:adjustRightInd w:val="0"/>
        <w:jc w:val="both"/>
        <w:rPr>
          <w:del w:id="5524" w:author="AbbVie14" w:date="2025-05-09T10:31:00Z"/>
          <w:color w:val="000000"/>
          <w:sz w:val="22"/>
          <w:szCs w:val="22"/>
          <w:u w:val="single"/>
        </w:rPr>
      </w:pPr>
    </w:p>
    <w:p w:rsidR="006224C2" w:rsidRPr="00295E71" w14:paraId="1C1732C1" w14:textId="77777777">
      <w:pPr>
        <w:keepNext/>
        <w:tabs>
          <w:tab w:val="left" w:pos="567"/>
        </w:tabs>
        <w:autoSpaceDE w:val="0"/>
        <w:autoSpaceDN w:val="0"/>
        <w:adjustRightInd w:val="0"/>
        <w:jc w:val="both"/>
        <w:rPr>
          <w:del w:id="5525" w:author="AbbVie14" w:date="2025-05-09T10:31:00Z"/>
          <w:color w:val="000000"/>
          <w:sz w:val="22"/>
          <w:szCs w:val="22"/>
          <w:u w:val="single"/>
        </w:rPr>
      </w:pPr>
      <w:del w:id="5526" w:author="AbbVie14" w:date="2025-05-09T10:31:00Z">
        <w:r w:rsidRPr="00295E71">
          <w:rPr>
            <w:color w:val="000000"/>
            <w:sz w:val="22"/>
            <w:szCs w:val="22"/>
            <w:u w:val="single"/>
          </w:rPr>
          <w:delText xml:space="preserve">Adulti </w:delText>
        </w:r>
      </w:del>
    </w:p>
    <w:p w:rsidR="006224C2" w:rsidRPr="00295E71" w14:paraId="4102DE7F" w14:textId="77777777">
      <w:pPr>
        <w:keepNext/>
        <w:tabs>
          <w:tab w:val="left" w:pos="567"/>
        </w:tabs>
        <w:autoSpaceDE w:val="0"/>
        <w:autoSpaceDN w:val="0"/>
        <w:adjustRightInd w:val="0"/>
        <w:jc w:val="both"/>
        <w:rPr>
          <w:del w:id="5527" w:author="AbbVie14" w:date="2025-05-09T10:31:00Z"/>
          <w:color w:val="000000"/>
          <w:sz w:val="22"/>
          <w:szCs w:val="22"/>
        </w:rPr>
      </w:pPr>
    </w:p>
    <w:p w:rsidR="006224C2" w:rsidRPr="00295E71" w14:paraId="261E7373" w14:textId="77777777">
      <w:pPr>
        <w:keepNext/>
        <w:tabs>
          <w:tab w:val="left" w:pos="567"/>
        </w:tabs>
        <w:autoSpaceDE w:val="0"/>
        <w:autoSpaceDN w:val="0"/>
        <w:adjustRightInd w:val="0"/>
        <w:jc w:val="both"/>
        <w:rPr>
          <w:del w:id="5528" w:author="AbbVie14" w:date="2025-05-09T10:31:00Z"/>
          <w:color w:val="000000"/>
          <w:sz w:val="22"/>
          <w:szCs w:val="22"/>
        </w:rPr>
      </w:pPr>
      <w:del w:id="5529" w:author="AbbVie14" w:date="2025-05-09T10:31:00Z">
        <w:r w:rsidRPr="00295E71">
          <w:rPr>
            <w:color w:val="000000"/>
            <w:sz w:val="22"/>
            <w:szCs w:val="22"/>
          </w:rPr>
          <w:delText>Dopo la somministrazione sottocutanea di una singola dose di 40 mg, l’assorbimento e la distribuzione di adalimumab sono stati lenti, con picchi di concentrazione sierica raggiunti circa 5 giorni dopo la somministrazione. La biodisponibilità media assoluta di adalimumab rilevata nei tre studi dopo una dose sottocutanea unica di 40 mg è stata del 64%.</w:delText>
        </w:r>
      </w:del>
      <w:del w:id="5530" w:author="AbbVie14" w:date="2025-05-09T10:31:00Z">
        <w:r w:rsidRPr="00295E71" w:rsidR="0066449A">
          <w:rPr>
            <w:color w:val="000000"/>
            <w:sz w:val="22"/>
            <w:szCs w:val="22"/>
          </w:rPr>
          <w:delText xml:space="preserve"> </w:delText>
        </w:r>
      </w:del>
      <w:del w:id="5531" w:author="AbbVie14" w:date="2025-05-09T10:31:00Z">
        <w:r w:rsidRPr="00295E71">
          <w:rPr>
            <w:color w:val="000000"/>
            <w:sz w:val="22"/>
            <w:szCs w:val="22"/>
          </w:rPr>
          <w:delText>Dopo dosi endovenose singole da 0,25 a 10 mg/kg, le concentrazioni sono state proporzionali alla dose. Dopo dosi di 0,5 mg/kg (~40 mg), la clearance è variata da 11 a 15 ml/ora, il volume di distribuzione (V</w:delText>
        </w:r>
      </w:del>
      <w:del w:id="5532" w:author="AbbVie14" w:date="2025-05-09T10:31:00Z">
        <w:r w:rsidRPr="00295E71">
          <w:rPr>
            <w:color w:val="000000"/>
            <w:sz w:val="22"/>
            <w:szCs w:val="22"/>
            <w:vertAlign w:val="subscript"/>
          </w:rPr>
          <w:delText>ss</w:delText>
        </w:r>
      </w:del>
      <w:del w:id="5533" w:author="AbbVie14" w:date="2025-05-09T10:31:00Z">
        <w:r w:rsidRPr="00295E71">
          <w:rPr>
            <w:color w:val="000000"/>
            <w:sz w:val="22"/>
            <w:szCs w:val="22"/>
          </w:rPr>
          <w:delText xml:space="preserve">) è variato dai 5 ai 6 litri, e l’emivita media della fase finale è stata di circa due settimane. Le concentrazioni di adalimumab nel liquido sinoviale in diversi pazienti affetti da artrite reumatoide sono </w:delText>
        </w:r>
      </w:del>
      <w:del w:id="5534" w:author="AbbVie14" w:date="2025-05-09T10:31:00Z">
        <w:r w:rsidR="00806926">
          <w:rPr>
            <w:color w:val="000000"/>
            <w:sz w:val="22"/>
            <w:szCs w:val="22"/>
          </w:rPr>
          <w:delText>state</w:delText>
        </w:r>
      </w:del>
      <w:del w:id="5535" w:author="AbbVie14" w:date="2025-05-09T10:31:00Z">
        <w:r w:rsidRPr="00295E71">
          <w:rPr>
            <w:color w:val="000000"/>
            <w:sz w:val="22"/>
            <w:szCs w:val="22"/>
          </w:rPr>
          <w:delText xml:space="preserve"> del 31-96% rispetto a quelle sieriche.</w:delText>
        </w:r>
      </w:del>
    </w:p>
    <w:p w:rsidR="006224C2" w:rsidRPr="00295E71" w14:paraId="793FB6ED" w14:textId="77777777">
      <w:pPr>
        <w:tabs>
          <w:tab w:val="left" w:pos="567"/>
        </w:tabs>
        <w:autoSpaceDE w:val="0"/>
        <w:autoSpaceDN w:val="0"/>
        <w:adjustRightInd w:val="0"/>
        <w:jc w:val="both"/>
        <w:rPr>
          <w:del w:id="5536" w:author="AbbVie14" w:date="2025-05-09T10:31:00Z"/>
          <w:color w:val="000000"/>
          <w:sz w:val="22"/>
          <w:szCs w:val="22"/>
        </w:rPr>
      </w:pPr>
    </w:p>
    <w:p w:rsidR="006224C2" w:rsidRPr="00295E71" w14:paraId="1C598C20" w14:textId="77777777">
      <w:pPr>
        <w:tabs>
          <w:tab w:val="left" w:pos="567"/>
        </w:tabs>
        <w:autoSpaceDE w:val="0"/>
        <w:autoSpaceDN w:val="0"/>
        <w:adjustRightInd w:val="0"/>
        <w:jc w:val="both"/>
        <w:rPr>
          <w:del w:id="5537" w:author="AbbVie14" w:date="2025-05-09T10:31:00Z"/>
          <w:color w:val="000000"/>
          <w:sz w:val="22"/>
          <w:szCs w:val="22"/>
        </w:rPr>
      </w:pPr>
      <w:del w:id="5538" w:author="AbbVie14" w:date="2025-05-09T10:31:00Z">
        <w:r w:rsidRPr="00295E71">
          <w:rPr>
            <w:color w:val="000000"/>
            <w:sz w:val="22"/>
            <w:szCs w:val="22"/>
          </w:rPr>
          <w:delText xml:space="preserve">In seguito a somministrazione sottocutanea di 40 mg di adalimumab ogni due settimane in pazienti adulti con artrite reumatoide (AR) le concentrazioni minime all’equilibrio sono state in media di circa 5 </w:delText>
        </w:r>
      </w:del>
      <w:del w:id="5539" w:author="AbbVie14" w:date="2025-05-09T10:31:00Z">
        <w:r w:rsidRPr="00295E71">
          <w:rPr>
            <w:rFonts w:ascii="Symbol" w:hAnsi="Symbol"/>
            <w:color w:val="000000"/>
            <w:sz w:val="22"/>
            <w:szCs w:val="22"/>
          </w:rPr>
          <w:sym w:font="Symbol" w:char="F06D"/>
        </w:r>
      </w:del>
      <w:del w:id="5540" w:author="AbbVie14" w:date="2025-05-09T10:31:00Z">
        <w:r w:rsidRPr="00295E71">
          <w:rPr>
            <w:color w:val="000000"/>
            <w:sz w:val="22"/>
            <w:szCs w:val="22"/>
          </w:rPr>
          <w:delText xml:space="preserve">g/ml (senza terapia concomitante con metotressato) e 8-9 </w:delText>
        </w:r>
      </w:del>
      <w:del w:id="5541" w:author="AbbVie14" w:date="2025-05-09T10:31:00Z">
        <w:r w:rsidRPr="00295E71">
          <w:rPr>
            <w:rFonts w:ascii="Symbol" w:hAnsi="Symbol"/>
            <w:color w:val="000000"/>
            <w:sz w:val="22"/>
            <w:szCs w:val="22"/>
          </w:rPr>
          <w:sym w:font="Symbol" w:char="F06D"/>
        </w:r>
      </w:del>
      <w:del w:id="5542" w:author="AbbVie14" w:date="2025-05-09T10:31:00Z">
        <w:r w:rsidRPr="00295E71">
          <w:rPr>
            <w:color w:val="000000"/>
            <w:sz w:val="22"/>
            <w:szCs w:val="22"/>
          </w:rPr>
          <w:delText>g/ml (in combinazione con metotressato). I livelli sierici minimi di adalimumab all’equilibrio a seguito di dosaggi sottocutanei da 20, 40 e 80 mg ogni 2 settimane o settimanalmente sono aumentati in maniera pressoché dose-dipendente.</w:delText>
        </w:r>
      </w:del>
    </w:p>
    <w:p w:rsidR="006224C2" w:rsidRPr="00295E71" w14:paraId="32615C00" w14:textId="77777777">
      <w:pPr>
        <w:tabs>
          <w:tab w:val="left" w:pos="567"/>
        </w:tabs>
        <w:autoSpaceDE w:val="0"/>
        <w:autoSpaceDN w:val="0"/>
        <w:adjustRightInd w:val="0"/>
        <w:jc w:val="both"/>
        <w:rPr>
          <w:del w:id="5543" w:author="AbbVie14" w:date="2025-05-09T10:31:00Z"/>
          <w:color w:val="000000"/>
          <w:sz w:val="22"/>
          <w:szCs w:val="22"/>
        </w:rPr>
      </w:pPr>
    </w:p>
    <w:p w:rsidR="006224C2" w:rsidRPr="00295E71" w14:paraId="5C134490" w14:textId="77777777">
      <w:pPr>
        <w:tabs>
          <w:tab w:val="left" w:pos="567"/>
        </w:tabs>
        <w:autoSpaceDE w:val="0"/>
        <w:autoSpaceDN w:val="0"/>
        <w:adjustRightInd w:val="0"/>
        <w:jc w:val="both"/>
        <w:rPr>
          <w:del w:id="5544" w:author="AbbVie14" w:date="2025-05-09T10:31:00Z"/>
          <w:color w:val="000000"/>
          <w:sz w:val="22"/>
          <w:szCs w:val="22"/>
        </w:rPr>
      </w:pPr>
      <w:del w:id="5545" w:author="AbbVie14" w:date="2025-05-09T10:31:00Z">
        <w:r w:rsidRPr="00295E71">
          <w:rPr>
            <w:color w:val="000000"/>
            <w:sz w:val="22"/>
            <w:szCs w:val="22"/>
          </w:rPr>
          <w:delText>Nei pazienti adulti affetti da psoriasi, l</w:delText>
        </w:r>
      </w:del>
      <w:del w:id="5546" w:author="AbbVie14" w:date="2025-05-09T10:31:00Z">
        <w:r w:rsidR="00806926">
          <w:rPr>
            <w:color w:val="000000"/>
            <w:sz w:val="22"/>
            <w:szCs w:val="22"/>
          </w:rPr>
          <w:delText xml:space="preserve">a </w:delText>
        </w:r>
      </w:del>
      <w:del w:id="5547" w:author="AbbVie14" w:date="2025-05-09T10:31:00Z">
        <w:r w:rsidR="00A007C6">
          <w:rPr>
            <w:color w:val="000000"/>
            <w:sz w:val="22"/>
            <w:szCs w:val="22"/>
          </w:rPr>
          <w:delText>m</w:delText>
        </w:r>
      </w:del>
      <w:del w:id="5548" w:author="AbbVie14" w:date="2025-05-09T10:31:00Z">
        <w:r w:rsidR="00806926">
          <w:rPr>
            <w:color w:val="000000"/>
            <w:sz w:val="22"/>
            <w:szCs w:val="22"/>
          </w:rPr>
          <w:delText>edia delle</w:delText>
        </w:r>
      </w:del>
      <w:del w:id="5549" w:author="AbbVie14" w:date="2025-05-09T10:31:00Z">
        <w:r w:rsidRPr="00295E71">
          <w:rPr>
            <w:color w:val="000000"/>
            <w:sz w:val="22"/>
            <w:szCs w:val="22"/>
          </w:rPr>
          <w:delText xml:space="preserve"> concentrazioni </w:delText>
        </w:r>
      </w:del>
      <w:del w:id="5550" w:author="AbbVie14" w:date="2025-05-09T10:31:00Z">
        <w:r w:rsidR="00806926">
          <w:rPr>
            <w:color w:val="000000"/>
            <w:sz w:val="22"/>
            <w:szCs w:val="22"/>
          </w:rPr>
          <w:delText xml:space="preserve">minime </w:delText>
        </w:r>
      </w:del>
      <w:del w:id="5551" w:author="AbbVie14" w:date="2025-05-09T10:31:00Z">
        <w:r w:rsidRPr="00295E71">
          <w:rPr>
            <w:color w:val="000000"/>
            <w:sz w:val="22"/>
            <w:szCs w:val="22"/>
          </w:rPr>
          <w:delText>allo stato stazionario erano di 5 μg/ml durante</w:delText>
        </w:r>
      </w:del>
      <w:del w:id="5552" w:author="AbbVie14" w:date="2025-05-09T10:31:00Z">
        <w:r w:rsidR="00806926">
          <w:rPr>
            <w:color w:val="000000"/>
            <w:sz w:val="22"/>
            <w:szCs w:val="22"/>
          </w:rPr>
          <w:delText xml:space="preserve"> </w:delText>
        </w:r>
      </w:del>
      <w:del w:id="5553" w:author="AbbVie14" w:date="2025-05-09T10:31:00Z">
        <w:r w:rsidRPr="00295E71">
          <w:rPr>
            <w:color w:val="000000"/>
            <w:sz w:val="22"/>
            <w:szCs w:val="22"/>
          </w:rPr>
          <w:delText>il trattamento in monoterapia con adalimumab 40 mg a settimane alterne.</w:delText>
        </w:r>
      </w:del>
    </w:p>
    <w:p w:rsidR="006224C2" w:rsidRPr="00295E71" w14:paraId="6A3A3CF9" w14:textId="77777777">
      <w:pPr>
        <w:tabs>
          <w:tab w:val="left" w:pos="567"/>
        </w:tabs>
        <w:autoSpaceDE w:val="0"/>
        <w:autoSpaceDN w:val="0"/>
        <w:adjustRightInd w:val="0"/>
        <w:jc w:val="both"/>
        <w:rPr>
          <w:del w:id="5554" w:author="AbbVie14" w:date="2025-05-09T10:31:00Z"/>
          <w:color w:val="000000"/>
          <w:sz w:val="22"/>
          <w:szCs w:val="22"/>
        </w:rPr>
      </w:pPr>
    </w:p>
    <w:p w:rsidR="00844789" w:rsidRPr="00295E71" w:rsidP="00844789" w14:paraId="5742158A" w14:textId="77777777">
      <w:pPr>
        <w:tabs>
          <w:tab w:val="left" w:pos="567"/>
        </w:tabs>
        <w:autoSpaceDE w:val="0"/>
        <w:autoSpaceDN w:val="0"/>
        <w:adjustRightInd w:val="0"/>
        <w:jc w:val="both"/>
        <w:rPr>
          <w:del w:id="5555" w:author="AbbVie14" w:date="2025-05-09T10:31:00Z"/>
          <w:color w:val="000000"/>
          <w:sz w:val="22"/>
          <w:szCs w:val="22"/>
        </w:rPr>
      </w:pPr>
      <w:del w:id="5556" w:author="AbbVie14" w:date="2025-05-09T10:31:00Z">
        <w:r w:rsidRPr="00295E71">
          <w:rPr>
            <w:color w:val="000000"/>
            <w:sz w:val="22"/>
            <w:szCs w:val="22"/>
          </w:rPr>
          <w:delText xml:space="preserve">Nei pazienti adulti con idrosadenite suppurativa, una dose pari a 160 mg di Humira alla settimana 0 seguita da 80 mg alla settimana 2 ha ottenuto concentrazioni sieriche minime di adalimumab di circa 7-8 μg/ml alla settimana 2 e alla settimana 4. Le concentrazioni medie </w:delText>
        </w:r>
      </w:del>
      <w:del w:id="5557" w:author="AbbVie14" w:date="2025-05-09T10:31:00Z">
        <w:r w:rsidRPr="00E4793A" w:rsidR="00806926">
          <w:rPr>
            <w:color w:val="000000"/>
            <w:sz w:val="22"/>
            <w:szCs w:val="22"/>
          </w:rPr>
          <w:delText xml:space="preserve">minime </w:delText>
        </w:r>
      </w:del>
      <w:del w:id="5558" w:author="AbbVie14" w:date="2025-05-09T10:31:00Z">
        <w:r w:rsidRPr="00295E71">
          <w:rPr>
            <w:color w:val="000000"/>
            <w:sz w:val="22"/>
            <w:szCs w:val="22"/>
          </w:rPr>
          <w:delText>all’equilibrio alla settimana 12 fino alla settimana 36 erano circa 8-10 μg/ml durante il trattamento con adalimumab 40 mg a settimana.</w:delText>
        </w:r>
      </w:del>
    </w:p>
    <w:p w:rsidR="002F7CF2" w:rsidRPr="00295E71" w14:paraId="1D413D5B" w14:textId="77777777">
      <w:pPr>
        <w:tabs>
          <w:tab w:val="left" w:pos="567"/>
        </w:tabs>
        <w:autoSpaceDE w:val="0"/>
        <w:autoSpaceDN w:val="0"/>
        <w:adjustRightInd w:val="0"/>
        <w:jc w:val="both"/>
        <w:rPr>
          <w:del w:id="5559" w:author="AbbVie14" w:date="2025-05-09T10:31:00Z"/>
          <w:color w:val="000000"/>
          <w:sz w:val="22"/>
          <w:szCs w:val="22"/>
        </w:rPr>
      </w:pPr>
    </w:p>
    <w:p w:rsidR="00BB4870" w:rsidRPr="00295E71" w:rsidP="00BB4870" w14:paraId="6ADB86F3" w14:textId="77777777">
      <w:pPr>
        <w:tabs>
          <w:tab w:val="left" w:pos="567"/>
        </w:tabs>
        <w:autoSpaceDE w:val="0"/>
        <w:autoSpaceDN w:val="0"/>
        <w:adjustRightInd w:val="0"/>
        <w:jc w:val="both"/>
        <w:rPr>
          <w:del w:id="5560" w:author="AbbVie14" w:date="2025-05-09T10:31:00Z"/>
          <w:color w:val="000000"/>
          <w:sz w:val="22"/>
          <w:szCs w:val="22"/>
        </w:rPr>
      </w:pPr>
      <w:del w:id="5561" w:author="AbbVie14" w:date="2025-05-09T10:31:00Z">
        <w:r w:rsidRPr="00295E71">
          <w:rPr>
            <w:color w:val="000000"/>
            <w:sz w:val="22"/>
            <w:szCs w:val="22"/>
          </w:rPr>
          <w:delText xml:space="preserve">Nei pazienti con malattia di Crohn, la dose di carico con 80 mg di Humira alla settimana 0 seguita da 40 mg di Humira alla settimana 2 ha ottenuto concentrazioni sieriche minime di adalimumab di circa 5,5 </w:delText>
        </w:r>
      </w:del>
      <w:del w:id="5562" w:author="AbbVie14" w:date="2025-05-09T10:31:00Z">
        <w:r w:rsidRPr="00295E71">
          <w:delText>μ</w:delText>
        </w:r>
      </w:del>
      <w:del w:id="5563" w:author="AbbVie14" w:date="2025-05-09T10:31:00Z">
        <w:r w:rsidRPr="00295E71">
          <w:rPr>
            <w:color w:val="000000"/>
            <w:sz w:val="22"/>
            <w:szCs w:val="22"/>
          </w:rPr>
          <w:delText xml:space="preserve">g/ml durante il periodo di induzione. Una dose di carico con 160 mg di Humira alla settimana 0 seguita da 80 mg di Humira alla settimana 2 ha ottenuto concentrazioni sieriche minime di adalimumab di circa 12 </w:delText>
        </w:r>
      </w:del>
      <w:del w:id="5564" w:author="AbbVie14" w:date="2025-05-09T10:31:00Z">
        <w:r w:rsidRPr="00295E71">
          <w:delText>μ</w:delText>
        </w:r>
      </w:del>
      <w:del w:id="5565" w:author="AbbVie14" w:date="2025-05-09T10:31:00Z">
        <w:r w:rsidRPr="00295E71">
          <w:rPr>
            <w:color w:val="000000"/>
            <w:sz w:val="22"/>
            <w:szCs w:val="22"/>
          </w:rPr>
          <w:delText xml:space="preserve">g/ml durante il periodo di induzione. Sono stati osservati livelli medi </w:delText>
        </w:r>
      </w:del>
      <w:del w:id="5566" w:author="AbbVie14" w:date="2025-05-09T10:31:00Z">
        <w:r w:rsidRPr="00020442" w:rsidR="00806926">
          <w:rPr>
            <w:color w:val="000000"/>
            <w:sz w:val="22"/>
            <w:szCs w:val="22"/>
          </w:rPr>
          <w:delText xml:space="preserve">minimi </w:delText>
        </w:r>
      </w:del>
      <w:del w:id="5567" w:author="AbbVie14" w:date="2025-05-09T10:31:00Z">
        <w:r w:rsidRPr="00295E71">
          <w:rPr>
            <w:color w:val="000000"/>
            <w:sz w:val="22"/>
            <w:szCs w:val="22"/>
          </w:rPr>
          <w:delText xml:space="preserve">all’equilibrio di circa 7 </w:delText>
        </w:r>
      </w:del>
      <w:del w:id="5568" w:author="AbbVie14" w:date="2025-05-09T10:31:00Z">
        <w:r w:rsidRPr="00295E71">
          <w:delText>μ</w:delText>
        </w:r>
      </w:del>
      <w:del w:id="5569" w:author="AbbVie14" w:date="2025-05-09T10:31:00Z">
        <w:r w:rsidRPr="00295E71">
          <w:rPr>
            <w:color w:val="000000"/>
            <w:sz w:val="22"/>
            <w:szCs w:val="22"/>
          </w:rPr>
          <w:delText>g/ml nei pazienti con malattia di Crohn che hanno ricevuto una dose di mantenimento di 40 mg di Humira ogni due settimane.</w:delText>
        </w:r>
      </w:del>
    </w:p>
    <w:p w:rsidR="00844789" w:rsidRPr="00295E71" w14:paraId="02D50FA4" w14:textId="77777777">
      <w:pPr>
        <w:tabs>
          <w:tab w:val="left" w:pos="567"/>
        </w:tabs>
        <w:autoSpaceDE w:val="0"/>
        <w:autoSpaceDN w:val="0"/>
        <w:adjustRightInd w:val="0"/>
        <w:jc w:val="both"/>
        <w:rPr>
          <w:del w:id="5570" w:author="AbbVie14" w:date="2025-05-09T10:31:00Z"/>
          <w:color w:val="000000"/>
          <w:sz w:val="22"/>
          <w:szCs w:val="22"/>
        </w:rPr>
      </w:pPr>
    </w:p>
    <w:p w:rsidR="007718C5" w:rsidRPr="005E345C" w:rsidP="007718C5" w14:paraId="42C5C7B1" w14:textId="77777777">
      <w:pPr>
        <w:rPr>
          <w:del w:id="5571" w:author="AbbVie14" w:date="2025-05-09T10:31:00Z"/>
          <w:sz w:val="22"/>
          <w:szCs w:val="22"/>
        </w:rPr>
      </w:pPr>
      <w:del w:id="5572" w:author="AbbVie14" w:date="2025-05-09T10:31:00Z">
        <w:r w:rsidRPr="005E345C">
          <w:rPr>
            <w:sz w:val="22"/>
            <w:szCs w:val="22"/>
          </w:rPr>
          <w:delText xml:space="preserve">A seguito della somministrazione sottocutanea di una dose di 0,6 mg/kg (massimo 40 mg) </w:delText>
        </w:r>
      </w:del>
      <w:del w:id="5573" w:author="AbbVie14" w:date="2025-05-09T10:31:00Z">
        <w:r>
          <w:rPr>
            <w:sz w:val="22"/>
            <w:szCs w:val="22"/>
          </w:rPr>
          <w:delText>ogni due</w:delText>
        </w:r>
      </w:del>
      <w:del w:id="5574" w:author="AbbVie14" w:date="2025-05-09T10:31:00Z">
        <w:r w:rsidRPr="005E345C">
          <w:rPr>
            <w:sz w:val="22"/>
            <w:szCs w:val="22"/>
          </w:rPr>
          <w:delText xml:space="preserve"> settimane basata sul peso corporeo</w:delText>
        </w:r>
      </w:del>
      <w:del w:id="5575" w:author="AbbVie14" w:date="2025-05-09T10:31:00Z">
        <w:r w:rsidR="00A55B2B">
          <w:rPr>
            <w:sz w:val="22"/>
            <w:szCs w:val="22"/>
          </w:rPr>
          <w:delText>,</w:delText>
        </w:r>
      </w:del>
      <w:del w:id="5576" w:author="AbbVie14" w:date="2025-05-09T10:31:00Z">
        <w:r w:rsidRPr="005E345C">
          <w:rPr>
            <w:sz w:val="22"/>
            <w:szCs w:val="22"/>
          </w:rPr>
          <w:delText xml:space="preserve"> </w:delText>
        </w:r>
      </w:del>
      <w:del w:id="5577" w:author="AbbVie14" w:date="2025-05-09T10:31:00Z">
        <w:r w:rsidR="00A55B2B">
          <w:rPr>
            <w:sz w:val="22"/>
            <w:szCs w:val="22"/>
          </w:rPr>
          <w:delText>in</w:delText>
        </w:r>
      </w:del>
      <w:del w:id="5578" w:author="AbbVie14" w:date="2025-05-09T10:31:00Z">
        <w:r w:rsidRPr="005E345C">
          <w:rPr>
            <w:sz w:val="22"/>
            <w:szCs w:val="22"/>
          </w:rPr>
          <w:delText xml:space="preserve"> pazienti pediatrici con colite ulcerosa, la concentrazione media </w:delText>
        </w:r>
      </w:del>
      <w:del w:id="5579" w:author="AbbVie14" w:date="2025-05-09T10:31:00Z">
        <w:r w:rsidR="00A55B2B">
          <w:rPr>
            <w:sz w:val="22"/>
            <w:szCs w:val="22"/>
          </w:rPr>
          <w:delText>minima</w:delText>
        </w:r>
      </w:del>
      <w:del w:id="5580" w:author="AbbVie14" w:date="2025-05-09T10:31:00Z">
        <w:r w:rsidRPr="005E345C">
          <w:rPr>
            <w:sz w:val="22"/>
            <w:szCs w:val="22"/>
          </w:rPr>
          <w:delText xml:space="preserve"> di adalimumab sierico all</w:delText>
        </w:r>
      </w:del>
      <w:del w:id="5581" w:author="AbbVie14" w:date="2025-05-09T10:31:00Z">
        <w:r w:rsidR="00A55B2B">
          <w:rPr>
            <w:sz w:val="22"/>
            <w:szCs w:val="22"/>
          </w:rPr>
          <w:delText>’equilibrio</w:delText>
        </w:r>
      </w:del>
      <w:del w:id="5582" w:author="AbbVie14" w:date="2025-05-09T10:31:00Z">
        <w:r w:rsidRPr="005E345C">
          <w:rPr>
            <w:sz w:val="22"/>
            <w:szCs w:val="22"/>
          </w:rPr>
          <w:delText xml:space="preserve"> è stata di 5,01±3,28 µg/ml alla Settimana 52. Per i pazienti che hanno ricevuto 0,6 mg/kg (massimo 40 mg) ogni settimana, la concentrazione media </w:delText>
        </w:r>
      </w:del>
      <w:del w:id="5583" w:author="AbbVie14" w:date="2025-05-09T10:31:00Z">
        <w:r w:rsidR="00A55B2B">
          <w:rPr>
            <w:sz w:val="22"/>
            <w:szCs w:val="22"/>
          </w:rPr>
          <w:delText>minima</w:delText>
        </w:r>
      </w:del>
      <w:del w:id="5584" w:author="AbbVie14" w:date="2025-05-09T10:31:00Z">
        <w:r w:rsidRPr="005E345C">
          <w:rPr>
            <w:sz w:val="22"/>
            <w:szCs w:val="22"/>
          </w:rPr>
          <w:delText xml:space="preserve"> (±DS) di adalimumab sierico all</w:delText>
        </w:r>
      </w:del>
      <w:del w:id="5585" w:author="AbbVie14" w:date="2025-05-09T10:31:00Z">
        <w:r w:rsidR="00A55B2B">
          <w:rPr>
            <w:sz w:val="22"/>
            <w:szCs w:val="22"/>
          </w:rPr>
          <w:delText>’equilibrio</w:delText>
        </w:r>
      </w:del>
      <w:del w:id="5586" w:author="AbbVie14" w:date="2025-05-09T10:31:00Z">
        <w:r w:rsidRPr="005E345C">
          <w:rPr>
            <w:sz w:val="22"/>
            <w:szCs w:val="22"/>
          </w:rPr>
          <w:delText xml:space="preserve"> è stata di 15,7±5,60 μg/ml alla Settimana 52.</w:delText>
        </w:r>
      </w:del>
    </w:p>
    <w:p w:rsidR="007718C5" w:rsidP="00955265" w14:paraId="388AA539" w14:textId="77777777">
      <w:pPr>
        <w:tabs>
          <w:tab w:val="left" w:pos="567"/>
        </w:tabs>
        <w:autoSpaceDE w:val="0"/>
        <w:autoSpaceDN w:val="0"/>
        <w:adjustRightInd w:val="0"/>
        <w:jc w:val="both"/>
        <w:rPr>
          <w:del w:id="5587" w:author="AbbVie14" w:date="2025-05-09T10:31:00Z"/>
          <w:color w:val="000000"/>
          <w:sz w:val="22"/>
          <w:szCs w:val="22"/>
        </w:rPr>
      </w:pPr>
    </w:p>
    <w:p w:rsidR="00955265" w:rsidRPr="00295E71" w:rsidP="00955265" w14:paraId="39F156F8" w14:textId="77777777">
      <w:pPr>
        <w:tabs>
          <w:tab w:val="left" w:pos="567"/>
        </w:tabs>
        <w:autoSpaceDE w:val="0"/>
        <w:autoSpaceDN w:val="0"/>
        <w:adjustRightInd w:val="0"/>
        <w:jc w:val="both"/>
        <w:rPr>
          <w:del w:id="5588" w:author="AbbVie14" w:date="2025-05-09T10:31:00Z"/>
          <w:color w:val="000000"/>
          <w:sz w:val="22"/>
          <w:szCs w:val="22"/>
        </w:rPr>
      </w:pPr>
      <w:del w:id="5589" w:author="AbbVie14" w:date="2025-05-09T10:31:00Z">
        <w:r w:rsidRPr="00295E71">
          <w:rPr>
            <w:color w:val="000000"/>
            <w:sz w:val="22"/>
            <w:szCs w:val="22"/>
          </w:rPr>
          <w:delText xml:space="preserve">Nei pazienti </w:delText>
        </w:r>
      </w:del>
      <w:del w:id="5590" w:author="AbbVie14" w:date="2025-05-09T10:31:00Z">
        <w:r w:rsidRPr="00020442" w:rsidR="00806926">
          <w:rPr>
            <w:color w:val="000000"/>
            <w:sz w:val="22"/>
            <w:szCs w:val="22"/>
          </w:rPr>
          <w:delText xml:space="preserve">adulti </w:delText>
        </w:r>
      </w:del>
      <w:del w:id="5591" w:author="AbbVie14" w:date="2025-05-09T10:31:00Z">
        <w:r w:rsidRPr="00295E71">
          <w:rPr>
            <w:color w:val="000000"/>
            <w:sz w:val="22"/>
            <w:szCs w:val="22"/>
          </w:rPr>
          <w:delText>affetti da uveite, una dose di carico di 80 mg di adalimumab alla settimana 0 seguita da 40 mg di adalimumab a settimane alterne a partire dalla settimana 1 ha determinato concentrazioni medie allo stato stazionario di circa 8-10 </w:delText>
        </w:r>
      </w:del>
      <w:del w:id="5592" w:author="AbbVie14" w:date="2025-05-09T10:31:00Z">
        <w:r w:rsidRPr="00295E71">
          <w:rPr>
            <w:rFonts w:ascii="Symbol" w:hAnsi="Symbol"/>
            <w:color w:val="000000"/>
            <w:sz w:val="22"/>
            <w:szCs w:val="22"/>
          </w:rPr>
          <w:sym w:font="Symbol" w:char="F06D"/>
        </w:r>
      </w:del>
      <w:del w:id="5593" w:author="AbbVie14" w:date="2025-05-09T10:31:00Z">
        <w:r w:rsidRPr="00295E71">
          <w:rPr>
            <w:color w:val="000000"/>
            <w:sz w:val="22"/>
            <w:szCs w:val="22"/>
          </w:rPr>
          <w:delText>g/ml.</w:delText>
        </w:r>
      </w:del>
    </w:p>
    <w:p w:rsidR="00844789" w:rsidRPr="00295E71" w14:paraId="7AA24B12" w14:textId="77777777">
      <w:pPr>
        <w:tabs>
          <w:tab w:val="left" w:pos="567"/>
        </w:tabs>
        <w:autoSpaceDE w:val="0"/>
        <w:autoSpaceDN w:val="0"/>
        <w:adjustRightInd w:val="0"/>
        <w:jc w:val="both"/>
        <w:rPr>
          <w:del w:id="5594" w:author="AbbVie14" w:date="2025-05-09T10:31:00Z"/>
          <w:color w:val="000000"/>
          <w:sz w:val="22"/>
          <w:szCs w:val="22"/>
        </w:rPr>
      </w:pPr>
    </w:p>
    <w:p w:rsidR="004735F6" w:rsidRPr="00295E71" w14:paraId="3F26EFB8" w14:textId="77777777">
      <w:pPr>
        <w:tabs>
          <w:tab w:val="left" w:pos="567"/>
        </w:tabs>
        <w:autoSpaceDE w:val="0"/>
        <w:autoSpaceDN w:val="0"/>
        <w:adjustRightInd w:val="0"/>
        <w:jc w:val="both"/>
        <w:rPr>
          <w:del w:id="5595" w:author="AbbVie14" w:date="2025-05-09T10:31:00Z"/>
          <w:color w:val="000000"/>
          <w:sz w:val="22"/>
          <w:szCs w:val="22"/>
        </w:rPr>
      </w:pPr>
      <w:del w:id="5596" w:author="AbbVie14" w:date="2025-05-09T10:31:00Z">
        <w:r w:rsidRPr="00295E71">
          <w:rPr>
            <w:color w:val="000000"/>
            <w:sz w:val="22"/>
            <w:szCs w:val="22"/>
          </w:rPr>
          <w:delText>Dal modello e dalla simulazione farmacocinetica e farmacocinetica/ farmacodinamica di popolazione è stato previsto che l’esposizione e l'efficacia di adalimumab sono paragonabili in pazienti trattati con 80 mg a settimane alterne e in quelli trattati con 40 mg ogni settimana (compresi i pazienti adulti con AR, HS, CU, MC o Ps, pazienti con HS negli adolescenti e nei pazienti pediatrici ≥ 40 kg con MC</w:delText>
        </w:r>
      </w:del>
      <w:del w:id="5597" w:author="AbbVie14" w:date="2025-05-09T10:31:00Z">
        <w:r w:rsidR="00BE7034">
          <w:rPr>
            <w:color w:val="000000"/>
            <w:sz w:val="22"/>
            <w:szCs w:val="22"/>
          </w:rPr>
          <w:delText xml:space="preserve"> e CU</w:delText>
        </w:r>
      </w:del>
      <w:del w:id="5598" w:author="AbbVie14" w:date="2025-05-09T10:31:00Z">
        <w:r w:rsidRPr="00295E71">
          <w:rPr>
            <w:color w:val="000000"/>
            <w:sz w:val="22"/>
            <w:szCs w:val="22"/>
          </w:rPr>
          <w:delText>).</w:delText>
        </w:r>
      </w:del>
    </w:p>
    <w:p w:rsidR="00955265" w:rsidRPr="00295E71" w14:paraId="53C73B30" w14:textId="77777777">
      <w:pPr>
        <w:tabs>
          <w:tab w:val="left" w:pos="567"/>
        </w:tabs>
        <w:autoSpaceDE w:val="0"/>
        <w:autoSpaceDN w:val="0"/>
        <w:adjustRightInd w:val="0"/>
        <w:jc w:val="both"/>
        <w:rPr>
          <w:del w:id="5599" w:author="AbbVie14" w:date="2025-05-09T10:31:00Z"/>
          <w:color w:val="000000"/>
          <w:sz w:val="22"/>
          <w:szCs w:val="22"/>
        </w:rPr>
      </w:pPr>
    </w:p>
    <w:p w:rsidR="006224C2" w:rsidRPr="00295E71" w14:paraId="1D367602" w14:textId="77777777">
      <w:pPr>
        <w:keepNext/>
        <w:tabs>
          <w:tab w:val="left" w:pos="567"/>
        </w:tabs>
        <w:autoSpaceDE w:val="0"/>
        <w:autoSpaceDN w:val="0"/>
        <w:adjustRightInd w:val="0"/>
        <w:jc w:val="both"/>
        <w:rPr>
          <w:del w:id="5600" w:author="AbbVie14" w:date="2025-05-09T10:31:00Z"/>
          <w:color w:val="000000"/>
          <w:sz w:val="22"/>
          <w:szCs w:val="22"/>
          <w:u w:val="single"/>
        </w:rPr>
      </w:pPr>
      <w:del w:id="5601" w:author="AbbVie14" w:date="2025-05-09T10:31:00Z">
        <w:r w:rsidRPr="00295E71">
          <w:rPr>
            <w:color w:val="000000"/>
            <w:sz w:val="22"/>
            <w:szCs w:val="22"/>
            <w:u w:val="single"/>
          </w:rPr>
          <w:delText>Eliminazione</w:delText>
        </w:r>
      </w:del>
    </w:p>
    <w:p w:rsidR="006224C2" w:rsidRPr="00295E71" w14:paraId="4D59EED6" w14:textId="77777777">
      <w:pPr>
        <w:keepNext/>
        <w:tabs>
          <w:tab w:val="left" w:pos="567"/>
        </w:tabs>
        <w:autoSpaceDE w:val="0"/>
        <w:autoSpaceDN w:val="0"/>
        <w:adjustRightInd w:val="0"/>
        <w:jc w:val="both"/>
        <w:rPr>
          <w:del w:id="5602" w:author="AbbVie14" w:date="2025-05-09T10:31:00Z"/>
          <w:color w:val="000000"/>
          <w:sz w:val="22"/>
          <w:szCs w:val="22"/>
        </w:rPr>
      </w:pPr>
    </w:p>
    <w:p w:rsidR="006224C2" w:rsidRPr="00295E71" w14:paraId="0E2C65DB" w14:textId="77777777">
      <w:pPr>
        <w:keepNext/>
        <w:tabs>
          <w:tab w:val="left" w:pos="567"/>
        </w:tabs>
        <w:autoSpaceDE w:val="0"/>
        <w:autoSpaceDN w:val="0"/>
        <w:adjustRightInd w:val="0"/>
        <w:jc w:val="both"/>
        <w:rPr>
          <w:del w:id="5603" w:author="AbbVie14" w:date="2025-05-09T10:31:00Z"/>
          <w:color w:val="000000"/>
          <w:sz w:val="22"/>
          <w:szCs w:val="22"/>
        </w:rPr>
      </w:pPr>
      <w:del w:id="5604" w:author="AbbVie14" w:date="2025-05-09T10:31:00Z">
        <w:r w:rsidRPr="00295E71">
          <w:rPr>
            <w:color w:val="000000"/>
            <w:sz w:val="22"/>
            <w:szCs w:val="22"/>
          </w:rPr>
          <w:delText>Le analisi farmacocinetiche di popolazione, su un campione di più di 1.300 pazienti con AR, hanno evidenziato una tendenza ad un apparente aumento della clearance di adalimumab con l’aumentare del peso corporeo. Dopo correzione per le differenze di peso corporeo, sesso ed età sono risultati avere un effetto minimo sulla clearance di adalimumab. I livelli sierici di adalimumab libero (non legato agli anticorpi anti-adalimumab – AAA) sono stati più bassi nei pazienti con titoli misurabili di AAA.</w:delText>
        </w:r>
      </w:del>
    </w:p>
    <w:p w:rsidR="006224C2" w:rsidRPr="00295E71" w14:paraId="584C3B6E" w14:textId="77777777">
      <w:pPr>
        <w:keepNext/>
        <w:tabs>
          <w:tab w:val="left" w:pos="567"/>
        </w:tabs>
        <w:autoSpaceDE w:val="0"/>
        <w:autoSpaceDN w:val="0"/>
        <w:adjustRightInd w:val="0"/>
        <w:jc w:val="both"/>
        <w:rPr>
          <w:del w:id="5605" w:author="AbbVie14" w:date="2025-05-09T10:31:00Z"/>
          <w:color w:val="000000"/>
          <w:sz w:val="22"/>
          <w:szCs w:val="22"/>
        </w:rPr>
      </w:pPr>
    </w:p>
    <w:p w:rsidR="006224C2" w:rsidRPr="00295E71" w14:paraId="7F90BFA0" w14:textId="77777777">
      <w:pPr>
        <w:rPr>
          <w:del w:id="5606" w:author="AbbVie14" w:date="2025-05-09T10:31:00Z"/>
          <w:color w:val="000000"/>
          <w:sz w:val="22"/>
          <w:szCs w:val="22"/>
          <w:u w:val="single"/>
        </w:rPr>
      </w:pPr>
      <w:del w:id="5607" w:author="AbbVie14" w:date="2025-05-09T10:31:00Z">
        <w:r w:rsidRPr="00295E71">
          <w:rPr>
            <w:color w:val="000000"/>
            <w:sz w:val="22"/>
            <w:szCs w:val="22"/>
            <w:u w:val="single"/>
          </w:rPr>
          <w:delText>Insufficienza epatica o renale</w:delText>
        </w:r>
      </w:del>
    </w:p>
    <w:p w:rsidR="006224C2" w:rsidRPr="00295E71" w14:paraId="6F146711" w14:textId="77777777">
      <w:pPr>
        <w:tabs>
          <w:tab w:val="left" w:pos="567"/>
        </w:tabs>
        <w:autoSpaceDE w:val="0"/>
        <w:autoSpaceDN w:val="0"/>
        <w:adjustRightInd w:val="0"/>
        <w:jc w:val="both"/>
        <w:rPr>
          <w:del w:id="5608" w:author="AbbVie14" w:date="2025-05-09T10:31:00Z"/>
          <w:color w:val="000000"/>
          <w:sz w:val="22"/>
          <w:szCs w:val="22"/>
        </w:rPr>
      </w:pPr>
    </w:p>
    <w:p w:rsidR="006224C2" w:rsidRPr="00295E71" w14:paraId="7CC2E072" w14:textId="77777777">
      <w:pPr>
        <w:tabs>
          <w:tab w:val="left" w:pos="567"/>
        </w:tabs>
        <w:autoSpaceDE w:val="0"/>
        <w:autoSpaceDN w:val="0"/>
        <w:adjustRightInd w:val="0"/>
        <w:jc w:val="both"/>
        <w:rPr>
          <w:del w:id="5609" w:author="AbbVie14" w:date="2025-05-09T10:31:00Z"/>
          <w:color w:val="000000"/>
          <w:sz w:val="22"/>
          <w:szCs w:val="22"/>
        </w:rPr>
      </w:pPr>
      <w:del w:id="5610" w:author="AbbVie14" w:date="2025-05-09T10:31:00Z">
        <w:r w:rsidRPr="00295E71">
          <w:rPr>
            <w:color w:val="000000"/>
            <w:sz w:val="22"/>
            <w:szCs w:val="22"/>
          </w:rPr>
          <w:delText>Humira non è stato studiato nei pazienti con insufficienza epatica o renale</w:delText>
        </w:r>
      </w:del>
    </w:p>
    <w:p w:rsidR="006224C2" w:rsidRPr="00295E71" w14:paraId="5B297D8F" w14:textId="77777777">
      <w:pPr>
        <w:tabs>
          <w:tab w:val="left" w:pos="567"/>
        </w:tabs>
        <w:autoSpaceDE w:val="0"/>
        <w:autoSpaceDN w:val="0"/>
        <w:adjustRightInd w:val="0"/>
        <w:jc w:val="both"/>
        <w:rPr>
          <w:del w:id="5611" w:author="AbbVie14" w:date="2025-05-09T10:31:00Z"/>
          <w:bCs/>
          <w:sz w:val="22"/>
          <w:szCs w:val="22"/>
        </w:rPr>
      </w:pPr>
    </w:p>
    <w:p w:rsidR="006224C2" w:rsidRPr="00295E71" w:rsidP="00C04163" w14:paraId="61C2B26F" w14:textId="77777777">
      <w:pPr>
        <w:pStyle w:val="IndexHeading"/>
        <w:keepNext/>
        <w:tabs>
          <w:tab w:val="left" w:pos="540"/>
          <w:tab w:val="left" w:pos="2304"/>
          <w:tab w:val="left" w:pos="3024"/>
        </w:tabs>
        <w:autoSpaceDE w:val="0"/>
        <w:autoSpaceDN w:val="0"/>
        <w:adjustRightInd w:val="0"/>
        <w:spacing w:line="240" w:lineRule="auto"/>
        <w:jc w:val="both"/>
        <w:rPr>
          <w:del w:id="5612" w:author="AbbVie14" w:date="2025-05-09T10:31:00Z"/>
          <w:rFonts w:ascii="Times New Roman" w:hAnsi="Times New Roman" w:cs="Times New Roman"/>
          <w:lang w:val="it-IT" w:eastAsia="it-IT"/>
        </w:rPr>
      </w:pPr>
      <w:del w:id="5613" w:author="AbbVie14" w:date="2025-05-09T10:31:00Z">
        <w:r w:rsidRPr="00295E71">
          <w:rPr>
            <w:rFonts w:ascii="Times New Roman" w:hAnsi="Times New Roman" w:cs="Times New Roman"/>
            <w:lang w:val="it-IT" w:eastAsia="it-IT"/>
          </w:rPr>
          <w:delText xml:space="preserve">5.3 </w:delText>
        </w:r>
      </w:del>
      <w:del w:id="5614" w:author="AbbVie14" w:date="2025-05-09T10:31:00Z">
        <w:r w:rsidRPr="00295E71">
          <w:rPr>
            <w:rFonts w:ascii="Times New Roman" w:hAnsi="Times New Roman" w:cs="Times New Roman"/>
            <w:lang w:val="it-IT" w:eastAsia="it-IT"/>
          </w:rPr>
          <w:tab/>
          <w:delText>Dati preclinici di sicurezza</w:delText>
        </w:r>
      </w:del>
    </w:p>
    <w:p w:rsidR="006224C2" w:rsidRPr="00295E71" w:rsidP="00C04163" w14:paraId="05444437" w14:textId="77777777">
      <w:pPr>
        <w:pStyle w:val="EndnoteText"/>
        <w:keepNext/>
        <w:jc w:val="both"/>
        <w:rPr>
          <w:del w:id="5615" w:author="AbbVie14" w:date="2025-05-09T10:31:00Z"/>
          <w:lang w:val="it-IT"/>
        </w:rPr>
      </w:pPr>
    </w:p>
    <w:p w:rsidR="006224C2" w:rsidRPr="00295E71" w14:paraId="26F99712" w14:textId="77777777">
      <w:pPr>
        <w:tabs>
          <w:tab w:val="left" w:pos="567"/>
        </w:tabs>
        <w:autoSpaceDE w:val="0"/>
        <w:autoSpaceDN w:val="0"/>
        <w:adjustRightInd w:val="0"/>
        <w:jc w:val="both"/>
        <w:rPr>
          <w:del w:id="5616" w:author="AbbVie14" w:date="2025-05-09T10:31:00Z"/>
          <w:color w:val="000000"/>
          <w:sz w:val="22"/>
          <w:szCs w:val="22"/>
        </w:rPr>
      </w:pPr>
      <w:del w:id="5617" w:author="AbbVie14" w:date="2025-05-09T10:31:00Z">
        <w:r w:rsidRPr="00295E71">
          <w:rPr>
            <w:color w:val="000000"/>
            <w:sz w:val="22"/>
            <w:szCs w:val="22"/>
          </w:rPr>
          <w:delText>I dati preclinici non rivelano rischi particolari per l’uomo</w:delText>
        </w:r>
      </w:del>
      <w:del w:id="5618" w:author="AbbVie14" w:date="2025-05-09T10:31:00Z">
        <w:r w:rsidRPr="00295E71" w:rsidR="0066449A">
          <w:rPr>
            <w:color w:val="000000"/>
            <w:sz w:val="22"/>
            <w:szCs w:val="22"/>
          </w:rPr>
          <w:delText xml:space="preserve"> </w:delText>
        </w:r>
      </w:del>
      <w:del w:id="5619" w:author="AbbVie14" w:date="2025-05-09T10:31:00Z">
        <w:r w:rsidRPr="00295E71">
          <w:rPr>
            <w:color w:val="000000"/>
            <w:sz w:val="22"/>
            <w:szCs w:val="22"/>
          </w:rPr>
          <w:delText>sulla base di studi di tossicità a dosi singole, tossicità a dosi ripetute e di genotossicità.</w:delText>
        </w:r>
      </w:del>
    </w:p>
    <w:p w:rsidR="006224C2" w:rsidRPr="00295E71" w14:paraId="50256401" w14:textId="77777777">
      <w:pPr>
        <w:tabs>
          <w:tab w:val="left" w:pos="567"/>
        </w:tabs>
        <w:autoSpaceDE w:val="0"/>
        <w:autoSpaceDN w:val="0"/>
        <w:adjustRightInd w:val="0"/>
        <w:jc w:val="both"/>
        <w:rPr>
          <w:del w:id="5620" w:author="AbbVie14" w:date="2025-05-09T10:31:00Z"/>
          <w:color w:val="000000"/>
          <w:sz w:val="22"/>
          <w:szCs w:val="22"/>
        </w:rPr>
      </w:pPr>
    </w:p>
    <w:p w:rsidR="006224C2" w:rsidRPr="00295E71" w14:paraId="457A6BBB" w14:textId="77777777">
      <w:pPr>
        <w:tabs>
          <w:tab w:val="left" w:pos="567"/>
        </w:tabs>
        <w:autoSpaceDE w:val="0"/>
        <w:autoSpaceDN w:val="0"/>
        <w:adjustRightInd w:val="0"/>
        <w:jc w:val="both"/>
        <w:rPr>
          <w:del w:id="5621" w:author="AbbVie14" w:date="2025-05-09T10:31:00Z"/>
          <w:sz w:val="22"/>
          <w:szCs w:val="22"/>
        </w:rPr>
      </w:pPr>
      <w:del w:id="5622" w:author="AbbVie14" w:date="2025-05-09T10:31:00Z">
        <w:r w:rsidRPr="00295E71">
          <w:rPr>
            <w:sz w:val="22"/>
            <w:szCs w:val="22"/>
          </w:rPr>
          <w:delText xml:space="preserve">È stato condotto uno studio sulla tossicità nello sviluppo embrio-fetale/sviluppo perinatale in scimmie cinomologhe con dosaggi di 0, 30 e 100 mg/kg (9-17 scimmie/gruppo); tale studio non ha evidenziato danni fetali provocati da adalimumab. </w:delText>
        </w:r>
      </w:del>
      <w:del w:id="5623" w:author="AbbVie14" w:date="2025-05-09T10:31:00Z">
        <w:r w:rsidRPr="00295E71" w:rsidR="0066449A">
          <w:rPr>
            <w:sz w:val="22"/>
            <w:szCs w:val="22"/>
          </w:rPr>
          <w:delText>Sia l</w:delText>
        </w:r>
      </w:del>
      <w:del w:id="5624" w:author="AbbVie14" w:date="2025-05-09T10:31:00Z">
        <w:r w:rsidRPr="00295E71">
          <w:rPr>
            <w:sz w:val="22"/>
            <w:szCs w:val="22"/>
          </w:rPr>
          <w:delText xml:space="preserve">e prove di cancerogenesi </w:delText>
        </w:r>
      </w:del>
      <w:del w:id="5625" w:author="AbbVie14" w:date="2025-05-09T10:31:00Z">
        <w:r w:rsidRPr="00295E71" w:rsidR="0066449A">
          <w:rPr>
            <w:sz w:val="22"/>
            <w:szCs w:val="22"/>
          </w:rPr>
          <w:delText>ch</w:delText>
        </w:r>
      </w:del>
      <w:del w:id="5626" w:author="AbbVie14" w:date="2025-05-09T10:31:00Z">
        <w:r w:rsidRPr="00295E71">
          <w:rPr>
            <w:sz w:val="22"/>
            <w:szCs w:val="22"/>
          </w:rPr>
          <w:delText xml:space="preserve">e le valutazioni standard sulla fertilità e sulla tossicità postnatale non sono state condotte </w:delText>
        </w:r>
      </w:del>
      <w:del w:id="5627" w:author="AbbVie14" w:date="2025-05-09T10:31:00Z">
        <w:r w:rsidRPr="00020442" w:rsidR="00806926">
          <w:rPr>
            <w:sz w:val="22"/>
            <w:szCs w:val="22"/>
          </w:rPr>
          <w:delText xml:space="preserve">con adalimumab </w:delText>
        </w:r>
      </w:del>
      <w:del w:id="5628" w:author="AbbVie14" w:date="2025-05-09T10:31:00Z">
        <w:r w:rsidRPr="00295E71">
          <w:rPr>
            <w:sz w:val="22"/>
            <w:szCs w:val="22"/>
          </w:rPr>
          <w:delText>a causa di mancanza di modelli appropriati per un anticorpo con limitata reattività crociata per il TNF nei roditori e lo sviluppo di anticorpi neutralizzanti nei roditori.</w:delText>
        </w:r>
      </w:del>
    </w:p>
    <w:p w:rsidR="006224C2" w:rsidRPr="00295E71" w14:paraId="0483B7F5" w14:textId="77777777">
      <w:pPr>
        <w:tabs>
          <w:tab w:val="left" w:pos="567"/>
        </w:tabs>
        <w:autoSpaceDE w:val="0"/>
        <w:autoSpaceDN w:val="0"/>
        <w:adjustRightInd w:val="0"/>
        <w:jc w:val="both"/>
        <w:rPr>
          <w:del w:id="5629" w:author="AbbVie14" w:date="2025-05-09T10:31:00Z"/>
          <w:sz w:val="22"/>
          <w:szCs w:val="22"/>
        </w:rPr>
      </w:pPr>
    </w:p>
    <w:p w:rsidR="006224C2" w:rsidRPr="00295E71" w14:paraId="4C34EF5F" w14:textId="77777777">
      <w:pPr>
        <w:tabs>
          <w:tab w:val="left" w:pos="567"/>
        </w:tabs>
        <w:autoSpaceDE w:val="0"/>
        <w:autoSpaceDN w:val="0"/>
        <w:adjustRightInd w:val="0"/>
        <w:jc w:val="both"/>
        <w:rPr>
          <w:del w:id="5630" w:author="AbbVie14" w:date="2025-05-09T10:31:00Z"/>
          <w:sz w:val="22"/>
          <w:szCs w:val="22"/>
        </w:rPr>
      </w:pPr>
    </w:p>
    <w:p w:rsidR="006224C2" w:rsidRPr="00295E71" w14:paraId="25CFE049" w14:textId="77777777">
      <w:pPr>
        <w:keepNext/>
        <w:rPr>
          <w:del w:id="5631" w:author="AbbVie14" w:date="2025-05-09T10:31:00Z"/>
          <w:b/>
          <w:bCs/>
          <w:sz w:val="22"/>
          <w:szCs w:val="22"/>
        </w:rPr>
      </w:pPr>
      <w:del w:id="5632" w:author="AbbVie14" w:date="2025-05-09T10:31:00Z">
        <w:r w:rsidRPr="00295E71">
          <w:rPr>
            <w:b/>
            <w:bCs/>
            <w:sz w:val="22"/>
            <w:szCs w:val="22"/>
          </w:rPr>
          <w:delText>6.</w:delText>
        </w:r>
      </w:del>
      <w:del w:id="5633" w:author="AbbVie14" w:date="2025-05-09T10:31:00Z">
        <w:r w:rsidRPr="00295E71">
          <w:rPr>
            <w:b/>
            <w:bCs/>
            <w:sz w:val="22"/>
            <w:szCs w:val="22"/>
          </w:rPr>
          <w:tab/>
          <w:delText>INFORMAZIONI FARMACEUTICHE</w:delText>
        </w:r>
      </w:del>
    </w:p>
    <w:p w:rsidR="006224C2" w:rsidRPr="00295E71" w14:paraId="32DC2304" w14:textId="77777777">
      <w:pPr>
        <w:keepNext/>
        <w:tabs>
          <w:tab w:val="left" w:pos="567"/>
        </w:tabs>
        <w:jc w:val="both"/>
        <w:rPr>
          <w:del w:id="5634" w:author="AbbVie14" w:date="2025-05-09T10:31:00Z"/>
          <w:b/>
          <w:bCs/>
          <w:sz w:val="22"/>
          <w:szCs w:val="22"/>
        </w:rPr>
      </w:pPr>
    </w:p>
    <w:p w:rsidR="006224C2" w:rsidRPr="00295E71" w14:paraId="423829C5" w14:textId="77777777">
      <w:pPr>
        <w:keepNext/>
        <w:tabs>
          <w:tab w:val="left" w:pos="567"/>
        </w:tabs>
        <w:jc w:val="both"/>
        <w:rPr>
          <w:del w:id="5635" w:author="AbbVie14" w:date="2025-05-09T10:31:00Z"/>
          <w:b/>
          <w:bCs/>
          <w:sz w:val="22"/>
          <w:szCs w:val="22"/>
        </w:rPr>
      </w:pPr>
      <w:del w:id="5636" w:author="AbbVie14" w:date="2025-05-09T10:31:00Z">
        <w:r w:rsidRPr="00295E71">
          <w:rPr>
            <w:b/>
            <w:bCs/>
            <w:sz w:val="22"/>
            <w:szCs w:val="22"/>
          </w:rPr>
          <w:delText>6.1</w:delText>
        </w:r>
      </w:del>
      <w:del w:id="5637" w:author="AbbVie14" w:date="2025-05-09T10:31:00Z">
        <w:r w:rsidRPr="00295E71">
          <w:rPr>
            <w:b/>
            <w:bCs/>
            <w:sz w:val="22"/>
            <w:szCs w:val="22"/>
          </w:rPr>
          <w:tab/>
          <w:delText>Elenco degli eccipienti</w:delText>
        </w:r>
      </w:del>
    </w:p>
    <w:p w:rsidR="006224C2" w:rsidRPr="00295E71" w14:paraId="7FA731D2" w14:textId="77777777">
      <w:pPr>
        <w:keepNext/>
        <w:tabs>
          <w:tab w:val="left" w:pos="567"/>
        </w:tabs>
        <w:autoSpaceDE w:val="0"/>
        <w:autoSpaceDN w:val="0"/>
        <w:adjustRightInd w:val="0"/>
        <w:jc w:val="both"/>
        <w:rPr>
          <w:del w:id="5638" w:author="AbbVie14" w:date="2025-05-09T10:31:00Z"/>
          <w:sz w:val="22"/>
          <w:szCs w:val="22"/>
        </w:rPr>
      </w:pPr>
    </w:p>
    <w:p w:rsidR="006224C2" w:rsidRPr="00295E71" w14:paraId="4C2F3B87" w14:textId="77777777">
      <w:pPr>
        <w:tabs>
          <w:tab w:val="left" w:pos="567"/>
        </w:tabs>
        <w:autoSpaceDE w:val="0"/>
        <w:autoSpaceDN w:val="0"/>
        <w:adjustRightInd w:val="0"/>
        <w:ind w:left="567" w:hanging="567"/>
        <w:jc w:val="both"/>
        <w:rPr>
          <w:del w:id="5639" w:author="AbbVie14" w:date="2025-05-09T10:31:00Z"/>
          <w:sz w:val="22"/>
          <w:szCs w:val="22"/>
        </w:rPr>
      </w:pPr>
      <w:del w:id="5640" w:author="AbbVie14" w:date="2025-05-09T10:31:00Z">
        <w:r w:rsidRPr="00295E71">
          <w:rPr>
            <w:sz w:val="22"/>
            <w:szCs w:val="22"/>
          </w:rPr>
          <w:delText>Mannitolo</w:delText>
        </w:r>
      </w:del>
    </w:p>
    <w:p w:rsidR="006224C2" w:rsidRPr="00295E71" w14:paraId="4B0B75CC" w14:textId="77777777">
      <w:pPr>
        <w:tabs>
          <w:tab w:val="left" w:pos="567"/>
        </w:tabs>
        <w:autoSpaceDE w:val="0"/>
        <w:autoSpaceDN w:val="0"/>
        <w:adjustRightInd w:val="0"/>
        <w:ind w:left="567" w:hanging="567"/>
        <w:jc w:val="both"/>
        <w:rPr>
          <w:del w:id="5641" w:author="AbbVie14" w:date="2025-05-09T10:31:00Z"/>
          <w:sz w:val="22"/>
          <w:szCs w:val="22"/>
        </w:rPr>
      </w:pPr>
      <w:del w:id="5642" w:author="AbbVie14" w:date="2025-05-09T10:31:00Z">
        <w:r w:rsidRPr="00295E71">
          <w:rPr>
            <w:sz w:val="22"/>
            <w:szCs w:val="22"/>
          </w:rPr>
          <w:delText>Acido citrico monoidrato</w:delText>
        </w:r>
      </w:del>
    </w:p>
    <w:p w:rsidR="006224C2" w:rsidRPr="00295E71" w14:paraId="11B2DF17" w14:textId="77777777">
      <w:pPr>
        <w:tabs>
          <w:tab w:val="left" w:pos="567"/>
        </w:tabs>
        <w:autoSpaceDE w:val="0"/>
        <w:autoSpaceDN w:val="0"/>
        <w:adjustRightInd w:val="0"/>
        <w:ind w:left="567" w:hanging="567"/>
        <w:jc w:val="both"/>
        <w:rPr>
          <w:del w:id="5643" w:author="AbbVie14" w:date="2025-05-09T10:31:00Z"/>
          <w:sz w:val="22"/>
          <w:szCs w:val="22"/>
        </w:rPr>
      </w:pPr>
      <w:del w:id="5644" w:author="AbbVie14" w:date="2025-05-09T10:31:00Z">
        <w:r w:rsidRPr="00295E71">
          <w:rPr>
            <w:sz w:val="22"/>
            <w:szCs w:val="22"/>
          </w:rPr>
          <w:delText>Sodio citrato</w:delText>
        </w:r>
      </w:del>
    </w:p>
    <w:p w:rsidR="006224C2" w:rsidRPr="00295E71" w14:paraId="16252FE1" w14:textId="77777777">
      <w:pPr>
        <w:tabs>
          <w:tab w:val="left" w:pos="567"/>
        </w:tabs>
        <w:autoSpaceDE w:val="0"/>
        <w:autoSpaceDN w:val="0"/>
        <w:adjustRightInd w:val="0"/>
        <w:ind w:left="567" w:hanging="567"/>
        <w:jc w:val="both"/>
        <w:rPr>
          <w:del w:id="5645" w:author="AbbVie14" w:date="2025-05-09T10:31:00Z"/>
          <w:sz w:val="22"/>
          <w:szCs w:val="22"/>
        </w:rPr>
      </w:pPr>
      <w:del w:id="5646" w:author="AbbVie14" w:date="2025-05-09T10:31:00Z">
        <w:r w:rsidRPr="00295E71">
          <w:rPr>
            <w:sz w:val="22"/>
            <w:szCs w:val="22"/>
          </w:rPr>
          <w:delText>Sodio fosfato monobasico diidrato</w:delText>
        </w:r>
      </w:del>
    </w:p>
    <w:p w:rsidR="006224C2" w:rsidRPr="00295E71" w14:paraId="2BAA78E5" w14:textId="77777777">
      <w:pPr>
        <w:tabs>
          <w:tab w:val="left" w:pos="567"/>
        </w:tabs>
        <w:autoSpaceDE w:val="0"/>
        <w:autoSpaceDN w:val="0"/>
        <w:adjustRightInd w:val="0"/>
        <w:ind w:left="567" w:hanging="567"/>
        <w:jc w:val="both"/>
        <w:rPr>
          <w:del w:id="5647" w:author="AbbVie14" w:date="2025-05-09T10:31:00Z"/>
          <w:sz w:val="22"/>
          <w:szCs w:val="22"/>
        </w:rPr>
      </w:pPr>
      <w:del w:id="5648" w:author="AbbVie14" w:date="2025-05-09T10:31:00Z">
        <w:r w:rsidRPr="00295E71">
          <w:rPr>
            <w:sz w:val="22"/>
            <w:szCs w:val="22"/>
          </w:rPr>
          <w:delText>Sodio fosfato dibasico diidrato</w:delText>
        </w:r>
      </w:del>
    </w:p>
    <w:p w:rsidR="006224C2" w:rsidRPr="00295E71" w14:paraId="45ECBED6" w14:textId="77777777">
      <w:pPr>
        <w:tabs>
          <w:tab w:val="left" w:pos="567"/>
        </w:tabs>
        <w:autoSpaceDE w:val="0"/>
        <w:autoSpaceDN w:val="0"/>
        <w:adjustRightInd w:val="0"/>
        <w:ind w:left="567" w:hanging="567"/>
        <w:jc w:val="both"/>
        <w:rPr>
          <w:del w:id="5649" w:author="AbbVie14" w:date="2025-05-09T10:31:00Z"/>
          <w:sz w:val="22"/>
          <w:szCs w:val="22"/>
        </w:rPr>
      </w:pPr>
      <w:del w:id="5650" w:author="AbbVie14" w:date="2025-05-09T10:31:00Z">
        <w:r w:rsidRPr="00295E71">
          <w:rPr>
            <w:sz w:val="22"/>
            <w:szCs w:val="22"/>
          </w:rPr>
          <w:delText>Sodio cloruro</w:delText>
        </w:r>
      </w:del>
    </w:p>
    <w:p w:rsidR="006224C2" w:rsidRPr="00295E71" w14:paraId="2661E2D2" w14:textId="77777777">
      <w:pPr>
        <w:tabs>
          <w:tab w:val="left" w:pos="567"/>
        </w:tabs>
        <w:autoSpaceDE w:val="0"/>
        <w:autoSpaceDN w:val="0"/>
        <w:adjustRightInd w:val="0"/>
        <w:ind w:left="567" w:hanging="567"/>
        <w:jc w:val="both"/>
        <w:rPr>
          <w:del w:id="5651" w:author="AbbVie14" w:date="2025-05-09T10:31:00Z"/>
          <w:sz w:val="22"/>
          <w:szCs w:val="22"/>
        </w:rPr>
      </w:pPr>
      <w:del w:id="5652" w:author="AbbVie14" w:date="2025-05-09T10:31:00Z">
        <w:r w:rsidRPr="00295E71">
          <w:rPr>
            <w:sz w:val="22"/>
            <w:szCs w:val="22"/>
          </w:rPr>
          <w:delText>Polisorbato 80</w:delText>
        </w:r>
      </w:del>
    </w:p>
    <w:p w:rsidR="006224C2" w:rsidRPr="00295E71" w14:paraId="14476C48" w14:textId="77777777">
      <w:pPr>
        <w:tabs>
          <w:tab w:val="left" w:pos="567"/>
        </w:tabs>
        <w:autoSpaceDE w:val="0"/>
        <w:autoSpaceDN w:val="0"/>
        <w:adjustRightInd w:val="0"/>
        <w:ind w:left="567" w:hanging="567"/>
        <w:jc w:val="both"/>
        <w:rPr>
          <w:del w:id="5653" w:author="AbbVie14" w:date="2025-05-09T10:31:00Z"/>
          <w:sz w:val="22"/>
          <w:szCs w:val="22"/>
        </w:rPr>
      </w:pPr>
      <w:del w:id="5654" w:author="AbbVie14" w:date="2025-05-09T10:31:00Z">
        <w:r w:rsidRPr="00295E71">
          <w:rPr>
            <w:sz w:val="22"/>
            <w:szCs w:val="22"/>
          </w:rPr>
          <w:delText xml:space="preserve">Sodio idrossido </w:delText>
        </w:r>
      </w:del>
    </w:p>
    <w:p w:rsidR="006224C2" w:rsidRPr="00295E71" w14:paraId="1311BF68" w14:textId="77777777">
      <w:pPr>
        <w:tabs>
          <w:tab w:val="left" w:pos="567"/>
        </w:tabs>
        <w:autoSpaceDE w:val="0"/>
        <w:autoSpaceDN w:val="0"/>
        <w:adjustRightInd w:val="0"/>
        <w:ind w:left="567" w:hanging="567"/>
        <w:jc w:val="both"/>
        <w:rPr>
          <w:del w:id="5655" w:author="AbbVie14" w:date="2025-05-09T10:31:00Z"/>
          <w:sz w:val="22"/>
          <w:szCs w:val="22"/>
        </w:rPr>
      </w:pPr>
      <w:del w:id="5656" w:author="AbbVie14" w:date="2025-05-09T10:31:00Z">
        <w:r w:rsidRPr="00295E71">
          <w:rPr>
            <w:sz w:val="22"/>
            <w:szCs w:val="22"/>
          </w:rPr>
          <w:delText>Acqua per preparazioni iniettabili.</w:delText>
        </w:r>
      </w:del>
    </w:p>
    <w:p w:rsidR="006224C2" w:rsidRPr="00295E71" w14:paraId="2AE8A391" w14:textId="77777777">
      <w:pPr>
        <w:tabs>
          <w:tab w:val="left" w:pos="567"/>
        </w:tabs>
        <w:ind w:right="-2"/>
        <w:jc w:val="both"/>
        <w:rPr>
          <w:del w:id="5657" w:author="AbbVie14" w:date="2025-05-09T10:31:00Z"/>
          <w:sz w:val="22"/>
          <w:szCs w:val="22"/>
        </w:rPr>
      </w:pPr>
    </w:p>
    <w:p w:rsidR="006224C2" w:rsidRPr="00295E71" w14:paraId="39D7C0A7" w14:textId="77777777">
      <w:pPr>
        <w:tabs>
          <w:tab w:val="left" w:pos="567"/>
        </w:tabs>
        <w:ind w:left="567" w:hanging="567"/>
        <w:jc w:val="both"/>
        <w:rPr>
          <w:del w:id="5658" w:author="AbbVie14" w:date="2025-05-09T10:31:00Z"/>
          <w:b/>
          <w:bCs/>
          <w:sz w:val="22"/>
          <w:szCs w:val="22"/>
        </w:rPr>
      </w:pPr>
      <w:del w:id="5659" w:author="AbbVie14" w:date="2025-05-09T10:31:00Z">
        <w:r w:rsidRPr="00295E71">
          <w:rPr>
            <w:b/>
            <w:bCs/>
            <w:sz w:val="22"/>
            <w:szCs w:val="22"/>
          </w:rPr>
          <w:delText>6.2</w:delText>
        </w:r>
      </w:del>
      <w:del w:id="5660" w:author="AbbVie14" w:date="2025-05-09T10:31:00Z">
        <w:r w:rsidRPr="00295E71">
          <w:rPr>
            <w:b/>
            <w:bCs/>
            <w:sz w:val="22"/>
            <w:szCs w:val="22"/>
          </w:rPr>
          <w:tab/>
          <w:delText>Incompatibilità</w:delText>
        </w:r>
      </w:del>
    </w:p>
    <w:p w:rsidR="006224C2" w:rsidRPr="00295E71" w14:paraId="25068B61" w14:textId="77777777">
      <w:pPr>
        <w:tabs>
          <w:tab w:val="left" w:pos="567"/>
        </w:tabs>
        <w:jc w:val="both"/>
        <w:rPr>
          <w:del w:id="5661" w:author="AbbVie14" w:date="2025-05-09T10:31:00Z"/>
          <w:sz w:val="22"/>
          <w:szCs w:val="22"/>
        </w:rPr>
      </w:pPr>
    </w:p>
    <w:p w:rsidR="006224C2" w:rsidRPr="00295E71" w14:paraId="071DD15F" w14:textId="77777777">
      <w:pPr>
        <w:pStyle w:val="BodyText"/>
        <w:tabs>
          <w:tab w:val="left" w:pos="567"/>
        </w:tabs>
        <w:rPr>
          <w:del w:id="5662" w:author="AbbVie14" w:date="2025-05-09T10:31:00Z"/>
        </w:rPr>
      </w:pPr>
      <w:del w:id="5663" w:author="AbbVie14" w:date="2025-05-09T10:31:00Z">
        <w:r w:rsidRPr="00295E71">
          <w:delText>In assenza di studi di compatibilità, questo medicinale non deve essere miscelato con altri medicinali.</w:delText>
        </w:r>
      </w:del>
    </w:p>
    <w:p w:rsidR="006224C2" w:rsidRPr="00295E71" w14:paraId="1DF5E7C8" w14:textId="77777777">
      <w:pPr>
        <w:tabs>
          <w:tab w:val="left" w:pos="567"/>
        </w:tabs>
        <w:jc w:val="both"/>
        <w:rPr>
          <w:del w:id="5664" w:author="AbbVie14" w:date="2025-05-09T10:31:00Z"/>
          <w:sz w:val="22"/>
          <w:szCs w:val="22"/>
        </w:rPr>
      </w:pPr>
    </w:p>
    <w:p w:rsidR="006224C2" w:rsidRPr="00295E71" w14:paraId="7DC994F5" w14:textId="77777777">
      <w:pPr>
        <w:tabs>
          <w:tab w:val="left" w:pos="567"/>
        </w:tabs>
        <w:ind w:left="567" w:hanging="567"/>
        <w:jc w:val="both"/>
        <w:rPr>
          <w:del w:id="5665" w:author="AbbVie14" w:date="2025-05-09T10:31:00Z"/>
          <w:b/>
          <w:bCs/>
          <w:sz w:val="22"/>
          <w:szCs w:val="22"/>
        </w:rPr>
      </w:pPr>
      <w:del w:id="5666" w:author="AbbVie14" w:date="2025-05-09T10:31:00Z">
        <w:r w:rsidRPr="00295E71">
          <w:rPr>
            <w:b/>
            <w:bCs/>
            <w:sz w:val="22"/>
            <w:szCs w:val="22"/>
          </w:rPr>
          <w:delText>6.3</w:delText>
        </w:r>
      </w:del>
      <w:del w:id="5667" w:author="AbbVie14" w:date="2025-05-09T10:31:00Z">
        <w:r w:rsidRPr="00295E71">
          <w:rPr>
            <w:b/>
            <w:bCs/>
            <w:sz w:val="22"/>
            <w:szCs w:val="22"/>
          </w:rPr>
          <w:tab/>
          <w:delText>Periodo di validità</w:delText>
        </w:r>
      </w:del>
    </w:p>
    <w:p w:rsidR="006224C2" w:rsidRPr="00295E71" w14:paraId="396468C6" w14:textId="77777777">
      <w:pPr>
        <w:tabs>
          <w:tab w:val="left" w:pos="567"/>
        </w:tabs>
        <w:jc w:val="both"/>
        <w:rPr>
          <w:del w:id="5668" w:author="AbbVie14" w:date="2025-05-09T10:31:00Z"/>
          <w:sz w:val="22"/>
          <w:szCs w:val="22"/>
        </w:rPr>
      </w:pPr>
    </w:p>
    <w:p w:rsidR="006224C2" w:rsidRPr="00295E71" w14:paraId="5C1451D0" w14:textId="77777777">
      <w:pPr>
        <w:tabs>
          <w:tab w:val="left" w:pos="567"/>
        </w:tabs>
        <w:jc w:val="both"/>
        <w:rPr>
          <w:del w:id="5669" w:author="AbbVie14" w:date="2025-05-09T10:31:00Z"/>
          <w:sz w:val="22"/>
          <w:szCs w:val="22"/>
        </w:rPr>
      </w:pPr>
      <w:del w:id="5670" w:author="AbbVie14" w:date="2025-05-09T10:31:00Z">
        <w:r w:rsidRPr="00295E71">
          <w:rPr>
            <w:sz w:val="22"/>
            <w:szCs w:val="22"/>
          </w:rPr>
          <w:delText>2 anni</w:delText>
        </w:r>
      </w:del>
    </w:p>
    <w:p w:rsidR="006224C2" w:rsidRPr="00295E71" w14:paraId="12938942" w14:textId="77777777">
      <w:pPr>
        <w:tabs>
          <w:tab w:val="left" w:pos="567"/>
        </w:tabs>
        <w:jc w:val="both"/>
        <w:rPr>
          <w:del w:id="5671" w:author="AbbVie14" w:date="2025-05-09T10:31:00Z"/>
          <w:sz w:val="22"/>
          <w:szCs w:val="22"/>
        </w:rPr>
      </w:pPr>
    </w:p>
    <w:p w:rsidR="006224C2" w:rsidRPr="00295E71" w:rsidP="00F57FE5" w14:paraId="410563A5" w14:textId="77777777">
      <w:pPr>
        <w:keepNext/>
        <w:keepLines/>
        <w:tabs>
          <w:tab w:val="left" w:pos="567"/>
        </w:tabs>
        <w:jc w:val="both"/>
        <w:rPr>
          <w:del w:id="5672" w:author="AbbVie14" w:date="2025-05-09T10:31:00Z"/>
          <w:b/>
          <w:bCs/>
          <w:sz w:val="22"/>
          <w:szCs w:val="22"/>
        </w:rPr>
      </w:pPr>
      <w:del w:id="5673" w:author="AbbVie14" w:date="2025-05-09T10:31:00Z">
        <w:r w:rsidRPr="00295E71">
          <w:rPr>
            <w:b/>
            <w:bCs/>
            <w:sz w:val="22"/>
            <w:szCs w:val="22"/>
          </w:rPr>
          <w:delText>6.4</w:delText>
        </w:r>
      </w:del>
      <w:del w:id="5674" w:author="AbbVie14" w:date="2025-05-09T10:31:00Z">
        <w:r w:rsidRPr="00295E71">
          <w:rPr>
            <w:b/>
            <w:bCs/>
            <w:sz w:val="22"/>
            <w:szCs w:val="22"/>
          </w:rPr>
          <w:tab/>
          <w:delText>Precauzioni particolari per la conservazione</w:delText>
        </w:r>
      </w:del>
    </w:p>
    <w:p w:rsidR="006224C2" w:rsidRPr="00295E71" w:rsidP="00F57FE5" w14:paraId="06CC9367" w14:textId="77777777">
      <w:pPr>
        <w:keepNext/>
        <w:keepLines/>
        <w:tabs>
          <w:tab w:val="left" w:pos="567"/>
        </w:tabs>
        <w:jc w:val="both"/>
        <w:rPr>
          <w:del w:id="5675" w:author="AbbVie14" w:date="2025-05-09T10:31:00Z"/>
          <w:sz w:val="22"/>
          <w:szCs w:val="22"/>
        </w:rPr>
      </w:pPr>
    </w:p>
    <w:p w:rsidR="006224C2" w:rsidRPr="00295E71" w:rsidP="00F57FE5" w14:paraId="713F7D74" w14:textId="77777777">
      <w:pPr>
        <w:keepNext/>
        <w:keepLines/>
        <w:tabs>
          <w:tab w:val="left" w:pos="567"/>
        </w:tabs>
        <w:jc w:val="both"/>
        <w:rPr>
          <w:del w:id="5676" w:author="AbbVie14" w:date="2025-05-09T10:31:00Z"/>
          <w:sz w:val="22"/>
          <w:szCs w:val="22"/>
        </w:rPr>
      </w:pPr>
      <w:del w:id="5677" w:author="AbbVie14" w:date="2025-05-09T10:31:00Z">
        <w:r w:rsidRPr="00295E71">
          <w:rPr>
            <w:sz w:val="22"/>
            <w:szCs w:val="22"/>
          </w:rPr>
          <w:delText>Conservare in frigorifero (2</w:delText>
        </w:r>
      </w:del>
      <w:del w:id="5678" w:author="AbbVie14" w:date="2025-05-09T10:31:00Z">
        <w:r w:rsidRPr="00295E71">
          <w:rPr>
            <w:rFonts w:ascii="Symbol" w:hAnsi="Symbol"/>
            <w:sz w:val="22"/>
            <w:szCs w:val="22"/>
          </w:rPr>
          <w:sym w:font="Symbol" w:char="F0B0"/>
        </w:r>
      </w:del>
      <w:del w:id="5679" w:author="AbbVie14" w:date="2025-05-09T10:31:00Z">
        <w:r w:rsidRPr="00295E71">
          <w:rPr>
            <w:sz w:val="22"/>
            <w:szCs w:val="22"/>
          </w:rPr>
          <w:delText>C – 8</w:delText>
        </w:r>
      </w:del>
      <w:del w:id="5680" w:author="AbbVie14" w:date="2025-05-09T10:31:00Z">
        <w:r w:rsidRPr="00295E71">
          <w:rPr>
            <w:rFonts w:ascii="Symbol" w:hAnsi="Symbol"/>
            <w:sz w:val="22"/>
            <w:szCs w:val="22"/>
          </w:rPr>
          <w:sym w:font="Symbol" w:char="F0B0"/>
        </w:r>
      </w:del>
      <w:del w:id="5681" w:author="AbbVie14" w:date="2025-05-09T10:31:00Z">
        <w:r w:rsidRPr="00295E71">
          <w:rPr>
            <w:sz w:val="22"/>
            <w:szCs w:val="22"/>
          </w:rPr>
          <w:delText xml:space="preserve">C). Non congelare. </w:delText>
        </w:r>
      </w:del>
      <w:del w:id="5682" w:author="AbbVie14" w:date="2025-05-09T10:31:00Z">
        <w:r w:rsidRPr="00295E71" w:rsidR="001013A9">
          <w:rPr>
            <w:sz w:val="22"/>
            <w:szCs w:val="22"/>
          </w:rPr>
          <w:delText xml:space="preserve">Tenere </w:delText>
        </w:r>
      </w:del>
      <w:del w:id="5683" w:author="AbbVie14" w:date="2025-05-09T10:31:00Z">
        <w:r w:rsidRPr="00295E71">
          <w:rPr>
            <w:sz w:val="22"/>
            <w:szCs w:val="22"/>
          </w:rPr>
          <w:delText xml:space="preserve">il flaconcino </w:delText>
        </w:r>
      </w:del>
      <w:del w:id="5684" w:author="AbbVie14" w:date="2025-05-09T10:31:00Z">
        <w:r w:rsidRPr="00295E71" w:rsidR="001013A9">
          <w:rPr>
            <w:sz w:val="22"/>
            <w:szCs w:val="22"/>
          </w:rPr>
          <w:delText>nell’imballaggio esterno</w:delText>
        </w:r>
      </w:del>
      <w:del w:id="5685" w:author="AbbVie14" w:date="2025-05-09T10:31:00Z">
        <w:r w:rsidRPr="00295E71">
          <w:rPr>
            <w:sz w:val="22"/>
            <w:szCs w:val="22"/>
          </w:rPr>
          <w:delText xml:space="preserve"> per proteggere il medicinale dalla luce.</w:delText>
        </w:r>
      </w:del>
    </w:p>
    <w:p w:rsidR="006224C2" w:rsidRPr="00295E71" w14:paraId="2BBCBD55" w14:textId="77777777">
      <w:pPr>
        <w:tabs>
          <w:tab w:val="left" w:pos="567"/>
        </w:tabs>
        <w:jc w:val="both"/>
        <w:rPr>
          <w:del w:id="5686" w:author="AbbVie14" w:date="2025-05-09T10:31:00Z"/>
          <w:sz w:val="22"/>
          <w:szCs w:val="22"/>
        </w:rPr>
      </w:pPr>
    </w:p>
    <w:p w:rsidR="006224C2" w:rsidRPr="00295E71" w14:paraId="02B838D4" w14:textId="77777777">
      <w:pPr>
        <w:keepNext/>
        <w:tabs>
          <w:tab w:val="left" w:pos="567"/>
        </w:tabs>
        <w:jc w:val="both"/>
        <w:rPr>
          <w:del w:id="5687" w:author="AbbVie14" w:date="2025-05-09T10:31:00Z"/>
          <w:b/>
          <w:bCs/>
          <w:sz w:val="22"/>
          <w:szCs w:val="22"/>
        </w:rPr>
      </w:pPr>
      <w:del w:id="5688" w:author="AbbVie14" w:date="2025-05-09T10:31:00Z">
        <w:r w:rsidRPr="00295E71">
          <w:rPr>
            <w:b/>
            <w:bCs/>
            <w:sz w:val="22"/>
            <w:szCs w:val="22"/>
          </w:rPr>
          <w:delText>6.5</w:delText>
        </w:r>
      </w:del>
      <w:del w:id="5689" w:author="AbbVie14" w:date="2025-05-09T10:31:00Z">
        <w:r w:rsidRPr="00295E71">
          <w:rPr>
            <w:b/>
            <w:bCs/>
            <w:sz w:val="22"/>
            <w:szCs w:val="22"/>
          </w:rPr>
          <w:tab/>
          <w:delText>Natura e contenuto del contenitore</w:delText>
        </w:r>
      </w:del>
    </w:p>
    <w:p w:rsidR="006224C2" w:rsidRPr="00295E71" w14:paraId="7068D369" w14:textId="77777777">
      <w:pPr>
        <w:keepNext/>
        <w:tabs>
          <w:tab w:val="left" w:pos="567"/>
        </w:tabs>
        <w:jc w:val="both"/>
        <w:rPr>
          <w:del w:id="5690" w:author="AbbVie14" w:date="2025-05-09T10:31:00Z"/>
          <w:sz w:val="22"/>
          <w:szCs w:val="22"/>
        </w:rPr>
      </w:pPr>
    </w:p>
    <w:p w:rsidR="006224C2" w:rsidRPr="00295E71" w14:paraId="00835E68" w14:textId="77777777">
      <w:pPr>
        <w:keepNext/>
        <w:tabs>
          <w:tab w:val="left" w:pos="567"/>
        </w:tabs>
        <w:jc w:val="both"/>
        <w:rPr>
          <w:del w:id="5691" w:author="AbbVie14" w:date="2025-05-09T10:31:00Z"/>
          <w:sz w:val="22"/>
          <w:szCs w:val="22"/>
        </w:rPr>
      </w:pPr>
      <w:del w:id="5692" w:author="AbbVie14" w:date="2025-05-09T10:31:00Z">
        <w:r w:rsidRPr="00295E71">
          <w:rPr>
            <w:sz w:val="22"/>
            <w:szCs w:val="22"/>
          </w:rPr>
          <w:delText>Humira 40 mg soluzione iniettabile è contenuto in flaconcino monouso (vetro tipo I), chiuso da tappi di gomma, ricoperti da uno strato di alluminio e chiusura flip-off.</w:delText>
        </w:r>
      </w:del>
    </w:p>
    <w:p w:rsidR="006224C2" w:rsidRPr="00295E71" w14:paraId="4AC97E8B" w14:textId="77777777">
      <w:pPr>
        <w:keepNext/>
        <w:tabs>
          <w:tab w:val="left" w:pos="567"/>
        </w:tabs>
        <w:jc w:val="both"/>
        <w:rPr>
          <w:del w:id="5693" w:author="AbbVie14" w:date="2025-05-09T10:31:00Z"/>
          <w:sz w:val="22"/>
          <w:szCs w:val="22"/>
        </w:rPr>
      </w:pPr>
    </w:p>
    <w:p w:rsidR="006224C2" w:rsidRPr="00295E71" w14:paraId="2F086E45" w14:textId="77777777">
      <w:pPr>
        <w:keepNext/>
        <w:tabs>
          <w:tab w:val="left" w:pos="567"/>
        </w:tabs>
        <w:jc w:val="both"/>
        <w:rPr>
          <w:del w:id="5694" w:author="AbbVie14" w:date="2025-05-09T10:31:00Z"/>
          <w:sz w:val="22"/>
          <w:szCs w:val="22"/>
        </w:rPr>
      </w:pPr>
      <w:del w:id="5695" w:author="AbbVie14" w:date="2025-05-09T10:31:00Z">
        <w:r w:rsidRPr="00295E71">
          <w:rPr>
            <w:sz w:val="22"/>
            <w:szCs w:val="22"/>
          </w:rPr>
          <w:delText>1 confezione</w:delText>
        </w:r>
      </w:del>
      <w:del w:id="5696" w:author="AbbVie14" w:date="2025-05-09T10:31:00Z">
        <w:r w:rsidRPr="00295E71" w:rsidR="00432E9A">
          <w:rPr>
            <w:sz w:val="22"/>
            <w:szCs w:val="22"/>
          </w:rPr>
          <w:delText xml:space="preserve"> </w:delText>
        </w:r>
      </w:del>
      <w:del w:id="5697" w:author="AbbVie14" w:date="2025-05-09T10:31:00Z">
        <w:r w:rsidRPr="00295E71">
          <w:rPr>
            <w:sz w:val="22"/>
            <w:szCs w:val="22"/>
          </w:rPr>
          <w:delText>da 2 astucci ciascuno contenente:</w:delText>
        </w:r>
      </w:del>
    </w:p>
    <w:p w:rsidR="006224C2" w:rsidRPr="00295E71" w14:paraId="717B0EDA" w14:textId="77777777">
      <w:pPr>
        <w:tabs>
          <w:tab w:val="left" w:pos="567"/>
        </w:tabs>
        <w:jc w:val="both"/>
        <w:rPr>
          <w:del w:id="5698" w:author="AbbVie14" w:date="2025-05-09T10:31:00Z"/>
          <w:sz w:val="22"/>
          <w:szCs w:val="22"/>
        </w:rPr>
      </w:pPr>
      <w:del w:id="5699" w:author="AbbVie14" w:date="2025-05-09T10:31:00Z">
        <w:r w:rsidRPr="00295E71">
          <w:rPr>
            <w:sz w:val="22"/>
            <w:szCs w:val="22"/>
          </w:rPr>
          <w:delText>1 flaconcino (0,8 ml di soluzione sterile), 1 siringa sterile vuota, 1 ago, 1 adattatore per il flaconcino e 2 tamponi imbevuti di alcool.</w:delText>
        </w:r>
      </w:del>
    </w:p>
    <w:p w:rsidR="006224C2" w:rsidRPr="00295E71" w14:paraId="18F5AD78" w14:textId="77777777">
      <w:pPr>
        <w:tabs>
          <w:tab w:val="left" w:pos="567"/>
        </w:tabs>
        <w:jc w:val="both"/>
        <w:rPr>
          <w:del w:id="5700" w:author="AbbVie14" w:date="2025-05-09T10:31:00Z"/>
          <w:sz w:val="22"/>
          <w:szCs w:val="22"/>
        </w:rPr>
      </w:pPr>
    </w:p>
    <w:p w:rsidR="006224C2" w:rsidRPr="00295E71" w14:paraId="240C9A34" w14:textId="77777777">
      <w:pPr>
        <w:tabs>
          <w:tab w:val="left" w:pos="567"/>
        </w:tabs>
        <w:ind w:left="567" w:hanging="567"/>
        <w:jc w:val="both"/>
        <w:rPr>
          <w:del w:id="5701" w:author="AbbVie14" w:date="2025-05-09T10:31:00Z"/>
          <w:b/>
          <w:bCs/>
          <w:sz w:val="22"/>
          <w:szCs w:val="22"/>
        </w:rPr>
      </w:pPr>
      <w:del w:id="5702" w:author="AbbVie14" w:date="2025-05-09T10:31:00Z">
        <w:r w:rsidRPr="00295E71">
          <w:rPr>
            <w:b/>
            <w:bCs/>
            <w:sz w:val="22"/>
            <w:szCs w:val="22"/>
          </w:rPr>
          <w:delText>6.6</w:delText>
        </w:r>
      </w:del>
      <w:del w:id="5703" w:author="AbbVie14" w:date="2025-05-09T10:31:00Z">
        <w:r w:rsidRPr="00295E71">
          <w:rPr>
            <w:b/>
            <w:bCs/>
            <w:sz w:val="22"/>
            <w:szCs w:val="22"/>
          </w:rPr>
          <w:tab/>
          <w:delText>Precauzioni particolari per lo smaltimento</w:delText>
        </w:r>
      </w:del>
    </w:p>
    <w:p w:rsidR="006224C2" w:rsidRPr="00295E71" w14:paraId="12848CEB" w14:textId="77777777">
      <w:pPr>
        <w:tabs>
          <w:tab w:val="left" w:pos="567"/>
        </w:tabs>
        <w:jc w:val="both"/>
        <w:rPr>
          <w:del w:id="5704" w:author="AbbVie14" w:date="2025-05-09T10:31:00Z"/>
          <w:sz w:val="22"/>
          <w:szCs w:val="22"/>
        </w:rPr>
      </w:pPr>
    </w:p>
    <w:p w:rsidR="006224C2" w:rsidRPr="00295E71" w14:paraId="021EC68D" w14:textId="77777777">
      <w:pPr>
        <w:tabs>
          <w:tab w:val="left" w:pos="567"/>
        </w:tabs>
        <w:jc w:val="both"/>
        <w:rPr>
          <w:del w:id="5705" w:author="AbbVie14" w:date="2025-05-09T10:31:00Z"/>
          <w:sz w:val="22"/>
          <w:szCs w:val="22"/>
        </w:rPr>
      </w:pPr>
      <w:del w:id="5706" w:author="AbbVie14" w:date="2025-05-09T10:31:00Z">
        <w:r w:rsidRPr="00295E71">
          <w:rPr>
            <w:sz w:val="22"/>
            <w:szCs w:val="22"/>
          </w:rPr>
          <w:delText>Il medicinale</w:delText>
        </w:r>
      </w:del>
      <w:del w:id="5707" w:author="AbbVie14" w:date="2025-05-09T10:31:00Z">
        <w:r w:rsidRPr="00295E71" w:rsidR="007700E5">
          <w:rPr>
            <w:sz w:val="22"/>
            <w:szCs w:val="22"/>
          </w:rPr>
          <w:delText xml:space="preserve"> </w:delText>
        </w:r>
      </w:del>
      <w:del w:id="5708" w:author="AbbVie14" w:date="2025-05-09T10:31:00Z">
        <w:r w:rsidRPr="00295E71">
          <w:rPr>
            <w:sz w:val="22"/>
            <w:szCs w:val="22"/>
          </w:rPr>
          <w:delText>non utilizzato e i rifiuti derivati da tale medicinale devono essere smaltiti in conformità alla normativa locale vigente.</w:delText>
        </w:r>
      </w:del>
    </w:p>
    <w:p w:rsidR="006224C2" w:rsidRPr="00295E71" w14:paraId="71B3C505" w14:textId="77777777">
      <w:pPr>
        <w:tabs>
          <w:tab w:val="left" w:pos="567"/>
        </w:tabs>
        <w:jc w:val="both"/>
        <w:rPr>
          <w:del w:id="5709" w:author="AbbVie14" w:date="2025-05-09T10:31:00Z"/>
          <w:sz w:val="22"/>
          <w:szCs w:val="22"/>
        </w:rPr>
      </w:pPr>
    </w:p>
    <w:p w:rsidR="006224C2" w:rsidRPr="00295E71" w14:paraId="189A3AB2" w14:textId="77777777">
      <w:pPr>
        <w:rPr>
          <w:del w:id="5710" w:author="AbbVie14" w:date="2025-05-09T10:31:00Z"/>
          <w:bCs/>
          <w:sz w:val="22"/>
          <w:szCs w:val="22"/>
        </w:rPr>
      </w:pPr>
    </w:p>
    <w:p w:rsidR="006224C2" w:rsidRPr="00295E71" w14:paraId="6FCA7C07" w14:textId="77777777">
      <w:pPr>
        <w:tabs>
          <w:tab w:val="left" w:pos="567"/>
        </w:tabs>
        <w:ind w:left="567" w:hanging="567"/>
        <w:jc w:val="both"/>
        <w:rPr>
          <w:del w:id="5711" w:author="AbbVie14" w:date="2025-05-09T10:31:00Z"/>
          <w:b/>
          <w:bCs/>
          <w:sz w:val="22"/>
          <w:szCs w:val="22"/>
        </w:rPr>
      </w:pPr>
      <w:del w:id="5712" w:author="AbbVie14" w:date="2025-05-09T10:31:00Z">
        <w:r w:rsidRPr="00295E71">
          <w:rPr>
            <w:b/>
            <w:bCs/>
            <w:sz w:val="22"/>
            <w:szCs w:val="22"/>
          </w:rPr>
          <w:delText>7.</w:delText>
        </w:r>
      </w:del>
      <w:del w:id="5713" w:author="AbbVie14" w:date="2025-05-09T10:31:00Z">
        <w:r w:rsidRPr="00295E71">
          <w:rPr>
            <w:b/>
            <w:bCs/>
            <w:sz w:val="22"/>
            <w:szCs w:val="22"/>
          </w:rPr>
          <w:tab/>
          <w:delText>TITOLARE DELL’AUTORIZZAZIONE ALL’IMMISSIONE IN COMMERCIO</w:delText>
        </w:r>
      </w:del>
    </w:p>
    <w:p w:rsidR="006224C2" w:rsidRPr="00295E71" w14:paraId="46050FAE" w14:textId="77777777">
      <w:pPr>
        <w:tabs>
          <w:tab w:val="left" w:pos="567"/>
        </w:tabs>
        <w:jc w:val="both"/>
        <w:rPr>
          <w:del w:id="5714" w:author="AbbVie14" w:date="2025-05-09T10:31:00Z"/>
          <w:sz w:val="22"/>
          <w:szCs w:val="22"/>
        </w:rPr>
      </w:pPr>
    </w:p>
    <w:p w:rsidR="000C6748" w:rsidRPr="00295E71" w:rsidP="000C6748" w14:paraId="4B3758DB" w14:textId="77777777">
      <w:pPr>
        <w:tabs>
          <w:tab w:val="left" w:pos="567"/>
        </w:tabs>
        <w:jc w:val="both"/>
        <w:rPr>
          <w:del w:id="5715" w:author="AbbVie14" w:date="2025-05-09T10:31:00Z"/>
          <w:sz w:val="22"/>
          <w:szCs w:val="22"/>
        </w:rPr>
      </w:pPr>
      <w:del w:id="5716" w:author="AbbVie14" w:date="2025-05-09T10:31:00Z">
        <w:r w:rsidRPr="00295E71">
          <w:rPr>
            <w:sz w:val="22"/>
            <w:szCs w:val="22"/>
          </w:rPr>
          <w:delText>AbbVie Deutschland GmbH &amp; Co. KG</w:delText>
        </w:r>
      </w:del>
    </w:p>
    <w:p w:rsidR="000C6748" w:rsidRPr="00295E71" w:rsidP="000C6748" w14:paraId="2558B0D0" w14:textId="77777777">
      <w:pPr>
        <w:tabs>
          <w:tab w:val="left" w:pos="567"/>
        </w:tabs>
        <w:jc w:val="both"/>
        <w:rPr>
          <w:del w:id="5717" w:author="AbbVie14" w:date="2025-05-09T10:31:00Z"/>
          <w:sz w:val="22"/>
          <w:szCs w:val="22"/>
        </w:rPr>
      </w:pPr>
      <w:del w:id="5718" w:author="AbbVie14" w:date="2025-05-09T10:31:00Z">
        <w:r w:rsidRPr="00295E71">
          <w:rPr>
            <w:sz w:val="22"/>
            <w:szCs w:val="22"/>
          </w:rPr>
          <w:delText>Knollstrasse</w:delText>
        </w:r>
      </w:del>
    </w:p>
    <w:p w:rsidR="000C6748" w:rsidRPr="00295E71" w:rsidP="000C6748" w14:paraId="5683DA93" w14:textId="77777777">
      <w:pPr>
        <w:tabs>
          <w:tab w:val="left" w:pos="567"/>
        </w:tabs>
        <w:jc w:val="both"/>
        <w:rPr>
          <w:del w:id="5719" w:author="AbbVie14" w:date="2025-05-09T10:31:00Z"/>
          <w:sz w:val="22"/>
          <w:szCs w:val="22"/>
        </w:rPr>
      </w:pPr>
      <w:del w:id="5720" w:author="AbbVie14" w:date="2025-05-09T10:31:00Z">
        <w:r w:rsidRPr="00295E71">
          <w:rPr>
            <w:sz w:val="22"/>
            <w:szCs w:val="22"/>
          </w:rPr>
          <w:delText>67061 Ludwigshafen</w:delText>
        </w:r>
      </w:del>
    </w:p>
    <w:p w:rsidR="006224C2" w:rsidRPr="00295E71" w:rsidP="000C6748" w14:paraId="1B653064" w14:textId="77777777">
      <w:pPr>
        <w:tabs>
          <w:tab w:val="left" w:pos="567"/>
        </w:tabs>
        <w:jc w:val="both"/>
        <w:rPr>
          <w:del w:id="5721" w:author="AbbVie14" w:date="2025-05-09T10:31:00Z"/>
          <w:sz w:val="22"/>
          <w:szCs w:val="22"/>
        </w:rPr>
      </w:pPr>
      <w:del w:id="5722" w:author="AbbVie14" w:date="2025-05-09T10:31:00Z">
        <w:r w:rsidRPr="00295E71">
          <w:rPr>
            <w:sz w:val="22"/>
            <w:szCs w:val="22"/>
          </w:rPr>
          <w:delText>Germania</w:delText>
        </w:r>
      </w:del>
    </w:p>
    <w:p w:rsidR="006224C2" w:rsidRPr="00295E71" w14:paraId="13FE30E4" w14:textId="77777777">
      <w:pPr>
        <w:tabs>
          <w:tab w:val="left" w:pos="567"/>
        </w:tabs>
        <w:jc w:val="both"/>
        <w:rPr>
          <w:del w:id="5723" w:author="AbbVie14" w:date="2025-05-09T10:31:00Z"/>
          <w:sz w:val="22"/>
          <w:szCs w:val="22"/>
        </w:rPr>
      </w:pPr>
    </w:p>
    <w:p w:rsidR="00A3209A" w:rsidRPr="00295E71" w14:paraId="19A65606" w14:textId="77777777">
      <w:pPr>
        <w:tabs>
          <w:tab w:val="left" w:pos="567"/>
        </w:tabs>
        <w:jc w:val="both"/>
        <w:rPr>
          <w:del w:id="5724" w:author="AbbVie14" w:date="2025-05-09T10:31:00Z"/>
          <w:sz w:val="22"/>
          <w:szCs w:val="22"/>
        </w:rPr>
      </w:pPr>
    </w:p>
    <w:p w:rsidR="006224C2" w:rsidRPr="00295E71" w14:paraId="1D3EEAB1" w14:textId="77777777">
      <w:pPr>
        <w:tabs>
          <w:tab w:val="left" w:pos="567"/>
        </w:tabs>
        <w:jc w:val="both"/>
        <w:rPr>
          <w:del w:id="5725" w:author="AbbVie14" w:date="2025-05-09T10:31:00Z"/>
          <w:b/>
          <w:bCs/>
          <w:sz w:val="22"/>
          <w:szCs w:val="22"/>
        </w:rPr>
      </w:pPr>
      <w:del w:id="5726" w:author="AbbVie14" w:date="2025-05-09T10:31:00Z">
        <w:r w:rsidRPr="00295E71">
          <w:rPr>
            <w:b/>
            <w:bCs/>
            <w:sz w:val="22"/>
            <w:szCs w:val="22"/>
          </w:rPr>
          <w:delText>8.</w:delText>
        </w:r>
      </w:del>
      <w:del w:id="5727" w:author="AbbVie14" w:date="2025-05-09T10:31:00Z">
        <w:r w:rsidRPr="00295E71">
          <w:rPr>
            <w:b/>
            <w:bCs/>
            <w:sz w:val="22"/>
            <w:szCs w:val="22"/>
          </w:rPr>
          <w:tab/>
          <w:delText>NUMERO</w:delText>
        </w:r>
      </w:del>
      <w:del w:id="5728" w:author="AbbVie14" w:date="2025-05-09T10:31:00Z">
        <w:r w:rsidR="00806926">
          <w:rPr>
            <w:b/>
            <w:bCs/>
            <w:sz w:val="22"/>
            <w:szCs w:val="22"/>
          </w:rPr>
          <w:delText>(I)</w:delText>
        </w:r>
      </w:del>
      <w:del w:id="5729" w:author="AbbVie14" w:date="2025-05-09T10:31:00Z">
        <w:r w:rsidRPr="00295E71">
          <w:rPr>
            <w:b/>
            <w:bCs/>
            <w:sz w:val="22"/>
            <w:szCs w:val="22"/>
          </w:rPr>
          <w:delText xml:space="preserve"> DELL’AUTORIZZAZIONE ALL’IMMISSIONE IN COMMERCIO</w:delText>
        </w:r>
      </w:del>
    </w:p>
    <w:p w:rsidR="006224C2" w:rsidRPr="00295E71" w14:paraId="11BE38DC" w14:textId="77777777">
      <w:pPr>
        <w:tabs>
          <w:tab w:val="left" w:pos="567"/>
        </w:tabs>
        <w:jc w:val="both"/>
        <w:rPr>
          <w:del w:id="5730" w:author="AbbVie14" w:date="2025-05-09T10:31:00Z"/>
          <w:bCs/>
          <w:sz w:val="22"/>
          <w:szCs w:val="22"/>
        </w:rPr>
      </w:pPr>
    </w:p>
    <w:p w:rsidR="006224C2" w:rsidRPr="00295E71" w14:paraId="4997F802" w14:textId="77777777">
      <w:pPr>
        <w:tabs>
          <w:tab w:val="left" w:pos="567"/>
        </w:tabs>
        <w:jc w:val="both"/>
        <w:rPr>
          <w:del w:id="5731" w:author="AbbVie14" w:date="2025-05-09T10:31:00Z"/>
          <w:sz w:val="22"/>
          <w:szCs w:val="22"/>
        </w:rPr>
      </w:pPr>
      <w:del w:id="5732" w:author="AbbVie14" w:date="2025-05-09T10:31:00Z">
        <w:r w:rsidRPr="00295E71">
          <w:rPr>
            <w:sz w:val="22"/>
            <w:szCs w:val="22"/>
          </w:rPr>
          <w:delText>EU/1/03/256/001</w:delText>
        </w:r>
      </w:del>
    </w:p>
    <w:p w:rsidR="006224C2" w:rsidRPr="00295E71" w14:paraId="66124562" w14:textId="77777777">
      <w:pPr>
        <w:tabs>
          <w:tab w:val="left" w:pos="567"/>
        </w:tabs>
        <w:jc w:val="both"/>
        <w:rPr>
          <w:del w:id="5733" w:author="AbbVie14" w:date="2025-05-09T10:31:00Z"/>
          <w:sz w:val="22"/>
          <w:szCs w:val="22"/>
        </w:rPr>
      </w:pPr>
    </w:p>
    <w:p w:rsidR="006224C2" w:rsidRPr="00295E71" w14:paraId="65FCA694" w14:textId="77777777">
      <w:pPr>
        <w:tabs>
          <w:tab w:val="left" w:pos="567"/>
        </w:tabs>
        <w:jc w:val="both"/>
        <w:rPr>
          <w:del w:id="5734" w:author="AbbVie14" w:date="2025-05-09T10:31:00Z"/>
          <w:sz w:val="22"/>
          <w:szCs w:val="22"/>
        </w:rPr>
      </w:pPr>
    </w:p>
    <w:p w:rsidR="006224C2" w:rsidRPr="00295E71" w14:paraId="288F5DC6" w14:textId="77777777">
      <w:pPr>
        <w:keepNext/>
        <w:tabs>
          <w:tab w:val="left" w:pos="567"/>
        </w:tabs>
        <w:ind w:left="567" w:hanging="567"/>
        <w:jc w:val="both"/>
        <w:rPr>
          <w:del w:id="5735" w:author="AbbVie14" w:date="2025-05-09T10:31:00Z"/>
          <w:b/>
          <w:bCs/>
          <w:sz w:val="22"/>
          <w:szCs w:val="22"/>
        </w:rPr>
      </w:pPr>
      <w:del w:id="5736" w:author="AbbVie14" w:date="2025-05-09T10:31:00Z">
        <w:r w:rsidRPr="00295E71">
          <w:rPr>
            <w:b/>
            <w:bCs/>
            <w:sz w:val="22"/>
            <w:szCs w:val="22"/>
          </w:rPr>
          <w:delText>9.</w:delText>
        </w:r>
      </w:del>
      <w:del w:id="5737" w:author="AbbVie14" w:date="2025-05-09T10:31:00Z">
        <w:r w:rsidRPr="00295E71">
          <w:rPr>
            <w:b/>
            <w:bCs/>
            <w:sz w:val="22"/>
            <w:szCs w:val="22"/>
          </w:rPr>
          <w:tab/>
          <w:delText>DATA DELLA PRIMA AUTORIZZAZIONE/RINNOVO DELL’AUTORIZZAZIONE</w:delText>
        </w:r>
      </w:del>
    </w:p>
    <w:p w:rsidR="006224C2" w:rsidRPr="00295E71" w14:paraId="1F0D3EE3" w14:textId="77777777">
      <w:pPr>
        <w:keepNext/>
        <w:tabs>
          <w:tab w:val="left" w:pos="567"/>
        </w:tabs>
        <w:jc w:val="both"/>
        <w:rPr>
          <w:del w:id="5738" w:author="AbbVie14" w:date="2025-05-09T10:31:00Z"/>
          <w:sz w:val="22"/>
          <w:szCs w:val="22"/>
        </w:rPr>
      </w:pPr>
    </w:p>
    <w:p w:rsidR="006224C2" w:rsidRPr="00295E71" w14:paraId="5A3248A7" w14:textId="77777777">
      <w:pPr>
        <w:keepNext/>
        <w:tabs>
          <w:tab w:val="left" w:pos="567"/>
        </w:tabs>
        <w:ind w:left="567" w:hanging="567"/>
        <w:jc w:val="both"/>
        <w:rPr>
          <w:del w:id="5739" w:author="AbbVie14" w:date="2025-05-09T10:31:00Z"/>
          <w:rStyle w:val="hps"/>
          <w:color w:val="000000"/>
          <w:sz w:val="22"/>
          <w:szCs w:val="22"/>
        </w:rPr>
      </w:pPr>
      <w:del w:id="5740" w:author="AbbVie14" w:date="2025-05-09T10:31:00Z">
        <w:r w:rsidRPr="00295E71">
          <w:rPr>
            <w:sz w:val="22"/>
            <w:szCs w:val="22"/>
          </w:rPr>
          <w:delText xml:space="preserve">Data della prima autorizzazione: 8 </w:delText>
        </w:r>
      </w:del>
      <w:del w:id="5741" w:author="AbbVie14" w:date="2025-05-09T10:31:00Z">
        <w:r w:rsidRPr="00295E71">
          <w:rPr>
            <w:rStyle w:val="hps"/>
            <w:color w:val="000000"/>
            <w:sz w:val="22"/>
            <w:szCs w:val="22"/>
          </w:rPr>
          <w:delText>settembre 2003</w:delText>
        </w:r>
      </w:del>
    </w:p>
    <w:p w:rsidR="006224C2" w:rsidRPr="00295E71" w14:paraId="561A25BA" w14:textId="77777777">
      <w:pPr>
        <w:keepNext/>
        <w:tabs>
          <w:tab w:val="left" w:pos="567"/>
        </w:tabs>
        <w:ind w:left="567" w:hanging="567"/>
        <w:jc w:val="both"/>
        <w:rPr>
          <w:del w:id="5742" w:author="AbbVie14" w:date="2025-05-09T10:31:00Z"/>
          <w:sz w:val="22"/>
          <w:szCs w:val="22"/>
        </w:rPr>
      </w:pPr>
      <w:del w:id="5743" w:author="AbbVie14" w:date="2025-05-09T10:31:00Z">
        <w:r w:rsidRPr="00295E71">
          <w:rPr>
            <w:sz w:val="22"/>
            <w:szCs w:val="22"/>
          </w:rPr>
          <w:delText xml:space="preserve">Data del rinnovo più recente: 8 </w:delText>
        </w:r>
      </w:del>
      <w:del w:id="5744" w:author="AbbVie14" w:date="2025-05-09T10:31:00Z">
        <w:r w:rsidRPr="00295E71">
          <w:rPr>
            <w:rStyle w:val="hps"/>
            <w:color w:val="000000"/>
            <w:sz w:val="22"/>
            <w:szCs w:val="22"/>
          </w:rPr>
          <w:delText>settembre 2008</w:delText>
        </w:r>
      </w:del>
    </w:p>
    <w:p w:rsidR="006224C2" w:rsidRPr="00295E71" w14:paraId="44264276" w14:textId="77777777">
      <w:pPr>
        <w:tabs>
          <w:tab w:val="left" w:pos="567"/>
        </w:tabs>
        <w:ind w:left="567" w:hanging="567"/>
        <w:jc w:val="both"/>
        <w:rPr>
          <w:del w:id="5745" w:author="AbbVie14" w:date="2025-05-09T10:31:00Z"/>
          <w:sz w:val="22"/>
          <w:szCs w:val="22"/>
        </w:rPr>
      </w:pPr>
    </w:p>
    <w:p w:rsidR="006224C2" w:rsidRPr="00295E71" w14:paraId="0AD0864E" w14:textId="77777777">
      <w:pPr>
        <w:tabs>
          <w:tab w:val="left" w:pos="567"/>
        </w:tabs>
        <w:ind w:left="567" w:hanging="567"/>
        <w:jc w:val="both"/>
        <w:rPr>
          <w:del w:id="5746" w:author="AbbVie14" w:date="2025-05-09T10:31:00Z"/>
          <w:sz w:val="22"/>
          <w:szCs w:val="22"/>
        </w:rPr>
      </w:pPr>
    </w:p>
    <w:p w:rsidR="006224C2" w:rsidRPr="00295E71" w14:paraId="7CBD2537" w14:textId="77777777">
      <w:pPr>
        <w:tabs>
          <w:tab w:val="left" w:pos="567"/>
        </w:tabs>
        <w:jc w:val="both"/>
        <w:rPr>
          <w:del w:id="5747" w:author="AbbVie14" w:date="2025-05-09T10:31:00Z"/>
          <w:b/>
          <w:bCs/>
          <w:sz w:val="22"/>
          <w:szCs w:val="22"/>
        </w:rPr>
      </w:pPr>
      <w:del w:id="5748" w:author="AbbVie14" w:date="2025-05-09T10:31:00Z">
        <w:r w:rsidRPr="00295E71">
          <w:rPr>
            <w:b/>
            <w:bCs/>
            <w:sz w:val="22"/>
            <w:szCs w:val="22"/>
          </w:rPr>
          <w:delText>10.</w:delText>
        </w:r>
      </w:del>
      <w:del w:id="5749" w:author="AbbVie14" w:date="2025-05-09T10:31:00Z">
        <w:r w:rsidRPr="00295E71">
          <w:rPr>
            <w:b/>
            <w:bCs/>
            <w:sz w:val="22"/>
            <w:szCs w:val="22"/>
          </w:rPr>
          <w:tab/>
          <w:delText>DATA DI REVISIONE DEL TESTO</w:delText>
        </w:r>
      </w:del>
    </w:p>
    <w:p w:rsidR="006224C2" w:rsidRPr="00295E71" w14:paraId="7F49A8BC" w14:textId="77777777">
      <w:pPr>
        <w:tabs>
          <w:tab w:val="left" w:pos="567"/>
        </w:tabs>
        <w:jc w:val="both"/>
        <w:rPr>
          <w:del w:id="5750" w:author="AbbVie14" w:date="2025-05-09T10:31:00Z"/>
          <w:b/>
          <w:bCs/>
          <w:sz w:val="22"/>
          <w:szCs w:val="22"/>
        </w:rPr>
      </w:pPr>
    </w:p>
    <w:p w:rsidR="006224C2" w:rsidRPr="00295E71" w14:paraId="47DB3AF1" w14:textId="77777777">
      <w:pPr>
        <w:rPr>
          <w:del w:id="5751" w:author="AbbVie14" w:date="2025-05-09T10:31:00Z"/>
          <w:bCs/>
          <w:sz w:val="22"/>
          <w:szCs w:val="22"/>
        </w:rPr>
      </w:pPr>
      <w:del w:id="5752" w:author="AbbVie14" w:date="2025-05-09T10:31:00Z">
        <w:r w:rsidRPr="00295E71">
          <w:rPr>
            <w:bCs/>
            <w:sz w:val="22"/>
            <w:szCs w:val="22"/>
          </w:rPr>
          <w:delText xml:space="preserve">Informazioni più dettagliate su questo medicinale sono disponibili sul sito web dell’Agenzia europea dei medicinali: </w:delText>
        </w:r>
      </w:del>
      <w:del w:id="5753" w:author="AbbVie14" w:date="2025-05-09T10:31:00Z">
        <w:r>
          <w:fldChar w:fldCharType="begin"/>
        </w:r>
      </w:del>
      <w:del w:id="5754" w:author="AbbVie14" w:date="2025-05-09T10:31:00Z">
        <w:r>
          <w:delInstrText>HYPERLINK "http://www.ema.europa.eu"</w:delInstrText>
        </w:r>
      </w:del>
      <w:del w:id="5755" w:author="AbbVie14" w:date="2025-05-09T10:31:00Z">
        <w:r>
          <w:fldChar w:fldCharType="separate"/>
        </w:r>
      </w:del>
      <w:del w:id="5756" w:author="AbbVie14" w:date="2025-05-09T10:31:00Z">
        <w:r w:rsidRPr="00295E71">
          <w:rPr>
            <w:rStyle w:val="Hyperlink"/>
            <w:bCs/>
            <w:sz w:val="22"/>
            <w:szCs w:val="22"/>
          </w:rPr>
          <w:delText>http://www.ema.europa.eu</w:delText>
        </w:r>
      </w:del>
      <w:del w:id="5757" w:author="AbbVie14" w:date="2025-05-09T10:31:00Z">
        <w:r>
          <w:fldChar w:fldCharType="end"/>
        </w:r>
      </w:del>
    </w:p>
    <w:p w:rsidR="006224C2" w:rsidRPr="00295E71" w14:paraId="40711920" w14:textId="77777777">
      <w:pPr>
        <w:rPr>
          <w:del w:id="5758" w:author="AbbVie14" w:date="2025-05-09T10:31:00Z"/>
          <w:i/>
          <w:iCs/>
          <w:sz w:val="22"/>
          <w:szCs w:val="22"/>
        </w:rPr>
      </w:pPr>
      <w:del w:id="5759" w:author="AbbVie14" w:date="2025-05-09T10:31:00Z">
        <w:r w:rsidRPr="00295E71">
          <w:rPr>
            <w:bCs/>
            <w:sz w:val="22"/>
            <w:szCs w:val="22"/>
          </w:rPr>
          <w:br w:type="page"/>
        </w:r>
      </w:del>
    </w:p>
    <w:p w:rsidR="006224C2" w:rsidRPr="00295E71" w14:paraId="4DDDB7D7" w14:textId="77777777">
      <w:pPr>
        <w:pPrChange w:id="5760" w:author="AbbVie14" w:date="2025-05-09T10:31:00Z">
          <w:pPr>
            <w:pStyle w:val="Heading2"/>
            <w:keepNext w:val="0"/>
            <w:spacing w:before="0" w:after="0" w:line="240" w:lineRule="auto"/>
            <w:jc w:val="both"/>
          </w:pPr>
        </w:pPrChange>
        <w:rPr>
          <w:del w:id="5761" w:author="AbbVie14" w:date="2025-05-09T10:33:00Z"/>
          <w:sz w:val="22"/>
          <w:szCs w:val="22"/>
        </w:rPr>
      </w:pPr>
      <w:del w:id="5762" w:author="AbbVie14" w:date="2025-05-09T10:33:00Z">
        <w:r w:rsidRPr="00295E71">
          <w:rPr>
            <w:sz w:val="22"/>
            <w:szCs w:val="22"/>
          </w:rPr>
          <w:delText>1.</w:delText>
        </w:r>
      </w:del>
      <w:del w:id="5763" w:author="AbbVie14" w:date="2025-05-09T10:33:00Z">
        <w:r w:rsidRPr="00295E71">
          <w:rPr>
            <w:sz w:val="22"/>
            <w:szCs w:val="22"/>
          </w:rPr>
          <w:tab/>
        </w:r>
      </w:del>
      <w:del w:id="5764" w:author="AbbVie14" w:date="2025-05-09T10:33:00Z">
        <w:r w:rsidRPr="00295E71">
          <w:rPr>
            <w:caps/>
            <w:sz w:val="22"/>
            <w:szCs w:val="22"/>
          </w:rPr>
          <w:delText>Denominazione del medicinale</w:delText>
        </w:r>
      </w:del>
    </w:p>
    <w:p w:rsidR="006224C2" w:rsidRPr="00295E71" w14:paraId="4DE29D6E" w14:textId="77777777">
      <w:pPr>
        <w:tabs>
          <w:tab w:val="left" w:pos="567"/>
        </w:tabs>
        <w:jc w:val="both"/>
        <w:rPr>
          <w:del w:id="5765" w:author="AbbVie14" w:date="2025-05-09T10:33:00Z"/>
          <w:sz w:val="22"/>
          <w:szCs w:val="22"/>
        </w:rPr>
      </w:pPr>
    </w:p>
    <w:p w:rsidR="006224C2" w:rsidRPr="00295E71" w14:paraId="09BE5523" w14:textId="77777777">
      <w:pPr>
        <w:tabs>
          <w:tab w:val="left" w:pos="567"/>
        </w:tabs>
        <w:jc w:val="both"/>
        <w:rPr>
          <w:del w:id="5766" w:author="AbbVie14" w:date="2025-05-09T10:33:00Z"/>
          <w:sz w:val="22"/>
          <w:szCs w:val="22"/>
        </w:rPr>
      </w:pPr>
      <w:del w:id="5767" w:author="AbbVie14" w:date="2025-05-09T10:33:00Z">
        <w:r w:rsidRPr="00295E71">
          <w:rPr>
            <w:sz w:val="22"/>
            <w:szCs w:val="22"/>
          </w:rPr>
          <w:delText>Humira 40 mg soluzione iniettabile in siringa pre-riempita</w:delText>
        </w:r>
      </w:del>
    </w:p>
    <w:p w:rsidR="006224C2" w:rsidRPr="00295E71" w14:paraId="65D4E0D3" w14:textId="77777777">
      <w:pPr>
        <w:rPr>
          <w:del w:id="5768" w:author="AbbVie14" w:date="2025-05-09T10:33:00Z"/>
          <w:sz w:val="22"/>
          <w:szCs w:val="22"/>
        </w:rPr>
      </w:pPr>
      <w:del w:id="5769" w:author="AbbVie14" w:date="2025-05-09T10:33:00Z">
        <w:r w:rsidRPr="00295E71">
          <w:rPr>
            <w:sz w:val="22"/>
            <w:szCs w:val="22"/>
          </w:rPr>
          <w:delText>Humira 40 mg soluzione iniettabile in penna pre-riempita</w:delText>
        </w:r>
      </w:del>
    </w:p>
    <w:p w:rsidR="006224C2" w:rsidRPr="00295E71" w14:paraId="32C1F8F0" w14:textId="77777777">
      <w:pPr>
        <w:pStyle w:val="Heading2"/>
        <w:keepNext w:val="0"/>
        <w:spacing w:before="0" w:after="0" w:line="240" w:lineRule="auto"/>
        <w:jc w:val="both"/>
        <w:rPr>
          <w:del w:id="5770" w:author="AbbVie14" w:date="2025-05-09T10:33:00Z"/>
          <w:rFonts w:ascii="Times New Roman" w:hAnsi="Times New Roman" w:cs="Times New Roman"/>
          <w:b w:val="0"/>
          <w:i w:val="0"/>
          <w:iCs w:val="0"/>
          <w:sz w:val="22"/>
          <w:szCs w:val="22"/>
          <w:lang w:val="it-IT"/>
        </w:rPr>
      </w:pPr>
    </w:p>
    <w:p w:rsidR="006224C2" w:rsidRPr="00295E71" w14:paraId="5677D372" w14:textId="77777777">
      <w:pPr>
        <w:pStyle w:val="Heading2"/>
        <w:keepNext w:val="0"/>
        <w:spacing w:before="0" w:after="0" w:line="240" w:lineRule="auto"/>
        <w:jc w:val="both"/>
        <w:rPr>
          <w:del w:id="5771" w:author="AbbVie14" w:date="2025-05-09T10:33:00Z"/>
          <w:rFonts w:ascii="Times New Roman" w:hAnsi="Times New Roman" w:cs="Times New Roman"/>
          <w:b w:val="0"/>
          <w:i w:val="0"/>
          <w:iCs w:val="0"/>
          <w:sz w:val="22"/>
          <w:szCs w:val="22"/>
          <w:lang w:val="it-IT"/>
        </w:rPr>
      </w:pPr>
    </w:p>
    <w:p w:rsidR="006224C2" w:rsidRPr="00295E71" w14:paraId="4DF7A876" w14:textId="77777777">
      <w:pPr>
        <w:pStyle w:val="Heading2"/>
        <w:keepNext w:val="0"/>
        <w:spacing w:before="0" w:after="0" w:line="240" w:lineRule="auto"/>
        <w:jc w:val="both"/>
        <w:rPr>
          <w:del w:id="5772" w:author="AbbVie14" w:date="2025-05-09T10:33:00Z"/>
          <w:rFonts w:ascii="Times New Roman" w:hAnsi="Times New Roman" w:cs="Times New Roman"/>
          <w:i w:val="0"/>
          <w:iCs w:val="0"/>
          <w:sz w:val="22"/>
          <w:szCs w:val="22"/>
          <w:lang w:val="it-IT"/>
        </w:rPr>
      </w:pPr>
      <w:del w:id="5773" w:author="AbbVie14" w:date="2025-05-09T10:33:00Z">
        <w:r w:rsidRPr="00295E71">
          <w:rPr>
            <w:rFonts w:ascii="Times New Roman" w:hAnsi="Times New Roman" w:cs="Times New Roman"/>
            <w:i w:val="0"/>
            <w:iCs w:val="0"/>
            <w:sz w:val="22"/>
            <w:szCs w:val="22"/>
            <w:lang w:val="it-IT"/>
          </w:rPr>
          <w:delText>2.</w:delText>
        </w:r>
      </w:del>
      <w:del w:id="5774" w:author="AbbVie14" w:date="2025-05-09T10:33:00Z">
        <w:r w:rsidRPr="00295E71">
          <w:rPr>
            <w:rFonts w:ascii="Times New Roman" w:hAnsi="Times New Roman" w:cs="Times New Roman"/>
            <w:i w:val="0"/>
            <w:iCs w:val="0"/>
            <w:sz w:val="22"/>
            <w:szCs w:val="22"/>
            <w:lang w:val="it-IT"/>
          </w:rPr>
          <w:tab/>
        </w:r>
      </w:del>
      <w:del w:id="5775" w:author="AbbVie14" w:date="2025-05-09T10:33:00Z">
        <w:r w:rsidRPr="00295E71">
          <w:rPr>
            <w:rFonts w:ascii="Times New Roman" w:hAnsi="Times New Roman" w:cs="Times New Roman"/>
            <w:i w:val="0"/>
            <w:iCs w:val="0"/>
            <w:caps/>
            <w:sz w:val="22"/>
            <w:szCs w:val="22"/>
            <w:lang w:val="it-IT"/>
          </w:rPr>
          <w:delText>Composizione qualitativa e quantitativa</w:delText>
        </w:r>
      </w:del>
    </w:p>
    <w:p w:rsidR="006224C2" w:rsidRPr="00295E71" w14:paraId="31068DDC" w14:textId="77777777">
      <w:pPr>
        <w:tabs>
          <w:tab w:val="left" w:pos="567"/>
        </w:tabs>
        <w:ind w:left="567" w:hanging="567"/>
        <w:jc w:val="both"/>
        <w:rPr>
          <w:del w:id="5776" w:author="AbbVie14" w:date="2025-05-09T10:33:00Z"/>
          <w:sz w:val="22"/>
          <w:szCs w:val="22"/>
          <w:u w:val="single"/>
        </w:rPr>
      </w:pPr>
    </w:p>
    <w:p w:rsidR="006224C2" w:rsidRPr="00295E71" w14:paraId="637D0657" w14:textId="77777777">
      <w:pPr>
        <w:rPr>
          <w:del w:id="5777" w:author="AbbVie14" w:date="2025-05-09T10:33:00Z"/>
          <w:sz w:val="22"/>
          <w:szCs w:val="22"/>
        </w:rPr>
      </w:pPr>
      <w:del w:id="5778" w:author="AbbVie14" w:date="2025-05-09T10:33:00Z">
        <w:r w:rsidRPr="00295E71">
          <w:rPr>
            <w:sz w:val="22"/>
            <w:szCs w:val="22"/>
            <w:u w:val="single"/>
          </w:rPr>
          <w:delText>Humira 40 mg soluzione iniettabile in siringa pre-riempita</w:delText>
        </w:r>
      </w:del>
    </w:p>
    <w:p w:rsidR="006224C2" w:rsidRPr="00295E71" w14:paraId="4E691424" w14:textId="77777777">
      <w:pPr>
        <w:tabs>
          <w:tab w:val="left" w:pos="567"/>
        </w:tabs>
        <w:autoSpaceDE w:val="0"/>
        <w:autoSpaceDN w:val="0"/>
        <w:adjustRightInd w:val="0"/>
        <w:jc w:val="both"/>
        <w:rPr>
          <w:del w:id="5779" w:author="AbbVie14" w:date="2025-05-09T10:33:00Z"/>
          <w:sz w:val="22"/>
          <w:szCs w:val="22"/>
        </w:rPr>
      </w:pPr>
      <w:del w:id="5780" w:author="AbbVie14" w:date="2025-05-09T10:33:00Z">
        <w:r w:rsidRPr="00295E71">
          <w:rPr>
            <w:sz w:val="22"/>
            <w:szCs w:val="22"/>
          </w:rPr>
          <w:delText>Ciascuna siringa pre-riempita monodose da 0,8 ml contiene 40 mg di adalimumab.</w:delText>
        </w:r>
      </w:del>
    </w:p>
    <w:p w:rsidR="006224C2" w:rsidRPr="00295E71" w14:paraId="30368F6E" w14:textId="77777777">
      <w:pPr>
        <w:tabs>
          <w:tab w:val="left" w:pos="567"/>
        </w:tabs>
        <w:autoSpaceDE w:val="0"/>
        <w:autoSpaceDN w:val="0"/>
        <w:adjustRightInd w:val="0"/>
        <w:jc w:val="both"/>
        <w:rPr>
          <w:del w:id="5781" w:author="AbbVie14" w:date="2025-05-09T10:33:00Z"/>
          <w:sz w:val="22"/>
          <w:szCs w:val="22"/>
        </w:rPr>
      </w:pPr>
    </w:p>
    <w:p w:rsidR="006224C2" w:rsidRPr="00295E71" w14:paraId="38294D72" w14:textId="77777777">
      <w:pPr>
        <w:rPr>
          <w:del w:id="5782" w:author="AbbVie14" w:date="2025-05-09T10:33:00Z"/>
          <w:sz w:val="22"/>
          <w:szCs w:val="22"/>
          <w:u w:val="single"/>
        </w:rPr>
      </w:pPr>
      <w:del w:id="5783" w:author="AbbVie14" w:date="2025-05-09T10:33:00Z">
        <w:r w:rsidRPr="00295E71">
          <w:rPr>
            <w:sz w:val="22"/>
            <w:szCs w:val="22"/>
            <w:u w:val="single"/>
          </w:rPr>
          <w:delText>Humira 40 mg soluzione iniettabile in penna pre-riempita</w:delText>
        </w:r>
      </w:del>
    </w:p>
    <w:p w:rsidR="006224C2" w:rsidRPr="00295E71" w14:paraId="238CEA21" w14:textId="77777777">
      <w:pPr>
        <w:rPr>
          <w:del w:id="5784" w:author="AbbVie14" w:date="2025-05-09T10:33:00Z"/>
          <w:sz w:val="22"/>
          <w:szCs w:val="22"/>
          <w:u w:val="single"/>
        </w:rPr>
      </w:pPr>
      <w:del w:id="5785" w:author="AbbVie14" w:date="2025-05-09T10:33:00Z">
        <w:r w:rsidRPr="00295E71">
          <w:rPr>
            <w:sz w:val="22"/>
            <w:szCs w:val="22"/>
          </w:rPr>
          <w:delText>Ciascuna penna pre-riempita monodose da 0,8 ml contiene 40 mg di adalimumab.</w:delText>
        </w:r>
      </w:del>
    </w:p>
    <w:p w:rsidR="006224C2" w:rsidRPr="00295E71" w14:paraId="6FFEB40D" w14:textId="77777777">
      <w:pPr>
        <w:tabs>
          <w:tab w:val="left" w:pos="567"/>
        </w:tabs>
        <w:autoSpaceDE w:val="0"/>
        <w:autoSpaceDN w:val="0"/>
        <w:adjustRightInd w:val="0"/>
        <w:jc w:val="both"/>
        <w:rPr>
          <w:del w:id="5786" w:author="AbbVie14" w:date="2025-05-09T10:33:00Z"/>
          <w:sz w:val="22"/>
          <w:szCs w:val="22"/>
        </w:rPr>
      </w:pPr>
    </w:p>
    <w:p w:rsidR="006224C2" w:rsidRPr="00295E71" w14:paraId="194E3C2E" w14:textId="77777777">
      <w:pPr>
        <w:tabs>
          <w:tab w:val="left" w:pos="567"/>
        </w:tabs>
        <w:autoSpaceDE w:val="0"/>
        <w:autoSpaceDN w:val="0"/>
        <w:adjustRightInd w:val="0"/>
        <w:jc w:val="both"/>
        <w:rPr>
          <w:del w:id="5787" w:author="AbbVie14" w:date="2025-05-09T10:33:00Z"/>
          <w:color w:val="000000"/>
          <w:sz w:val="22"/>
          <w:szCs w:val="22"/>
        </w:rPr>
      </w:pPr>
      <w:del w:id="5788" w:author="AbbVie14" w:date="2025-05-09T10:33:00Z">
        <w:r w:rsidRPr="00295E71">
          <w:rPr>
            <w:sz w:val="22"/>
            <w:szCs w:val="22"/>
          </w:rPr>
          <w:delText xml:space="preserve">Adalimumab è un anticorpo monoclonale umano ricombinante </w:delText>
        </w:r>
      </w:del>
      <w:del w:id="5789" w:author="AbbVie14" w:date="2025-05-09T10:33:00Z">
        <w:r w:rsidRPr="00295E71" w:rsidR="008E060E">
          <w:rPr>
            <w:sz w:val="22"/>
            <w:szCs w:val="22"/>
          </w:rPr>
          <w:delText xml:space="preserve">prodotto </w:delText>
        </w:r>
      </w:del>
      <w:del w:id="5790" w:author="AbbVie14" w:date="2025-05-09T10:33:00Z">
        <w:r w:rsidRPr="00295E71">
          <w:rPr>
            <w:sz w:val="22"/>
            <w:szCs w:val="22"/>
          </w:rPr>
          <w:delText>in cellule ovariche di criceto</w:delText>
        </w:r>
      </w:del>
      <w:del w:id="5791" w:author="AbbVie14" w:date="2025-05-09T10:33:00Z">
        <w:r w:rsidRPr="00295E71" w:rsidR="00FA1EC9">
          <w:rPr>
            <w:sz w:val="22"/>
            <w:szCs w:val="22"/>
          </w:rPr>
          <w:delText xml:space="preserve"> cinese</w:delText>
        </w:r>
      </w:del>
      <w:del w:id="5792" w:author="AbbVie14" w:date="2025-05-09T10:33:00Z">
        <w:r w:rsidRPr="00295E71">
          <w:rPr>
            <w:sz w:val="22"/>
            <w:szCs w:val="22"/>
          </w:rPr>
          <w:delText xml:space="preserve"> (Chinese Hamster Ovary).</w:delText>
        </w:r>
      </w:del>
    </w:p>
    <w:p w:rsidR="006224C2" w:rsidRPr="00295E71" w14:paraId="69676216" w14:textId="77777777">
      <w:pPr>
        <w:tabs>
          <w:tab w:val="left" w:pos="567"/>
        </w:tabs>
        <w:autoSpaceDE w:val="0"/>
        <w:autoSpaceDN w:val="0"/>
        <w:adjustRightInd w:val="0"/>
        <w:jc w:val="both"/>
        <w:rPr>
          <w:del w:id="5793" w:author="AbbVie14" w:date="2025-05-09T10:33:00Z"/>
          <w:color w:val="000000"/>
          <w:sz w:val="22"/>
          <w:szCs w:val="22"/>
        </w:rPr>
      </w:pPr>
    </w:p>
    <w:p w:rsidR="006224C2" w:rsidRPr="00295E71" w14:paraId="3E2ADABB" w14:textId="77777777">
      <w:pPr>
        <w:tabs>
          <w:tab w:val="left" w:pos="567"/>
        </w:tabs>
        <w:jc w:val="both"/>
        <w:rPr>
          <w:del w:id="5794" w:author="AbbVie14" w:date="2025-05-09T10:33:00Z"/>
          <w:sz w:val="22"/>
          <w:szCs w:val="22"/>
        </w:rPr>
      </w:pPr>
      <w:del w:id="5795" w:author="AbbVie14" w:date="2025-05-09T10:33:00Z">
        <w:r w:rsidRPr="00295E71">
          <w:rPr>
            <w:sz w:val="22"/>
            <w:szCs w:val="22"/>
          </w:rPr>
          <w:delText>Per l’elenco completo degli eccipienti, vedere paragrafo 6.1.</w:delText>
        </w:r>
      </w:del>
    </w:p>
    <w:p w:rsidR="006224C2" w:rsidRPr="00295E71" w14:paraId="0D1611A0" w14:textId="77777777">
      <w:pPr>
        <w:pStyle w:val="EndnoteText"/>
        <w:jc w:val="both"/>
        <w:rPr>
          <w:del w:id="5796" w:author="AbbVie14" w:date="2025-05-09T10:33:00Z"/>
          <w:lang w:val="it-IT"/>
        </w:rPr>
      </w:pPr>
    </w:p>
    <w:p w:rsidR="006224C2" w:rsidRPr="00295E71" w14:paraId="22AEEADD" w14:textId="77777777">
      <w:pPr>
        <w:tabs>
          <w:tab w:val="left" w:pos="567"/>
        </w:tabs>
        <w:jc w:val="both"/>
        <w:rPr>
          <w:del w:id="5797" w:author="AbbVie14" w:date="2025-05-09T10:33:00Z"/>
          <w:sz w:val="22"/>
          <w:szCs w:val="22"/>
        </w:rPr>
      </w:pPr>
    </w:p>
    <w:p w:rsidR="006224C2" w:rsidRPr="00295E71" w14:paraId="2B74DB8E" w14:textId="77777777">
      <w:pPr>
        <w:tabs>
          <w:tab w:val="left" w:pos="567"/>
        </w:tabs>
        <w:jc w:val="both"/>
        <w:rPr>
          <w:del w:id="5798" w:author="AbbVie14" w:date="2025-05-09T10:33:00Z"/>
          <w:b/>
          <w:bCs/>
          <w:caps/>
          <w:sz w:val="22"/>
          <w:szCs w:val="22"/>
        </w:rPr>
      </w:pPr>
      <w:del w:id="5799" w:author="AbbVie14" w:date="2025-05-09T10:33:00Z">
        <w:r w:rsidRPr="00295E71">
          <w:rPr>
            <w:b/>
            <w:bCs/>
            <w:sz w:val="22"/>
            <w:szCs w:val="22"/>
          </w:rPr>
          <w:delText>3.</w:delText>
        </w:r>
      </w:del>
      <w:del w:id="5800" w:author="AbbVie14" w:date="2025-05-09T10:33:00Z">
        <w:r w:rsidRPr="00295E71">
          <w:rPr>
            <w:b/>
            <w:bCs/>
            <w:sz w:val="22"/>
            <w:szCs w:val="22"/>
          </w:rPr>
          <w:tab/>
          <w:delText>FORMA FARMACEUTICA</w:delText>
        </w:r>
      </w:del>
    </w:p>
    <w:p w:rsidR="006224C2" w:rsidRPr="00295E71" w14:paraId="3D17A410" w14:textId="77777777">
      <w:pPr>
        <w:tabs>
          <w:tab w:val="left" w:pos="567"/>
        </w:tabs>
        <w:jc w:val="both"/>
        <w:rPr>
          <w:del w:id="5801" w:author="AbbVie14" w:date="2025-05-09T10:33:00Z"/>
          <w:caps/>
          <w:sz w:val="22"/>
          <w:szCs w:val="22"/>
        </w:rPr>
      </w:pPr>
    </w:p>
    <w:p w:rsidR="006224C2" w:rsidRPr="00295E71" w14:paraId="4EFDCC9C" w14:textId="77777777">
      <w:pPr>
        <w:tabs>
          <w:tab w:val="left" w:pos="567"/>
        </w:tabs>
        <w:jc w:val="both"/>
        <w:rPr>
          <w:del w:id="5802" w:author="AbbVie14" w:date="2025-05-09T10:33:00Z"/>
          <w:sz w:val="22"/>
          <w:szCs w:val="22"/>
        </w:rPr>
      </w:pPr>
      <w:del w:id="5803" w:author="AbbVie14" w:date="2025-05-09T10:33:00Z">
        <w:r w:rsidRPr="00295E71">
          <w:rPr>
            <w:sz w:val="22"/>
            <w:szCs w:val="22"/>
          </w:rPr>
          <w:delText>Soluzione iniettabile.</w:delText>
        </w:r>
      </w:del>
      <w:del w:id="5804" w:author="AbbVie14" w:date="2025-05-09T10:33:00Z">
        <w:r w:rsidRPr="00295E71" w:rsidR="008E060E">
          <w:rPr>
            <w:sz w:val="22"/>
            <w:szCs w:val="22"/>
          </w:rPr>
          <w:delText xml:space="preserve"> (iniettabile)</w:delText>
        </w:r>
      </w:del>
    </w:p>
    <w:p w:rsidR="006224C2" w:rsidRPr="00295E71" w14:paraId="799F4B7E" w14:textId="77777777">
      <w:pPr>
        <w:tabs>
          <w:tab w:val="left" w:pos="567"/>
        </w:tabs>
        <w:jc w:val="both"/>
        <w:rPr>
          <w:del w:id="5805" w:author="AbbVie14" w:date="2025-05-09T10:33:00Z"/>
          <w:sz w:val="22"/>
          <w:szCs w:val="22"/>
        </w:rPr>
      </w:pPr>
    </w:p>
    <w:p w:rsidR="006224C2" w:rsidRPr="00295E71" w14:paraId="6F202445" w14:textId="77777777">
      <w:pPr>
        <w:tabs>
          <w:tab w:val="left" w:pos="567"/>
        </w:tabs>
        <w:jc w:val="both"/>
        <w:rPr>
          <w:del w:id="5806" w:author="AbbVie14" w:date="2025-05-09T10:33:00Z"/>
          <w:sz w:val="22"/>
          <w:szCs w:val="22"/>
        </w:rPr>
      </w:pPr>
      <w:del w:id="5807" w:author="AbbVie14" w:date="2025-05-09T10:33:00Z">
        <w:r w:rsidRPr="00295E71">
          <w:rPr>
            <w:sz w:val="22"/>
            <w:szCs w:val="22"/>
          </w:rPr>
          <w:delText>Soluzione limpida e incolore.</w:delText>
        </w:r>
      </w:del>
    </w:p>
    <w:p w:rsidR="006224C2" w:rsidRPr="00295E71" w14:paraId="3F1C62E1" w14:textId="77777777">
      <w:pPr>
        <w:tabs>
          <w:tab w:val="left" w:pos="567"/>
        </w:tabs>
        <w:jc w:val="both"/>
        <w:rPr>
          <w:del w:id="5808" w:author="AbbVie14" w:date="2025-05-09T10:33:00Z"/>
          <w:sz w:val="22"/>
          <w:szCs w:val="22"/>
        </w:rPr>
      </w:pPr>
    </w:p>
    <w:p w:rsidR="006224C2" w:rsidRPr="00295E71" w14:paraId="3F0A164C" w14:textId="77777777">
      <w:pPr>
        <w:tabs>
          <w:tab w:val="left" w:pos="567"/>
        </w:tabs>
        <w:jc w:val="both"/>
        <w:rPr>
          <w:del w:id="5809" w:author="AbbVie14" w:date="2025-05-09T10:33:00Z"/>
          <w:sz w:val="22"/>
          <w:szCs w:val="22"/>
        </w:rPr>
      </w:pPr>
    </w:p>
    <w:p w:rsidR="006224C2" w:rsidRPr="00295E71" w14:paraId="0106432C" w14:textId="77777777">
      <w:pPr>
        <w:tabs>
          <w:tab w:val="left" w:pos="567"/>
        </w:tabs>
        <w:ind w:left="567" w:hanging="567"/>
        <w:jc w:val="both"/>
        <w:rPr>
          <w:del w:id="5810" w:author="AbbVie14" w:date="2025-05-09T10:33:00Z"/>
          <w:b/>
          <w:bCs/>
          <w:caps/>
          <w:sz w:val="22"/>
          <w:szCs w:val="22"/>
        </w:rPr>
      </w:pPr>
      <w:del w:id="5811" w:author="AbbVie14" w:date="2025-05-09T10:33:00Z">
        <w:r w:rsidRPr="00295E71">
          <w:rPr>
            <w:b/>
            <w:bCs/>
            <w:caps/>
            <w:sz w:val="22"/>
            <w:szCs w:val="22"/>
          </w:rPr>
          <w:delText>4.</w:delText>
        </w:r>
      </w:del>
      <w:del w:id="5812" w:author="AbbVie14" w:date="2025-05-09T10:33:00Z">
        <w:r w:rsidRPr="00295E71">
          <w:rPr>
            <w:b/>
            <w:bCs/>
            <w:caps/>
            <w:sz w:val="22"/>
            <w:szCs w:val="22"/>
          </w:rPr>
          <w:tab/>
          <w:delText>INFORMAZIONI CLINICHE</w:delText>
        </w:r>
      </w:del>
    </w:p>
    <w:p w:rsidR="006224C2" w:rsidRPr="00295E71" w14:paraId="684B8F20" w14:textId="77777777">
      <w:pPr>
        <w:tabs>
          <w:tab w:val="left" w:pos="567"/>
        </w:tabs>
        <w:jc w:val="both"/>
        <w:rPr>
          <w:del w:id="5813" w:author="AbbVie14" w:date="2025-05-09T10:33:00Z"/>
          <w:sz w:val="22"/>
          <w:szCs w:val="22"/>
        </w:rPr>
      </w:pPr>
    </w:p>
    <w:p w:rsidR="006224C2" w:rsidRPr="00295E71" w14:paraId="35BEBBE8" w14:textId="77777777">
      <w:pPr>
        <w:tabs>
          <w:tab w:val="left" w:pos="567"/>
        </w:tabs>
        <w:ind w:left="567" w:hanging="567"/>
        <w:jc w:val="both"/>
        <w:rPr>
          <w:del w:id="5814" w:author="AbbVie14" w:date="2025-05-09T10:33:00Z"/>
          <w:b/>
          <w:bCs/>
          <w:sz w:val="22"/>
          <w:szCs w:val="22"/>
        </w:rPr>
      </w:pPr>
      <w:del w:id="5815" w:author="AbbVie14" w:date="2025-05-09T10:33:00Z">
        <w:r w:rsidRPr="00295E71">
          <w:rPr>
            <w:b/>
            <w:bCs/>
            <w:sz w:val="22"/>
            <w:szCs w:val="22"/>
          </w:rPr>
          <w:delText>4.1</w:delText>
        </w:r>
      </w:del>
      <w:del w:id="5816" w:author="AbbVie14" w:date="2025-05-09T10:33:00Z">
        <w:r w:rsidRPr="00295E71">
          <w:rPr>
            <w:b/>
            <w:bCs/>
            <w:sz w:val="22"/>
            <w:szCs w:val="22"/>
          </w:rPr>
          <w:tab/>
          <w:delText>Indicazioni terapeutiche</w:delText>
        </w:r>
      </w:del>
    </w:p>
    <w:p w:rsidR="006224C2" w:rsidRPr="00295E71" w14:paraId="713B8D31" w14:textId="77777777">
      <w:pPr>
        <w:pStyle w:val="EndnoteText"/>
        <w:jc w:val="both"/>
        <w:rPr>
          <w:del w:id="5817" w:author="AbbVie14" w:date="2025-05-09T10:33:00Z"/>
          <w:lang w:val="it-IT"/>
        </w:rPr>
      </w:pPr>
    </w:p>
    <w:p w:rsidR="006224C2" w:rsidRPr="00295E71" w14:paraId="14A48FCF" w14:textId="77777777">
      <w:pPr>
        <w:jc w:val="both"/>
        <w:rPr>
          <w:del w:id="5818" w:author="AbbVie14" w:date="2025-05-09T10:33:00Z"/>
          <w:sz w:val="22"/>
          <w:szCs w:val="22"/>
        </w:rPr>
      </w:pPr>
      <w:del w:id="5819" w:author="AbbVie14" w:date="2025-05-09T10:33:00Z">
        <w:r w:rsidRPr="00295E71">
          <w:rPr>
            <w:sz w:val="22"/>
            <w:szCs w:val="22"/>
            <w:u w:val="single"/>
          </w:rPr>
          <w:delText>Artrite reumatoide</w:delText>
        </w:r>
      </w:del>
    </w:p>
    <w:p w:rsidR="006224C2" w:rsidRPr="00295E71" w14:paraId="082DA72F" w14:textId="77777777">
      <w:pPr>
        <w:jc w:val="both"/>
        <w:rPr>
          <w:del w:id="5820" w:author="AbbVie14" w:date="2025-05-09T10:33:00Z"/>
          <w:sz w:val="22"/>
          <w:szCs w:val="22"/>
        </w:rPr>
      </w:pPr>
    </w:p>
    <w:p w:rsidR="006224C2" w:rsidRPr="00295E71" w14:paraId="5A736547" w14:textId="77777777">
      <w:pPr>
        <w:pStyle w:val="EMEAFigureTitle"/>
        <w:tabs>
          <w:tab w:val="clear" w:pos="562"/>
        </w:tabs>
        <w:suppressAutoHyphens w:val="0"/>
        <w:jc w:val="both"/>
        <w:rPr>
          <w:del w:id="5821" w:author="AbbVie14" w:date="2025-05-09T10:33:00Z"/>
          <w:lang w:val="it-IT" w:eastAsia="it-IT"/>
        </w:rPr>
      </w:pPr>
      <w:del w:id="5822" w:author="AbbVie14" w:date="2025-05-09T10:33:00Z">
        <w:r w:rsidRPr="00295E71">
          <w:rPr>
            <w:lang w:val="it-IT" w:eastAsia="it-IT"/>
          </w:rPr>
          <w:delText>Humira, in combinazione con metotressato, è indicato per:</w:delText>
        </w:r>
      </w:del>
    </w:p>
    <w:p w:rsidR="006224C2" w:rsidRPr="00295E71" w14:paraId="18013F45" w14:textId="77777777">
      <w:pPr>
        <w:jc w:val="both"/>
        <w:rPr>
          <w:del w:id="5823" w:author="AbbVie14" w:date="2025-05-09T10:33:00Z"/>
          <w:sz w:val="22"/>
          <w:szCs w:val="22"/>
        </w:rPr>
      </w:pPr>
    </w:p>
    <w:p w:rsidR="006224C2" w:rsidRPr="00295E71" w14:paraId="02E4F1D1" w14:textId="77777777">
      <w:pPr>
        <w:numPr>
          <w:ilvl w:val="0"/>
          <w:numId w:val="22"/>
        </w:numPr>
        <w:tabs>
          <w:tab w:val="num" w:pos="540"/>
          <w:tab w:val="left" w:pos="567"/>
          <w:tab w:val="clear" w:pos="720"/>
        </w:tabs>
        <w:ind w:left="540" w:hanging="540"/>
        <w:jc w:val="both"/>
        <w:rPr>
          <w:del w:id="5824" w:author="AbbVie14" w:date="2025-05-09T10:33:00Z"/>
          <w:sz w:val="22"/>
          <w:szCs w:val="22"/>
        </w:rPr>
      </w:pPr>
      <w:del w:id="5825" w:author="AbbVie14" w:date="2025-05-09T10:33:00Z">
        <w:r w:rsidRPr="00295E71">
          <w:rPr>
            <w:sz w:val="22"/>
            <w:szCs w:val="22"/>
          </w:rPr>
          <w:delText>il trattamento di pazienti adulti affetti da artrite reumatoide attiva di grado da moderato a severo quando la risposta ai farmaci anti-reumatici modificanti la malattia (Disease Modifying Anti-Rheumatic Drugs – DMARD), compreso il metotressato, risulta inadeguata.</w:delText>
        </w:r>
      </w:del>
    </w:p>
    <w:p w:rsidR="006224C2" w:rsidRPr="00295E71" w14:paraId="241D97CC" w14:textId="77777777">
      <w:pPr>
        <w:numPr>
          <w:ilvl w:val="0"/>
          <w:numId w:val="22"/>
        </w:numPr>
        <w:tabs>
          <w:tab w:val="num" w:pos="540"/>
          <w:tab w:val="left" w:pos="567"/>
          <w:tab w:val="clear" w:pos="720"/>
        </w:tabs>
        <w:ind w:left="540" w:hanging="540"/>
        <w:jc w:val="both"/>
        <w:rPr>
          <w:del w:id="5826" w:author="AbbVie14" w:date="2025-05-09T10:33:00Z"/>
          <w:sz w:val="22"/>
          <w:szCs w:val="22"/>
        </w:rPr>
      </w:pPr>
      <w:del w:id="5827" w:author="AbbVie14" w:date="2025-05-09T10:33:00Z">
        <w:r w:rsidRPr="00295E71">
          <w:rPr>
            <w:sz w:val="22"/>
            <w:szCs w:val="22"/>
          </w:rPr>
          <w:delText>il trattamento dell’artrite reumatoide grave, attiva e progressiva in adulti non precedentemente trattati con metotressato.</w:delText>
        </w:r>
      </w:del>
    </w:p>
    <w:p w:rsidR="006224C2" w:rsidRPr="00295E71" w14:paraId="1E5541C8" w14:textId="77777777">
      <w:pPr>
        <w:pStyle w:val="EndnoteText"/>
        <w:jc w:val="both"/>
        <w:rPr>
          <w:del w:id="5828" w:author="AbbVie14" w:date="2025-05-09T10:33:00Z"/>
          <w:lang w:val="it-IT"/>
        </w:rPr>
      </w:pPr>
    </w:p>
    <w:p w:rsidR="006224C2" w:rsidRPr="00295E71" w14:paraId="47C969E0" w14:textId="77777777">
      <w:pPr>
        <w:pStyle w:val="EMEAFigureTitle"/>
        <w:suppressAutoHyphens w:val="0"/>
        <w:jc w:val="both"/>
        <w:rPr>
          <w:del w:id="5829" w:author="AbbVie14" w:date="2025-05-09T10:33:00Z"/>
          <w:lang w:val="it-IT" w:eastAsia="it-IT"/>
        </w:rPr>
      </w:pPr>
      <w:del w:id="5830" w:author="AbbVie14" w:date="2025-05-09T10:33:00Z">
        <w:r w:rsidRPr="00295E71">
          <w:rPr>
            <w:lang w:val="it-IT" w:eastAsia="it-IT"/>
          </w:rPr>
          <w:delText>Humira può essere somministrato come monoterapia in caso di intolleranza al metotressato o quando il trattamento continuato con metotressato non è appropriato.</w:delText>
        </w:r>
      </w:del>
    </w:p>
    <w:p w:rsidR="006224C2" w:rsidRPr="00295E71" w14:paraId="14EF9683" w14:textId="77777777">
      <w:pPr>
        <w:pStyle w:val="EndnoteText"/>
        <w:jc w:val="both"/>
        <w:rPr>
          <w:del w:id="5831" w:author="AbbVie14" w:date="2025-05-09T10:33:00Z"/>
          <w:lang w:val="it-IT"/>
        </w:rPr>
      </w:pPr>
    </w:p>
    <w:p w:rsidR="006224C2" w:rsidRPr="00295E71" w14:paraId="466DD4CA" w14:textId="77777777">
      <w:pPr>
        <w:pStyle w:val="EMEAFigureTitle"/>
        <w:suppressAutoHyphens w:val="0"/>
        <w:jc w:val="both"/>
        <w:rPr>
          <w:del w:id="5832" w:author="AbbVie14" w:date="2025-05-09T10:33:00Z"/>
          <w:lang w:val="it-IT" w:eastAsia="it-IT"/>
        </w:rPr>
      </w:pPr>
      <w:del w:id="5833" w:author="AbbVie14" w:date="2025-05-09T10:33:00Z">
        <w:r w:rsidRPr="00295E71">
          <w:rPr>
            <w:lang w:val="it-IT" w:eastAsia="it-IT"/>
          </w:rPr>
          <w:delText>Humira, in combinazione con metotressato, inibisce la progressione del danno strutturale, valutata radiograficamente, e migliora la funzionalità fisica, in questa popolazione di pazienti.</w:delText>
        </w:r>
      </w:del>
    </w:p>
    <w:p w:rsidR="006224C2" w:rsidRPr="00295E71" w14:paraId="7E8921DF" w14:textId="77777777">
      <w:pPr>
        <w:tabs>
          <w:tab w:val="left" w:pos="567"/>
        </w:tabs>
        <w:jc w:val="both"/>
        <w:rPr>
          <w:del w:id="5834" w:author="AbbVie14" w:date="2025-05-09T10:33:00Z"/>
          <w:sz w:val="22"/>
          <w:szCs w:val="22"/>
        </w:rPr>
      </w:pPr>
    </w:p>
    <w:p w:rsidR="006224C2" w:rsidRPr="00295E71" w14:paraId="6DE555B4" w14:textId="77777777">
      <w:pPr>
        <w:tabs>
          <w:tab w:val="left" w:pos="567"/>
        </w:tabs>
        <w:jc w:val="both"/>
        <w:rPr>
          <w:del w:id="5835" w:author="AbbVie14" w:date="2025-05-09T10:33:00Z"/>
          <w:sz w:val="22"/>
          <w:szCs w:val="22"/>
          <w:u w:val="single"/>
        </w:rPr>
      </w:pPr>
      <w:del w:id="5836" w:author="AbbVie14" w:date="2025-05-09T10:33:00Z">
        <w:r w:rsidRPr="00295E71">
          <w:rPr>
            <w:sz w:val="22"/>
            <w:szCs w:val="22"/>
            <w:u w:val="single"/>
          </w:rPr>
          <w:delText>Artrite idiopatica giovanile</w:delText>
        </w:r>
      </w:del>
    </w:p>
    <w:p w:rsidR="006224C2" w:rsidRPr="00295E71" w14:paraId="1215D799" w14:textId="77777777">
      <w:pPr>
        <w:tabs>
          <w:tab w:val="left" w:pos="567"/>
        </w:tabs>
        <w:jc w:val="both"/>
        <w:rPr>
          <w:del w:id="5837" w:author="AbbVie14" w:date="2025-05-09T10:33:00Z"/>
          <w:sz w:val="22"/>
          <w:szCs w:val="22"/>
          <w:u w:val="single"/>
        </w:rPr>
      </w:pPr>
    </w:p>
    <w:p w:rsidR="006224C2" w:rsidRPr="00295E71" w14:paraId="6AFCD023" w14:textId="77777777">
      <w:pPr>
        <w:tabs>
          <w:tab w:val="left" w:pos="567"/>
        </w:tabs>
        <w:jc w:val="both"/>
        <w:rPr>
          <w:del w:id="5838" w:author="AbbVie14" w:date="2025-05-09T10:33:00Z"/>
          <w:i/>
          <w:sz w:val="22"/>
          <w:szCs w:val="22"/>
        </w:rPr>
      </w:pPr>
      <w:del w:id="5839" w:author="AbbVie14" w:date="2025-05-09T10:33:00Z">
        <w:r w:rsidRPr="00295E71">
          <w:rPr>
            <w:i/>
            <w:sz w:val="22"/>
            <w:szCs w:val="22"/>
          </w:rPr>
          <w:delText>Artrite idiopatica giovanile poliarticolare</w:delText>
        </w:r>
      </w:del>
    </w:p>
    <w:p w:rsidR="006224C2" w:rsidRPr="00295E71" w14:paraId="7FC9BA75" w14:textId="77777777">
      <w:pPr>
        <w:tabs>
          <w:tab w:val="left" w:pos="567"/>
        </w:tabs>
        <w:jc w:val="both"/>
        <w:rPr>
          <w:del w:id="5840" w:author="AbbVie14" w:date="2025-05-09T10:33:00Z"/>
          <w:sz w:val="22"/>
          <w:szCs w:val="22"/>
        </w:rPr>
      </w:pPr>
    </w:p>
    <w:p w:rsidR="006224C2" w:rsidRPr="00295E71" w14:paraId="7903227F" w14:textId="77777777">
      <w:pPr>
        <w:pStyle w:val="EMEAFigureTitle"/>
        <w:suppressAutoHyphens w:val="0"/>
        <w:jc w:val="both"/>
        <w:rPr>
          <w:del w:id="5841" w:author="AbbVie14" w:date="2025-05-09T10:33:00Z"/>
          <w:lang w:val="it-IT"/>
        </w:rPr>
      </w:pPr>
      <w:del w:id="5842" w:author="AbbVie14" w:date="2025-05-09T10:33:00Z">
        <w:r w:rsidRPr="00295E71">
          <w:rPr>
            <w:lang w:val="it-IT"/>
          </w:rPr>
          <w:delText xml:space="preserve">Humira in combinazione con metotressato è indicato per il trattamento dell’artrite idiopatica giovanile poliarticolare attiva, nei pazienti dai 2 anni di età, che hanno avuto una risposta inadeguata ad uno o più farmaci anti-reumatici modificanti la malattia (DMARD). </w:delText>
        </w:r>
      </w:del>
    </w:p>
    <w:p w:rsidR="006224C2" w:rsidRPr="00295E71" w14:paraId="084F560E" w14:textId="77777777">
      <w:pPr>
        <w:pStyle w:val="EMEAFigureTitle"/>
        <w:keepNext/>
        <w:suppressAutoHyphens w:val="0"/>
        <w:jc w:val="both"/>
        <w:rPr>
          <w:del w:id="5843" w:author="AbbVie14" w:date="2025-05-09T10:33:00Z"/>
          <w:lang w:val="it-IT"/>
        </w:rPr>
      </w:pPr>
      <w:del w:id="5844" w:author="AbbVie14" w:date="2025-05-09T10:33:00Z">
        <w:r w:rsidRPr="00295E71">
          <w:rPr>
            <w:lang w:val="it-IT"/>
          </w:rPr>
          <w:delText>Humira può essere somministrato come monoterapia in caso di intolleranza al metotressato o quando il trattamento continuato con metotressato non è appropriato (per l’efficacia in monoterapia vedere paragrafo 5.1). Humira non è stato studiato in pazienti di età inferiore a 2 anni.</w:delText>
        </w:r>
      </w:del>
    </w:p>
    <w:p w:rsidR="006224C2" w:rsidRPr="00295E71" w14:paraId="66A50A8F" w14:textId="77777777">
      <w:pPr>
        <w:pStyle w:val="EMEANormal"/>
        <w:keepNext/>
        <w:jc w:val="center"/>
        <w:rPr>
          <w:del w:id="5845" w:author="AbbVie14" w:date="2025-05-09T10:33:00Z"/>
          <w:lang w:val="it-IT"/>
        </w:rPr>
      </w:pPr>
    </w:p>
    <w:p w:rsidR="006224C2" w:rsidRPr="00295E71" w14:paraId="649307FC" w14:textId="77777777">
      <w:pPr>
        <w:keepNext/>
        <w:tabs>
          <w:tab w:val="left" w:pos="567"/>
        </w:tabs>
        <w:jc w:val="both"/>
        <w:rPr>
          <w:del w:id="5846" w:author="AbbVie14" w:date="2025-05-09T10:33:00Z"/>
          <w:i/>
          <w:sz w:val="22"/>
          <w:szCs w:val="22"/>
        </w:rPr>
      </w:pPr>
      <w:del w:id="5847" w:author="AbbVie14" w:date="2025-05-09T10:33:00Z">
        <w:r w:rsidRPr="00295E71">
          <w:rPr>
            <w:i/>
            <w:sz w:val="22"/>
            <w:szCs w:val="22"/>
          </w:rPr>
          <w:delText>Artrite associata ad entesite</w:delText>
        </w:r>
      </w:del>
    </w:p>
    <w:p w:rsidR="006224C2" w:rsidRPr="00295E71" w14:paraId="77A627EF" w14:textId="77777777">
      <w:pPr>
        <w:keepNext/>
        <w:tabs>
          <w:tab w:val="left" w:pos="567"/>
        </w:tabs>
        <w:jc w:val="both"/>
        <w:rPr>
          <w:del w:id="5848" w:author="AbbVie14" w:date="2025-05-09T10:33:00Z"/>
          <w:sz w:val="22"/>
          <w:szCs w:val="22"/>
        </w:rPr>
      </w:pPr>
    </w:p>
    <w:p w:rsidR="006224C2" w:rsidRPr="00295E71" w14:paraId="3C56F06A" w14:textId="77777777">
      <w:pPr>
        <w:keepNext/>
        <w:tabs>
          <w:tab w:val="left" w:pos="567"/>
        </w:tabs>
        <w:jc w:val="both"/>
        <w:rPr>
          <w:del w:id="5849" w:author="AbbVie14" w:date="2025-05-09T10:33:00Z"/>
          <w:sz w:val="22"/>
          <w:szCs w:val="22"/>
        </w:rPr>
      </w:pPr>
      <w:del w:id="5850" w:author="AbbVie14" w:date="2025-05-09T10:33:00Z">
        <w:r w:rsidRPr="00295E71">
          <w:rPr>
            <w:sz w:val="22"/>
            <w:szCs w:val="22"/>
          </w:rPr>
          <w:delText>Humira è indicato per il trattamento delle forme attive di artrite associata a entesite, nei pazienti dai 6 anni di età, che hanno avuto una risposta inadeguata o che sono intolleranti alla terapia convenzionale (vedere paragrafo 5.1).</w:delText>
        </w:r>
      </w:del>
    </w:p>
    <w:p w:rsidR="006224C2" w:rsidRPr="00295E71" w14:paraId="6E51DE42" w14:textId="77777777">
      <w:pPr>
        <w:rPr>
          <w:del w:id="5851" w:author="AbbVie14" w:date="2025-05-09T10:33:00Z"/>
          <w:sz w:val="22"/>
          <w:szCs w:val="22"/>
          <w:u w:val="single"/>
        </w:rPr>
      </w:pPr>
    </w:p>
    <w:p w:rsidR="006224C2" w:rsidRPr="00295E71" w14:paraId="55C87C51" w14:textId="77777777">
      <w:pPr>
        <w:rPr>
          <w:del w:id="5852" w:author="AbbVie14" w:date="2025-05-09T10:33:00Z"/>
          <w:sz w:val="22"/>
          <w:szCs w:val="22"/>
          <w:u w:val="single"/>
        </w:rPr>
      </w:pPr>
      <w:del w:id="5853" w:author="AbbVie14" w:date="2025-05-09T10:33:00Z">
        <w:r w:rsidRPr="00295E71">
          <w:rPr>
            <w:sz w:val="22"/>
            <w:szCs w:val="22"/>
            <w:u w:val="single"/>
          </w:rPr>
          <w:delText>Spondiloartrite assiale</w:delText>
        </w:r>
      </w:del>
    </w:p>
    <w:p w:rsidR="006224C2" w:rsidRPr="00295E71" w14:paraId="07561076" w14:textId="77777777">
      <w:pPr>
        <w:tabs>
          <w:tab w:val="left" w:pos="567"/>
        </w:tabs>
        <w:jc w:val="both"/>
        <w:rPr>
          <w:del w:id="5854" w:author="AbbVie14" w:date="2025-05-09T10:33:00Z"/>
          <w:sz w:val="22"/>
          <w:szCs w:val="22"/>
          <w:u w:val="single"/>
        </w:rPr>
      </w:pPr>
    </w:p>
    <w:p w:rsidR="006224C2" w:rsidRPr="00295E71" w14:paraId="0BC23AF7" w14:textId="77777777">
      <w:pPr>
        <w:tabs>
          <w:tab w:val="left" w:pos="567"/>
        </w:tabs>
        <w:jc w:val="both"/>
        <w:rPr>
          <w:del w:id="5855" w:author="AbbVie14" w:date="2025-05-09T10:33:00Z"/>
          <w:i/>
          <w:sz w:val="22"/>
          <w:szCs w:val="22"/>
        </w:rPr>
      </w:pPr>
      <w:del w:id="5856" w:author="AbbVie14" w:date="2025-05-09T10:33:00Z">
        <w:r w:rsidRPr="00295E71">
          <w:rPr>
            <w:i/>
            <w:sz w:val="22"/>
            <w:szCs w:val="22"/>
          </w:rPr>
          <w:delText>Spondilite anchilosante (SA)</w:delText>
        </w:r>
      </w:del>
    </w:p>
    <w:p w:rsidR="006224C2" w:rsidRPr="00295E71" w14:paraId="355CBCC5" w14:textId="77777777">
      <w:pPr>
        <w:tabs>
          <w:tab w:val="left" w:pos="567"/>
        </w:tabs>
        <w:jc w:val="both"/>
        <w:rPr>
          <w:del w:id="5857" w:author="AbbVie14" w:date="2025-05-09T10:33:00Z"/>
          <w:sz w:val="22"/>
          <w:szCs w:val="22"/>
        </w:rPr>
      </w:pPr>
    </w:p>
    <w:p w:rsidR="006224C2" w:rsidRPr="00295E71" w14:paraId="41C29D65" w14:textId="77777777">
      <w:pPr>
        <w:tabs>
          <w:tab w:val="left" w:pos="567"/>
        </w:tabs>
        <w:jc w:val="both"/>
        <w:rPr>
          <w:del w:id="5858" w:author="AbbVie14" w:date="2025-05-09T10:33:00Z"/>
          <w:sz w:val="22"/>
          <w:szCs w:val="22"/>
        </w:rPr>
      </w:pPr>
      <w:del w:id="5859" w:author="AbbVie14" w:date="2025-05-09T10:33:00Z">
        <w:r w:rsidRPr="00295E71">
          <w:rPr>
            <w:sz w:val="22"/>
            <w:szCs w:val="22"/>
          </w:rPr>
          <w:delText>Humira è indicato per il trattamento dei pazienti adulti affetti da spondilite anchilosante attiva grave in cui la risposta alla terapia convenzionale non è risultata adeguata.</w:delText>
        </w:r>
      </w:del>
    </w:p>
    <w:p w:rsidR="006224C2" w:rsidRPr="00295E71" w14:paraId="621CFEA3" w14:textId="77777777">
      <w:pPr>
        <w:pStyle w:val="EMEANormal"/>
        <w:jc w:val="both"/>
        <w:rPr>
          <w:del w:id="5860" w:author="AbbVie14" w:date="2025-05-09T10:33:00Z"/>
          <w:lang w:val="it-IT"/>
        </w:rPr>
      </w:pPr>
    </w:p>
    <w:p w:rsidR="006224C2" w:rsidRPr="00295E71" w14:paraId="0D618FFB" w14:textId="77777777">
      <w:pPr>
        <w:pStyle w:val="EMEANormal"/>
        <w:jc w:val="both"/>
        <w:rPr>
          <w:del w:id="5861" w:author="AbbVie14" w:date="2025-05-09T10:33:00Z"/>
          <w:i/>
          <w:lang w:val="it-IT"/>
        </w:rPr>
      </w:pPr>
      <w:del w:id="5862" w:author="AbbVie14" w:date="2025-05-09T10:33:00Z">
        <w:r w:rsidRPr="00295E71">
          <w:rPr>
            <w:i/>
            <w:lang w:val="it-IT"/>
          </w:rPr>
          <w:delText>Spondiloartrite assiale senza evidenza radiografica di SA</w:delText>
        </w:r>
      </w:del>
    </w:p>
    <w:p w:rsidR="006224C2" w:rsidRPr="00295E71" w14:paraId="72DD3EB6" w14:textId="77777777">
      <w:pPr>
        <w:pStyle w:val="EMEANormal"/>
        <w:jc w:val="both"/>
        <w:rPr>
          <w:del w:id="5863" w:author="AbbVie14" w:date="2025-05-09T10:33:00Z"/>
          <w:lang w:val="it-IT"/>
        </w:rPr>
      </w:pPr>
    </w:p>
    <w:p w:rsidR="006224C2" w:rsidRPr="00295E71" w14:paraId="2CBBC49A" w14:textId="77777777">
      <w:pPr>
        <w:pStyle w:val="EMEANormal"/>
        <w:jc w:val="both"/>
        <w:rPr>
          <w:del w:id="5864" w:author="AbbVie14" w:date="2025-05-09T10:33:00Z"/>
          <w:lang w:val="it-IT"/>
        </w:rPr>
      </w:pPr>
      <w:del w:id="5865" w:author="AbbVie14" w:date="2025-05-09T10:33:00Z">
        <w:r w:rsidRPr="00295E71">
          <w:rPr>
            <w:lang w:val="it-IT"/>
          </w:rPr>
          <w:delText>Humira è indicato per il trattamento dei pazienti adulti affetti da spondiloartrite assiale grave senza evidenza radiografica di SA ma con segni oggettivi di infiammazione rilevati da elevati livelli di Proteina C Reattiva e/o RMN, che hanno avuto una risposta inadeguata a, o sono intolleranti a farmaci antinfiammatori non</w:delText>
        </w:r>
      </w:del>
      <w:del w:id="5866" w:author="AbbVie14" w:date="2025-05-09T10:33:00Z">
        <w:r w:rsidR="008F53EF">
          <w:rPr>
            <w:lang w:val="it-IT"/>
          </w:rPr>
          <w:delText xml:space="preserve"> </w:delText>
        </w:r>
      </w:del>
      <w:del w:id="5867" w:author="AbbVie14" w:date="2025-05-09T10:33:00Z">
        <w:r w:rsidRPr="00295E71">
          <w:rPr>
            <w:lang w:val="it-IT"/>
          </w:rPr>
          <w:delText>steroidei</w:delText>
        </w:r>
      </w:del>
      <w:del w:id="5868" w:author="AbbVie14" w:date="2025-05-09T10:33:00Z">
        <w:r w:rsidR="00B02776">
          <w:rPr>
            <w:lang w:val="it-IT"/>
          </w:rPr>
          <w:delText xml:space="preserve"> (FANS)</w:delText>
        </w:r>
      </w:del>
      <w:del w:id="5869" w:author="AbbVie14" w:date="2025-05-09T10:33:00Z">
        <w:r w:rsidRPr="00295E71">
          <w:rPr>
            <w:lang w:val="it-IT"/>
          </w:rPr>
          <w:delText>.</w:delText>
        </w:r>
      </w:del>
    </w:p>
    <w:p w:rsidR="006224C2" w:rsidRPr="00295E71" w14:paraId="3A7224C8" w14:textId="77777777">
      <w:pPr>
        <w:jc w:val="both"/>
        <w:rPr>
          <w:del w:id="5870" w:author="AbbVie14" w:date="2025-05-09T10:33:00Z"/>
          <w:sz w:val="22"/>
          <w:szCs w:val="22"/>
        </w:rPr>
      </w:pPr>
    </w:p>
    <w:p w:rsidR="006224C2" w:rsidRPr="00295E71" w14:paraId="47F9E885" w14:textId="77777777">
      <w:pPr>
        <w:tabs>
          <w:tab w:val="left" w:pos="567"/>
        </w:tabs>
        <w:jc w:val="both"/>
        <w:rPr>
          <w:del w:id="5871" w:author="AbbVie14" w:date="2025-05-09T10:33:00Z"/>
          <w:sz w:val="22"/>
          <w:szCs w:val="22"/>
        </w:rPr>
      </w:pPr>
      <w:del w:id="5872" w:author="AbbVie14" w:date="2025-05-09T10:33:00Z">
        <w:r w:rsidRPr="00295E71">
          <w:rPr>
            <w:sz w:val="22"/>
            <w:szCs w:val="22"/>
            <w:u w:val="single"/>
          </w:rPr>
          <w:delText>Artrite psoriasica</w:delText>
        </w:r>
      </w:del>
    </w:p>
    <w:p w:rsidR="006224C2" w:rsidRPr="00295E71" w14:paraId="595A0451" w14:textId="77777777">
      <w:pPr>
        <w:tabs>
          <w:tab w:val="left" w:pos="567"/>
        </w:tabs>
        <w:jc w:val="both"/>
        <w:rPr>
          <w:del w:id="5873" w:author="AbbVie14" w:date="2025-05-09T10:33:00Z"/>
          <w:sz w:val="22"/>
          <w:szCs w:val="22"/>
        </w:rPr>
      </w:pPr>
    </w:p>
    <w:p w:rsidR="006224C2" w:rsidRPr="00295E71" w14:paraId="6D6474A2" w14:textId="77777777">
      <w:pPr>
        <w:tabs>
          <w:tab w:val="left" w:pos="567"/>
        </w:tabs>
        <w:jc w:val="both"/>
        <w:rPr>
          <w:del w:id="5874" w:author="AbbVie14" w:date="2025-05-09T10:33:00Z"/>
          <w:sz w:val="22"/>
          <w:szCs w:val="22"/>
        </w:rPr>
      </w:pPr>
      <w:del w:id="5875" w:author="AbbVie14" w:date="2025-05-09T10:33:00Z">
        <w:r w:rsidRPr="00295E71">
          <w:rPr>
            <w:sz w:val="22"/>
            <w:szCs w:val="22"/>
          </w:rPr>
          <w:delText>Humira è indicato per il trattamento dell’artrite psoriasica attiva e progressiva in soggetti adulti quando la risposta a precedenti trattamenti con farmaci anti-reumatici modificanti la malattia (Disease Modifying Anti-rheumatic Drugs – DMARD) è stata inadeguata. È stato dimostrato che Humira riduce la percentuale di progressione del danno articolare periferico associato rilevato attraverso radiografie in pazienti affetti da sottogruppi poliarticolari simmetrici della malattia (vedere paragrafo 5.1) e migliora la funzionalità fisica.</w:delText>
        </w:r>
      </w:del>
    </w:p>
    <w:p w:rsidR="006224C2" w:rsidRPr="00295E71" w14:paraId="41DB698E" w14:textId="77777777">
      <w:pPr>
        <w:tabs>
          <w:tab w:val="left" w:pos="567"/>
        </w:tabs>
        <w:jc w:val="both"/>
        <w:rPr>
          <w:del w:id="5876" w:author="AbbVie14" w:date="2025-05-09T10:33:00Z"/>
          <w:sz w:val="22"/>
          <w:szCs w:val="22"/>
          <w:u w:val="single"/>
        </w:rPr>
      </w:pPr>
    </w:p>
    <w:p w:rsidR="006224C2" w:rsidRPr="00295E71" w14:paraId="196D4C6C" w14:textId="77777777">
      <w:pPr>
        <w:tabs>
          <w:tab w:val="left" w:pos="567"/>
        </w:tabs>
        <w:jc w:val="both"/>
        <w:rPr>
          <w:del w:id="5877" w:author="AbbVie14" w:date="2025-05-09T10:33:00Z"/>
          <w:sz w:val="22"/>
          <w:szCs w:val="22"/>
          <w:u w:val="single"/>
        </w:rPr>
      </w:pPr>
      <w:del w:id="5878" w:author="AbbVie14" w:date="2025-05-09T10:33:00Z">
        <w:r w:rsidRPr="00295E71">
          <w:rPr>
            <w:sz w:val="22"/>
            <w:szCs w:val="22"/>
            <w:u w:val="single"/>
          </w:rPr>
          <w:delText>Psoriasi</w:delText>
        </w:r>
      </w:del>
    </w:p>
    <w:p w:rsidR="006224C2" w:rsidRPr="00295E71" w14:paraId="11198AED" w14:textId="77777777">
      <w:pPr>
        <w:pStyle w:val="EMEAFigureTitle"/>
        <w:suppressAutoHyphens w:val="0"/>
        <w:jc w:val="both"/>
        <w:rPr>
          <w:del w:id="5879" w:author="AbbVie14" w:date="2025-05-09T10:33:00Z"/>
          <w:lang w:val="it-IT" w:eastAsia="it-IT"/>
        </w:rPr>
      </w:pPr>
    </w:p>
    <w:p w:rsidR="006224C2" w:rsidRPr="00295E71" w14:paraId="1BF368B6" w14:textId="77777777">
      <w:pPr>
        <w:pStyle w:val="EMEAFigureTitle"/>
        <w:suppressAutoHyphens w:val="0"/>
        <w:jc w:val="both"/>
        <w:rPr>
          <w:del w:id="5880" w:author="AbbVie14" w:date="2025-05-09T10:33:00Z"/>
          <w:lang w:val="it-IT" w:eastAsia="it-IT"/>
        </w:rPr>
      </w:pPr>
      <w:del w:id="5881" w:author="AbbVie14" w:date="2025-05-09T10:33:00Z">
        <w:r w:rsidRPr="00295E71">
          <w:rPr>
            <w:lang w:val="it-IT" w:eastAsia="it-IT"/>
          </w:rPr>
          <w:delText xml:space="preserve">Humira è indicato per il trattamento della psoriasi cronica a placchedi grado da moderato a severo, in pazienti adulti candidati alla terapia sistemica. </w:delText>
        </w:r>
      </w:del>
    </w:p>
    <w:p w:rsidR="006224C2" w:rsidRPr="00295E71" w14:paraId="6404D3F3" w14:textId="77777777">
      <w:pPr>
        <w:pStyle w:val="EMEANormal"/>
        <w:rPr>
          <w:del w:id="5882" w:author="AbbVie14" w:date="2025-05-09T10:33:00Z"/>
          <w:lang w:val="it-IT" w:eastAsia="it-IT"/>
        </w:rPr>
      </w:pPr>
    </w:p>
    <w:p w:rsidR="006224C2" w:rsidRPr="00295E71" w14:paraId="2843F635" w14:textId="77777777">
      <w:pPr>
        <w:pStyle w:val="EMEANormal"/>
        <w:rPr>
          <w:del w:id="5883" w:author="AbbVie14" w:date="2025-05-09T10:33:00Z"/>
          <w:rFonts w:eastAsia="Arial"/>
          <w:iCs/>
          <w:lang w:val="it-IT" w:bidi="it-IT"/>
        </w:rPr>
      </w:pPr>
      <w:del w:id="5884" w:author="AbbVie14" w:date="2025-05-09T10:33:00Z">
        <w:r w:rsidRPr="00295E71">
          <w:rPr>
            <w:rFonts w:eastAsia="Arial"/>
            <w:u w:val="single"/>
            <w:lang w:val="it-IT" w:bidi="it-IT"/>
          </w:rPr>
          <w:delText>Psoriasi a placche pediatrica</w:delText>
        </w:r>
      </w:del>
    </w:p>
    <w:p w:rsidR="006224C2" w:rsidRPr="00295E71" w14:paraId="52491C6E" w14:textId="77777777">
      <w:pPr>
        <w:pStyle w:val="EMEANormal"/>
        <w:rPr>
          <w:del w:id="5885" w:author="AbbVie14" w:date="2025-05-09T10:33:00Z"/>
          <w:rFonts w:eastAsia="Arial"/>
          <w:iCs/>
          <w:lang w:val="it-IT" w:bidi="it-IT"/>
        </w:rPr>
      </w:pPr>
    </w:p>
    <w:p w:rsidR="006224C2" w:rsidRPr="00295E71" w14:paraId="59D4853F" w14:textId="77777777">
      <w:pPr>
        <w:pStyle w:val="EMEANormal"/>
        <w:rPr>
          <w:del w:id="5886" w:author="AbbVie14" w:date="2025-05-09T10:33:00Z"/>
          <w:rFonts w:eastAsia="Arial"/>
          <w:iCs/>
          <w:lang w:val="it-IT" w:bidi="it-IT"/>
        </w:rPr>
      </w:pPr>
      <w:del w:id="5887" w:author="AbbVie14" w:date="2025-05-09T10:33:00Z">
        <w:r w:rsidRPr="00295E71">
          <w:rPr>
            <w:rFonts w:eastAsia="Arial"/>
            <w:iCs/>
            <w:lang w:val="it-IT" w:bidi="it-IT"/>
          </w:rPr>
          <w:delText>Humira è indicato per il trattamento della psoriasi cronica a placche grave in bambini e adolescenti dai 4 anni di età che abbiano avuto una risposta inadeguata, o siano candidati inappropriati alla terapia topica e alle fototerapie.</w:delText>
        </w:r>
      </w:del>
    </w:p>
    <w:p w:rsidR="006224C2" w:rsidRPr="00295E71" w14:paraId="4908A132" w14:textId="77777777">
      <w:pPr>
        <w:pStyle w:val="EMEANormal"/>
        <w:rPr>
          <w:del w:id="5888" w:author="AbbVie14" w:date="2025-05-09T10:33:00Z"/>
          <w:rFonts w:eastAsia="Arial"/>
          <w:iCs/>
          <w:lang w:val="it-IT" w:bidi="it-IT"/>
        </w:rPr>
      </w:pPr>
    </w:p>
    <w:p w:rsidR="006224C2" w:rsidRPr="00295E71" w14:paraId="6B1CD6CD" w14:textId="77777777">
      <w:pPr>
        <w:pStyle w:val="EMEANormal"/>
        <w:rPr>
          <w:del w:id="5889" w:author="AbbVie14" w:date="2025-05-09T10:33:00Z"/>
          <w:rFonts w:eastAsia="Arial"/>
          <w:iCs/>
          <w:u w:val="single"/>
          <w:lang w:val="it-IT" w:bidi="it-IT"/>
        </w:rPr>
      </w:pPr>
      <w:del w:id="5890" w:author="AbbVie14" w:date="2025-05-09T10:33:00Z">
        <w:r w:rsidRPr="00295E71">
          <w:rPr>
            <w:rFonts w:eastAsia="Arial"/>
            <w:iCs/>
            <w:u w:val="single"/>
            <w:lang w:val="it-IT" w:bidi="it-IT"/>
          </w:rPr>
          <w:delText>Idrosadenite Suppurativa (HS)</w:delText>
        </w:r>
      </w:del>
    </w:p>
    <w:p w:rsidR="006224C2" w:rsidRPr="00295E71" w14:paraId="4C6955EE" w14:textId="77777777">
      <w:pPr>
        <w:pStyle w:val="EMEANormal"/>
        <w:rPr>
          <w:del w:id="5891" w:author="AbbVie14" w:date="2025-05-09T10:33:00Z"/>
          <w:rFonts w:eastAsia="Arial"/>
          <w:iCs/>
          <w:lang w:val="it-IT" w:bidi="it-IT"/>
        </w:rPr>
      </w:pPr>
    </w:p>
    <w:p w:rsidR="006224C2" w:rsidRPr="00295E71" w14:paraId="00127530" w14:textId="77777777">
      <w:pPr>
        <w:pStyle w:val="EMEANormal"/>
        <w:rPr>
          <w:del w:id="5892" w:author="AbbVie14" w:date="2025-05-09T10:33:00Z"/>
          <w:lang w:val="it-IT"/>
        </w:rPr>
      </w:pPr>
      <w:del w:id="5893" w:author="AbbVie14" w:date="2025-05-09T10:33:00Z">
        <w:r w:rsidRPr="00295E71">
          <w:rPr>
            <w:rFonts w:eastAsia="Arial"/>
            <w:iCs/>
            <w:lang w:val="it-IT" w:bidi="it-IT"/>
          </w:rPr>
          <w:delText>Humira è indicato per il trattamento dell’Idrosadenite Suppurativa (acne inversa) attiva di grado da moderato a severo in adulti e adolescenti dai 12 anni di età con una risposta inadeguata alla terapia sistemica convenzionale per l’HS</w:delText>
        </w:r>
      </w:del>
      <w:del w:id="5894" w:author="AbbVie14" w:date="2025-05-09T10:33:00Z">
        <w:r w:rsidRPr="00295E71" w:rsidR="00530BB6">
          <w:rPr>
            <w:rFonts w:eastAsia="Arial"/>
            <w:iCs/>
            <w:lang w:val="it-IT" w:bidi="it-IT"/>
          </w:rPr>
          <w:delText xml:space="preserve"> </w:delText>
        </w:r>
      </w:del>
      <w:del w:id="5895" w:author="AbbVie14" w:date="2025-05-09T10:33:00Z">
        <w:r w:rsidRPr="00295E71">
          <w:rPr>
            <w:lang w:val="it-IT"/>
          </w:rPr>
          <w:delText>(vedere paragrafi 5.1 e 5.2).</w:delText>
        </w:r>
      </w:del>
    </w:p>
    <w:p w:rsidR="006224C2" w:rsidRPr="00295E71" w14:paraId="5F26713A" w14:textId="77777777">
      <w:pPr>
        <w:pStyle w:val="EMEAFigureTitle"/>
        <w:suppressAutoHyphens w:val="0"/>
        <w:jc w:val="both"/>
        <w:rPr>
          <w:del w:id="5896" w:author="AbbVie14" w:date="2025-05-09T10:33:00Z"/>
          <w:lang w:val="it-IT"/>
        </w:rPr>
      </w:pPr>
    </w:p>
    <w:p w:rsidR="006224C2" w:rsidRPr="00295E71" w14:paraId="60D2A027" w14:textId="77777777">
      <w:pPr>
        <w:tabs>
          <w:tab w:val="left" w:pos="567"/>
        </w:tabs>
        <w:jc w:val="both"/>
        <w:rPr>
          <w:del w:id="5897" w:author="AbbVie14" w:date="2025-05-09T10:33:00Z"/>
          <w:sz w:val="22"/>
          <w:szCs w:val="22"/>
        </w:rPr>
      </w:pPr>
      <w:del w:id="5898" w:author="AbbVie14" w:date="2025-05-09T10:33:00Z">
        <w:r w:rsidRPr="00295E71">
          <w:rPr>
            <w:sz w:val="22"/>
            <w:szCs w:val="22"/>
            <w:u w:val="single"/>
          </w:rPr>
          <w:delText>Malattia di Crohn</w:delText>
        </w:r>
      </w:del>
    </w:p>
    <w:p w:rsidR="006224C2" w:rsidRPr="00295E71" w14:paraId="0B56D6BB" w14:textId="77777777">
      <w:pPr>
        <w:tabs>
          <w:tab w:val="left" w:pos="567"/>
        </w:tabs>
        <w:jc w:val="both"/>
        <w:rPr>
          <w:del w:id="5899" w:author="AbbVie14" w:date="2025-05-09T10:33:00Z"/>
          <w:sz w:val="22"/>
          <w:szCs w:val="22"/>
        </w:rPr>
      </w:pPr>
    </w:p>
    <w:p w:rsidR="006224C2" w:rsidRPr="00295E71" w14:paraId="1D788041" w14:textId="77777777">
      <w:pPr>
        <w:tabs>
          <w:tab w:val="left" w:pos="567"/>
        </w:tabs>
        <w:jc w:val="both"/>
        <w:rPr>
          <w:del w:id="5900" w:author="AbbVie14" w:date="2025-05-09T10:33:00Z"/>
          <w:sz w:val="22"/>
          <w:szCs w:val="22"/>
        </w:rPr>
      </w:pPr>
      <w:del w:id="5901" w:author="AbbVie14" w:date="2025-05-09T10:33:00Z">
        <w:r w:rsidRPr="00295E71">
          <w:rPr>
            <w:sz w:val="22"/>
            <w:szCs w:val="22"/>
          </w:rPr>
          <w:delText>Humira è indicato nel trattamento della malattia di Crohn attiva di grado da moderato a severo in pazienti adulti che non hanno risposto ad un ciclo terapeutico completo ed adeguato a base di corticosteroidi e/o di un immunosoppressore, o nei pazienti intolleranti a tali terapie o che presentino controindicazioni mediche ad esse.</w:delText>
        </w:r>
      </w:del>
    </w:p>
    <w:p w:rsidR="006224C2" w:rsidRPr="00295E71" w14:paraId="32DCF98F" w14:textId="77777777">
      <w:pPr>
        <w:pStyle w:val="EMEANormal"/>
        <w:jc w:val="both"/>
        <w:rPr>
          <w:del w:id="5902" w:author="AbbVie14" w:date="2025-05-09T10:33:00Z"/>
          <w:lang w:val="it-IT" w:eastAsia="it-IT"/>
        </w:rPr>
      </w:pPr>
    </w:p>
    <w:p w:rsidR="006224C2" w:rsidRPr="00295E71" w14:paraId="625EA269" w14:textId="77777777">
      <w:pPr>
        <w:pStyle w:val="EMEANormal"/>
        <w:keepNext/>
        <w:keepLines/>
        <w:jc w:val="both"/>
        <w:rPr>
          <w:del w:id="5903" w:author="AbbVie14" w:date="2025-05-09T10:33:00Z"/>
          <w:u w:val="single"/>
          <w:lang w:val="it-IT" w:eastAsia="it-IT"/>
        </w:rPr>
      </w:pPr>
      <w:del w:id="5904" w:author="AbbVie14" w:date="2025-05-09T10:33:00Z">
        <w:r w:rsidRPr="00295E71">
          <w:rPr>
            <w:u w:val="single"/>
            <w:lang w:val="it-IT" w:eastAsia="it-IT"/>
          </w:rPr>
          <w:delText>Malattia di Crohn in pazienti pediatrici</w:delText>
        </w:r>
      </w:del>
    </w:p>
    <w:p w:rsidR="006224C2" w:rsidRPr="00295E71" w14:paraId="63899093" w14:textId="77777777">
      <w:pPr>
        <w:pStyle w:val="EMEANormal"/>
        <w:keepNext/>
        <w:keepLines/>
        <w:jc w:val="both"/>
        <w:rPr>
          <w:del w:id="5905" w:author="AbbVie14" w:date="2025-05-09T10:33:00Z"/>
          <w:lang w:val="it-IT" w:eastAsia="it-IT"/>
        </w:rPr>
      </w:pPr>
    </w:p>
    <w:p w:rsidR="006224C2" w:rsidRPr="00295E71" w14:paraId="2F7C4FF7" w14:textId="77777777">
      <w:pPr>
        <w:pStyle w:val="EMEANormal"/>
        <w:keepNext/>
        <w:keepLines/>
        <w:jc w:val="both"/>
        <w:rPr>
          <w:del w:id="5906" w:author="AbbVie14" w:date="2025-05-09T10:33:00Z"/>
          <w:lang w:val="it-IT"/>
        </w:rPr>
      </w:pPr>
      <w:del w:id="5907" w:author="AbbVie14" w:date="2025-05-09T10:33:00Z">
        <w:r w:rsidRPr="00295E71">
          <w:rPr>
            <w:lang w:val="it-IT"/>
          </w:rPr>
          <w:delText>Humira è indicato nel trattamento della malattia di Crohn attiva di grado da moderato a severo nei pazienti pediatrici (dai 6 anni di età) che hanno avuto una risposta inadeguata alla terapia convenzionale, inclusa la terapia nutrizionale primaria e a una terapia a base di un corticosteroide e/oad un immunomodulatore, o che sono intolleranti o hanno controindicazioni a tali terapie.</w:delText>
        </w:r>
      </w:del>
    </w:p>
    <w:p w:rsidR="006224C2" w:rsidRPr="00295E71" w14:paraId="4F14742C" w14:textId="77777777">
      <w:pPr>
        <w:rPr>
          <w:del w:id="5908" w:author="AbbVie14" w:date="2025-05-09T10:33:00Z"/>
          <w:sz w:val="22"/>
          <w:szCs w:val="22"/>
          <w:u w:val="single"/>
        </w:rPr>
      </w:pPr>
    </w:p>
    <w:p w:rsidR="006224C2" w:rsidRPr="00295E71" w14:paraId="5EB993B9" w14:textId="77777777">
      <w:pPr>
        <w:rPr>
          <w:del w:id="5909" w:author="AbbVie14" w:date="2025-05-09T10:33:00Z"/>
          <w:sz w:val="22"/>
          <w:szCs w:val="22"/>
          <w:u w:val="single"/>
        </w:rPr>
      </w:pPr>
      <w:del w:id="5910" w:author="AbbVie14" w:date="2025-05-09T10:33:00Z">
        <w:r w:rsidRPr="00295E71">
          <w:rPr>
            <w:sz w:val="22"/>
            <w:szCs w:val="22"/>
            <w:u w:val="single"/>
          </w:rPr>
          <w:delText>Colite Ulcerosa</w:delText>
        </w:r>
      </w:del>
    </w:p>
    <w:p w:rsidR="006224C2" w:rsidRPr="00295E71" w14:paraId="106514F3" w14:textId="77777777">
      <w:pPr>
        <w:tabs>
          <w:tab w:val="left" w:pos="567"/>
        </w:tabs>
        <w:jc w:val="both"/>
        <w:rPr>
          <w:del w:id="5911" w:author="AbbVie14" w:date="2025-05-09T10:33:00Z"/>
          <w:sz w:val="22"/>
          <w:szCs w:val="22"/>
        </w:rPr>
      </w:pPr>
    </w:p>
    <w:p w:rsidR="006224C2" w:rsidRPr="00295E71" w14:paraId="10E1619B" w14:textId="77777777">
      <w:pPr>
        <w:tabs>
          <w:tab w:val="left" w:pos="567"/>
        </w:tabs>
        <w:jc w:val="both"/>
        <w:rPr>
          <w:del w:id="5912" w:author="AbbVie14" w:date="2025-05-09T10:33:00Z"/>
          <w:sz w:val="22"/>
          <w:szCs w:val="22"/>
        </w:rPr>
      </w:pPr>
      <w:del w:id="5913" w:author="AbbVie14" w:date="2025-05-09T10:33:00Z">
        <w:r w:rsidRPr="00295E71">
          <w:rPr>
            <w:sz w:val="22"/>
            <w:szCs w:val="22"/>
          </w:rPr>
          <w:delText>Humira è indicato nel trattamento della colite ulcerosa attiva di grado da moderato a severo in pazienti adulti che hanno manifestato una risposta inadeguata alla terapia convenzionale inclusi i corticosteroidi e la 6</w:delText>
        </w:r>
      </w:del>
      <w:del w:id="5914" w:author="AbbVie14" w:date="2025-05-09T10:33:00Z">
        <w:r w:rsidRPr="00295E71">
          <w:rPr>
            <w:sz w:val="22"/>
            <w:szCs w:val="22"/>
          </w:rPr>
          <w:noBreakHyphen/>
          <w:delText>mercaptopurina (6-MP) o l’azatioprina (AZA) o che sono intolleranti o presentano controindicazioni a tali terapie.</w:delText>
        </w:r>
      </w:del>
    </w:p>
    <w:p w:rsidR="006224C2" w:rsidRPr="00BE7034" w14:paraId="316A3B0C" w14:textId="77777777">
      <w:pPr>
        <w:tabs>
          <w:tab w:val="left" w:pos="567"/>
        </w:tabs>
        <w:jc w:val="both"/>
        <w:rPr>
          <w:del w:id="5915" w:author="AbbVie14" w:date="2025-05-09T10:33:00Z"/>
          <w:sz w:val="22"/>
          <w:szCs w:val="22"/>
        </w:rPr>
      </w:pPr>
    </w:p>
    <w:p w:rsidR="00BE7034" w:rsidRPr="00612824" w:rsidP="00BE7034" w14:paraId="5367F6A0" w14:textId="77777777">
      <w:pPr>
        <w:rPr>
          <w:del w:id="5916" w:author="AbbVie14" w:date="2025-05-09T10:33:00Z"/>
          <w:sz w:val="22"/>
          <w:szCs w:val="22"/>
          <w:u w:val="single"/>
        </w:rPr>
      </w:pPr>
      <w:del w:id="5917" w:author="AbbVie14" w:date="2025-05-09T10:33:00Z">
        <w:r w:rsidRPr="00612824">
          <w:rPr>
            <w:sz w:val="22"/>
            <w:szCs w:val="22"/>
            <w:u w:val="single"/>
          </w:rPr>
          <w:delText>Colite ulcerosa pediatrica</w:delText>
        </w:r>
      </w:del>
    </w:p>
    <w:p w:rsidR="00BE7034" w:rsidP="00BE7034" w14:paraId="566D4BF7" w14:textId="77777777">
      <w:pPr>
        <w:rPr>
          <w:del w:id="5918" w:author="AbbVie14" w:date="2025-05-09T10:33:00Z"/>
          <w:sz w:val="22"/>
          <w:szCs w:val="22"/>
          <w:u w:val="single"/>
        </w:rPr>
      </w:pPr>
    </w:p>
    <w:p w:rsidR="007E20C8" w:rsidP="007E20C8" w14:paraId="3A081587" w14:textId="77777777">
      <w:pPr>
        <w:rPr>
          <w:del w:id="5919" w:author="AbbVie14" w:date="2025-05-09T10:33:00Z"/>
          <w:sz w:val="22"/>
          <w:szCs w:val="22"/>
        </w:rPr>
      </w:pPr>
      <w:del w:id="5920" w:author="AbbVie14" w:date="2025-05-09T10:33:00Z">
        <w:r>
          <w:rPr>
            <w:sz w:val="22"/>
            <w:szCs w:val="22"/>
          </w:rPr>
          <w:delText>Humira è indicato per il trattamento della colite ulcerosa attiva di grado da moderato a severo nei pazienti pediatrici (dai 6 anni di età) che hanno avuto una risposta inadeguata alla terapia convenzionale, inclusi corticosteroidi e/o 6-mercaptopurina (6-MP) o azatioprina (AZA), o che sono intolleranti o hanno controindicazioni mediche per tali terapie.</w:delText>
        </w:r>
      </w:del>
    </w:p>
    <w:p w:rsidR="00BE7034" w14:paraId="632EAADE" w14:textId="77777777">
      <w:pPr>
        <w:tabs>
          <w:tab w:val="left" w:pos="567"/>
        </w:tabs>
        <w:jc w:val="both"/>
        <w:rPr>
          <w:del w:id="5921" w:author="AbbVie14" w:date="2025-05-09T10:33:00Z"/>
          <w:sz w:val="22"/>
          <w:szCs w:val="22"/>
          <w:u w:val="single"/>
        </w:rPr>
      </w:pPr>
    </w:p>
    <w:p w:rsidR="006224C2" w:rsidRPr="00295E71" w14:paraId="105DE3CA" w14:textId="77777777">
      <w:pPr>
        <w:tabs>
          <w:tab w:val="left" w:pos="567"/>
        </w:tabs>
        <w:jc w:val="both"/>
        <w:rPr>
          <w:del w:id="5922" w:author="AbbVie14" w:date="2025-05-09T10:33:00Z"/>
          <w:sz w:val="22"/>
          <w:szCs w:val="22"/>
          <w:u w:val="single"/>
        </w:rPr>
      </w:pPr>
      <w:del w:id="5923" w:author="AbbVie14" w:date="2025-05-09T10:33:00Z">
        <w:r w:rsidRPr="00295E71">
          <w:rPr>
            <w:sz w:val="22"/>
            <w:szCs w:val="22"/>
            <w:u w:val="single"/>
          </w:rPr>
          <w:delText>Uveite</w:delText>
        </w:r>
      </w:del>
    </w:p>
    <w:p w:rsidR="006224C2" w:rsidRPr="00295E71" w14:paraId="7CF86763" w14:textId="77777777">
      <w:pPr>
        <w:tabs>
          <w:tab w:val="left" w:pos="567"/>
        </w:tabs>
        <w:jc w:val="both"/>
        <w:rPr>
          <w:del w:id="5924" w:author="AbbVie14" w:date="2025-05-09T10:33:00Z"/>
          <w:sz w:val="22"/>
          <w:szCs w:val="22"/>
          <w:u w:val="single"/>
        </w:rPr>
      </w:pPr>
    </w:p>
    <w:p w:rsidR="006224C2" w:rsidRPr="00295E71" w14:paraId="60A34B35" w14:textId="77777777">
      <w:pPr>
        <w:tabs>
          <w:tab w:val="left" w:pos="567"/>
        </w:tabs>
        <w:jc w:val="both"/>
        <w:rPr>
          <w:del w:id="5925" w:author="AbbVie14" w:date="2025-05-09T10:33:00Z"/>
          <w:sz w:val="22"/>
          <w:szCs w:val="22"/>
        </w:rPr>
      </w:pPr>
      <w:del w:id="5926" w:author="AbbVie14" w:date="2025-05-09T10:33:00Z">
        <w:r w:rsidRPr="00295E71">
          <w:rPr>
            <w:sz w:val="22"/>
            <w:szCs w:val="22"/>
          </w:rPr>
          <w:delText>Humira è indicato per il trattamento dell’uveite non-infettiva intermedia, posteriore e panuveite in pazienti adulti che hanno avuto una risposta inadeguata ai corticosteroidi, in pazienti che necessitano di farmaci risparmiatori di corticosteroidi o nei quali il trattamento con corticosteroidi è inappropriato.</w:delText>
        </w:r>
      </w:del>
    </w:p>
    <w:p w:rsidR="006224C2" w:rsidRPr="00295E71" w14:paraId="73890F09" w14:textId="77777777">
      <w:pPr>
        <w:tabs>
          <w:tab w:val="left" w:pos="567"/>
        </w:tabs>
        <w:jc w:val="both"/>
        <w:rPr>
          <w:del w:id="5927" w:author="AbbVie14" w:date="2025-05-09T10:33:00Z"/>
          <w:sz w:val="22"/>
          <w:szCs w:val="22"/>
        </w:rPr>
      </w:pPr>
    </w:p>
    <w:p w:rsidR="006224C2" w:rsidRPr="00295E71" w14:paraId="6C12C3DA" w14:textId="77777777">
      <w:pPr>
        <w:rPr>
          <w:del w:id="5928" w:author="AbbVie14" w:date="2025-05-09T10:33:00Z"/>
          <w:iCs/>
          <w:sz w:val="22"/>
          <w:szCs w:val="22"/>
          <w:u w:val="single"/>
        </w:rPr>
      </w:pPr>
      <w:del w:id="5929" w:author="AbbVie14" w:date="2025-05-09T10:33:00Z">
        <w:r w:rsidRPr="00295E71">
          <w:rPr>
            <w:iCs/>
            <w:sz w:val="22"/>
            <w:szCs w:val="22"/>
            <w:u w:val="single"/>
          </w:rPr>
          <w:delText>Uveite pediatrica</w:delText>
        </w:r>
      </w:del>
    </w:p>
    <w:p w:rsidR="006224C2" w:rsidRPr="00295E71" w14:paraId="26F07E81" w14:textId="77777777">
      <w:pPr>
        <w:rPr>
          <w:del w:id="5930" w:author="AbbVie14" w:date="2025-05-09T10:33:00Z"/>
          <w:iCs/>
          <w:sz w:val="22"/>
          <w:szCs w:val="22"/>
        </w:rPr>
      </w:pPr>
    </w:p>
    <w:p w:rsidR="006224C2" w:rsidRPr="00295E71" w14:paraId="7331DB86" w14:textId="77777777">
      <w:pPr>
        <w:tabs>
          <w:tab w:val="left" w:pos="567"/>
        </w:tabs>
        <w:jc w:val="both"/>
        <w:rPr>
          <w:del w:id="5931" w:author="AbbVie14" w:date="2025-05-09T10:33:00Z"/>
          <w:sz w:val="22"/>
          <w:szCs w:val="22"/>
        </w:rPr>
      </w:pPr>
      <w:del w:id="5932" w:author="AbbVie14" w:date="2025-05-09T10:33:00Z">
        <w:r w:rsidRPr="00295E71">
          <w:rPr>
            <w:iCs/>
            <w:sz w:val="22"/>
            <w:szCs w:val="22"/>
          </w:rPr>
          <w:delText xml:space="preserve">Humira è indicato per il trattamento dell’uveite anteriore </w:delText>
        </w:r>
      </w:del>
      <w:del w:id="5933" w:author="AbbVie14" w:date="2025-05-09T10:33:00Z">
        <w:r w:rsidRPr="00295E71" w:rsidR="007F44E8">
          <w:rPr>
            <w:iCs/>
            <w:sz w:val="22"/>
            <w:szCs w:val="22"/>
          </w:rPr>
          <w:delText xml:space="preserve">pediatrica </w:delText>
        </w:r>
      </w:del>
      <w:del w:id="5934" w:author="AbbVie14" w:date="2025-05-09T10:33:00Z">
        <w:r w:rsidRPr="00295E71">
          <w:rPr>
            <w:iCs/>
            <w:sz w:val="22"/>
            <w:szCs w:val="22"/>
          </w:rPr>
          <w:delText>cronica non infettiva nei pazienti dai 2 anni di età che hanno avuto una risposta inadeguata o sono intolleranti alla terapia convenzionale o per i quali la terapia convenzionale non è appropriata.</w:delText>
        </w:r>
      </w:del>
    </w:p>
    <w:p w:rsidR="006224C2" w:rsidRPr="00295E71" w14:paraId="5ABF9A84" w14:textId="77777777">
      <w:pPr>
        <w:tabs>
          <w:tab w:val="left" w:pos="567"/>
        </w:tabs>
        <w:jc w:val="both"/>
        <w:rPr>
          <w:del w:id="5935" w:author="AbbVie14" w:date="2025-05-09T10:33:00Z"/>
          <w:sz w:val="22"/>
          <w:szCs w:val="22"/>
        </w:rPr>
      </w:pPr>
    </w:p>
    <w:p w:rsidR="006224C2" w:rsidRPr="00295E71" w14:paraId="03979718" w14:textId="77777777">
      <w:pPr>
        <w:rPr>
          <w:del w:id="5936" w:author="AbbVie14" w:date="2025-05-09T10:33:00Z"/>
          <w:b/>
          <w:bCs/>
          <w:sz w:val="22"/>
          <w:szCs w:val="22"/>
        </w:rPr>
      </w:pPr>
      <w:del w:id="5937" w:author="AbbVie14" w:date="2025-05-09T10:33:00Z">
        <w:r w:rsidRPr="00295E71">
          <w:rPr>
            <w:b/>
            <w:bCs/>
            <w:sz w:val="22"/>
            <w:szCs w:val="22"/>
          </w:rPr>
          <w:delText>4.2   Posologia e modo di somministrazione</w:delText>
        </w:r>
      </w:del>
    </w:p>
    <w:p w:rsidR="006224C2" w:rsidRPr="00295E71" w14:paraId="698C1EBA" w14:textId="77777777">
      <w:pPr>
        <w:tabs>
          <w:tab w:val="left" w:pos="567"/>
        </w:tabs>
        <w:jc w:val="both"/>
        <w:rPr>
          <w:del w:id="5938" w:author="AbbVie14" w:date="2025-05-09T10:33:00Z"/>
          <w:sz w:val="22"/>
          <w:szCs w:val="22"/>
        </w:rPr>
      </w:pPr>
    </w:p>
    <w:p w:rsidR="006224C2" w:rsidRPr="00295E71" w14:paraId="3F83A973" w14:textId="77777777">
      <w:pPr>
        <w:pStyle w:val="EndnoteText"/>
        <w:jc w:val="both"/>
        <w:rPr>
          <w:del w:id="5939" w:author="AbbVie14" w:date="2025-05-09T10:33:00Z"/>
          <w:lang w:val="it-IT"/>
        </w:rPr>
      </w:pPr>
      <w:del w:id="5940" w:author="AbbVie14" w:date="2025-05-09T10:33:00Z">
        <w:r w:rsidRPr="00295E71">
          <w:rPr>
            <w:lang w:val="it-IT"/>
          </w:rPr>
          <w:delText xml:space="preserve">La terapia con Humira deve essere iniziata e monitorata da medici specialisti con esperienza nella diagnosi e nel trattamento delle patologie per cui Humira è indicato. Gli oculisti sono invitati a consultare uno specialista appropriato prima di iniziare il trattamento con Humira (vedere paragrafo 4.4). Ai pazienti trattati con Humira deve essere consegnata una </w:delText>
        </w:r>
      </w:del>
      <w:del w:id="5941" w:author="AbbVie14" w:date="2025-05-09T10:33:00Z">
        <w:r w:rsidRPr="004D7963" w:rsidR="004D7963">
          <w:rPr>
            <w:lang w:val="it-IT"/>
          </w:rPr>
          <w:delText>Scheda Promemoria per il Paziente</w:delText>
        </w:r>
      </w:del>
      <w:del w:id="5942" w:author="AbbVie14" w:date="2025-05-09T10:33:00Z">
        <w:r w:rsidRPr="00295E71">
          <w:rPr>
            <w:lang w:val="it-IT"/>
          </w:rPr>
          <w:delText>.</w:delText>
        </w:r>
      </w:del>
    </w:p>
    <w:p w:rsidR="006224C2" w:rsidRPr="00295E71" w14:paraId="39087F7D" w14:textId="77777777">
      <w:pPr>
        <w:pStyle w:val="EndnoteText"/>
        <w:jc w:val="both"/>
        <w:rPr>
          <w:del w:id="5943" w:author="AbbVie14" w:date="2025-05-09T10:33:00Z"/>
          <w:lang w:val="it-IT"/>
        </w:rPr>
      </w:pPr>
    </w:p>
    <w:p w:rsidR="006224C2" w:rsidRPr="00295E71" w14:paraId="160FA8AB" w14:textId="77777777">
      <w:pPr>
        <w:pStyle w:val="EndnoteText"/>
        <w:jc w:val="both"/>
        <w:rPr>
          <w:del w:id="5944" w:author="AbbVie14" w:date="2025-05-09T10:33:00Z"/>
          <w:lang w:val="it-IT"/>
        </w:rPr>
      </w:pPr>
      <w:del w:id="5945" w:author="AbbVie14" w:date="2025-05-09T10:33:00Z">
        <w:r w:rsidRPr="00295E71">
          <w:rPr>
            <w:lang w:val="it-IT"/>
          </w:rPr>
          <w:delText>Dopo adeguate istruzioni sulla tecnica di iniezione di Humira, i pazienti possono eseguire da soli l’iniezione, se il medico lo ritiene opportuno, e con controlli medici periodici, secondo necessità.</w:delText>
        </w:r>
      </w:del>
    </w:p>
    <w:p w:rsidR="006224C2" w:rsidRPr="00295E71" w14:paraId="71C65BD2" w14:textId="77777777">
      <w:pPr>
        <w:tabs>
          <w:tab w:val="left" w:pos="567"/>
        </w:tabs>
        <w:jc w:val="both"/>
        <w:rPr>
          <w:del w:id="5946" w:author="AbbVie14" w:date="2025-05-09T10:33:00Z"/>
          <w:sz w:val="22"/>
          <w:szCs w:val="22"/>
        </w:rPr>
      </w:pPr>
    </w:p>
    <w:p w:rsidR="006224C2" w:rsidRPr="00295E71" w14:paraId="61BD6DDD" w14:textId="77777777">
      <w:pPr>
        <w:tabs>
          <w:tab w:val="left" w:pos="567"/>
        </w:tabs>
        <w:jc w:val="both"/>
        <w:rPr>
          <w:del w:id="5947" w:author="AbbVie14" w:date="2025-05-09T10:33:00Z"/>
          <w:sz w:val="22"/>
          <w:szCs w:val="22"/>
        </w:rPr>
      </w:pPr>
      <w:del w:id="5948" w:author="AbbVie14" w:date="2025-05-09T10:33:00Z">
        <w:r w:rsidRPr="00295E71">
          <w:rPr>
            <w:sz w:val="22"/>
            <w:szCs w:val="22"/>
          </w:rPr>
          <w:delText>Durante il trattamento con Humira, le altre terapie concomitanti (per esempio, i corticosteroidi e/o gli agenti immunomodulatori) devono essere ottimizzate.</w:delText>
        </w:r>
      </w:del>
    </w:p>
    <w:p w:rsidR="006224C2" w:rsidRPr="00295E71" w14:paraId="3B2CAAC0" w14:textId="77777777">
      <w:pPr>
        <w:pStyle w:val="EndnoteText"/>
        <w:tabs>
          <w:tab w:val="clear" w:pos="567"/>
        </w:tabs>
        <w:jc w:val="both"/>
        <w:rPr>
          <w:del w:id="5949" w:author="AbbVie14" w:date="2025-05-09T10:33:00Z"/>
          <w:u w:val="single"/>
          <w:lang w:val="it-IT"/>
        </w:rPr>
      </w:pPr>
    </w:p>
    <w:p w:rsidR="006224C2" w:rsidRPr="00295E71" w14:paraId="3B9F5E11" w14:textId="77777777">
      <w:pPr>
        <w:pStyle w:val="EndnoteText"/>
        <w:tabs>
          <w:tab w:val="clear" w:pos="567"/>
        </w:tabs>
        <w:jc w:val="both"/>
        <w:rPr>
          <w:del w:id="5950" w:author="AbbVie14" w:date="2025-05-09T10:33:00Z"/>
          <w:lang w:val="it-IT" w:eastAsia="it-IT"/>
        </w:rPr>
      </w:pPr>
      <w:del w:id="5951" w:author="AbbVie14" w:date="2025-05-09T10:33:00Z">
        <w:r w:rsidRPr="00295E71">
          <w:rPr>
            <w:u w:val="single"/>
            <w:lang w:val="it-IT"/>
          </w:rPr>
          <w:delText>Posologia</w:delText>
        </w:r>
      </w:del>
    </w:p>
    <w:p w:rsidR="006224C2" w:rsidRPr="00295E71" w14:paraId="6BE8959A" w14:textId="77777777">
      <w:pPr>
        <w:pStyle w:val="EMEAFigureTitle"/>
        <w:suppressAutoHyphens w:val="0"/>
        <w:jc w:val="both"/>
        <w:rPr>
          <w:del w:id="5952" w:author="AbbVie14" w:date="2025-05-09T10:33:00Z"/>
          <w:u w:val="single"/>
          <w:lang w:val="it-IT" w:eastAsia="it-IT"/>
        </w:rPr>
      </w:pPr>
    </w:p>
    <w:p w:rsidR="006224C2" w:rsidRPr="00295E71" w14:paraId="54C03692" w14:textId="77777777">
      <w:pPr>
        <w:pStyle w:val="EMEAFigureTitle"/>
        <w:suppressAutoHyphens w:val="0"/>
        <w:jc w:val="both"/>
        <w:rPr>
          <w:del w:id="5953" w:author="AbbVie14" w:date="2025-05-09T10:33:00Z"/>
          <w:i/>
          <w:lang w:val="it-IT"/>
        </w:rPr>
      </w:pPr>
      <w:del w:id="5954" w:author="AbbVie14" w:date="2025-05-09T10:33:00Z">
        <w:r w:rsidRPr="00295E71">
          <w:rPr>
            <w:i/>
            <w:lang w:val="it-IT"/>
          </w:rPr>
          <w:delText>Artrite reumatoide</w:delText>
        </w:r>
      </w:del>
    </w:p>
    <w:p w:rsidR="006224C2" w:rsidRPr="00295E71" w14:paraId="6CFA622B" w14:textId="77777777">
      <w:pPr>
        <w:tabs>
          <w:tab w:val="left" w:pos="567"/>
        </w:tabs>
        <w:jc w:val="both"/>
        <w:rPr>
          <w:del w:id="5955" w:author="AbbVie14" w:date="2025-05-09T10:33:00Z"/>
          <w:sz w:val="22"/>
          <w:szCs w:val="22"/>
          <w:u w:val="single"/>
        </w:rPr>
      </w:pPr>
    </w:p>
    <w:p w:rsidR="006224C2" w:rsidRPr="00295E71" w14:paraId="5C94F15F" w14:textId="77777777">
      <w:pPr>
        <w:tabs>
          <w:tab w:val="left" w:pos="567"/>
        </w:tabs>
        <w:jc w:val="both"/>
        <w:rPr>
          <w:del w:id="5956" w:author="AbbVie14" w:date="2025-05-09T10:33:00Z"/>
          <w:sz w:val="22"/>
          <w:szCs w:val="22"/>
        </w:rPr>
      </w:pPr>
      <w:del w:id="5957" w:author="AbbVie14" w:date="2025-05-09T10:33:00Z">
        <w:r w:rsidRPr="00295E71">
          <w:rPr>
            <w:sz w:val="22"/>
            <w:szCs w:val="22"/>
          </w:rPr>
          <w:delText>La dose di Humira indicata per i pazienti adulti con artrite reumatoide è di 40 mg di adalimumab in un’unica somministrazione ogni due settimane per via sottocutanea. Il metotressato deve essere continuato durante il trattamento con Humira.</w:delText>
        </w:r>
      </w:del>
    </w:p>
    <w:p w:rsidR="006224C2" w:rsidRPr="00295E71" w14:paraId="58FCBD20" w14:textId="77777777">
      <w:pPr>
        <w:tabs>
          <w:tab w:val="left" w:pos="567"/>
        </w:tabs>
        <w:jc w:val="both"/>
        <w:rPr>
          <w:del w:id="5958" w:author="AbbVie14" w:date="2025-05-09T10:33:00Z"/>
          <w:sz w:val="22"/>
          <w:szCs w:val="22"/>
        </w:rPr>
      </w:pPr>
    </w:p>
    <w:p w:rsidR="006224C2" w:rsidRPr="00295E71" w14:paraId="72F058E0" w14:textId="77777777">
      <w:pPr>
        <w:tabs>
          <w:tab w:val="left" w:pos="567"/>
        </w:tabs>
        <w:jc w:val="both"/>
        <w:rPr>
          <w:del w:id="5959" w:author="AbbVie14" w:date="2025-05-09T10:33:00Z"/>
          <w:sz w:val="22"/>
          <w:szCs w:val="22"/>
        </w:rPr>
      </w:pPr>
      <w:del w:id="5960" w:author="AbbVie14" w:date="2025-05-09T10:33:00Z">
        <w:r w:rsidRPr="00295E71">
          <w:rPr>
            <w:sz w:val="22"/>
            <w:szCs w:val="22"/>
          </w:rPr>
          <w:delText>Glucocorticoidi, salicilati, farmaci anti-infiammatori non-steroidei o analgesici possono essere continuati in corso di terapia con Humira. Per quanto riguarda la combinazione con altri DMARD diversi dal metotressato vedere paragrafi 4.4 e 5.1.</w:delText>
        </w:r>
      </w:del>
    </w:p>
    <w:p w:rsidR="006224C2" w:rsidRPr="00295E71" w14:paraId="098E8AEE" w14:textId="77777777">
      <w:pPr>
        <w:tabs>
          <w:tab w:val="left" w:pos="567"/>
        </w:tabs>
        <w:jc w:val="both"/>
        <w:rPr>
          <w:del w:id="5961" w:author="AbbVie14" w:date="2025-05-09T10:33:00Z"/>
          <w:sz w:val="22"/>
          <w:szCs w:val="22"/>
        </w:rPr>
      </w:pPr>
    </w:p>
    <w:p w:rsidR="006224C2" w:rsidRPr="00295E71" w14:paraId="3C74822F" w14:textId="77777777">
      <w:pPr>
        <w:pStyle w:val="BodyText"/>
        <w:tabs>
          <w:tab w:val="left" w:pos="567"/>
        </w:tabs>
        <w:rPr>
          <w:del w:id="5962" w:author="AbbVie14" w:date="2025-05-09T10:33:00Z"/>
        </w:rPr>
      </w:pPr>
      <w:del w:id="5963" w:author="AbbVie14" w:date="2025-05-09T10:33:00Z">
        <w:r w:rsidRPr="00295E71">
          <w:delText xml:space="preserve">Alcuni pazienti che in monoterapia mostrano una riduzione nella risposta </w:delText>
        </w:r>
      </w:del>
      <w:del w:id="5964" w:author="AbbVie14" w:date="2025-05-09T10:33:00Z">
        <w:r w:rsidRPr="00295E71" w:rsidR="009C1FC3">
          <w:delText>a</w:delText>
        </w:r>
      </w:del>
      <w:del w:id="5965" w:author="AbbVie14" w:date="2025-05-09T10:33:00Z">
        <w:r w:rsidRPr="00295E71" w:rsidR="00264CAF">
          <w:delText xml:space="preserve"> 40 mg</w:delText>
        </w:r>
      </w:del>
      <w:del w:id="5966" w:author="AbbVie14" w:date="2025-05-09T10:33:00Z">
        <w:r w:rsidRPr="00295E71" w:rsidR="009C1FC3">
          <w:delText xml:space="preserve"> </w:delText>
        </w:r>
      </w:del>
      <w:del w:id="5967" w:author="AbbVie14" w:date="2025-05-09T10:33:00Z">
        <w:r w:rsidRPr="00295E71" w:rsidR="00F54387">
          <w:delText xml:space="preserve">di Humira </w:delText>
        </w:r>
      </w:del>
      <w:del w:id="5968" w:author="AbbVie14" w:date="2025-05-09T10:33:00Z">
        <w:r w:rsidRPr="00295E71" w:rsidR="001F1CC1">
          <w:delText>a settimane alterne</w:delText>
        </w:r>
      </w:del>
      <w:del w:id="5969" w:author="AbbVie14" w:date="2025-05-09T10:33:00Z">
        <w:r w:rsidRPr="00295E71" w:rsidR="00F54387">
          <w:delText xml:space="preserve"> </w:delText>
        </w:r>
      </w:del>
      <w:del w:id="5970" w:author="AbbVie14" w:date="2025-05-09T10:33:00Z">
        <w:r w:rsidRPr="00295E71">
          <w:delText>possono beneficiare di un aumento del dos</w:delText>
        </w:r>
      </w:del>
      <w:del w:id="5971" w:author="AbbVie14" w:date="2025-05-09T10:33:00Z">
        <w:r w:rsidRPr="00295E71" w:rsidR="00264CAF">
          <w:delText>aggio</w:delText>
        </w:r>
      </w:del>
      <w:del w:id="5972" w:author="AbbVie14" w:date="2025-05-09T10:33:00Z">
        <w:r w:rsidRPr="00295E71">
          <w:delText xml:space="preserve"> a 40 mg di adalimumab ogni settimana</w:delText>
        </w:r>
      </w:del>
      <w:del w:id="5973" w:author="AbbVie14" w:date="2025-05-09T10:33:00Z">
        <w:r w:rsidRPr="00295E71" w:rsidR="001F1CC1">
          <w:delText xml:space="preserve"> o 80 mg a settimane alterne</w:delText>
        </w:r>
      </w:del>
      <w:del w:id="5974" w:author="AbbVie14" w:date="2025-05-09T10:33:00Z">
        <w:r w:rsidRPr="00295E71">
          <w:delText>.</w:delText>
        </w:r>
      </w:del>
    </w:p>
    <w:p w:rsidR="006224C2" w:rsidRPr="00295E71" w14:paraId="5CB327FA" w14:textId="77777777">
      <w:pPr>
        <w:pStyle w:val="BodyText"/>
        <w:tabs>
          <w:tab w:val="left" w:pos="567"/>
        </w:tabs>
        <w:rPr>
          <w:del w:id="5975" w:author="AbbVie14" w:date="2025-05-09T10:33:00Z"/>
        </w:rPr>
      </w:pPr>
    </w:p>
    <w:p w:rsidR="006224C2" w:rsidRPr="00295E71" w14:paraId="60119908" w14:textId="77777777">
      <w:pPr>
        <w:pStyle w:val="BodyText"/>
        <w:tabs>
          <w:tab w:val="left" w:pos="567"/>
        </w:tabs>
        <w:rPr>
          <w:del w:id="5976" w:author="AbbVie14" w:date="2025-05-09T10:33:00Z"/>
        </w:rPr>
      </w:pPr>
      <w:del w:id="5977" w:author="AbbVie14" w:date="2025-05-09T10:33:00Z">
        <w:r w:rsidRPr="00295E71">
          <w:delText>I dati disponibili suggeriscono che la risposta clinica viene di solito ottenuta entro 12 settimane di trattamento. In un paziente che non risponde entro questo periodo di tempo, la continuazione della terapia deve essere riconsiderata.</w:delText>
        </w:r>
      </w:del>
    </w:p>
    <w:p w:rsidR="001F1CC1" w:rsidRPr="00295E71" w:rsidP="001F1CC1" w14:paraId="1E28A15F" w14:textId="77777777">
      <w:pPr>
        <w:tabs>
          <w:tab w:val="left" w:pos="567"/>
          <w:tab w:val="right" w:pos="9070"/>
        </w:tabs>
        <w:jc w:val="both"/>
        <w:rPr>
          <w:del w:id="5978" w:author="AbbVie14" w:date="2025-05-09T10:33:00Z"/>
          <w:sz w:val="22"/>
          <w:szCs w:val="22"/>
        </w:rPr>
      </w:pPr>
    </w:p>
    <w:p w:rsidR="001F1CC1" w:rsidRPr="00295E71" w:rsidP="001F1CC1" w14:paraId="17C38EB5" w14:textId="77777777">
      <w:pPr>
        <w:tabs>
          <w:tab w:val="left" w:pos="567"/>
          <w:tab w:val="right" w:pos="9070"/>
        </w:tabs>
        <w:jc w:val="both"/>
        <w:rPr>
          <w:del w:id="5979" w:author="AbbVie14" w:date="2025-05-09T10:33:00Z"/>
          <w:sz w:val="22"/>
          <w:szCs w:val="22"/>
        </w:rPr>
      </w:pPr>
      <w:del w:id="5980" w:author="AbbVie14" w:date="2025-05-09T10:33:00Z">
        <w:r w:rsidRPr="00295E71">
          <w:rPr>
            <w:sz w:val="22"/>
            <w:szCs w:val="22"/>
          </w:rPr>
          <w:delText>Humira può essere disponibile in altre concentrazioni e/o presentazioni a seconda delle necessità individuali di trattamento.</w:delText>
        </w:r>
      </w:del>
    </w:p>
    <w:p w:rsidR="006224C2" w:rsidRPr="00295E71" w14:paraId="44467D63" w14:textId="77777777">
      <w:pPr>
        <w:tabs>
          <w:tab w:val="left" w:pos="567"/>
        </w:tabs>
        <w:jc w:val="both"/>
        <w:rPr>
          <w:del w:id="5981" w:author="AbbVie14" w:date="2025-05-09T10:33:00Z"/>
          <w:sz w:val="22"/>
          <w:szCs w:val="22"/>
        </w:rPr>
      </w:pPr>
    </w:p>
    <w:p w:rsidR="006224C2" w:rsidRPr="00295E71" w14:paraId="5F450B51" w14:textId="77777777">
      <w:pPr>
        <w:jc w:val="both"/>
        <w:rPr>
          <w:del w:id="5982" w:author="AbbVie14" w:date="2025-05-09T10:33:00Z"/>
          <w:i/>
          <w:sz w:val="22"/>
          <w:szCs w:val="22"/>
          <w:u w:val="single"/>
        </w:rPr>
      </w:pPr>
      <w:del w:id="5983" w:author="AbbVie14" w:date="2025-05-09T10:33:00Z">
        <w:r w:rsidRPr="00295E71">
          <w:rPr>
            <w:i/>
            <w:sz w:val="22"/>
            <w:szCs w:val="22"/>
            <w:u w:val="single"/>
          </w:rPr>
          <w:delText>Sospensione della dose</w:delText>
        </w:r>
      </w:del>
    </w:p>
    <w:p w:rsidR="006224C2" w:rsidRPr="00295E71" w14:paraId="76CFFFC9" w14:textId="77777777">
      <w:pPr>
        <w:pStyle w:val="EndnoteText"/>
        <w:tabs>
          <w:tab w:val="clear" w:pos="567"/>
        </w:tabs>
        <w:jc w:val="both"/>
        <w:rPr>
          <w:del w:id="5984" w:author="AbbVie14" w:date="2025-05-09T10:33:00Z"/>
          <w:lang w:val="it-IT" w:eastAsia="it-IT"/>
        </w:rPr>
      </w:pPr>
    </w:p>
    <w:p w:rsidR="006224C2" w:rsidRPr="00295E71" w14:paraId="2494A84C" w14:textId="77777777">
      <w:pPr>
        <w:tabs>
          <w:tab w:val="left" w:pos="567"/>
        </w:tabs>
        <w:jc w:val="both"/>
        <w:rPr>
          <w:del w:id="5985" w:author="AbbVie14" w:date="2025-05-09T10:33:00Z"/>
          <w:sz w:val="22"/>
          <w:szCs w:val="22"/>
        </w:rPr>
      </w:pPr>
      <w:del w:id="5986" w:author="AbbVie14" w:date="2025-05-09T10:33:00Z">
        <w:r w:rsidRPr="00295E71">
          <w:rPr>
            <w:sz w:val="22"/>
            <w:szCs w:val="22"/>
          </w:rPr>
          <w:delText>Ci potrebbe essere necessità di interruzione della somministrazione, per esempio prima di un intervento chirurgico o in caso di grave infezione.</w:delText>
        </w:r>
      </w:del>
    </w:p>
    <w:p w:rsidR="006224C2" w:rsidRPr="00295E71" w14:paraId="76094333" w14:textId="77777777">
      <w:pPr>
        <w:tabs>
          <w:tab w:val="left" w:pos="567"/>
        </w:tabs>
        <w:jc w:val="both"/>
        <w:rPr>
          <w:del w:id="5987" w:author="AbbVie14" w:date="2025-05-09T10:33:00Z"/>
          <w:sz w:val="22"/>
          <w:szCs w:val="22"/>
        </w:rPr>
      </w:pPr>
    </w:p>
    <w:p w:rsidR="006224C2" w:rsidRPr="00295E71" w14:paraId="5C63E254" w14:textId="77777777">
      <w:pPr>
        <w:tabs>
          <w:tab w:val="left" w:pos="567"/>
        </w:tabs>
        <w:jc w:val="both"/>
        <w:rPr>
          <w:del w:id="5988" w:author="AbbVie14" w:date="2025-05-09T10:33:00Z"/>
          <w:sz w:val="22"/>
          <w:szCs w:val="22"/>
        </w:rPr>
      </w:pPr>
      <w:del w:id="5989" w:author="AbbVie14" w:date="2025-05-09T10:33:00Z">
        <w:r w:rsidRPr="00295E71">
          <w:rPr>
            <w:sz w:val="22"/>
            <w:szCs w:val="22"/>
          </w:rPr>
          <w:delText>Dati disponibili indicano che la re-introduzione di Humira, dopo sospensione di 70 giorni o più, determina una risposta clinica della stessa importanza e con un profilo di sicurezza simile rispetto a prima della sospensione del dosaggio.</w:delText>
        </w:r>
      </w:del>
    </w:p>
    <w:p w:rsidR="006224C2" w:rsidRPr="00295E71" w14:paraId="7EEE9272" w14:textId="77777777">
      <w:pPr>
        <w:tabs>
          <w:tab w:val="left" w:pos="567"/>
        </w:tabs>
        <w:jc w:val="both"/>
        <w:rPr>
          <w:del w:id="5990" w:author="AbbVie14" w:date="2025-05-09T10:33:00Z"/>
          <w:sz w:val="22"/>
          <w:szCs w:val="22"/>
        </w:rPr>
      </w:pPr>
    </w:p>
    <w:p w:rsidR="006224C2" w:rsidRPr="00295E71" w14:paraId="217508C4" w14:textId="77777777">
      <w:pPr>
        <w:keepNext/>
        <w:rPr>
          <w:del w:id="5991" w:author="AbbVie14" w:date="2025-05-09T10:33:00Z"/>
          <w:i/>
          <w:sz w:val="22"/>
          <w:szCs w:val="22"/>
        </w:rPr>
      </w:pPr>
      <w:del w:id="5992" w:author="AbbVie14" w:date="2025-05-09T10:33:00Z">
        <w:r w:rsidRPr="00295E71">
          <w:rPr>
            <w:i/>
            <w:sz w:val="22"/>
            <w:szCs w:val="22"/>
          </w:rPr>
          <w:delText>Spondilite anchilosante, spondiloartrite assiale senza evidenza radiografica di SA e artrite psoriasica</w:delText>
        </w:r>
      </w:del>
    </w:p>
    <w:p w:rsidR="006224C2" w:rsidRPr="00295E71" w14:paraId="21DE09AB" w14:textId="77777777">
      <w:pPr>
        <w:keepNext/>
        <w:tabs>
          <w:tab w:val="left" w:pos="567"/>
        </w:tabs>
        <w:jc w:val="both"/>
        <w:rPr>
          <w:del w:id="5993" w:author="AbbVie14" w:date="2025-05-09T10:33:00Z"/>
          <w:sz w:val="22"/>
          <w:szCs w:val="22"/>
        </w:rPr>
      </w:pPr>
    </w:p>
    <w:p w:rsidR="006224C2" w:rsidRPr="00295E71" w14:paraId="5E259D04" w14:textId="77777777">
      <w:pPr>
        <w:keepNext/>
        <w:tabs>
          <w:tab w:val="left" w:pos="567"/>
        </w:tabs>
        <w:jc w:val="both"/>
        <w:rPr>
          <w:del w:id="5994" w:author="AbbVie14" w:date="2025-05-09T10:33:00Z"/>
          <w:sz w:val="22"/>
          <w:szCs w:val="22"/>
        </w:rPr>
      </w:pPr>
      <w:del w:id="5995" w:author="AbbVie14" w:date="2025-05-09T10:33:00Z">
        <w:r w:rsidRPr="00295E71">
          <w:rPr>
            <w:sz w:val="22"/>
            <w:szCs w:val="22"/>
          </w:rPr>
          <w:delText>La dose raccomandata di Humira per i pazienti affetti da spondilite anchilosante, spondiloartrite assiale senza evidenza radiografica di SA e per i pazienti con artrite psoriasica è di 40 mg di adalimumab somministrati ogni due settimane in dose singola per via sottocutanea.</w:delText>
        </w:r>
      </w:del>
    </w:p>
    <w:p w:rsidR="006224C2" w:rsidRPr="00295E71" w14:paraId="64058F9F" w14:textId="77777777">
      <w:pPr>
        <w:tabs>
          <w:tab w:val="left" w:pos="567"/>
        </w:tabs>
        <w:jc w:val="both"/>
        <w:rPr>
          <w:del w:id="5996" w:author="AbbVie14" w:date="2025-05-09T10:33:00Z"/>
          <w:sz w:val="22"/>
          <w:szCs w:val="22"/>
        </w:rPr>
      </w:pPr>
    </w:p>
    <w:p w:rsidR="006224C2" w:rsidRPr="00295E71" w14:paraId="4463B98D" w14:textId="77777777">
      <w:pPr>
        <w:tabs>
          <w:tab w:val="left" w:pos="567"/>
        </w:tabs>
        <w:jc w:val="both"/>
        <w:rPr>
          <w:del w:id="5997" w:author="AbbVie14" w:date="2025-05-09T10:33:00Z"/>
          <w:sz w:val="22"/>
          <w:szCs w:val="22"/>
        </w:rPr>
      </w:pPr>
      <w:del w:id="5998" w:author="AbbVie14" w:date="2025-05-09T10:33:00Z">
        <w:r w:rsidRPr="00295E71">
          <w:rPr>
            <w:sz w:val="22"/>
            <w:szCs w:val="22"/>
          </w:rPr>
          <w:delText xml:space="preserve">I dati disponibili suggeriscono che la risposta clinica viene solitamente ottenuta entro 12 settimane dall’inizio del trattamento. In un paziente che non risponde entro questo periodo di tempo, la continuazione della terapia deve essere riconsiderata. </w:delText>
        </w:r>
      </w:del>
    </w:p>
    <w:p w:rsidR="006224C2" w:rsidRPr="00295E71" w14:paraId="40D23A8D" w14:textId="77777777">
      <w:pPr>
        <w:tabs>
          <w:tab w:val="left" w:pos="567"/>
        </w:tabs>
        <w:jc w:val="both"/>
        <w:rPr>
          <w:del w:id="5999" w:author="AbbVie14" w:date="2025-05-09T10:33:00Z"/>
          <w:sz w:val="22"/>
          <w:szCs w:val="22"/>
          <w:u w:val="single"/>
        </w:rPr>
      </w:pPr>
    </w:p>
    <w:p w:rsidR="006224C2" w:rsidRPr="00295E71" w14:paraId="5C1D1561" w14:textId="77777777">
      <w:pPr>
        <w:tabs>
          <w:tab w:val="left" w:pos="567"/>
        </w:tabs>
        <w:jc w:val="both"/>
        <w:rPr>
          <w:del w:id="6000" w:author="AbbVie14" w:date="2025-05-09T10:33:00Z"/>
          <w:i/>
          <w:sz w:val="22"/>
          <w:szCs w:val="22"/>
        </w:rPr>
      </w:pPr>
      <w:del w:id="6001" w:author="AbbVie14" w:date="2025-05-09T10:33:00Z">
        <w:r w:rsidRPr="00295E71">
          <w:rPr>
            <w:i/>
            <w:sz w:val="22"/>
            <w:szCs w:val="22"/>
          </w:rPr>
          <w:delText>Psoriasi</w:delText>
        </w:r>
      </w:del>
    </w:p>
    <w:p w:rsidR="006224C2" w:rsidRPr="00295E71" w14:paraId="62CA0221" w14:textId="77777777">
      <w:pPr>
        <w:tabs>
          <w:tab w:val="left" w:pos="567"/>
        </w:tabs>
        <w:jc w:val="both"/>
        <w:rPr>
          <w:del w:id="6002" w:author="AbbVie14" w:date="2025-05-09T10:33:00Z"/>
          <w:sz w:val="22"/>
          <w:szCs w:val="22"/>
        </w:rPr>
      </w:pPr>
    </w:p>
    <w:p w:rsidR="006224C2" w:rsidRPr="00295E71" w14:paraId="7AC0884C" w14:textId="77777777">
      <w:pPr>
        <w:tabs>
          <w:tab w:val="left" w:pos="567"/>
        </w:tabs>
        <w:jc w:val="both"/>
        <w:rPr>
          <w:del w:id="6003" w:author="AbbVie14" w:date="2025-05-09T10:33:00Z"/>
          <w:sz w:val="22"/>
          <w:szCs w:val="22"/>
        </w:rPr>
      </w:pPr>
      <w:del w:id="6004" w:author="AbbVie14" w:date="2025-05-09T10:33:00Z">
        <w:r w:rsidRPr="00295E71">
          <w:rPr>
            <w:sz w:val="22"/>
            <w:szCs w:val="22"/>
          </w:rPr>
          <w:delText>La dose raccomandata di Humira per i pazienti adulti è costituita da una dose iniziale pari a 80 mg, somministrati per via sottocutanea, seguita da una dose pari a 40 mg, per via sottocutanea, somministrati a settimane alterne, ad iniziare dalla settimana successiva all’assunzione della dose iniziale.</w:delText>
        </w:r>
      </w:del>
    </w:p>
    <w:p w:rsidR="006224C2" w:rsidRPr="00295E71" w14:paraId="4739C36B" w14:textId="77777777">
      <w:pPr>
        <w:tabs>
          <w:tab w:val="left" w:pos="567"/>
        </w:tabs>
        <w:jc w:val="both"/>
        <w:rPr>
          <w:del w:id="6005" w:author="AbbVie14" w:date="2025-05-09T10:33:00Z"/>
          <w:sz w:val="22"/>
          <w:szCs w:val="22"/>
        </w:rPr>
      </w:pPr>
    </w:p>
    <w:p w:rsidR="006224C2" w:rsidRPr="00295E71" w14:paraId="0E0ACACC" w14:textId="77777777">
      <w:pPr>
        <w:tabs>
          <w:tab w:val="left" w:pos="567"/>
        </w:tabs>
        <w:jc w:val="both"/>
        <w:rPr>
          <w:del w:id="6006" w:author="AbbVie14" w:date="2025-05-09T10:33:00Z"/>
          <w:sz w:val="22"/>
          <w:szCs w:val="22"/>
        </w:rPr>
      </w:pPr>
      <w:del w:id="6007" w:author="AbbVie14" w:date="2025-05-09T10:33:00Z">
        <w:r w:rsidRPr="00295E71">
          <w:rPr>
            <w:sz w:val="22"/>
            <w:szCs w:val="22"/>
          </w:rPr>
          <w:delText>Sarebbe opportuno valutare attentamente se sia il caso di proseguire la terapia oltre le 16 settimane qualora i pazienti non abbiano sviluppato una risposta soddisfacente entro tale periodo.</w:delText>
        </w:r>
      </w:del>
    </w:p>
    <w:p w:rsidR="006224C2" w:rsidRPr="00295E71" w14:paraId="4F12AF4D" w14:textId="77777777">
      <w:pPr>
        <w:tabs>
          <w:tab w:val="left" w:pos="567"/>
        </w:tabs>
        <w:jc w:val="both"/>
        <w:rPr>
          <w:del w:id="6008" w:author="AbbVie14" w:date="2025-05-09T10:33:00Z"/>
          <w:sz w:val="22"/>
          <w:szCs w:val="22"/>
        </w:rPr>
      </w:pPr>
    </w:p>
    <w:p w:rsidR="006224C2" w:rsidRPr="00295E71" w14:paraId="1ADC09D9" w14:textId="77777777">
      <w:pPr>
        <w:jc w:val="both"/>
        <w:rPr>
          <w:del w:id="6009" w:author="AbbVie14" w:date="2025-05-09T10:33:00Z"/>
          <w:sz w:val="22"/>
          <w:szCs w:val="22"/>
        </w:rPr>
      </w:pPr>
      <w:del w:id="6010" w:author="AbbVie14" w:date="2025-05-09T10:33:00Z">
        <w:r w:rsidRPr="00295E71">
          <w:rPr>
            <w:sz w:val="22"/>
            <w:szCs w:val="22"/>
          </w:rPr>
          <w:delText xml:space="preserve">Dopo 16 settimane, i pazienti con una risposta inadeguata </w:delText>
        </w:r>
      </w:del>
      <w:del w:id="6011" w:author="AbbVie14" w:date="2025-05-09T10:33:00Z">
        <w:r w:rsidRPr="00295E71" w:rsidR="009C1FC3">
          <w:delText xml:space="preserve">a 40 mg </w:delText>
        </w:r>
      </w:del>
      <w:del w:id="6012" w:author="AbbVie14" w:date="2025-05-09T10:33:00Z">
        <w:r w:rsidRPr="00295E71" w:rsidR="00F54387">
          <w:delText xml:space="preserve">di Humira </w:delText>
        </w:r>
      </w:del>
      <w:del w:id="6013" w:author="AbbVie14" w:date="2025-05-09T10:33:00Z">
        <w:r w:rsidRPr="00295E71" w:rsidR="009C1FC3">
          <w:delText xml:space="preserve">a settimane alterne </w:delText>
        </w:r>
      </w:del>
      <w:del w:id="6014" w:author="AbbVie14" w:date="2025-05-09T10:33:00Z">
        <w:r w:rsidRPr="00295E71">
          <w:rPr>
            <w:sz w:val="22"/>
            <w:szCs w:val="22"/>
          </w:rPr>
          <w:delText>possono beneficiare di un incremento del dos</w:delText>
        </w:r>
      </w:del>
      <w:del w:id="6015" w:author="AbbVie14" w:date="2025-05-09T10:33:00Z">
        <w:r w:rsidRPr="00295E71" w:rsidR="00CC26E4">
          <w:rPr>
            <w:sz w:val="22"/>
            <w:szCs w:val="22"/>
          </w:rPr>
          <w:delText>aggio</w:delText>
        </w:r>
      </w:del>
      <w:del w:id="6016" w:author="AbbVie14" w:date="2025-05-09T10:33:00Z">
        <w:r w:rsidRPr="00295E71">
          <w:rPr>
            <w:sz w:val="22"/>
            <w:szCs w:val="22"/>
          </w:rPr>
          <w:delText xml:space="preserve"> a 40 mg ogni settimana</w:delText>
        </w:r>
      </w:del>
      <w:del w:id="6017" w:author="AbbVie14" w:date="2025-05-09T10:33:00Z">
        <w:r w:rsidRPr="00295E71" w:rsidR="00264CAF">
          <w:rPr>
            <w:sz w:val="22"/>
            <w:szCs w:val="22"/>
          </w:rPr>
          <w:delText xml:space="preserve"> o 80 mg a settimane alterne</w:delText>
        </w:r>
      </w:del>
      <w:del w:id="6018" w:author="AbbVie14" w:date="2025-05-09T10:33:00Z">
        <w:r w:rsidRPr="00295E71">
          <w:rPr>
            <w:sz w:val="22"/>
            <w:szCs w:val="22"/>
          </w:rPr>
          <w:delText xml:space="preserve">. Devono essere attentamente riconsiderati i benefici e i rischi della terapia settimanale continuativa con </w:delText>
        </w:r>
      </w:del>
      <w:del w:id="6019" w:author="AbbVie14" w:date="2025-05-09T10:33:00Z">
        <w:r w:rsidRPr="00295E71" w:rsidR="006514C0">
          <w:rPr>
            <w:sz w:val="22"/>
            <w:szCs w:val="22"/>
          </w:rPr>
          <w:delText>40 mg</w:delText>
        </w:r>
      </w:del>
      <w:del w:id="6020" w:author="AbbVie14" w:date="2025-05-09T10:33:00Z">
        <w:r w:rsidRPr="00295E71" w:rsidR="00264CAF">
          <w:rPr>
            <w:sz w:val="22"/>
            <w:szCs w:val="22"/>
          </w:rPr>
          <w:delText xml:space="preserve"> o 80 mg a settimane alterne</w:delText>
        </w:r>
      </w:del>
      <w:del w:id="6021" w:author="AbbVie14" w:date="2025-05-09T10:33:00Z">
        <w:r w:rsidRPr="00295E71">
          <w:rPr>
            <w:sz w:val="22"/>
            <w:szCs w:val="22"/>
          </w:rPr>
          <w:delText xml:space="preserve"> in pazienti con una risposta inadeguata dopo l’aumento del dos</w:delText>
        </w:r>
      </w:del>
      <w:del w:id="6022" w:author="AbbVie14" w:date="2025-05-09T10:33:00Z">
        <w:r w:rsidRPr="00295E71" w:rsidR="00F54387">
          <w:rPr>
            <w:sz w:val="22"/>
            <w:szCs w:val="22"/>
          </w:rPr>
          <w:delText>aggio</w:delText>
        </w:r>
      </w:del>
      <w:del w:id="6023" w:author="AbbVie14" w:date="2025-05-09T10:33:00Z">
        <w:r w:rsidRPr="00295E71" w:rsidR="00AC16CE">
          <w:rPr>
            <w:sz w:val="22"/>
            <w:szCs w:val="22"/>
          </w:rPr>
          <w:delText xml:space="preserve"> (vedere paragrafo 5.1)</w:delText>
        </w:r>
      </w:del>
      <w:del w:id="6024" w:author="AbbVie14" w:date="2025-05-09T10:33:00Z">
        <w:r w:rsidRPr="00295E71">
          <w:rPr>
            <w:sz w:val="22"/>
            <w:szCs w:val="22"/>
          </w:rPr>
          <w:delText>. Se si ottiene una risposta adeguata</w:delText>
        </w:r>
      </w:del>
      <w:del w:id="6025" w:author="AbbVie14" w:date="2025-05-09T10:33:00Z">
        <w:r w:rsidRPr="00295E71" w:rsidR="00AC16CE">
          <w:rPr>
            <w:sz w:val="22"/>
            <w:szCs w:val="22"/>
          </w:rPr>
          <w:delText xml:space="preserve"> con 40 mg ogni settima</w:delText>
        </w:r>
      </w:del>
      <w:del w:id="6026" w:author="AbbVie14" w:date="2025-05-09T10:33:00Z">
        <w:r w:rsidR="006E2E3C">
          <w:rPr>
            <w:sz w:val="22"/>
            <w:szCs w:val="22"/>
          </w:rPr>
          <w:delText>n</w:delText>
        </w:r>
      </w:del>
      <w:del w:id="6027" w:author="AbbVie14" w:date="2025-05-09T10:33:00Z">
        <w:r w:rsidRPr="00295E71" w:rsidR="00AC16CE">
          <w:rPr>
            <w:sz w:val="22"/>
            <w:szCs w:val="22"/>
          </w:rPr>
          <w:delText>a o 80 mg a settimane alterne</w:delText>
        </w:r>
      </w:del>
      <w:del w:id="6028" w:author="AbbVie14" w:date="2025-05-09T10:33:00Z">
        <w:r w:rsidRPr="00295E71">
          <w:rPr>
            <w:sz w:val="22"/>
            <w:szCs w:val="22"/>
          </w:rPr>
          <w:delText xml:space="preserve">, </w:delText>
        </w:r>
      </w:del>
      <w:del w:id="6029" w:author="AbbVie14" w:date="2025-05-09T10:33:00Z">
        <w:r w:rsidRPr="00295E71" w:rsidR="00AC16CE">
          <w:rPr>
            <w:sz w:val="22"/>
            <w:szCs w:val="22"/>
          </w:rPr>
          <w:delText>i</w:delText>
        </w:r>
      </w:del>
      <w:del w:id="6030" w:author="AbbVie14" w:date="2025-05-09T10:33:00Z">
        <w:r w:rsidRPr="00295E71">
          <w:rPr>
            <w:sz w:val="22"/>
            <w:szCs w:val="22"/>
          </w:rPr>
          <w:delText>l dos</w:delText>
        </w:r>
      </w:del>
      <w:del w:id="6031" w:author="AbbVie14" w:date="2025-05-09T10:33:00Z">
        <w:r w:rsidRPr="00295E71" w:rsidR="00AC16CE">
          <w:rPr>
            <w:sz w:val="22"/>
            <w:szCs w:val="22"/>
          </w:rPr>
          <w:delText>aggio</w:delText>
        </w:r>
      </w:del>
      <w:del w:id="6032" w:author="AbbVie14" w:date="2025-05-09T10:33:00Z">
        <w:r w:rsidRPr="00295E71">
          <w:rPr>
            <w:sz w:val="22"/>
            <w:szCs w:val="22"/>
          </w:rPr>
          <w:delText xml:space="preserve"> può essere successivamente ridott</w:delText>
        </w:r>
      </w:del>
      <w:del w:id="6033" w:author="AbbVie14" w:date="2025-05-09T10:33:00Z">
        <w:r w:rsidRPr="00295E71" w:rsidR="00CC26E4">
          <w:rPr>
            <w:sz w:val="22"/>
            <w:szCs w:val="22"/>
          </w:rPr>
          <w:delText>o</w:delText>
        </w:r>
      </w:del>
      <w:del w:id="6034" w:author="AbbVie14" w:date="2025-05-09T10:33:00Z">
        <w:r w:rsidRPr="00295E71">
          <w:rPr>
            <w:sz w:val="22"/>
            <w:szCs w:val="22"/>
          </w:rPr>
          <w:delText xml:space="preserve"> a 40 mg a settimane alterne.</w:delText>
        </w:r>
      </w:del>
    </w:p>
    <w:p w:rsidR="00AC16CE" w:rsidRPr="00295E71" w14:paraId="06727A64" w14:textId="77777777">
      <w:pPr>
        <w:jc w:val="both"/>
        <w:rPr>
          <w:del w:id="6035" w:author="AbbVie14" w:date="2025-05-09T10:33:00Z"/>
          <w:sz w:val="22"/>
          <w:szCs w:val="22"/>
        </w:rPr>
      </w:pPr>
    </w:p>
    <w:p w:rsidR="00AC16CE" w:rsidRPr="00295E71" w14:paraId="70CDF66A" w14:textId="77777777">
      <w:pPr>
        <w:jc w:val="both"/>
        <w:rPr>
          <w:del w:id="6036" w:author="AbbVie14" w:date="2025-05-09T10:33:00Z"/>
          <w:sz w:val="22"/>
          <w:szCs w:val="22"/>
        </w:rPr>
      </w:pPr>
      <w:del w:id="6037" w:author="AbbVie14" w:date="2025-05-09T10:33:00Z">
        <w:r w:rsidRPr="00295E71">
          <w:rPr>
            <w:sz w:val="22"/>
            <w:szCs w:val="22"/>
          </w:rPr>
          <w:delText>Humira può essere disponibile in altre concentrazioni e/o presentazioni a seconda delle necessità individuali di trattamento.</w:delText>
        </w:r>
      </w:del>
    </w:p>
    <w:p w:rsidR="006224C2" w:rsidRPr="00295E71" w14:paraId="2873212B" w14:textId="77777777">
      <w:pPr>
        <w:rPr>
          <w:del w:id="6038" w:author="AbbVie14" w:date="2025-05-09T10:33:00Z"/>
          <w:sz w:val="22"/>
          <w:szCs w:val="22"/>
        </w:rPr>
      </w:pPr>
    </w:p>
    <w:p w:rsidR="006224C2" w:rsidRPr="00295E71" w14:paraId="63CC2E62" w14:textId="77777777">
      <w:pPr>
        <w:rPr>
          <w:del w:id="6039" w:author="AbbVie14" w:date="2025-05-09T10:33:00Z"/>
          <w:i/>
          <w:sz w:val="22"/>
          <w:szCs w:val="22"/>
        </w:rPr>
      </w:pPr>
      <w:del w:id="6040" w:author="AbbVie14" w:date="2025-05-09T10:33:00Z">
        <w:r w:rsidRPr="00295E71">
          <w:rPr>
            <w:i/>
            <w:sz w:val="22"/>
            <w:szCs w:val="22"/>
          </w:rPr>
          <w:delText>Idrosadenite Suppurativa</w:delText>
        </w:r>
      </w:del>
    </w:p>
    <w:p w:rsidR="006224C2" w:rsidRPr="00295E71" w14:paraId="2B1C558C" w14:textId="77777777">
      <w:pPr>
        <w:rPr>
          <w:del w:id="6041" w:author="AbbVie14" w:date="2025-05-09T10:33:00Z"/>
          <w:sz w:val="22"/>
          <w:szCs w:val="22"/>
        </w:rPr>
      </w:pPr>
    </w:p>
    <w:p w:rsidR="006224C2" w:rsidRPr="00295E71" w:rsidP="00396BFC" w14:paraId="790A9D91" w14:textId="77777777">
      <w:pPr>
        <w:jc w:val="both"/>
        <w:rPr>
          <w:del w:id="6042" w:author="AbbVie14" w:date="2025-05-09T10:33:00Z"/>
          <w:sz w:val="22"/>
          <w:szCs w:val="22"/>
        </w:rPr>
      </w:pPr>
      <w:del w:id="6043" w:author="AbbVie14" w:date="2025-05-09T10:33:00Z">
        <w:r w:rsidRPr="00295E71">
          <w:rPr>
            <w:sz w:val="22"/>
            <w:szCs w:val="22"/>
          </w:rPr>
          <w:delText>La dose raccomandata di Humira per i pazienti adulti con idrosadenite suppurativa (HS) è inizialmente di 160 mg al giorno 1 (somministrata</w:delText>
        </w:r>
      </w:del>
      <w:del w:id="6044" w:author="AbbVie14" w:date="2025-05-09T10:33:00Z">
        <w:r w:rsidRPr="00295E71" w:rsidR="007D7F73">
          <w:rPr>
            <w:sz w:val="22"/>
            <w:szCs w:val="22"/>
          </w:rPr>
          <w:delText xml:space="preserve"> </w:delText>
        </w:r>
      </w:del>
      <w:del w:id="6045" w:author="AbbVie14" w:date="2025-05-09T10:33:00Z">
        <w:r w:rsidRPr="00295E71">
          <w:rPr>
            <w:sz w:val="22"/>
            <w:szCs w:val="22"/>
          </w:rPr>
          <w:delText>in quattro iniezioni da 40 mg in un giorno o in due iniezioni da 40 mg al giorno per due giorni consecutivi), seguita da 80 mg due settimane dopo (giorno 15),</w:delText>
        </w:r>
      </w:del>
      <w:del w:id="6046" w:author="AbbVie14" w:date="2025-05-09T10:33:00Z">
        <w:r w:rsidRPr="00295E71" w:rsidR="006C088F">
          <w:rPr>
            <w:sz w:val="22"/>
            <w:szCs w:val="22"/>
          </w:rPr>
          <w:delText xml:space="preserve"> </w:delText>
        </w:r>
      </w:del>
      <w:del w:id="6047" w:author="AbbVie14" w:date="2025-05-09T10:33:00Z">
        <w:r w:rsidRPr="00295E71">
          <w:rPr>
            <w:sz w:val="22"/>
            <w:szCs w:val="22"/>
          </w:rPr>
          <w:delText>somministrati in due iniezioni da 40 mg</w:delText>
        </w:r>
      </w:del>
      <w:del w:id="6048" w:author="AbbVie14" w:date="2025-05-09T10:33:00Z">
        <w:r w:rsidRPr="00295E71" w:rsidR="00AC16CE">
          <w:rPr>
            <w:sz w:val="22"/>
            <w:szCs w:val="22"/>
          </w:rPr>
          <w:delText xml:space="preserve"> </w:delText>
        </w:r>
      </w:del>
      <w:del w:id="6049" w:author="AbbVie14" w:date="2025-05-09T10:33:00Z">
        <w:r w:rsidRPr="00295E71">
          <w:rPr>
            <w:sz w:val="22"/>
            <w:szCs w:val="22"/>
          </w:rPr>
          <w:delText>in un giorno. Due settimane dopo (giorno 29) continuare con una dose di 40 mg a settimana</w:delText>
        </w:r>
      </w:del>
      <w:del w:id="6050" w:author="AbbVie14" w:date="2025-05-09T10:33:00Z">
        <w:r w:rsidRPr="00295E71" w:rsidR="00396BFC">
          <w:rPr>
            <w:sz w:val="22"/>
            <w:szCs w:val="22"/>
          </w:rPr>
          <w:delText xml:space="preserve"> o 80 mg a settimane alterne</w:delText>
        </w:r>
      </w:del>
      <w:del w:id="6051" w:author="AbbVie14" w:date="2025-05-09T10:33:00Z">
        <w:r w:rsidRPr="00295E71" w:rsidR="00C16FC5">
          <w:rPr>
            <w:sz w:val="22"/>
            <w:szCs w:val="22"/>
          </w:rPr>
          <w:delText xml:space="preserve"> (</w:delText>
        </w:r>
      </w:del>
      <w:del w:id="6052" w:author="AbbVie14" w:date="2025-05-09T10:33:00Z">
        <w:r w:rsidRPr="00295E71" w:rsidR="007D7F73">
          <w:rPr>
            <w:sz w:val="22"/>
            <w:szCs w:val="22"/>
          </w:rPr>
          <w:delText>somministrata</w:delText>
        </w:r>
      </w:del>
      <w:del w:id="6053" w:author="AbbVie14" w:date="2025-05-09T10:33:00Z">
        <w:r w:rsidRPr="00295E71" w:rsidR="00C16FC5">
          <w:rPr>
            <w:sz w:val="22"/>
            <w:szCs w:val="22"/>
          </w:rPr>
          <w:delText xml:space="preserve"> in due iniezioni da 40 mg in un giorno)</w:delText>
        </w:r>
      </w:del>
      <w:del w:id="6054" w:author="AbbVie14" w:date="2025-05-09T10:33:00Z">
        <w:r w:rsidRPr="00295E71">
          <w:rPr>
            <w:sz w:val="22"/>
            <w:szCs w:val="22"/>
          </w:rPr>
          <w:delText>. Se necessario, è possibile continuare la terapia</w:delText>
        </w:r>
      </w:del>
      <w:del w:id="6055" w:author="AbbVie14" w:date="2025-05-09T10:33:00Z">
        <w:r w:rsidRPr="00295E71" w:rsidR="00C16FC5">
          <w:rPr>
            <w:sz w:val="22"/>
            <w:szCs w:val="22"/>
          </w:rPr>
          <w:delText xml:space="preserve"> </w:delText>
        </w:r>
      </w:del>
      <w:del w:id="6056" w:author="AbbVie14" w:date="2025-05-09T10:33:00Z">
        <w:r w:rsidRPr="00295E71">
          <w:rPr>
            <w:sz w:val="22"/>
            <w:szCs w:val="22"/>
          </w:rPr>
          <w:delText>antibiotica durante il trattamento con Humira.</w:delText>
        </w:r>
      </w:del>
      <w:del w:id="6057" w:author="AbbVie14" w:date="2025-05-09T10:33:00Z">
        <w:r w:rsidRPr="00295E71" w:rsidR="00C16FC5">
          <w:rPr>
            <w:sz w:val="22"/>
            <w:szCs w:val="22"/>
          </w:rPr>
          <w:delText xml:space="preserve"> </w:delText>
        </w:r>
      </w:del>
      <w:del w:id="6058" w:author="AbbVie14" w:date="2025-05-09T10:33:00Z">
        <w:r w:rsidRPr="00295E71">
          <w:rPr>
            <w:sz w:val="22"/>
            <w:szCs w:val="22"/>
          </w:rPr>
          <w:delText>Durante il trattamento con Humira si raccomanda ai pazienti di</w:delText>
        </w:r>
      </w:del>
      <w:del w:id="6059" w:author="AbbVie14" w:date="2025-05-09T10:33:00Z">
        <w:r w:rsidRPr="00295E71" w:rsidR="005E100D">
          <w:rPr>
            <w:sz w:val="22"/>
            <w:szCs w:val="22"/>
          </w:rPr>
          <w:delText xml:space="preserve"> </w:delText>
        </w:r>
      </w:del>
      <w:del w:id="6060" w:author="AbbVie14" w:date="2025-05-09T10:33:00Z">
        <w:r w:rsidRPr="00295E71">
          <w:rPr>
            <w:sz w:val="22"/>
            <w:szCs w:val="22"/>
          </w:rPr>
          <w:delText>usare tutti i giorni una soluzione di lavaggio antisettica</w:delText>
        </w:r>
      </w:del>
      <w:del w:id="6061" w:author="AbbVie14" w:date="2025-05-09T10:33:00Z">
        <w:r w:rsidR="006E2E3C">
          <w:rPr>
            <w:sz w:val="22"/>
            <w:szCs w:val="22"/>
          </w:rPr>
          <w:delText xml:space="preserve"> </w:delText>
        </w:r>
      </w:del>
      <w:del w:id="6062" w:author="AbbVie14" w:date="2025-05-09T10:33:00Z">
        <w:r w:rsidRPr="00020442" w:rsidR="006E2E3C">
          <w:rPr>
            <w:sz w:val="22"/>
            <w:szCs w:val="22"/>
          </w:rPr>
          <w:delText>topica</w:delText>
        </w:r>
      </w:del>
      <w:del w:id="6063" w:author="AbbVie14" w:date="2025-05-09T10:33:00Z">
        <w:r w:rsidRPr="00295E71">
          <w:rPr>
            <w:sz w:val="22"/>
            <w:szCs w:val="22"/>
          </w:rPr>
          <w:delText xml:space="preserve"> sulle lesioni correlate all’idrosadenite suppurativa (HS).</w:delText>
        </w:r>
      </w:del>
    </w:p>
    <w:p w:rsidR="006224C2" w:rsidRPr="00295E71" w14:paraId="274BCF58" w14:textId="77777777">
      <w:pPr>
        <w:rPr>
          <w:del w:id="6064" w:author="AbbVie14" w:date="2025-05-09T10:33:00Z"/>
          <w:sz w:val="22"/>
          <w:szCs w:val="22"/>
        </w:rPr>
      </w:pPr>
    </w:p>
    <w:p w:rsidR="006224C2" w:rsidRPr="00295E71" w14:paraId="225E2CA0" w14:textId="77777777">
      <w:pPr>
        <w:tabs>
          <w:tab w:val="left" w:pos="567"/>
        </w:tabs>
        <w:jc w:val="both"/>
        <w:rPr>
          <w:del w:id="6065" w:author="AbbVie14" w:date="2025-05-09T10:33:00Z"/>
          <w:sz w:val="22"/>
          <w:szCs w:val="22"/>
        </w:rPr>
      </w:pPr>
      <w:del w:id="6066" w:author="AbbVie14" w:date="2025-05-09T10:33:00Z">
        <w:r w:rsidRPr="00295E71">
          <w:rPr>
            <w:sz w:val="22"/>
            <w:szCs w:val="22"/>
          </w:rPr>
          <w:delText>La prosecuzione della terapia oltre 12 settimane di trattamento deve essere valutata attentamente se i pazienti non sono migliorati in tale periodo.</w:delText>
        </w:r>
      </w:del>
    </w:p>
    <w:p w:rsidR="006224C2" w:rsidRPr="00295E71" w14:paraId="11E2BECF" w14:textId="77777777">
      <w:pPr>
        <w:tabs>
          <w:tab w:val="left" w:pos="567"/>
        </w:tabs>
        <w:jc w:val="both"/>
        <w:rPr>
          <w:del w:id="6067" w:author="AbbVie14" w:date="2025-05-09T10:33:00Z"/>
          <w:sz w:val="22"/>
          <w:szCs w:val="22"/>
        </w:rPr>
      </w:pPr>
    </w:p>
    <w:p w:rsidR="006224C2" w:rsidRPr="00295E71" w14:paraId="42BEC605" w14:textId="77777777">
      <w:pPr>
        <w:tabs>
          <w:tab w:val="left" w:pos="567"/>
        </w:tabs>
        <w:jc w:val="both"/>
        <w:rPr>
          <w:del w:id="6068" w:author="AbbVie14" w:date="2025-05-09T10:33:00Z"/>
          <w:sz w:val="22"/>
          <w:szCs w:val="22"/>
        </w:rPr>
      </w:pPr>
      <w:del w:id="6069" w:author="AbbVie14" w:date="2025-05-09T10:33:00Z">
        <w:r w:rsidRPr="00295E71">
          <w:rPr>
            <w:sz w:val="22"/>
            <w:szCs w:val="22"/>
          </w:rPr>
          <w:delText xml:space="preserve">Laddove fosse necessario interrompere il trattamento, è possibile riprendere la terapia con Humira 40 mg ogni settimana </w:delText>
        </w:r>
      </w:del>
      <w:del w:id="6070" w:author="AbbVie14" w:date="2025-05-09T10:33:00Z">
        <w:r w:rsidRPr="00295E71" w:rsidR="00C16FC5">
          <w:rPr>
            <w:sz w:val="22"/>
            <w:szCs w:val="22"/>
          </w:rPr>
          <w:delText xml:space="preserve">o 80 mg a settimane alterne </w:delText>
        </w:r>
      </w:del>
      <w:del w:id="6071" w:author="AbbVie14" w:date="2025-05-09T10:33:00Z">
        <w:r w:rsidRPr="00295E71">
          <w:rPr>
            <w:sz w:val="22"/>
            <w:szCs w:val="22"/>
          </w:rPr>
          <w:delText>(vedere paragrafo 5.1).</w:delText>
        </w:r>
      </w:del>
    </w:p>
    <w:p w:rsidR="006224C2" w:rsidRPr="00295E71" w14:paraId="2BBF77D9" w14:textId="77777777">
      <w:pPr>
        <w:tabs>
          <w:tab w:val="left" w:pos="567"/>
        </w:tabs>
        <w:jc w:val="both"/>
        <w:rPr>
          <w:del w:id="6072" w:author="AbbVie14" w:date="2025-05-09T10:33:00Z"/>
          <w:sz w:val="22"/>
          <w:szCs w:val="22"/>
        </w:rPr>
      </w:pPr>
    </w:p>
    <w:p w:rsidR="006224C2" w:rsidRPr="00295E71" w14:paraId="6B6584FD" w14:textId="77777777">
      <w:pPr>
        <w:tabs>
          <w:tab w:val="left" w:pos="567"/>
        </w:tabs>
        <w:jc w:val="both"/>
        <w:rPr>
          <w:del w:id="6073" w:author="AbbVie14" w:date="2025-05-09T10:33:00Z"/>
          <w:sz w:val="22"/>
          <w:szCs w:val="22"/>
        </w:rPr>
      </w:pPr>
      <w:del w:id="6074" w:author="AbbVie14" w:date="2025-05-09T10:33:00Z">
        <w:r w:rsidRPr="00295E71">
          <w:rPr>
            <w:sz w:val="22"/>
            <w:szCs w:val="22"/>
          </w:rPr>
          <w:delText>La valutazione dei benefici e dei rischi del trattamento continuato a lungo termine deve essere effettuata periodicamente (vedere paragrafo 5.1).</w:delText>
        </w:r>
      </w:del>
    </w:p>
    <w:p w:rsidR="00C16FC5" w:rsidRPr="00295E71" w14:paraId="30ABD0DA" w14:textId="77777777">
      <w:pPr>
        <w:tabs>
          <w:tab w:val="left" w:pos="567"/>
        </w:tabs>
        <w:jc w:val="both"/>
        <w:rPr>
          <w:del w:id="6075" w:author="AbbVie14" w:date="2025-05-09T10:33:00Z"/>
          <w:sz w:val="22"/>
          <w:szCs w:val="22"/>
        </w:rPr>
      </w:pPr>
    </w:p>
    <w:p w:rsidR="00C16FC5" w:rsidRPr="00295E71" w14:paraId="4A78073F" w14:textId="77777777">
      <w:pPr>
        <w:tabs>
          <w:tab w:val="left" w:pos="567"/>
        </w:tabs>
        <w:jc w:val="both"/>
        <w:rPr>
          <w:del w:id="6076" w:author="AbbVie14" w:date="2025-05-09T10:33:00Z"/>
          <w:sz w:val="22"/>
          <w:szCs w:val="22"/>
        </w:rPr>
      </w:pPr>
      <w:del w:id="6077" w:author="AbbVie14" w:date="2025-05-09T10:33:00Z">
        <w:r w:rsidRPr="00295E71">
          <w:rPr>
            <w:sz w:val="22"/>
            <w:szCs w:val="22"/>
          </w:rPr>
          <w:delText>Humira può essere disponibile in altre concentrazioni e/o presentazioni a seconda delle necessità individuali di trattamento.</w:delText>
        </w:r>
      </w:del>
    </w:p>
    <w:p w:rsidR="006224C2" w:rsidRPr="00295E71" w14:paraId="79BAE3BC" w14:textId="77777777">
      <w:pPr>
        <w:tabs>
          <w:tab w:val="left" w:pos="567"/>
        </w:tabs>
        <w:jc w:val="both"/>
        <w:rPr>
          <w:del w:id="6078" w:author="AbbVie14" w:date="2025-05-09T10:33:00Z"/>
          <w:sz w:val="22"/>
          <w:szCs w:val="22"/>
        </w:rPr>
      </w:pPr>
    </w:p>
    <w:p w:rsidR="006224C2" w:rsidRPr="00295E71" w14:paraId="11BF9A10" w14:textId="77777777">
      <w:pPr>
        <w:keepNext/>
        <w:keepLines/>
        <w:rPr>
          <w:del w:id="6079" w:author="AbbVie14" w:date="2025-05-09T10:33:00Z"/>
          <w:i/>
          <w:sz w:val="22"/>
          <w:szCs w:val="22"/>
        </w:rPr>
      </w:pPr>
      <w:del w:id="6080" w:author="AbbVie14" w:date="2025-05-09T10:33:00Z">
        <w:r w:rsidRPr="00295E71">
          <w:rPr>
            <w:i/>
            <w:sz w:val="22"/>
            <w:szCs w:val="22"/>
          </w:rPr>
          <w:delText>Malattia di Crohn</w:delText>
        </w:r>
      </w:del>
    </w:p>
    <w:p w:rsidR="006224C2" w:rsidRPr="00295E71" w14:paraId="7E86078A" w14:textId="77777777">
      <w:pPr>
        <w:keepNext/>
        <w:keepLines/>
        <w:tabs>
          <w:tab w:val="left" w:pos="567"/>
        </w:tabs>
        <w:jc w:val="both"/>
        <w:rPr>
          <w:del w:id="6081" w:author="AbbVie14" w:date="2025-05-09T10:33:00Z"/>
          <w:sz w:val="22"/>
          <w:szCs w:val="22"/>
        </w:rPr>
      </w:pPr>
    </w:p>
    <w:p w:rsidR="006224C2" w:rsidRPr="00295E71" w14:paraId="76DC2E05" w14:textId="77777777">
      <w:pPr>
        <w:keepNext/>
        <w:keepLines/>
        <w:tabs>
          <w:tab w:val="left" w:pos="567"/>
        </w:tabs>
        <w:jc w:val="both"/>
        <w:rPr>
          <w:del w:id="6082" w:author="AbbVie14" w:date="2025-05-09T10:33:00Z"/>
          <w:sz w:val="22"/>
          <w:szCs w:val="22"/>
        </w:rPr>
      </w:pPr>
      <w:del w:id="6083" w:author="AbbVie14" w:date="2025-05-09T10:33:00Z">
        <w:r w:rsidRPr="00295E71">
          <w:rPr>
            <w:sz w:val="22"/>
            <w:szCs w:val="22"/>
          </w:rPr>
          <w:delText xml:space="preserve">La dose di Humira indicata in caso di terapia di induzione è pari a 80 mg alla settimana 0 per i pazienti adulti affetti da malattia di Crohn attiva di grado da moderato a severo, seguita da una dose di 40 mg alla settimana 2. Nel caso in cui sia necessario indurre una risposta più rapida alla terapia, può essere somministrata una dose pari a 160 mg alla settimana 0 (somministrata </w:delText>
        </w:r>
      </w:del>
      <w:del w:id="6084" w:author="AbbVie14" w:date="2025-05-09T10:33:00Z">
        <w:r w:rsidRPr="00295E71" w:rsidR="009A3769">
          <w:rPr>
            <w:sz w:val="22"/>
            <w:szCs w:val="22"/>
          </w:rPr>
          <w:delText>in</w:delText>
        </w:r>
      </w:del>
      <w:del w:id="6085" w:author="AbbVie14" w:date="2025-05-09T10:33:00Z">
        <w:r w:rsidRPr="00295E71">
          <w:rPr>
            <w:sz w:val="22"/>
            <w:szCs w:val="22"/>
          </w:rPr>
          <w:delText xml:space="preserve"> quattro iniezioni </w:delText>
        </w:r>
      </w:del>
      <w:del w:id="6086" w:author="AbbVie14" w:date="2025-05-09T10:33:00Z">
        <w:r w:rsidRPr="00295E71" w:rsidR="00C16FC5">
          <w:rPr>
            <w:sz w:val="22"/>
            <w:szCs w:val="22"/>
          </w:rPr>
          <w:delText>da 40 mg in</w:delText>
        </w:r>
      </w:del>
      <w:del w:id="6087" w:author="AbbVie14" w:date="2025-05-09T10:33:00Z">
        <w:r w:rsidRPr="00295E71">
          <w:rPr>
            <w:sz w:val="22"/>
            <w:szCs w:val="22"/>
          </w:rPr>
          <w:delText xml:space="preserve"> un giorno oppure due iniezioni </w:delText>
        </w:r>
      </w:del>
      <w:del w:id="6088" w:author="AbbVie14" w:date="2025-05-09T10:33:00Z">
        <w:r w:rsidRPr="00295E71" w:rsidR="00C16FC5">
          <w:rPr>
            <w:sz w:val="22"/>
            <w:szCs w:val="22"/>
          </w:rPr>
          <w:delText xml:space="preserve">da 40 mg </w:delText>
        </w:r>
      </w:del>
      <w:del w:id="6089" w:author="AbbVie14" w:date="2025-05-09T10:33:00Z">
        <w:r w:rsidRPr="00295E71">
          <w:rPr>
            <w:sz w:val="22"/>
            <w:szCs w:val="22"/>
          </w:rPr>
          <w:delText>al giorno per due giorni consecutivi), seguita da 80 mg alla settimana 2</w:delText>
        </w:r>
      </w:del>
      <w:del w:id="6090" w:author="AbbVie14" w:date="2025-05-09T10:33:00Z">
        <w:r w:rsidRPr="00295E71" w:rsidR="009A3769">
          <w:rPr>
            <w:sz w:val="22"/>
            <w:szCs w:val="22"/>
          </w:rPr>
          <w:delText xml:space="preserve"> (somministrata in due iniezioni da 40 mg in un giorno)</w:delText>
        </w:r>
      </w:del>
      <w:del w:id="6091" w:author="AbbVie14" w:date="2025-05-09T10:33:00Z">
        <w:r w:rsidRPr="00295E71">
          <w:rPr>
            <w:sz w:val="22"/>
            <w:szCs w:val="22"/>
          </w:rPr>
          <w:delText>, tenendo presente che il rischio di eventi avversi risulta maggiore durante l’induzione.</w:delText>
        </w:r>
      </w:del>
    </w:p>
    <w:p w:rsidR="006224C2" w:rsidRPr="00295E71" w14:paraId="77DE5D70" w14:textId="77777777">
      <w:pPr>
        <w:tabs>
          <w:tab w:val="left" w:pos="567"/>
        </w:tabs>
        <w:jc w:val="both"/>
        <w:rPr>
          <w:del w:id="6092" w:author="AbbVie14" w:date="2025-05-09T10:33:00Z"/>
          <w:sz w:val="22"/>
          <w:szCs w:val="22"/>
        </w:rPr>
      </w:pPr>
    </w:p>
    <w:p w:rsidR="006224C2" w:rsidRPr="00295E71" w14:paraId="28B399FC" w14:textId="77777777">
      <w:pPr>
        <w:rPr>
          <w:del w:id="6093" w:author="AbbVie14" w:date="2025-05-09T10:33:00Z"/>
          <w:sz w:val="22"/>
          <w:szCs w:val="22"/>
        </w:rPr>
      </w:pPr>
      <w:del w:id="6094" w:author="AbbVie14" w:date="2025-05-09T10:33:00Z">
        <w:r w:rsidRPr="00295E71">
          <w:rPr>
            <w:sz w:val="22"/>
            <w:szCs w:val="22"/>
          </w:rPr>
          <w:delText xml:space="preserve">Dopo il trattamento di induzione, la dose indicata è pari a 40 mg a settimane alterne, somministrata per via sottocutanea. In alternativa, nel caso in cui un paziente abbia interrotto il trattamento con Humira e qualora dovesse ricorrere la sintomatologia tipica della malattia, la terapia con Humira può essere somministrata nuovamente. Esistono pochi dati sulla risomministrazione di Humira qualora sia trascorso un periodo </w:delText>
        </w:r>
      </w:del>
      <w:del w:id="6095" w:author="AbbVie14" w:date="2025-05-09T10:33:00Z">
        <w:r w:rsidRPr="00020442" w:rsidR="006E2E3C">
          <w:rPr>
            <w:sz w:val="22"/>
            <w:szCs w:val="22"/>
          </w:rPr>
          <w:delText>superiore a</w:delText>
        </w:r>
      </w:del>
      <w:del w:id="6096" w:author="AbbVie14" w:date="2025-05-09T10:33:00Z">
        <w:r w:rsidRPr="00295E71">
          <w:rPr>
            <w:sz w:val="22"/>
            <w:szCs w:val="22"/>
          </w:rPr>
          <w:delText xml:space="preserve"> 8 settimane dalla somministrazione della dose precedente.</w:delText>
        </w:r>
      </w:del>
    </w:p>
    <w:p w:rsidR="006224C2" w:rsidRPr="00295E71" w14:paraId="0D271B9C" w14:textId="77777777">
      <w:pPr>
        <w:tabs>
          <w:tab w:val="left" w:pos="567"/>
        </w:tabs>
        <w:jc w:val="both"/>
        <w:rPr>
          <w:del w:id="6097" w:author="AbbVie14" w:date="2025-05-09T10:33:00Z"/>
          <w:sz w:val="22"/>
          <w:szCs w:val="22"/>
        </w:rPr>
      </w:pPr>
    </w:p>
    <w:p w:rsidR="006224C2" w:rsidRPr="00295E71" w14:paraId="305AF8F4" w14:textId="77777777">
      <w:pPr>
        <w:tabs>
          <w:tab w:val="left" w:pos="567"/>
        </w:tabs>
        <w:jc w:val="both"/>
        <w:rPr>
          <w:del w:id="6098" w:author="AbbVie14" w:date="2025-05-09T10:33:00Z"/>
          <w:sz w:val="22"/>
          <w:szCs w:val="22"/>
        </w:rPr>
      </w:pPr>
      <w:del w:id="6099" w:author="AbbVie14" w:date="2025-05-09T10:33:00Z">
        <w:r w:rsidRPr="00295E71">
          <w:rPr>
            <w:sz w:val="22"/>
            <w:szCs w:val="22"/>
          </w:rPr>
          <w:delText>Nel corso della terapia di mantenimento, il dosaggio di corticosteroidi può essere gradatamente ridotto in base alle linee guida elaborate per la gestione clinica della malattia.</w:delText>
        </w:r>
      </w:del>
    </w:p>
    <w:p w:rsidR="006224C2" w:rsidRPr="00295E71" w14:paraId="2D0D74D8" w14:textId="77777777">
      <w:pPr>
        <w:tabs>
          <w:tab w:val="left" w:pos="567"/>
        </w:tabs>
        <w:jc w:val="both"/>
        <w:rPr>
          <w:del w:id="6100" w:author="AbbVie14" w:date="2025-05-09T10:33:00Z"/>
          <w:sz w:val="22"/>
          <w:szCs w:val="22"/>
        </w:rPr>
      </w:pPr>
    </w:p>
    <w:p w:rsidR="006224C2" w:rsidRPr="00295E71" w14:paraId="784851E4" w14:textId="77777777">
      <w:pPr>
        <w:tabs>
          <w:tab w:val="left" w:pos="567"/>
        </w:tabs>
        <w:jc w:val="both"/>
        <w:rPr>
          <w:del w:id="6101" w:author="AbbVie14" w:date="2025-05-09T10:33:00Z"/>
          <w:sz w:val="22"/>
          <w:szCs w:val="22"/>
        </w:rPr>
      </w:pPr>
      <w:del w:id="6102" w:author="AbbVie14" w:date="2025-05-09T10:33:00Z">
        <w:r w:rsidRPr="00295E71">
          <w:rPr>
            <w:sz w:val="22"/>
            <w:szCs w:val="22"/>
          </w:rPr>
          <w:delText xml:space="preserve">Alcuni pazienti </w:delText>
        </w:r>
      </w:del>
      <w:del w:id="6103" w:author="AbbVie14" w:date="2025-05-09T10:33:00Z">
        <w:r w:rsidRPr="00295E71" w:rsidR="00D96CA1">
          <w:rPr>
            <w:sz w:val="22"/>
            <w:szCs w:val="22"/>
          </w:rPr>
          <w:delText>che mostrano una riduzione nel</w:delText>
        </w:r>
      </w:del>
      <w:del w:id="6104" w:author="AbbVie14" w:date="2025-05-09T10:33:00Z">
        <w:r w:rsidRPr="00295E71">
          <w:rPr>
            <w:sz w:val="22"/>
            <w:szCs w:val="22"/>
          </w:rPr>
          <w:delText xml:space="preserve">la risposta </w:delText>
        </w:r>
      </w:del>
      <w:del w:id="6105" w:author="AbbVie14" w:date="2025-05-09T10:33:00Z">
        <w:r w:rsidRPr="00295E71" w:rsidR="009C1FC3">
          <w:rPr>
            <w:sz w:val="22"/>
            <w:szCs w:val="22"/>
          </w:rPr>
          <w:delText>a 40 mg</w:delText>
        </w:r>
      </w:del>
      <w:del w:id="6106" w:author="AbbVie14" w:date="2025-05-09T10:33:00Z">
        <w:r w:rsidRPr="00295E71" w:rsidR="009A3769">
          <w:rPr>
            <w:sz w:val="22"/>
            <w:szCs w:val="22"/>
          </w:rPr>
          <w:delText xml:space="preserve"> di Humira</w:delText>
        </w:r>
      </w:del>
      <w:del w:id="6107" w:author="AbbVie14" w:date="2025-05-09T10:33:00Z">
        <w:r w:rsidRPr="00295E71" w:rsidR="009C1FC3">
          <w:rPr>
            <w:sz w:val="22"/>
            <w:szCs w:val="22"/>
          </w:rPr>
          <w:delText xml:space="preserve"> a settimane alterne</w:delText>
        </w:r>
      </w:del>
      <w:del w:id="6108" w:author="AbbVie14" w:date="2025-05-09T10:33:00Z">
        <w:r w:rsidRPr="00295E71">
          <w:rPr>
            <w:sz w:val="22"/>
            <w:szCs w:val="22"/>
          </w:rPr>
          <w:delText xml:space="preserve"> possono trarre giovamento da un aumento del </w:delText>
        </w:r>
      </w:del>
      <w:del w:id="6109" w:author="AbbVie14" w:date="2025-05-09T10:33:00Z">
        <w:r w:rsidRPr="00295E71" w:rsidR="00C16FC5">
          <w:rPr>
            <w:sz w:val="22"/>
            <w:szCs w:val="22"/>
          </w:rPr>
          <w:delText>dosaggio</w:delText>
        </w:r>
      </w:del>
      <w:del w:id="6110" w:author="AbbVie14" w:date="2025-05-09T10:33:00Z">
        <w:r w:rsidRPr="00295E71">
          <w:rPr>
            <w:sz w:val="22"/>
            <w:szCs w:val="22"/>
          </w:rPr>
          <w:delText xml:space="preserve"> a 40 mg di Humira ogni settimana</w:delText>
        </w:r>
      </w:del>
      <w:del w:id="6111" w:author="AbbVie14" w:date="2025-05-09T10:33:00Z">
        <w:r w:rsidRPr="00295E71" w:rsidR="00C16FC5">
          <w:rPr>
            <w:sz w:val="22"/>
            <w:szCs w:val="22"/>
          </w:rPr>
          <w:delText xml:space="preserve"> o 80 mg a settimane alterne</w:delText>
        </w:r>
      </w:del>
      <w:del w:id="6112" w:author="AbbVie14" w:date="2025-05-09T10:33:00Z">
        <w:r w:rsidRPr="00295E71">
          <w:rPr>
            <w:sz w:val="22"/>
            <w:szCs w:val="22"/>
          </w:rPr>
          <w:delText>.</w:delText>
        </w:r>
      </w:del>
    </w:p>
    <w:p w:rsidR="006224C2" w:rsidRPr="00295E71" w14:paraId="097A865A" w14:textId="77777777">
      <w:pPr>
        <w:tabs>
          <w:tab w:val="left" w:pos="567"/>
        </w:tabs>
        <w:jc w:val="both"/>
        <w:rPr>
          <w:del w:id="6113" w:author="AbbVie14" w:date="2025-05-09T10:33:00Z"/>
          <w:sz w:val="22"/>
          <w:szCs w:val="22"/>
        </w:rPr>
      </w:pPr>
    </w:p>
    <w:p w:rsidR="006224C2" w:rsidRPr="00295E71" w14:paraId="3C80DB2D" w14:textId="77777777">
      <w:pPr>
        <w:tabs>
          <w:tab w:val="left" w:pos="567"/>
        </w:tabs>
        <w:jc w:val="both"/>
        <w:rPr>
          <w:del w:id="6114" w:author="AbbVie14" w:date="2025-05-09T10:33:00Z"/>
          <w:sz w:val="22"/>
          <w:szCs w:val="22"/>
        </w:rPr>
      </w:pPr>
      <w:del w:id="6115" w:author="AbbVie14" w:date="2025-05-09T10:33:00Z">
        <w:r w:rsidRPr="00020442">
          <w:rPr>
            <w:sz w:val="22"/>
            <w:szCs w:val="22"/>
          </w:rPr>
          <w:delText>Alcuni</w:delText>
        </w:r>
      </w:del>
      <w:del w:id="6116" w:author="AbbVie14" w:date="2025-05-09T10:33:00Z">
        <w:r w:rsidRPr="00295E71" w:rsidR="00226BC4">
          <w:rPr>
            <w:sz w:val="22"/>
            <w:szCs w:val="22"/>
          </w:rPr>
          <w:delText xml:space="preserve"> pazienti che non hanno manifestato una risposta adeguata alla terapia entro la quarta settimana potrebbero trarre giovamento dall’istituzione di una terapia di mantenimento continuata fino alla dodicesima settimana. Nei pazienti in cui la risposta alla terapia risulti inadeguata entro questo periodo di tempo, deve essere attentamente valutata la necessità di istituire una terapia continuata.</w:delText>
        </w:r>
      </w:del>
    </w:p>
    <w:p w:rsidR="00576F06" w:rsidRPr="00295E71" w:rsidP="00576F06" w14:paraId="366514D5" w14:textId="77777777">
      <w:pPr>
        <w:tabs>
          <w:tab w:val="left" w:pos="567"/>
        </w:tabs>
        <w:jc w:val="both"/>
        <w:rPr>
          <w:del w:id="6117" w:author="AbbVie14" w:date="2025-05-09T10:33:00Z"/>
          <w:sz w:val="22"/>
          <w:szCs w:val="22"/>
        </w:rPr>
      </w:pPr>
    </w:p>
    <w:p w:rsidR="00576F06" w:rsidRPr="00295E71" w:rsidP="00576F06" w14:paraId="5EDCEDCB" w14:textId="77777777">
      <w:pPr>
        <w:tabs>
          <w:tab w:val="left" w:pos="567"/>
        </w:tabs>
        <w:jc w:val="both"/>
        <w:rPr>
          <w:del w:id="6118" w:author="AbbVie14" w:date="2025-05-09T10:33:00Z"/>
          <w:sz w:val="22"/>
          <w:szCs w:val="22"/>
        </w:rPr>
      </w:pPr>
      <w:del w:id="6119" w:author="AbbVie14" w:date="2025-05-09T10:33:00Z">
        <w:r w:rsidRPr="00295E71">
          <w:rPr>
            <w:sz w:val="22"/>
            <w:szCs w:val="22"/>
          </w:rPr>
          <w:delText>Humira può essere disponibile in altre concentrazioni e/o presentazioni a seconda delle necessità individuali di trattamento.</w:delText>
        </w:r>
      </w:del>
    </w:p>
    <w:p w:rsidR="006224C2" w:rsidRPr="00295E71" w14:paraId="5C9B6A59" w14:textId="77777777">
      <w:pPr>
        <w:tabs>
          <w:tab w:val="left" w:pos="567"/>
        </w:tabs>
        <w:jc w:val="both"/>
        <w:rPr>
          <w:del w:id="6120" w:author="AbbVie14" w:date="2025-05-09T10:33:00Z"/>
          <w:sz w:val="22"/>
          <w:szCs w:val="22"/>
        </w:rPr>
      </w:pPr>
    </w:p>
    <w:p w:rsidR="006224C2" w:rsidRPr="00295E71" w14:paraId="514BBDDC" w14:textId="77777777">
      <w:pPr>
        <w:tabs>
          <w:tab w:val="left" w:pos="567"/>
        </w:tabs>
        <w:jc w:val="both"/>
        <w:rPr>
          <w:del w:id="6121" w:author="AbbVie14" w:date="2025-05-09T10:33:00Z"/>
          <w:i/>
          <w:sz w:val="22"/>
          <w:szCs w:val="22"/>
        </w:rPr>
      </w:pPr>
      <w:del w:id="6122" w:author="AbbVie14" w:date="2025-05-09T10:33:00Z">
        <w:r w:rsidRPr="00295E71">
          <w:rPr>
            <w:i/>
            <w:sz w:val="22"/>
            <w:szCs w:val="22"/>
          </w:rPr>
          <w:delText>Colite Ulcerosa</w:delText>
        </w:r>
      </w:del>
    </w:p>
    <w:p w:rsidR="006224C2" w:rsidRPr="00295E71" w14:paraId="61BF7F7B" w14:textId="77777777">
      <w:pPr>
        <w:tabs>
          <w:tab w:val="left" w:pos="567"/>
        </w:tabs>
        <w:jc w:val="both"/>
        <w:rPr>
          <w:del w:id="6123" w:author="AbbVie14" w:date="2025-05-09T10:33:00Z"/>
          <w:sz w:val="22"/>
          <w:szCs w:val="22"/>
        </w:rPr>
      </w:pPr>
    </w:p>
    <w:p w:rsidR="006224C2" w:rsidRPr="00295E71" w14:paraId="0A8A745E" w14:textId="77777777">
      <w:pPr>
        <w:tabs>
          <w:tab w:val="left" w:pos="567"/>
        </w:tabs>
        <w:jc w:val="both"/>
        <w:rPr>
          <w:del w:id="6124" w:author="AbbVie14" w:date="2025-05-09T10:33:00Z"/>
          <w:sz w:val="22"/>
          <w:szCs w:val="22"/>
        </w:rPr>
      </w:pPr>
      <w:del w:id="6125" w:author="AbbVie14" w:date="2025-05-09T10:33:00Z">
        <w:r w:rsidRPr="00295E71">
          <w:rPr>
            <w:sz w:val="22"/>
            <w:szCs w:val="22"/>
          </w:rPr>
          <w:delText>Il regime posologico di induzione raccomandato per Humira per pazienti adulti affetti da colite ulcerosa di grado da moderato a severo è di 160 mg alla settimana 0 (somministrat</w:delText>
        </w:r>
      </w:del>
      <w:del w:id="6126" w:author="AbbVie14" w:date="2025-05-09T10:33:00Z">
        <w:r w:rsidRPr="00295E71" w:rsidR="007D7F73">
          <w:rPr>
            <w:sz w:val="22"/>
            <w:szCs w:val="22"/>
          </w:rPr>
          <w:delText>i</w:delText>
        </w:r>
      </w:del>
      <w:del w:id="6127" w:author="AbbVie14" w:date="2025-05-09T10:33:00Z">
        <w:r w:rsidRPr="00295E71">
          <w:rPr>
            <w:sz w:val="22"/>
            <w:szCs w:val="22"/>
          </w:rPr>
          <w:delText xml:space="preserve"> </w:delText>
        </w:r>
      </w:del>
      <w:del w:id="6128" w:author="AbbVie14" w:date="2025-05-09T10:33:00Z">
        <w:r w:rsidRPr="00295E71" w:rsidR="000641B9">
          <w:rPr>
            <w:sz w:val="22"/>
            <w:szCs w:val="22"/>
          </w:rPr>
          <w:delText>in</w:delText>
        </w:r>
      </w:del>
      <w:del w:id="6129" w:author="AbbVie14" w:date="2025-05-09T10:33:00Z">
        <w:r w:rsidRPr="00295E71">
          <w:rPr>
            <w:sz w:val="22"/>
            <w:szCs w:val="22"/>
          </w:rPr>
          <w:delText xml:space="preserve"> </w:delText>
        </w:r>
      </w:del>
      <w:del w:id="6130" w:author="AbbVie14" w:date="2025-05-09T10:33:00Z">
        <w:r w:rsidRPr="00295E71" w:rsidR="007D7F73">
          <w:rPr>
            <w:sz w:val="22"/>
            <w:szCs w:val="22"/>
          </w:rPr>
          <w:delText>quattro</w:delText>
        </w:r>
      </w:del>
      <w:del w:id="6131" w:author="AbbVie14" w:date="2025-05-09T10:33:00Z">
        <w:r w:rsidRPr="00295E71">
          <w:rPr>
            <w:sz w:val="22"/>
            <w:szCs w:val="22"/>
          </w:rPr>
          <w:delText xml:space="preserve"> iniezioni </w:delText>
        </w:r>
      </w:del>
      <w:del w:id="6132" w:author="AbbVie14" w:date="2025-05-09T10:33:00Z">
        <w:r w:rsidRPr="00295E71" w:rsidR="007D7F73">
          <w:rPr>
            <w:sz w:val="22"/>
            <w:szCs w:val="22"/>
          </w:rPr>
          <w:delText xml:space="preserve">da 40 mg </w:delText>
        </w:r>
      </w:del>
      <w:del w:id="6133" w:author="AbbVie14" w:date="2025-05-09T10:33:00Z">
        <w:r w:rsidRPr="00295E71">
          <w:rPr>
            <w:sz w:val="22"/>
            <w:szCs w:val="22"/>
          </w:rPr>
          <w:delText xml:space="preserve">in un giorno o come due iniezioni </w:delText>
        </w:r>
      </w:del>
      <w:del w:id="6134" w:author="AbbVie14" w:date="2025-05-09T10:33:00Z">
        <w:r w:rsidRPr="00295E71" w:rsidR="007D7F73">
          <w:rPr>
            <w:sz w:val="22"/>
            <w:szCs w:val="22"/>
          </w:rPr>
          <w:delText xml:space="preserve">da 40 mg </w:delText>
        </w:r>
      </w:del>
      <w:del w:id="6135" w:author="AbbVie14" w:date="2025-05-09T10:33:00Z">
        <w:r w:rsidRPr="00295E71">
          <w:rPr>
            <w:sz w:val="22"/>
            <w:szCs w:val="22"/>
          </w:rPr>
          <w:delText>al giorno, per due giorni consecutivi) e 80 mg alla settimana 2</w:delText>
        </w:r>
      </w:del>
      <w:del w:id="6136" w:author="AbbVie14" w:date="2025-05-09T10:33:00Z">
        <w:r w:rsidRPr="00295E71" w:rsidR="007D7F73">
          <w:delText xml:space="preserve"> (</w:delText>
        </w:r>
      </w:del>
      <w:del w:id="6137" w:author="AbbVie14" w:date="2025-05-09T10:33:00Z">
        <w:r w:rsidRPr="00295E71" w:rsidR="007D7F73">
          <w:rPr>
            <w:sz w:val="22"/>
            <w:szCs w:val="22"/>
          </w:rPr>
          <w:delText>somministrati praticando due iniezioni da 40 mg in un giorno)</w:delText>
        </w:r>
      </w:del>
      <w:del w:id="6138" w:author="AbbVie14" w:date="2025-05-09T10:33:00Z">
        <w:r w:rsidRPr="00295E71">
          <w:rPr>
            <w:sz w:val="22"/>
            <w:szCs w:val="22"/>
          </w:rPr>
          <w:delText>. Dopo il trattamento di induzione, la dose raccomandata è di 40 mg a settimane alterne per via sottocutanea.</w:delText>
        </w:r>
      </w:del>
    </w:p>
    <w:p w:rsidR="006224C2" w:rsidRPr="00295E71" w14:paraId="7C9EF616" w14:textId="77777777">
      <w:pPr>
        <w:tabs>
          <w:tab w:val="left" w:pos="567"/>
        </w:tabs>
        <w:jc w:val="both"/>
        <w:rPr>
          <w:del w:id="6139" w:author="AbbVie14" w:date="2025-05-09T10:33:00Z"/>
          <w:sz w:val="22"/>
          <w:szCs w:val="22"/>
        </w:rPr>
      </w:pPr>
    </w:p>
    <w:p w:rsidR="006224C2" w:rsidRPr="00295E71" w14:paraId="7953B62E" w14:textId="77777777">
      <w:pPr>
        <w:tabs>
          <w:tab w:val="left" w:pos="567"/>
        </w:tabs>
        <w:jc w:val="both"/>
        <w:rPr>
          <w:del w:id="6140" w:author="AbbVie14" w:date="2025-05-09T10:33:00Z"/>
          <w:sz w:val="22"/>
          <w:szCs w:val="22"/>
        </w:rPr>
      </w:pPr>
      <w:del w:id="6141" w:author="AbbVie14" w:date="2025-05-09T10:33:00Z">
        <w:r w:rsidRPr="00295E71">
          <w:rPr>
            <w:sz w:val="22"/>
            <w:szCs w:val="22"/>
          </w:rPr>
          <w:delText>Durante il trattamento di mantenimento, i corticosteroidi possono essere ridotti progressivamente in accordo alle linee</w:delText>
        </w:r>
      </w:del>
      <w:del w:id="6142" w:author="AbbVie14" w:date="2025-05-09T10:33:00Z">
        <w:r w:rsidR="006E2E3C">
          <w:rPr>
            <w:sz w:val="22"/>
            <w:szCs w:val="22"/>
          </w:rPr>
          <w:delText xml:space="preserve"> </w:delText>
        </w:r>
      </w:del>
      <w:del w:id="6143" w:author="AbbVie14" w:date="2025-05-09T10:33:00Z">
        <w:r w:rsidRPr="00295E71">
          <w:rPr>
            <w:sz w:val="22"/>
            <w:szCs w:val="22"/>
          </w:rPr>
          <w:delText>guida di pratica clinica.</w:delText>
        </w:r>
      </w:del>
    </w:p>
    <w:p w:rsidR="006224C2" w:rsidRPr="00295E71" w14:paraId="1B80FD39" w14:textId="77777777">
      <w:pPr>
        <w:tabs>
          <w:tab w:val="left" w:pos="567"/>
        </w:tabs>
        <w:jc w:val="both"/>
        <w:rPr>
          <w:del w:id="6144" w:author="AbbVie14" w:date="2025-05-09T10:33:00Z"/>
          <w:sz w:val="22"/>
          <w:szCs w:val="22"/>
        </w:rPr>
      </w:pPr>
    </w:p>
    <w:p w:rsidR="006224C2" w:rsidRPr="00295E71" w14:paraId="3E7F2695" w14:textId="77777777">
      <w:pPr>
        <w:tabs>
          <w:tab w:val="left" w:pos="567"/>
        </w:tabs>
        <w:jc w:val="both"/>
        <w:rPr>
          <w:del w:id="6145" w:author="AbbVie14" w:date="2025-05-09T10:33:00Z"/>
          <w:sz w:val="22"/>
          <w:szCs w:val="22"/>
        </w:rPr>
      </w:pPr>
      <w:del w:id="6146" w:author="AbbVie14" w:date="2025-05-09T10:33:00Z">
        <w:r w:rsidRPr="00295E71">
          <w:rPr>
            <w:sz w:val="22"/>
            <w:szCs w:val="22"/>
          </w:rPr>
          <w:delText>Alcuni</w:delText>
        </w:r>
      </w:del>
      <w:del w:id="6147" w:author="AbbVie14" w:date="2025-05-09T10:33:00Z">
        <w:r w:rsidRPr="00295E71" w:rsidR="00226BC4">
          <w:rPr>
            <w:sz w:val="22"/>
            <w:szCs w:val="22"/>
          </w:rPr>
          <w:delText xml:space="preserve"> pazienti </w:delText>
        </w:r>
      </w:del>
      <w:del w:id="6148" w:author="AbbVie14" w:date="2025-05-09T10:33:00Z">
        <w:r w:rsidRPr="00295E71" w:rsidR="00D96CA1">
          <w:rPr>
            <w:sz w:val="22"/>
            <w:szCs w:val="22"/>
          </w:rPr>
          <w:delText xml:space="preserve">che mostrano </w:delText>
        </w:r>
      </w:del>
      <w:del w:id="6149" w:author="AbbVie14" w:date="2025-05-09T10:33:00Z">
        <w:r w:rsidRPr="00295E71" w:rsidR="00226BC4">
          <w:rPr>
            <w:sz w:val="22"/>
            <w:szCs w:val="22"/>
          </w:rPr>
          <w:delText xml:space="preserve">una riduzione </w:delText>
        </w:r>
      </w:del>
      <w:del w:id="6150" w:author="AbbVie14" w:date="2025-05-09T10:33:00Z">
        <w:r w:rsidRPr="00295E71" w:rsidR="00D96CA1">
          <w:rPr>
            <w:sz w:val="22"/>
            <w:szCs w:val="22"/>
          </w:rPr>
          <w:delText>n</w:delText>
        </w:r>
      </w:del>
      <w:del w:id="6151" w:author="AbbVie14" w:date="2025-05-09T10:33:00Z">
        <w:r w:rsidRPr="00295E71" w:rsidR="00226BC4">
          <w:rPr>
            <w:sz w:val="22"/>
            <w:szCs w:val="22"/>
          </w:rPr>
          <w:delText xml:space="preserve">ella risposta </w:delText>
        </w:r>
      </w:del>
      <w:del w:id="6152" w:author="AbbVie14" w:date="2025-05-09T10:33:00Z">
        <w:r w:rsidRPr="00295E71" w:rsidR="00D96CA1">
          <w:rPr>
            <w:sz w:val="22"/>
            <w:szCs w:val="22"/>
          </w:rPr>
          <w:delText>a</w:delText>
        </w:r>
      </w:del>
      <w:del w:id="6153" w:author="AbbVie14" w:date="2025-05-09T10:33:00Z">
        <w:r w:rsidRPr="00295E71">
          <w:rPr>
            <w:sz w:val="22"/>
            <w:szCs w:val="22"/>
          </w:rPr>
          <w:delText xml:space="preserve"> 40 mg </w:delText>
        </w:r>
      </w:del>
      <w:del w:id="6154" w:author="AbbVie14" w:date="2025-05-09T10:33:00Z">
        <w:r w:rsidRPr="00295E71" w:rsidR="00C02A63">
          <w:rPr>
            <w:sz w:val="22"/>
            <w:szCs w:val="22"/>
          </w:rPr>
          <w:delText>di Humira</w:delText>
        </w:r>
      </w:del>
      <w:del w:id="6155" w:author="AbbVie14" w:date="2025-05-09T10:33:00Z">
        <w:r w:rsidRPr="00295E71" w:rsidR="00D96CA1">
          <w:rPr>
            <w:sz w:val="22"/>
            <w:szCs w:val="22"/>
          </w:rPr>
          <w:delText xml:space="preserve"> </w:delText>
        </w:r>
      </w:del>
      <w:del w:id="6156" w:author="AbbVie14" w:date="2025-05-09T10:33:00Z">
        <w:r w:rsidRPr="00295E71">
          <w:rPr>
            <w:sz w:val="22"/>
            <w:szCs w:val="22"/>
          </w:rPr>
          <w:delText xml:space="preserve">a settimane alterne </w:delText>
        </w:r>
      </w:del>
      <w:del w:id="6157" w:author="AbbVie14" w:date="2025-05-09T10:33:00Z">
        <w:r w:rsidRPr="00295E71" w:rsidR="00226BC4">
          <w:rPr>
            <w:sz w:val="22"/>
            <w:szCs w:val="22"/>
          </w:rPr>
          <w:delText xml:space="preserve">possono </w:delText>
        </w:r>
      </w:del>
      <w:del w:id="6158" w:author="AbbVie14" w:date="2025-05-09T10:33:00Z">
        <w:r w:rsidRPr="00295E71" w:rsidR="00D96CA1">
          <w:rPr>
            <w:sz w:val="22"/>
            <w:szCs w:val="22"/>
          </w:rPr>
          <w:delText>beneficiare</w:delText>
        </w:r>
      </w:del>
      <w:del w:id="6159" w:author="AbbVie14" w:date="2025-05-09T10:33:00Z">
        <w:r w:rsidRPr="00295E71" w:rsidR="00226BC4">
          <w:rPr>
            <w:sz w:val="22"/>
            <w:szCs w:val="22"/>
          </w:rPr>
          <w:delText xml:space="preserve"> d</w:delText>
        </w:r>
      </w:del>
      <w:del w:id="6160" w:author="AbbVie14" w:date="2025-05-09T10:33:00Z">
        <w:r w:rsidRPr="00295E71" w:rsidR="00D96CA1">
          <w:rPr>
            <w:sz w:val="22"/>
            <w:szCs w:val="22"/>
          </w:rPr>
          <w:delText>i</w:delText>
        </w:r>
      </w:del>
      <w:del w:id="6161" w:author="AbbVie14" w:date="2025-05-09T10:33:00Z">
        <w:r w:rsidRPr="00295E71" w:rsidR="00226BC4">
          <w:rPr>
            <w:sz w:val="22"/>
            <w:szCs w:val="22"/>
          </w:rPr>
          <w:delText xml:space="preserve"> un aumento del</w:delText>
        </w:r>
      </w:del>
      <w:del w:id="6162" w:author="AbbVie14" w:date="2025-05-09T10:33:00Z">
        <w:r w:rsidRPr="00295E71">
          <w:rPr>
            <w:sz w:val="22"/>
            <w:szCs w:val="22"/>
          </w:rPr>
          <w:delText xml:space="preserve"> dosaggio </w:delText>
        </w:r>
      </w:del>
      <w:del w:id="6163" w:author="AbbVie14" w:date="2025-05-09T10:33:00Z">
        <w:r w:rsidRPr="00295E71" w:rsidR="00226BC4">
          <w:rPr>
            <w:sz w:val="22"/>
            <w:szCs w:val="22"/>
          </w:rPr>
          <w:delText>a 40 mg di Humira ogni settimana</w:delText>
        </w:r>
      </w:del>
      <w:del w:id="6164" w:author="AbbVie14" w:date="2025-05-09T10:33:00Z">
        <w:r w:rsidRPr="00295E71">
          <w:delText xml:space="preserve"> </w:delText>
        </w:r>
      </w:del>
      <w:del w:id="6165" w:author="AbbVie14" w:date="2025-05-09T10:33:00Z">
        <w:r w:rsidRPr="00295E71">
          <w:rPr>
            <w:sz w:val="22"/>
            <w:szCs w:val="22"/>
          </w:rPr>
          <w:delText>o 80 mg a settimane alterne</w:delText>
        </w:r>
      </w:del>
      <w:del w:id="6166" w:author="AbbVie14" w:date="2025-05-09T10:33:00Z">
        <w:r w:rsidRPr="00295E71" w:rsidR="00226BC4">
          <w:rPr>
            <w:sz w:val="22"/>
            <w:szCs w:val="22"/>
          </w:rPr>
          <w:delText>.</w:delText>
        </w:r>
      </w:del>
    </w:p>
    <w:p w:rsidR="006224C2" w:rsidRPr="00295E71" w14:paraId="2EF808C8" w14:textId="77777777">
      <w:pPr>
        <w:tabs>
          <w:tab w:val="left" w:pos="567"/>
        </w:tabs>
        <w:jc w:val="both"/>
        <w:rPr>
          <w:del w:id="6167" w:author="AbbVie14" w:date="2025-05-09T10:33:00Z"/>
          <w:sz w:val="22"/>
          <w:szCs w:val="22"/>
        </w:rPr>
      </w:pPr>
    </w:p>
    <w:p w:rsidR="006224C2" w:rsidRPr="00295E71" w14:paraId="7C75B4A6" w14:textId="77777777">
      <w:pPr>
        <w:tabs>
          <w:tab w:val="left" w:pos="567"/>
        </w:tabs>
        <w:jc w:val="both"/>
        <w:rPr>
          <w:del w:id="6168" w:author="AbbVie14" w:date="2025-05-09T10:33:00Z"/>
          <w:sz w:val="22"/>
          <w:szCs w:val="22"/>
        </w:rPr>
      </w:pPr>
      <w:del w:id="6169" w:author="AbbVie14" w:date="2025-05-09T10:33:00Z">
        <w:r w:rsidRPr="00295E71">
          <w:rPr>
            <w:sz w:val="22"/>
            <w:szCs w:val="22"/>
          </w:rPr>
          <w:delText>I dati disponibili suggeriscono che la risposta clinica si raggiunge di solito entro le 2-8 settimane di trattamento.</w:delText>
        </w:r>
      </w:del>
      <w:del w:id="6170" w:author="AbbVie14" w:date="2025-05-09T10:33:00Z">
        <w:r w:rsidR="00FD5F59">
          <w:rPr>
            <w:sz w:val="22"/>
            <w:szCs w:val="22"/>
          </w:rPr>
          <w:delText xml:space="preserve"> </w:delText>
        </w:r>
      </w:del>
      <w:del w:id="6171" w:author="AbbVie14" w:date="2025-05-09T10:33:00Z">
        <w:r w:rsidRPr="00295E71">
          <w:rPr>
            <w:sz w:val="22"/>
            <w:szCs w:val="22"/>
          </w:rPr>
          <w:delText>La terapia con Humira non deve essere continuata in pazienti che non hanno risposto durante questo periodo di tempo.</w:delText>
        </w:r>
      </w:del>
    </w:p>
    <w:p w:rsidR="007D7F73" w:rsidRPr="00295E71" w14:paraId="4AA035E5" w14:textId="77777777">
      <w:pPr>
        <w:tabs>
          <w:tab w:val="left" w:pos="567"/>
        </w:tabs>
        <w:jc w:val="both"/>
        <w:rPr>
          <w:del w:id="6172" w:author="AbbVie14" w:date="2025-05-09T10:33:00Z"/>
          <w:sz w:val="22"/>
          <w:szCs w:val="22"/>
        </w:rPr>
      </w:pPr>
    </w:p>
    <w:p w:rsidR="007D7F73" w:rsidRPr="00295E71" w14:paraId="7F407A1D" w14:textId="77777777">
      <w:pPr>
        <w:tabs>
          <w:tab w:val="left" w:pos="567"/>
        </w:tabs>
        <w:jc w:val="both"/>
        <w:rPr>
          <w:del w:id="6173" w:author="AbbVie14" w:date="2025-05-09T10:33:00Z"/>
          <w:sz w:val="22"/>
          <w:szCs w:val="22"/>
        </w:rPr>
      </w:pPr>
      <w:del w:id="6174" w:author="AbbVie14" w:date="2025-05-09T10:33:00Z">
        <w:r w:rsidRPr="00295E71">
          <w:rPr>
            <w:sz w:val="22"/>
            <w:szCs w:val="22"/>
          </w:rPr>
          <w:delText>Humira può essere disponibile in altre concentrazioni e/o presentazioni a seconda delle necessità individuali di trattamento.</w:delText>
        </w:r>
      </w:del>
    </w:p>
    <w:p w:rsidR="006224C2" w:rsidRPr="00295E71" w14:paraId="6799A843" w14:textId="77777777">
      <w:pPr>
        <w:tabs>
          <w:tab w:val="left" w:pos="567"/>
        </w:tabs>
        <w:jc w:val="both"/>
        <w:rPr>
          <w:del w:id="6175" w:author="AbbVie14" w:date="2025-05-09T10:33:00Z"/>
          <w:sz w:val="22"/>
          <w:szCs w:val="22"/>
        </w:rPr>
      </w:pPr>
    </w:p>
    <w:p w:rsidR="006224C2" w:rsidRPr="00295E71" w14:paraId="0CD90AC1" w14:textId="77777777">
      <w:pPr>
        <w:tabs>
          <w:tab w:val="left" w:pos="567"/>
        </w:tabs>
        <w:jc w:val="both"/>
        <w:rPr>
          <w:del w:id="6176" w:author="AbbVie14" w:date="2025-05-09T10:33:00Z"/>
          <w:i/>
          <w:sz w:val="22"/>
          <w:szCs w:val="22"/>
        </w:rPr>
      </w:pPr>
      <w:del w:id="6177" w:author="AbbVie14" w:date="2025-05-09T10:33:00Z">
        <w:r w:rsidRPr="00295E71">
          <w:rPr>
            <w:i/>
            <w:sz w:val="22"/>
            <w:szCs w:val="22"/>
          </w:rPr>
          <w:delText>Uveite</w:delText>
        </w:r>
      </w:del>
    </w:p>
    <w:p w:rsidR="006224C2" w:rsidRPr="00295E71" w14:paraId="7D7E3D9D" w14:textId="77777777">
      <w:pPr>
        <w:tabs>
          <w:tab w:val="left" w:pos="567"/>
        </w:tabs>
        <w:jc w:val="both"/>
        <w:rPr>
          <w:del w:id="6178" w:author="AbbVie14" w:date="2025-05-09T10:33:00Z"/>
          <w:sz w:val="22"/>
          <w:szCs w:val="22"/>
        </w:rPr>
      </w:pPr>
    </w:p>
    <w:p w:rsidR="006224C2" w:rsidRPr="00295E71" w14:paraId="6F0EB661" w14:textId="77777777">
      <w:pPr>
        <w:tabs>
          <w:tab w:val="left" w:pos="567"/>
        </w:tabs>
        <w:jc w:val="both"/>
        <w:rPr>
          <w:del w:id="6179" w:author="AbbVie14" w:date="2025-05-09T10:33:00Z"/>
          <w:sz w:val="22"/>
          <w:szCs w:val="22"/>
        </w:rPr>
      </w:pPr>
      <w:del w:id="6180" w:author="AbbVie14" w:date="2025-05-09T10:33:00Z">
        <w:r w:rsidRPr="00295E71">
          <w:rPr>
            <w:sz w:val="22"/>
            <w:szCs w:val="22"/>
          </w:rPr>
          <w:delText>La dose raccomandata di Humira per i pazienti adulti affetti da uveite è una dose iniziale di 80 mg, seguita da 40 mg somministrati a settimane alterne a partire da una settimana dopo la dose iniziale. Vi è un’esperienza limitata nell’inizio del trattamento con Humira in monoterapia. Il trattamento con Humira può essere iniziato in combinazione con corticosteroidi e/o con altri agenti immunomodulatori nonbiologici. I corticosteroidi concomitanti possono essere ridotti in accordo con la pratica clinica a partire da due settimane dopo l’inizio del trattamento con Humira.</w:delText>
        </w:r>
      </w:del>
    </w:p>
    <w:p w:rsidR="006224C2" w:rsidRPr="00295E71" w14:paraId="22779B4E" w14:textId="77777777">
      <w:pPr>
        <w:tabs>
          <w:tab w:val="left" w:pos="567"/>
        </w:tabs>
        <w:jc w:val="both"/>
        <w:rPr>
          <w:del w:id="6181" w:author="AbbVie14" w:date="2025-05-09T10:33:00Z"/>
          <w:sz w:val="22"/>
          <w:szCs w:val="22"/>
        </w:rPr>
      </w:pPr>
    </w:p>
    <w:p w:rsidR="006224C2" w:rsidRPr="00295E71" w14:paraId="618DC0BF" w14:textId="77777777">
      <w:pPr>
        <w:tabs>
          <w:tab w:val="left" w:pos="567"/>
        </w:tabs>
        <w:jc w:val="both"/>
        <w:rPr>
          <w:del w:id="6182" w:author="AbbVie14" w:date="2025-05-09T10:33:00Z"/>
          <w:sz w:val="22"/>
          <w:szCs w:val="22"/>
        </w:rPr>
      </w:pPr>
      <w:del w:id="6183" w:author="AbbVie14" w:date="2025-05-09T10:33:00Z">
        <w:r w:rsidRPr="00295E71">
          <w:rPr>
            <w:sz w:val="22"/>
            <w:szCs w:val="22"/>
          </w:rPr>
          <w:delText>Si raccomanda che i benefici e i rischi del trattamento continuato a lungo termine siano valutati su base annua (vedere paragrafo 5.1).</w:delText>
        </w:r>
      </w:del>
    </w:p>
    <w:p w:rsidR="00C3103A" w:rsidRPr="00295E71" w14:paraId="16284F2F" w14:textId="77777777">
      <w:pPr>
        <w:tabs>
          <w:tab w:val="left" w:pos="567"/>
        </w:tabs>
        <w:jc w:val="both"/>
        <w:rPr>
          <w:del w:id="6184" w:author="AbbVie14" w:date="2025-05-09T10:33:00Z"/>
          <w:sz w:val="22"/>
          <w:szCs w:val="22"/>
        </w:rPr>
      </w:pPr>
    </w:p>
    <w:p w:rsidR="00C3103A" w:rsidRPr="00295E71" w14:paraId="237271DA" w14:textId="77777777">
      <w:pPr>
        <w:tabs>
          <w:tab w:val="left" w:pos="567"/>
        </w:tabs>
        <w:jc w:val="both"/>
        <w:rPr>
          <w:del w:id="6185" w:author="AbbVie14" w:date="2025-05-09T10:33:00Z"/>
          <w:sz w:val="22"/>
          <w:szCs w:val="22"/>
        </w:rPr>
      </w:pPr>
      <w:del w:id="6186" w:author="AbbVie14" w:date="2025-05-09T10:33:00Z">
        <w:r w:rsidRPr="00295E71">
          <w:rPr>
            <w:sz w:val="22"/>
            <w:szCs w:val="22"/>
          </w:rPr>
          <w:delText>Humira può essere disponibile in altre concentrazioni e/o presentazioni a seconda delle necessità individuali di trattamento.</w:delText>
        </w:r>
      </w:del>
    </w:p>
    <w:p w:rsidR="006224C2" w:rsidRPr="00295E71" w14:paraId="78867F60" w14:textId="77777777">
      <w:pPr>
        <w:tabs>
          <w:tab w:val="left" w:pos="567"/>
        </w:tabs>
        <w:jc w:val="both"/>
        <w:rPr>
          <w:del w:id="6187" w:author="AbbVie14" w:date="2025-05-09T10:33:00Z"/>
          <w:sz w:val="22"/>
          <w:szCs w:val="22"/>
        </w:rPr>
      </w:pPr>
    </w:p>
    <w:p w:rsidR="006D3828" w:rsidRPr="00295E71" w14:paraId="5AD17524" w14:textId="77777777">
      <w:pPr>
        <w:tabs>
          <w:tab w:val="left" w:pos="567"/>
        </w:tabs>
        <w:jc w:val="both"/>
        <w:rPr>
          <w:del w:id="6188" w:author="AbbVie14" w:date="2025-05-09T10:33:00Z"/>
          <w:sz w:val="22"/>
          <w:szCs w:val="22"/>
          <w:u w:val="single"/>
        </w:rPr>
      </w:pPr>
      <w:del w:id="6189" w:author="AbbVie14" w:date="2025-05-09T10:33:00Z">
        <w:r w:rsidRPr="00295E71">
          <w:rPr>
            <w:sz w:val="22"/>
            <w:szCs w:val="22"/>
            <w:u w:val="single"/>
          </w:rPr>
          <w:delText>Popolazioni speciali</w:delText>
        </w:r>
      </w:del>
    </w:p>
    <w:p w:rsidR="006D3828" w:rsidRPr="00295E71" w14:paraId="3087DC3E" w14:textId="77777777">
      <w:pPr>
        <w:tabs>
          <w:tab w:val="left" w:pos="567"/>
        </w:tabs>
        <w:jc w:val="both"/>
        <w:rPr>
          <w:del w:id="6190" w:author="AbbVie14" w:date="2025-05-09T10:33:00Z"/>
          <w:sz w:val="22"/>
          <w:szCs w:val="22"/>
          <w:u w:val="single"/>
        </w:rPr>
      </w:pPr>
    </w:p>
    <w:p w:rsidR="006224C2" w:rsidRPr="00295E71" w14:paraId="6718FB28" w14:textId="77777777">
      <w:pPr>
        <w:tabs>
          <w:tab w:val="left" w:pos="567"/>
        </w:tabs>
        <w:jc w:val="both"/>
        <w:rPr>
          <w:del w:id="6191" w:author="AbbVie14" w:date="2025-05-09T10:33:00Z"/>
          <w:sz w:val="22"/>
          <w:szCs w:val="22"/>
        </w:rPr>
      </w:pPr>
      <w:del w:id="6192" w:author="AbbVie14" w:date="2025-05-09T10:33:00Z">
        <w:r w:rsidRPr="00295E71">
          <w:rPr>
            <w:sz w:val="22"/>
            <w:szCs w:val="22"/>
          </w:rPr>
          <w:delText>Anziani</w:delText>
        </w:r>
      </w:del>
    </w:p>
    <w:p w:rsidR="006224C2" w:rsidRPr="00295E71" w14:paraId="4468160E" w14:textId="77777777">
      <w:pPr>
        <w:tabs>
          <w:tab w:val="left" w:pos="567"/>
        </w:tabs>
        <w:jc w:val="both"/>
        <w:rPr>
          <w:del w:id="6193" w:author="AbbVie14" w:date="2025-05-09T10:33:00Z"/>
          <w:sz w:val="22"/>
          <w:szCs w:val="22"/>
          <w:u w:val="single"/>
        </w:rPr>
      </w:pPr>
    </w:p>
    <w:p w:rsidR="006224C2" w:rsidRPr="00295E71" w14:paraId="6822FFD5" w14:textId="77777777">
      <w:pPr>
        <w:tabs>
          <w:tab w:val="left" w:pos="567"/>
        </w:tabs>
        <w:jc w:val="both"/>
        <w:rPr>
          <w:del w:id="6194" w:author="AbbVie14" w:date="2025-05-09T10:33:00Z"/>
          <w:color w:val="000000"/>
          <w:sz w:val="22"/>
          <w:szCs w:val="22"/>
        </w:rPr>
      </w:pPr>
      <w:del w:id="6195" w:author="AbbVie14" w:date="2025-05-09T10:33:00Z">
        <w:r w:rsidRPr="00295E71">
          <w:rPr>
            <w:color w:val="000000"/>
            <w:sz w:val="22"/>
            <w:szCs w:val="22"/>
          </w:rPr>
          <w:delText>Non sono richieste modifiche del dosaggio.</w:delText>
        </w:r>
      </w:del>
    </w:p>
    <w:p w:rsidR="006224C2" w:rsidRPr="00295E71" w14:paraId="21BD8C09" w14:textId="77777777">
      <w:pPr>
        <w:tabs>
          <w:tab w:val="left" w:pos="567"/>
        </w:tabs>
        <w:jc w:val="both"/>
        <w:rPr>
          <w:del w:id="6196" w:author="AbbVie14" w:date="2025-05-09T10:33:00Z"/>
          <w:color w:val="000000"/>
          <w:sz w:val="22"/>
          <w:szCs w:val="22"/>
        </w:rPr>
      </w:pPr>
    </w:p>
    <w:p w:rsidR="006224C2" w:rsidRPr="00295E71" w14:paraId="7FB20032" w14:textId="77777777">
      <w:pPr>
        <w:keepNext/>
        <w:rPr>
          <w:del w:id="6197" w:author="AbbVie14" w:date="2025-05-09T10:33:00Z"/>
          <w:color w:val="000000"/>
          <w:sz w:val="22"/>
          <w:szCs w:val="22"/>
          <w:u w:val="single"/>
        </w:rPr>
      </w:pPr>
      <w:del w:id="6198" w:author="AbbVie14" w:date="2025-05-09T10:33:00Z">
        <w:r w:rsidRPr="00295E71">
          <w:rPr>
            <w:color w:val="000000"/>
            <w:sz w:val="22"/>
            <w:szCs w:val="22"/>
            <w:u w:val="single"/>
          </w:rPr>
          <w:delText>Insufficienza epatica e/o renale</w:delText>
        </w:r>
      </w:del>
    </w:p>
    <w:p w:rsidR="006224C2" w:rsidRPr="00295E71" w14:paraId="6ABE7094" w14:textId="77777777">
      <w:pPr>
        <w:keepNext/>
        <w:tabs>
          <w:tab w:val="left" w:pos="567"/>
        </w:tabs>
        <w:jc w:val="both"/>
        <w:rPr>
          <w:del w:id="6199" w:author="AbbVie14" w:date="2025-05-09T10:33:00Z"/>
          <w:color w:val="000000"/>
          <w:sz w:val="22"/>
          <w:szCs w:val="22"/>
        </w:rPr>
      </w:pPr>
    </w:p>
    <w:p w:rsidR="006224C2" w:rsidRPr="00295E71" w14:paraId="26F1C5B1" w14:textId="77777777">
      <w:pPr>
        <w:keepNext/>
        <w:tabs>
          <w:tab w:val="left" w:pos="567"/>
        </w:tabs>
        <w:jc w:val="both"/>
        <w:rPr>
          <w:del w:id="6200" w:author="AbbVie14" w:date="2025-05-09T10:33:00Z"/>
          <w:color w:val="000000"/>
          <w:sz w:val="22"/>
          <w:szCs w:val="22"/>
        </w:rPr>
      </w:pPr>
      <w:del w:id="6201" w:author="AbbVie14" w:date="2025-05-09T10:33:00Z">
        <w:r w:rsidRPr="00295E71">
          <w:rPr>
            <w:color w:val="000000"/>
            <w:sz w:val="22"/>
            <w:szCs w:val="22"/>
          </w:rPr>
          <w:delText>Humira non è stato studiato in queste popolazioni di pazienti. Non possono essere fornite raccomandazioni posologiche.</w:delText>
        </w:r>
      </w:del>
    </w:p>
    <w:p w:rsidR="006224C2" w:rsidRPr="00295E71" w14:paraId="2439EEAB" w14:textId="77777777">
      <w:pPr>
        <w:tabs>
          <w:tab w:val="left" w:pos="567"/>
        </w:tabs>
        <w:jc w:val="both"/>
        <w:rPr>
          <w:del w:id="6202" w:author="AbbVie14" w:date="2025-05-09T10:33:00Z"/>
          <w:color w:val="000000"/>
          <w:sz w:val="22"/>
          <w:szCs w:val="22"/>
        </w:rPr>
      </w:pPr>
    </w:p>
    <w:p w:rsidR="006224C2" w:rsidRPr="00295E71" w14:paraId="5D85E804" w14:textId="77777777">
      <w:pPr>
        <w:rPr>
          <w:del w:id="6203" w:author="AbbVie14" w:date="2025-05-09T10:33:00Z"/>
          <w:color w:val="000000"/>
          <w:sz w:val="22"/>
          <w:szCs w:val="22"/>
        </w:rPr>
      </w:pPr>
      <w:del w:id="6204" w:author="AbbVie14" w:date="2025-05-09T10:33:00Z">
        <w:r w:rsidRPr="00295E71">
          <w:rPr>
            <w:color w:val="000000"/>
            <w:sz w:val="22"/>
            <w:szCs w:val="22"/>
          </w:rPr>
          <w:delText>Popolazione pediatrica</w:delText>
        </w:r>
      </w:del>
    </w:p>
    <w:p w:rsidR="006224C2" w:rsidRPr="00295E71" w14:paraId="7522CFBF" w14:textId="77777777">
      <w:pPr>
        <w:tabs>
          <w:tab w:val="left" w:pos="567"/>
        </w:tabs>
        <w:jc w:val="both"/>
        <w:rPr>
          <w:del w:id="6205" w:author="AbbVie14" w:date="2025-05-09T10:33:00Z"/>
          <w:color w:val="000000"/>
          <w:sz w:val="22"/>
          <w:szCs w:val="22"/>
          <w:u w:val="single"/>
        </w:rPr>
      </w:pPr>
    </w:p>
    <w:p w:rsidR="006224C2" w:rsidRPr="00295E71" w14:paraId="5388BA9C" w14:textId="77777777">
      <w:pPr>
        <w:tabs>
          <w:tab w:val="left" w:pos="567"/>
        </w:tabs>
        <w:jc w:val="both"/>
        <w:rPr>
          <w:del w:id="6206" w:author="AbbVie14" w:date="2025-05-09T10:33:00Z"/>
          <w:i/>
          <w:color w:val="000000"/>
          <w:sz w:val="22"/>
          <w:szCs w:val="22"/>
        </w:rPr>
      </w:pPr>
      <w:del w:id="6207" w:author="AbbVie14" w:date="2025-05-09T10:33:00Z">
        <w:r w:rsidRPr="00295E71">
          <w:rPr>
            <w:i/>
            <w:color w:val="000000"/>
            <w:sz w:val="22"/>
            <w:szCs w:val="22"/>
          </w:rPr>
          <w:delText>Artrite idiopatica giovanile</w:delText>
        </w:r>
      </w:del>
    </w:p>
    <w:p w:rsidR="006224C2" w:rsidRPr="00295E71" w14:paraId="3F6BE5FD" w14:textId="77777777">
      <w:pPr>
        <w:tabs>
          <w:tab w:val="left" w:pos="567"/>
        </w:tabs>
        <w:jc w:val="both"/>
        <w:rPr>
          <w:del w:id="6208" w:author="AbbVie14" w:date="2025-05-09T10:33:00Z"/>
          <w:color w:val="000000"/>
          <w:sz w:val="22"/>
          <w:szCs w:val="22"/>
          <w:u w:val="single"/>
        </w:rPr>
      </w:pPr>
    </w:p>
    <w:p w:rsidR="006224C2" w:rsidRPr="00295E71" w14:paraId="2962E34B" w14:textId="77777777">
      <w:pPr>
        <w:tabs>
          <w:tab w:val="left" w:pos="567"/>
        </w:tabs>
        <w:jc w:val="both"/>
        <w:rPr>
          <w:del w:id="6209" w:author="AbbVie14" w:date="2025-05-09T10:33:00Z"/>
          <w:i/>
          <w:color w:val="000000"/>
          <w:sz w:val="22"/>
          <w:szCs w:val="22"/>
          <w:u w:val="single"/>
        </w:rPr>
      </w:pPr>
      <w:del w:id="6210" w:author="AbbVie14" w:date="2025-05-09T10:33:00Z">
        <w:r w:rsidRPr="00295E71">
          <w:rPr>
            <w:i/>
            <w:color w:val="000000"/>
            <w:sz w:val="22"/>
            <w:szCs w:val="22"/>
            <w:u w:val="single"/>
          </w:rPr>
          <w:delText>Artrite idiopatica giovanile poliarticolare da 2 anni d’età</w:delText>
        </w:r>
      </w:del>
    </w:p>
    <w:p w:rsidR="006224C2" w:rsidRPr="00295E71" w14:paraId="51B6798E" w14:textId="77777777">
      <w:pPr>
        <w:tabs>
          <w:tab w:val="left" w:pos="567"/>
        </w:tabs>
        <w:jc w:val="both"/>
        <w:rPr>
          <w:del w:id="6211" w:author="AbbVie14" w:date="2025-05-09T10:33:00Z"/>
          <w:color w:val="000000"/>
          <w:sz w:val="22"/>
          <w:szCs w:val="22"/>
        </w:rPr>
      </w:pPr>
    </w:p>
    <w:p w:rsidR="006224C2" w:rsidRPr="00295E71" w14:paraId="60621719" w14:textId="77777777">
      <w:pPr>
        <w:tabs>
          <w:tab w:val="left" w:pos="567"/>
        </w:tabs>
        <w:rPr>
          <w:del w:id="6212" w:author="AbbVie14" w:date="2025-05-09T10:33:00Z"/>
          <w:color w:val="000000"/>
          <w:sz w:val="22"/>
          <w:szCs w:val="22"/>
        </w:rPr>
      </w:pPr>
      <w:del w:id="6213" w:author="AbbVie14" w:date="2025-05-09T10:33:00Z">
        <w:r w:rsidRPr="00295E71">
          <w:rPr>
            <w:color w:val="000000"/>
            <w:sz w:val="22"/>
            <w:szCs w:val="22"/>
          </w:rPr>
          <w:delText xml:space="preserve">La dose raccomandata di Humira per pazienti con artrite idiopatica giovanile poliarticolare da 2 </w:delText>
        </w:r>
      </w:del>
      <w:del w:id="6214" w:author="AbbVie14" w:date="2025-05-09T10:33:00Z">
        <w:r w:rsidRPr="00295E71" w:rsidR="008E060E">
          <w:rPr>
            <w:color w:val="000000"/>
            <w:sz w:val="22"/>
            <w:szCs w:val="22"/>
          </w:rPr>
          <w:delText>anni di età</w:delText>
        </w:r>
      </w:del>
      <w:del w:id="6215" w:author="AbbVie14" w:date="2025-05-09T10:33:00Z">
        <w:r w:rsidRPr="00295E71">
          <w:rPr>
            <w:color w:val="000000"/>
            <w:sz w:val="22"/>
            <w:szCs w:val="22"/>
          </w:rPr>
          <w:delText xml:space="preserve"> </w:delText>
        </w:r>
      </w:del>
      <w:del w:id="6216" w:author="AbbVie14" w:date="2025-05-09T10:33:00Z">
        <w:r w:rsidRPr="00295E71" w:rsidR="008E060E">
          <w:rPr>
            <w:color w:val="000000"/>
            <w:sz w:val="22"/>
            <w:szCs w:val="22"/>
          </w:rPr>
          <w:delText>è basata sul peso corporeo (Tabella 1). Humira è</w:delText>
        </w:r>
      </w:del>
      <w:del w:id="6217" w:author="AbbVie14" w:date="2025-05-09T10:33:00Z">
        <w:r w:rsidRPr="00295E71">
          <w:rPr>
            <w:color w:val="000000"/>
            <w:sz w:val="22"/>
            <w:szCs w:val="22"/>
          </w:rPr>
          <w:delText xml:space="preserve"> somministrat</w:delText>
        </w:r>
      </w:del>
      <w:del w:id="6218" w:author="AbbVie14" w:date="2025-05-09T10:33:00Z">
        <w:r w:rsidRPr="00295E71" w:rsidR="008E060E">
          <w:rPr>
            <w:color w:val="000000"/>
            <w:sz w:val="22"/>
            <w:szCs w:val="22"/>
          </w:rPr>
          <w:delText>o</w:delText>
        </w:r>
      </w:del>
      <w:del w:id="6219" w:author="AbbVie14" w:date="2025-05-09T10:33:00Z">
        <w:r w:rsidRPr="00295E71">
          <w:rPr>
            <w:color w:val="000000"/>
            <w:sz w:val="22"/>
            <w:szCs w:val="22"/>
          </w:rPr>
          <w:delText xml:space="preserve"> a settimane alterne </w:delText>
        </w:r>
      </w:del>
      <w:del w:id="6220" w:author="AbbVie14" w:date="2025-05-09T10:33:00Z">
        <w:r w:rsidRPr="00295E71" w:rsidR="00C21B08">
          <w:rPr>
            <w:color w:val="000000"/>
            <w:sz w:val="22"/>
            <w:szCs w:val="22"/>
          </w:rPr>
          <w:delText>attraverso iniezione</w:delText>
        </w:r>
      </w:del>
      <w:del w:id="6221" w:author="AbbVie14" w:date="2025-05-09T10:33:00Z">
        <w:r w:rsidRPr="00295E71">
          <w:rPr>
            <w:color w:val="000000"/>
            <w:sz w:val="22"/>
            <w:szCs w:val="22"/>
          </w:rPr>
          <w:delText xml:space="preserve"> sottocutanea. </w:delText>
        </w:r>
      </w:del>
      <w:del w:id="6222" w:author="AbbVie14" w:date="2025-05-09T10:33:00Z">
        <w:r w:rsidRPr="00295E71" w:rsidR="00C21B08">
          <w:rPr>
            <w:color w:val="000000"/>
            <w:sz w:val="22"/>
            <w:szCs w:val="22"/>
          </w:rPr>
          <w:delText xml:space="preserve"> </w:delText>
        </w:r>
      </w:del>
    </w:p>
    <w:p w:rsidR="006224C2" w:rsidRPr="00295E71" w14:paraId="2E1D041B" w14:textId="77777777">
      <w:pPr>
        <w:tabs>
          <w:tab w:val="left" w:pos="567"/>
        </w:tabs>
        <w:jc w:val="both"/>
        <w:rPr>
          <w:del w:id="6223" w:author="AbbVie14" w:date="2025-05-09T10:33:00Z"/>
          <w:color w:val="000000"/>
          <w:sz w:val="22"/>
          <w:szCs w:val="22"/>
        </w:rPr>
      </w:pPr>
    </w:p>
    <w:p w:rsidR="00C21B08" w:rsidRPr="00295E71" w:rsidP="00C21B08" w14:paraId="2A335A79" w14:textId="77777777">
      <w:pPr>
        <w:tabs>
          <w:tab w:val="left" w:pos="562"/>
        </w:tabs>
        <w:jc w:val="center"/>
        <w:rPr>
          <w:del w:id="6224" w:author="AbbVie14" w:date="2025-05-09T10:33:00Z"/>
          <w:b/>
          <w:color w:val="000000"/>
          <w:sz w:val="22"/>
          <w:szCs w:val="22"/>
        </w:rPr>
      </w:pPr>
      <w:del w:id="6225" w:author="AbbVie14" w:date="2025-05-09T10:33:00Z">
        <w:r w:rsidRPr="00295E71">
          <w:rPr>
            <w:b/>
            <w:color w:val="000000"/>
            <w:sz w:val="22"/>
            <w:szCs w:val="22"/>
          </w:rPr>
          <w:delText>Tabella 1. Dose di Humira per Pazienti con Artrite Idiopatica Giovanile Poliarticolare</w:delText>
        </w:r>
      </w:del>
    </w:p>
    <w:p w:rsidR="00C21B08" w:rsidRPr="00295E71" w:rsidP="00C21B08" w14:paraId="0F22A58F" w14:textId="77777777">
      <w:pPr>
        <w:tabs>
          <w:tab w:val="left" w:pos="562"/>
        </w:tabs>
        <w:jc w:val="both"/>
        <w:rPr>
          <w:del w:id="6226" w:author="AbbVie14" w:date="2025-05-09T10:33:00Z"/>
          <w:color w:val="000000"/>
          <w:sz w:val="22"/>
          <w:szCs w:val="22"/>
        </w:rPr>
      </w:pPr>
    </w:p>
    <w:tbl>
      <w:tblPr>
        <w:tblW w:w="6795" w:type="dxa"/>
        <w:jc w:val="center"/>
        <w:tblLayout w:type="fixed"/>
        <w:tblLook w:val="0000"/>
      </w:tblPr>
      <w:tblGrid>
        <w:gridCol w:w="3401"/>
        <w:gridCol w:w="3394"/>
      </w:tblGrid>
      <w:tr w14:paraId="1DFB8A48" w14:textId="77777777" w:rsidTr="00175D66">
        <w:tblPrEx>
          <w:tblW w:w="6795" w:type="dxa"/>
          <w:tblLayout w:type="fixed"/>
          <w:tblLook w:val="0000"/>
        </w:tblPrEx>
        <w:trPr>
          <w:tblHeader/>
          <w:del w:id="6227" w:author="AbbVie14" w:date="2025-05-09T10:33:00Z"/>
        </w:trPr>
        <w:tc>
          <w:tcPr>
            <w:tcW w:w="3401" w:type="dxa"/>
            <w:tcBorders>
              <w:top w:val="single" w:sz="4" w:space="0" w:color="auto"/>
              <w:bottom w:val="single" w:sz="4" w:space="0" w:color="auto"/>
            </w:tcBorders>
          </w:tcPr>
          <w:p w:rsidR="00C21B08" w:rsidRPr="00295E71" w:rsidP="00175D66" w14:paraId="3F360B02" w14:textId="77777777">
            <w:pPr>
              <w:tabs>
                <w:tab w:val="left" w:pos="567"/>
              </w:tabs>
              <w:jc w:val="center"/>
              <w:rPr>
                <w:del w:id="6228" w:author="AbbVie14" w:date="2025-05-09T10:33:00Z"/>
                <w:b/>
                <w:color w:val="000000"/>
                <w:sz w:val="22"/>
                <w:szCs w:val="22"/>
              </w:rPr>
            </w:pPr>
            <w:del w:id="6229" w:author="AbbVie14" w:date="2025-05-09T10:33:00Z">
              <w:r w:rsidRPr="00295E71">
                <w:rPr>
                  <w:b/>
                  <w:color w:val="000000"/>
                  <w:sz w:val="22"/>
                  <w:szCs w:val="22"/>
                </w:rPr>
                <w:delText>Peso del Paziente</w:delText>
              </w:r>
            </w:del>
          </w:p>
        </w:tc>
        <w:tc>
          <w:tcPr>
            <w:tcW w:w="3394" w:type="dxa"/>
            <w:tcBorders>
              <w:top w:val="single" w:sz="4" w:space="0" w:color="auto"/>
              <w:bottom w:val="single" w:sz="4" w:space="0" w:color="auto"/>
            </w:tcBorders>
          </w:tcPr>
          <w:p w:rsidR="00C21B08" w:rsidRPr="00295E71" w:rsidP="00175D66" w14:paraId="17511E13" w14:textId="77777777">
            <w:pPr>
              <w:tabs>
                <w:tab w:val="left" w:pos="567"/>
              </w:tabs>
              <w:jc w:val="center"/>
              <w:rPr>
                <w:del w:id="6230" w:author="AbbVie14" w:date="2025-05-09T10:33:00Z"/>
                <w:b/>
                <w:color w:val="000000"/>
                <w:sz w:val="22"/>
                <w:szCs w:val="22"/>
              </w:rPr>
            </w:pPr>
            <w:del w:id="6231" w:author="AbbVie14" w:date="2025-05-09T10:33:00Z">
              <w:r w:rsidRPr="00295E71">
                <w:rPr>
                  <w:b/>
                  <w:color w:val="000000"/>
                  <w:sz w:val="22"/>
                  <w:szCs w:val="22"/>
                </w:rPr>
                <w:delText>Schema Posologico</w:delText>
              </w:r>
            </w:del>
          </w:p>
        </w:tc>
      </w:tr>
      <w:tr w14:paraId="4B7D302D" w14:textId="77777777" w:rsidTr="00175D66">
        <w:tblPrEx>
          <w:tblW w:w="6795" w:type="dxa"/>
          <w:tblLayout w:type="fixed"/>
          <w:tblLook w:val="0000"/>
        </w:tblPrEx>
        <w:trPr>
          <w:tblHeader/>
          <w:del w:id="6232" w:author="AbbVie14" w:date="2025-05-09T10:33:00Z"/>
        </w:trPr>
        <w:tc>
          <w:tcPr>
            <w:tcW w:w="3401" w:type="dxa"/>
            <w:tcBorders>
              <w:top w:val="single" w:sz="4" w:space="0" w:color="auto"/>
              <w:bottom w:val="single" w:sz="4" w:space="0" w:color="auto"/>
            </w:tcBorders>
          </w:tcPr>
          <w:p w:rsidR="00C21B08" w:rsidRPr="00295E71" w:rsidP="00175D66" w14:paraId="55F4BBA7" w14:textId="77777777">
            <w:pPr>
              <w:tabs>
                <w:tab w:val="left" w:pos="567"/>
              </w:tabs>
              <w:jc w:val="center"/>
              <w:rPr>
                <w:del w:id="6233" w:author="AbbVie14" w:date="2025-05-09T10:33:00Z"/>
                <w:b/>
                <w:color w:val="000000"/>
                <w:sz w:val="22"/>
                <w:szCs w:val="22"/>
              </w:rPr>
            </w:pPr>
            <w:del w:id="6234" w:author="AbbVie14" w:date="2025-05-09T10:33:00Z">
              <w:r w:rsidRPr="00295E71">
                <w:rPr>
                  <w:color w:val="000000"/>
                  <w:sz w:val="22"/>
                  <w:szCs w:val="22"/>
                </w:rPr>
                <w:delText>10 kg fino a &lt; 30 kg</w:delText>
              </w:r>
            </w:del>
          </w:p>
        </w:tc>
        <w:tc>
          <w:tcPr>
            <w:tcW w:w="3394" w:type="dxa"/>
            <w:tcBorders>
              <w:top w:val="single" w:sz="4" w:space="0" w:color="auto"/>
              <w:bottom w:val="single" w:sz="4" w:space="0" w:color="auto"/>
            </w:tcBorders>
          </w:tcPr>
          <w:p w:rsidR="00C21B08" w:rsidRPr="00295E71" w:rsidP="00175D66" w14:paraId="28CFEB28" w14:textId="77777777">
            <w:pPr>
              <w:tabs>
                <w:tab w:val="left" w:pos="567"/>
              </w:tabs>
              <w:jc w:val="center"/>
              <w:rPr>
                <w:del w:id="6235" w:author="AbbVie14" w:date="2025-05-09T10:33:00Z"/>
                <w:b/>
                <w:color w:val="000000"/>
                <w:sz w:val="22"/>
                <w:szCs w:val="22"/>
              </w:rPr>
            </w:pPr>
            <w:del w:id="6236" w:author="AbbVie14" w:date="2025-05-09T10:33:00Z">
              <w:r w:rsidRPr="00295E71">
                <w:rPr>
                  <w:color w:val="000000"/>
                  <w:sz w:val="22"/>
                  <w:szCs w:val="22"/>
                </w:rPr>
                <w:delText>20 mg a settimane alterne</w:delText>
              </w:r>
            </w:del>
          </w:p>
        </w:tc>
      </w:tr>
      <w:tr w14:paraId="7D9074FD" w14:textId="77777777" w:rsidTr="00175D66">
        <w:tblPrEx>
          <w:tblW w:w="6795" w:type="dxa"/>
          <w:tblLayout w:type="fixed"/>
          <w:tblLook w:val="0000"/>
        </w:tblPrEx>
        <w:trPr>
          <w:tblHeader/>
          <w:del w:id="6237" w:author="AbbVie14" w:date="2025-05-09T10:33:00Z"/>
        </w:trPr>
        <w:tc>
          <w:tcPr>
            <w:tcW w:w="3401" w:type="dxa"/>
            <w:tcBorders>
              <w:top w:val="single" w:sz="4" w:space="0" w:color="auto"/>
              <w:bottom w:val="single" w:sz="4" w:space="0" w:color="auto"/>
            </w:tcBorders>
          </w:tcPr>
          <w:p w:rsidR="00C21B08" w:rsidRPr="00295E71" w:rsidP="00175D66" w14:paraId="1CAE159A" w14:textId="77777777">
            <w:pPr>
              <w:tabs>
                <w:tab w:val="left" w:pos="567"/>
              </w:tabs>
              <w:jc w:val="center"/>
              <w:rPr>
                <w:del w:id="6238" w:author="AbbVie14" w:date="2025-05-09T10:33:00Z"/>
                <w:b/>
                <w:color w:val="000000"/>
                <w:sz w:val="22"/>
                <w:szCs w:val="22"/>
              </w:rPr>
            </w:pPr>
            <w:del w:id="6239" w:author="AbbVie14" w:date="2025-05-09T10:33:00Z">
              <w:r w:rsidRPr="00295E71">
                <w:rPr>
                  <w:color w:val="000000"/>
                  <w:sz w:val="22"/>
                  <w:szCs w:val="22"/>
                </w:rPr>
                <w:delText>≥ 30 kg</w:delText>
              </w:r>
            </w:del>
          </w:p>
        </w:tc>
        <w:tc>
          <w:tcPr>
            <w:tcW w:w="3394" w:type="dxa"/>
            <w:tcBorders>
              <w:top w:val="single" w:sz="4" w:space="0" w:color="auto"/>
              <w:bottom w:val="single" w:sz="4" w:space="0" w:color="auto"/>
            </w:tcBorders>
          </w:tcPr>
          <w:p w:rsidR="00C21B08" w:rsidRPr="00295E71" w:rsidP="00175D66" w14:paraId="5D7F73F5" w14:textId="77777777">
            <w:pPr>
              <w:tabs>
                <w:tab w:val="left" w:pos="567"/>
              </w:tabs>
              <w:jc w:val="center"/>
              <w:rPr>
                <w:del w:id="6240" w:author="AbbVie14" w:date="2025-05-09T10:33:00Z"/>
                <w:b/>
                <w:color w:val="000000"/>
                <w:sz w:val="22"/>
                <w:szCs w:val="22"/>
              </w:rPr>
            </w:pPr>
            <w:del w:id="6241" w:author="AbbVie14" w:date="2025-05-09T10:33:00Z">
              <w:r w:rsidRPr="00295E71">
                <w:rPr>
                  <w:color w:val="000000"/>
                  <w:sz w:val="22"/>
                  <w:szCs w:val="22"/>
                </w:rPr>
                <w:delText>40 mg a settimane alterne</w:delText>
              </w:r>
            </w:del>
          </w:p>
        </w:tc>
      </w:tr>
    </w:tbl>
    <w:p w:rsidR="006224C2" w:rsidRPr="00295E71" w14:paraId="29E4F8D6" w14:textId="77777777">
      <w:pPr>
        <w:tabs>
          <w:tab w:val="left" w:pos="567"/>
        </w:tabs>
        <w:jc w:val="both"/>
        <w:rPr>
          <w:del w:id="6242" w:author="AbbVie14" w:date="2025-05-09T10:33:00Z"/>
          <w:color w:val="000000"/>
          <w:sz w:val="22"/>
          <w:szCs w:val="22"/>
        </w:rPr>
      </w:pPr>
    </w:p>
    <w:p w:rsidR="006224C2" w:rsidRPr="00295E71" w14:paraId="502AE503" w14:textId="77777777">
      <w:pPr>
        <w:tabs>
          <w:tab w:val="left" w:pos="567"/>
        </w:tabs>
        <w:jc w:val="both"/>
        <w:rPr>
          <w:del w:id="6243" w:author="AbbVie14" w:date="2025-05-09T10:33:00Z"/>
          <w:sz w:val="22"/>
          <w:szCs w:val="22"/>
        </w:rPr>
      </w:pPr>
      <w:del w:id="6244" w:author="AbbVie14" w:date="2025-05-09T10:33:00Z">
        <w:r w:rsidRPr="00295E71">
          <w:rPr>
            <w:sz w:val="22"/>
            <w:szCs w:val="22"/>
          </w:rPr>
          <w:delText xml:space="preserve">I dati disponibili suggeriscono che la risposta clinica viene di solito ottenuta entro 12 settimane di trattamento. In un paziente che non risponde entro questo periodo di tempo, la continuazione della terapia deve essere </w:delText>
        </w:r>
      </w:del>
      <w:del w:id="6245" w:author="AbbVie14" w:date="2025-05-09T10:33:00Z">
        <w:r w:rsidRPr="00020442" w:rsidR="006E2E3C">
          <w:rPr>
            <w:sz w:val="22"/>
            <w:szCs w:val="22"/>
          </w:rPr>
          <w:delText xml:space="preserve">attentamente </w:delText>
        </w:r>
      </w:del>
      <w:del w:id="6246" w:author="AbbVie14" w:date="2025-05-09T10:33:00Z">
        <w:r w:rsidRPr="00295E71">
          <w:rPr>
            <w:sz w:val="22"/>
            <w:szCs w:val="22"/>
          </w:rPr>
          <w:delText>riconsiderata.</w:delText>
        </w:r>
      </w:del>
    </w:p>
    <w:p w:rsidR="006224C2" w:rsidRPr="00295E71" w14:paraId="18A07192" w14:textId="77777777">
      <w:pPr>
        <w:tabs>
          <w:tab w:val="left" w:pos="567"/>
        </w:tabs>
        <w:jc w:val="both"/>
        <w:rPr>
          <w:del w:id="6247" w:author="AbbVie14" w:date="2025-05-09T10:33:00Z"/>
          <w:sz w:val="22"/>
          <w:szCs w:val="22"/>
        </w:rPr>
      </w:pPr>
    </w:p>
    <w:p w:rsidR="006224C2" w:rsidRPr="00295E71" w14:paraId="5E319A78" w14:textId="77777777">
      <w:pPr>
        <w:tabs>
          <w:tab w:val="left" w:pos="567"/>
        </w:tabs>
        <w:jc w:val="both"/>
        <w:rPr>
          <w:del w:id="6248" w:author="AbbVie14" w:date="2025-05-09T10:33:00Z"/>
          <w:sz w:val="22"/>
          <w:szCs w:val="22"/>
        </w:rPr>
      </w:pPr>
      <w:del w:id="6249" w:author="AbbVie14" w:date="2025-05-09T10:33:00Z">
        <w:r w:rsidRPr="00295E71">
          <w:rPr>
            <w:sz w:val="22"/>
            <w:szCs w:val="22"/>
          </w:rPr>
          <w:delText>Non c’è un uso rilevante di Humira nei pazienti</w:delText>
        </w:r>
      </w:del>
      <w:del w:id="6250" w:author="AbbVie14" w:date="2025-05-09T10:33:00Z">
        <w:r w:rsidRPr="00295E71" w:rsidR="00C21B08">
          <w:rPr>
            <w:sz w:val="22"/>
            <w:szCs w:val="22"/>
          </w:rPr>
          <w:delText xml:space="preserve"> </w:delText>
        </w:r>
      </w:del>
      <w:del w:id="6251" w:author="AbbVie14" w:date="2025-05-09T10:33:00Z">
        <w:r w:rsidRPr="00295E71">
          <w:rPr>
            <w:sz w:val="22"/>
            <w:szCs w:val="22"/>
          </w:rPr>
          <w:delText>di età inferiore ai 2 anni per questa indicazione.</w:delText>
        </w:r>
      </w:del>
    </w:p>
    <w:p w:rsidR="00C3103A" w:rsidRPr="00295E71" w14:paraId="2FFFE2C8" w14:textId="77777777">
      <w:pPr>
        <w:tabs>
          <w:tab w:val="left" w:pos="567"/>
        </w:tabs>
        <w:jc w:val="both"/>
        <w:rPr>
          <w:del w:id="6252" w:author="AbbVie14" w:date="2025-05-09T10:33:00Z"/>
          <w:sz w:val="22"/>
          <w:szCs w:val="22"/>
        </w:rPr>
      </w:pPr>
    </w:p>
    <w:p w:rsidR="00C3103A" w:rsidRPr="00295E71" w14:paraId="06ABEFCC" w14:textId="77777777">
      <w:pPr>
        <w:tabs>
          <w:tab w:val="left" w:pos="567"/>
        </w:tabs>
        <w:jc w:val="both"/>
        <w:rPr>
          <w:del w:id="6253" w:author="AbbVie14" w:date="2025-05-09T10:33:00Z"/>
          <w:sz w:val="22"/>
          <w:szCs w:val="22"/>
        </w:rPr>
      </w:pPr>
      <w:del w:id="6254" w:author="AbbVie14" w:date="2025-05-09T10:33:00Z">
        <w:r w:rsidRPr="00295E71">
          <w:rPr>
            <w:sz w:val="22"/>
            <w:szCs w:val="22"/>
          </w:rPr>
          <w:delText>Humira può essere disponibile in altre concentrazioni e/o presentazioni a seconda delle necessità individuali di trattamento.</w:delText>
        </w:r>
      </w:del>
    </w:p>
    <w:p w:rsidR="006224C2" w:rsidRPr="00295E71" w14:paraId="0D1B101F" w14:textId="77777777">
      <w:pPr>
        <w:rPr>
          <w:del w:id="6255" w:author="AbbVie14" w:date="2025-05-09T10:33:00Z"/>
          <w:sz w:val="22"/>
          <w:szCs w:val="22"/>
        </w:rPr>
      </w:pPr>
    </w:p>
    <w:p w:rsidR="006224C2" w:rsidRPr="00295E71" w:rsidP="00F57FE5" w14:paraId="624632C7" w14:textId="77777777">
      <w:pPr>
        <w:keepNext/>
        <w:keepLines/>
        <w:tabs>
          <w:tab w:val="left" w:pos="567"/>
        </w:tabs>
        <w:jc w:val="both"/>
        <w:rPr>
          <w:del w:id="6256" w:author="AbbVie14" w:date="2025-05-09T10:33:00Z"/>
          <w:i/>
          <w:sz w:val="22"/>
          <w:szCs w:val="22"/>
          <w:u w:val="single"/>
        </w:rPr>
      </w:pPr>
      <w:del w:id="6257" w:author="AbbVie14" w:date="2025-05-09T10:33:00Z">
        <w:r w:rsidRPr="00295E71">
          <w:rPr>
            <w:i/>
            <w:sz w:val="22"/>
            <w:szCs w:val="22"/>
            <w:u w:val="single"/>
          </w:rPr>
          <w:delText>Artrite associata ad entesite</w:delText>
        </w:r>
      </w:del>
    </w:p>
    <w:p w:rsidR="006224C2" w:rsidRPr="00295E71" w:rsidP="00F57FE5" w14:paraId="3A16DB01" w14:textId="77777777">
      <w:pPr>
        <w:keepNext/>
        <w:keepLines/>
        <w:tabs>
          <w:tab w:val="left" w:pos="567"/>
        </w:tabs>
        <w:jc w:val="both"/>
        <w:rPr>
          <w:del w:id="6258" w:author="AbbVie14" w:date="2025-05-09T10:33:00Z"/>
          <w:sz w:val="22"/>
          <w:szCs w:val="22"/>
          <w:u w:val="single"/>
        </w:rPr>
      </w:pPr>
    </w:p>
    <w:p w:rsidR="006224C2" w:rsidRPr="00295E71" w:rsidP="00F57FE5" w14:paraId="19DC7F9F" w14:textId="77777777">
      <w:pPr>
        <w:pStyle w:val="gtcbodytext"/>
        <w:keepNext/>
        <w:keepLines/>
        <w:spacing w:before="0" w:after="0" w:line="240" w:lineRule="auto"/>
        <w:jc w:val="both"/>
        <w:rPr>
          <w:del w:id="6259" w:author="AbbVie14" w:date="2025-05-09T10:33:00Z"/>
          <w:sz w:val="22"/>
          <w:szCs w:val="22"/>
          <w:lang w:val="it-IT"/>
        </w:rPr>
      </w:pPr>
      <w:del w:id="6260" w:author="AbbVie14" w:date="2025-05-09T10:33:00Z">
        <w:r w:rsidRPr="00295E71">
          <w:rPr>
            <w:sz w:val="22"/>
            <w:szCs w:val="22"/>
            <w:lang w:val="it-IT"/>
          </w:rPr>
          <w:delText xml:space="preserve">La dose raccomandata di Humira nei pazienti con artrite associata ad entesite, dai 6 anni in poi, è </w:delText>
        </w:r>
      </w:del>
      <w:del w:id="6261" w:author="AbbVie14" w:date="2025-05-09T10:33:00Z">
        <w:r w:rsidRPr="00295E71" w:rsidR="00C21B08">
          <w:rPr>
            <w:sz w:val="22"/>
            <w:szCs w:val="22"/>
            <w:lang w:val="it-IT"/>
          </w:rPr>
          <w:delText>basata sul peso corporeo (Tabella 2).</w:delText>
        </w:r>
      </w:del>
      <w:del w:id="6262" w:author="AbbVie14" w:date="2025-05-09T10:33:00Z">
        <w:r w:rsidRPr="00295E71">
          <w:rPr>
            <w:sz w:val="22"/>
            <w:szCs w:val="22"/>
            <w:lang w:val="it-IT"/>
          </w:rPr>
          <w:delText xml:space="preserve"> </w:delText>
        </w:r>
      </w:del>
      <w:del w:id="6263" w:author="AbbVie14" w:date="2025-05-09T10:33:00Z">
        <w:r w:rsidRPr="00295E71" w:rsidR="00C21B08">
          <w:rPr>
            <w:sz w:val="22"/>
            <w:szCs w:val="22"/>
            <w:lang w:val="it-IT"/>
          </w:rPr>
          <w:delText xml:space="preserve">Humira è </w:delText>
        </w:r>
      </w:del>
      <w:del w:id="6264" w:author="AbbVie14" w:date="2025-05-09T10:33:00Z">
        <w:r w:rsidRPr="00295E71">
          <w:rPr>
            <w:sz w:val="22"/>
            <w:szCs w:val="22"/>
            <w:lang w:val="it-IT"/>
          </w:rPr>
          <w:delText xml:space="preserve">somministrato a settimane alterne attraverso iniezione sottocutanea. </w:delText>
        </w:r>
      </w:del>
    </w:p>
    <w:p w:rsidR="006224C2" w:rsidRPr="00295E71" w14:paraId="3B18AA76" w14:textId="77777777">
      <w:pPr>
        <w:pStyle w:val="gtcbodytext"/>
        <w:spacing w:before="0" w:after="0" w:line="240" w:lineRule="auto"/>
        <w:jc w:val="both"/>
        <w:rPr>
          <w:del w:id="6265" w:author="AbbVie14" w:date="2025-05-09T10:33:00Z"/>
          <w:sz w:val="22"/>
          <w:szCs w:val="22"/>
          <w:lang w:val="it-IT"/>
        </w:rPr>
      </w:pPr>
    </w:p>
    <w:p w:rsidR="00C21B08" w:rsidRPr="00295E71" w:rsidP="00C21B08" w14:paraId="3C505772" w14:textId="77777777">
      <w:pPr>
        <w:tabs>
          <w:tab w:val="left" w:pos="562"/>
        </w:tabs>
        <w:jc w:val="center"/>
        <w:rPr>
          <w:del w:id="6266" w:author="AbbVie14" w:date="2025-05-09T10:33:00Z"/>
          <w:b/>
          <w:color w:val="000000"/>
          <w:sz w:val="22"/>
          <w:szCs w:val="22"/>
        </w:rPr>
      </w:pPr>
      <w:del w:id="6267" w:author="AbbVie14" w:date="2025-05-09T10:33:00Z">
        <w:r w:rsidRPr="00295E71">
          <w:rPr>
            <w:b/>
            <w:color w:val="000000"/>
            <w:sz w:val="22"/>
            <w:szCs w:val="22"/>
          </w:rPr>
          <w:delText>Tabella 2. Dose di Humira per Pazienti con Artrite Associata ad Entesite</w:delText>
        </w:r>
      </w:del>
    </w:p>
    <w:p w:rsidR="00C21B08" w:rsidRPr="00295E71" w:rsidP="00C21B08" w14:paraId="71377D70" w14:textId="77777777">
      <w:pPr>
        <w:tabs>
          <w:tab w:val="left" w:pos="562"/>
        </w:tabs>
        <w:jc w:val="both"/>
        <w:rPr>
          <w:del w:id="6268" w:author="AbbVie14" w:date="2025-05-09T10:33:00Z"/>
          <w:color w:val="000000"/>
          <w:sz w:val="22"/>
          <w:szCs w:val="22"/>
        </w:rPr>
      </w:pPr>
    </w:p>
    <w:tbl>
      <w:tblPr>
        <w:tblW w:w="6795" w:type="dxa"/>
        <w:jc w:val="center"/>
        <w:tblLayout w:type="fixed"/>
        <w:tblLook w:val="0000"/>
      </w:tblPr>
      <w:tblGrid>
        <w:gridCol w:w="3401"/>
        <w:gridCol w:w="3394"/>
      </w:tblGrid>
      <w:tr w14:paraId="3BE20425" w14:textId="77777777" w:rsidTr="00175D66">
        <w:tblPrEx>
          <w:tblW w:w="6795" w:type="dxa"/>
          <w:tblLayout w:type="fixed"/>
          <w:tblLook w:val="0000"/>
        </w:tblPrEx>
        <w:trPr>
          <w:tblHeader/>
          <w:del w:id="6269" w:author="AbbVie14" w:date="2025-05-09T10:33:00Z"/>
        </w:trPr>
        <w:tc>
          <w:tcPr>
            <w:tcW w:w="3401" w:type="dxa"/>
            <w:tcBorders>
              <w:top w:val="single" w:sz="4" w:space="0" w:color="auto"/>
              <w:bottom w:val="single" w:sz="4" w:space="0" w:color="auto"/>
            </w:tcBorders>
          </w:tcPr>
          <w:p w:rsidR="00C21B08" w:rsidRPr="00295E71" w:rsidP="00175D66" w14:paraId="78D42766" w14:textId="77777777">
            <w:pPr>
              <w:tabs>
                <w:tab w:val="left" w:pos="567"/>
              </w:tabs>
              <w:jc w:val="center"/>
              <w:rPr>
                <w:del w:id="6270" w:author="AbbVie14" w:date="2025-05-09T10:33:00Z"/>
                <w:b/>
                <w:color w:val="000000"/>
                <w:sz w:val="22"/>
                <w:szCs w:val="22"/>
              </w:rPr>
            </w:pPr>
            <w:del w:id="6271" w:author="AbbVie14" w:date="2025-05-09T10:33:00Z">
              <w:r w:rsidRPr="00295E71">
                <w:rPr>
                  <w:b/>
                  <w:color w:val="000000"/>
                  <w:sz w:val="22"/>
                  <w:szCs w:val="22"/>
                </w:rPr>
                <w:delText>Peso del Paziente</w:delText>
              </w:r>
            </w:del>
          </w:p>
        </w:tc>
        <w:tc>
          <w:tcPr>
            <w:tcW w:w="3394" w:type="dxa"/>
            <w:tcBorders>
              <w:top w:val="single" w:sz="4" w:space="0" w:color="auto"/>
              <w:bottom w:val="single" w:sz="4" w:space="0" w:color="auto"/>
            </w:tcBorders>
          </w:tcPr>
          <w:p w:rsidR="00C21B08" w:rsidRPr="00295E71" w:rsidP="00175D66" w14:paraId="7DF85BAD" w14:textId="77777777">
            <w:pPr>
              <w:tabs>
                <w:tab w:val="left" w:pos="567"/>
              </w:tabs>
              <w:jc w:val="center"/>
              <w:rPr>
                <w:del w:id="6272" w:author="AbbVie14" w:date="2025-05-09T10:33:00Z"/>
                <w:b/>
                <w:color w:val="000000"/>
                <w:sz w:val="22"/>
                <w:szCs w:val="22"/>
              </w:rPr>
            </w:pPr>
            <w:del w:id="6273" w:author="AbbVie14" w:date="2025-05-09T10:33:00Z">
              <w:r w:rsidRPr="00295E71">
                <w:rPr>
                  <w:b/>
                  <w:color w:val="000000"/>
                  <w:sz w:val="22"/>
                  <w:szCs w:val="22"/>
                </w:rPr>
                <w:delText>Schema Posologico</w:delText>
              </w:r>
            </w:del>
          </w:p>
        </w:tc>
      </w:tr>
      <w:tr w14:paraId="3BB08FA5" w14:textId="77777777" w:rsidTr="00175D66">
        <w:tblPrEx>
          <w:tblW w:w="6795" w:type="dxa"/>
          <w:tblLayout w:type="fixed"/>
          <w:tblLook w:val="0000"/>
        </w:tblPrEx>
        <w:trPr>
          <w:tblHeader/>
          <w:del w:id="6274" w:author="AbbVie14" w:date="2025-05-09T10:33:00Z"/>
        </w:trPr>
        <w:tc>
          <w:tcPr>
            <w:tcW w:w="3401" w:type="dxa"/>
            <w:tcBorders>
              <w:top w:val="single" w:sz="4" w:space="0" w:color="auto"/>
              <w:bottom w:val="single" w:sz="4" w:space="0" w:color="auto"/>
            </w:tcBorders>
          </w:tcPr>
          <w:p w:rsidR="00C21B08" w:rsidRPr="00295E71" w:rsidP="00175D66" w14:paraId="68C5C280" w14:textId="77777777">
            <w:pPr>
              <w:tabs>
                <w:tab w:val="left" w:pos="567"/>
              </w:tabs>
              <w:jc w:val="center"/>
              <w:rPr>
                <w:del w:id="6275" w:author="AbbVie14" w:date="2025-05-09T10:33:00Z"/>
                <w:b/>
                <w:color w:val="000000"/>
                <w:sz w:val="22"/>
                <w:szCs w:val="22"/>
              </w:rPr>
            </w:pPr>
            <w:del w:id="6276" w:author="AbbVie14" w:date="2025-05-09T10:33:00Z">
              <w:r w:rsidRPr="00295E71">
                <w:rPr>
                  <w:color w:val="000000"/>
                  <w:sz w:val="22"/>
                  <w:szCs w:val="22"/>
                </w:rPr>
                <w:delText>15 kg fino a &lt; 30 kg</w:delText>
              </w:r>
            </w:del>
          </w:p>
        </w:tc>
        <w:tc>
          <w:tcPr>
            <w:tcW w:w="3394" w:type="dxa"/>
            <w:tcBorders>
              <w:top w:val="single" w:sz="4" w:space="0" w:color="auto"/>
              <w:bottom w:val="single" w:sz="4" w:space="0" w:color="auto"/>
            </w:tcBorders>
          </w:tcPr>
          <w:p w:rsidR="00C21B08" w:rsidRPr="00295E71" w:rsidP="00175D66" w14:paraId="05C39826" w14:textId="77777777">
            <w:pPr>
              <w:tabs>
                <w:tab w:val="left" w:pos="567"/>
              </w:tabs>
              <w:jc w:val="center"/>
              <w:rPr>
                <w:del w:id="6277" w:author="AbbVie14" w:date="2025-05-09T10:33:00Z"/>
                <w:b/>
                <w:color w:val="000000"/>
                <w:sz w:val="22"/>
                <w:szCs w:val="22"/>
              </w:rPr>
            </w:pPr>
            <w:del w:id="6278" w:author="AbbVie14" w:date="2025-05-09T10:33:00Z">
              <w:r w:rsidRPr="00295E71">
                <w:rPr>
                  <w:color w:val="000000"/>
                  <w:sz w:val="22"/>
                  <w:szCs w:val="22"/>
                </w:rPr>
                <w:delText>20 mg a settimane alterne</w:delText>
              </w:r>
            </w:del>
          </w:p>
        </w:tc>
      </w:tr>
      <w:tr w14:paraId="2597892E" w14:textId="77777777" w:rsidTr="00175D66">
        <w:tblPrEx>
          <w:tblW w:w="6795" w:type="dxa"/>
          <w:tblLayout w:type="fixed"/>
          <w:tblLook w:val="0000"/>
        </w:tblPrEx>
        <w:trPr>
          <w:tblHeader/>
          <w:del w:id="6279" w:author="AbbVie14" w:date="2025-05-09T10:33:00Z"/>
        </w:trPr>
        <w:tc>
          <w:tcPr>
            <w:tcW w:w="3401" w:type="dxa"/>
            <w:tcBorders>
              <w:top w:val="single" w:sz="4" w:space="0" w:color="auto"/>
              <w:bottom w:val="single" w:sz="4" w:space="0" w:color="auto"/>
            </w:tcBorders>
          </w:tcPr>
          <w:p w:rsidR="00C21B08" w:rsidRPr="00295E71" w:rsidP="00175D66" w14:paraId="7F837C5D" w14:textId="77777777">
            <w:pPr>
              <w:tabs>
                <w:tab w:val="left" w:pos="567"/>
              </w:tabs>
              <w:jc w:val="center"/>
              <w:rPr>
                <w:del w:id="6280" w:author="AbbVie14" w:date="2025-05-09T10:33:00Z"/>
                <w:b/>
                <w:color w:val="000000"/>
                <w:sz w:val="22"/>
                <w:szCs w:val="22"/>
              </w:rPr>
            </w:pPr>
            <w:del w:id="6281" w:author="AbbVie14" w:date="2025-05-09T10:33:00Z">
              <w:r w:rsidRPr="00295E71">
                <w:rPr>
                  <w:color w:val="000000"/>
                  <w:sz w:val="22"/>
                  <w:szCs w:val="22"/>
                </w:rPr>
                <w:delText>≥ 30 kg</w:delText>
              </w:r>
            </w:del>
          </w:p>
        </w:tc>
        <w:tc>
          <w:tcPr>
            <w:tcW w:w="3394" w:type="dxa"/>
            <w:tcBorders>
              <w:top w:val="single" w:sz="4" w:space="0" w:color="auto"/>
              <w:bottom w:val="single" w:sz="4" w:space="0" w:color="auto"/>
            </w:tcBorders>
          </w:tcPr>
          <w:p w:rsidR="00C21B08" w:rsidRPr="00295E71" w:rsidP="00175D66" w14:paraId="7246EA4D" w14:textId="77777777">
            <w:pPr>
              <w:tabs>
                <w:tab w:val="left" w:pos="567"/>
              </w:tabs>
              <w:jc w:val="center"/>
              <w:rPr>
                <w:del w:id="6282" w:author="AbbVie14" w:date="2025-05-09T10:33:00Z"/>
                <w:b/>
                <w:color w:val="000000"/>
                <w:sz w:val="22"/>
                <w:szCs w:val="22"/>
              </w:rPr>
            </w:pPr>
            <w:del w:id="6283" w:author="AbbVie14" w:date="2025-05-09T10:33:00Z">
              <w:r w:rsidRPr="00295E71">
                <w:rPr>
                  <w:color w:val="000000"/>
                  <w:sz w:val="22"/>
                  <w:szCs w:val="22"/>
                </w:rPr>
                <w:delText>40 mg a settimane alterne</w:delText>
              </w:r>
            </w:del>
          </w:p>
        </w:tc>
      </w:tr>
    </w:tbl>
    <w:p w:rsidR="00C21B08" w:rsidRPr="00295E71" w14:paraId="41767145" w14:textId="77777777">
      <w:pPr>
        <w:pStyle w:val="gtcbodytext"/>
        <w:spacing w:before="0" w:after="0" w:line="240" w:lineRule="auto"/>
        <w:jc w:val="both"/>
        <w:rPr>
          <w:del w:id="6284" w:author="AbbVie14" w:date="2025-05-09T10:33:00Z"/>
          <w:sz w:val="22"/>
          <w:szCs w:val="22"/>
          <w:lang w:val="it-IT"/>
        </w:rPr>
      </w:pPr>
    </w:p>
    <w:p w:rsidR="006224C2" w:rsidRPr="00295E71" w14:paraId="77E42972" w14:textId="77777777">
      <w:pPr>
        <w:pStyle w:val="gtcbodytext"/>
        <w:spacing w:before="0" w:after="0" w:line="240" w:lineRule="auto"/>
        <w:jc w:val="both"/>
        <w:rPr>
          <w:del w:id="6285" w:author="AbbVie14" w:date="2025-05-09T10:33:00Z"/>
          <w:sz w:val="22"/>
          <w:szCs w:val="22"/>
          <w:lang w:val="it-IT"/>
        </w:rPr>
      </w:pPr>
      <w:del w:id="6286" w:author="AbbVie14" w:date="2025-05-09T10:33:00Z">
        <w:r w:rsidRPr="00295E71">
          <w:rPr>
            <w:sz w:val="22"/>
            <w:szCs w:val="22"/>
            <w:lang w:val="it-IT"/>
          </w:rPr>
          <w:delText>Humira non è stato studiato nei pazienti di età inferiore ai 6 anni con artrite associata ad entesite.</w:delText>
        </w:r>
      </w:del>
    </w:p>
    <w:p w:rsidR="006224C2" w:rsidRPr="00295E71" w14:paraId="07170243" w14:textId="77777777">
      <w:pPr>
        <w:tabs>
          <w:tab w:val="left" w:pos="567"/>
        </w:tabs>
        <w:jc w:val="both"/>
        <w:rPr>
          <w:del w:id="6287" w:author="AbbVie14" w:date="2025-05-09T10:33:00Z"/>
          <w:sz w:val="22"/>
          <w:szCs w:val="22"/>
          <w:u w:val="single"/>
        </w:rPr>
      </w:pPr>
    </w:p>
    <w:p w:rsidR="00C3103A" w:rsidRPr="0002593D" w14:paraId="18BE83F5" w14:textId="77777777">
      <w:pPr>
        <w:tabs>
          <w:tab w:val="left" w:pos="567"/>
        </w:tabs>
        <w:jc w:val="both"/>
        <w:rPr>
          <w:del w:id="6288" w:author="AbbVie14" w:date="2025-05-09T10:33:00Z"/>
          <w:sz w:val="22"/>
          <w:szCs w:val="22"/>
        </w:rPr>
      </w:pPr>
      <w:del w:id="6289" w:author="AbbVie14" w:date="2025-05-09T10:33:00Z">
        <w:r w:rsidRPr="0002593D">
          <w:rPr>
            <w:sz w:val="22"/>
            <w:szCs w:val="22"/>
          </w:rPr>
          <w:delText>Humira può essere disponibile in altre concentrazioni e/o presentazioni a seconda delle necessità individuali di trattamento.</w:delText>
        </w:r>
      </w:del>
    </w:p>
    <w:p w:rsidR="00C3103A" w:rsidRPr="00295E71" w14:paraId="5FD909A5" w14:textId="77777777">
      <w:pPr>
        <w:tabs>
          <w:tab w:val="left" w:pos="567"/>
        </w:tabs>
        <w:jc w:val="both"/>
        <w:rPr>
          <w:del w:id="6290" w:author="AbbVie14" w:date="2025-05-09T10:33:00Z"/>
          <w:sz w:val="22"/>
          <w:szCs w:val="22"/>
          <w:u w:val="single"/>
        </w:rPr>
      </w:pPr>
    </w:p>
    <w:p w:rsidR="00A140A0" w:rsidRPr="00612824" w:rsidP="00A140A0" w14:paraId="2453EF43" w14:textId="77777777">
      <w:pPr>
        <w:keepNext/>
        <w:tabs>
          <w:tab w:val="left" w:pos="567"/>
        </w:tabs>
        <w:jc w:val="both"/>
        <w:rPr>
          <w:del w:id="6291" w:author="AbbVie14" w:date="2025-05-09T10:33:00Z"/>
          <w:i/>
          <w:sz w:val="22"/>
          <w:szCs w:val="22"/>
        </w:rPr>
      </w:pPr>
      <w:del w:id="6292" w:author="AbbVie14" w:date="2025-05-09T10:33:00Z">
        <w:r w:rsidRPr="00612824">
          <w:rPr>
            <w:i/>
            <w:sz w:val="22"/>
            <w:szCs w:val="22"/>
          </w:rPr>
          <w:delText>Artrite psoriasica e spondiloartrite assiale inclusa la spondilite anchilosante</w:delText>
        </w:r>
      </w:del>
    </w:p>
    <w:p w:rsidR="00A140A0" w:rsidRPr="00612824" w:rsidP="00A140A0" w14:paraId="430E9B88" w14:textId="77777777">
      <w:pPr>
        <w:keepNext/>
        <w:tabs>
          <w:tab w:val="left" w:pos="567"/>
        </w:tabs>
        <w:jc w:val="both"/>
        <w:rPr>
          <w:del w:id="6293" w:author="AbbVie14" w:date="2025-05-09T10:33:00Z"/>
          <w:sz w:val="22"/>
          <w:szCs w:val="22"/>
        </w:rPr>
      </w:pPr>
    </w:p>
    <w:p w:rsidR="00A140A0" w:rsidRPr="00295E71" w:rsidP="00A140A0" w14:paraId="2271811B" w14:textId="77777777">
      <w:pPr>
        <w:keepNext/>
        <w:tabs>
          <w:tab w:val="left" w:pos="567"/>
        </w:tabs>
        <w:jc w:val="both"/>
        <w:rPr>
          <w:del w:id="6294" w:author="AbbVie14" w:date="2025-05-09T10:33:00Z"/>
          <w:sz w:val="22"/>
          <w:szCs w:val="22"/>
        </w:rPr>
      </w:pPr>
      <w:del w:id="6295" w:author="AbbVie14" w:date="2025-05-09T10:33:00Z">
        <w:r w:rsidRPr="00612824">
          <w:rPr>
            <w:sz w:val="22"/>
            <w:szCs w:val="22"/>
          </w:rPr>
          <w:delText>Non c’è un uso rilevante di Humira nella popolazione pediatrica per le indicazioni di spondilite anchilosante e artrite psoriasica.</w:delText>
        </w:r>
      </w:del>
    </w:p>
    <w:p w:rsidR="00A140A0" w:rsidRPr="00295E71" w:rsidP="00A140A0" w14:paraId="7772B455" w14:textId="77777777">
      <w:pPr>
        <w:tabs>
          <w:tab w:val="left" w:pos="567"/>
        </w:tabs>
        <w:jc w:val="both"/>
        <w:rPr>
          <w:del w:id="6296" w:author="AbbVie14" w:date="2025-05-09T10:33:00Z"/>
          <w:sz w:val="22"/>
          <w:szCs w:val="22"/>
        </w:rPr>
      </w:pPr>
    </w:p>
    <w:p w:rsidR="006224C2" w:rsidRPr="00295E71" w14:paraId="067D24AE" w14:textId="77777777">
      <w:pPr>
        <w:rPr>
          <w:del w:id="6297" w:author="AbbVie14" w:date="2025-05-09T10:33:00Z"/>
          <w:i/>
          <w:sz w:val="22"/>
          <w:szCs w:val="22"/>
        </w:rPr>
      </w:pPr>
      <w:del w:id="6298" w:author="AbbVie14" w:date="2025-05-09T10:33:00Z">
        <w:r w:rsidRPr="00295E71">
          <w:rPr>
            <w:i/>
            <w:sz w:val="22"/>
            <w:szCs w:val="22"/>
          </w:rPr>
          <w:delText>Psoriasi a placche pediatrica</w:delText>
        </w:r>
      </w:del>
    </w:p>
    <w:p w:rsidR="006224C2" w:rsidRPr="00295E71" w14:paraId="09F4EE2C" w14:textId="77777777">
      <w:pPr>
        <w:tabs>
          <w:tab w:val="left" w:pos="567"/>
        </w:tabs>
        <w:jc w:val="both"/>
        <w:rPr>
          <w:del w:id="6299" w:author="AbbVie14" w:date="2025-05-09T10:33:00Z"/>
          <w:sz w:val="22"/>
          <w:szCs w:val="22"/>
        </w:rPr>
      </w:pPr>
    </w:p>
    <w:p w:rsidR="00074E3E" w:rsidRPr="00295E71" w14:paraId="1461C1FD" w14:textId="77777777">
      <w:pPr>
        <w:pStyle w:val="gtcbodytext"/>
        <w:spacing w:before="0" w:after="0" w:line="240" w:lineRule="auto"/>
        <w:jc w:val="both"/>
        <w:rPr>
          <w:del w:id="6300" w:author="AbbVie14" w:date="2025-05-09T10:33:00Z"/>
          <w:sz w:val="22"/>
          <w:szCs w:val="22"/>
          <w:lang w:val="it-IT"/>
        </w:rPr>
      </w:pPr>
      <w:del w:id="6301" w:author="AbbVie14" w:date="2025-05-09T10:33:00Z">
        <w:r w:rsidRPr="00295E71">
          <w:rPr>
            <w:sz w:val="22"/>
            <w:szCs w:val="22"/>
            <w:lang w:val="it-IT"/>
          </w:rPr>
          <w:delText>La dose raccomandata di Humira</w:delText>
        </w:r>
      </w:del>
      <w:del w:id="6302" w:author="AbbVie14" w:date="2025-05-09T10:33:00Z">
        <w:r w:rsidRPr="00295E71" w:rsidR="00C21B08">
          <w:rPr>
            <w:sz w:val="22"/>
            <w:szCs w:val="22"/>
            <w:lang w:val="it-IT"/>
          </w:rPr>
          <w:delText xml:space="preserve"> per pazienti con psoriasi a placche dai 4 ai 17 anni di età</w:delText>
        </w:r>
      </w:del>
      <w:del w:id="6303" w:author="AbbVie14" w:date="2025-05-09T10:33:00Z">
        <w:r w:rsidRPr="00295E71">
          <w:rPr>
            <w:sz w:val="22"/>
            <w:szCs w:val="22"/>
            <w:lang w:val="it-IT"/>
          </w:rPr>
          <w:delText xml:space="preserve"> è </w:delText>
        </w:r>
      </w:del>
      <w:del w:id="6304" w:author="AbbVie14" w:date="2025-05-09T10:33:00Z">
        <w:r w:rsidRPr="00295E71" w:rsidR="00C21B08">
          <w:rPr>
            <w:sz w:val="22"/>
            <w:szCs w:val="22"/>
            <w:lang w:val="it-IT"/>
          </w:rPr>
          <w:delText>basata sul peso corporeo (Tabella 3). Humira è</w:delText>
        </w:r>
      </w:del>
      <w:del w:id="6305" w:author="AbbVie14" w:date="2025-05-09T10:33:00Z">
        <w:r w:rsidRPr="00295E71">
          <w:rPr>
            <w:sz w:val="22"/>
            <w:szCs w:val="22"/>
            <w:lang w:val="it-IT"/>
          </w:rPr>
          <w:delText xml:space="preserve"> somministrat</w:delText>
        </w:r>
      </w:del>
      <w:del w:id="6306" w:author="AbbVie14" w:date="2025-05-09T10:33:00Z">
        <w:r w:rsidRPr="00295E71" w:rsidR="00C21B08">
          <w:rPr>
            <w:sz w:val="22"/>
            <w:szCs w:val="22"/>
            <w:lang w:val="it-IT"/>
          </w:rPr>
          <w:delText>o</w:delText>
        </w:r>
      </w:del>
      <w:del w:id="6307" w:author="AbbVie14" w:date="2025-05-09T10:33:00Z">
        <w:r w:rsidRPr="00295E71">
          <w:rPr>
            <w:sz w:val="22"/>
            <w:szCs w:val="22"/>
            <w:lang w:val="it-IT"/>
          </w:rPr>
          <w:delText xml:space="preserve"> </w:delText>
        </w:r>
      </w:del>
      <w:del w:id="6308" w:author="AbbVie14" w:date="2025-05-09T10:33:00Z">
        <w:r w:rsidRPr="00295E71" w:rsidR="00C21B08">
          <w:rPr>
            <w:sz w:val="22"/>
            <w:szCs w:val="22"/>
            <w:lang w:val="it-IT"/>
          </w:rPr>
          <w:delText>attraverso iniezione sottocutanea.</w:delText>
        </w:r>
      </w:del>
    </w:p>
    <w:p w:rsidR="00074E3E" w:rsidRPr="00295E71" w14:paraId="055BBCA3" w14:textId="77777777">
      <w:pPr>
        <w:pStyle w:val="gtcbodytext"/>
        <w:spacing w:before="0" w:after="0" w:line="240" w:lineRule="auto"/>
        <w:jc w:val="both"/>
        <w:rPr>
          <w:del w:id="6309" w:author="AbbVie14" w:date="2025-05-09T10:33:00Z"/>
          <w:sz w:val="22"/>
          <w:szCs w:val="22"/>
          <w:lang w:val="it-IT"/>
        </w:rPr>
      </w:pPr>
    </w:p>
    <w:p w:rsidR="00074E3E" w:rsidRPr="00295E71" w:rsidP="005F2B94" w14:paraId="2B6075C2" w14:textId="77777777">
      <w:pPr>
        <w:keepNext/>
        <w:tabs>
          <w:tab w:val="left" w:pos="562"/>
        </w:tabs>
        <w:jc w:val="center"/>
        <w:rPr>
          <w:del w:id="6310" w:author="AbbVie14" w:date="2025-05-09T10:33:00Z"/>
          <w:b/>
          <w:color w:val="000000"/>
          <w:sz w:val="22"/>
          <w:szCs w:val="22"/>
        </w:rPr>
      </w:pPr>
      <w:del w:id="6311" w:author="AbbVie14" w:date="2025-05-09T10:33:00Z">
        <w:r w:rsidRPr="00295E71">
          <w:rPr>
            <w:b/>
            <w:color w:val="000000"/>
            <w:sz w:val="22"/>
            <w:szCs w:val="22"/>
          </w:rPr>
          <w:delText>Tabella 3. Dose di Humira per Pazienti Pediatrici con Psoriasi a Placche</w:delText>
        </w:r>
      </w:del>
    </w:p>
    <w:p w:rsidR="00074E3E" w:rsidRPr="00295E71" w:rsidP="005F2B94" w14:paraId="2E926453" w14:textId="77777777">
      <w:pPr>
        <w:keepNext/>
        <w:tabs>
          <w:tab w:val="left" w:pos="562"/>
        </w:tabs>
        <w:jc w:val="both"/>
        <w:rPr>
          <w:del w:id="6312" w:author="AbbVie14" w:date="2025-05-09T10:33:00Z"/>
          <w:color w:val="000000"/>
          <w:sz w:val="22"/>
          <w:szCs w:val="22"/>
        </w:rPr>
      </w:pPr>
    </w:p>
    <w:tbl>
      <w:tblPr>
        <w:tblW w:w="6795" w:type="dxa"/>
        <w:jc w:val="center"/>
        <w:tblLayout w:type="fixed"/>
        <w:tblLook w:val="0000"/>
      </w:tblPr>
      <w:tblGrid>
        <w:gridCol w:w="3401"/>
        <w:gridCol w:w="3394"/>
      </w:tblGrid>
      <w:tr w14:paraId="7E6E0DD9" w14:textId="77777777" w:rsidTr="00175D66">
        <w:tblPrEx>
          <w:tblW w:w="6795" w:type="dxa"/>
          <w:tblLayout w:type="fixed"/>
          <w:tblLook w:val="0000"/>
        </w:tblPrEx>
        <w:trPr>
          <w:tblHeader/>
          <w:del w:id="6313" w:author="AbbVie14" w:date="2025-05-09T10:33:00Z"/>
        </w:trPr>
        <w:tc>
          <w:tcPr>
            <w:tcW w:w="3401" w:type="dxa"/>
            <w:tcBorders>
              <w:top w:val="single" w:sz="4" w:space="0" w:color="auto"/>
              <w:bottom w:val="single" w:sz="4" w:space="0" w:color="auto"/>
            </w:tcBorders>
          </w:tcPr>
          <w:p w:rsidR="00074E3E" w:rsidRPr="00295E71" w:rsidP="005F2B94" w14:paraId="411F9D9E" w14:textId="77777777">
            <w:pPr>
              <w:keepNext/>
              <w:tabs>
                <w:tab w:val="left" w:pos="567"/>
              </w:tabs>
              <w:jc w:val="center"/>
              <w:rPr>
                <w:del w:id="6314" w:author="AbbVie14" w:date="2025-05-09T10:33:00Z"/>
                <w:b/>
                <w:color w:val="000000"/>
                <w:sz w:val="22"/>
                <w:szCs w:val="22"/>
              </w:rPr>
            </w:pPr>
            <w:del w:id="6315" w:author="AbbVie14" w:date="2025-05-09T10:33:00Z">
              <w:r w:rsidRPr="00295E71">
                <w:rPr>
                  <w:b/>
                  <w:color w:val="000000"/>
                  <w:sz w:val="22"/>
                  <w:szCs w:val="22"/>
                </w:rPr>
                <w:delText>Peso del Paziente</w:delText>
              </w:r>
            </w:del>
          </w:p>
        </w:tc>
        <w:tc>
          <w:tcPr>
            <w:tcW w:w="3394" w:type="dxa"/>
            <w:tcBorders>
              <w:top w:val="single" w:sz="4" w:space="0" w:color="auto"/>
              <w:bottom w:val="single" w:sz="4" w:space="0" w:color="auto"/>
            </w:tcBorders>
          </w:tcPr>
          <w:p w:rsidR="00074E3E" w:rsidRPr="00295E71" w:rsidP="005F2B94" w14:paraId="74EE8B97" w14:textId="77777777">
            <w:pPr>
              <w:keepNext/>
              <w:tabs>
                <w:tab w:val="left" w:pos="567"/>
              </w:tabs>
              <w:jc w:val="center"/>
              <w:rPr>
                <w:del w:id="6316" w:author="AbbVie14" w:date="2025-05-09T10:33:00Z"/>
                <w:b/>
                <w:color w:val="000000"/>
                <w:sz w:val="22"/>
                <w:szCs w:val="22"/>
              </w:rPr>
            </w:pPr>
            <w:del w:id="6317" w:author="AbbVie14" w:date="2025-05-09T10:33:00Z">
              <w:r w:rsidRPr="00295E71">
                <w:rPr>
                  <w:b/>
                  <w:color w:val="000000"/>
                  <w:sz w:val="22"/>
                  <w:szCs w:val="22"/>
                </w:rPr>
                <w:delText>Schema Posologico</w:delText>
              </w:r>
            </w:del>
          </w:p>
        </w:tc>
      </w:tr>
      <w:tr w14:paraId="564F527E" w14:textId="77777777" w:rsidTr="00175D66">
        <w:tblPrEx>
          <w:tblW w:w="6795" w:type="dxa"/>
          <w:tblLayout w:type="fixed"/>
          <w:tblLook w:val="0000"/>
        </w:tblPrEx>
        <w:trPr>
          <w:tblHeader/>
          <w:del w:id="6318" w:author="AbbVie14" w:date="2025-05-09T10:33:00Z"/>
        </w:trPr>
        <w:tc>
          <w:tcPr>
            <w:tcW w:w="3401" w:type="dxa"/>
            <w:tcBorders>
              <w:top w:val="single" w:sz="4" w:space="0" w:color="auto"/>
              <w:bottom w:val="single" w:sz="4" w:space="0" w:color="auto"/>
            </w:tcBorders>
          </w:tcPr>
          <w:p w:rsidR="00074E3E" w:rsidRPr="00295E71" w:rsidP="005F2B94" w14:paraId="5F16308C" w14:textId="77777777">
            <w:pPr>
              <w:keepNext/>
              <w:tabs>
                <w:tab w:val="left" w:pos="567"/>
              </w:tabs>
              <w:jc w:val="center"/>
              <w:rPr>
                <w:del w:id="6319" w:author="AbbVie14" w:date="2025-05-09T10:33:00Z"/>
                <w:b/>
                <w:color w:val="000000"/>
                <w:sz w:val="22"/>
                <w:szCs w:val="22"/>
              </w:rPr>
            </w:pPr>
            <w:del w:id="6320" w:author="AbbVie14" w:date="2025-05-09T10:33:00Z">
              <w:r w:rsidRPr="00295E71">
                <w:rPr>
                  <w:color w:val="000000"/>
                  <w:sz w:val="22"/>
                  <w:szCs w:val="22"/>
                </w:rPr>
                <w:delText>15 kg fino a &lt; 30 kg</w:delText>
              </w:r>
            </w:del>
          </w:p>
        </w:tc>
        <w:tc>
          <w:tcPr>
            <w:tcW w:w="3394" w:type="dxa"/>
            <w:tcBorders>
              <w:top w:val="single" w:sz="4" w:space="0" w:color="auto"/>
              <w:bottom w:val="single" w:sz="4" w:space="0" w:color="auto"/>
            </w:tcBorders>
          </w:tcPr>
          <w:p w:rsidR="00074E3E" w:rsidRPr="00295E71" w:rsidP="005F2B94" w14:paraId="7151484B" w14:textId="77777777">
            <w:pPr>
              <w:keepNext/>
              <w:tabs>
                <w:tab w:val="left" w:pos="567"/>
              </w:tabs>
              <w:jc w:val="center"/>
              <w:rPr>
                <w:del w:id="6321" w:author="AbbVie14" w:date="2025-05-09T10:33:00Z"/>
                <w:b/>
                <w:color w:val="000000"/>
                <w:sz w:val="22"/>
                <w:szCs w:val="22"/>
              </w:rPr>
            </w:pPr>
            <w:del w:id="6322" w:author="AbbVie14" w:date="2025-05-09T10:33:00Z">
              <w:r w:rsidRPr="00295E71">
                <w:rPr>
                  <w:color w:val="000000"/>
                  <w:sz w:val="22"/>
                  <w:szCs w:val="22"/>
                </w:rPr>
                <w:delText>Dose iniziale di 20 mg, seguita da 20 mg somministrati a settimane alterne iniziando una settimana dopo la dose iniziale</w:delText>
              </w:r>
            </w:del>
          </w:p>
        </w:tc>
      </w:tr>
      <w:tr w14:paraId="28E69F54" w14:textId="77777777" w:rsidTr="00175D66">
        <w:tblPrEx>
          <w:tblW w:w="6795" w:type="dxa"/>
          <w:tblLayout w:type="fixed"/>
          <w:tblLook w:val="0000"/>
        </w:tblPrEx>
        <w:trPr>
          <w:tblHeader/>
          <w:del w:id="6323" w:author="AbbVie14" w:date="2025-05-09T10:33:00Z"/>
        </w:trPr>
        <w:tc>
          <w:tcPr>
            <w:tcW w:w="3401" w:type="dxa"/>
            <w:tcBorders>
              <w:top w:val="single" w:sz="4" w:space="0" w:color="auto"/>
              <w:bottom w:val="single" w:sz="4" w:space="0" w:color="auto"/>
            </w:tcBorders>
          </w:tcPr>
          <w:p w:rsidR="00074E3E" w:rsidRPr="00295E71" w:rsidP="005F2B94" w14:paraId="3C1C7F52" w14:textId="77777777">
            <w:pPr>
              <w:keepNext/>
              <w:tabs>
                <w:tab w:val="left" w:pos="567"/>
              </w:tabs>
              <w:jc w:val="center"/>
              <w:rPr>
                <w:del w:id="6324" w:author="AbbVie14" w:date="2025-05-09T10:33:00Z"/>
                <w:b/>
                <w:color w:val="000000"/>
                <w:sz w:val="22"/>
                <w:szCs w:val="22"/>
              </w:rPr>
            </w:pPr>
            <w:del w:id="6325" w:author="AbbVie14" w:date="2025-05-09T10:33:00Z">
              <w:r w:rsidRPr="00295E71">
                <w:rPr>
                  <w:color w:val="000000"/>
                  <w:sz w:val="22"/>
                  <w:szCs w:val="22"/>
                </w:rPr>
                <w:delText>≥ 30 kg</w:delText>
              </w:r>
            </w:del>
          </w:p>
        </w:tc>
        <w:tc>
          <w:tcPr>
            <w:tcW w:w="3394" w:type="dxa"/>
            <w:tcBorders>
              <w:top w:val="single" w:sz="4" w:space="0" w:color="auto"/>
              <w:bottom w:val="single" w:sz="4" w:space="0" w:color="auto"/>
            </w:tcBorders>
          </w:tcPr>
          <w:p w:rsidR="00074E3E" w:rsidRPr="00295E71" w:rsidP="005F2B94" w14:paraId="2C4D3492" w14:textId="77777777">
            <w:pPr>
              <w:keepNext/>
              <w:tabs>
                <w:tab w:val="left" w:pos="567"/>
              </w:tabs>
              <w:jc w:val="center"/>
              <w:rPr>
                <w:del w:id="6326" w:author="AbbVie14" w:date="2025-05-09T10:33:00Z"/>
                <w:b/>
                <w:color w:val="000000"/>
                <w:sz w:val="22"/>
                <w:szCs w:val="22"/>
              </w:rPr>
            </w:pPr>
            <w:del w:id="6327" w:author="AbbVie14" w:date="2025-05-09T10:33:00Z">
              <w:r w:rsidRPr="00295E71">
                <w:rPr>
                  <w:color w:val="000000"/>
                  <w:sz w:val="22"/>
                  <w:szCs w:val="22"/>
                </w:rPr>
                <w:delText>Dose iniziale di 40 mg, seguita da 40 mg somministrati a settimane alterne iniziando una settimana dopo la dose iniziale</w:delText>
              </w:r>
            </w:del>
          </w:p>
        </w:tc>
      </w:tr>
    </w:tbl>
    <w:p w:rsidR="00074E3E" w:rsidRPr="00295E71" w14:paraId="327B2EA3" w14:textId="77777777">
      <w:pPr>
        <w:pStyle w:val="gtcbodytext"/>
        <w:spacing w:before="0" w:after="0" w:line="240" w:lineRule="auto"/>
        <w:jc w:val="both"/>
        <w:rPr>
          <w:del w:id="6328" w:author="AbbVie14" w:date="2025-05-09T10:33:00Z"/>
          <w:sz w:val="22"/>
          <w:szCs w:val="22"/>
          <w:lang w:val="it-IT"/>
        </w:rPr>
      </w:pPr>
    </w:p>
    <w:p w:rsidR="006224C2" w:rsidRPr="00295E71" w14:paraId="3AB8E3E1" w14:textId="77777777">
      <w:pPr>
        <w:pStyle w:val="gtcbodytext"/>
        <w:spacing w:before="0" w:after="0" w:line="240" w:lineRule="auto"/>
        <w:jc w:val="both"/>
        <w:rPr>
          <w:del w:id="6329" w:author="AbbVie14" w:date="2025-05-09T10:33:00Z"/>
          <w:sz w:val="22"/>
          <w:szCs w:val="22"/>
          <w:lang w:val="it-IT"/>
        </w:rPr>
      </w:pPr>
      <w:del w:id="6330" w:author="AbbVie14" w:date="2025-05-09T10:33:00Z">
        <w:r w:rsidRPr="00295E71">
          <w:rPr>
            <w:sz w:val="22"/>
            <w:szCs w:val="22"/>
            <w:lang w:val="it-IT"/>
          </w:rPr>
          <w:delText>Il proseguimento della terapia oltre le 16 settimane dovrebbe essere attentamente valutato in pazienti che non rispondono entro questo periodo di tempo.</w:delText>
        </w:r>
      </w:del>
    </w:p>
    <w:p w:rsidR="006224C2" w:rsidRPr="00295E71" w14:paraId="620AFF36" w14:textId="77777777">
      <w:pPr>
        <w:pStyle w:val="gtcbodytext"/>
        <w:spacing w:before="0" w:after="0" w:line="240" w:lineRule="auto"/>
        <w:jc w:val="both"/>
        <w:rPr>
          <w:del w:id="6331" w:author="AbbVie14" w:date="2025-05-09T10:33:00Z"/>
          <w:sz w:val="22"/>
          <w:szCs w:val="22"/>
          <w:lang w:val="it-IT"/>
        </w:rPr>
      </w:pPr>
    </w:p>
    <w:p w:rsidR="006224C2" w:rsidRPr="00295E71" w14:paraId="5AED979A" w14:textId="77777777">
      <w:pPr>
        <w:pStyle w:val="gtcbodytext"/>
        <w:spacing w:before="0" w:after="0" w:line="240" w:lineRule="auto"/>
        <w:jc w:val="both"/>
        <w:rPr>
          <w:del w:id="6332" w:author="AbbVie14" w:date="2025-05-09T10:33:00Z"/>
          <w:sz w:val="22"/>
          <w:szCs w:val="22"/>
          <w:lang w:val="it-IT"/>
        </w:rPr>
      </w:pPr>
      <w:del w:id="6333" w:author="AbbVie14" w:date="2025-05-09T10:33:00Z">
        <w:r w:rsidRPr="00295E71">
          <w:rPr>
            <w:sz w:val="22"/>
            <w:szCs w:val="22"/>
            <w:lang w:val="it-IT"/>
          </w:rPr>
          <w:delText>Laddove sia indicato il ri-trattamento con Humira, occorre seguire le indicazioni sopra riportate riguardo la dose e la durata del trattamento.</w:delText>
        </w:r>
      </w:del>
    </w:p>
    <w:p w:rsidR="00074E3E" w:rsidRPr="00295E71" w14:paraId="67DDD8BE" w14:textId="77777777">
      <w:pPr>
        <w:pStyle w:val="gtcbodytext"/>
        <w:spacing w:before="0" w:after="0" w:line="240" w:lineRule="auto"/>
        <w:jc w:val="both"/>
        <w:rPr>
          <w:del w:id="6334" w:author="AbbVie14" w:date="2025-05-09T10:33:00Z"/>
          <w:sz w:val="22"/>
          <w:szCs w:val="22"/>
          <w:lang w:val="it-IT"/>
        </w:rPr>
      </w:pPr>
    </w:p>
    <w:p w:rsidR="006224C2" w:rsidRPr="00295E71" w14:paraId="44D0DD25" w14:textId="77777777">
      <w:pPr>
        <w:pStyle w:val="gtcbodytext"/>
        <w:spacing w:before="0" w:after="0" w:line="240" w:lineRule="auto"/>
        <w:jc w:val="both"/>
        <w:rPr>
          <w:del w:id="6335" w:author="AbbVie14" w:date="2025-05-09T10:33:00Z"/>
          <w:sz w:val="22"/>
          <w:szCs w:val="22"/>
          <w:lang w:val="it-IT"/>
        </w:rPr>
      </w:pPr>
      <w:del w:id="6336" w:author="AbbVie14" w:date="2025-05-09T10:33:00Z">
        <w:r w:rsidRPr="00295E71">
          <w:rPr>
            <w:sz w:val="22"/>
            <w:szCs w:val="22"/>
            <w:lang w:val="it-IT"/>
          </w:rPr>
          <w:delText>La sicurezza di Humira nei pazienti pediatrici con psoriasi a placche è stata valutata per un periodo medio di 13 mesi.</w:delText>
        </w:r>
      </w:del>
    </w:p>
    <w:p w:rsidR="006224C2" w:rsidRPr="00295E71" w14:paraId="1BC0B267" w14:textId="77777777">
      <w:pPr>
        <w:pStyle w:val="gtcbodytext"/>
        <w:spacing w:before="0" w:after="0" w:line="240" w:lineRule="auto"/>
        <w:jc w:val="both"/>
        <w:rPr>
          <w:del w:id="6337" w:author="AbbVie14" w:date="2025-05-09T10:33:00Z"/>
          <w:sz w:val="22"/>
          <w:szCs w:val="22"/>
          <w:lang w:val="it-IT"/>
        </w:rPr>
      </w:pPr>
    </w:p>
    <w:p w:rsidR="006224C2" w:rsidRPr="00295E71" w14:paraId="4A88EAB7" w14:textId="77777777">
      <w:pPr>
        <w:pStyle w:val="gtcbodytext"/>
        <w:spacing w:before="0" w:after="0" w:line="240" w:lineRule="auto"/>
        <w:jc w:val="both"/>
        <w:rPr>
          <w:del w:id="6338" w:author="AbbVie14" w:date="2025-05-09T10:33:00Z"/>
          <w:sz w:val="22"/>
          <w:szCs w:val="22"/>
          <w:lang w:val="it-IT"/>
        </w:rPr>
      </w:pPr>
      <w:del w:id="6339" w:author="AbbVie14" w:date="2025-05-09T10:33:00Z">
        <w:r w:rsidRPr="00295E71">
          <w:rPr>
            <w:sz w:val="22"/>
            <w:szCs w:val="22"/>
            <w:lang w:val="it-IT"/>
          </w:rPr>
          <w:delText>Non c’è un uso rilevante di Humira nei bambini di età inferiore ai 4 anni per questa indicazione.</w:delText>
        </w:r>
      </w:del>
    </w:p>
    <w:p w:rsidR="006224C2" w:rsidRPr="00295E71" w14:paraId="01A14B65" w14:textId="77777777">
      <w:pPr>
        <w:pStyle w:val="gtcbodytext"/>
        <w:spacing w:before="0" w:after="0" w:line="240" w:lineRule="auto"/>
        <w:jc w:val="both"/>
        <w:rPr>
          <w:del w:id="6340" w:author="AbbVie14" w:date="2025-05-09T10:33:00Z"/>
          <w:sz w:val="22"/>
          <w:szCs w:val="22"/>
          <w:lang w:val="it-IT"/>
        </w:rPr>
      </w:pPr>
    </w:p>
    <w:p w:rsidR="00C3103A" w:rsidRPr="00295E71" w14:paraId="23D61E29" w14:textId="77777777">
      <w:pPr>
        <w:pStyle w:val="gtcbodytext"/>
        <w:spacing w:before="0" w:after="0" w:line="240" w:lineRule="auto"/>
        <w:jc w:val="both"/>
        <w:rPr>
          <w:del w:id="6341" w:author="AbbVie14" w:date="2025-05-09T10:33:00Z"/>
          <w:sz w:val="22"/>
          <w:szCs w:val="22"/>
          <w:lang w:val="it-IT"/>
        </w:rPr>
      </w:pPr>
      <w:del w:id="6342" w:author="AbbVie14" w:date="2025-05-09T10:33:00Z">
        <w:r w:rsidRPr="00295E71">
          <w:rPr>
            <w:sz w:val="22"/>
            <w:szCs w:val="22"/>
            <w:lang w:val="it-IT"/>
          </w:rPr>
          <w:delText>Humira può essere disponibile in altre concentrazioni e/o presentazioni a seconda delle necessità individuali di trattamento.</w:delText>
        </w:r>
      </w:del>
    </w:p>
    <w:p w:rsidR="00C3103A" w:rsidRPr="00295E71" w14:paraId="684FD4C6" w14:textId="77777777">
      <w:pPr>
        <w:pStyle w:val="gtcbodytext"/>
        <w:spacing w:before="0" w:after="0" w:line="240" w:lineRule="auto"/>
        <w:jc w:val="both"/>
        <w:rPr>
          <w:del w:id="6343" w:author="AbbVie14" w:date="2025-05-09T10:33:00Z"/>
          <w:sz w:val="22"/>
          <w:szCs w:val="22"/>
          <w:lang w:val="it-IT"/>
        </w:rPr>
      </w:pPr>
    </w:p>
    <w:p w:rsidR="006224C2" w:rsidRPr="00295E71" w14:paraId="59A29904" w14:textId="77777777">
      <w:pPr>
        <w:keepNext/>
        <w:rPr>
          <w:del w:id="6344" w:author="AbbVie14" w:date="2025-05-09T10:33:00Z"/>
          <w:i/>
          <w:sz w:val="22"/>
          <w:szCs w:val="22"/>
        </w:rPr>
      </w:pPr>
      <w:del w:id="6345" w:author="AbbVie14" w:date="2025-05-09T10:33:00Z">
        <w:r w:rsidRPr="00295E71">
          <w:rPr>
            <w:i/>
            <w:sz w:val="22"/>
            <w:szCs w:val="22"/>
          </w:rPr>
          <w:delText>Idrosadenite suppurativa negli adolescenti (dai 12 anni d’età, di almeno 30 kg di peso)</w:delText>
        </w:r>
      </w:del>
    </w:p>
    <w:p w:rsidR="006224C2" w:rsidRPr="00295E71" w14:paraId="4DD511F5" w14:textId="77777777">
      <w:pPr>
        <w:keepNext/>
        <w:rPr>
          <w:del w:id="6346" w:author="AbbVie14" w:date="2025-05-09T10:33:00Z"/>
          <w:i/>
          <w:sz w:val="22"/>
          <w:szCs w:val="22"/>
        </w:rPr>
      </w:pPr>
    </w:p>
    <w:p w:rsidR="006224C2" w:rsidRPr="00295E71" w14:paraId="021EC63D" w14:textId="77777777">
      <w:pPr>
        <w:rPr>
          <w:del w:id="6347" w:author="AbbVie14" w:date="2025-05-09T10:33:00Z"/>
          <w:sz w:val="22"/>
          <w:szCs w:val="22"/>
          <w:shd w:val="clear" w:color="auto" w:fill="FFFFFF"/>
        </w:rPr>
      </w:pPr>
      <w:del w:id="6348" w:author="AbbVie14" w:date="2025-05-09T10:33:00Z">
        <w:r w:rsidRPr="00295E71">
          <w:rPr>
            <w:sz w:val="22"/>
            <w:szCs w:val="22"/>
          </w:rPr>
          <w:delText>Non ci sono studi clinici con Humira in pazienti adolescenti con HS.</w:delText>
        </w:r>
      </w:del>
      <w:del w:id="6349" w:author="AbbVie14" w:date="2025-05-09T10:33:00Z">
        <w:r w:rsidR="006E2E3C">
          <w:rPr>
            <w:sz w:val="22"/>
            <w:szCs w:val="22"/>
          </w:rPr>
          <w:delText xml:space="preserve"> </w:delText>
        </w:r>
      </w:del>
      <w:del w:id="6350" w:author="AbbVie14" w:date="2025-05-09T10:33:00Z">
        <w:r w:rsidRPr="00295E71">
          <w:rPr>
            <w:sz w:val="22"/>
            <w:szCs w:val="22"/>
          </w:rPr>
          <w:delText>La posologia di Humira in questi pazienti è stata determinata sulla base di modelli e simulazione farmacocinetica (vedere paragrafo 5.2).</w:delText>
        </w:r>
      </w:del>
    </w:p>
    <w:p w:rsidR="006224C2" w:rsidRPr="00295E71" w14:paraId="71A7CAA7" w14:textId="77777777">
      <w:pPr>
        <w:pStyle w:val="EMEANormal"/>
        <w:rPr>
          <w:del w:id="6351" w:author="AbbVie14" w:date="2025-05-09T10:33:00Z"/>
          <w:lang w:val="it-IT"/>
        </w:rPr>
      </w:pPr>
    </w:p>
    <w:p w:rsidR="006224C2" w:rsidRPr="00295E71" w14:paraId="4D166739" w14:textId="77777777">
      <w:pPr>
        <w:pStyle w:val="EMEANormal"/>
        <w:rPr>
          <w:del w:id="6352" w:author="AbbVie14" w:date="2025-05-09T10:33:00Z"/>
          <w:lang w:val="it-IT"/>
        </w:rPr>
      </w:pPr>
      <w:del w:id="6353" w:author="AbbVie14" w:date="2025-05-09T10:33:00Z">
        <w:r w:rsidRPr="00295E71">
          <w:rPr>
            <w:lang w:val="it-IT"/>
          </w:rPr>
          <w:delText xml:space="preserve">La dose raccomandata di Humira è di 80 mg alla settimana 0 seguiti da 40 mg a settimane alterne a partire dalla settimana 1 </w:delText>
        </w:r>
      </w:del>
      <w:del w:id="6354" w:author="AbbVie14" w:date="2025-05-09T10:33:00Z">
        <w:r w:rsidRPr="00295E71">
          <w:rPr>
            <w:color w:val="000000"/>
            <w:lang w:val="it-IT"/>
          </w:rPr>
          <w:delText>per via sottocutanea</w:delText>
        </w:r>
      </w:del>
      <w:del w:id="6355" w:author="AbbVie14" w:date="2025-05-09T10:33:00Z">
        <w:r w:rsidRPr="00295E71">
          <w:rPr>
            <w:lang w:val="it-IT"/>
          </w:rPr>
          <w:delText xml:space="preserve">. </w:delText>
        </w:r>
      </w:del>
    </w:p>
    <w:p w:rsidR="006224C2" w:rsidRPr="00295E71" w14:paraId="6F82DE87" w14:textId="77777777">
      <w:pPr>
        <w:pStyle w:val="EMEANormal"/>
        <w:rPr>
          <w:del w:id="6356" w:author="AbbVie14" w:date="2025-05-09T10:33:00Z"/>
          <w:lang w:val="it-IT"/>
        </w:rPr>
      </w:pPr>
    </w:p>
    <w:p w:rsidR="006224C2" w:rsidRPr="00295E71" w14:paraId="0A9FE5AB" w14:textId="77777777">
      <w:pPr>
        <w:rPr>
          <w:del w:id="6357" w:author="AbbVie14" w:date="2025-05-09T10:33:00Z"/>
          <w:sz w:val="22"/>
          <w:szCs w:val="22"/>
        </w:rPr>
      </w:pPr>
      <w:del w:id="6358" w:author="AbbVie14" w:date="2025-05-09T10:33:00Z">
        <w:r w:rsidRPr="00295E71">
          <w:rPr>
            <w:sz w:val="22"/>
            <w:szCs w:val="22"/>
          </w:rPr>
          <w:delText xml:space="preserve">In pazienti adolescenti con una risposta inadeguata a 40 mg </w:delText>
        </w:r>
      </w:del>
      <w:del w:id="6359" w:author="AbbVie14" w:date="2025-05-09T10:33:00Z">
        <w:r w:rsidRPr="00295E71" w:rsidR="00FA7A1D">
          <w:rPr>
            <w:sz w:val="22"/>
            <w:szCs w:val="22"/>
          </w:rPr>
          <w:delText xml:space="preserve">di Humira </w:delText>
        </w:r>
      </w:del>
      <w:del w:id="6360" w:author="AbbVie14" w:date="2025-05-09T10:33:00Z">
        <w:r w:rsidRPr="00295E71">
          <w:rPr>
            <w:sz w:val="22"/>
            <w:szCs w:val="22"/>
          </w:rPr>
          <w:delText>a settimane alterne, può essere preso in considerazione un incremento del dos</w:delText>
        </w:r>
      </w:del>
      <w:del w:id="6361" w:author="AbbVie14" w:date="2025-05-09T10:33:00Z">
        <w:r w:rsidRPr="00295E71" w:rsidR="00C3103A">
          <w:rPr>
            <w:sz w:val="22"/>
            <w:szCs w:val="22"/>
          </w:rPr>
          <w:delText>aggio</w:delText>
        </w:r>
      </w:del>
      <w:del w:id="6362" w:author="AbbVie14" w:date="2025-05-09T10:33:00Z">
        <w:r w:rsidRPr="00295E71">
          <w:rPr>
            <w:sz w:val="22"/>
            <w:szCs w:val="22"/>
          </w:rPr>
          <w:delText xml:space="preserve"> a 40 mg ogni settimana</w:delText>
        </w:r>
      </w:del>
      <w:del w:id="6363" w:author="AbbVie14" w:date="2025-05-09T10:33:00Z">
        <w:r w:rsidRPr="00295E71" w:rsidR="00E04A08">
          <w:delText xml:space="preserve"> </w:delText>
        </w:r>
      </w:del>
      <w:del w:id="6364" w:author="AbbVie14" w:date="2025-05-09T10:33:00Z">
        <w:r w:rsidRPr="00295E71" w:rsidR="00E04A08">
          <w:rPr>
            <w:sz w:val="22"/>
            <w:szCs w:val="22"/>
          </w:rPr>
          <w:delText>o 80 mg a settimane alterne</w:delText>
        </w:r>
      </w:del>
      <w:del w:id="6365" w:author="AbbVie14" w:date="2025-05-09T10:33:00Z">
        <w:r w:rsidRPr="00295E71">
          <w:rPr>
            <w:sz w:val="22"/>
            <w:szCs w:val="22"/>
          </w:rPr>
          <w:delText>.</w:delText>
        </w:r>
      </w:del>
    </w:p>
    <w:p w:rsidR="006224C2" w:rsidRPr="00295E71" w14:paraId="333A9814" w14:textId="77777777">
      <w:pPr>
        <w:pStyle w:val="EMEANormal"/>
        <w:rPr>
          <w:del w:id="6366" w:author="AbbVie14" w:date="2025-05-09T10:33:00Z"/>
          <w:lang w:val="it-IT"/>
        </w:rPr>
      </w:pPr>
    </w:p>
    <w:p w:rsidR="006224C2" w:rsidRPr="00295E71" w:rsidP="00E04A08" w14:paraId="69E911A0" w14:textId="77777777">
      <w:pPr>
        <w:pStyle w:val="EMEANormal"/>
        <w:rPr>
          <w:del w:id="6367" w:author="AbbVie14" w:date="2025-05-09T10:33:00Z"/>
          <w:lang w:val="it-IT"/>
        </w:rPr>
      </w:pPr>
      <w:del w:id="6368" w:author="AbbVie14" w:date="2025-05-09T10:33:00Z">
        <w:r w:rsidRPr="00295E71">
          <w:rPr>
            <w:lang w:val="it-IT"/>
          </w:rPr>
          <w:delText>Se necessario, è possibile continuare la terapia</w:delText>
        </w:r>
      </w:del>
      <w:del w:id="6369" w:author="AbbVie14" w:date="2025-05-09T10:33:00Z">
        <w:r w:rsidRPr="00295E71" w:rsidR="00E04A08">
          <w:rPr>
            <w:lang w:val="it-IT"/>
          </w:rPr>
          <w:delText xml:space="preserve"> </w:delText>
        </w:r>
      </w:del>
      <w:del w:id="6370" w:author="AbbVie14" w:date="2025-05-09T10:33:00Z">
        <w:r w:rsidRPr="00295E71">
          <w:rPr>
            <w:lang w:val="it-IT"/>
          </w:rPr>
          <w:delText xml:space="preserve">antibiotica durante il trattamento con Humira. Durante il trattamento con Humira si raccomanda ai pazienti di usare tutti i giorni una soluzione di lavaggio antisettica </w:delText>
        </w:r>
      </w:del>
      <w:del w:id="6371" w:author="AbbVie14" w:date="2025-05-09T10:33:00Z">
        <w:r w:rsidRPr="00020442" w:rsidR="006E2E3C">
          <w:rPr>
            <w:lang w:val="it-IT"/>
          </w:rPr>
          <w:delText xml:space="preserve">topica </w:delText>
        </w:r>
      </w:del>
      <w:del w:id="6372" w:author="AbbVie14" w:date="2025-05-09T10:33:00Z">
        <w:r w:rsidRPr="00295E71">
          <w:rPr>
            <w:lang w:val="it-IT"/>
          </w:rPr>
          <w:delText>sulle lesioni correlate all’HS.</w:delText>
        </w:r>
      </w:del>
    </w:p>
    <w:p w:rsidR="006224C2" w:rsidRPr="00295E71" w14:paraId="2D562994" w14:textId="77777777">
      <w:pPr>
        <w:pStyle w:val="EMEANormal"/>
        <w:rPr>
          <w:del w:id="6373" w:author="AbbVie14" w:date="2025-05-09T10:33:00Z"/>
          <w:lang w:val="it-IT"/>
        </w:rPr>
      </w:pPr>
    </w:p>
    <w:p w:rsidR="006224C2" w:rsidRPr="00295E71" w14:paraId="5D85CF4E" w14:textId="77777777">
      <w:pPr>
        <w:pStyle w:val="EMEANormal"/>
        <w:rPr>
          <w:del w:id="6374" w:author="AbbVie14" w:date="2025-05-09T10:33:00Z"/>
          <w:lang w:val="it-IT"/>
        </w:rPr>
      </w:pPr>
      <w:del w:id="6375" w:author="AbbVie14" w:date="2025-05-09T10:33:00Z">
        <w:r w:rsidRPr="00295E71">
          <w:rPr>
            <w:lang w:val="it-IT"/>
          </w:rPr>
          <w:delText>La prosecuzione della terapia oltre 12 settimane di trattamento deve essere valutata attentamente se i pazienti non sono migliorati in tale periodo.</w:delText>
        </w:r>
      </w:del>
    </w:p>
    <w:p w:rsidR="006224C2" w:rsidRPr="00295E71" w14:paraId="716EDA8B" w14:textId="77777777">
      <w:pPr>
        <w:rPr>
          <w:del w:id="6376" w:author="AbbVie14" w:date="2025-05-09T10:33:00Z"/>
          <w:i/>
          <w:sz w:val="22"/>
          <w:szCs w:val="22"/>
        </w:rPr>
      </w:pPr>
    </w:p>
    <w:p w:rsidR="006224C2" w:rsidRPr="00295E71" w14:paraId="44C30653" w14:textId="77777777">
      <w:pPr>
        <w:pStyle w:val="EMEANormal"/>
        <w:rPr>
          <w:del w:id="6377" w:author="AbbVie14" w:date="2025-05-09T10:33:00Z"/>
          <w:lang w:val="it-IT"/>
        </w:rPr>
      </w:pPr>
      <w:del w:id="6378" w:author="AbbVie14" w:date="2025-05-09T10:33:00Z">
        <w:r w:rsidRPr="00295E71">
          <w:rPr>
            <w:lang w:val="it-IT"/>
          </w:rPr>
          <w:delText>Laddove fosse necessario interrompere il trattamento, è possibile riprendere la terapia con Humira.</w:delText>
        </w:r>
      </w:del>
    </w:p>
    <w:p w:rsidR="006224C2" w:rsidRPr="00295E71" w14:paraId="08D67380" w14:textId="77777777">
      <w:pPr>
        <w:pStyle w:val="EMEANormal"/>
        <w:rPr>
          <w:del w:id="6379" w:author="AbbVie14" w:date="2025-05-09T10:33:00Z"/>
          <w:lang w:val="it-IT"/>
        </w:rPr>
      </w:pPr>
    </w:p>
    <w:p w:rsidR="006224C2" w:rsidRPr="00295E71" w14:paraId="2619A4B5" w14:textId="77777777">
      <w:pPr>
        <w:pStyle w:val="EMEANormal"/>
        <w:rPr>
          <w:del w:id="6380" w:author="AbbVie14" w:date="2025-05-09T10:33:00Z"/>
          <w:lang w:val="it-IT"/>
        </w:rPr>
      </w:pPr>
      <w:del w:id="6381" w:author="AbbVie14" w:date="2025-05-09T10:33:00Z">
        <w:r w:rsidRPr="00295E71">
          <w:rPr>
            <w:lang w:val="it-IT"/>
          </w:rPr>
          <w:delText>La valutazione dei benefici e dei rischi del trattamento continuato a lungo termine deve essere effettuata periodicamente (vedere i dati relativi agli adulti nel paragrafo 5.1).</w:delText>
        </w:r>
      </w:del>
    </w:p>
    <w:p w:rsidR="006224C2" w:rsidRPr="00295E71" w14:paraId="40D077DD" w14:textId="77777777">
      <w:pPr>
        <w:pStyle w:val="EMEANormal"/>
        <w:rPr>
          <w:del w:id="6382" w:author="AbbVie14" w:date="2025-05-09T10:33:00Z"/>
          <w:lang w:val="it-IT"/>
        </w:rPr>
      </w:pPr>
    </w:p>
    <w:p w:rsidR="006224C2" w:rsidRPr="00295E71" w14:paraId="18933766" w14:textId="77777777">
      <w:pPr>
        <w:pStyle w:val="EMEANormal"/>
        <w:rPr>
          <w:del w:id="6383" w:author="AbbVie14" w:date="2025-05-09T10:33:00Z"/>
          <w:lang w:val="it-IT"/>
        </w:rPr>
      </w:pPr>
      <w:del w:id="6384" w:author="AbbVie14" w:date="2025-05-09T10:33:00Z">
        <w:r w:rsidRPr="00295E71">
          <w:rPr>
            <w:lang w:val="it-IT"/>
          </w:rPr>
          <w:delText>Non c’è un uso rilevante di Humira nei bambini di età inferiore ai 12 anni in questa indicazione.</w:delText>
        </w:r>
      </w:del>
    </w:p>
    <w:p w:rsidR="00E04A08" w:rsidRPr="00295E71" w14:paraId="62C0FCEC" w14:textId="77777777">
      <w:pPr>
        <w:pStyle w:val="EMEANormal"/>
        <w:rPr>
          <w:del w:id="6385" w:author="AbbVie14" w:date="2025-05-09T10:33:00Z"/>
          <w:lang w:val="it-IT"/>
        </w:rPr>
      </w:pPr>
    </w:p>
    <w:p w:rsidR="00E04A08" w:rsidRPr="00295E71" w14:paraId="20B3E4C5" w14:textId="77777777">
      <w:pPr>
        <w:pStyle w:val="EMEANormal"/>
        <w:rPr>
          <w:del w:id="6386" w:author="AbbVie14" w:date="2025-05-09T10:33:00Z"/>
          <w:lang w:val="it-IT"/>
        </w:rPr>
      </w:pPr>
      <w:del w:id="6387" w:author="AbbVie14" w:date="2025-05-09T10:33:00Z">
        <w:r w:rsidRPr="00295E71">
          <w:rPr>
            <w:lang w:val="it-IT"/>
          </w:rPr>
          <w:delText>Humira può essere disponibile in altre concentrazioni e/o presentazioni a seconda delle necessità individuali di trattamento.</w:delText>
        </w:r>
      </w:del>
    </w:p>
    <w:p w:rsidR="006224C2" w:rsidRPr="00295E71" w14:paraId="305C16C9" w14:textId="77777777">
      <w:pPr>
        <w:pStyle w:val="EMEANormal"/>
        <w:rPr>
          <w:del w:id="6388" w:author="AbbVie14" w:date="2025-05-09T10:33:00Z"/>
          <w:lang w:val="it-IT"/>
        </w:rPr>
      </w:pPr>
    </w:p>
    <w:p w:rsidR="006224C2" w:rsidRPr="00295E71" w14:paraId="57E2DFDB" w14:textId="77777777">
      <w:pPr>
        <w:tabs>
          <w:tab w:val="left" w:pos="567"/>
        </w:tabs>
        <w:jc w:val="both"/>
        <w:rPr>
          <w:del w:id="6389" w:author="AbbVie14" w:date="2025-05-09T10:33:00Z"/>
          <w:i/>
          <w:sz w:val="22"/>
          <w:szCs w:val="22"/>
        </w:rPr>
      </w:pPr>
      <w:del w:id="6390" w:author="AbbVie14" w:date="2025-05-09T10:33:00Z">
        <w:r w:rsidRPr="00295E71">
          <w:rPr>
            <w:i/>
            <w:sz w:val="22"/>
            <w:szCs w:val="22"/>
          </w:rPr>
          <w:delText>Malattia di Crohn in pazienti pediatrici</w:delText>
        </w:r>
      </w:del>
    </w:p>
    <w:p w:rsidR="006224C2" w:rsidRPr="00295E71" w14:paraId="35B2AF4C" w14:textId="77777777">
      <w:pPr>
        <w:tabs>
          <w:tab w:val="left" w:pos="567"/>
        </w:tabs>
        <w:jc w:val="both"/>
        <w:rPr>
          <w:del w:id="6391" w:author="AbbVie14" w:date="2025-05-09T10:33:00Z"/>
          <w:sz w:val="22"/>
          <w:szCs w:val="22"/>
        </w:rPr>
      </w:pPr>
    </w:p>
    <w:p w:rsidR="00074E3E" w:rsidRPr="00295E71" w:rsidP="00F57FE5" w14:paraId="22FBCF2D" w14:textId="77777777">
      <w:pPr>
        <w:tabs>
          <w:tab w:val="left" w:pos="567"/>
        </w:tabs>
        <w:jc w:val="both"/>
        <w:rPr>
          <w:del w:id="6392" w:author="AbbVie14" w:date="2025-05-09T10:33:00Z"/>
          <w:sz w:val="22"/>
          <w:szCs w:val="22"/>
        </w:rPr>
      </w:pPr>
      <w:del w:id="6393" w:author="AbbVie14" w:date="2025-05-09T10:33:00Z">
        <w:r w:rsidRPr="00295E71">
          <w:rPr>
            <w:sz w:val="22"/>
            <w:szCs w:val="22"/>
          </w:rPr>
          <w:delText xml:space="preserve">La dose raccomandata di Humira per pazienti con malattia di Crohn di età compresa tra 6 e 17 anni è basata sul peso corporeo (Tabella 4). Humira è somministrato attraverso iniezione sottocutanea. </w:delText>
        </w:r>
      </w:del>
    </w:p>
    <w:p w:rsidR="00074E3E" w:rsidRPr="00295E71" w:rsidP="00074E3E" w14:paraId="3147BFA6" w14:textId="77777777">
      <w:pPr>
        <w:pStyle w:val="gtcbodytext"/>
        <w:spacing w:before="0" w:after="0" w:line="240" w:lineRule="auto"/>
        <w:jc w:val="both"/>
        <w:rPr>
          <w:del w:id="6394" w:author="AbbVie14" w:date="2025-05-09T10:33:00Z"/>
          <w:sz w:val="22"/>
          <w:szCs w:val="22"/>
          <w:lang w:val="it-IT"/>
        </w:rPr>
      </w:pPr>
    </w:p>
    <w:p w:rsidR="00074E3E" w:rsidRPr="00295E71" w:rsidP="00074E3E" w14:paraId="28901607" w14:textId="77777777">
      <w:pPr>
        <w:jc w:val="center"/>
        <w:rPr>
          <w:del w:id="6395" w:author="AbbVie14" w:date="2025-05-09T10:33:00Z"/>
          <w:b/>
          <w:sz w:val="22"/>
          <w:szCs w:val="22"/>
        </w:rPr>
      </w:pPr>
      <w:del w:id="6396" w:author="AbbVie14" w:date="2025-05-09T10:33:00Z">
        <w:r w:rsidRPr="00295E71">
          <w:rPr>
            <w:b/>
            <w:sz w:val="22"/>
            <w:szCs w:val="22"/>
          </w:rPr>
          <w:delText>Tabella 4. Dose di Humira per Pazienti Pediatrici con malattia di Crohn</w:delText>
        </w:r>
      </w:del>
    </w:p>
    <w:p w:rsidR="00074E3E" w:rsidRPr="00295E71" w:rsidP="00074E3E" w14:paraId="3AA9D266" w14:textId="77777777">
      <w:pPr>
        <w:rPr>
          <w:del w:id="6397" w:author="AbbVie14" w:date="2025-05-09T10:33:00Z"/>
          <w:sz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21"/>
        <w:gridCol w:w="5839"/>
        <w:gridCol w:w="2194"/>
      </w:tblGrid>
      <w:tr w14:paraId="16614826" w14:textId="77777777" w:rsidTr="00175D66">
        <w:tblPrEx>
          <w:tblW w:w="5000" w:type="pct"/>
          <w:tblLook w:val="04A0"/>
        </w:tblPrEx>
        <w:trPr>
          <w:tblHeader/>
          <w:del w:id="6398" w:author="AbbVie14" w:date="2025-05-09T10:33:00Z"/>
        </w:trPr>
        <w:tc>
          <w:tcPr>
            <w:tcW w:w="0" w:type="auto"/>
            <w:tcBorders>
              <w:top w:val="single" w:sz="6" w:space="0" w:color="000000"/>
              <w:left w:val="single" w:sz="6" w:space="0" w:color="000000"/>
              <w:bottom w:val="single" w:sz="6" w:space="0" w:color="000000"/>
              <w:right w:val="single" w:sz="6" w:space="0" w:color="000000"/>
            </w:tcBorders>
            <w:hideMark/>
          </w:tcPr>
          <w:p w:rsidR="00074E3E" w:rsidRPr="00295E71" w:rsidP="00175D66" w14:paraId="1FF97450" w14:textId="77777777">
            <w:pPr>
              <w:jc w:val="center"/>
              <w:rPr>
                <w:del w:id="6399" w:author="AbbVie14" w:date="2025-05-09T10:33:00Z"/>
                <w:sz w:val="22"/>
              </w:rPr>
            </w:pPr>
            <w:del w:id="6400" w:author="AbbVie14" w:date="2025-05-09T10:33:00Z">
              <w:r w:rsidRPr="00295E71">
                <w:rPr>
                  <w:b/>
                  <w:sz w:val="22"/>
                </w:rPr>
                <w:delText>Peso del Paziente</w:delText>
              </w:r>
            </w:del>
          </w:p>
        </w:tc>
        <w:tc>
          <w:tcPr>
            <w:tcW w:w="0" w:type="auto"/>
            <w:tcBorders>
              <w:top w:val="single" w:sz="6" w:space="0" w:color="000000"/>
              <w:left w:val="single" w:sz="6" w:space="0" w:color="000000"/>
              <w:bottom w:val="single" w:sz="6" w:space="0" w:color="000000"/>
              <w:right w:val="single" w:sz="6" w:space="0" w:color="000000"/>
            </w:tcBorders>
            <w:hideMark/>
          </w:tcPr>
          <w:p w:rsidR="00074E3E" w:rsidRPr="00295E71" w:rsidP="00175D66" w14:paraId="3FEFF20F" w14:textId="77777777">
            <w:pPr>
              <w:jc w:val="center"/>
              <w:rPr>
                <w:del w:id="6401" w:author="AbbVie14" w:date="2025-05-09T10:33:00Z"/>
                <w:sz w:val="22"/>
              </w:rPr>
            </w:pPr>
            <w:del w:id="6402" w:author="AbbVie14" w:date="2025-05-09T10:33:00Z">
              <w:r w:rsidRPr="00295E71">
                <w:rPr>
                  <w:b/>
                  <w:sz w:val="22"/>
                </w:rPr>
                <w:delText>Dose di Induzione</w:delText>
              </w:r>
            </w:del>
          </w:p>
        </w:tc>
        <w:tc>
          <w:tcPr>
            <w:tcW w:w="0" w:type="auto"/>
            <w:tcBorders>
              <w:top w:val="single" w:sz="6" w:space="0" w:color="000000"/>
              <w:left w:val="single" w:sz="6" w:space="0" w:color="000000"/>
              <w:bottom w:val="single" w:sz="6" w:space="0" w:color="000000"/>
              <w:right w:val="single" w:sz="6" w:space="0" w:color="000000"/>
            </w:tcBorders>
            <w:hideMark/>
          </w:tcPr>
          <w:p w:rsidR="00074E3E" w:rsidRPr="00295E71" w:rsidP="00175D66" w14:paraId="732610D9" w14:textId="77777777">
            <w:pPr>
              <w:jc w:val="center"/>
              <w:rPr>
                <w:del w:id="6403" w:author="AbbVie14" w:date="2025-05-09T10:33:00Z"/>
                <w:sz w:val="22"/>
              </w:rPr>
            </w:pPr>
            <w:del w:id="6404" w:author="AbbVie14" w:date="2025-05-09T10:33:00Z">
              <w:r w:rsidRPr="00295E71">
                <w:rPr>
                  <w:b/>
                  <w:sz w:val="22"/>
                </w:rPr>
                <w:delText>Dose di Mantenimento a partire dalla settimana 4</w:delText>
              </w:r>
            </w:del>
          </w:p>
        </w:tc>
      </w:tr>
      <w:tr w14:paraId="3B367F87" w14:textId="77777777" w:rsidTr="00175D66">
        <w:tblPrEx>
          <w:tblW w:w="5000" w:type="pct"/>
          <w:tblLook w:val="04A0"/>
        </w:tblPrEx>
        <w:trPr>
          <w:del w:id="6405" w:author="AbbVie14" w:date="2025-05-09T10:33:00Z"/>
        </w:trPr>
        <w:tc>
          <w:tcPr>
            <w:tcW w:w="0" w:type="auto"/>
            <w:tcBorders>
              <w:top w:val="single" w:sz="6" w:space="0" w:color="000000"/>
              <w:left w:val="single" w:sz="6" w:space="0" w:color="000000"/>
              <w:bottom w:val="single" w:sz="6" w:space="0" w:color="000000"/>
              <w:right w:val="single" w:sz="6" w:space="0" w:color="000000"/>
            </w:tcBorders>
            <w:hideMark/>
          </w:tcPr>
          <w:p w:rsidR="00074E3E" w:rsidRPr="00295E71" w:rsidP="00175D66" w14:paraId="2D19A243" w14:textId="77777777">
            <w:pPr>
              <w:jc w:val="center"/>
              <w:rPr>
                <w:del w:id="6406" w:author="AbbVie14" w:date="2025-05-09T10:33:00Z"/>
                <w:sz w:val="22"/>
              </w:rPr>
            </w:pPr>
            <w:del w:id="6407" w:author="AbbVie14" w:date="2025-05-09T10:33:00Z">
              <w:r w:rsidRPr="00295E71">
                <w:rPr>
                  <w:sz w:val="22"/>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074E3E" w:rsidRPr="00295E71" w:rsidP="00175D66" w14:paraId="4B72B09E" w14:textId="77777777">
            <w:pPr>
              <w:numPr>
                <w:ilvl w:val="0"/>
                <w:numId w:val="128"/>
              </w:numPr>
              <w:ind w:left="307" w:hanging="180"/>
              <w:rPr>
                <w:del w:id="6408" w:author="AbbVie14" w:date="2025-05-09T10:33:00Z"/>
                <w:sz w:val="22"/>
                <w:szCs w:val="22"/>
              </w:rPr>
            </w:pPr>
            <w:del w:id="6409" w:author="AbbVie14" w:date="2025-05-09T10:33:00Z">
              <w:r w:rsidRPr="00295E71">
                <w:rPr>
                  <w:sz w:val="22"/>
                  <w:szCs w:val="22"/>
                </w:rPr>
                <w:delText xml:space="preserve">40 mg alla </w:delText>
              </w:r>
            </w:del>
            <w:del w:id="6410" w:author="AbbVie14" w:date="2025-05-09T10:33:00Z">
              <w:r w:rsidRPr="00295E71" w:rsidR="00075CD9">
                <w:rPr>
                  <w:sz w:val="22"/>
                  <w:szCs w:val="22"/>
                </w:rPr>
                <w:delText>s</w:delText>
              </w:r>
            </w:del>
            <w:del w:id="6411" w:author="AbbVie14" w:date="2025-05-09T10:33:00Z">
              <w:r w:rsidRPr="00295E71">
                <w:rPr>
                  <w:sz w:val="22"/>
                  <w:szCs w:val="22"/>
                </w:rPr>
                <w:delText xml:space="preserve">ettimana 0 e 20 mg alla </w:delText>
              </w:r>
            </w:del>
            <w:del w:id="6412" w:author="AbbVie14" w:date="2025-05-09T10:33:00Z">
              <w:r w:rsidRPr="00295E71" w:rsidR="00075CD9">
                <w:rPr>
                  <w:sz w:val="22"/>
                  <w:szCs w:val="22"/>
                </w:rPr>
                <w:delText>s</w:delText>
              </w:r>
            </w:del>
            <w:del w:id="6413" w:author="AbbVie14" w:date="2025-05-09T10:33:00Z">
              <w:r w:rsidRPr="00295E71">
                <w:rPr>
                  <w:sz w:val="22"/>
                  <w:szCs w:val="22"/>
                </w:rPr>
                <w:delText>ettimana 2</w:delText>
              </w:r>
            </w:del>
          </w:p>
          <w:p w:rsidR="00074E3E" w:rsidRPr="00295E71" w:rsidP="00175D66" w14:paraId="09EE73CB" w14:textId="77777777">
            <w:pPr>
              <w:ind w:left="337"/>
              <w:rPr>
                <w:del w:id="6414" w:author="AbbVie14" w:date="2025-05-09T10:33:00Z"/>
                <w:sz w:val="22"/>
                <w:szCs w:val="22"/>
              </w:rPr>
            </w:pPr>
          </w:p>
          <w:p w:rsidR="00074E3E" w:rsidRPr="00295E71" w:rsidP="00175D66" w14:paraId="1BDCF6C9" w14:textId="77777777">
            <w:pPr>
              <w:ind w:left="150"/>
              <w:rPr>
                <w:del w:id="6415" w:author="AbbVie14" w:date="2025-05-09T10:33:00Z"/>
                <w:sz w:val="22"/>
                <w:szCs w:val="22"/>
              </w:rPr>
            </w:pPr>
            <w:del w:id="6416" w:author="AbbVie14" w:date="2025-05-09T10:33:00Z">
              <w:r w:rsidRPr="00295E71">
                <w:rPr>
                  <w:sz w:val="22"/>
                  <w:szCs w:val="22"/>
                </w:rPr>
                <w:delText>Nel caso sia necessaria una risposta più rapida alla terapia, con la consapevolezza che il rischio di eventi avversi possa aumentare con l’utilizzo della dose di induzione più alta, può essere somministrata la seguente dose:</w:delText>
              </w:r>
            </w:del>
          </w:p>
          <w:p w:rsidR="00074E3E" w:rsidRPr="00295E71" w:rsidP="00075CD9" w14:paraId="06F42DCD" w14:textId="77777777">
            <w:pPr>
              <w:numPr>
                <w:ilvl w:val="0"/>
                <w:numId w:val="130"/>
              </w:numPr>
              <w:ind w:left="307" w:hanging="180"/>
              <w:rPr>
                <w:del w:id="6417" w:author="AbbVie14" w:date="2025-05-09T10:33:00Z"/>
                <w:iCs/>
                <w:sz w:val="22"/>
                <w:szCs w:val="22"/>
              </w:rPr>
            </w:pPr>
            <w:del w:id="6418" w:author="AbbVie14" w:date="2025-05-09T10:33:00Z">
              <w:r w:rsidRPr="00295E71">
                <w:rPr>
                  <w:sz w:val="22"/>
                  <w:szCs w:val="22"/>
                </w:rPr>
                <w:delText xml:space="preserve">80 mg alla </w:delText>
              </w:r>
            </w:del>
            <w:del w:id="6419" w:author="AbbVie14" w:date="2025-05-09T10:33:00Z">
              <w:r w:rsidRPr="00295E71" w:rsidR="00075CD9">
                <w:rPr>
                  <w:sz w:val="22"/>
                  <w:szCs w:val="22"/>
                </w:rPr>
                <w:delText>s</w:delText>
              </w:r>
            </w:del>
            <w:del w:id="6420" w:author="AbbVie14" w:date="2025-05-09T10:33:00Z">
              <w:r w:rsidRPr="00295E71">
                <w:rPr>
                  <w:sz w:val="22"/>
                  <w:szCs w:val="22"/>
                </w:rPr>
                <w:delText xml:space="preserve">ettimana 0 e 40 mg alla </w:delText>
              </w:r>
            </w:del>
            <w:del w:id="6421" w:author="AbbVie14" w:date="2025-05-09T10:33:00Z">
              <w:r w:rsidRPr="00295E71" w:rsidR="00075CD9">
                <w:rPr>
                  <w:sz w:val="22"/>
                  <w:szCs w:val="22"/>
                </w:rPr>
                <w:delText>s</w:delText>
              </w:r>
            </w:del>
            <w:del w:id="6422" w:author="AbbVie14" w:date="2025-05-09T10:33:00Z">
              <w:r w:rsidRPr="00295E71">
                <w:rPr>
                  <w:sz w:val="22"/>
                  <w:szCs w:val="22"/>
                </w:rPr>
                <w:delText>ettimana 2</w:delText>
              </w:r>
            </w:del>
          </w:p>
        </w:tc>
        <w:tc>
          <w:tcPr>
            <w:tcW w:w="0" w:type="auto"/>
            <w:tcBorders>
              <w:top w:val="single" w:sz="6" w:space="0" w:color="000000"/>
              <w:left w:val="single" w:sz="6" w:space="0" w:color="000000"/>
              <w:bottom w:val="single" w:sz="6" w:space="0" w:color="000000"/>
              <w:right w:val="single" w:sz="6" w:space="0" w:color="000000"/>
            </w:tcBorders>
            <w:hideMark/>
          </w:tcPr>
          <w:p w:rsidR="00074E3E" w:rsidRPr="00295E71" w:rsidP="00175D66" w14:paraId="608DCE76" w14:textId="77777777">
            <w:pPr>
              <w:ind w:left="16"/>
              <w:jc w:val="center"/>
              <w:rPr>
                <w:del w:id="6423" w:author="AbbVie14" w:date="2025-05-09T10:33:00Z"/>
                <w:sz w:val="22"/>
              </w:rPr>
            </w:pPr>
            <w:del w:id="6424" w:author="AbbVie14" w:date="2025-05-09T10:33:00Z">
              <w:r w:rsidRPr="00295E71">
                <w:rPr>
                  <w:sz w:val="22"/>
                </w:rPr>
                <w:delText>20 mg a settimane alterne</w:delText>
              </w:r>
            </w:del>
          </w:p>
        </w:tc>
      </w:tr>
      <w:tr w14:paraId="40F1A993" w14:textId="77777777" w:rsidTr="00175D66">
        <w:tblPrEx>
          <w:tblW w:w="5000" w:type="pct"/>
          <w:tblLook w:val="04A0"/>
        </w:tblPrEx>
        <w:trPr>
          <w:del w:id="6425" w:author="AbbVie14" w:date="2025-05-09T10:33:00Z"/>
        </w:trPr>
        <w:tc>
          <w:tcPr>
            <w:tcW w:w="0" w:type="auto"/>
            <w:tcBorders>
              <w:top w:val="single" w:sz="6" w:space="0" w:color="000000"/>
              <w:left w:val="single" w:sz="6" w:space="0" w:color="000000"/>
              <w:bottom w:val="single" w:sz="6" w:space="0" w:color="000000"/>
              <w:right w:val="single" w:sz="6" w:space="0" w:color="000000"/>
            </w:tcBorders>
            <w:hideMark/>
          </w:tcPr>
          <w:p w:rsidR="00074E3E" w:rsidRPr="00295E71" w:rsidP="00175D66" w14:paraId="34C71EC8" w14:textId="77777777">
            <w:pPr>
              <w:jc w:val="center"/>
              <w:rPr>
                <w:del w:id="6426" w:author="AbbVie14" w:date="2025-05-09T10:33:00Z"/>
                <w:sz w:val="22"/>
              </w:rPr>
            </w:pPr>
            <w:del w:id="6427" w:author="AbbVie14" w:date="2025-05-09T10:33:00Z">
              <w:r w:rsidRPr="00295E71">
                <w:rPr>
                  <w:sz w:val="22"/>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074E3E" w:rsidRPr="00295E71" w:rsidP="00175D66" w14:paraId="55F4B619" w14:textId="77777777">
            <w:pPr>
              <w:numPr>
                <w:ilvl w:val="0"/>
                <w:numId w:val="131"/>
              </w:numPr>
              <w:ind w:left="307" w:hanging="175"/>
              <w:rPr>
                <w:del w:id="6428" w:author="AbbVie14" w:date="2025-05-09T10:33:00Z"/>
                <w:sz w:val="22"/>
                <w:szCs w:val="22"/>
              </w:rPr>
            </w:pPr>
            <w:del w:id="6429" w:author="AbbVie14" w:date="2025-05-09T10:33:00Z">
              <w:r w:rsidRPr="00295E71">
                <w:rPr>
                  <w:sz w:val="22"/>
                  <w:szCs w:val="22"/>
                </w:rPr>
                <w:delText>80 mg alla settimana 0 e 40 mg alla settimana 2</w:delText>
              </w:r>
            </w:del>
          </w:p>
          <w:p w:rsidR="00074E3E" w:rsidRPr="00295E71" w:rsidP="00175D66" w14:paraId="27FAB5F3" w14:textId="77777777">
            <w:pPr>
              <w:rPr>
                <w:del w:id="6430" w:author="AbbVie14" w:date="2025-05-09T10:33:00Z"/>
                <w:sz w:val="22"/>
                <w:szCs w:val="22"/>
              </w:rPr>
            </w:pPr>
          </w:p>
          <w:p w:rsidR="00074E3E" w:rsidRPr="00295E71" w:rsidP="00175D66" w14:paraId="5822EF16" w14:textId="77777777">
            <w:pPr>
              <w:ind w:left="150"/>
              <w:rPr>
                <w:del w:id="6431" w:author="AbbVie14" w:date="2025-05-09T10:33:00Z"/>
                <w:sz w:val="22"/>
                <w:szCs w:val="22"/>
              </w:rPr>
            </w:pPr>
            <w:del w:id="6432" w:author="AbbVie14" w:date="2025-05-09T10:33:00Z">
              <w:r w:rsidRPr="00295E71">
                <w:rPr>
                  <w:sz w:val="22"/>
                  <w:szCs w:val="22"/>
                </w:rPr>
                <w:delText>Nel caso sia necessaria una risposta più rapida alla terapia, con la consapevolezza che il rischio di eventi avversi possa aumentare con l’utilizzo della dose di induzione più alta, può essere somministrata la seguente dose:</w:delText>
              </w:r>
            </w:del>
          </w:p>
          <w:p w:rsidR="00074E3E" w:rsidRPr="00295E71" w:rsidP="00FB547E" w14:paraId="4F3B0797" w14:textId="77777777">
            <w:pPr>
              <w:numPr>
                <w:ilvl w:val="0"/>
                <w:numId w:val="129"/>
              </w:numPr>
              <w:ind w:left="314" w:hanging="187"/>
              <w:rPr>
                <w:del w:id="6433" w:author="AbbVie14" w:date="2025-05-09T10:33:00Z"/>
                <w:sz w:val="22"/>
                <w:szCs w:val="22"/>
              </w:rPr>
            </w:pPr>
            <w:del w:id="6434" w:author="AbbVie14" w:date="2025-05-09T10:33:00Z">
              <w:r w:rsidRPr="00295E71">
                <w:rPr>
                  <w:sz w:val="22"/>
                  <w:szCs w:val="22"/>
                </w:rPr>
                <w:delText xml:space="preserve">160 mg alla </w:delText>
              </w:r>
            </w:del>
            <w:del w:id="6435" w:author="AbbVie14" w:date="2025-05-09T10:33:00Z">
              <w:r w:rsidRPr="00295E71" w:rsidR="00075CD9">
                <w:rPr>
                  <w:sz w:val="22"/>
                  <w:szCs w:val="22"/>
                </w:rPr>
                <w:delText>s</w:delText>
              </w:r>
            </w:del>
            <w:del w:id="6436" w:author="AbbVie14" w:date="2025-05-09T10:33:00Z">
              <w:r w:rsidRPr="00295E71">
                <w:rPr>
                  <w:sz w:val="22"/>
                  <w:szCs w:val="22"/>
                </w:rPr>
                <w:delText xml:space="preserve">ettimana 0 e 80 mg alla </w:delText>
              </w:r>
            </w:del>
            <w:del w:id="6437" w:author="AbbVie14" w:date="2025-05-09T10:33:00Z">
              <w:r w:rsidRPr="00295E71" w:rsidR="00075CD9">
                <w:rPr>
                  <w:sz w:val="22"/>
                  <w:szCs w:val="22"/>
                </w:rPr>
                <w:delText>s</w:delText>
              </w:r>
            </w:del>
            <w:del w:id="6438" w:author="AbbVie14" w:date="2025-05-09T10:33:00Z">
              <w:r w:rsidRPr="00295E71">
                <w:rPr>
                  <w:sz w:val="22"/>
                  <w:szCs w:val="22"/>
                </w:rPr>
                <w:delText>ettimana 2</w:delText>
              </w:r>
            </w:del>
          </w:p>
        </w:tc>
        <w:tc>
          <w:tcPr>
            <w:tcW w:w="0" w:type="auto"/>
            <w:tcBorders>
              <w:top w:val="single" w:sz="6" w:space="0" w:color="000000"/>
              <w:left w:val="single" w:sz="6" w:space="0" w:color="000000"/>
              <w:bottom w:val="single" w:sz="6" w:space="0" w:color="000000"/>
              <w:right w:val="single" w:sz="6" w:space="0" w:color="000000"/>
            </w:tcBorders>
            <w:hideMark/>
          </w:tcPr>
          <w:p w:rsidR="00074E3E" w:rsidRPr="00295E71" w:rsidP="00175D66" w14:paraId="269F1B93" w14:textId="77777777">
            <w:pPr>
              <w:ind w:left="16"/>
              <w:jc w:val="center"/>
              <w:rPr>
                <w:del w:id="6439" w:author="AbbVie14" w:date="2025-05-09T10:33:00Z"/>
                <w:sz w:val="22"/>
              </w:rPr>
            </w:pPr>
            <w:del w:id="6440" w:author="AbbVie14" w:date="2025-05-09T10:33:00Z">
              <w:r w:rsidRPr="00295E71">
                <w:rPr>
                  <w:sz w:val="22"/>
                </w:rPr>
                <w:delText>40 mg a settimane alterne</w:delText>
              </w:r>
            </w:del>
          </w:p>
        </w:tc>
      </w:tr>
    </w:tbl>
    <w:p w:rsidR="00074E3E" w:rsidRPr="00295E71" w:rsidP="00074E3E" w14:paraId="120337B5" w14:textId="77777777">
      <w:pPr>
        <w:keepNext/>
        <w:rPr>
          <w:del w:id="6441" w:author="AbbVie14" w:date="2025-05-09T10:33:00Z"/>
          <w:sz w:val="22"/>
        </w:rPr>
      </w:pPr>
    </w:p>
    <w:p w:rsidR="00074E3E" w:rsidRPr="00295E71" w:rsidP="00074E3E" w14:paraId="207CE349" w14:textId="77777777">
      <w:pPr>
        <w:keepNext/>
        <w:rPr>
          <w:del w:id="6442" w:author="AbbVie14" w:date="2025-05-09T10:33:00Z"/>
          <w:sz w:val="22"/>
        </w:rPr>
      </w:pPr>
      <w:del w:id="6443" w:author="AbbVie14" w:date="2025-05-09T10:33:00Z">
        <w:r w:rsidRPr="00295E71">
          <w:rPr>
            <w:sz w:val="22"/>
          </w:rPr>
          <w:delText>Pazienti che manifestano una risposta insufficiente possono beneficiare di un incremento del dos</w:delText>
        </w:r>
      </w:del>
      <w:del w:id="6444" w:author="AbbVie14" w:date="2025-05-09T10:33:00Z">
        <w:r w:rsidRPr="00295E71" w:rsidR="00E04A08">
          <w:rPr>
            <w:sz w:val="22"/>
          </w:rPr>
          <w:delText>aggio</w:delText>
        </w:r>
      </w:del>
      <w:del w:id="6445" w:author="AbbVie14" w:date="2025-05-09T10:33:00Z">
        <w:r w:rsidRPr="00295E71">
          <w:rPr>
            <w:sz w:val="22"/>
          </w:rPr>
          <w:delText>:</w:delText>
        </w:r>
      </w:del>
    </w:p>
    <w:p w:rsidR="00074E3E" w:rsidRPr="00295E71" w:rsidP="00074E3E" w14:paraId="72283AC3" w14:textId="77777777">
      <w:pPr>
        <w:keepNext/>
        <w:numPr>
          <w:ilvl w:val="0"/>
          <w:numId w:val="129"/>
        </w:numPr>
        <w:tabs>
          <w:tab w:val="left" w:pos="540"/>
        </w:tabs>
        <w:suppressAutoHyphens/>
        <w:ind w:left="540" w:hanging="540"/>
        <w:rPr>
          <w:del w:id="6446" w:author="AbbVie14" w:date="2025-05-09T10:33:00Z"/>
          <w:sz w:val="22"/>
        </w:rPr>
      </w:pPr>
      <w:del w:id="6447" w:author="AbbVie14" w:date="2025-05-09T10:33:00Z">
        <w:r w:rsidRPr="00295E71">
          <w:rPr>
            <w:sz w:val="22"/>
          </w:rPr>
          <w:delText>&lt; 40 kg: 20 mg ogni settimana</w:delText>
        </w:r>
      </w:del>
    </w:p>
    <w:p w:rsidR="00074E3E" w:rsidRPr="00295E71" w:rsidP="00074E3E" w14:paraId="0C63437A" w14:textId="77777777">
      <w:pPr>
        <w:keepNext/>
        <w:numPr>
          <w:ilvl w:val="0"/>
          <w:numId w:val="129"/>
        </w:numPr>
        <w:tabs>
          <w:tab w:val="left" w:pos="540"/>
        </w:tabs>
        <w:suppressAutoHyphens/>
        <w:ind w:left="540" w:hanging="540"/>
        <w:rPr>
          <w:del w:id="6448" w:author="AbbVie14" w:date="2025-05-09T10:33:00Z"/>
          <w:sz w:val="22"/>
        </w:rPr>
      </w:pPr>
      <w:del w:id="6449" w:author="AbbVie14" w:date="2025-05-09T10:33:00Z">
        <w:r w:rsidRPr="00295E71">
          <w:rPr>
            <w:sz w:val="22"/>
          </w:rPr>
          <w:delText>≥ 40 kg: 40 mg ogni settimana</w:delText>
        </w:r>
      </w:del>
      <w:del w:id="6450" w:author="AbbVie14" w:date="2025-05-09T10:33:00Z">
        <w:r w:rsidRPr="00295E71" w:rsidR="00E04A08">
          <w:rPr>
            <w:sz w:val="22"/>
          </w:rPr>
          <w:delText xml:space="preserve"> o </w:delText>
        </w:r>
      </w:del>
      <w:del w:id="6451" w:author="AbbVie14" w:date="2025-05-09T10:33:00Z">
        <w:r w:rsidRPr="00295E71" w:rsidR="00E04A08">
          <w:rPr>
            <w:sz w:val="22"/>
            <w:szCs w:val="22"/>
          </w:rPr>
          <w:delText>80 mg a settimane alterne</w:delText>
        </w:r>
      </w:del>
    </w:p>
    <w:p w:rsidR="00074E3E" w:rsidRPr="00295E71" w14:paraId="572063E1" w14:textId="77777777">
      <w:pPr>
        <w:tabs>
          <w:tab w:val="left" w:pos="567"/>
        </w:tabs>
        <w:jc w:val="both"/>
        <w:rPr>
          <w:del w:id="6452" w:author="AbbVie14" w:date="2025-05-09T10:33:00Z"/>
          <w:sz w:val="22"/>
          <w:szCs w:val="22"/>
        </w:rPr>
      </w:pPr>
    </w:p>
    <w:p w:rsidR="006224C2" w:rsidRPr="00295E71" w14:paraId="10A4904C" w14:textId="77777777">
      <w:pPr>
        <w:tabs>
          <w:tab w:val="left" w:pos="567"/>
        </w:tabs>
        <w:jc w:val="both"/>
        <w:rPr>
          <w:del w:id="6453" w:author="AbbVie14" w:date="2025-05-09T10:33:00Z"/>
          <w:sz w:val="22"/>
          <w:szCs w:val="22"/>
        </w:rPr>
      </w:pPr>
      <w:del w:id="6454" w:author="AbbVie14" w:date="2025-05-09T10:33:00Z">
        <w:r w:rsidRPr="00295E71">
          <w:rPr>
            <w:sz w:val="22"/>
            <w:szCs w:val="22"/>
          </w:rPr>
          <w:delText>La</w:delText>
        </w:r>
      </w:del>
      <w:del w:id="6455" w:author="AbbVie14" w:date="2025-05-09T10:33:00Z">
        <w:r w:rsidRPr="00295E71" w:rsidR="003A68D3">
          <w:rPr>
            <w:sz w:val="22"/>
            <w:szCs w:val="22"/>
          </w:rPr>
          <w:delText xml:space="preserve"> continuazione della</w:delText>
        </w:r>
      </w:del>
      <w:del w:id="6456" w:author="AbbVie14" w:date="2025-05-09T10:33:00Z">
        <w:r w:rsidRPr="00295E71">
          <w:rPr>
            <w:sz w:val="22"/>
            <w:szCs w:val="22"/>
          </w:rPr>
          <w:delText xml:space="preserve"> terapia deve essere attentamente considerata in un soggetto che non risponde alla settimana 12.</w:delText>
        </w:r>
      </w:del>
    </w:p>
    <w:p w:rsidR="006224C2" w:rsidRPr="00295E71" w14:paraId="14407A1F" w14:textId="77777777">
      <w:pPr>
        <w:tabs>
          <w:tab w:val="left" w:pos="567"/>
        </w:tabs>
        <w:jc w:val="both"/>
        <w:rPr>
          <w:del w:id="6457" w:author="AbbVie14" w:date="2025-05-09T10:33:00Z"/>
          <w:sz w:val="22"/>
          <w:szCs w:val="22"/>
        </w:rPr>
      </w:pPr>
    </w:p>
    <w:p w:rsidR="006224C2" w:rsidRPr="00295E71" w14:paraId="0899A7D2" w14:textId="77777777">
      <w:pPr>
        <w:tabs>
          <w:tab w:val="left" w:pos="567"/>
        </w:tabs>
        <w:jc w:val="both"/>
        <w:rPr>
          <w:del w:id="6458" w:author="AbbVie14" w:date="2025-05-09T10:33:00Z"/>
          <w:sz w:val="22"/>
          <w:szCs w:val="22"/>
        </w:rPr>
      </w:pPr>
      <w:del w:id="6459" w:author="AbbVie14" w:date="2025-05-09T10:33:00Z">
        <w:r w:rsidRPr="00295E71">
          <w:rPr>
            <w:sz w:val="22"/>
            <w:szCs w:val="22"/>
          </w:rPr>
          <w:delText xml:space="preserve">Non c’è un uso rilevante di Humira nei bambini di </w:delText>
        </w:r>
      </w:del>
      <w:del w:id="6460" w:author="AbbVie14" w:date="2025-05-09T10:33:00Z">
        <w:r w:rsidRPr="00295E71" w:rsidR="00074E3E">
          <w:rPr>
            <w:sz w:val="22"/>
            <w:szCs w:val="22"/>
          </w:rPr>
          <w:delText xml:space="preserve">età inferiore ai </w:delText>
        </w:r>
      </w:del>
      <w:del w:id="6461" w:author="AbbVie14" w:date="2025-05-09T10:33:00Z">
        <w:r w:rsidRPr="00295E71">
          <w:rPr>
            <w:sz w:val="22"/>
            <w:szCs w:val="22"/>
          </w:rPr>
          <w:delText>6 anni per questa indicazione.</w:delText>
        </w:r>
      </w:del>
    </w:p>
    <w:p w:rsidR="006224C2" w:rsidRPr="00295E71" w14:paraId="09C7CB61" w14:textId="77777777">
      <w:pPr>
        <w:tabs>
          <w:tab w:val="left" w:pos="567"/>
        </w:tabs>
        <w:jc w:val="both"/>
        <w:rPr>
          <w:del w:id="6462" w:author="AbbVie14" w:date="2025-05-09T10:33:00Z"/>
          <w:sz w:val="22"/>
          <w:szCs w:val="22"/>
        </w:rPr>
      </w:pPr>
    </w:p>
    <w:p w:rsidR="00E04A08" w:rsidRPr="00295E71" w14:paraId="50D20288" w14:textId="77777777">
      <w:pPr>
        <w:tabs>
          <w:tab w:val="left" w:pos="567"/>
        </w:tabs>
        <w:jc w:val="both"/>
        <w:rPr>
          <w:del w:id="6463" w:author="AbbVie14" w:date="2025-05-09T10:33:00Z"/>
          <w:sz w:val="22"/>
          <w:szCs w:val="22"/>
        </w:rPr>
      </w:pPr>
      <w:del w:id="6464" w:author="AbbVie14" w:date="2025-05-09T10:33:00Z">
        <w:r w:rsidRPr="00295E71">
          <w:rPr>
            <w:sz w:val="22"/>
            <w:szCs w:val="22"/>
          </w:rPr>
          <w:delText>Humira può essere disponibile in altre concentrazioni e/o presentazioni a seconda delle necessità individuali di trattamento.</w:delText>
        </w:r>
      </w:del>
    </w:p>
    <w:p w:rsidR="00E04A08" w:rsidRPr="00BE7034" w14:paraId="23B80163" w14:textId="77777777">
      <w:pPr>
        <w:tabs>
          <w:tab w:val="left" w:pos="567"/>
        </w:tabs>
        <w:jc w:val="both"/>
        <w:rPr>
          <w:del w:id="6465" w:author="AbbVie14" w:date="2025-05-09T10:33:00Z"/>
          <w:sz w:val="22"/>
          <w:szCs w:val="22"/>
        </w:rPr>
      </w:pPr>
    </w:p>
    <w:p w:rsidR="00BE7034" w:rsidRPr="00612824" w:rsidP="00BE7034" w14:paraId="6519EE9B" w14:textId="77777777">
      <w:pPr>
        <w:rPr>
          <w:del w:id="6466" w:author="AbbVie14" w:date="2025-05-09T10:33:00Z"/>
          <w:b/>
          <w:bCs/>
          <w:iCs/>
          <w:sz w:val="22"/>
          <w:szCs w:val="22"/>
        </w:rPr>
      </w:pPr>
      <w:del w:id="6467" w:author="AbbVie14" w:date="2025-05-09T10:33:00Z">
        <w:r w:rsidRPr="00612824">
          <w:rPr>
            <w:i/>
            <w:sz w:val="22"/>
            <w:szCs w:val="22"/>
          </w:rPr>
          <w:delText>Colite ulcerosa pediatrica</w:delText>
        </w:r>
      </w:del>
      <w:del w:id="6468" w:author="AbbVie14" w:date="2025-05-09T10:33:00Z">
        <w:r w:rsidRPr="00612824">
          <w:rPr>
            <w:b/>
            <w:sz w:val="22"/>
            <w:szCs w:val="22"/>
          </w:rPr>
          <w:delText xml:space="preserve"> </w:delText>
        </w:r>
      </w:del>
    </w:p>
    <w:p w:rsidR="00BE7034" w:rsidRPr="00612824" w:rsidP="00BE7034" w14:paraId="2EE3A0A1" w14:textId="77777777">
      <w:pPr>
        <w:rPr>
          <w:del w:id="6469" w:author="AbbVie14" w:date="2025-05-09T10:33:00Z"/>
          <w:sz w:val="22"/>
          <w:szCs w:val="22"/>
        </w:rPr>
      </w:pPr>
    </w:p>
    <w:p w:rsidR="00BE7034" w:rsidRPr="00612824" w:rsidP="00BE7034" w14:paraId="6D95FEAD" w14:textId="77777777">
      <w:pPr>
        <w:rPr>
          <w:del w:id="6470" w:author="AbbVie14" w:date="2025-05-09T10:33:00Z"/>
          <w:sz w:val="22"/>
          <w:szCs w:val="22"/>
        </w:rPr>
      </w:pPr>
      <w:del w:id="6471" w:author="AbbVie14" w:date="2025-05-09T10:33:00Z">
        <w:r w:rsidRPr="00612824">
          <w:rPr>
            <w:sz w:val="22"/>
            <w:szCs w:val="22"/>
          </w:rPr>
          <w:delText xml:space="preserve">La dose raccomandata di Humira per i pazienti di età compresa tra 6 e 17 anni </w:delText>
        </w:r>
      </w:del>
      <w:del w:id="6472" w:author="AbbVie14" w:date="2025-05-09T10:33:00Z">
        <w:r w:rsidR="000644E2">
          <w:rPr>
            <w:sz w:val="22"/>
            <w:szCs w:val="22"/>
          </w:rPr>
          <w:delText>affetti da</w:delText>
        </w:r>
      </w:del>
      <w:del w:id="6473" w:author="AbbVie14" w:date="2025-05-09T10:33:00Z">
        <w:r w:rsidRPr="00612824">
          <w:rPr>
            <w:sz w:val="22"/>
            <w:szCs w:val="22"/>
          </w:rPr>
          <w:delText xml:space="preserve"> colite ulcerosa </w:delText>
        </w:r>
      </w:del>
      <w:del w:id="6474" w:author="AbbVie14" w:date="2025-05-09T10:33:00Z">
        <w:r w:rsidR="007E20C8">
          <w:rPr>
            <w:sz w:val="22"/>
            <w:szCs w:val="22"/>
          </w:rPr>
          <w:delText>è basata</w:delText>
        </w:r>
      </w:del>
      <w:del w:id="6475" w:author="AbbVie14" w:date="2025-05-09T10:33:00Z">
        <w:r w:rsidRPr="00612824">
          <w:rPr>
            <w:sz w:val="22"/>
            <w:szCs w:val="22"/>
          </w:rPr>
          <w:delText xml:space="preserve"> sul peso corporeo (Tabella 5). Humira </w:delText>
        </w:r>
      </w:del>
      <w:del w:id="6476" w:author="AbbVie14" w:date="2025-05-09T10:33:00Z">
        <w:r w:rsidR="007E20C8">
          <w:rPr>
            <w:sz w:val="22"/>
            <w:szCs w:val="22"/>
          </w:rPr>
          <w:delText xml:space="preserve">è </w:delText>
        </w:r>
      </w:del>
      <w:del w:id="6477" w:author="AbbVie14" w:date="2025-05-09T10:33:00Z">
        <w:r w:rsidRPr="00612824">
          <w:rPr>
            <w:sz w:val="22"/>
            <w:szCs w:val="22"/>
          </w:rPr>
          <w:delText>somministrato mediante iniezione sottocutanea. </w:delText>
        </w:r>
      </w:del>
    </w:p>
    <w:p w:rsidR="00BE7034" w:rsidRPr="00612824" w:rsidP="00BE7034" w14:paraId="2E5829E9" w14:textId="77777777">
      <w:pPr>
        <w:rPr>
          <w:del w:id="6478" w:author="AbbVie14" w:date="2025-05-09T10:33:00Z"/>
          <w:sz w:val="22"/>
          <w:szCs w:val="22"/>
        </w:rPr>
      </w:pPr>
    </w:p>
    <w:p w:rsidR="00BE7034" w:rsidRPr="00612824" w:rsidP="00BE7034" w14:paraId="074C9B40" w14:textId="77777777">
      <w:pPr>
        <w:keepNext/>
        <w:jc w:val="center"/>
        <w:rPr>
          <w:del w:id="6479" w:author="AbbVie14" w:date="2025-05-09T10:33:00Z"/>
          <w:sz w:val="22"/>
          <w:szCs w:val="22"/>
        </w:rPr>
      </w:pPr>
      <w:del w:id="6480" w:author="AbbVie14" w:date="2025-05-09T10:33:00Z">
        <w:r w:rsidRPr="00612824">
          <w:rPr>
            <w:b/>
            <w:sz w:val="22"/>
            <w:szCs w:val="22"/>
          </w:rPr>
          <w:delText xml:space="preserve">Tabella 5. Dose di </w:delText>
        </w:r>
      </w:del>
      <w:del w:id="6481" w:author="AbbVie14" w:date="2025-05-09T10:33:00Z">
        <w:r w:rsidR="007E20C8">
          <w:rPr>
            <w:b/>
            <w:sz w:val="22"/>
            <w:szCs w:val="22"/>
          </w:rPr>
          <w:delText>H</w:delText>
        </w:r>
      </w:del>
      <w:del w:id="6482" w:author="AbbVie14" w:date="2025-05-09T10:33:00Z">
        <w:r w:rsidRPr="00612824">
          <w:rPr>
            <w:b/>
            <w:sz w:val="22"/>
            <w:szCs w:val="22"/>
          </w:rPr>
          <w:delText xml:space="preserve">umira per </w:delText>
        </w:r>
      </w:del>
      <w:del w:id="6483" w:author="AbbVie14" w:date="2025-05-09T10:33:00Z">
        <w:r w:rsidR="007E20C8">
          <w:rPr>
            <w:b/>
            <w:sz w:val="22"/>
            <w:szCs w:val="22"/>
          </w:rPr>
          <w:delText>P</w:delText>
        </w:r>
      </w:del>
      <w:del w:id="6484" w:author="AbbVie14" w:date="2025-05-09T10:33:00Z">
        <w:r w:rsidRPr="00612824">
          <w:rPr>
            <w:b/>
            <w:sz w:val="22"/>
            <w:szCs w:val="22"/>
          </w:rPr>
          <w:delText xml:space="preserve">azienti </w:delText>
        </w:r>
      </w:del>
      <w:del w:id="6485" w:author="AbbVie14" w:date="2025-05-09T10:33:00Z">
        <w:r w:rsidR="007E20C8">
          <w:rPr>
            <w:b/>
            <w:sz w:val="22"/>
            <w:szCs w:val="22"/>
          </w:rPr>
          <w:delText>P</w:delText>
        </w:r>
      </w:del>
      <w:del w:id="6486" w:author="AbbVie14" w:date="2025-05-09T10:33:00Z">
        <w:r w:rsidRPr="00612824">
          <w:rPr>
            <w:b/>
            <w:sz w:val="22"/>
            <w:szCs w:val="22"/>
          </w:rPr>
          <w:delText xml:space="preserve">ediatrici con </w:delText>
        </w:r>
      </w:del>
      <w:del w:id="6487" w:author="AbbVie14" w:date="2025-05-09T10:33:00Z">
        <w:r w:rsidR="007E20C8">
          <w:rPr>
            <w:b/>
            <w:sz w:val="22"/>
            <w:szCs w:val="22"/>
          </w:rPr>
          <w:delText>C</w:delText>
        </w:r>
      </w:del>
      <w:del w:id="6488" w:author="AbbVie14" w:date="2025-05-09T10:33:00Z">
        <w:r w:rsidRPr="00612824">
          <w:rPr>
            <w:b/>
            <w:sz w:val="22"/>
            <w:szCs w:val="22"/>
          </w:rPr>
          <w:delText xml:space="preserve">olite </w:delText>
        </w:r>
      </w:del>
      <w:del w:id="6489" w:author="AbbVie14" w:date="2025-05-09T10:33:00Z">
        <w:r w:rsidR="007E20C8">
          <w:rPr>
            <w:b/>
            <w:sz w:val="22"/>
            <w:szCs w:val="22"/>
          </w:rPr>
          <w:delText>U</w:delText>
        </w:r>
      </w:del>
      <w:del w:id="6490" w:author="AbbVie14" w:date="2025-05-09T10:33:00Z">
        <w:r w:rsidRPr="00612824">
          <w:rPr>
            <w:b/>
            <w:sz w:val="22"/>
            <w:szCs w:val="22"/>
          </w:rPr>
          <w:delText xml:space="preserve">lcerosa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05"/>
        <w:gridCol w:w="3321"/>
        <w:gridCol w:w="3157"/>
      </w:tblGrid>
      <w:tr w14:paraId="103BB8D4" w14:textId="77777777" w:rsidTr="00BE7034">
        <w:tblPrEx>
          <w:tblW w:w="4574" w:type="pct"/>
          <w:tblLook w:val="04A0"/>
        </w:tblPrEx>
        <w:trPr>
          <w:del w:id="6491" w:author="AbbVie14" w:date="2025-05-09T10:33:00Z"/>
        </w:trPr>
        <w:tc>
          <w:tcPr>
            <w:tcW w:w="0" w:type="auto"/>
            <w:tcBorders>
              <w:top w:val="single" w:sz="6" w:space="0" w:color="000000"/>
              <w:left w:val="single" w:sz="6" w:space="0" w:color="000000"/>
              <w:bottom w:val="single" w:sz="6" w:space="0" w:color="000000"/>
              <w:right w:val="single" w:sz="6" w:space="0" w:color="000000"/>
            </w:tcBorders>
            <w:vAlign w:val="center"/>
            <w:hideMark/>
          </w:tcPr>
          <w:p w:rsidR="00BE7034" w:rsidRPr="00612824" w:rsidP="00BE7034" w14:paraId="20ECA44B" w14:textId="77777777">
            <w:pPr>
              <w:jc w:val="center"/>
              <w:rPr>
                <w:del w:id="6492" w:author="AbbVie14" w:date="2025-05-09T10:33:00Z"/>
                <w:b/>
                <w:sz w:val="22"/>
                <w:szCs w:val="22"/>
              </w:rPr>
            </w:pPr>
            <w:del w:id="6493" w:author="AbbVie14" w:date="2025-05-09T10:33:00Z">
              <w:r w:rsidRPr="00612824">
                <w:rPr>
                  <w:b/>
                  <w:sz w:val="22"/>
                  <w:szCs w:val="22"/>
                </w:rPr>
                <w:delText>Peso del paziente</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BE7034" w:rsidRPr="00612824" w:rsidP="00BE7034" w14:paraId="31679402" w14:textId="77777777">
            <w:pPr>
              <w:jc w:val="center"/>
              <w:rPr>
                <w:del w:id="6494" w:author="AbbVie14" w:date="2025-05-09T10:33:00Z"/>
                <w:b/>
                <w:sz w:val="22"/>
                <w:szCs w:val="22"/>
              </w:rPr>
            </w:pPr>
            <w:del w:id="6495" w:author="AbbVie14" w:date="2025-05-09T10:33:00Z">
              <w:r w:rsidRPr="00612824">
                <w:rPr>
                  <w:b/>
                  <w:sz w:val="22"/>
                  <w:szCs w:val="22"/>
                </w:rPr>
                <w:delText xml:space="preserve">Dose di </w:delText>
              </w:r>
            </w:del>
            <w:del w:id="6496" w:author="AbbVie14" w:date="2025-05-09T10:33:00Z">
              <w:r w:rsidR="007E20C8">
                <w:rPr>
                  <w:b/>
                  <w:sz w:val="22"/>
                  <w:szCs w:val="22"/>
                </w:rPr>
                <w:delText>I</w:delText>
              </w:r>
            </w:del>
            <w:del w:id="6497" w:author="AbbVie14" w:date="2025-05-09T10:33:00Z">
              <w:r w:rsidRPr="00612824">
                <w:rPr>
                  <w:b/>
                  <w:sz w:val="22"/>
                  <w:szCs w:val="22"/>
                </w:rPr>
                <w:delText>nduzione</w:delText>
              </w:r>
            </w:del>
          </w:p>
        </w:tc>
        <w:tc>
          <w:tcPr>
            <w:tcW w:w="1906" w:type="pct"/>
            <w:tcBorders>
              <w:top w:val="single" w:sz="6" w:space="0" w:color="000000"/>
              <w:left w:val="single" w:sz="6" w:space="0" w:color="000000"/>
              <w:bottom w:val="single" w:sz="6" w:space="0" w:color="000000"/>
              <w:right w:val="single" w:sz="6" w:space="0" w:color="000000"/>
            </w:tcBorders>
            <w:hideMark/>
          </w:tcPr>
          <w:p w:rsidR="00BE7034" w:rsidRPr="00612824" w:rsidP="00BE7034" w14:paraId="6DA5E47E" w14:textId="77777777">
            <w:pPr>
              <w:jc w:val="center"/>
              <w:rPr>
                <w:del w:id="6498" w:author="AbbVie14" w:date="2025-05-09T10:33:00Z"/>
                <w:b/>
                <w:sz w:val="22"/>
                <w:szCs w:val="22"/>
              </w:rPr>
            </w:pPr>
            <w:del w:id="6499" w:author="AbbVie14" w:date="2025-05-09T10:33:00Z">
              <w:r w:rsidRPr="00612824">
                <w:rPr>
                  <w:b/>
                  <w:sz w:val="22"/>
                  <w:szCs w:val="22"/>
                </w:rPr>
                <w:delText xml:space="preserve">Dose di </w:delText>
              </w:r>
            </w:del>
            <w:del w:id="6500" w:author="AbbVie14" w:date="2025-05-09T10:33:00Z">
              <w:r w:rsidR="007E20C8">
                <w:rPr>
                  <w:b/>
                  <w:sz w:val="22"/>
                  <w:szCs w:val="22"/>
                </w:rPr>
                <w:delText>M</w:delText>
              </w:r>
            </w:del>
            <w:del w:id="6501" w:author="AbbVie14" w:date="2025-05-09T10:33:00Z">
              <w:r w:rsidRPr="00612824">
                <w:rPr>
                  <w:b/>
                  <w:sz w:val="22"/>
                  <w:szCs w:val="22"/>
                </w:rPr>
                <w:delText>antenimento</w:delText>
              </w:r>
            </w:del>
            <w:del w:id="6502" w:author="AbbVie14" w:date="2025-05-09T10:33:00Z">
              <w:r w:rsidRPr="00612824">
                <w:rPr>
                  <w:b/>
                  <w:sz w:val="22"/>
                  <w:szCs w:val="22"/>
                </w:rPr>
                <w:br/>
                <w:delText xml:space="preserve">a partire dalla </w:delText>
              </w:r>
            </w:del>
            <w:del w:id="6503" w:author="AbbVie14" w:date="2025-05-09T10:33:00Z">
              <w:r w:rsidR="007E20C8">
                <w:rPr>
                  <w:b/>
                  <w:sz w:val="22"/>
                  <w:szCs w:val="22"/>
                </w:rPr>
                <w:delText>S</w:delText>
              </w:r>
            </w:del>
            <w:del w:id="6504" w:author="AbbVie14" w:date="2025-05-09T10:33:00Z">
              <w:r w:rsidRPr="00612824">
                <w:rPr>
                  <w:b/>
                  <w:sz w:val="22"/>
                  <w:szCs w:val="22"/>
                </w:rPr>
                <w:delText>ettimana 4*</w:delText>
              </w:r>
            </w:del>
          </w:p>
        </w:tc>
      </w:tr>
      <w:tr w14:paraId="2E01CB6A" w14:textId="77777777" w:rsidTr="00BE7034">
        <w:tblPrEx>
          <w:tblW w:w="4574" w:type="pct"/>
          <w:tblLook w:val="04A0"/>
        </w:tblPrEx>
        <w:trPr>
          <w:del w:id="6505" w:author="AbbVie14" w:date="2025-05-09T10:33:00Z"/>
        </w:trPr>
        <w:tc>
          <w:tcPr>
            <w:tcW w:w="0" w:type="auto"/>
            <w:tcBorders>
              <w:top w:val="single" w:sz="6" w:space="0" w:color="000000"/>
              <w:left w:val="single" w:sz="6" w:space="0" w:color="000000"/>
              <w:bottom w:val="single" w:sz="6" w:space="0" w:color="000000"/>
              <w:right w:val="single" w:sz="6" w:space="0" w:color="000000"/>
            </w:tcBorders>
            <w:hideMark/>
          </w:tcPr>
          <w:p w:rsidR="00BE7034" w:rsidRPr="00612824" w:rsidP="00BE7034" w14:paraId="5E2E44A7" w14:textId="77777777">
            <w:pPr>
              <w:jc w:val="center"/>
              <w:rPr>
                <w:del w:id="6506" w:author="AbbVie14" w:date="2025-05-09T10:33:00Z"/>
                <w:sz w:val="22"/>
                <w:szCs w:val="22"/>
              </w:rPr>
            </w:pPr>
            <w:del w:id="6507" w:author="AbbVie14" w:date="2025-05-09T10:33:00Z">
              <w:r w:rsidRPr="00612824">
                <w:rPr>
                  <w:sz w:val="22"/>
                  <w:szCs w:val="22"/>
                </w:rPr>
                <w:delText>&lt;40 kg</w:delText>
              </w:r>
            </w:del>
          </w:p>
        </w:tc>
        <w:tc>
          <w:tcPr>
            <w:tcW w:w="2005" w:type="pct"/>
            <w:tcBorders>
              <w:top w:val="single" w:sz="6" w:space="0" w:color="000000"/>
              <w:left w:val="single" w:sz="6" w:space="0" w:color="000000"/>
              <w:bottom w:val="single" w:sz="6" w:space="0" w:color="000000"/>
              <w:right w:val="single" w:sz="6" w:space="0" w:color="000000"/>
            </w:tcBorders>
            <w:hideMark/>
          </w:tcPr>
          <w:p w:rsidR="00BE7034" w:rsidRPr="00612824" w:rsidP="00BE7034" w14:paraId="300C97E1" w14:textId="77777777">
            <w:pPr>
              <w:numPr>
                <w:ilvl w:val="0"/>
                <w:numId w:val="154"/>
              </w:numPr>
              <w:ind w:left="360" w:hanging="210"/>
              <w:rPr>
                <w:del w:id="6508" w:author="AbbVie14" w:date="2025-05-09T10:33:00Z"/>
                <w:sz w:val="22"/>
                <w:szCs w:val="22"/>
              </w:rPr>
            </w:pPr>
            <w:del w:id="6509" w:author="AbbVie14" w:date="2025-05-09T10:33:00Z">
              <w:r w:rsidRPr="00612824">
                <w:rPr>
                  <w:sz w:val="22"/>
                  <w:szCs w:val="22"/>
                </w:rPr>
                <w:delText>80 mg alla Settimana 0 (somministrati in due iniezioni da 40 mg nello stesso giorno) e</w:delText>
              </w:r>
            </w:del>
          </w:p>
          <w:p w:rsidR="00BE7034" w:rsidRPr="00612824" w:rsidP="00BE7034" w14:paraId="6E2B6B14" w14:textId="77777777">
            <w:pPr>
              <w:numPr>
                <w:ilvl w:val="0"/>
                <w:numId w:val="154"/>
              </w:numPr>
              <w:ind w:left="360" w:hanging="210"/>
              <w:rPr>
                <w:del w:id="6510" w:author="AbbVie14" w:date="2025-05-09T10:33:00Z"/>
                <w:sz w:val="22"/>
                <w:szCs w:val="22"/>
              </w:rPr>
            </w:pPr>
            <w:del w:id="6511" w:author="AbbVie14" w:date="2025-05-09T10:33:00Z">
              <w:r w:rsidRPr="00612824">
                <w:rPr>
                  <w:sz w:val="22"/>
                  <w:szCs w:val="22"/>
                </w:rPr>
                <w:delText>40 mg alla Settimana 2 (somministrati con una sola iniezione da 40 mg)</w:delText>
              </w:r>
            </w:del>
          </w:p>
        </w:tc>
        <w:tc>
          <w:tcPr>
            <w:tcW w:w="1906" w:type="pct"/>
            <w:tcBorders>
              <w:top w:val="single" w:sz="6" w:space="0" w:color="000000"/>
              <w:left w:val="single" w:sz="6" w:space="0" w:color="000000"/>
              <w:bottom w:val="single" w:sz="6" w:space="0" w:color="000000"/>
              <w:right w:val="single" w:sz="6" w:space="0" w:color="000000"/>
            </w:tcBorders>
            <w:hideMark/>
          </w:tcPr>
          <w:p w:rsidR="00BE7034" w:rsidRPr="00612824" w:rsidP="00BE7034" w14:paraId="12B7BE07" w14:textId="77777777">
            <w:pPr>
              <w:numPr>
                <w:ilvl w:val="0"/>
                <w:numId w:val="154"/>
              </w:numPr>
              <w:ind w:left="360" w:hanging="210"/>
              <w:rPr>
                <w:del w:id="6512" w:author="AbbVie14" w:date="2025-05-09T10:33:00Z"/>
                <w:sz w:val="22"/>
                <w:szCs w:val="22"/>
              </w:rPr>
            </w:pPr>
            <w:del w:id="6513" w:author="AbbVie14" w:date="2025-05-09T10:33:00Z">
              <w:r w:rsidRPr="00612824">
                <w:rPr>
                  <w:sz w:val="22"/>
                  <w:szCs w:val="22"/>
                </w:rPr>
                <w:delText xml:space="preserve">40 mg </w:delText>
              </w:r>
            </w:del>
            <w:del w:id="6514" w:author="AbbVie14" w:date="2025-05-09T10:33:00Z">
              <w:r w:rsidRPr="00612824" w:rsidR="00E54E1B">
                <w:rPr>
                  <w:sz w:val="22"/>
                  <w:szCs w:val="22"/>
                </w:rPr>
                <w:delText>a settimane alterne</w:delText>
              </w:r>
            </w:del>
          </w:p>
        </w:tc>
      </w:tr>
      <w:tr w14:paraId="7B94C4F8" w14:textId="77777777" w:rsidTr="00BE7034">
        <w:tblPrEx>
          <w:tblW w:w="4574" w:type="pct"/>
          <w:tblLook w:val="04A0"/>
        </w:tblPrEx>
        <w:trPr>
          <w:del w:id="6515" w:author="AbbVie14" w:date="2025-05-09T10:33:00Z"/>
        </w:trPr>
        <w:tc>
          <w:tcPr>
            <w:tcW w:w="0" w:type="auto"/>
            <w:tcBorders>
              <w:top w:val="single" w:sz="6" w:space="0" w:color="000000"/>
              <w:left w:val="single" w:sz="6" w:space="0" w:color="000000"/>
              <w:bottom w:val="single" w:sz="4" w:space="0" w:color="auto"/>
              <w:right w:val="single" w:sz="6" w:space="0" w:color="000000"/>
            </w:tcBorders>
            <w:hideMark/>
          </w:tcPr>
          <w:p w:rsidR="00BE7034" w:rsidRPr="00612824" w:rsidP="00BE7034" w14:paraId="15E5762E" w14:textId="77777777">
            <w:pPr>
              <w:jc w:val="center"/>
              <w:rPr>
                <w:del w:id="6516" w:author="AbbVie14" w:date="2025-05-09T10:33:00Z"/>
                <w:sz w:val="22"/>
                <w:szCs w:val="22"/>
              </w:rPr>
            </w:pPr>
            <w:del w:id="6517" w:author="AbbVie14" w:date="2025-05-09T10:33:00Z">
              <w:r w:rsidRPr="00612824">
                <w:rPr>
                  <w:sz w:val="22"/>
                  <w:szCs w:val="22"/>
                </w:rPr>
                <w:delText>≥40 kg</w:delText>
              </w:r>
            </w:del>
          </w:p>
        </w:tc>
        <w:tc>
          <w:tcPr>
            <w:tcW w:w="2005" w:type="pct"/>
            <w:tcBorders>
              <w:top w:val="single" w:sz="6" w:space="0" w:color="000000"/>
              <w:left w:val="single" w:sz="6" w:space="0" w:color="000000"/>
              <w:bottom w:val="single" w:sz="4" w:space="0" w:color="auto"/>
              <w:right w:val="single" w:sz="6" w:space="0" w:color="000000"/>
            </w:tcBorders>
            <w:hideMark/>
          </w:tcPr>
          <w:p w:rsidR="00BE7034" w:rsidRPr="00612824" w:rsidP="00BE7034" w14:paraId="1EF37FEE" w14:textId="77777777">
            <w:pPr>
              <w:numPr>
                <w:ilvl w:val="0"/>
                <w:numId w:val="155"/>
              </w:numPr>
              <w:ind w:left="360" w:hanging="210"/>
              <w:rPr>
                <w:del w:id="6518" w:author="AbbVie14" w:date="2025-05-09T10:33:00Z"/>
                <w:sz w:val="22"/>
                <w:szCs w:val="22"/>
              </w:rPr>
            </w:pPr>
            <w:del w:id="6519" w:author="AbbVie14" w:date="2025-05-09T10:33:00Z">
              <w:r w:rsidRPr="00612824">
                <w:rPr>
                  <w:sz w:val="22"/>
                  <w:szCs w:val="22"/>
                </w:rPr>
                <w:delText>160 mg alla Settimana 0 (somministrati con quattro iniezioni da 40 mg in un giorno o due iniezioni da 40 mg al giorno per due giorni consecutivi) e</w:delText>
              </w:r>
            </w:del>
          </w:p>
          <w:p w:rsidR="00BE7034" w:rsidRPr="00612824" w:rsidP="00BE7034" w14:paraId="7E7F904B" w14:textId="77777777">
            <w:pPr>
              <w:numPr>
                <w:ilvl w:val="0"/>
                <w:numId w:val="155"/>
              </w:numPr>
              <w:ind w:left="360" w:hanging="210"/>
              <w:rPr>
                <w:del w:id="6520" w:author="AbbVie14" w:date="2025-05-09T10:33:00Z"/>
                <w:sz w:val="22"/>
                <w:szCs w:val="22"/>
              </w:rPr>
            </w:pPr>
            <w:del w:id="6521" w:author="AbbVie14" w:date="2025-05-09T10:33:00Z">
              <w:r w:rsidRPr="00612824">
                <w:rPr>
                  <w:sz w:val="22"/>
                  <w:szCs w:val="22"/>
                </w:rPr>
                <w:delText>80 mg alla Settimana 2 (somministrati con due iniezioni da 40 mg in un giorno)</w:delText>
              </w:r>
            </w:del>
          </w:p>
        </w:tc>
        <w:tc>
          <w:tcPr>
            <w:tcW w:w="1906" w:type="pct"/>
            <w:tcBorders>
              <w:top w:val="single" w:sz="6" w:space="0" w:color="000000"/>
              <w:left w:val="single" w:sz="6" w:space="0" w:color="000000"/>
              <w:bottom w:val="single" w:sz="4" w:space="0" w:color="auto"/>
              <w:right w:val="single" w:sz="6" w:space="0" w:color="000000"/>
            </w:tcBorders>
            <w:hideMark/>
          </w:tcPr>
          <w:p w:rsidR="00BE7034" w:rsidRPr="00612824" w:rsidP="00BE7034" w14:paraId="7ECF8E58" w14:textId="77777777">
            <w:pPr>
              <w:numPr>
                <w:ilvl w:val="0"/>
                <w:numId w:val="154"/>
              </w:numPr>
              <w:ind w:left="360" w:hanging="210"/>
              <w:rPr>
                <w:del w:id="6522" w:author="AbbVie14" w:date="2025-05-09T10:33:00Z"/>
                <w:sz w:val="22"/>
                <w:szCs w:val="22"/>
              </w:rPr>
            </w:pPr>
            <w:del w:id="6523" w:author="AbbVie14" w:date="2025-05-09T10:33:00Z">
              <w:r w:rsidRPr="00612824">
                <w:rPr>
                  <w:sz w:val="22"/>
                  <w:szCs w:val="22"/>
                </w:rPr>
                <w:delText xml:space="preserve">80 mg </w:delText>
              </w:r>
            </w:del>
            <w:del w:id="6524" w:author="AbbVie14" w:date="2025-05-09T10:33:00Z">
              <w:r w:rsidRPr="00612824" w:rsidR="00E54E1B">
                <w:rPr>
                  <w:sz w:val="22"/>
                  <w:szCs w:val="22"/>
                </w:rPr>
                <w:delText>a settimane alterne</w:delText>
              </w:r>
            </w:del>
          </w:p>
        </w:tc>
      </w:tr>
      <w:tr w14:paraId="0662E31F" w14:textId="77777777" w:rsidTr="00BE7034">
        <w:tblPrEx>
          <w:tblW w:w="4574" w:type="pct"/>
          <w:tblLook w:val="04A0"/>
        </w:tblPrEx>
        <w:trPr>
          <w:del w:id="6525" w:author="AbbVie14" w:date="2025-05-09T10:33:00Z"/>
        </w:trPr>
        <w:tc>
          <w:tcPr>
            <w:tcW w:w="5000" w:type="pct"/>
            <w:gridSpan w:val="3"/>
            <w:tcBorders>
              <w:top w:val="single" w:sz="4" w:space="0" w:color="auto"/>
              <w:left w:val="nil"/>
              <w:bottom w:val="nil"/>
              <w:right w:val="nil"/>
            </w:tcBorders>
          </w:tcPr>
          <w:p w:rsidR="00BE7034" w:rsidRPr="00612824" w:rsidP="00BE7034" w14:paraId="155559CE" w14:textId="77777777">
            <w:pPr>
              <w:rPr>
                <w:del w:id="6526" w:author="AbbVie14" w:date="2025-05-09T10:33:00Z"/>
                <w:sz w:val="22"/>
                <w:szCs w:val="22"/>
              </w:rPr>
            </w:pPr>
            <w:del w:id="6527" w:author="AbbVie14" w:date="2025-05-09T10:33:00Z">
              <w:r w:rsidRPr="00612824">
                <w:rPr>
                  <w:sz w:val="22"/>
                  <w:szCs w:val="22"/>
                  <w:vertAlign w:val="superscript"/>
                </w:rPr>
                <w:delText xml:space="preserve">* </w:delText>
              </w:r>
            </w:del>
            <w:del w:id="6528" w:author="AbbVie14" w:date="2025-05-09T10:33:00Z">
              <w:r w:rsidRPr="00612824">
                <w:rPr>
                  <w:sz w:val="22"/>
                  <w:szCs w:val="22"/>
                </w:rPr>
                <w:delText>I pazienti pediatrici che compiono 18 anni di età durante il trattamento con Humira devono continuare la dose di mantenimento prescritta.</w:delText>
              </w:r>
            </w:del>
          </w:p>
        </w:tc>
      </w:tr>
    </w:tbl>
    <w:p w:rsidR="00BE7034" w:rsidRPr="00612824" w:rsidP="00BE7034" w14:paraId="1AAFC0FB" w14:textId="77777777">
      <w:pPr>
        <w:pStyle w:val="gtctablespaceafter"/>
        <w:numPr>
          <w:ilvl w:val="0"/>
          <w:numId w:val="156"/>
        </w:numPr>
        <w:spacing w:after="0"/>
        <w:jc w:val="center"/>
        <w:rPr>
          <w:del w:id="6529" w:author="AbbVie14" w:date="2025-05-09T10:33:00Z"/>
          <w:sz w:val="22"/>
          <w:szCs w:val="22"/>
          <w:lang w:val="it-IT"/>
        </w:rPr>
      </w:pPr>
    </w:p>
    <w:p w:rsidR="00BE7034" w:rsidRPr="00612824" w:rsidP="00BE7034" w14:paraId="638B10CF" w14:textId="77777777">
      <w:pPr>
        <w:rPr>
          <w:del w:id="6530" w:author="AbbVie14" w:date="2025-05-09T10:33:00Z"/>
          <w:sz w:val="22"/>
          <w:szCs w:val="22"/>
        </w:rPr>
      </w:pPr>
      <w:del w:id="6531" w:author="AbbVie14" w:date="2025-05-09T10:33:00Z">
        <w:r w:rsidRPr="00612824">
          <w:rPr>
            <w:sz w:val="22"/>
            <w:szCs w:val="22"/>
          </w:rPr>
          <w:delText>La continuazione della terapia oltre le 8 settimane deve essere attentamente considerata nei pazienti che non mostrano segni di risposta entro questo periodo di tempo.</w:delText>
        </w:r>
      </w:del>
    </w:p>
    <w:p w:rsidR="00BE7034" w:rsidRPr="00612824" w:rsidP="00BE7034" w14:paraId="6910B4CE" w14:textId="77777777">
      <w:pPr>
        <w:rPr>
          <w:del w:id="6532" w:author="AbbVie14" w:date="2025-05-09T10:33:00Z"/>
          <w:sz w:val="22"/>
          <w:szCs w:val="22"/>
        </w:rPr>
      </w:pPr>
    </w:p>
    <w:p w:rsidR="007E20C8" w:rsidP="007E20C8" w14:paraId="40F53A59" w14:textId="77777777">
      <w:pPr>
        <w:tabs>
          <w:tab w:val="left" w:pos="567"/>
          <w:tab w:val="right" w:pos="9070"/>
        </w:tabs>
        <w:jc w:val="both"/>
        <w:rPr>
          <w:del w:id="6533" w:author="AbbVie14" w:date="2025-05-09T10:33:00Z"/>
          <w:sz w:val="22"/>
          <w:szCs w:val="22"/>
        </w:rPr>
      </w:pPr>
      <w:del w:id="6534" w:author="AbbVie14" w:date="2025-05-09T10:33:00Z">
        <w:r>
          <w:rPr>
            <w:sz w:val="22"/>
            <w:szCs w:val="22"/>
          </w:rPr>
          <w:delText>Non c’è un uso rilevante di Humira nei bambini di età inferiore a 6 anni per questa indicazione.</w:delText>
        </w:r>
      </w:del>
    </w:p>
    <w:p w:rsidR="00BE7034" w:rsidRPr="00612824" w:rsidP="00BE7034" w14:paraId="1ACC374F" w14:textId="77777777">
      <w:pPr>
        <w:rPr>
          <w:del w:id="6535" w:author="AbbVie14" w:date="2025-05-09T10:33:00Z"/>
          <w:sz w:val="22"/>
          <w:szCs w:val="22"/>
        </w:rPr>
      </w:pPr>
    </w:p>
    <w:p w:rsidR="00BE7034" w:rsidRPr="00612824" w:rsidP="00BE7034" w14:paraId="27729669" w14:textId="77777777">
      <w:pPr>
        <w:rPr>
          <w:del w:id="6536" w:author="AbbVie14" w:date="2025-05-09T10:33:00Z"/>
          <w:sz w:val="22"/>
          <w:szCs w:val="22"/>
        </w:rPr>
      </w:pPr>
      <w:del w:id="6537" w:author="AbbVie14" w:date="2025-05-09T10:33:00Z">
        <w:r w:rsidRPr="00612824">
          <w:rPr>
            <w:sz w:val="22"/>
            <w:szCs w:val="22"/>
          </w:rPr>
          <w:delText xml:space="preserve">Humira può essere disponibile in </w:delText>
        </w:r>
      </w:del>
      <w:del w:id="6538" w:author="AbbVie14" w:date="2025-05-09T10:33:00Z">
        <w:r w:rsidR="006C2CAE">
          <w:rPr>
            <w:sz w:val="22"/>
            <w:szCs w:val="22"/>
          </w:rPr>
          <w:delText>diverse concentrazioni e/o presentazioni a seconda delle necessità individuali di trattamento</w:delText>
        </w:r>
      </w:del>
      <w:del w:id="6539" w:author="AbbVie14" w:date="2025-05-09T10:33:00Z">
        <w:r w:rsidRPr="00612824">
          <w:rPr>
            <w:sz w:val="22"/>
            <w:szCs w:val="22"/>
          </w:rPr>
          <w:delText>.</w:delText>
        </w:r>
      </w:del>
    </w:p>
    <w:p w:rsidR="00BE7034" w14:paraId="72010346" w14:textId="77777777">
      <w:pPr>
        <w:tabs>
          <w:tab w:val="left" w:pos="567"/>
          <w:tab w:val="right" w:pos="9070"/>
        </w:tabs>
        <w:jc w:val="both"/>
        <w:rPr>
          <w:del w:id="6540" w:author="AbbVie14" w:date="2025-05-09T10:33:00Z"/>
          <w:i/>
          <w:sz w:val="22"/>
          <w:szCs w:val="22"/>
        </w:rPr>
      </w:pPr>
    </w:p>
    <w:p w:rsidR="006224C2" w:rsidRPr="00295E71" w14:paraId="2BE7790F" w14:textId="77777777">
      <w:pPr>
        <w:tabs>
          <w:tab w:val="left" w:pos="567"/>
          <w:tab w:val="right" w:pos="9070"/>
        </w:tabs>
        <w:jc w:val="both"/>
        <w:rPr>
          <w:del w:id="6541" w:author="AbbVie14" w:date="2025-05-09T10:33:00Z"/>
          <w:i/>
          <w:sz w:val="22"/>
          <w:szCs w:val="22"/>
        </w:rPr>
      </w:pPr>
      <w:del w:id="6542" w:author="AbbVie14" w:date="2025-05-09T10:33:00Z">
        <w:r w:rsidRPr="00295E71">
          <w:rPr>
            <w:i/>
            <w:sz w:val="22"/>
            <w:szCs w:val="22"/>
          </w:rPr>
          <w:delText>Uveite pediatrica</w:delText>
        </w:r>
      </w:del>
    </w:p>
    <w:p w:rsidR="00074E3E" w:rsidRPr="00295E71" w:rsidP="00074E3E" w14:paraId="6A1C0C30" w14:textId="77777777">
      <w:pPr>
        <w:pStyle w:val="gtcbodytext"/>
        <w:spacing w:before="0" w:after="0" w:line="240" w:lineRule="auto"/>
        <w:jc w:val="both"/>
        <w:rPr>
          <w:del w:id="6543" w:author="AbbVie14" w:date="2025-05-09T10:33:00Z"/>
          <w:sz w:val="22"/>
          <w:szCs w:val="22"/>
          <w:lang w:val="it-IT"/>
        </w:rPr>
      </w:pPr>
    </w:p>
    <w:p w:rsidR="00074E3E" w:rsidRPr="00295E71" w:rsidP="00074E3E" w14:paraId="510C822D" w14:textId="77777777">
      <w:pPr>
        <w:pStyle w:val="gtcbodytext"/>
        <w:spacing w:before="0" w:after="0" w:line="240" w:lineRule="auto"/>
        <w:jc w:val="both"/>
        <w:rPr>
          <w:del w:id="6544" w:author="AbbVie14" w:date="2025-05-09T10:33:00Z"/>
          <w:sz w:val="22"/>
          <w:szCs w:val="22"/>
          <w:lang w:val="it-IT"/>
        </w:rPr>
      </w:pPr>
      <w:del w:id="6545" w:author="AbbVie14" w:date="2025-05-09T10:33:00Z">
        <w:r w:rsidRPr="00295E71">
          <w:rPr>
            <w:sz w:val="22"/>
            <w:szCs w:val="22"/>
            <w:lang w:val="it-IT"/>
          </w:rPr>
          <w:delText xml:space="preserve">La dose raccomandata di Humira nei pazienti pediatrici con uveite dai 2 anni di età è basata sul peso corporeo (Tabella </w:delText>
        </w:r>
      </w:del>
      <w:del w:id="6546" w:author="AbbVie14" w:date="2025-05-09T10:33:00Z">
        <w:r w:rsidR="00BE7034">
          <w:rPr>
            <w:sz w:val="22"/>
            <w:szCs w:val="22"/>
            <w:lang w:val="it-IT"/>
          </w:rPr>
          <w:delText>6</w:delText>
        </w:r>
      </w:del>
      <w:del w:id="6547" w:author="AbbVie14" w:date="2025-05-09T10:33:00Z">
        <w:r w:rsidRPr="00295E71">
          <w:rPr>
            <w:sz w:val="22"/>
            <w:szCs w:val="22"/>
            <w:lang w:val="it-IT"/>
          </w:rPr>
          <w:delText xml:space="preserve">). Humira è somministrato attraverso iniezione sottocutanea. </w:delText>
        </w:r>
      </w:del>
    </w:p>
    <w:p w:rsidR="006224C2" w:rsidRPr="00295E71" w14:paraId="67EAD209" w14:textId="77777777">
      <w:pPr>
        <w:tabs>
          <w:tab w:val="left" w:pos="567"/>
          <w:tab w:val="right" w:pos="9070"/>
        </w:tabs>
        <w:jc w:val="both"/>
        <w:rPr>
          <w:del w:id="6548" w:author="AbbVie14" w:date="2025-05-09T10:33:00Z"/>
          <w:sz w:val="22"/>
          <w:szCs w:val="22"/>
        </w:rPr>
      </w:pPr>
    </w:p>
    <w:p w:rsidR="006224C2" w:rsidRPr="00295E71" w14:paraId="36888D5E" w14:textId="77777777">
      <w:pPr>
        <w:tabs>
          <w:tab w:val="left" w:pos="567"/>
          <w:tab w:val="right" w:pos="9070"/>
        </w:tabs>
        <w:jc w:val="both"/>
        <w:rPr>
          <w:del w:id="6549" w:author="AbbVie14" w:date="2025-05-09T10:33:00Z"/>
          <w:sz w:val="22"/>
          <w:szCs w:val="22"/>
        </w:rPr>
      </w:pPr>
      <w:del w:id="6550" w:author="AbbVie14" w:date="2025-05-09T10:33:00Z">
        <w:r w:rsidRPr="00295E71">
          <w:rPr>
            <w:sz w:val="22"/>
            <w:szCs w:val="22"/>
          </w:rPr>
          <w:delText xml:space="preserve">Nell’uveite pediatrica, non </w:delText>
        </w:r>
      </w:del>
      <w:del w:id="6551" w:author="AbbVie14" w:date="2025-05-09T10:33:00Z">
        <w:r w:rsidRPr="00295E71" w:rsidR="000B0C83">
          <w:rPr>
            <w:sz w:val="22"/>
            <w:szCs w:val="22"/>
          </w:rPr>
          <w:delText>c’è</w:delText>
        </w:r>
      </w:del>
      <w:del w:id="6552" w:author="AbbVie14" w:date="2025-05-09T10:33:00Z">
        <w:r w:rsidRPr="00295E71">
          <w:rPr>
            <w:sz w:val="22"/>
            <w:szCs w:val="22"/>
          </w:rPr>
          <w:delText xml:space="preserve"> esperienz</w:delText>
        </w:r>
      </w:del>
      <w:del w:id="6553" w:author="AbbVie14" w:date="2025-05-09T10:33:00Z">
        <w:r w:rsidRPr="00295E71" w:rsidR="000B0C83">
          <w:rPr>
            <w:sz w:val="22"/>
            <w:szCs w:val="22"/>
          </w:rPr>
          <w:delText>a</w:delText>
        </w:r>
      </w:del>
      <w:del w:id="6554" w:author="AbbVie14" w:date="2025-05-09T10:33:00Z">
        <w:r w:rsidRPr="00295E71">
          <w:rPr>
            <w:sz w:val="22"/>
            <w:szCs w:val="22"/>
          </w:rPr>
          <w:delText xml:space="preserve"> </w:delText>
        </w:r>
      </w:del>
      <w:del w:id="6555" w:author="AbbVie14" w:date="2025-05-09T10:33:00Z">
        <w:r w:rsidRPr="00295E71" w:rsidR="000B0C83">
          <w:rPr>
            <w:sz w:val="22"/>
            <w:szCs w:val="22"/>
          </w:rPr>
          <w:delText>ne</w:delText>
        </w:r>
      </w:del>
      <w:del w:id="6556" w:author="AbbVie14" w:date="2025-05-09T10:33:00Z">
        <w:r w:rsidRPr="00295E71">
          <w:rPr>
            <w:sz w:val="22"/>
            <w:szCs w:val="22"/>
          </w:rPr>
          <w:delText>l trattamento con Humira senza terapia concomitante con metotressato.</w:delText>
        </w:r>
      </w:del>
    </w:p>
    <w:p w:rsidR="006224C2" w:rsidRPr="00295E71" w14:paraId="2FA430C8" w14:textId="77777777">
      <w:pPr>
        <w:tabs>
          <w:tab w:val="left" w:pos="567"/>
          <w:tab w:val="right" w:pos="9070"/>
        </w:tabs>
        <w:jc w:val="both"/>
        <w:rPr>
          <w:del w:id="6557" w:author="AbbVie14" w:date="2025-05-09T10:33:00Z"/>
          <w:sz w:val="22"/>
          <w:szCs w:val="22"/>
        </w:rPr>
      </w:pPr>
    </w:p>
    <w:p w:rsidR="00733B01" w:rsidRPr="00295E71" w:rsidP="00C04163" w14:paraId="48F03622" w14:textId="77777777">
      <w:pPr>
        <w:keepNext/>
        <w:tabs>
          <w:tab w:val="left" w:pos="562"/>
        </w:tabs>
        <w:jc w:val="center"/>
        <w:rPr>
          <w:del w:id="6558" w:author="AbbVie14" w:date="2025-05-09T10:33:00Z"/>
          <w:b/>
          <w:color w:val="000000"/>
          <w:sz w:val="22"/>
          <w:szCs w:val="22"/>
        </w:rPr>
      </w:pPr>
      <w:del w:id="6559" w:author="AbbVie14" w:date="2025-05-09T10:33:00Z">
        <w:r w:rsidRPr="00295E71">
          <w:rPr>
            <w:b/>
            <w:color w:val="000000"/>
            <w:sz w:val="22"/>
            <w:szCs w:val="22"/>
          </w:rPr>
          <w:delText xml:space="preserve">Tabella </w:delText>
        </w:r>
      </w:del>
      <w:del w:id="6560" w:author="AbbVie14" w:date="2025-05-09T10:33:00Z">
        <w:r w:rsidR="00BE7034">
          <w:rPr>
            <w:b/>
            <w:color w:val="000000"/>
            <w:sz w:val="22"/>
            <w:szCs w:val="22"/>
          </w:rPr>
          <w:delText>6</w:delText>
        </w:r>
      </w:del>
      <w:del w:id="6561" w:author="AbbVie14" w:date="2025-05-09T10:33:00Z">
        <w:r w:rsidRPr="00295E71">
          <w:rPr>
            <w:b/>
            <w:color w:val="000000"/>
            <w:sz w:val="22"/>
            <w:szCs w:val="22"/>
          </w:rPr>
          <w:delText>. Dose di Humira per Pazienti Pediatrici con Uveite</w:delText>
        </w:r>
      </w:del>
    </w:p>
    <w:p w:rsidR="00733B01" w:rsidRPr="00295E71" w:rsidP="00C04163" w14:paraId="42598926" w14:textId="77777777">
      <w:pPr>
        <w:keepNext/>
        <w:tabs>
          <w:tab w:val="left" w:pos="562"/>
        </w:tabs>
        <w:jc w:val="both"/>
        <w:rPr>
          <w:del w:id="6562" w:author="AbbVie14" w:date="2025-05-09T10:33:00Z"/>
          <w:color w:val="000000"/>
          <w:sz w:val="22"/>
          <w:szCs w:val="22"/>
        </w:rPr>
      </w:pPr>
    </w:p>
    <w:tbl>
      <w:tblPr>
        <w:tblW w:w="6795" w:type="dxa"/>
        <w:jc w:val="center"/>
        <w:tblLayout w:type="fixed"/>
        <w:tblLook w:val="0000"/>
      </w:tblPr>
      <w:tblGrid>
        <w:gridCol w:w="3401"/>
        <w:gridCol w:w="3394"/>
      </w:tblGrid>
      <w:tr w14:paraId="08F0E193" w14:textId="77777777" w:rsidTr="00175D66">
        <w:tblPrEx>
          <w:tblW w:w="6795" w:type="dxa"/>
          <w:tblLayout w:type="fixed"/>
          <w:tblLook w:val="0000"/>
        </w:tblPrEx>
        <w:trPr>
          <w:tblHeader/>
          <w:del w:id="6563" w:author="AbbVie14" w:date="2025-05-09T10:33:00Z"/>
        </w:trPr>
        <w:tc>
          <w:tcPr>
            <w:tcW w:w="3401" w:type="dxa"/>
            <w:tcBorders>
              <w:top w:val="single" w:sz="4" w:space="0" w:color="auto"/>
              <w:bottom w:val="single" w:sz="4" w:space="0" w:color="auto"/>
            </w:tcBorders>
          </w:tcPr>
          <w:p w:rsidR="00733B01" w:rsidRPr="00295E71" w:rsidP="00175D66" w14:paraId="7FEF45A0" w14:textId="77777777">
            <w:pPr>
              <w:tabs>
                <w:tab w:val="left" w:pos="567"/>
              </w:tabs>
              <w:jc w:val="center"/>
              <w:rPr>
                <w:del w:id="6564" w:author="AbbVie14" w:date="2025-05-09T10:33:00Z"/>
                <w:b/>
                <w:color w:val="000000"/>
                <w:sz w:val="22"/>
                <w:szCs w:val="22"/>
              </w:rPr>
            </w:pPr>
            <w:del w:id="6565" w:author="AbbVie14" w:date="2025-05-09T10:33:00Z">
              <w:r w:rsidRPr="00295E71">
                <w:rPr>
                  <w:b/>
                  <w:color w:val="000000"/>
                  <w:sz w:val="22"/>
                  <w:szCs w:val="22"/>
                </w:rPr>
                <w:delText>Peso del Paziente</w:delText>
              </w:r>
            </w:del>
          </w:p>
        </w:tc>
        <w:tc>
          <w:tcPr>
            <w:tcW w:w="3394" w:type="dxa"/>
            <w:tcBorders>
              <w:top w:val="single" w:sz="4" w:space="0" w:color="auto"/>
              <w:bottom w:val="single" w:sz="4" w:space="0" w:color="auto"/>
            </w:tcBorders>
          </w:tcPr>
          <w:p w:rsidR="00733B01" w:rsidRPr="00295E71" w:rsidP="00175D66" w14:paraId="194F0EA0" w14:textId="77777777">
            <w:pPr>
              <w:tabs>
                <w:tab w:val="left" w:pos="567"/>
              </w:tabs>
              <w:jc w:val="center"/>
              <w:rPr>
                <w:del w:id="6566" w:author="AbbVie14" w:date="2025-05-09T10:33:00Z"/>
                <w:b/>
                <w:color w:val="000000"/>
                <w:sz w:val="22"/>
                <w:szCs w:val="22"/>
              </w:rPr>
            </w:pPr>
            <w:del w:id="6567" w:author="AbbVie14" w:date="2025-05-09T10:33:00Z">
              <w:r w:rsidRPr="00295E71">
                <w:rPr>
                  <w:b/>
                  <w:color w:val="000000"/>
                  <w:sz w:val="22"/>
                  <w:szCs w:val="22"/>
                </w:rPr>
                <w:delText>Schema Posologico</w:delText>
              </w:r>
            </w:del>
          </w:p>
        </w:tc>
      </w:tr>
      <w:tr w14:paraId="32DCAEB7" w14:textId="77777777" w:rsidTr="00175D66">
        <w:tblPrEx>
          <w:tblW w:w="6795" w:type="dxa"/>
          <w:tblLayout w:type="fixed"/>
          <w:tblLook w:val="0000"/>
        </w:tblPrEx>
        <w:trPr>
          <w:tblHeader/>
          <w:del w:id="6568" w:author="AbbVie14" w:date="2025-05-09T10:33:00Z"/>
        </w:trPr>
        <w:tc>
          <w:tcPr>
            <w:tcW w:w="3401" w:type="dxa"/>
            <w:tcBorders>
              <w:top w:val="single" w:sz="4" w:space="0" w:color="auto"/>
              <w:bottom w:val="single" w:sz="4" w:space="0" w:color="auto"/>
            </w:tcBorders>
          </w:tcPr>
          <w:p w:rsidR="00733B01" w:rsidRPr="00295E71" w:rsidP="00175D66" w14:paraId="1C0A88E4" w14:textId="77777777">
            <w:pPr>
              <w:tabs>
                <w:tab w:val="left" w:pos="567"/>
              </w:tabs>
              <w:jc w:val="center"/>
              <w:rPr>
                <w:del w:id="6569" w:author="AbbVie14" w:date="2025-05-09T10:33:00Z"/>
                <w:b/>
                <w:color w:val="000000"/>
                <w:sz w:val="22"/>
                <w:szCs w:val="22"/>
              </w:rPr>
            </w:pPr>
            <w:del w:id="6570" w:author="AbbVie14" w:date="2025-05-09T10:33:00Z">
              <w:r w:rsidRPr="00295E71">
                <w:rPr>
                  <w:color w:val="000000"/>
                  <w:sz w:val="22"/>
                  <w:szCs w:val="22"/>
                </w:rPr>
                <w:delText>&lt; 30 kg</w:delText>
              </w:r>
            </w:del>
          </w:p>
        </w:tc>
        <w:tc>
          <w:tcPr>
            <w:tcW w:w="3394" w:type="dxa"/>
            <w:tcBorders>
              <w:top w:val="single" w:sz="4" w:space="0" w:color="auto"/>
              <w:bottom w:val="single" w:sz="4" w:space="0" w:color="auto"/>
            </w:tcBorders>
          </w:tcPr>
          <w:p w:rsidR="00733B01" w:rsidRPr="00295E71" w:rsidP="00175D66" w14:paraId="5B32470D" w14:textId="77777777">
            <w:pPr>
              <w:tabs>
                <w:tab w:val="left" w:pos="567"/>
              </w:tabs>
              <w:jc w:val="center"/>
              <w:rPr>
                <w:del w:id="6571" w:author="AbbVie14" w:date="2025-05-09T10:33:00Z"/>
                <w:b/>
                <w:color w:val="000000"/>
                <w:sz w:val="22"/>
                <w:szCs w:val="22"/>
              </w:rPr>
            </w:pPr>
            <w:del w:id="6572" w:author="AbbVie14" w:date="2025-05-09T10:33:00Z">
              <w:r w:rsidRPr="00295E71">
                <w:rPr>
                  <w:color w:val="000000"/>
                  <w:sz w:val="22"/>
                  <w:szCs w:val="22"/>
                </w:rPr>
                <w:delText>20 mg a settimane alterne in associazione con metotressato</w:delText>
              </w:r>
            </w:del>
          </w:p>
        </w:tc>
      </w:tr>
      <w:tr w14:paraId="51B18011" w14:textId="77777777" w:rsidTr="00175D66">
        <w:tblPrEx>
          <w:tblW w:w="6795" w:type="dxa"/>
          <w:tblLayout w:type="fixed"/>
          <w:tblLook w:val="0000"/>
        </w:tblPrEx>
        <w:trPr>
          <w:tblHeader/>
          <w:del w:id="6573" w:author="AbbVie14" w:date="2025-05-09T10:33:00Z"/>
        </w:trPr>
        <w:tc>
          <w:tcPr>
            <w:tcW w:w="3401" w:type="dxa"/>
            <w:tcBorders>
              <w:top w:val="single" w:sz="4" w:space="0" w:color="auto"/>
              <w:bottom w:val="single" w:sz="4" w:space="0" w:color="auto"/>
            </w:tcBorders>
          </w:tcPr>
          <w:p w:rsidR="00733B01" w:rsidRPr="00295E71" w:rsidP="00175D66" w14:paraId="57277906" w14:textId="77777777">
            <w:pPr>
              <w:tabs>
                <w:tab w:val="left" w:pos="567"/>
              </w:tabs>
              <w:jc w:val="center"/>
              <w:rPr>
                <w:del w:id="6574" w:author="AbbVie14" w:date="2025-05-09T10:33:00Z"/>
                <w:b/>
                <w:color w:val="000000"/>
                <w:sz w:val="22"/>
                <w:szCs w:val="22"/>
              </w:rPr>
            </w:pPr>
            <w:del w:id="6575" w:author="AbbVie14" w:date="2025-05-09T10:33:00Z">
              <w:r w:rsidRPr="00295E71">
                <w:rPr>
                  <w:color w:val="000000"/>
                  <w:sz w:val="22"/>
                  <w:szCs w:val="22"/>
                </w:rPr>
                <w:delText>≥ 30 kg</w:delText>
              </w:r>
            </w:del>
          </w:p>
        </w:tc>
        <w:tc>
          <w:tcPr>
            <w:tcW w:w="3394" w:type="dxa"/>
            <w:tcBorders>
              <w:top w:val="single" w:sz="4" w:space="0" w:color="auto"/>
              <w:bottom w:val="single" w:sz="4" w:space="0" w:color="auto"/>
            </w:tcBorders>
          </w:tcPr>
          <w:p w:rsidR="00733B01" w:rsidRPr="00295E71" w:rsidP="00175D66" w14:paraId="205AAD27" w14:textId="77777777">
            <w:pPr>
              <w:tabs>
                <w:tab w:val="left" w:pos="567"/>
              </w:tabs>
              <w:jc w:val="center"/>
              <w:rPr>
                <w:del w:id="6576" w:author="AbbVie14" w:date="2025-05-09T10:33:00Z"/>
                <w:b/>
                <w:color w:val="000000"/>
                <w:sz w:val="22"/>
                <w:szCs w:val="22"/>
              </w:rPr>
            </w:pPr>
            <w:del w:id="6577" w:author="AbbVie14" w:date="2025-05-09T10:33:00Z">
              <w:r w:rsidRPr="00295E71">
                <w:rPr>
                  <w:color w:val="000000"/>
                  <w:sz w:val="22"/>
                  <w:szCs w:val="22"/>
                </w:rPr>
                <w:delText>40 mg a settimane alterne in associazione con metotressato</w:delText>
              </w:r>
            </w:del>
          </w:p>
        </w:tc>
      </w:tr>
    </w:tbl>
    <w:p w:rsidR="006224C2" w:rsidRPr="00295E71" w14:paraId="218AF048" w14:textId="77777777">
      <w:pPr>
        <w:tabs>
          <w:tab w:val="left" w:pos="567"/>
          <w:tab w:val="right" w:pos="9070"/>
        </w:tabs>
        <w:jc w:val="both"/>
        <w:rPr>
          <w:del w:id="6578" w:author="AbbVie14" w:date="2025-05-09T10:33:00Z"/>
          <w:sz w:val="22"/>
          <w:szCs w:val="22"/>
        </w:rPr>
      </w:pPr>
    </w:p>
    <w:p w:rsidR="006224C2" w:rsidRPr="00295E71" w14:paraId="6A30C768" w14:textId="77777777">
      <w:pPr>
        <w:tabs>
          <w:tab w:val="left" w:pos="567"/>
          <w:tab w:val="right" w:pos="9070"/>
        </w:tabs>
        <w:jc w:val="both"/>
        <w:rPr>
          <w:del w:id="6579" w:author="AbbVie14" w:date="2025-05-09T10:33:00Z"/>
          <w:sz w:val="22"/>
          <w:szCs w:val="22"/>
        </w:rPr>
      </w:pPr>
      <w:del w:id="6580" w:author="AbbVie14" w:date="2025-05-09T10:33:00Z">
        <w:r w:rsidRPr="00295E71">
          <w:rPr>
            <w:sz w:val="22"/>
            <w:szCs w:val="22"/>
          </w:rPr>
          <w:delText xml:space="preserve">Quando si inizia la terapia con Humira, è possibile somministrare una dose di carico da 40 mg </w:delText>
        </w:r>
      </w:del>
      <w:del w:id="6581" w:author="AbbVie14" w:date="2025-05-09T10:33:00Z">
        <w:r w:rsidRPr="00295E71" w:rsidR="00733B01">
          <w:rPr>
            <w:sz w:val="22"/>
            <w:szCs w:val="22"/>
          </w:rPr>
          <w:delText xml:space="preserve">per i pazienti con peso &lt; 30 kg o 80 mg per i pazienti con peso ≥ 30 kg </w:delText>
        </w:r>
      </w:del>
      <w:del w:id="6582" w:author="AbbVie14" w:date="2025-05-09T10:33:00Z">
        <w:r w:rsidRPr="00295E71">
          <w:rPr>
            <w:sz w:val="22"/>
            <w:szCs w:val="22"/>
          </w:rPr>
          <w:delText>una settimana prima dell’inizio della terapia di mantenimento. Non sono disponibili dati clinici sull’uso della dose di carico di Humira nei bambini di età inferiore ai 6 anni (vedere paragrafo 5.2).</w:delText>
        </w:r>
      </w:del>
    </w:p>
    <w:p w:rsidR="006224C2" w:rsidRPr="00295E71" w14:paraId="6C5EC508" w14:textId="77777777">
      <w:pPr>
        <w:tabs>
          <w:tab w:val="left" w:pos="567"/>
          <w:tab w:val="right" w:pos="9070"/>
        </w:tabs>
        <w:jc w:val="both"/>
        <w:rPr>
          <w:del w:id="6583" w:author="AbbVie14" w:date="2025-05-09T10:33:00Z"/>
          <w:sz w:val="22"/>
          <w:szCs w:val="22"/>
        </w:rPr>
      </w:pPr>
    </w:p>
    <w:p w:rsidR="006224C2" w:rsidRPr="00295E71" w14:paraId="0AB9C576" w14:textId="77777777">
      <w:pPr>
        <w:pStyle w:val="gtcbodytext"/>
        <w:spacing w:before="0" w:after="0" w:line="240" w:lineRule="auto"/>
        <w:jc w:val="both"/>
        <w:rPr>
          <w:del w:id="6584" w:author="AbbVie14" w:date="2025-05-09T10:33:00Z"/>
          <w:sz w:val="22"/>
          <w:szCs w:val="22"/>
          <w:lang w:val="it-IT"/>
        </w:rPr>
      </w:pPr>
      <w:del w:id="6585" w:author="AbbVie14" w:date="2025-05-09T10:33:00Z">
        <w:r w:rsidRPr="00295E71">
          <w:rPr>
            <w:sz w:val="22"/>
            <w:szCs w:val="22"/>
            <w:lang w:val="it-IT"/>
          </w:rPr>
          <w:delText>Non c’è un uso rilevante di Humira nei bambini di età inferiore ai 2 anni per questa indicazione.</w:delText>
        </w:r>
      </w:del>
    </w:p>
    <w:p w:rsidR="006224C2" w:rsidRPr="00295E71" w14:paraId="13D8F598" w14:textId="77777777">
      <w:pPr>
        <w:pStyle w:val="gtcbodytext"/>
        <w:spacing w:before="0" w:after="0" w:line="240" w:lineRule="auto"/>
        <w:jc w:val="both"/>
        <w:rPr>
          <w:del w:id="6586" w:author="AbbVie14" w:date="2025-05-09T10:33:00Z"/>
          <w:sz w:val="22"/>
          <w:szCs w:val="22"/>
          <w:lang w:val="it-IT"/>
        </w:rPr>
      </w:pPr>
    </w:p>
    <w:p w:rsidR="006224C2" w:rsidRPr="00295E71" w14:paraId="055284C4" w14:textId="77777777">
      <w:pPr>
        <w:tabs>
          <w:tab w:val="left" w:pos="567"/>
          <w:tab w:val="right" w:pos="9070"/>
        </w:tabs>
        <w:jc w:val="both"/>
        <w:rPr>
          <w:del w:id="6587" w:author="AbbVie14" w:date="2025-05-09T10:33:00Z"/>
          <w:sz w:val="22"/>
          <w:szCs w:val="22"/>
        </w:rPr>
      </w:pPr>
      <w:del w:id="6588" w:author="AbbVie14" w:date="2025-05-09T10:33:00Z">
        <w:r w:rsidRPr="00295E71">
          <w:rPr>
            <w:sz w:val="22"/>
            <w:szCs w:val="22"/>
          </w:rPr>
          <w:delText>Si raccomanda che i benefici e i rischi del trattamento continuato a lungo termine siano valutati su base annua (vedere paragrafo 5.1).</w:delText>
        </w:r>
      </w:del>
    </w:p>
    <w:p w:rsidR="00E04A08" w:rsidRPr="00295E71" w14:paraId="49BBFDB0" w14:textId="77777777">
      <w:pPr>
        <w:tabs>
          <w:tab w:val="left" w:pos="567"/>
        </w:tabs>
        <w:jc w:val="both"/>
        <w:rPr>
          <w:del w:id="6589" w:author="AbbVie14" w:date="2025-05-09T10:33:00Z"/>
          <w:sz w:val="22"/>
          <w:szCs w:val="22"/>
        </w:rPr>
      </w:pPr>
    </w:p>
    <w:p w:rsidR="006224C2" w:rsidRPr="00287663" w14:paraId="4C002267" w14:textId="77777777">
      <w:pPr>
        <w:tabs>
          <w:tab w:val="left" w:pos="567"/>
        </w:tabs>
        <w:jc w:val="both"/>
        <w:rPr>
          <w:del w:id="6590" w:author="AbbVie14" w:date="2025-05-09T10:33:00Z"/>
          <w:sz w:val="22"/>
          <w:szCs w:val="22"/>
        </w:rPr>
      </w:pPr>
      <w:del w:id="6591" w:author="AbbVie14" w:date="2025-05-09T10:33:00Z">
        <w:r w:rsidRPr="00A140A0">
          <w:rPr>
            <w:sz w:val="22"/>
            <w:szCs w:val="22"/>
          </w:rPr>
          <w:delText>Humira può essere disponibile in altre concentrazioni e/o presentazioni a seconda delle necessità individuali di trattamento.</w:delText>
        </w:r>
      </w:del>
    </w:p>
    <w:p w:rsidR="006224C2" w:rsidRPr="00287663" w14:paraId="3C349E9D" w14:textId="77777777">
      <w:pPr>
        <w:tabs>
          <w:tab w:val="left" w:pos="567"/>
        </w:tabs>
        <w:jc w:val="both"/>
        <w:rPr>
          <w:del w:id="6592" w:author="AbbVie14" w:date="2025-05-09T10:33:00Z"/>
          <w:sz w:val="22"/>
          <w:szCs w:val="22"/>
        </w:rPr>
      </w:pPr>
    </w:p>
    <w:p w:rsidR="006224C2" w:rsidRPr="00287663" w14:paraId="49B5B4AB" w14:textId="77777777">
      <w:pPr>
        <w:keepNext/>
        <w:keepLines/>
        <w:tabs>
          <w:tab w:val="left" w:pos="567"/>
        </w:tabs>
        <w:jc w:val="both"/>
        <w:rPr>
          <w:del w:id="6593" w:author="AbbVie14" w:date="2025-05-09T10:33:00Z"/>
          <w:sz w:val="22"/>
          <w:szCs w:val="22"/>
          <w:u w:val="single"/>
        </w:rPr>
      </w:pPr>
      <w:del w:id="6594" w:author="AbbVie14" w:date="2025-05-09T10:33:00Z">
        <w:r w:rsidRPr="00287663">
          <w:rPr>
            <w:sz w:val="22"/>
            <w:szCs w:val="22"/>
            <w:u w:val="single"/>
          </w:rPr>
          <w:delText>Modo di somministrazione</w:delText>
        </w:r>
      </w:del>
    </w:p>
    <w:p w:rsidR="006224C2" w:rsidRPr="00287663" w14:paraId="5AE0D079" w14:textId="77777777">
      <w:pPr>
        <w:keepNext/>
        <w:keepLines/>
        <w:tabs>
          <w:tab w:val="left" w:pos="567"/>
        </w:tabs>
        <w:jc w:val="both"/>
        <w:rPr>
          <w:del w:id="6595" w:author="AbbVie14" w:date="2025-05-09T10:33:00Z"/>
          <w:sz w:val="22"/>
          <w:szCs w:val="22"/>
        </w:rPr>
      </w:pPr>
    </w:p>
    <w:p w:rsidR="006224C2" w:rsidRPr="00295E71" w14:paraId="7DAA8F50" w14:textId="77777777">
      <w:pPr>
        <w:keepNext/>
        <w:keepLines/>
        <w:tabs>
          <w:tab w:val="left" w:pos="567"/>
        </w:tabs>
        <w:jc w:val="both"/>
        <w:rPr>
          <w:del w:id="6596" w:author="AbbVie14" w:date="2025-05-09T10:33:00Z"/>
          <w:sz w:val="22"/>
          <w:szCs w:val="22"/>
        </w:rPr>
      </w:pPr>
      <w:del w:id="6597" w:author="AbbVie14" w:date="2025-05-09T10:33:00Z">
        <w:r w:rsidRPr="00287663">
          <w:rPr>
            <w:sz w:val="22"/>
            <w:szCs w:val="22"/>
          </w:rPr>
          <w:delText>Humira è somministrato per iniezione sottocutanea. Istruzioni</w:delText>
        </w:r>
      </w:del>
      <w:del w:id="6598" w:author="AbbVie14" w:date="2025-05-09T10:33:00Z">
        <w:r w:rsidRPr="00295E71">
          <w:rPr>
            <w:sz w:val="22"/>
            <w:szCs w:val="22"/>
          </w:rPr>
          <w:delText xml:space="preserve"> complete per l’uso sono fornite nel foglio illustrativo.</w:delText>
        </w:r>
      </w:del>
    </w:p>
    <w:p w:rsidR="006224C2" w:rsidRPr="00295E71" w14:paraId="1348FCB5" w14:textId="77777777">
      <w:pPr>
        <w:keepNext/>
        <w:keepLines/>
        <w:tabs>
          <w:tab w:val="left" w:pos="567"/>
        </w:tabs>
        <w:jc w:val="both"/>
        <w:rPr>
          <w:del w:id="6599" w:author="AbbVie14" w:date="2025-05-09T10:33:00Z"/>
          <w:sz w:val="22"/>
          <w:szCs w:val="22"/>
        </w:rPr>
      </w:pPr>
    </w:p>
    <w:p w:rsidR="00224A12" w:rsidRPr="00295E71" w14:paraId="72135CFB" w14:textId="77777777">
      <w:pPr>
        <w:keepNext/>
        <w:keepLines/>
        <w:tabs>
          <w:tab w:val="left" w:pos="567"/>
        </w:tabs>
        <w:jc w:val="both"/>
        <w:rPr>
          <w:del w:id="6600" w:author="AbbVie14" w:date="2025-05-09T10:33:00Z"/>
          <w:sz w:val="22"/>
          <w:szCs w:val="22"/>
        </w:rPr>
      </w:pPr>
      <w:del w:id="6601" w:author="AbbVie14" w:date="2025-05-09T10:33:00Z">
        <w:r w:rsidRPr="00295E71">
          <w:rPr>
            <w:sz w:val="22"/>
            <w:szCs w:val="22"/>
          </w:rPr>
          <w:delText>Humira è disponibile in altre concentrazioni e presentazioni.</w:delText>
        </w:r>
      </w:del>
    </w:p>
    <w:p w:rsidR="006224C2" w:rsidRPr="00295E71" w14:paraId="6BE2EFFC" w14:textId="77777777">
      <w:pPr>
        <w:keepNext/>
        <w:keepLines/>
        <w:tabs>
          <w:tab w:val="left" w:pos="567"/>
        </w:tabs>
        <w:jc w:val="both"/>
        <w:rPr>
          <w:del w:id="6602" w:author="AbbVie14" w:date="2025-05-09T10:33:00Z"/>
          <w:sz w:val="22"/>
          <w:szCs w:val="22"/>
        </w:rPr>
      </w:pPr>
    </w:p>
    <w:p w:rsidR="006224C2" w:rsidRPr="00295E71" w14:paraId="7C1D787A" w14:textId="77777777">
      <w:pPr>
        <w:tabs>
          <w:tab w:val="left" w:pos="567"/>
        </w:tabs>
        <w:ind w:left="567" w:hanging="567"/>
        <w:jc w:val="both"/>
        <w:rPr>
          <w:del w:id="6603" w:author="AbbVie14" w:date="2025-05-09T10:33:00Z"/>
          <w:b/>
          <w:bCs/>
          <w:sz w:val="22"/>
          <w:szCs w:val="22"/>
        </w:rPr>
      </w:pPr>
      <w:del w:id="6604" w:author="AbbVie14" w:date="2025-05-09T10:33:00Z">
        <w:r w:rsidRPr="00295E71">
          <w:rPr>
            <w:b/>
            <w:bCs/>
            <w:sz w:val="22"/>
            <w:szCs w:val="22"/>
          </w:rPr>
          <w:delText>4.3</w:delText>
        </w:r>
      </w:del>
      <w:del w:id="6605" w:author="AbbVie14" w:date="2025-05-09T10:33:00Z">
        <w:r w:rsidRPr="00295E71">
          <w:rPr>
            <w:b/>
            <w:bCs/>
            <w:sz w:val="22"/>
            <w:szCs w:val="22"/>
          </w:rPr>
          <w:tab/>
          <w:delText>Controindicazioni</w:delText>
        </w:r>
      </w:del>
    </w:p>
    <w:p w:rsidR="006224C2" w:rsidRPr="00295E71" w14:paraId="11A3C9BF" w14:textId="77777777">
      <w:pPr>
        <w:pStyle w:val="EndnoteText"/>
        <w:jc w:val="both"/>
        <w:rPr>
          <w:del w:id="6606" w:author="AbbVie14" w:date="2025-05-09T10:33:00Z"/>
          <w:lang w:val="it-IT"/>
        </w:rPr>
      </w:pPr>
    </w:p>
    <w:p w:rsidR="006224C2" w:rsidRPr="00295E71" w14:paraId="537F6DBE" w14:textId="77777777">
      <w:pPr>
        <w:tabs>
          <w:tab w:val="left" w:pos="567"/>
        </w:tabs>
        <w:jc w:val="both"/>
        <w:rPr>
          <w:del w:id="6607" w:author="AbbVie14" w:date="2025-05-09T10:33:00Z"/>
          <w:sz w:val="22"/>
          <w:szCs w:val="22"/>
        </w:rPr>
      </w:pPr>
      <w:del w:id="6608" w:author="AbbVie14" w:date="2025-05-09T10:33:00Z">
        <w:r w:rsidRPr="00295E71">
          <w:rPr>
            <w:sz w:val="22"/>
            <w:szCs w:val="22"/>
          </w:rPr>
          <w:delText>Ipersensibilità al principio attivo o ad uno qualsiasi degli eccipientielencati al paragrafo 6.1.</w:delText>
        </w:r>
      </w:del>
    </w:p>
    <w:p w:rsidR="006224C2" w:rsidRPr="00295E71" w14:paraId="5AA1E531" w14:textId="77777777">
      <w:pPr>
        <w:tabs>
          <w:tab w:val="left" w:pos="567"/>
        </w:tabs>
        <w:jc w:val="both"/>
        <w:rPr>
          <w:del w:id="6609" w:author="AbbVie14" w:date="2025-05-09T10:33:00Z"/>
          <w:sz w:val="22"/>
          <w:szCs w:val="22"/>
        </w:rPr>
      </w:pPr>
    </w:p>
    <w:p w:rsidR="006224C2" w:rsidRPr="00295E71" w14:paraId="0FE27A78" w14:textId="77777777">
      <w:pPr>
        <w:tabs>
          <w:tab w:val="left" w:pos="567"/>
        </w:tabs>
        <w:jc w:val="both"/>
        <w:rPr>
          <w:del w:id="6610" w:author="AbbVie14" w:date="2025-05-09T10:33:00Z"/>
          <w:sz w:val="22"/>
          <w:szCs w:val="22"/>
        </w:rPr>
      </w:pPr>
      <w:del w:id="6611" w:author="AbbVie14" w:date="2025-05-09T10:33:00Z">
        <w:r w:rsidRPr="00295E71">
          <w:rPr>
            <w:sz w:val="22"/>
            <w:szCs w:val="22"/>
          </w:rPr>
          <w:delText>Tubercolosi attiva o altre gravi infezioni come sepsi e infezioni opportunistiche (vedere paragrafo 4.4).</w:delText>
        </w:r>
      </w:del>
    </w:p>
    <w:p w:rsidR="006224C2" w:rsidRPr="00295E71" w14:paraId="7E81161F" w14:textId="77777777">
      <w:pPr>
        <w:tabs>
          <w:tab w:val="left" w:pos="567"/>
        </w:tabs>
        <w:jc w:val="both"/>
        <w:rPr>
          <w:del w:id="6612" w:author="AbbVie14" w:date="2025-05-09T10:33:00Z"/>
          <w:sz w:val="22"/>
          <w:szCs w:val="22"/>
        </w:rPr>
      </w:pPr>
    </w:p>
    <w:p w:rsidR="006224C2" w:rsidRPr="00295E71" w14:paraId="393A9CDF" w14:textId="77777777">
      <w:pPr>
        <w:tabs>
          <w:tab w:val="left" w:pos="567"/>
        </w:tabs>
        <w:jc w:val="both"/>
        <w:rPr>
          <w:del w:id="6613" w:author="AbbVie14" w:date="2025-05-09T10:33:00Z"/>
          <w:sz w:val="22"/>
          <w:szCs w:val="22"/>
        </w:rPr>
      </w:pPr>
      <w:del w:id="6614" w:author="AbbVie14" w:date="2025-05-09T10:33:00Z">
        <w:r w:rsidRPr="00295E71">
          <w:rPr>
            <w:sz w:val="22"/>
            <w:szCs w:val="22"/>
          </w:rPr>
          <w:delText>Insufficienza cardiaca da moderata a grave (classe III/IV NYHA) (vedere paragrafo 4.4).</w:delText>
        </w:r>
      </w:del>
    </w:p>
    <w:p w:rsidR="006224C2" w:rsidRPr="00295E71" w14:paraId="18A0E95C" w14:textId="77777777">
      <w:pPr>
        <w:tabs>
          <w:tab w:val="left" w:pos="567"/>
        </w:tabs>
        <w:jc w:val="both"/>
        <w:rPr>
          <w:del w:id="6615" w:author="AbbVie14" w:date="2025-05-09T10:33:00Z"/>
          <w:sz w:val="22"/>
          <w:szCs w:val="22"/>
        </w:rPr>
      </w:pPr>
    </w:p>
    <w:p w:rsidR="006224C2" w:rsidRPr="00295E71" w:rsidP="00F57FE5" w14:paraId="702539CC" w14:textId="77777777">
      <w:pPr>
        <w:keepNext/>
        <w:keepLines/>
        <w:tabs>
          <w:tab w:val="left" w:pos="567"/>
        </w:tabs>
        <w:jc w:val="both"/>
        <w:rPr>
          <w:del w:id="6616" w:author="AbbVie14" w:date="2025-05-09T10:33:00Z"/>
          <w:b/>
          <w:bCs/>
          <w:sz w:val="22"/>
          <w:szCs w:val="22"/>
        </w:rPr>
      </w:pPr>
      <w:del w:id="6617" w:author="AbbVie14" w:date="2025-05-09T10:33:00Z">
        <w:r w:rsidRPr="00295E71">
          <w:rPr>
            <w:b/>
            <w:bCs/>
            <w:sz w:val="22"/>
            <w:szCs w:val="22"/>
          </w:rPr>
          <w:delText>4.4</w:delText>
        </w:r>
      </w:del>
      <w:del w:id="6618" w:author="AbbVie14" w:date="2025-05-09T10:33:00Z">
        <w:r w:rsidRPr="00295E71">
          <w:rPr>
            <w:b/>
            <w:bCs/>
            <w:sz w:val="22"/>
            <w:szCs w:val="22"/>
          </w:rPr>
          <w:tab/>
          <w:delText xml:space="preserve">Avvertenze speciali e precauzioni d’impiego </w:delText>
        </w:r>
      </w:del>
    </w:p>
    <w:p w:rsidR="006224C2" w:rsidRPr="00295E71" w:rsidP="00F57FE5" w14:paraId="5F273CF8" w14:textId="77777777">
      <w:pPr>
        <w:keepNext/>
        <w:keepLines/>
        <w:tabs>
          <w:tab w:val="left" w:pos="567"/>
        </w:tabs>
        <w:jc w:val="both"/>
        <w:rPr>
          <w:del w:id="6619" w:author="AbbVie14" w:date="2025-05-09T10:33:00Z"/>
          <w:sz w:val="22"/>
          <w:szCs w:val="22"/>
        </w:rPr>
      </w:pPr>
    </w:p>
    <w:p w:rsidR="00224A12" w:rsidRPr="00295E71" w:rsidP="00F57FE5" w14:paraId="7F5AEBA7" w14:textId="77777777">
      <w:pPr>
        <w:keepNext/>
        <w:keepLines/>
        <w:tabs>
          <w:tab w:val="left" w:pos="567"/>
        </w:tabs>
        <w:jc w:val="both"/>
        <w:rPr>
          <w:del w:id="6620" w:author="AbbVie14" w:date="2025-05-09T10:33:00Z"/>
          <w:sz w:val="22"/>
          <w:szCs w:val="22"/>
          <w:u w:val="single"/>
        </w:rPr>
      </w:pPr>
      <w:del w:id="6621" w:author="AbbVie14" w:date="2025-05-09T10:33:00Z">
        <w:r w:rsidRPr="00295E71">
          <w:rPr>
            <w:sz w:val="22"/>
            <w:szCs w:val="22"/>
            <w:u w:val="single"/>
          </w:rPr>
          <w:delText>Tracciabilità</w:delText>
        </w:r>
      </w:del>
    </w:p>
    <w:p w:rsidR="00224A12" w:rsidRPr="00295E71" w:rsidP="00F57FE5" w14:paraId="5E0F65A5" w14:textId="77777777">
      <w:pPr>
        <w:keepNext/>
        <w:keepLines/>
        <w:tabs>
          <w:tab w:val="left" w:pos="567"/>
        </w:tabs>
        <w:jc w:val="both"/>
        <w:rPr>
          <w:del w:id="6622" w:author="AbbVie14" w:date="2025-05-09T10:33:00Z"/>
          <w:sz w:val="22"/>
          <w:szCs w:val="22"/>
        </w:rPr>
      </w:pPr>
    </w:p>
    <w:p w:rsidR="006224C2" w:rsidRPr="00295E71" w:rsidP="00224A12" w14:paraId="0FBB4E13" w14:textId="77777777">
      <w:pPr>
        <w:pStyle w:val="Heading4"/>
        <w:autoSpaceDE w:val="0"/>
        <w:autoSpaceDN w:val="0"/>
        <w:adjustRightInd w:val="0"/>
        <w:rPr>
          <w:del w:id="6623" w:author="AbbVie14" w:date="2025-05-09T10:33:00Z"/>
          <w:b w:val="0"/>
          <w:bCs w:val="0"/>
          <w:noProof w:val="0"/>
          <w:lang w:val="it-IT"/>
        </w:rPr>
      </w:pPr>
      <w:del w:id="6624" w:author="AbbVie14" w:date="2025-05-09T10:33:00Z">
        <w:r w:rsidRPr="00295E71">
          <w:rPr>
            <w:b w:val="0"/>
            <w:bCs w:val="0"/>
            <w:noProof w:val="0"/>
            <w:lang w:val="it-IT"/>
          </w:rPr>
          <w:delText xml:space="preserve">Al fine di migliorare la tracciabilità dei medicinali biologici, il </w:delText>
        </w:r>
      </w:del>
      <w:del w:id="6625" w:author="AbbVie14" w:date="2025-05-09T10:33:00Z">
        <w:r w:rsidRPr="00295E71" w:rsidR="00224A12">
          <w:rPr>
            <w:b w:val="0"/>
            <w:bCs w:val="0"/>
            <w:noProof w:val="0"/>
            <w:lang w:val="it-IT"/>
          </w:rPr>
          <w:delText xml:space="preserve">nome </w:delText>
        </w:r>
      </w:del>
      <w:del w:id="6626" w:author="AbbVie14" w:date="2025-05-09T10:33:00Z">
        <w:r w:rsidRPr="00295E71">
          <w:rPr>
            <w:b w:val="0"/>
            <w:bCs w:val="0"/>
            <w:noProof w:val="0"/>
            <w:lang w:val="it-IT"/>
          </w:rPr>
          <w:delText>e</w:delText>
        </w:r>
      </w:del>
      <w:del w:id="6627" w:author="AbbVie14" w:date="2025-05-09T10:33:00Z">
        <w:r w:rsidRPr="00295E71" w:rsidR="00075CD9">
          <w:rPr>
            <w:b w:val="0"/>
            <w:bCs w:val="0"/>
            <w:noProof w:val="0"/>
            <w:lang w:val="it-IT"/>
          </w:rPr>
          <w:delText>d</w:delText>
        </w:r>
      </w:del>
      <w:del w:id="6628" w:author="AbbVie14" w:date="2025-05-09T10:33:00Z">
        <w:r w:rsidRPr="00295E71">
          <w:rPr>
            <w:b w:val="0"/>
            <w:bCs w:val="0"/>
            <w:noProof w:val="0"/>
            <w:lang w:val="it-IT"/>
          </w:rPr>
          <w:delText xml:space="preserve"> </w:delText>
        </w:r>
      </w:del>
      <w:del w:id="6629" w:author="AbbVie14" w:date="2025-05-09T10:33:00Z">
        <w:r w:rsidRPr="00295E71" w:rsidR="00224A12">
          <w:rPr>
            <w:b w:val="0"/>
            <w:bCs w:val="0"/>
            <w:noProof w:val="0"/>
            <w:lang w:val="it-IT"/>
          </w:rPr>
          <w:delText>il numero di lotto del prodotto somministrato devono essere chiaramente registrati</w:delText>
        </w:r>
      </w:del>
      <w:del w:id="6630" w:author="AbbVie14" w:date="2025-05-09T10:33:00Z">
        <w:r w:rsidRPr="00295E71">
          <w:rPr>
            <w:b w:val="0"/>
            <w:bCs w:val="0"/>
            <w:noProof w:val="0"/>
            <w:lang w:val="it-IT"/>
          </w:rPr>
          <w:delText>.</w:delText>
        </w:r>
      </w:del>
    </w:p>
    <w:p w:rsidR="006224C2" w:rsidRPr="00295E71" w14:paraId="1FAEEE4B" w14:textId="77777777">
      <w:pPr>
        <w:rPr>
          <w:del w:id="6631" w:author="AbbVie14" w:date="2025-05-09T10:33:00Z"/>
          <w:sz w:val="22"/>
          <w:szCs w:val="22"/>
          <w:lang w:eastAsia="en-US"/>
        </w:rPr>
      </w:pPr>
    </w:p>
    <w:p w:rsidR="006224C2" w:rsidRPr="00295E71" w14:paraId="14F8805A" w14:textId="77777777">
      <w:pPr>
        <w:rPr>
          <w:del w:id="6632" w:author="AbbVie14" w:date="2025-05-09T10:33:00Z"/>
          <w:bCs/>
          <w:sz w:val="22"/>
          <w:szCs w:val="22"/>
          <w:u w:val="single"/>
        </w:rPr>
      </w:pPr>
      <w:del w:id="6633" w:author="AbbVie14" w:date="2025-05-09T10:33:00Z">
        <w:r w:rsidRPr="00295E71">
          <w:rPr>
            <w:bCs/>
            <w:sz w:val="22"/>
            <w:szCs w:val="22"/>
            <w:u w:val="single"/>
          </w:rPr>
          <w:delText>Infezioni</w:delText>
        </w:r>
      </w:del>
    </w:p>
    <w:p w:rsidR="006224C2" w:rsidRPr="00295E71" w14:paraId="1C60ACA7" w14:textId="77777777">
      <w:pPr>
        <w:tabs>
          <w:tab w:val="left" w:pos="567"/>
        </w:tabs>
        <w:jc w:val="both"/>
        <w:rPr>
          <w:del w:id="6634" w:author="AbbVie14" w:date="2025-05-09T10:33:00Z"/>
          <w:sz w:val="22"/>
          <w:szCs w:val="22"/>
        </w:rPr>
      </w:pPr>
    </w:p>
    <w:p w:rsidR="006224C2" w:rsidRPr="00295E71" w14:paraId="43CC3FBC" w14:textId="77777777">
      <w:pPr>
        <w:tabs>
          <w:tab w:val="left" w:pos="567"/>
        </w:tabs>
        <w:autoSpaceDE w:val="0"/>
        <w:autoSpaceDN w:val="0"/>
        <w:adjustRightInd w:val="0"/>
        <w:jc w:val="both"/>
        <w:rPr>
          <w:del w:id="6635" w:author="AbbVie14" w:date="2025-05-09T10:33:00Z"/>
          <w:color w:val="000000"/>
          <w:sz w:val="22"/>
          <w:szCs w:val="22"/>
        </w:rPr>
      </w:pPr>
      <w:del w:id="6636" w:author="AbbVie14" w:date="2025-05-09T10:33:00Z">
        <w:r w:rsidRPr="00295E71">
          <w:rPr>
            <w:color w:val="000000"/>
            <w:sz w:val="22"/>
            <w:szCs w:val="22"/>
          </w:rPr>
          <w:delText>I pazienti in trattamento con antagonisti del TNF sono più suscettibili alle infezioni gravi. Una funzione polmonare compromessa può aumentare il rischio di sviluppare infezioni.</w:delText>
        </w:r>
      </w:del>
    </w:p>
    <w:p w:rsidR="006224C2" w:rsidRPr="00295E71" w14:paraId="0DB5EA90" w14:textId="77777777">
      <w:pPr>
        <w:tabs>
          <w:tab w:val="left" w:pos="567"/>
        </w:tabs>
        <w:autoSpaceDE w:val="0"/>
        <w:autoSpaceDN w:val="0"/>
        <w:adjustRightInd w:val="0"/>
        <w:jc w:val="both"/>
        <w:rPr>
          <w:del w:id="6637" w:author="AbbVie14" w:date="2025-05-09T10:33:00Z"/>
          <w:color w:val="000000"/>
          <w:sz w:val="22"/>
          <w:szCs w:val="22"/>
        </w:rPr>
      </w:pPr>
      <w:del w:id="6638" w:author="AbbVie14" w:date="2025-05-09T10:33:00Z">
        <w:r w:rsidRPr="00295E71">
          <w:rPr>
            <w:color w:val="000000"/>
            <w:sz w:val="22"/>
            <w:szCs w:val="22"/>
          </w:rPr>
          <w:delText>I pazienti devono pertanto essere attentamente esaminati per la valutazione di infezioni, compresa la tubercolosi, prima, durante e dopo il trattamento con Humira. Poichè l’eliminazione di adalimumab può richiedere fino a quattro mesi, il controllo deve essere continuato durante tale periodo.</w:delText>
        </w:r>
      </w:del>
    </w:p>
    <w:p w:rsidR="006224C2" w:rsidRPr="00295E71" w14:paraId="16F452EF" w14:textId="77777777">
      <w:pPr>
        <w:tabs>
          <w:tab w:val="left" w:pos="567"/>
        </w:tabs>
        <w:autoSpaceDE w:val="0"/>
        <w:autoSpaceDN w:val="0"/>
        <w:adjustRightInd w:val="0"/>
        <w:jc w:val="both"/>
        <w:rPr>
          <w:del w:id="6639" w:author="AbbVie14" w:date="2025-05-09T10:33:00Z"/>
          <w:color w:val="000000"/>
          <w:sz w:val="22"/>
          <w:szCs w:val="22"/>
        </w:rPr>
      </w:pPr>
    </w:p>
    <w:p w:rsidR="006224C2" w:rsidRPr="00295E71" w14:paraId="361E4C47" w14:textId="77777777">
      <w:pPr>
        <w:tabs>
          <w:tab w:val="left" w:pos="567"/>
        </w:tabs>
        <w:autoSpaceDE w:val="0"/>
        <w:autoSpaceDN w:val="0"/>
        <w:adjustRightInd w:val="0"/>
        <w:jc w:val="both"/>
        <w:rPr>
          <w:del w:id="6640" w:author="AbbVie14" w:date="2025-05-09T10:33:00Z"/>
          <w:color w:val="000000"/>
          <w:sz w:val="22"/>
          <w:szCs w:val="22"/>
        </w:rPr>
      </w:pPr>
      <w:del w:id="6641" w:author="AbbVie14" w:date="2025-05-09T10:33:00Z">
        <w:r w:rsidRPr="00295E71">
          <w:rPr>
            <w:color w:val="000000"/>
            <w:sz w:val="22"/>
            <w:szCs w:val="22"/>
          </w:rPr>
          <w:delText xml:space="preserve">La terapia con Humira non va iniziata in pazienti con infezioni attive, incluse le infezioni croniche o localizzate, fino a che queste non siano sotto controllo. In pazienti che sono stati esposti alla tubercolosi ed in pazienti che hanno viaggiato in aree ad alto rischio di tubercolosi o di micosi endemiche, quali istoplasmosi, coccidioidomicosi o blastomicosi, il rischio ed i benefici del trattamento con Humira devono essere considerati prima di iniziare la terapia (vedere </w:delText>
        </w:r>
      </w:del>
      <w:del w:id="6642" w:author="AbbVie14" w:date="2025-05-09T10:33:00Z">
        <w:r w:rsidRPr="00295E71">
          <w:rPr>
            <w:i/>
            <w:color w:val="000000"/>
            <w:sz w:val="22"/>
            <w:szCs w:val="22"/>
          </w:rPr>
          <w:delText xml:space="preserve">Altre </w:delText>
        </w:r>
      </w:del>
      <w:del w:id="6643" w:author="AbbVie14" w:date="2025-05-09T10:33:00Z">
        <w:r w:rsidRPr="00295E71">
          <w:rPr>
            <w:i/>
            <w:iCs/>
            <w:color w:val="000000"/>
            <w:sz w:val="22"/>
            <w:szCs w:val="22"/>
          </w:rPr>
          <w:delText>infezioni opportunistiche</w:delText>
        </w:r>
      </w:del>
      <w:del w:id="6644" w:author="AbbVie14" w:date="2025-05-09T10:33:00Z">
        <w:r w:rsidRPr="00295E71">
          <w:rPr>
            <w:color w:val="000000"/>
            <w:sz w:val="22"/>
            <w:szCs w:val="22"/>
          </w:rPr>
          <w:delText>).</w:delText>
        </w:r>
      </w:del>
    </w:p>
    <w:p w:rsidR="006224C2" w:rsidRPr="00295E71" w14:paraId="43611523" w14:textId="77777777">
      <w:pPr>
        <w:tabs>
          <w:tab w:val="left" w:pos="567"/>
        </w:tabs>
        <w:autoSpaceDE w:val="0"/>
        <w:autoSpaceDN w:val="0"/>
        <w:adjustRightInd w:val="0"/>
        <w:jc w:val="both"/>
        <w:rPr>
          <w:del w:id="6645" w:author="AbbVie14" w:date="2025-05-09T10:33:00Z"/>
          <w:color w:val="000000"/>
          <w:sz w:val="22"/>
          <w:szCs w:val="22"/>
        </w:rPr>
      </w:pPr>
    </w:p>
    <w:p w:rsidR="006224C2" w:rsidRPr="00295E71" w14:paraId="7E74B548" w14:textId="77777777">
      <w:pPr>
        <w:tabs>
          <w:tab w:val="left" w:pos="567"/>
        </w:tabs>
        <w:autoSpaceDE w:val="0"/>
        <w:autoSpaceDN w:val="0"/>
        <w:adjustRightInd w:val="0"/>
        <w:jc w:val="both"/>
        <w:rPr>
          <w:del w:id="6646" w:author="AbbVie14" w:date="2025-05-09T10:33:00Z"/>
          <w:color w:val="000000"/>
          <w:sz w:val="22"/>
          <w:szCs w:val="22"/>
        </w:rPr>
      </w:pPr>
      <w:del w:id="6647" w:author="AbbVie14" w:date="2025-05-09T10:33:00Z">
        <w:r w:rsidRPr="00295E71">
          <w:rPr>
            <w:color w:val="000000"/>
            <w:sz w:val="22"/>
            <w:szCs w:val="22"/>
          </w:rPr>
          <w:delText>I pazienti che sviluppano una nuova infezione durante la terapia con Humira devono essere attentamente seguiti ed essere sottoposti ad una completa valutazione diagnostica. In caso di insorgenza di una nuova infezione grave o di sepsi, la somministrazione di Humira deve essere interrotta e deve essere istituita una idonea terapia antimicrobica o antifungina fino a quando l’infezione non sia sotto controllo. I medici devono porre cautela nell’usare Humira in pazienti con storia di infezioni recidivanti o con patologie concomitanti che possano predisporre i pazienti alle infezioni, incluso l’uso concomitante di farmaci immunosoppressivi.</w:delText>
        </w:r>
      </w:del>
    </w:p>
    <w:p w:rsidR="006224C2" w:rsidRPr="00295E71" w14:paraId="5E5B75A1" w14:textId="77777777">
      <w:pPr>
        <w:tabs>
          <w:tab w:val="left" w:pos="567"/>
        </w:tabs>
        <w:autoSpaceDE w:val="0"/>
        <w:autoSpaceDN w:val="0"/>
        <w:adjustRightInd w:val="0"/>
        <w:jc w:val="both"/>
        <w:rPr>
          <w:del w:id="6648" w:author="AbbVie14" w:date="2025-05-09T10:33:00Z"/>
          <w:color w:val="000000"/>
          <w:sz w:val="22"/>
          <w:szCs w:val="22"/>
        </w:rPr>
      </w:pPr>
    </w:p>
    <w:p w:rsidR="006224C2" w:rsidRPr="00295E71" w:rsidP="005F2B94" w14:paraId="75BC7FAC" w14:textId="77777777">
      <w:pPr>
        <w:keepNext/>
        <w:tabs>
          <w:tab w:val="left" w:pos="567"/>
        </w:tabs>
        <w:autoSpaceDE w:val="0"/>
        <w:autoSpaceDN w:val="0"/>
        <w:adjustRightInd w:val="0"/>
        <w:jc w:val="both"/>
        <w:rPr>
          <w:del w:id="6649" w:author="AbbVie14" w:date="2025-05-09T10:33:00Z"/>
          <w:color w:val="000000"/>
          <w:sz w:val="22"/>
          <w:szCs w:val="22"/>
        </w:rPr>
      </w:pPr>
      <w:del w:id="6650" w:author="AbbVie14" w:date="2025-05-09T10:33:00Z">
        <w:r w:rsidRPr="00295E71">
          <w:rPr>
            <w:i/>
            <w:iCs/>
            <w:color w:val="000000"/>
            <w:sz w:val="22"/>
            <w:szCs w:val="22"/>
          </w:rPr>
          <w:delText>Gravi infezioni</w:delText>
        </w:r>
      </w:del>
    </w:p>
    <w:p w:rsidR="006224C2" w:rsidRPr="00295E71" w:rsidP="005F2B94" w14:paraId="5B7ACFAF" w14:textId="77777777">
      <w:pPr>
        <w:keepNext/>
        <w:tabs>
          <w:tab w:val="left" w:pos="567"/>
        </w:tabs>
        <w:autoSpaceDE w:val="0"/>
        <w:autoSpaceDN w:val="0"/>
        <w:adjustRightInd w:val="0"/>
        <w:jc w:val="both"/>
        <w:rPr>
          <w:del w:id="6651" w:author="AbbVie14" w:date="2025-05-09T10:33:00Z"/>
          <w:color w:val="000000"/>
          <w:sz w:val="22"/>
          <w:szCs w:val="22"/>
        </w:rPr>
      </w:pPr>
    </w:p>
    <w:p w:rsidR="006224C2" w:rsidRPr="00295E71" w:rsidP="005F2B94" w14:paraId="117E637D" w14:textId="77777777">
      <w:pPr>
        <w:keepNext/>
        <w:tabs>
          <w:tab w:val="left" w:pos="567"/>
        </w:tabs>
        <w:autoSpaceDE w:val="0"/>
        <w:autoSpaceDN w:val="0"/>
        <w:adjustRightInd w:val="0"/>
        <w:jc w:val="both"/>
        <w:rPr>
          <w:del w:id="6652" w:author="AbbVie14" w:date="2025-05-09T10:33:00Z"/>
          <w:color w:val="000000"/>
          <w:sz w:val="22"/>
          <w:szCs w:val="22"/>
        </w:rPr>
      </w:pPr>
      <w:del w:id="6653" w:author="AbbVie14" w:date="2025-05-09T10:33:00Z">
        <w:r w:rsidRPr="00295E71">
          <w:rPr>
            <w:color w:val="000000"/>
            <w:sz w:val="22"/>
            <w:szCs w:val="22"/>
          </w:rPr>
          <w:delText>Sono stati riportati casi di infezioni gravi, inclusa sepsi, causat</w:delText>
        </w:r>
      </w:del>
      <w:del w:id="6654" w:author="AbbVie14" w:date="2025-05-09T10:33:00Z">
        <w:r w:rsidR="006E2E3C">
          <w:rPr>
            <w:color w:val="000000"/>
            <w:sz w:val="22"/>
            <w:szCs w:val="22"/>
          </w:rPr>
          <w:delText>e</w:delText>
        </w:r>
      </w:del>
      <w:del w:id="6655" w:author="AbbVie14" w:date="2025-05-09T10:33:00Z">
        <w:r w:rsidRPr="00295E71">
          <w:rPr>
            <w:color w:val="000000"/>
            <w:sz w:val="22"/>
            <w:szCs w:val="22"/>
          </w:rPr>
          <w:delText xml:space="preserve"> da batteri, micobatteri, funghi invasivi,parassiti, virus</w:delText>
        </w:r>
      </w:del>
      <w:del w:id="6656" w:author="AbbVie14" w:date="2025-05-09T10:33:00Z">
        <w:r w:rsidR="006E2E3C">
          <w:rPr>
            <w:color w:val="000000"/>
            <w:sz w:val="22"/>
            <w:szCs w:val="22"/>
          </w:rPr>
          <w:delText xml:space="preserve"> </w:delText>
        </w:r>
      </w:del>
      <w:del w:id="6657" w:author="AbbVie14" w:date="2025-05-09T10:33:00Z">
        <w:r w:rsidRPr="00295E71">
          <w:rPr>
            <w:color w:val="000000"/>
            <w:sz w:val="22"/>
            <w:szCs w:val="22"/>
          </w:rPr>
          <w:delText>o altre infezioni opportunistiche, quali listeriosi, legionellosi e pneumocistosi in pazienti trattati con Humira.</w:delText>
        </w:r>
      </w:del>
    </w:p>
    <w:p w:rsidR="006224C2" w:rsidRPr="00295E71" w14:paraId="38BB7001" w14:textId="77777777">
      <w:pPr>
        <w:tabs>
          <w:tab w:val="left" w:pos="567"/>
        </w:tabs>
        <w:autoSpaceDE w:val="0"/>
        <w:autoSpaceDN w:val="0"/>
        <w:adjustRightInd w:val="0"/>
        <w:jc w:val="both"/>
        <w:rPr>
          <w:del w:id="6658" w:author="AbbVie14" w:date="2025-05-09T10:33:00Z"/>
          <w:color w:val="000000"/>
          <w:sz w:val="22"/>
          <w:szCs w:val="22"/>
        </w:rPr>
      </w:pPr>
    </w:p>
    <w:p w:rsidR="006224C2" w:rsidRPr="00295E71" w14:paraId="09C495AE" w14:textId="77777777">
      <w:pPr>
        <w:tabs>
          <w:tab w:val="left" w:pos="567"/>
        </w:tabs>
        <w:autoSpaceDE w:val="0"/>
        <w:autoSpaceDN w:val="0"/>
        <w:adjustRightInd w:val="0"/>
        <w:jc w:val="both"/>
        <w:rPr>
          <w:del w:id="6659" w:author="AbbVie14" w:date="2025-05-09T10:33:00Z"/>
          <w:color w:val="000000"/>
          <w:sz w:val="22"/>
          <w:szCs w:val="22"/>
        </w:rPr>
      </w:pPr>
      <w:del w:id="6660" w:author="AbbVie14" w:date="2025-05-09T10:33:00Z">
        <w:r w:rsidRPr="00295E71">
          <w:rPr>
            <w:color w:val="000000"/>
            <w:sz w:val="22"/>
            <w:szCs w:val="22"/>
          </w:rPr>
          <w:delText>Altre infezioni gravi osservate nel corso di studi clinici includono polmonite, pielonefrite, artrite settica e setticemia. Sono stati riportati casi di ospedalizzazione o di eventi fatali associati alle infezioni.</w:delText>
        </w:r>
      </w:del>
    </w:p>
    <w:p w:rsidR="006224C2" w:rsidRPr="00295E71" w14:paraId="55AEFA58" w14:textId="77777777">
      <w:pPr>
        <w:tabs>
          <w:tab w:val="left" w:pos="567"/>
        </w:tabs>
        <w:autoSpaceDE w:val="0"/>
        <w:autoSpaceDN w:val="0"/>
        <w:adjustRightInd w:val="0"/>
        <w:jc w:val="both"/>
        <w:rPr>
          <w:del w:id="6661" w:author="AbbVie14" w:date="2025-05-09T10:33:00Z"/>
          <w:color w:val="000000"/>
          <w:sz w:val="22"/>
          <w:szCs w:val="22"/>
        </w:rPr>
      </w:pPr>
    </w:p>
    <w:p w:rsidR="006224C2" w:rsidRPr="00295E71" w14:paraId="34C6DC69" w14:textId="77777777">
      <w:pPr>
        <w:keepNext/>
        <w:tabs>
          <w:tab w:val="left" w:pos="567"/>
        </w:tabs>
        <w:autoSpaceDE w:val="0"/>
        <w:autoSpaceDN w:val="0"/>
        <w:adjustRightInd w:val="0"/>
        <w:jc w:val="both"/>
        <w:rPr>
          <w:del w:id="6662" w:author="AbbVie14" w:date="2025-05-09T10:33:00Z"/>
          <w:i/>
          <w:iCs/>
          <w:color w:val="000000"/>
          <w:sz w:val="22"/>
          <w:szCs w:val="22"/>
        </w:rPr>
      </w:pPr>
      <w:del w:id="6663" w:author="AbbVie14" w:date="2025-05-09T10:33:00Z">
        <w:r w:rsidRPr="00295E71">
          <w:rPr>
            <w:i/>
            <w:iCs/>
            <w:color w:val="000000"/>
            <w:sz w:val="22"/>
            <w:szCs w:val="22"/>
          </w:rPr>
          <w:delText>Tubercolosi</w:delText>
        </w:r>
      </w:del>
    </w:p>
    <w:p w:rsidR="006224C2" w:rsidRPr="00295E71" w14:paraId="4C0264D6" w14:textId="77777777">
      <w:pPr>
        <w:keepNext/>
        <w:tabs>
          <w:tab w:val="left" w:pos="567"/>
        </w:tabs>
        <w:autoSpaceDE w:val="0"/>
        <w:autoSpaceDN w:val="0"/>
        <w:adjustRightInd w:val="0"/>
        <w:jc w:val="both"/>
        <w:rPr>
          <w:del w:id="6664" w:author="AbbVie14" w:date="2025-05-09T10:33:00Z"/>
          <w:color w:val="000000"/>
          <w:sz w:val="22"/>
          <w:szCs w:val="22"/>
        </w:rPr>
      </w:pPr>
    </w:p>
    <w:p w:rsidR="006224C2" w:rsidRPr="00295E71" w14:paraId="12E34488" w14:textId="77777777">
      <w:pPr>
        <w:keepNext/>
        <w:tabs>
          <w:tab w:val="left" w:pos="567"/>
        </w:tabs>
        <w:autoSpaceDE w:val="0"/>
        <w:autoSpaceDN w:val="0"/>
        <w:adjustRightInd w:val="0"/>
        <w:jc w:val="both"/>
        <w:rPr>
          <w:del w:id="6665" w:author="AbbVie14" w:date="2025-05-09T10:33:00Z"/>
          <w:color w:val="000000"/>
          <w:sz w:val="22"/>
          <w:szCs w:val="22"/>
        </w:rPr>
      </w:pPr>
      <w:del w:id="6666" w:author="AbbVie14" w:date="2025-05-09T10:33:00Z">
        <w:r w:rsidRPr="00295E71">
          <w:rPr>
            <w:color w:val="000000"/>
            <w:sz w:val="22"/>
            <w:szCs w:val="22"/>
          </w:rPr>
          <w:delText>È stata riportata tubercolosi, inclusa riattivazione e nuova manifestazione di tubercolosi, in pazienti che utilizzano Humira. Sono stati riportati casi di tubercolosi polmonare ed extra-polmonare (ovvero disseminata).</w:delText>
        </w:r>
      </w:del>
    </w:p>
    <w:p w:rsidR="006224C2" w:rsidRPr="00295E71" w14:paraId="33C8C044" w14:textId="77777777">
      <w:pPr>
        <w:tabs>
          <w:tab w:val="left" w:pos="567"/>
        </w:tabs>
        <w:autoSpaceDE w:val="0"/>
        <w:autoSpaceDN w:val="0"/>
        <w:adjustRightInd w:val="0"/>
        <w:jc w:val="both"/>
        <w:rPr>
          <w:del w:id="6667" w:author="AbbVie14" w:date="2025-05-09T10:33:00Z"/>
          <w:color w:val="000000"/>
          <w:sz w:val="22"/>
          <w:szCs w:val="22"/>
        </w:rPr>
      </w:pPr>
    </w:p>
    <w:p w:rsidR="006224C2" w:rsidRPr="00295E71" w14:paraId="3784C6A6" w14:textId="77777777">
      <w:pPr>
        <w:tabs>
          <w:tab w:val="left" w:pos="567"/>
        </w:tabs>
        <w:autoSpaceDE w:val="0"/>
        <w:autoSpaceDN w:val="0"/>
        <w:adjustRightInd w:val="0"/>
        <w:jc w:val="both"/>
        <w:rPr>
          <w:del w:id="6668" w:author="AbbVie14" w:date="2025-05-09T10:33:00Z"/>
          <w:color w:val="000000"/>
          <w:sz w:val="22"/>
          <w:szCs w:val="22"/>
        </w:rPr>
      </w:pPr>
      <w:del w:id="6669" w:author="AbbVie14" w:date="2025-05-09T10:33:00Z">
        <w:r w:rsidRPr="00295E71">
          <w:rPr>
            <w:color w:val="000000"/>
            <w:sz w:val="22"/>
            <w:szCs w:val="22"/>
          </w:rPr>
          <w:delText>Prima di iniziare la terapia con Humira, tutti i pazienti devono essere esaminati per valutare la presenza di tubercolosi attiva o inattiva (“latente”). Tale valutazione deve includere un’anamnesi clinica dettagliata dei pazienti con una storia pregressa di tubercolosi o eventuali contatti con persone affette da tubercolosi attiva, e con precedenti e/o concomitanti terapie immunosoppressive. Devono essere eseguiti appropriati esami di screening (ovvero il test cutaneo alla tubercolina e la radiografia toracica) in tutti i pazienti (possono essere seguite le linee guida locali). Si raccomanda che l’esecuzione e i risultati di tali test vengano registrati nella</w:delText>
        </w:r>
      </w:del>
      <w:del w:id="6670" w:author="AbbVie14" w:date="2025-05-09T10:33:00Z">
        <w:r w:rsidRPr="004D7963" w:rsidR="004D7963">
          <w:delText xml:space="preserve"> </w:delText>
        </w:r>
      </w:del>
      <w:del w:id="6671" w:author="AbbVie14" w:date="2025-05-09T10:33:00Z">
        <w:r w:rsidRPr="004D7963" w:rsidR="004D7963">
          <w:rPr>
            <w:color w:val="000000"/>
            <w:sz w:val="22"/>
            <w:szCs w:val="22"/>
          </w:rPr>
          <w:delText>Scheda Promemoria per il Paziente</w:delText>
        </w:r>
      </w:del>
      <w:del w:id="6672" w:author="AbbVie14" w:date="2025-05-09T10:33:00Z">
        <w:r w:rsidRPr="00295E71">
          <w:rPr>
            <w:color w:val="000000"/>
            <w:sz w:val="22"/>
            <w:szCs w:val="22"/>
          </w:rPr>
          <w:delText>. I medici devono porre attenzione al rischio di falsi negativi al test cutaneo alla tubercolina, soprattutto in pazienti gravemente ammalati o immunocompromessi.</w:delText>
        </w:r>
      </w:del>
    </w:p>
    <w:p w:rsidR="006224C2" w:rsidRPr="00295E71" w14:paraId="7BC58EE4" w14:textId="77777777">
      <w:pPr>
        <w:tabs>
          <w:tab w:val="left" w:pos="567"/>
        </w:tabs>
        <w:autoSpaceDE w:val="0"/>
        <w:autoSpaceDN w:val="0"/>
        <w:adjustRightInd w:val="0"/>
        <w:jc w:val="both"/>
        <w:rPr>
          <w:del w:id="6673" w:author="AbbVie14" w:date="2025-05-09T10:33:00Z"/>
          <w:color w:val="000000"/>
          <w:sz w:val="22"/>
          <w:szCs w:val="22"/>
        </w:rPr>
      </w:pPr>
    </w:p>
    <w:p w:rsidR="006224C2" w:rsidRPr="00295E71" w14:paraId="6507B0B2" w14:textId="77777777">
      <w:pPr>
        <w:tabs>
          <w:tab w:val="left" w:pos="567"/>
        </w:tabs>
        <w:autoSpaceDE w:val="0"/>
        <w:autoSpaceDN w:val="0"/>
        <w:adjustRightInd w:val="0"/>
        <w:jc w:val="both"/>
        <w:rPr>
          <w:del w:id="6674" w:author="AbbVie14" w:date="2025-05-09T10:33:00Z"/>
          <w:sz w:val="22"/>
          <w:szCs w:val="22"/>
        </w:rPr>
      </w:pPr>
      <w:del w:id="6675" w:author="AbbVie14" w:date="2025-05-09T10:33:00Z">
        <w:r w:rsidRPr="00295E71">
          <w:rPr>
            <w:sz w:val="22"/>
            <w:szCs w:val="22"/>
          </w:rPr>
          <w:delText>Se si diagnostica una tubercolosi attiva, la terapia con Humira non deve essere iniziata (vedere paragrafo 4.3).</w:delText>
        </w:r>
      </w:del>
    </w:p>
    <w:p w:rsidR="006224C2" w:rsidRPr="00295E71" w14:paraId="73127DD8" w14:textId="77777777">
      <w:pPr>
        <w:tabs>
          <w:tab w:val="left" w:pos="567"/>
        </w:tabs>
        <w:autoSpaceDE w:val="0"/>
        <w:autoSpaceDN w:val="0"/>
        <w:adjustRightInd w:val="0"/>
        <w:jc w:val="both"/>
        <w:rPr>
          <w:del w:id="6676" w:author="AbbVie14" w:date="2025-05-09T10:33:00Z"/>
          <w:sz w:val="22"/>
          <w:szCs w:val="22"/>
        </w:rPr>
      </w:pPr>
    </w:p>
    <w:p w:rsidR="006224C2" w:rsidRPr="00295E71" w14:paraId="2772B7DD" w14:textId="77777777">
      <w:pPr>
        <w:tabs>
          <w:tab w:val="left" w:pos="567"/>
        </w:tabs>
        <w:autoSpaceDE w:val="0"/>
        <w:autoSpaceDN w:val="0"/>
        <w:adjustRightInd w:val="0"/>
        <w:jc w:val="both"/>
        <w:rPr>
          <w:del w:id="6677" w:author="AbbVie14" w:date="2025-05-09T10:33:00Z"/>
          <w:sz w:val="22"/>
          <w:szCs w:val="22"/>
        </w:rPr>
      </w:pPr>
      <w:del w:id="6678" w:author="AbbVie14" w:date="2025-05-09T10:33:00Z">
        <w:r w:rsidRPr="00295E71">
          <w:rPr>
            <w:sz w:val="22"/>
            <w:szCs w:val="22"/>
          </w:rPr>
          <w:delText>In tutte le situazioni di seguito descritte è opportuno effettuare un’attenta valutazione del rapporto beneficio/rischio della terapia.</w:delText>
        </w:r>
      </w:del>
    </w:p>
    <w:p w:rsidR="006224C2" w:rsidRPr="00295E71" w14:paraId="77045E71" w14:textId="77777777">
      <w:pPr>
        <w:tabs>
          <w:tab w:val="left" w:pos="567"/>
        </w:tabs>
        <w:autoSpaceDE w:val="0"/>
        <w:autoSpaceDN w:val="0"/>
        <w:adjustRightInd w:val="0"/>
        <w:jc w:val="both"/>
        <w:rPr>
          <w:del w:id="6679" w:author="AbbVie14" w:date="2025-05-09T10:33:00Z"/>
          <w:sz w:val="22"/>
          <w:szCs w:val="22"/>
        </w:rPr>
      </w:pPr>
    </w:p>
    <w:p w:rsidR="006224C2" w:rsidRPr="00295E71" w14:paraId="7DA807FD" w14:textId="77777777">
      <w:pPr>
        <w:tabs>
          <w:tab w:val="left" w:pos="567"/>
        </w:tabs>
        <w:autoSpaceDE w:val="0"/>
        <w:autoSpaceDN w:val="0"/>
        <w:adjustRightInd w:val="0"/>
        <w:jc w:val="both"/>
        <w:rPr>
          <w:del w:id="6680" w:author="AbbVie14" w:date="2025-05-09T10:33:00Z"/>
          <w:sz w:val="22"/>
          <w:szCs w:val="22"/>
        </w:rPr>
      </w:pPr>
      <w:del w:id="6681" w:author="AbbVie14" w:date="2025-05-09T10:33:00Z">
        <w:r w:rsidRPr="00295E71">
          <w:rPr>
            <w:sz w:val="22"/>
            <w:szCs w:val="22"/>
          </w:rPr>
          <w:delText>Se si sospetta una tubercolosi latente, è consigliabile consultare un medico specializzato nel trattamento della tubercolosi.</w:delText>
        </w:r>
      </w:del>
    </w:p>
    <w:p w:rsidR="006224C2" w:rsidRPr="00295E71" w14:paraId="32476754" w14:textId="77777777">
      <w:pPr>
        <w:tabs>
          <w:tab w:val="left" w:pos="567"/>
        </w:tabs>
        <w:autoSpaceDE w:val="0"/>
        <w:autoSpaceDN w:val="0"/>
        <w:adjustRightInd w:val="0"/>
        <w:jc w:val="both"/>
        <w:rPr>
          <w:del w:id="6682" w:author="AbbVie14" w:date="2025-05-09T10:33:00Z"/>
          <w:sz w:val="22"/>
          <w:szCs w:val="22"/>
        </w:rPr>
      </w:pPr>
    </w:p>
    <w:p w:rsidR="006224C2" w:rsidRPr="00295E71" w14:paraId="7853C313" w14:textId="77777777">
      <w:pPr>
        <w:tabs>
          <w:tab w:val="left" w:pos="567"/>
        </w:tabs>
        <w:jc w:val="both"/>
        <w:rPr>
          <w:del w:id="6683" w:author="AbbVie14" w:date="2025-05-09T10:33:00Z"/>
          <w:color w:val="000000"/>
          <w:sz w:val="22"/>
          <w:szCs w:val="22"/>
        </w:rPr>
      </w:pPr>
      <w:del w:id="6684" w:author="AbbVie14" w:date="2025-05-09T10:33:00Z">
        <w:r w:rsidRPr="00295E71">
          <w:rPr>
            <w:color w:val="000000"/>
            <w:sz w:val="22"/>
            <w:szCs w:val="22"/>
          </w:rPr>
          <w:delText>In caso di diagnosi positiva di tubercolosi latente, prima di iniziare la terapia con Humira deve essere istituito il trattamento di profilassi anti-tubercolare in accordo alle raccomandazioni locali.</w:delText>
        </w:r>
      </w:del>
    </w:p>
    <w:p w:rsidR="006224C2" w:rsidRPr="00295E71" w14:paraId="406FADA2" w14:textId="77777777">
      <w:pPr>
        <w:tabs>
          <w:tab w:val="left" w:pos="567"/>
        </w:tabs>
        <w:jc w:val="both"/>
        <w:rPr>
          <w:del w:id="6685" w:author="AbbVie14" w:date="2025-05-09T10:33:00Z"/>
          <w:color w:val="000000"/>
          <w:sz w:val="22"/>
          <w:szCs w:val="22"/>
        </w:rPr>
      </w:pPr>
    </w:p>
    <w:p w:rsidR="006224C2" w:rsidRPr="00295E71" w14:paraId="1764F1E7" w14:textId="77777777">
      <w:pPr>
        <w:tabs>
          <w:tab w:val="left" w:pos="567"/>
        </w:tabs>
        <w:jc w:val="both"/>
        <w:rPr>
          <w:del w:id="6686" w:author="AbbVie14" w:date="2025-05-09T10:33:00Z"/>
          <w:color w:val="000000"/>
          <w:sz w:val="22"/>
          <w:szCs w:val="22"/>
        </w:rPr>
      </w:pPr>
      <w:del w:id="6687" w:author="AbbVie14" w:date="2025-05-09T10:33:00Z">
        <w:r w:rsidRPr="00295E71">
          <w:rPr>
            <w:color w:val="000000"/>
            <w:sz w:val="22"/>
            <w:szCs w:val="22"/>
          </w:rPr>
          <w:delText xml:space="preserve">L’istituzione di un trattamento di profilassi anti-tubercolare deve essere presa in considerazione anche prima di iniziare il trattamento a base di Humira in pazienti con diversi o significativi fattori di rischio per la tubercolosi nonostante un test negativo per la tubercolosi e in quei pazienti che all’anamnesi presentano una storia personale di tubercolosi latente o attiva nei quali non sia possibile confermare se il ciclo di trattamento cui sono stati sottoposti sia risultato adeguato. </w:delText>
        </w:r>
      </w:del>
    </w:p>
    <w:p w:rsidR="006224C2" w:rsidRPr="00295E71" w14:paraId="16A0DA6D" w14:textId="77777777">
      <w:pPr>
        <w:tabs>
          <w:tab w:val="left" w:pos="567"/>
        </w:tabs>
        <w:jc w:val="both"/>
        <w:rPr>
          <w:del w:id="6688" w:author="AbbVie14" w:date="2025-05-09T10:33:00Z"/>
          <w:color w:val="000000"/>
          <w:sz w:val="22"/>
          <w:szCs w:val="22"/>
        </w:rPr>
      </w:pPr>
    </w:p>
    <w:p w:rsidR="006224C2" w:rsidRPr="00295E71" w14:paraId="33E84138" w14:textId="77777777">
      <w:pPr>
        <w:tabs>
          <w:tab w:val="left" w:pos="567"/>
        </w:tabs>
        <w:jc w:val="both"/>
        <w:rPr>
          <w:del w:id="6689" w:author="AbbVie14" w:date="2025-05-09T10:33:00Z"/>
          <w:color w:val="000000"/>
          <w:sz w:val="22"/>
          <w:szCs w:val="22"/>
        </w:rPr>
      </w:pPr>
      <w:del w:id="6690" w:author="AbbVie14" w:date="2025-05-09T10:33:00Z">
        <w:r w:rsidRPr="00295E71">
          <w:rPr>
            <w:color w:val="000000"/>
            <w:sz w:val="22"/>
            <w:szCs w:val="22"/>
          </w:rPr>
          <w:delText>Nonostante il trattamento di profilassi per la tubercolosi, si sono verificati casi di riattivazione di tubercolosi in pazienti trattati con Humira. Nel corso del trattamento con Humira, alcuni pazienti trattati con successo per la tubercolosi attiva hanno manifestato nuovamente la comparsa di tubercolosi.</w:delText>
        </w:r>
      </w:del>
    </w:p>
    <w:p w:rsidR="006224C2" w:rsidRPr="00295E71" w14:paraId="701ACEF8" w14:textId="77777777">
      <w:pPr>
        <w:tabs>
          <w:tab w:val="left" w:pos="567"/>
        </w:tabs>
        <w:autoSpaceDE w:val="0"/>
        <w:autoSpaceDN w:val="0"/>
        <w:adjustRightInd w:val="0"/>
        <w:jc w:val="both"/>
        <w:rPr>
          <w:del w:id="6691" w:author="AbbVie14" w:date="2025-05-09T10:33:00Z"/>
          <w:color w:val="000000"/>
          <w:sz w:val="22"/>
          <w:szCs w:val="22"/>
        </w:rPr>
      </w:pPr>
    </w:p>
    <w:p w:rsidR="006224C2" w:rsidRPr="00295E71" w14:paraId="4F82E0D3" w14:textId="77777777">
      <w:pPr>
        <w:tabs>
          <w:tab w:val="left" w:pos="567"/>
        </w:tabs>
        <w:autoSpaceDE w:val="0"/>
        <w:autoSpaceDN w:val="0"/>
        <w:adjustRightInd w:val="0"/>
        <w:jc w:val="both"/>
        <w:rPr>
          <w:del w:id="6692" w:author="AbbVie14" w:date="2025-05-09T10:33:00Z"/>
          <w:color w:val="000000"/>
          <w:sz w:val="22"/>
          <w:szCs w:val="22"/>
        </w:rPr>
      </w:pPr>
      <w:del w:id="6693" w:author="AbbVie14" w:date="2025-05-09T10:33:00Z">
        <w:r w:rsidRPr="00295E71">
          <w:rPr>
            <w:color w:val="000000"/>
            <w:sz w:val="22"/>
            <w:szCs w:val="22"/>
          </w:rPr>
          <w:delText>I pazienti devono essere avvisati di</w:delText>
        </w:r>
      </w:del>
      <w:del w:id="6694" w:author="AbbVie14" w:date="2025-05-09T10:33:00Z">
        <w:r w:rsidR="006E2E3C">
          <w:rPr>
            <w:color w:val="000000"/>
            <w:sz w:val="22"/>
            <w:szCs w:val="22"/>
          </w:rPr>
          <w:delText xml:space="preserve"> </w:delText>
        </w:r>
      </w:del>
      <w:del w:id="6695" w:author="AbbVie14" w:date="2025-05-09T10:33:00Z">
        <w:r w:rsidRPr="00295E71">
          <w:rPr>
            <w:color w:val="000000"/>
            <w:sz w:val="22"/>
            <w:szCs w:val="22"/>
          </w:rPr>
          <w:delText>rivolgersi al medico se, durante o dopo la terapia con Humira, si manifestano segni/sintomi indicativi di possibile infezione tubercolare (per es. tosse persistente, deperimento, perdita di peso, febbre moderata, svogliatezza).</w:delText>
        </w:r>
      </w:del>
    </w:p>
    <w:p w:rsidR="006224C2" w:rsidRPr="00295E71" w14:paraId="6AF7EBAC" w14:textId="77777777">
      <w:pPr>
        <w:tabs>
          <w:tab w:val="left" w:pos="567"/>
        </w:tabs>
        <w:autoSpaceDE w:val="0"/>
        <w:autoSpaceDN w:val="0"/>
        <w:adjustRightInd w:val="0"/>
        <w:jc w:val="both"/>
        <w:rPr>
          <w:del w:id="6696" w:author="AbbVie14" w:date="2025-05-09T10:33:00Z"/>
          <w:color w:val="000000"/>
          <w:sz w:val="22"/>
          <w:szCs w:val="22"/>
        </w:rPr>
      </w:pPr>
    </w:p>
    <w:p w:rsidR="006224C2" w:rsidRPr="00295E71" w:rsidP="005D5C2F" w14:paraId="44190A57" w14:textId="77777777">
      <w:pPr>
        <w:keepNext/>
        <w:keepLines/>
        <w:rPr>
          <w:del w:id="6697" w:author="AbbVie14" w:date="2025-05-09T10:33:00Z"/>
          <w:color w:val="000000"/>
          <w:sz w:val="22"/>
          <w:szCs w:val="22"/>
        </w:rPr>
      </w:pPr>
      <w:del w:id="6698" w:author="AbbVie14" w:date="2025-05-09T10:33:00Z">
        <w:r w:rsidRPr="00295E71">
          <w:rPr>
            <w:i/>
            <w:iCs/>
            <w:color w:val="000000"/>
            <w:sz w:val="22"/>
            <w:szCs w:val="22"/>
          </w:rPr>
          <w:delText>Altre infezioni opportunistiche</w:delText>
        </w:r>
      </w:del>
    </w:p>
    <w:p w:rsidR="006224C2" w:rsidRPr="00295E71" w:rsidP="005D5C2F" w14:paraId="0FAE71F7" w14:textId="77777777">
      <w:pPr>
        <w:keepNext/>
        <w:keepLines/>
        <w:tabs>
          <w:tab w:val="left" w:pos="567"/>
        </w:tabs>
        <w:autoSpaceDE w:val="0"/>
        <w:autoSpaceDN w:val="0"/>
        <w:adjustRightInd w:val="0"/>
        <w:jc w:val="both"/>
        <w:rPr>
          <w:del w:id="6699" w:author="AbbVie14" w:date="2025-05-09T10:33:00Z"/>
          <w:color w:val="000000"/>
          <w:sz w:val="22"/>
          <w:szCs w:val="22"/>
        </w:rPr>
      </w:pPr>
    </w:p>
    <w:p w:rsidR="006224C2" w:rsidRPr="00295E71" w:rsidP="005D5C2F" w14:paraId="3256D9B6" w14:textId="77777777">
      <w:pPr>
        <w:keepNext/>
        <w:keepLines/>
        <w:tabs>
          <w:tab w:val="left" w:pos="567"/>
        </w:tabs>
        <w:autoSpaceDE w:val="0"/>
        <w:autoSpaceDN w:val="0"/>
        <w:adjustRightInd w:val="0"/>
        <w:jc w:val="both"/>
        <w:rPr>
          <w:del w:id="6700" w:author="AbbVie14" w:date="2025-05-09T10:33:00Z"/>
          <w:color w:val="000000"/>
          <w:sz w:val="22"/>
          <w:szCs w:val="22"/>
        </w:rPr>
      </w:pPr>
      <w:del w:id="6701" w:author="AbbVie14" w:date="2025-05-09T10:33:00Z">
        <w:r w:rsidRPr="00295E71">
          <w:rPr>
            <w:color w:val="000000"/>
            <w:sz w:val="22"/>
            <w:szCs w:val="22"/>
          </w:rPr>
          <w:delText>In pazienti che hanno assunto Humira sono stati osservati casi di infezioni opportunistiche, incluse infezioni fungine invasive. Queste infezioni non sono state correttamente diagnosticate in pazienti che assumevano</w:delText>
        </w:r>
      </w:del>
      <w:del w:id="6702" w:author="AbbVie14" w:date="2025-05-09T10:33:00Z">
        <w:r w:rsidR="006E2E3C">
          <w:rPr>
            <w:color w:val="000000"/>
            <w:sz w:val="22"/>
            <w:szCs w:val="22"/>
          </w:rPr>
          <w:delText xml:space="preserve"> </w:delText>
        </w:r>
      </w:del>
      <w:del w:id="6703" w:author="AbbVie14" w:date="2025-05-09T10:33:00Z">
        <w:r w:rsidRPr="00295E71">
          <w:rPr>
            <w:color w:val="000000"/>
            <w:sz w:val="22"/>
            <w:szCs w:val="22"/>
          </w:rPr>
          <w:delText>antagonisti del TNF e ciò ha comportato un ritardo nel trattamento appropriato, talvolta con esito fatale.</w:delText>
        </w:r>
      </w:del>
    </w:p>
    <w:p w:rsidR="006224C2" w:rsidRPr="00295E71" w14:paraId="48EAF1CF" w14:textId="77777777">
      <w:pPr>
        <w:tabs>
          <w:tab w:val="left" w:pos="567"/>
        </w:tabs>
        <w:autoSpaceDE w:val="0"/>
        <w:autoSpaceDN w:val="0"/>
        <w:adjustRightInd w:val="0"/>
        <w:jc w:val="both"/>
        <w:rPr>
          <w:del w:id="6704" w:author="AbbVie14" w:date="2025-05-09T10:33:00Z"/>
          <w:color w:val="000000"/>
          <w:sz w:val="22"/>
          <w:szCs w:val="22"/>
        </w:rPr>
      </w:pPr>
    </w:p>
    <w:p w:rsidR="006224C2" w:rsidRPr="00295E71" w14:paraId="784B721B" w14:textId="77777777">
      <w:pPr>
        <w:tabs>
          <w:tab w:val="left" w:pos="567"/>
        </w:tabs>
        <w:autoSpaceDE w:val="0"/>
        <w:autoSpaceDN w:val="0"/>
        <w:adjustRightInd w:val="0"/>
        <w:jc w:val="both"/>
        <w:rPr>
          <w:del w:id="6705" w:author="AbbVie14" w:date="2025-05-09T10:33:00Z"/>
          <w:color w:val="000000"/>
          <w:sz w:val="22"/>
          <w:szCs w:val="22"/>
        </w:rPr>
      </w:pPr>
      <w:del w:id="6706" w:author="AbbVie14" w:date="2025-05-09T10:33:00Z">
        <w:r w:rsidRPr="00295E71">
          <w:rPr>
            <w:color w:val="000000"/>
            <w:sz w:val="22"/>
            <w:szCs w:val="22"/>
          </w:rPr>
          <w:delText>In pazienti che sviluppano segni e sintomi quali febbre, malessere, perdita di peso, sudorazione, tosse, dispnea e/o infiltrato polmonare o altre malattie sistemiche gravi con o senza shock concomitante si deve sospettare un’infezione fungina invasiva e deve essere prontamente interrotta la somministrazione di Humira. La diagnosi e la somministrazione di terapia antifungina empirica in questi pazienti dovrebbero essere effettuate consultando un medico specializzato nella cura di pazienti con infezioni fungine invasive.</w:delText>
        </w:r>
      </w:del>
    </w:p>
    <w:p w:rsidR="006224C2" w:rsidRPr="00295E71" w14:paraId="016562D5" w14:textId="77777777">
      <w:pPr>
        <w:tabs>
          <w:tab w:val="left" w:pos="567"/>
        </w:tabs>
        <w:autoSpaceDE w:val="0"/>
        <w:autoSpaceDN w:val="0"/>
        <w:adjustRightInd w:val="0"/>
        <w:jc w:val="both"/>
        <w:rPr>
          <w:del w:id="6707" w:author="AbbVie14" w:date="2025-05-09T10:33:00Z"/>
          <w:color w:val="000000"/>
          <w:sz w:val="22"/>
          <w:szCs w:val="22"/>
        </w:rPr>
      </w:pPr>
    </w:p>
    <w:p w:rsidR="006224C2" w:rsidRPr="00295E71" w14:paraId="298D43F2" w14:textId="77777777">
      <w:pPr>
        <w:keepNext/>
        <w:tabs>
          <w:tab w:val="left" w:pos="567"/>
        </w:tabs>
        <w:autoSpaceDE w:val="0"/>
        <w:autoSpaceDN w:val="0"/>
        <w:adjustRightInd w:val="0"/>
        <w:jc w:val="both"/>
        <w:rPr>
          <w:del w:id="6708" w:author="AbbVie14" w:date="2025-05-09T10:33:00Z"/>
          <w:color w:val="000000"/>
          <w:sz w:val="22"/>
          <w:szCs w:val="22"/>
        </w:rPr>
      </w:pPr>
      <w:del w:id="6709" w:author="AbbVie14" w:date="2025-05-09T10:33:00Z">
        <w:r w:rsidRPr="00295E71">
          <w:rPr>
            <w:color w:val="000000"/>
            <w:sz w:val="22"/>
            <w:szCs w:val="22"/>
            <w:u w:val="single"/>
          </w:rPr>
          <w:delText>Riattivazione dell’Epatite B</w:delText>
        </w:r>
      </w:del>
    </w:p>
    <w:p w:rsidR="006224C2" w:rsidRPr="00295E71" w14:paraId="2B746818" w14:textId="77777777">
      <w:pPr>
        <w:keepNext/>
        <w:tabs>
          <w:tab w:val="left" w:pos="567"/>
        </w:tabs>
        <w:autoSpaceDE w:val="0"/>
        <w:autoSpaceDN w:val="0"/>
        <w:adjustRightInd w:val="0"/>
        <w:jc w:val="both"/>
        <w:rPr>
          <w:del w:id="6710" w:author="AbbVie14" w:date="2025-05-09T10:33:00Z"/>
          <w:color w:val="000000"/>
          <w:sz w:val="22"/>
          <w:szCs w:val="22"/>
        </w:rPr>
      </w:pPr>
    </w:p>
    <w:p w:rsidR="006224C2" w:rsidRPr="00295E71" w14:paraId="2BCA2325" w14:textId="77777777">
      <w:pPr>
        <w:keepNext/>
        <w:tabs>
          <w:tab w:val="left" w:pos="567"/>
        </w:tabs>
        <w:autoSpaceDE w:val="0"/>
        <w:autoSpaceDN w:val="0"/>
        <w:adjustRightInd w:val="0"/>
        <w:jc w:val="both"/>
        <w:rPr>
          <w:del w:id="6711" w:author="AbbVie14" w:date="2025-05-09T10:33:00Z"/>
          <w:color w:val="000000"/>
          <w:sz w:val="22"/>
          <w:szCs w:val="22"/>
        </w:rPr>
      </w:pPr>
      <w:del w:id="6712" w:author="AbbVie14" w:date="2025-05-09T10:33:00Z">
        <w:r w:rsidRPr="00295E71">
          <w:rPr>
            <w:color w:val="000000"/>
            <w:sz w:val="22"/>
            <w:szCs w:val="22"/>
          </w:rPr>
          <w:delText>In pazienti portatori cronici del virus dell’epatite B sottoposti a trattamento con antagonisti del TNF incluso Humira, si è verificata una riattivazione dell’epatite B (ad es. antigene di superficie positivo). Alcuni casi hanno avuto un esito fatale. Prima di iniziare il trattamento con Humira, i pazienti devono essere testati per l’infezione da virus dell’epatite B. Si raccomanda la consultazione di un medico con esperienza nel trattamento dell’epatite B per quei pazienti che risultano positivi al test per l’epatite B.</w:delText>
        </w:r>
      </w:del>
    </w:p>
    <w:p w:rsidR="006224C2" w:rsidRPr="00295E71" w14:paraId="04B30A0A" w14:textId="77777777">
      <w:pPr>
        <w:tabs>
          <w:tab w:val="left" w:pos="567"/>
        </w:tabs>
        <w:autoSpaceDE w:val="0"/>
        <w:autoSpaceDN w:val="0"/>
        <w:adjustRightInd w:val="0"/>
        <w:jc w:val="both"/>
        <w:rPr>
          <w:del w:id="6713" w:author="AbbVie14" w:date="2025-05-09T10:33:00Z"/>
          <w:color w:val="000000"/>
          <w:sz w:val="22"/>
          <w:szCs w:val="22"/>
        </w:rPr>
      </w:pPr>
    </w:p>
    <w:p w:rsidR="006224C2" w:rsidRPr="00295E71" w14:paraId="6394D751" w14:textId="77777777">
      <w:pPr>
        <w:tabs>
          <w:tab w:val="left" w:pos="567"/>
        </w:tabs>
        <w:autoSpaceDE w:val="0"/>
        <w:autoSpaceDN w:val="0"/>
        <w:adjustRightInd w:val="0"/>
        <w:jc w:val="both"/>
        <w:rPr>
          <w:del w:id="6714" w:author="AbbVie14" w:date="2025-05-09T10:33:00Z"/>
          <w:color w:val="000000"/>
          <w:sz w:val="22"/>
          <w:szCs w:val="22"/>
        </w:rPr>
      </w:pPr>
      <w:del w:id="6715" w:author="AbbVie14" w:date="2025-05-09T10:33:00Z">
        <w:r w:rsidRPr="00295E71">
          <w:rPr>
            <w:color w:val="000000"/>
            <w:sz w:val="22"/>
            <w:szCs w:val="22"/>
          </w:rPr>
          <w:delText>I portatori del virus dell’epatite B che necessitano di un trattamento con Humira devono essere attentamente monitorati allo scopo di rilevare la comparsa dei segni e sintomi dell’infezione attiva da virus dell’epatite B non solo nel corso di tutta la terapia, ma anche durante i mesi successivi alla sospensione della terapia. Non sono disponibili dati adeguati derivanti dal trattamento di pazienti portatori del virus dell’epatite B, sottoposti a terapia anti-virale al fine di evitare la riattivazione del virus dell’epatite B, in concomitanza con la terapia con antagonisti del TNF. Nei pazienti che sviluppano una riattivazione del virus dell’epatite B, la somministrazione di Humira deve essere interrotta e deve essere istituita un’efficace terapia anti-virale accompagnata da un adeguato trattamento di supporto.</w:delText>
        </w:r>
      </w:del>
    </w:p>
    <w:p w:rsidR="006224C2" w:rsidRPr="00295E71" w14:paraId="60153107" w14:textId="77777777">
      <w:pPr>
        <w:tabs>
          <w:tab w:val="left" w:pos="567"/>
        </w:tabs>
        <w:autoSpaceDE w:val="0"/>
        <w:autoSpaceDN w:val="0"/>
        <w:adjustRightInd w:val="0"/>
        <w:jc w:val="both"/>
        <w:rPr>
          <w:del w:id="6716" w:author="AbbVie14" w:date="2025-05-09T10:33:00Z"/>
          <w:color w:val="000000"/>
          <w:sz w:val="22"/>
          <w:szCs w:val="22"/>
        </w:rPr>
      </w:pPr>
    </w:p>
    <w:p w:rsidR="006224C2" w:rsidRPr="00295E71" w:rsidP="00F57FE5" w14:paraId="2806BF99" w14:textId="77777777">
      <w:pPr>
        <w:keepNext/>
        <w:keepLines/>
        <w:tabs>
          <w:tab w:val="left" w:pos="567"/>
        </w:tabs>
        <w:autoSpaceDE w:val="0"/>
        <w:autoSpaceDN w:val="0"/>
        <w:adjustRightInd w:val="0"/>
        <w:jc w:val="both"/>
        <w:rPr>
          <w:del w:id="6717" w:author="AbbVie14" w:date="2025-05-09T10:33:00Z"/>
          <w:color w:val="000000"/>
          <w:sz w:val="22"/>
          <w:szCs w:val="22"/>
          <w:u w:val="single"/>
        </w:rPr>
      </w:pPr>
      <w:del w:id="6718" w:author="AbbVie14" w:date="2025-05-09T10:33:00Z">
        <w:r w:rsidRPr="00295E71">
          <w:rPr>
            <w:color w:val="000000"/>
            <w:sz w:val="22"/>
            <w:szCs w:val="22"/>
            <w:u w:val="single"/>
          </w:rPr>
          <w:delText>Eventi neurologici</w:delText>
        </w:r>
      </w:del>
    </w:p>
    <w:p w:rsidR="006224C2" w:rsidRPr="00295E71" w:rsidP="00F57FE5" w14:paraId="25F11332" w14:textId="77777777">
      <w:pPr>
        <w:keepNext/>
        <w:keepLines/>
        <w:tabs>
          <w:tab w:val="left" w:pos="567"/>
        </w:tabs>
        <w:autoSpaceDE w:val="0"/>
        <w:autoSpaceDN w:val="0"/>
        <w:adjustRightInd w:val="0"/>
        <w:jc w:val="both"/>
        <w:rPr>
          <w:del w:id="6719" w:author="AbbVie14" w:date="2025-05-09T10:33:00Z"/>
          <w:color w:val="000000"/>
          <w:sz w:val="22"/>
          <w:szCs w:val="22"/>
          <w:u w:val="single"/>
        </w:rPr>
      </w:pPr>
    </w:p>
    <w:p w:rsidR="006224C2" w:rsidRPr="00295E71" w:rsidP="00F57FE5" w14:paraId="2C7A2B00" w14:textId="77777777">
      <w:pPr>
        <w:keepNext/>
        <w:keepLines/>
        <w:tabs>
          <w:tab w:val="left" w:pos="567"/>
        </w:tabs>
        <w:autoSpaceDE w:val="0"/>
        <w:autoSpaceDN w:val="0"/>
        <w:adjustRightInd w:val="0"/>
        <w:jc w:val="both"/>
        <w:rPr>
          <w:del w:id="6720" w:author="AbbVie14" w:date="2025-05-09T10:33:00Z"/>
          <w:color w:val="000000"/>
          <w:sz w:val="22"/>
          <w:szCs w:val="22"/>
        </w:rPr>
      </w:pPr>
      <w:del w:id="6721" w:author="AbbVie14" w:date="2025-05-09T10:33:00Z">
        <w:r w:rsidRPr="00295E71">
          <w:rPr>
            <w:color w:val="000000"/>
            <w:sz w:val="22"/>
            <w:szCs w:val="22"/>
          </w:rPr>
          <w:delText>I farmaci anti-TNF, compreso Humira, sono stati correlati, in rari casi, con la nuova insorgenza o con l’esacerbazione di sintomi clinici e/o evidenze radiografiche di malattie demielinizzanti del sistema nervoso centrale, inclusa la sclerosi multipla,</w:delText>
        </w:r>
      </w:del>
      <w:del w:id="6722" w:author="AbbVie14" w:date="2025-05-09T10:33:00Z">
        <w:r w:rsidR="006E2E3C">
          <w:rPr>
            <w:color w:val="000000"/>
            <w:sz w:val="22"/>
            <w:szCs w:val="22"/>
          </w:rPr>
          <w:delText xml:space="preserve"> </w:delText>
        </w:r>
      </w:del>
      <w:del w:id="6723" w:author="AbbVie14" w:date="2025-05-09T10:33:00Z">
        <w:r w:rsidRPr="00295E71">
          <w:rPr>
            <w:color w:val="000000"/>
            <w:sz w:val="22"/>
            <w:szCs w:val="22"/>
          </w:rPr>
          <w:delText>la neurite ottica e le malattie demielinizzanti periferiche, compresa la sindrome di Guillain-Barrè. Deve essere usata cautela nell’uso di Humira in quei pazienti con patologie demielinizzanti del sistema nervoso centrale o periferico pregresse o di recente insorgenza; l’interruzione di Humira deve essere presa in considerazione nel caso in cui si sviluppi una qualsiasi di queste patologie. Sussiste una nota associazione tra l’uveite intermedia e le patologie demielinizzanti del sistema nervoso centrale. La valutazione neurologica deve essere effettuata sui pazienti con uveite intermedia non infettiva prima di iniziare la terapia con Humira e a intervalli regolari durante il trattamento al fine di valutare le patologie demielinizzanti del sistema nervoso centrale pregresse o in fase di sviluppo.</w:delText>
        </w:r>
      </w:del>
    </w:p>
    <w:p w:rsidR="006224C2" w:rsidRPr="00295E71" w14:paraId="65D05D90" w14:textId="77777777">
      <w:pPr>
        <w:tabs>
          <w:tab w:val="left" w:pos="567"/>
        </w:tabs>
        <w:autoSpaceDE w:val="0"/>
        <w:autoSpaceDN w:val="0"/>
        <w:adjustRightInd w:val="0"/>
        <w:jc w:val="both"/>
        <w:rPr>
          <w:del w:id="6724" w:author="AbbVie14" w:date="2025-05-09T10:33:00Z"/>
          <w:color w:val="000000"/>
          <w:sz w:val="22"/>
          <w:szCs w:val="22"/>
          <w:u w:val="single"/>
        </w:rPr>
      </w:pPr>
    </w:p>
    <w:p w:rsidR="006224C2" w:rsidRPr="00295E71" w:rsidP="00C04163" w14:paraId="05A250DB" w14:textId="77777777">
      <w:pPr>
        <w:keepNext/>
        <w:tabs>
          <w:tab w:val="left" w:pos="567"/>
        </w:tabs>
        <w:jc w:val="both"/>
        <w:rPr>
          <w:del w:id="6725" w:author="AbbVie14" w:date="2025-05-09T10:33:00Z"/>
          <w:color w:val="000000"/>
          <w:sz w:val="22"/>
          <w:szCs w:val="22"/>
          <w:u w:val="single"/>
        </w:rPr>
      </w:pPr>
      <w:del w:id="6726" w:author="AbbVie14" w:date="2025-05-09T10:33:00Z">
        <w:r w:rsidRPr="00295E71">
          <w:rPr>
            <w:color w:val="000000"/>
            <w:sz w:val="22"/>
            <w:szCs w:val="22"/>
            <w:u w:val="single"/>
          </w:rPr>
          <w:delText>Reazioni allergiche</w:delText>
        </w:r>
      </w:del>
    </w:p>
    <w:p w:rsidR="006224C2" w:rsidRPr="00295E71" w:rsidP="00C04163" w14:paraId="3F04987B" w14:textId="77777777">
      <w:pPr>
        <w:keepNext/>
        <w:tabs>
          <w:tab w:val="left" w:pos="567"/>
        </w:tabs>
        <w:jc w:val="both"/>
        <w:rPr>
          <w:del w:id="6727" w:author="AbbVie14" w:date="2025-05-09T10:33:00Z"/>
          <w:color w:val="000000"/>
          <w:sz w:val="22"/>
          <w:szCs w:val="22"/>
          <w:u w:val="single"/>
        </w:rPr>
      </w:pPr>
    </w:p>
    <w:p w:rsidR="006224C2" w:rsidRPr="00295E71" w14:paraId="2E5A85FE" w14:textId="77777777">
      <w:pPr>
        <w:tabs>
          <w:tab w:val="left" w:pos="567"/>
        </w:tabs>
        <w:autoSpaceDE w:val="0"/>
        <w:autoSpaceDN w:val="0"/>
        <w:adjustRightInd w:val="0"/>
        <w:jc w:val="both"/>
        <w:rPr>
          <w:del w:id="6728" w:author="AbbVie14" w:date="2025-05-09T10:33:00Z"/>
          <w:color w:val="000000"/>
          <w:sz w:val="22"/>
          <w:szCs w:val="22"/>
        </w:rPr>
      </w:pPr>
      <w:del w:id="6729" w:author="AbbVie14" w:date="2025-05-09T10:33:00Z">
        <w:r w:rsidRPr="00295E71">
          <w:rPr>
            <w:color w:val="000000"/>
            <w:sz w:val="22"/>
            <w:szCs w:val="22"/>
          </w:rPr>
          <w:delText>Nel corso degli studi clinici, reazioni allergiche gravi associate con Humira sono state rare. Le reazioni allergiche non gravi associate con Humira durante gli studi clinici sono state non comuni. Sono state ricevute segnalazioni di reazioni allergiche gravi inclusa l’anafilassi a seguito della somministrazione di Humira. Se si verificano reazioni anafilattiche o altre gravi manifestazioni allergiche, la somministrazione di Humira deve essere immediatamente interrotta e deve essere iniziata una terapia appropriata.</w:delText>
        </w:r>
      </w:del>
    </w:p>
    <w:p w:rsidR="006224C2" w:rsidRPr="00295E71" w14:paraId="61D33CE9" w14:textId="77777777">
      <w:pPr>
        <w:tabs>
          <w:tab w:val="left" w:pos="567"/>
        </w:tabs>
        <w:autoSpaceDE w:val="0"/>
        <w:autoSpaceDN w:val="0"/>
        <w:adjustRightInd w:val="0"/>
        <w:jc w:val="both"/>
        <w:rPr>
          <w:del w:id="6730" w:author="AbbVie14" w:date="2025-05-09T10:33:00Z"/>
          <w:color w:val="000000"/>
          <w:sz w:val="22"/>
          <w:szCs w:val="22"/>
        </w:rPr>
      </w:pPr>
    </w:p>
    <w:p w:rsidR="006224C2" w:rsidRPr="00295E71" w:rsidP="005D5C2F" w14:paraId="7FD49619" w14:textId="77777777">
      <w:pPr>
        <w:keepNext/>
        <w:keepLines/>
        <w:tabs>
          <w:tab w:val="left" w:pos="567"/>
        </w:tabs>
        <w:autoSpaceDE w:val="0"/>
        <w:autoSpaceDN w:val="0"/>
        <w:adjustRightInd w:val="0"/>
        <w:jc w:val="both"/>
        <w:rPr>
          <w:del w:id="6731" w:author="AbbVie14" w:date="2025-05-09T10:33:00Z"/>
          <w:color w:val="000000"/>
          <w:sz w:val="22"/>
          <w:szCs w:val="22"/>
          <w:u w:val="single"/>
        </w:rPr>
      </w:pPr>
      <w:del w:id="6732" w:author="AbbVie14" w:date="2025-05-09T10:33:00Z">
        <w:r w:rsidRPr="00295E71">
          <w:rPr>
            <w:color w:val="000000"/>
            <w:sz w:val="22"/>
            <w:szCs w:val="22"/>
            <w:u w:val="single"/>
          </w:rPr>
          <w:delText>Immunosoppressione</w:delText>
        </w:r>
      </w:del>
    </w:p>
    <w:p w:rsidR="006224C2" w:rsidRPr="00295E71" w:rsidP="005D5C2F" w14:paraId="198F4D06" w14:textId="77777777">
      <w:pPr>
        <w:keepNext/>
        <w:keepLines/>
        <w:tabs>
          <w:tab w:val="left" w:pos="567"/>
        </w:tabs>
        <w:autoSpaceDE w:val="0"/>
        <w:autoSpaceDN w:val="0"/>
        <w:adjustRightInd w:val="0"/>
        <w:jc w:val="both"/>
        <w:rPr>
          <w:del w:id="6733" w:author="AbbVie14" w:date="2025-05-09T10:33:00Z"/>
          <w:color w:val="000000"/>
          <w:sz w:val="22"/>
          <w:szCs w:val="22"/>
          <w:u w:val="single"/>
        </w:rPr>
      </w:pPr>
    </w:p>
    <w:p w:rsidR="006224C2" w:rsidRPr="00295E71" w:rsidP="005D5C2F" w14:paraId="298A901C" w14:textId="77777777">
      <w:pPr>
        <w:keepNext/>
        <w:keepLines/>
        <w:tabs>
          <w:tab w:val="left" w:pos="567"/>
        </w:tabs>
        <w:jc w:val="both"/>
        <w:rPr>
          <w:del w:id="6734" w:author="AbbVie14" w:date="2025-05-09T10:33:00Z"/>
          <w:color w:val="000000"/>
          <w:sz w:val="22"/>
          <w:szCs w:val="22"/>
        </w:rPr>
      </w:pPr>
      <w:del w:id="6735" w:author="AbbVie14" w:date="2025-05-09T10:33:00Z">
        <w:r w:rsidRPr="00295E71">
          <w:rPr>
            <w:color w:val="000000"/>
            <w:sz w:val="22"/>
            <w:szCs w:val="22"/>
          </w:rPr>
          <w:delText>In uno studio su 64 pazienti con artrite reumatoide, sottoposti a trattamento con Humira, non è stata evidenziata alcuna inibizione dell’ipersensibilità ritardata, nè riduzione dei livelli delle immunoglobuline o cambiamenti nel numero dei linfociti T, B, delle cellule NK, dei monociti/macrofagi e dei neutrofili.</w:delText>
        </w:r>
      </w:del>
    </w:p>
    <w:p w:rsidR="006224C2" w:rsidRPr="00295E71" w14:paraId="43C74D1A" w14:textId="77777777">
      <w:pPr>
        <w:tabs>
          <w:tab w:val="left" w:pos="567"/>
        </w:tabs>
        <w:jc w:val="both"/>
        <w:rPr>
          <w:del w:id="6736" w:author="AbbVie14" w:date="2025-05-09T10:33:00Z"/>
          <w:sz w:val="22"/>
          <w:szCs w:val="22"/>
        </w:rPr>
      </w:pPr>
    </w:p>
    <w:p w:rsidR="006224C2" w:rsidRPr="00295E71" w14:paraId="4FE5AA7F" w14:textId="77777777">
      <w:pPr>
        <w:tabs>
          <w:tab w:val="left" w:pos="567"/>
        </w:tabs>
        <w:jc w:val="both"/>
        <w:rPr>
          <w:del w:id="6737" w:author="AbbVie14" w:date="2025-05-09T10:33:00Z"/>
          <w:color w:val="000000"/>
          <w:sz w:val="22"/>
          <w:szCs w:val="22"/>
          <w:u w:val="single"/>
        </w:rPr>
      </w:pPr>
      <w:del w:id="6738" w:author="AbbVie14" w:date="2025-05-09T10:33:00Z">
        <w:r w:rsidRPr="00295E71">
          <w:rPr>
            <w:color w:val="000000"/>
            <w:sz w:val="22"/>
            <w:szCs w:val="22"/>
            <w:u w:val="single"/>
          </w:rPr>
          <w:delText>Neoplasie e malattie linfoproliferative</w:delText>
        </w:r>
      </w:del>
    </w:p>
    <w:p w:rsidR="006224C2" w:rsidRPr="00295E71" w14:paraId="38CAB1FD" w14:textId="77777777">
      <w:pPr>
        <w:tabs>
          <w:tab w:val="left" w:pos="567"/>
        </w:tabs>
        <w:jc w:val="both"/>
        <w:rPr>
          <w:del w:id="6739" w:author="AbbVie14" w:date="2025-05-09T10:33:00Z"/>
          <w:color w:val="000000"/>
          <w:sz w:val="22"/>
          <w:szCs w:val="22"/>
        </w:rPr>
      </w:pPr>
    </w:p>
    <w:p w:rsidR="006224C2" w:rsidRPr="00295E71" w14:paraId="531B074F" w14:textId="77777777">
      <w:pPr>
        <w:tabs>
          <w:tab w:val="left" w:pos="567"/>
        </w:tabs>
        <w:jc w:val="both"/>
        <w:rPr>
          <w:del w:id="6740" w:author="AbbVie14" w:date="2025-05-09T10:33:00Z"/>
          <w:color w:val="000000"/>
          <w:sz w:val="22"/>
          <w:szCs w:val="22"/>
        </w:rPr>
      </w:pPr>
      <w:del w:id="6741" w:author="AbbVie14" w:date="2025-05-09T10:33:00Z">
        <w:r w:rsidRPr="00295E71">
          <w:rPr>
            <w:color w:val="000000"/>
            <w:sz w:val="22"/>
            <w:szCs w:val="22"/>
          </w:rPr>
          <w:delText>Nelle sezioni controllate degli studi clinici con farmaci anti-TNF, sono stati osservati più casi di neoplasie, incluso linfoma, nei pazienti riceventi un anti-TNF rispetto al gruppo di controllo. Tuttavia, i casi sono stati rari. In studi postmarketing, sono stati riportati casi di leucemia in pazienti trattati con un antagonista-TNF.C’è un maggiore aumento del rischio di sviluppare linfomi e leucemia per i pazienti con artrite reumatoide gravemente attiva e di lunga durata, una patologia infiammatoria che complica la valutazione del rischio. Con le attuali conoscenze, non è possibile escludere lo sviluppo di linfomi, leucemia e altre neoplasie in pazienti trattati con farmaci anti-TNF.</w:delText>
        </w:r>
      </w:del>
    </w:p>
    <w:p w:rsidR="006224C2" w:rsidRPr="00295E71" w14:paraId="4EF437B7" w14:textId="77777777">
      <w:pPr>
        <w:tabs>
          <w:tab w:val="left" w:pos="567"/>
        </w:tabs>
        <w:jc w:val="both"/>
        <w:rPr>
          <w:del w:id="6742" w:author="AbbVie14" w:date="2025-05-09T10:33:00Z"/>
          <w:color w:val="000000"/>
          <w:sz w:val="22"/>
          <w:szCs w:val="22"/>
        </w:rPr>
      </w:pPr>
    </w:p>
    <w:p w:rsidR="006224C2" w:rsidRPr="00295E71" w14:paraId="0A0A5567" w14:textId="77777777">
      <w:pPr>
        <w:tabs>
          <w:tab w:val="left" w:pos="567"/>
        </w:tabs>
        <w:jc w:val="both"/>
        <w:rPr>
          <w:del w:id="6743" w:author="AbbVie14" w:date="2025-05-09T10:33:00Z"/>
          <w:color w:val="000000"/>
          <w:sz w:val="22"/>
          <w:szCs w:val="22"/>
        </w:rPr>
      </w:pPr>
      <w:del w:id="6744" w:author="AbbVie14" w:date="2025-05-09T10:33:00Z">
        <w:r w:rsidRPr="00295E71">
          <w:rPr>
            <w:color w:val="000000"/>
            <w:sz w:val="22"/>
            <w:szCs w:val="22"/>
          </w:rPr>
          <w:delText>Casi di tumori, alcuni fatali, sono stati riportati in</w:delText>
        </w:r>
      </w:del>
      <w:del w:id="6745" w:author="AbbVie14" w:date="2025-05-09T10:33:00Z">
        <w:r w:rsidR="006E2E3C">
          <w:rPr>
            <w:color w:val="000000"/>
            <w:sz w:val="22"/>
            <w:szCs w:val="22"/>
          </w:rPr>
          <w:delText xml:space="preserve"> </w:delText>
        </w:r>
      </w:del>
      <w:del w:id="6746" w:author="AbbVie14" w:date="2025-05-09T10:33:00Z">
        <w:r w:rsidRPr="00295E71">
          <w:rPr>
            <w:color w:val="000000"/>
            <w:sz w:val="22"/>
            <w:szCs w:val="22"/>
          </w:rPr>
          <w:delText>bambini, adolescenti e adulti di giovane età (fino all’età di 22 anni) trattati con agenti antagonisti del TNF (inizio della terapia ≤ 18 anni), compreso</w:delText>
        </w:r>
      </w:del>
      <w:del w:id="6747" w:author="AbbVie14" w:date="2025-05-09T10:33:00Z">
        <w:r w:rsidR="006E2E3C">
          <w:rPr>
            <w:color w:val="000000"/>
            <w:sz w:val="22"/>
            <w:szCs w:val="22"/>
          </w:rPr>
          <w:delText xml:space="preserve"> </w:delText>
        </w:r>
      </w:del>
      <w:del w:id="6748" w:author="AbbVie14" w:date="2025-05-09T10:33:00Z">
        <w:r w:rsidRPr="00295E71">
          <w:rPr>
            <w:color w:val="000000"/>
            <w:sz w:val="22"/>
            <w:szCs w:val="22"/>
          </w:rPr>
          <w:delText>l’adalimumab, negli studi postmarketing.</w:delText>
        </w:r>
      </w:del>
    </w:p>
    <w:p w:rsidR="006224C2" w:rsidRPr="00295E71" w14:paraId="497B15CD" w14:textId="77777777">
      <w:pPr>
        <w:tabs>
          <w:tab w:val="left" w:pos="567"/>
        </w:tabs>
        <w:jc w:val="both"/>
        <w:rPr>
          <w:del w:id="6749" w:author="AbbVie14" w:date="2025-05-09T10:33:00Z"/>
          <w:color w:val="000000"/>
          <w:sz w:val="22"/>
          <w:szCs w:val="22"/>
        </w:rPr>
      </w:pPr>
      <w:del w:id="6750" w:author="AbbVie14" w:date="2025-05-09T10:33:00Z">
        <w:r w:rsidRPr="00295E71">
          <w:rPr>
            <w:color w:val="000000"/>
            <w:sz w:val="22"/>
            <w:szCs w:val="22"/>
          </w:rPr>
          <w:delText>Circa metà dei casi sono stati linfomi. Gli altri casi hanno rappresentato una molteplicità di differenti tumori e hanno incluso rari tumori solitamente associati con immunosoppressione.</w:delText>
        </w:r>
      </w:del>
    </w:p>
    <w:p w:rsidR="006224C2" w14:paraId="12003AF5" w14:textId="77777777">
      <w:pPr>
        <w:tabs>
          <w:tab w:val="left" w:pos="567"/>
        </w:tabs>
        <w:jc w:val="both"/>
        <w:rPr>
          <w:del w:id="6751" w:author="AbbVie14" w:date="2025-05-09T10:33:00Z"/>
          <w:color w:val="000000"/>
          <w:sz w:val="22"/>
          <w:szCs w:val="22"/>
        </w:rPr>
      </w:pPr>
      <w:del w:id="6752" w:author="AbbVie14" w:date="2025-05-09T10:33:00Z">
        <w:r w:rsidRPr="00295E71">
          <w:rPr>
            <w:color w:val="000000"/>
            <w:sz w:val="22"/>
            <w:szCs w:val="22"/>
          </w:rPr>
          <w:delText>Non può essere escluso un rischio per lo sviluppo di tumori in bambini ed adolescenti trattati con antagonisti del TNF.</w:delText>
        </w:r>
      </w:del>
    </w:p>
    <w:p w:rsidR="006E2E3C" w:rsidRPr="00295E71" w14:paraId="2DE2888B" w14:textId="77777777">
      <w:pPr>
        <w:tabs>
          <w:tab w:val="left" w:pos="567"/>
        </w:tabs>
        <w:jc w:val="both"/>
        <w:rPr>
          <w:del w:id="6753" w:author="AbbVie14" w:date="2025-05-09T10:33:00Z"/>
          <w:color w:val="000000"/>
          <w:sz w:val="22"/>
          <w:szCs w:val="22"/>
        </w:rPr>
      </w:pPr>
    </w:p>
    <w:p w:rsidR="006224C2" w:rsidRPr="00295E71" w14:paraId="669D1788" w14:textId="77777777">
      <w:pPr>
        <w:tabs>
          <w:tab w:val="left" w:pos="567"/>
        </w:tabs>
        <w:jc w:val="both"/>
        <w:rPr>
          <w:del w:id="6754" w:author="AbbVie14" w:date="2025-05-09T10:33:00Z"/>
          <w:color w:val="000000"/>
          <w:sz w:val="22"/>
          <w:szCs w:val="22"/>
        </w:rPr>
      </w:pPr>
      <w:del w:id="6755" w:author="AbbVie14" w:date="2025-05-09T10:33:00Z">
        <w:r w:rsidRPr="00295E71">
          <w:rPr>
            <w:color w:val="000000"/>
            <w:sz w:val="22"/>
            <w:szCs w:val="22"/>
          </w:rPr>
          <w:delText>Nei pazienti trattati con adalimumab sono stati osservati rari casi postmarketing di linfoma epatosplenico a cellule T. Questo raro tipo di linfoma a cellule T ha un decorso clinico molto aggressivo ed è spesso fatale. Alcuni di questi casi di linfoma epatosplenico a cellule T si sono manifestati in giovani pazienti adulti trattati con Humira e sottoposti a terapia concomitante con azatioprina o 6</w:delText>
        </w:r>
      </w:del>
      <w:del w:id="6756" w:author="AbbVie14" w:date="2025-05-09T10:33:00Z">
        <w:r w:rsidRPr="00295E71">
          <w:rPr>
            <w:color w:val="000000"/>
            <w:sz w:val="22"/>
            <w:szCs w:val="22"/>
          </w:rPr>
          <w:noBreakHyphen/>
          <w:delText>mercaptopurina, farmaci utilizzati per il trattamento delle malattie infiammatorie intestinali. Deve essere attentamente considerato il rischio potenziale derivante dalla combinazione di azatioprina o 6</w:delText>
        </w:r>
      </w:del>
      <w:del w:id="6757" w:author="AbbVie14" w:date="2025-05-09T10:33:00Z">
        <w:r w:rsidRPr="00295E71">
          <w:rPr>
            <w:color w:val="000000"/>
            <w:sz w:val="22"/>
            <w:szCs w:val="22"/>
          </w:rPr>
          <w:noBreakHyphen/>
          <w:delText>mercaptopurina e Humira.</w:delText>
        </w:r>
      </w:del>
      <w:del w:id="6758" w:author="AbbVie14" w:date="2025-05-09T10:33:00Z">
        <w:r w:rsidR="006E2E3C">
          <w:rPr>
            <w:color w:val="000000"/>
            <w:sz w:val="22"/>
            <w:szCs w:val="22"/>
          </w:rPr>
          <w:delText xml:space="preserve"> </w:delText>
        </w:r>
      </w:del>
      <w:del w:id="6759" w:author="AbbVie14" w:date="2025-05-09T10:33:00Z">
        <w:r w:rsidRPr="00295E71">
          <w:rPr>
            <w:color w:val="000000"/>
            <w:sz w:val="22"/>
            <w:szCs w:val="22"/>
          </w:rPr>
          <w:delText>Nei pazienti trattati con Humira non può essere escluso il rischio di sviluppo del linfoma epatosplenico a cellule T (vedere paragrafo 4.8).</w:delText>
        </w:r>
      </w:del>
    </w:p>
    <w:p w:rsidR="006224C2" w:rsidRPr="00295E71" w14:paraId="339CB0D9" w14:textId="77777777">
      <w:pPr>
        <w:tabs>
          <w:tab w:val="left" w:pos="567"/>
        </w:tabs>
        <w:jc w:val="both"/>
        <w:rPr>
          <w:del w:id="6760" w:author="AbbVie14" w:date="2025-05-09T10:33:00Z"/>
          <w:color w:val="000000"/>
          <w:sz w:val="22"/>
          <w:szCs w:val="22"/>
        </w:rPr>
      </w:pPr>
    </w:p>
    <w:p w:rsidR="006224C2" w:rsidRPr="00295E71" w14:paraId="1D3932A6" w14:textId="77777777">
      <w:pPr>
        <w:tabs>
          <w:tab w:val="left" w:pos="567"/>
        </w:tabs>
        <w:jc w:val="both"/>
        <w:rPr>
          <w:del w:id="6761" w:author="AbbVie14" w:date="2025-05-09T10:33:00Z"/>
          <w:color w:val="000000"/>
          <w:sz w:val="22"/>
          <w:szCs w:val="22"/>
        </w:rPr>
      </w:pPr>
      <w:del w:id="6762" w:author="AbbVie14" w:date="2025-05-09T10:33:00Z">
        <w:r w:rsidRPr="00295E71">
          <w:rPr>
            <w:color w:val="000000"/>
            <w:sz w:val="22"/>
            <w:szCs w:val="22"/>
          </w:rPr>
          <w:delText>Non sono stati condotti studi clinici su pazienti con anamnesi positiva per neoplasie o su pazienti nei quali il trattamento con Humira è continuato dopo lo sviluppo di neoplasia. Pertanto, il trattamento con Humira in questa tipologia di pazienti deve essere considerato con ulteriore cautela (vedere paragrafo 4.8).</w:delText>
        </w:r>
      </w:del>
    </w:p>
    <w:p w:rsidR="006224C2" w:rsidRPr="00295E71" w14:paraId="3658DE86" w14:textId="77777777">
      <w:pPr>
        <w:tabs>
          <w:tab w:val="left" w:pos="567"/>
        </w:tabs>
        <w:jc w:val="both"/>
        <w:rPr>
          <w:del w:id="6763" w:author="AbbVie14" w:date="2025-05-09T10:33:00Z"/>
          <w:color w:val="000000"/>
          <w:sz w:val="22"/>
          <w:szCs w:val="22"/>
        </w:rPr>
      </w:pPr>
    </w:p>
    <w:p w:rsidR="006224C2" w:rsidRPr="00295E71" w14:paraId="0A5D9AD1" w14:textId="77777777">
      <w:pPr>
        <w:tabs>
          <w:tab w:val="left" w:pos="567"/>
        </w:tabs>
        <w:jc w:val="both"/>
        <w:rPr>
          <w:del w:id="6764" w:author="AbbVie14" w:date="2025-05-09T10:33:00Z"/>
          <w:color w:val="000000"/>
          <w:sz w:val="22"/>
          <w:szCs w:val="22"/>
        </w:rPr>
      </w:pPr>
      <w:del w:id="6765" w:author="AbbVie14" w:date="2025-05-09T10:33:00Z">
        <w:r w:rsidRPr="00295E71">
          <w:rPr>
            <w:color w:val="000000"/>
            <w:sz w:val="22"/>
            <w:szCs w:val="22"/>
          </w:rPr>
          <w:delText>Prima e durante il trattamento con Humira, tutti i pazienti, in particolare i soggetti che presentano una storia clinica da cui risultino massicce terapie immunosoppressive o soggetti affetti da psoriasi che presentano storia clinica di trattamento con PUVA, devono essere esaminati per valutare la presenza di un eventuale tumore della pelle non melanotico. Nei pazienti trattati con antagonisti del TNF, incluso adalimumab, sono stati anche riportati melanoma e carcinoma a cellule di Merkel (vedere paragrafo 4.8).</w:delText>
        </w:r>
      </w:del>
    </w:p>
    <w:p w:rsidR="006224C2" w:rsidRPr="00295E71" w14:paraId="4408F920" w14:textId="77777777">
      <w:pPr>
        <w:tabs>
          <w:tab w:val="left" w:pos="567"/>
        </w:tabs>
        <w:jc w:val="both"/>
        <w:rPr>
          <w:del w:id="6766" w:author="AbbVie14" w:date="2025-05-09T10:33:00Z"/>
          <w:color w:val="000000"/>
          <w:sz w:val="22"/>
          <w:szCs w:val="22"/>
        </w:rPr>
      </w:pPr>
    </w:p>
    <w:p w:rsidR="006224C2" w:rsidRPr="00295E71" w14:paraId="274A191E" w14:textId="77777777">
      <w:pPr>
        <w:rPr>
          <w:del w:id="6767" w:author="AbbVie14" w:date="2025-05-09T10:33:00Z"/>
          <w:color w:val="000000"/>
          <w:sz w:val="22"/>
          <w:szCs w:val="22"/>
        </w:rPr>
      </w:pPr>
      <w:del w:id="6768" w:author="AbbVie14" w:date="2025-05-09T10:33:00Z">
        <w:r w:rsidRPr="00295E71">
          <w:rPr>
            <w:color w:val="000000"/>
            <w:sz w:val="22"/>
            <w:szCs w:val="22"/>
          </w:rPr>
          <w:delText>In uno studio clinico esplorativo sulla valutazione dell’uso di un altro agente antagonista del</w:delText>
        </w:r>
      </w:del>
      <w:del w:id="6769" w:author="AbbVie14" w:date="2025-05-09T10:33:00Z">
        <w:r w:rsidR="00D96F2B">
          <w:rPr>
            <w:color w:val="000000"/>
            <w:sz w:val="22"/>
            <w:szCs w:val="22"/>
          </w:rPr>
          <w:delText xml:space="preserve"> </w:delText>
        </w:r>
      </w:del>
      <w:del w:id="6770" w:author="AbbVie14" w:date="2025-05-09T10:33:00Z">
        <w:r w:rsidRPr="00295E71">
          <w:rPr>
            <w:color w:val="000000"/>
            <w:sz w:val="22"/>
            <w:szCs w:val="22"/>
          </w:rPr>
          <w:delText>TNF, infliximab, in pazienti con malattia polmonare cronica ostruttiva (COPD) da moderata a grave, furono riportate, nei pazienti trattati con infliximab rispetto ai pazienti controllo, più neoplasie, soprattutto al polmone o alla testa ed al collo. Tutti i pazienti avevano una storia di grandi fumatori.</w:delText>
        </w:r>
      </w:del>
    </w:p>
    <w:p w:rsidR="006224C2" w:rsidRPr="00295E71" w14:paraId="60B25B3A" w14:textId="77777777">
      <w:pPr>
        <w:tabs>
          <w:tab w:val="left" w:pos="567"/>
        </w:tabs>
        <w:jc w:val="both"/>
        <w:rPr>
          <w:del w:id="6771" w:author="AbbVie14" w:date="2025-05-09T10:33:00Z"/>
          <w:color w:val="000000"/>
          <w:sz w:val="22"/>
          <w:szCs w:val="22"/>
        </w:rPr>
      </w:pPr>
      <w:del w:id="6772" w:author="AbbVie14" w:date="2025-05-09T10:33:00Z">
        <w:r w:rsidRPr="00295E71">
          <w:rPr>
            <w:color w:val="000000"/>
            <w:sz w:val="22"/>
            <w:szCs w:val="22"/>
          </w:rPr>
          <w:delText>Pertanto, deve essere usata cautela quando si utilizza qualsiasi antagonista-TNF in pazienti affetti da COPD, così come in pazienti con aumentato rischio di neoplasia dovut</w:delText>
        </w:r>
      </w:del>
      <w:del w:id="6773" w:author="AbbVie14" w:date="2025-05-09T10:33:00Z">
        <w:r w:rsidR="00D96F2B">
          <w:rPr>
            <w:color w:val="000000"/>
            <w:sz w:val="22"/>
            <w:szCs w:val="22"/>
          </w:rPr>
          <w:delText>o</w:delText>
        </w:r>
      </w:del>
      <w:del w:id="6774" w:author="AbbVie14" w:date="2025-05-09T10:33:00Z">
        <w:r w:rsidRPr="00295E71">
          <w:rPr>
            <w:color w:val="000000"/>
            <w:sz w:val="22"/>
            <w:szCs w:val="22"/>
          </w:rPr>
          <w:delText xml:space="preserve"> al fumo eccessivo.</w:delText>
        </w:r>
      </w:del>
    </w:p>
    <w:p w:rsidR="006224C2" w:rsidRPr="00295E71" w14:paraId="3562BD47" w14:textId="77777777">
      <w:pPr>
        <w:tabs>
          <w:tab w:val="left" w:pos="567"/>
        </w:tabs>
        <w:jc w:val="both"/>
        <w:rPr>
          <w:del w:id="6775" w:author="AbbVie14" w:date="2025-05-09T10:33:00Z"/>
          <w:color w:val="000000"/>
          <w:sz w:val="22"/>
          <w:szCs w:val="22"/>
        </w:rPr>
      </w:pPr>
    </w:p>
    <w:p w:rsidR="006224C2" w:rsidRPr="00295E71" w14:paraId="28041447" w14:textId="77777777">
      <w:pPr>
        <w:tabs>
          <w:tab w:val="left" w:pos="567"/>
        </w:tabs>
        <w:jc w:val="both"/>
        <w:rPr>
          <w:del w:id="6776" w:author="AbbVie14" w:date="2025-05-09T10:33:00Z"/>
          <w:color w:val="000000"/>
          <w:sz w:val="22"/>
          <w:szCs w:val="22"/>
        </w:rPr>
      </w:pPr>
      <w:del w:id="6777" w:author="AbbVie14" w:date="2025-05-09T10:33:00Z">
        <w:r w:rsidRPr="00295E71">
          <w:rPr>
            <w:color w:val="000000"/>
            <w:sz w:val="22"/>
            <w:szCs w:val="22"/>
          </w:rPr>
          <w:delText xml:space="preserve">In base ai dati attuali non è noto se il trattamento con adalimumab influenzi il rischio di sviluppare displasia o cancro del colon. Tutti i pazienti affetti da colite ulcerosa che sono ad aumentato rischio di displasia o carcinoma del colon(per esempio, pazienti affetti da colite ulcerosa da lunga data o da colangite sclerosante primaria), o che hanno avuto una precedente anamnesi di displasia o di carcinoma al colon devono essere sottoposti a screening regolari per displasia </w:delText>
        </w:r>
      </w:del>
      <w:del w:id="6778" w:author="AbbVie14" w:date="2025-05-09T10:33:00Z">
        <w:r w:rsidRPr="00295E71" w:rsidR="00522EA6">
          <w:rPr>
            <w:color w:val="000000"/>
            <w:sz w:val="22"/>
            <w:szCs w:val="22"/>
          </w:rPr>
          <w:delText xml:space="preserve">prima della terapia e </w:delText>
        </w:r>
      </w:del>
      <w:del w:id="6779" w:author="AbbVie14" w:date="2025-05-09T10:33:00Z">
        <w:r w:rsidRPr="00295E71">
          <w:rPr>
            <w:color w:val="000000"/>
            <w:sz w:val="22"/>
            <w:szCs w:val="22"/>
          </w:rPr>
          <w:delText>durante tutto il corso della malattia. Questa valutazione deve includere colonscopie e biopsie in base a</w:delText>
        </w:r>
      </w:del>
      <w:del w:id="6780" w:author="AbbVie14" w:date="2025-05-09T10:33:00Z">
        <w:r w:rsidR="00D96F2B">
          <w:rPr>
            <w:color w:val="000000"/>
            <w:sz w:val="22"/>
            <w:szCs w:val="22"/>
          </w:rPr>
          <w:delText>lle</w:delText>
        </w:r>
      </w:del>
      <w:del w:id="6781" w:author="AbbVie14" w:date="2025-05-09T10:33:00Z">
        <w:r w:rsidRPr="00295E71">
          <w:rPr>
            <w:color w:val="000000"/>
            <w:sz w:val="22"/>
            <w:szCs w:val="22"/>
          </w:rPr>
          <w:delText xml:space="preserve"> raccomandazioni locali. </w:delText>
        </w:r>
      </w:del>
    </w:p>
    <w:p w:rsidR="006224C2" w:rsidRPr="00295E71" w14:paraId="3F8AA635" w14:textId="77777777">
      <w:pPr>
        <w:tabs>
          <w:tab w:val="left" w:pos="567"/>
        </w:tabs>
        <w:jc w:val="both"/>
        <w:rPr>
          <w:del w:id="6782" w:author="AbbVie14" w:date="2025-05-09T10:33:00Z"/>
          <w:color w:val="000000"/>
          <w:sz w:val="22"/>
          <w:szCs w:val="22"/>
          <w:u w:val="single"/>
        </w:rPr>
      </w:pPr>
    </w:p>
    <w:p w:rsidR="006224C2" w:rsidRPr="00295E71" w14:paraId="451724DB" w14:textId="77777777">
      <w:pPr>
        <w:tabs>
          <w:tab w:val="left" w:pos="567"/>
        </w:tabs>
        <w:jc w:val="both"/>
        <w:rPr>
          <w:del w:id="6783" w:author="AbbVie14" w:date="2025-05-09T10:33:00Z"/>
          <w:color w:val="000000"/>
          <w:sz w:val="22"/>
          <w:szCs w:val="22"/>
          <w:u w:val="single"/>
        </w:rPr>
      </w:pPr>
      <w:del w:id="6784" w:author="AbbVie14" w:date="2025-05-09T10:33:00Z">
        <w:r w:rsidRPr="00295E71">
          <w:rPr>
            <w:color w:val="000000"/>
            <w:sz w:val="22"/>
            <w:szCs w:val="22"/>
            <w:u w:val="single"/>
          </w:rPr>
          <w:delText>Reazioni a carico del sistema emopoietico</w:delText>
        </w:r>
      </w:del>
    </w:p>
    <w:p w:rsidR="006224C2" w:rsidRPr="00295E71" w14:paraId="23EDCB17" w14:textId="77777777">
      <w:pPr>
        <w:tabs>
          <w:tab w:val="left" w:pos="567"/>
        </w:tabs>
        <w:jc w:val="both"/>
        <w:rPr>
          <w:del w:id="6785" w:author="AbbVie14" w:date="2025-05-09T10:33:00Z"/>
          <w:color w:val="000000"/>
          <w:sz w:val="22"/>
          <w:szCs w:val="22"/>
          <w:u w:val="single"/>
        </w:rPr>
      </w:pPr>
    </w:p>
    <w:p w:rsidR="006224C2" w:rsidRPr="00295E71" w14:paraId="7494E98C" w14:textId="77777777">
      <w:pPr>
        <w:tabs>
          <w:tab w:val="left" w:pos="567"/>
        </w:tabs>
        <w:jc w:val="both"/>
        <w:rPr>
          <w:del w:id="6786" w:author="AbbVie14" w:date="2025-05-09T10:33:00Z"/>
          <w:color w:val="000000"/>
          <w:sz w:val="22"/>
          <w:szCs w:val="22"/>
        </w:rPr>
      </w:pPr>
      <w:del w:id="6787" w:author="AbbVie14" w:date="2025-05-09T10:33:00Z">
        <w:r w:rsidRPr="00295E71">
          <w:rPr>
            <w:color w:val="000000"/>
            <w:sz w:val="22"/>
            <w:szCs w:val="22"/>
          </w:rPr>
          <w:delText>In seguito all’uso di farmaci anti-TNF, sono stati segnalati rari casi di pancitopenia, tra cui la comparsa di anemia aplastica. Nei pazienti sottoposti a trattamento con Humira, sono stati segnalati eventi avversi a carico del sistema emopoietico, tra cui citopenie significative dal punto di vista medico (per esempio, trombocitopenia, leucopenia). Durante il trattamento con Humira tutti i pazienti devono essere avvisati della necessità di consultare immediatamente un medico per ottenere adeguata assistenza nel caso in cui si manifestino segni e sintomi che suggeriscano la presenza di discrasia ematica (per esempio, febbre persistente, ecchimosi, emorragia, pallore). Nel caso di pazienti che presentino confermate significative alterazioni a carico del sistema emopoietico, si deve prendere in considerazione la necessità di interrompere la terapia a base di Humira.</w:delText>
        </w:r>
      </w:del>
    </w:p>
    <w:p w:rsidR="006224C2" w:rsidRPr="00295E71" w14:paraId="0FD0A8E8" w14:textId="77777777">
      <w:pPr>
        <w:tabs>
          <w:tab w:val="left" w:pos="567"/>
        </w:tabs>
        <w:autoSpaceDE w:val="0"/>
        <w:autoSpaceDN w:val="0"/>
        <w:adjustRightInd w:val="0"/>
        <w:jc w:val="both"/>
        <w:rPr>
          <w:del w:id="6788" w:author="AbbVie14" w:date="2025-05-09T10:33:00Z"/>
          <w:sz w:val="22"/>
          <w:szCs w:val="22"/>
          <w:u w:val="single"/>
        </w:rPr>
      </w:pPr>
    </w:p>
    <w:p w:rsidR="006224C2" w:rsidRPr="00295E71" w14:paraId="52EC884C" w14:textId="77777777">
      <w:pPr>
        <w:tabs>
          <w:tab w:val="left" w:pos="567"/>
        </w:tabs>
        <w:autoSpaceDE w:val="0"/>
        <w:autoSpaceDN w:val="0"/>
        <w:adjustRightInd w:val="0"/>
        <w:jc w:val="both"/>
        <w:rPr>
          <w:del w:id="6789" w:author="AbbVie14" w:date="2025-05-09T10:33:00Z"/>
          <w:sz w:val="22"/>
          <w:szCs w:val="22"/>
          <w:u w:val="single"/>
        </w:rPr>
      </w:pPr>
      <w:del w:id="6790" w:author="AbbVie14" w:date="2025-05-09T10:33:00Z">
        <w:r w:rsidRPr="00295E71">
          <w:rPr>
            <w:sz w:val="22"/>
            <w:szCs w:val="22"/>
            <w:u w:val="single"/>
          </w:rPr>
          <w:delText>Vaccinazioni</w:delText>
        </w:r>
      </w:del>
    </w:p>
    <w:p w:rsidR="006224C2" w:rsidRPr="00295E71" w14:paraId="5735B867" w14:textId="77777777">
      <w:pPr>
        <w:tabs>
          <w:tab w:val="left" w:pos="567"/>
        </w:tabs>
        <w:autoSpaceDE w:val="0"/>
        <w:autoSpaceDN w:val="0"/>
        <w:adjustRightInd w:val="0"/>
        <w:jc w:val="both"/>
        <w:rPr>
          <w:del w:id="6791" w:author="AbbVie14" w:date="2025-05-09T10:33:00Z"/>
          <w:sz w:val="22"/>
          <w:szCs w:val="22"/>
          <w:u w:val="single"/>
        </w:rPr>
      </w:pPr>
    </w:p>
    <w:p w:rsidR="006224C2" w:rsidRPr="00295E71" w14:paraId="42F03DBB" w14:textId="77777777">
      <w:pPr>
        <w:tabs>
          <w:tab w:val="left" w:pos="567"/>
        </w:tabs>
        <w:autoSpaceDE w:val="0"/>
        <w:autoSpaceDN w:val="0"/>
        <w:adjustRightInd w:val="0"/>
        <w:jc w:val="both"/>
        <w:rPr>
          <w:del w:id="6792" w:author="AbbVie14" w:date="2025-05-09T10:33:00Z"/>
          <w:sz w:val="22"/>
          <w:szCs w:val="22"/>
        </w:rPr>
      </w:pPr>
      <w:del w:id="6793" w:author="AbbVie14" w:date="2025-05-09T10:33:00Z">
        <w:r w:rsidRPr="00295E71">
          <w:rPr>
            <w:sz w:val="22"/>
            <w:szCs w:val="22"/>
          </w:rPr>
          <w:delText xml:space="preserve">Risposte anticorpali simili al vaccino standard 23-valente pneumococcico ed al vaccino trivalente per il virus dell’influenza sono state osservate in uno studio condotto su 226 soggetti adulti affetti da artrite reumatoide che sono stati trattati con adalimumab o con placebo. Non ci sono dati disponibili sulla trasmissione secondaria di infezione da vaccini vivi in pazienti che stanno assumendo Humira. </w:delText>
        </w:r>
      </w:del>
    </w:p>
    <w:p w:rsidR="006224C2" w:rsidRPr="00295E71" w14:paraId="157D0182" w14:textId="77777777">
      <w:pPr>
        <w:tabs>
          <w:tab w:val="left" w:pos="567"/>
        </w:tabs>
        <w:autoSpaceDE w:val="0"/>
        <w:autoSpaceDN w:val="0"/>
        <w:adjustRightInd w:val="0"/>
        <w:jc w:val="both"/>
        <w:rPr>
          <w:del w:id="6794" w:author="AbbVie14" w:date="2025-05-09T10:33:00Z"/>
          <w:sz w:val="22"/>
          <w:szCs w:val="22"/>
        </w:rPr>
      </w:pPr>
    </w:p>
    <w:p w:rsidR="006224C2" w:rsidRPr="00295E71" w14:paraId="77AF9225" w14:textId="77777777">
      <w:pPr>
        <w:tabs>
          <w:tab w:val="left" w:pos="567"/>
        </w:tabs>
        <w:autoSpaceDE w:val="0"/>
        <w:autoSpaceDN w:val="0"/>
        <w:adjustRightInd w:val="0"/>
        <w:jc w:val="both"/>
        <w:rPr>
          <w:del w:id="6795" w:author="AbbVie14" w:date="2025-05-09T10:33:00Z"/>
          <w:sz w:val="22"/>
          <w:szCs w:val="22"/>
        </w:rPr>
      </w:pPr>
      <w:del w:id="6796" w:author="AbbVie14" w:date="2025-05-09T10:33:00Z">
        <w:r w:rsidRPr="00295E71">
          <w:rPr>
            <w:sz w:val="22"/>
            <w:szCs w:val="22"/>
          </w:rPr>
          <w:delText>Nei pazienti pediatrici, prima di iniziare la terapia a base di Humira si raccomanda, se possibile, di attuare il programma di vaccinazioni previsto, in ottemperanza alle linee guida in vigore sulle vaccinazioni.</w:delText>
        </w:r>
      </w:del>
    </w:p>
    <w:p w:rsidR="006224C2" w:rsidRPr="00295E71" w14:paraId="25867EF1" w14:textId="77777777">
      <w:pPr>
        <w:tabs>
          <w:tab w:val="left" w:pos="567"/>
        </w:tabs>
        <w:autoSpaceDE w:val="0"/>
        <w:autoSpaceDN w:val="0"/>
        <w:adjustRightInd w:val="0"/>
        <w:jc w:val="both"/>
        <w:rPr>
          <w:del w:id="6797" w:author="AbbVie14" w:date="2025-05-09T10:33:00Z"/>
          <w:sz w:val="22"/>
          <w:szCs w:val="22"/>
        </w:rPr>
      </w:pPr>
    </w:p>
    <w:p w:rsidR="006224C2" w:rsidRPr="00295E71" w14:paraId="33C0B3CD" w14:textId="77777777">
      <w:pPr>
        <w:tabs>
          <w:tab w:val="left" w:pos="567"/>
        </w:tabs>
        <w:autoSpaceDE w:val="0"/>
        <w:autoSpaceDN w:val="0"/>
        <w:adjustRightInd w:val="0"/>
        <w:jc w:val="both"/>
        <w:rPr>
          <w:del w:id="6798" w:author="AbbVie14" w:date="2025-05-09T10:33:00Z"/>
          <w:sz w:val="22"/>
          <w:szCs w:val="22"/>
        </w:rPr>
      </w:pPr>
      <w:del w:id="6799" w:author="AbbVie14" w:date="2025-05-09T10:33:00Z">
        <w:r w:rsidRPr="00295E71">
          <w:rPr>
            <w:sz w:val="22"/>
            <w:szCs w:val="22"/>
          </w:rPr>
          <w:delText>Pazienti trattati con Humira possono ricevere vaccinazioni simultanee, ad eccezione dei vaccini vivi.</w:delText>
        </w:r>
      </w:del>
    </w:p>
    <w:p w:rsidR="006224C2" w:rsidRPr="00295E71" w14:paraId="02BE878F" w14:textId="77777777">
      <w:pPr>
        <w:tabs>
          <w:tab w:val="left" w:pos="567"/>
        </w:tabs>
        <w:autoSpaceDE w:val="0"/>
        <w:autoSpaceDN w:val="0"/>
        <w:adjustRightInd w:val="0"/>
        <w:jc w:val="both"/>
        <w:rPr>
          <w:del w:id="6800" w:author="AbbVie14" w:date="2025-05-09T10:33:00Z"/>
          <w:sz w:val="22"/>
          <w:szCs w:val="22"/>
        </w:rPr>
      </w:pPr>
      <w:del w:id="6801" w:author="AbbVie14" w:date="2025-05-09T10:33:00Z">
        <w:r w:rsidRPr="00295E71">
          <w:rPr>
            <w:sz w:val="22"/>
            <w:szCs w:val="22"/>
          </w:rPr>
          <w:delText xml:space="preserve">La somministrazione di vaccini vivi </w:delText>
        </w:r>
      </w:del>
      <w:del w:id="6802" w:author="AbbVie14" w:date="2025-05-09T10:33:00Z">
        <w:r w:rsidR="00284FF4">
          <w:rPr>
            <w:sz w:val="22"/>
            <w:szCs w:val="22"/>
          </w:rPr>
          <w:delText xml:space="preserve">(ad es. vaccino BCG) </w:delText>
        </w:r>
      </w:del>
      <w:del w:id="6803" w:author="AbbVie14" w:date="2025-05-09T10:33:00Z">
        <w:r w:rsidRPr="00295E71">
          <w:rPr>
            <w:sz w:val="22"/>
            <w:szCs w:val="22"/>
          </w:rPr>
          <w:delText xml:space="preserve">a bambini esposti ad adalimumab nell’utero non è raccomandata </w:delText>
        </w:r>
      </w:del>
      <w:del w:id="6804" w:author="AbbVie14" w:date="2025-05-09T10:33:00Z">
        <w:r w:rsidR="008C57BD">
          <w:rPr>
            <w:sz w:val="22"/>
            <w:szCs w:val="22"/>
          </w:rPr>
          <w:delText>fino a</w:delText>
        </w:r>
      </w:del>
      <w:del w:id="6805" w:author="AbbVie14" w:date="2025-05-09T10:33:00Z">
        <w:r w:rsidRPr="00295E71" w:rsidR="008C57BD">
          <w:rPr>
            <w:sz w:val="22"/>
            <w:szCs w:val="22"/>
          </w:rPr>
          <w:delText xml:space="preserve"> </w:delText>
        </w:r>
      </w:del>
      <w:del w:id="6806" w:author="AbbVie14" w:date="2025-05-09T10:33:00Z">
        <w:r w:rsidRPr="00295E71">
          <w:rPr>
            <w:sz w:val="22"/>
            <w:szCs w:val="22"/>
          </w:rPr>
          <w:delText>5 mesi dall’ultima somministrazione di adalimumab alla madre durante la gravidanza.</w:delText>
        </w:r>
      </w:del>
    </w:p>
    <w:p w:rsidR="006224C2" w:rsidRPr="00295E71" w14:paraId="62632262" w14:textId="77777777">
      <w:pPr>
        <w:tabs>
          <w:tab w:val="left" w:pos="567"/>
        </w:tabs>
        <w:autoSpaceDE w:val="0"/>
        <w:autoSpaceDN w:val="0"/>
        <w:adjustRightInd w:val="0"/>
        <w:jc w:val="both"/>
        <w:rPr>
          <w:del w:id="6807" w:author="AbbVie14" w:date="2025-05-09T10:33:00Z"/>
          <w:sz w:val="22"/>
          <w:szCs w:val="22"/>
        </w:rPr>
      </w:pPr>
    </w:p>
    <w:p w:rsidR="006224C2" w:rsidRPr="00295E71" w14:paraId="102AF49B" w14:textId="77777777">
      <w:pPr>
        <w:tabs>
          <w:tab w:val="left" w:pos="567"/>
        </w:tabs>
        <w:autoSpaceDE w:val="0"/>
        <w:autoSpaceDN w:val="0"/>
        <w:adjustRightInd w:val="0"/>
        <w:spacing w:line="240" w:lineRule="atLeast"/>
        <w:jc w:val="both"/>
        <w:rPr>
          <w:del w:id="6808" w:author="AbbVie14" w:date="2025-05-09T10:33:00Z"/>
          <w:sz w:val="22"/>
          <w:szCs w:val="22"/>
          <w:u w:val="single"/>
        </w:rPr>
      </w:pPr>
      <w:del w:id="6809" w:author="AbbVie14" w:date="2025-05-09T10:33:00Z">
        <w:r w:rsidRPr="00295E71">
          <w:rPr>
            <w:sz w:val="22"/>
            <w:szCs w:val="22"/>
            <w:u w:val="single"/>
          </w:rPr>
          <w:delText>Insufficienza cardiaca congestizia</w:delText>
        </w:r>
      </w:del>
    </w:p>
    <w:p w:rsidR="006224C2" w:rsidRPr="00295E71" w14:paraId="5AF6911C" w14:textId="77777777">
      <w:pPr>
        <w:tabs>
          <w:tab w:val="left" w:pos="567"/>
        </w:tabs>
        <w:autoSpaceDE w:val="0"/>
        <w:autoSpaceDN w:val="0"/>
        <w:adjustRightInd w:val="0"/>
        <w:spacing w:line="240" w:lineRule="atLeast"/>
        <w:jc w:val="both"/>
        <w:rPr>
          <w:del w:id="6810" w:author="AbbVie14" w:date="2025-05-09T10:33:00Z"/>
          <w:color w:val="000000"/>
          <w:sz w:val="22"/>
          <w:szCs w:val="22"/>
          <w:u w:val="single"/>
        </w:rPr>
      </w:pPr>
    </w:p>
    <w:p w:rsidR="006224C2" w:rsidRPr="00295E71" w14:paraId="4029BEDB" w14:textId="77777777">
      <w:pPr>
        <w:tabs>
          <w:tab w:val="left" w:pos="567"/>
        </w:tabs>
        <w:autoSpaceDE w:val="0"/>
        <w:autoSpaceDN w:val="0"/>
        <w:adjustRightInd w:val="0"/>
        <w:spacing w:line="240" w:lineRule="atLeast"/>
        <w:jc w:val="both"/>
        <w:rPr>
          <w:del w:id="6811" w:author="AbbVie14" w:date="2025-05-09T10:33:00Z"/>
          <w:color w:val="000000"/>
          <w:sz w:val="22"/>
          <w:szCs w:val="22"/>
        </w:rPr>
      </w:pPr>
      <w:del w:id="6812" w:author="AbbVie14" w:date="2025-05-09T10:33:00Z">
        <w:r w:rsidRPr="00295E71">
          <w:rPr>
            <w:color w:val="000000"/>
            <w:sz w:val="22"/>
            <w:szCs w:val="22"/>
          </w:rPr>
          <w:delText>In uno</w:delText>
        </w:r>
      </w:del>
      <w:del w:id="6813" w:author="AbbVie14" w:date="2025-05-09T10:33:00Z">
        <w:r w:rsidRPr="00295E71" w:rsidR="009E3292">
          <w:rPr>
            <w:color w:val="000000"/>
            <w:sz w:val="22"/>
            <w:szCs w:val="22"/>
          </w:rPr>
          <w:delText xml:space="preserve"> </w:delText>
        </w:r>
      </w:del>
      <w:del w:id="6814" w:author="AbbVie14" w:date="2025-05-09T10:33:00Z">
        <w:r w:rsidRPr="00295E71">
          <w:rPr>
            <w:color w:val="000000"/>
            <w:sz w:val="22"/>
            <w:szCs w:val="22"/>
          </w:rPr>
          <w:delText>studio clinico con un altro farmaco anti-TNF sono stati osservati il peggioramento dell’insufficienza cardiaca congestizia e l’aumento di mortalità ad essa correlata. Anche in pazienti trattati con Humira sono stati osservati casi di peggioramento di insufficienza cardiaca congestizia. Humira deve essere usato con cautela in pazienti con lieve insufficienza cardiaca (classe I/II NYHA). Humira è controindicato nell’insufficienza cardiaca moderata o severa (vedere paragrafo 4.3). Il trattamento con Humira deve essere interrotto nei pazienti che presentino peggioramento o insorgenza di nuovi sintomi dell’insufficienza cardiaca congestizia.</w:delText>
        </w:r>
      </w:del>
    </w:p>
    <w:p w:rsidR="006224C2" w:rsidRPr="00295E71" w14:paraId="1C8BAFAD" w14:textId="77777777">
      <w:pPr>
        <w:tabs>
          <w:tab w:val="left" w:pos="567"/>
        </w:tabs>
        <w:jc w:val="both"/>
        <w:rPr>
          <w:del w:id="6815" w:author="AbbVie14" w:date="2025-05-09T10:33:00Z"/>
          <w:sz w:val="22"/>
          <w:szCs w:val="22"/>
          <w:u w:val="single"/>
        </w:rPr>
      </w:pPr>
    </w:p>
    <w:p w:rsidR="006224C2" w:rsidRPr="00295E71" w14:paraId="35DF4AB4" w14:textId="77777777">
      <w:pPr>
        <w:tabs>
          <w:tab w:val="left" w:pos="567"/>
        </w:tabs>
        <w:jc w:val="both"/>
        <w:rPr>
          <w:del w:id="6816" w:author="AbbVie14" w:date="2025-05-09T10:33:00Z"/>
          <w:sz w:val="22"/>
          <w:szCs w:val="22"/>
          <w:u w:val="single"/>
        </w:rPr>
      </w:pPr>
      <w:del w:id="6817" w:author="AbbVie14" w:date="2025-05-09T10:33:00Z">
        <w:r w:rsidRPr="00295E71">
          <w:rPr>
            <w:sz w:val="22"/>
            <w:szCs w:val="22"/>
            <w:u w:val="single"/>
          </w:rPr>
          <w:delText>Processi autoimmuni</w:delText>
        </w:r>
      </w:del>
    </w:p>
    <w:p w:rsidR="006224C2" w:rsidRPr="00295E71" w14:paraId="5241A079" w14:textId="77777777">
      <w:pPr>
        <w:tabs>
          <w:tab w:val="left" w:pos="567"/>
        </w:tabs>
        <w:jc w:val="both"/>
        <w:rPr>
          <w:del w:id="6818" w:author="AbbVie14" w:date="2025-05-09T10:33:00Z"/>
          <w:sz w:val="22"/>
          <w:szCs w:val="22"/>
          <w:u w:val="single"/>
        </w:rPr>
      </w:pPr>
    </w:p>
    <w:p w:rsidR="006224C2" w:rsidRPr="00295E71" w14:paraId="3AB62DEE" w14:textId="77777777">
      <w:pPr>
        <w:pStyle w:val="BodyText"/>
        <w:tabs>
          <w:tab w:val="left" w:pos="567"/>
        </w:tabs>
        <w:rPr>
          <w:del w:id="6819" w:author="AbbVie14" w:date="2025-05-09T10:33:00Z"/>
          <w:lang w:eastAsia="en-US"/>
        </w:rPr>
      </w:pPr>
      <w:del w:id="6820" w:author="AbbVie14" w:date="2025-05-09T10:33:00Z">
        <w:r w:rsidRPr="00295E71">
          <w:rPr>
            <w:lang w:eastAsia="en-US"/>
          </w:rPr>
          <w:delText xml:space="preserve">Il trattamento con Humira può indurre la formazione di anticorpi autoimmuni. Non è noto l’impatto del trattamento a lungo termine con Humira sullo sviluppo di malattie autoimmuni. </w:delText>
        </w:r>
      </w:del>
    </w:p>
    <w:p w:rsidR="006224C2" w:rsidRPr="00295E71" w14:paraId="7A0CD37B" w14:textId="77777777">
      <w:pPr>
        <w:pStyle w:val="BodyText"/>
        <w:tabs>
          <w:tab w:val="left" w:pos="567"/>
        </w:tabs>
        <w:rPr>
          <w:del w:id="6821" w:author="AbbVie14" w:date="2025-05-09T10:33:00Z"/>
          <w:lang w:eastAsia="en-US"/>
        </w:rPr>
      </w:pPr>
      <w:del w:id="6822" w:author="AbbVie14" w:date="2025-05-09T10:33:00Z">
        <w:r w:rsidRPr="00295E71">
          <w:rPr>
            <w:lang w:eastAsia="en-US"/>
          </w:rPr>
          <w:delText>Se un paziente sviluppa sintomi indicativi di sindrome lupus-like a seguito di trattamento con Humira e risulta positivo per gli anticorpi contro il DNA a doppia catena, non deve essere somministrato un ulteriore trattamento con Humira (vedere paragrafo 4.8).</w:delText>
        </w:r>
      </w:del>
    </w:p>
    <w:p w:rsidR="006224C2" w:rsidRPr="00295E71" w14:paraId="591A1596" w14:textId="77777777">
      <w:pPr>
        <w:tabs>
          <w:tab w:val="left" w:pos="567"/>
        </w:tabs>
        <w:jc w:val="both"/>
        <w:rPr>
          <w:del w:id="6823" w:author="AbbVie14" w:date="2025-05-09T10:33:00Z"/>
          <w:sz w:val="22"/>
          <w:szCs w:val="22"/>
        </w:rPr>
      </w:pPr>
    </w:p>
    <w:p w:rsidR="006224C2" w:rsidRPr="00295E71" w14:paraId="58BAF7BA" w14:textId="77777777">
      <w:pPr>
        <w:pStyle w:val="Heading3"/>
        <w:keepNext w:val="0"/>
        <w:tabs>
          <w:tab w:val="left" w:pos="567"/>
        </w:tabs>
        <w:rPr>
          <w:del w:id="6824" w:author="AbbVie14" w:date="2025-05-09T10:33:00Z"/>
        </w:rPr>
      </w:pPr>
      <w:del w:id="6825" w:author="AbbVie14" w:date="2025-05-09T10:33:00Z">
        <w:r w:rsidRPr="00295E71">
          <w:delText xml:space="preserve">Somministrazione concomitante di DMARD biologici o antagonisti del TNF </w:delText>
        </w:r>
      </w:del>
    </w:p>
    <w:p w:rsidR="006224C2" w:rsidRPr="00295E71" w14:paraId="17BE8B6A" w14:textId="77777777">
      <w:pPr>
        <w:tabs>
          <w:tab w:val="left" w:pos="567"/>
        </w:tabs>
        <w:jc w:val="both"/>
        <w:rPr>
          <w:del w:id="6826" w:author="AbbVie14" w:date="2025-05-09T10:33:00Z"/>
          <w:sz w:val="22"/>
          <w:szCs w:val="22"/>
        </w:rPr>
      </w:pPr>
    </w:p>
    <w:p w:rsidR="006224C2" w:rsidRPr="00295E71" w14:paraId="03F72A1E" w14:textId="77777777">
      <w:pPr>
        <w:tabs>
          <w:tab w:val="left" w:pos="567"/>
        </w:tabs>
        <w:jc w:val="both"/>
        <w:rPr>
          <w:del w:id="6827" w:author="AbbVie14" w:date="2025-05-09T10:33:00Z"/>
          <w:sz w:val="22"/>
          <w:szCs w:val="22"/>
        </w:rPr>
      </w:pPr>
      <w:del w:id="6828" w:author="AbbVie14" w:date="2025-05-09T10:33:00Z">
        <w:r w:rsidRPr="00295E71">
          <w:rPr>
            <w:sz w:val="22"/>
            <w:szCs w:val="22"/>
          </w:rPr>
          <w:delText>Nel corso di studi clinici condotti sulla terapia combinata con anakinra ed un altro farmaco anti-TNF, etanercept, sono state osservate infezioni gravi senza alcun beneficio clinico rispetto ad etanercept in monoterapia. Considerata la tipologia degli eventi avversi osservati con la combinazione di anakinra ed etanercept, potrebbero manifestarsi effetti indesiderati simili in seguito alla combinazione di anakinra ed un altro farmaco anti-TNF. Pertanto, la combinazione di adalimumab con anakinra non è raccomandata (vedere paragrafo 4.5).</w:delText>
        </w:r>
      </w:del>
    </w:p>
    <w:p w:rsidR="006224C2" w:rsidRPr="00295E71" w14:paraId="3C1774C0" w14:textId="77777777">
      <w:pPr>
        <w:tabs>
          <w:tab w:val="left" w:pos="567"/>
        </w:tabs>
        <w:jc w:val="both"/>
        <w:rPr>
          <w:del w:id="6829" w:author="AbbVie14" w:date="2025-05-09T10:33:00Z"/>
          <w:sz w:val="22"/>
          <w:szCs w:val="22"/>
        </w:rPr>
      </w:pPr>
    </w:p>
    <w:p w:rsidR="006224C2" w:rsidRPr="00295E71" w14:paraId="6AE6B7E6" w14:textId="77777777">
      <w:pPr>
        <w:tabs>
          <w:tab w:val="left" w:pos="567"/>
        </w:tabs>
        <w:jc w:val="both"/>
        <w:rPr>
          <w:del w:id="6830" w:author="AbbVie14" w:date="2025-05-09T10:33:00Z"/>
          <w:sz w:val="22"/>
          <w:szCs w:val="22"/>
        </w:rPr>
      </w:pPr>
      <w:del w:id="6831" w:author="AbbVie14" w:date="2025-05-09T10:33:00Z">
        <w:r w:rsidRPr="00295E71">
          <w:rPr>
            <w:sz w:val="22"/>
            <w:szCs w:val="22"/>
          </w:rPr>
          <w:delText>La somministrazione concomitante di adalimumab con altri DMARD biologici (per es. anakinra e abatacept) o altri antagonisti del TNF non è raccomandata sulla base di un possibile aumento del rischio di infezioni, incluse infezioni gravi e altre potenziali interazioni farmacologiche (vedere paragrafo 4.5).</w:delText>
        </w:r>
      </w:del>
    </w:p>
    <w:p w:rsidR="006224C2" w:rsidRPr="00295E71" w14:paraId="3029DDB4" w14:textId="77777777">
      <w:pPr>
        <w:tabs>
          <w:tab w:val="left" w:pos="567"/>
        </w:tabs>
        <w:jc w:val="both"/>
        <w:rPr>
          <w:del w:id="6832" w:author="AbbVie14" w:date="2025-05-09T10:33:00Z"/>
          <w:sz w:val="22"/>
          <w:szCs w:val="22"/>
        </w:rPr>
      </w:pPr>
    </w:p>
    <w:p w:rsidR="006224C2" w:rsidRPr="00295E71" w14:paraId="512B12A3" w14:textId="77777777">
      <w:pPr>
        <w:rPr>
          <w:del w:id="6833" w:author="AbbVie14" w:date="2025-05-09T10:33:00Z"/>
          <w:sz w:val="22"/>
          <w:szCs w:val="22"/>
          <w:u w:val="single"/>
        </w:rPr>
      </w:pPr>
      <w:del w:id="6834" w:author="AbbVie14" w:date="2025-05-09T10:33:00Z">
        <w:r w:rsidRPr="00295E71">
          <w:rPr>
            <w:sz w:val="22"/>
            <w:szCs w:val="22"/>
            <w:u w:val="single"/>
          </w:rPr>
          <w:delText>Interventi chirurgici</w:delText>
        </w:r>
      </w:del>
    </w:p>
    <w:p w:rsidR="006224C2" w:rsidRPr="00295E71" w14:paraId="7C76E5A8" w14:textId="77777777">
      <w:pPr>
        <w:tabs>
          <w:tab w:val="left" w:pos="567"/>
        </w:tabs>
        <w:jc w:val="both"/>
        <w:rPr>
          <w:del w:id="6835" w:author="AbbVie14" w:date="2025-05-09T10:33:00Z"/>
          <w:sz w:val="22"/>
          <w:szCs w:val="22"/>
        </w:rPr>
      </w:pPr>
    </w:p>
    <w:p w:rsidR="006224C2" w:rsidRPr="00295E71" w14:paraId="78555431" w14:textId="77777777">
      <w:pPr>
        <w:tabs>
          <w:tab w:val="left" w:pos="567"/>
        </w:tabs>
        <w:jc w:val="both"/>
        <w:rPr>
          <w:del w:id="6836" w:author="AbbVie14" w:date="2025-05-09T10:33:00Z"/>
          <w:sz w:val="22"/>
          <w:szCs w:val="22"/>
        </w:rPr>
      </w:pPr>
      <w:del w:id="6837" w:author="AbbVie14" w:date="2025-05-09T10:33:00Z">
        <w:r w:rsidRPr="00295E71">
          <w:rPr>
            <w:sz w:val="22"/>
            <w:szCs w:val="22"/>
          </w:rPr>
          <w:delText>Nei pazienti trattati con Humira c’è un’esperienza limitata, relativa alla sicurezza di procedure chirurgiche. Nel caso in cui si pianifichi un intervento chirurgico si deve considerare la lunga emivita di adalimumab. Un paziente che dovesse essere sottoposto ad intervento chirurgico, durante il trattamento con Humira, deve essere attentamente seguito per lo sviluppo di infezioni, nel qual caso andrebbero intraprese opportune azioni. C’è un’esperienza limitata per quanto riguarda la sicurezza in pazienti sottoposti ad interventi di artroplastica in corso di trattamento con Humira.</w:delText>
        </w:r>
      </w:del>
    </w:p>
    <w:p w:rsidR="006224C2" w:rsidRPr="00295E71" w14:paraId="7C8BC6DF" w14:textId="77777777">
      <w:pPr>
        <w:rPr>
          <w:del w:id="6838" w:author="AbbVie14" w:date="2025-05-09T10:33:00Z"/>
          <w:sz w:val="22"/>
          <w:szCs w:val="22"/>
          <w:u w:val="single"/>
        </w:rPr>
      </w:pPr>
    </w:p>
    <w:p w:rsidR="006224C2" w:rsidRPr="00295E71" w14:paraId="19594895" w14:textId="77777777">
      <w:pPr>
        <w:tabs>
          <w:tab w:val="left" w:pos="567"/>
        </w:tabs>
        <w:jc w:val="both"/>
        <w:rPr>
          <w:del w:id="6839" w:author="AbbVie14" w:date="2025-05-09T10:33:00Z"/>
          <w:sz w:val="22"/>
          <w:szCs w:val="22"/>
          <w:u w:val="single"/>
        </w:rPr>
      </w:pPr>
      <w:del w:id="6840" w:author="AbbVie14" w:date="2025-05-09T10:33:00Z">
        <w:r w:rsidRPr="00295E71">
          <w:rPr>
            <w:sz w:val="22"/>
            <w:szCs w:val="22"/>
            <w:u w:val="single"/>
          </w:rPr>
          <w:delText>Ostruzione dell’intestino tenue</w:delText>
        </w:r>
      </w:del>
    </w:p>
    <w:p w:rsidR="006224C2" w:rsidRPr="00295E71" w14:paraId="11424171" w14:textId="77777777">
      <w:pPr>
        <w:tabs>
          <w:tab w:val="left" w:pos="567"/>
        </w:tabs>
        <w:jc w:val="both"/>
        <w:rPr>
          <w:del w:id="6841" w:author="AbbVie14" w:date="2025-05-09T10:33:00Z"/>
          <w:sz w:val="22"/>
          <w:szCs w:val="22"/>
          <w:u w:val="single"/>
        </w:rPr>
      </w:pPr>
    </w:p>
    <w:p w:rsidR="006224C2" w:rsidRPr="00295E71" w14:paraId="35D54034" w14:textId="77777777">
      <w:pPr>
        <w:tabs>
          <w:tab w:val="left" w:pos="567"/>
        </w:tabs>
        <w:jc w:val="both"/>
        <w:rPr>
          <w:del w:id="6842" w:author="AbbVie14" w:date="2025-05-09T10:33:00Z"/>
          <w:sz w:val="22"/>
          <w:szCs w:val="22"/>
        </w:rPr>
      </w:pPr>
      <w:del w:id="6843" w:author="AbbVie14" w:date="2025-05-09T10:33:00Z">
        <w:r w:rsidRPr="00295E71">
          <w:rPr>
            <w:sz w:val="22"/>
            <w:szCs w:val="22"/>
          </w:rPr>
          <w:delText>La mancata risposta al trattamento per la malattia di Crohn può indicare la presenza di stenosi rigida fibrotica che può richiedere un intervento chirurgico. I dati disponibili suggeriscono che Humira non peggiora o causa stenosi.</w:delText>
        </w:r>
      </w:del>
    </w:p>
    <w:p w:rsidR="006224C2" w:rsidRPr="00295E71" w14:paraId="510CCE8D" w14:textId="77777777">
      <w:pPr>
        <w:tabs>
          <w:tab w:val="left" w:pos="567"/>
        </w:tabs>
        <w:jc w:val="both"/>
        <w:rPr>
          <w:del w:id="6844" w:author="AbbVie14" w:date="2025-05-09T10:33:00Z"/>
          <w:sz w:val="22"/>
          <w:szCs w:val="22"/>
        </w:rPr>
      </w:pPr>
    </w:p>
    <w:p w:rsidR="006224C2" w:rsidRPr="00295E71" w14:paraId="735CD1E2" w14:textId="77777777">
      <w:pPr>
        <w:keepNext/>
        <w:tabs>
          <w:tab w:val="left" w:pos="567"/>
        </w:tabs>
        <w:jc w:val="both"/>
        <w:rPr>
          <w:del w:id="6845" w:author="AbbVie14" w:date="2025-05-09T10:33:00Z"/>
          <w:sz w:val="22"/>
          <w:szCs w:val="22"/>
          <w:u w:val="single"/>
        </w:rPr>
      </w:pPr>
      <w:del w:id="6846" w:author="AbbVie14" w:date="2025-05-09T10:33:00Z">
        <w:r w:rsidRPr="00295E71">
          <w:rPr>
            <w:sz w:val="22"/>
            <w:szCs w:val="22"/>
            <w:u w:val="single"/>
          </w:rPr>
          <w:delText>Anziani</w:delText>
        </w:r>
      </w:del>
    </w:p>
    <w:p w:rsidR="006224C2" w:rsidRPr="00295E71" w14:paraId="4AECC310" w14:textId="77777777">
      <w:pPr>
        <w:keepNext/>
        <w:tabs>
          <w:tab w:val="left" w:pos="567"/>
        </w:tabs>
        <w:jc w:val="both"/>
        <w:rPr>
          <w:del w:id="6847" w:author="AbbVie14" w:date="2025-05-09T10:33:00Z"/>
          <w:sz w:val="22"/>
          <w:szCs w:val="22"/>
          <w:u w:val="single"/>
        </w:rPr>
      </w:pPr>
    </w:p>
    <w:p w:rsidR="006224C2" w:rsidRPr="00295E71" w14:paraId="78040F4E" w14:textId="77777777">
      <w:pPr>
        <w:keepNext/>
        <w:tabs>
          <w:tab w:val="left" w:pos="567"/>
        </w:tabs>
        <w:jc w:val="both"/>
        <w:rPr>
          <w:del w:id="6848" w:author="AbbVie14" w:date="2025-05-09T10:33:00Z"/>
          <w:sz w:val="22"/>
          <w:szCs w:val="22"/>
        </w:rPr>
      </w:pPr>
      <w:del w:id="6849" w:author="AbbVie14" w:date="2025-05-09T10:33:00Z">
        <w:r w:rsidRPr="00295E71">
          <w:rPr>
            <w:sz w:val="22"/>
            <w:szCs w:val="22"/>
          </w:rPr>
          <w:delText>La frequenza di infezioni gravi tra i pazienti di età superiore ai 65 anni (3,7%) trattati con Humira è stata superiore rispetto a quelli di età inferiore ai 65 anni (1,5%). Alcuni di questi hanno avuto un esito fatale. Particolare attenzione per quanto riguarda il rischio di infezione deve essere prestata nel trattamento dei pazienti anziani.</w:delText>
        </w:r>
      </w:del>
    </w:p>
    <w:p w:rsidR="006224C2" w:rsidRPr="00295E71" w14:paraId="4ECC2303" w14:textId="77777777">
      <w:pPr>
        <w:tabs>
          <w:tab w:val="left" w:pos="567"/>
        </w:tabs>
        <w:jc w:val="both"/>
        <w:rPr>
          <w:del w:id="6850" w:author="AbbVie14" w:date="2025-05-09T10:33:00Z"/>
          <w:sz w:val="22"/>
          <w:szCs w:val="22"/>
        </w:rPr>
      </w:pPr>
    </w:p>
    <w:p w:rsidR="006224C2" w:rsidRPr="00295E71" w14:paraId="086817B7" w14:textId="77777777">
      <w:pPr>
        <w:tabs>
          <w:tab w:val="left" w:pos="567"/>
        </w:tabs>
        <w:jc w:val="both"/>
        <w:rPr>
          <w:del w:id="6851" w:author="AbbVie14" w:date="2025-05-09T10:33:00Z"/>
          <w:sz w:val="22"/>
          <w:szCs w:val="22"/>
          <w:u w:val="single"/>
        </w:rPr>
      </w:pPr>
      <w:del w:id="6852" w:author="AbbVie14" w:date="2025-05-09T10:33:00Z">
        <w:r w:rsidRPr="00295E71">
          <w:rPr>
            <w:sz w:val="22"/>
            <w:szCs w:val="22"/>
            <w:u w:val="single"/>
          </w:rPr>
          <w:delText>Popolazione pediatrica</w:delText>
        </w:r>
      </w:del>
    </w:p>
    <w:p w:rsidR="006224C2" w:rsidRPr="00295E71" w14:paraId="1C6270FE" w14:textId="77777777">
      <w:pPr>
        <w:tabs>
          <w:tab w:val="left" w:pos="567"/>
        </w:tabs>
        <w:jc w:val="both"/>
        <w:rPr>
          <w:del w:id="6853" w:author="AbbVie14" w:date="2025-05-09T10:33:00Z"/>
          <w:sz w:val="22"/>
          <w:szCs w:val="22"/>
        </w:rPr>
      </w:pPr>
    </w:p>
    <w:p w:rsidR="006224C2" w:rsidRPr="00295E71" w14:paraId="07958BE1" w14:textId="77777777">
      <w:pPr>
        <w:tabs>
          <w:tab w:val="left" w:pos="567"/>
        </w:tabs>
        <w:jc w:val="both"/>
        <w:rPr>
          <w:del w:id="6854" w:author="AbbVie14" w:date="2025-05-09T10:33:00Z"/>
          <w:sz w:val="22"/>
          <w:szCs w:val="22"/>
        </w:rPr>
      </w:pPr>
      <w:del w:id="6855" w:author="AbbVie14" w:date="2025-05-09T10:33:00Z">
        <w:r w:rsidRPr="00295E71">
          <w:rPr>
            <w:sz w:val="22"/>
            <w:szCs w:val="22"/>
          </w:rPr>
          <w:delText>Vedere Vaccinazioni sopra.</w:delText>
        </w:r>
      </w:del>
    </w:p>
    <w:p w:rsidR="00224A12" w:rsidRPr="00295E71" w:rsidP="00224A12" w14:paraId="0F23F4C8" w14:textId="77777777">
      <w:pPr>
        <w:pStyle w:val="EMEANormal"/>
        <w:jc w:val="both"/>
        <w:rPr>
          <w:del w:id="6856" w:author="AbbVie14" w:date="2025-05-09T10:33:00Z"/>
          <w:u w:val="single"/>
          <w:lang w:val="it-IT"/>
        </w:rPr>
      </w:pPr>
    </w:p>
    <w:p w:rsidR="00224A12" w:rsidRPr="00295E71" w:rsidP="00224A12" w14:paraId="71725F6A" w14:textId="77777777">
      <w:pPr>
        <w:pStyle w:val="EMEANormal"/>
        <w:jc w:val="both"/>
        <w:rPr>
          <w:del w:id="6857" w:author="AbbVie14" w:date="2025-05-09T10:33:00Z"/>
          <w:u w:val="single"/>
          <w:lang w:val="it-IT"/>
        </w:rPr>
      </w:pPr>
      <w:del w:id="6858" w:author="AbbVie14" w:date="2025-05-09T10:33:00Z">
        <w:r w:rsidRPr="00295E71">
          <w:rPr>
            <w:u w:val="single"/>
            <w:lang w:val="it-IT"/>
          </w:rPr>
          <w:delText>Eccipienti</w:delText>
        </w:r>
      </w:del>
      <w:del w:id="6859" w:author="AbbVie14" w:date="2025-05-09T10:33:00Z">
        <w:r w:rsidRPr="00295E71" w:rsidR="006D3828">
          <w:rPr>
            <w:u w:val="single"/>
            <w:lang w:val="it-IT"/>
          </w:rPr>
          <w:delText xml:space="preserve"> con effetti noti</w:delText>
        </w:r>
      </w:del>
    </w:p>
    <w:p w:rsidR="00224A12" w:rsidRPr="00295E71" w:rsidP="00224A12" w14:paraId="4BC35FA4" w14:textId="77777777">
      <w:pPr>
        <w:pStyle w:val="EMEANormal"/>
        <w:jc w:val="both"/>
        <w:rPr>
          <w:del w:id="6860" w:author="AbbVie14" w:date="2025-05-09T10:33:00Z"/>
          <w:u w:val="single"/>
          <w:lang w:val="it-IT"/>
        </w:rPr>
      </w:pPr>
    </w:p>
    <w:p w:rsidR="00224A12" w:rsidRPr="00295E71" w:rsidP="00224A12" w14:paraId="2138F36B" w14:textId="77777777">
      <w:pPr>
        <w:pStyle w:val="EMEANormal"/>
        <w:jc w:val="both"/>
        <w:rPr>
          <w:del w:id="6861" w:author="AbbVie14" w:date="2025-05-09T10:33:00Z"/>
          <w:lang w:val="it-IT"/>
        </w:rPr>
      </w:pPr>
      <w:del w:id="6862" w:author="AbbVie14" w:date="2025-05-09T10:33:00Z">
        <w:r w:rsidRPr="00295E71">
          <w:rPr>
            <w:lang w:val="it-IT"/>
          </w:rPr>
          <w:delText xml:space="preserve">Questo medicinale contiene meno di 1 mmol </w:delText>
        </w:r>
      </w:del>
      <w:del w:id="6863" w:author="AbbVie14" w:date="2025-05-09T10:33:00Z">
        <w:r w:rsidRPr="00295E71" w:rsidR="00D96F2B">
          <w:rPr>
            <w:lang w:val="it-IT"/>
          </w:rPr>
          <w:delText xml:space="preserve">(23 mg) </w:delText>
        </w:r>
      </w:del>
      <w:del w:id="6864" w:author="AbbVie14" w:date="2025-05-09T10:33:00Z">
        <w:r w:rsidRPr="00295E71">
          <w:rPr>
            <w:lang w:val="it-IT"/>
          </w:rPr>
          <w:delText xml:space="preserve">di sodio per </w:delText>
        </w:r>
      </w:del>
      <w:del w:id="6865" w:author="AbbVie14" w:date="2025-05-09T10:33:00Z">
        <w:r w:rsidR="00D96F2B">
          <w:rPr>
            <w:lang w:val="it-IT"/>
          </w:rPr>
          <w:delText xml:space="preserve">dose di </w:delText>
        </w:r>
      </w:del>
      <w:del w:id="6866" w:author="AbbVie14" w:date="2025-05-09T10:33:00Z">
        <w:r w:rsidRPr="00295E71">
          <w:rPr>
            <w:lang w:val="it-IT"/>
          </w:rPr>
          <w:delText>0,8 ml, cio</w:delText>
        </w:r>
      </w:del>
      <w:del w:id="6867" w:author="AbbVie14" w:date="2025-05-09T10:33:00Z">
        <w:r w:rsidR="00D96F2B">
          <w:rPr>
            <w:lang w:val="it-IT"/>
          </w:rPr>
          <w:delText>è</w:delText>
        </w:r>
      </w:del>
      <w:del w:id="6868" w:author="AbbVie14" w:date="2025-05-09T10:33:00Z">
        <w:r w:rsidRPr="00295E71">
          <w:rPr>
            <w:lang w:val="it-IT"/>
          </w:rPr>
          <w:delText xml:space="preserve"> </w:delText>
        </w:r>
      </w:del>
      <w:del w:id="6869" w:author="AbbVie14" w:date="2025-05-09T10:33:00Z">
        <w:r w:rsidR="008913FF">
          <w:rPr>
            <w:lang w:val="it-IT"/>
          </w:rPr>
          <w:delText xml:space="preserve"> </w:delText>
        </w:r>
      </w:del>
      <w:del w:id="6870" w:author="AbbVie14" w:date="2025-05-09T10:33:00Z">
        <w:r w:rsidR="00D96F2B">
          <w:rPr>
            <w:lang w:val="it-IT"/>
          </w:rPr>
          <w:delText>essenzialmente</w:delText>
        </w:r>
      </w:del>
      <w:del w:id="6871" w:author="AbbVie14" w:date="2025-05-09T10:33:00Z">
        <w:r w:rsidRPr="00295E71">
          <w:rPr>
            <w:lang w:val="it-IT"/>
          </w:rPr>
          <w:delText xml:space="preserve"> "</w:delText>
        </w:r>
      </w:del>
      <w:del w:id="6872" w:author="AbbVie14" w:date="2025-05-09T10:33:00Z">
        <w:r w:rsidRPr="00295E71" w:rsidR="004A792F">
          <w:rPr>
            <w:lang w:val="it-IT"/>
          </w:rPr>
          <w:delText>senza</w:delText>
        </w:r>
      </w:del>
      <w:del w:id="6873" w:author="AbbVie14" w:date="2025-05-09T10:33:00Z">
        <w:r w:rsidRPr="00295E71">
          <w:rPr>
            <w:lang w:val="it-IT"/>
          </w:rPr>
          <w:delText xml:space="preserve"> sodio".</w:delText>
        </w:r>
      </w:del>
    </w:p>
    <w:p w:rsidR="006224C2" w:rsidRPr="00295E71" w14:paraId="20DF055F" w14:textId="77777777">
      <w:pPr>
        <w:tabs>
          <w:tab w:val="left" w:pos="567"/>
        </w:tabs>
        <w:jc w:val="both"/>
        <w:rPr>
          <w:del w:id="6874" w:author="AbbVie14" w:date="2025-05-09T10:33:00Z"/>
          <w:sz w:val="22"/>
          <w:szCs w:val="22"/>
        </w:rPr>
      </w:pPr>
    </w:p>
    <w:p w:rsidR="006224C2" w:rsidRPr="00295E71" w14:paraId="26DDDB84" w14:textId="77777777">
      <w:pPr>
        <w:tabs>
          <w:tab w:val="left" w:pos="567"/>
        </w:tabs>
        <w:autoSpaceDE w:val="0"/>
        <w:autoSpaceDN w:val="0"/>
        <w:adjustRightInd w:val="0"/>
        <w:jc w:val="both"/>
        <w:rPr>
          <w:del w:id="6875" w:author="AbbVie14" w:date="2025-05-09T10:33:00Z"/>
          <w:b/>
          <w:bCs/>
          <w:sz w:val="22"/>
          <w:szCs w:val="22"/>
        </w:rPr>
      </w:pPr>
      <w:del w:id="6876" w:author="AbbVie14" w:date="2025-05-09T10:33:00Z">
        <w:r w:rsidRPr="00295E71">
          <w:rPr>
            <w:b/>
            <w:bCs/>
            <w:color w:val="000000"/>
            <w:sz w:val="22"/>
            <w:szCs w:val="22"/>
          </w:rPr>
          <w:delText>4.5</w:delText>
        </w:r>
      </w:del>
      <w:del w:id="6877" w:author="AbbVie14" w:date="2025-05-09T10:33:00Z">
        <w:r w:rsidRPr="00295E71">
          <w:rPr>
            <w:b/>
            <w:bCs/>
            <w:color w:val="000000"/>
            <w:sz w:val="22"/>
            <w:szCs w:val="22"/>
          </w:rPr>
          <w:tab/>
        </w:r>
      </w:del>
      <w:del w:id="6878" w:author="AbbVie14" w:date="2025-05-09T10:33:00Z">
        <w:r w:rsidRPr="00295E71">
          <w:rPr>
            <w:b/>
            <w:bCs/>
            <w:sz w:val="22"/>
            <w:szCs w:val="22"/>
          </w:rPr>
          <w:delText xml:space="preserve">Interazioni con altri medicinali ed altre forme d’interazione </w:delText>
        </w:r>
      </w:del>
    </w:p>
    <w:p w:rsidR="006224C2" w:rsidRPr="00295E71" w14:paraId="283B0DCD" w14:textId="77777777">
      <w:pPr>
        <w:pStyle w:val="EndnoteText"/>
        <w:jc w:val="both"/>
        <w:rPr>
          <w:del w:id="6879" w:author="AbbVie14" w:date="2025-05-09T10:33:00Z"/>
          <w:lang w:val="it-IT"/>
        </w:rPr>
      </w:pPr>
    </w:p>
    <w:p w:rsidR="006224C2" w:rsidRPr="00295E71" w14:paraId="7C8D49CF" w14:textId="77777777">
      <w:pPr>
        <w:tabs>
          <w:tab w:val="left" w:pos="567"/>
        </w:tabs>
        <w:autoSpaceDE w:val="0"/>
        <w:autoSpaceDN w:val="0"/>
        <w:adjustRightInd w:val="0"/>
        <w:jc w:val="both"/>
        <w:rPr>
          <w:del w:id="6880" w:author="AbbVie14" w:date="2025-05-09T10:33:00Z"/>
          <w:color w:val="000000"/>
          <w:sz w:val="22"/>
          <w:szCs w:val="22"/>
        </w:rPr>
      </w:pPr>
      <w:del w:id="6881" w:author="AbbVie14" w:date="2025-05-09T10:33:00Z">
        <w:r w:rsidRPr="00295E71">
          <w:rPr>
            <w:color w:val="000000"/>
            <w:sz w:val="22"/>
            <w:szCs w:val="22"/>
          </w:rPr>
          <w:delText>La terapia con Humira è stata studiata in monoterapia e in combinazione con metotressato in pazienti affetti da artrite reumatoide, artrite idiopatica giovanile poliarticolare e artrite psoriasica. Quando Humira è stato somministrato in combinazione con metotressato la formazione di anticorpi è stata inferiore rispetto alla monoterapia. La somministrazione di Humira senza il metotressato ha determinato un aumento della formazione di anticorpi, un aumento della clearance ed una riduzione dell’efficacia di adalimumab (vedere paragrafo 5.1).</w:delText>
        </w:r>
      </w:del>
    </w:p>
    <w:p w:rsidR="006224C2" w:rsidRPr="00295E71" w14:paraId="53559052" w14:textId="77777777">
      <w:pPr>
        <w:tabs>
          <w:tab w:val="left" w:pos="567"/>
        </w:tabs>
        <w:autoSpaceDE w:val="0"/>
        <w:autoSpaceDN w:val="0"/>
        <w:adjustRightInd w:val="0"/>
        <w:jc w:val="both"/>
        <w:rPr>
          <w:del w:id="6882" w:author="AbbVie14" w:date="2025-05-09T10:33:00Z"/>
          <w:color w:val="000000"/>
          <w:sz w:val="22"/>
          <w:szCs w:val="22"/>
        </w:rPr>
      </w:pPr>
    </w:p>
    <w:p w:rsidR="006224C2" w:rsidRPr="00295E71" w14:paraId="148E7907" w14:textId="77777777">
      <w:pPr>
        <w:tabs>
          <w:tab w:val="left" w:pos="567"/>
        </w:tabs>
        <w:autoSpaceDE w:val="0"/>
        <w:autoSpaceDN w:val="0"/>
        <w:adjustRightInd w:val="0"/>
        <w:jc w:val="both"/>
        <w:rPr>
          <w:del w:id="6883" w:author="AbbVie14" w:date="2025-05-09T10:33:00Z"/>
          <w:color w:val="000000"/>
          <w:sz w:val="22"/>
          <w:szCs w:val="22"/>
        </w:rPr>
      </w:pPr>
      <w:del w:id="6884" w:author="AbbVie14" w:date="2025-05-09T10:33:00Z">
        <w:r w:rsidRPr="00295E71">
          <w:rPr>
            <w:color w:val="000000"/>
            <w:sz w:val="22"/>
            <w:szCs w:val="22"/>
          </w:rPr>
          <w:delText>La combinazione di Humira e anakinra non è raccomandata (vedere paragrafo 4.4 “Somministrazione concomitante di DMARD biologici o antagonisti del TNF”).</w:delText>
        </w:r>
      </w:del>
    </w:p>
    <w:p w:rsidR="006224C2" w:rsidRPr="00295E71" w14:paraId="38C5AFD9" w14:textId="77777777">
      <w:pPr>
        <w:tabs>
          <w:tab w:val="left" w:pos="567"/>
        </w:tabs>
        <w:autoSpaceDE w:val="0"/>
        <w:autoSpaceDN w:val="0"/>
        <w:adjustRightInd w:val="0"/>
        <w:jc w:val="both"/>
        <w:rPr>
          <w:del w:id="6885" w:author="AbbVie14" w:date="2025-05-09T10:33:00Z"/>
          <w:color w:val="000000"/>
          <w:sz w:val="22"/>
          <w:szCs w:val="22"/>
        </w:rPr>
      </w:pPr>
    </w:p>
    <w:p w:rsidR="006224C2" w:rsidRPr="00295E71" w14:paraId="12F7FB6A" w14:textId="77777777">
      <w:pPr>
        <w:tabs>
          <w:tab w:val="left" w:pos="567"/>
        </w:tabs>
        <w:autoSpaceDE w:val="0"/>
        <w:autoSpaceDN w:val="0"/>
        <w:adjustRightInd w:val="0"/>
        <w:jc w:val="both"/>
        <w:rPr>
          <w:del w:id="6886" w:author="AbbVie14" w:date="2025-05-09T10:33:00Z"/>
          <w:color w:val="000000"/>
          <w:sz w:val="22"/>
          <w:szCs w:val="22"/>
        </w:rPr>
      </w:pPr>
      <w:del w:id="6887" w:author="AbbVie14" w:date="2025-05-09T10:33:00Z">
        <w:r w:rsidRPr="00295E71">
          <w:rPr>
            <w:color w:val="000000"/>
            <w:sz w:val="22"/>
            <w:szCs w:val="22"/>
          </w:rPr>
          <w:delText>La combinazione di Humira e abatacept non è raccomandata (vedere paragrafo 4.4 “Somministrazione concomitante di DMARD biologici o antagonisti del TNF”).</w:delText>
        </w:r>
      </w:del>
    </w:p>
    <w:p w:rsidR="006224C2" w:rsidRPr="00295E71" w14:paraId="4E74D458" w14:textId="77777777">
      <w:pPr>
        <w:tabs>
          <w:tab w:val="left" w:pos="567"/>
        </w:tabs>
        <w:autoSpaceDE w:val="0"/>
        <w:autoSpaceDN w:val="0"/>
        <w:adjustRightInd w:val="0"/>
        <w:jc w:val="both"/>
        <w:rPr>
          <w:del w:id="6888" w:author="AbbVie14" w:date="2025-05-09T10:33:00Z"/>
          <w:color w:val="000000"/>
          <w:sz w:val="22"/>
          <w:szCs w:val="22"/>
        </w:rPr>
      </w:pPr>
    </w:p>
    <w:p w:rsidR="006224C2" w:rsidRPr="00295E71" w:rsidP="005F2B94" w14:paraId="73030EB4" w14:textId="77777777">
      <w:pPr>
        <w:keepNext/>
        <w:numPr>
          <w:ilvl w:val="1"/>
          <w:numId w:val="4"/>
        </w:numPr>
        <w:tabs>
          <w:tab w:val="left" w:pos="567"/>
          <w:tab w:val="clear" w:pos="570"/>
        </w:tabs>
        <w:autoSpaceDE w:val="0"/>
        <w:autoSpaceDN w:val="0"/>
        <w:adjustRightInd w:val="0"/>
        <w:jc w:val="both"/>
        <w:rPr>
          <w:del w:id="6889" w:author="AbbVie14" w:date="2025-05-09T10:33:00Z"/>
          <w:b/>
          <w:bCs/>
          <w:sz w:val="22"/>
          <w:szCs w:val="22"/>
        </w:rPr>
      </w:pPr>
      <w:del w:id="6890" w:author="AbbVie14" w:date="2025-05-09T10:33:00Z">
        <w:r w:rsidRPr="00295E71">
          <w:rPr>
            <w:b/>
            <w:bCs/>
            <w:sz w:val="22"/>
            <w:szCs w:val="22"/>
          </w:rPr>
          <w:delText>Fertilità, gravidanza e allattamento</w:delText>
        </w:r>
      </w:del>
    </w:p>
    <w:p w:rsidR="006224C2" w:rsidRPr="00295E71" w:rsidP="005F2B94" w14:paraId="57580E51" w14:textId="77777777">
      <w:pPr>
        <w:keepNext/>
        <w:tabs>
          <w:tab w:val="left" w:pos="567"/>
        </w:tabs>
        <w:autoSpaceDE w:val="0"/>
        <w:autoSpaceDN w:val="0"/>
        <w:adjustRightInd w:val="0"/>
        <w:jc w:val="both"/>
        <w:rPr>
          <w:del w:id="6891" w:author="AbbVie14" w:date="2025-05-09T10:33:00Z"/>
          <w:color w:val="000000"/>
          <w:sz w:val="22"/>
          <w:szCs w:val="22"/>
        </w:rPr>
      </w:pPr>
    </w:p>
    <w:p w:rsidR="006224C2" w:rsidRPr="00295E71" w:rsidP="005F2B94" w14:paraId="682A2E3D" w14:textId="77777777">
      <w:pPr>
        <w:keepNext/>
        <w:tabs>
          <w:tab w:val="left" w:pos="567"/>
        </w:tabs>
        <w:jc w:val="both"/>
        <w:rPr>
          <w:del w:id="6892" w:author="AbbVie14" w:date="2025-05-09T10:33:00Z"/>
          <w:sz w:val="22"/>
          <w:szCs w:val="22"/>
          <w:u w:val="single"/>
        </w:rPr>
      </w:pPr>
      <w:del w:id="6893" w:author="AbbVie14" w:date="2025-05-09T10:33:00Z">
        <w:r w:rsidRPr="00295E71">
          <w:rPr>
            <w:sz w:val="22"/>
            <w:szCs w:val="22"/>
            <w:u w:val="single"/>
          </w:rPr>
          <w:delText>Donne in età fertile</w:delText>
        </w:r>
      </w:del>
    </w:p>
    <w:p w:rsidR="006224C2" w:rsidRPr="00295E71" w14:paraId="353CBAD2" w14:textId="77777777">
      <w:pPr>
        <w:keepNext/>
        <w:tabs>
          <w:tab w:val="left" w:pos="567"/>
        </w:tabs>
        <w:jc w:val="both"/>
        <w:rPr>
          <w:del w:id="6894" w:author="AbbVie14" w:date="2025-05-09T10:33:00Z"/>
          <w:sz w:val="22"/>
          <w:szCs w:val="22"/>
          <w:u w:val="single"/>
        </w:rPr>
      </w:pPr>
    </w:p>
    <w:p w:rsidR="006224C2" w:rsidRPr="00295E71" w14:paraId="75D7C9E6" w14:textId="77777777">
      <w:pPr>
        <w:keepNext/>
        <w:tabs>
          <w:tab w:val="left" w:pos="567"/>
        </w:tabs>
        <w:jc w:val="both"/>
        <w:rPr>
          <w:del w:id="6895" w:author="AbbVie14" w:date="2025-05-09T10:33:00Z"/>
          <w:sz w:val="22"/>
          <w:szCs w:val="22"/>
        </w:rPr>
      </w:pPr>
      <w:del w:id="6896" w:author="AbbVie14" w:date="2025-05-09T10:33:00Z">
        <w:r w:rsidRPr="00295E71">
          <w:rPr>
            <w:sz w:val="22"/>
            <w:szCs w:val="22"/>
          </w:rPr>
          <w:delText xml:space="preserve">Le donne in età fertile devono </w:delText>
        </w:r>
      </w:del>
      <w:del w:id="6897" w:author="AbbVie14" w:date="2025-05-09T10:33:00Z">
        <w:r w:rsidRPr="00020442" w:rsidR="00D96F2B">
          <w:rPr>
            <w:sz w:val="22"/>
            <w:szCs w:val="22"/>
          </w:rPr>
          <w:delText xml:space="preserve">considerare l’utilizzo di </w:delText>
        </w:r>
      </w:del>
      <w:del w:id="6898" w:author="AbbVie14" w:date="2025-05-09T10:33:00Z">
        <w:r w:rsidRPr="00295E71">
          <w:rPr>
            <w:sz w:val="22"/>
            <w:szCs w:val="22"/>
          </w:rPr>
          <w:delText>un adeguato metodo contraccettivo per prevenire una gravidanza e l’uso di tale metodo deve proseguire per almeno cinque mesi dopo l’ultimo trattamento</w:delText>
        </w:r>
      </w:del>
      <w:del w:id="6899" w:author="AbbVie14" w:date="2025-05-09T10:33:00Z">
        <w:r w:rsidR="00D96F2B">
          <w:rPr>
            <w:sz w:val="22"/>
            <w:szCs w:val="22"/>
          </w:rPr>
          <w:delText xml:space="preserve"> </w:delText>
        </w:r>
      </w:del>
      <w:del w:id="6900" w:author="AbbVie14" w:date="2025-05-09T10:33:00Z">
        <w:r w:rsidRPr="00295E71">
          <w:rPr>
            <w:sz w:val="22"/>
            <w:szCs w:val="22"/>
          </w:rPr>
          <w:delText>con Humira.</w:delText>
        </w:r>
      </w:del>
    </w:p>
    <w:p w:rsidR="006224C2" w:rsidRPr="00295E71" w14:paraId="726984EC" w14:textId="77777777">
      <w:pPr>
        <w:tabs>
          <w:tab w:val="left" w:pos="567"/>
        </w:tabs>
        <w:jc w:val="both"/>
        <w:rPr>
          <w:del w:id="6901" w:author="AbbVie14" w:date="2025-05-09T10:33:00Z"/>
          <w:sz w:val="22"/>
          <w:szCs w:val="22"/>
        </w:rPr>
      </w:pPr>
    </w:p>
    <w:p w:rsidR="006224C2" w:rsidRPr="00295E71" w14:paraId="551D420D" w14:textId="77777777">
      <w:pPr>
        <w:keepNext/>
        <w:rPr>
          <w:del w:id="6902" w:author="AbbVie14" w:date="2025-05-09T10:33:00Z"/>
          <w:sz w:val="22"/>
          <w:szCs w:val="22"/>
          <w:u w:val="single"/>
        </w:rPr>
      </w:pPr>
      <w:del w:id="6903" w:author="AbbVie14" w:date="2025-05-09T10:33:00Z">
        <w:r w:rsidRPr="00295E71">
          <w:rPr>
            <w:sz w:val="22"/>
            <w:szCs w:val="22"/>
            <w:u w:val="single"/>
          </w:rPr>
          <w:delText>Gravidanza</w:delText>
        </w:r>
      </w:del>
    </w:p>
    <w:p w:rsidR="006224C2" w:rsidRPr="00295E71" w14:paraId="5E7BD15A" w14:textId="77777777">
      <w:pPr>
        <w:keepNext/>
        <w:tabs>
          <w:tab w:val="left" w:pos="567"/>
        </w:tabs>
        <w:autoSpaceDE w:val="0"/>
        <w:autoSpaceDN w:val="0"/>
        <w:adjustRightInd w:val="0"/>
        <w:jc w:val="both"/>
        <w:rPr>
          <w:del w:id="6904" w:author="AbbVie14" w:date="2025-05-09T10:33:00Z"/>
          <w:sz w:val="22"/>
          <w:szCs w:val="22"/>
        </w:rPr>
      </w:pPr>
    </w:p>
    <w:p w:rsidR="000E31A6" w:rsidP="000E31A6" w14:paraId="4F1B415C" w14:textId="77777777">
      <w:pPr>
        <w:tabs>
          <w:tab w:val="left" w:pos="567"/>
        </w:tabs>
        <w:autoSpaceDE w:val="0"/>
        <w:autoSpaceDN w:val="0"/>
        <w:adjustRightInd w:val="0"/>
        <w:jc w:val="both"/>
        <w:rPr>
          <w:del w:id="6905" w:author="AbbVie14" w:date="2025-05-09T10:33:00Z"/>
          <w:sz w:val="22"/>
          <w:szCs w:val="22"/>
        </w:rPr>
      </w:pPr>
      <w:del w:id="6906" w:author="AbbVie14" w:date="2025-05-09T10:33:00Z">
        <w:r>
          <w:rPr>
            <w:sz w:val="22"/>
            <w:szCs w:val="22"/>
          </w:rPr>
          <w:delText xml:space="preserve">Un numero elevato (circa 2100) di gravidanze esposte ad adalimumab, </w:delText>
        </w:r>
      </w:del>
      <w:del w:id="6907" w:author="AbbVie14" w:date="2025-05-09T10:33:00Z">
        <w:r w:rsidRPr="003F31B0">
          <w:rPr>
            <w:sz w:val="22"/>
            <w:szCs w:val="22"/>
          </w:rPr>
          <w:delText>raccolte</w:delText>
        </w:r>
      </w:del>
      <w:del w:id="6908" w:author="AbbVie14" w:date="2025-05-09T10:33:00Z">
        <w:r>
          <w:rPr>
            <w:sz w:val="22"/>
            <w:szCs w:val="22"/>
          </w:rPr>
          <w:delText xml:space="preserve"> in modo prospettico, </w:delText>
        </w:r>
      </w:del>
      <w:del w:id="6909" w:author="AbbVie14" w:date="2025-05-09T10:33:00Z">
        <w:r w:rsidRPr="003F31B0">
          <w:rPr>
            <w:sz w:val="22"/>
            <w:szCs w:val="22"/>
          </w:rPr>
          <w:delText xml:space="preserve">che hanno portato </w:delText>
        </w:r>
      </w:del>
      <w:del w:id="6910" w:author="AbbVie14" w:date="2025-05-09T10:33:00Z">
        <w:r w:rsidRPr="00F7229B">
          <w:rPr>
            <w:sz w:val="22"/>
            <w:szCs w:val="22"/>
          </w:rPr>
          <w:delText>a nati</w:delText>
        </w:r>
      </w:del>
      <w:del w:id="6911" w:author="AbbVie14" w:date="2025-05-09T10:33:00Z">
        <w:r>
          <w:rPr>
            <w:sz w:val="22"/>
            <w:szCs w:val="22"/>
          </w:rPr>
          <w:delText xml:space="preserve"> </w:delText>
        </w:r>
      </w:del>
      <w:del w:id="6912" w:author="AbbVie14" w:date="2025-05-09T10:33:00Z">
        <w:r w:rsidRPr="00400881">
          <w:rPr>
            <w:sz w:val="22"/>
            <w:szCs w:val="22"/>
          </w:rPr>
          <w:delText xml:space="preserve">vivi </w:delText>
        </w:r>
      </w:del>
      <w:del w:id="6913" w:author="AbbVie14" w:date="2025-05-09T10:33:00Z">
        <w:r w:rsidRPr="003F31B0">
          <w:rPr>
            <w:sz w:val="22"/>
            <w:szCs w:val="22"/>
          </w:rPr>
          <w:delText>con esiti noti</w:delText>
        </w:r>
      </w:del>
      <w:del w:id="6914" w:author="AbbVie14" w:date="2025-05-09T10:33:00Z">
        <w:r>
          <w:rPr>
            <w:sz w:val="22"/>
            <w:szCs w:val="22"/>
          </w:rPr>
          <w:delText xml:space="preserve"> e che includevano più di 1500 gravidanze esposte durante il primo trimestre, non ha indicato un aumento del tasso di malformazione nel neonato.</w:delText>
        </w:r>
      </w:del>
    </w:p>
    <w:p w:rsidR="000E31A6" w:rsidRPr="00295E71" w:rsidP="000E31A6" w14:paraId="63A75431" w14:textId="77777777">
      <w:pPr>
        <w:tabs>
          <w:tab w:val="left" w:pos="567"/>
        </w:tabs>
        <w:autoSpaceDE w:val="0"/>
        <w:autoSpaceDN w:val="0"/>
        <w:adjustRightInd w:val="0"/>
        <w:jc w:val="both"/>
        <w:rPr>
          <w:del w:id="6915" w:author="AbbVie14" w:date="2025-05-09T10:33:00Z"/>
          <w:sz w:val="22"/>
          <w:szCs w:val="22"/>
        </w:rPr>
      </w:pPr>
      <w:del w:id="6916" w:author="AbbVie14" w:date="2025-05-09T10:33:00Z">
        <w:r>
          <w:rPr>
            <w:sz w:val="22"/>
            <w:szCs w:val="22"/>
          </w:rPr>
          <w:delText xml:space="preserve">   </w:delText>
        </w:r>
      </w:del>
    </w:p>
    <w:p w:rsidR="000E31A6" w:rsidRPr="00611B3C" w:rsidP="000E31A6" w14:paraId="2555B99D" w14:textId="77777777">
      <w:pPr>
        <w:keepNext/>
        <w:tabs>
          <w:tab w:val="left" w:pos="567"/>
        </w:tabs>
        <w:autoSpaceDE w:val="0"/>
        <w:autoSpaceDN w:val="0"/>
        <w:adjustRightInd w:val="0"/>
        <w:jc w:val="both"/>
        <w:rPr>
          <w:del w:id="6917" w:author="AbbVie14" w:date="2025-05-09T10:33:00Z"/>
          <w:sz w:val="22"/>
          <w:szCs w:val="22"/>
        </w:rPr>
      </w:pPr>
      <w:del w:id="6918" w:author="AbbVie14" w:date="2025-05-09T10:33:00Z">
        <w:r>
          <w:rPr>
            <w:color w:val="000000"/>
            <w:sz w:val="22"/>
            <w:szCs w:val="22"/>
          </w:rPr>
          <w:delText xml:space="preserve">In </w:delText>
        </w:r>
      </w:del>
      <w:del w:id="6919" w:author="AbbVie14" w:date="2025-05-09T10:33:00Z">
        <w:r w:rsidRPr="00C1727B">
          <w:rPr>
            <w:color w:val="000000"/>
            <w:sz w:val="22"/>
            <w:szCs w:val="22"/>
          </w:rPr>
          <w:delText xml:space="preserve">un registro </w:delText>
        </w:r>
      </w:del>
      <w:del w:id="6920" w:author="AbbVie14" w:date="2025-05-09T10:33:00Z">
        <w:r>
          <w:rPr>
            <w:color w:val="000000"/>
            <w:sz w:val="22"/>
            <w:szCs w:val="22"/>
          </w:rPr>
          <w:delText xml:space="preserve">di coorte </w:delText>
        </w:r>
      </w:del>
      <w:del w:id="6921" w:author="AbbVie14" w:date="2025-05-09T10:33:00Z">
        <w:r w:rsidRPr="00C1727B">
          <w:rPr>
            <w:color w:val="000000"/>
            <w:sz w:val="22"/>
            <w:szCs w:val="22"/>
          </w:rPr>
          <w:delText>prospettico,</w:delText>
        </w:r>
      </w:del>
      <w:del w:id="6922" w:author="AbbVie14" w:date="2025-05-09T10:33:00Z">
        <w:r>
          <w:rPr>
            <w:color w:val="000000"/>
            <w:sz w:val="22"/>
            <w:szCs w:val="22"/>
          </w:rPr>
          <w:delText xml:space="preserve"> sono state arruolate 257 donne con artrite reumatoide (AR) o malattia di Crohn (MC) trattate con adalimumab almeno durante il primo trimestre di gravidanza e 120 donne con AR o MC non trattate con adalimumab. L’endpoint primario è stato la prevalenza di gravi difetti alla nascita. Il tasso delle gravidanze che si sono concluse con la nascita di almeno un neonato vivo con un grave difetto alla nascita è stato 6/69 (8,7%) nelle donne con AR trattate con adalimumab e 5/74 (6,8%) nelle donne con AR non trattate (</w:delText>
        </w:r>
      </w:del>
      <w:del w:id="6923" w:author="AbbVie14" w:date="2025-05-09T10:33:00Z">
        <w:r w:rsidRPr="00400881">
          <w:rPr>
            <w:color w:val="000000"/>
            <w:sz w:val="22"/>
            <w:szCs w:val="22"/>
          </w:rPr>
          <w:delText xml:space="preserve">OR </w:delText>
        </w:r>
      </w:del>
      <w:del w:id="6924" w:author="AbbVie14" w:date="2025-05-09T10:33:00Z">
        <w:r w:rsidRPr="004C4F83">
          <w:delText>non aggiustato</w:delText>
        </w:r>
      </w:del>
      <w:del w:id="6925" w:author="AbbVie14" w:date="2025-05-09T10:33:00Z">
        <w:r>
          <w:delText xml:space="preserve"> </w:delText>
        </w:r>
      </w:del>
      <w:del w:id="6926" w:author="AbbVie14" w:date="2025-05-09T10:33:00Z">
        <w:r>
          <w:rPr>
            <w:color w:val="000000"/>
            <w:sz w:val="22"/>
            <w:szCs w:val="22"/>
          </w:rPr>
          <w:delText>1,31; 95% IC 0,38-4,52) e 16/152 (10,5%) nelle donne con MC trattate con adalimumab e 3/32 (9,4%) nelle donne con MC non trattate (</w:delText>
        </w:r>
      </w:del>
      <w:del w:id="6927" w:author="AbbVie14" w:date="2025-05-09T10:33:00Z">
        <w:r w:rsidRPr="00400881">
          <w:rPr>
            <w:color w:val="000000"/>
            <w:sz w:val="22"/>
            <w:szCs w:val="22"/>
          </w:rPr>
          <w:delText xml:space="preserve">OR </w:delText>
        </w:r>
      </w:del>
      <w:del w:id="6928" w:author="AbbVie14" w:date="2025-05-09T10:33:00Z">
        <w:r w:rsidRPr="004C4F83">
          <w:delText>non aggiustato</w:delText>
        </w:r>
      </w:del>
      <w:del w:id="6929" w:author="AbbVie14" w:date="2025-05-09T10:33:00Z">
        <w:r>
          <w:delText xml:space="preserve"> </w:delText>
        </w:r>
      </w:del>
      <w:del w:id="6930" w:author="AbbVie14" w:date="2025-05-09T10:33:00Z">
        <w:r>
          <w:rPr>
            <w:color w:val="000000"/>
            <w:sz w:val="22"/>
            <w:szCs w:val="22"/>
          </w:rPr>
          <w:delText xml:space="preserve">1,14, 95% IC 0,31-4,16). </w:delText>
        </w:r>
      </w:del>
      <w:del w:id="6931" w:author="AbbVie14" w:date="2025-05-09T10:33:00Z">
        <w:r w:rsidRPr="00400881">
          <w:rPr>
            <w:color w:val="000000"/>
            <w:sz w:val="22"/>
            <w:szCs w:val="22"/>
          </w:rPr>
          <w:delText xml:space="preserve">L’OR </w:delText>
        </w:r>
      </w:del>
      <w:del w:id="6932" w:author="AbbVie14" w:date="2025-05-09T10:33:00Z">
        <w:r>
          <w:rPr>
            <w:color w:val="000000"/>
            <w:sz w:val="22"/>
            <w:szCs w:val="22"/>
          </w:rPr>
          <w:delText xml:space="preserve">aggiustato (che considera le differenze rispetto al baseline) era 1,10 (95% IC 0,45-2,73) per AR e MC combinate. Tra le donne trattate con adalimumab e quelle non trattate </w:delText>
        </w:r>
      </w:del>
      <w:del w:id="6933" w:author="AbbVie14" w:date="2025-05-09T10:33:00Z">
        <w:r w:rsidRPr="008C57BD">
          <w:rPr>
            <w:color w:val="000000"/>
            <w:sz w:val="22"/>
            <w:szCs w:val="22"/>
          </w:rPr>
          <w:delText>non ci sono state evidenti differenze</w:delText>
        </w:r>
      </w:del>
      <w:del w:id="6934" w:author="AbbVie14" w:date="2025-05-09T10:33:00Z">
        <w:r>
          <w:rPr>
            <w:color w:val="000000"/>
            <w:sz w:val="22"/>
            <w:szCs w:val="22"/>
          </w:rPr>
          <w:delText xml:space="preserve"> negli endpoint secondari come aborti spontanei, difetti minori alla nascita, parto pretermine, dimensione del neonato e infezioni gravi o opportunistiche e non sono stati riportati casi di nati morti o tumori maligni. L’interpretazione dei dati può essere influenzata dalle limitazioni metodologiche dello studio, compresi la piccola dimensione del campione e il disegno non randomizzato.</w:delText>
        </w:r>
      </w:del>
    </w:p>
    <w:p w:rsidR="006224C2" w:rsidRPr="00295E71" w:rsidP="00611B3C" w14:paraId="64BE7F65" w14:textId="77777777">
      <w:pPr>
        <w:keepNext/>
        <w:tabs>
          <w:tab w:val="left" w:pos="567"/>
        </w:tabs>
        <w:autoSpaceDE w:val="0"/>
        <w:autoSpaceDN w:val="0"/>
        <w:adjustRightInd w:val="0"/>
        <w:jc w:val="both"/>
        <w:rPr>
          <w:del w:id="6935" w:author="AbbVie14" w:date="2025-05-09T10:33:00Z"/>
          <w:sz w:val="22"/>
          <w:szCs w:val="22"/>
        </w:rPr>
      </w:pPr>
      <w:del w:id="6936" w:author="AbbVie14" w:date="2025-05-09T10:33:00Z">
        <w:r w:rsidRPr="00611B3C">
          <w:rPr>
            <w:sz w:val="22"/>
            <w:szCs w:val="22"/>
          </w:rPr>
          <w:delText xml:space="preserve">   </w:delText>
        </w:r>
      </w:del>
    </w:p>
    <w:p w:rsidR="006224C2" w:rsidRPr="00295E71" w14:paraId="7B2A2AD7" w14:textId="77777777">
      <w:pPr>
        <w:tabs>
          <w:tab w:val="left" w:pos="567"/>
        </w:tabs>
        <w:autoSpaceDE w:val="0"/>
        <w:autoSpaceDN w:val="0"/>
        <w:adjustRightInd w:val="0"/>
        <w:jc w:val="both"/>
        <w:rPr>
          <w:del w:id="6937" w:author="AbbVie14" w:date="2025-05-09T10:33:00Z"/>
          <w:color w:val="000000"/>
          <w:sz w:val="22"/>
          <w:szCs w:val="22"/>
        </w:rPr>
      </w:pPr>
      <w:del w:id="6938" w:author="AbbVie14" w:date="2025-05-09T10:33:00Z">
        <w:r w:rsidRPr="00295E71">
          <w:rPr>
            <w:color w:val="000000"/>
            <w:sz w:val="22"/>
            <w:szCs w:val="22"/>
          </w:rPr>
          <w:delText>In uno studio di tossicologia dello sviluppo condotto su scimmie, non è stata riscontrata tossicità nella madre, nè embriotossicità o teratogenicità. Non sono disponibili dati preclinici sulla tossicità postnatale di adalimumab (vedere paragrafo 5.3).</w:delText>
        </w:r>
      </w:del>
    </w:p>
    <w:p w:rsidR="006224C2" w:rsidRPr="00295E71" w14:paraId="1BBA828D" w14:textId="77777777">
      <w:pPr>
        <w:tabs>
          <w:tab w:val="left" w:pos="567"/>
        </w:tabs>
        <w:autoSpaceDE w:val="0"/>
        <w:autoSpaceDN w:val="0"/>
        <w:adjustRightInd w:val="0"/>
        <w:jc w:val="both"/>
        <w:rPr>
          <w:del w:id="6939" w:author="AbbVie14" w:date="2025-05-09T10:33:00Z"/>
          <w:color w:val="000000"/>
          <w:sz w:val="22"/>
          <w:szCs w:val="22"/>
        </w:rPr>
      </w:pPr>
    </w:p>
    <w:p w:rsidR="006224C2" w:rsidRPr="00295E71" w14:paraId="5D2F2C38" w14:textId="77777777">
      <w:pPr>
        <w:tabs>
          <w:tab w:val="left" w:pos="567"/>
        </w:tabs>
        <w:autoSpaceDE w:val="0"/>
        <w:autoSpaceDN w:val="0"/>
        <w:adjustRightInd w:val="0"/>
        <w:jc w:val="both"/>
        <w:rPr>
          <w:del w:id="6940" w:author="AbbVie14" w:date="2025-05-09T10:33:00Z"/>
          <w:color w:val="000000"/>
          <w:sz w:val="22"/>
          <w:szCs w:val="22"/>
        </w:rPr>
      </w:pPr>
      <w:del w:id="6941" w:author="AbbVie14" w:date="2025-05-09T10:33:00Z">
        <w:r w:rsidRPr="00295E71">
          <w:rPr>
            <w:color w:val="000000"/>
            <w:sz w:val="22"/>
            <w:szCs w:val="22"/>
          </w:rPr>
          <w:delText>A causa dell’inibizione del TNF</w:delText>
        </w:r>
      </w:del>
      <w:del w:id="6942" w:author="AbbVie14" w:date="2025-05-09T10:33:00Z">
        <w:r w:rsidRPr="00295E71">
          <w:rPr>
            <w:rFonts w:ascii="Symbol" w:hAnsi="Symbol"/>
            <w:color w:val="000000"/>
            <w:sz w:val="22"/>
            <w:szCs w:val="22"/>
          </w:rPr>
          <w:sym w:font="Symbol" w:char="F061"/>
        </w:r>
      </w:del>
      <w:del w:id="6943" w:author="AbbVie14" w:date="2025-05-09T10:33:00Z">
        <w:r w:rsidRPr="00295E71">
          <w:rPr>
            <w:color w:val="000000"/>
            <w:sz w:val="22"/>
            <w:szCs w:val="22"/>
          </w:rPr>
          <w:delText xml:space="preserve">, la somministrazione di adalimumab durante la gravidanza potrebbe interferire con la normale risposta immunitaria del neonato. </w:delText>
        </w:r>
      </w:del>
      <w:del w:id="6944" w:author="AbbVie14" w:date="2025-05-09T10:33:00Z">
        <w:r w:rsidRPr="00611B3C" w:rsidR="00611B3C">
          <w:rPr>
            <w:color w:val="000000"/>
            <w:sz w:val="22"/>
            <w:szCs w:val="22"/>
          </w:rPr>
          <w:delText>Adalimumab deve essere utilizzato in gravidanza soltanto se strettamente necessario.</w:delText>
        </w:r>
      </w:del>
    </w:p>
    <w:p w:rsidR="006224C2" w:rsidRPr="00295E71" w14:paraId="75C047BE" w14:textId="77777777">
      <w:pPr>
        <w:tabs>
          <w:tab w:val="left" w:pos="567"/>
        </w:tabs>
        <w:autoSpaceDE w:val="0"/>
        <w:autoSpaceDN w:val="0"/>
        <w:adjustRightInd w:val="0"/>
        <w:jc w:val="both"/>
        <w:rPr>
          <w:del w:id="6945" w:author="AbbVie14" w:date="2025-05-09T10:33:00Z"/>
          <w:color w:val="000000"/>
          <w:sz w:val="22"/>
          <w:szCs w:val="22"/>
        </w:rPr>
      </w:pPr>
    </w:p>
    <w:p w:rsidR="006224C2" w:rsidRPr="00295E71" w14:paraId="6C8D3756" w14:textId="77777777">
      <w:pPr>
        <w:tabs>
          <w:tab w:val="left" w:pos="567"/>
        </w:tabs>
        <w:autoSpaceDE w:val="0"/>
        <w:autoSpaceDN w:val="0"/>
        <w:adjustRightInd w:val="0"/>
        <w:jc w:val="both"/>
        <w:rPr>
          <w:del w:id="6946" w:author="AbbVie14" w:date="2025-05-09T10:33:00Z"/>
          <w:color w:val="000000"/>
          <w:sz w:val="22"/>
          <w:szCs w:val="22"/>
        </w:rPr>
      </w:pPr>
      <w:del w:id="6947" w:author="AbbVie14" w:date="2025-05-09T10:33:00Z">
        <w:r w:rsidRPr="00295E71">
          <w:rPr>
            <w:color w:val="000000"/>
            <w:sz w:val="22"/>
            <w:szCs w:val="22"/>
          </w:rPr>
          <w:delText xml:space="preserve">Adalimumab può attraversare la placenta e raggiungere il siero dei bambini nati da madri trattate con adalimumab durante la gravidanza. Di conseguenza, questi bambini sono soggetti ad un maggior rischio di infezione. La somministrazione di vaccini vivi </w:delText>
        </w:r>
      </w:del>
      <w:del w:id="6948" w:author="AbbVie14" w:date="2025-05-09T10:33:00Z">
        <w:r w:rsidRPr="00611B3C" w:rsidR="00611B3C">
          <w:rPr>
            <w:color w:val="000000"/>
            <w:sz w:val="22"/>
            <w:szCs w:val="22"/>
          </w:rPr>
          <w:delText>(ad es. vaccino BCG)</w:delText>
        </w:r>
      </w:del>
      <w:del w:id="6949" w:author="AbbVie14" w:date="2025-05-09T10:33:00Z">
        <w:r w:rsidR="00611B3C">
          <w:rPr>
            <w:color w:val="000000"/>
            <w:sz w:val="22"/>
            <w:szCs w:val="22"/>
          </w:rPr>
          <w:delText xml:space="preserve"> </w:delText>
        </w:r>
      </w:del>
      <w:del w:id="6950" w:author="AbbVie14" w:date="2025-05-09T10:33:00Z">
        <w:r w:rsidRPr="00295E71">
          <w:rPr>
            <w:color w:val="000000"/>
            <w:sz w:val="22"/>
            <w:szCs w:val="22"/>
          </w:rPr>
          <w:delText xml:space="preserve">a bambini esposti ad adalimumab nell’utero non è raccomandata </w:delText>
        </w:r>
      </w:del>
      <w:del w:id="6951" w:author="AbbVie14" w:date="2025-05-09T10:33:00Z">
        <w:r w:rsidR="008C57BD">
          <w:rPr>
            <w:sz w:val="22"/>
            <w:szCs w:val="22"/>
          </w:rPr>
          <w:delText>fino a</w:delText>
        </w:r>
      </w:del>
      <w:del w:id="6952" w:author="AbbVie14" w:date="2025-05-09T10:33:00Z">
        <w:r w:rsidRPr="00295E71" w:rsidR="008C57BD">
          <w:rPr>
            <w:color w:val="000000"/>
            <w:sz w:val="22"/>
            <w:szCs w:val="22"/>
          </w:rPr>
          <w:delText xml:space="preserve"> </w:delText>
        </w:r>
      </w:del>
      <w:del w:id="6953" w:author="AbbVie14" w:date="2025-05-09T10:33:00Z">
        <w:r w:rsidRPr="00295E71">
          <w:rPr>
            <w:color w:val="000000"/>
            <w:sz w:val="22"/>
            <w:szCs w:val="22"/>
          </w:rPr>
          <w:delText>5 mesi dall’ultima somministrazione di adalimumab alla madre durante la gravidanza.</w:delText>
        </w:r>
      </w:del>
    </w:p>
    <w:p w:rsidR="006224C2" w:rsidRPr="00295E71" w14:paraId="0090CD11" w14:textId="77777777">
      <w:pPr>
        <w:tabs>
          <w:tab w:val="left" w:pos="567"/>
        </w:tabs>
        <w:autoSpaceDE w:val="0"/>
        <w:autoSpaceDN w:val="0"/>
        <w:adjustRightInd w:val="0"/>
        <w:jc w:val="both"/>
        <w:rPr>
          <w:del w:id="6954" w:author="AbbVie14" w:date="2025-05-09T10:33:00Z"/>
          <w:color w:val="000000"/>
          <w:sz w:val="22"/>
          <w:szCs w:val="22"/>
        </w:rPr>
      </w:pPr>
    </w:p>
    <w:p w:rsidR="006224C2" w:rsidRPr="00295E71" w14:paraId="4E17AB2A" w14:textId="77777777">
      <w:pPr>
        <w:tabs>
          <w:tab w:val="left" w:pos="567"/>
        </w:tabs>
        <w:jc w:val="both"/>
        <w:rPr>
          <w:del w:id="6955" w:author="AbbVie14" w:date="2025-05-09T10:33:00Z"/>
          <w:color w:val="000000"/>
          <w:sz w:val="22"/>
          <w:szCs w:val="22"/>
        </w:rPr>
      </w:pPr>
      <w:del w:id="6956" w:author="AbbVie14" w:date="2025-05-09T10:33:00Z">
        <w:r w:rsidRPr="00295E71">
          <w:rPr>
            <w:color w:val="000000"/>
            <w:sz w:val="22"/>
            <w:szCs w:val="22"/>
            <w:u w:val="single"/>
          </w:rPr>
          <w:delText>Allattamento</w:delText>
        </w:r>
      </w:del>
    </w:p>
    <w:p w:rsidR="006224C2" w:rsidRPr="00295E71" w14:paraId="7D0E479E" w14:textId="77777777">
      <w:pPr>
        <w:tabs>
          <w:tab w:val="left" w:pos="567"/>
        </w:tabs>
        <w:jc w:val="both"/>
        <w:rPr>
          <w:del w:id="6957" w:author="AbbVie14" w:date="2025-05-09T10:33:00Z"/>
          <w:color w:val="000000"/>
          <w:sz w:val="22"/>
          <w:szCs w:val="22"/>
        </w:rPr>
      </w:pPr>
    </w:p>
    <w:p w:rsidR="006224C2" w:rsidRPr="00295E71" w14:paraId="27DE6A24" w14:textId="77777777">
      <w:pPr>
        <w:tabs>
          <w:tab w:val="left" w:pos="567"/>
        </w:tabs>
        <w:jc w:val="both"/>
        <w:rPr>
          <w:del w:id="6958" w:author="AbbVie14" w:date="2025-05-09T10:33:00Z"/>
          <w:sz w:val="22"/>
          <w:szCs w:val="22"/>
        </w:rPr>
      </w:pPr>
      <w:del w:id="6959" w:author="AbbVie14" w:date="2025-05-09T10:33:00Z">
        <w:r>
          <w:rPr>
            <w:sz w:val="22"/>
            <w:szCs w:val="22"/>
          </w:rPr>
          <w:delText xml:space="preserve">Le limitate informazioni dalla letteratura pubblicata indicano che adalimumab è escreto nel latte materno in concentrazioni molto basse e che la concentrazione di adalimumab nel latte umano è pari allo 0,1% - 1% </w:delText>
        </w:r>
      </w:del>
      <w:del w:id="6960" w:author="AbbVie14" w:date="2025-05-09T10:33:00Z">
        <w:r w:rsidRPr="00AB1F1C">
          <w:rPr>
            <w:sz w:val="22"/>
            <w:szCs w:val="22"/>
          </w:rPr>
          <w:delText>del livello</w:delText>
        </w:r>
      </w:del>
      <w:del w:id="6961" w:author="AbbVie14" w:date="2025-05-09T10:33:00Z">
        <w:r w:rsidRPr="00C53732">
          <w:rPr>
            <w:sz w:val="22"/>
            <w:szCs w:val="22"/>
          </w:rPr>
          <w:delText xml:space="preserve"> </w:delText>
        </w:r>
      </w:del>
      <w:del w:id="6962" w:author="AbbVie14" w:date="2025-05-09T10:33:00Z">
        <w:r w:rsidRPr="00B902E6">
          <w:rPr>
            <w:sz w:val="22"/>
            <w:szCs w:val="22"/>
          </w:rPr>
          <w:delText>sierico</w:delText>
        </w:r>
      </w:del>
      <w:del w:id="6963" w:author="AbbVie14" w:date="2025-05-09T10:33:00Z">
        <w:r>
          <w:rPr>
            <w:sz w:val="22"/>
            <w:szCs w:val="22"/>
          </w:rPr>
          <w:delText xml:space="preserve"> della madre. Somministrate per via orale, le immunoglobuline G sono sottoposte a proteolisi intestinale ed hanno una scarsa biodisponibilità. </w:delText>
        </w:r>
      </w:del>
      <w:del w:id="6964" w:author="AbbVie14" w:date="2025-05-09T10:33:00Z">
        <w:r w:rsidRPr="001113B9">
          <w:rPr>
            <w:sz w:val="22"/>
            <w:szCs w:val="22"/>
          </w:rPr>
          <w:delText xml:space="preserve">Non si ritiene che possa </w:delText>
        </w:r>
      </w:del>
      <w:del w:id="6965" w:author="AbbVie14" w:date="2025-05-09T10:33:00Z">
        <w:r>
          <w:rPr>
            <w:sz w:val="22"/>
            <w:szCs w:val="22"/>
          </w:rPr>
          <w:delText xml:space="preserve">avere </w:delText>
        </w:r>
      </w:del>
      <w:del w:id="6966" w:author="AbbVie14" w:date="2025-05-09T10:33:00Z">
        <w:r w:rsidRPr="001113B9">
          <w:rPr>
            <w:sz w:val="22"/>
            <w:szCs w:val="22"/>
          </w:rPr>
          <w:delText>effetti su neonati/lattanti</w:delText>
        </w:r>
      </w:del>
      <w:del w:id="6967" w:author="AbbVie14" w:date="2025-05-09T10:33:00Z">
        <w:r>
          <w:rPr>
            <w:sz w:val="22"/>
            <w:szCs w:val="22"/>
          </w:rPr>
          <w:delText>. Conseguentemente, Humira può essere utilizzato durante l’allat</w:delText>
        </w:r>
      </w:del>
      <w:del w:id="6968" w:author="AbbVie14" w:date="2025-05-09T10:33:00Z">
        <w:r w:rsidR="00D96F2B">
          <w:rPr>
            <w:sz w:val="22"/>
            <w:szCs w:val="22"/>
          </w:rPr>
          <w:delText>t</w:delText>
        </w:r>
      </w:del>
      <w:del w:id="6969" w:author="AbbVie14" w:date="2025-05-09T10:33:00Z">
        <w:r>
          <w:rPr>
            <w:sz w:val="22"/>
            <w:szCs w:val="22"/>
          </w:rPr>
          <w:delText>amento.</w:delText>
        </w:r>
      </w:del>
    </w:p>
    <w:p w:rsidR="005D1159" w14:paraId="1A9AB6BB" w14:textId="77777777">
      <w:pPr>
        <w:tabs>
          <w:tab w:val="left" w:pos="567"/>
        </w:tabs>
        <w:jc w:val="both"/>
        <w:rPr>
          <w:del w:id="6970" w:author="AbbVie14" w:date="2025-05-09T10:33:00Z"/>
          <w:sz w:val="22"/>
          <w:szCs w:val="22"/>
          <w:u w:val="single"/>
        </w:rPr>
      </w:pPr>
    </w:p>
    <w:p w:rsidR="006224C2" w:rsidRPr="00295E71" w14:paraId="3C60DAA2" w14:textId="77777777">
      <w:pPr>
        <w:tabs>
          <w:tab w:val="left" w:pos="567"/>
        </w:tabs>
        <w:jc w:val="both"/>
        <w:rPr>
          <w:del w:id="6971" w:author="AbbVie14" w:date="2025-05-09T10:33:00Z"/>
          <w:sz w:val="22"/>
          <w:szCs w:val="22"/>
          <w:u w:val="single"/>
        </w:rPr>
      </w:pPr>
      <w:del w:id="6972" w:author="AbbVie14" w:date="2025-05-09T10:33:00Z">
        <w:r w:rsidRPr="00295E71">
          <w:rPr>
            <w:sz w:val="22"/>
            <w:szCs w:val="22"/>
            <w:u w:val="single"/>
          </w:rPr>
          <w:delText>Fertilità</w:delText>
        </w:r>
      </w:del>
    </w:p>
    <w:p w:rsidR="006224C2" w:rsidRPr="00295E71" w14:paraId="6AB04341" w14:textId="77777777">
      <w:pPr>
        <w:tabs>
          <w:tab w:val="left" w:pos="567"/>
        </w:tabs>
        <w:jc w:val="both"/>
        <w:rPr>
          <w:del w:id="6973" w:author="AbbVie14" w:date="2025-05-09T10:33:00Z"/>
          <w:sz w:val="22"/>
          <w:szCs w:val="22"/>
        </w:rPr>
      </w:pPr>
    </w:p>
    <w:p w:rsidR="006224C2" w:rsidRPr="00295E71" w14:paraId="0710FC9E" w14:textId="77777777">
      <w:pPr>
        <w:tabs>
          <w:tab w:val="left" w:pos="567"/>
        </w:tabs>
        <w:jc w:val="both"/>
        <w:rPr>
          <w:del w:id="6974" w:author="AbbVie14" w:date="2025-05-09T10:33:00Z"/>
          <w:sz w:val="22"/>
          <w:szCs w:val="22"/>
        </w:rPr>
      </w:pPr>
      <w:del w:id="6975" w:author="AbbVie14" w:date="2025-05-09T10:33:00Z">
        <w:r w:rsidRPr="00295E71">
          <w:rPr>
            <w:sz w:val="22"/>
            <w:szCs w:val="22"/>
          </w:rPr>
          <w:delText>Non sono disponibili dati preclinici sugli effetti di adalimumab sulla fertilità.</w:delText>
        </w:r>
      </w:del>
    </w:p>
    <w:p w:rsidR="006224C2" w:rsidRPr="00295E71" w14:paraId="31B7F15F" w14:textId="77777777">
      <w:pPr>
        <w:tabs>
          <w:tab w:val="left" w:pos="567"/>
        </w:tabs>
        <w:ind w:left="567" w:hanging="567"/>
        <w:jc w:val="both"/>
        <w:rPr>
          <w:del w:id="6976" w:author="AbbVie14" w:date="2025-05-09T10:33:00Z"/>
          <w:b/>
          <w:bCs/>
          <w:sz w:val="22"/>
          <w:szCs w:val="22"/>
        </w:rPr>
      </w:pPr>
    </w:p>
    <w:p w:rsidR="006224C2" w:rsidRPr="00295E71" w14:paraId="78B39749" w14:textId="77777777">
      <w:pPr>
        <w:tabs>
          <w:tab w:val="left" w:pos="567"/>
        </w:tabs>
        <w:ind w:left="567" w:hanging="567"/>
        <w:jc w:val="both"/>
        <w:rPr>
          <w:del w:id="6977" w:author="AbbVie14" w:date="2025-05-09T10:33:00Z"/>
          <w:b/>
          <w:bCs/>
          <w:sz w:val="22"/>
          <w:szCs w:val="22"/>
        </w:rPr>
      </w:pPr>
      <w:del w:id="6978" w:author="AbbVie14" w:date="2025-05-09T10:33:00Z">
        <w:r w:rsidRPr="00295E71">
          <w:rPr>
            <w:b/>
            <w:bCs/>
            <w:sz w:val="22"/>
            <w:szCs w:val="22"/>
          </w:rPr>
          <w:delText>4.7</w:delText>
        </w:r>
      </w:del>
      <w:del w:id="6979" w:author="AbbVie14" w:date="2025-05-09T10:33:00Z">
        <w:r w:rsidRPr="00295E71">
          <w:rPr>
            <w:b/>
            <w:bCs/>
            <w:sz w:val="22"/>
            <w:szCs w:val="22"/>
          </w:rPr>
          <w:tab/>
          <w:delText>Effetti sulla capacità di guidare veicoli e sull’uso di macchinari</w:delText>
        </w:r>
      </w:del>
    </w:p>
    <w:p w:rsidR="006224C2" w:rsidRPr="00295E71" w14:paraId="1CBFBA31" w14:textId="77777777">
      <w:pPr>
        <w:tabs>
          <w:tab w:val="left" w:pos="567"/>
        </w:tabs>
        <w:jc w:val="both"/>
        <w:rPr>
          <w:del w:id="6980" w:author="AbbVie14" w:date="2025-05-09T10:33:00Z"/>
          <w:sz w:val="22"/>
          <w:szCs w:val="22"/>
        </w:rPr>
      </w:pPr>
    </w:p>
    <w:p w:rsidR="006224C2" w:rsidRPr="00295E71" w14:paraId="0256A838" w14:textId="77777777">
      <w:pPr>
        <w:tabs>
          <w:tab w:val="left" w:pos="567"/>
        </w:tabs>
        <w:jc w:val="both"/>
        <w:rPr>
          <w:del w:id="6981" w:author="AbbVie14" w:date="2025-05-09T10:33:00Z"/>
          <w:sz w:val="22"/>
          <w:szCs w:val="22"/>
        </w:rPr>
      </w:pPr>
      <w:del w:id="6982" w:author="AbbVie14" w:date="2025-05-09T10:33:00Z">
        <w:r w:rsidRPr="00295E71">
          <w:rPr>
            <w:sz w:val="22"/>
            <w:szCs w:val="22"/>
          </w:rPr>
          <w:delText>Humira altera lievemente la capacità di guidare veicolie di usare macchinari. Dopo la somministrazione di Humira si possono verificare vertigini e disturbi della vista</w:delText>
        </w:r>
      </w:del>
      <w:del w:id="6983" w:author="AbbVie14" w:date="2025-05-09T10:33:00Z">
        <w:r w:rsidRPr="00295E71" w:rsidR="00585426">
          <w:rPr>
            <w:sz w:val="22"/>
            <w:szCs w:val="22"/>
          </w:rPr>
          <w:delText xml:space="preserve"> </w:delText>
        </w:r>
      </w:del>
      <w:del w:id="6984" w:author="AbbVie14" w:date="2025-05-09T10:33:00Z">
        <w:r w:rsidRPr="00295E71">
          <w:rPr>
            <w:sz w:val="22"/>
            <w:szCs w:val="22"/>
          </w:rPr>
          <w:delText>(vedere paragrafo 4.8).</w:delText>
        </w:r>
      </w:del>
    </w:p>
    <w:p w:rsidR="006224C2" w:rsidRPr="00295E71" w14:paraId="51802B95" w14:textId="77777777">
      <w:pPr>
        <w:tabs>
          <w:tab w:val="left" w:pos="567"/>
        </w:tabs>
        <w:jc w:val="both"/>
        <w:rPr>
          <w:del w:id="6985" w:author="AbbVie14" w:date="2025-05-09T10:33:00Z"/>
          <w:sz w:val="22"/>
          <w:szCs w:val="22"/>
        </w:rPr>
      </w:pPr>
    </w:p>
    <w:p w:rsidR="006224C2" w:rsidRPr="00295E71" w14:paraId="3D14D8A9" w14:textId="77777777">
      <w:pPr>
        <w:numPr>
          <w:ilvl w:val="1"/>
          <w:numId w:val="8"/>
        </w:numPr>
        <w:tabs>
          <w:tab w:val="left" w:pos="567"/>
        </w:tabs>
        <w:jc w:val="both"/>
        <w:rPr>
          <w:del w:id="6986" w:author="AbbVie14" w:date="2025-05-09T10:33:00Z"/>
          <w:b/>
          <w:bCs/>
          <w:sz w:val="22"/>
          <w:szCs w:val="22"/>
        </w:rPr>
      </w:pPr>
      <w:del w:id="6987" w:author="AbbVie14" w:date="2025-05-09T10:33:00Z">
        <w:r w:rsidRPr="00295E71">
          <w:rPr>
            <w:b/>
            <w:bCs/>
            <w:sz w:val="22"/>
            <w:szCs w:val="22"/>
          </w:rPr>
          <w:delText>Effetti indesiderati</w:delText>
        </w:r>
      </w:del>
    </w:p>
    <w:p w:rsidR="006224C2" w:rsidRPr="00295E71" w14:paraId="63C89A98" w14:textId="77777777">
      <w:pPr>
        <w:tabs>
          <w:tab w:val="left" w:pos="567"/>
        </w:tabs>
        <w:jc w:val="both"/>
        <w:rPr>
          <w:del w:id="6988" w:author="AbbVie14" w:date="2025-05-09T10:33:00Z"/>
          <w:sz w:val="22"/>
          <w:szCs w:val="22"/>
        </w:rPr>
      </w:pPr>
    </w:p>
    <w:p w:rsidR="006224C2" w:rsidRPr="00295E71" w14:paraId="21DF92D6" w14:textId="77777777">
      <w:pPr>
        <w:pStyle w:val="BodyTextIndent"/>
        <w:tabs>
          <w:tab w:val="left" w:pos="567"/>
        </w:tabs>
        <w:rPr>
          <w:del w:id="6989" w:author="AbbVie14" w:date="2025-05-09T10:33:00Z"/>
          <w:u w:val="single"/>
        </w:rPr>
      </w:pPr>
      <w:del w:id="6990" w:author="AbbVie14" w:date="2025-05-09T10:33:00Z">
        <w:r w:rsidRPr="00295E71">
          <w:rPr>
            <w:u w:val="single"/>
          </w:rPr>
          <w:delText>Riassunto del profilo di sicurezza</w:delText>
        </w:r>
      </w:del>
    </w:p>
    <w:p w:rsidR="006224C2" w:rsidRPr="00295E71" w14:paraId="1910D883" w14:textId="77777777">
      <w:pPr>
        <w:pStyle w:val="BodyTextIndent"/>
        <w:tabs>
          <w:tab w:val="left" w:pos="567"/>
        </w:tabs>
        <w:rPr>
          <w:del w:id="6991" w:author="AbbVie14" w:date="2025-05-09T10:33:00Z"/>
        </w:rPr>
      </w:pPr>
    </w:p>
    <w:p w:rsidR="006224C2" w:rsidRPr="00295E71" w14:paraId="364ED8FB" w14:textId="77777777">
      <w:pPr>
        <w:tabs>
          <w:tab w:val="left" w:pos="567"/>
        </w:tabs>
        <w:autoSpaceDE w:val="0"/>
        <w:autoSpaceDN w:val="0"/>
        <w:adjustRightInd w:val="0"/>
        <w:jc w:val="both"/>
        <w:rPr>
          <w:del w:id="6992" w:author="AbbVie14" w:date="2025-05-09T10:33:00Z"/>
          <w:color w:val="000000"/>
          <w:sz w:val="22"/>
          <w:szCs w:val="22"/>
        </w:rPr>
      </w:pPr>
      <w:del w:id="6993" w:author="AbbVie14" w:date="2025-05-09T10:33:00Z">
        <w:r w:rsidRPr="00295E71">
          <w:rPr>
            <w:color w:val="000000"/>
            <w:sz w:val="22"/>
            <w:szCs w:val="22"/>
          </w:rPr>
          <w:delText xml:space="preserve">Humira è stato studiato in 9.506 pazienti nel corso di studi clinici </w:delText>
        </w:r>
      </w:del>
      <w:del w:id="6994" w:author="AbbVie14" w:date="2025-05-09T10:33:00Z">
        <w:r w:rsidRPr="00020442" w:rsidR="00D96F2B">
          <w:rPr>
            <w:color w:val="000000"/>
            <w:sz w:val="22"/>
            <w:szCs w:val="22"/>
          </w:rPr>
          <w:delText>registrativi</w:delText>
        </w:r>
      </w:del>
      <w:del w:id="6995" w:author="AbbVie14" w:date="2025-05-09T10:33:00Z">
        <w:r w:rsidRPr="00295E71">
          <w:rPr>
            <w:color w:val="000000"/>
            <w:sz w:val="22"/>
            <w:szCs w:val="22"/>
          </w:rPr>
          <w:delText xml:space="preserve"> controllati e in aperto per un periodo fino a 60 mesi o superiore. Tali studi sono stati effettuati su pazienti affetti da artrite reumatoide</w:delText>
        </w:r>
      </w:del>
      <w:del w:id="6996" w:author="AbbVie14" w:date="2025-05-09T10:33:00Z">
        <w:r w:rsidR="00D96F2B">
          <w:rPr>
            <w:color w:val="000000"/>
            <w:sz w:val="22"/>
            <w:szCs w:val="22"/>
          </w:rPr>
          <w:delText xml:space="preserve"> </w:delText>
        </w:r>
      </w:del>
      <w:del w:id="6997" w:author="AbbVie14" w:date="2025-05-09T10:33:00Z">
        <w:r w:rsidRPr="00295E71">
          <w:rPr>
            <w:color w:val="000000"/>
            <w:sz w:val="22"/>
            <w:szCs w:val="22"/>
          </w:rPr>
          <w:delText>ad insorgenza precoce e di lunga durata, artrite idiopatica giovanile(artrite idiopatica giovanile poliarticolare e artrite associata ad entesite), così come su pazienti affetti da spondiloartrite assiale (spondilite anchilosante e spondiloartrite assiale senza evidenza radiografica di SA), artrite psoriasica, malattia di Crohn, colite ulcerosa, psoriasi, idrosadenite suppurativa e uveite. Gli studi registrativi controllati sono stati condotti su 6.089pazienti sottoposti a trattamento con Humira e su 3.801 pazienti cui è stato somministrato placebo o un comparatore attivo durante il periodo di controllo.</w:delText>
        </w:r>
      </w:del>
    </w:p>
    <w:p w:rsidR="006224C2" w:rsidRPr="00295E71" w14:paraId="09E6E24A" w14:textId="77777777">
      <w:pPr>
        <w:tabs>
          <w:tab w:val="left" w:pos="567"/>
        </w:tabs>
        <w:autoSpaceDE w:val="0"/>
        <w:autoSpaceDN w:val="0"/>
        <w:adjustRightInd w:val="0"/>
        <w:jc w:val="both"/>
        <w:rPr>
          <w:del w:id="6998" w:author="AbbVie14" w:date="2025-05-09T10:33:00Z"/>
          <w:color w:val="000000"/>
          <w:sz w:val="22"/>
          <w:szCs w:val="22"/>
        </w:rPr>
      </w:pPr>
    </w:p>
    <w:p w:rsidR="006224C2" w:rsidRPr="00295E71" w14:paraId="7983E0D5" w14:textId="77777777">
      <w:pPr>
        <w:pStyle w:val="BodyTextIndent"/>
        <w:tabs>
          <w:tab w:val="left" w:pos="567"/>
        </w:tabs>
        <w:rPr>
          <w:del w:id="6999" w:author="AbbVie14" w:date="2025-05-09T10:33:00Z"/>
        </w:rPr>
      </w:pPr>
      <w:del w:id="7000" w:author="AbbVie14" w:date="2025-05-09T10:33:00Z">
        <w:r w:rsidRPr="00295E71">
          <w:delText>La percentuale di pazienti che hanno interrotto il trattamento a causa di eventi avversi durante la fase in doppio cieco, controllata, degli studi registrativi è stata del 5,9% per i pazienti che hanno assunto Humira e del 5,4% per i pazienti trattati con il controllo.</w:delText>
        </w:r>
      </w:del>
      <w:del w:id="7001" w:author="AbbVie14" w:date="2025-05-09T10:33:00Z">
        <w:r w:rsidR="00D96F2B">
          <w:delText xml:space="preserve"> </w:delText>
        </w:r>
      </w:del>
      <w:del w:id="7002" w:author="AbbVie14" w:date="2025-05-09T10:33:00Z">
        <w:r w:rsidRPr="00295E71">
          <w:delText>Le reazioni avverse più comunemente riportate sono infezioni (quali rinofaringiti, infezione delle alte vie respiratorie e sinusite), reazioni al sito di somministrazione (eritema, prurito, emorragia, dolore o tumefazione), cefalea e dolore muscoloscheletrico.</w:delText>
        </w:r>
      </w:del>
    </w:p>
    <w:p w:rsidR="006224C2" w:rsidRPr="00295E71" w14:paraId="5355552C" w14:textId="77777777">
      <w:pPr>
        <w:pStyle w:val="BodyTextIndent"/>
        <w:tabs>
          <w:tab w:val="left" w:pos="567"/>
        </w:tabs>
        <w:rPr>
          <w:del w:id="7003" w:author="AbbVie14" w:date="2025-05-09T10:33:00Z"/>
        </w:rPr>
      </w:pPr>
    </w:p>
    <w:p w:rsidR="006224C2" w:rsidRPr="00295E71" w14:paraId="0BB15453" w14:textId="77777777">
      <w:pPr>
        <w:pStyle w:val="BodyTextIndent"/>
        <w:tabs>
          <w:tab w:val="left" w:pos="567"/>
        </w:tabs>
        <w:rPr>
          <w:del w:id="7004" w:author="AbbVie14" w:date="2025-05-09T10:33:00Z"/>
        </w:rPr>
      </w:pPr>
      <w:del w:id="7005" w:author="AbbVie14" w:date="2025-05-09T10:33:00Z">
        <w:r w:rsidRPr="00295E71">
          <w:delText xml:space="preserve">Sono state riportate reazioni avverse gravi per Humira. I farmaci anti-TNF, come Humira, influenzano il sistema immunitario e il loro uso può influenzare le difese dell’organismo contro infezioni e cancro. </w:delText>
        </w:r>
      </w:del>
    </w:p>
    <w:p w:rsidR="006224C2" w:rsidRPr="00295E71" w14:paraId="2CFCB7BD" w14:textId="77777777">
      <w:pPr>
        <w:pStyle w:val="BodyTextIndent"/>
        <w:tabs>
          <w:tab w:val="left" w:pos="567"/>
        </w:tabs>
        <w:rPr>
          <w:del w:id="7006" w:author="AbbVie14" w:date="2025-05-09T10:33:00Z"/>
        </w:rPr>
      </w:pPr>
      <w:del w:id="7007" w:author="AbbVie14" w:date="2025-05-09T10:33:00Z">
        <w:r w:rsidRPr="00295E71">
          <w:delText xml:space="preserve">A seguito della somministrazione di Humira, sono stati riportati anche casi di infezioni fatali </w:delText>
        </w:r>
      </w:del>
      <w:del w:id="7008" w:author="AbbVie14" w:date="2025-05-09T10:33:00Z">
        <w:r w:rsidRPr="00020442" w:rsidR="00D96F2B">
          <w:delText xml:space="preserve">e potenzialmente fatali </w:delText>
        </w:r>
      </w:del>
      <w:del w:id="7009" w:author="AbbVie14" w:date="2025-05-09T10:33:00Z">
        <w:r w:rsidRPr="00295E71">
          <w:delText>(inclusi casi di sepsi, infezioni opportunistiche e TBC), riattivazione dell’infezione da HBV e vari tipi di tumori maligni (inclusi casi di leucemia, linfomi e linfoma epato-splenico a cellule T-HSTCL).</w:delText>
        </w:r>
      </w:del>
    </w:p>
    <w:p w:rsidR="006224C2" w:rsidRPr="00295E71" w14:paraId="7621A15A" w14:textId="77777777">
      <w:pPr>
        <w:pStyle w:val="BodyTextIndent"/>
        <w:tabs>
          <w:tab w:val="left" w:pos="567"/>
        </w:tabs>
        <w:rPr>
          <w:del w:id="7010" w:author="AbbVie14" w:date="2025-05-09T10:33:00Z"/>
        </w:rPr>
      </w:pPr>
    </w:p>
    <w:p w:rsidR="006224C2" w:rsidRPr="00295E71" w14:paraId="0337F5C8" w14:textId="77777777">
      <w:pPr>
        <w:pStyle w:val="BodyTextIndent"/>
        <w:tabs>
          <w:tab w:val="left" w:pos="567"/>
        </w:tabs>
        <w:rPr>
          <w:del w:id="7011" w:author="AbbVie14" w:date="2025-05-09T10:33:00Z"/>
        </w:rPr>
      </w:pPr>
      <w:del w:id="7012" w:author="AbbVie14" w:date="2025-05-09T10:33:00Z">
        <w:r w:rsidRPr="00295E71">
          <w:delText xml:space="preserve">Sono state inoltre riportate gravi reazioni ematologiche, neurologiche e autoimmuni. Queste ultime includono rari casi di pancitopenia, anemia aplastica, eventi di demielinizzazione centrale e periferica e casi di lupus, condizioni lupus-correlate e sindrome di Stevens-Johnson. </w:delText>
        </w:r>
      </w:del>
    </w:p>
    <w:p w:rsidR="006224C2" w:rsidRPr="00295E71" w14:paraId="14DCA558" w14:textId="77777777">
      <w:pPr>
        <w:tabs>
          <w:tab w:val="left" w:pos="567"/>
        </w:tabs>
        <w:autoSpaceDE w:val="0"/>
        <w:autoSpaceDN w:val="0"/>
        <w:adjustRightInd w:val="0"/>
        <w:jc w:val="both"/>
        <w:rPr>
          <w:del w:id="7013" w:author="AbbVie14" w:date="2025-05-09T10:33:00Z"/>
          <w:color w:val="000000"/>
          <w:sz w:val="22"/>
          <w:szCs w:val="22"/>
        </w:rPr>
      </w:pPr>
    </w:p>
    <w:p w:rsidR="006224C2" w:rsidRPr="00295E71" w14:paraId="6FBFD079" w14:textId="77777777">
      <w:pPr>
        <w:tabs>
          <w:tab w:val="left" w:pos="567"/>
        </w:tabs>
        <w:autoSpaceDE w:val="0"/>
        <w:autoSpaceDN w:val="0"/>
        <w:adjustRightInd w:val="0"/>
        <w:jc w:val="both"/>
        <w:rPr>
          <w:del w:id="7014" w:author="AbbVie14" w:date="2025-05-09T10:33:00Z"/>
          <w:color w:val="000000"/>
          <w:sz w:val="22"/>
          <w:szCs w:val="22"/>
          <w:u w:val="single"/>
        </w:rPr>
      </w:pPr>
      <w:del w:id="7015" w:author="AbbVie14" w:date="2025-05-09T10:33:00Z">
        <w:r w:rsidRPr="00295E71">
          <w:rPr>
            <w:color w:val="000000"/>
            <w:sz w:val="22"/>
            <w:szCs w:val="22"/>
            <w:u w:val="single"/>
          </w:rPr>
          <w:delText>Popolazione pediatrica</w:delText>
        </w:r>
      </w:del>
    </w:p>
    <w:p w:rsidR="006224C2" w:rsidRPr="00295E71" w14:paraId="2CADA8F2" w14:textId="77777777">
      <w:pPr>
        <w:tabs>
          <w:tab w:val="left" w:pos="567"/>
        </w:tabs>
        <w:autoSpaceDE w:val="0"/>
        <w:autoSpaceDN w:val="0"/>
        <w:adjustRightInd w:val="0"/>
        <w:jc w:val="both"/>
        <w:rPr>
          <w:del w:id="7016" w:author="AbbVie14" w:date="2025-05-09T10:33:00Z"/>
          <w:color w:val="000000"/>
          <w:sz w:val="22"/>
          <w:szCs w:val="22"/>
        </w:rPr>
      </w:pPr>
    </w:p>
    <w:p w:rsidR="006224C2" w:rsidRPr="00295E71" w14:paraId="1D37107A" w14:textId="77777777">
      <w:pPr>
        <w:pStyle w:val="BodyTextIndent"/>
        <w:tabs>
          <w:tab w:val="left" w:pos="567"/>
        </w:tabs>
        <w:rPr>
          <w:del w:id="7017" w:author="AbbVie14" w:date="2025-05-09T10:33:00Z"/>
        </w:rPr>
      </w:pPr>
      <w:del w:id="7018" w:author="AbbVie14" w:date="2025-05-09T10:33:00Z">
        <w:r w:rsidRPr="00295E71">
          <w:delText>In generale, gli eventi avversi nei pazienti pediatrici sono risultati simili a quelli riscontrati nei pazienti adulti sia in termini di frequenza che di tipologia.</w:delText>
        </w:r>
      </w:del>
    </w:p>
    <w:p w:rsidR="006224C2" w:rsidRPr="00295E71" w14:paraId="647FD383" w14:textId="77777777">
      <w:pPr>
        <w:rPr>
          <w:del w:id="7019" w:author="AbbVie14" w:date="2025-05-09T10:33:00Z"/>
          <w:color w:val="000000"/>
          <w:sz w:val="22"/>
          <w:szCs w:val="22"/>
          <w:u w:val="single"/>
          <w:lang w:eastAsia="en-US"/>
        </w:rPr>
      </w:pPr>
    </w:p>
    <w:p w:rsidR="006224C2" w:rsidRPr="00295E71" w:rsidP="005F2B94" w14:paraId="16E23577" w14:textId="77777777">
      <w:pPr>
        <w:pStyle w:val="BodyTextIndent"/>
        <w:keepLines/>
        <w:tabs>
          <w:tab w:val="left" w:pos="567"/>
        </w:tabs>
        <w:rPr>
          <w:del w:id="7020" w:author="AbbVie14" w:date="2025-05-09T10:33:00Z"/>
          <w:u w:val="single"/>
        </w:rPr>
      </w:pPr>
      <w:del w:id="7021" w:author="AbbVie14" w:date="2025-05-09T10:33:00Z">
        <w:r w:rsidRPr="00295E71">
          <w:rPr>
            <w:u w:val="single"/>
          </w:rPr>
          <w:delText>Tabella dell’elenco delle reazioni avverse</w:delText>
        </w:r>
      </w:del>
    </w:p>
    <w:p w:rsidR="006224C2" w:rsidRPr="00295E71" w:rsidP="005F2B94" w14:paraId="7F29C6C8" w14:textId="77777777">
      <w:pPr>
        <w:pStyle w:val="BodyTextIndent"/>
        <w:keepLines/>
        <w:tabs>
          <w:tab w:val="left" w:pos="567"/>
        </w:tabs>
        <w:rPr>
          <w:del w:id="7022" w:author="AbbVie14" w:date="2025-05-09T10:33:00Z"/>
        </w:rPr>
      </w:pPr>
    </w:p>
    <w:p w:rsidR="006224C2" w:rsidRPr="00295E71" w:rsidP="005F2B94" w14:paraId="00BBDB79" w14:textId="77777777">
      <w:pPr>
        <w:keepLines/>
        <w:tabs>
          <w:tab w:val="left" w:pos="567"/>
        </w:tabs>
        <w:jc w:val="both"/>
        <w:rPr>
          <w:del w:id="7023" w:author="AbbVie14" w:date="2025-05-09T10:33:00Z"/>
          <w:sz w:val="22"/>
          <w:szCs w:val="22"/>
        </w:rPr>
      </w:pPr>
      <w:del w:id="7024" w:author="AbbVie14" w:date="2025-05-09T10:33:00Z">
        <w:r w:rsidRPr="00295E71">
          <w:rPr>
            <w:sz w:val="22"/>
            <w:szCs w:val="22"/>
          </w:rPr>
          <w:delText xml:space="preserve">La seguente lista di reazioni avverse è basata su esperienza proveniente da studi clinici ed esperienze post marketing </w:delText>
        </w:r>
      </w:del>
      <w:del w:id="7025" w:author="AbbVie14" w:date="2025-05-09T10:33:00Z">
        <w:r w:rsidR="00D96F2B">
          <w:rPr>
            <w:sz w:val="22"/>
            <w:szCs w:val="22"/>
          </w:rPr>
          <w:delText xml:space="preserve">ed è </w:delText>
        </w:r>
      </w:del>
      <w:del w:id="7026" w:author="AbbVie14" w:date="2025-05-09T10:33:00Z">
        <w:r w:rsidRPr="00295E71">
          <w:rPr>
            <w:sz w:val="22"/>
            <w:szCs w:val="22"/>
          </w:rPr>
          <w:delText>riportat</w:delText>
        </w:r>
      </w:del>
      <w:del w:id="7027" w:author="AbbVie14" w:date="2025-05-09T10:33:00Z">
        <w:r w:rsidR="00D96F2B">
          <w:rPr>
            <w:sz w:val="22"/>
            <w:szCs w:val="22"/>
          </w:rPr>
          <w:delText>a</w:delText>
        </w:r>
      </w:del>
      <w:del w:id="7028" w:author="AbbVie14" w:date="2025-05-09T10:33:00Z">
        <w:r w:rsidRPr="00295E71">
          <w:rPr>
            <w:sz w:val="22"/>
            <w:szCs w:val="22"/>
          </w:rPr>
          <w:delText xml:space="preserve"> nella Tabella </w:delText>
        </w:r>
      </w:del>
      <w:del w:id="7029" w:author="AbbVie14" w:date="2025-05-09T10:33:00Z">
        <w:r w:rsidR="005C4AD7">
          <w:rPr>
            <w:sz w:val="22"/>
            <w:szCs w:val="22"/>
          </w:rPr>
          <w:delText>7</w:delText>
        </w:r>
      </w:del>
      <w:del w:id="7030" w:author="AbbVie14" w:date="2025-05-09T10:33:00Z">
        <w:r w:rsidRPr="00295E71" w:rsidR="0044431A">
          <w:rPr>
            <w:sz w:val="22"/>
            <w:szCs w:val="22"/>
          </w:rPr>
          <w:delText xml:space="preserve"> </w:delText>
        </w:r>
      </w:del>
      <w:del w:id="7031" w:author="AbbVie14" w:date="2025-05-09T10:33:00Z">
        <w:r w:rsidRPr="00295E71">
          <w:rPr>
            <w:sz w:val="22"/>
            <w:szCs w:val="22"/>
          </w:rPr>
          <w:delText>classificata in base al sistema/organo coinvolto e alla frequenza: molto comune (</w:delText>
        </w:r>
      </w:del>
      <w:del w:id="7032" w:author="AbbVie14" w:date="2025-05-09T10:33:00Z">
        <w:r w:rsidRPr="00295E71">
          <w:rPr>
            <w:sz w:val="22"/>
            <w:szCs w:val="22"/>
            <w:u w:val="single"/>
          </w:rPr>
          <w:delText>&gt;</w:delText>
        </w:r>
      </w:del>
      <w:del w:id="7033" w:author="AbbVie14" w:date="2025-05-09T10:33:00Z">
        <w:r w:rsidRPr="00295E71">
          <w:rPr>
            <w:sz w:val="22"/>
            <w:szCs w:val="22"/>
          </w:rPr>
          <w:delText xml:space="preserve">1/10); </w:delText>
        </w:r>
      </w:del>
      <w:del w:id="7034" w:author="AbbVie14" w:date="2025-05-09T10:33:00Z">
        <w:r w:rsidRPr="00295E71">
          <w:rPr>
            <w:color w:val="000000"/>
            <w:sz w:val="22"/>
            <w:szCs w:val="22"/>
          </w:rPr>
          <w:delText>comune (≥1/100</w:delText>
        </w:r>
      </w:del>
      <w:del w:id="7035" w:author="AbbVie14" w:date="2025-05-09T10:33:00Z">
        <w:r w:rsidR="00D96F2B">
          <w:rPr>
            <w:color w:val="000000"/>
            <w:sz w:val="22"/>
            <w:szCs w:val="22"/>
          </w:rPr>
          <w:delText>,</w:delText>
        </w:r>
      </w:del>
      <w:del w:id="7036" w:author="AbbVie14" w:date="2025-05-09T10:33:00Z">
        <w:r w:rsidRPr="00295E71">
          <w:rPr>
            <w:color w:val="000000"/>
            <w:sz w:val="22"/>
            <w:szCs w:val="22"/>
          </w:rPr>
          <w:delText> &lt;1/10); non comune (≥1/1.000</w:delText>
        </w:r>
      </w:del>
      <w:del w:id="7037" w:author="AbbVie14" w:date="2025-05-09T10:33:00Z">
        <w:r w:rsidR="00D96F2B">
          <w:rPr>
            <w:color w:val="000000"/>
            <w:sz w:val="22"/>
            <w:szCs w:val="22"/>
          </w:rPr>
          <w:delText>,</w:delText>
        </w:r>
      </w:del>
      <w:del w:id="7038" w:author="AbbVie14" w:date="2025-05-09T10:33:00Z">
        <w:r w:rsidRPr="00295E71">
          <w:rPr>
            <w:color w:val="000000"/>
            <w:sz w:val="22"/>
            <w:szCs w:val="22"/>
          </w:rPr>
          <w:delText> &lt;1/100),</w:delText>
        </w:r>
      </w:del>
      <w:del w:id="7039" w:author="AbbVie14" w:date="2025-05-09T10:33:00Z">
        <w:r w:rsidRPr="00295E71">
          <w:rPr>
            <w:sz w:val="22"/>
            <w:szCs w:val="22"/>
          </w:rPr>
          <w:delText xml:space="preserve"> raro (≥1/10.000</w:delText>
        </w:r>
      </w:del>
      <w:del w:id="7040" w:author="AbbVie14" w:date="2025-05-09T10:33:00Z">
        <w:r w:rsidR="00D96F2B">
          <w:rPr>
            <w:sz w:val="22"/>
            <w:szCs w:val="22"/>
          </w:rPr>
          <w:delText>,</w:delText>
        </w:r>
      </w:del>
      <w:del w:id="7041" w:author="AbbVie14" w:date="2025-05-09T10:33:00Z">
        <w:r w:rsidRPr="00295E71">
          <w:rPr>
            <w:sz w:val="22"/>
            <w:szCs w:val="22"/>
          </w:rPr>
          <w:delText> &lt;1/1.000)e non nota(la frequenza non può essere definita sulla base dei dati disponibili). All’interno di ogni gruppo di frequenza, gli effetti indesiderati sono riportati in ordine decrescente di gravità. È stata inclusa la frequenza più elevata osservata tra le varie indicazioni. Nella colonna Classificazione per sistemi ed organi compare un asterisco (*) nel caso in cui siano presenti ulteriori informazioni contenute nei paragrafi 4.3, 4.4 e 4.8.</w:delText>
        </w:r>
      </w:del>
    </w:p>
    <w:p w:rsidR="005F2B94" w:rsidRPr="00295E71" w:rsidP="005F2B94" w14:paraId="41DF6B54" w14:textId="77777777">
      <w:pPr>
        <w:keepNext/>
        <w:keepLines/>
        <w:tabs>
          <w:tab w:val="left" w:pos="567"/>
        </w:tabs>
        <w:jc w:val="both"/>
        <w:rPr>
          <w:del w:id="7042" w:author="AbbVie14" w:date="2025-05-09T10:33:00Z"/>
          <w:sz w:val="22"/>
          <w:szCs w:val="22"/>
        </w:rPr>
      </w:pPr>
    </w:p>
    <w:p w:rsidR="006224C2" w:rsidRPr="00295E71" w:rsidP="00F57FE5" w14:paraId="33253C1A" w14:textId="77777777">
      <w:pPr>
        <w:keepNext/>
        <w:keepLines/>
        <w:jc w:val="center"/>
        <w:rPr>
          <w:del w:id="7043" w:author="AbbVie14" w:date="2025-05-09T10:33:00Z"/>
          <w:b/>
          <w:bCs/>
          <w:sz w:val="22"/>
          <w:szCs w:val="22"/>
        </w:rPr>
      </w:pPr>
      <w:del w:id="7044" w:author="AbbVie14" w:date="2025-05-09T10:33:00Z">
        <w:r w:rsidRPr="00295E71">
          <w:rPr>
            <w:b/>
            <w:bCs/>
            <w:sz w:val="22"/>
            <w:szCs w:val="22"/>
          </w:rPr>
          <w:delText xml:space="preserve">Tabella </w:delText>
        </w:r>
      </w:del>
      <w:del w:id="7045" w:author="AbbVie14" w:date="2025-05-09T10:33:00Z">
        <w:r w:rsidR="005C4AD7">
          <w:rPr>
            <w:b/>
            <w:bCs/>
            <w:sz w:val="22"/>
            <w:szCs w:val="22"/>
          </w:rPr>
          <w:delText>7</w:delText>
        </w:r>
      </w:del>
    </w:p>
    <w:p w:rsidR="006224C2" w:rsidRPr="00295E71" w:rsidP="00F57FE5" w14:paraId="367F746F" w14:textId="77777777">
      <w:pPr>
        <w:keepNext/>
        <w:keepLines/>
        <w:tabs>
          <w:tab w:val="left" w:pos="567"/>
        </w:tabs>
        <w:jc w:val="center"/>
        <w:rPr>
          <w:del w:id="7046" w:author="AbbVie14" w:date="2025-05-09T10:33:00Z"/>
          <w:b/>
          <w:bCs/>
          <w:sz w:val="22"/>
          <w:szCs w:val="22"/>
        </w:rPr>
      </w:pPr>
      <w:del w:id="7047" w:author="AbbVie14" w:date="2025-05-09T10:33:00Z">
        <w:r w:rsidRPr="00295E71">
          <w:rPr>
            <w:b/>
            <w:bCs/>
            <w:sz w:val="22"/>
            <w:szCs w:val="22"/>
          </w:rPr>
          <w:delText xml:space="preserve">Effetti indesiderati </w:delText>
        </w:r>
      </w:del>
    </w:p>
    <w:p w:rsidR="006224C2" w:rsidRPr="00295E71" w:rsidP="00F57FE5" w14:paraId="52A288A3" w14:textId="77777777">
      <w:pPr>
        <w:keepNext/>
        <w:keepLines/>
        <w:tabs>
          <w:tab w:val="left" w:pos="567"/>
        </w:tabs>
        <w:autoSpaceDE w:val="0"/>
        <w:autoSpaceDN w:val="0"/>
        <w:adjustRightInd w:val="0"/>
        <w:rPr>
          <w:del w:id="7048" w:author="AbbVie14" w:date="2025-05-09T10:33:00Z"/>
          <w:color w:val="00000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9"/>
        <w:gridCol w:w="2038"/>
        <w:gridCol w:w="4463"/>
      </w:tblGrid>
      <w:tr w14:paraId="6E81CD1F" w14:textId="77777777" w:rsidTr="00C04163">
        <w:tblPrEx>
          <w:tblW w:w="0" w:type="auto"/>
          <w:tblLook w:val="01E0"/>
        </w:tblPrEx>
        <w:trPr>
          <w:tblHeader/>
          <w:del w:id="7049" w:author="AbbVie14" w:date="2025-05-09T10:33:00Z"/>
        </w:trPr>
        <w:tc>
          <w:tcPr>
            <w:tcW w:w="2559" w:type="dxa"/>
          </w:tcPr>
          <w:p w:rsidR="006224C2" w:rsidRPr="00295E71" w:rsidP="00F57FE5" w14:paraId="4060A58A" w14:textId="77777777">
            <w:pPr>
              <w:pStyle w:val="IndexHeading"/>
              <w:keepNext/>
              <w:keepLines/>
              <w:widowControl w:val="0"/>
              <w:tabs>
                <w:tab w:val="clear" w:pos="567"/>
              </w:tabs>
              <w:spacing w:before="120" w:after="120" w:line="240" w:lineRule="auto"/>
              <w:jc w:val="center"/>
              <w:rPr>
                <w:del w:id="7050" w:author="AbbVie14" w:date="2025-05-09T10:33:00Z"/>
                <w:rFonts w:ascii="Times New Roman" w:hAnsi="Times New Roman" w:cs="Times New Roman"/>
                <w:lang w:val="it-IT" w:eastAsia="it-IT"/>
              </w:rPr>
            </w:pPr>
            <w:del w:id="7051" w:author="AbbVie14" w:date="2025-05-09T10:33:00Z">
              <w:r w:rsidRPr="00295E71">
                <w:rPr>
                  <w:rFonts w:ascii="Times New Roman" w:hAnsi="Times New Roman" w:cs="Times New Roman"/>
                  <w:lang w:val="it-IT" w:eastAsia="it-IT"/>
                </w:rPr>
                <w:delText>Classificazione per sistemi e organi</w:delText>
              </w:r>
            </w:del>
          </w:p>
        </w:tc>
        <w:tc>
          <w:tcPr>
            <w:tcW w:w="2038" w:type="dxa"/>
          </w:tcPr>
          <w:p w:rsidR="006224C2" w:rsidRPr="00295E71" w:rsidP="00F57FE5" w14:paraId="56BB6E2E" w14:textId="77777777">
            <w:pPr>
              <w:pStyle w:val="EMEATitle"/>
              <w:keepNext/>
              <w:keepLines/>
              <w:widowControl w:val="0"/>
              <w:tabs>
                <w:tab w:val="clear" w:pos="562"/>
              </w:tabs>
              <w:suppressAutoHyphens w:val="0"/>
              <w:spacing w:before="120" w:after="120"/>
              <w:rPr>
                <w:del w:id="7052" w:author="AbbVie14" w:date="2025-05-09T10:33:00Z"/>
                <w:rFonts w:ascii="Times New Roman" w:hAnsi="Times New Roman"/>
                <w:caps w:val="0"/>
                <w:lang w:val="it-IT"/>
              </w:rPr>
            </w:pPr>
            <w:del w:id="7053" w:author="AbbVie14" w:date="2025-05-09T10:33:00Z">
              <w:r w:rsidRPr="00295E71">
                <w:rPr>
                  <w:rFonts w:ascii="Times New Roman" w:hAnsi="Times New Roman"/>
                  <w:caps w:val="0"/>
                  <w:lang w:val="it-IT"/>
                </w:rPr>
                <w:delText>Frequenza</w:delText>
              </w:r>
            </w:del>
          </w:p>
        </w:tc>
        <w:tc>
          <w:tcPr>
            <w:tcW w:w="4463" w:type="dxa"/>
          </w:tcPr>
          <w:p w:rsidR="006224C2" w:rsidRPr="00295E71" w:rsidP="00F57FE5" w14:paraId="6F7ECCC0" w14:textId="77777777">
            <w:pPr>
              <w:pStyle w:val="EMEATitle"/>
              <w:keepNext/>
              <w:keepLines/>
              <w:widowControl w:val="0"/>
              <w:tabs>
                <w:tab w:val="clear" w:pos="562"/>
              </w:tabs>
              <w:suppressAutoHyphens w:val="0"/>
              <w:spacing w:before="120" w:after="120"/>
              <w:rPr>
                <w:del w:id="7054" w:author="AbbVie14" w:date="2025-05-09T10:33:00Z"/>
                <w:rFonts w:ascii="Times New Roman" w:hAnsi="Times New Roman"/>
                <w:caps w:val="0"/>
                <w:lang w:val="it-IT"/>
              </w:rPr>
            </w:pPr>
            <w:del w:id="7055" w:author="AbbVie14" w:date="2025-05-09T10:33:00Z">
              <w:r w:rsidRPr="00295E71">
                <w:rPr>
                  <w:rFonts w:ascii="Times New Roman" w:hAnsi="Times New Roman"/>
                  <w:caps w:val="0"/>
                  <w:lang w:val="it-IT"/>
                </w:rPr>
                <w:delText>Reazione avversa</w:delText>
              </w:r>
            </w:del>
          </w:p>
        </w:tc>
      </w:tr>
      <w:tr w14:paraId="785DA85A" w14:textId="77777777" w:rsidTr="00C04163">
        <w:tblPrEx>
          <w:tblW w:w="0" w:type="auto"/>
          <w:tblLook w:val="01E0"/>
        </w:tblPrEx>
        <w:trPr>
          <w:cantSplit/>
          <w:del w:id="7056" w:author="AbbVie14" w:date="2025-05-09T10:33:00Z"/>
        </w:trPr>
        <w:tc>
          <w:tcPr>
            <w:tcW w:w="2559" w:type="dxa"/>
            <w:vMerge w:val="restart"/>
          </w:tcPr>
          <w:p w:rsidR="006224C2" w:rsidRPr="00295E71" w:rsidP="00F57FE5" w14:paraId="04A70358" w14:textId="77777777">
            <w:pPr>
              <w:pStyle w:val="EMEANormal"/>
              <w:keepNext/>
              <w:keepLines/>
              <w:widowControl w:val="0"/>
              <w:spacing w:before="60"/>
              <w:rPr>
                <w:del w:id="7057" w:author="AbbVie14" w:date="2025-05-09T10:33:00Z"/>
                <w:lang w:val="it-IT"/>
              </w:rPr>
            </w:pPr>
            <w:del w:id="7058" w:author="AbbVie14" w:date="2025-05-09T10:33:00Z">
              <w:r w:rsidRPr="00295E71">
                <w:rPr>
                  <w:lang w:val="it-IT"/>
                </w:rPr>
                <w:delText>Infezioni ed infestazioni*</w:delText>
              </w:r>
            </w:del>
          </w:p>
          <w:p w:rsidR="006224C2" w:rsidRPr="00295E71" w:rsidP="00F57FE5" w14:paraId="1637FBCC" w14:textId="77777777">
            <w:pPr>
              <w:keepNext/>
              <w:keepLines/>
              <w:widowControl w:val="0"/>
              <w:spacing w:before="60"/>
              <w:jc w:val="center"/>
              <w:rPr>
                <w:del w:id="7059" w:author="AbbVie14" w:date="2025-05-09T10:33:00Z"/>
                <w:sz w:val="22"/>
                <w:szCs w:val="22"/>
              </w:rPr>
            </w:pPr>
          </w:p>
        </w:tc>
        <w:tc>
          <w:tcPr>
            <w:tcW w:w="2038" w:type="dxa"/>
          </w:tcPr>
          <w:p w:rsidR="006224C2" w:rsidRPr="00295E71" w:rsidP="00F57FE5" w14:paraId="7CC376C1" w14:textId="77777777">
            <w:pPr>
              <w:pStyle w:val="EMEANormal"/>
              <w:keepNext/>
              <w:keepLines/>
              <w:widowControl w:val="0"/>
              <w:spacing w:before="60"/>
              <w:rPr>
                <w:del w:id="7060" w:author="AbbVie14" w:date="2025-05-09T10:33:00Z"/>
                <w:lang w:val="it-IT"/>
              </w:rPr>
            </w:pPr>
            <w:del w:id="7061" w:author="AbbVie14" w:date="2025-05-09T10:33:00Z">
              <w:r w:rsidRPr="00295E71">
                <w:rPr>
                  <w:lang w:val="it-IT"/>
                </w:rPr>
                <w:delText>Molto comune</w:delText>
              </w:r>
            </w:del>
          </w:p>
        </w:tc>
        <w:tc>
          <w:tcPr>
            <w:tcW w:w="4463" w:type="dxa"/>
          </w:tcPr>
          <w:p w:rsidR="006224C2" w:rsidRPr="00295E71" w:rsidP="00F57FE5" w14:paraId="71AFCC69" w14:textId="77777777">
            <w:pPr>
              <w:pStyle w:val="EMEANormal"/>
              <w:keepNext/>
              <w:keepLines/>
              <w:widowControl w:val="0"/>
              <w:spacing w:before="60"/>
              <w:rPr>
                <w:del w:id="7062" w:author="AbbVie14" w:date="2025-05-09T10:33:00Z"/>
                <w:lang w:val="it-IT"/>
              </w:rPr>
            </w:pPr>
            <w:del w:id="7063" w:author="AbbVie14" w:date="2025-05-09T10:33:00Z">
              <w:r w:rsidRPr="00295E71">
                <w:rPr>
                  <w:lang w:val="it-IT"/>
                </w:rPr>
                <w:delText>I</w:delText>
              </w:r>
            </w:del>
            <w:del w:id="7064" w:author="AbbVie14" w:date="2025-05-09T10:33:00Z">
              <w:r w:rsidRPr="00295E71" w:rsidR="00226BC4">
                <w:rPr>
                  <w:lang w:val="it-IT"/>
                </w:rPr>
                <w:delText>nfezioni delle vie respiratorie (tra cui infezioni delle vie respiratorie superiori ed inferiori, polmonite, sinusite, faringite, rinofaringite e polmonite da herpes virus)</w:delText>
              </w:r>
            </w:del>
          </w:p>
          <w:p w:rsidR="006224C2" w:rsidRPr="00295E71" w:rsidP="00F57FE5" w14:paraId="0041D38E" w14:textId="77777777">
            <w:pPr>
              <w:pStyle w:val="EMEANormal"/>
              <w:keepNext/>
              <w:keepLines/>
              <w:widowControl w:val="0"/>
              <w:spacing w:before="60"/>
              <w:rPr>
                <w:del w:id="7065" w:author="AbbVie14" w:date="2025-05-09T10:33:00Z"/>
                <w:lang w:val="it-IT"/>
              </w:rPr>
            </w:pPr>
          </w:p>
        </w:tc>
      </w:tr>
      <w:tr w14:paraId="69C41AC6" w14:textId="77777777" w:rsidTr="00C04163">
        <w:tblPrEx>
          <w:tblW w:w="0" w:type="auto"/>
          <w:tblLook w:val="01E0"/>
        </w:tblPrEx>
        <w:trPr>
          <w:cantSplit/>
          <w:del w:id="7066" w:author="AbbVie14" w:date="2025-05-09T10:33:00Z"/>
        </w:trPr>
        <w:tc>
          <w:tcPr>
            <w:tcW w:w="2559" w:type="dxa"/>
            <w:vMerge/>
          </w:tcPr>
          <w:p w:rsidR="006224C2" w:rsidRPr="00295E71" w14:paraId="3C10869F" w14:textId="77777777">
            <w:pPr>
              <w:widowControl w:val="0"/>
              <w:spacing w:before="60"/>
              <w:jc w:val="center"/>
              <w:rPr>
                <w:del w:id="7067" w:author="AbbVie14" w:date="2025-05-09T10:33:00Z"/>
                <w:b/>
                <w:sz w:val="22"/>
                <w:szCs w:val="22"/>
              </w:rPr>
            </w:pPr>
          </w:p>
        </w:tc>
        <w:tc>
          <w:tcPr>
            <w:tcW w:w="2038" w:type="dxa"/>
          </w:tcPr>
          <w:p w:rsidR="006224C2" w:rsidRPr="00295E71" w14:paraId="610968A3" w14:textId="77777777">
            <w:pPr>
              <w:pStyle w:val="EMEANormal"/>
              <w:widowControl w:val="0"/>
              <w:spacing w:before="60"/>
              <w:rPr>
                <w:del w:id="7068" w:author="AbbVie14" w:date="2025-05-09T10:33:00Z"/>
                <w:lang w:val="it-IT"/>
              </w:rPr>
            </w:pPr>
            <w:del w:id="7069" w:author="AbbVie14" w:date="2025-05-09T10:33:00Z">
              <w:r w:rsidRPr="00295E71">
                <w:rPr>
                  <w:lang w:val="it-IT"/>
                </w:rPr>
                <w:delText>Comune</w:delText>
              </w:r>
            </w:del>
          </w:p>
          <w:p w:rsidR="006224C2" w:rsidRPr="00295E71" w14:paraId="41001E1D" w14:textId="77777777">
            <w:pPr>
              <w:pStyle w:val="EMEANormal"/>
              <w:widowControl w:val="0"/>
              <w:spacing w:before="60"/>
              <w:rPr>
                <w:del w:id="7070" w:author="AbbVie14" w:date="2025-05-09T10:33:00Z"/>
                <w:lang w:val="it-IT"/>
              </w:rPr>
            </w:pPr>
          </w:p>
        </w:tc>
        <w:tc>
          <w:tcPr>
            <w:tcW w:w="4463" w:type="dxa"/>
          </w:tcPr>
          <w:p w:rsidR="006224C2" w:rsidRPr="00295E71" w14:paraId="3C9023C4" w14:textId="77777777">
            <w:pPr>
              <w:widowControl w:val="0"/>
              <w:rPr>
                <w:del w:id="7071" w:author="AbbVie14" w:date="2025-05-09T10:33:00Z"/>
                <w:sz w:val="22"/>
                <w:szCs w:val="22"/>
              </w:rPr>
            </w:pPr>
            <w:del w:id="7072" w:author="AbbVie14" w:date="2025-05-09T10:33:00Z">
              <w:r w:rsidRPr="00295E71">
                <w:rPr>
                  <w:sz w:val="22"/>
                  <w:szCs w:val="22"/>
                </w:rPr>
                <w:delText>I</w:delText>
              </w:r>
            </w:del>
            <w:del w:id="7073" w:author="AbbVie14" w:date="2025-05-09T10:33:00Z">
              <w:r w:rsidRPr="00295E71" w:rsidR="00226BC4">
                <w:rPr>
                  <w:sz w:val="22"/>
                  <w:szCs w:val="22"/>
                </w:rPr>
                <w:delText xml:space="preserve">nfezioni sistemiche (tra cui sepsi, candidosi ed influenza), </w:delText>
              </w:r>
            </w:del>
          </w:p>
          <w:p w:rsidR="006224C2" w:rsidRPr="00295E71" w14:paraId="00B8D8E5" w14:textId="77777777">
            <w:pPr>
              <w:widowControl w:val="0"/>
              <w:rPr>
                <w:del w:id="7074" w:author="AbbVie14" w:date="2025-05-09T10:33:00Z"/>
                <w:sz w:val="22"/>
                <w:szCs w:val="22"/>
              </w:rPr>
            </w:pPr>
            <w:del w:id="7075" w:author="AbbVie14" w:date="2025-05-09T10:33:00Z">
              <w:r w:rsidRPr="00295E71">
                <w:rPr>
                  <w:sz w:val="22"/>
                  <w:szCs w:val="22"/>
                </w:rPr>
                <w:delText xml:space="preserve">infezioni intestinali (tra cui gastroenterite virale), </w:delText>
              </w:r>
            </w:del>
          </w:p>
          <w:p w:rsidR="006224C2" w:rsidRPr="00295E71" w14:paraId="4E656FA1" w14:textId="77777777">
            <w:pPr>
              <w:widowControl w:val="0"/>
              <w:rPr>
                <w:del w:id="7076" w:author="AbbVie14" w:date="2025-05-09T10:33:00Z"/>
                <w:sz w:val="22"/>
                <w:szCs w:val="22"/>
              </w:rPr>
            </w:pPr>
            <w:del w:id="7077" w:author="AbbVie14" w:date="2025-05-09T10:33:00Z">
              <w:r w:rsidRPr="00295E71">
                <w:rPr>
                  <w:sz w:val="22"/>
                  <w:szCs w:val="22"/>
                </w:rPr>
                <w:delText>infezioni della pelle e dei tessuti molli (tra cui paronichia, cellulite, impetigine, fascite necrotizzante ed herpes zoster),</w:delText>
              </w:r>
            </w:del>
          </w:p>
          <w:p w:rsidR="006224C2" w:rsidRPr="00295E71" w14:paraId="2478544C" w14:textId="77777777">
            <w:pPr>
              <w:pStyle w:val="EndnoteText"/>
              <w:widowControl w:val="0"/>
              <w:tabs>
                <w:tab w:val="clear" w:pos="567"/>
              </w:tabs>
              <w:rPr>
                <w:del w:id="7078" w:author="AbbVie14" w:date="2025-05-09T10:33:00Z"/>
                <w:lang w:val="it-IT" w:eastAsia="it-IT"/>
              </w:rPr>
            </w:pPr>
            <w:del w:id="7079" w:author="AbbVie14" w:date="2025-05-09T10:33:00Z">
              <w:r w:rsidRPr="00295E71">
                <w:rPr>
                  <w:lang w:val="it-IT" w:eastAsia="it-IT"/>
                </w:rPr>
                <w:delText>infezioni dell’orecchio,</w:delText>
              </w:r>
            </w:del>
          </w:p>
          <w:p w:rsidR="006224C2" w:rsidRPr="00295E71" w14:paraId="3746C0A0" w14:textId="77777777">
            <w:pPr>
              <w:rPr>
                <w:del w:id="7080" w:author="AbbVie14" w:date="2025-05-09T10:33:00Z"/>
                <w:sz w:val="22"/>
                <w:szCs w:val="22"/>
              </w:rPr>
            </w:pPr>
            <w:del w:id="7081" w:author="AbbVie14" w:date="2025-05-09T10:33:00Z">
              <w:r w:rsidRPr="00295E71">
                <w:rPr>
                  <w:sz w:val="22"/>
                  <w:szCs w:val="22"/>
                </w:rPr>
                <w:delText>infezioni del cavo orale (tra cui herpes simplex, herpes orale ed infezioni dentali),</w:delText>
              </w:r>
            </w:del>
          </w:p>
          <w:p w:rsidR="006224C2" w:rsidRPr="00295E71" w14:paraId="30588BE0" w14:textId="77777777">
            <w:pPr>
              <w:rPr>
                <w:del w:id="7082" w:author="AbbVie14" w:date="2025-05-09T10:33:00Z"/>
                <w:sz w:val="22"/>
                <w:szCs w:val="22"/>
              </w:rPr>
            </w:pPr>
            <w:del w:id="7083" w:author="AbbVie14" w:date="2025-05-09T10:33:00Z">
              <w:r w:rsidRPr="00295E71">
                <w:rPr>
                  <w:sz w:val="22"/>
                  <w:szCs w:val="22"/>
                </w:rPr>
                <w:delText>infezioni dell’apparato riproduttivo (tra cui infezione vulvovaginale micotica),</w:delText>
              </w:r>
            </w:del>
          </w:p>
          <w:p w:rsidR="006224C2" w:rsidRPr="00295E71" w14:paraId="4FFACA5E" w14:textId="77777777">
            <w:pPr>
              <w:pStyle w:val="EndnoteText"/>
              <w:tabs>
                <w:tab w:val="clear" w:pos="567"/>
              </w:tabs>
              <w:rPr>
                <w:del w:id="7084" w:author="AbbVie14" w:date="2025-05-09T10:33:00Z"/>
                <w:lang w:val="it-IT" w:eastAsia="it-IT"/>
              </w:rPr>
            </w:pPr>
            <w:del w:id="7085" w:author="AbbVie14" w:date="2025-05-09T10:33:00Z">
              <w:r w:rsidRPr="00295E71">
                <w:rPr>
                  <w:lang w:val="it-IT" w:eastAsia="it-IT"/>
                </w:rPr>
                <w:delText>infezioni delle vie urinarie (tra cui pielonefriti),</w:delText>
              </w:r>
            </w:del>
          </w:p>
          <w:p w:rsidR="006224C2" w:rsidRPr="00295E71" w14:paraId="6332689D" w14:textId="77777777">
            <w:pPr>
              <w:pStyle w:val="EMEANormal"/>
              <w:widowControl w:val="0"/>
              <w:spacing w:before="60"/>
              <w:rPr>
                <w:del w:id="7086" w:author="AbbVie14" w:date="2025-05-09T10:33:00Z"/>
                <w:lang w:val="it-IT"/>
              </w:rPr>
            </w:pPr>
            <w:del w:id="7087" w:author="AbbVie14" w:date="2025-05-09T10:33:00Z">
              <w:r w:rsidRPr="00295E71">
                <w:rPr>
                  <w:lang w:val="it-IT"/>
                </w:rPr>
                <w:delText>infezioni fungine,</w:delText>
              </w:r>
            </w:del>
          </w:p>
          <w:p w:rsidR="006224C2" w:rsidRPr="00295E71" w14:paraId="1FE44187" w14:textId="77777777">
            <w:pPr>
              <w:pStyle w:val="EMEANormal"/>
              <w:widowControl w:val="0"/>
              <w:spacing w:before="60"/>
              <w:rPr>
                <w:del w:id="7088" w:author="AbbVie14" w:date="2025-05-09T10:33:00Z"/>
                <w:lang w:val="it-IT"/>
              </w:rPr>
            </w:pPr>
            <w:del w:id="7089" w:author="AbbVie14" w:date="2025-05-09T10:33:00Z">
              <w:r w:rsidRPr="00295E71">
                <w:rPr>
                  <w:lang w:val="it-IT"/>
                </w:rPr>
                <w:delText>infezioni articolari</w:delText>
              </w:r>
            </w:del>
          </w:p>
          <w:p w:rsidR="006224C2" w:rsidRPr="00295E71" w14:paraId="12B2A080" w14:textId="77777777">
            <w:pPr>
              <w:pStyle w:val="EMEANormal"/>
              <w:widowControl w:val="0"/>
              <w:spacing w:before="60"/>
              <w:rPr>
                <w:del w:id="7090" w:author="AbbVie14" w:date="2025-05-09T10:33:00Z"/>
                <w:lang w:val="it-IT"/>
              </w:rPr>
            </w:pPr>
          </w:p>
        </w:tc>
      </w:tr>
      <w:tr w14:paraId="5DBC7D68" w14:textId="77777777" w:rsidTr="00C04163">
        <w:tblPrEx>
          <w:tblW w:w="0" w:type="auto"/>
          <w:tblLook w:val="01E0"/>
        </w:tblPrEx>
        <w:trPr>
          <w:cantSplit/>
          <w:del w:id="7091" w:author="AbbVie14" w:date="2025-05-09T10:33:00Z"/>
        </w:trPr>
        <w:tc>
          <w:tcPr>
            <w:tcW w:w="2559" w:type="dxa"/>
            <w:vMerge/>
          </w:tcPr>
          <w:p w:rsidR="006224C2" w:rsidRPr="00295E71" w14:paraId="23441AB0" w14:textId="77777777">
            <w:pPr>
              <w:widowControl w:val="0"/>
              <w:spacing w:before="60"/>
              <w:jc w:val="center"/>
              <w:rPr>
                <w:del w:id="7092" w:author="AbbVie14" w:date="2025-05-09T10:33:00Z"/>
                <w:b/>
                <w:sz w:val="22"/>
                <w:szCs w:val="22"/>
              </w:rPr>
            </w:pPr>
          </w:p>
        </w:tc>
        <w:tc>
          <w:tcPr>
            <w:tcW w:w="2038" w:type="dxa"/>
          </w:tcPr>
          <w:p w:rsidR="006224C2" w:rsidRPr="00295E71" w14:paraId="06C095FA" w14:textId="77777777">
            <w:pPr>
              <w:pStyle w:val="EMEANormal"/>
              <w:widowControl w:val="0"/>
              <w:rPr>
                <w:del w:id="7093" w:author="AbbVie14" w:date="2025-05-09T10:33:00Z"/>
                <w:lang w:val="it-IT"/>
              </w:rPr>
            </w:pPr>
            <w:del w:id="7094" w:author="AbbVie14" w:date="2025-05-09T10:33:00Z">
              <w:r w:rsidRPr="00295E71">
                <w:rPr>
                  <w:lang w:val="it-IT"/>
                </w:rPr>
                <w:delText>Non comune</w:delText>
              </w:r>
            </w:del>
          </w:p>
          <w:p w:rsidR="006224C2" w:rsidRPr="00295E71" w14:paraId="2546489A" w14:textId="77777777">
            <w:pPr>
              <w:pStyle w:val="EMEANormal"/>
              <w:widowControl w:val="0"/>
              <w:rPr>
                <w:del w:id="7095" w:author="AbbVie14" w:date="2025-05-09T10:33:00Z"/>
                <w:lang w:val="it-IT"/>
              </w:rPr>
            </w:pPr>
          </w:p>
        </w:tc>
        <w:tc>
          <w:tcPr>
            <w:tcW w:w="4463" w:type="dxa"/>
          </w:tcPr>
          <w:p w:rsidR="006224C2" w:rsidRPr="00295E71" w14:paraId="145BF8F1" w14:textId="77777777">
            <w:pPr>
              <w:pStyle w:val="EMEANormal"/>
              <w:widowControl w:val="0"/>
              <w:rPr>
                <w:del w:id="7096" w:author="AbbVie14" w:date="2025-05-09T10:33:00Z"/>
                <w:lang w:val="it-IT"/>
              </w:rPr>
            </w:pPr>
            <w:del w:id="7097" w:author="AbbVie14" w:date="2025-05-09T10:33:00Z">
              <w:r w:rsidRPr="00295E71">
                <w:rPr>
                  <w:lang w:val="it-IT"/>
                </w:rPr>
                <w:delText>I</w:delText>
              </w:r>
            </w:del>
            <w:del w:id="7098" w:author="AbbVie14" w:date="2025-05-09T10:33:00Z">
              <w:r w:rsidRPr="00295E71" w:rsidR="00226BC4">
                <w:rPr>
                  <w:lang w:val="it-IT"/>
                </w:rPr>
                <w:delText xml:space="preserve">nfezioni neurologiche (tra cui meningite virale), </w:delText>
              </w:r>
            </w:del>
          </w:p>
          <w:p w:rsidR="006224C2" w:rsidRPr="00295E71" w14:paraId="2769E37C" w14:textId="77777777">
            <w:pPr>
              <w:pStyle w:val="EMEANormal"/>
              <w:widowControl w:val="0"/>
              <w:rPr>
                <w:del w:id="7099" w:author="AbbVie14" w:date="2025-05-09T10:33:00Z"/>
                <w:lang w:val="it-IT"/>
              </w:rPr>
            </w:pPr>
            <w:del w:id="7100" w:author="AbbVie14" w:date="2025-05-09T10:33:00Z">
              <w:r w:rsidRPr="00295E71">
                <w:rPr>
                  <w:lang w:val="it-IT"/>
                </w:rPr>
                <w:delText>infezioni opportunistiche e tubercolosi (tra cui coccidioidomicosi, istoplasmosi e infezioni da mycobacterium avium complex),</w:delText>
              </w:r>
            </w:del>
          </w:p>
          <w:p w:rsidR="006224C2" w:rsidRPr="00295E71" w14:paraId="2448CCC9" w14:textId="77777777">
            <w:pPr>
              <w:pStyle w:val="EMEANormal"/>
              <w:widowControl w:val="0"/>
              <w:rPr>
                <w:del w:id="7101" w:author="AbbVie14" w:date="2025-05-09T10:33:00Z"/>
                <w:lang w:val="it-IT"/>
              </w:rPr>
            </w:pPr>
            <w:del w:id="7102" w:author="AbbVie14" w:date="2025-05-09T10:33:00Z">
              <w:r w:rsidRPr="00295E71">
                <w:rPr>
                  <w:lang w:val="it-IT"/>
                </w:rPr>
                <w:delText>infezioni batteriche,</w:delText>
              </w:r>
            </w:del>
          </w:p>
          <w:p w:rsidR="006224C2" w:rsidRPr="00295E71" w14:paraId="17E51277" w14:textId="77777777">
            <w:pPr>
              <w:pStyle w:val="EMEANormal"/>
              <w:widowControl w:val="0"/>
              <w:rPr>
                <w:del w:id="7103" w:author="AbbVie14" w:date="2025-05-09T10:33:00Z"/>
                <w:lang w:val="it-IT"/>
              </w:rPr>
            </w:pPr>
            <w:del w:id="7104" w:author="AbbVie14" w:date="2025-05-09T10:33:00Z">
              <w:r w:rsidRPr="00295E71">
                <w:rPr>
                  <w:lang w:val="it-IT"/>
                </w:rPr>
                <w:delText>infezioni oculari,</w:delText>
              </w:r>
            </w:del>
          </w:p>
          <w:p w:rsidR="006224C2" w:rsidRPr="00295E71" w14:paraId="4A0211BB" w14:textId="77777777">
            <w:pPr>
              <w:pStyle w:val="EMEANormal"/>
              <w:widowControl w:val="0"/>
              <w:rPr>
                <w:del w:id="7105" w:author="AbbVie14" w:date="2025-05-09T10:33:00Z"/>
                <w:vertAlign w:val="superscript"/>
                <w:lang w:val="it-IT"/>
              </w:rPr>
            </w:pPr>
            <w:del w:id="7106" w:author="AbbVie14" w:date="2025-05-09T10:33:00Z">
              <w:r w:rsidRPr="00295E71">
                <w:rPr>
                  <w:lang w:val="it-IT"/>
                </w:rPr>
                <w:delText>diverticolite</w:delText>
              </w:r>
            </w:del>
            <w:del w:id="7107" w:author="AbbVie14" w:date="2025-05-09T10:33:00Z">
              <w:r w:rsidRPr="00295E71">
                <w:rPr>
                  <w:vertAlign w:val="superscript"/>
                  <w:lang w:val="it-IT"/>
                </w:rPr>
                <w:delText>1)</w:delText>
              </w:r>
            </w:del>
          </w:p>
          <w:p w:rsidR="006224C2" w:rsidRPr="00295E71" w14:paraId="4C6F1D1B" w14:textId="77777777">
            <w:pPr>
              <w:pStyle w:val="EMEANormal"/>
              <w:widowControl w:val="0"/>
              <w:rPr>
                <w:del w:id="7108" w:author="AbbVie14" w:date="2025-05-09T10:33:00Z"/>
                <w:lang w:val="it-IT"/>
              </w:rPr>
            </w:pPr>
          </w:p>
        </w:tc>
      </w:tr>
      <w:tr w14:paraId="493529EA" w14:textId="77777777" w:rsidTr="00C04163">
        <w:tblPrEx>
          <w:tblW w:w="0" w:type="auto"/>
          <w:tblLook w:val="01E0"/>
        </w:tblPrEx>
        <w:trPr>
          <w:cantSplit/>
          <w:del w:id="7109" w:author="AbbVie14" w:date="2025-05-09T10:33:00Z"/>
        </w:trPr>
        <w:tc>
          <w:tcPr>
            <w:tcW w:w="2559" w:type="dxa"/>
          </w:tcPr>
          <w:p w:rsidR="00C04163" w:rsidRPr="00295E71" w:rsidP="00035AC5" w14:paraId="2323EE80" w14:textId="77777777">
            <w:pPr>
              <w:pStyle w:val="IndexHeading"/>
              <w:widowControl w:val="0"/>
              <w:tabs>
                <w:tab w:val="clear" w:pos="567"/>
              </w:tabs>
              <w:spacing w:before="120" w:after="120" w:line="240" w:lineRule="auto"/>
              <w:jc w:val="center"/>
              <w:rPr>
                <w:del w:id="7110" w:author="AbbVie14" w:date="2025-05-09T10:33:00Z"/>
                <w:rFonts w:ascii="Times New Roman" w:hAnsi="Times New Roman" w:cs="Times New Roman"/>
                <w:lang w:val="it-IT" w:eastAsia="it-IT"/>
              </w:rPr>
            </w:pPr>
            <w:del w:id="7111" w:author="AbbVie14" w:date="2025-05-09T10:33:00Z">
              <w:r w:rsidRPr="00295E71">
                <w:rPr>
                  <w:rFonts w:ascii="Times New Roman" w:hAnsi="Times New Roman" w:cs="Times New Roman"/>
                  <w:lang w:val="it-IT" w:eastAsia="it-IT"/>
                </w:rPr>
                <w:delText>Classificazione per sistemi e organi</w:delText>
              </w:r>
            </w:del>
          </w:p>
        </w:tc>
        <w:tc>
          <w:tcPr>
            <w:tcW w:w="2038" w:type="dxa"/>
            <w:tcBorders>
              <w:top w:val="single" w:sz="4" w:space="0" w:color="auto"/>
              <w:left w:val="single" w:sz="4" w:space="0" w:color="auto"/>
              <w:bottom w:val="single" w:sz="4" w:space="0" w:color="auto"/>
              <w:right w:val="single" w:sz="4" w:space="0" w:color="auto"/>
            </w:tcBorders>
          </w:tcPr>
          <w:p w:rsidR="00C04163" w:rsidRPr="00C04163" w:rsidP="00C04163" w14:paraId="348177AC" w14:textId="77777777">
            <w:pPr>
              <w:pStyle w:val="EMEANormal"/>
              <w:keepNext/>
              <w:keepLines/>
              <w:spacing w:before="60"/>
              <w:rPr>
                <w:del w:id="7112" w:author="AbbVie14" w:date="2025-05-09T10:33:00Z"/>
                <w:lang w:val="it-IT"/>
              </w:rPr>
            </w:pPr>
            <w:del w:id="7113" w:author="AbbVie14" w:date="2025-05-09T10:33:00Z">
              <w:r w:rsidRPr="00295E71">
                <w:rPr>
                  <w:lang w:val="it-IT"/>
                </w:rPr>
                <w:delText>Frequenza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65D8CCC9" w14:textId="77777777">
            <w:pPr>
              <w:pStyle w:val="EMEANormal"/>
              <w:keepNext/>
              <w:keepLines/>
              <w:spacing w:before="60"/>
              <w:rPr>
                <w:del w:id="7114" w:author="AbbVie14" w:date="2025-05-09T10:33:00Z"/>
                <w:lang w:val="it-IT"/>
              </w:rPr>
            </w:pPr>
            <w:del w:id="7115" w:author="AbbVie14" w:date="2025-05-09T10:33:00Z">
              <w:r w:rsidRPr="00295E71">
                <w:rPr>
                  <w:lang w:val="it-IT"/>
                </w:rPr>
                <w:delText>Reazione avversa</w:delText>
              </w:r>
            </w:del>
          </w:p>
        </w:tc>
      </w:tr>
      <w:tr w14:paraId="647ABFF9" w14:textId="77777777" w:rsidTr="00C04163">
        <w:tblPrEx>
          <w:tblW w:w="0" w:type="auto"/>
          <w:tblLook w:val="01E0"/>
        </w:tblPrEx>
        <w:trPr>
          <w:cantSplit/>
          <w:del w:id="7116" w:author="AbbVie14" w:date="2025-05-09T10:33:00Z"/>
        </w:trPr>
        <w:tc>
          <w:tcPr>
            <w:tcW w:w="2559" w:type="dxa"/>
            <w:vMerge w:val="restart"/>
          </w:tcPr>
          <w:p w:rsidR="00C04163" w:rsidRPr="00295E71" w:rsidP="00035AC5" w14:paraId="1795C942" w14:textId="77777777">
            <w:pPr>
              <w:pStyle w:val="EndnoteText"/>
              <w:widowControl w:val="0"/>
              <w:tabs>
                <w:tab w:val="clear" w:pos="567"/>
              </w:tabs>
              <w:spacing w:before="60"/>
              <w:rPr>
                <w:del w:id="7117" w:author="AbbVie14" w:date="2025-05-09T10:33:00Z"/>
                <w:b/>
                <w:lang w:val="it-IT" w:eastAsia="it-IT"/>
              </w:rPr>
            </w:pPr>
            <w:del w:id="7118" w:author="AbbVie14" w:date="2025-05-09T10:33:00Z">
              <w:r w:rsidRPr="00295E71">
                <w:rPr>
                  <w:lang w:val="it-IT" w:eastAsia="it-IT"/>
                </w:rPr>
                <w:delText>Tumori benigni, maligni e non specificati (cisti e polipi compresi)*</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85694E2" w14:textId="77777777">
            <w:pPr>
              <w:pStyle w:val="EMEANormal"/>
              <w:keepNext/>
              <w:keepLines/>
              <w:widowControl w:val="0"/>
              <w:spacing w:before="60"/>
              <w:rPr>
                <w:del w:id="7119" w:author="AbbVie14" w:date="2025-05-09T10:33:00Z"/>
                <w:lang w:val="it-IT"/>
              </w:rPr>
            </w:pPr>
            <w:del w:id="7120" w:author="AbbVie14" w:date="2025-05-09T10:33:00Z">
              <w:r w:rsidRPr="00295E71">
                <w:rPr>
                  <w:lang w:val="it-IT"/>
                </w:rPr>
                <w:delText>Comune</w:delText>
              </w:r>
            </w:del>
          </w:p>
          <w:p w:rsidR="00C04163" w:rsidRPr="00295E71" w:rsidP="00C04163" w14:paraId="5C9A8CDF" w14:textId="77777777">
            <w:pPr>
              <w:pStyle w:val="EMEANormal"/>
              <w:keepNext/>
              <w:keepLines/>
              <w:widowControl w:val="0"/>
              <w:spacing w:before="60"/>
              <w:rPr>
                <w:del w:id="7121"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301B40FF" w14:textId="77777777">
            <w:pPr>
              <w:pStyle w:val="EMEANormal"/>
              <w:keepNext/>
              <w:keepLines/>
              <w:widowControl w:val="0"/>
              <w:spacing w:before="60"/>
              <w:rPr>
                <w:del w:id="7122" w:author="AbbVie14" w:date="2025-05-09T10:33:00Z"/>
                <w:lang w:val="it-IT"/>
              </w:rPr>
            </w:pPr>
            <w:del w:id="7123" w:author="AbbVie14" w:date="2025-05-09T10:33:00Z">
              <w:r w:rsidRPr="00295E71">
                <w:rPr>
                  <w:lang w:val="it-IT"/>
                </w:rPr>
                <w:delText>Tumore cutaneo escluso il melanoma (tra cui carcinoma basocellulare e carcinoma a cellule squamose),</w:delText>
              </w:r>
            </w:del>
          </w:p>
          <w:p w:rsidR="00C04163" w:rsidRPr="00295E71" w:rsidP="00C04163" w14:paraId="20994563" w14:textId="77777777">
            <w:pPr>
              <w:pStyle w:val="EMEANormal"/>
              <w:keepNext/>
              <w:keepLines/>
              <w:widowControl w:val="0"/>
              <w:spacing w:before="60"/>
              <w:rPr>
                <w:del w:id="7124" w:author="AbbVie14" w:date="2025-05-09T10:33:00Z"/>
                <w:lang w:val="it-IT"/>
              </w:rPr>
            </w:pPr>
          </w:p>
          <w:p w:rsidR="00C04163" w:rsidRPr="00295E71" w:rsidP="00C04163" w14:paraId="3307BD22" w14:textId="77777777">
            <w:pPr>
              <w:pStyle w:val="EMEANormal"/>
              <w:keepNext/>
              <w:keepLines/>
              <w:widowControl w:val="0"/>
              <w:spacing w:before="60"/>
              <w:rPr>
                <w:del w:id="7125" w:author="AbbVie14" w:date="2025-05-09T10:33:00Z"/>
                <w:lang w:val="it-IT"/>
              </w:rPr>
            </w:pPr>
            <w:del w:id="7126" w:author="AbbVie14" w:date="2025-05-09T10:33:00Z">
              <w:r w:rsidRPr="00295E71">
                <w:rPr>
                  <w:lang w:val="it-IT"/>
                </w:rPr>
                <w:delText>neoplasia benigna,</w:delText>
              </w:r>
            </w:del>
          </w:p>
          <w:p w:rsidR="00C04163" w:rsidRPr="00295E71" w:rsidP="00C04163" w14:paraId="4AEF96D8" w14:textId="77777777">
            <w:pPr>
              <w:pStyle w:val="EMEANormal"/>
              <w:keepNext/>
              <w:keepLines/>
              <w:widowControl w:val="0"/>
              <w:spacing w:before="60"/>
              <w:rPr>
                <w:del w:id="7127" w:author="AbbVie14" w:date="2025-05-09T10:33:00Z"/>
                <w:lang w:val="it-IT"/>
              </w:rPr>
            </w:pPr>
          </w:p>
        </w:tc>
      </w:tr>
      <w:tr w14:paraId="68F49744" w14:textId="77777777" w:rsidTr="00C04163">
        <w:tblPrEx>
          <w:tblW w:w="0" w:type="auto"/>
          <w:tblLook w:val="01E0"/>
        </w:tblPrEx>
        <w:trPr>
          <w:cantSplit/>
          <w:del w:id="7128" w:author="AbbVie14" w:date="2025-05-09T10:33:00Z"/>
        </w:trPr>
        <w:tc>
          <w:tcPr>
            <w:tcW w:w="2559" w:type="dxa"/>
            <w:vMerge/>
          </w:tcPr>
          <w:p w:rsidR="00C04163" w:rsidRPr="00295E71" w:rsidP="00035AC5" w14:paraId="542395B0" w14:textId="77777777">
            <w:pPr>
              <w:widowControl w:val="0"/>
              <w:spacing w:before="60"/>
              <w:jc w:val="center"/>
              <w:rPr>
                <w:del w:id="7129"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4325FCB" w14:textId="77777777">
            <w:pPr>
              <w:pStyle w:val="EMEANormal"/>
              <w:keepNext/>
              <w:keepLines/>
              <w:widowControl w:val="0"/>
              <w:spacing w:before="60"/>
              <w:rPr>
                <w:del w:id="7130" w:author="AbbVie14" w:date="2025-05-09T10:33:00Z"/>
                <w:lang w:val="it-IT"/>
              </w:rPr>
            </w:pPr>
            <w:del w:id="7131" w:author="AbbVie14" w:date="2025-05-09T10:33:00Z">
              <w:r w:rsidRPr="00295E71">
                <w:rPr>
                  <w:lang w:val="it-IT"/>
                </w:rPr>
                <w:delText>Non comune</w:delText>
              </w:r>
            </w:del>
          </w:p>
          <w:p w:rsidR="00C04163" w:rsidRPr="00295E71" w:rsidP="00C04163" w14:paraId="4B91ED4D" w14:textId="77777777">
            <w:pPr>
              <w:pStyle w:val="EMEANormal"/>
              <w:keepNext/>
              <w:keepLines/>
              <w:widowControl w:val="0"/>
              <w:spacing w:before="60"/>
              <w:rPr>
                <w:del w:id="7132"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384974DF" w14:textId="77777777">
            <w:pPr>
              <w:pStyle w:val="EMEANormal"/>
              <w:keepNext/>
              <w:keepLines/>
              <w:widowControl w:val="0"/>
              <w:spacing w:before="60"/>
              <w:rPr>
                <w:del w:id="7133" w:author="AbbVie14" w:date="2025-05-09T10:33:00Z"/>
                <w:lang w:val="it-IT"/>
              </w:rPr>
            </w:pPr>
            <w:del w:id="7134" w:author="AbbVie14" w:date="2025-05-09T10:33:00Z">
              <w:r w:rsidRPr="00295E71">
                <w:rPr>
                  <w:lang w:val="it-IT"/>
                </w:rPr>
                <w:delText>Linfoma**,</w:delText>
              </w:r>
            </w:del>
          </w:p>
          <w:p w:rsidR="00C04163" w:rsidRPr="00295E71" w:rsidP="00C04163" w14:paraId="751556F1" w14:textId="77777777">
            <w:pPr>
              <w:pStyle w:val="EMEANormal"/>
              <w:keepNext/>
              <w:keepLines/>
              <w:widowControl w:val="0"/>
              <w:spacing w:before="60"/>
              <w:rPr>
                <w:del w:id="7135" w:author="AbbVie14" w:date="2025-05-09T10:33:00Z"/>
                <w:lang w:val="it-IT"/>
              </w:rPr>
            </w:pPr>
            <w:del w:id="7136" w:author="AbbVie14" w:date="2025-05-09T10:33:00Z">
              <w:r w:rsidRPr="00295E71">
                <w:rPr>
                  <w:lang w:val="it-IT"/>
                </w:rPr>
                <w:delText>tumori solidi (tra cui carcinoma mammario, neoplasia polmonare e neoplasia tiroidea),</w:delText>
              </w:r>
            </w:del>
          </w:p>
          <w:p w:rsidR="00C04163" w:rsidRPr="00295E71" w:rsidP="00C04163" w14:paraId="4EB543C7" w14:textId="77777777">
            <w:pPr>
              <w:pStyle w:val="EMEANormal"/>
              <w:keepNext/>
              <w:keepLines/>
              <w:widowControl w:val="0"/>
              <w:spacing w:before="60"/>
              <w:rPr>
                <w:del w:id="7137" w:author="AbbVie14" w:date="2025-05-09T10:33:00Z"/>
                <w:lang w:val="it-IT"/>
              </w:rPr>
            </w:pPr>
            <w:del w:id="7138" w:author="AbbVie14" w:date="2025-05-09T10:33:00Z">
              <w:r w:rsidRPr="00295E71">
                <w:rPr>
                  <w:lang w:val="it-IT"/>
                </w:rPr>
                <w:delText>melanoma**</w:delText>
              </w:r>
            </w:del>
          </w:p>
          <w:p w:rsidR="00C04163" w:rsidRPr="00295E71" w:rsidP="00C04163" w14:paraId="1AF5F63F" w14:textId="77777777">
            <w:pPr>
              <w:pStyle w:val="EMEANormal"/>
              <w:keepNext/>
              <w:keepLines/>
              <w:widowControl w:val="0"/>
              <w:spacing w:before="60"/>
              <w:rPr>
                <w:del w:id="7139" w:author="AbbVie14" w:date="2025-05-09T10:33:00Z"/>
                <w:lang w:val="it-IT"/>
              </w:rPr>
            </w:pPr>
          </w:p>
        </w:tc>
      </w:tr>
      <w:tr w14:paraId="371DDC00" w14:textId="77777777" w:rsidTr="00C04163">
        <w:tblPrEx>
          <w:tblW w:w="0" w:type="auto"/>
          <w:tblLook w:val="01E0"/>
        </w:tblPrEx>
        <w:trPr>
          <w:cantSplit/>
          <w:del w:id="7140" w:author="AbbVie14" w:date="2025-05-09T10:33:00Z"/>
        </w:trPr>
        <w:tc>
          <w:tcPr>
            <w:tcW w:w="2559" w:type="dxa"/>
            <w:vMerge/>
          </w:tcPr>
          <w:p w:rsidR="00C04163" w:rsidRPr="00295E71" w:rsidP="00035AC5" w14:paraId="0A5BF761" w14:textId="77777777">
            <w:pPr>
              <w:widowControl w:val="0"/>
              <w:spacing w:before="60"/>
              <w:jc w:val="center"/>
              <w:rPr>
                <w:del w:id="7141"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52DF864" w14:textId="77777777">
            <w:pPr>
              <w:pStyle w:val="EMEANormal"/>
              <w:keepNext/>
              <w:keepLines/>
              <w:widowControl w:val="0"/>
              <w:spacing w:before="60"/>
              <w:rPr>
                <w:del w:id="7142" w:author="AbbVie14" w:date="2025-05-09T10:33:00Z"/>
                <w:lang w:val="it-IT"/>
              </w:rPr>
            </w:pPr>
            <w:del w:id="7143" w:author="AbbVie14" w:date="2025-05-09T10:33: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4F9ED7FD" w14:textId="77777777">
            <w:pPr>
              <w:pStyle w:val="EMEANormal"/>
              <w:keepNext/>
              <w:keepLines/>
              <w:widowControl w:val="0"/>
              <w:spacing w:before="60"/>
              <w:rPr>
                <w:del w:id="7144" w:author="AbbVie14" w:date="2025-05-09T10:33:00Z"/>
                <w:lang w:val="it-IT"/>
              </w:rPr>
            </w:pPr>
            <w:del w:id="7145" w:author="AbbVie14" w:date="2025-05-09T10:33:00Z">
              <w:r w:rsidRPr="00295E71">
                <w:rPr>
                  <w:lang w:val="it-IT"/>
                </w:rPr>
                <w:delText>Leucemia</w:delText>
              </w:r>
            </w:del>
            <w:del w:id="7146" w:author="AbbVie14" w:date="2025-05-09T10:33:00Z">
              <w:r w:rsidRPr="00C04163">
                <w:rPr>
                  <w:lang w:val="it-IT"/>
                </w:rPr>
                <w:delText>1)</w:delText>
              </w:r>
            </w:del>
          </w:p>
          <w:p w:rsidR="00C04163" w:rsidRPr="00295E71" w:rsidP="00C04163" w14:paraId="1BD0DF93" w14:textId="77777777">
            <w:pPr>
              <w:pStyle w:val="EMEANormal"/>
              <w:keepNext/>
              <w:keepLines/>
              <w:widowControl w:val="0"/>
              <w:spacing w:before="60"/>
              <w:rPr>
                <w:del w:id="7147" w:author="AbbVie14" w:date="2025-05-09T10:33:00Z"/>
                <w:lang w:val="it-IT"/>
              </w:rPr>
            </w:pPr>
          </w:p>
        </w:tc>
      </w:tr>
      <w:tr w14:paraId="6516BAF3" w14:textId="77777777" w:rsidTr="00C04163">
        <w:tblPrEx>
          <w:tblW w:w="0" w:type="auto"/>
          <w:tblLook w:val="01E0"/>
        </w:tblPrEx>
        <w:trPr>
          <w:cantSplit/>
          <w:del w:id="7148" w:author="AbbVie14" w:date="2025-05-09T10:33:00Z"/>
        </w:trPr>
        <w:tc>
          <w:tcPr>
            <w:tcW w:w="2559" w:type="dxa"/>
            <w:vMerge/>
          </w:tcPr>
          <w:p w:rsidR="00C04163" w:rsidRPr="00295E71" w:rsidP="00035AC5" w14:paraId="0F8DBE6D" w14:textId="77777777">
            <w:pPr>
              <w:widowControl w:val="0"/>
              <w:spacing w:before="60"/>
              <w:jc w:val="center"/>
              <w:rPr>
                <w:del w:id="7149"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BCF0795" w14:textId="77777777">
            <w:pPr>
              <w:pStyle w:val="EMEANormal"/>
              <w:keepNext/>
              <w:keepLines/>
              <w:widowControl w:val="0"/>
              <w:spacing w:before="60"/>
              <w:rPr>
                <w:del w:id="7150" w:author="AbbVie14" w:date="2025-05-09T10:33:00Z"/>
                <w:lang w:val="it-IT"/>
              </w:rPr>
            </w:pPr>
            <w:del w:id="7151" w:author="AbbVie14" w:date="2025-05-09T10:33:00Z">
              <w:r w:rsidRPr="00295E71">
                <w:rPr>
                  <w:lang w:val="it-IT"/>
                </w:rPr>
                <w:delText>Non nota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6062AA81" w14:textId="77777777">
            <w:pPr>
              <w:pStyle w:val="EMEANormal"/>
              <w:keepNext/>
              <w:keepLines/>
              <w:widowControl w:val="0"/>
              <w:spacing w:before="60"/>
              <w:rPr>
                <w:del w:id="7152" w:author="AbbVie14" w:date="2025-05-09T10:33:00Z"/>
                <w:lang w:val="it-IT"/>
              </w:rPr>
            </w:pPr>
            <w:del w:id="7153" w:author="AbbVie14" w:date="2025-05-09T10:33:00Z">
              <w:r w:rsidRPr="00295E71">
                <w:rPr>
                  <w:lang w:val="it-IT"/>
                </w:rPr>
                <w:delText xml:space="preserve">Linfoma epato-splenico a cellule T </w:delText>
              </w:r>
            </w:del>
            <w:del w:id="7154" w:author="AbbVie14" w:date="2025-05-09T10:33:00Z">
              <w:r w:rsidRPr="00C04163">
                <w:rPr>
                  <w:lang w:val="it-IT"/>
                </w:rPr>
                <w:delText>1)</w:delText>
              </w:r>
            </w:del>
            <w:del w:id="7155" w:author="AbbVie14" w:date="2025-05-09T10:33:00Z">
              <w:r w:rsidRPr="00295E71">
                <w:rPr>
                  <w:lang w:val="it-IT"/>
                </w:rPr>
                <w:delText>,</w:delText>
              </w:r>
            </w:del>
          </w:p>
          <w:p w:rsidR="00C04163" w:rsidP="00C04163" w14:paraId="44340CBA" w14:textId="77777777">
            <w:pPr>
              <w:pStyle w:val="EMEANormal"/>
              <w:keepNext/>
              <w:keepLines/>
              <w:widowControl w:val="0"/>
              <w:spacing w:before="60"/>
              <w:rPr>
                <w:del w:id="7156" w:author="AbbVie14" w:date="2025-05-09T10:33:00Z"/>
                <w:lang w:val="it-IT"/>
              </w:rPr>
            </w:pPr>
            <w:del w:id="7157" w:author="AbbVie14" w:date="2025-05-09T10:33:00Z">
              <w:r>
                <w:rPr>
                  <w:lang w:val="it-IT"/>
                </w:rPr>
                <w:delText>c</w:delText>
              </w:r>
            </w:del>
            <w:del w:id="7158" w:author="AbbVie14" w:date="2025-05-09T10:33:00Z">
              <w:r w:rsidRPr="00295E71">
                <w:rPr>
                  <w:lang w:val="it-IT"/>
                </w:rPr>
                <w:delText>arcinoma a cellule di Merkel (carcinoma neuroendocrino della pelle)</w:delText>
              </w:r>
            </w:del>
            <w:del w:id="7159" w:author="AbbVie14" w:date="2025-05-09T10:33:00Z">
              <w:r w:rsidRPr="00C04163">
                <w:rPr>
                  <w:lang w:val="it-IT"/>
                </w:rPr>
                <w:delText>1)</w:delText>
              </w:r>
            </w:del>
            <w:del w:id="7160" w:author="AbbVie14" w:date="2025-05-09T10:33:00Z">
              <w:r>
                <w:rPr>
                  <w:lang w:val="it-IT"/>
                </w:rPr>
                <w:delText xml:space="preserve"> ,</w:delText>
              </w:r>
            </w:del>
          </w:p>
          <w:p w:rsidR="00C04163" w:rsidP="00C04163" w14:paraId="1BD90AB2" w14:textId="77777777">
            <w:pPr>
              <w:pStyle w:val="EMEANormal"/>
              <w:keepNext/>
              <w:keepLines/>
              <w:widowControl w:val="0"/>
              <w:spacing w:before="60"/>
              <w:rPr>
                <w:del w:id="7161" w:author="AbbVie14" w:date="2025-05-09T10:33:00Z"/>
                <w:lang w:val="it-IT"/>
              </w:rPr>
            </w:pPr>
            <w:del w:id="7162" w:author="AbbVie14" w:date="2025-05-09T10:33:00Z">
              <w:r w:rsidRPr="000B3DBE">
                <w:rPr>
                  <w:lang w:val="it-IT"/>
                </w:rPr>
                <w:delText>sarcoma di Kaposi</w:delText>
              </w:r>
            </w:del>
          </w:p>
          <w:p w:rsidR="00C04163" w:rsidRPr="00295E71" w:rsidP="00C04163" w14:paraId="707C214F" w14:textId="77777777">
            <w:pPr>
              <w:pStyle w:val="EMEANormal"/>
              <w:keepNext/>
              <w:keepLines/>
              <w:widowControl w:val="0"/>
              <w:spacing w:before="60"/>
              <w:rPr>
                <w:del w:id="7163" w:author="AbbVie14" w:date="2025-05-09T10:33:00Z"/>
                <w:lang w:val="it-IT"/>
              </w:rPr>
            </w:pPr>
          </w:p>
        </w:tc>
      </w:tr>
      <w:tr w14:paraId="75796945" w14:textId="77777777" w:rsidTr="00C04163">
        <w:tblPrEx>
          <w:tblW w:w="0" w:type="auto"/>
          <w:tblLook w:val="01E0"/>
        </w:tblPrEx>
        <w:trPr>
          <w:cantSplit/>
          <w:del w:id="7164" w:author="AbbVie14" w:date="2025-05-09T10:33:00Z"/>
        </w:trPr>
        <w:tc>
          <w:tcPr>
            <w:tcW w:w="2559" w:type="dxa"/>
            <w:vMerge w:val="restart"/>
          </w:tcPr>
          <w:p w:rsidR="00C04163" w:rsidRPr="00295E71" w:rsidP="00035AC5" w14:paraId="340EE1CE" w14:textId="77777777">
            <w:pPr>
              <w:pStyle w:val="EndnoteText"/>
              <w:widowControl w:val="0"/>
              <w:tabs>
                <w:tab w:val="clear" w:pos="567"/>
              </w:tabs>
              <w:spacing w:before="60"/>
              <w:rPr>
                <w:del w:id="7165" w:author="AbbVie14" w:date="2025-05-09T10:33:00Z"/>
                <w:b/>
                <w:lang w:val="it-IT" w:eastAsia="it-IT"/>
              </w:rPr>
            </w:pPr>
            <w:del w:id="7166" w:author="AbbVie14" w:date="2025-05-09T10:33:00Z">
              <w:r w:rsidRPr="00295E71">
                <w:rPr>
                  <w:lang w:val="it-IT" w:eastAsia="it-IT"/>
                </w:rPr>
                <w:delText>Patologie del sistema emolinfopoietico*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9F97A65" w14:textId="77777777">
            <w:pPr>
              <w:pStyle w:val="EMEANormal"/>
              <w:keepNext/>
              <w:keepLines/>
              <w:widowControl w:val="0"/>
              <w:spacing w:before="60"/>
              <w:rPr>
                <w:del w:id="7167" w:author="AbbVie14" w:date="2025-05-09T10:33:00Z"/>
                <w:lang w:val="it-IT"/>
              </w:rPr>
            </w:pPr>
            <w:del w:id="7168" w:author="AbbVie14" w:date="2025-05-09T10:33:00Z">
              <w:r w:rsidRPr="00295E71">
                <w:rPr>
                  <w:lang w:val="it-IT"/>
                </w:rPr>
                <w:delText>Molto comune</w:delText>
              </w:r>
            </w:del>
          </w:p>
          <w:p w:rsidR="00C04163" w:rsidRPr="00295E71" w:rsidP="00C04163" w14:paraId="32D95760" w14:textId="77777777">
            <w:pPr>
              <w:pStyle w:val="EMEANormal"/>
              <w:keepNext/>
              <w:keepLines/>
              <w:widowControl w:val="0"/>
              <w:spacing w:before="60"/>
              <w:rPr>
                <w:del w:id="7169"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6F9B9D1" w14:textId="77777777">
            <w:pPr>
              <w:pStyle w:val="EMEANormal"/>
              <w:keepNext/>
              <w:keepLines/>
              <w:rPr>
                <w:del w:id="7170" w:author="AbbVie14" w:date="2025-05-09T10:33:00Z"/>
                <w:lang w:val="it-IT"/>
              </w:rPr>
            </w:pPr>
            <w:del w:id="7171" w:author="AbbVie14" w:date="2025-05-09T10:33:00Z">
              <w:r w:rsidRPr="00295E71">
                <w:rPr>
                  <w:lang w:val="it-IT"/>
                </w:rPr>
                <w:delText>Leucopenia (tra cui neutropenia e agranulocitosi),</w:delText>
              </w:r>
            </w:del>
          </w:p>
          <w:p w:rsidR="00C04163" w:rsidRPr="00C04163" w:rsidP="00C04163" w14:paraId="455A6CC1" w14:textId="77777777">
            <w:pPr>
              <w:pStyle w:val="EMEANormal"/>
              <w:keepNext/>
              <w:keepLines/>
              <w:rPr>
                <w:del w:id="7172" w:author="AbbVie14" w:date="2025-05-09T10:33:00Z"/>
                <w:lang w:val="it-IT"/>
              </w:rPr>
            </w:pPr>
            <w:del w:id="7173" w:author="AbbVie14" w:date="2025-05-09T10:33:00Z">
              <w:r w:rsidRPr="00C04163">
                <w:rPr>
                  <w:lang w:val="it-IT"/>
                </w:rPr>
                <w:delText>anemia</w:delText>
              </w:r>
            </w:del>
          </w:p>
          <w:p w:rsidR="00C04163" w:rsidRPr="00C04163" w:rsidP="00C04163" w14:paraId="390AFC2F" w14:textId="77777777">
            <w:pPr>
              <w:pStyle w:val="EMEANormal"/>
              <w:keepNext/>
              <w:keepLines/>
              <w:rPr>
                <w:del w:id="7174" w:author="AbbVie14" w:date="2025-05-09T10:33:00Z"/>
                <w:lang w:val="it-IT"/>
              </w:rPr>
            </w:pPr>
          </w:p>
        </w:tc>
      </w:tr>
      <w:tr w14:paraId="67BA9F57" w14:textId="77777777" w:rsidTr="00C04163">
        <w:tblPrEx>
          <w:tblW w:w="0" w:type="auto"/>
          <w:tblLook w:val="01E0"/>
        </w:tblPrEx>
        <w:trPr>
          <w:cantSplit/>
          <w:del w:id="7175" w:author="AbbVie14" w:date="2025-05-09T10:33:00Z"/>
        </w:trPr>
        <w:tc>
          <w:tcPr>
            <w:tcW w:w="2559" w:type="dxa"/>
            <w:vMerge/>
          </w:tcPr>
          <w:p w:rsidR="00C04163" w:rsidRPr="00295E71" w:rsidP="00035AC5" w14:paraId="4DC85FDF" w14:textId="77777777">
            <w:pPr>
              <w:widowControl w:val="0"/>
              <w:spacing w:before="144" w:beforeLines="60"/>
              <w:jc w:val="center"/>
              <w:rPr>
                <w:del w:id="7176"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1B12C5C1" w14:textId="77777777">
            <w:pPr>
              <w:pStyle w:val="EMEANormal"/>
              <w:keepNext/>
              <w:keepLines/>
              <w:widowControl w:val="0"/>
              <w:spacing w:before="60"/>
              <w:rPr>
                <w:del w:id="7177" w:author="AbbVie14" w:date="2025-05-09T10:33:00Z"/>
                <w:lang w:val="it-IT"/>
              </w:rPr>
            </w:pPr>
            <w:del w:id="7178" w:author="AbbVie14" w:date="2025-05-09T10:33:00Z">
              <w:r w:rsidRPr="00295E71">
                <w:rPr>
                  <w:lang w:val="it-IT"/>
                </w:rPr>
                <w:delText>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3A394B7D" w14:textId="77777777">
            <w:pPr>
              <w:pStyle w:val="EMEANormal"/>
              <w:keepNext/>
              <w:keepLines/>
              <w:spacing w:before="60"/>
              <w:rPr>
                <w:del w:id="7179" w:author="AbbVie14" w:date="2025-05-09T10:33:00Z"/>
                <w:lang w:val="it-IT"/>
              </w:rPr>
            </w:pPr>
            <w:del w:id="7180" w:author="AbbVie14" w:date="2025-05-09T10:33:00Z">
              <w:r w:rsidRPr="00C04163">
                <w:rPr>
                  <w:lang w:val="it-IT"/>
                </w:rPr>
                <w:delText>Leucocitosi,</w:delText>
              </w:r>
            </w:del>
          </w:p>
          <w:p w:rsidR="00C04163" w:rsidRPr="00295E71" w:rsidP="00C04163" w14:paraId="4311D419" w14:textId="77777777">
            <w:pPr>
              <w:pStyle w:val="EMEANormal"/>
              <w:keepNext/>
              <w:keepLines/>
              <w:spacing w:before="60"/>
              <w:rPr>
                <w:del w:id="7181" w:author="AbbVie14" w:date="2025-05-09T10:33:00Z"/>
                <w:lang w:val="it-IT"/>
              </w:rPr>
            </w:pPr>
            <w:del w:id="7182" w:author="AbbVie14" w:date="2025-05-09T10:33:00Z">
              <w:r w:rsidRPr="00295E71">
                <w:rPr>
                  <w:lang w:val="it-IT"/>
                </w:rPr>
                <w:delText>trombocitopenia</w:delText>
              </w:r>
            </w:del>
          </w:p>
          <w:p w:rsidR="00C04163" w:rsidRPr="00C04163" w:rsidP="00C04163" w14:paraId="1E02AD2F" w14:textId="77777777">
            <w:pPr>
              <w:pStyle w:val="EMEANormal"/>
              <w:keepNext/>
              <w:keepLines/>
              <w:spacing w:before="60"/>
              <w:rPr>
                <w:del w:id="7183" w:author="AbbVie14" w:date="2025-05-09T10:33:00Z"/>
                <w:lang w:val="it-IT"/>
              </w:rPr>
            </w:pPr>
          </w:p>
        </w:tc>
      </w:tr>
      <w:tr w14:paraId="130D66B4" w14:textId="77777777" w:rsidTr="00C04163">
        <w:tblPrEx>
          <w:tblW w:w="0" w:type="auto"/>
          <w:tblLook w:val="01E0"/>
        </w:tblPrEx>
        <w:trPr>
          <w:cantSplit/>
          <w:del w:id="7184" w:author="AbbVie14" w:date="2025-05-09T10:33:00Z"/>
        </w:trPr>
        <w:tc>
          <w:tcPr>
            <w:tcW w:w="2559" w:type="dxa"/>
            <w:vMerge/>
          </w:tcPr>
          <w:p w:rsidR="00C04163" w:rsidRPr="00295E71" w:rsidP="00035AC5" w14:paraId="7D7FC071" w14:textId="77777777">
            <w:pPr>
              <w:widowControl w:val="0"/>
              <w:spacing w:before="144" w:beforeLines="60"/>
              <w:jc w:val="center"/>
              <w:rPr>
                <w:del w:id="7185"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2906A836" w14:textId="77777777">
            <w:pPr>
              <w:pStyle w:val="EMEANormal"/>
              <w:keepNext/>
              <w:keepLines/>
              <w:widowControl w:val="0"/>
              <w:spacing w:before="60"/>
              <w:rPr>
                <w:del w:id="7186" w:author="AbbVie14" w:date="2025-05-09T10:33:00Z"/>
                <w:lang w:val="it-IT"/>
              </w:rPr>
            </w:pPr>
            <w:del w:id="7187" w:author="AbbVie14" w:date="2025-05-09T10:33: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7F6FEE83" w14:textId="77777777">
            <w:pPr>
              <w:pStyle w:val="EMEANormal"/>
              <w:keepNext/>
              <w:keepLines/>
              <w:spacing w:before="60"/>
              <w:rPr>
                <w:del w:id="7188" w:author="AbbVie14" w:date="2025-05-09T10:33:00Z"/>
                <w:lang w:val="it-IT"/>
              </w:rPr>
            </w:pPr>
            <w:del w:id="7189" w:author="AbbVie14" w:date="2025-05-09T10:33:00Z">
              <w:r w:rsidRPr="00295E71">
                <w:rPr>
                  <w:lang w:val="it-IT"/>
                </w:rPr>
                <w:delText>Porpora trombocitopenica idiopatica</w:delText>
              </w:r>
            </w:del>
          </w:p>
          <w:p w:rsidR="00C04163" w:rsidRPr="00295E71" w:rsidP="00C04163" w14:paraId="041E2210" w14:textId="77777777">
            <w:pPr>
              <w:pStyle w:val="EMEANormal"/>
              <w:keepNext/>
              <w:keepLines/>
              <w:widowControl w:val="0"/>
              <w:spacing w:before="60"/>
              <w:rPr>
                <w:del w:id="7190" w:author="AbbVie14" w:date="2025-05-09T10:33:00Z"/>
                <w:lang w:val="it-IT"/>
              </w:rPr>
            </w:pPr>
          </w:p>
        </w:tc>
      </w:tr>
      <w:tr w14:paraId="04AA203C" w14:textId="77777777" w:rsidTr="00C04163">
        <w:tblPrEx>
          <w:tblW w:w="0" w:type="auto"/>
          <w:tblLook w:val="01E0"/>
        </w:tblPrEx>
        <w:trPr>
          <w:cantSplit/>
          <w:del w:id="7191" w:author="AbbVie14" w:date="2025-05-09T10:33:00Z"/>
        </w:trPr>
        <w:tc>
          <w:tcPr>
            <w:tcW w:w="2559" w:type="dxa"/>
            <w:vMerge/>
          </w:tcPr>
          <w:p w:rsidR="00C04163" w:rsidRPr="00295E71" w:rsidP="00035AC5" w14:paraId="0429C549" w14:textId="77777777">
            <w:pPr>
              <w:widowControl w:val="0"/>
              <w:spacing w:before="144" w:beforeLines="60"/>
              <w:jc w:val="center"/>
              <w:rPr>
                <w:del w:id="7192"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51823658" w14:textId="77777777">
            <w:pPr>
              <w:pStyle w:val="EMEANormal"/>
              <w:keepNext/>
              <w:keepLines/>
              <w:widowControl w:val="0"/>
              <w:spacing w:before="60"/>
              <w:rPr>
                <w:del w:id="7193" w:author="AbbVie14" w:date="2025-05-09T10:33:00Z"/>
                <w:lang w:val="it-IT"/>
              </w:rPr>
            </w:pPr>
            <w:del w:id="7194" w:author="AbbVie14" w:date="2025-05-09T10:33:00Z">
              <w:r w:rsidRPr="00295E71">
                <w:rPr>
                  <w:lang w:val="it-IT"/>
                </w:rPr>
                <w:delText>Raro</w:delText>
              </w:r>
            </w:del>
          </w:p>
          <w:p w:rsidR="00C04163" w:rsidRPr="00295E71" w:rsidP="00C04163" w14:paraId="0B6BA9FC" w14:textId="77777777">
            <w:pPr>
              <w:pStyle w:val="EMEANormal"/>
              <w:keepNext/>
              <w:keepLines/>
              <w:widowControl w:val="0"/>
              <w:spacing w:before="60"/>
              <w:rPr>
                <w:del w:id="7195"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3C64DE1F" w14:textId="77777777">
            <w:pPr>
              <w:pStyle w:val="EMEANormal"/>
              <w:keepNext/>
              <w:keepLines/>
              <w:spacing w:before="60"/>
              <w:rPr>
                <w:del w:id="7196" w:author="AbbVie14" w:date="2025-05-09T10:33:00Z"/>
                <w:lang w:val="it-IT"/>
              </w:rPr>
            </w:pPr>
            <w:del w:id="7197" w:author="AbbVie14" w:date="2025-05-09T10:33:00Z">
              <w:r w:rsidRPr="00295E71">
                <w:rPr>
                  <w:lang w:val="it-IT"/>
                </w:rPr>
                <w:delText>Pancitopenia</w:delText>
              </w:r>
            </w:del>
          </w:p>
        </w:tc>
      </w:tr>
      <w:tr w14:paraId="1CD2FDBF" w14:textId="77777777" w:rsidTr="00C04163">
        <w:tblPrEx>
          <w:tblW w:w="0" w:type="auto"/>
          <w:tblLook w:val="01E0"/>
        </w:tblPrEx>
        <w:trPr>
          <w:cantSplit/>
          <w:del w:id="7198" w:author="AbbVie14" w:date="2025-05-09T10:33:00Z"/>
        </w:trPr>
        <w:tc>
          <w:tcPr>
            <w:tcW w:w="2559" w:type="dxa"/>
            <w:vMerge w:val="restart"/>
          </w:tcPr>
          <w:p w:rsidR="00C04163" w:rsidRPr="00295E71" w:rsidP="00035AC5" w14:paraId="0DA35087" w14:textId="77777777">
            <w:pPr>
              <w:pStyle w:val="EMEANormal"/>
              <w:widowControl w:val="0"/>
              <w:spacing w:before="60"/>
              <w:rPr>
                <w:del w:id="7199" w:author="AbbVie14" w:date="2025-05-09T10:33:00Z"/>
                <w:lang w:val="it-IT"/>
              </w:rPr>
            </w:pPr>
            <w:del w:id="7200" w:author="AbbVie14" w:date="2025-05-09T10:33:00Z">
              <w:r w:rsidRPr="00295E71">
                <w:rPr>
                  <w:lang w:val="it-IT"/>
                </w:rPr>
                <w:delText>Disturbi del sistema immunitario*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D54FD65" w14:textId="77777777">
            <w:pPr>
              <w:pStyle w:val="EMEANormal"/>
              <w:keepNext/>
              <w:keepLines/>
              <w:widowControl w:val="0"/>
              <w:spacing w:before="60"/>
              <w:rPr>
                <w:del w:id="7201" w:author="AbbVie14" w:date="2025-05-09T10:33:00Z"/>
                <w:lang w:val="it-IT"/>
              </w:rPr>
            </w:pPr>
            <w:del w:id="7202" w:author="AbbVie14" w:date="2025-05-09T10:33:00Z">
              <w:r w:rsidRPr="00295E71">
                <w:rPr>
                  <w:lang w:val="it-IT"/>
                </w:rPr>
                <w:delText>Comune</w:delText>
              </w:r>
            </w:del>
          </w:p>
          <w:p w:rsidR="00C04163" w:rsidRPr="00295E71" w:rsidP="00C04163" w14:paraId="5089E7ED" w14:textId="77777777">
            <w:pPr>
              <w:pStyle w:val="EMEANormal"/>
              <w:keepNext/>
              <w:keepLines/>
              <w:widowControl w:val="0"/>
              <w:spacing w:before="60"/>
              <w:rPr>
                <w:del w:id="7203"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5935FF0" w14:textId="77777777">
            <w:pPr>
              <w:pStyle w:val="EMEANormal"/>
              <w:keepNext/>
              <w:keepLines/>
              <w:widowControl w:val="0"/>
              <w:spacing w:before="60"/>
              <w:rPr>
                <w:del w:id="7204" w:author="AbbVie14" w:date="2025-05-09T10:33:00Z"/>
                <w:lang w:val="it-IT"/>
              </w:rPr>
            </w:pPr>
            <w:del w:id="7205" w:author="AbbVie14" w:date="2025-05-09T10:33:00Z">
              <w:r w:rsidRPr="00295E71">
                <w:rPr>
                  <w:lang w:val="it-IT"/>
                </w:rPr>
                <w:delText>Ipersensibilità,</w:delText>
              </w:r>
            </w:del>
          </w:p>
          <w:p w:rsidR="00C04163" w:rsidRPr="00295E71" w:rsidP="00C04163" w14:paraId="11D46929" w14:textId="77777777">
            <w:pPr>
              <w:pStyle w:val="EMEANormal"/>
              <w:keepNext/>
              <w:keepLines/>
              <w:widowControl w:val="0"/>
              <w:spacing w:before="60"/>
              <w:rPr>
                <w:del w:id="7206" w:author="AbbVie14" w:date="2025-05-09T10:33:00Z"/>
                <w:lang w:val="it-IT"/>
              </w:rPr>
            </w:pPr>
            <w:del w:id="7207" w:author="AbbVie14" w:date="2025-05-09T10:33:00Z">
              <w:r w:rsidRPr="00295E71">
                <w:rPr>
                  <w:lang w:val="it-IT"/>
                </w:rPr>
                <w:delText>allergie (tra cui allergia stagionale)</w:delText>
              </w:r>
            </w:del>
          </w:p>
        </w:tc>
      </w:tr>
      <w:tr w14:paraId="13A22C0E" w14:textId="77777777" w:rsidTr="00C04163">
        <w:tblPrEx>
          <w:tblW w:w="0" w:type="auto"/>
          <w:tblLook w:val="01E0"/>
        </w:tblPrEx>
        <w:trPr>
          <w:cantSplit/>
          <w:del w:id="7208" w:author="AbbVie14" w:date="2025-05-09T10:33:00Z"/>
        </w:trPr>
        <w:tc>
          <w:tcPr>
            <w:tcW w:w="2559" w:type="dxa"/>
            <w:vMerge/>
          </w:tcPr>
          <w:p w:rsidR="00C04163" w:rsidRPr="00295E71" w:rsidP="00035AC5" w14:paraId="655D5689" w14:textId="77777777">
            <w:pPr>
              <w:pStyle w:val="EMEANormal"/>
              <w:widowControl w:val="0"/>
              <w:spacing w:before="60"/>
              <w:rPr>
                <w:del w:id="7209"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8CDB0EB" w14:textId="77777777">
            <w:pPr>
              <w:pStyle w:val="EMEANormal"/>
              <w:keepNext/>
              <w:keepLines/>
              <w:widowControl w:val="0"/>
              <w:spacing w:before="60"/>
              <w:rPr>
                <w:del w:id="7210" w:author="AbbVie14" w:date="2025-05-09T10:33:00Z"/>
                <w:lang w:val="it-IT"/>
              </w:rPr>
            </w:pPr>
          </w:p>
          <w:p w:rsidR="00C04163" w:rsidRPr="00295E71" w:rsidP="00C04163" w14:paraId="1608F779" w14:textId="77777777">
            <w:pPr>
              <w:pStyle w:val="EMEANormal"/>
              <w:keepNext/>
              <w:keepLines/>
              <w:widowControl w:val="0"/>
              <w:spacing w:before="60"/>
              <w:rPr>
                <w:del w:id="7211" w:author="AbbVie14" w:date="2025-05-09T10:33:00Z"/>
                <w:lang w:val="it-IT"/>
              </w:rPr>
            </w:pPr>
            <w:del w:id="7212" w:author="AbbVie14" w:date="2025-05-09T10:33: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710A9719" w14:textId="77777777">
            <w:pPr>
              <w:pStyle w:val="EMEANormal"/>
              <w:keepNext/>
              <w:keepLines/>
              <w:widowControl w:val="0"/>
              <w:spacing w:before="60"/>
              <w:rPr>
                <w:del w:id="7213" w:author="AbbVie14" w:date="2025-05-09T10:33:00Z"/>
                <w:lang w:val="it-IT"/>
              </w:rPr>
            </w:pPr>
          </w:p>
          <w:p w:rsidR="00C04163" w:rsidRPr="00295E71" w:rsidP="00C04163" w14:paraId="3E53987D" w14:textId="77777777">
            <w:pPr>
              <w:pStyle w:val="EMEANormal"/>
              <w:keepNext/>
              <w:keepLines/>
              <w:widowControl w:val="0"/>
              <w:spacing w:before="60"/>
              <w:rPr>
                <w:del w:id="7214" w:author="AbbVie14" w:date="2025-05-09T10:33:00Z"/>
                <w:lang w:val="it-IT"/>
              </w:rPr>
            </w:pPr>
            <w:del w:id="7215" w:author="AbbVie14" w:date="2025-05-09T10:33:00Z">
              <w:r w:rsidRPr="00295E71">
                <w:rPr>
                  <w:lang w:val="it-IT"/>
                </w:rPr>
                <w:delText>Sarcoidosi</w:delText>
              </w:r>
            </w:del>
            <w:del w:id="7216" w:author="AbbVie14" w:date="2025-05-09T10:33:00Z">
              <w:r w:rsidRPr="00C04163">
                <w:rPr>
                  <w:lang w:val="it-IT"/>
                </w:rPr>
                <w:delText>1)</w:delText>
              </w:r>
            </w:del>
            <w:del w:id="7217" w:author="AbbVie14" w:date="2025-05-09T10:33:00Z">
              <w:r w:rsidRPr="00295E71">
                <w:rPr>
                  <w:lang w:val="it-IT"/>
                </w:rPr>
                <w:delText>,</w:delText>
              </w:r>
            </w:del>
          </w:p>
          <w:p w:rsidR="00C04163" w:rsidRPr="00295E71" w:rsidP="00C04163" w14:paraId="280DB75F" w14:textId="77777777">
            <w:pPr>
              <w:pStyle w:val="EMEANormal"/>
              <w:keepNext/>
              <w:keepLines/>
              <w:widowControl w:val="0"/>
              <w:spacing w:before="60"/>
              <w:rPr>
                <w:del w:id="7218" w:author="AbbVie14" w:date="2025-05-09T10:33:00Z"/>
                <w:lang w:val="it-IT"/>
              </w:rPr>
            </w:pPr>
            <w:del w:id="7219" w:author="AbbVie14" w:date="2025-05-09T10:33:00Z">
              <w:r w:rsidRPr="00295E71">
                <w:rPr>
                  <w:lang w:val="it-IT"/>
                </w:rPr>
                <w:delText>vasculite</w:delText>
              </w:r>
            </w:del>
          </w:p>
          <w:p w:rsidR="00C04163" w:rsidRPr="00295E71" w:rsidP="00C04163" w14:paraId="314087B0" w14:textId="77777777">
            <w:pPr>
              <w:pStyle w:val="EMEANormal"/>
              <w:keepNext/>
              <w:keepLines/>
              <w:widowControl w:val="0"/>
              <w:spacing w:before="60"/>
              <w:rPr>
                <w:del w:id="7220" w:author="AbbVie14" w:date="2025-05-09T10:33:00Z"/>
                <w:lang w:val="it-IT"/>
              </w:rPr>
            </w:pPr>
          </w:p>
        </w:tc>
      </w:tr>
      <w:tr w14:paraId="2787861D" w14:textId="77777777" w:rsidTr="00C04163">
        <w:tblPrEx>
          <w:tblW w:w="0" w:type="auto"/>
          <w:tblLook w:val="01E0"/>
        </w:tblPrEx>
        <w:trPr>
          <w:cantSplit/>
          <w:del w:id="7221" w:author="AbbVie14" w:date="2025-05-09T10:33:00Z"/>
        </w:trPr>
        <w:tc>
          <w:tcPr>
            <w:tcW w:w="2559" w:type="dxa"/>
            <w:vMerge/>
          </w:tcPr>
          <w:p w:rsidR="00C04163" w:rsidRPr="00295E71" w:rsidP="00035AC5" w14:paraId="4F80C2A4" w14:textId="77777777">
            <w:pPr>
              <w:pStyle w:val="EMEANormal"/>
              <w:widowControl w:val="0"/>
              <w:spacing w:before="60"/>
              <w:rPr>
                <w:del w:id="7222"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19B7F834" w14:textId="77777777">
            <w:pPr>
              <w:pStyle w:val="EMEANormal"/>
              <w:keepNext/>
              <w:keepLines/>
              <w:widowControl w:val="0"/>
              <w:spacing w:before="60"/>
              <w:rPr>
                <w:del w:id="7223" w:author="AbbVie14" w:date="2025-05-09T10:33:00Z"/>
                <w:lang w:val="it-IT"/>
              </w:rPr>
            </w:pPr>
            <w:del w:id="7224" w:author="AbbVie14" w:date="2025-05-09T10:33: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41B9A893" w14:textId="77777777">
            <w:pPr>
              <w:pStyle w:val="EMEANormal"/>
              <w:keepNext/>
              <w:keepLines/>
              <w:widowControl w:val="0"/>
              <w:spacing w:before="60"/>
              <w:rPr>
                <w:del w:id="7225" w:author="AbbVie14" w:date="2025-05-09T10:33:00Z"/>
                <w:lang w:val="it-IT"/>
              </w:rPr>
            </w:pPr>
            <w:del w:id="7226" w:author="AbbVie14" w:date="2025-05-09T10:33:00Z">
              <w:r w:rsidRPr="00295E71">
                <w:rPr>
                  <w:lang w:val="it-IT"/>
                </w:rPr>
                <w:delText>Anafilassi</w:delText>
              </w:r>
            </w:del>
            <w:del w:id="7227" w:author="AbbVie14" w:date="2025-05-09T10:33:00Z">
              <w:r w:rsidRPr="00C04163">
                <w:rPr>
                  <w:lang w:val="it-IT"/>
                </w:rPr>
                <w:delText>1)</w:delText>
              </w:r>
            </w:del>
          </w:p>
          <w:p w:rsidR="00C04163" w:rsidRPr="00295E71" w:rsidP="00C04163" w14:paraId="0A84E666" w14:textId="77777777">
            <w:pPr>
              <w:pStyle w:val="EMEANormal"/>
              <w:keepNext/>
              <w:keepLines/>
              <w:widowControl w:val="0"/>
              <w:spacing w:before="60"/>
              <w:rPr>
                <w:del w:id="7228" w:author="AbbVie14" w:date="2025-05-09T10:33:00Z"/>
                <w:lang w:val="it-IT"/>
              </w:rPr>
            </w:pPr>
          </w:p>
        </w:tc>
      </w:tr>
      <w:tr w14:paraId="0071A96F" w14:textId="77777777" w:rsidTr="00C04163">
        <w:tblPrEx>
          <w:tblW w:w="0" w:type="auto"/>
          <w:tblLook w:val="01E0"/>
        </w:tblPrEx>
        <w:trPr>
          <w:cantSplit/>
          <w:del w:id="7229" w:author="AbbVie14" w:date="2025-05-09T10:33:00Z"/>
        </w:trPr>
        <w:tc>
          <w:tcPr>
            <w:tcW w:w="2559" w:type="dxa"/>
            <w:vMerge w:val="restart"/>
          </w:tcPr>
          <w:p w:rsidR="00C04163" w:rsidRPr="00295E71" w:rsidP="00035AC5" w14:paraId="1530BCB6" w14:textId="77777777">
            <w:pPr>
              <w:pStyle w:val="EMEANormal"/>
              <w:widowControl w:val="0"/>
              <w:spacing w:before="60"/>
              <w:rPr>
                <w:del w:id="7230" w:author="AbbVie14" w:date="2025-05-09T10:33:00Z"/>
                <w:lang w:val="it-IT"/>
              </w:rPr>
            </w:pPr>
            <w:del w:id="7231" w:author="AbbVie14" w:date="2025-05-09T10:33:00Z">
              <w:r w:rsidRPr="00295E71">
                <w:rPr>
                  <w:lang w:val="it-IT"/>
                </w:rPr>
                <w:delText>Disturbi del metabolismo e della nutrizione</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9C4521C" w14:textId="77777777">
            <w:pPr>
              <w:pStyle w:val="EMEANormal"/>
              <w:keepNext/>
              <w:keepLines/>
              <w:widowControl w:val="0"/>
              <w:spacing w:before="60"/>
              <w:rPr>
                <w:del w:id="7232" w:author="AbbVie14" w:date="2025-05-09T10:33:00Z"/>
                <w:lang w:val="it-IT"/>
              </w:rPr>
            </w:pPr>
            <w:del w:id="7233" w:author="AbbVie14" w:date="2025-05-09T10:33:00Z">
              <w:r w:rsidRPr="00295E71">
                <w:rPr>
                  <w:lang w:val="it-IT"/>
                </w:rPr>
                <w:delText>Molto comune</w:delText>
              </w:r>
            </w:del>
          </w:p>
          <w:p w:rsidR="00C04163" w:rsidRPr="00295E71" w:rsidP="00C04163" w14:paraId="4B8EB44B" w14:textId="77777777">
            <w:pPr>
              <w:pStyle w:val="EMEANormal"/>
              <w:keepNext/>
              <w:keepLines/>
              <w:widowControl w:val="0"/>
              <w:spacing w:before="60"/>
              <w:rPr>
                <w:del w:id="7234"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3CA77CF5" w14:textId="77777777">
            <w:pPr>
              <w:pStyle w:val="EMEANormal"/>
              <w:keepNext/>
              <w:keepLines/>
              <w:widowControl w:val="0"/>
              <w:spacing w:before="60"/>
              <w:rPr>
                <w:del w:id="7235" w:author="AbbVie14" w:date="2025-05-09T10:33:00Z"/>
                <w:lang w:val="it-IT"/>
              </w:rPr>
            </w:pPr>
            <w:del w:id="7236" w:author="AbbVie14" w:date="2025-05-09T10:33:00Z">
              <w:r w:rsidRPr="00295E71">
                <w:rPr>
                  <w:lang w:val="it-IT"/>
                </w:rPr>
                <w:delText>Iperlipidemia</w:delText>
              </w:r>
            </w:del>
          </w:p>
        </w:tc>
      </w:tr>
      <w:tr w14:paraId="558F5AF2" w14:textId="77777777" w:rsidTr="00C04163">
        <w:tblPrEx>
          <w:tblW w:w="0" w:type="auto"/>
          <w:tblLook w:val="01E0"/>
        </w:tblPrEx>
        <w:trPr>
          <w:cantSplit/>
          <w:del w:id="7237" w:author="AbbVie14" w:date="2025-05-09T10:33:00Z"/>
        </w:trPr>
        <w:tc>
          <w:tcPr>
            <w:tcW w:w="2559" w:type="dxa"/>
            <w:vMerge/>
          </w:tcPr>
          <w:p w:rsidR="00C04163" w:rsidRPr="00295E71" w:rsidP="00035AC5" w14:paraId="237DC66A" w14:textId="77777777">
            <w:pPr>
              <w:pStyle w:val="EMEANormal"/>
              <w:widowControl w:val="0"/>
              <w:spacing w:before="60"/>
              <w:rPr>
                <w:del w:id="7238"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2B31A81A" w14:textId="77777777">
            <w:pPr>
              <w:pStyle w:val="EMEANormal"/>
              <w:keepNext/>
              <w:keepLines/>
              <w:widowControl w:val="0"/>
              <w:spacing w:before="60"/>
              <w:rPr>
                <w:del w:id="7239" w:author="AbbVie14" w:date="2025-05-09T10:33:00Z"/>
                <w:lang w:val="it-IT"/>
              </w:rPr>
            </w:pPr>
            <w:del w:id="7240" w:author="AbbVie14" w:date="2025-05-09T10:33:00Z">
              <w:r w:rsidRPr="00295E71">
                <w:rPr>
                  <w:lang w:val="it-IT"/>
                </w:rPr>
                <w:delText>Comune</w:delText>
              </w:r>
            </w:del>
          </w:p>
          <w:p w:rsidR="00C04163" w:rsidRPr="00295E71" w:rsidP="00C04163" w14:paraId="2B0AB963" w14:textId="77777777">
            <w:pPr>
              <w:pStyle w:val="EMEANormal"/>
              <w:keepNext/>
              <w:keepLines/>
              <w:widowControl w:val="0"/>
              <w:spacing w:before="60"/>
              <w:rPr>
                <w:del w:id="7241"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576D52E" w14:textId="77777777">
            <w:pPr>
              <w:pStyle w:val="EMEANormal"/>
              <w:keepNext/>
              <w:keepLines/>
              <w:widowControl w:val="0"/>
              <w:spacing w:before="60"/>
              <w:rPr>
                <w:del w:id="7242" w:author="AbbVie14" w:date="2025-05-09T10:33:00Z"/>
                <w:lang w:val="it-IT"/>
              </w:rPr>
            </w:pPr>
            <w:del w:id="7243" w:author="AbbVie14" w:date="2025-05-09T10:33:00Z">
              <w:r w:rsidRPr="00295E71">
                <w:rPr>
                  <w:lang w:val="it-IT"/>
                </w:rPr>
                <w:delText xml:space="preserve">Ipokaliemia, </w:delText>
              </w:r>
            </w:del>
          </w:p>
          <w:p w:rsidR="00C04163" w:rsidRPr="00295E71" w:rsidP="00C04163" w14:paraId="4ADD2F79" w14:textId="77777777">
            <w:pPr>
              <w:pStyle w:val="EMEANormal"/>
              <w:keepNext/>
              <w:keepLines/>
              <w:widowControl w:val="0"/>
              <w:spacing w:before="60"/>
              <w:rPr>
                <w:del w:id="7244" w:author="AbbVie14" w:date="2025-05-09T10:33:00Z"/>
                <w:lang w:val="it-IT"/>
              </w:rPr>
            </w:pPr>
            <w:del w:id="7245" w:author="AbbVie14" w:date="2025-05-09T10:33:00Z">
              <w:r w:rsidRPr="00295E71">
                <w:rPr>
                  <w:lang w:val="it-IT"/>
                </w:rPr>
                <w:delText xml:space="preserve">iperuricemia, </w:delText>
              </w:r>
            </w:del>
          </w:p>
          <w:p w:rsidR="00C04163" w:rsidRPr="00295E71" w:rsidP="00C04163" w14:paraId="22730A61" w14:textId="77777777">
            <w:pPr>
              <w:pStyle w:val="EMEANormal"/>
              <w:keepNext/>
              <w:keepLines/>
              <w:widowControl w:val="0"/>
              <w:spacing w:before="60"/>
              <w:rPr>
                <w:del w:id="7246" w:author="AbbVie14" w:date="2025-05-09T10:33:00Z"/>
                <w:lang w:val="it-IT"/>
              </w:rPr>
            </w:pPr>
            <w:del w:id="7247" w:author="AbbVie14" w:date="2025-05-09T10:33:00Z">
              <w:r w:rsidRPr="00295E71">
                <w:rPr>
                  <w:lang w:val="it-IT"/>
                </w:rPr>
                <w:delText>alterazione della sodiemia,</w:delText>
              </w:r>
            </w:del>
          </w:p>
          <w:p w:rsidR="00C04163" w:rsidRPr="00295E71" w:rsidP="00C04163" w14:paraId="3261E16A" w14:textId="77777777">
            <w:pPr>
              <w:pStyle w:val="EMEANormal"/>
              <w:keepNext/>
              <w:keepLines/>
              <w:widowControl w:val="0"/>
              <w:spacing w:before="60"/>
              <w:rPr>
                <w:del w:id="7248" w:author="AbbVie14" w:date="2025-05-09T10:33:00Z"/>
                <w:lang w:val="it-IT"/>
              </w:rPr>
            </w:pPr>
            <w:del w:id="7249" w:author="AbbVie14" w:date="2025-05-09T10:33:00Z">
              <w:r w:rsidRPr="00295E71">
                <w:rPr>
                  <w:lang w:val="it-IT"/>
                </w:rPr>
                <w:delText>ipocalcemia</w:delText>
              </w:r>
            </w:del>
          </w:p>
          <w:p w:rsidR="00C04163" w:rsidRPr="00295E71" w:rsidP="00C04163" w14:paraId="70115F7E" w14:textId="77777777">
            <w:pPr>
              <w:pStyle w:val="EMEANormal"/>
              <w:keepNext/>
              <w:keepLines/>
              <w:widowControl w:val="0"/>
              <w:spacing w:before="60"/>
              <w:rPr>
                <w:del w:id="7250" w:author="AbbVie14" w:date="2025-05-09T10:33:00Z"/>
                <w:lang w:val="it-IT"/>
              </w:rPr>
            </w:pPr>
            <w:del w:id="7251" w:author="AbbVie14" w:date="2025-05-09T10:33:00Z">
              <w:r w:rsidRPr="00295E71">
                <w:rPr>
                  <w:lang w:val="it-IT"/>
                </w:rPr>
                <w:delText>iperglicemia,</w:delText>
              </w:r>
            </w:del>
          </w:p>
          <w:p w:rsidR="00C04163" w:rsidRPr="00295E71" w:rsidP="00C04163" w14:paraId="6589699F" w14:textId="77777777">
            <w:pPr>
              <w:pStyle w:val="EMEANormal"/>
              <w:keepNext/>
              <w:keepLines/>
              <w:widowControl w:val="0"/>
              <w:spacing w:before="60"/>
              <w:rPr>
                <w:del w:id="7252" w:author="AbbVie14" w:date="2025-05-09T10:33:00Z"/>
                <w:lang w:val="it-IT"/>
              </w:rPr>
            </w:pPr>
            <w:del w:id="7253" w:author="AbbVie14" w:date="2025-05-09T10:33:00Z">
              <w:r w:rsidRPr="00295E71">
                <w:rPr>
                  <w:lang w:val="it-IT"/>
                </w:rPr>
                <w:delText>ipofosfatemia,</w:delText>
              </w:r>
            </w:del>
          </w:p>
          <w:p w:rsidR="00C04163" w:rsidRPr="00295E71" w:rsidP="00C04163" w14:paraId="63A5D48C" w14:textId="77777777">
            <w:pPr>
              <w:pStyle w:val="EMEANormal"/>
              <w:keepNext/>
              <w:keepLines/>
              <w:widowControl w:val="0"/>
              <w:spacing w:before="60"/>
              <w:rPr>
                <w:del w:id="7254" w:author="AbbVie14" w:date="2025-05-09T10:33:00Z"/>
                <w:lang w:val="it-IT"/>
              </w:rPr>
            </w:pPr>
            <w:del w:id="7255" w:author="AbbVie14" w:date="2025-05-09T10:33:00Z">
              <w:r w:rsidRPr="00295E71">
                <w:rPr>
                  <w:lang w:val="it-IT"/>
                </w:rPr>
                <w:delText>disidratazione</w:delText>
              </w:r>
            </w:del>
          </w:p>
          <w:p w:rsidR="00C04163" w:rsidRPr="00295E71" w:rsidP="00C04163" w14:paraId="6BD7EC41" w14:textId="77777777">
            <w:pPr>
              <w:pStyle w:val="EMEANormal"/>
              <w:keepNext/>
              <w:keepLines/>
              <w:widowControl w:val="0"/>
              <w:spacing w:before="60"/>
              <w:rPr>
                <w:del w:id="7256" w:author="AbbVie14" w:date="2025-05-09T10:33:00Z"/>
                <w:lang w:val="it-IT"/>
              </w:rPr>
            </w:pPr>
          </w:p>
        </w:tc>
      </w:tr>
      <w:tr w14:paraId="47914D52" w14:textId="77777777" w:rsidTr="00C04163">
        <w:tblPrEx>
          <w:tblW w:w="0" w:type="auto"/>
          <w:tblLook w:val="01E0"/>
        </w:tblPrEx>
        <w:trPr>
          <w:cantSplit/>
          <w:del w:id="7257" w:author="AbbVie14" w:date="2025-05-09T10:33:00Z"/>
        </w:trPr>
        <w:tc>
          <w:tcPr>
            <w:tcW w:w="2559" w:type="dxa"/>
          </w:tcPr>
          <w:p w:rsidR="00C04163" w:rsidRPr="00295E71" w:rsidP="00035AC5" w14:paraId="77A0CDF4" w14:textId="77777777">
            <w:pPr>
              <w:pStyle w:val="IndexHeading"/>
              <w:widowControl w:val="0"/>
              <w:tabs>
                <w:tab w:val="clear" w:pos="567"/>
              </w:tabs>
              <w:spacing w:before="120" w:after="120" w:line="240" w:lineRule="auto"/>
              <w:jc w:val="center"/>
              <w:rPr>
                <w:del w:id="7258" w:author="AbbVie14" w:date="2025-05-09T10:33:00Z"/>
                <w:rFonts w:ascii="Times New Roman" w:hAnsi="Times New Roman" w:cs="Times New Roman"/>
                <w:lang w:val="it-IT" w:eastAsia="it-IT"/>
              </w:rPr>
            </w:pPr>
            <w:del w:id="7259" w:author="AbbVie14" w:date="2025-05-09T10:33:00Z">
              <w:r w:rsidRPr="00295E71">
                <w:rPr>
                  <w:rFonts w:ascii="Times New Roman" w:hAnsi="Times New Roman" w:cs="Times New Roman"/>
                  <w:lang w:val="it-IT" w:eastAsia="it-IT"/>
                </w:rPr>
                <w:delText>Classificazione per sistemi e organi</w:delText>
              </w:r>
            </w:del>
          </w:p>
        </w:tc>
        <w:tc>
          <w:tcPr>
            <w:tcW w:w="2038" w:type="dxa"/>
            <w:tcBorders>
              <w:top w:val="single" w:sz="4" w:space="0" w:color="auto"/>
              <w:left w:val="single" w:sz="4" w:space="0" w:color="auto"/>
              <w:bottom w:val="single" w:sz="4" w:space="0" w:color="auto"/>
              <w:right w:val="single" w:sz="4" w:space="0" w:color="auto"/>
            </w:tcBorders>
          </w:tcPr>
          <w:p w:rsidR="00C04163" w:rsidRPr="00C04163" w:rsidP="00C04163" w14:paraId="6F09F3E3" w14:textId="77777777">
            <w:pPr>
              <w:pStyle w:val="EMEANormal"/>
              <w:keepNext/>
              <w:keepLines/>
              <w:spacing w:before="60"/>
              <w:rPr>
                <w:del w:id="7260" w:author="AbbVie14" w:date="2025-05-09T10:33:00Z"/>
                <w:lang w:val="it-IT"/>
              </w:rPr>
            </w:pPr>
            <w:del w:id="7261" w:author="AbbVie14" w:date="2025-05-09T10:33:00Z">
              <w:r w:rsidRPr="00295E71">
                <w:rPr>
                  <w:lang w:val="it-IT"/>
                </w:rPr>
                <w:delText>Frequenza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6BDE3B2E" w14:textId="77777777">
            <w:pPr>
              <w:pStyle w:val="EMEANormal"/>
              <w:keepNext/>
              <w:keepLines/>
              <w:spacing w:before="60"/>
              <w:rPr>
                <w:del w:id="7262" w:author="AbbVie14" w:date="2025-05-09T10:33:00Z"/>
                <w:lang w:val="it-IT"/>
              </w:rPr>
            </w:pPr>
            <w:del w:id="7263" w:author="AbbVie14" w:date="2025-05-09T10:33:00Z">
              <w:r w:rsidRPr="00295E71">
                <w:rPr>
                  <w:lang w:val="it-IT"/>
                </w:rPr>
                <w:delText>Reazione avversa</w:delText>
              </w:r>
            </w:del>
          </w:p>
        </w:tc>
      </w:tr>
      <w:tr w14:paraId="7CBE690A" w14:textId="77777777" w:rsidTr="00C04163">
        <w:tblPrEx>
          <w:tblW w:w="0" w:type="auto"/>
          <w:tblLook w:val="01E0"/>
        </w:tblPrEx>
        <w:trPr>
          <w:cantSplit/>
          <w:del w:id="7264" w:author="AbbVie14" w:date="2025-05-09T10:33:00Z"/>
        </w:trPr>
        <w:tc>
          <w:tcPr>
            <w:tcW w:w="2559" w:type="dxa"/>
          </w:tcPr>
          <w:p w:rsidR="00C04163" w:rsidRPr="00295E71" w:rsidP="00035AC5" w14:paraId="2C501523" w14:textId="77777777">
            <w:pPr>
              <w:pStyle w:val="EMEANormal"/>
              <w:widowControl w:val="0"/>
              <w:spacing w:before="60"/>
              <w:rPr>
                <w:del w:id="7265" w:author="AbbVie14" w:date="2025-05-09T10:33:00Z"/>
                <w:lang w:val="it-IT"/>
              </w:rPr>
            </w:pPr>
            <w:del w:id="7266" w:author="AbbVie14" w:date="2025-05-09T10:33:00Z">
              <w:r w:rsidRPr="00295E71">
                <w:rPr>
                  <w:lang w:val="it-IT"/>
                </w:rPr>
                <w:delText>Disturbi psichiatrici</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1747AB18" w14:textId="77777777">
            <w:pPr>
              <w:pStyle w:val="EMEANormal"/>
              <w:keepNext/>
              <w:keepLines/>
              <w:widowControl w:val="0"/>
              <w:spacing w:before="60"/>
              <w:rPr>
                <w:del w:id="7267" w:author="AbbVie14" w:date="2025-05-09T10:33:00Z"/>
                <w:lang w:val="it-IT"/>
              </w:rPr>
            </w:pPr>
            <w:del w:id="7268" w:author="AbbVie14" w:date="2025-05-09T10:33:00Z">
              <w:r w:rsidRPr="00295E71">
                <w:rPr>
                  <w:lang w:val="it-IT"/>
                </w:rPr>
                <w:delText>Comune</w:delText>
              </w:r>
            </w:del>
          </w:p>
          <w:p w:rsidR="00C04163" w:rsidRPr="00295E71" w:rsidP="00C04163" w14:paraId="337B8738" w14:textId="77777777">
            <w:pPr>
              <w:pStyle w:val="EMEANormal"/>
              <w:keepNext/>
              <w:keepLines/>
              <w:widowControl w:val="0"/>
              <w:spacing w:before="60"/>
              <w:rPr>
                <w:del w:id="7269"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24FF3E78" w14:textId="77777777">
            <w:pPr>
              <w:pStyle w:val="EMEANormal"/>
              <w:keepNext/>
              <w:keepLines/>
              <w:widowControl w:val="0"/>
              <w:spacing w:before="60"/>
              <w:rPr>
                <w:del w:id="7270" w:author="AbbVie14" w:date="2025-05-09T10:33:00Z"/>
                <w:lang w:val="it-IT"/>
              </w:rPr>
            </w:pPr>
            <w:del w:id="7271" w:author="AbbVie14" w:date="2025-05-09T10:33:00Z">
              <w:r w:rsidRPr="00295E71">
                <w:rPr>
                  <w:lang w:val="it-IT"/>
                </w:rPr>
                <w:delText>Disturbi dell’umore (tra cui depressione),</w:delText>
              </w:r>
            </w:del>
          </w:p>
          <w:p w:rsidR="00C04163" w:rsidRPr="00295E71" w:rsidP="00C04163" w14:paraId="6F0C543D" w14:textId="77777777">
            <w:pPr>
              <w:pStyle w:val="EMEANormal"/>
              <w:keepNext/>
              <w:keepLines/>
              <w:widowControl w:val="0"/>
              <w:spacing w:before="60"/>
              <w:rPr>
                <w:del w:id="7272" w:author="AbbVie14" w:date="2025-05-09T10:33:00Z"/>
                <w:lang w:val="it-IT"/>
              </w:rPr>
            </w:pPr>
            <w:del w:id="7273" w:author="AbbVie14" w:date="2025-05-09T10:33:00Z">
              <w:r w:rsidRPr="00295E71">
                <w:rPr>
                  <w:lang w:val="it-IT"/>
                </w:rPr>
                <w:delText>ansia,</w:delText>
              </w:r>
            </w:del>
          </w:p>
          <w:p w:rsidR="00C04163" w:rsidRPr="00295E71" w:rsidP="00C04163" w14:paraId="47088F69" w14:textId="77777777">
            <w:pPr>
              <w:pStyle w:val="EMEANormal"/>
              <w:keepNext/>
              <w:keepLines/>
              <w:widowControl w:val="0"/>
              <w:spacing w:before="60"/>
              <w:rPr>
                <w:del w:id="7274" w:author="AbbVie14" w:date="2025-05-09T10:33:00Z"/>
                <w:lang w:val="it-IT"/>
              </w:rPr>
            </w:pPr>
            <w:del w:id="7275" w:author="AbbVie14" w:date="2025-05-09T10:33:00Z">
              <w:r w:rsidRPr="00295E71">
                <w:rPr>
                  <w:lang w:val="it-IT"/>
                </w:rPr>
                <w:delText>insonnia</w:delText>
              </w:r>
            </w:del>
          </w:p>
          <w:p w:rsidR="00C04163" w:rsidRPr="00295E71" w:rsidP="00C04163" w14:paraId="2E7294AC" w14:textId="77777777">
            <w:pPr>
              <w:pStyle w:val="EMEANormal"/>
              <w:keepNext/>
              <w:keepLines/>
              <w:widowControl w:val="0"/>
              <w:spacing w:before="60"/>
              <w:rPr>
                <w:del w:id="7276" w:author="AbbVie14" w:date="2025-05-09T10:33:00Z"/>
                <w:lang w:val="it-IT"/>
              </w:rPr>
            </w:pPr>
          </w:p>
        </w:tc>
      </w:tr>
      <w:tr w14:paraId="432C9127" w14:textId="77777777" w:rsidTr="00C04163">
        <w:tblPrEx>
          <w:tblW w:w="0" w:type="auto"/>
          <w:tblLook w:val="01E0"/>
        </w:tblPrEx>
        <w:trPr>
          <w:cantSplit/>
          <w:del w:id="7277" w:author="AbbVie14" w:date="2025-05-09T10:33:00Z"/>
        </w:trPr>
        <w:tc>
          <w:tcPr>
            <w:tcW w:w="2559" w:type="dxa"/>
            <w:vMerge w:val="restart"/>
          </w:tcPr>
          <w:p w:rsidR="00C04163" w:rsidRPr="00295E71" w:rsidP="00035AC5" w14:paraId="2FD0ADAE" w14:textId="77777777">
            <w:pPr>
              <w:pStyle w:val="EMEANormal"/>
              <w:widowControl w:val="0"/>
              <w:spacing w:before="60"/>
              <w:rPr>
                <w:del w:id="7278" w:author="AbbVie14" w:date="2025-05-09T10:33:00Z"/>
                <w:lang w:val="it-IT"/>
              </w:rPr>
            </w:pPr>
            <w:del w:id="7279" w:author="AbbVie14" w:date="2025-05-09T10:33:00Z">
              <w:r w:rsidRPr="00295E71">
                <w:rPr>
                  <w:lang w:val="it-IT"/>
                </w:rPr>
                <w:delText>Patologie del sistema nervoso*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3A3A83A" w14:textId="77777777">
            <w:pPr>
              <w:pStyle w:val="EMEANormal"/>
              <w:keepNext/>
              <w:keepLines/>
              <w:widowControl w:val="0"/>
              <w:spacing w:before="60"/>
              <w:rPr>
                <w:del w:id="7280" w:author="AbbVie14" w:date="2025-05-09T10:33:00Z"/>
                <w:lang w:val="it-IT"/>
              </w:rPr>
            </w:pPr>
            <w:del w:id="7281" w:author="AbbVie14" w:date="2025-05-09T10:33:00Z">
              <w:r w:rsidRPr="00295E71">
                <w:rPr>
                  <w:lang w:val="it-IT"/>
                </w:rPr>
                <w:delText>Molto comune</w:delText>
              </w:r>
            </w:del>
          </w:p>
          <w:p w:rsidR="00C04163" w:rsidRPr="00295E71" w:rsidP="00C04163" w14:paraId="6879A5DD" w14:textId="77777777">
            <w:pPr>
              <w:pStyle w:val="EMEANormal"/>
              <w:keepNext/>
              <w:keepLines/>
              <w:widowControl w:val="0"/>
              <w:spacing w:before="60"/>
              <w:rPr>
                <w:del w:id="7282"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DDD0599" w14:textId="77777777">
            <w:pPr>
              <w:pStyle w:val="EMEANormal"/>
              <w:keepNext/>
              <w:keepLines/>
              <w:widowControl w:val="0"/>
              <w:spacing w:before="60"/>
              <w:rPr>
                <w:del w:id="7283" w:author="AbbVie14" w:date="2025-05-09T10:33:00Z"/>
                <w:lang w:val="it-IT"/>
              </w:rPr>
            </w:pPr>
            <w:del w:id="7284" w:author="AbbVie14" w:date="2025-05-09T10:33:00Z">
              <w:r w:rsidRPr="00295E71">
                <w:rPr>
                  <w:lang w:val="it-IT"/>
                </w:rPr>
                <w:delText>Cefalea</w:delText>
              </w:r>
            </w:del>
          </w:p>
        </w:tc>
      </w:tr>
      <w:tr w14:paraId="2AA34E5D" w14:textId="77777777" w:rsidTr="00C04163">
        <w:tblPrEx>
          <w:tblW w:w="0" w:type="auto"/>
          <w:tblLook w:val="01E0"/>
        </w:tblPrEx>
        <w:trPr>
          <w:cantSplit/>
          <w:del w:id="7285" w:author="AbbVie14" w:date="2025-05-09T10:33:00Z"/>
        </w:trPr>
        <w:tc>
          <w:tcPr>
            <w:tcW w:w="2559" w:type="dxa"/>
            <w:vMerge/>
          </w:tcPr>
          <w:p w:rsidR="00C04163" w:rsidRPr="00295E71" w:rsidP="00035AC5" w14:paraId="1FC96574" w14:textId="77777777">
            <w:pPr>
              <w:pStyle w:val="EMEANormal"/>
              <w:widowControl w:val="0"/>
              <w:spacing w:before="60"/>
              <w:rPr>
                <w:del w:id="7286"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C45D648" w14:textId="77777777">
            <w:pPr>
              <w:pStyle w:val="EMEANormal"/>
              <w:keepNext/>
              <w:keepLines/>
              <w:widowControl w:val="0"/>
              <w:spacing w:before="60"/>
              <w:rPr>
                <w:del w:id="7287" w:author="AbbVie14" w:date="2025-05-09T10:33:00Z"/>
                <w:lang w:val="it-IT"/>
              </w:rPr>
            </w:pPr>
            <w:del w:id="7288" w:author="AbbVie14" w:date="2025-05-09T10:33:00Z">
              <w:r w:rsidRPr="00295E71">
                <w:rPr>
                  <w:lang w:val="it-IT"/>
                </w:rPr>
                <w:delText>Comune</w:delText>
              </w:r>
            </w:del>
          </w:p>
          <w:p w:rsidR="00C04163" w:rsidRPr="00295E71" w:rsidP="00C04163" w14:paraId="6E3A320A" w14:textId="77777777">
            <w:pPr>
              <w:pStyle w:val="EMEANormal"/>
              <w:keepNext/>
              <w:keepLines/>
              <w:widowControl w:val="0"/>
              <w:spacing w:before="60"/>
              <w:rPr>
                <w:del w:id="7289"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99E9814" w14:textId="77777777">
            <w:pPr>
              <w:pStyle w:val="EMEANormal"/>
              <w:keepNext/>
              <w:keepLines/>
              <w:widowControl w:val="0"/>
              <w:spacing w:before="60"/>
              <w:rPr>
                <w:del w:id="7290" w:author="AbbVie14" w:date="2025-05-09T10:33:00Z"/>
                <w:lang w:val="it-IT"/>
              </w:rPr>
            </w:pPr>
            <w:del w:id="7291" w:author="AbbVie14" w:date="2025-05-09T10:33:00Z">
              <w:r w:rsidRPr="00295E71">
                <w:rPr>
                  <w:lang w:val="it-IT"/>
                </w:rPr>
                <w:delText>Parestesia (tra cui ipoestesia),</w:delText>
              </w:r>
            </w:del>
          </w:p>
          <w:p w:rsidR="00C04163" w:rsidRPr="00295E71" w:rsidP="00C04163" w14:paraId="643D0736" w14:textId="77777777">
            <w:pPr>
              <w:pStyle w:val="EMEANormal"/>
              <w:keepNext/>
              <w:keepLines/>
              <w:widowControl w:val="0"/>
              <w:spacing w:before="60"/>
              <w:rPr>
                <w:del w:id="7292" w:author="AbbVie14" w:date="2025-05-09T10:33:00Z"/>
                <w:lang w:val="it-IT"/>
              </w:rPr>
            </w:pPr>
            <w:del w:id="7293" w:author="AbbVie14" w:date="2025-05-09T10:33:00Z">
              <w:r w:rsidRPr="00295E71">
                <w:rPr>
                  <w:lang w:val="it-IT"/>
                </w:rPr>
                <w:delText>emicrania,</w:delText>
              </w:r>
            </w:del>
          </w:p>
          <w:p w:rsidR="00C04163" w:rsidRPr="00295E71" w:rsidP="00C04163" w14:paraId="144A9B8E" w14:textId="77777777">
            <w:pPr>
              <w:pStyle w:val="EMEANormal"/>
              <w:keepNext/>
              <w:keepLines/>
              <w:widowControl w:val="0"/>
              <w:spacing w:before="60"/>
              <w:rPr>
                <w:del w:id="7294" w:author="AbbVie14" w:date="2025-05-09T10:33:00Z"/>
                <w:lang w:val="it-IT"/>
              </w:rPr>
            </w:pPr>
            <w:del w:id="7295" w:author="AbbVie14" w:date="2025-05-09T10:33:00Z">
              <w:r w:rsidRPr="00295E71">
                <w:rPr>
                  <w:lang w:val="it-IT"/>
                </w:rPr>
                <w:delText>compressione di radice nervosa</w:delText>
              </w:r>
            </w:del>
          </w:p>
          <w:p w:rsidR="00C04163" w:rsidRPr="00295E71" w:rsidP="00C04163" w14:paraId="0D3E5082" w14:textId="77777777">
            <w:pPr>
              <w:pStyle w:val="EMEANormal"/>
              <w:keepNext/>
              <w:keepLines/>
              <w:widowControl w:val="0"/>
              <w:spacing w:before="60"/>
              <w:rPr>
                <w:del w:id="7296" w:author="AbbVie14" w:date="2025-05-09T10:33:00Z"/>
                <w:lang w:val="it-IT"/>
              </w:rPr>
            </w:pPr>
          </w:p>
        </w:tc>
      </w:tr>
      <w:tr w14:paraId="7808AF72" w14:textId="77777777" w:rsidTr="00C04163">
        <w:tblPrEx>
          <w:tblW w:w="0" w:type="auto"/>
          <w:tblLook w:val="01E0"/>
        </w:tblPrEx>
        <w:trPr>
          <w:cantSplit/>
          <w:del w:id="7297" w:author="AbbVie14" w:date="2025-05-09T10:33:00Z"/>
        </w:trPr>
        <w:tc>
          <w:tcPr>
            <w:tcW w:w="2559" w:type="dxa"/>
            <w:vMerge/>
          </w:tcPr>
          <w:p w:rsidR="00C04163" w:rsidRPr="00295E71" w:rsidP="00035AC5" w14:paraId="56021608" w14:textId="77777777">
            <w:pPr>
              <w:widowControl w:val="0"/>
              <w:spacing w:before="60"/>
              <w:jc w:val="center"/>
              <w:rPr>
                <w:del w:id="7298"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29141F5A" w14:textId="77777777">
            <w:pPr>
              <w:pStyle w:val="EMEANormal"/>
              <w:keepNext/>
              <w:keepLines/>
              <w:widowControl w:val="0"/>
              <w:spacing w:before="60"/>
              <w:rPr>
                <w:del w:id="7299" w:author="AbbVie14" w:date="2025-05-09T10:33:00Z"/>
                <w:lang w:val="it-IT"/>
              </w:rPr>
            </w:pPr>
            <w:del w:id="7300" w:author="AbbVie14" w:date="2025-05-09T10:33:00Z">
              <w:r w:rsidRPr="00295E71">
                <w:rPr>
                  <w:lang w:val="it-IT"/>
                </w:rPr>
                <w:delText>Non comune</w:delText>
              </w:r>
            </w:del>
          </w:p>
          <w:p w:rsidR="00C04163" w:rsidRPr="00295E71" w:rsidP="00C04163" w14:paraId="04038F7F" w14:textId="77777777">
            <w:pPr>
              <w:pStyle w:val="EMEANormal"/>
              <w:keepNext/>
              <w:keepLines/>
              <w:widowControl w:val="0"/>
              <w:spacing w:before="60"/>
              <w:rPr>
                <w:del w:id="7301"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7A4BFC6" w14:textId="77777777">
            <w:pPr>
              <w:pStyle w:val="EMEANormal"/>
              <w:keepNext/>
              <w:keepLines/>
              <w:widowControl w:val="0"/>
              <w:spacing w:before="60"/>
              <w:rPr>
                <w:del w:id="7302" w:author="AbbVie14" w:date="2025-05-09T10:33:00Z"/>
                <w:lang w:val="it-IT"/>
              </w:rPr>
            </w:pPr>
            <w:del w:id="7303" w:author="AbbVie14" w:date="2025-05-09T10:33:00Z">
              <w:r w:rsidRPr="00295E71">
                <w:rPr>
                  <w:lang w:val="it-IT"/>
                </w:rPr>
                <w:delText>Accidente cerebrovascolare</w:delText>
              </w:r>
            </w:del>
            <w:del w:id="7304" w:author="AbbVie14" w:date="2025-05-09T10:33:00Z">
              <w:r w:rsidRPr="00C04163">
                <w:rPr>
                  <w:lang w:val="it-IT"/>
                </w:rPr>
                <w:delText>1)</w:delText>
              </w:r>
            </w:del>
            <w:del w:id="7305" w:author="AbbVie14" w:date="2025-05-09T10:33:00Z">
              <w:r w:rsidRPr="00295E71">
                <w:rPr>
                  <w:lang w:val="it-IT"/>
                </w:rPr>
                <w:delText>,</w:delText>
              </w:r>
            </w:del>
          </w:p>
          <w:p w:rsidR="00C04163" w:rsidRPr="00295E71" w:rsidP="00C04163" w14:paraId="265DD118" w14:textId="77777777">
            <w:pPr>
              <w:pStyle w:val="EMEANormal"/>
              <w:keepNext/>
              <w:keepLines/>
              <w:widowControl w:val="0"/>
              <w:spacing w:before="60"/>
              <w:rPr>
                <w:del w:id="7306" w:author="AbbVie14" w:date="2025-05-09T10:33:00Z"/>
                <w:lang w:val="it-IT"/>
              </w:rPr>
            </w:pPr>
            <w:del w:id="7307" w:author="AbbVie14" w:date="2025-05-09T10:33:00Z">
              <w:r w:rsidRPr="00295E71">
                <w:rPr>
                  <w:lang w:val="it-IT"/>
                </w:rPr>
                <w:delText>tremore,</w:delText>
              </w:r>
            </w:del>
          </w:p>
          <w:p w:rsidR="00C04163" w:rsidRPr="00295E71" w:rsidP="00C04163" w14:paraId="782B481A" w14:textId="77777777">
            <w:pPr>
              <w:pStyle w:val="EMEANormal"/>
              <w:keepNext/>
              <w:keepLines/>
              <w:widowControl w:val="0"/>
              <w:spacing w:before="60"/>
              <w:rPr>
                <w:del w:id="7308" w:author="AbbVie14" w:date="2025-05-09T10:33:00Z"/>
                <w:lang w:val="it-IT"/>
              </w:rPr>
            </w:pPr>
            <w:del w:id="7309" w:author="AbbVie14" w:date="2025-05-09T10:33:00Z">
              <w:r w:rsidRPr="00295E71">
                <w:rPr>
                  <w:lang w:val="it-IT"/>
                </w:rPr>
                <w:delText xml:space="preserve">neuropatia </w:delText>
              </w:r>
            </w:del>
          </w:p>
          <w:p w:rsidR="00C04163" w:rsidRPr="00295E71" w:rsidP="00C04163" w14:paraId="2F7A0B1A" w14:textId="77777777">
            <w:pPr>
              <w:pStyle w:val="EMEANormal"/>
              <w:keepNext/>
              <w:keepLines/>
              <w:widowControl w:val="0"/>
              <w:spacing w:before="60"/>
              <w:rPr>
                <w:del w:id="7310" w:author="AbbVie14" w:date="2025-05-09T10:33:00Z"/>
                <w:lang w:val="it-IT"/>
              </w:rPr>
            </w:pPr>
          </w:p>
        </w:tc>
      </w:tr>
      <w:tr w14:paraId="25FCB88D" w14:textId="77777777" w:rsidTr="00C04163">
        <w:tblPrEx>
          <w:tblW w:w="0" w:type="auto"/>
          <w:tblLook w:val="01E0"/>
        </w:tblPrEx>
        <w:trPr>
          <w:cantSplit/>
          <w:del w:id="7311" w:author="AbbVie14" w:date="2025-05-09T10:33:00Z"/>
        </w:trPr>
        <w:tc>
          <w:tcPr>
            <w:tcW w:w="2559" w:type="dxa"/>
            <w:vMerge/>
          </w:tcPr>
          <w:p w:rsidR="00C04163" w:rsidRPr="00295E71" w:rsidP="00035AC5" w14:paraId="003FA1CD" w14:textId="77777777">
            <w:pPr>
              <w:widowControl w:val="0"/>
              <w:spacing w:before="60"/>
              <w:jc w:val="center"/>
              <w:rPr>
                <w:del w:id="7312"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242EF2D7" w14:textId="77777777">
            <w:pPr>
              <w:pStyle w:val="EMEANormal"/>
              <w:keepNext/>
              <w:keepLines/>
              <w:widowControl w:val="0"/>
              <w:spacing w:before="60"/>
              <w:rPr>
                <w:del w:id="7313" w:author="AbbVie14" w:date="2025-05-09T10:33:00Z"/>
                <w:lang w:val="it-IT"/>
              </w:rPr>
            </w:pPr>
            <w:del w:id="7314" w:author="AbbVie14" w:date="2025-05-09T10:33:00Z">
              <w:r w:rsidRPr="00295E71">
                <w:rPr>
                  <w:lang w:val="it-IT"/>
                </w:rPr>
                <w:delText>Raro</w:delText>
              </w:r>
            </w:del>
          </w:p>
          <w:p w:rsidR="00C04163" w:rsidRPr="00295E71" w:rsidP="00C04163" w14:paraId="3826F2E1" w14:textId="77777777">
            <w:pPr>
              <w:pStyle w:val="EMEANormal"/>
              <w:keepNext/>
              <w:keepLines/>
              <w:widowControl w:val="0"/>
              <w:spacing w:before="60"/>
              <w:rPr>
                <w:del w:id="7315"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940829F" w14:textId="77777777">
            <w:pPr>
              <w:pStyle w:val="EMEANormal"/>
              <w:keepNext/>
              <w:keepLines/>
              <w:widowControl w:val="0"/>
              <w:spacing w:before="60"/>
              <w:rPr>
                <w:del w:id="7316" w:author="AbbVie14" w:date="2025-05-09T10:33:00Z"/>
                <w:lang w:val="it-IT"/>
              </w:rPr>
            </w:pPr>
            <w:del w:id="7317" w:author="AbbVie14" w:date="2025-05-09T10:33:00Z">
              <w:r w:rsidRPr="00295E71">
                <w:rPr>
                  <w:lang w:val="it-IT"/>
                </w:rPr>
                <w:delText>Sclerosi multipla,</w:delText>
              </w:r>
            </w:del>
          </w:p>
          <w:p w:rsidR="00C04163" w:rsidRPr="00C04163" w:rsidP="00C04163" w14:paraId="4ADFE248" w14:textId="77777777">
            <w:pPr>
              <w:pStyle w:val="EMEANormal"/>
              <w:keepNext/>
              <w:keepLines/>
              <w:widowControl w:val="0"/>
              <w:spacing w:before="60"/>
              <w:rPr>
                <w:del w:id="7318" w:author="AbbVie14" w:date="2025-05-09T10:33:00Z"/>
                <w:lang w:val="it-IT"/>
              </w:rPr>
            </w:pPr>
            <w:del w:id="7319" w:author="AbbVie14" w:date="2025-05-09T10:33:00Z">
              <w:r w:rsidRPr="00295E71">
                <w:rPr>
                  <w:lang w:val="it-IT"/>
                </w:rPr>
                <w:delText>disturbi demielinizzanti (e.s. neurite ottica, sindrome di Guillain-Barré)</w:delText>
              </w:r>
            </w:del>
            <w:del w:id="7320" w:author="AbbVie14" w:date="2025-05-09T10:33:00Z">
              <w:r w:rsidRPr="00C04163">
                <w:rPr>
                  <w:lang w:val="it-IT"/>
                </w:rPr>
                <w:delText xml:space="preserve"> 1)</w:delText>
              </w:r>
            </w:del>
          </w:p>
          <w:p w:rsidR="00C04163" w:rsidRPr="00295E71" w:rsidP="00C04163" w14:paraId="09F8B9CE" w14:textId="77777777">
            <w:pPr>
              <w:pStyle w:val="EMEANormal"/>
              <w:keepNext/>
              <w:keepLines/>
              <w:widowControl w:val="0"/>
              <w:spacing w:before="60"/>
              <w:rPr>
                <w:del w:id="7321" w:author="AbbVie14" w:date="2025-05-09T10:33:00Z"/>
                <w:lang w:val="it-IT"/>
              </w:rPr>
            </w:pPr>
          </w:p>
        </w:tc>
      </w:tr>
      <w:tr w14:paraId="152ECD16" w14:textId="77777777" w:rsidTr="00C04163">
        <w:tblPrEx>
          <w:tblW w:w="0" w:type="auto"/>
          <w:tblLook w:val="01E0"/>
        </w:tblPrEx>
        <w:trPr>
          <w:cantSplit/>
          <w:del w:id="7322" w:author="AbbVie14" w:date="2025-05-09T10:33:00Z"/>
        </w:trPr>
        <w:tc>
          <w:tcPr>
            <w:tcW w:w="2559" w:type="dxa"/>
            <w:vMerge w:val="restart"/>
          </w:tcPr>
          <w:p w:rsidR="00C04163" w:rsidRPr="00295E71" w:rsidP="00035AC5" w14:paraId="6B40D336" w14:textId="77777777">
            <w:pPr>
              <w:pStyle w:val="EMEANormal"/>
              <w:widowControl w:val="0"/>
              <w:spacing w:before="60"/>
              <w:rPr>
                <w:del w:id="7323" w:author="AbbVie14" w:date="2025-05-09T10:33:00Z"/>
                <w:lang w:val="it-IT"/>
              </w:rPr>
            </w:pPr>
            <w:del w:id="7324" w:author="AbbVie14" w:date="2025-05-09T10:33:00Z">
              <w:r w:rsidRPr="00295E71">
                <w:rPr>
                  <w:lang w:val="it-IT"/>
                </w:rPr>
                <w:delText>Patologie dell’occhio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0F39E3A" w14:textId="77777777">
            <w:pPr>
              <w:pStyle w:val="EMEANormal"/>
              <w:keepNext/>
              <w:keepLines/>
              <w:widowControl w:val="0"/>
              <w:spacing w:before="60"/>
              <w:rPr>
                <w:del w:id="7325" w:author="AbbVie14" w:date="2025-05-09T10:33:00Z"/>
                <w:lang w:val="it-IT"/>
              </w:rPr>
            </w:pPr>
            <w:del w:id="7326" w:author="AbbVie14" w:date="2025-05-09T10:33:00Z">
              <w:r w:rsidRPr="00295E71">
                <w:rPr>
                  <w:lang w:val="it-IT"/>
                </w:rPr>
                <w:delText>Comune</w:delText>
              </w:r>
            </w:del>
          </w:p>
          <w:p w:rsidR="00C04163" w:rsidRPr="00295E71" w:rsidP="00C04163" w14:paraId="0D09E839" w14:textId="77777777">
            <w:pPr>
              <w:pStyle w:val="EMEANormal"/>
              <w:keepNext/>
              <w:keepLines/>
              <w:widowControl w:val="0"/>
              <w:spacing w:before="60"/>
              <w:rPr>
                <w:del w:id="7327"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01E7B51" w14:textId="77777777">
            <w:pPr>
              <w:pStyle w:val="EMEANormal"/>
              <w:keepNext/>
              <w:keepLines/>
              <w:widowControl w:val="0"/>
              <w:spacing w:before="60"/>
              <w:rPr>
                <w:del w:id="7328" w:author="AbbVie14" w:date="2025-05-09T10:33:00Z"/>
                <w:lang w:val="it-IT"/>
              </w:rPr>
            </w:pPr>
            <w:del w:id="7329" w:author="AbbVie14" w:date="2025-05-09T10:33:00Z">
              <w:r w:rsidRPr="00295E71">
                <w:rPr>
                  <w:lang w:val="it-IT"/>
                </w:rPr>
                <w:delText>Disturbi visivi,</w:delText>
              </w:r>
            </w:del>
          </w:p>
          <w:p w:rsidR="00C04163" w:rsidRPr="00295E71" w:rsidP="00C04163" w14:paraId="3C6DBD80" w14:textId="77777777">
            <w:pPr>
              <w:pStyle w:val="EMEANormal"/>
              <w:keepNext/>
              <w:keepLines/>
              <w:widowControl w:val="0"/>
              <w:spacing w:before="60"/>
              <w:rPr>
                <w:del w:id="7330" w:author="AbbVie14" w:date="2025-05-09T10:33:00Z"/>
                <w:lang w:val="it-IT"/>
              </w:rPr>
            </w:pPr>
            <w:del w:id="7331" w:author="AbbVie14" w:date="2025-05-09T10:33:00Z">
              <w:r w:rsidRPr="00295E71">
                <w:rPr>
                  <w:lang w:val="it-IT"/>
                </w:rPr>
                <w:delText>congiuntivit</w:delText>
              </w:r>
            </w:del>
            <w:del w:id="7332" w:author="AbbVie14" w:date="2025-05-09T10:33:00Z">
              <w:r>
                <w:rPr>
                  <w:lang w:val="it-IT"/>
                </w:rPr>
                <w:delText>e</w:delText>
              </w:r>
            </w:del>
            <w:del w:id="7333" w:author="AbbVie14" w:date="2025-05-09T10:33:00Z">
              <w:r w:rsidRPr="00295E71">
                <w:rPr>
                  <w:lang w:val="it-IT"/>
                </w:rPr>
                <w:delText>,</w:delText>
              </w:r>
            </w:del>
          </w:p>
          <w:p w:rsidR="00C04163" w:rsidRPr="00295E71" w:rsidP="00C04163" w14:paraId="590BA0A1" w14:textId="77777777">
            <w:pPr>
              <w:pStyle w:val="EMEANormal"/>
              <w:keepNext/>
              <w:keepLines/>
              <w:widowControl w:val="0"/>
              <w:spacing w:before="60"/>
              <w:rPr>
                <w:del w:id="7334" w:author="AbbVie14" w:date="2025-05-09T10:33:00Z"/>
                <w:lang w:val="it-IT"/>
              </w:rPr>
            </w:pPr>
            <w:del w:id="7335" w:author="AbbVie14" w:date="2025-05-09T10:33:00Z">
              <w:r w:rsidRPr="00295E71">
                <w:rPr>
                  <w:lang w:val="it-IT"/>
                </w:rPr>
                <w:delText>blefarite,</w:delText>
              </w:r>
            </w:del>
          </w:p>
          <w:p w:rsidR="00C04163" w:rsidRPr="00295E71" w:rsidP="00C04163" w14:paraId="2E1E251E" w14:textId="77777777">
            <w:pPr>
              <w:pStyle w:val="EMEANormal"/>
              <w:keepNext/>
              <w:keepLines/>
              <w:widowControl w:val="0"/>
              <w:spacing w:before="60"/>
              <w:rPr>
                <w:del w:id="7336" w:author="AbbVie14" w:date="2025-05-09T10:33:00Z"/>
                <w:lang w:val="it-IT"/>
              </w:rPr>
            </w:pPr>
            <w:del w:id="7337" w:author="AbbVie14" w:date="2025-05-09T10:33:00Z">
              <w:r w:rsidRPr="00295E71">
                <w:rPr>
                  <w:lang w:val="it-IT"/>
                </w:rPr>
                <w:delText>edema periorbitale</w:delText>
              </w:r>
            </w:del>
          </w:p>
          <w:p w:rsidR="00C04163" w:rsidRPr="00295E71" w:rsidP="00C04163" w14:paraId="5582C790" w14:textId="77777777">
            <w:pPr>
              <w:pStyle w:val="EMEANormal"/>
              <w:keepNext/>
              <w:keepLines/>
              <w:widowControl w:val="0"/>
              <w:spacing w:before="60"/>
              <w:rPr>
                <w:del w:id="7338" w:author="AbbVie14" w:date="2025-05-09T10:33:00Z"/>
                <w:lang w:val="it-IT"/>
              </w:rPr>
            </w:pPr>
          </w:p>
        </w:tc>
      </w:tr>
      <w:tr w14:paraId="435F46F7" w14:textId="77777777" w:rsidTr="00C04163">
        <w:tblPrEx>
          <w:tblW w:w="0" w:type="auto"/>
          <w:tblLook w:val="01E0"/>
        </w:tblPrEx>
        <w:trPr>
          <w:cantSplit/>
          <w:del w:id="7339" w:author="AbbVie14" w:date="2025-05-09T10:33:00Z"/>
        </w:trPr>
        <w:tc>
          <w:tcPr>
            <w:tcW w:w="2559" w:type="dxa"/>
            <w:vMerge/>
          </w:tcPr>
          <w:p w:rsidR="00C04163" w:rsidRPr="00295E71" w:rsidP="00035AC5" w14:paraId="3F7E7C71" w14:textId="77777777">
            <w:pPr>
              <w:widowControl w:val="0"/>
              <w:spacing w:before="60"/>
              <w:jc w:val="center"/>
              <w:rPr>
                <w:del w:id="7340"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278BE69" w14:textId="77777777">
            <w:pPr>
              <w:pStyle w:val="EMEANormal"/>
              <w:keepNext/>
              <w:keepLines/>
              <w:widowControl w:val="0"/>
              <w:spacing w:before="60"/>
              <w:rPr>
                <w:del w:id="7341" w:author="AbbVie14" w:date="2025-05-09T10:33:00Z"/>
                <w:lang w:val="it-IT"/>
              </w:rPr>
            </w:pPr>
            <w:del w:id="7342" w:author="AbbVie14" w:date="2025-05-09T10:33: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D2DA74D" w14:textId="77777777">
            <w:pPr>
              <w:pStyle w:val="EMEANormal"/>
              <w:keepNext/>
              <w:keepLines/>
              <w:widowControl w:val="0"/>
              <w:spacing w:before="60"/>
              <w:rPr>
                <w:del w:id="7343" w:author="AbbVie14" w:date="2025-05-09T10:33:00Z"/>
                <w:lang w:val="it-IT"/>
              </w:rPr>
            </w:pPr>
            <w:del w:id="7344" w:author="AbbVie14" w:date="2025-05-09T10:33:00Z">
              <w:r w:rsidRPr="00295E71">
                <w:rPr>
                  <w:lang w:val="it-IT"/>
                </w:rPr>
                <w:delText>Diplopia</w:delText>
              </w:r>
            </w:del>
          </w:p>
          <w:p w:rsidR="00C04163" w:rsidRPr="00295E71" w:rsidP="00C04163" w14:paraId="7B77F0D6" w14:textId="77777777">
            <w:pPr>
              <w:pStyle w:val="EMEANormal"/>
              <w:keepNext/>
              <w:keepLines/>
              <w:widowControl w:val="0"/>
              <w:spacing w:before="60"/>
              <w:rPr>
                <w:del w:id="7345" w:author="AbbVie14" w:date="2025-05-09T10:33:00Z"/>
                <w:lang w:val="it-IT"/>
              </w:rPr>
            </w:pPr>
          </w:p>
        </w:tc>
      </w:tr>
      <w:tr w14:paraId="1C5E0691" w14:textId="77777777" w:rsidTr="00C04163">
        <w:tblPrEx>
          <w:tblW w:w="0" w:type="auto"/>
          <w:tblLook w:val="01E0"/>
        </w:tblPrEx>
        <w:trPr>
          <w:cantSplit/>
          <w:del w:id="7346" w:author="AbbVie14" w:date="2025-05-09T10:33:00Z"/>
        </w:trPr>
        <w:tc>
          <w:tcPr>
            <w:tcW w:w="2559" w:type="dxa"/>
            <w:vMerge w:val="restart"/>
          </w:tcPr>
          <w:p w:rsidR="00C04163" w:rsidRPr="00295E71" w:rsidP="00035AC5" w14:paraId="39324A12" w14:textId="77777777">
            <w:pPr>
              <w:pStyle w:val="EMEANormal"/>
              <w:widowControl w:val="0"/>
              <w:spacing w:before="60"/>
              <w:rPr>
                <w:del w:id="7347" w:author="AbbVie14" w:date="2025-05-09T10:33:00Z"/>
                <w:lang w:val="it-IT"/>
              </w:rPr>
            </w:pPr>
            <w:del w:id="7348" w:author="AbbVie14" w:date="2025-05-09T10:33:00Z">
              <w:r w:rsidRPr="00295E71">
                <w:rPr>
                  <w:lang w:val="it-IT"/>
                </w:rPr>
                <w:delText xml:space="preserve">Patologie dell’orecchio e del labirinto </w:delText>
              </w:r>
            </w:del>
          </w:p>
          <w:p w:rsidR="00C04163" w:rsidRPr="00295E71" w:rsidP="00035AC5" w14:paraId="5950744C" w14:textId="77777777">
            <w:pPr>
              <w:pStyle w:val="EMEANormal"/>
              <w:widowControl w:val="0"/>
              <w:spacing w:before="60"/>
              <w:rPr>
                <w:del w:id="7349"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E8A66B1" w14:textId="77777777">
            <w:pPr>
              <w:pStyle w:val="EMEANormal"/>
              <w:keepNext/>
              <w:keepLines/>
              <w:widowControl w:val="0"/>
              <w:spacing w:before="60"/>
              <w:rPr>
                <w:del w:id="7350" w:author="AbbVie14" w:date="2025-05-09T10:33:00Z"/>
                <w:lang w:val="it-IT"/>
              </w:rPr>
            </w:pPr>
            <w:del w:id="7351" w:author="AbbVie14" w:date="2025-05-09T10:33:00Z">
              <w:r w:rsidRPr="00295E71">
                <w:rPr>
                  <w:lang w:val="it-IT"/>
                </w:rPr>
                <w:delText>Comune</w:delText>
              </w:r>
            </w:del>
          </w:p>
          <w:p w:rsidR="00C04163" w:rsidRPr="00295E71" w:rsidP="00C04163" w14:paraId="1E928166" w14:textId="77777777">
            <w:pPr>
              <w:pStyle w:val="EMEANormal"/>
              <w:keepNext/>
              <w:keepLines/>
              <w:widowControl w:val="0"/>
              <w:spacing w:before="60"/>
              <w:rPr>
                <w:del w:id="7352"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757AEB83" w14:textId="77777777">
            <w:pPr>
              <w:pStyle w:val="EMEANormal"/>
              <w:keepNext/>
              <w:keepLines/>
              <w:widowControl w:val="0"/>
              <w:spacing w:before="60"/>
              <w:rPr>
                <w:del w:id="7353" w:author="AbbVie14" w:date="2025-05-09T10:33:00Z"/>
                <w:lang w:val="it-IT"/>
              </w:rPr>
            </w:pPr>
            <w:del w:id="7354" w:author="AbbVie14" w:date="2025-05-09T10:33:00Z">
              <w:r w:rsidRPr="00295E71">
                <w:rPr>
                  <w:lang w:val="it-IT"/>
                </w:rPr>
                <w:delText>Vertigini</w:delText>
              </w:r>
            </w:del>
          </w:p>
          <w:p w:rsidR="00C04163" w:rsidRPr="00295E71" w:rsidP="00C04163" w14:paraId="07A9E90B" w14:textId="77777777">
            <w:pPr>
              <w:pStyle w:val="EMEANormal"/>
              <w:keepNext/>
              <w:keepLines/>
              <w:widowControl w:val="0"/>
              <w:spacing w:before="60"/>
              <w:rPr>
                <w:del w:id="7355" w:author="AbbVie14" w:date="2025-05-09T10:33:00Z"/>
                <w:lang w:val="it-IT"/>
              </w:rPr>
            </w:pPr>
          </w:p>
        </w:tc>
      </w:tr>
      <w:tr w14:paraId="774A5806" w14:textId="77777777" w:rsidTr="00C04163">
        <w:tblPrEx>
          <w:tblW w:w="0" w:type="auto"/>
          <w:tblLook w:val="01E0"/>
        </w:tblPrEx>
        <w:trPr>
          <w:cantSplit/>
          <w:del w:id="7356" w:author="AbbVie14" w:date="2025-05-09T10:33:00Z"/>
        </w:trPr>
        <w:tc>
          <w:tcPr>
            <w:tcW w:w="2559" w:type="dxa"/>
            <w:vMerge/>
          </w:tcPr>
          <w:p w:rsidR="00C04163" w:rsidRPr="00295E71" w:rsidP="00035AC5" w14:paraId="5E2EABA9" w14:textId="77777777">
            <w:pPr>
              <w:widowControl w:val="0"/>
              <w:spacing w:before="60"/>
              <w:jc w:val="center"/>
              <w:rPr>
                <w:del w:id="7357"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F7C5B12" w14:textId="77777777">
            <w:pPr>
              <w:pStyle w:val="EMEANormal"/>
              <w:keepNext/>
              <w:keepLines/>
              <w:widowControl w:val="0"/>
              <w:spacing w:before="60"/>
              <w:rPr>
                <w:del w:id="7358" w:author="AbbVie14" w:date="2025-05-09T10:33:00Z"/>
                <w:lang w:val="it-IT"/>
              </w:rPr>
            </w:pPr>
            <w:del w:id="7359" w:author="AbbVie14" w:date="2025-05-09T10:33:00Z">
              <w:r w:rsidRPr="00295E71">
                <w:rPr>
                  <w:lang w:val="it-IT"/>
                </w:rPr>
                <w:delText>Non comune</w:delText>
              </w:r>
            </w:del>
          </w:p>
          <w:p w:rsidR="00C04163" w:rsidRPr="00295E71" w:rsidP="00C04163" w14:paraId="20BE91DD" w14:textId="77777777">
            <w:pPr>
              <w:pStyle w:val="EMEANormal"/>
              <w:keepNext/>
              <w:keepLines/>
              <w:widowControl w:val="0"/>
              <w:spacing w:before="60"/>
              <w:rPr>
                <w:del w:id="7360"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9EE9A56" w14:textId="77777777">
            <w:pPr>
              <w:pStyle w:val="EMEANormal"/>
              <w:keepNext/>
              <w:keepLines/>
              <w:widowControl w:val="0"/>
              <w:spacing w:before="60"/>
              <w:rPr>
                <w:del w:id="7361" w:author="AbbVie14" w:date="2025-05-09T10:33:00Z"/>
                <w:lang w:val="it-IT"/>
              </w:rPr>
            </w:pPr>
            <w:del w:id="7362" w:author="AbbVie14" w:date="2025-05-09T10:33:00Z">
              <w:r w:rsidRPr="00295E71">
                <w:rPr>
                  <w:lang w:val="it-IT"/>
                </w:rPr>
                <w:delText xml:space="preserve">Perdita dell’udito, </w:delText>
              </w:r>
            </w:del>
          </w:p>
          <w:p w:rsidR="00C04163" w:rsidRPr="00295E71" w:rsidP="00C04163" w14:paraId="61A3A0EB" w14:textId="77777777">
            <w:pPr>
              <w:pStyle w:val="EMEANormal"/>
              <w:keepNext/>
              <w:keepLines/>
              <w:widowControl w:val="0"/>
              <w:spacing w:before="60"/>
              <w:rPr>
                <w:del w:id="7363" w:author="AbbVie14" w:date="2025-05-09T10:33:00Z"/>
                <w:lang w:val="it-IT"/>
              </w:rPr>
            </w:pPr>
            <w:del w:id="7364" w:author="AbbVie14" w:date="2025-05-09T10:33:00Z">
              <w:r w:rsidRPr="00295E71">
                <w:rPr>
                  <w:lang w:val="it-IT"/>
                </w:rPr>
                <w:delText>tinnito</w:delText>
              </w:r>
            </w:del>
          </w:p>
          <w:p w:rsidR="00C04163" w:rsidRPr="00295E71" w:rsidP="00C04163" w14:paraId="5D6142BE" w14:textId="77777777">
            <w:pPr>
              <w:pStyle w:val="EMEANormal"/>
              <w:keepNext/>
              <w:keepLines/>
              <w:widowControl w:val="0"/>
              <w:spacing w:before="60"/>
              <w:rPr>
                <w:del w:id="7365" w:author="AbbVie14" w:date="2025-05-09T10:33:00Z"/>
                <w:lang w:val="it-IT"/>
              </w:rPr>
            </w:pPr>
          </w:p>
        </w:tc>
      </w:tr>
      <w:tr w14:paraId="4DE514C1" w14:textId="77777777" w:rsidTr="00C04163">
        <w:tblPrEx>
          <w:tblW w:w="0" w:type="auto"/>
          <w:tblLook w:val="01E0"/>
        </w:tblPrEx>
        <w:trPr>
          <w:cantSplit/>
          <w:del w:id="7366" w:author="AbbVie14" w:date="2025-05-09T10:33:00Z"/>
        </w:trPr>
        <w:tc>
          <w:tcPr>
            <w:tcW w:w="2559" w:type="dxa"/>
            <w:vMerge w:val="restart"/>
          </w:tcPr>
          <w:p w:rsidR="00C04163" w:rsidRPr="00295E71" w:rsidP="00035AC5" w14:paraId="7A1FD8AF" w14:textId="77777777">
            <w:pPr>
              <w:pStyle w:val="EMEANormal"/>
              <w:widowControl w:val="0"/>
              <w:spacing w:before="60"/>
              <w:rPr>
                <w:del w:id="7367" w:author="AbbVie14" w:date="2025-05-09T10:33:00Z"/>
                <w:lang w:val="it-IT"/>
              </w:rPr>
            </w:pPr>
            <w:del w:id="7368" w:author="AbbVie14" w:date="2025-05-09T10:33:00Z">
              <w:r w:rsidRPr="00295E71">
                <w:rPr>
                  <w:lang w:val="it-IT"/>
                </w:rPr>
                <w:delText xml:space="preserve">Patologie cardiache* </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2C8B12E" w14:textId="77777777">
            <w:pPr>
              <w:pStyle w:val="EMEANormal"/>
              <w:keepNext/>
              <w:keepLines/>
              <w:widowControl w:val="0"/>
              <w:spacing w:before="60"/>
              <w:rPr>
                <w:del w:id="7369" w:author="AbbVie14" w:date="2025-05-09T10:33:00Z"/>
                <w:lang w:val="it-IT"/>
              </w:rPr>
            </w:pPr>
            <w:del w:id="7370" w:author="AbbVie14" w:date="2025-05-09T10:33:00Z">
              <w:r w:rsidRPr="00295E71">
                <w:rPr>
                  <w:lang w:val="it-IT"/>
                </w:rPr>
                <w:delText>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841F213" w14:textId="77777777">
            <w:pPr>
              <w:pStyle w:val="EMEANormal"/>
              <w:keepNext/>
              <w:keepLines/>
              <w:widowControl w:val="0"/>
              <w:spacing w:before="60"/>
              <w:rPr>
                <w:del w:id="7371" w:author="AbbVie14" w:date="2025-05-09T10:33:00Z"/>
                <w:lang w:val="it-IT"/>
              </w:rPr>
            </w:pPr>
            <w:del w:id="7372" w:author="AbbVie14" w:date="2025-05-09T10:33:00Z">
              <w:r w:rsidRPr="00295E71">
                <w:rPr>
                  <w:lang w:val="it-IT"/>
                </w:rPr>
                <w:delText>Tachicardia</w:delText>
              </w:r>
            </w:del>
          </w:p>
          <w:p w:rsidR="00C04163" w:rsidRPr="00295E71" w:rsidP="00C04163" w14:paraId="74F09DDD" w14:textId="77777777">
            <w:pPr>
              <w:pStyle w:val="EMEANormal"/>
              <w:keepNext/>
              <w:keepLines/>
              <w:widowControl w:val="0"/>
              <w:spacing w:before="60"/>
              <w:rPr>
                <w:del w:id="7373" w:author="AbbVie14" w:date="2025-05-09T10:33:00Z"/>
                <w:lang w:val="it-IT"/>
              </w:rPr>
            </w:pPr>
          </w:p>
        </w:tc>
      </w:tr>
      <w:tr w14:paraId="5715C082" w14:textId="77777777" w:rsidTr="00C04163">
        <w:tblPrEx>
          <w:tblW w:w="0" w:type="auto"/>
          <w:tblLook w:val="01E0"/>
        </w:tblPrEx>
        <w:trPr>
          <w:cantSplit/>
          <w:del w:id="7374" w:author="AbbVie14" w:date="2025-05-09T10:33:00Z"/>
        </w:trPr>
        <w:tc>
          <w:tcPr>
            <w:tcW w:w="2559" w:type="dxa"/>
            <w:vMerge/>
          </w:tcPr>
          <w:p w:rsidR="00C04163" w:rsidRPr="00295E71" w:rsidP="00035AC5" w14:paraId="685A187C" w14:textId="77777777">
            <w:pPr>
              <w:pStyle w:val="EMEANormal"/>
              <w:widowControl w:val="0"/>
              <w:spacing w:before="60"/>
              <w:rPr>
                <w:del w:id="7375"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36A4E39" w14:textId="77777777">
            <w:pPr>
              <w:pStyle w:val="EMEANormal"/>
              <w:keepNext/>
              <w:keepLines/>
              <w:widowControl w:val="0"/>
              <w:spacing w:before="60"/>
              <w:rPr>
                <w:del w:id="7376" w:author="AbbVie14" w:date="2025-05-09T10:33:00Z"/>
                <w:lang w:val="it-IT"/>
              </w:rPr>
            </w:pPr>
            <w:del w:id="7377" w:author="AbbVie14" w:date="2025-05-09T10:33:00Z">
              <w:r w:rsidRPr="00295E71">
                <w:rPr>
                  <w:lang w:val="it-IT"/>
                </w:rPr>
                <w:delText>Non comune</w:delText>
              </w:r>
            </w:del>
          </w:p>
          <w:p w:rsidR="00C04163" w:rsidRPr="00295E71" w:rsidP="00C04163" w14:paraId="0047C03F" w14:textId="77777777">
            <w:pPr>
              <w:pStyle w:val="EMEANormal"/>
              <w:keepNext/>
              <w:keepLines/>
              <w:widowControl w:val="0"/>
              <w:spacing w:before="60"/>
              <w:rPr>
                <w:del w:id="7378"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BA6D4B3" w14:textId="77777777">
            <w:pPr>
              <w:pStyle w:val="EMEANormal"/>
              <w:keepNext/>
              <w:keepLines/>
              <w:widowControl w:val="0"/>
              <w:spacing w:before="60"/>
              <w:rPr>
                <w:del w:id="7379" w:author="AbbVie14" w:date="2025-05-09T10:33:00Z"/>
                <w:lang w:val="it-IT"/>
              </w:rPr>
            </w:pPr>
            <w:del w:id="7380" w:author="AbbVie14" w:date="2025-05-09T10:33:00Z">
              <w:r w:rsidRPr="00295E71">
                <w:rPr>
                  <w:lang w:val="it-IT"/>
                </w:rPr>
                <w:delText>Infarto del miocardio</w:delText>
              </w:r>
            </w:del>
            <w:del w:id="7381" w:author="AbbVie14" w:date="2025-05-09T10:33:00Z">
              <w:r w:rsidRPr="00C04163">
                <w:rPr>
                  <w:lang w:val="it-IT"/>
                </w:rPr>
                <w:delText>1)</w:delText>
              </w:r>
            </w:del>
            <w:del w:id="7382" w:author="AbbVie14" w:date="2025-05-09T10:33:00Z">
              <w:r w:rsidRPr="00295E71">
                <w:rPr>
                  <w:lang w:val="it-IT"/>
                </w:rPr>
                <w:delText>,</w:delText>
              </w:r>
            </w:del>
          </w:p>
          <w:p w:rsidR="00C04163" w:rsidRPr="00295E71" w:rsidP="00C04163" w14:paraId="2A3AD07D" w14:textId="77777777">
            <w:pPr>
              <w:pStyle w:val="EMEANormal"/>
              <w:keepNext/>
              <w:keepLines/>
              <w:widowControl w:val="0"/>
              <w:spacing w:before="60"/>
              <w:rPr>
                <w:del w:id="7383" w:author="AbbVie14" w:date="2025-05-09T10:33:00Z"/>
                <w:lang w:val="it-IT"/>
              </w:rPr>
            </w:pPr>
            <w:del w:id="7384" w:author="AbbVie14" w:date="2025-05-09T10:33:00Z">
              <w:r w:rsidRPr="00295E71">
                <w:rPr>
                  <w:lang w:val="it-IT"/>
                </w:rPr>
                <w:delText>aritmia,</w:delText>
              </w:r>
            </w:del>
          </w:p>
          <w:p w:rsidR="00C04163" w:rsidRPr="00295E71" w:rsidP="00C04163" w14:paraId="2D5D1E22" w14:textId="77777777">
            <w:pPr>
              <w:pStyle w:val="EMEANormal"/>
              <w:keepNext/>
              <w:keepLines/>
              <w:widowControl w:val="0"/>
              <w:spacing w:before="60"/>
              <w:rPr>
                <w:del w:id="7385" w:author="AbbVie14" w:date="2025-05-09T10:33:00Z"/>
                <w:lang w:val="it-IT"/>
              </w:rPr>
            </w:pPr>
            <w:del w:id="7386" w:author="AbbVie14" w:date="2025-05-09T10:33:00Z">
              <w:r w:rsidRPr="00295E71">
                <w:rPr>
                  <w:lang w:val="it-IT"/>
                </w:rPr>
                <w:delText>insufficienza cardiaca congestizia</w:delText>
              </w:r>
            </w:del>
          </w:p>
          <w:p w:rsidR="00C04163" w:rsidRPr="00295E71" w:rsidP="00C04163" w14:paraId="6859C635" w14:textId="77777777">
            <w:pPr>
              <w:pStyle w:val="EMEANormal"/>
              <w:keepNext/>
              <w:keepLines/>
              <w:widowControl w:val="0"/>
              <w:spacing w:before="60"/>
              <w:rPr>
                <w:del w:id="7387" w:author="AbbVie14" w:date="2025-05-09T10:33:00Z"/>
                <w:lang w:val="it-IT"/>
              </w:rPr>
            </w:pPr>
          </w:p>
        </w:tc>
      </w:tr>
      <w:tr w14:paraId="241D34B8" w14:textId="77777777" w:rsidTr="00C04163">
        <w:tblPrEx>
          <w:tblW w:w="0" w:type="auto"/>
          <w:tblLook w:val="01E0"/>
        </w:tblPrEx>
        <w:trPr>
          <w:cantSplit/>
          <w:del w:id="7388" w:author="AbbVie14" w:date="2025-05-09T10:33:00Z"/>
        </w:trPr>
        <w:tc>
          <w:tcPr>
            <w:tcW w:w="2559" w:type="dxa"/>
            <w:vMerge/>
          </w:tcPr>
          <w:p w:rsidR="00C04163" w:rsidRPr="00295E71" w:rsidP="00035AC5" w14:paraId="78873296" w14:textId="77777777">
            <w:pPr>
              <w:widowControl w:val="0"/>
              <w:spacing w:before="60"/>
              <w:jc w:val="center"/>
              <w:rPr>
                <w:del w:id="7389"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5AC8BE4" w14:textId="77777777">
            <w:pPr>
              <w:pStyle w:val="EMEANormal"/>
              <w:keepNext/>
              <w:keepLines/>
              <w:widowControl w:val="0"/>
              <w:spacing w:before="60"/>
              <w:rPr>
                <w:del w:id="7390" w:author="AbbVie14" w:date="2025-05-09T10:33:00Z"/>
                <w:lang w:val="it-IT"/>
              </w:rPr>
            </w:pPr>
            <w:del w:id="7391" w:author="AbbVie14" w:date="2025-05-09T10:33:00Z">
              <w:r w:rsidRPr="00295E71">
                <w:rPr>
                  <w:lang w:val="it-IT"/>
                </w:rPr>
                <w:delText>Raro</w:delText>
              </w:r>
            </w:del>
          </w:p>
          <w:p w:rsidR="00C04163" w:rsidRPr="00295E71" w:rsidP="00C04163" w14:paraId="777F9D24" w14:textId="77777777">
            <w:pPr>
              <w:pStyle w:val="EMEANormal"/>
              <w:keepNext/>
              <w:keepLines/>
              <w:widowControl w:val="0"/>
              <w:spacing w:before="60"/>
              <w:rPr>
                <w:del w:id="7392"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75BC5CE5" w14:textId="77777777">
            <w:pPr>
              <w:pStyle w:val="EMEANormal"/>
              <w:keepNext/>
              <w:keepLines/>
              <w:widowControl w:val="0"/>
              <w:spacing w:before="60"/>
              <w:rPr>
                <w:del w:id="7393" w:author="AbbVie14" w:date="2025-05-09T10:33:00Z"/>
                <w:lang w:val="it-IT"/>
              </w:rPr>
            </w:pPr>
            <w:del w:id="7394" w:author="AbbVie14" w:date="2025-05-09T10:33:00Z">
              <w:r w:rsidRPr="00295E71">
                <w:rPr>
                  <w:lang w:val="it-IT"/>
                </w:rPr>
                <w:delText>Arresto cardiaco</w:delText>
              </w:r>
            </w:del>
          </w:p>
          <w:p w:rsidR="00C04163" w:rsidRPr="00295E71" w:rsidP="00C04163" w14:paraId="5644AFE8" w14:textId="77777777">
            <w:pPr>
              <w:pStyle w:val="EMEANormal"/>
              <w:keepNext/>
              <w:keepLines/>
              <w:widowControl w:val="0"/>
              <w:spacing w:before="60"/>
              <w:rPr>
                <w:del w:id="7395" w:author="AbbVie14" w:date="2025-05-09T10:33:00Z"/>
                <w:lang w:val="it-IT"/>
              </w:rPr>
            </w:pPr>
          </w:p>
        </w:tc>
      </w:tr>
      <w:tr w14:paraId="347543B8" w14:textId="77777777" w:rsidTr="00C04163">
        <w:tblPrEx>
          <w:tblW w:w="0" w:type="auto"/>
          <w:tblLook w:val="01E0"/>
        </w:tblPrEx>
        <w:trPr>
          <w:cantSplit/>
          <w:del w:id="7396" w:author="AbbVie14" w:date="2025-05-09T10:33:00Z"/>
        </w:trPr>
        <w:tc>
          <w:tcPr>
            <w:tcW w:w="2559" w:type="dxa"/>
          </w:tcPr>
          <w:p w:rsidR="00C04163" w:rsidRPr="00295E71" w:rsidP="00035AC5" w14:paraId="0F7C3DBB" w14:textId="77777777">
            <w:pPr>
              <w:pStyle w:val="IndexHeading"/>
              <w:widowControl w:val="0"/>
              <w:tabs>
                <w:tab w:val="clear" w:pos="567"/>
              </w:tabs>
              <w:spacing w:before="120" w:after="120" w:line="240" w:lineRule="auto"/>
              <w:jc w:val="center"/>
              <w:rPr>
                <w:del w:id="7397" w:author="AbbVie14" w:date="2025-05-09T10:33:00Z"/>
                <w:rFonts w:ascii="Times New Roman" w:hAnsi="Times New Roman" w:cs="Times New Roman"/>
                <w:lang w:val="it-IT" w:eastAsia="it-IT"/>
              </w:rPr>
            </w:pPr>
            <w:del w:id="7398" w:author="AbbVie14" w:date="2025-05-09T10:33:00Z">
              <w:r w:rsidRPr="00295E71">
                <w:rPr>
                  <w:rFonts w:ascii="Times New Roman" w:hAnsi="Times New Roman" w:cs="Times New Roman"/>
                  <w:lang w:val="it-IT" w:eastAsia="it-IT"/>
                </w:rPr>
                <w:delText>Classificazione per sistemi e organi</w:delText>
              </w:r>
            </w:del>
          </w:p>
        </w:tc>
        <w:tc>
          <w:tcPr>
            <w:tcW w:w="2038" w:type="dxa"/>
            <w:tcBorders>
              <w:top w:val="single" w:sz="4" w:space="0" w:color="auto"/>
              <w:left w:val="single" w:sz="4" w:space="0" w:color="auto"/>
              <w:bottom w:val="single" w:sz="4" w:space="0" w:color="auto"/>
              <w:right w:val="single" w:sz="4" w:space="0" w:color="auto"/>
            </w:tcBorders>
          </w:tcPr>
          <w:p w:rsidR="00C04163" w:rsidRPr="00C04163" w:rsidP="00C04163" w14:paraId="2C58DBF8" w14:textId="77777777">
            <w:pPr>
              <w:pStyle w:val="EMEANormal"/>
              <w:keepNext/>
              <w:keepLines/>
              <w:spacing w:before="60"/>
              <w:rPr>
                <w:del w:id="7399" w:author="AbbVie14" w:date="2025-05-09T10:33:00Z"/>
                <w:lang w:val="it-IT"/>
              </w:rPr>
            </w:pPr>
            <w:del w:id="7400" w:author="AbbVie14" w:date="2025-05-09T10:33:00Z">
              <w:r w:rsidRPr="00295E71">
                <w:rPr>
                  <w:lang w:val="it-IT"/>
                </w:rPr>
                <w:delText>Frequenza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67FB72F0" w14:textId="77777777">
            <w:pPr>
              <w:pStyle w:val="EMEANormal"/>
              <w:keepNext/>
              <w:keepLines/>
              <w:spacing w:before="60"/>
              <w:rPr>
                <w:del w:id="7401" w:author="AbbVie14" w:date="2025-05-09T10:33:00Z"/>
                <w:lang w:val="it-IT"/>
              </w:rPr>
            </w:pPr>
            <w:del w:id="7402" w:author="AbbVie14" w:date="2025-05-09T10:33:00Z">
              <w:r w:rsidRPr="00295E71">
                <w:rPr>
                  <w:lang w:val="it-IT"/>
                </w:rPr>
                <w:delText>Reazione avversa</w:delText>
              </w:r>
            </w:del>
          </w:p>
        </w:tc>
      </w:tr>
      <w:tr w14:paraId="41663C94" w14:textId="77777777" w:rsidTr="00C04163">
        <w:tblPrEx>
          <w:tblW w:w="0" w:type="auto"/>
          <w:tblLook w:val="01E0"/>
        </w:tblPrEx>
        <w:trPr>
          <w:cantSplit/>
          <w:del w:id="7403" w:author="AbbVie14" w:date="2025-05-09T10:33:00Z"/>
        </w:trPr>
        <w:tc>
          <w:tcPr>
            <w:tcW w:w="2559" w:type="dxa"/>
            <w:vMerge w:val="restart"/>
          </w:tcPr>
          <w:p w:rsidR="00C04163" w:rsidRPr="00295E71" w:rsidP="00035AC5" w14:paraId="11B3BE37" w14:textId="77777777">
            <w:pPr>
              <w:pStyle w:val="EMEANormal"/>
              <w:widowControl w:val="0"/>
              <w:spacing w:before="60"/>
              <w:rPr>
                <w:del w:id="7404" w:author="AbbVie14" w:date="2025-05-09T10:33:00Z"/>
                <w:lang w:val="it-IT"/>
              </w:rPr>
            </w:pPr>
            <w:del w:id="7405" w:author="AbbVie14" w:date="2025-05-09T10:33:00Z">
              <w:r w:rsidRPr="00295E71">
                <w:rPr>
                  <w:lang w:val="it-IT"/>
                </w:rPr>
                <w:delText>Patologie vascolari</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7950BB0" w14:textId="77777777">
            <w:pPr>
              <w:pStyle w:val="EMEANormal"/>
              <w:keepNext/>
              <w:keepLines/>
              <w:widowControl w:val="0"/>
              <w:spacing w:before="60"/>
              <w:rPr>
                <w:del w:id="7406" w:author="AbbVie14" w:date="2025-05-09T10:33:00Z"/>
                <w:lang w:val="it-IT"/>
              </w:rPr>
            </w:pPr>
            <w:del w:id="7407" w:author="AbbVie14" w:date="2025-05-09T10:33:00Z">
              <w:r w:rsidRPr="00295E71">
                <w:rPr>
                  <w:lang w:val="it-IT"/>
                </w:rPr>
                <w:delText>Comune</w:delText>
              </w:r>
            </w:del>
          </w:p>
          <w:p w:rsidR="00C04163" w:rsidRPr="00295E71" w:rsidP="00C04163" w14:paraId="6BEE3241" w14:textId="77777777">
            <w:pPr>
              <w:pStyle w:val="EMEANormal"/>
              <w:keepNext/>
              <w:keepLines/>
              <w:widowControl w:val="0"/>
              <w:spacing w:before="60"/>
              <w:rPr>
                <w:del w:id="7408"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2C0AE738" w14:textId="77777777">
            <w:pPr>
              <w:pStyle w:val="EMEANormal"/>
              <w:keepNext/>
              <w:keepLines/>
              <w:widowControl w:val="0"/>
              <w:spacing w:before="60"/>
              <w:rPr>
                <w:del w:id="7409" w:author="AbbVie14" w:date="2025-05-09T10:33:00Z"/>
                <w:lang w:val="it-IT"/>
              </w:rPr>
            </w:pPr>
            <w:del w:id="7410" w:author="AbbVie14" w:date="2025-05-09T10:33:00Z">
              <w:r w:rsidRPr="00295E71">
                <w:rPr>
                  <w:lang w:val="it-IT"/>
                </w:rPr>
                <w:delText xml:space="preserve">Ipertensione, </w:delText>
              </w:r>
            </w:del>
          </w:p>
          <w:p w:rsidR="00C04163" w:rsidRPr="00295E71" w:rsidP="00C04163" w14:paraId="39550FB5" w14:textId="77777777">
            <w:pPr>
              <w:pStyle w:val="EMEANormal"/>
              <w:keepNext/>
              <w:keepLines/>
              <w:widowControl w:val="0"/>
              <w:spacing w:before="60"/>
              <w:rPr>
                <w:del w:id="7411" w:author="AbbVie14" w:date="2025-05-09T10:33:00Z"/>
                <w:lang w:val="it-IT"/>
              </w:rPr>
            </w:pPr>
            <w:del w:id="7412" w:author="AbbVie14" w:date="2025-05-09T10:33:00Z">
              <w:r w:rsidRPr="00295E71">
                <w:rPr>
                  <w:lang w:val="it-IT"/>
                </w:rPr>
                <w:delText xml:space="preserve">vampate, </w:delText>
              </w:r>
            </w:del>
          </w:p>
          <w:p w:rsidR="00C04163" w:rsidRPr="00295E71" w:rsidP="00C04163" w14:paraId="0F486DB8" w14:textId="77777777">
            <w:pPr>
              <w:pStyle w:val="EMEANormal"/>
              <w:keepNext/>
              <w:keepLines/>
              <w:widowControl w:val="0"/>
              <w:spacing w:before="60"/>
              <w:rPr>
                <w:del w:id="7413" w:author="AbbVie14" w:date="2025-05-09T10:33:00Z"/>
                <w:lang w:val="it-IT"/>
              </w:rPr>
            </w:pPr>
            <w:del w:id="7414" w:author="AbbVie14" w:date="2025-05-09T10:33:00Z">
              <w:r w:rsidRPr="00295E71">
                <w:rPr>
                  <w:lang w:val="it-IT"/>
                </w:rPr>
                <w:delText>ematoma</w:delText>
              </w:r>
            </w:del>
          </w:p>
          <w:p w:rsidR="00C04163" w:rsidRPr="00295E71" w:rsidP="00C04163" w14:paraId="68A5F2F3" w14:textId="77777777">
            <w:pPr>
              <w:pStyle w:val="EMEANormal"/>
              <w:keepNext/>
              <w:keepLines/>
              <w:widowControl w:val="0"/>
              <w:spacing w:before="60"/>
              <w:rPr>
                <w:del w:id="7415" w:author="AbbVie14" w:date="2025-05-09T10:33:00Z"/>
                <w:lang w:val="it-IT"/>
              </w:rPr>
            </w:pPr>
          </w:p>
        </w:tc>
      </w:tr>
      <w:tr w14:paraId="335E962D" w14:textId="77777777" w:rsidTr="00C04163">
        <w:tblPrEx>
          <w:tblW w:w="0" w:type="auto"/>
          <w:tblLook w:val="01E0"/>
        </w:tblPrEx>
        <w:trPr>
          <w:cantSplit/>
          <w:del w:id="7416" w:author="AbbVie14" w:date="2025-05-09T10:33:00Z"/>
        </w:trPr>
        <w:tc>
          <w:tcPr>
            <w:tcW w:w="2559" w:type="dxa"/>
            <w:vMerge/>
          </w:tcPr>
          <w:p w:rsidR="00C04163" w:rsidRPr="00295E71" w:rsidP="00035AC5" w14:paraId="0A2ECD9D" w14:textId="77777777">
            <w:pPr>
              <w:pStyle w:val="EMEANormal"/>
              <w:widowControl w:val="0"/>
              <w:spacing w:before="60"/>
              <w:rPr>
                <w:del w:id="7417"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092BD54" w14:textId="77777777">
            <w:pPr>
              <w:pStyle w:val="EMEANormal"/>
              <w:keepNext/>
              <w:keepLines/>
              <w:widowControl w:val="0"/>
              <w:spacing w:before="60"/>
              <w:rPr>
                <w:del w:id="7418" w:author="AbbVie14" w:date="2025-05-09T10:33:00Z"/>
                <w:lang w:val="it-IT"/>
              </w:rPr>
            </w:pPr>
            <w:del w:id="7419" w:author="AbbVie14" w:date="2025-05-09T10:33: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8760952" w14:textId="77777777">
            <w:pPr>
              <w:pStyle w:val="EMEANormal"/>
              <w:keepNext/>
              <w:keepLines/>
              <w:widowControl w:val="0"/>
              <w:spacing w:before="60"/>
              <w:rPr>
                <w:del w:id="7420" w:author="AbbVie14" w:date="2025-05-09T10:33:00Z"/>
                <w:lang w:val="it-IT"/>
              </w:rPr>
            </w:pPr>
            <w:del w:id="7421" w:author="AbbVie14" w:date="2025-05-09T10:33:00Z">
              <w:r w:rsidRPr="00295E71">
                <w:rPr>
                  <w:lang w:val="it-IT"/>
                </w:rPr>
                <w:delText>Aneurisma dell’aorta,</w:delText>
              </w:r>
            </w:del>
          </w:p>
          <w:p w:rsidR="00C04163" w:rsidRPr="00295E71" w:rsidP="00C04163" w14:paraId="43506568" w14:textId="77777777">
            <w:pPr>
              <w:pStyle w:val="EMEANormal"/>
              <w:keepNext/>
              <w:keepLines/>
              <w:widowControl w:val="0"/>
              <w:spacing w:before="60"/>
              <w:rPr>
                <w:del w:id="7422" w:author="AbbVie14" w:date="2025-05-09T10:33:00Z"/>
                <w:lang w:val="it-IT"/>
              </w:rPr>
            </w:pPr>
            <w:del w:id="7423" w:author="AbbVie14" w:date="2025-05-09T10:33:00Z">
              <w:r w:rsidRPr="00295E71">
                <w:rPr>
                  <w:lang w:val="it-IT"/>
                </w:rPr>
                <w:delText>occlusione vascolare arteriosa,</w:delText>
              </w:r>
            </w:del>
          </w:p>
          <w:p w:rsidR="00C04163" w:rsidRPr="00295E71" w:rsidP="00C04163" w14:paraId="7E4F1FB8" w14:textId="77777777">
            <w:pPr>
              <w:pStyle w:val="EMEANormal"/>
              <w:keepNext/>
              <w:keepLines/>
              <w:widowControl w:val="0"/>
              <w:spacing w:before="60"/>
              <w:rPr>
                <w:del w:id="7424" w:author="AbbVie14" w:date="2025-05-09T10:33:00Z"/>
                <w:lang w:val="it-IT"/>
              </w:rPr>
            </w:pPr>
            <w:del w:id="7425" w:author="AbbVie14" w:date="2025-05-09T10:33:00Z">
              <w:r w:rsidRPr="00295E71">
                <w:rPr>
                  <w:lang w:val="it-IT"/>
                </w:rPr>
                <w:delText xml:space="preserve">tromboflebite </w:delText>
              </w:r>
            </w:del>
          </w:p>
          <w:p w:rsidR="00C04163" w:rsidRPr="00295E71" w:rsidP="00C04163" w14:paraId="3C80C6FC" w14:textId="77777777">
            <w:pPr>
              <w:pStyle w:val="EMEANormal"/>
              <w:keepNext/>
              <w:keepLines/>
              <w:widowControl w:val="0"/>
              <w:spacing w:before="60"/>
              <w:rPr>
                <w:del w:id="7426" w:author="AbbVie14" w:date="2025-05-09T10:33:00Z"/>
                <w:lang w:val="it-IT"/>
              </w:rPr>
            </w:pPr>
          </w:p>
        </w:tc>
      </w:tr>
      <w:tr w14:paraId="28CB1872" w14:textId="77777777" w:rsidTr="00C04163">
        <w:tblPrEx>
          <w:tblW w:w="0" w:type="auto"/>
          <w:tblLook w:val="01E0"/>
        </w:tblPrEx>
        <w:trPr>
          <w:cantSplit/>
          <w:del w:id="7427" w:author="AbbVie14" w:date="2025-05-09T10:33:00Z"/>
        </w:trPr>
        <w:tc>
          <w:tcPr>
            <w:tcW w:w="2559" w:type="dxa"/>
            <w:vMerge w:val="restart"/>
          </w:tcPr>
          <w:p w:rsidR="00C04163" w:rsidRPr="00295E71" w:rsidP="00035AC5" w14:paraId="4EB41403" w14:textId="77777777">
            <w:pPr>
              <w:pStyle w:val="EMEANormal"/>
              <w:widowControl w:val="0"/>
              <w:spacing w:before="60"/>
              <w:rPr>
                <w:del w:id="7428" w:author="AbbVie14" w:date="2025-05-09T10:33:00Z"/>
                <w:lang w:val="it-IT"/>
              </w:rPr>
            </w:pPr>
            <w:del w:id="7429" w:author="AbbVie14" w:date="2025-05-09T10:33:00Z">
              <w:r w:rsidRPr="00295E71">
                <w:rPr>
                  <w:lang w:val="it-IT"/>
                </w:rPr>
                <w:delText>Patologie respiratorie, toraciche e mediastiniche*</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D70A4DB" w14:textId="77777777">
            <w:pPr>
              <w:pStyle w:val="EMEANormal"/>
              <w:keepNext/>
              <w:keepLines/>
              <w:widowControl w:val="0"/>
              <w:spacing w:before="60"/>
              <w:rPr>
                <w:del w:id="7430" w:author="AbbVie14" w:date="2025-05-09T10:33:00Z"/>
                <w:lang w:val="it-IT"/>
              </w:rPr>
            </w:pPr>
            <w:del w:id="7431" w:author="AbbVie14" w:date="2025-05-09T10:33:00Z">
              <w:r w:rsidRPr="00295E71">
                <w:rPr>
                  <w:lang w:val="it-IT"/>
                </w:rPr>
                <w:delText>Comune</w:delText>
              </w:r>
            </w:del>
          </w:p>
          <w:p w:rsidR="00C04163" w:rsidRPr="00295E71" w:rsidP="00C04163" w14:paraId="157169BC" w14:textId="77777777">
            <w:pPr>
              <w:pStyle w:val="EMEANormal"/>
              <w:keepNext/>
              <w:keepLines/>
              <w:widowControl w:val="0"/>
              <w:spacing w:before="60"/>
              <w:rPr>
                <w:del w:id="7432"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3AF214A8" w14:textId="77777777">
            <w:pPr>
              <w:pStyle w:val="EMEANormal"/>
              <w:keepNext/>
              <w:keepLines/>
              <w:widowControl w:val="0"/>
              <w:spacing w:before="60"/>
              <w:rPr>
                <w:del w:id="7433" w:author="AbbVie14" w:date="2025-05-09T10:33:00Z"/>
                <w:lang w:val="it-IT"/>
              </w:rPr>
            </w:pPr>
            <w:del w:id="7434" w:author="AbbVie14" w:date="2025-05-09T10:33:00Z">
              <w:r w:rsidRPr="00295E71">
                <w:rPr>
                  <w:lang w:val="it-IT"/>
                </w:rPr>
                <w:delText xml:space="preserve">Asma, </w:delText>
              </w:r>
            </w:del>
          </w:p>
          <w:p w:rsidR="00C04163" w:rsidRPr="00295E71" w:rsidP="00C04163" w14:paraId="740F562E" w14:textId="77777777">
            <w:pPr>
              <w:pStyle w:val="EMEANormal"/>
              <w:keepNext/>
              <w:keepLines/>
              <w:widowControl w:val="0"/>
              <w:spacing w:before="60"/>
              <w:rPr>
                <w:del w:id="7435" w:author="AbbVie14" w:date="2025-05-09T10:33:00Z"/>
                <w:lang w:val="it-IT"/>
              </w:rPr>
            </w:pPr>
            <w:del w:id="7436" w:author="AbbVie14" w:date="2025-05-09T10:33:00Z">
              <w:r w:rsidRPr="00295E71">
                <w:rPr>
                  <w:lang w:val="it-IT"/>
                </w:rPr>
                <w:delText>dispnea,</w:delText>
              </w:r>
            </w:del>
          </w:p>
          <w:p w:rsidR="00C04163" w:rsidRPr="00295E71" w:rsidP="00C04163" w14:paraId="0B6A2B29" w14:textId="77777777">
            <w:pPr>
              <w:pStyle w:val="EMEANormal"/>
              <w:keepNext/>
              <w:keepLines/>
              <w:widowControl w:val="0"/>
              <w:spacing w:before="60"/>
              <w:rPr>
                <w:del w:id="7437" w:author="AbbVie14" w:date="2025-05-09T10:33:00Z"/>
                <w:lang w:val="it-IT"/>
              </w:rPr>
            </w:pPr>
            <w:del w:id="7438" w:author="AbbVie14" w:date="2025-05-09T10:33:00Z">
              <w:r w:rsidRPr="00295E71">
                <w:rPr>
                  <w:lang w:val="it-IT"/>
                </w:rPr>
                <w:delText>tosse</w:delText>
              </w:r>
            </w:del>
          </w:p>
          <w:p w:rsidR="00C04163" w:rsidRPr="00295E71" w:rsidP="00C04163" w14:paraId="03066E88" w14:textId="77777777">
            <w:pPr>
              <w:pStyle w:val="EMEANormal"/>
              <w:keepNext/>
              <w:keepLines/>
              <w:widowControl w:val="0"/>
              <w:spacing w:before="60"/>
              <w:rPr>
                <w:del w:id="7439" w:author="AbbVie14" w:date="2025-05-09T10:33:00Z"/>
                <w:lang w:val="it-IT"/>
              </w:rPr>
            </w:pPr>
          </w:p>
        </w:tc>
      </w:tr>
      <w:tr w14:paraId="0C560078" w14:textId="77777777" w:rsidTr="00C04163">
        <w:tblPrEx>
          <w:tblW w:w="0" w:type="auto"/>
          <w:tblLook w:val="01E0"/>
        </w:tblPrEx>
        <w:trPr>
          <w:cantSplit/>
          <w:del w:id="7440" w:author="AbbVie14" w:date="2025-05-09T10:33:00Z"/>
        </w:trPr>
        <w:tc>
          <w:tcPr>
            <w:tcW w:w="2559" w:type="dxa"/>
            <w:vMerge/>
          </w:tcPr>
          <w:p w:rsidR="00C04163" w:rsidRPr="00295E71" w:rsidP="00035AC5" w14:paraId="12759A5F" w14:textId="77777777">
            <w:pPr>
              <w:widowControl w:val="0"/>
              <w:spacing w:before="60"/>
              <w:jc w:val="center"/>
              <w:rPr>
                <w:del w:id="7441"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4AFE788" w14:textId="77777777">
            <w:pPr>
              <w:pStyle w:val="EMEANormal"/>
              <w:keepNext/>
              <w:keepLines/>
              <w:widowControl w:val="0"/>
              <w:spacing w:before="60"/>
              <w:rPr>
                <w:del w:id="7442" w:author="AbbVie14" w:date="2025-05-09T10:33:00Z"/>
                <w:lang w:val="it-IT"/>
              </w:rPr>
            </w:pPr>
            <w:del w:id="7443" w:author="AbbVie14" w:date="2025-05-09T10:33:00Z">
              <w:r w:rsidRPr="00295E71">
                <w:rPr>
                  <w:lang w:val="it-IT"/>
                </w:rPr>
                <w:delText>Non comune</w:delText>
              </w:r>
            </w:del>
          </w:p>
          <w:p w:rsidR="00C04163" w:rsidRPr="00295E71" w:rsidP="00C04163" w14:paraId="2B522F03" w14:textId="77777777">
            <w:pPr>
              <w:pStyle w:val="EMEANormal"/>
              <w:keepNext/>
              <w:keepLines/>
              <w:widowControl w:val="0"/>
              <w:spacing w:before="60"/>
              <w:rPr>
                <w:del w:id="7444"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AE2616E" w14:textId="77777777">
            <w:pPr>
              <w:pStyle w:val="EMEANormal"/>
              <w:keepNext/>
              <w:keepLines/>
              <w:widowControl w:val="0"/>
              <w:spacing w:before="60"/>
              <w:rPr>
                <w:del w:id="7445" w:author="AbbVie14" w:date="2025-05-09T10:33:00Z"/>
                <w:lang w:val="it-IT"/>
              </w:rPr>
            </w:pPr>
            <w:del w:id="7446" w:author="AbbVie14" w:date="2025-05-09T10:33:00Z">
              <w:r w:rsidRPr="00295E71">
                <w:rPr>
                  <w:lang w:val="it-IT"/>
                </w:rPr>
                <w:delText>Embolia polmonare</w:delText>
              </w:r>
            </w:del>
            <w:del w:id="7447" w:author="AbbVie14" w:date="2025-05-09T10:33:00Z">
              <w:r w:rsidRPr="00C04163">
                <w:rPr>
                  <w:lang w:val="it-IT"/>
                </w:rPr>
                <w:delText>1)</w:delText>
              </w:r>
            </w:del>
            <w:del w:id="7448" w:author="AbbVie14" w:date="2025-05-09T10:33:00Z">
              <w:r w:rsidRPr="00295E71">
                <w:rPr>
                  <w:lang w:val="it-IT"/>
                </w:rPr>
                <w:delText>,</w:delText>
              </w:r>
            </w:del>
          </w:p>
          <w:p w:rsidR="00C04163" w:rsidRPr="00295E71" w:rsidP="00C04163" w14:paraId="29C07C8C" w14:textId="77777777">
            <w:pPr>
              <w:pStyle w:val="EMEANormal"/>
              <w:keepNext/>
              <w:keepLines/>
              <w:widowControl w:val="0"/>
              <w:spacing w:before="60"/>
              <w:rPr>
                <w:del w:id="7449" w:author="AbbVie14" w:date="2025-05-09T10:33:00Z"/>
                <w:lang w:val="it-IT"/>
              </w:rPr>
            </w:pPr>
            <w:del w:id="7450" w:author="AbbVie14" w:date="2025-05-09T10:33:00Z">
              <w:r w:rsidRPr="00295E71">
                <w:rPr>
                  <w:lang w:val="it-IT"/>
                </w:rPr>
                <w:delText>interstiziopatia polmonare,</w:delText>
              </w:r>
            </w:del>
          </w:p>
          <w:p w:rsidR="00C04163" w:rsidRPr="00295E71" w:rsidP="00C04163" w14:paraId="5876DA8E" w14:textId="77777777">
            <w:pPr>
              <w:pStyle w:val="EMEANormal"/>
              <w:keepNext/>
              <w:keepLines/>
              <w:widowControl w:val="0"/>
              <w:spacing w:before="60"/>
              <w:rPr>
                <w:del w:id="7451" w:author="AbbVie14" w:date="2025-05-09T10:33:00Z"/>
                <w:lang w:val="it-IT"/>
              </w:rPr>
            </w:pPr>
            <w:del w:id="7452" w:author="AbbVie14" w:date="2025-05-09T10:33:00Z">
              <w:r w:rsidRPr="00295E71">
                <w:rPr>
                  <w:lang w:val="it-IT"/>
                </w:rPr>
                <w:delText>malattia polmonare cronica ostruttiva,</w:delText>
              </w:r>
            </w:del>
          </w:p>
          <w:p w:rsidR="00C04163" w:rsidRPr="00295E71" w:rsidP="00C04163" w14:paraId="62AB4F4D" w14:textId="77777777">
            <w:pPr>
              <w:pStyle w:val="EMEANormal"/>
              <w:keepNext/>
              <w:keepLines/>
              <w:widowControl w:val="0"/>
              <w:spacing w:before="60"/>
              <w:rPr>
                <w:del w:id="7453" w:author="AbbVie14" w:date="2025-05-09T10:33:00Z"/>
                <w:lang w:val="it-IT"/>
              </w:rPr>
            </w:pPr>
            <w:del w:id="7454" w:author="AbbVie14" w:date="2025-05-09T10:33:00Z">
              <w:r w:rsidRPr="00295E71">
                <w:rPr>
                  <w:lang w:val="it-IT"/>
                </w:rPr>
                <w:delText>polmonite,</w:delText>
              </w:r>
            </w:del>
          </w:p>
          <w:p w:rsidR="00C04163" w:rsidRPr="00295E71" w:rsidP="00C04163" w14:paraId="610E3561" w14:textId="77777777">
            <w:pPr>
              <w:pStyle w:val="EMEANormal"/>
              <w:keepNext/>
              <w:keepLines/>
              <w:widowControl w:val="0"/>
              <w:spacing w:before="60"/>
              <w:rPr>
                <w:del w:id="7455" w:author="AbbVie14" w:date="2025-05-09T10:33:00Z"/>
                <w:lang w:val="it-IT"/>
              </w:rPr>
            </w:pPr>
          </w:p>
          <w:p w:rsidR="00C04163" w:rsidRPr="00295E71" w:rsidP="00C04163" w14:paraId="7922C677" w14:textId="77777777">
            <w:pPr>
              <w:pStyle w:val="EMEANormal"/>
              <w:keepNext/>
              <w:keepLines/>
              <w:widowControl w:val="0"/>
              <w:spacing w:before="60"/>
              <w:rPr>
                <w:del w:id="7456" w:author="AbbVie14" w:date="2025-05-09T10:33:00Z"/>
                <w:lang w:val="it-IT"/>
              </w:rPr>
            </w:pPr>
            <w:del w:id="7457" w:author="AbbVie14" w:date="2025-05-09T10:33:00Z">
              <w:r w:rsidRPr="00295E71">
                <w:rPr>
                  <w:lang w:val="it-IT"/>
                </w:rPr>
                <w:delText>effusione pleurica</w:delText>
              </w:r>
            </w:del>
            <w:del w:id="7458" w:author="AbbVie14" w:date="2025-05-09T10:33:00Z">
              <w:r w:rsidRPr="00C04163">
                <w:rPr>
                  <w:lang w:val="it-IT"/>
                </w:rPr>
                <w:delText>1)</w:delText>
              </w:r>
            </w:del>
          </w:p>
          <w:p w:rsidR="00C04163" w:rsidRPr="00295E71" w:rsidP="00C04163" w14:paraId="4624C994" w14:textId="77777777">
            <w:pPr>
              <w:pStyle w:val="EMEANormal"/>
              <w:keepNext/>
              <w:keepLines/>
              <w:widowControl w:val="0"/>
              <w:spacing w:before="60"/>
              <w:rPr>
                <w:del w:id="7459" w:author="AbbVie14" w:date="2025-05-09T10:33:00Z"/>
                <w:lang w:val="it-IT"/>
              </w:rPr>
            </w:pPr>
          </w:p>
        </w:tc>
      </w:tr>
      <w:tr w14:paraId="15EB1DA9" w14:textId="77777777" w:rsidTr="00C04163">
        <w:tblPrEx>
          <w:tblW w:w="0" w:type="auto"/>
          <w:tblLook w:val="01E0"/>
        </w:tblPrEx>
        <w:trPr>
          <w:cantSplit/>
          <w:del w:id="7460" w:author="AbbVie14" w:date="2025-05-09T10:33:00Z"/>
        </w:trPr>
        <w:tc>
          <w:tcPr>
            <w:tcW w:w="2559" w:type="dxa"/>
            <w:vMerge/>
          </w:tcPr>
          <w:p w:rsidR="00C04163" w:rsidRPr="00295E71" w:rsidP="00035AC5" w14:paraId="5A5CBCEE" w14:textId="77777777">
            <w:pPr>
              <w:widowControl w:val="0"/>
              <w:spacing w:before="60"/>
              <w:jc w:val="center"/>
              <w:rPr>
                <w:del w:id="7461"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2C8DF49" w14:textId="77777777">
            <w:pPr>
              <w:pStyle w:val="EMEANormal"/>
              <w:keepNext/>
              <w:keepLines/>
              <w:widowControl w:val="0"/>
              <w:spacing w:before="60"/>
              <w:rPr>
                <w:del w:id="7462" w:author="AbbVie14" w:date="2025-05-09T10:33:00Z"/>
                <w:lang w:val="it-IT"/>
              </w:rPr>
            </w:pPr>
            <w:del w:id="7463" w:author="AbbVie14" w:date="2025-05-09T10:33: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5F2AD1C7" w14:textId="77777777">
            <w:pPr>
              <w:pStyle w:val="EMEANormal"/>
              <w:keepNext/>
              <w:keepLines/>
              <w:widowControl w:val="0"/>
              <w:spacing w:before="60"/>
              <w:rPr>
                <w:del w:id="7464" w:author="AbbVie14" w:date="2025-05-09T10:33:00Z"/>
                <w:lang w:val="it-IT"/>
              </w:rPr>
            </w:pPr>
            <w:del w:id="7465" w:author="AbbVie14" w:date="2025-05-09T10:33:00Z">
              <w:r w:rsidRPr="00295E71">
                <w:rPr>
                  <w:lang w:val="it-IT"/>
                </w:rPr>
                <w:delText>Fibrosi polmonare</w:delText>
              </w:r>
            </w:del>
            <w:del w:id="7466" w:author="AbbVie14" w:date="2025-05-09T10:33:00Z">
              <w:r w:rsidRPr="00C04163">
                <w:rPr>
                  <w:lang w:val="it-IT"/>
                </w:rPr>
                <w:delText>1)</w:delText>
              </w:r>
            </w:del>
          </w:p>
          <w:p w:rsidR="00C04163" w:rsidRPr="00295E71" w:rsidP="00C04163" w14:paraId="08BEAC78" w14:textId="77777777">
            <w:pPr>
              <w:pStyle w:val="EMEANormal"/>
              <w:keepNext/>
              <w:keepLines/>
              <w:widowControl w:val="0"/>
              <w:spacing w:before="60"/>
              <w:rPr>
                <w:del w:id="7467" w:author="AbbVie14" w:date="2025-05-09T10:33:00Z"/>
                <w:lang w:val="it-IT"/>
              </w:rPr>
            </w:pPr>
          </w:p>
        </w:tc>
      </w:tr>
      <w:tr w14:paraId="34D10963" w14:textId="77777777" w:rsidTr="00C04163">
        <w:tblPrEx>
          <w:tblW w:w="0" w:type="auto"/>
          <w:tblLook w:val="01E0"/>
        </w:tblPrEx>
        <w:trPr>
          <w:cantSplit/>
          <w:del w:id="7468" w:author="AbbVie14" w:date="2025-05-09T10:33:00Z"/>
        </w:trPr>
        <w:tc>
          <w:tcPr>
            <w:tcW w:w="2559" w:type="dxa"/>
            <w:vMerge w:val="restart"/>
          </w:tcPr>
          <w:p w:rsidR="00C04163" w:rsidRPr="00295E71" w:rsidP="00035AC5" w14:paraId="77DD9A5B" w14:textId="77777777">
            <w:pPr>
              <w:pStyle w:val="EMEANormal"/>
              <w:widowControl w:val="0"/>
              <w:spacing w:before="60"/>
              <w:rPr>
                <w:del w:id="7469" w:author="AbbVie14" w:date="2025-05-09T10:33:00Z"/>
                <w:lang w:val="it-IT"/>
              </w:rPr>
            </w:pPr>
            <w:del w:id="7470" w:author="AbbVie14" w:date="2025-05-09T10:33:00Z">
              <w:r w:rsidRPr="00295E71">
                <w:rPr>
                  <w:lang w:val="it-IT"/>
                </w:rPr>
                <w:delText>Patologie gastrointestinali</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B779D95" w14:textId="77777777">
            <w:pPr>
              <w:pStyle w:val="EMEANormal"/>
              <w:keepNext/>
              <w:keepLines/>
              <w:widowControl w:val="0"/>
              <w:spacing w:before="60"/>
              <w:rPr>
                <w:del w:id="7471" w:author="AbbVie14" w:date="2025-05-09T10:33:00Z"/>
                <w:lang w:val="it-IT"/>
              </w:rPr>
            </w:pPr>
            <w:del w:id="7472" w:author="AbbVie14" w:date="2025-05-09T10:33:00Z">
              <w:r w:rsidRPr="00295E71">
                <w:rPr>
                  <w:lang w:val="it-IT"/>
                </w:rPr>
                <w:delText>Molto comune</w:delText>
              </w:r>
            </w:del>
          </w:p>
          <w:p w:rsidR="00C04163" w:rsidRPr="00295E71" w:rsidP="00C04163" w14:paraId="06E50ECF" w14:textId="77777777">
            <w:pPr>
              <w:pStyle w:val="EMEANormal"/>
              <w:keepNext/>
              <w:keepLines/>
              <w:widowControl w:val="0"/>
              <w:spacing w:before="60"/>
              <w:rPr>
                <w:del w:id="7473"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C75DF16" w14:textId="77777777">
            <w:pPr>
              <w:pStyle w:val="EMEANormal"/>
              <w:keepNext/>
              <w:keepLines/>
              <w:widowControl w:val="0"/>
              <w:spacing w:before="60"/>
              <w:rPr>
                <w:del w:id="7474" w:author="AbbVie14" w:date="2025-05-09T10:33:00Z"/>
                <w:lang w:val="it-IT"/>
              </w:rPr>
            </w:pPr>
            <w:del w:id="7475" w:author="AbbVie14" w:date="2025-05-09T10:33:00Z">
              <w:r w:rsidRPr="00295E71">
                <w:rPr>
                  <w:lang w:val="it-IT"/>
                </w:rPr>
                <w:delText xml:space="preserve">Dolore addominale, </w:delText>
              </w:r>
            </w:del>
          </w:p>
          <w:p w:rsidR="00C04163" w:rsidRPr="00295E71" w:rsidP="00C04163" w14:paraId="70FC1832" w14:textId="77777777">
            <w:pPr>
              <w:pStyle w:val="EMEANormal"/>
              <w:keepNext/>
              <w:keepLines/>
              <w:widowControl w:val="0"/>
              <w:spacing w:before="60"/>
              <w:rPr>
                <w:del w:id="7476" w:author="AbbVie14" w:date="2025-05-09T10:33:00Z"/>
                <w:lang w:val="it-IT"/>
              </w:rPr>
            </w:pPr>
            <w:del w:id="7477" w:author="AbbVie14" w:date="2025-05-09T10:33:00Z">
              <w:r w:rsidRPr="00295E71">
                <w:rPr>
                  <w:lang w:val="it-IT"/>
                </w:rPr>
                <w:delText>nausea e vomito</w:delText>
              </w:r>
            </w:del>
          </w:p>
          <w:p w:rsidR="00C04163" w:rsidRPr="00295E71" w:rsidP="00C04163" w14:paraId="123921C4" w14:textId="77777777">
            <w:pPr>
              <w:pStyle w:val="EMEANormal"/>
              <w:keepNext/>
              <w:keepLines/>
              <w:widowControl w:val="0"/>
              <w:spacing w:before="60"/>
              <w:rPr>
                <w:del w:id="7478" w:author="AbbVie14" w:date="2025-05-09T10:33:00Z"/>
                <w:lang w:val="it-IT"/>
              </w:rPr>
            </w:pPr>
          </w:p>
        </w:tc>
      </w:tr>
      <w:tr w14:paraId="025D34B5" w14:textId="77777777" w:rsidTr="00C04163">
        <w:tblPrEx>
          <w:tblW w:w="0" w:type="auto"/>
          <w:tblLook w:val="01E0"/>
        </w:tblPrEx>
        <w:trPr>
          <w:cantSplit/>
          <w:del w:id="7479" w:author="AbbVie14" w:date="2025-05-09T10:33:00Z"/>
        </w:trPr>
        <w:tc>
          <w:tcPr>
            <w:tcW w:w="2559" w:type="dxa"/>
            <w:vMerge/>
          </w:tcPr>
          <w:p w:rsidR="00C04163" w:rsidRPr="00295E71" w:rsidP="00035AC5" w14:paraId="5261E2BF" w14:textId="77777777">
            <w:pPr>
              <w:widowControl w:val="0"/>
              <w:spacing w:before="60"/>
              <w:jc w:val="center"/>
              <w:rPr>
                <w:del w:id="7480"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104493AE" w14:textId="77777777">
            <w:pPr>
              <w:pStyle w:val="EMEANormal"/>
              <w:keepNext/>
              <w:keepLines/>
              <w:widowControl w:val="0"/>
              <w:spacing w:before="60"/>
              <w:rPr>
                <w:del w:id="7481" w:author="AbbVie14" w:date="2025-05-09T10:33:00Z"/>
                <w:lang w:val="it-IT"/>
              </w:rPr>
            </w:pPr>
            <w:del w:id="7482" w:author="AbbVie14" w:date="2025-05-09T10:33:00Z">
              <w:r w:rsidRPr="00295E71">
                <w:rPr>
                  <w:lang w:val="it-IT"/>
                </w:rPr>
                <w:delText>Comune</w:delText>
              </w:r>
            </w:del>
          </w:p>
          <w:p w:rsidR="00C04163" w:rsidRPr="00295E71" w:rsidP="00C04163" w14:paraId="31E228F8" w14:textId="77777777">
            <w:pPr>
              <w:pStyle w:val="EMEANormal"/>
              <w:keepNext/>
              <w:keepLines/>
              <w:widowControl w:val="0"/>
              <w:spacing w:before="60"/>
              <w:rPr>
                <w:del w:id="7483"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C4A72C2" w14:textId="77777777">
            <w:pPr>
              <w:pStyle w:val="EMEANormal"/>
              <w:keepNext/>
              <w:keepLines/>
              <w:widowControl w:val="0"/>
              <w:spacing w:before="60"/>
              <w:rPr>
                <w:del w:id="7484" w:author="AbbVie14" w:date="2025-05-09T10:33:00Z"/>
                <w:lang w:val="it-IT"/>
              </w:rPr>
            </w:pPr>
            <w:del w:id="7485" w:author="AbbVie14" w:date="2025-05-09T10:33:00Z">
              <w:r w:rsidRPr="00295E71">
                <w:rPr>
                  <w:lang w:val="it-IT"/>
                </w:rPr>
                <w:delText xml:space="preserve">Emorragia gastrointestinale, </w:delText>
              </w:r>
            </w:del>
          </w:p>
          <w:p w:rsidR="00C04163" w:rsidRPr="00295E71" w:rsidP="00C04163" w14:paraId="5F214CF3" w14:textId="77777777">
            <w:pPr>
              <w:pStyle w:val="EMEANormal"/>
              <w:keepNext/>
              <w:keepLines/>
              <w:widowControl w:val="0"/>
              <w:spacing w:before="60"/>
              <w:rPr>
                <w:del w:id="7486" w:author="AbbVie14" w:date="2025-05-09T10:33:00Z"/>
                <w:lang w:val="it-IT"/>
              </w:rPr>
            </w:pPr>
            <w:del w:id="7487" w:author="AbbVie14" w:date="2025-05-09T10:33:00Z">
              <w:r w:rsidRPr="00295E71">
                <w:rPr>
                  <w:lang w:val="it-IT"/>
                </w:rPr>
                <w:delText>dispepsia,</w:delText>
              </w:r>
            </w:del>
          </w:p>
          <w:p w:rsidR="00C04163" w:rsidRPr="00295E71" w:rsidP="00C04163" w14:paraId="1B91E344" w14:textId="77777777">
            <w:pPr>
              <w:pStyle w:val="EMEANormal"/>
              <w:keepNext/>
              <w:keepLines/>
              <w:widowControl w:val="0"/>
              <w:spacing w:before="60"/>
              <w:rPr>
                <w:del w:id="7488" w:author="AbbVie14" w:date="2025-05-09T10:33:00Z"/>
                <w:lang w:val="it-IT"/>
              </w:rPr>
            </w:pPr>
            <w:del w:id="7489" w:author="AbbVie14" w:date="2025-05-09T10:33:00Z">
              <w:r w:rsidRPr="00295E71">
                <w:rPr>
                  <w:lang w:val="it-IT"/>
                </w:rPr>
                <w:delText>malattia da reflusso gastroesofageo,</w:delText>
              </w:r>
            </w:del>
          </w:p>
          <w:p w:rsidR="00C04163" w:rsidRPr="00295E71" w:rsidP="00C04163" w14:paraId="46C86B23" w14:textId="77777777">
            <w:pPr>
              <w:pStyle w:val="EMEANormal"/>
              <w:keepNext/>
              <w:keepLines/>
              <w:widowControl w:val="0"/>
              <w:spacing w:before="60"/>
              <w:rPr>
                <w:del w:id="7490" w:author="AbbVie14" w:date="2025-05-09T10:33:00Z"/>
                <w:lang w:val="it-IT"/>
              </w:rPr>
            </w:pPr>
            <w:del w:id="7491" w:author="AbbVie14" w:date="2025-05-09T10:33:00Z">
              <w:r w:rsidRPr="00295E71">
                <w:rPr>
                  <w:lang w:val="it-IT"/>
                </w:rPr>
                <w:delText>sindrome sicca</w:delText>
              </w:r>
            </w:del>
          </w:p>
          <w:p w:rsidR="00C04163" w:rsidRPr="00295E71" w:rsidP="00C04163" w14:paraId="11C309D7" w14:textId="77777777">
            <w:pPr>
              <w:pStyle w:val="EMEANormal"/>
              <w:keepNext/>
              <w:keepLines/>
              <w:widowControl w:val="0"/>
              <w:spacing w:before="60"/>
              <w:rPr>
                <w:del w:id="7492" w:author="AbbVie14" w:date="2025-05-09T10:33:00Z"/>
                <w:lang w:val="it-IT"/>
              </w:rPr>
            </w:pPr>
          </w:p>
        </w:tc>
      </w:tr>
      <w:tr w14:paraId="0C54F592" w14:textId="77777777" w:rsidTr="00C04163">
        <w:tblPrEx>
          <w:tblW w:w="0" w:type="auto"/>
          <w:tblLook w:val="01E0"/>
        </w:tblPrEx>
        <w:trPr>
          <w:cantSplit/>
          <w:del w:id="7493" w:author="AbbVie14" w:date="2025-05-09T10:33:00Z"/>
        </w:trPr>
        <w:tc>
          <w:tcPr>
            <w:tcW w:w="2559" w:type="dxa"/>
            <w:vMerge/>
          </w:tcPr>
          <w:p w:rsidR="00C04163" w:rsidRPr="00295E71" w:rsidP="00035AC5" w14:paraId="4CBBAEB0" w14:textId="77777777">
            <w:pPr>
              <w:widowControl w:val="0"/>
              <w:spacing w:before="60"/>
              <w:jc w:val="center"/>
              <w:rPr>
                <w:del w:id="7494"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572972DA" w14:textId="77777777">
            <w:pPr>
              <w:pStyle w:val="EMEANormal"/>
              <w:keepNext/>
              <w:keepLines/>
              <w:widowControl w:val="0"/>
              <w:spacing w:before="60"/>
              <w:rPr>
                <w:del w:id="7495" w:author="AbbVie14" w:date="2025-05-09T10:33:00Z"/>
                <w:lang w:val="it-IT"/>
              </w:rPr>
            </w:pPr>
            <w:del w:id="7496" w:author="AbbVie14" w:date="2025-05-09T10:33:00Z">
              <w:r w:rsidRPr="00295E71">
                <w:rPr>
                  <w:lang w:val="it-IT"/>
                </w:rPr>
                <w:delText>Non comune</w:delText>
              </w:r>
            </w:del>
          </w:p>
          <w:p w:rsidR="00C04163" w:rsidRPr="00295E71" w:rsidP="00C04163" w14:paraId="6C27E8AA" w14:textId="77777777">
            <w:pPr>
              <w:pStyle w:val="EMEANormal"/>
              <w:keepNext/>
              <w:keepLines/>
              <w:widowControl w:val="0"/>
              <w:spacing w:before="60"/>
              <w:rPr>
                <w:del w:id="7497"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215A8EF" w14:textId="77777777">
            <w:pPr>
              <w:pStyle w:val="EMEANormal"/>
              <w:keepNext/>
              <w:keepLines/>
              <w:widowControl w:val="0"/>
              <w:spacing w:before="60"/>
              <w:rPr>
                <w:del w:id="7498" w:author="AbbVie14" w:date="2025-05-09T10:33:00Z"/>
                <w:lang w:val="it-IT"/>
              </w:rPr>
            </w:pPr>
            <w:del w:id="7499" w:author="AbbVie14" w:date="2025-05-09T10:33:00Z">
              <w:r w:rsidRPr="00295E71">
                <w:rPr>
                  <w:lang w:val="it-IT"/>
                </w:rPr>
                <w:delText xml:space="preserve">Pancreatite, </w:delText>
              </w:r>
            </w:del>
          </w:p>
          <w:p w:rsidR="00C04163" w:rsidRPr="00295E71" w:rsidP="00C04163" w14:paraId="23FEB750" w14:textId="77777777">
            <w:pPr>
              <w:pStyle w:val="EMEANormal"/>
              <w:keepNext/>
              <w:keepLines/>
              <w:widowControl w:val="0"/>
              <w:spacing w:before="60"/>
              <w:rPr>
                <w:del w:id="7500" w:author="AbbVie14" w:date="2025-05-09T10:33:00Z"/>
                <w:lang w:val="it-IT"/>
              </w:rPr>
            </w:pPr>
            <w:del w:id="7501" w:author="AbbVie14" w:date="2025-05-09T10:33:00Z">
              <w:r w:rsidRPr="00295E71">
                <w:rPr>
                  <w:lang w:val="it-IT"/>
                </w:rPr>
                <w:delText>disfagia</w:delText>
              </w:r>
            </w:del>
          </w:p>
          <w:p w:rsidR="00C04163" w:rsidRPr="00295E71" w:rsidP="00C04163" w14:paraId="7DCB2D68" w14:textId="77777777">
            <w:pPr>
              <w:pStyle w:val="EMEANormal"/>
              <w:keepNext/>
              <w:keepLines/>
              <w:widowControl w:val="0"/>
              <w:spacing w:before="60"/>
              <w:rPr>
                <w:del w:id="7502" w:author="AbbVie14" w:date="2025-05-09T10:33:00Z"/>
                <w:lang w:val="it-IT"/>
              </w:rPr>
            </w:pPr>
            <w:del w:id="7503" w:author="AbbVie14" w:date="2025-05-09T10:33:00Z">
              <w:r w:rsidRPr="00295E71">
                <w:rPr>
                  <w:lang w:val="it-IT"/>
                </w:rPr>
                <w:delText>edema facciale</w:delText>
              </w:r>
            </w:del>
          </w:p>
          <w:p w:rsidR="00C04163" w:rsidRPr="00295E71" w:rsidP="00C04163" w14:paraId="7699FB92" w14:textId="77777777">
            <w:pPr>
              <w:pStyle w:val="EMEANormal"/>
              <w:keepNext/>
              <w:keepLines/>
              <w:widowControl w:val="0"/>
              <w:spacing w:before="60"/>
              <w:rPr>
                <w:del w:id="7504" w:author="AbbVie14" w:date="2025-05-09T10:33:00Z"/>
                <w:lang w:val="it-IT"/>
              </w:rPr>
            </w:pPr>
          </w:p>
        </w:tc>
      </w:tr>
      <w:tr w14:paraId="60995314" w14:textId="77777777" w:rsidTr="00C04163">
        <w:tblPrEx>
          <w:tblW w:w="0" w:type="auto"/>
          <w:tblLook w:val="01E0"/>
        </w:tblPrEx>
        <w:trPr>
          <w:cantSplit/>
          <w:del w:id="7505" w:author="AbbVie14" w:date="2025-05-09T10:33:00Z"/>
        </w:trPr>
        <w:tc>
          <w:tcPr>
            <w:tcW w:w="2559" w:type="dxa"/>
            <w:vMerge/>
          </w:tcPr>
          <w:p w:rsidR="00C04163" w:rsidRPr="00295E71" w:rsidP="00035AC5" w14:paraId="325D9A50" w14:textId="77777777">
            <w:pPr>
              <w:widowControl w:val="0"/>
              <w:spacing w:before="60"/>
              <w:jc w:val="center"/>
              <w:rPr>
                <w:del w:id="7506"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BF5B259" w14:textId="77777777">
            <w:pPr>
              <w:pStyle w:val="EMEANormal"/>
              <w:keepNext/>
              <w:keepLines/>
              <w:widowControl w:val="0"/>
              <w:spacing w:before="60"/>
              <w:rPr>
                <w:del w:id="7507" w:author="AbbVie14" w:date="2025-05-09T10:33:00Z"/>
                <w:lang w:val="it-IT"/>
              </w:rPr>
            </w:pPr>
            <w:del w:id="7508" w:author="AbbVie14" w:date="2025-05-09T10:33: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2BC7DE85" w14:textId="77777777">
            <w:pPr>
              <w:pStyle w:val="EMEANormal"/>
              <w:keepNext/>
              <w:keepLines/>
              <w:widowControl w:val="0"/>
              <w:spacing w:before="60"/>
              <w:rPr>
                <w:del w:id="7509" w:author="AbbVie14" w:date="2025-05-09T10:33:00Z"/>
                <w:lang w:val="it-IT"/>
              </w:rPr>
            </w:pPr>
            <w:del w:id="7510" w:author="AbbVie14" w:date="2025-05-09T10:33:00Z">
              <w:r w:rsidRPr="00295E71">
                <w:rPr>
                  <w:lang w:val="it-IT"/>
                </w:rPr>
                <w:delText>Perforazione intestinale</w:delText>
              </w:r>
            </w:del>
            <w:del w:id="7511" w:author="AbbVie14" w:date="2025-05-09T10:33:00Z">
              <w:r w:rsidRPr="00C04163">
                <w:rPr>
                  <w:lang w:val="it-IT"/>
                </w:rPr>
                <w:delText>1)</w:delText>
              </w:r>
            </w:del>
          </w:p>
          <w:p w:rsidR="00C04163" w:rsidRPr="00295E71" w:rsidP="00C04163" w14:paraId="2DB05428" w14:textId="77777777">
            <w:pPr>
              <w:pStyle w:val="EMEANormal"/>
              <w:keepNext/>
              <w:keepLines/>
              <w:widowControl w:val="0"/>
              <w:spacing w:before="60"/>
              <w:rPr>
                <w:del w:id="7512" w:author="AbbVie14" w:date="2025-05-09T10:33:00Z"/>
                <w:lang w:val="it-IT"/>
              </w:rPr>
            </w:pPr>
          </w:p>
        </w:tc>
      </w:tr>
      <w:tr w14:paraId="4C747A93" w14:textId="77777777" w:rsidTr="00C04163">
        <w:tblPrEx>
          <w:tblW w:w="0" w:type="auto"/>
          <w:tblLook w:val="01E0"/>
        </w:tblPrEx>
        <w:trPr>
          <w:cantSplit/>
          <w:del w:id="7513" w:author="AbbVie14" w:date="2025-05-09T10:33:00Z"/>
        </w:trPr>
        <w:tc>
          <w:tcPr>
            <w:tcW w:w="2559" w:type="dxa"/>
            <w:vMerge w:val="restart"/>
          </w:tcPr>
          <w:p w:rsidR="00C04163" w:rsidRPr="00295E71" w:rsidP="00035AC5" w14:paraId="75150A38" w14:textId="77777777">
            <w:pPr>
              <w:pStyle w:val="EMEANormal"/>
              <w:widowControl w:val="0"/>
              <w:spacing w:before="60"/>
              <w:rPr>
                <w:del w:id="7514" w:author="AbbVie14" w:date="2025-05-09T10:33:00Z"/>
                <w:lang w:val="it-IT"/>
              </w:rPr>
            </w:pPr>
            <w:del w:id="7515" w:author="AbbVie14" w:date="2025-05-09T10:33:00Z">
              <w:r w:rsidRPr="00295E71">
                <w:rPr>
                  <w:lang w:val="it-IT"/>
                </w:rPr>
                <w:delText>Patologie epatobiliari*</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335EC06" w14:textId="77777777">
            <w:pPr>
              <w:pStyle w:val="EMEANormal"/>
              <w:keepNext/>
              <w:keepLines/>
              <w:widowControl w:val="0"/>
              <w:spacing w:before="60"/>
              <w:rPr>
                <w:del w:id="7516" w:author="AbbVie14" w:date="2025-05-09T10:33:00Z"/>
                <w:lang w:val="it-IT"/>
              </w:rPr>
            </w:pPr>
            <w:del w:id="7517" w:author="AbbVie14" w:date="2025-05-09T10:33:00Z">
              <w:r w:rsidRPr="00295E71">
                <w:rPr>
                  <w:lang w:val="it-IT"/>
                </w:rPr>
                <w:delText>Molto comune</w:delText>
              </w:r>
            </w:del>
          </w:p>
          <w:p w:rsidR="00C04163" w:rsidRPr="00295E71" w:rsidP="00C04163" w14:paraId="06AC6864" w14:textId="77777777">
            <w:pPr>
              <w:pStyle w:val="EMEANormal"/>
              <w:keepNext/>
              <w:keepLines/>
              <w:widowControl w:val="0"/>
              <w:spacing w:before="60"/>
              <w:rPr>
                <w:del w:id="7518"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F2D7F60" w14:textId="77777777">
            <w:pPr>
              <w:pStyle w:val="EMEANormal"/>
              <w:keepNext/>
              <w:keepLines/>
              <w:widowControl w:val="0"/>
              <w:spacing w:before="60"/>
              <w:rPr>
                <w:del w:id="7519" w:author="AbbVie14" w:date="2025-05-09T10:33:00Z"/>
                <w:lang w:val="it-IT"/>
              </w:rPr>
            </w:pPr>
            <w:del w:id="7520" w:author="AbbVie14" w:date="2025-05-09T10:33:00Z">
              <w:r w:rsidRPr="00295E71">
                <w:rPr>
                  <w:lang w:val="it-IT"/>
                </w:rPr>
                <w:delText>Aumento degli enzimi epatici</w:delText>
              </w:r>
            </w:del>
          </w:p>
          <w:p w:rsidR="00C04163" w:rsidRPr="00295E71" w:rsidP="00C04163" w14:paraId="2F7C3E72" w14:textId="77777777">
            <w:pPr>
              <w:pStyle w:val="EMEANormal"/>
              <w:keepNext/>
              <w:keepLines/>
              <w:widowControl w:val="0"/>
              <w:spacing w:before="60"/>
              <w:rPr>
                <w:del w:id="7521" w:author="AbbVie14" w:date="2025-05-09T10:33:00Z"/>
                <w:lang w:val="it-IT"/>
              </w:rPr>
            </w:pPr>
          </w:p>
        </w:tc>
      </w:tr>
      <w:tr w14:paraId="4712A436" w14:textId="77777777" w:rsidTr="00C04163">
        <w:tblPrEx>
          <w:tblW w:w="0" w:type="auto"/>
          <w:tblLook w:val="01E0"/>
        </w:tblPrEx>
        <w:trPr>
          <w:cantSplit/>
          <w:del w:id="7522" w:author="AbbVie14" w:date="2025-05-09T10:33:00Z"/>
        </w:trPr>
        <w:tc>
          <w:tcPr>
            <w:tcW w:w="2559" w:type="dxa"/>
            <w:vMerge/>
          </w:tcPr>
          <w:p w:rsidR="00C04163" w:rsidRPr="00295E71" w:rsidP="00035AC5" w14:paraId="2B8F271B" w14:textId="77777777">
            <w:pPr>
              <w:pStyle w:val="EMEANormal"/>
              <w:widowControl w:val="0"/>
              <w:spacing w:before="60"/>
              <w:rPr>
                <w:del w:id="7523"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2DDBF826" w14:textId="77777777">
            <w:pPr>
              <w:pStyle w:val="EMEANormal"/>
              <w:keepNext/>
              <w:keepLines/>
              <w:widowControl w:val="0"/>
              <w:spacing w:before="60"/>
              <w:rPr>
                <w:del w:id="7524" w:author="AbbVie14" w:date="2025-05-09T10:33:00Z"/>
                <w:lang w:val="it-IT"/>
              </w:rPr>
            </w:pPr>
            <w:del w:id="7525" w:author="AbbVie14" w:date="2025-05-09T10:33:00Z">
              <w:r w:rsidRPr="00295E71">
                <w:rPr>
                  <w:lang w:val="it-IT"/>
                </w:rPr>
                <w:delText>Non comune</w:delText>
              </w:r>
            </w:del>
          </w:p>
          <w:p w:rsidR="00C04163" w:rsidRPr="00295E71" w:rsidP="00C04163" w14:paraId="6ACB8C44" w14:textId="77777777">
            <w:pPr>
              <w:pStyle w:val="EMEANormal"/>
              <w:keepNext/>
              <w:keepLines/>
              <w:widowControl w:val="0"/>
              <w:spacing w:before="60"/>
              <w:rPr>
                <w:del w:id="7526"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1DD0EAF7" w14:textId="77777777">
            <w:pPr>
              <w:pStyle w:val="EMEANormal"/>
              <w:keepNext/>
              <w:keepLines/>
              <w:widowControl w:val="0"/>
              <w:spacing w:before="60"/>
              <w:rPr>
                <w:del w:id="7527" w:author="AbbVie14" w:date="2025-05-09T10:33:00Z"/>
                <w:lang w:val="it-IT"/>
              </w:rPr>
            </w:pPr>
            <w:del w:id="7528" w:author="AbbVie14" w:date="2025-05-09T10:33:00Z">
              <w:r w:rsidRPr="00295E71">
                <w:rPr>
                  <w:lang w:val="it-IT"/>
                </w:rPr>
                <w:delText xml:space="preserve">Colecistite e colelitiasi, </w:delText>
              </w:r>
            </w:del>
          </w:p>
          <w:p w:rsidR="00C04163" w:rsidRPr="00295E71" w:rsidP="00C04163" w14:paraId="72D2CCAF" w14:textId="77777777">
            <w:pPr>
              <w:pStyle w:val="EMEANormal"/>
              <w:keepNext/>
              <w:keepLines/>
              <w:widowControl w:val="0"/>
              <w:spacing w:before="60"/>
              <w:rPr>
                <w:del w:id="7529" w:author="AbbVie14" w:date="2025-05-09T10:33:00Z"/>
                <w:lang w:val="it-IT"/>
              </w:rPr>
            </w:pPr>
            <w:del w:id="7530" w:author="AbbVie14" w:date="2025-05-09T10:33:00Z">
              <w:r w:rsidRPr="00295E71">
                <w:rPr>
                  <w:lang w:val="it-IT"/>
                </w:rPr>
                <w:delText>steatosi epatica,</w:delText>
              </w:r>
            </w:del>
            <w:del w:id="7531" w:author="AbbVie14" w:date="2025-05-09T10:33:00Z">
              <w:r>
                <w:rPr>
                  <w:lang w:val="it-IT"/>
                </w:rPr>
                <w:delText xml:space="preserve"> </w:delText>
              </w:r>
            </w:del>
            <w:del w:id="7532" w:author="AbbVie14" w:date="2025-05-09T10:33:00Z">
              <w:r w:rsidRPr="00295E71">
                <w:rPr>
                  <w:lang w:val="it-IT"/>
                </w:rPr>
                <w:delText>aumento della bilirubina,</w:delText>
              </w:r>
            </w:del>
          </w:p>
          <w:p w:rsidR="00C04163" w:rsidRPr="00295E71" w:rsidP="00C04163" w14:paraId="1C03564E" w14:textId="77777777">
            <w:pPr>
              <w:pStyle w:val="EMEANormal"/>
              <w:keepNext/>
              <w:keepLines/>
              <w:widowControl w:val="0"/>
              <w:spacing w:before="60"/>
              <w:rPr>
                <w:del w:id="7533" w:author="AbbVie14" w:date="2025-05-09T10:33:00Z"/>
                <w:lang w:val="it-IT"/>
              </w:rPr>
            </w:pPr>
          </w:p>
        </w:tc>
      </w:tr>
      <w:tr w14:paraId="085C4103" w14:textId="77777777" w:rsidTr="00C04163">
        <w:tblPrEx>
          <w:tblW w:w="0" w:type="auto"/>
          <w:tblLook w:val="01E0"/>
        </w:tblPrEx>
        <w:trPr>
          <w:cantSplit/>
          <w:del w:id="7534" w:author="AbbVie14" w:date="2025-05-09T10:33:00Z"/>
        </w:trPr>
        <w:tc>
          <w:tcPr>
            <w:tcW w:w="2559" w:type="dxa"/>
            <w:vMerge/>
          </w:tcPr>
          <w:p w:rsidR="00C04163" w:rsidRPr="00295E71" w:rsidP="00035AC5" w14:paraId="31327619" w14:textId="77777777">
            <w:pPr>
              <w:pStyle w:val="EMEANormal"/>
              <w:widowControl w:val="0"/>
              <w:spacing w:before="60"/>
              <w:rPr>
                <w:del w:id="7535"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7E965AF" w14:textId="77777777">
            <w:pPr>
              <w:pStyle w:val="EMEANormal"/>
              <w:keepNext/>
              <w:keepLines/>
              <w:widowControl w:val="0"/>
              <w:spacing w:before="60"/>
              <w:rPr>
                <w:del w:id="7536" w:author="AbbVie14" w:date="2025-05-09T10:33:00Z"/>
                <w:lang w:val="it-IT"/>
              </w:rPr>
            </w:pPr>
            <w:del w:id="7537" w:author="AbbVie14" w:date="2025-05-09T10:33: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FEEEB27" w14:textId="77777777">
            <w:pPr>
              <w:pStyle w:val="EMEANormal"/>
              <w:keepNext/>
              <w:keepLines/>
              <w:widowControl w:val="0"/>
              <w:spacing w:before="60"/>
              <w:rPr>
                <w:del w:id="7538" w:author="AbbVie14" w:date="2025-05-09T10:33:00Z"/>
                <w:lang w:val="it-IT"/>
              </w:rPr>
            </w:pPr>
            <w:del w:id="7539" w:author="AbbVie14" w:date="2025-05-09T10:33:00Z">
              <w:r w:rsidRPr="00295E71">
                <w:rPr>
                  <w:lang w:val="it-IT"/>
                </w:rPr>
                <w:delText>Epatite</w:delText>
              </w:r>
            </w:del>
          </w:p>
          <w:p w:rsidR="00C04163" w:rsidRPr="00C04163" w:rsidP="00C04163" w14:paraId="1BC00552" w14:textId="77777777">
            <w:pPr>
              <w:pStyle w:val="EMEANormal"/>
              <w:keepNext/>
              <w:keepLines/>
              <w:widowControl w:val="0"/>
              <w:spacing w:before="60"/>
              <w:rPr>
                <w:del w:id="7540" w:author="AbbVie14" w:date="2025-05-09T10:33:00Z"/>
                <w:lang w:val="it-IT"/>
              </w:rPr>
            </w:pPr>
            <w:del w:id="7541" w:author="AbbVie14" w:date="2025-05-09T10:33:00Z">
              <w:r w:rsidRPr="00295E71">
                <w:rPr>
                  <w:lang w:val="it-IT"/>
                </w:rPr>
                <w:delText xml:space="preserve">riattivazione </w:delText>
              </w:r>
            </w:del>
            <w:del w:id="7542" w:author="AbbVie14" w:date="2025-05-09T10:33:00Z">
              <w:r>
                <w:rPr>
                  <w:lang w:val="it-IT"/>
                </w:rPr>
                <w:delText>dell’</w:delText>
              </w:r>
            </w:del>
            <w:del w:id="7543" w:author="AbbVie14" w:date="2025-05-09T10:33:00Z">
              <w:r w:rsidRPr="00295E71">
                <w:rPr>
                  <w:lang w:val="it-IT"/>
                </w:rPr>
                <w:delText xml:space="preserve">epatite B </w:delText>
              </w:r>
            </w:del>
            <w:del w:id="7544" w:author="AbbVie14" w:date="2025-05-09T10:33:00Z">
              <w:r w:rsidRPr="00C04163">
                <w:rPr>
                  <w:lang w:val="it-IT"/>
                </w:rPr>
                <w:delText>1)</w:delText>
              </w:r>
            </w:del>
            <w:del w:id="7545" w:author="AbbVie14" w:date="2025-05-09T10:33:00Z">
              <w:r w:rsidRPr="00295E71">
                <w:rPr>
                  <w:lang w:val="it-IT"/>
                </w:rPr>
                <w:delText>,</w:delText>
              </w:r>
            </w:del>
          </w:p>
          <w:p w:rsidR="00C04163" w:rsidRPr="00C04163" w:rsidP="00C04163" w14:paraId="3098DF93" w14:textId="77777777">
            <w:pPr>
              <w:pStyle w:val="EMEANormal"/>
              <w:keepNext/>
              <w:keepLines/>
              <w:widowControl w:val="0"/>
              <w:spacing w:before="60"/>
              <w:rPr>
                <w:del w:id="7546" w:author="AbbVie14" w:date="2025-05-09T10:33:00Z"/>
                <w:lang w:val="it-IT"/>
              </w:rPr>
            </w:pPr>
            <w:del w:id="7547" w:author="AbbVie14" w:date="2025-05-09T10:33:00Z">
              <w:r w:rsidRPr="00295E71">
                <w:rPr>
                  <w:lang w:val="it-IT"/>
                </w:rPr>
                <w:delText xml:space="preserve">epatite autoimmune </w:delText>
              </w:r>
            </w:del>
            <w:del w:id="7548" w:author="AbbVie14" w:date="2025-05-09T10:33:00Z">
              <w:r w:rsidRPr="00C04163">
                <w:rPr>
                  <w:lang w:val="it-IT"/>
                </w:rPr>
                <w:delText>1)</w:delText>
              </w:r>
            </w:del>
          </w:p>
          <w:p w:rsidR="00C04163" w:rsidRPr="00295E71" w:rsidP="00C04163" w14:paraId="73C5DA7F" w14:textId="77777777">
            <w:pPr>
              <w:pStyle w:val="EMEANormal"/>
              <w:keepNext/>
              <w:keepLines/>
              <w:widowControl w:val="0"/>
              <w:spacing w:before="60"/>
              <w:rPr>
                <w:del w:id="7549" w:author="AbbVie14" w:date="2025-05-09T10:33:00Z"/>
                <w:lang w:val="it-IT"/>
              </w:rPr>
            </w:pPr>
          </w:p>
        </w:tc>
      </w:tr>
      <w:tr w14:paraId="3F451E39" w14:textId="77777777" w:rsidTr="00C04163">
        <w:tblPrEx>
          <w:tblW w:w="0" w:type="auto"/>
          <w:tblLook w:val="01E0"/>
        </w:tblPrEx>
        <w:trPr>
          <w:cantSplit/>
          <w:del w:id="7550" w:author="AbbVie14" w:date="2025-05-09T10:33:00Z"/>
        </w:trPr>
        <w:tc>
          <w:tcPr>
            <w:tcW w:w="2559" w:type="dxa"/>
            <w:vMerge/>
          </w:tcPr>
          <w:p w:rsidR="00C04163" w:rsidRPr="00295E71" w:rsidP="00035AC5" w14:paraId="5636C1C4" w14:textId="77777777">
            <w:pPr>
              <w:pStyle w:val="EMEANormal"/>
              <w:widowControl w:val="0"/>
              <w:spacing w:before="60"/>
              <w:rPr>
                <w:del w:id="7551"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DB46674" w14:textId="77777777">
            <w:pPr>
              <w:pStyle w:val="EMEANormal"/>
              <w:keepNext/>
              <w:keepLines/>
              <w:widowControl w:val="0"/>
              <w:spacing w:before="60"/>
              <w:rPr>
                <w:del w:id="7552" w:author="AbbVie14" w:date="2025-05-09T10:33:00Z"/>
                <w:lang w:val="it-IT"/>
              </w:rPr>
            </w:pPr>
            <w:del w:id="7553" w:author="AbbVie14" w:date="2025-05-09T10:33:00Z">
              <w:r w:rsidRPr="00295E71">
                <w:rPr>
                  <w:lang w:val="it-IT"/>
                </w:rPr>
                <w:delText>Non not</w:delText>
              </w:r>
            </w:del>
            <w:del w:id="7554" w:author="AbbVie14" w:date="2025-05-09T10:33:00Z">
              <w:r>
                <w:rPr>
                  <w:lang w:val="it-IT"/>
                </w:rPr>
                <w:delText>a</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CCB3958" w14:textId="77777777">
            <w:pPr>
              <w:pStyle w:val="EMEANormal"/>
              <w:keepNext/>
              <w:keepLines/>
              <w:widowControl w:val="0"/>
              <w:spacing w:before="60"/>
              <w:rPr>
                <w:del w:id="7555" w:author="AbbVie14" w:date="2025-05-09T10:33:00Z"/>
                <w:lang w:val="it-IT"/>
              </w:rPr>
            </w:pPr>
            <w:del w:id="7556" w:author="AbbVie14" w:date="2025-05-09T10:33:00Z">
              <w:r w:rsidRPr="00295E71">
                <w:rPr>
                  <w:lang w:val="it-IT"/>
                </w:rPr>
                <w:delText xml:space="preserve">Insufficienza epatica </w:delText>
              </w:r>
            </w:del>
            <w:del w:id="7557" w:author="AbbVie14" w:date="2025-05-09T10:33:00Z">
              <w:r w:rsidRPr="00C04163">
                <w:rPr>
                  <w:lang w:val="it-IT"/>
                </w:rPr>
                <w:delText>1)</w:delText>
              </w:r>
            </w:del>
          </w:p>
          <w:p w:rsidR="00C04163" w:rsidRPr="00295E71" w:rsidP="00C04163" w14:paraId="7B63D090" w14:textId="77777777">
            <w:pPr>
              <w:pStyle w:val="EMEANormal"/>
              <w:keepNext/>
              <w:keepLines/>
              <w:widowControl w:val="0"/>
              <w:spacing w:before="60"/>
              <w:rPr>
                <w:del w:id="7558" w:author="AbbVie14" w:date="2025-05-09T10:33:00Z"/>
                <w:lang w:val="it-IT"/>
              </w:rPr>
            </w:pPr>
          </w:p>
        </w:tc>
      </w:tr>
      <w:tr w14:paraId="227DDFAC" w14:textId="77777777" w:rsidTr="00C04163">
        <w:tblPrEx>
          <w:tblW w:w="0" w:type="auto"/>
          <w:tblLook w:val="01E0"/>
        </w:tblPrEx>
        <w:trPr>
          <w:cantSplit/>
          <w:del w:id="7559" w:author="AbbVie14" w:date="2025-05-09T10:33:00Z"/>
        </w:trPr>
        <w:tc>
          <w:tcPr>
            <w:tcW w:w="2559" w:type="dxa"/>
          </w:tcPr>
          <w:p w:rsidR="00C04163" w:rsidRPr="00295E71" w:rsidP="00035AC5" w14:paraId="59A53890" w14:textId="77777777">
            <w:pPr>
              <w:pStyle w:val="IndexHeading"/>
              <w:widowControl w:val="0"/>
              <w:tabs>
                <w:tab w:val="clear" w:pos="567"/>
              </w:tabs>
              <w:spacing w:before="120" w:after="120" w:line="240" w:lineRule="auto"/>
              <w:jc w:val="center"/>
              <w:rPr>
                <w:del w:id="7560" w:author="AbbVie14" w:date="2025-05-09T10:33:00Z"/>
                <w:rFonts w:ascii="Times New Roman" w:hAnsi="Times New Roman" w:cs="Times New Roman"/>
                <w:lang w:val="it-IT" w:eastAsia="it-IT"/>
              </w:rPr>
            </w:pPr>
            <w:del w:id="7561" w:author="AbbVie14" w:date="2025-05-09T10:33:00Z">
              <w:r w:rsidRPr="00295E71">
                <w:rPr>
                  <w:rFonts w:ascii="Times New Roman" w:hAnsi="Times New Roman" w:cs="Times New Roman"/>
                  <w:lang w:val="it-IT" w:eastAsia="it-IT"/>
                </w:rPr>
                <w:delText>Classificazione per sistemi e organi</w:delText>
              </w:r>
            </w:del>
          </w:p>
        </w:tc>
        <w:tc>
          <w:tcPr>
            <w:tcW w:w="2038" w:type="dxa"/>
            <w:tcBorders>
              <w:top w:val="single" w:sz="4" w:space="0" w:color="auto"/>
              <w:left w:val="single" w:sz="4" w:space="0" w:color="auto"/>
              <w:bottom w:val="single" w:sz="4" w:space="0" w:color="auto"/>
              <w:right w:val="single" w:sz="4" w:space="0" w:color="auto"/>
            </w:tcBorders>
          </w:tcPr>
          <w:p w:rsidR="00C04163" w:rsidRPr="00C04163" w:rsidP="00C04163" w14:paraId="3277CD92" w14:textId="77777777">
            <w:pPr>
              <w:pStyle w:val="EMEANormal"/>
              <w:keepNext/>
              <w:keepLines/>
              <w:spacing w:before="60"/>
              <w:rPr>
                <w:del w:id="7562" w:author="AbbVie14" w:date="2025-05-09T10:33:00Z"/>
                <w:lang w:val="it-IT"/>
              </w:rPr>
            </w:pPr>
            <w:del w:id="7563" w:author="AbbVie14" w:date="2025-05-09T10:33:00Z">
              <w:r w:rsidRPr="00295E71">
                <w:rPr>
                  <w:lang w:val="it-IT"/>
                </w:rPr>
                <w:delText>Frequenza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39162B0A" w14:textId="77777777">
            <w:pPr>
              <w:pStyle w:val="EMEANormal"/>
              <w:keepNext/>
              <w:keepLines/>
              <w:spacing w:before="60"/>
              <w:rPr>
                <w:del w:id="7564" w:author="AbbVie14" w:date="2025-05-09T10:33:00Z"/>
                <w:lang w:val="it-IT"/>
              </w:rPr>
            </w:pPr>
            <w:del w:id="7565" w:author="AbbVie14" w:date="2025-05-09T10:33:00Z">
              <w:r w:rsidRPr="00295E71">
                <w:rPr>
                  <w:lang w:val="it-IT"/>
                </w:rPr>
                <w:delText>Reazione avversa</w:delText>
              </w:r>
            </w:del>
          </w:p>
        </w:tc>
      </w:tr>
      <w:tr w14:paraId="430B28F0" w14:textId="77777777" w:rsidTr="00C04163">
        <w:tblPrEx>
          <w:tblW w:w="0" w:type="auto"/>
          <w:tblLook w:val="01E0"/>
        </w:tblPrEx>
        <w:trPr>
          <w:cantSplit/>
          <w:del w:id="7566" w:author="AbbVie14" w:date="2025-05-09T10:33:00Z"/>
        </w:trPr>
        <w:tc>
          <w:tcPr>
            <w:tcW w:w="2559" w:type="dxa"/>
            <w:vMerge w:val="restart"/>
          </w:tcPr>
          <w:p w:rsidR="00C04163" w:rsidRPr="00295E71" w:rsidP="00035AC5" w14:paraId="51FA966F" w14:textId="77777777">
            <w:pPr>
              <w:pStyle w:val="EMEANormal"/>
              <w:widowControl w:val="0"/>
              <w:spacing w:before="60"/>
              <w:rPr>
                <w:del w:id="7567" w:author="AbbVie14" w:date="2025-05-09T10:33:00Z"/>
                <w:lang w:val="it-IT"/>
              </w:rPr>
            </w:pPr>
            <w:del w:id="7568" w:author="AbbVie14" w:date="2025-05-09T10:33:00Z">
              <w:r w:rsidRPr="00295E71">
                <w:rPr>
                  <w:lang w:val="it-IT"/>
                </w:rPr>
                <w:delText>Patologie della cute e del tessuto sottocutaneo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156A0F12" w14:textId="77777777">
            <w:pPr>
              <w:pStyle w:val="EMEANormal"/>
              <w:keepNext/>
              <w:keepLines/>
              <w:widowControl w:val="0"/>
              <w:spacing w:before="60"/>
              <w:rPr>
                <w:del w:id="7569" w:author="AbbVie14" w:date="2025-05-09T10:33:00Z"/>
                <w:lang w:val="it-IT"/>
              </w:rPr>
            </w:pPr>
            <w:del w:id="7570" w:author="AbbVie14" w:date="2025-05-09T10:33:00Z">
              <w:r w:rsidRPr="00295E71">
                <w:rPr>
                  <w:lang w:val="it-IT"/>
                </w:rPr>
                <w:delText>Molto comune</w:delText>
              </w:r>
            </w:del>
          </w:p>
          <w:p w:rsidR="00C04163" w:rsidRPr="00295E71" w:rsidP="00C04163" w14:paraId="20D0EADA" w14:textId="77777777">
            <w:pPr>
              <w:pStyle w:val="EMEANormal"/>
              <w:keepNext/>
              <w:keepLines/>
              <w:widowControl w:val="0"/>
              <w:spacing w:before="60"/>
              <w:rPr>
                <w:del w:id="7571"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9CE6159" w14:textId="77777777">
            <w:pPr>
              <w:pStyle w:val="EMEANormal"/>
              <w:keepNext/>
              <w:keepLines/>
              <w:widowControl w:val="0"/>
              <w:spacing w:before="60"/>
              <w:rPr>
                <w:del w:id="7572" w:author="AbbVie14" w:date="2025-05-09T10:33:00Z"/>
                <w:lang w:val="it-IT"/>
              </w:rPr>
            </w:pPr>
            <w:del w:id="7573" w:author="AbbVie14" w:date="2025-05-09T10:33:00Z">
              <w:r w:rsidRPr="00295E71">
                <w:rPr>
                  <w:lang w:val="it-IT"/>
                </w:rPr>
                <w:delText>Rash (tra cui rash esfoliativo)</w:delText>
              </w:r>
            </w:del>
          </w:p>
          <w:p w:rsidR="00C04163" w:rsidRPr="00295E71" w:rsidP="00C04163" w14:paraId="4D7956FE" w14:textId="77777777">
            <w:pPr>
              <w:pStyle w:val="EMEANormal"/>
              <w:keepNext/>
              <w:keepLines/>
              <w:widowControl w:val="0"/>
              <w:spacing w:before="60"/>
              <w:rPr>
                <w:del w:id="7574" w:author="AbbVie14" w:date="2025-05-09T10:33:00Z"/>
                <w:lang w:val="it-IT"/>
              </w:rPr>
            </w:pPr>
          </w:p>
        </w:tc>
      </w:tr>
      <w:tr w14:paraId="14A30228" w14:textId="77777777" w:rsidTr="00C04163">
        <w:tblPrEx>
          <w:tblW w:w="0" w:type="auto"/>
          <w:tblLook w:val="01E0"/>
        </w:tblPrEx>
        <w:trPr>
          <w:cantSplit/>
          <w:del w:id="7575" w:author="AbbVie14" w:date="2025-05-09T10:33:00Z"/>
        </w:trPr>
        <w:tc>
          <w:tcPr>
            <w:tcW w:w="2559" w:type="dxa"/>
            <w:vMerge/>
          </w:tcPr>
          <w:p w:rsidR="00C04163" w:rsidRPr="00295E71" w:rsidP="00035AC5" w14:paraId="1E2E50C9" w14:textId="77777777">
            <w:pPr>
              <w:widowControl w:val="0"/>
              <w:spacing w:before="60"/>
              <w:jc w:val="center"/>
              <w:rPr>
                <w:del w:id="7576"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1DE0170" w14:textId="77777777">
            <w:pPr>
              <w:pStyle w:val="EMEANormal"/>
              <w:keepNext/>
              <w:keepLines/>
              <w:widowControl w:val="0"/>
              <w:spacing w:before="60"/>
              <w:rPr>
                <w:del w:id="7577" w:author="AbbVie14" w:date="2025-05-09T10:33:00Z"/>
                <w:lang w:val="it-IT"/>
              </w:rPr>
            </w:pPr>
            <w:del w:id="7578" w:author="AbbVie14" w:date="2025-05-09T10:33:00Z">
              <w:r w:rsidRPr="00295E71">
                <w:rPr>
                  <w:lang w:val="it-IT"/>
                </w:rPr>
                <w:delText>Comune</w:delText>
              </w:r>
            </w:del>
          </w:p>
          <w:p w:rsidR="00C04163" w:rsidRPr="00295E71" w:rsidP="00C04163" w14:paraId="6CEA1E65" w14:textId="77777777">
            <w:pPr>
              <w:pStyle w:val="EMEANormal"/>
              <w:keepNext/>
              <w:keepLines/>
              <w:widowControl w:val="0"/>
              <w:spacing w:before="60"/>
              <w:rPr>
                <w:del w:id="7579"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C9CFA81" w14:textId="77777777">
            <w:pPr>
              <w:pStyle w:val="EMEANormal"/>
              <w:keepNext/>
              <w:keepLines/>
              <w:widowControl w:val="0"/>
              <w:spacing w:before="60"/>
              <w:rPr>
                <w:del w:id="7580" w:author="AbbVie14" w:date="2025-05-09T10:33:00Z"/>
                <w:lang w:val="it-IT"/>
              </w:rPr>
            </w:pPr>
            <w:del w:id="7581" w:author="AbbVie14" w:date="2025-05-09T10:33:00Z">
              <w:r w:rsidRPr="00295E71">
                <w:rPr>
                  <w:lang w:val="it-IT"/>
                </w:rPr>
                <w:delText>Peggioramento o insorgenza di psoriasi (tra cui psoriasi pustol</w:delText>
              </w:r>
            </w:del>
            <w:del w:id="7582" w:author="AbbVie14" w:date="2025-05-09T10:33:00Z">
              <w:r>
                <w:rPr>
                  <w:lang w:val="it-IT"/>
                </w:rPr>
                <w:delText>osa</w:delText>
              </w:r>
            </w:del>
            <w:del w:id="7583" w:author="AbbVie14" w:date="2025-05-09T10:33:00Z">
              <w:r w:rsidRPr="00295E71">
                <w:rPr>
                  <w:lang w:val="it-IT"/>
                </w:rPr>
                <w:delText xml:space="preserve"> palmoplantare)</w:delText>
              </w:r>
            </w:del>
            <w:del w:id="7584" w:author="AbbVie14" w:date="2025-05-09T10:33:00Z">
              <w:r w:rsidRPr="00C04163">
                <w:rPr>
                  <w:lang w:val="it-IT"/>
                </w:rPr>
                <w:delText xml:space="preserve"> 1)</w:delText>
              </w:r>
            </w:del>
            <w:del w:id="7585" w:author="AbbVie14" w:date="2025-05-09T10:33:00Z">
              <w:r w:rsidRPr="00295E71">
                <w:rPr>
                  <w:lang w:val="it-IT"/>
                </w:rPr>
                <w:delText>,</w:delText>
              </w:r>
            </w:del>
          </w:p>
          <w:p w:rsidR="00C04163" w:rsidRPr="00295E71" w:rsidP="00C04163" w14:paraId="5D4323C4" w14:textId="77777777">
            <w:pPr>
              <w:pStyle w:val="EMEANormal"/>
              <w:keepNext/>
              <w:keepLines/>
              <w:widowControl w:val="0"/>
              <w:spacing w:before="60"/>
              <w:rPr>
                <w:del w:id="7586" w:author="AbbVie14" w:date="2025-05-09T10:33:00Z"/>
                <w:lang w:val="it-IT"/>
              </w:rPr>
            </w:pPr>
            <w:del w:id="7587" w:author="AbbVie14" w:date="2025-05-09T10:33:00Z">
              <w:r w:rsidRPr="00295E71">
                <w:rPr>
                  <w:lang w:val="it-IT"/>
                </w:rPr>
                <w:delText>orticaria,</w:delText>
              </w:r>
            </w:del>
          </w:p>
          <w:p w:rsidR="00C04163" w:rsidRPr="00295E71" w:rsidP="00C04163" w14:paraId="73C00E9C" w14:textId="77777777">
            <w:pPr>
              <w:pStyle w:val="EMEANormal"/>
              <w:keepNext/>
              <w:keepLines/>
              <w:widowControl w:val="0"/>
              <w:spacing w:before="60"/>
              <w:rPr>
                <w:del w:id="7588" w:author="AbbVie14" w:date="2025-05-09T10:33:00Z"/>
                <w:lang w:val="it-IT"/>
              </w:rPr>
            </w:pPr>
            <w:del w:id="7589" w:author="AbbVie14" w:date="2025-05-09T10:33:00Z">
              <w:r w:rsidRPr="00295E71">
                <w:rPr>
                  <w:lang w:val="it-IT"/>
                </w:rPr>
                <w:delText xml:space="preserve">ecchimosi (tra cui porpora), </w:delText>
              </w:r>
            </w:del>
          </w:p>
          <w:p w:rsidR="00C04163" w:rsidRPr="00295E71" w:rsidP="00C04163" w14:paraId="29FD72E8" w14:textId="77777777">
            <w:pPr>
              <w:pStyle w:val="EMEANormal"/>
              <w:keepNext/>
              <w:keepLines/>
              <w:widowControl w:val="0"/>
              <w:spacing w:before="60"/>
              <w:rPr>
                <w:del w:id="7590" w:author="AbbVie14" w:date="2025-05-09T10:33:00Z"/>
                <w:lang w:val="it-IT"/>
              </w:rPr>
            </w:pPr>
            <w:del w:id="7591" w:author="AbbVie14" w:date="2025-05-09T10:33:00Z">
              <w:r w:rsidRPr="00295E71">
                <w:rPr>
                  <w:lang w:val="it-IT"/>
                </w:rPr>
                <w:delText>dermatite (tra cui eczema),</w:delText>
              </w:r>
            </w:del>
          </w:p>
          <w:p w:rsidR="00C04163" w:rsidRPr="00295E71" w:rsidP="00C04163" w14:paraId="7B2DE80C" w14:textId="77777777">
            <w:pPr>
              <w:pStyle w:val="EMEANormal"/>
              <w:keepNext/>
              <w:keepLines/>
              <w:widowControl w:val="0"/>
              <w:spacing w:before="60"/>
              <w:rPr>
                <w:del w:id="7592" w:author="AbbVie14" w:date="2025-05-09T10:33:00Z"/>
                <w:lang w:val="it-IT"/>
              </w:rPr>
            </w:pPr>
            <w:del w:id="7593" w:author="AbbVie14" w:date="2025-05-09T10:33:00Z">
              <w:r w:rsidRPr="00295E71">
                <w:rPr>
                  <w:lang w:val="it-IT"/>
                </w:rPr>
                <w:delText xml:space="preserve">onicoclasia, </w:delText>
              </w:r>
            </w:del>
          </w:p>
          <w:p w:rsidR="00C04163" w:rsidRPr="00295E71" w:rsidP="00C04163" w14:paraId="2B2C1649" w14:textId="77777777">
            <w:pPr>
              <w:pStyle w:val="EMEANormal"/>
              <w:keepNext/>
              <w:keepLines/>
              <w:widowControl w:val="0"/>
              <w:spacing w:before="60"/>
              <w:rPr>
                <w:del w:id="7594" w:author="AbbVie14" w:date="2025-05-09T10:33:00Z"/>
                <w:lang w:val="it-IT"/>
              </w:rPr>
            </w:pPr>
            <w:del w:id="7595" w:author="AbbVie14" w:date="2025-05-09T10:33:00Z">
              <w:r w:rsidRPr="00295E71">
                <w:rPr>
                  <w:lang w:val="it-IT"/>
                </w:rPr>
                <w:delText>iperidrosi,</w:delText>
              </w:r>
            </w:del>
          </w:p>
          <w:p w:rsidR="00C04163" w:rsidRPr="00295E71" w:rsidP="00C04163" w14:paraId="555FC729" w14:textId="77777777">
            <w:pPr>
              <w:pStyle w:val="EMEANormal"/>
              <w:keepNext/>
              <w:keepLines/>
              <w:widowControl w:val="0"/>
              <w:spacing w:before="60"/>
              <w:rPr>
                <w:del w:id="7596" w:author="AbbVie14" w:date="2025-05-09T10:33:00Z"/>
                <w:lang w:val="it-IT"/>
              </w:rPr>
            </w:pPr>
            <w:del w:id="7597" w:author="AbbVie14" w:date="2025-05-09T10:33:00Z">
              <w:r w:rsidRPr="00295E71">
                <w:rPr>
                  <w:lang w:val="it-IT"/>
                </w:rPr>
                <w:delText>alopecia</w:delText>
              </w:r>
            </w:del>
            <w:del w:id="7598" w:author="AbbVie14" w:date="2025-05-09T10:33:00Z">
              <w:r w:rsidRPr="00C04163">
                <w:rPr>
                  <w:lang w:val="it-IT"/>
                </w:rPr>
                <w:delText>1)</w:delText>
              </w:r>
            </w:del>
            <w:del w:id="7599" w:author="AbbVie14" w:date="2025-05-09T10:33:00Z">
              <w:r w:rsidRPr="00295E71">
                <w:rPr>
                  <w:lang w:val="it-IT"/>
                </w:rPr>
                <w:delText>,</w:delText>
              </w:r>
            </w:del>
          </w:p>
          <w:p w:rsidR="00C04163" w:rsidRPr="00295E71" w:rsidP="00C04163" w14:paraId="56684529" w14:textId="77777777">
            <w:pPr>
              <w:pStyle w:val="EMEANormal"/>
              <w:keepNext/>
              <w:keepLines/>
              <w:widowControl w:val="0"/>
              <w:spacing w:before="60"/>
              <w:rPr>
                <w:del w:id="7600" w:author="AbbVie14" w:date="2025-05-09T10:33:00Z"/>
                <w:lang w:val="it-IT"/>
              </w:rPr>
            </w:pPr>
            <w:del w:id="7601" w:author="AbbVie14" w:date="2025-05-09T10:33:00Z">
              <w:r w:rsidRPr="00295E71">
                <w:rPr>
                  <w:lang w:val="it-IT"/>
                </w:rPr>
                <w:delText>prurito</w:delText>
              </w:r>
            </w:del>
          </w:p>
          <w:p w:rsidR="00C04163" w:rsidRPr="00295E71" w:rsidP="00C04163" w14:paraId="79322ADB" w14:textId="77777777">
            <w:pPr>
              <w:pStyle w:val="EMEANormal"/>
              <w:keepNext/>
              <w:keepLines/>
              <w:widowControl w:val="0"/>
              <w:spacing w:before="60"/>
              <w:rPr>
                <w:del w:id="7602" w:author="AbbVie14" w:date="2025-05-09T10:33:00Z"/>
                <w:lang w:val="it-IT"/>
              </w:rPr>
            </w:pPr>
          </w:p>
        </w:tc>
      </w:tr>
      <w:tr w14:paraId="13863C7A" w14:textId="77777777" w:rsidTr="00C04163">
        <w:tblPrEx>
          <w:tblW w:w="0" w:type="auto"/>
          <w:tblLook w:val="01E0"/>
        </w:tblPrEx>
        <w:trPr>
          <w:cantSplit/>
          <w:del w:id="7603" w:author="AbbVie14" w:date="2025-05-09T10:33:00Z"/>
        </w:trPr>
        <w:tc>
          <w:tcPr>
            <w:tcW w:w="2559" w:type="dxa"/>
            <w:vMerge/>
          </w:tcPr>
          <w:p w:rsidR="00C04163" w:rsidRPr="00295E71" w:rsidP="00035AC5" w14:paraId="4C966FE7" w14:textId="77777777">
            <w:pPr>
              <w:widowControl w:val="0"/>
              <w:spacing w:before="60"/>
              <w:jc w:val="center"/>
              <w:rPr>
                <w:del w:id="7604"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24FD3AC" w14:textId="77777777">
            <w:pPr>
              <w:pStyle w:val="EMEANormal"/>
              <w:keepNext/>
              <w:keepLines/>
              <w:widowControl w:val="0"/>
              <w:spacing w:before="60"/>
              <w:rPr>
                <w:del w:id="7605" w:author="AbbVie14" w:date="2025-05-09T10:33:00Z"/>
                <w:lang w:val="it-IT"/>
              </w:rPr>
            </w:pPr>
            <w:del w:id="7606" w:author="AbbVie14" w:date="2025-05-09T10:33:00Z">
              <w:r w:rsidRPr="00295E71">
                <w:rPr>
                  <w:lang w:val="it-IT"/>
                </w:rPr>
                <w:delText>Non comune</w:delText>
              </w:r>
            </w:del>
          </w:p>
          <w:p w:rsidR="00C04163" w:rsidRPr="00295E71" w:rsidP="00C04163" w14:paraId="0B7856C3" w14:textId="77777777">
            <w:pPr>
              <w:pStyle w:val="EMEANormal"/>
              <w:keepNext/>
              <w:keepLines/>
              <w:widowControl w:val="0"/>
              <w:spacing w:before="60"/>
              <w:rPr>
                <w:del w:id="7607"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22A5322F" w14:textId="77777777">
            <w:pPr>
              <w:pStyle w:val="EMEANormal"/>
              <w:keepNext/>
              <w:keepLines/>
              <w:widowControl w:val="0"/>
              <w:spacing w:before="60"/>
              <w:rPr>
                <w:del w:id="7608" w:author="AbbVie14" w:date="2025-05-09T10:33:00Z"/>
                <w:lang w:val="it-IT"/>
              </w:rPr>
            </w:pPr>
            <w:del w:id="7609" w:author="AbbVie14" w:date="2025-05-09T10:33:00Z">
              <w:r w:rsidRPr="00295E71">
                <w:rPr>
                  <w:lang w:val="it-IT"/>
                </w:rPr>
                <w:delText>Sudorazione notturna,</w:delText>
              </w:r>
            </w:del>
          </w:p>
          <w:p w:rsidR="00C04163" w:rsidRPr="00295E71" w:rsidP="00C04163" w14:paraId="36830985" w14:textId="77777777">
            <w:pPr>
              <w:pStyle w:val="EMEANormal"/>
              <w:keepNext/>
              <w:keepLines/>
              <w:widowControl w:val="0"/>
              <w:spacing w:before="60"/>
              <w:rPr>
                <w:del w:id="7610" w:author="AbbVie14" w:date="2025-05-09T10:33:00Z"/>
                <w:lang w:val="it-IT"/>
              </w:rPr>
            </w:pPr>
            <w:del w:id="7611" w:author="AbbVie14" w:date="2025-05-09T10:33:00Z">
              <w:r w:rsidRPr="00295E71">
                <w:rPr>
                  <w:lang w:val="it-IT"/>
                </w:rPr>
                <w:delText>cicatrice</w:delText>
              </w:r>
            </w:del>
          </w:p>
          <w:p w:rsidR="00C04163" w:rsidRPr="00295E71" w:rsidP="00C04163" w14:paraId="5C1101FD" w14:textId="77777777">
            <w:pPr>
              <w:pStyle w:val="EMEANormal"/>
              <w:keepNext/>
              <w:keepLines/>
              <w:widowControl w:val="0"/>
              <w:spacing w:before="60"/>
              <w:rPr>
                <w:del w:id="7612" w:author="AbbVie14" w:date="2025-05-09T10:33:00Z"/>
                <w:lang w:val="it-IT"/>
              </w:rPr>
            </w:pPr>
          </w:p>
        </w:tc>
      </w:tr>
      <w:tr w14:paraId="66019A24" w14:textId="77777777" w:rsidTr="00C04163">
        <w:tblPrEx>
          <w:tblW w:w="0" w:type="auto"/>
          <w:tblLook w:val="01E0"/>
        </w:tblPrEx>
        <w:trPr>
          <w:cantSplit/>
          <w:del w:id="7613" w:author="AbbVie14" w:date="2025-05-09T10:33:00Z"/>
        </w:trPr>
        <w:tc>
          <w:tcPr>
            <w:tcW w:w="2559" w:type="dxa"/>
            <w:vMerge/>
          </w:tcPr>
          <w:p w:rsidR="00C04163" w:rsidRPr="00295E71" w:rsidP="00035AC5" w14:paraId="1FCAC793" w14:textId="77777777">
            <w:pPr>
              <w:widowControl w:val="0"/>
              <w:spacing w:before="60"/>
              <w:jc w:val="center"/>
              <w:rPr>
                <w:del w:id="7614"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41570F2B" w14:textId="77777777">
            <w:pPr>
              <w:pStyle w:val="EMEANormal"/>
              <w:keepNext/>
              <w:keepLines/>
              <w:widowControl w:val="0"/>
              <w:spacing w:before="60"/>
              <w:rPr>
                <w:del w:id="7615" w:author="AbbVie14" w:date="2025-05-09T10:33:00Z"/>
                <w:lang w:val="it-IT"/>
              </w:rPr>
            </w:pPr>
            <w:del w:id="7616" w:author="AbbVie14" w:date="2025-05-09T10:33:00Z">
              <w:r w:rsidRPr="00295E71">
                <w:rPr>
                  <w:lang w:val="it-IT"/>
                </w:rPr>
                <w:delText>Raro</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3EDCA60" w14:textId="77777777">
            <w:pPr>
              <w:pStyle w:val="EMEANormal"/>
              <w:keepNext/>
              <w:keepLines/>
              <w:widowControl w:val="0"/>
              <w:spacing w:before="60"/>
              <w:rPr>
                <w:del w:id="7617" w:author="AbbVie14" w:date="2025-05-09T10:33:00Z"/>
                <w:lang w:val="it-IT"/>
              </w:rPr>
            </w:pPr>
            <w:del w:id="7618" w:author="AbbVie14" w:date="2025-05-09T10:33:00Z">
              <w:r w:rsidRPr="00295E71">
                <w:rPr>
                  <w:lang w:val="it-IT"/>
                </w:rPr>
                <w:delText>Eritema multiforme</w:delText>
              </w:r>
            </w:del>
            <w:del w:id="7619" w:author="AbbVie14" w:date="2025-05-09T10:33:00Z">
              <w:r w:rsidRPr="00C04163">
                <w:rPr>
                  <w:lang w:val="it-IT"/>
                </w:rPr>
                <w:delText>1)</w:delText>
              </w:r>
            </w:del>
            <w:del w:id="7620" w:author="AbbVie14" w:date="2025-05-09T10:33:00Z">
              <w:r w:rsidRPr="00295E71">
                <w:rPr>
                  <w:lang w:val="it-IT"/>
                </w:rPr>
                <w:delText>,</w:delText>
              </w:r>
            </w:del>
          </w:p>
          <w:p w:rsidR="00C04163" w:rsidRPr="00295E71" w:rsidP="00C04163" w14:paraId="147991FB" w14:textId="77777777">
            <w:pPr>
              <w:pStyle w:val="EMEANormal"/>
              <w:keepNext/>
              <w:keepLines/>
              <w:widowControl w:val="0"/>
              <w:spacing w:before="60"/>
              <w:rPr>
                <w:del w:id="7621" w:author="AbbVie14" w:date="2025-05-09T10:33:00Z"/>
                <w:lang w:val="it-IT"/>
              </w:rPr>
            </w:pPr>
            <w:del w:id="7622" w:author="AbbVie14" w:date="2025-05-09T10:33:00Z">
              <w:r w:rsidRPr="00295E71">
                <w:rPr>
                  <w:lang w:val="it-IT"/>
                </w:rPr>
                <w:delText>sindrome di Stevens-Johnson</w:delText>
              </w:r>
            </w:del>
            <w:del w:id="7623" w:author="AbbVie14" w:date="2025-05-09T10:33:00Z">
              <w:r w:rsidRPr="00C04163">
                <w:rPr>
                  <w:lang w:val="it-IT"/>
                </w:rPr>
                <w:delText>1)</w:delText>
              </w:r>
            </w:del>
            <w:del w:id="7624" w:author="AbbVie14" w:date="2025-05-09T10:33:00Z">
              <w:r w:rsidRPr="00295E71">
                <w:rPr>
                  <w:lang w:val="it-IT"/>
                </w:rPr>
                <w:delText>,</w:delText>
              </w:r>
            </w:del>
          </w:p>
          <w:p w:rsidR="00C04163" w:rsidRPr="00295E71" w:rsidP="00C04163" w14:paraId="16E1FA24" w14:textId="77777777">
            <w:pPr>
              <w:pStyle w:val="EMEANormal"/>
              <w:keepNext/>
              <w:keepLines/>
              <w:widowControl w:val="0"/>
              <w:spacing w:before="60"/>
              <w:rPr>
                <w:del w:id="7625" w:author="AbbVie14" w:date="2025-05-09T10:33:00Z"/>
                <w:lang w:val="it-IT"/>
              </w:rPr>
            </w:pPr>
            <w:del w:id="7626" w:author="AbbVie14" w:date="2025-05-09T10:33:00Z">
              <w:r w:rsidRPr="00295E71">
                <w:rPr>
                  <w:lang w:val="it-IT"/>
                </w:rPr>
                <w:delText>angioedema</w:delText>
              </w:r>
            </w:del>
            <w:del w:id="7627" w:author="AbbVie14" w:date="2025-05-09T10:33:00Z">
              <w:r w:rsidRPr="00C04163">
                <w:rPr>
                  <w:lang w:val="it-IT"/>
                </w:rPr>
                <w:delText>1)</w:delText>
              </w:r>
            </w:del>
            <w:del w:id="7628" w:author="AbbVie14" w:date="2025-05-09T10:33:00Z">
              <w:r w:rsidRPr="00295E71">
                <w:rPr>
                  <w:lang w:val="it-IT"/>
                </w:rPr>
                <w:delText>,</w:delText>
              </w:r>
            </w:del>
          </w:p>
          <w:p w:rsidR="00C04163" w:rsidRPr="00C04163" w:rsidP="00C04163" w14:paraId="7645F424" w14:textId="77777777">
            <w:pPr>
              <w:pStyle w:val="EMEANormal"/>
              <w:keepNext/>
              <w:keepLines/>
              <w:widowControl w:val="0"/>
              <w:spacing w:before="60"/>
              <w:rPr>
                <w:del w:id="7629" w:author="AbbVie14" w:date="2025-05-09T10:33:00Z"/>
                <w:lang w:val="it-IT"/>
              </w:rPr>
            </w:pPr>
            <w:del w:id="7630" w:author="AbbVie14" w:date="2025-05-09T10:33:00Z">
              <w:r w:rsidRPr="00295E71">
                <w:rPr>
                  <w:lang w:val="it-IT"/>
                </w:rPr>
                <w:delText>vasculite cutanea</w:delText>
              </w:r>
            </w:del>
            <w:del w:id="7631" w:author="AbbVie14" w:date="2025-05-09T10:33:00Z">
              <w:r w:rsidRPr="00C04163">
                <w:rPr>
                  <w:lang w:val="it-IT"/>
                </w:rPr>
                <w:delText>1)</w:delText>
              </w:r>
            </w:del>
          </w:p>
          <w:p w:rsidR="00C04163" w:rsidRPr="00C04163" w:rsidP="00C04163" w14:paraId="74B40AB4" w14:textId="77777777">
            <w:pPr>
              <w:pStyle w:val="EMEANormal"/>
              <w:keepNext/>
              <w:keepLines/>
              <w:widowControl w:val="0"/>
              <w:spacing w:before="60"/>
              <w:rPr>
                <w:del w:id="7632" w:author="AbbVie14" w:date="2025-05-09T10:33:00Z"/>
                <w:lang w:val="it-IT"/>
              </w:rPr>
            </w:pPr>
            <w:del w:id="7633" w:author="AbbVie14" w:date="2025-05-09T10:33:00Z">
              <w:r>
                <w:rPr>
                  <w:lang w:val="it-IT"/>
                </w:rPr>
                <w:delText>reazione cutanea lichenoide</w:delText>
              </w:r>
            </w:del>
            <w:del w:id="7634" w:author="AbbVie14" w:date="2025-05-09T10:33:00Z">
              <w:r w:rsidRPr="00C04163">
                <w:rPr>
                  <w:lang w:val="it-IT"/>
                </w:rPr>
                <w:delText>1)</w:delText>
              </w:r>
            </w:del>
          </w:p>
          <w:p w:rsidR="00C04163" w:rsidRPr="00295E71" w:rsidP="00C04163" w14:paraId="3A0B7E85" w14:textId="77777777">
            <w:pPr>
              <w:pStyle w:val="EMEANormal"/>
              <w:keepNext/>
              <w:keepLines/>
              <w:widowControl w:val="0"/>
              <w:spacing w:before="60"/>
              <w:rPr>
                <w:del w:id="7635" w:author="AbbVie14" w:date="2025-05-09T10:33:00Z"/>
                <w:lang w:val="it-IT"/>
              </w:rPr>
            </w:pPr>
          </w:p>
        </w:tc>
      </w:tr>
      <w:tr w14:paraId="45521065" w14:textId="77777777" w:rsidTr="00C04163">
        <w:tblPrEx>
          <w:tblW w:w="0" w:type="auto"/>
          <w:tblLook w:val="01E0"/>
        </w:tblPrEx>
        <w:trPr>
          <w:cantSplit/>
          <w:del w:id="7636" w:author="AbbVie14" w:date="2025-05-09T10:33:00Z"/>
        </w:trPr>
        <w:tc>
          <w:tcPr>
            <w:tcW w:w="2559" w:type="dxa"/>
            <w:vMerge/>
          </w:tcPr>
          <w:p w:rsidR="00C04163" w:rsidRPr="00295E71" w:rsidP="00035AC5" w14:paraId="66835182" w14:textId="77777777">
            <w:pPr>
              <w:widowControl w:val="0"/>
              <w:spacing w:before="60"/>
              <w:jc w:val="center"/>
              <w:rPr>
                <w:del w:id="7637"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56DAE0C9" w14:textId="77777777">
            <w:pPr>
              <w:pStyle w:val="EMEANormal"/>
              <w:keepNext/>
              <w:keepLines/>
              <w:widowControl w:val="0"/>
              <w:spacing w:before="60"/>
              <w:rPr>
                <w:del w:id="7638" w:author="AbbVie14" w:date="2025-05-09T10:33:00Z"/>
                <w:lang w:val="it-IT"/>
              </w:rPr>
            </w:pPr>
            <w:del w:id="7639" w:author="AbbVie14" w:date="2025-05-09T10:33:00Z">
              <w:r w:rsidRPr="00295E71">
                <w:rPr>
                  <w:lang w:val="it-IT"/>
                </w:rPr>
                <w:delText>Non nota</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25EE62D3" w14:textId="77777777">
            <w:pPr>
              <w:pStyle w:val="EMEANormal"/>
              <w:keepNext/>
              <w:keepLines/>
              <w:widowControl w:val="0"/>
              <w:spacing w:before="60"/>
              <w:rPr>
                <w:del w:id="7640" w:author="AbbVie14" w:date="2025-05-09T10:33:00Z"/>
                <w:lang w:val="it-IT"/>
              </w:rPr>
            </w:pPr>
            <w:del w:id="7641" w:author="AbbVie14" w:date="2025-05-09T10:33:00Z">
              <w:r w:rsidRPr="00295E71">
                <w:rPr>
                  <w:lang w:val="it-IT"/>
                </w:rPr>
                <w:delText>Peggioramento dei sintomi di dermatomiosite</w:delText>
              </w:r>
            </w:del>
            <w:del w:id="7642" w:author="AbbVie14" w:date="2025-05-09T10:33:00Z">
              <w:r w:rsidRPr="00C04163">
                <w:rPr>
                  <w:lang w:val="it-IT"/>
                </w:rPr>
                <w:delText>1)</w:delText>
              </w:r>
            </w:del>
          </w:p>
        </w:tc>
      </w:tr>
      <w:tr w14:paraId="305A826E" w14:textId="77777777" w:rsidTr="00C04163">
        <w:tblPrEx>
          <w:tblW w:w="0" w:type="auto"/>
          <w:tblLook w:val="01E0"/>
        </w:tblPrEx>
        <w:trPr>
          <w:cantSplit/>
          <w:del w:id="7643" w:author="AbbVie14" w:date="2025-05-09T10:33:00Z"/>
        </w:trPr>
        <w:tc>
          <w:tcPr>
            <w:tcW w:w="2559" w:type="dxa"/>
            <w:vMerge w:val="restart"/>
          </w:tcPr>
          <w:p w:rsidR="00C04163" w:rsidRPr="00295E71" w:rsidP="00035AC5" w14:paraId="784BC110" w14:textId="77777777">
            <w:pPr>
              <w:pStyle w:val="EMEANormal"/>
              <w:widowControl w:val="0"/>
              <w:spacing w:before="60"/>
              <w:rPr>
                <w:del w:id="7644" w:author="AbbVie14" w:date="2025-05-09T10:33:00Z"/>
                <w:lang w:val="it-IT"/>
              </w:rPr>
            </w:pPr>
            <w:del w:id="7645" w:author="AbbVie14" w:date="2025-05-09T10:33:00Z">
              <w:r w:rsidRPr="00295E71">
                <w:rPr>
                  <w:lang w:val="it-IT"/>
                </w:rPr>
                <w:delText>Patologie</w:delText>
              </w:r>
            </w:del>
            <w:del w:id="7646" w:author="AbbVie14" w:date="2025-05-09T10:33:00Z">
              <w:r>
                <w:rPr>
                  <w:lang w:val="it-IT"/>
                </w:rPr>
                <w:delText xml:space="preserve"> </w:delText>
              </w:r>
            </w:del>
            <w:del w:id="7647" w:author="AbbVie14" w:date="2025-05-09T10:33:00Z">
              <w:r w:rsidRPr="00295E71">
                <w:rPr>
                  <w:lang w:val="it-IT"/>
                </w:rPr>
                <w:delText>del sistema muscolo-scheletrico e del tessuto connettivo</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D3A82DE" w14:textId="77777777">
            <w:pPr>
              <w:pStyle w:val="EMEANormal"/>
              <w:keepNext/>
              <w:keepLines/>
              <w:widowControl w:val="0"/>
              <w:spacing w:before="60"/>
              <w:rPr>
                <w:del w:id="7648" w:author="AbbVie14" w:date="2025-05-09T10:33:00Z"/>
                <w:lang w:val="it-IT"/>
              </w:rPr>
            </w:pPr>
            <w:del w:id="7649" w:author="AbbVie14" w:date="2025-05-09T10:33:00Z">
              <w:r w:rsidRPr="00295E71">
                <w:rPr>
                  <w:lang w:val="it-IT"/>
                </w:rPr>
                <w:delText>Molto comune</w:delText>
              </w:r>
            </w:del>
          </w:p>
          <w:p w:rsidR="00C04163" w:rsidRPr="00295E71" w:rsidP="00C04163" w14:paraId="18BB4276" w14:textId="77777777">
            <w:pPr>
              <w:pStyle w:val="EMEANormal"/>
              <w:keepNext/>
              <w:keepLines/>
              <w:widowControl w:val="0"/>
              <w:spacing w:before="60"/>
              <w:rPr>
                <w:del w:id="7650"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62F16B1A" w14:textId="77777777">
            <w:pPr>
              <w:pStyle w:val="EMEANormal"/>
              <w:keepNext/>
              <w:keepLines/>
              <w:widowControl w:val="0"/>
              <w:spacing w:before="60"/>
              <w:rPr>
                <w:del w:id="7651" w:author="AbbVie14" w:date="2025-05-09T10:33:00Z"/>
                <w:lang w:val="it-IT"/>
              </w:rPr>
            </w:pPr>
            <w:del w:id="7652" w:author="AbbVie14" w:date="2025-05-09T10:33:00Z">
              <w:r>
                <w:rPr>
                  <w:lang w:val="it-IT"/>
                </w:rPr>
                <w:delText>D</w:delText>
              </w:r>
            </w:del>
            <w:del w:id="7653" w:author="AbbVie14" w:date="2025-05-09T10:33:00Z">
              <w:r w:rsidRPr="00295E71">
                <w:rPr>
                  <w:lang w:val="it-IT"/>
                </w:rPr>
                <w:delText>olore muscoloscheletrico</w:delText>
              </w:r>
            </w:del>
          </w:p>
          <w:p w:rsidR="00C04163" w:rsidRPr="00295E71" w:rsidP="00C04163" w14:paraId="62A6B429" w14:textId="77777777">
            <w:pPr>
              <w:pStyle w:val="EMEANormal"/>
              <w:keepNext/>
              <w:keepLines/>
              <w:widowControl w:val="0"/>
              <w:spacing w:before="60"/>
              <w:rPr>
                <w:del w:id="7654" w:author="AbbVie14" w:date="2025-05-09T10:33:00Z"/>
                <w:lang w:val="it-IT"/>
              </w:rPr>
            </w:pPr>
          </w:p>
        </w:tc>
      </w:tr>
      <w:tr w14:paraId="7A4BFA79" w14:textId="77777777" w:rsidTr="00C04163">
        <w:tblPrEx>
          <w:tblW w:w="0" w:type="auto"/>
          <w:tblLook w:val="01E0"/>
        </w:tblPrEx>
        <w:trPr>
          <w:cantSplit/>
          <w:del w:id="7655" w:author="AbbVie14" w:date="2025-05-09T10:33:00Z"/>
        </w:trPr>
        <w:tc>
          <w:tcPr>
            <w:tcW w:w="2559" w:type="dxa"/>
            <w:vMerge/>
          </w:tcPr>
          <w:p w:rsidR="00C04163" w:rsidRPr="00295E71" w:rsidP="00035AC5" w14:paraId="1B4A8144" w14:textId="77777777">
            <w:pPr>
              <w:pStyle w:val="EMEANormal"/>
              <w:widowControl w:val="0"/>
              <w:spacing w:before="60"/>
              <w:rPr>
                <w:del w:id="7656"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144DD63D" w14:textId="77777777">
            <w:pPr>
              <w:pStyle w:val="EMEANormal"/>
              <w:keepNext/>
              <w:keepLines/>
              <w:widowControl w:val="0"/>
              <w:spacing w:before="60"/>
              <w:rPr>
                <w:del w:id="7657" w:author="AbbVie14" w:date="2025-05-09T10:33:00Z"/>
                <w:lang w:val="it-IT"/>
              </w:rPr>
            </w:pPr>
            <w:del w:id="7658" w:author="AbbVie14" w:date="2025-05-09T10:33:00Z">
              <w:r w:rsidRPr="00295E71">
                <w:rPr>
                  <w:lang w:val="it-IT"/>
                </w:rPr>
                <w:delText>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9208F0C" w14:textId="77777777">
            <w:pPr>
              <w:pStyle w:val="EMEANormal"/>
              <w:keepNext/>
              <w:keepLines/>
              <w:widowControl w:val="0"/>
              <w:spacing w:before="60"/>
              <w:rPr>
                <w:del w:id="7659" w:author="AbbVie14" w:date="2025-05-09T10:33:00Z"/>
                <w:lang w:val="it-IT"/>
              </w:rPr>
            </w:pPr>
            <w:del w:id="7660" w:author="AbbVie14" w:date="2025-05-09T10:33:00Z">
              <w:r w:rsidRPr="00295E71">
                <w:rPr>
                  <w:lang w:val="it-IT"/>
                </w:rPr>
                <w:delText>Spasmi muscolari (tra cui aumento della creatinfosfochinasi ematica)</w:delText>
              </w:r>
            </w:del>
          </w:p>
          <w:p w:rsidR="00C04163" w:rsidRPr="00295E71" w:rsidP="00C04163" w14:paraId="411C6B45" w14:textId="77777777">
            <w:pPr>
              <w:pStyle w:val="EMEANormal"/>
              <w:keepNext/>
              <w:keepLines/>
              <w:widowControl w:val="0"/>
              <w:spacing w:before="60"/>
              <w:rPr>
                <w:del w:id="7661" w:author="AbbVie14" w:date="2025-05-09T10:33:00Z"/>
                <w:lang w:val="it-IT"/>
              </w:rPr>
            </w:pPr>
          </w:p>
        </w:tc>
      </w:tr>
      <w:tr w14:paraId="0C89499A" w14:textId="77777777" w:rsidTr="00C04163">
        <w:tblPrEx>
          <w:tblW w:w="0" w:type="auto"/>
          <w:tblLook w:val="01E0"/>
        </w:tblPrEx>
        <w:trPr>
          <w:cantSplit/>
          <w:del w:id="7662" w:author="AbbVie14" w:date="2025-05-09T10:33:00Z"/>
        </w:trPr>
        <w:tc>
          <w:tcPr>
            <w:tcW w:w="2559" w:type="dxa"/>
            <w:vMerge/>
          </w:tcPr>
          <w:p w:rsidR="00C04163" w:rsidRPr="00295E71" w:rsidP="00035AC5" w14:paraId="4FD4EDF1" w14:textId="77777777">
            <w:pPr>
              <w:widowControl w:val="0"/>
              <w:spacing w:before="60"/>
              <w:jc w:val="center"/>
              <w:rPr>
                <w:del w:id="7663"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6B9054D" w14:textId="77777777">
            <w:pPr>
              <w:pStyle w:val="EMEANormal"/>
              <w:keepNext/>
              <w:keepLines/>
              <w:widowControl w:val="0"/>
              <w:spacing w:before="60"/>
              <w:rPr>
                <w:del w:id="7664" w:author="AbbVie14" w:date="2025-05-09T10:33:00Z"/>
                <w:lang w:val="it-IT"/>
              </w:rPr>
            </w:pPr>
            <w:del w:id="7665" w:author="AbbVie14" w:date="2025-05-09T10:33: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730D3123" w14:textId="77777777">
            <w:pPr>
              <w:pStyle w:val="EMEANormal"/>
              <w:keepNext/>
              <w:keepLines/>
              <w:widowControl w:val="0"/>
              <w:spacing w:before="60"/>
              <w:rPr>
                <w:del w:id="7666" w:author="AbbVie14" w:date="2025-05-09T10:33:00Z"/>
                <w:lang w:val="it-IT"/>
              </w:rPr>
            </w:pPr>
            <w:del w:id="7667" w:author="AbbVie14" w:date="2025-05-09T10:33:00Z">
              <w:r w:rsidRPr="00295E71">
                <w:rPr>
                  <w:lang w:val="it-IT"/>
                </w:rPr>
                <w:delText>Rabdomiolisi</w:delText>
              </w:r>
            </w:del>
          </w:p>
          <w:p w:rsidR="00C04163" w:rsidRPr="00295E71" w:rsidP="00C04163" w14:paraId="5C230792" w14:textId="77777777">
            <w:pPr>
              <w:pStyle w:val="EMEANormal"/>
              <w:keepNext/>
              <w:keepLines/>
              <w:widowControl w:val="0"/>
              <w:spacing w:before="60"/>
              <w:rPr>
                <w:del w:id="7668" w:author="AbbVie14" w:date="2025-05-09T10:33:00Z"/>
                <w:lang w:val="it-IT"/>
              </w:rPr>
            </w:pPr>
            <w:del w:id="7669" w:author="AbbVie14" w:date="2025-05-09T10:33:00Z">
              <w:r w:rsidRPr="00295E71">
                <w:rPr>
                  <w:lang w:val="it-IT"/>
                </w:rPr>
                <w:delText>lupus eritematoso sistemico</w:delText>
              </w:r>
            </w:del>
          </w:p>
          <w:p w:rsidR="00C04163" w:rsidRPr="00295E71" w:rsidP="00C04163" w14:paraId="46E64F9E" w14:textId="77777777">
            <w:pPr>
              <w:pStyle w:val="EMEANormal"/>
              <w:keepNext/>
              <w:keepLines/>
              <w:widowControl w:val="0"/>
              <w:spacing w:before="60"/>
              <w:rPr>
                <w:del w:id="7670" w:author="AbbVie14" w:date="2025-05-09T10:33:00Z"/>
                <w:lang w:val="it-IT"/>
              </w:rPr>
            </w:pPr>
          </w:p>
        </w:tc>
      </w:tr>
      <w:tr w14:paraId="3C8490D9" w14:textId="77777777" w:rsidTr="00C04163">
        <w:tblPrEx>
          <w:tblW w:w="0" w:type="auto"/>
          <w:tblLook w:val="01E0"/>
        </w:tblPrEx>
        <w:trPr>
          <w:cantSplit/>
          <w:del w:id="7671" w:author="AbbVie14" w:date="2025-05-09T10:33:00Z"/>
        </w:trPr>
        <w:tc>
          <w:tcPr>
            <w:tcW w:w="2559" w:type="dxa"/>
            <w:vMerge/>
          </w:tcPr>
          <w:p w:rsidR="00C04163" w:rsidRPr="00295E71" w:rsidP="00035AC5" w14:paraId="09D94D53" w14:textId="77777777">
            <w:pPr>
              <w:widowControl w:val="0"/>
              <w:spacing w:before="60"/>
              <w:jc w:val="center"/>
              <w:rPr>
                <w:del w:id="7672"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0781B5A" w14:textId="77777777">
            <w:pPr>
              <w:pStyle w:val="EMEANormal"/>
              <w:keepNext/>
              <w:keepLines/>
              <w:widowControl w:val="0"/>
              <w:spacing w:before="60"/>
              <w:rPr>
                <w:del w:id="7673" w:author="AbbVie14" w:date="2025-05-09T10:33:00Z"/>
                <w:lang w:val="it-IT"/>
              </w:rPr>
            </w:pPr>
            <w:del w:id="7674" w:author="AbbVie14" w:date="2025-05-09T10:33:00Z">
              <w:r w:rsidRPr="00295E71">
                <w:rPr>
                  <w:lang w:val="it-IT"/>
                </w:rPr>
                <w:delText>Raro</w:delText>
              </w:r>
            </w:del>
          </w:p>
          <w:p w:rsidR="00C04163" w:rsidRPr="00295E71" w:rsidP="00C04163" w14:paraId="4ABE405C" w14:textId="77777777">
            <w:pPr>
              <w:pStyle w:val="EMEANormal"/>
              <w:keepNext/>
              <w:keepLines/>
              <w:widowControl w:val="0"/>
              <w:spacing w:before="60"/>
              <w:rPr>
                <w:del w:id="7675"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7FB7DC37" w14:textId="77777777">
            <w:pPr>
              <w:pStyle w:val="EMEANormal"/>
              <w:keepNext/>
              <w:keepLines/>
              <w:widowControl w:val="0"/>
              <w:spacing w:before="60"/>
              <w:rPr>
                <w:del w:id="7676" w:author="AbbVie14" w:date="2025-05-09T10:33:00Z"/>
                <w:lang w:val="it-IT"/>
              </w:rPr>
            </w:pPr>
            <w:del w:id="7677" w:author="AbbVie14" w:date="2025-05-09T10:33:00Z">
              <w:r w:rsidRPr="00295E71">
                <w:rPr>
                  <w:lang w:val="it-IT"/>
                </w:rPr>
                <w:delText>Sindrome simile al lupus</w:delText>
              </w:r>
            </w:del>
            <w:del w:id="7678" w:author="AbbVie14" w:date="2025-05-09T10:33:00Z">
              <w:r w:rsidRPr="00C04163">
                <w:rPr>
                  <w:lang w:val="it-IT"/>
                </w:rPr>
                <w:delText>1)</w:delText>
              </w:r>
            </w:del>
          </w:p>
          <w:p w:rsidR="00C04163" w:rsidRPr="00295E71" w:rsidP="00C04163" w14:paraId="4B881F2B" w14:textId="77777777">
            <w:pPr>
              <w:pStyle w:val="EMEANormal"/>
              <w:keepNext/>
              <w:keepLines/>
              <w:widowControl w:val="0"/>
              <w:spacing w:before="60"/>
              <w:rPr>
                <w:del w:id="7679" w:author="AbbVie14" w:date="2025-05-09T10:33:00Z"/>
                <w:lang w:val="it-IT"/>
              </w:rPr>
            </w:pPr>
          </w:p>
          <w:p w:rsidR="00C04163" w:rsidRPr="00295E71" w:rsidP="00C04163" w14:paraId="402091C2" w14:textId="77777777">
            <w:pPr>
              <w:pStyle w:val="EMEANormal"/>
              <w:keepNext/>
              <w:keepLines/>
              <w:widowControl w:val="0"/>
              <w:spacing w:before="60"/>
              <w:rPr>
                <w:del w:id="7680" w:author="AbbVie14" w:date="2025-05-09T10:33:00Z"/>
                <w:lang w:val="it-IT"/>
              </w:rPr>
            </w:pPr>
          </w:p>
        </w:tc>
      </w:tr>
      <w:tr w14:paraId="3BB56BBE" w14:textId="77777777" w:rsidTr="00C04163">
        <w:tblPrEx>
          <w:tblW w:w="0" w:type="auto"/>
          <w:tblLook w:val="01E0"/>
        </w:tblPrEx>
        <w:trPr>
          <w:cantSplit/>
          <w:del w:id="7681" w:author="AbbVie14" w:date="2025-05-09T10:33:00Z"/>
        </w:trPr>
        <w:tc>
          <w:tcPr>
            <w:tcW w:w="2559" w:type="dxa"/>
            <w:vMerge w:val="restart"/>
          </w:tcPr>
          <w:p w:rsidR="00C04163" w:rsidRPr="00295E71" w:rsidP="00035AC5" w14:paraId="44B5B8B6" w14:textId="77777777">
            <w:pPr>
              <w:pStyle w:val="EMEANormal"/>
              <w:widowControl w:val="0"/>
              <w:spacing w:before="60"/>
              <w:rPr>
                <w:del w:id="7682" w:author="AbbVie14" w:date="2025-05-09T10:33:00Z"/>
                <w:lang w:val="it-IT"/>
              </w:rPr>
            </w:pPr>
            <w:del w:id="7683" w:author="AbbVie14" w:date="2025-05-09T10:33:00Z">
              <w:r w:rsidRPr="00295E71">
                <w:rPr>
                  <w:lang w:val="it-IT"/>
                </w:rPr>
                <w:delText>Patologie</w:delText>
              </w:r>
            </w:del>
            <w:del w:id="7684" w:author="AbbVie14" w:date="2025-05-09T10:33:00Z">
              <w:r>
                <w:rPr>
                  <w:lang w:val="it-IT"/>
                </w:rPr>
                <w:delText xml:space="preserve"> </w:delText>
              </w:r>
            </w:del>
            <w:del w:id="7685" w:author="AbbVie14" w:date="2025-05-09T10:33:00Z">
              <w:r w:rsidRPr="00295E71">
                <w:rPr>
                  <w:lang w:val="it-IT"/>
                </w:rPr>
                <w:delText xml:space="preserve">renali e urinarie </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A7BFCD5" w14:textId="77777777">
            <w:pPr>
              <w:pStyle w:val="EMEANormal"/>
              <w:keepNext/>
              <w:keepLines/>
              <w:widowControl w:val="0"/>
              <w:spacing w:before="60"/>
              <w:rPr>
                <w:del w:id="7686" w:author="AbbVie14" w:date="2025-05-09T10:33:00Z"/>
                <w:lang w:val="it-IT"/>
              </w:rPr>
            </w:pPr>
            <w:del w:id="7687" w:author="AbbVie14" w:date="2025-05-09T10:33:00Z">
              <w:r w:rsidRPr="00295E71">
                <w:rPr>
                  <w:lang w:val="it-IT"/>
                </w:rPr>
                <w:delText>Comune</w:delText>
              </w:r>
            </w:del>
          </w:p>
          <w:p w:rsidR="00C04163" w:rsidRPr="00295E71" w:rsidP="00C04163" w14:paraId="519F1B45" w14:textId="77777777">
            <w:pPr>
              <w:pStyle w:val="EMEANormal"/>
              <w:keepNext/>
              <w:keepLines/>
              <w:widowControl w:val="0"/>
              <w:spacing w:before="60"/>
              <w:rPr>
                <w:del w:id="7688"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FE60021" w14:textId="77777777">
            <w:pPr>
              <w:pStyle w:val="EMEANormal"/>
              <w:keepNext/>
              <w:keepLines/>
              <w:widowControl w:val="0"/>
              <w:spacing w:before="60"/>
              <w:rPr>
                <w:del w:id="7689" w:author="AbbVie14" w:date="2025-05-09T10:33:00Z"/>
                <w:lang w:val="it-IT"/>
              </w:rPr>
            </w:pPr>
            <w:del w:id="7690" w:author="AbbVie14" w:date="2025-05-09T10:33:00Z">
              <w:r w:rsidRPr="00295E71">
                <w:rPr>
                  <w:lang w:val="it-IT"/>
                </w:rPr>
                <w:delText>Insufficienza renale,</w:delText>
              </w:r>
            </w:del>
          </w:p>
          <w:p w:rsidR="00C04163" w:rsidRPr="00295E71" w:rsidP="00C04163" w14:paraId="159FD891" w14:textId="77777777">
            <w:pPr>
              <w:pStyle w:val="EMEANormal"/>
              <w:keepNext/>
              <w:keepLines/>
              <w:widowControl w:val="0"/>
              <w:spacing w:before="60"/>
              <w:rPr>
                <w:del w:id="7691" w:author="AbbVie14" w:date="2025-05-09T10:33:00Z"/>
                <w:lang w:val="it-IT"/>
              </w:rPr>
            </w:pPr>
            <w:del w:id="7692" w:author="AbbVie14" w:date="2025-05-09T10:33:00Z">
              <w:r w:rsidRPr="00295E71">
                <w:rPr>
                  <w:lang w:val="it-IT"/>
                </w:rPr>
                <w:delText>ematuria</w:delText>
              </w:r>
            </w:del>
          </w:p>
          <w:p w:rsidR="00C04163" w:rsidRPr="00295E71" w:rsidP="00C04163" w14:paraId="3043FFB4" w14:textId="77777777">
            <w:pPr>
              <w:pStyle w:val="EMEANormal"/>
              <w:keepNext/>
              <w:keepLines/>
              <w:widowControl w:val="0"/>
              <w:spacing w:before="60"/>
              <w:rPr>
                <w:del w:id="7693" w:author="AbbVie14" w:date="2025-05-09T10:33:00Z"/>
                <w:lang w:val="it-IT"/>
              </w:rPr>
            </w:pPr>
          </w:p>
        </w:tc>
      </w:tr>
      <w:tr w14:paraId="11E96E63" w14:textId="77777777" w:rsidTr="00C04163">
        <w:tblPrEx>
          <w:tblW w:w="0" w:type="auto"/>
          <w:tblLook w:val="01E0"/>
        </w:tblPrEx>
        <w:trPr>
          <w:cantSplit/>
          <w:del w:id="7694" w:author="AbbVie14" w:date="2025-05-09T10:33:00Z"/>
        </w:trPr>
        <w:tc>
          <w:tcPr>
            <w:tcW w:w="2559" w:type="dxa"/>
            <w:vMerge/>
          </w:tcPr>
          <w:p w:rsidR="00C04163" w:rsidRPr="00295E71" w:rsidP="00035AC5" w14:paraId="39F31936" w14:textId="77777777">
            <w:pPr>
              <w:widowControl w:val="0"/>
              <w:spacing w:before="60"/>
              <w:jc w:val="center"/>
              <w:rPr>
                <w:del w:id="7695"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E1B0781" w14:textId="77777777">
            <w:pPr>
              <w:pStyle w:val="EMEANormal"/>
              <w:keepNext/>
              <w:keepLines/>
              <w:widowControl w:val="0"/>
              <w:spacing w:before="60"/>
              <w:rPr>
                <w:del w:id="7696" w:author="AbbVie14" w:date="2025-05-09T10:33:00Z"/>
                <w:lang w:val="it-IT"/>
              </w:rPr>
            </w:pPr>
            <w:del w:id="7697" w:author="AbbVie14" w:date="2025-05-09T10:33:00Z">
              <w:r w:rsidRPr="00295E71">
                <w:rPr>
                  <w:lang w:val="it-IT"/>
                </w:rPr>
                <w:delText>Non comune</w:delText>
              </w:r>
            </w:del>
          </w:p>
          <w:p w:rsidR="00C04163" w:rsidRPr="00295E71" w:rsidP="00C04163" w14:paraId="2DFBC65E" w14:textId="77777777">
            <w:pPr>
              <w:pStyle w:val="EMEANormal"/>
              <w:keepNext/>
              <w:keepLines/>
              <w:widowControl w:val="0"/>
              <w:spacing w:before="60"/>
              <w:rPr>
                <w:del w:id="7698"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2EF5CA35" w14:textId="77777777">
            <w:pPr>
              <w:pStyle w:val="EMEANormal"/>
              <w:keepNext/>
              <w:keepLines/>
              <w:widowControl w:val="0"/>
              <w:spacing w:before="60"/>
              <w:rPr>
                <w:del w:id="7699" w:author="AbbVie14" w:date="2025-05-09T10:33:00Z"/>
                <w:lang w:val="it-IT"/>
              </w:rPr>
            </w:pPr>
            <w:del w:id="7700" w:author="AbbVie14" w:date="2025-05-09T10:33:00Z">
              <w:r w:rsidRPr="00295E71">
                <w:rPr>
                  <w:lang w:val="it-IT"/>
                </w:rPr>
                <w:delText>Nicturia</w:delText>
              </w:r>
            </w:del>
          </w:p>
          <w:p w:rsidR="00C04163" w:rsidRPr="00295E71" w:rsidP="00C04163" w14:paraId="265B26BA" w14:textId="77777777">
            <w:pPr>
              <w:pStyle w:val="EMEANormal"/>
              <w:keepNext/>
              <w:keepLines/>
              <w:widowControl w:val="0"/>
              <w:spacing w:before="60"/>
              <w:rPr>
                <w:del w:id="7701" w:author="AbbVie14" w:date="2025-05-09T10:33:00Z"/>
                <w:lang w:val="it-IT"/>
              </w:rPr>
            </w:pPr>
          </w:p>
        </w:tc>
      </w:tr>
      <w:tr w14:paraId="2EF22276" w14:textId="77777777" w:rsidTr="00C04163">
        <w:tblPrEx>
          <w:tblW w:w="0" w:type="auto"/>
          <w:tblLook w:val="01E0"/>
        </w:tblPrEx>
        <w:trPr>
          <w:cantSplit/>
          <w:del w:id="7702" w:author="AbbVie14" w:date="2025-05-09T10:33:00Z"/>
        </w:trPr>
        <w:tc>
          <w:tcPr>
            <w:tcW w:w="2559" w:type="dxa"/>
          </w:tcPr>
          <w:p w:rsidR="00C04163" w:rsidRPr="00295E71" w:rsidP="00035AC5" w14:paraId="433C8403" w14:textId="77777777">
            <w:pPr>
              <w:pStyle w:val="EMEANormal"/>
              <w:widowControl w:val="0"/>
              <w:spacing w:before="60"/>
              <w:rPr>
                <w:del w:id="7703" w:author="AbbVie14" w:date="2025-05-09T10:33:00Z"/>
                <w:lang w:val="it-IT"/>
              </w:rPr>
            </w:pPr>
            <w:del w:id="7704" w:author="AbbVie14" w:date="2025-05-09T10:33:00Z">
              <w:r w:rsidRPr="00295E71">
                <w:rPr>
                  <w:lang w:val="it-IT"/>
                </w:rPr>
                <w:delText>Patologie dell’apparato riproduttivo e della mammella</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3A13BD6" w14:textId="77777777">
            <w:pPr>
              <w:pStyle w:val="EMEANormal"/>
              <w:keepNext/>
              <w:keepLines/>
              <w:widowControl w:val="0"/>
              <w:spacing w:before="60"/>
              <w:rPr>
                <w:del w:id="7705" w:author="AbbVie14" w:date="2025-05-09T10:33:00Z"/>
                <w:lang w:val="it-IT"/>
              </w:rPr>
            </w:pPr>
            <w:del w:id="7706" w:author="AbbVie14" w:date="2025-05-09T10:33:00Z">
              <w:r w:rsidRPr="00295E71">
                <w:rPr>
                  <w:lang w:val="it-IT"/>
                </w:rPr>
                <w:delText>Non 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5B8144ED" w14:textId="77777777">
            <w:pPr>
              <w:pStyle w:val="EMEANormal"/>
              <w:keepNext/>
              <w:keepLines/>
              <w:widowControl w:val="0"/>
              <w:spacing w:before="60"/>
              <w:rPr>
                <w:del w:id="7707" w:author="AbbVie14" w:date="2025-05-09T10:33:00Z"/>
                <w:lang w:val="it-IT"/>
              </w:rPr>
            </w:pPr>
            <w:del w:id="7708" w:author="AbbVie14" w:date="2025-05-09T10:33:00Z">
              <w:r w:rsidRPr="00295E71">
                <w:rPr>
                  <w:lang w:val="it-IT"/>
                </w:rPr>
                <w:delText>Disfunzione erettile</w:delText>
              </w:r>
            </w:del>
          </w:p>
          <w:p w:rsidR="00C04163" w:rsidRPr="00295E71" w:rsidP="00C04163" w14:paraId="093E1D2E" w14:textId="77777777">
            <w:pPr>
              <w:pStyle w:val="EMEANormal"/>
              <w:keepNext/>
              <w:keepLines/>
              <w:widowControl w:val="0"/>
              <w:spacing w:before="60"/>
              <w:rPr>
                <w:del w:id="7709" w:author="AbbVie14" w:date="2025-05-09T10:33:00Z"/>
                <w:lang w:val="it-IT"/>
              </w:rPr>
            </w:pPr>
          </w:p>
        </w:tc>
      </w:tr>
      <w:tr w14:paraId="15067274" w14:textId="77777777" w:rsidTr="00C04163">
        <w:tblPrEx>
          <w:tblW w:w="0" w:type="auto"/>
          <w:tblLook w:val="01E0"/>
        </w:tblPrEx>
        <w:trPr>
          <w:cantSplit/>
          <w:del w:id="7710" w:author="AbbVie14" w:date="2025-05-09T10:33:00Z"/>
        </w:trPr>
        <w:tc>
          <w:tcPr>
            <w:tcW w:w="2559" w:type="dxa"/>
            <w:vMerge w:val="restart"/>
          </w:tcPr>
          <w:p w:rsidR="00C04163" w:rsidRPr="00295E71" w:rsidP="00035AC5" w14:paraId="1A20DDEA" w14:textId="77777777">
            <w:pPr>
              <w:pStyle w:val="EMEANormal"/>
              <w:widowControl w:val="0"/>
              <w:spacing w:before="60"/>
              <w:rPr>
                <w:del w:id="7711" w:author="AbbVie14" w:date="2025-05-09T10:33:00Z"/>
                <w:lang w:val="it-IT"/>
              </w:rPr>
            </w:pPr>
            <w:del w:id="7712" w:author="AbbVie14" w:date="2025-05-09T10:33:00Z">
              <w:r w:rsidRPr="00295E71">
                <w:rPr>
                  <w:lang w:val="it-IT"/>
                </w:rPr>
                <w:delText>Patologie sistemiche e condizioni relative alla sede di somministrazione*</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79EE13B3" w14:textId="77777777">
            <w:pPr>
              <w:pStyle w:val="EMEANormal"/>
              <w:keepNext/>
              <w:keepLines/>
              <w:widowControl w:val="0"/>
              <w:spacing w:before="60"/>
              <w:rPr>
                <w:del w:id="7713" w:author="AbbVie14" w:date="2025-05-09T10:33:00Z"/>
                <w:lang w:val="it-IT"/>
              </w:rPr>
            </w:pPr>
            <w:del w:id="7714" w:author="AbbVie14" w:date="2025-05-09T10:33:00Z">
              <w:r w:rsidRPr="00295E71">
                <w:rPr>
                  <w:lang w:val="it-IT"/>
                </w:rPr>
                <w:delText>Molto comune</w:delText>
              </w:r>
            </w:del>
          </w:p>
          <w:p w:rsidR="00C04163" w:rsidRPr="00295E71" w:rsidP="00C04163" w14:paraId="3D76B4FC" w14:textId="77777777">
            <w:pPr>
              <w:pStyle w:val="EMEANormal"/>
              <w:keepNext/>
              <w:keepLines/>
              <w:widowControl w:val="0"/>
              <w:spacing w:before="60"/>
              <w:rPr>
                <w:del w:id="7715"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E0A043D" w14:textId="77777777">
            <w:pPr>
              <w:pStyle w:val="EMEANormal"/>
              <w:keepNext/>
              <w:keepLines/>
              <w:widowControl w:val="0"/>
              <w:spacing w:before="60"/>
              <w:rPr>
                <w:del w:id="7716" w:author="AbbVie14" w:date="2025-05-09T10:33:00Z"/>
                <w:lang w:val="it-IT"/>
              </w:rPr>
            </w:pPr>
            <w:del w:id="7717" w:author="AbbVie14" w:date="2025-05-09T10:33:00Z">
              <w:r w:rsidRPr="00295E71">
                <w:rPr>
                  <w:lang w:val="it-IT"/>
                </w:rPr>
                <w:delText>Reazione al sito di iniezione (tra cui eritema al sito di iniezione)</w:delText>
              </w:r>
            </w:del>
          </w:p>
          <w:p w:rsidR="00C04163" w:rsidRPr="00295E71" w:rsidP="00C04163" w14:paraId="31513FB9" w14:textId="77777777">
            <w:pPr>
              <w:pStyle w:val="EMEANormal"/>
              <w:keepNext/>
              <w:keepLines/>
              <w:widowControl w:val="0"/>
              <w:spacing w:before="60"/>
              <w:rPr>
                <w:del w:id="7718" w:author="AbbVie14" w:date="2025-05-09T10:33:00Z"/>
                <w:lang w:val="it-IT"/>
              </w:rPr>
            </w:pPr>
          </w:p>
        </w:tc>
      </w:tr>
      <w:tr w14:paraId="07760BAE" w14:textId="77777777" w:rsidTr="00C04163">
        <w:tblPrEx>
          <w:tblW w:w="0" w:type="auto"/>
          <w:tblLook w:val="01E0"/>
        </w:tblPrEx>
        <w:trPr>
          <w:cantSplit/>
          <w:del w:id="7719" w:author="AbbVie14" w:date="2025-05-09T10:33:00Z"/>
        </w:trPr>
        <w:tc>
          <w:tcPr>
            <w:tcW w:w="2559" w:type="dxa"/>
            <w:vMerge/>
          </w:tcPr>
          <w:p w:rsidR="00C04163" w:rsidRPr="00295E71" w:rsidP="00035AC5" w14:paraId="3361823D" w14:textId="77777777">
            <w:pPr>
              <w:widowControl w:val="0"/>
              <w:spacing w:before="60"/>
              <w:jc w:val="center"/>
              <w:rPr>
                <w:del w:id="7720"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3ECE3D8B" w14:textId="77777777">
            <w:pPr>
              <w:pStyle w:val="EMEANormal"/>
              <w:keepNext/>
              <w:keepLines/>
              <w:widowControl w:val="0"/>
              <w:spacing w:before="60"/>
              <w:rPr>
                <w:del w:id="7721" w:author="AbbVie14" w:date="2025-05-09T10:33:00Z"/>
                <w:lang w:val="it-IT"/>
              </w:rPr>
            </w:pPr>
            <w:del w:id="7722" w:author="AbbVie14" w:date="2025-05-09T10:33:00Z">
              <w:r w:rsidRPr="00295E71">
                <w:rPr>
                  <w:lang w:val="it-IT"/>
                </w:rPr>
                <w:delText>Comune</w:delText>
              </w:r>
            </w:del>
          </w:p>
          <w:p w:rsidR="00C04163" w:rsidRPr="00295E71" w:rsidP="00C04163" w14:paraId="091BE01B" w14:textId="77777777">
            <w:pPr>
              <w:pStyle w:val="EMEANormal"/>
              <w:keepNext/>
              <w:keepLines/>
              <w:widowControl w:val="0"/>
              <w:spacing w:before="60"/>
              <w:rPr>
                <w:del w:id="7723"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0D7120C9" w14:textId="77777777">
            <w:pPr>
              <w:pStyle w:val="EMEANormal"/>
              <w:keepNext/>
              <w:keepLines/>
              <w:widowControl w:val="0"/>
              <w:spacing w:before="60"/>
              <w:rPr>
                <w:del w:id="7724" w:author="AbbVie14" w:date="2025-05-09T10:33:00Z"/>
                <w:lang w:val="it-IT"/>
              </w:rPr>
            </w:pPr>
            <w:del w:id="7725" w:author="AbbVie14" w:date="2025-05-09T10:33:00Z">
              <w:r w:rsidRPr="00295E71">
                <w:rPr>
                  <w:lang w:val="it-IT"/>
                </w:rPr>
                <w:delText xml:space="preserve">Dolore toracico, </w:delText>
              </w:r>
            </w:del>
          </w:p>
          <w:p w:rsidR="00C04163" w:rsidRPr="00295E71" w:rsidP="00C04163" w14:paraId="4803829B" w14:textId="77777777">
            <w:pPr>
              <w:pStyle w:val="EMEANormal"/>
              <w:keepNext/>
              <w:keepLines/>
              <w:widowControl w:val="0"/>
              <w:spacing w:before="60"/>
              <w:rPr>
                <w:del w:id="7726" w:author="AbbVie14" w:date="2025-05-09T10:33:00Z"/>
                <w:lang w:val="it-IT"/>
              </w:rPr>
            </w:pPr>
            <w:del w:id="7727" w:author="AbbVie14" w:date="2025-05-09T10:33:00Z">
              <w:r w:rsidRPr="00295E71">
                <w:rPr>
                  <w:lang w:val="it-IT"/>
                </w:rPr>
                <w:delText>edema,</w:delText>
              </w:r>
            </w:del>
          </w:p>
          <w:p w:rsidR="00C04163" w:rsidRPr="00295E71" w:rsidP="00C04163" w14:paraId="49B64801" w14:textId="77777777">
            <w:pPr>
              <w:pStyle w:val="EMEANormal"/>
              <w:keepNext/>
              <w:keepLines/>
              <w:widowControl w:val="0"/>
              <w:spacing w:before="60"/>
              <w:rPr>
                <w:del w:id="7728" w:author="AbbVie14" w:date="2025-05-09T10:33:00Z"/>
                <w:lang w:val="it-IT"/>
              </w:rPr>
            </w:pPr>
            <w:del w:id="7729" w:author="AbbVie14" w:date="2025-05-09T10:33:00Z">
              <w:r w:rsidRPr="00295E71">
                <w:rPr>
                  <w:lang w:val="it-IT"/>
                </w:rPr>
                <w:delText>piressia</w:delText>
              </w:r>
            </w:del>
            <w:del w:id="7730" w:author="AbbVie14" w:date="2025-05-09T10:33:00Z">
              <w:r w:rsidRPr="00C04163">
                <w:rPr>
                  <w:lang w:val="it-IT"/>
                </w:rPr>
                <w:delText>1)</w:delText>
              </w:r>
            </w:del>
          </w:p>
          <w:p w:rsidR="00C04163" w:rsidRPr="00295E71" w:rsidP="00C04163" w14:paraId="70F52414" w14:textId="77777777">
            <w:pPr>
              <w:pStyle w:val="EMEANormal"/>
              <w:keepNext/>
              <w:keepLines/>
              <w:widowControl w:val="0"/>
              <w:spacing w:before="60"/>
              <w:rPr>
                <w:del w:id="7731" w:author="AbbVie14" w:date="2025-05-09T10:33:00Z"/>
                <w:lang w:val="it-IT"/>
              </w:rPr>
            </w:pPr>
          </w:p>
        </w:tc>
      </w:tr>
      <w:tr w14:paraId="4CA0A425" w14:textId="77777777" w:rsidTr="00C04163">
        <w:tblPrEx>
          <w:tblW w:w="0" w:type="auto"/>
          <w:tblLook w:val="01E0"/>
        </w:tblPrEx>
        <w:trPr>
          <w:cantSplit/>
          <w:del w:id="7732" w:author="AbbVie14" w:date="2025-05-09T10:33:00Z"/>
        </w:trPr>
        <w:tc>
          <w:tcPr>
            <w:tcW w:w="2559" w:type="dxa"/>
            <w:vMerge/>
          </w:tcPr>
          <w:p w:rsidR="00C04163" w:rsidRPr="00295E71" w:rsidP="00035AC5" w14:paraId="56AAC1CA" w14:textId="77777777">
            <w:pPr>
              <w:widowControl w:val="0"/>
              <w:spacing w:before="60"/>
              <w:jc w:val="center"/>
              <w:rPr>
                <w:del w:id="7733" w:author="AbbVie14" w:date="2025-05-09T10:33:00Z"/>
                <w:b/>
                <w:sz w:val="22"/>
                <w:szCs w:val="22"/>
              </w:rPr>
            </w:pPr>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6FD94955" w14:textId="77777777">
            <w:pPr>
              <w:pStyle w:val="EMEANormal"/>
              <w:keepNext/>
              <w:keepLines/>
              <w:widowControl w:val="0"/>
              <w:spacing w:before="60"/>
              <w:rPr>
                <w:del w:id="7734" w:author="AbbVie14" w:date="2025-05-09T10:33:00Z"/>
                <w:lang w:val="it-IT"/>
              </w:rPr>
            </w:pPr>
            <w:del w:id="7735" w:author="AbbVie14" w:date="2025-05-09T10:33:00Z">
              <w:r w:rsidRPr="00295E71">
                <w:rPr>
                  <w:lang w:val="it-IT"/>
                </w:rPr>
                <w:delText>Non comune</w:delText>
              </w:r>
            </w:del>
          </w:p>
          <w:p w:rsidR="00C04163" w:rsidRPr="00295E71" w:rsidP="00C04163" w14:paraId="7DDF31BE" w14:textId="77777777">
            <w:pPr>
              <w:pStyle w:val="EMEANormal"/>
              <w:keepNext/>
              <w:keepLines/>
              <w:widowControl w:val="0"/>
              <w:spacing w:before="60"/>
              <w:rPr>
                <w:del w:id="7736" w:author="AbbVie14" w:date="2025-05-09T10:33:00Z"/>
                <w:lang w:val="it-IT"/>
              </w:rPr>
            </w:pPr>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76844D91" w14:textId="77777777">
            <w:pPr>
              <w:pStyle w:val="EMEANormal"/>
              <w:keepNext/>
              <w:keepLines/>
              <w:widowControl w:val="0"/>
              <w:spacing w:before="60"/>
              <w:rPr>
                <w:del w:id="7737" w:author="AbbVie14" w:date="2025-05-09T10:33:00Z"/>
                <w:lang w:val="it-IT"/>
              </w:rPr>
            </w:pPr>
            <w:del w:id="7738" w:author="AbbVie14" w:date="2025-05-09T10:33:00Z">
              <w:r w:rsidRPr="00295E71">
                <w:rPr>
                  <w:lang w:val="it-IT"/>
                </w:rPr>
                <w:delText>Infiammazione</w:delText>
              </w:r>
            </w:del>
          </w:p>
        </w:tc>
      </w:tr>
      <w:tr w14:paraId="6FE2551A" w14:textId="77777777" w:rsidTr="00C04163">
        <w:tblPrEx>
          <w:tblW w:w="0" w:type="auto"/>
          <w:tblLook w:val="01E0"/>
        </w:tblPrEx>
        <w:trPr>
          <w:cantSplit/>
          <w:del w:id="7739" w:author="AbbVie14" w:date="2025-05-09T10:33:00Z"/>
        </w:trPr>
        <w:tc>
          <w:tcPr>
            <w:tcW w:w="2559" w:type="dxa"/>
          </w:tcPr>
          <w:p w:rsidR="00C04163" w:rsidRPr="00295E71" w:rsidP="00035AC5" w14:paraId="49C5EBA5" w14:textId="77777777">
            <w:pPr>
              <w:pStyle w:val="IndexHeading"/>
              <w:widowControl w:val="0"/>
              <w:tabs>
                <w:tab w:val="clear" w:pos="567"/>
              </w:tabs>
              <w:spacing w:before="120" w:after="120" w:line="240" w:lineRule="auto"/>
              <w:jc w:val="center"/>
              <w:rPr>
                <w:del w:id="7740" w:author="AbbVie14" w:date="2025-05-09T10:33:00Z"/>
                <w:rFonts w:ascii="Times New Roman" w:hAnsi="Times New Roman" w:cs="Times New Roman"/>
                <w:lang w:val="it-IT" w:eastAsia="it-IT"/>
              </w:rPr>
            </w:pPr>
            <w:del w:id="7741" w:author="AbbVie14" w:date="2025-05-09T10:33:00Z">
              <w:r w:rsidRPr="00295E71">
                <w:rPr>
                  <w:rFonts w:ascii="Times New Roman" w:hAnsi="Times New Roman" w:cs="Times New Roman"/>
                  <w:lang w:val="it-IT" w:eastAsia="it-IT"/>
                </w:rPr>
                <w:delText>Classificazione per sistemi e organi</w:delText>
              </w:r>
            </w:del>
          </w:p>
        </w:tc>
        <w:tc>
          <w:tcPr>
            <w:tcW w:w="2038" w:type="dxa"/>
            <w:tcBorders>
              <w:top w:val="single" w:sz="4" w:space="0" w:color="auto"/>
              <w:left w:val="single" w:sz="4" w:space="0" w:color="auto"/>
              <w:bottom w:val="single" w:sz="4" w:space="0" w:color="auto"/>
              <w:right w:val="single" w:sz="4" w:space="0" w:color="auto"/>
            </w:tcBorders>
          </w:tcPr>
          <w:p w:rsidR="00C04163" w:rsidRPr="00C04163" w:rsidP="00C04163" w14:paraId="48EDE85D" w14:textId="77777777">
            <w:pPr>
              <w:pStyle w:val="EMEANormal"/>
              <w:keepNext/>
              <w:keepLines/>
              <w:spacing w:before="60"/>
              <w:rPr>
                <w:del w:id="7742" w:author="AbbVie14" w:date="2025-05-09T10:33:00Z"/>
                <w:lang w:val="it-IT"/>
              </w:rPr>
            </w:pPr>
            <w:del w:id="7743" w:author="AbbVie14" w:date="2025-05-09T10:33:00Z">
              <w:r w:rsidRPr="00295E71">
                <w:rPr>
                  <w:lang w:val="it-IT"/>
                </w:rPr>
                <w:delText>Frequenza</w:delText>
              </w:r>
            </w:del>
          </w:p>
        </w:tc>
        <w:tc>
          <w:tcPr>
            <w:tcW w:w="4463" w:type="dxa"/>
            <w:tcBorders>
              <w:top w:val="single" w:sz="4" w:space="0" w:color="auto"/>
              <w:left w:val="single" w:sz="4" w:space="0" w:color="auto"/>
              <w:bottom w:val="single" w:sz="4" w:space="0" w:color="auto"/>
              <w:right w:val="single" w:sz="4" w:space="0" w:color="auto"/>
            </w:tcBorders>
          </w:tcPr>
          <w:p w:rsidR="00C04163" w:rsidRPr="00C04163" w:rsidP="00C04163" w14:paraId="69F8264D" w14:textId="77777777">
            <w:pPr>
              <w:pStyle w:val="EMEANormal"/>
              <w:keepNext/>
              <w:keepLines/>
              <w:spacing w:before="60"/>
              <w:rPr>
                <w:del w:id="7744" w:author="AbbVie14" w:date="2025-05-09T10:33:00Z"/>
                <w:lang w:val="it-IT"/>
              </w:rPr>
            </w:pPr>
            <w:del w:id="7745" w:author="AbbVie14" w:date="2025-05-09T10:33:00Z">
              <w:r w:rsidRPr="00295E71">
                <w:rPr>
                  <w:lang w:val="it-IT"/>
                </w:rPr>
                <w:delText>Reazione avversa</w:delText>
              </w:r>
            </w:del>
          </w:p>
        </w:tc>
      </w:tr>
      <w:tr w14:paraId="6F1ADD3B" w14:textId="77777777" w:rsidTr="00C04163">
        <w:tblPrEx>
          <w:tblW w:w="0" w:type="auto"/>
          <w:tblLook w:val="01E0"/>
        </w:tblPrEx>
        <w:trPr>
          <w:cantSplit/>
          <w:del w:id="7746" w:author="AbbVie14" w:date="2025-05-09T10:33:00Z"/>
        </w:trPr>
        <w:tc>
          <w:tcPr>
            <w:tcW w:w="2559" w:type="dxa"/>
            <w:vMerge w:val="restart"/>
          </w:tcPr>
          <w:p w:rsidR="003118FF" w:rsidRPr="00295E71" w:rsidP="00035AC5" w14:paraId="58E7AD52" w14:textId="77777777">
            <w:pPr>
              <w:pStyle w:val="EMEANormal"/>
              <w:widowControl w:val="0"/>
              <w:spacing w:before="60"/>
              <w:rPr>
                <w:del w:id="7747" w:author="AbbVie14" w:date="2025-05-09T10:33:00Z"/>
                <w:lang w:val="it-IT"/>
              </w:rPr>
            </w:pPr>
            <w:del w:id="7748" w:author="AbbVie14" w:date="2025-05-09T10:33:00Z">
              <w:r w:rsidRPr="00295E71">
                <w:rPr>
                  <w:lang w:val="it-IT"/>
                </w:rPr>
                <w:delText>Esami diagnostici*</w:delText>
              </w:r>
            </w:del>
          </w:p>
        </w:tc>
        <w:tc>
          <w:tcPr>
            <w:tcW w:w="2038" w:type="dxa"/>
            <w:tcBorders>
              <w:top w:val="single" w:sz="4" w:space="0" w:color="auto"/>
              <w:left w:val="single" w:sz="4" w:space="0" w:color="auto"/>
              <w:bottom w:val="single" w:sz="4" w:space="0" w:color="auto"/>
              <w:right w:val="single" w:sz="4" w:space="0" w:color="auto"/>
            </w:tcBorders>
          </w:tcPr>
          <w:p w:rsidR="003118FF" w:rsidRPr="00295E71" w:rsidP="00C04163" w14:paraId="4AF10BC3" w14:textId="77777777">
            <w:pPr>
              <w:pStyle w:val="EMEANormal"/>
              <w:keepNext/>
              <w:keepLines/>
              <w:widowControl w:val="0"/>
              <w:spacing w:before="60"/>
              <w:rPr>
                <w:del w:id="7749" w:author="AbbVie14" w:date="2025-05-09T10:33:00Z"/>
                <w:lang w:val="it-IT"/>
              </w:rPr>
            </w:pPr>
            <w:del w:id="7750" w:author="AbbVie14" w:date="2025-05-09T10:33:00Z">
              <w:r w:rsidRPr="00295E71">
                <w:rPr>
                  <w:lang w:val="it-IT"/>
                </w:rPr>
                <w:delText>Comune</w:delText>
              </w:r>
            </w:del>
          </w:p>
        </w:tc>
        <w:tc>
          <w:tcPr>
            <w:tcW w:w="4463" w:type="dxa"/>
            <w:tcBorders>
              <w:top w:val="single" w:sz="4" w:space="0" w:color="auto"/>
              <w:left w:val="single" w:sz="4" w:space="0" w:color="auto"/>
              <w:bottom w:val="single" w:sz="4" w:space="0" w:color="auto"/>
              <w:right w:val="single" w:sz="4" w:space="0" w:color="auto"/>
            </w:tcBorders>
          </w:tcPr>
          <w:p w:rsidR="003118FF" w:rsidRPr="00295E71" w:rsidP="00C04163" w14:paraId="1C5D240A" w14:textId="77777777">
            <w:pPr>
              <w:pStyle w:val="EMEANormal"/>
              <w:keepNext/>
              <w:keepLines/>
              <w:widowControl w:val="0"/>
              <w:spacing w:before="60"/>
              <w:rPr>
                <w:del w:id="7751" w:author="AbbVie14" w:date="2025-05-09T10:33:00Z"/>
                <w:lang w:val="it-IT"/>
              </w:rPr>
            </w:pPr>
            <w:del w:id="7752" w:author="AbbVie14" w:date="2025-05-09T10:33:00Z">
              <w:r w:rsidRPr="00295E71">
                <w:rPr>
                  <w:lang w:val="it-IT"/>
                </w:rPr>
                <w:delText xml:space="preserve">Disturbi della coagulazione </w:delText>
              </w:r>
            </w:del>
            <w:del w:id="7753" w:author="AbbVie14" w:date="2025-05-09T10:33:00Z">
              <w:r>
                <w:rPr>
                  <w:lang w:val="it-IT"/>
                </w:rPr>
                <w:delText xml:space="preserve">e disturbi emorragici </w:delText>
              </w:r>
            </w:del>
            <w:del w:id="7754" w:author="AbbVie14" w:date="2025-05-09T10:33:00Z">
              <w:r w:rsidRPr="00295E71">
                <w:rPr>
                  <w:lang w:val="it-IT"/>
                </w:rPr>
                <w:delText xml:space="preserve">(tra cui prolungamento del tempo di tromboplastina parziale attivata), </w:delText>
              </w:r>
            </w:del>
          </w:p>
          <w:p w:rsidR="003118FF" w:rsidRPr="00295E71" w:rsidP="00C04163" w14:paraId="3C3C5233" w14:textId="77777777">
            <w:pPr>
              <w:pStyle w:val="EMEANormal"/>
              <w:keepNext/>
              <w:keepLines/>
              <w:widowControl w:val="0"/>
              <w:spacing w:before="60"/>
              <w:rPr>
                <w:del w:id="7755" w:author="AbbVie14" w:date="2025-05-09T10:33:00Z"/>
                <w:lang w:val="it-IT"/>
              </w:rPr>
            </w:pPr>
            <w:del w:id="7756" w:author="AbbVie14" w:date="2025-05-09T10:33:00Z">
              <w:r w:rsidRPr="00295E71">
                <w:rPr>
                  <w:lang w:val="it-IT"/>
                </w:rPr>
                <w:delText>positività ai test per autoanticorpi (tra cui anticorpi anti</w:delText>
              </w:r>
            </w:del>
            <w:del w:id="7757" w:author="AbbVie14" w:date="2025-05-09T10:33:00Z">
              <w:r>
                <w:rPr>
                  <w:lang w:val="it-IT"/>
                </w:rPr>
                <w:delText>-</w:delText>
              </w:r>
            </w:del>
            <w:del w:id="7758" w:author="AbbVie14" w:date="2025-05-09T10:33:00Z">
              <w:r w:rsidRPr="00295E71">
                <w:rPr>
                  <w:lang w:val="it-IT"/>
                </w:rPr>
                <w:delText xml:space="preserve">DNA a doppia catena), </w:delText>
              </w:r>
            </w:del>
          </w:p>
          <w:p w:rsidR="003118FF" w:rsidRPr="00295E71" w:rsidP="00C04163" w14:paraId="712A3BB3" w14:textId="77777777">
            <w:pPr>
              <w:pStyle w:val="EMEANormal"/>
              <w:keepNext/>
              <w:keepLines/>
              <w:widowControl w:val="0"/>
              <w:spacing w:before="60"/>
              <w:rPr>
                <w:del w:id="7759" w:author="AbbVie14" w:date="2025-05-09T10:33:00Z"/>
                <w:lang w:val="it-IT"/>
              </w:rPr>
            </w:pPr>
            <w:del w:id="7760" w:author="AbbVie14" w:date="2025-05-09T10:33:00Z">
              <w:r w:rsidRPr="00295E71">
                <w:rPr>
                  <w:lang w:val="it-IT"/>
                </w:rPr>
                <w:delText>aumento della lattato deidrogenasi ematica</w:delText>
              </w:r>
            </w:del>
          </w:p>
          <w:p w:rsidR="003118FF" w:rsidRPr="00295E71" w:rsidP="00C04163" w14:paraId="7C4145AC" w14:textId="77777777">
            <w:pPr>
              <w:pStyle w:val="EMEANormal"/>
              <w:keepNext/>
              <w:keepLines/>
              <w:widowControl w:val="0"/>
              <w:spacing w:before="60"/>
              <w:rPr>
                <w:del w:id="7761" w:author="AbbVie14" w:date="2025-05-09T10:33:00Z"/>
                <w:lang w:val="it-IT"/>
              </w:rPr>
            </w:pPr>
          </w:p>
        </w:tc>
      </w:tr>
      <w:tr w14:paraId="4C1A10A8" w14:textId="77777777" w:rsidTr="00C04163">
        <w:tblPrEx>
          <w:tblW w:w="0" w:type="auto"/>
          <w:tblLook w:val="01E0"/>
        </w:tblPrEx>
        <w:trPr>
          <w:cantSplit/>
          <w:del w:id="7762" w:author="AbbVie14" w:date="2025-05-09T10:33:00Z"/>
        </w:trPr>
        <w:tc>
          <w:tcPr>
            <w:tcW w:w="2559" w:type="dxa"/>
            <w:vMerge/>
          </w:tcPr>
          <w:p w:rsidR="003118FF" w:rsidRPr="00295E71" w:rsidP="00035AC5" w14:paraId="74A6031C" w14:textId="77777777">
            <w:pPr>
              <w:pStyle w:val="EMEANormal"/>
              <w:widowControl w:val="0"/>
              <w:spacing w:before="60"/>
              <w:rPr>
                <w:del w:id="7763" w:author="AbbVie14" w:date="2025-05-09T10:33:00Z"/>
                <w:lang w:val="it-IT"/>
              </w:rPr>
            </w:pPr>
          </w:p>
        </w:tc>
        <w:tc>
          <w:tcPr>
            <w:tcW w:w="2038" w:type="dxa"/>
            <w:tcBorders>
              <w:top w:val="single" w:sz="4" w:space="0" w:color="auto"/>
              <w:left w:val="single" w:sz="4" w:space="0" w:color="auto"/>
              <w:bottom w:val="single" w:sz="4" w:space="0" w:color="auto"/>
              <w:right w:val="single" w:sz="4" w:space="0" w:color="auto"/>
            </w:tcBorders>
          </w:tcPr>
          <w:p w:rsidR="003118FF" w:rsidRPr="00295E71" w:rsidP="00C04163" w14:paraId="1FD251EB" w14:textId="77777777">
            <w:pPr>
              <w:pStyle w:val="EMEANormal"/>
              <w:keepNext/>
              <w:keepLines/>
              <w:widowControl w:val="0"/>
              <w:spacing w:before="60"/>
              <w:rPr>
                <w:del w:id="7764" w:author="AbbVie14" w:date="2025-05-09T10:33:00Z"/>
                <w:lang w:val="it-IT"/>
              </w:rPr>
            </w:pPr>
            <w:del w:id="7765" w:author="AbbVie14" w:date="2025-05-09T10:33:00Z">
              <w:r>
                <w:rPr>
                  <w:lang w:val="it-IT"/>
                </w:rPr>
                <w:delText>Non nota</w:delText>
              </w:r>
            </w:del>
          </w:p>
        </w:tc>
        <w:tc>
          <w:tcPr>
            <w:tcW w:w="4463" w:type="dxa"/>
            <w:tcBorders>
              <w:top w:val="single" w:sz="4" w:space="0" w:color="auto"/>
              <w:left w:val="single" w:sz="4" w:space="0" w:color="auto"/>
              <w:bottom w:val="single" w:sz="4" w:space="0" w:color="auto"/>
              <w:right w:val="single" w:sz="4" w:space="0" w:color="auto"/>
            </w:tcBorders>
          </w:tcPr>
          <w:p w:rsidR="003118FF" w:rsidRPr="00FD1D51" w:rsidP="00C04163" w14:paraId="629D6AE0" w14:textId="77777777">
            <w:pPr>
              <w:pStyle w:val="EMEANormal"/>
              <w:keepNext/>
              <w:keepLines/>
              <w:widowControl w:val="0"/>
              <w:spacing w:before="60"/>
              <w:rPr>
                <w:del w:id="7766" w:author="AbbVie14" w:date="2025-05-09T10:33:00Z"/>
                <w:vertAlign w:val="superscript"/>
                <w:lang w:val="it-IT"/>
              </w:rPr>
            </w:pPr>
            <w:del w:id="7767" w:author="AbbVie14" w:date="2025-05-09T10:33:00Z">
              <w:r>
                <w:rPr>
                  <w:lang w:val="it-IT"/>
                </w:rPr>
                <w:delText>Aumento di peso</w:delText>
              </w:r>
            </w:del>
            <w:del w:id="7768" w:author="AbbVie14" w:date="2025-05-09T10:33:00Z">
              <w:r>
                <w:rPr>
                  <w:vertAlign w:val="superscript"/>
                  <w:lang w:val="it-IT"/>
                </w:rPr>
                <w:delText>2)</w:delText>
              </w:r>
            </w:del>
          </w:p>
        </w:tc>
      </w:tr>
      <w:tr w14:paraId="52E493AB" w14:textId="77777777" w:rsidTr="00C04163">
        <w:tblPrEx>
          <w:tblW w:w="0" w:type="auto"/>
          <w:tblLook w:val="01E0"/>
        </w:tblPrEx>
        <w:trPr>
          <w:cantSplit/>
          <w:del w:id="7769" w:author="AbbVie14" w:date="2025-05-09T10:33:00Z"/>
        </w:trPr>
        <w:tc>
          <w:tcPr>
            <w:tcW w:w="2559" w:type="dxa"/>
          </w:tcPr>
          <w:p w:rsidR="00C04163" w:rsidRPr="00295E71" w:rsidP="00035AC5" w14:paraId="1EFDCB7C" w14:textId="77777777">
            <w:pPr>
              <w:pStyle w:val="EMEANormal"/>
              <w:widowControl w:val="0"/>
              <w:spacing w:before="60"/>
              <w:rPr>
                <w:del w:id="7770" w:author="AbbVie14" w:date="2025-05-09T10:33:00Z"/>
                <w:lang w:val="it-IT"/>
              </w:rPr>
            </w:pPr>
            <w:del w:id="7771" w:author="AbbVie14" w:date="2025-05-09T10:33:00Z">
              <w:r w:rsidRPr="00295E71">
                <w:rPr>
                  <w:lang w:val="it-IT"/>
                </w:rPr>
                <w:delText>Traumatismo, avvelenamento e complicazioni da procedura</w:delText>
              </w:r>
            </w:del>
          </w:p>
        </w:tc>
        <w:tc>
          <w:tcPr>
            <w:tcW w:w="2038" w:type="dxa"/>
            <w:tcBorders>
              <w:top w:val="single" w:sz="4" w:space="0" w:color="auto"/>
              <w:left w:val="single" w:sz="4" w:space="0" w:color="auto"/>
              <w:bottom w:val="single" w:sz="4" w:space="0" w:color="auto"/>
              <w:right w:val="single" w:sz="4" w:space="0" w:color="auto"/>
            </w:tcBorders>
          </w:tcPr>
          <w:p w:rsidR="00C04163" w:rsidRPr="00295E71" w:rsidP="00C04163" w14:paraId="09740E58" w14:textId="77777777">
            <w:pPr>
              <w:pStyle w:val="EMEANormal"/>
              <w:keepNext/>
              <w:keepLines/>
              <w:widowControl w:val="0"/>
              <w:spacing w:before="60"/>
              <w:rPr>
                <w:del w:id="7772" w:author="AbbVie14" w:date="2025-05-09T10:33:00Z"/>
                <w:lang w:val="it-IT"/>
              </w:rPr>
            </w:pPr>
            <w:del w:id="7773" w:author="AbbVie14" w:date="2025-05-09T10:33:00Z">
              <w:r w:rsidRPr="00295E71">
                <w:rPr>
                  <w:lang w:val="it-IT"/>
                </w:rPr>
                <w:delText>Comune</w:delText>
              </w:r>
            </w:del>
          </w:p>
        </w:tc>
        <w:tc>
          <w:tcPr>
            <w:tcW w:w="4463" w:type="dxa"/>
            <w:tcBorders>
              <w:top w:val="single" w:sz="4" w:space="0" w:color="auto"/>
              <w:left w:val="single" w:sz="4" w:space="0" w:color="auto"/>
              <w:bottom w:val="single" w:sz="4" w:space="0" w:color="auto"/>
              <w:right w:val="single" w:sz="4" w:space="0" w:color="auto"/>
            </w:tcBorders>
          </w:tcPr>
          <w:p w:rsidR="00C04163" w:rsidRPr="00295E71" w:rsidP="00C04163" w14:paraId="44570595" w14:textId="77777777">
            <w:pPr>
              <w:pStyle w:val="EMEANormal"/>
              <w:keepNext/>
              <w:keepLines/>
              <w:widowControl w:val="0"/>
              <w:spacing w:before="60"/>
              <w:rPr>
                <w:del w:id="7774" w:author="AbbVie14" w:date="2025-05-09T10:33:00Z"/>
                <w:lang w:val="it-IT"/>
              </w:rPr>
            </w:pPr>
            <w:del w:id="7775" w:author="AbbVie14" w:date="2025-05-09T10:33:00Z">
              <w:r w:rsidRPr="00295E71">
                <w:rPr>
                  <w:lang w:val="it-IT"/>
                </w:rPr>
                <w:delText>Difficoltà di cicatrizzazione</w:delText>
              </w:r>
            </w:del>
          </w:p>
          <w:p w:rsidR="00C04163" w:rsidRPr="00295E71" w:rsidP="00C04163" w14:paraId="597E0722" w14:textId="77777777">
            <w:pPr>
              <w:pStyle w:val="EMEANormal"/>
              <w:keepNext/>
              <w:keepLines/>
              <w:widowControl w:val="0"/>
              <w:spacing w:before="60"/>
              <w:rPr>
                <w:del w:id="7776" w:author="AbbVie14" w:date="2025-05-09T10:33:00Z"/>
                <w:lang w:val="it-IT"/>
              </w:rPr>
            </w:pPr>
          </w:p>
        </w:tc>
      </w:tr>
    </w:tbl>
    <w:p w:rsidR="006224C2" w:rsidRPr="00295E71" w14:paraId="2601EBAD" w14:textId="77777777">
      <w:pPr>
        <w:tabs>
          <w:tab w:val="left" w:pos="567"/>
        </w:tabs>
        <w:autoSpaceDE w:val="0"/>
        <w:autoSpaceDN w:val="0"/>
        <w:adjustRightInd w:val="0"/>
        <w:jc w:val="both"/>
        <w:rPr>
          <w:del w:id="7777" w:author="AbbVie14" w:date="2025-05-09T10:33:00Z"/>
          <w:color w:val="000000"/>
          <w:sz w:val="22"/>
          <w:szCs w:val="22"/>
        </w:rPr>
      </w:pPr>
      <w:del w:id="7778" w:author="AbbVie14" w:date="2025-05-09T10:33:00Z">
        <w:r w:rsidRPr="00295E71">
          <w:rPr>
            <w:color w:val="000000"/>
            <w:sz w:val="22"/>
            <w:szCs w:val="22"/>
          </w:rPr>
          <w:delText>* sono presenti ulteriori informazioni contenute nei paragrafi 4.3, 4.4 e 4.8</w:delText>
        </w:r>
      </w:del>
    </w:p>
    <w:p w:rsidR="006224C2" w:rsidRPr="00295E71" w14:paraId="32BB1C8C" w14:textId="77777777">
      <w:pPr>
        <w:tabs>
          <w:tab w:val="left" w:pos="567"/>
        </w:tabs>
        <w:autoSpaceDE w:val="0"/>
        <w:autoSpaceDN w:val="0"/>
        <w:adjustRightInd w:val="0"/>
        <w:jc w:val="both"/>
        <w:rPr>
          <w:del w:id="7779" w:author="AbbVie14" w:date="2025-05-09T10:33:00Z"/>
          <w:color w:val="000000"/>
          <w:sz w:val="22"/>
          <w:szCs w:val="22"/>
        </w:rPr>
      </w:pPr>
      <w:del w:id="7780" w:author="AbbVie14" w:date="2025-05-09T10:33:00Z">
        <w:r w:rsidRPr="00295E71">
          <w:rPr>
            <w:color w:val="000000"/>
            <w:sz w:val="22"/>
            <w:szCs w:val="22"/>
          </w:rPr>
          <w:delText>** tra cui studi di estensione in aperto</w:delText>
        </w:r>
      </w:del>
    </w:p>
    <w:p w:rsidR="006224C2" w:rsidRPr="007A3ADA" w:rsidP="003B3A5A" w14:paraId="4F42F263" w14:textId="77777777">
      <w:pPr>
        <w:pStyle w:val="ListParagraph"/>
        <w:numPr>
          <w:ilvl w:val="0"/>
          <w:numId w:val="163"/>
        </w:numPr>
        <w:tabs>
          <w:tab w:val="left" w:pos="567"/>
        </w:tabs>
        <w:autoSpaceDE w:val="0"/>
        <w:autoSpaceDN w:val="0"/>
        <w:adjustRightInd w:val="0"/>
        <w:jc w:val="both"/>
        <w:rPr>
          <w:del w:id="7781" w:author="AbbVie14" w:date="2025-05-09T10:33:00Z"/>
          <w:color w:val="000000"/>
          <w:sz w:val="22"/>
          <w:szCs w:val="22"/>
        </w:rPr>
      </w:pPr>
      <w:del w:id="7782" w:author="AbbVie14" w:date="2025-05-09T10:33:00Z">
        <w:r w:rsidRPr="007A3ADA">
          <w:rPr>
            <w:color w:val="000000"/>
            <w:sz w:val="22"/>
            <w:szCs w:val="22"/>
          </w:rPr>
          <w:delText>tra cui dati provenienti da segnalazioni spontanee</w:delText>
        </w:r>
      </w:del>
    </w:p>
    <w:p w:rsidR="00822954" w:rsidRPr="0087691F" w:rsidP="007A3ADA" w14:paraId="56599D66" w14:textId="77777777">
      <w:pPr>
        <w:pStyle w:val="EMEANormal"/>
        <w:widowControl w:val="0"/>
        <w:numPr>
          <w:ilvl w:val="0"/>
          <w:numId w:val="163"/>
        </w:numPr>
        <w:rPr>
          <w:del w:id="7783" w:author="AbbVie14" w:date="2025-05-09T10:33:00Z"/>
          <w:lang w:val="it-IT"/>
        </w:rPr>
      </w:pPr>
      <w:del w:id="7784" w:author="AbbVie14" w:date="2025-05-09T10:33:00Z">
        <w:r w:rsidRPr="0025081D">
          <w:rPr>
            <w:lang w:val="it-IT"/>
          </w:rPr>
          <w:delText>La variazione ponderale media rispetto al basale per adalimumab era compresa tra 0,3 kg e 1,0 kg per le indicazioni per adulti rispetto a (meno) - 0,4 kg e 0,4 kg per il placebo nell’arco di un periodo di trattamento di 4-6 mesi. È stato osservato anche un aumento di peso di 5-6 kg in studi di estensione a lungo termine con esposizioni medie di circa 1-2 anni in assenza di un gruppo di controllo, in particolare nei pazienti affetti da morbo di Crohn e colite ulcerosa. Il meccanismo alla base di questo effetto non è chiaro, ma potrebbe essere associato all’effetto antinfiammatorio di adalimumab.</w:delText>
        </w:r>
      </w:del>
    </w:p>
    <w:p w:rsidR="006224C2" w:rsidRPr="00295E71" w14:paraId="46F83F4D" w14:textId="77777777">
      <w:pPr>
        <w:tabs>
          <w:tab w:val="left" w:pos="567"/>
        </w:tabs>
        <w:autoSpaceDE w:val="0"/>
        <w:autoSpaceDN w:val="0"/>
        <w:adjustRightInd w:val="0"/>
        <w:rPr>
          <w:del w:id="7785" w:author="AbbVie14" w:date="2025-05-09T10:33:00Z"/>
          <w:color w:val="000000"/>
          <w:sz w:val="22"/>
          <w:szCs w:val="22"/>
          <w:u w:val="single"/>
        </w:rPr>
      </w:pPr>
    </w:p>
    <w:p w:rsidR="006224C2" w:rsidRPr="00295E71" w14:paraId="3CA1405E" w14:textId="77777777">
      <w:pPr>
        <w:tabs>
          <w:tab w:val="left" w:pos="567"/>
        </w:tabs>
        <w:autoSpaceDE w:val="0"/>
        <w:autoSpaceDN w:val="0"/>
        <w:adjustRightInd w:val="0"/>
        <w:jc w:val="both"/>
        <w:rPr>
          <w:del w:id="7786" w:author="AbbVie14" w:date="2025-05-09T10:33:00Z"/>
          <w:color w:val="000000"/>
          <w:sz w:val="22"/>
          <w:szCs w:val="22"/>
          <w:u w:val="single"/>
        </w:rPr>
      </w:pPr>
      <w:del w:id="7787" w:author="AbbVie14" w:date="2025-05-09T10:33:00Z">
        <w:r w:rsidRPr="00295E71">
          <w:rPr>
            <w:color w:val="000000"/>
            <w:sz w:val="22"/>
            <w:szCs w:val="22"/>
            <w:u w:val="single"/>
          </w:rPr>
          <w:delText>Idrosadenite Suppurativa</w:delText>
        </w:r>
      </w:del>
    </w:p>
    <w:p w:rsidR="006224C2" w:rsidRPr="00295E71" w14:paraId="112F365C" w14:textId="77777777">
      <w:pPr>
        <w:tabs>
          <w:tab w:val="left" w:pos="567"/>
        </w:tabs>
        <w:autoSpaceDE w:val="0"/>
        <w:autoSpaceDN w:val="0"/>
        <w:adjustRightInd w:val="0"/>
        <w:jc w:val="both"/>
        <w:rPr>
          <w:del w:id="7788" w:author="AbbVie14" w:date="2025-05-09T10:33:00Z"/>
          <w:color w:val="000000"/>
          <w:sz w:val="22"/>
          <w:szCs w:val="22"/>
        </w:rPr>
      </w:pPr>
    </w:p>
    <w:p w:rsidR="006224C2" w:rsidRPr="00295E71" w14:paraId="5B452397" w14:textId="77777777">
      <w:pPr>
        <w:tabs>
          <w:tab w:val="left" w:pos="567"/>
        </w:tabs>
        <w:autoSpaceDE w:val="0"/>
        <w:autoSpaceDN w:val="0"/>
        <w:adjustRightInd w:val="0"/>
        <w:jc w:val="both"/>
        <w:rPr>
          <w:del w:id="7789" w:author="AbbVie14" w:date="2025-05-09T10:33:00Z"/>
          <w:color w:val="000000"/>
          <w:sz w:val="22"/>
          <w:szCs w:val="22"/>
        </w:rPr>
      </w:pPr>
      <w:del w:id="7790" w:author="AbbVie14" w:date="2025-05-09T10:33:00Z">
        <w:r w:rsidRPr="00295E71">
          <w:rPr>
            <w:color w:val="000000"/>
            <w:sz w:val="22"/>
            <w:szCs w:val="22"/>
          </w:rPr>
          <w:delText xml:space="preserve">Il profilo di sicurezza di Humira utilizzato ogni settimana nei pazienti con Idrosadenite Suppurativa (HS) è </w:delText>
        </w:r>
      </w:del>
      <w:del w:id="7791" w:author="AbbVie14" w:date="2025-05-09T10:33:00Z">
        <w:r w:rsidRPr="00020442" w:rsidR="00D96F2B">
          <w:rPr>
            <w:color w:val="000000"/>
            <w:sz w:val="22"/>
            <w:szCs w:val="22"/>
          </w:rPr>
          <w:delText>stato coerente con il</w:delText>
        </w:r>
      </w:del>
      <w:del w:id="7792" w:author="AbbVie14" w:date="2025-05-09T10:33:00Z">
        <w:r w:rsidRPr="00295E71">
          <w:rPr>
            <w:color w:val="000000"/>
            <w:sz w:val="22"/>
            <w:szCs w:val="22"/>
          </w:rPr>
          <w:delText xml:space="preserve"> profilo di sicurezza noto di Humira.</w:delText>
        </w:r>
      </w:del>
    </w:p>
    <w:p w:rsidR="006224C2" w:rsidRPr="00295E71" w14:paraId="06732C3B" w14:textId="77777777">
      <w:pPr>
        <w:tabs>
          <w:tab w:val="left" w:pos="567"/>
        </w:tabs>
        <w:autoSpaceDE w:val="0"/>
        <w:autoSpaceDN w:val="0"/>
        <w:adjustRightInd w:val="0"/>
        <w:jc w:val="both"/>
        <w:rPr>
          <w:del w:id="7793" w:author="AbbVie14" w:date="2025-05-09T10:33:00Z"/>
          <w:color w:val="000000"/>
          <w:sz w:val="22"/>
          <w:szCs w:val="22"/>
        </w:rPr>
      </w:pPr>
    </w:p>
    <w:p w:rsidR="006224C2" w:rsidRPr="00295E71" w14:paraId="0B7474C8" w14:textId="77777777">
      <w:pPr>
        <w:keepNext/>
        <w:rPr>
          <w:del w:id="7794" w:author="AbbVie14" w:date="2025-05-09T10:33:00Z"/>
          <w:color w:val="000000"/>
          <w:sz w:val="22"/>
          <w:szCs w:val="22"/>
          <w:u w:val="single"/>
        </w:rPr>
      </w:pPr>
      <w:del w:id="7795" w:author="AbbVie14" w:date="2025-05-09T10:33:00Z">
        <w:r w:rsidRPr="00295E71">
          <w:rPr>
            <w:color w:val="000000"/>
            <w:sz w:val="22"/>
            <w:szCs w:val="22"/>
            <w:u w:val="single"/>
          </w:rPr>
          <w:delText>Uveite</w:delText>
        </w:r>
      </w:del>
    </w:p>
    <w:p w:rsidR="006224C2" w:rsidRPr="00295E71" w14:paraId="0DB0C99E" w14:textId="77777777">
      <w:pPr>
        <w:keepNext/>
        <w:tabs>
          <w:tab w:val="left" w:pos="567"/>
        </w:tabs>
        <w:autoSpaceDE w:val="0"/>
        <w:autoSpaceDN w:val="0"/>
        <w:adjustRightInd w:val="0"/>
        <w:jc w:val="both"/>
        <w:rPr>
          <w:del w:id="7796" w:author="AbbVie14" w:date="2025-05-09T10:33:00Z"/>
          <w:color w:val="000000"/>
          <w:sz w:val="22"/>
          <w:szCs w:val="22"/>
        </w:rPr>
      </w:pPr>
    </w:p>
    <w:p w:rsidR="006224C2" w:rsidRPr="00295E71" w14:paraId="52336546" w14:textId="77777777">
      <w:pPr>
        <w:keepNext/>
        <w:tabs>
          <w:tab w:val="left" w:pos="567"/>
        </w:tabs>
        <w:autoSpaceDE w:val="0"/>
        <w:autoSpaceDN w:val="0"/>
        <w:adjustRightInd w:val="0"/>
        <w:jc w:val="both"/>
        <w:rPr>
          <w:del w:id="7797" w:author="AbbVie14" w:date="2025-05-09T10:33:00Z"/>
          <w:color w:val="000000"/>
          <w:sz w:val="22"/>
          <w:szCs w:val="22"/>
        </w:rPr>
      </w:pPr>
      <w:del w:id="7798" w:author="AbbVie14" w:date="2025-05-09T10:33:00Z">
        <w:r w:rsidRPr="00295E71">
          <w:rPr>
            <w:color w:val="000000"/>
            <w:sz w:val="22"/>
            <w:szCs w:val="22"/>
          </w:rPr>
          <w:delText xml:space="preserve">Il profilo di sicurezza nei pazienti affetti da uveite trattati con Humira a settimane alterne è </w:delText>
        </w:r>
      </w:del>
      <w:del w:id="7799" w:author="AbbVie14" w:date="2025-05-09T10:33:00Z">
        <w:r w:rsidR="00D96F2B">
          <w:rPr>
            <w:color w:val="000000"/>
            <w:sz w:val="22"/>
            <w:szCs w:val="22"/>
          </w:rPr>
          <w:delText xml:space="preserve">stato </w:delText>
        </w:r>
      </w:del>
      <w:del w:id="7800" w:author="AbbVie14" w:date="2025-05-09T10:33:00Z">
        <w:r w:rsidRPr="00295E71">
          <w:rPr>
            <w:color w:val="000000"/>
            <w:sz w:val="22"/>
            <w:szCs w:val="22"/>
          </w:rPr>
          <w:delText>coerente</w:delText>
        </w:r>
      </w:del>
      <w:del w:id="7801" w:author="AbbVie14" w:date="2025-05-09T10:33:00Z">
        <w:r w:rsidR="00D96F2B">
          <w:rPr>
            <w:color w:val="000000"/>
            <w:sz w:val="22"/>
            <w:szCs w:val="22"/>
          </w:rPr>
          <w:delText xml:space="preserve"> </w:delText>
        </w:r>
      </w:del>
      <w:del w:id="7802" w:author="AbbVie14" w:date="2025-05-09T10:33:00Z">
        <w:r w:rsidRPr="00295E71">
          <w:rPr>
            <w:color w:val="000000"/>
            <w:sz w:val="22"/>
            <w:szCs w:val="22"/>
          </w:rPr>
          <w:delText>con il profilo di sicurezza noto di Humira.</w:delText>
        </w:r>
      </w:del>
    </w:p>
    <w:p w:rsidR="006224C2" w:rsidRPr="00295E71" w14:paraId="18C11516" w14:textId="77777777">
      <w:pPr>
        <w:tabs>
          <w:tab w:val="left" w:pos="567"/>
        </w:tabs>
        <w:autoSpaceDE w:val="0"/>
        <w:autoSpaceDN w:val="0"/>
        <w:adjustRightInd w:val="0"/>
        <w:jc w:val="both"/>
        <w:rPr>
          <w:del w:id="7803" w:author="AbbVie14" w:date="2025-05-09T10:33:00Z"/>
          <w:color w:val="000000"/>
          <w:sz w:val="22"/>
          <w:szCs w:val="22"/>
        </w:rPr>
      </w:pPr>
    </w:p>
    <w:p w:rsidR="006224C2" w:rsidRPr="00295E71" w14:paraId="42529AA0" w14:textId="77777777">
      <w:pPr>
        <w:rPr>
          <w:del w:id="7804" w:author="AbbVie14" w:date="2025-05-09T10:33:00Z"/>
          <w:color w:val="000000"/>
          <w:sz w:val="22"/>
          <w:szCs w:val="22"/>
          <w:u w:val="single"/>
        </w:rPr>
      </w:pPr>
      <w:del w:id="7805" w:author="AbbVie14" w:date="2025-05-09T10:33:00Z">
        <w:r w:rsidRPr="00295E71">
          <w:rPr>
            <w:color w:val="000000"/>
            <w:sz w:val="22"/>
            <w:szCs w:val="22"/>
            <w:u w:val="single"/>
          </w:rPr>
          <w:delText>Descrizione delle reazioni avverse selezionate</w:delText>
        </w:r>
      </w:del>
    </w:p>
    <w:p w:rsidR="006224C2" w:rsidRPr="00295E71" w14:paraId="7602B75A" w14:textId="77777777">
      <w:pPr>
        <w:tabs>
          <w:tab w:val="left" w:pos="567"/>
        </w:tabs>
        <w:autoSpaceDE w:val="0"/>
        <w:autoSpaceDN w:val="0"/>
        <w:adjustRightInd w:val="0"/>
        <w:jc w:val="both"/>
        <w:rPr>
          <w:del w:id="7806" w:author="AbbVie14" w:date="2025-05-09T10:33:00Z"/>
          <w:color w:val="000000"/>
          <w:sz w:val="22"/>
          <w:szCs w:val="22"/>
          <w:u w:val="single"/>
        </w:rPr>
      </w:pPr>
    </w:p>
    <w:p w:rsidR="006224C2" w:rsidRPr="00295E71" w14:paraId="6140DF9F" w14:textId="77777777">
      <w:pPr>
        <w:tabs>
          <w:tab w:val="left" w:pos="567"/>
        </w:tabs>
        <w:autoSpaceDE w:val="0"/>
        <w:autoSpaceDN w:val="0"/>
        <w:adjustRightInd w:val="0"/>
        <w:jc w:val="both"/>
        <w:rPr>
          <w:del w:id="7807" w:author="AbbVie14" w:date="2025-05-09T10:33:00Z"/>
          <w:i/>
          <w:color w:val="000000"/>
          <w:sz w:val="22"/>
          <w:szCs w:val="22"/>
        </w:rPr>
      </w:pPr>
      <w:del w:id="7808" w:author="AbbVie14" w:date="2025-05-09T10:33:00Z">
        <w:r w:rsidRPr="00295E71">
          <w:rPr>
            <w:i/>
            <w:color w:val="000000"/>
            <w:sz w:val="22"/>
            <w:szCs w:val="22"/>
          </w:rPr>
          <w:delText>Reazioni nel sito di iniezione</w:delText>
        </w:r>
      </w:del>
    </w:p>
    <w:p w:rsidR="006224C2" w:rsidRPr="00295E71" w14:paraId="10CFAE35" w14:textId="77777777">
      <w:pPr>
        <w:tabs>
          <w:tab w:val="left" w:pos="567"/>
        </w:tabs>
        <w:autoSpaceDE w:val="0"/>
        <w:autoSpaceDN w:val="0"/>
        <w:adjustRightInd w:val="0"/>
        <w:jc w:val="both"/>
        <w:rPr>
          <w:del w:id="7809" w:author="AbbVie14" w:date="2025-05-09T10:33:00Z"/>
          <w:color w:val="000000"/>
          <w:sz w:val="22"/>
          <w:szCs w:val="22"/>
          <w:u w:val="single"/>
        </w:rPr>
      </w:pPr>
    </w:p>
    <w:p w:rsidR="006224C2" w:rsidRPr="00295E71" w14:paraId="0A5AD9C2" w14:textId="77777777">
      <w:pPr>
        <w:tabs>
          <w:tab w:val="left" w:pos="567"/>
        </w:tabs>
        <w:jc w:val="both"/>
        <w:rPr>
          <w:del w:id="7810" w:author="AbbVie14" w:date="2025-05-09T10:33:00Z"/>
          <w:color w:val="000000"/>
          <w:sz w:val="22"/>
          <w:szCs w:val="22"/>
        </w:rPr>
      </w:pPr>
      <w:del w:id="7811" w:author="AbbVie14" w:date="2025-05-09T10:33:00Z">
        <w:r w:rsidRPr="00295E71">
          <w:rPr>
            <w:color w:val="000000"/>
            <w:sz w:val="22"/>
            <w:szCs w:val="22"/>
          </w:rPr>
          <w:delText xml:space="preserve">Negli studi clinici registrativi controllati su adulti e bambini, il 12,9% dei pazienti trattati con Humira ha manifestato reazioni nel sito d’iniezione (eritema e/o prurito, emorragia, dolore o edema), contro il 7,2% dei pazienti trattati con placebo o con controllo attivo. Le reazioni nel sito d’iniezione non hanno richiesto generalmente la sospensione del </w:delText>
        </w:r>
      </w:del>
      <w:del w:id="7812" w:author="AbbVie14" w:date="2025-05-09T10:33:00Z">
        <w:r w:rsidR="00D96F2B">
          <w:rPr>
            <w:color w:val="000000"/>
            <w:sz w:val="22"/>
            <w:szCs w:val="22"/>
          </w:rPr>
          <w:delText>medicinale</w:delText>
        </w:r>
      </w:del>
      <w:del w:id="7813" w:author="AbbVie14" w:date="2025-05-09T10:33:00Z">
        <w:r w:rsidRPr="00295E71">
          <w:rPr>
            <w:color w:val="000000"/>
            <w:sz w:val="22"/>
            <w:szCs w:val="22"/>
          </w:rPr>
          <w:delText>.</w:delText>
        </w:r>
      </w:del>
    </w:p>
    <w:p w:rsidR="006224C2" w:rsidRPr="00295E71" w14:paraId="5A60AB49" w14:textId="77777777">
      <w:pPr>
        <w:tabs>
          <w:tab w:val="left" w:pos="567"/>
        </w:tabs>
        <w:autoSpaceDE w:val="0"/>
        <w:autoSpaceDN w:val="0"/>
        <w:adjustRightInd w:val="0"/>
        <w:jc w:val="both"/>
        <w:rPr>
          <w:del w:id="7814" w:author="AbbVie14" w:date="2025-05-09T10:33:00Z"/>
          <w:color w:val="000000"/>
          <w:sz w:val="22"/>
          <w:szCs w:val="22"/>
        </w:rPr>
      </w:pPr>
    </w:p>
    <w:p w:rsidR="006224C2" w:rsidRPr="00295E71" w:rsidP="003B3A5A" w14:paraId="4997F81F" w14:textId="77777777">
      <w:pPr>
        <w:keepNext/>
        <w:tabs>
          <w:tab w:val="left" w:pos="567"/>
        </w:tabs>
        <w:autoSpaceDE w:val="0"/>
        <w:autoSpaceDN w:val="0"/>
        <w:adjustRightInd w:val="0"/>
        <w:jc w:val="both"/>
        <w:rPr>
          <w:del w:id="7815" w:author="AbbVie14" w:date="2025-05-09T10:33:00Z"/>
          <w:i/>
          <w:color w:val="000000"/>
          <w:sz w:val="22"/>
          <w:szCs w:val="22"/>
        </w:rPr>
      </w:pPr>
      <w:del w:id="7816" w:author="AbbVie14" w:date="2025-05-09T10:33:00Z">
        <w:r w:rsidRPr="00295E71">
          <w:rPr>
            <w:i/>
            <w:color w:val="000000"/>
            <w:sz w:val="22"/>
            <w:szCs w:val="22"/>
          </w:rPr>
          <w:delText>Infezioni</w:delText>
        </w:r>
      </w:del>
    </w:p>
    <w:p w:rsidR="006224C2" w:rsidRPr="00295E71" w:rsidP="003B3A5A" w14:paraId="6616869D" w14:textId="77777777">
      <w:pPr>
        <w:keepNext/>
        <w:tabs>
          <w:tab w:val="left" w:pos="567"/>
        </w:tabs>
        <w:autoSpaceDE w:val="0"/>
        <w:autoSpaceDN w:val="0"/>
        <w:adjustRightInd w:val="0"/>
        <w:jc w:val="both"/>
        <w:rPr>
          <w:del w:id="7817" w:author="AbbVie14" w:date="2025-05-09T10:33:00Z"/>
          <w:color w:val="000000"/>
          <w:sz w:val="22"/>
          <w:szCs w:val="22"/>
        </w:rPr>
      </w:pPr>
    </w:p>
    <w:p w:rsidR="006224C2" w:rsidRPr="00295E71" w:rsidP="003B3A5A" w14:paraId="09372E93" w14:textId="77777777">
      <w:pPr>
        <w:pStyle w:val="BodyText"/>
        <w:keepNext/>
        <w:tabs>
          <w:tab w:val="left" w:pos="567"/>
        </w:tabs>
        <w:rPr>
          <w:del w:id="7818" w:author="AbbVie14" w:date="2025-05-09T10:33:00Z"/>
        </w:rPr>
      </w:pPr>
      <w:del w:id="7819" w:author="AbbVie14" w:date="2025-05-09T10:33:00Z">
        <w:r w:rsidRPr="00295E71">
          <w:delText>Negli studi clinici registrativi controllati su adulti e bambini, il tasso d’infezione è stato di 1,51 per paziente/anno nel gruppo trattato con Humira e di 1,46 per paziente/anno nel gruppo trattato con placebo e con controllo attivo. Le infezioni sono state rappresentate principalmente da rinofaringiti, infezioni delle vie respiratorie superiori e sinusite. La maggior parte dei pazienti ha continuato ad assumere Humira dopo la remissione dell’infezione.</w:delText>
        </w:r>
      </w:del>
    </w:p>
    <w:p w:rsidR="006224C2" w:rsidRPr="00295E71" w14:paraId="25026258" w14:textId="77777777">
      <w:pPr>
        <w:pStyle w:val="BodyText"/>
        <w:tabs>
          <w:tab w:val="left" w:pos="567"/>
        </w:tabs>
        <w:rPr>
          <w:del w:id="7820" w:author="AbbVie14" w:date="2025-05-09T10:33:00Z"/>
        </w:rPr>
      </w:pPr>
    </w:p>
    <w:p w:rsidR="006224C2" w:rsidRPr="00295E71" w14:paraId="6783927F" w14:textId="77777777">
      <w:pPr>
        <w:pStyle w:val="BodyText"/>
        <w:tabs>
          <w:tab w:val="left" w:pos="567"/>
        </w:tabs>
        <w:rPr>
          <w:del w:id="7821" w:author="AbbVie14" w:date="2025-05-09T10:33:00Z"/>
        </w:rPr>
      </w:pPr>
      <w:del w:id="7822" w:author="AbbVie14" w:date="2025-05-09T10:33:00Z">
        <w:r w:rsidRPr="00295E71">
          <w:delText>L’incidenza di infezioni gravi è stata di 0,04</w:delText>
        </w:r>
      </w:del>
      <w:del w:id="7823" w:author="AbbVie14" w:date="2025-05-09T10:33:00Z">
        <w:r w:rsidRPr="00295E71" w:rsidR="007F1EB6">
          <w:delText xml:space="preserve"> </w:delText>
        </w:r>
      </w:del>
      <w:del w:id="7824" w:author="AbbVie14" w:date="2025-05-09T10:33:00Z">
        <w:r w:rsidRPr="00295E71">
          <w:delText>per paziente/anno nel gruppo trattato con Humira e di 0,03 per paziente/anno in quello trattato con placebo e con controllo attivo.</w:delText>
        </w:r>
      </w:del>
    </w:p>
    <w:p w:rsidR="006224C2" w:rsidRPr="00295E71" w14:paraId="3D980BBF" w14:textId="77777777">
      <w:pPr>
        <w:pStyle w:val="BodyText"/>
        <w:tabs>
          <w:tab w:val="left" w:pos="567"/>
        </w:tabs>
        <w:rPr>
          <w:del w:id="7825" w:author="AbbVie14" w:date="2025-05-09T10:33:00Z"/>
        </w:rPr>
      </w:pPr>
    </w:p>
    <w:p w:rsidR="006224C2" w:rsidRPr="00295E71" w14:paraId="0D0770A9" w14:textId="77777777">
      <w:pPr>
        <w:pStyle w:val="BodyText"/>
        <w:tabs>
          <w:tab w:val="left" w:pos="567"/>
        </w:tabs>
        <w:rPr>
          <w:del w:id="7826" w:author="AbbVie14" w:date="2025-05-09T10:33:00Z"/>
        </w:rPr>
      </w:pPr>
      <w:del w:id="7827" w:author="AbbVie14" w:date="2025-05-09T10:33:00Z">
        <w:r w:rsidRPr="00295E71">
          <w:delText>Nel corso degli studi controllati e in aperto condotti con Humira su adulti e bambini, sono state segnalate infezioni di grave entità (anche infezioni fatali, verificatesi solo raramente), che hanno incluso segnalazioni di casi di tubercolosi (anche con localizzazioni miliari ed extra-polmonari) e infezioni opportunistiche invasive (per esempio, da istoplasmosi disseminata o extrapolmonare, blastomicosi, coccidioidomicosi, pneumocistosi, candidosi, aspergillosi e listeriosi). La maggior parte dei casi di tubercolosi si è verificata nel corso dei primi otto mesi dall’inizio della terapia e possono essere interpretati come una recrudescenza della malattia latente.</w:delText>
        </w:r>
      </w:del>
    </w:p>
    <w:p w:rsidR="006224C2" w:rsidRPr="00295E71" w14:paraId="7179C7CD" w14:textId="77777777">
      <w:pPr>
        <w:tabs>
          <w:tab w:val="left" w:pos="567"/>
        </w:tabs>
        <w:jc w:val="both"/>
        <w:rPr>
          <w:del w:id="7828" w:author="AbbVie14" w:date="2025-05-09T10:33:00Z"/>
          <w:sz w:val="22"/>
          <w:szCs w:val="22"/>
        </w:rPr>
      </w:pPr>
    </w:p>
    <w:p w:rsidR="006224C2" w:rsidRPr="00295E71" w:rsidP="005F2B94" w14:paraId="67F2FD74" w14:textId="77777777">
      <w:pPr>
        <w:keepNext/>
        <w:tabs>
          <w:tab w:val="left" w:pos="567"/>
        </w:tabs>
        <w:autoSpaceDE w:val="0"/>
        <w:autoSpaceDN w:val="0"/>
        <w:adjustRightInd w:val="0"/>
        <w:jc w:val="both"/>
        <w:rPr>
          <w:del w:id="7829" w:author="AbbVie14" w:date="2025-05-09T10:33:00Z"/>
          <w:i/>
          <w:color w:val="000000"/>
          <w:sz w:val="22"/>
          <w:szCs w:val="22"/>
        </w:rPr>
      </w:pPr>
      <w:del w:id="7830" w:author="AbbVie14" w:date="2025-05-09T10:33:00Z">
        <w:r w:rsidRPr="00295E71">
          <w:rPr>
            <w:i/>
            <w:color w:val="000000"/>
            <w:sz w:val="22"/>
            <w:szCs w:val="22"/>
          </w:rPr>
          <w:delText>Neoplasie e malattie linfoproliferative</w:delText>
        </w:r>
      </w:del>
    </w:p>
    <w:p w:rsidR="006224C2" w:rsidRPr="00295E71" w:rsidP="005F2B94" w14:paraId="6FF24040" w14:textId="77777777">
      <w:pPr>
        <w:keepNext/>
        <w:tabs>
          <w:tab w:val="left" w:pos="567"/>
        </w:tabs>
        <w:autoSpaceDE w:val="0"/>
        <w:autoSpaceDN w:val="0"/>
        <w:adjustRightInd w:val="0"/>
        <w:jc w:val="both"/>
        <w:rPr>
          <w:del w:id="7831" w:author="AbbVie14" w:date="2025-05-09T10:33:00Z"/>
          <w:color w:val="000000"/>
          <w:sz w:val="22"/>
          <w:szCs w:val="22"/>
          <w:u w:val="single"/>
        </w:rPr>
      </w:pPr>
    </w:p>
    <w:p w:rsidR="006224C2" w:rsidRPr="00612824" w:rsidP="00612824" w14:paraId="3B97D3C8" w14:textId="77777777">
      <w:pPr>
        <w:rPr>
          <w:del w:id="7832" w:author="AbbVie14" w:date="2025-05-09T10:33:00Z"/>
          <w:shd w:val="clear" w:color="auto" w:fill="FFFFFF"/>
        </w:rPr>
      </w:pPr>
      <w:del w:id="7833" w:author="AbbVie14" w:date="2025-05-09T10:33:00Z">
        <w:r w:rsidRPr="00295E71">
          <w:rPr>
            <w:color w:val="000000"/>
            <w:sz w:val="22"/>
            <w:szCs w:val="22"/>
          </w:rPr>
          <w:delText>Nel corso di studi eseguiti somministrando Humira ai pazienti affetti da artrite idiopatica giovanile (artrite idiopatica giovanile poliarticolare e artrite associata ad entesite), non sono state osservate neoplasie maligne nei 249</w:delText>
        </w:r>
      </w:del>
      <w:del w:id="7834" w:author="AbbVie14" w:date="2025-05-09T10:33:00Z">
        <w:r w:rsidRPr="00295E71" w:rsidR="000B0C83">
          <w:rPr>
            <w:color w:val="000000"/>
            <w:sz w:val="22"/>
            <w:szCs w:val="22"/>
          </w:rPr>
          <w:delText xml:space="preserve"> </w:delText>
        </w:r>
      </w:del>
      <w:del w:id="7835" w:author="AbbVie14" w:date="2025-05-09T10:33:00Z">
        <w:r w:rsidRPr="00295E71">
          <w:rPr>
            <w:color w:val="000000"/>
            <w:sz w:val="22"/>
            <w:szCs w:val="22"/>
          </w:rPr>
          <w:delText>pazienti pediatrici con un’esposizione di 655,6 </w:delText>
        </w:r>
      </w:del>
      <w:del w:id="7836" w:author="AbbVie14" w:date="2025-05-09T10:33:00Z">
        <w:r w:rsidRPr="00020442" w:rsidR="00D96F2B">
          <w:rPr>
            <w:color w:val="000000"/>
            <w:sz w:val="22"/>
            <w:szCs w:val="22"/>
          </w:rPr>
          <w:delText>anni-paziente</w:delText>
        </w:r>
      </w:del>
      <w:del w:id="7837" w:author="AbbVie14" w:date="2025-05-09T10:33:00Z">
        <w:r w:rsidRPr="00295E71">
          <w:rPr>
            <w:color w:val="000000"/>
            <w:sz w:val="22"/>
            <w:szCs w:val="22"/>
          </w:rPr>
          <w:delText>.</w:delText>
        </w:r>
      </w:del>
      <w:del w:id="7838" w:author="AbbVie14" w:date="2025-05-09T10:33:00Z">
        <w:r w:rsidR="00D96F2B">
          <w:rPr>
            <w:color w:val="000000"/>
            <w:sz w:val="22"/>
            <w:szCs w:val="22"/>
          </w:rPr>
          <w:delText xml:space="preserve"> </w:delText>
        </w:r>
      </w:del>
      <w:del w:id="7839" w:author="AbbVie14" w:date="2025-05-09T10:33:00Z">
        <w:r w:rsidRPr="00295E71">
          <w:rPr>
            <w:color w:val="000000"/>
            <w:sz w:val="22"/>
            <w:szCs w:val="22"/>
          </w:rPr>
          <w:delText>In aggiunta non sono state osservate neoplasie maligne nei 192 pazienti pediatrici con una esposizione di 498,1 </w:delText>
        </w:r>
      </w:del>
      <w:del w:id="7840" w:author="AbbVie14" w:date="2025-05-09T10:33:00Z">
        <w:r w:rsidRPr="00020442" w:rsidR="00D96F2B">
          <w:rPr>
            <w:color w:val="000000"/>
            <w:sz w:val="22"/>
            <w:szCs w:val="22"/>
          </w:rPr>
          <w:delText>anni-paziente</w:delText>
        </w:r>
      </w:del>
      <w:del w:id="7841" w:author="AbbVie14" w:date="2025-05-09T10:33:00Z">
        <w:r w:rsidR="00D96F2B">
          <w:rPr>
            <w:color w:val="000000"/>
            <w:sz w:val="22"/>
            <w:szCs w:val="22"/>
          </w:rPr>
          <w:delText xml:space="preserve"> </w:delText>
        </w:r>
      </w:del>
      <w:del w:id="7842" w:author="AbbVie14" w:date="2025-05-09T10:33:00Z">
        <w:r w:rsidRPr="00295E71">
          <w:rPr>
            <w:color w:val="000000"/>
            <w:sz w:val="22"/>
            <w:szCs w:val="22"/>
          </w:rPr>
          <w:delText>durante studi eseguiti somministrando Humira ai pazienti pediatrici affetti da Malattia di Crohn.</w:delText>
        </w:r>
      </w:del>
      <w:del w:id="7843" w:author="AbbVie14" w:date="2025-05-09T10:33:00Z">
        <w:r w:rsidR="00D96F2B">
          <w:rPr>
            <w:color w:val="000000"/>
            <w:sz w:val="22"/>
            <w:szCs w:val="22"/>
          </w:rPr>
          <w:delText xml:space="preserve"> </w:delText>
        </w:r>
      </w:del>
      <w:del w:id="7844" w:author="AbbVie14" w:date="2025-05-09T10:33:00Z">
        <w:r w:rsidRPr="00295E71">
          <w:rPr>
            <w:rFonts w:eastAsia="Arial"/>
            <w:sz w:val="22"/>
            <w:szCs w:val="22"/>
            <w:lang w:bidi="it-IT"/>
          </w:rPr>
          <w:delText>Nel corso di uno studio in cui è stato somministrato Humira a pazienti pediatrici con psoriasi cronica a placche, non è stata osservata alcuna neoplasia maligna in 77 pazienti con un’esposizione di 80,0 </w:delText>
        </w:r>
      </w:del>
      <w:del w:id="7845" w:author="AbbVie14" w:date="2025-05-09T10:33:00Z">
        <w:r w:rsidRPr="00020442" w:rsidR="00D96F2B">
          <w:rPr>
            <w:color w:val="000000"/>
            <w:sz w:val="22"/>
            <w:szCs w:val="22"/>
          </w:rPr>
          <w:delText>anni-paziente</w:delText>
        </w:r>
      </w:del>
      <w:del w:id="7846" w:author="AbbVie14" w:date="2025-05-09T10:33:00Z">
        <w:r w:rsidRPr="00295E71">
          <w:rPr>
            <w:rFonts w:eastAsia="Arial"/>
            <w:sz w:val="22"/>
            <w:szCs w:val="22"/>
            <w:lang w:bidi="it-IT"/>
          </w:rPr>
          <w:delText xml:space="preserve">. </w:delText>
        </w:r>
      </w:del>
      <w:del w:id="7847" w:author="AbbVie14" w:date="2025-05-09T10:33:00Z">
        <w:r w:rsidRPr="000644E2" w:rsidR="000644E2">
          <w:rPr>
            <w:rStyle w:val="normaltextrun"/>
            <w:sz w:val="22"/>
            <w:szCs w:val="22"/>
            <w:shd w:val="clear" w:color="auto" w:fill="FFFFFF"/>
          </w:rPr>
          <w:delText>Durante uno studio su Humira in pazienti pediatrici affetti da colite ulcerosa, in 93 pazienti pediatrici con un'esposizione di 65,3 anni-paziente non sono state osservate neoplasie maligne.</w:delText>
        </w:r>
      </w:del>
      <w:del w:id="7848" w:author="AbbVie14" w:date="2025-05-09T10:33:00Z">
        <w:r w:rsidRPr="00612824" w:rsidR="005C4AD7">
          <w:rPr>
            <w:rStyle w:val="normaltextrun"/>
            <w:sz w:val="22"/>
            <w:szCs w:val="22"/>
            <w:shd w:val="clear" w:color="auto" w:fill="FFFFFF"/>
          </w:rPr>
          <w:delText xml:space="preserve"> </w:delText>
        </w:r>
      </w:del>
      <w:del w:id="7849" w:author="AbbVie14" w:date="2025-05-09T10:33:00Z">
        <w:r w:rsidRPr="005C4AD7">
          <w:rPr>
            <w:rFonts w:eastAsia="Arial"/>
            <w:sz w:val="22"/>
            <w:szCs w:val="22"/>
            <w:lang w:bidi="it-IT"/>
          </w:rPr>
          <w:delText>Nel</w:delText>
        </w:r>
      </w:del>
      <w:del w:id="7850" w:author="AbbVie14" w:date="2025-05-09T10:33:00Z">
        <w:r w:rsidRPr="00295E71">
          <w:rPr>
            <w:rFonts w:eastAsia="Arial"/>
            <w:sz w:val="22"/>
            <w:szCs w:val="22"/>
            <w:lang w:bidi="it-IT"/>
          </w:rPr>
          <w:delText xml:space="preserve"> corso di uno studio in cui è stato somministrato Humira a pazienti pediatrici con uveite, non è stata osservata alcuna neoplasia maligna in 60 pazienti pediatrici con un’esposizione di 58,4 </w:delText>
        </w:r>
      </w:del>
      <w:del w:id="7851" w:author="AbbVie14" w:date="2025-05-09T10:33:00Z">
        <w:r w:rsidRPr="00020442" w:rsidR="00D96F2B">
          <w:rPr>
            <w:color w:val="000000"/>
            <w:sz w:val="22"/>
            <w:szCs w:val="22"/>
          </w:rPr>
          <w:delText>anni-paziente</w:delText>
        </w:r>
      </w:del>
      <w:del w:id="7852" w:author="AbbVie14" w:date="2025-05-09T10:33:00Z">
        <w:r w:rsidRPr="00295E71">
          <w:rPr>
            <w:rFonts w:eastAsia="Arial"/>
            <w:sz w:val="22"/>
            <w:szCs w:val="22"/>
            <w:lang w:bidi="it-IT"/>
          </w:rPr>
          <w:delText>.</w:delText>
        </w:r>
      </w:del>
    </w:p>
    <w:p w:rsidR="006224C2" w:rsidRPr="00295E71" w14:paraId="4AA4754D" w14:textId="77777777">
      <w:pPr>
        <w:tabs>
          <w:tab w:val="left" w:pos="567"/>
        </w:tabs>
        <w:autoSpaceDE w:val="0"/>
        <w:autoSpaceDN w:val="0"/>
        <w:adjustRightInd w:val="0"/>
        <w:jc w:val="both"/>
        <w:rPr>
          <w:del w:id="7853" w:author="AbbVie14" w:date="2025-05-09T10:33:00Z"/>
          <w:color w:val="000000"/>
          <w:sz w:val="22"/>
          <w:szCs w:val="22"/>
        </w:rPr>
      </w:pPr>
    </w:p>
    <w:p w:rsidR="006224C2" w:rsidRPr="00295E71" w14:paraId="2234D60E" w14:textId="77777777">
      <w:pPr>
        <w:tabs>
          <w:tab w:val="left" w:pos="567"/>
        </w:tabs>
        <w:autoSpaceDE w:val="0"/>
        <w:autoSpaceDN w:val="0"/>
        <w:adjustRightInd w:val="0"/>
        <w:jc w:val="both"/>
        <w:rPr>
          <w:del w:id="7854" w:author="AbbVie14" w:date="2025-05-09T10:33:00Z"/>
          <w:color w:val="000000"/>
          <w:sz w:val="22"/>
          <w:szCs w:val="22"/>
        </w:rPr>
      </w:pPr>
      <w:del w:id="7855" w:author="AbbVie14" w:date="2025-05-09T10:33:00Z">
        <w:r w:rsidRPr="00295E71">
          <w:rPr>
            <w:color w:val="000000"/>
            <w:sz w:val="22"/>
            <w:szCs w:val="22"/>
          </w:rPr>
          <w:delText>Nelle sezioni controllate di studi registrativi su adulti con Humira della durata di almeno 12 settimane in pazienti con artrite reumatoide attiva di grado da moderato a severo, spondilite anchilosante,</w:delText>
        </w:r>
      </w:del>
      <w:del w:id="7856" w:author="AbbVie14" w:date="2025-05-09T10:33:00Z">
        <w:r w:rsidR="00D96F2B">
          <w:rPr>
            <w:color w:val="000000"/>
            <w:sz w:val="22"/>
            <w:szCs w:val="22"/>
          </w:rPr>
          <w:delText xml:space="preserve"> </w:delText>
        </w:r>
      </w:del>
      <w:del w:id="7857" w:author="AbbVie14" w:date="2025-05-09T10:33:00Z">
        <w:r w:rsidRPr="00295E71">
          <w:rPr>
            <w:color w:val="000000"/>
            <w:sz w:val="22"/>
            <w:szCs w:val="22"/>
          </w:rPr>
          <w:delText>spondiloartrite assiale senza evidenza radiografica di SA, artrite psoriasica, psoriasi,</w:delText>
        </w:r>
      </w:del>
      <w:del w:id="7858" w:author="AbbVie14" w:date="2025-05-09T10:33:00Z">
        <w:r w:rsidR="00D96F2B">
          <w:rPr>
            <w:color w:val="000000"/>
            <w:sz w:val="22"/>
            <w:szCs w:val="22"/>
          </w:rPr>
          <w:delText xml:space="preserve"> </w:delText>
        </w:r>
      </w:del>
      <w:del w:id="7859" w:author="AbbVie14" w:date="2025-05-09T10:33:00Z">
        <w:r w:rsidRPr="00295E71">
          <w:rPr>
            <w:color w:val="000000"/>
            <w:sz w:val="22"/>
            <w:szCs w:val="22"/>
          </w:rPr>
          <w:delText>idrosadenite suppurativa, malattia di Crohn, colite ulcerosa e uveite, neoplasie, oltre a linfoma e carcinoma cutaneo non melanotico sono stat</w:delText>
        </w:r>
      </w:del>
      <w:del w:id="7860" w:author="AbbVie14" w:date="2025-05-09T10:33:00Z">
        <w:r w:rsidR="00D96F2B">
          <w:rPr>
            <w:color w:val="000000"/>
            <w:sz w:val="22"/>
            <w:szCs w:val="22"/>
          </w:rPr>
          <w:delText>e</w:delText>
        </w:r>
      </w:del>
      <w:del w:id="7861" w:author="AbbVie14" w:date="2025-05-09T10:33:00Z">
        <w:r w:rsidRPr="00295E71">
          <w:rPr>
            <w:color w:val="000000"/>
            <w:sz w:val="22"/>
            <w:szCs w:val="22"/>
          </w:rPr>
          <w:delText xml:space="preserve"> osservat</w:delText>
        </w:r>
      </w:del>
      <w:del w:id="7862" w:author="AbbVie14" w:date="2025-05-09T10:33:00Z">
        <w:r w:rsidR="00D96F2B">
          <w:rPr>
            <w:color w:val="000000"/>
            <w:sz w:val="22"/>
            <w:szCs w:val="22"/>
          </w:rPr>
          <w:delText>e</w:delText>
        </w:r>
      </w:del>
      <w:del w:id="7863" w:author="AbbVie14" w:date="2025-05-09T10:33:00Z">
        <w:r w:rsidRPr="00295E71">
          <w:rPr>
            <w:color w:val="000000"/>
            <w:sz w:val="22"/>
            <w:szCs w:val="22"/>
          </w:rPr>
          <w:delText xml:space="preserve"> con un tasso (95% di intervallo di confidenza) di 6,8 (4,4; 10,5) per 1.000 </w:delText>
        </w:r>
      </w:del>
      <w:del w:id="7864" w:author="AbbVie14" w:date="2025-05-09T10:33:00Z">
        <w:r w:rsidRPr="00020442" w:rsidR="00D96F2B">
          <w:rPr>
            <w:color w:val="000000"/>
            <w:sz w:val="22"/>
            <w:szCs w:val="22"/>
          </w:rPr>
          <w:delText>anni-paziente</w:delText>
        </w:r>
      </w:del>
      <w:del w:id="7865" w:author="AbbVie14" w:date="2025-05-09T10:33:00Z">
        <w:r w:rsidRPr="00295E71">
          <w:rPr>
            <w:color w:val="000000"/>
            <w:sz w:val="22"/>
            <w:szCs w:val="22"/>
          </w:rPr>
          <w:delText xml:space="preserve"> </w:delText>
        </w:r>
      </w:del>
      <w:del w:id="7866" w:author="AbbVie14" w:date="2025-05-09T10:33:00Z">
        <w:r w:rsidR="00D96F2B">
          <w:rPr>
            <w:color w:val="000000"/>
            <w:sz w:val="22"/>
            <w:szCs w:val="22"/>
          </w:rPr>
          <w:delText>in</w:delText>
        </w:r>
      </w:del>
      <w:del w:id="7867" w:author="AbbVie14" w:date="2025-05-09T10:33:00Z">
        <w:r w:rsidRPr="00295E71">
          <w:rPr>
            <w:color w:val="000000"/>
            <w:sz w:val="22"/>
            <w:szCs w:val="22"/>
          </w:rPr>
          <w:delText xml:space="preserve"> 5.291 pazienti trattati con Humira verso un tasso di 6,3 (3,4;</w:delText>
        </w:r>
      </w:del>
      <w:del w:id="7868" w:author="AbbVie14" w:date="2025-05-09T10:33:00Z">
        <w:r w:rsidR="00D96F2B">
          <w:rPr>
            <w:color w:val="000000"/>
            <w:sz w:val="22"/>
            <w:szCs w:val="22"/>
          </w:rPr>
          <w:delText xml:space="preserve"> </w:delText>
        </w:r>
      </w:del>
      <w:del w:id="7869" w:author="AbbVie14" w:date="2025-05-09T10:33:00Z">
        <w:r w:rsidRPr="00295E71">
          <w:rPr>
            <w:color w:val="000000"/>
            <w:sz w:val="22"/>
            <w:szCs w:val="22"/>
          </w:rPr>
          <w:delText xml:space="preserve">11,8) per 1.000 </w:delText>
        </w:r>
      </w:del>
      <w:del w:id="7870" w:author="AbbVie14" w:date="2025-05-09T10:33:00Z">
        <w:r w:rsidRPr="00020442" w:rsidR="00D96F2B">
          <w:rPr>
            <w:color w:val="000000"/>
            <w:sz w:val="22"/>
            <w:szCs w:val="22"/>
          </w:rPr>
          <w:delText>anni-paziente</w:delText>
        </w:r>
      </w:del>
      <w:del w:id="7871" w:author="AbbVie14" w:date="2025-05-09T10:33:00Z">
        <w:r w:rsidR="00D96F2B">
          <w:rPr>
            <w:color w:val="000000"/>
            <w:sz w:val="22"/>
            <w:szCs w:val="22"/>
          </w:rPr>
          <w:delText xml:space="preserve"> in</w:delText>
        </w:r>
      </w:del>
      <w:del w:id="7872" w:author="AbbVie14" w:date="2025-05-09T10:33:00Z">
        <w:r w:rsidRPr="00295E71">
          <w:rPr>
            <w:color w:val="000000"/>
            <w:sz w:val="22"/>
            <w:szCs w:val="22"/>
          </w:rPr>
          <w:delText xml:space="preserve"> 3.444 pazienti controllo (la durata mediana del trattamento è stata 4,0 mesi per i pazienti trattati con Humira e 3,8 mesi per i pazienti controllo). Il tasso (95% di intervallo di confidenza) dei carcinomi cutanei non melanotici è stato di 8,8(6,0; 13,0) per 1.000 </w:delText>
        </w:r>
      </w:del>
      <w:del w:id="7873" w:author="AbbVie14" w:date="2025-05-09T10:33:00Z">
        <w:r w:rsidRPr="00020442" w:rsidR="00D96F2B">
          <w:rPr>
            <w:color w:val="000000"/>
            <w:sz w:val="22"/>
            <w:szCs w:val="22"/>
          </w:rPr>
          <w:delText>anni-paziente</w:delText>
        </w:r>
      </w:del>
      <w:del w:id="7874" w:author="AbbVie14" w:date="2025-05-09T10:33:00Z">
        <w:r w:rsidRPr="00295E71">
          <w:rPr>
            <w:color w:val="000000"/>
            <w:sz w:val="22"/>
            <w:szCs w:val="22"/>
          </w:rPr>
          <w:delText xml:space="preserve"> nei pazienti trattati con Humira e 3,2 (1,3;7,6) per 1.000 </w:delText>
        </w:r>
      </w:del>
      <w:del w:id="7875" w:author="AbbVie14" w:date="2025-05-09T10:33:00Z">
        <w:r w:rsidRPr="00020442" w:rsidR="00D96F2B">
          <w:rPr>
            <w:color w:val="000000"/>
            <w:sz w:val="22"/>
            <w:szCs w:val="22"/>
          </w:rPr>
          <w:delText>anni-paziente</w:delText>
        </w:r>
      </w:del>
      <w:del w:id="7876" w:author="AbbVie14" w:date="2025-05-09T10:33:00Z">
        <w:r w:rsidRPr="00295E71">
          <w:rPr>
            <w:color w:val="000000"/>
            <w:sz w:val="22"/>
            <w:szCs w:val="22"/>
          </w:rPr>
          <w:delText xml:space="preserve"> nei pazienti controllo. Di questi carcinomi cutanei, carcinomi a cellule squamose si sono verificati con tassi (95% di intervallo di confidenza) di 2,7 (1,4; 5,4) per 1.000 </w:delText>
        </w:r>
      </w:del>
      <w:del w:id="7877" w:author="AbbVie14" w:date="2025-05-09T10:33:00Z">
        <w:r w:rsidRPr="00020442" w:rsidR="00D96F2B">
          <w:rPr>
            <w:color w:val="000000"/>
            <w:sz w:val="22"/>
            <w:szCs w:val="22"/>
          </w:rPr>
          <w:delText>anni-paziente</w:delText>
        </w:r>
      </w:del>
      <w:del w:id="7878" w:author="AbbVie14" w:date="2025-05-09T10:33:00Z">
        <w:r w:rsidRPr="00295E71">
          <w:rPr>
            <w:color w:val="000000"/>
            <w:sz w:val="22"/>
            <w:szCs w:val="22"/>
          </w:rPr>
          <w:delText xml:space="preserve"> nei pazienti trattati con Humira e 0,6 (0,1;4,5) per 1.000 </w:delText>
        </w:r>
      </w:del>
      <w:del w:id="7879" w:author="AbbVie14" w:date="2025-05-09T10:33:00Z">
        <w:r w:rsidRPr="00020442" w:rsidR="00D96F2B">
          <w:rPr>
            <w:color w:val="000000"/>
            <w:sz w:val="22"/>
            <w:szCs w:val="22"/>
          </w:rPr>
          <w:delText>anni-paziente</w:delText>
        </w:r>
      </w:del>
      <w:del w:id="7880" w:author="AbbVie14" w:date="2025-05-09T10:33:00Z">
        <w:r w:rsidRPr="00295E71">
          <w:rPr>
            <w:color w:val="000000"/>
            <w:sz w:val="22"/>
            <w:szCs w:val="22"/>
          </w:rPr>
          <w:delText xml:space="preserve"> nei pazienti controllo. Il tasso (95% di intervallo di confidenza) di linfomi è stato di 0,7 (0,2; 2,7) per 1.000 </w:delText>
        </w:r>
      </w:del>
      <w:del w:id="7881" w:author="AbbVie14" w:date="2025-05-09T10:33:00Z">
        <w:r w:rsidRPr="00020442" w:rsidR="00D96F2B">
          <w:rPr>
            <w:color w:val="000000"/>
            <w:sz w:val="22"/>
            <w:szCs w:val="22"/>
          </w:rPr>
          <w:delText>anni-paziente</w:delText>
        </w:r>
      </w:del>
      <w:del w:id="7882" w:author="AbbVie14" w:date="2025-05-09T10:33:00Z">
        <w:r w:rsidRPr="00295E71">
          <w:rPr>
            <w:color w:val="000000"/>
            <w:sz w:val="22"/>
            <w:szCs w:val="22"/>
          </w:rPr>
          <w:delText xml:space="preserve"> nei pazienti trattati con Humira e 0,6 (0,1; 4,5) per 1.000 </w:delText>
        </w:r>
      </w:del>
      <w:del w:id="7883" w:author="AbbVie14" w:date="2025-05-09T10:33:00Z">
        <w:r w:rsidRPr="00020442" w:rsidR="00D96F2B">
          <w:rPr>
            <w:color w:val="000000"/>
            <w:sz w:val="22"/>
            <w:szCs w:val="22"/>
          </w:rPr>
          <w:delText>anni-paziente</w:delText>
        </w:r>
      </w:del>
      <w:del w:id="7884" w:author="AbbVie14" w:date="2025-05-09T10:33:00Z">
        <w:r w:rsidRPr="00295E71">
          <w:rPr>
            <w:color w:val="000000"/>
            <w:sz w:val="22"/>
            <w:szCs w:val="22"/>
          </w:rPr>
          <w:delText xml:space="preserve"> nei pazienti controllo.</w:delText>
        </w:r>
      </w:del>
    </w:p>
    <w:p w:rsidR="006224C2" w:rsidRPr="00295E71" w14:paraId="60048AB6" w14:textId="77777777">
      <w:pPr>
        <w:tabs>
          <w:tab w:val="left" w:pos="567"/>
        </w:tabs>
        <w:autoSpaceDE w:val="0"/>
        <w:autoSpaceDN w:val="0"/>
        <w:adjustRightInd w:val="0"/>
        <w:jc w:val="both"/>
        <w:rPr>
          <w:del w:id="7885" w:author="AbbVie14" w:date="2025-05-09T10:33:00Z"/>
          <w:color w:val="000000"/>
          <w:sz w:val="22"/>
          <w:szCs w:val="22"/>
        </w:rPr>
      </w:pPr>
    </w:p>
    <w:p w:rsidR="006224C2" w:rsidRPr="00295E71" w14:paraId="294A47BA" w14:textId="77777777">
      <w:pPr>
        <w:rPr>
          <w:del w:id="7886" w:author="AbbVie14" w:date="2025-05-09T10:33:00Z"/>
          <w:color w:val="000000"/>
          <w:sz w:val="22"/>
          <w:szCs w:val="22"/>
        </w:rPr>
      </w:pPr>
      <w:del w:id="7887" w:author="AbbVie14" w:date="2025-05-09T10:33:00Z">
        <w:r w:rsidRPr="00295E71">
          <w:rPr>
            <w:color w:val="000000"/>
            <w:sz w:val="22"/>
            <w:szCs w:val="22"/>
          </w:rPr>
          <w:delText>Quando vengono combinat</w:delText>
        </w:r>
      </w:del>
      <w:del w:id="7888" w:author="AbbVie14" w:date="2025-05-09T10:33:00Z">
        <w:r w:rsidR="00D96F2B">
          <w:rPr>
            <w:color w:val="000000"/>
            <w:sz w:val="22"/>
            <w:szCs w:val="22"/>
          </w:rPr>
          <w:delText>e</w:delText>
        </w:r>
      </w:del>
      <w:del w:id="7889" w:author="AbbVie14" w:date="2025-05-09T10:33:00Z">
        <w:r w:rsidRPr="00295E71">
          <w:rPr>
            <w:color w:val="000000"/>
            <w:sz w:val="22"/>
            <w:szCs w:val="22"/>
          </w:rPr>
          <w:delText xml:space="preserve"> parti </w:delText>
        </w:r>
      </w:del>
      <w:del w:id="7890" w:author="AbbVie14" w:date="2025-05-09T10:33:00Z">
        <w:r w:rsidR="00D96F2B">
          <w:rPr>
            <w:color w:val="000000"/>
            <w:sz w:val="22"/>
            <w:szCs w:val="22"/>
          </w:rPr>
          <w:delText xml:space="preserve">controllate </w:delText>
        </w:r>
      </w:del>
      <w:del w:id="7891" w:author="AbbVie14" w:date="2025-05-09T10:33:00Z">
        <w:r w:rsidRPr="00295E71">
          <w:rPr>
            <w:color w:val="000000"/>
            <w:sz w:val="22"/>
            <w:szCs w:val="22"/>
          </w:rPr>
          <w:delText>di questi studi e studi di estensione in aperto sia in corso che completati con una durata media di circa 3,3 anni includendo 6.427 pazienti e più di 26.439 </w:delText>
        </w:r>
      </w:del>
      <w:del w:id="7892" w:author="AbbVie14" w:date="2025-05-09T10:33:00Z">
        <w:r w:rsidR="00D96F2B">
          <w:rPr>
            <w:color w:val="000000"/>
            <w:sz w:val="22"/>
            <w:szCs w:val="22"/>
          </w:rPr>
          <w:delText>anni-</w:delText>
        </w:r>
      </w:del>
      <w:del w:id="7893" w:author="AbbVie14" w:date="2025-05-09T10:33:00Z">
        <w:r w:rsidRPr="00295E71">
          <w:rPr>
            <w:color w:val="000000"/>
            <w:sz w:val="22"/>
            <w:szCs w:val="22"/>
          </w:rPr>
          <w:delText>pazient</w:delText>
        </w:r>
      </w:del>
      <w:del w:id="7894" w:author="AbbVie14" w:date="2025-05-09T10:33:00Z">
        <w:r w:rsidR="00D96F2B">
          <w:rPr>
            <w:color w:val="000000"/>
            <w:sz w:val="22"/>
            <w:szCs w:val="22"/>
          </w:rPr>
          <w:delText>e</w:delText>
        </w:r>
      </w:del>
      <w:del w:id="7895" w:author="AbbVie14" w:date="2025-05-09T10:33:00Z">
        <w:r w:rsidRPr="00295E71">
          <w:rPr>
            <w:color w:val="000000"/>
            <w:sz w:val="22"/>
            <w:szCs w:val="22"/>
          </w:rPr>
          <w:delText xml:space="preserve"> di terapia, il tasso di neoplasie osservate, a parte linfoma e carcinoma cutaneo non melanotico, è di circa 8.5 per 1.000 </w:delText>
        </w:r>
      </w:del>
      <w:del w:id="7896" w:author="AbbVie14" w:date="2025-05-09T10:33:00Z">
        <w:r w:rsidRPr="00020442" w:rsidR="00D96F2B">
          <w:rPr>
            <w:color w:val="000000"/>
            <w:sz w:val="22"/>
            <w:szCs w:val="22"/>
          </w:rPr>
          <w:delText>anni-paziente</w:delText>
        </w:r>
      </w:del>
      <w:del w:id="7897" w:author="AbbVie14" w:date="2025-05-09T10:33:00Z">
        <w:r w:rsidRPr="00295E71">
          <w:rPr>
            <w:color w:val="000000"/>
            <w:sz w:val="22"/>
            <w:szCs w:val="22"/>
          </w:rPr>
          <w:delText xml:space="preserve">. Il tasso osservato di carcinoma cutaneo non melanotico è di circa9,6 per 1.000 </w:delText>
        </w:r>
      </w:del>
      <w:del w:id="7898" w:author="AbbVie14" w:date="2025-05-09T10:33:00Z">
        <w:r w:rsidRPr="00020442" w:rsidR="00D96F2B">
          <w:rPr>
            <w:color w:val="000000"/>
            <w:sz w:val="22"/>
            <w:szCs w:val="22"/>
          </w:rPr>
          <w:delText>anni-paziente</w:delText>
        </w:r>
      </w:del>
      <w:del w:id="7899" w:author="AbbVie14" w:date="2025-05-09T10:33:00Z">
        <w:r w:rsidRPr="00295E71">
          <w:rPr>
            <w:color w:val="000000"/>
            <w:sz w:val="22"/>
            <w:szCs w:val="22"/>
          </w:rPr>
          <w:delText xml:space="preserve"> e il tasso osservato di linfomi è di circa 1,3 per 1.000 </w:delText>
        </w:r>
      </w:del>
      <w:del w:id="7900" w:author="AbbVie14" w:date="2025-05-09T10:33:00Z">
        <w:r w:rsidRPr="00020442" w:rsidR="00D96F2B">
          <w:rPr>
            <w:color w:val="000000"/>
            <w:sz w:val="22"/>
            <w:szCs w:val="22"/>
          </w:rPr>
          <w:delText>anni-paziente</w:delText>
        </w:r>
      </w:del>
      <w:del w:id="7901" w:author="AbbVie14" w:date="2025-05-09T10:33:00Z">
        <w:r w:rsidRPr="00295E71">
          <w:rPr>
            <w:color w:val="000000"/>
            <w:sz w:val="22"/>
            <w:szCs w:val="22"/>
          </w:rPr>
          <w:delText>.</w:delText>
        </w:r>
      </w:del>
    </w:p>
    <w:p w:rsidR="006224C2" w:rsidRPr="00295E71" w14:paraId="21AE7BB8" w14:textId="77777777">
      <w:pPr>
        <w:tabs>
          <w:tab w:val="left" w:pos="567"/>
        </w:tabs>
        <w:autoSpaceDE w:val="0"/>
        <w:autoSpaceDN w:val="0"/>
        <w:adjustRightInd w:val="0"/>
        <w:jc w:val="both"/>
        <w:rPr>
          <w:del w:id="7902" w:author="AbbVie14" w:date="2025-05-09T10:33:00Z"/>
          <w:color w:val="000000"/>
          <w:sz w:val="22"/>
          <w:szCs w:val="22"/>
        </w:rPr>
      </w:pPr>
    </w:p>
    <w:p w:rsidR="006224C2" w:rsidRPr="00295E71" w14:paraId="3DCD10D2" w14:textId="77777777">
      <w:pPr>
        <w:tabs>
          <w:tab w:val="left" w:pos="567"/>
        </w:tabs>
        <w:autoSpaceDE w:val="0"/>
        <w:autoSpaceDN w:val="0"/>
        <w:adjustRightInd w:val="0"/>
        <w:jc w:val="both"/>
        <w:rPr>
          <w:del w:id="7903" w:author="AbbVie14" w:date="2025-05-09T10:33:00Z"/>
          <w:color w:val="000000"/>
          <w:sz w:val="22"/>
          <w:szCs w:val="22"/>
        </w:rPr>
      </w:pPr>
      <w:del w:id="7904" w:author="AbbVie14" w:date="2025-05-09T10:33:00Z">
        <w:r w:rsidRPr="00295E71">
          <w:rPr>
            <w:color w:val="000000"/>
            <w:sz w:val="22"/>
            <w:szCs w:val="22"/>
          </w:rPr>
          <w:delText xml:space="preserve">In una esperienza post-marketing dal gennaio 2003 a dicembre 2010, principalmente in pazienti affetti da artrite reumatoide, il tasso di neoplasie </w:delText>
        </w:r>
      </w:del>
      <w:del w:id="7905" w:author="AbbVie14" w:date="2025-05-09T10:33:00Z">
        <w:r w:rsidRPr="00295E71" w:rsidR="0026134F">
          <w:rPr>
            <w:color w:val="000000"/>
            <w:sz w:val="22"/>
            <w:szCs w:val="22"/>
          </w:rPr>
          <w:delText>riportat</w:delText>
        </w:r>
      </w:del>
      <w:del w:id="7906" w:author="AbbVie14" w:date="2025-05-09T10:33:00Z">
        <w:r w:rsidR="00306285">
          <w:rPr>
            <w:color w:val="000000"/>
            <w:sz w:val="22"/>
            <w:szCs w:val="22"/>
          </w:rPr>
          <w:delText>o</w:delText>
        </w:r>
      </w:del>
      <w:del w:id="7907" w:author="AbbVie14" w:date="2025-05-09T10:33:00Z">
        <w:r w:rsidRPr="00295E71" w:rsidR="0026134F">
          <w:rPr>
            <w:color w:val="000000"/>
            <w:sz w:val="22"/>
            <w:szCs w:val="22"/>
          </w:rPr>
          <w:delText xml:space="preserve"> </w:delText>
        </w:r>
      </w:del>
      <w:del w:id="7908" w:author="AbbVie14" w:date="2025-05-09T10:33:00Z">
        <w:r w:rsidR="0026134F">
          <w:rPr>
            <w:color w:val="000000"/>
            <w:sz w:val="22"/>
            <w:szCs w:val="22"/>
          </w:rPr>
          <w:delText xml:space="preserve">spontaneamente </w:delText>
        </w:r>
      </w:del>
      <w:del w:id="7909" w:author="AbbVie14" w:date="2025-05-09T10:33:00Z">
        <w:r w:rsidRPr="00295E71">
          <w:rPr>
            <w:color w:val="000000"/>
            <w:sz w:val="22"/>
            <w:szCs w:val="22"/>
          </w:rPr>
          <w:delText xml:space="preserve">è di circa 2,7 per 1.000 anni trattamento/paziente. I tassi riportati </w:delText>
        </w:r>
      </w:del>
      <w:del w:id="7910" w:author="AbbVie14" w:date="2025-05-09T10:33:00Z">
        <w:r w:rsidR="0026134F">
          <w:rPr>
            <w:color w:val="000000"/>
            <w:sz w:val="22"/>
            <w:szCs w:val="22"/>
          </w:rPr>
          <w:delText xml:space="preserve">spontaneamente </w:delText>
        </w:r>
      </w:del>
      <w:del w:id="7911" w:author="AbbVie14" w:date="2025-05-09T10:33:00Z">
        <w:r w:rsidRPr="00295E71">
          <w:rPr>
            <w:color w:val="000000"/>
            <w:sz w:val="22"/>
            <w:szCs w:val="22"/>
          </w:rPr>
          <w:delText>rispettivamente per carcinomi cutanei non melanotici e linfomi sono di circa 0,2 e 0,3 per 1.000 anni trattamento/paziente (vedere paragrafo 4.4).</w:delText>
        </w:r>
      </w:del>
    </w:p>
    <w:p w:rsidR="006224C2" w:rsidRPr="00295E71" w14:paraId="7F0B0CFF" w14:textId="77777777">
      <w:pPr>
        <w:tabs>
          <w:tab w:val="left" w:pos="567"/>
        </w:tabs>
        <w:autoSpaceDE w:val="0"/>
        <w:autoSpaceDN w:val="0"/>
        <w:adjustRightInd w:val="0"/>
        <w:jc w:val="both"/>
        <w:rPr>
          <w:del w:id="7912" w:author="AbbVie14" w:date="2025-05-09T10:33:00Z"/>
          <w:color w:val="000000"/>
          <w:sz w:val="22"/>
          <w:szCs w:val="22"/>
        </w:rPr>
      </w:pPr>
    </w:p>
    <w:p w:rsidR="006224C2" w:rsidRPr="00295E71" w14:paraId="65FE8221" w14:textId="77777777">
      <w:pPr>
        <w:tabs>
          <w:tab w:val="left" w:pos="567"/>
        </w:tabs>
        <w:autoSpaceDE w:val="0"/>
        <w:autoSpaceDN w:val="0"/>
        <w:adjustRightInd w:val="0"/>
        <w:jc w:val="both"/>
        <w:rPr>
          <w:del w:id="7913" w:author="AbbVie14" w:date="2025-05-09T10:33:00Z"/>
          <w:color w:val="000000"/>
          <w:sz w:val="22"/>
          <w:szCs w:val="22"/>
        </w:rPr>
      </w:pPr>
      <w:del w:id="7914" w:author="AbbVie14" w:date="2025-05-09T10:33:00Z">
        <w:r w:rsidRPr="00295E71">
          <w:rPr>
            <w:color w:val="000000"/>
            <w:sz w:val="22"/>
            <w:szCs w:val="22"/>
          </w:rPr>
          <w:delText>Nell’esperienza post-marketing sono stati segnalati rari casi di linfoma epatosplenico a cellule T nei pazienti trattati con adalimumab (vedere paragrafo 4.4).</w:delText>
        </w:r>
      </w:del>
    </w:p>
    <w:p w:rsidR="006224C2" w:rsidRPr="00295E71" w14:paraId="6FD3109D" w14:textId="77777777">
      <w:pPr>
        <w:tabs>
          <w:tab w:val="left" w:pos="567"/>
        </w:tabs>
        <w:autoSpaceDE w:val="0"/>
        <w:autoSpaceDN w:val="0"/>
        <w:adjustRightInd w:val="0"/>
        <w:jc w:val="both"/>
        <w:rPr>
          <w:del w:id="7915" w:author="AbbVie14" w:date="2025-05-09T10:33:00Z"/>
          <w:color w:val="000000"/>
          <w:sz w:val="22"/>
          <w:szCs w:val="22"/>
          <w:u w:val="single"/>
        </w:rPr>
      </w:pPr>
    </w:p>
    <w:p w:rsidR="006224C2" w:rsidRPr="00295E71" w14:paraId="0F315511" w14:textId="77777777">
      <w:pPr>
        <w:keepNext/>
        <w:tabs>
          <w:tab w:val="left" w:pos="567"/>
        </w:tabs>
        <w:autoSpaceDE w:val="0"/>
        <w:autoSpaceDN w:val="0"/>
        <w:adjustRightInd w:val="0"/>
        <w:jc w:val="both"/>
        <w:rPr>
          <w:del w:id="7916" w:author="AbbVie14" w:date="2025-05-09T10:33:00Z"/>
          <w:i/>
          <w:color w:val="000000"/>
          <w:sz w:val="22"/>
          <w:szCs w:val="22"/>
        </w:rPr>
      </w:pPr>
      <w:del w:id="7917" w:author="AbbVie14" w:date="2025-05-09T10:33:00Z">
        <w:r w:rsidRPr="00295E71">
          <w:rPr>
            <w:i/>
            <w:color w:val="000000"/>
            <w:sz w:val="22"/>
            <w:szCs w:val="22"/>
          </w:rPr>
          <w:delText>Autoanticorpi</w:delText>
        </w:r>
      </w:del>
    </w:p>
    <w:p w:rsidR="006224C2" w:rsidRPr="00295E71" w14:paraId="729934BB" w14:textId="77777777">
      <w:pPr>
        <w:keepNext/>
        <w:tabs>
          <w:tab w:val="left" w:pos="567"/>
        </w:tabs>
        <w:autoSpaceDE w:val="0"/>
        <w:autoSpaceDN w:val="0"/>
        <w:adjustRightInd w:val="0"/>
        <w:jc w:val="both"/>
        <w:rPr>
          <w:del w:id="7918" w:author="AbbVie14" w:date="2025-05-09T10:33:00Z"/>
          <w:color w:val="000000"/>
          <w:sz w:val="22"/>
          <w:szCs w:val="22"/>
        </w:rPr>
      </w:pPr>
    </w:p>
    <w:p w:rsidR="006224C2" w:rsidRPr="00295E71" w14:paraId="7A88D5AD" w14:textId="77777777">
      <w:pPr>
        <w:keepNext/>
        <w:tabs>
          <w:tab w:val="left" w:pos="567"/>
        </w:tabs>
        <w:autoSpaceDE w:val="0"/>
        <w:autoSpaceDN w:val="0"/>
        <w:adjustRightInd w:val="0"/>
        <w:jc w:val="both"/>
        <w:rPr>
          <w:del w:id="7919" w:author="AbbVie14" w:date="2025-05-09T10:33:00Z"/>
          <w:color w:val="000000"/>
          <w:sz w:val="22"/>
          <w:szCs w:val="22"/>
        </w:rPr>
      </w:pPr>
      <w:del w:id="7920" w:author="AbbVie14" w:date="2025-05-09T10:33:00Z">
        <w:r w:rsidRPr="00295E71">
          <w:rPr>
            <w:color w:val="000000"/>
            <w:sz w:val="22"/>
            <w:szCs w:val="22"/>
          </w:rPr>
          <w:delText>Nel corso d</w:delText>
        </w:r>
      </w:del>
      <w:del w:id="7921" w:author="AbbVie14" w:date="2025-05-09T10:33:00Z">
        <w:r w:rsidR="00D96F2B">
          <w:rPr>
            <w:color w:val="000000"/>
            <w:sz w:val="22"/>
            <w:szCs w:val="22"/>
          </w:rPr>
          <w:delText>egl</w:delText>
        </w:r>
      </w:del>
      <w:del w:id="7922" w:author="AbbVie14" w:date="2025-05-09T10:33:00Z">
        <w:r w:rsidRPr="00295E71">
          <w:rPr>
            <w:color w:val="000000"/>
            <w:sz w:val="22"/>
            <w:szCs w:val="22"/>
          </w:rPr>
          <w:delText xml:space="preserve">i studi I-V condotti sull’artrite reumatoide, sono stati analizzati, </w:delText>
        </w:r>
      </w:del>
      <w:del w:id="7923" w:author="AbbVie14" w:date="2025-05-09T10:33:00Z">
        <w:r w:rsidRPr="00020442" w:rsidR="00D96F2B">
          <w:rPr>
            <w:color w:val="000000"/>
            <w:sz w:val="22"/>
            <w:szCs w:val="22"/>
          </w:rPr>
          <w:delText>a vari intervalli temporali</w:delText>
        </w:r>
      </w:del>
      <w:del w:id="7924" w:author="AbbVie14" w:date="2025-05-09T10:33:00Z">
        <w:r w:rsidRPr="00295E71">
          <w:rPr>
            <w:color w:val="000000"/>
            <w:sz w:val="22"/>
            <w:szCs w:val="22"/>
          </w:rPr>
          <w:delText xml:space="preserve">, i campioni sierici dei pazienti per la valutazione degli autoanticorpi. In questi studi, l’11,9% dei pazienti trattati con Humira e l’8,1% dei pazienti trattati con placebo e con controllo attivo, che presentavano valori negativi di anticorpi antinucleo </w:delText>
        </w:r>
      </w:del>
      <w:del w:id="7925" w:author="AbbVie14" w:date="2025-05-09T10:33:00Z">
        <w:r w:rsidR="00D96F2B">
          <w:rPr>
            <w:color w:val="000000"/>
            <w:sz w:val="22"/>
            <w:szCs w:val="22"/>
          </w:rPr>
          <w:delText>al basale</w:delText>
        </w:r>
      </w:del>
      <w:del w:id="7926" w:author="AbbVie14" w:date="2025-05-09T10:33:00Z">
        <w:r w:rsidRPr="00295E71">
          <w:rPr>
            <w:color w:val="000000"/>
            <w:sz w:val="22"/>
            <w:szCs w:val="22"/>
          </w:rPr>
          <w:delText>, ha presentato valori positivi alla ventiquattresima settimana. Due pazienti su 3.441 trattati con Humira nel corso di tutti gli studi condotti sull’artrite reumatoide e sull’artrite psoriasica hanno manifestato segni clinici che indicavano l’inizio di una sindrome simile al lupus. I pazienti</w:delText>
        </w:r>
      </w:del>
      <w:del w:id="7927" w:author="AbbVie14" w:date="2025-05-09T10:33:00Z">
        <w:r w:rsidR="00D96F2B">
          <w:rPr>
            <w:color w:val="000000"/>
            <w:sz w:val="22"/>
            <w:szCs w:val="22"/>
          </w:rPr>
          <w:delText xml:space="preserve"> </w:delText>
        </w:r>
      </w:del>
      <w:del w:id="7928" w:author="AbbVie14" w:date="2025-05-09T10:33:00Z">
        <w:r w:rsidRPr="00295E71">
          <w:rPr>
            <w:color w:val="000000"/>
            <w:sz w:val="22"/>
            <w:szCs w:val="22"/>
          </w:rPr>
          <w:delText>sono migliorati dopo la sospensione della terapia. Nessun paziente ha sviluppato una nefrite da lupus o sintomi a carico del sistema nervoso centrale.</w:delText>
        </w:r>
      </w:del>
    </w:p>
    <w:p w:rsidR="006224C2" w:rsidRPr="00295E71" w14:paraId="6E7A55D7" w14:textId="77777777">
      <w:pPr>
        <w:tabs>
          <w:tab w:val="left" w:pos="567"/>
        </w:tabs>
        <w:autoSpaceDE w:val="0"/>
        <w:autoSpaceDN w:val="0"/>
        <w:adjustRightInd w:val="0"/>
        <w:jc w:val="both"/>
        <w:rPr>
          <w:del w:id="7929" w:author="AbbVie14" w:date="2025-05-09T10:33:00Z"/>
          <w:color w:val="000000"/>
          <w:sz w:val="22"/>
          <w:szCs w:val="22"/>
        </w:rPr>
      </w:pPr>
    </w:p>
    <w:p w:rsidR="006224C2" w:rsidRPr="00295E71" w:rsidP="005D5C2F" w14:paraId="663C0D04" w14:textId="77777777">
      <w:pPr>
        <w:keepNext/>
        <w:keepLines/>
        <w:rPr>
          <w:del w:id="7930" w:author="AbbVie14" w:date="2025-05-09T10:33:00Z"/>
          <w:i/>
          <w:sz w:val="22"/>
          <w:szCs w:val="22"/>
        </w:rPr>
      </w:pPr>
      <w:del w:id="7931" w:author="AbbVie14" w:date="2025-05-09T10:33:00Z">
        <w:r w:rsidRPr="00295E71">
          <w:rPr>
            <w:i/>
            <w:sz w:val="22"/>
            <w:szCs w:val="22"/>
          </w:rPr>
          <w:delText>Eventi epato-biliari</w:delText>
        </w:r>
      </w:del>
    </w:p>
    <w:p w:rsidR="006224C2" w:rsidRPr="00295E71" w:rsidP="005D5C2F" w14:paraId="28CC52A8" w14:textId="77777777">
      <w:pPr>
        <w:keepNext/>
        <w:keepLines/>
        <w:tabs>
          <w:tab w:val="left" w:pos="567"/>
        </w:tabs>
        <w:ind w:left="567" w:hanging="567"/>
        <w:jc w:val="both"/>
        <w:rPr>
          <w:del w:id="7932" w:author="AbbVie14" w:date="2025-05-09T10:34:00Z"/>
          <w:sz w:val="22"/>
          <w:szCs w:val="22"/>
          <w:u w:val="single"/>
        </w:rPr>
      </w:pPr>
    </w:p>
    <w:p w:rsidR="006224C2" w:rsidRPr="00295E71" w:rsidP="005D5C2F" w14:paraId="418BC8B4" w14:textId="77777777">
      <w:pPr>
        <w:keepNext/>
        <w:keepLines/>
        <w:tabs>
          <w:tab w:val="left" w:pos="180"/>
          <w:tab w:val="left" w:pos="360"/>
        </w:tabs>
        <w:jc w:val="both"/>
        <w:rPr>
          <w:del w:id="7933" w:author="AbbVie14" w:date="2025-05-09T10:34:00Z"/>
          <w:sz w:val="22"/>
          <w:szCs w:val="22"/>
        </w:rPr>
      </w:pPr>
      <w:del w:id="7934" w:author="AbbVie14" w:date="2025-05-09T10:34:00Z">
        <w:r w:rsidRPr="00295E71">
          <w:rPr>
            <w:iCs/>
            <w:sz w:val="22"/>
            <w:szCs w:val="22"/>
          </w:rPr>
          <w:delText>Negli</w:delText>
        </w:r>
      </w:del>
      <w:del w:id="7935" w:author="AbbVie14" w:date="2025-05-09T10:34:00Z">
        <w:r w:rsidR="00D96F2B">
          <w:rPr>
            <w:iCs/>
            <w:sz w:val="22"/>
            <w:szCs w:val="22"/>
          </w:rPr>
          <w:delText xml:space="preserve"> </w:delText>
        </w:r>
      </w:del>
      <w:del w:id="7936" w:author="AbbVie14" w:date="2025-05-09T10:34:00Z">
        <w:r w:rsidRPr="00295E71">
          <w:rPr>
            <w:sz w:val="22"/>
            <w:szCs w:val="22"/>
          </w:rPr>
          <w:delText>studi clinici controllati di Fase 3 di Humira in pazienti con artrite reumatoide e artrite psoriasica con una durata del periodo di controllo che va da 4 a 104 settimane, gli aumenti delle transaminasi ALT superiori o uguali a tre volte il limite superiore di normalità si sono verificati nel 3</w:delText>
        </w:r>
      </w:del>
      <w:del w:id="7937" w:author="AbbVie14" w:date="2025-05-09T10:34:00Z">
        <w:r w:rsidR="00D96F2B">
          <w:rPr>
            <w:sz w:val="22"/>
            <w:szCs w:val="22"/>
          </w:rPr>
          <w:delText>,</w:delText>
        </w:r>
      </w:del>
      <w:del w:id="7938" w:author="AbbVie14" w:date="2025-05-09T10:34:00Z">
        <w:r w:rsidRPr="00295E71">
          <w:rPr>
            <w:sz w:val="22"/>
            <w:szCs w:val="22"/>
          </w:rPr>
          <w:delText>7% dei pazienti trattati con Humira e nell’1</w:delText>
        </w:r>
      </w:del>
      <w:del w:id="7939" w:author="AbbVie14" w:date="2025-05-09T10:34:00Z">
        <w:r w:rsidR="00D96F2B">
          <w:rPr>
            <w:sz w:val="22"/>
            <w:szCs w:val="22"/>
          </w:rPr>
          <w:delText>,</w:delText>
        </w:r>
      </w:del>
      <w:del w:id="7940" w:author="AbbVie14" w:date="2025-05-09T10:34:00Z">
        <w:r w:rsidRPr="00295E71">
          <w:rPr>
            <w:sz w:val="22"/>
            <w:szCs w:val="22"/>
          </w:rPr>
          <w:delText>6% dei pazienti trattati con il controllo.</w:delText>
        </w:r>
      </w:del>
    </w:p>
    <w:p w:rsidR="006224C2" w:rsidRPr="00295E71" w14:paraId="2A9F7AC8" w14:textId="77777777">
      <w:pPr>
        <w:tabs>
          <w:tab w:val="left" w:pos="180"/>
          <w:tab w:val="left" w:pos="360"/>
        </w:tabs>
        <w:jc w:val="both"/>
        <w:rPr>
          <w:del w:id="7941" w:author="AbbVie14" w:date="2025-05-09T10:34:00Z"/>
          <w:sz w:val="22"/>
          <w:szCs w:val="22"/>
        </w:rPr>
      </w:pPr>
    </w:p>
    <w:p w:rsidR="006224C2" w:rsidRPr="00295E71" w14:paraId="433618E2" w14:textId="77777777">
      <w:pPr>
        <w:rPr>
          <w:del w:id="7942" w:author="AbbVie14" w:date="2025-05-09T10:34:00Z"/>
          <w:iCs/>
          <w:sz w:val="22"/>
          <w:szCs w:val="22"/>
          <w:lang w:eastAsia="en-US"/>
        </w:rPr>
      </w:pPr>
      <w:del w:id="7943" w:author="AbbVie14" w:date="2025-05-09T10:34:00Z">
        <w:r w:rsidRPr="00295E71">
          <w:rPr>
            <w:iCs/>
            <w:sz w:val="22"/>
            <w:szCs w:val="22"/>
            <w:lang w:eastAsia="en-US"/>
          </w:rPr>
          <w:delText>Negli studi clinici controllati di Fase 3 di Humira in pazienti con artrite idiopatica giovanile poliarticolare che avevano da 4 a 17 anni di età e in pazienti con artrite associata ad entesite, dai 6 ai 17 anni di età, gli aumenti delle transaminasi ALT superiori o uguali a tre volte il limite superiore di normalità ULN si sono verificati nel 6</w:delText>
        </w:r>
      </w:del>
      <w:del w:id="7944" w:author="AbbVie14" w:date="2025-05-09T10:34:00Z">
        <w:r w:rsidR="00D96F2B">
          <w:rPr>
            <w:iCs/>
            <w:sz w:val="22"/>
            <w:szCs w:val="22"/>
            <w:lang w:eastAsia="en-US"/>
          </w:rPr>
          <w:delText>,</w:delText>
        </w:r>
      </w:del>
      <w:del w:id="7945" w:author="AbbVie14" w:date="2025-05-09T10:34:00Z">
        <w:r w:rsidRPr="00295E71">
          <w:rPr>
            <w:iCs/>
            <w:sz w:val="22"/>
            <w:szCs w:val="22"/>
            <w:lang w:eastAsia="en-US"/>
          </w:rPr>
          <w:delText>1% dei pazienti trattati con Humira e nel</w:delText>
        </w:r>
      </w:del>
      <w:del w:id="7946" w:author="AbbVie14" w:date="2025-05-09T10:34:00Z">
        <w:r w:rsidR="00D96F2B">
          <w:rPr>
            <w:iCs/>
            <w:sz w:val="22"/>
            <w:szCs w:val="22"/>
            <w:lang w:eastAsia="en-US"/>
          </w:rPr>
          <w:delText>l’</w:delText>
        </w:r>
      </w:del>
      <w:del w:id="7947" w:author="AbbVie14" w:date="2025-05-09T10:34:00Z">
        <w:r w:rsidRPr="00295E71">
          <w:rPr>
            <w:iCs/>
            <w:sz w:val="22"/>
            <w:szCs w:val="22"/>
            <w:lang w:eastAsia="en-US"/>
          </w:rPr>
          <w:delText>1</w:delText>
        </w:r>
      </w:del>
      <w:del w:id="7948" w:author="AbbVie14" w:date="2025-05-09T10:34:00Z">
        <w:r w:rsidR="00D96F2B">
          <w:rPr>
            <w:iCs/>
            <w:sz w:val="22"/>
            <w:szCs w:val="22"/>
            <w:lang w:eastAsia="en-US"/>
          </w:rPr>
          <w:delText>,</w:delText>
        </w:r>
      </w:del>
      <w:del w:id="7949" w:author="AbbVie14" w:date="2025-05-09T10:34:00Z">
        <w:r w:rsidRPr="00295E71">
          <w:rPr>
            <w:iCs/>
            <w:sz w:val="22"/>
            <w:szCs w:val="22"/>
            <w:lang w:eastAsia="en-US"/>
          </w:rPr>
          <w:delText>3% dei pazienti trattati con il farmaco di controllo. La maggior parte degli aumenti delle transaminasi ALT si sono verificati con l’uso concomitante di metotressato. Non si sono verificati aumenti delle transaminasi ALT superior</w:delText>
        </w:r>
      </w:del>
      <w:del w:id="7950" w:author="AbbVie14" w:date="2025-05-09T10:34:00Z">
        <w:r w:rsidR="00D96F2B">
          <w:rPr>
            <w:iCs/>
            <w:sz w:val="22"/>
            <w:szCs w:val="22"/>
            <w:lang w:eastAsia="en-US"/>
          </w:rPr>
          <w:delText>i</w:delText>
        </w:r>
      </w:del>
      <w:del w:id="7951" w:author="AbbVie14" w:date="2025-05-09T10:34:00Z">
        <w:r w:rsidRPr="00295E71">
          <w:rPr>
            <w:iCs/>
            <w:sz w:val="22"/>
            <w:szCs w:val="22"/>
            <w:lang w:eastAsia="en-US"/>
          </w:rPr>
          <w:delText xml:space="preserve"> o ugual</w:delText>
        </w:r>
      </w:del>
      <w:del w:id="7952" w:author="AbbVie14" w:date="2025-05-09T10:34:00Z">
        <w:r w:rsidR="00D96F2B">
          <w:rPr>
            <w:iCs/>
            <w:sz w:val="22"/>
            <w:szCs w:val="22"/>
            <w:lang w:eastAsia="en-US"/>
          </w:rPr>
          <w:delText>i</w:delText>
        </w:r>
      </w:del>
      <w:del w:id="7953" w:author="AbbVie14" w:date="2025-05-09T10:34:00Z">
        <w:r w:rsidRPr="00295E71">
          <w:rPr>
            <w:iCs/>
            <w:sz w:val="22"/>
            <w:szCs w:val="22"/>
            <w:lang w:eastAsia="en-US"/>
          </w:rPr>
          <w:delText xml:space="preserve"> a tre volte il limite superiore di normalità nello studio clinico di Fase 3 con Humira in pazienti con artrite idiopatica giovanile poliarticolare di età compresa tra 2 e &lt;4 anni.</w:delText>
        </w:r>
      </w:del>
    </w:p>
    <w:p w:rsidR="006224C2" w:rsidRPr="00295E71" w14:paraId="0D6561DC" w14:textId="77777777">
      <w:pPr>
        <w:tabs>
          <w:tab w:val="left" w:pos="180"/>
          <w:tab w:val="left" w:pos="360"/>
        </w:tabs>
        <w:jc w:val="both"/>
        <w:rPr>
          <w:del w:id="7954" w:author="AbbVie14" w:date="2025-05-09T10:34:00Z"/>
          <w:sz w:val="22"/>
          <w:szCs w:val="22"/>
        </w:rPr>
      </w:pPr>
    </w:p>
    <w:p w:rsidR="006224C2" w:rsidRPr="00295E71" w14:paraId="0567DA8A" w14:textId="77777777">
      <w:pPr>
        <w:rPr>
          <w:del w:id="7955" w:author="AbbVie14" w:date="2025-05-09T10:34:00Z"/>
          <w:iCs/>
          <w:sz w:val="22"/>
          <w:szCs w:val="22"/>
          <w:lang w:eastAsia="en-US"/>
        </w:rPr>
      </w:pPr>
      <w:del w:id="7956" w:author="AbbVie14" w:date="2025-05-09T10:34:00Z">
        <w:r w:rsidRPr="00295E71">
          <w:rPr>
            <w:iCs/>
            <w:sz w:val="22"/>
            <w:szCs w:val="22"/>
            <w:lang w:eastAsia="en-US"/>
          </w:rPr>
          <w:delText>Negli studi clinici controllati di Fase 3 di Humira in pazienti con malattia di Crohn e colite ulcerosa con un periodo di controllo che va da 4 a 52 settimane, gli aumenti delle transaminasi ALT</w:delText>
        </w:r>
      </w:del>
      <w:del w:id="7957" w:author="AbbVie14" w:date="2025-05-09T10:34:00Z">
        <w:r w:rsidR="00D96F2B">
          <w:rPr>
            <w:iCs/>
            <w:sz w:val="22"/>
            <w:szCs w:val="22"/>
            <w:lang w:eastAsia="en-US"/>
          </w:rPr>
          <w:delText xml:space="preserve"> </w:delText>
        </w:r>
      </w:del>
      <w:del w:id="7958" w:author="AbbVie14" w:date="2025-05-09T10:34:00Z">
        <w:r w:rsidRPr="00295E71">
          <w:rPr>
            <w:iCs/>
            <w:sz w:val="22"/>
            <w:szCs w:val="22"/>
            <w:lang w:eastAsia="en-US"/>
          </w:rPr>
          <w:delText>superiori o uguali a tre volte il limite superiore di normalità</w:delText>
        </w:r>
      </w:del>
      <w:del w:id="7959" w:author="AbbVie14" w:date="2025-05-09T10:34:00Z">
        <w:r w:rsidR="00A06B0A">
          <w:rPr>
            <w:iCs/>
            <w:sz w:val="22"/>
            <w:szCs w:val="22"/>
            <w:lang w:eastAsia="en-US"/>
          </w:rPr>
          <w:delText xml:space="preserve"> </w:delText>
        </w:r>
      </w:del>
      <w:del w:id="7960" w:author="AbbVie14" w:date="2025-05-09T10:34:00Z">
        <w:r w:rsidRPr="00295E71">
          <w:rPr>
            <w:iCs/>
            <w:sz w:val="22"/>
            <w:szCs w:val="22"/>
            <w:lang w:eastAsia="en-US"/>
          </w:rPr>
          <w:delText>si sono verificati nello 0</w:delText>
        </w:r>
      </w:del>
      <w:del w:id="7961" w:author="AbbVie14" w:date="2025-05-09T10:34:00Z">
        <w:r w:rsidR="00A06B0A">
          <w:rPr>
            <w:iCs/>
            <w:sz w:val="22"/>
            <w:szCs w:val="22"/>
            <w:lang w:eastAsia="en-US"/>
          </w:rPr>
          <w:delText>,</w:delText>
        </w:r>
      </w:del>
      <w:del w:id="7962" w:author="AbbVie14" w:date="2025-05-09T10:34:00Z">
        <w:r w:rsidRPr="00295E71">
          <w:rPr>
            <w:iCs/>
            <w:sz w:val="22"/>
            <w:szCs w:val="22"/>
            <w:lang w:eastAsia="en-US"/>
          </w:rPr>
          <w:delText>9% dei pazienti trattati con Humira e nello 0</w:delText>
        </w:r>
      </w:del>
      <w:del w:id="7963" w:author="AbbVie14" w:date="2025-05-09T10:34:00Z">
        <w:r w:rsidR="00A06B0A">
          <w:rPr>
            <w:iCs/>
            <w:sz w:val="22"/>
            <w:szCs w:val="22"/>
            <w:lang w:eastAsia="en-US"/>
          </w:rPr>
          <w:delText>,</w:delText>
        </w:r>
      </w:del>
      <w:del w:id="7964" w:author="AbbVie14" w:date="2025-05-09T10:34:00Z">
        <w:r w:rsidRPr="00295E71">
          <w:rPr>
            <w:iCs/>
            <w:sz w:val="22"/>
            <w:szCs w:val="22"/>
            <w:lang w:eastAsia="en-US"/>
          </w:rPr>
          <w:delText>9% dei pazienti trattati con il controllo.</w:delText>
        </w:r>
      </w:del>
    </w:p>
    <w:p w:rsidR="006224C2" w:rsidRPr="00295E71" w14:paraId="7C379AA6" w14:textId="77777777">
      <w:pPr>
        <w:pStyle w:val="EMEANormal"/>
        <w:jc w:val="both"/>
        <w:rPr>
          <w:del w:id="7965" w:author="AbbVie14" w:date="2025-05-09T10:34:00Z"/>
          <w:iCs/>
          <w:lang w:val="it-IT"/>
        </w:rPr>
      </w:pPr>
    </w:p>
    <w:p w:rsidR="006224C2" w:rsidRPr="00295E71" w14:paraId="7C34CD2F" w14:textId="77777777">
      <w:pPr>
        <w:pStyle w:val="EMEANormal"/>
        <w:jc w:val="both"/>
        <w:rPr>
          <w:del w:id="7966" w:author="AbbVie14" w:date="2025-05-09T10:34:00Z"/>
          <w:lang w:val="it-IT"/>
        </w:rPr>
      </w:pPr>
      <w:del w:id="7967" w:author="AbbVie14" w:date="2025-05-09T10:34:00Z">
        <w:r w:rsidRPr="00295E71">
          <w:rPr>
            <w:lang w:val="it-IT"/>
          </w:rPr>
          <w:delText>Nello studio di fase 3 di Humira, in pazienti con malattia di C</w:delText>
        </w:r>
      </w:del>
      <w:del w:id="7968" w:author="AbbVie14" w:date="2025-05-09T10:34:00Z">
        <w:r w:rsidR="00A06B0A">
          <w:rPr>
            <w:lang w:val="it-IT"/>
          </w:rPr>
          <w:delText>rohn</w:delText>
        </w:r>
      </w:del>
      <w:del w:id="7969" w:author="AbbVie14" w:date="2025-05-09T10:34:00Z">
        <w:r w:rsidRPr="00295E71">
          <w:rPr>
            <w:lang w:val="it-IT"/>
          </w:rPr>
          <w:delText xml:space="preserve"> in età pediatrica, che ha valutato la sicurezza e l’efficacia dei due regimi posologici aggiustati per il peso corporeo per la terapia di mantenimento che segue la terapia di induzione aggiustata per il peso fino a 52 settimane, sono stati trovati livelli di ALT superior</w:delText>
        </w:r>
      </w:del>
      <w:del w:id="7970" w:author="AbbVie14" w:date="2025-05-09T10:34:00Z">
        <w:r w:rsidR="00A06B0A">
          <w:rPr>
            <w:lang w:val="it-IT"/>
          </w:rPr>
          <w:delText>i</w:delText>
        </w:r>
      </w:del>
      <w:del w:id="7971" w:author="AbbVie14" w:date="2025-05-09T10:34:00Z">
        <w:r w:rsidRPr="00295E71">
          <w:rPr>
            <w:lang w:val="it-IT"/>
          </w:rPr>
          <w:delText xml:space="preserve"> o ugual</w:delText>
        </w:r>
      </w:del>
      <w:del w:id="7972" w:author="AbbVie14" w:date="2025-05-09T10:34:00Z">
        <w:r w:rsidR="00A06B0A">
          <w:rPr>
            <w:lang w:val="it-IT"/>
          </w:rPr>
          <w:delText>i</w:delText>
        </w:r>
      </w:del>
      <w:del w:id="7973" w:author="AbbVie14" w:date="2025-05-09T10:34:00Z">
        <w:r w:rsidRPr="00295E71">
          <w:rPr>
            <w:lang w:val="it-IT"/>
          </w:rPr>
          <w:delText xml:space="preserve"> a tre volte il limite superiore di normalità nel 2,6% (5/192) dei pazienti di cui 4 ricevevano</w:delText>
        </w:r>
      </w:del>
      <w:del w:id="7974" w:author="AbbVie14" w:date="2025-05-09T10:34:00Z">
        <w:r w:rsidR="00A06B0A">
          <w:rPr>
            <w:lang w:val="it-IT"/>
          </w:rPr>
          <w:delText xml:space="preserve"> </w:delText>
        </w:r>
      </w:del>
      <w:del w:id="7975" w:author="AbbVie14" w:date="2025-05-09T10:34:00Z">
        <w:r w:rsidRPr="00295E71">
          <w:rPr>
            <w:lang w:val="it-IT"/>
          </w:rPr>
          <w:delText xml:space="preserve">un trattamento concomitante con immunosoppressori </w:delText>
        </w:r>
      </w:del>
      <w:del w:id="7976" w:author="AbbVie14" w:date="2025-05-09T10:34:00Z">
        <w:r w:rsidR="00A06B0A">
          <w:rPr>
            <w:lang w:val="it-IT"/>
          </w:rPr>
          <w:delText xml:space="preserve">al </w:delText>
        </w:r>
      </w:del>
      <w:del w:id="7977" w:author="AbbVie14" w:date="2025-05-09T10:34:00Z">
        <w:r w:rsidRPr="00295E71">
          <w:rPr>
            <w:lang w:val="it-IT"/>
          </w:rPr>
          <w:delText>basal</w:delText>
        </w:r>
      </w:del>
      <w:del w:id="7978" w:author="AbbVie14" w:date="2025-05-09T10:34:00Z">
        <w:r w:rsidR="00A06B0A">
          <w:rPr>
            <w:lang w:val="it-IT"/>
          </w:rPr>
          <w:delText>e</w:delText>
        </w:r>
      </w:del>
      <w:del w:id="7979" w:author="AbbVie14" w:date="2025-05-09T10:34:00Z">
        <w:r w:rsidRPr="00295E71">
          <w:rPr>
            <w:lang w:val="it-IT"/>
          </w:rPr>
          <w:delText xml:space="preserve">. </w:delText>
        </w:r>
      </w:del>
    </w:p>
    <w:p w:rsidR="006224C2" w:rsidRPr="00295E71" w14:paraId="10B08015" w14:textId="77777777">
      <w:pPr>
        <w:tabs>
          <w:tab w:val="left" w:pos="180"/>
          <w:tab w:val="left" w:pos="360"/>
        </w:tabs>
        <w:jc w:val="both"/>
        <w:rPr>
          <w:del w:id="7980" w:author="AbbVie14" w:date="2025-05-09T10:34:00Z"/>
          <w:sz w:val="22"/>
          <w:szCs w:val="22"/>
        </w:rPr>
      </w:pPr>
    </w:p>
    <w:p w:rsidR="006224C2" w:rsidRPr="00295E71" w14:paraId="5E2E70C8" w14:textId="77777777">
      <w:pPr>
        <w:pStyle w:val="EMEANormal"/>
        <w:jc w:val="both"/>
        <w:rPr>
          <w:del w:id="7981" w:author="AbbVie14" w:date="2025-05-09T10:34:00Z"/>
          <w:lang w:val="it-IT"/>
        </w:rPr>
      </w:pPr>
      <w:del w:id="7982" w:author="AbbVie14" w:date="2025-05-09T10:34:00Z">
        <w:r w:rsidRPr="00295E71">
          <w:rPr>
            <w:iCs/>
            <w:lang w:val="it-IT"/>
          </w:rPr>
          <w:delText>Negli</w:delText>
        </w:r>
      </w:del>
      <w:del w:id="7983" w:author="AbbVie14" w:date="2025-05-09T10:34:00Z">
        <w:r w:rsidRPr="00295E71">
          <w:rPr>
            <w:lang w:val="it-IT"/>
          </w:rPr>
          <w:delText xml:space="preserve"> studi clinici controllati di Fase 3 di Humira in pazienti con Psoriasi a placche con una durata del periodo di controllo che va da 12 a 24 settimane, gli aumenti delle transaminasi ALT superiori o uguali a tre volte il limite superiore di normalità si sono verificati nell’1</w:delText>
        </w:r>
      </w:del>
      <w:del w:id="7984" w:author="AbbVie14" w:date="2025-05-09T10:34:00Z">
        <w:r w:rsidR="00A06B0A">
          <w:rPr>
            <w:lang w:val="it-IT"/>
          </w:rPr>
          <w:delText>,</w:delText>
        </w:r>
      </w:del>
      <w:del w:id="7985" w:author="AbbVie14" w:date="2025-05-09T10:34:00Z">
        <w:r w:rsidRPr="00295E71">
          <w:rPr>
            <w:lang w:val="it-IT"/>
          </w:rPr>
          <w:delText>8% dei pazienti trattati con Humira e nell’1</w:delText>
        </w:r>
      </w:del>
      <w:del w:id="7986" w:author="AbbVie14" w:date="2025-05-09T10:34:00Z">
        <w:r w:rsidR="00A06B0A">
          <w:rPr>
            <w:lang w:val="it-IT"/>
          </w:rPr>
          <w:delText>,</w:delText>
        </w:r>
      </w:del>
      <w:del w:id="7987" w:author="AbbVie14" w:date="2025-05-09T10:34:00Z">
        <w:r w:rsidRPr="00295E71">
          <w:rPr>
            <w:lang w:val="it-IT"/>
          </w:rPr>
          <w:delText>8% dei pazienti trattati con il controllo.</w:delText>
        </w:r>
      </w:del>
    </w:p>
    <w:p w:rsidR="006224C2" w:rsidRPr="00295E71" w14:paraId="36A9899D" w14:textId="77777777">
      <w:pPr>
        <w:pStyle w:val="EMEANormal"/>
        <w:jc w:val="both"/>
        <w:rPr>
          <w:del w:id="7988" w:author="AbbVie14" w:date="2025-05-09T10:34:00Z"/>
          <w:lang w:val="it-IT"/>
        </w:rPr>
      </w:pPr>
    </w:p>
    <w:p w:rsidR="006224C2" w:rsidRPr="00295E71" w14:paraId="21112786" w14:textId="77777777">
      <w:pPr>
        <w:pStyle w:val="EMEANormal"/>
        <w:jc w:val="both"/>
        <w:rPr>
          <w:del w:id="7989" w:author="AbbVie14" w:date="2025-05-09T10:34:00Z"/>
          <w:lang w:val="it-IT"/>
        </w:rPr>
      </w:pPr>
      <w:del w:id="7990" w:author="AbbVie14" w:date="2025-05-09T10:34:00Z">
        <w:r w:rsidRPr="00295E71">
          <w:rPr>
            <w:lang w:val="it-IT"/>
          </w:rPr>
          <w:delText>Nello studio di fase 3 di Humira in pazienti pediatrici con psoriasi a placche non si è verificato alcun aumento dei livelli di ALT superiore o uguale a tre volte il limite superiore di normalità.</w:delText>
        </w:r>
      </w:del>
    </w:p>
    <w:p w:rsidR="006224C2" w:rsidRPr="00295E71" w14:paraId="2A261134" w14:textId="77777777">
      <w:pPr>
        <w:pStyle w:val="EMEANormal"/>
        <w:jc w:val="both"/>
        <w:rPr>
          <w:del w:id="7991" w:author="AbbVie14" w:date="2025-05-09T10:34:00Z"/>
          <w:lang w:val="it-IT"/>
        </w:rPr>
      </w:pPr>
    </w:p>
    <w:p w:rsidR="006224C2" w:rsidRPr="00295E71" w14:paraId="116EC359" w14:textId="77777777">
      <w:pPr>
        <w:pStyle w:val="EMEANormal"/>
        <w:jc w:val="both"/>
        <w:rPr>
          <w:del w:id="7992" w:author="AbbVie14" w:date="2025-05-09T10:34:00Z"/>
          <w:lang w:val="it-IT"/>
        </w:rPr>
      </w:pPr>
      <w:del w:id="7993" w:author="AbbVie14" w:date="2025-05-09T10:34:00Z">
        <w:r w:rsidRPr="00295E71">
          <w:rPr>
            <w:lang w:val="it-IT"/>
          </w:rPr>
          <w:delText>Negli studi clinici controllati di Humira (dosi iniziali di 160 mg alla settimana 0 e 80 mg alla settimana 2, seguiti da 40 mg ogni settimana a partire dalla settimana 4) in pazienti con Idrosadenite Suppurativa, con una durata del periodo di controllo tra 12 e 16 settimane, aumenti dei livelli di ALT superiori o uguali a tre volte il limite superiore di normalità si sono verificati nello 0</w:delText>
        </w:r>
      </w:del>
      <w:del w:id="7994" w:author="AbbVie14" w:date="2025-05-09T10:34:00Z">
        <w:r w:rsidR="00A06B0A">
          <w:rPr>
            <w:lang w:val="it-IT"/>
          </w:rPr>
          <w:delText>,</w:delText>
        </w:r>
      </w:del>
      <w:del w:id="7995" w:author="AbbVie14" w:date="2025-05-09T10:34:00Z">
        <w:r w:rsidRPr="00295E71">
          <w:rPr>
            <w:lang w:val="it-IT"/>
          </w:rPr>
          <w:delText>3% dei pazienti trattati con Humira e nello 0</w:delText>
        </w:r>
      </w:del>
      <w:del w:id="7996" w:author="AbbVie14" w:date="2025-05-09T10:34:00Z">
        <w:r w:rsidR="00A06B0A">
          <w:rPr>
            <w:lang w:val="it-IT"/>
          </w:rPr>
          <w:delText>,</w:delText>
        </w:r>
      </w:del>
      <w:del w:id="7997" w:author="AbbVie14" w:date="2025-05-09T10:34:00Z">
        <w:r w:rsidRPr="00295E71">
          <w:rPr>
            <w:lang w:val="it-IT"/>
          </w:rPr>
          <w:delText xml:space="preserve">6% dei pazienti trattati con il controllo.  </w:delText>
        </w:r>
      </w:del>
    </w:p>
    <w:p w:rsidR="006224C2" w:rsidRPr="00295E71" w14:paraId="6148DD6F" w14:textId="77777777">
      <w:pPr>
        <w:pStyle w:val="EMEANormal"/>
        <w:jc w:val="both"/>
        <w:rPr>
          <w:del w:id="7998" w:author="AbbVie14" w:date="2025-05-09T10:34:00Z"/>
          <w:lang w:val="it-IT"/>
        </w:rPr>
      </w:pPr>
    </w:p>
    <w:p w:rsidR="006224C2" w:rsidRPr="00295E71" w14:paraId="4363DCB1" w14:textId="77777777">
      <w:pPr>
        <w:pStyle w:val="EMEANormal"/>
        <w:jc w:val="both"/>
        <w:rPr>
          <w:del w:id="7999" w:author="AbbVie14" w:date="2025-05-09T10:34:00Z"/>
          <w:lang w:val="it-IT"/>
        </w:rPr>
      </w:pPr>
      <w:del w:id="8000" w:author="AbbVie14" w:date="2025-05-09T10:34:00Z">
        <w:r w:rsidRPr="00295E71">
          <w:rPr>
            <w:lang w:val="it-IT"/>
          </w:rPr>
          <w:delText xml:space="preserve">Negli studi clinici controllati di Humira (dosi iniziali di 80 mg alla settimana 0 seguiti da 40 mg a settimane alterne a partire dalla settimana 1) in pazienti </w:delText>
        </w:r>
      </w:del>
      <w:del w:id="8001" w:author="AbbVie14" w:date="2025-05-09T10:34:00Z">
        <w:r w:rsidRPr="00295E71" w:rsidR="00224A12">
          <w:rPr>
            <w:lang w:val="it-IT"/>
          </w:rPr>
          <w:delText xml:space="preserve">adulti </w:delText>
        </w:r>
      </w:del>
      <w:del w:id="8002" w:author="AbbVie14" w:date="2025-05-09T10:34:00Z">
        <w:r w:rsidRPr="00295E71">
          <w:rPr>
            <w:lang w:val="it-IT"/>
          </w:rPr>
          <w:delText>con uveite fino a 80 settimane con un’esposizione mediana rispettivamente di 166,5 giorni nei pazienti trattati con Humira e di 105,0 giorni nei pazienti trattati con il controllo, aumenti dei livelli di ALT superiori o uguali a tre volte il limite superiore di normalità ULN si sono verificati nel 2,4% dei pazienti trattati con Humira e nel 2,4% dei pazienti trattati con il controllo.</w:delText>
        </w:r>
      </w:del>
    </w:p>
    <w:p w:rsidR="006224C2" w14:paraId="69164552" w14:textId="77777777">
      <w:pPr>
        <w:pStyle w:val="EMEANormal"/>
        <w:jc w:val="both"/>
        <w:rPr>
          <w:del w:id="8003" w:author="AbbVie14" w:date="2025-05-09T10:34:00Z"/>
          <w:lang w:val="it-IT"/>
        </w:rPr>
      </w:pPr>
    </w:p>
    <w:p w:rsidR="000644E2" w:rsidP="000644E2" w14:paraId="166E3E85" w14:textId="77777777">
      <w:pPr>
        <w:pStyle w:val="EMEANormal"/>
        <w:jc w:val="both"/>
        <w:rPr>
          <w:del w:id="8004" w:author="AbbVie14" w:date="2025-05-09T10:34:00Z"/>
          <w:lang w:val="it-IT"/>
        </w:rPr>
      </w:pPr>
      <w:bookmarkStart w:id="8005" w:name="_Hlk53739002"/>
      <w:del w:id="8006" w:author="AbbVie14" w:date="2025-05-09T10:34:00Z">
        <w:r>
          <w:rPr>
            <w:lang w:val="it-IT"/>
          </w:rPr>
          <w:delText>Uno</w:delText>
        </w:r>
      </w:del>
      <w:del w:id="8007" w:author="AbbVie14" w:date="2025-05-09T10:34:00Z">
        <w:r w:rsidRPr="000203FD">
          <w:rPr>
            <w:lang w:val="it-IT"/>
          </w:rPr>
          <w:delText xml:space="preserve"> studio controllato di fase 3 </w:delText>
        </w:r>
      </w:del>
      <w:del w:id="8008" w:author="AbbVie14" w:date="2025-05-09T10:34:00Z">
        <w:r>
          <w:rPr>
            <w:lang w:val="it-IT"/>
          </w:rPr>
          <w:delText>su</w:delText>
        </w:r>
      </w:del>
      <w:del w:id="8009" w:author="AbbVie14" w:date="2025-05-09T10:34:00Z">
        <w:r w:rsidRPr="000203FD">
          <w:rPr>
            <w:lang w:val="it-IT"/>
          </w:rPr>
          <w:delText xml:space="preserve"> Humira in pazienti </w:delText>
        </w:r>
      </w:del>
      <w:del w:id="8010" w:author="AbbVie14" w:date="2025-05-09T10:34:00Z">
        <w:r>
          <w:rPr>
            <w:lang w:val="it-IT"/>
          </w:rPr>
          <w:delText>affetti da</w:delText>
        </w:r>
      </w:del>
      <w:del w:id="8011" w:author="AbbVie14" w:date="2025-05-09T10:34:00Z">
        <w:r w:rsidRPr="000203FD">
          <w:rPr>
            <w:lang w:val="it-IT"/>
          </w:rPr>
          <w:delText xml:space="preserve"> colite ulcerosa pediatrica (N=93) ha valutato l'efficacia e la sicurezza di una dose di induzione aggiust</w:delText>
        </w:r>
      </w:del>
      <w:del w:id="8012" w:author="AbbVie14" w:date="2025-05-09T10:34:00Z">
        <w:r>
          <w:rPr>
            <w:lang w:val="it-IT"/>
          </w:rPr>
          <w:delText>ata per il peso corporeo di 2,4 </w:delText>
        </w:r>
      </w:del>
      <w:del w:id="8013" w:author="AbbVie14" w:date="2025-05-09T10:34:00Z">
        <w:r w:rsidRPr="000203FD">
          <w:rPr>
            <w:lang w:val="it-IT"/>
          </w:rPr>
          <w:delText>mg/kg (massimo 160 mg) alla Settimana</w:delText>
        </w:r>
      </w:del>
      <w:del w:id="8014" w:author="AbbVie14" w:date="2025-05-09T10:34:00Z">
        <w:r>
          <w:rPr>
            <w:lang w:val="it-IT"/>
          </w:rPr>
          <w:delText xml:space="preserve"> 0 e alla Settimana 1 e di 1,2 mg/kg (massimo 80 </w:delText>
        </w:r>
      </w:del>
      <w:del w:id="8015" w:author="AbbVie14" w:date="2025-05-09T10:34:00Z">
        <w:r w:rsidRPr="000203FD">
          <w:rPr>
            <w:lang w:val="it-IT"/>
          </w:rPr>
          <w:delText>mg) alla Settimana 2 (N=63), o</w:delText>
        </w:r>
      </w:del>
      <w:del w:id="8016" w:author="AbbVie14" w:date="2025-05-09T10:34:00Z">
        <w:r>
          <w:rPr>
            <w:lang w:val="it-IT"/>
          </w:rPr>
          <w:delText>ppure</w:delText>
        </w:r>
      </w:del>
      <w:del w:id="8017" w:author="AbbVie14" w:date="2025-05-09T10:34:00Z">
        <w:r w:rsidRPr="000203FD">
          <w:rPr>
            <w:lang w:val="it-IT"/>
          </w:rPr>
          <w:delText xml:space="preserve"> </w:delText>
        </w:r>
      </w:del>
      <w:del w:id="8018" w:author="AbbVie14" w:date="2025-05-09T10:34:00Z">
        <w:r>
          <w:rPr>
            <w:lang w:val="it-IT"/>
          </w:rPr>
          <w:delText>di una dose di induzione di 2,4 mg/kg (massimo 160 </w:delText>
        </w:r>
      </w:del>
      <w:del w:id="8019" w:author="AbbVie14" w:date="2025-05-09T10:34:00Z">
        <w:r w:rsidRPr="000203FD">
          <w:rPr>
            <w:lang w:val="it-IT"/>
          </w:rPr>
          <w:delText>mg) alla Settimana 0, placebo alla Setti</w:delText>
        </w:r>
      </w:del>
      <w:del w:id="8020" w:author="AbbVie14" w:date="2025-05-09T10:34:00Z">
        <w:r>
          <w:rPr>
            <w:lang w:val="it-IT"/>
          </w:rPr>
          <w:delText>mana 1, e 1,2 mg/kg (massimo 80 </w:delText>
        </w:r>
      </w:del>
      <w:del w:id="8021" w:author="AbbVie14" w:date="2025-05-09T10:34:00Z">
        <w:r w:rsidRPr="000203FD">
          <w:rPr>
            <w:lang w:val="it-IT"/>
          </w:rPr>
          <w:delText>mg) alla Settimana 2 (N=30)</w:delText>
        </w:r>
      </w:del>
      <w:del w:id="8022" w:author="AbbVie14" w:date="2025-05-09T10:34:00Z">
        <w:r>
          <w:rPr>
            <w:lang w:val="it-IT"/>
          </w:rPr>
          <w:delText xml:space="preserve"> e, a seguire, di una dose di mantenimento di 0,6 mg/kg (massimo 40 </w:delText>
        </w:r>
      </w:del>
      <w:del w:id="8023" w:author="AbbVie14" w:date="2025-05-09T10:34:00Z">
        <w:r w:rsidRPr="000203FD">
          <w:rPr>
            <w:lang w:val="it-IT"/>
          </w:rPr>
          <w:delText xml:space="preserve">mg) a settimane alterne (N=31) </w:delText>
        </w:r>
      </w:del>
      <w:del w:id="8024" w:author="AbbVie14" w:date="2025-05-09T10:34:00Z">
        <w:r>
          <w:rPr>
            <w:lang w:val="it-IT"/>
          </w:rPr>
          <w:delText>o</w:delText>
        </w:r>
      </w:del>
      <w:del w:id="8025" w:author="AbbVie14" w:date="2025-05-09T10:34:00Z">
        <w:r w:rsidRPr="000203FD">
          <w:rPr>
            <w:lang w:val="it-IT"/>
          </w:rPr>
          <w:delText xml:space="preserve"> di una dose di m</w:delText>
        </w:r>
      </w:del>
      <w:del w:id="8026" w:author="AbbVie14" w:date="2025-05-09T10:34:00Z">
        <w:r>
          <w:rPr>
            <w:lang w:val="it-IT"/>
          </w:rPr>
          <w:delText>antenimento di 0,6 </w:delText>
        </w:r>
      </w:del>
      <w:del w:id="8027" w:author="AbbVie14" w:date="2025-05-09T10:34:00Z">
        <w:r w:rsidRPr="000203FD">
          <w:rPr>
            <w:lang w:val="it-IT"/>
          </w:rPr>
          <w:delText>mg/kg (massimo 40 mg) ogni settimana (N=32)</w:delText>
        </w:r>
      </w:del>
      <w:del w:id="8028" w:author="AbbVie14" w:date="2025-05-09T10:34:00Z">
        <w:r>
          <w:rPr>
            <w:lang w:val="it-IT"/>
          </w:rPr>
          <w:delText>.</w:delText>
        </w:r>
      </w:del>
      <w:del w:id="8029" w:author="AbbVie14" w:date="2025-05-09T10:34:00Z">
        <w:r w:rsidRPr="000203FD">
          <w:rPr>
            <w:lang w:val="it-IT"/>
          </w:rPr>
          <w:delText xml:space="preserve"> </w:delText>
        </w:r>
      </w:del>
      <w:del w:id="8030" w:author="AbbVie14" w:date="2025-05-09T10:34:00Z">
        <w:r>
          <w:rPr>
            <w:lang w:val="it-IT"/>
          </w:rPr>
          <w:delText xml:space="preserve">In tale studio </w:delText>
        </w:r>
      </w:del>
      <w:del w:id="8031" w:author="AbbVie14" w:date="2025-05-09T10:34:00Z">
        <w:r w:rsidRPr="000203FD">
          <w:rPr>
            <w:lang w:val="it-IT"/>
          </w:rPr>
          <w:delText xml:space="preserve">sono stati riscontrati aumenti delle ALT ≥ 3 </w:delText>
        </w:r>
      </w:del>
      <w:del w:id="8032" w:author="AbbVie14" w:date="2025-05-09T10:34:00Z">
        <w:r>
          <w:rPr>
            <w:lang w:val="it-IT"/>
          </w:rPr>
          <w:delText>volte il limite superiore di normalità</w:delText>
        </w:r>
      </w:del>
      <w:del w:id="8033" w:author="AbbVie14" w:date="2025-05-09T10:34:00Z">
        <w:r w:rsidRPr="000203FD">
          <w:rPr>
            <w:lang w:val="it-IT"/>
          </w:rPr>
          <w:delText xml:space="preserve"> </w:delText>
        </w:r>
      </w:del>
      <w:del w:id="8034" w:author="AbbVie14" w:date="2025-05-09T10:34:00Z">
        <w:r>
          <w:rPr>
            <w:lang w:val="it-IT"/>
          </w:rPr>
          <w:delText>(</w:delText>
        </w:r>
      </w:del>
      <w:del w:id="8035" w:author="AbbVie14" w:date="2025-05-09T10:34:00Z">
        <w:r w:rsidRPr="000203FD">
          <w:rPr>
            <w:lang w:val="it-IT"/>
          </w:rPr>
          <w:delText>ULN</w:delText>
        </w:r>
      </w:del>
      <w:del w:id="8036" w:author="AbbVie14" w:date="2025-05-09T10:34:00Z">
        <w:r>
          <w:rPr>
            <w:lang w:val="it-IT"/>
          </w:rPr>
          <w:delText>)</w:delText>
        </w:r>
      </w:del>
      <w:del w:id="8037" w:author="AbbVie14" w:date="2025-05-09T10:34:00Z">
        <w:r w:rsidRPr="000203FD">
          <w:rPr>
            <w:lang w:val="it-IT"/>
          </w:rPr>
          <w:delText xml:space="preserve"> nell'1,1% (1/93) dei pazienti.</w:delText>
        </w:r>
      </w:del>
    </w:p>
    <w:bookmarkEnd w:id="8005"/>
    <w:p w:rsidR="000644E2" w:rsidRPr="00295E71" w14:paraId="1E614517" w14:textId="77777777">
      <w:pPr>
        <w:pStyle w:val="EMEANormal"/>
        <w:jc w:val="both"/>
        <w:rPr>
          <w:del w:id="8038" w:author="AbbVie14" w:date="2025-05-09T10:34:00Z"/>
          <w:lang w:val="it-IT"/>
        </w:rPr>
      </w:pPr>
    </w:p>
    <w:p w:rsidR="006224C2" w:rsidRPr="00295E71" w14:paraId="14A455DB" w14:textId="77777777">
      <w:pPr>
        <w:pStyle w:val="EMEANormal"/>
        <w:jc w:val="both"/>
        <w:rPr>
          <w:del w:id="8039" w:author="AbbVie14" w:date="2025-05-09T10:34:00Z"/>
          <w:lang w:val="it-IT"/>
        </w:rPr>
      </w:pPr>
      <w:del w:id="8040" w:author="AbbVie14" w:date="2025-05-09T10:34:00Z">
        <w:r w:rsidRPr="00295E71">
          <w:rPr>
            <w:lang w:val="it-IT"/>
          </w:rPr>
          <w:delText xml:space="preserve">Negli studi clinici, in tutte le indicazioni, i pazienti con livelli aumentati di transaminasi </w:delText>
        </w:r>
      </w:del>
      <w:del w:id="8041" w:author="AbbVie14" w:date="2025-05-09T10:34:00Z">
        <w:r w:rsidR="00A06B0A">
          <w:rPr>
            <w:lang w:val="it-IT"/>
          </w:rPr>
          <w:delText xml:space="preserve">ALT </w:delText>
        </w:r>
      </w:del>
      <w:del w:id="8042" w:author="AbbVie14" w:date="2025-05-09T10:34:00Z">
        <w:r w:rsidRPr="00295E71">
          <w:rPr>
            <w:lang w:val="it-IT"/>
          </w:rPr>
          <w:delText>erano asintomatici e nella maggior parte dei casi gli innalzamenti erano transitori e si sono risolti nel corso del trattamento. Tuttavia, in pazienti trattati con adalimumab, sono stati riportati anche casi post-marketing di insufficienza epatica come pure di disordini epaticimeno gravi che possono precedere l’insufficienza epatica, come l’epatite,</w:delText>
        </w:r>
      </w:del>
      <w:del w:id="8043" w:author="AbbVie14" w:date="2025-05-09T10:34:00Z">
        <w:r w:rsidR="00A06B0A">
          <w:rPr>
            <w:lang w:val="it-IT"/>
          </w:rPr>
          <w:delText xml:space="preserve"> </w:delText>
        </w:r>
      </w:del>
      <w:del w:id="8044" w:author="AbbVie14" w:date="2025-05-09T10:34:00Z">
        <w:r w:rsidRPr="00295E71">
          <w:rPr>
            <w:lang w:val="it-IT"/>
          </w:rPr>
          <w:delText>inclusa l’epatite autoimmune.</w:delText>
        </w:r>
      </w:del>
    </w:p>
    <w:p w:rsidR="006224C2" w:rsidRPr="00295E71" w14:paraId="7F7E6582" w14:textId="77777777">
      <w:pPr>
        <w:rPr>
          <w:del w:id="8045" w:author="AbbVie14" w:date="2025-05-09T10:34:00Z"/>
          <w:sz w:val="22"/>
          <w:szCs w:val="22"/>
          <w:u w:val="single"/>
        </w:rPr>
      </w:pPr>
    </w:p>
    <w:p w:rsidR="006224C2" w:rsidRPr="00295E71" w:rsidP="005D5C2F" w14:paraId="2F0919D9" w14:textId="77777777">
      <w:pPr>
        <w:keepNext/>
        <w:keepLines/>
        <w:tabs>
          <w:tab w:val="left" w:pos="0"/>
        </w:tabs>
        <w:jc w:val="both"/>
        <w:rPr>
          <w:del w:id="8046" w:author="AbbVie14" w:date="2025-05-09T10:34:00Z"/>
          <w:sz w:val="22"/>
          <w:szCs w:val="22"/>
          <w:u w:val="single"/>
        </w:rPr>
      </w:pPr>
      <w:del w:id="8047" w:author="AbbVie14" w:date="2025-05-09T10:34:00Z">
        <w:r w:rsidRPr="00295E71">
          <w:rPr>
            <w:sz w:val="22"/>
            <w:szCs w:val="22"/>
            <w:u w:val="single"/>
          </w:rPr>
          <w:delText>Trattamento concomitante con azatioprina/6</w:delText>
        </w:r>
      </w:del>
      <w:del w:id="8048" w:author="AbbVie14" w:date="2025-05-09T10:34:00Z">
        <w:r w:rsidRPr="00295E71">
          <w:rPr>
            <w:sz w:val="22"/>
            <w:szCs w:val="22"/>
            <w:u w:val="single"/>
          </w:rPr>
          <w:noBreakHyphen/>
          <w:delText>mercaptopurina</w:delText>
        </w:r>
      </w:del>
    </w:p>
    <w:p w:rsidR="006224C2" w:rsidRPr="00295E71" w:rsidP="005D5C2F" w14:paraId="0B3169C9" w14:textId="77777777">
      <w:pPr>
        <w:keepNext/>
        <w:keepLines/>
        <w:tabs>
          <w:tab w:val="left" w:pos="0"/>
        </w:tabs>
        <w:jc w:val="both"/>
        <w:rPr>
          <w:del w:id="8049" w:author="AbbVie14" w:date="2025-05-09T10:34:00Z"/>
          <w:sz w:val="22"/>
          <w:szCs w:val="22"/>
        </w:rPr>
      </w:pPr>
    </w:p>
    <w:p w:rsidR="006224C2" w:rsidRPr="00295E71" w:rsidP="005D5C2F" w14:paraId="01B3F03B" w14:textId="77777777">
      <w:pPr>
        <w:keepNext/>
        <w:keepLines/>
        <w:tabs>
          <w:tab w:val="left" w:pos="0"/>
        </w:tabs>
        <w:jc w:val="both"/>
        <w:rPr>
          <w:del w:id="8050" w:author="AbbVie14" w:date="2025-05-09T10:34:00Z"/>
          <w:sz w:val="22"/>
          <w:szCs w:val="22"/>
        </w:rPr>
      </w:pPr>
      <w:del w:id="8051" w:author="AbbVie14" w:date="2025-05-09T10:34:00Z">
        <w:r w:rsidRPr="00295E71">
          <w:rPr>
            <w:sz w:val="22"/>
            <w:szCs w:val="22"/>
          </w:rPr>
          <w:delText>Negli studi sulla malattia di Crohn negli adulti, con la combinazione di Humira e azatioprina/6</w:delText>
        </w:r>
      </w:del>
      <w:del w:id="8052" w:author="AbbVie14" w:date="2025-05-09T10:34:00Z">
        <w:r w:rsidRPr="00295E71">
          <w:rPr>
            <w:sz w:val="22"/>
            <w:szCs w:val="22"/>
          </w:rPr>
          <w:noBreakHyphen/>
          <w:delText>mercaptopurina sono state osservate incidenze più elevate di eventi avversi correlati a infezioni gravi e a tumori maligni rispetto a Humira da solo</w:delText>
        </w:r>
      </w:del>
    </w:p>
    <w:p w:rsidR="006224C2" w:rsidRPr="00295E71" w14:paraId="6F13C15A" w14:textId="77777777">
      <w:pPr>
        <w:pStyle w:val="EMEANormal"/>
        <w:jc w:val="both"/>
        <w:rPr>
          <w:del w:id="8053" w:author="AbbVie14" w:date="2025-05-09T10:34:00Z"/>
          <w:lang w:val="it-IT"/>
        </w:rPr>
      </w:pPr>
    </w:p>
    <w:p w:rsidR="006224C2" w:rsidRPr="00295E71" w14:paraId="63ED8332" w14:textId="77777777">
      <w:pPr>
        <w:keepNext/>
        <w:keepLines/>
        <w:tabs>
          <w:tab w:val="left" w:pos="0"/>
        </w:tabs>
        <w:jc w:val="both"/>
        <w:rPr>
          <w:del w:id="8054" w:author="AbbVie14" w:date="2025-05-09T10:34:00Z"/>
          <w:sz w:val="22"/>
          <w:szCs w:val="22"/>
          <w:u w:val="single"/>
        </w:rPr>
      </w:pPr>
      <w:del w:id="8055" w:author="AbbVie14" w:date="2025-05-09T10:34:00Z">
        <w:r w:rsidRPr="00295E71">
          <w:rPr>
            <w:sz w:val="22"/>
            <w:szCs w:val="22"/>
            <w:u w:val="single"/>
          </w:rPr>
          <w:delText>Segnalazione delle reazioni avverse sospette</w:delText>
        </w:r>
      </w:del>
    </w:p>
    <w:p w:rsidR="006224C2" w:rsidRPr="00295E71" w14:paraId="29CEFC7E" w14:textId="77777777">
      <w:pPr>
        <w:keepNext/>
        <w:keepLines/>
        <w:tabs>
          <w:tab w:val="left" w:pos="0"/>
        </w:tabs>
        <w:jc w:val="both"/>
        <w:rPr>
          <w:del w:id="8056" w:author="AbbVie14" w:date="2025-05-09T10:34:00Z"/>
          <w:sz w:val="22"/>
          <w:szCs w:val="22"/>
        </w:rPr>
      </w:pPr>
      <w:del w:id="8057" w:author="AbbVie14" w:date="2025-05-09T10:34:00Z">
        <w:r w:rsidRPr="00295E71">
          <w:rPr>
            <w:sz w:val="22"/>
            <w:szCs w:val="22"/>
          </w:rPr>
          <w:delTex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il </w:delText>
        </w:r>
      </w:del>
      <w:del w:id="8058" w:author="AbbVie14" w:date="2025-05-09T10:34:00Z">
        <w:r w:rsidRPr="00295E71">
          <w:rPr>
            <w:sz w:val="22"/>
            <w:szCs w:val="22"/>
            <w:highlight w:val="lightGray"/>
          </w:rPr>
          <w:delText>sistema nazionale di segnalazione riportato nell’</w:delText>
        </w:r>
      </w:del>
      <w:del w:id="8059" w:author="AbbVie14" w:date="2025-05-09T10:34:00Z">
        <w:r>
          <w:fldChar w:fldCharType="begin"/>
        </w:r>
      </w:del>
      <w:del w:id="8060" w:author="AbbVie14" w:date="2025-05-09T10:34:00Z">
        <w:r>
          <w:delInstrText>HYPERLINK "http://www.ema.europa.eu/docs/en_GB/document_library/Template_or_form/2013/03/WC500139752.doc"</w:delInstrText>
        </w:r>
      </w:del>
      <w:del w:id="8061" w:author="AbbVie14" w:date="2025-05-09T10:34:00Z">
        <w:r>
          <w:fldChar w:fldCharType="separate"/>
        </w:r>
      </w:del>
      <w:del w:id="8062" w:author="AbbVie14" w:date="2025-05-09T10:34:00Z">
        <w:r w:rsidRPr="00295E71">
          <w:rPr>
            <w:rStyle w:val="Hyperlink"/>
            <w:sz w:val="22"/>
            <w:szCs w:val="22"/>
            <w:highlight w:val="lightGray"/>
          </w:rPr>
          <w:delText>allegato V</w:delText>
        </w:r>
      </w:del>
      <w:del w:id="8063" w:author="AbbVie14" w:date="2025-05-09T10:34:00Z">
        <w:r>
          <w:fldChar w:fldCharType="end"/>
        </w:r>
      </w:del>
      <w:del w:id="8064" w:author="AbbVie14" w:date="2025-05-09T10:34:00Z">
        <w:r w:rsidRPr="00295E71">
          <w:rPr>
            <w:sz w:val="22"/>
            <w:szCs w:val="22"/>
            <w:highlight w:val="lightGray"/>
          </w:rPr>
          <w:delText>.</w:delText>
        </w:r>
      </w:del>
    </w:p>
    <w:p w:rsidR="006224C2" w:rsidRPr="00295E71" w14:paraId="04B933C3" w14:textId="77777777">
      <w:pPr>
        <w:pStyle w:val="EMEANormal"/>
        <w:jc w:val="both"/>
        <w:rPr>
          <w:del w:id="8065" w:author="AbbVie14" w:date="2025-05-09T10:34:00Z"/>
          <w:lang w:val="it-IT"/>
        </w:rPr>
      </w:pPr>
    </w:p>
    <w:p w:rsidR="006224C2" w:rsidRPr="00295E71" w14:paraId="500365FA" w14:textId="77777777">
      <w:pPr>
        <w:tabs>
          <w:tab w:val="left" w:pos="567"/>
        </w:tabs>
        <w:ind w:left="567" w:hanging="567"/>
        <w:jc w:val="both"/>
        <w:rPr>
          <w:del w:id="8066" w:author="AbbVie14" w:date="2025-05-09T10:34:00Z"/>
          <w:b/>
          <w:bCs/>
          <w:sz w:val="22"/>
          <w:szCs w:val="22"/>
        </w:rPr>
      </w:pPr>
      <w:del w:id="8067" w:author="AbbVie14" w:date="2025-05-09T10:34:00Z">
        <w:r w:rsidRPr="00295E71">
          <w:rPr>
            <w:b/>
            <w:bCs/>
            <w:sz w:val="22"/>
            <w:szCs w:val="22"/>
          </w:rPr>
          <w:delText>4.9</w:delText>
        </w:r>
      </w:del>
      <w:del w:id="8068" w:author="AbbVie14" w:date="2025-05-09T10:34:00Z">
        <w:r w:rsidRPr="00295E71">
          <w:rPr>
            <w:b/>
            <w:bCs/>
            <w:sz w:val="22"/>
            <w:szCs w:val="22"/>
          </w:rPr>
          <w:tab/>
          <w:delText xml:space="preserve">Sovradosaggio </w:delText>
        </w:r>
      </w:del>
    </w:p>
    <w:p w:rsidR="006224C2" w:rsidRPr="00295E71" w14:paraId="2D6C131E" w14:textId="77777777">
      <w:pPr>
        <w:tabs>
          <w:tab w:val="left" w:pos="567"/>
        </w:tabs>
        <w:jc w:val="both"/>
        <w:rPr>
          <w:del w:id="8069" w:author="AbbVie14" w:date="2025-05-09T10:34:00Z"/>
          <w:sz w:val="22"/>
          <w:szCs w:val="22"/>
        </w:rPr>
      </w:pPr>
    </w:p>
    <w:p w:rsidR="006224C2" w:rsidRPr="00295E71" w14:paraId="262643EF" w14:textId="77777777">
      <w:pPr>
        <w:tabs>
          <w:tab w:val="left" w:pos="567"/>
        </w:tabs>
        <w:jc w:val="both"/>
        <w:rPr>
          <w:del w:id="8070" w:author="AbbVie14" w:date="2025-05-09T10:34:00Z"/>
          <w:color w:val="000000"/>
          <w:sz w:val="22"/>
          <w:szCs w:val="22"/>
        </w:rPr>
      </w:pPr>
      <w:del w:id="8071" w:author="AbbVie14" w:date="2025-05-09T10:34:00Z">
        <w:r w:rsidRPr="00295E71">
          <w:rPr>
            <w:color w:val="000000"/>
            <w:sz w:val="22"/>
            <w:szCs w:val="22"/>
          </w:rPr>
          <w:delText xml:space="preserve">Non è stata osservata tossicità </w:delText>
        </w:r>
      </w:del>
      <w:del w:id="8072" w:author="AbbVie14" w:date="2025-05-09T10:34:00Z">
        <w:r w:rsidR="00A06B0A">
          <w:rPr>
            <w:color w:val="000000"/>
            <w:sz w:val="22"/>
            <w:szCs w:val="22"/>
          </w:rPr>
          <w:delText>dose-limitante</w:delText>
        </w:r>
      </w:del>
      <w:del w:id="8073" w:author="AbbVie14" w:date="2025-05-09T10:34:00Z">
        <w:r w:rsidR="008076EA">
          <w:rPr>
            <w:color w:val="000000"/>
            <w:sz w:val="22"/>
            <w:szCs w:val="22"/>
          </w:rPr>
          <w:delText xml:space="preserve"> </w:delText>
        </w:r>
      </w:del>
      <w:del w:id="8074" w:author="AbbVie14" w:date="2025-05-09T10:34:00Z">
        <w:r w:rsidRPr="00295E71">
          <w:rPr>
            <w:color w:val="000000"/>
            <w:sz w:val="22"/>
            <w:szCs w:val="22"/>
          </w:rPr>
          <w:delText>durante gli studi clinici. La dose più elevata</w:delText>
        </w:r>
      </w:del>
      <w:del w:id="8075" w:author="AbbVie14" w:date="2025-05-09T10:34:00Z">
        <w:r w:rsidR="00A06B0A">
          <w:rPr>
            <w:color w:val="000000"/>
            <w:sz w:val="22"/>
            <w:szCs w:val="22"/>
          </w:rPr>
          <w:delText xml:space="preserve"> </w:delText>
        </w:r>
      </w:del>
      <w:del w:id="8076" w:author="AbbVie14" w:date="2025-05-09T10:34:00Z">
        <w:r w:rsidRPr="00295E71">
          <w:rPr>
            <w:color w:val="000000"/>
            <w:sz w:val="22"/>
            <w:szCs w:val="22"/>
          </w:rPr>
          <w:delText>valutata è stata quella costituita da dosi multiple di 10 mg/kg per via endovenosa; tale dose risulta equivalente a circa 15 volte la dose raccomandata.</w:delText>
        </w:r>
      </w:del>
    </w:p>
    <w:p w:rsidR="006224C2" w:rsidRPr="00295E71" w14:paraId="25090017" w14:textId="77777777">
      <w:pPr>
        <w:pStyle w:val="EndnoteText"/>
        <w:jc w:val="both"/>
        <w:rPr>
          <w:del w:id="8077" w:author="AbbVie14" w:date="2025-05-09T10:34:00Z"/>
          <w:lang w:val="it-IT" w:eastAsia="it-IT"/>
        </w:rPr>
      </w:pPr>
    </w:p>
    <w:p w:rsidR="006224C2" w:rsidRPr="00295E71" w14:paraId="65554B25" w14:textId="77777777">
      <w:pPr>
        <w:tabs>
          <w:tab w:val="left" w:pos="567"/>
        </w:tabs>
        <w:jc w:val="both"/>
        <w:rPr>
          <w:del w:id="8078" w:author="AbbVie14" w:date="2025-05-09T10:34:00Z"/>
          <w:sz w:val="22"/>
          <w:szCs w:val="22"/>
        </w:rPr>
      </w:pPr>
    </w:p>
    <w:p w:rsidR="006224C2" w:rsidRPr="00295E71" w14:paraId="1430ADA6" w14:textId="77777777">
      <w:pPr>
        <w:tabs>
          <w:tab w:val="left" w:pos="567"/>
        </w:tabs>
        <w:ind w:left="567" w:hanging="567"/>
        <w:jc w:val="both"/>
        <w:rPr>
          <w:del w:id="8079" w:author="AbbVie14" w:date="2025-05-09T10:34:00Z"/>
          <w:b/>
          <w:bCs/>
          <w:sz w:val="22"/>
          <w:szCs w:val="22"/>
        </w:rPr>
      </w:pPr>
      <w:del w:id="8080" w:author="AbbVie14" w:date="2025-05-09T10:34:00Z">
        <w:r w:rsidRPr="00295E71">
          <w:rPr>
            <w:b/>
            <w:bCs/>
            <w:sz w:val="22"/>
            <w:szCs w:val="22"/>
          </w:rPr>
          <w:delText>5.</w:delText>
        </w:r>
      </w:del>
      <w:del w:id="8081" w:author="AbbVie14" w:date="2025-05-09T10:34:00Z">
        <w:r w:rsidRPr="00295E71">
          <w:rPr>
            <w:b/>
            <w:bCs/>
            <w:sz w:val="22"/>
            <w:szCs w:val="22"/>
          </w:rPr>
          <w:tab/>
          <w:delText>PROPRIETÀ FARMACOLOGICHE</w:delText>
        </w:r>
      </w:del>
    </w:p>
    <w:p w:rsidR="006224C2" w:rsidRPr="00295E71" w14:paraId="2A827FAA" w14:textId="77777777">
      <w:pPr>
        <w:tabs>
          <w:tab w:val="left" w:pos="567"/>
        </w:tabs>
        <w:jc w:val="both"/>
        <w:rPr>
          <w:del w:id="8082" w:author="AbbVie14" w:date="2025-05-09T10:34:00Z"/>
          <w:b/>
          <w:bCs/>
          <w:sz w:val="22"/>
          <w:szCs w:val="22"/>
        </w:rPr>
      </w:pPr>
    </w:p>
    <w:p w:rsidR="006224C2" w:rsidRPr="00295E71" w14:paraId="6B6865BC" w14:textId="77777777">
      <w:pPr>
        <w:tabs>
          <w:tab w:val="left" w:pos="567"/>
        </w:tabs>
        <w:ind w:left="567" w:hanging="567"/>
        <w:jc w:val="both"/>
        <w:rPr>
          <w:del w:id="8083" w:author="AbbVie14" w:date="2025-05-09T10:34:00Z"/>
          <w:b/>
          <w:bCs/>
          <w:sz w:val="22"/>
          <w:szCs w:val="22"/>
        </w:rPr>
      </w:pPr>
      <w:del w:id="8084" w:author="AbbVie14" w:date="2025-05-09T10:34:00Z">
        <w:r w:rsidRPr="00295E71">
          <w:rPr>
            <w:b/>
            <w:bCs/>
            <w:sz w:val="22"/>
            <w:szCs w:val="22"/>
          </w:rPr>
          <w:delText xml:space="preserve">5.1 </w:delText>
        </w:r>
      </w:del>
      <w:del w:id="8085" w:author="AbbVie14" w:date="2025-05-09T10:34:00Z">
        <w:r w:rsidRPr="00295E71">
          <w:rPr>
            <w:b/>
            <w:bCs/>
            <w:sz w:val="22"/>
            <w:szCs w:val="22"/>
          </w:rPr>
          <w:tab/>
          <w:delText>Proprietà farmacodinamiche</w:delText>
        </w:r>
      </w:del>
    </w:p>
    <w:p w:rsidR="006224C2" w:rsidRPr="00295E71" w14:paraId="1F13DA5B" w14:textId="77777777">
      <w:pPr>
        <w:tabs>
          <w:tab w:val="left" w:pos="567"/>
        </w:tabs>
        <w:jc w:val="both"/>
        <w:rPr>
          <w:del w:id="8086" w:author="AbbVie14" w:date="2025-05-09T10:34:00Z"/>
          <w:sz w:val="22"/>
          <w:szCs w:val="22"/>
        </w:rPr>
      </w:pPr>
    </w:p>
    <w:p w:rsidR="006224C2" w:rsidRPr="00295E71" w14:paraId="57AC8EAD" w14:textId="77777777">
      <w:pPr>
        <w:tabs>
          <w:tab w:val="left" w:pos="567"/>
        </w:tabs>
        <w:jc w:val="both"/>
        <w:rPr>
          <w:del w:id="8087" w:author="AbbVie14" w:date="2025-05-09T10:34:00Z"/>
          <w:sz w:val="22"/>
          <w:szCs w:val="22"/>
        </w:rPr>
      </w:pPr>
      <w:del w:id="8088" w:author="AbbVie14" w:date="2025-05-09T10:34:00Z">
        <w:r w:rsidRPr="00295E71">
          <w:rPr>
            <w:sz w:val="22"/>
            <w:szCs w:val="22"/>
          </w:rPr>
          <w:delText>Categoria farmacoterapeutica: Immunosoppressori, inibitori del Fattore di Necrosi Tumorale alfa (TNF</w:delText>
        </w:r>
      </w:del>
      <w:del w:id="8089" w:author="AbbVie14" w:date="2025-05-09T10:34:00Z">
        <w:r w:rsidRPr="00295E71">
          <w:rPr>
            <w:sz w:val="22"/>
            <w:szCs w:val="22"/>
          </w:rPr>
          <w:noBreakHyphen/>
          <w:delText>α). Codice ATC: L04AB04</w:delText>
        </w:r>
      </w:del>
    </w:p>
    <w:p w:rsidR="006224C2" w:rsidRPr="00295E71" w14:paraId="11EA76D7" w14:textId="77777777">
      <w:pPr>
        <w:tabs>
          <w:tab w:val="left" w:pos="567"/>
        </w:tabs>
        <w:jc w:val="both"/>
        <w:rPr>
          <w:del w:id="8090" w:author="AbbVie14" w:date="2025-05-09T10:34:00Z"/>
          <w:sz w:val="22"/>
          <w:szCs w:val="22"/>
        </w:rPr>
      </w:pPr>
    </w:p>
    <w:p w:rsidR="006224C2" w:rsidRPr="00295E71" w14:paraId="6ADDD079" w14:textId="77777777">
      <w:pPr>
        <w:tabs>
          <w:tab w:val="left" w:pos="567"/>
        </w:tabs>
        <w:jc w:val="both"/>
        <w:rPr>
          <w:del w:id="8091" w:author="AbbVie14" w:date="2025-05-09T10:34:00Z"/>
          <w:sz w:val="22"/>
          <w:szCs w:val="22"/>
          <w:u w:val="single"/>
        </w:rPr>
      </w:pPr>
      <w:del w:id="8092" w:author="AbbVie14" w:date="2025-05-09T10:34:00Z">
        <w:r w:rsidRPr="00295E71">
          <w:rPr>
            <w:sz w:val="22"/>
            <w:szCs w:val="22"/>
            <w:u w:val="single"/>
          </w:rPr>
          <w:delText>Meccanismo d’azione</w:delText>
        </w:r>
      </w:del>
    </w:p>
    <w:p w:rsidR="006224C2" w:rsidRPr="00295E71" w14:paraId="5A939EE7" w14:textId="77777777">
      <w:pPr>
        <w:tabs>
          <w:tab w:val="left" w:pos="567"/>
        </w:tabs>
        <w:jc w:val="both"/>
        <w:rPr>
          <w:del w:id="8093" w:author="AbbVie14" w:date="2025-05-09T10:34:00Z"/>
          <w:sz w:val="22"/>
          <w:szCs w:val="22"/>
        </w:rPr>
      </w:pPr>
    </w:p>
    <w:p w:rsidR="006224C2" w:rsidRPr="00295E71" w14:paraId="6C43E1F3" w14:textId="77777777">
      <w:pPr>
        <w:pStyle w:val="BodyText"/>
        <w:tabs>
          <w:tab w:val="left" w:pos="567"/>
        </w:tabs>
        <w:rPr>
          <w:del w:id="8094" w:author="AbbVie14" w:date="2025-05-09T10:34:00Z"/>
        </w:rPr>
      </w:pPr>
      <w:del w:id="8095" w:author="AbbVie14" w:date="2025-05-09T10:34:00Z">
        <w:r w:rsidRPr="00295E71">
          <w:delText>Adalimumab si lega selettivamente al TNF e ne neutralizza la funzione biologica bloccando la sua interazione con i recettori del TNF di membrana cellulare, p55 e p75.</w:delText>
        </w:r>
      </w:del>
    </w:p>
    <w:p w:rsidR="006224C2" w:rsidRPr="00295E71" w14:paraId="034025E9" w14:textId="77777777">
      <w:pPr>
        <w:tabs>
          <w:tab w:val="left" w:pos="567"/>
        </w:tabs>
        <w:jc w:val="both"/>
        <w:rPr>
          <w:del w:id="8096" w:author="AbbVie14" w:date="2025-05-09T10:34:00Z"/>
          <w:sz w:val="22"/>
          <w:szCs w:val="22"/>
        </w:rPr>
      </w:pPr>
    </w:p>
    <w:p w:rsidR="006224C2" w:rsidRPr="00295E71" w14:paraId="4EFB0E38" w14:textId="77777777">
      <w:pPr>
        <w:tabs>
          <w:tab w:val="left" w:pos="567"/>
        </w:tabs>
        <w:jc w:val="both"/>
        <w:rPr>
          <w:del w:id="8097" w:author="AbbVie14" w:date="2025-05-09T10:34:00Z"/>
          <w:sz w:val="22"/>
          <w:szCs w:val="22"/>
        </w:rPr>
      </w:pPr>
      <w:del w:id="8098" w:author="AbbVie14" w:date="2025-05-09T10:34:00Z">
        <w:r w:rsidRPr="00295E71">
          <w:rPr>
            <w:sz w:val="22"/>
            <w:szCs w:val="22"/>
          </w:rPr>
          <w:delText>Adalimumab modula anche le risposte biologiche che sono indotte o regolate dal TNF, inclusi i cambiamenti dei livelli delle molecole di adesione responsabili della migrazione dei leucociti (ELAM-1, VCAM-1 e ICAM-1 con un IC</w:delText>
        </w:r>
      </w:del>
      <w:del w:id="8099" w:author="AbbVie14" w:date="2025-05-09T10:34:00Z">
        <w:r w:rsidRPr="00295E71">
          <w:rPr>
            <w:sz w:val="22"/>
            <w:szCs w:val="22"/>
            <w:vertAlign w:val="subscript"/>
          </w:rPr>
          <w:delText>50</w:delText>
        </w:r>
      </w:del>
      <w:del w:id="8100" w:author="AbbVie14" w:date="2025-05-09T10:34:00Z">
        <w:r w:rsidRPr="00295E71">
          <w:rPr>
            <w:sz w:val="22"/>
            <w:szCs w:val="22"/>
          </w:rPr>
          <w:delText xml:space="preserve"> di 0,1-0,2nM).</w:delText>
        </w:r>
      </w:del>
    </w:p>
    <w:p w:rsidR="006224C2" w:rsidRPr="00295E71" w14:paraId="105D6B7E" w14:textId="77777777">
      <w:pPr>
        <w:tabs>
          <w:tab w:val="left" w:pos="567"/>
        </w:tabs>
        <w:jc w:val="both"/>
        <w:rPr>
          <w:del w:id="8101" w:author="AbbVie14" w:date="2025-05-09T10:34:00Z"/>
          <w:sz w:val="22"/>
          <w:szCs w:val="22"/>
        </w:rPr>
      </w:pPr>
    </w:p>
    <w:p w:rsidR="006224C2" w:rsidRPr="00295E71" w14:paraId="6AF16F87" w14:textId="77777777">
      <w:pPr>
        <w:tabs>
          <w:tab w:val="left" w:pos="567"/>
        </w:tabs>
        <w:autoSpaceDE w:val="0"/>
        <w:autoSpaceDN w:val="0"/>
        <w:adjustRightInd w:val="0"/>
        <w:jc w:val="both"/>
        <w:rPr>
          <w:del w:id="8102" w:author="AbbVie14" w:date="2025-05-09T10:34:00Z"/>
          <w:color w:val="000000"/>
          <w:sz w:val="22"/>
          <w:szCs w:val="22"/>
          <w:u w:val="single"/>
        </w:rPr>
      </w:pPr>
      <w:del w:id="8103" w:author="AbbVie14" w:date="2025-05-09T10:34:00Z">
        <w:r w:rsidRPr="00295E71">
          <w:rPr>
            <w:color w:val="000000"/>
            <w:sz w:val="22"/>
            <w:szCs w:val="22"/>
            <w:u w:val="single"/>
          </w:rPr>
          <w:delText>Effetti farmacodinamici</w:delText>
        </w:r>
      </w:del>
    </w:p>
    <w:p w:rsidR="006224C2" w:rsidRPr="00295E71" w14:paraId="4B507512" w14:textId="77777777">
      <w:pPr>
        <w:tabs>
          <w:tab w:val="left" w:pos="567"/>
        </w:tabs>
        <w:autoSpaceDE w:val="0"/>
        <w:autoSpaceDN w:val="0"/>
        <w:adjustRightInd w:val="0"/>
        <w:jc w:val="both"/>
        <w:rPr>
          <w:del w:id="8104" w:author="AbbVie14" w:date="2025-05-09T10:34:00Z"/>
          <w:color w:val="000000"/>
          <w:sz w:val="22"/>
          <w:szCs w:val="22"/>
          <w:u w:val="single"/>
        </w:rPr>
      </w:pPr>
    </w:p>
    <w:p w:rsidR="006224C2" w:rsidRPr="00295E71" w14:paraId="68A80416" w14:textId="77777777">
      <w:pPr>
        <w:tabs>
          <w:tab w:val="left" w:pos="567"/>
        </w:tabs>
        <w:jc w:val="both"/>
        <w:rPr>
          <w:del w:id="8105" w:author="AbbVie14" w:date="2025-05-09T10:34:00Z"/>
          <w:color w:val="000000"/>
          <w:sz w:val="22"/>
          <w:szCs w:val="22"/>
        </w:rPr>
      </w:pPr>
      <w:del w:id="8106" w:author="AbbVie14" w:date="2025-05-09T10:34:00Z">
        <w:r w:rsidRPr="00295E71">
          <w:rPr>
            <w:color w:val="000000"/>
            <w:sz w:val="22"/>
            <w:szCs w:val="22"/>
          </w:rPr>
          <w:delText>Dopo trattamento con Humira, si è osservata una rapida diminuzione delle proteine di fase acuta, indici di infiammazione (proteina C reattiva -PCR, velocità di eritrosedimentazione -VES) e delle citochine sieriche (IL-6) nei pazienti con artrite reumatoide rispetto al valore basale. Anche i livelli sierici delle metalloproteinasi della matrice (MMP-1 e MMP-3), coinvolte nel rimodellamento tissutale responsabile della distruzione della cartilagine, erano diminuiti in seguito alla somministrazione di Humira. I pazienti trattati con Humira hanno generalmente mostrato un miglioramento dei segni emato</w:delText>
        </w:r>
      </w:del>
      <w:del w:id="8107" w:author="AbbVie14" w:date="2025-05-09T10:34:00Z">
        <w:r w:rsidR="00A06B0A">
          <w:rPr>
            <w:color w:val="000000"/>
            <w:sz w:val="22"/>
            <w:szCs w:val="22"/>
          </w:rPr>
          <w:delText>logici</w:delText>
        </w:r>
      </w:del>
      <w:del w:id="8108" w:author="AbbVie14" w:date="2025-05-09T10:34:00Z">
        <w:r w:rsidRPr="00295E71">
          <w:rPr>
            <w:color w:val="000000"/>
            <w:sz w:val="22"/>
            <w:szCs w:val="22"/>
          </w:rPr>
          <w:delText xml:space="preserve"> dell’infiammazione cronica.</w:delText>
        </w:r>
      </w:del>
    </w:p>
    <w:p w:rsidR="006224C2" w:rsidRPr="00295E71" w14:paraId="10B1A3F3" w14:textId="77777777">
      <w:pPr>
        <w:tabs>
          <w:tab w:val="left" w:pos="567"/>
        </w:tabs>
        <w:jc w:val="both"/>
        <w:rPr>
          <w:del w:id="8109" w:author="AbbVie14" w:date="2025-05-09T10:34:00Z"/>
          <w:sz w:val="22"/>
          <w:szCs w:val="22"/>
        </w:rPr>
      </w:pPr>
    </w:p>
    <w:p w:rsidR="006224C2" w:rsidRPr="00295E71" w14:paraId="09EB6098" w14:textId="77777777">
      <w:pPr>
        <w:tabs>
          <w:tab w:val="left" w:pos="567"/>
        </w:tabs>
        <w:jc w:val="both"/>
        <w:rPr>
          <w:del w:id="8110" w:author="AbbVie14" w:date="2025-05-09T10:34:00Z"/>
          <w:sz w:val="22"/>
          <w:szCs w:val="22"/>
        </w:rPr>
      </w:pPr>
      <w:del w:id="8111" w:author="AbbVie14" w:date="2025-05-09T10:34:00Z">
        <w:r w:rsidRPr="00295E71">
          <w:rPr>
            <w:sz w:val="22"/>
            <w:szCs w:val="22"/>
          </w:rPr>
          <w:delText xml:space="preserve">Dopo trattamento con Humira, </w:delText>
        </w:r>
      </w:del>
      <w:del w:id="8112" w:author="AbbVie14" w:date="2025-05-09T10:34:00Z">
        <w:r w:rsidR="00A06B0A">
          <w:rPr>
            <w:sz w:val="22"/>
            <w:szCs w:val="22"/>
          </w:rPr>
          <w:delText>anche nei</w:delText>
        </w:r>
      </w:del>
      <w:del w:id="8113" w:author="AbbVie14" w:date="2025-05-09T10:34:00Z">
        <w:r w:rsidRPr="00295E71">
          <w:rPr>
            <w:sz w:val="22"/>
            <w:szCs w:val="22"/>
          </w:rPr>
          <w:delText xml:space="preserve"> pazienti affetti da Artrite Idiopatica Giovanile Poliarticolare, malattia di Crohn, colite ulcerosa e Idrosadenite Suppurativa</w:delText>
        </w:r>
      </w:del>
      <w:del w:id="8114" w:author="AbbVie14" w:date="2025-05-09T10:34:00Z">
        <w:r w:rsidR="00A06B0A">
          <w:rPr>
            <w:sz w:val="22"/>
            <w:szCs w:val="22"/>
          </w:rPr>
          <w:delText xml:space="preserve"> </w:delText>
        </w:r>
      </w:del>
      <w:del w:id="8115" w:author="AbbVie14" w:date="2025-05-09T10:34:00Z">
        <w:r w:rsidRPr="00295E71">
          <w:rPr>
            <w:sz w:val="22"/>
            <w:szCs w:val="22"/>
          </w:rPr>
          <w:delText>è stata osservata una rapida diminuzione dei livelli di PCR (proteina C reattiva).</w:delText>
        </w:r>
      </w:del>
      <w:del w:id="8116" w:author="AbbVie14" w:date="2025-05-09T10:34:00Z">
        <w:r w:rsidRPr="00295E71" w:rsidR="00585426">
          <w:rPr>
            <w:sz w:val="22"/>
            <w:szCs w:val="22"/>
          </w:rPr>
          <w:delText xml:space="preserve"> </w:delText>
        </w:r>
      </w:del>
      <w:del w:id="8117" w:author="AbbVie14" w:date="2025-05-09T10:34:00Z">
        <w:r w:rsidRPr="00295E71">
          <w:rPr>
            <w:sz w:val="22"/>
            <w:szCs w:val="22"/>
          </w:rPr>
          <w:delText>Nei pazienti affetti dalla malattia di Crohn,</w:delText>
        </w:r>
      </w:del>
      <w:del w:id="8118" w:author="AbbVie14" w:date="2025-05-09T10:34:00Z">
        <w:r w:rsidR="00A06B0A">
          <w:rPr>
            <w:sz w:val="22"/>
            <w:szCs w:val="22"/>
          </w:rPr>
          <w:delText xml:space="preserve"> </w:delText>
        </w:r>
      </w:del>
      <w:del w:id="8119" w:author="AbbVie14" w:date="2025-05-09T10:34:00Z">
        <w:r w:rsidRPr="00295E71">
          <w:rPr>
            <w:sz w:val="22"/>
            <w:szCs w:val="22"/>
          </w:rPr>
          <w:delText>è stata osservata una riduzione del numero di cellule che esprimono i marcatori</w:delText>
        </w:r>
      </w:del>
      <w:del w:id="8120" w:author="AbbVie14" w:date="2025-05-09T10:34:00Z">
        <w:r w:rsidR="00A06B0A">
          <w:rPr>
            <w:sz w:val="22"/>
            <w:szCs w:val="22"/>
          </w:rPr>
          <w:delText xml:space="preserve"> </w:delText>
        </w:r>
      </w:del>
      <w:del w:id="8121" w:author="AbbVie14" w:date="2025-05-09T10:34:00Z">
        <w:r w:rsidRPr="00295E71">
          <w:rPr>
            <w:sz w:val="22"/>
            <w:szCs w:val="22"/>
          </w:rPr>
          <w:delText>infiammatori nel colon compresa una significativa riduzione dell’espressione del TNFα. Studi endoscopici della mucosa intestinale hanno evidenziato la guarigione mucosale nei pazienti trattati con adalimumab.</w:delText>
        </w:r>
      </w:del>
    </w:p>
    <w:p w:rsidR="006224C2" w:rsidRPr="00295E71" w14:paraId="25E56D5B" w14:textId="77777777">
      <w:pPr>
        <w:tabs>
          <w:tab w:val="left" w:pos="567"/>
        </w:tabs>
        <w:jc w:val="both"/>
        <w:rPr>
          <w:del w:id="8122" w:author="AbbVie14" w:date="2025-05-09T10:34:00Z"/>
          <w:color w:val="000000"/>
          <w:sz w:val="22"/>
          <w:szCs w:val="22"/>
        </w:rPr>
      </w:pPr>
    </w:p>
    <w:p w:rsidR="006224C2" w:rsidRPr="00295E71" w:rsidP="005D5C2F" w14:paraId="6DA0F022" w14:textId="77777777">
      <w:pPr>
        <w:keepNext/>
        <w:keepLines/>
        <w:tabs>
          <w:tab w:val="left" w:pos="567"/>
        </w:tabs>
        <w:jc w:val="both"/>
        <w:rPr>
          <w:del w:id="8123" w:author="AbbVie14" w:date="2025-05-09T10:34:00Z"/>
          <w:color w:val="000000"/>
          <w:sz w:val="22"/>
          <w:szCs w:val="22"/>
          <w:u w:val="single"/>
        </w:rPr>
      </w:pPr>
      <w:del w:id="8124" w:author="AbbVie14" w:date="2025-05-09T10:34:00Z">
        <w:r w:rsidRPr="00295E71">
          <w:rPr>
            <w:color w:val="000000"/>
            <w:sz w:val="22"/>
            <w:szCs w:val="22"/>
            <w:u w:val="single"/>
          </w:rPr>
          <w:delText>Efficacia e sicurezza clinica</w:delText>
        </w:r>
      </w:del>
    </w:p>
    <w:p w:rsidR="006224C2" w:rsidRPr="00295E71" w:rsidP="005D5C2F" w14:paraId="52292B68" w14:textId="77777777">
      <w:pPr>
        <w:keepNext/>
        <w:keepLines/>
        <w:tabs>
          <w:tab w:val="left" w:pos="567"/>
        </w:tabs>
        <w:jc w:val="both"/>
        <w:rPr>
          <w:del w:id="8125" w:author="AbbVie14" w:date="2025-05-09T10:34:00Z"/>
          <w:color w:val="000000"/>
          <w:sz w:val="22"/>
          <w:szCs w:val="22"/>
          <w:u w:val="single"/>
        </w:rPr>
      </w:pPr>
    </w:p>
    <w:p w:rsidR="006224C2" w:rsidRPr="00295E71" w:rsidP="005D5C2F" w14:paraId="107313B8" w14:textId="77777777">
      <w:pPr>
        <w:keepNext/>
        <w:keepLines/>
        <w:tabs>
          <w:tab w:val="left" w:pos="567"/>
        </w:tabs>
        <w:jc w:val="both"/>
        <w:rPr>
          <w:del w:id="8126" w:author="AbbVie14" w:date="2025-05-09T10:34:00Z"/>
          <w:i/>
          <w:color w:val="000000"/>
          <w:sz w:val="22"/>
          <w:szCs w:val="22"/>
        </w:rPr>
      </w:pPr>
      <w:del w:id="8127" w:author="AbbVie14" w:date="2025-05-09T10:34:00Z">
        <w:r w:rsidRPr="00295E71">
          <w:rPr>
            <w:i/>
            <w:color w:val="000000"/>
            <w:sz w:val="22"/>
            <w:szCs w:val="22"/>
          </w:rPr>
          <w:delText>Artrite reumatoide</w:delText>
        </w:r>
      </w:del>
    </w:p>
    <w:p w:rsidR="006224C2" w:rsidRPr="00295E71" w:rsidP="005D5C2F" w14:paraId="29C832A4" w14:textId="77777777">
      <w:pPr>
        <w:keepNext/>
        <w:keepLines/>
        <w:tabs>
          <w:tab w:val="left" w:pos="567"/>
        </w:tabs>
        <w:jc w:val="both"/>
        <w:rPr>
          <w:del w:id="8128" w:author="AbbVie14" w:date="2025-05-09T10:34:00Z"/>
          <w:color w:val="000000"/>
          <w:sz w:val="22"/>
          <w:szCs w:val="22"/>
          <w:u w:val="single"/>
        </w:rPr>
      </w:pPr>
    </w:p>
    <w:p w:rsidR="006224C2" w:rsidRPr="00295E71" w:rsidP="005D5C2F" w14:paraId="004B8B48" w14:textId="77777777">
      <w:pPr>
        <w:pStyle w:val="BodyTextIndent"/>
        <w:keepNext/>
        <w:keepLines/>
        <w:tabs>
          <w:tab w:val="left" w:pos="567"/>
        </w:tabs>
        <w:autoSpaceDE/>
        <w:autoSpaceDN/>
        <w:adjustRightInd/>
        <w:rPr>
          <w:del w:id="8129" w:author="AbbVie14" w:date="2025-05-09T10:34:00Z"/>
          <w:lang w:eastAsia="it-IT"/>
        </w:rPr>
      </w:pPr>
      <w:del w:id="8130" w:author="AbbVie14" w:date="2025-05-09T10:34:00Z">
        <w:r w:rsidRPr="00295E71">
          <w:rPr>
            <w:lang w:eastAsia="it-IT"/>
          </w:rPr>
          <w:delText>Humira è stato valutato su oltre 3.000 pazienti in tutti gli studi clinici sull’artrite reumatoide. L’efficacia e la sicurezza di Humira sono state valutate in cinque studi randomizzati, in doppio cieco e ben controllati.</w:delText>
        </w:r>
      </w:del>
      <w:del w:id="8131" w:author="AbbVie14" w:date="2025-05-09T10:34:00Z">
        <w:r w:rsidR="00A06B0A">
          <w:rPr>
            <w:lang w:eastAsia="it-IT"/>
          </w:rPr>
          <w:delText xml:space="preserve"> </w:delText>
        </w:r>
      </w:del>
      <w:del w:id="8132" w:author="AbbVie14" w:date="2025-05-09T10:34:00Z">
        <w:r w:rsidRPr="00295E71">
          <w:rPr>
            <w:lang w:eastAsia="it-IT"/>
          </w:rPr>
          <w:delText>Alcuni pazienti sono stati sottoposti a trattamento per un periodo fino a 120 mesi.</w:delText>
        </w:r>
      </w:del>
    </w:p>
    <w:p w:rsidR="006224C2" w:rsidRPr="00295E71" w14:paraId="6D2B0A7E" w14:textId="77777777">
      <w:pPr>
        <w:tabs>
          <w:tab w:val="left" w:pos="567"/>
        </w:tabs>
        <w:jc w:val="both"/>
        <w:rPr>
          <w:del w:id="8133" w:author="AbbVie14" w:date="2025-05-09T10:34:00Z"/>
          <w:sz w:val="22"/>
          <w:szCs w:val="22"/>
        </w:rPr>
      </w:pPr>
    </w:p>
    <w:p w:rsidR="006224C2" w:rsidRPr="00295E71" w14:paraId="273E6C9A" w14:textId="77777777">
      <w:pPr>
        <w:pStyle w:val="BodyText"/>
        <w:keepNext/>
        <w:keepLines/>
        <w:tabs>
          <w:tab w:val="left" w:pos="567"/>
        </w:tabs>
        <w:rPr>
          <w:del w:id="8134" w:author="AbbVie14" w:date="2025-05-09T10:34:00Z"/>
        </w:rPr>
      </w:pPr>
      <w:del w:id="8135" w:author="AbbVie14" w:date="2025-05-09T10:34:00Z">
        <w:r w:rsidRPr="00295E71">
          <w:delText xml:space="preserve">Lo studio AR I è stato condotto su 271 pazienti di età </w:delText>
        </w:r>
      </w:del>
      <w:del w:id="8136" w:author="AbbVie14" w:date="2025-05-09T10:34:00Z">
        <w:r w:rsidRPr="00295E71">
          <w:rPr>
            <w:rFonts w:ascii="Symbol" w:hAnsi="Symbol"/>
          </w:rPr>
          <w:sym w:font="Symbol" w:char="F0B3"/>
        </w:r>
      </w:del>
      <w:del w:id="8137" w:author="AbbVie14" w:date="2025-05-09T10:34:00Z">
        <w:r w:rsidRPr="00295E71">
          <w:delText xml:space="preserve"> 18 anni, affetti da artrite reumatoide attiva di grado da moderato a severo, refrattari ad almeno un farmaco DMARD </w:delText>
        </w:r>
      </w:del>
      <w:del w:id="8138" w:author="AbbVie14" w:date="2025-05-09T10:34:00Z">
        <w:r w:rsidR="00A06B0A">
          <w:delText xml:space="preserve">e con risposta inadeguata al  </w:delText>
        </w:r>
      </w:del>
      <w:del w:id="8139" w:author="AbbVie14" w:date="2025-05-09T10:34:00Z">
        <w:r w:rsidRPr="00295E71">
          <w:delText>metotressato a dosaggi compresi tra 12,5 e 25 mg (10 mg se intolleranti al metotressato) a settimana e la cui dose di metotressato è rimasta costante a 10-25 mg a settimana. Humira 20, 40 o 80 mg o placebo sono stati somministrati a settimane alterne per 24 settimane.</w:delText>
        </w:r>
      </w:del>
    </w:p>
    <w:p w:rsidR="006224C2" w:rsidRPr="00295E71" w14:paraId="20D9164E" w14:textId="77777777">
      <w:pPr>
        <w:tabs>
          <w:tab w:val="left" w:pos="567"/>
        </w:tabs>
        <w:jc w:val="both"/>
        <w:rPr>
          <w:del w:id="8140" w:author="AbbVie14" w:date="2025-05-09T10:34:00Z"/>
          <w:sz w:val="22"/>
          <w:szCs w:val="22"/>
        </w:rPr>
      </w:pPr>
    </w:p>
    <w:p w:rsidR="006224C2" w:rsidRPr="00295E71" w14:paraId="43397751" w14:textId="77777777">
      <w:pPr>
        <w:tabs>
          <w:tab w:val="left" w:pos="567"/>
        </w:tabs>
        <w:jc w:val="both"/>
        <w:rPr>
          <w:del w:id="8141" w:author="AbbVie14" w:date="2025-05-09T10:34:00Z"/>
          <w:sz w:val="22"/>
          <w:szCs w:val="22"/>
        </w:rPr>
      </w:pPr>
      <w:del w:id="8142" w:author="AbbVie14" w:date="2025-05-09T10:34:00Z">
        <w:r w:rsidRPr="00295E71">
          <w:rPr>
            <w:sz w:val="22"/>
            <w:szCs w:val="22"/>
          </w:rPr>
          <w:delText xml:space="preserve">Nello studio AR II sono stati studiati 544 pazienti di età </w:delText>
        </w:r>
      </w:del>
      <w:del w:id="8143" w:author="AbbVie14" w:date="2025-05-09T10:34:00Z">
        <w:r w:rsidRPr="00295E71">
          <w:rPr>
            <w:rFonts w:ascii="Symbol" w:hAnsi="Symbol"/>
            <w:sz w:val="22"/>
            <w:szCs w:val="22"/>
          </w:rPr>
          <w:sym w:font="Symbol" w:char="F0B3"/>
        </w:r>
      </w:del>
      <w:del w:id="8144" w:author="AbbVie14" w:date="2025-05-09T10:34:00Z">
        <w:r w:rsidRPr="00295E71">
          <w:rPr>
            <w:sz w:val="22"/>
            <w:szCs w:val="22"/>
          </w:rPr>
          <w:delText xml:space="preserve"> 18 anni, affetti da artrite reumatoide attiva di grado da moderato a severo, con insufficiente risposta ad almeno un farmaco DMARD. Sono state somministrate dosi di 20 o 40 mg di Humira attraverso iniezione sottocutanea ogni due settimane con placebo a settimane alterne, o ogni settimana per 26 settimane; il placebo è stato somministrato ogni settimana per la stessa durata. Non è stato consentito l’uso di altri DMARD.</w:delText>
        </w:r>
      </w:del>
    </w:p>
    <w:p w:rsidR="006224C2" w:rsidRPr="00295E71" w14:paraId="0EA3351F" w14:textId="77777777">
      <w:pPr>
        <w:tabs>
          <w:tab w:val="left" w:pos="567"/>
        </w:tabs>
        <w:jc w:val="both"/>
        <w:rPr>
          <w:del w:id="8145" w:author="AbbVie14" w:date="2025-05-09T10:34:00Z"/>
          <w:sz w:val="22"/>
          <w:szCs w:val="22"/>
        </w:rPr>
      </w:pPr>
    </w:p>
    <w:p w:rsidR="006224C2" w:rsidRPr="00295E71" w14:paraId="26399FCF" w14:textId="77777777">
      <w:pPr>
        <w:tabs>
          <w:tab w:val="left" w:pos="567"/>
        </w:tabs>
        <w:jc w:val="both"/>
        <w:rPr>
          <w:del w:id="8146" w:author="AbbVie14" w:date="2025-05-09T10:34:00Z"/>
          <w:sz w:val="22"/>
          <w:szCs w:val="22"/>
        </w:rPr>
      </w:pPr>
      <w:del w:id="8147" w:author="AbbVie14" w:date="2025-05-09T10:34:00Z">
        <w:r w:rsidRPr="00295E71">
          <w:rPr>
            <w:sz w:val="22"/>
            <w:szCs w:val="22"/>
          </w:rPr>
          <w:delText xml:space="preserve">Allo studio AR III hanno partecipato 619 pazienti, di età </w:delText>
        </w:r>
      </w:del>
      <w:del w:id="8148" w:author="AbbVie14" w:date="2025-05-09T10:34:00Z">
        <w:r w:rsidRPr="00295E71">
          <w:rPr>
            <w:rFonts w:ascii="Symbol" w:hAnsi="Symbol"/>
            <w:sz w:val="22"/>
            <w:szCs w:val="22"/>
          </w:rPr>
          <w:sym w:font="Symbol" w:char="F0B3"/>
        </w:r>
      </w:del>
      <w:del w:id="8149" w:author="AbbVie14" w:date="2025-05-09T10:34:00Z">
        <w:r w:rsidRPr="00295E71">
          <w:rPr>
            <w:sz w:val="22"/>
            <w:szCs w:val="22"/>
          </w:rPr>
          <w:delText xml:space="preserve"> 18 anni, con artrite reumatoide attiva di grado da moderato a severo con inadeguata risposta alla terapia con metotressato a dosaggi compresi tra 12,5 e 25 mg, o intolleranti a 10 mg di metotressato ogni settimana.</w:delText>
        </w:r>
      </w:del>
    </w:p>
    <w:p w:rsidR="006224C2" w:rsidRPr="00295E71" w14:paraId="0BB48EDC" w14:textId="77777777">
      <w:pPr>
        <w:rPr>
          <w:del w:id="8150" w:author="AbbVie14" w:date="2025-05-09T10:34:00Z"/>
          <w:sz w:val="22"/>
          <w:szCs w:val="22"/>
        </w:rPr>
      </w:pPr>
      <w:del w:id="8151" w:author="AbbVie14" w:date="2025-05-09T10:34:00Z">
        <w:r w:rsidRPr="00295E71">
          <w:rPr>
            <w:sz w:val="22"/>
            <w:szCs w:val="22"/>
          </w:rPr>
          <w:delText>In questo studio sono stati costituiti 3 gruppi. Il primo ha ricevuto iniezioni di placebo ogni settimana per 52 settimane. Il secondo ha ricevuto 20 mg di Humira a settimana per 52 settimane, mentre il terzo ha ricevuto 40 mg di Humira ogni due settimane e iniezioni di placebo a settimane alterne. Al completamento delle prime 52 settimane,457 pazienti sono stati arruolati in una fase di estensione in aperto in cui Humira/MTX è stato somministrato alla dose di 40 mg a settimane alterne fino a 10 anni.</w:delText>
        </w:r>
      </w:del>
    </w:p>
    <w:p w:rsidR="006224C2" w:rsidRPr="00295E71" w14:paraId="28D94C6A" w14:textId="77777777">
      <w:pPr>
        <w:tabs>
          <w:tab w:val="left" w:pos="567"/>
        </w:tabs>
        <w:jc w:val="both"/>
        <w:rPr>
          <w:del w:id="8152" w:author="AbbVie14" w:date="2025-05-09T10:34:00Z"/>
          <w:sz w:val="22"/>
          <w:szCs w:val="22"/>
        </w:rPr>
      </w:pPr>
    </w:p>
    <w:p w:rsidR="006224C2" w:rsidRPr="00295E71" w14:paraId="335544B7" w14:textId="77777777">
      <w:pPr>
        <w:tabs>
          <w:tab w:val="left" w:pos="567"/>
        </w:tabs>
        <w:jc w:val="both"/>
        <w:rPr>
          <w:del w:id="8153" w:author="AbbVie14" w:date="2025-05-09T10:34:00Z"/>
          <w:sz w:val="22"/>
          <w:szCs w:val="22"/>
        </w:rPr>
      </w:pPr>
      <w:del w:id="8154" w:author="AbbVie14" w:date="2025-05-09T10:34:00Z">
        <w:r w:rsidRPr="00295E71">
          <w:rPr>
            <w:sz w:val="22"/>
            <w:szCs w:val="22"/>
          </w:rPr>
          <w:delText xml:space="preserve">Lo studio AR IV ha valutato in primo luogo la sicurezza di Humira in 636 pazienti con artrite reumatoide attiva di grado da moderato a severo e con età </w:delText>
        </w:r>
      </w:del>
      <w:del w:id="8155" w:author="AbbVie14" w:date="2025-05-09T10:34:00Z">
        <w:r w:rsidRPr="00295E71">
          <w:rPr>
            <w:rFonts w:ascii="Symbol" w:hAnsi="Symbol"/>
            <w:sz w:val="22"/>
            <w:szCs w:val="22"/>
          </w:rPr>
          <w:sym w:font="Symbol" w:char="F0B3"/>
        </w:r>
      </w:del>
      <w:del w:id="8156" w:author="AbbVie14" w:date="2025-05-09T10:34:00Z">
        <w:r w:rsidRPr="00295E71">
          <w:rPr>
            <w:sz w:val="22"/>
            <w:szCs w:val="22"/>
          </w:rPr>
          <w:delText> 18 anni. La popolazione studiata era costituita sia da pazienti mai trattati con DMARD, sia da pazienti che avevano continuato la terapia anti-reumatica preesistente a condizione che questa fosse stabile da un minimo di 28 giorni. Queste terapie includono metotressato, leflunomide, idrossiclorochina, sulfasalazina e/o sali d’oro. I pazienti sono stati randomizzati per ricevere 40 mg di Humira o placebo ogni due settimane per 24 settimane.</w:delText>
        </w:r>
      </w:del>
    </w:p>
    <w:p w:rsidR="006224C2" w:rsidRPr="00295E71" w14:paraId="693A01E3" w14:textId="77777777">
      <w:pPr>
        <w:rPr>
          <w:del w:id="8157" w:author="AbbVie14" w:date="2025-05-09T10:34:00Z"/>
          <w:sz w:val="22"/>
          <w:szCs w:val="22"/>
        </w:rPr>
      </w:pPr>
    </w:p>
    <w:p w:rsidR="006224C2" w:rsidRPr="00295E71" w14:paraId="71674065" w14:textId="77777777">
      <w:pPr>
        <w:rPr>
          <w:del w:id="8158" w:author="AbbVie14" w:date="2025-05-09T10:34:00Z"/>
          <w:sz w:val="22"/>
          <w:szCs w:val="22"/>
        </w:rPr>
      </w:pPr>
      <w:del w:id="8159" w:author="AbbVie14" w:date="2025-05-09T10:34:00Z">
        <w:r w:rsidRPr="00295E71">
          <w:rPr>
            <w:sz w:val="22"/>
            <w:szCs w:val="22"/>
          </w:rPr>
          <w:delText>Lo studio AR V ha valutato 799 pazienti adulti mai trattati in precedenza con metotressato ed affetti da artrite reumatoide precoce attiva di grado moderato-grave (durata media della malattia inferiore a 9 mesi). Questo studio ha valutato l’efficacia di 40 mg di Humira somministrato a settimane alterne in terapia associata con il metotressato, di 40 mg di Humira somministrato in monoterapia a settimane alterne e di metotressato in monoterapia nella riduzione dei segni e sintomi di malattia e dell’indice di progressione del danno articolare causato dall’artrite reumatoide per 104 settimane. Al completamento delle prime 104 settimane, 497 pazienti sono stati arruolati in una fase di estensione in aperto in cui Humira è stato somministrato alla dose di 40 mg a settimane alterne fino a 10 anni.</w:delText>
        </w:r>
      </w:del>
    </w:p>
    <w:p w:rsidR="006224C2" w:rsidRPr="00295E71" w14:paraId="211E6837" w14:textId="77777777">
      <w:pPr>
        <w:tabs>
          <w:tab w:val="left" w:pos="567"/>
        </w:tabs>
        <w:jc w:val="both"/>
        <w:rPr>
          <w:del w:id="8160" w:author="AbbVie14" w:date="2025-05-09T10:34:00Z"/>
          <w:sz w:val="22"/>
          <w:szCs w:val="22"/>
        </w:rPr>
      </w:pPr>
    </w:p>
    <w:p w:rsidR="006224C2" w:rsidRPr="00295E71" w14:paraId="2690D3D5" w14:textId="77777777">
      <w:pPr>
        <w:tabs>
          <w:tab w:val="left" w:pos="567"/>
        </w:tabs>
        <w:jc w:val="both"/>
        <w:rPr>
          <w:del w:id="8161" w:author="AbbVie14" w:date="2025-05-09T10:34:00Z"/>
          <w:sz w:val="22"/>
          <w:szCs w:val="22"/>
        </w:rPr>
      </w:pPr>
      <w:del w:id="8162" w:author="AbbVie14" w:date="2025-05-09T10:34:00Z">
        <w:r w:rsidRPr="00295E71">
          <w:rPr>
            <w:sz w:val="22"/>
            <w:szCs w:val="22"/>
          </w:rPr>
          <w:delText>L’</w:delText>
        </w:r>
      </w:del>
      <w:del w:id="8163" w:author="AbbVie14" w:date="2025-05-09T10:34:00Z">
        <w:r w:rsidRPr="00020442" w:rsidR="00A06B0A">
          <w:rPr>
            <w:sz w:val="22"/>
            <w:szCs w:val="22"/>
          </w:rPr>
          <w:delText>endpoint</w:delText>
        </w:r>
      </w:del>
      <w:del w:id="8164" w:author="AbbVie14" w:date="2025-05-09T10:34:00Z">
        <w:r w:rsidRPr="00295E71">
          <w:rPr>
            <w:sz w:val="22"/>
            <w:szCs w:val="22"/>
          </w:rPr>
          <w:delText xml:space="preserve"> primario degli studi AR I, II, III, e secondario dello studio AR IV, era la valutazione della percentuale di pazienti che raggiungeva una risposta ACR 20 alla settimana 24 o 26. L’</w:delText>
        </w:r>
      </w:del>
      <w:del w:id="8165" w:author="AbbVie14" w:date="2025-05-09T10:34:00Z">
        <w:r w:rsidRPr="00020442" w:rsidR="00A06B0A">
          <w:rPr>
            <w:sz w:val="22"/>
            <w:szCs w:val="22"/>
          </w:rPr>
          <w:delText>endpoint</w:delText>
        </w:r>
      </w:del>
      <w:del w:id="8166" w:author="AbbVie14" w:date="2025-05-09T10:34:00Z">
        <w:r w:rsidRPr="00295E71">
          <w:rPr>
            <w:sz w:val="22"/>
            <w:szCs w:val="22"/>
          </w:rPr>
          <w:delText xml:space="preserve"> primario dello studio AR V era la valutazione della percentuale di pazienti che raggiungeva una risposta ACR 50 alla settimana 52. Inoltre, gli studi AR III e V avevano </w:delText>
        </w:r>
      </w:del>
      <w:del w:id="8167" w:author="AbbVie14" w:date="2025-05-09T10:34:00Z">
        <w:r w:rsidRPr="00020442" w:rsidR="00A06B0A">
          <w:rPr>
            <w:sz w:val="22"/>
            <w:szCs w:val="22"/>
          </w:rPr>
          <w:delText>un ulteriore endpoint primario rappresentato dal ritardo</w:delText>
        </w:r>
      </w:del>
      <w:del w:id="8168" w:author="AbbVie14" w:date="2025-05-09T10:34:00Z">
        <w:r w:rsidR="008076EA">
          <w:rPr>
            <w:sz w:val="22"/>
            <w:szCs w:val="22"/>
          </w:rPr>
          <w:delText xml:space="preserve"> </w:delText>
        </w:r>
      </w:del>
      <w:del w:id="8169" w:author="AbbVie14" w:date="2025-05-09T10:34:00Z">
        <w:r w:rsidRPr="00295E71">
          <w:rPr>
            <w:sz w:val="22"/>
            <w:szCs w:val="22"/>
          </w:rPr>
          <w:delText xml:space="preserve">della progressione di malattia (attraverso gli esami radiografici) alla settimana 52. Lo studio AR III aveva anche </w:delText>
        </w:r>
      </w:del>
      <w:del w:id="8170" w:author="AbbVie14" w:date="2025-05-09T10:34:00Z">
        <w:r w:rsidRPr="00295E71" w:rsidR="00A06B0A">
          <w:rPr>
            <w:sz w:val="22"/>
            <w:szCs w:val="22"/>
          </w:rPr>
          <w:delText>l’</w:delText>
        </w:r>
      </w:del>
      <w:del w:id="8171" w:author="AbbVie14" w:date="2025-05-09T10:34:00Z">
        <w:r w:rsidR="00A06B0A">
          <w:rPr>
            <w:sz w:val="22"/>
            <w:szCs w:val="22"/>
          </w:rPr>
          <w:delText>endpoint</w:delText>
        </w:r>
      </w:del>
      <w:del w:id="8172" w:author="AbbVie14" w:date="2025-05-09T10:34:00Z">
        <w:r w:rsidRPr="00295E71" w:rsidR="00A06B0A">
          <w:rPr>
            <w:sz w:val="22"/>
            <w:szCs w:val="22"/>
          </w:rPr>
          <w:delText xml:space="preserve"> </w:delText>
        </w:r>
      </w:del>
      <w:del w:id="8173" w:author="AbbVie14" w:date="2025-05-09T10:34:00Z">
        <w:r w:rsidRPr="00295E71">
          <w:rPr>
            <w:sz w:val="22"/>
            <w:szCs w:val="22"/>
          </w:rPr>
          <w:delText xml:space="preserve">primario di </w:delText>
        </w:r>
      </w:del>
      <w:del w:id="8174" w:author="AbbVie14" w:date="2025-05-09T10:34:00Z">
        <w:r w:rsidR="00A06B0A">
          <w:rPr>
            <w:sz w:val="22"/>
            <w:szCs w:val="22"/>
          </w:rPr>
          <w:delText>variazione</w:delText>
        </w:r>
      </w:del>
      <w:del w:id="8175" w:author="AbbVie14" w:date="2025-05-09T10:34:00Z">
        <w:r w:rsidRPr="00295E71">
          <w:rPr>
            <w:sz w:val="22"/>
            <w:szCs w:val="22"/>
          </w:rPr>
          <w:delText xml:space="preserve"> qualità di vita.</w:delText>
        </w:r>
      </w:del>
    </w:p>
    <w:p w:rsidR="006224C2" w:rsidRPr="00295E71" w14:paraId="1D1B61A8" w14:textId="77777777">
      <w:pPr>
        <w:pStyle w:val="EndnoteText"/>
        <w:jc w:val="both"/>
        <w:rPr>
          <w:del w:id="8176" w:author="AbbVie14" w:date="2025-05-09T10:34:00Z"/>
          <w:lang w:val="it-IT"/>
        </w:rPr>
      </w:pPr>
    </w:p>
    <w:p w:rsidR="006224C2" w:rsidRPr="00295E71" w14:paraId="3E7E2440" w14:textId="77777777">
      <w:pPr>
        <w:pStyle w:val="Heading7"/>
        <w:spacing w:line="240" w:lineRule="auto"/>
        <w:rPr>
          <w:del w:id="8177" w:author="AbbVie14" w:date="2025-05-09T10:34:00Z"/>
          <w:u w:val="single"/>
          <w:lang w:val="it-IT"/>
        </w:rPr>
      </w:pPr>
      <w:del w:id="8178" w:author="AbbVie14" w:date="2025-05-09T10:34:00Z">
        <w:r w:rsidRPr="00295E71">
          <w:rPr>
            <w:u w:val="single"/>
            <w:lang w:val="it-IT"/>
          </w:rPr>
          <w:delText>Risposta ACR</w:delText>
        </w:r>
      </w:del>
    </w:p>
    <w:p w:rsidR="006224C2" w:rsidRPr="00295E71" w14:paraId="08418A43" w14:textId="77777777">
      <w:pPr>
        <w:keepNext/>
        <w:tabs>
          <w:tab w:val="left" w:pos="567"/>
        </w:tabs>
        <w:jc w:val="both"/>
        <w:rPr>
          <w:del w:id="8179" w:author="AbbVie14" w:date="2025-05-09T10:34:00Z"/>
          <w:sz w:val="22"/>
          <w:szCs w:val="22"/>
        </w:rPr>
      </w:pPr>
    </w:p>
    <w:p w:rsidR="006224C2" w:rsidRPr="00295E71" w14:paraId="5561EC1A" w14:textId="77777777">
      <w:pPr>
        <w:keepNext/>
        <w:tabs>
          <w:tab w:val="left" w:pos="567"/>
        </w:tabs>
        <w:jc w:val="both"/>
        <w:rPr>
          <w:del w:id="8180" w:author="AbbVie14" w:date="2025-05-09T10:34:00Z"/>
          <w:sz w:val="22"/>
          <w:szCs w:val="22"/>
        </w:rPr>
      </w:pPr>
      <w:del w:id="8181" w:author="AbbVie14" w:date="2025-05-09T10:34:00Z">
        <w:r w:rsidRPr="00295E71">
          <w:rPr>
            <w:sz w:val="22"/>
            <w:szCs w:val="22"/>
          </w:rPr>
          <w:delText xml:space="preserve">Le percentuali di pazienti trattati con Humira che hanno raggiunto risposte ACR 20, 50 e 70 erano sovrapponibili negli studi AR I, II e III. I risultati relativi al trattamento con 40 mg ogni due settimane sono riassunti nella Tabella </w:delText>
        </w:r>
      </w:del>
      <w:del w:id="8182" w:author="AbbVie14" w:date="2025-05-09T10:34:00Z">
        <w:r w:rsidR="005C4AD7">
          <w:rPr>
            <w:sz w:val="22"/>
            <w:szCs w:val="22"/>
          </w:rPr>
          <w:delText>8</w:delText>
        </w:r>
      </w:del>
      <w:del w:id="8183" w:author="AbbVie14" w:date="2025-05-09T10:34:00Z">
        <w:r w:rsidRPr="00295E71">
          <w:rPr>
            <w:sz w:val="22"/>
            <w:szCs w:val="22"/>
          </w:rPr>
          <w:delText>.</w:delText>
        </w:r>
      </w:del>
    </w:p>
    <w:p w:rsidR="006224C2" w:rsidRPr="00295E71" w14:paraId="28AB9164" w14:textId="77777777">
      <w:pPr>
        <w:rPr>
          <w:del w:id="8184" w:author="AbbVie14" w:date="2025-05-09T10:34:00Z"/>
          <w:sz w:val="22"/>
          <w:szCs w:val="22"/>
        </w:rPr>
      </w:pPr>
    </w:p>
    <w:tbl>
      <w:tblPr>
        <w:tblW w:w="9549" w:type="dxa"/>
        <w:tblInd w:w="98" w:type="dxa"/>
        <w:tblLayout w:type="fixed"/>
        <w:tblCellMar>
          <w:left w:w="0" w:type="dxa"/>
          <w:right w:w="0" w:type="dxa"/>
        </w:tblCellMar>
        <w:tblLook w:val="0000"/>
      </w:tblPr>
      <w:tblGrid>
        <w:gridCol w:w="1069"/>
        <w:gridCol w:w="1393"/>
        <w:gridCol w:w="1417"/>
        <w:gridCol w:w="1071"/>
        <w:gridCol w:w="1197"/>
        <w:gridCol w:w="1418"/>
        <w:gridCol w:w="1984"/>
      </w:tblGrid>
      <w:tr w14:paraId="351BCD23" w14:textId="77777777">
        <w:tblPrEx>
          <w:tblW w:w="9549" w:type="dxa"/>
          <w:tblInd w:w="98" w:type="dxa"/>
          <w:tblLayout w:type="fixed"/>
          <w:tblLook w:val="0000"/>
        </w:tblPrEx>
        <w:trPr>
          <w:del w:id="8185" w:author="AbbVie14" w:date="2025-05-09T10:34:00Z"/>
        </w:trPr>
        <w:tc>
          <w:tcPr>
            <w:tcW w:w="9549" w:type="dxa"/>
            <w:gridSpan w:val="7"/>
          </w:tcPr>
          <w:p w:rsidR="006224C2" w:rsidRPr="00295E71" w14:paraId="58F56B0A" w14:textId="77777777">
            <w:pPr>
              <w:pStyle w:val="BodyText1"/>
              <w:keepNext/>
              <w:keepLines/>
              <w:tabs>
                <w:tab w:val="left" w:pos="567"/>
                <w:tab w:val="clear" w:pos="1152"/>
                <w:tab w:val="clear" w:pos="1872"/>
              </w:tabs>
              <w:spacing w:after="0" w:line="240" w:lineRule="auto"/>
              <w:ind w:left="0"/>
              <w:jc w:val="center"/>
              <w:rPr>
                <w:del w:id="8186" w:author="AbbVie14" w:date="2025-05-09T10:34:00Z"/>
                <w:b/>
                <w:bCs/>
                <w:sz w:val="22"/>
                <w:szCs w:val="22"/>
                <w:lang w:val="it-IT"/>
              </w:rPr>
            </w:pPr>
            <w:del w:id="8187" w:author="AbbVie14" w:date="2025-05-09T10:34:00Z">
              <w:r w:rsidRPr="00295E71">
                <w:rPr>
                  <w:b/>
                  <w:bCs/>
                  <w:sz w:val="22"/>
                  <w:szCs w:val="22"/>
                  <w:lang w:val="it-IT"/>
                </w:rPr>
                <w:delText xml:space="preserve">Tabella </w:delText>
              </w:r>
            </w:del>
            <w:del w:id="8188" w:author="AbbVie14" w:date="2025-05-09T10:34:00Z">
              <w:r w:rsidR="005C4AD7">
                <w:rPr>
                  <w:b/>
                  <w:bCs/>
                  <w:sz w:val="22"/>
                  <w:szCs w:val="22"/>
                  <w:lang w:val="it-IT"/>
                </w:rPr>
                <w:delText>8</w:delText>
              </w:r>
            </w:del>
          </w:p>
          <w:p w:rsidR="006224C2" w:rsidRPr="00295E71" w14:paraId="5A1843EF" w14:textId="77777777">
            <w:pPr>
              <w:pStyle w:val="BodyText1"/>
              <w:keepNext/>
              <w:keepLines/>
              <w:tabs>
                <w:tab w:val="left" w:pos="567"/>
                <w:tab w:val="clear" w:pos="1152"/>
                <w:tab w:val="clear" w:pos="1872"/>
              </w:tabs>
              <w:spacing w:after="0" w:line="240" w:lineRule="auto"/>
              <w:ind w:left="0"/>
              <w:jc w:val="center"/>
              <w:rPr>
                <w:del w:id="8189" w:author="AbbVie14" w:date="2025-05-09T10:34:00Z"/>
                <w:b/>
                <w:bCs/>
                <w:sz w:val="22"/>
                <w:szCs w:val="22"/>
                <w:lang w:val="it-IT"/>
              </w:rPr>
            </w:pPr>
            <w:del w:id="8190" w:author="AbbVie14" w:date="2025-05-09T10:34:00Z">
              <w:r w:rsidRPr="00295E71">
                <w:rPr>
                  <w:b/>
                  <w:bCs/>
                  <w:sz w:val="22"/>
                  <w:szCs w:val="22"/>
                  <w:lang w:val="it-IT"/>
                </w:rPr>
                <w:delText>Risposte ACR negli studi clinici controllati con placebo</w:delText>
              </w:r>
            </w:del>
          </w:p>
          <w:p w:rsidR="006224C2" w:rsidRPr="00295E71" w14:paraId="6FF317D7" w14:textId="77777777">
            <w:pPr>
              <w:pStyle w:val="BodyText1"/>
              <w:keepNext/>
              <w:keepLines/>
              <w:tabs>
                <w:tab w:val="left" w:pos="567"/>
                <w:tab w:val="clear" w:pos="1152"/>
                <w:tab w:val="clear" w:pos="1872"/>
              </w:tabs>
              <w:spacing w:after="0" w:line="240" w:lineRule="auto"/>
              <w:ind w:left="0"/>
              <w:jc w:val="center"/>
              <w:rPr>
                <w:del w:id="8191" w:author="AbbVie14" w:date="2025-05-09T10:34:00Z"/>
                <w:b/>
                <w:bCs/>
                <w:sz w:val="22"/>
                <w:szCs w:val="22"/>
                <w:lang w:val="it-IT"/>
              </w:rPr>
            </w:pPr>
            <w:del w:id="8192" w:author="AbbVie14" w:date="2025-05-09T10:34:00Z">
              <w:r w:rsidRPr="00295E71">
                <w:rPr>
                  <w:b/>
                  <w:bCs/>
                  <w:sz w:val="22"/>
                  <w:szCs w:val="22"/>
                  <w:lang w:val="it-IT"/>
                </w:rPr>
                <w:delText>(percentuale di pazienti)</w:delText>
              </w:r>
            </w:del>
          </w:p>
          <w:p w:rsidR="006224C2" w:rsidRPr="00295E71" w14:paraId="5BE68226" w14:textId="77777777">
            <w:pPr>
              <w:pStyle w:val="BodyText1"/>
              <w:keepNext/>
              <w:keepLines/>
              <w:tabs>
                <w:tab w:val="left" w:pos="567"/>
                <w:tab w:val="clear" w:pos="1152"/>
                <w:tab w:val="clear" w:pos="1872"/>
              </w:tabs>
              <w:spacing w:after="0" w:line="240" w:lineRule="auto"/>
              <w:ind w:left="0"/>
              <w:jc w:val="center"/>
              <w:rPr>
                <w:del w:id="8193" w:author="AbbVie14" w:date="2025-05-09T10:34:00Z"/>
                <w:sz w:val="22"/>
                <w:szCs w:val="22"/>
                <w:lang w:val="it-IT"/>
              </w:rPr>
            </w:pPr>
          </w:p>
        </w:tc>
      </w:tr>
      <w:tr w14:paraId="2AF654AD" w14:textId="77777777">
        <w:tblPrEx>
          <w:tblW w:w="9549" w:type="dxa"/>
          <w:tblInd w:w="98" w:type="dxa"/>
          <w:tblLayout w:type="fixed"/>
          <w:tblLook w:val="0000"/>
        </w:tblPrEx>
        <w:trPr>
          <w:cantSplit/>
          <w:del w:id="8194" w:author="AbbVie14" w:date="2025-05-09T10:34:00Z"/>
        </w:trPr>
        <w:tc>
          <w:tcPr>
            <w:tcW w:w="1069" w:type="dxa"/>
            <w:tcBorders>
              <w:top w:val="single" w:sz="6" w:space="0" w:color="auto"/>
              <w:right w:val="single" w:sz="6" w:space="0" w:color="auto"/>
            </w:tcBorders>
          </w:tcPr>
          <w:p w:rsidR="006224C2" w:rsidRPr="00295E71" w14:paraId="06998FAF" w14:textId="77777777">
            <w:pPr>
              <w:pStyle w:val="In-texttable"/>
              <w:keepLines/>
              <w:tabs>
                <w:tab w:val="left" w:pos="567"/>
              </w:tabs>
              <w:spacing w:line="240" w:lineRule="auto"/>
              <w:rPr>
                <w:del w:id="8195" w:author="AbbVie14" w:date="2025-05-09T10:34:00Z"/>
                <w:rFonts w:ascii="Times New Roman" w:hAnsi="Times New Roman" w:cs="Times New Roman"/>
                <w:sz w:val="22"/>
                <w:szCs w:val="22"/>
                <w:lang w:val="it-IT"/>
              </w:rPr>
            </w:pPr>
            <w:del w:id="8196" w:author="AbbVie14" w:date="2025-05-09T10:34:00Z">
              <w:r w:rsidRPr="00295E71">
                <w:rPr>
                  <w:rFonts w:ascii="Times New Roman" w:hAnsi="Times New Roman" w:cs="Times New Roman"/>
                  <w:sz w:val="22"/>
                  <w:szCs w:val="22"/>
                  <w:lang w:val="it-IT"/>
                </w:rPr>
                <w:delText>Risposta</w:delText>
              </w:r>
            </w:del>
          </w:p>
        </w:tc>
        <w:tc>
          <w:tcPr>
            <w:tcW w:w="2810" w:type="dxa"/>
            <w:gridSpan w:val="2"/>
            <w:tcBorders>
              <w:top w:val="single" w:sz="6" w:space="0" w:color="auto"/>
              <w:left w:val="single" w:sz="6" w:space="0" w:color="auto"/>
              <w:bottom w:val="single" w:sz="6" w:space="0" w:color="auto"/>
              <w:right w:val="single" w:sz="6" w:space="0" w:color="auto"/>
            </w:tcBorders>
          </w:tcPr>
          <w:p w:rsidR="006224C2" w:rsidRPr="00295E71" w14:paraId="4C29E97E" w14:textId="77777777">
            <w:pPr>
              <w:pStyle w:val="In-texttable"/>
              <w:keepLines/>
              <w:tabs>
                <w:tab w:val="left" w:pos="567"/>
              </w:tabs>
              <w:spacing w:line="240" w:lineRule="auto"/>
              <w:jc w:val="center"/>
              <w:rPr>
                <w:del w:id="8197" w:author="AbbVie14" w:date="2025-05-09T10:34:00Z"/>
                <w:rFonts w:ascii="Times New Roman" w:hAnsi="Times New Roman" w:cs="Times New Roman"/>
                <w:sz w:val="22"/>
                <w:szCs w:val="22"/>
                <w:lang w:val="it-IT"/>
              </w:rPr>
            </w:pPr>
            <w:del w:id="8198" w:author="AbbVie14" w:date="2025-05-09T10:34:00Z">
              <w:r w:rsidRPr="00295E71">
                <w:rPr>
                  <w:rFonts w:ascii="Times New Roman" w:hAnsi="Times New Roman" w:cs="Times New Roman"/>
                  <w:sz w:val="22"/>
                  <w:szCs w:val="22"/>
                  <w:lang w:val="it-IT"/>
                </w:rPr>
                <w:delText>studio AR I</w:delText>
              </w:r>
            </w:del>
            <w:del w:id="8199" w:author="AbbVie14" w:date="2025-05-09T10:34:00Z">
              <w:r w:rsidRPr="00295E71">
                <w:rPr>
                  <w:rFonts w:ascii="Times New Roman" w:hAnsi="Times New Roman" w:cs="Times New Roman"/>
                  <w:sz w:val="22"/>
                  <w:szCs w:val="22"/>
                  <w:vertAlign w:val="superscript"/>
                  <w:lang w:val="it-IT"/>
                </w:rPr>
                <w:delText>a</w:delText>
              </w:r>
            </w:del>
            <w:del w:id="8200" w:author="AbbVie14" w:date="2025-05-09T10:34:00Z">
              <w:r w:rsidRPr="00295E71">
                <w:rPr>
                  <w:rFonts w:ascii="Times New Roman" w:hAnsi="Times New Roman" w:cs="Times New Roman"/>
                  <w:sz w:val="22"/>
                  <w:szCs w:val="22"/>
                  <w:lang w:val="it-IT"/>
                </w:rPr>
                <w:delText>**</w:delText>
              </w:r>
            </w:del>
          </w:p>
        </w:tc>
        <w:tc>
          <w:tcPr>
            <w:tcW w:w="2268" w:type="dxa"/>
            <w:gridSpan w:val="2"/>
            <w:tcBorders>
              <w:top w:val="single" w:sz="6" w:space="0" w:color="auto"/>
              <w:left w:val="single" w:sz="6" w:space="0" w:color="auto"/>
              <w:bottom w:val="single" w:sz="6" w:space="0" w:color="auto"/>
              <w:right w:val="single" w:sz="6" w:space="0" w:color="auto"/>
            </w:tcBorders>
          </w:tcPr>
          <w:p w:rsidR="006224C2" w:rsidRPr="00295E71" w14:paraId="7EEF5419" w14:textId="77777777">
            <w:pPr>
              <w:pStyle w:val="In-texttable"/>
              <w:keepLines/>
              <w:tabs>
                <w:tab w:val="left" w:pos="567"/>
              </w:tabs>
              <w:spacing w:line="240" w:lineRule="auto"/>
              <w:jc w:val="center"/>
              <w:rPr>
                <w:del w:id="8201" w:author="AbbVie14" w:date="2025-05-09T10:34:00Z"/>
                <w:rFonts w:ascii="Times New Roman" w:hAnsi="Times New Roman" w:cs="Times New Roman"/>
                <w:sz w:val="22"/>
                <w:szCs w:val="22"/>
                <w:lang w:val="it-IT"/>
              </w:rPr>
            </w:pPr>
            <w:del w:id="8202" w:author="AbbVie14" w:date="2025-05-09T10:34:00Z">
              <w:r w:rsidRPr="00295E71">
                <w:rPr>
                  <w:rFonts w:ascii="Times New Roman" w:hAnsi="Times New Roman" w:cs="Times New Roman"/>
                  <w:sz w:val="22"/>
                  <w:szCs w:val="22"/>
                  <w:lang w:val="it-IT"/>
                </w:rPr>
                <w:delText>studio AR II</w:delText>
              </w:r>
            </w:del>
            <w:del w:id="8203" w:author="AbbVie14" w:date="2025-05-09T10:34:00Z">
              <w:r w:rsidRPr="00295E71">
                <w:rPr>
                  <w:rFonts w:ascii="Times New Roman" w:hAnsi="Times New Roman" w:cs="Times New Roman"/>
                  <w:sz w:val="22"/>
                  <w:szCs w:val="22"/>
                  <w:vertAlign w:val="superscript"/>
                  <w:lang w:val="it-IT"/>
                </w:rPr>
                <w:delText>a</w:delText>
              </w:r>
            </w:del>
            <w:del w:id="8204" w:author="AbbVie14" w:date="2025-05-09T10:34:00Z">
              <w:r w:rsidRPr="00295E71">
                <w:rPr>
                  <w:rFonts w:ascii="Times New Roman" w:hAnsi="Times New Roman" w:cs="Times New Roman"/>
                  <w:sz w:val="22"/>
                  <w:szCs w:val="22"/>
                  <w:lang w:val="it-IT"/>
                </w:rPr>
                <w:delText>**</w:delText>
              </w:r>
            </w:del>
          </w:p>
        </w:tc>
        <w:tc>
          <w:tcPr>
            <w:tcW w:w="3402" w:type="dxa"/>
            <w:gridSpan w:val="2"/>
            <w:tcBorders>
              <w:top w:val="single" w:sz="6" w:space="0" w:color="auto"/>
              <w:left w:val="single" w:sz="6" w:space="0" w:color="auto"/>
              <w:bottom w:val="single" w:sz="6" w:space="0" w:color="auto"/>
            </w:tcBorders>
          </w:tcPr>
          <w:p w:rsidR="006224C2" w:rsidRPr="00295E71" w14:paraId="3E7A2E4E" w14:textId="77777777">
            <w:pPr>
              <w:pStyle w:val="In-texttable"/>
              <w:keepLines/>
              <w:tabs>
                <w:tab w:val="left" w:pos="567"/>
              </w:tabs>
              <w:spacing w:line="240" w:lineRule="auto"/>
              <w:jc w:val="center"/>
              <w:rPr>
                <w:del w:id="8205" w:author="AbbVie14" w:date="2025-05-09T10:34:00Z"/>
                <w:rFonts w:ascii="Times New Roman" w:hAnsi="Times New Roman" w:cs="Times New Roman"/>
                <w:sz w:val="22"/>
                <w:szCs w:val="22"/>
                <w:lang w:val="it-IT"/>
              </w:rPr>
            </w:pPr>
            <w:del w:id="8206" w:author="AbbVie14" w:date="2025-05-09T10:34:00Z">
              <w:r w:rsidRPr="00295E71">
                <w:rPr>
                  <w:rFonts w:ascii="Times New Roman" w:hAnsi="Times New Roman" w:cs="Times New Roman"/>
                  <w:sz w:val="22"/>
                  <w:szCs w:val="22"/>
                  <w:lang w:val="it-IT"/>
                </w:rPr>
                <w:delText>studio AR III</w:delText>
              </w:r>
            </w:del>
            <w:del w:id="8207" w:author="AbbVie14" w:date="2025-05-09T10:34:00Z">
              <w:r w:rsidRPr="00295E71">
                <w:rPr>
                  <w:rFonts w:ascii="Times New Roman" w:hAnsi="Times New Roman" w:cs="Times New Roman"/>
                  <w:sz w:val="22"/>
                  <w:szCs w:val="22"/>
                  <w:vertAlign w:val="superscript"/>
                  <w:lang w:val="it-IT"/>
                </w:rPr>
                <w:delText>a</w:delText>
              </w:r>
            </w:del>
            <w:del w:id="8208" w:author="AbbVie14" w:date="2025-05-09T10:34:00Z">
              <w:r w:rsidRPr="00295E71">
                <w:rPr>
                  <w:rFonts w:ascii="Times New Roman" w:hAnsi="Times New Roman" w:cs="Times New Roman"/>
                  <w:sz w:val="22"/>
                  <w:szCs w:val="22"/>
                  <w:lang w:val="it-IT"/>
                </w:rPr>
                <w:delText>**</w:delText>
              </w:r>
            </w:del>
          </w:p>
          <w:p w:rsidR="006224C2" w:rsidRPr="00295E71" w14:paraId="704F3D7A" w14:textId="77777777">
            <w:pPr>
              <w:pStyle w:val="In-texttable"/>
              <w:keepLines/>
              <w:tabs>
                <w:tab w:val="left" w:pos="567"/>
              </w:tabs>
              <w:spacing w:line="240" w:lineRule="auto"/>
              <w:jc w:val="center"/>
              <w:rPr>
                <w:del w:id="8209" w:author="AbbVie14" w:date="2025-05-09T10:34:00Z"/>
                <w:rFonts w:ascii="Times New Roman" w:hAnsi="Times New Roman" w:cs="Times New Roman"/>
                <w:sz w:val="22"/>
                <w:szCs w:val="22"/>
                <w:lang w:val="it-IT"/>
              </w:rPr>
            </w:pPr>
          </w:p>
        </w:tc>
      </w:tr>
      <w:tr w14:paraId="1B0D7F7A" w14:textId="77777777">
        <w:tblPrEx>
          <w:tblW w:w="9549" w:type="dxa"/>
          <w:tblInd w:w="98" w:type="dxa"/>
          <w:tblLayout w:type="fixed"/>
          <w:tblLook w:val="0000"/>
        </w:tblPrEx>
        <w:trPr>
          <w:cantSplit/>
          <w:del w:id="8210" w:author="AbbVie14" w:date="2025-05-09T10:34:00Z"/>
        </w:trPr>
        <w:tc>
          <w:tcPr>
            <w:tcW w:w="1069" w:type="dxa"/>
            <w:tcBorders>
              <w:bottom w:val="single" w:sz="6" w:space="0" w:color="auto"/>
              <w:right w:val="single" w:sz="6" w:space="0" w:color="auto"/>
            </w:tcBorders>
          </w:tcPr>
          <w:p w:rsidR="006224C2" w:rsidRPr="00295E71" w14:paraId="471B454B" w14:textId="77777777">
            <w:pPr>
              <w:pStyle w:val="In-texttable"/>
              <w:keepNext w:val="0"/>
              <w:tabs>
                <w:tab w:val="left" w:pos="567"/>
              </w:tabs>
              <w:spacing w:line="240" w:lineRule="auto"/>
              <w:rPr>
                <w:del w:id="8211" w:author="AbbVie14" w:date="2025-05-09T10:34:00Z"/>
                <w:rFonts w:ascii="Times New Roman" w:hAnsi="Times New Roman" w:cs="Times New Roman"/>
                <w:sz w:val="22"/>
                <w:szCs w:val="22"/>
                <w:lang w:val="it-IT"/>
              </w:rPr>
            </w:pPr>
          </w:p>
        </w:tc>
        <w:tc>
          <w:tcPr>
            <w:tcW w:w="1393" w:type="dxa"/>
            <w:tcBorders>
              <w:top w:val="single" w:sz="6" w:space="0" w:color="auto"/>
              <w:left w:val="single" w:sz="6" w:space="0" w:color="auto"/>
              <w:bottom w:val="single" w:sz="6" w:space="0" w:color="auto"/>
            </w:tcBorders>
          </w:tcPr>
          <w:p w:rsidR="006224C2" w:rsidRPr="00295E71" w14:paraId="7C3E1CEB" w14:textId="77777777">
            <w:pPr>
              <w:pStyle w:val="In-texttable"/>
              <w:keepNext w:val="0"/>
              <w:tabs>
                <w:tab w:val="left" w:pos="567"/>
              </w:tabs>
              <w:spacing w:line="240" w:lineRule="auto"/>
              <w:jc w:val="center"/>
              <w:rPr>
                <w:del w:id="8212" w:author="AbbVie14" w:date="2025-05-09T10:34:00Z"/>
                <w:rFonts w:ascii="Times New Roman" w:hAnsi="Times New Roman" w:cs="Times New Roman"/>
                <w:sz w:val="22"/>
                <w:szCs w:val="22"/>
                <w:lang w:val="it-IT"/>
              </w:rPr>
            </w:pPr>
            <w:del w:id="8213" w:author="AbbVie14" w:date="2025-05-09T10:34:00Z">
              <w:r w:rsidRPr="00295E71">
                <w:rPr>
                  <w:rFonts w:ascii="Times New Roman" w:hAnsi="Times New Roman" w:cs="Times New Roman"/>
                  <w:sz w:val="22"/>
                  <w:szCs w:val="22"/>
                  <w:lang w:val="it-IT"/>
                </w:rPr>
                <w:delText>Placebo/</w:delText>
              </w:r>
            </w:del>
          </w:p>
          <w:p w:rsidR="006224C2" w:rsidRPr="00295E71" w14:paraId="75E858EE" w14:textId="77777777">
            <w:pPr>
              <w:pStyle w:val="In-texttable"/>
              <w:keepNext w:val="0"/>
              <w:tabs>
                <w:tab w:val="left" w:pos="567"/>
              </w:tabs>
              <w:spacing w:line="240" w:lineRule="auto"/>
              <w:jc w:val="center"/>
              <w:rPr>
                <w:del w:id="8214" w:author="AbbVie14" w:date="2025-05-09T10:34:00Z"/>
                <w:rFonts w:ascii="Times New Roman" w:hAnsi="Times New Roman" w:cs="Times New Roman"/>
                <w:sz w:val="22"/>
                <w:szCs w:val="22"/>
                <w:lang w:val="it-IT"/>
              </w:rPr>
            </w:pPr>
            <w:del w:id="8215" w:author="AbbVie14" w:date="2025-05-09T10:34:00Z">
              <w:r w:rsidRPr="00295E71">
                <w:rPr>
                  <w:rFonts w:ascii="Times New Roman" w:hAnsi="Times New Roman" w:cs="Times New Roman"/>
                  <w:sz w:val="22"/>
                  <w:szCs w:val="22"/>
                  <w:lang w:val="it-IT"/>
                </w:rPr>
                <w:delText>MTX</w:delText>
              </w:r>
            </w:del>
            <w:del w:id="8216" w:author="AbbVie14" w:date="2025-05-09T10:34:00Z">
              <w:r w:rsidRPr="00295E71">
                <w:rPr>
                  <w:rFonts w:ascii="Times New Roman" w:hAnsi="Times New Roman" w:cs="Times New Roman"/>
                  <w:sz w:val="22"/>
                  <w:szCs w:val="22"/>
                  <w:vertAlign w:val="superscript"/>
                  <w:lang w:val="it-IT"/>
                </w:rPr>
                <w:delText>c</w:delText>
              </w:r>
            </w:del>
          </w:p>
          <w:p w:rsidR="006224C2" w:rsidRPr="00295E71" w14:paraId="6DA8A283" w14:textId="77777777">
            <w:pPr>
              <w:pStyle w:val="In-texttable"/>
              <w:keepNext w:val="0"/>
              <w:tabs>
                <w:tab w:val="left" w:pos="567"/>
              </w:tabs>
              <w:spacing w:line="240" w:lineRule="auto"/>
              <w:jc w:val="center"/>
              <w:rPr>
                <w:del w:id="8217" w:author="AbbVie14" w:date="2025-05-09T10:34:00Z"/>
                <w:rFonts w:ascii="Times New Roman" w:hAnsi="Times New Roman" w:cs="Times New Roman"/>
                <w:sz w:val="22"/>
                <w:szCs w:val="22"/>
                <w:lang w:val="it-IT"/>
              </w:rPr>
            </w:pPr>
            <w:del w:id="8218" w:author="AbbVie14" w:date="2025-05-09T10:34:00Z">
              <w:r w:rsidRPr="00295E71">
                <w:rPr>
                  <w:rFonts w:ascii="Times New Roman" w:hAnsi="Times New Roman" w:cs="Times New Roman"/>
                  <w:sz w:val="22"/>
                  <w:szCs w:val="22"/>
                  <w:lang w:val="it-IT"/>
                </w:rPr>
                <w:delText>n=60</w:delText>
              </w:r>
            </w:del>
          </w:p>
        </w:tc>
        <w:tc>
          <w:tcPr>
            <w:tcW w:w="1417" w:type="dxa"/>
            <w:tcBorders>
              <w:top w:val="single" w:sz="6" w:space="0" w:color="auto"/>
              <w:bottom w:val="single" w:sz="6" w:space="0" w:color="auto"/>
              <w:right w:val="single" w:sz="6" w:space="0" w:color="auto"/>
            </w:tcBorders>
          </w:tcPr>
          <w:p w:rsidR="006224C2" w:rsidRPr="00295E71" w14:paraId="796F65C3" w14:textId="77777777">
            <w:pPr>
              <w:pStyle w:val="In-texttable"/>
              <w:keepNext w:val="0"/>
              <w:tabs>
                <w:tab w:val="left" w:pos="567"/>
              </w:tabs>
              <w:spacing w:line="240" w:lineRule="auto"/>
              <w:jc w:val="center"/>
              <w:rPr>
                <w:del w:id="8219" w:author="AbbVie14" w:date="2025-05-09T10:34:00Z"/>
                <w:rFonts w:ascii="Times New Roman" w:hAnsi="Times New Roman" w:cs="Times New Roman"/>
                <w:sz w:val="22"/>
                <w:szCs w:val="22"/>
                <w:lang w:val="it-IT"/>
              </w:rPr>
            </w:pPr>
            <w:del w:id="8220" w:author="AbbVie14" w:date="2025-05-09T10:34:00Z">
              <w:r w:rsidRPr="00295E71">
                <w:rPr>
                  <w:rFonts w:ascii="Times New Roman" w:hAnsi="Times New Roman" w:cs="Times New Roman"/>
                  <w:sz w:val="22"/>
                  <w:szCs w:val="22"/>
                  <w:lang w:val="it-IT"/>
                </w:rPr>
                <w:delText>Humira</w:delText>
              </w:r>
            </w:del>
            <w:del w:id="8221" w:author="AbbVie14" w:date="2025-05-09T10:34:00Z">
              <w:r w:rsidRPr="00295E71">
                <w:rPr>
                  <w:rFonts w:ascii="Times New Roman" w:hAnsi="Times New Roman" w:cs="Times New Roman"/>
                  <w:sz w:val="22"/>
                  <w:szCs w:val="22"/>
                  <w:vertAlign w:val="superscript"/>
                  <w:lang w:val="it-IT"/>
                </w:rPr>
                <w:delText>b</w:delText>
              </w:r>
            </w:del>
            <w:del w:id="8222" w:author="AbbVie14" w:date="2025-05-09T10:34:00Z">
              <w:r w:rsidRPr="00295E71">
                <w:rPr>
                  <w:rFonts w:ascii="Times New Roman" w:hAnsi="Times New Roman" w:cs="Times New Roman"/>
                  <w:sz w:val="22"/>
                  <w:szCs w:val="22"/>
                  <w:lang w:val="it-IT"/>
                </w:rPr>
                <w:delText>/ MTX</w:delText>
              </w:r>
            </w:del>
            <w:del w:id="8223" w:author="AbbVie14" w:date="2025-05-09T10:34:00Z">
              <w:r w:rsidRPr="00295E71">
                <w:rPr>
                  <w:rFonts w:ascii="Times New Roman" w:hAnsi="Times New Roman" w:cs="Times New Roman"/>
                  <w:sz w:val="22"/>
                  <w:szCs w:val="22"/>
                  <w:vertAlign w:val="superscript"/>
                  <w:lang w:val="it-IT"/>
                </w:rPr>
                <w:delText>c</w:delText>
              </w:r>
            </w:del>
          </w:p>
          <w:p w:rsidR="006224C2" w:rsidRPr="00295E71" w14:paraId="419FD284" w14:textId="77777777">
            <w:pPr>
              <w:pStyle w:val="In-texttable"/>
              <w:keepNext w:val="0"/>
              <w:tabs>
                <w:tab w:val="left" w:pos="567"/>
              </w:tabs>
              <w:spacing w:line="240" w:lineRule="auto"/>
              <w:jc w:val="center"/>
              <w:rPr>
                <w:del w:id="8224" w:author="AbbVie14" w:date="2025-05-09T10:34:00Z"/>
                <w:rFonts w:ascii="Times New Roman" w:hAnsi="Times New Roman" w:cs="Times New Roman"/>
                <w:sz w:val="22"/>
                <w:szCs w:val="22"/>
                <w:lang w:val="it-IT"/>
              </w:rPr>
            </w:pPr>
            <w:del w:id="8225" w:author="AbbVie14" w:date="2025-05-09T10:34:00Z">
              <w:r w:rsidRPr="00295E71">
                <w:rPr>
                  <w:rFonts w:ascii="Times New Roman" w:hAnsi="Times New Roman" w:cs="Times New Roman"/>
                  <w:sz w:val="22"/>
                  <w:szCs w:val="22"/>
                  <w:lang w:val="it-IT"/>
                </w:rPr>
                <w:delText>n=63</w:delText>
              </w:r>
            </w:del>
          </w:p>
        </w:tc>
        <w:tc>
          <w:tcPr>
            <w:tcW w:w="1071" w:type="dxa"/>
            <w:tcBorders>
              <w:top w:val="single" w:sz="6" w:space="0" w:color="auto"/>
              <w:left w:val="single" w:sz="6" w:space="0" w:color="auto"/>
              <w:bottom w:val="single" w:sz="6" w:space="0" w:color="auto"/>
            </w:tcBorders>
          </w:tcPr>
          <w:p w:rsidR="006224C2" w:rsidRPr="00295E71" w14:paraId="2B5BE25A" w14:textId="77777777">
            <w:pPr>
              <w:pStyle w:val="In-texttable"/>
              <w:keepNext w:val="0"/>
              <w:tabs>
                <w:tab w:val="left" w:pos="567"/>
              </w:tabs>
              <w:spacing w:line="240" w:lineRule="auto"/>
              <w:jc w:val="center"/>
              <w:rPr>
                <w:del w:id="8226" w:author="AbbVie14" w:date="2025-05-09T10:34:00Z"/>
                <w:rFonts w:ascii="Times New Roman" w:hAnsi="Times New Roman" w:cs="Times New Roman"/>
                <w:sz w:val="22"/>
                <w:szCs w:val="22"/>
                <w:lang w:val="it-IT"/>
              </w:rPr>
            </w:pPr>
            <w:del w:id="8227" w:author="AbbVie14" w:date="2025-05-09T10:34:00Z">
              <w:r w:rsidRPr="00295E71">
                <w:rPr>
                  <w:rFonts w:ascii="Times New Roman" w:hAnsi="Times New Roman" w:cs="Times New Roman"/>
                  <w:sz w:val="22"/>
                  <w:szCs w:val="22"/>
                  <w:lang w:val="it-IT"/>
                </w:rPr>
                <w:delText>Placebo</w:delText>
              </w:r>
            </w:del>
          </w:p>
          <w:p w:rsidR="006224C2" w:rsidRPr="00295E71" w14:paraId="7F076CB6" w14:textId="77777777">
            <w:pPr>
              <w:pStyle w:val="In-texttable"/>
              <w:keepNext w:val="0"/>
              <w:tabs>
                <w:tab w:val="left" w:pos="567"/>
              </w:tabs>
              <w:spacing w:line="240" w:lineRule="auto"/>
              <w:jc w:val="center"/>
              <w:rPr>
                <w:del w:id="8228" w:author="AbbVie14" w:date="2025-05-09T10:34:00Z"/>
                <w:rFonts w:ascii="Times New Roman" w:hAnsi="Times New Roman" w:cs="Times New Roman"/>
                <w:sz w:val="22"/>
                <w:szCs w:val="22"/>
                <w:lang w:val="it-IT"/>
              </w:rPr>
            </w:pPr>
            <w:del w:id="8229" w:author="AbbVie14" w:date="2025-05-09T10:34:00Z">
              <w:r w:rsidRPr="00295E71">
                <w:rPr>
                  <w:rFonts w:ascii="Times New Roman" w:hAnsi="Times New Roman" w:cs="Times New Roman"/>
                  <w:sz w:val="22"/>
                  <w:szCs w:val="22"/>
                  <w:lang w:val="it-IT"/>
                </w:rPr>
                <w:delText>n=110</w:delText>
              </w:r>
            </w:del>
          </w:p>
        </w:tc>
        <w:tc>
          <w:tcPr>
            <w:tcW w:w="1197" w:type="dxa"/>
            <w:tcBorders>
              <w:top w:val="single" w:sz="6" w:space="0" w:color="auto"/>
              <w:bottom w:val="single" w:sz="6" w:space="0" w:color="auto"/>
              <w:right w:val="single" w:sz="6" w:space="0" w:color="auto"/>
            </w:tcBorders>
          </w:tcPr>
          <w:p w:rsidR="006224C2" w:rsidRPr="00295E71" w14:paraId="5AE27009" w14:textId="77777777">
            <w:pPr>
              <w:pStyle w:val="In-texttable"/>
              <w:keepNext w:val="0"/>
              <w:tabs>
                <w:tab w:val="left" w:pos="567"/>
              </w:tabs>
              <w:spacing w:line="240" w:lineRule="auto"/>
              <w:jc w:val="center"/>
              <w:rPr>
                <w:del w:id="8230" w:author="AbbVie14" w:date="2025-05-09T10:34:00Z"/>
                <w:rFonts w:ascii="Times New Roman" w:hAnsi="Times New Roman" w:cs="Times New Roman"/>
                <w:sz w:val="22"/>
                <w:szCs w:val="22"/>
                <w:lang w:val="it-IT"/>
              </w:rPr>
            </w:pPr>
            <w:del w:id="8231" w:author="AbbVie14" w:date="2025-05-09T10:34:00Z">
              <w:r w:rsidRPr="00295E71">
                <w:rPr>
                  <w:rFonts w:ascii="Times New Roman" w:hAnsi="Times New Roman" w:cs="Times New Roman"/>
                  <w:sz w:val="22"/>
                  <w:szCs w:val="22"/>
                  <w:lang w:val="it-IT"/>
                </w:rPr>
                <w:delText>Humira</w:delText>
              </w:r>
            </w:del>
            <w:del w:id="8232" w:author="AbbVie14" w:date="2025-05-09T10:34:00Z">
              <w:r w:rsidRPr="00295E71">
                <w:rPr>
                  <w:rFonts w:ascii="Times New Roman" w:hAnsi="Times New Roman" w:cs="Times New Roman"/>
                  <w:sz w:val="22"/>
                  <w:szCs w:val="22"/>
                  <w:vertAlign w:val="superscript"/>
                  <w:lang w:val="it-IT"/>
                </w:rPr>
                <w:delText>b</w:delText>
              </w:r>
            </w:del>
          </w:p>
          <w:p w:rsidR="006224C2" w:rsidRPr="00295E71" w14:paraId="3BF0F518" w14:textId="77777777">
            <w:pPr>
              <w:pStyle w:val="In-texttable"/>
              <w:keepNext w:val="0"/>
              <w:tabs>
                <w:tab w:val="left" w:pos="567"/>
              </w:tabs>
              <w:spacing w:line="240" w:lineRule="auto"/>
              <w:jc w:val="center"/>
              <w:rPr>
                <w:del w:id="8233" w:author="AbbVie14" w:date="2025-05-09T10:34:00Z"/>
                <w:rFonts w:ascii="Times New Roman" w:hAnsi="Times New Roman" w:cs="Times New Roman"/>
                <w:sz w:val="22"/>
                <w:szCs w:val="22"/>
                <w:lang w:val="it-IT"/>
              </w:rPr>
            </w:pPr>
            <w:del w:id="8234" w:author="AbbVie14" w:date="2025-05-09T10:34:00Z">
              <w:r w:rsidRPr="00295E71">
                <w:rPr>
                  <w:rFonts w:ascii="Times New Roman" w:hAnsi="Times New Roman" w:cs="Times New Roman"/>
                  <w:sz w:val="22"/>
                  <w:szCs w:val="22"/>
                  <w:lang w:val="it-IT"/>
                </w:rPr>
                <w:delText>n=113</w:delText>
              </w:r>
            </w:del>
          </w:p>
        </w:tc>
        <w:tc>
          <w:tcPr>
            <w:tcW w:w="1418" w:type="dxa"/>
            <w:tcBorders>
              <w:top w:val="single" w:sz="6" w:space="0" w:color="auto"/>
              <w:left w:val="single" w:sz="6" w:space="0" w:color="auto"/>
              <w:bottom w:val="single" w:sz="6" w:space="0" w:color="auto"/>
            </w:tcBorders>
          </w:tcPr>
          <w:p w:rsidR="006224C2" w:rsidRPr="00295E71" w14:paraId="25F75BCF" w14:textId="77777777">
            <w:pPr>
              <w:pStyle w:val="In-texttable"/>
              <w:keepNext w:val="0"/>
              <w:tabs>
                <w:tab w:val="left" w:pos="567"/>
              </w:tabs>
              <w:spacing w:line="240" w:lineRule="auto"/>
              <w:jc w:val="center"/>
              <w:rPr>
                <w:del w:id="8235" w:author="AbbVie14" w:date="2025-05-09T10:34:00Z"/>
                <w:rFonts w:ascii="Times New Roman" w:hAnsi="Times New Roman" w:cs="Times New Roman"/>
                <w:sz w:val="22"/>
                <w:szCs w:val="22"/>
                <w:lang w:val="it-IT"/>
              </w:rPr>
            </w:pPr>
            <w:del w:id="8236" w:author="AbbVie14" w:date="2025-05-09T10:34:00Z">
              <w:r w:rsidRPr="00295E71">
                <w:rPr>
                  <w:rFonts w:ascii="Times New Roman" w:hAnsi="Times New Roman" w:cs="Times New Roman"/>
                  <w:sz w:val="22"/>
                  <w:szCs w:val="22"/>
                  <w:lang w:val="it-IT"/>
                </w:rPr>
                <w:delText>Placebo/ MTX</w:delText>
              </w:r>
            </w:del>
            <w:del w:id="8237" w:author="AbbVie14" w:date="2025-05-09T10:34:00Z">
              <w:r w:rsidRPr="00295E71">
                <w:rPr>
                  <w:rFonts w:ascii="Times New Roman" w:hAnsi="Times New Roman" w:cs="Times New Roman"/>
                  <w:sz w:val="22"/>
                  <w:szCs w:val="22"/>
                  <w:vertAlign w:val="superscript"/>
                  <w:lang w:val="it-IT"/>
                </w:rPr>
                <w:delText>c</w:delText>
              </w:r>
            </w:del>
          </w:p>
          <w:p w:rsidR="006224C2" w:rsidRPr="00295E71" w14:paraId="1D89CF9F" w14:textId="77777777">
            <w:pPr>
              <w:pStyle w:val="In-texttable"/>
              <w:keepNext w:val="0"/>
              <w:tabs>
                <w:tab w:val="left" w:pos="567"/>
              </w:tabs>
              <w:spacing w:line="240" w:lineRule="auto"/>
              <w:jc w:val="center"/>
              <w:rPr>
                <w:del w:id="8238" w:author="AbbVie14" w:date="2025-05-09T10:34:00Z"/>
                <w:rFonts w:ascii="Times New Roman" w:hAnsi="Times New Roman" w:cs="Times New Roman"/>
                <w:sz w:val="22"/>
                <w:szCs w:val="22"/>
                <w:lang w:val="it-IT"/>
              </w:rPr>
            </w:pPr>
            <w:del w:id="8239" w:author="AbbVie14" w:date="2025-05-09T10:34:00Z">
              <w:r w:rsidRPr="00295E71">
                <w:rPr>
                  <w:rFonts w:ascii="Times New Roman" w:hAnsi="Times New Roman" w:cs="Times New Roman"/>
                  <w:sz w:val="22"/>
                  <w:szCs w:val="22"/>
                  <w:lang w:val="it-IT"/>
                </w:rPr>
                <w:delText>n=200</w:delText>
              </w:r>
            </w:del>
          </w:p>
        </w:tc>
        <w:tc>
          <w:tcPr>
            <w:tcW w:w="1984" w:type="dxa"/>
            <w:tcBorders>
              <w:top w:val="single" w:sz="6" w:space="0" w:color="auto"/>
              <w:bottom w:val="single" w:sz="6" w:space="0" w:color="auto"/>
            </w:tcBorders>
          </w:tcPr>
          <w:p w:rsidR="006224C2" w:rsidRPr="00295E71" w14:paraId="4AEEBBD0" w14:textId="77777777">
            <w:pPr>
              <w:pStyle w:val="In-texttable"/>
              <w:keepNext w:val="0"/>
              <w:tabs>
                <w:tab w:val="left" w:pos="567"/>
              </w:tabs>
              <w:spacing w:line="240" w:lineRule="auto"/>
              <w:jc w:val="center"/>
              <w:rPr>
                <w:del w:id="8240" w:author="AbbVie14" w:date="2025-05-09T10:34:00Z"/>
                <w:rFonts w:ascii="Times New Roman" w:hAnsi="Times New Roman" w:cs="Times New Roman"/>
                <w:sz w:val="22"/>
                <w:szCs w:val="22"/>
                <w:lang w:val="it-IT"/>
              </w:rPr>
            </w:pPr>
            <w:del w:id="8241" w:author="AbbVie14" w:date="2025-05-09T10:34:00Z">
              <w:r w:rsidRPr="00295E71">
                <w:rPr>
                  <w:rFonts w:ascii="Times New Roman" w:hAnsi="Times New Roman" w:cs="Times New Roman"/>
                  <w:sz w:val="22"/>
                  <w:szCs w:val="22"/>
                  <w:lang w:val="it-IT"/>
                </w:rPr>
                <w:delText>Humira</w:delText>
              </w:r>
            </w:del>
            <w:del w:id="8242" w:author="AbbVie14" w:date="2025-05-09T10:34:00Z">
              <w:r w:rsidRPr="00295E71">
                <w:rPr>
                  <w:rFonts w:ascii="Times New Roman" w:hAnsi="Times New Roman" w:cs="Times New Roman"/>
                  <w:sz w:val="22"/>
                  <w:szCs w:val="22"/>
                  <w:vertAlign w:val="superscript"/>
                  <w:lang w:val="it-IT"/>
                </w:rPr>
                <w:delText>b</w:delText>
              </w:r>
            </w:del>
            <w:del w:id="8243" w:author="AbbVie14" w:date="2025-05-09T10:34:00Z">
              <w:r w:rsidRPr="00295E71">
                <w:rPr>
                  <w:rFonts w:ascii="Times New Roman" w:hAnsi="Times New Roman" w:cs="Times New Roman"/>
                  <w:sz w:val="22"/>
                  <w:szCs w:val="22"/>
                  <w:lang w:val="it-IT"/>
                </w:rPr>
                <w:delText>/ MTX</w:delText>
              </w:r>
            </w:del>
            <w:del w:id="8244" w:author="AbbVie14" w:date="2025-05-09T10:34:00Z">
              <w:r w:rsidRPr="00295E71">
                <w:rPr>
                  <w:rFonts w:ascii="Times New Roman" w:hAnsi="Times New Roman" w:cs="Times New Roman"/>
                  <w:sz w:val="22"/>
                  <w:szCs w:val="22"/>
                  <w:vertAlign w:val="superscript"/>
                  <w:lang w:val="it-IT"/>
                </w:rPr>
                <w:delText>c</w:delText>
              </w:r>
            </w:del>
          </w:p>
          <w:p w:rsidR="006224C2" w:rsidRPr="00295E71" w14:paraId="43A7E51E" w14:textId="77777777">
            <w:pPr>
              <w:pStyle w:val="In-texttable"/>
              <w:keepNext w:val="0"/>
              <w:tabs>
                <w:tab w:val="left" w:pos="567"/>
              </w:tabs>
              <w:spacing w:line="240" w:lineRule="auto"/>
              <w:jc w:val="center"/>
              <w:rPr>
                <w:del w:id="8245" w:author="AbbVie14" w:date="2025-05-09T10:34:00Z"/>
                <w:rFonts w:ascii="Times New Roman" w:hAnsi="Times New Roman" w:cs="Times New Roman"/>
                <w:sz w:val="22"/>
                <w:szCs w:val="22"/>
                <w:lang w:val="it-IT"/>
              </w:rPr>
            </w:pPr>
            <w:del w:id="8246" w:author="AbbVie14" w:date="2025-05-09T10:34:00Z">
              <w:r w:rsidRPr="00295E71">
                <w:rPr>
                  <w:rFonts w:ascii="Times New Roman" w:hAnsi="Times New Roman" w:cs="Times New Roman"/>
                  <w:sz w:val="22"/>
                  <w:szCs w:val="22"/>
                  <w:lang w:val="it-IT"/>
                </w:rPr>
                <w:delText>n=207</w:delText>
              </w:r>
            </w:del>
          </w:p>
        </w:tc>
      </w:tr>
      <w:tr w14:paraId="080A4BE1" w14:textId="77777777">
        <w:tblPrEx>
          <w:tblW w:w="9549" w:type="dxa"/>
          <w:tblInd w:w="98" w:type="dxa"/>
          <w:tblLayout w:type="fixed"/>
          <w:tblLook w:val="0000"/>
        </w:tblPrEx>
        <w:trPr>
          <w:cantSplit/>
          <w:del w:id="8247" w:author="AbbVie14" w:date="2025-05-09T10:34:00Z"/>
        </w:trPr>
        <w:tc>
          <w:tcPr>
            <w:tcW w:w="1069" w:type="dxa"/>
            <w:tcBorders>
              <w:right w:val="single" w:sz="6" w:space="0" w:color="auto"/>
            </w:tcBorders>
          </w:tcPr>
          <w:p w:rsidR="006224C2" w:rsidRPr="00295E71" w14:paraId="6FE01B0C" w14:textId="77777777">
            <w:pPr>
              <w:pStyle w:val="In-texttable"/>
              <w:keepNext w:val="0"/>
              <w:tabs>
                <w:tab w:val="left" w:pos="144"/>
                <w:tab w:val="left" w:pos="567"/>
              </w:tabs>
              <w:spacing w:line="240" w:lineRule="auto"/>
              <w:rPr>
                <w:del w:id="8248" w:author="AbbVie14" w:date="2025-05-09T10:34:00Z"/>
                <w:rFonts w:ascii="Times New Roman" w:hAnsi="Times New Roman" w:cs="Times New Roman"/>
                <w:sz w:val="22"/>
                <w:szCs w:val="22"/>
                <w:lang w:val="it-IT"/>
              </w:rPr>
            </w:pPr>
            <w:del w:id="8249" w:author="AbbVie14" w:date="2025-05-09T10:34:00Z">
              <w:r w:rsidRPr="00295E71">
                <w:rPr>
                  <w:rFonts w:ascii="Times New Roman" w:hAnsi="Times New Roman" w:cs="Times New Roman"/>
                  <w:sz w:val="22"/>
                  <w:szCs w:val="22"/>
                  <w:lang w:val="it-IT"/>
                </w:rPr>
                <w:delText>ACR 20</w:delText>
              </w:r>
            </w:del>
          </w:p>
        </w:tc>
        <w:tc>
          <w:tcPr>
            <w:tcW w:w="1393" w:type="dxa"/>
            <w:tcBorders>
              <w:left w:val="single" w:sz="6" w:space="0" w:color="auto"/>
            </w:tcBorders>
          </w:tcPr>
          <w:p w:rsidR="006224C2" w:rsidRPr="00295E71" w14:paraId="037A9040" w14:textId="77777777">
            <w:pPr>
              <w:pStyle w:val="In-texttable"/>
              <w:keepNext w:val="0"/>
              <w:tabs>
                <w:tab w:val="left" w:pos="567"/>
              </w:tabs>
              <w:spacing w:line="240" w:lineRule="auto"/>
              <w:jc w:val="center"/>
              <w:rPr>
                <w:del w:id="8250" w:author="AbbVie14" w:date="2025-05-09T10:34:00Z"/>
                <w:rFonts w:ascii="Times New Roman" w:hAnsi="Times New Roman" w:cs="Times New Roman"/>
                <w:sz w:val="22"/>
                <w:szCs w:val="22"/>
                <w:lang w:val="it-IT"/>
              </w:rPr>
            </w:pPr>
          </w:p>
        </w:tc>
        <w:tc>
          <w:tcPr>
            <w:tcW w:w="1417" w:type="dxa"/>
            <w:tcBorders>
              <w:right w:val="single" w:sz="6" w:space="0" w:color="auto"/>
            </w:tcBorders>
          </w:tcPr>
          <w:p w:rsidR="006224C2" w:rsidRPr="00295E71" w14:paraId="0FFCA884" w14:textId="77777777">
            <w:pPr>
              <w:pStyle w:val="In-texttable"/>
              <w:keepNext w:val="0"/>
              <w:tabs>
                <w:tab w:val="left" w:pos="567"/>
              </w:tabs>
              <w:spacing w:line="240" w:lineRule="auto"/>
              <w:jc w:val="center"/>
              <w:rPr>
                <w:del w:id="8251" w:author="AbbVie14" w:date="2025-05-09T10:34:00Z"/>
                <w:rFonts w:ascii="Times New Roman" w:hAnsi="Times New Roman" w:cs="Times New Roman"/>
                <w:sz w:val="22"/>
                <w:szCs w:val="22"/>
                <w:lang w:val="it-IT"/>
              </w:rPr>
            </w:pPr>
          </w:p>
        </w:tc>
        <w:tc>
          <w:tcPr>
            <w:tcW w:w="1071" w:type="dxa"/>
            <w:tcBorders>
              <w:left w:val="single" w:sz="6" w:space="0" w:color="auto"/>
            </w:tcBorders>
          </w:tcPr>
          <w:p w:rsidR="006224C2" w:rsidRPr="00295E71" w14:paraId="6AD98B72" w14:textId="77777777">
            <w:pPr>
              <w:pStyle w:val="In-texttable"/>
              <w:keepNext w:val="0"/>
              <w:tabs>
                <w:tab w:val="left" w:pos="567"/>
              </w:tabs>
              <w:spacing w:line="240" w:lineRule="auto"/>
              <w:jc w:val="center"/>
              <w:rPr>
                <w:del w:id="8252" w:author="AbbVie14" w:date="2025-05-09T10:34:00Z"/>
                <w:rFonts w:ascii="Times New Roman" w:hAnsi="Times New Roman" w:cs="Times New Roman"/>
                <w:sz w:val="22"/>
                <w:szCs w:val="22"/>
                <w:lang w:val="it-IT"/>
              </w:rPr>
            </w:pPr>
          </w:p>
        </w:tc>
        <w:tc>
          <w:tcPr>
            <w:tcW w:w="1197" w:type="dxa"/>
            <w:tcBorders>
              <w:right w:val="single" w:sz="6" w:space="0" w:color="auto"/>
            </w:tcBorders>
          </w:tcPr>
          <w:p w:rsidR="006224C2" w:rsidRPr="00295E71" w14:paraId="36C776CC" w14:textId="77777777">
            <w:pPr>
              <w:pStyle w:val="In-texttable"/>
              <w:keepNext w:val="0"/>
              <w:tabs>
                <w:tab w:val="left" w:pos="567"/>
              </w:tabs>
              <w:spacing w:line="240" w:lineRule="auto"/>
              <w:jc w:val="center"/>
              <w:rPr>
                <w:del w:id="8253" w:author="AbbVie14" w:date="2025-05-09T10:34:00Z"/>
                <w:rFonts w:ascii="Times New Roman" w:hAnsi="Times New Roman" w:cs="Times New Roman"/>
                <w:sz w:val="22"/>
                <w:szCs w:val="22"/>
                <w:lang w:val="it-IT"/>
              </w:rPr>
            </w:pPr>
          </w:p>
        </w:tc>
        <w:tc>
          <w:tcPr>
            <w:tcW w:w="1418" w:type="dxa"/>
            <w:tcBorders>
              <w:top w:val="single" w:sz="6" w:space="0" w:color="auto"/>
              <w:left w:val="single" w:sz="6" w:space="0" w:color="auto"/>
            </w:tcBorders>
          </w:tcPr>
          <w:p w:rsidR="006224C2" w:rsidRPr="00295E71" w14:paraId="1D25369F" w14:textId="77777777">
            <w:pPr>
              <w:pStyle w:val="In-texttable"/>
              <w:keepNext w:val="0"/>
              <w:tabs>
                <w:tab w:val="left" w:pos="567"/>
              </w:tabs>
              <w:spacing w:line="240" w:lineRule="auto"/>
              <w:jc w:val="center"/>
              <w:rPr>
                <w:del w:id="8254" w:author="AbbVie14" w:date="2025-05-09T10:34:00Z"/>
                <w:rFonts w:ascii="Times New Roman" w:hAnsi="Times New Roman" w:cs="Times New Roman"/>
                <w:sz w:val="22"/>
                <w:szCs w:val="22"/>
                <w:lang w:val="it-IT"/>
              </w:rPr>
            </w:pPr>
          </w:p>
        </w:tc>
        <w:tc>
          <w:tcPr>
            <w:tcW w:w="1984" w:type="dxa"/>
            <w:tcBorders>
              <w:top w:val="single" w:sz="6" w:space="0" w:color="auto"/>
            </w:tcBorders>
          </w:tcPr>
          <w:p w:rsidR="006224C2" w:rsidRPr="00295E71" w14:paraId="37AD2251" w14:textId="77777777">
            <w:pPr>
              <w:pStyle w:val="In-texttable"/>
              <w:keepNext w:val="0"/>
              <w:tabs>
                <w:tab w:val="left" w:pos="567"/>
              </w:tabs>
              <w:spacing w:line="240" w:lineRule="auto"/>
              <w:jc w:val="center"/>
              <w:rPr>
                <w:del w:id="8255" w:author="AbbVie14" w:date="2025-05-09T10:34:00Z"/>
                <w:rFonts w:ascii="Times New Roman" w:hAnsi="Times New Roman" w:cs="Times New Roman"/>
                <w:sz w:val="22"/>
                <w:szCs w:val="22"/>
                <w:lang w:val="it-IT"/>
              </w:rPr>
            </w:pPr>
          </w:p>
        </w:tc>
      </w:tr>
      <w:tr w14:paraId="51AB74CA" w14:textId="77777777">
        <w:tblPrEx>
          <w:tblW w:w="9549" w:type="dxa"/>
          <w:tblInd w:w="98" w:type="dxa"/>
          <w:tblLayout w:type="fixed"/>
          <w:tblLook w:val="0000"/>
        </w:tblPrEx>
        <w:trPr>
          <w:cantSplit/>
          <w:del w:id="8256" w:author="AbbVie14" w:date="2025-05-09T10:34:00Z"/>
        </w:trPr>
        <w:tc>
          <w:tcPr>
            <w:tcW w:w="1069" w:type="dxa"/>
            <w:tcBorders>
              <w:right w:val="single" w:sz="6" w:space="0" w:color="auto"/>
            </w:tcBorders>
          </w:tcPr>
          <w:p w:rsidR="006224C2" w:rsidRPr="00295E71" w14:paraId="0E0DB109" w14:textId="77777777">
            <w:pPr>
              <w:pStyle w:val="In-texttable"/>
              <w:keepNext w:val="0"/>
              <w:tabs>
                <w:tab w:val="left" w:pos="144"/>
                <w:tab w:val="left" w:pos="567"/>
              </w:tabs>
              <w:spacing w:line="240" w:lineRule="auto"/>
              <w:rPr>
                <w:del w:id="8257" w:author="AbbVie14" w:date="2025-05-09T10:34:00Z"/>
                <w:rFonts w:ascii="Times New Roman" w:hAnsi="Times New Roman" w:cs="Times New Roman"/>
                <w:sz w:val="22"/>
                <w:szCs w:val="22"/>
                <w:lang w:val="it-IT"/>
              </w:rPr>
            </w:pPr>
            <w:del w:id="8258" w:author="AbbVie14" w:date="2025-05-09T10:34:00Z">
              <w:r w:rsidRPr="00295E71">
                <w:rPr>
                  <w:rFonts w:ascii="Times New Roman" w:hAnsi="Times New Roman" w:cs="Times New Roman"/>
                  <w:sz w:val="22"/>
                  <w:szCs w:val="22"/>
                  <w:lang w:val="it-IT"/>
                </w:rPr>
                <w:tab/>
                <w:delText>6 mesi</w:delText>
              </w:r>
            </w:del>
          </w:p>
        </w:tc>
        <w:tc>
          <w:tcPr>
            <w:tcW w:w="1393" w:type="dxa"/>
            <w:tcBorders>
              <w:left w:val="single" w:sz="6" w:space="0" w:color="auto"/>
            </w:tcBorders>
          </w:tcPr>
          <w:p w:rsidR="006224C2" w:rsidRPr="00295E71" w14:paraId="3E4D65E2" w14:textId="77777777">
            <w:pPr>
              <w:pStyle w:val="In-texttable"/>
              <w:keepNext w:val="0"/>
              <w:tabs>
                <w:tab w:val="decimal" w:pos="259"/>
                <w:tab w:val="left" w:pos="567"/>
              </w:tabs>
              <w:spacing w:line="240" w:lineRule="auto"/>
              <w:jc w:val="center"/>
              <w:rPr>
                <w:del w:id="8259" w:author="AbbVie14" w:date="2025-05-09T10:34:00Z"/>
                <w:rFonts w:ascii="Times New Roman" w:hAnsi="Times New Roman" w:cs="Times New Roman"/>
                <w:sz w:val="22"/>
                <w:szCs w:val="22"/>
                <w:lang w:val="it-IT"/>
              </w:rPr>
            </w:pPr>
            <w:del w:id="8260" w:author="AbbVie14" w:date="2025-05-09T10:34:00Z">
              <w:r w:rsidRPr="00295E71">
                <w:rPr>
                  <w:rFonts w:ascii="Times New Roman" w:hAnsi="Times New Roman" w:cs="Times New Roman"/>
                  <w:sz w:val="22"/>
                  <w:szCs w:val="22"/>
                  <w:lang w:val="it-IT"/>
                </w:rPr>
                <w:delText>13,3%</w:delText>
              </w:r>
            </w:del>
          </w:p>
        </w:tc>
        <w:tc>
          <w:tcPr>
            <w:tcW w:w="1417" w:type="dxa"/>
            <w:tcBorders>
              <w:right w:val="single" w:sz="6" w:space="0" w:color="auto"/>
            </w:tcBorders>
          </w:tcPr>
          <w:p w:rsidR="006224C2" w:rsidRPr="00295E71" w14:paraId="3A4A711C" w14:textId="77777777">
            <w:pPr>
              <w:pStyle w:val="In-texttable"/>
              <w:keepNext w:val="0"/>
              <w:tabs>
                <w:tab w:val="decimal" w:pos="250"/>
                <w:tab w:val="left" w:pos="567"/>
              </w:tabs>
              <w:spacing w:line="240" w:lineRule="auto"/>
              <w:jc w:val="center"/>
              <w:rPr>
                <w:del w:id="8261" w:author="AbbVie14" w:date="2025-05-09T10:34:00Z"/>
                <w:rFonts w:ascii="Times New Roman" w:hAnsi="Times New Roman" w:cs="Times New Roman"/>
                <w:sz w:val="22"/>
                <w:szCs w:val="22"/>
                <w:lang w:val="it-IT"/>
              </w:rPr>
            </w:pPr>
            <w:del w:id="8262" w:author="AbbVie14" w:date="2025-05-09T10:34:00Z">
              <w:r w:rsidRPr="00295E71">
                <w:rPr>
                  <w:rFonts w:ascii="Times New Roman" w:hAnsi="Times New Roman" w:cs="Times New Roman"/>
                  <w:sz w:val="22"/>
                  <w:szCs w:val="22"/>
                  <w:lang w:val="it-IT"/>
                </w:rPr>
                <w:delText>65,1%</w:delText>
              </w:r>
            </w:del>
          </w:p>
        </w:tc>
        <w:tc>
          <w:tcPr>
            <w:tcW w:w="1071" w:type="dxa"/>
            <w:tcBorders>
              <w:left w:val="single" w:sz="6" w:space="0" w:color="auto"/>
            </w:tcBorders>
          </w:tcPr>
          <w:p w:rsidR="006224C2" w:rsidRPr="00295E71" w14:paraId="54E20920" w14:textId="77777777">
            <w:pPr>
              <w:pStyle w:val="In-texttable"/>
              <w:keepNext w:val="0"/>
              <w:tabs>
                <w:tab w:val="left" w:pos="567"/>
              </w:tabs>
              <w:spacing w:line="240" w:lineRule="auto"/>
              <w:jc w:val="center"/>
              <w:rPr>
                <w:del w:id="8263" w:author="AbbVie14" w:date="2025-05-09T10:34:00Z"/>
                <w:rFonts w:ascii="Times New Roman" w:hAnsi="Times New Roman" w:cs="Times New Roman"/>
                <w:sz w:val="22"/>
                <w:szCs w:val="22"/>
                <w:lang w:val="it-IT"/>
              </w:rPr>
            </w:pPr>
            <w:del w:id="8264" w:author="AbbVie14" w:date="2025-05-09T10:34:00Z">
              <w:r w:rsidRPr="00295E71">
                <w:rPr>
                  <w:rFonts w:ascii="Times New Roman" w:hAnsi="Times New Roman" w:cs="Times New Roman"/>
                  <w:sz w:val="22"/>
                  <w:szCs w:val="22"/>
                  <w:lang w:val="it-IT"/>
                </w:rPr>
                <w:delText>19,1%</w:delText>
              </w:r>
            </w:del>
          </w:p>
        </w:tc>
        <w:tc>
          <w:tcPr>
            <w:tcW w:w="1197" w:type="dxa"/>
            <w:tcBorders>
              <w:right w:val="single" w:sz="6" w:space="0" w:color="auto"/>
            </w:tcBorders>
          </w:tcPr>
          <w:p w:rsidR="006224C2" w:rsidRPr="00295E71" w14:paraId="7E84F52D" w14:textId="77777777">
            <w:pPr>
              <w:pStyle w:val="In-texttable"/>
              <w:keepNext w:val="0"/>
              <w:tabs>
                <w:tab w:val="decimal" w:pos="205"/>
                <w:tab w:val="left" w:pos="567"/>
              </w:tabs>
              <w:spacing w:line="240" w:lineRule="auto"/>
              <w:jc w:val="center"/>
              <w:rPr>
                <w:del w:id="8265" w:author="AbbVie14" w:date="2025-05-09T10:34:00Z"/>
                <w:rFonts w:ascii="Times New Roman" w:hAnsi="Times New Roman" w:cs="Times New Roman"/>
                <w:sz w:val="22"/>
                <w:szCs w:val="22"/>
                <w:lang w:val="it-IT"/>
              </w:rPr>
            </w:pPr>
            <w:del w:id="8266" w:author="AbbVie14" w:date="2025-05-09T10:34:00Z">
              <w:r w:rsidRPr="00295E71">
                <w:rPr>
                  <w:rFonts w:ascii="Times New Roman" w:hAnsi="Times New Roman" w:cs="Times New Roman"/>
                  <w:sz w:val="22"/>
                  <w:szCs w:val="22"/>
                  <w:lang w:val="it-IT"/>
                </w:rPr>
                <w:delText>46,0%</w:delText>
              </w:r>
            </w:del>
          </w:p>
        </w:tc>
        <w:tc>
          <w:tcPr>
            <w:tcW w:w="1418" w:type="dxa"/>
            <w:tcBorders>
              <w:left w:val="single" w:sz="6" w:space="0" w:color="auto"/>
            </w:tcBorders>
          </w:tcPr>
          <w:p w:rsidR="006224C2" w:rsidRPr="00295E71" w14:paraId="4DBEB669" w14:textId="77777777">
            <w:pPr>
              <w:pStyle w:val="In-texttable"/>
              <w:keepNext w:val="0"/>
              <w:tabs>
                <w:tab w:val="decimal" w:pos="144"/>
                <w:tab w:val="left" w:pos="567"/>
              </w:tabs>
              <w:spacing w:line="240" w:lineRule="auto"/>
              <w:jc w:val="center"/>
              <w:rPr>
                <w:del w:id="8267" w:author="AbbVie14" w:date="2025-05-09T10:34:00Z"/>
                <w:rFonts w:ascii="Times New Roman" w:hAnsi="Times New Roman" w:cs="Times New Roman"/>
                <w:sz w:val="22"/>
                <w:szCs w:val="22"/>
                <w:lang w:val="it-IT"/>
              </w:rPr>
            </w:pPr>
            <w:del w:id="8268" w:author="AbbVie14" w:date="2025-05-09T10:34:00Z">
              <w:r w:rsidRPr="00295E71">
                <w:rPr>
                  <w:rFonts w:ascii="Times New Roman" w:hAnsi="Times New Roman" w:cs="Times New Roman"/>
                  <w:sz w:val="22"/>
                  <w:szCs w:val="22"/>
                  <w:lang w:val="it-IT"/>
                </w:rPr>
                <w:delText>29,5%</w:delText>
              </w:r>
            </w:del>
          </w:p>
        </w:tc>
        <w:tc>
          <w:tcPr>
            <w:tcW w:w="1984" w:type="dxa"/>
          </w:tcPr>
          <w:p w:rsidR="006224C2" w:rsidRPr="00295E71" w14:paraId="2868A5C0" w14:textId="77777777">
            <w:pPr>
              <w:pStyle w:val="In-texttable"/>
              <w:keepNext w:val="0"/>
              <w:tabs>
                <w:tab w:val="decimal" w:pos="95"/>
                <w:tab w:val="left" w:pos="567"/>
              </w:tabs>
              <w:spacing w:line="240" w:lineRule="auto"/>
              <w:jc w:val="center"/>
              <w:rPr>
                <w:del w:id="8269" w:author="AbbVie14" w:date="2025-05-09T10:34:00Z"/>
                <w:rFonts w:ascii="Times New Roman" w:hAnsi="Times New Roman" w:cs="Times New Roman"/>
                <w:sz w:val="22"/>
                <w:szCs w:val="22"/>
                <w:lang w:val="it-IT"/>
              </w:rPr>
            </w:pPr>
            <w:del w:id="8270" w:author="AbbVie14" w:date="2025-05-09T10:34:00Z">
              <w:r w:rsidRPr="00295E71">
                <w:rPr>
                  <w:rFonts w:ascii="Times New Roman" w:hAnsi="Times New Roman" w:cs="Times New Roman"/>
                  <w:sz w:val="22"/>
                  <w:szCs w:val="22"/>
                  <w:lang w:val="it-IT"/>
                </w:rPr>
                <w:delText>63,3%</w:delText>
              </w:r>
            </w:del>
          </w:p>
        </w:tc>
      </w:tr>
      <w:tr w14:paraId="4BCE1465" w14:textId="77777777">
        <w:tblPrEx>
          <w:tblW w:w="9549" w:type="dxa"/>
          <w:tblInd w:w="98" w:type="dxa"/>
          <w:tblLayout w:type="fixed"/>
          <w:tblLook w:val="0000"/>
        </w:tblPrEx>
        <w:trPr>
          <w:cantSplit/>
          <w:del w:id="8271" w:author="AbbVie14" w:date="2025-05-09T10:34:00Z"/>
        </w:trPr>
        <w:tc>
          <w:tcPr>
            <w:tcW w:w="1069" w:type="dxa"/>
            <w:tcBorders>
              <w:right w:val="single" w:sz="6" w:space="0" w:color="auto"/>
            </w:tcBorders>
          </w:tcPr>
          <w:p w:rsidR="006224C2" w:rsidRPr="00295E71" w14:paraId="39AC5282" w14:textId="77777777">
            <w:pPr>
              <w:pStyle w:val="In-texttable"/>
              <w:keepNext w:val="0"/>
              <w:tabs>
                <w:tab w:val="left" w:pos="144"/>
                <w:tab w:val="left" w:pos="567"/>
              </w:tabs>
              <w:spacing w:line="240" w:lineRule="auto"/>
              <w:rPr>
                <w:del w:id="8272" w:author="AbbVie14" w:date="2025-05-09T10:34:00Z"/>
                <w:rFonts w:ascii="Times New Roman" w:hAnsi="Times New Roman" w:cs="Times New Roman"/>
                <w:sz w:val="22"/>
                <w:szCs w:val="22"/>
                <w:lang w:val="it-IT"/>
              </w:rPr>
            </w:pPr>
            <w:del w:id="8273" w:author="AbbVie14" w:date="2025-05-09T10:34:00Z">
              <w:r w:rsidRPr="00295E71">
                <w:rPr>
                  <w:rFonts w:ascii="Times New Roman" w:hAnsi="Times New Roman" w:cs="Times New Roman"/>
                  <w:sz w:val="22"/>
                  <w:szCs w:val="22"/>
                  <w:lang w:val="it-IT"/>
                </w:rPr>
                <w:tab/>
                <w:delText>12 mesi</w:delText>
              </w:r>
            </w:del>
          </w:p>
        </w:tc>
        <w:tc>
          <w:tcPr>
            <w:tcW w:w="1393" w:type="dxa"/>
            <w:tcBorders>
              <w:left w:val="single" w:sz="6" w:space="0" w:color="auto"/>
            </w:tcBorders>
          </w:tcPr>
          <w:p w:rsidR="006224C2" w:rsidRPr="00295E71" w14:paraId="22E61900" w14:textId="77777777">
            <w:pPr>
              <w:pStyle w:val="In-texttable"/>
              <w:keepNext w:val="0"/>
              <w:tabs>
                <w:tab w:val="decimal" w:pos="259"/>
                <w:tab w:val="left" w:pos="567"/>
              </w:tabs>
              <w:spacing w:line="240" w:lineRule="auto"/>
              <w:jc w:val="center"/>
              <w:rPr>
                <w:del w:id="8274" w:author="AbbVie14" w:date="2025-05-09T10:34:00Z"/>
                <w:rFonts w:ascii="Times New Roman" w:hAnsi="Times New Roman" w:cs="Times New Roman"/>
                <w:sz w:val="22"/>
                <w:szCs w:val="22"/>
                <w:lang w:val="it-IT"/>
              </w:rPr>
            </w:pPr>
            <w:del w:id="8275" w:author="AbbVie14" w:date="2025-05-09T10:34:00Z">
              <w:r w:rsidRPr="00295E71">
                <w:rPr>
                  <w:rFonts w:ascii="Times New Roman" w:hAnsi="Times New Roman" w:cs="Times New Roman"/>
                  <w:sz w:val="22"/>
                  <w:szCs w:val="22"/>
                  <w:lang w:val="it-IT"/>
                </w:rPr>
                <w:delText>ND</w:delText>
              </w:r>
            </w:del>
          </w:p>
        </w:tc>
        <w:tc>
          <w:tcPr>
            <w:tcW w:w="1417" w:type="dxa"/>
            <w:tcBorders>
              <w:right w:val="single" w:sz="6" w:space="0" w:color="auto"/>
            </w:tcBorders>
          </w:tcPr>
          <w:p w:rsidR="006224C2" w:rsidRPr="00295E71" w14:paraId="7059CB52" w14:textId="77777777">
            <w:pPr>
              <w:pStyle w:val="In-texttable"/>
              <w:keepNext w:val="0"/>
              <w:tabs>
                <w:tab w:val="decimal" w:pos="250"/>
                <w:tab w:val="left" w:pos="567"/>
              </w:tabs>
              <w:spacing w:line="240" w:lineRule="auto"/>
              <w:jc w:val="center"/>
              <w:rPr>
                <w:del w:id="8276" w:author="AbbVie14" w:date="2025-05-09T10:34:00Z"/>
                <w:rFonts w:ascii="Times New Roman" w:hAnsi="Times New Roman" w:cs="Times New Roman"/>
                <w:sz w:val="22"/>
                <w:szCs w:val="22"/>
                <w:lang w:val="it-IT"/>
              </w:rPr>
            </w:pPr>
            <w:del w:id="8277" w:author="AbbVie14" w:date="2025-05-09T10:34:00Z">
              <w:r w:rsidRPr="00295E71">
                <w:rPr>
                  <w:rFonts w:ascii="Times New Roman" w:hAnsi="Times New Roman" w:cs="Times New Roman"/>
                  <w:sz w:val="22"/>
                  <w:szCs w:val="22"/>
                  <w:lang w:val="it-IT"/>
                </w:rPr>
                <w:delText>ND</w:delText>
              </w:r>
            </w:del>
          </w:p>
        </w:tc>
        <w:tc>
          <w:tcPr>
            <w:tcW w:w="1071" w:type="dxa"/>
            <w:tcBorders>
              <w:left w:val="single" w:sz="6" w:space="0" w:color="auto"/>
            </w:tcBorders>
          </w:tcPr>
          <w:p w:rsidR="006224C2" w:rsidRPr="00295E71" w14:paraId="3FD9FD14" w14:textId="77777777">
            <w:pPr>
              <w:pStyle w:val="In-texttable"/>
              <w:keepNext w:val="0"/>
              <w:tabs>
                <w:tab w:val="decimal" w:pos="259"/>
                <w:tab w:val="left" w:pos="567"/>
              </w:tabs>
              <w:spacing w:line="240" w:lineRule="auto"/>
              <w:jc w:val="center"/>
              <w:rPr>
                <w:del w:id="8278" w:author="AbbVie14" w:date="2025-05-09T10:34:00Z"/>
                <w:rFonts w:ascii="Times New Roman" w:hAnsi="Times New Roman" w:cs="Times New Roman"/>
                <w:sz w:val="22"/>
                <w:szCs w:val="22"/>
                <w:lang w:val="it-IT"/>
              </w:rPr>
            </w:pPr>
            <w:del w:id="8279" w:author="AbbVie14" w:date="2025-05-09T10:34:00Z">
              <w:r w:rsidRPr="00295E71">
                <w:rPr>
                  <w:rFonts w:ascii="Times New Roman" w:hAnsi="Times New Roman" w:cs="Times New Roman"/>
                  <w:sz w:val="22"/>
                  <w:szCs w:val="22"/>
                  <w:lang w:val="it-IT"/>
                </w:rPr>
                <w:delText>ND</w:delText>
              </w:r>
            </w:del>
          </w:p>
        </w:tc>
        <w:tc>
          <w:tcPr>
            <w:tcW w:w="1197" w:type="dxa"/>
            <w:tcBorders>
              <w:right w:val="single" w:sz="6" w:space="0" w:color="auto"/>
            </w:tcBorders>
          </w:tcPr>
          <w:p w:rsidR="006224C2" w:rsidRPr="00295E71" w14:paraId="28CEBE83" w14:textId="77777777">
            <w:pPr>
              <w:pStyle w:val="In-texttable"/>
              <w:keepNext w:val="0"/>
              <w:tabs>
                <w:tab w:val="decimal" w:pos="250"/>
                <w:tab w:val="left" w:pos="567"/>
              </w:tabs>
              <w:spacing w:line="240" w:lineRule="auto"/>
              <w:jc w:val="center"/>
              <w:rPr>
                <w:del w:id="8280" w:author="AbbVie14" w:date="2025-05-09T10:34:00Z"/>
                <w:rFonts w:ascii="Times New Roman" w:hAnsi="Times New Roman" w:cs="Times New Roman"/>
                <w:sz w:val="22"/>
                <w:szCs w:val="22"/>
                <w:lang w:val="it-IT"/>
              </w:rPr>
            </w:pPr>
            <w:del w:id="8281" w:author="AbbVie14" w:date="2025-05-09T10:34:00Z">
              <w:r w:rsidRPr="00295E71">
                <w:rPr>
                  <w:rFonts w:ascii="Times New Roman" w:hAnsi="Times New Roman" w:cs="Times New Roman"/>
                  <w:sz w:val="22"/>
                  <w:szCs w:val="22"/>
                  <w:lang w:val="it-IT"/>
                </w:rPr>
                <w:delText>ND</w:delText>
              </w:r>
            </w:del>
          </w:p>
        </w:tc>
        <w:tc>
          <w:tcPr>
            <w:tcW w:w="1418" w:type="dxa"/>
            <w:tcBorders>
              <w:left w:val="single" w:sz="6" w:space="0" w:color="auto"/>
            </w:tcBorders>
          </w:tcPr>
          <w:p w:rsidR="006224C2" w:rsidRPr="00295E71" w14:paraId="1E6F5DB1" w14:textId="77777777">
            <w:pPr>
              <w:pStyle w:val="In-texttable"/>
              <w:keepNext w:val="0"/>
              <w:tabs>
                <w:tab w:val="decimal" w:pos="144"/>
                <w:tab w:val="left" w:pos="567"/>
              </w:tabs>
              <w:spacing w:line="240" w:lineRule="auto"/>
              <w:jc w:val="center"/>
              <w:rPr>
                <w:del w:id="8282" w:author="AbbVie14" w:date="2025-05-09T10:34:00Z"/>
                <w:rFonts w:ascii="Times New Roman" w:hAnsi="Times New Roman" w:cs="Times New Roman"/>
                <w:sz w:val="22"/>
                <w:szCs w:val="22"/>
                <w:lang w:val="it-IT"/>
              </w:rPr>
            </w:pPr>
            <w:del w:id="8283" w:author="AbbVie14" w:date="2025-05-09T10:34:00Z">
              <w:r w:rsidRPr="00295E71">
                <w:rPr>
                  <w:rFonts w:ascii="Times New Roman" w:hAnsi="Times New Roman" w:cs="Times New Roman"/>
                  <w:sz w:val="22"/>
                  <w:szCs w:val="22"/>
                  <w:lang w:val="it-IT"/>
                </w:rPr>
                <w:delText>24,0%</w:delText>
              </w:r>
            </w:del>
          </w:p>
        </w:tc>
        <w:tc>
          <w:tcPr>
            <w:tcW w:w="1984" w:type="dxa"/>
          </w:tcPr>
          <w:p w:rsidR="006224C2" w:rsidRPr="00295E71" w14:paraId="316A0853" w14:textId="77777777">
            <w:pPr>
              <w:pStyle w:val="In-texttable"/>
              <w:keepNext w:val="0"/>
              <w:tabs>
                <w:tab w:val="decimal" w:pos="95"/>
                <w:tab w:val="left" w:pos="567"/>
              </w:tabs>
              <w:spacing w:line="240" w:lineRule="auto"/>
              <w:jc w:val="center"/>
              <w:rPr>
                <w:del w:id="8284" w:author="AbbVie14" w:date="2025-05-09T10:34:00Z"/>
                <w:rFonts w:ascii="Times New Roman" w:hAnsi="Times New Roman" w:cs="Times New Roman"/>
                <w:sz w:val="22"/>
                <w:szCs w:val="22"/>
                <w:lang w:val="it-IT"/>
              </w:rPr>
            </w:pPr>
            <w:del w:id="8285" w:author="AbbVie14" w:date="2025-05-09T10:34:00Z">
              <w:r w:rsidRPr="00295E71">
                <w:rPr>
                  <w:rFonts w:ascii="Times New Roman" w:hAnsi="Times New Roman" w:cs="Times New Roman"/>
                  <w:sz w:val="22"/>
                  <w:szCs w:val="22"/>
                  <w:lang w:val="it-IT"/>
                </w:rPr>
                <w:delText>58,9%</w:delText>
              </w:r>
            </w:del>
          </w:p>
        </w:tc>
      </w:tr>
      <w:tr w14:paraId="20DDF307" w14:textId="77777777">
        <w:tblPrEx>
          <w:tblW w:w="9549" w:type="dxa"/>
          <w:tblInd w:w="98" w:type="dxa"/>
          <w:tblLayout w:type="fixed"/>
          <w:tblLook w:val="0000"/>
        </w:tblPrEx>
        <w:trPr>
          <w:cantSplit/>
          <w:del w:id="8286" w:author="AbbVie14" w:date="2025-05-09T10:34:00Z"/>
        </w:trPr>
        <w:tc>
          <w:tcPr>
            <w:tcW w:w="1069" w:type="dxa"/>
            <w:tcBorders>
              <w:right w:val="single" w:sz="6" w:space="0" w:color="auto"/>
            </w:tcBorders>
          </w:tcPr>
          <w:p w:rsidR="006224C2" w:rsidRPr="00295E71" w14:paraId="3BF14208" w14:textId="77777777">
            <w:pPr>
              <w:pStyle w:val="In-texttable"/>
              <w:keepNext w:val="0"/>
              <w:tabs>
                <w:tab w:val="left" w:pos="144"/>
                <w:tab w:val="left" w:pos="567"/>
              </w:tabs>
              <w:spacing w:line="240" w:lineRule="auto"/>
              <w:rPr>
                <w:del w:id="8287" w:author="AbbVie14" w:date="2025-05-09T10:34:00Z"/>
                <w:rFonts w:ascii="Times New Roman" w:hAnsi="Times New Roman" w:cs="Times New Roman"/>
                <w:sz w:val="22"/>
                <w:szCs w:val="22"/>
                <w:lang w:val="it-IT"/>
              </w:rPr>
            </w:pPr>
            <w:del w:id="8288" w:author="AbbVie14" w:date="2025-05-09T10:34:00Z">
              <w:r w:rsidRPr="00295E71">
                <w:rPr>
                  <w:rFonts w:ascii="Times New Roman" w:hAnsi="Times New Roman" w:cs="Times New Roman"/>
                  <w:sz w:val="22"/>
                  <w:szCs w:val="22"/>
                  <w:lang w:val="it-IT"/>
                </w:rPr>
                <w:delText>ACR 50</w:delText>
              </w:r>
            </w:del>
          </w:p>
        </w:tc>
        <w:tc>
          <w:tcPr>
            <w:tcW w:w="1393" w:type="dxa"/>
            <w:tcBorders>
              <w:left w:val="single" w:sz="6" w:space="0" w:color="auto"/>
            </w:tcBorders>
          </w:tcPr>
          <w:p w:rsidR="006224C2" w:rsidRPr="00295E71" w14:paraId="317EF07E" w14:textId="77777777">
            <w:pPr>
              <w:pStyle w:val="In-texttable"/>
              <w:keepNext w:val="0"/>
              <w:tabs>
                <w:tab w:val="decimal" w:pos="259"/>
                <w:tab w:val="left" w:pos="567"/>
              </w:tabs>
              <w:spacing w:line="240" w:lineRule="auto"/>
              <w:jc w:val="center"/>
              <w:rPr>
                <w:del w:id="8289" w:author="AbbVie14" w:date="2025-05-09T10:34:00Z"/>
                <w:rFonts w:ascii="Times New Roman" w:hAnsi="Times New Roman" w:cs="Times New Roman"/>
                <w:sz w:val="22"/>
                <w:szCs w:val="22"/>
                <w:lang w:val="it-IT"/>
              </w:rPr>
            </w:pPr>
          </w:p>
        </w:tc>
        <w:tc>
          <w:tcPr>
            <w:tcW w:w="1417" w:type="dxa"/>
            <w:tcBorders>
              <w:right w:val="single" w:sz="6" w:space="0" w:color="auto"/>
            </w:tcBorders>
          </w:tcPr>
          <w:p w:rsidR="006224C2" w:rsidRPr="00295E71" w14:paraId="6DDCE577" w14:textId="77777777">
            <w:pPr>
              <w:pStyle w:val="In-texttable"/>
              <w:keepNext w:val="0"/>
              <w:tabs>
                <w:tab w:val="decimal" w:pos="250"/>
                <w:tab w:val="left" w:pos="567"/>
              </w:tabs>
              <w:spacing w:line="240" w:lineRule="auto"/>
              <w:jc w:val="center"/>
              <w:rPr>
                <w:del w:id="8290" w:author="AbbVie14" w:date="2025-05-09T10:34:00Z"/>
                <w:rFonts w:ascii="Times New Roman" w:hAnsi="Times New Roman" w:cs="Times New Roman"/>
                <w:sz w:val="22"/>
                <w:szCs w:val="22"/>
                <w:lang w:val="it-IT"/>
              </w:rPr>
            </w:pPr>
          </w:p>
        </w:tc>
        <w:tc>
          <w:tcPr>
            <w:tcW w:w="1071" w:type="dxa"/>
            <w:tcBorders>
              <w:left w:val="single" w:sz="6" w:space="0" w:color="auto"/>
            </w:tcBorders>
          </w:tcPr>
          <w:p w:rsidR="006224C2" w:rsidRPr="00295E71" w14:paraId="4E5C0250" w14:textId="77777777">
            <w:pPr>
              <w:pStyle w:val="In-texttable"/>
              <w:keepNext w:val="0"/>
              <w:tabs>
                <w:tab w:val="left" w:pos="567"/>
              </w:tabs>
              <w:spacing w:line="240" w:lineRule="auto"/>
              <w:jc w:val="center"/>
              <w:rPr>
                <w:del w:id="8291" w:author="AbbVie14" w:date="2025-05-09T10:34:00Z"/>
                <w:rFonts w:ascii="Times New Roman" w:hAnsi="Times New Roman" w:cs="Times New Roman"/>
                <w:sz w:val="22"/>
                <w:szCs w:val="22"/>
                <w:lang w:val="it-IT"/>
              </w:rPr>
            </w:pPr>
          </w:p>
        </w:tc>
        <w:tc>
          <w:tcPr>
            <w:tcW w:w="1197" w:type="dxa"/>
            <w:tcBorders>
              <w:right w:val="single" w:sz="6" w:space="0" w:color="auto"/>
            </w:tcBorders>
          </w:tcPr>
          <w:p w:rsidR="006224C2" w:rsidRPr="00295E71" w14:paraId="3AD1891C" w14:textId="77777777">
            <w:pPr>
              <w:pStyle w:val="In-texttable"/>
              <w:keepNext w:val="0"/>
              <w:tabs>
                <w:tab w:val="decimal" w:pos="205"/>
                <w:tab w:val="left" w:pos="567"/>
              </w:tabs>
              <w:spacing w:line="240" w:lineRule="auto"/>
              <w:jc w:val="center"/>
              <w:rPr>
                <w:del w:id="8292" w:author="AbbVie14" w:date="2025-05-09T10:34:00Z"/>
                <w:rFonts w:ascii="Times New Roman" w:hAnsi="Times New Roman" w:cs="Times New Roman"/>
                <w:sz w:val="22"/>
                <w:szCs w:val="22"/>
                <w:lang w:val="it-IT"/>
              </w:rPr>
            </w:pPr>
          </w:p>
        </w:tc>
        <w:tc>
          <w:tcPr>
            <w:tcW w:w="1418" w:type="dxa"/>
            <w:tcBorders>
              <w:left w:val="single" w:sz="6" w:space="0" w:color="auto"/>
            </w:tcBorders>
          </w:tcPr>
          <w:p w:rsidR="006224C2" w:rsidRPr="00295E71" w14:paraId="1385CD0B" w14:textId="77777777">
            <w:pPr>
              <w:pStyle w:val="In-texttable"/>
              <w:keepNext w:val="0"/>
              <w:tabs>
                <w:tab w:val="decimal" w:pos="144"/>
                <w:tab w:val="left" w:pos="567"/>
              </w:tabs>
              <w:spacing w:line="240" w:lineRule="auto"/>
              <w:jc w:val="center"/>
              <w:rPr>
                <w:del w:id="8293" w:author="AbbVie14" w:date="2025-05-09T10:34:00Z"/>
                <w:rFonts w:ascii="Times New Roman" w:hAnsi="Times New Roman" w:cs="Times New Roman"/>
                <w:sz w:val="22"/>
                <w:szCs w:val="22"/>
                <w:lang w:val="it-IT"/>
              </w:rPr>
            </w:pPr>
          </w:p>
        </w:tc>
        <w:tc>
          <w:tcPr>
            <w:tcW w:w="1984" w:type="dxa"/>
          </w:tcPr>
          <w:p w:rsidR="006224C2" w:rsidRPr="00295E71" w14:paraId="0F17D89F" w14:textId="77777777">
            <w:pPr>
              <w:pStyle w:val="In-texttable"/>
              <w:keepNext w:val="0"/>
              <w:tabs>
                <w:tab w:val="decimal" w:pos="95"/>
                <w:tab w:val="left" w:pos="567"/>
              </w:tabs>
              <w:spacing w:line="240" w:lineRule="auto"/>
              <w:jc w:val="center"/>
              <w:rPr>
                <w:del w:id="8294" w:author="AbbVie14" w:date="2025-05-09T10:34:00Z"/>
                <w:rFonts w:ascii="Times New Roman" w:hAnsi="Times New Roman" w:cs="Times New Roman"/>
                <w:sz w:val="22"/>
                <w:szCs w:val="22"/>
                <w:lang w:val="it-IT"/>
              </w:rPr>
            </w:pPr>
          </w:p>
        </w:tc>
      </w:tr>
      <w:tr w14:paraId="1C7FCDED" w14:textId="77777777">
        <w:tblPrEx>
          <w:tblW w:w="9549" w:type="dxa"/>
          <w:tblInd w:w="98" w:type="dxa"/>
          <w:tblLayout w:type="fixed"/>
          <w:tblLook w:val="0000"/>
        </w:tblPrEx>
        <w:trPr>
          <w:cantSplit/>
          <w:del w:id="8295" w:author="AbbVie14" w:date="2025-05-09T10:34:00Z"/>
        </w:trPr>
        <w:tc>
          <w:tcPr>
            <w:tcW w:w="1069" w:type="dxa"/>
            <w:tcBorders>
              <w:right w:val="single" w:sz="6" w:space="0" w:color="auto"/>
            </w:tcBorders>
          </w:tcPr>
          <w:p w:rsidR="006224C2" w:rsidRPr="00295E71" w14:paraId="7DC10DE9" w14:textId="77777777">
            <w:pPr>
              <w:pStyle w:val="In-texttable"/>
              <w:keepNext w:val="0"/>
              <w:tabs>
                <w:tab w:val="left" w:pos="144"/>
                <w:tab w:val="left" w:pos="567"/>
              </w:tabs>
              <w:spacing w:line="240" w:lineRule="auto"/>
              <w:rPr>
                <w:del w:id="8296" w:author="AbbVie14" w:date="2025-05-09T10:34:00Z"/>
                <w:rFonts w:ascii="Times New Roman" w:hAnsi="Times New Roman" w:cs="Times New Roman"/>
                <w:sz w:val="22"/>
                <w:szCs w:val="22"/>
                <w:lang w:val="it-IT"/>
              </w:rPr>
            </w:pPr>
            <w:del w:id="8297" w:author="AbbVie14" w:date="2025-05-09T10:34:00Z">
              <w:r w:rsidRPr="00295E71">
                <w:rPr>
                  <w:rFonts w:ascii="Times New Roman" w:hAnsi="Times New Roman" w:cs="Times New Roman"/>
                  <w:sz w:val="22"/>
                  <w:szCs w:val="22"/>
                  <w:lang w:val="it-IT"/>
                </w:rPr>
                <w:tab/>
                <w:delText>6 mesi</w:delText>
              </w:r>
            </w:del>
          </w:p>
        </w:tc>
        <w:tc>
          <w:tcPr>
            <w:tcW w:w="1393" w:type="dxa"/>
            <w:tcBorders>
              <w:left w:val="single" w:sz="6" w:space="0" w:color="auto"/>
            </w:tcBorders>
          </w:tcPr>
          <w:p w:rsidR="006224C2" w:rsidRPr="00295E71" w14:paraId="723F9096" w14:textId="77777777">
            <w:pPr>
              <w:pStyle w:val="In-texttable"/>
              <w:keepNext w:val="0"/>
              <w:tabs>
                <w:tab w:val="decimal" w:pos="259"/>
                <w:tab w:val="left" w:pos="567"/>
              </w:tabs>
              <w:spacing w:line="240" w:lineRule="auto"/>
              <w:jc w:val="center"/>
              <w:rPr>
                <w:del w:id="8298" w:author="AbbVie14" w:date="2025-05-09T10:34:00Z"/>
                <w:rFonts w:ascii="Times New Roman" w:hAnsi="Times New Roman" w:cs="Times New Roman"/>
                <w:sz w:val="22"/>
                <w:szCs w:val="22"/>
                <w:lang w:val="it-IT"/>
              </w:rPr>
            </w:pPr>
            <w:del w:id="8299" w:author="AbbVie14" w:date="2025-05-09T10:34:00Z">
              <w:r w:rsidRPr="00295E71">
                <w:rPr>
                  <w:rFonts w:ascii="Times New Roman" w:hAnsi="Times New Roman" w:cs="Times New Roman"/>
                  <w:sz w:val="22"/>
                  <w:szCs w:val="22"/>
                  <w:lang w:val="it-IT"/>
                </w:rPr>
                <w:delText>6,7%</w:delText>
              </w:r>
            </w:del>
          </w:p>
        </w:tc>
        <w:tc>
          <w:tcPr>
            <w:tcW w:w="1417" w:type="dxa"/>
            <w:tcBorders>
              <w:right w:val="single" w:sz="6" w:space="0" w:color="auto"/>
            </w:tcBorders>
          </w:tcPr>
          <w:p w:rsidR="006224C2" w:rsidRPr="00295E71" w14:paraId="0B9ACEE5" w14:textId="77777777">
            <w:pPr>
              <w:pStyle w:val="In-texttable"/>
              <w:keepNext w:val="0"/>
              <w:tabs>
                <w:tab w:val="decimal" w:pos="250"/>
                <w:tab w:val="left" w:pos="567"/>
              </w:tabs>
              <w:spacing w:line="240" w:lineRule="auto"/>
              <w:jc w:val="center"/>
              <w:rPr>
                <w:del w:id="8300" w:author="AbbVie14" w:date="2025-05-09T10:34:00Z"/>
                <w:rFonts w:ascii="Times New Roman" w:hAnsi="Times New Roman" w:cs="Times New Roman"/>
                <w:sz w:val="22"/>
                <w:szCs w:val="22"/>
                <w:lang w:val="it-IT"/>
              </w:rPr>
            </w:pPr>
            <w:del w:id="8301" w:author="AbbVie14" w:date="2025-05-09T10:34:00Z">
              <w:r w:rsidRPr="00295E71">
                <w:rPr>
                  <w:rFonts w:ascii="Times New Roman" w:hAnsi="Times New Roman" w:cs="Times New Roman"/>
                  <w:sz w:val="22"/>
                  <w:szCs w:val="22"/>
                  <w:lang w:val="it-IT"/>
                </w:rPr>
                <w:delText>52,4%</w:delText>
              </w:r>
            </w:del>
          </w:p>
        </w:tc>
        <w:tc>
          <w:tcPr>
            <w:tcW w:w="1071" w:type="dxa"/>
            <w:tcBorders>
              <w:left w:val="single" w:sz="6" w:space="0" w:color="auto"/>
            </w:tcBorders>
          </w:tcPr>
          <w:p w:rsidR="006224C2" w:rsidRPr="00295E71" w14:paraId="4CFFD92B" w14:textId="77777777">
            <w:pPr>
              <w:pStyle w:val="In-texttable"/>
              <w:keepNext w:val="0"/>
              <w:tabs>
                <w:tab w:val="left" w:pos="567"/>
              </w:tabs>
              <w:spacing w:line="240" w:lineRule="auto"/>
              <w:jc w:val="center"/>
              <w:rPr>
                <w:del w:id="8302" w:author="AbbVie14" w:date="2025-05-09T10:34:00Z"/>
                <w:rFonts w:ascii="Times New Roman" w:hAnsi="Times New Roman" w:cs="Times New Roman"/>
                <w:sz w:val="22"/>
                <w:szCs w:val="22"/>
                <w:lang w:val="it-IT"/>
              </w:rPr>
            </w:pPr>
            <w:del w:id="8303" w:author="AbbVie14" w:date="2025-05-09T10:34:00Z">
              <w:r w:rsidRPr="00295E71">
                <w:rPr>
                  <w:rFonts w:ascii="Times New Roman" w:hAnsi="Times New Roman" w:cs="Times New Roman"/>
                  <w:sz w:val="22"/>
                  <w:szCs w:val="22"/>
                  <w:lang w:val="it-IT"/>
                </w:rPr>
                <w:delText>8,2%</w:delText>
              </w:r>
            </w:del>
          </w:p>
        </w:tc>
        <w:tc>
          <w:tcPr>
            <w:tcW w:w="1197" w:type="dxa"/>
            <w:tcBorders>
              <w:right w:val="single" w:sz="6" w:space="0" w:color="auto"/>
            </w:tcBorders>
          </w:tcPr>
          <w:p w:rsidR="006224C2" w:rsidRPr="00295E71" w14:paraId="0E3B2662" w14:textId="77777777">
            <w:pPr>
              <w:pStyle w:val="In-texttable"/>
              <w:keepNext w:val="0"/>
              <w:tabs>
                <w:tab w:val="decimal" w:pos="205"/>
                <w:tab w:val="left" w:pos="567"/>
              </w:tabs>
              <w:spacing w:line="240" w:lineRule="auto"/>
              <w:jc w:val="center"/>
              <w:rPr>
                <w:del w:id="8304" w:author="AbbVie14" w:date="2025-05-09T10:34:00Z"/>
                <w:rFonts w:ascii="Times New Roman" w:hAnsi="Times New Roman" w:cs="Times New Roman"/>
                <w:sz w:val="22"/>
                <w:szCs w:val="22"/>
                <w:lang w:val="it-IT"/>
              </w:rPr>
            </w:pPr>
            <w:del w:id="8305" w:author="AbbVie14" w:date="2025-05-09T10:34:00Z">
              <w:r w:rsidRPr="00295E71">
                <w:rPr>
                  <w:rFonts w:ascii="Times New Roman" w:hAnsi="Times New Roman" w:cs="Times New Roman"/>
                  <w:sz w:val="22"/>
                  <w:szCs w:val="22"/>
                  <w:lang w:val="it-IT"/>
                </w:rPr>
                <w:delText>22,1%</w:delText>
              </w:r>
            </w:del>
          </w:p>
        </w:tc>
        <w:tc>
          <w:tcPr>
            <w:tcW w:w="1418" w:type="dxa"/>
            <w:tcBorders>
              <w:left w:val="single" w:sz="6" w:space="0" w:color="auto"/>
            </w:tcBorders>
          </w:tcPr>
          <w:p w:rsidR="006224C2" w:rsidRPr="00295E71" w14:paraId="0E3C3653" w14:textId="77777777">
            <w:pPr>
              <w:pStyle w:val="In-texttable"/>
              <w:keepNext w:val="0"/>
              <w:tabs>
                <w:tab w:val="decimal" w:pos="144"/>
                <w:tab w:val="left" w:pos="567"/>
              </w:tabs>
              <w:spacing w:line="240" w:lineRule="auto"/>
              <w:jc w:val="center"/>
              <w:rPr>
                <w:del w:id="8306" w:author="AbbVie14" w:date="2025-05-09T10:34:00Z"/>
                <w:rFonts w:ascii="Times New Roman" w:hAnsi="Times New Roman" w:cs="Times New Roman"/>
                <w:sz w:val="22"/>
                <w:szCs w:val="22"/>
                <w:lang w:val="it-IT"/>
              </w:rPr>
            </w:pPr>
            <w:del w:id="8307" w:author="AbbVie14" w:date="2025-05-09T10:34:00Z">
              <w:r w:rsidRPr="00295E71">
                <w:rPr>
                  <w:rFonts w:ascii="Times New Roman" w:hAnsi="Times New Roman" w:cs="Times New Roman"/>
                  <w:sz w:val="22"/>
                  <w:szCs w:val="22"/>
                  <w:lang w:val="it-IT"/>
                </w:rPr>
                <w:delText>9,5%</w:delText>
              </w:r>
            </w:del>
          </w:p>
        </w:tc>
        <w:tc>
          <w:tcPr>
            <w:tcW w:w="1984" w:type="dxa"/>
          </w:tcPr>
          <w:p w:rsidR="006224C2" w:rsidRPr="00295E71" w14:paraId="36FCD4E3" w14:textId="77777777">
            <w:pPr>
              <w:pStyle w:val="In-texttable"/>
              <w:keepNext w:val="0"/>
              <w:tabs>
                <w:tab w:val="decimal" w:pos="95"/>
                <w:tab w:val="left" w:pos="567"/>
              </w:tabs>
              <w:spacing w:line="240" w:lineRule="auto"/>
              <w:jc w:val="center"/>
              <w:rPr>
                <w:del w:id="8308" w:author="AbbVie14" w:date="2025-05-09T10:34:00Z"/>
                <w:rFonts w:ascii="Times New Roman" w:hAnsi="Times New Roman" w:cs="Times New Roman"/>
                <w:sz w:val="22"/>
                <w:szCs w:val="22"/>
                <w:lang w:val="it-IT"/>
              </w:rPr>
            </w:pPr>
            <w:del w:id="8309" w:author="AbbVie14" w:date="2025-05-09T10:34:00Z">
              <w:r w:rsidRPr="00295E71">
                <w:rPr>
                  <w:rFonts w:ascii="Times New Roman" w:hAnsi="Times New Roman" w:cs="Times New Roman"/>
                  <w:sz w:val="22"/>
                  <w:szCs w:val="22"/>
                  <w:lang w:val="it-IT"/>
                </w:rPr>
                <w:delText>39,1%</w:delText>
              </w:r>
            </w:del>
          </w:p>
        </w:tc>
      </w:tr>
      <w:tr w14:paraId="463A0160" w14:textId="77777777">
        <w:tblPrEx>
          <w:tblW w:w="9549" w:type="dxa"/>
          <w:tblInd w:w="98" w:type="dxa"/>
          <w:tblLayout w:type="fixed"/>
          <w:tblLook w:val="0000"/>
        </w:tblPrEx>
        <w:trPr>
          <w:cantSplit/>
          <w:del w:id="8310" w:author="AbbVie14" w:date="2025-05-09T10:34:00Z"/>
        </w:trPr>
        <w:tc>
          <w:tcPr>
            <w:tcW w:w="1069" w:type="dxa"/>
            <w:tcBorders>
              <w:right w:val="single" w:sz="6" w:space="0" w:color="auto"/>
            </w:tcBorders>
          </w:tcPr>
          <w:p w:rsidR="006224C2" w:rsidRPr="00295E71" w14:paraId="6E0BBF2F" w14:textId="77777777">
            <w:pPr>
              <w:pStyle w:val="In-texttable"/>
              <w:keepNext w:val="0"/>
              <w:tabs>
                <w:tab w:val="left" w:pos="144"/>
                <w:tab w:val="left" w:pos="567"/>
              </w:tabs>
              <w:spacing w:line="240" w:lineRule="auto"/>
              <w:rPr>
                <w:del w:id="8311" w:author="AbbVie14" w:date="2025-05-09T10:34:00Z"/>
                <w:rFonts w:ascii="Times New Roman" w:hAnsi="Times New Roman" w:cs="Times New Roman"/>
                <w:sz w:val="22"/>
                <w:szCs w:val="22"/>
                <w:lang w:val="it-IT"/>
              </w:rPr>
            </w:pPr>
            <w:del w:id="8312" w:author="AbbVie14" w:date="2025-05-09T10:34:00Z">
              <w:r w:rsidRPr="00295E71">
                <w:rPr>
                  <w:rFonts w:ascii="Times New Roman" w:hAnsi="Times New Roman" w:cs="Times New Roman"/>
                  <w:sz w:val="22"/>
                  <w:szCs w:val="22"/>
                  <w:lang w:val="it-IT"/>
                </w:rPr>
                <w:tab/>
                <w:delText>12 mesi</w:delText>
              </w:r>
            </w:del>
          </w:p>
        </w:tc>
        <w:tc>
          <w:tcPr>
            <w:tcW w:w="1393" w:type="dxa"/>
            <w:tcBorders>
              <w:left w:val="single" w:sz="6" w:space="0" w:color="auto"/>
            </w:tcBorders>
          </w:tcPr>
          <w:p w:rsidR="006224C2" w:rsidRPr="00295E71" w14:paraId="53B24FDB" w14:textId="77777777">
            <w:pPr>
              <w:pStyle w:val="In-texttable"/>
              <w:keepNext w:val="0"/>
              <w:tabs>
                <w:tab w:val="decimal" w:pos="259"/>
                <w:tab w:val="left" w:pos="567"/>
              </w:tabs>
              <w:spacing w:line="240" w:lineRule="auto"/>
              <w:jc w:val="center"/>
              <w:rPr>
                <w:del w:id="8313" w:author="AbbVie14" w:date="2025-05-09T10:34:00Z"/>
                <w:rFonts w:ascii="Times New Roman" w:hAnsi="Times New Roman" w:cs="Times New Roman"/>
                <w:sz w:val="22"/>
                <w:szCs w:val="22"/>
                <w:lang w:val="it-IT"/>
              </w:rPr>
            </w:pPr>
            <w:del w:id="8314" w:author="AbbVie14" w:date="2025-05-09T10:34:00Z">
              <w:r w:rsidRPr="00295E71">
                <w:rPr>
                  <w:rFonts w:ascii="Times New Roman" w:hAnsi="Times New Roman" w:cs="Times New Roman"/>
                  <w:sz w:val="22"/>
                  <w:szCs w:val="22"/>
                  <w:lang w:val="it-IT"/>
                </w:rPr>
                <w:delText>ND</w:delText>
              </w:r>
            </w:del>
          </w:p>
        </w:tc>
        <w:tc>
          <w:tcPr>
            <w:tcW w:w="1417" w:type="dxa"/>
            <w:tcBorders>
              <w:right w:val="single" w:sz="6" w:space="0" w:color="auto"/>
            </w:tcBorders>
          </w:tcPr>
          <w:p w:rsidR="006224C2" w:rsidRPr="00295E71" w14:paraId="7AAE600B" w14:textId="77777777">
            <w:pPr>
              <w:pStyle w:val="In-texttable"/>
              <w:keepNext w:val="0"/>
              <w:tabs>
                <w:tab w:val="decimal" w:pos="250"/>
                <w:tab w:val="left" w:pos="567"/>
              </w:tabs>
              <w:spacing w:line="240" w:lineRule="auto"/>
              <w:jc w:val="center"/>
              <w:rPr>
                <w:del w:id="8315" w:author="AbbVie14" w:date="2025-05-09T10:34:00Z"/>
                <w:rFonts w:ascii="Times New Roman" w:hAnsi="Times New Roman" w:cs="Times New Roman"/>
                <w:sz w:val="22"/>
                <w:szCs w:val="22"/>
                <w:lang w:val="it-IT"/>
              </w:rPr>
            </w:pPr>
            <w:del w:id="8316" w:author="AbbVie14" w:date="2025-05-09T10:34:00Z">
              <w:r w:rsidRPr="00295E71">
                <w:rPr>
                  <w:rFonts w:ascii="Times New Roman" w:hAnsi="Times New Roman" w:cs="Times New Roman"/>
                  <w:sz w:val="22"/>
                  <w:szCs w:val="22"/>
                  <w:lang w:val="it-IT"/>
                </w:rPr>
                <w:delText>ND</w:delText>
              </w:r>
            </w:del>
          </w:p>
        </w:tc>
        <w:tc>
          <w:tcPr>
            <w:tcW w:w="1071" w:type="dxa"/>
            <w:tcBorders>
              <w:left w:val="single" w:sz="6" w:space="0" w:color="auto"/>
            </w:tcBorders>
          </w:tcPr>
          <w:p w:rsidR="006224C2" w:rsidRPr="00295E71" w14:paraId="0EA77DE2" w14:textId="77777777">
            <w:pPr>
              <w:pStyle w:val="In-texttable"/>
              <w:keepNext w:val="0"/>
              <w:tabs>
                <w:tab w:val="decimal" w:pos="259"/>
                <w:tab w:val="left" w:pos="567"/>
              </w:tabs>
              <w:spacing w:line="240" w:lineRule="auto"/>
              <w:jc w:val="center"/>
              <w:rPr>
                <w:del w:id="8317" w:author="AbbVie14" w:date="2025-05-09T10:34:00Z"/>
                <w:rFonts w:ascii="Times New Roman" w:hAnsi="Times New Roman" w:cs="Times New Roman"/>
                <w:sz w:val="22"/>
                <w:szCs w:val="22"/>
                <w:lang w:val="it-IT"/>
              </w:rPr>
            </w:pPr>
            <w:del w:id="8318" w:author="AbbVie14" w:date="2025-05-09T10:34:00Z">
              <w:r w:rsidRPr="00295E71">
                <w:rPr>
                  <w:rFonts w:ascii="Times New Roman" w:hAnsi="Times New Roman" w:cs="Times New Roman"/>
                  <w:sz w:val="22"/>
                  <w:szCs w:val="22"/>
                  <w:lang w:val="it-IT"/>
                </w:rPr>
                <w:delText>ND</w:delText>
              </w:r>
            </w:del>
          </w:p>
        </w:tc>
        <w:tc>
          <w:tcPr>
            <w:tcW w:w="1197" w:type="dxa"/>
            <w:tcBorders>
              <w:right w:val="single" w:sz="6" w:space="0" w:color="auto"/>
            </w:tcBorders>
          </w:tcPr>
          <w:p w:rsidR="006224C2" w:rsidRPr="00295E71" w14:paraId="4A95128E" w14:textId="77777777">
            <w:pPr>
              <w:pStyle w:val="In-texttable"/>
              <w:keepNext w:val="0"/>
              <w:tabs>
                <w:tab w:val="decimal" w:pos="250"/>
                <w:tab w:val="left" w:pos="567"/>
              </w:tabs>
              <w:spacing w:line="240" w:lineRule="auto"/>
              <w:jc w:val="center"/>
              <w:rPr>
                <w:del w:id="8319" w:author="AbbVie14" w:date="2025-05-09T10:34:00Z"/>
                <w:rFonts w:ascii="Times New Roman" w:hAnsi="Times New Roman" w:cs="Times New Roman"/>
                <w:sz w:val="22"/>
                <w:szCs w:val="22"/>
                <w:lang w:val="it-IT"/>
              </w:rPr>
            </w:pPr>
            <w:del w:id="8320" w:author="AbbVie14" w:date="2025-05-09T10:34:00Z">
              <w:r w:rsidRPr="00295E71">
                <w:rPr>
                  <w:rFonts w:ascii="Times New Roman" w:hAnsi="Times New Roman" w:cs="Times New Roman"/>
                  <w:sz w:val="22"/>
                  <w:szCs w:val="22"/>
                  <w:lang w:val="it-IT"/>
                </w:rPr>
                <w:delText>ND</w:delText>
              </w:r>
            </w:del>
          </w:p>
        </w:tc>
        <w:tc>
          <w:tcPr>
            <w:tcW w:w="1418" w:type="dxa"/>
            <w:tcBorders>
              <w:left w:val="single" w:sz="6" w:space="0" w:color="auto"/>
            </w:tcBorders>
          </w:tcPr>
          <w:p w:rsidR="006224C2" w:rsidRPr="00295E71" w14:paraId="53F5A80D" w14:textId="77777777">
            <w:pPr>
              <w:pStyle w:val="In-texttable"/>
              <w:keepNext w:val="0"/>
              <w:tabs>
                <w:tab w:val="decimal" w:pos="144"/>
                <w:tab w:val="left" w:pos="567"/>
              </w:tabs>
              <w:spacing w:line="240" w:lineRule="auto"/>
              <w:jc w:val="center"/>
              <w:rPr>
                <w:del w:id="8321" w:author="AbbVie14" w:date="2025-05-09T10:34:00Z"/>
                <w:rFonts w:ascii="Times New Roman" w:hAnsi="Times New Roman" w:cs="Times New Roman"/>
                <w:sz w:val="22"/>
                <w:szCs w:val="22"/>
                <w:lang w:val="it-IT"/>
              </w:rPr>
            </w:pPr>
            <w:del w:id="8322" w:author="AbbVie14" w:date="2025-05-09T10:34:00Z">
              <w:r w:rsidRPr="00295E71">
                <w:rPr>
                  <w:rFonts w:ascii="Times New Roman" w:hAnsi="Times New Roman" w:cs="Times New Roman"/>
                  <w:sz w:val="22"/>
                  <w:szCs w:val="22"/>
                  <w:lang w:val="it-IT"/>
                </w:rPr>
                <w:delText>9,5%</w:delText>
              </w:r>
            </w:del>
          </w:p>
        </w:tc>
        <w:tc>
          <w:tcPr>
            <w:tcW w:w="1984" w:type="dxa"/>
          </w:tcPr>
          <w:p w:rsidR="006224C2" w:rsidRPr="00295E71" w14:paraId="123CEC18" w14:textId="77777777">
            <w:pPr>
              <w:pStyle w:val="In-texttable"/>
              <w:keepNext w:val="0"/>
              <w:tabs>
                <w:tab w:val="decimal" w:pos="95"/>
                <w:tab w:val="left" w:pos="567"/>
              </w:tabs>
              <w:spacing w:line="240" w:lineRule="auto"/>
              <w:jc w:val="center"/>
              <w:rPr>
                <w:del w:id="8323" w:author="AbbVie14" w:date="2025-05-09T10:34:00Z"/>
                <w:rFonts w:ascii="Times New Roman" w:hAnsi="Times New Roman" w:cs="Times New Roman"/>
                <w:sz w:val="22"/>
                <w:szCs w:val="22"/>
                <w:lang w:val="it-IT"/>
              </w:rPr>
            </w:pPr>
            <w:del w:id="8324" w:author="AbbVie14" w:date="2025-05-09T10:34:00Z">
              <w:r w:rsidRPr="00295E71">
                <w:rPr>
                  <w:rFonts w:ascii="Times New Roman" w:hAnsi="Times New Roman" w:cs="Times New Roman"/>
                  <w:sz w:val="22"/>
                  <w:szCs w:val="22"/>
                  <w:lang w:val="it-IT"/>
                </w:rPr>
                <w:delText>41,5%</w:delText>
              </w:r>
            </w:del>
          </w:p>
        </w:tc>
      </w:tr>
      <w:tr w14:paraId="4DD06C44" w14:textId="77777777">
        <w:tblPrEx>
          <w:tblW w:w="9549" w:type="dxa"/>
          <w:tblInd w:w="98" w:type="dxa"/>
          <w:tblLayout w:type="fixed"/>
          <w:tblLook w:val="0000"/>
        </w:tblPrEx>
        <w:trPr>
          <w:cantSplit/>
          <w:del w:id="8325" w:author="AbbVie14" w:date="2025-05-09T10:34:00Z"/>
        </w:trPr>
        <w:tc>
          <w:tcPr>
            <w:tcW w:w="1069" w:type="dxa"/>
            <w:tcBorders>
              <w:right w:val="single" w:sz="6" w:space="0" w:color="auto"/>
            </w:tcBorders>
          </w:tcPr>
          <w:p w:rsidR="006224C2" w:rsidRPr="00295E71" w14:paraId="3A53A39B" w14:textId="77777777">
            <w:pPr>
              <w:pStyle w:val="In-texttable"/>
              <w:keepNext w:val="0"/>
              <w:tabs>
                <w:tab w:val="left" w:pos="144"/>
                <w:tab w:val="left" w:pos="567"/>
              </w:tabs>
              <w:spacing w:line="240" w:lineRule="auto"/>
              <w:rPr>
                <w:del w:id="8326" w:author="AbbVie14" w:date="2025-05-09T10:34:00Z"/>
                <w:rFonts w:ascii="Times New Roman" w:hAnsi="Times New Roman" w:cs="Times New Roman"/>
                <w:sz w:val="22"/>
                <w:szCs w:val="22"/>
                <w:lang w:val="it-IT"/>
              </w:rPr>
            </w:pPr>
            <w:del w:id="8327" w:author="AbbVie14" w:date="2025-05-09T10:34:00Z">
              <w:r w:rsidRPr="003B3A5A">
                <w:rPr>
                  <w:noProof/>
                  <w:sz w:val="22"/>
                  <w:lang w:val="en-GB"/>
                </w:rPr>
                <mc:AlternateContent>
                  <mc:Choice Requires="wps">
                    <w:drawing>
                      <wp:anchor distT="0" distB="0" distL="114300" distR="114300" simplePos="0" relativeHeight="251658240" behindDoc="0" locked="0" layoutInCell="0" allowOverlap="1">
                        <wp:simplePos x="0" y="0"/>
                        <wp:positionH relativeFrom="column">
                          <wp:posOffset>-4972050</wp:posOffset>
                        </wp:positionH>
                        <wp:positionV relativeFrom="paragraph">
                          <wp:posOffset>38735</wp:posOffset>
                        </wp:positionV>
                        <wp:extent cx="3543300" cy="342900"/>
                        <wp:effectExtent l="0" t="0" r="0" b="0"/>
                        <wp:wrapNone/>
                        <wp:docPr id="151"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43300" cy="342900"/>
                                </a:xfrm>
                                <a:prstGeom prst="rect">
                                  <a:avLst/>
                                </a:prstGeom>
                                <a:solidFill>
                                  <a:srgbClr val="FFFFFF"/>
                                </a:solidFill>
                                <a:ln>
                                  <a:noFill/>
                                </a:ln>
                              </wps:spPr>
                              <wps:txbx>
                                <w:txbxContent>
                                  <w:p w:rsidR="003B3A5A" w14:textId="77777777">
                                    <w:pPr>
                                      <w:rPr>
                                        <w:sz w:val="20"/>
                                        <w:szCs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28" type="#_x0000_t202" style="width:279pt;height:27pt;margin-top:3.05pt;margin-left:-391.5pt;mso-height-percent:0;mso-height-relative:page;mso-width-percent:0;mso-width-relative:page;mso-wrap-distance-bottom:0;mso-wrap-distance-left:9pt;mso-wrap-distance-right:9pt;mso-wrap-distance-top:0;mso-wrap-style:square;position:absolute;visibility:visible;v-text-anchor:top;z-index:251659264" o:allowincell="f" stroked="f">
                        <v:textbox>
                          <w:txbxContent>
                            <w:p w:rsidR="003B3A5A" w14:paraId="673C3CA2" w14:textId="77777777">
                              <w:pPr>
                                <w:rPr>
                                  <w:sz w:val="20"/>
                                  <w:szCs w:val="20"/>
                                </w:rPr>
                              </w:pPr>
                            </w:p>
                          </w:txbxContent>
                        </v:textbox>
                      </v:shape>
                    </w:pict>
                  </mc:Fallback>
                </mc:AlternateContent>
              </w:r>
            </w:del>
            <w:del w:id="8328" w:author="AbbVie14" w:date="2025-05-09T10:34:00Z">
              <w:r w:rsidRPr="00295E71" w:rsidR="00226BC4">
                <w:rPr>
                  <w:rFonts w:ascii="Times New Roman" w:hAnsi="Times New Roman" w:cs="Times New Roman"/>
                  <w:sz w:val="22"/>
                  <w:szCs w:val="22"/>
                  <w:lang w:val="it-IT"/>
                </w:rPr>
                <w:delText>ACR 70</w:delText>
              </w:r>
            </w:del>
          </w:p>
        </w:tc>
        <w:tc>
          <w:tcPr>
            <w:tcW w:w="1393" w:type="dxa"/>
            <w:tcBorders>
              <w:left w:val="single" w:sz="6" w:space="0" w:color="auto"/>
            </w:tcBorders>
          </w:tcPr>
          <w:p w:rsidR="006224C2" w:rsidRPr="00295E71" w14:paraId="35B84215" w14:textId="77777777">
            <w:pPr>
              <w:pStyle w:val="In-texttable"/>
              <w:keepNext w:val="0"/>
              <w:tabs>
                <w:tab w:val="decimal" w:pos="259"/>
                <w:tab w:val="left" w:pos="567"/>
              </w:tabs>
              <w:spacing w:line="240" w:lineRule="auto"/>
              <w:jc w:val="center"/>
              <w:rPr>
                <w:del w:id="8329" w:author="AbbVie14" w:date="2025-05-09T10:34:00Z"/>
                <w:rFonts w:ascii="Times New Roman" w:hAnsi="Times New Roman" w:cs="Times New Roman"/>
                <w:sz w:val="22"/>
                <w:szCs w:val="22"/>
                <w:lang w:val="it-IT"/>
              </w:rPr>
            </w:pPr>
          </w:p>
        </w:tc>
        <w:tc>
          <w:tcPr>
            <w:tcW w:w="1417" w:type="dxa"/>
            <w:tcBorders>
              <w:right w:val="single" w:sz="6" w:space="0" w:color="auto"/>
            </w:tcBorders>
          </w:tcPr>
          <w:p w:rsidR="006224C2" w:rsidRPr="00295E71" w14:paraId="78CBF21F" w14:textId="77777777">
            <w:pPr>
              <w:pStyle w:val="In-texttable"/>
              <w:keepNext w:val="0"/>
              <w:tabs>
                <w:tab w:val="decimal" w:pos="250"/>
                <w:tab w:val="left" w:pos="567"/>
              </w:tabs>
              <w:spacing w:line="240" w:lineRule="auto"/>
              <w:jc w:val="center"/>
              <w:rPr>
                <w:del w:id="8330" w:author="AbbVie14" w:date="2025-05-09T10:34:00Z"/>
                <w:rFonts w:ascii="Times New Roman" w:hAnsi="Times New Roman" w:cs="Times New Roman"/>
                <w:sz w:val="22"/>
                <w:szCs w:val="22"/>
                <w:lang w:val="it-IT"/>
              </w:rPr>
            </w:pPr>
          </w:p>
        </w:tc>
        <w:tc>
          <w:tcPr>
            <w:tcW w:w="1071" w:type="dxa"/>
            <w:tcBorders>
              <w:left w:val="single" w:sz="6" w:space="0" w:color="auto"/>
            </w:tcBorders>
          </w:tcPr>
          <w:p w:rsidR="006224C2" w:rsidRPr="00295E71" w14:paraId="43148EF1" w14:textId="77777777">
            <w:pPr>
              <w:pStyle w:val="In-texttable"/>
              <w:keepNext w:val="0"/>
              <w:tabs>
                <w:tab w:val="left" w:pos="567"/>
              </w:tabs>
              <w:spacing w:line="240" w:lineRule="auto"/>
              <w:jc w:val="center"/>
              <w:rPr>
                <w:del w:id="8331" w:author="AbbVie14" w:date="2025-05-09T10:34:00Z"/>
                <w:rFonts w:ascii="Times New Roman" w:hAnsi="Times New Roman" w:cs="Times New Roman"/>
                <w:sz w:val="22"/>
                <w:szCs w:val="22"/>
                <w:lang w:val="it-IT"/>
              </w:rPr>
            </w:pPr>
          </w:p>
        </w:tc>
        <w:tc>
          <w:tcPr>
            <w:tcW w:w="1197" w:type="dxa"/>
            <w:tcBorders>
              <w:right w:val="single" w:sz="6" w:space="0" w:color="auto"/>
            </w:tcBorders>
          </w:tcPr>
          <w:p w:rsidR="006224C2" w:rsidRPr="00295E71" w14:paraId="06BC7AD0" w14:textId="77777777">
            <w:pPr>
              <w:pStyle w:val="In-texttable"/>
              <w:keepNext w:val="0"/>
              <w:tabs>
                <w:tab w:val="decimal" w:pos="205"/>
                <w:tab w:val="left" w:pos="567"/>
              </w:tabs>
              <w:spacing w:line="240" w:lineRule="auto"/>
              <w:jc w:val="center"/>
              <w:rPr>
                <w:del w:id="8332" w:author="AbbVie14" w:date="2025-05-09T10:34:00Z"/>
                <w:rFonts w:ascii="Times New Roman" w:hAnsi="Times New Roman" w:cs="Times New Roman"/>
                <w:sz w:val="22"/>
                <w:szCs w:val="22"/>
                <w:lang w:val="it-IT"/>
              </w:rPr>
            </w:pPr>
          </w:p>
        </w:tc>
        <w:tc>
          <w:tcPr>
            <w:tcW w:w="1418" w:type="dxa"/>
            <w:tcBorders>
              <w:left w:val="single" w:sz="6" w:space="0" w:color="auto"/>
            </w:tcBorders>
          </w:tcPr>
          <w:p w:rsidR="006224C2" w:rsidRPr="00295E71" w14:paraId="07C02714" w14:textId="77777777">
            <w:pPr>
              <w:pStyle w:val="In-texttable"/>
              <w:keepNext w:val="0"/>
              <w:tabs>
                <w:tab w:val="decimal" w:pos="144"/>
                <w:tab w:val="left" w:pos="567"/>
              </w:tabs>
              <w:spacing w:line="240" w:lineRule="auto"/>
              <w:jc w:val="center"/>
              <w:rPr>
                <w:del w:id="8333" w:author="AbbVie14" w:date="2025-05-09T10:34:00Z"/>
                <w:rFonts w:ascii="Times New Roman" w:hAnsi="Times New Roman" w:cs="Times New Roman"/>
                <w:sz w:val="22"/>
                <w:szCs w:val="22"/>
                <w:lang w:val="it-IT"/>
              </w:rPr>
            </w:pPr>
          </w:p>
        </w:tc>
        <w:tc>
          <w:tcPr>
            <w:tcW w:w="1984" w:type="dxa"/>
          </w:tcPr>
          <w:p w:rsidR="006224C2" w:rsidRPr="00295E71" w14:paraId="71A7CF81" w14:textId="77777777">
            <w:pPr>
              <w:pStyle w:val="In-texttable"/>
              <w:keepNext w:val="0"/>
              <w:tabs>
                <w:tab w:val="decimal" w:pos="95"/>
                <w:tab w:val="left" w:pos="567"/>
              </w:tabs>
              <w:spacing w:line="240" w:lineRule="auto"/>
              <w:jc w:val="center"/>
              <w:rPr>
                <w:del w:id="8334" w:author="AbbVie14" w:date="2025-05-09T10:34:00Z"/>
                <w:rFonts w:ascii="Times New Roman" w:hAnsi="Times New Roman" w:cs="Times New Roman"/>
                <w:sz w:val="22"/>
                <w:szCs w:val="22"/>
                <w:lang w:val="it-IT"/>
              </w:rPr>
            </w:pPr>
          </w:p>
        </w:tc>
      </w:tr>
      <w:tr w14:paraId="6933CFC4" w14:textId="77777777">
        <w:tblPrEx>
          <w:tblW w:w="9549" w:type="dxa"/>
          <w:tblInd w:w="98" w:type="dxa"/>
          <w:tblLayout w:type="fixed"/>
          <w:tblLook w:val="0000"/>
        </w:tblPrEx>
        <w:trPr>
          <w:cantSplit/>
          <w:del w:id="8335" w:author="AbbVie14" w:date="2025-05-09T10:34:00Z"/>
        </w:trPr>
        <w:tc>
          <w:tcPr>
            <w:tcW w:w="1069" w:type="dxa"/>
            <w:tcBorders>
              <w:right w:val="single" w:sz="6" w:space="0" w:color="auto"/>
            </w:tcBorders>
          </w:tcPr>
          <w:p w:rsidR="006224C2" w:rsidRPr="00295E71" w14:paraId="4FD655D4" w14:textId="77777777">
            <w:pPr>
              <w:pStyle w:val="In-texttable"/>
              <w:keepNext w:val="0"/>
              <w:tabs>
                <w:tab w:val="left" w:pos="144"/>
                <w:tab w:val="left" w:pos="567"/>
              </w:tabs>
              <w:spacing w:line="240" w:lineRule="auto"/>
              <w:rPr>
                <w:del w:id="8336" w:author="AbbVie14" w:date="2025-05-09T10:34:00Z"/>
                <w:rFonts w:ascii="Times New Roman" w:hAnsi="Times New Roman" w:cs="Times New Roman"/>
                <w:sz w:val="22"/>
                <w:szCs w:val="22"/>
                <w:lang w:val="it-IT"/>
              </w:rPr>
            </w:pPr>
            <w:del w:id="8337" w:author="AbbVie14" w:date="2025-05-09T10:34:00Z">
              <w:r w:rsidRPr="00295E71">
                <w:rPr>
                  <w:rFonts w:ascii="Times New Roman" w:hAnsi="Times New Roman" w:cs="Times New Roman"/>
                  <w:sz w:val="22"/>
                  <w:szCs w:val="22"/>
                  <w:lang w:val="it-IT"/>
                </w:rPr>
                <w:tab/>
                <w:delText>6 mesi</w:delText>
              </w:r>
            </w:del>
          </w:p>
        </w:tc>
        <w:tc>
          <w:tcPr>
            <w:tcW w:w="1393" w:type="dxa"/>
            <w:tcBorders>
              <w:left w:val="single" w:sz="6" w:space="0" w:color="auto"/>
            </w:tcBorders>
          </w:tcPr>
          <w:p w:rsidR="006224C2" w:rsidRPr="00295E71" w14:paraId="6CA779C8" w14:textId="77777777">
            <w:pPr>
              <w:pStyle w:val="In-texttable"/>
              <w:keepNext w:val="0"/>
              <w:tabs>
                <w:tab w:val="decimal" w:pos="259"/>
                <w:tab w:val="left" w:pos="567"/>
              </w:tabs>
              <w:spacing w:line="240" w:lineRule="auto"/>
              <w:jc w:val="center"/>
              <w:rPr>
                <w:del w:id="8338" w:author="AbbVie14" w:date="2025-05-09T10:34:00Z"/>
                <w:rFonts w:ascii="Times New Roman" w:hAnsi="Times New Roman" w:cs="Times New Roman"/>
                <w:sz w:val="22"/>
                <w:szCs w:val="22"/>
                <w:lang w:val="it-IT"/>
              </w:rPr>
            </w:pPr>
            <w:del w:id="8339" w:author="AbbVie14" w:date="2025-05-09T10:34:00Z">
              <w:r w:rsidRPr="00295E71">
                <w:rPr>
                  <w:rFonts w:ascii="Times New Roman" w:hAnsi="Times New Roman" w:cs="Times New Roman"/>
                  <w:sz w:val="22"/>
                  <w:szCs w:val="22"/>
                  <w:lang w:val="it-IT"/>
                </w:rPr>
                <w:delText>3,3%</w:delText>
              </w:r>
            </w:del>
          </w:p>
        </w:tc>
        <w:tc>
          <w:tcPr>
            <w:tcW w:w="1417" w:type="dxa"/>
            <w:tcBorders>
              <w:right w:val="single" w:sz="6" w:space="0" w:color="auto"/>
            </w:tcBorders>
          </w:tcPr>
          <w:p w:rsidR="006224C2" w:rsidRPr="00295E71" w14:paraId="6FF7F0B4" w14:textId="77777777">
            <w:pPr>
              <w:pStyle w:val="In-texttable"/>
              <w:keepNext w:val="0"/>
              <w:tabs>
                <w:tab w:val="decimal" w:pos="250"/>
                <w:tab w:val="left" w:pos="567"/>
              </w:tabs>
              <w:spacing w:line="240" w:lineRule="auto"/>
              <w:jc w:val="center"/>
              <w:rPr>
                <w:del w:id="8340" w:author="AbbVie14" w:date="2025-05-09T10:34:00Z"/>
                <w:rFonts w:ascii="Times New Roman" w:hAnsi="Times New Roman" w:cs="Times New Roman"/>
                <w:sz w:val="22"/>
                <w:szCs w:val="22"/>
                <w:lang w:val="it-IT"/>
              </w:rPr>
            </w:pPr>
            <w:del w:id="8341" w:author="AbbVie14" w:date="2025-05-09T10:34:00Z">
              <w:r w:rsidRPr="00295E71">
                <w:rPr>
                  <w:rFonts w:ascii="Times New Roman" w:hAnsi="Times New Roman" w:cs="Times New Roman"/>
                  <w:sz w:val="22"/>
                  <w:szCs w:val="22"/>
                  <w:lang w:val="it-IT"/>
                </w:rPr>
                <w:delText>23,8%</w:delText>
              </w:r>
            </w:del>
          </w:p>
        </w:tc>
        <w:tc>
          <w:tcPr>
            <w:tcW w:w="1071" w:type="dxa"/>
            <w:tcBorders>
              <w:left w:val="single" w:sz="6" w:space="0" w:color="auto"/>
            </w:tcBorders>
          </w:tcPr>
          <w:p w:rsidR="006224C2" w:rsidRPr="00295E71" w14:paraId="15DA1DC2" w14:textId="77777777">
            <w:pPr>
              <w:pStyle w:val="In-texttable"/>
              <w:keepNext w:val="0"/>
              <w:tabs>
                <w:tab w:val="left" w:pos="567"/>
              </w:tabs>
              <w:spacing w:line="240" w:lineRule="auto"/>
              <w:jc w:val="center"/>
              <w:rPr>
                <w:del w:id="8342" w:author="AbbVie14" w:date="2025-05-09T10:34:00Z"/>
                <w:rFonts w:ascii="Times New Roman" w:hAnsi="Times New Roman" w:cs="Times New Roman"/>
                <w:sz w:val="22"/>
                <w:szCs w:val="22"/>
                <w:lang w:val="it-IT"/>
              </w:rPr>
            </w:pPr>
            <w:del w:id="8343" w:author="AbbVie14" w:date="2025-05-09T10:34:00Z">
              <w:r w:rsidRPr="00295E71">
                <w:rPr>
                  <w:rFonts w:ascii="Times New Roman" w:hAnsi="Times New Roman" w:cs="Times New Roman"/>
                  <w:sz w:val="22"/>
                  <w:szCs w:val="22"/>
                  <w:lang w:val="it-IT"/>
                </w:rPr>
                <w:delText>1,8%</w:delText>
              </w:r>
            </w:del>
          </w:p>
        </w:tc>
        <w:tc>
          <w:tcPr>
            <w:tcW w:w="1197" w:type="dxa"/>
            <w:tcBorders>
              <w:right w:val="single" w:sz="6" w:space="0" w:color="auto"/>
            </w:tcBorders>
          </w:tcPr>
          <w:p w:rsidR="006224C2" w:rsidRPr="00295E71" w14:paraId="6BB45266" w14:textId="77777777">
            <w:pPr>
              <w:pStyle w:val="In-texttable"/>
              <w:keepNext w:val="0"/>
              <w:tabs>
                <w:tab w:val="decimal" w:pos="205"/>
                <w:tab w:val="left" w:pos="567"/>
              </w:tabs>
              <w:spacing w:line="240" w:lineRule="auto"/>
              <w:jc w:val="center"/>
              <w:rPr>
                <w:del w:id="8344" w:author="AbbVie14" w:date="2025-05-09T10:34:00Z"/>
                <w:rFonts w:ascii="Times New Roman" w:hAnsi="Times New Roman" w:cs="Times New Roman"/>
                <w:sz w:val="22"/>
                <w:szCs w:val="22"/>
                <w:lang w:val="it-IT"/>
              </w:rPr>
            </w:pPr>
            <w:del w:id="8345" w:author="AbbVie14" w:date="2025-05-09T10:34:00Z">
              <w:r w:rsidRPr="00295E71">
                <w:rPr>
                  <w:rFonts w:ascii="Times New Roman" w:hAnsi="Times New Roman" w:cs="Times New Roman"/>
                  <w:sz w:val="22"/>
                  <w:szCs w:val="22"/>
                  <w:lang w:val="it-IT"/>
                </w:rPr>
                <w:delText>12,4%</w:delText>
              </w:r>
            </w:del>
          </w:p>
        </w:tc>
        <w:tc>
          <w:tcPr>
            <w:tcW w:w="1418" w:type="dxa"/>
            <w:tcBorders>
              <w:left w:val="single" w:sz="6" w:space="0" w:color="auto"/>
            </w:tcBorders>
          </w:tcPr>
          <w:p w:rsidR="006224C2" w:rsidRPr="00295E71" w14:paraId="7FC9F25C" w14:textId="77777777">
            <w:pPr>
              <w:pStyle w:val="In-texttable"/>
              <w:keepNext w:val="0"/>
              <w:tabs>
                <w:tab w:val="decimal" w:pos="144"/>
                <w:tab w:val="left" w:pos="567"/>
              </w:tabs>
              <w:spacing w:line="240" w:lineRule="auto"/>
              <w:jc w:val="center"/>
              <w:rPr>
                <w:del w:id="8346" w:author="AbbVie14" w:date="2025-05-09T10:34:00Z"/>
                <w:rFonts w:ascii="Times New Roman" w:hAnsi="Times New Roman" w:cs="Times New Roman"/>
                <w:sz w:val="22"/>
                <w:szCs w:val="22"/>
                <w:lang w:val="it-IT"/>
              </w:rPr>
            </w:pPr>
            <w:del w:id="8347" w:author="AbbVie14" w:date="2025-05-09T10:34:00Z">
              <w:r w:rsidRPr="00295E71">
                <w:rPr>
                  <w:rFonts w:ascii="Times New Roman" w:hAnsi="Times New Roman" w:cs="Times New Roman"/>
                  <w:sz w:val="22"/>
                  <w:szCs w:val="22"/>
                  <w:lang w:val="it-IT"/>
                </w:rPr>
                <w:delText>2,5%</w:delText>
              </w:r>
            </w:del>
          </w:p>
        </w:tc>
        <w:tc>
          <w:tcPr>
            <w:tcW w:w="1984" w:type="dxa"/>
          </w:tcPr>
          <w:p w:rsidR="006224C2" w:rsidRPr="00295E71" w14:paraId="0163B56D" w14:textId="77777777">
            <w:pPr>
              <w:pStyle w:val="In-texttable"/>
              <w:keepNext w:val="0"/>
              <w:tabs>
                <w:tab w:val="decimal" w:pos="95"/>
                <w:tab w:val="left" w:pos="567"/>
              </w:tabs>
              <w:spacing w:line="240" w:lineRule="auto"/>
              <w:jc w:val="center"/>
              <w:rPr>
                <w:del w:id="8348" w:author="AbbVie14" w:date="2025-05-09T10:34:00Z"/>
                <w:rFonts w:ascii="Times New Roman" w:hAnsi="Times New Roman" w:cs="Times New Roman"/>
                <w:sz w:val="22"/>
                <w:szCs w:val="22"/>
                <w:lang w:val="it-IT"/>
              </w:rPr>
            </w:pPr>
            <w:del w:id="8349" w:author="AbbVie14" w:date="2025-05-09T10:34:00Z">
              <w:r w:rsidRPr="00295E71">
                <w:rPr>
                  <w:rFonts w:ascii="Times New Roman" w:hAnsi="Times New Roman" w:cs="Times New Roman"/>
                  <w:sz w:val="22"/>
                  <w:szCs w:val="22"/>
                  <w:lang w:val="it-IT"/>
                </w:rPr>
                <w:delText>20,8%</w:delText>
              </w:r>
            </w:del>
          </w:p>
        </w:tc>
      </w:tr>
      <w:tr w14:paraId="22B8B262" w14:textId="77777777">
        <w:tblPrEx>
          <w:tblW w:w="9549" w:type="dxa"/>
          <w:tblInd w:w="98" w:type="dxa"/>
          <w:tblLayout w:type="fixed"/>
          <w:tblLook w:val="0000"/>
        </w:tblPrEx>
        <w:trPr>
          <w:cantSplit/>
          <w:del w:id="8350" w:author="AbbVie14" w:date="2025-05-09T10:34:00Z"/>
        </w:trPr>
        <w:tc>
          <w:tcPr>
            <w:tcW w:w="1069" w:type="dxa"/>
            <w:tcBorders>
              <w:bottom w:val="single" w:sz="6" w:space="0" w:color="auto"/>
              <w:right w:val="single" w:sz="6" w:space="0" w:color="auto"/>
            </w:tcBorders>
          </w:tcPr>
          <w:p w:rsidR="006224C2" w:rsidRPr="00295E71" w14:paraId="03B682C0" w14:textId="77777777">
            <w:pPr>
              <w:pStyle w:val="In-texttable"/>
              <w:keepNext w:val="0"/>
              <w:tabs>
                <w:tab w:val="left" w:pos="144"/>
                <w:tab w:val="left" w:pos="567"/>
              </w:tabs>
              <w:spacing w:line="240" w:lineRule="auto"/>
              <w:rPr>
                <w:del w:id="8351" w:author="AbbVie14" w:date="2025-05-09T10:34:00Z"/>
                <w:rFonts w:ascii="Times New Roman" w:hAnsi="Times New Roman" w:cs="Times New Roman"/>
                <w:sz w:val="22"/>
                <w:szCs w:val="22"/>
                <w:lang w:val="it-IT"/>
              </w:rPr>
            </w:pPr>
            <w:del w:id="8352" w:author="AbbVie14" w:date="2025-05-09T10:34:00Z">
              <w:r w:rsidRPr="00295E71">
                <w:rPr>
                  <w:rFonts w:ascii="Times New Roman" w:hAnsi="Times New Roman" w:cs="Times New Roman"/>
                  <w:sz w:val="22"/>
                  <w:szCs w:val="22"/>
                  <w:lang w:val="it-IT"/>
                </w:rPr>
                <w:tab/>
                <w:delText>12 mesi</w:delText>
              </w:r>
            </w:del>
          </w:p>
        </w:tc>
        <w:tc>
          <w:tcPr>
            <w:tcW w:w="1393" w:type="dxa"/>
            <w:tcBorders>
              <w:left w:val="single" w:sz="6" w:space="0" w:color="auto"/>
              <w:bottom w:val="single" w:sz="6" w:space="0" w:color="auto"/>
            </w:tcBorders>
          </w:tcPr>
          <w:p w:rsidR="006224C2" w:rsidRPr="00295E71" w14:paraId="0BC2B7F3" w14:textId="77777777">
            <w:pPr>
              <w:pStyle w:val="In-texttable"/>
              <w:keepNext w:val="0"/>
              <w:tabs>
                <w:tab w:val="decimal" w:pos="259"/>
                <w:tab w:val="left" w:pos="567"/>
              </w:tabs>
              <w:spacing w:line="240" w:lineRule="auto"/>
              <w:jc w:val="center"/>
              <w:rPr>
                <w:del w:id="8353" w:author="AbbVie14" w:date="2025-05-09T10:34:00Z"/>
                <w:rFonts w:ascii="Times New Roman" w:hAnsi="Times New Roman" w:cs="Times New Roman"/>
                <w:sz w:val="22"/>
                <w:szCs w:val="22"/>
                <w:lang w:val="it-IT"/>
              </w:rPr>
            </w:pPr>
            <w:del w:id="8354" w:author="AbbVie14" w:date="2025-05-09T10:34:00Z">
              <w:r w:rsidRPr="00295E71">
                <w:rPr>
                  <w:rFonts w:ascii="Times New Roman" w:hAnsi="Times New Roman" w:cs="Times New Roman"/>
                  <w:sz w:val="22"/>
                  <w:szCs w:val="22"/>
                  <w:lang w:val="it-IT"/>
                </w:rPr>
                <w:delText>ND</w:delText>
              </w:r>
            </w:del>
          </w:p>
        </w:tc>
        <w:tc>
          <w:tcPr>
            <w:tcW w:w="1417" w:type="dxa"/>
            <w:tcBorders>
              <w:bottom w:val="single" w:sz="6" w:space="0" w:color="auto"/>
              <w:right w:val="single" w:sz="6" w:space="0" w:color="auto"/>
            </w:tcBorders>
          </w:tcPr>
          <w:p w:rsidR="006224C2" w:rsidRPr="00295E71" w14:paraId="4817A198" w14:textId="77777777">
            <w:pPr>
              <w:pStyle w:val="In-texttable"/>
              <w:keepNext w:val="0"/>
              <w:tabs>
                <w:tab w:val="decimal" w:pos="250"/>
                <w:tab w:val="left" w:pos="567"/>
              </w:tabs>
              <w:spacing w:line="240" w:lineRule="auto"/>
              <w:jc w:val="center"/>
              <w:rPr>
                <w:del w:id="8355" w:author="AbbVie14" w:date="2025-05-09T10:34:00Z"/>
                <w:rFonts w:ascii="Times New Roman" w:hAnsi="Times New Roman" w:cs="Times New Roman"/>
                <w:sz w:val="22"/>
                <w:szCs w:val="22"/>
                <w:lang w:val="it-IT"/>
              </w:rPr>
            </w:pPr>
            <w:del w:id="8356" w:author="AbbVie14" w:date="2025-05-09T10:34:00Z">
              <w:r w:rsidRPr="00295E71">
                <w:rPr>
                  <w:rFonts w:ascii="Times New Roman" w:hAnsi="Times New Roman" w:cs="Times New Roman"/>
                  <w:sz w:val="22"/>
                  <w:szCs w:val="22"/>
                  <w:lang w:val="it-IT"/>
                </w:rPr>
                <w:delText>ND</w:delText>
              </w:r>
            </w:del>
          </w:p>
        </w:tc>
        <w:tc>
          <w:tcPr>
            <w:tcW w:w="1071" w:type="dxa"/>
            <w:tcBorders>
              <w:left w:val="single" w:sz="6" w:space="0" w:color="auto"/>
              <w:bottom w:val="single" w:sz="6" w:space="0" w:color="auto"/>
            </w:tcBorders>
          </w:tcPr>
          <w:p w:rsidR="006224C2" w:rsidRPr="00295E71" w14:paraId="4D9F2686" w14:textId="77777777">
            <w:pPr>
              <w:pStyle w:val="In-texttable"/>
              <w:keepNext w:val="0"/>
              <w:tabs>
                <w:tab w:val="decimal" w:pos="259"/>
                <w:tab w:val="left" w:pos="567"/>
              </w:tabs>
              <w:spacing w:line="240" w:lineRule="auto"/>
              <w:jc w:val="center"/>
              <w:rPr>
                <w:del w:id="8357" w:author="AbbVie14" w:date="2025-05-09T10:34:00Z"/>
                <w:rFonts w:ascii="Times New Roman" w:hAnsi="Times New Roman" w:cs="Times New Roman"/>
                <w:sz w:val="22"/>
                <w:szCs w:val="22"/>
                <w:lang w:val="it-IT"/>
              </w:rPr>
            </w:pPr>
            <w:del w:id="8358" w:author="AbbVie14" w:date="2025-05-09T10:34:00Z">
              <w:r w:rsidRPr="00295E71">
                <w:rPr>
                  <w:rFonts w:ascii="Times New Roman" w:hAnsi="Times New Roman" w:cs="Times New Roman"/>
                  <w:sz w:val="22"/>
                  <w:szCs w:val="22"/>
                  <w:lang w:val="it-IT"/>
                </w:rPr>
                <w:delText>ND</w:delText>
              </w:r>
            </w:del>
          </w:p>
        </w:tc>
        <w:tc>
          <w:tcPr>
            <w:tcW w:w="1197" w:type="dxa"/>
            <w:tcBorders>
              <w:bottom w:val="single" w:sz="6" w:space="0" w:color="auto"/>
              <w:right w:val="single" w:sz="6" w:space="0" w:color="auto"/>
            </w:tcBorders>
          </w:tcPr>
          <w:p w:rsidR="006224C2" w:rsidRPr="00295E71" w14:paraId="6D95C881" w14:textId="77777777">
            <w:pPr>
              <w:pStyle w:val="In-texttable"/>
              <w:keepNext w:val="0"/>
              <w:tabs>
                <w:tab w:val="decimal" w:pos="250"/>
                <w:tab w:val="left" w:pos="567"/>
              </w:tabs>
              <w:spacing w:line="240" w:lineRule="auto"/>
              <w:jc w:val="center"/>
              <w:rPr>
                <w:del w:id="8359" w:author="AbbVie14" w:date="2025-05-09T10:34:00Z"/>
                <w:rFonts w:ascii="Times New Roman" w:hAnsi="Times New Roman" w:cs="Times New Roman"/>
                <w:sz w:val="22"/>
                <w:szCs w:val="22"/>
                <w:lang w:val="it-IT"/>
              </w:rPr>
            </w:pPr>
            <w:del w:id="8360" w:author="AbbVie14" w:date="2025-05-09T10:34:00Z">
              <w:r w:rsidRPr="00295E71">
                <w:rPr>
                  <w:rFonts w:ascii="Times New Roman" w:hAnsi="Times New Roman" w:cs="Times New Roman"/>
                  <w:sz w:val="22"/>
                  <w:szCs w:val="22"/>
                  <w:lang w:val="it-IT"/>
                </w:rPr>
                <w:delText>ND</w:delText>
              </w:r>
            </w:del>
          </w:p>
        </w:tc>
        <w:tc>
          <w:tcPr>
            <w:tcW w:w="1418" w:type="dxa"/>
            <w:tcBorders>
              <w:left w:val="single" w:sz="6" w:space="0" w:color="auto"/>
              <w:bottom w:val="single" w:sz="6" w:space="0" w:color="auto"/>
            </w:tcBorders>
          </w:tcPr>
          <w:p w:rsidR="006224C2" w:rsidRPr="00295E71" w14:paraId="2639F74C" w14:textId="77777777">
            <w:pPr>
              <w:pStyle w:val="In-texttable"/>
              <w:keepNext w:val="0"/>
              <w:tabs>
                <w:tab w:val="decimal" w:pos="144"/>
                <w:tab w:val="left" w:pos="567"/>
              </w:tabs>
              <w:spacing w:line="240" w:lineRule="auto"/>
              <w:jc w:val="center"/>
              <w:rPr>
                <w:del w:id="8361" w:author="AbbVie14" w:date="2025-05-09T10:34:00Z"/>
                <w:rFonts w:ascii="Times New Roman" w:hAnsi="Times New Roman" w:cs="Times New Roman"/>
                <w:sz w:val="22"/>
                <w:szCs w:val="22"/>
                <w:lang w:val="it-IT"/>
              </w:rPr>
            </w:pPr>
            <w:del w:id="8362" w:author="AbbVie14" w:date="2025-05-09T10:34:00Z">
              <w:r w:rsidRPr="00295E71">
                <w:rPr>
                  <w:rFonts w:ascii="Times New Roman" w:hAnsi="Times New Roman" w:cs="Times New Roman"/>
                  <w:sz w:val="22"/>
                  <w:szCs w:val="22"/>
                  <w:lang w:val="it-IT"/>
                </w:rPr>
                <w:delText>4,5%</w:delText>
              </w:r>
            </w:del>
          </w:p>
        </w:tc>
        <w:tc>
          <w:tcPr>
            <w:tcW w:w="1984" w:type="dxa"/>
            <w:tcBorders>
              <w:bottom w:val="single" w:sz="6" w:space="0" w:color="auto"/>
            </w:tcBorders>
          </w:tcPr>
          <w:p w:rsidR="006224C2" w:rsidRPr="00295E71" w14:paraId="18D0F0F5" w14:textId="77777777">
            <w:pPr>
              <w:pStyle w:val="In-texttable"/>
              <w:keepNext w:val="0"/>
              <w:tabs>
                <w:tab w:val="decimal" w:pos="95"/>
                <w:tab w:val="left" w:pos="567"/>
              </w:tabs>
              <w:spacing w:line="240" w:lineRule="auto"/>
              <w:jc w:val="center"/>
              <w:rPr>
                <w:del w:id="8363" w:author="AbbVie14" w:date="2025-05-09T10:34:00Z"/>
                <w:rFonts w:ascii="Times New Roman" w:hAnsi="Times New Roman" w:cs="Times New Roman"/>
                <w:sz w:val="22"/>
                <w:szCs w:val="22"/>
                <w:lang w:val="it-IT"/>
              </w:rPr>
            </w:pPr>
            <w:del w:id="8364" w:author="AbbVie14" w:date="2025-05-09T10:34:00Z">
              <w:r w:rsidRPr="00295E71">
                <w:rPr>
                  <w:rFonts w:ascii="Times New Roman" w:hAnsi="Times New Roman" w:cs="Times New Roman"/>
                  <w:sz w:val="22"/>
                  <w:szCs w:val="22"/>
                  <w:lang w:val="it-IT"/>
                </w:rPr>
                <w:delText>23,2%</w:delText>
              </w:r>
            </w:del>
          </w:p>
        </w:tc>
      </w:tr>
      <w:tr w14:paraId="05BF8BFB" w14:textId="77777777">
        <w:tblPrEx>
          <w:tblW w:w="9549" w:type="dxa"/>
          <w:tblInd w:w="98" w:type="dxa"/>
          <w:tblLayout w:type="fixed"/>
          <w:tblLook w:val="0000"/>
        </w:tblPrEx>
        <w:trPr>
          <w:cantSplit/>
          <w:del w:id="8365" w:author="AbbVie14" w:date="2025-05-09T10:34:00Z"/>
        </w:trPr>
        <w:tc>
          <w:tcPr>
            <w:tcW w:w="9549" w:type="dxa"/>
            <w:gridSpan w:val="7"/>
          </w:tcPr>
          <w:p w:rsidR="006224C2" w:rsidRPr="00295E71" w14:paraId="22A0291A" w14:textId="77777777">
            <w:pPr>
              <w:pStyle w:val="In-textfootnote"/>
              <w:keepNext w:val="0"/>
              <w:tabs>
                <w:tab w:val="left" w:pos="567"/>
              </w:tabs>
              <w:spacing w:before="0" w:line="240" w:lineRule="auto"/>
              <w:ind w:left="144" w:hanging="144"/>
              <w:rPr>
                <w:del w:id="8366" w:author="AbbVie14" w:date="2025-05-09T10:34:00Z"/>
                <w:rFonts w:ascii="Times New Roman" w:hAnsi="Times New Roman" w:cs="Times New Roman"/>
                <w:sz w:val="22"/>
                <w:szCs w:val="22"/>
                <w:lang w:val="it-IT"/>
              </w:rPr>
            </w:pPr>
            <w:del w:id="8367" w:author="AbbVie14" w:date="2025-05-09T10:34:00Z">
              <w:r w:rsidRPr="00295E71">
                <w:rPr>
                  <w:rFonts w:ascii="Times New Roman" w:hAnsi="Times New Roman" w:cs="Times New Roman"/>
                  <w:sz w:val="22"/>
                  <w:szCs w:val="22"/>
                  <w:vertAlign w:val="superscript"/>
                  <w:lang w:val="it-IT"/>
                </w:rPr>
                <w:delText>a</w:delText>
              </w:r>
            </w:del>
            <w:del w:id="8368" w:author="AbbVie14" w:date="2025-05-09T10:34:00Z">
              <w:r w:rsidRPr="00295E71">
                <w:rPr>
                  <w:rFonts w:ascii="Times New Roman" w:hAnsi="Times New Roman" w:cs="Times New Roman"/>
                  <w:sz w:val="22"/>
                  <w:szCs w:val="22"/>
                  <w:lang w:val="it-IT"/>
                </w:rPr>
                <w:tab/>
                <w:delText>studio AR I a 24 settimane, studio AR II a 26 settimane, e studio AR III a 24 e 52 settimane</w:delText>
              </w:r>
            </w:del>
          </w:p>
          <w:p w:rsidR="006224C2" w:rsidRPr="00295E71" w14:paraId="75559991" w14:textId="77777777">
            <w:pPr>
              <w:pStyle w:val="In-textfootnote"/>
              <w:keepNext w:val="0"/>
              <w:tabs>
                <w:tab w:val="left" w:pos="567"/>
              </w:tabs>
              <w:spacing w:before="0" w:line="240" w:lineRule="auto"/>
              <w:ind w:left="144" w:hanging="144"/>
              <w:rPr>
                <w:del w:id="8369" w:author="AbbVie14" w:date="2025-05-09T10:34:00Z"/>
                <w:rFonts w:ascii="Times New Roman" w:hAnsi="Times New Roman" w:cs="Times New Roman"/>
                <w:sz w:val="22"/>
                <w:szCs w:val="22"/>
                <w:lang w:val="it-IT"/>
              </w:rPr>
            </w:pPr>
            <w:del w:id="8370" w:author="AbbVie14" w:date="2025-05-09T10:34:00Z">
              <w:r w:rsidRPr="00295E71">
                <w:rPr>
                  <w:rFonts w:ascii="Times New Roman" w:hAnsi="Times New Roman" w:cs="Times New Roman"/>
                  <w:sz w:val="22"/>
                  <w:szCs w:val="22"/>
                  <w:vertAlign w:val="superscript"/>
                  <w:lang w:val="it-IT"/>
                </w:rPr>
                <w:delText>b</w:delText>
              </w:r>
            </w:del>
            <w:del w:id="8371" w:author="AbbVie14" w:date="2025-05-09T10:34:00Z">
              <w:r w:rsidRPr="00295E71">
                <w:rPr>
                  <w:rFonts w:ascii="Times New Roman" w:hAnsi="Times New Roman" w:cs="Times New Roman"/>
                  <w:sz w:val="22"/>
                  <w:szCs w:val="22"/>
                  <w:lang w:val="it-IT"/>
                </w:rPr>
                <w:tab/>
                <w:delText>40 mg di Humira somministrato ogni due settimane</w:delText>
              </w:r>
            </w:del>
          </w:p>
          <w:p w:rsidR="006224C2" w:rsidRPr="00295E71" w14:paraId="6FF148AF" w14:textId="77777777">
            <w:pPr>
              <w:pStyle w:val="In-textfootnote"/>
              <w:keepNext w:val="0"/>
              <w:tabs>
                <w:tab w:val="left" w:pos="567"/>
              </w:tabs>
              <w:spacing w:before="0" w:line="240" w:lineRule="auto"/>
              <w:ind w:left="144" w:hanging="144"/>
              <w:rPr>
                <w:del w:id="8372" w:author="AbbVie14" w:date="2025-05-09T10:34:00Z"/>
                <w:rFonts w:ascii="Times New Roman" w:hAnsi="Times New Roman" w:cs="Times New Roman"/>
                <w:sz w:val="22"/>
                <w:szCs w:val="22"/>
                <w:lang w:val="it-IT"/>
              </w:rPr>
            </w:pPr>
            <w:del w:id="8373" w:author="AbbVie14" w:date="2025-05-09T10:34:00Z">
              <w:r w:rsidRPr="00295E71">
                <w:rPr>
                  <w:rFonts w:ascii="Times New Roman" w:hAnsi="Times New Roman" w:cs="Times New Roman"/>
                  <w:sz w:val="22"/>
                  <w:szCs w:val="22"/>
                  <w:vertAlign w:val="superscript"/>
                  <w:lang w:val="it-IT"/>
                </w:rPr>
                <w:delText>c</w:delText>
              </w:r>
            </w:del>
            <w:del w:id="8374" w:author="AbbVie14" w:date="2025-05-09T10:34:00Z">
              <w:r w:rsidRPr="00295E71">
                <w:rPr>
                  <w:rFonts w:ascii="Times New Roman" w:hAnsi="Times New Roman" w:cs="Times New Roman"/>
                  <w:sz w:val="22"/>
                  <w:szCs w:val="22"/>
                  <w:lang w:val="it-IT"/>
                </w:rPr>
                <w:delText xml:space="preserve"> MTX = metotressato</w:delText>
              </w:r>
            </w:del>
          </w:p>
          <w:p w:rsidR="006224C2" w:rsidRPr="00295E71" w14:paraId="167E48E7" w14:textId="77777777">
            <w:pPr>
              <w:pStyle w:val="In-textfootnote"/>
              <w:keepNext w:val="0"/>
              <w:tabs>
                <w:tab w:val="left" w:pos="567"/>
              </w:tabs>
              <w:spacing w:before="0" w:line="240" w:lineRule="auto"/>
              <w:ind w:left="144" w:hanging="144"/>
              <w:rPr>
                <w:del w:id="8375" w:author="AbbVie14" w:date="2025-05-09T10:34:00Z"/>
                <w:rFonts w:ascii="Times New Roman" w:hAnsi="Times New Roman" w:cs="Times New Roman"/>
                <w:sz w:val="22"/>
                <w:szCs w:val="22"/>
                <w:lang w:val="it-IT"/>
              </w:rPr>
            </w:pPr>
            <w:del w:id="8376" w:author="AbbVie14" w:date="2025-05-09T10:34:00Z">
              <w:r w:rsidRPr="00295E71">
                <w:rPr>
                  <w:rFonts w:ascii="Times New Roman" w:hAnsi="Times New Roman" w:cs="Times New Roman"/>
                  <w:sz w:val="22"/>
                  <w:szCs w:val="22"/>
                  <w:lang w:val="it-IT"/>
                </w:rPr>
                <w:delText xml:space="preserve">**p&lt;0,01, Humira </w:delText>
              </w:r>
            </w:del>
            <w:del w:id="8377" w:author="AbbVie14" w:date="2025-05-09T10:34:00Z">
              <w:r w:rsidRPr="00295E71">
                <w:rPr>
                  <w:rFonts w:ascii="Times New Roman" w:hAnsi="Times New Roman" w:cs="Times New Roman"/>
                  <w:i/>
                  <w:sz w:val="22"/>
                  <w:szCs w:val="22"/>
                  <w:lang w:val="it-IT"/>
                </w:rPr>
                <w:delText>versus</w:delText>
              </w:r>
            </w:del>
            <w:del w:id="8378" w:author="AbbVie14" w:date="2025-05-09T10:34:00Z">
              <w:r w:rsidR="00A06B0A">
                <w:rPr>
                  <w:rFonts w:ascii="Times New Roman" w:hAnsi="Times New Roman" w:cs="Times New Roman"/>
                  <w:i/>
                  <w:sz w:val="22"/>
                  <w:szCs w:val="22"/>
                  <w:lang w:val="it-IT"/>
                </w:rPr>
                <w:delText xml:space="preserve"> </w:delText>
              </w:r>
            </w:del>
            <w:del w:id="8379" w:author="AbbVie14" w:date="2025-05-09T10:34:00Z">
              <w:r w:rsidRPr="00295E71">
                <w:rPr>
                  <w:rFonts w:ascii="Times New Roman" w:hAnsi="Times New Roman" w:cs="Times New Roman"/>
                  <w:sz w:val="22"/>
                  <w:szCs w:val="22"/>
                  <w:lang w:val="it-IT"/>
                </w:rPr>
                <w:delText>placebo</w:delText>
              </w:r>
            </w:del>
          </w:p>
        </w:tc>
      </w:tr>
    </w:tbl>
    <w:p w:rsidR="006224C2" w:rsidRPr="00295E71" w14:paraId="2069C94B" w14:textId="77777777">
      <w:pPr>
        <w:tabs>
          <w:tab w:val="left" w:pos="567"/>
        </w:tabs>
        <w:rPr>
          <w:del w:id="8380" w:author="AbbVie14" w:date="2025-05-09T10:34:00Z"/>
          <w:sz w:val="22"/>
          <w:szCs w:val="22"/>
        </w:rPr>
      </w:pPr>
    </w:p>
    <w:p w:rsidR="006224C2" w:rsidRPr="00295E71" w14:paraId="155C0310" w14:textId="77777777">
      <w:pPr>
        <w:tabs>
          <w:tab w:val="left" w:pos="567"/>
        </w:tabs>
        <w:jc w:val="both"/>
        <w:rPr>
          <w:del w:id="8381" w:author="AbbVie14" w:date="2025-05-09T10:34:00Z"/>
          <w:sz w:val="22"/>
          <w:szCs w:val="22"/>
        </w:rPr>
      </w:pPr>
      <w:del w:id="8382" w:author="AbbVie14" w:date="2025-05-09T10:34:00Z">
        <w:r w:rsidRPr="00295E71">
          <w:rPr>
            <w:sz w:val="22"/>
            <w:szCs w:val="22"/>
          </w:rPr>
          <w:delText>Negli studi AR I-IV, tutti i parametri valutati per la definizione della risposta ACR (numero di articolazioni dolenti e tumefatte, valutazione dell’attività di malattia da parte del medico e del paziente, valutazione del dolore da parte del paziente, indice di disabilità - HAQ e i valori di PCR (mg/dl)</w:delText>
        </w:r>
      </w:del>
      <w:del w:id="8383" w:author="AbbVie14" w:date="2025-05-09T10:34:00Z">
        <w:r w:rsidR="00A06B0A">
          <w:rPr>
            <w:sz w:val="22"/>
            <w:szCs w:val="22"/>
          </w:rPr>
          <w:delText>)</w:delText>
        </w:r>
      </w:del>
      <w:del w:id="8384" w:author="AbbVie14" w:date="2025-05-09T10:34:00Z">
        <w:r w:rsidRPr="00295E71">
          <w:rPr>
            <w:sz w:val="22"/>
            <w:szCs w:val="22"/>
          </w:rPr>
          <w:delText xml:space="preserve"> sonomigliorati a 24 o 26 settimane rispetto al placebo. Nello studio AR III, tali miglioramenti si sono mantenuti nell’arco di 52 settimane. </w:delText>
        </w:r>
      </w:del>
    </w:p>
    <w:p w:rsidR="006224C2" w:rsidRPr="00295E71" w14:paraId="05EE34DD" w14:textId="77777777">
      <w:pPr>
        <w:tabs>
          <w:tab w:val="left" w:pos="567"/>
        </w:tabs>
        <w:jc w:val="both"/>
        <w:rPr>
          <w:del w:id="8385" w:author="AbbVie14" w:date="2025-05-09T10:34:00Z"/>
          <w:sz w:val="22"/>
          <w:szCs w:val="22"/>
        </w:rPr>
      </w:pPr>
    </w:p>
    <w:p w:rsidR="006224C2" w:rsidRPr="00295E71" w14:paraId="1E6EB0AB" w14:textId="77777777">
      <w:pPr>
        <w:tabs>
          <w:tab w:val="left" w:pos="567"/>
        </w:tabs>
        <w:jc w:val="both"/>
        <w:rPr>
          <w:del w:id="8386" w:author="AbbVie14" w:date="2025-05-09T10:34:00Z"/>
          <w:sz w:val="22"/>
          <w:szCs w:val="22"/>
        </w:rPr>
      </w:pPr>
      <w:del w:id="8387" w:author="AbbVie14" w:date="2025-05-09T10:34:00Z">
        <w:r w:rsidRPr="00295E71">
          <w:rPr>
            <w:sz w:val="22"/>
            <w:szCs w:val="22"/>
          </w:rPr>
          <w:delText xml:space="preserve">Nella fase di estensione in aperto dello studio AR III, la maggior parte dei pazienti che hanno avuto una risposta ACR hanno mantenuto la risposta quando </w:delText>
        </w:r>
      </w:del>
      <w:del w:id="8388" w:author="AbbVie14" w:date="2025-05-09T10:34:00Z">
        <w:r w:rsidRPr="00020442" w:rsidR="00092BB8">
          <w:rPr>
            <w:sz w:val="22"/>
            <w:szCs w:val="22"/>
          </w:rPr>
          <w:delText>sono stati seguiti fino a</w:delText>
        </w:r>
      </w:del>
      <w:del w:id="8389" w:author="AbbVie14" w:date="2025-05-09T10:34:00Z">
        <w:r w:rsidR="00420BF3">
          <w:rPr>
            <w:sz w:val="22"/>
            <w:szCs w:val="22"/>
          </w:rPr>
          <w:delText xml:space="preserve"> </w:delText>
        </w:r>
      </w:del>
      <w:del w:id="8390" w:author="AbbVie14" w:date="2025-05-09T10:34:00Z">
        <w:r w:rsidRPr="00295E71">
          <w:rPr>
            <w:sz w:val="22"/>
            <w:szCs w:val="22"/>
          </w:rPr>
          <w:delText xml:space="preserve">10 anni. Su un totale di 207 pazienti che sono stati randomizzati a Humira 40 mg a settimane alterne, 114 hanno continuato il trattamento con Humira 40 mg a settimane alterne per 5 anni. Di questi, 86 pazienti (75,4%) hanno avuto risposte ACR 20; 72 pazienti (63,2%) hanno avuto risposte ACR 50; e 41 pazienti (36%) hanno avuto risposte ACR 70. </w:delText>
        </w:r>
      </w:del>
    </w:p>
    <w:p w:rsidR="006224C2" w:rsidRPr="00295E71" w14:paraId="177C544F" w14:textId="77777777">
      <w:pPr>
        <w:tabs>
          <w:tab w:val="left" w:pos="567"/>
        </w:tabs>
        <w:jc w:val="both"/>
        <w:rPr>
          <w:del w:id="8391" w:author="AbbVie14" w:date="2025-05-09T10:34:00Z"/>
          <w:sz w:val="22"/>
          <w:szCs w:val="22"/>
        </w:rPr>
      </w:pPr>
      <w:del w:id="8392" w:author="AbbVie14" w:date="2025-05-09T10:34:00Z">
        <w:r w:rsidRPr="00295E71">
          <w:rPr>
            <w:sz w:val="22"/>
            <w:szCs w:val="22"/>
          </w:rPr>
          <w:delText>Su un totale di 207 pazienti, 81 hanno continuato il trattamento con Humira 40 mg a settimane alterne per 10 anni. Di questi, 64 pazienti (79,0%) hanno avuto risposte ACR 20; 56 pazienti (69,1%) hanno avuto risposte ACR 50; e 43 pazienti (53,1%) hanno avuto risposte ACR 70.</w:delText>
        </w:r>
      </w:del>
    </w:p>
    <w:p w:rsidR="006224C2" w:rsidRPr="00295E71" w14:paraId="17BB196B" w14:textId="77777777">
      <w:pPr>
        <w:tabs>
          <w:tab w:val="left" w:pos="567"/>
        </w:tabs>
        <w:jc w:val="both"/>
        <w:rPr>
          <w:del w:id="8393" w:author="AbbVie14" w:date="2025-05-09T10:34:00Z"/>
          <w:sz w:val="22"/>
          <w:szCs w:val="22"/>
        </w:rPr>
      </w:pPr>
    </w:p>
    <w:p w:rsidR="006224C2" w:rsidRPr="00295E71" w14:paraId="7FCAD29E" w14:textId="77777777">
      <w:pPr>
        <w:tabs>
          <w:tab w:val="left" w:pos="567"/>
        </w:tabs>
        <w:jc w:val="both"/>
        <w:rPr>
          <w:del w:id="8394" w:author="AbbVie14" w:date="2025-05-09T10:34:00Z"/>
          <w:sz w:val="22"/>
          <w:szCs w:val="22"/>
        </w:rPr>
      </w:pPr>
      <w:del w:id="8395" w:author="AbbVie14" w:date="2025-05-09T10:34:00Z">
        <w:r w:rsidRPr="00295E71">
          <w:rPr>
            <w:sz w:val="22"/>
            <w:szCs w:val="22"/>
          </w:rPr>
          <w:delText xml:space="preserve">Nello studio AR IV, la risposta ACR 20 di pazienti trattati con Humira, in combinazione con la terapia convenzionale, è stata </w:delText>
        </w:r>
      </w:del>
      <w:del w:id="8396" w:author="AbbVie14" w:date="2025-05-09T10:34:00Z">
        <w:r w:rsidRPr="00020442" w:rsidR="00420BF3">
          <w:rPr>
            <w:sz w:val="22"/>
            <w:szCs w:val="22"/>
          </w:rPr>
          <w:delText xml:space="preserve">migliore in misura statisticamente </w:delText>
        </w:r>
      </w:del>
      <w:del w:id="8397" w:author="AbbVie14" w:date="2025-05-09T10:34:00Z">
        <w:r w:rsidRPr="00295E71">
          <w:rPr>
            <w:sz w:val="22"/>
            <w:szCs w:val="22"/>
          </w:rPr>
          <w:delText xml:space="preserve">significativa rispetto ai pazienti trattati con placebo associato a </w:delText>
        </w:r>
      </w:del>
      <w:del w:id="8398" w:author="AbbVie14" w:date="2025-05-09T10:34:00Z">
        <w:r w:rsidRPr="00020442" w:rsidR="00420BF3">
          <w:rPr>
            <w:sz w:val="22"/>
            <w:szCs w:val="22"/>
          </w:rPr>
          <w:delText>terapia convenzionale</w:delText>
        </w:r>
      </w:del>
      <w:del w:id="8399" w:author="AbbVie14" w:date="2025-05-09T10:34:00Z">
        <w:r w:rsidRPr="00295E71">
          <w:rPr>
            <w:sz w:val="22"/>
            <w:szCs w:val="22"/>
          </w:rPr>
          <w:delText>(p&lt;0,001).</w:delText>
        </w:r>
      </w:del>
    </w:p>
    <w:p w:rsidR="006224C2" w:rsidRPr="00295E71" w14:paraId="22FEF2CF" w14:textId="77777777">
      <w:pPr>
        <w:pStyle w:val="BodyText1"/>
        <w:tabs>
          <w:tab w:val="left" w:pos="567"/>
          <w:tab w:val="clear" w:pos="1152"/>
          <w:tab w:val="clear" w:pos="1872"/>
        </w:tabs>
        <w:spacing w:after="0" w:line="240" w:lineRule="auto"/>
        <w:ind w:left="0"/>
        <w:rPr>
          <w:del w:id="8400" w:author="AbbVie14" w:date="2025-05-09T10:34:00Z"/>
          <w:sz w:val="22"/>
          <w:szCs w:val="22"/>
          <w:lang w:val="it-IT"/>
        </w:rPr>
      </w:pPr>
    </w:p>
    <w:p w:rsidR="006224C2" w:rsidRPr="00295E71" w14:paraId="29B5A8F8" w14:textId="77777777">
      <w:pPr>
        <w:tabs>
          <w:tab w:val="left" w:pos="567"/>
        </w:tabs>
        <w:jc w:val="both"/>
        <w:rPr>
          <w:del w:id="8401" w:author="AbbVie14" w:date="2025-05-09T10:34:00Z"/>
          <w:sz w:val="22"/>
          <w:szCs w:val="22"/>
        </w:rPr>
      </w:pPr>
      <w:del w:id="8402" w:author="AbbVie14" w:date="2025-05-09T10:34:00Z">
        <w:r w:rsidRPr="00295E71">
          <w:rPr>
            <w:sz w:val="22"/>
            <w:szCs w:val="22"/>
          </w:rPr>
          <w:delText xml:space="preserve">Negli studi AR I-IV, i pazienti trattati con Humira hanno raggiunto risposte ACR 20 e 50 </w:delText>
        </w:r>
      </w:del>
      <w:del w:id="8403" w:author="AbbVie14" w:date="2025-05-09T10:34:00Z">
        <w:r w:rsidRPr="00020442" w:rsidR="00420BF3">
          <w:rPr>
            <w:sz w:val="22"/>
            <w:szCs w:val="22"/>
          </w:rPr>
          <w:delText xml:space="preserve">statisticamente significative </w:delText>
        </w:r>
      </w:del>
      <w:del w:id="8404" w:author="AbbVie14" w:date="2025-05-09T10:34:00Z">
        <w:r w:rsidRPr="00295E71">
          <w:rPr>
            <w:sz w:val="22"/>
            <w:szCs w:val="22"/>
          </w:rPr>
          <w:delText>rispetto al placebo già entro 1-2 settimane dall’inizio del trattamento.</w:delText>
        </w:r>
      </w:del>
    </w:p>
    <w:p w:rsidR="006224C2" w:rsidRPr="00295E71" w14:paraId="39200DA8" w14:textId="77777777">
      <w:pPr>
        <w:tabs>
          <w:tab w:val="left" w:pos="567"/>
        </w:tabs>
        <w:jc w:val="both"/>
        <w:rPr>
          <w:del w:id="8405" w:author="AbbVie14" w:date="2025-05-09T10:34:00Z"/>
          <w:sz w:val="22"/>
          <w:szCs w:val="22"/>
        </w:rPr>
      </w:pPr>
    </w:p>
    <w:p w:rsidR="006224C2" w:rsidRPr="00295E71" w14:paraId="1DB8BE86" w14:textId="77777777">
      <w:pPr>
        <w:tabs>
          <w:tab w:val="left" w:pos="567"/>
        </w:tabs>
        <w:jc w:val="both"/>
        <w:rPr>
          <w:del w:id="8406" w:author="AbbVie14" w:date="2025-05-09T10:34:00Z"/>
          <w:sz w:val="22"/>
          <w:szCs w:val="22"/>
        </w:rPr>
      </w:pPr>
      <w:del w:id="8407" w:author="AbbVie14" w:date="2025-05-09T10:34:00Z">
        <w:r w:rsidRPr="00295E71">
          <w:rPr>
            <w:sz w:val="22"/>
            <w:szCs w:val="22"/>
          </w:rPr>
          <w:delText xml:space="preserve">Nello studio AR V, nei pazienti affetti da artrite reumatoide precoce che non erano mai stati precedentemente trattati con metotressato, la terapia associata Humira/metotressato ha determinato risposte ACR più rapide e significativamente superiori rispetto alla monoterapia con metotressato ed alla monoterapia con Humira alla settimana 52 e tali risposte si sono mantenute nell’arco di 104 settimane (vedere Tabella </w:delText>
        </w:r>
      </w:del>
      <w:del w:id="8408" w:author="AbbVie14" w:date="2025-05-09T10:34:00Z">
        <w:r w:rsidR="005C4AD7">
          <w:rPr>
            <w:sz w:val="22"/>
            <w:szCs w:val="22"/>
          </w:rPr>
          <w:delText>9</w:delText>
        </w:r>
      </w:del>
      <w:del w:id="8409" w:author="AbbVie14" w:date="2025-05-09T10:34:00Z">
        <w:r w:rsidRPr="00295E71">
          <w:rPr>
            <w:sz w:val="22"/>
            <w:szCs w:val="22"/>
          </w:rPr>
          <w:delText>).</w:delText>
        </w:r>
      </w:del>
    </w:p>
    <w:p w:rsidR="006224C2" w:rsidRPr="00295E71" w14:paraId="5371E203" w14:textId="77777777">
      <w:pPr>
        <w:rPr>
          <w:del w:id="8410" w:author="AbbVie14" w:date="2025-05-09T10:34:00Z"/>
          <w:sz w:val="22"/>
          <w:szCs w:val="22"/>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
        <w:gridCol w:w="1718"/>
        <w:gridCol w:w="1320"/>
        <w:gridCol w:w="1320"/>
        <w:gridCol w:w="1576"/>
        <w:gridCol w:w="1100"/>
        <w:gridCol w:w="1173"/>
        <w:gridCol w:w="1210"/>
        <w:gridCol w:w="12"/>
      </w:tblGrid>
      <w:tr w14:paraId="6A28723E" w14:textId="77777777">
        <w:tblPrEx>
          <w:tblW w:w="9435" w:type="dxa"/>
          <w:tblLayout w:type="fixed"/>
          <w:tblLook w:val="0000"/>
        </w:tblPrEx>
        <w:trPr>
          <w:gridBefore w:val="1"/>
          <w:wBefore w:w="6" w:type="dxa"/>
          <w:cantSplit/>
          <w:del w:id="8411" w:author="AbbVie14" w:date="2025-05-09T10:34:00Z"/>
        </w:trPr>
        <w:tc>
          <w:tcPr>
            <w:tcW w:w="9429" w:type="dxa"/>
            <w:gridSpan w:val="8"/>
            <w:tcBorders>
              <w:top w:val="nil"/>
              <w:left w:val="nil"/>
              <w:bottom w:val="nil"/>
              <w:right w:val="nil"/>
            </w:tcBorders>
            <w:vAlign w:val="center"/>
          </w:tcPr>
          <w:p w:rsidR="006224C2" w:rsidRPr="00295E71" w14:paraId="52F863EE" w14:textId="77777777">
            <w:pPr>
              <w:pStyle w:val="BodyText"/>
              <w:keepNext/>
              <w:keepLines/>
              <w:tabs>
                <w:tab w:val="left" w:pos="3600"/>
                <w:tab w:val="center" w:pos="5760"/>
              </w:tabs>
              <w:jc w:val="center"/>
              <w:rPr>
                <w:del w:id="8412" w:author="AbbVie14" w:date="2025-05-09T10:34:00Z"/>
                <w:b/>
                <w:bCs/>
              </w:rPr>
            </w:pPr>
            <w:del w:id="8413" w:author="AbbVie14" w:date="2025-05-09T10:34:00Z">
              <w:r w:rsidRPr="00295E71">
                <w:rPr>
                  <w:b/>
                  <w:bCs/>
                </w:rPr>
                <w:delText xml:space="preserve">Tabella </w:delText>
              </w:r>
            </w:del>
            <w:del w:id="8414" w:author="AbbVie14" w:date="2025-05-09T10:34:00Z">
              <w:r w:rsidR="005C4AD7">
                <w:rPr>
                  <w:b/>
                  <w:bCs/>
                </w:rPr>
                <w:delText>9</w:delText>
              </w:r>
            </w:del>
          </w:p>
          <w:p w:rsidR="006224C2" w:rsidRPr="00295E71" w14:paraId="1E1E8F4F" w14:textId="77777777">
            <w:pPr>
              <w:pStyle w:val="BodyText"/>
              <w:keepNext/>
              <w:keepLines/>
              <w:tabs>
                <w:tab w:val="left" w:pos="3600"/>
                <w:tab w:val="center" w:pos="5760"/>
              </w:tabs>
              <w:jc w:val="center"/>
              <w:rPr>
                <w:del w:id="8415" w:author="AbbVie14" w:date="2025-05-09T10:34:00Z"/>
                <w:b/>
                <w:bCs/>
              </w:rPr>
            </w:pPr>
            <w:del w:id="8416" w:author="AbbVie14" w:date="2025-05-09T10:34:00Z">
              <w:r w:rsidRPr="00295E71">
                <w:rPr>
                  <w:b/>
                  <w:bCs/>
                </w:rPr>
                <w:delText>Risposte ACR nello studio AR V</w:delText>
              </w:r>
            </w:del>
          </w:p>
          <w:p w:rsidR="006224C2" w:rsidRPr="00295E71" w14:paraId="156C881E" w14:textId="77777777">
            <w:pPr>
              <w:pStyle w:val="BodyText"/>
              <w:keepNext/>
              <w:keepLines/>
              <w:tabs>
                <w:tab w:val="left" w:pos="3600"/>
                <w:tab w:val="center" w:pos="5760"/>
              </w:tabs>
              <w:jc w:val="center"/>
              <w:rPr>
                <w:del w:id="8417" w:author="AbbVie14" w:date="2025-05-09T10:34:00Z"/>
                <w:b/>
                <w:bCs/>
                <w:caps/>
              </w:rPr>
            </w:pPr>
            <w:del w:id="8418" w:author="AbbVie14" w:date="2025-05-09T10:34:00Z">
              <w:r w:rsidRPr="00295E71">
                <w:rPr>
                  <w:b/>
                  <w:bCs/>
                </w:rPr>
                <w:delText>(percentuale di pazienti</w:delText>
              </w:r>
            </w:del>
            <w:del w:id="8419" w:author="AbbVie14" w:date="2025-05-09T10:34:00Z">
              <w:r w:rsidRPr="00295E71">
                <w:rPr>
                  <w:b/>
                  <w:bCs/>
                  <w:caps/>
                </w:rPr>
                <w:delText>)</w:delText>
              </w:r>
            </w:del>
          </w:p>
          <w:p w:rsidR="006224C2" w:rsidRPr="00295E71" w14:paraId="7FAEA622" w14:textId="77777777">
            <w:pPr>
              <w:pStyle w:val="BodyText"/>
              <w:keepNext/>
              <w:keepLines/>
              <w:tabs>
                <w:tab w:val="left" w:pos="3600"/>
                <w:tab w:val="center" w:pos="5760"/>
              </w:tabs>
              <w:jc w:val="center"/>
              <w:rPr>
                <w:del w:id="8420" w:author="AbbVie14" w:date="2025-05-09T10:34:00Z"/>
                <w:i/>
                <w:iCs/>
              </w:rPr>
            </w:pPr>
          </w:p>
        </w:tc>
      </w:tr>
      <w:tr w14:paraId="56CEA030" w14:textId="77777777">
        <w:tblPrEx>
          <w:tblW w:w="9435" w:type="dxa"/>
          <w:tblLayout w:type="fixed"/>
          <w:tblLook w:val="0000"/>
        </w:tblPrEx>
        <w:trPr>
          <w:gridAfter w:val="1"/>
          <w:wAfter w:w="12" w:type="dxa"/>
          <w:cantSplit/>
          <w:del w:id="8421" w:author="AbbVie14" w:date="2025-05-09T10:34:00Z"/>
        </w:trPr>
        <w:tc>
          <w:tcPr>
            <w:tcW w:w="1724" w:type="dxa"/>
            <w:gridSpan w:val="2"/>
            <w:tcBorders>
              <w:top w:val="single" w:sz="4" w:space="0" w:color="auto"/>
              <w:left w:val="single" w:sz="4" w:space="0" w:color="auto"/>
              <w:bottom w:val="single" w:sz="4" w:space="0" w:color="auto"/>
              <w:right w:val="single" w:sz="4" w:space="0" w:color="auto"/>
            </w:tcBorders>
            <w:vAlign w:val="center"/>
          </w:tcPr>
          <w:p w:rsidR="006224C2" w:rsidRPr="00295E71" w14:paraId="2CB39329" w14:textId="77777777">
            <w:pPr>
              <w:pStyle w:val="Heading6"/>
              <w:keepNext w:val="0"/>
              <w:rPr>
                <w:del w:id="8422" w:author="AbbVie14" w:date="2025-05-09T10:34:00Z"/>
                <w:lang w:val="it-IT"/>
              </w:rPr>
            </w:pPr>
            <w:del w:id="8423" w:author="AbbVie14" w:date="2025-05-09T10:34:00Z">
              <w:r w:rsidRPr="00295E71">
                <w:rPr>
                  <w:lang w:val="it-IT"/>
                </w:rPr>
                <w:delText>Risposta</w:delText>
              </w:r>
            </w:del>
          </w:p>
        </w:tc>
        <w:tc>
          <w:tcPr>
            <w:tcW w:w="1320" w:type="dxa"/>
            <w:tcBorders>
              <w:top w:val="single" w:sz="4" w:space="0" w:color="auto"/>
              <w:left w:val="single" w:sz="4" w:space="0" w:color="auto"/>
              <w:bottom w:val="single" w:sz="4" w:space="0" w:color="auto"/>
              <w:right w:val="single" w:sz="4" w:space="0" w:color="auto"/>
            </w:tcBorders>
            <w:vAlign w:val="center"/>
          </w:tcPr>
          <w:p w:rsidR="006224C2" w:rsidRPr="00295E71" w14:paraId="00214F2F" w14:textId="77777777">
            <w:pPr>
              <w:jc w:val="center"/>
              <w:rPr>
                <w:del w:id="8424" w:author="AbbVie14" w:date="2025-05-09T10:34:00Z"/>
                <w:b/>
                <w:sz w:val="22"/>
                <w:szCs w:val="22"/>
              </w:rPr>
            </w:pPr>
            <w:del w:id="8425" w:author="AbbVie14" w:date="2025-05-09T10:34:00Z">
              <w:r w:rsidRPr="00295E71">
                <w:rPr>
                  <w:b/>
                  <w:sz w:val="22"/>
                  <w:szCs w:val="22"/>
                </w:rPr>
                <w:delText>MTX</w:delText>
              </w:r>
            </w:del>
          </w:p>
          <w:p w:rsidR="006224C2" w:rsidRPr="00295E71" w14:paraId="18E775E6" w14:textId="77777777">
            <w:pPr>
              <w:pStyle w:val="EndnoteText"/>
              <w:jc w:val="center"/>
              <w:rPr>
                <w:del w:id="8426" w:author="AbbVie14" w:date="2025-05-09T10:34:00Z"/>
                <w:b/>
                <w:lang w:val="it-IT"/>
              </w:rPr>
            </w:pPr>
            <w:del w:id="8427" w:author="AbbVie14" w:date="2025-05-09T10:34:00Z">
              <w:r w:rsidRPr="00295E71">
                <w:rPr>
                  <w:b/>
                  <w:lang w:val="it-IT"/>
                </w:rPr>
                <w:delText>n=257</w:delText>
              </w:r>
            </w:del>
          </w:p>
        </w:tc>
        <w:tc>
          <w:tcPr>
            <w:tcW w:w="1320" w:type="dxa"/>
            <w:tcBorders>
              <w:top w:val="single" w:sz="4" w:space="0" w:color="auto"/>
              <w:left w:val="single" w:sz="4" w:space="0" w:color="auto"/>
              <w:bottom w:val="single" w:sz="4" w:space="0" w:color="auto"/>
              <w:right w:val="single" w:sz="4" w:space="0" w:color="auto"/>
            </w:tcBorders>
            <w:vAlign w:val="center"/>
          </w:tcPr>
          <w:p w:rsidR="006224C2" w:rsidRPr="00295E71" w14:paraId="02A2B866" w14:textId="77777777">
            <w:pPr>
              <w:jc w:val="center"/>
              <w:rPr>
                <w:del w:id="8428" w:author="AbbVie14" w:date="2025-05-09T10:34:00Z"/>
                <w:b/>
                <w:sz w:val="22"/>
                <w:szCs w:val="22"/>
              </w:rPr>
            </w:pPr>
            <w:del w:id="8429" w:author="AbbVie14" w:date="2025-05-09T10:34:00Z">
              <w:r w:rsidRPr="00295E71">
                <w:rPr>
                  <w:b/>
                  <w:sz w:val="22"/>
                  <w:szCs w:val="22"/>
                </w:rPr>
                <w:delText>Humira</w:delText>
              </w:r>
            </w:del>
          </w:p>
          <w:p w:rsidR="006224C2" w:rsidRPr="00295E71" w14:paraId="3788D99C" w14:textId="77777777">
            <w:pPr>
              <w:jc w:val="center"/>
              <w:rPr>
                <w:del w:id="8430" w:author="AbbVie14" w:date="2025-05-09T10:34:00Z"/>
                <w:b/>
                <w:sz w:val="22"/>
                <w:szCs w:val="22"/>
              </w:rPr>
            </w:pPr>
            <w:del w:id="8431" w:author="AbbVie14" w:date="2025-05-09T10:34:00Z">
              <w:r w:rsidRPr="00295E71">
                <w:rPr>
                  <w:b/>
                  <w:sz w:val="22"/>
                  <w:szCs w:val="22"/>
                </w:rPr>
                <w:delText>n=274</w:delText>
              </w:r>
            </w:del>
          </w:p>
        </w:tc>
        <w:tc>
          <w:tcPr>
            <w:tcW w:w="1576" w:type="dxa"/>
            <w:tcBorders>
              <w:top w:val="single" w:sz="4" w:space="0" w:color="auto"/>
              <w:left w:val="single" w:sz="4" w:space="0" w:color="auto"/>
              <w:bottom w:val="single" w:sz="4" w:space="0" w:color="auto"/>
              <w:right w:val="single" w:sz="4" w:space="0" w:color="auto"/>
            </w:tcBorders>
            <w:vAlign w:val="center"/>
          </w:tcPr>
          <w:p w:rsidR="006224C2" w:rsidRPr="00295E71" w14:paraId="1810F652" w14:textId="77777777">
            <w:pPr>
              <w:keepNext/>
              <w:keepLines/>
              <w:jc w:val="center"/>
              <w:rPr>
                <w:del w:id="8432" w:author="AbbVie14" w:date="2025-05-09T10:34:00Z"/>
                <w:b/>
                <w:sz w:val="22"/>
                <w:szCs w:val="22"/>
              </w:rPr>
            </w:pPr>
            <w:del w:id="8433" w:author="AbbVie14" w:date="2025-05-09T10:34:00Z">
              <w:r w:rsidRPr="00295E71">
                <w:rPr>
                  <w:b/>
                  <w:sz w:val="22"/>
                  <w:szCs w:val="22"/>
                </w:rPr>
                <w:delText>Humira/MTX</w:delText>
              </w:r>
            </w:del>
          </w:p>
          <w:p w:rsidR="006224C2" w:rsidRPr="00295E71" w14:paraId="5DC670C5" w14:textId="77777777">
            <w:pPr>
              <w:keepNext/>
              <w:keepLines/>
              <w:jc w:val="center"/>
              <w:rPr>
                <w:del w:id="8434" w:author="AbbVie14" w:date="2025-05-09T10:34:00Z"/>
                <w:b/>
                <w:sz w:val="22"/>
                <w:szCs w:val="22"/>
              </w:rPr>
            </w:pPr>
            <w:del w:id="8435" w:author="AbbVie14" w:date="2025-05-09T10:34:00Z">
              <w:r w:rsidRPr="00295E71">
                <w:rPr>
                  <w:b/>
                  <w:sz w:val="22"/>
                  <w:szCs w:val="22"/>
                </w:rPr>
                <w:delText>n=268</w:delText>
              </w:r>
            </w:del>
          </w:p>
        </w:tc>
        <w:tc>
          <w:tcPr>
            <w:tcW w:w="1100" w:type="dxa"/>
            <w:tcBorders>
              <w:top w:val="single" w:sz="4" w:space="0" w:color="auto"/>
              <w:left w:val="single" w:sz="4" w:space="0" w:color="auto"/>
              <w:bottom w:val="single" w:sz="4" w:space="0" w:color="auto"/>
              <w:right w:val="single" w:sz="4" w:space="0" w:color="auto"/>
            </w:tcBorders>
            <w:vAlign w:val="center"/>
          </w:tcPr>
          <w:p w:rsidR="006224C2" w:rsidRPr="00295E71" w14:paraId="20E10C43" w14:textId="77777777">
            <w:pPr>
              <w:pStyle w:val="EndnoteText"/>
              <w:keepNext/>
              <w:keepLines/>
              <w:jc w:val="center"/>
              <w:rPr>
                <w:del w:id="8436" w:author="AbbVie14" w:date="2025-05-09T10:34:00Z"/>
                <w:b/>
                <w:lang w:val="it-IT"/>
              </w:rPr>
            </w:pPr>
            <w:del w:id="8437" w:author="AbbVie14" w:date="2025-05-09T10:34:00Z">
              <w:r w:rsidRPr="00295E71">
                <w:rPr>
                  <w:b/>
                  <w:lang w:val="it-IT"/>
                </w:rPr>
                <w:delText>Valore p</w:delText>
              </w:r>
            </w:del>
            <w:del w:id="8438" w:author="AbbVie14" w:date="2025-05-09T10:34:00Z">
              <w:r w:rsidRPr="00295E71">
                <w:rPr>
                  <w:b/>
                  <w:vertAlign w:val="superscript"/>
                  <w:lang w:val="it-IT"/>
                </w:rPr>
                <w:delText>a</w:delText>
              </w:r>
            </w:del>
          </w:p>
        </w:tc>
        <w:tc>
          <w:tcPr>
            <w:tcW w:w="1173" w:type="dxa"/>
            <w:tcBorders>
              <w:top w:val="single" w:sz="4" w:space="0" w:color="auto"/>
              <w:left w:val="single" w:sz="4" w:space="0" w:color="auto"/>
              <w:bottom w:val="single" w:sz="4" w:space="0" w:color="auto"/>
              <w:right w:val="single" w:sz="4" w:space="0" w:color="auto"/>
            </w:tcBorders>
            <w:vAlign w:val="center"/>
          </w:tcPr>
          <w:p w:rsidR="006224C2" w:rsidRPr="00295E71" w14:paraId="74A01FE2" w14:textId="77777777">
            <w:pPr>
              <w:jc w:val="center"/>
              <w:rPr>
                <w:del w:id="8439" w:author="AbbVie14" w:date="2025-05-09T10:34:00Z"/>
                <w:b/>
                <w:sz w:val="22"/>
                <w:szCs w:val="22"/>
              </w:rPr>
            </w:pPr>
            <w:del w:id="8440" w:author="AbbVie14" w:date="2025-05-09T10:34:00Z">
              <w:r w:rsidRPr="00295E71">
                <w:rPr>
                  <w:b/>
                  <w:sz w:val="22"/>
                  <w:szCs w:val="22"/>
                </w:rPr>
                <w:delText>Valore p</w:delText>
              </w:r>
            </w:del>
            <w:del w:id="8441" w:author="AbbVie14" w:date="2025-05-09T10:34:00Z">
              <w:r w:rsidRPr="00295E71">
                <w:rPr>
                  <w:b/>
                  <w:sz w:val="22"/>
                  <w:szCs w:val="22"/>
                  <w:vertAlign w:val="superscript"/>
                </w:rPr>
                <w:delText>b</w:delText>
              </w:r>
            </w:del>
          </w:p>
        </w:tc>
        <w:tc>
          <w:tcPr>
            <w:tcW w:w="1210" w:type="dxa"/>
            <w:tcBorders>
              <w:top w:val="single" w:sz="4" w:space="0" w:color="auto"/>
              <w:left w:val="single" w:sz="4" w:space="0" w:color="auto"/>
              <w:bottom w:val="single" w:sz="4" w:space="0" w:color="auto"/>
              <w:right w:val="single" w:sz="4" w:space="0" w:color="auto"/>
            </w:tcBorders>
            <w:vAlign w:val="center"/>
          </w:tcPr>
          <w:p w:rsidR="006224C2" w:rsidRPr="00295E71" w14:paraId="3DF40E1F" w14:textId="77777777">
            <w:pPr>
              <w:jc w:val="center"/>
              <w:rPr>
                <w:del w:id="8442" w:author="AbbVie14" w:date="2025-05-09T10:34:00Z"/>
                <w:sz w:val="22"/>
                <w:szCs w:val="22"/>
              </w:rPr>
            </w:pPr>
            <w:del w:id="8443" w:author="AbbVie14" w:date="2025-05-09T10:34:00Z">
              <w:r w:rsidRPr="00295E71">
                <w:rPr>
                  <w:b/>
                  <w:sz w:val="22"/>
                  <w:szCs w:val="22"/>
                </w:rPr>
                <w:delText>Valore p</w:delText>
              </w:r>
            </w:del>
            <w:del w:id="8444" w:author="AbbVie14" w:date="2025-05-09T10:34:00Z">
              <w:r w:rsidRPr="00295E71">
                <w:rPr>
                  <w:b/>
                  <w:sz w:val="22"/>
                  <w:szCs w:val="22"/>
                  <w:vertAlign w:val="superscript"/>
                </w:rPr>
                <w:delText>c</w:delText>
              </w:r>
            </w:del>
          </w:p>
        </w:tc>
      </w:tr>
      <w:tr w14:paraId="5A07821A" w14:textId="77777777">
        <w:tblPrEx>
          <w:tblW w:w="9435" w:type="dxa"/>
          <w:tblLayout w:type="fixed"/>
          <w:tblLook w:val="0000"/>
        </w:tblPrEx>
        <w:trPr>
          <w:gridAfter w:val="1"/>
          <w:wAfter w:w="12" w:type="dxa"/>
          <w:cantSplit/>
          <w:del w:id="8445" w:author="AbbVie14" w:date="2025-05-09T10:34:00Z"/>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14:paraId="4FE444FA" w14:textId="77777777">
            <w:pPr>
              <w:rPr>
                <w:del w:id="8446" w:author="AbbVie14" w:date="2025-05-09T10:34:00Z"/>
                <w:sz w:val="22"/>
                <w:szCs w:val="22"/>
              </w:rPr>
            </w:pPr>
            <w:del w:id="8447" w:author="AbbVie14" w:date="2025-05-09T10:34:00Z">
              <w:r w:rsidRPr="00295E71">
                <w:rPr>
                  <w:sz w:val="22"/>
                  <w:szCs w:val="22"/>
                </w:rPr>
                <w:delText>ACR 20</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0337081C" w14:textId="77777777">
            <w:pPr>
              <w:jc w:val="center"/>
              <w:rPr>
                <w:del w:id="8448" w:author="AbbVie14" w:date="2025-05-09T10:34:00Z"/>
                <w:sz w:val="22"/>
                <w:szCs w:val="22"/>
              </w:rPr>
            </w:pPr>
          </w:p>
        </w:tc>
        <w:tc>
          <w:tcPr>
            <w:tcW w:w="1320" w:type="dxa"/>
            <w:tcBorders>
              <w:top w:val="single" w:sz="4" w:space="0" w:color="auto"/>
              <w:left w:val="single" w:sz="4" w:space="0" w:color="auto"/>
              <w:bottom w:val="single" w:sz="4" w:space="0" w:color="auto"/>
              <w:right w:val="single" w:sz="4" w:space="0" w:color="auto"/>
            </w:tcBorders>
          </w:tcPr>
          <w:p w:rsidR="006224C2" w:rsidRPr="00295E71" w14:paraId="713ED31D" w14:textId="77777777">
            <w:pPr>
              <w:jc w:val="center"/>
              <w:rPr>
                <w:del w:id="8449" w:author="AbbVie14" w:date="2025-05-09T10:34:00Z"/>
                <w:sz w:val="22"/>
                <w:szCs w:val="22"/>
              </w:rPr>
            </w:pPr>
          </w:p>
        </w:tc>
        <w:tc>
          <w:tcPr>
            <w:tcW w:w="1576" w:type="dxa"/>
            <w:tcBorders>
              <w:top w:val="single" w:sz="4" w:space="0" w:color="auto"/>
              <w:left w:val="single" w:sz="4" w:space="0" w:color="auto"/>
              <w:bottom w:val="single" w:sz="4" w:space="0" w:color="auto"/>
              <w:right w:val="single" w:sz="4" w:space="0" w:color="auto"/>
            </w:tcBorders>
          </w:tcPr>
          <w:p w:rsidR="006224C2" w:rsidRPr="00295E71" w14:paraId="1236018B" w14:textId="77777777">
            <w:pPr>
              <w:jc w:val="center"/>
              <w:rPr>
                <w:del w:id="8450" w:author="AbbVie14" w:date="2025-05-09T10:34:00Z"/>
                <w:sz w:val="22"/>
                <w:szCs w:val="22"/>
              </w:rPr>
            </w:pPr>
          </w:p>
        </w:tc>
        <w:tc>
          <w:tcPr>
            <w:tcW w:w="1100" w:type="dxa"/>
            <w:tcBorders>
              <w:top w:val="single" w:sz="4" w:space="0" w:color="auto"/>
              <w:left w:val="single" w:sz="4" w:space="0" w:color="auto"/>
              <w:bottom w:val="single" w:sz="4" w:space="0" w:color="auto"/>
              <w:right w:val="single" w:sz="4" w:space="0" w:color="auto"/>
            </w:tcBorders>
          </w:tcPr>
          <w:p w:rsidR="006224C2" w:rsidRPr="00295E71" w14:paraId="3CE5DB3B" w14:textId="77777777">
            <w:pPr>
              <w:jc w:val="center"/>
              <w:rPr>
                <w:del w:id="8451" w:author="AbbVie14" w:date="2025-05-09T10:34:00Z"/>
                <w:sz w:val="22"/>
                <w:szCs w:val="22"/>
              </w:rPr>
            </w:pPr>
          </w:p>
        </w:tc>
        <w:tc>
          <w:tcPr>
            <w:tcW w:w="1173" w:type="dxa"/>
            <w:tcBorders>
              <w:top w:val="single" w:sz="4" w:space="0" w:color="auto"/>
              <w:left w:val="single" w:sz="4" w:space="0" w:color="auto"/>
              <w:bottom w:val="single" w:sz="4" w:space="0" w:color="auto"/>
              <w:right w:val="single" w:sz="4" w:space="0" w:color="auto"/>
            </w:tcBorders>
          </w:tcPr>
          <w:p w:rsidR="006224C2" w:rsidRPr="00295E71" w14:paraId="591846F1" w14:textId="77777777">
            <w:pPr>
              <w:jc w:val="center"/>
              <w:rPr>
                <w:del w:id="8452" w:author="AbbVie14" w:date="2025-05-09T10:34:00Z"/>
                <w:sz w:val="22"/>
                <w:szCs w:val="22"/>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13666398" w14:textId="77777777">
            <w:pPr>
              <w:jc w:val="center"/>
              <w:rPr>
                <w:del w:id="8453" w:author="AbbVie14" w:date="2025-05-09T10:34:00Z"/>
                <w:sz w:val="22"/>
                <w:szCs w:val="22"/>
              </w:rPr>
            </w:pPr>
          </w:p>
        </w:tc>
      </w:tr>
      <w:tr w14:paraId="41020B18" w14:textId="77777777">
        <w:tblPrEx>
          <w:tblW w:w="9435" w:type="dxa"/>
          <w:tblLayout w:type="fixed"/>
          <w:tblLook w:val="0000"/>
        </w:tblPrEx>
        <w:trPr>
          <w:gridAfter w:val="1"/>
          <w:wAfter w:w="12" w:type="dxa"/>
          <w:cantSplit/>
          <w:del w:id="8454" w:author="AbbVie14" w:date="2025-05-09T10:34:00Z"/>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14:paraId="6D170F03" w14:textId="77777777">
            <w:pPr>
              <w:rPr>
                <w:del w:id="8455" w:author="AbbVie14" w:date="2025-05-09T10:34:00Z"/>
                <w:sz w:val="22"/>
                <w:szCs w:val="22"/>
              </w:rPr>
            </w:pPr>
            <w:del w:id="8456" w:author="AbbVie14" w:date="2025-05-09T10:34:00Z">
              <w:r w:rsidRPr="00295E71">
                <w:rPr>
                  <w:sz w:val="22"/>
                  <w:szCs w:val="22"/>
                </w:rPr>
                <w:delText>Settimana 52</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28A7D1B0" w14:textId="77777777">
            <w:pPr>
              <w:jc w:val="center"/>
              <w:rPr>
                <w:del w:id="8457" w:author="AbbVie14" w:date="2025-05-09T10:34:00Z"/>
                <w:sz w:val="22"/>
                <w:szCs w:val="22"/>
              </w:rPr>
            </w:pPr>
            <w:del w:id="8458" w:author="AbbVie14" w:date="2025-05-09T10:34:00Z">
              <w:r w:rsidRPr="00295E71">
                <w:rPr>
                  <w:sz w:val="22"/>
                  <w:szCs w:val="22"/>
                </w:rPr>
                <w:delText>62,6%</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4924207B" w14:textId="77777777">
            <w:pPr>
              <w:jc w:val="center"/>
              <w:rPr>
                <w:del w:id="8459" w:author="AbbVie14" w:date="2025-05-09T10:34:00Z"/>
                <w:sz w:val="22"/>
                <w:szCs w:val="22"/>
              </w:rPr>
            </w:pPr>
            <w:del w:id="8460" w:author="AbbVie14" w:date="2025-05-09T10:34:00Z">
              <w:r w:rsidRPr="00295E71">
                <w:rPr>
                  <w:sz w:val="22"/>
                  <w:szCs w:val="22"/>
                </w:rPr>
                <w:delText>54,4%</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09FEFCD5" w14:textId="77777777">
            <w:pPr>
              <w:jc w:val="center"/>
              <w:rPr>
                <w:del w:id="8461" w:author="AbbVie14" w:date="2025-05-09T10:34:00Z"/>
                <w:sz w:val="22"/>
                <w:szCs w:val="22"/>
              </w:rPr>
            </w:pPr>
            <w:del w:id="8462" w:author="AbbVie14" w:date="2025-05-09T10:34:00Z">
              <w:r w:rsidRPr="00295E71">
                <w:rPr>
                  <w:sz w:val="22"/>
                  <w:szCs w:val="22"/>
                </w:rPr>
                <w:delText>72,8%</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16362B4F" w14:textId="77777777">
            <w:pPr>
              <w:jc w:val="center"/>
              <w:rPr>
                <w:del w:id="8463" w:author="AbbVie14" w:date="2025-05-09T10:34:00Z"/>
                <w:sz w:val="22"/>
                <w:szCs w:val="22"/>
              </w:rPr>
            </w:pPr>
            <w:del w:id="8464" w:author="AbbVie14" w:date="2025-05-09T10:34:00Z">
              <w:r w:rsidRPr="00295E71">
                <w:rPr>
                  <w:sz w:val="22"/>
                  <w:szCs w:val="22"/>
                </w:rPr>
                <w:delText>0,013</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37282475" w14:textId="77777777">
            <w:pPr>
              <w:jc w:val="center"/>
              <w:rPr>
                <w:del w:id="8465" w:author="AbbVie14" w:date="2025-05-09T10:34:00Z"/>
                <w:sz w:val="22"/>
                <w:szCs w:val="22"/>
              </w:rPr>
            </w:pPr>
            <w:del w:id="8466" w:author="AbbVie14" w:date="2025-05-09T10:34: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1A0B5D2B" w14:textId="77777777">
            <w:pPr>
              <w:jc w:val="center"/>
              <w:rPr>
                <w:del w:id="8467" w:author="AbbVie14" w:date="2025-05-09T10:34:00Z"/>
                <w:sz w:val="22"/>
                <w:szCs w:val="22"/>
              </w:rPr>
            </w:pPr>
            <w:del w:id="8468" w:author="AbbVie14" w:date="2025-05-09T10:34:00Z">
              <w:r w:rsidRPr="00295E71">
                <w:rPr>
                  <w:sz w:val="22"/>
                  <w:szCs w:val="22"/>
                </w:rPr>
                <w:delText>0,043</w:delText>
              </w:r>
            </w:del>
          </w:p>
        </w:tc>
      </w:tr>
      <w:tr w14:paraId="1346FDE9" w14:textId="77777777">
        <w:tblPrEx>
          <w:tblW w:w="9435" w:type="dxa"/>
          <w:tblLayout w:type="fixed"/>
          <w:tblLook w:val="0000"/>
        </w:tblPrEx>
        <w:trPr>
          <w:gridAfter w:val="1"/>
          <w:wAfter w:w="12" w:type="dxa"/>
          <w:cantSplit/>
          <w:del w:id="8469" w:author="AbbVie14" w:date="2025-05-09T10:34:00Z"/>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14:paraId="067074B5" w14:textId="77777777">
            <w:pPr>
              <w:rPr>
                <w:del w:id="8470" w:author="AbbVie14" w:date="2025-05-09T10:34:00Z"/>
                <w:sz w:val="22"/>
                <w:szCs w:val="22"/>
              </w:rPr>
            </w:pPr>
            <w:del w:id="8471" w:author="AbbVie14" w:date="2025-05-09T10:34:00Z">
              <w:r w:rsidRPr="00295E71">
                <w:rPr>
                  <w:sz w:val="22"/>
                  <w:szCs w:val="22"/>
                </w:rPr>
                <w:delText>Settimana 104</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233A0731" w14:textId="77777777">
            <w:pPr>
              <w:jc w:val="center"/>
              <w:rPr>
                <w:del w:id="8472" w:author="AbbVie14" w:date="2025-05-09T10:34:00Z"/>
                <w:sz w:val="22"/>
                <w:szCs w:val="22"/>
              </w:rPr>
            </w:pPr>
            <w:del w:id="8473" w:author="AbbVie14" w:date="2025-05-09T10:34:00Z">
              <w:r w:rsidRPr="00295E71">
                <w:rPr>
                  <w:sz w:val="22"/>
                  <w:szCs w:val="22"/>
                </w:rPr>
                <w:delText>56,0%</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0432A890" w14:textId="77777777">
            <w:pPr>
              <w:jc w:val="center"/>
              <w:rPr>
                <w:del w:id="8474" w:author="AbbVie14" w:date="2025-05-09T10:34:00Z"/>
                <w:sz w:val="22"/>
                <w:szCs w:val="22"/>
              </w:rPr>
            </w:pPr>
            <w:del w:id="8475" w:author="AbbVie14" w:date="2025-05-09T10:34:00Z">
              <w:r w:rsidRPr="00295E71">
                <w:rPr>
                  <w:sz w:val="22"/>
                  <w:szCs w:val="22"/>
                </w:rPr>
                <w:delText>49,3%</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267953E9" w14:textId="77777777">
            <w:pPr>
              <w:jc w:val="center"/>
              <w:rPr>
                <w:del w:id="8476" w:author="AbbVie14" w:date="2025-05-09T10:34:00Z"/>
                <w:sz w:val="22"/>
                <w:szCs w:val="22"/>
              </w:rPr>
            </w:pPr>
            <w:del w:id="8477" w:author="AbbVie14" w:date="2025-05-09T10:34:00Z">
              <w:r w:rsidRPr="00295E71">
                <w:rPr>
                  <w:sz w:val="22"/>
                  <w:szCs w:val="22"/>
                </w:rPr>
                <w:delText>69,4%</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1794E2F2" w14:textId="77777777">
            <w:pPr>
              <w:jc w:val="center"/>
              <w:rPr>
                <w:del w:id="8478" w:author="AbbVie14" w:date="2025-05-09T10:34:00Z"/>
                <w:sz w:val="22"/>
                <w:szCs w:val="22"/>
              </w:rPr>
            </w:pPr>
            <w:del w:id="8479" w:author="AbbVie14" w:date="2025-05-09T10:34:00Z">
              <w:r w:rsidRPr="00295E71">
                <w:rPr>
                  <w:sz w:val="22"/>
                  <w:szCs w:val="22"/>
                </w:rPr>
                <w:delText>0,002</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45D31476" w14:textId="77777777">
            <w:pPr>
              <w:jc w:val="center"/>
              <w:rPr>
                <w:del w:id="8480" w:author="AbbVie14" w:date="2025-05-09T10:34:00Z"/>
                <w:sz w:val="22"/>
                <w:szCs w:val="22"/>
              </w:rPr>
            </w:pPr>
            <w:del w:id="8481" w:author="AbbVie14" w:date="2025-05-09T10:34: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4DC4D5B2" w14:textId="77777777">
            <w:pPr>
              <w:jc w:val="center"/>
              <w:rPr>
                <w:del w:id="8482" w:author="AbbVie14" w:date="2025-05-09T10:34:00Z"/>
                <w:sz w:val="22"/>
                <w:szCs w:val="22"/>
              </w:rPr>
            </w:pPr>
            <w:del w:id="8483" w:author="AbbVie14" w:date="2025-05-09T10:34:00Z">
              <w:r w:rsidRPr="00295E71">
                <w:rPr>
                  <w:sz w:val="22"/>
                  <w:szCs w:val="22"/>
                </w:rPr>
                <w:delText>0,140</w:delText>
              </w:r>
            </w:del>
          </w:p>
        </w:tc>
      </w:tr>
      <w:tr w14:paraId="5E99E3F0" w14:textId="77777777">
        <w:tblPrEx>
          <w:tblW w:w="9435" w:type="dxa"/>
          <w:tblLayout w:type="fixed"/>
          <w:tblLook w:val="0000"/>
        </w:tblPrEx>
        <w:trPr>
          <w:gridAfter w:val="1"/>
          <w:wAfter w:w="12" w:type="dxa"/>
          <w:cantSplit/>
          <w:del w:id="8484" w:author="AbbVie14" w:date="2025-05-09T10:34:00Z"/>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14:paraId="25878ADE" w14:textId="77777777">
            <w:pPr>
              <w:rPr>
                <w:del w:id="8485" w:author="AbbVie14" w:date="2025-05-09T10:34:00Z"/>
                <w:sz w:val="22"/>
                <w:szCs w:val="22"/>
              </w:rPr>
            </w:pPr>
            <w:del w:id="8486" w:author="AbbVie14" w:date="2025-05-09T10:34:00Z">
              <w:r w:rsidRPr="00295E71">
                <w:rPr>
                  <w:sz w:val="22"/>
                  <w:szCs w:val="22"/>
                </w:rPr>
                <w:delText>ACR 50</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5BE73B77" w14:textId="77777777">
            <w:pPr>
              <w:jc w:val="center"/>
              <w:rPr>
                <w:del w:id="8487" w:author="AbbVie14" w:date="2025-05-09T10:34:00Z"/>
                <w:sz w:val="22"/>
                <w:szCs w:val="22"/>
              </w:rPr>
            </w:pPr>
          </w:p>
        </w:tc>
        <w:tc>
          <w:tcPr>
            <w:tcW w:w="1320" w:type="dxa"/>
            <w:tcBorders>
              <w:top w:val="single" w:sz="4" w:space="0" w:color="auto"/>
              <w:left w:val="single" w:sz="4" w:space="0" w:color="auto"/>
              <w:bottom w:val="single" w:sz="4" w:space="0" w:color="auto"/>
              <w:right w:val="single" w:sz="4" w:space="0" w:color="auto"/>
            </w:tcBorders>
          </w:tcPr>
          <w:p w:rsidR="006224C2" w:rsidRPr="00295E71" w14:paraId="50E135BF" w14:textId="77777777">
            <w:pPr>
              <w:jc w:val="center"/>
              <w:rPr>
                <w:del w:id="8488" w:author="AbbVie14" w:date="2025-05-09T10:34:00Z"/>
                <w:sz w:val="22"/>
                <w:szCs w:val="22"/>
              </w:rPr>
            </w:pPr>
          </w:p>
        </w:tc>
        <w:tc>
          <w:tcPr>
            <w:tcW w:w="1576" w:type="dxa"/>
            <w:tcBorders>
              <w:top w:val="single" w:sz="4" w:space="0" w:color="auto"/>
              <w:left w:val="single" w:sz="4" w:space="0" w:color="auto"/>
              <w:bottom w:val="single" w:sz="4" w:space="0" w:color="auto"/>
              <w:right w:val="single" w:sz="4" w:space="0" w:color="auto"/>
            </w:tcBorders>
          </w:tcPr>
          <w:p w:rsidR="006224C2" w:rsidRPr="00295E71" w14:paraId="6AD7C157" w14:textId="77777777">
            <w:pPr>
              <w:jc w:val="center"/>
              <w:rPr>
                <w:del w:id="8489" w:author="AbbVie14" w:date="2025-05-09T10:34:00Z"/>
                <w:sz w:val="22"/>
                <w:szCs w:val="22"/>
              </w:rPr>
            </w:pPr>
          </w:p>
        </w:tc>
        <w:tc>
          <w:tcPr>
            <w:tcW w:w="1100" w:type="dxa"/>
            <w:tcBorders>
              <w:top w:val="single" w:sz="4" w:space="0" w:color="auto"/>
              <w:left w:val="single" w:sz="4" w:space="0" w:color="auto"/>
              <w:bottom w:val="single" w:sz="4" w:space="0" w:color="auto"/>
              <w:right w:val="single" w:sz="4" w:space="0" w:color="auto"/>
            </w:tcBorders>
          </w:tcPr>
          <w:p w:rsidR="006224C2" w:rsidRPr="00295E71" w14:paraId="72212874" w14:textId="77777777">
            <w:pPr>
              <w:jc w:val="center"/>
              <w:rPr>
                <w:del w:id="8490" w:author="AbbVie14" w:date="2025-05-09T10:34:00Z"/>
                <w:sz w:val="22"/>
                <w:szCs w:val="22"/>
              </w:rPr>
            </w:pPr>
          </w:p>
        </w:tc>
        <w:tc>
          <w:tcPr>
            <w:tcW w:w="1173" w:type="dxa"/>
            <w:tcBorders>
              <w:top w:val="single" w:sz="4" w:space="0" w:color="auto"/>
              <w:left w:val="single" w:sz="4" w:space="0" w:color="auto"/>
              <w:bottom w:val="single" w:sz="4" w:space="0" w:color="auto"/>
              <w:right w:val="single" w:sz="4" w:space="0" w:color="auto"/>
            </w:tcBorders>
          </w:tcPr>
          <w:p w:rsidR="006224C2" w:rsidRPr="00295E71" w14:paraId="7D19E219" w14:textId="77777777">
            <w:pPr>
              <w:jc w:val="center"/>
              <w:rPr>
                <w:del w:id="8491" w:author="AbbVie14" w:date="2025-05-09T10:34:00Z"/>
                <w:sz w:val="22"/>
                <w:szCs w:val="22"/>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6503D1F0" w14:textId="77777777">
            <w:pPr>
              <w:jc w:val="center"/>
              <w:rPr>
                <w:del w:id="8492" w:author="AbbVie14" w:date="2025-05-09T10:34:00Z"/>
                <w:sz w:val="22"/>
                <w:szCs w:val="22"/>
              </w:rPr>
            </w:pPr>
          </w:p>
        </w:tc>
      </w:tr>
      <w:tr w14:paraId="43601344" w14:textId="77777777">
        <w:tblPrEx>
          <w:tblW w:w="9435" w:type="dxa"/>
          <w:tblLayout w:type="fixed"/>
          <w:tblLook w:val="0000"/>
        </w:tblPrEx>
        <w:trPr>
          <w:gridAfter w:val="1"/>
          <w:wAfter w:w="12" w:type="dxa"/>
          <w:cantSplit/>
          <w:del w:id="8493" w:author="AbbVie14" w:date="2025-05-09T10:34:00Z"/>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14:paraId="50CA62C6" w14:textId="77777777">
            <w:pPr>
              <w:rPr>
                <w:del w:id="8494" w:author="AbbVie14" w:date="2025-05-09T10:34:00Z"/>
                <w:sz w:val="22"/>
                <w:szCs w:val="22"/>
              </w:rPr>
            </w:pPr>
            <w:del w:id="8495" w:author="AbbVie14" w:date="2025-05-09T10:34:00Z">
              <w:r w:rsidRPr="00295E71">
                <w:rPr>
                  <w:sz w:val="22"/>
                  <w:szCs w:val="22"/>
                </w:rPr>
                <w:delText>Settimana 52</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7F3C380B" w14:textId="77777777">
            <w:pPr>
              <w:jc w:val="center"/>
              <w:rPr>
                <w:del w:id="8496" w:author="AbbVie14" w:date="2025-05-09T10:34:00Z"/>
                <w:sz w:val="22"/>
                <w:szCs w:val="22"/>
              </w:rPr>
            </w:pPr>
            <w:del w:id="8497" w:author="AbbVie14" w:date="2025-05-09T10:34:00Z">
              <w:r w:rsidRPr="00295E71">
                <w:rPr>
                  <w:sz w:val="22"/>
                  <w:szCs w:val="22"/>
                </w:rPr>
                <w:delText>45,9%</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443EF056" w14:textId="77777777">
            <w:pPr>
              <w:jc w:val="center"/>
              <w:rPr>
                <w:del w:id="8498" w:author="AbbVie14" w:date="2025-05-09T10:34:00Z"/>
                <w:sz w:val="22"/>
                <w:szCs w:val="22"/>
              </w:rPr>
            </w:pPr>
            <w:del w:id="8499" w:author="AbbVie14" w:date="2025-05-09T10:34:00Z">
              <w:r w:rsidRPr="00295E71">
                <w:rPr>
                  <w:sz w:val="22"/>
                  <w:szCs w:val="22"/>
                </w:rPr>
                <w:delText>41,2%</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3D96F446" w14:textId="77777777">
            <w:pPr>
              <w:jc w:val="center"/>
              <w:rPr>
                <w:del w:id="8500" w:author="AbbVie14" w:date="2025-05-09T10:34:00Z"/>
                <w:sz w:val="22"/>
                <w:szCs w:val="22"/>
              </w:rPr>
            </w:pPr>
            <w:del w:id="8501" w:author="AbbVie14" w:date="2025-05-09T10:34:00Z">
              <w:r w:rsidRPr="00295E71">
                <w:rPr>
                  <w:sz w:val="22"/>
                  <w:szCs w:val="22"/>
                </w:rPr>
                <w:delText>61,6%</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632603E2" w14:textId="77777777">
            <w:pPr>
              <w:jc w:val="center"/>
              <w:rPr>
                <w:del w:id="8502" w:author="AbbVie14" w:date="2025-05-09T10:34:00Z"/>
                <w:sz w:val="22"/>
                <w:szCs w:val="22"/>
              </w:rPr>
            </w:pPr>
            <w:del w:id="8503" w:author="AbbVie14" w:date="2025-05-09T10:34:00Z">
              <w:r w:rsidRPr="00295E71">
                <w:rPr>
                  <w:sz w:val="22"/>
                  <w:szCs w:val="22"/>
                </w:rPr>
                <w:delText>&lt;0,001</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446FE8DE" w14:textId="77777777">
            <w:pPr>
              <w:jc w:val="center"/>
              <w:rPr>
                <w:del w:id="8504" w:author="AbbVie14" w:date="2025-05-09T10:34:00Z"/>
                <w:sz w:val="22"/>
                <w:szCs w:val="22"/>
              </w:rPr>
            </w:pPr>
            <w:del w:id="8505" w:author="AbbVie14" w:date="2025-05-09T10:34: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1445587B" w14:textId="77777777">
            <w:pPr>
              <w:jc w:val="center"/>
              <w:rPr>
                <w:del w:id="8506" w:author="AbbVie14" w:date="2025-05-09T10:34:00Z"/>
                <w:sz w:val="22"/>
                <w:szCs w:val="22"/>
              </w:rPr>
            </w:pPr>
            <w:del w:id="8507" w:author="AbbVie14" w:date="2025-05-09T10:34:00Z">
              <w:r w:rsidRPr="00295E71">
                <w:rPr>
                  <w:sz w:val="22"/>
                  <w:szCs w:val="22"/>
                </w:rPr>
                <w:delText>0,317</w:delText>
              </w:r>
            </w:del>
          </w:p>
        </w:tc>
      </w:tr>
      <w:tr w14:paraId="316F1AAE" w14:textId="77777777">
        <w:tblPrEx>
          <w:tblW w:w="9435" w:type="dxa"/>
          <w:tblLayout w:type="fixed"/>
          <w:tblLook w:val="0000"/>
        </w:tblPrEx>
        <w:trPr>
          <w:gridAfter w:val="1"/>
          <w:wAfter w:w="12" w:type="dxa"/>
          <w:cantSplit/>
          <w:del w:id="8508" w:author="AbbVie14" w:date="2025-05-09T10:34:00Z"/>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14:paraId="57CFF477" w14:textId="77777777">
            <w:pPr>
              <w:rPr>
                <w:del w:id="8509" w:author="AbbVie14" w:date="2025-05-09T10:34:00Z"/>
                <w:sz w:val="22"/>
                <w:szCs w:val="22"/>
              </w:rPr>
            </w:pPr>
            <w:del w:id="8510" w:author="AbbVie14" w:date="2025-05-09T10:34:00Z">
              <w:r w:rsidRPr="00295E71">
                <w:rPr>
                  <w:sz w:val="22"/>
                  <w:szCs w:val="22"/>
                </w:rPr>
                <w:delText>Settimana 104</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5FE24E1F" w14:textId="77777777">
            <w:pPr>
              <w:jc w:val="center"/>
              <w:rPr>
                <w:del w:id="8511" w:author="AbbVie14" w:date="2025-05-09T10:34:00Z"/>
                <w:sz w:val="22"/>
                <w:szCs w:val="22"/>
              </w:rPr>
            </w:pPr>
            <w:del w:id="8512" w:author="AbbVie14" w:date="2025-05-09T10:34:00Z">
              <w:r w:rsidRPr="00295E71">
                <w:rPr>
                  <w:sz w:val="22"/>
                  <w:szCs w:val="22"/>
                </w:rPr>
                <w:delText>42,8%</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07DBF3C0" w14:textId="77777777">
            <w:pPr>
              <w:jc w:val="center"/>
              <w:rPr>
                <w:del w:id="8513" w:author="AbbVie14" w:date="2025-05-09T10:34:00Z"/>
                <w:sz w:val="22"/>
                <w:szCs w:val="22"/>
              </w:rPr>
            </w:pPr>
            <w:del w:id="8514" w:author="AbbVie14" w:date="2025-05-09T10:34:00Z">
              <w:r w:rsidRPr="00295E71">
                <w:rPr>
                  <w:sz w:val="22"/>
                  <w:szCs w:val="22"/>
                </w:rPr>
                <w:delText>36,9%</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1C22C33A" w14:textId="77777777">
            <w:pPr>
              <w:jc w:val="center"/>
              <w:rPr>
                <w:del w:id="8515" w:author="AbbVie14" w:date="2025-05-09T10:34:00Z"/>
                <w:sz w:val="22"/>
                <w:szCs w:val="22"/>
              </w:rPr>
            </w:pPr>
            <w:del w:id="8516" w:author="AbbVie14" w:date="2025-05-09T10:34:00Z">
              <w:r w:rsidRPr="00295E71">
                <w:rPr>
                  <w:sz w:val="22"/>
                  <w:szCs w:val="22"/>
                </w:rPr>
                <w:delText>59,0%</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7CA83D91" w14:textId="77777777">
            <w:pPr>
              <w:jc w:val="center"/>
              <w:rPr>
                <w:del w:id="8517" w:author="AbbVie14" w:date="2025-05-09T10:34:00Z"/>
                <w:sz w:val="22"/>
                <w:szCs w:val="22"/>
              </w:rPr>
            </w:pPr>
            <w:del w:id="8518" w:author="AbbVie14" w:date="2025-05-09T10:34:00Z">
              <w:r w:rsidRPr="00295E71">
                <w:rPr>
                  <w:sz w:val="22"/>
                  <w:szCs w:val="22"/>
                </w:rPr>
                <w:delText>&lt;0,001</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5D4ED80A" w14:textId="77777777">
            <w:pPr>
              <w:jc w:val="center"/>
              <w:rPr>
                <w:del w:id="8519" w:author="AbbVie14" w:date="2025-05-09T10:34:00Z"/>
                <w:sz w:val="22"/>
                <w:szCs w:val="22"/>
              </w:rPr>
            </w:pPr>
            <w:del w:id="8520" w:author="AbbVie14" w:date="2025-05-09T10:34: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34C2D4EB" w14:textId="77777777">
            <w:pPr>
              <w:jc w:val="center"/>
              <w:rPr>
                <w:del w:id="8521" w:author="AbbVie14" w:date="2025-05-09T10:34:00Z"/>
                <w:sz w:val="22"/>
                <w:szCs w:val="22"/>
              </w:rPr>
            </w:pPr>
            <w:del w:id="8522" w:author="AbbVie14" w:date="2025-05-09T10:34:00Z">
              <w:r w:rsidRPr="00295E71">
                <w:rPr>
                  <w:sz w:val="22"/>
                  <w:szCs w:val="22"/>
                </w:rPr>
                <w:delText>0,162</w:delText>
              </w:r>
            </w:del>
          </w:p>
        </w:tc>
      </w:tr>
      <w:tr w14:paraId="21B3E9DE" w14:textId="77777777">
        <w:tblPrEx>
          <w:tblW w:w="9435" w:type="dxa"/>
          <w:tblLayout w:type="fixed"/>
          <w:tblLook w:val="0000"/>
        </w:tblPrEx>
        <w:trPr>
          <w:gridAfter w:val="1"/>
          <w:wAfter w:w="12" w:type="dxa"/>
          <w:cantSplit/>
          <w:del w:id="8523" w:author="AbbVie14" w:date="2025-05-09T10:34:00Z"/>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14:paraId="0E5F60DA" w14:textId="77777777">
            <w:pPr>
              <w:rPr>
                <w:del w:id="8524" w:author="AbbVie14" w:date="2025-05-09T10:34:00Z"/>
                <w:sz w:val="22"/>
                <w:szCs w:val="22"/>
              </w:rPr>
            </w:pPr>
            <w:del w:id="8525" w:author="AbbVie14" w:date="2025-05-09T10:34:00Z">
              <w:r w:rsidRPr="00295E71">
                <w:rPr>
                  <w:sz w:val="22"/>
                  <w:szCs w:val="22"/>
                </w:rPr>
                <w:delText>ACR 70</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7C13444A" w14:textId="77777777">
            <w:pPr>
              <w:jc w:val="center"/>
              <w:rPr>
                <w:del w:id="8526" w:author="AbbVie14" w:date="2025-05-09T10:34:00Z"/>
                <w:sz w:val="22"/>
                <w:szCs w:val="22"/>
              </w:rPr>
            </w:pPr>
          </w:p>
        </w:tc>
        <w:tc>
          <w:tcPr>
            <w:tcW w:w="1320" w:type="dxa"/>
            <w:tcBorders>
              <w:top w:val="single" w:sz="4" w:space="0" w:color="auto"/>
              <w:left w:val="single" w:sz="4" w:space="0" w:color="auto"/>
              <w:bottom w:val="single" w:sz="4" w:space="0" w:color="auto"/>
              <w:right w:val="single" w:sz="4" w:space="0" w:color="auto"/>
            </w:tcBorders>
          </w:tcPr>
          <w:p w:rsidR="006224C2" w:rsidRPr="00295E71" w14:paraId="0A2FB476" w14:textId="77777777">
            <w:pPr>
              <w:jc w:val="center"/>
              <w:rPr>
                <w:del w:id="8527" w:author="AbbVie14" w:date="2025-05-09T10:34:00Z"/>
                <w:sz w:val="22"/>
                <w:szCs w:val="22"/>
              </w:rPr>
            </w:pPr>
          </w:p>
        </w:tc>
        <w:tc>
          <w:tcPr>
            <w:tcW w:w="1576" w:type="dxa"/>
            <w:tcBorders>
              <w:top w:val="single" w:sz="4" w:space="0" w:color="auto"/>
              <w:left w:val="single" w:sz="4" w:space="0" w:color="auto"/>
              <w:bottom w:val="single" w:sz="4" w:space="0" w:color="auto"/>
              <w:right w:val="single" w:sz="4" w:space="0" w:color="auto"/>
            </w:tcBorders>
          </w:tcPr>
          <w:p w:rsidR="006224C2" w:rsidRPr="00295E71" w14:paraId="632AC3CB" w14:textId="77777777">
            <w:pPr>
              <w:jc w:val="center"/>
              <w:rPr>
                <w:del w:id="8528" w:author="AbbVie14" w:date="2025-05-09T10:34:00Z"/>
                <w:sz w:val="22"/>
                <w:szCs w:val="22"/>
              </w:rPr>
            </w:pPr>
          </w:p>
        </w:tc>
        <w:tc>
          <w:tcPr>
            <w:tcW w:w="1100" w:type="dxa"/>
            <w:tcBorders>
              <w:top w:val="single" w:sz="4" w:space="0" w:color="auto"/>
              <w:left w:val="single" w:sz="4" w:space="0" w:color="auto"/>
              <w:bottom w:val="single" w:sz="4" w:space="0" w:color="auto"/>
              <w:right w:val="single" w:sz="4" w:space="0" w:color="auto"/>
            </w:tcBorders>
          </w:tcPr>
          <w:p w:rsidR="006224C2" w:rsidRPr="00295E71" w14:paraId="7AA63409" w14:textId="77777777">
            <w:pPr>
              <w:jc w:val="center"/>
              <w:rPr>
                <w:del w:id="8529" w:author="AbbVie14" w:date="2025-05-09T10:34:00Z"/>
                <w:sz w:val="22"/>
                <w:szCs w:val="22"/>
              </w:rPr>
            </w:pPr>
          </w:p>
        </w:tc>
        <w:tc>
          <w:tcPr>
            <w:tcW w:w="1173" w:type="dxa"/>
            <w:tcBorders>
              <w:top w:val="single" w:sz="4" w:space="0" w:color="auto"/>
              <w:left w:val="single" w:sz="4" w:space="0" w:color="auto"/>
              <w:bottom w:val="single" w:sz="4" w:space="0" w:color="auto"/>
              <w:right w:val="single" w:sz="4" w:space="0" w:color="auto"/>
            </w:tcBorders>
          </w:tcPr>
          <w:p w:rsidR="006224C2" w:rsidRPr="00295E71" w14:paraId="55272FAF" w14:textId="77777777">
            <w:pPr>
              <w:jc w:val="center"/>
              <w:rPr>
                <w:del w:id="8530" w:author="AbbVie14" w:date="2025-05-09T10:34:00Z"/>
                <w:sz w:val="22"/>
                <w:szCs w:val="22"/>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5B5D3480" w14:textId="77777777">
            <w:pPr>
              <w:jc w:val="center"/>
              <w:rPr>
                <w:del w:id="8531" w:author="AbbVie14" w:date="2025-05-09T10:34:00Z"/>
                <w:sz w:val="22"/>
                <w:szCs w:val="22"/>
              </w:rPr>
            </w:pPr>
          </w:p>
        </w:tc>
      </w:tr>
      <w:tr w14:paraId="362A9253" w14:textId="77777777">
        <w:tblPrEx>
          <w:tblW w:w="9435" w:type="dxa"/>
          <w:tblLayout w:type="fixed"/>
          <w:tblLook w:val="0000"/>
        </w:tblPrEx>
        <w:trPr>
          <w:gridAfter w:val="1"/>
          <w:wAfter w:w="12" w:type="dxa"/>
          <w:cantSplit/>
          <w:trHeight w:val="70"/>
          <w:del w:id="8532" w:author="AbbVie14" w:date="2025-05-09T10:34:00Z"/>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14:paraId="0E1FBB8C" w14:textId="77777777">
            <w:pPr>
              <w:rPr>
                <w:del w:id="8533" w:author="AbbVie14" w:date="2025-05-09T10:34:00Z"/>
                <w:sz w:val="22"/>
                <w:szCs w:val="22"/>
              </w:rPr>
            </w:pPr>
            <w:del w:id="8534" w:author="AbbVie14" w:date="2025-05-09T10:34:00Z">
              <w:r w:rsidRPr="00295E71">
                <w:rPr>
                  <w:sz w:val="22"/>
                  <w:szCs w:val="22"/>
                </w:rPr>
                <w:delText>Settimana 52</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726AB1CA" w14:textId="77777777">
            <w:pPr>
              <w:jc w:val="center"/>
              <w:rPr>
                <w:del w:id="8535" w:author="AbbVie14" w:date="2025-05-09T10:34:00Z"/>
                <w:sz w:val="22"/>
                <w:szCs w:val="22"/>
              </w:rPr>
            </w:pPr>
            <w:del w:id="8536" w:author="AbbVie14" w:date="2025-05-09T10:34:00Z">
              <w:r w:rsidRPr="00295E71">
                <w:rPr>
                  <w:sz w:val="22"/>
                  <w:szCs w:val="22"/>
                </w:rPr>
                <w:delText>27,2%</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02337A9D" w14:textId="77777777">
            <w:pPr>
              <w:jc w:val="center"/>
              <w:rPr>
                <w:del w:id="8537" w:author="AbbVie14" w:date="2025-05-09T10:34:00Z"/>
                <w:sz w:val="22"/>
                <w:szCs w:val="22"/>
              </w:rPr>
            </w:pPr>
            <w:del w:id="8538" w:author="AbbVie14" w:date="2025-05-09T10:34:00Z">
              <w:r w:rsidRPr="00295E71">
                <w:rPr>
                  <w:sz w:val="22"/>
                  <w:szCs w:val="22"/>
                </w:rPr>
                <w:delText>25,9%</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0BF37FA0" w14:textId="77777777">
            <w:pPr>
              <w:jc w:val="center"/>
              <w:rPr>
                <w:del w:id="8539" w:author="AbbVie14" w:date="2025-05-09T10:34:00Z"/>
                <w:sz w:val="22"/>
                <w:szCs w:val="22"/>
              </w:rPr>
            </w:pPr>
            <w:del w:id="8540" w:author="AbbVie14" w:date="2025-05-09T10:34:00Z">
              <w:r w:rsidRPr="00295E71">
                <w:rPr>
                  <w:sz w:val="22"/>
                  <w:szCs w:val="22"/>
                </w:rPr>
                <w:delText>45,5%</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1773E583" w14:textId="77777777">
            <w:pPr>
              <w:jc w:val="center"/>
              <w:rPr>
                <w:del w:id="8541" w:author="AbbVie14" w:date="2025-05-09T10:34:00Z"/>
                <w:sz w:val="22"/>
                <w:szCs w:val="22"/>
              </w:rPr>
            </w:pPr>
            <w:del w:id="8542" w:author="AbbVie14" w:date="2025-05-09T10:34:00Z">
              <w:r w:rsidRPr="00295E71">
                <w:rPr>
                  <w:sz w:val="22"/>
                  <w:szCs w:val="22"/>
                </w:rPr>
                <w:delText>&lt;0,001</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54388887" w14:textId="77777777">
            <w:pPr>
              <w:jc w:val="center"/>
              <w:rPr>
                <w:del w:id="8543" w:author="AbbVie14" w:date="2025-05-09T10:34:00Z"/>
                <w:sz w:val="22"/>
                <w:szCs w:val="22"/>
              </w:rPr>
            </w:pPr>
            <w:del w:id="8544" w:author="AbbVie14" w:date="2025-05-09T10:34: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17DA8B9C" w14:textId="77777777">
            <w:pPr>
              <w:jc w:val="center"/>
              <w:rPr>
                <w:del w:id="8545" w:author="AbbVie14" w:date="2025-05-09T10:34:00Z"/>
                <w:sz w:val="22"/>
                <w:szCs w:val="22"/>
              </w:rPr>
            </w:pPr>
            <w:del w:id="8546" w:author="AbbVie14" w:date="2025-05-09T10:34:00Z">
              <w:r w:rsidRPr="00295E71">
                <w:rPr>
                  <w:sz w:val="22"/>
                  <w:szCs w:val="22"/>
                </w:rPr>
                <w:delText>0,656</w:delText>
              </w:r>
            </w:del>
          </w:p>
        </w:tc>
      </w:tr>
      <w:tr w14:paraId="21317FA0" w14:textId="77777777">
        <w:tblPrEx>
          <w:tblW w:w="9435" w:type="dxa"/>
          <w:tblLayout w:type="fixed"/>
          <w:tblLook w:val="0000"/>
        </w:tblPrEx>
        <w:trPr>
          <w:gridAfter w:val="1"/>
          <w:wAfter w:w="12" w:type="dxa"/>
          <w:cantSplit/>
          <w:del w:id="8547" w:author="AbbVie14" w:date="2025-05-09T10:34:00Z"/>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14:paraId="1A3C4BE7" w14:textId="77777777">
            <w:pPr>
              <w:rPr>
                <w:del w:id="8548" w:author="AbbVie14" w:date="2025-05-09T10:34:00Z"/>
                <w:sz w:val="22"/>
                <w:szCs w:val="22"/>
              </w:rPr>
            </w:pPr>
            <w:del w:id="8549" w:author="AbbVie14" w:date="2025-05-09T10:34:00Z">
              <w:r w:rsidRPr="00295E71">
                <w:rPr>
                  <w:sz w:val="22"/>
                  <w:szCs w:val="22"/>
                </w:rPr>
                <w:delText>Settimana 104</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163896EA" w14:textId="77777777">
            <w:pPr>
              <w:jc w:val="center"/>
              <w:rPr>
                <w:del w:id="8550" w:author="AbbVie14" w:date="2025-05-09T10:34:00Z"/>
                <w:sz w:val="22"/>
                <w:szCs w:val="22"/>
              </w:rPr>
            </w:pPr>
            <w:del w:id="8551" w:author="AbbVie14" w:date="2025-05-09T10:34:00Z">
              <w:r w:rsidRPr="00295E71">
                <w:rPr>
                  <w:sz w:val="22"/>
                  <w:szCs w:val="22"/>
                </w:rPr>
                <w:delText>28,4%</w:delText>
              </w:r>
            </w:del>
          </w:p>
        </w:tc>
        <w:tc>
          <w:tcPr>
            <w:tcW w:w="1320" w:type="dxa"/>
            <w:tcBorders>
              <w:top w:val="single" w:sz="4" w:space="0" w:color="auto"/>
              <w:left w:val="single" w:sz="4" w:space="0" w:color="auto"/>
              <w:bottom w:val="single" w:sz="4" w:space="0" w:color="auto"/>
              <w:right w:val="single" w:sz="4" w:space="0" w:color="auto"/>
            </w:tcBorders>
          </w:tcPr>
          <w:p w:rsidR="006224C2" w:rsidRPr="00295E71" w14:paraId="1402591D" w14:textId="77777777">
            <w:pPr>
              <w:jc w:val="center"/>
              <w:rPr>
                <w:del w:id="8552" w:author="AbbVie14" w:date="2025-05-09T10:34:00Z"/>
                <w:sz w:val="22"/>
                <w:szCs w:val="22"/>
              </w:rPr>
            </w:pPr>
            <w:del w:id="8553" w:author="AbbVie14" w:date="2025-05-09T10:34:00Z">
              <w:r w:rsidRPr="00295E71">
                <w:rPr>
                  <w:sz w:val="22"/>
                  <w:szCs w:val="22"/>
                </w:rPr>
                <w:delText>28,1%</w:delText>
              </w:r>
            </w:del>
          </w:p>
        </w:tc>
        <w:tc>
          <w:tcPr>
            <w:tcW w:w="1576" w:type="dxa"/>
            <w:tcBorders>
              <w:top w:val="single" w:sz="4" w:space="0" w:color="auto"/>
              <w:left w:val="single" w:sz="4" w:space="0" w:color="auto"/>
              <w:bottom w:val="single" w:sz="4" w:space="0" w:color="auto"/>
              <w:right w:val="single" w:sz="4" w:space="0" w:color="auto"/>
            </w:tcBorders>
          </w:tcPr>
          <w:p w:rsidR="006224C2" w:rsidRPr="00295E71" w14:paraId="392179AA" w14:textId="77777777">
            <w:pPr>
              <w:jc w:val="center"/>
              <w:rPr>
                <w:del w:id="8554" w:author="AbbVie14" w:date="2025-05-09T10:34:00Z"/>
                <w:sz w:val="22"/>
                <w:szCs w:val="22"/>
              </w:rPr>
            </w:pPr>
            <w:del w:id="8555" w:author="AbbVie14" w:date="2025-05-09T10:34:00Z">
              <w:r w:rsidRPr="00295E71">
                <w:rPr>
                  <w:sz w:val="22"/>
                  <w:szCs w:val="22"/>
                </w:rPr>
                <w:delText>46,6%</w:delText>
              </w:r>
            </w:del>
          </w:p>
        </w:tc>
        <w:tc>
          <w:tcPr>
            <w:tcW w:w="1100" w:type="dxa"/>
            <w:tcBorders>
              <w:top w:val="single" w:sz="4" w:space="0" w:color="auto"/>
              <w:left w:val="single" w:sz="4" w:space="0" w:color="auto"/>
              <w:bottom w:val="single" w:sz="4" w:space="0" w:color="auto"/>
              <w:right w:val="single" w:sz="4" w:space="0" w:color="auto"/>
            </w:tcBorders>
          </w:tcPr>
          <w:p w:rsidR="006224C2" w:rsidRPr="00295E71" w14:paraId="54453736" w14:textId="77777777">
            <w:pPr>
              <w:jc w:val="center"/>
              <w:rPr>
                <w:del w:id="8556" w:author="AbbVie14" w:date="2025-05-09T10:34:00Z"/>
                <w:sz w:val="22"/>
                <w:szCs w:val="22"/>
              </w:rPr>
            </w:pPr>
            <w:del w:id="8557" w:author="AbbVie14" w:date="2025-05-09T10:34:00Z">
              <w:r w:rsidRPr="00295E71">
                <w:rPr>
                  <w:sz w:val="22"/>
                  <w:szCs w:val="22"/>
                </w:rPr>
                <w:delText>&lt;0,001</w:delText>
              </w:r>
            </w:del>
          </w:p>
        </w:tc>
        <w:tc>
          <w:tcPr>
            <w:tcW w:w="1173" w:type="dxa"/>
            <w:tcBorders>
              <w:top w:val="single" w:sz="4" w:space="0" w:color="auto"/>
              <w:left w:val="single" w:sz="4" w:space="0" w:color="auto"/>
              <w:bottom w:val="single" w:sz="4" w:space="0" w:color="auto"/>
              <w:right w:val="single" w:sz="4" w:space="0" w:color="auto"/>
            </w:tcBorders>
          </w:tcPr>
          <w:p w:rsidR="006224C2" w:rsidRPr="00295E71" w14:paraId="7E640541" w14:textId="77777777">
            <w:pPr>
              <w:jc w:val="center"/>
              <w:rPr>
                <w:del w:id="8558" w:author="AbbVie14" w:date="2025-05-09T10:34:00Z"/>
                <w:sz w:val="22"/>
                <w:szCs w:val="22"/>
              </w:rPr>
            </w:pPr>
            <w:del w:id="8559" w:author="AbbVie14" w:date="2025-05-09T10:34:00Z">
              <w:r w:rsidRPr="00295E71">
                <w:rPr>
                  <w:sz w:val="22"/>
                  <w:szCs w:val="22"/>
                </w:rPr>
                <w:delText>&lt;0,001</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5E2A8B5E" w14:textId="77777777">
            <w:pPr>
              <w:jc w:val="center"/>
              <w:rPr>
                <w:del w:id="8560" w:author="AbbVie14" w:date="2025-05-09T10:34:00Z"/>
                <w:sz w:val="22"/>
                <w:szCs w:val="22"/>
              </w:rPr>
            </w:pPr>
            <w:del w:id="8561" w:author="AbbVie14" w:date="2025-05-09T10:34:00Z">
              <w:r w:rsidRPr="00295E71">
                <w:rPr>
                  <w:sz w:val="22"/>
                  <w:szCs w:val="22"/>
                </w:rPr>
                <w:delText>0,864</w:delText>
              </w:r>
            </w:del>
          </w:p>
        </w:tc>
      </w:tr>
      <w:tr w14:paraId="72F2912A" w14:textId="77777777">
        <w:tblPrEx>
          <w:tblW w:w="9435" w:type="dxa"/>
          <w:tblLayout w:type="fixed"/>
          <w:tblLook w:val="0000"/>
        </w:tblPrEx>
        <w:trPr>
          <w:gridBefore w:val="1"/>
          <w:wBefore w:w="6" w:type="dxa"/>
          <w:cantSplit/>
          <w:del w:id="8562" w:author="AbbVie14" w:date="2025-05-09T10:34:00Z"/>
        </w:trPr>
        <w:tc>
          <w:tcPr>
            <w:tcW w:w="9429" w:type="dxa"/>
            <w:gridSpan w:val="8"/>
            <w:tcBorders>
              <w:top w:val="single" w:sz="4" w:space="0" w:color="auto"/>
              <w:left w:val="single" w:sz="4" w:space="0" w:color="auto"/>
              <w:bottom w:val="single" w:sz="4" w:space="0" w:color="auto"/>
              <w:right w:val="single" w:sz="4" w:space="0" w:color="auto"/>
            </w:tcBorders>
          </w:tcPr>
          <w:p w:rsidR="006224C2" w:rsidRPr="00295E71" w14:paraId="02F9D4E0" w14:textId="77777777">
            <w:pPr>
              <w:tabs>
                <w:tab w:val="left" w:pos="330"/>
                <w:tab w:val="left" w:pos="10728"/>
              </w:tabs>
              <w:ind w:left="360" w:hanging="360"/>
              <w:rPr>
                <w:del w:id="8563" w:author="AbbVie14" w:date="2025-05-09T10:34:00Z"/>
                <w:sz w:val="22"/>
                <w:szCs w:val="22"/>
              </w:rPr>
            </w:pPr>
            <w:del w:id="8564" w:author="AbbVie14" w:date="2025-05-09T10:34:00Z">
              <w:r w:rsidRPr="00295E71">
                <w:rPr>
                  <w:sz w:val="22"/>
                  <w:szCs w:val="22"/>
                  <w:vertAlign w:val="superscript"/>
                </w:rPr>
                <w:delText>a</w:delText>
              </w:r>
            </w:del>
            <w:del w:id="8565" w:author="AbbVie14" w:date="2025-05-09T10:34:00Z">
              <w:r w:rsidRPr="00295E71">
                <w:rPr>
                  <w:sz w:val="22"/>
                  <w:szCs w:val="22"/>
                </w:rPr>
                <w:tab/>
                <w:delText xml:space="preserve">il valore p è stato ottenuto confrontando a due a due la </w:delText>
              </w:r>
            </w:del>
            <w:del w:id="8566" w:author="AbbVie14" w:date="2025-05-09T10:34:00Z">
              <w:r w:rsidR="00420BF3">
                <w:rPr>
                  <w:sz w:val="22"/>
                  <w:szCs w:val="22"/>
                </w:rPr>
                <w:delText>mono</w:delText>
              </w:r>
            </w:del>
            <w:del w:id="8567" w:author="AbbVie14" w:date="2025-05-09T10:34:00Z">
              <w:r w:rsidRPr="00295E71">
                <w:rPr>
                  <w:sz w:val="22"/>
                  <w:szCs w:val="22"/>
                </w:rPr>
                <w:delText>terapia con metotressato e la terapia associata Humira/metotressato utilizzando il test U Mann-Whitney.</w:delText>
              </w:r>
            </w:del>
          </w:p>
          <w:p w:rsidR="006224C2" w:rsidRPr="00295E71" w14:paraId="45684E3F" w14:textId="77777777">
            <w:pPr>
              <w:pStyle w:val="BodyTextIndent"/>
              <w:autoSpaceDE/>
              <w:autoSpaceDN/>
              <w:adjustRightInd/>
              <w:ind w:left="330" w:hanging="330"/>
              <w:jc w:val="left"/>
              <w:rPr>
                <w:del w:id="8568" w:author="AbbVie14" w:date="2025-05-09T10:34:00Z"/>
                <w:color w:val="auto"/>
              </w:rPr>
            </w:pPr>
            <w:del w:id="8569" w:author="AbbVie14" w:date="2025-05-09T10:34:00Z">
              <w:r w:rsidRPr="00295E71">
                <w:rPr>
                  <w:vertAlign w:val="superscript"/>
                </w:rPr>
                <w:delText>b</w:delText>
              </w:r>
            </w:del>
            <w:del w:id="8570" w:author="AbbVie14" w:date="2025-05-09T10:34:00Z">
              <w:r w:rsidRPr="00295E71">
                <w:rPr>
                  <w:color w:val="auto"/>
                </w:rPr>
                <w:tab/>
                <w:delText xml:space="preserve">il valore p è stato ottenuto confrontando a due a due la </w:delText>
              </w:r>
            </w:del>
            <w:del w:id="8571" w:author="AbbVie14" w:date="2025-05-09T10:34:00Z">
              <w:r w:rsidR="00420BF3">
                <w:rPr>
                  <w:color w:val="auto"/>
                </w:rPr>
                <w:delText>mono</w:delText>
              </w:r>
            </w:del>
            <w:del w:id="8572" w:author="AbbVie14" w:date="2025-05-09T10:34:00Z">
              <w:r w:rsidRPr="00295E71">
                <w:rPr>
                  <w:color w:val="auto"/>
                </w:rPr>
                <w:delText>terapia con Humira e la terapia associata Humira/metotressato utilizzando il test U Mann-Whitney</w:delText>
              </w:r>
            </w:del>
          </w:p>
          <w:p w:rsidR="006224C2" w:rsidRPr="00295E71" w14:paraId="4D8E9B8F" w14:textId="77777777">
            <w:pPr>
              <w:pStyle w:val="BodyTextIndent"/>
              <w:autoSpaceDE/>
              <w:autoSpaceDN/>
              <w:adjustRightInd/>
              <w:ind w:left="330" w:hanging="330"/>
              <w:jc w:val="left"/>
              <w:rPr>
                <w:del w:id="8573" w:author="AbbVie14" w:date="2025-05-09T10:34:00Z"/>
                <w:color w:val="auto"/>
              </w:rPr>
            </w:pPr>
            <w:del w:id="8574" w:author="AbbVie14" w:date="2025-05-09T10:34:00Z">
              <w:r w:rsidRPr="00295E71">
                <w:rPr>
                  <w:vertAlign w:val="superscript"/>
                </w:rPr>
                <w:delText>c</w:delText>
              </w:r>
            </w:del>
            <w:del w:id="8575" w:author="AbbVie14" w:date="2025-05-09T10:34:00Z">
              <w:r w:rsidRPr="00295E71" w:rsidR="00EF6A7F">
                <w:rPr>
                  <w:color w:val="auto"/>
                </w:rPr>
                <w:tab/>
              </w:r>
            </w:del>
            <w:del w:id="8576" w:author="AbbVie14" w:date="2025-05-09T10:34:00Z">
              <w:r w:rsidRPr="00295E71">
                <w:rPr>
                  <w:color w:val="auto"/>
                </w:rPr>
                <w:delText xml:space="preserve">il valore p è stato ottenuto confrontando a due a due la </w:delText>
              </w:r>
            </w:del>
            <w:del w:id="8577" w:author="AbbVie14" w:date="2025-05-09T10:34:00Z">
              <w:r w:rsidR="00420BF3">
                <w:rPr>
                  <w:color w:val="auto"/>
                </w:rPr>
                <w:delText>mono</w:delText>
              </w:r>
            </w:del>
            <w:del w:id="8578" w:author="AbbVie14" w:date="2025-05-09T10:34:00Z">
              <w:r w:rsidRPr="00295E71">
                <w:rPr>
                  <w:color w:val="auto"/>
                </w:rPr>
                <w:delText xml:space="preserve">terapia con Humira e la </w:delText>
              </w:r>
            </w:del>
            <w:del w:id="8579" w:author="AbbVie14" w:date="2025-05-09T10:34:00Z">
              <w:r w:rsidR="00420BF3">
                <w:rPr>
                  <w:color w:val="auto"/>
                </w:rPr>
                <w:delText>mono</w:delText>
              </w:r>
            </w:del>
            <w:del w:id="8580" w:author="AbbVie14" w:date="2025-05-09T10:34:00Z">
              <w:r w:rsidRPr="00295E71">
                <w:rPr>
                  <w:color w:val="auto"/>
                </w:rPr>
                <w:delText>terapia con metotressato utilizzando il test U Mann-Whitney</w:delText>
              </w:r>
            </w:del>
          </w:p>
        </w:tc>
      </w:tr>
    </w:tbl>
    <w:p w:rsidR="006224C2" w:rsidRPr="00295E71" w14:paraId="5EB7FEC1" w14:textId="77777777">
      <w:pPr>
        <w:tabs>
          <w:tab w:val="left" w:pos="567"/>
        </w:tabs>
        <w:rPr>
          <w:del w:id="8581" w:author="AbbVie14" w:date="2025-05-09T10:34:00Z"/>
          <w:sz w:val="22"/>
          <w:szCs w:val="22"/>
        </w:rPr>
      </w:pPr>
    </w:p>
    <w:p w:rsidR="006224C2" w:rsidRPr="00295E71" w14:paraId="53B50DC0" w14:textId="77777777">
      <w:pPr>
        <w:tabs>
          <w:tab w:val="left" w:pos="567"/>
        </w:tabs>
        <w:jc w:val="both"/>
        <w:rPr>
          <w:del w:id="8582" w:author="AbbVie14" w:date="2025-05-09T10:34:00Z"/>
          <w:sz w:val="22"/>
          <w:szCs w:val="22"/>
        </w:rPr>
      </w:pPr>
      <w:del w:id="8583" w:author="AbbVie14" w:date="2025-05-09T10:34:00Z">
        <w:r w:rsidRPr="00295E71">
          <w:rPr>
            <w:sz w:val="22"/>
            <w:szCs w:val="22"/>
          </w:rPr>
          <w:delText xml:space="preserve">Nella fase di estensione in aperto dello studio AR V, il tasso di risposta ACR è stato mantenuto </w:delText>
        </w:r>
      </w:del>
      <w:del w:id="8584" w:author="AbbVie14" w:date="2025-05-09T10:34:00Z">
        <w:r w:rsidRPr="000B225D" w:rsidR="00420BF3">
          <w:rPr>
            <w:sz w:val="22"/>
            <w:szCs w:val="22"/>
          </w:rPr>
          <w:delText>nei pazienti seguiti</w:delText>
        </w:r>
      </w:del>
      <w:del w:id="8585" w:author="AbbVie14" w:date="2025-05-09T10:34:00Z">
        <w:r w:rsidRPr="00295E71">
          <w:rPr>
            <w:sz w:val="22"/>
            <w:szCs w:val="22"/>
          </w:rPr>
          <w:delText xml:space="preserve"> fino a 10 anni. Dei 542 pazienti</w:delText>
        </w:r>
      </w:del>
      <w:del w:id="8586" w:author="AbbVie14" w:date="2025-05-09T10:34:00Z">
        <w:r w:rsidR="00420BF3">
          <w:rPr>
            <w:sz w:val="22"/>
            <w:szCs w:val="22"/>
          </w:rPr>
          <w:delText xml:space="preserve"> </w:delText>
        </w:r>
      </w:del>
      <w:del w:id="8587" w:author="AbbVie14" w:date="2025-05-09T10:34:00Z">
        <w:r w:rsidRPr="00295E71">
          <w:rPr>
            <w:sz w:val="22"/>
            <w:szCs w:val="22"/>
          </w:rPr>
          <w:delText xml:space="preserve">che erano stati randomizzati alla somministrazione di 40 mg di Humira a settimane alterne, 170 pazienti hanno continuato il trattamento con Humira 40 mg a settimane alterne per 10 anni. Di questi, 154 pazienti (90,6%) hanno avuto risposte ACR 20; 127 pazienti (74,7%) hanno avuto risposte ACR 50; e 102 pazienti (60,0%) hanno avuto risposte ACR 70.    </w:delText>
        </w:r>
      </w:del>
    </w:p>
    <w:p w:rsidR="006224C2" w:rsidRPr="00295E71" w14:paraId="63DD5E35" w14:textId="77777777">
      <w:pPr>
        <w:pStyle w:val="EMEAFigureTitle"/>
        <w:suppressAutoHyphens w:val="0"/>
        <w:jc w:val="both"/>
        <w:rPr>
          <w:del w:id="8588" w:author="AbbVie14" w:date="2025-05-09T10:34:00Z"/>
          <w:lang w:val="it-IT"/>
        </w:rPr>
      </w:pPr>
    </w:p>
    <w:p w:rsidR="006224C2" w:rsidRPr="00295E71" w14:paraId="3E7400D4" w14:textId="77777777">
      <w:pPr>
        <w:rPr>
          <w:del w:id="8589" w:author="AbbVie14" w:date="2025-05-09T10:34:00Z"/>
          <w:sz w:val="22"/>
          <w:szCs w:val="22"/>
        </w:rPr>
      </w:pPr>
      <w:del w:id="8590" w:author="AbbVie14" w:date="2025-05-09T10:34:00Z">
        <w:r w:rsidRPr="00295E71">
          <w:rPr>
            <w:sz w:val="22"/>
            <w:szCs w:val="22"/>
            <w:lang w:eastAsia="en-US"/>
          </w:rPr>
          <w:delText>Alla settimana 52, il 42,9% dei pazienti che era stato sottoposto a terapia associata con Humira/metotressato ha raggiunto remissione clinica (DAS28</w:delText>
        </w:r>
      </w:del>
      <w:del w:id="8591" w:author="AbbVie14" w:date="2025-05-09T10:34:00Z">
        <w:r w:rsidRPr="00295E71">
          <w:rPr>
            <w:sz w:val="22"/>
            <w:szCs w:val="22"/>
          </w:rPr>
          <w:delText>(PCR)</w:delText>
        </w:r>
      </w:del>
      <w:del w:id="8592" w:author="AbbVie14" w:date="2025-05-09T10:34:00Z">
        <w:r w:rsidRPr="00295E71">
          <w:rPr>
            <w:sz w:val="22"/>
            <w:szCs w:val="22"/>
            <w:lang w:eastAsia="en-US"/>
          </w:rPr>
          <w:delText>&lt; 2,6) rispetto al 20,6% dei</w:delText>
        </w:r>
      </w:del>
      <w:del w:id="8593" w:author="AbbVie14" w:date="2025-05-09T10:34:00Z">
        <w:r w:rsidR="00420BF3">
          <w:rPr>
            <w:sz w:val="22"/>
            <w:szCs w:val="22"/>
            <w:lang w:eastAsia="en-US"/>
          </w:rPr>
          <w:delText xml:space="preserve"> </w:delText>
        </w:r>
      </w:del>
      <w:del w:id="8594" w:author="AbbVie14" w:date="2025-05-09T10:34:00Z">
        <w:r w:rsidRPr="00295E71">
          <w:rPr>
            <w:sz w:val="22"/>
            <w:szCs w:val="22"/>
            <w:lang w:eastAsia="en-US"/>
          </w:rPr>
          <w:delText>pazienti trattat</w:delText>
        </w:r>
      </w:del>
      <w:del w:id="8595" w:author="AbbVie14" w:date="2025-05-09T10:34:00Z">
        <w:r w:rsidR="00420BF3">
          <w:rPr>
            <w:sz w:val="22"/>
            <w:szCs w:val="22"/>
            <w:lang w:eastAsia="en-US"/>
          </w:rPr>
          <w:delText>i</w:delText>
        </w:r>
      </w:del>
      <w:del w:id="8596" w:author="AbbVie14" w:date="2025-05-09T10:34:00Z">
        <w:r w:rsidRPr="00295E71">
          <w:rPr>
            <w:sz w:val="22"/>
            <w:szCs w:val="22"/>
            <w:lang w:eastAsia="en-US"/>
          </w:rPr>
          <w:delText xml:space="preserve"> con metotressato in monoterapia ed al 23,4% dei pazienti che aveva ricevuto Humira in monoterapia.</w:delText>
        </w:r>
      </w:del>
      <w:del w:id="8597" w:author="AbbVie14" w:date="2025-05-09T10:34:00Z">
        <w:r w:rsidR="00420BF3">
          <w:rPr>
            <w:sz w:val="22"/>
            <w:szCs w:val="22"/>
            <w:lang w:eastAsia="en-US"/>
          </w:rPr>
          <w:delText xml:space="preserve"> </w:delText>
        </w:r>
      </w:del>
      <w:del w:id="8598" w:author="AbbVie14" w:date="2025-05-09T10:34:00Z">
        <w:r w:rsidRPr="00295E71">
          <w:rPr>
            <w:sz w:val="22"/>
            <w:szCs w:val="22"/>
            <w:lang w:eastAsia="en-US"/>
          </w:rPr>
          <w:delText>La terapia associata Humira/metotressato si è rivelata superiore dal punto di vista clinico e statistico alle monoterapie con metotressato (p&lt;0,001) e Humira (p&lt;0,001) nel determinare una riduzione dell’attività di malattia in pazienti in cui era stata di recente diagnosticata a</w:delText>
        </w:r>
      </w:del>
      <w:del w:id="8599" w:author="AbbVie14" w:date="2025-05-09T10:34:00Z">
        <w:r w:rsidR="00420BF3">
          <w:rPr>
            <w:sz w:val="22"/>
            <w:szCs w:val="22"/>
            <w:lang w:eastAsia="en-US"/>
          </w:rPr>
          <w:delText>r</w:delText>
        </w:r>
      </w:del>
      <w:del w:id="8600" w:author="AbbVie14" w:date="2025-05-09T10:34:00Z">
        <w:r w:rsidRPr="00295E71">
          <w:rPr>
            <w:sz w:val="22"/>
            <w:szCs w:val="22"/>
            <w:lang w:eastAsia="en-US"/>
          </w:rPr>
          <w:delText>trite reumatoide di grado da moderato a severo. La risposta ottenuta nei due gruppi in monoterapia è stata simile (p=0,447).</w:delText>
        </w:r>
      </w:del>
    </w:p>
    <w:p w:rsidR="006224C2" w:rsidRPr="00295E71" w14:paraId="03509C3C" w14:textId="77777777">
      <w:pPr>
        <w:rPr>
          <w:del w:id="8601" w:author="AbbVie14" w:date="2025-05-09T10:34:00Z"/>
          <w:sz w:val="22"/>
          <w:szCs w:val="22"/>
        </w:rPr>
      </w:pPr>
      <w:del w:id="8602" w:author="AbbVie14" w:date="2025-05-09T10:34:00Z">
        <w:r w:rsidRPr="00295E71">
          <w:rPr>
            <w:sz w:val="22"/>
            <w:szCs w:val="22"/>
          </w:rPr>
          <w:delText>Dei 342 pazienti che erano stati inizialmente randomizzati alla somministrazione di Humira in monoterapia o alla terapia associata Humira/metotressato e che erano stati arruolati nella fase di estensione in aperto dello studio, 171 hanno completato i 10 anni di trattamento con Humira. Di questi, è stato riportato che 109 pazienti (63,7%) erano in remissione a 10 anni.</w:delText>
        </w:r>
      </w:del>
    </w:p>
    <w:p w:rsidR="006224C2" w:rsidRPr="00295E71" w14:paraId="46866DC2" w14:textId="77777777">
      <w:pPr>
        <w:rPr>
          <w:del w:id="8603" w:author="AbbVie14" w:date="2025-05-09T10:34:00Z"/>
          <w:i/>
          <w:sz w:val="22"/>
          <w:szCs w:val="22"/>
        </w:rPr>
      </w:pPr>
    </w:p>
    <w:p w:rsidR="006224C2" w:rsidRPr="00295E71" w14:paraId="2E2D7BA7" w14:textId="77777777">
      <w:pPr>
        <w:rPr>
          <w:del w:id="8604" w:author="AbbVie14" w:date="2025-05-09T10:34:00Z"/>
          <w:i/>
          <w:sz w:val="22"/>
          <w:szCs w:val="22"/>
          <w:u w:val="single"/>
        </w:rPr>
      </w:pPr>
      <w:del w:id="8605" w:author="AbbVie14" w:date="2025-05-09T10:34:00Z">
        <w:r w:rsidRPr="00295E71">
          <w:rPr>
            <w:i/>
            <w:sz w:val="22"/>
            <w:szCs w:val="22"/>
            <w:u w:val="single"/>
          </w:rPr>
          <w:delText>Risposta radiologica</w:delText>
        </w:r>
      </w:del>
    </w:p>
    <w:p w:rsidR="006224C2" w:rsidRPr="00295E71" w14:paraId="21ED8DC9" w14:textId="77777777">
      <w:pPr>
        <w:tabs>
          <w:tab w:val="left" w:pos="567"/>
        </w:tabs>
        <w:jc w:val="both"/>
        <w:rPr>
          <w:del w:id="8606" w:author="AbbVie14" w:date="2025-05-09T10:34:00Z"/>
          <w:sz w:val="22"/>
          <w:szCs w:val="22"/>
        </w:rPr>
      </w:pPr>
    </w:p>
    <w:p w:rsidR="006224C2" w:rsidRPr="00295E71" w14:paraId="316522E0" w14:textId="77777777">
      <w:pPr>
        <w:pStyle w:val="BodyText"/>
        <w:tabs>
          <w:tab w:val="left" w:pos="567"/>
        </w:tabs>
        <w:rPr>
          <w:del w:id="8607" w:author="AbbVie14" w:date="2025-05-09T10:34:00Z"/>
        </w:rPr>
      </w:pPr>
      <w:del w:id="8608" w:author="AbbVie14" w:date="2025-05-09T10:34:00Z">
        <w:r w:rsidRPr="00295E71">
          <w:delText xml:space="preserve">Nello studio AR III, in cui i pazienti trattati con Humira avevano una durata media di malattia di circa 11 anni, il danno strutturale è stato valutato radiograficamente ed espresso come variazione dell’Indice Totale di Sharp modificato (Total Sharp Score TSS) e dei relativi componenti, gli indici di erosione e di riduzione della rima articolare (Joint Space Narrowing, JSN). I pazienti trattati con Humira/MTX hanno mostrato una progressione radiologica significativamente inferiore ai pazienti che hanno ricevuto solo MTX, a 6 e 12 mesi (vedere Tabella </w:delText>
        </w:r>
      </w:del>
      <w:del w:id="8609" w:author="AbbVie14" w:date="2025-05-09T10:34:00Z">
        <w:r w:rsidR="005C4AD7">
          <w:delText>10</w:delText>
        </w:r>
      </w:del>
      <w:del w:id="8610" w:author="AbbVie14" w:date="2025-05-09T10:34:00Z">
        <w:r w:rsidRPr="00295E71">
          <w:delText xml:space="preserve">). </w:delText>
        </w:r>
      </w:del>
    </w:p>
    <w:p w:rsidR="006224C2" w:rsidRPr="00295E71" w14:paraId="0FF7B076" w14:textId="77777777">
      <w:pPr>
        <w:rPr>
          <w:del w:id="8611" w:author="AbbVie14" w:date="2025-05-09T10:34:00Z"/>
          <w:sz w:val="22"/>
          <w:szCs w:val="22"/>
        </w:rPr>
      </w:pPr>
    </w:p>
    <w:p w:rsidR="006224C2" w:rsidRPr="00295E71" w:rsidP="00F57FE5" w14:paraId="2C39647A" w14:textId="77777777">
      <w:pPr>
        <w:pStyle w:val="BodyText"/>
        <w:keepNext/>
        <w:keepLines/>
        <w:tabs>
          <w:tab w:val="left" w:pos="567"/>
        </w:tabs>
        <w:rPr>
          <w:del w:id="8612" w:author="AbbVie14" w:date="2025-05-09T10:34:00Z"/>
        </w:rPr>
      </w:pPr>
      <w:del w:id="8613" w:author="AbbVie14" w:date="2025-05-09T10:34:00Z">
        <w:r w:rsidRPr="00295E71">
          <w:delText>Nell’estensione in aperto dello studio AR III,</w:delText>
        </w:r>
      </w:del>
      <w:del w:id="8614" w:author="AbbVie14" w:date="2025-05-09T10:34:00Z">
        <w:r w:rsidR="00420BF3">
          <w:delText xml:space="preserve"> </w:delText>
        </w:r>
      </w:del>
      <w:del w:id="8615" w:author="AbbVie14" w:date="2025-05-09T10:34:00Z">
        <w:r w:rsidRPr="00295E71">
          <w:delText xml:space="preserve">la riduzione del tasso di progressione del danno strutturale </w:delText>
        </w:r>
      </w:del>
      <w:del w:id="8616" w:author="AbbVie14" w:date="2025-05-09T10:34:00Z">
        <w:r w:rsidRPr="00020442" w:rsidR="00420BF3">
          <w:delText>è stata mantenuta</w:delText>
        </w:r>
      </w:del>
      <w:del w:id="8617" w:author="AbbVie14" w:date="2025-05-09T10:34:00Z">
        <w:r w:rsidR="008076EA">
          <w:delText xml:space="preserve"> </w:delText>
        </w:r>
      </w:del>
      <w:del w:id="8618" w:author="AbbVie14" w:date="2025-05-09T10:34:00Z">
        <w:r w:rsidRPr="00295E71">
          <w:delText>per 8 e 10 anni in un sottogruppo di pazienti. A 8 anni, 81 pazienti su 207 originariamente trattati con Humira 40 mg a settimane alterne sono stati valutati radiologicamente. Tra questi, 48 pazienti non hanno mostrato progressione del danno strutturale definita attraverso una modifica del mTSS di 0,5 o meno rispetto al valore basale. A 10 anni, 79 pazienti su 207 originariamente trattati con Humira 40 mg a settimane alterne sono stati valutati radiologicamente. Di questi, 40 pazienti non hanno dimostrato una progressione del danno strutturale definito da un cambiamento del mTSS di 0,5 o minore dal valore basale.</w:delText>
        </w:r>
      </w:del>
    </w:p>
    <w:p w:rsidR="006224C2" w:rsidRPr="00295E71" w14:paraId="30D06C58" w14:textId="77777777">
      <w:pPr>
        <w:tabs>
          <w:tab w:val="left" w:pos="567"/>
        </w:tabs>
        <w:jc w:val="both"/>
        <w:rPr>
          <w:del w:id="8619" w:author="AbbVie14" w:date="2025-05-09T10:34:00Z"/>
          <w:sz w:val="22"/>
          <w:szCs w:val="22"/>
        </w:rPr>
      </w:pPr>
    </w:p>
    <w:p w:rsidR="006224C2" w:rsidRPr="00295E71" w14:paraId="46D94582" w14:textId="77777777">
      <w:pPr>
        <w:pStyle w:val="Heading9"/>
        <w:keepLines/>
        <w:jc w:val="center"/>
        <w:rPr>
          <w:del w:id="8620" w:author="AbbVie14" w:date="2025-05-09T10:34:00Z"/>
          <w:sz w:val="22"/>
          <w:szCs w:val="22"/>
          <w:lang w:val="it-IT"/>
        </w:rPr>
      </w:pPr>
      <w:del w:id="8621" w:author="AbbVie14" w:date="2025-05-09T10:34:00Z">
        <w:r w:rsidRPr="00295E71">
          <w:rPr>
            <w:sz w:val="22"/>
            <w:szCs w:val="22"/>
            <w:lang w:val="it-IT"/>
          </w:rPr>
          <w:delText xml:space="preserve">Tabella </w:delText>
        </w:r>
      </w:del>
      <w:del w:id="8622" w:author="AbbVie14" w:date="2025-05-09T10:34:00Z">
        <w:r w:rsidR="005C4AD7">
          <w:rPr>
            <w:sz w:val="22"/>
            <w:szCs w:val="22"/>
            <w:lang w:val="it-IT"/>
          </w:rPr>
          <w:delText>10</w:delText>
        </w:r>
      </w:del>
    </w:p>
    <w:p w:rsidR="006224C2" w:rsidRPr="00295E71" w14:paraId="184C6864" w14:textId="77777777">
      <w:pPr>
        <w:pStyle w:val="Heading9"/>
        <w:keepLines/>
        <w:jc w:val="center"/>
        <w:rPr>
          <w:del w:id="8623" w:author="AbbVie14" w:date="2025-05-09T10:34:00Z"/>
          <w:sz w:val="22"/>
          <w:szCs w:val="22"/>
          <w:lang w:val="it-IT"/>
        </w:rPr>
      </w:pPr>
      <w:del w:id="8624" w:author="AbbVie14" w:date="2025-05-09T10:34:00Z">
        <w:r w:rsidRPr="00295E71">
          <w:rPr>
            <w:sz w:val="22"/>
            <w:szCs w:val="22"/>
            <w:lang w:val="it-IT"/>
          </w:rPr>
          <w:delText>Variazione radiografica media dopo 12 mesi nello studio AR III</w:delText>
        </w:r>
      </w:del>
    </w:p>
    <w:p w:rsidR="006224C2" w:rsidRPr="00295E71" w14:paraId="464D87D7" w14:textId="77777777">
      <w:pPr>
        <w:keepNext/>
        <w:keepLines/>
        <w:tabs>
          <w:tab w:val="left" w:pos="567"/>
        </w:tabs>
        <w:jc w:val="both"/>
        <w:rPr>
          <w:del w:id="8625" w:author="AbbVie14" w:date="2025-05-09T10:34: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8"/>
        <w:gridCol w:w="1430"/>
        <w:gridCol w:w="1790"/>
        <w:gridCol w:w="2000"/>
        <w:gridCol w:w="1548"/>
      </w:tblGrid>
      <w:tr w14:paraId="781F05B6" w14:textId="77777777">
        <w:tblPrEx>
          <w:tblW w:w="0" w:type="auto"/>
          <w:tblLook w:val="0000"/>
        </w:tblPrEx>
        <w:trPr>
          <w:del w:id="8626" w:author="AbbVie14" w:date="2025-05-09T10:34:00Z"/>
        </w:trPr>
        <w:tc>
          <w:tcPr>
            <w:tcW w:w="2088" w:type="dxa"/>
            <w:tcBorders>
              <w:top w:val="single" w:sz="4" w:space="0" w:color="auto"/>
              <w:left w:val="single" w:sz="4" w:space="0" w:color="auto"/>
              <w:bottom w:val="single" w:sz="4" w:space="0" w:color="auto"/>
              <w:right w:val="single" w:sz="4" w:space="0" w:color="auto"/>
            </w:tcBorders>
          </w:tcPr>
          <w:p w:rsidR="006224C2" w:rsidRPr="00295E71" w14:paraId="27610FD5" w14:textId="77777777">
            <w:pPr>
              <w:keepNext/>
              <w:keepLines/>
              <w:jc w:val="center"/>
              <w:rPr>
                <w:del w:id="8627" w:author="AbbVie14" w:date="2025-05-09T10:34:00Z"/>
                <w:sz w:val="22"/>
                <w:szCs w:val="22"/>
              </w:rPr>
            </w:pPr>
          </w:p>
        </w:tc>
        <w:tc>
          <w:tcPr>
            <w:tcW w:w="1430" w:type="dxa"/>
            <w:tcBorders>
              <w:top w:val="single" w:sz="4" w:space="0" w:color="auto"/>
              <w:left w:val="single" w:sz="4" w:space="0" w:color="auto"/>
              <w:bottom w:val="single" w:sz="4" w:space="0" w:color="auto"/>
              <w:right w:val="single" w:sz="4" w:space="0" w:color="auto"/>
            </w:tcBorders>
          </w:tcPr>
          <w:p w:rsidR="006224C2" w:rsidRPr="00295E71" w14:paraId="51A93838" w14:textId="77777777">
            <w:pPr>
              <w:keepNext/>
              <w:keepLines/>
              <w:rPr>
                <w:del w:id="8628" w:author="AbbVie14" w:date="2025-05-09T10:34:00Z"/>
                <w:sz w:val="22"/>
                <w:szCs w:val="22"/>
              </w:rPr>
            </w:pPr>
            <w:del w:id="8629" w:author="AbbVie14" w:date="2025-05-09T10:34:00Z">
              <w:r w:rsidRPr="00295E71">
                <w:rPr>
                  <w:sz w:val="22"/>
                  <w:szCs w:val="22"/>
                </w:rPr>
                <w:delText>Placebo/</w:delText>
              </w:r>
            </w:del>
          </w:p>
          <w:p w:rsidR="006224C2" w:rsidRPr="00295E71" w14:paraId="63DE8E04" w14:textId="77777777">
            <w:pPr>
              <w:keepNext/>
              <w:keepLines/>
              <w:rPr>
                <w:del w:id="8630" w:author="AbbVie14" w:date="2025-05-09T10:34:00Z"/>
                <w:sz w:val="22"/>
                <w:szCs w:val="22"/>
                <w:vertAlign w:val="superscript"/>
              </w:rPr>
            </w:pPr>
            <w:del w:id="8631" w:author="AbbVie14" w:date="2025-05-09T10:34:00Z">
              <w:r w:rsidRPr="00295E71">
                <w:rPr>
                  <w:sz w:val="22"/>
                  <w:szCs w:val="22"/>
                </w:rPr>
                <w:delText>MTX</w:delText>
              </w:r>
            </w:del>
            <w:del w:id="8632" w:author="AbbVie14" w:date="2025-05-09T10:34:00Z">
              <w:r w:rsidRPr="00295E71">
                <w:rPr>
                  <w:sz w:val="22"/>
                  <w:szCs w:val="22"/>
                  <w:vertAlign w:val="superscript"/>
                </w:rPr>
                <w:delText>a</w:delText>
              </w:r>
            </w:del>
          </w:p>
        </w:tc>
        <w:tc>
          <w:tcPr>
            <w:tcW w:w="1790" w:type="dxa"/>
            <w:tcBorders>
              <w:top w:val="single" w:sz="4" w:space="0" w:color="auto"/>
              <w:left w:val="single" w:sz="4" w:space="0" w:color="auto"/>
              <w:bottom w:val="single" w:sz="4" w:space="0" w:color="auto"/>
              <w:right w:val="single" w:sz="4" w:space="0" w:color="auto"/>
            </w:tcBorders>
          </w:tcPr>
          <w:p w:rsidR="006224C2" w:rsidRPr="00295E71" w14:paraId="6BFB08D7" w14:textId="77777777">
            <w:pPr>
              <w:keepNext/>
              <w:keepLines/>
              <w:jc w:val="center"/>
              <w:rPr>
                <w:del w:id="8633" w:author="AbbVie14" w:date="2025-05-09T10:34:00Z"/>
                <w:sz w:val="22"/>
                <w:szCs w:val="22"/>
              </w:rPr>
            </w:pPr>
            <w:del w:id="8634" w:author="AbbVie14" w:date="2025-05-09T10:34:00Z">
              <w:r w:rsidRPr="00295E71">
                <w:rPr>
                  <w:sz w:val="22"/>
                  <w:szCs w:val="22"/>
                </w:rPr>
                <w:delText>Humira/MTX</w:delText>
              </w:r>
            </w:del>
          </w:p>
          <w:p w:rsidR="006224C2" w:rsidRPr="00295E71" w14:paraId="188F14B2" w14:textId="77777777">
            <w:pPr>
              <w:keepNext/>
              <w:keepLines/>
              <w:jc w:val="center"/>
              <w:rPr>
                <w:del w:id="8635" w:author="AbbVie14" w:date="2025-05-09T10:34:00Z"/>
                <w:sz w:val="22"/>
                <w:szCs w:val="22"/>
              </w:rPr>
            </w:pPr>
            <w:del w:id="8636" w:author="AbbVie14" w:date="2025-05-09T10:34:00Z">
              <w:r w:rsidRPr="00295E71">
                <w:rPr>
                  <w:sz w:val="22"/>
                  <w:szCs w:val="22"/>
                </w:rPr>
                <w:delText>40 mg a settimane alterne</w:delText>
              </w:r>
            </w:del>
          </w:p>
        </w:tc>
        <w:tc>
          <w:tcPr>
            <w:tcW w:w="2000" w:type="dxa"/>
            <w:tcBorders>
              <w:top w:val="single" w:sz="4" w:space="0" w:color="auto"/>
              <w:left w:val="single" w:sz="4" w:space="0" w:color="auto"/>
              <w:bottom w:val="single" w:sz="4" w:space="0" w:color="auto"/>
              <w:right w:val="single" w:sz="4" w:space="0" w:color="auto"/>
            </w:tcBorders>
          </w:tcPr>
          <w:p w:rsidR="006224C2" w:rsidRPr="00295E71" w14:paraId="4419BC6B" w14:textId="77777777">
            <w:pPr>
              <w:keepNext/>
              <w:keepLines/>
              <w:jc w:val="center"/>
              <w:rPr>
                <w:del w:id="8637" w:author="AbbVie14" w:date="2025-05-09T10:34:00Z"/>
                <w:sz w:val="22"/>
                <w:szCs w:val="22"/>
              </w:rPr>
            </w:pPr>
            <w:del w:id="8638" w:author="AbbVie14" w:date="2025-05-09T10:34:00Z">
              <w:r w:rsidRPr="00295E71">
                <w:rPr>
                  <w:sz w:val="22"/>
                  <w:szCs w:val="22"/>
                </w:rPr>
                <w:delText>Placebo/MTX-Humira/MTX (intervallo di confidenza 95%</w:delText>
              </w:r>
            </w:del>
            <w:del w:id="8639" w:author="AbbVie14" w:date="2025-05-09T10:34:00Z">
              <w:r w:rsidRPr="00295E71">
                <w:rPr>
                  <w:sz w:val="22"/>
                  <w:szCs w:val="22"/>
                  <w:vertAlign w:val="superscript"/>
                </w:rPr>
                <w:delText>b</w:delText>
              </w:r>
            </w:del>
            <w:del w:id="8640" w:author="AbbVie14" w:date="2025-05-09T10:34:00Z">
              <w:r w:rsidRPr="00295E71">
                <w:rPr>
                  <w:sz w:val="22"/>
                  <w:szCs w:val="22"/>
                </w:rPr>
                <w:delText>)</w:delText>
              </w:r>
            </w:del>
          </w:p>
        </w:tc>
        <w:tc>
          <w:tcPr>
            <w:tcW w:w="1548" w:type="dxa"/>
            <w:tcBorders>
              <w:top w:val="single" w:sz="4" w:space="0" w:color="auto"/>
              <w:left w:val="single" w:sz="4" w:space="0" w:color="auto"/>
              <w:bottom w:val="single" w:sz="4" w:space="0" w:color="auto"/>
              <w:right w:val="single" w:sz="4" w:space="0" w:color="auto"/>
            </w:tcBorders>
          </w:tcPr>
          <w:p w:rsidR="006224C2" w:rsidRPr="00295E71" w14:paraId="2A5E20DA" w14:textId="77777777">
            <w:pPr>
              <w:keepNext/>
              <w:keepLines/>
              <w:jc w:val="center"/>
              <w:rPr>
                <w:del w:id="8641" w:author="AbbVie14" w:date="2025-05-09T10:34:00Z"/>
                <w:sz w:val="22"/>
                <w:szCs w:val="22"/>
              </w:rPr>
            </w:pPr>
            <w:del w:id="8642" w:author="AbbVie14" w:date="2025-05-09T10:34:00Z">
              <w:r w:rsidRPr="00295E71">
                <w:rPr>
                  <w:sz w:val="22"/>
                  <w:szCs w:val="22"/>
                </w:rPr>
                <w:delText>Valore di p</w:delText>
              </w:r>
            </w:del>
          </w:p>
        </w:tc>
      </w:tr>
      <w:tr w14:paraId="26C03590" w14:textId="77777777">
        <w:tblPrEx>
          <w:tblW w:w="0" w:type="auto"/>
          <w:tblLook w:val="0000"/>
        </w:tblPrEx>
        <w:trPr>
          <w:del w:id="8643" w:author="AbbVie14" w:date="2025-05-09T10:34:00Z"/>
        </w:trPr>
        <w:tc>
          <w:tcPr>
            <w:tcW w:w="2088" w:type="dxa"/>
            <w:tcBorders>
              <w:top w:val="single" w:sz="4" w:space="0" w:color="auto"/>
              <w:left w:val="single" w:sz="4" w:space="0" w:color="auto"/>
              <w:bottom w:val="single" w:sz="4" w:space="0" w:color="auto"/>
              <w:right w:val="single" w:sz="4" w:space="0" w:color="auto"/>
            </w:tcBorders>
          </w:tcPr>
          <w:p w:rsidR="006224C2" w:rsidRPr="00295E71" w14:paraId="592B1200" w14:textId="77777777">
            <w:pPr>
              <w:keepNext/>
              <w:keepLines/>
              <w:jc w:val="center"/>
              <w:rPr>
                <w:del w:id="8644" w:author="AbbVie14" w:date="2025-05-09T10:34:00Z"/>
                <w:sz w:val="22"/>
                <w:szCs w:val="22"/>
              </w:rPr>
            </w:pPr>
            <w:del w:id="8645" w:author="AbbVie14" w:date="2025-05-09T10:34:00Z">
              <w:r w:rsidRPr="00295E71">
                <w:rPr>
                  <w:sz w:val="22"/>
                  <w:szCs w:val="22"/>
                </w:rPr>
                <w:delText>Indice Totale di Sharp</w:delText>
              </w:r>
            </w:del>
          </w:p>
        </w:tc>
        <w:tc>
          <w:tcPr>
            <w:tcW w:w="1430" w:type="dxa"/>
            <w:tcBorders>
              <w:top w:val="single" w:sz="4" w:space="0" w:color="auto"/>
              <w:left w:val="single" w:sz="4" w:space="0" w:color="auto"/>
              <w:bottom w:val="single" w:sz="4" w:space="0" w:color="auto"/>
              <w:right w:val="single" w:sz="4" w:space="0" w:color="auto"/>
            </w:tcBorders>
          </w:tcPr>
          <w:p w:rsidR="006224C2" w:rsidRPr="00295E71" w14:paraId="645E5FA4" w14:textId="77777777">
            <w:pPr>
              <w:keepNext/>
              <w:keepLines/>
              <w:jc w:val="center"/>
              <w:rPr>
                <w:del w:id="8646" w:author="AbbVie14" w:date="2025-05-09T10:34:00Z"/>
                <w:sz w:val="22"/>
                <w:szCs w:val="22"/>
              </w:rPr>
            </w:pPr>
            <w:del w:id="8647" w:author="AbbVie14" w:date="2025-05-09T10:34:00Z">
              <w:r w:rsidRPr="00295E71">
                <w:rPr>
                  <w:sz w:val="22"/>
                  <w:szCs w:val="22"/>
                </w:rPr>
                <w:delText>2,7</w:delText>
              </w:r>
            </w:del>
          </w:p>
        </w:tc>
        <w:tc>
          <w:tcPr>
            <w:tcW w:w="1790" w:type="dxa"/>
            <w:tcBorders>
              <w:top w:val="single" w:sz="4" w:space="0" w:color="auto"/>
              <w:left w:val="single" w:sz="4" w:space="0" w:color="auto"/>
              <w:bottom w:val="single" w:sz="4" w:space="0" w:color="auto"/>
              <w:right w:val="single" w:sz="4" w:space="0" w:color="auto"/>
            </w:tcBorders>
          </w:tcPr>
          <w:p w:rsidR="006224C2" w:rsidRPr="00295E71" w14:paraId="13880806" w14:textId="77777777">
            <w:pPr>
              <w:keepNext/>
              <w:keepLines/>
              <w:jc w:val="center"/>
              <w:rPr>
                <w:del w:id="8648" w:author="AbbVie14" w:date="2025-05-09T10:34:00Z"/>
                <w:sz w:val="22"/>
                <w:szCs w:val="22"/>
              </w:rPr>
            </w:pPr>
            <w:del w:id="8649" w:author="AbbVie14" w:date="2025-05-09T10:34:00Z">
              <w:r w:rsidRPr="00295E71">
                <w:rPr>
                  <w:sz w:val="22"/>
                  <w:szCs w:val="22"/>
                </w:rPr>
                <w:delText>0,1</w:delText>
              </w:r>
            </w:del>
          </w:p>
        </w:tc>
        <w:tc>
          <w:tcPr>
            <w:tcW w:w="2000" w:type="dxa"/>
            <w:tcBorders>
              <w:top w:val="single" w:sz="4" w:space="0" w:color="auto"/>
              <w:left w:val="single" w:sz="4" w:space="0" w:color="auto"/>
              <w:bottom w:val="single" w:sz="4" w:space="0" w:color="auto"/>
              <w:right w:val="single" w:sz="4" w:space="0" w:color="auto"/>
            </w:tcBorders>
          </w:tcPr>
          <w:p w:rsidR="006224C2" w:rsidRPr="00295E71" w14:paraId="64A881CE" w14:textId="77777777">
            <w:pPr>
              <w:keepNext/>
              <w:keepLines/>
              <w:jc w:val="center"/>
              <w:rPr>
                <w:del w:id="8650" w:author="AbbVie14" w:date="2025-05-09T10:34:00Z"/>
                <w:sz w:val="22"/>
                <w:szCs w:val="22"/>
              </w:rPr>
            </w:pPr>
            <w:del w:id="8651" w:author="AbbVie14" w:date="2025-05-09T10:34:00Z">
              <w:r w:rsidRPr="00295E71">
                <w:rPr>
                  <w:sz w:val="22"/>
                  <w:szCs w:val="22"/>
                </w:rPr>
                <w:delText xml:space="preserve">2,6 (1,4-3,8) </w:delText>
              </w:r>
            </w:del>
          </w:p>
        </w:tc>
        <w:tc>
          <w:tcPr>
            <w:tcW w:w="1548" w:type="dxa"/>
            <w:tcBorders>
              <w:top w:val="single" w:sz="4" w:space="0" w:color="auto"/>
              <w:left w:val="single" w:sz="4" w:space="0" w:color="auto"/>
              <w:bottom w:val="single" w:sz="4" w:space="0" w:color="auto"/>
              <w:right w:val="single" w:sz="4" w:space="0" w:color="auto"/>
            </w:tcBorders>
          </w:tcPr>
          <w:p w:rsidR="006224C2" w:rsidRPr="00295E71" w14:paraId="2F889B72" w14:textId="77777777">
            <w:pPr>
              <w:keepNext/>
              <w:keepLines/>
              <w:jc w:val="center"/>
              <w:rPr>
                <w:del w:id="8652" w:author="AbbVie14" w:date="2025-05-09T10:34:00Z"/>
                <w:sz w:val="22"/>
                <w:szCs w:val="22"/>
                <w:vertAlign w:val="superscript"/>
              </w:rPr>
            </w:pPr>
            <w:del w:id="8653" w:author="AbbVie14" w:date="2025-05-09T10:34:00Z">
              <w:r w:rsidRPr="00295E71">
                <w:rPr>
                  <w:sz w:val="22"/>
                  <w:szCs w:val="22"/>
                </w:rPr>
                <w:delText>&lt;0,001</w:delText>
              </w:r>
            </w:del>
            <w:del w:id="8654" w:author="AbbVie14" w:date="2025-05-09T10:34:00Z">
              <w:r w:rsidRPr="00295E71">
                <w:rPr>
                  <w:sz w:val="22"/>
                  <w:szCs w:val="22"/>
                  <w:vertAlign w:val="superscript"/>
                </w:rPr>
                <w:delText>c</w:delText>
              </w:r>
            </w:del>
          </w:p>
        </w:tc>
      </w:tr>
      <w:tr w14:paraId="058BDAAE" w14:textId="77777777">
        <w:tblPrEx>
          <w:tblW w:w="0" w:type="auto"/>
          <w:tblLook w:val="0000"/>
        </w:tblPrEx>
        <w:trPr>
          <w:del w:id="8655" w:author="AbbVie14" w:date="2025-05-09T10:34:00Z"/>
        </w:trPr>
        <w:tc>
          <w:tcPr>
            <w:tcW w:w="2088" w:type="dxa"/>
            <w:tcBorders>
              <w:top w:val="single" w:sz="4" w:space="0" w:color="auto"/>
              <w:left w:val="single" w:sz="4" w:space="0" w:color="auto"/>
              <w:bottom w:val="single" w:sz="4" w:space="0" w:color="auto"/>
              <w:right w:val="single" w:sz="4" w:space="0" w:color="auto"/>
            </w:tcBorders>
          </w:tcPr>
          <w:p w:rsidR="006224C2" w:rsidRPr="00295E71" w14:paraId="36D3A44A" w14:textId="77777777">
            <w:pPr>
              <w:jc w:val="center"/>
              <w:rPr>
                <w:del w:id="8656" w:author="AbbVie14" w:date="2025-05-09T10:34:00Z"/>
                <w:sz w:val="22"/>
                <w:szCs w:val="22"/>
              </w:rPr>
            </w:pPr>
            <w:del w:id="8657" w:author="AbbVie14" w:date="2025-05-09T10:34:00Z">
              <w:r w:rsidRPr="00295E71">
                <w:rPr>
                  <w:sz w:val="22"/>
                  <w:szCs w:val="22"/>
                </w:rPr>
                <w:delText>Indice di erosione</w:delText>
              </w:r>
            </w:del>
          </w:p>
        </w:tc>
        <w:tc>
          <w:tcPr>
            <w:tcW w:w="1430" w:type="dxa"/>
            <w:tcBorders>
              <w:top w:val="single" w:sz="4" w:space="0" w:color="auto"/>
              <w:left w:val="single" w:sz="4" w:space="0" w:color="auto"/>
              <w:bottom w:val="single" w:sz="4" w:space="0" w:color="auto"/>
              <w:right w:val="single" w:sz="4" w:space="0" w:color="auto"/>
            </w:tcBorders>
          </w:tcPr>
          <w:p w:rsidR="006224C2" w:rsidRPr="00295E71" w14:paraId="70526F97" w14:textId="77777777">
            <w:pPr>
              <w:jc w:val="center"/>
              <w:rPr>
                <w:del w:id="8658" w:author="AbbVie14" w:date="2025-05-09T10:34:00Z"/>
                <w:sz w:val="22"/>
                <w:szCs w:val="22"/>
              </w:rPr>
            </w:pPr>
            <w:del w:id="8659" w:author="AbbVie14" w:date="2025-05-09T10:34:00Z">
              <w:r w:rsidRPr="00295E71">
                <w:rPr>
                  <w:sz w:val="22"/>
                  <w:szCs w:val="22"/>
                </w:rPr>
                <w:delText>1,6</w:delText>
              </w:r>
            </w:del>
          </w:p>
        </w:tc>
        <w:tc>
          <w:tcPr>
            <w:tcW w:w="1790" w:type="dxa"/>
            <w:tcBorders>
              <w:top w:val="single" w:sz="4" w:space="0" w:color="auto"/>
              <w:left w:val="single" w:sz="4" w:space="0" w:color="auto"/>
              <w:bottom w:val="single" w:sz="4" w:space="0" w:color="auto"/>
              <w:right w:val="single" w:sz="4" w:space="0" w:color="auto"/>
            </w:tcBorders>
          </w:tcPr>
          <w:p w:rsidR="006224C2" w:rsidRPr="00295E71" w14:paraId="258FE35A" w14:textId="77777777">
            <w:pPr>
              <w:jc w:val="center"/>
              <w:rPr>
                <w:del w:id="8660" w:author="AbbVie14" w:date="2025-05-09T10:34:00Z"/>
                <w:sz w:val="22"/>
                <w:szCs w:val="22"/>
              </w:rPr>
            </w:pPr>
            <w:del w:id="8661" w:author="AbbVie14" w:date="2025-05-09T10:34:00Z">
              <w:r w:rsidRPr="00295E71">
                <w:rPr>
                  <w:sz w:val="22"/>
                  <w:szCs w:val="22"/>
                </w:rPr>
                <w:delText>0,0</w:delText>
              </w:r>
            </w:del>
          </w:p>
        </w:tc>
        <w:tc>
          <w:tcPr>
            <w:tcW w:w="2000" w:type="dxa"/>
            <w:tcBorders>
              <w:top w:val="single" w:sz="4" w:space="0" w:color="auto"/>
              <w:left w:val="single" w:sz="4" w:space="0" w:color="auto"/>
              <w:bottom w:val="single" w:sz="4" w:space="0" w:color="auto"/>
              <w:right w:val="single" w:sz="4" w:space="0" w:color="auto"/>
            </w:tcBorders>
          </w:tcPr>
          <w:p w:rsidR="006224C2" w:rsidRPr="00295E71" w14:paraId="1C11B1F7" w14:textId="77777777">
            <w:pPr>
              <w:jc w:val="center"/>
              <w:rPr>
                <w:del w:id="8662" w:author="AbbVie14" w:date="2025-05-09T10:34:00Z"/>
                <w:sz w:val="22"/>
                <w:szCs w:val="22"/>
              </w:rPr>
            </w:pPr>
            <w:del w:id="8663" w:author="AbbVie14" w:date="2025-05-09T10:34:00Z">
              <w:r w:rsidRPr="00295E71">
                <w:rPr>
                  <w:sz w:val="22"/>
                  <w:szCs w:val="22"/>
                </w:rPr>
                <w:delText>1,6 (0,9-2,2)</w:delText>
              </w:r>
            </w:del>
          </w:p>
        </w:tc>
        <w:tc>
          <w:tcPr>
            <w:tcW w:w="1548" w:type="dxa"/>
            <w:tcBorders>
              <w:top w:val="single" w:sz="4" w:space="0" w:color="auto"/>
              <w:left w:val="single" w:sz="4" w:space="0" w:color="auto"/>
              <w:bottom w:val="single" w:sz="4" w:space="0" w:color="auto"/>
              <w:right w:val="single" w:sz="4" w:space="0" w:color="auto"/>
            </w:tcBorders>
          </w:tcPr>
          <w:p w:rsidR="006224C2" w:rsidRPr="00295E71" w14:paraId="6DE50208" w14:textId="77777777">
            <w:pPr>
              <w:jc w:val="center"/>
              <w:rPr>
                <w:del w:id="8664" w:author="AbbVie14" w:date="2025-05-09T10:34:00Z"/>
                <w:sz w:val="22"/>
                <w:szCs w:val="22"/>
              </w:rPr>
            </w:pPr>
            <w:del w:id="8665" w:author="AbbVie14" w:date="2025-05-09T10:34:00Z">
              <w:r w:rsidRPr="00295E71">
                <w:rPr>
                  <w:sz w:val="22"/>
                  <w:szCs w:val="22"/>
                </w:rPr>
                <w:delText>&lt;0,001</w:delText>
              </w:r>
            </w:del>
          </w:p>
        </w:tc>
      </w:tr>
      <w:tr w14:paraId="576BF6C8" w14:textId="77777777">
        <w:tblPrEx>
          <w:tblW w:w="0" w:type="auto"/>
          <w:tblLook w:val="0000"/>
        </w:tblPrEx>
        <w:trPr>
          <w:del w:id="8666" w:author="AbbVie14" w:date="2025-05-09T10:34:00Z"/>
        </w:trPr>
        <w:tc>
          <w:tcPr>
            <w:tcW w:w="2088" w:type="dxa"/>
            <w:tcBorders>
              <w:top w:val="single" w:sz="4" w:space="0" w:color="auto"/>
              <w:left w:val="single" w:sz="4" w:space="0" w:color="auto"/>
              <w:bottom w:val="single" w:sz="4" w:space="0" w:color="auto"/>
              <w:right w:val="single" w:sz="4" w:space="0" w:color="auto"/>
            </w:tcBorders>
          </w:tcPr>
          <w:p w:rsidR="006224C2" w:rsidRPr="00295E71" w14:paraId="6150FCBB" w14:textId="77777777">
            <w:pPr>
              <w:jc w:val="center"/>
              <w:rPr>
                <w:del w:id="8667" w:author="AbbVie14" w:date="2025-05-09T10:34:00Z"/>
                <w:sz w:val="22"/>
                <w:szCs w:val="22"/>
              </w:rPr>
            </w:pPr>
            <w:del w:id="8668" w:author="AbbVie14" w:date="2025-05-09T10:34:00Z">
              <w:r w:rsidRPr="00295E71">
                <w:rPr>
                  <w:sz w:val="22"/>
                  <w:szCs w:val="22"/>
                </w:rPr>
                <w:delText>Indice JSN</w:delText>
              </w:r>
            </w:del>
            <w:del w:id="8669" w:author="AbbVie14" w:date="2025-05-09T10:34:00Z">
              <w:r w:rsidRPr="00295E71">
                <w:rPr>
                  <w:sz w:val="22"/>
                  <w:szCs w:val="22"/>
                  <w:vertAlign w:val="superscript"/>
                </w:rPr>
                <w:delText>d</w:delText>
              </w:r>
            </w:del>
          </w:p>
        </w:tc>
        <w:tc>
          <w:tcPr>
            <w:tcW w:w="1430" w:type="dxa"/>
            <w:tcBorders>
              <w:top w:val="single" w:sz="4" w:space="0" w:color="auto"/>
              <w:left w:val="single" w:sz="4" w:space="0" w:color="auto"/>
              <w:bottom w:val="single" w:sz="4" w:space="0" w:color="auto"/>
              <w:right w:val="single" w:sz="4" w:space="0" w:color="auto"/>
            </w:tcBorders>
          </w:tcPr>
          <w:p w:rsidR="006224C2" w:rsidRPr="00295E71" w14:paraId="7AFC829F" w14:textId="77777777">
            <w:pPr>
              <w:jc w:val="center"/>
              <w:rPr>
                <w:del w:id="8670" w:author="AbbVie14" w:date="2025-05-09T10:34:00Z"/>
                <w:sz w:val="22"/>
                <w:szCs w:val="22"/>
              </w:rPr>
            </w:pPr>
            <w:del w:id="8671" w:author="AbbVie14" w:date="2025-05-09T10:34:00Z">
              <w:r w:rsidRPr="00295E71">
                <w:rPr>
                  <w:sz w:val="22"/>
                  <w:szCs w:val="22"/>
                </w:rPr>
                <w:delText>1,0</w:delText>
              </w:r>
            </w:del>
          </w:p>
        </w:tc>
        <w:tc>
          <w:tcPr>
            <w:tcW w:w="1790" w:type="dxa"/>
            <w:tcBorders>
              <w:top w:val="single" w:sz="4" w:space="0" w:color="auto"/>
              <w:left w:val="single" w:sz="4" w:space="0" w:color="auto"/>
              <w:bottom w:val="single" w:sz="4" w:space="0" w:color="auto"/>
              <w:right w:val="single" w:sz="4" w:space="0" w:color="auto"/>
            </w:tcBorders>
          </w:tcPr>
          <w:p w:rsidR="006224C2" w:rsidRPr="00295E71" w14:paraId="442C1528" w14:textId="77777777">
            <w:pPr>
              <w:jc w:val="center"/>
              <w:rPr>
                <w:del w:id="8672" w:author="AbbVie14" w:date="2025-05-09T10:34:00Z"/>
                <w:sz w:val="22"/>
                <w:szCs w:val="22"/>
              </w:rPr>
            </w:pPr>
            <w:del w:id="8673" w:author="AbbVie14" w:date="2025-05-09T10:34:00Z">
              <w:r w:rsidRPr="00295E71">
                <w:rPr>
                  <w:sz w:val="22"/>
                  <w:szCs w:val="22"/>
                </w:rPr>
                <w:delText>0,1</w:delText>
              </w:r>
            </w:del>
          </w:p>
        </w:tc>
        <w:tc>
          <w:tcPr>
            <w:tcW w:w="2000" w:type="dxa"/>
            <w:tcBorders>
              <w:top w:val="single" w:sz="4" w:space="0" w:color="auto"/>
              <w:left w:val="single" w:sz="4" w:space="0" w:color="auto"/>
              <w:bottom w:val="single" w:sz="4" w:space="0" w:color="auto"/>
              <w:right w:val="single" w:sz="4" w:space="0" w:color="auto"/>
            </w:tcBorders>
          </w:tcPr>
          <w:p w:rsidR="006224C2" w:rsidRPr="00295E71" w14:paraId="6A34820F" w14:textId="77777777">
            <w:pPr>
              <w:jc w:val="center"/>
              <w:rPr>
                <w:del w:id="8674" w:author="AbbVie14" w:date="2025-05-09T10:34:00Z"/>
                <w:sz w:val="22"/>
                <w:szCs w:val="22"/>
              </w:rPr>
            </w:pPr>
            <w:del w:id="8675" w:author="AbbVie14" w:date="2025-05-09T10:34:00Z">
              <w:r w:rsidRPr="00295E71">
                <w:rPr>
                  <w:sz w:val="22"/>
                  <w:szCs w:val="22"/>
                </w:rPr>
                <w:delText>0,9 (0,3-1,4)</w:delText>
              </w:r>
            </w:del>
          </w:p>
        </w:tc>
        <w:tc>
          <w:tcPr>
            <w:tcW w:w="1548" w:type="dxa"/>
            <w:tcBorders>
              <w:top w:val="single" w:sz="4" w:space="0" w:color="auto"/>
              <w:left w:val="single" w:sz="4" w:space="0" w:color="auto"/>
              <w:bottom w:val="single" w:sz="4" w:space="0" w:color="auto"/>
              <w:right w:val="single" w:sz="4" w:space="0" w:color="auto"/>
            </w:tcBorders>
          </w:tcPr>
          <w:p w:rsidR="006224C2" w:rsidRPr="00295E71" w14:paraId="7B6E742E" w14:textId="77777777">
            <w:pPr>
              <w:jc w:val="center"/>
              <w:rPr>
                <w:del w:id="8676" w:author="AbbVie14" w:date="2025-05-09T10:34:00Z"/>
                <w:sz w:val="22"/>
                <w:szCs w:val="22"/>
              </w:rPr>
            </w:pPr>
            <w:del w:id="8677" w:author="AbbVie14" w:date="2025-05-09T10:34:00Z">
              <w:r w:rsidRPr="00295E71">
                <w:rPr>
                  <w:sz w:val="22"/>
                  <w:szCs w:val="22"/>
                </w:rPr>
                <w:delText xml:space="preserve">  0,002</w:delText>
              </w:r>
            </w:del>
          </w:p>
        </w:tc>
      </w:tr>
    </w:tbl>
    <w:p w:rsidR="006224C2" w:rsidRPr="00295E71" w14:paraId="63E72A0D" w14:textId="77777777">
      <w:pPr>
        <w:pStyle w:val="In-textfootnote"/>
        <w:keepNext w:val="0"/>
        <w:spacing w:line="240" w:lineRule="auto"/>
        <w:jc w:val="both"/>
        <w:rPr>
          <w:del w:id="8678" w:author="AbbVie14" w:date="2025-05-09T10:34:00Z"/>
          <w:rFonts w:ascii="Times New Roman" w:hAnsi="Times New Roman" w:cs="Times New Roman"/>
          <w:sz w:val="22"/>
          <w:szCs w:val="22"/>
          <w:lang w:val="it-IT"/>
        </w:rPr>
      </w:pPr>
      <w:del w:id="8679" w:author="AbbVie14" w:date="2025-05-09T10:34:00Z">
        <w:r w:rsidRPr="00295E71">
          <w:rPr>
            <w:rFonts w:ascii="Times New Roman" w:hAnsi="Times New Roman" w:cs="Times New Roman"/>
            <w:b/>
            <w:bCs/>
            <w:sz w:val="22"/>
            <w:szCs w:val="22"/>
            <w:vertAlign w:val="superscript"/>
            <w:lang w:val="it-IT"/>
          </w:rPr>
          <w:delText>a</w:delText>
        </w:r>
      </w:del>
      <w:del w:id="8680" w:author="AbbVie14" w:date="2025-05-09T10:34:00Z">
        <w:r w:rsidRPr="00295E71">
          <w:rPr>
            <w:rFonts w:ascii="Times New Roman" w:hAnsi="Times New Roman" w:cs="Times New Roman"/>
            <w:sz w:val="22"/>
            <w:szCs w:val="22"/>
            <w:lang w:val="it-IT"/>
          </w:rPr>
          <w:delText>metotressato</w:delText>
        </w:r>
      </w:del>
    </w:p>
    <w:p w:rsidR="006224C2" w:rsidRPr="00295E71" w14:paraId="364514EE" w14:textId="77777777">
      <w:pPr>
        <w:pStyle w:val="In-textfootnote"/>
        <w:keepNext w:val="0"/>
        <w:spacing w:line="240" w:lineRule="auto"/>
        <w:jc w:val="both"/>
        <w:rPr>
          <w:del w:id="8681" w:author="AbbVie14" w:date="2025-05-09T10:34:00Z"/>
          <w:rFonts w:ascii="Times New Roman" w:hAnsi="Times New Roman" w:cs="Times New Roman"/>
          <w:sz w:val="22"/>
          <w:szCs w:val="22"/>
          <w:lang w:val="it-IT"/>
        </w:rPr>
      </w:pPr>
      <w:del w:id="8682" w:author="AbbVie14" w:date="2025-05-09T10:34:00Z">
        <w:r w:rsidRPr="00295E71">
          <w:rPr>
            <w:rFonts w:ascii="Times New Roman" w:hAnsi="Times New Roman" w:cs="Times New Roman"/>
            <w:sz w:val="22"/>
            <w:szCs w:val="22"/>
            <w:vertAlign w:val="superscript"/>
            <w:lang w:val="it-IT"/>
          </w:rPr>
          <w:delText>b</w:delText>
        </w:r>
      </w:del>
      <w:del w:id="8683" w:author="AbbVie14" w:date="2025-05-09T10:34:00Z">
        <w:r w:rsidRPr="00295E71">
          <w:rPr>
            <w:rFonts w:ascii="Times New Roman" w:hAnsi="Times New Roman" w:cs="Times New Roman"/>
            <w:sz w:val="22"/>
            <w:szCs w:val="22"/>
            <w:lang w:val="it-IT"/>
          </w:rPr>
          <w:delText xml:space="preserve"> Intervallo di confidenza del 95% per le differenze nelle variazioni degli indici tra metotressato e Humira.</w:delText>
        </w:r>
      </w:del>
    </w:p>
    <w:p w:rsidR="006224C2" w:rsidRPr="00295E71" w14:paraId="1340D0FF" w14:textId="77777777">
      <w:pPr>
        <w:pStyle w:val="In-textfootnote"/>
        <w:keepNext w:val="0"/>
        <w:spacing w:line="240" w:lineRule="auto"/>
        <w:jc w:val="both"/>
        <w:rPr>
          <w:del w:id="8684" w:author="AbbVie14" w:date="2025-05-09T10:34:00Z"/>
          <w:rFonts w:ascii="Times New Roman" w:hAnsi="Times New Roman" w:cs="Times New Roman"/>
          <w:sz w:val="22"/>
          <w:szCs w:val="22"/>
          <w:lang w:val="it-IT"/>
        </w:rPr>
      </w:pPr>
      <w:del w:id="8685" w:author="AbbVie14" w:date="2025-05-09T10:34:00Z">
        <w:r w:rsidRPr="00295E71">
          <w:rPr>
            <w:rFonts w:ascii="Times New Roman" w:hAnsi="Times New Roman" w:cs="Times New Roman"/>
            <w:sz w:val="22"/>
            <w:szCs w:val="22"/>
            <w:vertAlign w:val="superscript"/>
            <w:lang w:val="it-IT"/>
          </w:rPr>
          <w:delText>c</w:delText>
        </w:r>
      </w:del>
      <w:del w:id="8686" w:author="AbbVie14" w:date="2025-05-09T10:34:00Z">
        <w:r w:rsidRPr="00295E71">
          <w:rPr>
            <w:rFonts w:ascii="Times New Roman" w:hAnsi="Times New Roman" w:cs="Times New Roman"/>
            <w:sz w:val="22"/>
            <w:szCs w:val="22"/>
            <w:lang w:val="it-IT"/>
          </w:rPr>
          <w:delText>Basato sull’analisi a ranghi</w:delText>
        </w:r>
      </w:del>
    </w:p>
    <w:p w:rsidR="006224C2" w:rsidRPr="00295E71" w14:paraId="389E74A5" w14:textId="77777777">
      <w:pPr>
        <w:pStyle w:val="In-textfootnote"/>
        <w:keepNext w:val="0"/>
        <w:spacing w:line="240" w:lineRule="auto"/>
        <w:jc w:val="both"/>
        <w:rPr>
          <w:del w:id="8687" w:author="AbbVie14" w:date="2025-05-09T10:34:00Z"/>
          <w:rFonts w:ascii="Times New Roman" w:hAnsi="Times New Roman" w:cs="Times New Roman"/>
          <w:sz w:val="22"/>
          <w:szCs w:val="22"/>
          <w:lang w:val="it-IT"/>
        </w:rPr>
      </w:pPr>
      <w:del w:id="8688" w:author="AbbVie14" w:date="2025-05-09T10:34:00Z">
        <w:r w:rsidRPr="00295E71">
          <w:rPr>
            <w:rFonts w:ascii="Times New Roman" w:hAnsi="Times New Roman" w:cs="Times New Roman"/>
            <w:sz w:val="22"/>
            <w:szCs w:val="22"/>
            <w:vertAlign w:val="superscript"/>
            <w:lang w:val="it-IT"/>
          </w:rPr>
          <w:delText>d</w:delText>
        </w:r>
      </w:del>
      <w:del w:id="8689" w:author="AbbVie14" w:date="2025-05-09T10:34:00Z">
        <w:r w:rsidRPr="00295E71">
          <w:rPr>
            <w:rFonts w:ascii="Times New Roman" w:hAnsi="Times New Roman" w:cs="Times New Roman"/>
            <w:sz w:val="22"/>
            <w:szCs w:val="22"/>
            <w:lang w:val="it-IT"/>
          </w:rPr>
          <w:delText>Joint Space Narrowing (riduzione della rima articolare)</w:delText>
        </w:r>
      </w:del>
    </w:p>
    <w:p w:rsidR="006224C2" w:rsidRPr="00295E71" w14:paraId="31EDA5A6" w14:textId="77777777">
      <w:pPr>
        <w:tabs>
          <w:tab w:val="left" w:pos="567"/>
        </w:tabs>
        <w:jc w:val="both"/>
        <w:rPr>
          <w:del w:id="8690" w:author="AbbVie14" w:date="2025-05-09T10:34:00Z"/>
          <w:sz w:val="22"/>
          <w:szCs w:val="22"/>
        </w:rPr>
      </w:pPr>
    </w:p>
    <w:p w:rsidR="006224C2" w:rsidRPr="00295E71" w14:paraId="04F8A4A1" w14:textId="77777777">
      <w:pPr>
        <w:tabs>
          <w:tab w:val="left" w:pos="567"/>
        </w:tabs>
        <w:jc w:val="both"/>
        <w:rPr>
          <w:del w:id="8691" w:author="AbbVie14" w:date="2025-05-09T10:34:00Z"/>
          <w:sz w:val="22"/>
          <w:szCs w:val="22"/>
        </w:rPr>
      </w:pPr>
      <w:del w:id="8692" w:author="AbbVie14" w:date="2025-05-09T10:34:00Z">
        <w:r w:rsidRPr="00295E71">
          <w:rPr>
            <w:sz w:val="22"/>
            <w:szCs w:val="22"/>
          </w:rPr>
          <w:delText xml:space="preserve">Nello studio AR V, il danno articolare strutturale è stato valutato radiograficamente ed è espresso in termini di variazione dell’Indice Totale di Sharp modificato (vedere Tabella </w:delText>
        </w:r>
      </w:del>
      <w:del w:id="8693" w:author="AbbVie14" w:date="2025-05-09T10:34:00Z">
        <w:r w:rsidRPr="00295E71" w:rsidR="00326430">
          <w:rPr>
            <w:sz w:val="22"/>
            <w:szCs w:val="22"/>
          </w:rPr>
          <w:delText>1</w:delText>
        </w:r>
      </w:del>
      <w:del w:id="8694" w:author="AbbVie14" w:date="2025-05-09T10:34:00Z">
        <w:r w:rsidR="005C4AD7">
          <w:rPr>
            <w:sz w:val="22"/>
            <w:szCs w:val="22"/>
          </w:rPr>
          <w:delText>1</w:delText>
        </w:r>
      </w:del>
      <w:del w:id="8695" w:author="AbbVie14" w:date="2025-05-09T10:34:00Z">
        <w:r w:rsidRPr="00295E71">
          <w:rPr>
            <w:sz w:val="22"/>
            <w:szCs w:val="22"/>
          </w:rPr>
          <w:delText>).</w:delText>
        </w:r>
      </w:del>
    </w:p>
    <w:p w:rsidR="006224C2" w:rsidRPr="00295E71" w14:paraId="51D0675D" w14:textId="77777777">
      <w:pPr>
        <w:tabs>
          <w:tab w:val="left" w:pos="567"/>
        </w:tabs>
        <w:jc w:val="both"/>
        <w:rPr>
          <w:del w:id="8696" w:author="AbbVie14" w:date="2025-05-09T10:34:00Z"/>
          <w:sz w:val="22"/>
          <w:szCs w:val="22"/>
        </w:rPr>
      </w:pPr>
    </w:p>
    <w:tbl>
      <w:tblPr>
        <w:tblW w:w="8910" w:type="dxa"/>
        <w:tblInd w:w="108" w:type="dxa"/>
        <w:tblLayout w:type="fixed"/>
        <w:tblLook w:val="0000"/>
      </w:tblPr>
      <w:tblGrid>
        <w:gridCol w:w="1430"/>
        <w:gridCol w:w="1540"/>
        <w:gridCol w:w="1482"/>
        <w:gridCol w:w="1488"/>
        <w:gridCol w:w="990"/>
        <w:gridCol w:w="990"/>
        <w:gridCol w:w="990"/>
      </w:tblGrid>
      <w:tr w14:paraId="32A6D566" w14:textId="77777777" w:rsidTr="00F57FE5">
        <w:tblPrEx>
          <w:tblW w:w="8910" w:type="dxa"/>
          <w:tblInd w:w="108" w:type="dxa"/>
          <w:tblLayout w:type="fixed"/>
          <w:tblLook w:val="0000"/>
        </w:tblPrEx>
        <w:trPr>
          <w:cantSplit/>
          <w:del w:id="8697" w:author="AbbVie14" w:date="2025-05-09T10:34:00Z"/>
        </w:trPr>
        <w:tc>
          <w:tcPr>
            <w:tcW w:w="8910" w:type="dxa"/>
            <w:gridSpan w:val="7"/>
            <w:tcBorders>
              <w:bottom w:val="single" w:sz="4" w:space="0" w:color="auto"/>
            </w:tcBorders>
          </w:tcPr>
          <w:p w:rsidR="006224C2" w:rsidRPr="00295E71" w14:paraId="431A4170" w14:textId="77777777">
            <w:pPr>
              <w:pStyle w:val="Heading5"/>
              <w:keepNext w:val="0"/>
              <w:rPr>
                <w:del w:id="8698" w:author="AbbVie14" w:date="2025-05-09T10:34:00Z"/>
                <w:lang w:val="it-IT"/>
              </w:rPr>
            </w:pPr>
            <w:del w:id="8699" w:author="AbbVie14" w:date="2025-05-09T10:34:00Z">
              <w:r w:rsidRPr="00295E71">
                <w:rPr>
                  <w:lang w:val="it-IT"/>
                </w:rPr>
                <w:br w:type="page"/>
                <w:delText xml:space="preserve">Tabella </w:delText>
              </w:r>
            </w:del>
            <w:del w:id="8700" w:author="AbbVie14" w:date="2025-05-09T10:34:00Z">
              <w:r w:rsidRPr="00295E71" w:rsidR="00326430">
                <w:rPr>
                  <w:lang w:val="it-IT"/>
                </w:rPr>
                <w:delText>1</w:delText>
              </w:r>
            </w:del>
            <w:del w:id="8701" w:author="AbbVie14" w:date="2025-05-09T10:34:00Z">
              <w:r w:rsidR="005C4AD7">
                <w:rPr>
                  <w:lang w:val="it-IT"/>
                </w:rPr>
                <w:delText>1</w:delText>
              </w:r>
            </w:del>
          </w:p>
          <w:p w:rsidR="006224C2" w:rsidRPr="00295E71" w14:paraId="614D39AE" w14:textId="77777777">
            <w:pPr>
              <w:pStyle w:val="Heading5"/>
              <w:keepNext w:val="0"/>
              <w:rPr>
                <w:del w:id="8702" w:author="AbbVie14" w:date="2025-05-09T10:34:00Z"/>
                <w:lang w:val="it-IT"/>
              </w:rPr>
            </w:pPr>
            <w:del w:id="8703" w:author="AbbVie14" w:date="2025-05-09T10:34:00Z">
              <w:r w:rsidRPr="00295E71">
                <w:rPr>
                  <w:lang w:val="it-IT"/>
                </w:rPr>
                <w:delText>Variazioni radiografiche medie alla settimana 52 nello studio AR V</w:delText>
              </w:r>
            </w:del>
          </w:p>
          <w:p w:rsidR="006224C2" w:rsidRPr="00295E71" w14:paraId="6AAAB9CD" w14:textId="77777777">
            <w:pPr>
              <w:rPr>
                <w:del w:id="8704" w:author="AbbVie14" w:date="2025-05-09T10:34:00Z"/>
                <w:sz w:val="22"/>
                <w:szCs w:val="22"/>
              </w:rPr>
            </w:pPr>
          </w:p>
        </w:tc>
      </w:tr>
      <w:tr w14:paraId="25339A7B" w14:textId="77777777" w:rsidTr="00F57FE5">
        <w:tblPrEx>
          <w:tblW w:w="8910" w:type="dxa"/>
          <w:tblInd w:w="108" w:type="dxa"/>
          <w:tblLayout w:type="fixed"/>
          <w:tblLook w:val="0000"/>
        </w:tblPrEx>
        <w:trPr>
          <w:del w:id="8705" w:author="AbbVie14" w:date="2025-05-09T10:34:00Z"/>
        </w:trPr>
        <w:tc>
          <w:tcPr>
            <w:tcW w:w="1430" w:type="dxa"/>
            <w:tcBorders>
              <w:top w:val="single" w:sz="4" w:space="0" w:color="auto"/>
              <w:left w:val="single" w:sz="4" w:space="0" w:color="auto"/>
              <w:bottom w:val="single" w:sz="4" w:space="0" w:color="auto"/>
              <w:right w:val="single" w:sz="4" w:space="0" w:color="auto"/>
            </w:tcBorders>
            <w:vAlign w:val="center"/>
          </w:tcPr>
          <w:p w:rsidR="006224C2" w:rsidRPr="00295E71" w14:paraId="4555816C" w14:textId="77777777">
            <w:pPr>
              <w:pStyle w:val="EndnoteText"/>
              <w:tabs>
                <w:tab w:val="clear" w:pos="567"/>
              </w:tabs>
              <w:rPr>
                <w:del w:id="8706" w:author="AbbVie14" w:date="2025-05-09T10:34:00Z"/>
                <w:lang w:val="it-IT" w:eastAsia="it-IT"/>
              </w:rPr>
            </w:pPr>
          </w:p>
        </w:tc>
        <w:tc>
          <w:tcPr>
            <w:tcW w:w="1540" w:type="dxa"/>
            <w:tcBorders>
              <w:top w:val="single" w:sz="4" w:space="0" w:color="auto"/>
              <w:left w:val="single" w:sz="4" w:space="0" w:color="auto"/>
              <w:bottom w:val="single" w:sz="4" w:space="0" w:color="auto"/>
              <w:right w:val="single" w:sz="4" w:space="0" w:color="auto"/>
            </w:tcBorders>
            <w:vAlign w:val="center"/>
          </w:tcPr>
          <w:p w:rsidR="006224C2" w:rsidRPr="00295E71" w14:paraId="7C52DE21" w14:textId="77777777">
            <w:pPr>
              <w:jc w:val="center"/>
              <w:rPr>
                <w:del w:id="8707" w:author="AbbVie14" w:date="2025-05-09T10:34:00Z"/>
                <w:sz w:val="22"/>
                <w:szCs w:val="22"/>
              </w:rPr>
            </w:pPr>
            <w:del w:id="8708" w:author="AbbVie14" w:date="2025-05-09T10:34:00Z">
              <w:r w:rsidRPr="00295E71">
                <w:rPr>
                  <w:sz w:val="22"/>
                  <w:szCs w:val="22"/>
                </w:rPr>
                <w:delText>MTX</w:delText>
              </w:r>
            </w:del>
          </w:p>
          <w:p w:rsidR="006224C2" w:rsidRPr="00295E71" w14:paraId="12208649" w14:textId="77777777">
            <w:pPr>
              <w:jc w:val="center"/>
              <w:rPr>
                <w:del w:id="8709" w:author="AbbVie14" w:date="2025-05-09T10:34:00Z"/>
                <w:sz w:val="22"/>
                <w:szCs w:val="22"/>
              </w:rPr>
            </w:pPr>
            <w:del w:id="8710" w:author="AbbVie14" w:date="2025-05-09T10:34:00Z">
              <w:r w:rsidRPr="00295E71">
                <w:rPr>
                  <w:sz w:val="22"/>
                  <w:szCs w:val="22"/>
                </w:rPr>
                <w:delText>n=257</w:delText>
              </w:r>
            </w:del>
          </w:p>
          <w:p w:rsidR="006224C2" w:rsidRPr="00295E71" w14:paraId="04CC6063" w14:textId="77777777">
            <w:pPr>
              <w:jc w:val="center"/>
              <w:rPr>
                <w:del w:id="8711" w:author="AbbVie14" w:date="2025-05-09T10:34:00Z"/>
                <w:sz w:val="22"/>
                <w:szCs w:val="22"/>
              </w:rPr>
            </w:pPr>
            <w:del w:id="8712" w:author="AbbVie14" w:date="2025-05-09T10:34:00Z">
              <w:r w:rsidRPr="00295E71">
                <w:rPr>
                  <w:sz w:val="22"/>
                  <w:szCs w:val="22"/>
                </w:rPr>
                <w:delText>(95% intervallo di confidenza)</w:delText>
              </w:r>
            </w:del>
          </w:p>
        </w:tc>
        <w:tc>
          <w:tcPr>
            <w:tcW w:w="1482" w:type="dxa"/>
            <w:tcBorders>
              <w:top w:val="single" w:sz="4" w:space="0" w:color="auto"/>
              <w:left w:val="single" w:sz="4" w:space="0" w:color="auto"/>
              <w:bottom w:val="single" w:sz="4" w:space="0" w:color="auto"/>
              <w:right w:val="single" w:sz="4" w:space="0" w:color="auto"/>
            </w:tcBorders>
            <w:vAlign w:val="center"/>
          </w:tcPr>
          <w:p w:rsidR="006224C2" w:rsidRPr="00295E71" w14:paraId="2F9A5C7B" w14:textId="77777777">
            <w:pPr>
              <w:jc w:val="center"/>
              <w:rPr>
                <w:del w:id="8713" w:author="AbbVie14" w:date="2025-05-09T10:34:00Z"/>
                <w:sz w:val="22"/>
                <w:szCs w:val="22"/>
              </w:rPr>
            </w:pPr>
            <w:del w:id="8714" w:author="AbbVie14" w:date="2025-05-09T10:34:00Z">
              <w:r w:rsidRPr="00295E71">
                <w:rPr>
                  <w:sz w:val="22"/>
                  <w:szCs w:val="22"/>
                </w:rPr>
                <w:delText>Humira</w:delText>
              </w:r>
            </w:del>
          </w:p>
          <w:p w:rsidR="006224C2" w:rsidRPr="00295E71" w14:paraId="4FDA9C18" w14:textId="77777777">
            <w:pPr>
              <w:pStyle w:val="EMEAFigureTitle"/>
              <w:jc w:val="center"/>
              <w:rPr>
                <w:del w:id="8715" w:author="AbbVie14" w:date="2025-05-09T10:34:00Z"/>
                <w:lang w:val="it-IT"/>
              </w:rPr>
            </w:pPr>
            <w:del w:id="8716" w:author="AbbVie14" w:date="2025-05-09T10:34:00Z">
              <w:r w:rsidRPr="00295E71">
                <w:rPr>
                  <w:lang w:val="it-IT"/>
                </w:rPr>
                <w:delText>n=274</w:delText>
              </w:r>
            </w:del>
          </w:p>
          <w:p w:rsidR="006224C2" w:rsidRPr="00295E71" w14:paraId="10A33484" w14:textId="77777777">
            <w:pPr>
              <w:jc w:val="center"/>
              <w:rPr>
                <w:del w:id="8717" w:author="AbbVie14" w:date="2025-05-09T10:34:00Z"/>
                <w:sz w:val="22"/>
                <w:szCs w:val="22"/>
              </w:rPr>
            </w:pPr>
            <w:del w:id="8718" w:author="AbbVie14" w:date="2025-05-09T10:34:00Z">
              <w:r w:rsidRPr="00295E71">
                <w:rPr>
                  <w:sz w:val="22"/>
                  <w:szCs w:val="22"/>
                </w:rPr>
                <w:delText>(95% intervallo di confidenza)</w:delText>
              </w:r>
            </w:del>
          </w:p>
        </w:tc>
        <w:tc>
          <w:tcPr>
            <w:tcW w:w="1488" w:type="dxa"/>
            <w:tcBorders>
              <w:top w:val="single" w:sz="4" w:space="0" w:color="auto"/>
              <w:left w:val="single" w:sz="4" w:space="0" w:color="auto"/>
              <w:bottom w:val="single" w:sz="4" w:space="0" w:color="auto"/>
              <w:right w:val="single" w:sz="4" w:space="0" w:color="auto"/>
            </w:tcBorders>
            <w:vAlign w:val="center"/>
          </w:tcPr>
          <w:p w:rsidR="006224C2" w:rsidRPr="00295E71" w14:paraId="60225FBA" w14:textId="77777777">
            <w:pPr>
              <w:jc w:val="center"/>
              <w:rPr>
                <w:del w:id="8719" w:author="AbbVie14" w:date="2025-05-09T10:34:00Z"/>
                <w:sz w:val="22"/>
                <w:szCs w:val="22"/>
              </w:rPr>
            </w:pPr>
            <w:del w:id="8720" w:author="AbbVie14" w:date="2025-05-09T10:34:00Z">
              <w:r w:rsidRPr="00295E71">
                <w:rPr>
                  <w:sz w:val="22"/>
                  <w:szCs w:val="22"/>
                </w:rPr>
                <w:delText>Humira/MTX</w:delText>
              </w:r>
            </w:del>
          </w:p>
          <w:p w:rsidR="006224C2" w:rsidRPr="00295E71" w14:paraId="21BF501E" w14:textId="77777777">
            <w:pPr>
              <w:pStyle w:val="EMEAFigureTitle"/>
              <w:jc w:val="center"/>
              <w:rPr>
                <w:del w:id="8721" w:author="AbbVie14" w:date="2025-05-09T10:34:00Z"/>
                <w:lang w:val="it-IT"/>
              </w:rPr>
            </w:pPr>
            <w:del w:id="8722" w:author="AbbVie14" w:date="2025-05-09T10:34:00Z">
              <w:r w:rsidRPr="00295E71">
                <w:rPr>
                  <w:lang w:val="it-IT"/>
                </w:rPr>
                <w:delText>n=268</w:delText>
              </w:r>
            </w:del>
          </w:p>
          <w:p w:rsidR="006224C2" w:rsidRPr="00295E71" w14:paraId="437157CE" w14:textId="77777777">
            <w:pPr>
              <w:pStyle w:val="EMEANormal"/>
              <w:jc w:val="center"/>
              <w:rPr>
                <w:del w:id="8723" w:author="AbbVie14" w:date="2025-05-09T10:34:00Z"/>
                <w:lang w:val="it-IT"/>
              </w:rPr>
            </w:pPr>
            <w:del w:id="8724" w:author="AbbVie14" w:date="2025-05-09T10:34:00Z">
              <w:r w:rsidRPr="00295E71">
                <w:rPr>
                  <w:lang w:val="it-IT"/>
                </w:rPr>
                <w:delText>(95% intervallo di confidenza)</w:delText>
              </w:r>
            </w:del>
          </w:p>
        </w:tc>
        <w:tc>
          <w:tcPr>
            <w:tcW w:w="990" w:type="dxa"/>
            <w:tcBorders>
              <w:top w:val="single" w:sz="4" w:space="0" w:color="auto"/>
              <w:left w:val="single" w:sz="4" w:space="0" w:color="auto"/>
              <w:bottom w:val="single" w:sz="4" w:space="0" w:color="auto"/>
              <w:right w:val="single" w:sz="4" w:space="0" w:color="auto"/>
            </w:tcBorders>
            <w:vAlign w:val="center"/>
          </w:tcPr>
          <w:p w:rsidR="006224C2" w:rsidRPr="00295E71" w14:paraId="6E42498F" w14:textId="77777777">
            <w:pPr>
              <w:pStyle w:val="EMEANormal"/>
              <w:jc w:val="center"/>
              <w:rPr>
                <w:del w:id="8725" w:author="AbbVie14" w:date="2025-05-09T10:34:00Z"/>
                <w:lang w:val="it-IT"/>
              </w:rPr>
            </w:pPr>
            <w:del w:id="8726" w:author="AbbVie14" w:date="2025-05-09T10:34:00Z">
              <w:r w:rsidRPr="00295E71">
                <w:rPr>
                  <w:lang w:val="it-IT"/>
                </w:rPr>
                <w:delText>Valore p</w:delText>
              </w:r>
            </w:del>
            <w:del w:id="8727" w:author="AbbVie14" w:date="2025-05-09T10:34:00Z">
              <w:r w:rsidRPr="00295E71">
                <w:rPr>
                  <w:vertAlign w:val="superscript"/>
                  <w:lang w:val="it-IT"/>
                </w:rPr>
                <w:delText>a</w:delText>
              </w:r>
            </w:del>
          </w:p>
        </w:tc>
        <w:tc>
          <w:tcPr>
            <w:tcW w:w="990" w:type="dxa"/>
            <w:tcBorders>
              <w:top w:val="single" w:sz="4" w:space="0" w:color="auto"/>
              <w:left w:val="single" w:sz="4" w:space="0" w:color="auto"/>
              <w:bottom w:val="single" w:sz="4" w:space="0" w:color="auto"/>
              <w:right w:val="single" w:sz="4" w:space="0" w:color="auto"/>
            </w:tcBorders>
            <w:vAlign w:val="center"/>
          </w:tcPr>
          <w:p w:rsidR="006224C2" w:rsidRPr="00295E71" w14:paraId="000CD6FC" w14:textId="77777777">
            <w:pPr>
              <w:jc w:val="center"/>
              <w:rPr>
                <w:del w:id="8728" w:author="AbbVie14" w:date="2025-05-09T10:34:00Z"/>
                <w:sz w:val="22"/>
                <w:szCs w:val="22"/>
              </w:rPr>
            </w:pPr>
            <w:del w:id="8729" w:author="AbbVie14" w:date="2025-05-09T10:34:00Z">
              <w:r w:rsidRPr="00295E71">
                <w:rPr>
                  <w:sz w:val="22"/>
                  <w:szCs w:val="22"/>
                </w:rPr>
                <w:delText>Valore p</w:delText>
              </w:r>
            </w:del>
            <w:del w:id="8730" w:author="AbbVie14" w:date="2025-05-09T10:34:00Z">
              <w:r w:rsidRPr="00295E71">
                <w:rPr>
                  <w:sz w:val="22"/>
                  <w:szCs w:val="22"/>
                  <w:vertAlign w:val="superscript"/>
                </w:rPr>
                <w:delText>b</w:delText>
              </w:r>
            </w:del>
          </w:p>
        </w:tc>
        <w:tc>
          <w:tcPr>
            <w:tcW w:w="990" w:type="dxa"/>
            <w:tcBorders>
              <w:top w:val="single" w:sz="4" w:space="0" w:color="auto"/>
              <w:left w:val="single" w:sz="4" w:space="0" w:color="auto"/>
              <w:bottom w:val="single" w:sz="4" w:space="0" w:color="auto"/>
              <w:right w:val="single" w:sz="4" w:space="0" w:color="auto"/>
            </w:tcBorders>
            <w:vAlign w:val="center"/>
          </w:tcPr>
          <w:p w:rsidR="006224C2" w:rsidRPr="00295E71" w14:paraId="07A0218C" w14:textId="77777777">
            <w:pPr>
              <w:jc w:val="center"/>
              <w:rPr>
                <w:del w:id="8731" w:author="AbbVie14" w:date="2025-05-09T10:34:00Z"/>
                <w:sz w:val="22"/>
                <w:szCs w:val="22"/>
              </w:rPr>
            </w:pPr>
            <w:del w:id="8732" w:author="AbbVie14" w:date="2025-05-09T10:34:00Z">
              <w:r w:rsidRPr="00295E71">
                <w:rPr>
                  <w:sz w:val="22"/>
                  <w:szCs w:val="22"/>
                </w:rPr>
                <w:delText>Valore p</w:delText>
              </w:r>
            </w:del>
            <w:del w:id="8733" w:author="AbbVie14" w:date="2025-05-09T10:34:00Z">
              <w:r w:rsidRPr="00295E71">
                <w:rPr>
                  <w:sz w:val="22"/>
                  <w:szCs w:val="22"/>
                  <w:vertAlign w:val="superscript"/>
                </w:rPr>
                <w:delText>c</w:delText>
              </w:r>
            </w:del>
          </w:p>
        </w:tc>
      </w:tr>
      <w:tr w14:paraId="0B0A9BFB" w14:textId="77777777" w:rsidTr="00F57FE5">
        <w:tblPrEx>
          <w:tblW w:w="8910" w:type="dxa"/>
          <w:tblInd w:w="108" w:type="dxa"/>
          <w:tblLayout w:type="fixed"/>
          <w:tblLook w:val="0000"/>
        </w:tblPrEx>
        <w:trPr>
          <w:del w:id="8734" w:author="AbbVie14" w:date="2025-05-09T10:34:00Z"/>
        </w:trPr>
        <w:tc>
          <w:tcPr>
            <w:tcW w:w="1430" w:type="dxa"/>
            <w:tcBorders>
              <w:top w:val="single" w:sz="4" w:space="0" w:color="auto"/>
              <w:left w:val="single" w:sz="4" w:space="0" w:color="auto"/>
              <w:bottom w:val="single" w:sz="4" w:space="0" w:color="auto"/>
              <w:right w:val="single" w:sz="4" w:space="0" w:color="auto"/>
            </w:tcBorders>
          </w:tcPr>
          <w:p w:rsidR="006224C2" w:rsidRPr="00295E71" w14:paraId="47BA1EAB" w14:textId="77777777">
            <w:pPr>
              <w:pStyle w:val="EMEAFigureTitle"/>
              <w:jc w:val="center"/>
              <w:rPr>
                <w:del w:id="8735" w:author="AbbVie14" w:date="2025-05-09T10:34:00Z"/>
                <w:lang w:val="it-IT"/>
              </w:rPr>
            </w:pPr>
            <w:del w:id="8736" w:author="AbbVie14" w:date="2025-05-09T10:34:00Z">
              <w:r w:rsidRPr="00295E71">
                <w:rPr>
                  <w:lang w:val="it-IT"/>
                </w:rPr>
                <w:delText>Indice Totale di Sharp</w:delText>
              </w:r>
            </w:del>
          </w:p>
        </w:tc>
        <w:tc>
          <w:tcPr>
            <w:tcW w:w="1540" w:type="dxa"/>
            <w:tcBorders>
              <w:top w:val="single" w:sz="4" w:space="0" w:color="auto"/>
              <w:left w:val="single" w:sz="4" w:space="0" w:color="auto"/>
              <w:bottom w:val="single" w:sz="4" w:space="0" w:color="auto"/>
              <w:right w:val="single" w:sz="4" w:space="0" w:color="auto"/>
            </w:tcBorders>
          </w:tcPr>
          <w:p w:rsidR="006224C2" w:rsidRPr="00295E71" w14:paraId="4A376069" w14:textId="77777777">
            <w:pPr>
              <w:jc w:val="center"/>
              <w:rPr>
                <w:del w:id="8737" w:author="AbbVie14" w:date="2025-05-09T10:34:00Z"/>
                <w:sz w:val="22"/>
                <w:szCs w:val="22"/>
              </w:rPr>
            </w:pPr>
            <w:del w:id="8738" w:author="AbbVie14" w:date="2025-05-09T10:34:00Z">
              <w:r w:rsidRPr="00295E71">
                <w:rPr>
                  <w:sz w:val="22"/>
                  <w:szCs w:val="22"/>
                </w:rPr>
                <w:delText>5,7 (4,2-7,3)</w:delText>
              </w:r>
            </w:del>
          </w:p>
        </w:tc>
        <w:tc>
          <w:tcPr>
            <w:tcW w:w="1482" w:type="dxa"/>
            <w:tcBorders>
              <w:top w:val="single" w:sz="4" w:space="0" w:color="auto"/>
              <w:left w:val="single" w:sz="4" w:space="0" w:color="auto"/>
              <w:bottom w:val="single" w:sz="4" w:space="0" w:color="auto"/>
              <w:right w:val="single" w:sz="4" w:space="0" w:color="auto"/>
            </w:tcBorders>
          </w:tcPr>
          <w:p w:rsidR="006224C2" w:rsidRPr="00295E71" w14:paraId="497A7143" w14:textId="77777777">
            <w:pPr>
              <w:pStyle w:val="EndnoteText"/>
              <w:jc w:val="center"/>
              <w:rPr>
                <w:del w:id="8739" w:author="AbbVie14" w:date="2025-05-09T10:34:00Z"/>
                <w:lang w:val="it-IT"/>
              </w:rPr>
            </w:pPr>
            <w:del w:id="8740" w:author="AbbVie14" w:date="2025-05-09T10:34:00Z">
              <w:r w:rsidRPr="00295E71">
                <w:rPr>
                  <w:lang w:val="it-IT"/>
                </w:rPr>
                <w:delText>3,0 (1,7-4,3)</w:delText>
              </w:r>
            </w:del>
          </w:p>
        </w:tc>
        <w:tc>
          <w:tcPr>
            <w:tcW w:w="1488" w:type="dxa"/>
            <w:tcBorders>
              <w:top w:val="single" w:sz="4" w:space="0" w:color="auto"/>
              <w:left w:val="single" w:sz="4" w:space="0" w:color="auto"/>
              <w:bottom w:val="single" w:sz="4" w:space="0" w:color="auto"/>
              <w:right w:val="single" w:sz="4" w:space="0" w:color="auto"/>
            </w:tcBorders>
          </w:tcPr>
          <w:p w:rsidR="006224C2" w:rsidRPr="00295E71" w14:paraId="7957FE5D" w14:textId="77777777">
            <w:pPr>
              <w:pStyle w:val="EndnoteText"/>
              <w:jc w:val="center"/>
              <w:rPr>
                <w:del w:id="8741" w:author="AbbVie14" w:date="2025-05-09T10:34:00Z"/>
                <w:lang w:val="it-IT"/>
              </w:rPr>
            </w:pPr>
            <w:del w:id="8742" w:author="AbbVie14" w:date="2025-05-09T10:34:00Z">
              <w:r w:rsidRPr="00295E71">
                <w:rPr>
                  <w:lang w:val="it-IT"/>
                </w:rPr>
                <w:delText>1,3 (0,5-2,1)</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3FC62C9F" w14:textId="77777777">
            <w:pPr>
              <w:pStyle w:val="EndnoteText"/>
              <w:jc w:val="center"/>
              <w:rPr>
                <w:del w:id="8743" w:author="AbbVie14" w:date="2025-05-09T10:34:00Z"/>
                <w:lang w:val="it-IT"/>
              </w:rPr>
            </w:pPr>
            <w:del w:id="8744" w:author="AbbVie14" w:date="2025-05-09T10:34:00Z">
              <w:r w:rsidRPr="00295E71">
                <w:rPr>
                  <w:lang w:val="it-IT"/>
                </w:rPr>
                <w:delText>&lt;0,001</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30AAACE6" w14:textId="77777777">
            <w:pPr>
              <w:jc w:val="center"/>
              <w:rPr>
                <w:del w:id="8745" w:author="AbbVie14" w:date="2025-05-09T10:34:00Z"/>
                <w:sz w:val="22"/>
                <w:szCs w:val="22"/>
              </w:rPr>
            </w:pPr>
            <w:del w:id="8746" w:author="AbbVie14" w:date="2025-05-09T10:34:00Z">
              <w:r w:rsidRPr="00295E71">
                <w:rPr>
                  <w:sz w:val="22"/>
                  <w:szCs w:val="22"/>
                </w:rPr>
                <w:delText>0,0020</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1EB7C4EE" w14:textId="77777777">
            <w:pPr>
              <w:jc w:val="center"/>
              <w:rPr>
                <w:del w:id="8747" w:author="AbbVie14" w:date="2025-05-09T10:34:00Z"/>
                <w:sz w:val="22"/>
                <w:szCs w:val="22"/>
              </w:rPr>
            </w:pPr>
            <w:del w:id="8748" w:author="AbbVie14" w:date="2025-05-09T10:34:00Z">
              <w:r w:rsidRPr="00295E71">
                <w:rPr>
                  <w:sz w:val="22"/>
                  <w:szCs w:val="22"/>
                </w:rPr>
                <w:delText>&lt;0,001</w:delText>
              </w:r>
            </w:del>
          </w:p>
        </w:tc>
      </w:tr>
      <w:tr w14:paraId="57E35545" w14:textId="77777777" w:rsidTr="00F57FE5">
        <w:tblPrEx>
          <w:tblW w:w="8910" w:type="dxa"/>
          <w:tblInd w:w="108" w:type="dxa"/>
          <w:tblLayout w:type="fixed"/>
          <w:tblLook w:val="0000"/>
        </w:tblPrEx>
        <w:trPr>
          <w:del w:id="8749" w:author="AbbVie14" w:date="2025-05-09T10:34:00Z"/>
        </w:trPr>
        <w:tc>
          <w:tcPr>
            <w:tcW w:w="1430" w:type="dxa"/>
            <w:tcBorders>
              <w:top w:val="single" w:sz="4" w:space="0" w:color="auto"/>
              <w:left w:val="single" w:sz="4" w:space="0" w:color="auto"/>
              <w:bottom w:val="single" w:sz="4" w:space="0" w:color="auto"/>
              <w:right w:val="single" w:sz="4" w:space="0" w:color="auto"/>
            </w:tcBorders>
          </w:tcPr>
          <w:p w:rsidR="006224C2" w:rsidRPr="00295E71" w14:paraId="310EA488" w14:textId="77777777">
            <w:pPr>
              <w:jc w:val="center"/>
              <w:rPr>
                <w:del w:id="8750" w:author="AbbVie14" w:date="2025-05-09T10:34:00Z"/>
                <w:sz w:val="22"/>
                <w:szCs w:val="22"/>
              </w:rPr>
            </w:pPr>
            <w:del w:id="8751" w:author="AbbVie14" w:date="2025-05-09T10:34:00Z">
              <w:r w:rsidRPr="00295E71">
                <w:rPr>
                  <w:sz w:val="22"/>
                  <w:szCs w:val="22"/>
                </w:rPr>
                <w:delText>Indice di erosione</w:delText>
              </w:r>
            </w:del>
          </w:p>
        </w:tc>
        <w:tc>
          <w:tcPr>
            <w:tcW w:w="1540" w:type="dxa"/>
            <w:tcBorders>
              <w:top w:val="single" w:sz="4" w:space="0" w:color="auto"/>
              <w:left w:val="single" w:sz="4" w:space="0" w:color="auto"/>
              <w:bottom w:val="single" w:sz="4" w:space="0" w:color="auto"/>
              <w:right w:val="single" w:sz="4" w:space="0" w:color="auto"/>
            </w:tcBorders>
          </w:tcPr>
          <w:p w:rsidR="006224C2" w:rsidRPr="00295E71" w14:paraId="19CABFAA" w14:textId="77777777">
            <w:pPr>
              <w:jc w:val="center"/>
              <w:rPr>
                <w:del w:id="8752" w:author="AbbVie14" w:date="2025-05-09T10:34:00Z"/>
                <w:sz w:val="22"/>
                <w:szCs w:val="22"/>
              </w:rPr>
            </w:pPr>
            <w:del w:id="8753" w:author="AbbVie14" w:date="2025-05-09T10:34:00Z">
              <w:r w:rsidRPr="00295E71">
                <w:rPr>
                  <w:sz w:val="22"/>
                  <w:szCs w:val="22"/>
                </w:rPr>
                <w:delText>3,7 (2,7-4,7)</w:delText>
              </w:r>
            </w:del>
          </w:p>
        </w:tc>
        <w:tc>
          <w:tcPr>
            <w:tcW w:w="1482" w:type="dxa"/>
            <w:tcBorders>
              <w:top w:val="single" w:sz="4" w:space="0" w:color="auto"/>
              <w:left w:val="single" w:sz="4" w:space="0" w:color="auto"/>
              <w:bottom w:val="single" w:sz="4" w:space="0" w:color="auto"/>
              <w:right w:val="single" w:sz="4" w:space="0" w:color="auto"/>
            </w:tcBorders>
          </w:tcPr>
          <w:p w:rsidR="006224C2" w:rsidRPr="00295E71" w14:paraId="12279076" w14:textId="77777777">
            <w:pPr>
              <w:jc w:val="center"/>
              <w:rPr>
                <w:del w:id="8754" w:author="AbbVie14" w:date="2025-05-09T10:34:00Z"/>
                <w:sz w:val="22"/>
                <w:szCs w:val="22"/>
              </w:rPr>
            </w:pPr>
            <w:del w:id="8755" w:author="AbbVie14" w:date="2025-05-09T10:34:00Z">
              <w:r w:rsidRPr="00295E71">
                <w:rPr>
                  <w:sz w:val="22"/>
                  <w:szCs w:val="22"/>
                </w:rPr>
                <w:delText>1,7 (1,0-2,4)</w:delText>
              </w:r>
            </w:del>
          </w:p>
        </w:tc>
        <w:tc>
          <w:tcPr>
            <w:tcW w:w="1488" w:type="dxa"/>
            <w:tcBorders>
              <w:top w:val="single" w:sz="4" w:space="0" w:color="auto"/>
              <w:left w:val="single" w:sz="4" w:space="0" w:color="auto"/>
              <w:bottom w:val="single" w:sz="4" w:space="0" w:color="auto"/>
              <w:right w:val="single" w:sz="4" w:space="0" w:color="auto"/>
            </w:tcBorders>
          </w:tcPr>
          <w:p w:rsidR="006224C2" w:rsidRPr="00295E71" w14:paraId="12DDBF15" w14:textId="77777777">
            <w:pPr>
              <w:jc w:val="center"/>
              <w:rPr>
                <w:del w:id="8756" w:author="AbbVie14" w:date="2025-05-09T10:34:00Z"/>
                <w:sz w:val="22"/>
                <w:szCs w:val="22"/>
              </w:rPr>
            </w:pPr>
            <w:del w:id="8757" w:author="AbbVie14" w:date="2025-05-09T10:34:00Z">
              <w:r w:rsidRPr="00295E71">
                <w:rPr>
                  <w:sz w:val="22"/>
                  <w:szCs w:val="22"/>
                </w:rPr>
                <w:delText>0,8 (0,4-1,2)</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5FF855A7" w14:textId="77777777">
            <w:pPr>
              <w:jc w:val="center"/>
              <w:rPr>
                <w:del w:id="8758" w:author="AbbVie14" w:date="2025-05-09T10:34:00Z"/>
                <w:sz w:val="22"/>
                <w:szCs w:val="22"/>
              </w:rPr>
            </w:pPr>
            <w:del w:id="8759" w:author="AbbVie14" w:date="2025-05-09T10:34:00Z">
              <w:r w:rsidRPr="00295E71">
                <w:rPr>
                  <w:sz w:val="22"/>
                  <w:szCs w:val="22"/>
                </w:rPr>
                <w:delText>&lt;0,001</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54FADD61" w14:textId="77777777">
            <w:pPr>
              <w:jc w:val="center"/>
              <w:rPr>
                <w:del w:id="8760" w:author="AbbVie14" w:date="2025-05-09T10:34:00Z"/>
                <w:sz w:val="22"/>
                <w:szCs w:val="22"/>
              </w:rPr>
            </w:pPr>
            <w:del w:id="8761" w:author="AbbVie14" w:date="2025-05-09T10:34:00Z">
              <w:r w:rsidRPr="00295E71">
                <w:rPr>
                  <w:sz w:val="22"/>
                  <w:szCs w:val="22"/>
                </w:rPr>
                <w:delText>0,0082</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370BB9CA" w14:textId="77777777">
            <w:pPr>
              <w:jc w:val="center"/>
              <w:rPr>
                <w:del w:id="8762" w:author="AbbVie14" w:date="2025-05-09T10:34:00Z"/>
                <w:sz w:val="22"/>
                <w:szCs w:val="22"/>
              </w:rPr>
            </w:pPr>
            <w:del w:id="8763" w:author="AbbVie14" w:date="2025-05-09T10:34:00Z">
              <w:r w:rsidRPr="00295E71">
                <w:rPr>
                  <w:sz w:val="22"/>
                  <w:szCs w:val="22"/>
                </w:rPr>
                <w:delText>&lt;0,001</w:delText>
              </w:r>
            </w:del>
          </w:p>
        </w:tc>
      </w:tr>
      <w:tr w14:paraId="0A44B5A6" w14:textId="77777777" w:rsidTr="00F57FE5">
        <w:tblPrEx>
          <w:tblW w:w="8910" w:type="dxa"/>
          <w:tblInd w:w="108" w:type="dxa"/>
          <w:tblLayout w:type="fixed"/>
          <w:tblLook w:val="0000"/>
        </w:tblPrEx>
        <w:trPr>
          <w:del w:id="8764" w:author="AbbVie14" w:date="2025-05-09T10:34:00Z"/>
        </w:trPr>
        <w:tc>
          <w:tcPr>
            <w:tcW w:w="1430" w:type="dxa"/>
            <w:tcBorders>
              <w:top w:val="single" w:sz="4" w:space="0" w:color="auto"/>
              <w:left w:val="single" w:sz="4" w:space="0" w:color="auto"/>
              <w:bottom w:val="single" w:sz="4" w:space="0" w:color="auto"/>
              <w:right w:val="single" w:sz="4" w:space="0" w:color="auto"/>
            </w:tcBorders>
          </w:tcPr>
          <w:p w:rsidR="006224C2" w:rsidRPr="00295E71" w14:paraId="474B1E91" w14:textId="77777777">
            <w:pPr>
              <w:jc w:val="center"/>
              <w:rPr>
                <w:del w:id="8765" w:author="AbbVie14" w:date="2025-05-09T10:34:00Z"/>
                <w:sz w:val="22"/>
                <w:szCs w:val="22"/>
              </w:rPr>
            </w:pPr>
            <w:del w:id="8766" w:author="AbbVie14" w:date="2025-05-09T10:34:00Z">
              <w:r w:rsidRPr="00295E71">
                <w:rPr>
                  <w:sz w:val="22"/>
                  <w:szCs w:val="22"/>
                </w:rPr>
                <w:delText>JSN</w:delText>
              </w:r>
            </w:del>
          </w:p>
        </w:tc>
        <w:tc>
          <w:tcPr>
            <w:tcW w:w="1540" w:type="dxa"/>
            <w:tcBorders>
              <w:top w:val="single" w:sz="4" w:space="0" w:color="auto"/>
              <w:left w:val="single" w:sz="4" w:space="0" w:color="auto"/>
              <w:bottom w:val="single" w:sz="4" w:space="0" w:color="auto"/>
              <w:right w:val="single" w:sz="4" w:space="0" w:color="auto"/>
            </w:tcBorders>
          </w:tcPr>
          <w:p w:rsidR="006224C2" w:rsidRPr="00295E71" w14:paraId="27E08D19" w14:textId="77777777">
            <w:pPr>
              <w:jc w:val="center"/>
              <w:rPr>
                <w:del w:id="8767" w:author="AbbVie14" w:date="2025-05-09T10:34:00Z"/>
                <w:sz w:val="22"/>
                <w:szCs w:val="22"/>
              </w:rPr>
            </w:pPr>
            <w:del w:id="8768" w:author="AbbVie14" w:date="2025-05-09T10:34:00Z">
              <w:r w:rsidRPr="00295E71">
                <w:rPr>
                  <w:sz w:val="22"/>
                  <w:szCs w:val="22"/>
                </w:rPr>
                <w:delText>2,0 (1,2-2,8)</w:delText>
              </w:r>
            </w:del>
          </w:p>
        </w:tc>
        <w:tc>
          <w:tcPr>
            <w:tcW w:w="1482" w:type="dxa"/>
            <w:tcBorders>
              <w:top w:val="single" w:sz="4" w:space="0" w:color="auto"/>
              <w:left w:val="single" w:sz="4" w:space="0" w:color="auto"/>
              <w:bottom w:val="single" w:sz="4" w:space="0" w:color="auto"/>
              <w:right w:val="single" w:sz="4" w:space="0" w:color="auto"/>
            </w:tcBorders>
          </w:tcPr>
          <w:p w:rsidR="006224C2" w:rsidRPr="00295E71" w14:paraId="6C91CB8D" w14:textId="77777777">
            <w:pPr>
              <w:jc w:val="center"/>
              <w:rPr>
                <w:del w:id="8769" w:author="AbbVie14" w:date="2025-05-09T10:34:00Z"/>
                <w:sz w:val="22"/>
                <w:szCs w:val="22"/>
              </w:rPr>
            </w:pPr>
            <w:del w:id="8770" w:author="AbbVie14" w:date="2025-05-09T10:34:00Z">
              <w:r w:rsidRPr="00295E71">
                <w:rPr>
                  <w:sz w:val="22"/>
                  <w:szCs w:val="22"/>
                </w:rPr>
                <w:delText>1,3 (0,5-2,1)</w:delText>
              </w:r>
            </w:del>
          </w:p>
        </w:tc>
        <w:tc>
          <w:tcPr>
            <w:tcW w:w="1488" w:type="dxa"/>
            <w:tcBorders>
              <w:top w:val="single" w:sz="4" w:space="0" w:color="auto"/>
              <w:left w:val="single" w:sz="4" w:space="0" w:color="auto"/>
              <w:bottom w:val="single" w:sz="4" w:space="0" w:color="auto"/>
              <w:right w:val="single" w:sz="4" w:space="0" w:color="auto"/>
            </w:tcBorders>
          </w:tcPr>
          <w:p w:rsidR="006224C2" w:rsidRPr="00295E71" w14:paraId="303AC766" w14:textId="77777777">
            <w:pPr>
              <w:jc w:val="center"/>
              <w:rPr>
                <w:del w:id="8771" w:author="AbbVie14" w:date="2025-05-09T10:34:00Z"/>
                <w:sz w:val="22"/>
                <w:szCs w:val="22"/>
              </w:rPr>
            </w:pPr>
            <w:del w:id="8772" w:author="AbbVie14" w:date="2025-05-09T10:34:00Z">
              <w:r w:rsidRPr="00295E71">
                <w:rPr>
                  <w:sz w:val="22"/>
                  <w:szCs w:val="22"/>
                </w:rPr>
                <w:delText>0,5 (0-1,0)</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5A00728A" w14:textId="77777777">
            <w:pPr>
              <w:jc w:val="center"/>
              <w:rPr>
                <w:del w:id="8773" w:author="AbbVie14" w:date="2025-05-09T10:34:00Z"/>
                <w:sz w:val="22"/>
                <w:szCs w:val="22"/>
              </w:rPr>
            </w:pPr>
            <w:del w:id="8774" w:author="AbbVie14" w:date="2025-05-09T10:34:00Z">
              <w:r w:rsidRPr="00295E71">
                <w:rPr>
                  <w:sz w:val="22"/>
                  <w:szCs w:val="22"/>
                </w:rPr>
                <w:delText>&lt;0,001</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5E36F3D8" w14:textId="77777777">
            <w:pPr>
              <w:jc w:val="center"/>
              <w:rPr>
                <w:del w:id="8775" w:author="AbbVie14" w:date="2025-05-09T10:34:00Z"/>
                <w:sz w:val="22"/>
                <w:szCs w:val="22"/>
              </w:rPr>
            </w:pPr>
            <w:del w:id="8776" w:author="AbbVie14" w:date="2025-05-09T10:34:00Z">
              <w:r w:rsidRPr="00295E71">
                <w:rPr>
                  <w:sz w:val="22"/>
                  <w:szCs w:val="22"/>
                </w:rPr>
                <w:delText>0,0037</w:delText>
              </w:r>
            </w:del>
          </w:p>
        </w:tc>
        <w:tc>
          <w:tcPr>
            <w:tcW w:w="990" w:type="dxa"/>
            <w:tcBorders>
              <w:top w:val="single" w:sz="4" w:space="0" w:color="auto"/>
              <w:left w:val="single" w:sz="4" w:space="0" w:color="auto"/>
              <w:bottom w:val="single" w:sz="4" w:space="0" w:color="auto"/>
              <w:right w:val="single" w:sz="4" w:space="0" w:color="auto"/>
            </w:tcBorders>
          </w:tcPr>
          <w:p w:rsidR="006224C2" w:rsidRPr="00295E71" w14:paraId="7D358BE4" w14:textId="77777777">
            <w:pPr>
              <w:jc w:val="center"/>
              <w:rPr>
                <w:del w:id="8777" w:author="AbbVie14" w:date="2025-05-09T10:34:00Z"/>
                <w:sz w:val="22"/>
                <w:szCs w:val="22"/>
              </w:rPr>
            </w:pPr>
            <w:del w:id="8778" w:author="AbbVie14" w:date="2025-05-09T10:34:00Z">
              <w:r w:rsidRPr="00295E71">
                <w:rPr>
                  <w:sz w:val="22"/>
                  <w:szCs w:val="22"/>
                </w:rPr>
                <w:delText>0,151</w:delText>
              </w:r>
            </w:del>
          </w:p>
        </w:tc>
      </w:tr>
      <w:tr w14:paraId="31C75DD5" w14:textId="77777777" w:rsidTr="00F57FE5">
        <w:tblPrEx>
          <w:tblW w:w="8910" w:type="dxa"/>
          <w:tblInd w:w="108" w:type="dxa"/>
          <w:tblLayout w:type="fixed"/>
          <w:tblLook w:val="0000"/>
        </w:tblPrEx>
        <w:trPr>
          <w:cantSplit/>
          <w:del w:id="8779" w:author="AbbVie14" w:date="2025-05-09T10:34:00Z"/>
        </w:trPr>
        <w:tc>
          <w:tcPr>
            <w:tcW w:w="8910" w:type="dxa"/>
            <w:gridSpan w:val="7"/>
            <w:tcBorders>
              <w:top w:val="single" w:sz="4" w:space="0" w:color="auto"/>
            </w:tcBorders>
          </w:tcPr>
          <w:p w:rsidR="006224C2" w:rsidRPr="00295E71" w14:paraId="08F952B0" w14:textId="77777777">
            <w:pPr>
              <w:tabs>
                <w:tab w:val="left" w:pos="330"/>
                <w:tab w:val="left" w:pos="10728"/>
              </w:tabs>
              <w:ind w:left="360" w:hanging="360"/>
              <w:rPr>
                <w:del w:id="8780" w:author="AbbVie14" w:date="2025-05-09T10:34:00Z"/>
                <w:sz w:val="22"/>
                <w:szCs w:val="22"/>
              </w:rPr>
            </w:pPr>
            <w:del w:id="8781" w:author="AbbVie14" w:date="2025-05-09T10:34:00Z">
              <w:r w:rsidRPr="00295E71">
                <w:rPr>
                  <w:sz w:val="22"/>
                  <w:szCs w:val="22"/>
                  <w:vertAlign w:val="superscript"/>
                </w:rPr>
                <w:delText>a</w:delText>
              </w:r>
            </w:del>
            <w:del w:id="8782" w:author="AbbVie14" w:date="2025-05-09T10:34:00Z">
              <w:r w:rsidRPr="00295E71">
                <w:rPr>
                  <w:sz w:val="22"/>
                  <w:szCs w:val="22"/>
                </w:rPr>
                <w:tab/>
                <w:delText xml:space="preserve">il valore p è stato ottenuto confrontando a due a due la </w:delText>
              </w:r>
            </w:del>
            <w:del w:id="8783" w:author="AbbVie14" w:date="2025-05-09T10:34:00Z">
              <w:r w:rsidR="00420BF3">
                <w:rPr>
                  <w:sz w:val="22"/>
                  <w:szCs w:val="22"/>
                </w:rPr>
                <w:delText>mono</w:delText>
              </w:r>
            </w:del>
            <w:del w:id="8784" w:author="AbbVie14" w:date="2025-05-09T10:34:00Z">
              <w:r w:rsidRPr="00295E71">
                <w:rPr>
                  <w:sz w:val="22"/>
                  <w:szCs w:val="22"/>
                </w:rPr>
                <w:delText>terapia con metotressato e la terapia associata Humira/metotressato utilizzando il test U Mann-Whitney.</w:delText>
              </w:r>
            </w:del>
          </w:p>
          <w:p w:rsidR="006224C2" w:rsidRPr="00295E71" w14:paraId="5FE5D1F3" w14:textId="77777777">
            <w:pPr>
              <w:pStyle w:val="BodyTextIndent"/>
              <w:autoSpaceDE/>
              <w:autoSpaceDN/>
              <w:adjustRightInd/>
              <w:ind w:left="330" w:hanging="330"/>
              <w:jc w:val="left"/>
              <w:rPr>
                <w:del w:id="8785" w:author="AbbVie14" w:date="2025-05-09T10:34:00Z"/>
                <w:color w:val="auto"/>
              </w:rPr>
            </w:pPr>
            <w:del w:id="8786" w:author="AbbVie14" w:date="2025-05-09T10:34:00Z">
              <w:r w:rsidRPr="00295E71">
                <w:rPr>
                  <w:vertAlign w:val="superscript"/>
                </w:rPr>
                <w:delText>b</w:delText>
              </w:r>
            </w:del>
            <w:del w:id="8787" w:author="AbbVie14" w:date="2025-05-09T10:34:00Z">
              <w:r w:rsidRPr="00295E71">
                <w:rPr>
                  <w:color w:val="auto"/>
                </w:rPr>
                <w:tab/>
                <w:delText xml:space="preserve">il valore p è stato ottenuto confrontando a due a due la </w:delText>
              </w:r>
            </w:del>
            <w:del w:id="8788" w:author="AbbVie14" w:date="2025-05-09T10:34:00Z">
              <w:r w:rsidR="00420BF3">
                <w:rPr>
                  <w:color w:val="auto"/>
                </w:rPr>
                <w:delText>mono</w:delText>
              </w:r>
            </w:del>
            <w:del w:id="8789" w:author="AbbVie14" w:date="2025-05-09T10:34:00Z">
              <w:r w:rsidRPr="00295E71">
                <w:rPr>
                  <w:color w:val="auto"/>
                </w:rPr>
                <w:delText>terapia con Humira e la terapia associata Humira/metotressato utilizzando il test U Mann-Whitney</w:delText>
              </w:r>
            </w:del>
          </w:p>
          <w:p w:rsidR="006224C2" w:rsidRPr="00295E71" w14:paraId="0EB430F8" w14:textId="77777777">
            <w:pPr>
              <w:tabs>
                <w:tab w:val="left" w:pos="330"/>
              </w:tabs>
              <w:ind w:left="360" w:hanging="360"/>
              <w:rPr>
                <w:del w:id="8790" w:author="AbbVie14" w:date="2025-05-09T10:34:00Z"/>
                <w:sz w:val="22"/>
                <w:szCs w:val="22"/>
              </w:rPr>
            </w:pPr>
            <w:del w:id="8791" w:author="AbbVie14" w:date="2025-05-09T10:34:00Z">
              <w:r w:rsidRPr="00295E71">
                <w:rPr>
                  <w:sz w:val="22"/>
                  <w:szCs w:val="22"/>
                  <w:vertAlign w:val="superscript"/>
                </w:rPr>
                <w:delText>c</w:delText>
              </w:r>
            </w:del>
            <w:del w:id="8792" w:author="AbbVie14" w:date="2025-05-09T10:34:00Z">
              <w:r w:rsidRPr="00295E71" w:rsidR="00EF6A7F">
                <w:tab/>
              </w:r>
            </w:del>
            <w:del w:id="8793" w:author="AbbVie14" w:date="2025-05-09T10:34:00Z">
              <w:r w:rsidRPr="00295E71">
                <w:rPr>
                  <w:sz w:val="22"/>
                  <w:szCs w:val="22"/>
                </w:rPr>
                <w:delText xml:space="preserve">il valore p è stato ottenuto confrontando a due a due la </w:delText>
              </w:r>
            </w:del>
            <w:del w:id="8794" w:author="AbbVie14" w:date="2025-05-09T10:34:00Z">
              <w:r w:rsidR="00420BF3">
                <w:rPr>
                  <w:sz w:val="22"/>
                  <w:szCs w:val="22"/>
                </w:rPr>
                <w:delText>mono</w:delText>
              </w:r>
            </w:del>
            <w:del w:id="8795" w:author="AbbVie14" w:date="2025-05-09T10:34:00Z">
              <w:r w:rsidRPr="00295E71">
                <w:rPr>
                  <w:sz w:val="22"/>
                  <w:szCs w:val="22"/>
                </w:rPr>
                <w:delText xml:space="preserve">terapia con Humira e la </w:delText>
              </w:r>
            </w:del>
            <w:del w:id="8796" w:author="AbbVie14" w:date="2025-05-09T10:34:00Z">
              <w:r w:rsidR="00420BF3">
                <w:rPr>
                  <w:sz w:val="22"/>
                  <w:szCs w:val="22"/>
                </w:rPr>
                <w:delText>mono</w:delText>
              </w:r>
            </w:del>
            <w:del w:id="8797" w:author="AbbVie14" w:date="2025-05-09T10:34:00Z">
              <w:r w:rsidRPr="00295E71">
                <w:rPr>
                  <w:sz w:val="22"/>
                  <w:szCs w:val="22"/>
                </w:rPr>
                <w:delText>terapia con metotressato utilizzando il test U Mann-Whitney</w:delText>
              </w:r>
            </w:del>
          </w:p>
        </w:tc>
      </w:tr>
    </w:tbl>
    <w:p w:rsidR="006224C2" w:rsidRPr="00295E71" w14:paraId="48676FA6" w14:textId="77777777">
      <w:pPr>
        <w:tabs>
          <w:tab w:val="left" w:pos="567"/>
        </w:tabs>
        <w:rPr>
          <w:del w:id="8798" w:author="AbbVie14" w:date="2025-05-09T10:34:00Z"/>
          <w:sz w:val="22"/>
          <w:szCs w:val="22"/>
        </w:rPr>
      </w:pPr>
    </w:p>
    <w:p w:rsidR="006224C2" w:rsidRPr="00295E71" w14:paraId="433300C8" w14:textId="77777777">
      <w:pPr>
        <w:pStyle w:val="Heading7"/>
        <w:keepNext w:val="0"/>
        <w:spacing w:line="240" w:lineRule="auto"/>
        <w:rPr>
          <w:del w:id="8799" w:author="AbbVie14" w:date="2025-05-09T10:34:00Z"/>
          <w:i w:val="0"/>
          <w:iCs w:val="0"/>
          <w:lang w:val="it-IT"/>
        </w:rPr>
      </w:pPr>
      <w:del w:id="8800" w:author="AbbVie14" w:date="2025-05-09T10:34:00Z">
        <w:r w:rsidRPr="00295E71">
          <w:rPr>
            <w:i w:val="0"/>
            <w:iCs w:val="0"/>
            <w:lang w:val="it-IT"/>
          </w:rPr>
          <w:delText xml:space="preserve">Dopo 52 settimane e 104 settimane di trattamento, la percentuale di pazienti in cui non si è avuta progressione (variazione rispetto al valore basale dell’Indice Totale di Sharp modificato </w:delText>
        </w:r>
      </w:del>
      <w:del w:id="8801" w:author="AbbVie14" w:date="2025-05-09T10:34:00Z">
        <w:r w:rsidRPr="00295E71">
          <w:rPr>
            <w:rFonts w:ascii="Symbol" w:hAnsi="Symbol"/>
            <w:i w:val="0"/>
            <w:lang w:val="it-IT"/>
          </w:rPr>
          <w:sym w:font="Symbol" w:char="F0A3"/>
        </w:r>
      </w:del>
      <w:del w:id="8802" w:author="AbbVie14" w:date="2025-05-09T10:34:00Z">
        <w:r w:rsidRPr="00295E71">
          <w:rPr>
            <w:i w:val="0"/>
            <w:iCs w:val="0"/>
            <w:lang w:val="it-IT"/>
          </w:rPr>
          <w:delText xml:space="preserve"> 0,5) è stata significativamente maggiore con la terapia associata Humira/metotressato (rispettivamente 63,8% e 61,2%) rispetto alla monoterapia con metotressato (rispettivamente 37,4% e 33,5%, p&lt;0,001) ed alla monoterapia con Humira (rispettivamente 50,7%, p&lt;0,002 e 44,5%, p&lt;0,001</w:delText>
        </w:r>
      </w:del>
      <w:del w:id="8803" w:author="AbbVie14" w:date="2025-05-09T10:34:00Z">
        <w:r w:rsidRPr="00295E71" w:rsidR="001F6633">
          <w:rPr>
            <w:i w:val="0"/>
            <w:iCs w:val="0"/>
            <w:lang w:val="it-IT"/>
          </w:rPr>
          <w:delText>)</w:delText>
        </w:r>
      </w:del>
      <w:del w:id="8804" w:author="AbbVie14" w:date="2025-05-09T10:34:00Z">
        <w:r w:rsidRPr="00295E71">
          <w:rPr>
            <w:i w:val="0"/>
            <w:iCs w:val="0"/>
            <w:lang w:val="it-IT"/>
          </w:rPr>
          <w:delText>.</w:delText>
        </w:r>
      </w:del>
    </w:p>
    <w:p w:rsidR="006224C2" w:rsidRPr="00295E71" w14:paraId="16B1CB74" w14:textId="77777777">
      <w:pPr>
        <w:rPr>
          <w:del w:id="8805" w:author="AbbVie14" w:date="2025-05-09T10:34:00Z"/>
          <w:sz w:val="22"/>
          <w:szCs w:val="22"/>
        </w:rPr>
      </w:pPr>
    </w:p>
    <w:p w:rsidR="006224C2" w:rsidRPr="00295E71" w:rsidP="005F2B94" w14:paraId="3DD6EFF7" w14:textId="77777777">
      <w:pPr>
        <w:keepLines/>
        <w:rPr>
          <w:del w:id="8806" w:author="AbbVie14" w:date="2025-05-09T10:34:00Z"/>
          <w:i/>
          <w:iCs/>
          <w:sz w:val="22"/>
          <w:szCs w:val="22"/>
        </w:rPr>
      </w:pPr>
      <w:del w:id="8807" w:author="AbbVie14" w:date="2025-05-09T10:34:00Z">
        <w:r w:rsidRPr="00295E71">
          <w:rPr>
            <w:sz w:val="22"/>
            <w:szCs w:val="22"/>
          </w:rPr>
          <w:delText>Nella fase di estensione in aperto dello studio AR V, la variazione media rispetto al valore basale all’Anno 10 dell’Indice Totale di Sharp modificato è stata, rispettivamente, di 10,8; 9,2 e 3,9 nei pazienti che erano stati inizialmente randomizzati alla somministrazione di metotressato in monoterapia, di Humira in monoterapia e della terapia associata Humira/metotressato. Le corrispondenti percentuali di pazienti senza progressione radiologica sono state, rispettivamente, 31,3%, 23,7% e 36,7%.</w:delText>
        </w:r>
      </w:del>
    </w:p>
    <w:p w:rsidR="006224C2" w:rsidRPr="00295E71" w14:paraId="79C0B3DD" w14:textId="77777777">
      <w:pPr>
        <w:keepNext/>
        <w:rPr>
          <w:del w:id="8808" w:author="AbbVie14" w:date="2025-05-09T10:34:00Z"/>
          <w:sz w:val="22"/>
          <w:szCs w:val="22"/>
          <w:u w:val="single"/>
        </w:rPr>
      </w:pPr>
    </w:p>
    <w:p w:rsidR="006224C2" w:rsidRPr="00295E71" w14:paraId="70C11D05" w14:textId="77777777">
      <w:pPr>
        <w:keepNext/>
        <w:rPr>
          <w:del w:id="8809" w:author="AbbVie14" w:date="2025-05-09T10:34:00Z"/>
          <w:i/>
          <w:iCs/>
          <w:sz w:val="22"/>
          <w:szCs w:val="22"/>
          <w:u w:val="single"/>
        </w:rPr>
      </w:pPr>
      <w:del w:id="8810" w:author="AbbVie14" w:date="2025-05-09T10:34:00Z">
        <w:r w:rsidRPr="00295E71">
          <w:rPr>
            <w:i/>
            <w:sz w:val="22"/>
            <w:szCs w:val="22"/>
            <w:u w:val="single"/>
          </w:rPr>
          <w:delText>Qualità della vita e funzionalità fisica</w:delText>
        </w:r>
      </w:del>
    </w:p>
    <w:p w:rsidR="006224C2" w:rsidRPr="00295E71" w14:paraId="3B832CD9" w14:textId="77777777">
      <w:pPr>
        <w:tabs>
          <w:tab w:val="left" w:pos="567"/>
        </w:tabs>
        <w:jc w:val="both"/>
        <w:rPr>
          <w:del w:id="8811" w:author="AbbVie14" w:date="2025-05-09T10:34:00Z"/>
          <w:sz w:val="22"/>
          <w:szCs w:val="22"/>
        </w:rPr>
      </w:pPr>
    </w:p>
    <w:p w:rsidR="006224C2" w:rsidRPr="00295E71" w14:paraId="325C4731" w14:textId="77777777">
      <w:pPr>
        <w:tabs>
          <w:tab w:val="left" w:pos="567"/>
        </w:tabs>
        <w:jc w:val="both"/>
        <w:rPr>
          <w:del w:id="8812" w:author="AbbVie14" w:date="2025-05-09T10:34:00Z"/>
          <w:sz w:val="22"/>
          <w:szCs w:val="22"/>
        </w:rPr>
      </w:pPr>
      <w:del w:id="8813" w:author="AbbVie14" w:date="2025-05-09T10:34:00Z">
        <w:r w:rsidRPr="00295E71">
          <w:rPr>
            <w:sz w:val="22"/>
            <w:szCs w:val="22"/>
          </w:rPr>
          <w:delText xml:space="preserve">La qualità di vita </w:delText>
        </w:r>
      </w:del>
      <w:del w:id="8814" w:author="AbbVie14" w:date="2025-05-09T10:34:00Z">
        <w:r w:rsidRPr="00020442" w:rsidR="00420BF3">
          <w:rPr>
            <w:sz w:val="22"/>
            <w:szCs w:val="22"/>
          </w:rPr>
          <w:delText xml:space="preserve">correlata allo stato di salute </w:delText>
        </w:r>
      </w:del>
      <w:del w:id="8815" w:author="AbbVie14" w:date="2025-05-09T10:34:00Z">
        <w:r w:rsidRPr="00295E71">
          <w:rPr>
            <w:sz w:val="22"/>
            <w:szCs w:val="22"/>
          </w:rPr>
          <w:delText xml:space="preserve">e la funzionalità fisica sono state valutate con l’indice di disabilità ottenuto attraverso il questionario di valutazione dello stato di salute (Health Assessment Questionnaire - HAQ), in quattro studi originali, adeguati e ben controllati, </w:delText>
        </w:r>
      </w:del>
      <w:del w:id="8816" w:author="AbbVie14" w:date="2025-05-09T10:34:00Z">
        <w:r w:rsidR="00420BF3">
          <w:rPr>
            <w:sz w:val="22"/>
            <w:szCs w:val="22"/>
          </w:rPr>
          <w:delText>che</w:delText>
        </w:r>
      </w:del>
      <w:del w:id="8817" w:author="AbbVie14" w:date="2025-05-09T10:34:00Z">
        <w:r w:rsidRPr="00295E71">
          <w:rPr>
            <w:sz w:val="22"/>
            <w:szCs w:val="22"/>
          </w:rPr>
          <w:delText xml:space="preserve"> è stato un </w:delText>
        </w:r>
      </w:del>
      <w:del w:id="8818" w:author="AbbVie14" w:date="2025-05-09T10:34:00Z">
        <w:r w:rsidR="00420BF3">
          <w:rPr>
            <w:sz w:val="22"/>
            <w:szCs w:val="22"/>
          </w:rPr>
          <w:delText xml:space="preserve">endpoint </w:delText>
        </w:r>
      </w:del>
      <w:del w:id="8819" w:author="AbbVie14" w:date="2025-05-09T10:34:00Z">
        <w:r w:rsidRPr="00295E71">
          <w:rPr>
            <w:sz w:val="22"/>
            <w:szCs w:val="22"/>
          </w:rPr>
          <w:delText xml:space="preserve"> primari</w:delText>
        </w:r>
      </w:del>
      <w:del w:id="8820" w:author="AbbVie14" w:date="2025-05-09T10:34:00Z">
        <w:r w:rsidR="00420BF3">
          <w:rPr>
            <w:sz w:val="22"/>
            <w:szCs w:val="22"/>
          </w:rPr>
          <w:delText>o prespecificato</w:delText>
        </w:r>
      </w:del>
      <w:del w:id="8821" w:author="AbbVie14" w:date="2025-05-09T10:34:00Z">
        <w:r w:rsidRPr="00295E71">
          <w:rPr>
            <w:sz w:val="22"/>
            <w:szCs w:val="22"/>
          </w:rPr>
          <w:delText xml:space="preserve"> dello studio AR III alla 52 settimana. Tutti gli schemi terapeutici con Humira nei quattro studi hanno evidenziato miglioramenti </w:delText>
        </w:r>
      </w:del>
      <w:del w:id="8822" w:author="AbbVie14" w:date="2025-05-09T10:34:00Z">
        <w:r w:rsidRPr="00020442" w:rsidR="00420BF3">
          <w:rPr>
            <w:sz w:val="22"/>
            <w:szCs w:val="22"/>
          </w:rPr>
          <w:delText xml:space="preserve">maggiori in misura </w:delText>
        </w:r>
      </w:del>
      <w:del w:id="8823" w:author="AbbVie14" w:date="2025-05-09T10:34:00Z">
        <w:r w:rsidRPr="00295E71">
          <w:rPr>
            <w:sz w:val="22"/>
            <w:szCs w:val="22"/>
          </w:rPr>
          <w:delText>statisticamente significativ</w:delText>
        </w:r>
      </w:del>
      <w:del w:id="8824" w:author="AbbVie14" w:date="2025-05-09T10:34:00Z">
        <w:r w:rsidR="00420BF3">
          <w:rPr>
            <w:sz w:val="22"/>
            <w:szCs w:val="22"/>
          </w:rPr>
          <w:delText>a</w:delText>
        </w:r>
      </w:del>
      <w:del w:id="8825" w:author="AbbVie14" w:date="2025-05-09T10:34:00Z">
        <w:r w:rsidRPr="00295E71">
          <w:rPr>
            <w:sz w:val="22"/>
            <w:szCs w:val="22"/>
          </w:rPr>
          <w:delText xml:space="preserve"> dell’indice di disabilità dell’HAQ</w:delText>
        </w:r>
      </w:del>
      <w:del w:id="8826" w:author="AbbVie14" w:date="2025-05-09T10:34:00Z">
        <w:r w:rsidR="00420BF3">
          <w:rPr>
            <w:sz w:val="22"/>
            <w:szCs w:val="22"/>
          </w:rPr>
          <w:delText xml:space="preserve"> </w:delText>
        </w:r>
      </w:del>
      <w:del w:id="8827" w:author="AbbVie14" w:date="2025-05-09T10:34:00Z">
        <w:r w:rsidRPr="00295E71">
          <w:rPr>
            <w:sz w:val="22"/>
            <w:szCs w:val="22"/>
          </w:rPr>
          <w:delText xml:space="preserve">tra il valore basale e il 6° mese rispetto al placebo e nello studio AR III il medesimo risultato è stato osservato alla settimana 52. </w:delText>
        </w:r>
      </w:del>
    </w:p>
    <w:p w:rsidR="006224C2" w:rsidRPr="00295E71" w14:paraId="1923EBC9" w14:textId="77777777">
      <w:pPr>
        <w:rPr>
          <w:del w:id="8828" w:author="AbbVie14" w:date="2025-05-09T10:34:00Z"/>
          <w:sz w:val="22"/>
          <w:szCs w:val="22"/>
        </w:rPr>
      </w:pPr>
    </w:p>
    <w:p w:rsidR="006224C2" w:rsidRPr="00295E71" w14:paraId="12192E5A" w14:textId="77777777">
      <w:pPr>
        <w:keepNext/>
        <w:keepLines/>
        <w:tabs>
          <w:tab w:val="left" w:pos="567"/>
        </w:tabs>
        <w:jc w:val="both"/>
        <w:rPr>
          <w:del w:id="8829" w:author="AbbVie14" w:date="2025-05-09T10:34:00Z"/>
          <w:sz w:val="22"/>
          <w:szCs w:val="22"/>
        </w:rPr>
      </w:pPr>
      <w:del w:id="8830" w:author="AbbVie14" w:date="2025-05-09T10:34:00Z">
        <w:r w:rsidRPr="00295E71">
          <w:rPr>
            <w:sz w:val="22"/>
            <w:szCs w:val="22"/>
          </w:rPr>
          <w:delText>L’analisi dello stato generale di salute, valutato attraverso lo Short Form Health Survey (SF-36) nei quattro studi, supporta queste conclusioni per tutti gli schemi di somministrazione di Humira con risultati statisticamente significativi per quanto riguarda gli indici di attività fisica, di dolore e dello stato di benessere, registrati con Humira 40 mg a settimane alterne. Una diminuzione statisticamente significativa del senso di affaticamento così come risulta dagli indici della valutazione funzionale relativa al trattamento della patologia cronica (FACIT) è stata riscontrata in tutti i tre studi in cui è stata valutata</w:delText>
        </w:r>
      </w:del>
      <w:del w:id="8831" w:author="AbbVie14" w:date="2025-05-09T10:34:00Z">
        <w:r w:rsidRPr="00295E71" w:rsidR="00585426">
          <w:rPr>
            <w:sz w:val="22"/>
            <w:szCs w:val="22"/>
          </w:rPr>
          <w:delText xml:space="preserve"> </w:delText>
        </w:r>
      </w:del>
      <w:del w:id="8832" w:author="AbbVie14" w:date="2025-05-09T10:34:00Z">
        <w:r w:rsidRPr="00295E71">
          <w:rPr>
            <w:sz w:val="22"/>
            <w:szCs w:val="22"/>
          </w:rPr>
          <w:delText>(studi AR I, III, IV).</w:delText>
        </w:r>
      </w:del>
    </w:p>
    <w:p w:rsidR="006224C2" w:rsidRPr="00295E71" w14:paraId="6B13EC3D" w14:textId="77777777">
      <w:pPr>
        <w:tabs>
          <w:tab w:val="left" w:pos="567"/>
        </w:tabs>
        <w:jc w:val="both"/>
        <w:rPr>
          <w:del w:id="8833" w:author="AbbVie14" w:date="2025-05-09T10:34:00Z"/>
          <w:sz w:val="22"/>
          <w:szCs w:val="22"/>
        </w:rPr>
      </w:pPr>
    </w:p>
    <w:p w:rsidR="006224C2" w:rsidRPr="00295E71" w14:paraId="765ACD2E" w14:textId="77777777">
      <w:pPr>
        <w:tabs>
          <w:tab w:val="left" w:pos="567"/>
        </w:tabs>
        <w:jc w:val="both"/>
        <w:rPr>
          <w:del w:id="8834" w:author="AbbVie14" w:date="2025-05-09T10:34:00Z"/>
          <w:sz w:val="22"/>
          <w:szCs w:val="22"/>
        </w:rPr>
      </w:pPr>
      <w:del w:id="8835" w:author="AbbVie14" w:date="2025-05-09T10:34:00Z">
        <w:r w:rsidRPr="00295E71">
          <w:rPr>
            <w:sz w:val="22"/>
            <w:szCs w:val="22"/>
          </w:rPr>
          <w:delText>Nello studio AR III, la maggioranza dei soggetti che hanno raggiunto il miglioramento della funzionalità fisica e che hanno continuato il trattamento hanno mantenuto il miglioramento per 520 settimane (120 mesi) di trattamento in aperto. Il miglioramento della qualità di vita è stato misurato fino alla settimana 156 (36 mesi) ed il miglioramento è stato mantenuto nel tempo.</w:delText>
        </w:r>
      </w:del>
    </w:p>
    <w:p w:rsidR="006224C2" w:rsidRPr="00295E71" w14:paraId="147E42A4" w14:textId="77777777">
      <w:pPr>
        <w:tabs>
          <w:tab w:val="left" w:pos="567"/>
        </w:tabs>
        <w:jc w:val="both"/>
        <w:rPr>
          <w:del w:id="8836" w:author="AbbVie14" w:date="2025-05-09T10:34:00Z"/>
          <w:sz w:val="22"/>
          <w:szCs w:val="22"/>
        </w:rPr>
      </w:pPr>
    </w:p>
    <w:p w:rsidR="006224C2" w:rsidRPr="00287663" w14:paraId="4ACF5AD4" w14:textId="77777777">
      <w:pPr>
        <w:tabs>
          <w:tab w:val="left" w:pos="567"/>
        </w:tabs>
        <w:jc w:val="both"/>
        <w:rPr>
          <w:del w:id="8837" w:author="AbbVie14" w:date="2025-05-09T10:34:00Z"/>
          <w:sz w:val="22"/>
          <w:szCs w:val="22"/>
        </w:rPr>
      </w:pPr>
      <w:del w:id="8838" w:author="AbbVie14" w:date="2025-05-09T10:34:00Z">
        <w:r w:rsidRPr="00295E71">
          <w:rPr>
            <w:sz w:val="22"/>
            <w:szCs w:val="22"/>
          </w:rPr>
          <w:delText>Nello studio AR V, l’indice di disabilità valutato in base all’HAQ e la componente fisica dell’SF-36 hanno dimostrato un miglioramento superiore (p&lt;0,001) quando è stata effettuata terapia associata Humira/metotressato rispetto alla monoterapia con metotressato ed a quella con Humira</w:delText>
        </w:r>
      </w:del>
      <w:del w:id="8839" w:author="AbbVie14" w:date="2025-05-09T10:34:00Z">
        <w:r w:rsidR="00420BF3">
          <w:rPr>
            <w:sz w:val="22"/>
            <w:szCs w:val="22"/>
          </w:rPr>
          <w:delText xml:space="preserve"> </w:delText>
        </w:r>
      </w:del>
      <w:del w:id="8840" w:author="AbbVie14" w:date="2025-05-09T10:34:00Z">
        <w:r w:rsidRPr="00295E71">
          <w:rPr>
            <w:sz w:val="22"/>
            <w:szCs w:val="22"/>
          </w:rPr>
          <w:delText>alla settimana 52, e questo miglioramento si è mantenuto nell’arco di 104 settimane.</w:delText>
        </w:r>
      </w:del>
      <w:del w:id="8841" w:author="AbbVie14" w:date="2025-05-09T10:34:00Z">
        <w:r w:rsidR="00420BF3">
          <w:rPr>
            <w:sz w:val="22"/>
            <w:szCs w:val="22"/>
          </w:rPr>
          <w:delText xml:space="preserve"> </w:delText>
        </w:r>
      </w:del>
      <w:del w:id="8842" w:author="AbbVie14" w:date="2025-05-09T10:34:00Z">
        <w:r w:rsidRPr="00295E71">
          <w:rPr>
            <w:sz w:val="22"/>
            <w:szCs w:val="22"/>
          </w:rPr>
          <w:delText xml:space="preserve">Nei 250 pazienti che hanno completato la fase di estensione in aperto dello studio, i miglioramenti nella funzionalità fisica sono stati </w:delText>
        </w:r>
      </w:del>
      <w:del w:id="8843" w:author="AbbVie14" w:date="2025-05-09T10:34:00Z">
        <w:r w:rsidRPr="00287663">
          <w:rPr>
            <w:sz w:val="22"/>
            <w:szCs w:val="22"/>
          </w:rPr>
          <w:delText>mantenuti nell’arco dei 10 anni di trattamento.</w:delText>
        </w:r>
      </w:del>
    </w:p>
    <w:p w:rsidR="006224C2" w:rsidRPr="00287663" w14:paraId="0FDC5B46" w14:textId="77777777">
      <w:pPr>
        <w:tabs>
          <w:tab w:val="left" w:pos="567"/>
        </w:tabs>
        <w:jc w:val="both"/>
        <w:rPr>
          <w:del w:id="8844" w:author="AbbVie14" w:date="2025-05-09T10:34:00Z"/>
          <w:sz w:val="22"/>
          <w:szCs w:val="22"/>
        </w:rPr>
      </w:pPr>
      <w:bookmarkStart w:id="8845" w:name="_Hlk52785806"/>
    </w:p>
    <w:bookmarkEnd w:id="8845"/>
    <w:p w:rsidR="006224C2" w:rsidRPr="00295E71" w14:paraId="13A64142" w14:textId="77777777">
      <w:pPr>
        <w:tabs>
          <w:tab w:val="left" w:pos="567"/>
          <w:tab w:val="left" w:pos="1294"/>
        </w:tabs>
        <w:autoSpaceDE w:val="0"/>
        <w:autoSpaceDN w:val="0"/>
        <w:adjustRightInd w:val="0"/>
        <w:jc w:val="both"/>
        <w:rPr>
          <w:del w:id="8846" w:author="AbbVie14" w:date="2025-05-09T10:34:00Z"/>
          <w:i/>
          <w:color w:val="000000"/>
          <w:sz w:val="22"/>
          <w:szCs w:val="22"/>
        </w:rPr>
      </w:pPr>
      <w:del w:id="8847" w:author="AbbVie14" w:date="2025-05-09T10:34:00Z">
        <w:r w:rsidRPr="00295E71">
          <w:rPr>
            <w:i/>
            <w:color w:val="000000"/>
            <w:sz w:val="22"/>
            <w:szCs w:val="22"/>
          </w:rPr>
          <w:delText>Spondiloartrite assiale</w:delText>
        </w:r>
      </w:del>
    </w:p>
    <w:p w:rsidR="006224C2" w:rsidRPr="00295E71" w14:paraId="6C22369F" w14:textId="77777777">
      <w:pPr>
        <w:tabs>
          <w:tab w:val="left" w:pos="567"/>
          <w:tab w:val="left" w:pos="1294"/>
        </w:tabs>
        <w:autoSpaceDE w:val="0"/>
        <w:autoSpaceDN w:val="0"/>
        <w:adjustRightInd w:val="0"/>
        <w:jc w:val="both"/>
        <w:rPr>
          <w:del w:id="8848" w:author="AbbVie14" w:date="2025-05-09T10:34:00Z"/>
          <w:color w:val="000000"/>
          <w:sz w:val="22"/>
          <w:szCs w:val="22"/>
          <w:u w:val="single"/>
        </w:rPr>
      </w:pPr>
    </w:p>
    <w:p w:rsidR="006224C2" w:rsidRPr="00295E71" w14:paraId="7796740F" w14:textId="77777777">
      <w:pPr>
        <w:tabs>
          <w:tab w:val="left" w:pos="567"/>
          <w:tab w:val="left" w:pos="1294"/>
        </w:tabs>
        <w:autoSpaceDE w:val="0"/>
        <w:autoSpaceDN w:val="0"/>
        <w:adjustRightInd w:val="0"/>
        <w:jc w:val="both"/>
        <w:rPr>
          <w:del w:id="8849" w:author="AbbVie14" w:date="2025-05-09T10:34:00Z"/>
          <w:i/>
          <w:color w:val="000000"/>
          <w:sz w:val="22"/>
          <w:szCs w:val="22"/>
        </w:rPr>
      </w:pPr>
      <w:del w:id="8850" w:author="AbbVie14" w:date="2025-05-09T10:34:00Z">
        <w:r w:rsidRPr="00295E71">
          <w:rPr>
            <w:i/>
            <w:color w:val="000000"/>
            <w:sz w:val="22"/>
            <w:szCs w:val="22"/>
            <w:u w:val="single"/>
          </w:rPr>
          <w:delText>Spondilite anchilosante (SA)</w:delText>
        </w:r>
      </w:del>
    </w:p>
    <w:p w:rsidR="006224C2" w:rsidRPr="00295E71" w14:paraId="61EF5EDB" w14:textId="77777777">
      <w:pPr>
        <w:tabs>
          <w:tab w:val="left" w:pos="567"/>
          <w:tab w:val="left" w:pos="1294"/>
        </w:tabs>
        <w:autoSpaceDE w:val="0"/>
        <w:autoSpaceDN w:val="0"/>
        <w:adjustRightInd w:val="0"/>
        <w:jc w:val="both"/>
        <w:rPr>
          <w:del w:id="8851" w:author="AbbVie14" w:date="2025-05-09T10:34:00Z"/>
          <w:color w:val="000000"/>
          <w:sz w:val="22"/>
          <w:szCs w:val="22"/>
        </w:rPr>
      </w:pPr>
    </w:p>
    <w:p w:rsidR="006224C2" w:rsidRPr="00295E71" w14:paraId="3716D7B1" w14:textId="77777777">
      <w:pPr>
        <w:tabs>
          <w:tab w:val="left" w:pos="567"/>
          <w:tab w:val="left" w:pos="1294"/>
        </w:tabs>
        <w:autoSpaceDE w:val="0"/>
        <w:autoSpaceDN w:val="0"/>
        <w:adjustRightInd w:val="0"/>
        <w:jc w:val="both"/>
        <w:rPr>
          <w:del w:id="8852" w:author="AbbVie14" w:date="2025-05-09T10:34:00Z"/>
          <w:color w:val="000000"/>
          <w:sz w:val="22"/>
          <w:szCs w:val="22"/>
        </w:rPr>
      </w:pPr>
      <w:del w:id="8853" w:author="AbbVie14" w:date="2025-05-09T10:34:00Z">
        <w:r w:rsidRPr="00295E71">
          <w:rPr>
            <w:sz w:val="22"/>
            <w:szCs w:val="22"/>
          </w:rPr>
          <w:delText>È</w:delText>
        </w:r>
      </w:del>
      <w:del w:id="8854" w:author="AbbVie14" w:date="2025-05-09T10:34:00Z">
        <w:r w:rsidRPr="00295E71">
          <w:rPr>
            <w:color w:val="000000"/>
            <w:sz w:val="22"/>
            <w:szCs w:val="22"/>
          </w:rPr>
          <w:delText xml:space="preserve"> stata valutata la somministrazione di 40 mg di Humira assunti a settimane alterne da 393 pazienti nel corso di due studi randomizzati in doppio cieco controllati con placebo della durata di 24 settimane in soggetti affetti da spondilite anchilosante attiva (in cui il punteggio basale medio dell’attività della malattia [Bath Ankylosing Spondylitis Disease Activity Index (BASDAI)] è risultato pari a 6,3 in tutti i gruppi analizzati) che hanno sviluppato una risposta inadeguata alla terapia convenzionale. Settantanove pazienti (20,1%) sono stati trattati con terapia concomitante con DMARD, e 37 pazienti (9,4%) con glucocorticoidi. </w:delText>
        </w:r>
      </w:del>
    </w:p>
    <w:p w:rsidR="006224C2" w:rsidRPr="00295E71" w14:paraId="025D7CDE" w14:textId="77777777">
      <w:pPr>
        <w:tabs>
          <w:tab w:val="left" w:pos="567"/>
          <w:tab w:val="left" w:pos="1294"/>
        </w:tabs>
        <w:autoSpaceDE w:val="0"/>
        <w:autoSpaceDN w:val="0"/>
        <w:adjustRightInd w:val="0"/>
        <w:jc w:val="both"/>
        <w:rPr>
          <w:del w:id="8855" w:author="AbbVie14" w:date="2025-05-09T10:34:00Z"/>
          <w:color w:val="000000"/>
          <w:sz w:val="22"/>
          <w:szCs w:val="22"/>
        </w:rPr>
      </w:pPr>
      <w:del w:id="8856" w:author="AbbVie14" w:date="2025-05-09T10:34:00Z">
        <w:r w:rsidRPr="00295E71">
          <w:rPr>
            <w:color w:val="000000"/>
            <w:sz w:val="22"/>
            <w:szCs w:val="22"/>
          </w:rPr>
          <w:delText>Il periodo condotto in cieco è stato seguito da un periodo in aperto durante il quale i pazienti hanno ricevuto 40 mg di Humira a settimane alterne per via sottocutanea per un periodo di tempo aggiuntivo fino a 28 settimane. Ai soggetti (n=215, 54,7%) in cui non è stato possibile ottenere l’ASAS 20 alla settimana 12, o alla 16 o alla 20, sono stati somministrati per via sottocutanea 40 mg di adalimumab come terapia di salvataggio precoce in aperto a settimane alterne e sono stati conseguentemente trattati come soggetti non-responder nelle analisi statistiche condotte in doppio cieco.</w:delText>
        </w:r>
      </w:del>
    </w:p>
    <w:p w:rsidR="006224C2" w:rsidRPr="00295E71" w14:paraId="578C02C6" w14:textId="77777777">
      <w:pPr>
        <w:tabs>
          <w:tab w:val="left" w:pos="567"/>
          <w:tab w:val="left" w:pos="1294"/>
        </w:tabs>
        <w:autoSpaceDE w:val="0"/>
        <w:autoSpaceDN w:val="0"/>
        <w:adjustRightInd w:val="0"/>
        <w:jc w:val="both"/>
        <w:rPr>
          <w:del w:id="8857" w:author="AbbVie14" w:date="2025-05-09T10:34:00Z"/>
          <w:color w:val="000000"/>
          <w:sz w:val="22"/>
          <w:szCs w:val="22"/>
        </w:rPr>
      </w:pPr>
    </w:p>
    <w:p w:rsidR="006224C2" w:rsidRPr="00295E71" w14:paraId="315353A1" w14:textId="77777777">
      <w:pPr>
        <w:tabs>
          <w:tab w:val="left" w:pos="567"/>
          <w:tab w:val="left" w:pos="1294"/>
        </w:tabs>
        <w:autoSpaceDE w:val="0"/>
        <w:autoSpaceDN w:val="0"/>
        <w:adjustRightInd w:val="0"/>
        <w:jc w:val="both"/>
        <w:rPr>
          <w:del w:id="8858" w:author="AbbVie14" w:date="2025-05-09T10:34:00Z"/>
          <w:color w:val="000000"/>
          <w:sz w:val="22"/>
          <w:szCs w:val="22"/>
        </w:rPr>
      </w:pPr>
      <w:del w:id="8859" w:author="AbbVie14" w:date="2025-05-09T10:34:00Z">
        <w:r w:rsidRPr="00295E71">
          <w:rPr>
            <w:color w:val="000000"/>
            <w:sz w:val="22"/>
            <w:szCs w:val="22"/>
          </w:rPr>
          <w:delText>In uno studio AS I più ampio in cui sono stati analizzati 315 pazienti, i risultati hanno mostrato un miglioramento statisticamente significativo dei segni e dei sintomi della spondilite anchilosante nei pazienti trattati con Humira rispetto ai pazienti trattati con placebo.</w:delText>
        </w:r>
      </w:del>
    </w:p>
    <w:p w:rsidR="006224C2" w:rsidRPr="00295E71" w14:paraId="64BC0EF8" w14:textId="77777777">
      <w:pPr>
        <w:tabs>
          <w:tab w:val="left" w:pos="567"/>
          <w:tab w:val="left" w:pos="1294"/>
        </w:tabs>
        <w:autoSpaceDE w:val="0"/>
        <w:autoSpaceDN w:val="0"/>
        <w:adjustRightInd w:val="0"/>
        <w:jc w:val="both"/>
        <w:rPr>
          <w:del w:id="8860" w:author="AbbVie14" w:date="2025-05-09T10:34:00Z"/>
          <w:color w:val="000000"/>
          <w:sz w:val="22"/>
          <w:szCs w:val="22"/>
        </w:rPr>
      </w:pPr>
      <w:del w:id="8861" w:author="AbbVie14" w:date="2025-05-09T10:34:00Z">
        <w:r w:rsidRPr="00295E71">
          <w:rPr>
            <w:color w:val="000000"/>
            <w:sz w:val="22"/>
            <w:szCs w:val="22"/>
          </w:rPr>
          <w:delText>La risposta significativa è stata per la prima volta osservata alla settimana 2 ed è stata mantenuta per un periodo di 24 settimane (Tabella 1</w:delText>
        </w:r>
      </w:del>
      <w:del w:id="8862" w:author="AbbVie14" w:date="2025-05-09T10:34:00Z">
        <w:r w:rsidR="005C4AD7">
          <w:rPr>
            <w:color w:val="000000"/>
            <w:sz w:val="22"/>
            <w:szCs w:val="22"/>
          </w:rPr>
          <w:delText>2</w:delText>
        </w:r>
      </w:del>
      <w:del w:id="8863" w:author="AbbVie14" w:date="2025-05-09T10:34:00Z">
        <w:r w:rsidRPr="00295E71">
          <w:rPr>
            <w:color w:val="000000"/>
            <w:sz w:val="22"/>
            <w:szCs w:val="22"/>
          </w:rPr>
          <w:delText>).</w:delText>
        </w:r>
      </w:del>
    </w:p>
    <w:p w:rsidR="006224C2" w:rsidRPr="00295E71" w14:paraId="1D9724E0" w14:textId="77777777">
      <w:pPr>
        <w:rPr>
          <w:del w:id="8864" w:author="AbbVie14" w:date="2025-05-09T10:34:00Z"/>
          <w:b/>
          <w:bCs/>
          <w:color w:val="000000"/>
          <w:sz w:val="22"/>
          <w:szCs w:val="22"/>
        </w:rPr>
      </w:pPr>
    </w:p>
    <w:p w:rsidR="006224C2" w:rsidRPr="00295E71" w14:paraId="4A6E649D" w14:textId="77777777">
      <w:pPr>
        <w:keepNext/>
        <w:tabs>
          <w:tab w:val="left" w:pos="567"/>
          <w:tab w:val="left" w:pos="1294"/>
        </w:tabs>
        <w:autoSpaceDE w:val="0"/>
        <w:autoSpaceDN w:val="0"/>
        <w:adjustRightInd w:val="0"/>
        <w:jc w:val="center"/>
        <w:rPr>
          <w:del w:id="8865" w:author="AbbVie14" w:date="2025-05-09T10:34:00Z"/>
          <w:b/>
          <w:bCs/>
          <w:color w:val="000000"/>
          <w:sz w:val="22"/>
          <w:szCs w:val="22"/>
        </w:rPr>
      </w:pPr>
      <w:del w:id="8866" w:author="AbbVie14" w:date="2025-05-09T10:34:00Z">
        <w:r w:rsidRPr="00295E71">
          <w:rPr>
            <w:b/>
            <w:bCs/>
            <w:color w:val="000000"/>
            <w:sz w:val="22"/>
            <w:szCs w:val="22"/>
          </w:rPr>
          <w:delText>Tabella 1</w:delText>
        </w:r>
      </w:del>
      <w:del w:id="8867" w:author="AbbVie14" w:date="2025-05-09T10:34:00Z">
        <w:r w:rsidR="005C4AD7">
          <w:rPr>
            <w:b/>
            <w:bCs/>
            <w:color w:val="000000"/>
            <w:sz w:val="22"/>
            <w:szCs w:val="22"/>
          </w:rPr>
          <w:delText>2</w:delText>
        </w:r>
      </w:del>
    </w:p>
    <w:p w:rsidR="006224C2" w:rsidRPr="00295E71" w14:paraId="0816C091" w14:textId="77777777">
      <w:pPr>
        <w:keepNext/>
        <w:tabs>
          <w:tab w:val="left" w:pos="567"/>
          <w:tab w:val="left" w:pos="1294"/>
        </w:tabs>
        <w:autoSpaceDE w:val="0"/>
        <w:autoSpaceDN w:val="0"/>
        <w:adjustRightInd w:val="0"/>
        <w:jc w:val="center"/>
        <w:rPr>
          <w:del w:id="8868" w:author="AbbVie14" w:date="2025-05-09T10:34:00Z"/>
          <w:b/>
          <w:bCs/>
          <w:color w:val="000000"/>
          <w:sz w:val="22"/>
          <w:szCs w:val="22"/>
        </w:rPr>
      </w:pPr>
      <w:del w:id="8869" w:author="AbbVie14" w:date="2025-05-09T10:34:00Z">
        <w:r w:rsidRPr="00295E71">
          <w:rPr>
            <w:b/>
            <w:bCs/>
            <w:color w:val="000000"/>
            <w:sz w:val="22"/>
            <w:szCs w:val="22"/>
          </w:rPr>
          <w:delText xml:space="preserve">Risposte di efficacia in uno studio controllato con placebo sulla spondilite anchilosante – </w:delText>
        </w:r>
      </w:del>
    </w:p>
    <w:p w:rsidR="006224C2" w:rsidRPr="00295E71" w14:paraId="6BE632DF" w14:textId="77777777">
      <w:pPr>
        <w:keepNext/>
        <w:tabs>
          <w:tab w:val="left" w:pos="567"/>
          <w:tab w:val="left" w:pos="1294"/>
        </w:tabs>
        <w:autoSpaceDE w:val="0"/>
        <w:autoSpaceDN w:val="0"/>
        <w:adjustRightInd w:val="0"/>
        <w:jc w:val="center"/>
        <w:rPr>
          <w:del w:id="8870" w:author="AbbVie14" w:date="2025-05-09T10:34:00Z"/>
          <w:b/>
          <w:bCs/>
          <w:color w:val="000000"/>
          <w:sz w:val="22"/>
          <w:szCs w:val="22"/>
        </w:rPr>
      </w:pPr>
      <w:del w:id="8871" w:author="AbbVie14" w:date="2025-05-09T10:34:00Z">
        <w:r w:rsidRPr="00295E71">
          <w:rPr>
            <w:b/>
            <w:bCs/>
            <w:color w:val="000000"/>
            <w:sz w:val="22"/>
            <w:szCs w:val="22"/>
          </w:rPr>
          <w:delText>Studio I</w:delText>
        </w:r>
      </w:del>
    </w:p>
    <w:p w:rsidR="006224C2" w:rsidRPr="00295E71" w14:paraId="793A77B0" w14:textId="77777777">
      <w:pPr>
        <w:keepNext/>
        <w:tabs>
          <w:tab w:val="left" w:pos="567"/>
          <w:tab w:val="left" w:pos="1294"/>
        </w:tabs>
        <w:autoSpaceDE w:val="0"/>
        <w:autoSpaceDN w:val="0"/>
        <w:adjustRightInd w:val="0"/>
        <w:jc w:val="center"/>
        <w:rPr>
          <w:del w:id="8872" w:author="AbbVie14" w:date="2025-05-09T10:34:00Z"/>
          <w:color w:val="000000"/>
          <w:sz w:val="22"/>
          <w:szCs w:val="22"/>
        </w:rPr>
      </w:pPr>
      <w:del w:id="8873" w:author="AbbVie14" w:date="2025-05-09T10:34:00Z">
        <w:r w:rsidRPr="00295E71">
          <w:rPr>
            <w:b/>
            <w:bCs/>
            <w:color w:val="000000"/>
            <w:sz w:val="22"/>
            <w:szCs w:val="22"/>
          </w:rPr>
          <w:delText>Riduzione dei segni e dei sintomi</w:delText>
        </w:r>
      </w:del>
    </w:p>
    <w:p w:rsidR="006224C2" w:rsidRPr="00295E71" w14:paraId="530EA3AE" w14:textId="77777777">
      <w:pPr>
        <w:keepNext/>
        <w:tabs>
          <w:tab w:val="left" w:pos="567"/>
          <w:tab w:val="left" w:pos="1294"/>
        </w:tabs>
        <w:autoSpaceDE w:val="0"/>
        <w:autoSpaceDN w:val="0"/>
        <w:adjustRightInd w:val="0"/>
        <w:rPr>
          <w:del w:id="8874" w:author="AbbVie14" w:date="2025-05-09T10:34:00Z"/>
          <w:color w:val="000000"/>
          <w:sz w:val="22"/>
          <w:szCs w:val="22"/>
        </w:rPr>
      </w:pPr>
    </w:p>
    <w:tbl>
      <w:tblPr>
        <w:tblW w:w="7150" w:type="dxa"/>
        <w:tblInd w:w="106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2750"/>
        <w:gridCol w:w="2090"/>
        <w:gridCol w:w="2310"/>
      </w:tblGrid>
      <w:tr w14:paraId="07A54348" w14:textId="77777777">
        <w:tblPrEx>
          <w:tblW w:w="7150" w:type="dxa"/>
          <w:tblInd w:w="1060" w:type="dxa"/>
          <w:tblLook w:val="0000"/>
        </w:tblPrEx>
        <w:trPr>
          <w:del w:id="8875"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73AA3714" w14:textId="77777777">
            <w:pPr>
              <w:pStyle w:val="Heading6"/>
              <w:rPr>
                <w:del w:id="8876" w:author="AbbVie14" w:date="2025-05-09T10:34:00Z"/>
                <w:rFonts w:eastAsia="Arial Unicode MS"/>
                <w:lang w:val="it-IT"/>
              </w:rPr>
            </w:pPr>
            <w:del w:id="8877" w:author="AbbVie14" w:date="2025-05-09T10:34:00Z">
              <w:r w:rsidRPr="00295E71">
                <w:rPr>
                  <w:lang w:val="it-IT"/>
                </w:rPr>
                <w:delText>Risposta</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640FF78B" w14:textId="77777777">
            <w:pPr>
              <w:keepNext/>
              <w:jc w:val="center"/>
              <w:rPr>
                <w:del w:id="8878" w:author="AbbVie14" w:date="2025-05-09T10:34:00Z"/>
                <w:b/>
                <w:sz w:val="22"/>
                <w:szCs w:val="22"/>
              </w:rPr>
            </w:pPr>
            <w:del w:id="8879" w:author="AbbVie14" w:date="2025-05-09T10:34:00Z">
              <w:r w:rsidRPr="00295E71">
                <w:rPr>
                  <w:b/>
                  <w:sz w:val="22"/>
                  <w:szCs w:val="22"/>
                </w:rPr>
                <w:delText>Placebo</w:delText>
              </w:r>
            </w:del>
          </w:p>
          <w:p w:rsidR="006224C2" w:rsidRPr="00295E71" w14:paraId="5398844F" w14:textId="77777777">
            <w:pPr>
              <w:keepNext/>
              <w:jc w:val="center"/>
              <w:rPr>
                <w:del w:id="8880" w:author="AbbVie14" w:date="2025-05-09T10:34:00Z"/>
                <w:b/>
                <w:sz w:val="22"/>
                <w:szCs w:val="22"/>
              </w:rPr>
            </w:pPr>
            <w:del w:id="8881" w:author="AbbVie14" w:date="2025-05-09T10:34:00Z">
              <w:r w:rsidRPr="00295E71">
                <w:rPr>
                  <w:b/>
                  <w:sz w:val="22"/>
                  <w:szCs w:val="22"/>
                </w:rPr>
                <w:delText>N=107</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1D18AB5C" w14:textId="77777777">
            <w:pPr>
              <w:keepNext/>
              <w:jc w:val="center"/>
              <w:rPr>
                <w:del w:id="8882" w:author="AbbVie14" w:date="2025-05-09T10:34:00Z"/>
                <w:b/>
                <w:sz w:val="22"/>
                <w:szCs w:val="22"/>
              </w:rPr>
            </w:pPr>
            <w:del w:id="8883" w:author="AbbVie14" w:date="2025-05-09T10:34:00Z">
              <w:r w:rsidRPr="00295E71">
                <w:rPr>
                  <w:b/>
                  <w:sz w:val="22"/>
                  <w:szCs w:val="22"/>
                </w:rPr>
                <w:delText>Humira</w:delText>
              </w:r>
            </w:del>
          </w:p>
          <w:p w:rsidR="006224C2" w:rsidRPr="00295E71" w14:paraId="5672A809" w14:textId="77777777">
            <w:pPr>
              <w:keepNext/>
              <w:jc w:val="center"/>
              <w:rPr>
                <w:del w:id="8884" w:author="AbbVie14" w:date="2025-05-09T10:34:00Z"/>
                <w:b/>
                <w:bCs/>
                <w:sz w:val="22"/>
                <w:szCs w:val="22"/>
              </w:rPr>
            </w:pPr>
            <w:del w:id="8885" w:author="AbbVie14" w:date="2025-05-09T10:34:00Z">
              <w:r w:rsidRPr="00295E71">
                <w:rPr>
                  <w:b/>
                  <w:bCs/>
                  <w:sz w:val="22"/>
                  <w:szCs w:val="22"/>
                </w:rPr>
                <w:delText>N=208</w:delText>
              </w:r>
            </w:del>
          </w:p>
        </w:tc>
      </w:tr>
      <w:tr w14:paraId="3CFD87DA" w14:textId="77777777">
        <w:tblPrEx>
          <w:tblW w:w="7150" w:type="dxa"/>
          <w:tblInd w:w="1060" w:type="dxa"/>
          <w:tblLook w:val="0000"/>
        </w:tblPrEx>
        <w:trPr>
          <w:del w:id="8886"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6A12C4BF" w14:textId="77777777">
            <w:pPr>
              <w:keepNext/>
              <w:rPr>
                <w:del w:id="8887" w:author="AbbVie14" w:date="2025-05-09T10:34:00Z"/>
                <w:sz w:val="22"/>
                <w:szCs w:val="22"/>
              </w:rPr>
            </w:pPr>
            <w:del w:id="8888" w:author="AbbVie14" w:date="2025-05-09T10:34:00Z">
              <w:r w:rsidRPr="00295E71">
                <w:rPr>
                  <w:sz w:val="22"/>
                  <w:szCs w:val="22"/>
                </w:rPr>
                <w:delText>ASAS</w:delText>
              </w:r>
            </w:del>
            <w:del w:id="8889" w:author="AbbVie14" w:date="2025-05-09T10:34:00Z">
              <w:r w:rsidRPr="00295E71">
                <w:rPr>
                  <w:sz w:val="22"/>
                  <w:szCs w:val="22"/>
                  <w:vertAlign w:val="superscript"/>
                </w:rPr>
                <w:delText>a</w:delText>
              </w:r>
            </w:del>
            <w:del w:id="8890" w:author="AbbVie14" w:date="2025-05-09T10:34:00Z">
              <w:r w:rsidRPr="00295E71">
                <w:rPr>
                  <w:sz w:val="22"/>
                  <w:szCs w:val="22"/>
                </w:rPr>
                <w:delText xml:space="preserve"> 20</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6D12B7F0" w14:textId="77777777">
            <w:pPr>
              <w:keepNext/>
              <w:jc w:val="center"/>
              <w:rPr>
                <w:del w:id="8891" w:author="AbbVie14" w:date="2025-05-09T10:34:00Z"/>
                <w:sz w:val="22"/>
                <w:szCs w:val="22"/>
              </w:rPr>
            </w:pPr>
          </w:p>
        </w:tc>
        <w:tc>
          <w:tcPr>
            <w:tcW w:w="2310" w:type="dxa"/>
            <w:tcBorders>
              <w:top w:val="single" w:sz="4" w:space="0" w:color="auto"/>
              <w:left w:val="single" w:sz="4" w:space="0" w:color="auto"/>
              <w:bottom w:val="single" w:sz="4" w:space="0" w:color="auto"/>
              <w:right w:val="single" w:sz="4" w:space="0" w:color="auto"/>
            </w:tcBorders>
          </w:tcPr>
          <w:p w:rsidR="006224C2" w:rsidRPr="00295E71" w14:paraId="02276941" w14:textId="77777777">
            <w:pPr>
              <w:keepNext/>
              <w:jc w:val="center"/>
              <w:rPr>
                <w:del w:id="8892" w:author="AbbVie14" w:date="2025-05-09T10:34:00Z"/>
                <w:sz w:val="22"/>
                <w:szCs w:val="22"/>
              </w:rPr>
            </w:pPr>
          </w:p>
        </w:tc>
      </w:tr>
      <w:tr w14:paraId="3C303CCD" w14:textId="77777777">
        <w:tblPrEx>
          <w:tblW w:w="7150" w:type="dxa"/>
          <w:tblInd w:w="1060" w:type="dxa"/>
          <w:tblLook w:val="0000"/>
        </w:tblPrEx>
        <w:trPr>
          <w:del w:id="8893"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65519A9A" w14:textId="77777777">
            <w:pPr>
              <w:keepNext/>
              <w:rPr>
                <w:del w:id="8894" w:author="AbbVie14" w:date="2025-05-09T10:34:00Z"/>
                <w:sz w:val="22"/>
                <w:szCs w:val="22"/>
              </w:rPr>
            </w:pPr>
            <w:del w:id="8895" w:author="AbbVie14" w:date="2025-05-09T10:34:00Z">
              <w:r w:rsidRPr="00295E71">
                <w:rPr>
                  <w:sz w:val="22"/>
                  <w:szCs w:val="22"/>
                </w:rPr>
                <w:tab/>
                <w:delText>Settimana 2</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06A4DFB7" w14:textId="77777777">
            <w:pPr>
              <w:keepNext/>
              <w:jc w:val="center"/>
              <w:rPr>
                <w:del w:id="8896" w:author="AbbVie14" w:date="2025-05-09T10:34:00Z"/>
                <w:sz w:val="22"/>
                <w:szCs w:val="22"/>
              </w:rPr>
            </w:pPr>
            <w:del w:id="8897" w:author="AbbVie14" w:date="2025-05-09T10:34:00Z">
              <w:r w:rsidRPr="00295E71">
                <w:rPr>
                  <w:sz w:val="22"/>
                  <w:szCs w:val="22"/>
                </w:rPr>
                <w:delText>16%</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7E2713D1" w14:textId="77777777">
            <w:pPr>
              <w:keepNext/>
              <w:jc w:val="center"/>
              <w:rPr>
                <w:del w:id="8898" w:author="AbbVie14" w:date="2025-05-09T10:34:00Z"/>
                <w:sz w:val="22"/>
                <w:szCs w:val="22"/>
              </w:rPr>
            </w:pPr>
            <w:del w:id="8899" w:author="AbbVie14" w:date="2025-05-09T10:34:00Z">
              <w:r w:rsidRPr="00295E71">
                <w:rPr>
                  <w:sz w:val="22"/>
                  <w:szCs w:val="22"/>
                </w:rPr>
                <w:delText>42%***</w:delText>
              </w:r>
            </w:del>
          </w:p>
        </w:tc>
      </w:tr>
      <w:tr w14:paraId="3C1872B8" w14:textId="77777777">
        <w:tblPrEx>
          <w:tblW w:w="7150" w:type="dxa"/>
          <w:tblInd w:w="1060" w:type="dxa"/>
          <w:tblLook w:val="0000"/>
        </w:tblPrEx>
        <w:trPr>
          <w:del w:id="8900"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21995253" w14:textId="77777777">
            <w:pPr>
              <w:keepNext/>
              <w:rPr>
                <w:del w:id="8901" w:author="AbbVie14" w:date="2025-05-09T10:34:00Z"/>
                <w:sz w:val="22"/>
                <w:szCs w:val="22"/>
              </w:rPr>
            </w:pPr>
            <w:del w:id="8902" w:author="AbbVie14" w:date="2025-05-09T10:34:00Z">
              <w:r w:rsidRPr="00295E71">
                <w:rPr>
                  <w:sz w:val="22"/>
                  <w:szCs w:val="22"/>
                </w:rPr>
                <w:tab/>
                <w:delText>Settimana 12</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11F8096E" w14:textId="77777777">
            <w:pPr>
              <w:keepNext/>
              <w:jc w:val="center"/>
              <w:rPr>
                <w:del w:id="8903" w:author="AbbVie14" w:date="2025-05-09T10:34:00Z"/>
                <w:sz w:val="22"/>
                <w:szCs w:val="22"/>
              </w:rPr>
            </w:pPr>
            <w:del w:id="8904" w:author="AbbVie14" w:date="2025-05-09T10:34:00Z">
              <w:r w:rsidRPr="00295E71">
                <w:rPr>
                  <w:sz w:val="22"/>
                  <w:szCs w:val="22"/>
                </w:rPr>
                <w:delText>21%</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738E7B2D" w14:textId="77777777">
            <w:pPr>
              <w:keepNext/>
              <w:jc w:val="center"/>
              <w:rPr>
                <w:del w:id="8905" w:author="AbbVie14" w:date="2025-05-09T10:34:00Z"/>
                <w:sz w:val="22"/>
                <w:szCs w:val="22"/>
              </w:rPr>
            </w:pPr>
            <w:del w:id="8906" w:author="AbbVie14" w:date="2025-05-09T10:34:00Z">
              <w:r w:rsidRPr="00295E71">
                <w:rPr>
                  <w:sz w:val="22"/>
                  <w:szCs w:val="22"/>
                </w:rPr>
                <w:delText>58%***</w:delText>
              </w:r>
            </w:del>
          </w:p>
        </w:tc>
      </w:tr>
      <w:tr w14:paraId="7DD38645" w14:textId="77777777">
        <w:tblPrEx>
          <w:tblW w:w="7150" w:type="dxa"/>
          <w:tblInd w:w="1060" w:type="dxa"/>
          <w:tblLook w:val="0000"/>
        </w:tblPrEx>
        <w:trPr>
          <w:del w:id="8907"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10F5E2F9" w14:textId="77777777">
            <w:pPr>
              <w:keepNext/>
              <w:rPr>
                <w:del w:id="8908" w:author="AbbVie14" w:date="2025-05-09T10:34:00Z"/>
                <w:sz w:val="22"/>
                <w:szCs w:val="22"/>
              </w:rPr>
            </w:pPr>
            <w:del w:id="8909" w:author="AbbVie14" w:date="2025-05-09T10:34:00Z">
              <w:r w:rsidRPr="00295E71">
                <w:rPr>
                  <w:sz w:val="22"/>
                  <w:szCs w:val="22"/>
                </w:rPr>
                <w:tab/>
                <w:delText>Settimana 24</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44113409" w14:textId="77777777">
            <w:pPr>
              <w:keepNext/>
              <w:jc w:val="center"/>
              <w:rPr>
                <w:del w:id="8910" w:author="AbbVie14" w:date="2025-05-09T10:34:00Z"/>
                <w:sz w:val="22"/>
                <w:szCs w:val="22"/>
              </w:rPr>
            </w:pPr>
            <w:del w:id="8911" w:author="AbbVie14" w:date="2025-05-09T10:34:00Z">
              <w:r w:rsidRPr="00295E71">
                <w:rPr>
                  <w:sz w:val="22"/>
                  <w:szCs w:val="22"/>
                </w:rPr>
                <w:delText>19%</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63062558" w14:textId="77777777">
            <w:pPr>
              <w:keepNext/>
              <w:jc w:val="center"/>
              <w:rPr>
                <w:del w:id="8912" w:author="AbbVie14" w:date="2025-05-09T10:34:00Z"/>
                <w:sz w:val="22"/>
                <w:szCs w:val="22"/>
              </w:rPr>
            </w:pPr>
            <w:del w:id="8913" w:author="AbbVie14" w:date="2025-05-09T10:34:00Z">
              <w:r w:rsidRPr="00295E71">
                <w:rPr>
                  <w:sz w:val="22"/>
                  <w:szCs w:val="22"/>
                </w:rPr>
                <w:delText>51%***</w:delText>
              </w:r>
            </w:del>
          </w:p>
        </w:tc>
      </w:tr>
      <w:tr w14:paraId="7E2BFC0A" w14:textId="77777777">
        <w:tblPrEx>
          <w:tblW w:w="7150" w:type="dxa"/>
          <w:tblInd w:w="1060" w:type="dxa"/>
          <w:tblLook w:val="0000"/>
        </w:tblPrEx>
        <w:trPr>
          <w:del w:id="8914"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36D2F516" w14:textId="77777777">
            <w:pPr>
              <w:keepNext/>
              <w:rPr>
                <w:del w:id="8915" w:author="AbbVie14" w:date="2025-05-09T10:34:00Z"/>
                <w:sz w:val="22"/>
                <w:szCs w:val="22"/>
              </w:rPr>
            </w:pPr>
            <w:del w:id="8916" w:author="AbbVie14" w:date="2025-05-09T10:34:00Z">
              <w:r w:rsidRPr="00295E71">
                <w:rPr>
                  <w:sz w:val="22"/>
                  <w:szCs w:val="22"/>
                </w:rPr>
                <w:delText>ASAS 50</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561115BF" w14:textId="77777777">
            <w:pPr>
              <w:keepNext/>
              <w:jc w:val="center"/>
              <w:rPr>
                <w:del w:id="8917" w:author="AbbVie14" w:date="2025-05-09T10:34:00Z"/>
                <w:sz w:val="22"/>
                <w:szCs w:val="22"/>
              </w:rPr>
            </w:pPr>
          </w:p>
        </w:tc>
        <w:tc>
          <w:tcPr>
            <w:tcW w:w="2310" w:type="dxa"/>
            <w:tcBorders>
              <w:top w:val="single" w:sz="4" w:space="0" w:color="auto"/>
              <w:left w:val="single" w:sz="4" w:space="0" w:color="auto"/>
              <w:bottom w:val="single" w:sz="4" w:space="0" w:color="auto"/>
              <w:right w:val="single" w:sz="4" w:space="0" w:color="auto"/>
            </w:tcBorders>
          </w:tcPr>
          <w:p w:rsidR="006224C2" w:rsidRPr="00295E71" w14:paraId="687C2889" w14:textId="77777777">
            <w:pPr>
              <w:keepNext/>
              <w:jc w:val="center"/>
              <w:rPr>
                <w:del w:id="8918" w:author="AbbVie14" w:date="2025-05-09T10:34:00Z"/>
                <w:sz w:val="22"/>
                <w:szCs w:val="22"/>
              </w:rPr>
            </w:pPr>
          </w:p>
        </w:tc>
      </w:tr>
      <w:tr w14:paraId="4D3D9FB3" w14:textId="77777777">
        <w:tblPrEx>
          <w:tblW w:w="7150" w:type="dxa"/>
          <w:tblInd w:w="1060" w:type="dxa"/>
          <w:tblLook w:val="0000"/>
        </w:tblPrEx>
        <w:trPr>
          <w:del w:id="8919"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7870F787" w14:textId="77777777">
            <w:pPr>
              <w:keepNext/>
              <w:rPr>
                <w:del w:id="8920" w:author="AbbVie14" w:date="2025-05-09T10:34:00Z"/>
                <w:sz w:val="22"/>
                <w:szCs w:val="22"/>
              </w:rPr>
            </w:pPr>
            <w:del w:id="8921" w:author="AbbVie14" w:date="2025-05-09T10:34:00Z">
              <w:r w:rsidRPr="00295E71">
                <w:rPr>
                  <w:sz w:val="22"/>
                  <w:szCs w:val="22"/>
                </w:rPr>
                <w:tab/>
                <w:delText>Settimana 2</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20D4E577" w14:textId="77777777">
            <w:pPr>
              <w:keepNext/>
              <w:jc w:val="center"/>
              <w:rPr>
                <w:del w:id="8922" w:author="AbbVie14" w:date="2025-05-09T10:34:00Z"/>
                <w:sz w:val="22"/>
                <w:szCs w:val="22"/>
              </w:rPr>
            </w:pPr>
            <w:del w:id="8923" w:author="AbbVie14" w:date="2025-05-09T10:34:00Z">
              <w:r w:rsidRPr="00295E71">
                <w:rPr>
                  <w:sz w:val="22"/>
                  <w:szCs w:val="22"/>
                </w:rPr>
                <w:delText>3%</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2273BD9B" w14:textId="77777777">
            <w:pPr>
              <w:keepNext/>
              <w:jc w:val="center"/>
              <w:rPr>
                <w:del w:id="8924" w:author="AbbVie14" w:date="2025-05-09T10:34:00Z"/>
                <w:sz w:val="22"/>
                <w:szCs w:val="22"/>
              </w:rPr>
            </w:pPr>
            <w:del w:id="8925" w:author="AbbVie14" w:date="2025-05-09T10:34:00Z">
              <w:r w:rsidRPr="00295E71">
                <w:rPr>
                  <w:sz w:val="22"/>
                  <w:szCs w:val="22"/>
                </w:rPr>
                <w:delText>16%***</w:delText>
              </w:r>
            </w:del>
          </w:p>
        </w:tc>
      </w:tr>
      <w:tr w14:paraId="21AB64B5" w14:textId="77777777">
        <w:tblPrEx>
          <w:tblW w:w="7150" w:type="dxa"/>
          <w:tblInd w:w="1060" w:type="dxa"/>
          <w:tblLook w:val="0000"/>
        </w:tblPrEx>
        <w:trPr>
          <w:del w:id="8926"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50247F4D" w14:textId="77777777">
            <w:pPr>
              <w:keepNext/>
              <w:rPr>
                <w:del w:id="8927" w:author="AbbVie14" w:date="2025-05-09T10:34:00Z"/>
                <w:sz w:val="22"/>
                <w:szCs w:val="22"/>
              </w:rPr>
            </w:pPr>
            <w:del w:id="8928" w:author="AbbVie14" w:date="2025-05-09T10:34:00Z">
              <w:r w:rsidRPr="00295E71">
                <w:rPr>
                  <w:sz w:val="22"/>
                  <w:szCs w:val="22"/>
                </w:rPr>
                <w:tab/>
                <w:delText>Settimana 12</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23348EAE" w14:textId="77777777">
            <w:pPr>
              <w:keepNext/>
              <w:jc w:val="center"/>
              <w:rPr>
                <w:del w:id="8929" w:author="AbbVie14" w:date="2025-05-09T10:34:00Z"/>
                <w:sz w:val="22"/>
                <w:szCs w:val="22"/>
              </w:rPr>
            </w:pPr>
            <w:del w:id="8930" w:author="AbbVie14" w:date="2025-05-09T10:34:00Z">
              <w:r w:rsidRPr="00295E71">
                <w:rPr>
                  <w:sz w:val="22"/>
                  <w:szCs w:val="22"/>
                </w:rPr>
                <w:delText>10%</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32527DA8" w14:textId="77777777">
            <w:pPr>
              <w:keepNext/>
              <w:jc w:val="center"/>
              <w:rPr>
                <w:del w:id="8931" w:author="AbbVie14" w:date="2025-05-09T10:34:00Z"/>
                <w:sz w:val="22"/>
                <w:szCs w:val="22"/>
              </w:rPr>
            </w:pPr>
            <w:del w:id="8932" w:author="AbbVie14" w:date="2025-05-09T10:34:00Z">
              <w:r w:rsidRPr="00295E71">
                <w:rPr>
                  <w:sz w:val="22"/>
                  <w:szCs w:val="22"/>
                </w:rPr>
                <w:delText>38%***</w:delText>
              </w:r>
            </w:del>
          </w:p>
        </w:tc>
      </w:tr>
      <w:tr w14:paraId="0F1002DB" w14:textId="77777777">
        <w:tblPrEx>
          <w:tblW w:w="7150" w:type="dxa"/>
          <w:tblInd w:w="1060" w:type="dxa"/>
          <w:tblLook w:val="0000"/>
        </w:tblPrEx>
        <w:trPr>
          <w:del w:id="8933"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474342F4" w14:textId="77777777">
            <w:pPr>
              <w:keepNext/>
              <w:rPr>
                <w:del w:id="8934" w:author="AbbVie14" w:date="2025-05-09T10:34:00Z"/>
                <w:sz w:val="22"/>
                <w:szCs w:val="22"/>
              </w:rPr>
            </w:pPr>
            <w:del w:id="8935" w:author="AbbVie14" w:date="2025-05-09T10:34:00Z">
              <w:r w:rsidRPr="00295E71">
                <w:rPr>
                  <w:sz w:val="22"/>
                  <w:szCs w:val="22"/>
                </w:rPr>
                <w:tab/>
                <w:delText>Settimana 24</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7A6C6440" w14:textId="77777777">
            <w:pPr>
              <w:keepNext/>
              <w:jc w:val="center"/>
              <w:rPr>
                <w:del w:id="8936" w:author="AbbVie14" w:date="2025-05-09T10:34:00Z"/>
                <w:sz w:val="22"/>
                <w:szCs w:val="22"/>
              </w:rPr>
            </w:pPr>
            <w:del w:id="8937" w:author="AbbVie14" w:date="2025-05-09T10:34:00Z">
              <w:r w:rsidRPr="00295E71">
                <w:rPr>
                  <w:sz w:val="22"/>
                  <w:szCs w:val="22"/>
                </w:rPr>
                <w:delText>11%</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2B4EF4BF" w14:textId="77777777">
            <w:pPr>
              <w:keepNext/>
              <w:jc w:val="center"/>
              <w:rPr>
                <w:del w:id="8938" w:author="AbbVie14" w:date="2025-05-09T10:34:00Z"/>
                <w:sz w:val="22"/>
                <w:szCs w:val="22"/>
              </w:rPr>
            </w:pPr>
            <w:del w:id="8939" w:author="AbbVie14" w:date="2025-05-09T10:34:00Z">
              <w:r w:rsidRPr="00295E71">
                <w:rPr>
                  <w:sz w:val="22"/>
                  <w:szCs w:val="22"/>
                </w:rPr>
                <w:delText>35%***</w:delText>
              </w:r>
            </w:del>
          </w:p>
        </w:tc>
      </w:tr>
      <w:tr w14:paraId="7F593F08" w14:textId="77777777">
        <w:tblPrEx>
          <w:tblW w:w="7150" w:type="dxa"/>
          <w:tblInd w:w="1060" w:type="dxa"/>
          <w:tblLook w:val="0000"/>
        </w:tblPrEx>
        <w:trPr>
          <w:del w:id="8940"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744A3943" w14:textId="77777777">
            <w:pPr>
              <w:keepNext/>
              <w:rPr>
                <w:del w:id="8941" w:author="AbbVie14" w:date="2025-05-09T10:34:00Z"/>
                <w:sz w:val="22"/>
                <w:szCs w:val="22"/>
              </w:rPr>
            </w:pPr>
            <w:del w:id="8942" w:author="AbbVie14" w:date="2025-05-09T10:34:00Z">
              <w:r w:rsidRPr="00295E71">
                <w:rPr>
                  <w:sz w:val="22"/>
                  <w:szCs w:val="22"/>
                </w:rPr>
                <w:delText>ASAS 70</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5E83B7E6" w14:textId="77777777">
            <w:pPr>
              <w:keepNext/>
              <w:jc w:val="center"/>
              <w:rPr>
                <w:del w:id="8943" w:author="AbbVie14" w:date="2025-05-09T10:34:00Z"/>
                <w:sz w:val="22"/>
                <w:szCs w:val="22"/>
              </w:rPr>
            </w:pPr>
          </w:p>
        </w:tc>
        <w:tc>
          <w:tcPr>
            <w:tcW w:w="2310" w:type="dxa"/>
            <w:tcBorders>
              <w:top w:val="single" w:sz="4" w:space="0" w:color="auto"/>
              <w:left w:val="single" w:sz="4" w:space="0" w:color="auto"/>
              <w:bottom w:val="single" w:sz="4" w:space="0" w:color="auto"/>
              <w:right w:val="single" w:sz="4" w:space="0" w:color="auto"/>
            </w:tcBorders>
          </w:tcPr>
          <w:p w:rsidR="006224C2" w:rsidRPr="00295E71" w14:paraId="7E32D66E" w14:textId="77777777">
            <w:pPr>
              <w:keepNext/>
              <w:jc w:val="center"/>
              <w:rPr>
                <w:del w:id="8944" w:author="AbbVie14" w:date="2025-05-09T10:34:00Z"/>
                <w:sz w:val="22"/>
                <w:szCs w:val="22"/>
              </w:rPr>
            </w:pPr>
          </w:p>
        </w:tc>
      </w:tr>
      <w:tr w14:paraId="65F0C9DC" w14:textId="77777777">
        <w:tblPrEx>
          <w:tblW w:w="7150" w:type="dxa"/>
          <w:tblInd w:w="1060" w:type="dxa"/>
          <w:tblLook w:val="0000"/>
        </w:tblPrEx>
        <w:trPr>
          <w:del w:id="8945"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1DD40687" w14:textId="77777777">
            <w:pPr>
              <w:keepNext/>
              <w:rPr>
                <w:del w:id="8946" w:author="AbbVie14" w:date="2025-05-09T10:34:00Z"/>
                <w:sz w:val="22"/>
                <w:szCs w:val="22"/>
              </w:rPr>
            </w:pPr>
            <w:del w:id="8947" w:author="AbbVie14" w:date="2025-05-09T10:34:00Z">
              <w:r w:rsidRPr="00295E71">
                <w:rPr>
                  <w:sz w:val="22"/>
                  <w:szCs w:val="22"/>
                </w:rPr>
                <w:tab/>
                <w:delText>Settimana 2</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6A0B1CD1" w14:textId="77777777">
            <w:pPr>
              <w:keepNext/>
              <w:jc w:val="center"/>
              <w:rPr>
                <w:del w:id="8948" w:author="AbbVie14" w:date="2025-05-09T10:34:00Z"/>
                <w:sz w:val="22"/>
                <w:szCs w:val="22"/>
              </w:rPr>
            </w:pPr>
            <w:del w:id="8949" w:author="AbbVie14" w:date="2025-05-09T10:34:00Z">
              <w:r w:rsidRPr="00295E71">
                <w:rPr>
                  <w:sz w:val="22"/>
                  <w:szCs w:val="22"/>
                </w:rPr>
                <w:delText>0%</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475D6B79" w14:textId="77777777">
            <w:pPr>
              <w:keepNext/>
              <w:jc w:val="center"/>
              <w:rPr>
                <w:del w:id="8950" w:author="AbbVie14" w:date="2025-05-09T10:34:00Z"/>
                <w:sz w:val="22"/>
                <w:szCs w:val="22"/>
              </w:rPr>
            </w:pPr>
            <w:del w:id="8951" w:author="AbbVie14" w:date="2025-05-09T10:34:00Z">
              <w:r w:rsidRPr="00295E71">
                <w:rPr>
                  <w:sz w:val="22"/>
                  <w:szCs w:val="22"/>
                </w:rPr>
                <w:delText>7%**</w:delText>
              </w:r>
            </w:del>
          </w:p>
        </w:tc>
      </w:tr>
      <w:tr w14:paraId="4780E1DA" w14:textId="77777777">
        <w:tblPrEx>
          <w:tblW w:w="7150" w:type="dxa"/>
          <w:tblInd w:w="1060" w:type="dxa"/>
          <w:tblLook w:val="0000"/>
        </w:tblPrEx>
        <w:trPr>
          <w:del w:id="8952"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617CF302" w14:textId="77777777">
            <w:pPr>
              <w:keepNext/>
              <w:rPr>
                <w:del w:id="8953" w:author="AbbVie14" w:date="2025-05-09T10:34:00Z"/>
                <w:sz w:val="22"/>
                <w:szCs w:val="22"/>
              </w:rPr>
            </w:pPr>
            <w:del w:id="8954" w:author="AbbVie14" w:date="2025-05-09T10:34:00Z">
              <w:r w:rsidRPr="00295E71">
                <w:rPr>
                  <w:sz w:val="22"/>
                  <w:szCs w:val="22"/>
                </w:rPr>
                <w:tab/>
                <w:delText>Settimana 12</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118377C2" w14:textId="77777777">
            <w:pPr>
              <w:keepNext/>
              <w:jc w:val="center"/>
              <w:rPr>
                <w:del w:id="8955" w:author="AbbVie14" w:date="2025-05-09T10:34:00Z"/>
                <w:sz w:val="22"/>
                <w:szCs w:val="22"/>
              </w:rPr>
            </w:pPr>
            <w:del w:id="8956" w:author="AbbVie14" w:date="2025-05-09T10:34:00Z">
              <w:r w:rsidRPr="00295E71">
                <w:rPr>
                  <w:sz w:val="22"/>
                  <w:szCs w:val="22"/>
                </w:rPr>
                <w:delText>5%</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7B9613C2" w14:textId="77777777">
            <w:pPr>
              <w:keepNext/>
              <w:jc w:val="center"/>
              <w:rPr>
                <w:del w:id="8957" w:author="AbbVie14" w:date="2025-05-09T10:34:00Z"/>
                <w:sz w:val="22"/>
                <w:szCs w:val="22"/>
              </w:rPr>
            </w:pPr>
            <w:del w:id="8958" w:author="AbbVie14" w:date="2025-05-09T10:34:00Z">
              <w:r w:rsidRPr="00295E71">
                <w:rPr>
                  <w:sz w:val="22"/>
                  <w:szCs w:val="22"/>
                </w:rPr>
                <w:delText>23%***</w:delText>
              </w:r>
            </w:del>
          </w:p>
        </w:tc>
      </w:tr>
      <w:tr w14:paraId="0955F09E" w14:textId="77777777">
        <w:tblPrEx>
          <w:tblW w:w="7150" w:type="dxa"/>
          <w:tblInd w:w="1060" w:type="dxa"/>
          <w:tblLook w:val="0000"/>
        </w:tblPrEx>
        <w:trPr>
          <w:del w:id="8959"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36654316" w14:textId="77777777">
            <w:pPr>
              <w:keepNext/>
              <w:rPr>
                <w:del w:id="8960" w:author="AbbVie14" w:date="2025-05-09T10:34:00Z"/>
                <w:sz w:val="22"/>
                <w:szCs w:val="22"/>
              </w:rPr>
            </w:pPr>
            <w:del w:id="8961" w:author="AbbVie14" w:date="2025-05-09T10:34:00Z">
              <w:r w:rsidRPr="00295E71">
                <w:rPr>
                  <w:sz w:val="22"/>
                  <w:szCs w:val="22"/>
                </w:rPr>
                <w:tab/>
                <w:delText>Settimana 24</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65CB6321" w14:textId="77777777">
            <w:pPr>
              <w:keepNext/>
              <w:jc w:val="center"/>
              <w:rPr>
                <w:del w:id="8962" w:author="AbbVie14" w:date="2025-05-09T10:34:00Z"/>
                <w:sz w:val="22"/>
                <w:szCs w:val="22"/>
              </w:rPr>
            </w:pPr>
            <w:del w:id="8963" w:author="AbbVie14" w:date="2025-05-09T10:34:00Z">
              <w:r w:rsidRPr="00295E71">
                <w:rPr>
                  <w:sz w:val="22"/>
                  <w:szCs w:val="22"/>
                </w:rPr>
                <w:delText>8%</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46A6D569" w14:textId="77777777">
            <w:pPr>
              <w:keepNext/>
              <w:jc w:val="center"/>
              <w:rPr>
                <w:del w:id="8964" w:author="AbbVie14" w:date="2025-05-09T10:34:00Z"/>
                <w:sz w:val="22"/>
                <w:szCs w:val="22"/>
              </w:rPr>
            </w:pPr>
            <w:del w:id="8965" w:author="AbbVie14" w:date="2025-05-09T10:34:00Z">
              <w:r w:rsidRPr="00295E71">
                <w:rPr>
                  <w:sz w:val="22"/>
                  <w:szCs w:val="22"/>
                </w:rPr>
                <w:delText>24%***</w:delText>
              </w:r>
            </w:del>
          </w:p>
        </w:tc>
      </w:tr>
      <w:tr w14:paraId="1FFAD412" w14:textId="77777777">
        <w:tblPrEx>
          <w:tblW w:w="7150" w:type="dxa"/>
          <w:tblInd w:w="1060" w:type="dxa"/>
          <w:tblLook w:val="0000"/>
        </w:tblPrEx>
        <w:trPr>
          <w:del w:id="8966"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40FC9E36" w14:textId="77777777">
            <w:pPr>
              <w:keepNext/>
              <w:rPr>
                <w:del w:id="8967" w:author="AbbVie14" w:date="2025-05-09T10:34:00Z"/>
                <w:sz w:val="22"/>
                <w:szCs w:val="22"/>
              </w:rPr>
            </w:pPr>
          </w:p>
        </w:tc>
        <w:tc>
          <w:tcPr>
            <w:tcW w:w="2090" w:type="dxa"/>
            <w:tcBorders>
              <w:top w:val="single" w:sz="4" w:space="0" w:color="auto"/>
              <w:left w:val="single" w:sz="4" w:space="0" w:color="auto"/>
              <w:bottom w:val="single" w:sz="4" w:space="0" w:color="auto"/>
              <w:right w:val="single" w:sz="4" w:space="0" w:color="auto"/>
            </w:tcBorders>
          </w:tcPr>
          <w:p w:rsidR="006224C2" w:rsidRPr="00295E71" w14:paraId="364E5C07" w14:textId="77777777">
            <w:pPr>
              <w:keepNext/>
              <w:jc w:val="center"/>
              <w:rPr>
                <w:del w:id="8968" w:author="AbbVie14" w:date="2025-05-09T10:34:00Z"/>
                <w:sz w:val="22"/>
                <w:szCs w:val="22"/>
              </w:rPr>
            </w:pPr>
          </w:p>
        </w:tc>
        <w:tc>
          <w:tcPr>
            <w:tcW w:w="2310" w:type="dxa"/>
            <w:tcBorders>
              <w:top w:val="single" w:sz="4" w:space="0" w:color="auto"/>
              <w:left w:val="single" w:sz="4" w:space="0" w:color="auto"/>
              <w:bottom w:val="single" w:sz="4" w:space="0" w:color="auto"/>
              <w:right w:val="single" w:sz="4" w:space="0" w:color="auto"/>
            </w:tcBorders>
          </w:tcPr>
          <w:p w:rsidR="006224C2" w:rsidRPr="00295E71" w14:paraId="772D4D49" w14:textId="77777777">
            <w:pPr>
              <w:keepNext/>
              <w:jc w:val="center"/>
              <w:rPr>
                <w:del w:id="8969" w:author="AbbVie14" w:date="2025-05-09T10:34:00Z"/>
                <w:sz w:val="22"/>
                <w:szCs w:val="22"/>
              </w:rPr>
            </w:pPr>
          </w:p>
        </w:tc>
      </w:tr>
      <w:tr w14:paraId="26E1CC3E" w14:textId="77777777">
        <w:tblPrEx>
          <w:tblW w:w="7150" w:type="dxa"/>
          <w:tblInd w:w="1060" w:type="dxa"/>
          <w:tblLook w:val="0000"/>
        </w:tblPrEx>
        <w:trPr>
          <w:del w:id="8970"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74A67567" w14:textId="77777777">
            <w:pPr>
              <w:keepNext/>
              <w:rPr>
                <w:del w:id="8971" w:author="AbbVie14" w:date="2025-05-09T10:34:00Z"/>
                <w:sz w:val="22"/>
                <w:szCs w:val="22"/>
              </w:rPr>
            </w:pPr>
            <w:del w:id="8972" w:author="AbbVie14" w:date="2025-05-09T10:34:00Z">
              <w:r w:rsidRPr="00295E71">
                <w:rPr>
                  <w:sz w:val="22"/>
                  <w:szCs w:val="22"/>
                </w:rPr>
                <w:delText>BASDAI</w:delText>
              </w:r>
            </w:del>
            <w:del w:id="8973" w:author="AbbVie14" w:date="2025-05-09T10:34:00Z">
              <w:r w:rsidRPr="00295E71">
                <w:rPr>
                  <w:sz w:val="22"/>
                  <w:szCs w:val="22"/>
                  <w:vertAlign w:val="superscript"/>
                </w:rPr>
                <w:delText>b</w:delText>
              </w:r>
            </w:del>
            <w:del w:id="8974" w:author="AbbVie14" w:date="2025-05-09T10:34:00Z">
              <w:r w:rsidRPr="00295E71">
                <w:rPr>
                  <w:sz w:val="22"/>
                  <w:szCs w:val="22"/>
                </w:rPr>
                <w:delText xml:space="preserve"> 50 </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30F2D978" w14:textId="77777777">
            <w:pPr>
              <w:keepNext/>
              <w:jc w:val="center"/>
              <w:rPr>
                <w:del w:id="8975" w:author="AbbVie14" w:date="2025-05-09T10:34:00Z"/>
                <w:sz w:val="22"/>
                <w:szCs w:val="22"/>
              </w:rPr>
            </w:pPr>
          </w:p>
        </w:tc>
        <w:tc>
          <w:tcPr>
            <w:tcW w:w="2310" w:type="dxa"/>
            <w:tcBorders>
              <w:top w:val="single" w:sz="4" w:space="0" w:color="auto"/>
              <w:left w:val="single" w:sz="4" w:space="0" w:color="auto"/>
              <w:bottom w:val="single" w:sz="4" w:space="0" w:color="auto"/>
              <w:right w:val="single" w:sz="4" w:space="0" w:color="auto"/>
            </w:tcBorders>
          </w:tcPr>
          <w:p w:rsidR="006224C2" w:rsidRPr="00295E71" w14:paraId="6F8D9D8B" w14:textId="77777777">
            <w:pPr>
              <w:keepNext/>
              <w:jc w:val="center"/>
              <w:rPr>
                <w:del w:id="8976" w:author="AbbVie14" w:date="2025-05-09T10:34:00Z"/>
                <w:sz w:val="22"/>
                <w:szCs w:val="22"/>
              </w:rPr>
            </w:pPr>
          </w:p>
        </w:tc>
      </w:tr>
      <w:tr w14:paraId="1501EE44" w14:textId="77777777">
        <w:tblPrEx>
          <w:tblW w:w="7150" w:type="dxa"/>
          <w:tblInd w:w="1060" w:type="dxa"/>
          <w:tblLook w:val="0000"/>
        </w:tblPrEx>
        <w:trPr>
          <w:del w:id="8977"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3F652BFB" w14:textId="77777777">
            <w:pPr>
              <w:keepNext/>
              <w:rPr>
                <w:del w:id="8978" w:author="AbbVie14" w:date="2025-05-09T10:34:00Z"/>
                <w:sz w:val="22"/>
                <w:szCs w:val="22"/>
              </w:rPr>
            </w:pPr>
            <w:del w:id="8979" w:author="AbbVie14" w:date="2025-05-09T10:34:00Z">
              <w:r w:rsidRPr="00295E71">
                <w:rPr>
                  <w:sz w:val="22"/>
                  <w:szCs w:val="22"/>
                </w:rPr>
                <w:tab/>
                <w:delText>Settimana 2</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275524A3" w14:textId="77777777">
            <w:pPr>
              <w:keepNext/>
              <w:jc w:val="center"/>
              <w:rPr>
                <w:del w:id="8980" w:author="AbbVie14" w:date="2025-05-09T10:34:00Z"/>
                <w:sz w:val="22"/>
                <w:szCs w:val="22"/>
              </w:rPr>
            </w:pPr>
            <w:del w:id="8981" w:author="AbbVie14" w:date="2025-05-09T10:34:00Z">
              <w:r w:rsidRPr="00295E71">
                <w:rPr>
                  <w:sz w:val="22"/>
                  <w:szCs w:val="22"/>
                </w:rPr>
                <w:delText>4%</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086B3CA3" w14:textId="77777777">
            <w:pPr>
              <w:keepNext/>
              <w:jc w:val="center"/>
              <w:rPr>
                <w:del w:id="8982" w:author="AbbVie14" w:date="2025-05-09T10:34:00Z"/>
                <w:sz w:val="22"/>
                <w:szCs w:val="22"/>
              </w:rPr>
            </w:pPr>
            <w:del w:id="8983" w:author="AbbVie14" w:date="2025-05-09T10:34:00Z">
              <w:r w:rsidRPr="00295E71">
                <w:rPr>
                  <w:sz w:val="22"/>
                  <w:szCs w:val="22"/>
                </w:rPr>
                <w:delText>20%***</w:delText>
              </w:r>
            </w:del>
          </w:p>
        </w:tc>
      </w:tr>
      <w:tr w14:paraId="1EF36CF4" w14:textId="77777777">
        <w:tblPrEx>
          <w:tblW w:w="7150" w:type="dxa"/>
          <w:tblInd w:w="1060" w:type="dxa"/>
          <w:tblLook w:val="0000"/>
        </w:tblPrEx>
        <w:trPr>
          <w:del w:id="8984"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061E7143" w14:textId="77777777">
            <w:pPr>
              <w:keepNext/>
              <w:rPr>
                <w:del w:id="8985" w:author="AbbVie14" w:date="2025-05-09T10:34:00Z"/>
                <w:sz w:val="22"/>
                <w:szCs w:val="22"/>
              </w:rPr>
            </w:pPr>
            <w:del w:id="8986" w:author="AbbVie14" w:date="2025-05-09T10:34:00Z">
              <w:r w:rsidRPr="00295E71">
                <w:rPr>
                  <w:sz w:val="22"/>
                  <w:szCs w:val="22"/>
                </w:rPr>
                <w:tab/>
                <w:delText>Settimana 12</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58EBC08D" w14:textId="77777777">
            <w:pPr>
              <w:keepNext/>
              <w:jc w:val="center"/>
              <w:rPr>
                <w:del w:id="8987" w:author="AbbVie14" w:date="2025-05-09T10:34:00Z"/>
                <w:sz w:val="22"/>
                <w:szCs w:val="22"/>
              </w:rPr>
            </w:pPr>
            <w:del w:id="8988" w:author="AbbVie14" w:date="2025-05-09T10:34:00Z">
              <w:r w:rsidRPr="00295E71">
                <w:rPr>
                  <w:sz w:val="22"/>
                  <w:szCs w:val="22"/>
                </w:rPr>
                <w:delText>16%</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6746B750" w14:textId="77777777">
            <w:pPr>
              <w:keepNext/>
              <w:jc w:val="center"/>
              <w:rPr>
                <w:del w:id="8989" w:author="AbbVie14" w:date="2025-05-09T10:34:00Z"/>
                <w:sz w:val="22"/>
                <w:szCs w:val="22"/>
              </w:rPr>
            </w:pPr>
            <w:del w:id="8990" w:author="AbbVie14" w:date="2025-05-09T10:34:00Z">
              <w:r w:rsidRPr="00295E71">
                <w:rPr>
                  <w:sz w:val="22"/>
                  <w:szCs w:val="22"/>
                </w:rPr>
                <w:delText>45%***</w:delText>
              </w:r>
            </w:del>
          </w:p>
        </w:tc>
      </w:tr>
      <w:tr w14:paraId="7C23913C" w14:textId="77777777">
        <w:tblPrEx>
          <w:tblW w:w="7150" w:type="dxa"/>
          <w:tblInd w:w="1060" w:type="dxa"/>
          <w:tblLook w:val="0000"/>
        </w:tblPrEx>
        <w:trPr>
          <w:del w:id="8991" w:author="AbbVie14" w:date="2025-05-09T10:34:00Z"/>
        </w:trPr>
        <w:tc>
          <w:tcPr>
            <w:tcW w:w="2750" w:type="dxa"/>
            <w:tcBorders>
              <w:top w:val="single" w:sz="4" w:space="0" w:color="auto"/>
              <w:left w:val="single" w:sz="4" w:space="0" w:color="auto"/>
              <w:bottom w:val="single" w:sz="4" w:space="0" w:color="auto"/>
              <w:right w:val="single" w:sz="4" w:space="0" w:color="auto"/>
            </w:tcBorders>
          </w:tcPr>
          <w:p w:rsidR="006224C2" w:rsidRPr="00295E71" w14:paraId="7BA78DE6" w14:textId="77777777">
            <w:pPr>
              <w:keepNext/>
              <w:rPr>
                <w:del w:id="8992" w:author="AbbVie14" w:date="2025-05-09T10:34:00Z"/>
                <w:sz w:val="22"/>
                <w:szCs w:val="22"/>
              </w:rPr>
            </w:pPr>
            <w:del w:id="8993" w:author="AbbVie14" w:date="2025-05-09T10:34:00Z">
              <w:r w:rsidRPr="00295E71">
                <w:rPr>
                  <w:sz w:val="22"/>
                  <w:szCs w:val="22"/>
                </w:rPr>
                <w:tab/>
                <w:delText>Settimana 24</w:delText>
              </w:r>
            </w:del>
          </w:p>
        </w:tc>
        <w:tc>
          <w:tcPr>
            <w:tcW w:w="2090" w:type="dxa"/>
            <w:tcBorders>
              <w:top w:val="single" w:sz="4" w:space="0" w:color="auto"/>
              <w:left w:val="single" w:sz="4" w:space="0" w:color="auto"/>
              <w:bottom w:val="single" w:sz="4" w:space="0" w:color="auto"/>
              <w:right w:val="single" w:sz="4" w:space="0" w:color="auto"/>
            </w:tcBorders>
          </w:tcPr>
          <w:p w:rsidR="006224C2" w:rsidRPr="00295E71" w14:paraId="65FBB8C6" w14:textId="77777777">
            <w:pPr>
              <w:keepNext/>
              <w:jc w:val="center"/>
              <w:rPr>
                <w:del w:id="8994" w:author="AbbVie14" w:date="2025-05-09T10:34:00Z"/>
                <w:sz w:val="22"/>
                <w:szCs w:val="22"/>
              </w:rPr>
            </w:pPr>
            <w:del w:id="8995" w:author="AbbVie14" w:date="2025-05-09T10:34:00Z">
              <w:r w:rsidRPr="00295E71">
                <w:rPr>
                  <w:sz w:val="22"/>
                  <w:szCs w:val="22"/>
                </w:rPr>
                <w:delText>15%</w:delText>
              </w:r>
            </w:del>
          </w:p>
        </w:tc>
        <w:tc>
          <w:tcPr>
            <w:tcW w:w="2310" w:type="dxa"/>
            <w:tcBorders>
              <w:top w:val="single" w:sz="4" w:space="0" w:color="auto"/>
              <w:left w:val="single" w:sz="4" w:space="0" w:color="auto"/>
              <w:bottom w:val="single" w:sz="4" w:space="0" w:color="auto"/>
              <w:right w:val="single" w:sz="4" w:space="0" w:color="auto"/>
            </w:tcBorders>
          </w:tcPr>
          <w:p w:rsidR="006224C2" w:rsidRPr="00295E71" w14:paraId="04EC6677" w14:textId="77777777">
            <w:pPr>
              <w:keepNext/>
              <w:jc w:val="center"/>
              <w:rPr>
                <w:del w:id="8996" w:author="AbbVie14" w:date="2025-05-09T10:34:00Z"/>
                <w:sz w:val="22"/>
                <w:szCs w:val="22"/>
              </w:rPr>
            </w:pPr>
            <w:del w:id="8997" w:author="AbbVie14" w:date="2025-05-09T10:34:00Z">
              <w:r w:rsidRPr="00295E71">
                <w:rPr>
                  <w:sz w:val="22"/>
                  <w:szCs w:val="22"/>
                </w:rPr>
                <w:delText>42%***</w:delText>
              </w:r>
            </w:del>
          </w:p>
        </w:tc>
      </w:tr>
    </w:tbl>
    <w:p w:rsidR="006224C2" w:rsidRPr="00295E71" w14:paraId="7B8798DD" w14:textId="77777777">
      <w:pPr>
        <w:pStyle w:val="DefaultText"/>
        <w:keepNext/>
        <w:ind w:left="990"/>
        <w:rPr>
          <w:del w:id="8998" w:author="AbbVie14" w:date="2025-05-09T10:34:00Z"/>
          <w:rFonts w:ascii="Times New Roman" w:hAnsi="Times New Roman" w:cs="Times New Roman"/>
          <w:lang w:val="it-IT"/>
        </w:rPr>
      </w:pPr>
      <w:del w:id="8999" w:author="AbbVie14" w:date="2025-05-09T10:34:00Z">
        <w:r w:rsidRPr="00295E71">
          <w:rPr>
            <w:rFonts w:ascii="Times New Roman" w:hAnsi="Times New Roman" w:cs="Times New Roman"/>
            <w:lang w:val="it-IT"/>
          </w:rPr>
          <w:delText>***,** Statisticamente significativa a p&lt;0,001, &lt;0,01 per tutti i valori messi a confronto tra Humira e placebo alla settimana 2, 12 e 24</w:delText>
        </w:r>
      </w:del>
    </w:p>
    <w:p w:rsidR="006224C2" w:rsidRPr="00295E71" w14:paraId="1C00500C" w14:textId="77777777">
      <w:pPr>
        <w:keepNext/>
        <w:autoSpaceDE w:val="0"/>
        <w:autoSpaceDN w:val="0"/>
        <w:adjustRightInd w:val="0"/>
        <w:ind w:left="990"/>
        <w:rPr>
          <w:del w:id="9000" w:author="AbbVie14" w:date="2025-05-09T10:34:00Z"/>
          <w:sz w:val="22"/>
          <w:szCs w:val="22"/>
        </w:rPr>
      </w:pPr>
      <w:del w:id="9001" w:author="AbbVie14" w:date="2025-05-09T10:34:00Z">
        <w:r w:rsidRPr="00295E71">
          <w:rPr>
            <w:color w:val="000000"/>
            <w:sz w:val="22"/>
            <w:szCs w:val="22"/>
            <w:vertAlign w:val="superscript"/>
          </w:rPr>
          <w:delText>a</w:delText>
        </w:r>
      </w:del>
      <w:del w:id="9002" w:author="AbbVie14" w:date="2025-05-09T10:34:00Z">
        <w:r w:rsidRPr="00295E71">
          <w:rPr>
            <w:sz w:val="22"/>
            <w:szCs w:val="22"/>
          </w:rPr>
          <w:delText>Valutazioni della spondilite anchilosante</w:delText>
        </w:r>
      </w:del>
    </w:p>
    <w:p w:rsidR="006224C2" w:rsidRPr="00295E71" w14:paraId="530B9647" w14:textId="77777777">
      <w:pPr>
        <w:keepNext/>
        <w:autoSpaceDE w:val="0"/>
        <w:autoSpaceDN w:val="0"/>
        <w:adjustRightInd w:val="0"/>
        <w:ind w:left="990"/>
        <w:rPr>
          <w:del w:id="9003" w:author="AbbVie14" w:date="2025-05-09T10:34:00Z"/>
          <w:color w:val="000000"/>
          <w:sz w:val="22"/>
          <w:szCs w:val="22"/>
        </w:rPr>
      </w:pPr>
      <w:del w:id="9004" w:author="AbbVie14" w:date="2025-05-09T10:34:00Z">
        <w:r w:rsidRPr="00295E71">
          <w:rPr>
            <w:color w:val="000000"/>
            <w:sz w:val="22"/>
            <w:szCs w:val="22"/>
            <w:vertAlign w:val="superscript"/>
          </w:rPr>
          <w:delText>b</w:delText>
        </w:r>
      </w:del>
      <w:del w:id="9005" w:author="AbbVie14" w:date="2025-05-09T10:34:00Z">
        <w:r w:rsidRPr="00295E71">
          <w:rPr>
            <w:sz w:val="22"/>
            <w:szCs w:val="22"/>
          </w:rPr>
          <w:delText>Bath Ankylosing Spondylitis Disease Activity Index</w:delText>
        </w:r>
      </w:del>
    </w:p>
    <w:p w:rsidR="006224C2" w:rsidRPr="00295E71" w14:paraId="7E910B4A" w14:textId="77777777">
      <w:pPr>
        <w:tabs>
          <w:tab w:val="left" w:pos="567"/>
          <w:tab w:val="left" w:pos="1294"/>
        </w:tabs>
        <w:autoSpaceDE w:val="0"/>
        <w:autoSpaceDN w:val="0"/>
        <w:adjustRightInd w:val="0"/>
        <w:rPr>
          <w:del w:id="9006" w:author="AbbVie14" w:date="2025-05-09T10:34:00Z"/>
          <w:color w:val="000000"/>
          <w:sz w:val="22"/>
          <w:szCs w:val="22"/>
        </w:rPr>
      </w:pPr>
    </w:p>
    <w:p w:rsidR="006224C2" w:rsidRPr="00295E71" w14:paraId="1D6B0C7F" w14:textId="77777777">
      <w:pPr>
        <w:tabs>
          <w:tab w:val="left" w:pos="567"/>
          <w:tab w:val="left" w:pos="1294"/>
        </w:tabs>
        <w:autoSpaceDE w:val="0"/>
        <w:autoSpaceDN w:val="0"/>
        <w:adjustRightInd w:val="0"/>
        <w:jc w:val="both"/>
        <w:rPr>
          <w:del w:id="9007" w:author="AbbVie14" w:date="2025-05-09T10:34:00Z"/>
          <w:color w:val="000000"/>
          <w:sz w:val="22"/>
          <w:szCs w:val="22"/>
        </w:rPr>
      </w:pPr>
      <w:del w:id="9008" w:author="AbbVie14" w:date="2025-05-09T10:34:00Z">
        <w:r w:rsidRPr="00295E71">
          <w:rPr>
            <w:color w:val="000000"/>
            <w:sz w:val="22"/>
            <w:szCs w:val="22"/>
          </w:rPr>
          <w:delText>I pazienti trattati con Humira hanno manifestato un miglioramento significativamente più elevato alla settimana 12 che è stato mantenuto per tutta la durata della terapia fino alla settimana 24 sia nell’SF36 che nel Questionario sulla Qualità della Vita della Spondilite Anchilosante (ASQoL).</w:delText>
        </w:r>
      </w:del>
    </w:p>
    <w:p w:rsidR="006224C2" w:rsidRPr="00295E71" w14:paraId="2ECB2C4B" w14:textId="77777777">
      <w:pPr>
        <w:tabs>
          <w:tab w:val="left" w:pos="567"/>
          <w:tab w:val="left" w:pos="1294"/>
        </w:tabs>
        <w:autoSpaceDE w:val="0"/>
        <w:autoSpaceDN w:val="0"/>
        <w:adjustRightInd w:val="0"/>
        <w:jc w:val="both"/>
        <w:rPr>
          <w:del w:id="9009" w:author="AbbVie14" w:date="2025-05-09T10:34:00Z"/>
          <w:color w:val="000000"/>
          <w:sz w:val="22"/>
          <w:szCs w:val="22"/>
        </w:rPr>
      </w:pPr>
    </w:p>
    <w:p w:rsidR="006224C2" w:rsidRPr="00295E71" w14:paraId="436F1003" w14:textId="77777777">
      <w:pPr>
        <w:tabs>
          <w:tab w:val="left" w:pos="567"/>
          <w:tab w:val="left" w:pos="1294"/>
        </w:tabs>
        <w:autoSpaceDE w:val="0"/>
        <w:autoSpaceDN w:val="0"/>
        <w:adjustRightInd w:val="0"/>
        <w:jc w:val="both"/>
        <w:rPr>
          <w:del w:id="9010" w:author="AbbVie14" w:date="2025-05-09T10:34:00Z"/>
          <w:color w:val="000000"/>
          <w:sz w:val="22"/>
          <w:szCs w:val="22"/>
        </w:rPr>
      </w:pPr>
      <w:del w:id="9011" w:author="AbbVie14" w:date="2025-05-09T10:34:00Z">
        <w:r w:rsidRPr="00295E71">
          <w:rPr>
            <w:color w:val="000000"/>
            <w:sz w:val="22"/>
            <w:szCs w:val="22"/>
          </w:rPr>
          <w:delText>Tendenze simili (non tutte statisticamente significative) sono state osservate in uno studio AS II più piccolo</w:delText>
        </w:r>
      </w:del>
      <w:del w:id="9012" w:author="AbbVie14" w:date="2025-05-09T10:34:00Z">
        <w:r w:rsidR="00420BF3">
          <w:rPr>
            <w:color w:val="000000"/>
            <w:sz w:val="22"/>
            <w:szCs w:val="22"/>
          </w:rPr>
          <w:delText>,</w:delText>
        </w:r>
      </w:del>
      <w:del w:id="9013" w:author="AbbVie14" w:date="2025-05-09T10:34:00Z">
        <w:r w:rsidRPr="00295E71">
          <w:rPr>
            <w:color w:val="000000"/>
            <w:sz w:val="22"/>
            <w:szCs w:val="22"/>
          </w:rPr>
          <w:delText xml:space="preserve"> randomizzato</w:delText>
        </w:r>
      </w:del>
      <w:del w:id="9014" w:author="AbbVie14" w:date="2025-05-09T10:34:00Z">
        <w:r w:rsidR="00420BF3">
          <w:rPr>
            <w:color w:val="000000"/>
            <w:sz w:val="22"/>
            <w:szCs w:val="22"/>
          </w:rPr>
          <w:delText>,</w:delText>
        </w:r>
      </w:del>
      <w:del w:id="9015" w:author="AbbVie14" w:date="2025-05-09T10:34:00Z">
        <w:r w:rsidRPr="00295E71">
          <w:rPr>
            <w:color w:val="000000"/>
            <w:sz w:val="22"/>
            <w:szCs w:val="22"/>
          </w:rPr>
          <w:delText xml:space="preserve"> in doppio cieco, controllato con placebo</w:delText>
        </w:r>
      </w:del>
      <w:del w:id="9016" w:author="AbbVie14" w:date="2025-05-09T10:34:00Z">
        <w:r w:rsidR="00420BF3">
          <w:rPr>
            <w:color w:val="000000"/>
            <w:sz w:val="22"/>
            <w:szCs w:val="22"/>
          </w:rPr>
          <w:delText>,</w:delText>
        </w:r>
      </w:del>
      <w:del w:id="9017" w:author="AbbVie14" w:date="2025-05-09T10:34:00Z">
        <w:r w:rsidRPr="00295E71">
          <w:rPr>
            <w:color w:val="000000"/>
            <w:sz w:val="22"/>
            <w:szCs w:val="22"/>
          </w:rPr>
          <w:delText xml:space="preserve"> condotto su 82 pazienti adulti affetti da spondilite anchilosante attiva.</w:delText>
        </w:r>
      </w:del>
    </w:p>
    <w:p w:rsidR="006224C2" w:rsidRPr="00295E71" w14:paraId="16C629F8" w14:textId="77777777">
      <w:pPr>
        <w:tabs>
          <w:tab w:val="left" w:pos="567"/>
          <w:tab w:val="left" w:pos="1294"/>
        </w:tabs>
        <w:autoSpaceDE w:val="0"/>
        <w:autoSpaceDN w:val="0"/>
        <w:adjustRightInd w:val="0"/>
        <w:jc w:val="both"/>
        <w:rPr>
          <w:del w:id="9018" w:author="AbbVie14" w:date="2025-05-09T10:34:00Z"/>
          <w:color w:val="000000"/>
          <w:sz w:val="22"/>
          <w:szCs w:val="22"/>
        </w:rPr>
      </w:pPr>
    </w:p>
    <w:p w:rsidR="006224C2" w:rsidRPr="00295E71" w:rsidP="00F57FE5" w14:paraId="4B44D1A1" w14:textId="77777777">
      <w:pPr>
        <w:keepNext/>
        <w:keepLines/>
        <w:tabs>
          <w:tab w:val="left" w:pos="567"/>
          <w:tab w:val="left" w:pos="1294"/>
        </w:tabs>
        <w:autoSpaceDE w:val="0"/>
        <w:autoSpaceDN w:val="0"/>
        <w:adjustRightInd w:val="0"/>
        <w:jc w:val="both"/>
        <w:rPr>
          <w:del w:id="9019" w:author="AbbVie14" w:date="2025-05-09T10:34:00Z"/>
          <w:i/>
          <w:color w:val="000000"/>
          <w:sz w:val="22"/>
          <w:szCs w:val="22"/>
          <w:u w:val="single"/>
        </w:rPr>
      </w:pPr>
      <w:del w:id="9020" w:author="AbbVie14" w:date="2025-05-09T10:34:00Z">
        <w:r w:rsidRPr="00295E71">
          <w:rPr>
            <w:i/>
            <w:color w:val="000000"/>
            <w:sz w:val="22"/>
            <w:szCs w:val="22"/>
            <w:u w:val="single"/>
          </w:rPr>
          <w:delText>Spondiloartrite assiale senza evidenza radiografica di SA</w:delText>
        </w:r>
      </w:del>
    </w:p>
    <w:p w:rsidR="006224C2" w:rsidRPr="00295E71" w:rsidP="00F57FE5" w14:paraId="2A2AF2B8" w14:textId="77777777">
      <w:pPr>
        <w:keepNext/>
        <w:keepLines/>
        <w:tabs>
          <w:tab w:val="left" w:pos="567"/>
          <w:tab w:val="left" w:pos="1294"/>
        </w:tabs>
        <w:autoSpaceDE w:val="0"/>
        <w:autoSpaceDN w:val="0"/>
        <w:adjustRightInd w:val="0"/>
        <w:jc w:val="both"/>
        <w:rPr>
          <w:del w:id="9021" w:author="AbbVie14" w:date="2025-05-09T10:34:00Z"/>
          <w:color w:val="000000"/>
          <w:sz w:val="22"/>
          <w:szCs w:val="22"/>
        </w:rPr>
      </w:pPr>
    </w:p>
    <w:p w:rsidR="005E6CEC" w:rsidRPr="00295E71" w:rsidP="005E6CEC" w14:paraId="4CAE3F88" w14:textId="77777777">
      <w:pPr>
        <w:keepNext/>
        <w:keepLines/>
        <w:tabs>
          <w:tab w:val="left" w:pos="562"/>
          <w:tab w:val="left" w:pos="1294"/>
        </w:tabs>
        <w:autoSpaceDE w:val="0"/>
        <w:autoSpaceDN w:val="0"/>
        <w:adjustRightInd w:val="0"/>
        <w:jc w:val="both"/>
        <w:rPr>
          <w:del w:id="9022" w:author="AbbVie14" w:date="2025-05-09T10:34:00Z"/>
          <w:color w:val="000000"/>
          <w:sz w:val="22"/>
          <w:szCs w:val="22"/>
        </w:rPr>
      </w:pPr>
      <w:del w:id="9023" w:author="AbbVie14" w:date="2025-05-09T10:34:00Z">
        <w:r w:rsidRPr="00295E71">
          <w:rPr>
            <w:bCs/>
            <w:iCs/>
            <w:color w:val="000000"/>
            <w:sz w:val="22"/>
            <w:szCs w:val="22"/>
          </w:rPr>
          <w:delText xml:space="preserve">La sicurezza e l’efficacia di </w:delText>
        </w:r>
      </w:del>
      <w:del w:id="9024" w:author="AbbVie14" w:date="2025-05-09T10:34:00Z">
        <w:r w:rsidRPr="00295E71">
          <w:rPr>
            <w:color w:val="000000"/>
            <w:sz w:val="22"/>
            <w:szCs w:val="22"/>
          </w:rPr>
          <w:delText>Humira sono state determinate in due studi randomizzati, in doppio cieco, controllati verso placebo, in pazienti con spondiloartrite assiale non radiografica (</w:delText>
        </w:r>
      </w:del>
      <w:del w:id="9025" w:author="AbbVie14" w:date="2025-05-09T10:34:00Z">
        <w:r w:rsidRPr="00295E71">
          <w:rPr>
            <w:i/>
            <w:color w:val="000000"/>
            <w:sz w:val="22"/>
            <w:szCs w:val="22"/>
          </w:rPr>
          <w:delText>non-radiographic axial spondyloarthritis</w:delText>
        </w:r>
      </w:del>
      <w:del w:id="9026" w:author="AbbVie14" w:date="2025-05-09T10:34:00Z">
        <w:r w:rsidRPr="00295E71" w:rsidR="00D609A2">
          <w:rPr>
            <w:color w:val="000000"/>
            <w:sz w:val="22"/>
            <w:szCs w:val="22"/>
          </w:rPr>
          <w:delText>, nr-axSpA). Nello studio nr</w:delText>
        </w:r>
      </w:del>
      <w:del w:id="9027" w:author="AbbVie14" w:date="2025-05-09T10:34:00Z">
        <w:r w:rsidRPr="00295E71">
          <w:rPr>
            <w:color w:val="000000"/>
            <w:sz w:val="22"/>
            <w:szCs w:val="22"/>
          </w:rPr>
          <w:delText>-axSpA I sono stati valutati pazienti con nr-axSpA attiva. Lo studio n</w:delText>
        </w:r>
      </w:del>
      <w:del w:id="9028" w:author="AbbVie14" w:date="2025-05-09T10:34:00Z">
        <w:r w:rsidR="00AC1016">
          <w:rPr>
            <w:color w:val="000000"/>
            <w:sz w:val="22"/>
            <w:szCs w:val="22"/>
          </w:rPr>
          <w:delText>r</w:delText>
        </w:r>
      </w:del>
      <w:del w:id="9029" w:author="AbbVie14" w:date="2025-05-09T10:34:00Z">
        <w:r w:rsidRPr="00295E71">
          <w:rPr>
            <w:color w:val="000000"/>
            <w:sz w:val="22"/>
            <w:szCs w:val="22"/>
          </w:rPr>
          <w:delText>-axSpA II era uno studio di interruzione del trattamento in pazienti con nr-axSpA attiva che avevano ottenuto la remissione durante il trattamento in aperto con Humira.</w:delText>
        </w:r>
      </w:del>
    </w:p>
    <w:p w:rsidR="005E6CEC" w:rsidRPr="00295E71" w:rsidP="005E6CEC" w14:paraId="53C81135" w14:textId="77777777">
      <w:pPr>
        <w:keepNext/>
        <w:keepLines/>
        <w:tabs>
          <w:tab w:val="left" w:pos="562"/>
          <w:tab w:val="left" w:pos="1294"/>
        </w:tabs>
        <w:autoSpaceDE w:val="0"/>
        <w:autoSpaceDN w:val="0"/>
        <w:adjustRightInd w:val="0"/>
        <w:jc w:val="both"/>
        <w:rPr>
          <w:del w:id="9030" w:author="AbbVie14" w:date="2025-05-09T10:34:00Z"/>
          <w:color w:val="000000"/>
          <w:sz w:val="22"/>
          <w:szCs w:val="22"/>
        </w:rPr>
      </w:pPr>
    </w:p>
    <w:p w:rsidR="005E6CEC" w:rsidRPr="00295E71" w:rsidP="005E6CEC" w14:paraId="3D48FF10" w14:textId="77777777">
      <w:pPr>
        <w:keepNext/>
        <w:keepLines/>
        <w:tabs>
          <w:tab w:val="left" w:pos="567"/>
          <w:tab w:val="left" w:pos="1294"/>
        </w:tabs>
        <w:autoSpaceDE w:val="0"/>
        <w:autoSpaceDN w:val="0"/>
        <w:adjustRightInd w:val="0"/>
        <w:jc w:val="both"/>
        <w:rPr>
          <w:del w:id="9031" w:author="AbbVie14" w:date="2025-05-09T10:34:00Z"/>
          <w:color w:val="000000"/>
          <w:sz w:val="22"/>
          <w:szCs w:val="22"/>
        </w:rPr>
      </w:pPr>
      <w:del w:id="9032" w:author="AbbVie14" w:date="2025-05-09T10:34:00Z">
        <w:r w:rsidRPr="00295E71">
          <w:rPr>
            <w:color w:val="000000"/>
            <w:sz w:val="22"/>
            <w:szCs w:val="22"/>
          </w:rPr>
          <w:delText>Studio nr-axSpA I</w:delText>
        </w:r>
      </w:del>
    </w:p>
    <w:p w:rsidR="005E6CEC" w:rsidRPr="00295E71" w:rsidP="005E6CEC" w14:paraId="346DD65D" w14:textId="77777777">
      <w:pPr>
        <w:keepNext/>
        <w:keepLines/>
        <w:tabs>
          <w:tab w:val="left" w:pos="567"/>
          <w:tab w:val="left" w:pos="1294"/>
        </w:tabs>
        <w:autoSpaceDE w:val="0"/>
        <w:autoSpaceDN w:val="0"/>
        <w:adjustRightInd w:val="0"/>
        <w:jc w:val="both"/>
        <w:rPr>
          <w:del w:id="9033" w:author="AbbVie14" w:date="2025-05-09T10:34:00Z"/>
          <w:color w:val="000000"/>
          <w:sz w:val="22"/>
          <w:szCs w:val="22"/>
        </w:rPr>
      </w:pPr>
    </w:p>
    <w:p w:rsidR="006224C2" w:rsidP="005E6CEC" w14:paraId="74C5878C" w14:textId="77777777">
      <w:pPr>
        <w:keepNext/>
        <w:keepLines/>
        <w:tabs>
          <w:tab w:val="left" w:pos="567"/>
          <w:tab w:val="left" w:pos="1294"/>
        </w:tabs>
        <w:autoSpaceDE w:val="0"/>
        <w:autoSpaceDN w:val="0"/>
        <w:adjustRightInd w:val="0"/>
        <w:jc w:val="both"/>
        <w:rPr>
          <w:del w:id="9034" w:author="AbbVie14" w:date="2025-05-09T10:34:00Z"/>
          <w:color w:val="000000"/>
          <w:sz w:val="22"/>
          <w:szCs w:val="22"/>
        </w:rPr>
      </w:pPr>
      <w:del w:id="9035" w:author="AbbVie14" w:date="2025-05-09T10:34:00Z">
        <w:r w:rsidRPr="00295E71">
          <w:rPr>
            <w:color w:val="000000"/>
            <w:sz w:val="22"/>
            <w:szCs w:val="22"/>
          </w:rPr>
          <w:delText xml:space="preserve">Nello studio nr-axSpA I, </w:delText>
        </w:r>
      </w:del>
      <w:del w:id="9036" w:author="AbbVie14" w:date="2025-05-09T10:34:00Z">
        <w:r w:rsidRPr="00295E71" w:rsidR="00226BC4">
          <w:rPr>
            <w:color w:val="000000"/>
            <w:sz w:val="22"/>
            <w:szCs w:val="22"/>
          </w:rPr>
          <w:delText xml:space="preserve">Humira, somministrato alla dose di 40 mg a settimane alterne, è stato valutato in 185 pazienti con </w:delText>
        </w:r>
      </w:del>
      <w:del w:id="9037" w:author="AbbVie14" w:date="2025-05-09T10:34:00Z">
        <w:r w:rsidRPr="00295E71">
          <w:rPr>
            <w:color w:val="000000"/>
            <w:sz w:val="22"/>
            <w:szCs w:val="22"/>
          </w:rPr>
          <w:delText>nr-axSpA</w:delText>
        </w:r>
      </w:del>
      <w:del w:id="9038" w:author="AbbVie14" w:date="2025-05-09T10:34:00Z">
        <w:r w:rsidRPr="00295E71" w:rsidR="00226BC4">
          <w:rPr>
            <w:color w:val="000000"/>
            <w:sz w:val="22"/>
            <w:szCs w:val="22"/>
          </w:rPr>
          <w:delText xml:space="preserve"> attiva in uno studio randomizzato di 12 settimane in doppio cieco controllato con placebo (il valore medio basale dell’attività della malattia [Bath Ankylosing Spondylitis Disease Activity Index (BASDAI)] è stato di 6,4 per i pazienti trattati con Humira e di 6,5 per quelli trattati con placebo) che hanno avuto una risposta inadeguata a, o una intolleranza a, uno o più FANS, o una controindicazione ai FANS.</w:delText>
        </w:r>
      </w:del>
    </w:p>
    <w:p w:rsidR="003C4CAF" w:rsidRPr="00295E71" w:rsidP="00357925" w14:paraId="58EDF6ED" w14:textId="77777777">
      <w:pPr>
        <w:tabs>
          <w:tab w:val="left" w:pos="567"/>
          <w:tab w:val="left" w:pos="1294"/>
        </w:tabs>
        <w:autoSpaceDE w:val="0"/>
        <w:autoSpaceDN w:val="0"/>
        <w:adjustRightInd w:val="0"/>
        <w:jc w:val="both"/>
        <w:rPr>
          <w:del w:id="9039" w:author="AbbVie14" w:date="2025-05-09T10:34:00Z"/>
          <w:color w:val="000000"/>
          <w:sz w:val="22"/>
          <w:szCs w:val="22"/>
        </w:rPr>
      </w:pPr>
    </w:p>
    <w:p w:rsidR="006224C2" w:rsidRPr="00295E71" w14:paraId="3C26BFAF" w14:textId="77777777">
      <w:pPr>
        <w:tabs>
          <w:tab w:val="left" w:pos="567"/>
          <w:tab w:val="left" w:pos="1294"/>
        </w:tabs>
        <w:autoSpaceDE w:val="0"/>
        <w:autoSpaceDN w:val="0"/>
        <w:adjustRightInd w:val="0"/>
        <w:jc w:val="both"/>
        <w:rPr>
          <w:del w:id="9040" w:author="AbbVie14" w:date="2025-05-09T10:34:00Z"/>
          <w:color w:val="000000"/>
          <w:sz w:val="22"/>
          <w:szCs w:val="22"/>
        </w:rPr>
      </w:pPr>
      <w:del w:id="9041" w:author="AbbVie14" w:date="2025-05-09T10:34:00Z">
        <w:r w:rsidRPr="00295E71">
          <w:rPr>
            <w:color w:val="000000"/>
            <w:sz w:val="22"/>
            <w:szCs w:val="22"/>
          </w:rPr>
          <w:delText>Trentatre</w:delText>
        </w:r>
      </w:del>
      <w:del w:id="9042" w:author="AbbVie14" w:date="2025-05-09T10:34:00Z">
        <w:r w:rsidRPr="00295E71" w:rsidR="00A82609">
          <w:rPr>
            <w:color w:val="000000"/>
            <w:sz w:val="22"/>
            <w:szCs w:val="22"/>
          </w:rPr>
          <w:delText xml:space="preserve"> </w:delText>
        </w:r>
      </w:del>
      <w:del w:id="9043" w:author="AbbVie14" w:date="2025-05-09T10:34:00Z">
        <w:r w:rsidRPr="00295E71">
          <w:rPr>
            <w:color w:val="000000"/>
            <w:sz w:val="22"/>
            <w:szCs w:val="22"/>
          </w:rPr>
          <w:delText xml:space="preserve">pazienti (18%) sono stati trattati contemporaneamente con farmaci anti-reumatici modificanti la malattia, e 146 pazienti (79%) con FANS al basale. Il periodo in doppio cieco è stato seguito da un periodo in aperto durante il quale i pazienti hanno ricevuto Humira 40 mg a settimane alterne per via sottocutanea per un periodo fino a 144 settimane. Nei pazienti trattati con Humira i risultati della settimana 12 hanno dimostrato un miglioramento statisticamente significativo dei segni e dei sintomi della </w:delText>
        </w:r>
      </w:del>
      <w:del w:id="9044" w:author="AbbVie14" w:date="2025-05-09T10:34:00Z">
        <w:r w:rsidRPr="00295E71" w:rsidR="00897CDF">
          <w:rPr>
            <w:color w:val="000000"/>
            <w:sz w:val="22"/>
            <w:szCs w:val="22"/>
          </w:rPr>
          <w:delText>nr-axSpA</w:delText>
        </w:r>
      </w:del>
      <w:del w:id="9045" w:author="AbbVie14" w:date="2025-05-09T10:34:00Z">
        <w:r w:rsidRPr="00295E71">
          <w:rPr>
            <w:color w:val="000000"/>
            <w:sz w:val="22"/>
            <w:szCs w:val="22"/>
          </w:rPr>
          <w:delText xml:space="preserve"> attiva rispetto al placebo (Tabella 1</w:delText>
        </w:r>
      </w:del>
      <w:del w:id="9046" w:author="AbbVie14" w:date="2025-05-09T10:34:00Z">
        <w:r w:rsidR="005C4AD7">
          <w:rPr>
            <w:color w:val="000000"/>
            <w:sz w:val="22"/>
            <w:szCs w:val="22"/>
          </w:rPr>
          <w:delText>3</w:delText>
        </w:r>
      </w:del>
      <w:del w:id="9047" w:author="AbbVie14" w:date="2025-05-09T10:34:00Z">
        <w:r w:rsidRPr="00295E71">
          <w:rPr>
            <w:color w:val="000000"/>
            <w:sz w:val="22"/>
            <w:szCs w:val="22"/>
          </w:rPr>
          <w:delText>).</w:delText>
        </w:r>
      </w:del>
    </w:p>
    <w:p w:rsidR="006224C2" w:rsidRPr="00BF509C" w14:paraId="35947165" w14:textId="77777777">
      <w:pPr>
        <w:rPr>
          <w:del w:id="9048" w:author="AbbVie14" w:date="2025-05-09T10:34:00Z"/>
          <w:bCs/>
          <w:sz w:val="22"/>
          <w:szCs w:val="22"/>
        </w:rPr>
      </w:pPr>
    </w:p>
    <w:p w:rsidR="006224C2" w:rsidRPr="00BF509C" w14:paraId="1ACEFAD9" w14:textId="77777777">
      <w:pPr>
        <w:pStyle w:val="EMEATitle"/>
        <w:keepNext/>
        <w:suppressAutoHyphens w:val="0"/>
        <w:rPr>
          <w:del w:id="9049" w:author="AbbVie14" w:date="2025-05-09T10:34:00Z"/>
          <w:rFonts w:ascii="Times New Roman" w:hAnsi="Times New Roman"/>
          <w:b w:val="0"/>
          <w:caps w:val="0"/>
          <w:lang w:val="it-IT" w:eastAsia="it-IT"/>
        </w:rPr>
      </w:pPr>
      <w:del w:id="9050" w:author="AbbVie14" w:date="2025-05-09T10:34:00Z">
        <w:r w:rsidRPr="00295E71">
          <w:rPr>
            <w:rFonts w:ascii="Times New Roman" w:hAnsi="Times New Roman"/>
            <w:caps w:val="0"/>
            <w:lang w:val="it-IT" w:eastAsia="it-IT"/>
          </w:rPr>
          <w:delText>Tabella 1</w:delText>
        </w:r>
      </w:del>
      <w:del w:id="9051" w:author="AbbVie14" w:date="2025-05-09T10:34:00Z">
        <w:r w:rsidR="005C4AD7">
          <w:rPr>
            <w:rFonts w:ascii="Times New Roman" w:hAnsi="Times New Roman"/>
            <w:caps w:val="0"/>
            <w:lang w:val="it-IT" w:eastAsia="it-IT"/>
          </w:rPr>
          <w:delText>3</w:delText>
        </w:r>
      </w:del>
    </w:p>
    <w:p w:rsidR="006224C2" w:rsidRPr="00BF509C" w14:paraId="117A116E" w14:textId="77777777">
      <w:pPr>
        <w:pStyle w:val="EMEATitle"/>
        <w:keepNext/>
        <w:suppressAutoHyphens w:val="0"/>
        <w:rPr>
          <w:del w:id="9052" w:author="AbbVie14" w:date="2025-05-09T10:34:00Z"/>
          <w:rFonts w:ascii="Times New Roman" w:hAnsi="Times New Roman"/>
          <w:b w:val="0"/>
          <w:caps w:val="0"/>
          <w:lang w:val="it-IT" w:eastAsia="it-IT"/>
        </w:rPr>
      </w:pPr>
      <w:del w:id="9053" w:author="AbbVie14" w:date="2025-05-09T10:34:00Z">
        <w:r w:rsidRPr="00295E71">
          <w:rPr>
            <w:rFonts w:ascii="Times New Roman" w:hAnsi="Times New Roman"/>
            <w:caps w:val="0"/>
            <w:lang w:val="it-IT" w:eastAsia="it-IT"/>
          </w:rPr>
          <w:delText xml:space="preserve">Risposta di efficacia nello studio controllato con placebo </w:delText>
        </w:r>
      </w:del>
      <w:del w:id="9054" w:author="AbbVie14" w:date="2025-05-09T10:34:00Z">
        <w:r w:rsidRPr="00295E71" w:rsidR="00897CDF">
          <w:rPr>
            <w:rFonts w:ascii="Times New Roman" w:hAnsi="Times New Roman"/>
            <w:caps w:val="0"/>
            <w:lang w:val="it-IT" w:eastAsia="it-IT"/>
          </w:rPr>
          <w:delText>nr-axSpA I</w:delText>
        </w:r>
      </w:del>
    </w:p>
    <w:p w:rsidR="006224C2" w:rsidRPr="00BF509C" w14:paraId="12FB5E17" w14:textId="77777777">
      <w:pPr>
        <w:pStyle w:val="EMEATitle"/>
        <w:keepNext/>
        <w:suppressAutoHyphens w:val="0"/>
        <w:rPr>
          <w:del w:id="9055" w:author="AbbVie14" w:date="2025-05-09T10:34:00Z"/>
          <w:rFonts w:ascii="Times New Roman" w:hAnsi="Times New Roman"/>
          <w:b w:val="0"/>
          <w:caps w:val="0"/>
          <w:lang w:val="it-IT" w:eastAsia="it-IT"/>
        </w:rPr>
      </w:pPr>
    </w:p>
    <w:tbl>
      <w:tblPr>
        <w:tblW w:w="7856" w:type="dxa"/>
        <w:tblInd w:w="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4036"/>
        <w:gridCol w:w="1980"/>
        <w:gridCol w:w="1840"/>
      </w:tblGrid>
      <w:tr w14:paraId="1C06CF4F" w14:textId="77777777" w:rsidTr="00F57FE5">
        <w:tblPrEx>
          <w:tblW w:w="7856" w:type="dxa"/>
          <w:tblInd w:w="354" w:type="dxa"/>
          <w:tblLook w:val="0000"/>
        </w:tblPrEx>
        <w:trPr>
          <w:del w:id="9056" w:author="AbbVie14" w:date="2025-05-09T10:34:00Z"/>
        </w:trPr>
        <w:tc>
          <w:tcPr>
            <w:tcW w:w="4036" w:type="dxa"/>
            <w:tcBorders>
              <w:top w:val="single" w:sz="4" w:space="0" w:color="auto"/>
              <w:left w:val="single" w:sz="4" w:space="0" w:color="auto"/>
              <w:bottom w:val="single" w:sz="4" w:space="0" w:color="auto"/>
              <w:right w:val="single" w:sz="4" w:space="0" w:color="auto"/>
            </w:tcBorders>
          </w:tcPr>
          <w:p w:rsidR="006224C2" w:rsidRPr="00295E71" w14:paraId="50554383" w14:textId="77777777">
            <w:pPr>
              <w:pStyle w:val="Heading6"/>
              <w:rPr>
                <w:del w:id="9057" w:author="AbbVie14" w:date="2025-05-09T10:34:00Z"/>
                <w:lang w:val="it-IT"/>
              </w:rPr>
            </w:pPr>
            <w:del w:id="9058" w:author="AbbVie14" w:date="2025-05-09T10:34:00Z">
              <w:r w:rsidRPr="00295E71">
                <w:rPr>
                  <w:lang w:val="it-IT"/>
                </w:rPr>
                <w:delText>Doppio cieco</w:delText>
              </w:r>
            </w:del>
          </w:p>
          <w:p w:rsidR="006224C2" w:rsidRPr="00295E71" w14:paraId="720BEA67" w14:textId="77777777">
            <w:pPr>
              <w:pStyle w:val="Heading6"/>
              <w:rPr>
                <w:del w:id="9059" w:author="AbbVie14" w:date="2025-05-09T10:34:00Z"/>
                <w:rFonts w:eastAsia="Arial Unicode MS"/>
                <w:lang w:val="it-IT"/>
              </w:rPr>
            </w:pPr>
            <w:del w:id="9060" w:author="AbbVie14" w:date="2025-05-09T10:34:00Z">
              <w:r w:rsidRPr="00295E71">
                <w:rPr>
                  <w:lang w:val="it-IT"/>
                </w:rPr>
                <w:delText>Risposta alla settimana 12</w:delText>
              </w:r>
            </w:del>
          </w:p>
        </w:tc>
        <w:tc>
          <w:tcPr>
            <w:tcW w:w="1980" w:type="dxa"/>
            <w:tcBorders>
              <w:top w:val="single" w:sz="4" w:space="0" w:color="auto"/>
              <w:left w:val="single" w:sz="4" w:space="0" w:color="auto"/>
              <w:bottom w:val="single" w:sz="4" w:space="0" w:color="auto"/>
              <w:right w:val="single" w:sz="4" w:space="0" w:color="auto"/>
            </w:tcBorders>
          </w:tcPr>
          <w:p w:rsidR="006224C2" w:rsidRPr="00295E71" w14:paraId="4E2C6E3F" w14:textId="77777777">
            <w:pPr>
              <w:keepNext/>
              <w:jc w:val="center"/>
              <w:rPr>
                <w:del w:id="9061" w:author="AbbVie14" w:date="2025-05-09T10:34:00Z"/>
                <w:b/>
                <w:sz w:val="22"/>
                <w:szCs w:val="22"/>
              </w:rPr>
            </w:pPr>
            <w:del w:id="9062" w:author="AbbVie14" w:date="2025-05-09T10:34:00Z">
              <w:r w:rsidRPr="00295E71">
                <w:rPr>
                  <w:b/>
                  <w:sz w:val="22"/>
                  <w:szCs w:val="22"/>
                </w:rPr>
                <w:delText>Placebo</w:delText>
              </w:r>
            </w:del>
          </w:p>
          <w:p w:rsidR="006224C2" w:rsidRPr="00295E71" w14:paraId="198E5868" w14:textId="77777777">
            <w:pPr>
              <w:keepNext/>
              <w:jc w:val="center"/>
              <w:rPr>
                <w:del w:id="9063" w:author="AbbVie14" w:date="2025-05-09T10:34:00Z"/>
                <w:b/>
                <w:sz w:val="22"/>
                <w:szCs w:val="22"/>
              </w:rPr>
            </w:pPr>
            <w:del w:id="9064" w:author="AbbVie14" w:date="2025-05-09T10:34:00Z">
              <w:r w:rsidRPr="00295E71">
                <w:rPr>
                  <w:b/>
                  <w:sz w:val="22"/>
                  <w:szCs w:val="22"/>
                </w:rPr>
                <w:delText>N=94</w:delText>
              </w:r>
            </w:del>
          </w:p>
        </w:tc>
        <w:tc>
          <w:tcPr>
            <w:tcW w:w="1840" w:type="dxa"/>
            <w:tcBorders>
              <w:top w:val="single" w:sz="4" w:space="0" w:color="auto"/>
              <w:left w:val="single" w:sz="4" w:space="0" w:color="auto"/>
              <w:bottom w:val="single" w:sz="4" w:space="0" w:color="auto"/>
              <w:right w:val="single" w:sz="4" w:space="0" w:color="auto"/>
            </w:tcBorders>
          </w:tcPr>
          <w:p w:rsidR="006224C2" w:rsidRPr="00295E71" w14:paraId="04E24861" w14:textId="77777777">
            <w:pPr>
              <w:keepNext/>
              <w:jc w:val="center"/>
              <w:rPr>
                <w:del w:id="9065" w:author="AbbVie14" w:date="2025-05-09T10:34:00Z"/>
                <w:b/>
                <w:sz w:val="22"/>
                <w:szCs w:val="22"/>
              </w:rPr>
            </w:pPr>
            <w:del w:id="9066" w:author="AbbVie14" w:date="2025-05-09T10:34:00Z">
              <w:r w:rsidRPr="00295E71">
                <w:rPr>
                  <w:b/>
                  <w:sz w:val="22"/>
                  <w:szCs w:val="22"/>
                </w:rPr>
                <w:delText>Humira</w:delText>
              </w:r>
            </w:del>
          </w:p>
          <w:p w:rsidR="006224C2" w:rsidRPr="00295E71" w14:paraId="77FF665C" w14:textId="77777777">
            <w:pPr>
              <w:keepNext/>
              <w:jc w:val="center"/>
              <w:rPr>
                <w:del w:id="9067" w:author="AbbVie14" w:date="2025-05-09T10:34:00Z"/>
                <w:b/>
                <w:bCs/>
                <w:sz w:val="22"/>
                <w:szCs w:val="22"/>
              </w:rPr>
            </w:pPr>
            <w:del w:id="9068" w:author="AbbVie14" w:date="2025-05-09T10:34:00Z">
              <w:r w:rsidRPr="00295E71">
                <w:rPr>
                  <w:b/>
                  <w:bCs/>
                  <w:sz w:val="22"/>
                  <w:szCs w:val="22"/>
                </w:rPr>
                <w:delText>N=91</w:delText>
              </w:r>
            </w:del>
          </w:p>
        </w:tc>
      </w:tr>
      <w:tr w14:paraId="26EE565E" w14:textId="77777777" w:rsidTr="00F57FE5">
        <w:tblPrEx>
          <w:tblW w:w="7856" w:type="dxa"/>
          <w:tblInd w:w="354" w:type="dxa"/>
          <w:tblLook w:val="0000"/>
        </w:tblPrEx>
        <w:trPr>
          <w:del w:id="9069" w:author="AbbVie14" w:date="2025-05-09T10:34:00Z"/>
        </w:trPr>
        <w:tc>
          <w:tcPr>
            <w:tcW w:w="4036" w:type="dxa"/>
            <w:tcBorders>
              <w:top w:val="single" w:sz="4" w:space="0" w:color="auto"/>
              <w:left w:val="single" w:sz="4" w:space="0" w:color="auto"/>
              <w:bottom w:val="single" w:sz="4" w:space="0" w:color="auto"/>
              <w:right w:val="single" w:sz="4" w:space="0" w:color="auto"/>
            </w:tcBorders>
          </w:tcPr>
          <w:p w:rsidR="006224C2" w:rsidRPr="00295E71" w14:paraId="4C4BD527" w14:textId="77777777">
            <w:pPr>
              <w:keepNext/>
              <w:rPr>
                <w:del w:id="9070" w:author="AbbVie14" w:date="2025-05-09T10:34:00Z"/>
                <w:sz w:val="22"/>
                <w:szCs w:val="22"/>
              </w:rPr>
            </w:pPr>
            <w:del w:id="9071" w:author="AbbVie14" w:date="2025-05-09T10:34:00Z">
              <w:r w:rsidRPr="00295E71">
                <w:rPr>
                  <w:sz w:val="22"/>
                  <w:szCs w:val="22"/>
                </w:rPr>
                <w:delText>ASAS</w:delText>
              </w:r>
            </w:del>
            <w:del w:id="9072" w:author="AbbVie14" w:date="2025-05-09T10:34:00Z">
              <w:r w:rsidRPr="00295E71">
                <w:rPr>
                  <w:sz w:val="22"/>
                  <w:szCs w:val="22"/>
                  <w:vertAlign w:val="superscript"/>
                </w:rPr>
                <w:delText>a</w:delText>
              </w:r>
            </w:del>
            <w:del w:id="9073" w:author="AbbVie14" w:date="2025-05-09T10:34:00Z">
              <w:r w:rsidRPr="00295E71">
                <w:rPr>
                  <w:sz w:val="22"/>
                  <w:szCs w:val="22"/>
                </w:rPr>
                <w:delText>40</w:delText>
              </w:r>
            </w:del>
          </w:p>
        </w:tc>
        <w:tc>
          <w:tcPr>
            <w:tcW w:w="1980" w:type="dxa"/>
            <w:tcBorders>
              <w:top w:val="single" w:sz="4" w:space="0" w:color="auto"/>
              <w:left w:val="single" w:sz="4" w:space="0" w:color="auto"/>
              <w:bottom w:val="single" w:sz="4" w:space="0" w:color="auto"/>
              <w:right w:val="single" w:sz="4" w:space="0" w:color="auto"/>
            </w:tcBorders>
          </w:tcPr>
          <w:p w:rsidR="006224C2" w:rsidRPr="00295E71" w14:paraId="143D0FA3" w14:textId="77777777">
            <w:pPr>
              <w:keepNext/>
              <w:jc w:val="center"/>
              <w:rPr>
                <w:del w:id="9074" w:author="AbbVie14" w:date="2025-05-09T10:34:00Z"/>
                <w:sz w:val="22"/>
                <w:szCs w:val="22"/>
              </w:rPr>
            </w:pPr>
            <w:del w:id="9075" w:author="AbbVie14" w:date="2025-05-09T10:34:00Z">
              <w:r w:rsidRPr="00295E71">
                <w:rPr>
                  <w:sz w:val="22"/>
                  <w:szCs w:val="22"/>
                </w:rPr>
                <w:delText>15%</w:delText>
              </w:r>
            </w:del>
          </w:p>
        </w:tc>
        <w:tc>
          <w:tcPr>
            <w:tcW w:w="1840" w:type="dxa"/>
            <w:tcBorders>
              <w:top w:val="single" w:sz="4" w:space="0" w:color="auto"/>
              <w:left w:val="single" w:sz="4" w:space="0" w:color="auto"/>
              <w:bottom w:val="single" w:sz="4" w:space="0" w:color="auto"/>
              <w:right w:val="single" w:sz="4" w:space="0" w:color="auto"/>
            </w:tcBorders>
          </w:tcPr>
          <w:p w:rsidR="006224C2" w:rsidRPr="00295E71" w14:paraId="058DAB39" w14:textId="77777777">
            <w:pPr>
              <w:keepNext/>
              <w:jc w:val="center"/>
              <w:rPr>
                <w:del w:id="9076" w:author="AbbVie14" w:date="2025-05-09T10:34:00Z"/>
                <w:sz w:val="22"/>
                <w:szCs w:val="22"/>
              </w:rPr>
            </w:pPr>
            <w:del w:id="9077" w:author="AbbVie14" w:date="2025-05-09T10:34:00Z">
              <w:r w:rsidRPr="00295E71">
                <w:rPr>
                  <w:sz w:val="22"/>
                  <w:szCs w:val="22"/>
                </w:rPr>
                <w:delText>36%***</w:delText>
              </w:r>
            </w:del>
          </w:p>
        </w:tc>
      </w:tr>
      <w:tr w14:paraId="1A9FBC7E" w14:textId="77777777" w:rsidTr="00F57FE5">
        <w:tblPrEx>
          <w:tblW w:w="7856" w:type="dxa"/>
          <w:tblInd w:w="354" w:type="dxa"/>
          <w:tblLook w:val="0000"/>
        </w:tblPrEx>
        <w:trPr>
          <w:del w:id="9078" w:author="AbbVie14" w:date="2025-05-09T10:34:00Z"/>
        </w:trPr>
        <w:tc>
          <w:tcPr>
            <w:tcW w:w="4036" w:type="dxa"/>
            <w:tcBorders>
              <w:top w:val="single" w:sz="4" w:space="0" w:color="auto"/>
              <w:left w:val="single" w:sz="4" w:space="0" w:color="auto"/>
              <w:bottom w:val="single" w:sz="4" w:space="0" w:color="auto"/>
              <w:right w:val="single" w:sz="4" w:space="0" w:color="auto"/>
            </w:tcBorders>
          </w:tcPr>
          <w:p w:rsidR="006224C2" w:rsidRPr="00295E71" w14:paraId="20741184" w14:textId="77777777">
            <w:pPr>
              <w:keepNext/>
              <w:rPr>
                <w:del w:id="9079" w:author="AbbVie14" w:date="2025-05-09T10:34:00Z"/>
                <w:sz w:val="22"/>
                <w:szCs w:val="22"/>
              </w:rPr>
            </w:pPr>
            <w:del w:id="9080" w:author="AbbVie14" w:date="2025-05-09T10:34:00Z">
              <w:r w:rsidRPr="00295E71">
                <w:rPr>
                  <w:sz w:val="22"/>
                  <w:szCs w:val="22"/>
                </w:rPr>
                <w:delText>ASAS 20</w:delText>
              </w:r>
            </w:del>
          </w:p>
        </w:tc>
        <w:tc>
          <w:tcPr>
            <w:tcW w:w="1980" w:type="dxa"/>
            <w:tcBorders>
              <w:top w:val="single" w:sz="4" w:space="0" w:color="auto"/>
              <w:left w:val="single" w:sz="4" w:space="0" w:color="auto"/>
              <w:bottom w:val="single" w:sz="4" w:space="0" w:color="auto"/>
              <w:right w:val="single" w:sz="4" w:space="0" w:color="auto"/>
            </w:tcBorders>
          </w:tcPr>
          <w:p w:rsidR="006224C2" w:rsidRPr="00295E71" w14:paraId="1FD0C5BA" w14:textId="77777777">
            <w:pPr>
              <w:keepNext/>
              <w:jc w:val="center"/>
              <w:rPr>
                <w:del w:id="9081" w:author="AbbVie14" w:date="2025-05-09T10:34:00Z"/>
                <w:sz w:val="22"/>
                <w:szCs w:val="22"/>
              </w:rPr>
            </w:pPr>
            <w:del w:id="9082" w:author="AbbVie14" w:date="2025-05-09T10:34:00Z">
              <w:r w:rsidRPr="00295E71">
                <w:rPr>
                  <w:sz w:val="22"/>
                  <w:szCs w:val="22"/>
                </w:rPr>
                <w:delText>31%</w:delText>
              </w:r>
            </w:del>
          </w:p>
        </w:tc>
        <w:tc>
          <w:tcPr>
            <w:tcW w:w="1840" w:type="dxa"/>
            <w:tcBorders>
              <w:top w:val="single" w:sz="4" w:space="0" w:color="auto"/>
              <w:left w:val="single" w:sz="4" w:space="0" w:color="auto"/>
              <w:bottom w:val="single" w:sz="4" w:space="0" w:color="auto"/>
              <w:right w:val="single" w:sz="4" w:space="0" w:color="auto"/>
            </w:tcBorders>
          </w:tcPr>
          <w:p w:rsidR="006224C2" w:rsidRPr="00295E71" w14:paraId="273E4311" w14:textId="77777777">
            <w:pPr>
              <w:keepNext/>
              <w:jc w:val="center"/>
              <w:rPr>
                <w:del w:id="9083" w:author="AbbVie14" w:date="2025-05-09T10:34:00Z"/>
                <w:sz w:val="22"/>
                <w:szCs w:val="22"/>
              </w:rPr>
            </w:pPr>
            <w:del w:id="9084" w:author="AbbVie14" w:date="2025-05-09T10:34:00Z">
              <w:r w:rsidRPr="00295E71">
                <w:rPr>
                  <w:sz w:val="22"/>
                  <w:szCs w:val="22"/>
                </w:rPr>
                <w:delText>52%**</w:delText>
              </w:r>
            </w:del>
          </w:p>
        </w:tc>
      </w:tr>
      <w:tr w14:paraId="75EA171E" w14:textId="77777777" w:rsidTr="00F57FE5">
        <w:tblPrEx>
          <w:tblW w:w="7856" w:type="dxa"/>
          <w:tblInd w:w="354" w:type="dxa"/>
          <w:tblLook w:val="0000"/>
        </w:tblPrEx>
        <w:trPr>
          <w:del w:id="9085" w:author="AbbVie14" w:date="2025-05-09T10:34:00Z"/>
        </w:trPr>
        <w:tc>
          <w:tcPr>
            <w:tcW w:w="4036" w:type="dxa"/>
            <w:tcBorders>
              <w:top w:val="single" w:sz="4" w:space="0" w:color="auto"/>
              <w:left w:val="single" w:sz="4" w:space="0" w:color="auto"/>
              <w:bottom w:val="single" w:sz="4" w:space="0" w:color="auto"/>
              <w:right w:val="single" w:sz="4" w:space="0" w:color="auto"/>
            </w:tcBorders>
          </w:tcPr>
          <w:p w:rsidR="006224C2" w:rsidRPr="00295E71" w14:paraId="7D0EF507" w14:textId="77777777">
            <w:pPr>
              <w:keepNext/>
              <w:rPr>
                <w:del w:id="9086" w:author="AbbVie14" w:date="2025-05-09T10:34:00Z"/>
                <w:sz w:val="22"/>
                <w:szCs w:val="22"/>
              </w:rPr>
            </w:pPr>
            <w:del w:id="9087" w:author="AbbVie14" w:date="2025-05-09T10:34:00Z">
              <w:r w:rsidRPr="00295E71">
                <w:rPr>
                  <w:sz w:val="22"/>
                  <w:szCs w:val="22"/>
                </w:rPr>
                <w:delText>ASAS 5/6</w:delText>
              </w:r>
            </w:del>
          </w:p>
        </w:tc>
        <w:tc>
          <w:tcPr>
            <w:tcW w:w="1980" w:type="dxa"/>
            <w:tcBorders>
              <w:top w:val="single" w:sz="4" w:space="0" w:color="auto"/>
              <w:left w:val="single" w:sz="4" w:space="0" w:color="auto"/>
              <w:bottom w:val="single" w:sz="4" w:space="0" w:color="auto"/>
              <w:right w:val="single" w:sz="4" w:space="0" w:color="auto"/>
            </w:tcBorders>
          </w:tcPr>
          <w:p w:rsidR="006224C2" w:rsidRPr="00295E71" w14:paraId="41DB03C8" w14:textId="77777777">
            <w:pPr>
              <w:keepNext/>
              <w:jc w:val="center"/>
              <w:rPr>
                <w:del w:id="9088" w:author="AbbVie14" w:date="2025-05-09T10:34:00Z"/>
                <w:sz w:val="22"/>
                <w:szCs w:val="22"/>
              </w:rPr>
            </w:pPr>
            <w:del w:id="9089" w:author="AbbVie14" w:date="2025-05-09T10:34:00Z">
              <w:r w:rsidRPr="00295E71">
                <w:rPr>
                  <w:sz w:val="22"/>
                  <w:szCs w:val="22"/>
                </w:rPr>
                <w:delText>6%</w:delText>
              </w:r>
            </w:del>
          </w:p>
        </w:tc>
        <w:tc>
          <w:tcPr>
            <w:tcW w:w="1840" w:type="dxa"/>
            <w:tcBorders>
              <w:top w:val="single" w:sz="4" w:space="0" w:color="auto"/>
              <w:left w:val="single" w:sz="4" w:space="0" w:color="auto"/>
              <w:bottom w:val="single" w:sz="4" w:space="0" w:color="auto"/>
              <w:right w:val="single" w:sz="4" w:space="0" w:color="auto"/>
            </w:tcBorders>
          </w:tcPr>
          <w:p w:rsidR="006224C2" w:rsidRPr="00295E71" w14:paraId="0A2CDB6A" w14:textId="77777777">
            <w:pPr>
              <w:keepNext/>
              <w:jc w:val="center"/>
              <w:rPr>
                <w:del w:id="9090" w:author="AbbVie14" w:date="2025-05-09T10:34:00Z"/>
                <w:sz w:val="22"/>
                <w:szCs w:val="22"/>
              </w:rPr>
            </w:pPr>
            <w:del w:id="9091" w:author="AbbVie14" w:date="2025-05-09T10:34:00Z">
              <w:r w:rsidRPr="00295E71">
                <w:rPr>
                  <w:sz w:val="22"/>
                  <w:szCs w:val="22"/>
                </w:rPr>
                <w:delText>31%***</w:delText>
              </w:r>
            </w:del>
          </w:p>
        </w:tc>
      </w:tr>
      <w:tr w14:paraId="7AE8AB0E" w14:textId="77777777" w:rsidTr="00F57FE5">
        <w:tblPrEx>
          <w:tblW w:w="7856" w:type="dxa"/>
          <w:tblInd w:w="354" w:type="dxa"/>
          <w:tblLook w:val="0000"/>
        </w:tblPrEx>
        <w:trPr>
          <w:del w:id="9092" w:author="AbbVie14" w:date="2025-05-09T10:34:00Z"/>
        </w:trPr>
        <w:tc>
          <w:tcPr>
            <w:tcW w:w="4036" w:type="dxa"/>
            <w:tcBorders>
              <w:top w:val="single" w:sz="4" w:space="0" w:color="auto"/>
              <w:left w:val="single" w:sz="4" w:space="0" w:color="auto"/>
              <w:bottom w:val="single" w:sz="4" w:space="0" w:color="auto"/>
              <w:right w:val="single" w:sz="4" w:space="0" w:color="auto"/>
            </w:tcBorders>
          </w:tcPr>
          <w:p w:rsidR="006224C2" w:rsidRPr="00295E71" w14:paraId="3085E125" w14:textId="77777777">
            <w:pPr>
              <w:keepNext/>
              <w:rPr>
                <w:del w:id="9093" w:author="AbbVie14" w:date="2025-05-09T10:34:00Z"/>
                <w:sz w:val="22"/>
                <w:szCs w:val="22"/>
              </w:rPr>
            </w:pPr>
            <w:del w:id="9094" w:author="AbbVie14" w:date="2025-05-09T10:34:00Z">
              <w:r w:rsidRPr="00295E71">
                <w:rPr>
                  <w:sz w:val="22"/>
                  <w:szCs w:val="22"/>
                </w:rPr>
                <w:delText>ASAS remissione parziale</w:delText>
              </w:r>
            </w:del>
          </w:p>
        </w:tc>
        <w:tc>
          <w:tcPr>
            <w:tcW w:w="1980" w:type="dxa"/>
            <w:tcBorders>
              <w:top w:val="single" w:sz="4" w:space="0" w:color="auto"/>
              <w:left w:val="single" w:sz="4" w:space="0" w:color="auto"/>
              <w:bottom w:val="single" w:sz="4" w:space="0" w:color="auto"/>
              <w:right w:val="single" w:sz="4" w:space="0" w:color="auto"/>
            </w:tcBorders>
          </w:tcPr>
          <w:p w:rsidR="006224C2" w:rsidRPr="00295E71" w14:paraId="1B1B1D0A" w14:textId="77777777">
            <w:pPr>
              <w:keepNext/>
              <w:jc w:val="center"/>
              <w:rPr>
                <w:del w:id="9095" w:author="AbbVie14" w:date="2025-05-09T10:34:00Z"/>
                <w:sz w:val="22"/>
                <w:szCs w:val="22"/>
              </w:rPr>
            </w:pPr>
            <w:del w:id="9096" w:author="AbbVie14" w:date="2025-05-09T10:34:00Z">
              <w:r w:rsidRPr="00295E71">
                <w:rPr>
                  <w:sz w:val="22"/>
                  <w:szCs w:val="22"/>
                </w:rPr>
                <w:delText>5%</w:delText>
              </w:r>
            </w:del>
          </w:p>
        </w:tc>
        <w:tc>
          <w:tcPr>
            <w:tcW w:w="1840" w:type="dxa"/>
            <w:tcBorders>
              <w:top w:val="single" w:sz="4" w:space="0" w:color="auto"/>
              <w:left w:val="single" w:sz="4" w:space="0" w:color="auto"/>
              <w:bottom w:val="single" w:sz="4" w:space="0" w:color="auto"/>
              <w:right w:val="single" w:sz="4" w:space="0" w:color="auto"/>
            </w:tcBorders>
          </w:tcPr>
          <w:p w:rsidR="006224C2" w:rsidRPr="00295E71" w14:paraId="7A35BEE1" w14:textId="77777777">
            <w:pPr>
              <w:keepNext/>
              <w:jc w:val="center"/>
              <w:rPr>
                <w:del w:id="9097" w:author="AbbVie14" w:date="2025-05-09T10:34:00Z"/>
                <w:sz w:val="22"/>
                <w:szCs w:val="22"/>
              </w:rPr>
            </w:pPr>
            <w:del w:id="9098" w:author="AbbVie14" w:date="2025-05-09T10:34:00Z">
              <w:r w:rsidRPr="00295E71">
                <w:rPr>
                  <w:sz w:val="22"/>
                  <w:szCs w:val="22"/>
                </w:rPr>
                <w:delText>16%*</w:delText>
              </w:r>
            </w:del>
          </w:p>
        </w:tc>
      </w:tr>
      <w:tr w14:paraId="56A2108F" w14:textId="77777777" w:rsidTr="00F57FE5">
        <w:tblPrEx>
          <w:tblW w:w="7856" w:type="dxa"/>
          <w:tblInd w:w="354" w:type="dxa"/>
          <w:tblLook w:val="0000"/>
        </w:tblPrEx>
        <w:trPr>
          <w:del w:id="9099" w:author="AbbVie14" w:date="2025-05-09T10:34:00Z"/>
        </w:trPr>
        <w:tc>
          <w:tcPr>
            <w:tcW w:w="4036" w:type="dxa"/>
            <w:tcBorders>
              <w:top w:val="single" w:sz="4" w:space="0" w:color="auto"/>
              <w:left w:val="single" w:sz="4" w:space="0" w:color="auto"/>
              <w:bottom w:val="single" w:sz="4" w:space="0" w:color="auto"/>
              <w:right w:val="single" w:sz="4" w:space="0" w:color="auto"/>
            </w:tcBorders>
          </w:tcPr>
          <w:p w:rsidR="006224C2" w:rsidRPr="00295E71" w14:paraId="4AF738E3" w14:textId="77777777">
            <w:pPr>
              <w:keepNext/>
              <w:rPr>
                <w:del w:id="9100" w:author="AbbVie14" w:date="2025-05-09T10:34:00Z"/>
                <w:sz w:val="22"/>
                <w:szCs w:val="22"/>
              </w:rPr>
            </w:pPr>
            <w:del w:id="9101" w:author="AbbVie14" w:date="2025-05-09T10:34:00Z">
              <w:r w:rsidRPr="00295E71">
                <w:rPr>
                  <w:sz w:val="22"/>
                  <w:szCs w:val="22"/>
                </w:rPr>
                <w:delText>BASDAI</w:delText>
              </w:r>
            </w:del>
            <w:del w:id="9102" w:author="AbbVie14" w:date="2025-05-09T10:34:00Z">
              <w:r w:rsidRPr="00295E71">
                <w:rPr>
                  <w:sz w:val="22"/>
                  <w:szCs w:val="22"/>
                  <w:vertAlign w:val="superscript"/>
                </w:rPr>
                <w:delText>b</w:delText>
              </w:r>
            </w:del>
            <w:del w:id="9103" w:author="AbbVie14" w:date="2025-05-09T10:34:00Z">
              <w:r w:rsidRPr="00295E71">
                <w:rPr>
                  <w:sz w:val="22"/>
                  <w:szCs w:val="22"/>
                </w:rPr>
                <w:delText xml:space="preserve"> 50</w:delText>
              </w:r>
            </w:del>
          </w:p>
        </w:tc>
        <w:tc>
          <w:tcPr>
            <w:tcW w:w="1980" w:type="dxa"/>
            <w:tcBorders>
              <w:top w:val="single" w:sz="4" w:space="0" w:color="auto"/>
              <w:left w:val="single" w:sz="4" w:space="0" w:color="auto"/>
              <w:bottom w:val="single" w:sz="4" w:space="0" w:color="auto"/>
              <w:right w:val="single" w:sz="4" w:space="0" w:color="auto"/>
            </w:tcBorders>
          </w:tcPr>
          <w:p w:rsidR="006224C2" w:rsidRPr="00295E71" w14:paraId="094E3F99" w14:textId="77777777">
            <w:pPr>
              <w:keepNext/>
              <w:jc w:val="center"/>
              <w:rPr>
                <w:del w:id="9104" w:author="AbbVie14" w:date="2025-05-09T10:34:00Z"/>
                <w:sz w:val="22"/>
                <w:szCs w:val="22"/>
              </w:rPr>
            </w:pPr>
            <w:del w:id="9105" w:author="AbbVie14" w:date="2025-05-09T10:34:00Z">
              <w:r w:rsidRPr="00295E71">
                <w:rPr>
                  <w:sz w:val="22"/>
                  <w:szCs w:val="22"/>
                </w:rPr>
                <w:delText>15%</w:delText>
              </w:r>
            </w:del>
          </w:p>
        </w:tc>
        <w:tc>
          <w:tcPr>
            <w:tcW w:w="1840" w:type="dxa"/>
            <w:tcBorders>
              <w:top w:val="single" w:sz="4" w:space="0" w:color="auto"/>
              <w:left w:val="single" w:sz="4" w:space="0" w:color="auto"/>
              <w:bottom w:val="single" w:sz="4" w:space="0" w:color="auto"/>
              <w:right w:val="single" w:sz="4" w:space="0" w:color="auto"/>
            </w:tcBorders>
          </w:tcPr>
          <w:p w:rsidR="006224C2" w:rsidRPr="00295E71" w14:paraId="19EA8FF9" w14:textId="77777777">
            <w:pPr>
              <w:keepNext/>
              <w:jc w:val="center"/>
              <w:rPr>
                <w:del w:id="9106" w:author="AbbVie14" w:date="2025-05-09T10:34:00Z"/>
                <w:sz w:val="22"/>
                <w:szCs w:val="22"/>
              </w:rPr>
            </w:pPr>
            <w:del w:id="9107" w:author="AbbVie14" w:date="2025-05-09T10:34:00Z">
              <w:r w:rsidRPr="00295E71">
                <w:rPr>
                  <w:sz w:val="22"/>
                  <w:szCs w:val="22"/>
                </w:rPr>
                <w:delText>35%**</w:delText>
              </w:r>
            </w:del>
          </w:p>
        </w:tc>
      </w:tr>
      <w:tr w14:paraId="1D28C905" w14:textId="77777777" w:rsidTr="00F57FE5">
        <w:tblPrEx>
          <w:tblW w:w="7856" w:type="dxa"/>
          <w:tblInd w:w="354" w:type="dxa"/>
          <w:tblLook w:val="0000"/>
        </w:tblPrEx>
        <w:trPr>
          <w:del w:id="9108" w:author="AbbVie14" w:date="2025-05-09T10:34:00Z"/>
        </w:trPr>
        <w:tc>
          <w:tcPr>
            <w:tcW w:w="4036" w:type="dxa"/>
            <w:tcBorders>
              <w:top w:val="single" w:sz="4" w:space="0" w:color="auto"/>
              <w:left w:val="single" w:sz="4" w:space="0" w:color="auto"/>
              <w:bottom w:val="single" w:sz="4" w:space="0" w:color="auto"/>
              <w:right w:val="single" w:sz="4" w:space="0" w:color="auto"/>
            </w:tcBorders>
          </w:tcPr>
          <w:p w:rsidR="006224C2" w:rsidRPr="00295E71" w14:paraId="22621445" w14:textId="77777777">
            <w:pPr>
              <w:keepNext/>
              <w:rPr>
                <w:del w:id="9109" w:author="AbbVie14" w:date="2025-05-09T10:34:00Z"/>
                <w:sz w:val="22"/>
                <w:szCs w:val="22"/>
                <w:vertAlign w:val="superscript"/>
              </w:rPr>
            </w:pPr>
            <w:del w:id="9110" w:author="AbbVie14" w:date="2025-05-09T10:34:00Z">
              <w:r w:rsidRPr="00295E71">
                <w:rPr>
                  <w:sz w:val="22"/>
                  <w:szCs w:val="22"/>
                </w:rPr>
                <w:delText>ASDAS</w:delText>
              </w:r>
            </w:del>
            <w:del w:id="9111" w:author="AbbVie14" w:date="2025-05-09T10:34:00Z">
              <w:r w:rsidRPr="00295E71">
                <w:rPr>
                  <w:sz w:val="22"/>
                  <w:szCs w:val="22"/>
                  <w:vertAlign w:val="superscript"/>
                </w:rPr>
                <w:delText>c,d,e</w:delText>
              </w:r>
            </w:del>
          </w:p>
        </w:tc>
        <w:tc>
          <w:tcPr>
            <w:tcW w:w="1980" w:type="dxa"/>
            <w:tcBorders>
              <w:top w:val="single" w:sz="4" w:space="0" w:color="auto"/>
              <w:left w:val="single" w:sz="4" w:space="0" w:color="auto"/>
              <w:bottom w:val="single" w:sz="4" w:space="0" w:color="auto"/>
              <w:right w:val="single" w:sz="4" w:space="0" w:color="auto"/>
            </w:tcBorders>
          </w:tcPr>
          <w:p w:rsidR="006224C2" w:rsidRPr="00295E71" w14:paraId="27B05823" w14:textId="77777777">
            <w:pPr>
              <w:keepNext/>
              <w:jc w:val="center"/>
              <w:rPr>
                <w:del w:id="9112" w:author="AbbVie14" w:date="2025-05-09T10:34:00Z"/>
                <w:sz w:val="22"/>
                <w:szCs w:val="22"/>
              </w:rPr>
            </w:pPr>
            <w:del w:id="9113" w:author="AbbVie14" w:date="2025-05-09T10:34:00Z">
              <w:r w:rsidRPr="00295E71">
                <w:rPr>
                  <w:sz w:val="22"/>
                  <w:szCs w:val="22"/>
                </w:rPr>
                <w:delText>-0,3</w:delText>
              </w:r>
            </w:del>
          </w:p>
        </w:tc>
        <w:tc>
          <w:tcPr>
            <w:tcW w:w="1840" w:type="dxa"/>
            <w:tcBorders>
              <w:top w:val="single" w:sz="4" w:space="0" w:color="auto"/>
              <w:left w:val="single" w:sz="4" w:space="0" w:color="auto"/>
              <w:bottom w:val="single" w:sz="4" w:space="0" w:color="auto"/>
              <w:right w:val="single" w:sz="4" w:space="0" w:color="auto"/>
            </w:tcBorders>
          </w:tcPr>
          <w:p w:rsidR="006224C2" w:rsidRPr="00295E71" w14:paraId="3331EB9E" w14:textId="77777777">
            <w:pPr>
              <w:keepNext/>
              <w:jc w:val="center"/>
              <w:rPr>
                <w:del w:id="9114" w:author="AbbVie14" w:date="2025-05-09T10:34:00Z"/>
                <w:sz w:val="22"/>
                <w:szCs w:val="22"/>
              </w:rPr>
            </w:pPr>
            <w:del w:id="9115" w:author="AbbVie14" w:date="2025-05-09T10:34:00Z">
              <w:r w:rsidRPr="00295E71">
                <w:rPr>
                  <w:sz w:val="22"/>
                  <w:szCs w:val="22"/>
                </w:rPr>
                <w:delText>-1,0***</w:delText>
              </w:r>
            </w:del>
          </w:p>
        </w:tc>
      </w:tr>
      <w:tr w14:paraId="6872B797" w14:textId="77777777" w:rsidTr="00F57FE5">
        <w:tblPrEx>
          <w:tblW w:w="7856" w:type="dxa"/>
          <w:tblInd w:w="354" w:type="dxa"/>
          <w:tblLook w:val="0000"/>
        </w:tblPrEx>
        <w:trPr>
          <w:del w:id="9116" w:author="AbbVie14" w:date="2025-05-09T10:34:00Z"/>
        </w:trPr>
        <w:tc>
          <w:tcPr>
            <w:tcW w:w="4036" w:type="dxa"/>
            <w:tcBorders>
              <w:top w:val="single" w:sz="4" w:space="0" w:color="auto"/>
              <w:left w:val="single" w:sz="4" w:space="0" w:color="auto"/>
              <w:bottom w:val="single" w:sz="4" w:space="0" w:color="auto"/>
              <w:right w:val="single" w:sz="4" w:space="0" w:color="auto"/>
            </w:tcBorders>
          </w:tcPr>
          <w:p w:rsidR="006224C2" w:rsidRPr="00295E71" w14:paraId="40B47645" w14:textId="77777777">
            <w:pPr>
              <w:keepNext/>
              <w:rPr>
                <w:del w:id="9117" w:author="AbbVie14" w:date="2025-05-09T10:34:00Z"/>
                <w:sz w:val="22"/>
                <w:szCs w:val="22"/>
              </w:rPr>
            </w:pPr>
            <w:del w:id="9118" w:author="AbbVie14" w:date="2025-05-09T10:34:00Z">
              <w:r w:rsidRPr="00295E71">
                <w:rPr>
                  <w:sz w:val="22"/>
                  <w:szCs w:val="22"/>
                </w:rPr>
                <w:delText>ASDAS malattia inattiva</w:delText>
              </w:r>
            </w:del>
          </w:p>
        </w:tc>
        <w:tc>
          <w:tcPr>
            <w:tcW w:w="1980" w:type="dxa"/>
            <w:tcBorders>
              <w:top w:val="single" w:sz="4" w:space="0" w:color="auto"/>
              <w:left w:val="single" w:sz="4" w:space="0" w:color="auto"/>
              <w:bottom w:val="single" w:sz="4" w:space="0" w:color="auto"/>
              <w:right w:val="single" w:sz="4" w:space="0" w:color="auto"/>
            </w:tcBorders>
          </w:tcPr>
          <w:p w:rsidR="006224C2" w:rsidRPr="00295E71" w14:paraId="662A0A68" w14:textId="77777777">
            <w:pPr>
              <w:keepNext/>
              <w:jc w:val="center"/>
              <w:rPr>
                <w:del w:id="9119" w:author="AbbVie14" w:date="2025-05-09T10:34:00Z"/>
                <w:sz w:val="22"/>
                <w:szCs w:val="22"/>
              </w:rPr>
            </w:pPr>
            <w:del w:id="9120" w:author="AbbVie14" w:date="2025-05-09T10:34:00Z">
              <w:r w:rsidRPr="00295E71">
                <w:rPr>
                  <w:sz w:val="22"/>
                  <w:szCs w:val="22"/>
                </w:rPr>
                <w:delText>4%</w:delText>
              </w:r>
            </w:del>
          </w:p>
        </w:tc>
        <w:tc>
          <w:tcPr>
            <w:tcW w:w="1840" w:type="dxa"/>
            <w:tcBorders>
              <w:top w:val="single" w:sz="4" w:space="0" w:color="auto"/>
              <w:left w:val="single" w:sz="4" w:space="0" w:color="auto"/>
              <w:bottom w:val="single" w:sz="4" w:space="0" w:color="auto"/>
              <w:right w:val="single" w:sz="4" w:space="0" w:color="auto"/>
            </w:tcBorders>
          </w:tcPr>
          <w:p w:rsidR="006224C2" w:rsidRPr="00295E71" w14:paraId="75DE33B6" w14:textId="77777777">
            <w:pPr>
              <w:keepNext/>
              <w:jc w:val="center"/>
              <w:rPr>
                <w:del w:id="9121" w:author="AbbVie14" w:date="2025-05-09T10:34:00Z"/>
                <w:sz w:val="22"/>
                <w:szCs w:val="22"/>
              </w:rPr>
            </w:pPr>
            <w:del w:id="9122" w:author="AbbVie14" w:date="2025-05-09T10:34:00Z">
              <w:r w:rsidRPr="00295E71">
                <w:rPr>
                  <w:sz w:val="22"/>
                  <w:szCs w:val="22"/>
                </w:rPr>
                <w:delText>24%</w:delText>
              </w:r>
            </w:del>
          </w:p>
        </w:tc>
      </w:tr>
      <w:tr w14:paraId="1B0243EA" w14:textId="77777777" w:rsidTr="00F57FE5">
        <w:tblPrEx>
          <w:tblW w:w="7856" w:type="dxa"/>
          <w:tblInd w:w="354" w:type="dxa"/>
          <w:tblLook w:val="0000"/>
        </w:tblPrEx>
        <w:trPr>
          <w:del w:id="9123" w:author="AbbVie14" w:date="2025-05-09T10:34:00Z"/>
        </w:trPr>
        <w:tc>
          <w:tcPr>
            <w:tcW w:w="4036" w:type="dxa"/>
            <w:tcBorders>
              <w:top w:val="single" w:sz="4" w:space="0" w:color="auto"/>
              <w:left w:val="single" w:sz="4" w:space="0" w:color="auto"/>
              <w:bottom w:val="single" w:sz="4" w:space="0" w:color="auto"/>
              <w:right w:val="single" w:sz="4" w:space="0" w:color="auto"/>
            </w:tcBorders>
          </w:tcPr>
          <w:p w:rsidR="006224C2" w:rsidRPr="00295E71" w:rsidP="008858DF" w14:paraId="13F9FA0B" w14:textId="77777777">
            <w:pPr>
              <w:keepNext/>
              <w:rPr>
                <w:del w:id="9124" w:author="AbbVie14" w:date="2025-05-09T10:34:00Z"/>
                <w:sz w:val="22"/>
                <w:szCs w:val="22"/>
                <w:vertAlign w:val="superscript"/>
              </w:rPr>
            </w:pPr>
            <w:del w:id="9125" w:author="AbbVie14" w:date="2025-05-09T10:34:00Z">
              <w:r w:rsidRPr="00295E71">
                <w:rPr>
                  <w:sz w:val="22"/>
                  <w:szCs w:val="22"/>
                </w:rPr>
                <w:delText>hs-</w:delText>
              </w:r>
            </w:del>
            <w:del w:id="9126" w:author="AbbVie14" w:date="2025-05-09T10:34:00Z">
              <w:r w:rsidR="008858DF">
                <w:rPr>
                  <w:sz w:val="22"/>
                  <w:szCs w:val="22"/>
                </w:rPr>
                <w:delText>PCR</w:delText>
              </w:r>
            </w:del>
            <w:del w:id="9127" w:author="AbbVie14" w:date="2025-05-09T10:34:00Z">
              <w:r w:rsidRPr="00295E71" w:rsidR="008858DF">
                <w:rPr>
                  <w:sz w:val="22"/>
                  <w:szCs w:val="22"/>
                  <w:vertAlign w:val="superscript"/>
                </w:rPr>
                <w:delText>d</w:delText>
              </w:r>
            </w:del>
            <w:del w:id="9128" w:author="AbbVie14" w:date="2025-05-09T10:34:00Z">
              <w:r w:rsidRPr="00295E71">
                <w:rPr>
                  <w:sz w:val="22"/>
                  <w:szCs w:val="22"/>
                  <w:vertAlign w:val="superscript"/>
                </w:rPr>
                <w:delText>,f,g</w:delText>
              </w:r>
            </w:del>
          </w:p>
        </w:tc>
        <w:tc>
          <w:tcPr>
            <w:tcW w:w="1980" w:type="dxa"/>
            <w:tcBorders>
              <w:top w:val="single" w:sz="4" w:space="0" w:color="auto"/>
              <w:left w:val="single" w:sz="4" w:space="0" w:color="auto"/>
              <w:bottom w:val="single" w:sz="4" w:space="0" w:color="auto"/>
              <w:right w:val="single" w:sz="4" w:space="0" w:color="auto"/>
            </w:tcBorders>
          </w:tcPr>
          <w:p w:rsidR="006224C2" w:rsidRPr="00295E71" w14:paraId="77FA37D5" w14:textId="77777777">
            <w:pPr>
              <w:keepNext/>
              <w:jc w:val="center"/>
              <w:rPr>
                <w:del w:id="9129" w:author="AbbVie14" w:date="2025-05-09T10:34:00Z"/>
                <w:sz w:val="22"/>
                <w:szCs w:val="22"/>
              </w:rPr>
            </w:pPr>
            <w:del w:id="9130" w:author="AbbVie14" w:date="2025-05-09T10:34:00Z">
              <w:r w:rsidRPr="00295E71">
                <w:rPr>
                  <w:sz w:val="22"/>
                  <w:szCs w:val="22"/>
                </w:rPr>
                <w:delText>-0,3</w:delText>
              </w:r>
            </w:del>
          </w:p>
        </w:tc>
        <w:tc>
          <w:tcPr>
            <w:tcW w:w="1840" w:type="dxa"/>
            <w:tcBorders>
              <w:top w:val="single" w:sz="4" w:space="0" w:color="auto"/>
              <w:left w:val="single" w:sz="4" w:space="0" w:color="auto"/>
              <w:bottom w:val="single" w:sz="4" w:space="0" w:color="auto"/>
              <w:right w:val="single" w:sz="4" w:space="0" w:color="auto"/>
            </w:tcBorders>
          </w:tcPr>
          <w:p w:rsidR="006224C2" w:rsidRPr="00295E71" w14:paraId="553CDD4A" w14:textId="77777777">
            <w:pPr>
              <w:keepNext/>
              <w:jc w:val="center"/>
              <w:rPr>
                <w:del w:id="9131" w:author="AbbVie14" w:date="2025-05-09T10:34:00Z"/>
                <w:sz w:val="22"/>
                <w:szCs w:val="22"/>
              </w:rPr>
            </w:pPr>
            <w:del w:id="9132" w:author="AbbVie14" w:date="2025-05-09T10:34:00Z">
              <w:r w:rsidRPr="00295E71">
                <w:rPr>
                  <w:sz w:val="22"/>
                  <w:szCs w:val="22"/>
                </w:rPr>
                <w:delText>-4,7***</w:delText>
              </w:r>
            </w:del>
          </w:p>
        </w:tc>
      </w:tr>
      <w:tr w14:paraId="037147EC" w14:textId="77777777" w:rsidTr="00F57FE5">
        <w:tblPrEx>
          <w:tblW w:w="7856" w:type="dxa"/>
          <w:tblInd w:w="354" w:type="dxa"/>
          <w:tblLook w:val="0000"/>
        </w:tblPrEx>
        <w:trPr>
          <w:del w:id="9133" w:author="AbbVie14" w:date="2025-05-09T10:34:00Z"/>
        </w:trPr>
        <w:tc>
          <w:tcPr>
            <w:tcW w:w="4036" w:type="dxa"/>
            <w:tcBorders>
              <w:top w:val="single" w:sz="4" w:space="0" w:color="auto"/>
              <w:left w:val="single" w:sz="4" w:space="0" w:color="auto"/>
              <w:bottom w:val="single" w:sz="4" w:space="0" w:color="auto"/>
              <w:right w:val="single" w:sz="4" w:space="0" w:color="auto"/>
            </w:tcBorders>
          </w:tcPr>
          <w:p w:rsidR="006224C2" w:rsidRPr="00295E71" w14:paraId="40F42E4A" w14:textId="77777777">
            <w:pPr>
              <w:keepNext/>
              <w:rPr>
                <w:del w:id="9134" w:author="AbbVie14" w:date="2025-05-09T10:34:00Z"/>
                <w:sz w:val="22"/>
                <w:szCs w:val="22"/>
              </w:rPr>
            </w:pPr>
            <w:del w:id="9135" w:author="AbbVie14" w:date="2025-05-09T10:34:00Z">
              <w:r w:rsidRPr="00295E71">
                <w:rPr>
                  <w:sz w:val="22"/>
                  <w:szCs w:val="22"/>
                </w:rPr>
                <w:delText>SPARCC</w:delText>
              </w:r>
            </w:del>
            <w:del w:id="9136" w:author="AbbVie14" w:date="2025-05-09T10:34:00Z">
              <w:r w:rsidRPr="00295E71">
                <w:rPr>
                  <w:sz w:val="22"/>
                  <w:szCs w:val="22"/>
                  <w:vertAlign w:val="superscript"/>
                </w:rPr>
                <w:delText>h</w:delText>
              </w:r>
            </w:del>
            <w:del w:id="9137" w:author="AbbVie14" w:date="2025-05-09T10:34:00Z">
              <w:r w:rsidRPr="00295E71">
                <w:rPr>
                  <w:sz w:val="22"/>
                  <w:szCs w:val="22"/>
                </w:rPr>
                <w:delText xml:space="preserve"> MRI</w:delText>
              </w:r>
            </w:del>
            <w:del w:id="9138" w:author="AbbVie14" w:date="2025-05-09T10:34:00Z">
              <w:r w:rsidRPr="00295E71" w:rsidR="00A82609">
                <w:rPr>
                  <w:sz w:val="22"/>
                  <w:szCs w:val="22"/>
                </w:rPr>
                <w:delText xml:space="preserve"> articolazioni sacroiliache</w:delText>
              </w:r>
            </w:del>
            <w:del w:id="9139" w:author="AbbVie14" w:date="2025-05-09T10:34:00Z">
              <w:r w:rsidRPr="00295E71">
                <w:rPr>
                  <w:sz w:val="22"/>
                  <w:szCs w:val="22"/>
                </w:rPr>
                <w:delText xml:space="preserve"> </w:delText>
              </w:r>
            </w:del>
            <w:del w:id="9140" w:author="AbbVie14" w:date="2025-05-09T10:34:00Z">
              <w:r w:rsidRPr="00295E71" w:rsidR="00A82609">
                <w:rPr>
                  <w:sz w:val="22"/>
                  <w:szCs w:val="22"/>
                  <w:vertAlign w:val="superscript"/>
                </w:rPr>
                <w:delText>d,i</w:delText>
              </w:r>
            </w:del>
          </w:p>
        </w:tc>
        <w:tc>
          <w:tcPr>
            <w:tcW w:w="1980" w:type="dxa"/>
            <w:tcBorders>
              <w:top w:val="single" w:sz="4" w:space="0" w:color="auto"/>
              <w:left w:val="single" w:sz="4" w:space="0" w:color="auto"/>
              <w:bottom w:val="single" w:sz="4" w:space="0" w:color="auto"/>
              <w:right w:val="single" w:sz="4" w:space="0" w:color="auto"/>
            </w:tcBorders>
          </w:tcPr>
          <w:p w:rsidR="006224C2" w:rsidRPr="00295E71" w14:paraId="72A0B541" w14:textId="77777777">
            <w:pPr>
              <w:keepNext/>
              <w:jc w:val="center"/>
              <w:rPr>
                <w:del w:id="9141" w:author="AbbVie14" w:date="2025-05-09T10:34:00Z"/>
                <w:sz w:val="22"/>
                <w:szCs w:val="22"/>
              </w:rPr>
            </w:pPr>
            <w:del w:id="9142" w:author="AbbVie14" w:date="2025-05-09T10:34:00Z">
              <w:r w:rsidRPr="00295E71">
                <w:rPr>
                  <w:sz w:val="22"/>
                  <w:szCs w:val="22"/>
                </w:rPr>
                <w:delText>-0,6</w:delText>
              </w:r>
            </w:del>
          </w:p>
        </w:tc>
        <w:tc>
          <w:tcPr>
            <w:tcW w:w="1840" w:type="dxa"/>
            <w:tcBorders>
              <w:top w:val="single" w:sz="4" w:space="0" w:color="auto"/>
              <w:left w:val="single" w:sz="4" w:space="0" w:color="auto"/>
              <w:bottom w:val="single" w:sz="4" w:space="0" w:color="auto"/>
              <w:right w:val="single" w:sz="4" w:space="0" w:color="auto"/>
            </w:tcBorders>
          </w:tcPr>
          <w:p w:rsidR="006224C2" w:rsidRPr="00295E71" w14:paraId="1A567FCB" w14:textId="77777777">
            <w:pPr>
              <w:keepNext/>
              <w:jc w:val="center"/>
              <w:rPr>
                <w:del w:id="9143" w:author="AbbVie14" w:date="2025-05-09T10:34:00Z"/>
                <w:sz w:val="22"/>
                <w:szCs w:val="22"/>
              </w:rPr>
            </w:pPr>
            <w:del w:id="9144" w:author="AbbVie14" w:date="2025-05-09T10:34:00Z">
              <w:r w:rsidRPr="00295E71">
                <w:rPr>
                  <w:sz w:val="22"/>
                  <w:szCs w:val="22"/>
                </w:rPr>
                <w:delText>-3,2**</w:delText>
              </w:r>
            </w:del>
          </w:p>
        </w:tc>
      </w:tr>
      <w:tr w14:paraId="34D03E47" w14:textId="77777777" w:rsidTr="00F57FE5">
        <w:tblPrEx>
          <w:tblW w:w="7856" w:type="dxa"/>
          <w:tblInd w:w="354" w:type="dxa"/>
          <w:tblLook w:val="0000"/>
        </w:tblPrEx>
        <w:trPr>
          <w:del w:id="9145" w:author="AbbVie14" w:date="2025-05-09T10:34:00Z"/>
        </w:trPr>
        <w:tc>
          <w:tcPr>
            <w:tcW w:w="4036" w:type="dxa"/>
            <w:tcBorders>
              <w:top w:val="single" w:sz="4" w:space="0" w:color="auto"/>
              <w:left w:val="single" w:sz="4" w:space="0" w:color="auto"/>
              <w:bottom w:val="single" w:sz="4" w:space="0" w:color="auto"/>
              <w:right w:val="single" w:sz="4" w:space="0" w:color="auto"/>
            </w:tcBorders>
          </w:tcPr>
          <w:p w:rsidR="006224C2" w:rsidRPr="00295E71" w14:paraId="2BE0CC8D" w14:textId="77777777">
            <w:pPr>
              <w:keepNext/>
              <w:rPr>
                <w:del w:id="9146" w:author="AbbVie14" w:date="2025-05-09T10:34:00Z"/>
                <w:sz w:val="22"/>
                <w:szCs w:val="22"/>
                <w:vertAlign w:val="superscript"/>
              </w:rPr>
            </w:pPr>
            <w:del w:id="9147" w:author="AbbVie14" w:date="2025-05-09T10:34:00Z">
              <w:r w:rsidRPr="00295E71">
                <w:rPr>
                  <w:sz w:val="22"/>
                  <w:szCs w:val="22"/>
                </w:rPr>
                <w:delText xml:space="preserve">SPARCC MRI </w:delText>
              </w:r>
            </w:del>
            <w:del w:id="9148" w:author="AbbVie14" w:date="2025-05-09T10:34:00Z">
              <w:r w:rsidR="00420BF3">
                <w:rPr>
                  <w:sz w:val="22"/>
                  <w:szCs w:val="22"/>
                </w:rPr>
                <w:delText>c</w:delText>
              </w:r>
            </w:del>
            <w:del w:id="9149" w:author="AbbVie14" w:date="2025-05-09T10:34:00Z">
              <w:r w:rsidRPr="00295E71">
                <w:rPr>
                  <w:sz w:val="22"/>
                  <w:szCs w:val="22"/>
                </w:rPr>
                <w:delText>olonna vertebrale</w:delText>
              </w:r>
            </w:del>
            <w:del w:id="9150" w:author="AbbVie14" w:date="2025-05-09T10:34:00Z">
              <w:r w:rsidRPr="00295E71">
                <w:rPr>
                  <w:sz w:val="22"/>
                  <w:szCs w:val="22"/>
                  <w:vertAlign w:val="superscript"/>
                </w:rPr>
                <w:delText>d,j</w:delText>
              </w:r>
            </w:del>
          </w:p>
        </w:tc>
        <w:tc>
          <w:tcPr>
            <w:tcW w:w="1980" w:type="dxa"/>
            <w:tcBorders>
              <w:top w:val="single" w:sz="4" w:space="0" w:color="auto"/>
              <w:left w:val="single" w:sz="4" w:space="0" w:color="auto"/>
              <w:bottom w:val="single" w:sz="4" w:space="0" w:color="auto"/>
              <w:right w:val="single" w:sz="4" w:space="0" w:color="auto"/>
            </w:tcBorders>
          </w:tcPr>
          <w:p w:rsidR="006224C2" w:rsidRPr="00295E71" w14:paraId="6A141051" w14:textId="77777777">
            <w:pPr>
              <w:keepNext/>
              <w:jc w:val="center"/>
              <w:rPr>
                <w:del w:id="9151" w:author="AbbVie14" w:date="2025-05-09T10:34:00Z"/>
                <w:sz w:val="22"/>
                <w:szCs w:val="22"/>
              </w:rPr>
            </w:pPr>
            <w:del w:id="9152" w:author="AbbVie14" w:date="2025-05-09T10:34:00Z">
              <w:r w:rsidRPr="00295E71">
                <w:rPr>
                  <w:sz w:val="22"/>
                  <w:szCs w:val="22"/>
                </w:rPr>
                <w:delText>-0,2</w:delText>
              </w:r>
            </w:del>
          </w:p>
        </w:tc>
        <w:tc>
          <w:tcPr>
            <w:tcW w:w="1840" w:type="dxa"/>
            <w:tcBorders>
              <w:top w:val="single" w:sz="4" w:space="0" w:color="auto"/>
              <w:left w:val="single" w:sz="4" w:space="0" w:color="auto"/>
              <w:bottom w:val="single" w:sz="4" w:space="0" w:color="auto"/>
              <w:right w:val="single" w:sz="4" w:space="0" w:color="auto"/>
            </w:tcBorders>
          </w:tcPr>
          <w:p w:rsidR="006224C2" w:rsidRPr="00295E71" w14:paraId="1EC2DE20" w14:textId="77777777">
            <w:pPr>
              <w:keepNext/>
              <w:jc w:val="center"/>
              <w:rPr>
                <w:del w:id="9153" w:author="AbbVie14" w:date="2025-05-09T10:34:00Z"/>
                <w:sz w:val="22"/>
                <w:szCs w:val="22"/>
              </w:rPr>
            </w:pPr>
            <w:del w:id="9154" w:author="AbbVie14" w:date="2025-05-09T10:34:00Z">
              <w:r w:rsidRPr="00295E71">
                <w:rPr>
                  <w:sz w:val="22"/>
                  <w:szCs w:val="22"/>
                </w:rPr>
                <w:delText>-1,8**</w:delText>
              </w:r>
            </w:del>
          </w:p>
        </w:tc>
      </w:tr>
      <w:tr w14:paraId="7CAD8F88" w14:textId="77777777" w:rsidTr="00F57FE5">
        <w:tblPrEx>
          <w:tblW w:w="7856" w:type="dxa"/>
          <w:tblInd w:w="354" w:type="dxa"/>
          <w:tblLook w:val="0000"/>
        </w:tblPrEx>
        <w:trPr>
          <w:trHeight w:val="511"/>
          <w:del w:id="9155" w:author="AbbVie14" w:date="2025-05-09T10:34:00Z"/>
        </w:trPr>
        <w:tc>
          <w:tcPr>
            <w:tcW w:w="7856" w:type="dxa"/>
            <w:gridSpan w:val="3"/>
            <w:tcBorders>
              <w:top w:val="single" w:sz="4" w:space="0" w:color="auto"/>
              <w:left w:val="nil"/>
              <w:bottom w:val="nil"/>
              <w:right w:val="nil"/>
            </w:tcBorders>
          </w:tcPr>
          <w:p w:rsidR="006224C2" w:rsidRPr="00BE2419" w:rsidP="00357925" w14:paraId="33F1FCAA" w14:textId="77777777">
            <w:pPr>
              <w:keepNext/>
              <w:autoSpaceDE w:val="0"/>
              <w:autoSpaceDN w:val="0"/>
              <w:adjustRightInd w:val="0"/>
              <w:rPr>
                <w:del w:id="9156" w:author="AbbVie14" w:date="2025-05-09T10:34:00Z"/>
                <w:sz w:val="22"/>
                <w:szCs w:val="22"/>
                <w:lang w:val="it-IT"/>
                <w:rPrChange w:id="9157" w:author="AbbVie14" w:date="2025-05-09T11:38:00Z">
                  <w:rPr>
                    <w:sz w:val="22"/>
                    <w:szCs w:val="22"/>
                    <w:lang w:val="en-US"/>
                  </w:rPr>
                </w:rPrChange>
              </w:rPr>
            </w:pPr>
            <w:del w:id="9158" w:author="AbbVie14" w:date="2025-05-09T10:34:00Z">
              <w:r w:rsidRPr="00BE2419">
                <w:rPr>
                  <w:color w:val="000000"/>
                  <w:sz w:val="22"/>
                  <w:szCs w:val="22"/>
                  <w:vertAlign w:val="superscript"/>
                  <w:lang w:val="it-IT"/>
                  <w:rPrChange w:id="9159" w:author="AbbVie14" w:date="2025-05-09T11:38:00Z">
                    <w:rPr>
                      <w:color w:val="000000"/>
                      <w:sz w:val="22"/>
                      <w:szCs w:val="22"/>
                      <w:vertAlign w:val="superscript"/>
                      <w:lang w:val="en-US"/>
                    </w:rPr>
                  </w:rPrChange>
                </w:rPr>
                <w:delText>a</w:delText>
              </w:r>
            </w:del>
            <w:del w:id="9160" w:author="AbbVie14" w:date="2025-05-09T10:34:00Z">
              <w:r w:rsidRPr="00BE2419">
                <w:rPr>
                  <w:sz w:val="22"/>
                  <w:szCs w:val="22"/>
                  <w:lang w:val="it-IT"/>
                  <w:rPrChange w:id="9161" w:author="AbbVie14" w:date="2025-05-09T11:38:00Z">
                    <w:rPr>
                      <w:sz w:val="22"/>
                      <w:szCs w:val="22"/>
                      <w:lang w:val="en-US"/>
                    </w:rPr>
                  </w:rPrChange>
                </w:rPr>
                <w:delText xml:space="preserve">Assessment of Spondyloarthritis </w:delText>
              </w:r>
            </w:del>
            <w:del w:id="9162" w:author="AbbVie14" w:date="2025-05-09T10:34:00Z">
              <w:r w:rsidRPr="00BE2419" w:rsidR="00F03C59">
                <w:rPr>
                  <w:sz w:val="22"/>
                  <w:szCs w:val="22"/>
                  <w:lang w:val="it-IT"/>
                  <w:rPrChange w:id="9163" w:author="AbbVie14" w:date="2025-05-09T11:38:00Z">
                    <w:rPr>
                      <w:sz w:val="22"/>
                      <w:szCs w:val="22"/>
                      <w:lang w:val="en-US"/>
                    </w:rPr>
                  </w:rPrChange>
                </w:rPr>
                <w:delText>i</w:delText>
              </w:r>
            </w:del>
            <w:del w:id="9164" w:author="AbbVie14" w:date="2025-05-09T10:34:00Z">
              <w:r w:rsidRPr="00BE2419">
                <w:rPr>
                  <w:sz w:val="22"/>
                  <w:szCs w:val="22"/>
                  <w:lang w:val="it-IT"/>
                  <w:rPrChange w:id="9165" w:author="AbbVie14" w:date="2025-05-09T11:38:00Z">
                    <w:rPr>
                      <w:sz w:val="22"/>
                      <w:szCs w:val="22"/>
                      <w:lang w:val="en-US"/>
                    </w:rPr>
                  </w:rPrChange>
                </w:rPr>
                <w:delText>nternational Society</w:delText>
              </w:r>
            </w:del>
          </w:p>
          <w:p w:rsidR="006224C2" w:rsidRPr="00BE2419" w14:paraId="6576DB8C" w14:textId="77777777">
            <w:pPr>
              <w:keepNext/>
              <w:autoSpaceDE w:val="0"/>
              <w:autoSpaceDN w:val="0"/>
              <w:adjustRightInd w:val="0"/>
              <w:rPr>
                <w:del w:id="9166" w:author="AbbVie14" w:date="2025-05-09T10:34:00Z"/>
                <w:sz w:val="22"/>
                <w:szCs w:val="22"/>
                <w:lang w:val="it-IT"/>
                <w:rPrChange w:id="9167" w:author="AbbVie14" w:date="2025-05-09T11:38:00Z">
                  <w:rPr>
                    <w:sz w:val="22"/>
                    <w:szCs w:val="22"/>
                    <w:lang w:val="en-US"/>
                  </w:rPr>
                </w:rPrChange>
              </w:rPr>
            </w:pPr>
            <w:del w:id="9168" w:author="AbbVie14" w:date="2025-05-09T10:34:00Z">
              <w:r w:rsidRPr="00BE2419">
                <w:rPr>
                  <w:color w:val="000000"/>
                  <w:sz w:val="22"/>
                  <w:szCs w:val="22"/>
                  <w:vertAlign w:val="superscript"/>
                  <w:lang w:val="it-IT"/>
                  <w:rPrChange w:id="9169" w:author="AbbVie14" w:date="2025-05-09T11:38:00Z">
                    <w:rPr>
                      <w:color w:val="000000"/>
                      <w:sz w:val="22"/>
                      <w:szCs w:val="22"/>
                      <w:vertAlign w:val="superscript"/>
                      <w:lang w:val="en-US"/>
                    </w:rPr>
                  </w:rPrChange>
                </w:rPr>
                <w:delText>b</w:delText>
              </w:r>
            </w:del>
            <w:del w:id="9170" w:author="AbbVie14" w:date="2025-05-09T10:34:00Z">
              <w:r w:rsidRPr="00BE2419">
                <w:rPr>
                  <w:sz w:val="22"/>
                  <w:szCs w:val="22"/>
                  <w:lang w:val="it-IT"/>
                  <w:rPrChange w:id="9171" w:author="AbbVie14" w:date="2025-05-09T11:38:00Z">
                    <w:rPr>
                      <w:sz w:val="22"/>
                      <w:szCs w:val="22"/>
                      <w:lang w:val="en-US"/>
                    </w:rPr>
                  </w:rPrChange>
                </w:rPr>
                <w:delText>Bath Ankylosing Spondylitis Disease Activity Index</w:delText>
              </w:r>
            </w:del>
          </w:p>
          <w:p w:rsidR="006224C2" w:rsidRPr="00BE2419" w14:paraId="1BD1893D" w14:textId="77777777">
            <w:pPr>
              <w:keepNext/>
              <w:autoSpaceDE w:val="0"/>
              <w:autoSpaceDN w:val="0"/>
              <w:adjustRightInd w:val="0"/>
              <w:rPr>
                <w:del w:id="9172" w:author="AbbVie14" w:date="2025-05-09T10:34:00Z"/>
                <w:sz w:val="22"/>
                <w:szCs w:val="22"/>
                <w:lang w:val="it-IT"/>
                <w:rPrChange w:id="9173" w:author="AbbVie14" w:date="2025-05-09T11:38:00Z">
                  <w:rPr>
                    <w:sz w:val="22"/>
                    <w:szCs w:val="22"/>
                    <w:lang w:val="en-US"/>
                  </w:rPr>
                </w:rPrChange>
              </w:rPr>
            </w:pPr>
            <w:del w:id="9174" w:author="AbbVie14" w:date="2025-05-09T10:34:00Z">
              <w:r w:rsidRPr="00BE2419">
                <w:rPr>
                  <w:sz w:val="22"/>
                  <w:szCs w:val="22"/>
                  <w:vertAlign w:val="superscript"/>
                  <w:lang w:val="it-IT"/>
                  <w:rPrChange w:id="9175" w:author="AbbVie14" w:date="2025-05-09T11:38:00Z">
                    <w:rPr>
                      <w:sz w:val="22"/>
                      <w:szCs w:val="22"/>
                      <w:vertAlign w:val="superscript"/>
                      <w:lang w:val="en-US"/>
                    </w:rPr>
                  </w:rPrChange>
                </w:rPr>
                <w:delText>c</w:delText>
              </w:r>
            </w:del>
            <w:del w:id="9176" w:author="AbbVie14" w:date="2025-05-09T10:34:00Z">
              <w:r w:rsidRPr="00BE2419">
                <w:rPr>
                  <w:sz w:val="22"/>
                  <w:szCs w:val="22"/>
                  <w:lang w:val="it-IT"/>
                  <w:rPrChange w:id="9177" w:author="AbbVie14" w:date="2025-05-09T11:38:00Z">
                    <w:rPr>
                      <w:sz w:val="22"/>
                      <w:szCs w:val="22"/>
                      <w:lang w:val="en-US"/>
                    </w:rPr>
                  </w:rPrChange>
                </w:rPr>
                <w:delText xml:space="preserve"> Ankylosing Spondylitis Disease Activity Score</w:delText>
              </w:r>
            </w:del>
          </w:p>
          <w:p w:rsidR="006224C2" w:rsidRPr="00295E71" w14:paraId="508ABAE8" w14:textId="77777777">
            <w:pPr>
              <w:keepNext/>
              <w:autoSpaceDE w:val="0"/>
              <w:autoSpaceDN w:val="0"/>
              <w:adjustRightInd w:val="0"/>
              <w:rPr>
                <w:del w:id="9178" w:author="AbbVie14" w:date="2025-05-09T10:34:00Z"/>
                <w:sz w:val="22"/>
                <w:szCs w:val="22"/>
              </w:rPr>
            </w:pPr>
            <w:del w:id="9179" w:author="AbbVie14" w:date="2025-05-09T10:34:00Z">
              <w:r w:rsidRPr="00295E71">
                <w:rPr>
                  <w:sz w:val="22"/>
                  <w:szCs w:val="22"/>
                  <w:vertAlign w:val="superscript"/>
                </w:rPr>
                <w:delText xml:space="preserve">d </w:delText>
              </w:r>
            </w:del>
            <w:del w:id="9180" w:author="AbbVie14" w:date="2025-05-09T10:34:00Z">
              <w:r w:rsidRPr="00295E71">
                <w:rPr>
                  <w:sz w:val="22"/>
                  <w:szCs w:val="22"/>
                </w:rPr>
                <w:delText>deviazione media dal valore basale</w:delText>
              </w:r>
            </w:del>
          </w:p>
          <w:p w:rsidR="006224C2" w:rsidRPr="00295E71" w14:paraId="753136A3" w14:textId="77777777">
            <w:pPr>
              <w:keepNext/>
              <w:autoSpaceDE w:val="0"/>
              <w:autoSpaceDN w:val="0"/>
              <w:adjustRightInd w:val="0"/>
              <w:rPr>
                <w:del w:id="9181" w:author="AbbVie14" w:date="2025-05-09T10:34:00Z"/>
                <w:sz w:val="22"/>
                <w:szCs w:val="22"/>
              </w:rPr>
            </w:pPr>
            <w:del w:id="9182" w:author="AbbVie14" w:date="2025-05-09T10:34:00Z">
              <w:r w:rsidRPr="00295E71">
                <w:rPr>
                  <w:sz w:val="22"/>
                  <w:szCs w:val="22"/>
                  <w:vertAlign w:val="superscript"/>
                </w:rPr>
                <w:delText>e</w:delText>
              </w:r>
            </w:del>
            <w:del w:id="9183" w:author="AbbVie14" w:date="2025-05-09T10:34:00Z">
              <w:r w:rsidRPr="00295E71">
                <w:rPr>
                  <w:sz w:val="22"/>
                  <w:szCs w:val="22"/>
                </w:rPr>
                <w:delText xml:space="preserve"> n=91 con placebo e n=87 con Humira</w:delText>
              </w:r>
            </w:del>
          </w:p>
          <w:p w:rsidR="006224C2" w:rsidRPr="00BE2419" w:rsidP="00357925" w14:paraId="7C09FBAE" w14:textId="77777777">
            <w:pPr>
              <w:keepNext/>
              <w:tabs>
                <w:tab w:val="left" w:pos="567"/>
              </w:tabs>
              <w:autoSpaceDE w:val="0"/>
              <w:autoSpaceDN w:val="0"/>
              <w:adjustRightInd w:val="0"/>
              <w:spacing w:after="60" w:line="260" w:lineRule="exact"/>
              <w:outlineLvl w:val="1"/>
              <w:rPr>
                <w:del w:id="9184" w:author="AbbVie14" w:date="2025-05-09T10:34:00Z"/>
                <w:bCs/>
                <w:iCs/>
                <w:sz w:val="22"/>
                <w:szCs w:val="22"/>
                <w:lang w:val="it-IT" w:eastAsia="en-US"/>
                <w:rPrChange w:id="9185" w:author="AbbVie14" w:date="2025-05-09T11:38:00Z">
                  <w:rPr>
                    <w:bCs/>
                    <w:iCs/>
                    <w:sz w:val="22"/>
                    <w:szCs w:val="22"/>
                    <w:lang w:val="en-US" w:eastAsia="en-US"/>
                  </w:rPr>
                </w:rPrChange>
              </w:rPr>
            </w:pPr>
            <w:del w:id="9186" w:author="AbbVie14" w:date="2025-05-09T10:34:00Z">
              <w:r w:rsidRPr="00BE2419">
                <w:rPr>
                  <w:sz w:val="22"/>
                  <w:szCs w:val="22"/>
                  <w:vertAlign w:val="superscript"/>
                  <w:lang w:val="it-IT"/>
                  <w:rPrChange w:id="9187" w:author="AbbVie14" w:date="2025-05-09T11:38:00Z">
                    <w:rPr>
                      <w:sz w:val="22"/>
                      <w:szCs w:val="22"/>
                      <w:vertAlign w:val="superscript"/>
                      <w:lang w:val="en-US"/>
                    </w:rPr>
                  </w:rPrChange>
                </w:rPr>
                <w:delText>f</w:delText>
              </w:r>
            </w:del>
            <w:del w:id="9188" w:author="AbbVie14" w:date="2025-05-09T10:34:00Z">
              <w:r w:rsidRPr="00BE2419">
                <w:rPr>
                  <w:sz w:val="22"/>
                  <w:szCs w:val="22"/>
                  <w:lang w:val="it-IT"/>
                  <w:rPrChange w:id="9189" w:author="AbbVie14" w:date="2025-05-09T11:38:00Z">
                    <w:rPr>
                      <w:sz w:val="22"/>
                      <w:szCs w:val="22"/>
                      <w:lang w:val="en-US"/>
                    </w:rPr>
                  </w:rPrChange>
                </w:rPr>
                <w:delText xml:space="preserve"> high sensitivity C-Reactive Protein (mg/L)</w:delText>
              </w:r>
            </w:del>
          </w:p>
          <w:p w:rsidR="006224C2" w:rsidRPr="00F01EAB" w14:paraId="260934C7" w14:textId="77777777">
            <w:pPr>
              <w:keepNext/>
              <w:autoSpaceDE w:val="0"/>
              <w:autoSpaceDN w:val="0"/>
              <w:adjustRightInd w:val="0"/>
              <w:rPr>
                <w:del w:id="9190" w:author="AbbVie14" w:date="2025-05-09T10:34:00Z"/>
                <w:sz w:val="22"/>
                <w:szCs w:val="22"/>
              </w:rPr>
            </w:pPr>
            <w:del w:id="9191" w:author="AbbVie14" w:date="2025-05-09T10:34:00Z">
              <w:r w:rsidRPr="00F01EAB">
                <w:rPr>
                  <w:sz w:val="22"/>
                  <w:szCs w:val="22"/>
                  <w:vertAlign w:val="superscript"/>
                </w:rPr>
                <w:delText>g</w:delText>
              </w:r>
            </w:del>
            <w:del w:id="9192" w:author="AbbVie14" w:date="2025-05-09T10:34:00Z">
              <w:r w:rsidRPr="00F01EAB">
                <w:rPr>
                  <w:sz w:val="22"/>
                  <w:szCs w:val="22"/>
                </w:rPr>
                <w:delText xml:space="preserve"> n=73 con placebo e n=7 con Humira</w:delText>
              </w:r>
            </w:del>
          </w:p>
          <w:p w:rsidR="006224C2" w:rsidRPr="00C04163" w14:paraId="4A3A85CB" w14:textId="77777777">
            <w:pPr>
              <w:keepNext/>
              <w:autoSpaceDE w:val="0"/>
              <w:autoSpaceDN w:val="0"/>
              <w:adjustRightInd w:val="0"/>
              <w:rPr>
                <w:del w:id="9193" w:author="AbbVie14" w:date="2025-05-09T10:34:00Z"/>
                <w:sz w:val="22"/>
                <w:szCs w:val="22"/>
                <w:lang w:val="pt-PT"/>
              </w:rPr>
            </w:pPr>
            <w:del w:id="9194" w:author="AbbVie14" w:date="2025-05-09T10:34:00Z">
              <w:r w:rsidRPr="00C04163">
                <w:rPr>
                  <w:sz w:val="22"/>
                  <w:szCs w:val="22"/>
                  <w:vertAlign w:val="superscript"/>
                  <w:lang w:val="pt-PT"/>
                </w:rPr>
                <w:delText>h</w:delText>
              </w:r>
            </w:del>
            <w:del w:id="9195" w:author="AbbVie14" w:date="2025-05-09T10:34:00Z">
              <w:r w:rsidRPr="00C04163">
                <w:rPr>
                  <w:sz w:val="22"/>
                  <w:szCs w:val="22"/>
                  <w:lang w:val="pt-PT"/>
                </w:rPr>
                <w:delText xml:space="preserve"> Spondyloarthritis Research Consortium of Canada</w:delText>
              </w:r>
            </w:del>
          </w:p>
          <w:p w:rsidR="006224C2" w:rsidRPr="00295E71" w14:paraId="422B8BDF" w14:textId="77777777">
            <w:pPr>
              <w:keepNext/>
              <w:autoSpaceDE w:val="0"/>
              <w:autoSpaceDN w:val="0"/>
              <w:adjustRightInd w:val="0"/>
              <w:rPr>
                <w:del w:id="9196" w:author="AbbVie14" w:date="2025-05-09T10:34:00Z"/>
                <w:sz w:val="22"/>
                <w:szCs w:val="22"/>
              </w:rPr>
            </w:pPr>
            <w:del w:id="9197" w:author="AbbVie14" w:date="2025-05-09T10:34:00Z">
              <w:r w:rsidRPr="00295E71">
                <w:rPr>
                  <w:sz w:val="22"/>
                  <w:szCs w:val="22"/>
                  <w:vertAlign w:val="superscript"/>
                </w:rPr>
                <w:delText>i</w:delText>
              </w:r>
            </w:del>
            <w:del w:id="9198" w:author="AbbVie14" w:date="2025-05-09T10:34:00Z">
              <w:r w:rsidRPr="00295E71">
                <w:rPr>
                  <w:sz w:val="22"/>
                  <w:szCs w:val="22"/>
                </w:rPr>
                <w:delText xml:space="preserve"> n=84 con placebo e Humira</w:delText>
              </w:r>
            </w:del>
          </w:p>
          <w:p w:rsidR="006224C2" w:rsidRPr="00295E71" w14:paraId="1BA1BCA9" w14:textId="77777777">
            <w:pPr>
              <w:keepNext/>
              <w:autoSpaceDE w:val="0"/>
              <w:autoSpaceDN w:val="0"/>
              <w:adjustRightInd w:val="0"/>
              <w:rPr>
                <w:del w:id="9199" w:author="AbbVie14" w:date="2025-05-09T10:34:00Z"/>
                <w:sz w:val="22"/>
                <w:szCs w:val="22"/>
              </w:rPr>
            </w:pPr>
            <w:del w:id="9200" w:author="AbbVie14" w:date="2025-05-09T10:34:00Z">
              <w:r w:rsidRPr="00295E71">
                <w:rPr>
                  <w:sz w:val="22"/>
                  <w:szCs w:val="22"/>
                  <w:vertAlign w:val="superscript"/>
                </w:rPr>
                <w:delText>j</w:delText>
              </w:r>
            </w:del>
            <w:del w:id="9201" w:author="AbbVie14" w:date="2025-05-09T10:34:00Z">
              <w:r w:rsidRPr="00295E71">
                <w:rPr>
                  <w:sz w:val="22"/>
                  <w:szCs w:val="22"/>
                </w:rPr>
                <w:delText xml:space="preserve"> n=84 con placebo e n=85 con Humira</w:delText>
              </w:r>
            </w:del>
          </w:p>
          <w:p w:rsidR="006224C2" w:rsidRPr="00295E71" w:rsidP="00357925" w14:paraId="26CF6049" w14:textId="77777777">
            <w:pPr>
              <w:keepNext/>
              <w:autoSpaceDE w:val="0"/>
              <w:autoSpaceDN w:val="0"/>
              <w:adjustRightInd w:val="0"/>
              <w:rPr>
                <w:del w:id="9202" w:author="AbbVie14" w:date="2025-05-09T10:34:00Z"/>
                <w:sz w:val="22"/>
                <w:szCs w:val="22"/>
              </w:rPr>
            </w:pPr>
            <w:del w:id="9203" w:author="AbbVie14" w:date="2025-05-09T10:34:00Z">
              <w:r w:rsidRPr="00295E71">
                <w:rPr>
                  <w:sz w:val="22"/>
                  <w:szCs w:val="22"/>
                </w:rPr>
                <w:delText>***,**,* Statisticamente significativa a p&lt;0,001, &lt;0,01, e &lt;0,05, per tutti i valori messi a confronto tra Humira e placebo.</w:delText>
              </w:r>
            </w:del>
          </w:p>
        </w:tc>
      </w:tr>
    </w:tbl>
    <w:p w:rsidR="006224C2" w:rsidRPr="00BF509C" w14:paraId="29684B65" w14:textId="77777777">
      <w:pPr>
        <w:pStyle w:val="EMEATitle"/>
        <w:suppressAutoHyphens w:val="0"/>
        <w:jc w:val="left"/>
        <w:rPr>
          <w:del w:id="9204" w:author="AbbVie14" w:date="2025-05-09T10:34:00Z"/>
          <w:rFonts w:ascii="Times New Roman" w:hAnsi="Times New Roman"/>
          <w:b w:val="0"/>
          <w:caps w:val="0"/>
          <w:lang w:val="it-IT" w:eastAsia="it-IT"/>
        </w:rPr>
      </w:pPr>
    </w:p>
    <w:p w:rsidR="006224C2" w:rsidRPr="00295E71" w14:paraId="21212641" w14:textId="77777777">
      <w:pPr>
        <w:pStyle w:val="EMEATitle"/>
        <w:suppressAutoHyphens w:val="0"/>
        <w:jc w:val="both"/>
        <w:rPr>
          <w:del w:id="9205" w:author="AbbVie14" w:date="2025-05-09T10:34:00Z"/>
          <w:rFonts w:ascii="Times New Roman" w:hAnsi="Times New Roman"/>
          <w:b w:val="0"/>
          <w:caps w:val="0"/>
          <w:lang w:val="it-IT" w:eastAsia="it-IT"/>
        </w:rPr>
      </w:pPr>
      <w:del w:id="9206" w:author="AbbVie14" w:date="2025-05-09T10:34:00Z">
        <w:r w:rsidRPr="00295E71">
          <w:rPr>
            <w:rFonts w:ascii="Times New Roman" w:hAnsi="Times New Roman"/>
            <w:b w:val="0"/>
            <w:caps w:val="0"/>
            <w:lang w:val="it-IT" w:eastAsia="it-IT"/>
          </w:rPr>
          <w:delText>Nell’estensione in aperto, il miglioramento dei segni e sintomi è stato mantenuto con la terapia con Humira fino alla settimana 156.</w:delText>
        </w:r>
      </w:del>
    </w:p>
    <w:p w:rsidR="006224C2" w:rsidRPr="00295E71" w14:paraId="0FC546CF" w14:textId="77777777">
      <w:pPr>
        <w:pStyle w:val="EMEATitle"/>
        <w:suppressAutoHyphens w:val="0"/>
        <w:jc w:val="both"/>
        <w:rPr>
          <w:del w:id="9207" w:author="AbbVie14" w:date="2025-05-09T10:34:00Z"/>
          <w:rFonts w:ascii="Times New Roman" w:hAnsi="Times New Roman"/>
          <w:b w:val="0"/>
          <w:caps w:val="0"/>
          <w:lang w:val="it-IT" w:eastAsia="it-IT"/>
        </w:rPr>
      </w:pPr>
    </w:p>
    <w:p w:rsidR="006224C2" w:rsidRPr="00295E71" w:rsidP="003B3A5A" w14:paraId="1E3A39B6" w14:textId="77777777">
      <w:pPr>
        <w:pStyle w:val="EMEATitle"/>
        <w:keepNext/>
        <w:suppressAutoHyphens w:val="0"/>
        <w:jc w:val="both"/>
        <w:rPr>
          <w:del w:id="9208" w:author="AbbVie14" w:date="2025-05-09T10:34:00Z"/>
          <w:rFonts w:ascii="Times New Roman" w:hAnsi="Times New Roman"/>
          <w:b w:val="0"/>
          <w:caps w:val="0"/>
          <w:lang w:val="it-IT" w:eastAsia="it-IT"/>
        </w:rPr>
      </w:pPr>
      <w:del w:id="9209" w:author="AbbVie14" w:date="2025-05-09T10:34:00Z">
        <w:r w:rsidRPr="00295E71">
          <w:rPr>
            <w:rFonts w:ascii="Times New Roman" w:hAnsi="Times New Roman"/>
            <w:b w:val="0"/>
            <w:caps w:val="0"/>
            <w:lang w:val="it-IT" w:eastAsia="it-IT"/>
          </w:rPr>
          <w:delText>Inibizione dell’infiammazione</w:delText>
        </w:r>
      </w:del>
    </w:p>
    <w:p w:rsidR="006224C2" w:rsidRPr="00295E71" w:rsidP="003B3A5A" w14:paraId="3AC4ABAC" w14:textId="77777777">
      <w:pPr>
        <w:pStyle w:val="EMEATitle"/>
        <w:keepNext/>
        <w:suppressAutoHyphens w:val="0"/>
        <w:jc w:val="both"/>
        <w:rPr>
          <w:del w:id="9210" w:author="AbbVie14" w:date="2025-05-09T10:34:00Z"/>
          <w:rFonts w:ascii="Times New Roman" w:hAnsi="Times New Roman"/>
          <w:b w:val="0"/>
          <w:caps w:val="0"/>
          <w:lang w:val="it-IT" w:eastAsia="it-IT"/>
        </w:rPr>
      </w:pPr>
    </w:p>
    <w:p w:rsidR="006224C2" w:rsidRPr="00295E71" w:rsidP="003B3A5A" w14:paraId="25FAB3F0" w14:textId="77777777">
      <w:pPr>
        <w:pStyle w:val="EMEATitle"/>
        <w:keepNext/>
        <w:suppressAutoHyphens w:val="0"/>
        <w:jc w:val="both"/>
        <w:rPr>
          <w:del w:id="9211" w:author="AbbVie14" w:date="2025-05-09T10:34:00Z"/>
          <w:rFonts w:ascii="Times New Roman" w:hAnsi="Times New Roman"/>
          <w:b w:val="0"/>
          <w:caps w:val="0"/>
          <w:lang w:val="it-IT" w:eastAsia="it-IT"/>
        </w:rPr>
      </w:pPr>
      <w:del w:id="9212" w:author="AbbVie14" w:date="2025-05-09T10:34:00Z">
        <w:r w:rsidRPr="00295E71">
          <w:rPr>
            <w:rFonts w:ascii="Times New Roman" w:hAnsi="Times New Roman"/>
            <w:b w:val="0"/>
            <w:caps w:val="0"/>
            <w:lang w:val="it-IT" w:eastAsia="it-IT"/>
          </w:rPr>
          <w:delText>Un miglioramento significativo dei segni dell’infiammazione, come</w:delText>
        </w:r>
      </w:del>
      <w:del w:id="9213" w:author="AbbVie14" w:date="2025-05-09T10:34:00Z">
        <w:r w:rsidR="00420BF3">
          <w:rPr>
            <w:rFonts w:ascii="Times New Roman" w:hAnsi="Times New Roman"/>
            <w:b w:val="0"/>
            <w:caps w:val="0"/>
            <w:lang w:val="it-IT" w:eastAsia="it-IT"/>
          </w:rPr>
          <w:delText xml:space="preserve"> </w:delText>
        </w:r>
      </w:del>
      <w:del w:id="9214" w:author="AbbVie14" w:date="2025-05-09T10:34:00Z">
        <w:r w:rsidRPr="00295E71">
          <w:rPr>
            <w:rFonts w:ascii="Times New Roman" w:hAnsi="Times New Roman"/>
            <w:b w:val="0"/>
            <w:caps w:val="0"/>
            <w:lang w:val="it-IT" w:eastAsia="it-IT"/>
          </w:rPr>
          <w:delText>mostrato dai livelli di hs-</w:delText>
        </w:r>
      </w:del>
      <w:del w:id="9215" w:author="AbbVie14" w:date="2025-05-09T10:34:00Z">
        <w:r w:rsidR="008858DF">
          <w:rPr>
            <w:rFonts w:ascii="Times New Roman" w:hAnsi="Times New Roman"/>
            <w:b w:val="0"/>
            <w:caps w:val="0"/>
            <w:lang w:val="it-IT" w:eastAsia="it-IT"/>
          </w:rPr>
          <w:delText>PCR</w:delText>
        </w:r>
      </w:del>
      <w:del w:id="9216" w:author="AbbVie14" w:date="2025-05-09T10:34:00Z">
        <w:r w:rsidRPr="00295E71" w:rsidR="008858DF">
          <w:rPr>
            <w:rFonts w:ascii="Times New Roman" w:hAnsi="Times New Roman"/>
            <w:b w:val="0"/>
            <w:caps w:val="0"/>
            <w:lang w:val="it-IT" w:eastAsia="it-IT"/>
          </w:rPr>
          <w:delText xml:space="preserve"> </w:delText>
        </w:r>
      </w:del>
      <w:del w:id="9217" w:author="AbbVie14" w:date="2025-05-09T10:34:00Z">
        <w:r w:rsidRPr="00295E71">
          <w:rPr>
            <w:rFonts w:ascii="Times New Roman" w:hAnsi="Times New Roman"/>
            <w:b w:val="0"/>
            <w:caps w:val="0"/>
            <w:lang w:val="it-IT" w:eastAsia="it-IT"/>
          </w:rPr>
          <w:delText>e dai segni alla MRI sia per le</w:delText>
        </w:r>
      </w:del>
      <w:del w:id="9218" w:author="AbbVie14" w:date="2025-05-09T10:34:00Z">
        <w:r w:rsidRPr="00295E71" w:rsidR="00A82609">
          <w:rPr>
            <w:rFonts w:ascii="Times New Roman" w:hAnsi="Times New Roman"/>
            <w:b w:val="0"/>
            <w:caps w:val="0"/>
            <w:lang w:val="it-IT" w:eastAsia="it-IT"/>
          </w:rPr>
          <w:delText xml:space="preserve"> </w:delText>
        </w:r>
      </w:del>
      <w:del w:id="9219" w:author="AbbVie14" w:date="2025-05-09T10:34:00Z">
        <w:r w:rsidRPr="00295E71">
          <w:rPr>
            <w:rFonts w:ascii="Times New Roman" w:hAnsi="Times New Roman"/>
            <w:b w:val="0"/>
            <w:caps w:val="0"/>
            <w:lang w:val="it-IT" w:eastAsia="it-IT"/>
          </w:rPr>
          <w:delText xml:space="preserve">articolazioni sacroiliache sia per la colonna vertebrale, è stato mantenuto </w:delText>
        </w:r>
      </w:del>
      <w:del w:id="9220" w:author="AbbVie14" w:date="2025-05-09T10:34:00Z">
        <w:r w:rsidRPr="00020442" w:rsidR="00420BF3">
          <w:rPr>
            <w:rFonts w:ascii="Times New Roman" w:hAnsi="Times New Roman"/>
            <w:b w:val="0"/>
            <w:caps w:val="0"/>
            <w:lang w:val="it-IT" w:eastAsia="it-IT"/>
          </w:rPr>
          <w:delText xml:space="preserve">nei pazienti trattati con Humira </w:delText>
        </w:r>
      </w:del>
      <w:del w:id="9221" w:author="AbbVie14" w:date="2025-05-09T10:34:00Z">
        <w:r w:rsidRPr="00295E71">
          <w:rPr>
            <w:rFonts w:ascii="Times New Roman" w:hAnsi="Times New Roman"/>
            <w:b w:val="0"/>
            <w:caps w:val="0"/>
            <w:lang w:val="it-IT" w:eastAsia="it-IT"/>
          </w:rPr>
          <w:delText>rispettivamente fino alla settimana 156 e la settimana 104.</w:delText>
        </w:r>
      </w:del>
    </w:p>
    <w:p w:rsidR="006224C2" w:rsidRPr="00295E71" w14:paraId="1DD5B87C" w14:textId="77777777">
      <w:pPr>
        <w:pStyle w:val="EMEATitle"/>
        <w:suppressAutoHyphens w:val="0"/>
        <w:jc w:val="both"/>
        <w:rPr>
          <w:del w:id="9222" w:author="AbbVie14" w:date="2025-05-09T10:34:00Z"/>
          <w:rFonts w:ascii="Times New Roman" w:hAnsi="Times New Roman"/>
          <w:b w:val="0"/>
          <w:caps w:val="0"/>
          <w:lang w:val="it-IT" w:eastAsia="it-IT"/>
        </w:rPr>
      </w:pPr>
    </w:p>
    <w:p w:rsidR="006224C2" w:rsidRPr="00295E71" w:rsidP="00F57FE5" w14:paraId="2B132CAA" w14:textId="77777777">
      <w:pPr>
        <w:pStyle w:val="EMEATitle"/>
        <w:keepNext/>
        <w:keepLines/>
        <w:suppressAutoHyphens w:val="0"/>
        <w:jc w:val="both"/>
        <w:rPr>
          <w:del w:id="9223" w:author="AbbVie14" w:date="2025-05-09T10:34:00Z"/>
          <w:rFonts w:ascii="Times New Roman" w:hAnsi="Times New Roman"/>
          <w:b w:val="0"/>
          <w:caps w:val="0"/>
          <w:lang w:val="it-IT" w:eastAsia="it-IT"/>
        </w:rPr>
      </w:pPr>
      <w:del w:id="9224" w:author="AbbVie14" w:date="2025-05-09T10:34:00Z">
        <w:r w:rsidRPr="00295E71">
          <w:rPr>
            <w:rFonts w:ascii="Times New Roman" w:hAnsi="Times New Roman"/>
            <w:b w:val="0"/>
            <w:caps w:val="0"/>
            <w:lang w:val="it-IT" w:eastAsia="it-IT"/>
          </w:rPr>
          <w:delText>Qualità della vita e funzionalità fisica</w:delText>
        </w:r>
      </w:del>
    </w:p>
    <w:p w:rsidR="006224C2" w:rsidRPr="00295E71" w:rsidP="00F57FE5" w14:paraId="19A53167" w14:textId="77777777">
      <w:pPr>
        <w:pStyle w:val="EMEATitle"/>
        <w:keepNext/>
        <w:keepLines/>
        <w:suppressAutoHyphens w:val="0"/>
        <w:jc w:val="both"/>
        <w:rPr>
          <w:del w:id="9225" w:author="AbbVie14" w:date="2025-05-09T10:34:00Z"/>
          <w:rFonts w:ascii="Times New Roman" w:hAnsi="Times New Roman"/>
          <w:b w:val="0"/>
          <w:caps w:val="0"/>
          <w:lang w:val="it-IT" w:eastAsia="it-IT"/>
        </w:rPr>
      </w:pPr>
    </w:p>
    <w:p w:rsidR="006224C2" w:rsidRPr="00295E71" w:rsidP="00F57FE5" w14:paraId="7165065F" w14:textId="77777777">
      <w:pPr>
        <w:pStyle w:val="EMEATitle"/>
        <w:keepNext/>
        <w:keepLines/>
        <w:suppressAutoHyphens w:val="0"/>
        <w:jc w:val="both"/>
        <w:rPr>
          <w:del w:id="9226" w:author="AbbVie14" w:date="2025-05-09T10:34:00Z"/>
          <w:rFonts w:ascii="Times New Roman" w:hAnsi="Times New Roman"/>
          <w:b w:val="0"/>
          <w:caps w:val="0"/>
          <w:lang w:val="it-IT" w:eastAsia="it-IT"/>
        </w:rPr>
      </w:pPr>
      <w:del w:id="9227" w:author="AbbVie14" w:date="2025-05-09T10:34:00Z">
        <w:r w:rsidRPr="00295E71">
          <w:rPr>
            <w:rFonts w:ascii="Times New Roman" w:hAnsi="Times New Roman"/>
            <w:b w:val="0"/>
            <w:caps w:val="0"/>
            <w:lang w:val="it-IT" w:eastAsia="it-IT"/>
          </w:rPr>
          <w:delText>La qualità di vita correlata allo stato di salute e la funzionalità fisica sono state valutate utilizzando i questionari HAQ-S e il SF-36. Humira ha dimostrato,</w:delText>
        </w:r>
      </w:del>
      <w:del w:id="9228" w:author="AbbVie14" w:date="2025-05-09T10:34:00Z">
        <w:r w:rsidR="00420BF3">
          <w:rPr>
            <w:rFonts w:ascii="Times New Roman" w:hAnsi="Times New Roman"/>
            <w:b w:val="0"/>
            <w:caps w:val="0"/>
            <w:lang w:val="it-IT" w:eastAsia="it-IT"/>
          </w:rPr>
          <w:delText xml:space="preserve"> </w:delText>
        </w:r>
      </w:del>
      <w:del w:id="9229" w:author="AbbVie14" w:date="2025-05-09T10:34:00Z">
        <w:r w:rsidRPr="00295E71">
          <w:rPr>
            <w:rFonts w:ascii="Times New Roman" w:hAnsi="Times New Roman"/>
            <w:b w:val="0"/>
            <w:caps w:val="0"/>
            <w:lang w:val="it-IT" w:eastAsia="it-IT"/>
          </w:rPr>
          <w:delText>alla settimana 12, un miglioramento dal basale</w:delText>
        </w:r>
      </w:del>
      <w:del w:id="9230" w:author="AbbVie14" w:date="2025-05-09T10:34:00Z">
        <w:r w:rsidR="00420BF3">
          <w:rPr>
            <w:rFonts w:ascii="Times New Roman" w:hAnsi="Times New Roman"/>
            <w:b w:val="0"/>
            <w:caps w:val="0"/>
            <w:lang w:val="it-IT" w:eastAsia="it-IT"/>
          </w:rPr>
          <w:delText xml:space="preserve"> </w:delText>
        </w:r>
      </w:del>
      <w:del w:id="9231" w:author="AbbVie14" w:date="2025-05-09T10:34:00Z">
        <w:r w:rsidRPr="00020442" w:rsidR="00420BF3">
          <w:rPr>
            <w:rFonts w:ascii="Times New Roman" w:hAnsi="Times New Roman"/>
            <w:b w:val="0"/>
            <w:caps w:val="0"/>
            <w:lang w:val="it-IT" w:eastAsia="it-IT"/>
          </w:rPr>
          <w:delText>maggiore in misura</w:delText>
        </w:r>
      </w:del>
      <w:del w:id="9232" w:author="AbbVie14" w:date="2025-05-09T10:34:00Z">
        <w:r w:rsidRPr="00295E71">
          <w:rPr>
            <w:rFonts w:ascii="Times New Roman" w:hAnsi="Times New Roman"/>
            <w:b w:val="0"/>
            <w:caps w:val="0"/>
            <w:lang w:val="it-IT" w:eastAsia="it-IT"/>
          </w:rPr>
          <w:delText xml:space="preserve"> statisticamente significativ</w:delText>
        </w:r>
      </w:del>
      <w:del w:id="9233" w:author="AbbVie14" w:date="2025-05-09T10:34:00Z">
        <w:r w:rsidR="00420BF3">
          <w:rPr>
            <w:rFonts w:ascii="Times New Roman" w:hAnsi="Times New Roman"/>
            <w:b w:val="0"/>
            <w:caps w:val="0"/>
            <w:lang w:val="it-IT" w:eastAsia="it-IT"/>
          </w:rPr>
          <w:delText>a</w:delText>
        </w:r>
      </w:del>
      <w:del w:id="9234" w:author="AbbVie14" w:date="2025-05-09T10:34:00Z">
        <w:r w:rsidRPr="00295E71">
          <w:rPr>
            <w:rFonts w:ascii="Times New Roman" w:hAnsi="Times New Roman"/>
            <w:b w:val="0"/>
            <w:caps w:val="0"/>
            <w:lang w:val="it-IT" w:eastAsia="it-IT"/>
          </w:rPr>
          <w:delText xml:space="preserve"> rispetto al placebo nel punteggio dell’HAQ-S totale e nel Physical Component Score </w:delText>
        </w:r>
      </w:del>
      <w:del w:id="9235" w:author="AbbVie14" w:date="2025-05-09T10:34:00Z">
        <w:r w:rsidR="00420BF3">
          <w:rPr>
            <w:rFonts w:ascii="Times New Roman" w:hAnsi="Times New Roman"/>
            <w:b w:val="0"/>
            <w:caps w:val="0"/>
            <w:lang w:val="it-IT" w:eastAsia="it-IT"/>
          </w:rPr>
          <w:delText xml:space="preserve">(PCS) </w:delText>
        </w:r>
      </w:del>
      <w:del w:id="9236" w:author="AbbVie14" w:date="2025-05-09T10:34:00Z">
        <w:r w:rsidRPr="00295E71">
          <w:rPr>
            <w:rFonts w:ascii="Times New Roman" w:hAnsi="Times New Roman"/>
            <w:b w:val="0"/>
            <w:caps w:val="0"/>
            <w:lang w:val="it-IT" w:eastAsia="it-IT"/>
          </w:rPr>
          <w:delText>dell’SF-36. Un miglioramento della qualità di vita correlata alla salute e della funzionalità fisica è stato mantenuto durante l’estensione in aperto</w:delText>
        </w:r>
      </w:del>
      <w:del w:id="9237" w:author="AbbVie14" w:date="2025-05-09T10:34:00Z">
        <w:r w:rsidR="00420BF3">
          <w:rPr>
            <w:rFonts w:ascii="Times New Roman" w:hAnsi="Times New Roman"/>
            <w:b w:val="0"/>
            <w:caps w:val="0"/>
            <w:lang w:val="it-IT" w:eastAsia="it-IT"/>
          </w:rPr>
          <w:delText xml:space="preserve"> </w:delText>
        </w:r>
      </w:del>
      <w:del w:id="9238" w:author="AbbVie14" w:date="2025-05-09T10:34:00Z">
        <w:r w:rsidRPr="00295E71">
          <w:rPr>
            <w:rFonts w:ascii="Times New Roman" w:hAnsi="Times New Roman"/>
            <w:b w:val="0"/>
            <w:caps w:val="0"/>
            <w:lang w:val="it-IT" w:eastAsia="it-IT"/>
          </w:rPr>
          <w:delText>fino alla settimana 156.</w:delText>
        </w:r>
      </w:del>
    </w:p>
    <w:p w:rsidR="00897CDF" w:rsidRPr="00295E71" w:rsidP="00357925" w14:paraId="4BB24F11" w14:textId="77777777">
      <w:pPr>
        <w:pStyle w:val="EMEATitle"/>
        <w:suppressAutoHyphens w:val="0"/>
        <w:jc w:val="both"/>
        <w:rPr>
          <w:del w:id="9239" w:author="AbbVie14" w:date="2025-05-09T10:34:00Z"/>
          <w:rFonts w:ascii="Times New Roman" w:hAnsi="Times New Roman"/>
          <w:b w:val="0"/>
          <w:caps w:val="0"/>
          <w:lang w:val="it-IT" w:eastAsia="it-IT"/>
        </w:rPr>
      </w:pPr>
    </w:p>
    <w:p w:rsidR="00897CDF" w:rsidRPr="00295E71" w:rsidP="00357925" w14:paraId="12901007" w14:textId="77777777">
      <w:pPr>
        <w:keepNext/>
        <w:keepLines/>
        <w:tabs>
          <w:tab w:val="left" w:pos="562"/>
        </w:tabs>
        <w:suppressAutoHyphens/>
        <w:rPr>
          <w:del w:id="9240" w:author="AbbVie14" w:date="2025-05-09T10:34:00Z"/>
          <w:sz w:val="22"/>
          <w:szCs w:val="22"/>
          <w:lang w:eastAsia="en-US"/>
        </w:rPr>
      </w:pPr>
      <w:del w:id="9241" w:author="AbbVie14" w:date="2025-05-09T10:34:00Z">
        <w:r w:rsidRPr="00295E71">
          <w:rPr>
            <w:sz w:val="22"/>
            <w:szCs w:val="22"/>
            <w:lang w:eastAsia="en-US"/>
          </w:rPr>
          <w:delText>Studio nr-axSpA II</w:delText>
        </w:r>
      </w:del>
    </w:p>
    <w:p w:rsidR="00897CDF" w:rsidRPr="00295E71" w:rsidP="00357925" w14:paraId="3BC38FA5" w14:textId="77777777">
      <w:pPr>
        <w:keepNext/>
        <w:keepLines/>
        <w:tabs>
          <w:tab w:val="left" w:pos="562"/>
        </w:tabs>
        <w:suppressAutoHyphens/>
        <w:rPr>
          <w:del w:id="9242" w:author="AbbVie14" w:date="2025-05-09T10:34:00Z"/>
          <w:sz w:val="22"/>
          <w:szCs w:val="22"/>
          <w:lang w:eastAsia="en-US"/>
        </w:rPr>
      </w:pPr>
    </w:p>
    <w:p w:rsidR="00897CDF" w:rsidRPr="00295E71" w:rsidP="003C4CAF" w14:paraId="586A8222" w14:textId="77777777">
      <w:pPr>
        <w:tabs>
          <w:tab w:val="left" w:pos="562"/>
        </w:tabs>
        <w:suppressAutoHyphens/>
        <w:rPr>
          <w:del w:id="9243" w:author="AbbVie14" w:date="2025-05-09T10:34:00Z"/>
          <w:sz w:val="22"/>
          <w:szCs w:val="22"/>
          <w:lang w:eastAsia="en-US"/>
        </w:rPr>
      </w:pPr>
      <w:del w:id="9244" w:author="AbbVie14" w:date="2025-05-09T10:34:00Z">
        <w:r w:rsidRPr="00295E71">
          <w:rPr>
            <w:sz w:val="22"/>
            <w:szCs w:val="22"/>
            <w:lang w:eastAsia="en-US"/>
          </w:rPr>
          <w:delText>Seicentosettantatre (673)</w:delText>
        </w:r>
      </w:del>
      <w:del w:id="9245" w:author="AbbVie14" w:date="2025-05-09T10:34:00Z">
        <w:r w:rsidR="003C4CAF">
          <w:rPr>
            <w:sz w:val="22"/>
            <w:szCs w:val="22"/>
            <w:lang w:eastAsia="en-US"/>
          </w:rPr>
          <w:delText xml:space="preserve"> </w:delText>
        </w:r>
      </w:del>
      <w:del w:id="9246" w:author="AbbVie14" w:date="2025-05-09T10:34:00Z">
        <w:r w:rsidRPr="00295E71">
          <w:rPr>
            <w:sz w:val="22"/>
            <w:szCs w:val="22"/>
            <w:lang w:eastAsia="en-US"/>
          </w:rPr>
          <w:delText>pazienti con nr-axSpA attiva (attività media di malattia al basale [</w:delText>
        </w:r>
      </w:del>
      <w:del w:id="9247" w:author="AbbVie14" w:date="2025-05-09T10:34:00Z">
        <w:r w:rsidRPr="00295E71">
          <w:rPr>
            <w:i/>
            <w:sz w:val="22"/>
            <w:szCs w:val="22"/>
            <w:lang w:eastAsia="en-US"/>
          </w:rPr>
          <w:delText>mean baseline disease activity</w:delText>
        </w:r>
      </w:del>
      <w:del w:id="9248" w:author="AbbVie14" w:date="2025-05-09T10:34:00Z">
        <w:r w:rsidRPr="00295E71">
          <w:rPr>
            <w:sz w:val="22"/>
            <w:szCs w:val="22"/>
            <w:lang w:eastAsia="en-US"/>
          </w:rPr>
          <w:delText xml:space="preserve">, BASDAI] pari a 7,0) e risposta inadeguata a </w:delText>
        </w:r>
      </w:del>
      <w:del w:id="9249" w:author="AbbVie14" w:date="2025-05-09T10:34:00Z">
        <w:r w:rsidRPr="00295E71">
          <w:rPr>
            <w:rFonts w:ascii="Symbol" w:hAnsi="Symbol"/>
            <w:sz w:val="22"/>
            <w:szCs w:val="22"/>
            <w:lang w:eastAsia="en-US"/>
          </w:rPr>
          <w:sym w:font="Symbol" w:char="F0B3"/>
        </w:r>
      </w:del>
      <w:del w:id="9250" w:author="AbbVie14" w:date="2025-05-09T10:34:00Z">
        <w:r w:rsidRPr="00295E71">
          <w:rPr>
            <w:sz w:val="22"/>
            <w:szCs w:val="22"/>
            <w:lang w:eastAsia="en-US"/>
          </w:rPr>
          <w:delText> 2 FANS, oppure intolleranza o controindicazione ai FANS, sono stati arruolati nel periodo in aperto dello studio nr-axSpA II, durante il quale hanno ricevuto Humira 40 mg a settimane alterne per 28 settimane. Questi pazienti presentavano anche evidenza obiettiva di infiammazione alle articolazioni sacroiliache o alla colonna vertebrale alla RM o una hs-</w:delText>
        </w:r>
      </w:del>
      <w:del w:id="9251" w:author="AbbVie14" w:date="2025-05-09T10:34:00Z">
        <w:r w:rsidR="008858DF">
          <w:rPr>
            <w:sz w:val="22"/>
            <w:szCs w:val="22"/>
            <w:lang w:eastAsia="en-US"/>
          </w:rPr>
          <w:delText>PCR</w:delText>
        </w:r>
      </w:del>
      <w:del w:id="9252" w:author="AbbVie14" w:date="2025-05-09T10:34:00Z">
        <w:r w:rsidRPr="00295E71">
          <w:rPr>
            <w:sz w:val="22"/>
            <w:szCs w:val="22"/>
            <w:lang w:eastAsia="en-US"/>
          </w:rPr>
          <w:delText xml:space="preserve"> elevata. I pazienti che avevano ottenuto una remissione du</w:delText>
        </w:r>
      </w:del>
      <w:del w:id="9253" w:author="AbbVie14" w:date="2025-05-09T10:34:00Z">
        <w:r w:rsidRPr="00295E71" w:rsidR="00BE67DE">
          <w:rPr>
            <w:sz w:val="22"/>
            <w:szCs w:val="22"/>
            <w:lang w:eastAsia="en-US"/>
          </w:rPr>
          <w:delText>ratura per almeno 12 </w:delText>
        </w:r>
      </w:del>
      <w:del w:id="9254" w:author="AbbVie14" w:date="2025-05-09T10:34:00Z">
        <w:r w:rsidRPr="00295E71" w:rsidR="00F83DC3">
          <w:rPr>
            <w:sz w:val="22"/>
            <w:szCs w:val="22"/>
            <w:lang w:eastAsia="en-US"/>
          </w:rPr>
          <w:delText>settimane (N=305) (ASDAS &lt;</w:delText>
        </w:r>
      </w:del>
      <w:del w:id="9255" w:author="AbbVie14" w:date="2025-05-09T10:34:00Z">
        <w:r w:rsidR="003C4CAF">
          <w:rPr>
            <w:sz w:val="22"/>
            <w:szCs w:val="22"/>
            <w:lang w:eastAsia="en-US"/>
          </w:rPr>
          <w:delText> </w:delText>
        </w:r>
      </w:del>
      <w:del w:id="9256" w:author="AbbVie14" w:date="2025-05-09T10:34:00Z">
        <w:r w:rsidRPr="00295E71">
          <w:rPr>
            <w:sz w:val="22"/>
            <w:szCs w:val="22"/>
            <w:lang w:eastAsia="en-US"/>
          </w:rPr>
          <w:delText>1,3 alle settimane 16, 20, 24 e 28) durante il periodo in aperto sono stati quindi randomizzati a proseguire il trattamento con Humira 40 mg a settimane alterne (N=152) o a ricevere un placebo (N=153) per altre 40 settimane in uno studio in doppio cieco, controllato verso placebo (durata complessiva dello studio: 68 settimane). I soggetti che presentavano esacerbazioni durante il periodo in doppio cieco potevano ricorrere a Humira 40 mg a settimane alterne come terapia di salvataggio per almeno 12 settimane.</w:delText>
        </w:r>
      </w:del>
    </w:p>
    <w:p w:rsidR="00897CDF" w:rsidRPr="00295E71" w:rsidP="00897CDF" w14:paraId="090F405A" w14:textId="77777777">
      <w:pPr>
        <w:tabs>
          <w:tab w:val="left" w:pos="562"/>
        </w:tabs>
        <w:suppressAutoHyphens/>
        <w:rPr>
          <w:del w:id="9257" w:author="AbbVie14" w:date="2025-05-09T10:34:00Z"/>
          <w:sz w:val="22"/>
          <w:szCs w:val="20"/>
          <w:lang w:eastAsia="en-US"/>
        </w:rPr>
      </w:pPr>
    </w:p>
    <w:p w:rsidR="00897CDF" w:rsidRPr="00295E71" w:rsidP="00897CDF" w14:paraId="292462B0" w14:textId="77777777">
      <w:pPr>
        <w:tabs>
          <w:tab w:val="left" w:pos="562"/>
        </w:tabs>
        <w:suppressAutoHyphens/>
        <w:rPr>
          <w:del w:id="9258" w:author="AbbVie14" w:date="2025-05-09T10:34:00Z"/>
          <w:sz w:val="22"/>
          <w:szCs w:val="20"/>
          <w:lang w:eastAsia="en-US"/>
        </w:rPr>
      </w:pPr>
      <w:del w:id="9259" w:author="AbbVie14" w:date="2025-05-09T10:34:00Z">
        <w:r w:rsidRPr="00295E71">
          <w:rPr>
            <w:sz w:val="22"/>
            <w:szCs w:val="20"/>
            <w:lang w:eastAsia="en-US"/>
          </w:rPr>
          <w:delText xml:space="preserve">L’endpoint primario di efficacia era la percentuale di pazienti senza esacerbazioni alla settimana 68 dello studio. L’esacerbazione è stata definita come ASDAS ≥ 2,1 a due visite consecutive a distanza di quattro settimane. Una percentuale maggiore di pazienti che ricevevano Humira non ha presentato esacerbazioni di malattia durante il periodo in doppio cieco in confronto a quelli che ricevevano il placebo (70,4% </w:delText>
        </w:r>
      </w:del>
      <w:del w:id="9260" w:author="AbbVie14" w:date="2025-05-09T10:34:00Z">
        <w:r w:rsidRPr="00295E71" w:rsidR="00BE67DE">
          <w:rPr>
            <w:sz w:val="22"/>
            <w:szCs w:val="20"/>
            <w:lang w:eastAsia="en-US"/>
          </w:rPr>
          <w:delText>vs. 47,1%, p&lt;0,001) (Figura 1).</w:delText>
        </w:r>
      </w:del>
    </w:p>
    <w:p w:rsidR="00897CDF" w:rsidRPr="00BF509C" w:rsidP="00897CDF" w14:paraId="73EAB0EF" w14:textId="77777777">
      <w:pPr>
        <w:keepNext/>
        <w:tabs>
          <w:tab w:val="left" w:pos="562"/>
        </w:tabs>
        <w:suppressAutoHyphens/>
        <w:jc w:val="center"/>
        <w:rPr>
          <w:del w:id="9261" w:author="AbbVie14" w:date="2025-05-09T10:34:00Z"/>
          <w:sz w:val="22"/>
          <w:szCs w:val="20"/>
          <w:lang w:eastAsia="en-US"/>
        </w:rPr>
      </w:pPr>
    </w:p>
    <w:p w:rsidR="00897CDF" w:rsidRPr="00BF509C" w:rsidP="00897CDF" w14:paraId="0D92A71B" w14:textId="77777777">
      <w:pPr>
        <w:keepNext/>
        <w:tabs>
          <w:tab w:val="left" w:pos="562"/>
        </w:tabs>
        <w:suppressAutoHyphens/>
        <w:jc w:val="center"/>
        <w:rPr>
          <w:del w:id="9262" w:author="AbbVie14" w:date="2025-05-09T10:34:00Z"/>
          <w:sz w:val="22"/>
          <w:szCs w:val="20"/>
          <w:lang w:eastAsia="en-US"/>
        </w:rPr>
      </w:pPr>
      <w:del w:id="9263" w:author="AbbVie14" w:date="2025-05-09T10:34:00Z">
        <w:r w:rsidRPr="00295E71">
          <w:rPr>
            <w:b/>
            <w:sz w:val="22"/>
            <w:szCs w:val="20"/>
            <w:lang w:eastAsia="en-US"/>
          </w:rPr>
          <w:delText>Figura 1: Curve di Kaplan-Meier che riassu</w:delText>
        </w:r>
      </w:del>
      <w:del w:id="9264" w:author="AbbVie14" w:date="2025-05-09T10:34:00Z">
        <w:r w:rsidR="00BF509C">
          <w:rPr>
            <w:b/>
            <w:sz w:val="22"/>
            <w:szCs w:val="20"/>
            <w:lang w:eastAsia="en-US"/>
          </w:rPr>
          <w:delText>mono il tempo all’esacerbazione</w:delText>
        </w:r>
      </w:del>
    </w:p>
    <w:p w:rsidR="00897CDF" w:rsidRPr="00BF509C" w:rsidP="00897CDF" w14:paraId="4E216809" w14:textId="77777777">
      <w:pPr>
        <w:keepNext/>
        <w:tabs>
          <w:tab w:val="left" w:pos="562"/>
        </w:tabs>
        <w:suppressAutoHyphens/>
        <w:jc w:val="center"/>
        <w:rPr>
          <w:del w:id="9265" w:author="AbbVie14" w:date="2025-05-09T10:34:00Z"/>
          <w:sz w:val="22"/>
          <w:szCs w:val="20"/>
          <w:lang w:eastAsia="en-US"/>
        </w:rPr>
      </w:pPr>
      <w:del w:id="9266" w:author="AbbVie14" w:date="2025-05-09T10:34:00Z">
        <w:r w:rsidRPr="00295E71">
          <w:rPr>
            <w:b/>
            <w:sz w:val="22"/>
            <w:szCs w:val="20"/>
            <w:lang w:eastAsia="en-US"/>
          </w:rPr>
          <w:delText>nello studio nr-axSpA II</w:delText>
        </w:r>
      </w:del>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09"/>
        <w:gridCol w:w="8361"/>
      </w:tblGrid>
      <w:tr w14:paraId="1B16F105" w14:textId="77777777" w:rsidTr="00035AC5">
        <w:tblPrEx>
          <w:tblW w:w="0" w:type="auto"/>
          <w:tblLayout w:type="fixed"/>
          <w:tblLook w:val="04A0"/>
        </w:tblPrEx>
        <w:trPr>
          <w:cantSplit/>
          <w:trHeight w:val="1134"/>
          <w:del w:id="9267" w:author="AbbVie14" w:date="2025-05-09T10:34:00Z"/>
        </w:trPr>
        <w:tc>
          <w:tcPr>
            <w:tcW w:w="709" w:type="dxa"/>
            <w:textDirection w:val="btLr"/>
            <w:vAlign w:val="center"/>
          </w:tcPr>
          <w:p w:rsidR="00897CDF" w:rsidRPr="00295E71" w:rsidP="00897CDF" w14:paraId="72A10812" w14:textId="77777777">
            <w:pPr>
              <w:ind w:left="113" w:right="113"/>
              <w:jc w:val="center"/>
              <w:rPr>
                <w:del w:id="9268" w:author="AbbVie14" w:date="2025-05-09T10:34:00Z"/>
                <w:b/>
                <w:sz w:val="20"/>
                <w:lang w:val="it-IT"/>
              </w:rPr>
            </w:pPr>
            <w:del w:id="9269" w:author="AbbVie14" w:date="2025-05-09T10:34:00Z">
              <w:r w:rsidRPr="00295E71">
                <w:rPr>
                  <w:b/>
                  <w:sz w:val="20"/>
                  <w:lang w:val="it-IT"/>
                </w:rPr>
                <w:delText xml:space="preserve">                   PROBABILITÀ DI ASSENZA DI ESACERBAZIONE</w:delText>
              </w:r>
            </w:del>
          </w:p>
        </w:tc>
        <w:tc>
          <w:tcPr>
            <w:tcW w:w="8361" w:type="dxa"/>
          </w:tcPr>
          <w:p w:rsidR="00897CDF" w:rsidRPr="00295E71" w:rsidP="00897CDF" w14:paraId="26BF7C79" w14:textId="77777777">
            <w:pPr>
              <w:rPr>
                <w:del w:id="9270" w:author="AbbVie14" w:date="2025-05-09T10:34:00Z"/>
                <w:sz w:val="20"/>
                <w:lang w:val="it-IT"/>
              </w:rPr>
            </w:pPr>
            <w:del w:id="9271" w:author="AbbVie14" w:date="2025-05-09T10:34:00Z">
              <w:r w:rsidRPr="003B3A5A">
                <w:rPr>
                  <w:noProof/>
                  <w:sz w:val="20"/>
                </w:rPr>
                <w:drawing>
                  <wp:inline distT="0" distB="0" distL="0" distR="0">
                    <wp:extent cx="5616000" cy="3006000"/>
                    <wp:effectExtent l="0" t="0" r="3810" b="4445"/>
                    <wp:docPr id="10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m13375_flare_km_db_f.14.2__1.1.jpg"/>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16000" cy="3006000"/>
                            </a:xfrm>
                            <a:prstGeom prst="rect">
                              <a:avLst/>
                            </a:prstGeom>
                          </pic:spPr>
                        </pic:pic>
                      </a:graphicData>
                    </a:graphic>
                  </wp:inline>
                </w:drawing>
              </w:r>
            </w:del>
          </w:p>
        </w:tc>
      </w:tr>
      <w:tr w14:paraId="6E3C84F1" w14:textId="77777777" w:rsidTr="00035AC5">
        <w:tblPrEx>
          <w:tblW w:w="0" w:type="auto"/>
          <w:tblLayout w:type="fixed"/>
          <w:tblLook w:val="04A0"/>
        </w:tblPrEx>
        <w:trPr>
          <w:del w:id="9272" w:author="AbbVie14" w:date="2025-05-09T10:34:00Z"/>
        </w:trPr>
        <w:tc>
          <w:tcPr>
            <w:tcW w:w="709" w:type="dxa"/>
          </w:tcPr>
          <w:p w:rsidR="00897CDF" w:rsidRPr="00295E71" w:rsidP="00897CDF" w14:paraId="5A291618" w14:textId="77777777">
            <w:pPr>
              <w:rPr>
                <w:del w:id="9273" w:author="AbbVie14" w:date="2025-05-09T10:34:00Z"/>
                <w:sz w:val="20"/>
                <w:lang w:val="it-IT"/>
              </w:rPr>
            </w:pPr>
          </w:p>
        </w:tc>
        <w:tc>
          <w:tcPr>
            <w:tcW w:w="8361" w:type="dxa"/>
            <w:vAlign w:val="center"/>
          </w:tcPr>
          <w:p w:rsidR="00897CDF" w:rsidRPr="00295E71" w:rsidP="00897CDF" w14:paraId="75418948" w14:textId="77777777">
            <w:pPr>
              <w:jc w:val="center"/>
              <w:rPr>
                <w:del w:id="9274" w:author="AbbVie14" w:date="2025-05-09T10:34:00Z"/>
                <w:b/>
                <w:sz w:val="20"/>
                <w:lang w:val="it-IT"/>
              </w:rPr>
            </w:pPr>
            <w:del w:id="9275" w:author="AbbVie14" w:date="2025-05-09T10:34:00Z">
              <w:r w:rsidRPr="00295E71">
                <w:rPr>
                  <w:b/>
                  <w:sz w:val="20"/>
                  <w:lang w:val="it-IT"/>
                </w:rPr>
                <w:delText>TEMPO (SETTIMANE)</w:delText>
              </w:r>
            </w:del>
          </w:p>
        </w:tc>
      </w:tr>
      <w:tr w14:paraId="7AA08961" w14:textId="77777777" w:rsidTr="00035AC5">
        <w:tblPrEx>
          <w:tblW w:w="0" w:type="auto"/>
          <w:tblLayout w:type="fixed"/>
          <w:tblLook w:val="04A0"/>
        </w:tblPrEx>
        <w:trPr>
          <w:del w:id="9276" w:author="AbbVie14" w:date="2025-05-09T10:34:00Z"/>
        </w:trPr>
        <w:tc>
          <w:tcPr>
            <w:tcW w:w="9070" w:type="dxa"/>
            <w:gridSpan w:val="2"/>
          </w:tcPr>
          <w:p w:rsidR="00897CDF" w:rsidRPr="00295E71" w:rsidP="008C58F0" w14:paraId="22C50012" w14:textId="77777777">
            <w:pPr>
              <w:rPr>
                <w:del w:id="9277" w:author="AbbVie14" w:date="2025-05-09T10:34:00Z"/>
                <w:sz w:val="20"/>
                <w:lang w:val="it-IT"/>
              </w:rPr>
            </w:pPr>
            <w:del w:id="9278" w:author="AbbVie14" w:date="2025-05-09T10:34:00Z">
              <w:r w:rsidRPr="00295E71">
                <w:rPr>
                  <w:sz w:val="20"/>
                  <w:lang w:val="it-IT"/>
                </w:rPr>
                <w:delText xml:space="preserve">                             Trattamento      </w:delText>
              </w:r>
            </w:del>
            <w:del w:id="9279" w:author="AbbVie14" w:date="2025-05-09T10:34:00Z">
              <w:r w:rsidRPr="00295E71">
                <w:rPr>
                  <w:noProof/>
                  <w:sz w:val="20"/>
                  <w:lang w:val="it-IT"/>
                </w:rPr>
                <w:delText xml:space="preserve"> </w:delText>
              </w:r>
            </w:del>
            <w:del w:id="9280" w:author="AbbVie14" w:date="2025-05-09T10:34:00Z">
              <w:r w:rsidRPr="003B3A5A" w:rsidR="004B3CAB">
                <w:rPr>
                  <w:noProof/>
                  <w:sz w:val="20"/>
                </w:rPr>
                <mc:AlternateContent>
                  <mc:Choice Requires="wps">
                    <w:drawing>
                      <wp:inline distT="0" distB="0" distL="0" distR="0">
                        <wp:extent cx="381000" cy="635"/>
                        <wp:effectExtent l="19050" t="19050" r="19050" b="18415"/>
                        <wp:docPr id="150" name="Line 1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81000" cy="635"/>
                                </a:xfrm>
                                <a:prstGeom prst="line">
                                  <a:avLst/>
                                </a:prstGeom>
                                <a:noFill/>
                                <a:ln w="28575">
                                  <a:solidFill>
                                    <a:srgbClr val="595959"/>
                                  </a:solidFill>
                                  <a:prstDash val="sysDot"/>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inline>
                    </w:drawing>
                  </mc:Choice>
                  <mc:Fallback>
                    <w:pict>
                      <v:line id="Line 13" o:spid="_x0000_i1029" style="mso-left-percent:-10001;mso-position-horizontal-relative:char;mso-position-vertical-relative:line;mso-top-percent:-10001;mso-wrap-style:square;visibility:visible" from="0,0" to="30pt,0.05pt" strokecolor="#595959" strokeweight="2.25pt">
                        <v:stroke dashstyle="1 1"/>
                        <w10:anchorlock/>
                      </v:line>
                    </w:pict>
                  </mc:Fallback>
                </mc:AlternateContent>
              </w:r>
            </w:del>
            <w:del w:id="9281" w:author="AbbVie14" w:date="2025-05-09T10:34:00Z">
              <w:r w:rsidRPr="00295E71">
                <w:rPr>
                  <w:noProof/>
                  <w:sz w:val="20"/>
                  <w:lang w:val="it-IT"/>
                </w:rPr>
                <w:delText xml:space="preserve"> </w:delText>
              </w:r>
            </w:del>
            <w:del w:id="9282" w:author="AbbVie14" w:date="2025-05-09T10:34:00Z">
              <w:r w:rsidRPr="00295E71">
                <w:rPr>
                  <w:sz w:val="20"/>
                  <w:lang w:val="it-IT"/>
                </w:rPr>
                <w:delText xml:space="preserve">Placebo     </w:delText>
              </w:r>
            </w:del>
            <w:del w:id="9283" w:author="AbbVie14" w:date="2025-05-09T10:34:00Z">
              <w:r w:rsidRPr="003B3A5A" w:rsidR="004B3CAB">
                <w:rPr>
                  <w:noProof/>
                  <w:sz w:val="20"/>
                </w:rPr>
                <mc:AlternateContent>
                  <mc:Choice Requires="wps">
                    <w:drawing>
                      <wp:inline distT="0" distB="0" distL="0" distR="0">
                        <wp:extent cx="401320" cy="635"/>
                        <wp:effectExtent l="9525" t="9525" r="17780" b="18415"/>
                        <wp:docPr id="149" name="Line 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01320" cy="635"/>
                                </a:xfrm>
                                <a:prstGeom prst="line">
                                  <a:avLst/>
                                </a:prstGeom>
                                <a:noFill/>
                                <a:ln w="190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inline>
                    </w:drawing>
                  </mc:Choice>
                  <mc:Fallback>
                    <w:pict>
                      <v:line id="Line 12" o:spid="_x0000_i1030" style="mso-left-percent:-10001;mso-position-horizontal-relative:char;mso-position-vertical-relative:line;mso-top-percent:-10001;mso-wrap-style:square;visibility:visible" from="0,0" to="31.6pt,0.05pt" strokecolor="#404040" strokeweight="1.5pt">
                        <w10:anchorlock/>
                      </v:line>
                    </w:pict>
                  </mc:Fallback>
                </mc:AlternateContent>
              </w:r>
            </w:del>
            <w:del w:id="9284" w:author="AbbVie14" w:date="2025-05-09T10:34:00Z">
              <w:r w:rsidRPr="00295E71">
                <w:rPr>
                  <w:sz w:val="20"/>
                  <w:lang w:val="it-IT"/>
                </w:rPr>
                <w:delText xml:space="preserve"> Humira     ∆ Cens</w:delText>
              </w:r>
            </w:del>
            <w:del w:id="9285" w:author="AbbVie14" w:date="2025-05-09T10:34:00Z">
              <w:r w:rsidRPr="00295E71" w:rsidR="008C58F0">
                <w:rPr>
                  <w:sz w:val="20"/>
                  <w:lang w:val="it-IT"/>
                </w:rPr>
                <w:delText>urato</w:delText>
              </w:r>
            </w:del>
          </w:p>
        </w:tc>
      </w:tr>
    </w:tbl>
    <w:p w:rsidR="00897CDF" w:rsidRPr="00295E71" w:rsidP="00897CDF" w14:paraId="7BC33C14" w14:textId="77777777">
      <w:pPr>
        <w:tabs>
          <w:tab w:val="left" w:pos="562"/>
        </w:tabs>
        <w:suppressAutoHyphens/>
        <w:rPr>
          <w:del w:id="9286" w:author="AbbVie14" w:date="2025-05-09T10:34:00Z"/>
          <w:sz w:val="22"/>
          <w:lang w:eastAsia="en-US"/>
        </w:rPr>
      </w:pPr>
    </w:p>
    <w:p w:rsidR="00897CDF" w:rsidRPr="00295E71" w:rsidP="00897CDF" w14:paraId="0BE4D690" w14:textId="77777777">
      <w:pPr>
        <w:tabs>
          <w:tab w:val="left" w:pos="562"/>
        </w:tabs>
        <w:suppressAutoHyphens/>
        <w:rPr>
          <w:del w:id="9287" w:author="AbbVie14" w:date="2025-05-09T10:34:00Z"/>
          <w:sz w:val="22"/>
          <w:lang w:eastAsia="en-US"/>
        </w:rPr>
      </w:pPr>
      <w:del w:id="9288" w:author="AbbVie14" w:date="2025-05-09T10:34:00Z">
        <w:r w:rsidRPr="00295E71">
          <w:rPr>
            <w:sz w:val="22"/>
            <w:lang w:eastAsia="en-US"/>
          </w:rPr>
          <w:delText>Nota: P = placebo (numero a rischio (esacerbazione)); A = HUMIRA (numero a rischio (esacerbazione)).</w:delText>
        </w:r>
      </w:del>
    </w:p>
    <w:p w:rsidR="00897CDF" w:rsidRPr="00295E71" w:rsidP="00897CDF" w14:paraId="6507F933" w14:textId="77777777">
      <w:pPr>
        <w:tabs>
          <w:tab w:val="left" w:pos="562"/>
        </w:tabs>
        <w:suppressAutoHyphens/>
        <w:rPr>
          <w:del w:id="9289" w:author="AbbVie14" w:date="2025-05-09T10:34:00Z"/>
          <w:sz w:val="22"/>
          <w:lang w:eastAsia="en-US"/>
        </w:rPr>
      </w:pPr>
    </w:p>
    <w:p w:rsidR="00897CDF" w:rsidRPr="00295E71" w:rsidP="00897CDF" w14:paraId="7DEFFDC7" w14:textId="77777777">
      <w:pPr>
        <w:tabs>
          <w:tab w:val="left" w:pos="562"/>
        </w:tabs>
        <w:suppressAutoHyphens/>
        <w:rPr>
          <w:del w:id="9290" w:author="AbbVie14" w:date="2025-05-09T10:34:00Z"/>
          <w:sz w:val="22"/>
          <w:szCs w:val="20"/>
          <w:lang w:eastAsia="en-US"/>
        </w:rPr>
      </w:pPr>
      <w:del w:id="9291" w:author="AbbVie14" w:date="2025-05-09T10:34:00Z">
        <w:r w:rsidRPr="00295E71">
          <w:rPr>
            <w:sz w:val="22"/>
            <w:szCs w:val="20"/>
            <w:lang w:eastAsia="en-US"/>
          </w:rPr>
          <w:delText>Tra i 68 pazienti che presentavano esacerbazioni nel gruppo assegnato all’interruzione del trattamento, 65 hanno completato 12 settimane di terapia di salvataggio con Humira, e 37 di questi (56,9%) hanno raggiunto nu</w:delText>
        </w:r>
      </w:del>
      <w:del w:id="9292" w:author="AbbVie14" w:date="2025-05-09T10:34:00Z">
        <w:r w:rsidRPr="00295E71" w:rsidR="00F83DC3">
          <w:rPr>
            <w:sz w:val="22"/>
            <w:szCs w:val="20"/>
            <w:lang w:eastAsia="en-US"/>
          </w:rPr>
          <w:delText>ovamente la remissione (ASDAS &lt;</w:delText>
        </w:r>
      </w:del>
      <w:del w:id="9293" w:author="AbbVie14" w:date="2025-05-09T10:34:00Z">
        <w:r w:rsidR="003C4CAF">
          <w:rPr>
            <w:sz w:val="22"/>
            <w:szCs w:val="20"/>
            <w:lang w:eastAsia="en-US"/>
          </w:rPr>
          <w:delText> </w:delText>
        </w:r>
      </w:del>
      <w:del w:id="9294" w:author="AbbVie14" w:date="2025-05-09T10:34:00Z">
        <w:r w:rsidRPr="00295E71">
          <w:rPr>
            <w:sz w:val="22"/>
            <w:szCs w:val="20"/>
            <w:lang w:eastAsia="en-US"/>
          </w:rPr>
          <w:delText>1,3) 12 settimane dopo la rip</w:delText>
        </w:r>
      </w:del>
      <w:del w:id="9295" w:author="AbbVie14" w:date="2025-05-09T10:34:00Z">
        <w:r w:rsidRPr="00295E71" w:rsidR="00F83DC3">
          <w:rPr>
            <w:sz w:val="22"/>
            <w:szCs w:val="20"/>
            <w:lang w:eastAsia="en-US"/>
          </w:rPr>
          <w:delText>resa del trattamento in aperto.</w:delText>
        </w:r>
      </w:del>
    </w:p>
    <w:p w:rsidR="00897CDF" w:rsidRPr="00295E71" w:rsidP="00897CDF" w14:paraId="7AE7BCD7" w14:textId="77777777">
      <w:pPr>
        <w:tabs>
          <w:tab w:val="left" w:pos="562"/>
        </w:tabs>
        <w:suppressAutoHyphens/>
        <w:rPr>
          <w:del w:id="9296" w:author="AbbVie14" w:date="2025-05-09T10:34:00Z"/>
          <w:sz w:val="22"/>
          <w:lang w:eastAsia="en-US"/>
        </w:rPr>
      </w:pPr>
    </w:p>
    <w:p w:rsidR="00897CDF" w:rsidRPr="00295E71" w:rsidP="00897CDF" w14:paraId="2744868F" w14:textId="77777777">
      <w:pPr>
        <w:tabs>
          <w:tab w:val="left" w:pos="562"/>
        </w:tabs>
        <w:suppressAutoHyphens/>
        <w:rPr>
          <w:del w:id="9297" w:author="AbbVie14" w:date="2025-05-09T10:34:00Z"/>
          <w:sz w:val="22"/>
          <w:lang w:eastAsia="en-US"/>
        </w:rPr>
      </w:pPr>
      <w:del w:id="9298" w:author="AbbVie14" w:date="2025-05-09T10:34:00Z">
        <w:r w:rsidRPr="00295E71">
          <w:rPr>
            <w:sz w:val="22"/>
            <w:lang w:eastAsia="en-US"/>
          </w:rPr>
          <w:delText>Alla settimana 68, i pazienti che ricevevano un trattamento continuo con Humira hanno presentato un miglioramento dei segni e sintomi di nr-axSpA attiva maggiore, in misura statisticamente significativa, in confronto ai pazienti assegnati all’interruzione del trattamento durante il periodo in doppio cieco dello studio (Tabella 1</w:delText>
        </w:r>
      </w:del>
      <w:del w:id="9299" w:author="AbbVie14" w:date="2025-05-09T10:34:00Z">
        <w:r w:rsidR="005C4AD7">
          <w:rPr>
            <w:sz w:val="22"/>
            <w:lang w:eastAsia="en-US"/>
          </w:rPr>
          <w:delText>4</w:delText>
        </w:r>
      </w:del>
      <w:del w:id="9300" w:author="AbbVie14" w:date="2025-05-09T10:34:00Z">
        <w:r w:rsidRPr="00295E71">
          <w:rPr>
            <w:sz w:val="22"/>
            <w:lang w:eastAsia="en-US"/>
          </w:rPr>
          <w:delText>).</w:delText>
        </w:r>
      </w:del>
    </w:p>
    <w:p w:rsidR="00897CDF" w:rsidRPr="00295E71" w:rsidP="00897CDF" w14:paraId="0AEAD892" w14:textId="77777777">
      <w:pPr>
        <w:tabs>
          <w:tab w:val="left" w:pos="562"/>
        </w:tabs>
        <w:suppressAutoHyphens/>
        <w:rPr>
          <w:del w:id="9301" w:author="AbbVie14" w:date="2025-05-09T10:34:00Z"/>
          <w:sz w:val="22"/>
          <w:lang w:eastAsia="en-US"/>
        </w:rPr>
      </w:pPr>
    </w:p>
    <w:p w:rsidR="00897CDF" w:rsidRPr="00BF509C" w:rsidP="00612824" w14:paraId="6E830A7D" w14:textId="77777777">
      <w:pPr>
        <w:keepNext/>
        <w:tabs>
          <w:tab w:val="left" w:pos="562"/>
        </w:tabs>
        <w:suppressAutoHyphens/>
        <w:ind w:left="720"/>
        <w:jc w:val="center"/>
        <w:rPr>
          <w:del w:id="9302" w:author="AbbVie14" w:date="2025-05-09T10:34:00Z"/>
          <w:sz w:val="22"/>
          <w:szCs w:val="20"/>
          <w:lang w:eastAsia="en-US"/>
        </w:rPr>
      </w:pPr>
      <w:del w:id="9303" w:author="AbbVie14" w:date="2025-05-09T10:34:00Z">
        <w:r w:rsidRPr="00295E71">
          <w:rPr>
            <w:b/>
            <w:sz w:val="22"/>
            <w:szCs w:val="20"/>
            <w:lang w:eastAsia="en-US"/>
          </w:rPr>
          <w:delText>Tabella 1</w:delText>
        </w:r>
      </w:del>
      <w:del w:id="9304" w:author="AbbVie14" w:date="2025-05-09T10:34:00Z">
        <w:r w:rsidR="005C4AD7">
          <w:rPr>
            <w:b/>
            <w:sz w:val="22"/>
            <w:szCs w:val="20"/>
            <w:lang w:eastAsia="en-US"/>
          </w:rPr>
          <w:delText>4</w:delText>
        </w:r>
      </w:del>
    </w:p>
    <w:p w:rsidR="00897CDF" w:rsidRPr="00BF509C" w:rsidP="00612824" w14:paraId="3436591E" w14:textId="77777777">
      <w:pPr>
        <w:keepNext/>
        <w:tabs>
          <w:tab w:val="left" w:pos="562"/>
        </w:tabs>
        <w:suppressAutoHyphens/>
        <w:ind w:left="720"/>
        <w:rPr>
          <w:del w:id="9305" w:author="AbbVie14" w:date="2025-05-09T10:34:00Z"/>
          <w:sz w:val="22"/>
          <w:szCs w:val="20"/>
          <w:lang w:eastAsia="en-US"/>
        </w:rPr>
      </w:pPr>
      <w:del w:id="9306" w:author="AbbVie14" w:date="2025-05-09T10:34:00Z">
        <w:r w:rsidRPr="00295E71">
          <w:rPr>
            <w:b/>
            <w:sz w:val="22"/>
            <w:szCs w:val="20"/>
            <w:lang w:eastAsia="en-US"/>
          </w:rPr>
          <w:delText>Risposta di efficacia nel periodo controllato verso placebo dello studio nr-axSpA II</w:delText>
        </w:r>
      </w:del>
    </w:p>
    <w:p w:rsidR="00897CDF" w:rsidRPr="00BF509C" w:rsidP="00612824" w14:paraId="2405A98B" w14:textId="77777777">
      <w:pPr>
        <w:keepNext/>
        <w:tabs>
          <w:tab w:val="left" w:pos="562"/>
        </w:tabs>
        <w:suppressAutoHyphens/>
        <w:ind w:left="720"/>
        <w:rPr>
          <w:del w:id="9307" w:author="AbbVie14" w:date="2025-05-09T10:34:00Z"/>
          <w:sz w:val="22"/>
          <w:szCs w:val="2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557"/>
        <w:gridCol w:w="1682"/>
        <w:gridCol w:w="1821"/>
      </w:tblGrid>
      <w:tr w14:paraId="2F2C367D" w14:textId="77777777" w:rsidTr="00CC7DC5">
        <w:tblPrEx>
          <w:tblW w:w="5000" w:type="pct"/>
          <w:tblLook w:val="0000"/>
        </w:tblPrEx>
        <w:trPr>
          <w:del w:id="9308" w:author="AbbVie14" w:date="2025-05-09T10:34:00Z"/>
        </w:trPr>
        <w:tc>
          <w:tcPr>
            <w:tcW w:w="3067" w:type="pct"/>
          </w:tcPr>
          <w:p w:rsidR="00897CDF" w:rsidRPr="00295E71" w:rsidP="00897CDF" w14:paraId="08460494" w14:textId="77777777">
            <w:pPr>
              <w:keepNext/>
              <w:tabs>
                <w:tab w:val="left" w:pos="562"/>
              </w:tabs>
              <w:suppressAutoHyphens/>
              <w:rPr>
                <w:del w:id="9309" w:author="AbbVie14" w:date="2025-05-09T10:34:00Z"/>
                <w:b/>
                <w:bCs/>
                <w:sz w:val="22"/>
                <w:lang w:eastAsia="en-US"/>
              </w:rPr>
            </w:pPr>
            <w:del w:id="9310" w:author="AbbVie14" w:date="2025-05-09T10:34:00Z">
              <w:r w:rsidRPr="00295E71">
                <w:rPr>
                  <w:b/>
                  <w:bCs/>
                  <w:sz w:val="22"/>
                  <w:lang w:eastAsia="en-US"/>
                </w:rPr>
                <w:delText>Doppio cieco</w:delText>
              </w:r>
            </w:del>
          </w:p>
          <w:p w:rsidR="00897CDF" w:rsidRPr="00295E71" w:rsidP="00897CDF" w14:paraId="012A5565" w14:textId="77777777">
            <w:pPr>
              <w:keepNext/>
              <w:tabs>
                <w:tab w:val="left" w:pos="562"/>
              </w:tabs>
              <w:suppressAutoHyphens/>
              <w:rPr>
                <w:del w:id="9311" w:author="AbbVie14" w:date="2025-05-09T10:34:00Z"/>
                <w:b/>
                <w:bCs/>
                <w:sz w:val="22"/>
                <w:lang w:eastAsia="en-US"/>
              </w:rPr>
            </w:pPr>
            <w:del w:id="9312" w:author="AbbVie14" w:date="2025-05-09T10:34:00Z">
              <w:r w:rsidRPr="00295E71">
                <w:rPr>
                  <w:b/>
                  <w:bCs/>
                  <w:sz w:val="22"/>
                  <w:lang w:eastAsia="en-US"/>
                </w:rPr>
                <w:delText>Risposta alla settimana 68</w:delText>
              </w:r>
            </w:del>
          </w:p>
        </w:tc>
        <w:tc>
          <w:tcPr>
            <w:tcW w:w="928" w:type="pct"/>
          </w:tcPr>
          <w:p w:rsidR="00897CDF" w:rsidRPr="00295E71" w:rsidP="00897CDF" w14:paraId="501ABCF0" w14:textId="77777777">
            <w:pPr>
              <w:keepNext/>
              <w:tabs>
                <w:tab w:val="left" w:pos="562"/>
              </w:tabs>
              <w:suppressAutoHyphens/>
              <w:jc w:val="center"/>
              <w:rPr>
                <w:del w:id="9313" w:author="AbbVie14" w:date="2025-05-09T10:34:00Z"/>
                <w:b/>
                <w:bCs/>
                <w:sz w:val="20"/>
                <w:szCs w:val="20"/>
                <w:lang w:eastAsia="en-US"/>
              </w:rPr>
            </w:pPr>
            <w:del w:id="9314" w:author="AbbVie14" w:date="2025-05-09T10:34:00Z">
              <w:r w:rsidRPr="00295E71">
                <w:rPr>
                  <w:b/>
                  <w:bCs/>
                  <w:sz w:val="20"/>
                  <w:szCs w:val="20"/>
                  <w:lang w:eastAsia="en-US"/>
                </w:rPr>
                <w:delText>Placebo</w:delText>
              </w:r>
            </w:del>
          </w:p>
          <w:p w:rsidR="00897CDF" w:rsidRPr="00295E71" w:rsidP="00897CDF" w14:paraId="2CCF1456" w14:textId="77777777">
            <w:pPr>
              <w:keepNext/>
              <w:tabs>
                <w:tab w:val="left" w:pos="562"/>
              </w:tabs>
              <w:suppressAutoHyphens/>
              <w:jc w:val="center"/>
              <w:rPr>
                <w:del w:id="9315" w:author="AbbVie14" w:date="2025-05-09T10:34:00Z"/>
                <w:b/>
                <w:bCs/>
                <w:sz w:val="20"/>
                <w:szCs w:val="20"/>
                <w:lang w:eastAsia="en-US"/>
              </w:rPr>
            </w:pPr>
            <w:del w:id="9316" w:author="AbbVie14" w:date="2025-05-09T10:34:00Z">
              <w:r w:rsidRPr="00295E71">
                <w:rPr>
                  <w:b/>
                  <w:bCs/>
                  <w:sz w:val="20"/>
                  <w:szCs w:val="20"/>
                  <w:lang w:eastAsia="en-US"/>
                </w:rPr>
                <w:delText>N=153</w:delText>
              </w:r>
            </w:del>
          </w:p>
        </w:tc>
        <w:tc>
          <w:tcPr>
            <w:tcW w:w="1005" w:type="pct"/>
          </w:tcPr>
          <w:p w:rsidR="00897CDF" w:rsidRPr="00295E71" w:rsidP="00897CDF" w14:paraId="1F4C01AF" w14:textId="77777777">
            <w:pPr>
              <w:keepNext/>
              <w:tabs>
                <w:tab w:val="left" w:pos="562"/>
              </w:tabs>
              <w:suppressAutoHyphens/>
              <w:jc w:val="center"/>
              <w:rPr>
                <w:del w:id="9317" w:author="AbbVie14" w:date="2025-05-09T10:34:00Z"/>
                <w:b/>
                <w:bCs/>
                <w:sz w:val="20"/>
                <w:szCs w:val="20"/>
                <w:lang w:eastAsia="en-US"/>
              </w:rPr>
            </w:pPr>
            <w:del w:id="9318" w:author="AbbVie14" w:date="2025-05-09T10:34:00Z">
              <w:r w:rsidRPr="00295E71">
                <w:rPr>
                  <w:b/>
                  <w:bCs/>
                  <w:sz w:val="20"/>
                  <w:szCs w:val="20"/>
                  <w:lang w:eastAsia="en-US"/>
                </w:rPr>
                <w:delText>Humira</w:delText>
              </w:r>
            </w:del>
          </w:p>
          <w:p w:rsidR="00897CDF" w:rsidRPr="00295E71" w:rsidP="00897CDF" w14:paraId="41E95344" w14:textId="77777777">
            <w:pPr>
              <w:keepNext/>
              <w:tabs>
                <w:tab w:val="left" w:pos="562"/>
              </w:tabs>
              <w:suppressAutoHyphens/>
              <w:jc w:val="center"/>
              <w:rPr>
                <w:del w:id="9319" w:author="AbbVie14" w:date="2025-05-09T10:34:00Z"/>
                <w:b/>
                <w:bCs/>
                <w:sz w:val="20"/>
                <w:szCs w:val="20"/>
                <w:lang w:eastAsia="en-US"/>
              </w:rPr>
            </w:pPr>
            <w:del w:id="9320" w:author="AbbVie14" w:date="2025-05-09T10:34:00Z">
              <w:r w:rsidRPr="00295E71">
                <w:rPr>
                  <w:b/>
                  <w:bCs/>
                  <w:sz w:val="20"/>
                  <w:szCs w:val="20"/>
                  <w:lang w:eastAsia="en-US"/>
                </w:rPr>
                <w:delText>N=152</w:delText>
              </w:r>
            </w:del>
          </w:p>
        </w:tc>
      </w:tr>
      <w:tr w14:paraId="1FAF3489" w14:textId="77777777" w:rsidTr="00CC7DC5">
        <w:tblPrEx>
          <w:tblW w:w="5000" w:type="pct"/>
          <w:tblLook w:val="0000"/>
        </w:tblPrEx>
        <w:trPr>
          <w:del w:id="9321" w:author="AbbVie14" w:date="2025-05-09T10:34:00Z"/>
        </w:trPr>
        <w:tc>
          <w:tcPr>
            <w:tcW w:w="3067" w:type="pct"/>
          </w:tcPr>
          <w:p w:rsidR="00897CDF" w:rsidRPr="00295E71" w:rsidP="00897CDF" w14:paraId="4E332AA2" w14:textId="77777777">
            <w:pPr>
              <w:keepNext/>
              <w:tabs>
                <w:tab w:val="left" w:pos="562"/>
              </w:tabs>
              <w:suppressAutoHyphens/>
              <w:rPr>
                <w:del w:id="9322" w:author="AbbVie14" w:date="2025-05-09T10:34:00Z"/>
                <w:sz w:val="22"/>
                <w:lang w:eastAsia="en-US"/>
              </w:rPr>
            </w:pPr>
            <w:del w:id="9323" w:author="AbbVie14" w:date="2025-05-09T10:34:00Z">
              <w:r w:rsidRPr="00295E71">
                <w:rPr>
                  <w:sz w:val="22"/>
                  <w:lang w:eastAsia="en-US"/>
                </w:rPr>
                <w:delText>ASAS</w:delText>
              </w:r>
            </w:del>
            <w:del w:id="9324" w:author="AbbVie14" w:date="2025-05-09T10:34:00Z">
              <w:r w:rsidRPr="00295E71">
                <w:rPr>
                  <w:sz w:val="22"/>
                  <w:vertAlign w:val="superscript"/>
                  <w:lang w:eastAsia="en-US"/>
                </w:rPr>
                <w:delText>a,b</w:delText>
              </w:r>
            </w:del>
            <w:del w:id="9325" w:author="AbbVie14" w:date="2025-05-09T10:34:00Z">
              <w:r w:rsidRPr="00295E71">
                <w:rPr>
                  <w:sz w:val="22"/>
                  <w:lang w:eastAsia="en-US"/>
                </w:rPr>
                <w:delText xml:space="preserve"> 20</w:delText>
              </w:r>
            </w:del>
          </w:p>
        </w:tc>
        <w:tc>
          <w:tcPr>
            <w:tcW w:w="928" w:type="pct"/>
          </w:tcPr>
          <w:p w:rsidR="00897CDF" w:rsidRPr="00295E71" w:rsidP="00897CDF" w14:paraId="1BF75ECC" w14:textId="77777777">
            <w:pPr>
              <w:keepNext/>
              <w:tabs>
                <w:tab w:val="left" w:pos="562"/>
              </w:tabs>
              <w:suppressAutoHyphens/>
              <w:jc w:val="center"/>
              <w:rPr>
                <w:del w:id="9326" w:author="AbbVie14" w:date="2025-05-09T10:34:00Z"/>
                <w:sz w:val="22"/>
                <w:lang w:eastAsia="en-US"/>
              </w:rPr>
            </w:pPr>
            <w:del w:id="9327" w:author="AbbVie14" w:date="2025-05-09T10:34:00Z">
              <w:r w:rsidRPr="00295E71">
                <w:rPr>
                  <w:sz w:val="22"/>
                  <w:lang w:eastAsia="en-US"/>
                </w:rPr>
                <w:delText>47,1%</w:delText>
              </w:r>
            </w:del>
          </w:p>
        </w:tc>
        <w:tc>
          <w:tcPr>
            <w:tcW w:w="1005" w:type="pct"/>
          </w:tcPr>
          <w:p w:rsidR="00897CDF" w:rsidRPr="00295E71" w:rsidP="00897CDF" w14:paraId="7BFC78B2" w14:textId="77777777">
            <w:pPr>
              <w:keepNext/>
              <w:tabs>
                <w:tab w:val="left" w:pos="562"/>
              </w:tabs>
              <w:suppressAutoHyphens/>
              <w:jc w:val="center"/>
              <w:rPr>
                <w:del w:id="9328" w:author="AbbVie14" w:date="2025-05-09T10:34:00Z"/>
                <w:sz w:val="22"/>
                <w:lang w:eastAsia="en-US"/>
              </w:rPr>
            </w:pPr>
            <w:del w:id="9329" w:author="AbbVie14" w:date="2025-05-09T10:34:00Z">
              <w:r w:rsidRPr="00295E71">
                <w:rPr>
                  <w:sz w:val="22"/>
                  <w:lang w:eastAsia="en-US"/>
                </w:rPr>
                <w:delText>70,4%***</w:delText>
              </w:r>
            </w:del>
          </w:p>
        </w:tc>
      </w:tr>
      <w:tr w14:paraId="3C35C3C7" w14:textId="77777777" w:rsidTr="00CC7DC5">
        <w:tblPrEx>
          <w:tblW w:w="5000" w:type="pct"/>
          <w:tblLook w:val="0000"/>
        </w:tblPrEx>
        <w:trPr>
          <w:del w:id="9330" w:author="AbbVie14" w:date="2025-05-09T10:34:00Z"/>
        </w:trPr>
        <w:tc>
          <w:tcPr>
            <w:tcW w:w="3067" w:type="pct"/>
          </w:tcPr>
          <w:p w:rsidR="00897CDF" w:rsidRPr="00295E71" w:rsidP="00897CDF" w14:paraId="1F7F2697" w14:textId="77777777">
            <w:pPr>
              <w:keepNext/>
              <w:tabs>
                <w:tab w:val="left" w:pos="562"/>
              </w:tabs>
              <w:suppressAutoHyphens/>
              <w:rPr>
                <w:del w:id="9331" w:author="AbbVie14" w:date="2025-05-09T10:34:00Z"/>
                <w:sz w:val="22"/>
                <w:lang w:eastAsia="en-US"/>
              </w:rPr>
            </w:pPr>
            <w:del w:id="9332" w:author="AbbVie14" w:date="2025-05-09T10:34:00Z">
              <w:r w:rsidRPr="00295E71">
                <w:rPr>
                  <w:sz w:val="22"/>
                  <w:lang w:eastAsia="en-US"/>
                </w:rPr>
                <w:delText>ASAS</w:delText>
              </w:r>
            </w:del>
            <w:del w:id="9333" w:author="AbbVie14" w:date="2025-05-09T10:34:00Z">
              <w:r w:rsidRPr="00295E71">
                <w:rPr>
                  <w:sz w:val="22"/>
                  <w:vertAlign w:val="superscript"/>
                  <w:lang w:eastAsia="en-US"/>
                </w:rPr>
                <w:delText>a,b</w:delText>
              </w:r>
            </w:del>
            <w:del w:id="9334" w:author="AbbVie14" w:date="2025-05-09T10:34:00Z">
              <w:r w:rsidRPr="00295E71">
                <w:rPr>
                  <w:sz w:val="22"/>
                  <w:lang w:eastAsia="en-US"/>
                </w:rPr>
                <w:delText xml:space="preserve"> 40</w:delText>
              </w:r>
            </w:del>
          </w:p>
        </w:tc>
        <w:tc>
          <w:tcPr>
            <w:tcW w:w="928" w:type="pct"/>
          </w:tcPr>
          <w:p w:rsidR="00897CDF" w:rsidRPr="00295E71" w:rsidP="00897CDF" w14:paraId="6BF838E2" w14:textId="77777777">
            <w:pPr>
              <w:keepNext/>
              <w:tabs>
                <w:tab w:val="left" w:pos="562"/>
              </w:tabs>
              <w:suppressAutoHyphens/>
              <w:jc w:val="center"/>
              <w:rPr>
                <w:del w:id="9335" w:author="AbbVie14" w:date="2025-05-09T10:34:00Z"/>
                <w:sz w:val="22"/>
                <w:lang w:eastAsia="en-US"/>
              </w:rPr>
            </w:pPr>
            <w:del w:id="9336" w:author="AbbVie14" w:date="2025-05-09T10:34:00Z">
              <w:r w:rsidRPr="00295E71">
                <w:rPr>
                  <w:sz w:val="22"/>
                  <w:lang w:eastAsia="en-US"/>
                </w:rPr>
                <w:delText>45,8%</w:delText>
              </w:r>
            </w:del>
          </w:p>
        </w:tc>
        <w:tc>
          <w:tcPr>
            <w:tcW w:w="1005" w:type="pct"/>
          </w:tcPr>
          <w:p w:rsidR="00897CDF" w:rsidRPr="00295E71" w:rsidP="00897CDF" w14:paraId="2CAB21A0" w14:textId="77777777">
            <w:pPr>
              <w:keepNext/>
              <w:tabs>
                <w:tab w:val="left" w:pos="562"/>
              </w:tabs>
              <w:suppressAutoHyphens/>
              <w:jc w:val="center"/>
              <w:rPr>
                <w:del w:id="9337" w:author="AbbVie14" w:date="2025-05-09T10:34:00Z"/>
                <w:sz w:val="22"/>
                <w:lang w:eastAsia="en-US"/>
              </w:rPr>
            </w:pPr>
            <w:del w:id="9338" w:author="AbbVie14" w:date="2025-05-09T10:34:00Z">
              <w:r w:rsidRPr="00295E71">
                <w:rPr>
                  <w:sz w:val="22"/>
                  <w:lang w:eastAsia="en-US"/>
                </w:rPr>
                <w:delText>65,8%***</w:delText>
              </w:r>
            </w:del>
          </w:p>
        </w:tc>
      </w:tr>
      <w:tr w14:paraId="23261848" w14:textId="77777777" w:rsidTr="00CC7DC5">
        <w:tblPrEx>
          <w:tblW w:w="5000" w:type="pct"/>
          <w:tblLook w:val="0000"/>
        </w:tblPrEx>
        <w:trPr>
          <w:del w:id="9339" w:author="AbbVie14" w:date="2025-05-09T10:34:00Z"/>
        </w:trPr>
        <w:tc>
          <w:tcPr>
            <w:tcW w:w="3067" w:type="pct"/>
          </w:tcPr>
          <w:p w:rsidR="00897CDF" w:rsidRPr="00295E71" w:rsidP="00897CDF" w14:paraId="75A47C29" w14:textId="77777777">
            <w:pPr>
              <w:keepNext/>
              <w:tabs>
                <w:tab w:val="left" w:pos="562"/>
              </w:tabs>
              <w:suppressAutoHyphens/>
              <w:rPr>
                <w:del w:id="9340" w:author="AbbVie14" w:date="2025-05-09T10:34:00Z"/>
                <w:sz w:val="22"/>
                <w:lang w:eastAsia="en-US"/>
              </w:rPr>
            </w:pPr>
            <w:del w:id="9341" w:author="AbbVie14" w:date="2025-05-09T10:34:00Z">
              <w:r w:rsidRPr="00295E71">
                <w:rPr>
                  <w:sz w:val="22"/>
                  <w:lang w:eastAsia="en-US"/>
                </w:rPr>
                <w:delText>ASAS</w:delText>
              </w:r>
            </w:del>
            <w:del w:id="9342" w:author="AbbVie14" w:date="2025-05-09T10:34:00Z">
              <w:r w:rsidRPr="00295E71">
                <w:rPr>
                  <w:sz w:val="22"/>
                  <w:vertAlign w:val="superscript"/>
                  <w:lang w:eastAsia="en-US"/>
                </w:rPr>
                <w:delText>a</w:delText>
              </w:r>
            </w:del>
            <w:del w:id="9343" w:author="AbbVie14" w:date="2025-05-09T10:34:00Z">
              <w:r w:rsidRPr="00295E71">
                <w:rPr>
                  <w:sz w:val="22"/>
                  <w:lang w:eastAsia="en-US"/>
                </w:rPr>
                <w:delText xml:space="preserve"> remissione parziale</w:delText>
              </w:r>
            </w:del>
          </w:p>
        </w:tc>
        <w:tc>
          <w:tcPr>
            <w:tcW w:w="928" w:type="pct"/>
          </w:tcPr>
          <w:p w:rsidR="00897CDF" w:rsidRPr="00295E71" w:rsidP="00897CDF" w14:paraId="423C2D0D" w14:textId="77777777">
            <w:pPr>
              <w:keepNext/>
              <w:tabs>
                <w:tab w:val="left" w:pos="562"/>
              </w:tabs>
              <w:suppressAutoHyphens/>
              <w:jc w:val="center"/>
              <w:rPr>
                <w:del w:id="9344" w:author="AbbVie14" w:date="2025-05-09T10:34:00Z"/>
                <w:sz w:val="22"/>
                <w:lang w:eastAsia="en-US"/>
              </w:rPr>
            </w:pPr>
            <w:del w:id="9345" w:author="AbbVie14" w:date="2025-05-09T10:34:00Z">
              <w:r w:rsidRPr="00295E71">
                <w:rPr>
                  <w:sz w:val="22"/>
                  <w:lang w:eastAsia="en-US"/>
                </w:rPr>
                <w:delText>26,8%</w:delText>
              </w:r>
            </w:del>
          </w:p>
        </w:tc>
        <w:tc>
          <w:tcPr>
            <w:tcW w:w="1005" w:type="pct"/>
          </w:tcPr>
          <w:p w:rsidR="00897CDF" w:rsidRPr="00295E71" w:rsidP="00897CDF" w14:paraId="199924D1" w14:textId="77777777">
            <w:pPr>
              <w:keepNext/>
              <w:tabs>
                <w:tab w:val="left" w:pos="562"/>
              </w:tabs>
              <w:suppressAutoHyphens/>
              <w:jc w:val="center"/>
              <w:rPr>
                <w:del w:id="9346" w:author="AbbVie14" w:date="2025-05-09T10:34:00Z"/>
                <w:sz w:val="22"/>
                <w:lang w:eastAsia="en-US"/>
              </w:rPr>
            </w:pPr>
            <w:del w:id="9347" w:author="AbbVie14" w:date="2025-05-09T10:34:00Z">
              <w:r w:rsidRPr="00295E71">
                <w:rPr>
                  <w:sz w:val="22"/>
                  <w:lang w:eastAsia="en-US"/>
                </w:rPr>
                <w:delText>42,1%**</w:delText>
              </w:r>
            </w:del>
          </w:p>
        </w:tc>
      </w:tr>
      <w:tr w14:paraId="4B9ADE41" w14:textId="77777777" w:rsidTr="00CC7DC5">
        <w:tblPrEx>
          <w:tblW w:w="5000" w:type="pct"/>
          <w:tblLook w:val="0000"/>
        </w:tblPrEx>
        <w:trPr>
          <w:del w:id="9348" w:author="AbbVie14" w:date="2025-05-09T10:34:00Z"/>
        </w:trPr>
        <w:tc>
          <w:tcPr>
            <w:tcW w:w="3067" w:type="pct"/>
          </w:tcPr>
          <w:p w:rsidR="00897CDF" w:rsidRPr="00295E71" w:rsidP="00897CDF" w14:paraId="077E3809" w14:textId="77777777">
            <w:pPr>
              <w:keepNext/>
              <w:tabs>
                <w:tab w:val="left" w:pos="562"/>
              </w:tabs>
              <w:suppressAutoHyphens/>
              <w:rPr>
                <w:del w:id="9349" w:author="AbbVie14" w:date="2025-05-09T10:34:00Z"/>
                <w:sz w:val="22"/>
                <w:lang w:eastAsia="en-US"/>
              </w:rPr>
            </w:pPr>
            <w:del w:id="9350" w:author="AbbVie14" w:date="2025-05-09T10:34:00Z">
              <w:r w:rsidRPr="00295E71">
                <w:rPr>
                  <w:sz w:val="22"/>
                  <w:lang w:eastAsia="en-US"/>
                </w:rPr>
                <w:delText>ASDAS</w:delText>
              </w:r>
            </w:del>
            <w:del w:id="9351" w:author="AbbVie14" w:date="2025-05-09T10:34:00Z">
              <w:r w:rsidRPr="00295E71">
                <w:rPr>
                  <w:sz w:val="22"/>
                  <w:vertAlign w:val="superscript"/>
                  <w:lang w:eastAsia="en-US"/>
                </w:rPr>
                <w:delText>c</w:delText>
              </w:r>
            </w:del>
            <w:del w:id="9352" w:author="AbbVie14" w:date="2025-05-09T10:34:00Z">
              <w:r w:rsidRPr="00295E71">
                <w:rPr>
                  <w:sz w:val="22"/>
                  <w:lang w:eastAsia="en-US"/>
                </w:rPr>
                <w:delText xml:space="preserve"> malattia inattiva</w:delText>
              </w:r>
            </w:del>
          </w:p>
        </w:tc>
        <w:tc>
          <w:tcPr>
            <w:tcW w:w="928" w:type="pct"/>
          </w:tcPr>
          <w:p w:rsidR="00897CDF" w:rsidRPr="00295E71" w:rsidP="00897CDF" w14:paraId="10385563" w14:textId="77777777">
            <w:pPr>
              <w:keepNext/>
              <w:tabs>
                <w:tab w:val="left" w:pos="562"/>
              </w:tabs>
              <w:suppressAutoHyphens/>
              <w:jc w:val="center"/>
              <w:rPr>
                <w:del w:id="9353" w:author="AbbVie14" w:date="2025-05-09T10:34:00Z"/>
                <w:sz w:val="22"/>
                <w:lang w:eastAsia="en-US"/>
              </w:rPr>
            </w:pPr>
            <w:del w:id="9354" w:author="AbbVie14" w:date="2025-05-09T10:34:00Z">
              <w:r w:rsidRPr="00295E71">
                <w:rPr>
                  <w:sz w:val="22"/>
                  <w:lang w:eastAsia="en-US"/>
                </w:rPr>
                <w:delText>33,3%</w:delText>
              </w:r>
            </w:del>
          </w:p>
        </w:tc>
        <w:tc>
          <w:tcPr>
            <w:tcW w:w="1005" w:type="pct"/>
          </w:tcPr>
          <w:p w:rsidR="00897CDF" w:rsidRPr="00295E71" w:rsidP="00897CDF" w14:paraId="5C307F92" w14:textId="77777777">
            <w:pPr>
              <w:keepNext/>
              <w:tabs>
                <w:tab w:val="left" w:pos="562"/>
              </w:tabs>
              <w:suppressAutoHyphens/>
              <w:jc w:val="center"/>
              <w:rPr>
                <w:del w:id="9355" w:author="AbbVie14" w:date="2025-05-09T10:34:00Z"/>
                <w:sz w:val="22"/>
                <w:lang w:eastAsia="en-US"/>
              </w:rPr>
            </w:pPr>
            <w:del w:id="9356" w:author="AbbVie14" w:date="2025-05-09T10:34:00Z">
              <w:r w:rsidRPr="00295E71">
                <w:rPr>
                  <w:sz w:val="22"/>
                  <w:lang w:eastAsia="en-US"/>
                </w:rPr>
                <w:delText>57,2%***</w:delText>
              </w:r>
            </w:del>
          </w:p>
        </w:tc>
      </w:tr>
      <w:tr w14:paraId="0ECD2F3D" w14:textId="77777777" w:rsidTr="00CC7DC5">
        <w:tblPrEx>
          <w:tblW w:w="5000" w:type="pct"/>
          <w:tblLook w:val="0000"/>
        </w:tblPrEx>
        <w:trPr>
          <w:del w:id="9357" w:author="AbbVie14" w:date="2025-05-09T10:34:00Z"/>
        </w:trPr>
        <w:tc>
          <w:tcPr>
            <w:tcW w:w="3067" w:type="pct"/>
          </w:tcPr>
          <w:p w:rsidR="00897CDF" w:rsidRPr="00295E71" w:rsidP="00897CDF" w14:paraId="0F4D31C4" w14:textId="77777777">
            <w:pPr>
              <w:keepNext/>
              <w:tabs>
                <w:tab w:val="left" w:pos="562"/>
              </w:tabs>
              <w:suppressAutoHyphens/>
              <w:rPr>
                <w:del w:id="9358" w:author="AbbVie14" w:date="2025-05-09T10:34:00Z"/>
                <w:sz w:val="22"/>
                <w:lang w:eastAsia="en-US"/>
              </w:rPr>
            </w:pPr>
            <w:del w:id="9359" w:author="AbbVie14" w:date="2025-05-09T10:34:00Z">
              <w:r w:rsidRPr="00295E71">
                <w:rPr>
                  <w:sz w:val="22"/>
                  <w:lang w:eastAsia="en-US"/>
                </w:rPr>
                <w:delText>Esacerbazione parziale</w:delText>
              </w:r>
            </w:del>
            <w:del w:id="9360" w:author="AbbVie14" w:date="2025-05-09T10:34:00Z">
              <w:r w:rsidRPr="00295E71">
                <w:rPr>
                  <w:sz w:val="22"/>
                  <w:szCs w:val="22"/>
                  <w:vertAlign w:val="superscript"/>
                  <w:lang w:eastAsia="en-US"/>
                </w:rPr>
                <w:delText>d</w:delText>
              </w:r>
            </w:del>
          </w:p>
        </w:tc>
        <w:tc>
          <w:tcPr>
            <w:tcW w:w="928" w:type="pct"/>
          </w:tcPr>
          <w:p w:rsidR="00897CDF" w:rsidRPr="00295E71" w:rsidP="00897CDF" w14:paraId="1F7AF0FD" w14:textId="77777777">
            <w:pPr>
              <w:keepNext/>
              <w:tabs>
                <w:tab w:val="left" w:pos="562"/>
              </w:tabs>
              <w:suppressAutoHyphens/>
              <w:jc w:val="center"/>
              <w:rPr>
                <w:del w:id="9361" w:author="AbbVie14" w:date="2025-05-09T10:34:00Z"/>
                <w:sz w:val="22"/>
                <w:lang w:eastAsia="en-US"/>
              </w:rPr>
            </w:pPr>
            <w:del w:id="9362" w:author="AbbVie14" w:date="2025-05-09T10:34:00Z">
              <w:r w:rsidRPr="00295E71">
                <w:rPr>
                  <w:sz w:val="22"/>
                  <w:lang w:eastAsia="en-US"/>
                </w:rPr>
                <w:delText>64,1%</w:delText>
              </w:r>
            </w:del>
          </w:p>
        </w:tc>
        <w:tc>
          <w:tcPr>
            <w:tcW w:w="1005" w:type="pct"/>
          </w:tcPr>
          <w:p w:rsidR="00897CDF" w:rsidRPr="00295E71" w:rsidP="00897CDF" w14:paraId="4A7BEA02" w14:textId="77777777">
            <w:pPr>
              <w:keepNext/>
              <w:tabs>
                <w:tab w:val="left" w:pos="562"/>
              </w:tabs>
              <w:suppressAutoHyphens/>
              <w:jc w:val="center"/>
              <w:rPr>
                <w:del w:id="9363" w:author="AbbVie14" w:date="2025-05-09T10:34:00Z"/>
                <w:sz w:val="22"/>
                <w:lang w:eastAsia="en-US"/>
              </w:rPr>
            </w:pPr>
            <w:del w:id="9364" w:author="AbbVie14" w:date="2025-05-09T10:34:00Z">
              <w:r w:rsidRPr="00295E71">
                <w:rPr>
                  <w:sz w:val="22"/>
                  <w:lang w:eastAsia="en-US"/>
                </w:rPr>
                <w:delText>40,8%***</w:delText>
              </w:r>
            </w:del>
          </w:p>
        </w:tc>
      </w:tr>
      <w:tr w14:paraId="3EF63C90" w14:textId="77777777" w:rsidTr="00CC7DC5">
        <w:tblPrEx>
          <w:tblW w:w="5000" w:type="pct"/>
          <w:tblLook w:val="0000"/>
        </w:tblPrEx>
        <w:trPr>
          <w:del w:id="9365" w:author="AbbVie14" w:date="2025-05-09T10:34:00Z"/>
        </w:trPr>
        <w:tc>
          <w:tcPr>
            <w:tcW w:w="5000" w:type="pct"/>
            <w:gridSpan w:val="3"/>
            <w:tcBorders>
              <w:left w:val="nil"/>
              <w:bottom w:val="nil"/>
              <w:right w:val="nil"/>
            </w:tcBorders>
          </w:tcPr>
          <w:p w:rsidR="00897CDF" w:rsidRPr="00295E71" w:rsidP="00897CDF" w14:paraId="7099E8D6" w14:textId="77777777">
            <w:pPr>
              <w:autoSpaceDE w:val="0"/>
              <w:autoSpaceDN w:val="0"/>
              <w:adjustRightInd w:val="0"/>
              <w:rPr>
                <w:del w:id="9366" w:author="AbbVie14" w:date="2025-05-09T10:34:00Z"/>
                <w:sz w:val="22"/>
                <w:szCs w:val="22"/>
                <w:lang w:eastAsia="en-US"/>
              </w:rPr>
            </w:pPr>
            <w:del w:id="9367" w:author="AbbVie14" w:date="2025-05-09T10:34:00Z">
              <w:r w:rsidRPr="00295E71">
                <w:rPr>
                  <w:sz w:val="22"/>
                  <w:szCs w:val="22"/>
                  <w:vertAlign w:val="superscript"/>
                  <w:lang w:eastAsia="en-US"/>
                </w:rPr>
                <w:delText>a</w:delText>
              </w:r>
            </w:del>
            <w:del w:id="9368" w:author="AbbVie14" w:date="2025-05-09T10:34:00Z">
              <w:r w:rsidRPr="00295E71">
                <w:rPr>
                  <w:sz w:val="22"/>
                  <w:szCs w:val="22"/>
                  <w:lang w:eastAsia="en-US"/>
                </w:rPr>
                <w:delText xml:space="preserve"> Valutazione della Società internazionale per la spondiloartrite (</w:delText>
              </w:r>
            </w:del>
            <w:del w:id="9369" w:author="AbbVie14" w:date="2025-05-09T10:34:00Z">
              <w:r w:rsidRPr="00295E71">
                <w:rPr>
                  <w:i/>
                  <w:sz w:val="22"/>
                  <w:szCs w:val="22"/>
                  <w:lang w:eastAsia="en-US"/>
                </w:rPr>
                <w:delText>Assessment of SpondyloArthritis international Society)</w:delText>
              </w:r>
            </w:del>
          </w:p>
          <w:p w:rsidR="00897CDF" w:rsidRPr="00295E71" w:rsidP="00897CDF" w14:paraId="5B8643FD" w14:textId="77777777">
            <w:pPr>
              <w:tabs>
                <w:tab w:val="left" w:pos="562"/>
              </w:tabs>
              <w:suppressAutoHyphens/>
              <w:ind w:left="20"/>
              <w:rPr>
                <w:del w:id="9370" w:author="AbbVie14" w:date="2025-05-09T10:34:00Z"/>
                <w:sz w:val="22"/>
                <w:szCs w:val="22"/>
                <w:vertAlign w:val="superscript"/>
                <w:lang w:eastAsia="en-US"/>
              </w:rPr>
            </w:pPr>
            <w:del w:id="9371" w:author="AbbVie14" w:date="2025-05-09T10:34:00Z">
              <w:r w:rsidRPr="00295E71">
                <w:rPr>
                  <w:sz w:val="22"/>
                  <w:szCs w:val="22"/>
                  <w:vertAlign w:val="superscript"/>
                  <w:lang w:eastAsia="en-US"/>
                </w:rPr>
                <w:delText>b</w:delText>
              </w:r>
            </w:del>
            <w:del w:id="9372" w:author="AbbVie14" w:date="2025-05-09T10:34:00Z">
              <w:r w:rsidRPr="00295E71">
                <w:rPr>
                  <w:sz w:val="22"/>
                  <w:szCs w:val="22"/>
                  <w:lang w:eastAsia="en-US"/>
                </w:rPr>
                <w:delText xml:space="preserve"> Il basale è definito come basale in aperto quando i pazienti presentano malattia attiva.</w:delText>
              </w:r>
            </w:del>
          </w:p>
          <w:p w:rsidR="00897CDF" w:rsidRPr="00295E71" w:rsidP="00897CDF" w14:paraId="48EB30A1" w14:textId="77777777">
            <w:pPr>
              <w:tabs>
                <w:tab w:val="left" w:pos="562"/>
              </w:tabs>
              <w:suppressAutoHyphens/>
              <w:ind w:left="20"/>
              <w:rPr>
                <w:del w:id="9373" w:author="AbbVie14" w:date="2025-05-09T10:34:00Z"/>
                <w:sz w:val="22"/>
                <w:szCs w:val="22"/>
                <w:vertAlign w:val="superscript"/>
                <w:lang w:eastAsia="en-US"/>
              </w:rPr>
            </w:pPr>
            <w:del w:id="9374" w:author="AbbVie14" w:date="2025-05-09T10:34:00Z">
              <w:r w:rsidRPr="00295E71">
                <w:rPr>
                  <w:sz w:val="22"/>
                  <w:szCs w:val="22"/>
                  <w:vertAlign w:val="superscript"/>
                  <w:lang w:eastAsia="en-US"/>
                </w:rPr>
                <w:delText>c</w:delText>
              </w:r>
            </w:del>
            <w:del w:id="9375" w:author="AbbVie14" w:date="2025-05-09T10:34:00Z">
              <w:r w:rsidRPr="00295E71">
                <w:rPr>
                  <w:sz w:val="22"/>
                  <w:szCs w:val="22"/>
                  <w:lang w:eastAsia="en-US"/>
                </w:rPr>
                <w:delText xml:space="preserve"> Punteggio di attività di malattia della spondilite anchilosante (</w:delText>
              </w:r>
            </w:del>
            <w:del w:id="9376" w:author="AbbVie14" w:date="2025-05-09T10:34:00Z">
              <w:r w:rsidRPr="00295E71">
                <w:rPr>
                  <w:i/>
                  <w:sz w:val="22"/>
                  <w:szCs w:val="22"/>
                  <w:lang w:eastAsia="en-US"/>
                </w:rPr>
                <w:delText>Ankylosing Spondylitis Disease Activity Score</w:delText>
              </w:r>
            </w:del>
            <w:del w:id="9377" w:author="AbbVie14" w:date="2025-05-09T10:34:00Z">
              <w:r w:rsidRPr="00295E71">
                <w:rPr>
                  <w:sz w:val="22"/>
                  <w:szCs w:val="22"/>
                  <w:lang w:eastAsia="en-US"/>
                </w:rPr>
                <w:delText>)</w:delText>
              </w:r>
            </w:del>
          </w:p>
          <w:p w:rsidR="00897CDF" w:rsidRPr="00295E71" w:rsidP="00897CDF" w14:paraId="01B563AA" w14:textId="77777777">
            <w:pPr>
              <w:autoSpaceDE w:val="0"/>
              <w:autoSpaceDN w:val="0"/>
              <w:adjustRightInd w:val="0"/>
              <w:rPr>
                <w:del w:id="9378" w:author="AbbVie14" w:date="2025-05-09T10:34:00Z"/>
                <w:sz w:val="22"/>
                <w:szCs w:val="22"/>
                <w:lang w:eastAsia="en-US"/>
              </w:rPr>
            </w:pPr>
            <w:del w:id="9379" w:author="AbbVie14" w:date="2025-05-09T10:34:00Z">
              <w:r w:rsidRPr="00295E71">
                <w:rPr>
                  <w:sz w:val="22"/>
                  <w:szCs w:val="22"/>
                  <w:vertAlign w:val="superscript"/>
                  <w:lang w:eastAsia="en-US"/>
                </w:rPr>
                <w:delText>d</w:delText>
              </w:r>
            </w:del>
            <w:del w:id="9380" w:author="AbbVie14" w:date="2025-05-09T10:34:00Z">
              <w:r w:rsidRPr="00295E71">
                <w:rPr>
                  <w:sz w:val="22"/>
                  <w:szCs w:val="22"/>
                  <w:lang w:eastAsia="en-US"/>
                </w:rPr>
                <w:delText xml:space="preserve"> L’esacerbazione parziale è definita come </w:delText>
              </w:r>
            </w:del>
            <w:del w:id="9381" w:author="AbbVie14" w:date="2025-05-09T10:34:00Z">
              <w:r w:rsidRPr="00295E71" w:rsidR="00F83DC3">
                <w:rPr>
                  <w:rFonts w:eastAsia="Calibri"/>
                  <w:sz w:val="22"/>
                  <w:szCs w:val="22"/>
                  <w:lang w:eastAsia="en-US"/>
                </w:rPr>
                <w:delText>ASDAS ≥</w:delText>
              </w:r>
            </w:del>
            <w:del w:id="9382" w:author="AbbVie14" w:date="2025-05-09T10:34:00Z">
              <w:r w:rsidR="003C4CAF">
                <w:rPr>
                  <w:rFonts w:eastAsia="Calibri"/>
                  <w:sz w:val="22"/>
                  <w:szCs w:val="22"/>
                  <w:lang w:eastAsia="en-US"/>
                </w:rPr>
                <w:delText> </w:delText>
              </w:r>
            </w:del>
            <w:del w:id="9383" w:author="AbbVie14" w:date="2025-05-09T10:34:00Z">
              <w:r w:rsidRPr="00295E71" w:rsidR="00F83DC3">
                <w:rPr>
                  <w:rFonts w:eastAsia="Calibri"/>
                  <w:sz w:val="22"/>
                  <w:szCs w:val="22"/>
                  <w:lang w:eastAsia="en-US"/>
                </w:rPr>
                <w:delText>1,3 ma &lt;</w:delText>
              </w:r>
            </w:del>
            <w:del w:id="9384" w:author="AbbVie14" w:date="2025-05-09T10:34:00Z">
              <w:r w:rsidR="003C4CAF">
                <w:rPr>
                  <w:rFonts w:eastAsia="Calibri"/>
                  <w:sz w:val="22"/>
                  <w:szCs w:val="22"/>
                  <w:lang w:eastAsia="en-US"/>
                </w:rPr>
                <w:delText> </w:delText>
              </w:r>
            </w:del>
            <w:del w:id="9385" w:author="AbbVie14" w:date="2025-05-09T10:34:00Z">
              <w:r w:rsidRPr="00295E71">
                <w:rPr>
                  <w:rFonts w:eastAsia="Calibri"/>
                  <w:sz w:val="22"/>
                  <w:szCs w:val="22"/>
                  <w:lang w:eastAsia="en-US"/>
                </w:rPr>
                <w:delText>2,1 a 2 visite consecutive.</w:delText>
              </w:r>
            </w:del>
          </w:p>
          <w:p w:rsidR="00897CDF" w:rsidRPr="00295E71" w:rsidP="00897CDF" w14:paraId="26BD15B3" w14:textId="77777777">
            <w:pPr>
              <w:keepNext/>
              <w:tabs>
                <w:tab w:val="left" w:pos="562"/>
              </w:tabs>
              <w:suppressAutoHyphens/>
              <w:ind w:left="20"/>
              <w:rPr>
                <w:del w:id="9386" w:author="AbbVie14" w:date="2025-05-09T10:34:00Z"/>
                <w:sz w:val="22"/>
                <w:szCs w:val="20"/>
                <w:lang w:eastAsia="en-US"/>
              </w:rPr>
            </w:pPr>
            <w:del w:id="9387" w:author="AbbVie14" w:date="2025-05-09T10:34:00Z">
              <w:r w:rsidRPr="00295E71">
                <w:rPr>
                  <w:sz w:val="22"/>
                  <w:szCs w:val="22"/>
                  <w:lang w:eastAsia="en-US"/>
                </w:rPr>
                <w:delText>***, ** Statisticamente significativo, rispettivamente,</w:delText>
              </w:r>
            </w:del>
            <w:del w:id="9388" w:author="AbbVie14" w:date="2025-05-09T10:34:00Z">
              <w:r w:rsidRPr="00295E71" w:rsidR="00F83DC3">
                <w:rPr>
                  <w:sz w:val="22"/>
                  <w:szCs w:val="22"/>
                  <w:lang w:eastAsia="en-US"/>
                </w:rPr>
                <w:delText xml:space="preserve"> con p &lt;0,001 e &lt;</w:delText>
              </w:r>
            </w:del>
            <w:del w:id="9389" w:author="AbbVie14" w:date="2025-05-09T10:34:00Z">
              <w:r w:rsidRPr="00295E71">
                <w:rPr>
                  <w:sz w:val="22"/>
                  <w:szCs w:val="22"/>
                  <w:lang w:eastAsia="en-US"/>
                </w:rPr>
                <w:delText>0,01 per tutti i confronti tra Humira e placebo.</w:delText>
              </w:r>
            </w:del>
          </w:p>
        </w:tc>
      </w:tr>
    </w:tbl>
    <w:p w:rsidR="006224C2" w:rsidRPr="00BF509C" w14:paraId="077E2434" w14:textId="77777777">
      <w:pPr>
        <w:pStyle w:val="EMEATitle"/>
        <w:suppressAutoHyphens w:val="0"/>
        <w:jc w:val="both"/>
        <w:rPr>
          <w:del w:id="9390" w:author="AbbVie14" w:date="2025-05-09T10:34:00Z"/>
          <w:rFonts w:ascii="Times New Roman" w:hAnsi="Times New Roman"/>
          <w:b w:val="0"/>
          <w:caps w:val="0"/>
          <w:lang w:val="it-IT" w:eastAsia="it-IT"/>
        </w:rPr>
      </w:pPr>
    </w:p>
    <w:p w:rsidR="006224C2" w:rsidRPr="00295E71" w14:paraId="0D3F81BC" w14:textId="77777777">
      <w:pPr>
        <w:keepNext/>
        <w:tabs>
          <w:tab w:val="left" w:pos="567"/>
          <w:tab w:val="left" w:pos="1294"/>
        </w:tabs>
        <w:autoSpaceDE w:val="0"/>
        <w:autoSpaceDN w:val="0"/>
        <w:adjustRightInd w:val="0"/>
        <w:jc w:val="both"/>
        <w:rPr>
          <w:del w:id="9391" w:author="AbbVie14" w:date="2025-05-09T10:34:00Z"/>
          <w:i/>
          <w:color w:val="000000"/>
          <w:sz w:val="22"/>
          <w:szCs w:val="22"/>
        </w:rPr>
      </w:pPr>
      <w:del w:id="9392" w:author="AbbVie14" w:date="2025-05-09T10:34:00Z">
        <w:r w:rsidRPr="00295E71">
          <w:rPr>
            <w:i/>
            <w:color w:val="000000"/>
            <w:sz w:val="22"/>
            <w:szCs w:val="22"/>
          </w:rPr>
          <w:delText>Artrite psoriasica</w:delText>
        </w:r>
      </w:del>
    </w:p>
    <w:p w:rsidR="006224C2" w:rsidRPr="00295E71" w14:paraId="5860CE88" w14:textId="77777777">
      <w:pPr>
        <w:keepNext/>
        <w:tabs>
          <w:tab w:val="left" w:pos="567"/>
          <w:tab w:val="left" w:pos="1294"/>
        </w:tabs>
        <w:autoSpaceDE w:val="0"/>
        <w:autoSpaceDN w:val="0"/>
        <w:adjustRightInd w:val="0"/>
        <w:jc w:val="both"/>
        <w:rPr>
          <w:del w:id="9393" w:author="AbbVie14" w:date="2025-05-09T10:34:00Z"/>
          <w:color w:val="000000"/>
          <w:sz w:val="22"/>
          <w:szCs w:val="22"/>
        </w:rPr>
      </w:pPr>
    </w:p>
    <w:p w:rsidR="006224C2" w:rsidRPr="00295E71" w:rsidP="00AD7AF0" w14:paraId="14E00AF4" w14:textId="77777777">
      <w:pPr>
        <w:keepNext/>
        <w:tabs>
          <w:tab w:val="left" w:pos="567"/>
          <w:tab w:val="left" w:pos="1294"/>
        </w:tabs>
        <w:autoSpaceDE w:val="0"/>
        <w:autoSpaceDN w:val="0"/>
        <w:adjustRightInd w:val="0"/>
        <w:jc w:val="both"/>
        <w:rPr>
          <w:del w:id="9394" w:author="AbbVie14" w:date="2025-05-09T10:34:00Z"/>
          <w:sz w:val="22"/>
          <w:szCs w:val="22"/>
        </w:rPr>
      </w:pPr>
      <w:del w:id="9395" w:author="AbbVie14" w:date="2025-05-09T10:34:00Z">
        <w:r w:rsidRPr="00295E71">
          <w:rPr>
            <w:sz w:val="22"/>
            <w:szCs w:val="22"/>
          </w:rPr>
          <w:delText>Humira, somministrato alla dose di 40 mg a settimane alterne, è stato studiato in pazienti affetti da artrite psoriasica attiva di grado moderato-grave in due studi controllati con placebo, gli studi PsA I e II. Nel corso dello studio PsA I della durata di 24 settimane, sono stati trattati 313 pazienti adulti che avevano una risposta inadeguata alla terapia con farmaci antinfiammatori non</w:delText>
        </w:r>
      </w:del>
      <w:del w:id="9396" w:author="AbbVie14" w:date="2025-05-09T10:34:00Z">
        <w:r w:rsidR="00420BF3">
          <w:rPr>
            <w:sz w:val="22"/>
            <w:szCs w:val="22"/>
          </w:rPr>
          <w:delText xml:space="preserve"> </w:delText>
        </w:r>
      </w:del>
      <w:del w:id="9397" w:author="AbbVie14" w:date="2025-05-09T10:34:00Z">
        <w:r w:rsidRPr="00295E71">
          <w:rPr>
            <w:sz w:val="22"/>
            <w:szCs w:val="22"/>
          </w:rPr>
          <w:delText>steroidei e di questi, circa il 50% stava assumendo metotressato. Nel corso dello studio PsA II della durata di 12 settimane, sono stati trattati 100 pazienti che avevano una risposta inadeguata alla terapia con DMARD. A conclusione di entrambi gli studi, 383 pazienti sono stati arruolati in uno studio di estensione in aperto ed hanno ricevuto Humira 40 mg a settimane alterne.</w:delText>
        </w:r>
      </w:del>
    </w:p>
    <w:p w:rsidR="006224C2" w:rsidRPr="00295E71" w14:paraId="7210FA6B" w14:textId="77777777">
      <w:pPr>
        <w:keepNext/>
        <w:tabs>
          <w:tab w:val="left" w:pos="567"/>
          <w:tab w:val="left" w:pos="1294"/>
        </w:tabs>
        <w:autoSpaceDE w:val="0"/>
        <w:autoSpaceDN w:val="0"/>
        <w:adjustRightInd w:val="0"/>
        <w:jc w:val="both"/>
        <w:pPrChange w:id="9398" w:author="AbbVie14" w:date="2025-05-09T10:34:00Z">
          <w:pPr>
            <w:tabs>
              <w:tab w:val="left" w:pos="567"/>
              <w:tab w:val="left" w:pos="1294"/>
            </w:tabs>
            <w:autoSpaceDE w:val="0"/>
            <w:autoSpaceDN w:val="0"/>
            <w:adjustRightInd w:val="0"/>
            <w:jc w:val="both"/>
          </w:pPr>
        </w:pPrChange>
        <w:rPr>
          <w:del w:id="9399" w:author="AbbVie14" w:date="2025-05-09T10:34:00Z"/>
          <w:sz w:val="22"/>
          <w:szCs w:val="22"/>
        </w:rPr>
      </w:pPr>
    </w:p>
    <w:p w:rsidR="006224C2" w:rsidRPr="00295E71" w14:paraId="1063DB87" w14:textId="77777777">
      <w:pPr>
        <w:keepNext/>
        <w:tabs>
          <w:tab w:val="left" w:pos="567"/>
          <w:tab w:val="left" w:pos="1294"/>
        </w:tabs>
        <w:autoSpaceDE w:val="0"/>
        <w:autoSpaceDN w:val="0"/>
        <w:adjustRightInd w:val="0"/>
        <w:jc w:val="both"/>
        <w:pPrChange w:id="9400" w:author="AbbVie14" w:date="2025-05-09T10:34:00Z">
          <w:pPr>
            <w:tabs>
              <w:tab w:val="left" w:pos="567"/>
              <w:tab w:val="left" w:pos="1294"/>
            </w:tabs>
            <w:autoSpaceDE w:val="0"/>
            <w:autoSpaceDN w:val="0"/>
            <w:adjustRightInd w:val="0"/>
            <w:jc w:val="both"/>
          </w:pPr>
        </w:pPrChange>
        <w:rPr>
          <w:del w:id="9401" w:author="AbbVie14" w:date="2025-05-09T10:34:00Z"/>
          <w:sz w:val="22"/>
          <w:szCs w:val="22"/>
        </w:rPr>
      </w:pPr>
      <w:del w:id="9402" w:author="AbbVie14" w:date="2025-05-09T10:34:00Z">
        <w:r w:rsidRPr="00295E71">
          <w:rPr>
            <w:sz w:val="22"/>
            <w:szCs w:val="22"/>
          </w:rPr>
          <w:delText>A causa del numero limitato di pazienti studiati, non vi è sufficiente evidenza dell’efficacia di Humira in pazienti affetti da artrite psoriasica simil-spondilite anchilosante.</w:delText>
        </w:r>
      </w:del>
    </w:p>
    <w:p w:rsidR="006224C2" w:rsidRPr="00295E71" w14:paraId="61E978DF" w14:textId="77777777">
      <w:pPr>
        <w:keepNext/>
        <w:tabs>
          <w:tab w:val="left" w:pos="567"/>
          <w:tab w:val="left" w:pos="1294"/>
        </w:tabs>
        <w:autoSpaceDE w:val="0"/>
        <w:autoSpaceDN w:val="0"/>
        <w:adjustRightInd w:val="0"/>
        <w:jc w:val="both"/>
        <w:pPrChange w:id="9403" w:author="AbbVie14" w:date="2025-05-09T10:34:00Z">
          <w:pPr>
            <w:tabs>
              <w:tab w:val="left" w:pos="567"/>
              <w:tab w:val="left" w:pos="1294"/>
            </w:tabs>
            <w:autoSpaceDE w:val="0"/>
            <w:autoSpaceDN w:val="0"/>
            <w:adjustRightInd w:val="0"/>
          </w:pPr>
        </w:pPrChange>
        <w:rPr>
          <w:del w:id="9404" w:author="AbbVie14" w:date="2025-05-09T10:34:00Z"/>
          <w:sz w:val="22"/>
          <w:szCs w:val="22"/>
        </w:rPr>
      </w:pPr>
    </w:p>
    <w:p w:rsidR="006224C2" w:rsidRPr="00295E71" w14:paraId="54CEF101" w14:textId="77777777">
      <w:pPr>
        <w:keepNext/>
        <w:tabs>
          <w:tab w:val="left" w:pos="567"/>
          <w:tab w:val="left" w:pos="1294"/>
        </w:tabs>
        <w:autoSpaceDE w:val="0"/>
        <w:autoSpaceDN w:val="0"/>
        <w:adjustRightInd w:val="0"/>
        <w:jc w:val="both"/>
        <w:pPrChange w:id="9405" w:author="AbbVie14" w:date="2025-05-09T10:34:00Z">
          <w:pPr>
            <w:pStyle w:val="EMEATitle"/>
            <w:keepNext/>
            <w:suppressAutoHyphens w:val="0"/>
          </w:pPr>
        </w:pPrChange>
        <w:rPr>
          <w:del w:id="9406" w:author="AbbVie14" w:date="2025-05-09T10:34:00Z"/>
        </w:rPr>
      </w:pPr>
      <w:del w:id="9407" w:author="AbbVie14" w:date="2025-05-09T10:34:00Z">
        <w:r w:rsidRPr="00295E71">
          <w:delText>Tabella 1</w:delText>
        </w:r>
      </w:del>
      <w:del w:id="9408" w:author="AbbVie14" w:date="2025-05-09T10:34:00Z">
        <w:r w:rsidR="005C4AD7">
          <w:delText>5</w:delText>
        </w:r>
      </w:del>
    </w:p>
    <w:p w:rsidR="006224C2" w:rsidRPr="00295E71" w14:paraId="2200A615" w14:textId="77777777">
      <w:pPr>
        <w:keepNext/>
        <w:tabs>
          <w:tab w:val="left" w:pos="567"/>
          <w:tab w:val="left" w:pos="1294"/>
        </w:tabs>
        <w:autoSpaceDE w:val="0"/>
        <w:autoSpaceDN w:val="0"/>
        <w:adjustRightInd w:val="0"/>
        <w:jc w:val="both"/>
        <w:pPrChange w:id="9409" w:author="AbbVie14" w:date="2025-05-09T10:34:00Z">
          <w:pPr>
            <w:keepNext/>
            <w:tabs>
              <w:tab w:val="left" w:pos="567"/>
            </w:tabs>
            <w:jc w:val="center"/>
          </w:pPr>
        </w:pPrChange>
        <w:rPr>
          <w:del w:id="9410" w:author="AbbVie14" w:date="2025-05-09T10:34:00Z"/>
          <w:b/>
          <w:bCs/>
          <w:sz w:val="22"/>
          <w:szCs w:val="22"/>
        </w:rPr>
      </w:pPr>
      <w:del w:id="9411" w:author="AbbVie14" w:date="2025-05-09T10:34:00Z">
        <w:r w:rsidRPr="00295E71">
          <w:rPr>
            <w:b/>
            <w:bCs/>
            <w:sz w:val="22"/>
            <w:szCs w:val="22"/>
          </w:rPr>
          <w:delText>Risposte ACR in studi controllati con placebo nei casi di artrite psoriasica (percentuale di pazienti)</w:delText>
        </w:r>
      </w:del>
    </w:p>
    <w:p w:rsidR="006224C2" w:rsidRPr="00295E71" w14:paraId="0DF02AA1" w14:textId="77777777">
      <w:pPr>
        <w:keepNext/>
        <w:tabs>
          <w:tab w:val="left" w:pos="567"/>
          <w:tab w:val="left" w:pos="1294"/>
        </w:tabs>
        <w:autoSpaceDE w:val="0"/>
        <w:autoSpaceDN w:val="0"/>
        <w:adjustRightInd w:val="0"/>
        <w:jc w:val="both"/>
        <w:pPrChange w:id="9412" w:author="AbbVie14" w:date="2025-05-09T10:34:00Z">
          <w:pPr>
            <w:keepNext/>
            <w:tabs>
              <w:tab w:val="left" w:pos="567"/>
            </w:tabs>
            <w:jc w:val="center"/>
          </w:pPr>
        </w:pPrChange>
        <w:rPr>
          <w:del w:id="9413" w:author="AbbVie14" w:date="2025-05-09T10:34:00Z"/>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4"/>
        <w:gridCol w:w="1770"/>
        <w:gridCol w:w="1324"/>
        <w:gridCol w:w="1316"/>
        <w:gridCol w:w="1343"/>
        <w:gridCol w:w="1316"/>
        <w:gridCol w:w="91"/>
      </w:tblGrid>
      <w:tr w14:paraId="5187A315" w14:textId="77777777">
        <w:tblPrEx>
          <w:tblW w:w="0" w:type="auto"/>
          <w:tblLook w:val="0000"/>
        </w:tblPrEx>
        <w:trPr>
          <w:gridBefore w:val="1"/>
          <w:gridAfter w:val="1"/>
          <w:wBefore w:w="64" w:type="dxa"/>
          <w:wAfter w:w="91" w:type="dxa"/>
          <w:del w:id="9414" w:author="AbbVie14" w:date="2025-05-09T10:34:00Z"/>
        </w:trPr>
        <w:tc>
          <w:tcPr>
            <w:tcW w:w="1770" w:type="dxa"/>
            <w:tcBorders>
              <w:top w:val="single" w:sz="4" w:space="0" w:color="auto"/>
              <w:left w:val="single" w:sz="4" w:space="0" w:color="auto"/>
              <w:bottom w:val="single" w:sz="4" w:space="0" w:color="auto"/>
              <w:right w:val="single" w:sz="4" w:space="0" w:color="auto"/>
            </w:tcBorders>
            <w:vAlign w:val="center"/>
          </w:tcPr>
          <w:p w:rsidR="006224C2" w:rsidRPr="00295E71" w14:paraId="51A02267" w14:textId="77777777">
            <w:pPr>
              <w:keepNext/>
              <w:tabs>
                <w:tab w:val="left" w:pos="567"/>
                <w:tab w:val="left" w:pos="1294"/>
              </w:tabs>
              <w:autoSpaceDE w:val="0"/>
              <w:autoSpaceDN w:val="0"/>
              <w:adjustRightInd w:val="0"/>
              <w:jc w:val="both"/>
              <w:pPrChange w:id="9415" w:author="AbbVie14" w:date="2025-05-09T10:34:00Z">
                <w:pPr>
                  <w:pStyle w:val="EMEANormal"/>
                  <w:keepNext/>
                </w:pPr>
              </w:pPrChange>
              <w:rPr>
                <w:del w:id="9416" w:author="AbbVie14" w:date="2025-05-09T10:34:00Z"/>
              </w:rPr>
            </w:pPr>
          </w:p>
        </w:tc>
        <w:tc>
          <w:tcPr>
            <w:tcW w:w="2640" w:type="dxa"/>
            <w:gridSpan w:val="2"/>
            <w:tcBorders>
              <w:top w:val="single" w:sz="4" w:space="0" w:color="auto"/>
              <w:left w:val="single" w:sz="4" w:space="0" w:color="auto"/>
              <w:bottom w:val="single" w:sz="4" w:space="0" w:color="auto"/>
              <w:right w:val="single" w:sz="4" w:space="0" w:color="auto"/>
            </w:tcBorders>
            <w:vAlign w:val="center"/>
          </w:tcPr>
          <w:p w:rsidR="006224C2" w:rsidRPr="00295E71" w14:paraId="0754A0F0" w14:textId="77777777">
            <w:pPr>
              <w:keepNext/>
              <w:tabs>
                <w:tab w:val="left" w:pos="567"/>
                <w:tab w:val="left" w:pos="1294"/>
              </w:tabs>
              <w:autoSpaceDE w:val="0"/>
              <w:autoSpaceDN w:val="0"/>
              <w:adjustRightInd w:val="0"/>
              <w:jc w:val="both"/>
              <w:pPrChange w:id="9417" w:author="AbbVie14" w:date="2025-05-09T10:34:00Z">
                <w:pPr>
                  <w:pStyle w:val="EMEANormal"/>
                  <w:keepNext/>
                  <w:jc w:val="center"/>
                </w:pPr>
              </w:pPrChange>
              <w:rPr>
                <w:del w:id="9418" w:author="AbbVie14" w:date="2025-05-09T10:34:00Z"/>
              </w:rPr>
            </w:pPr>
            <w:del w:id="9419" w:author="AbbVie14" w:date="2025-05-09T10:34:00Z">
              <w:r w:rsidRPr="00295E71">
                <w:delText>Studio PsA I</w:delText>
              </w:r>
            </w:del>
          </w:p>
        </w:tc>
        <w:tc>
          <w:tcPr>
            <w:tcW w:w="2659" w:type="dxa"/>
            <w:gridSpan w:val="2"/>
            <w:tcBorders>
              <w:top w:val="single" w:sz="4" w:space="0" w:color="auto"/>
              <w:left w:val="single" w:sz="4" w:space="0" w:color="auto"/>
              <w:bottom w:val="single" w:sz="4" w:space="0" w:color="auto"/>
              <w:right w:val="single" w:sz="4" w:space="0" w:color="auto"/>
            </w:tcBorders>
          </w:tcPr>
          <w:p w:rsidR="006224C2" w:rsidRPr="00295E71" w14:paraId="54AED0A8" w14:textId="77777777">
            <w:pPr>
              <w:keepNext/>
              <w:tabs>
                <w:tab w:val="left" w:pos="567"/>
                <w:tab w:val="left" w:pos="1294"/>
              </w:tabs>
              <w:autoSpaceDE w:val="0"/>
              <w:autoSpaceDN w:val="0"/>
              <w:adjustRightInd w:val="0"/>
              <w:jc w:val="both"/>
              <w:pPrChange w:id="9420" w:author="AbbVie14" w:date="2025-05-09T10:34:00Z">
                <w:pPr>
                  <w:pStyle w:val="EMEANormal"/>
                  <w:keepNext/>
                  <w:jc w:val="center"/>
                </w:pPr>
              </w:pPrChange>
              <w:rPr>
                <w:del w:id="9421" w:author="AbbVie14" w:date="2025-05-09T10:34:00Z"/>
              </w:rPr>
            </w:pPr>
            <w:del w:id="9422" w:author="AbbVie14" w:date="2025-05-09T10:34:00Z">
              <w:r w:rsidRPr="00295E71">
                <w:delText>Studio PsA II</w:delText>
              </w:r>
            </w:del>
          </w:p>
        </w:tc>
      </w:tr>
      <w:tr w14:paraId="748F854D" w14:textId="77777777">
        <w:tblPrEx>
          <w:tblW w:w="0" w:type="auto"/>
          <w:tblLook w:val="0000"/>
        </w:tblPrEx>
        <w:trPr>
          <w:gridBefore w:val="1"/>
          <w:gridAfter w:val="1"/>
          <w:wBefore w:w="64" w:type="dxa"/>
          <w:wAfter w:w="91" w:type="dxa"/>
          <w:del w:id="9423" w:author="AbbVie14" w:date="2025-05-09T10:34:00Z"/>
        </w:trPr>
        <w:tc>
          <w:tcPr>
            <w:tcW w:w="1770" w:type="dxa"/>
            <w:tcBorders>
              <w:top w:val="single" w:sz="4" w:space="0" w:color="auto"/>
              <w:left w:val="single" w:sz="4" w:space="0" w:color="auto"/>
              <w:bottom w:val="single" w:sz="4" w:space="0" w:color="auto"/>
              <w:right w:val="single" w:sz="4" w:space="0" w:color="auto"/>
            </w:tcBorders>
            <w:vAlign w:val="center"/>
          </w:tcPr>
          <w:p w:rsidR="006224C2" w:rsidRPr="00295E71" w14:paraId="5B88459A" w14:textId="77777777">
            <w:pPr>
              <w:keepNext/>
              <w:tabs>
                <w:tab w:val="left" w:pos="567"/>
                <w:tab w:val="left" w:pos="1294"/>
              </w:tabs>
              <w:autoSpaceDE w:val="0"/>
              <w:autoSpaceDN w:val="0"/>
              <w:adjustRightInd w:val="0"/>
              <w:jc w:val="both"/>
              <w:pPrChange w:id="9424" w:author="AbbVie14" w:date="2025-05-09T10:34:00Z">
                <w:pPr>
                  <w:pStyle w:val="EMEANormal"/>
                  <w:keepNext/>
                </w:pPr>
              </w:pPrChange>
              <w:rPr>
                <w:del w:id="9425" w:author="AbbVie14" w:date="2025-05-09T10:34:00Z"/>
              </w:rPr>
            </w:pPr>
            <w:del w:id="9426" w:author="AbbVie14" w:date="2025-05-09T10:34:00Z">
              <w:r w:rsidRPr="00295E71">
                <w:delText>Risposta</w:delText>
              </w:r>
            </w:del>
          </w:p>
        </w:tc>
        <w:tc>
          <w:tcPr>
            <w:tcW w:w="1324" w:type="dxa"/>
            <w:tcBorders>
              <w:top w:val="single" w:sz="4" w:space="0" w:color="auto"/>
              <w:left w:val="single" w:sz="4" w:space="0" w:color="auto"/>
              <w:bottom w:val="single" w:sz="4" w:space="0" w:color="auto"/>
              <w:right w:val="single" w:sz="4" w:space="0" w:color="auto"/>
            </w:tcBorders>
            <w:vAlign w:val="center"/>
          </w:tcPr>
          <w:p w:rsidR="006224C2" w:rsidRPr="00295E71" w14:paraId="15E31125" w14:textId="77777777">
            <w:pPr>
              <w:keepNext/>
              <w:tabs>
                <w:tab w:val="left" w:pos="567"/>
                <w:tab w:val="left" w:pos="1294"/>
              </w:tabs>
              <w:autoSpaceDE w:val="0"/>
              <w:autoSpaceDN w:val="0"/>
              <w:adjustRightInd w:val="0"/>
              <w:jc w:val="both"/>
              <w:pPrChange w:id="9427" w:author="AbbVie14" w:date="2025-05-09T10:34:00Z">
                <w:pPr>
                  <w:pStyle w:val="EMEANormal"/>
                  <w:keepNext/>
                  <w:jc w:val="center"/>
                </w:pPr>
              </w:pPrChange>
              <w:rPr>
                <w:del w:id="9428" w:author="AbbVie14" w:date="2025-05-09T10:34:00Z"/>
              </w:rPr>
            </w:pPr>
            <w:del w:id="9429" w:author="AbbVie14" w:date="2025-05-09T10:34:00Z">
              <w:r w:rsidRPr="00295E71">
                <w:delText>Placebo</w:delText>
              </w:r>
            </w:del>
          </w:p>
          <w:p w:rsidR="006224C2" w:rsidRPr="00295E71" w14:paraId="43157702" w14:textId="77777777">
            <w:pPr>
              <w:keepNext/>
              <w:tabs>
                <w:tab w:val="left" w:pos="567"/>
                <w:tab w:val="left" w:pos="1294"/>
              </w:tabs>
              <w:autoSpaceDE w:val="0"/>
              <w:autoSpaceDN w:val="0"/>
              <w:adjustRightInd w:val="0"/>
              <w:jc w:val="both"/>
              <w:pPrChange w:id="9430" w:author="AbbVie14" w:date="2025-05-09T10:34:00Z">
                <w:pPr>
                  <w:pStyle w:val="EMEANormal"/>
                  <w:keepNext/>
                  <w:jc w:val="center"/>
                </w:pPr>
              </w:pPrChange>
              <w:rPr>
                <w:del w:id="9431" w:author="AbbVie14" w:date="2025-05-09T10:34:00Z"/>
              </w:rPr>
            </w:pPr>
            <w:del w:id="9432" w:author="AbbVie14" w:date="2025-05-09T10:34:00Z">
              <w:r w:rsidRPr="00295E71">
                <w:delText>N=162</w:delText>
              </w:r>
            </w:del>
          </w:p>
        </w:tc>
        <w:tc>
          <w:tcPr>
            <w:tcW w:w="1316" w:type="dxa"/>
            <w:tcBorders>
              <w:top w:val="single" w:sz="4" w:space="0" w:color="auto"/>
              <w:left w:val="single" w:sz="4" w:space="0" w:color="auto"/>
              <w:bottom w:val="single" w:sz="4" w:space="0" w:color="auto"/>
              <w:right w:val="nil"/>
            </w:tcBorders>
            <w:vAlign w:val="center"/>
          </w:tcPr>
          <w:p w:rsidR="006224C2" w:rsidRPr="00295E71" w14:paraId="298354E8" w14:textId="77777777">
            <w:pPr>
              <w:keepNext/>
              <w:tabs>
                <w:tab w:val="left" w:pos="567"/>
                <w:tab w:val="left" w:pos="1294"/>
              </w:tabs>
              <w:autoSpaceDE w:val="0"/>
              <w:autoSpaceDN w:val="0"/>
              <w:adjustRightInd w:val="0"/>
              <w:jc w:val="both"/>
              <w:pPrChange w:id="9433" w:author="AbbVie14" w:date="2025-05-09T10:34:00Z">
                <w:pPr>
                  <w:pStyle w:val="EMEANormal"/>
                  <w:keepNext/>
                  <w:jc w:val="center"/>
                </w:pPr>
              </w:pPrChange>
              <w:rPr>
                <w:del w:id="9434" w:author="AbbVie14" w:date="2025-05-09T10:34:00Z"/>
              </w:rPr>
            </w:pPr>
            <w:del w:id="9435" w:author="AbbVie14" w:date="2025-05-09T10:34:00Z">
              <w:r w:rsidRPr="00295E71">
                <w:delText>Humira</w:delText>
              </w:r>
            </w:del>
          </w:p>
          <w:p w:rsidR="006224C2" w:rsidRPr="00295E71" w14:paraId="2E5CFF35" w14:textId="77777777">
            <w:pPr>
              <w:keepNext/>
              <w:tabs>
                <w:tab w:val="left" w:pos="567"/>
                <w:tab w:val="left" w:pos="1294"/>
              </w:tabs>
              <w:autoSpaceDE w:val="0"/>
              <w:autoSpaceDN w:val="0"/>
              <w:adjustRightInd w:val="0"/>
              <w:jc w:val="both"/>
              <w:pPrChange w:id="9436" w:author="AbbVie14" w:date="2025-05-09T10:34:00Z">
                <w:pPr>
                  <w:pStyle w:val="EMEANormal"/>
                  <w:keepNext/>
                  <w:jc w:val="center"/>
                </w:pPr>
              </w:pPrChange>
              <w:rPr>
                <w:del w:id="9437" w:author="AbbVie14" w:date="2025-05-09T10:34:00Z"/>
              </w:rPr>
            </w:pPr>
            <w:del w:id="9438" w:author="AbbVie14" w:date="2025-05-09T10:34:00Z">
              <w:r w:rsidRPr="00295E71">
                <w:delText>N=151</w:delText>
              </w:r>
            </w:del>
          </w:p>
        </w:tc>
        <w:tc>
          <w:tcPr>
            <w:tcW w:w="1343" w:type="dxa"/>
            <w:tcBorders>
              <w:top w:val="single" w:sz="4" w:space="0" w:color="auto"/>
              <w:left w:val="single" w:sz="4" w:space="0" w:color="auto"/>
              <w:bottom w:val="single" w:sz="4" w:space="0" w:color="auto"/>
              <w:right w:val="single" w:sz="4" w:space="0" w:color="auto"/>
            </w:tcBorders>
          </w:tcPr>
          <w:p w:rsidR="006224C2" w:rsidRPr="00295E71" w14:paraId="40B74D33" w14:textId="77777777">
            <w:pPr>
              <w:keepNext/>
              <w:tabs>
                <w:tab w:val="left" w:pos="567"/>
                <w:tab w:val="left" w:pos="1294"/>
              </w:tabs>
              <w:autoSpaceDE w:val="0"/>
              <w:autoSpaceDN w:val="0"/>
              <w:adjustRightInd w:val="0"/>
              <w:jc w:val="both"/>
              <w:pPrChange w:id="9439" w:author="AbbVie14" w:date="2025-05-09T10:34:00Z">
                <w:pPr>
                  <w:pStyle w:val="EMEANormal"/>
                  <w:keepNext/>
                  <w:jc w:val="center"/>
                </w:pPr>
              </w:pPrChange>
              <w:rPr>
                <w:del w:id="9440" w:author="AbbVie14" w:date="2025-05-09T10:34:00Z"/>
              </w:rPr>
            </w:pPr>
            <w:del w:id="9441" w:author="AbbVie14" w:date="2025-05-09T10:34:00Z">
              <w:r w:rsidRPr="00295E71">
                <w:delText xml:space="preserve">Placebo </w:delText>
              </w:r>
            </w:del>
          </w:p>
          <w:p w:rsidR="006224C2" w:rsidRPr="00295E71" w14:paraId="5319792A" w14:textId="77777777">
            <w:pPr>
              <w:keepNext/>
              <w:tabs>
                <w:tab w:val="left" w:pos="567"/>
                <w:tab w:val="left" w:pos="1294"/>
              </w:tabs>
              <w:autoSpaceDE w:val="0"/>
              <w:autoSpaceDN w:val="0"/>
              <w:adjustRightInd w:val="0"/>
              <w:jc w:val="both"/>
              <w:pPrChange w:id="9442" w:author="AbbVie14" w:date="2025-05-09T10:34:00Z">
                <w:pPr>
                  <w:pStyle w:val="EMEANormal"/>
                  <w:keepNext/>
                  <w:jc w:val="center"/>
                </w:pPr>
              </w:pPrChange>
              <w:rPr>
                <w:del w:id="9443" w:author="AbbVie14" w:date="2025-05-09T10:34:00Z"/>
              </w:rPr>
            </w:pPr>
            <w:del w:id="9444" w:author="AbbVie14" w:date="2025-05-09T10:34:00Z">
              <w:r w:rsidRPr="00295E71">
                <w:delText>N=49</w:delText>
              </w:r>
            </w:del>
          </w:p>
        </w:tc>
        <w:tc>
          <w:tcPr>
            <w:tcW w:w="1316" w:type="dxa"/>
            <w:tcBorders>
              <w:top w:val="single" w:sz="4" w:space="0" w:color="auto"/>
              <w:left w:val="single" w:sz="4" w:space="0" w:color="auto"/>
              <w:bottom w:val="single" w:sz="4" w:space="0" w:color="auto"/>
              <w:right w:val="single" w:sz="4" w:space="0" w:color="auto"/>
            </w:tcBorders>
          </w:tcPr>
          <w:p w:rsidR="006224C2" w:rsidRPr="00295E71" w14:paraId="134A1FB8" w14:textId="77777777">
            <w:pPr>
              <w:keepNext/>
              <w:tabs>
                <w:tab w:val="left" w:pos="567"/>
                <w:tab w:val="left" w:pos="1294"/>
              </w:tabs>
              <w:autoSpaceDE w:val="0"/>
              <w:autoSpaceDN w:val="0"/>
              <w:adjustRightInd w:val="0"/>
              <w:jc w:val="both"/>
              <w:pPrChange w:id="9445" w:author="AbbVie14" w:date="2025-05-09T10:34:00Z">
                <w:pPr>
                  <w:pStyle w:val="EMEANormal"/>
                  <w:keepNext/>
                  <w:jc w:val="center"/>
                </w:pPr>
              </w:pPrChange>
              <w:rPr>
                <w:del w:id="9446" w:author="AbbVie14" w:date="2025-05-09T10:34:00Z"/>
              </w:rPr>
            </w:pPr>
            <w:del w:id="9447" w:author="AbbVie14" w:date="2025-05-09T10:34:00Z">
              <w:r w:rsidRPr="00295E71">
                <w:delText>Humira</w:delText>
              </w:r>
            </w:del>
          </w:p>
          <w:p w:rsidR="006224C2" w:rsidRPr="00295E71" w14:paraId="1DAF990F" w14:textId="77777777">
            <w:pPr>
              <w:keepNext/>
              <w:tabs>
                <w:tab w:val="left" w:pos="567"/>
                <w:tab w:val="left" w:pos="1294"/>
              </w:tabs>
              <w:autoSpaceDE w:val="0"/>
              <w:autoSpaceDN w:val="0"/>
              <w:adjustRightInd w:val="0"/>
              <w:jc w:val="both"/>
              <w:pPrChange w:id="9448" w:author="AbbVie14" w:date="2025-05-09T10:34:00Z">
                <w:pPr>
                  <w:pStyle w:val="EMEANormal"/>
                  <w:keepNext/>
                  <w:jc w:val="center"/>
                </w:pPr>
              </w:pPrChange>
              <w:rPr>
                <w:del w:id="9449" w:author="AbbVie14" w:date="2025-05-09T10:34:00Z"/>
              </w:rPr>
            </w:pPr>
            <w:del w:id="9450" w:author="AbbVie14" w:date="2025-05-09T10:34:00Z">
              <w:r w:rsidRPr="00295E71">
                <w:delText>N=51</w:delText>
              </w:r>
            </w:del>
          </w:p>
        </w:tc>
      </w:tr>
      <w:tr w14:paraId="59365039" w14:textId="77777777">
        <w:tblPrEx>
          <w:tblW w:w="0" w:type="auto"/>
          <w:tblLook w:val="0000"/>
        </w:tblPrEx>
        <w:trPr>
          <w:gridBefore w:val="1"/>
          <w:gridAfter w:val="1"/>
          <w:wBefore w:w="64" w:type="dxa"/>
          <w:wAfter w:w="91" w:type="dxa"/>
          <w:del w:id="9451" w:author="AbbVie14" w:date="2025-05-09T10:34:00Z"/>
        </w:trPr>
        <w:tc>
          <w:tcPr>
            <w:tcW w:w="1770" w:type="dxa"/>
            <w:tcBorders>
              <w:top w:val="single" w:sz="4" w:space="0" w:color="auto"/>
              <w:left w:val="single" w:sz="4" w:space="0" w:color="auto"/>
              <w:bottom w:val="nil"/>
              <w:right w:val="single" w:sz="4" w:space="0" w:color="auto"/>
            </w:tcBorders>
          </w:tcPr>
          <w:p w:rsidR="006224C2" w:rsidRPr="00295E71" w14:paraId="40F9C54C" w14:textId="77777777">
            <w:pPr>
              <w:keepNext/>
              <w:tabs>
                <w:tab w:val="left" w:pos="567"/>
                <w:tab w:val="left" w:pos="1294"/>
              </w:tabs>
              <w:autoSpaceDE w:val="0"/>
              <w:autoSpaceDN w:val="0"/>
              <w:adjustRightInd w:val="0"/>
              <w:jc w:val="both"/>
              <w:pPrChange w:id="9452" w:author="AbbVie14" w:date="2025-05-09T10:34:00Z">
                <w:pPr>
                  <w:pStyle w:val="EMEANormal"/>
                  <w:keepNext/>
                </w:pPr>
              </w:pPrChange>
              <w:rPr>
                <w:del w:id="9453" w:author="AbbVie14" w:date="2025-05-09T10:34:00Z"/>
              </w:rPr>
            </w:pPr>
            <w:del w:id="9454" w:author="AbbVie14" w:date="2025-05-09T10:34:00Z">
              <w:r w:rsidRPr="00295E71">
                <w:delText xml:space="preserve">ACR 20 </w:delText>
              </w:r>
            </w:del>
          </w:p>
        </w:tc>
        <w:tc>
          <w:tcPr>
            <w:tcW w:w="1324" w:type="dxa"/>
            <w:tcBorders>
              <w:top w:val="single" w:sz="4" w:space="0" w:color="auto"/>
              <w:left w:val="single" w:sz="4" w:space="0" w:color="auto"/>
              <w:bottom w:val="nil"/>
              <w:right w:val="single" w:sz="4" w:space="0" w:color="auto"/>
            </w:tcBorders>
          </w:tcPr>
          <w:p w:rsidR="006224C2" w:rsidRPr="00295E71" w14:paraId="4912C4DB" w14:textId="77777777">
            <w:pPr>
              <w:keepNext/>
              <w:tabs>
                <w:tab w:val="left" w:pos="567"/>
                <w:tab w:val="left" w:pos="1294"/>
              </w:tabs>
              <w:autoSpaceDE w:val="0"/>
              <w:autoSpaceDN w:val="0"/>
              <w:adjustRightInd w:val="0"/>
              <w:jc w:val="both"/>
              <w:pPrChange w:id="9455" w:author="AbbVie14" w:date="2025-05-09T10:34:00Z">
                <w:pPr>
                  <w:pStyle w:val="EMEANormal"/>
                  <w:keepNext/>
                  <w:jc w:val="center"/>
                </w:pPr>
              </w:pPrChange>
              <w:rPr>
                <w:del w:id="9456" w:author="AbbVie14" w:date="2025-05-09T10:34:00Z"/>
              </w:rPr>
            </w:pPr>
          </w:p>
        </w:tc>
        <w:tc>
          <w:tcPr>
            <w:tcW w:w="1316" w:type="dxa"/>
            <w:tcBorders>
              <w:top w:val="single" w:sz="4" w:space="0" w:color="auto"/>
              <w:left w:val="single" w:sz="4" w:space="0" w:color="auto"/>
              <w:bottom w:val="nil"/>
              <w:right w:val="nil"/>
            </w:tcBorders>
          </w:tcPr>
          <w:p w:rsidR="006224C2" w:rsidRPr="00295E71" w14:paraId="7016F400" w14:textId="77777777">
            <w:pPr>
              <w:keepNext/>
              <w:tabs>
                <w:tab w:val="left" w:pos="567"/>
                <w:tab w:val="left" w:pos="1294"/>
              </w:tabs>
              <w:autoSpaceDE w:val="0"/>
              <w:autoSpaceDN w:val="0"/>
              <w:adjustRightInd w:val="0"/>
              <w:jc w:val="both"/>
              <w:pPrChange w:id="9457" w:author="AbbVie14" w:date="2025-05-09T10:34:00Z">
                <w:pPr>
                  <w:pStyle w:val="EMEANormal"/>
                  <w:keepNext/>
                  <w:jc w:val="center"/>
                </w:pPr>
              </w:pPrChange>
              <w:rPr>
                <w:del w:id="9458" w:author="AbbVie14" w:date="2025-05-09T10:34:00Z"/>
              </w:rPr>
            </w:pPr>
          </w:p>
        </w:tc>
        <w:tc>
          <w:tcPr>
            <w:tcW w:w="1343" w:type="dxa"/>
            <w:tcBorders>
              <w:top w:val="single" w:sz="4" w:space="0" w:color="auto"/>
              <w:left w:val="single" w:sz="4" w:space="0" w:color="auto"/>
              <w:bottom w:val="nil"/>
              <w:right w:val="single" w:sz="4" w:space="0" w:color="auto"/>
            </w:tcBorders>
          </w:tcPr>
          <w:p w:rsidR="006224C2" w:rsidRPr="00295E71" w14:paraId="3B9B9A2A" w14:textId="77777777">
            <w:pPr>
              <w:keepNext/>
              <w:tabs>
                <w:tab w:val="left" w:pos="567"/>
                <w:tab w:val="left" w:pos="1294"/>
              </w:tabs>
              <w:autoSpaceDE w:val="0"/>
              <w:autoSpaceDN w:val="0"/>
              <w:adjustRightInd w:val="0"/>
              <w:jc w:val="both"/>
              <w:pPrChange w:id="9459" w:author="AbbVie14" w:date="2025-05-09T10:34:00Z">
                <w:pPr>
                  <w:pStyle w:val="EMEANormal"/>
                  <w:keepNext/>
                  <w:jc w:val="center"/>
                </w:pPr>
              </w:pPrChange>
              <w:rPr>
                <w:del w:id="9460" w:author="AbbVie14" w:date="2025-05-09T10:34:00Z"/>
              </w:rPr>
            </w:pPr>
          </w:p>
        </w:tc>
        <w:tc>
          <w:tcPr>
            <w:tcW w:w="1316" w:type="dxa"/>
            <w:tcBorders>
              <w:top w:val="single" w:sz="4" w:space="0" w:color="auto"/>
              <w:left w:val="single" w:sz="4" w:space="0" w:color="auto"/>
              <w:bottom w:val="nil"/>
              <w:right w:val="single" w:sz="4" w:space="0" w:color="auto"/>
            </w:tcBorders>
          </w:tcPr>
          <w:p w:rsidR="006224C2" w:rsidRPr="00295E71" w14:paraId="5B7601F7" w14:textId="77777777">
            <w:pPr>
              <w:keepNext/>
              <w:tabs>
                <w:tab w:val="left" w:pos="567"/>
                <w:tab w:val="left" w:pos="1294"/>
              </w:tabs>
              <w:autoSpaceDE w:val="0"/>
              <w:autoSpaceDN w:val="0"/>
              <w:adjustRightInd w:val="0"/>
              <w:jc w:val="both"/>
              <w:pPrChange w:id="9461" w:author="AbbVie14" w:date="2025-05-09T10:34:00Z">
                <w:pPr>
                  <w:pStyle w:val="EMEANormal"/>
                  <w:keepNext/>
                  <w:jc w:val="center"/>
                </w:pPr>
              </w:pPrChange>
              <w:rPr>
                <w:del w:id="9462" w:author="AbbVie14" w:date="2025-05-09T10:34:00Z"/>
              </w:rPr>
            </w:pPr>
          </w:p>
        </w:tc>
      </w:tr>
      <w:tr w14:paraId="1842B709" w14:textId="77777777">
        <w:tblPrEx>
          <w:tblW w:w="0" w:type="auto"/>
          <w:tblLook w:val="0000"/>
        </w:tblPrEx>
        <w:trPr>
          <w:gridBefore w:val="1"/>
          <w:gridAfter w:val="1"/>
          <w:wBefore w:w="64" w:type="dxa"/>
          <w:wAfter w:w="91" w:type="dxa"/>
          <w:del w:id="9463" w:author="AbbVie14" w:date="2025-05-09T10:34:00Z"/>
        </w:trPr>
        <w:tc>
          <w:tcPr>
            <w:tcW w:w="1770" w:type="dxa"/>
            <w:tcBorders>
              <w:top w:val="nil"/>
              <w:left w:val="single" w:sz="4" w:space="0" w:color="auto"/>
              <w:bottom w:val="nil"/>
              <w:right w:val="single" w:sz="4" w:space="0" w:color="auto"/>
            </w:tcBorders>
          </w:tcPr>
          <w:p w:rsidR="006224C2" w:rsidRPr="00295E71" w14:paraId="13B07F57" w14:textId="77777777">
            <w:pPr>
              <w:keepNext/>
              <w:tabs>
                <w:tab w:val="left" w:pos="567"/>
                <w:tab w:val="left" w:pos="1294"/>
              </w:tabs>
              <w:autoSpaceDE w:val="0"/>
              <w:autoSpaceDN w:val="0"/>
              <w:adjustRightInd w:val="0"/>
              <w:jc w:val="both"/>
              <w:pPrChange w:id="9464" w:author="AbbVie14" w:date="2025-05-09T10:34:00Z">
                <w:pPr>
                  <w:pStyle w:val="EMEANormal"/>
                  <w:keepNext/>
                </w:pPr>
              </w:pPrChange>
              <w:rPr>
                <w:del w:id="9465" w:author="AbbVie14" w:date="2025-05-09T10:34:00Z"/>
              </w:rPr>
            </w:pPr>
            <w:del w:id="9466" w:author="AbbVie14" w:date="2025-05-09T10:34:00Z">
              <w:r w:rsidRPr="00295E71">
                <w:delText>Settimana 12</w:delText>
              </w:r>
            </w:del>
          </w:p>
        </w:tc>
        <w:tc>
          <w:tcPr>
            <w:tcW w:w="1324" w:type="dxa"/>
            <w:tcBorders>
              <w:top w:val="nil"/>
              <w:left w:val="single" w:sz="4" w:space="0" w:color="auto"/>
              <w:bottom w:val="nil"/>
              <w:right w:val="single" w:sz="4" w:space="0" w:color="auto"/>
            </w:tcBorders>
          </w:tcPr>
          <w:p w:rsidR="006224C2" w:rsidRPr="00295E71" w14:paraId="7511DDE8" w14:textId="77777777">
            <w:pPr>
              <w:keepNext/>
              <w:tabs>
                <w:tab w:val="left" w:pos="567"/>
                <w:tab w:val="left" w:pos="1294"/>
              </w:tabs>
              <w:autoSpaceDE w:val="0"/>
              <w:autoSpaceDN w:val="0"/>
              <w:adjustRightInd w:val="0"/>
              <w:jc w:val="both"/>
              <w:pPrChange w:id="9467" w:author="AbbVie14" w:date="2025-05-09T10:34:00Z">
                <w:pPr>
                  <w:pStyle w:val="EMEANormal"/>
                  <w:keepNext/>
                  <w:jc w:val="center"/>
                </w:pPr>
              </w:pPrChange>
              <w:rPr>
                <w:del w:id="9468" w:author="AbbVie14" w:date="2025-05-09T10:34:00Z"/>
              </w:rPr>
            </w:pPr>
            <w:del w:id="9469" w:author="AbbVie14" w:date="2025-05-09T10:34:00Z">
              <w:r w:rsidRPr="00295E71">
                <w:delText>14%</w:delText>
              </w:r>
            </w:del>
          </w:p>
        </w:tc>
        <w:tc>
          <w:tcPr>
            <w:tcW w:w="1316" w:type="dxa"/>
            <w:tcBorders>
              <w:top w:val="nil"/>
              <w:left w:val="single" w:sz="4" w:space="0" w:color="auto"/>
              <w:bottom w:val="nil"/>
              <w:right w:val="nil"/>
            </w:tcBorders>
          </w:tcPr>
          <w:p w:rsidR="006224C2" w:rsidRPr="00295E71" w14:paraId="497AFB0D" w14:textId="77777777">
            <w:pPr>
              <w:keepNext/>
              <w:tabs>
                <w:tab w:val="left" w:pos="567"/>
                <w:tab w:val="left" w:pos="1294"/>
              </w:tabs>
              <w:autoSpaceDE w:val="0"/>
              <w:autoSpaceDN w:val="0"/>
              <w:adjustRightInd w:val="0"/>
              <w:jc w:val="both"/>
              <w:pPrChange w:id="9470" w:author="AbbVie14" w:date="2025-05-09T10:34:00Z">
                <w:pPr>
                  <w:pStyle w:val="EMEANormal"/>
                  <w:keepNext/>
                  <w:jc w:val="center"/>
                </w:pPr>
              </w:pPrChange>
              <w:rPr>
                <w:del w:id="9471" w:author="AbbVie14" w:date="2025-05-09T10:34:00Z"/>
              </w:rPr>
            </w:pPr>
            <w:del w:id="9472" w:author="AbbVie14" w:date="2025-05-09T10:34:00Z">
              <w:r w:rsidRPr="00295E71">
                <w:delText>58%</w:delText>
              </w:r>
            </w:del>
            <w:del w:id="9473" w:author="AbbVie14" w:date="2025-05-09T10:34:00Z">
              <w:r w:rsidRPr="00295E71">
                <w:rPr>
                  <w:vertAlign w:val="superscript"/>
                </w:rPr>
                <w:delText>***</w:delText>
              </w:r>
            </w:del>
          </w:p>
        </w:tc>
        <w:tc>
          <w:tcPr>
            <w:tcW w:w="1343" w:type="dxa"/>
            <w:tcBorders>
              <w:top w:val="nil"/>
              <w:left w:val="single" w:sz="4" w:space="0" w:color="auto"/>
              <w:bottom w:val="nil"/>
              <w:right w:val="single" w:sz="4" w:space="0" w:color="auto"/>
            </w:tcBorders>
          </w:tcPr>
          <w:p w:rsidR="006224C2" w:rsidRPr="00295E71" w14:paraId="0DFDFF9C" w14:textId="77777777">
            <w:pPr>
              <w:keepNext/>
              <w:tabs>
                <w:tab w:val="left" w:pos="567"/>
                <w:tab w:val="left" w:pos="1294"/>
              </w:tabs>
              <w:autoSpaceDE w:val="0"/>
              <w:autoSpaceDN w:val="0"/>
              <w:adjustRightInd w:val="0"/>
              <w:jc w:val="both"/>
              <w:pPrChange w:id="9474" w:author="AbbVie14" w:date="2025-05-09T10:34:00Z">
                <w:pPr>
                  <w:pStyle w:val="EMEANormal"/>
                  <w:keepNext/>
                  <w:jc w:val="center"/>
                </w:pPr>
              </w:pPrChange>
              <w:rPr>
                <w:del w:id="9475" w:author="AbbVie14" w:date="2025-05-09T10:34:00Z"/>
              </w:rPr>
            </w:pPr>
            <w:del w:id="9476" w:author="AbbVie14" w:date="2025-05-09T10:34:00Z">
              <w:r w:rsidRPr="00295E71">
                <w:delText>16%</w:delText>
              </w:r>
            </w:del>
          </w:p>
        </w:tc>
        <w:tc>
          <w:tcPr>
            <w:tcW w:w="1316" w:type="dxa"/>
            <w:tcBorders>
              <w:top w:val="nil"/>
              <w:left w:val="single" w:sz="4" w:space="0" w:color="auto"/>
              <w:bottom w:val="nil"/>
              <w:right w:val="single" w:sz="4" w:space="0" w:color="auto"/>
            </w:tcBorders>
          </w:tcPr>
          <w:p w:rsidR="006224C2" w:rsidRPr="00295E71" w14:paraId="6443CE00" w14:textId="77777777">
            <w:pPr>
              <w:keepNext/>
              <w:tabs>
                <w:tab w:val="left" w:pos="567"/>
                <w:tab w:val="left" w:pos="1294"/>
              </w:tabs>
              <w:autoSpaceDE w:val="0"/>
              <w:autoSpaceDN w:val="0"/>
              <w:adjustRightInd w:val="0"/>
              <w:jc w:val="both"/>
              <w:pPrChange w:id="9477" w:author="AbbVie14" w:date="2025-05-09T10:34:00Z">
                <w:pPr>
                  <w:pStyle w:val="EMEANormal"/>
                  <w:keepNext/>
                  <w:jc w:val="center"/>
                </w:pPr>
              </w:pPrChange>
              <w:rPr>
                <w:del w:id="9478" w:author="AbbVie14" w:date="2025-05-09T10:34:00Z"/>
              </w:rPr>
            </w:pPr>
            <w:del w:id="9479" w:author="AbbVie14" w:date="2025-05-09T10:34:00Z">
              <w:r w:rsidRPr="00295E71">
                <w:delText>39%</w:delText>
              </w:r>
            </w:del>
            <w:del w:id="9480" w:author="AbbVie14" w:date="2025-05-09T10:34:00Z">
              <w:r w:rsidRPr="00295E71">
                <w:rPr>
                  <w:vertAlign w:val="superscript"/>
                </w:rPr>
                <w:delText>*</w:delText>
              </w:r>
            </w:del>
          </w:p>
        </w:tc>
      </w:tr>
      <w:tr w14:paraId="0FAFF313" w14:textId="77777777">
        <w:tblPrEx>
          <w:tblW w:w="0" w:type="auto"/>
          <w:tblLook w:val="0000"/>
        </w:tblPrEx>
        <w:trPr>
          <w:gridBefore w:val="1"/>
          <w:gridAfter w:val="1"/>
          <w:wBefore w:w="64" w:type="dxa"/>
          <w:wAfter w:w="91" w:type="dxa"/>
          <w:del w:id="9481" w:author="AbbVie14" w:date="2025-05-09T10:34:00Z"/>
        </w:trPr>
        <w:tc>
          <w:tcPr>
            <w:tcW w:w="1770" w:type="dxa"/>
            <w:tcBorders>
              <w:top w:val="nil"/>
              <w:left w:val="single" w:sz="4" w:space="0" w:color="auto"/>
              <w:bottom w:val="nil"/>
              <w:right w:val="single" w:sz="4" w:space="0" w:color="auto"/>
            </w:tcBorders>
          </w:tcPr>
          <w:p w:rsidR="006224C2" w:rsidRPr="00295E71" w14:paraId="5274905C" w14:textId="77777777">
            <w:pPr>
              <w:keepNext/>
              <w:tabs>
                <w:tab w:val="left" w:pos="567"/>
                <w:tab w:val="left" w:pos="1294"/>
              </w:tabs>
              <w:autoSpaceDE w:val="0"/>
              <w:autoSpaceDN w:val="0"/>
              <w:adjustRightInd w:val="0"/>
              <w:jc w:val="both"/>
              <w:pPrChange w:id="9482" w:author="AbbVie14" w:date="2025-05-09T10:34:00Z">
                <w:pPr>
                  <w:pStyle w:val="EMEANormal"/>
                  <w:keepNext/>
                </w:pPr>
              </w:pPrChange>
              <w:rPr>
                <w:del w:id="9483" w:author="AbbVie14" w:date="2025-05-09T10:34:00Z"/>
              </w:rPr>
            </w:pPr>
            <w:del w:id="9484" w:author="AbbVie14" w:date="2025-05-09T10:34:00Z">
              <w:r w:rsidRPr="00295E71">
                <w:delText>Settimana 24</w:delText>
              </w:r>
            </w:del>
          </w:p>
        </w:tc>
        <w:tc>
          <w:tcPr>
            <w:tcW w:w="1324" w:type="dxa"/>
            <w:tcBorders>
              <w:top w:val="nil"/>
              <w:left w:val="single" w:sz="4" w:space="0" w:color="auto"/>
              <w:bottom w:val="nil"/>
              <w:right w:val="single" w:sz="4" w:space="0" w:color="auto"/>
            </w:tcBorders>
          </w:tcPr>
          <w:p w:rsidR="006224C2" w:rsidRPr="00295E71" w14:paraId="5CD30D2F" w14:textId="77777777">
            <w:pPr>
              <w:keepNext/>
              <w:tabs>
                <w:tab w:val="left" w:pos="567"/>
                <w:tab w:val="left" w:pos="1294"/>
              </w:tabs>
              <w:autoSpaceDE w:val="0"/>
              <w:autoSpaceDN w:val="0"/>
              <w:adjustRightInd w:val="0"/>
              <w:jc w:val="both"/>
              <w:pPrChange w:id="9485" w:author="AbbVie14" w:date="2025-05-09T10:34:00Z">
                <w:pPr>
                  <w:pStyle w:val="EMEANormal"/>
                  <w:keepNext/>
                  <w:jc w:val="center"/>
                </w:pPr>
              </w:pPrChange>
              <w:rPr>
                <w:del w:id="9486" w:author="AbbVie14" w:date="2025-05-09T10:34:00Z"/>
              </w:rPr>
            </w:pPr>
            <w:del w:id="9487" w:author="AbbVie14" w:date="2025-05-09T10:34:00Z">
              <w:r w:rsidRPr="00295E71">
                <w:delText>15%</w:delText>
              </w:r>
            </w:del>
          </w:p>
        </w:tc>
        <w:tc>
          <w:tcPr>
            <w:tcW w:w="1316" w:type="dxa"/>
            <w:tcBorders>
              <w:top w:val="nil"/>
              <w:left w:val="single" w:sz="4" w:space="0" w:color="auto"/>
              <w:bottom w:val="nil"/>
              <w:right w:val="nil"/>
            </w:tcBorders>
          </w:tcPr>
          <w:p w:rsidR="006224C2" w:rsidRPr="00295E71" w14:paraId="27ADB644" w14:textId="77777777">
            <w:pPr>
              <w:keepNext/>
              <w:tabs>
                <w:tab w:val="left" w:pos="567"/>
                <w:tab w:val="left" w:pos="1294"/>
              </w:tabs>
              <w:autoSpaceDE w:val="0"/>
              <w:autoSpaceDN w:val="0"/>
              <w:adjustRightInd w:val="0"/>
              <w:jc w:val="both"/>
              <w:pPrChange w:id="9488" w:author="AbbVie14" w:date="2025-05-09T10:34:00Z">
                <w:pPr>
                  <w:pStyle w:val="EMEANormal"/>
                  <w:keepNext/>
                  <w:jc w:val="center"/>
                </w:pPr>
              </w:pPrChange>
              <w:rPr>
                <w:del w:id="9489" w:author="AbbVie14" w:date="2025-05-09T10:34:00Z"/>
              </w:rPr>
            </w:pPr>
            <w:del w:id="9490" w:author="AbbVie14" w:date="2025-05-09T10:34:00Z">
              <w:r w:rsidRPr="00295E71">
                <w:delText>57%</w:delText>
              </w:r>
            </w:del>
            <w:del w:id="9491" w:author="AbbVie14" w:date="2025-05-09T10:34:00Z">
              <w:r w:rsidRPr="00295E71">
                <w:rPr>
                  <w:vertAlign w:val="superscript"/>
                </w:rPr>
                <w:delText>***</w:delText>
              </w:r>
            </w:del>
          </w:p>
        </w:tc>
        <w:tc>
          <w:tcPr>
            <w:tcW w:w="1343" w:type="dxa"/>
            <w:tcBorders>
              <w:top w:val="nil"/>
              <w:left w:val="single" w:sz="4" w:space="0" w:color="auto"/>
              <w:bottom w:val="nil"/>
              <w:right w:val="single" w:sz="4" w:space="0" w:color="auto"/>
            </w:tcBorders>
          </w:tcPr>
          <w:p w:rsidR="006224C2" w:rsidRPr="00295E71" w14:paraId="4E3621A6" w14:textId="77777777">
            <w:pPr>
              <w:keepNext/>
              <w:tabs>
                <w:tab w:val="left" w:pos="567"/>
                <w:tab w:val="left" w:pos="1294"/>
              </w:tabs>
              <w:autoSpaceDE w:val="0"/>
              <w:autoSpaceDN w:val="0"/>
              <w:adjustRightInd w:val="0"/>
              <w:jc w:val="both"/>
              <w:pPrChange w:id="9492" w:author="AbbVie14" w:date="2025-05-09T10:34:00Z">
                <w:pPr>
                  <w:pStyle w:val="EMEANormal"/>
                  <w:keepNext/>
                  <w:jc w:val="center"/>
                </w:pPr>
              </w:pPrChange>
              <w:rPr>
                <w:del w:id="9493" w:author="AbbVie14" w:date="2025-05-09T10:34:00Z"/>
              </w:rPr>
            </w:pPr>
            <w:del w:id="9494" w:author="AbbVie14" w:date="2025-05-09T10:34:00Z">
              <w:r w:rsidRPr="00295E71">
                <w:delText>N/A</w:delText>
              </w:r>
            </w:del>
          </w:p>
        </w:tc>
        <w:tc>
          <w:tcPr>
            <w:tcW w:w="1316" w:type="dxa"/>
            <w:tcBorders>
              <w:top w:val="nil"/>
              <w:left w:val="single" w:sz="4" w:space="0" w:color="auto"/>
              <w:bottom w:val="nil"/>
              <w:right w:val="single" w:sz="4" w:space="0" w:color="auto"/>
            </w:tcBorders>
          </w:tcPr>
          <w:p w:rsidR="006224C2" w:rsidRPr="00295E71" w14:paraId="0DB5BA12" w14:textId="77777777">
            <w:pPr>
              <w:keepNext/>
              <w:tabs>
                <w:tab w:val="left" w:pos="567"/>
                <w:tab w:val="left" w:pos="1294"/>
              </w:tabs>
              <w:autoSpaceDE w:val="0"/>
              <w:autoSpaceDN w:val="0"/>
              <w:adjustRightInd w:val="0"/>
              <w:jc w:val="both"/>
              <w:pPrChange w:id="9495" w:author="AbbVie14" w:date="2025-05-09T10:34:00Z">
                <w:pPr>
                  <w:pStyle w:val="EMEANormal"/>
                  <w:keepNext/>
                  <w:jc w:val="center"/>
                </w:pPr>
              </w:pPrChange>
              <w:rPr>
                <w:del w:id="9496" w:author="AbbVie14" w:date="2025-05-09T10:34:00Z"/>
              </w:rPr>
            </w:pPr>
            <w:del w:id="9497" w:author="AbbVie14" w:date="2025-05-09T10:34:00Z">
              <w:r w:rsidRPr="00295E71">
                <w:delText>N/A</w:delText>
              </w:r>
            </w:del>
          </w:p>
        </w:tc>
      </w:tr>
      <w:tr w14:paraId="7F8C46A4" w14:textId="77777777">
        <w:tblPrEx>
          <w:tblW w:w="0" w:type="auto"/>
          <w:tblLook w:val="0000"/>
        </w:tblPrEx>
        <w:trPr>
          <w:gridBefore w:val="1"/>
          <w:gridAfter w:val="1"/>
          <w:wBefore w:w="64" w:type="dxa"/>
          <w:wAfter w:w="91" w:type="dxa"/>
          <w:del w:id="9498" w:author="AbbVie14" w:date="2025-05-09T10:34:00Z"/>
        </w:trPr>
        <w:tc>
          <w:tcPr>
            <w:tcW w:w="1770" w:type="dxa"/>
            <w:tcBorders>
              <w:top w:val="nil"/>
              <w:left w:val="single" w:sz="4" w:space="0" w:color="auto"/>
              <w:bottom w:val="nil"/>
              <w:right w:val="single" w:sz="4" w:space="0" w:color="auto"/>
            </w:tcBorders>
          </w:tcPr>
          <w:p w:rsidR="006224C2" w:rsidRPr="00295E71" w14:paraId="6C0CCBA8" w14:textId="77777777">
            <w:pPr>
              <w:keepNext/>
              <w:tabs>
                <w:tab w:val="left" w:pos="567"/>
                <w:tab w:val="left" w:pos="1294"/>
              </w:tabs>
              <w:autoSpaceDE w:val="0"/>
              <w:autoSpaceDN w:val="0"/>
              <w:adjustRightInd w:val="0"/>
              <w:jc w:val="both"/>
              <w:pPrChange w:id="9499" w:author="AbbVie14" w:date="2025-05-09T10:34:00Z">
                <w:pPr>
                  <w:pStyle w:val="EMEANormal"/>
                  <w:keepNext/>
                </w:pPr>
              </w:pPrChange>
              <w:rPr>
                <w:del w:id="9500" w:author="AbbVie14" w:date="2025-05-09T10:34:00Z"/>
              </w:rPr>
            </w:pPr>
            <w:del w:id="9501" w:author="AbbVie14" w:date="2025-05-09T10:34:00Z">
              <w:r w:rsidRPr="00295E71">
                <w:delText xml:space="preserve">ACR 50 </w:delText>
              </w:r>
            </w:del>
          </w:p>
        </w:tc>
        <w:tc>
          <w:tcPr>
            <w:tcW w:w="1324" w:type="dxa"/>
            <w:tcBorders>
              <w:top w:val="nil"/>
              <w:left w:val="single" w:sz="4" w:space="0" w:color="auto"/>
              <w:bottom w:val="nil"/>
              <w:right w:val="single" w:sz="4" w:space="0" w:color="auto"/>
            </w:tcBorders>
          </w:tcPr>
          <w:p w:rsidR="006224C2" w:rsidRPr="00295E71" w14:paraId="41EDEF3B" w14:textId="77777777">
            <w:pPr>
              <w:keepNext/>
              <w:tabs>
                <w:tab w:val="left" w:pos="567"/>
                <w:tab w:val="left" w:pos="1294"/>
              </w:tabs>
              <w:autoSpaceDE w:val="0"/>
              <w:autoSpaceDN w:val="0"/>
              <w:adjustRightInd w:val="0"/>
              <w:jc w:val="both"/>
              <w:pPrChange w:id="9502" w:author="AbbVie14" w:date="2025-05-09T10:34:00Z">
                <w:pPr>
                  <w:pStyle w:val="EMEANormal"/>
                  <w:keepNext/>
                  <w:jc w:val="center"/>
                </w:pPr>
              </w:pPrChange>
              <w:rPr>
                <w:del w:id="9503" w:author="AbbVie14" w:date="2025-05-09T10:34:00Z"/>
              </w:rPr>
            </w:pPr>
          </w:p>
        </w:tc>
        <w:tc>
          <w:tcPr>
            <w:tcW w:w="1316" w:type="dxa"/>
            <w:tcBorders>
              <w:top w:val="nil"/>
              <w:left w:val="single" w:sz="4" w:space="0" w:color="auto"/>
              <w:bottom w:val="nil"/>
              <w:right w:val="nil"/>
            </w:tcBorders>
          </w:tcPr>
          <w:p w:rsidR="006224C2" w:rsidRPr="00295E71" w14:paraId="5FFF865E" w14:textId="77777777">
            <w:pPr>
              <w:keepNext/>
              <w:tabs>
                <w:tab w:val="left" w:pos="567"/>
                <w:tab w:val="left" w:pos="1294"/>
              </w:tabs>
              <w:autoSpaceDE w:val="0"/>
              <w:autoSpaceDN w:val="0"/>
              <w:adjustRightInd w:val="0"/>
              <w:jc w:val="both"/>
              <w:pPrChange w:id="9504" w:author="AbbVie14" w:date="2025-05-09T10:34:00Z">
                <w:pPr>
                  <w:pStyle w:val="EMEANormal"/>
                  <w:keepNext/>
                  <w:jc w:val="center"/>
                </w:pPr>
              </w:pPrChange>
              <w:rPr>
                <w:del w:id="9505" w:author="AbbVie14" w:date="2025-05-09T10:34:00Z"/>
              </w:rPr>
            </w:pPr>
          </w:p>
        </w:tc>
        <w:tc>
          <w:tcPr>
            <w:tcW w:w="1343" w:type="dxa"/>
            <w:tcBorders>
              <w:top w:val="nil"/>
              <w:left w:val="single" w:sz="4" w:space="0" w:color="auto"/>
              <w:bottom w:val="nil"/>
              <w:right w:val="single" w:sz="4" w:space="0" w:color="auto"/>
            </w:tcBorders>
          </w:tcPr>
          <w:p w:rsidR="006224C2" w:rsidRPr="00295E71" w14:paraId="68D2BF7A" w14:textId="77777777">
            <w:pPr>
              <w:keepNext/>
              <w:tabs>
                <w:tab w:val="left" w:pos="567"/>
                <w:tab w:val="left" w:pos="1294"/>
              </w:tabs>
              <w:autoSpaceDE w:val="0"/>
              <w:autoSpaceDN w:val="0"/>
              <w:adjustRightInd w:val="0"/>
              <w:jc w:val="both"/>
              <w:pPrChange w:id="9506" w:author="AbbVie14" w:date="2025-05-09T10:34:00Z">
                <w:pPr>
                  <w:pStyle w:val="EMEANormal"/>
                  <w:keepNext/>
                  <w:jc w:val="center"/>
                </w:pPr>
              </w:pPrChange>
              <w:rPr>
                <w:del w:id="9507" w:author="AbbVie14" w:date="2025-05-09T10:34:00Z"/>
              </w:rPr>
            </w:pPr>
          </w:p>
        </w:tc>
        <w:tc>
          <w:tcPr>
            <w:tcW w:w="1316" w:type="dxa"/>
            <w:tcBorders>
              <w:top w:val="nil"/>
              <w:left w:val="single" w:sz="4" w:space="0" w:color="auto"/>
              <w:bottom w:val="nil"/>
              <w:right w:val="single" w:sz="4" w:space="0" w:color="auto"/>
            </w:tcBorders>
          </w:tcPr>
          <w:p w:rsidR="006224C2" w:rsidRPr="00295E71" w14:paraId="7808AAC5" w14:textId="77777777">
            <w:pPr>
              <w:keepNext/>
              <w:tabs>
                <w:tab w:val="left" w:pos="567"/>
                <w:tab w:val="left" w:pos="1294"/>
              </w:tabs>
              <w:autoSpaceDE w:val="0"/>
              <w:autoSpaceDN w:val="0"/>
              <w:adjustRightInd w:val="0"/>
              <w:jc w:val="both"/>
              <w:pPrChange w:id="9508" w:author="AbbVie14" w:date="2025-05-09T10:34:00Z">
                <w:pPr>
                  <w:pStyle w:val="EMEANormal"/>
                  <w:keepNext/>
                  <w:jc w:val="center"/>
                </w:pPr>
              </w:pPrChange>
              <w:rPr>
                <w:del w:id="9509" w:author="AbbVie14" w:date="2025-05-09T10:34:00Z"/>
              </w:rPr>
            </w:pPr>
          </w:p>
        </w:tc>
      </w:tr>
      <w:tr w14:paraId="0D258352" w14:textId="77777777">
        <w:tblPrEx>
          <w:tblW w:w="0" w:type="auto"/>
          <w:tblLook w:val="0000"/>
        </w:tblPrEx>
        <w:trPr>
          <w:gridBefore w:val="1"/>
          <w:gridAfter w:val="1"/>
          <w:wBefore w:w="64" w:type="dxa"/>
          <w:wAfter w:w="91" w:type="dxa"/>
          <w:del w:id="9510" w:author="AbbVie14" w:date="2025-05-09T10:34:00Z"/>
        </w:trPr>
        <w:tc>
          <w:tcPr>
            <w:tcW w:w="1770" w:type="dxa"/>
            <w:tcBorders>
              <w:top w:val="nil"/>
              <w:left w:val="single" w:sz="4" w:space="0" w:color="auto"/>
              <w:bottom w:val="nil"/>
              <w:right w:val="single" w:sz="4" w:space="0" w:color="auto"/>
            </w:tcBorders>
          </w:tcPr>
          <w:p w:rsidR="006224C2" w:rsidRPr="00295E71" w14:paraId="437F042E" w14:textId="77777777">
            <w:pPr>
              <w:keepNext/>
              <w:tabs>
                <w:tab w:val="left" w:pos="567"/>
                <w:tab w:val="left" w:pos="1294"/>
              </w:tabs>
              <w:autoSpaceDE w:val="0"/>
              <w:autoSpaceDN w:val="0"/>
              <w:adjustRightInd w:val="0"/>
              <w:jc w:val="both"/>
              <w:pPrChange w:id="9511" w:author="AbbVie14" w:date="2025-05-09T10:34:00Z">
                <w:pPr>
                  <w:pStyle w:val="EMEANormal"/>
                  <w:keepNext/>
                </w:pPr>
              </w:pPrChange>
              <w:rPr>
                <w:del w:id="9512" w:author="AbbVie14" w:date="2025-05-09T10:34:00Z"/>
              </w:rPr>
            </w:pPr>
            <w:del w:id="9513" w:author="AbbVie14" w:date="2025-05-09T10:34:00Z">
              <w:r w:rsidRPr="00295E71">
                <w:delText>Settimana 12</w:delText>
              </w:r>
            </w:del>
          </w:p>
        </w:tc>
        <w:tc>
          <w:tcPr>
            <w:tcW w:w="1324" w:type="dxa"/>
            <w:tcBorders>
              <w:top w:val="nil"/>
              <w:left w:val="single" w:sz="4" w:space="0" w:color="auto"/>
              <w:bottom w:val="nil"/>
              <w:right w:val="single" w:sz="4" w:space="0" w:color="auto"/>
            </w:tcBorders>
          </w:tcPr>
          <w:p w:rsidR="006224C2" w:rsidRPr="00295E71" w14:paraId="7AD02343" w14:textId="77777777">
            <w:pPr>
              <w:keepNext/>
              <w:tabs>
                <w:tab w:val="left" w:pos="567"/>
                <w:tab w:val="left" w:pos="1294"/>
              </w:tabs>
              <w:autoSpaceDE w:val="0"/>
              <w:autoSpaceDN w:val="0"/>
              <w:adjustRightInd w:val="0"/>
              <w:jc w:val="both"/>
              <w:pPrChange w:id="9514" w:author="AbbVie14" w:date="2025-05-09T10:34:00Z">
                <w:pPr>
                  <w:pStyle w:val="EMEANormal"/>
                  <w:keepNext/>
                  <w:jc w:val="center"/>
                </w:pPr>
              </w:pPrChange>
              <w:rPr>
                <w:del w:id="9515" w:author="AbbVie14" w:date="2025-05-09T10:34:00Z"/>
              </w:rPr>
            </w:pPr>
            <w:del w:id="9516" w:author="AbbVie14" w:date="2025-05-09T10:34:00Z">
              <w:r w:rsidRPr="00295E71">
                <w:delText>4%</w:delText>
              </w:r>
            </w:del>
          </w:p>
        </w:tc>
        <w:tc>
          <w:tcPr>
            <w:tcW w:w="1316" w:type="dxa"/>
            <w:tcBorders>
              <w:top w:val="nil"/>
              <w:left w:val="single" w:sz="4" w:space="0" w:color="auto"/>
              <w:bottom w:val="nil"/>
              <w:right w:val="nil"/>
            </w:tcBorders>
          </w:tcPr>
          <w:p w:rsidR="006224C2" w:rsidRPr="00295E71" w14:paraId="1DE5B748" w14:textId="77777777">
            <w:pPr>
              <w:keepNext/>
              <w:tabs>
                <w:tab w:val="left" w:pos="567"/>
                <w:tab w:val="left" w:pos="1294"/>
              </w:tabs>
              <w:autoSpaceDE w:val="0"/>
              <w:autoSpaceDN w:val="0"/>
              <w:adjustRightInd w:val="0"/>
              <w:jc w:val="both"/>
              <w:pPrChange w:id="9517" w:author="AbbVie14" w:date="2025-05-09T10:34:00Z">
                <w:pPr>
                  <w:pStyle w:val="EMEANormal"/>
                  <w:keepNext/>
                  <w:jc w:val="center"/>
                </w:pPr>
              </w:pPrChange>
              <w:rPr>
                <w:del w:id="9518" w:author="AbbVie14" w:date="2025-05-09T10:34:00Z"/>
              </w:rPr>
            </w:pPr>
            <w:del w:id="9519" w:author="AbbVie14" w:date="2025-05-09T10:34:00Z">
              <w:r w:rsidRPr="00295E71">
                <w:delText>36%</w:delText>
              </w:r>
            </w:del>
            <w:del w:id="9520" w:author="AbbVie14" w:date="2025-05-09T10:34:00Z">
              <w:r w:rsidRPr="00295E71">
                <w:rPr>
                  <w:vertAlign w:val="superscript"/>
                </w:rPr>
                <w:delText>***</w:delText>
              </w:r>
            </w:del>
          </w:p>
        </w:tc>
        <w:tc>
          <w:tcPr>
            <w:tcW w:w="1343" w:type="dxa"/>
            <w:tcBorders>
              <w:top w:val="nil"/>
              <w:left w:val="single" w:sz="4" w:space="0" w:color="auto"/>
              <w:bottom w:val="nil"/>
              <w:right w:val="single" w:sz="4" w:space="0" w:color="auto"/>
            </w:tcBorders>
          </w:tcPr>
          <w:p w:rsidR="006224C2" w:rsidRPr="00295E71" w14:paraId="10B4F50A" w14:textId="77777777">
            <w:pPr>
              <w:keepNext/>
              <w:tabs>
                <w:tab w:val="left" w:pos="567"/>
                <w:tab w:val="left" w:pos="1294"/>
              </w:tabs>
              <w:autoSpaceDE w:val="0"/>
              <w:autoSpaceDN w:val="0"/>
              <w:adjustRightInd w:val="0"/>
              <w:jc w:val="both"/>
              <w:pPrChange w:id="9521" w:author="AbbVie14" w:date="2025-05-09T10:34:00Z">
                <w:pPr>
                  <w:pStyle w:val="EMEANormal"/>
                  <w:keepNext/>
                  <w:jc w:val="center"/>
                </w:pPr>
              </w:pPrChange>
              <w:rPr>
                <w:del w:id="9522" w:author="AbbVie14" w:date="2025-05-09T10:34:00Z"/>
              </w:rPr>
            </w:pPr>
            <w:del w:id="9523" w:author="AbbVie14" w:date="2025-05-09T10:34:00Z">
              <w:r w:rsidRPr="00295E71">
                <w:delText>2%</w:delText>
              </w:r>
            </w:del>
          </w:p>
        </w:tc>
        <w:tc>
          <w:tcPr>
            <w:tcW w:w="1316" w:type="dxa"/>
            <w:tcBorders>
              <w:top w:val="nil"/>
              <w:left w:val="single" w:sz="4" w:space="0" w:color="auto"/>
              <w:bottom w:val="nil"/>
              <w:right w:val="single" w:sz="4" w:space="0" w:color="auto"/>
            </w:tcBorders>
          </w:tcPr>
          <w:p w:rsidR="006224C2" w:rsidRPr="00295E71" w14:paraId="092936BC" w14:textId="77777777">
            <w:pPr>
              <w:keepNext/>
              <w:tabs>
                <w:tab w:val="left" w:pos="567"/>
                <w:tab w:val="left" w:pos="1294"/>
              </w:tabs>
              <w:autoSpaceDE w:val="0"/>
              <w:autoSpaceDN w:val="0"/>
              <w:adjustRightInd w:val="0"/>
              <w:jc w:val="both"/>
              <w:pPrChange w:id="9524" w:author="AbbVie14" w:date="2025-05-09T10:34:00Z">
                <w:pPr>
                  <w:pStyle w:val="EMEANormal"/>
                  <w:keepNext/>
                  <w:jc w:val="center"/>
                </w:pPr>
              </w:pPrChange>
              <w:rPr>
                <w:del w:id="9525" w:author="AbbVie14" w:date="2025-05-09T10:34:00Z"/>
              </w:rPr>
            </w:pPr>
            <w:del w:id="9526" w:author="AbbVie14" w:date="2025-05-09T10:34:00Z">
              <w:r w:rsidRPr="00295E71">
                <w:delText>25%</w:delText>
              </w:r>
            </w:del>
            <w:del w:id="9527" w:author="AbbVie14" w:date="2025-05-09T10:34:00Z">
              <w:r w:rsidRPr="00295E71">
                <w:rPr>
                  <w:vertAlign w:val="superscript"/>
                </w:rPr>
                <w:delText>***</w:delText>
              </w:r>
            </w:del>
          </w:p>
        </w:tc>
      </w:tr>
      <w:tr w14:paraId="101D761C" w14:textId="77777777">
        <w:tblPrEx>
          <w:tblW w:w="0" w:type="auto"/>
          <w:tblLook w:val="0000"/>
        </w:tblPrEx>
        <w:trPr>
          <w:gridBefore w:val="1"/>
          <w:gridAfter w:val="1"/>
          <w:wBefore w:w="64" w:type="dxa"/>
          <w:wAfter w:w="91" w:type="dxa"/>
          <w:del w:id="9528" w:author="AbbVie14" w:date="2025-05-09T10:34:00Z"/>
        </w:trPr>
        <w:tc>
          <w:tcPr>
            <w:tcW w:w="1770" w:type="dxa"/>
            <w:tcBorders>
              <w:top w:val="nil"/>
              <w:left w:val="single" w:sz="4" w:space="0" w:color="auto"/>
              <w:bottom w:val="nil"/>
              <w:right w:val="single" w:sz="4" w:space="0" w:color="auto"/>
            </w:tcBorders>
          </w:tcPr>
          <w:p w:rsidR="006224C2" w:rsidRPr="00295E71" w14:paraId="732B9D07" w14:textId="77777777">
            <w:pPr>
              <w:keepNext/>
              <w:tabs>
                <w:tab w:val="left" w:pos="567"/>
                <w:tab w:val="left" w:pos="1294"/>
              </w:tabs>
              <w:autoSpaceDE w:val="0"/>
              <w:autoSpaceDN w:val="0"/>
              <w:adjustRightInd w:val="0"/>
              <w:jc w:val="both"/>
              <w:pPrChange w:id="9529" w:author="AbbVie14" w:date="2025-05-09T10:34:00Z">
                <w:pPr>
                  <w:pStyle w:val="EMEANormal"/>
                  <w:keepNext/>
                </w:pPr>
              </w:pPrChange>
              <w:rPr>
                <w:del w:id="9530" w:author="AbbVie14" w:date="2025-05-09T10:34:00Z"/>
              </w:rPr>
            </w:pPr>
            <w:del w:id="9531" w:author="AbbVie14" w:date="2025-05-09T10:34:00Z">
              <w:r w:rsidRPr="00295E71">
                <w:delText>Settimana 24</w:delText>
              </w:r>
            </w:del>
          </w:p>
        </w:tc>
        <w:tc>
          <w:tcPr>
            <w:tcW w:w="1324" w:type="dxa"/>
            <w:tcBorders>
              <w:top w:val="nil"/>
              <w:left w:val="single" w:sz="4" w:space="0" w:color="auto"/>
              <w:bottom w:val="nil"/>
              <w:right w:val="single" w:sz="4" w:space="0" w:color="auto"/>
            </w:tcBorders>
          </w:tcPr>
          <w:p w:rsidR="006224C2" w:rsidRPr="00295E71" w14:paraId="6B34173E" w14:textId="77777777">
            <w:pPr>
              <w:keepNext/>
              <w:tabs>
                <w:tab w:val="left" w:pos="567"/>
                <w:tab w:val="left" w:pos="1294"/>
              </w:tabs>
              <w:autoSpaceDE w:val="0"/>
              <w:autoSpaceDN w:val="0"/>
              <w:adjustRightInd w:val="0"/>
              <w:jc w:val="both"/>
              <w:pPrChange w:id="9532" w:author="AbbVie14" w:date="2025-05-09T10:34:00Z">
                <w:pPr>
                  <w:pStyle w:val="EMEANormal"/>
                  <w:keepNext/>
                  <w:jc w:val="center"/>
                </w:pPr>
              </w:pPrChange>
              <w:rPr>
                <w:del w:id="9533" w:author="AbbVie14" w:date="2025-05-09T10:34:00Z"/>
              </w:rPr>
            </w:pPr>
            <w:del w:id="9534" w:author="AbbVie14" w:date="2025-05-09T10:34:00Z">
              <w:r w:rsidRPr="00295E71">
                <w:delText>6%</w:delText>
              </w:r>
            </w:del>
          </w:p>
        </w:tc>
        <w:tc>
          <w:tcPr>
            <w:tcW w:w="1316" w:type="dxa"/>
            <w:tcBorders>
              <w:top w:val="nil"/>
              <w:left w:val="single" w:sz="4" w:space="0" w:color="auto"/>
              <w:bottom w:val="nil"/>
              <w:right w:val="nil"/>
            </w:tcBorders>
          </w:tcPr>
          <w:p w:rsidR="006224C2" w:rsidRPr="00295E71" w14:paraId="486C8F8C" w14:textId="77777777">
            <w:pPr>
              <w:keepNext/>
              <w:tabs>
                <w:tab w:val="left" w:pos="567"/>
                <w:tab w:val="left" w:pos="1294"/>
              </w:tabs>
              <w:autoSpaceDE w:val="0"/>
              <w:autoSpaceDN w:val="0"/>
              <w:adjustRightInd w:val="0"/>
              <w:jc w:val="both"/>
              <w:pPrChange w:id="9535" w:author="AbbVie14" w:date="2025-05-09T10:34:00Z">
                <w:pPr>
                  <w:pStyle w:val="EMEANormal"/>
                  <w:keepNext/>
                  <w:jc w:val="center"/>
                </w:pPr>
              </w:pPrChange>
              <w:rPr>
                <w:del w:id="9536" w:author="AbbVie14" w:date="2025-05-09T10:34:00Z"/>
              </w:rPr>
            </w:pPr>
            <w:del w:id="9537" w:author="AbbVie14" w:date="2025-05-09T10:34:00Z">
              <w:r w:rsidRPr="00295E71">
                <w:delText>39%</w:delText>
              </w:r>
            </w:del>
            <w:del w:id="9538" w:author="AbbVie14" w:date="2025-05-09T10:34:00Z">
              <w:r w:rsidRPr="00295E71">
                <w:rPr>
                  <w:vertAlign w:val="superscript"/>
                </w:rPr>
                <w:delText>***</w:delText>
              </w:r>
            </w:del>
          </w:p>
        </w:tc>
        <w:tc>
          <w:tcPr>
            <w:tcW w:w="1343" w:type="dxa"/>
            <w:tcBorders>
              <w:top w:val="nil"/>
              <w:left w:val="single" w:sz="4" w:space="0" w:color="auto"/>
              <w:bottom w:val="nil"/>
              <w:right w:val="single" w:sz="4" w:space="0" w:color="auto"/>
            </w:tcBorders>
          </w:tcPr>
          <w:p w:rsidR="006224C2" w:rsidRPr="00295E71" w14:paraId="07CBC89A" w14:textId="77777777">
            <w:pPr>
              <w:keepNext/>
              <w:tabs>
                <w:tab w:val="left" w:pos="567"/>
                <w:tab w:val="left" w:pos="1294"/>
              </w:tabs>
              <w:autoSpaceDE w:val="0"/>
              <w:autoSpaceDN w:val="0"/>
              <w:adjustRightInd w:val="0"/>
              <w:jc w:val="both"/>
              <w:pPrChange w:id="9539" w:author="AbbVie14" w:date="2025-05-09T10:34:00Z">
                <w:pPr>
                  <w:pStyle w:val="EMEANormal"/>
                  <w:keepNext/>
                  <w:jc w:val="center"/>
                </w:pPr>
              </w:pPrChange>
              <w:rPr>
                <w:del w:id="9540" w:author="AbbVie14" w:date="2025-05-09T10:34:00Z"/>
              </w:rPr>
            </w:pPr>
            <w:del w:id="9541" w:author="AbbVie14" w:date="2025-05-09T10:34:00Z">
              <w:r w:rsidRPr="00295E71">
                <w:delText>N/A</w:delText>
              </w:r>
            </w:del>
          </w:p>
        </w:tc>
        <w:tc>
          <w:tcPr>
            <w:tcW w:w="1316" w:type="dxa"/>
            <w:tcBorders>
              <w:top w:val="nil"/>
              <w:left w:val="single" w:sz="4" w:space="0" w:color="auto"/>
              <w:bottom w:val="nil"/>
              <w:right w:val="single" w:sz="4" w:space="0" w:color="auto"/>
            </w:tcBorders>
          </w:tcPr>
          <w:p w:rsidR="006224C2" w:rsidRPr="00295E71" w14:paraId="2FDB6E26" w14:textId="77777777">
            <w:pPr>
              <w:keepNext/>
              <w:tabs>
                <w:tab w:val="left" w:pos="567"/>
                <w:tab w:val="left" w:pos="1294"/>
              </w:tabs>
              <w:autoSpaceDE w:val="0"/>
              <w:autoSpaceDN w:val="0"/>
              <w:adjustRightInd w:val="0"/>
              <w:jc w:val="both"/>
              <w:pPrChange w:id="9542" w:author="AbbVie14" w:date="2025-05-09T10:34:00Z">
                <w:pPr>
                  <w:pStyle w:val="EMEANormal"/>
                  <w:keepNext/>
                  <w:jc w:val="center"/>
                </w:pPr>
              </w:pPrChange>
              <w:rPr>
                <w:del w:id="9543" w:author="AbbVie14" w:date="2025-05-09T10:34:00Z"/>
              </w:rPr>
            </w:pPr>
            <w:del w:id="9544" w:author="AbbVie14" w:date="2025-05-09T10:34:00Z">
              <w:r w:rsidRPr="00295E71">
                <w:delText>N/A</w:delText>
              </w:r>
            </w:del>
          </w:p>
        </w:tc>
      </w:tr>
      <w:tr w14:paraId="04482994" w14:textId="77777777">
        <w:tblPrEx>
          <w:tblW w:w="0" w:type="auto"/>
          <w:tblLook w:val="0000"/>
        </w:tblPrEx>
        <w:trPr>
          <w:gridBefore w:val="1"/>
          <w:gridAfter w:val="1"/>
          <w:wBefore w:w="64" w:type="dxa"/>
          <w:wAfter w:w="91" w:type="dxa"/>
          <w:del w:id="9545" w:author="AbbVie14" w:date="2025-05-09T10:34:00Z"/>
        </w:trPr>
        <w:tc>
          <w:tcPr>
            <w:tcW w:w="1770" w:type="dxa"/>
            <w:tcBorders>
              <w:top w:val="nil"/>
              <w:left w:val="single" w:sz="4" w:space="0" w:color="auto"/>
              <w:bottom w:val="nil"/>
              <w:right w:val="single" w:sz="4" w:space="0" w:color="auto"/>
            </w:tcBorders>
          </w:tcPr>
          <w:p w:rsidR="006224C2" w:rsidRPr="00295E71" w14:paraId="5548BC87" w14:textId="77777777">
            <w:pPr>
              <w:keepNext/>
              <w:tabs>
                <w:tab w:val="left" w:pos="567"/>
                <w:tab w:val="left" w:pos="1294"/>
              </w:tabs>
              <w:autoSpaceDE w:val="0"/>
              <w:autoSpaceDN w:val="0"/>
              <w:adjustRightInd w:val="0"/>
              <w:jc w:val="both"/>
              <w:pPrChange w:id="9546" w:author="AbbVie14" w:date="2025-05-09T10:34:00Z">
                <w:pPr>
                  <w:pStyle w:val="EMEANormal"/>
                  <w:keepNext/>
                </w:pPr>
              </w:pPrChange>
              <w:rPr>
                <w:del w:id="9547" w:author="AbbVie14" w:date="2025-05-09T10:34:00Z"/>
              </w:rPr>
            </w:pPr>
            <w:del w:id="9548" w:author="AbbVie14" w:date="2025-05-09T10:34:00Z">
              <w:r w:rsidRPr="00295E71">
                <w:delText xml:space="preserve">ACR 70 </w:delText>
              </w:r>
            </w:del>
          </w:p>
        </w:tc>
        <w:tc>
          <w:tcPr>
            <w:tcW w:w="1324" w:type="dxa"/>
            <w:tcBorders>
              <w:top w:val="nil"/>
              <w:left w:val="single" w:sz="4" w:space="0" w:color="auto"/>
              <w:bottom w:val="nil"/>
              <w:right w:val="single" w:sz="4" w:space="0" w:color="auto"/>
            </w:tcBorders>
          </w:tcPr>
          <w:p w:rsidR="006224C2" w:rsidRPr="00295E71" w14:paraId="62757543" w14:textId="77777777">
            <w:pPr>
              <w:keepNext/>
              <w:tabs>
                <w:tab w:val="left" w:pos="567"/>
                <w:tab w:val="left" w:pos="1294"/>
              </w:tabs>
              <w:autoSpaceDE w:val="0"/>
              <w:autoSpaceDN w:val="0"/>
              <w:adjustRightInd w:val="0"/>
              <w:jc w:val="both"/>
              <w:pPrChange w:id="9549" w:author="AbbVie14" w:date="2025-05-09T10:34:00Z">
                <w:pPr>
                  <w:pStyle w:val="EMEANormal"/>
                  <w:keepNext/>
                  <w:jc w:val="center"/>
                </w:pPr>
              </w:pPrChange>
              <w:rPr>
                <w:del w:id="9550" w:author="AbbVie14" w:date="2025-05-09T10:34:00Z"/>
              </w:rPr>
            </w:pPr>
          </w:p>
        </w:tc>
        <w:tc>
          <w:tcPr>
            <w:tcW w:w="1316" w:type="dxa"/>
            <w:tcBorders>
              <w:top w:val="nil"/>
              <w:left w:val="single" w:sz="4" w:space="0" w:color="auto"/>
              <w:bottom w:val="nil"/>
              <w:right w:val="nil"/>
            </w:tcBorders>
          </w:tcPr>
          <w:p w:rsidR="006224C2" w:rsidRPr="00295E71" w14:paraId="4F206C99" w14:textId="77777777">
            <w:pPr>
              <w:keepNext/>
              <w:tabs>
                <w:tab w:val="left" w:pos="567"/>
                <w:tab w:val="left" w:pos="1294"/>
              </w:tabs>
              <w:autoSpaceDE w:val="0"/>
              <w:autoSpaceDN w:val="0"/>
              <w:adjustRightInd w:val="0"/>
              <w:jc w:val="both"/>
              <w:pPrChange w:id="9551" w:author="AbbVie14" w:date="2025-05-09T10:34:00Z">
                <w:pPr>
                  <w:pStyle w:val="EMEANormal"/>
                  <w:keepNext/>
                  <w:jc w:val="center"/>
                </w:pPr>
              </w:pPrChange>
              <w:rPr>
                <w:del w:id="9552" w:author="AbbVie14" w:date="2025-05-09T10:34:00Z"/>
              </w:rPr>
            </w:pPr>
          </w:p>
        </w:tc>
        <w:tc>
          <w:tcPr>
            <w:tcW w:w="1343" w:type="dxa"/>
            <w:tcBorders>
              <w:top w:val="nil"/>
              <w:left w:val="single" w:sz="4" w:space="0" w:color="auto"/>
              <w:bottom w:val="nil"/>
              <w:right w:val="single" w:sz="4" w:space="0" w:color="auto"/>
            </w:tcBorders>
          </w:tcPr>
          <w:p w:rsidR="006224C2" w:rsidRPr="00295E71" w14:paraId="29F2FA95" w14:textId="77777777">
            <w:pPr>
              <w:keepNext/>
              <w:tabs>
                <w:tab w:val="left" w:pos="567"/>
                <w:tab w:val="left" w:pos="1294"/>
              </w:tabs>
              <w:autoSpaceDE w:val="0"/>
              <w:autoSpaceDN w:val="0"/>
              <w:adjustRightInd w:val="0"/>
              <w:jc w:val="both"/>
              <w:pPrChange w:id="9553" w:author="AbbVie14" w:date="2025-05-09T10:34:00Z">
                <w:pPr>
                  <w:pStyle w:val="EMEANormal"/>
                  <w:keepNext/>
                  <w:jc w:val="center"/>
                </w:pPr>
              </w:pPrChange>
              <w:rPr>
                <w:del w:id="9554" w:author="AbbVie14" w:date="2025-05-09T10:34:00Z"/>
              </w:rPr>
            </w:pPr>
          </w:p>
        </w:tc>
        <w:tc>
          <w:tcPr>
            <w:tcW w:w="1316" w:type="dxa"/>
            <w:tcBorders>
              <w:top w:val="nil"/>
              <w:left w:val="single" w:sz="4" w:space="0" w:color="auto"/>
              <w:bottom w:val="nil"/>
              <w:right w:val="single" w:sz="4" w:space="0" w:color="auto"/>
            </w:tcBorders>
          </w:tcPr>
          <w:p w:rsidR="006224C2" w:rsidRPr="00295E71" w14:paraId="6983E72A" w14:textId="77777777">
            <w:pPr>
              <w:keepNext/>
              <w:tabs>
                <w:tab w:val="left" w:pos="567"/>
                <w:tab w:val="left" w:pos="1294"/>
              </w:tabs>
              <w:autoSpaceDE w:val="0"/>
              <w:autoSpaceDN w:val="0"/>
              <w:adjustRightInd w:val="0"/>
              <w:jc w:val="both"/>
              <w:pPrChange w:id="9555" w:author="AbbVie14" w:date="2025-05-09T10:34:00Z">
                <w:pPr>
                  <w:pStyle w:val="EMEANormal"/>
                  <w:keepNext/>
                  <w:jc w:val="center"/>
                </w:pPr>
              </w:pPrChange>
              <w:rPr>
                <w:del w:id="9556" w:author="AbbVie14" w:date="2025-05-09T10:34:00Z"/>
              </w:rPr>
            </w:pPr>
          </w:p>
        </w:tc>
      </w:tr>
      <w:tr w14:paraId="647D1F33" w14:textId="77777777">
        <w:tblPrEx>
          <w:tblW w:w="0" w:type="auto"/>
          <w:tblLook w:val="0000"/>
        </w:tblPrEx>
        <w:trPr>
          <w:gridBefore w:val="1"/>
          <w:gridAfter w:val="1"/>
          <w:wBefore w:w="64" w:type="dxa"/>
          <w:wAfter w:w="91" w:type="dxa"/>
          <w:del w:id="9557" w:author="AbbVie14" w:date="2025-05-09T10:34:00Z"/>
        </w:trPr>
        <w:tc>
          <w:tcPr>
            <w:tcW w:w="1770" w:type="dxa"/>
            <w:tcBorders>
              <w:top w:val="nil"/>
              <w:left w:val="single" w:sz="4" w:space="0" w:color="auto"/>
              <w:bottom w:val="nil"/>
              <w:right w:val="single" w:sz="4" w:space="0" w:color="auto"/>
            </w:tcBorders>
          </w:tcPr>
          <w:p w:rsidR="006224C2" w:rsidRPr="00295E71" w14:paraId="5F6FB4C8" w14:textId="77777777">
            <w:pPr>
              <w:keepNext/>
              <w:tabs>
                <w:tab w:val="left" w:pos="567"/>
                <w:tab w:val="left" w:pos="1294"/>
              </w:tabs>
              <w:autoSpaceDE w:val="0"/>
              <w:autoSpaceDN w:val="0"/>
              <w:adjustRightInd w:val="0"/>
              <w:jc w:val="both"/>
              <w:pPrChange w:id="9558" w:author="AbbVie14" w:date="2025-05-09T10:34:00Z">
                <w:pPr>
                  <w:pStyle w:val="EMEANormal"/>
                  <w:keepNext/>
                </w:pPr>
              </w:pPrChange>
              <w:rPr>
                <w:del w:id="9559" w:author="AbbVie14" w:date="2025-05-09T10:34:00Z"/>
              </w:rPr>
            </w:pPr>
            <w:del w:id="9560" w:author="AbbVie14" w:date="2025-05-09T10:34:00Z">
              <w:r w:rsidRPr="00295E71">
                <w:delText>Settimana 12</w:delText>
              </w:r>
            </w:del>
          </w:p>
        </w:tc>
        <w:tc>
          <w:tcPr>
            <w:tcW w:w="1324" w:type="dxa"/>
            <w:tcBorders>
              <w:top w:val="nil"/>
              <w:left w:val="single" w:sz="4" w:space="0" w:color="auto"/>
              <w:bottom w:val="nil"/>
              <w:right w:val="single" w:sz="4" w:space="0" w:color="auto"/>
            </w:tcBorders>
          </w:tcPr>
          <w:p w:rsidR="006224C2" w:rsidRPr="00295E71" w14:paraId="5B774854" w14:textId="77777777">
            <w:pPr>
              <w:keepNext/>
              <w:tabs>
                <w:tab w:val="left" w:pos="567"/>
                <w:tab w:val="left" w:pos="1294"/>
              </w:tabs>
              <w:autoSpaceDE w:val="0"/>
              <w:autoSpaceDN w:val="0"/>
              <w:adjustRightInd w:val="0"/>
              <w:jc w:val="both"/>
              <w:pPrChange w:id="9561" w:author="AbbVie14" w:date="2025-05-09T10:34:00Z">
                <w:pPr>
                  <w:pStyle w:val="EMEANormal"/>
                  <w:keepNext/>
                  <w:jc w:val="center"/>
                </w:pPr>
              </w:pPrChange>
              <w:rPr>
                <w:del w:id="9562" w:author="AbbVie14" w:date="2025-05-09T10:34:00Z"/>
              </w:rPr>
            </w:pPr>
            <w:del w:id="9563" w:author="AbbVie14" w:date="2025-05-09T10:34:00Z">
              <w:r w:rsidRPr="00295E71">
                <w:delText>1%</w:delText>
              </w:r>
            </w:del>
          </w:p>
        </w:tc>
        <w:tc>
          <w:tcPr>
            <w:tcW w:w="1316" w:type="dxa"/>
            <w:tcBorders>
              <w:top w:val="nil"/>
              <w:left w:val="single" w:sz="4" w:space="0" w:color="auto"/>
              <w:bottom w:val="nil"/>
              <w:right w:val="nil"/>
            </w:tcBorders>
          </w:tcPr>
          <w:p w:rsidR="006224C2" w:rsidRPr="00295E71" w14:paraId="0A1E9908" w14:textId="77777777">
            <w:pPr>
              <w:keepNext/>
              <w:tabs>
                <w:tab w:val="left" w:pos="567"/>
                <w:tab w:val="left" w:pos="1294"/>
              </w:tabs>
              <w:autoSpaceDE w:val="0"/>
              <w:autoSpaceDN w:val="0"/>
              <w:adjustRightInd w:val="0"/>
              <w:jc w:val="both"/>
              <w:pPrChange w:id="9564" w:author="AbbVie14" w:date="2025-05-09T10:34:00Z">
                <w:pPr>
                  <w:pStyle w:val="EMEANormal"/>
                  <w:keepNext/>
                  <w:jc w:val="center"/>
                </w:pPr>
              </w:pPrChange>
              <w:rPr>
                <w:del w:id="9565" w:author="AbbVie14" w:date="2025-05-09T10:34:00Z"/>
              </w:rPr>
            </w:pPr>
            <w:del w:id="9566" w:author="AbbVie14" w:date="2025-05-09T10:34:00Z">
              <w:r w:rsidRPr="00295E71">
                <w:delText>20%</w:delText>
              </w:r>
            </w:del>
            <w:del w:id="9567" w:author="AbbVie14" w:date="2025-05-09T10:34:00Z">
              <w:r w:rsidRPr="00295E71">
                <w:rPr>
                  <w:vertAlign w:val="superscript"/>
                </w:rPr>
                <w:delText>***</w:delText>
              </w:r>
            </w:del>
          </w:p>
        </w:tc>
        <w:tc>
          <w:tcPr>
            <w:tcW w:w="1343" w:type="dxa"/>
            <w:tcBorders>
              <w:top w:val="nil"/>
              <w:left w:val="single" w:sz="4" w:space="0" w:color="auto"/>
              <w:bottom w:val="nil"/>
              <w:right w:val="single" w:sz="4" w:space="0" w:color="auto"/>
            </w:tcBorders>
          </w:tcPr>
          <w:p w:rsidR="006224C2" w:rsidRPr="00295E71" w14:paraId="52E18B91" w14:textId="77777777">
            <w:pPr>
              <w:keepNext/>
              <w:tabs>
                <w:tab w:val="left" w:pos="567"/>
                <w:tab w:val="left" w:pos="1294"/>
              </w:tabs>
              <w:autoSpaceDE w:val="0"/>
              <w:autoSpaceDN w:val="0"/>
              <w:adjustRightInd w:val="0"/>
              <w:jc w:val="both"/>
              <w:pPrChange w:id="9568" w:author="AbbVie14" w:date="2025-05-09T10:34:00Z">
                <w:pPr>
                  <w:pStyle w:val="EMEANormal"/>
                  <w:keepNext/>
                  <w:jc w:val="center"/>
                </w:pPr>
              </w:pPrChange>
              <w:rPr>
                <w:del w:id="9569" w:author="AbbVie14" w:date="2025-05-09T10:34:00Z"/>
              </w:rPr>
            </w:pPr>
            <w:del w:id="9570" w:author="AbbVie14" w:date="2025-05-09T10:34:00Z">
              <w:r w:rsidRPr="00295E71">
                <w:delText>0%</w:delText>
              </w:r>
            </w:del>
          </w:p>
        </w:tc>
        <w:tc>
          <w:tcPr>
            <w:tcW w:w="1316" w:type="dxa"/>
            <w:tcBorders>
              <w:top w:val="nil"/>
              <w:left w:val="single" w:sz="4" w:space="0" w:color="auto"/>
              <w:bottom w:val="nil"/>
              <w:right w:val="single" w:sz="4" w:space="0" w:color="auto"/>
            </w:tcBorders>
          </w:tcPr>
          <w:p w:rsidR="006224C2" w:rsidRPr="00295E71" w14:paraId="31B41457" w14:textId="77777777">
            <w:pPr>
              <w:keepNext/>
              <w:tabs>
                <w:tab w:val="left" w:pos="567"/>
                <w:tab w:val="left" w:pos="1294"/>
              </w:tabs>
              <w:autoSpaceDE w:val="0"/>
              <w:autoSpaceDN w:val="0"/>
              <w:adjustRightInd w:val="0"/>
              <w:jc w:val="both"/>
              <w:pPrChange w:id="9571" w:author="AbbVie14" w:date="2025-05-09T10:34:00Z">
                <w:pPr>
                  <w:pStyle w:val="EMEANormal"/>
                  <w:keepNext/>
                  <w:jc w:val="center"/>
                </w:pPr>
              </w:pPrChange>
              <w:rPr>
                <w:del w:id="9572" w:author="AbbVie14" w:date="2025-05-09T10:34:00Z"/>
              </w:rPr>
            </w:pPr>
            <w:del w:id="9573" w:author="AbbVie14" w:date="2025-05-09T10:34:00Z">
              <w:r w:rsidRPr="00295E71">
                <w:delText>14%</w:delText>
              </w:r>
            </w:del>
            <w:del w:id="9574" w:author="AbbVie14" w:date="2025-05-09T10:34:00Z">
              <w:r w:rsidRPr="00295E71">
                <w:rPr>
                  <w:vertAlign w:val="superscript"/>
                </w:rPr>
                <w:delText xml:space="preserve"> *</w:delText>
              </w:r>
            </w:del>
          </w:p>
        </w:tc>
      </w:tr>
      <w:tr w14:paraId="1F67F164" w14:textId="77777777">
        <w:tblPrEx>
          <w:tblW w:w="0" w:type="auto"/>
          <w:tblLook w:val="0000"/>
        </w:tblPrEx>
        <w:trPr>
          <w:gridBefore w:val="1"/>
          <w:gridAfter w:val="1"/>
          <w:wBefore w:w="64" w:type="dxa"/>
          <w:wAfter w:w="91" w:type="dxa"/>
          <w:del w:id="9575" w:author="AbbVie14" w:date="2025-05-09T10:34:00Z"/>
        </w:trPr>
        <w:tc>
          <w:tcPr>
            <w:tcW w:w="1770" w:type="dxa"/>
            <w:tcBorders>
              <w:top w:val="nil"/>
              <w:left w:val="single" w:sz="4" w:space="0" w:color="auto"/>
              <w:bottom w:val="single" w:sz="4" w:space="0" w:color="auto"/>
              <w:right w:val="single" w:sz="4" w:space="0" w:color="auto"/>
            </w:tcBorders>
          </w:tcPr>
          <w:p w:rsidR="006224C2" w:rsidRPr="00295E71" w14:paraId="2F22E050" w14:textId="77777777">
            <w:pPr>
              <w:keepNext/>
              <w:tabs>
                <w:tab w:val="left" w:pos="567"/>
                <w:tab w:val="left" w:pos="1294"/>
              </w:tabs>
              <w:autoSpaceDE w:val="0"/>
              <w:autoSpaceDN w:val="0"/>
              <w:adjustRightInd w:val="0"/>
              <w:jc w:val="both"/>
              <w:pPrChange w:id="9576" w:author="AbbVie14" w:date="2025-05-09T10:34:00Z">
                <w:pPr>
                  <w:pStyle w:val="EMEANormal"/>
                  <w:keepNext/>
                </w:pPr>
              </w:pPrChange>
              <w:rPr>
                <w:del w:id="9577" w:author="AbbVie14" w:date="2025-05-09T10:34:00Z"/>
              </w:rPr>
            </w:pPr>
            <w:del w:id="9578" w:author="AbbVie14" w:date="2025-05-09T10:34:00Z">
              <w:r w:rsidRPr="00295E71">
                <w:delText>Settimana 24</w:delText>
              </w:r>
            </w:del>
          </w:p>
        </w:tc>
        <w:tc>
          <w:tcPr>
            <w:tcW w:w="1324" w:type="dxa"/>
            <w:tcBorders>
              <w:top w:val="nil"/>
              <w:left w:val="single" w:sz="4" w:space="0" w:color="auto"/>
              <w:bottom w:val="single" w:sz="4" w:space="0" w:color="auto"/>
              <w:right w:val="single" w:sz="4" w:space="0" w:color="auto"/>
            </w:tcBorders>
          </w:tcPr>
          <w:p w:rsidR="006224C2" w:rsidRPr="00295E71" w14:paraId="68042F68" w14:textId="77777777">
            <w:pPr>
              <w:keepNext/>
              <w:tabs>
                <w:tab w:val="left" w:pos="567"/>
                <w:tab w:val="left" w:pos="1294"/>
              </w:tabs>
              <w:autoSpaceDE w:val="0"/>
              <w:autoSpaceDN w:val="0"/>
              <w:adjustRightInd w:val="0"/>
              <w:jc w:val="both"/>
              <w:pPrChange w:id="9579" w:author="AbbVie14" w:date="2025-05-09T10:34:00Z">
                <w:pPr>
                  <w:pStyle w:val="EMEANormal"/>
                  <w:keepNext/>
                  <w:jc w:val="center"/>
                </w:pPr>
              </w:pPrChange>
              <w:rPr>
                <w:del w:id="9580" w:author="AbbVie14" w:date="2025-05-09T10:34:00Z"/>
              </w:rPr>
            </w:pPr>
            <w:del w:id="9581" w:author="AbbVie14" w:date="2025-05-09T10:34:00Z">
              <w:r w:rsidRPr="00295E71">
                <w:delText>1%</w:delText>
              </w:r>
            </w:del>
          </w:p>
        </w:tc>
        <w:tc>
          <w:tcPr>
            <w:tcW w:w="1316" w:type="dxa"/>
            <w:tcBorders>
              <w:top w:val="nil"/>
              <w:left w:val="single" w:sz="4" w:space="0" w:color="auto"/>
              <w:bottom w:val="single" w:sz="4" w:space="0" w:color="auto"/>
              <w:right w:val="nil"/>
            </w:tcBorders>
          </w:tcPr>
          <w:p w:rsidR="006224C2" w:rsidRPr="00295E71" w14:paraId="039B9A87" w14:textId="77777777">
            <w:pPr>
              <w:keepNext/>
              <w:tabs>
                <w:tab w:val="left" w:pos="567"/>
                <w:tab w:val="left" w:pos="1294"/>
              </w:tabs>
              <w:autoSpaceDE w:val="0"/>
              <w:autoSpaceDN w:val="0"/>
              <w:adjustRightInd w:val="0"/>
              <w:jc w:val="both"/>
              <w:pPrChange w:id="9582" w:author="AbbVie14" w:date="2025-05-09T10:34:00Z">
                <w:pPr>
                  <w:pStyle w:val="EMEANormal"/>
                  <w:keepNext/>
                  <w:jc w:val="center"/>
                </w:pPr>
              </w:pPrChange>
              <w:rPr>
                <w:del w:id="9583" w:author="AbbVie14" w:date="2025-05-09T10:34:00Z"/>
              </w:rPr>
            </w:pPr>
            <w:del w:id="9584" w:author="AbbVie14" w:date="2025-05-09T10:34:00Z">
              <w:r w:rsidRPr="00295E71">
                <w:delText>23%</w:delText>
              </w:r>
            </w:del>
            <w:del w:id="9585" w:author="AbbVie14" w:date="2025-05-09T10:34:00Z">
              <w:r w:rsidRPr="00295E71">
                <w:rPr>
                  <w:vertAlign w:val="superscript"/>
                </w:rPr>
                <w:delText>***</w:delText>
              </w:r>
            </w:del>
          </w:p>
        </w:tc>
        <w:tc>
          <w:tcPr>
            <w:tcW w:w="1343" w:type="dxa"/>
            <w:tcBorders>
              <w:top w:val="nil"/>
              <w:left w:val="single" w:sz="4" w:space="0" w:color="auto"/>
              <w:bottom w:val="single" w:sz="4" w:space="0" w:color="auto"/>
              <w:right w:val="single" w:sz="4" w:space="0" w:color="auto"/>
            </w:tcBorders>
          </w:tcPr>
          <w:p w:rsidR="006224C2" w:rsidRPr="00295E71" w14:paraId="0383D62F" w14:textId="77777777">
            <w:pPr>
              <w:keepNext/>
              <w:tabs>
                <w:tab w:val="left" w:pos="567"/>
                <w:tab w:val="left" w:pos="1294"/>
              </w:tabs>
              <w:autoSpaceDE w:val="0"/>
              <w:autoSpaceDN w:val="0"/>
              <w:adjustRightInd w:val="0"/>
              <w:jc w:val="both"/>
              <w:pPrChange w:id="9586" w:author="AbbVie14" w:date="2025-05-09T10:34:00Z">
                <w:pPr>
                  <w:pStyle w:val="EMEANormal"/>
                  <w:keepNext/>
                  <w:jc w:val="center"/>
                </w:pPr>
              </w:pPrChange>
              <w:rPr>
                <w:del w:id="9587" w:author="AbbVie14" w:date="2025-05-09T10:34:00Z"/>
              </w:rPr>
            </w:pPr>
            <w:del w:id="9588" w:author="AbbVie14" w:date="2025-05-09T10:34:00Z">
              <w:r w:rsidRPr="00295E71">
                <w:delText>N/A</w:delText>
              </w:r>
            </w:del>
          </w:p>
        </w:tc>
        <w:tc>
          <w:tcPr>
            <w:tcW w:w="1316" w:type="dxa"/>
            <w:tcBorders>
              <w:top w:val="nil"/>
              <w:left w:val="single" w:sz="4" w:space="0" w:color="auto"/>
              <w:bottom w:val="single" w:sz="4" w:space="0" w:color="auto"/>
              <w:right w:val="single" w:sz="4" w:space="0" w:color="auto"/>
            </w:tcBorders>
          </w:tcPr>
          <w:p w:rsidR="006224C2" w:rsidRPr="00295E71" w14:paraId="73BC71D5" w14:textId="77777777">
            <w:pPr>
              <w:keepNext/>
              <w:tabs>
                <w:tab w:val="left" w:pos="567"/>
                <w:tab w:val="left" w:pos="1294"/>
              </w:tabs>
              <w:autoSpaceDE w:val="0"/>
              <w:autoSpaceDN w:val="0"/>
              <w:adjustRightInd w:val="0"/>
              <w:jc w:val="both"/>
              <w:pPrChange w:id="9589" w:author="AbbVie14" w:date="2025-05-09T10:34:00Z">
                <w:pPr>
                  <w:pStyle w:val="EMEANormal"/>
                  <w:keepNext/>
                  <w:jc w:val="center"/>
                </w:pPr>
              </w:pPrChange>
              <w:rPr>
                <w:del w:id="9590" w:author="AbbVie14" w:date="2025-05-09T10:34:00Z"/>
              </w:rPr>
            </w:pPr>
            <w:del w:id="9591" w:author="AbbVie14" w:date="2025-05-09T10:34:00Z">
              <w:r w:rsidRPr="00295E71">
                <w:delText>N/A</w:delText>
              </w:r>
            </w:del>
          </w:p>
        </w:tc>
      </w:tr>
      <w:tr w14:paraId="755B7FDC" w14:textId="77777777">
        <w:tblPrEx>
          <w:tblW w:w="0" w:type="auto"/>
          <w:tblLook w:val="0000"/>
        </w:tblPrEx>
        <w:trPr>
          <w:del w:id="9592" w:author="AbbVie14" w:date="2025-05-09T10:34:00Z"/>
        </w:trPr>
        <w:tc>
          <w:tcPr>
            <w:tcW w:w="7224" w:type="dxa"/>
            <w:gridSpan w:val="7"/>
            <w:tcBorders>
              <w:top w:val="nil"/>
              <w:left w:val="nil"/>
              <w:bottom w:val="nil"/>
              <w:right w:val="nil"/>
            </w:tcBorders>
          </w:tcPr>
          <w:p w:rsidR="006224C2" w:rsidRPr="00295E71" w14:paraId="71A44A4A" w14:textId="77777777">
            <w:pPr>
              <w:keepNext/>
              <w:tabs>
                <w:tab w:val="left" w:pos="567"/>
                <w:tab w:val="left" w:pos="1294"/>
              </w:tabs>
              <w:autoSpaceDE w:val="0"/>
              <w:autoSpaceDN w:val="0"/>
              <w:adjustRightInd w:val="0"/>
              <w:jc w:val="both"/>
              <w:pPrChange w:id="9593" w:author="AbbVie14" w:date="2025-05-09T10:34:00Z">
                <w:pPr>
                  <w:pStyle w:val="EMEANormal"/>
                  <w:keepNext/>
                </w:pPr>
              </w:pPrChange>
              <w:rPr>
                <w:del w:id="9594" w:author="AbbVie14" w:date="2025-05-09T10:34:00Z"/>
              </w:rPr>
            </w:pPr>
            <w:del w:id="9595" w:author="AbbVie14" w:date="2025-05-09T10:34:00Z">
              <w:r w:rsidRPr="00295E71">
                <w:delText>***</w:delText>
              </w:r>
            </w:del>
            <w:del w:id="9596" w:author="AbbVie14" w:date="2025-05-09T10:34:00Z">
              <w:r w:rsidRPr="00295E71">
                <w:tab/>
                <w:delText>p&lt;0,001 per tutti i confronti tra Humira e placebo</w:delText>
              </w:r>
            </w:del>
          </w:p>
          <w:p w:rsidR="006224C2" w:rsidRPr="00295E71" w14:paraId="46C2E53B" w14:textId="77777777">
            <w:pPr>
              <w:keepNext/>
              <w:tabs>
                <w:tab w:val="left" w:pos="567"/>
                <w:tab w:val="left" w:pos="1294"/>
              </w:tabs>
              <w:autoSpaceDE w:val="0"/>
              <w:autoSpaceDN w:val="0"/>
              <w:adjustRightInd w:val="0"/>
              <w:jc w:val="both"/>
              <w:pPrChange w:id="9597" w:author="AbbVie14" w:date="2025-05-09T10:34:00Z">
                <w:pPr>
                  <w:pStyle w:val="EMEANormal"/>
                  <w:keepNext/>
                </w:pPr>
              </w:pPrChange>
              <w:rPr>
                <w:del w:id="9598" w:author="AbbVie14" w:date="2025-05-09T10:34:00Z"/>
              </w:rPr>
            </w:pPr>
            <w:del w:id="9599" w:author="AbbVie14" w:date="2025-05-09T10:34:00Z">
              <w:r w:rsidRPr="00295E71">
                <w:delText>*</w:delText>
              </w:r>
            </w:del>
            <w:del w:id="9600" w:author="AbbVie14" w:date="2025-05-09T10:34:00Z">
              <w:r w:rsidRPr="00295E71">
                <w:tab/>
                <w:delText xml:space="preserve">p&lt;0,05 per tutti i confronti tra Humira e placebo  </w:delText>
              </w:r>
            </w:del>
          </w:p>
          <w:p w:rsidR="006224C2" w:rsidRPr="00295E71" w14:paraId="3DE0D516" w14:textId="77777777">
            <w:pPr>
              <w:keepNext/>
              <w:tabs>
                <w:tab w:val="left" w:pos="567"/>
                <w:tab w:val="left" w:pos="1294"/>
              </w:tabs>
              <w:autoSpaceDE w:val="0"/>
              <w:autoSpaceDN w:val="0"/>
              <w:adjustRightInd w:val="0"/>
              <w:jc w:val="both"/>
              <w:pPrChange w:id="9601" w:author="AbbVie14" w:date="2025-05-09T10:34:00Z">
                <w:pPr>
                  <w:pStyle w:val="EMEANormal"/>
                  <w:keepNext/>
                </w:pPr>
              </w:pPrChange>
              <w:rPr>
                <w:del w:id="9602" w:author="AbbVie14" w:date="2025-05-09T10:34:00Z"/>
              </w:rPr>
            </w:pPr>
            <w:del w:id="9603" w:author="AbbVie14" w:date="2025-05-09T10:34:00Z">
              <w:r w:rsidRPr="00295E71">
                <w:delText>N/A non applicabile</w:delText>
              </w:r>
            </w:del>
          </w:p>
        </w:tc>
      </w:tr>
    </w:tbl>
    <w:p w:rsidR="006224C2" w:rsidRPr="00295E71" w14:paraId="52451714" w14:textId="77777777">
      <w:pPr>
        <w:keepNext/>
        <w:tabs>
          <w:tab w:val="left" w:pos="567"/>
          <w:tab w:val="left" w:pos="1294"/>
        </w:tabs>
        <w:autoSpaceDE w:val="0"/>
        <w:autoSpaceDN w:val="0"/>
        <w:adjustRightInd w:val="0"/>
        <w:jc w:val="both"/>
        <w:pPrChange w:id="9604" w:author="AbbVie14" w:date="2025-05-09T10:34:00Z">
          <w:pPr>
            <w:tabs>
              <w:tab w:val="left" w:pos="567"/>
              <w:tab w:val="left" w:pos="1294"/>
            </w:tabs>
            <w:autoSpaceDE w:val="0"/>
            <w:autoSpaceDN w:val="0"/>
            <w:adjustRightInd w:val="0"/>
          </w:pPr>
        </w:pPrChange>
        <w:rPr>
          <w:del w:id="9605" w:author="AbbVie14" w:date="2025-05-09T10:34:00Z"/>
          <w:color w:val="000000"/>
          <w:sz w:val="22"/>
          <w:szCs w:val="22"/>
        </w:rPr>
      </w:pPr>
    </w:p>
    <w:p w:rsidR="006224C2" w:rsidRPr="00295E71" w14:paraId="3F93335B" w14:textId="77777777">
      <w:pPr>
        <w:keepNext/>
        <w:tabs>
          <w:tab w:val="left" w:pos="567"/>
          <w:tab w:val="left" w:pos="1294"/>
        </w:tabs>
        <w:autoSpaceDE w:val="0"/>
        <w:autoSpaceDN w:val="0"/>
        <w:adjustRightInd w:val="0"/>
        <w:jc w:val="both"/>
        <w:pPrChange w:id="9606" w:author="AbbVie14" w:date="2025-05-09T10:34:00Z">
          <w:pPr>
            <w:tabs>
              <w:tab w:val="left" w:pos="567"/>
              <w:tab w:val="left" w:pos="1294"/>
            </w:tabs>
            <w:autoSpaceDE w:val="0"/>
            <w:autoSpaceDN w:val="0"/>
            <w:adjustRightInd w:val="0"/>
            <w:jc w:val="both"/>
          </w:pPr>
        </w:pPrChange>
        <w:rPr>
          <w:del w:id="9607" w:author="AbbVie14" w:date="2025-05-09T10:34:00Z"/>
          <w:color w:val="000000"/>
          <w:sz w:val="22"/>
          <w:szCs w:val="22"/>
        </w:rPr>
      </w:pPr>
      <w:del w:id="9608" w:author="AbbVie14" w:date="2025-05-09T10:34:00Z">
        <w:r w:rsidRPr="00295E71">
          <w:rPr>
            <w:color w:val="000000"/>
            <w:sz w:val="22"/>
            <w:szCs w:val="22"/>
          </w:rPr>
          <w:delText>Le risposte ACR nello studio PsA I sono state simili con e senza terapia concomitante con metotressato.</w:delText>
        </w:r>
      </w:del>
    </w:p>
    <w:p w:rsidR="006224C2" w:rsidRPr="00295E71" w14:paraId="0D2602C7" w14:textId="77777777">
      <w:pPr>
        <w:keepNext/>
        <w:tabs>
          <w:tab w:val="left" w:pos="567"/>
          <w:tab w:val="left" w:pos="1294"/>
        </w:tabs>
        <w:autoSpaceDE w:val="0"/>
        <w:autoSpaceDN w:val="0"/>
        <w:adjustRightInd w:val="0"/>
        <w:jc w:val="both"/>
        <w:pPrChange w:id="9609" w:author="AbbVie14" w:date="2025-05-09T10:34:00Z">
          <w:pPr>
            <w:tabs>
              <w:tab w:val="left" w:pos="567"/>
              <w:tab w:val="left" w:pos="1294"/>
            </w:tabs>
            <w:autoSpaceDE w:val="0"/>
            <w:autoSpaceDN w:val="0"/>
            <w:adjustRightInd w:val="0"/>
            <w:jc w:val="both"/>
          </w:pPr>
        </w:pPrChange>
        <w:rPr>
          <w:del w:id="9610" w:author="AbbVie14" w:date="2025-05-09T10:34:00Z"/>
          <w:color w:val="000000"/>
          <w:sz w:val="22"/>
          <w:szCs w:val="22"/>
        </w:rPr>
      </w:pPr>
      <w:del w:id="9611" w:author="AbbVie14" w:date="2025-05-09T10:34:00Z">
        <w:r w:rsidRPr="00295E71">
          <w:rPr>
            <w:color w:val="000000"/>
            <w:sz w:val="22"/>
            <w:szCs w:val="22"/>
          </w:rPr>
          <w:delText>Le risposte ACR nello studio di estensione in aperto sono state mantenute fino a 136 settimane.</w:delText>
        </w:r>
      </w:del>
    </w:p>
    <w:p w:rsidR="006224C2" w:rsidRPr="00295E71" w14:paraId="0645422C" w14:textId="77777777">
      <w:pPr>
        <w:keepNext/>
        <w:tabs>
          <w:tab w:val="left" w:pos="567"/>
          <w:tab w:val="left" w:pos="1294"/>
        </w:tabs>
        <w:autoSpaceDE w:val="0"/>
        <w:autoSpaceDN w:val="0"/>
        <w:adjustRightInd w:val="0"/>
        <w:jc w:val="both"/>
        <w:pPrChange w:id="9612" w:author="AbbVie14" w:date="2025-05-09T10:34:00Z">
          <w:pPr>
            <w:tabs>
              <w:tab w:val="left" w:pos="567"/>
              <w:tab w:val="left" w:pos="1294"/>
            </w:tabs>
            <w:autoSpaceDE w:val="0"/>
            <w:autoSpaceDN w:val="0"/>
            <w:adjustRightInd w:val="0"/>
            <w:jc w:val="both"/>
          </w:pPr>
        </w:pPrChange>
        <w:rPr>
          <w:del w:id="9613" w:author="AbbVie14" w:date="2025-05-09T10:34:00Z"/>
          <w:color w:val="000000"/>
          <w:sz w:val="22"/>
          <w:szCs w:val="22"/>
        </w:rPr>
      </w:pPr>
      <w:del w:id="9614" w:author="AbbVie14" w:date="2025-05-09T10:34:00Z">
        <w:r w:rsidRPr="00295E71">
          <w:rPr>
            <w:color w:val="000000"/>
            <w:sz w:val="22"/>
            <w:szCs w:val="22"/>
          </w:rPr>
          <w:delText xml:space="preserve">Negli studi sull’artrite psoriasica sono state valutate le modifiche radiologiche. Sono state eseguite radiografie delle mani, dei polsi e dei piedi al basale ed alla settimana 24, durante la fase in doppio cieco quando i pazienti erano trattati con Humira o con placebo, ed alla settimana 48, quando tutti i pazienti erano trattati con Humira in aperto. </w:delText>
        </w:r>
      </w:del>
      <w:del w:id="9615" w:author="AbbVie14" w:date="2025-05-09T10:34:00Z">
        <w:r w:rsidRPr="00295E71">
          <w:rPr>
            <w:sz w:val="22"/>
            <w:szCs w:val="22"/>
          </w:rPr>
          <w:delText>È</w:delText>
        </w:r>
      </w:del>
      <w:del w:id="9616" w:author="AbbVie14" w:date="2025-05-09T10:34:00Z">
        <w:r w:rsidRPr="00295E71">
          <w:rPr>
            <w:color w:val="000000"/>
            <w:sz w:val="22"/>
            <w:szCs w:val="22"/>
          </w:rPr>
          <w:delText xml:space="preserve"> stato utilizzato l’Indice Totale di Sharp modificato (mTSS) che includeva le articolazioni distali interfalangee (cioè diverso dall’Indice Totale di Sharp utilizzato per l’artrite reumatoide).</w:delText>
        </w:r>
      </w:del>
    </w:p>
    <w:p w:rsidR="006224C2" w:rsidRPr="00295E71" w14:paraId="2A08361A" w14:textId="77777777">
      <w:pPr>
        <w:keepNext/>
        <w:tabs>
          <w:tab w:val="left" w:pos="567"/>
          <w:tab w:val="left" w:pos="1294"/>
        </w:tabs>
        <w:autoSpaceDE w:val="0"/>
        <w:autoSpaceDN w:val="0"/>
        <w:adjustRightInd w:val="0"/>
        <w:jc w:val="both"/>
        <w:pPrChange w:id="9617" w:author="AbbVie14" w:date="2025-05-09T10:34:00Z">
          <w:pPr>
            <w:tabs>
              <w:tab w:val="left" w:pos="567"/>
              <w:tab w:val="left" w:pos="1294"/>
            </w:tabs>
            <w:autoSpaceDE w:val="0"/>
            <w:autoSpaceDN w:val="0"/>
            <w:adjustRightInd w:val="0"/>
            <w:jc w:val="both"/>
          </w:pPr>
        </w:pPrChange>
        <w:rPr>
          <w:del w:id="9618" w:author="AbbVie14" w:date="2025-05-09T10:34:00Z"/>
          <w:color w:val="000000"/>
          <w:sz w:val="22"/>
          <w:szCs w:val="22"/>
        </w:rPr>
      </w:pPr>
    </w:p>
    <w:p w:rsidR="006224C2" w:rsidRPr="00295E71" w14:paraId="18104C0E" w14:textId="77777777">
      <w:pPr>
        <w:keepNext/>
        <w:tabs>
          <w:tab w:val="left" w:pos="567"/>
          <w:tab w:val="left" w:pos="1294"/>
        </w:tabs>
        <w:autoSpaceDE w:val="0"/>
        <w:autoSpaceDN w:val="0"/>
        <w:adjustRightInd w:val="0"/>
        <w:jc w:val="both"/>
        <w:pPrChange w:id="9619" w:author="AbbVie14" w:date="2025-05-09T10:34:00Z">
          <w:pPr>
            <w:tabs>
              <w:tab w:val="left" w:pos="567"/>
              <w:tab w:val="left" w:pos="1294"/>
            </w:tabs>
            <w:autoSpaceDE w:val="0"/>
            <w:autoSpaceDN w:val="0"/>
            <w:adjustRightInd w:val="0"/>
            <w:jc w:val="both"/>
          </w:pPr>
        </w:pPrChange>
        <w:rPr>
          <w:del w:id="9620" w:author="AbbVie14" w:date="2025-05-09T10:34:00Z"/>
          <w:color w:val="000000"/>
          <w:sz w:val="22"/>
          <w:szCs w:val="22"/>
        </w:rPr>
      </w:pPr>
      <w:del w:id="9621" w:author="AbbVie14" w:date="2025-05-09T10:34:00Z">
        <w:r w:rsidRPr="00295E71">
          <w:rPr>
            <w:color w:val="000000"/>
            <w:sz w:val="22"/>
            <w:szCs w:val="22"/>
          </w:rPr>
          <w:delText>Il trattamento con Humira, in confronto al trattamento con placebo, ha ridotto la percentuale di progressione del danno articolare periferico, come rilevato dalle variazioni dell’Indice Totale di Sharp modificato rispetto al basale (media ± DS) 0,8 ±2,5 nel gruppo placebo (alla settimana 24) rispetto a 0,0 ± 1,9 (p&lt;0,001) nel gruppo Humira (alla settimana 48).</w:delText>
        </w:r>
      </w:del>
    </w:p>
    <w:p w:rsidR="006224C2" w:rsidRPr="00295E71" w14:paraId="444268F0" w14:textId="77777777">
      <w:pPr>
        <w:keepNext/>
        <w:tabs>
          <w:tab w:val="left" w:pos="567"/>
          <w:tab w:val="left" w:pos="1294"/>
        </w:tabs>
        <w:autoSpaceDE w:val="0"/>
        <w:autoSpaceDN w:val="0"/>
        <w:adjustRightInd w:val="0"/>
        <w:jc w:val="both"/>
        <w:pPrChange w:id="9622" w:author="AbbVie14" w:date="2025-05-09T10:34:00Z">
          <w:pPr>
            <w:tabs>
              <w:tab w:val="left" w:pos="567"/>
              <w:tab w:val="left" w:pos="1294"/>
            </w:tabs>
            <w:autoSpaceDE w:val="0"/>
            <w:autoSpaceDN w:val="0"/>
            <w:adjustRightInd w:val="0"/>
            <w:jc w:val="both"/>
          </w:pPr>
        </w:pPrChange>
        <w:rPr>
          <w:del w:id="9623" w:author="AbbVie14" w:date="2025-05-09T10:34:00Z"/>
          <w:color w:val="000000"/>
          <w:sz w:val="22"/>
          <w:szCs w:val="22"/>
        </w:rPr>
      </w:pPr>
    </w:p>
    <w:p w:rsidR="006224C2" w:rsidRPr="00295E71" w14:paraId="42C08D56" w14:textId="77777777">
      <w:pPr>
        <w:keepNext/>
        <w:tabs>
          <w:tab w:val="left" w:pos="567"/>
          <w:tab w:val="left" w:pos="1294"/>
        </w:tabs>
        <w:autoSpaceDE w:val="0"/>
        <w:autoSpaceDN w:val="0"/>
        <w:adjustRightInd w:val="0"/>
        <w:jc w:val="both"/>
        <w:pPrChange w:id="9624" w:author="AbbVie14" w:date="2025-05-09T10:34:00Z">
          <w:pPr>
            <w:tabs>
              <w:tab w:val="left" w:pos="567"/>
              <w:tab w:val="left" w:pos="1294"/>
            </w:tabs>
            <w:autoSpaceDE w:val="0"/>
            <w:autoSpaceDN w:val="0"/>
            <w:adjustRightInd w:val="0"/>
            <w:jc w:val="both"/>
          </w:pPr>
        </w:pPrChange>
        <w:rPr>
          <w:del w:id="9625" w:author="AbbVie14" w:date="2025-05-09T10:34:00Z"/>
          <w:color w:val="000000"/>
          <w:sz w:val="22"/>
          <w:szCs w:val="22"/>
        </w:rPr>
      </w:pPr>
      <w:del w:id="9626" w:author="AbbVie14" w:date="2025-05-09T10:34:00Z">
        <w:r w:rsidRPr="00295E71">
          <w:rPr>
            <w:color w:val="000000"/>
            <w:sz w:val="22"/>
            <w:szCs w:val="22"/>
          </w:rPr>
          <w:delText>Nei pazienti trattati con Humira senza progressione del danno radiologico dal basale alla settimana 48 (n=102), l’84% ha continuato a non mostrare alcuna progressione del danno radiologico nelle 144 settimane di trattamento.</w:delText>
        </w:r>
      </w:del>
      <w:del w:id="9627" w:author="AbbVie14" w:date="2025-05-09T10:34:00Z">
        <w:r w:rsidR="008076EA">
          <w:rPr>
            <w:color w:val="000000"/>
            <w:sz w:val="22"/>
            <w:szCs w:val="22"/>
          </w:rPr>
          <w:delText xml:space="preserve"> </w:delText>
        </w:r>
      </w:del>
      <w:del w:id="9628" w:author="AbbVie14" w:date="2025-05-09T10:34:00Z">
        <w:r w:rsidRPr="00295E71">
          <w:rPr>
            <w:color w:val="000000"/>
            <w:sz w:val="22"/>
            <w:szCs w:val="22"/>
          </w:rPr>
          <w:delText>I pazienti trattati con Humira hanno dimostrato un miglioramento statisticamente significativo della funzionalità fisica alla settimana 24 rispetto ai pazienti trattati con placebo, come valutato dall’HAQ e dallo Short Form Health Survey (SF-36). Il miglioramento della funzionalità fisica è continuato fino alla settimana 136 nello studio di estensione in aperto.</w:delText>
        </w:r>
      </w:del>
    </w:p>
    <w:p w:rsidR="006224C2" w:rsidRPr="00295E71" w14:paraId="6FFB0763" w14:textId="77777777">
      <w:pPr>
        <w:keepNext/>
        <w:tabs>
          <w:tab w:val="left" w:pos="567"/>
          <w:tab w:val="left" w:pos="1294"/>
        </w:tabs>
        <w:autoSpaceDE w:val="0"/>
        <w:autoSpaceDN w:val="0"/>
        <w:adjustRightInd w:val="0"/>
        <w:jc w:val="both"/>
        <w:pPrChange w:id="9629" w:author="AbbVie14" w:date="2025-05-09T10:34:00Z">
          <w:pPr>
            <w:tabs>
              <w:tab w:val="left" w:pos="567"/>
              <w:tab w:val="left" w:pos="1294"/>
            </w:tabs>
            <w:autoSpaceDE w:val="0"/>
            <w:autoSpaceDN w:val="0"/>
            <w:adjustRightInd w:val="0"/>
            <w:jc w:val="both"/>
          </w:pPr>
        </w:pPrChange>
        <w:rPr>
          <w:del w:id="9630" w:author="AbbVie14" w:date="2025-05-09T10:34:00Z"/>
          <w:color w:val="000000"/>
          <w:sz w:val="22"/>
          <w:szCs w:val="22"/>
        </w:rPr>
      </w:pPr>
    </w:p>
    <w:p w:rsidR="006224C2" w:rsidRPr="00295E71" w14:paraId="0C57576E" w14:textId="77777777">
      <w:pPr>
        <w:keepNext/>
        <w:tabs>
          <w:tab w:val="left" w:pos="567"/>
          <w:tab w:val="left" w:pos="1294"/>
        </w:tabs>
        <w:autoSpaceDE w:val="0"/>
        <w:autoSpaceDN w:val="0"/>
        <w:adjustRightInd w:val="0"/>
        <w:jc w:val="both"/>
        <w:pPrChange w:id="9631" w:author="AbbVie14" w:date="2025-05-09T10:34:00Z">
          <w:pPr>
            <w:tabs>
              <w:tab w:val="left" w:pos="567"/>
              <w:tab w:val="left" w:pos="1294"/>
            </w:tabs>
            <w:autoSpaceDE w:val="0"/>
            <w:autoSpaceDN w:val="0"/>
            <w:adjustRightInd w:val="0"/>
            <w:jc w:val="both"/>
          </w:pPr>
        </w:pPrChange>
        <w:rPr>
          <w:del w:id="9632" w:author="AbbVie14" w:date="2025-05-09T10:34:00Z"/>
          <w:i/>
          <w:color w:val="000000"/>
          <w:sz w:val="22"/>
          <w:szCs w:val="22"/>
        </w:rPr>
      </w:pPr>
      <w:del w:id="9633" w:author="AbbVie14" w:date="2025-05-09T10:34:00Z">
        <w:r w:rsidRPr="00295E71">
          <w:rPr>
            <w:i/>
            <w:color w:val="000000"/>
            <w:sz w:val="22"/>
            <w:szCs w:val="22"/>
          </w:rPr>
          <w:delText>Psoriasi</w:delText>
        </w:r>
      </w:del>
    </w:p>
    <w:p w:rsidR="006224C2" w:rsidRPr="00295E71" w14:paraId="0DC1D12F" w14:textId="77777777">
      <w:pPr>
        <w:keepNext/>
        <w:tabs>
          <w:tab w:val="left" w:pos="567"/>
          <w:tab w:val="left" w:pos="1294"/>
        </w:tabs>
        <w:autoSpaceDE w:val="0"/>
        <w:autoSpaceDN w:val="0"/>
        <w:adjustRightInd w:val="0"/>
        <w:jc w:val="both"/>
        <w:pPrChange w:id="9634" w:author="AbbVie14" w:date="2025-05-09T10:34:00Z">
          <w:pPr>
            <w:tabs>
              <w:tab w:val="left" w:pos="567"/>
              <w:tab w:val="left" w:pos="1294"/>
            </w:tabs>
            <w:autoSpaceDE w:val="0"/>
            <w:autoSpaceDN w:val="0"/>
            <w:adjustRightInd w:val="0"/>
            <w:jc w:val="both"/>
          </w:pPr>
        </w:pPrChange>
        <w:rPr>
          <w:del w:id="9635" w:author="AbbVie14" w:date="2025-05-09T10:34:00Z"/>
          <w:color w:val="000000"/>
          <w:sz w:val="22"/>
          <w:szCs w:val="22"/>
        </w:rPr>
      </w:pPr>
    </w:p>
    <w:p w:rsidR="006224C2" w:rsidRPr="00295E71" w14:paraId="5F82B0B8" w14:textId="77777777">
      <w:pPr>
        <w:keepNext/>
        <w:tabs>
          <w:tab w:val="left" w:pos="567"/>
          <w:tab w:val="left" w:pos="1294"/>
        </w:tabs>
        <w:autoSpaceDE w:val="0"/>
        <w:autoSpaceDN w:val="0"/>
        <w:adjustRightInd w:val="0"/>
        <w:jc w:val="both"/>
        <w:pPrChange w:id="9636" w:author="AbbVie14" w:date="2025-05-09T10:34:00Z">
          <w:pPr/>
        </w:pPrChange>
        <w:rPr>
          <w:del w:id="9637" w:author="AbbVie14" w:date="2025-05-09T10:34:00Z"/>
          <w:color w:val="000000"/>
          <w:sz w:val="22"/>
          <w:szCs w:val="22"/>
        </w:rPr>
      </w:pPr>
      <w:del w:id="9638" w:author="AbbVie14" w:date="2025-05-09T10:34:00Z">
        <w:r w:rsidRPr="00295E71">
          <w:rPr>
            <w:color w:val="000000"/>
            <w:sz w:val="22"/>
            <w:szCs w:val="22"/>
          </w:rPr>
          <w:delText xml:space="preserve">La sicurezza e l’efficacia di Humira sono state studiate nei pazienti adulti affetti da psoriasi cronica a placche (BSA ≥10% e Psoriasis Area and Severity Index (PASI) ≥ 12 o ≥ 10), i quali erano candidati alla terapia sistemica o alla fototerapia, durante gli studi randomizzati in doppio cieco. Il 73% dei pazienti </w:delText>
        </w:r>
      </w:del>
      <w:del w:id="9639" w:author="AbbVie14" w:date="2025-05-09T10:34:00Z">
        <w:r w:rsidRPr="00020442" w:rsidR="00420BF3">
          <w:rPr>
            <w:color w:val="000000"/>
            <w:sz w:val="22"/>
            <w:szCs w:val="22"/>
          </w:rPr>
          <w:delText>arruolati negli</w:delText>
        </w:r>
      </w:del>
      <w:del w:id="9640" w:author="AbbVie14" w:date="2025-05-09T10:34:00Z">
        <w:r w:rsidRPr="00295E71">
          <w:rPr>
            <w:color w:val="000000"/>
            <w:sz w:val="22"/>
            <w:szCs w:val="22"/>
          </w:rPr>
          <w:delText xml:space="preserve"> studi I e II sulla psoriasi erano stati precedentemente sottoposti a terapia sistemica o fototerapica.</w:delText>
        </w:r>
      </w:del>
      <w:del w:id="9641" w:author="AbbVie14" w:date="2025-05-09T10:34:00Z">
        <w:r w:rsidR="008076EA">
          <w:rPr>
            <w:color w:val="000000"/>
            <w:sz w:val="22"/>
            <w:szCs w:val="22"/>
          </w:rPr>
          <w:delText xml:space="preserve"> </w:delText>
        </w:r>
      </w:del>
      <w:del w:id="9642" w:author="AbbVie14" w:date="2025-05-09T10:34:00Z">
        <w:r w:rsidRPr="00295E71">
          <w:rPr>
            <w:color w:val="000000"/>
            <w:sz w:val="22"/>
            <w:szCs w:val="22"/>
          </w:rPr>
          <w:delText>La sicurezza e l’efficacia di Humira sono state studiate anche nei pazienti adulti affetti da psoriasi cronica a placche da moderata a severa con concomitante psoriasi localizzata alla mano e/o al piede, i quali erano candidati alla terapia sistemica</w:delText>
        </w:r>
      </w:del>
      <w:del w:id="9643" w:author="AbbVie14" w:date="2025-05-09T10:34:00Z">
        <w:r w:rsidR="000F6A47">
          <w:rPr>
            <w:color w:val="000000"/>
            <w:sz w:val="22"/>
            <w:szCs w:val="22"/>
          </w:rPr>
          <w:delText>,</w:delText>
        </w:r>
      </w:del>
      <w:del w:id="9644" w:author="AbbVie14" w:date="2025-05-09T10:34:00Z">
        <w:r w:rsidRPr="00295E71">
          <w:rPr>
            <w:color w:val="000000"/>
            <w:sz w:val="22"/>
            <w:szCs w:val="22"/>
          </w:rPr>
          <w:delText xml:space="preserve"> in uno studio randomizzato in doppio cieco (studio di fase III sulla psoriasi).</w:delText>
        </w:r>
      </w:del>
    </w:p>
    <w:p w:rsidR="006224C2" w:rsidRPr="00295E71" w14:paraId="33C268F9" w14:textId="77777777">
      <w:pPr>
        <w:keepNext/>
        <w:tabs>
          <w:tab w:val="left" w:pos="567"/>
          <w:tab w:val="left" w:pos="1294"/>
        </w:tabs>
        <w:autoSpaceDE w:val="0"/>
        <w:autoSpaceDN w:val="0"/>
        <w:adjustRightInd w:val="0"/>
        <w:jc w:val="both"/>
        <w:pPrChange w:id="9645" w:author="AbbVie14" w:date="2025-05-09T10:34:00Z">
          <w:pPr>
            <w:tabs>
              <w:tab w:val="left" w:pos="567"/>
              <w:tab w:val="left" w:pos="1294"/>
            </w:tabs>
            <w:autoSpaceDE w:val="0"/>
            <w:autoSpaceDN w:val="0"/>
            <w:adjustRightInd w:val="0"/>
            <w:jc w:val="both"/>
          </w:pPr>
        </w:pPrChange>
        <w:rPr>
          <w:del w:id="9646" w:author="AbbVie14" w:date="2025-05-09T10:34:00Z"/>
          <w:color w:val="000000"/>
          <w:sz w:val="22"/>
          <w:szCs w:val="22"/>
        </w:rPr>
      </w:pPr>
    </w:p>
    <w:p w:rsidR="006224C2" w:rsidRPr="00295E71" w14:paraId="4441E209" w14:textId="77777777">
      <w:pPr>
        <w:keepNext/>
        <w:tabs>
          <w:tab w:val="left" w:pos="567"/>
          <w:tab w:val="left" w:pos="1294"/>
        </w:tabs>
        <w:autoSpaceDE w:val="0"/>
        <w:autoSpaceDN w:val="0"/>
        <w:adjustRightInd w:val="0"/>
        <w:jc w:val="both"/>
        <w:pPrChange w:id="9647" w:author="AbbVie14" w:date="2025-05-09T10:34:00Z">
          <w:pPr>
            <w:tabs>
              <w:tab w:val="left" w:pos="567"/>
              <w:tab w:val="left" w:pos="1294"/>
            </w:tabs>
            <w:autoSpaceDE w:val="0"/>
            <w:autoSpaceDN w:val="0"/>
            <w:adjustRightInd w:val="0"/>
            <w:jc w:val="both"/>
          </w:pPr>
        </w:pPrChange>
        <w:rPr>
          <w:del w:id="9648" w:author="AbbVie14" w:date="2025-05-09T10:34:00Z"/>
          <w:color w:val="000000"/>
          <w:sz w:val="22"/>
          <w:szCs w:val="22"/>
        </w:rPr>
      </w:pPr>
      <w:del w:id="9649" w:author="AbbVie14" w:date="2025-05-09T10:34:00Z">
        <w:r w:rsidRPr="00295E71">
          <w:rPr>
            <w:color w:val="000000"/>
            <w:sz w:val="22"/>
            <w:szCs w:val="22"/>
          </w:rPr>
          <w:delText>Lo studio I sulla psoriasi (REVEAL) ha valutato 1.212 pazienti entro tre periodi di trattamento. Nel corso del periodo A, ai pazienti è stato somministrato placebo o Humira ad una dose iniziale pari a 80 mg, seguita da una dose pari a 40 mg, a settimane alterne, somministrata ad iniziare dalla settimana successiva all’assunzione della dose iniziale. Dopo 16 settimane di terapia, i pazienti che hanno ottenuto almeno una risposta PASI 75 (in cui il punteggio PASI ha registrato un miglioramento pari ad almeno il 75% del valore al basale) sono stati ammessi al periodo B ed hanno ricevuto unadose di Humira pari a 40 mg, a settimane alterne, in aperto. I pazienti che hanno mantenuto una risposta ≥PASI 75 alla settimana 33 e che erano stati inizialmente randomizzati per la terapia attiva nel corso del periodo A sono stati nuovamente randomizzati nel periodo C a ricevere 40 mg di Humira, a settimane alterne, o placebo, per un ulteriore periodo di 19 settimane. In tutti i gruppi di trattamento, il punteggio PASI medio al basale è risultato pari a 18,9 ed il punteggio relativo al Physician’s Global Assessment (PGA) è risultato di grado “moderato” nel 53% dei soggetti inclusi, “severo” nel 41% e “molto severo” nel 6%.</w:delText>
        </w:r>
      </w:del>
    </w:p>
    <w:p w:rsidR="006224C2" w:rsidRPr="00295E71" w14:paraId="2E895B59" w14:textId="77777777">
      <w:pPr>
        <w:keepNext/>
        <w:tabs>
          <w:tab w:val="left" w:pos="567"/>
          <w:tab w:val="left" w:pos="1294"/>
        </w:tabs>
        <w:autoSpaceDE w:val="0"/>
        <w:autoSpaceDN w:val="0"/>
        <w:adjustRightInd w:val="0"/>
        <w:jc w:val="both"/>
        <w:pPrChange w:id="9650" w:author="AbbVie14" w:date="2025-05-09T10:34:00Z">
          <w:pPr>
            <w:tabs>
              <w:tab w:val="left" w:pos="567"/>
              <w:tab w:val="left" w:pos="1294"/>
            </w:tabs>
            <w:autoSpaceDE w:val="0"/>
            <w:autoSpaceDN w:val="0"/>
            <w:adjustRightInd w:val="0"/>
            <w:jc w:val="both"/>
          </w:pPr>
        </w:pPrChange>
        <w:rPr>
          <w:del w:id="9651" w:author="AbbVie14" w:date="2025-05-09T10:34:00Z"/>
          <w:color w:val="000000"/>
          <w:sz w:val="22"/>
          <w:szCs w:val="22"/>
        </w:rPr>
      </w:pPr>
    </w:p>
    <w:p w:rsidR="006224C2" w:rsidRPr="00295E71" w14:paraId="66822445" w14:textId="77777777">
      <w:pPr>
        <w:keepNext/>
        <w:tabs>
          <w:tab w:val="left" w:pos="567"/>
          <w:tab w:val="left" w:pos="1294"/>
        </w:tabs>
        <w:autoSpaceDE w:val="0"/>
        <w:autoSpaceDN w:val="0"/>
        <w:adjustRightInd w:val="0"/>
        <w:jc w:val="both"/>
        <w:pPrChange w:id="9652" w:author="AbbVie14" w:date="2025-05-09T10:34:00Z">
          <w:pPr>
            <w:tabs>
              <w:tab w:val="left" w:pos="567"/>
              <w:tab w:val="left" w:pos="1294"/>
            </w:tabs>
            <w:autoSpaceDE w:val="0"/>
            <w:autoSpaceDN w:val="0"/>
            <w:adjustRightInd w:val="0"/>
            <w:jc w:val="both"/>
          </w:pPr>
        </w:pPrChange>
        <w:rPr>
          <w:del w:id="9653" w:author="AbbVie14" w:date="2025-05-09T10:34:00Z"/>
          <w:color w:val="000000"/>
          <w:sz w:val="22"/>
          <w:szCs w:val="22"/>
        </w:rPr>
      </w:pPr>
      <w:del w:id="9654" w:author="AbbVie14" w:date="2025-05-09T10:34:00Z">
        <w:r w:rsidRPr="00295E71">
          <w:rPr>
            <w:color w:val="000000"/>
            <w:sz w:val="22"/>
            <w:szCs w:val="22"/>
          </w:rPr>
          <w:delText>Lo studio II sulla psoriasi (CHAMPION) ha paragonato l’efficacia e la sicurezza di Humira rispetto al metotressato ed al placebo in 271 pazienti. Per un periodo di 16 settimane, i pazienti hanno ricevuto placebo, o metotressato con una dose iniziale pari a 7,5 mg successivamente elevata fino alla settimana 12 e con un massimo di 25 mg, o Humira alla dose iniziale di 80 mg seguita dalla dose di 40 mg somministrata a settimane alterne (a iniziare dalla settimana successiva all’assunzione della dose iniziale). Non sono disponibili dati che mettano a confronto Humira e metotressato oltre le 16 settimane di terapia. Nei pazienti trattati con metotressato che hanno raggiunto una risposta ≥PASI 50 alla settimana 8 e/o alla settimana 12, non sono stati effettuati incrementi della</w:delText>
        </w:r>
      </w:del>
      <w:del w:id="9655" w:author="AbbVie14" w:date="2025-05-09T10:34:00Z">
        <w:r w:rsidR="00A02331">
          <w:rPr>
            <w:color w:val="000000"/>
            <w:sz w:val="22"/>
            <w:szCs w:val="22"/>
          </w:rPr>
          <w:delText xml:space="preserve"> </w:delText>
        </w:r>
      </w:del>
      <w:del w:id="9656" w:author="AbbVie14" w:date="2025-05-09T10:34:00Z">
        <w:r w:rsidRPr="00295E71">
          <w:rPr>
            <w:color w:val="000000"/>
            <w:sz w:val="22"/>
            <w:szCs w:val="22"/>
          </w:rPr>
          <w:delText>dose. In tutti i gruppi di trattamento, il punteggio PASI al basale medio è risultato pari a 19,7 ed il punteggio PGA al basale è risultato da “lieve” (&lt;1%) a “moderato” (48%) a “severo” (46%) a “molto severo” (6%).</w:delText>
        </w:r>
      </w:del>
    </w:p>
    <w:p w:rsidR="006224C2" w:rsidRPr="00295E71" w14:paraId="29B65B16" w14:textId="77777777">
      <w:pPr>
        <w:keepNext/>
        <w:tabs>
          <w:tab w:val="left" w:pos="567"/>
          <w:tab w:val="left" w:pos="1294"/>
        </w:tabs>
        <w:autoSpaceDE w:val="0"/>
        <w:autoSpaceDN w:val="0"/>
        <w:adjustRightInd w:val="0"/>
        <w:jc w:val="both"/>
        <w:pPrChange w:id="9657" w:author="AbbVie14" w:date="2025-05-09T10:34:00Z">
          <w:pPr>
            <w:tabs>
              <w:tab w:val="left" w:pos="567"/>
              <w:tab w:val="left" w:pos="1294"/>
            </w:tabs>
            <w:autoSpaceDE w:val="0"/>
            <w:autoSpaceDN w:val="0"/>
            <w:adjustRightInd w:val="0"/>
            <w:jc w:val="both"/>
          </w:pPr>
        </w:pPrChange>
        <w:rPr>
          <w:del w:id="9658" w:author="AbbVie14" w:date="2025-05-09T10:34:00Z"/>
          <w:color w:val="000000"/>
          <w:sz w:val="22"/>
          <w:szCs w:val="22"/>
        </w:rPr>
      </w:pPr>
    </w:p>
    <w:p w:rsidR="006224C2" w:rsidRPr="00295E71" w14:paraId="53D123AC" w14:textId="77777777">
      <w:pPr>
        <w:keepNext/>
        <w:tabs>
          <w:tab w:val="left" w:pos="567"/>
          <w:tab w:val="left" w:pos="1294"/>
        </w:tabs>
        <w:autoSpaceDE w:val="0"/>
        <w:autoSpaceDN w:val="0"/>
        <w:adjustRightInd w:val="0"/>
        <w:jc w:val="both"/>
        <w:pPrChange w:id="9659" w:author="AbbVie14" w:date="2025-05-09T10:34:00Z">
          <w:pPr>
            <w:tabs>
              <w:tab w:val="left" w:pos="567"/>
              <w:tab w:val="left" w:pos="1294"/>
            </w:tabs>
            <w:autoSpaceDE w:val="0"/>
            <w:autoSpaceDN w:val="0"/>
            <w:adjustRightInd w:val="0"/>
            <w:jc w:val="both"/>
          </w:pPr>
        </w:pPrChange>
        <w:rPr>
          <w:del w:id="9660" w:author="AbbVie14" w:date="2025-05-09T10:34:00Z"/>
          <w:color w:val="000000"/>
          <w:sz w:val="22"/>
          <w:szCs w:val="22"/>
        </w:rPr>
      </w:pPr>
      <w:del w:id="9661" w:author="AbbVie14" w:date="2025-05-09T10:34:00Z">
        <w:r w:rsidRPr="00295E71">
          <w:rPr>
            <w:color w:val="000000"/>
            <w:sz w:val="22"/>
            <w:szCs w:val="22"/>
          </w:rPr>
          <w:delText xml:space="preserve">I pazienti che hanno partecipato a tutti gli studi di Fase 2 e Fase 3 sulla psoriasi sono stati considerati idonei ad essere arruolati in uno studio di estensione in aperto, dove Humira è stato somministrato per un periodo aggiuntivo di almeno 108 settimane. </w:delText>
        </w:r>
      </w:del>
    </w:p>
    <w:p w:rsidR="006224C2" w:rsidRPr="00295E71" w14:paraId="19525EAB" w14:textId="77777777">
      <w:pPr>
        <w:keepNext/>
        <w:tabs>
          <w:tab w:val="left" w:pos="567"/>
          <w:tab w:val="left" w:pos="1294"/>
        </w:tabs>
        <w:autoSpaceDE w:val="0"/>
        <w:autoSpaceDN w:val="0"/>
        <w:adjustRightInd w:val="0"/>
        <w:jc w:val="both"/>
        <w:pPrChange w:id="9662" w:author="AbbVie14" w:date="2025-05-09T10:34:00Z">
          <w:pPr>
            <w:tabs>
              <w:tab w:val="left" w:pos="567"/>
              <w:tab w:val="left" w:pos="1294"/>
            </w:tabs>
            <w:autoSpaceDE w:val="0"/>
            <w:autoSpaceDN w:val="0"/>
            <w:adjustRightInd w:val="0"/>
            <w:jc w:val="both"/>
          </w:pPr>
        </w:pPrChange>
        <w:rPr>
          <w:del w:id="9663" w:author="AbbVie14" w:date="2025-05-09T10:34:00Z"/>
          <w:color w:val="000000"/>
          <w:sz w:val="22"/>
          <w:szCs w:val="22"/>
        </w:rPr>
      </w:pPr>
    </w:p>
    <w:p w:rsidR="006224C2" w:rsidRPr="00295E71" w14:paraId="08069027" w14:textId="77777777">
      <w:pPr>
        <w:keepNext/>
        <w:tabs>
          <w:tab w:val="left" w:pos="567"/>
          <w:tab w:val="left" w:pos="1294"/>
        </w:tabs>
        <w:autoSpaceDE w:val="0"/>
        <w:autoSpaceDN w:val="0"/>
        <w:adjustRightInd w:val="0"/>
        <w:jc w:val="both"/>
        <w:pPrChange w:id="9664" w:author="AbbVie14" w:date="2025-05-09T10:34:00Z">
          <w:pPr>
            <w:tabs>
              <w:tab w:val="left" w:pos="567"/>
              <w:tab w:val="left" w:pos="1294"/>
            </w:tabs>
            <w:autoSpaceDE w:val="0"/>
            <w:autoSpaceDN w:val="0"/>
            <w:adjustRightInd w:val="0"/>
            <w:jc w:val="both"/>
          </w:pPr>
        </w:pPrChange>
        <w:rPr>
          <w:del w:id="9665" w:author="AbbVie14" w:date="2025-05-09T10:34:00Z"/>
          <w:color w:val="000000"/>
          <w:sz w:val="22"/>
          <w:szCs w:val="22"/>
        </w:rPr>
      </w:pPr>
      <w:del w:id="9666" w:author="AbbVie14" w:date="2025-05-09T10:34:00Z">
        <w:r w:rsidRPr="00295E71">
          <w:rPr>
            <w:color w:val="000000"/>
            <w:sz w:val="22"/>
            <w:szCs w:val="22"/>
          </w:rPr>
          <w:delText>Negli studi I e II sulla psoriasi, l’endpoint primario è stato rappresentato dalla percentuale di pazienti che ha ottenuto una risposta PASI 75 rispetto al valore basale alla settimana 16 (vedere Tabelle 1</w:delText>
        </w:r>
      </w:del>
      <w:del w:id="9667" w:author="AbbVie14" w:date="2025-05-09T10:34:00Z">
        <w:r w:rsidR="005C4AD7">
          <w:rPr>
            <w:color w:val="000000"/>
            <w:sz w:val="22"/>
            <w:szCs w:val="22"/>
          </w:rPr>
          <w:delText>6</w:delText>
        </w:r>
      </w:del>
      <w:del w:id="9668" w:author="AbbVie14" w:date="2025-05-09T10:34:00Z">
        <w:r w:rsidRPr="00295E71">
          <w:rPr>
            <w:color w:val="000000"/>
            <w:sz w:val="22"/>
            <w:szCs w:val="22"/>
          </w:rPr>
          <w:delText xml:space="preserve"> e 1</w:delText>
        </w:r>
      </w:del>
      <w:del w:id="9669" w:author="AbbVie14" w:date="2025-05-09T10:34:00Z">
        <w:r w:rsidR="005C4AD7">
          <w:rPr>
            <w:color w:val="000000"/>
            <w:sz w:val="22"/>
            <w:szCs w:val="22"/>
          </w:rPr>
          <w:delText>7</w:delText>
        </w:r>
      </w:del>
      <w:del w:id="9670" w:author="AbbVie14" w:date="2025-05-09T10:34:00Z">
        <w:r w:rsidRPr="00295E71">
          <w:rPr>
            <w:color w:val="000000"/>
            <w:sz w:val="22"/>
            <w:szCs w:val="22"/>
          </w:rPr>
          <w:delText>)</w:delText>
        </w:r>
      </w:del>
      <w:del w:id="9671" w:author="AbbVie14" w:date="2025-05-09T10:34:00Z">
        <w:r w:rsidR="009A4609">
          <w:rPr>
            <w:color w:val="000000"/>
            <w:sz w:val="22"/>
            <w:szCs w:val="22"/>
          </w:rPr>
          <w:delText>.</w:delText>
        </w:r>
      </w:del>
    </w:p>
    <w:p w:rsidR="006224C2" w:rsidRPr="00295E71" w14:paraId="7ED4ED53" w14:textId="77777777">
      <w:pPr>
        <w:keepNext/>
        <w:tabs>
          <w:tab w:val="left" w:pos="567"/>
          <w:tab w:val="left" w:pos="1294"/>
        </w:tabs>
        <w:autoSpaceDE w:val="0"/>
        <w:autoSpaceDN w:val="0"/>
        <w:adjustRightInd w:val="0"/>
        <w:jc w:val="both"/>
        <w:pPrChange w:id="9672" w:author="AbbVie14" w:date="2025-05-09T10:34:00Z">
          <w:pPr>
            <w:keepNext/>
            <w:tabs>
              <w:tab w:val="left" w:pos="567"/>
              <w:tab w:val="left" w:pos="1294"/>
            </w:tabs>
            <w:autoSpaceDE w:val="0"/>
            <w:autoSpaceDN w:val="0"/>
            <w:adjustRightInd w:val="0"/>
          </w:pPr>
        </w:pPrChange>
        <w:rPr>
          <w:del w:id="9673" w:author="AbbVie14" w:date="2025-05-09T10:34:00Z"/>
          <w:color w:val="000000"/>
          <w:sz w:val="22"/>
          <w:szCs w:val="22"/>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77"/>
        <w:gridCol w:w="1620"/>
        <w:gridCol w:w="2352"/>
      </w:tblGrid>
      <w:tr w14:paraId="086E6246" w14:textId="77777777">
        <w:tblPrEx>
          <w:tblW w:w="6949" w:type="dxa"/>
          <w:tblLook w:val="0000"/>
        </w:tblPrEx>
        <w:trPr>
          <w:cantSplit/>
          <w:del w:id="9674" w:author="AbbVie14" w:date="2025-05-09T10:34:00Z"/>
        </w:trPr>
        <w:tc>
          <w:tcPr>
            <w:tcW w:w="6949" w:type="dxa"/>
            <w:gridSpan w:val="3"/>
            <w:tcBorders>
              <w:top w:val="nil"/>
              <w:left w:val="nil"/>
              <w:bottom w:val="single" w:sz="4" w:space="0" w:color="auto"/>
              <w:right w:val="nil"/>
            </w:tcBorders>
          </w:tcPr>
          <w:p w:rsidR="006224C2" w:rsidRPr="00295E71" w14:paraId="49A17C18" w14:textId="77777777">
            <w:pPr>
              <w:keepNext/>
              <w:tabs>
                <w:tab w:val="left" w:pos="567"/>
                <w:tab w:val="left" w:pos="1294"/>
              </w:tabs>
              <w:autoSpaceDE w:val="0"/>
              <w:autoSpaceDN w:val="0"/>
              <w:adjustRightInd w:val="0"/>
              <w:jc w:val="both"/>
              <w:pPrChange w:id="9675" w:author="AbbVie14" w:date="2025-05-09T10:34:00Z">
                <w:pPr>
                  <w:pStyle w:val="DefaultText"/>
                  <w:keepNext/>
                  <w:jc w:val="center"/>
                </w:pPr>
              </w:pPrChange>
              <w:rPr>
                <w:del w:id="9676" w:author="AbbVie14" w:date="2025-05-09T10:34:00Z"/>
                <w:b/>
                <w:bCs/>
              </w:rPr>
            </w:pPr>
            <w:del w:id="9677" w:author="AbbVie14" w:date="2025-05-09T10:34:00Z">
              <w:r w:rsidRPr="00295E71">
                <w:rPr>
                  <w:b/>
                  <w:bCs/>
                </w:rPr>
                <w:delText>Tabella 1</w:delText>
              </w:r>
            </w:del>
            <w:del w:id="9678" w:author="AbbVie14" w:date="2025-05-09T10:34:00Z">
              <w:r w:rsidR="005C4AD7">
                <w:rPr>
                  <w:b/>
                  <w:bCs/>
                </w:rPr>
                <w:delText>6</w:delText>
              </w:r>
            </w:del>
          </w:p>
          <w:p w:rsidR="006224C2" w:rsidRPr="00295E71" w14:paraId="532270C5" w14:textId="77777777">
            <w:pPr>
              <w:keepNext/>
              <w:tabs>
                <w:tab w:val="left" w:pos="567"/>
                <w:tab w:val="left" w:pos="1294"/>
              </w:tabs>
              <w:autoSpaceDE w:val="0"/>
              <w:autoSpaceDN w:val="0"/>
              <w:adjustRightInd w:val="0"/>
              <w:jc w:val="both"/>
              <w:pPrChange w:id="9679" w:author="AbbVie14" w:date="2025-05-09T10:34:00Z">
                <w:pPr>
                  <w:pStyle w:val="DefaultText"/>
                  <w:keepNext/>
                  <w:jc w:val="center"/>
                </w:pPr>
              </w:pPrChange>
              <w:rPr>
                <w:del w:id="9680" w:author="AbbVie14" w:date="2025-05-09T10:34:00Z"/>
                <w:b/>
                <w:bCs/>
              </w:rPr>
            </w:pPr>
            <w:del w:id="9681" w:author="AbbVie14" w:date="2025-05-09T10:34:00Z">
              <w:r w:rsidRPr="00295E71">
                <w:rPr>
                  <w:b/>
                  <w:bCs/>
                </w:rPr>
                <w:delText>Studio I sulla psoriasi (REVEAL)</w:delText>
              </w:r>
            </w:del>
          </w:p>
          <w:p w:rsidR="006224C2" w:rsidRPr="00295E71" w14:paraId="6B4D1D6A" w14:textId="77777777">
            <w:pPr>
              <w:keepNext/>
              <w:tabs>
                <w:tab w:val="left" w:pos="567"/>
                <w:tab w:val="left" w:pos="1294"/>
              </w:tabs>
              <w:autoSpaceDE w:val="0"/>
              <w:autoSpaceDN w:val="0"/>
              <w:adjustRightInd w:val="0"/>
              <w:jc w:val="both"/>
              <w:pPrChange w:id="9682" w:author="AbbVie14" w:date="2025-05-09T10:34:00Z">
                <w:pPr>
                  <w:pStyle w:val="DefaultText"/>
                  <w:keepNext/>
                  <w:jc w:val="center"/>
                </w:pPr>
              </w:pPrChange>
              <w:rPr>
                <w:del w:id="9683" w:author="AbbVie14" w:date="2025-05-09T10:34:00Z"/>
                <w:b/>
                <w:bCs/>
                <w:u w:val="single"/>
              </w:rPr>
            </w:pPr>
            <w:del w:id="9684" w:author="AbbVie14" w:date="2025-05-09T10:34:00Z">
              <w:r w:rsidRPr="00295E71">
                <w:rPr>
                  <w:b/>
                  <w:bCs/>
                </w:rPr>
                <w:delText xml:space="preserve">Risultati relativi all’efficacia alla settimana 16 </w:delText>
              </w:r>
            </w:del>
          </w:p>
        </w:tc>
      </w:tr>
      <w:tr w14:paraId="2FFAA449" w14:textId="77777777">
        <w:tblPrEx>
          <w:tblW w:w="6949" w:type="dxa"/>
          <w:tblLook w:val="0000"/>
        </w:tblPrEx>
        <w:trPr>
          <w:cantSplit/>
          <w:del w:id="9685" w:author="AbbVie14" w:date="2025-05-09T10:34:00Z"/>
        </w:trPr>
        <w:tc>
          <w:tcPr>
            <w:tcW w:w="2977" w:type="dxa"/>
            <w:tcBorders>
              <w:top w:val="single" w:sz="4" w:space="0" w:color="auto"/>
              <w:left w:val="single" w:sz="4" w:space="0" w:color="auto"/>
              <w:bottom w:val="single" w:sz="4" w:space="0" w:color="auto"/>
              <w:right w:val="single" w:sz="4" w:space="0" w:color="auto"/>
            </w:tcBorders>
            <w:vAlign w:val="center"/>
          </w:tcPr>
          <w:p w:rsidR="006224C2" w:rsidRPr="00295E71" w14:paraId="0DBCC72A" w14:textId="77777777">
            <w:pPr>
              <w:keepNext/>
              <w:tabs>
                <w:tab w:val="left" w:pos="567"/>
                <w:tab w:val="left" w:pos="1294"/>
              </w:tabs>
              <w:autoSpaceDE w:val="0"/>
              <w:autoSpaceDN w:val="0"/>
              <w:adjustRightInd w:val="0"/>
              <w:jc w:val="both"/>
              <w:pPrChange w:id="9686" w:author="AbbVie14" w:date="2025-05-09T10:34:00Z">
                <w:pPr>
                  <w:pStyle w:val="DefaultText"/>
                  <w:keepNext/>
                </w:pPr>
              </w:pPrChange>
              <w:rPr>
                <w:del w:id="9687" w:author="AbbVie14" w:date="2025-05-09T10:34:00Z"/>
                <w:b/>
                <w:bCs/>
              </w:rPr>
            </w:pPr>
          </w:p>
        </w:tc>
        <w:tc>
          <w:tcPr>
            <w:tcW w:w="1620" w:type="dxa"/>
            <w:tcBorders>
              <w:top w:val="single" w:sz="4" w:space="0" w:color="auto"/>
              <w:left w:val="single" w:sz="4" w:space="0" w:color="auto"/>
              <w:bottom w:val="single" w:sz="4" w:space="0" w:color="auto"/>
              <w:right w:val="single" w:sz="4" w:space="0" w:color="auto"/>
            </w:tcBorders>
            <w:vAlign w:val="center"/>
          </w:tcPr>
          <w:p w:rsidR="006224C2" w:rsidRPr="00295E71" w14:paraId="1E313E6C" w14:textId="77777777">
            <w:pPr>
              <w:keepNext/>
              <w:tabs>
                <w:tab w:val="left" w:pos="567"/>
                <w:tab w:val="left" w:pos="1294"/>
              </w:tabs>
              <w:autoSpaceDE w:val="0"/>
              <w:autoSpaceDN w:val="0"/>
              <w:adjustRightInd w:val="0"/>
              <w:jc w:val="both"/>
              <w:pPrChange w:id="9688" w:author="AbbVie14" w:date="2025-05-09T10:34:00Z">
                <w:pPr>
                  <w:pStyle w:val="DefaultText"/>
                  <w:keepNext/>
                  <w:jc w:val="center"/>
                </w:pPr>
              </w:pPrChange>
              <w:rPr>
                <w:del w:id="9689" w:author="AbbVie14" w:date="2025-05-09T10:34:00Z"/>
                <w:b/>
              </w:rPr>
            </w:pPr>
            <w:del w:id="9690" w:author="AbbVie14" w:date="2025-05-09T10:34:00Z">
              <w:r w:rsidRPr="00295E71">
                <w:rPr>
                  <w:b/>
                </w:rPr>
                <w:delText>Placebo</w:delText>
              </w:r>
            </w:del>
          </w:p>
          <w:p w:rsidR="006224C2" w:rsidRPr="00295E71" w14:paraId="6234767F" w14:textId="77777777">
            <w:pPr>
              <w:keepNext/>
              <w:tabs>
                <w:tab w:val="left" w:pos="567"/>
                <w:tab w:val="left" w:pos="1294"/>
              </w:tabs>
              <w:autoSpaceDE w:val="0"/>
              <w:autoSpaceDN w:val="0"/>
              <w:adjustRightInd w:val="0"/>
              <w:jc w:val="both"/>
              <w:pPrChange w:id="9691" w:author="AbbVie14" w:date="2025-05-09T10:34:00Z">
                <w:pPr>
                  <w:pStyle w:val="DefaultText"/>
                  <w:keepNext/>
                  <w:jc w:val="center"/>
                </w:pPr>
              </w:pPrChange>
              <w:rPr>
                <w:del w:id="9692" w:author="AbbVie14" w:date="2025-05-09T10:34:00Z"/>
                <w:b/>
              </w:rPr>
            </w:pPr>
            <w:del w:id="9693" w:author="AbbVie14" w:date="2025-05-09T10:34:00Z">
              <w:r w:rsidRPr="00295E71">
                <w:rPr>
                  <w:b/>
                </w:rPr>
                <w:delText>N=398</w:delText>
              </w:r>
            </w:del>
          </w:p>
          <w:p w:rsidR="006224C2" w:rsidRPr="00295E71" w14:paraId="11B2C7FF" w14:textId="77777777">
            <w:pPr>
              <w:keepNext/>
              <w:tabs>
                <w:tab w:val="left" w:pos="567"/>
                <w:tab w:val="left" w:pos="1294"/>
              </w:tabs>
              <w:autoSpaceDE w:val="0"/>
              <w:autoSpaceDN w:val="0"/>
              <w:adjustRightInd w:val="0"/>
              <w:jc w:val="both"/>
              <w:pPrChange w:id="9694" w:author="AbbVie14" w:date="2025-05-09T10:34:00Z">
                <w:pPr>
                  <w:pStyle w:val="DefaultText"/>
                  <w:keepNext/>
                  <w:jc w:val="center"/>
                </w:pPr>
              </w:pPrChange>
              <w:rPr>
                <w:del w:id="9695" w:author="AbbVie14" w:date="2025-05-09T10:34:00Z"/>
                <w:b/>
              </w:rPr>
            </w:pPr>
            <w:del w:id="9696" w:author="AbbVie14" w:date="2025-05-09T10:34:00Z">
              <w:r w:rsidRPr="00295E71">
                <w:rPr>
                  <w:b/>
                </w:rPr>
                <w:delText>n (%)</w:delText>
              </w:r>
            </w:del>
          </w:p>
        </w:tc>
        <w:tc>
          <w:tcPr>
            <w:tcW w:w="2352" w:type="dxa"/>
            <w:tcBorders>
              <w:top w:val="single" w:sz="4" w:space="0" w:color="auto"/>
              <w:left w:val="single" w:sz="4" w:space="0" w:color="auto"/>
              <w:bottom w:val="single" w:sz="4" w:space="0" w:color="auto"/>
              <w:right w:val="single" w:sz="4" w:space="0" w:color="auto"/>
            </w:tcBorders>
            <w:vAlign w:val="center"/>
          </w:tcPr>
          <w:p w:rsidR="006224C2" w:rsidRPr="00295E71" w14:paraId="12AF3DA8" w14:textId="77777777">
            <w:pPr>
              <w:keepNext/>
              <w:tabs>
                <w:tab w:val="left" w:pos="567"/>
                <w:tab w:val="left" w:pos="1294"/>
              </w:tabs>
              <w:autoSpaceDE w:val="0"/>
              <w:autoSpaceDN w:val="0"/>
              <w:adjustRightInd w:val="0"/>
              <w:jc w:val="both"/>
              <w:pPrChange w:id="9697" w:author="AbbVie14" w:date="2025-05-09T10:34:00Z">
                <w:pPr>
                  <w:pStyle w:val="DefaultText"/>
                  <w:keepNext/>
                  <w:jc w:val="center"/>
                </w:pPr>
              </w:pPrChange>
              <w:rPr>
                <w:del w:id="9698" w:author="AbbVie14" w:date="2025-05-09T10:34:00Z"/>
                <w:b/>
                <w:bCs/>
              </w:rPr>
            </w:pPr>
            <w:del w:id="9699" w:author="AbbVie14" w:date="2025-05-09T10:34:00Z">
              <w:r w:rsidRPr="00295E71">
                <w:rPr>
                  <w:b/>
                  <w:bCs/>
                </w:rPr>
                <w:delText>Humira 40 mg a settimane alterne</w:delText>
              </w:r>
            </w:del>
          </w:p>
          <w:p w:rsidR="006224C2" w:rsidRPr="00295E71" w14:paraId="67DD1C76" w14:textId="77777777">
            <w:pPr>
              <w:keepNext/>
              <w:tabs>
                <w:tab w:val="left" w:pos="567"/>
                <w:tab w:val="left" w:pos="1294"/>
              </w:tabs>
              <w:autoSpaceDE w:val="0"/>
              <w:autoSpaceDN w:val="0"/>
              <w:adjustRightInd w:val="0"/>
              <w:jc w:val="both"/>
              <w:pPrChange w:id="9700" w:author="AbbVie14" w:date="2025-05-09T10:34:00Z">
                <w:pPr>
                  <w:pStyle w:val="DefaultText"/>
                  <w:keepNext/>
                  <w:jc w:val="center"/>
                </w:pPr>
              </w:pPrChange>
              <w:rPr>
                <w:del w:id="9701" w:author="AbbVie14" w:date="2025-05-09T10:34:00Z"/>
                <w:b/>
                <w:bCs/>
              </w:rPr>
            </w:pPr>
            <w:del w:id="9702" w:author="AbbVie14" w:date="2025-05-09T10:34:00Z">
              <w:r w:rsidRPr="00295E71">
                <w:rPr>
                  <w:b/>
                  <w:bCs/>
                </w:rPr>
                <w:delText>N=814</w:delText>
              </w:r>
            </w:del>
          </w:p>
          <w:p w:rsidR="006224C2" w:rsidRPr="00295E71" w14:paraId="2899D12E" w14:textId="77777777">
            <w:pPr>
              <w:keepNext/>
              <w:tabs>
                <w:tab w:val="left" w:pos="567"/>
                <w:tab w:val="left" w:pos="1294"/>
              </w:tabs>
              <w:autoSpaceDE w:val="0"/>
              <w:autoSpaceDN w:val="0"/>
              <w:adjustRightInd w:val="0"/>
              <w:jc w:val="both"/>
              <w:pPrChange w:id="9703" w:author="AbbVie14" w:date="2025-05-09T10:34:00Z">
                <w:pPr>
                  <w:pStyle w:val="DefaultText"/>
                  <w:keepNext/>
                  <w:jc w:val="center"/>
                </w:pPr>
              </w:pPrChange>
              <w:rPr>
                <w:del w:id="9704" w:author="AbbVie14" w:date="2025-05-09T10:34:00Z"/>
                <w:b/>
                <w:bCs/>
              </w:rPr>
            </w:pPr>
            <w:del w:id="9705" w:author="AbbVie14" w:date="2025-05-09T10:34:00Z">
              <w:r w:rsidRPr="00295E71">
                <w:rPr>
                  <w:b/>
                  <w:bCs/>
                </w:rPr>
                <w:delText>n (%)</w:delText>
              </w:r>
            </w:del>
          </w:p>
        </w:tc>
      </w:tr>
      <w:tr w14:paraId="142E7D06" w14:textId="77777777">
        <w:tblPrEx>
          <w:tblW w:w="6949" w:type="dxa"/>
          <w:tblLook w:val="0000"/>
        </w:tblPrEx>
        <w:trPr>
          <w:cantSplit/>
          <w:del w:id="9706" w:author="AbbVie14" w:date="2025-05-09T10:34:00Z"/>
        </w:trPr>
        <w:tc>
          <w:tcPr>
            <w:tcW w:w="2977" w:type="dxa"/>
            <w:tcBorders>
              <w:top w:val="single" w:sz="4" w:space="0" w:color="auto"/>
              <w:left w:val="single" w:sz="4" w:space="0" w:color="auto"/>
              <w:bottom w:val="single" w:sz="4" w:space="0" w:color="auto"/>
              <w:right w:val="single" w:sz="4" w:space="0" w:color="auto"/>
            </w:tcBorders>
          </w:tcPr>
          <w:p w:rsidR="006224C2" w:rsidRPr="00295E71" w14:paraId="3D7D3E71" w14:textId="77777777">
            <w:pPr>
              <w:keepNext/>
              <w:tabs>
                <w:tab w:val="left" w:pos="567"/>
                <w:tab w:val="left" w:pos="1294"/>
              </w:tabs>
              <w:autoSpaceDE w:val="0"/>
              <w:autoSpaceDN w:val="0"/>
              <w:adjustRightInd w:val="0"/>
              <w:jc w:val="both"/>
              <w:pPrChange w:id="9707" w:author="AbbVie14" w:date="2025-05-09T10:34:00Z">
                <w:pPr>
                  <w:pStyle w:val="DefaultText"/>
                  <w:keepNext/>
                </w:pPr>
              </w:pPrChange>
              <w:rPr>
                <w:del w:id="9708" w:author="AbbVie14" w:date="2025-05-09T10:34:00Z"/>
                <w:b/>
                <w:bCs/>
              </w:rPr>
            </w:pPr>
            <w:del w:id="9709" w:author="AbbVie14" w:date="2025-05-09T10:34:00Z">
              <w:r w:rsidRPr="00295E71">
                <w:rPr>
                  <w:rFonts w:ascii="Symbol" w:hAnsi="Symbol"/>
                  <w:b/>
                </w:rPr>
                <w:sym w:font="Symbol" w:char="F0B3"/>
              </w:r>
            </w:del>
            <w:del w:id="9710" w:author="AbbVie14" w:date="2025-05-09T10:34:00Z">
              <w:r w:rsidRPr="00295E71">
                <w:rPr>
                  <w:b/>
                  <w:bCs/>
                </w:rPr>
                <w:delText>PASI 75</w:delText>
              </w:r>
            </w:del>
            <w:del w:id="9711" w:author="AbbVie14" w:date="2025-05-09T10:34:00Z">
              <w:r w:rsidRPr="00295E71">
                <w:rPr>
                  <w:b/>
                  <w:bCs/>
                  <w:vertAlign w:val="superscript"/>
                </w:rPr>
                <w:delText>a</w:delText>
              </w:r>
            </w:del>
          </w:p>
        </w:tc>
        <w:tc>
          <w:tcPr>
            <w:tcW w:w="1620" w:type="dxa"/>
            <w:tcBorders>
              <w:top w:val="single" w:sz="4" w:space="0" w:color="auto"/>
              <w:left w:val="single" w:sz="4" w:space="0" w:color="auto"/>
              <w:bottom w:val="single" w:sz="4" w:space="0" w:color="auto"/>
              <w:right w:val="single" w:sz="4" w:space="0" w:color="auto"/>
            </w:tcBorders>
          </w:tcPr>
          <w:p w:rsidR="006224C2" w:rsidRPr="00295E71" w14:paraId="08D13831" w14:textId="77777777">
            <w:pPr>
              <w:keepNext/>
              <w:tabs>
                <w:tab w:val="left" w:pos="567"/>
                <w:tab w:val="left" w:pos="1294"/>
              </w:tabs>
              <w:autoSpaceDE w:val="0"/>
              <w:autoSpaceDN w:val="0"/>
              <w:adjustRightInd w:val="0"/>
              <w:jc w:val="both"/>
              <w:pPrChange w:id="9712" w:author="AbbVie14" w:date="2025-05-09T10:34:00Z">
                <w:pPr>
                  <w:pStyle w:val="DefaultText"/>
                  <w:keepNext/>
                  <w:jc w:val="center"/>
                </w:pPr>
              </w:pPrChange>
              <w:rPr>
                <w:del w:id="9713" w:author="AbbVie14" w:date="2025-05-09T10:34:00Z"/>
              </w:rPr>
            </w:pPr>
            <w:del w:id="9714" w:author="AbbVie14" w:date="2025-05-09T10:34:00Z">
              <w:r w:rsidRPr="00295E71">
                <w:delText>26 (6,5)</w:delText>
              </w:r>
            </w:del>
          </w:p>
        </w:tc>
        <w:tc>
          <w:tcPr>
            <w:tcW w:w="2352" w:type="dxa"/>
            <w:tcBorders>
              <w:top w:val="single" w:sz="4" w:space="0" w:color="auto"/>
              <w:left w:val="single" w:sz="4" w:space="0" w:color="auto"/>
              <w:bottom w:val="single" w:sz="4" w:space="0" w:color="auto"/>
              <w:right w:val="single" w:sz="4" w:space="0" w:color="auto"/>
            </w:tcBorders>
          </w:tcPr>
          <w:p w:rsidR="006224C2" w:rsidRPr="00295E71" w14:paraId="5D6559AF" w14:textId="77777777">
            <w:pPr>
              <w:keepNext/>
              <w:tabs>
                <w:tab w:val="left" w:pos="567"/>
                <w:tab w:val="left" w:pos="1294"/>
              </w:tabs>
              <w:autoSpaceDE w:val="0"/>
              <w:autoSpaceDN w:val="0"/>
              <w:adjustRightInd w:val="0"/>
              <w:jc w:val="both"/>
              <w:pPrChange w:id="9715" w:author="AbbVie14" w:date="2025-05-09T10:34:00Z">
                <w:pPr>
                  <w:pStyle w:val="DefaultText"/>
                  <w:keepNext/>
                  <w:jc w:val="center"/>
                </w:pPr>
              </w:pPrChange>
              <w:rPr>
                <w:del w:id="9716" w:author="AbbVie14" w:date="2025-05-09T10:34:00Z"/>
              </w:rPr>
            </w:pPr>
            <w:del w:id="9717" w:author="AbbVie14" w:date="2025-05-09T10:34:00Z">
              <w:r w:rsidRPr="00295E71">
                <w:delText>578 (70,9)</w:delText>
              </w:r>
            </w:del>
            <w:del w:id="9718" w:author="AbbVie14" w:date="2025-05-09T10:34:00Z">
              <w:r w:rsidRPr="00295E71">
                <w:rPr>
                  <w:vertAlign w:val="superscript"/>
                </w:rPr>
                <w:delText>b</w:delText>
              </w:r>
            </w:del>
          </w:p>
        </w:tc>
      </w:tr>
      <w:tr w14:paraId="17418DB7" w14:textId="77777777">
        <w:tblPrEx>
          <w:tblW w:w="6949" w:type="dxa"/>
          <w:tblLook w:val="0000"/>
        </w:tblPrEx>
        <w:trPr>
          <w:cantSplit/>
          <w:trHeight w:val="70"/>
          <w:del w:id="9719" w:author="AbbVie14" w:date="2025-05-09T10:34:00Z"/>
        </w:trPr>
        <w:tc>
          <w:tcPr>
            <w:tcW w:w="2977" w:type="dxa"/>
            <w:tcBorders>
              <w:top w:val="single" w:sz="4" w:space="0" w:color="auto"/>
              <w:left w:val="single" w:sz="4" w:space="0" w:color="auto"/>
              <w:bottom w:val="single" w:sz="4" w:space="0" w:color="auto"/>
              <w:right w:val="single" w:sz="4" w:space="0" w:color="auto"/>
            </w:tcBorders>
          </w:tcPr>
          <w:p w:rsidR="006224C2" w:rsidRPr="00295E71" w14:paraId="567EF89D" w14:textId="77777777">
            <w:pPr>
              <w:keepNext/>
              <w:tabs>
                <w:tab w:val="left" w:pos="567"/>
                <w:tab w:val="left" w:pos="1294"/>
              </w:tabs>
              <w:autoSpaceDE w:val="0"/>
              <w:autoSpaceDN w:val="0"/>
              <w:adjustRightInd w:val="0"/>
              <w:jc w:val="both"/>
              <w:pPrChange w:id="9720" w:author="AbbVie14" w:date="2025-05-09T10:34:00Z">
                <w:pPr>
                  <w:pStyle w:val="DefaultText"/>
                  <w:keepNext/>
                </w:pPr>
              </w:pPrChange>
              <w:rPr>
                <w:del w:id="9721" w:author="AbbVie14" w:date="2025-05-09T10:34:00Z"/>
                <w:b/>
                <w:bCs/>
              </w:rPr>
            </w:pPr>
            <w:del w:id="9722" w:author="AbbVie14" w:date="2025-05-09T10:34:00Z">
              <w:r w:rsidRPr="00295E71">
                <w:rPr>
                  <w:b/>
                  <w:bCs/>
                </w:rPr>
                <w:delText xml:space="preserve">    PASI 100</w:delText>
              </w:r>
            </w:del>
          </w:p>
        </w:tc>
        <w:tc>
          <w:tcPr>
            <w:tcW w:w="1620" w:type="dxa"/>
            <w:tcBorders>
              <w:top w:val="single" w:sz="4" w:space="0" w:color="auto"/>
              <w:left w:val="single" w:sz="4" w:space="0" w:color="auto"/>
              <w:bottom w:val="single" w:sz="4" w:space="0" w:color="auto"/>
              <w:right w:val="single" w:sz="4" w:space="0" w:color="auto"/>
            </w:tcBorders>
          </w:tcPr>
          <w:p w:rsidR="006224C2" w:rsidRPr="00295E71" w14:paraId="60148A08" w14:textId="77777777">
            <w:pPr>
              <w:keepNext/>
              <w:tabs>
                <w:tab w:val="left" w:pos="567"/>
                <w:tab w:val="left" w:pos="1294"/>
              </w:tabs>
              <w:autoSpaceDE w:val="0"/>
              <w:autoSpaceDN w:val="0"/>
              <w:adjustRightInd w:val="0"/>
              <w:jc w:val="both"/>
              <w:pPrChange w:id="9723" w:author="AbbVie14" w:date="2025-05-09T10:34:00Z">
                <w:pPr>
                  <w:pStyle w:val="DefaultText"/>
                  <w:keepNext/>
                  <w:jc w:val="center"/>
                </w:pPr>
              </w:pPrChange>
              <w:rPr>
                <w:del w:id="9724" w:author="AbbVie14" w:date="2025-05-09T10:34:00Z"/>
              </w:rPr>
            </w:pPr>
            <w:del w:id="9725" w:author="AbbVie14" w:date="2025-05-09T10:34:00Z">
              <w:r w:rsidRPr="00295E71">
                <w:delText>3 (0,8)</w:delText>
              </w:r>
            </w:del>
          </w:p>
        </w:tc>
        <w:tc>
          <w:tcPr>
            <w:tcW w:w="2352" w:type="dxa"/>
            <w:tcBorders>
              <w:top w:val="single" w:sz="4" w:space="0" w:color="auto"/>
              <w:left w:val="single" w:sz="4" w:space="0" w:color="auto"/>
              <w:bottom w:val="single" w:sz="4" w:space="0" w:color="auto"/>
              <w:right w:val="single" w:sz="4" w:space="0" w:color="auto"/>
            </w:tcBorders>
          </w:tcPr>
          <w:p w:rsidR="006224C2" w:rsidRPr="00295E71" w14:paraId="0F003D6F" w14:textId="77777777">
            <w:pPr>
              <w:keepNext/>
              <w:tabs>
                <w:tab w:val="left" w:pos="567"/>
                <w:tab w:val="left" w:pos="1294"/>
              </w:tabs>
              <w:autoSpaceDE w:val="0"/>
              <w:autoSpaceDN w:val="0"/>
              <w:adjustRightInd w:val="0"/>
              <w:jc w:val="both"/>
              <w:pPrChange w:id="9726" w:author="AbbVie14" w:date="2025-05-09T10:34:00Z">
                <w:pPr>
                  <w:pStyle w:val="DefaultText"/>
                  <w:keepNext/>
                  <w:jc w:val="center"/>
                </w:pPr>
              </w:pPrChange>
              <w:rPr>
                <w:del w:id="9727" w:author="AbbVie14" w:date="2025-05-09T10:34:00Z"/>
              </w:rPr>
            </w:pPr>
            <w:del w:id="9728" w:author="AbbVie14" w:date="2025-05-09T10:34:00Z">
              <w:r w:rsidRPr="00295E71">
                <w:delText>163 (20,0)</w:delText>
              </w:r>
            </w:del>
            <w:del w:id="9729" w:author="AbbVie14" w:date="2025-05-09T10:34:00Z">
              <w:r w:rsidRPr="00295E71">
                <w:rPr>
                  <w:vertAlign w:val="superscript"/>
                </w:rPr>
                <w:delText>b</w:delText>
              </w:r>
            </w:del>
          </w:p>
        </w:tc>
      </w:tr>
      <w:tr w14:paraId="15F8B97E" w14:textId="77777777">
        <w:tblPrEx>
          <w:tblW w:w="6949" w:type="dxa"/>
          <w:tblLook w:val="0000"/>
        </w:tblPrEx>
        <w:trPr>
          <w:cantSplit/>
          <w:del w:id="9730" w:author="AbbVie14" w:date="2025-05-09T10:34:00Z"/>
        </w:trPr>
        <w:tc>
          <w:tcPr>
            <w:tcW w:w="2977" w:type="dxa"/>
            <w:tcBorders>
              <w:top w:val="single" w:sz="4" w:space="0" w:color="auto"/>
              <w:left w:val="single" w:sz="4" w:space="0" w:color="auto"/>
              <w:bottom w:val="single" w:sz="4" w:space="0" w:color="auto"/>
              <w:right w:val="single" w:sz="4" w:space="0" w:color="auto"/>
            </w:tcBorders>
          </w:tcPr>
          <w:p w:rsidR="006224C2" w:rsidRPr="00295E71" w14:paraId="48E65669" w14:textId="77777777">
            <w:pPr>
              <w:keepNext/>
              <w:tabs>
                <w:tab w:val="left" w:pos="567"/>
                <w:tab w:val="left" w:pos="1294"/>
              </w:tabs>
              <w:autoSpaceDE w:val="0"/>
              <w:autoSpaceDN w:val="0"/>
              <w:adjustRightInd w:val="0"/>
              <w:jc w:val="both"/>
              <w:pPrChange w:id="9731" w:author="AbbVie14" w:date="2025-05-09T10:34:00Z">
                <w:pPr>
                  <w:pStyle w:val="DefaultText"/>
                  <w:keepNext/>
                </w:pPr>
              </w:pPrChange>
              <w:rPr>
                <w:del w:id="9732" w:author="AbbVie14" w:date="2025-05-09T10:34:00Z"/>
                <w:b/>
                <w:bCs/>
              </w:rPr>
            </w:pPr>
            <w:del w:id="9733" w:author="AbbVie14" w:date="2025-05-09T10:34:00Z">
              <w:r w:rsidRPr="00295E71">
                <w:rPr>
                  <w:b/>
                  <w:bCs/>
                </w:rPr>
                <w:delText xml:space="preserve">    PGA: Guarigione/Marcato miglioramento</w:delText>
              </w:r>
            </w:del>
          </w:p>
        </w:tc>
        <w:tc>
          <w:tcPr>
            <w:tcW w:w="1620" w:type="dxa"/>
            <w:tcBorders>
              <w:top w:val="single" w:sz="4" w:space="0" w:color="auto"/>
              <w:left w:val="single" w:sz="4" w:space="0" w:color="auto"/>
              <w:bottom w:val="single" w:sz="4" w:space="0" w:color="auto"/>
              <w:right w:val="single" w:sz="4" w:space="0" w:color="auto"/>
            </w:tcBorders>
          </w:tcPr>
          <w:p w:rsidR="006224C2" w:rsidRPr="00295E71" w14:paraId="478DC513" w14:textId="77777777">
            <w:pPr>
              <w:keepNext/>
              <w:tabs>
                <w:tab w:val="left" w:pos="567"/>
                <w:tab w:val="left" w:pos="1294"/>
              </w:tabs>
              <w:autoSpaceDE w:val="0"/>
              <w:autoSpaceDN w:val="0"/>
              <w:adjustRightInd w:val="0"/>
              <w:jc w:val="both"/>
              <w:pPrChange w:id="9734" w:author="AbbVie14" w:date="2025-05-09T10:34:00Z">
                <w:pPr>
                  <w:pStyle w:val="DefaultText"/>
                  <w:keepNext/>
                  <w:jc w:val="center"/>
                </w:pPr>
              </w:pPrChange>
              <w:rPr>
                <w:del w:id="9735" w:author="AbbVie14" w:date="2025-05-09T10:34:00Z"/>
              </w:rPr>
            </w:pPr>
            <w:del w:id="9736" w:author="AbbVie14" w:date="2025-05-09T10:34:00Z">
              <w:r w:rsidRPr="00295E71">
                <w:delText>17 (4,3)</w:delText>
              </w:r>
            </w:del>
          </w:p>
        </w:tc>
        <w:tc>
          <w:tcPr>
            <w:tcW w:w="2352" w:type="dxa"/>
            <w:tcBorders>
              <w:top w:val="single" w:sz="4" w:space="0" w:color="auto"/>
              <w:left w:val="single" w:sz="4" w:space="0" w:color="auto"/>
              <w:bottom w:val="single" w:sz="4" w:space="0" w:color="auto"/>
              <w:right w:val="single" w:sz="4" w:space="0" w:color="auto"/>
            </w:tcBorders>
          </w:tcPr>
          <w:p w:rsidR="006224C2" w:rsidRPr="00295E71" w14:paraId="24CE35F5" w14:textId="77777777">
            <w:pPr>
              <w:keepNext/>
              <w:tabs>
                <w:tab w:val="left" w:pos="567"/>
                <w:tab w:val="left" w:pos="1294"/>
              </w:tabs>
              <w:autoSpaceDE w:val="0"/>
              <w:autoSpaceDN w:val="0"/>
              <w:adjustRightInd w:val="0"/>
              <w:jc w:val="both"/>
              <w:pPrChange w:id="9737" w:author="AbbVie14" w:date="2025-05-09T10:34:00Z">
                <w:pPr>
                  <w:pStyle w:val="DefaultText"/>
                  <w:keepNext/>
                  <w:jc w:val="center"/>
                </w:pPr>
              </w:pPrChange>
              <w:rPr>
                <w:del w:id="9738" w:author="AbbVie14" w:date="2025-05-09T10:34:00Z"/>
              </w:rPr>
            </w:pPr>
            <w:del w:id="9739" w:author="AbbVie14" w:date="2025-05-09T10:34:00Z">
              <w:r w:rsidRPr="00295E71">
                <w:delText>506 (62,2)</w:delText>
              </w:r>
            </w:del>
            <w:del w:id="9740" w:author="AbbVie14" w:date="2025-05-09T10:34:00Z">
              <w:r w:rsidRPr="00295E71">
                <w:rPr>
                  <w:vertAlign w:val="superscript"/>
                </w:rPr>
                <w:delText>b</w:delText>
              </w:r>
            </w:del>
          </w:p>
        </w:tc>
      </w:tr>
      <w:tr w14:paraId="0D2042ED" w14:textId="77777777">
        <w:tblPrEx>
          <w:tblW w:w="6949" w:type="dxa"/>
          <w:tblLook w:val="0000"/>
        </w:tblPrEx>
        <w:trPr>
          <w:cantSplit/>
          <w:del w:id="9741" w:author="AbbVie14" w:date="2025-05-09T10:34:00Z"/>
        </w:trPr>
        <w:tc>
          <w:tcPr>
            <w:tcW w:w="6949" w:type="dxa"/>
            <w:gridSpan w:val="3"/>
            <w:tcBorders>
              <w:top w:val="single" w:sz="4" w:space="0" w:color="auto"/>
              <w:left w:val="single" w:sz="4" w:space="0" w:color="auto"/>
              <w:bottom w:val="single" w:sz="4" w:space="0" w:color="auto"/>
              <w:right w:val="single" w:sz="4" w:space="0" w:color="auto"/>
            </w:tcBorders>
          </w:tcPr>
          <w:p w:rsidR="006224C2" w:rsidRPr="00DA456F" w14:paraId="01F0E72D" w14:textId="77777777">
            <w:pPr>
              <w:keepNext/>
              <w:tabs>
                <w:tab w:val="left" w:pos="567"/>
                <w:tab w:val="left" w:pos="1294"/>
              </w:tabs>
              <w:autoSpaceDE w:val="0"/>
              <w:autoSpaceDN w:val="0"/>
              <w:adjustRightInd w:val="0"/>
              <w:jc w:val="both"/>
              <w:pPrChange w:id="9742" w:author="AbbVie14" w:date="2025-05-09T10:34:00Z">
                <w:pPr>
                  <w:pStyle w:val="DefaultText"/>
                  <w:keepNext/>
                </w:pPr>
              </w:pPrChange>
              <w:rPr>
                <w:del w:id="9743" w:author="AbbVie14" w:date="2025-05-09T10:34:00Z"/>
              </w:rPr>
            </w:pPr>
            <w:del w:id="9744" w:author="AbbVie14" w:date="2025-05-09T10:34:00Z">
              <w:r w:rsidRPr="00DA456F">
                <w:rPr>
                  <w:vertAlign w:val="superscript"/>
                </w:rPr>
                <w:delText>a</w:delText>
              </w:r>
            </w:del>
            <w:del w:id="9745" w:author="AbbVie14" w:date="2025-05-09T10:34:00Z">
              <w:r w:rsidRPr="00DA456F">
                <w:delText xml:space="preserve"> La percentuale di pazienti che ha ottenuto una risposta PASI 75 è stata calcolata sotto forma di centre-adjusted rate</w:delText>
              </w:r>
            </w:del>
          </w:p>
          <w:p w:rsidR="006224C2" w:rsidRPr="00C04163" w14:paraId="11E15901" w14:textId="77777777">
            <w:pPr>
              <w:keepNext/>
              <w:tabs>
                <w:tab w:val="left" w:pos="567"/>
                <w:tab w:val="left" w:pos="1294"/>
              </w:tabs>
              <w:autoSpaceDE w:val="0"/>
              <w:autoSpaceDN w:val="0"/>
              <w:adjustRightInd w:val="0"/>
              <w:jc w:val="both"/>
              <w:pPrChange w:id="9746" w:author="AbbVie14" w:date="2025-05-09T10:34:00Z">
                <w:pPr>
                  <w:pStyle w:val="DefaultText"/>
                  <w:keepNext/>
                  <w:tabs>
                    <w:tab w:val="left" w:pos="567"/>
                  </w:tabs>
                  <w:spacing w:after="60" w:line="260" w:lineRule="exact"/>
                  <w:outlineLvl w:val="1"/>
                </w:pPr>
              </w:pPrChange>
              <w:rPr>
                <w:del w:id="9747" w:author="AbbVie14" w:date="2025-05-09T10:34:00Z"/>
                <w:b/>
                <w:bCs/>
                <w:i/>
                <w:iCs/>
                <w:lang w:val="pt-PT"/>
              </w:rPr>
            </w:pPr>
            <w:del w:id="9748" w:author="AbbVie14" w:date="2025-05-09T10:34:00Z">
              <w:r w:rsidRPr="00C04163">
                <w:rPr>
                  <w:vertAlign w:val="superscript"/>
                  <w:lang w:val="pt-PT"/>
                </w:rPr>
                <w:delText>b</w:delText>
              </w:r>
            </w:del>
            <w:del w:id="9749" w:author="AbbVie14" w:date="2025-05-09T10:34:00Z">
              <w:r w:rsidRPr="00C04163">
                <w:rPr>
                  <w:lang w:val="pt-PT"/>
                </w:rPr>
                <w:delText xml:space="preserve"> p&lt;0,001, Humira vs. </w:delText>
              </w:r>
            </w:del>
            <w:del w:id="9750" w:author="AbbVie14" w:date="2025-05-09T10:34:00Z">
              <w:r w:rsidRPr="00C04163" w:rsidR="001F6633">
                <w:rPr>
                  <w:lang w:val="pt-PT"/>
                </w:rPr>
                <w:delText>p</w:delText>
              </w:r>
            </w:del>
            <w:del w:id="9751" w:author="AbbVie14" w:date="2025-05-09T10:34:00Z">
              <w:r w:rsidRPr="00C04163">
                <w:rPr>
                  <w:lang w:val="pt-PT"/>
                </w:rPr>
                <w:delText>lacebo</w:delText>
              </w:r>
            </w:del>
          </w:p>
        </w:tc>
      </w:tr>
    </w:tbl>
    <w:p w:rsidR="006224C2" w:rsidRPr="00C04163" w14:paraId="29B4341F" w14:textId="77777777">
      <w:pPr>
        <w:keepNext/>
        <w:tabs>
          <w:tab w:val="left" w:pos="567"/>
          <w:tab w:val="left" w:pos="1294"/>
        </w:tabs>
        <w:autoSpaceDE w:val="0"/>
        <w:autoSpaceDN w:val="0"/>
        <w:adjustRightInd w:val="0"/>
        <w:jc w:val="both"/>
        <w:pPrChange w:id="9752" w:author="AbbVie14" w:date="2025-05-09T10:34:00Z">
          <w:pPr/>
        </w:pPrChange>
        <w:rPr>
          <w:del w:id="9753" w:author="AbbVie14" w:date="2025-05-09T10:34:00Z"/>
          <w:sz w:val="22"/>
          <w:szCs w:val="22"/>
          <w:lang w:val="pt-PT"/>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6"/>
        <w:gridCol w:w="1479"/>
        <w:gridCol w:w="1212"/>
        <w:gridCol w:w="2059"/>
      </w:tblGrid>
      <w:tr w14:paraId="519F92C2" w14:textId="77777777">
        <w:tblPrEx>
          <w:tblW w:w="7046" w:type="dxa"/>
          <w:tblLook w:val="0000"/>
        </w:tblPrEx>
        <w:trPr>
          <w:cantSplit/>
          <w:del w:id="9754" w:author="AbbVie14" w:date="2025-05-09T10:34:00Z"/>
        </w:trPr>
        <w:tc>
          <w:tcPr>
            <w:tcW w:w="7046" w:type="dxa"/>
            <w:gridSpan w:val="4"/>
            <w:tcBorders>
              <w:top w:val="nil"/>
              <w:left w:val="nil"/>
              <w:bottom w:val="single" w:sz="4" w:space="0" w:color="auto"/>
              <w:right w:val="nil"/>
            </w:tcBorders>
          </w:tcPr>
          <w:p w:rsidR="006224C2" w:rsidRPr="00295E71" w14:paraId="014061AE" w14:textId="77777777">
            <w:pPr>
              <w:keepNext/>
              <w:tabs>
                <w:tab w:val="left" w:pos="567"/>
                <w:tab w:val="left" w:pos="1294"/>
              </w:tabs>
              <w:autoSpaceDE w:val="0"/>
              <w:autoSpaceDN w:val="0"/>
              <w:adjustRightInd w:val="0"/>
              <w:jc w:val="both"/>
              <w:pPrChange w:id="9755" w:author="AbbVie14" w:date="2025-05-09T10:34:00Z">
                <w:pPr>
                  <w:pStyle w:val="DefaultText"/>
                  <w:keepNext/>
                  <w:keepLines/>
                  <w:jc w:val="center"/>
                </w:pPr>
              </w:pPrChange>
              <w:rPr>
                <w:del w:id="9756" w:author="AbbVie14" w:date="2025-05-09T10:34:00Z"/>
                <w:b/>
                <w:bCs/>
              </w:rPr>
            </w:pPr>
            <w:del w:id="9757" w:author="AbbVie14" w:date="2025-05-09T10:34:00Z">
              <w:r w:rsidRPr="00AD7AF0">
                <w:br w:type="page"/>
              </w:r>
            </w:del>
            <w:del w:id="9758" w:author="AbbVie14" w:date="2025-05-09T10:34:00Z">
              <w:r w:rsidRPr="00295E71" w:rsidR="00226BC4">
                <w:rPr>
                  <w:b/>
                  <w:bCs/>
                </w:rPr>
                <w:delText>Tabella 1</w:delText>
              </w:r>
            </w:del>
            <w:del w:id="9759" w:author="AbbVie14" w:date="2025-05-09T10:34:00Z">
              <w:r w:rsidR="005C4AD7">
                <w:rPr>
                  <w:b/>
                  <w:bCs/>
                </w:rPr>
                <w:delText>7</w:delText>
              </w:r>
            </w:del>
          </w:p>
          <w:p w:rsidR="006224C2" w:rsidRPr="00295E71" w14:paraId="1DF01094" w14:textId="77777777">
            <w:pPr>
              <w:keepNext/>
              <w:tabs>
                <w:tab w:val="left" w:pos="567"/>
                <w:tab w:val="left" w:pos="1294"/>
              </w:tabs>
              <w:autoSpaceDE w:val="0"/>
              <w:autoSpaceDN w:val="0"/>
              <w:adjustRightInd w:val="0"/>
              <w:jc w:val="both"/>
              <w:pPrChange w:id="9760" w:author="AbbVie14" w:date="2025-05-09T10:34:00Z">
                <w:pPr>
                  <w:pStyle w:val="DefaultText"/>
                  <w:keepNext/>
                  <w:keepLines/>
                  <w:jc w:val="center"/>
                </w:pPr>
              </w:pPrChange>
              <w:rPr>
                <w:del w:id="9761" w:author="AbbVie14" w:date="2025-05-09T10:34:00Z"/>
                <w:b/>
                <w:bCs/>
              </w:rPr>
            </w:pPr>
            <w:del w:id="9762" w:author="AbbVie14" w:date="2025-05-09T10:34:00Z">
              <w:r w:rsidRPr="00295E71">
                <w:rPr>
                  <w:b/>
                  <w:bCs/>
                </w:rPr>
                <w:delText>Studio II sulla psoriasi (CHAMPION)</w:delText>
              </w:r>
            </w:del>
          </w:p>
          <w:p w:rsidR="006224C2" w:rsidRPr="00295E71" w14:paraId="1DB8B25E" w14:textId="77777777">
            <w:pPr>
              <w:keepNext/>
              <w:tabs>
                <w:tab w:val="left" w:pos="567"/>
                <w:tab w:val="left" w:pos="1294"/>
              </w:tabs>
              <w:autoSpaceDE w:val="0"/>
              <w:autoSpaceDN w:val="0"/>
              <w:adjustRightInd w:val="0"/>
              <w:jc w:val="both"/>
              <w:pPrChange w:id="9763" w:author="AbbVie14" w:date="2025-05-09T10:34:00Z">
                <w:pPr>
                  <w:pStyle w:val="DefaultText"/>
                  <w:keepNext/>
                  <w:keepLines/>
                  <w:jc w:val="center"/>
                </w:pPr>
              </w:pPrChange>
              <w:rPr>
                <w:del w:id="9764" w:author="AbbVie14" w:date="2025-05-09T10:34:00Z"/>
                <w:u w:val="single"/>
              </w:rPr>
            </w:pPr>
            <w:del w:id="9765" w:author="AbbVie14" w:date="2025-05-09T10:34:00Z">
              <w:r w:rsidRPr="00295E71">
                <w:rPr>
                  <w:b/>
                  <w:bCs/>
                </w:rPr>
                <w:delText>Risultati relativi all’efficacia alla settimana 16</w:delText>
              </w:r>
            </w:del>
          </w:p>
        </w:tc>
      </w:tr>
      <w:tr w14:paraId="76D0DE8F" w14:textId="77777777">
        <w:tblPrEx>
          <w:tblW w:w="7046" w:type="dxa"/>
          <w:tblLook w:val="0000"/>
        </w:tblPrEx>
        <w:trPr>
          <w:cantSplit/>
          <w:del w:id="9766" w:author="AbbVie14" w:date="2025-05-09T10:34:00Z"/>
        </w:trPr>
        <w:tc>
          <w:tcPr>
            <w:tcW w:w="2123" w:type="dxa"/>
            <w:tcBorders>
              <w:top w:val="single" w:sz="4" w:space="0" w:color="auto"/>
              <w:left w:val="single" w:sz="4" w:space="0" w:color="auto"/>
              <w:bottom w:val="single" w:sz="4" w:space="0" w:color="auto"/>
              <w:right w:val="single" w:sz="4" w:space="0" w:color="auto"/>
            </w:tcBorders>
          </w:tcPr>
          <w:p w:rsidR="006224C2" w:rsidRPr="00295E71" w14:paraId="71CDED0F" w14:textId="77777777">
            <w:pPr>
              <w:keepNext/>
              <w:tabs>
                <w:tab w:val="left" w:pos="567"/>
                <w:tab w:val="left" w:pos="1294"/>
              </w:tabs>
              <w:autoSpaceDE w:val="0"/>
              <w:autoSpaceDN w:val="0"/>
              <w:adjustRightInd w:val="0"/>
              <w:jc w:val="both"/>
              <w:pPrChange w:id="9767" w:author="AbbVie14" w:date="2025-05-09T10:34:00Z">
                <w:pPr>
                  <w:pStyle w:val="DefaultText"/>
                  <w:keepNext/>
                  <w:keepLines/>
                  <w:jc w:val="center"/>
                </w:pPr>
              </w:pPrChange>
              <w:rPr>
                <w:del w:id="9768" w:author="AbbVie14" w:date="2025-05-09T10:34:00Z"/>
                <w:b/>
                <w:bCs/>
              </w:rPr>
            </w:pPr>
          </w:p>
        </w:tc>
        <w:tc>
          <w:tcPr>
            <w:tcW w:w="1528" w:type="dxa"/>
            <w:tcBorders>
              <w:top w:val="single" w:sz="4" w:space="0" w:color="auto"/>
              <w:left w:val="single" w:sz="4" w:space="0" w:color="auto"/>
              <w:bottom w:val="single" w:sz="4" w:space="0" w:color="auto"/>
              <w:right w:val="single" w:sz="4" w:space="0" w:color="auto"/>
            </w:tcBorders>
            <w:vAlign w:val="center"/>
          </w:tcPr>
          <w:p w:rsidR="006224C2" w:rsidRPr="00295E71" w14:paraId="040C5309" w14:textId="77777777">
            <w:pPr>
              <w:keepNext/>
              <w:tabs>
                <w:tab w:val="left" w:pos="567"/>
                <w:tab w:val="left" w:pos="1294"/>
              </w:tabs>
              <w:autoSpaceDE w:val="0"/>
              <w:autoSpaceDN w:val="0"/>
              <w:adjustRightInd w:val="0"/>
              <w:jc w:val="both"/>
              <w:pPrChange w:id="9769" w:author="AbbVie14" w:date="2025-05-09T10:34:00Z">
                <w:pPr>
                  <w:pStyle w:val="DefaultText"/>
                  <w:keepNext/>
                  <w:keepLines/>
                  <w:jc w:val="center"/>
                </w:pPr>
              </w:pPrChange>
              <w:rPr>
                <w:del w:id="9770" w:author="AbbVie14" w:date="2025-05-09T10:34:00Z"/>
                <w:b/>
              </w:rPr>
            </w:pPr>
            <w:del w:id="9771" w:author="AbbVie14" w:date="2025-05-09T10:34:00Z">
              <w:r w:rsidRPr="00295E71">
                <w:rPr>
                  <w:b/>
                </w:rPr>
                <w:delText>Placebo</w:delText>
              </w:r>
            </w:del>
          </w:p>
          <w:p w:rsidR="006224C2" w:rsidRPr="00295E71" w14:paraId="67DA3A0A" w14:textId="77777777">
            <w:pPr>
              <w:keepNext/>
              <w:tabs>
                <w:tab w:val="left" w:pos="567"/>
                <w:tab w:val="left" w:pos="1294"/>
              </w:tabs>
              <w:autoSpaceDE w:val="0"/>
              <w:autoSpaceDN w:val="0"/>
              <w:adjustRightInd w:val="0"/>
              <w:jc w:val="both"/>
              <w:pPrChange w:id="9772" w:author="AbbVie14" w:date="2025-05-09T10:34:00Z">
                <w:pPr>
                  <w:pStyle w:val="DefaultText"/>
                  <w:keepNext/>
                  <w:keepLines/>
                  <w:jc w:val="center"/>
                </w:pPr>
              </w:pPrChange>
              <w:rPr>
                <w:del w:id="9773" w:author="AbbVie14" w:date="2025-05-09T10:34:00Z"/>
                <w:b/>
              </w:rPr>
            </w:pPr>
            <w:del w:id="9774" w:author="AbbVie14" w:date="2025-05-09T10:34:00Z">
              <w:r w:rsidRPr="00295E71">
                <w:rPr>
                  <w:b/>
                </w:rPr>
                <w:delText>N=53</w:delText>
              </w:r>
            </w:del>
          </w:p>
          <w:p w:rsidR="006224C2" w:rsidRPr="00295E71" w14:paraId="39F16D32" w14:textId="77777777">
            <w:pPr>
              <w:keepNext/>
              <w:tabs>
                <w:tab w:val="left" w:pos="567"/>
                <w:tab w:val="left" w:pos="1294"/>
              </w:tabs>
              <w:autoSpaceDE w:val="0"/>
              <w:autoSpaceDN w:val="0"/>
              <w:adjustRightInd w:val="0"/>
              <w:jc w:val="both"/>
              <w:pPrChange w:id="9775" w:author="AbbVie14" w:date="2025-05-09T10:34:00Z">
                <w:pPr>
                  <w:pStyle w:val="DefaultText"/>
                  <w:keepNext/>
                  <w:keepLines/>
                  <w:jc w:val="center"/>
                </w:pPr>
              </w:pPrChange>
              <w:rPr>
                <w:del w:id="9776" w:author="AbbVie14" w:date="2025-05-09T10:34:00Z"/>
                <w:b/>
              </w:rPr>
            </w:pPr>
            <w:del w:id="9777" w:author="AbbVie14" w:date="2025-05-09T10:34:00Z">
              <w:r w:rsidRPr="00295E71">
                <w:rPr>
                  <w:b/>
                </w:rPr>
                <w:delText>n (%)</w:delText>
              </w:r>
            </w:del>
          </w:p>
        </w:tc>
        <w:tc>
          <w:tcPr>
            <w:tcW w:w="1246" w:type="dxa"/>
            <w:tcBorders>
              <w:top w:val="single" w:sz="4" w:space="0" w:color="auto"/>
              <w:left w:val="single" w:sz="4" w:space="0" w:color="auto"/>
              <w:bottom w:val="single" w:sz="4" w:space="0" w:color="auto"/>
              <w:right w:val="single" w:sz="4" w:space="0" w:color="auto"/>
            </w:tcBorders>
            <w:vAlign w:val="center"/>
          </w:tcPr>
          <w:p w:rsidR="006224C2" w:rsidRPr="00295E71" w14:paraId="7DF6EFA7" w14:textId="77777777">
            <w:pPr>
              <w:keepNext/>
              <w:tabs>
                <w:tab w:val="left" w:pos="567"/>
                <w:tab w:val="left" w:pos="1294"/>
              </w:tabs>
              <w:autoSpaceDE w:val="0"/>
              <w:autoSpaceDN w:val="0"/>
              <w:adjustRightInd w:val="0"/>
              <w:jc w:val="both"/>
              <w:pPrChange w:id="9778" w:author="AbbVie14" w:date="2025-05-09T10:34:00Z">
                <w:pPr>
                  <w:pStyle w:val="DefaultText"/>
                  <w:keepNext/>
                  <w:keepLines/>
                  <w:jc w:val="center"/>
                </w:pPr>
              </w:pPrChange>
              <w:rPr>
                <w:del w:id="9779" w:author="AbbVie14" w:date="2025-05-09T10:34:00Z"/>
                <w:b/>
                <w:bCs/>
              </w:rPr>
            </w:pPr>
            <w:del w:id="9780" w:author="AbbVie14" w:date="2025-05-09T10:34:00Z">
              <w:r w:rsidRPr="00295E71">
                <w:rPr>
                  <w:b/>
                  <w:bCs/>
                </w:rPr>
                <w:delText>MTX</w:delText>
              </w:r>
            </w:del>
          </w:p>
          <w:p w:rsidR="006224C2" w:rsidRPr="00295E71" w14:paraId="0554C75E" w14:textId="77777777">
            <w:pPr>
              <w:keepNext/>
              <w:tabs>
                <w:tab w:val="left" w:pos="567"/>
                <w:tab w:val="left" w:pos="1294"/>
              </w:tabs>
              <w:autoSpaceDE w:val="0"/>
              <w:autoSpaceDN w:val="0"/>
              <w:adjustRightInd w:val="0"/>
              <w:jc w:val="both"/>
              <w:pPrChange w:id="9781" w:author="AbbVie14" w:date="2025-05-09T10:34:00Z">
                <w:pPr>
                  <w:pStyle w:val="DefaultText"/>
                  <w:keepNext/>
                  <w:keepLines/>
                  <w:jc w:val="center"/>
                </w:pPr>
              </w:pPrChange>
              <w:rPr>
                <w:del w:id="9782" w:author="AbbVie14" w:date="2025-05-09T10:34:00Z"/>
                <w:b/>
                <w:bCs/>
              </w:rPr>
            </w:pPr>
            <w:del w:id="9783" w:author="AbbVie14" w:date="2025-05-09T10:34:00Z">
              <w:r w:rsidRPr="00295E71">
                <w:rPr>
                  <w:b/>
                  <w:bCs/>
                </w:rPr>
                <w:delText>N=110</w:delText>
              </w:r>
            </w:del>
          </w:p>
          <w:p w:rsidR="006224C2" w:rsidRPr="00295E71" w14:paraId="207111A1" w14:textId="77777777">
            <w:pPr>
              <w:keepNext/>
              <w:tabs>
                <w:tab w:val="left" w:pos="567"/>
                <w:tab w:val="left" w:pos="1294"/>
              </w:tabs>
              <w:autoSpaceDE w:val="0"/>
              <w:autoSpaceDN w:val="0"/>
              <w:adjustRightInd w:val="0"/>
              <w:jc w:val="both"/>
              <w:pPrChange w:id="9784" w:author="AbbVie14" w:date="2025-05-09T10:34:00Z">
                <w:pPr>
                  <w:pStyle w:val="DefaultText"/>
                  <w:keepNext/>
                  <w:keepLines/>
                  <w:jc w:val="center"/>
                </w:pPr>
              </w:pPrChange>
              <w:rPr>
                <w:del w:id="9785" w:author="AbbVie14" w:date="2025-05-09T10:34:00Z"/>
                <w:b/>
                <w:bCs/>
              </w:rPr>
            </w:pPr>
            <w:del w:id="9786" w:author="AbbVie14" w:date="2025-05-09T10:34:00Z">
              <w:r w:rsidRPr="00295E71">
                <w:rPr>
                  <w:b/>
                  <w:bCs/>
                </w:rPr>
                <w:delText>n (%)</w:delText>
              </w:r>
            </w:del>
          </w:p>
        </w:tc>
        <w:tc>
          <w:tcPr>
            <w:tcW w:w="2149" w:type="dxa"/>
            <w:tcBorders>
              <w:top w:val="single" w:sz="4" w:space="0" w:color="auto"/>
              <w:left w:val="single" w:sz="4" w:space="0" w:color="auto"/>
              <w:bottom w:val="single" w:sz="4" w:space="0" w:color="auto"/>
              <w:right w:val="single" w:sz="4" w:space="0" w:color="auto"/>
            </w:tcBorders>
            <w:vAlign w:val="center"/>
          </w:tcPr>
          <w:p w:rsidR="006224C2" w:rsidRPr="00295E71" w14:paraId="2CBE14F9" w14:textId="77777777">
            <w:pPr>
              <w:keepNext/>
              <w:tabs>
                <w:tab w:val="left" w:pos="567"/>
                <w:tab w:val="left" w:pos="1294"/>
              </w:tabs>
              <w:autoSpaceDE w:val="0"/>
              <w:autoSpaceDN w:val="0"/>
              <w:adjustRightInd w:val="0"/>
              <w:jc w:val="both"/>
              <w:pPrChange w:id="9787" w:author="AbbVie14" w:date="2025-05-09T10:34:00Z">
                <w:pPr>
                  <w:pStyle w:val="DefaultText"/>
                  <w:keepNext/>
                  <w:keepLines/>
                  <w:jc w:val="center"/>
                </w:pPr>
              </w:pPrChange>
              <w:rPr>
                <w:del w:id="9788" w:author="AbbVie14" w:date="2025-05-09T10:34:00Z"/>
                <w:b/>
                <w:bCs/>
              </w:rPr>
            </w:pPr>
            <w:del w:id="9789" w:author="AbbVie14" w:date="2025-05-09T10:34:00Z">
              <w:r w:rsidRPr="00295E71">
                <w:rPr>
                  <w:b/>
                  <w:bCs/>
                </w:rPr>
                <w:delText>Humira 40 mg a settimane alterne</w:delText>
              </w:r>
            </w:del>
          </w:p>
          <w:p w:rsidR="006224C2" w:rsidRPr="00295E71" w14:paraId="133752E0" w14:textId="77777777">
            <w:pPr>
              <w:keepNext/>
              <w:tabs>
                <w:tab w:val="left" w:pos="567"/>
                <w:tab w:val="left" w:pos="1294"/>
              </w:tabs>
              <w:autoSpaceDE w:val="0"/>
              <w:autoSpaceDN w:val="0"/>
              <w:adjustRightInd w:val="0"/>
              <w:jc w:val="both"/>
              <w:pPrChange w:id="9790" w:author="AbbVie14" w:date="2025-05-09T10:34:00Z">
                <w:pPr>
                  <w:pStyle w:val="DefaultText"/>
                  <w:keepNext/>
                  <w:keepLines/>
                  <w:jc w:val="center"/>
                </w:pPr>
              </w:pPrChange>
              <w:rPr>
                <w:del w:id="9791" w:author="AbbVie14" w:date="2025-05-09T10:34:00Z"/>
                <w:b/>
                <w:bCs/>
              </w:rPr>
            </w:pPr>
            <w:del w:id="9792" w:author="AbbVie14" w:date="2025-05-09T10:34:00Z">
              <w:r w:rsidRPr="00295E71">
                <w:rPr>
                  <w:b/>
                  <w:bCs/>
                </w:rPr>
                <w:delText>N=108</w:delText>
              </w:r>
            </w:del>
          </w:p>
          <w:p w:rsidR="006224C2" w:rsidRPr="00295E71" w14:paraId="4C731A9D" w14:textId="77777777">
            <w:pPr>
              <w:keepNext/>
              <w:tabs>
                <w:tab w:val="left" w:pos="567"/>
                <w:tab w:val="left" w:pos="1294"/>
              </w:tabs>
              <w:autoSpaceDE w:val="0"/>
              <w:autoSpaceDN w:val="0"/>
              <w:adjustRightInd w:val="0"/>
              <w:jc w:val="both"/>
              <w:pPrChange w:id="9793" w:author="AbbVie14" w:date="2025-05-09T10:34:00Z">
                <w:pPr>
                  <w:pStyle w:val="DefaultText"/>
                  <w:keepNext/>
                  <w:keepLines/>
                  <w:jc w:val="center"/>
                </w:pPr>
              </w:pPrChange>
              <w:rPr>
                <w:del w:id="9794" w:author="AbbVie14" w:date="2025-05-09T10:34:00Z"/>
                <w:b/>
                <w:bCs/>
              </w:rPr>
            </w:pPr>
            <w:del w:id="9795" w:author="AbbVie14" w:date="2025-05-09T10:34:00Z">
              <w:r w:rsidRPr="00295E71">
                <w:rPr>
                  <w:b/>
                  <w:bCs/>
                </w:rPr>
                <w:delText>n (%)</w:delText>
              </w:r>
            </w:del>
          </w:p>
        </w:tc>
      </w:tr>
      <w:tr w14:paraId="10B51431" w14:textId="77777777">
        <w:tblPrEx>
          <w:tblW w:w="7046" w:type="dxa"/>
          <w:tblLook w:val="0000"/>
        </w:tblPrEx>
        <w:trPr>
          <w:cantSplit/>
          <w:del w:id="9796" w:author="AbbVie14" w:date="2025-05-09T10:34:00Z"/>
        </w:trPr>
        <w:tc>
          <w:tcPr>
            <w:tcW w:w="2123" w:type="dxa"/>
            <w:tcBorders>
              <w:top w:val="single" w:sz="4" w:space="0" w:color="auto"/>
              <w:left w:val="single" w:sz="4" w:space="0" w:color="auto"/>
              <w:bottom w:val="single" w:sz="4" w:space="0" w:color="auto"/>
              <w:right w:val="single" w:sz="4" w:space="0" w:color="auto"/>
            </w:tcBorders>
          </w:tcPr>
          <w:p w:rsidR="006224C2" w:rsidRPr="00295E71" w14:paraId="45F718DF" w14:textId="77777777">
            <w:pPr>
              <w:keepNext/>
              <w:tabs>
                <w:tab w:val="left" w:pos="567"/>
                <w:tab w:val="left" w:pos="1294"/>
              </w:tabs>
              <w:autoSpaceDE w:val="0"/>
              <w:autoSpaceDN w:val="0"/>
              <w:adjustRightInd w:val="0"/>
              <w:jc w:val="both"/>
              <w:pPrChange w:id="9797" w:author="AbbVie14" w:date="2025-05-09T10:34:00Z">
                <w:pPr>
                  <w:pStyle w:val="DefaultText"/>
                  <w:keepNext/>
                  <w:keepLines/>
                </w:pPr>
              </w:pPrChange>
              <w:rPr>
                <w:del w:id="9798" w:author="AbbVie14" w:date="2025-05-09T10:34:00Z"/>
                <w:b/>
                <w:bCs/>
              </w:rPr>
            </w:pPr>
            <w:del w:id="9799" w:author="AbbVie14" w:date="2025-05-09T10:34:00Z">
              <w:r w:rsidRPr="00295E71">
                <w:rPr>
                  <w:rFonts w:ascii="Symbol" w:hAnsi="Symbol"/>
                  <w:b/>
                </w:rPr>
                <w:sym w:font="Symbol" w:char="F0B3"/>
              </w:r>
            </w:del>
            <w:del w:id="9800" w:author="AbbVie14" w:date="2025-05-09T10:34:00Z">
              <w:r w:rsidRPr="00295E71">
                <w:rPr>
                  <w:b/>
                  <w:bCs/>
                </w:rPr>
                <w:delText>PASI 75</w:delText>
              </w:r>
            </w:del>
          </w:p>
        </w:tc>
        <w:tc>
          <w:tcPr>
            <w:tcW w:w="1528" w:type="dxa"/>
            <w:tcBorders>
              <w:top w:val="single" w:sz="4" w:space="0" w:color="auto"/>
              <w:left w:val="single" w:sz="4" w:space="0" w:color="auto"/>
              <w:bottom w:val="single" w:sz="4" w:space="0" w:color="auto"/>
              <w:right w:val="single" w:sz="4" w:space="0" w:color="auto"/>
            </w:tcBorders>
          </w:tcPr>
          <w:p w:rsidR="006224C2" w:rsidRPr="00295E71" w14:paraId="338205D8" w14:textId="77777777">
            <w:pPr>
              <w:keepNext/>
              <w:tabs>
                <w:tab w:val="left" w:pos="567"/>
                <w:tab w:val="left" w:pos="1294"/>
              </w:tabs>
              <w:autoSpaceDE w:val="0"/>
              <w:autoSpaceDN w:val="0"/>
              <w:adjustRightInd w:val="0"/>
              <w:jc w:val="both"/>
              <w:pPrChange w:id="9801" w:author="AbbVie14" w:date="2025-05-09T10:34:00Z">
                <w:pPr>
                  <w:pStyle w:val="DefaultText"/>
                  <w:keepNext/>
                  <w:keepLines/>
                  <w:jc w:val="center"/>
                </w:pPr>
              </w:pPrChange>
              <w:rPr>
                <w:del w:id="9802" w:author="AbbVie14" w:date="2025-05-09T10:34:00Z"/>
              </w:rPr>
            </w:pPr>
            <w:del w:id="9803" w:author="AbbVie14" w:date="2025-05-09T10:34:00Z">
              <w:r w:rsidRPr="00295E71">
                <w:delText>10 (18,9)</w:delText>
              </w:r>
            </w:del>
          </w:p>
        </w:tc>
        <w:tc>
          <w:tcPr>
            <w:tcW w:w="1246" w:type="dxa"/>
            <w:tcBorders>
              <w:top w:val="single" w:sz="4" w:space="0" w:color="auto"/>
              <w:left w:val="single" w:sz="4" w:space="0" w:color="auto"/>
              <w:bottom w:val="single" w:sz="4" w:space="0" w:color="auto"/>
              <w:right w:val="single" w:sz="4" w:space="0" w:color="auto"/>
            </w:tcBorders>
          </w:tcPr>
          <w:p w:rsidR="006224C2" w:rsidRPr="00295E71" w14:paraId="1E26F95A" w14:textId="77777777">
            <w:pPr>
              <w:keepNext/>
              <w:tabs>
                <w:tab w:val="left" w:pos="567"/>
                <w:tab w:val="left" w:pos="1294"/>
              </w:tabs>
              <w:autoSpaceDE w:val="0"/>
              <w:autoSpaceDN w:val="0"/>
              <w:adjustRightInd w:val="0"/>
              <w:jc w:val="both"/>
              <w:pPrChange w:id="9804" w:author="AbbVie14" w:date="2025-05-09T10:34:00Z">
                <w:pPr>
                  <w:pStyle w:val="DefaultText"/>
                  <w:keepNext/>
                  <w:keepLines/>
                  <w:jc w:val="center"/>
                </w:pPr>
              </w:pPrChange>
              <w:rPr>
                <w:del w:id="9805" w:author="AbbVie14" w:date="2025-05-09T10:34:00Z"/>
              </w:rPr>
            </w:pPr>
            <w:del w:id="9806" w:author="AbbVie14" w:date="2025-05-09T10:34:00Z">
              <w:r w:rsidRPr="00295E71">
                <w:delText>39 (35,5)</w:delText>
              </w:r>
            </w:del>
          </w:p>
        </w:tc>
        <w:tc>
          <w:tcPr>
            <w:tcW w:w="2149" w:type="dxa"/>
            <w:tcBorders>
              <w:top w:val="single" w:sz="4" w:space="0" w:color="auto"/>
              <w:left w:val="single" w:sz="4" w:space="0" w:color="auto"/>
              <w:bottom w:val="single" w:sz="4" w:space="0" w:color="auto"/>
              <w:right w:val="single" w:sz="4" w:space="0" w:color="auto"/>
            </w:tcBorders>
          </w:tcPr>
          <w:p w:rsidR="006224C2" w:rsidRPr="00295E71" w14:paraId="5838A8EB" w14:textId="77777777">
            <w:pPr>
              <w:keepNext/>
              <w:tabs>
                <w:tab w:val="left" w:pos="567"/>
                <w:tab w:val="left" w:pos="1294"/>
              </w:tabs>
              <w:autoSpaceDE w:val="0"/>
              <w:autoSpaceDN w:val="0"/>
              <w:adjustRightInd w:val="0"/>
              <w:jc w:val="both"/>
              <w:pPrChange w:id="9807" w:author="AbbVie14" w:date="2025-05-09T10:34:00Z">
                <w:pPr>
                  <w:pStyle w:val="DefaultText"/>
                  <w:keepNext/>
                  <w:keepLines/>
                  <w:jc w:val="center"/>
                </w:pPr>
              </w:pPrChange>
              <w:rPr>
                <w:del w:id="9808" w:author="AbbVie14" w:date="2025-05-09T10:34:00Z"/>
              </w:rPr>
            </w:pPr>
            <w:del w:id="9809" w:author="AbbVie14" w:date="2025-05-09T10:34:00Z">
              <w:r w:rsidRPr="00295E71">
                <w:delText>86 (79,6)</w:delText>
              </w:r>
            </w:del>
            <w:del w:id="9810" w:author="AbbVie14" w:date="2025-05-09T10:34:00Z">
              <w:r w:rsidRPr="00295E71">
                <w:rPr>
                  <w:vertAlign w:val="superscript"/>
                </w:rPr>
                <w:delText xml:space="preserve"> a, b</w:delText>
              </w:r>
            </w:del>
          </w:p>
        </w:tc>
      </w:tr>
      <w:tr w14:paraId="39787144" w14:textId="77777777">
        <w:tblPrEx>
          <w:tblW w:w="7046" w:type="dxa"/>
          <w:tblLook w:val="0000"/>
        </w:tblPrEx>
        <w:trPr>
          <w:cantSplit/>
          <w:del w:id="9811" w:author="AbbVie14" w:date="2025-05-09T10:34:00Z"/>
        </w:trPr>
        <w:tc>
          <w:tcPr>
            <w:tcW w:w="2123" w:type="dxa"/>
            <w:tcBorders>
              <w:top w:val="single" w:sz="4" w:space="0" w:color="auto"/>
              <w:left w:val="single" w:sz="4" w:space="0" w:color="auto"/>
              <w:bottom w:val="single" w:sz="4" w:space="0" w:color="auto"/>
              <w:right w:val="single" w:sz="4" w:space="0" w:color="auto"/>
            </w:tcBorders>
          </w:tcPr>
          <w:p w:rsidR="006224C2" w:rsidRPr="00295E71" w14:paraId="0DD466F5" w14:textId="77777777">
            <w:pPr>
              <w:keepNext/>
              <w:tabs>
                <w:tab w:val="left" w:pos="567"/>
                <w:tab w:val="left" w:pos="1294"/>
              </w:tabs>
              <w:autoSpaceDE w:val="0"/>
              <w:autoSpaceDN w:val="0"/>
              <w:adjustRightInd w:val="0"/>
              <w:jc w:val="both"/>
              <w:pPrChange w:id="9812" w:author="AbbVie14" w:date="2025-05-09T10:34:00Z">
                <w:pPr>
                  <w:pStyle w:val="DefaultText"/>
                  <w:keepNext/>
                  <w:keepLines/>
                </w:pPr>
              </w:pPrChange>
              <w:rPr>
                <w:del w:id="9813" w:author="AbbVie14" w:date="2025-05-09T10:34:00Z"/>
                <w:b/>
                <w:bCs/>
              </w:rPr>
            </w:pPr>
            <w:del w:id="9814" w:author="AbbVie14" w:date="2025-05-09T10:34:00Z">
              <w:r w:rsidRPr="00295E71">
                <w:rPr>
                  <w:b/>
                  <w:bCs/>
                </w:rPr>
                <w:delText xml:space="preserve">    PASI 100</w:delText>
              </w:r>
            </w:del>
          </w:p>
        </w:tc>
        <w:tc>
          <w:tcPr>
            <w:tcW w:w="1528" w:type="dxa"/>
            <w:tcBorders>
              <w:top w:val="single" w:sz="4" w:space="0" w:color="auto"/>
              <w:left w:val="single" w:sz="4" w:space="0" w:color="auto"/>
              <w:bottom w:val="single" w:sz="4" w:space="0" w:color="auto"/>
              <w:right w:val="single" w:sz="4" w:space="0" w:color="auto"/>
            </w:tcBorders>
          </w:tcPr>
          <w:p w:rsidR="006224C2" w:rsidRPr="00295E71" w14:paraId="287E7F99" w14:textId="77777777">
            <w:pPr>
              <w:keepNext/>
              <w:tabs>
                <w:tab w:val="left" w:pos="567"/>
                <w:tab w:val="left" w:pos="1294"/>
              </w:tabs>
              <w:autoSpaceDE w:val="0"/>
              <w:autoSpaceDN w:val="0"/>
              <w:adjustRightInd w:val="0"/>
              <w:jc w:val="both"/>
              <w:pPrChange w:id="9815" w:author="AbbVie14" w:date="2025-05-09T10:34:00Z">
                <w:pPr>
                  <w:pStyle w:val="DefaultText"/>
                  <w:keepNext/>
                  <w:keepLines/>
                  <w:jc w:val="center"/>
                </w:pPr>
              </w:pPrChange>
              <w:rPr>
                <w:del w:id="9816" w:author="AbbVie14" w:date="2025-05-09T10:34:00Z"/>
              </w:rPr>
            </w:pPr>
            <w:del w:id="9817" w:author="AbbVie14" w:date="2025-05-09T10:34:00Z">
              <w:r w:rsidRPr="00295E71">
                <w:delText>1 (1,9)</w:delText>
              </w:r>
            </w:del>
          </w:p>
        </w:tc>
        <w:tc>
          <w:tcPr>
            <w:tcW w:w="1246" w:type="dxa"/>
            <w:tcBorders>
              <w:top w:val="single" w:sz="4" w:space="0" w:color="auto"/>
              <w:left w:val="single" w:sz="4" w:space="0" w:color="auto"/>
              <w:bottom w:val="single" w:sz="4" w:space="0" w:color="auto"/>
              <w:right w:val="single" w:sz="4" w:space="0" w:color="auto"/>
            </w:tcBorders>
          </w:tcPr>
          <w:p w:rsidR="006224C2" w:rsidRPr="00295E71" w14:paraId="17F1EC12" w14:textId="77777777">
            <w:pPr>
              <w:keepNext/>
              <w:tabs>
                <w:tab w:val="left" w:pos="567"/>
                <w:tab w:val="left" w:pos="1294"/>
              </w:tabs>
              <w:autoSpaceDE w:val="0"/>
              <w:autoSpaceDN w:val="0"/>
              <w:adjustRightInd w:val="0"/>
              <w:jc w:val="both"/>
              <w:pPrChange w:id="9818" w:author="AbbVie14" w:date="2025-05-09T10:34:00Z">
                <w:pPr>
                  <w:pStyle w:val="DefaultText"/>
                  <w:keepNext/>
                  <w:keepLines/>
                  <w:jc w:val="center"/>
                </w:pPr>
              </w:pPrChange>
              <w:rPr>
                <w:del w:id="9819" w:author="AbbVie14" w:date="2025-05-09T10:34:00Z"/>
              </w:rPr>
            </w:pPr>
            <w:del w:id="9820" w:author="AbbVie14" w:date="2025-05-09T10:34:00Z">
              <w:r w:rsidRPr="00295E71">
                <w:delText>8 (7,3)</w:delText>
              </w:r>
            </w:del>
          </w:p>
        </w:tc>
        <w:tc>
          <w:tcPr>
            <w:tcW w:w="2149" w:type="dxa"/>
            <w:tcBorders>
              <w:top w:val="single" w:sz="4" w:space="0" w:color="auto"/>
              <w:left w:val="single" w:sz="4" w:space="0" w:color="auto"/>
              <w:bottom w:val="single" w:sz="4" w:space="0" w:color="auto"/>
              <w:right w:val="single" w:sz="4" w:space="0" w:color="auto"/>
            </w:tcBorders>
          </w:tcPr>
          <w:p w:rsidR="006224C2" w:rsidRPr="00295E71" w14:paraId="36FA4010" w14:textId="77777777">
            <w:pPr>
              <w:keepNext/>
              <w:tabs>
                <w:tab w:val="left" w:pos="567"/>
                <w:tab w:val="left" w:pos="1294"/>
              </w:tabs>
              <w:autoSpaceDE w:val="0"/>
              <w:autoSpaceDN w:val="0"/>
              <w:adjustRightInd w:val="0"/>
              <w:jc w:val="both"/>
              <w:pPrChange w:id="9821" w:author="AbbVie14" w:date="2025-05-09T10:34:00Z">
                <w:pPr>
                  <w:pStyle w:val="DefaultText"/>
                  <w:keepNext/>
                  <w:keepLines/>
                  <w:jc w:val="center"/>
                </w:pPr>
              </w:pPrChange>
              <w:rPr>
                <w:del w:id="9822" w:author="AbbVie14" w:date="2025-05-09T10:34:00Z"/>
              </w:rPr>
            </w:pPr>
            <w:del w:id="9823" w:author="AbbVie14" w:date="2025-05-09T10:34:00Z">
              <w:r w:rsidRPr="00295E71">
                <w:delText>18 (16,7)</w:delText>
              </w:r>
            </w:del>
            <w:del w:id="9824" w:author="AbbVie14" w:date="2025-05-09T10:34:00Z">
              <w:r w:rsidRPr="00295E71">
                <w:rPr>
                  <w:vertAlign w:val="superscript"/>
                </w:rPr>
                <w:delText xml:space="preserve"> c, d</w:delText>
              </w:r>
            </w:del>
          </w:p>
        </w:tc>
      </w:tr>
      <w:tr w14:paraId="6D789892" w14:textId="77777777">
        <w:tblPrEx>
          <w:tblW w:w="7046" w:type="dxa"/>
          <w:tblLook w:val="0000"/>
        </w:tblPrEx>
        <w:trPr>
          <w:cantSplit/>
          <w:del w:id="9825" w:author="AbbVie14" w:date="2025-05-09T10:34:00Z"/>
        </w:trPr>
        <w:tc>
          <w:tcPr>
            <w:tcW w:w="2123" w:type="dxa"/>
            <w:tcBorders>
              <w:top w:val="single" w:sz="4" w:space="0" w:color="auto"/>
              <w:left w:val="single" w:sz="4" w:space="0" w:color="auto"/>
              <w:bottom w:val="single" w:sz="4" w:space="0" w:color="auto"/>
              <w:right w:val="single" w:sz="4" w:space="0" w:color="auto"/>
            </w:tcBorders>
          </w:tcPr>
          <w:p w:rsidR="006224C2" w:rsidRPr="00295E71" w14:paraId="5C9E142B" w14:textId="77777777">
            <w:pPr>
              <w:keepNext/>
              <w:tabs>
                <w:tab w:val="left" w:pos="567"/>
                <w:tab w:val="left" w:pos="1294"/>
              </w:tabs>
              <w:autoSpaceDE w:val="0"/>
              <w:autoSpaceDN w:val="0"/>
              <w:adjustRightInd w:val="0"/>
              <w:jc w:val="both"/>
              <w:pPrChange w:id="9826" w:author="AbbVie14" w:date="2025-05-09T10:34:00Z">
                <w:pPr>
                  <w:pStyle w:val="DefaultText"/>
                  <w:keepNext/>
                  <w:keepLines/>
                </w:pPr>
              </w:pPrChange>
              <w:rPr>
                <w:del w:id="9827" w:author="AbbVie14" w:date="2025-05-09T10:34:00Z"/>
                <w:b/>
                <w:bCs/>
              </w:rPr>
            </w:pPr>
            <w:del w:id="9828" w:author="AbbVie14" w:date="2025-05-09T10:34:00Z">
              <w:r w:rsidRPr="00295E71">
                <w:rPr>
                  <w:b/>
                  <w:bCs/>
                </w:rPr>
                <w:delText xml:space="preserve">    PGA: Guarigione/marcato miglioramento</w:delText>
              </w:r>
            </w:del>
          </w:p>
        </w:tc>
        <w:tc>
          <w:tcPr>
            <w:tcW w:w="1528" w:type="dxa"/>
            <w:tcBorders>
              <w:top w:val="single" w:sz="4" w:space="0" w:color="auto"/>
              <w:left w:val="single" w:sz="4" w:space="0" w:color="auto"/>
              <w:bottom w:val="single" w:sz="4" w:space="0" w:color="auto"/>
              <w:right w:val="single" w:sz="4" w:space="0" w:color="auto"/>
            </w:tcBorders>
          </w:tcPr>
          <w:p w:rsidR="006224C2" w:rsidRPr="00295E71" w14:paraId="3778A6FD" w14:textId="77777777">
            <w:pPr>
              <w:keepNext/>
              <w:tabs>
                <w:tab w:val="left" w:pos="567"/>
                <w:tab w:val="left" w:pos="1294"/>
              </w:tabs>
              <w:autoSpaceDE w:val="0"/>
              <w:autoSpaceDN w:val="0"/>
              <w:adjustRightInd w:val="0"/>
              <w:jc w:val="both"/>
              <w:pPrChange w:id="9829" w:author="AbbVie14" w:date="2025-05-09T10:34:00Z">
                <w:pPr>
                  <w:pStyle w:val="DefaultText"/>
                  <w:keepNext/>
                  <w:keepLines/>
                  <w:jc w:val="center"/>
                </w:pPr>
              </w:pPrChange>
              <w:rPr>
                <w:del w:id="9830" w:author="AbbVie14" w:date="2025-05-09T10:34:00Z"/>
              </w:rPr>
            </w:pPr>
            <w:del w:id="9831" w:author="AbbVie14" w:date="2025-05-09T10:34:00Z">
              <w:r w:rsidRPr="00295E71">
                <w:delText>6 (11,3)</w:delText>
              </w:r>
            </w:del>
          </w:p>
        </w:tc>
        <w:tc>
          <w:tcPr>
            <w:tcW w:w="1246" w:type="dxa"/>
            <w:tcBorders>
              <w:top w:val="single" w:sz="4" w:space="0" w:color="auto"/>
              <w:left w:val="single" w:sz="4" w:space="0" w:color="auto"/>
              <w:bottom w:val="single" w:sz="4" w:space="0" w:color="auto"/>
              <w:right w:val="single" w:sz="4" w:space="0" w:color="auto"/>
            </w:tcBorders>
          </w:tcPr>
          <w:p w:rsidR="006224C2" w:rsidRPr="00295E71" w14:paraId="2AAB0AEF" w14:textId="77777777">
            <w:pPr>
              <w:keepNext/>
              <w:tabs>
                <w:tab w:val="left" w:pos="567"/>
                <w:tab w:val="left" w:pos="1294"/>
              </w:tabs>
              <w:autoSpaceDE w:val="0"/>
              <w:autoSpaceDN w:val="0"/>
              <w:adjustRightInd w:val="0"/>
              <w:jc w:val="both"/>
              <w:pPrChange w:id="9832" w:author="AbbVie14" w:date="2025-05-09T10:34:00Z">
                <w:pPr>
                  <w:pStyle w:val="DefaultText"/>
                  <w:keepNext/>
                  <w:keepLines/>
                  <w:jc w:val="center"/>
                </w:pPr>
              </w:pPrChange>
              <w:rPr>
                <w:del w:id="9833" w:author="AbbVie14" w:date="2025-05-09T10:34:00Z"/>
              </w:rPr>
            </w:pPr>
            <w:del w:id="9834" w:author="AbbVie14" w:date="2025-05-09T10:34:00Z">
              <w:r w:rsidRPr="00295E71">
                <w:delText>33 (30,0)</w:delText>
              </w:r>
            </w:del>
          </w:p>
        </w:tc>
        <w:tc>
          <w:tcPr>
            <w:tcW w:w="2149" w:type="dxa"/>
            <w:tcBorders>
              <w:top w:val="single" w:sz="4" w:space="0" w:color="auto"/>
              <w:left w:val="single" w:sz="4" w:space="0" w:color="auto"/>
              <w:bottom w:val="single" w:sz="4" w:space="0" w:color="auto"/>
              <w:right w:val="single" w:sz="4" w:space="0" w:color="auto"/>
            </w:tcBorders>
          </w:tcPr>
          <w:p w:rsidR="006224C2" w:rsidRPr="00295E71" w14:paraId="7ECF3030" w14:textId="77777777">
            <w:pPr>
              <w:keepNext/>
              <w:tabs>
                <w:tab w:val="left" w:pos="567"/>
                <w:tab w:val="left" w:pos="1294"/>
              </w:tabs>
              <w:autoSpaceDE w:val="0"/>
              <w:autoSpaceDN w:val="0"/>
              <w:adjustRightInd w:val="0"/>
              <w:jc w:val="both"/>
              <w:pPrChange w:id="9835" w:author="AbbVie14" w:date="2025-05-09T10:34:00Z">
                <w:pPr>
                  <w:pStyle w:val="DefaultText"/>
                  <w:keepNext/>
                  <w:keepLines/>
                  <w:jc w:val="center"/>
                </w:pPr>
              </w:pPrChange>
              <w:rPr>
                <w:del w:id="9836" w:author="AbbVie14" w:date="2025-05-09T10:34:00Z"/>
              </w:rPr>
            </w:pPr>
            <w:del w:id="9837" w:author="AbbVie14" w:date="2025-05-09T10:34:00Z">
              <w:r w:rsidRPr="00295E71">
                <w:delText>79 (73,1)</w:delText>
              </w:r>
            </w:del>
            <w:del w:id="9838" w:author="AbbVie14" w:date="2025-05-09T10:34:00Z">
              <w:r w:rsidRPr="00295E71">
                <w:rPr>
                  <w:vertAlign w:val="superscript"/>
                </w:rPr>
                <w:delText xml:space="preserve"> a, b</w:delText>
              </w:r>
            </w:del>
          </w:p>
        </w:tc>
      </w:tr>
      <w:tr w14:paraId="266E692C" w14:textId="77777777">
        <w:tblPrEx>
          <w:tblW w:w="7046" w:type="dxa"/>
          <w:tblLook w:val="0000"/>
        </w:tblPrEx>
        <w:trPr>
          <w:cantSplit/>
          <w:del w:id="9839" w:author="AbbVie14" w:date="2025-05-09T10:34:00Z"/>
        </w:trPr>
        <w:tc>
          <w:tcPr>
            <w:tcW w:w="7046" w:type="dxa"/>
            <w:gridSpan w:val="4"/>
            <w:tcBorders>
              <w:top w:val="single" w:sz="4" w:space="0" w:color="auto"/>
              <w:left w:val="single" w:sz="4" w:space="0" w:color="auto"/>
              <w:bottom w:val="single" w:sz="4" w:space="0" w:color="auto"/>
              <w:right w:val="single" w:sz="4" w:space="0" w:color="auto"/>
            </w:tcBorders>
          </w:tcPr>
          <w:p w:rsidR="006224C2" w:rsidRPr="00295E71" w14:paraId="4682120C" w14:textId="77777777">
            <w:pPr>
              <w:keepNext/>
              <w:tabs>
                <w:tab w:val="left" w:pos="567"/>
                <w:tab w:val="left" w:pos="1294"/>
              </w:tabs>
              <w:autoSpaceDE w:val="0"/>
              <w:autoSpaceDN w:val="0"/>
              <w:adjustRightInd w:val="0"/>
              <w:jc w:val="both"/>
              <w:pPrChange w:id="9840" w:author="AbbVie14" w:date="2025-05-09T10:34:00Z">
                <w:pPr>
                  <w:pStyle w:val="DefaultText"/>
                  <w:keepNext/>
                  <w:keepLines/>
                </w:pPr>
              </w:pPrChange>
              <w:rPr>
                <w:del w:id="9841" w:author="AbbVie14" w:date="2025-05-09T10:34:00Z"/>
              </w:rPr>
            </w:pPr>
            <w:del w:id="9842" w:author="AbbVie14" w:date="2025-05-09T10:34:00Z">
              <w:r w:rsidRPr="00295E71">
                <w:rPr>
                  <w:vertAlign w:val="superscript"/>
                </w:rPr>
                <w:delText>a</w:delText>
              </w:r>
            </w:del>
            <w:del w:id="9843" w:author="AbbVie14" w:date="2025-05-09T10:34:00Z">
              <w:r w:rsidRPr="00295E71">
                <w:delText xml:space="preserve"> p&lt;0,001 Humira vs. placebo</w:delText>
              </w:r>
            </w:del>
          </w:p>
          <w:p w:rsidR="006224C2" w:rsidRPr="00295E71" w14:paraId="06FB3DB0" w14:textId="77777777">
            <w:pPr>
              <w:keepNext/>
              <w:tabs>
                <w:tab w:val="left" w:pos="567"/>
                <w:tab w:val="left" w:pos="1294"/>
              </w:tabs>
              <w:autoSpaceDE w:val="0"/>
              <w:autoSpaceDN w:val="0"/>
              <w:adjustRightInd w:val="0"/>
              <w:jc w:val="both"/>
              <w:pPrChange w:id="9844" w:author="AbbVie14" w:date="2025-05-09T10:34:00Z">
                <w:pPr>
                  <w:pStyle w:val="DefaultText"/>
                  <w:keepNext/>
                  <w:keepLines/>
                </w:pPr>
              </w:pPrChange>
              <w:rPr>
                <w:del w:id="9845" w:author="AbbVie14" w:date="2025-05-09T10:34:00Z"/>
              </w:rPr>
            </w:pPr>
            <w:del w:id="9846" w:author="AbbVie14" w:date="2025-05-09T10:34:00Z">
              <w:r w:rsidRPr="00295E71">
                <w:rPr>
                  <w:vertAlign w:val="superscript"/>
                </w:rPr>
                <w:delText>b</w:delText>
              </w:r>
            </w:del>
            <w:del w:id="9847" w:author="AbbVie14" w:date="2025-05-09T10:34:00Z">
              <w:r w:rsidRPr="00295E71">
                <w:delText xml:space="preserve"> p&lt;0,001 Humira vs. metotressato</w:delText>
              </w:r>
            </w:del>
          </w:p>
          <w:p w:rsidR="006224C2" w:rsidRPr="00295E71" w14:paraId="6F7A4EEB" w14:textId="77777777">
            <w:pPr>
              <w:keepNext/>
              <w:tabs>
                <w:tab w:val="left" w:pos="567"/>
                <w:tab w:val="left" w:pos="1294"/>
              </w:tabs>
              <w:autoSpaceDE w:val="0"/>
              <w:autoSpaceDN w:val="0"/>
              <w:adjustRightInd w:val="0"/>
              <w:jc w:val="both"/>
              <w:pPrChange w:id="9848" w:author="AbbVie14" w:date="2025-05-09T10:34:00Z">
                <w:pPr>
                  <w:pStyle w:val="DefaultText"/>
                  <w:keepNext/>
                  <w:keepLines/>
                </w:pPr>
              </w:pPrChange>
              <w:rPr>
                <w:del w:id="9849" w:author="AbbVie14" w:date="2025-05-09T10:34:00Z"/>
              </w:rPr>
            </w:pPr>
            <w:del w:id="9850" w:author="AbbVie14" w:date="2025-05-09T10:34:00Z">
              <w:r w:rsidRPr="00295E71">
                <w:rPr>
                  <w:vertAlign w:val="superscript"/>
                </w:rPr>
                <w:delText>c</w:delText>
              </w:r>
            </w:del>
            <w:del w:id="9851" w:author="AbbVie14" w:date="2025-05-09T10:34:00Z">
              <w:r w:rsidRPr="00295E71">
                <w:delText xml:space="preserve"> p&lt;0,01 Humira vs. placebo</w:delText>
              </w:r>
            </w:del>
          </w:p>
          <w:p w:rsidR="006224C2" w:rsidRPr="00295E71" w14:paraId="4232803D" w14:textId="77777777">
            <w:pPr>
              <w:keepNext/>
              <w:tabs>
                <w:tab w:val="left" w:pos="567"/>
                <w:tab w:val="left" w:pos="1294"/>
              </w:tabs>
              <w:autoSpaceDE w:val="0"/>
              <w:autoSpaceDN w:val="0"/>
              <w:adjustRightInd w:val="0"/>
              <w:jc w:val="both"/>
              <w:pPrChange w:id="9852" w:author="AbbVie14" w:date="2025-05-09T10:34:00Z">
                <w:pPr>
                  <w:pStyle w:val="DefaultText"/>
                  <w:keepNext/>
                  <w:keepLines/>
                </w:pPr>
              </w:pPrChange>
              <w:rPr>
                <w:del w:id="9853" w:author="AbbVie14" w:date="2025-05-09T10:34:00Z"/>
              </w:rPr>
            </w:pPr>
            <w:del w:id="9854" w:author="AbbVie14" w:date="2025-05-09T10:34:00Z">
              <w:r w:rsidRPr="00295E71">
                <w:rPr>
                  <w:vertAlign w:val="superscript"/>
                </w:rPr>
                <w:delText>d</w:delText>
              </w:r>
            </w:del>
            <w:del w:id="9855" w:author="AbbVie14" w:date="2025-05-09T10:34:00Z">
              <w:r w:rsidRPr="00295E71">
                <w:delText xml:space="preserve"> p&lt;0,05 Humira vs. </w:delText>
              </w:r>
            </w:del>
            <w:del w:id="9856" w:author="AbbVie14" w:date="2025-05-09T10:34:00Z">
              <w:r w:rsidRPr="00295E71" w:rsidR="001F6633">
                <w:delText>m</w:delText>
              </w:r>
            </w:del>
            <w:del w:id="9857" w:author="AbbVie14" w:date="2025-05-09T10:34:00Z">
              <w:r w:rsidRPr="00295E71">
                <w:delText>etotressato</w:delText>
              </w:r>
            </w:del>
          </w:p>
        </w:tc>
      </w:tr>
    </w:tbl>
    <w:p w:rsidR="006224C2" w:rsidRPr="00295E71" w14:paraId="74C57B9F" w14:textId="77777777">
      <w:pPr>
        <w:keepNext/>
        <w:tabs>
          <w:tab w:val="left" w:pos="567"/>
          <w:tab w:val="left" w:pos="1294"/>
        </w:tabs>
        <w:autoSpaceDE w:val="0"/>
        <w:autoSpaceDN w:val="0"/>
        <w:adjustRightInd w:val="0"/>
        <w:jc w:val="both"/>
        <w:pPrChange w:id="9858" w:author="AbbVie14" w:date="2025-05-09T10:34:00Z">
          <w:pPr>
            <w:tabs>
              <w:tab w:val="left" w:pos="567"/>
              <w:tab w:val="left" w:pos="1294"/>
            </w:tabs>
            <w:autoSpaceDE w:val="0"/>
            <w:autoSpaceDN w:val="0"/>
            <w:adjustRightInd w:val="0"/>
          </w:pPr>
        </w:pPrChange>
        <w:rPr>
          <w:del w:id="9859" w:author="AbbVie14" w:date="2025-05-09T10:34:00Z"/>
          <w:color w:val="000000"/>
          <w:sz w:val="22"/>
          <w:szCs w:val="22"/>
        </w:rPr>
      </w:pPr>
    </w:p>
    <w:p w:rsidR="006224C2" w:rsidRPr="00295E71" w14:paraId="57247D45" w14:textId="77777777">
      <w:pPr>
        <w:keepNext/>
        <w:tabs>
          <w:tab w:val="left" w:pos="567"/>
          <w:tab w:val="left" w:pos="1294"/>
        </w:tabs>
        <w:autoSpaceDE w:val="0"/>
        <w:autoSpaceDN w:val="0"/>
        <w:adjustRightInd w:val="0"/>
        <w:jc w:val="both"/>
        <w:pPrChange w:id="9860" w:author="AbbVie14" w:date="2025-05-09T10:34:00Z">
          <w:pPr>
            <w:tabs>
              <w:tab w:val="left" w:pos="567"/>
              <w:tab w:val="left" w:pos="1294"/>
            </w:tabs>
            <w:autoSpaceDE w:val="0"/>
            <w:autoSpaceDN w:val="0"/>
            <w:adjustRightInd w:val="0"/>
            <w:jc w:val="both"/>
          </w:pPr>
        </w:pPrChange>
        <w:rPr>
          <w:del w:id="9861" w:author="AbbVie14" w:date="2025-05-09T10:34:00Z"/>
          <w:color w:val="000000"/>
          <w:sz w:val="22"/>
          <w:szCs w:val="22"/>
        </w:rPr>
      </w:pPr>
      <w:del w:id="9862" w:author="AbbVie14" w:date="2025-05-09T10:34:00Z">
        <w:r w:rsidRPr="00295E71">
          <w:rPr>
            <w:color w:val="000000"/>
            <w:sz w:val="22"/>
            <w:szCs w:val="22"/>
          </w:rPr>
          <w:delText xml:space="preserve">Nel corso dello studio I sulla psoriasi, </w:delText>
        </w:r>
      </w:del>
      <w:del w:id="9863" w:author="AbbVie14" w:date="2025-05-09T10:34:00Z">
        <w:r w:rsidR="00A02331">
          <w:rPr>
            <w:color w:val="000000"/>
            <w:sz w:val="22"/>
            <w:szCs w:val="22"/>
          </w:rPr>
          <w:delText>nel</w:delText>
        </w:r>
      </w:del>
      <w:del w:id="9864" w:author="AbbVie14" w:date="2025-05-09T10:34:00Z">
        <w:r w:rsidRPr="00295E71">
          <w:rPr>
            <w:color w:val="000000"/>
            <w:sz w:val="22"/>
            <w:szCs w:val="22"/>
          </w:rPr>
          <w:delText xml:space="preserve"> 28% dei pazienti randomizzati a placebo</w:delText>
        </w:r>
      </w:del>
      <w:del w:id="9865" w:author="AbbVie14" w:date="2025-05-09T10:34:00Z">
        <w:r w:rsidR="00A02331">
          <w:rPr>
            <w:color w:val="000000"/>
            <w:sz w:val="22"/>
            <w:szCs w:val="22"/>
          </w:rPr>
          <w:delText xml:space="preserve"> </w:delText>
        </w:r>
      </w:del>
      <w:del w:id="9866" w:author="AbbVie14" w:date="2025-05-09T10:34:00Z">
        <w:r w:rsidRPr="00295E71">
          <w:rPr>
            <w:color w:val="000000"/>
            <w:sz w:val="22"/>
            <w:szCs w:val="22"/>
          </w:rPr>
          <w:delText xml:space="preserve">alla settimana 33 dopo aver ottenuto una risposta PASI 75 rispetto al 5% di pazienti che ha proseguito la terapia con Humira, p&lt;0,001, si è verificata una “perdita di risposta adeguata” (definita da un punteggio PASI che dopo la settimana 33 e prima </w:delText>
        </w:r>
      </w:del>
      <w:del w:id="9867" w:author="AbbVie14" w:date="2025-05-09T10:34:00Z">
        <w:r w:rsidR="00A02331">
          <w:rPr>
            <w:color w:val="000000"/>
            <w:sz w:val="22"/>
            <w:szCs w:val="22"/>
          </w:rPr>
          <w:delText>o alle</w:delText>
        </w:r>
      </w:del>
      <w:del w:id="9868" w:author="AbbVie14" w:date="2025-05-09T10:34:00Z">
        <w:r w:rsidRPr="00295E71">
          <w:rPr>
            <w:color w:val="000000"/>
            <w:sz w:val="22"/>
            <w:szCs w:val="22"/>
          </w:rPr>
          <w:delText xml:space="preserve"> scadenza della settimana 52 sia risultato &lt;PASI 50 rispetto al valore basale con un aumento minimo di 6 punti del punteggio PASI relativo alla settimana 33). Tra i pazienti in cui si è verificata la “perdita di risposta adeguata” dopo la ri-randomizzazione per ricevere placebo, e che sono stati successivamente </w:delText>
        </w:r>
      </w:del>
      <w:del w:id="9869" w:author="AbbVie14" w:date="2025-05-09T10:34:00Z">
        <w:r w:rsidRPr="00020442" w:rsidR="00A02331">
          <w:rPr>
            <w:color w:val="000000"/>
            <w:sz w:val="22"/>
            <w:szCs w:val="22"/>
          </w:rPr>
          <w:delText>arruolati nello</w:delText>
        </w:r>
      </w:del>
      <w:del w:id="9870" w:author="AbbVie14" w:date="2025-05-09T10:34:00Z">
        <w:r w:rsidRPr="00295E71">
          <w:rPr>
            <w:color w:val="000000"/>
            <w:sz w:val="22"/>
            <w:szCs w:val="22"/>
          </w:rPr>
          <w:delText xml:space="preserve"> studio d’estensione in aperto, il 38% (25/66) ed il 55% (36/66) sono riusciti ad ottenere una risposta PASI 75 rispettivamente dopo 12 e 24 settimane di ri-trattamento.</w:delText>
        </w:r>
      </w:del>
    </w:p>
    <w:p w:rsidR="006224C2" w:rsidRPr="00295E71" w14:paraId="2DE6994F" w14:textId="77777777">
      <w:pPr>
        <w:keepNext/>
        <w:tabs>
          <w:tab w:val="left" w:pos="567"/>
          <w:tab w:val="left" w:pos="1294"/>
        </w:tabs>
        <w:autoSpaceDE w:val="0"/>
        <w:autoSpaceDN w:val="0"/>
        <w:adjustRightInd w:val="0"/>
        <w:jc w:val="both"/>
        <w:pPrChange w:id="9871" w:author="AbbVie14" w:date="2025-05-09T10:34:00Z">
          <w:pPr>
            <w:tabs>
              <w:tab w:val="left" w:pos="567"/>
              <w:tab w:val="left" w:pos="1294"/>
            </w:tabs>
            <w:autoSpaceDE w:val="0"/>
            <w:autoSpaceDN w:val="0"/>
            <w:adjustRightInd w:val="0"/>
            <w:jc w:val="both"/>
          </w:pPr>
        </w:pPrChange>
        <w:rPr>
          <w:del w:id="9872" w:author="AbbVie14" w:date="2025-05-09T10:34:00Z"/>
          <w:color w:val="000000"/>
          <w:sz w:val="22"/>
          <w:szCs w:val="22"/>
        </w:rPr>
      </w:pPr>
    </w:p>
    <w:p w:rsidR="006224C2" w:rsidRPr="00295E71" w14:paraId="02942BFE" w14:textId="77777777">
      <w:pPr>
        <w:keepNext/>
        <w:tabs>
          <w:tab w:val="left" w:pos="567"/>
          <w:tab w:val="left" w:pos="1294"/>
        </w:tabs>
        <w:autoSpaceDE w:val="0"/>
        <w:autoSpaceDN w:val="0"/>
        <w:adjustRightInd w:val="0"/>
        <w:jc w:val="both"/>
        <w:pPrChange w:id="9873" w:author="AbbVie14" w:date="2025-05-09T10:34:00Z">
          <w:pPr>
            <w:tabs>
              <w:tab w:val="left" w:pos="567"/>
              <w:tab w:val="left" w:pos="1294"/>
            </w:tabs>
            <w:autoSpaceDE w:val="0"/>
            <w:autoSpaceDN w:val="0"/>
            <w:adjustRightInd w:val="0"/>
            <w:jc w:val="both"/>
          </w:pPr>
        </w:pPrChange>
        <w:rPr>
          <w:del w:id="9874" w:author="AbbVie14" w:date="2025-05-09T10:34:00Z"/>
          <w:color w:val="000000"/>
          <w:sz w:val="22"/>
          <w:szCs w:val="22"/>
        </w:rPr>
      </w:pPr>
      <w:del w:id="9875" w:author="AbbVie14" w:date="2025-05-09T10:34:00Z">
        <w:r w:rsidRPr="00295E71">
          <w:rPr>
            <w:color w:val="000000"/>
            <w:sz w:val="22"/>
            <w:szCs w:val="22"/>
          </w:rPr>
          <w:delText xml:space="preserve">Durante lo studio I sulla psoriasi, un totale di 233 pazienti tra coloro i quali avevano ottenuto una risposta PASI 75 alla sedicesima settimana e alla trentatreesima settimana e che avevano continuato la terapia con Humira fino alla cinquantaduesima settimana hanno continuato la somministrazione di Humira nello studio di estensione in aperto. In questi pazienti, le percentuali di risposta PASI 75 e PGA corrispondente a remissione totale della malattia o a persistenza di malattia minima sono state rispettivamente 74,7% e 59,0%, dopo un ulteriore periodo di 108 settimane di terapia somministrata in aperto (per un totale di terapia continuativa di 160 settimane). </w:delText>
        </w:r>
      </w:del>
    </w:p>
    <w:p w:rsidR="006224C2" w:rsidRPr="00295E71" w14:paraId="09685CE9" w14:textId="77777777">
      <w:pPr>
        <w:keepNext/>
        <w:tabs>
          <w:tab w:val="left" w:pos="567"/>
          <w:tab w:val="left" w:pos="1294"/>
        </w:tabs>
        <w:autoSpaceDE w:val="0"/>
        <w:autoSpaceDN w:val="0"/>
        <w:adjustRightInd w:val="0"/>
        <w:jc w:val="both"/>
        <w:pPrChange w:id="9876" w:author="AbbVie14" w:date="2025-05-09T10:34:00Z">
          <w:pPr>
            <w:tabs>
              <w:tab w:val="left" w:pos="567"/>
              <w:tab w:val="left" w:pos="1294"/>
            </w:tabs>
            <w:autoSpaceDE w:val="0"/>
            <w:autoSpaceDN w:val="0"/>
            <w:adjustRightInd w:val="0"/>
            <w:jc w:val="both"/>
          </w:pPr>
        </w:pPrChange>
        <w:rPr>
          <w:del w:id="9877" w:author="AbbVie14" w:date="2025-05-09T10:34:00Z"/>
          <w:color w:val="000000"/>
          <w:sz w:val="22"/>
          <w:szCs w:val="22"/>
        </w:rPr>
      </w:pPr>
      <w:del w:id="9878" w:author="AbbVie14" w:date="2025-05-09T10:34:00Z">
        <w:r w:rsidRPr="00295E71">
          <w:rPr>
            <w:color w:val="000000"/>
            <w:sz w:val="22"/>
            <w:szCs w:val="22"/>
          </w:rPr>
          <w:delText>In un’analisi effettuata su tutti i pazienti che avevano interrotto lo studio per eventi avversi o per mancanza di efficacia, o che avevano aumentato la posologia e che per tali motivi erano stati considerati come non rispondenti alla terapia, analogamente le percentuali di risposta PASI 75 e PGA corrispondente a remissione totale della malattia o a persistenza di malattia minima, sono state rispettivamente del 69,6% e del 55,7%, dopo un ulteriore periodo di 108 settimane di terapia somministrata in aperto (per un totale di terapia continuativa di 160 settimane).</w:delText>
        </w:r>
      </w:del>
    </w:p>
    <w:p w:rsidR="006224C2" w:rsidRPr="00295E71" w14:paraId="03C0FB84" w14:textId="77777777">
      <w:pPr>
        <w:keepNext/>
        <w:tabs>
          <w:tab w:val="left" w:pos="567"/>
          <w:tab w:val="left" w:pos="1294"/>
        </w:tabs>
        <w:autoSpaceDE w:val="0"/>
        <w:autoSpaceDN w:val="0"/>
        <w:adjustRightInd w:val="0"/>
        <w:jc w:val="both"/>
        <w:pPrChange w:id="9879" w:author="AbbVie14" w:date="2025-05-09T10:34:00Z">
          <w:pPr>
            <w:tabs>
              <w:tab w:val="left" w:pos="567"/>
              <w:tab w:val="left" w:pos="1294"/>
            </w:tabs>
            <w:autoSpaceDE w:val="0"/>
            <w:autoSpaceDN w:val="0"/>
            <w:adjustRightInd w:val="0"/>
            <w:jc w:val="both"/>
          </w:pPr>
        </w:pPrChange>
        <w:rPr>
          <w:del w:id="9880" w:author="AbbVie14" w:date="2025-05-09T10:34:00Z"/>
          <w:color w:val="000000"/>
          <w:sz w:val="22"/>
          <w:szCs w:val="22"/>
        </w:rPr>
      </w:pPr>
    </w:p>
    <w:p w:rsidR="006224C2" w:rsidRPr="00295E71" w14:paraId="1D7DA926" w14:textId="77777777">
      <w:pPr>
        <w:keepNext/>
        <w:tabs>
          <w:tab w:val="left" w:pos="567"/>
          <w:tab w:val="left" w:pos="1294"/>
        </w:tabs>
        <w:autoSpaceDE w:val="0"/>
        <w:autoSpaceDN w:val="0"/>
        <w:adjustRightInd w:val="0"/>
        <w:jc w:val="both"/>
        <w:pPrChange w:id="9881" w:author="AbbVie14" w:date="2025-05-09T10:34:00Z">
          <w:pPr>
            <w:tabs>
              <w:tab w:val="left" w:pos="567"/>
              <w:tab w:val="left" w:pos="1294"/>
            </w:tabs>
            <w:autoSpaceDE w:val="0"/>
            <w:autoSpaceDN w:val="0"/>
            <w:adjustRightInd w:val="0"/>
            <w:jc w:val="both"/>
          </w:pPr>
        </w:pPrChange>
        <w:rPr>
          <w:del w:id="9882" w:author="AbbVie14" w:date="2025-05-09T10:34:00Z"/>
          <w:color w:val="000000"/>
          <w:sz w:val="22"/>
          <w:szCs w:val="22"/>
        </w:rPr>
      </w:pPr>
      <w:del w:id="9883" w:author="AbbVie14" w:date="2025-05-09T10:34:00Z">
        <w:r w:rsidRPr="00295E71">
          <w:rPr>
            <w:color w:val="000000"/>
            <w:sz w:val="22"/>
            <w:szCs w:val="22"/>
          </w:rPr>
          <w:delText>Un totale di 347 pazienti, caratterizzati da una risposta stabile alla terapia, ha preso parte ad uno studio di estensione in aperto per la valutazione degli effetti della sospensione e della ripresa del trattamento. Durante il periodo di sospensione della terapia, i sintomi della psoriasi si sono ripresentati in maniera progressiva con un tempo medi</w:delText>
        </w:r>
      </w:del>
      <w:del w:id="9884" w:author="AbbVie14" w:date="2025-05-09T10:34:00Z">
        <w:r w:rsidR="00A02331">
          <w:rPr>
            <w:color w:val="000000"/>
            <w:sz w:val="22"/>
            <w:szCs w:val="22"/>
          </w:rPr>
          <w:delText>an</w:delText>
        </w:r>
      </w:del>
      <w:del w:id="9885" w:author="AbbVie14" w:date="2025-05-09T10:34:00Z">
        <w:r w:rsidRPr="00295E71">
          <w:rPr>
            <w:color w:val="000000"/>
            <w:sz w:val="22"/>
            <w:szCs w:val="22"/>
          </w:rPr>
          <w:delText xml:space="preserve">o </w:delText>
        </w:r>
      </w:del>
      <w:del w:id="9886" w:author="AbbVie14" w:date="2025-05-09T10:34:00Z">
        <w:r w:rsidR="00A02331">
          <w:rPr>
            <w:color w:val="000000"/>
            <w:sz w:val="22"/>
            <w:szCs w:val="22"/>
          </w:rPr>
          <w:delText>alla</w:delText>
        </w:r>
      </w:del>
      <w:del w:id="9887" w:author="AbbVie14" w:date="2025-05-09T10:34:00Z">
        <w:r w:rsidRPr="00295E71">
          <w:rPr>
            <w:color w:val="000000"/>
            <w:sz w:val="22"/>
            <w:szCs w:val="22"/>
          </w:rPr>
          <w:delText xml:space="preserve"> recidiva (progredendo fino ad uno stadio PGA “moderato” o peggiore) di circa 5 mesi. Nessuno di questi pazienti ha manifestato fenomeni di rebound durante il periodo di sospensione del trattamento. Complessivamente, il 76,5% dei pazienti (218/285) che erano entrati nella fase di ri-trattamento aveva ottenuto una risposta PGA corrispondente a </w:delText>
        </w:r>
      </w:del>
      <w:del w:id="9888" w:author="AbbVie14" w:date="2025-05-09T10:34:00Z">
        <w:r w:rsidR="00A02331">
          <w:rPr>
            <w:color w:val="000000"/>
            <w:sz w:val="22"/>
            <w:szCs w:val="22"/>
          </w:rPr>
          <w:delText>“</w:delText>
        </w:r>
      </w:del>
      <w:del w:id="9889" w:author="AbbVie14" w:date="2025-05-09T10:34:00Z">
        <w:r w:rsidRPr="00295E71">
          <w:rPr>
            <w:color w:val="000000"/>
            <w:sz w:val="22"/>
            <w:szCs w:val="22"/>
          </w:rPr>
          <w:delText>remissione totale della malattia</w:delText>
        </w:r>
      </w:del>
      <w:del w:id="9890" w:author="AbbVie14" w:date="2025-05-09T10:34:00Z">
        <w:r w:rsidR="00A02331">
          <w:rPr>
            <w:color w:val="000000"/>
            <w:sz w:val="22"/>
            <w:szCs w:val="22"/>
          </w:rPr>
          <w:delText>”</w:delText>
        </w:r>
      </w:del>
      <w:del w:id="9891" w:author="AbbVie14" w:date="2025-05-09T10:34:00Z">
        <w:r w:rsidRPr="00295E71">
          <w:rPr>
            <w:color w:val="000000"/>
            <w:sz w:val="22"/>
            <w:szCs w:val="22"/>
          </w:rPr>
          <w:delText xml:space="preserve"> o a </w:delText>
        </w:r>
      </w:del>
      <w:del w:id="9892" w:author="AbbVie14" w:date="2025-05-09T10:34:00Z">
        <w:r w:rsidR="00A02331">
          <w:rPr>
            <w:color w:val="000000"/>
            <w:sz w:val="22"/>
            <w:szCs w:val="22"/>
          </w:rPr>
          <w:delText>“</w:delText>
        </w:r>
      </w:del>
      <w:del w:id="9893" w:author="AbbVie14" w:date="2025-05-09T10:34:00Z">
        <w:r w:rsidRPr="00295E71">
          <w:rPr>
            <w:color w:val="000000"/>
            <w:sz w:val="22"/>
            <w:szCs w:val="22"/>
          </w:rPr>
          <w:delText>malattia minima</w:delText>
        </w:r>
      </w:del>
      <w:del w:id="9894" w:author="AbbVie14" w:date="2025-05-09T10:34:00Z">
        <w:r w:rsidR="00A02331">
          <w:rPr>
            <w:color w:val="000000"/>
            <w:sz w:val="22"/>
            <w:szCs w:val="22"/>
          </w:rPr>
          <w:delText>”</w:delText>
        </w:r>
      </w:del>
      <w:del w:id="9895" w:author="AbbVie14" w:date="2025-05-09T10:34:00Z">
        <w:r w:rsidRPr="00295E71">
          <w:rPr>
            <w:color w:val="000000"/>
            <w:sz w:val="22"/>
            <w:szCs w:val="22"/>
          </w:rPr>
          <w:delText xml:space="preserve"> dopo sedici settimane di terapia, indipendentemente dal fatto di aver avuto o meno riacutizzazione della malattia durante il periodo di sospensione d</w:delText>
        </w:r>
      </w:del>
      <w:del w:id="9896" w:author="AbbVie14" w:date="2025-05-09T10:34:00Z">
        <w:r w:rsidR="00A02331">
          <w:rPr>
            <w:color w:val="000000"/>
            <w:sz w:val="22"/>
            <w:szCs w:val="22"/>
          </w:rPr>
          <w:delText>e</w:delText>
        </w:r>
      </w:del>
      <w:del w:id="9897" w:author="AbbVie14" w:date="2025-05-09T10:34:00Z">
        <w:r w:rsidRPr="00295E71">
          <w:rPr>
            <w:color w:val="000000"/>
            <w:sz w:val="22"/>
            <w:szCs w:val="22"/>
          </w:rPr>
          <w:delText xml:space="preserve">l farmaco (rispettivamente il </w:delText>
        </w:r>
      </w:del>
      <w:del w:id="9898" w:author="AbbVie14" w:date="2025-05-09T10:34:00Z">
        <w:r w:rsidRPr="00295E71">
          <w:rPr>
            <w:sz w:val="22"/>
            <w:szCs w:val="22"/>
          </w:rPr>
          <w:delText>69,1%[123/178] e 88,8%[95/107]</w:delText>
        </w:r>
      </w:del>
      <w:del w:id="9899" w:author="AbbVie14" w:date="2025-05-09T10:34:00Z">
        <w:r w:rsidRPr="00295E71">
          <w:rPr>
            <w:rFonts w:eastAsia="MS Mincho"/>
            <w:color w:val="000000"/>
            <w:sz w:val="22"/>
            <w:szCs w:val="22"/>
            <w:lang w:eastAsia="ja-JP"/>
          </w:rPr>
          <w:delText>dei pazienti che avevano avuto o meno una riacutizzazione della malattia durante il periodo di sospensione)</w:delText>
        </w:r>
      </w:del>
      <w:del w:id="9900" w:author="AbbVie14" w:date="2025-05-09T10:34:00Z">
        <w:r w:rsidRPr="00295E71">
          <w:rPr>
            <w:color w:val="000000"/>
            <w:sz w:val="22"/>
            <w:szCs w:val="22"/>
          </w:rPr>
          <w:delText>.</w:delText>
        </w:r>
      </w:del>
      <w:del w:id="9901" w:author="AbbVie14" w:date="2025-05-09T10:34:00Z">
        <w:r w:rsidRPr="00295E71">
          <w:rPr>
            <w:sz w:val="22"/>
            <w:szCs w:val="22"/>
          </w:rPr>
          <w:delText xml:space="preserve"> Durante la ripresa del trattamento è stato osservato u</w:delText>
        </w:r>
      </w:del>
      <w:del w:id="9902" w:author="AbbVie14" w:date="2025-05-09T10:34:00Z">
        <w:r w:rsidRPr="00295E71">
          <w:rPr>
            <w:color w:val="000000"/>
            <w:sz w:val="22"/>
            <w:szCs w:val="22"/>
          </w:rPr>
          <w:delText>n profilo di sicurezza del tutto simile a quello osservato durante il periodo precedente alla sospensione della terapia.</w:delText>
        </w:r>
      </w:del>
    </w:p>
    <w:p w:rsidR="006224C2" w:rsidRPr="00295E71" w14:paraId="78CED5D8" w14:textId="77777777">
      <w:pPr>
        <w:keepNext/>
        <w:tabs>
          <w:tab w:val="left" w:pos="567"/>
          <w:tab w:val="left" w:pos="1294"/>
        </w:tabs>
        <w:autoSpaceDE w:val="0"/>
        <w:autoSpaceDN w:val="0"/>
        <w:adjustRightInd w:val="0"/>
        <w:jc w:val="both"/>
        <w:pPrChange w:id="9903" w:author="AbbVie14" w:date="2025-05-09T10:34:00Z">
          <w:pPr>
            <w:tabs>
              <w:tab w:val="left" w:pos="567"/>
              <w:tab w:val="left" w:pos="1294"/>
            </w:tabs>
            <w:autoSpaceDE w:val="0"/>
            <w:autoSpaceDN w:val="0"/>
            <w:adjustRightInd w:val="0"/>
            <w:jc w:val="both"/>
          </w:pPr>
        </w:pPrChange>
        <w:rPr>
          <w:del w:id="9904" w:author="AbbVie14" w:date="2025-05-09T10:34:00Z"/>
          <w:color w:val="000000"/>
          <w:sz w:val="22"/>
          <w:szCs w:val="22"/>
        </w:rPr>
      </w:pPr>
    </w:p>
    <w:p w:rsidR="006224C2" w:rsidRPr="00295E71" w14:paraId="31EEBDE0" w14:textId="77777777">
      <w:pPr>
        <w:keepNext/>
        <w:tabs>
          <w:tab w:val="left" w:pos="567"/>
          <w:tab w:val="left" w:pos="1294"/>
        </w:tabs>
        <w:autoSpaceDE w:val="0"/>
        <w:autoSpaceDN w:val="0"/>
        <w:adjustRightInd w:val="0"/>
        <w:jc w:val="both"/>
        <w:pPrChange w:id="9905" w:author="AbbVie14" w:date="2025-05-09T10:34:00Z">
          <w:pPr/>
        </w:pPrChange>
        <w:rPr>
          <w:del w:id="9906" w:author="AbbVie14" w:date="2025-05-09T10:34:00Z"/>
          <w:color w:val="000000"/>
          <w:sz w:val="22"/>
          <w:szCs w:val="22"/>
        </w:rPr>
      </w:pPr>
      <w:del w:id="9907" w:author="AbbVie14" w:date="2025-05-09T10:34:00Z">
        <w:r w:rsidRPr="00295E71">
          <w:rPr>
            <w:color w:val="000000"/>
            <w:sz w:val="22"/>
            <w:szCs w:val="22"/>
          </w:rPr>
          <w:delText>Miglioramenti significativi del DLQI (Dermatology Life Quality Index) sono stati dimostrati alla settimana 16 a partire dal valore basale rispetto al placebo (studi I e II) ed al metotressato (studio II). Nel corso dello studio I, anche i miglioramenti relativi ai punteggi complessivi delle componenti fisiche e mentali del SF-36 sono risultati significativi rispetto al placebo.</w:delText>
        </w:r>
      </w:del>
    </w:p>
    <w:p w:rsidR="006224C2" w:rsidRPr="00295E71" w14:paraId="2EF6FE56" w14:textId="77777777">
      <w:pPr>
        <w:keepNext/>
        <w:tabs>
          <w:tab w:val="left" w:pos="567"/>
          <w:tab w:val="left" w:pos="1294"/>
        </w:tabs>
        <w:autoSpaceDE w:val="0"/>
        <w:autoSpaceDN w:val="0"/>
        <w:adjustRightInd w:val="0"/>
        <w:jc w:val="both"/>
        <w:pPrChange w:id="9908" w:author="AbbVie14" w:date="2025-05-09T10:34:00Z">
          <w:pPr>
            <w:tabs>
              <w:tab w:val="left" w:pos="567"/>
              <w:tab w:val="left" w:pos="1294"/>
            </w:tabs>
            <w:autoSpaceDE w:val="0"/>
            <w:autoSpaceDN w:val="0"/>
            <w:adjustRightInd w:val="0"/>
            <w:jc w:val="both"/>
          </w:pPr>
        </w:pPrChange>
        <w:rPr>
          <w:del w:id="9909" w:author="AbbVie14" w:date="2025-05-09T10:34:00Z"/>
          <w:color w:val="000000"/>
          <w:sz w:val="22"/>
          <w:szCs w:val="22"/>
        </w:rPr>
      </w:pPr>
    </w:p>
    <w:p w:rsidR="006224C2" w:rsidRPr="00295E71" w14:paraId="5487F96A" w14:textId="77777777">
      <w:pPr>
        <w:keepNext/>
        <w:tabs>
          <w:tab w:val="left" w:pos="567"/>
          <w:tab w:val="left" w:pos="1294"/>
        </w:tabs>
        <w:autoSpaceDE w:val="0"/>
        <w:autoSpaceDN w:val="0"/>
        <w:adjustRightInd w:val="0"/>
        <w:jc w:val="both"/>
        <w:pPrChange w:id="9910" w:author="AbbVie14" w:date="2025-05-09T10:34:00Z">
          <w:pPr>
            <w:tabs>
              <w:tab w:val="left" w:pos="567"/>
              <w:tab w:val="left" w:pos="1294"/>
            </w:tabs>
            <w:autoSpaceDE w:val="0"/>
            <w:autoSpaceDN w:val="0"/>
            <w:adjustRightInd w:val="0"/>
            <w:jc w:val="both"/>
          </w:pPr>
        </w:pPrChange>
        <w:rPr>
          <w:del w:id="9911" w:author="AbbVie14" w:date="2025-05-09T10:34:00Z"/>
          <w:color w:val="000000"/>
          <w:sz w:val="22"/>
          <w:szCs w:val="22"/>
        </w:rPr>
      </w:pPr>
      <w:del w:id="9912" w:author="AbbVie14" w:date="2025-05-09T10:34:00Z">
        <w:r w:rsidRPr="00295E71">
          <w:rPr>
            <w:color w:val="000000"/>
            <w:sz w:val="22"/>
            <w:szCs w:val="22"/>
          </w:rPr>
          <w:delText>In uno studio d’estensione in aperto, tra i pazienti che a causa di risposta PASI inferiore al 50% avevano ricevuto incrementi della dose da 40 mg a settimane alterne alla dose di 40 mg ogni settimana, il 26,4% (92/349) e il 37,8% (132/349) ha ottenuto una risposta PASI 75 alla settimana 12 e 24, rispettivamente.</w:delText>
        </w:r>
      </w:del>
    </w:p>
    <w:p w:rsidR="006224C2" w:rsidRPr="00295E71" w14:paraId="7F783EFB" w14:textId="77777777">
      <w:pPr>
        <w:keepNext/>
        <w:tabs>
          <w:tab w:val="left" w:pos="567"/>
          <w:tab w:val="left" w:pos="1294"/>
        </w:tabs>
        <w:autoSpaceDE w:val="0"/>
        <w:autoSpaceDN w:val="0"/>
        <w:adjustRightInd w:val="0"/>
        <w:jc w:val="both"/>
        <w:pPrChange w:id="9913" w:author="AbbVie14" w:date="2025-05-09T10:34:00Z">
          <w:pPr>
            <w:tabs>
              <w:tab w:val="left" w:pos="567"/>
              <w:tab w:val="left" w:pos="1294"/>
            </w:tabs>
            <w:autoSpaceDE w:val="0"/>
            <w:autoSpaceDN w:val="0"/>
            <w:adjustRightInd w:val="0"/>
            <w:jc w:val="both"/>
          </w:pPr>
        </w:pPrChange>
        <w:rPr>
          <w:del w:id="9914" w:author="AbbVie14" w:date="2025-05-09T10:34:00Z"/>
          <w:color w:val="000000"/>
          <w:sz w:val="22"/>
          <w:szCs w:val="22"/>
        </w:rPr>
      </w:pPr>
    </w:p>
    <w:p w:rsidR="006224C2" w:rsidRPr="00295E71" w14:paraId="43151D77" w14:textId="77777777">
      <w:pPr>
        <w:keepNext/>
        <w:tabs>
          <w:tab w:val="left" w:pos="567"/>
          <w:tab w:val="left" w:pos="1294"/>
        </w:tabs>
        <w:autoSpaceDE w:val="0"/>
        <w:autoSpaceDN w:val="0"/>
        <w:adjustRightInd w:val="0"/>
        <w:jc w:val="both"/>
        <w:pPrChange w:id="9915" w:author="AbbVie14" w:date="2025-05-09T10:34:00Z">
          <w:pPr>
            <w:tabs>
              <w:tab w:val="left" w:pos="567"/>
              <w:tab w:val="left" w:pos="1294"/>
            </w:tabs>
            <w:autoSpaceDE w:val="0"/>
            <w:autoSpaceDN w:val="0"/>
            <w:adjustRightInd w:val="0"/>
            <w:jc w:val="both"/>
          </w:pPr>
        </w:pPrChange>
        <w:rPr>
          <w:del w:id="9916" w:author="AbbVie14" w:date="2025-05-09T10:34:00Z"/>
          <w:color w:val="000000"/>
          <w:sz w:val="22"/>
          <w:szCs w:val="22"/>
        </w:rPr>
      </w:pPr>
      <w:del w:id="9917" w:author="AbbVie14" w:date="2025-05-09T10:34:00Z">
        <w:r w:rsidRPr="00295E71">
          <w:rPr>
            <w:color w:val="000000"/>
            <w:sz w:val="22"/>
            <w:szCs w:val="22"/>
          </w:rPr>
          <w:delText>Lo studio di fase III sulla psoriasi (REACH) ha paragonato l’efficacia e la sicurezza di Humira rispetto al placebo in 72 pazienti affetti da psoriasi cronica a placche da moderata a severa e psoriasi localizzata alla mano e/o al piede. I pazienti hanno ricevuto una dose iniziale di 80 mg di Humira seguita dalla dose di 40 mg somministrata a settimane alterne (a iniziare dalla settimana successiva all’assunzione della dose iniziale) o placebo per 16 settimane. Alla settimana 16, una percentuale maggiore</w:delText>
        </w:r>
      </w:del>
      <w:del w:id="9918" w:author="AbbVie14" w:date="2025-05-09T10:34:00Z">
        <w:r w:rsidR="00A02331">
          <w:rPr>
            <w:color w:val="000000"/>
            <w:sz w:val="22"/>
            <w:szCs w:val="22"/>
          </w:rPr>
          <w:delText xml:space="preserve"> </w:delText>
        </w:r>
      </w:del>
      <w:del w:id="9919" w:author="AbbVie14" w:date="2025-05-09T10:34:00Z">
        <w:r w:rsidRPr="00020442" w:rsidR="00A02331">
          <w:rPr>
            <w:color w:val="000000"/>
            <w:sz w:val="22"/>
            <w:szCs w:val="22"/>
          </w:rPr>
          <w:delText>in misura statisticamente significativa</w:delText>
        </w:r>
      </w:del>
      <w:del w:id="9920" w:author="AbbVie14" w:date="2025-05-09T10:34:00Z">
        <w:r w:rsidRPr="00295E71">
          <w:rPr>
            <w:color w:val="000000"/>
            <w:sz w:val="22"/>
            <w:szCs w:val="22"/>
          </w:rPr>
          <w:delText xml:space="preserve"> di pazienti che aveva ricevuto Humira, ha</w:delText>
        </w:r>
      </w:del>
      <w:del w:id="9921" w:author="AbbVie14" w:date="2025-05-09T10:34:00Z">
        <w:r w:rsidR="00A02331">
          <w:rPr>
            <w:color w:val="000000"/>
            <w:sz w:val="22"/>
            <w:szCs w:val="22"/>
          </w:rPr>
          <w:delText xml:space="preserve"> </w:delText>
        </w:r>
      </w:del>
      <w:del w:id="9922" w:author="AbbVie14" w:date="2025-05-09T10:34:00Z">
        <w:r w:rsidRPr="00295E71">
          <w:rPr>
            <w:color w:val="000000"/>
            <w:sz w:val="22"/>
            <w:szCs w:val="22"/>
          </w:rPr>
          <w:delText>ottenuto una risposta PGA corrispondente a remissione totale o pressochè totale della malattia alle mani e/o ai piedi rispetto ai pazienti che avevano ricevuto il placebo (rispettivamente 30,6% vs 4,3%, [P = 0,014]).</w:delText>
        </w:r>
      </w:del>
    </w:p>
    <w:p w:rsidR="006224C2" w:rsidRPr="00295E71" w14:paraId="1C1848DB" w14:textId="77777777">
      <w:pPr>
        <w:keepNext/>
        <w:tabs>
          <w:tab w:val="left" w:pos="567"/>
          <w:tab w:val="left" w:pos="1294"/>
        </w:tabs>
        <w:autoSpaceDE w:val="0"/>
        <w:autoSpaceDN w:val="0"/>
        <w:adjustRightInd w:val="0"/>
        <w:jc w:val="both"/>
        <w:pPrChange w:id="9923" w:author="AbbVie14" w:date="2025-05-09T10:34:00Z">
          <w:pPr>
            <w:tabs>
              <w:tab w:val="left" w:pos="567"/>
              <w:tab w:val="left" w:pos="1294"/>
            </w:tabs>
            <w:autoSpaceDE w:val="0"/>
            <w:autoSpaceDN w:val="0"/>
            <w:adjustRightInd w:val="0"/>
            <w:jc w:val="both"/>
          </w:pPr>
        </w:pPrChange>
        <w:rPr>
          <w:del w:id="9924" w:author="AbbVie14" w:date="2025-05-09T10:34:00Z"/>
          <w:color w:val="000000"/>
          <w:sz w:val="22"/>
          <w:szCs w:val="22"/>
        </w:rPr>
      </w:pPr>
    </w:p>
    <w:p w:rsidR="006224C2" w:rsidRPr="00295E71" w14:paraId="6AAFBF3D" w14:textId="77777777">
      <w:pPr>
        <w:keepNext/>
        <w:tabs>
          <w:tab w:val="left" w:pos="567"/>
          <w:tab w:val="left" w:pos="1294"/>
        </w:tabs>
        <w:autoSpaceDE w:val="0"/>
        <w:autoSpaceDN w:val="0"/>
        <w:adjustRightInd w:val="0"/>
        <w:jc w:val="both"/>
        <w:pPrChange w:id="9925" w:author="AbbVie14" w:date="2025-05-09T10:34:00Z">
          <w:pPr>
            <w:pStyle w:val="gtcbodytext"/>
            <w:spacing w:before="0" w:after="0" w:line="240" w:lineRule="auto"/>
            <w:jc w:val="both"/>
          </w:pPr>
        </w:pPrChange>
        <w:rPr>
          <w:del w:id="9926" w:author="AbbVie14" w:date="2025-05-09T10:34:00Z"/>
          <w:sz w:val="22"/>
          <w:szCs w:val="22"/>
        </w:rPr>
      </w:pPr>
      <w:del w:id="9927" w:author="AbbVie14" w:date="2025-05-09T10:34:00Z">
        <w:r w:rsidRPr="00295E71">
          <w:rPr>
            <w:sz w:val="22"/>
            <w:szCs w:val="22"/>
          </w:rPr>
          <w:delText>Lo studio IV sulla psoriasi ha paragonato l’efficacia e la sicurezza di Humira rispetto al placebo in 217 pazienti adulti affetti da psoriasi ungueale da moderata a severa. I pazienti hanno ricevuto una dose iniziale di 80 mg di Humira seguita da 40 mg a settimane alterne (a partire da una settimana dopo la dose iniziale) o di placebo per 26 settimane seguita da un trattamento in aperto con Humira per altre 26 settimane.</w:delText>
        </w:r>
      </w:del>
      <w:del w:id="9928" w:author="AbbVie14" w:date="2025-05-09T10:34:00Z">
        <w:r w:rsidR="00A02331">
          <w:rPr>
            <w:sz w:val="22"/>
            <w:szCs w:val="22"/>
          </w:rPr>
          <w:delText xml:space="preserve"> </w:delText>
        </w:r>
      </w:del>
      <w:del w:id="9929" w:author="AbbVie14" w:date="2025-05-09T10:34:00Z">
        <w:r w:rsidRPr="00295E71">
          <w:rPr>
            <w:sz w:val="22"/>
            <w:szCs w:val="22"/>
          </w:rPr>
          <w:delText>Le valutazioni della psoriasi ungueale comprendevano il Modified Nail Psoriasis Severity Index (mNAPSI), il Physician’s Global Assessment of Fingernail Psoriasis (PGA-F) e il Nail Psoriasis Severity Index (NAPSI) (vedere Tabella 1</w:delText>
        </w:r>
      </w:del>
      <w:del w:id="9930" w:author="AbbVie14" w:date="2025-05-09T10:34:00Z">
        <w:r w:rsidR="00882D98">
          <w:rPr>
            <w:sz w:val="22"/>
            <w:szCs w:val="22"/>
          </w:rPr>
          <w:delText>8</w:delText>
        </w:r>
      </w:del>
      <w:del w:id="9931" w:author="AbbVie14" w:date="2025-05-09T10:34:00Z">
        <w:r w:rsidRPr="00295E71">
          <w:rPr>
            <w:sz w:val="22"/>
            <w:szCs w:val="22"/>
          </w:rPr>
          <w:delText>). Il trattamento con Humira ha dimostrato un beneficio terapeutico nei pazienti affetti da psoriasi ungueale con coinvolgimento cutaneo di grado variabile (BSA≥10% (60% dei pazienti) e BSA&lt;10% e ≥5% (40% dei pazienti)).</w:delText>
        </w:r>
      </w:del>
    </w:p>
    <w:p w:rsidR="006224C2" w:rsidRPr="00295E71" w:rsidP="00AD7AF0" w14:paraId="73488483" w14:textId="77777777">
      <w:pPr>
        <w:keepNext/>
        <w:tabs>
          <w:tab w:val="left" w:pos="567"/>
          <w:tab w:val="left" w:pos="1294"/>
        </w:tabs>
        <w:autoSpaceDE w:val="0"/>
        <w:autoSpaceDN w:val="0"/>
        <w:adjustRightInd w:val="0"/>
        <w:jc w:val="both"/>
        <w:rPr>
          <w:del w:id="9932" w:author="AbbVie14" w:date="2025-05-09T10:34:00Z"/>
          <w:color w:val="000000"/>
          <w:sz w:val="22"/>
          <w:szCs w:val="22"/>
        </w:rPr>
      </w:pPr>
    </w:p>
    <w:p w:rsidR="006224C2" w:rsidRPr="00295E71" w14:paraId="4010915F" w14:textId="77777777">
      <w:pPr>
        <w:keepNext/>
        <w:tabs>
          <w:tab w:val="left" w:pos="567"/>
          <w:tab w:val="left" w:pos="1294"/>
        </w:tabs>
        <w:autoSpaceDE w:val="0"/>
        <w:autoSpaceDN w:val="0"/>
        <w:adjustRightInd w:val="0"/>
        <w:jc w:val="both"/>
        <w:pPrChange w:id="9933" w:author="AbbVie14" w:date="2025-05-09T10:34:00Z">
          <w:pPr>
            <w:pStyle w:val="gtctabletitleotherwise"/>
            <w:keepNext/>
            <w:spacing w:before="0"/>
          </w:pPr>
        </w:pPrChange>
        <w:rPr>
          <w:del w:id="9934" w:author="AbbVie14" w:date="2025-05-09T10:34:00Z"/>
          <w:sz w:val="22"/>
          <w:szCs w:val="22"/>
        </w:rPr>
      </w:pPr>
      <w:del w:id="9935" w:author="AbbVie14" w:date="2025-05-09T10:34:00Z">
        <w:r w:rsidRPr="00295E71">
          <w:rPr>
            <w:sz w:val="22"/>
            <w:szCs w:val="22"/>
          </w:rPr>
          <w:delText>Tabella 1</w:delText>
        </w:r>
      </w:del>
      <w:del w:id="9936" w:author="AbbVie14" w:date="2025-05-09T10:34:00Z">
        <w:r w:rsidR="005C4AD7">
          <w:rPr>
            <w:sz w:val="22"/>
            <w:szCs w:val="22"/>
          </w:rPr>
          <w:delText>8</w:delText>
        </w:r>
      </w:del>
    </w:p>
    <w:p w:rsidR="006224C2" w:rsidRPr="00295E71" w14:paraId="56A5C60C" w14:textId="77777777">
      <w:pPr>
        <w:keepNext/>
        <w:tabs>
          <w:tab w:val="left" w:pos="567"/>
          <w:tab w:val="left" w:pos="1294"/>
        </w:tabs>
        <w:autoSpaceDE w:val="0"/>
        <w:autoSpaceDN w:val="0"/>
        <w:adjustRightInd w:val="0"/>
        <w:jc w:val="both"/>
        <w:pPrChange w:id="9937" w:author="AbbVie14" w:date="2025-05-09T10:34:00Z">
          <w:pPr>
            <w:pStyle w:val="gtctabletitleotherwise"/>
            <w:keepNext/>
            <w:spacing w:before="0"/>
          </w:pPr>
        </w:pPrChange>
        <w:rPr>
          <w:del w:id="9938" w:author="AbbVie14" w:date="2025-05-09T10:34:00Z"/>
          <w:sz w:val="22"/>
          <w:szCs w:val="22"/>
        </w:rPr>
      </w:pPr>
      <w:del w:id="9939" w:author="AbbVie14" w:date="2025-05-09T10:34:00Z">
        <w:r w:rsidRPr="00295E71">
          <w:rPr>
            <w:sz w:val="22"/>
            <w:szCs w:val="22"/>
          </w:rPr>
          <w:delText>Risultati di efficacia dello Studio Ps IV alle settimane 16, 26 e 52</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0678E0C0" w14:textId="77777777">
        <w:tblPrEx>
          <w:tblW w:w="0" w:type="auto"/>
          <w:tblLayout w:type="fixed"/>
          <w:tblLook w:val="04A0"/>
        </w:tblPrEx>
        <w:trPr>
          <w:del w:id="9940" w:author="AbbVie14" w:date="2025-05-09T10:34:00Z"/>
        </w:trPr>
        <w:tc>
          <w:tcPr>
            <w:tcW w:w="2718" w:type="dxa"/>
            <w:vMerge w:val="restart"/>
          </w:tcPr>
          <w:p w:rsidR="006224C2" w:rsidRPr="00295E71" w14:paraId="30ABA0B6" w14:textId="77777777">
            <w:pPr>
              <w:keepNext/>
              <w:tabs>
                <w:tab w:val="left" w:pos="567"/>
                <w:tab w:val="left" w:pos="1294"/>
              </w:tabs>
              <w:autoSpaceDE w:val="0"/>
              <w:autoSpaceDN w:val="0"/>
              <w:adjustRightInd w:val="0"/>
              <w:jc w:val="both"/>
              <w:pPrChange w:id="9941" w:author="AbbVie14" w:date="2025-05-09T10:34:00Z">
                <w:pPr>
                  <w:pStyle w:val="gtctablespaceafter"/>
                  <w:keepNext/>
                  <w:spacing w:after="0"/>
                </w:pPr>
              </w:pPrChange>
              <w:rPr>
                <w:del w:id="9942" w:author="AbbVie14" w:date="2025-05-09T10:34:00Z"/>
                <w:sz w:val="22"/>
                <w:szCs w:val="22"/>
              </w:rPr>
            </w:pPr>
            <w:del w:id="9943" w:author="AbbVie14" w:date="2025-05-09T10:34:00Z">
              <w:r w:rsidRPr="00295E71">
                <w:rPr>
                  <w:sz w:val="22"/>
                  <w:szCs w:val="22"/>
                </w:rPr>
                <w:delText>Endpoint</w:delText>
              </w:r>
            </w:del>
          </w:p>
        </w:tc>
        <w:tc>
          <w:tcPr>
            <w:tcW w:w="2340" w:type="dxa"/>
            <w:gridSpan w:val="2"/>
          </w:tcPr>
          <w:p w:rsidR="006224C2" w:rsidRPr="00295E71" w14:paraId="4341449A" w14:textId="77777777">
            <w:pPr>
              <w:keepNext/>
              <w:tabs>
                <w:tab w:val="left" w:pos="567"/>
                <w:tab w:val="left" w:pos="1294"/>
              </w:tabs>
              <w:autoSpaceDE w:val="0"/>
              <w:autoSpaceDN w:val="0"/>
              <w:adjustRightInd w:val="0"/>
              <w:jc w:val="both"/>
              <w:pPrChange w:id="9944" w:author="AbbVie14" w:date="2025-05-09T10:34:00Z">
                <w:pPr>
                  <w:pStyle w:val="gtctablespaceafter"/>
                  <w:keepNext/>
                  <w:spacing w:after="0"/>
                  <w:jc w:val="center"/>
                </w:pPr>
              </w:pPrChange>
              <w:rPr>
                <w:del w:id="9945" w:author="AbbVie14" w:date="2025-05-09T10:34:00Z"/>
                <w:sz w:val="22"/>
                <w:szCs w:val="22"/>
              </w:rPr>
            </w:pPr>
            <w:del w:id="9946" w:author="AbbVie14" w:date="2025-05-09T10:34:00Z">
              <w:r w:rsidRPr="00295E71">
                <w:rPr>
                  <w:sz w:val="22"/>
                  <w:szCs w:val="22"/>
                </w:rPr>
                <w:delText>Settimana 16</w:delText>
              </w:r>
            </w:del>
          </w:p>
          <w:p w:rsidR="006224C2" w:rsidRPr="00295E71" w14:paraId="39F1A3A9" w14:textId="77777777">
            <w:pPr>
              <w:keepNext/>
              <w:tabs>
                <w:tab w:val="left" w:pos="567"/>
                <w:tab w:val="left" w:pos="1294"/>
              </w:tabs>
              <w:autoSpaceDE w:val="0"/>
              <w:autoSpaceDN w:val="0"/>
              <w:adjustRightInd w:val="0"/>
              <w:jc w:val="both"/>
              <w:pPrChange w:id="9947" w:author="AbbVie14" w:date="2025-05-09T10:34:00Z">
                <w:pPr>
                  <w:pStyle w:val="gtctablespaceafter"/>
                  <w:keepNext/>
                  <w:spacing w:after="0"/>
                  <w:jc w:val="center"/>
                </w:pPr>
              </w:pPrChange>
              <w:rPr>
                <w:del w:id="9948" w:author="AbbVie14" w:date="2025-05-09T10:34:00Z"/>
                <w:sz w:val="22"/>
                <w:szCs w:val="22"/>
              </w:rPr>
            </w:pPr>
            <w:del w:id="9949" w:author="AbbVie14" w:date="2025-05-09T10:34:00Z">
              <w:r w:rsidRPr="00295E71">
                <w:rPr>
                  <w:sz w:val="22"/>
                  <w:szCs w:val="22"/>
                </w:rPr>
                <w:delText>Controllato verso placebo</w:delText>
              </w:r>
            </w:del>
          </w:p>
        </w:tc>
        <w:tc>
          <w:tcPr>
            <w:tcW w:w="2250" w:type="dxa"/>
            <w:gridSpan w:val="2"/>
          </w:tcPr>
          <w:p w:rsidR="006224C2" w:rsidRPr="00295E71" w14:paraId="06204A76" w14:textId="77777777">
            <w:pPr>
              <w:keepNext/>
              <w:tabs>
                <w:tab w:val="left" w:pos="567"/>
                <w:tab w:val="left" w:pos="1294"/>
              </w:tabs>
              <w:autoSpaceDE w:val="0"/>
              <w:autoSpaceDN w:val="0"/>
              <w:adjustRightInd w:val="0"/>
              <w:jc w:val="both"/>
              <w:pPrChange w:id="9950" w:author="AbbVie14" w:date="2025-05-09T10:34:00Z">
                <w:pPr>
                  <w:pStyle w:val="gtctablespaceafter"/>
                  <w:keepNext/>
                  <w:spacing w:after="0"/>
                  <w:jc w:val="center"/>
                </w:pPr>
              </w:pPrChange>
              <w:rPr>
                <w:del w:id="9951" w:author="AbbVie14" w:date="2025-05-09T10:34:00Z"/>
                <w:sz w:val="22"/>
                <w:szCs w:val="22"/>
              </w:rPr>
            </w:pPr>
            <w:del w:id="9952" w:author="AbbVie14" w:date="2025-05-09T10:34:00Z">
              <w:r w:rsidRPr="00295E71">
                <w:rPr>
                  <w:sz w:val="22"/>
                  <w:szCs w:val="22"/>
                </w:rPr>
                <w:delText>Settimana 26</w:delText>
              </w:r>
            </w:del>
          </w:p>
          <w:p w:rsidR="006224C2" w:rsidRPr="00295E71" w14:paraId="1FD54FF6" w14:textId="77777777">
            <w:pPr>
              <w:keepNext/>
              <w:tabs>
                <w:tab w:val="left" w:pos="567"/>
                <w:tab w:val="left" w:pos="1294"/>
              </w:tabs>
              <w:autoSpaceDE w:val="0"/>
              <w:autoSpaceDN w:val="0"/>
              <w:adjustRightInd w:val="0"/>
              <w:jc w:val="both"/>
              <w:pPrChange w:id="9953" w:author="AbbVie14" w:date="2025-05-09T10:34:00Z">
                <w:pPr>
                  <w:pStyle w:val="gtctablespaceafter"/>
                  <w:keepNext/>
                  <w:spacing w:after="0"/>
                  <w:jc w:val="center"/>
                </w:pPr>
              </w:pPrChange>
              <w:rPr>
                <w:del w:id="9954" w:author="AbbVie14" w:date="2025-05-09T10:34:00Z"/>
                <w:sz w:val="22"/>
                <w:szCs w:val="22"/>
              </w:rPr>
            </w:pPr>
            <w:del w:id="9955" w:author="AbbVie14" w:date="2025-05-09T10:34:00Z">
              <w:r w:rsidRPr="00295E71">
                <w:rPr>
                  <w:sz w:val="22"/>
                  <w:szCs w:val="22"/>
                </w:rPr>
                <w:delText>Controllato verso placebo</w:delText>
              </w:r>
            </w:del>
          </w:p>
        </w:tc>
        <w:tc>
          <w:tcPr>
            <w:tcW w:w="2268" w:type="dxa"/>
            <w:vAlign w:val="center"/>
          </w:tcPr>
          <w:p w:rsidR="006224C2" w:rsidRPr="00295E71" w14:paraId="55694198" w14:textId="77777777">
            <w:pPr>
              <w:keepNext/>
              <w:tabs>
                <w:tab w:val="left" w:pos="567"/>
                <w:tab w:val="left" w:pos="1294"/>
              </w:tabs>
              <w:autoSpaceDE w:val="0"/>
              <w:autoSpaceDN w:val="0"/>
              <w:adjustRightInd w:val="0"/>
              <w:jc w:val="both"/>
              <w:pPrChange w:id="9956" w:author="AbbVie14" w:date="2025-05-09T10:34:00Z">
                <w:pPr>
                  <w:pStyle w:val="gtctablespaceafter"/>
                  <w:keepNext/>
                  <w:spacing w:after="0"/>
                  <w:jc w:val="center"/>
                </w:pPr>
              </w:pPrChange>
              <w:rPr>
                <w:del w:id="9957" w:author="AbbVie14" w:date="2025-05-09T10:34:00Z"/>
                <w:sz w:val="22"/>
                <w:szCs w:val="22"/>
              </w:rPr>
            </w:pPr>
            <w:del w:id="9958" w:author="AbbVie14" w:date="2025-05-09T10:34:00Z">
              <w:r w:rsidRPr="00295E71">
                <w:rPr>
                  <w:sz w:val="22"/>
                  <w:szCs w:val="22"/>
                </w:rPr>
                <w:delText>Settimana 52</w:delText>
              </w:r>
            </w:del>
          </w:p>
          <w:p w:rsidR="006224C2" w:rsidRPr="00295E71" w14:paraId="42064B05" w14:textId="77777777">
            <w:pPr>
              <w:keepNext/>
              <w:tabs>
                <w:tab w:val="left" w:pos="567"/>
                <w:tab w:val="left" w:pos="1294"/>
              </w:tabs>
              <w:autoSpaceDE w:val="0"/>
              <w:autoSpaceDN w:val="0"/>
              <w:adjustRightInd w:val="0"/>
              <w:jc w:val="both"/>
              <w:pPrChange w:id="9959" w:author="AbbVie14" w:date="2025-05-09T10:34:00Z">
                <w:pPr>
                  <w:pStyle w:val="gtctablespaceafter"/>
                  <w:keepNext/>
                  <w:spacing w:after="0"/>
                  <w:jc w:val="center"/>
                </w:pPr>
              </w:pPrChange>
              <w:rPr>
                <w:del w:id="9960" w:author="AbbVie14" w:date="2025-05-09T10:34:00Z"/>
                <w:sz w:val="22"/>
                <w:szCs w:val="22"/>
              </w:rPr>
            </w:pPr>
            <w:del w:id="9961" w:author="AbbVie14" w:date="2025-05-09T10:34:00Z">
              <w:r w:rsidRPr="00295E71">
                <w:rPr>
                  <w:sz w:val="22"/>
                  <w:szCs w:val="22"/>
                </w:rPr>
                <w:delText>In aperto</w:delText>
              </w:r>
            </w:del>
          </w:p>
        </w:tc>
      </w:tr>
      <w:tr w14:paraId="0C86DB26" w14:textId="77777777">
        <w:tblPrEx>
          <w:tblW w:w="0" w:type="auto"/>
          <w:tblLayout w:type="fixed"/>
          <w:tblLook w:val="04A0"/>
        </w:tblPrEx>
        <w:trPr>
          <w:del w:id="9962" w:author="AbbVie14" w:date="2025-05-09T10:34:00Z"/>
        </w:trPr>
        <w:tc>
          <w:tcPr>
            <w:tcW w:w="2718" w:type="dxa"/>
            <w:vMerge/>
          </w:tcPr>
          <w:p w:rsidR="006224C2" w:rsidRPr="00295E71" w14:paraId="6652E8BC" w14:textId="77777777">
            <w:pPr>
              <w:keepNext/>
              <w:tabs>
                <w:tab w:val="left" w:pos="567"/>
                <w:tab w:val="left" w:pos="1294"/>
              </w:tabs>
              <w:autoSpaceDE w:val="0"/>
              <w:autoSpaceDN w:val="0"/>
              <w:adjustRightInd w:val="0"/>
              <w:jc w:val="both"/>
              <w:pPrChange w:id="9963" w:author="AbbVie14" w:date="2025-05-09T10:34:00Z">
                <w:pPr>
                  <w:pStyle w:val="gtctablespaceafter"/>
                  <w:keepNext/>
                  <w:spacing w:after="0"/>
                </w:pPr>
              </w:pPrChange>
              <w:rPr>
                <w:del w:id="9964" w:author="AbbVie14" w:date="2025-05-09T10:34:00Z"/>
                <w:sz w:val="22"/>
                <w:szCs w:val="22"/>
              </w:rPr>
            </w:pPr>
          </w:p>
        </w:tc>
        <w:tc>
          <w:tcPr>
            <w:tcW w:w="1080" w:type="dxa"/>
          </w:tcPr>
          <w:p w:rsidR="006224C2" w:rsidRPr="00295E71" w14:paraId="15B75CF9" w14:textId="77777777">
            <w:pPr>
              <w:keepNext/>
              <w:tabs>
                <w:tab w:val="left" w:pos="567"/>
                <w:tab w:val="left" w:pos="1294"/>
              </w:tabs>
              <w:autoSpaceDE w:val="0"/>
              <w:autoSpaceDN w:val="0"/>
              <w:adjustRightInd w:val="0"/>
              <w:jc w:val="both"/>
              <w:pPrChange w:id="9965" w:author="AbbVie14" w:date="2025-05-09T10:34:00Z">
                <w:pPr>
                  <w:pStyle w:val="gtctablespaceafter"/>
                  <w:keepNext/>
                  <w:spacing w:after="0"/>
                  <w:jc w:val="center"/>
                </w:pPr>
              </w:pPrChange>
              <w:rPr>
                <w:del w:id="9966" w:author="AbbVie14" w:date="2025-05-09T10:34:00Z"/>
                <w:sz w:val="22"/>
                <w:szCs w:val="22"/>
              </w:rPr>
            </w:pPr>
            <w:del w:id="9967" w:author="AbbVie14" w:date="2025-05-09T10:34:00Z">
              <w:r w:rsidRPr="00295E71">
                <w:rPr>
                  <w:sz w:val="22"/>
                  <w:szCs w:val="22"/>
                </w:rPr>
                <w:delText>Placebo</w:delText>
              </w:r>
            </w:del>
            <w:del w:id="9968" w:author="AbbVie14" w:date="2025-05-09T10:34:00Z">
              <w:r w:rsidRPr="00295E71">
                <w:rPr>
                  <w:sz w:val="22"/>
                  <w:szCs w:val="22"/>
                </w:rPr>
                <w:br/>
                <w:delText>N=108</w:delText>
              </w:r>
            </w:del>
          </w:p>
        </w:tc>
        <w:tc>
          <w:tcPr>
            <w:tcW w:w="1260" w:type="dxa"/>
          </w:tcPr>
          <w:p w:rsidR="006224C2" w:rsidRPr="00295E71" w14:paraId="36768CC8" w14:textId="77777777">
            <w:pPr>
              <w:keepNext/>
              <w:tabs>
                <w:tab w:val="left" w:pos="567"/>
                <w:tab w:val="left" w:pos="1294"/>
              </w:tabs>
              <w:autoSpaceDE w:val="0"/>
              <w:autoSpaceDN w:val="0"/>
              <w:adjustRightInd w:val="0"/>
              <w:jc w:val="both"/>
              <w:pPrChange w:id="9969" w:author="AbbVie14" w:date="2025-05-09T10:34:00Z">
                <w:pPr>
                  <w:pStyle w:val="In-texttable"/>
                  <w:spacing w:line="240" w:lineRule="auto"/>
                  <w:jc w:val="center"/>
                </w:pPr>
              </w:pPrChange>
              <w:rPr>
                <w:del w:id="9970" w:author="AbbVie14" w:date="2025-05-09T10:34:00Z"/>
                <w:sz w:val="22"/>
                <w:szCs w:val="22"/>
              </w:rPr>
            </w:pPr>
            <w:del w:id="9971" w:author="AbbVie14" w:date="2025-05-09T10:34:00Z">
              <w:r w:rsidRPr="00295E71">
                <w:rPr>
                  <w:sz w:val="22"/>
                  <w:szCs w:val="22"/>
                </w:rPr>
                <w:delText>Humira</w:delText>
              </w:r>
            </w:del>
          </w:p>
          <w:p w:rsidR="006224C2" w:rsidRPr="00295E71" w14:paraId="7D03A3B4" w14:textId="77777777">
            <w:pPr>
              <w:keepNext/>
              <w:tabs>
                <w:tab w:val="left" w:pos="567"/>
                <w:tab w:val="left" w:pos="1294"/>
              </w:tabs>
              <w:autoSpaceDE w:val="0"/>
              <w:autoSpaceDN w:val="0"/>
              <w:adjustRightInd w:val="0"/>
              <w:jc w:val="both"/>
              <w:pPrChange w:id="9972" w:author="AbbVie14" w:date="2025-05-09T10:34:00Z">
                <w:pPr>
                  <w:pStyle w:val="gtctablespaceafter"/>
                  <w:keepNext/>
                  <w:spacing w:after="0"/>
                  <w:jc w:val="center"/>
                </w:pPr>
              </w:pPrChange>
              <w:rPr>
                <w:del w:id="9973" w:author="AbbVie14" w:date="2025-05-09T10:34:00Z"/>
                <w:sz w:val="22"/>
                <w:szCs w:val="22"/>
              </w:rPr>
            </w:pPr>
            <w:del w:id="9974" w:author="AbbVie14" w:date="2025-05-09T10:34:00Z">
              <w:r w:rsidRPr="00295E71">
                <w:rPr>
                  <w:sz w:val="22"/>
                  <w:szCs w:val="22"/>
                </w:rPr>
                <w:delText xml:space="preserve">40 mg a settimane alterne </w:delText>
              </w:r>
            </w:del>
            <w:del w:id="9975" w:author="AbbVie14" w:date="2025-05-09T10:34:00Z">
              <w:r w:rsidRPr="00295E71">
                <w:rPr>
                  <w:sz w:val="22"/>
                  <w:szCs w:val="22"/>
                </w:rPr>
                <w:br/>
                <w:delText>N=109</w:delText>
              </w:r>
            </w:del>
          </w:p>
        </w:tc>
        <w:tc>
          <w:tcPr>
            <w:tcW w:w="990" w:type="dxa"/>
          </w:tcPr>
          <w:p w:rsidR="006224C2" w:rsidRPr="00295E71" w14:paraId="0FAC226F" w14:textId="77777777">
            <w:pPr>
              <w:keepNext/>
              <w:tabs>
                <w:tab w:val="left" w:pos="567"/>
                <w:tab w:val="left" w:pos="1294"/>
              </w:tabs>
              <w:autoSpaceDE w:val="0"/>
              <w:autoSpaceDN w:val="0"/>
              <w:adjustRightInd w:val="0"/>
              <w:jc w:val="both"/>
              <w:pPrChange w:id="9976" w:author="AbbVie14" w:date="2025-05-09T10:34:00Z">
                <w:pPr>
                  <w:pStyle w:val="gtctablespaceafter"/>
                  <w:keepNext/>
                  <w:spacing w:after="0"/>
                  <w:jc w:val="center"/>
                </w:pPr>
              </w:pPrChange>
              <w:rPr>
                <w:del w:id="9977" w:author="AbbVie14" w:date="2025-05-09T10:34:00Z"/>
                <w:sz w:val="22"/>
                <w:szCs w:val="22"/>
              </w:rPr>
            </w:pPr>
            <w:del w:id="9978" w:author="AbbVie14" w:date="2025-05-09T10:34:00Z">
              <w:r w:rsidRPr="00295E71">
                <w:rPr>
                  <w:sz w:val="22"/>
                  <w:szCs w:val="22"/>
                </w:rPr>
                <w:delText>Placebo</w:delText>
              </w:r>
            </w:del>
            <w:del w:id="9979" w:author="AbbVie14" w:date="2025-05-09T10:34:00Z">
              <w:r w:rsidRPr="00295E71">
                <w:rPr>
                  <w:sz w:val="22"/>
                  <w:szCs w:val="22"/>
                </w:rPr>
                <w:br/>
                <w:delText>N=108</w:delText>
              </w:r>
            </w:del>
          </w:p>
        </w:tc>
        <w:tc>
          <w:tcPr>
            <w:tcW w:w="1260" w:type="dxa"/>
          </w:tcPr>
          <w:p w:rsidR="006224C2" w:rsidRPr="00295E71" w14:paraId="59B1C17B" w14:textId="77777777">
            <w:pPr>
              <w:keepNext/>
              <w:tabs>
                <w:tab w:val="left" w:pos="567"/>
                <w:tab w:val="left" w:pos="1294"/>
              </w:tabs>
              <w:autoSpaceDE w:val="0"/>
              <w:autoSpaceDN w:val="0"/>
              <w:adjustRightInd w:val="0"/>
              <w:jc w:val="both"/>
              <w:pPrChange w:id="9980" w:author="AbbVie14" w:date="2025-05-09T10:34:00Z">
                <w:pPr>
                  <w:pStyle w:val="In-texttable"/>
                  <w:spacing w:line="240" w:lineRule="auto"/>
                  <w:jc w:val="center"/>
                </w:pPr>
              </w:pPrChange>
              <w:rPr>
                <w:del w:id="9981" w:author="AbbVie14" w:date="2025-05-09T10:34:00Z"/>
                <w:sz w:val="22"/>
                <w:szCs w:val="22"/>
              </w:rPr>
            </w:pPr>
            <w:del w:id="9982" w:author="AbbVie14" w:date="2025-05-09T10:34:00Z">
              <w:r w:rsidRPr="00295E71">
                <w:rPr>
                  <w:sz w:val="22"/>
                  <w:szCs w:val="22"/>
                </w:rPr>
                <w:delText>Humira</w:delText>
              </w:r>
            </w:del>
          </w:p>
          <w:p w:rsidR="006224C2" w:rsidRPr="00295E71" w14:paraId="13587EA0" w14:textId="77777777">
            <w:pPr>
              <w:keepNext/>
              <w:tabs>
                <w:tab w:val="left" w:pos="567"/>
                <w:tab w:val="left" w:pos="1294"/>
              </w:tabs>
              <w:autoSpaceDE w:val="0"/>
              <w:autoSpaceDN w:val="0"/>
              <w:adjustRightInd w:val="0"/>
              <w:jc w:val="both"/>
              <w:pPrChange w:id="9983" w:author="AbbVie14" w:date="2025-05-09T10:34:00Z">
                <w:pPr>
                  <w:pStyle w:val="gtctablespaceafter"/>
                  <w:keepNext/>
                  <w:spacing w:after="0"/>
                  <w:jc w:val="center"/>
                </w:pPr>
              </w:pPrChange>
              <w:rPr>
                <w:del w:id="9984" w:author="AbbVie14" w:date="2025-05-09T10:34:00Z"/>
                <w:sz w:val="22"/>
                <w:szCs w:val="22"/>
              </w:rPr>
            </w:pPr>
            <w:del w:id="9985" w:author="AbbVie14" w:date="2025-05-09T10:34:00Z">
              <w:r w:rsidRPr="00295E71">
                <w:rPr>
                  <w:sz w:val="22"/>
                  <w:szCs w:val="22"/>
                </w:rPr>
                <w:delText>40 mg a settimane alterne</w:delText>
              </w:r>
            </w:del>
            <w:del w:id="9986" w:author="AbbVie14" w:date="2025-05-09T10:34:00Z">
              <w:r w:rsidRPr="00295E71">
                <w:rPr>
                  <w:sz w:val="22"/>
                  <w:szCs w:val="22"/>
                </w:rPr>
                <w:br/>
                <w:delText>N=109</w:delText>
              </w:r>
            </w:del>
          </w:p>
        </w:tc>
        <w:tc>
          <w:tcPr>
            <w:tcW w:w="2268" w:type="dxa"/>
          </w:tcPr>
          <w:p w:rsidR="006224C2" w:rsidRPr="00295E71" w14:paraId="44FE8C07" w14:textId="77777777">
            <w:pPr>
              <w:keepNext/>
              <w:tabs>
                <w:tab w:val="left" w:pos="567"/>
                <w:tab w:val="left" w:pos="1294"/>
              </w:tabs>
              <w:autoSpaceDE w:val="0"/>
              <w:autoSpaceDN w:val="0"/>
              <w:adjustRightInd w:val="0"/>
              <w:jc w:val="both"/>
              <w:pPrChange w:id="9987" w:author="AbbVie14" w:date="2025-05-09T10:34:00Z">
                <w:pPr>
                  <w:pStyle w:val="In-texttable"/>
                  <w:spacing w:line="240" w:lineRule="auto"/>
                  <w:jc w:val="center"/>
                </w:pPr>
              </w:pPrChange>
              <w:rPr>
                <w:del w:id="9988" w:author="AbbVie14" w:date="2025-05-09T10:34:00Z"/>
                <w:sz w:val="22"/>
                <w:szCs w:val="22"/>
              </w:rPr>
            </w:pPr>
            <w:del w:id="9989" w:author="AbbVie14" w:date="2025-05-09T10:34:00Z">
              <w:r w:rsidRPr="00295E71">
                <w:rPr>
                  <w:sz w:val="22"/>
                  <w:szCs w:val="22"/>
                </w:rPr>
                <w:delText>Humira</w:delText>
              </w:r>
            </w:del>
          </w:p>
          <w:p w:rsidR="006224C2" w:rsidRPr="00295E71" w14:paraId="744EC274" w14:textId="77777777">
            <w:pPr>
              <w:keepNext/>
              <w:tabs>
                <w:tab w:val="left" w:pos="567"/>
                <w:tab w:val="left" w:pos="1294"/>
              </w:tabs>
              <w:autoSpaceDE w:val="0"/>
              <w:autoSpaceDN w:val="0"/>
              <w:adjustRightInd w:val="0"/>
              <w:jc w:val="both"/>
              <w:pPrChange w:id="9990" w:author="AbbVie14" w:date="2025-05-09T10:34:00Z">
                <w:pPr>
                  <w:pStyle w:val="gtctablespaceafter"/>
                  <w:keepNext/>
                  <w:spacing w:after="0"/>
                  <w:jc w:val="center"/>
                </w:pPr>
              </w:pPrChange>
              <w:rPr>
                <w:del w:id="9991" w:author="AbbVie14" w:date="2025-05-09T10:34:00Z"/>
                <w:sz w:val="22"/>
                <w:szCs w:val="22"/>
              </w:rPr>
            </w:pPr>
            <w:del w:id="9992" w:author="AbbVie14" w:date="2025-05-09T10:34:00Z">
              <w:r w:rsidRPr="00295E71">
                <w:rPr>
                  <w:sz w:val="22"/>
                  <w:szCs w:val="22"/>
                </w:rPr>
                <w:delText>40 mg a settimane alterne</w:delText>
              </w:r>
            </w:del>
            <w:del w:id="9993" w:author="AbbVie14" w:date="2025-05-09T10:34:00Z">
              <w:r w:rsidRPr="00295E71">
                <w:rPr>
                  <w:sz w:val="22"/>
                  <w:szCs w:val="22"/>
                </w:rPr>
                <w:br/>
                <w:delText>N=80</w:delText>
              </w:r>
            </w:del>
          </w:p>
        </w:tc>
      </w:tr>
      <w:tr w14:paraId="1065AA37" w14:textId="77777777">
        <w:tblPrEx>
          <w:tblW w:w="0" w:type="auto"/>
          <w:tblLayout w:type="fixed"/>
          <w:tblLook w:val="04A0"/>
        </w:tblPrEx>
        <w:trPr>
          <w:del w:id="9994" w:author="AbbVie14" w:date="2025-05-09T10:34:00Z"/>
        </w:trPr>
        <w:tc>
          <w:tcPr>
            <w:tcW w:w="2718" w:type="dxa"/>
          </w:tcPr>
          <w:p w:rsidR="006224C2" w:rsidRPr="00295E71" w14:paraId="2C91EFC9" w14:textId="77777777">
            <w:pPr>
              <w:keepNext/>
              <w:tabs>
                <w:tab w:val="left" w:pos="567"/>
                <w:tab w:val="left" w:pos="1294"/>
              </w:tabs>
              <w:autoSpaceDE w:val="0"/>
              <w:autoSpaceDN w:val="0"/>
              <w:adjustRightInd w:val="0"/>
              <w:jc w:val="both"/>
              <w:pPrChange w:id="9995" w:author="AbbVie14" w:date="2025-05-09T10:34:00Z">
                <w:pPr>
                  <w:pStyle w:val="gtctablespaceafter"/>
                  <w:keepNext/>
                  <w:spacing w:after="0"/>
                </w:pPr>
              </w:pPrChange>
              <w:rPr>
                <w:del w:id="9996" w:author="AbbVie14" w:date="2025-05-09T10:34:00Z"/>
                <w:sz w:val="22"/>
                <w:szCs w:val="22"/>
              </w:rPr>
            </w:pPr>
            <w:del w:id="9997" w:author="AbbVie14" w:date="2025-05-09T10:34:00Z">
              <w:r w:rsidRPr="00295E71">
                <w:rPr>
                  <w:sz w:val="22"/>
                  <w:szCs w:val="22"/>
                </w:rPr>
                <w:delText>≥ mNAPSI 75 (%)</w:delText>
              </w:r>
            </w:del>
          </w:p>
        </w:tc>
        <w:tc>
          <w:tcPr>
            <w:tcW w:w="1080" w:type="dxa"/>
          </w:tcPr>
          <w:p w:rsidR="006224C2" w:rsidRPr="00295E71" w14:paraId="75A8C796" w14:textId="77777777">
            <w:pPr>
              <w:keepNext/>
              <w:tabs>
                <w:tab w:val="left" w:pos="567"/>
                <w:tab w:val="left" w:pos="1294"/>
              </w:tabs>
              <w:autoSpaceDE w:val="0"/>
              <w:autoSpaceDN w:val="0"/>
              <w:adjustRightInd w:val="0"/>
              <w:jc w:val="both"/>
              <w:pPrChange w:id="9998" w:author="AbbVie14" w:date="2025-05-09T10:34:00Z">
                <w:pPr>
                  <w:pStyle w:val="gtctablespaceafter"/>
                  <w:keepNext/>
                  <w:spacing w:after="0"/>
                  <w:jc w:val="center"/>
                </w:pPr>
              </w:pPrChange>
              <w:rPr>
                <w:del w:id="9999" w:author="AbbVie14" w:date="2025-05-09T10:34:00Z"/>
                <w:sz w:val="22"/>
                <w:szCs w:val="22"/>
              </w:rPr>
            </w:pPr>
            <w:del w:id="10000" w:author="AbbVie14" w:date="2025-05-09T10:34:00Z">
              <w:r w:rsidRPr="00295E71">
                <w:rPr>
                  <w:sz w:val="22"/>
                  <w:szCs w:val="22"/>
                </w:rPr>
                <w:delText>2,9</w:delText>
              </w:r>
            </w:del>
          </w:p>
        </w:tc>
        <w:tc>
          <w:tcPr>
            <w:tcW w:w="1260" w:type="dxa"/>
          </w:tcPr>
          <w:p w:rsidR="006224C2" w:rsidRPr="00295E71" w14:paraId="66FDAFF7" w14:textId="77777777">
            <w:pPr>
              <w:keepNext/>
              <w:tabs>
                <w:tab w:val="left" w:pos="567"/>
                <w:tab w:val="left" w:pos="1294"/>
              </w:tabs>
              <w:autoSpaceDE w:val="0"/>
              <w:autoSpaceDN w:val="0"/>
              <w:adjustRightInd w:val="0"/>
              <w:jc w:val="both"/>
              <w:pPrChange w:id="10001" w:author="AbbVie14" w:date="2025-05-09T10:34:00Z">
                <w:pPr>
                  <w:pStyle w:val="gtctablespaceafter"/>
                  <w:keepNext/>
                  <w:spacing w:after="0"/>
                  <w:jc w:val="center"/>
                </w:pPr>
              </w:pPrChange>
              <w:rPr>
                <w:del w:id="10002" w:author="AbbVie14" w:date="2025-05-09T10:34:00Z"/>
                <w:sz w:val="22"/>
                <w:szCs w:val="22"/>
              </w:rPr>
            </w:pPr>
            <w:del w:id="10003" w:author="AbbVie14" w:date="2025-05-09T10:34:00Z">
              <w:r w:rsidRPr="00295E71">
                <w:rPr>
                  <w:sz w:val="22"/>
                  <w:szCs w:val="22"/>
                </w:rPr>
                <w:delText>26,0</w:delText>
              </w:r>
            </w:del>
            <w:del w:id="10004" w:author="AbbVie14" w:date="2025-05-09T10:34:00Z">
              <w:r w:rsidRPr="00295E71">
                <w:rPr>
                  <w:sz w:val="22"/>
                  <w:szCs w:val="22"/>
                  <w:vertAlign w:val="superscript"/>
                </w:rPr>
                <w:delText>a</w:delText>
              </w:r>
            </w:del>
          </w:p>
        </w:tc>
        <w:tc>
          <w:tcPr>
            <w:tcW w:w="990" w:type="dxa"/>
          </w:tcPr>
          <w:p w:rsidR="006224C2" w:rsidRPr="00295E71" w14:paraId="2D5474EB" w14:textId="77777777">
            <w:pPr>
              <w:keepNext/>
              <w:tabs>
                <w:tab w:val="left" w:pos="567"/>
                <w:tab w:val="left" w:pos="1294"/>
              </w:tabs>
              <w:autoSpaceDE w:val="0"/>
              <w:autoSpaceDN w:val="0"/>
              <w:adjustRightInd w:val="0"/>
              <w:jc w:val="both"/>
              <w:pPrChange w:id="10005" w:author="AbbVie14" w:date="2025-05-09T10:34:00Z">
                <w:pPr>
                  <w:keepNext/>
                  <w:jc w:val="center"/>
                </w:pPr>
              </w:pPrChange>
              <w:rPr>
                <w:del w:id="10006" w:author="AbbVie14" w:date="2025-05-09T10:34:00Z"/>
                <w:sz w:val="22"/>
                <w:szCs w:val="22"/>
              </w:rPr>
            </w:pPr>
            <w:del w:id="10007" w:author="AbbVie14" w:date="2025-05-09T10:34:00Z">
              <w:r w:rsidRPr="00295E71">
                <w:rPr>
                  <w:sz w:val="22"/>
                  <w:szCs w:val="22"/>
                </w:rPr>
                <w:delText>3,4</w:delText>
              </w:r>
            </w:del>
          </w:p>
        </w:tc>
        <w:tc>
          <w:tcPr>
            <w:tcW w:w="1260" w:type="dxa"/>
          </w:tcPr>
          <w:p w:rsidR="006224C2" w:rsidRPr="00295E71" w14:paraId="1C161B36" w14:textId="77777777">
            <w:pPr>
              <w:keepNext/>
              <w:tabs>
                <w:tab w:val="left" w:pos="567"/>
                <w:tab w:val="left" w:pos="1294"/>
              </w:tabs>
              <w:autoSpaceDE w:val="0"/>
              <w:autoSpaceDN w:val="0"/>
              <w:adjustRightInd w:val="0"/>
              <w:jc w:val="both"/>
              <w:pPrChange w:id="10008" w:author="AbbVie14" w:date="2025-05-09T10:34:00Z">
                <w:pPr>
                  <w:keepNext/>
                  <w:jc w:val="center"/>
                </w:pPr>
              </w:pPrChange>
              <w:rPr>
                <w:del w:id="10009" w:author="AbbVie14" w:date="2025-05-09T10:34:00Z"/>
                <w:sz w:val="22"/>
                <w:szCs w:val="22"/>
              </w:rPr>
            </w:pPr>
            <w:del w:id="10010" w:author="AbbVie14" w:date="2025-05-09T10:34:00Z">
              <w:r w:rsidRPr="00295E71">
                <w:rPr>
                  <w:sz w:val="22"/>
                  <w:szCs w:val="22"/>
                </w:rPr>
                <w:delText>46,6</w:delText>
              </w:r>
            </w:del>
            <w:del w:id="10011" w:author="AbbVie14" w:date="2025-05-09T10:34:00Z">
              <w:r w:rsidRPr="00295E71">
                <w:rPr>
                  <w:sz w:val="22"/>
                  <w:szCs w:val="22"/>
                  <w:vertAlign w:val="superscript"/>
                </w:rPr>
                <w:delText>a</w:delText>
              </w:r>
            </w:del>
          </w:p>
        </w:tc>
        <w:tc>
          <w:tcPr>
            <w:tcW w:w="2268" w:type="dxa"/>
          </w:tcPr>
          <w:p w:rsidR="006224C2" w:rsidRPr="00295E71" w14:paraId="171EB72B" w14:textId="77777777">
            <w:pPr>
              <w:keepNext/>
              <w:tabs>
                <w:tab w:val="left" w:pos="567"/>
                <w:tab w:val="left" w:pos="1294"/>
              </w:tabs>
              <w:autoSpaceDE w:val="0"/>
              <w:autoSpaceDN w:val="0"/>
              <w:adjustRightInd w:val="0"/>
              <w:jc w:val="both"/>
              <w:pPrChange w:id="10012" w:author="AbbVie14" w:date="2025-05-09T10:34:00Z">
                <w:pPr>
                  <w:pStyle w:val="gtctablespaceafter"/>
                  <w:keepNext/>
                  <w:spacing w:after="0"/>
                  <w:jc w:val="center"/>
                </w:pPr>
              </w:pPrChange>
              <w:rPr>
                <w:del w:id="10013" w:author="AbbVie14" w:date="2025-05-09T10:34:00Z"/>
                <w:sz w:val="22"/>
                <w:szCs w:val="22"/>
              </w:rPr>
            </w:pPr>
            <w:del w:id="10014" w:author="AbbVie14" w:date="2025-05-09T10:34:00Z">
              <w:r w:rsidRPr="00295E71">
                <w:rPr>
                  <w:sz w:val="22"/>
                  <w:szCs w:val="22"/>
                </w:rPr>
                <w:delText>65,0</w:delText>
              </w:r>
            </w:del>
          </w:p>
        </w:tc>
      </w:tr>
      <w:tr w14:paraId="0DFF0ADC" w14:textId="77777777">
        <w:tblPrEx>
          <w:tblW w:w="0" w:type="auto"/>
          <w:tblLayout w:type="fixed"/>
          <w:tblLook w:val="04A0"/>
        </w:tblPrEx>
        <w:trPr>
          <w:del w:id="10015" w:author="AbbVie14" w:date="2025-05-09T10:34:00Z"/>
        </w:trPr>
        <w:tc>
          <w:tcPr>
            <w:tcW w:w="2718" w:type="dxa"/>
          </w:tcPr>
          <w:p w:rsidR="006224C2" w:rsidRPr="00295E71" w14:paraId="273FBF4C" w14:textId="77777777">
            <w:pPr>
              <w:keepNext/>
              <w:tabs>
                <w:tab w:val="left" w:pos="567"/>
                <w:tab w:val="left" w:pos="1294"/>
              </w:tabs>
              <w:autoSpaceDE w:val="0"/>
              <w:autoSpaceDN w:val="0"/>
              <w:adjustRightInd w:val="0"/>
              <w:jc w:val="both"/>
              <w:pPrChange w:id="10016" w:author="AbbVie14" w:date="2025-05-09T10:34:00Z">
                <w:pPr>
                  <w:pStyle w:val="gtctablespaceafter"/>
                  <w:keepNext/>
                  <w:spacing w:after="0"/>
                </w:pPr>
              </w:pPrChange>
              <w:rPr>
                <w:del w:id="10017" w:author="AbbVie14" w:date="2025-05-09T10:34:00Z"/>
                <w:sz w:val="22"/>
                <w:szCs w:val="22"/>
              </w:rPr>
            </w:pPr>
            <w:del w:id="10018" w:author="AbbVie14" w:date="2025-05-09T10:34:00Z">
              <w:r w:rsidRPr="00295E71">
                <w:rPr>
                  <w:sz w:val="22"/>
                  <w:szCs w:val="22"/>
                </w:rPr>
                <w:delText>PGA-F guarigione/marcato miglioramento e miglioramento di grado ≥2(%)</w:delText>
              </w:r>
            </w:del>
          </w:p>
        </w:tc>
        <w:tc>
          <w:tcPr>
            <w:tcW w:w="1080" w:type="dxa"/>
          </w:tcPr>
          <w:p w:rsidR="006224C2" w:rsidRPr="00295E71" w14:paraId="539A8CBE" w14:textId="77777777">
            <w:pPr>
              <w:keepNext/>
              <w:tabs>
                <w:tab w:val="left" w:pos="567"/>
                <w:tab w:val="left" w:pos="1294"/>
              </w:tabs>
              <w:autoSpaceDE w:val="0"/>
              <w:autoSpaceDN w:val="0"/>
              <w:adjustRightInd w:val="0"/>
              <w:jc w:val="both"/>
              <w:pPrChange w:id="10019" w:author="AbbVie14" w:date="2025-05-09T10:34:00Z">
                <w:pPr>
                  <w:pStyle w:val="gtctablespaceafter"/>
                  <w:keepNext/>
                  <w:spacing w:after="0"/>
                  <w:jc w:val="center"/>
                </w:pPr>
              </w:pPrChange>
              <w:rPr>
                <w:del w:id="10020" w:author="AbbVie14" w:date="2025-05-09T10:34:00Z"/>
                <w:sz w:val="22"/>
                <w:szCs w:val="22"/>
              </w:rPr>
            </w:pPr>
            <w:del w:id="10021" w:author="AbbVie14" w:date="2025-05-09T10:34:00Z">
              <w:r w:rsidRPr="00295E71">
                <w:rPr>
                  <w:sz w:val="22"/>
                  <w:szCs w:val="22"/>
                </w:rPr>
                <w:delText>2,9</w:delText>
              </w:r>
            </w:del>
          </w:p>
        </w:tc>
        <w:tc>
          <w:tcPr>
            <w:tcW w:w="1260" w:type="dxa"/>
          </w:tcPr>
          <w:p w:rsidR="006224C2" w:rsidRPr="00295E71" w14:paraId="6B162F76" w14:textId="77777777">
            <w:pPr>
              <w:keepNext/>
              <w:tabs>
                <w:tab w:val="left" w:pos="567"/>
                <w:tab w:val="left" w:pos="1294"/>
              </w:tabs>
              <w:autoSpaceDE w:val="0"/>
              <w:autoSpaceDN w:val="0"/>
              <w:adjustRightInd w:val="0"/>
              <w:jc w:val="both"/>
              <w:pPrChange w:id="10022" w:author="AbbVie14" w:date="2025-05-09T10:34:00Z">
                <w:pPr>
                  <w:pStyle w:val="gtctablespaceafter"/>
                  <w:keepNext/>
                  <w:spacing w:after="0"/>
                  <w:jc w:val="center"/>
                </w:pPr>
              </w:pPrChange>
              <w:rPr>
                <w:del w:id="10023" w:author="AbbVie14" w:date="2025-05-09T10:34:00Z"/>
                <w:sz w:val="22"/>
                <w:szCs w:val="22"/>
              </w:rPr>
            </w:pPr>
            <w:del w:id="10024" w:author="AbbVie14" w:date="2025-05-09T10:34:00Z">
              <w:r w:rsidRPr="00295E71">
                <w:rPr>
                  <w:sz w:val="22"/>
                  <w:szCs w:val="22"/>
                </w:rPr>
                <w:delText>29,7</w:delText>
              </w:r>
            </w:del>
            <w:del w:id="10025" w:author="AbbVie14" w:date="2025-05-09T10:34:00Z">
              <w:r w:rsidRPr="00295E71">
                <w:rPr>
                  <w:sz w:val="22"/>
                  <w:szCs w:val="22"/>
                  <w:vertAlign w:val="superscript"/>
                </w:rPr>
                <w:delText>a</w:delText>
              </w:r>
            </w:del>
          </w:p>
        </w:tc>
        <w:tc>
          <w:tcPr>
            <w:tcW w:w="990" w:type="dxa"/>
          </w:tcPr>
          <w:p w:rsidR="006224C2" w:rsidRPr="00295E71" w14:paraId="4D27A4EC" w14:textId="77777777">
            <w:pPr>
              <w:keepNext/>
              <w:tabs>
                <w:tab w:val="left" w:pos="567"/>
                <w:tab w:val="left" w:pos="1294"/>
              </w:tabs>
              <w:autoSpaceDE w:val="0"/>
              <w:autoSpaceDN w:val="0"/>
              <w:adjustRightInd w:val="0"/>
              <w:jc w:val="both"/>
              <w:pPrChange w:id="10026" w:author="AbbVie14" w:date="2025-05-09T10:34:00Z">
                <w:pPr>
                  <w:keepNext/>
                  <w:jc w:val="center"/>
                </w:pPr>
              </w:pPrChange>
              <w:rPr>
                <w:del w:id="10027" w:author="AbbVie14" w:date="2025-05-09T10:34:00Z"/>
                <w:sz w:val="22"/>
                <w:szCs w:val="22"/>
              </w:rPr>
            </w:pPr>
            <w:del w:id="10028" w:author="AbbVie14" w:date="2025-05-09T10:34:00Z">
              <w:r w:rsidRPr="00295E71">
                <w:rPr>
                  <w:sz w:val="22"/>
                  <w:szCs w:val="22"/>
                </w:rPr>
                <w:delText>6,9</w:delText>
              </w:r>
            </w:del>
          </w:p>
        </w:tc>
        <w:tc>
          <w:tcPr>
            <w:tcW w:w="1260" w:type="dxa"/>
          </w:tcPr>
          <w:p w:rsidR="006224C2" w:rsidRPr="00295E71" w14:paraId="04EED0AC" w14:textId="77777777">
            <w:pPr>
              <w:keepNext/>
              <w:tabs>
                <w:tab w:val="left" w:pos="567"/>
                <w:tab w:val="left" w:pos="1294"/>
              </w:tabs>
              <w:autoSpaceDE w:val="0"/>
              <w:autoSpaceDN w:val="0"/>
              <w:adjustRightInd w:val="0"/>
              <w:jc w:val="both"/>
              <w:pPrChange w:id="10029" w:author="AbbVie14" w:date="2025-05-09T10:34:00Z">
                <w:pPr>
                  <w:keepNext/>
                  <w:jc w:val="center"/>
                </w:pPr>
              </w:pPrChange>
              <w:rPr>
                <w:del w:id="10030" w:author="AbbVie14" w:date="2025-05-09T10:34:00Z"/>
                <w:sz w:val="22"/>
                <w:szCs w:val="22"/>
              </w:rPr>
            </w:pPr>
            <w:del w:id="10031" w:author="AbbVie14" w:date="2025-05-09T10:34:00Z">
              <w:r w:rsidRPr="00295E71">
                <w:rPr>
                  <w:sz w:val="22"/>
                  <w:szCs w:val="22"/>
                </w:rPr>
                <w:delText>48,9</w:delText>
              </w:r>
            </w:del>
            <w:del w:id="10032" w:author="AbbVie14" w:date="2025-05-09T10:34:00Z">
              <w:r w:rsidRPr="00295E71">
                <w:rPr>
                  <w:sz w:val="22"/>
                  <w:szCs w:val="22"/>
                  <w:vertAlign w:val="superscript"/>
                </w:rPr>
                <w:delText>a</w:delText>
              </w:r>
            </w:del>
          </w:p>
        </w:tc>
        <w:tc>
          <w:tcPr>
            <w:tcW w:w="2268" w:type="dxa"/>
          </w:tcPr>
          <w:p w:rsidR="006224C2" w:rsidRPr="00295E71" w14:paraId="58C80F47" w14:textId="77777777">
            <w:pPr>
              <w:keepNext/>
              <w:tabs>
                <w:tab w:val="left" w:pos="567"/>
                <w:tab w:val="left" w:pos="1294"/>
              </w:tabs>
              <w:autoSpaceDE w:val="0"/>
              <w:autoSpaceDN w:val="0"/>
              <w:adjustRightInd w:val="0"/>
              <w:jc w:val="both"/>
              <w:pPrChange w:id="10033" w:author="AbbVie14" w:date="2025-05-09T10:34:00Z">
                <w:pPr>
                  <w:pStyle w:val="gtctablespaceafter"/>
                  <w:keepNext/>
                  <w:spacing w:after="0"/>
                  <w:jc w:val="center"/>
                </w:pPr>
              </w:pPrChange>
              <w:rPr>
                <w:del w:id="10034" w:author="AbbVie14" w:date="2025-05-09T10:34:00Z"/>
                <w:sz w:val="22"/>
                <w:szCs w:val="22"/>
              </w:rPr>
            </w:pPr>
            <w:del w:id="10035" w:author="AbbVie14" w:date="2025-05-09T10:34:00Z">
              <w:r w:rsidRPr="00295E71">
                <w:rPr>
                  <w:sz w:val="22"/>
                  <w:szCs w:val="22"/>
                </w:rPr>
                <w:delText>61,3</w:delText>
              </w:r>
            </w:del>
          </w:p>
        </w:tc>
      </w:tr>
      <w:tr w14:paraId="4CFB5037" w14:textId="77777777">
        <w:tblPrEx>
          <w:tblW w:w="0" w:type="auto"/>
          <w:tblLayout w:type="fixed"/>
          <w:tblLook w:val="04A0"/>
        </w:tblPrEx>
        <w:trPr>
          <w:del w:id="10036" w:author="AbbVie14" w:date="2025-05-09T10:34:00Z"/>
        </w:trPr>
        <w:tc>
          <w:tcPr>
            <w:tcW w:w="2718" w:type="dxa"/>
          </w:tcPr>
          <w:p w:rsidR="006224C2" w:rsidRPr="00295E71" w14:paraId="0C505B43" w14:textId="77777777">
            <w:pPr>
              <w:keepNext/>
              <w:tabs>
                <w:tab w:val="left" w:pos="567"/>
                <w:tab w:val="left" w:pos="1294"/>
              </w:tabs>
              <w:autoSpaceDE w:val="0"/>
              <w:autoSpaceDN w:val="0"/>
              <w:adjustRightInd w:val="0"/>
              <w:jc w:val="both"/>
              <w:pPrChange w:id="10037" w:author="AbbVie14" w:date="2025-05-09T10:34:00Z">
                <w:pPr>
                  <w:pStyle w:val="gtctablespaceafter"/>
                  <w:keepNext/>
                  <w:spacing w:after="0"/>
                </w:pPr>
              </w:pPrChange>
              <w:rPr>
                <w:del w:id="10038" w:author="AbbVie14" w:date="2025-05-09T10:34:00Z"/>
                <w:sz w:val="22"/>
                <w:szCs w:val="22"/>
              </w:rPr>
            </w:pPr>
            <w:del w:id="10039" w:author="AbbVie14" w:date="2025-05-09T10:34:00Z">
              <w:r w:rsidRPr="00295E71">
                <w:rPr>
                  <w:sz w:val="22"/>
                  <w:szCs w:val="22"/>
                </w:rPr>
                <w:delText>Variazione percentuale nel punteggio NAPSI totale (%)</w:delText>
              </w:r>
            </w:del>
          </w:p>
        </w:tc>
        <w:tc>
          <w:tcPr>
            <w:tcW w:w="1080" w:type="dxa"/>
          </w:tcPr>
          <w:p w:rsidR="006224C2" w:rsidRPr="00295E71" w14:paraId="01C9DBCE" w14:textId="77777777">
            <w:pPr>
              <w:keepNext/>
              <w:tabs>
                <w:tab w:val="left" w:pos="567"/>
                <w:tab w:val="left" w:pos="1294"/>
              </w:tabs>
              <w:autoSpaceDE w:val="0"/>
              <w:autoSpaceDN w:val="0"/>
              <w:adjustRightInd w:val="0"/>
              <w:jc w:val="both"/>
              <w:pPrChange w:id="10040" w:author="AbbVie14" w:date="2025-05-09T10:34:00Z">
                <w:pPr>
                  <w:pStyle w:val="gtctablespaceafter"/>
                  <w:keepNext/>
                  <w:spacing w:after="0"/>
                  <w:jc w:val="center"/>
                </w:pPr>
              </w:pPrChange>
              <w:rPr>
                <w:del w:id="10041" w:author="AbbVie14" w:date="2025-05-09T10:34:00Z"/>
                <w:sz w:val="22"/>
                <w:szCs w:val="22"/>
              </w:rPr>
            </w:pPr>
            <w:del w:id="10042" w:author="AbbVie14" w:date="2025-05-09T10:34:00Z">
              <w:r w:rsidRPr="00295E71">
                <w:rPr>
                  <w:sz w:val="22"/>
                  <w:szCs w:val="22"/>
                </w:rPr>
                <w:delText>-7,8</w:delText>
              </w:r>
            </w:del>
          </w:p>
        </w:tc>
        <w:tc>
          <w:tcPr>
            <w:tcW w:w="1260" w:type="dxa"/>
          </w:tcPr>
          <w:p w:rsidR="006224C2" w:rsidRPr="00295E71" w14:paraId="380225BC" w14:textId="77777777">
            <w:pPr>
              <w:keepNext/>
              <w:tabs>
                <w:tab w:val="left" w:pos="567"/>
                <w:tab w:val="left" w:pos="1294"/>
              </w:tabs>
              <w:autoSpaceDE w:val="0"/>
              <w:autoSpaceDN w:val="0"/>
              <w:adjustRightInd w:val="0"/>
              <w:jc w:val="both"/>
              <w:pPrChange w:id="10043" w:author="AbbVie14" w:date="2025-05-09T10:34:00Z">
                <w:pPr>
                  <w:pStyle w:val="gtctablespaceafter"/>
                  <w:keepNext/>
                  <w:spacing w:after="0"/>
                  <w:jc w:val="center"/>
                </w:pPr>
              </w:pPrChange>
              <w:rPr>
                <w:del w:id="10044" w:author="AbbVie14" w:date="2025-05-09T10:34:00Z"/>
                <w:sz w:val="22"/>
                <w:szCs w:val="22"/>
              </w:rPr>
            </w:pPr>
            <w:del w:id="10045" w:author="AbbVie14" w:date="2025-05-09T10:34:00Z">
              <w:r w:rsidRPr="00295E71">
                <w:rPr>
                  <w:sz w:val="22"/>
                  <w:szCs w:val="22"/>
                </w:rPr>
                <w:delText>-44,2</w:delText>
              </w:r>
            </w:del>
            <w:del w:id="10046" w:author="AbbVie14" w:date="2025-05-09T10:34:00Z">
              <w:r w:rsidRPr="00295E71">
                <w:rPr>
                  <w:sz w:val="22"/>
                  <w:szCs w:val="22"/>
                  <w:vertAlign w:val="superscript"/>
                </w:rPr>
                <w:delText>a</w:delText>
              </w:r>
            </w:del>
          </w:p>
        </w:tc>
        <w:tc>
          <w:tcPr>
            <w:tcW w:w="990" w:type="dxa"/>
          </w:tcPr>
          <w:p w:rsidR="006224C2" w:rsidRPr="00295E71" w14:paraId="456E641B" w14:textId="77777777">
            <w:pPr>
              <w:keepNext/>
              <w:tabs>
                <w:tab w:val="left" w:pos="567"/>
                <w:tab w:val="left" w:pos="1294"/>
              </w:tabs>
              <w:autoSpaceDE w:val="0"/>
              <w:autoSpaceDN w:val="0"/>
              <w:adjustRightInd w:val="0"/>
              <w:jc w:val="both"/>
              <w:pPrChange w:id="10047" w:author="AbbVie14" w:date="2025-05-09T10:34:00Z">
                <w:pPr>
                  <w:keepNext/>
                  <w:jc w:val="center"/>
                </w:pPr>
              </w:pPrChange>
              <w:rPr>
                <w:del w:id="10048" w:author="AbbVie14" w:date="2025-05-09T10:34:00Z"/>
                <w:sz w:val="22"/>
                <w:szCs w:val="22"/>
              </w:rPr>
            </w:pPr>
            <w:del w:id="10049" w:author="AbbVie14" w:date="2025-05-09T10:34:00Z">
              <w:r w:rsidRPr="00295E71">
                <w:rPr>
                  <w:sz w:val="22"/>
                  <w:szCs w:val="22"/>
                </w:rPr>
                <w:delText>-11,5</w:delText>
              </w:r>
            </w:del>
          </w:p>
        </w:tc>
        <w:tc>
          <w:tcPr>
            <w:tcW w:w="1260" w:type="dxa"/>
          </w:tcPr>
          <w:p w:rsidR="006224C2" w:rsidRPr="00295E71" w14:paraId="3703433D" w14:textId="77777777">
            <w:pPr>
              <w:keepNext/>
              <w:tabs>
                <w:tab w:val="left" w:pos="567"/>
                <w:tab w:val="left" w:pos="1294"/>
              </w:tabs>
              <w:autoSpaceDE w:val="0"/>
              <w:autoSpaceDN w:val="0"/>
              <w:adjustRightInd w:val="0"/>
              <w:jc w:val="both"/>
              <w:pPrChange w:id="10050" w:author="AbbVie14" w:date="2025-05-09T10:34:00Z">
                <w:pPr>
                  <w:keepNext/>
                  <w:jc w:val="center"/>
                </w:pPr>
              </w:pPrChange>
              <w:rPr>
                <w:del w:id="10051" w:author="AbbVie14" w:date="2025-05-09T10:34:00Z"/>
                <w:sz w:val="22"/>
                <w:szCs w:val="22"/>
              </w:rPr>
            </w:pPr>
            <w:del w:id="10052" w:author="AbbVie14" w:date="2025-05-09T10:34:00Z">
              <w:r w:rsidRPr="00295E71">
                <w:rPr>
                  <w:sz w:val="22"/>
                  <w:szCs w:val="22"/>
                </w:rPr>
                <w:delText>-56,2</w:delText>
              </w:r>
            </w:del>
            <w:del w:id="10053" w:author="AbbVie14" w:date="2025-05-09T10:34:00Z">
              <w:r w:rsidRPr="00295E71">
                <w:rPr>
                  <w:sz w:val="22"/>
                  <w:szCs w:val="22"/>
                  <w:vertAlign w:val="superscript"/>
                </w:rPr>
                <w:delText>a</w:delText>
              </w:r>
            </w:del>
          </w:p>
        </w:tc>
        <w:tc>
          <w:tcPr>
            <w:tcW w:w="2268" w:type="dxa"/>
          </w:tcPr>
          <w:p w:rsidR="006224C2" w:rsidRPr="00295E71" w14:paraId="1337566D" w14:textId="77777777">
            <w:pPr>
              <w:keepNext/>
              <w:tabs>
                <w:tab w:val="left" w:pos="567"/>
                <w:tab w:val="left" w:pos="1294"/>
              </w:tabs>
              <w:autoSpaceDE w:val="0"/>
              <w:autoSpaceDN w:val="0"/>
              <w:adjustRightInd w:val="0"/>
              <w:jc w:val="both"/>
              <w:pPrChange w:id="10054" w:author="AbbVie14" w:date="2025-05-09T10:34:00Z">
                <w:pPr>
                  <w:pStyle w:val="gtctablespaceafter"/>
                  <w:keepNext/>
                  <w:spacing w:after="0"/>
                  <w:jc w:val="center"/>
                </w:pPr>
              </w:pPrChange>
              <w:rPr>
                <w:del w:id="10055" w:author="AbbVie14" w:date="2025-05-09T10:34:00Z"/>
                <w:sz w:val="22"/>
                <w:szCs w:val="22"/>
              </w:rPr>
            </w:pPr>
            <w:del w:id="10056" w:author="AbbVie14" w:date="2025-05-09T10:34:00Z">
              <w:r w:rsidRPr="00295E71">
                <w:rPr>
                  <w:sz w:val="22"/>
                  <w:szCs w:val="22"/>
                </w:rPr>
                <w:delText>-72,2</w:delText>
              </w:r>
            </w:del>
          </w:p>
        </w:tc>
      </w:tr>
      <w:tr w14:paraId="3E53D874" w14:textId="77777777">
        <w:tblPrEx>
          <w:tblW w:w="0" w:type="auto"/>
          <w:tblLayout w:type="fixed"/>
          <w:tblLook w:val="04A0"/>
        </w:tblPrEx>
        <w:trPr>
          <w:del w:id="10057" w:author="AbbVie14" w:date="2025-05-09T10:34:00Z"/>
        </w:trPr>
        <w:tc>
          <w:tcPr>
            <w:tcW w:w="9576" w:type="dxa"/>
            <w:gridSpan w:val="6"/>
          </w:tcPr>
          <w:p w:rsidR="006224C2" w:rsidRPr="00295E71" w14:paraId="604125CB" w14:textId="77777777">
            <w:pPr>
              <w:keepNext/>
              <w:tabs>
                <w:tab w:val="left" w:pos="567"/>
                <w:tab w:val="left" w:pos="1294"/>
              </w:tabs>
              <w:autoSpaceDE w:val="0"/>
              <w:autoSpaceDN w:val="0"/>
              <w:adjustRightInd w:val="0"/>
              <w:jc w:val="both"/>
              <w:pPrChange w:id="10058" w:author="AbbVie14" w:date="2025-05-09T10:34:00Z">
                <w:pPr>
                  <w:pStyle w:val="gtctablespaceafter"/>
                  <w:keepNext/>
                  <w:spacing w:after="0"/>
                </w:pPr>
              </w:pPrChange>
              <w:rPr>
                <w:del w:id="10059" w:author="AbbVie14" w:date="2025-05-09T10:34:00Z"/>
                <w:sz w:val="22"/>
                <w:szCs w:val="22"/>
              </w:rPr>
            </w:pPr>
            <w:del w:id="10060" w:author="AbbVie14" w:date="2025-05-09T10:34:00Z">
              <w:r w:rsidRPr="00295E71">
                <w:rPr>
                  <w:sz w:val="22"/>
                  <w:szCs w:val="22"/>
                  <w:vertAlign w:val="superscript"/>
                </w:rPr>
                <w:delText>a</w:delText>
              </w:r>
            </w:del>
            <w:del w:id="10061" w:author="AbbVie14" w:date="2025-05-09T10:34:00Z">
              <w:r w:rsidRPr="00295E71">
                <w:rPr>
                  <w:sz w:val="22"/>
                  <w:szCs w:val="22"/>
                </w:rPr>
                <w:delText xml:space="preserve"> p&lt;0,001, Humira </w:delText>
              </w:r>
            </w:del>
            <w:del w:id="10062" w:author="AbbVie14" w:date="2025-05-09T10:34:00Z">
              <w:r w:rsidRPr="00295E71">
                <w:rPr>
                  <w:i/>
                  <w:sz w:val="22"/>
                  <w:szCs w:val="22"/>
                </w:rPr>
                <w:delText>vs.</w:delText>
              </w:r>
            </w:del>
            <w:del w:id="10063" w:author="AbbVie14" w:date="2025-05-09T10:34:00Z">
              <w:r w:rsidRPr="00295E71">
                <w:rPr>
                  <w:sz w:val="22"/>
                  <w:szCs w:val="22"/>
                </w:rPr>
                <w:delText xml:space="preserve"> placebo </w:delText>
              </w:r>
            </w:del>
          </w:p>
        </w:tc>
      </w:tr>
    </w:tbl>
    <w:p w:rsidR="006224C2" w:rsidRPr="00295E71" w14:paraId="31A3AFB6" w14:textId="77777777">
      <w:pPr>
        <w:keepNext/>
        <w:tabs>
          <w:tab w:val="left" w:pos="567"/>
          <w:tab w:val="left" w:pos="1294"/>
        </w:tabs>
        <w:autoSpaceDE w:val="0"/>
        <w:autoSpaceDN w:val="0"/>
        <w:adjustRightInd w:val="0"/>
        <w:jc w:val="both"/>
        <w:pPrChange w:id="10064" w:author="AbbVie14" w:date="2025-05-09T10:34:00Z">
          <w:pPr>
            <w:pStyle w:val="gtctablespaceafter"/>
            <w:spacing w:after="0"/>
            <w:jc w:val="both"/>
          </w:pPr>
        </w:pPrChange>
        <w:rPr>
          <w:del w:id="10065" w:author="AbbVie14" w:date="2025-05-09T10:34:00Z"/>
          <w:sz w:val="22"/>
          <w:szCs w:val="22"/>
        </w:rPr>
      </w:pPr>
    </w:p>
    <w:p w:rsidR="006224C2" w:rsidRPr="00287663" w14:paraId="6F989D39" w14:textId="77777777">
      <w:pPr>
        <w:keepNext/>
        <w:tabs>
          <w:tab w:val="left" w:pos="567"/>
          <w:tab w:val="left" w:pos="1294"/>
        </w:tabs>
        <w:autoSpaceDE w:val="0"/>
        <w:autoSpaceDN w:val="0"/>
        <w:adjustRightInd w:val="0"/>
        <w:jc w:val="both"/>
        <w:pPrChange w:id="10066" w:author="AbbVie14" w:date="2025-05-09T10:34:00Z">
          <w:pPr>
            <w:tabs>
              <w:tab w:val="left" w:pos="567"/>
            </w:tabs>
            <w:jc w:val="both"/>
          </w:pPr>
        </w:pPrChange>
        <w:rPr>
          <w:del w:id="10067" w:author="AbbVie14" w:date="2025-05-09T10:34:00Z"/>
          <w:sz w:val="22"/>
          <w:szCs w:val="22"/>
          <w:lang w:eastAsia="en-US"/>
        </w:rPr>
      </w:pPr>
      <w:del w:id="10068" w:author="AbbVie14" w:date="2025-05-09T10:34:00Z">
        <w:r w:rsidRPr="00295E71">
          <w:rPr>
            <w:sz w:val="22"/>
            <w:szCs w:val="22"/>
            <w:lang w:eastAsia="en-US"/>
          </w:rPr>
          <w:delText xml:space="preserve">I </w:delText>
        </w:r>
      </w:del>
      <w:del w:id="10069" w:author="AbbVie14" w:date="2025-05-09T10:34:00Z">
        <w:r w:rsidRPr="00287663">
          <w:rPr>
            <w:sz w:val="22"/>
            <w:szCs w:val="22"/>
            <w:lang w:eastAsia="en-US"/>
          </w:rPr>
          <w:delText>pazienti trattati con Humira hanno mostrato miglioramenti statisticamente significativi alla settimana 26 rispetto al placebo nel DLQI.</w:delText>
        </w:r>
      </w:del>
    </w:p>
    <w:p w:rsidR="006224C2" w:rsidRPr="00287663" w14:paraId="4CD4982E" w14:textId="77777777">
      <w:pPr>
        <w:keepNext/>
        <w:tabs>
          <w:tab w:val="left" w:pos="567"/>
          <w:tab w:val="left" w:pos="1294"/>
        </w:tabs>
        <w:autoSpaceDE w:val="0"/>
        <w:autoSpaceDN w:val="0"/>
        <w:adjustRightInd w:val="0"/>
        <w:jc w:val="both"/>
        <w:pPrChange w:id="10070" w:author="AbbVie14" w:date="2025-05-09T10:34:00Z">
          <w:pPr>
            <w:tabs>
              <w:tab w:val="left" w:pos="567"/>
            </w:tabs>
            <w:jc w:val="both"/>
          </w:pPr>
        </w:pPrChange>
        <w:rPr>
          <w:del w:id="10071" w:author="AbbVie14" w:date="2025-05-09T10:34:00Z"/>
          <w:i/>
          <w:color w:val="000000"/>
          <w:sz w:val="22"/>
          <w:szCs w:val="22"/>
        </w:rPr>
      </w:pPr>
    </w:p>
    <w:p w:rsidR="006224C2" w:rsidRPr="00287663" w14:paraId="12DEFBF3" w14:textId="77777777">
      <w:pPr>
        <w:keepNext/>
        <w:keepLines w:val="0"/>
        <w:tabs>
          <w:tab w:val="left" w:pos="567"/>
          <w:tab w:val="left" w:pos="1294"/>
        </w:tabs>
        <w:autoSpaceDE w:val="0"/>
        <w:autoSpaceDN w:val="0"/>
        <w:adjustRightInd w:val="0"/>
        <w:jc w:val="both"/>
        <w:pPrChange w:id="10072" w:author="AbbVie14" w:date="2025-05-09T10:34:00Z">
          <w:pPr>
            <w:keepNext/>
            <w:keepLines/>
          </w:pPr>
        </w:pPrChange>
        <w:rPr>
          <w:del w:id="10073" w:author="AbbVie14" w:date="2025-05-09T10:34:00Z"/>
          <w:i/>
          <w:color w:val="000000"/>
          <w:sz w:val="22"/>
          <w:szCs w:val="22"/>
        </w:rPr>
      </w:pPr>
      <w:del w:id="10074" w:author="AbbVie14" w:date="2025-05-09T10:34:00Z">
        <w:r w:rsidRPr="00287663">
          <w:rPr>
            <w:i/>
            <w:color w:val="000000"/>
            <w:sz w:val="22"/>
            <w:szCs w:val="22"/>
          </w:rPr>
          <w:delText>Idrosadenite Suppurativa</w:delText>
        </w:r>
      </w:del>
    </w:p>
    <w:p w:rsidR="006224C2" w:rsidRPr="00287663" w14:paraId="0F744796" w14:textId="77777777">
      <w:pPr>
        <w:keepNext/>
        <w:tabs>
          <w:tab w:val="left" w:pos="567"/>
          <w:tab w:val="left" w:pos="1294"/>
        </w:tabs>
        <w:autoSpaceDE w:val="0"/>
        <w:autoSpaceDN w:val="0"/>
        <w:adjustRightInd w:val="0"/>
        <w:jc w:val="both"/>
        <w:pPrChange w:id="10075" w:author="AbbVie14" w:date="2025-05-09T10:34:00Z">
          <w:pPr>
            <w:pStyle w:val="EMEAHeadingUnderline"/>
            <w:keepNext/>
            <w:keepLines/>
            <w:spacing w:beforeLines="0" w:afterLines="0"/>
            <w:jc w:val="both"/>
          </w:pPr>
        </w:pPrChange>
        <w:rPr>
          <w:del w:id="10076" w:author="AbbVie14" w:date="2025-05-09T10:34:00Z"/>
        </w:rPr>
      </w:pPr>
    </w:p>
    <w:p w:rsidR="006224C2" w:rsidRPr="00295E71" w14:paraId="7AEB02B5" w14:textId="77777777">
      <w:pPr>
        <w:keepNext/>
        <w:keepLines w:val="0"/>
        <w:tabs>
          <w:tab w:val="left" w:pos="567"/>
          <w:tab w:val="left" w:pos="1294"/>
        </w:tabs>
        <w:autoSpaceDE w:val="0"/>
        <w:autoSpaceDN w:val="0"/>
        <w:adjustRightInd w:val="0"/>
        <w:jc w:val="both"/>
        <w:pPrChange w:id="10077" w:author="AbbVie14" w:date="2025-05-09T10:34:00Z">
          <w:pPr>
            <w:keepNext/>
            <w:keepLines/>
          </w:pPr>
        </w:pPrChange>
        <w:rPr>
          <w:del w:id="10078" w:author="AbbVie14" w:date="2025-05-09T10:34:00Z"/>
          <w:sz w:val="22"/>
          <w:szCs w:val="22"/>
        </w:rPr>
      </w:pPr>
      <w:del w:id="10079" w:author="AbbVie14" w:date="2025-05-09T10:34:00Z">
        <w:r w:rsidRPr="00287663">
          <w:rPr>
            <w:sz w:val="22"/>
            <w:szCs w:val="22"/>
            <w:lang w:eastAsia="en-US"/>
          </w:rPr>
          <w:delText>La sicurezza e l’efficacia</w:delText>
        </w:r>
      </w:del>
      <w:del w:id="10080" w:author="AbbVie14" w:date="2025-05-09T10:34:00Z">
        <w:r w:rsidRPr="00295E71">
          <w:rPr>
            <w:sz w:val="22"/>
            <w:szCs w:val="22"/>
            <w:lang w:eastAsia="en-US"/>
          </w:rPr>
          <w:delText xml:space="preserve"> di Humira sono state valutate in studi randomizzati, in doppio cieco, controllati con placebo e in uno studio di estensione in aperto, in pazienti adulti affetti da</w:delText>
        </w:r>
      </w:del>
      <w:del w:id="10081" w:author="AbbVie14" w:date="2025-05-09T10:34:00Z">
        <w:r w:rsidR="00A02331">
          <w:rPr>
            <w:sz w:val="22"/>
            <w:szCs w:val="22"/>
            <w:lang w:eastAsia="en-US"/>
          </w:rPr>
          <w:delText xml:space="preserve"> </w:delText>
        </w:r>
      </w:del>
      <w:del w:id="10082" w:author="AbbVie14" w:date="2025-05-09T10:34:00Z">
        <w:r w:rsidRPr="00295E71">
          <w:rPr>
            <w:sz w:val="22"/>
            <w:szCs w:val="22"/>
            <w:lang w:eastAsia="en-US"/>
          </w:rPr>
          <w:delText xml:space="preserve">Idrosadenite Suppurativa (HS) di grado da moderato a severo, che erano intolleranti, presentavano una controindicazione o una risposta inadeguata ad almeno 3 mesi di terapia antibiotica sistemica. I pazienti in HS-I e HS-II avevano uno Stadio Hurley II o III della malattia con almeno 3 ascessi o noduli infiammatori. </w:delText>
        </w:r>
      </w:del>
    </w:p>
    <w:p w:rsidR="006224C2" w:rsidRPr="00295E71" w14:paraId="24D3C2F5" w14:textId="77777777">
      <w:pPr>
        <w:keepNext/>
        <w:tabs>
          <w:tab w:val="left" w:pos="567"/>
          <w:tab w:val="left" w:pos="1294"/>
        </w:tabs>
        <w:autoSpaceDE w:val="0"/>
        <w:autoSpaceDN w:val="0"/>
        <w:adjustRightInd w:val="0"/>
        <w:jc w:val="both"/>
        <w:pPrChange w:id="10083" w:author="AbbVie14" w:date="2025-05-09T10:34:00Z">
          <w:pPr/>
        </w:pPrChange>
        <w:rPr>
          <w:del w:id="10084" w:author="AbbVie14" w:date="2025-05-09T10:34:00Z"/>
          <w:sz w:val="22"/>
          <w:szCs w:val="22"/>
        </w:rPr>
      </w:pPr>
    </w:p>
    <w:p w:rsidR="006224C2" w:rsidRPr="00295E71" w14:paraId="6AEAE560" w14:textId="77777777">
      <w:pPr>
        <w:keepNext/>
        <w:tabs>
          <w:tab w:val="left" w:pos="567"/>
          <w:tab w:val="left" w:pos="1294"/>
        </w:tabs>
        <w:autoSpaceDE w:val="0"/>
        <w:autoSpaceDN w:val="0"/>
        <w:adjustRightInd w:val="0"/>
        <w:jc w:val="both"/>
        <w:pPrChange w:id="10085" w:author="AbbVie14" w:date="2025-05-09T10:34:00Z">
          <w:pPr/>
        </w:pPrChange>
        <w:rPr>
          <w:del w:id="10086" w:author="AbbVie14" w:date="2025-05-09T10:34:00Z"/>
          <w:sz w:val="22"/>
          <w:szCs w:val="22"/>
        </w:rPr>
      </w:pPr>
      <w:del w:id="10087" w:author="AbbVie14" w:date="2025-05-09T10:34:00Z">
        <w:r w:rsidRPr="00295E71">
          <w:rPr>
            <w:sz w:val="22"/>
            <w:szCs w:val="22"/>
            <w:lang w:eastAsia="en-US"/>
          </w:rPr>
          <w:delText>Lo Studio HS-I (PIONEER I) ha valutato 307 pazienti con 2 periodi di trattamento. Nel Periodo A, i pazienti hanno ricevuto placebo o Humira ad una dose iniziale di 160 mg alla settimana 0, 80 mg alla settimana 2 e 40 mg ogni settimana a partire dalla settimana 4 fino alla settimana 11. Durante lo studio non era consentito l’uso concomitante di antibiotici. Dopo 12 settimane di trattamento, i pazienti che avevano ricevuto Humira nel Periodo A sono stati randomizzati nel Periodo B ad 1 dei 3 gruppi di trattamento (Humira 40 mg ogni settimana, Humira 40 mg a settimane alterne o placebo dalla settimana 12 alla settimana 35). I pazienti che erano stati randomizzati</w:delText>
        </w:r>
      </w:del>
      <w:del w:id="10088" w:author="AbbVie14" w:date="2025-05-09T10:34:00Z">
        <w:r w:rsidR="00A02331">
          <w:rPr>
            <w:sz w:val="22"/>
            <w:szCs w:val="22"/>
            <w:lang w:eastAsia="en-US"/>
          </w:rPr>
          <w:delText xml:space="preserve"> </w:delText>
        </w:r>
      </w:del>
      <w:del w:id="10089" w:author="AbbVie14" w:date="2025-05-09T10:34:00Z">
        <w:r w:rsidRPr="00295E71">
          <w:rPr>
            <w:sz w:val="22"/>
            <w:szCs w:val="22"/>
            <w:lang w:eastAsia="en-US"/>
          </w:rPr>
          <w:delText>al placebo nel Periodo A, sono stati assegnati a ricevere Humira 40 mg ogni settimana nel Periodo B.</w:delText>
        </w:r>
      </w:del>
    </w:p>
    <w:p w:rsidR="006224C2" w:rsidRPr="00295E71" w14:paraId="506E92CE" w14:textId="77777777">
      <w:pPr>
        <w:keepNext/>
        <w:tabs>
          <w:tab w:val="left" w:pos="567"/>
          <w:tab w:val="left" w:pos="1294"/>
        </w:tabs>
        <w:autoSpaceDE w:val="0"/>
        <w:autoSpaceDN w:val="0"/>
        <w:adjustRightInd w:val="0"/>
        <w:jc w:val="both"/>
        <w:pPrChange w:id="10090" w:author="AbbVie14" w:date="2025-05-09T10:34:00Z">
          <w:pPr/>
        </w:pPrChange>
        <w:rPr>
          <w:del w:id="10091" w:author="AbbVie14" w:date="2025-05-09T10:34:00Z"/>
          <w:sz w:val="22"/>
          <w:szCs w:val="22"/>
        </w:rPr>
      </w:pPr>
    </w:p>
    <w:p w:rsidR="006224C2" w:rsidRPr="00295E71" w14:paraId="3D02B749" w14:textId="77777777">
      <w:pPr>
        <w:keepNext/>
        <w:tabs>
          <w:tab w:val="left" w:pos="567"/>
          <w:tab w:val="left" w:pos="1294"/>
        </w:tabs>
        <w:autoSpaceDE w:val="0"/>
        <w:autoSpaceDN w:val="0"/>
        <w:adjustRightInd w:val="0"/>
        <w:jc w:val="both"/>
        <w:pPrChange w:id="10092" w:author="AbbVie14" w:date="2025-05-09T10:34:00Z">
          <w:pPr/>
        </w:pPrChange>
        <w:rPr>
          <w:del w:id="10093" w:author="AbbVie14" w:date="2025-05-09T10:34:00Z"/>
          <w:sz w:val="22"/>
          <w:szCs w:val="22"/>
        </w:rPr>
      </w:pPr>
      <w:del w:id="10094" w:author="AbbVie14" w:date="2025-05-09T10:34:00Z">
        <w:r w:rsidRPr="00295E71">
          <w:rPr>
            <w:sz w:val="22"/>
            <w:szCs w:val="22"/>
            <w:lang w:eastAsia="en-US"/>
          </w:rPr>
          <w:delText>Lo Studio HS-II (PIONEER II) ha valutato 326 pazienti con 2 periodi di trattamento. Nel Periodo A, i pazienti hanno ricevuto placebo o Humira ad una dose iniziale di 160 mg alla settimana 0, 80 mg alla settimana 2 e 40 mg ogni settimana a partire dalla settimana 4 fino alla settimana 11. Durante lo studio il 19,3% dei pazienti ha continuato la terapia antibiotica orale che faceva all’inizio dello studio. Dopo 12 settimane di trattamento, i pazienti che avevano ricevuto Humira nel Periodo A sono stati randomizzati nel Periodo B ad 1 dei 3 gruppi di trattamento (Humira 40 mg ogni settimana, Humira 40 mg a settimane alterne o placebo dalla settimana 12 alla settimana 35). I pazienti che erano stati randomizzati al placebo nel Periodo A, sono stati assegnati a ricevere placebo nel Periodo B.</w:delText>
        </w:r>
      </w:del>
    </w:p>
    <w:p w:rsidR="006224C2" w:rsidRPr="00295E71" w14:paraId="2C3E4C2E" w14:textId="77777777">
      <w:pPr>
        <w:keepNext/>
        <w:tabs>
          <w:tab w:val="left" w:pos="567"/>
          <w:tab w:val="left" w:pos="1294"/>
        </w:tabs>
        <w:autoSpaceDE w:val="0"/>
        <w:autoSpaceDN w:val="0"/>
        <w:adjustRightInd w:val="0"/>
        <w:jc w:val="both"/>
        <w:pPrChange w:id="10095" w:author="AbbVie14" w:date="2025-05-09T10:34:00Z">
          <w:pPr/>
        </w:pPrChange>
        <w:rPr>
          <w:del w:id="10096" w:author="AbbVie14" w:date="2025-05-09T10:34:00Z"/>
          <w:sz w:val="22"/>
          <w:szCs w:val="22"/>
        </w:rPr>
      </w:pPr>
    </w:p>
    <w:p w:rsidR="006224C2" w:rsidRPr="00295E71" w14:paraId="6CFD4053" w14:textId="77777777">
      <w:pPr>
        <w:keepNext/>
        <w:tabs>
          <w:tab w:val="left" w:pos="567"/>
          <w:tab w:val="left" w:pos="1294"/>
        </w:tabs>
        <w:autoSpaceDE w:val="0"/>
        <w:autoSpaceDN w:val="0"/>
        <w:adjustRightInd w:val="0"/>
        <w:jc w:val="both"/>
        <w:pPrChange w:id="10097" w:author="AbbVie14" w:date="2025-05-09T10:34:00Z">
          <w:pPr/>
        </w:pPrChange>
        <w:rPr>
          <w:del w:id="10098" w:author="AbbVie14" w:date="2025-05-09T10:34:00Z"/>
          <w:sz w:val="22"/>
          <w:szCs w:val="22"/>
        </w:rPr>
      </w:pPr>
      <w:del w:id="10099" w:author="AbbVie14" w:date="2025-05-09T10:34:00Z">
        <w:r w:rsidRPr="00295E71">
          <w:rPr>
            <w:sz w:val="22"/>
            <w:szCs w:val="22"/>
            <w:lang w:eastAsia="en-US"/>
          </w:rPr>
          <w:delText xml:space="preserve">I pazienti che avevano preso parte agli Studi HS-I e HS-II erano idonei a partecipare ad uno studio di estensione in aperto in cui ogni settimana veniva somministrato Humira 40 mg. </w:delText>
        </w:r>
      </w:del>
      <w:del w:id="10100" w:author="AbbVie14" w:date="2025-05-09T10:34:00Z">
        <w:r w:rsidRPr="00295E71" w:rsidR="00176CDB">
          <w:rPr>
            <w:sz w:val="22"/>
            <w:szCs w:val="22"/>
            <w:lang w:eastAsia="en-US"/>
          </w:rPr>
          <w:delText xml:space="preserve">L’esposizione media in tutta la popolazione trattata con adalimumab è stata di 762 giorni. </w:delText>
        </w:r>
      </w:del>
      <w:del w:id="10101" w:author="AbbVie14" w:date="2025-05-09T10:34:00Z">
        <w:r w:rsidRPr="00295E71">
          <w:rPr>
            <w:sz w:val="22"/>
            <w:szCs w:val="22"/>
            <w:lang w:eastAsia="en-US"/>
          </w:rPr>
          <w:delText>Durante tutti e 3 gli studi, i pazienti hanno usato tutti i giorni una soluzione di lavaggio antisettica topica.</w:delText>
        </w:r>
      </w:del>
    </w:p>
    <w:p w:rsidR="006224C2" w:rsidRPr="00295E71" w14:paraId="4A999229" w14:textId="77777777">
      <w:pPr>
        <w:keepNext/>
        <w:tabs>
          <w:tab w:val="left" w:pos="567"/>
          <w:tab w:val="left" w:pos="1294"/>
        </w:tabs>
        <w:autoSpaceDE w:val="0"/>
        <w:autoSpaceDN w:val="0"/>
        <w:adjustRightInd w:val="0"/>
        <w:jc w:val="both"/>
        <w:pPrChange w:id="10102" w:author="AbbVie14" w:date="2025-05-09T10:34:00Z">
          <w:pPr/>
        </w:pPrChange>
        <w:rPr>
          <w:del w:id="10103" w:author="AbbVie14" w:date="2025-05-09T10:34:00Z"/>
          <w:sz w:val="22"/>
          <w:szCs w:val="22"/>
        </w:rPr>
      </w:pPr>
    </w:p>
    <w:p w:rsidR="006224C2" w:rsidRPr="00295E71" w14:paraId="0088F8DA" w14:textId="77777777">
      <w:pPr>
        <w:keepNext/>
        <w:tabs>
          <w:tab w:val="left" w:pos="567"/>
          <w:tab w:val="left" w:pos="1294"/>
        </w:tabs>
        <w:autoSpaceDE w:val="0"/>
        <w:autoSpaceDN w:val="0"/>
        <w:adjustRightInd w:val="0"/>
        <w:jc w:val="both"/>
        <w:pPrChange w:id="10104" w:author="AbbVie14" w:date="2025-05-09T10:34:00Z">
          <w:pPr>
            <w:keepNext/>
          </w:pPr>
        </w:pPrChange>
        <w:rPr>
          <w:del w:id="10105" w:author="AbbVie14" w:date="2025-05-09T10:34:00Z"/>
          <w:i/>
          <w:sz w:val="22"/>
          <w:szCs w:val="22"/>
          <w:u w:val="single"/>
        </w:rPr>
      </w:pPr>
      <w:del w:id="10106" w:author="AbbVie14" w:date="2025-05-09T10:34:00Z">
        <w:r w:rsidRPr="00295E71">
          <w:rPr>
            <w:i/>
            <w:sz w:val="22"/>
            <w:szCs w:val="22"/>
            <w:u w:val="single"/>
            <w:lang w:eastAsia="en-US"/>
          </w:rPr>
          <w:delText>Risposta Clinica</w:delText>
        </w:r>
      </w:del>
    </w:p>
    <w:p w:rsidR="006224C2" w:rsidRPr="00295E71" w14:paraId="21BF8163" w14:textId="77777777">
      <w:pPr>
        <w:keepNext/>
        <w:tabs>
          <w:tab w:val="left" w:pos="567"/>
          <w:tab w:val="left" w:pos="1294"/>
        </w:tabs>
        <w:autoSpaceDE w:val="0"/>
        <w:autoSpaceDN w:val="0"/>
        <w:adjustRightInd w:val="0"/>
        <w:jc w:val="both"/>
        <w:pPrChange w:id="10107" w:author="AbbVie14" w:date="2025-05-09T10:34:00Z">
          <w:pPr>
            <w:keepNext/>
          </w:pPr>
        </w:pPrChange>
        <w:rPr>
          <w:del w:id="10108" w:author="AbbVie14" w:date="2025-05-09T10:34:00Z"/>
          <w:i/>
          <w:sz w:val="22"/>
          <w:szCs w:val="22"/>
        </w:rPr>
      </w:pPr>
    </w:p>
    <w:p w:rsidR="006224C2" w:rsidRPr="00295E71" w14:paraId="4AD383AA" w14:textId="77777777">
      <w:pPr>
        <w:keepNext/>
        <w:tabs>
          <w:tab w:val="left" w:pos="567"/>
          <w:tab w:val="left" w:pos="1294"/>
        </w:tabs>
        <w:autoSpaceDE w:val="0"/>
        <w:autoSpaceDN w:val="0"/>
        <w:adjustRightInd w:val="0"/>
        <w:jc w:val="both"/>
        <w:pPrChange w:id="10109" w:author="AbbVie14" w:date="2025-05-09T10:34:00Z">
          <w:pPr/>
        </w:pPrChange>
        <w:rPr>
          <w:del w:id="10110" w:author="AbbVie14" w:date="2025-05-09T10:34:00Z"/>
          <w:sz w:val="22"/>
          <w:szCs w:val="22"/>
        </w:rPr>
      </w:pPr>
      <w:del w:id="10111" w:author="AbbVie14" w:date="2025-05-09T10:34:00Z">
        <w:r w:rsidRPr="00295E71">
          <w:rPr>
            <w:sz w:val="22"/>
            <w:szCs w:val="22"/>
            <w:lang w:eastAsia="en-US"/>
          </w:rPr>
          <w:delText>La riduzione delle lesioni infiammatorie e la prevenzione del peggioramento degli ascessi e delle fistole drenanti sono state valutate utilizzando l’Hidradenitis Suppurativa Clinical Response (HiSCR; una riduzione di almeno il 50% nella conta totale di ascessi e noduli infiammatori senza aumento nella conta degli ascessi né di fistole drenanti rispetto al valore basale). La riduzione del dolore</w:delText>
        </w:r>
      </w:del>
      <w:del w:id="10112" w:author="AbbVie14" w:date="2025-05-09T10:34:00Z">
        <w:r w:rsidR="00A02331">
          <w:rPr>
            <w:sz w:val="22"/>
            <w:szCs w:val="22"/>
            <w:lang w:eastAsia="en-US"/>
          </w:rPr>
          <w:delText xml:space="preserve"> </w:delText>
        </w:r>
      </w:del>
      <w:del w:id="10113" w:author="AbbVie14" w:date="2025-05-09T10:34:00Z">
        <w:r w:rsidRPr="00295E71">
          <w:rPr>
            <w:sz w:val="22"/>
            <w:szCs w:val="22"/>
            <w:lang w:eastAsia="en-US"/>
          </w:rPr>
          <w:delText>cutaneo riferito</w:delText>
        </w:r>
      </w:del>
      <w:del w:id="10114" w:author="AbbVie14" w:date="2025-05-09T10:34:00Z">
        <w:r w:rsidR="00A02331">
          <w:rPr>
            <w:sz w:val="22"/>
            <w:szCs w:val="22"/>
            <w:lang w:eastAsia="en-US"/>
          </w:rPr>
          <w:delText xml:space="preserve"> </w:delText>
        </w:r>
      </w:del>
      <w:del w:id="10115" w:author="AbbVie14" w:date="2025-05-09T10:34:00Z">
        <w:r w:rsidRPr="00295E71">
          <w:rPr>
            <w:sz w:val="22"/>
            <w:szCs w:val="22"/>
            <w:lang w:eastAsia="en-US"/>
          </w:rPr>
          <w:delText>all’Idrosadenite Suppurativa (HS) è stata valutata utilizzando la Scala di Valutazione Numerica (Numeric Rating Scale) nei pazienti che erano entrati nello studio con un punteggio basale iniziale pari a 3 o superiore su una scala di 11 punti.</w:delText>
        </w:r>
      </w:del>
    </w:p>
    <w:p w:rsidR="006224C2" w:rsidRPr="00295E71" w14:paraId="2F6EE7CA" w14:textId="77777777">
      <w:pPr>
        <w:keepNext/>
        <w:tabs>
          <w:tab w:val="left" w:pos="567"/>
          <w:tab w:val="left" w:pos="1294"/>
        </w:tabs>
        <w:autoSpaceDE w:val="0"/>
        <w:autoSpaceDN w:val="0"/>
        <w:adjustRightInd w:val="0"/>
        <w:jc w:val="both"/>
        <w:pPrChange w:id="10116" w:author="AbbVie14" w:date="2025-05-09T10:34:00Z">
          <w:pPr/>
        </w:pPrChange>
        <w:rPr>
          <w:del w:id="10117" w:author="AbbVie14" w:date="2025-05-09T10:34:00Z"/>
          <w:sz w:val="22"/>
          <w:szCs w:val="22"/>
        </w:rPr>
      </w:pPr>
    </w:p>
    <w:p w:rsidR="006224C2" w:rsidRPr="00295E71" w14:paraId="4CBEF611" w14:textId="77777777">
      <w:pPr>
        <w:keepNext/>
        <w:tabs>
          <w:tab w:val="left" w:pos="567"/>
          <w:tab w:val="left" w:pos="1294"/>
        </w:tabs>
        <w:autoSpaceDE w:val="0"/>
        <w:autoSpaceDN w:val="0"/>
        <w:adjustRightInd w:val="0"/>
        <w:jc w:val="both"/>
        <w:pPrChange w:id="10118" w:author="AbbVie14" w:date="2025-05-09T10:34:00Z">
          <w:pPr/>
        </w:pPrChange>
        <w:rPr>
          <w:del w:id="10119" w:author="AbbVie14" w:date="2025-05-09T10:34:00Z"/>
          <w:sz w:val="22"/>
          <w:szCs w:val="22"/>
          <w:lang w:eastAsia="en-US"/>
        </w:rPr>
      </w:pPr>
      <w:del w:id="10120" w:author="AbbVie14" w:date="2025-05-09T10:34:00Z">
        <w:r w:rsidRPr="00295E71">
          <w:rPr>
            <w:sz w:val="22"/>
            <w:szCs w:val="22"/>
            <w:lang w:eastAsia="en-US"/>
          </w:rPr>
          <w:delText>Alla settimana 12, una percentuale significativamente maggiore di pazienti trattati con Humira</w:delText>
        </w:r>
      </w:del>
      <w:del w:id="10121" w:author="AbbVie14" w:date="2025-05-09T10:34:00Z">
        <w:r w:rsidR="00A02331">
          <w:rPr>
            <w:sz w:val="22"/>
            <w:szCs w:val="22"/>
            <w:lang w:eastAsia="en-US"/>
          </w:rPr>
          <w:delText xml:space="preserve"> </w:delText>
        </w:r>
      </w:del>
      <w:del w:id="10122" w:author="AbbVie14" w:date="2025-05-09T10:34:00Z">
        <w:r w:rsidRPr="0002593D">
          <w:rPr>
            <w:sz w:val="22"/>
            <w:szCs w:val="22"/>
            <w:lang w:eastAsia="en-US"/>
          </w:rPr>
          <w:delText>verso</w:delText>
        </w:r>
      </w:del>
      <w:del w:id="10123" w:author="AbbVie14" w:date="2025-05-09T10:34:00Z">
        <w:r w:rsidRPr="00295E71">
          <w:rPr>
            <w:i/>
            <w:sz w:val="22"/>
            <w:szCs w:val="22"/>
            <w:lang w:eastAsia="en-US"/>
          </w:rPr>
          <w:delText xml:space="preserve"> </w:delText>
        </w:r>
      </w:del>
      <w:del w:id="10124" w:author="AbbVie14" w:date="2025-05-09T10:34:00Z">
        <w:r w:rsidRPr="00295E71">
          <w:rPr>
            <w:sz w:val="22"/>
            <w:szCs w:val="22"/>
            <w:lang w:eastAsia="en-US"/>
          </w:rPr>
          <w:delText>placebo ha raggiunto HiSCR. Alla settimana 12, una percentuale significativamente superiore di pazienti nello Studio HS-II ha mostrato</w:delText>
        </w:r>
      </w:del>
      <w:del w:id="10125" w:author="AbbVie14" w:date="2025-05-09T10:34:00Z">
        <w:r w:rsidR="00A02331">
          <w:rPr>
            <w:sz w:val="22"/>
            <w:szCs w:val="22"/>
            <w:lang w:eastAsia="en-US"/>
          </w:rPr>
          <w:delText xml:space="preserve"> </w:delText>
        </w:r>
      </w:del>
      <w:del w:id="10126" w:author="AbbVie14" w:date="2025-05-09T10:34:00Z">
        <w:r w:rsidRPr="00295E71">
          <w:rPr>
            <w:sz w:val="22"/>
            <w:szCs w:val="22"/>
            <w:lang w:eastAsia="en-US"/>
          </w:rPr>
          <w:delText>una diminuzione clinicamente rilevante del dolore cutaneo</w:delText>
        </w:r>
      </w:del>
      <w:del w:id="10127" w:author="AbbVie14" w:date="2025-05-09T10:34:00Z">
        <w:r w:rsidR="00A02331">
          <w:rPr>
            <w:sz w:val="22"/>
            <w:szCs w:val="22"/>
            <w:lang w:eastAsia="en-US"/>
          </w:rPr>
          <w:delText xml:space="preserve"> </w:delText>
        </w:r>
      </w:del>
      <w:del w:id="10128" w:author="AbbVie14" w:date="2025-05-09T10:34:00Z">
        <w:r w:rsidRPr="00295E71">
          <w:rPr>
            <w:sz w:val="22"/>
            <w:szCs w:val="22"/>
            <w:lang w:eastAsia="en-US"/>
          </w:rPr>
          <w:delText xml:space="preserve">riferito all’Idrosadenite Suppurativa (HS) (vedere Tabella </w:delText>
        </w:r>
      </w:del>
      <w:del w:id="10129" w:author="AbbVie14" w:date="2025-05-09T10:34:00Z">
        <w:r w:rsidR="005C4AD7">
          <w:rPr>
            <w:sz w:val="22"/>
            <w:szCs w:val="22"/>
            <w:lang w:eastAsia="en-US"/>
          </w:rPr>
          <w:delText>19</w:delText>
        </w:r>
      </w:del>
      <w:del w:id="10130" w:author="AbbVie14" w:date="2025-05-09T10:34:00Z">
        <w:r w:rsidRPr="00295E71">
          <w:rPr>
            <w:sz w:val="22"/>
            <w:szCs w:val="22"/>
            <w:lang w:eastAsia="en-US"/>
          </w:rPr>
          <w:delText>). I pazienti trattati con Humira presentavano un rischio significativamente ridotto di riacutizzazione della malattia durante le 12 settimane iniziali di trattamento.</w:delText>
        </w:r>
      </w:del>
    </w:p>
    <w:p w:rsidR="006224C2" w:rsidRPr="00295E71" w14:paraId="54F2C12B" w14:textId="77777777">
      <w:pPr>
        <w:keepNext/>
        <w:tabs>
          <w:tab w:val="left" w:pos="567"/>
          <w:tab w:val="left" w:pos="1294"/>
        </w:tabs>
        <w:autoSpaceDE w:val="0"/>
        <w:autoSpaceDN w:val="0"/>
        <w:adjustRightInd w:val="0"/>
        <w:jc w:val="both"/>
        <w:pPrChange w:id="10131" w:author="AbbVie14" w:date="2025-05-09T10:34:00Z">
          <w:pPr/>
        </w:pPrChange>
        <w:rPr>
          <w:del w:id="10132" w:author="AbbVie14" w:date="2025-05-09T10:34:00Z"/>
          <w:b/>
          <w:sz w:val="22"/>
          <w:szCs w:val="22"/>
          <w:lang w:eastAsia="en-US"/>
        </w:rPr>
      </w:pPr>
    </w:p>
    <w:p w:rsidR="006224C2" w:rsidRPr="00295E71" w14:paraId="7FE96409" w14:textId="77777777">
      <w:pPr>
        <w:keepNext/>
        <w:keepLines w:val="0"/>
        <w:tabs>
          <w:tab w:val="left" w:pos="567"/>
          <w:tab w:val="left" w:pos="1294"/>
        </w:tabs>
        <w:autoSpaceDE w:val="0"/>
        <w:autoSpaceDN w:val="0"/>
        <w:adjustRightInd w:val="0"/>
        <w:jc w:val="both"/>
        <w:pPrChange w:id="10133" w:author="AbbVie14" w:date="2025-05-09T10:34:00Z">
          <w:pPr>
            <w:keepNext/>
            <w:keepLines/>
            <w:jc w:val="center"/>
          </w:pPr>
        </w:pPrChange>
        <w:rPr>
          <w:del w:id="10134" w:author="AbbVie14" w:date="2025-05-09T10:34:00Z"/>
          <w:b/>
          <w:sz w:val="22"/>
          <w:szCs w:val="22"/>
        </w:rPr>
      </w:pPr>
      <w:del w:id="10135" w:author="AbbVie14" w:date="2025-05-09T10:34:00Z">
        <w:r w:rsidRPr="00295E71">
          <w:rPr>
            <w:b/>
            <w:sz w:val="22"/>
            <w:szCs w:val="22"/>
            <w:lang w:eastAsia="en-US"/>
          </w:rPr>
          <w:delText xml:space="preserve">Tabella </w:delText>
        </w:r>
      </w:del>
      <w:del w:id="10136" w:author="AbbVie14" w:date="2025-05-09T10:34:00Z">
        <w:r w:rsidR="005C4AD7">
          <w:rPr>
            <w:b/>
            <w:sz w:val="22"/>
            <w:szCs w:val="22"/>
            <w:lang w:eastAsia="en-US"/>
          </w:rPr>
          <w:delText>19</w:delText>
        </w:r>
      </w:del>
      <w:del w:id="10137" w:author="AbbVie14" w:date="2025-05-09T10:34:00Z">
        <w:r w:rsidRPr="00295E71">
          <w:rPr>
            <w:b/>
            <w:sz w:val="22"/>
            <w:szCs w:val="22"/>
            <w:lang w:eastAsia="en-US"/>
          </w:rPr>
          <w:delText>: Risultati di efficacia a 12 settimane, Studi HS I e II</w:delText>
        </w:r>
      </w:del>
    </w:p>
    <w:p w:rsidR="006224C2" w:rsidRPr="00295E71" w14:paraId="37AFB02C" w14:textId="77777777">
      <w:pPr>
        <w:keepNext/>
        <w:keepLines w:val="0"/>
        <w:tabs>
          <w:tab w:val="left" w:pos="567"/>
          <w:tab w:val="left" w:pos="1294"/>
        </w:tabs>
        <w:autoSpaceDE w:val="0"/>
        <w:autoSpaceDN w:val="0"/>
        <w:adjustRightInd w:val="0"/>
        <w:jc w:val="both"/>
        <w:pPrChange w:id="10138" w:author="AbbVie14" w:date="2025-05-09T10:34:00Z">
          <w:pPr>
            <w:keepNext/>
            <w:keepLines/>
            <w:jc w:val="center"/>
          </w:pPr>
        </w:pPrChange>
        <w:rPr>
          <w:del w:id="10139" w:author="AbbVie14" w:date="2025-05-09T10:34:00Z"/>
          <w:b/>
          <w:sz w:val="22"/>
          <w:szCs w:val="22"/>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2847"/>
        <w:gridCol w:w="1440"/>
        <w:gridCol w:w="1746"/>
        <w:gridCol w:w="1404"/>
        <w:gridCol w:w="1856"/>
      </w:tblGrid>
      <w:tr w14:paraId="7B1736F7" w14:textId="77777777">
        <w:tblPrEx>
          <w:tblW w:w="9293" w:type="dxa"/>
          <w:tblLook w:val="04A0"/>
        </w:tblPrEx>
        <w:trPr>
          <w:del w:id="10140" w:author="AbbVie14" w:date="2025-05-09T10:34:00Z"/>
        </w:trPr>
        <w:tc>
          <w:tcPr>
            <w:tcW w:w="2847" w:type="dxa"/>
            <w:vMerge w:val="restart"/>
            <w:tcMar>
              <w:top w:w="0" w:type="dxa"/>
              <w:left w:w="115" w:type="dxa"/>
              <w:bottom w:w="0" w:type="dxa"/>
              <w:right w:w="115" w:type="dxa"/>
            </w:tcMar>
            <w:vAlign w:val="bottom"/>
          </w:tcPr>
          <w:p w:rsidR="006224C2" w:rsidRPr="00295E71" w14:paraId="6A06480C" w14:textId="77777777">
            <w:pPr>
              <w:keepNext/>
              <w:keepLines w:val="0"/>
              <w:tabs>
                <w:tab w:val="left" w:pos="567"/>
                <w:tab w:val="left" w:pos="1294"/>
              </w:tabs>
              <w:autoSpaceDE w:val="0"/>
              <w:autoSpaceDN w:val="0"/>
              <w:adjustRightInd w:val="0"/>
              <w:jc w:val="both"/>
              <w:pPrChange w:id="10141" w:author="AbbVie14" w:date="2025-05-09T10:34:00Z">
                <w:pPr>
                  <w:keepNext/>
                  <w:keepLines/>
                </w:pPr>
              </w:pPrChange>
              <w:rPr>
                <w:del w:id="10142" w:author="AbbVie14" w:date="2025-05-09T10:34:00Z"/>
                <w:b/>
                <w:sz w:val="22"/>
                <w:szCs w:val="22"/>
              </w:rPr>
            </w:pPr>
          </w:p>
        </w:tc>
        <w:tc>
          <w:tcPr>
            <w:tcW w:w="3186" w:type="dxa"/>
            <w:gridSpan w:val="2"/>
            <w:tcMar>
              <w:top w:w="0" w:type="dxa"/>
              <w:left w:w="115" w:type="dxa"/>
              <w:bottom w:w="0" w:type="dxa"/>
              <w:right w:w="115" w:type="dxa"/>
            </w:tcMar>
            <w:vAlign w:val="bottom"/>
          </w:tcPr>
          <w:p w:rsidR="006224C2" w:rsidRPr="00295E71" w14:paraId="0E06D9D1" w14:textId="77777777">
            <w:pPr>
              <w:keepNext/>
              <w:keepLines w:val="0"/>
              <w:tabs>
                <w:tab w:val="left" w:pos="567"/>
                <w:tab w:val="left" w:pos="1294"/>
              </w:tabs>
              <w:autoSpaceDE w:val="0"/>
              <w:autoSpaceDN w:val="0"/>
              <w:adjustRightInd w:val="0"/>
              <w:jc w:val="both"/>
              <w:pPrChange w:id="10143" w:author="AbbVie14" w:date="2025-05-09T10:34:00Z">
                <w:pPr>
                  <w:keepNext/>
                  <w:keepLines/>
                  <w:jc w:val="center"/>
                </w:pPr>
              </w:pPrChange>
              <w:rPr>
                <w:del w:id="10144" w:author="AbbVie14" w:date="2025-05-09T10:34:00Z"/>
                <w:b/>
                <w:bCs/>
                <w:sz w:val="22"/>
                <w:szCs w:val="22"/>
              </w:rPr>
            </w:pPr>
            <w:del w:id="10145" w:author="AbbVie14" w:date="2025-05-09T10:34:00Z">
              <w:r w:rsidRPr="00295E71">
                <w:rPr>
                  <w:b/>
                  <w:bCs/>
                  <w:sz w:val="22"/>
                  <w:szCs w:val="22"/>
                </w:rPr>
                <w:delText>Studio HS I</w:delText>
              </w:r>
            </w:del>
          </w:p>
        </w:tc>
        <w:tc>
          <w:tcPr>
            <w:tcW w:w="3260" w:type="dxa"/>
            <w:gridSpan w:val="2"/>
            <w:tcMar>
              <w:top w:w="0" w:type="dxa"/>
              <w:left w:w="115" w:type="dxa"/>
              <w:bottom w:w="0" w:type="dxa"/>
              <w:right w:w="115" w:type="dxa"/>
            </w:tcMar>
            <w:vAlign w:val="bottom"/>
          </w:tcPr>
          <w:p w:rsidR="006224C2" w:rsidRPr="00295E71" w14:paraId="37DED828" w14:textId="77777777">
            <w:pPr>
              <w:keepNext/>
              <w:keepLines w:val="0"/>
              <w:tabs>
                <w:tab w:val="left" w:pos="567"/>
                <w:tab w:val="left" w:pos="1294"/>
              </w:tabs>
              <w:autoSpaceDE w:val="0"/>
              <w:autoSpaceDN w:val="0"/>
              <w:adjustRightInd w:val="0"/>
              <w:jc w:val="both"/>
              <w:pPrChange w:id="10146" w:author="AbbVie14" w:date="2025-05-09T10:34:00Z">
                <w:pPr>
                  <w:keepNext/>
                  <w:keepLines/>
                  <w:jc w:val="center"/>
                </w:pPr>
              </w:pPrChange>
              <w:rPr>
                <w:del w:id="10147" w:author="AbbVie14" w:date="2025-05-09T10:34:00Z"/>
                <w:b/>
                <w:bCs/>
                <w:sz w:val="22"/>
                <w:szCs w:val="22"/>
              </w:rPr>
            </w:pPr>
            <w:del w:id="10148" w:author="AbbVie14" w:date="2025-05-09T10:34:00Z">
              <w:r w:rsidRPr="00295E71">
                <w:rPr>
                  <w:b/>
                  <w:bCs/>
                  <w:sz w:val="22"/>
                  <w:szCs w:val="22"/>
                </w:rPr>
                <w:delText>Studio HS II</w:delText>
              </w:r>
            </w:del>
          </w:p>
        </w:tc>
      </w:tr>
      <w:tr w14:paraId="7E75484F" w14:textId="77777777">
        <w:tblPrEx>
          <w:tblW w:w="9293" w:type="dxa"/>
          <w:tblLook w:val="04A0"/>
        </w:tblPrEx>
        <w:trPr>
          <w:del w:id="10149" w:author="AbbVie14" w:date="2025-05-09T10:34:00Z"/>
        </w:trPr>
        <w:tc>
          <w:tcPr>
            <w:tcW w:w="2847" w:type="dxa"/>
            <w:vMerge/>
            <w:tcMar>
              <w:top w:w="0" w:type="dxa"/>
              <w:left w:w="115" w:type="dxa"/>
              <w:bottom w:w="0" w:type="dxa"/>
              <w:right w:w="115" w:type="dxa"/>
            </w:tcMar>
            <w:vAlign w:val="center"/>
            <w:hideMark/>
          </w:tcPr>
          <w:p w:rsidR="006224C2" w:rsidRPr="00295E71" w14:paraId="44A4AA06" w14:textId="77777777">
            <w:pPr>
              <w:keepNext/>
              <w:keepLines w:val="0"/>
              <w:tabs>
                <w:tab w:val="left" w:pos="567"/>
                <w:tab w:val="left" w:pos="1294"/>
              </w:tabs>
              <w:autoSpaceDE w:val="0"/>
              <w:autoSpaceDN w:val="0"/>
              <w:adjustRightInd w:val="0"/>
              <w:jc w:val="both"/>
              <w:pPrChange w:id="10150" w:author="AbbVie14" w:date="2025-05-09T10:34:00Z">
                <w:pPr>
                  <w:keepNext/>
                  <w:keepLines/>
                </w:pPr>
              </w:pPrChange>
              <w:rPr>
                <w:del w:id="10151" w:author="AbbVie14" w:date="2025-05-09T10:34:00Z"/>
                <w:sz w:val="22"/>
                <w:szCs w:val="22"/>
              </w:rPr>
            </w:pPr>
          </w:p>
        </w:tc>
        <w:tc>
          <w:tcPr>
            <w:tcW w:w="1440" w:type="dxa"/>
            <w:tcMar>
              <w:top w:w="0" w:type="dxa"/>
              <w:left w:w="115" w:type="dxa"/>
              <w:bottom w:w="0" w:type="dxa"/>
              <w:right w:w="115" w:type="dxa"/>
            </w:tcMar>
            <w:vAlign w:val="bottom"/>
            <w:hideMark/>
          </w:tcPr>
          <w:p w:rsidR="006224C2" w:rsidRPr="00295E71" w14:paraId="7C1B919A" w14:textId="77777777">
            <w:pPr>
              <w:keepNext/>
              <w:keepLines w:val="0"/>
              <w:tabs>
                <w:tab w:val="left" w:pos="567"/>
                <w:tab w:val="left" w:pos="1294"/>
              </w:tabs>
              <w:autoSpaceDE w:val="0"/>
              <w:autoSpaceDN w:val="0"/>
              <w:adjustRightInd w:val="0"/>
              <w:jc w:val="both"/>
              <w:pPrChange w:id="10152" w:author="AbbVie14" w:date="2025-05-09T10:34:00Z">
                <w:pPr>
                  <w:keepNext/>
                  <w:keepLines/>
                  <w:jc w:val="center"/>
                </w:pPr>
              </w:pPrChange>
              <w:rPr>
                <w:del w:id="10153" w:author="AbbVie14" w:date="2025-05-09T10:34:00Z"/>
                <w:sz w:val="22"/>
                <w:szCs w:val="22"/>
              </w:rPr>
            </w:pPr>
            <w:del w:id="10154" w:author="AbbVie14" w:date="2025-05-09T10:34:00Z">
              <w:r w:rsidRPr="00295E71">
                <w:rPr>
                  <w:b/>
                  <w:bCs/>
                  <w:sz w:val="22"/>
                  <w:szCs w:val="22"/>
                </w:rPr>
                <w:delText>Placebo</w:delText>
              </w:r>
            </w:del>
          </w:p>
        </w:tc>
        <w:tc>
          <w:tcPr>
            <w:tcW w:w="1746" w:type="dxa"/>
            <w:tcMar>
              <w:top w:w="0" w:type="dxa"/>
              <w:left w:w="115" w:type="dxa"/>
              <w:bottom w:w="0" w:type="dxa"/>
              <w:right w:w="115" w:type="dxa"/>
            </w:tcMar>
            <w:vAlign w:val="bottom"/>
            <w:hideMark/>
          </w:tcPr>
          <w:p w:rsidR="006224C2" w:rsidRPr="00295E71" w14:paraId="48ADB097" w14:textId="77777777">
            <w:pPr>
              <w:keepNext/>
              <w:keepLines w:val="0"/>
              <w:tabs>
                <w:tab w:val="left" w:pos="567"/>
                <w:tab w:val="left" w:pos="1294"/>
              </w:tabs>
              <w:autoSpaceDE w:val="0"/>
              <w:autoSpaceDN w:val="0"/>
              <w:adjustRightInd w:val="0"/>
              <w:jc w:val="both"/>
              <w:pPrChange w:id="10155" w:author="AbbVie14" w:date="2025-05-09T10:34:00Z">
                <w:pPr>
                  <w:keepNext/>
                  <w:keepLines/>
                  <w:jc w:val="center"/>
                </w:pPr>
              </w:pPrChange>
              <w:rPr>
                <w:del w:id="10156" w:author="AbbVie14" w:date="2025-05-09T10:34:00Z"/>
                <w:b/>
                <w:bCs/>
                <w:sz w:val="22"/>
                <w:szCs w:val="22"/>
              </w:rPr>
            </w:pPr>
            <w:del w:id="10157" w:author="AbbVie14" w:date="2025-05-09T10:34:00Z">
              <w:r w:rsidRPr="00295E71">
                <w:rPr>
                  <w:b/>
                  <w:bCs/>
                  <w:sz w:val="22"/>
                  <w:szCs w:val="22"/>
                </w:rPr>
                <w:delText>Humira 40 mg a settimana</w:delText>
              </w:r>
            </w:del>
          </w:p>
        </w:tc>
        <w:tc>
          <w:tcPr>
            <w:tcW w:w="1404" w:type="dxa"/>
            <w:tcMar>
              <w:top w:w="0" w:type="dxa"/>
              <w:left w:w="115" w:type="dxa"/>
              <w:bottom w:w="0" w:type="dxa"/>
              <w:right w:w="115" w:type="dxa"/>
            </w:tcMar>
            <w:vAlign w:val="bottom"/>
            <w:hideMark/>
          </w:tcPr>
          <w:p w:rsidR="006224C2" w:rsidRPr="00295E71" w14:paraId="4A5C5D35" w14:textId="77777777">
            <w:pPr>
              <w:keepNext/>
              <w:keepLines w:val="0"/>
              <w:tabs>
                <w:tab w:val="left" w:pos="567"/>
                <w:tab w:val="left" w:pos="1294"/>
              </w:tabs>
              <w:autoSpaceDE w:val="0"/>
              <w:autoSpaceDN w:val="0"/>
              <w:adjustRightInd w:val="0"/>
              <w:jc w:val="both"/>
              <w:pPrChange w:id="10158" w:author="AbbVie14" w:date="2025-05-09T10:34:00Z">
                <w:pPr>
                  <w:keepNext/>
                  <w:keepLines/>
                  <w:jc w:val="center"/>
                </w:pPr>
              </w:pPrChange>
              <w:rPr>
                <w:del w:id="10159" w:author="AbbVie14" w:date="2025-05-09T10:34:00Z"/>
                <w:b/>
                <w:bCs/>
                <w:sz w:val="22"/>
                <w:szCs w:val="22"/>
              </w:rPr>
            </w:pPr>
            <w:del w:id="10160" w:author="AbbVie14" w:date="2025-05-09T10:34:00Z">
              <w:r w:rsidRPr="00295E71">
                <w:rPr>
                  <w:b/>
                  <w:bCs/>
                  <w:sz w:val="22"/>
                  <w:szCs w:val="22"/>
                </w:rPr>
                <w:delText xml:space="preserve">Placebo </w:delText>
              </w:r>
            </w:del>
          </w:p>
        </w:tc>
        <w:tc>
          <w:tcPr>
            <w:tcW w:w="1856" w:type="dxa"/>
            <w:tcMar>
              <w:top w:w="0" w:type="dxa"/>
              <w:left w:w="115" w:type="dxa"/>
              <w:bottom w:w="0" w:type="dxa"/>
              <w:right w:w="115" w:type="dxa"/>
            </w:tcMar>
            <w:vAlign w:val="bottom"/>
            <w:hideMark/>
          </w:tcPr>
          <w:p w:rsidR="006224C2" w:rsidRPr="00295E71" w14:paraId="5470979D" w14:textId="77777777">
            <w:pPr>
              <w:keepNext/>
              <w:keepLines w:val="0"/>
              <w:tabs>
                <w:tab w:val="left" w:pos="567"/>
                <w:tab w:val="left" w:pos="1294"/>
              </w:tabs>
              <w:autoSpaceDE w:val="0"/>
              <w:autoSpaceDN w:val="0"/>
              <w:adjustRightInd w:val="0"/>
              <w:jc w:val="both"/>
              <w:pPrChange w:id="10161" w:author="AbbVie14" w:date="2025-05-09T10:34:00Z">
                <w:pPr>
                  <w:keepNext/>
                  <w:keepLines/>
                  <w:jc w:val="center"/>
                </w:pPr>
              </w:pPrChange>
              <w:rPr>
                <w:del w:id="10162" w:author="AbbVie14" w:date="2025-05-09T10:34:00Z"/>
                <w:b/>
                <w:bCs/>
                <w:sz w:val="22"/>
                <w:szCs w:val="22"/>
              </w:rPr>
            </w:pPr>
            <w:del w:id="10163" w:author="AbbVie14" w:date="2025-05-09T10:34:00Z">
              <w:r w:rsidRPr="00295E71">
                <w:rPr>
                  <w:b/>
                  <w:bCs/>
                  <w:sz w:val="22"/>
                  <w:szCs w:val="22"/>
                </w:rPr>
                <w:delText>Humira 40 mg a settimana</w:delText>
              </w:r>
            </w:del>
          </w:p>
        </w:tc>
      </w:tr>
      <w:tr w14:paraId="1F24E820" w14:textId="77777777">
        <w:tblPrEx>
          <w:tblW w:w="9293" w:type="dxa"/>
          <w:tblLook w:val="04A0"/>
        </w:tblPrEx>
        <w:trPr>
          <w:trHeight w:val="755"/>
          <w:del w:id="10164" w:author="AbbVie14" w:date="2025-05-09T10:34:00Z"/>
        </w:trPr>
        <w:tc>
          <w:tcPr>
            <w:tcW w:w="2847" w:type="dxa"/>
            <w:tcMar>
              <w:top w:w="0" w:type="dxa"/>
              <w:left w:w="115" w:type="dxa"/>
              <w:bottom w:w="0" w:type="dxa"/>
              <w:right w:w="115" w:type="dxa"/>
            </w:tcMar>
            <w:vAlign w:val="center"/>
            <w:hideMark/>
          </w:tcPr>
          <w:p w:rsidR="006224C2" w:rsidRPr="00295E71" w14:paraId="7463FC93" w14:textId="77777777">
            <w:pPr>
              <w:keepNext/>
              <w:keepLines w:val="0"/>
              <w:tabs>
                <w:tab w:val="left" w:pos="567"/>
                <w:tab w:val="left" w:pos="1294"/>
              </w:tabs>
              <w:autoSpaceDE w:val="0"/>
              <w:autoSpaceDN w:val="0"/>
              <w:adjustRightInd w:val="0"/>
              <w:jc w:val="both"/>
              <w:pPrChange w:id="10165" w:author="AbbVie14" w:date="2025-05-09T10:34:00Z">
                <w:pPr>
                  <w:keepNext/>
                  <w:keepLines/>
                </w:pPr>
              </w:pPrChange>
              <w:rPr>
                <w:del w:id="10166" w:author="AbbVie14" w:date="2025-05-09T10:34:00Z"/>
                <w:sz w:val="22"/>
                <w:szCs w:val="22"/>
              </w:rPr>
            </w:pPr>
            <w:del w:id="10167" w:author="AbbVie14" w:date="2025-05-09T10:34:00Z">
              <w:r w:rsidRPr="00295E71">
                <w:rPr>
                  <w:sz w:val="22"/>
                  <w:szCs w:val="22"/>
                </w:rPr>
                <w:delText>Hidradenitis Suppurativa Clinical Response (HiSCR)</w:delText>
              </w:r>
            </w:del>
            <w:del w:id="10168" w:author="AbbVie14" w:date="2025-05-09T10:34:00Z">
              <w:r w:rsidRPr="00295E71">
                <w:rPr>
                  <w:sz w:val="22"/>
                  <w:szCs w:val="22"/>
                  <w:vertAlign w:val="superscript"/>
                </w:rPr>
                <w:delText>a</w:delText>
              </w:r>
            </w:del>
          </w:p>
          <w:p w:rsidR="006224C2" w:rsidRPr="00295E71" w14:paraId="3ADD9999" w14:textId="77777777">
            <w:pPr>
              <w:keepNext/>
              <w:keepLines w:val="0"/>
              <w:tabs>
                <w:tab w:val="left" w:pos="567"/>
                <w:tab w:val="left" w:pos="1294"/>
              </w:tabs>
              <w:autoSpaceDE w:val="0"/>
              <w:autoSpaceDN w:val="0"/>
              <w:adjustRightInd w:val="0"/>
              <w:jc w:val="both"/>
              <w:pPrChange w:id="10169" w:author="AbbVie14" w:date="2025-05-09T10:34:00Z">
                <w:pPr>
                  <w:keepNext/>
                  <w:keepLines/>
                </w:pPr>
              </w:pPrChange>
              <w:rPr>
                <w:del w:id="10170" w:author="AbbVie14" w:date="2025-05-09T10:34:00Z"/>
                <w:sz w:val="22"/>
                <w:szCs w:val="22"/>
              </w:rPr>
            </w:pPr>
          </w:p>
        </w:tc>
        <w:tc>
          <w:tcPr>
            <w:tcW w:w="1440" w:type="dxa"/>
            <w:tcMar>
              <w:top w:w="0" w:type="dxa"/>
              <w:left w:w="115" w:type="dxa"/>
              <w:bottom w:w="0" w:type="dxa"/>
              <w:right w:w="115" w:type="dxa"/>
            </w:tcMar>
            <w:hideMark/>
          </w:tcPr>
          <w:p w:rsidR="006224C2" w:rsidRPr="00295E71" w14:paraId="625A68B5" w14:textId="77777777">
            <w:pPr>
              <w:keepNext/>
              <w:keepLines w:val="0"/>
              <w:tabs>
                <w:tab w:val="left" w:pos="567"/>
                <w:tab w:val="left" w:pos="1294"/>
              </w:tabs>
              <w:autoSpaceDE w:val="0"/>
              <w:autoSpaceDN w:val="0"/>
              <w:adjustRightInd w:val="0"/>
              <w:jc w:val="both"/>
              <w:pPrChange w:id="10171" w:author="AbbVie14" w:date="2025-05-09T10:34:00Z">
                <w:pPr>
                  <w:keepNext/>
                  <w:keepLines/>
                  <w:jc w:val="center"/>
                </w:pPr>
              </w:pPrChange>
              <w:rPr>
                <w:del w:id="10172" w:author="AbbVie14" w:date="2025-05-09T10:34:00Z"/>
                <w:sz w:val="22"/>
                <w:szCs w:val="22"/>
              </w:rPr>
            </w:pPr>
            <w:del w:id="10173" w:author="AbbVie14" w:date="2025-05-09T10:34:00Z">
              <w:r w:rsidRPr="00295E71">
                <w:rPr>
                  <w:sz w:val="22"/>
                  <w:szCs w:val="22"/>
                </w:rPr>
                <w:delText>N = 154</w:delText>
              </w:r>
            </w:del>
            <w:del w:id="10174" w:author="AbbVie14" w:date="2025-05-09T10:34:00Z">
              <w:r w:rsidRPr="00295E71">
                <w:rPr>
                  <w:sz w:val="22"/>
                  <w:szCs w:val="22"/>
                </w:rPr>
                <w:br/>
                <w:delText>40 (26</w:delText>
              </w:r>
            </w:del>
            <w:del w:id="10175" w:author="AbbVie14" w:date="2025-05-09T10:34:00Z">
              <w:r w:rsidR="00A02331">
                <w:rPr>
                  <w:sz w:val="22"/>
                  <w:szCs w:val="22"/>
                </w:rPr>
                <w:delText>,</w:delText>
              </w:r>
            </w:del>
            <w:del w:id="10176" w:author="AbbVie14" w:date="2025-05-09T10:34:00Z">
              <w:r w:rsidRPr="00295E71">
                <w:rPr>
                  <w:sz w:val="22"/>
                  <w:szCs w:val="22"/>
                </w:rPr>
                <w:delText>0%)</w:delText>
              </w:r>
            </w:del>
          </w:p>
        </w:tc>
        <w:tc>
          <w:tcPr>
            <w:tcW w:w="1746" w:type="dxa"/>
            <w:tcMar>
              <w:top w:w="0" w:type="dxa"/>
              <w:left w:w="115" w:type="dxa"/>
              <w:bottom w:w="0" w:type="dxa"/>
              <w:right w:w="115" w:type="dxa"/>
            </w:tcMar>
            <w:hideMark/>
          </w:tcPr>
          <w:p w:rsidR="006224C2" w:rsidRPr="00295E71" w14:paraId="416FD7B2" w14:textId="77777777">
            <w:pPr>
              <w:keepNext/>
              <w:keepLines w:val="0"/>
              <w:tabs>
                <w:tab w:val="left" w:pos="567"/>
                <w:tab w:val="left" w:pos="1294"/>
              </w:tabs>
              <w:autoSpaceDE w:val="0"/>
              <w:autoSpaceDN w:val="0"/>
              <w:adjustRightInd w:val="0"/>
              <w:jc w:val="both"/>
              <w:pPrChange w:id="10177" w:author="AbbVie14" w:date="2025-05-09T10:34:00Z">
                <w:pPr>
                  <w:keepNext/>
                  <w:keepLines/>
                  <w:jc w:val="center"/>
                </w:pPr>
              </w:pPrChange>
              <w:rPr>
                <w:del w:id="10178" w:author="AbbVie14" w:date="2025-05-09T10:34:00Z"/>
                <w:sz w:val="22"/>
                <w:szCs w:val="22"/>
              </w:rPr>
            </w:pPr>
            <w:del w:id="10179" w:author="AbbVie14" w:date="2025-05-09T10:34:00Z">
              <w:r w:rsidRPr="00295E71">
                <w:rPr>
                  <w:sz w:val="22"/>
                  <w:szCs w:val="22"/>
                </w:rPr>
                <w:delText>N = 153</w:delText>
              </w:r>
            </w:del>
            <w:del w:id="10180" w:author="AbbVie14" w:date="2025-05-09T10:34:00Z">
              <w:r w:rsidRPr="00295E71">
                <w:rPr>
                  <w:sz w:val="22"/>
                  <w:szCs w:val="22"/>
                </w:rPr>
                <w:br/>
                <w:delText>64 (41</w:delText>
              </w:r>
            </w:del>
            <w:del w:id="10181" w:author="AbbVie14" w:date="2025-05-09T10:34:00Z">
              <w:r w:rsidR="00A02331">
                <w:rPr>
                  <w:sz w:val="22"/>
                  <w:szCs w:val="22"/>
                </w:rPr>
                <w:delText>,</w:delText>
              </w:r>
            </w:del>
            <w:del w:id="10182" w:author="AbbVie14" w:date="2025-05-09T10:34:00Z">
              <w:r w:rsidRPr="00295E71">
                <w:rPr>
                  <w:sz w:val="22"/>
                  <w:szCs w:val="22"/>
                </w:rPr>
                <w:delText xml:space="preserve">8%) </w:delText>
              </w:r>
            </w:del>
            <w:del w:id="10183" w:author="AbbVie14" w:date="2025-05-09T10:34:00Z">
              <w:r w:rsidRPr="00295E71">
                <w:rPr>
                  <w:sz w:val="22"/>
                  <w:szCs w:val="22"/>
                  <w:vertAlign w:val="superscript"/>
                </w:rPr>
                <w:delText>*</w:delText>
              </w:r>
            </w:del>
          </w:p>
        </w:tc>
        <w:tc>
          <w:tcPr>
            <w:tcW w:w="1404" w:type="dxa"/>
            <w:tcMar>
              <w:top w:w="0" w:type="dxa"/>
              <w:left w:w="115" w:type="dxa"/>
              <w:bottom w:w="0" w:type="dxa"/>
              <w:right w:w="115" w:type="dxa"/>
            </w:tcMar>
          </w:tcPr>
          <w:p w:rsidR="006224C2" w:rsidRPr="00295E71" w14:paraId="7AB2AFBC" w14:textId="77777777">
            <w:pPr>
              <w:keepNext/>
              <w:keepLines w:val="0"/>
              <w:tabs>
                <w:tab w:val="left" w:pos="567"/>
                <w:tab w:val="left" w:pos="1294"/>
              </w:tabs>
              <w:autoSpaceDE w:val="0"/>
              <w:autoSpaceDN w:val="0"/>
              <w:adjustRightInd w:val="0"/>
              <w:jc w:val="both"/>
              <w:pPrChange w:id="10184" w:author="AbbVie14" w:date="2025-05-09T10:34:00Z">
                <w:pPr>
                  <w:keepNext/>
                  <w:keepLines/>
                  <w:jc w:val="center"/>
                </w:pPr>
              </w:pPrChange>
              <w:rPr>
                <w:del w:id="10185" w:author="AbbVie14" w:date="2025-05-09T10:34:00Z"/>
                <w:sz w:val="22"/>
                <w:szCs w:val="22"/>
              </w:rPr>
            </w:pPr>
            <w:del w:id="10186" w:author="AbbVie14" w:date="2025-05-09T10:34:00Z">
              <w:r w:rsidRPr="00295E71">
                <w:rPr>
                  <w:sz w:val="22"/>
                  <w:szCs w:val="22"/>
                </w:rPr>
                <w:delText>N=163</w:delText>
              </w:r>
            </w:del>
          </w:p>
          <w:p w:rsidR="006224C2" w:rsidRPr="00295E71" w14:paraId="340CCAF7" w14:textId="77777777">
            <w:pPr>
              <w:keepNext/>
              <w:keepLines w:val="0"/>
              <w:tabs>
                <w:tab w:val="left" w:pos="567"/>
                <w:tab w:val="left" w:pos="1294"/>
              </w:tabs>
              <w:autoSpaceDE w:val="0"/>
              <w:autoSpaceDN w:val="0"/>
              <w:adjustRightInd w:val="0"/>
              <w:jc w:val="both"/>
              <w:pPrChange w:id="10187" w:author="AbbVie14" w:date="2025-05-09T10:34:00Z">
                <w:pPr>
                  <w:keepNext/>
                  <w:keepLines/>
                  <w:jc w:val="center"/>
                </w:pPr>
              </w:pPrChange>
              <w:rPr>
                <w:del w:id="10188" w:author="AbbVie14" w:date="2025-05-09T10:34:00Z"/>
                <w:sz w:val="22"/>
                <w:szCs w:val="22"/>
              </w:rPr>
            </w:pPr>
            <w:del w:id="10189" w:author="AbbVie14" w:date="2025-05-09T10:34:00Z">
              <w:r w:rsidRPr="00295E71">
                <w:rPr>
                  <w:sz w:val="22"/>
                  <w:szCs w:val="22"/>
                </w:rPr>
                <w:delText>45 (27</w:delText>
              </w:r>
            </w:del>
            <w:del w:id="10190" w:author="AbbVie14" w:date="2025-05-09T10:34:00Z">
              <w:r w:rsidR="00A02331">
                <w:rPr>
                  <w:sz w:val="22"/>
                  <w:szCs w:val="22"/>
                </w:rPr>
                <w:delText>,</w:delText>
              </w:r>
            </w:del>
            <w:del w:id="10191" w:author="AbbVie14" w:date="2025-05-09T10:34:00Z">
              <w:r w:rsidRPr="00295E71">
                <w:rPr>
                  <w:sz w:val="22"/>
                  <w:szCs w:val="22"/>
                </w:rPr>
                <w:delText>6%)</w:delText>
              </w:r>
            </w:del>
          </w:p>
        </w:tc>
        <w:tc>
          <w:tcPr>
            <w:tcW w:w="1856" w:type="dxa"/>
            <w:tcMar>
              <w:top w:w="0" w:type="dxa"/>
              <w:left w:w="115" w:type="dxa"/>
              <w:bottom w:w="0" w:type="dxa"/>
              <w:right w:w="115" w:type="dxa"/>
            </w:tcMar>
          </w:tcPr>
          <w:p w:rsidR="006224C2" w:rsidRPr="00295E71" w14:paraId="69D32F62" w14:textId="77777777">
            <w:pPr>
              <w:keepNext/>
              <w:keepLines w:val="0"/>
              <w:tabs>
                <w:tab w:val="left" w:pos="567"/>
                <w:tab w:val="left" w:pos="1294"/>
              </w:tabs>
              <w:autoSpaceDE w:val="0"/>
              <w:autoSpaceDN w:val="0"/>
              <w:adjustRightInd w:val="0"/>
              <w:jc w:val="both"/>
              <w:pPrChange w:id="10192" w:author="AbbVie14" w:date="2025-05-09T10:34:00Z">
                <w:pPr>
                  <w:keepNext/>
                  <w:keepLines/>
                  <w:jc w:val="center"/>
                </w:pPr>
              </w:pPrChange>
              <w:rPr>
                <w:del w:id="10193" w:author="AbbVie14" w:date="2025-05-09T10:34:00Z"/>
                <w:sz w:val="22"/>
                <w:szCs w:val="22"/>
              </w:rPr>
            </w:pPr>
            <w:del w:id="10194" w:author="AbbVie14" w:date="2025-05-09T10:34:00Z">
              <w:r w:rsidRPr="00295E71">
                <w:rPr>
                  <w:sz w:val="22"/>
                  <w:szCs w:val="22"/>
                </w:rPr>
                <w:delText>N=163</w:delText>
              </w:r>
            </w:del>
          </w:p>
          <w:p w:rsidR="006224C2" w:rsidRPr="00295E71" w14:paraId="65CDB1A5" w14:textId="77777777">
            <w:pPr>
              <w:keepNext/>
              <w:keepLines w:val="0"/>
              <w:tabs>
                <w:tab w:val="left" w:pos="567"/>
                <w:tab w:val="left" w:pos="1294"/>
              </w:tabs>
              <w:autoSpaceDE w:val="0"/>
              <w:autoSpaceDN w:val="0"/>
              <w:adjustRightInd w:val="0"/>
              <w:jc w:val="both"/>
              <w:pPrChange w:id="10195" w:author="AbbVie14" w:date="2025-05-09T10:34:00Z">
                <w:pPr>
                  <w:keepNext/>
                  <w:keepLines/>
                  <w:jc w:val="center"/>
                </w:pPr>
              </w:pPrChange>
              <w:rPr>
                <w:del w:id="10196" w:author="AbbVie14" w:date="2025-05-09T10:34:00Z"/>
                <w:sz w:val="22"/>
                <w:szCs w:val="22"/>
              </w:rPr>
            </w:pPr>
            <w:del w:id="10197" w:author="AbbVie14" w:date="2025-05-09T10:34:00Z">
              <w:r w:rsidRPr="00295E71">
                <w:rPr>
                  <w:sz w:val="22"/>
                  <w:szCs w:val="22"/>
                </w:rPr>
                <w:delText>96 (58</w:delText>
              </w:r>
            </w:del>
            <w:del w:id="10198" w:author="AbbVie14" w:date="2025-05-09T10:34:00Z">
              <w:r w:rsidR="00A02331">
                <w:rPr>
                  <w:sz w:val="22"/>
                  <w:szCs w:val="22"/>
                </w:rPr>
                <w:delText>,</w:delText>
              </w:r>
            </w:del>
            <w:del w:id="10199" w:author="AbbVie14" w:date="2025-05-09T10:34:00Z">
              <w:r w:rsidRPr="00295E71">
                <w:rPr>
                  <w:sz w:val="22"/>
                  <w:szCs w:val="22"/>
                </w:rPr>
                <w:delText xml:space="preserve">9%) </w:delText>
              </w:r>
            </w:del>
            <w:del w:id="10200" w:author="AbbVie14" w:date="2025-05-09T10:34:00Z">
              <w:r w:rsidRPr="00295E71">
                <w:rPr>
                  <w:sz w:val="22"/>
                  <w:szCs w:val="22"/>
                  <w:vertAlign w:val="superscript"/>
                </w:rPr>
                <w:delText>***</w:delText>
              </w:r>
            </w:del>
          </w:p>
        </w:tc>
      </w:tr>
      <w:tr w14:paraId="52FCDA8B" w14:textId="77777777">
        <w:tblPrEx>
          <w:tblW w:w="9293" w:type="dxa"/>
          <w:tblLook w:val="04A0"/>
        </w:tblPrEx>
        <w:trPr>
          <w:del w:id="10201" w:author="AbbVie14" w:date="2025-05-09T10:34:00Z"/>
        </w:trPr>
        <w:tc>
          <w:tcPr>
            <w:tcW w:w="2847" w:type="dxa"/>
            <w:tcMar>
              <w:top w:w="0" w:type="dxa"/>
              <w:left w:w="115" w:type="dxa"/>
              <w:bottom w:w="0" w:type="dxa"/>
              <w:right w:w="115" w:type="dxa"/>
            </w:tcMar>
            <w:vAlign w:val="center"/>
            <w:hideMark/>
          </w:tcPr>
          <w:p w:rsidR="006224C2" w:rsidRPr="00295E71" w14:paraId="65E9DDA7" w14:textId="77777777">
            <w:pPr>
              <w:keepNext/>
              <w:keepLines w:val="0"/>
              <w:tabs>
                <w:tab w:val="left" w:pos="567"/>
                <w:tab w:val="left" w:pos="1294"/>
              </w:tabs>
              <w:autoSpaceDE w:val="0"/>
              <w:autoSpaceDN w:val="0"/>
              <w:adjustRightInd w:val="0"/>
              <w:jc w:val="both"/>
              <w:pPrChange w:id="10202" w:author="AbbVie14" w:date="2025-05-09T10:34:00Z">
                <w:pPr>
                  <w:keepNext/>
                  <w:keepLines/>
                </w:pPr>
              </w:pPrChange>
              <w:rPr>
                <w:del w:id="10203" w:author="AbbVie14" w:date="2025-05-09T10:34:00Z"/>
                <w:sz w:val="22"/>
                <w:szCs w:val="22"/>
              </w:rPr>
            </w:pPr>
            <w:del w:id="10204" w:author="AbbVie14" w:date="2025-05-09T10:34:00Z">
              <w:r w:rsidRPr="00295E71">
                <w:rPr>
                  <w:sz w:val="22"/>
                  <w:szCs w:val="22"/>
                </w:rPr>
                <w:delText>≥30% Riduzione di Dolore cutaneo</w:delText>
              </w:r>
            </w:del>
            <w:del w:id="10205" w:author="AbbVie14" w:date="2025-05-09T10:34:00Z">
              <w:r w:rsidRPr="00295E71">
                <w:rPr>
                  <w:sz w:val="22"/>
                  <w:szCs w:val="22"/>
                  <w:vertAlign w:val="superscript"/>
                </w:rPr>
                <w:delText>b</w:delText>
              </w:r>
            </w:del>
          </w:p>
        </w:tc>
        <w:tc>
          <w:tcPr>
            <w:tcW w:w="1440" w:type="dxa"/>
            <w:tcMar>
              <w:top w:w="0" w:type="dxa"/>
              <w:left w:w="115" w:type="dxa"/>
              <w:bottom w:w="0" w:type="dxa"/>
              <w:right w:w="115" w:type="dxa"/>
            </w:tcMar>
            <w:hideMark/>
          </w:tcPr>
          <w:p w:rsidR="006224C2" w:rsidRPr="00295E71" w14:paraId="57E93B30" w14:textId="77777777">
            <w:pPr>
              <w:keepNext/>
              <w:keepLines w:val="0"/>
              <w:tabs>
                <w:tab w:val="left" w:pos="567"/>
                <w:tab w:val="left" w:pos="1294"/>
              </w:tabs>
              <w:autoSpaceDE w:val="0"/>
              <w:autoSpaceDN w:val="0"/>
              <w:adjustRightInd w:val="0"/>
              <w:jc w:val="both"/>
              <w:pPrChange w:id="10206" w:author="AbbVie14" w:date="2025-05-09T10:34:00Z">
                <w:pPr>
                  <w:keepNext/>
                  <w:keepLines/>
                  <w:jc w:val="center"/>
                </w:pPr>
              </w:pPrChange>
              <w:rPr>
                <w:del w:id="10207" w:author="AbbVie14" w:date="2025-05-09T10:34:00Z"/>
                <w:sz w:val="22"/>
                <w:szCs w:val="22"/>
              </w:rPr>
            </w:pPr>
            <w:del w:id="10208" w:author="AbbVie14" w:date="2025-05-09T10:34:00Z">
              <w:r w:rsidRPr="00295E71">
                <w:rPr>
                  <w:sz w:val="22"/>
                  <w:szCs w:val="22"/>
                </w:rPr>
                <w:delText>N = 109</w:delText>
              </w:r>
            </w:del>
            <w:del w:id="10209" w:author="AbbVie14" w:date="2025-05-09T10:34:00Z">
              <w:r w:rsidRPr="00295E71">
                <w:rPr>
                  <w:sz w:val="22"/>
                  <w:szCs w:val="22"/>
                </w:rPr>
                <w:br/>
                <w:delText>27 (24</w:delText>
              </w:r>
            </w:del>
            <w:del w:id="10210" w:author="AbbVie14" w:date="2025-05-09T10:34:00Z">
              <w:r w:rsidR="00A02331">
                <w:rPr>
                  <w:sz w:val="22"/>
                  <w:szCs w:val="22"/>
                </w:rPr>
                <w:delText>,</w:delText>
              </w:r>
            </w:del>
            <w:del w:id="10211" w:author="AbbVie14" w:date="2025-05-09T10:34:00Z">
              <w:r w:rsidRPr="00295E71">
                <w:rPr>
                  <w:sz w:val="22"/>
                  <w:szCs w:val="22"/>
                </w:rPr>
                <w:delText>8%)</w:delText>
              </w:r>
            </w:del>
          </w:p>
        </w:tc>
        <w:tc>
          <w:tcPr>
            <w:tcW w:w="1746" w:type="dxa"/>
            <w:tcMar>
              <w:top w:w="0" w:type="dxa"/>
              <w:left w:w="115" w:type="dxa"/>
              <w:bottom w:w="0" w:type="dxa"/>
              <w:right w:w="115" w:type="dxa"/>
            </w:tcMar>
            <w:hideMark/>
          </w:tcPr>
          <w:p w:rsidR="006224C2" w:rsidRPr="00295E71" w14:paraId="29909361" w14:textId="77777777">
            <w:pPr>
              <w:keepNext/>
              <w:keepLines w:val="0"/>
              <w:tabs>
                <w:tab w:val="left" w:pos="567"/>
                <w:tab w:val="left" w:pos="1294"/>
              </w:tabs>
              <w:autoSpaceDE w:val="0"/>
              <w:autoSpaceDN w:val="0"/>
              <w:adjustRightInd w:val="0"/>
              <w:jc w:val="both"/>
              <w:pPrChange w:id="10212" w:author="AbbVie14" w:date="2025-05-09T10:34:00Z">
                <w:pPr>
                  <w:keepNext/>
                  <w:keepLines/>
                  <w:jc w:val="center"/>
                </w:pPr>
              </w:pPrChange>
              <w:rPr>
                <w:del w:id="10213" w:author="AbbVie14" w:date="2025-05-09T10:34:00Z"/>
                <w:sz w:val="22"/>
                <w:szCs w:val="22"/>
              </w:rPr>
            </w:pPr>
            <w:del w:id="10214" w:author="AbbVie14" w:date="2025-05-09T10:34:00Z">
              <w:r w:rsidRPr="00295E71">
                <w:rPr>
                  <w:sz w:val="22"/>
                  <w:szCs w:val="22"/>
                </w:rPr>
                <w:delText>N = 122</w:delText>
              </w:r>
            </w:del>
            <w:del w:id="10215" w:author="AbbVie14" w:date="2025-05-09T10:34:00Z">
              <w:r w:rsidRPr="00295E71">
                <w:rPr>
                  <w:sz w:val="22"/>
                  <w:szCs w:val="22"/>
                </w:rPr>
                <w:br/>
                <w:delText>34 (27</w:delText>
              </w:r>
            </w:del>
            <w:del w:id="10216" w:author="AbbVie14" w:date="2025-05-09T10:34:00Z">
              <w:r w:rsidR="00A02331">
                <w:rPr>
                  <w:sz w:val="22"/>
                  <w:szCs w:val="22"/>
                </w:rPr>
                <w:delText>,</w:delText>
              </w:r>
            </w:del>
            <w:del w:id="10217" w:author="AbbVie14" w:date="2025-05-09T10:34:00Z">
              <w:r w:rsidRPr="00295E71">
                <w:rPr>
                  <w:sz w:val="22"/>
                  <w:szCs w:val="22"/>
                </w:rPr>
                <w:delText>9%)</w:delText>
              </w:r>
            </w:del>
          </w:p>
        </w:tc>
        <w:tc>
          <w:tcPr>
            <w:tcW w:w="1404" w:type="dxa"/>
            <w:tcMar>
              <w:top w:w="0" w:type="dxa"/>
              <w:left w:w="115" w:type="dxa"/>
              <w:bottom w:w="0" w:type="dxa"/>
              <w:right w:w="115" w:type="dxa"/>
            </w:tcMar>
          </w:tcPr>
          <w:p w:rsidR="006224C2" w:rsidRPr="00295E71" w14:paraId="2A72BC24" w14:textId="77777777">
            <w:pPr>
              <w:keepNext/>
              <w:keepLines w:val="0"/>
              <w:tabs>
                <w:tab w:val="left" w:pos="567"/>
                <w:tab w:val="left" w:pos="1294"/>
              </w:tabs>
              <w:autoSpaceDE w:val="0"/>
              <w:autoSpaceDN w:val="0"/>
              <w:adjustRightInd w:val="0"/>
              <w:jc w:val="both"/>
              <w:pPrChange w:id="10218" w:author="AbbVie14" w:date="2025-05-09T10:34:00Z">
                <w:pPr>
                  <w:keepNext/>
                  <w:keepLines/>
                  <w:jc w:val="center"/>
                </w:pPr>
              </w:pPrChange>
              <w:rPr>
                <w:del w:id="10219" w:author="AbbVie14" w:date="2025-05-09T10:34:00Z"/>
                <w:sz w:val="22"/>
                <w:szCs w:val="22"/>
              </w:rPr>
            </w:pPr>
            <w:del w:id="10220" w:author="AbbVie14" w:date="2025-05-09T10:34:00Z">
              <w:r w:rsidRPr="00295E71">
                <w:rPr>
                  <w:sz w:val="22"/>
                  <w:szCs w:val="22"/>
                </w:rPr>
                <w:delText>N=111</w:delText>
              </w:r>
            </w:del>
          </w:p>
          <w:p w:rsidR="006224C2" w:rsidRPr="00295E71" w14:paraId="0EA88AFF" w14:textId="77777777">
            <w:pPr>
              <w:keepNext/>
              <w:keepLines w:val="0"/>
              <w:tabs>
                <w:tab w:val="left" w:pos="567"/>
                <w:tab w:val="left" w:pos="1294"/>
              </w:tabs>
              <w:autoSpaceDE w:val="0"/>
              <w:autoSpaceDN w:val="0"/>
              <w:adjustRightInd w:val="0"/>
              <w:jc w:val="both"/>
              <w:pPrChange w:id="10221" w:author="AbbVie14" w:date="2025-05-09T10:34:00Z">
                <w:pPr>
                  <w:keepNext/>
                  <w:keepLines/>
                  <w:jc w:val="center"/>
                </w:pPr>
              </w:pPrChange>
              <w:rPr>
                <w:del w:id="10222" w:author="AbbVie14" w:date="2025-05-09T10:34:00Z"/>
                <w:sz w:val="22"/>
                <w:szCs w:val="22"/>
              </w:rPr>
            </w:pPr>
            <w:del w:id="10223" w:author="AbbVie14" w:date="2025-05-09T10:34:00Z">
              <w:r w:rsidRPr="00295E71">
                <w:rPr>
                  <w:sz w:val="22"/>
                  <w:szCs w:val="22"/>
                </w:rPr>
                <w:delText>23 (20</w:delText>
              </w:r>
            </w:del>
            <w:del w:id="10224" w:author="AbbVie14" w:date="2025-05-09T10:34:00Z">
              <w:r w:rsidR="00A02331">
                <w:rPr>
                  <w:sz w:val="22"/>
                  <w:szCs w:val="22"/>
                </w:rPr>
                <w:delText>,</w:delText>
              </w:r>
            </w:del>
            <w:del w:id="10225" w:author="AbbVie14" w:date="2025-05-09T10:34:00Z">
              <w:r w:rsidRPr="00295E71">
                <w:rPr>
                  <w:sz w:val="22"/>
                  <w:szCs w:val="22"/>
                </w:rPr>
                <w:delText>7%)</w:delText>
              </w:r>
            </w:del>
          </w:p>
        </w:tc>
        <w:tc>
          <w:tcPr>
            <w:tcW w:w="1856" w:type="dxa"/>
            <w:tcMar>
              <w:top w:w="0" w:type="dxa"/>
              <w:left w:w="115" w:type="dxa"/>
              <w:bottom w:w="0" w:type="dxa"/>
              <w:right w:w="115" w:type="dxa"/>
            </w:tcMar>
          </w:tcPr>
          <w:p w:rsidR="006224C2" w:rsidRPr="00295E71" w14:paraId="72E90AE9" w14:textId="77777777">
            <w:pPr>
              <w:keepNext/>
              <w:keepLines w:val="0"/>
              <w:tabs>
                <w:tab w:val="left" w:pos="567"/>
                <w:tab w:val="left" w:pos="1294"/>
              </w:tabs>
              <w:autoSpaceDE w:val="0"/>
              <w:autoSpaceDN w:val="0"/>
              <w:adjustRightInd w:val="0"/>
              <w:jc w:val="both"/>
              <w:pPrChange w:id="10226" w:author="AbbVie14" w:date="2025-05-09T10:34:00Z">
                <w:pPr>
                  <w:keepNext/>
                  <w:keepLines/>
                  <w:jc w:val="center"/>
                </w:pPr>
              </w:pPrChange>
              <w:rPr>
                <w:del w:id="10227" w:author="AbbVie14" w:date="2025-05-09T10:34:00Z"/>
                <w:sz w:val="22"/>
                <w:szCs w:val="22"/>
              </w:rPr>
            </w:pPr>
            <w:del w:id="10228" w:author="AbbVie14" w:date="2025-05-09T10:34:00Z">
              <w:r w:rsidRPr="00295E71">
                <w:rPr>
                  <w:sz w:val="22"/>
                  <w:szCs w:val="22"/>
                </w:rPr>
                <w:delText>N=105</w:delText>
              </w:r>
            </w:del>
          </w:p>
          <w:p w:rsidR="006224C2" w:rsidRPr="00295E71" w14:paraId="71548846" w14:textId="77777777">
            <w:pPr>
              <w:keepNext/>
              <w:keepLines w:val="0"/>
              <w:tabs>
                <w:tab w:val="left" w:pos="567"/>
                <w:tab w:val="left" w:pos="1294"/>
              </w:tabs>
              <w:autoSpaceDE w:val="0"/>
              <w:autoSpaceDN w:val="0"/>
              <w:adjustRightInd w:val="0"/>
              <w:jc w:val="both"/>
              <w:pPrChange w:id="10229" w:author="AbbVie14" w:date="2025-05-09T10:34:00Z">
                <w:pPr>
                  <w:keepNext/>
                  <w:keepLines/>
                  <w:jc w:val="center"/>
                </w:pPr>
              </w:pPrChange>
              <w:rPr>
                <w:del w:id="10230" w:author="AbbVie14" w:date="2025-05-09T10:34:00Z"/>
                <w:sz w:val="22"/>
                <w:szCs w:val="22"/>
              </w:rPr>
            </w:pPr>
            <w:del w:id="10231" w:author="AbbVie14" w:date="2025-05-09T10:34:00Z">
              <w:r w:rsidRPr="00295E71">
                <w:rPr>
                  <w:sz w:val="22"/>
                  <w:szCs w:val="22"/>
                </w:rPr>
                <w:delText>48 (45</w:delText>
              </w:r>
            </w:del>
            <w:del w:id="10232" w:author="AbbVie14" w:date="2025-05-09T10:34:00Z">
              <w:r w:rsidR="00A02331">
                <w:rPr>
                  <w:sz w:val="22"/>
                  <w:szCs w:val="22"/>
                </w:rPr>
                <w:delText>,</w:delText>
              </w:r>
            </w:del>
            <w:del w:id="10233" w:author="AbbVie14" w:date="2025-05-09T10:34:00Z">
              <w:r w:rsidRPr="00295E71">
                <w:rPr>
                  <w:sz w:val="22"/>
                  <w:szCs w:val="22"/>
                </w:rPr>
                <w:delText xml:space="preserve">7%) </w:delText>
              </w:r>
            </w:del>
            <w:del w:id="10234" w:author="AbbVie14" w:date="2025-05-09T10:34:00Z">
              <w:r w:rsidRPr="00295E71">
                <w:rPr>
                  <w:sz w:val="22"/>
                  <w:szCs w:val="22"/>
                  <w:vertAlign w:val="superscript"/>
                </w:rPr>
                <w:delText>***</w:delText>
              </w:r>
            </w:del>
          </w:p>
        </w:tc>
      </w:tr>
      <w:tr w14:paraId="04BFC3A0" w14:textId="77777777">
        <w:tblPrEx>
          <w:tblW w:w="9293" w:type="dxa"/>
          <w:tblLook w:val="04A0"/>
        </w:tblPrEx>
        <w:trPr>
          <w:del w:id="10235" w:author="AbbVie14" w:date="2025-05-09T10:34:00Z"/>
        </w:trPr>
        <w:tc>
          <w:tcPr>
            <w:tcW w:w="9293" w:type="dxa"/>
            <w:gridSpan w:val="5"/>
            <w:tcMar>
              <w:top w:w="0" w:type="dxa"/>
              <w:left w:w="115" w:type="dxa"/>
              <w:bottom w:w="0" w:type="dxa"/>
              <w:right w:w="115" w:type="dxa"/>
            </w:tcMar>
            <w:vAlign w:val="center"/>
          </w:tcPr>
          <w:p w:rsidR="006224C2" w:rsidRPr="00295E71" w14:paraId="4958DCBD" w14:textId="77777777">
            <w:pPr>
              <w:keepNext/>
              <w:keepLines w:val="0"/>
              <w:tabs>
                <w:tab w:val="left" w:pos="567"/>
                <w:tab w:val="left" w:pos="1294"/>
              </w:tabs>
              <w:autoSpaceDE w:val="0"/>
              <w:autoSpaceDN w:val="0"/>
              <w:adjustRightInd w:val="0"/>
              <w:ind w:left="0"/>
              <w:jc w:val="both"/>
              <w:pPrChange w:id="10236" w:author="AbbVie14" w:date="2025-05-09T10:34:00Z">
                <w:pPr>
                  <w:keepNext/>
                  <w:keepLines/>
                  <w:ind w:left="360"/>
                </w:pPr>
              </w:pPrChange>
              <w:rPr>
                <w:del w:id="10237" w:author="AbbVie14" w:date="2025-05-09T10:34:00Z"/>
                <w:sz w:val="22"/>
                <w:szCs w:val="22"/>
              </w:rPr>
            </w:pPr>
            <w:del w:id="10238" w:author="AbbVie14" w:date="2025-05-09T10:34:00Z">
              <w:r w:rsidRPr="00295E71">
                <w:rPr>
                  <w:sz w:val="22"/>
                  <w:szCs w:val="22"/>
                </w:rPr>
                <w:delText xml:space="preserve">* </w:delText>
              </w:r>
            </w:del>
            <w:del w:id="10239" w:author="AbbVie14" w:date="2025-05-09T10:34:00Z">
              <w:r w:rsidRPr="00295E71">
                <w:rPr>
                  <w:i/>
                  <w:sz w:val="22"/>
                  <w:szCs w:val="22"/>
                </w:rPr>
                <w:delText>P</w:delText>
              </w:r>
            </w:del>
            <w:del w:id="10240" w:author="AbbVie14" w:date="2025-05-09T10:34:00Z">
              <w:r w:rsidRPr="00295E71">
                <w:rPr>
                  <w:sz w:val="22"/>
                  <w:szCs w:val="22"/>
                </w:rPr>
                <w:delText> &lt; 0,05, ***</w:delText>
              </w:r>
            </w:del>
            <w:del w:id="10241" w:author="AbbVie14" w:date="2025-05-09T10:34:00Z">
              <w:r w:rsidRPr="00295E71">
                <w:rPr>
                  <w:i/>
                  <w:sz w:val="22"/>
                  <w:szCs w:val="22"/>
                </w:rPr>
                <w:delText xml:space="preserve">P </w:delText>
              </w:r>
            </w:del>
            <w:del w:id="10242" w:author="AbbVie14" w:date="2025-05-09T10:34:00Z">
              <w:r w:rsidRPr="00295E71">
                <w:rPr>
                  <w:sz w:val="22"/>
                  <w:szCs w:val="22"/>
                </w:rPr>
                <w:delText xml:space="preserve">&lt; 0,001, Humira </w:delText>
              </w:r>
            </w:del>
            <w:del w:id="10243" w:author="AbbVie14" w:date="2025-05-09T10:34:00Z">
              <w:r w:rsidRPr="00295E71">
                <w:rPr>
                  <w:i/>
                  <w:sz w:val="22"/>
                  <w:szCs w:val="22"/>
                </w:rPr>
                <w:delText>versus</w:delText>
              </w:r>
            </w:del>
            <w:del w:id="10244" w:author="AbbVie14" w:date="2025-05-09T10:34:00Z">
              <w:r w:rsidRPr="00295E71">
                <w:rPr>
                  <w:sz w:val="22"/>
                  <w:szCs w:val="22"/>
                </w:rPr>
                <w:delText xml:space="preserve"> placebo </w:delText>
              </w:r>
            </w:del>
          </w:p>
          <w:p w:rsidR="006224C2" w:rsidRPr="00295E71" w14:paraId="71191B1E" w14:textId="77777777">
            <w:pPr>
              <w:keepNext/>
              <w:keepLines w:val="0"/>
              <w:numPr>
                <w:numId w:val="0"/>
              </w:numPr>
              <w:tabs>
                <w:tab w:val="left" w:pos="567"/>
                <w:tab w:val="left" w:pos="1294"/>
              </w:tabs>
              <w:autoSpaceDE w:val="0"/>
              <w:autoSpaceDN w:val="0"/>
              <w:adjustRightInd w:val="0"/>
              <w:spacing w:before="0" w:line="240" w:lineRule="auto"/>
              <w:ind w:left="0" w:firstLine="0"/>
              <w:jc w:val="both"/>
              <w:pPrChange w:id="10245" w:author="AbbVie14" w:date="2025-05-09T10:34:00Z">
                <w:pPr>
                  <w:keepNext/>
                  <w:keepLines/>
                  <w:numPr>
                    <w:numId w:val="110"/>
                  </w:numPr>
                  <w:spacing w:before="40" w:line="240" w:lineRule="exact"/>
                  <w:ind w:left="360" w:hanging="360"/>
                </w:pPr>
              </w:pPrChange>
              <w:rPr>
                <w:del w:id="10246" w:author="AbbVie14" w:date="2025-05-09T10:34:00Z"/>
                <w:sz w:val="22"/>
                <w:szCs w:val="22"/>
              </w:rPr>
            </w:pPr>
            <w:del w:id="10247" w:author="AbbVie14" w:date="2025-05-09T10:34:00Z">
              <w:r w:rsidRPr="00295E71">
                <w:rPr>
                  <w:sz w:val="22"/>
                  <w:szCs w:val="22"/>
                </w:rPr>
                <w:delText>Tra tutti i pazienti randomizzati.</w:delText>
              </w:r>
            </w:del>
          </w:p>
          <w:p w:rsidR="006224C2" w:rsidRPr="00295E71" w14:paraId="6B3253A5" w14:textId="77777777">
            <w:pPr>
              <w:keepNext/>
              <w:keepLines w:val="0"/>
              <w:numPr>
                <w:numId w:val="0"/>
              </w:numPr>
              <w:tabs>
                <w:tab w:val="left" w:pos="567"/>
                <w:tab w:val="left" w:pos="1294"/>
              </w:tabs>
              <w:autoSpaceDE w:val="0"/>
              <w:autoSpaceDN w:val="0"/>
              <w:adjustRightInd w:val="0"/>
              <w:spacing w:before="0" w:line="240" w:lineRule="auto"/>
              <w:ind w:left="0" w:firstLine="0"/>
              <w:jc w:val="both"/>
              <w:pPrChange w:id="10248" w:author="AbbVie14" w:date="2025-05-09T10:34:00Z">
                <w:pPr>
                  <w:keepNext/>
                  <w:keepLines/>
                  <w:numPr>
                    <w:numId w:val="110"/>
                  </w:numPr>
                  <w:spacing w:before="40" w:line="240" w:lineRule="exact"/>
                  <w:ind w:left="360" w:hanging="360"/>
                </w:pPr>
              </w:pPrChange>
              <w:rPr>
                <w:del w:id="10249" w:author="AbbVie14" w:date="2025-05-09T10:34:00Z"/>
                <w:sz w:val="22"/>
                <w:szCs w:val="22"/>
              </w:rPr>
            </w:pPr>
            <w:del w:id="10250" w:author="AbbVie14" w:date="2025-05-09T10:34:00Z">
              <w:r w:rsidRPr="00295E71">
                <w:rPr>
                  <w:sz w:val="22"/>
                  <w:szCs w:val="22"/>
                </w:rPr>
                <w:delText>Tra i pazienti con una valutazione di dolore cutaneo legato all’Idrosadenite Suppurativa (HS) ≥ 3, in base alla Scala di Valutazione Numerica 0 – 10; 0 = nessun dolore cutaneo, 10 = dolore cutaneo piu’ forte che si possa immaginare.</w:delText>
              </w:r>
            </w:del>
          </w:p>
        </w:tc>
      </w:tr>
    </w:tbl>
    <w:p w:rsidR="006224C2" w:rsidRPr="00295E71" w14:paraId="4BC08D24" w14:textId="77777777">
      <w:pPr>
        <w:keepNext/>
        <w:tabs>
          <w:tab w:val="left" w:pos="567"/>
          <w:tab w:val="left" w:pos="1294"/>
        </w:tabs>
        <w:autoSpaceDE w:val="0"/>
        <w:autoSpaceDN w:val="0"/>
        <w:adjustRightInd w:val="0"/>
        <w:jc w:val="both"/>
        <w:pPrChange w:id="10251" w:author="AbbVie14" w:date="2025-05-09T10:34:00Z">
          <w:pPr>
            <w:jc w:val="center"/>
          </w:pPr>
        </w:pPrChange>
        <w:rPr>
          <w:del w:id="10252" w:author="AbbVie14" w:date="2025-05-09T10:34:00Z"/>
          <w:sz w:val="22"/>
          <w:szCs w:val="22"/>
        </w:rPr>
      </w:pPr>
    </w:p>
    <w:p w:rsidR="006224C2" w:rsidRPr="00295E71" w14:paraId="34F38AE0" w14:textId="77777777">
      <w:pPr>
        <w:keepNext/>
        <w:tabs>
          <w:tab w:val="left" w:pos="567"/>
          <w:tab w:val="left" w:pos="1294"/>
        </w:tabs>
        <w:autoSpaceDE w:val="0"/>
        <w:autoSpaceDN w:val="0"/>
        <w:adjustRightInd w:val="0"/>
        <w:jc w:val="both"/>
        <w:pPrChange w:id="10253" w:author="AbbVie14" w:date="2025-05-09T10:34:00Z">
          <w:pPr/>
        </w:pPrChange>
        <w:rPr>
          <w:del w:id="10254" w:author="AbbVie14" w:date="2025-05-09T10:34:00Z"/>
          <w:sz w:val="22"/>
          <w:szCs w:val="22"/>
        </w:rPr>
      </w:pPr>
      <w:del w:id="10255" w:author="AbbVie14" w:date="2025-05-09T10:34:00Z">
        <w:r w:rsidRPr="00295E71">
          <w:rPr>
            <w:sz w:val="22"/>
            <w:szCs w:val="22"/>
          </w:rPr>
          <w:delText xml:space="preserve">Il trattamento con Humira 40 mg ogni settimana ha ridotto in maniera significativa il rischio di peggioramento di ascessi e fistole drenanti. Nelle prime 12 settimane degli Studi HS-I e HS-II, nel gruppo con placebo circa il doppio della percentuale dei pazienti ha avuto un peggioramento degli ascessi (23,0% vs 11,4%, rispettivamente) e delle fistole drenanti (30,0% vs 13,9%, rispettivamente) rispetto ai pazienti nel gruppo con Humira. </w:delText>
        </w:r>
      </w:del>
    </w:p>
    <w:p w:rsidR="006224C2" w:rsidRPr="00295E71" w:rsidP="00AD7AF0" w14:paraId="7E238352" w14:textId="77777777">
      <w:pPr>
        <w:keepNext/>
        <w:tabs>
          <w:tab w:val="left" w:pos="567"/>
          <w:tab w:val="left" w:pos="1294"/>
        </w:tabs>
        <w:autoSpaceDE w:val="0"/>
        <w:autoSpaceDN w:val="0"/>
        <w:adjustRightInd w:val="0"/>
        <w:jc w:val="both"/>
        <w:rPr>
          <w:del w:id="10256" w:author="AbbVie14" w:date="2025-05-09T10:34:00Z"/>
          <w:color w:val="000000"/>
          <w:sz w:val="22"/>
          <w:szCs w:val="22"/>
        </w:rPr>
      </w:pPr>
    </w:p>
    <w:p w:rsidR="006224C2" w:rsidRPr="00295E71" w:rsidP="00AD7AF0" w14:paraId="3371D9B9" w14:textId="77777777">
      <w:pPr>
        <w:keepNext/>
        <w:tabs>
          <w:tab w:val="left" w:pos="567"/>
          <w:tab w:val="left" w:pos="1294"/>
        </w:tabs>
        <w:autoSpaceDE w:val="0"/>
        <w:autoSpaceDN w:val="0"/>
        <w:adjustRightInd w:val="0"/>
        <w:jc w:val="both"/>
        <w:rPr>
          <w:del w:id="10257" w:author="AbbVie14" w:date="2025-05-09T10:34:00Z"/>
          <w:color w:val="000000"/>
          <w:sz w:val="22"/>
          <w:szCs w:val="22"/>
        </w:rPr>
      </w:pPr>
      <w:del w:id="10258" w:author="AbbVie14" w:date="2025-05-09T10:34:00Z">
        <w:r w:rsidRPr="00295E71">
          <w:rPr>
            <w:color w:val="000000"/>
            <w:sz w:val="22"/>
            <w:szCs w:val="22"/>
          </w:rPr>
          <w:delText>Miglioramenti maggiori della qualità della vita,definita come stato di salute generale correlatoalla patologia cutanea e misurato attraverso il Dermatology Life Quality Index (DLQI; Studi HS-I e HS-II),sono stati dimostrati alla settimana 12 a partire dal valore basale rispetto al placebo, la soddisfazione globale dei pazienti in trattamento con il medicinale, misurata con il questionario Treatment Satisfaction Questionnaire - medication (TSQM; Studi HS-I e HS-II), e salute fisica misurata attraverso il Physical Component Summary Score del SF-36 (Studio HS-I).</w:delText>
        </w:r>
      </w:del>
    </w:p>
    <w:p w:rsidR="006224C2" w:rsidRPr="00295E71" w:rsidP="00AD7AF0" w14:paraId="31BA6EA4" w14:textId="77777777">
      <w:pPr>
        <w:keepNext/>
        <w:tabs>
          <w:tab w:val="left" w:pos="567"/>
          <w:tab w:val="left" w:pos="1294"/>
        </w:tabs>
        <w:autoSpaceDE w:val="0"/>
        <w:autoSpaceDN w:val="0"/>
        <w:adjustRightInd w:val="0"/>
        <w:jc w:val="both"/>
        <w:rPr>
          <w:del w:id="10259" w:author="AbbVie14" w:date="2025-05-09T10:34:00Z"/>
          <w:color w:val="000000"/>
          <w:sz w:val="22"/>
          <w:szCs w:val="22"/>
        </w:rPr>
      </w:pPr>
    </w:p>
    <w:p w:rsidR="006224C2" w:rsidRPr="00295E71" w14:paraId="58335AA6" w14:textId="77777777">
      <w:pPr>
        <w:keepNext/>
        <w:tabs>
          <w:tab w:val="left" w:pos="567"/>
          <w:tab w:val="left" w:pos="1294"/>
        </w:tabs>
        <w:autoSpaceDE w:val="0"/>
        <w:autoSpaceDN w:val="0"/>
        <w:adjustRightInd w:val="0"/>
        <w:jc w:val="both"/>
        <w:pPrChange w:id="10260" w:author="AbbVie14" w:date="2025-05-09T10:34:00Z">
          <w:pPr>
            <w:tabs>
              <w:tab w:val="left" w:pos="567"/>
              <w:tab w:val="left" w:pos="1294"/>
            </w:tabs>
            <w:autoSpaceDE w:val="0"/>
            <w:autoSpaceDN w:val="0"/>
            <w:adjustRightInd w:val="0"/>
            <w:jc w:val="both"/>
          </w:pPr>
        </w:pPrChange>
        <w:rPr>
          <w:del w:id="10261" w:author="AbbVie14" w:date="2025-05-09T10:34:00Z"/>
          <w:color w:val="000000"/>
          <w:sz w:val="22"/>
          <w:szCs w:val="22"/>
        </w:rPr>
      </w:pPr>
      <w:del w:id="10262" w:author="AbbVie14" w:date="2025-05-09T10:34:00Z">
        <w:r w:rsidRPr="00295E71">
          <w:rPr>
            <w:color w:val="000000"/>
            <w:sz w:val="22"/>
            <w:szCs w:val="22"/>
          </w:rPr>
          <w:delText>Nei pazienti che alla settimana 12</w:delText>
        </w:r>
      </w:del>
      <w:del w:id="10263" w:author="AbbVie14" w:date="2025-05-09T10:34:00Z">
        <w:r w:rsidR="00B6698C">
          <w:rPr>
            <w:color w:val="000000"/>
            <w:sz w:val="22"/>
            <w:szCs w:val="22"/>
          </w:rPr>
          <w:delText xml:space="preserve"> </w:delText>
        </w:r>
      </w:del>
      <w:del w:id="10264" w:author="AbbVie14" w:date="2025-05-09T10:34:00Z">
        <w:r w:rsidRPr="00295E71">
          <w:rPr>
            <w:color w:val="000000"/>
            <w:sz w:val="22"/>
            <w:szCs w:val="22"/>
          </w:rPr>
          <w:delText xml:space="preserve">avevano una risposta almeno parziale ad Humira 40 mg somministrato ogni settimana, la percentuale di HiSCR alla settimana 36 era superiore nei pazienti che avevano continuato Humira ogni settimana rispetto ai pazienti in cui la frequenza di somministrazione era stata ridotta a settimane alterne, o nei quali era stato sospeso il trattamento (vedere Tabella </w:delText>
        </w:r>
      </w:del>
      <w:del w:id="10265" w:author="AbbVie14" w:date="2025-05-09T10:34:00Z">
        <w:r w:rsidRPr="00295E71" w:rsidR="00326430">
          <w:rPr>
            <w:color w:val="000000"/>
            <w:sz w:val="22"/>
            <w:szCs w:val="22"/>
          </w:rPr>
          <w:delText>2</w:delText>
        </w:r>
      </w:del>
      <w:del w:id="10266" w:author="AbbVie14" w:date="2025-05-09T10:34:00Z">
        <w:r w:rsidR="005C4AD7">
          <w:rPr>
            <w:color w:val="000000"/>
            <w:sz w:val="22"/>
            <w:szCs w:val="22"/>
          </w:rPr>
          <w:delText>0</w:delText>
        </w:r>
      </w:del>
      <w:del w:id="10267" w:author="AbbVie14" w:date="2025-05-09T10:34:00Z">
        <w:r w:rsidRPr="00295E71">
          <w:rPr>
            <w:color w:val="000000"/>
            <w:sz w:val="22"/>
            <w:szCs w:val="22"/>
          </w:rPr>
          <w:delText>).</w:delText>
        </w:r>
      </w:del>
    </w:p>
    <w:p w:rsidR="006224C2" w:rsidRPr="00295E71" w14:paraId="452980AD" w14:textId="77777777">
      <w:pPr>
        <w:keepNext/>
        <w:tabs>
          <w:tab w:val="left" w:pos="567"/>
          <w:tab w:val="left" w:pos="1294"/>
        </w:tabs>
        <w:autoSpaceDE w:val="0"/>
        <w:autoSpaceDN w:val="0"/>
        <w:adjustRightInd w:val="0"/>
        <w:jc w:val="both"/>
        <w:pPrChange w:id="10268" w:author="AbbVie14" w:date="2025-05-09T10:34:00Z">
          <w:pPr>
            <w:tabs>
              <w:tab w:val="left" w:pos="567"/>
              <w:tab w:val="left" w:pos="1294"/>
            </w:tabs>
            <w:autoSpaceDE w:val="0"/>
            <w:autoSpaceDN w:val="0"/>
            <w:adjustRightInd w:val="0"/>
            <w:jc w:val="both"/>
          </w:pPr>
        </w:pPrChange>
        <w:rPr>
          <w:del w:id="10269" w:author="AbbVie14" w:date="2025-05-09T10:34:00Z"/>
          <w:color w:val="000000"/>
          <w:sz w:val="22"/>
          <w:szCs w:val="22"/>
        </w:rPr>
      </w:pPr>
    </w:p>
    <w:p w:rsidR="006224C2" w:rsidRPr="00295E71" w14:paraId="643A35AD" w14:textId="77777777">
      <w:pPr>
        <w:keepNext/>
        <w:tabs>
          <w:tab w:val="left" w:pos="567"/>
          <w:tab w:val="left" w:pos="1294"/>
        </w:tabs>
        <w:autoSpaceDE w:val="0"/>
        <w:autoSpaceDN w:val="0"/>
        <w:adjustRightInd w:val="0"/>
        <w:jc w:val="both"/>
        <w:pPrChange w:id="10270" w:author="AbbVie14" w:date="2025-05-09T10:34:00Z">
          <w:pPr>
            <w:keepNext/>
            <w:tabs>
              <w:tab w:val="left" w:pos="567"/>
              <w:tab w:val="left" w:pos="1294"/>
            </w:tabs>
            <w:autoSpaceDE w:val="0"/>
            <w:autoSpaceDN w:val="0"/>
            <w:adjustRightInd w:val="0"/>
            <w:jc w:val="center"/>
          </w:pPr>
        </w:pPrChange>
        <w:rPr>
          <w:del w:id="10271" w:author="AbbVie14" w:date="2025-05-09T10:34:00Z"/>
          <w:b/>
          <w:color w:val="000000"/>
          <w:sz w:val="22"/>
          <w:szCs w:val="22"/>
        </w:rPr>
      </w:pPr>
      <w:del w:id="10272" w:author="AbbVie14" w:date="2025-05-09T10:34:00Z">
        <w:r w:rsidRPr="00295E71">
          <w:rPr>
            <w:b/>
            <w:color w:val="000000"/>
            <w:sz w:val="22"/>
            <w:szCs w:val="22"/>
          </w:rPr>
          <w:delText xml:space="preserve">Tabella </w:delText>
        </w:r>
      </w:del>
      <w:del w:id="10273" w:author="AbbVie14" w:date="2025-05-09T10:34:00Z">
        <w:r w:rsidRPr="00295E71" w:rsidR="00326430">
          <w:rPr>
            <w:b/>
            <w:color w:val="000000"/>
            <w:sz w:val="22"/>
            <w:szCs w:val="22"/>
          </w:rPr>
          <w:delText>2</w:delText>
        </w:r>
      </w:del>
      <w:del w:id="10274" w:author="AbbVie14" w:date="2025-05-09T10:34:00Z">
        <w:r w:rsidR="005C4AD7">
          <w:rPr>
            <w:b/>
            <w:color w:val="000000"/>
            <w:sz w:val="22"/>
            <w:szCs w:val="22"/>
          </w:rPr>
          <w:delText>0</w:delText>
        </w:r>
      </w:del>
      <w:del w:id="10275" w:author="AbbVie14" w:date="2025-05-09T10:34:00Z">
        <w:r w:rsidRPr="00295E71">
          <w:rPr>
            <w:b/>
            <w:color w:val="000000"/>
            <w:sz w:val="22"/>
            <w:szCs w:val="22"/>
          </w:rPr>
          <w:delText>: Percentuale di Pazienti</w:delText>
        </w:r>
      </w:del>
      <w:del w:id="10276" w:author="AbbVie14" w:date="2025-05-09T10:34:00Z">
        <w:r w:rsidRPr="00295E71">
          <w:rPr>
            <w:b/>
            <w:color w:val="000000"/>
            <w:sz w:val="22"/>
            <w:szCs w:val="22"/>
            <w:vertAlign w:val="superscript"/>
          </w:rPr>
          <w:delText>a</w:delText>
        </w:r>
      </w:del>
      <w:del w:id="10277" w:author="AbbVie14" w:date="2025-05-09T10:34:00Z">
        <w:r w:rsidRPr="00295E71">
          <w:rPr>
            <w:b/>
            <w:color w:val="000000"/>
            <w:sz w:val="22"/>
            <w:szCs w:val="22"/>
          </w:rPr>
          <w:delText xml:space="preserve"> che hanno ottenuto HiSCR</w:delText>
        </w:r>
      </w:del>
      <w:del w:id="10278" w:author="AbbVie14" w:date="2025-05-09T10:34:00Z">
        <w:r w:rsidRPr="00295E71">
          <w:rPr>
            <w:b/>
            <w:color w:val="000000"/>
            <w:sz w:val="22"/>
            <w:szCs w:val="22"/>
            <w:vertAlign w:val="superscript"/>
          </w:rPr>
          <w:delText xml:space="preserve">b </w:delText>
        </w:r>
      </w:del>
      <w:del w:id="10279" w:author="AbbVie14" w:date="2025-05-09T10:34:00Z">
        <w:r w:rsidRPr="00295E71">
          <w:rPr>
            <w:b/>
            <w:color w:val="000000"/>
            <w:sz w:val="22"/>
            <w:szCs w:val="22"/>
          </w:rPr>
          <w:delText xml:space="preserve">alle settimane 24 e 36 dopo il Riassegnamento del Trattamento alla settimana 12 da Humira ogni settimana </w:delText>
        </w:r>
      </w:del>
    </w:p>
    <w:p w:rsidR="006224C2" w:rsidRPr="00295E71" w14:paraId="282A1CF8" w14:textId="77777777">
      <w:pPr>
        <w:keepNext/>
        <w:tabs>
          <w:tab w:val="left" w:pos="567"/>
          <w:tab w:val="left" w:pos="1294"/>
        </w:tabs>
        <w:autoSpaceDE w:val="0"/>
        <w:autoSpaceDN w:val="0"/>
        <w:adjustRightInd w:val="0"/>
        <w:jc w:val="both"/>
        <w:pPrChange w:id="10280" w:author="AbbVie14" w:date="2025-05-09T10:34:00Z">
          <w:pPr>
            <w:keepNext/>
            <w:tabs>
              <w:tab w:val="left" w:pos="567"/>
              <w:tab w:val="left" w:pos="1294"/>
            </w:tabs>
            <w:autoSpaceDE w:val="0"/>
            <w:autoSpaceDN w:val="0"/>
            <w:adjustRightInd w:val="0"/>
            <w:jc w:val="center"/>
          </w:pPr>
        </w:pPrChange>
        <w:rPr>
          <w:del w:id="10281" w:author="AbbVie14" w:date="2025-05-09T10:34:00Z"/>
          <w:b/>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7"/>
        <w:gridCol w:w="1980"/>
        <w:gridCol w:w="1980"/>
        <w:gridCol w:w="1855"/>
      </w:tblGrid>
      <w:tr w14:paraId="1342F644" w14:textId="77777777">
        <w:tblPrEx>
          <w:tblW w:w="0" w:type="auto"/>
          <w:tblLayout w:type="fixed"/>
          <w:tblLook w:val="0000"/>
        </w:tblPrEx>
        <w:trPr>
          <w:tblHeader/>
          <w:del w:id="10282" w:author="AbbVie14" w:date="2025-05-09T10:34:00Z"/>
        </w:trPr>
        <w:tc>
          <w:tcPr>
            <w:tcW w:w="1437" w:type="dxa"/>
            <w:vAlign w:val="bottom"/>
          </w:tcPr>
          <w:p w:rsidR="006224C2" w:rsidRPr="00295E71" w14:paraId="72A617E1" w14:textId="77777777">
            <w:pPr>
              <w:keepNext/>
              <w:tabs>
                <w:tab w:val="left" w:pos="567"/>
                <w:tab w:val="left" w:pos="1294"/>
              </w:tabs>
              <w:autoSpaceDE w:val="0"/>
              <w:autoSpaceDN w:val="0"/>
              <w:adjustRightInd w:val="0"/>
              <w:jc w:val="both"/>
              <w:pPrChange w:id="10283" w:author="AbbVie14" w:date="2025-05-09T10:34:00Z">
                <w:pPr>
                  <w:pStyle w:val="TableLeft"/>
                </w:pPr>
              </w:pPrChange>
              <w:rPr>
                <w:del w:id="10284" w:author="AbbVie14" w:date="2025-05-09T10:34:00Z"/>
                <w:b/>
                <w:sz w:val="22"/>
                <w:szCs w:val="22"/>
              </w:rPr>
            </w:pPr>
          </w:p>
        </w:tc>
        <w:tc>
          <w:tcPr>
            <w:tcW w:w="1980" w:type="dxa"/>
            <w:vAlign w:val="bottom"/>
          </w:tcPr>
          <w:p w:rsidR="006224C2" w:rsidRPr="00295E71" w14:paraId="68EEFF02" w14:textId="77777777">
            <w:pPr>
              <w:keepNext/>
              <w:tabs>
                <w:tab w:val="left" w:pos="567"/>
                <w:tab w:val="left" w:pos="1294"/>
              </w:tabs>
              <w:autoSpaceDE w:val="0"/>
              <w:autoSpaceDN w:val="0"/>
              <w:adjustRightInd w:val="0"/>
              <w:jc w:val="both"/>
              <w:pPrChange w:id="10285" w:author="AbbVie14" w:date="2025-05-09T10:34:00Z">
                <w:pPr>
                  <w:pStyle w:val="TableLeft"/>
                  <w:jc w:val="center"/>
                </w:pPr>
              </w:pPrChange>
              <w:rPr>
                <w:del w:id="10286" w:author="AbbVie14" w:date="2025-05-09T10:34:00Z"/>
                <w:b/>
                <w:sz w:val="22"/>
                <w:szCs w:val="22"/>
              </w:rPr>
            </w:pPr>
            <w:del w:id="10287" w:author="AbbVie14" w:date="2025-05-09T10:34:00Z">
              <w:r w:rsidRPr="00295E71">
                <w:rPr>
                  <w:b/>
                  <w:sz w:val="22"/>
                  <w:szCs w:val="22"/>
                </w:rPr>
                <w:delText>Placebo</w:delText>
              </w:r>
            </w:del>
            <w:del w:id="10288" w:author="AbbVie14" w:date="2025-05-09T10:34:00Z">
              <w:r w:rsidRPr="00295E71">
                <w:rPr>
                  <w:b/>
                  <w:sz w:val="22"/>
                  <w:szCs w:val="22"/>
                </w:rPr>
                <w:br/>
                <w:delText>(trattamento sospeso)</w:delText>
              </w:r>
            </w:del>
            <w:del w:id="10289" w:author="AbbVie14" w:date="2025-05-09T10:34:00Z">
              <w:r w:rsidRPr="00295E71">
                <w:rPr>
                  <w:b/>
                  <w:sz w:val="22"/>
                  <w:szCs w:val="22"/>
                </w:rPr>
                <w:br/>
                <w:delText>N = 73</w:delText>
              </w:r>
            </w:del>
          </w:p>
        </w:tc>
        <w:tc>
          <w:tcPr>
            <w:tcW w:w="1980" w:type="dxa"/>
            <w:vAlign w:val="bottom"/>
          </w:tcPr>
          <w:p w:rsidR="006224C2" w:rsidRPr="00295E71" w14:paraId="33B9DBB3" w14:textId="77777777">
            <w:pPr>
              <w:keepNext/>
              <w:tabs>
                <w:tab w:val="left" w:pos="567"/>
                <w:tab w:val="left" w:pos="1294"/>
              </w:tabs>
              <w:autoSpaceDE w:val="0"/>
              <w:autoSpaceDN w:val="0"/>
              <w:adjustRightInd w:val="0"/>
              <w:jc w:val="both"/>
              <w:pPrChange w:id="10290" w:author="AbbVie14" w:date="2025-05-09T10:34:00Z">
                <w:pPr>
                  <w:pStyle w:val="TableLeft"/>
                  <w:jc w:val="center"/>
                </w:pPr>
              </w:pPrChange>
              <w:rPr>
                <w:del w:id="10291" w:author="AbbVie14" w:date="2025-05-09T10:34:00Z"/>
                <w:b/>
                <w:sz w:val="22"/>
                <w:szCs w:val="22"/>
              </w:rPr>
            </w:pPr>
            <w:del w:id="10292" w:author="AbbVie14" w:date="2025-05-09T10:34:00Z">
              <w:r w:rsidRPr="00295E71">
                <w:rPr>
                  <w:b/>
                  <w:sz w:val="22"/>
                  <w:szCs w:val="22"/>
                </w:rPr>
                <w:delText>Humira 40 mg</w:delText>
              </w:r>
            </w:del>
            <w:del w:id="10293" w:author="AbbVie14" w:date="2025-05-09T10:34:00Z">
              <w:r w:rsidRPr="00295E71">
                <w:rPr>
                  <w:b/>
                  <w:sz w:val="22"/>
                  <w:szCs w:val="22"/>
                </w:rPr>
                <w:br/>
                <w:delText>a settimane alterne</w:delText>
              </w:r>
            </w:del>
            <w:del w:id="10294" w:author="AbbVie14" w:date="2025-05-09T10:34:00Z">
              <w:r w:rsidRPr="00295E71">
                <w:rPr>
                  <w:b/>
                  <w:sz w:val="22"/>
                  <w:szCs w:val="22"/>
                </w:rPr>
                <w:br/>
                <w:delText>N = 70</w:delText>
              </w:r>
            </w:del>
          </w:p>
        </w:tc>
        <w:tc>
          <w:tcPr>
            <w:tcW w:w="1855" w:type="dxa"/>
            <w:vAlign w:val="bottom"/>
          </w:tcPr>
          <w:p w:rsidR="006224C2" w:rsidRPr="00295E71" w14:paraId="7C2E320C" w14:textId="77777777">
            <w:pPr>
              <w:keepNext/>
              <w:tabs>
                <w:tab w:val="left" w:pos="567"/>
                <w:tab w:val="left" w:pos="1294"/>
              </w:tabs>
              <w:autoSpaceDE w:val="0"/>
              <w:autoSpaceDN w:val="0"/>
              <w:adjustRightInd w:val="0"/>
              <w:jc w:val="both"/>
              <w:pPrChange w:id="10295" w:author="AbbVie14" w:date="2025-05-09T10:34:00Z">
                <w:pPr>
                  <w:pStyle w:val="TableLeft"/>
                  <w:jc w:val="center"/>
                </w:pPr>
              </w:pPrChange>
              <w:rPr>
                <w:del w:id="10296" w:author="AbbVie14" w:date="2025-05-09T10:34:00Z"/>
                <w:b/>
                <w:sz w:val="22"/>
                <w:szCs w:val="22"/>
              </w:rPr>
            </w:pPr>
            <w:del w:id="10297" w:author="AbbVie14" w:date="2025-05-09T10:34:00Z">
              <w:r w:rsidRPr="00295E71">
                <w:rPr>
                  <w:b/>
                  <w:sz w:val="22"/>
                  <w:szCs w:val="22"/>
                </w:rPr>
                <w:delText>Humira 40 mg</w:delText>
              </w:r>
            </w:del>
            <w:del w:id="10298" w:author="AbbVie14" w:date="2025-05-09T10:34:00Z">
              <w:r w:rsidRPr="00295E71">
                <w:rPr>
                  <w:b/>
                  <w:sz w:val="22"/>
                  <w:szCs w:val="22"/>
                </w:rPr>
                <w:br/>
                <w:delText>ogni settimana</w:delText>
              </w:r>
            </w:del>
            <w:del w:id="10299" w:author="AbbVie14" w:date="2025-05-09T10:34:00Z">
              <w:r w:rsidRPr="00295E71">
                <w:rPr>
                  <w:b/>
                  <w:sz w:val="22"/>
                  <w:szCs w:val="22"/>
                </w:rPr>
                <w:br/>
                <w:delText>N = 70</w:delText>
              </w:r>
            </w:del>
          </w:p>
        </w:tc>
      </w:tr>
      <w:tr w14:paraId="6A56A3EE" w14:textId="77777777">
        <w:tblPrEx>
          <w:tblW w:w="0" w:type="auto"/>
          <w:tblLayout w:type="fixed"/>
          <w:tblLook w:val="0000"/>
        </w:tblPrEx>
        <w:trPr>
          <w:del w:id="10300" w:author="AbbVie14" w:date="2025-05-09T10:34:00Z"/>
        </w:trPr>
        <w:tc>
          <w:tcPr>
            <w:tcW w:w="1437" w:type="dxa"/>
          </w:tcPr>
          <w:p w:rsidR="006224C2" w:rsidRPr="00295E71" w14:paraId="0AEE4495" w14:textId="77777777">
            <w:pPr>
              <w:keepNext/>
              <w:tabs>
                <w:tab w:val="left" w:pos="567"/>
                <w:tab w:val="left" w:pos="1294"/>
              </w:tabs>
              <w:autoSpaceDE w:val="0"/>
              <w:autoSpaceDN w:val="0"/>
              <w:adjustRightInd w:val="0"/>
              <w:jc w:val="both"/>
              <w:pPrChange w:id="10301" w:author="AbbVie14" w:date="2025-05-09T10:34:00Z">
                <w:pPr>
                  <w:pStyle w:val="TableLeft"/>
                </w:pPr>
              </w:pPrChange>
              <w:rPr>
                <w:del w:id="10302" w:author="AbbVie14" w:date="2025-05-09T10:34:00Z"/>
                <w:sz w:val="22"/>
                <w:szCs w:val="22"/>
              </w:rPr>
            </w:pPr>
            <w:del w:id="10303" w:author="AbbVie14" w:date="2025-05-09T10:34:00Z">
              <w:r w:rsidRPr="00295E71">
                <w:rPr>
                  <w:sz w:val="22"/>
                  <w:szCs w:val="22"/>
                </w:rPr>
                <w:delText>Settimana 24</w:delText>
              </w:r>
            </w:del>
          </w:p>
        </w:tc>
        <w:tc>
          <w:tcPr>
            <w:tcW w:w="1980" w:type="dxa"/>
          </w:tcPr>
          <w:p w:rsidR="006224C2" w:rsidRPr="00295E71" w14:paraId="71C9AC3E" w14:textId="77777777">
            <w:pPr>
              <w:keepNext/>
              <w:tabs>
                <w:tab w:val="left" w:pos="567"/>
                <w:tab w:val="left" w:pos="1294"/>
              </w:tabs>
              <w:autoSpaceDE w:val="0"/>
              <w:autoSpaceDN w:val="0"/>
              <w:adjustRightInd w:val="0"/>
              <w:jc w:val="both"/>
              <w:pPrChange w:id="10304" w:author="AbbVie14" w:date="2025-05-09T10:34:00Z">
                <w:pPr>
                  <w:pStyle w:val="TableLeft"/>
                  <w:jc w:val="center"/>
                </w:pPr>
              </w:pPrChange>
              <w:rPr>
                <w:del w:id="10305" w:author="AbbVie14" w:date="2025-05-09T10:34:00Z"/>
                <w:sz w:val="22"/>
                <w:szCs w:val="22"/>
              </w:rPr>
            </w:pPr>
            <w:del w:id="10306" w:author="AbbVie14" w:date="2025-05-09T10:34:00Z">
              <w:r w:rsidRPr="00295E71">
                <w:rPr>
                  <w:sz w:val="22"/>
                  <w:szCs w:val="22"/>
                </w:rPr>
                <w:delText>24 (32</w:delText>
              </w:r>
            </w:del>
            <w:del w:id="10307" w:author="AbbVie14" w:date="2025-05-09T10:34:00Z">
              <w:r w:rsidR="00A02331">
                <w:rPr>
                  <w:sz w:val="22"/>
                  <w:szCs w:val="22"/>
                </w:rPr>
                <w:delText>,</w:delText>
              </w:r>
            </w:del>
            <w:del w:id="10308" w:author="AbbVie14" w:date="2025-05-09T10:34:00Z">
              <w:r w:rsidRPr="00295E71">
                <w:rPr>
                  <w:sz w:val="22"/>
                  <w:szCs w:val="22"/>
                </w:rPr>
                <w:delText>9%)</w:delText>
              </w:r>
            </w:del>
          </w:p>
        </w:tc>
        <w:tc>
          <w:tcPr>
            <w:tcW w:w="1980" w:type="dxa"/>
          </w:tcPr>
          <w:p w:rsidR="006224C2" w:rsidRPr="00295E71" w14:paraId="60E1B57E" w14:textId="77777777">
            <w:pPr>
              <w:keepNext/>
              <w:tabs>
                <w:tab w:val="left" w:pos="567"/>
                <w:tab w:val="left" w:pos="1294"/>
              </w:tabs>
              <w:autoSpaceDE w:val="0"/>
              <w:autoSpaceDN w:val="0"/>
              <w:adjustRightInd w:val="0"/>
              <w:jc w:val="both"/>
              <w:pPrChange w:id="10309" w:author="AbbVie14" w:date="2025-05-09T10:34:00Z">
                <w:pPr>
                  <w:pStyle w:val="TableLeft"/>
                  <w:jc w:val="center"/>
                </w:pPr>
              </w:pPrChange>
              <w:rPr>
                <w:del w:id="10310" w:author="AbbVie14" w:date="2025-05-09T10:34:00Z"/>
                <w:sz w:val="22"/>
                <w:szCs w:val="22"/>
              </w:rPr>
            </w:pPr>
            <w:del w:id="10311" w:author="AbbVie14" w:date="2025-05-09T10:34:00Z">
              <w:r w:rsidRPr="00295E71">
                <w:rPr>
                  <w:sz w:val="22"/>
                  <w:szCs w:val="22"/>
                </w:rPr>
                <w:delText>36 (51</w:delText>
              </w:r>
            </w:del>
            <w:del w:id="10312" w:author="AbbVie14" w:date="2025-05-09T10:34:00Z">
              <w:r w:rsidR="00A02331">
                <w:rPr>
                  <w:sz w:val="22"/>
                  <w:szCs w:val="22"/>
                </w:rPr>
                <w:delText>,</w:delText>
              </w:r>
            </w:del>
            <w:del w:id="10313" w:author="AbbVie14" w:date="2025-05-09T10:34:00Z">
              <w:r w:rsidRPr="00295E71">
                <w:rPr>
                  <w:sz w:val="22"/>
                  <w:szCs w:val="22"/>
                </w:rPr>
                <w:delText>4%)</w:delText>
              </w:r>
            </w:del>
          </w:p>
        </w:tc>
        <w:tc>
          <w:tcPr>
            <w:tcW w:w="1855" w:type="dxa"/>
          </w:tcPr>
          <w:p w:rsidR="006224C2" w:rsidRPr="00295E71" w14:paraId="4DFC7D10" w14:textId="77777777">
            <w:pPr>
              <w:keepNext/>
              <w:tabs>
                <w:tab w:val="left" w:pos="567"/>
                <w:tab w:val="left" w:pos="1294"/>
              </w:tabs>
              <w:autoSpaceDE w:val="0"/>
              <w:autoSpaceDN w:val="0"/>
              <w:adjustRightInd w:val="0"/>
              <w:jc w:val="both"/>
              <w:pPrChange w:id="10314" w:author="AbbVie14" w:date="2025-05-09T10:34:00Z">
                <w:pPr>
                  <w:pStyle w:val="TableLeft"/>
                  <w:jc w:val="center"/>
                </w:pPr>
              </w:pPrChange>
              <w:rPr>
                <w:del w:id="10315" w:author="AbbVie14" w:date="2025-05-09T10:34:00Z"/>
                <w:sz w:val="22"/>
                <w:szCs w:val="22"/>
              </w:rPr>
            </w:pPr>
            <w:del w:id="10316" w:author="AbbVie14" w:date="2025-05-09T10:34:00Z">
              <w:r w:rsidRPr="00295E71">
                <w:rPr>
                  <w:sz w:val="22"/>
                  <w:szCs w:val="22"/>
                </w:rPr>
                <w:delText>40 (57</w:delText>
              </w:r>
            </w:del>
            <w:del w:id="10317" w:author="AbbVie14" w:date="2025-05-09T10:34:00Z">
              <w:r w:rsidR="00A02331">
                <w:rPr>
                  <w:sz w:val="22"/>
                  <w:szCs w:val="22"/>
                </w:rPr>
                <w:delText>,</w:delText>
              </w:r>
            </w:del>
            <w:del w:id="10318" w:author="AbbVie14" w:date="2025-05-09T10:34:00Z">
              <w:r w:rsidRPr="00295E71">
                <w:rPr>
                  <w:sz w:val="22"/>
                  <w:szCs w:val="22"/>
                </w:rPr>
                <w:delText>1%)</w:delText>
              </w:r>
            </w:del>
          </w:p>
        </w:tc>
      </w:tr>
      <w:tr w14:paraId="2AC84482" w14:textId="77777777">
        <w:tblPrEx>
          <w:tblW w:w="0" w:type="auto"/>
          <w:tblLayout w:type="fixed"/>
          <w:tblLook w:val="0000"/>
        </w:tblPrEx>
        <w:trPr>
          <w:del w:id="10319" w:author="AbbVie14" w:date="2025-05-09T10:34:00Z"/>
        </w:trPr>
        <w:tc>
          <w:tcPr>
            <w:tcW w:w="1437" w:type="dxa"/>
          </w:tcPr>
          <w:p w:rsidR="006224C2" w:rsidRPr="00295E71" w14:paraId="18DBC87D" w14:textId="77777777">
            <w:pPr>
              <w:keepNext/>
              <w:tabs>
                <w:tab w:val="left" w:pos="567"/>
                <w:tab w:val="left" w:pos="1294"/>
              </w:tabs>
              <w:autoSpaceDE w:val="0"/>
              <w:autoSpaceDN w:val="0"/>
              <w:adjustRightInd w:val="0"/>
              <w:jc w:val="both"/>
              <w:pPrChange w:id="10320" w:author="AbbVie14" w:date="2025-05-09T10:34:00Z">
                <w:pPr>
                  <w:pStyle w:val="TableLeft"/>
                </w:pPr>
              </w:pPrChange>
              <w:rPr>
                <w:del w:id="10321" w:author="AbbVie14" w:date="2025-05-09T10:34:00Z"/>
                <w:sz w:val="22"/>
                <w:szCs w:val="22"/>
              </w:rPr>
            </w:pPr>
            <w:del w:id="10322" w:author="AbbVie14" w:date="2025-05-09T10:34:00Z">
              <w:r w:rsidRPr="00295E71">
                <w:rPr>
                  <w:sz w:val="22"/>
                  <w:szCs w:val="22"/>
                </w:rPr>
                <w:delText>Settimana 36</w:delText>
              </w:r>
            </w:del>
          </w:p>
        </w:tc>
        <w:tc>
          <w:tcPr>
            <w:tcW w:w="1980" w:type="dxa"/>
          </w:tcPr>
          <w:p w:rsidR="006224C2" w:rsidRPr="00295E71" w14:paraId="42A733E2" w14:textId="77777777">
            <w:pPr>
              <w:keepNext/>
              <w:tabs>
                <w:tab w:val="left" w:pos="567"/>
                <w:tab w:val="left" w:pos="1294"/>
              </w:tabs>
              <w:autoSpaceDE w:val="0"/>
              <w:autoSpaceDN w:val="0"/>
              <w:adjustRightInd w:val="0"/>
              <w:jc w:val="both"/>
              <w:pPrChange w:id="10323" w:author="AbbVie14" w:date="2025-05-09T10:34:00Z">
                <w:pPr>
                  <w:pStyle w:val="TableLeft"/>
                  <w:jc w:val="center"/>
                </w:pPr>
              </w:pPrChange>
              <w:rPr>
                <w:del w:id="10324" w:author="AbbVie14" w:date="2025-05-09T10:34:00Z"/>
                <w:sz w:val="22"/>
                <w:szCs w:val="22"/>
              </w:rPr>
            </w:pPr>
            <w:del w:id="10325" w:author="AbbVie14" w:date="2025-05-09T10:34:00Z">
              <w:r w:rsidRPr="00295E71">
                <w:rPr>
                  <w:sz w:val="22"/>
                  <w:szCs w:val="22"/>
                </w:rPr>
                <w:delText>22 (30</w:delText>
              </w:r>
            </w:del>
            <w:del w:id="10326" w:author="AbbVie14" w:date="2025-05-09T10:34:00Z">
              <w:r w:rsidR="00A02331">
                <w:rPr>
                  <w:sz w:val="22"/>
                  <w:szCs w:val="22"/>
                </w:rPr>
                <w:delText>,</w:delText>
              </w:r>
            </w:del>
            <w:del w:id="10327" w:author="AbbVie14" w:date="2025-05-09T10:34:00Z">
              <w:r w:rsidRPr="00295E71">
                <w:rPr>
                  <w:sz w:val="22"/>
                  <w:szCs w:val="22"/>
                </w:rPr>
                <w:delText>1%)</w:delText>
              </w:r>
            </w:del>
          </w:p>
        </w:tc>
        <w:tc>
          <w:tcPr>
            <w:tcW w:w="1980" w:type="dxa"/>
          </w:tcPr>
          <w:p w:rsidR="006224C2" w:rsidRPr="00295E71" w14:paraId="237E4217" w14:textId="77777777">
            <w:pPr>
              <w:keepNext/>
              <w:tabs>
                <w:tab w:val="left" w:pos="567"/>
                <w:tab w:val="left" w:pos="1294"/>
              </w:tabs>
              <w:autoSpaceDE w:val="0"/>
              <w:autoSpaceDN w:val="0"/>
              <w:adjustRightInd w:val="0"/>
              <w:jc w:val="both"/>
              <w:pPrChange w:id="10328" w:author="AbbVie14" w:date="2025-05-09T10:34:00Z">
                <w:pPr>
                  <w:pStyle w:val="TableLeft"/>
                  <w:jc w:val="center"/>
                </w:pPr>
              </w:pPrChange>
              <w:rPr>
                <w:del w:id="10329" w:author="AbbVie14" w:date="2025-05-09T10:34:00Z"/>
                <w:sz w:val="22"/>
                <w:szCs w:val="22"/>
              </w:rPr>
            </w:pPr>
            <w:del w:id="10330" w:author="AbbVie14" w:date="2025-05-09T10:34:00Z">
              <w:r w:rsidRPr="00295E71">
                <w:rPr>
                  <w:sz w:val="22"/>
                  <w:szCs w:val="22"/>
                </w:rPr>
                <w:delText>28 (40</w:delText>
              </w:r>
            </w:del>
            <w:del w:id="10331" w:author="AbbVie14" w:date="2025-05-09T10:34:00Z">
              <w:r w:rsidR="00A02331">
                <w:rPr>
                  <w:sz w:val="22"/>
                  <w:szCs w:val="22"/>
                </w:rPr>
                <w:delText>,</w:delText>
              </w:r>
            </w:del>
            <w:del w:id="10332" w:author="AbbVie14" w:date="2025-05-09T10:34:00Z">
              <w:r w:rsidRPr="00295E71">
                <w:rPr>
                  <w:sz w:val="22"/>
                  <w:szCs w:val="22"/>
                </w:rPr>
                <w:delText>0%)</w:delText>
              </w:r>
            </w:del>
          </w:p>
        </w:tc>
        <w:tc>
          <w:tcPr>
            <w:tcW w:w="1855" w:type="dxa"/>
          </w:tcPr>
          <w:p w:rsidR="006224C2" w:rsidRPr="00295E71" w14:paraId="3DBA2FCB" w14:textId="77777777">
            <w:pPr>
              <w:keepNext/>
              <w:tabs>
                <w:tab w:val="left" w:pos="567"/>
                <w:tab w:val="left" w:pos="1294"/>
              </w:tabs>
              <w:autoSpaceDE w:val="0"/>
              <w:autoSpaceDN w:val="0"/>
              <w:adjustRightInd w:val="0"/>
              <w:jc w:val="both"/>
              <w:pPrChange w:id="10333" w:author="AbbVie14" w:date="2025-05-09T10:34:00Z">
                <w:pPr>
                  <w:pStyle w:val="TableLeft"/>
                  <w:jc w:val="center"/>
                </w:pPr>
              </w:pPrChange>
              <w:rPr>
                <w:del w:id="10334" w:author="AbbVie14" w:date="2025-05-09T10:34:00Z"/>
                <w:sz w:val="22"/>
                <w:szCs w:val="22"/>
              </w:rPr>
            </w:pPr>
            <w:del w:id="10335" w:author="AbbVie14" w:date="2025-05-09T10:34:00Z">
              <w:r w:rsidRPr="00295E71">
                <w:rPr>
                  <w:sz w:val="22"/>
                  <w:szCs w:val="22"/>
                </w:rPr>
                <w:delText>39 (55</w:delText>
              </w:r>
            </w:del>
            <w:del w:id="10336" w:author="AbbVie14" w:date="2025-05-09T10:34:00Z">
              <w:r w:rsidR="00A02331">
                <w:rPr>
                  <w:sz w:val="22"/>
                  <w:szCs w:val="22"/>
                </w:rPr>
                <w:delText>,</w:delText>
              </w:r>
            </w:del>
            <w:del w:id="10337" w:author="AbbVie14" w:date="2025-05-09T10:34:00Z">
              <w:r w:rsidRPr="00295E71">
                <w:rPr>
                  <w:sz w:val="22"/>
                  <w:szCs w:val="22"/>
                </w:rPr>
                <w:delText>7%)</w:delText>
              </w:r>
            </w:del>
          </w:p>
        </w:tc>
      </w:tr>
      <w:tr w14:paraId="490A3030" w14:textId="77777777">
        <w:tblPrEx>
          <w:tblW w:w="0" w:type="auto"/>
          <w:tblLayout w:type="fixed"/>
          <w:tblLook w:val="0000"/>
        </w:tblPrEx>
        <w:trPr>
          <w:del w:id="10338" w:author="AbbVie14" w:date="2025-05-09T10:34:00Z"/>
        </w:trPr>
        <w:tc>
          <w:tcPr>
            <w:tcW w:w="7252" w:type="dxa"/>
            <w:gridSpan w:val="4"/>
          </w:tcPr>
          <w:p w:rsidR="006224C2" w:rsidRPr="00295E71" w14:paraId="5FF8E6D2" w14:textId="77777777">
            <w:pPr>
              <w:keepNext/>
              <w:tabs>
                <w:tab w:val="left" w:pos="567"/>
                <w:tab w:val="left" w:pos="1294"/>
              </w:tabs>
              <w:autoSpaceDE w:val="0"/>
              <w:autoSpaceDN w:val="0"/>
              <w:adjustRightInd w:val="0"/>
              <w:jc w:val="both"/>
              <w:pPrChange w:id="10339" w:author="AbbVie14" w:date="2025-05-09T10:34:00Z">
                <w:pPr>
                  <w:pStyle w:val="TableFootnoteLetter"/>
                  <w:numPr>
                    <w:numId w:val="111"/>
                  </w:numPr>
                  <w:ind w:left="401" w:hanging="340"/>
                </w:pPr>
              </w:pPrChange>
              <w:rPr>
                <w:del w:id="10340" w:author="AbbVie14" w:date="2025-05-09T10:34:00Z"/>
                <w:sz w:val="22"/>
                <w:szCs w:val="22"/>
              </w:rPr>
            </w:pPr>
            <w:del w:id="10341" w:author="AbbVie14" w:date="2025-05-09T10:34:00Z">
              <w:r w:rsidRPr="00295E71">
                <w:rPr>
                  <w:sz w:val="22"/>
                  <w:szCs w:val="22"/>
                </w:rPr>
                <w:delText>Pazienti con almeno una risposta parziale ad Humira 40 mg ogni settimana dopo 12 settimane di trattamento.</w:delText>
              </w:r>
            </w:del>
          </w:p>
          <w:p w:rsidR="006224C2" w:rsidRPr="00295E71" w14:paraId="6ABBFDF2" w14:textId="77777777">
            <w:pPr>
              <w:keepNext/>
              <w:tabs>
                <w:tab w:val="left" w:pos="567"/>
                <w:tab w:val="left" w:pos="1294"/>
              </w:tabs>
              <w:autoSpaceDE w:val="0"/>
              <w:autoSpaceDN w:val="0"/>
              <w:adjustRightInd w:val="0"/>
              <w:jc w:val="both"/>
              <w:pPrChange w:id="10342" w:author="AbbVie14" w:date="2025-05-09T10:34:00Z">
                <w:pPr>
                  <w:pStyle w:val="TableFootnoteLetter"/>
                  <w:numPr>
                    <w:numId w:val="111"/>
                  </w:numPr>
                  <w:ind w:left="333" w:hanging="270"/>
                </w:pPr>
              </w:pPrChange>
              <w:rPr>
                <w:del w:id="10343" w:author="AbbVie14" w:date="2025-05-09T10:34:00Z"/>
                <w:sz w:val="22"/>
                <w:szCs w:val="22"/>
              </w:rPr>
            </w:pPr>
            <w:del w:id="10344" w:author="AbbVie14" w:date="2025-05-09T10:34:00Z">
              <w:r w:rsidRPr="00295E71">
                <w:rPr>
                  <w:sz w:val="22"/>
                  <w:szCs w:val="22"/>
                </w:rPr>
                <w:delText>Pazienti che rispettavano i criteri specificati nel protocollo per la perdita di risposta o per la mancanza di miglioramento ai quali è stato richiesto di interrompere gli studi ed erano stati considerati come non-responder.</w:delText>
              </w:r>
            </w:del>
          </w:p>
        </w:tc>
      </w:tr>
    </w:tbl>
    <w:p w:rsidR="006224C2" w:rsidRPr="00295E71" w14:paraId="26E78445" w14:textId="77777777">
      <w:pPr>
        <w:keepNext/>
        <w:tabs>
          <w:tab w:val="left" w:pos="567"/>
          <w:tab w:val="left" w:pos="1294"/>
        </w:tabs>
        <w:autoSpaceDE w:val="0"/>
        <w:autoSpaceDN w:val="0"/>
        <w:adjustRightInd w:val="0"/>
        <w:jc w:val="both"/>
        <w:pPrChange w:id="10345" w:author="AbbVie14" w:date="2025-05-09T10:34:00Z">
          <w:pPr>
            <w:tabs>
              <w:tab w:val="left" w:pos="567"/>
              <w:tab w:val="left" w:pos="1294"/>
            </w:tabs>
            <w:autoSpaceDE w:val="0"/>
            <w:autoSpaceDN w:val="0"/>
            <w:adjustRightInd w:val="0"/>
            <w:jc w:val="center"/>
          </w:pPr>
        </w:pPrChange>
        <w:rPr>
          <w:del w:id="10346" w:author="AbbVie14" w:date="2025-05-09T10:34:00Z"/>
          <w:b/>
          <w:sz w:val="22"/>
          <w:szCs w:val="22"/>
        </w:rPr>
      </w:pPr>
    </w:p>
    <w:p w:rsidR="006224C2" w:rsidRPr="00295E71" w14:paraId="1ACA14F3" w14:textId="77777777">
      <w:pPr>
        <w:keepNext/>
        <w:tabs>
          <w:tab w:val="left" w:pos="567"/>
          <w:tab w:val="left" w:pos="1294"/>
        </w:tabs>
        <w:autoSpaceDE w:val="0"/>
        <w:autoSpaceDN w:val="0"/>
        <w:adjustRightInd w:val="0"/>
        <w:jc w:val="both"/>
        <w:pPrChange w:id="10347" w:author="AbbVie14" w:date="2025-05-09T10:34:00Z">
          <w:pPr/>
        </w:pPrChange>
        <w:rPr>
          <w:del w:id="10348" w:author="AbbVie14" w:date="2025-05-09T10:34:00Z"/>
          <w:sz w:val="22"/>
          <w:szCs w:val="22"/>
        </w:rPr>
      </w:pPr>
      <w:del w:id="10349" w:author="AbbVie14" w:date="2025-05-09T10:34:00Z">
        <w:r w:rsidRPr="00295E71">
          <w:rPr>
            <w:sz w:val="22"/>
            <w:szCs w:val="22"/>
            <w:lang w:eastAsia="en-US"/>
          </w:rPr>
          <w:delText>Tra i pazienti</w:delText>
        </w:r>
      </w:del>
      <w:del w:id="10350" w:author="AbbVie14" w:date="2025-05-09T10:34:00Z">
        <w:r w:rsidRPr="00295E71" w:rsidR="00176CDB">
          <w:rPr>
            <w:sz w:val="22"/>
            <w:szCs w:val="22"/>
            <w:lang w:eastAsia="en-US"/>
          </w:rPr>
          <w:delText xml:space="preserve"> </w:delText>
        </w:r>
      </w:del>
      <w:del w:id="10351" w:author="AbbVie14" w:date="2025-05-09T10:34:00Z">
        <w:r w:rsidRPr="00295E71">
          <w:rPr>
            <w:sz w:val="22"/>
            <w:szCs w:val="22"/>
            <w:lang w:eastAsia="en-US"/>
          </w:rPr>
          <w:delText>con una risposta parziale</w:delText>
        </w:r>
      </w:del>
      <w:del w:id="10352" w:author="AbbVie14" w:date="2025-05-09T10:34:00Z">
        <w:r w:rsidRPr="00295E71" w:rsidR="00176CDB">
          <w:rPr>
            <w:sz w:val="22"/>
            <w:szCs w:val="22"/>
            <w:lang w:eastAsia="en-US"/>
          </w:rPr>
          <w:delText xml:space="preserve"> </w:delText>
        </w:r>
      </w:del>
      <w:del w:id="10353" w:author="AbbVie14" w:date="2025-05-09T10:34:00Z">
        <w:r w:rsidRPr="00295E71">
          <w:rPr>
            <w:sz w:val="22"/>
            <w:szCs w:val="22"/>
            <w:lang w:eastAsia="en-US"/>
          </w:rPr>
          <w:delText>alla settimana 12 e che hanno ricevuto una</w:delText>
        </w:r>
      </w:del>
      <w:del w:id="10354" w:author="AbbVie14" w:date="2025-05-09T10:34:00Z">
        <w:r w:rsidRPr="00295E71" w:rsidR="00176CDB">
          <w:rPr>
            <w:sz w:val="22"/>
            <w:szCs w:val="22"/>
            <w:lang w:eastAsia="en-US"/>
          </w:rPr>
          <w:delText xml:space="preserve"> </w:delText>
        </w:r>
      </w:del>
      <w:del w:id="10355" w:author="AbbVie14" w:date="2025-05-09T10:34:00Z">
        <w:r w:rsidRPr="00295E71">
          <w:rPr>
            <w:sz w:val="22"/>
            <w:szCs w:val="22"/>
            <w:lang w:eastAsia="en-US"/>
          </w:rPr>
          <w:delText xml:space="preserve">terapia settimanale senza interruzione con Humira, la percentuale di HiSCR alla settimana 48 era del </w:delText>
        </w:r>
      </w:del>
      <w:del w:id="10356" w:author="AbbVie14" w:date="2025-05-09T10:34:00Z">
        <w:r w:rsidRPr="00295E71" w:rsidR="00176CDB">
          <w:rPr>
            <w:sz w:val="22"/>
            <w:szCs w:val="22"/>
            <w:lang w:eastAsia="en-US"/>
          </w:rPr>
          <w:delText xml:space="preserve">68,3% ed alla settimana 96 era del 65,1%. Nel trattamento a lungo termine con Humira 40 mg </w:delText>
        </w:r>
      </w:del>
      <w:del w:id="10357" w:author="AbbVie14" w:date="2025-05-09T10:34:00Z">
        <w:r w:rsidRPr="00295E71" w:rsidR="009F5745">
          <w:rPr>
            <w:sz w:val="22"/>
            <w:szCs w:val="22"/>
            <w:lang w:eastAsia="en-US"/>
          </w:rPr>
          <w:delText xml:space="preserve">a settimana </w:delText>
        </w:r>
      </w:del>
      <w:del w:id="10358" w:author="AbbVie14" w:date="2025-05-09T10:34:00Z">
        <w:r w:rsidRPr="00295E71" w:rsidR="00176CDB">
          <w:rPr>
            <w:sz w:val="22"/>
            <w:szCs w:val="22"/>
            <w:lang w:eastAsia="en-US"/>
          </w:rPr>
          <w:delText>per 96 settimane non sono emerse nuove problematiche di sicurezza.</w:delText>
        </w:r>
      </w:del>
    </w:p>
    <w:p w:rsidR="006224C2" w:rsidRPr="00295E71" w14:paraId="55926580" w14:textId="77777777">
      <w:pPr>
        <w:keepNext/>
        <w:tabs>
          <w:tab w:val="left" w:pos="567"/>
          <w:tab w:val="left" w:pos="1294"/>
        </w:tabs>
        <w:autoSpaceDE w:val="0"/>
        <w:autoSpaceDN w:val="0"/>
        <w:adjustRightInd w:val="0"/>
        <w:jc w:val="both"/>
        <w:pPrChange w:id="10359" w:author="AbbVie14" w:date="2025-05-09T10:34:00Z">
          <w:pPr/>
        </w:pPrChange>
        <w:rPr>
          <w:del w:id="10360" w:author="AbbVie14" w:date="2025-05-09T10:34:00Z"/>
          <w:sz w:val="22"/>
          <w:szCs w:val="22"/>
        </w:rPr>
      </w:pPr>
    </w:p>
    <w:p w:rsidR="006224C2" w:rsidRPr="00615740" w14:paraId="6C4CB451" w14:textId="77777777">
      <w:pPr>
        <w:keepNext/>
        <w:tabs>
          <w:tab w:val="left" w:pos="567"/>
          <w:tab w:val="left" w:pos="1294"/>
        </w:tabs>
        <w:autoSpaceDE w:val="0"/>
        <w:autoSpaceDN w:val="0"/>
        <w:adjustRightInd w:val="0"/>
        <w:jc w:val="both"/>
        <w:pPrChange w:id="10361" w:author="AbbVie14" w:date="2025-05-09T10:34:00Z">
          <w:pPr/>
        </w:pPrChange>
        <w:rPr>
          <w:del w:id="10362" w:author="AbbVie14" w:date="2025-05-09T10:34:00Z"/>
          <w:sz w:val="22"/>
          <w:szCs w:val="22"/>
        </w:rPr>
      </w:pPr>
      <w:del w:id="10363" w:author="AbbVie14" w:date="2025-05-09T10:34:00Z">
        <w:r w:rsidRPr="00295E71">
          <w:rPr>
            <w:sz w:val="22"/>
            <w:szCs w:val="22"/>
            <w:lang w:eastAsia="en-US"/>
          </w:rPr>
          <w:delText xml:space="preserve">Tra i </w:delText>
        </w:r>
      </w:del>
      <w:del w:id="10364" w:author="AbbVie14" w:date="2025-05-09T10:34:00Z">
        <w:r w:rsidRPr="00615740">
          <w:rPr>
            <w:sz w:val="22"/>
            <w:szCs w:val="22"/>
            <w:lang w:eastAsia="en-US"/>
          </w:rPr>
          <w:delText>pazienti negli Studi HS-I e HS-II che avevano interrotto il trattamento con Humira alla settimana 12, la percentuale di HiSCR 12 settimane dopo la ripresa di Humira 40 mg ogni settimana, sono ritornati ai livelli simili a quelli osservati prima della sospensione (56,0%).</w:delText>
        </w:r>
      </w:del>
    </w:p>
    <w:p w:rsidR="006224C2" w:rsidRPr="00615740" w14:paraId="55AE78F1" w14:textId="77777777">
      <w:pPr>
        <w:keepNext/>
        <w:tabs>
          <w:tab w:val="left" w:pos="567"/>
          <w:tab w:val="left" w:pos="1294"/>
        </w:tabs>
        <w:autoSpaceDE w:val="0"/>
        <w:autoSpaceDN w:val="0"/>
        <w:adjustRightInd w:val="0"/>
        <w:jc w:val="both"/>
        <w:pPrChange w:id="10365" w:author="AbbVie14" w:date="2025-05-09T10:34:00Z">
          <w:pPr>
            <w:pStyle w:val="EMEAHeadingUnderline"/>
            <w:spacing w:beforeLines="0" w:afterLines="0"/>
          </w:pPr>
        </w:pPrChange>
        <w:rPr>
          <w:del w:id="10366" w:author="AbbVie14" w:date="2025-05-09T10:34:00Z"/>
          <w:i/>
        </w:rPr>
      </w:pPr>
      <w:bookmarkStart w:id="10367" w:name="_Hlk52786016"/>
    </w:p>
    <w:bookmarkEnd w:id="10367"/>
    <w:p w:rsidR="006224C2" w:rsidRPr="00295E71" w14:paraId="21629696" w14:textId="77777777">
      <w:pPr>
        <w:keepNext/>
        <w:tabs>
          <w:tab w:val="left" w:pos="567"/>
          <w:tab w:val="left" w:pos="1294"/>
        </w:tabs>
        <w:autoSpaceDE w:val="0"/>
        <w:autoSpaceDN w:val="0"/>
        <w:adjustRightInd w:val="0"/>
        <w:jc w:val="both"/>
        <w:pPrChange w:id="10368" w:author="AbbVie14" w:date="2025-05-09T10:34:00Z">
          <w:pPr>
            <w:pStyle w:val="EMEAHeadingUnderline"/>
            <w:spacing w:beforeLines="0" w:afterLines="0"/>
            <w:jc w:val="both"/>
          </w:pPr>
        </w:pPrChange>
        <w:rPr>
          <w:del w:id="10369" w:author="AbbVie14" w:date="2025-05-09T10:34:00Z"/>
          <w:i/>
        </w:rPr>
      </w:pPr>
      <w:del w:id="10370" w:author="AbbVie14" w:date="2025-05-09T10:34:00Z">
        <w:r w:rsidRPr="00615740">
          <w:rPr>
            <w:i/>
          </w:rPr>
          <w:delText>Malattia di Crohn</w:delText>
        </w:r>
      </w:del>
    </w:p>
    <w:p w:rsidR="006224C2" w:rsidRPr="00295E71" w14:paraId="5E37B495" w14:textId="77777777">
      <w:pPr>
        <w:keepNext/>
        <w:tabs>
          <w:tab w:val="left" w:pos="567"/>
          <w:tab w:val="left" w:pos="1294"/>
        </w:tabs>
        <w:autoSpaceDE w:val="0"/>
        <w:autoSpaceDN w:val="0"/>
        <w:adjustRightInd w:val="0"/>
        <w:jc w:val="both"/>
        <w:pPrChange w:id="10371" w:author="AbbVie14" w:date="2025-05-09T10:34:00Z">
          <w:pPr/>
        </w:pPrChange>
        <w:rPr>
          <w:del w:id="10372" w:author="AbbVie14" w:date="2025-05-09T10:34:00Z"/>
          <w:sz w:val="22"/>
          <w:szCs w:val="22"/>
          <w:lang w:eastAsia="en-US"/>
        </w:rPr>
      </w:pPr>
    </w:p>
    <w:p w:rsidR="006224C2" w:rsidRPr="00295E71" w14:paraId="1A17ABE5" w14:textId="77777777">
      <w:pPr>
        <w:keepNext/>
        <w:tabs>
          <w:tab w:val="left" w:pos="567"/>
          <w:tab w:val="left" w:pos="1294"/>
        </w:tabs>
        <w:autoSpaceDE w:val="0"/>
        <w:autoSpaceDN w:val="0"/>
        <w:adjustRightInd w:val="0"/>
        <w:jc w:val="both"/>
        <w:pPrChange w:id="10373" w:author="AbbVie14" w:date="2025-05-09T10:34:00Z">
          <w:pPr>
            <w:pStyle w:val="EMEANormal"/>
            <w:jc w:val="both"/>
          </w:pPr>
        </w:pPrChange>
        <w:rPr>
          <w:del w:id="10374" w:author="AbbVie14" w:date="2025-05-09T10:34:00Z"/>
        </w:rPr>
      </w:pPr>
      <w:del w:id="10375" w:author="AbbVie14" w:date="2025-05-09T10:34:00Z">
        <w:r w:rsidRPr="00295E71">
          <w:delText>La sicurezza e l’efficacia di Humira sono state valutate in oltre 1.500</w:delText>
        </w:r>
      </w:del>
      <w:del w:id="10376" w:author="AbbVie14" w:date="2025-05-09T10:34:00Z">
        <w:r w:rsidR="00A02331">
          <w:delText xml:space="preserve"> </w:delText>
        </w:r>
      </w:del>
      <w:del w:id="10377" w:author="AbbVie14" w:date="2025-05-09T10:34:00Z">
        <w:r w:rsidRPr="00295E71">
          <w:delText xml:space="preserve">pazienti affetti da malattia di Crohn, da moderatamente a gravemente attiva (Crohn’s Disease Activity Index = indice di attività della malattia di Crohn (CDAI) </w:delText>
        </w:r>
      </w:del>
      <w:del w:id="10378" w:author="AbbVie14" w:date="2025-05-09T10:34:00Z">
        <w:r w:rsidRPr="00295E71">
          <w:rPr>
            <w:rFonts w:ascii="Symbol" w:hAnsi="Symbol"/>
          </w:rPr>
          <w:sym w:font="Symbol" w:char="F0B3"/>
        </w:r>
      </w:del>
      <w:del w:id="10379" w:author="AbbVie14" w:date="2025-05-09T10:34:00Z">
        <w:r w:rsidRPr="00295E71">
          <w:delText xml:space="preserve"> 220 e </w:delText>
        </w:r>
      </w:del>
      <w:del w:id="10380" w:author="AbbVie14" w:date="2025-05-09T10:34:00Z">
        <w:r w:rsidRPr="00295E71">
          <w:rPr>
            <w:rFonts w:ascii="Symbol" w:hAnsi="Symbol"/>
          </w:rPr>
          <w:sym w:font="Symbol" w:char="F0A3"/>
        </w:r>
      </w:del>
      <w:del w:id="10381" w:author="AbbVie14" w:date="2025-05-09T10:34:00Z">
        <w:r w:rsidRPr="00295E71">
          <w:delText xml:space="preserve"> 450) in studi randomizzati, in doppio cieco, controllati con placebo. È stata consentita la somministrazione concomitante di dosi costanti di aminosalicilati, di corticosteroidi, e/o di agenti immunomodulatori ed il 80% dei pazienti ha continuato ad assumere almeno uno di questi farmaci. </w:delText>
        </w:r>
      </w:del>
    </w:p>
    <w:p w:rsidR="006224C2" w:rsidRPr="00295E71" w14:paraId="192A3C06" w14:textId="77777777">
      <w:pPr>
        <w:keepNext/>
        <w:tabs>
          <w:tab w:val="left" w:pos="567"/>
          <w:tab w:val="left" w:pos="1294"/>
        </w:tabs>
        <w:autoSpaceDE w:val="0"/>
        <w:autoSpaceDN w:val="0"/>
        <w:adjustRightInd w:val="0"/>
        <w:jc w:val="both"/>
        <w:pPrChange w:id="10382" w:author="AbbVie14" w:date="2025-05-09T10:34:00Z">
          <w:pPr>
            <w:pStyle w:val="EMEANormal"/>
            <w:jc w:val="both"/>
          </w:pPr>
        </w:pPrChange>
        <w:rPr>
          <w:del w:id="10383" w:author="AbbVie14" w:date="2025-05-09T10:34:00Z"/>
        </w:rPr>
      </w:pPr>
    </w:p>
    <w:p w:rsidR="006224C2" w14:paraId="044D5EC4" w14:textId="77777777">
      <w:pPr>
        <w:keepNext/>
        <w:tabs>
          <w:tab w:val="left" w:pos="567"/>
          <w:tab w:val="left" w:pos="1294"/>
        </w:tabs>
        <w:autoSpaceDE w:val="0"/>
        <w:autoSpaceDN w:val="0"/>
        <w:adjustRightInd w:val="0"/>
        <w:jc w:val="both"/>
        <w:pPrChange w:id="10384" w:author="AbbVie14" w:date="2025-05-09T10:34:00Z">
          <w:pPr>
            <w:pStyle w:val="EMEANormal"/>
            <w:jc w:val="both"/>
          </w:pPr>
        </w:pPrChange>
        <w:rPr>
          <w:del w:id="10385" w:author="AbbVie14" w:date="2025-05-09T10:34:00Z"/>
        </w:rPr>
      </w:pPr>
      <w:del w:id="10386" w:author="AbbVie14" w:date="2025-05-09T10:34:00Z">
        <w:r w:rsidRPr="00295E71">
          <w:delText>L’induzione della remissione clinica (definita come CDAI &lt; 150) è stata valutata in due studi, studio CD I (CLASSIC I) e studio CD II (GAIN). Nello studio CD I, 299 pazienti mai trattati con anti-TNF sono stati randomizzati ad uno dei quattro gruppi di trattamento; il gruppo trattato con placebo alla settimana 0 e 2, il gruppo trattato con 160 mg di Humira alla settimana 0 e con 80 mg alla settimana 2, il gruppo trattato con 80 mg alla settimana 0 e 40 mg alla settimana 2, ed il gruppo trattato con 40 mg alla settimana 0 e 20 mg alla settimana 2. Nello studio CD II, 325</w:delText>
        </w:r>
      </w:del>
      <w:del w:id="10387" w:author="AbbVie14" w:date="2025-05-09T10:34:00Z">
        <w:r w:rsidR="00304A8D">
          <w:delText xml:space="preserve"> </w:delText>
        </w:r>
      </w:del>
      <w:del w:id="10388" w:author="AbbVie14" w:date="2025-05-09T10:34:00Z">
        <w:r w:rsidRPr="00295E71">
          <w:delText>pazienti che avevano perso la risposta o si sono rivelati intolleranti ad infliximab sono stati randomizzati per ricevere160 mg di Humira alla settimana 0 ed 80 mg di Humira alla settimana 2 oppure placebo alla settimana 0 ed alla settimana 2. I non-responder primari sono stati esclusi dagli studi e, di conseguenza, questi pazienti non sono stati sottoposti ad ulteriori valutazioni.</w:delText>
        </w:r>
      </w:del>
    </w:p>
    <w:p w:rsidR="00A02331" w:rsidRPr="00295E71" w14:paraId="27393B9A" w14:textId="77777777">
      <w:pPr>
        <w:keepNext/>
        <w:tabs>
          <w:tab w:val="left" w:pos="567"/>
          <w:tab w:val="left" w:pos="1294"/>
        </w:tabs>
        <w:autoSpaceDE w:val="0"/>
        <w:autoSpaceDN w:val="0"/>
        <w:adjustRightInd w:val="0"/>
        <w:jc w:val="both"/>
        <w:pPrChange w:id="10389" w:author="AbbVie14" w:date="2025-05-09T10:34:00Z">
          <w:pPr>
            <w:pStyle w:val="EMEANormal"/>
            <w:jc w:val="both"/>
          </w:pPr>
        </w:pPrChange>
        <w:rPr>
          <w:del w:id="10390" w:author="AbbVie14" w:date="2025-05-09T10:34:00Z"/>
        </w:rPr>
      </w:pPr>
    </w:p>
    <w:p w:rsidR="006224C2" w:rsidRPr="00295E71" w14:paraId="59B057D6" w14:textId="77777777">
      <w:pPr>
        <w:keepNext/>
        <w:tabs>
          <w:tab w:val="left" w:pos="567"/>
          <w:tab w:val="left" w:pos="1294"/>
        </w:tabs>
        <w:autoSpaceDE w:val="0"/>
        <w:autoSpaceDN w:val="0"/>
        <w:adjustRightInd w:val="0"/>
        <w:jc w:val="both"/>
        <w:pPrChange w:id="10391" w:author="AbbVie14" w:date="2025-05-09T10:34:00Z">
          <w:pPr>
            <w:pStyle w:val="EMEANormal"/>
            <w:jc w:val="both"/>
          </w:pPr>
        </w:pPrChange>
        <w:rPr>
          <w:del w:id="10392" w:author="AbbVie14" w:date="2025-05-09T10:34:00Z"/>
        </w:rPr>
      </w:pPr>
      <w:del w:id="10393" w:author="AbbVie14" w:date="2025-05-09T10:34:00Z">
        <w:r w:rsidRPr="00295E71">
          <w:delText xml:space="preserve">Il mantenimento della remissione clinica è stato valutato nello studio CD III (CHARM). Nello studio CD III, 854 pazienti hanno ricevuto in aperto 80 mg di Humira alla settimana 0 e 40 mg alla settimana 2. Alla settimana 4, i pazienti sono stati randomizzati per ricevere 40 mg a settimane alterne, 40 mg ogni settimana, oppure il placebo; la durata totale dello studio è stata pari a 56 settimane. I pazienti che hanno manifestato una risposta clinica (diminuzione dell’indice CDAI ≥ 70) alla settimana 4 sono stati stratificati ed analizzati separatamente da coloro che non hanno manifestato una risposta clinica alla settimana 4. È stata consentita una riduzione graduale della dose di corticosteroidi dopo la settimana 8. </w:delText>
        </w:r>
      </w:del>
    </w:p>
    <w:p w:rsidR="006224C2" w:rsidRPr="00295E71" w14:paraId="5D26A53A" w14:textId="77777777">
      <w:pPr>
        <w:keepNext/>
        <w:tabs>
          <w:tab w:val="left" w:pos="567"/>
          <w:tab w:val="left" w:pos="1294"/>
        </w:tabs>
        <w:autoSpaceDE w:val="0"/>
        <w:autoSpaceDN w:val="0"/>
        <w:adjustRightInd w:val="0"/>
        <w:jc w:val="both"/>
        <w:pPrChange w:id="10394" w:author="AbbVie14" w:date="2025-05-09T10:34:00Z">
          <w:pPr>
            <w:pStyle w:val="EMEANormal"/>
            <w:jc w:val="both"/>
          </w:pPr>
        </w:pPrChange>
        <w:rPr>
          <w:del w:id="10395" w:author="AbbVie14" w:date="2025-05-09T10:34:00Z"/>
        </w:rPr>
      </w:pPr>
    </w:p>
    <w:p w:rsidR="006224C2" w:rsidRPr="00295E71" w14:paraId="2E9D7EE8" w14:textId="77777777">
      <w:pPr>
        <w:keepNext/>
        <w:tabs>
          <w:tab w:val="left" w:pos="567"/>
          <w:tab w:val="left" w:pos="1294"/>
        </w:tabs>
        <w:autoSpaceDE w:val="0"/>
        <w:autoSpaceDN w:val="0"/>
        <w:adjustRightInd w:val="0"/>
        <w:jc w:val="both"/>
        <w:pPrChange w:id="10396" w:author="AbbVie14" w:date="2025-05-09T10:34:00Z">
          <w:pPr>
            <w:pStyle w:val="EMEANormal"/>
            <w:jc w:val="both"/>
          </w:pPr>
        </w:pPrChange>
        <w:rPr>
          <w:del w:id="10397" w:author="AbbVie14" w:date="2025-05-09T10:34:00Z"/>
        </w:rPr>
      </w:pPr>
      <w:del w:id="10398" w:author="AbbVie14" w:date="2025-05-09T10:34:00Z">
        <w:r w:rsidRPr="00295E71">
          <w:delText xml:space="preserve">Le percentuali relative all’induzione della remissione e della risposta clinica dello studio CD I e dello studio CD II sono riportate nella Tabella </w:delText>
        </w:r>
      </w:del>
      <w:del w:id="10399" w:author="AbbVie14" w:date="2025-05-09T10:34:00Z">
        <w:r w:rsidRPr="00295E71" w:rsidR="00326430">
          <w:delText>2</w:delText>
        </w:r>
      </w:del>
      <w:del w:id="10400" w:author="AbbVie14" w:date="2025-05-09T10:34:00Z">
        <w:r w:rsidR="005C4AD7">
          <w:delText>1</w:delText>
        </w:r>
      </w:del>
      <w:del w:id="10401" w:author="AbbVie14" w:date="2025-05-09T10:34:00Z">
        <w:r w:rsidRPr="00295E71">
          <w:delText>.</w:delText>
        </w:r>
      </w:del>
    </w:p>
    <w:p w:rsidR="006224C2" w:rsidRPr="00295E71" w14:paraId="6B1A6624" w14:textId="77777777">
      <w:pPr>
        <w:keepNext/>
        <w:tabs>
          <w:tab w:val="left" w:pos="567"/>
          <w:tab w:val="left" w:pos="1294"/>
        </w:tabs>
        <w:autoSpaceDE w:val="0"/>
        <w:autoSpaceDN w:val="0"/>
        <w:adjustRightInd w:val="0"/>
        <w:jc w:val="both"/>
        <w:pPrChange w:id="10402" w:author="AbbVie14" w:date="2025-05-09T10:34:00Z">
          <w:pPr>
            <w:keepNext/>
          </w:pPr>
        </w:pPrChange>
        <w:rPr>
          <w:del w:id="10403" w:author="AbbVie14" w:date="2025-05-09T10:34:00Z"/>
          <w:sz w:val="22"/>
          <w:szCs w:val="22"/>
        </w:rPr>
      </w:pPr>
    </w:p>
    <w:tbl>
      <w:tblPr>
        <w:tblW w:w="9238" w:type="dxa"/>
        <w:tblBorders>
          <w:top w:val="single" w:sz="4" w:space="0" w:color="auto"/>
          <w:left w:val="single" w:sz="4" w:space="0" w:color="auto"/>
          <w:bottom w:val="single" w:sz="4" w:space="0" w:color="auto"/>
          <w:right w:val="single" w:sz="4" w:space="0" w:color="auto"/>
        </w:tblBorders>
        <w:tblLook w:val="0000"/>
      </w:tblPr>
      <w:tblGrid>
        <w:gridCol w:w="2406"/>
        <w:gridCol w:w="1210"/>
        <w:gridCol w:w="1262"/>
        <w:gridCol w:w="962"/>
        <w:gridCol w:w="1535"/>
        <w:gridCol w:w="1863"/>
      </w:tblGrid>
      <w:tr w14:paraId="66BF3245" w14:textId="77777777">
        <w:tblPrEx>
          <w:tblW w:w="9238" w:type="dxa"/>
          <w:tblLook w:val="0000"/>
        </w:tblPrEx>
        <w:trPr>
          <w:del w:id="10404" w:author="AbbVie14" w:date="2025-05-09T10:34:00Z"/>
        </w:trPr>
        <w:tc>
          <w:tcPr>
            <w:tcW w:w="9238" w:type="dxa"/>
            <w:gridSpan w:val="6"/>
            <w:tcBorders>
              <w:top w:val="nil"/>
              <w:left w:val="nil"/>
              <w:bottom w:val="single" w:sz="4" w:space="0" w:color="auto"/>
              <w:right w:val="nil"/>
            </w:tcBorders>
          </w:tcPr>
          <w:p w:rsidR="006224C2" w:rsidRPr="00295E71" w14:paraId="6ECD6770" w14:textId="77777777">
            <w:pPr>
              <w:keepNext/>
              <w:tabs>
                <w:tab w:val="left" w:pos="567"/>
                <w:tab w:val="left" w:pos="1294"/>
              </w:tabs>
              <w:autoSpaceDE w:val="0"/>
              <w:autoSpaceDN w:val="0"/>
              <w:adjustRightInd w:val="0"/>
              <w:jc w:val="both"/>
              <w:pPrChange w:id="10405" w:author="AbbVie14" w:date="2025-05-09T10:34:00Z">
                <w:pPr>
                  <w:pStyle w:val="TableText"/>
                  <w:spacing w:line="240" w:lineRule="exact"/>
                  <w:jc w:val="center"/>
                </w:pPr>
              </w:pPrChange>
              <w:rPr>
                <w:del w:id="10406" w:author="AbbVie14" w:date="2025-05-09T10:34:00Z"/>
                <w:b/>
                <w:bCs/>
                <w:sz w:val="22"/>
                <w:szCs w:val="22"/>
              </w:rPr>
            </w:pPr>
            <w:del w:id="10407" w:author="AbbVie14" w:date="2025-05-09T10:34:00Z">
              <w:r w:rsidRPr="00295E71">
                <w:rPr>
                  <w:b/>
                  <w:bCs/>
                  <w:sz w:val="22"/>
                  <w:szCs w:val="22"/>
                </w:rPr>
                <w:delText xml:space="preserve">Tabella </w:delText>
              </w:r>
            </w:del>
            <w:del w:id="10408" w:author="AbbVie14" w:date="2025-05-09T10:34:00Z">
              <w:r w:rsidRPr="00295E71" w:rsidR="00326430">
                <w:rPr>
                  <w:b/>
                  <w:bCs/>
                  <w:sz w:val="22"/>
                  <w:szCs w:val="22"/>
                </w:rPr>
                <w:delText>2</w:delText>
              </w:r>
            </w:del>
            <w:del w:id="10409" w:author="AbbVie14" w:date="2025-05-09T10:34:00Z">
              <w:r w:rsidR="005C4AD7">
                <w:rPr>
                  <w:b/>
                  <w:bCs/>
                  <w:sz w:val="22"/>
                  <w:szCs w:val="22"/>
                </w:rPr>
                <w:delText>1</w:delText>
              </w:r>
            </w:del>
          </w:p>
          <w:p w:rsidR="006224C2" w:rsidRPr="00295E71" w14:paraId="59063756" w14:textId="77777777">
            <w:pPr>
              <w:keepNext/>
              <w:tabs>
                <w:tab w:val="left" w:pos="567"/>
                <w:tab w:val="left" w:pos="1294"/>
              </w:tabs>
              <w:autoSpaceDE w:val="0"/>
              <w:autoSpaceDN w:val="0"/>
              <w:adjustRightInd w:val="0"/>
              <w:jc w:val="both"/>
              <w:pPrChange w:id="10410" w:author="AbbVie14" w:date="2025-05-09T10:34:00Z">
                <w:pPr>
                  <w:pStyle w:val="TableText"/>
                  <w:spacing w:line="240" w:lineRule="exact"/>
                  <w:jc w:val="center"/>
                </w:pPr>
              </w:pPrChange>
              <w:rPr>
                <w:del w:id="10411" w:author="AbbVie14" w:date="2025-05-09T10:34:00Z"/>
                <w:b/>
                <w:bCs/>
                <w:sz w:val="22"/>
                <w:szCs w:val="22"/>
              </w:rPr>
            </w:pPr>
            <w:del w:id="10412" w:author="AbbVie14" w:date="2025-05-09T10:34:00Z">
              <w:r w:rsidRPr="00295E71">
                <w:rPr>
                  <w:b/>
                  <w:bCs/>
                  <w:sz w:val="22"/>
                  <w:szCs w:val="22"/>
                </w:rPr>
                <w:delText>Induzione della remissione e della risposta clinica</w:delText>
              </w:r>
            </w:del>
          </w:p>
          <w:p w:rsidR="006224C2" w:rsidRPr="00295E71" w14:paraId="5E85BDA0" w14:textId="77777777">
            <w:pPr>
              <w:keepNext/>
              <w:tabs>
                <w:tab w:val="left" w:pos="567"/>
                <w:tab w:val="left" w:pos="1294"/>
              </w:tabs>
              <w:autoSpaceDE w:val="0"/>
              <w:autoSpaceDN w:val="0"/>
              <w:adjustRightInd w:val="0"/>
              <w:jc w:val="both"/>
              <w:pPrChange w:id="10413" w:author="AbbVie14" w:date="2025-05-09T10:34:00Z">
                <w:pPr>
                  <w:pStyle w:val="TableText"/>
                  <w:spacing w:line="240" w:lineRule="exact"/>
                  <w:jc w:val="center"/>
                </w:pPr>
              </w:pPrChange>
              <w:rPr>
                <w:del w:id="10414" w:author="AbbVie14" w:date="2025-05-09T10:34:00Z"/>
                <w:b/>
                <w:bCs/>
                <w:sz w:val="22"/>
                <w:szCs w:val="22"/>
              </w:rPr>
            </w:pPr>
            <w:del w:id="10415" w:author="AbbVie14" w:date="2025-05-09T10:34:00Z">
              <w:r w:rsidRPr="00295E71">
                <w:rPr>
                  <w:b/>
                  <w:bCs/>
                  <w:sz w:val="22"/>
                  <w:szCs w:val="22"/>
                </w:rPr>
                <w:delText>(percentuale di pazienti)</w:delText>
              </w:r>
            </w:del>
          </w:p>
          <w:p w:rsidR="006224C2" w:rsidRPr="00295E71" w14:paraId="4BC885BB" w14:textId="77777777">
            <w:pPr>
              <w:keepNext/>
              <w:tabs>
                <w:tab w:val="left" w:pos="567"/>
                <w:tab w:val="left" w:pos="1294"/>
              </w:tabs>
              <w:autoSpaceDE w:val="0"/>
              <w:autoSpaceDN w:val="0"/>
              <w:adjustRightInd w:val="0"/>
              <w:jc w:val="both"/>
              <w:pPrChange w:id="10416" w:author="AbbVie14" w:date="2025-05-09T10:34:00Z">
                <w:pPr>
                  <w:pStyle w:val="TableText"/>
                  <w:spacing w:line="240" w:lineRule="exact"/>
                  <w:jc w:val="center"/>
                </w:pPr>
              </w:pPrChange>
              <w:rPr>
                <w:del w:id="10417" w:author="AbbVie14" w:date="2025-05-09T10:34:00Z"/>
                <w:sz w:val="22"/>
                <w:szCs w:val="22"/>
              </w:rPr>
            </w:pPr>
          </w:p>
        </w:tc>
      </w:tr>
      <w:tr w14:paraId="7F5B9DB9" w14:textId="77777777">
        <w:tblPrEx>
          <w:tblW w:w="9238" w:type="dxa"/>
          <w:tblLook w:val="0000"/>
        </w:tblPrEx>
        <w:trPr>
          <w:del w:id="10418" w:author="AbbVie14" w:date="2025-05-09T10:34:00Z"/>
        </w:trPr>
        <w:tc>
          <w:tcPr>
            <w:tcW w:w="2406" w:type="dxa"/>
            <w:tcBorders>
              <w:top w:val="single" w:sz="4" w:space="0" w:color="auto"/>
              <w:left w:val="single" w:sz="4" w:space="0" w:color="auto"/>
              <w:bottom w:val="single" w:sz="4" w:space="0" w:color="auto"/>
              <w:right w:val="single" w:sz="4" w:space="0" w:color="auto"/>
            </w:tcBorders>
          </w:tcPr>
          <w:p w:rsidR="006224C2" w:rsidRPr="00295E71" w14:paraId="4FF86B04" w14:textId="77777777">
            <w:pPr>
              <w:keepNext/>
              <w:tabs>
                <w:tab w:val="left" w:pos="567"/>
                <w:tab w:val="left" w:pos="1294"/>
              </w:tabs>
              <w:autoSpaceDE w:val="0"/>
              <w:autoSpaceDN w:val="0"/>
              <w:adjustRightInd w:val="0"/>
              <w:jc w:val="both"/>
              <w:pPrChange w:id="10419" w:author="AbbVie14" w:date="2025-05-09T10:34:00Z">
                <w:pPr>
                  <w:pStyle w:val="TableText"/>
                  <w:spacing w:line="240" w:lineRule="exact"/>
                </w:pPr>
              </w:pPrChange>
              <w:rPr>
                <w:del w:id="10420" w:author="AbbVie14" w:date="2025-05-09T10:34:00Z"/>
                <w:sz w:val="22"/>
                <w:szCs w:val="22"/>
              </w:rPr>
            </w:pPr>
          </w:p>
        </w:tc>
        <w:tc>
          <w:tcPr>
            <w:tcW w:w="3434" w:type="dxa"/>
            <w:gridSpan w:val="3"/>
            <w:tcBorders>
              <w:top w:val="single" w:sz="4" w:space="0" w:color="auto"/>
              <w:left w:val="single" w:sz="4" w:space="0" w:color="auto"/>
              <w:bottom w:val="single" w:sz="4" w:space="0" w:color="auto"/>
              <w:right w:val="single" w:sz="4" w:space="0" w:color="auto"/>
            </w:tcBorders>
          </w:tcPr>
          <w:p w:rsidR="006224C2" w:rsidRPr="00295E71" w14:paraId="082E4C27" w14:textId="77777777">
            <w:pPr>
              <w:keepNext/>
              <w:tabs>
                <w:tab w:val="left" w:pos="567"/>
                <w:tab w:val="left" w:pos="1294"/>
              </w:tabs>
              <w:autoSpaceDE w:val="0"/>
              <w:autoSpaceDN w:val="0"/>
              <w:adjustRightInd w:val="0"/>
              <w:jc w:val="both"/>
              <w:pPrChange w:id="10421" w:author="AbbVie14" w:date="2025-05-09T10:34:00Z">
                <w:pPr>
                  <w:pStyle w:val="TableText"/>
                  <w:spacing w:line="240" w:lineRule="exact"/>
                </w:pPr>
              </w:pPrChange>
              <w:rPr>
                <w:del w:id="10422" w:author="AbbVie14" w:date="2025-05-09T10:34:00Z"/>
                <w:b/>
                <w:bCs/>
                <w:sz w:val="22"/>
                <w:szCs w:val="22"/>
              </w:rPr>
            </w:pPr>
            <w:del w:id="10423" w:author="AbbVie14" w:date="2025-05-09T10:34:00Z">
              <w:r w:rsidRPr="00295E71">
                <w:rPr>
                  <w:b/>
                  <w:bCs/>
                  <w:sz w:val="22"/>
                  <w:szCs w:val="22"/>
                </w:rPr>
                <w:delText>Studio CD I: Pazienti mai trattati con Infliximab</w:delText>
              </w:r>
            </w:del>
          </w:p>
        </w:tc>
        <w:tc>
          <w:tcPr>
            <w:tcW w:w="3398" w:type="dxa"/>
            <w:gridSpan w:val="2"/>
            <w:tcBorders>
              <w:top w:val="single" w:sz="4" w:space="0" w:color="auto"/>
              <w:left w:val="single" w:sz="4" w:space="0" w:color="auto"/>
              <w:bottom w:val="single" w:sz="4" w:space="0" w:color="auto"/>
              <w:right w:val="single" w:sz="4" w:space="0" w:color="auto"/>
            </w:tcBorders>
          </w:tcPr>
          <w:p w:rsidR="006224C2" w:rsidRPr="00295E71" w14:paraId="732C2385" w14:textId="77777777">
            <w:pPr>
              <w:keepNext/>
              <w:tabs>
                <w:tab w:val="left" w:pos="567"/>
                <w:tab w:val="left" w:pos="1294"/>
              </w:tabs>
              <w:autoSpaceDE w:val="0"/>
              <w:autoSpaceDN w:val="0"/>
              <w:adjustRightInd w:val="0"/>
              <w:jc w:val="both"/>
              <w:pPrChange w:id="10424" w:author="AbbVie14" w:date="2025-05-09T10:34:00Z">
                <w:pPr>
                  <w:pStyle w:val="TableText"/>
                  <w:spacing w:line="240" w:lineRule="exact"/>
                </w:pPr>
              </w:pPrChange>
              <w:rPr>
                <w:del w:id="10425" w:author="AbbVie14" w:date="2025-05-09T10:34:00Z"/>
                <w:b/>
                <w:bCs/>
                <w:sz w:val="22"/>
                <w:szCs w:val="22"/>
              </w:rPr>
            </w:pPr>
            <w:del w:id="10426" w:author="AbbVie14" w:date="2025-05-09T10:34:00Z">
              <w:r w:rsidRPr="00295E71">
                <w:rPr>
                  <w:b/>
                  <w:bCs/>
                  <w:sz w:val="22"/>
                  <w:szCs w:val="22"/>
                </w:rPr>
                <w:delText>Studio CD II: Pazienti precedentemente trattati con Infliximab</w:delText>
              </w:r>
            </w:del>
          </w:p>
        </w:tc>
      </w:tr>
      <w:tr w14:paraId="2E1E870C" w14:textId="77777777">
        <w:tblPrEx>
          <w:tblW w:w="9238" w:type="dxa"/>
          <w:tblLook w:val="0000"/>
        </w:tblPrEx>
        <w:trPr>
          <w:del w:id="10427" w:author="AbbVie14" w:date="2025-05-09T10:34:00Z"/>
        </w:trPr>
        <w:tc>
          <w:tcPr>
            <w:tcW w:w="2406" w:type="dxa"/>
            <w:tcBorders>
              <w:top w:val="single" w:sz="4" w:space="0" w:color="auto"/>
              <w:left w:val="single" w:sz="4" w:space="0" w:color="auto"/>
              <w:bottom w:val="single" w:sz="4" w:space="0" w:color="auto"/>
              <w:right w:val="single" w:sz="4" w:space="0" w:color="auto"/>
            </w:tcBorders>
          </w:tcPr>
          <w:p w:rsidR="006224C2" w:rsidRPr="00295E71" w14:paraId="78BEBE83" w14:textId="77777777">
            <w:pPr>
              <w:keepNext/>
              <w:tabs>
                <w:tab w:val="left" w:pos="567"/>
                <w:tab w:val="left" w:pos="1294"/>
              </w:tabs>
              <w:autoSpaceDE w:val="0"/>
              <w:autoSpaceDN w:val="0"/>
              <w:adjustRightInd w:val="0"/>
              <w:jc w:val="both"/>
              <w:pPrChange w:id="10428" w:author="AbbVie14" w:date="2025-05-09T10:34:00Z">
                <w:pPr>
                  <w:pStyle w:val="TableText"/>
                  <w:spacing w:line="240" w:lineRule="exact"/>
                  <w:jc w:val="center"/>
                </w:pPr>
              </w:pPrChange>
              <w:rPr>
                <w:del w:id="10429" w:author="AbbVie14" w:date="2025-05-09T10:34:00Z"/>
                <w:sz w:val="22"/>
                <w:szCs w:val="22"/>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489F8E9E" w14:textId="77777777">
            <w:pPr>
              <w:keepNext/>
              <w:tabs>
                <w:tab w:val="left" w:pos="567"/>
                <w:tab w:val="left" w:pos="1294"/>
              </w:tabs>
              <w:autoSpaceDE w:val="0"/>
              <w:autoSpaceDN w:val="0"/>
              <w:adjustRightInd w:val="0"/>
              <w:jc w:val="both"/>
              <w:pPrChange w:id="10430" w:author="AbbVie14" w:date="2025-05-09T10:34:00Z">
                <w:pPr>
                  <w:pStyle w:val="TableText"/>
                  <w:spacing w:line="240" w:lineRule="exact"/>
                  <w:jc w:val="center"/>
                </w:pPr>
              </w:pPrChange>
              <w:rPr>
                <w:del w:id="10431" w:author="AbbVie14" w:date="2025-05-09T10:34:00Z"/>
                <w:b/>
                <w:sz w:val="22"/>
                <w:szCs w:val="22"/>
              </w:rPr>
            </w:pPr>
            <w:del w:id="10432" w:author="AbbVie14" w:date="2025-05-09T10:34:00Z">
              <w:r w:rsidRPr="00295E71">
                <w:rPr>
                  <w:b/>
                  <w:sz w:val="22"/>
                  <w:szCs w:val="22"/>
                </w:rPr>
                <w:delText>Placebo</w:delText>
              </w:r>
            </w:del>
          </w:p>
          <w:p w:rsidR="006224C2" w:rsidRPr="00295E71" w14:paraId="2C2F13F3" w14:textId="77777777">
            <w:pPr>
              <w:keepNext/>
              <w:tabs>
                <w:tab w:val="left" w:pos="567"/>
                <w:tab w:val="left" w:pos="1294"/>
              </w:tabs>
              <w:autoSpaceDE w:val="0"/>
              <w:autoSpaceDN w:val="0"/>
              <w:adjustRightInd w:val="0"/>
              <w:jc w:val="both"/>
              <w:pPrChange w:id="10433" w:author="AbbVie14" w:date="2025-05-09T10:34:00Z">
                <w:pPr>
                  <w:pStyle w:val="TableText"/>
                  <w:spacing w:line="240" w:lineRule="exact"/>
                  <w:jc w:val="center"/>
                </w:pPr>
              </w:pPrChange>
              <w:rPr>
                <w:del w:id="10434" w:author="AbbVie14" w:date="2025-05-09T10:34:00Z"/>
                <w:b/>
                <w:sz w:val="22"/>
                <w:szCs w:val="22"/>
              </w:rPr>
            </w:pPr>
            <w:del w:id="10435" w:author="AbbVie14" w:date="2025-05-09T10:34:00Z">
              <w:r w:rsidRPr="00295E71">
                <w:rPr>
                  <w:b/>
                  <w:sz w:val="22"/>
                  <w:szCs w:val="22"/>
                </w:rPr>
                <w:delText>N=74</w:delText>
              </w:r>
            </w:del>
          </w:p>
        </w:tc>
        <w:tc>
          <w:tcPr>
            <w:tcW w:w="1262" w:type="dxa"/>
            <w:tcBorders>
              <w:top w:val="single" w:sz="4" w:space="0" w:color="auto"/>
              <w:left w:val="single" w:sz="4" w:space="0" w:color="auto"/>
              <w:bottom w:val="single" w:sz="4" w:space="0" w:color="auto"/>
              <w:right w:val="single" w:sz="4" w:space="0" w:color="auto"/>
            </w:tcBorders>
          </w:tcPr>
          <w:p w:rsidR="006224C2" w:rsidRPr="00295E71" w14:paraId="251D0EDF" w14:textId="77777777">
            <w:pPr>
              <w:keepNext/>
              <w:tabs>
                <w:tab w:val="left" w:pos="567"/>
                <w:tab w:val="left" w:pos="1294"/>
              </w:tabs>
              <w:autoSpaceDE w:val="0"/>
              <w:autoSpaceDN w:val="0"/>
              <w:adjustRightInd w:val="0"/>
              <w:jc w:val="both"/>
              <w:pPrChange w:id="10436" w:author="AbbVie14" w:date="2025-05-09T10:34:00Z">
                <w:pPr>
                  <w:pStyle w:val="TableText"/>
                  <w:spacing w:line="240" w:lineRule="exact"/>
                  <w:jc w:val="center"/>
                </w:pPr>
              </w:pPrChange>
              <w:rPr>
                <w:del w:id="10437" w:author="AbbVie14" w:date="2025-05-09T10:34:00Z"/>
                <w:b/>
                <w:sz w:val="22"/>
                <w:szCs w:val="22"/>
              </w:rPr>
            </w:pPr>
            <w:del w:id="10438" w:author="AbbVie14" w:date="2025-05-09T10:34:00Z">
              <w:r w:rsidRPr="00295E71">
                <w:rPr>
                  <w:b/>
                  <w:sz w:val="22"/>
                  <w:szCs w:val="22"/>
                </w:rPr>
                <w:delText>Humira</w:delText>
              </w:r>
            </w:del>
          </w:p>
          <w:p w:rsidR="006224C2" w:rsidRPr="00295E71" w14:paraId="66D04053" w14:textId="77777777">
            <w:pPr>
              <w:keepNext/>
              <w:tabs>
                <w:tab w:val="left" w:pos="567"/>
                <w:tab w:val="left" w:pos="1294"/>
              </w:tabs>
              <w:autoSpaceDE w:val="0"/>
              <w:autoSpaceDN w:val="0"/>
              <w:adjustRightInd w:val="0"/>
              <w:jc w:val="both"/>
              <w:pPrChange w:id="10439" w:author="AbbVie14" w:date="2025-05-09T10:34:00Z">
                <w:pPr>
                  <w:pStyle w:val="TableText"/>
                  <w:spacing w:line="240" w:lineRule="exact"/>
                  <w:jc w:val="center"/>
                </w:pPr>
              </w:pPrChange>
              <w:rPr>
                <w:del w:id="10440" w:author="AbbVie14" w:date="2025-05-09T10:34:00Z"/>
                <w:b/>
                <w:sz w:val="22"/>
                <w:szCs w:val="22"/>
              </w:rPr>
            </w:pPr>
            <w:del w:id="10441" w:author="AbbVie14" w:date="2025-05-09T10:34:00Z">
              <w:r w:rsidRPr="00295E71">
                <w:rPr>
                  <w:b/>
                  <w:sz w:val="22"/>
                  <w:szCs w:val="22"/>
                </w:rPr>
                <w:delText>80/40 mg</w:delText>
              </w:r>
            </w:del>
          </w:p>
          <w:p w:rsidR="006224C2" w:rsidRPr="00295E71" w14:paraId="5E409CA6" w14:textId="77777777">
            <w:pPr>
              <w:keepNext/>
              <w:tabs>
                <w:tab w:val="left" w:pos="567"/>
                <w:tab w:val="left" w:pos="1294"/>
              </w:tabs>
              <w:autoSpaceDE w:val="0"/>
              <w:autoSpaceDN w:val="0"/>
              <w:adjustRightInd w:val="0"/>
              <w:jc w:val="both"/>
              <w:pPrChange w:id="10442" w:author="AbbVie14" w:date="2025-05-09T10:34:00Z">
                <w:pPr>
                  <w:pStyle w:val="TableText"/>
                  <w:spacing w:line="240" w:lineRule="exact"/>
                  <w:jc w:val="center"/>
                </w:pPr>
              </w:pPrChange>
              <w:rPr>
                <w:del w:id="10443" w:author="AbbVie14" w:date="2025-05-09T10:34:00Z"/>
                <w:b/>
                <w:sz w:val="22"/>
                <w:szCs w:val="22"/>
              </w:rPr>
            </w:pPr>
            <w:del w:id="10444" w:author="AbbVie14" w:date="2025-05-09T10:34:00Z">
              <w:r w:rsidRPr="00295E71">
                <w:rPr>
                  <w:b/>
                  <w:sz w:val="22"/>
                  <w:szCs w:val="22"/>
                </w:rPr>
                <w:delText>N = 75</w:delText>
              </w:r>
            </w:del>
          </w:p>
        </w:tc>
        <w:tc>
          <w:tcPr>
            <w:tcW w:w="962" w:type="dxa"/>
            <w:tcBorders>
              <w:top w:val="single" w:sz="4" w:space="0" w:color="auto"/>
              <w:left w:val="single" w:sz="4" w:space="0" w:color="auto"/>
              <w:bottom w:val="single" w:sz="4" w:space="0" w:color="auto"/>
              <w:right w:val="single" w:sz="4" w:space="0" w:color="auto"/>
            </w:tcBorders>
          </w:tcPr>
          <w:p w:rsidR="006224C2" w:rsidRPr="00295E71" w14:paraId="6FC666BE" w14:textId="77777777">
            <w:pPr>
              <w:keepNext/>
              <w:tabs>
                <w:tab w:val="left" w:pos="567"/>
                <w:tab w:val="left" w:pos="1294"/>
              </w:tabs>
              <w:autoSpaceDE w:val="0"/>
              <w:autoSpaceDN w:val="0"/>
              <w:adjustRightInd w:val="0"/>
              <w:jc w:val="both"/>
              <w:pPrChange w:id="10445" w:author="AbbVie14" w:date="2025-05-09T10:34:00Z">
                <w:pPr>
                  <w:pStyle w:val="TableText"/>
                  <w:spacing w:line="240" w:lineRule="exact"/>
                  <w:jc w:val="center"/>
                </w:pPr>
              </w:pPrChange>
              <w:rPr>
                <w:del w:id="10446" w:author="AbbVie14" w:date="2025-05-09T10:34:00Z"/>
                <w:b/>
                <w:sz w:val="22"/>
                <w:szCs w:val="22"/>
              </w:rPr>
            </w:pPr>
            <w:del w:id="10447" w:author="AbbVie14" w:date="2025-05-09T10:34:00Z">
              <w:r w:rsidRPr="00295E71">
                <w:rPr>
                  <w:b/>
                  <w:sz w:val="22"/>
                  <w:szCs w:val="22"/>
                </w:rPr>
                <w:delText xml:space="preserve">Humira </w:delText>
              </w:r>
            </w:del>
          </w:p>
          <w:p w:rsidR="006224C2" w:rsidRPr="00295E71" w14:paraId="29606A15" w14:textId="77777777">
            <w:pPr>
              <w:keepNext/>
              <w:tabs>
                <w:tab w:val="left" w:pos="567"/>
                <w:tab w:val="left" w:pos="1294"/>
              </w:tabs>
              <w:autoSpaceDE w:val="0"/>
              <w:autoSpaceDN w:val="0"/>
              <w:adjustRightInd w:val="0"/>
              <w:jc w:val="both"/>
              <w:pPrChange w:id="10448" w:author="AbbVie14" w:date="2025-05-09T10:34:00Z">
                <w:pPr>
                  <w:pStyle w:val="TableText"/>
                  <w:spacing w:line="240" w:lineRule="exact"/>
                  <w:jc w:val="center"/>
                </w:pPr>
              </w:pPrChange>
              <w:rPr>
                <w:del w:id="10449" w:author="AbbVie14" w:date="2025-05-09T10:34:00Z"/>
                <w:b/>
                <w:sz w:val="22"/>
                <w:szCs w:val="22"/>
              </w:rPr>
            </w:pPr>
            <w:del w:id="10450" w:author="AbbVie14" w:date="2025-05-09T10:34:00Z">
              <w:r w:rsidRPr="00295E71">
                <w:rPr>
                  <w:b/>
                  <w:sz w:val="22"/>
                  <w:szCs w:val="22"/>
                </w:rPr>
                <w:delText>160/80 mg N=76</w:delText>
              </w:r>
            </w:del>
          </w:p>
        </w:tc>
        <w:tc>
          <w:tcPr>
            <w:tcW w:w="1535" w:type="dxa"/>
            <w:tcBorders>
              <w:top w:val="single" w:sz="4" w:space="0" w:color="auto"/>
              <w:left w:val="single" w:sz="4" w:space="0" w:color="auto"/>
              <w:bottom w:val="single" w:sz="4" w:space="0" w:color="auto"/>
              <w:right w:val="single" w:sz="4" w:space="0" w:color="auto"/>
            </w:tcBorders>
          </w:tcPr>
          <w:p w:rsidR="006224C2" w:rsidRPr="00295E71" w14:paraId="72D26032" w14:textId="77777777">
            <w:pPr>
              <w:keepNext/>
              <w:tabs>
                <w:tab w:val="left" w:pos="567"/>
                <w:tab w:val="left" w:pos="1294"/>
              </w:tabs>
              <w:autoSpaceDE w:val="0"/>
              <w:autoSpaceDN w:val="0"/>
              <w:adjustRightInd w:val="0"/>
              <w:jc w:val="both"/>
              <w:pPrChange w:id="10451" w:author="AbbVie14" w:date="2025-05-09T10:34:00Z">
                <w:pPr>
                  <w:pStyle w:val="TableText"/>
                  <w:spacing w:line="240" w:lineRule="exact"/>
                  <w:jc w:val="center"/>
                </w:pPr>
              </w:pPrChange>
              <w:rPr>
                <w:del w:id="10452" w:author="AbbVie14" w:date="2025-05-09T10:34:00Z"/>
                <w:b/>
                <w:sz w:val="22"/>
                <w:szCs w:val="22"/>
              </w:rPr>
            </w:pPr>
            <w:del w:id="10453" w:author="AbbVie14" w:date="2025-05-09T10:34:00Z">
              <w:r w:rsidRPr="00295E71">
                <w:rPr>
                  <w:b/>
                  <w:sz w:val="22"/>
                  <w:szCs w:val="22"/>
                </w:rPr>
                <w:delText>Placebo</w:delText>
              </w:r>
            </w:del>
          </w:p>
          <w:p w:rsidR="006224C2" w:rsidRPr="00295E71" w14:paraId="0BC163B1" w14:textId="77777777">
            <w:pPr>
              <w:keepNext/>
              <w:tabs>
                <w:tab w:val="left" w:pos="567"/>
                <w:tab w:val="left" w:pos="1294"/>
              </w:tabs>
              <w:autoSpaceDE w:val="0"/>
              <w:autoSpaceDN w:val="0"/>
              <w:adjustRightInd w:val="0"/>
              <w:jc w:val="both"/>
              <w:pPrChange w:id="10454" w:author="AbbVie14" w:date="2025-05-09T10:34:00Z">
                <w:pPr>
                  <w:pStyle w:val="TableText"/>
                  <w:spacing w:line="240" w:lineRule="exact"/>
                  <w:jc w:val="center"/>
                </w:pPr>
              </w:pPrChange>
              <w:rPr>
                <w:del w:id="10455" w:author="AbbVie14" w:date="2025-05-09T10:34:00Z"/>
                <w:b/>
                <w:sz w:val="22"/>
                <w:szCs w:val="22"/>
              </w:rPr>
            </w:pPr>
            <w:del w:id="10456" w:author="AbbVie14" w:date="2025-05-09T10:34:00Z">
              <w:r w:rsidRPr="00295E71">
                <w:rPr>
                  <w:b/>
                  <w:sz w:val="22"/>
                  <w:szCs w:val="22"/>
                </w:rPr>
                <w:delText>N=166</w:delText>
              </w:r>
            </w:del>
          </w:p>
        </w:tc>
        <w:tc>
          <w:tcPr>
            <w:tcW w:w="1863" w:type="dxa"/>
            <w:tcBorders>
              <w:top w:val="single" w:sz="4" w:space="0" w:color="auto"/>
              <w:left w:val="single" w:sz="4" w:space="0" w:color="auto"/>
              <w:bottom w:val="single" w:sz="4" w:space="0" w:color="auto"/>
              <w:right w:val="single" w:sz="4" w:space="0" w:color="auto"/>
            </w:tcBorders>
          </w:tcPr>
          <w:p w:rsidR="006224C2" w:rsidRPr="00295E71" w14:paraId="151A24CA" w14:textId="77777777">
            <w:pPr>
              <w:keepNext/>
              <w:tabs>
                <w:tab w:val="left" w:pos="567"/>
                <w:tab w:val="left" w:pos="1294"/>
              </w:tabs>
              <w:autoSpaceDE w:val="0"/>
              <w:autoSpaceDN w:val="0"/>
              <w:adjustRightInd w:val="0"/>
              <w:jc w:val="both"/>
              <w:pPrChange w:id="10457" w:author="AbbVie14" w:date="2025-05-09T10:34:00Z">
                <w:pPr>
                  <w:pStyle w:val="TableText"/>
                  <w:spacing w:line="240" w:lineRule="exact"/>
                  <w:jc w:val="center"/>
                </w:pPr>
              </w:pPrChange>
              <w:rPr>
                <w:del w:id="10458" w:author="AbbVie14" w:date="2025-05-09T10:34:00Z"/>
                <w:b/>
                <w:sz w:val="22"/>
                <w:szCs w:val="22"/>
              </w:rPr>
            </w:pPr>
            <w:del w:id="10459" w:author="AbbVie14" w:date="2025-05-09T10:34:00Z">
              <w:r w:rsidRPr="00295E71">
                <w:rPr>
                  <w:b/>
                  <w:sz w:val="22"/>
                  <w:szCs w:val="22"/>
                </w:rPr>
                <w:delText xml:space="preserve">Humira </w:delText>
              </w:r>
            </w:del>
          </w:p>
          <w:p w:rsidR="006224C2" w:rsidRPr="00295E71" w14:paraId="270228A9" w14:textId="77777777">
            <w:pPr>
              <w:keepNext/>
              <w:tabs>
                <w:tab w:val="left" w:pos="567"/>
                <w:tab w:val="left" w:pos="1294"/>
              </w:tabs>
              <w:autoSpaceDE w:val="0"/>
              <w:autoSpaceDN w:val="0"/>
              <w:adjustRightInd w:val="0"/>
              <w:jc w:val="both"/>
              <w:pPrChange w:id="10460" w:author="AbbVie14" w:date="2025-05-09T10:34:00Z">
                <w:pPr>
                  <w:pStyle w:val="TableText"/>
                  <w:spacing w:line="240" w:lineRule="exact"/>
                  <w:jc w:val="center"/>
                </w:pPr>
              </w:pPrChange>
              <w:rPr>
                <w:del w:id="10461" w:author="AbbVie14" w:date="2025-05-09T10:34:00Z"/>
                <w:b/>
                <w:sz w:val="22"/>
                <w:szCs w:val="22"/>
              </w:rPr>
            </w:pPr>
            <w:del w:id="10462" w:author="AbbVie14" w:date="2025-05-09T10:34:00Z">
              <w:r w:rsidRPr="00295E71">
                <w:rPr>
                  <w:b/>
                  <w:sz w:val="22"/>
                  <w:szCs w:val="22"/>
                </w:rPr>
                <w:delText>160/80 mg</w:delText>
              </w:r>
            </w:del>
          </w:p>
          <w:p w:rsidR="006224C2" w:rsidRPr="00295E71" w14:paraId="18DE959E" w14:textId="77777777">
            <w:pPr>
              <w:keepNext/>
              <w:tabs>
                <w:tab w:val="left" w:pos="567"/>
                <w:tab w:val="left" w:pos="1294"/>
              </w:tabs>
              <w:autoSpaceDE w:val="0"/>
              <w:autoSpaceDN w:val="0"/>
              <w:adjustRightInd w:val="0"/>
              <w:jc w:val="both"/>
              <w:pPrChange w:id="10463" w:author="AbbVie14" w:date="2025-05-09T10:34:00Z">
                <w:pPr>
                  <w:pStyle w:val="TableText"/>
                  <w:spacing w:line="240" w:lineRule="exact"/>
                  <w:jc w:val="center"/>
                </w:pPr>
              </w:pPrChange>
              <w:rPr>
                <w:del w:id="10464" w:author="AbbVie14" w:date="2025-05-09T10:34:00Z"/>
                <w:b/>
                <w:sz w:val="22"/>
                <w:szCs w:val="22"/>
              </w:rPr>
            </w:pPr>
            <w:del w:id="10465" w:author="AbbVie14" w:date="2025-05-09T10:34:00Z">
              <w:r w:rsidRPr="00295E71">
                <w:rPr>
                  <w:b/>
                  <w:sz w:val="22"/>
                  <w:szCs w:val="22"/>
                </w:rPr>
                <w:delText>N=159</w:delText>
              </w:r>
            </w:del>
          </w:p>
        </w:tc>
      </w:tr>
      <w:tr w14:paraId="1977B5A0" w14:textId="77777777">
        <w:tblPrEx>
          <w:tblW w:w="9238" w:type="dxa"/>
          <w:tblLook w:val="0000"/>
        </w:tblPrEx>
        <w:trPr>
          <w:del w:id="10466" w:author="AbbVie14" w:date="2025-05-09T10:34:00Z"/>
        </w:trPr>
        <w:tc>
          <w:tcPr>
            <w:tcW w:w="2406" w:type="dxa"/>
            <w:tcBorders>
              <w:top w:val="single" w:sz="4" w:space="0" w:color="auto"/>
              <w:left w:val="single" w:sz="4" w:space="0" w:color="auto"/>
              <w:bottom w:val="single" w:sz="4" w:space="0" w:color="auto"/>
              <w:right w:val="single" w:sz="4" w:space="0" w:color="auto"/>
            </w:tcBorders>
            <w:vAlign w:val="bottom"/>
          </w:tcPr>
          <w:p w:rsidR="006224C2" w:rsidRPr="00295E71" w14:paraId="642F971F" w14:textId="77777777">
            <w:pPr>
              <w:keepNext/>
              <w:tabs>
                <w:tab w:val="left" w:pos="567"/>
                <w:tab w:val="left" w:pos="1294"/>
              </w:tabs>
              <w:autoSpaceDE w:val="0"/>
              <w:autoSpaceDN w:val="0"/>
              <w:adjustRightInd w:val="0"/>
              <w:jc w:val="both"/>
              <w:pPrChange w:id="10467" w:author="AbbVie14" w:date="2025-05-09T10:34:00Z">
                <w:pPr>
                  <w:pStyle w:val="TableText"/>
                  <w:spacing w:line="240" w:lineRule="exact"/>
                </w:pPr>
              </w:pPrChange>
              <w:rPr>
                <w:del w:id="10468" w:author="AbbVie14" w:date="2025-05-09T10:34:00Z"/>
                <w:sz w:val="22"/>
                <w:szCs w:val="22"/>
              </w:rPr>
            </w:pPr>
            <w:del w:id="10469" w:author="AbbVie14" w:date="2025-05-09T10:34:00Z">
              <w:r w:rsidRPr="00295E71">
                <w:rPr>
                  <w:sz w:val="22"/>
                  <w:szCs w:val="22"/>
                </w:rPr>
                <w:delText>Settimana 4</w:delText>
              </w:r>
            </w:del>
          </w:p>
        </w:tc>
        <w:tc>
          <w:tcPr>
            <w:tcW w:w="1210" w:type="dxa"/>
            <w:tcBorders>
              <w:top w:val="single" w:sz="4" w:space="0" w:color="auto"/>
              <w:left w:val="single" w:sz="4" w:space="0" w:color="auto"/>
              <w:bottom w:val="single" w:sz="4" w:space="0" w:color="auto"/>
              <w:right w:val="single" w:sz="4" w:space="0" w:color="auto"/>
            </w:tcBorders>
            <w:vAlign w:val="bottom"/>
          </w:tcPr>
          <w:p w:rsidR="006224C2" w:rsidRPr="00295E71" w14:paraId="10C57035" w14:textId="77777777">
            <w:pPr>
              <w:keepNext/>
              <w:tabs>
                <w:tab w:val="left" w:pos="567"/>
                <w:tab w:val="left" w:pos="1294"/>
              </w:tabs>
              <w:autoSpaceDE w:val="0"/>
              <w:autoSpaceDN w:val="0"/>
              <w:adjustRightInd w:val="0"/>
              <w:jc w:val="both"/>
              <w:pPrChange w:id="10470" w:author="AbbVie14" w:date="2025-05-09T10:34:00Z">
                <w:pPr>
                  <w:pStyle w:val="TableText"/>
                  <w:spacing w:line="240" w:lineRule="exact"/>
                </w:pPr>
              </w:pPrChange>
              <w:rPr>
                <w:del w:id="10471" w:author="AbbVie14" w:date="2025-05-09T10:34:00Z"/>
                <w:sz w:val="22"/>
                <w:szCs w:val="22"/>
              </w:rPr>
            </w:pPr>
          </w:p>
        </w:tc>
        <w:tc>
          <w:tcPr>
            <w:tcW w:w="1262" w:type="dxa"/>
            <w:tcBorders>
              <w:top w:val="single" w:sz="4" w:space="0" w:color="auto"/>
              <w:left w:val="single" w:sz="4" w:space="0" w:color="auto"/>
              <w:bottom w:val="single" w:sz="4" w:space="0" w:color="auto"/>
              <w:right w:val="single" w:sz="4" w:space="0" w:color="auto"/>
            </w:tcBorders>
            <w:vAlign w:val="bottom"/>
          </w:tcPr>
          <w:p w:rsidR="006224C2" w:rsidRPr="00295E71" w14:paraId="016E62F8" w14:textId="77777777">
            <w:pPr>
              <w:keepNext/>
              <w:tabs>
                <w:tab w:val="left" w:pos="567"/>
                <w:tab w:val="left" w:pos="1294"/>
              </w:tabs>
              <w:autoSpaceDE w:val="0"/>
              <w:autoSpaceDN w:val="0"/>
              <w:adjustRightInd w:val="0"/>
              <w:jc w:val="both"/>
              <w:pPrChange w:id="10472" w:author="AbbVie14" w:date="2025-05-09T10:34:00Z">
                <w:pPr>
                  <w:pStyle w:val="TableText"/>
                  <w:spacing w:line="240" w:lineRule="exact"/>
                </w:pPr>
              </w:pPrChange>
              <w:rPr>
                <w:del w:id="10473" w:author="AbbVie14" w:date="2025-05-09T10:34:00Z"/>
                <w:sz w:val="22"/>
                <w:szCs w:val="22"/>
              </w:rPr>
            </w:pPr>
          </w:p>
        </w:tc>
        <w:tc>
          <w:tcPr>
            <w:tcW w:w="962" w:type="dxa"/>
            <w:tcBorders>
              <w:top w:val="single" w:sz="4" w:space="0" w:color="auto"/>
              <w:left w:val="single" w:sz="4" w:space="0" w:color="auto"/>
              <w:bottom w:val="single" w:sz="4" w:space="0" w:color="auto"/>
              <w:right w:val="single" w:sz="4" w:space="0" w:color="auto"/>
            </w:tcBorders>
            <w:vAlign w:val="bottom"/>
          </w:tcPr>
          <w:p w:rsidR="006224C2" w:rsidRPr="00295E71" w14:paraId="02D7830A" w14:textId="77777777">
            <w:pPr>
              <w:keepNext/>
              <w:tabs>
                <w:tab w:val="left" w:pos="567"/>
                <w:tab w:val="left" w:pos="1294"/>
              </w:tabs>
              <w:autoSpaceDE w:val="0"/>
              <w:autoSpaceDN w:val="0"/>
              <w:adjustRightInd w:val="0"/>
              <w:jc w:val="both"/>
              <w:pPrChange w:id="10474" w:author="AbbVie14" w:date="2025-05-09T10:34:00Z">
                <w:pPr>
                  <w:pStyle w:val="TableText"/>
                  <w:spacing w:line="240" w:lineRule="exact"/>
                </w:pPr>
              </w:pPrChange>
              <w:rPr>
                <w:del w:id="10475" w:author="AbbVie14" w:date="2025-05-09T10:34:00Z"/>
                <w:sz w:val="22"/>
                <w:szCs w:val="22"/>
              </w:rPr>
            </w:pPr>
          </w:p>
        </w:tc>
        <w:tc>
          <w:tcPr>
            <w:tcW w:w="1535" w:type="dxa"/>
            <w:tcBorders>
              <w:top w:val="single" w:sz="4" w:space="0" w:color="auto"/>
              <w:left w:val="single" w:sz="4" w:space="0" w:color="auto"/>
              <w:bottom w:val="single" w:sz="4" w:space="0" w:color="auto"/>
              <w:right w:val="single" w:sz="4" w:space="0" w:color="auto"/>
            </w:tcBorders>
            <w:vAlign w:val="bottom"/>
          </w:tcPr>
          <w:p w:rsidR="006224C2" w:rsidRPr="00295E71" w14:paraId="20CAB9ED" w14:textId="77777777">
            <w:pPr>
              <w:keepNext/>
              <w:tabs>
                <w:tab w:val="left" w:pos="567"/>
                <w:tab w:val="left" w:pos="1294"/>
              </w:tabs>
              <w:autoSpaceDE w:val="0"/>
              <w:autoSpaceDN w:val="0"/>
              <w:adjustRightInd w:val="0"/>
              <w:jc w:val="both"/>
              <w:pPrChange w:id="10476" w:author="AbbVie14" w:date="2025-05-09T10:34:00Z">
                <w:pPr>
                  <w:pStyle w:val="TableText"/>
                  <w:spacing w:line="240" w:lineRule="exact"/>
                </w:pPr>
              </w:pPrChange>
              <w:rPr>
                <w:del w:id="10477" w:author="AbbVie14" w:date="2025-05-09T10:34:00Z"/>
                <w:sz w:val="22"/>
                <w:szCs w:val="22"/>
              </w:rPr>
            </w:pPr>
          </w:p>
        </w:tc>
        <w:tc>
          <w:tcPr>
            <w:tcW w:w="1863" w:type="dxa"/>
            <w:tcBorders>
              <w:top w:val="single" w:sz="4" w:space="0" w:color="auto"/>
              <w:left w:val="single" w:sz="4" w:space="0" w:color="auto"/>
              <w:bottom w:val="single" w:sz="4" w:space="0" w:color="auto"/>
              <w:right w:val="single" w:sz="4" w:space="0" w:color="auto"/>
            </w:tcBorders>
            <w:vAlign w:val="bottom"/>
          </w:tcPr>
          <w:p w:rsidR="006224C2" w:rsidRPr="00295E71" w14:paraId="1C4B8D48" w14:textId="77777777">
            <w:pPr>
              <w:keepNext/>
              <w:tabs>
                <w:tab w:val="left" w:pos="567"/>
                <w:tab w:val="left" w:pos="1294"/>
              </w:tabs>
              <w:autoSpaceDE w:val="0"/>
              <w:autoSpaceDN w:val="0"/>
              <w:adjustRightInd w:val="0"/>
              <w:jc w:val="both"/>
              <w:pPrChange w:id="10478" w:author="AbbVie14" w:date="2025-05-09T10:34:00Z">
                <w:pPr>
                  <w:pStyle w:val="TableText"/>
                  <w:spacing w:line="240" w:lineRule="exact"/>
                </w:pPr>
              </w:pPrChange>
              <w:rPr>
                <w:del w:id="10479" w:author="AbbVie14" w:date="2025-05-09T10:34:00Z"/>
                <w:sz w:val="22"/>
                <w:szCs w:val="22"/>
              </w:rPr>
            </w:pPr>
          </w:p>
        </w:tc>
      </w:tr>
      <w:tr w14:paraId="3170B056" w14:textId="77777777">
        <w:tblPrEx>
          <w:tblW w:w="9238" w:type="dxa"/>
          <w:tblLook w:val="0000"/>
        </w:tblPrEx>
        <w:trPr>
          <w:del w:id="10480" w:author="AbbVie14" w:date="2025-05-09T10:34:00Z"/>
        </w:trPr>
        <w:tc>
          <w:tcPr>
            <w:tcW w:w="2406" w:type="dxa"/>
            <w:tcBorders>
              <w:top w:val="single" w:sz="4" w:space="0" w:color="auto"/>
              <w:left w:val="single" w:sz="4" w:space="0" w:color="auto"/>
              <w:bottom w:val="single" w:sz="4" w:space="0" w:color="auto"/>
              <w:right w:val="single" w:sz="4" w:space="0" w:color="auto"/>
            </w:tcBorders>
            <w:vAlign w:val="bottom"/>
          </w:tcPr>
          <w:p w:rsidR="006224C2" w:rsidRPr="00295E71" w14:paraId="207F6846" w14:textId="77777777">
            <w:pPr>
              <w:keepNext/>
              <w:tabs>
                <w:tab w:val="left" w:pos="567"/>
                <w:tab w:val="left" w:pos="1294"/>
              </w:tabs>
              <w:autoSpaceDE w:val="0"/>
              <w:autoSpaceDN w:val="0"/>
              <w:adjustRightInd w:val="0"/>
              <w:jc w:val="both"/>
              <w:pPrChange w:id="10481" w:author="AbbVie14" w:date="2025-05-09T10:34:00Z">
                <w:pPr>
                  <w:pStyle w:val="TableText"/>
                  <w:spacing w:line="240" w:lineRule="exact"/>
                </w:pPr>
              </w:pPrChange>
              <w:rPr>
                <w:del w:id="10482" w:author="AbbVie14" w:date="2025-05-09T10:34:00Z"/>
                <w:sz w:val="22"/>
                <w:szCs w:val="22"/>
              </w:rPr>
            </w:pPr>
            <w:del w:id="10483" w:author="AbbVie14" w:date="2025-05-09T10:34:00Z">
              <w:r w:rsidRPr="00295E71">
                <w:rPr>
                  <w:sz w:val="22"/>
                  <w:szCs w:val="22"/>
                </w:rPr>
                <w:delText>Remissione clinica</w:delText>
              </w:r>
            </w:del>
          </w:p>
        </w:tc>
        <w:tc>
          <w:tcPr>
            <w:tcW w:w="1210" w:type="dxa"/>
            <w:tcBorders>
              <w:top w:val="single" w:sz="4" w:space="0" w:color="auto"/>
              <w:left w:val="single" w:sz="4" w:space="0" w:color="auto"/>
              <w:bottom w:val="single" w:sz="4" w:space="0" w:color="auto"/>
              <w:right w:val="single" w:sz="4" w:space="0" w:color="auto"/>
            </w:tcBorders>
            <w:vAlign w:val="bottom"/>
          </w:tcPr>
          <w:p w:rsidR="006224C2" w:rsidRPr="00295E71" w14:paraId="52CFF68B" w14:textId="77777777">
            <w:pPr>
              <w:keepNext/>
              <w:tabs>
                <w:tab w:val="left" w:pos="567"/>
                <w:tab w:val="left" w:pos="1294"/>
              </w:tabs>
              <w:autoSpaceDE w:val="0"/>
              <w:autoSpaceDN w:val="0"/>
              <w:adjustRightInd w:val="0"/>
              <w:jc w:val="both"/>
              <w:pPrChange w:id="10484" w:author="AbbVie14" w:date="2025-05-09T10:34:00Z">
                <w:pPr>
                  <w:pStyle w:val="TableText"/>
                  <w:spacing w:line="240" w:lineRule="exact"/>
                  <w:jc w:val="center"/>
                </w:pPr>
              </w:pPrChange>
              <w:rPr>
                <w:del w:id="10485" w:author="AbbVie14" w:date="2025-05-09T10:34:00Z"/>
                <w:sz w:val="22"/>
                <w:szCs w:val="22"/>
              </w:rPr>
            </w:pPr>
            <w:del w:id="10486" w:author="AbbVie14" w:date="2025-05-09T10:34:00Z">
              <w:r w:rsidRPr="00295E71">
                <w:rPr>
                  <w:sz w:val="22"/>
                  <w:szCs w:val="22"/>
                </w:rPr>
                <w:delText>12%</w:delText>
              </w:r>
            </w:del>
          </w:p>
        </w:tc>
        <w:tc>
          <w:tcPr>
            <w:tcW w:w="1262" w:type="dxa"/>
            <w:tcBorders>
              <w:top w:val="single" w:sz="4" w:space="0" w:color="auto"/>
              <w:left w:val="single" w:sz="4" w:space="0" w:color="auto"/>
              <w:bottom w:val="single" w:sz="4" w:space="0" w:color="auto"/>
              <w:right w:val="single" w:sz="4" w:space="0" w:color="auto"/>
            </w:tcBorders>
            <w:vAlign w:val="bottom"/>
          </w:tcPr>
          <w:p w:rsidR="006224C2" w:rsidRPr="00295E71" w14:paraId="0F322208" w14:textId="77777777">
            <w:pPr>
              <w:keepNext/>
              <w:tabs>
                <w:tab w:val="left" w:pos="567"/>
                <w:tab w:val="left" w:pos="1294"/>
              </w:tabs>
              <w:autoSpaceDE w:val="0"/>
              <w:autoSpaceDN w:val="0"/>
              <w:adjustRightInd w:val="0"/>
              <w:jc w:val="both"/>
              <w:pPrChange w:id="10487" w:author="AbbVie14" w:date="2025-05-09T10:34:00Z">
                <w:pPr>
                  <w:pStyle w:val="TableText"/>
                  <w:spacing w:line="240" w:lineRule="exact"/>
                  <w:jc w:val="center"/>
                </w:pPr>
              </w:pPrChange>
              <w:rPr>
                <w:del w:id="10488" w:author="AbbVie14" w:date="2025-05-09T10:34:00Z"/>
                <w:sz w:val="22"/>
                <w:szCs w:val="22"/>
              </w:rPr>
            </w:pPr>
            <w:del w:id="10489" w:author="AbbVie14" w:date="2025-05-09T10:34:00Z">
              <w:r w:rsidRPr="00295E71">
                <w:rPr>
                  <w:sz w:val="22"/>
                  <w:szCs w:val="22"/>
                </w:rPr>
                <w:delText>24%</w:delText>
              </w:r>
            </w:del>
          </w:p>
        </w:tc>
        <w:tc>
          <w:tcPr>
            <w:tcW w:w="962" w:type="dxa"/>
            <w:tcBorders>
              <w:top w:val="single" w:sz="4" w:space="0" w:color="auto"/>
              <w:left w:val="single" w:sz="4" w:space="0" w:color="auto"/>
              <w:bottom w:val="single" w:sz="4" w:space="0" w:color="auto"/>
              <w:right w:val="single" w:sz="4" w:space="0" w:color="auto"/>
            </w:tcBorders>
            <w:vAlign w:val="bottom"/>
          </w:tcPr>
          <w:p w:rsidR="006224C2" w:rsidRPr="00295E71" w14:paraId="11503B84" w14:textId="77777777">
            <w:pPr>
              <w:keepNext/>
              <w:tabs>
                <w:tab w:val="left" w:pos="567"/>
                <w:tab w:val="left" w:pos="1294"/>
              </w:tabs>
              <w:autoSpaceDE w:val="0"/>
              <w:autoSpaceDN w:val="0"/>
              <w:adjustRightInd w:val="0"/>
              <w:jc w:val="both"/>
              <w:pPrChange w:id="10490" w:author="AbbVie14" w:date="2025-05-09T10:34:00Z">
                <w:pPr>
                  <w:pStyle w:val="TableText"/>
                  <w:spacing w:line="240" w:lineRule="exact"/>
                  <w:jc w:val="center"/>
                </w:pPr>
              </w:pPrChange>
              <w:rPr>
                <w:del w:id="10491" w:author="AbbVie14" w:date="2025-05-09T10:34:00Z"/>
                <w:sz w:val="22"/>
                <w:szCs w:val="22"/>
              </w:rPr>
            </w:pPr>
            <w:del w:id="10492" w:author="AbbVie14" w:date="2025-05-09T10:34:00Z">
              <w:r w:rsidRPr="00295E71">
                <w:rPr>
                  <w:sz w:val="22"/>
                  <w:szCs w:val="22"/>
                </w:rPr>
                <w:delText>36%</w:delText>
              </w:r>
            </w:del>
            <w:del w:id="10493" w:author="AbbVie14" w:date="2025-05-09T10:34:00Z">
              <w:r w:rsidRPr="00295E71">
                <w:rPr>
                  <w:sz w:val="22"/>
                  <w:szCs w:val="22"/>
                  <w:vertAlign w:val="superscript"/>
                </w:rPr>
                <w:delText>*</w:delText>
              </w:r>
            </w:del>
          </w:p>
        </w:tc>
        <w:tc>
          <w:tcPr>
            <w:tcW w:w="1535" w:type="dxa"/>
            <w:tcBorders>
              <w:top w:val="single" w:sz="4" w:space="0" w:color="auto"/>
              <w:left w:val="single" w:sz="4" w:space="0" w:color="auto"/>
              <w:bottom w:val="single" w:sz="4" w:space="0" w:color="auto"/>
              <w:right w:val="single" w:sz="4" w:space="0" w:color="auto"/>
            </w:tcBorders>
            <w:vAlign w:val="bottom"/>
          </w:tcPr>
          <w:p w:rsidR="006224C2" w:rsidRPr="00295E71" w14:paraId="4E07E9AE" w14:textId="77777777">
            <w:pPr>
              <w:keepNext/>
              <w:tabs>
                <w:tab w:val="left" w:pos="567"/>
                <w:tab w:val="left" w:pos="1294"/>
              </w:tabs>
              <w:autoSpaceDE w:val="0"/>
              <w:autoSpaceDN w:val="0"/>
              <w:adjustRightInd w:val="0"/>
              <w:jc w:val="both"/>
              <w:pPrChange w:id="10494" w:author="AbbVie14" w:date="2025-05-09T10:34:00Z">
                <w:pPr>
                  <w:pStyle w:val="TableText"/>
                  <w:spacing w:line="240" w:lineRule="exact"/>
                  <w:jc w:val="center"/>
                </w:pPr>
              </w:pPrChange>
              <w:rPr>
                <w:del w:id="10495" w:author="AbbVie14" w:date="2025-05-09T10:34:00Z"/>
                <w:sz w:val="22"/>
                <w:szCs w:val="22"/>
              </w:rPr>
            </w:pPr>
            <w:del w:id="10496" w:author="AbbVie14" w:date="2025-05-09T10:34:00Z">
              <w:r w:rsidRPr="00295E71">
                <w:rPr>
                  <w:sz w:val="22"/>
                  <w:szCs w:val="22"/>
                </w:rPr>
                <w:delText>7%</w:delText>
              </w:r>
            </w:del>
          </w:p>
        </w:tc>
        <w:tc>
          <w:tcPr>
            <w:tcW w:w="1863" w:type="dxa"/>
            <w:tcBorders>
              <w:top w:val="single" w:sz="4" w:space="0" w:color="auto"/>
              <w:left w:val="single" w:sz="4" w:space="0" w:color="auto"/>
              <w:bottom w:val="single" w:sz="4" w:space="0" w:color="auto"/>
              <w:right w:val="single" w:sz="4" w:space="0" w:color="auto"/>
            </w:tcBorders>
            <w:vAlign w:val="bottom"/>
          </w:tcPr>
          <w:p w:rsidR="006224C2" w:rsidRPr="00295E71" w14:paraId="209C90EE" w14:textId="77777777">
            <w:pPr>
              <w:keepNext/>
              <w:tabs>
                <w:tab w:val="left" w:pos="567"/>
                <w:tab w:val="left" w:pos="1294"/>
              </w:tabs>
              <w:autoSpaceDE w:val="0"/>
              <w:autoSpaceDN w:val="0"/>
              <w:adjustRightInd w:val="0"/>
              <w:jc w:val="both"/>
              <w:pPrChange w:id="10497" w:author="AbbVie14" w:date="2025-05-09T10:34:00Z">
                <w:pPr>
                  <w:pStyle w:val="TableText"/>
                  <w:spacing w:line="240" w:lineRule="exact"/>
                  <w:jc w:val="center"/>
                </w:pPr>
              </w:pPrChange>
              <w:rPr>
                <w:del w:id="10498" w:author="AbbVie14" w:date="2025-05-09T10:34:00Z"/>
                <w:sz w:val="22"/>
                <w:szCs w:val="22"/>
              </w:rPr>
            </w:pPr>
            <w:del w:id="10499" w:author="AbbVie14" w:date="2025-05-09T10:34:00Z">
              <w:r w:rsidRPr="00295E71">
                <w:rPr>
                  <w:sz w:val="22"/>
                  <w:szCs w:val="22"/>
                </w:rPr>
                <w:delText>21%</w:delText>
              </w:r>
            </w:del>
            <w:del w:id="10500" w:author="AbbVie14" w:date="2025-05-09T10:34:00Z">
              <w:r w:rsidRPr="00295E71">
                <w:rPr>
                  <w:sz w:val="22"/>
                  <w:szCs w:val="22"/>
                  <w:vertAlign w:val="superscript"/>
                </w:rPr>
                <w:delText>*</w:delText>
              </w:r>
            </w:del>
          </w:p>
        </w:tc>
      </w:tr>
      <w:tr w14:paraId="77D11FA1" w14:textId="77777777">
        <w:tblPrEx>
          <w:tblW w:w="9238" w:type="dxa"/>
          <w:tblLook w:val="0000"/>
        </w:tblPrEx>
        <w:trPr>
          <w:del w:id="10501" w:author="AbbVie14" w:date="2025-05-09T10:34:00Z"/>
        </w:trPr>
        <w:tc>
          <w:tcPr>
            <w:tcW w:w="2406" w:type="dxa"/>
            <w:tcBorders>
              <w:top w:val="single" w:sz="4" w:space="0" w:color="auto"/>
              <w:left w:val="single" w:sz="4" w:space="0" w:color="auto"/>
              <w:bottom w:val="single" w:sz="4" w:space="0" w:color="auto"/>
              <w:right w:val="single" w:sz="4" w:space="0" w:color="auto"/>
            </w:tcBorders>
          </w:tcPr>
          <w:p w:rsidR="006224C2" w:rsidRPr="00295E71" w14:paraId="4B299DB8" w14:textId="77777777">
            <w:pPr>
              <w:keepNext/>
              <w:tabs>
                <w:tab w:val="left" w:pos="567"/>
                <w:tab w:val="left" w:pos="1294"/>
              </w:tabs>
              <w:autoSpaceDE w:val="0"/>
              <w:autoSpaceDN w:val="0"/>
              <w:adjustRightInd w:val="0"/>
              <w:jc w:val="both"/>
              <w:pPrChange w:id="10502" w:author="AbbVie14" w:date="2025-05-09T10:34:00Z">
                <w:pPr>
                  <w:pStyle w:val="TableText"/>
                  <w:spacing w:line="240" w:lineRule="exact"/>
                </w:pPr>
              </w:pPrChange>
              <w:rPr>
                <w:del w:id="10503" w:author="AbbVie14" w:date="2025-05-09T10:34:00Z"/>
                <w:sz w:val="22"/>
                <w:szCs w:val="22"/>
              </w:rPr>
            </w:pPr>
            <w:del w:id="10504" w:author="AbbVie14" w:date="2025-05-09T10:34:00Z">
              <w:r w:rsidRPr="00295E71">
                <w:rPr>
                  <w:sz w:val="22"/>
                  <w:szCs w:val="22"/>
                </w:rPr>
                <w:delText>Risposta clinica (CR-100)</w:delText>
              </w:r>
            </w:del>
          </w:p>
        </w:tc>
        <w:tc>
          <w:tcPr>
            <w:tcW w:w="1210" w:type="dxa"/>
            <w:tcBorders>
              <w:top w:val="single" w:sz="4" w:space="0" w:color="auto"/>
              <w:left w:val="single" w:sz="4" w:space="0" w:color="auto"/>
              <w:bottom w:val="single" w:sz="4" w:space="0" w:color="auto"/>
              <w:right w:val="single" w:sz="4" w:space="0" w:color="auto"/>
            </w:tcBorders>
          </w:tcPr>
          <w:p w:rsidR="006224C2" w:rsidRPr="00295E71" w14:paraId="16948AD1" w14:textId="77777777">
            <w:pPr>
              <w:keepNext/>
              <w:tabs>
                <w:tab w:val="left" w:pos="567"/>
                <w:tab w:val="left" w:pos="1294"/>
              </w:tabs>
              <w:autoSpaceDE w:val="0"/>
              <w:autoSpaceDN w:val="0"/>
              <w:adjustRightInd w:val="0"/>
              <w:jc w:val="both"/>
              <w:pPrChange w:id="10505" w:author="AbbVie14" w:date="2025-05-09T10:34:00Z">
                <w:pPr>
                  <w:pStyle w:val="TableText"/>
                  <w:spacing w:line="240" w:lineRule="exact"/>
                  <w:jc w:val="center"/>
                </w:pPr>
              </w:pPrChange>
              <w:rPr>
                <w:del w:id="10506" w:author="AbbVie14" w:date="2025-05-09T10:34:00Z"/>
                <w:sz w:val="22"/>
                <w:szCs w:val="22"/>
              </w:rPr>
            </w:pPr>
            <w:del w:id="10507" w:author="AbbVie14" w:date="2025-05-09T10:34:00Z">
              <w:r w:rsidRPr="00295E71">
                <w:rPr>
                  <w:sz w:val="22"/>
                  <w:szCs w:val="22"/>
                </w:rPr>
                <w:delText>24%</w:delText>
              </w:r>
            </w:del>
          </w:p>
        </w:tc>
        <w:tc>
          <w:tcPr>
            <w:tcW w:w="1262" w:type="dxa"/>
            <w:tcBorders>
              <w:top w:val="single" w:sz="4" w:space="0" w:color="auto"/>
              <w:left w:val="single" w:sz="4" w:space="0" w:color="auto"/>
              <w:bottom w:val="single" w:sz="4" w:space="0" w:color="auto"/>
              <w:right w:val="single" w:sz="4" w:space="0" w:color="auto"/>
            </w:tcBorders>
          </w:tcPr>
          <w:p w:rsidR="006224C2" w:rsidRPr="00295E71" w14:paraId="5B9E27C6" w14:textId="77777777">
            <w:pPr>
              <w:keepNext/>
              <w:tabs>
                <w:tab w:val="left" w:pos="567"/>
                <w:tab w:val="left" w:pos="1294"/>
              </w:tabs>
              <w:autoSpaceDE w:val="0"/>
              <w:autoSpaceDN w:val="0"/>
              <w:adjustRightInd w:val="0"/>
              <w:jc w:val="both"/>
              <w:pPrChange w:id="10508" w:author="AbbVie14" w:date="2025-05-09T10:34:00Z">
                <w:pPr>
                  <w:pStyle w:val="TableText"/>
                  <w:spacing w:line="240" w:lineRule="exact"/>
                  <w:jc w:val="center"/>
                </w:pPr>
              </w:pPrChange>
              <w:rPr>
                <w:del w:id="10509" w:author="AbbVie14" w:date="2025-05-09T10:34:00Z"/>
                <w:sz w:val="22"/>
                <w:szCs w:val="22"/>
              </w:rPr>
            </w:pPr>
            <w:del w:id="10510" w:author="AbbVie14" w:date="2025-05-09T10:34:00Z">
              <w:r w:rsidRPr="00295E71">
                <w:rPr>
                  <w:sz w:val="22"/>
                  <w:szCs w:val="22"/>
                </w:rPr>
                <w:delText>37%</w:delText>
              </w:r>
            </w:del>
          </w:p>
        </w:tc>
        <w:tc>
          <w:tcPr>
            <w:tcW w:w="962" w:type="dxa"/>
            <w:tcBorders>
              <w:top w:val="single" w:sz="4" w:space="0" w:color="auto"/>
              <w:left w:val="single" w:sz="4" w:space="0" w:color="auto"/>
              <w:bottom w:val="single" w:sz="4" w:space="0" w:color="auto"/>
              <w:right w:val="single" w:sz="4" w:space="0" w:color="auto"/>
            </w:tcBorders>
          </w:tcPr>
          <w:p w:rsidR="006224C2" w:rsidRPr="00295E71" w14:paraId="5D68CB71" w14:textId="77777777">
            <w:pPr>
              <w:keepNext/>
              <w:tabs>
                <w:tab w:val="left" w:pos="567"/>
                <w:tab w:val="left" w:pos="1294"/>
              </w:tabs>
              <w:autoSpaceDE w:val="0"/>
              <w:autoSpaceDN w:val="0"/>
              <w:adjustRightInd w:val="0"/>
              <w:jc w:val="both"/>
              <w:pPrChange w:id="10511" w:author="AbbVie14" w:date="2025-05-09T10:34:00Z">
                <w:pPr>
                  <w:pStyle w:val="TableText"/>
                  <w:spacing w:line="240" w:lineRule="exact"/>
                  <w:jc w:val="center"/>
                </w:pPr>
              </w:pPrChange>
              <w:rPr>
                <w:del w:id="10512" w:author="AbbVie14" w:date="2025-05-09T10:34:00Z"/>
                <w:sz w:val="22"/>
                <w:szCs w:val="22"/>
              </w:rPr>
            </w:pPr>
            <w:del w:id="10513" w:author="AbbVie14" w:date="2025-05-09T10:34:00Z">
              <w:r w:rsidRPr="00295E71">
                <w:rPr>
                  <w:sz w:val="22"/>
                  <w:szCs w:val="22"/>
                </w:rPr>
                <w:delText>49%</w:delText>
              </w:r>
            </w:del>
            <w:del w:id="10514" w:author="AbbVie14" w:date="2025-05-09T10:34:00Z">
              <w:r w:rsidRPr="00295E71">
                <w:rPr>
                  <w:sz w:val="22"/>
                  <w:szCs w:val="22"/>
                  <w:vertAlign w:val="superscript"/>
                </w:rPr>
                <w:delText>**</w:delText>
              </w:r>
            </w:del>
          </w:p>
        </w:tc>
        <w:tc>
          <w:tcPr>
            <w:tcW w:w="1535" w:type="dxa"/>
            <w:tcBorders>
              <w:top w:val="single" w:sz="4" w:space="0" w:color="auto"/>
              <w:left w:val="single" w:sz="4" w:space="0" w:color="auto"/>
              <w:bottom w:val="single" w:sz="4" w:space="0" w:color="auto"/>
              <w:right w:val="single" w:sz="4" w:space="0" w:color="auto"/>
            </w:tcBorders>
          </w:tcPr>
          <w:p w:rsidR="006224C2" w:rsidRPr="00295E71" w14:paraId="18519933" w14:textId="77777777">
            <w:pPr>
              <w:keepNext/>
              <w:tabs>
                <w:tab w:val="left" w:pos="567"/>
                <w:tab w:val="left" w:pos="1294"/>
              </w:tabs>
              <w:autoSpaceDE w:val="0"/>
              <w:autoSpaceDN w:val="0"/>
              <w:adjustRightInd w:val="0"/>
              <w:jc w:val="both"/>
              <w:pPrChange w:id="10515" w:author="AbbVie14" w:date="2025-05-09T10:34:00Z">
                <w:pPr>
                  <w:pStyle w:val="TableText"/>
                  <w:spacing w:line="240" w:lineRule="exact"/>
                  <w:jc w:val="center"/>
                </w:pPr>
              </w:pPrChange>
              <w:rPr>
                <w:del w:id="10516" w:author="AbbVie14" w:date="2025-05-09T10:34:00Z"/>
                <w:sz w:val="22"/>
                <w:szCs w:val="22"/>
              </w:rPr>
            </w:pPr>
            <w:del w:id="10517" w:author="AbbVie14" w:date="2025-05-09T10:34:00Z">
              <w:r w:rsidRPr="00295E71">
                <w:rPr>
                  <w:sz w:val="22"/>
                  <w:szCs w:val="22"/>
                </w:rPr>
                <w:delText>25%</w:delText>
              </w:r>
            </w:del>
          </w:p>
        </w:tc>
        <w:tc>
          <w:tcPr>
            <w:tcW w:w="1863" w:type="dxa"/>
            <w:tcBorders>
              <w:top w:val="single" w:sz="4" w:space="0" w:color="auto"/>
              <w:left w:val="single" w:sz="4" w:space="0" w:color="auto"/>
              <w:bottom w:val="single" w:sz="4" w:space="0" w:color="auto"/>
              <w:right w:val="single" w:sz="4" w:space="0" w:color="auto"/>
            </w:tcBorders>
          </w:tcPr>
          <w:p w:rsidR="006224C2" w:rsidRPr="00295E71" w14:paraId="0D6F09A1" w14:textId="77777777">
            <w:pPr>
              <w:keepNext/>
              <w:tabs>
                <w:tab w:val="left" w:pos="567"/>
                <w:tab w:val="left" w:pos="1294"/>
              </w:tabs>
              <w:autoSpaceDE w:val="0"/>
              <w:autoSpaceDN w:val="0"/>
              <w:adjustRightInd w:val="0"/>
              <w:jc w:val="both"/>
              <w:pPrChange w:id="10518" w:author="AbbVie14" w:date="2025-05-09T10:34:00Z">
                <w:pPr>
                  <w:pStyle w:val="TableText"/>
                  <w:spacing w:line="240" w:lineRule="exact"/>
                  <w:jc w:val="center"/>
                </w:pPr>
              </w:pPrChange>
              <w:rPr>
                <w:del w:id="10519" w:author="AbbVie14" w:date="2025-05-09T10:34:00Z"/>
                <w:sz w:val="22"/>
                <w:szCs w:val="22"/>
              </w:rPr>
            </w:pPr>
            <w:del w:id="10520" w:author="AbbVie14" w:date="2025-05-09T10:34:00Z">
              <w:r w:rsidRPr="00295E71">
                <w:rPr>
                  <w:sz w:val="22"/>
                  <w:szCs w:val="22"/>
                </w:rPr>
                <w:delText>38%</w:delText>
              </w:r>
            </w:del>
            <w:del w:id="10521" w:author="AbbVie14" w:date="2025-05-09T10:34:00Z">
              <w:r w:rsidRPr="00295E71">
                <w:rPr>
                  <w:sz w:val="22"/>
                  <w:szCs w:val="22"/>
                  <w:vertAlign w:val="superscript"/>
                </w:rPr>
                <w:delText>**</w:delText>
              </w:r>
            </w:del>
          </w:p>
        </w:tc>
      </w:tr>
      <w:tr w14:paraId="11A65B16" w14:textId="77777777">
        <w:tblPrEx>
          <w:tblW w:w="9238" w:type="dxa"/>
          <w:tblLook w:val="0000"/>
        </w:tblPrEx>
        <w:trPr>
          <w:del w:id="10522" w:author="AbbVie14" w:date="2025-05-09T10:34:00Z"/>
        </w:trPr>
        <w:tc>
          <w:tcPr>
            <w:tcW w:w="9238" w:type="dxa"/>
            <w:gridSpan w:val="6"/>
            <w:tcBorders>
              <w:top w:val="single" w:sz="4" w:space="0" w:color="auto"/>
              <w:left w:val="nil"/>
              <w:bottom w:val="nil"/>
              <w:right w:val="nil"/>
            </w:tcBorders>
          </w:tcPr>
          <w:p w:rsidR="006224C2" w:rsidRPr="00295E71" w14:paraId="2CB761E5" w14:textId="77777777">
            <w:pPr>
              <w:keepNext/>
              <w:tabs>
                <w:tab w:val="left" w:pos="567"/>
                <w:tab w:val="left" w:pos="1294"/>
              </w:tabs>
              <w:autoSpaceDE w:val="0"/>
              <w:autoSpaceDN w:val="0"/>
              <w:adjustRightInd w:val="0"/>
              <w:jc w:val="both"/>
              <w:pPrChange w:id="10523" w:author="AbbVie14" w:date="2025-05-09T10:34:00Z">
                <w:pPr>
                  <w:pStyle w:val="TableText"/>
                  <w:spacing w:line="240" w:lineRule="exact"/>
                </w:pPr>
              </w:pPrChange>
              <w:rPr>
                <w:del w:id="10524" w:author="AbbVie14" w:date="2025-05-09T10:34:00Z"/>
                <w:sz w:val="22"/>
                <w:szCs w:val="22"/>
              </w:rPr>
            </w:pPr>
            <w:del w:id="10525" w:author="AbbVie14" w:date="2025-05-09T10:34:00Z">
              <w:r w:rsidRPr="00295E71">
                <w:rPr>
                  <w:sz w:val="22"/>
                  <w:szCs w:val="22"/>
                </w:rPr>
                <w:delText>Tutti i valori p rappresentano i confronti a coppie delle percentuali di Humira verso placebo</w:delText>
              </w:r>
            </w:del>
          </w:p>
          <w:p w:rsidR="006224C2" w:rsidRPr="00295E71" w14:paraId="12335228" w14:textId="77777777">
            <w:pPr>
              <w:keepNext/>
              <w:tabs>
                <w:tab w:val="left" w:pos="567"/>
                <w:tab w:val="left" w:pos="1294"/>
              </w:tabs>
              <w:autoSpaceDE w:val="0"/>
              <w:autoSpaceDN w:val="0"/>
              <w:adjustRightInd w:val="0"/>
              <w:jc w:val="both"/>
              <w:pPrChange w:id="10526" w:author="AbbVie14" w:date="2025-05-09T10:34:00Z">
                <w:pPr>
                  <w:pStyle w:val="TableText"/>
                  <w:spacing w:line="240" w:lineRule="exact"/>
                </w:pPr>
              </w:pPrChange>
              <w:rPr>
                <w:del w:id="10527" w:author="AbbVie14" w:date="2025-05-09T10:34:00Z"/>
                <w:sz w:val="22"/>
                <w:szCs w:val="22"/>
              </w:rPr>
            </w:pPr>
            <w:del w:id="10528" w:author="AbbVie14" w:date="2025-05-09T10:34:00Z">
              <w:r w:rsidRPr="00295E71">
                <w:rPr>
                  <w:sz w:val="22"/>
                  <w:szCs w:val="22"/>
                  <w:vertAlign w:val="superscript"/>
                </w:rPr>
                <w:delText>*</w:delText>
              </w:r>
            </w:del>
            <w:del w:id="10529" w:author="AbbVie14" w:date="2025-05-09T10:34:00Z">
              <w:r w:rsidRPr="00295E71">
                <w:rPr>
                  <w:sz w:val="22"/>
                  <w:szCs w:val="22"/>
                </w:rPr>
                <w:tab/>
                <w:delText>p&lt;0,001</w:delText>
              </w:r>
            </w:del>
          </w:p>
          <w:p w:rsidR="006224C2" w:rsidRPr="00295E71" w14:paraId="55E37257" w14:textId="77777777">
            <w:pPr>
              <w:keepNext/>
              <w:tabs>
                <w:tab w:val="left" w:pos="567"/>
                <w:tab w:val="left" w:pos="1294"/>
              </w:tabs>
              <w:autoSpaceDE w:val="0"/>
              <w:autoSpaceDN w:val="0"/>
              <w:adjustRightInd w:val="0"/>
              <w:jc w:val="both"/>
              <w:pPrChange w:id="10530" w:author="AbbVie14" w:date="2025-05-09T10:34:00Z">
                <w:pPr>
                  <w:pStyle w:val="TableText"/>
                  <w:spacing w:line="240" w:lineRule="exact"/>
                </w:pPr>
              </w:pPrChange>
              <w:rPr>
                <w:del w:id="10531" w:author="AbbVie14" w:date="2025-05-09T10:34:00Z"/>
                <w:sz w:val="22"/>
                <w:szCs w:val="22"/>
              </w:rPr>
            </w:pPr>
            <w:del w:id="10532" w:author="AbbVie14" w:date="2025-05-09T10:34:00Z">
              <w:r w:rsidRPr="00295E71">
                <w:rPr>
                  <w:sz w:val="22"/>
                  <w:szCs w:val="22"/>
                  <w:vertAlign w:val="superscript"/>
                </w:rPr>
                <w:delText>**</w:delText>
              </w:r>
            </w:del>
            <w:del w:id="10533" w:author="AbbVie14" w:date="2025-05-09T10:34:00Z">
              <w:r w:rsidRPr="00295E71">
                <w:rPr>
                  <w:sz w:val="22"/>
                  <w:szCs w:val="22"/>
                </w:rPr>
                <w:tab/>
                <w:delText>p&lt;0,01</w:delText>
              </w:r>
            </w:del>
          </w:p>
        </w:tc>
      </w:tr>
    </w:tbl>
    <w:p w:rsidR="006224C2" w:rsidRPr="00295E71" w14:paraId="3601088D" w14:textId="77777777">
      <w:pPr>
        <w:keepNext/>
        <w:tabs>
          <w:tab w:val="left" w:pos="567"/>
          <w:tab w:val="left" w:pos="1294"/>
        </w:tabs>
        <w:autoSpaceDE w:val="0"/>
        <w:autoSpaceDN w:val="0"/>
        <w:adjustRightInd w:val="0"/>
        <w:jc w:val="both"/>
        <w:pPrChange w:id="10534" w:author="AbbVie14" w:date="2025-05-09T10:34:00Z">
          <w:pPr>
            <w:pStyle w:val="EMEANormal"/>
          </w:pPr>
        </w:pPrChange>
        <w:rPr>
          <w:del w:id="10535" w:author="AbbVie14" w:date="2025-05-09T10:34:00Z"/>
        </w:rPr>
      </w:pPr>
    </w:p>
    <w:p w:rsidR="006224C2" w:rsidRPr="00295E71" w14:paraId="60B1CD7B" w14:textId="77777777">
      <w:pPr>
        <w:keepNext/>
        <w:tabs>
          <w:tab w:val="left" w:pos="567"/>
          <w:tab w:val="left" w:pos="1294"/>
        </w:tabs>
        <w:autoSpaceDE w:val="0"/>
        <w:autoSpaceDN w:val="0"/>
        <w:adjustRightInd w:val="0"/>
        <w:jc w:val="both"/>
        <w:pPrChange w:id="10536" w:author="AbbVie14" w:date="2025-05-09T10:34:00Z">
          <w:pPr>
            <w:pStyle w:val="EMEANormal"/>
            <w:jc w:val="both"/>
          </w:pPr>
        </w:pPrChange>
        <w:rPr>
          <w:del w:id="10537" w:author="AbbVie14" w:date="2025-05-09T10:34:00Z"/>
        </w:rPr>
      </w:pPr>
      <w:del w:id="10538" w:author="AbbVie14" w:date="2025-05-09T10:34:00Z">
        <w:r w:rsidRPr="00295E71">
          <w:delText>Percentuali di remissione simili sono state osservate nel gruppo trattato con la dose di induzione pari a 160/80 mg ed a 80/40 mg entro la settimana 8 e gli eventi avversi si sono manifestati più frequentemente nel gruppo trattato con il dosaggio pari a 160/80 mg.</w:delText>
        </w:r>
      </w:del>
    </w:p>
    <w:p w:rsidR="006224C2" w:rsidRPr="00295E71" w14:paraId="2024D3BC" w14:textId="77777777">
      <w:pPr>
        <w:keepNext/>
        <w:tabs>
          <w:tab w:val="left" w:pos="567"/>
          <w:tab w:val="left" w:pos="1294"/>
        </w:tabs>
        <w:autoSpaceDE w:val="0"/>
        <w:autoSpaceDN w:val="0"/>
        <w:adjustRightInd w:val="0"/>
        <w:jc w:val="both"/>
        <w:pPrChange w:id="10539" w:author="AbbVie14" w:date="2025-05-09T10:34:00Z">
          <w:pPr>
            <w:pStyle w:val="EMEANormal"/>
            <w:jc w:val="both"/>
          </w:pPr>
        </w:pPrChange>
        <w:rPr>
          <w:del w:id="10540" w:author="AbbVie14" w:date="2025-05-09T10:34:00Z"/>
        </w:rPr>
      </w:pPr>
    </w:p>
    <w:p w:rsidR="006224C2" w:rsidRPr="00295E71" w14:paraId="3FDB83ED" w14:textId="77777777">
      <w:pPr>
        <w:keepNext/>
        <w:tabs>
          <w:tab w:val="left" w:pos="567"/>
          <w:tab w:val="left" w:pos="1294"/>
        </w:tabs>
        <w:autoSpaceDE w:val="0"/>
        <w:autoSpaceDN w:val="0"/>
        <w:adjustRightInd w:val="0"/>
        <w:jc w:val="both"/>
        <w:pPrChange w:id="10541" w:author="AbbVie14" w:date="2025-05-09T10:34:00Z">
          <w:pPr>
            <w:pStyle w:val="EMEANormal"/>
            <w:jc w:val="both"/>
          </w:pPr>
        </w:pPrChange>
        <w:rPr>
          <w:del w:id="10542" w:author="AbbVie14" w:date="2025-05-09T10:34:00Z"/>
        </w:rPr>
      </w:pPr>
      <w:del w:id="10543" w:author="AbbVie14" w:date="2025-05-09T10:34:00Z">
        <w:r w:rsidRPr="00295E71">
          <w:delText>Nello studio CD III, alla settimana 4, il 58% (499/854) dei pazienti ha manifestato una risposta clinica ed è stato valutato nell’analisi primaria. Tra i pazienti che hanno manifestato una risposta clinica alla settimana 4, il 48% era stato esposto precedentemente a terapia con altri farmaci antagonisti del</w:delText>
        </w:r>
      </w:del>
      <w:del w:id="10544" w:author="AbbVie14" w:date="2025-05-09T10:34:00Z">
        <w:r w:rsidR="00A02331">
          <w:delText xml:space="preserve"> </w:delText>
        </w:r>
      </w:del>
      <w:del w:id="10545" w:author="AbbVie14" w:date="2025-05-09T10:34:00Z">
        <w:r w:rsidRPr="00295E71">
          <w:delText>TNF. Le percentuali relative al mantenimento della remissione e della risposta clinica sono riportate nella Tabella</w:delText>
        </w:r>
      </w:del>
      <w:del w:id="10546" w:author="AbbVie14" w:date="2025-05-09T10:34:00Z">
        <w:r w:rsidRPr="00295E71" w:rsidR="00326430">
          <w:delText xml:space="preserve"> 2</w:delText>
        </w:r>
      </w:del>
      <w:del w:id="10547" w:author="AbbVie14" w:date="2025-05-09T10:34:00Z">
        <w:r w:rsidR="005C4AD7">
          <w:delText>2</w:delText>
        </w:r>
      </w:del>
      <w:del w:id="10548" w:author="AbbVie14" w:date="2025-05-09T10:34:00Z">
        <w:r w:rsidRPr="00295E71">
          <w:delText>. I risultati relativi alla remissione clinica sono rimasti relativamente costanti a prescindere dall’esposizione precedente a farmaci anti-TNF.</w:delText>
        </w:r>
      </w:del>
    </w:p>
    <w:p w:rsidR="006224C2" w:rsidRPr="00295E71" w14:paraId="6360F084" w14:textId="77777777">
      <w:pPr>
        <w:keepNext/>
        <w:tabs>
          <w:tab w:val="left" w:pos="567"/>
          <w:tab w:val="left" w:pos="1294"/>
        </w:tabs>
        <w:autoSpaceDE w:val="0"/>
        <w:autoSpaceDN w:val="0"/>
        <w:adjustRightInd w:val="0"/>
        <w:jc w:val="both"/>
        <w:pPrChange w:id="10549" w:author="AbbVie14" w:date="2025-05-09T10:34:00Z">
          <w:pPr>
            <w:pStyle w:val="EMEANormal"/>
            <w:jc w:val="both"/>
          </w:pPr>
        </w:pPrChange>
        <w:rPr>
          <w:del w:id="10550" w:author="AbbVie14" w:date="2025-05-09T10:34:00Z"/>
        </w:rPr>
      </w:pPr>
    </w:p>
    <w:p w:rsidR="006224C2" w:rsidRPr="00295E71" w14:paraId="18F7D47E" w14:textId="77777777">
      <w:pPr>
        <w:keepNext/>
        <w:tabs>
          <w:tab w:val="left" w:pos="567"/>
          <w:tab w:val="left" w:pos="1294"/>
        </w:tabs>
        <w:autoSpaceDE w:val="0"/>
        <w:autoSpaceDN w:val="0"/>
        <w:adjustRightInd w:val="0"/>
        <w:jc w:val="both"/>
        <w:pPrChange w:id="10551" w:author="AbbVie14" w:date="2025-05-09T10:34:00Z">
          <w:pPr>
            <w:pStyle w:val="EMEANormal"/>
            <w:jc w:val="both"/>
          </w:pPr>
        </w:pPrChange>
        <w:rPr>
          <w:del w:id="10552" w:author="AbbVie14" w:date="2025-05-09T10:34:00Z"/>
        </w:rPr>
      </w:pPr>
      <w:del w:id="10553" w:author="AbbVie14" w:date="2025-05-09T10:34:00Z">
        <w:r w:rsidRPr="00295E71">
          <w:delText>Alla settimana 56 il ricovero ospedaliero correlato alla malattia e gli interventi chirurgici erano statisticamente significativamente ridotti con adalimumab rispetto al placebo.</w:delText>
        </w:r>
      </w:del>
    </w:p>
    <w:p w:rsidR="006224C2" w:rsidRPr="00295E71" w14:paraId="769FA5C2" w14:textId="77777777">
      <w:pPr>
        <w:keepNext/>
        <w:tabs>
          <w:tab w:val="left" w:pos="567"/>
          <w:tab w:val="left" w:pos="1294"/>
        </w:tabs>
        <w:autoSpaceDE w:val="0"/>
        <w:autoSpaceDN w:val="0"/>
        <w:adjustRightInd w:val="0"/>
        <w:jc w:val="both"/>
        <w:pPrChange w:id="10554" w:author="AbbVie14" w:date="2025-05-09T10:34:00Z">
          <w:pPr>
            <w:keepNext/>
          </w:pPr>
        </w:pPrChange>
        <w:rPr>
          <w:del w:id="10555" w:author="AbbVie14" w:date="2025-05-09T10:34:00Z"/>
          <w:sz w:val="22"/>
          <w:szCs w:val="22"/>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3636"/>
        <w:gridCol w:w="1715"/>
        <w:gridCol w:w="1892"/>
        <w:gridCol w:w="1827"/>
      </w:tblGrid>
      <w:tr w14:paraId="0B29CAD6" w14:textId="77777777">
        <w:tblPrEx>
          <w:tblW w:w="0" w:type="auto"/>
          <w:tblLook w:val="0000"/>
        </w:tblPrEx>
        <w:trPr>
          <w:del w:id="10556" w:author="AbbVie14" w:date="2025-05-09T10:34:00Z"/>
        </w:trPr>
        <w:tc>
          <w:tcPr>
            <w:tcW w:w="9286" w:type="dxa"/>
            <w:gridSpan w:val="4"/>
            <w:tcBorders>
              <w:top w:val="nil"/>
              <w:left w:val="nil"/>
              <w:bottom w:val="single" w:sz="4" w:space="0" w:color="auto"/>
              <w:right w:val="nil"/>
            </w:tcBorders>
          </w:tcPr>
          <w:p w:rsidR="006224C2" w:rsidRPr="00295E71" w14:paraId="65A70853" w14:textId="77777777">
            <w:pPr>
              <w:keepNext/>
              <w:tabs>
                <w:tab w:val="left" w:pos="567"/>
                <w:tab w:val="left" w:pos="1294"/>
              </w:tabs>
              <w:autoSpaceDE w:val="0"/>
              <w:autoSpaceDN w:val="0"/>
              <w:adjustRightInd w:val="0"/>
              <w:jc w:val="both"/>
              <w:pPrChange w:id="10557" w:author="AbbVie14" w:date="2025-05-09T10:34:00Z">
                <w:pPr>
                  <w:pStyle w:val="TableText"/>
                  <w:spacing w:line="240" w:lineRule="exact"/>
                  <w:jc w:val="center"/>
                </w:pPr>
              </w:pPrChange>
              <w:rPr>
                <w:del w:id="10558" w:author="AbbVie14" w:date="2025-05-09T10:34:00Z"/>
                <w:b/>
                <w:bCs/>
                <w:sz w:val="22"/>
                <w:szCs w:val="22"/>
              </w:rPr>
            </w:pPr>
            <w:del w:id="10559" w:author="AbbVie14" w:date="2025-05-09T10:34:00Z">
              <w:r w:rsidRPr="00295E71">
                <w:rPr>
                  <w:sz w:val="22"/>
                  <w:szCs w:val="22"/>
                </w:rPr>
                <w:br w:type="page"/>
              </w:r>
            </w:del>
            <w:del w:id="10560" w:author="AbbVie14" w:date="2025-05-09T10:34:00Z">
              <w:r w:rsidRPr="00295E71">
                <w:rPr>
                  <w:b/>
                  <w:bCs/>
                  <w:sz w:val="22"/>
                  <w:szCs w:val="22"/>
                </w:rPr>
                <w:delText xml:space="preserve">Tabella </w:delText>
              </w:r>
            </w:del>
            <w:del w:id="10561" w:author="AbbVie14" w:date="2025-05-09T10:34:00Z">
              <w:r w:rsidRPr="00295E71" w:rsidR="00326430">
                <w:rPr>
                  <w:b/>
                  <w:bCs/>
                  <w:sz w:val="22"/>
                  <w:szCs w:val="22"/>
                </w:rPr>
                <w:delText>2</w:delText>
              </w:r>
            </w:del>
            <w:del w:id="10562" w:author="AbbVie14" w:date="2025-05-09T10:34:00Z">
              <w:r w:rsidR="005C4AD7">
                <w:rPr>
                  <w:b/>
                  <w:bCs/>
                  <w:sz w:val="22"/>
                  <w:szCs w:val="22"/>
                </w:rPr>
                <w:delText>2</w:delText>
              </w:r>
            </w:del>
          </w:p>
          <w:p w:rsidR="006224C2" w:rsidRPr="00295E71" w14:paraId="53F733F0" w14:textId="77777777">
            <w:pPr>
              <w:keepNext/>
              <w:tabs>
                <w:tab w:val="left" w:pos="567"/>
                <w:tab w:val="left" w:pos="1294"/>
              </w:tabs>
              <w:autoSpaceDE w:val="0"/>
              <w:autoSpaceDN w:val="0"/>
              <w:adjustRightInd w:val="0"/>
              <w:jc w:val="both"/>
              <w:pPrChange w:id="10563" w:author="AbbVie14" w:date="2025-05-09T10:34:00Z">
                <w:pPr>
                  <w:pStyle w:val="TableText"/>
                  <w:spacing w:line="240" w:lineRule="exact"/>
                  <w:jc w:val="center"/>
                </w:pPr>
              </w:pPrChange>
              <w:rPr>
                <w:del w:id="10564" w:author="AbbVie14" w:date="2025-05-09T10:34:00Z"/>
                <w:b/>
                <w:bCs/>
                <w:sz w:val="22"/>
                <w:szCs w:val="22"/>
              </w:rPr>
            </w:pPr>
            <w:del w:id="10565" w:author="AbbVie14" w:date="2025-05-09T10:34:00Z">
              <w:r w:rsidRPr="00295E71">
                <w:rPr>
                  <w:b/>
                  <w:bCs/>
                  <w:sz w:val="22"/>
                  <w:szCs w:val="22"/>
                </w:rPr>
                <w:delText>Mantenimento della remissione e della risposta clinica</w:delText>
              </w:r>
            </w:del>
          </w:p>
          <w:p w:rsidR="006224C2" w:rsidRPr="00295E71" w14:paraId="4D906B95" w14:textId="77777777">
            <w:pPr>
              <w:keepNext/>
              <w:tabs>
                <w:tab w:val="left" w:pos="567"/>
                <w:tab w:val="left" w:pos="1294"/>
              </w:tabs>
              <w:autoSpaceDE w:val="0"/>
              <w:autoSpaceDN w:val="0"/>
              <w:adjustRightInd w:val="0"/>
              <w:jc w:val="both"/>
              <w:pPrChange w:id="10566" w:author="AbbVie14" w:date="2025-05-09T10:34:00Z">
                <w:pPr>
                  <w:pStyle w:val="TableText"/>
                  <w:spacing w:line="240" w:lineRule="exact"/>
                  <w:jc w:val="center"/>
                </w:pPr>
              </w:pPrChange>
              <w:rPr>
                <w:del w:id="10567" w:author="AbbVie14" w:date="2025-05-09T10:34:00Z"/>
                <w:b/>
                <w:bCs/>
                <w:sz w:val="22"/>
                <w:szCs w:val="22"/>
              </w:rPr>
            </w:pPr>
            <w:del w:id="10568" w:author="AbbVie14" w:date="2025-05-09T10:34:00Z">
              <w:r w:rsidRPr="00295E71">
                <w:rPr>
                  <w:b/>
                  <w:bCs/>
                  <w:sz w:val="22"/>
                  <w:szCs w:val="22"/>
                </w:rPr>
                <w:delText>(percentuale di pazienti)</w:delText>
              </w:r>
            </w:del>
          </w:p>
          <w:p w:rsidR="006224C2" w:rsidRPr="00295E71" w14:paraId="387C1476" w14:textId="77777777">
            <w:pPr>
              <w:keepNext/>
              <w:tabs>
                <w:tab w:val="left" w:pos="567"/>
                <w:tab w:val="left" w:pos="1294"/>
              </w:tabs>
              <w:autoSpaceDE w:val="0"/>
              <w:autoSpaceDN w:val="0"/>
              <w:adjustRightInd w:val="0"/>
              <w:jc w:val="both"/>
              <w:pPrChange w:id="10569" w:author="AbbVie14" w:date="2025-05-09T10:34:00Z">
                <w:pPr>
                  <w:pStyle w:val="TableText"/>
                  <w:spacing w:line="240" w:lineRule="exact"/>
                  <w:jc w:val="center"/>
                </w:pPr>
              </w:pPrChange>
              <w:rPr>
                <w:del w:id="10570" w:author="AbbVie14" w:date="2025-05-09T10:34:00Z"/>
                <w:sz w:val="22"/>
                <w:szCs w:val="22"/>
              </w:rPr>
            </w:pPr>
          </w:p>
        </w:tc>
      </w:tr>
      <w:tr w14:paraId="6B6FBBC7" w14:textId="77777777">
        <w:tblPrEx>
          <w:tblW w:w="0" w:type="auto"/>
          <w:tblLook w:val="0000"/>
        </w:tblPrEx>
        <w:trPr>
          <w:del w:id="10571" w:author="AbbVie14" w:date="2025-05-09T10:34:00Z"/>
        </w:trPr>
        <w:tc>
          <w:tcPr>
            <w:tcW w:w="3748" w:type="dxa"/>
            <w:tcBorders>
              <w:top w:val="single" w:sz="4" w:space="0" w:color="auto"/>
              <w:left w:val="single" w:sz="4" w:space="0" w:color="auto"/>
              <w:bottom w:val="single" w:sz="4" w:space="0" w:color="auto"/>
              <w:right w:val="single" w:sz="4" w:space="0" w:color="auto"/>
            </w:tcBorders>
          </w:tcPr>
          <w:p w:rsidR="006224C2" w:rsidRPr="00295E71" w14:paraId="5D5730A8" w14:textId="77777777">
            <w:pPr>
              <w:keepNext/>
              <w:tabs>
                <w:tab w:val="left" w:pos="567"/>
                <w:tab w:val="left" w:pos="1294"/>
              </w:tabs>
              <w:autoSpaceDE w:val="0"/>
              <w:autoSpaceDN w:val="0"/>
              <w:adjustRightInd w:val="0"/>
              <w:jc w:val="both"/>
              <w:pPrChange w:id="10572" w:author="AbbVie14" w:date="2025-05-09T10:34:00Z">
                <w:pPr>
                  <w:pStyle w:val="TableText"/>
                  <w:spacing w:line="240" w:lineRule="exact"/>
                </w:pPr>
              </w:pPrChange>
              <w:rPr>
                <w:del w:id="10573" w:author="AbbVie14" w:date="2025-05-09T10:34:00Z"/>
                <w:b/>
                <w:bCs/>
                <w:sz w:val="22"/>
                <w:szCs w:val="22"/>
              </w:rPr>
            </w:pPr>
          </w:p>
        </w:tc>
        <w:tc>
          <w:tcPr>
            <w:tcW w:w="1751" w:type="dxa"/>
            <w:tcBorders>
              <w:top w:val="single" w:sz="4" w:space="0" w:color="auto"/>
              <w:left w:val="single" w:sz="4" w:space="0" w:color="auto"/>
              <w:bottom w:val="single" w:sz="4" w:space="0" w:color="auto"/>
              <w:right w:val="single" w:sz="4" w:space="0" w:color="auto"/>
            </w:tcBorders>
          </w:tcPr>
          <w:p w:rsidR="006224C2" w:rsidRPr="00295E71" w14:paraId="74F290B8" w14:textId="77777777">
            <w:pPr>
              <w:keepNext/>
              <w:tabs>
                <w:tab w:val="left" w:pos="567"/>
                <w:tab w:val="left" w:pos="1294"/>
              </w:tabs>
              <w:autoSpaceDE w:val="0"/>
              <w:autoSpaceDN w:val="0"/>
              <w:adjustRightInd w:val="0"/>
              <w:jc w:val="both"/>
              <w:pPrChange w:id="10574" w:author="AbbVie14" w:date="2025-05-09T10:34:00Z">
                <w:pPr>
                  <w:pStyle w:val="TableText"/>
                  <w:spacing w:line="240" w:lineRule="exact"/>
                  <w:jc w:val="center"/>
                </w:pPr>
              </w:pPrChange>
              <w:rPr>
                <w:del w:id="10575" w:author="AbbVie14" w:date="2025-05-09T10:34:00Z"/>
                <w:b/>
                <w:bCs/>
                <w:sz w:val="22"/>
                <w:szCs w:val="22"/>
              </w:rPr>
            </w:pPr>
            <w:del w:id="10576" w:author="AbbVie14" w:date="2025-05-09T10:34:00Z">
              <w:r w:rsidRPr="00295E71">
                <w:rPr>
                  <w:b/>
                  <w:bCs/>
                  <w:sz w:val="22"/>
                  <w:szCs w:val="22"/>
                </w:rPr>
                <w:delText>Placebo</w:delText>
              </w:r>
            </w:del>
          </w:p>
        </w:tc>
        <w:tc>
          <w:tcPr>
            <w:tcW w:w="1928" w:type="dxa"/>
            <w:tcBorders>
              <w:top w:val="single" w:sz="4" w:space="0" w:color="auto"/>
              <w:left w:val="single" w:sz="4" w:space="0" w:color="auto"/>
              <w:bottom w:val="single" w:sz="4" w:space="0" w:color="auto"/>
              <w:right w:val="single" w:sz="4" w:space="0" w:color="auto"/>
            </w:tcBorders>
          </w:tcPr>
          <w:p w:rsidR="006224C2" w:rsidRPr="00295E71" w14:paraId="18A6CE12" w14:textId="77777777">
            <w:pPr>
              <w:keepNext/>
              <w:tabs>
                <w:tab w:val="left" w:pos="567"/>
                <w:tab w:val="left" w:pos="1294"/>
              </w:tabs>
              <w:autoSpaceDE w:val="0"/>
              <w:autoSpaceDN w:val="0"/>
              <w:adjustRightInd w:val="0"/>
              <w:jc w:val="both"/>
              <w:pPrChange w:id="10577" w:author="AbbVie14" w:date="2025-05-09T10:34:00Z">
                <w:pPr>
                  <w:pStyle w:val="TableText"/>
                  <w:spacing w:line="240" w:lineRule="exact"/>
                  <w:jc w:val="center"/>
                </w:pPr>
              </w:pPrChange>
              <w:rPr>
                <w:del w:id="10578" w:author="AbbVie14" w:date="2025-05-09T10:34:00Z"/>
                <w:b/>
                <w:bCs/>
                <w:sz w:val="22"/>
                <w:szCs w:val="22"/>
              </w:rPr>
            </w:pPr>
            <w:del w:id="10579" w:author="AbbVie14" w:date="2025-05-09T10:34:00Z">
              <w:r w:rsidRPr="00295E71">
                <w:rPr>
                  <w:b/>
                  <w:bCs/>
                  <w:sz w:val="22"/>
                  <w:szCs w:val="22"/>
                </w:rPr>
                <w:delText>40 mg Humira</w:delText>
              </w:r>
            </w:del>
            <w:del w:id="10580" w:author="AbbVie14" w:date="2025-05-09T10:34:00Z">
              <w:r w:rsidRPr="00295E71">
                <w:rPr>
                  <w:b/>
                  <w:bCs/>
                  <w:sz w:val="22"/>
                  <w:szCs w:val="22"/>
                </w:rPr>
                <w:br/>
                <w:delText>a settimane alterne</w:delText>
              </w:r>
            </w:del>
          </w:p>
        </w:tc>
        <w:tc>
          <w:tcPr>
            <w:tcW w:w="1859" w:type="dxa"/>
            <w:tcBorders>
              <w:top w:val="single" w:sz="4" w:space="0" w:color="auto"/>
              <w:left w:val="single" w:sz="4" w:space="0" w:color="auto"/>
              <w:bottom w:val="single" w:sz="4" w:space="0" w:color="auto"/>
              <w:right w:val="single" w:sz="4" w:space="0" w:color="auto"/>
            </w:tcBorders>
          </w:tcPr>
          <w:p w:rsidR="006224C2" w:rsidRPr="00295E71" w14:paraId="523C3951" w14:textId="77777777">
            <w:pPr>
              <w:keepNext/>
              <w:tabs>
                <w:tab w:val="left" w:pos="567"/>
                <w:tab w:val="left" w:pos="1294"/>
              </w:tabs>
              <w:autoSpaceDE w:val="0"/>
              <w:autoSpaceDN w:val="0"/>
              <w:adjustRightInd w:val="0"/>
              <w:jc w:val="both"/>
              <w:pPrChange w:id="10581" w:author="AbbVie14" w:date="2025-05-09T10:34:00Z">
                <w:pPr>
                  <w:pStyle w:val="TableText"/>
                  <w:spacing w:line="240" w:lineRule="exact"/>
                  <w:jc w:val="center"/>
                </w:pPr>
              </w:pPrChange>
              <w:rPr>
                <w:del w:id="10582" w:author="AbbVie14" w:date="2025-05-09T10:34:00Z"/>
                <w:b/>
                <w:bCs/>
                <w:sz w:val="22"/>
                <w:szCs w:val="22"/>
              </w:rPr>
            </w:pPr>
            <w:del w:id="10583" w:author="AbbVie14" w:date="2025-05-09T10:34:00Z">
              <w:r w:rsidRPr="00295E71">
                <w:rPr>
                  <w:b/>
                  <w:bCs/>
                  <w:sz w:val="22"/>
                  <w:szCs w:val="22"/>
                </w:rPr>
                <w:delText>40 mg Humira</w:delText>
              </w:r>
            </w:del>
            <w:del w:id="10584" w:author="AbbVie14" w:date="2025-05-09T10:34:00Z">
              <w:r w:rsidRPr="00295E71">
                <w:rPr>
                  <w:b/>
                  <w:bCs/>
                  <w:sz w:val="22"/>
                  <w:szCs w:val="22"/>
                </w:rPr>
                <w:br/>
                <w:delText>ogni settimana</w:delText>
              </w:r>
            </w:del>
          </w:p>
        </w:tc>
      </w:tr>
      <w:tr w14:paraId="36ED6F5B" w14:textId="77777777">
        <w:tblPrEx>
          <w:tblW w:w="0" w:type="auto"/>
          <w:tblLook w:val="0000"/>
        </w:tblPrEx>
        <w:trPr>
          <w:del w:id="10585" w:author="AbbVie14" w:date="2025-05-09T10:34:00Z"/>
        </w:trPr>
        <w:tc>
          <w:tcPr>
            <w:tcW w:w="3748" w:type="dxa"/>
            <w:tcBorders>
              <w:top w:val="single" w:sz="4" w:space="0" w:color="auto"/>
              <w:left w:val="single" w:sz="4" w:space="0" w:color="auto"/>
              <w:bottom w:val="single" w:sz="4" w:space="0" w:color="auto"/>
              <w:right w:val="single" w:sz="4" w:space="0" w:color="auto"/>
            </w:tcBorders>
          </w:tcPr>
          <w:p w:rsidR="006224C2" w:rsidRPr="00295E71" w14:paraId="3883BBF4" w14:textId="77777777">
            <w:pPr>
              <w:keepNext/>
              <w:tabs>
                <w:tab w:val="left" w:pos="567"/>
                <w:tab w:val="left" w:pos="1294"/>
              </w:tabs>
              <w:autoSpaceDE w:val="0"/>
              <w:autoSpaceDN w:val="0"/>
              <w:adjustRightInd w:val="0"/>
              <w:jc w:val="both"/>
              <w:pPrChange w:id="10586" w:author="AbbVie14" w:date="2025-05-09T10:34:00Z">
                <w:pPr>
                  <w:pStyle w:val="TableText"/>
                  <w:spacing w:line="240" w:lineRule="exact"/>
                </w:pPr>
              </w:pPrChange>
              <w:rPr>
                <w:del w:id="10587" w:author="AbbVie14" w:date="2025-05-09T10:34:00Z"/>
                <w:b/>
                <w:bCs/>
                <w:sz w:val="22"/>
                <w:szCs w:val="22"/>
              </w:rPr>
            </w:pPr>
            <w:del w:id="10588" w:author="AbbVie14" w:date="2025-05-09T10:34:00Z">
              <w:r w:rsidRPr="00295E71">
                <w:rPr>
                  <w:b/>
                  <w:bCs/>
                  <w:sz w:val="22"/>
                  <w:szCs w:val="22"/>
                </w:rPr>
                <w:delText>Settimana 26</w:delText>
              </w:r>
            </w:del>
          </w:p>
        </w:tc>
        <w:tc>
          <w:tcPr>
            <w:tcW w:w="1751" w:type="dxa"/>
            <w:tcBorders>
              <w:top w:val="single" w:sz="4" w:space="0" w:color="auto"/>
              <w:left w:val="single" w:sz="4" w:space="0" w:color="auto"/>
              <w:bottom w:val="single" w:sz="4" w:space="0" w:color="auto"/>
              <w:right w:val="single" w:sz="4" w:space="0" w:color="auto"/>
            </w:tcBorders>
          </w:tcPr>
          <w:p w:rsidR="006224C2" w:rsidRPr="00295E71" w14:paraId="30CE4074" w14:textId="77777777">
            <w:pPr>
              <w:keepNext/>
              <w:tabs>
                <w:tab w:val="left" w:pos="567"/>
                <w:tab w:val="left" w:pos="1294"/>
              </w:tabs>
              <w:autoSpaceDE w:val="0"/>
              <w:autoSpaceDN w:val="0"/>
              <w:adjustRightInd w:val="0"/>
              <w:jc w:val="both"/>
              <w:pPrChange w:id="10589" w:author="AbbVie14" w:date="2025-05-09T10:34:00Z">
                <w:pPr>
                  <w:pStyle w:val="TableText"/>
                  <w:spacing w:line="240" w:lineRule="exact"/>
                  <w:jc w:val="center"/>
                </w:pPr>
              </w:pPrChange>
              <w:rPr>
                <w:del w:id="10590" w:author="AbbVie14" w:date="2025-05-09T10:34:00Z"/>
                <w:b/>
                <w:bCs/>
                <w:sz w:val="22"/>
                <w:szCs w:val="22"/>
              </w:rPr>
            </w:pPr>
            <w:del w:id="10591" w:author="AbbVie14" w:date="2025-05-09T10:34:00Z">
              <w:r w:rsidRPr="00295E71">
                <w:rPr>
                  <w:b/>
                  <w:bCs/>
                  <w:sz w:val="22"/>
                  <w:szCs w:val="22"/>
                </w:rPr>
                <w:delText>N=170</w:delText>
              </w:r>
            </w:del>
          </w:p>
        </w:tc>
        <w:tc>
          <w:tcPr>
            <w:tcW w:w="1928" w:type="dxa"/>
            <w:tcBorders>
              <w:top w:val="single" w:sz="4" w:space="0" w:color="auto"/>
              <w:left w:val="single" w:sz="4" w:space="0" w:color="auto"/>
              <w:bottom w:val="single" w:sz="4" w:space="0" w:color="auto"/>
              <w:right w:val="single" w:sz="4" w:space="0" w:color="auto"/>
            </w:tcBorders>
          </w:tcPr>
          <w:p w:rsidR="006224C2" w:rsidRPr="00295E71" w14:paraId="738B808C" w14:textId="77777777">
            <w:pPr>
              <w:keepNext/>
              <w:tabs>
                <w:tab w:val="left" w:pos="567"/>
                <w:tab w:val="left" w:pos="1294"/>
              </w:tabs>
              <w:autoSpaceDE w:val="0"/>
              <w:autoSpaceDN w:val="0"/>
              <w:adjustRightInd w:val="0"/>
              <w:jc w:val="both"/>
              <w:pPrChange w:id="10592" w:author="AbbVie14" w:date="2025-05-09T10:34:00Z">
                <w:pPr>
                  <w:pStyle w:val="TableText"/>
                  <w:spacing w:line="240" w:lineRule="exact"/>
                  <w:jc w:val="center"/>
                </w:pPr>
              </w:pPrChange>
              <w:rPr>
                <w:del w:id="10593" w:author="AbbVie14" w:date="2025-05-09T10:34:00Z"/>
                <w:b/>
                <w:bCs/>
                <w:sz w:val="22"/>
                <w:szCs w:val="22"/>
              </w:rPr>
            </w:pPr>
            <w:del w:id="10594" w:author="AbbVie14" w:date="2025-05-09T10:34:00Z">
              <w:r w:rsidRPr="00295E71">
                <w:rPr>
                  <w:b/>
                  <w:bCs/>
                  <w:sz w:val="22"/>
                  <w:szCs w:val="22"/>
                </w:rPr>
                <w:delText>N=172</w:delText>
              </w:r>
            </w:del>
          </w:p>
        </w:tc>
        <w:tc>
          <w:tcPr>
            <w:tcW w:w="1859" w:type="dxa"/>
            <w:tcBorders>
              <w:top w:val="single" w:sz="4" w:space="0" w:color="auto"/>
              <w:left w:val="single" w:sz="4" w:space="0" w:color="auto"/>
              <w:bottom w:val="single" w:sz="4" w:space="0" w:color="auto"/>
              <w:right w:val="single" w:sz="4" w:space="0" w:color="auto"/>
            </w:tcBorders>
          </w:tcPr>
          <w:p w:rsidR="006224C2" w:rsidRPr="00295E71" w14:paraId="49CF75F7" w14:textId="77777777">
            <w:pPr>
              <w:keepNext/>
              <w:tabs>
                <w:tab w:val="left" w:pos="567"/>
                <w:tab w:val="left" w:pos="1294"/>
              </w:tabs>
              <w:autoSpaceDE w:val="0"/>
              <w:autoSpaceDN w:val="0"/>
              <w:adjustRightInd w:val="0"/>
              <w:jc w:val="both"/>
              <w:pPrChange w:id="10595" w:author="AbbVie14" w:date="2025-05-09T10:34:00Z">
                <w:pPr>
                  <w:pStyle w:val="TableText"/>
                  <w:spacing w:line="240" w:lineRule="exact"/>
                  <w:jc w:val="center"/>
                </w:pPr>
              </w:pPrChange>
              <w:rPr>
                <w:del w:id="10596" w:author="AbbVie14" w:date="2025-05-09T10:34:00Z"/>
                <w:b/>
                <w:bCs/>
                <w:sz w:val="22"/>
                <w:szCs w:val="22"/>
              </w:rPr>
            </w:pPr>
            <w:del w:id="10597" w:author="AbbVie14" w:date="2025-05-09T10:34:00Z">
              <w:r w:rsidRPr="00295E71">
                <w:rPr>
                  <w:b/>
                  <w:bCs/>
                  <w:sz w:val="22"/>
                  <w:szCs w:val="22"/>
                </w:rPr>
                <w:delText>N=157</w:delText>
              </w:r>
            </w:del>
          </w:p>
        </w:tc>
      </w:tr>
      <w:tr w14:paraId="3B464536" w14:textId="77777777">
        <w:tblPrEx>
          <w:tblW w:w="0" w:type="auto"/>
          <w:tblLook w:val="0000"/>
        </w:tblPrEx>
        <w:trPr>
          <w:del w:id="10598" w:author="AbbVie14" w:date="2025-05-09T10:34:00Z"/>
        </w:trPr>
        <w:tc>
          <w:tcPr>
            <w:tcW w:w="3748" w:type="dxa"/>
            <w:tcBorders>
              <w:top w:val="single" w:sz="4" w:space="0" w:color="auto"/>
              <w:left w:val="single" w:sz="4" w:space="0" w:color="auto"/>
              <w:bottom w:val="single" w:sz="4" w:space="0" w:color="auto"/>
              <w:right w:val="single" w:sz="4" w:space="0" w:color="auto"/>
            </w:tcBorders>
          </w:tcPr>
          <w:p w:rsidR="006224C2" w:rsidRPr="00295E71" w14:paraId="4DD5BBBE" w14:textId="77777777">
            <w:pPr>
              <w:keepNext/>
              <w:tabs>
                <w:tab w:val="left" w:pos="567"/>
                <w:tab w:val="left" w:pos="1294"/>
              </w:tabs>
              <w:autoSpaceDE w:val="0"/>
              <w:autoSpaceDN w:val="0"/>
              <w:adjustRightInd w:val="0"/>
              <w:jc w:val="both"/>
              <w:pPrChange w:id="10599" w:author="AbbVie14" w:date="2025-05-09T10:34:00Z">
                <w:pPr>
                  <w:pStyle w:val="TableText"/>
                  <w:spacing w:line="240" w:lineRule="exact"/>
                </w:pPr>
              </w:pPrChange>
              <w:rPr>
                <w:del w:id="10600" w:author="AbbVie14" w:date="2025-05-09T10:34:00Z"/>
                <w:sz w:val="22"/>
                <w:szCs w:val="22"/>
              </w:rPr>
            </w:pPr>
            <w:del w:id="10601" w:author="AbbVie14" w:date="2025-05-09T10:34:00Z">
              <w:r w:rsidRPr="00295E71">
                <w:rPr>
                  <w:sz w:val="22"/>
                  <w:szCs w:val="22"/>
                </w:rPr>
                <w:delText>Remissione clinica</w:delText>
              </w:r>
            </w:del>
          </w:p>
        </w:tc>
        <w:tc>
          <w:tcPr>
            <w:tcW w:w="1751" w:type="dxa"/>
            <w:tcBorders>
              <w:top w:val="single" w:sz="4" w:space="0" w:color="auto"/>
              <w:left w:val="single" w:sz="4" w:space="0" w:color="auto"/>
              <w:bottom w:val="single" w:sz="4" w:space="0" w:color="auto"/>
              <w:right w:val="single" w:sz="4" w:space="0" w:color="auto"/>
            </w:tcBorders>
          </w:tcPr>
          <w:p w:rsidR="006224C2" w:rsidRPr="00295E71" w14:paraId="1B903F05" w14:textId="77777777">
            <w:pPr>
              <w:keepNext/>
              <w:tabs>
                <w:tab w:val="left" w:pos="567"/>
                <w:tab w:val="left" w:pos="1294"/>
              </w:tabs>
              <w:autoSpaceDE w:val="0"/>
              <w:autoSpaceDN w:val="0"/>
              <w:adjustRightInd w:val="0"/>
              <w:jc w:val="both"/>
              <w:pPrChange w:id="10602" w:author="AbbVie14" w:date="2025-05-09T10:34:00Z">
                <w:pPr>
                  <w:pStyle w:val="TableText"/>
                  <w:spacing w:line="240" w:lineRule="exact"/>
                  <w:jc w:val="center"/>
                </w:pPr>
              </w:pPrChange>
              <w:rPr>
                <w:del w:id="10603" w:author="AbbVie14" w:date="2025-05-09T10:34:00Z"/>
                <w:sz w:val="22"/>
                <w:szCs w:val="22"/>
              </w:rPr>
            </w:pPr>
            <w:del w:id="10604" w:author="AbbVie14" w:date="2025-05-09T10:34:00Z">
              <w:r w:rsidRPr="00295E71">
                <w:rPr>
                  <w:sz w:val="22"/>
                  <w:szCs w:val="22"/>
                </w:rPr>
                <w:delText>17%</w:delText>
              </w:r>
            </w:del>
          </w:p>
        </w:tc>
        <w:tc>
          <w:tcPr>
            <w:tcW w:w="1928" w:type="dxa"/>
            <w:tcBorders>
              <w:top w:val="single" w:sz="4" w:space="0" w:color="auto"/>
              <w:left w:val="single" w:sz="4" w:space="0" w:color="auto"/>
              <w:bottom w:val="single" w:sz="4" w:space="0" w:color="auto"/>
              <w:right w:val="single" w:sz="4" w:space="0" w:color="auto"/>
            </w:tcBorders>
          </w:tcPr>
          <w:p w:rsidR="006224C2" w:rsidRPr="00295E71" w14:paraId="07CE51E0" w14:textId="77777777">
            <w:pPr>
              <w:keepNext/>
              <w:tabs>
                <w:tab w:val="left" w:pos="567"/>
                <w:tab w:val="left" w:pos="1294"/>
              </w:tabs>
              <w:autoSpaceDE w:val="0"/>
              <w:autoSpaceDN w:val="0"/>
              <w:adjustRightInd w:val="0"/>
              <w:jc w:val="both"/>
              <w:pPrChange w:id="10605" w:author="AbbVie14" w:date="2025-05-09T10:34:00Z">
                <w:pPr>
                  <w:pStyle w:val="TableText"/>
                  <w:spacing w:line="240" w:lineRule="exact"/>
                  <w:jc w:val="center"/>
                </w:pPr>
              </w:pPrChange>
              <w:rPr>
                <w:del w:id="10606" w:author="AbbVie14" w:date="2025-05-09T10:34:00Z"/>
                <w:sz w:val="22"/>
                <w:szCs w:val="22"/>
              </w:rPr>
            </w:pPr>
            <w:del w:id="10607" w:author="AbbVie14" w:date="2025-05-09T10:34:00Z">
              <w:r w:rsidRPr="00295E71">
                <w:rPr>
                  <w:sz w:val="22"/>
                  <w:szCs w:val="22"/>
                </w:rPr>
                <w:delText>40%*</w:delText>
              </w:r>
            </w:del>
          </w:p>
        </w:tc>
        <w:tc>
          <w:tcPr>
            <w:tcW w:w="1859" w:type="dxa"/>
            <w:tcBorders>
              <w:top w:val="single" w:sz="4" w:space="0" w:color="auto"/>
              <w:left w:val="single" w:sz="4" w:space="0" w:color="auto"/>
              <w:bottom w:val="single" w:sz="4" w:space="0" w:color="auto"/>
              <w:right w:val="single" w:sz="4" w:space="0" w:color="auto"/>
            </w:tcBorders>
          </w:tcPr>
          <w:p w:rsidR="006224C2" w:rsidRPr="00295E71" w14:paraId="1127B48D" w14:textId="77777777">
            <w:pPr>
              <w:keepNext/>
              <w:tabs>
                <w:tab w:val="left" w:pos="567"/>
                <w:tab w:val="left" w:pos="1294"/>
              </w:tabs>
              <w:autoSpaceDE w:val="0"/>
              <w:autoSpaceDN w:val="0"/>
              <w:adjustRightInd w:val="0"/>
              <w:jc w:val="both"/>
              <w:pPrChange w:id="10608" w:author="AbbVie14" w:date="2025-05-09T10:34:00Z">
                <w:pPr>
                  <w:pStyle w:val="TableText"/>
                  <w:spacing w:line="240" w:lineRule="exact"/>
                  <w:jc w:val="center"/>
                </w:pPr>
              </w:pPrChange>
              <w:rPr>
                <w:del w:id="10609" w:author="AbbVie14" w:date="2025-05-09T10:34:00Z"/>
                <w:sz w:val="22"/>
                <w:szCs w:val="22"/>
              </w:rPr>
            </w:pPr>
            <w:del w:id="10610" w:author="AbbVie14" w:date="2025-05-09T10:34:00Z">
              <w:r w:rsidRPr="00295E71">
                <w:rPr>
                  <w:sz w:val="22"/>
                  <w:szCs w:val="22"/>
                </w:rPr>
                <w:delText>47%*</w:delText>
              </w:r>
            </w:del>
          </w:p>
        </w:tc>
      </w:tr>
      <w:tr w14:paraId="06646BF8" w14:textId="77777777">
        <w:tblPrEx>
          <w:tblW w:w="0" w:type="auto"/>
          <w:tblLook w:val="0000"/>
        </w:tblPrEx>
        <w:trPr>
          <w:del w:id="10611" w:author="AbbVie14" w:date="2025-05-09T10:34:00Z"/>
        </w:trPr>
        <w:tc>
          <w:tcPr>
            <w:tcW w:w="3748" w:type="dxa"/>
            <w:tcBorders>
              <w:top w:val="single" w:sz="4" w:space="0" w:color="auto"/>
              <w:left w:val="single" w:sz="4" w:space="0" w:color="auto"/>
              <w:bottom w:val="single" w:sz="4" w:space="0" w:color="auto"/>
              <w:right w:val="single" w:sz="4" w:space="0" w:color="auto"/>
            </w:tcBorders>
          </w:tcPr>
          <w:p w:rsidR="006224C2" w:rsidRPr="00295E71" w14:paraId="11DA071B" w14:textId="77777777">
            <w:pPr>
              <w:keepNext/>
              <w:tabs>
                <w:tab w:val="left" w:pos="567"/>
                <w:tab w:val="left" w:pos="1294"/>
              </w:tabs>
              <w:autoSpaceDE w:val="0"/>
              <w:autoSpaceDN w:val="0"/>
              <w:adjustRightInd w:val="0"/>
              <w:jc w:val="both"/>
              <w:pPrChange w:id="10612" w:author="AbbVie14" w:date="2025-05-09T10:34:00Z">
                <w:pPr>
                  <w:pStyle w:val="TableText"/>
                  <w:spacing w:line="240" w:lineRule="exact"/>
                </w:pPr>
              </w:pPrChange>
              <w:rPr>
                <w:del w:id="10613" w:author="AbbVie14" w:date="2025-05-09T10:34:00Z"/>
                <w:sz w:val="22"/>
                <w:szCs w:val="22"/>
              </w:rPr>
            </w:pPr>
            <w:del w:id="10614" w:author="AbbVie14" w:date="2025-05-09T10:34:00Z">
              <w:r w:rsidRPr="00295E71">
                <w:rPr>
                  <w:sz w:val="22"/>
                  <w:szCs w:val="22"/>
                </w:rPr>
                <w:delText>Risposta clinica (CR-100)</w:delText>
              </w:r>
            </w:del>
          </w:p>
        </w:tc>
        <w:tc>
          <w:tcPr>
            <w:tcW w:w="1751" w:type="dxa"/>
            <w:tcBorders>
              <w:top w:val="single" w:sz="4" w:space="0" w:color="auto"/>
              <w:left w:val="single" w:sz="4" w:space="0" w:color="auto"/>
              <w:bottom w:val="single" w:sz="4" w:space="0" w:color="auto"/>
              <w:right w:val="single" w:sz="4" w:space="0" w:color="auto"/>
            </w:tcBorders>
          </w:tcPr>
          <w:p w:rsidR="006224C2" w:rsidRPr="00295E71" w14:paraId="744F4C28" w14:textId="77777777">
            <w:pPr>
              <w:keepNext/>
              <w:tabs>
                <w:tab w:val="left" w:pos="567"/>
                <w:tab w:val="left" w:pos="1294"/>
              </w:tabs>
              <w:autoSpaceDE w:val="0"/>
              <w:autoSpaceDN w:val="0"/>
              <w:adjustRightInd w:val="0"/>
              <w:jc w:val="both"/>
              <w:pPrChange w:id="10615" w:author="AbbVie14" w:date="2025-05-09T10:34:00Z">
                <w:pPr>
                  <w:pStyle w:val="TableText"/>
                  <w:spacing w:line="240" w:lineRule="exact"/>
                  <w:jc w:val="center"/>
                </w:pPr>
              </w:pPrChange>
              <w:rPr>
                <w:del w:id="10616" w:author="AbbVie14" w:date="2025-05-09T10:34:00Z"/>
                <w:sz w:val="22"/>
                <w:szCs w:val="22"/>
              </w:rPr>
            </w:pPr>
            <w:del w:id="10617" w:author="AbbVie14" w:date="2025-05-09T10:34:00Z">
              <w:r w:rsidRPr="00295E71">
                <w:rPr>
                  <w:sz w:val="22"/>
                  <w:szCs w:val="22"/>
                </w:rPr>
                <w:delText>27%</w:delText>
              </w:r>
            </w:del>
          </w:p>
        </w:tc>
        <w:tc>
          <w:tcPr>
            <w:tcW w:w="1928" w:type="dxa"/>
            <w:tcBorders>
              <w:top w:val="single" w:sz="4" w:space="0" w:color="auto"/>
              <w:left w:val="single" w:sz="4" w:space="0" w:color="auto"/>
              <w:bottom w:val="single" w:sz="4" w:space="0" w:color="auto"/>
              <w:right w:val="single" w:sz="4" w:space="0" w:color="auto"/>
            </w:tcBorders>
          </w:tcPr>
          <w:p w:rsidR="006224C2" w:rsidRPr="00295E71" w14:paraId="212980F6" w14:textId="77777777">
            <w:pPr>
              <w:keepNext/>
              <w:tabs>
                <w:tab w:val="left" w:pos="567"/>
                <w:tab w:val="left" w:pos="1294"/>
              </w:tabs>
              <w:autoSpaceDE w:val="0"/>
              <w:autoSpaceDN w:val="0"/>
              <w:adjustRightInd w:val="0"/>
              <w:jc w:val="both"/>
              <w:pPrChange w:id="10618" w:author="AbbVie14" w:date="2025-05-09T10:34:00Z">
                <w:pPr>
                  <w:pStyle w:val="TableText"/>
                  <w:spacing w:line="240" w:lineRule="exact"/>
                  <w:jc w:val="center"/>
                </w:pPr>
              </w:pPrChange>
              <w:rPr>
                <w:del w:id="10619" w:author="AbbVie14" w:date="2025-05-09T10:34:00Z"/>
                <w:sz w:val="22"/>
                <w:szCs w:val="22"/>
              </w:rPr>
            </w:pPr>
            <w:del w:id="10620" w:author="AbbVie14" w:date="2025-05-09T10:34:00Z">
              <w:r w:rsidRPr="00295E71">
                <w:rPr>
                  <w:sz w:val="22"/>
                  <w:szCs w:val="22"/>
                </w:rPr>
                <w:delText>52%*</w:delText>
              </w:r>
            </w:del>
          </w:p>
        </w:tc>
        <w:tc>
          <w:tcPr>
            <w:tcW w:w="1859" w:type="dxa"/>
            <w:tcBorders>
              <w:top w:val="single" w:sz="4" w:space="0" w:color="auto"/>
              <w:left w:val="single" w:sz="4" w:space="0" w:color="auto"/>
              <w:bottom w:val="single" w:sz="4" w:space="0" w:color="auto"/>
              <w:right w:val="single" w:sz="4" w:space="0" w:color="auto"/>
            </w:tcBorders>
          </w:tcPr>
          <w:p w:rsidR="006224C2" w:rsidRPr="00295E71" w14:paraId="50451C88" w14:textId="77777777">
            <w:pPr>
              <w:keepNext/>
              <w:tabs>
                <w:tab w:val="left" w:pos="567"/>
                <w:tab w:val="left" w:pos="1294"/>
              </w:tabs>
              <w:autoSpaceDE w:val="0"/>
              <w:autoSpaceDN w:val="0"/>
              <w:adjustRightInd w:val="0"/>
              <w:jc w:val="both"/>
              <w:pPrChange w:id="10621" w:author="AbbVie14" w:date="2025-05-09T10:34:00Z">
                <w:pPr>
                  <w:pStyle w:val="TableText"/>
                  <w:spacing w:line="240" w:lineRule="exact"/>
                  <w:jc w:val="center"/>
                </w:pPr>
              </w:pPrChange>
              <w:rPr>
                <w:del w:id="10622" w:author="AbbVie14" w:date="2025-05-09T10:34:00Z"/>
                <w:sz w:val="22"/>
                <w:szCs w:val="22"/>
              </w:rPr>
            </w:pPr>
            <w:del w:id="10623" w:author="AbbVie14" w:date="2025-05-09T10:34:00Z">
              <w:r w:rsidRPr="00295E71">
                <w:rPr>
                  <w:sz w:val="22"/>
                  <w:szCs w:val="22"/>
                </w:rPr>
                <w:delText>52%*</w:delText>
              </w:r>
            </w:del>
          </w:p>
        </w:tc>
      </w:tr>
      <w:tr w14:paraId="011E4570" w14:textId="77777777">
        <w:tblPrEx>
          <w:tblW w:w="0" w:type="auto"/>
          <w:tblLook w:val="0000"/>
        </w:tblPrEx>
        <w:trPr>
          <w:del w:id="10624" w:author="AbbVie14" w:date="2025-05-09T10:34:00Z"/>
        </w:trPr>
        <w:tc>
          <w:tcPr>
            <w:tcW w:w="3748" w:type="dxa"/>
            <w:tcBorders>
              <w:top w:val="single" w:sz="4" w:space="0" w:color="auto"/>
              <w:left w:val="single" w:sz="4" w:space="0" w:color="auto"/>
              <w:bottom w:val="single" w:sz="4" w:space="0" w:color="auto"/>
              <w:right w:val="single" w:sz="4" w:space="0" w:color="auto"/>
            </w:tcBorders>
          </w:tcPr>
          <w:p w:rsidR="006224C2" w:rsidRPr="00295E71" w14:paraId="558EC569" w14:textId="77777777">
            <w:pPr>
              <w:keepNext/>
              <w:tabs>
                <w:tab w:val="left" w:pos="567"/>
                <w:tab w:val="left" w:pos="1294"/>
              </w:tabs>
              <w:autoSpaceDE w:val="0"/>
              <w:autoSpaceDN w:val="0"/>
              <w:adjustRightInd w:val="0"/>
              <w:jc w:val="both"/>
              <w:pPrChange w:id="10625" w:author="AbbVie14" w:date="2025-05-09T10:34:00Z">
                <w:pPr>
                  <w:pStyle w:val="TableText"/>
                  <w:spacing w:line="240" w:lineRule="exact"/>
                  <w:ind w:left="360"/>
                </w:pPr>
              </w:pPrChange>
              <w:rPr>
                <w:del w:id="10626" w:author="AbbVie14" w:date="2025-05-09T10:34:00Z"/>
                <w:sz w:val="22"/>
                <w:szCs w:val="22"/>
              </w:rPr>
            </w:pPr>
            <w:del w:id="10627" w:author="AbbVie14" w:date="2025-05-09T10:34:00Z">
              <w:r w:rsidRPr="00295E71">
                <w:rPr>
                  <w:sz w:val="22"/>
                  <w:szCs w:val="22"/>
                </w:rPr>
                <w:delText xml:space="preserve">Pazienti in remissione senza trattamento steroideo </w:delText>
              </w:r>
            </w:del>
            <w:del w:id="10628" w:author="AbbVie14" w:date="2025-05-09T10:34:00Z">
              <w:r w:rsidRPr="00295E71">
                <w:rPr>
                  <w:sz w:val="22"/>
                  <w:szCs w:val="22"/>
                </w:rPr>
                <w:br/>
                <w:delText>per &gt;=90 giorni</w:delText>
              </w:r>
            </w:del>
            <w:del w:id="10629" w:author="AbbVie14" w:date="2025-05-09T10:34:00Z">
              <w:r w:rsidRPr="00295E71">
                <w:rPr>
                  <w:sz w:val="22"/>
                  <w:szCs w:val="22"/>
                  <w:vertAlign w:val="superscript"/>
                </w:rPr>
                <w:delText>a</w:delText>
              </w:r>
            </w:del>
          </w:p>
        </w:tc>
        <w:tc>
          <w:tcPr>
            <w:tcW w:w="1751" w:type="dxa"/>
            <w:tcBorders>
              <w:top w:val="single" w:sz="4" w:space="0" w:color="auto"/>
              <w:left w:val="single" w:sz="4" w:space="0" w:color="auto"/>
              <w:bottom w:val="single" w:sz="4" w:space="0" w:color="auto"/>
              <w:right w:val="single" w:sz="4" w:space="0" w:color="auto"/>
            </w:tcBorders>
          </w:tcPr>
          <w:p w:rsidR="006224C2" w:rsidRPr="00295E71" w14:paraId="61382F73" w14:textId="77777777">
            <w:pPr>
              <w:keepNext/>
              <w:tabs>
                <w:tab w:val="left" w:pos="567"/>
                <w:tab w:val="left" w:pos="1294"/>
              </w:tabs>
              <w:autoSpaceDE w:val="0"/>
              <w:autoSpaceDN w:val="0"/>
              <w:adjustRightInd w:val="0"/>
              <w:jc w:val="both"/>
              <w:pPrChange w:id="10630" w:author="AbbVie14" w:date="2025-05-09T10:34:00Z">
                <w:pPr>
                  <w:pStyle w:val="TableText"/>
                  <w:spacing w:line="240" w:lineRule="exact"/>
                  <w:jc w:val="center"/>
                </w:pPr>
              </w:pPrChange>
              <w:rPr>
                <w:del w:id="10631" w:author="AbbVie14" w:date="2025-05-09T10:34:00Z"/>
                <w:sz w:val="22"/>
                <w:szCs w:val="22"/>
              </w:rPr>
            </w:pPr>
            <w:del w:id="10632" w:author="AbbVie14" w:date="2025-05-09T10:34:00Z">
              <w:r w:rsidRPr="00295E71">
                <w:rPr>
                  <w:sz w:val="22"/>
                  <w:szCs w:val="22"/>
                </w:rPr>
                <w:delText>3% (2/66)</w:delText>
              </w:r>
            </w:del>
          </w:p>
        </w:tc>
        <w:tc>
          <w:tcPr>
            <w:tcW w:w="1928" w:type="dxa"/>
            <w:tcBorders>
              <w:top w:val="single" w:sz="4" w:space="0" w:color="auto"/>
              <w:left w:val="single" w:sz="4" w:space="0" w:color="auto"/>
              <w:bottom w:val="single" w:sz="4" w:space="0" w:color="auto"/>
              <w:right w:val="single" w:sz="4" w:space="0" w:color="auto"/>
            </w:tcBorders>
          </w:tcPr>
          <w:p w:rsidR="006224C2" w:rsidRPr="00295E71" w14:paraId="4381349B" w14:textId="77777777">
            <w:pPr>
              <w:keepNext/>
              <w:tabs>
                <w:tab w:val="left" w:pos="567"/>
                <w:tab w:val="left" w:pos="1294"/>
              </w:tabs>
              <w:autoSpaceDE w:val="0"/>
              <w:autoSpaceDN w:val="0"/>
              <w:adjustRightInd w:val="0"/>
              <w:jc w:val="both"/>
              <w:pPrChange w:id="10633" w:author="AbbVie14" w:date="2025-05-09T10:34:00Z">
                <w:pPr>
                  <w:pStyle w:val="TableText"/>
                  <w:spacing w:line="240" w:lineRule="exact"/>
                  <w:jc w:val="center"/>
                </w:pPr>
              </w:pPrChange>
              <w:rPr>
                <w:del w:id="10634" w:author="AbbVie14" w:date="2025-05-09T10:34:00Z"/>
                <w:sz w:val="22"/>
                <w:szCs w:val="22"/>
              </w:rPr>
            </w:pPr>
            <w:del w:id="10635" w:author="AbbVie14" w:date="2025-05-09T10:34:00Z">
              <w:r w:rsidRPr="00295E71">
                <w:rPr>
                  <w:sz w:val="22"/>
                  <w:szCs w:val="22"/>
                </w:rPr>
                <w:delText>19% (11/58)**</w:delText>
              </w:r>
            </w:del>
          </w:p>
        </w:tc>
        <w:tc>
          <w:tcPr>
            <w:tcW w:w="1859" w:type="dxa"/>
            <w:tcBorders>
              <w:top w:val="single" w:sz="4" w:space="0" w:color="auto"/>
              <w:left w:val="single" w:sz="4" w:space="0" w:color="auto"/>
              <w:bottom w:val="single" w:sz="4" w:space="0" w:color="auto"/>
              <w:right w:val="single" w:sz="4" w:space="0" w:color="auto"/>
            </w:tcBorders>
          </w:tcPr>
          <w:p w:rsidR="006224C2" w:rsidRPr="00295E71" w14:paraId="4ECBF261" w14:textId="77777777">
            <w:pPr>
              <w:keepNext/>
              <w:tabs>
                <w:tab w:val="left" w:pos="567"/>
                <w:tab w:val="left" w:pos="1294"/>
              </w:tabs>
              <w:autoSpaceDE w:val="0"/>
              <w:autoSpaceDN w:val="0"/>
              <w:adjustRightInd w:val="0"/>
              <w:jc w:val="both"/>
              <w:pPrChange w:id="10636" w:author="AbbVie14" w:date="2025-05-09T10:34:00Z">
                <w:pPr>
                  <w:pStyle w:val="TableText"/>
                  <w:spacing w:line="240" w:lineRule="exact"/>
                  <w:jc w:val="center"/>
                </w:pPr>
              </w:pPrChange>
              <w:rPr>
                <w:del w:id="10637" w:author="AbbVie14" w:date="2025-05-09T10:34:00Z"/>
                <w:sz w:val="22"/>
                <w:szCs w:val="22"/>
              </w:rPr>
            </w:pPr>
            <w:del w:id="10638" w:author="AbbVie14" w:date="2025-05-09T10:34:00Z">
              <w:r w:rsidRPr="00295E71">
                <w:rPr>
                  <w:sz w:val="22"/>
                  <w:szCs w:val="22"/>
                </w:rPr>
                <w:delText>15% (11/74)**</w:delText>
              </w:r>
            </w:del>
          </w:p>
        </w:tc>
      </w:tr>
      <w:tr w14:paraId="61A3B9F5" w14:textId="77777777">
        <w:tblPrEx>
          <w:tblW w:w="0" w:type="auto"/>
          <w:tblLook w:val="0000"/>
        </w:tblPrEx>
        <w:trPr>
          <w:del w:id="10639" w:author="AbbVie14" w:date="2025-05-09T10:34:00Z"/>
        </w:trPr>
        <w:tc>
          <w:tcPr>
            <w:tcW w:w="3748" w:type="dxa"/>
            <w:tcBorders>
              <w:top w:val="single" w:sz="4" w:space="0" w:color="auto"/>
              <w:left w:val="single" w:sz="4" w:space="0" w:color="auto"/>
              <w:bottom w:val="single" w:sz="4" w:space="0" w:color="auto"/>
              <w:right w:val="single" w:sz="4" w:space="0" w:color="auto"/>
            </w:tcBorders>
          </w:tcPr>
          <w:p w:rsidR="006224C2" w:rsidRPr="00295E71" w14:paraId="015A9722" w14:textId="77777777">
            <w:pPr>
              <w:keepNext/>
              <w:tabs>
                <w:tab w:val="left" w:pos="567"/>
                <w:tab w:val="left" w:pos="1294"/>
              </w:tabs>
              <w:autoSpaceDE w:val="0"/>
              <w:autoSpaceDN w:val="0"/>
              <w:adjustRightInd w:val="0"/>
              <w:jc w:val="both"/>
              <w:pPrChange w:id="10640" w:author="AbbVie14" w:date="2025-05-09T10:34:00Z">
                <w:pPr>
                  <w:pStyle w:val="TableText"/>
                  <w:spacing w:line="240" w:lineRule="exact"/>
                </w:pPr>
              </w:pPrChange>
              <w:rPr>
                <w:del w:id="10641" w:author="AbbVie14" w:date="2025-05-09T10:34:00Z"/>
                <w:b/>
                <w:bCs/>
                <w:sz w:val="22"/>
                <w:szCs w:val="22"/>
              </w:rPr>
            </w:pPr>
            <w:del w:id="10642" w:author="AbbVie14" w:date="2025-05-09T10:34:00Z">
              <w:r w:rsidRPr="00295E71">
                <w:rPr>
                  <w:b/>
                  <w:bCs/>
                  <w:sz w:val="22"/>
                  <w:szCs w:val="22"/>
                </w:rPr>
                <w:delText>Settimana 56</w:delText>
              </w:r>
            </w:del>
          </w:p>
        </w:tc>
        <w:tc>
          <w:tcPr>
            <w:tcW w:w="1751" w:type="dxa"/>
            <w:tcBorders>
              <w:top w:val="single" w:sz="4" w:space="0" w:color="auto"/>
              <w:left w:val="single" w:sz="4" w:space="0" w:color="auto"/>
              <w:bottom w:val="single" w:sz="4" w:space="0" w:color="auto"/>
              <w:right w:val="single" w:sz="4" w:space="0" w:color="auto"/>
            </w:tcBorders>
          </w:tcPr>
          <w:p w:rsidR="006224C2" w:rsidRPr="00295E71" w14:paraId="0B64A4BC" w14:textId="77777777">
            <w:pPr>
              <w:keepNext/>
              <w:tabs>
                <w:tab w:val="left" w:pos="567"/>
                <w:tab w:val="left" w:pos="1294"/>
              </w:tabs>
              <w:autoSpaceDE w:val="0"/>
              <w:autoSpaceDN w:val="0"/>
              <w:adjustRightInd w:val="0"/>
              <w:jc w:val="both"/>
              <w:pPrChange w:id="10643" w:author="AbbVie14" w:date="2025-05-09T10:34:00Z">
                <w:pPr>
                  <w:pStyle w:val="TableText"/>
                  <w:spacing w:line="240" w:lineRule="exact"/>
                  <w:jc w:val="center"/>
                </w:pPr>
              </w:pPrChange>
              <w:rPr>
                <w:del w:id="10644" w:author="AbbVie14" w:date="2025-05-09T10:34:00Z"/>
                <w:b/>
                <w:bCs/>
                <w:sz w:val="22"/>
                <w:szCs w:val="22"/>
              </w:rPr>
            </w:pPr>
            <w:del w:id="10645" w:author="AbbVie14" w:date="2025-05-09T10:34:00Z">
              <w:r w:rsidRPr="00295E71">
                <w:rPr>
                  <w:b/>
                  <w:bCs/>
                  <w:sz w:val="22"/>
                  <w:szCs w:val="22"/>
                </w:rPr>
                <w:delText>N=170</w:delText>
              </w:r>
            </w:del>
          </w:p>
        </w:tc>
        <w:tc>
          <w:tcPr>
            <w:tcW w:w="1928" w:type="dxa"/>
            <w:tcBorders>
              <w:top w:val="single" w:sz="4" w:space="0" w:color="auto"/>
              <w:left w:val="single" w:sz="4" w:space="0" w:color="auto"/>
              <w:bottom w:val="single" w:sz="4" w:space="0" w:color="auto"/>
              <w:right w:val="single" w:sz="4" w:space="0" w:color="auto"/>
            </w:tcBorders>
          </w:tcPr>
          <w:p w:rsidR="006224C2" w:rsidRPr="00295E71" w14:paraId="2F1073CF" w14:textId="77777777">
            <w:pPr>
              <w:keepNext/>
              <w:tabs>
                <w:tab w:val="left" w:pos="567"/>
                <w:tab w:val="left" w:pos="1294"/>
              </w:tabs>
              <w:autoSpaceDE w:val="0"/>
              <w:autoSpaceDN w:val="0"/>
              <w:adjustRightInd w:val="0"/>
              <w:jc w:val="both"/>
              <w:pPrChange w:id="10646" w:author="AbbVie14" w:date="2025-05-09T10:34:00Z">
                <w:pPr>
                  <w:pStyle w:val="TableText"/>
                  <w:spacing w:line="240" w:lineRule="exact"/>
                  <w:jc w:val="center"/>
                </w:pPr>
              </w:pPrChange>
              <w:rPr>
                <w:del w:id="10647" w:author="AbbVie14" w:date="2025-05-09T10:34:00Z"/>
                <w:b/>
                <w:bCs/>
                <w:sz w:val="22"/>
                <w:szCs w:val="22"/>
              </w:rPr>
            </w:pPr>
            <w:del w:id="10648" w:author="AbbVie14" w:date="2025-05-09T10:34:00Z">
              <w:r w:rsidRPr="00295E71">
                <w:rPr>
                  <w:b/>
                  <w:bCs/>
                  <w:sz w:val="22"/>
                  <w:szCs w:val="22"/>
                </w:rPr>
                <w:delText>N=172</w:delText>
              </w:r>
            </w:del>
          </w:p>
        </w:tc>
        <w:tc>
          <w:tcPr>
            <w:tcW w:w="1859" w:type="dxa"/>
            <w:tcBorders>
              <w:top w:val="single" w:sz="4" w:space="0" w:color="auto"/>
              <w:left w:val="single" w:sz="4" w:space="0" w:color="auto"/>
              <w:bottom w:val="single" w:sz="4" w:space="0" w:color="auto"/>
              <w:right w:val="single" w:sz="4" w:space="0" w:color="auto"/>
            </w:tcBorders>
          </w:tcPr>
          <w:p w:rsidR="006224C2" w:rsidRPr="00295E71" w14:paraId="25379D8C" w14:textId="77777777">
            <w:pPr>
              <w:keepNext/>
              <w:tabs>
                <w:tab w:val="left" w:pos="567"/>
                <w:tab w:val="left" w:pos="1294"/>
              </w:tabs>
              <w:autoSpaceDE w:val="0"/>
              <w:autoSpaceDN w:val="0"/>
              <w:adjustRightInd w:val="0"/>
              <w:jc w:val="both"/>
              <w:pPrChange w:id="10649" w:author="AbbVie14" w:date="2025-05-09T10:34:00Z">
                <w:pPr>
                  <w:pStyle w:val="TableText"/>
                  <w:spacing w:line="240" w:lineRule="exact"/>
                  <w:jc w:val="center"/>
                </w:pPr>
              </w:pPrChange>
              <w:rPr>
                <w:del w:id="10650" w:author="AbbVie14" w:date="2025-05-09T10:34:00Z"/>
                <w:b/>
                <w:bCs/>
                <w:sz w:val="22"/>
                <w:szCs w:val="22"/>
              </w:rPr>
            </w:pPr>
            <w:del w:id="10651" w:author="AbbVie14" w:date="2025-05-09T10:34:00Z">
              <w:r w:rsidRPr="00295E71">
                <w:rPr>
                  <w:b/>
                  <w:bCs/>
                  <w:sz w:val="22"/>
                  <w:szCs w:val="22"/>
                </w:rPr>
                <w:delText>N=157</w:delText>
              </w:r>
            </w:del>
          </w:p>
        </w:tc>
      </w:tr>
      <w:tr w14:paraId="54FEFD59" w14:textId="77777777">
        <w:tblPrEx>
          <w:tblW w:w="0" w:type="auto"/>
          <w:tblLook w:val="0000"/>
        </w:tblPrEx>
        <w:trPr>
          <w:del w:id="10652" w:author="AbbVie14" w:date="2025-05-09T10:34:00Z"/>
        </w:trPr>
        <w:tc>
          <w:tcPr>
            <w:tcW w:w="3748" w:type="dxa"/>
            <w:tcBorders>
              <w:top w:val="single" w:sz="4" w:space="0" w:color="auto"/>
              <w:left w:val="single" w:sz="4" w:space="0" w:color="auto"/>
              <w:bottom w:val="single" w:sz="4" w:space="0" w:color="auto"/>
              <w:right w:val="single" w:sz="4" w:space="0" w:color="auto"/>
            </w:tcBorders>
          </w:tcPr>
          <w:p w:rsidR="006224C2" w:rsidRPr="00295E71" w14:paraId="6121CB63" w14:textId="77777777">
            <w:pPr>
              <w:keepNext/>
              <w:tabs>
                <w:tab w:val="left" w:pos="567"/>
                <w:tab w:val="left" w:pos="1294"/>
              </w:tabs>
              <w:autoSpaceDE w:val="0"/>
              <w:autoSpaceDN w:val="0"/>
              <w:adjustRightInd w:val="0"/>
              <w:jc w:val="both"/>
              <w:pPrChange w:id="10653" w:author="AbbVie14" w:date="2025-05-09T10:34:00Z">
                <w:pPr>
                  <w:pStyle w:val="TableText"/>
                  <w:spacing w:line="240" w:lineRule="exact"/>
                </w:pPr>
              </w:pPrChange>
              <w:rPr>
                <w:del w:id="10654" w:author="AbbVie14" w:date="2025-05-09T10:34:00Z"/>
                <w:sz w:val="22"/>
                <w:szCs w:val="22"/>
              </w:rPr>
            </w:pPr>
            <w:del w:id="10655" w:author="AbbVie14" w:date="2025-05-09T10:34:00Z">
              <w:r w:rsidRPr="00295E71">
                <w:rPr>
                  <w:sz w:val="22"/>
                  <w:szCs w:val="22"/>
                </w:rPr>
                <w:delText xml:space="preserve">Remissione clinica </w:delText>
              </w:r>
            </w:del>
          </w:p>
        </w:tc>
        <w:tc>
          <w:tcPr>
            <w:tcW w:w="1751" w:type="dxa"/>
            <w:tcBorders>
              <w:top w:val="single" w:sz="4" w:space="0" w:color="auto"/>
              <w:left w:val="single" w:sz="4" w:space="0" w:color="auto"/>
              <w:bottom w:val="single" w:sz="4" w:space="0" w:color="auto"/>
              <w:right w:val="single" w:sz="4" w:space="0" w:color="auto"/>
            </w:tcBorders>
          </w:tcPr>
          <w:p w:rsidR="006224C2" w:rsidRPr="00295E71" w14:paraId="68847791" w14:textId="77777777">
            <w:pPr>
              <w:keepNext/>
              <w:tabs>
                <w:tab w:val="left" w:pos="567"/>
                <w:tab w:val="left" w:pos="1294"/>
              </w:tabs>
              <w:autoSpaceDE w:val="0"/>
              <w:autoSpaceDN w:val="0"/>
              <w:adjustRightInd w:val="0"/>
              <w:jc w:val="both"/>
              <w:pPrChange w:id="10656" w:author="AbbVie14" w:date="2025-05-09T10:34:00Z">
                <w:pPr>
                  <w:pStyle w:val="TableText"/>
                  <w:spacing w:line="240" w:lineRule="exact"/>
                  <w:jc w:val="center"/>
                </w:pPr>
              </w:pPrChange>
              <w:rPr>
                <w:del w:id="10657" w:author="AbbVie14" w:date="2025-05-09T10:34:00Z"/>
                <w:sz w:val="22"/>
                <w:szCs w:val="22"/>
              </w:rPr>
            </w:pPr>
            <w:del w:id="10658" w:author="AbbVie14" w:date="2025-05-09T10:34:00Z">
              <w:r w:rsidRPr="00295E71">
                <w:rPr>
                  <w:sz w:val="22"/>
                  <w:szCs w:val="22"/>
                </w:rPr>
                <w:delText>12%</w:delText>
              </w:r>
            </w:del>
          </w:p>
        </w:tc>
        <w:tc>
          <w:tcPr>
            <w:tcW w:w="1928" w:type="dxa"/>
            <w:tcBorders>
              <w:top w:val="single" w:sz="4" w:space="0" w:color="auto"/>
              <w:left w:val="single" w:sz="4" w:space="0" w:color="auto"/>
              <w:bottom w:val="single" w:sz="4" w:space="0" w:color="auto"/>
              <w:right w:val="single" w:sz="4" w:space="0" w:color="auto"/>
            </w:tcBorders>
          </w:tcPr>
          <w:p w:rsidR="006224C2" w:rsidRPr="00295E71" w14:paraId="3CEBF761" w14:textId="77777777">
            <w:pPr>
              <w:keepNext/>
              <w:tabs>
                <w:tab w:val="left" w:pos="567"/>
                <w:tab w:val="left" w:pos="1294"/>
              </w:tabs>
              <w:autoSpaceDE w:val="0"/>
              <w:autoSpaceDN w:val="0"/>
              <w:adjustRightInd w:val="0"/>
              <w:jc w:val="both"/>
              <w:pPrChange w:id="10659" w:author="AbbVie14" w:date="2025-05-09T10:34:00Z">
                <w:pPr>
                  <w:pStyle w:val="TableText"/>
                  <w:spacing w:line="240" w:lineRule="exact"/>
                  <w:jc w:val="center"/>
                </w:pPr>
              </w:pPrChange>
              <w:rPr>
                <w:del w:id="10660" w:author="AbbVie14" w:date="2025-05-09T10:34:00Z"/>
                <w:sz w:val="22"/>
                <w:szCs w:val="22"/>
              </w:rPr>
            </w:pPr>
            <w:del w:id="10661" w:author="AbbVie14" w:date="2025-05-09T10:34:00Z">
              <w:r w:rsidRPr="00295E71">
                <w:rPr>
                  <w:sz w:val="22"/>
                  <w:szCs w:val="22"/>
                </w:rPr>
                <w:delText>36%*</w:delText>
              </w:r>
            </w:del>
          </w:p>
        </w:tc>
        <w:tc>
          <w:tcPr>
            <w:tcW w:w="1859" w:type="dxa"/>
            <w:tcBorders>
              <w:top w:val="single" w:sz="4" w:space="0" w:color="auto"/>
              <w:left w:val="single" w:sz="4" w:space="0" w:color="auto"/>
              <w:bottom w:val="single" w:sz="4" w:space="0" w:color="auto"/>
              <w:right w:val="single" w:sz="4" w:space="0" w:color="auto"/>
            </w:tcBorders>
          </w:tcPr>
          <w:p w:rsidR="006224C2" w:rsidRPr="00295E71" w14:paraId="437E07D3" w14:textId="77777777">
            <w:pPr>
              <w:keepNext/>
              <w:tabs>
                <w:tab w:val="left" w:pos="567"/>
                <w:tab w:val="left" w:pos="1294"/>
              </w:tabs>
              <w:autoSpaceDE w:val="0"/>
              <w:autoSpaceDN w:val="0"/>
              <w:adjustRightInd w:val="0"/>
              <w:jc w:val="both"/>
              <w:pPrChange w:id="10662" w:author="AbbVie14" w:date="2025-05-09T10:34:00Z">
                <w:pPr>
                  <w:pStyle w:val="TableText"/>
                  <w:spacing w:line="240" w:lineRule="exact"/>
                  <w:jc w:val="center"/>
                </w:pPr>
              </w:pPrChange>
              <w:rPr>
                <w:del w:id="10663" w:author="AbbVie14" w:date="2025-05-09T10:34:00Z"/>
                <w:sz w:val="22"/>
                <w:szCs w:val="22"/>
              </w:rPr>
            </w:pPr>
            <w:del w:id="10664" w:author="AbbVie14" w:date="2025-05-09T10:34:00Z">
              <w:r w:rsidRPr="00295E71">
                <w:rPr>
                  <w:sz w:val="22"/>
                  <w:szCs w:val="22"/>
                </w:rPr>
                <w:delText>41%*</w:delText>
              </w:r>
            </w:del>
          </w:p>
        </w:tc>
      </w:tr>
      <w:tr w14:paraId="00E54A67" w14:textId="77777777">
        <w:tblPrEx>
          <w:tblW w:w="0" w:type="auto"/>
          <w:tblLook w:val="0000"/>
        </w:tblPrEx>
        <w:trPr>
          <w:del w:id="10665" w:author="AbbVie14" w:date="2025-05-09T10:34:00Z"/>
        </w:trPr>
        <w:tc>
          <w:tcPr>
            <w:tcW w:w="3748" w:type="dxa"/>
            <w:tcBorders>
              <w:top w:val="single" w:sz="4" w:space="0" w:color="auto"/>
              <w:left w:val="single" w:sz="4" w:space="0" w:color="auto"/>
              <w:bottom w:val="single" w:sz="4" w:space="0" w:color="auto"/>
              <w:right w:val="single" w:sz="4" w:space="0" w:color="auto"/>
            </w:tcBorders>
          </w:tcPr>
          <w:p w:rsidR="006224C2" w:rsidRPr="00295E71" w14:paraId="554A150D" w14:textId="77777777">
            <w:pPr>
              <w:keepNext/>
              <w:tabs>
                <w:tab w:val="left" w:pos="567"/>
                <w:tab w:val="left" w:pos="1294"/>
              </w:tabs>
              <w:autoSpaceDE w:val="0"/>
              <w:autoSpaceDN w:val="0"/>
              <w:adjustRightInd w:val="0"/>
              <w:jc w:val="both"/>
              <w:pPrChange w:id="10666" w:author="AbbVie14" w:date="2025-05-09T10:34:00Z">
                <w:pPr>
                  <w:pStyle w:val="TableText"/>
                  <w:spacing w:line="240" w:lineRule="exact"/>
                </w:pPr>
              </w:pPrChange>
              <w:rPr>
                <w:del w:id="10667" w:author="AbbVie14" w:date="2025-05-09T10:34:00Z"/>
                <w:sz w:val="22"/>
                <w:szCs w:val="22"/>
              </w:rPr>
            </w:pPr>
            <w:del w:id="10668" w:author="AbbVie14" w:date="2025-05-09T10:34:00Z">
              <w:r w:rsidRPr="00295E71">
                <w:rPr>
                  <w:sz w:val="22"/>
                  <w:szCs w:val="22"/>
                </w:rPr>
                <w:delText>Risposta clinica (CR-100)</w:delText>
              </w:r>
            </w:del>
          </w:p>
        </w:tc>
        <w:tc>
          <w:tcPr>
            <w:tcW w:w="1751" w:type="dxa"/>
            <w:tcBorders>
              <w:top w:val="single" w:sz="4" w:space="0" w:color="auto"/>
              <w:left w:val="single" w:sz="4" w:space="0" w:color="auto"/>
              <w:bottom w:val="single" w:sz="4" w:space="0" w:color="auto"/>
              <w:right w:val="single" w:sz="4" w:space="0" w:color="auto"/>
            </w:tcBorders>
          </w:tcPr>
          <w:p w:rsidR="006224C2" w:rsidRPr="00295E71" w14:paraId="161665C6" w14:textId="77777777">
            <w:pPr>
              <w:keepNext/>
              <w:tabs>
                <w:tab w:val="left" w:pos="567"/>
                <w:tab w:val="left" w:pos="1294"/>
              </w:tabs>
              <w:autoSpaceDE w:val="0"/>
              <w:autoSpaceDN w:val="0"/>
              <w:adjustRightInd w:val="0"/>
              <w:jc w:val="both"/>
              <w:pPrChange w:id="10669" w:author="AbbVie14" w:date="2025-05-09T10:34:00Z">
                <w:pPr>
                  <w:pStyle w:val="TableText"/>
                  <w:spacing w:line="240" w:lineRule="exact"/>
                  <w:jc w:val="center"/>
                </w:pPr>
              </w:pPrChange>
              <w:rPr>
                <w:del w:id="10670" w:author="AbbVie14" w:date="2025-05-09T10:34:00Z"/>
                <w:sz w:val="22"/>
                <w:szCs w:val="22"/>
              </w:rPr>
            </w:pPr>
            <w:del w:id="10671" w:author="AbbVie14" w:date="2025-05-09T10:34:00Z">
              <w:r w:rsidRPr="00295E71">
                <w:rPr>
                  <w:sz w:val="22"/>
                  <w:szCs w:val="22"/>
                </w:rPr>
                <w:delText>17%</w:delText>
              </w:r>
            </w:del>
          </w:p>
        </w:tc>
        <w:tc>
          <w:tcPr>
            <w:tcW w:w="1928" w:type="dxa"/>
            <w:tcBorders>
              <w:top w:val="single" w:sz="4" w:space="0" w:color="auto"/>
              <w:left w:val="single" w:sz="4" w:space="0" w:color="auto"/>
              <w:bottom w:val="single" w:sz="4" w:space="0" w:color="auto"/>
              <w:right w:val="single" w:sz="4" w:space="0" w:color="auto"/>
            </w:tcBorders>
          </w:tcPr>
          <w:p w:rsidR="006224C2" w:rsidRPr="00295E71" w14:paraId="744B0C6E" w14:textId="77777777">
            <w:pPr>
              <w:keepNext/>
              <w:tabs>
                <w:tab w:val="left" w:pos="567"/>
                <w:tab w:val="left" w:pos="1294"/>
              </w:tabs>
              <w:autoSpaceDE w:val="0"/>
              <w:autoSpaceDN w:val="0"/>
              <w:adjustRightInd w:val="0"/>
              <w:jc w:val="both"/>
              <w:pPrChange w:id="10672" w:author="AbbVie14" w:date="2025-05-09T10:34:00Z">
                <w:pPr>
                  <w:pStyle w:val="TableText"/>
                  <w:spacing w:line="240" w:lineRule="exact"/>
                  <w:jc w:val="center"/>
                </w:pPr>
              </w:pPrChange>
              <w:rPr>
                <w:del w:id="10673" w:author="AbbVie14" w:date="2025-05-09T10:34:00Z"/>
                <w:sz w:val="22"/>
                <w:szCs w:val="22"/>
              </w:rPr>
            </w:pPr>
            <w:del w:id="10674" w:author="AbbVie14" w:date="2025-05-09T10:34:00Z">
              <w:r w:rsidRPr="00295E71">
                <w:rPr>
                  <w:sz w:val="22"/>
                  <w:szCs w:val="22"/>
                </w:rPr>
                <w:delText>41%*</w:delText>
              </w:r>
            </w:del>
          </w:p>
        </w:tc>
        <w:tc>
          <w:tcPr>
            <w:tcW w:w="1859" w:type="dxa"/>
            <w:tcBorders>
              <w:top w:val="single" w:sz="4" w:space="0" w:color="auto"/>
              <w:left w:val="single" w:sz="4" w:space="0" w:color="auto"/>
              <w:bottom w:val="single" w:sz="4" w:space="0" w:color="auto"/>
              <w:right w:val="single" w:sz="4" w:space="0" w:color="auto"/>
            </w:tcBorders>
          </w:tcPr>
          <w:p w:rsidR="006224C2" w:rsidRPr="00295E71" w14:paraId="7E28DE4E" w14:textId="77777777">
            <w:pPr>
              <w:keepNext/>
              <w:tabs>
                <w:tab w:val="left" w:pos="567"/>
                <w:tab w:val="left" w:pos="1294"/>
              </w:tabs>
              <w:autoSpaceDE w:val="0"/>
              <w:autoSpaceDN w:val="0"/>
              <w:adjustRightInd w:val="0"/>
              <w:jc w:val="both"/>
              <w:pPrChange w:id="10675" w:author="AbbVie14" w:date="2025-05-09T10:34:00Z">
                <w:pPr>
                  <w:pStyle w:val="TableText"/>
                  <w:spacing w:line="240" w:lineRule="exact"/>
                  <w:jc w:val="center"/>
                </w:pPr>
              </w:pPrChange>
              <w:rPr>
                <w:del w:id="10676" w:author="AbbVie14" w:date="2025-05-09T10:34:00Z"/>
                <w:sz w:val="22"/>
                <w:szCs w:val="22"/>
              </w:rPr>
            </w:pPr>
            <w:del w:id="10677" w:author="AbbVie14" w:date="2025-05-09T10:34:00Z">
              <w:r w:rsidRPr="00295E71">
                <w:rPr>
                  <w:sz w:val="22"/>
                  <w:szCs w:val="22"/>
                </w:rPr>
                <w:delText>48%*</w:delText>
              </w:r>
            </w:del>
          </w:p>
        </w:tc>
      </w:tr>
      <w:tr w14:paraId="054C9E74" w14:textId="77777777">
        <w:tblPrEx>
          <w:tblW w:w="0" w:type="auto"/>
          <w:tblLook w:val="0000"/>
        </w:tblPrEx>
        <w:trPr>
          <w:del w:id="10678" w:author="AbbVie14" w:date="2025-05-09T10:34:00Z"/>
        </w:trPr>
        <w:tc>
          <w:tcPr>
            <w:tcW w:w="3748" w:type="dxa"/>
            <w:tcBorders>
              <w:top w:val="single" w:sz="4" w:space="0" w:color="auto"/>
              <w:left w:val="single" w:sz="4" w:space="0" w:color="auto"/>
              <w:bottom w:val="single" w:sz="4" w:space="0" w:color="auto"/>
              <w:right w:val="single" w:sz="4" w:space="0" w:color="auto"/>
            </w:tcBorders>
          </w:tcPr>
          <w:p w:rsidR="006224C2" w:rsidRPr="00295E71" w14:paraId="776412D4" w14:textId="77777777">
            <w:pPr>
              <w:keepNext/>
              <w:tabs>
                <w:tab w:val="left" w:pos="567"/>
                <w:tab w:val="left" w:pos="1294"/>
              </w:tabs>
              <w:autoSpaceDE w:val="0"/>
              <w:autoSpaceDN w:val="0"/>
              <w:adjustRightInd w:val="0"/>
              <w:jc w:val="both"/>
              <w:pPrChange w:id="10679" w:author="AbbVie14" w:date="2025-05-09T10:34:00Z">
                <w:pPr>
                  <w:pStyle w:val="TableText"/>
                  <w:spacing w:line="240" w:lineRule="exact"/>
                  <w:ind w:left="360"/>
                </w:pPr>
              </w:pPrChange>
              <w:rPr>
                <w:del w:id="10680" w:author="AbbVie14" w:date="2025-05-09T10:34:00Z"/>
                <w:sz w:val="22"/>
                <w:szCs w:val="22"/>
              </w:rPr>
            </w:pPr>
            <w:del w:id="10681" w:author="AbbVie14" w:date="2025-05-09T10:34:00Z">
              <w:r w:rsidRPr="00295E71">
                <w:rPr>
                  <w:sz w:val="22"/>
                  <w:szCs w:val="22"/>
                </w:rPr>
                <w:delText xml:space="preserve">Pazienti in remissione senza trattamento steroideo </w:delText>
              </w:r>
            </w:del>
            <w:del w:id="10682" w:author="AbbVie14" w:date="2025-05-09T10:34:00Z">
              <w:r w:rsidRPr="00295E71">
                <w:rPr>
                  <w:sz w:val="22"/>
                  <w:szCs w:val="22"/>
                </w:rPr>
                <w:br/>
              </w:r>
            </w:del>
            <w:del w:id="10683" w:author="AbbVie14" w:date="2025-05-09T10:34:00Z">
              <w:r w:rsidRPr="00295E71" w:rsidR="000B152B">
                <w:rPr>
                  <w:sz w:val="22"/>
                  <w:szCs w:val="22"/>
                </w:rPr>
                <w:delText xml:space="preserve">per </w:delText>
              </w:r>
            </w:del>
            <w:del w:id="10684" w:author="AbbVie14" w:date="2025-05-09T10:34:00Z">
              <w:r w:rsidRPr="00295E71">
                <w:rPr>
                  <w:sz w:val="22"/>
                  <w:szCs w:val="22"/>
                </w:rPr>
                <w:delText>&gt;=90 giorni</w:delText>
              </w:r>
            </w:del>
            <w:del w:id="10685" w:author="AbbVie14" w:date="2025-05-09T10:34:00Z">
              <w:r w:rsidRPr="00295E71">
                <w:rPr>
                  <w:sz w:val="22"/>
                  <w:szCs w:val="22"/>
                  <w:vertAlign w:val="superscript"/>
                </w:rPr>
                <w:delText>a</w:delText>
              </w:r>
            </w:del>
          </w:p>
        </w:tc>
        <w:tc>
          <w:tcPr>
            <w:tcW w:w="1751" w:type="dxa"/>
            <w:tcBorders>
              <w:top w:val="single" w:sz="4" w:space="0" w:color="auto"/>
              <w:left w:val="single" w:sz="4" w:space="0" w:color="auto"/>
              <w:bottom w:val="single" w:sz="4" w:space="0" w:color="auto"/>
              <w:right w:val="single" w:sz="4" w:space="0" w:color="auto"/>
            </w:tcBorders>
          </w:tcPr>
          <w:p w:rsidR="006224C2" w:rsidRPr="00295E71" w14:paraId="55333ECF" w14:textId="77777777">
            <w:pPr>
              <w:keepNext/>
              <w:tabs>
                <w:tab w:val="left" w:pos="567"/>
                <w:tab w:val="left" w:pos="1294"/>
              </w:tabs>
              <w:autoSpaceDE w:val="0"/>
              <w:autoSpaceDN w:val="0"/>
              <w:adjustRightInd w:val="0"/>
              <w:jc w:val="both"/>
              <w:pPrChange w:id="10686" w:author="AbbVie14" w:date="2025-05-09T10:34:00Z">
                <w:pPr>
                  <w:pStyle w:val="TableText"/>
                  <w:spacing w:line="240" w:lineRule="exact"/>
                  <w:jc w:val="center"/>
                </w:pPr>
              </w:pPrChange>
              <w:rPr>
                <w:del w:id="10687" w:author="AbbVie14" w:date="2025-05-09T10:34:00Z"/>
                <w:sz w:val="22"/>
                <w:szCs w:val="22"/>
              </w:rPr>
            </w:pPr>
            <w:del w:id="10688" w:author="AbbVie14" w:date="2025-05-09T10:34:00Z">
              <w:r w:rsidRPr="00295E71">
                <w:rPr>
                  <w:sz w:val="22"/>
                  <w:szCs w:val="22"/>
                </w:rPr>
                <w:delText>5% (3/66)</w:delText>
              </w:r>
            </w:del>
          </w:p>
        </w:tc>
        <w:tc>
          <w:tcPr>
            <w:tcW w:w="1928" w:type="dxa"/>
            <w:tcBorders>
              <w:top w:val="single" w:sz="4" w:space="0" w:color="auto"/>
              <w:left w:val="single" w:sz="4" w:space="0" w:color="auto"/>
              <w:bottom w:val="single" w:sz="4" w:space="0" w:color="auto"/>
              <w:right w:val="single" w:sz="4" w:space="0" w:color="auto"/>
            </w:tcBorders>
          </w:tcPr>
          <w:p w:rsidR="006224C2" w:rsidRPr="00295E71" w14:paraId="29FD70E1" w14:textId="77777777">
            <w:pPr>
              <w:keepNext/>
              <w:tabs>
                <w:tab w:val="left" w:pos="567"/>
                <w:tab w:val="left" w:pos="1294"/>
              </w:tabs>
              <w:autoSpaceDE w:val="0"/>
              <w:autoSpaceDN w:val="0"/>
              <w:adjustRightInd w:val="0"/>
              <w:jc w:val="both"/>
              <w:pPrChange w:id="10689" w:author="AbbVie14" w:date="2025-05-09T10:34:00Z">
                <w:pPr>
                  <w:pStyle w:val="TableText"/>
                  <w:spacing w:line="240" w:lineRule="exact"/>
                  <w:jc w:val="center"/>
                </w:pPr>
              </w:pPrChange>
              <w:rPr>
                <w:del w:id="10690" w:author="AbbVie14" w:date="2025-05-09T10:34:00Z"/>
                <w:sz w:val="22"/>
                <w:szCs w:val="22"/>
              </w:rPr>
            </w:pPr>
            <w:del w:id="10691" w:author="AbbVie14" w:date="2025-05-09T10:34:00Z">
              <w:r w:rsidRPr="00295E71">
                <w:rPr>
                  <w:sz w:val="22"/>
                  <w:szCs w:val="22"/>
                </w:rPr>
                <w:delText>29% (17/58)*</w:delText>
              </w:r>
            </w:del>
          </w:p>
        </w:tc>
        <w:tc>
          <w:tcPr>
            <w:tcW w:w="1859" w:type="dxa"/>
            <w:tcBorders>
              <w:top w:val="single" w:sz="4" w:space="0" w:color="auto"/>
              <w:left w:val="single" w:sz="4" w:space="0" w:color="auto"/>
              <w:bottom w:val="single" w:sz="4" w:space="0" w:color="auto"/>
              <w:right w:val="single" w:sz="4" w:space="0" w:color="auto"/>
            </w:tcBorders>
          </w:tcPr>
          <w:p w:rsidR="006224C2" w:rsidRPr="00295E71" w14:paraId="7AE02DDE" w14:textId="77777777">
            <w:pPr>
              <w:keepNext/>
              <w:tabs>
                <w:tab w:val="left" w:pos="567"/>
                <w:tab w:val="left" w:pos="1294"/>
              </w:tabs>
              <w:autoSpaceDE w:val="0"/>
              <w:autoSpaceDN w:val="0"/>
              <w:adjustRightInd w:val="0"/>
              <w:jc w:val="both"/>
              <w:pPrChange w:id="10692" w:author="AbbVie14" w:date="2025-05-09T10:34:00Z">
                <w:pPr>
                  <w:pStyle w:val="TableText"/>
                  <w:spacing w:line="240" w:lineRule="exact"/>
                  <w:jc w:val="center"/>
                </w:pPr>
              </w:pPrChange>
              <w:rPr>
                <w:del w:id="10693" w:author="AbbVie14" w:date="2025-05-09T10:34:00Z"/>
                <w:sz w:val="22"/>
                <w:szCs w:val="22"/>
              </w:rPr>
            </w:pPr>
            <w:del w:id="10694" w:author="AbbVie14" w:date="2025-05-09T10:34:00Z">
              <w:r w:rsidRPr="00295E71">
                <w:rPr>
                  <w:sz w:val="22"/>
                  <w:szCs w:val="22"/>
                </w:rPr>
                <w:delText>20% (15/74)**</w:delText>
              </w:r>
            </w:del>
          </w:p>
        </w:tc>
      </w:tr>
      <w:tr w14:paraId="17F6EED5" w14:textId="77777777">
        <w:tblPrEx>
          <w:tblW w:w="0" w:type="auto"/>
          <w:tblLook w:val="0000"/>
        </w:tblPrEx>
        <w:trPr>
          <w:del w:id="10695" w:author="AbbVie14" w:date="2025-05-09T10:34:00Z"/>
        </w:trPr>
        <w:tc>
          <w:tcPr>
            <w:tcW w:w="9286" w:type="dxa"/>
            <w:gridSpan w:val="4"/>
            <w:tcBorders>
              <w:top w:val="single" w:sz="4" w:space="0" w:color="auto"/>
              <w:left w:val="nil"/>
              <w:bottom w:val="nil"/>
              <w:right w:val="nil"/>
            </w:tcBorders>
          </w:tcPr>
          <w:p w:rsidR="006224C2" w:rsidRPr="00295E71" w14:paraId="676784E8" w14:textId="77777777">
            <w:pPr>
              <w:keepNext/>
              <w:tabs>
                <w:tab w:val="left" w:pos="567"/>
                <w:tab w:val="left" w:pos="1294"/>
              </w:tabs>
              <w:autoSpaceDE w:val="0"/>
              <w:autoSpaceDN w:val="0"/>
              <w:adjustRightInd w:val="0"/>
              <w:jc w:val="both"/>
              <w:pPrChange w:id="10696" w:author="AbbVie14" w:date="2025-05-09T10:34:00Z">
                <w:pPr>
                  <w:pStyle w:val="TableText"/>
                  <w:spacing w:line="240" w:lineRule="exact"/>
                </w:pPr>
              </w:pPrChange>
              <w:rPr>
                <w:del w:id="10697" w:author="AbbVie14" w:date="2025-05-09T10:34:00Z"/>
                <w:sz w:val="22"/>
                <w:szCs w:val="22"/>
              </w:rPr>
            </w:pPr>
            <w:del w:id="10698" w:author="AbbVie14" w:date="2025-05-09T10:34:00Z">
              <w:r w:rsidRPr="00295E71">
                <w:rPr>
                  <w:sz w:val="22"/>
                  <w:szCs w:val="22"/>
                </w:rPr>
                <w:delText>*</w:delText>
              </w:r>
            </w:del>
            <w:del w:id="10699" w:author="AbbVie14" w:date="2025-05-09T10:34:00Z">
              <w:r w:rsidRPr="00295E71">
                <w:rPr>
                  <w:sz w:val="22"/>
                  <w:szCs w:val="22"/>
                </w:rPr>
                <w:tab/>
                <w:delText xml:space="preserve">p&lt;0,001 per confronti a coppie delle percentuali Humira verso placebo </w:delText>
              </w:r>
            </w:del>
          </w:p>
          <w:p w:rsidR="006224C2" w:rsidRPr="00295E71" w14:paraId="09629E0A" w14:textId="77777777">
            <w:pPr>
              <w:keepNext/>
              <w:tabs>
                <w:tab w:val="left" w:pos="567"/>
                <w:tab w:val="left" w:pos="1294"/>
              </w:tabs>
              <w:autoSpaceDE w:val="0"/>
              <w:autoSpaceDN w:val="0"/>
              <w:adjustRightInd w:val="0"/>
              <w:jc w:val="both"/>
              <w:pPrChange w:id="10700" w:author="AbbVie14" w:date="2025-05-09T10:34:00Z">
                <w:pPr>
                  <w:pStyle w:val="TableText"/>
                  <w:spacing w:line="240" w:lineRule="exact"/>
                </w:pPr>
              </w:pPrChange>
              <w:rPr>
                <w:del w:id="10701" w:author="AbbVie14" w:date="2025-05-09T10:34:00Z"/>
                <w:sz w:val="22"/>
                <w:szCs w:val="22"/>
              </w:rPr>
            </w:pPr>
            <w:del w:id="10702" w:author="AbbVie14" w:date="2025-05-09T10:34:00Z">
              <w:r w:rsidRPr="00295E71">
                <w:rPr>
                  <w:sz w:val="22"/>
                  <w:szCs w:val="22"/>
                </w:rPr>
                <w:delText>**</w:delText>
              </w:r>
            </w:del>
            <w:del w:id="10703" w:author="AbbVie14" w:date="2025-05-09T10:34:00Z">
              <w:r w:rsidRPr="00295E71">
                <w:rPr>
                  <w:sz w:val="22"/>
                  <w:szCs w:val="22"/>
                </w:rPr>
                <w:tab/>
                <w:delText xml:space="preserve">p&lt;0,02 per confronti a coppie delle percentuali Humira verso placebo </w:delText>
              </w:r>
            </w:del>
          </w:p>
          <w:p w:rsidR="006224C2" w:rsidRPr="00295E71" w14:paraId="27558C5F" w14:textId="77777777">
            <w:pPr>
              <w:keepNext/>
              <w:tabs>
                <w:tab w:val="left" w:pos="567"/>
                <w:tab w:val="left" w:pos="1294"/>
              </w:tabs>
              <w:autoSpaceDE w:val="0"/>
              <w:autoSpaceDN w:val="0"/>
              <w:adjustRightInd w:val="0"/>
              <w:jc w:val="both"/>
              <w:pPrChange w:id="10704" w:author="AbbVie14" w:date="2025-05-09T10:34:00Z">
                <w:pPr>
                  <w:pStyle w:val="TableText"/>
                  <w:spacing w:line="240" w:lineRule="exact"/>
                </w:pPr>
              </w:pPrChange>
              <w:rPr>
                <w:del w:id="10705" w:author="AbbVie14" w:date="2025-05-09T10:34:00Z"/>
                <w:sz w:val="22"/>
                <w:szCs w:val="22"/>
              </w:rPr>
            </w:pPr>
            <w:del w:id="10706" w:author="AbbVie14" w:date="2025-05-09T10:34:00Z">
              <w:r w:rsidRPr="00295E71">
                <w:rPr>
                  <w:sz w:val="22"/>
                  <w:szCs w:val="22"/>
                  <w:vertAlign w:val="superscript"/>
                </w:rPr>
                <w:delText>a</w:delText>
              </w:r>
            </w:del>
            <w:del w:id="10707" w:author="AbbVie14" w:date="2025-05-09T10:34:00Z">
              <w:r w:rsidRPr="00295E71">
                <w:rPr>
                  <w:sz w:val="22"/>
                  <w:szCs w:val="22"/>
                  <w:vertAlign w:val="superscript"/>
                </w:rPr>
                <w:tab/>
              </w:r>
            </w:del>
            <w:del w:id="10708" w:author="AbbVie14" w:date="2025-05-09T10:34:00Z">
              <w:r w:rsidRPr="00295E71">
                <w:rPr>
                  <w:sz w:val="22"/>
                  <w:szCs w:val="22"/>
                </w:rPr>
                <w:delText>di coloro che sono stati trattati con corticosteroidi al basale</w:delText>
              </w:r>
            </w:del>
          </w:p>
        </w:tc>
      </w:tr>
    </w:tbl>
    <w:p w:rsidR="006224C2" w:rsidRPr="00295E71" w14:paraId="77351E71" w14:textId="77777777">
      <w:pPr>
        <w:keepNext/>
        <w:tabs>
          <w:tab w:val="left" w:pos="567"/>
          <w:tab w:val="left" w:pos="1294"/>
        </w:tabs>
        <w:autoSpaceDE w:val="0"/>
        <w:autoSpaceDN w:val="0"/>
        <w:adjustRightInd w:val="0"/>
        <w:jc w:val="both"/>
        <w:pPrChange w:id="10709" w:author="AbbVie14" w:date="2025-05-09T10:34:00Z">
          <w:pPr>
            <w:pStyle w:val="EMEANormal"/>
            <w:keepNext/>
          </w:pPr>
        </w:pPrChange>
        <w:rPr>
          <w:del w:id="10710" w:author="AbbVie14" w:date="2025-05-09T10:34:00Z"/>
        </w:rPr>
      </w:pPr>
    </w:p>
    <w:p w:rsidR="006224C2" w:rsidRPr="00295E71" w14:paraId="4BDDD6AD" w14:textId="77777777">
      <w:pPr>
        <w:keepNext/>
        <w:tabs>
          <w:tab w:val="left" w:pos="567"/>
          <w:tab w:val="left" w:pos="1294"/>
        </w:tabs>
        <w:autoSpaceDE w:val="0"/>
        <w:autoSpaceDN w:val="0"/>
        <w:adjustRightInd w:val="0"/>
        <w:jc w:val="both"/>
        <w:pPrChange w:id="10711" w:author="AbbVie14" w:date="2025-05-09T10:34:00Z">
          <w:pPr>
            <w:pStyle w:val="EMEAFigureTitle"/>
            <w:jc w:val="both"/>
          </w:pPr>
        </w:pPrChange>
        <w:rPr>
          <w:del w:id="10712" w:author="AbbVie14" w:date="2025-05-09T10:34:00Z"/>
        </w:rPr>
      </w:pPr>
      <w:del w:id="10713" w:author="AbbVie14" w:date="2025-05-09T10:34:00Z">
        <w:r w:rsidRPr="00295E71">
          <w:delText>Tra i pazienti che non hanno evidenziato una risposta alla settimana 4, il 43% dei pazienti trattati con terapia di mantenimento a base di Humira ha manifestato una risposta entro la settimana 12 rispetto al 30% dei pazienti trattati con placebo. Tali risultati suggeriscono che alcuni pazienti che non hanno manifestato una risposta alla settimana 4 traggono giovamento dalla terapia di mantenimento continuata fino alla settimana 12. La terapia proseguita oltre le 12 settimane non ha portato ad un numero significativamente più elevato di risposte (vedere paragrafo 4.2).</w:delText>
        </w:r>
      </w:del>
    </w:p>
    <w:p w:rsidR="006224C2" w:rsidRPr="00295E71" w14:paraId="18818DFB" w14:textId="77777777">
      <w:pPr>
        <w:keepNext/>
        <w:tabs>
          <w:tab w:val="left" w:pos="567"/>
          <w:tab w:val="left" w:pos="1294"/>
        </w:tabs>
        <w:autoSpaceDE w:val="0"/>
        <w:autoSpaceDN w:val="0"/>
        <w:adjustRightInd w:val="0"/>
        <w:jc w:val="both"/>
        <w:pPrChange w:id="10714" w:author="AbbVie14" w:date="2025-05-09T10:34:00Z">
          <w:pPr>
            <w:pStyle w:val="EMEAFigureTitle"/>
            <w:jc w:val="both"/>
          </w:pPr>
        </w:pPrChange>
        <w:rPr>
          <w:del w:id="10715" w:author="AbbVie14" w:date="2025-05-09T10:34:00Z"/>
        </w:rPr>
      </w:pPr>
    </w:p>
    <w:p w:rsidR="006224C2" w:rsidRPr="00295E71" w14:paraId="3D309593" w14:textId="77777777">
      <w:pPr>
        <w:keepNext/>
        <w:tabs>
          <w:tab w:val="left" w:pos="567"/>
          <w:tab w:val="left" w:pos="1294"/>
        </w:tabs>
        <w:autoSpaceDE w:val="0"/>
        <w:autoSpaceDN w:val="0"/>
        <w:adjustRightInd w:val="0"/>
        <w:jc w:val="both"/>
        <w:pPrChange w:id="10716" w:author="AbbVie14" w:date="2025-05-09T10:34:00Z">
          <w:pPr>
            <w:pStyle w:val="EMEAFigureTitle"/>
            <w:jc w:val="both"/>
          </w:pPr>
        </w:pPrChange>
        <w:rPr>
          <w:del w:id="10717" w:author="AbbVie14" w:date="2025-05-09T10:34:00Z"/>
        </w:rPr>
      </w:pPr>
      <w:del w:id="10718" w:author="AbbVie14" w:date="2025-05-09T10:34:00Z">
        <w:r w:rsidRPr="00295E71">
          <w:delText>117/276 pazienti dallo studio CD I e 272/777 pazienti provenienti da</w:delText>
        </w:r>
      </w:del>
      <w:del w:id="10719" w:author="AbbVie14" w:date="2025-05-09T10:34:00Z">
        <w:r w:rsidR="00A02331">
          <w:delText>gli</w:delText>
        </w:r>
      </w:del>
      <w:del w:id="10720" w:author="AbbVie14" w:date="2025-05-09T10:34:00Z">
        <w:r w:rsidRPr="00295E71">
          <w:delText xml:space="preserve"> studi CD II e III sono stati seguiti per almeno 3 anni di terapia con adalimumab in aperto. Rispettivamente 88 e 189</w:delText>
        </w:r>
      </w:del>
      <w:del w:id="10721" w:author="AbbVie14" w:date="2025-05-09T10:34:00Z">
        <w:r w:rsidR="00A02331">
          <w:delText xml:space="preserve"> </w:delText>
        </w:r>
      </w:del>
      <w:del w:id="10722" w:author="AbbVie14" w:date="2025-05-09T10:34:00Z">
        <w:r w:rsidRPr="00295E71">
          <w:delText>pazienti hanno continuato a mantenere la remissione clinica. La risposta clinica (CR-100) è stata mantenuta rispettivamente in 102</w:delText>
        </w:r>
      </w:del>
      <w:del w:id="10723" w:author="AbbVie14" w:date="2025-05-09T10:34:00Z">
        <w:r w:rsidR="00A02331">
          <w:delText xml:space="preserve"> </w:delText>
        </w:r>
      </w:del>
      <w:del w:id="10724" w:author="AbbVie14" w:date="2025-05-09T10:34:00Z">
        <w:r w:rsidRPr="00295E71">
          <w:delText>e 233</w:delText>
        </w:r>
      </w:del>
      <w:del w:id="10725" w:author="AbbVie14" w:date="2025-05-09T10:34:00Z">
        <w:r w:rsidR="00A02331">
          <w:delText xml:space="preserve"> </w:delText>
        </w:r>
      </w:del>
      <w:del w:id="10726" w:author="AbbVie14" w:date="2025-05-09T10:34:00Z">
        <w:r w:rsidRPr="00295E71">
          <w:delText>pazienti.</w:delText>
        </w:r>
      </w:del>
    </w:p>
    <w:p w:rsidR="006224C2" w:rsidRPr="00295E71" w14:paraId="0BE6F582" w14:textId="77777777">
      <w:pPr>
        <w:keepNext/>
        <w:tabs>
          <w:tab w:val="left" w:pos="567"/>
          <w:tab w:val="left" w:pos="1294"/>
        </w:tabs>
        <w:autoSpaceDE w:val="0"/>
        <w:autoSpaceDN w:val="0"/>
        <w:adjustRightInd w:val="0"/>
        <w:jc w:val="both"/>
        <w:pPrChange w:id="10727" w:author="AbbVie14" w:date="2025-05-09T10:34:00Z">
          <w:pPr>
            <w:pStyle w:val="EMEANormal"/>
          </w:pPr>
        </w:pPrChange>
        <w:rPr>
          <w:del w:id="10728" w:author="AbbVie14" w:date="2025-05-09T10:34:00Z"/>
        </w:rPr>
      </w:pPr>
    </w:p>
    <w:p w:rsidR="006224C2" w:rsidRPr="00295E71" w14:paraId="36652C2E" w14:textId="77777777">
      <w:pPr>
        <w:keepNext/>
        <w:tabs>
          <w:tab w:val="left" w:pos="567"/>
          <w:tab w:val="left" w:pos="1294"/>
        </w:tabs>
        <w:autoSpaceDE w:val="0"/>
        <w:autoSpaceDN w:val="0"/>
        <w:adjustRightInd w:val="0"/>
        <w:jc w:val="both"/>
        <w:pPrChange w:id="10729" w:author="AbbVie14" w:date="2025-05-09T10:34:00Z">
          <w:pPr/>
        </w:pPrChange>
        <w:rPr>
          <w:del w:id="10730" w:author="AbbVie14" w:date="2025-05-09T10:34:00Z"/>
          <w:i/>
          <w:sz w:val="22"/>
          <w:szCs w:val="22"/>
          <w:u w:val="single"/>
        </w:rPr>
      </w:pPr>
      <w:del w:id="10731" w:author="AbbVie14" w:date="2025-05-09T10:34:00Z">
        <w:r w:rsidRPr="00295E71">
          <w:rPr>
            <w:i/>
            <w:sz w:val="22"/>
            <w:szCs w:val="22"/>
            <w:u w:val="single"/>
          </w:rPr>
          <w:delText>Qualità della vita</w:delText>
        </w:r>
      </w:del>
    </w:p>
    <w:p w:rsidR="006224C2" w:rsidRPr="00295E71" w14:paraId="625CC424" w14:textId="77777777">
      <w:pPr>
        <w:keepNext/>
        <w:tabs>
          <w:tab w:val="left" w:pos="567"/>
          <w:tab w:val="left" w:pos="1294"/>
        </w:tabs>
        <w:autoSpaceDE w:val="0"/>
        <w:autoSpaceDN w:val="0"/>
        <w:adjustRightInd w:val="0"/>
        <w:jc w:val="both"/>
        <w:pPrChange w:id="10732" w:author="AbbVie14" w:date="2025-05-09T10:34:00Z">
          <w:pPr/>
        </w:pPrChange>
        <w:rPr>
          <w:del w:id="10733" w:author="AbbVie14" w:date="2025-05-09T10:34:00Z"/>
          <w:sz w:val="22"/>
          <w:szCs w:val="22"/>
          <w:lang w:eastAsia="en-US"/>
        </w:rPr>
      </w:pPr>
    </w:p>
    <w:p w:rsidR="006224C2" w:rsidRPr="00615740" w14:paraId="1BDD7458" w14:textId="77777777">
      <w:pPr>
        <w:keepNext/>
        <w:tabs>
          <w:tab w:val="left" w:pos="567"/>
          <w:tab w:val="left" w:pos="1294"/>
        </w:tabs>
        <w:autoSpaceDE w:val="0"/>
        <w:autoSpaceDN w:val="0"/>
        <w:adjustRightInd w:val="0"/>
        <w:jc w:val="both"/>
        <w:pPrChange w:id="10734" w:author="AbbVie14" w:date="2025-05-09T10:34:00Z">
          <w:pPr>
            <w:tabs>
              <w:tab w:val="left" w:pos="567"/>
              <w:tab w:val="left" w:pos="1294"/>
            </w:tabs>
            <w:autoSpaceDE w:val="0"/>
            <w:autoSpaceDN w:val="0"/>
            <w:adjustRightInd w:val="0"/>
            <w:jc w:val="both"/>
          </w:pPr>
        </w:pPrChange>
        <w:rPr>
          <w:del w:id="10735" w:author="AbbVie14" w:date="2025-05-09T10:34:00Z"/>
          <w:sz w:val="22"/>
          <w:szCs w:val="22"/>
        </w:rPr>
      </w:pPr>
      <w:del w:id="10736" w:author="AbbVie14" w:date="2025-05-09T10:34:00Z">
        <w:r w:rsidRPr="00295E71">
          <w:rPr>
            <w:sz w:val="22"/>
            <w:szCs w:val="22"/>
          </w:rPr>
          <w:delText xml:space="preserve">Negli studi CD I e CD II, </w:delText>
        </w:r>
      </w:del>
      <w:del w:id="10737" w:author="AbbVie14" w:date="2025-05-09T10:34:00Z">
        <w:r w:rsidRPr="00615740">
          <w:rPr>
            <w:sz w:val="22"/>
            <w:szCs w:val="22"/>
          </w:rPr>
          <w:delText>alla settimana 4 era raggiunto un miglioramento statisticamente significativo del punteggio totale del questionario IBDQ (inflammatory bowel disease questionnaire) nei pazienti randomizzati a Humira 80/40 mg e 160/80 mg rispetto al placebo ed era visto alle settimane 26 e 56 nello studio CD III come pure tra i gruppi trattati con adalimumab rispetto al gruppo trattato con placebo.</w:delText>
        </w:r>
      </w:del>
    </w:p>
    <w:p w:rsidR="006224C2" w:rsidRPr="00615740" w14:paraId="19C51097" w14:textId="77777777">
      <w:pPr>
        <w:keepNext/>
        <w:tabs>
          <w:tab w:val="left" w:pos="567"/>
          <w:tab w:val="left" w:pos="1294"/>
        </w:tabs>
        <w:autoSpaceDE w:val="0"/>
        <w:autoSpaceDN w:val="0"/>
        <w:adjustRightInd w:val="0"/>
        <w:jc w:val="both"/>
        <w:pPrChange w:id="10738" w:author="AbbVie14" w:date="2025-05-09T10:34:00Z">
          <w:pPr>
            <w:tabs>
              <w:tab w:val="left" w:pos="567"/>
              <w:tab w:val="left" w:pos="1294"/>
            </w:tabs>
            <w:autoSpaceDE w:val="0"/>
            <w:autoSpaceDN w:val="0"/>
            <w:adjustRightInd w:val="0"/>
            <w:jc w:val="both"/>
          </w:pPr>
        </w:pPrChange>
        <w:rPr>
          <w:del w:id="10739" w:author="AbbVie14" w:date="2025-05-09T10:34:00Z"/>
          <w:color w:val="000000"/>
          <w:sz w:val="22"/>
          <w:szCs w:val="22"/>
        </w:rPr>
      </w:pPr>
    </w:p>
    <w:p w:rsidR="006224C2" w:rsidRPr="00615740" w:rsidP="00AD7AF0" w14:paraId="381A224F" w14:textId="77777777">
      <w:pPr>
        <w:pStyle w:val="EMEAHeadingUnderline"/>
        <w:spacing w:beforeLines="0" w:afterLines="0"/>
        <w:jc w:val="both"/>
        <w:rPr>
          <w:del w:id="10740" w:author="AbbVie14" w:date="2025-05-09T10:34:00Z"/>
          <w:i/>
          <w:u w:val="none"/>
          <w:lang w:val="it-IT"/>
        </w:rPr>
      </w:pPr>
      <w:del w:id="10741" w:author="AbbVie14" w:date="2025-05-09T10:34:00Z">
        <w:r w:rsidRPr="00615740">
          <w:rPr>
            <w:i/>
            <w:u w:val="none"/>
            <w:lang w:val="it-IT"/>
          </w:rPr>
          <w:delText>Colite Ulcerosa</w:delText>
        </w:r>
      </w:del>
    </w:p>
    <w:p w:rsidR="006224C2" w:rsidRPr="00615740" w:rsidP="00AD7AF0" w14:paraId="5DA3060B" w14:textId="77777777">
      <w:pPr>
        <w:rPr>
          <w:del w:id="10742" w:author="AbbVie14" w:date="2025-05-09T10:34:00Z"/>
          <w:sz w:val="22"/>
          <w:szCs w:val="22"/>
        </w:rPr>
      </w:pPr>
    </w:p>
    <w:p w:rsidR="006224C2" w:rsidRPr="00295E71" w:rsidP="00AD7AF0" w14:paraId="522BA990" w14:textId="77777777">
      <w:pPr>
        <w:tabs>
          <w:tab w:val="left" w:pos="567"/>
          <w:tab w:val="left" w:pos="1294"/>
        </w:tabs>
        <w:autoSpaceDE w:val="0"/>
        <w:autoSpaceDN w:val="0"/>
        <w:adjustRightInd w:val="0"/>
        <w:jc w:val="both"/>
        <w:rPr>
          <w:del w:id="10743" w:author="AbbVie14" w:date="2025-05-09T10:34:00Z"/>
          <w:color w:val="000000"/>
          <w:sz w:val="22"/>
          <w:szCs w:val="22"/>
        </w:rPr>
      </w:pPr>
      <w:del w:id="10744" w:author="AbbVie14" w:date="2025-05-09T10:34:00Z">
        <w:r w:rsidRPr="00615740">
          <w:rPr>
            <w:color w:val="000000"/>
            <w:sz w:val="22"/>
            <w:szCs w:val="22"/>
          </w:rPr>
          <w:delText>La sicurezza e l’efficacia di dosi</w:delText>
        </w:r>
      </w:del>
      <w:del w:id="10745" w:author="AbbVie14" w:date="2025-05-09T10:34:00Z">
        <w:r w:rsidRPr="00295E71">
          <w:rPr>
            <w:color w:val="000000"/>
            <w:sz w:val="22"/>
            <w:szCs w:val="22"/>
          </w:rPr>
          <w:delText xml:space="preserve"> multiple di Humira sono state valutate in pazienti adulti affetti da colite ulcerosa attiva di grado da moderato a severo (punteggio Mayo da 6 a 12 con un sottopunteggio endoscopico da 2 a 3) in studi randomizzati, in doppio cieco, controllati con placebo.</w:delText>
        </w:r>
      </w:del>
    </w:p>
    <w:p w:rsidR="006224C2" w:rsidRPr="00295E71" w:rsidP="00AD7AF0" w14:paraId="7014E3C8" w14:textId="77777777">
      <w:pPr>
        <w:tabs>
          <w:tab w:val="left" w:pos="567"/>
          <w:tab w:val="left" w:pos="1294"/>
        </w:tabs>
        <w:autoSpaceDE w:val="0"/>
        <w:autoSpaceDN w:val="0"/>
        <w:adjustRightInd w:val="0"/>
        <w:jc w:val="both"/>
        <w:rPr>
          <w:del w:id="10746" w:author="AbbVie14" w:date="2025-05-09T10:34:00Z"/>
          <w:color w:val="000000"/>
          <w:sz w:val="22"/>
          <w:szCs w:val="22"/>
        </w:rPr>
      </w:pPr>
    </w:p>
    <w:p w:rsidR="006224C2" w:rsidRPr="00295E71" w:rsidP="00AD7AF0" w14:paraId="6C737421" w14:textId="77777777">
      <w:pPr>
        <w:rPr>
          <w:del w:id="10747" w:author="AbbVie14" w:date="2025-05-09T10:34:00Z"/>
          <w:color w:val="000000"/>
          <w:sz w:val="22"/>
          <w:szCs w:val="22"/>
        </w:rPr>
      </w:pPr>
      <w:del w:id="10748" w:author="AbbVie14" w:date="2025-05-09T10:34:00Z">
        <w:r w:rsidRPr="00295E71">
          <w:rPr>
            <w:color w:val="000000"/>
            <w:sz w:val="22"/>
            <w:szCs w:val="22"/>
          </w:rPr>
          <w:delText xml:space="preserve">Nello studio UC-I, 390 pazienti non precedentemente trattati con antagonisti del TNF sono stati randomizzati in modo da assumere placebo alla settimana 0 e 2, 160 mg di Humira alla settimana 0 seguiti da 80 mg alla settimana 2 oppure 80 mg </w:delText>
        </w:r>
      </w:del>
      <w:del w:id="10749" w:author="AbbVie14" w:date="2025-05-09T10:34:00Z">
        <w:r w:rsidR="00A02331">
          <w:rPr>
            <w:color w:val="000000"/>
            <w:sz w:val="22"/>
            <w:szCs w:val="22"/>
          </w:rPr>
          <w:delText xml:space="preserve">di Humira </w:delText>
        </w:r>
      </w:del>
      <w:del w:id="10750" w:author="AbbVie14" w:date="2025-05-09T10:34:00Z">
        <w:r w:rsidRPr="00295E71">
          <w:rPr>
            <w:color w:val="000000"/>
            <w:sz w:val="22"/>
            <w:szCs w:val="22"/>
          </w:rPr>
          <w:delText>alla settimana 0 seguiti da 40 mg alla settimana 2. Dopo la settimana 2, i pazienti arruolati in entrambi i bracci con adalimumab hanno assunto 40 mg a settimane alterne. La remissione clinica (definita come punteggio di Mayo ≤ 2 con nessun sottopunteggio &gt; 1) è stata valutata alla settimana 8.</w:delText>
        </w:r>
      </w:del>
    </w:p>
    <w:p w:rsidR="006224C2" w:rsidRPr="00295E71" w:rsidP="00AD7AF0" w14:paraId="243AF539" w14:textId="77777777">
      <w:pPr>
        <w:tabs>
          <w:tab w:val="left" w:pos="567"/>
          <w:tab w:val="left" w:pos="1294"/>
        </w:tabs>
        <w:autoSpaceDE w:val="0"/>
        <w:autoSpaceDN w:val="0"/>
        <w:adjustRightInd w:val="0"/>
        <w:jc w:val="both"/>
        <w:rPr>
          <w:del w:id="10751" w:author="AbbVie14" w:date="2025-05-09T10:34:00Z"/>
          <w:color w:val="000000"/>
          <w:sz w:val="22"/>
          <w:szCs w:val="22"/>
        </w:rPr>
      </w:pPr>
    </w:p>
    <w:p w:rsidR="006224C2" w:rsidRPr="00295E71" w:rsidP="00AD7AF0" w14:paraId="04DE6074" w14:textId="77777777">
      <w:pPr>
        <w:tabs>
          <w:tab w:val="left" w:pos="567"/>
          <w:tab w:val="left" w:pos="1294"/>
        </w:tabs>
        <w:autoSpaceDE w:val="0"/>
        <w:autoSpaceDN w:val="0"/>
        <w:adjustRightInd w:val="0"/>
        <w:jc w:val="both"/>
        <w:rPr>
          <w:del w:id="10752" w:author="AbbVie14" w:date="2025-05-09T10:34:00Z"/>
          <w:color w:val="000000"/>
          <w:sz w:val="22"/>
          <w:szCs w:val="22"/>
        </w:rPr>
      </w:pPr>
      <w:del w:id="10753" w:author="AbbVie14" w:date="2025-05-09T10:34:00Z">
        <w:r w:rsidRPr="00295E71">
          <w:rPr>
            <w:color w:val="000000"/>
            <w:sz w:val="22"/>
            <w:szCs w:val="22"/>
          </w:rPr>
          <w:delText>Nello studio UC-II, 248 pazienti hanno assunto 160 mg di Humira alla settimana 0, 80 mg alla settimana 2 e</w:delText>
        </w:r>
      </w:del>
      <w:del w:id="10754" w:author="AbbVie14" w:date="2025-05-09T10:34:00Z">
        <w:r w:rsidRPr="00A02331" w:rsidR="00A02331">
          <w:rPr>
            <w:color w:val="000000"/>
            <w:sz w:val="22"/>
            <w:szCs w:val="22"/>
          </w:rPr>
          <w:delText xml:space="preserve"> </w:delText>
        </w:r>
      </w:del>
      <w:del w:id="10755" w:author="AbbVie14" w:date="2025-05-09T10:34:00Z">
        <w:r w:rsidRPr="00020442" w:rsidR="00A02331">
          <w:rPr>
            <w:color w:val="000000"/>
            <w:sz w:val="22"/>
            <w:szCs w:val="22"/>
          </w:rPr>
          <w:delText>successivamente</w:delText>
        </w:r>
      </w:del>
      <w:del w:id="10756" w:author="AbbVie14" w:date="2025-05-09T10:34:00Z">
        <w:r w:rsidRPr="00295E71">
          <w:rPr>
            <w:color w:val="000000"/>
            <w:sz w:val="22"/>
            <w:szCs w:val="22"/>
          </w:rPr>
          <w:delText xml:space="preserve"> 40 mg a settimane</w:delText>
        </w:r>
      </w:del>
      <w:del w:id="10757" w:author="AbbVie14" w:date="2025-05-09T10:34:00Z">
        <w:r w:rsidR="00A02331">
          <w:rPr>
            <w:color w:val="000000"/>
            <w:sz w:val="22"/>
            <w:szCs w:val="22"/>
          </w:rPr>
          <w:delText xml:space="preserve"> </w:delText>
        </w:r>
      </w:del>
      <w:del w:id="10758" w:author="AbbVie14" w:date="2025-05-09T10:34:00Z">
        <w:r w:rsidRPr="00295E71">
          <w:rPr>
            <w:color w:val="000000"/>
            <w:sz w:val="22"/>
            <w:szCs w:val="22"/>
          </w:rPr>
          <w:delText>alterne, e 246 pazienti hanno assunto placebo. L’induzione della remissione è stata valutata alla settimana 8 mentre il mantenimento della remissione alla settimana 52.</w:delText>
        </w:r>
      </w:del>
    </w:p>
    <w:p w:rsidR="006224C2" w:rsidRPr="00295E71" w:rsidP="00AD7AF0" w14:paraId="62270653" w14:textId="77777777">
      <w:pPr>
        <w:tabs>
          <w:tab w:val="left" w:pos="567"/>
          <w:tab w:val="left" w:pos="1294"/>
        </w:tabs>
        <w:autoSpaceDE w:val="0"/>
        <w:autoSpaceDN w:val="0"/>
        <w:adjustRightInd w:val="0"/>
        <w:jc w:val="both"/>
        <w:rPr>
          <w:del w:id="10759" w:author="AbbVie14" w:date="2025-05-09T10:34:00Z"/>
          <w:color w:val="000000"/>
          <w:sz w:val="22"/>
          <w:szCs w:val="22"/>
        </w:rPr>
      </w:pPr>
    </w:p>
    <w:p w:rsidR="006224C2" w:rsidRPr="00295E71" w:rsidP="00AD7AF0" w14:paraId="0E2A833C" w14:textId="77777777">
      <w:pPr>
        <w:tabs>
          <w:tab w:val="left" w:pos="567"/>
          <w:tab w:val="left" w:pos="1294"/>
        </w:tabs>
        <w:autoSpaceDE w:val="0"/>
        <w:autoSpaceDN w:val="0"/>
        <w:adjustRightInd w:val="0"/>
        <w:jc w:val="both"/>
        <w:rPr>
          <w:del w:id="10760" w:author="AbbVie14" w:date="2025-05-09T10:34:00Z"/>
          <w:color w:val="000000"/>
          <w:sz w:val="22"/>
          <w:szCs w:val="22"/>
        </w:rPr>
      </w:pPr>
      <w:del w:id="10761" w:author="AbbVie14" w:date="2025-05-09T10:34:00Z">
        <w:r w:rsidRPr="00295E71">
          <w:rPr>
            <w:color w:val="000000"/>
            <w:sz w:val="22"/>
            <w:szCs w:val="22"/>
          </w:rPr>
          <w:delText>Nello studio UC-I (rispettivamente 18% vs 9%, p=0.031) e nello studio UC-II (rispettivamente 17% vs 9%, p=0.019) i pazienti indotti con 160/80 mg di Humira hanno raggiunto la remissione clinica rispetto al placebo alla settimana 8 in percentuali superiori in modo statisticamente significativo. Nello studio UC-II, tra i pazienti trattati con Humira in remissione alla settimana 8, 21/41 (51%) erano in remissione alla settimana 52.</w:delText>
        </w:r>
      </w:del>
    </w:p>
    <w:p w:rsidR="006224C2" w:rsidRPr="00295E71" w:rsidP="00AD7AF0" w14:paraId="0FF9498D" w14:textId="77777777">
      <w:pPr>
        <w:tabs>
          <w:tab w:val="left" w:pos="567"/>
          <w:tab w:val="left" w:pos="1294"/>
        </w:tabs>
        <w:autoSpaceDE w:val="0"/>
        <w:autoSpaceDN w:val="0"/>
        <w:adjustRightInd w:val="0"/>
        <w:jc w:val="both"/>
        <w:rPr>
          <w:del w:id="10762" w:author="AbbVie14" w:date="2025-05-09T10:34:00Z"/>
          <w:color w:val="000000"/>
          <w:sz w:val="22"/>
          <w:szCs w:val="22"/>
        </w:rPr>
      </w:pPr>
    </w:p>
    <w:p w:rsidR="006224C2" w:rsidRPr="00295E71" w:rsidP="00AD7AF0" w14:paraId="698754E7" w14:textId="77777777">
      <w:pPr>
        <w:tabs>
          <w:tab w:val="left" w:pos="567"/>
          <w:tab w:val="left" w:pos="1294"/>
        </w:tabs>
        <w:autoSpaceDE w:val="0"/>
        <w:autoSpaceDN w:val="0"/>
        <w:adjustRightInd w:val="0"/>
        <w:jc w:val="both"/>
        <w:rPr>
          <w:del w:id="10763" w:author="AbbVie14" w:date="2025-05-09T10:34:00Z"/>
          <w:color w:val="000000"/>
          <w:sz w:val="22"/>
          <w:szCs w:val="22"/>
        </w:rPr>
      </w:pPr>
      <w:del w:id="10764" w:author="AbbVie14" w:date="2025-05-09T10:34:00Z">
        <w:r w:rsidRPr="00295E71">
          <w:rPr>
            <w:color w:val="000000"/>
            <w:sz w:val="22"/>
            <w:szCs w:val="22"/>
          </w:rPr>
          <w:delText xml:space="preserve">I risultati globali </w:delText>
        </w:r>
      </w:del>
      <w:del w:id="10765" w:author="AbbVie14" w:date="2025-05-09T10:34:00Z">
        <w:r w:rsidR="00A02331">
          <w:rPr>
            <w:color w:val="000000"/>
            <w:sz w:val="22"/>
            <w:szCs w:val="22"/>
          </w:rPr>
          <w:delText xml:space="preserve">per la </w:delText>
        </w:r>
      </w:del>
      <w:del w:id="10766" w:author="AbbVie14" w:date="2025-05-09T10:34:00Z">
        <w:r w:rsidRPr="00295E71">
          <w:rPr>
            <w:color w:val="000000"/>
            <w:sz w:val="22"/>
            <w:szCs w:val="22"/>
          </w:rPr>
          <w:delText xml:space="preserve">popolazione </w:delText>
        </w:r>
      </w:del>
      <w:del w:id="10767" w:author="AbbVie14" w:date="2025-05-09T10:34:00Z">
        <w:r w:rsidR="00A02331">
          <w:rPr>
            <w:color w:val="000000"/>
            <w:sz w:val="22"/>
            <w:szCs w:val="22"/>
          </w:rPr>
          <w:delText xml:space="preserve">totale dello studio </w:delText>
        </w:r>
      </w:del>
      <w:del w:id="10768" w:author="AbbVie14" w:date="2025-05-09T10:34:00Z">
        <w:r w:rsidRPr="00295E71">
          <w:rPr>
            <w:color w:val="000000"/>
            <w:sz w:val="22"/>
            <w:szCs w:val="22"/>
          </w:rPr>
          <w:delText>UC-II sono mostrati nella Tabella 2</w:delText>
        </w:r>
      </w:del>
      <w:del w:id="10769" w:author="AbbVie14" w:date="2025-05-09T10:34:00Z">
        <w:r w:rsidR="005C4AD7">
          <w:rPr>
            <w:color w:val="000000"/>
            <w:sz w:val="22"/>
            <w:szCs w:val="22"/>
          </w:rPr>
          <w:delText>3</w:delText>
        </w:r>
      </w:del>
      <w:del w:id="10770" w:author="AbbVie14" w:date="2025-05-09T10:34:00Z">
        <w:r w:rsidRPr="00295E71">
          <w:rPr>
            <w:color w:val="000000"/>
            <w:sz w:val="22"/>
            <w:szCs w:val="22"/>
          </w:rPr>
          <w:delText>.</w:delText>
        </w:r>
      </w:del>
    </w:p>
    <w:p w:rsidR="006224C2" w:rsidRPr="00295E71" w:rsidP="00AD7AF0" w14:paraId="07D101FB" w14:textId="77777777">
      <w:pPr>
        <w:rPr>
          <w:del w:id="10771" w:author="AbbVie14" w:date="2025-05-09T10:34:00Z"/>
          <w:sz w:val="22"/>
          <w:szCs w:val="22"/>
        </w:rPr>
      </w:pPr>
    </w:p>
    <w:p w:rsidR="006224C2" w:rsidRPr="00295E71" w:rsidP="00AD7AF0" w14:paraId="7845A869" w14:textId="77777777">
      <w:pPr>
        <w:keepNext/>
        <w:jc w:val="center"/>
        <w:rPr>
          <w:del w:id="10772" w:author="AbbVie14" w:date="2025-05-09T10:34:00Z"/>
          <w:rFonts w:eastAsia="Arial Unicode MS"/>
          <w:b/>
          <w:bCs/>
          <w:sz w:val="22"/>
          <w:szCs w:val="22"/>
        </w:rPr>
      </w:pPr>
      <w:del w:id="10773" w:author="AbbVie14" w:date="2025-05-09T10:34:00Z">
        <w:r w:rsidRPr="00295E71">
          <w:rPr>
            <w:rFonts w:eastAsia="Arial Unicode MS"/>
            <w:b/>
            <w:bCs/>
            <w:sz w:val="22"/>
            <w:szCs w:val="22"/>
          </w:rPr>
          <w:delText>Tabella 2</w:delText>
        </w:r>
      </w:del>
      <w:del w:id="10774" w:author="AbbVie14" w:date="2025-05-09T10:34:00Z">
        <w:r w:rsidR="005C4AD7">
          <w:rPr>
            <w:rFonts w:eastAsia="Arial Unicode MS"/>
            <w:b/>
            <w:bCs/>
            <w:sz w:val="22"/>
            <w:szCs w:val="22"/>
          </w:rPr>
          <w:delText>3</w:delText>
        </w:r>
      </w:del>
    </w:p>
    <w:p w:rsidR="006224C2" w:rsidRPr="00295E71" w:rsidP="00AD7AF0" w14:paraId="235AC71F" w14:textId="77777777">
      <w:pPr>
        <w:pStyle w:val="EMEANormal"/>
        <w:keepNext/>
        <w:jc w:val="center"/>
        <w:rPr>
          <w:del w:id="10775" w:author="AbbVie14" w:date="2025-05-09T10:34:00Z"/>
          <w:rFonts w:eastAsia="Arial Unicode MS"/>
          <w:b/>
          <w:bCs/>
          <w:lang w:val="it-IT"/>
        </w:rPr>
      </w:pPr>
      <w:del w:id="10776" w:author="AbbVie14" w:date="2025-05-09T10:34:00Z">
        <w:r w:rsidRPr="00295E71">
          <w:rPr>
            <w:rFonts w:eastAsia="Arial Unicode MS"/>
            <w:b/>
            <w:bCs/>
            <w:lang w:val="it-IT"/>
          </w:rPr>
          <w:delText xml:space="preserve">Risposta, </w:delText>
        </w:r>
      </w:del>
      <w:del w:id="10777" w:author="AbbVie14" w:date="2025-05-09T10:34:00Z">
        <w:r w:rsidR="00A02331">
          <w:rPr>
            <w:rFonts w:eastAsia="Arial Unicode MS"/>
            <w:b/>
            <w:bCs/>
            <w:lang w:val="it-IT"/>
          </w:rPr>
          <w:delText>r</w:delText>
        </w:r>
      </w:del>
      <w:del w:id="10778" w:author="AbbVie14" w:date="2025-05-09T10:34:00Z">
        <w:r w:rsidRPr="00295E71">
          <w:rPr>
            <w:rFonts w:eastAsia="Arial Unicode MS"/>
            <w:b/>
            <w:bCs/>
            <w:lang w:val="it-IT"/>
          </w:rPr>
          <w:delText>emissione e guarigione della mucosa nello Studio UC-II</w:delText>
        </w:r>
      </w:del>
    </w:p>
    <w:p w:rsidR="006224C2" w:rsidRPr="00295E71" w:rsidP="00AD7AF0" w14:paraId="6C95B737" w14:textId="77777777">
      <w:pPr>
        <w:pStyle w:val="EMEANormal"/>
        <w:keepNext/>
        <w:jc w:val="center"/>
        <w:rPr>
          <w:del w:id="10779" w:author="AbbVie14" w:date="2025-05-09T10:34:00Z"/>
          <w:rFonts w:eastAsia="Arial Unicode MS"/>
          <w:b/>
          <w:lang w:val="it-IT"/>
        </w:rPr>
      </w:pPr>
      <w:del w:id="10780" w:author="AbbVie14" w:date="2025-05-09T10:34:00Z">
        <w:r w:rsidRPr="00295E71">
          <w:rPr>
            <w:rFonts w:eastAsia="Arial Unicode MS"/>
            <w:b/>
            <w:lang w:val="it-IT"/>
          </w:rPr>
          <w:delText>(Percentuale di pazienti)</w:delText>
        </w:r>
      </w:del>
    </w:p>
    <w:p w:rsidR="006224C2" w:rsidRPr="00295E71" w:rsidP="00AD7AF0" w14:paraId="46A2B9B5" w14:textId="77777777">
      <w:pPr>
        <w:pStyle w:val="EMEANormal"/>
        <w:keepNext/>
        <w:spacing w:before="144"/>
        <w:jc w:val="center"/>
        <w:rPr>
          <w:del w:id="10781" w:author="AbbVie14" w:date="2025-05-09T10:34:00Z"/>
          <w:rFonts w:eastAsia="Arial Unicode MS"/>
          <w:b/>
          <w:lang w:val="it-IT"/>
        </w:rPr>
      </w:pPr>
    </w:p>
    <w:tbl>
      <w:tblPr>
        <w:tblW w:w="4375" w:type="pct"/>
        <w:tblInd w:w="-105" w:type="dxa"/>
        <w:tblCellMar>
          <w:top w:w="15" w:type="dxa"/>
          <w:left w:w="15" w:type="dxa"/>
          <w:bottom w:w="15" w:type="dxa"/>
          <w:right w:w="15" w:type="dxa"/>
        </w:tblCellMar>
        <w:tblLook w:val="0000"/>
      </w:tblPr>
      <w:tblGrid>
        <w:gridCol w:w="4724"/>
        <w:gridCol w:w="1006"/>
        <w:gridCol w:w="2206"/>
      </w:tblGrid>
      <w:tr w14:paraId="738C4061" w14:textId="77777777">
        <w:tblPrEx>
          <w:tblW w:w="4375" w:type="pct"/>
          <w:tblInd w:w="-105" w:type="dxa"/>
          <w:tblLook w:val="0000"/>
        </w:tblPrEx>
        <w:trPr>
          <w:del w:id="10782" w:author="AbbVie14" w:date="2025-05-09T10:34:00Z"/>
        </w:trPr>
        <w:tc>
          <w:tcPr>
            <w:tcW w:w="2976" w:type="pct"/>
            <w:tcBorders>
              <w:top w:val="single" w:sz="6" w:space="0" w:color="000000"/>
              <w:left w:val="nil"/>
              <w:bottom w:val="single" w:sz="6" w:space="0" w:color="000000"/>
              <w:right w:val="nil"/>
            </w:tcBorders>
          </w:tcPr>
          <w:p w:rsidR="006224C2" w:rsidRPr="00295E71" w:rsidP="00AD7AF0" w14:paraId="6BBB30FD" w14:textId="77777777">
            <w:pPr>
              <w:keepNext/>
              <w:jc w:val="center"/>
              <w:rPr>
                <w:del w:id="10783" w:author="AbbVie14" w:date="2025-05-09T10:34:00Z"/>
                <w:rFonts w:eastAsia="Arial Unicode MS"/>
                <w:sz w:val="22"/>
                <w:szCs w:val="22"/>
              </w:rPr>
            </w:pPr>
          </w:p>
        </w:tc>
        <w:tc>
          <w:tcPr>
            <w:tcW w:w="634" w:type="pct"/>
            <w:tcBorders>
              <w:top w:val="single" w:sz="6" w:space="0" w:color="000000"/>
              <w:left w:val="nil"/>
              <w:bottom w:val="single" w:sz="6" w:space="0" w:color="000000"/>
              <w:right w:val="nil"/>
            </w:tcBorders>
          </w:tcPr>
          <w:p w:rsidR="006224C2" w:rsidRPr="00295E71" w:rsidP="00AD7AF0" w14:paraId="07534AC2" w14:textId="77777777">
            <w:pPr>
              <w:keepNext/>
              <w:jc w:val="center"/>
              <w:rPr>
                <w:del w:id="10784" w:author="AbbVie14" w:date="2025-05-09T10:34:00Z"/>
                <w:rFonts w:eastAsia="Arial Unicode MS"/>
                <w:sz w:val="22"/>
                <w:szCs w:val="22"/>
              </w:rPr>
            </w:pPr>
            <w:del w:id="10785" w:author="AbbVie14" w:date="2025-05-09T10:34:00Z">
              <w:r w:rsidRPr="00295E71">
                <w:rPr>
                  <w:rStyle w:val="bold4"/>
                  <w:rFonts w:eastAsia="Arial Unicode MS"/>
                  <w:sz w:val="22"/>
                  <w:szCs w:val="22"/>
                </w:rPr>
                <w:delText>Placebo</w:delText>
              </w:r>
            </w:del>
            <w:del w:id="10786" w:author="AbbVie14" w:date="2025-05-09T10:34:00Z">
              <w:r w:rsidRPr="00295E71">
                <w:rPr>
                  <w:rFonts w:eastAsia="Arial Unicode MS"/>
                  <w:sz w:val="22"/>
                  <w:szCs w:val="22"/>
                </w:rPr>
                <w:br/>
              </w:r>
            </w:del>
          </w:p>
        </w:tc>
        <w:tc>
          <w:tcPr>
            <w:tcW w:w="1391" w:type="pct"/>
            <w:tcBorders>
              <w:top w:val="single" w:sz="6" w:space="0" w:color="000000"/>
              <w:left w:val="nil"/>
              <w:bottom w:val="single" w:sz="6" w:space="0" w:color="000000"/>
              <w:right w:val="nil"/>
            </w:tcBorders>
          </w:tcPr>
          <w:p w:rsidR="006224C2" w:rsidRPr="00295E71" w:rsidP="00AD7AF0" w14:paraId="216796DF" w14:textId="77777777">
            <w:pPr>
              <w:keepNext/>
              <w:jc w:val="center"/>
              <w:rPr>
                <w:del w:id="10787" w:author="AbbVie14" w:date="2025-05-09T10:34:00Z"/>
                <w:rStyle w:val="bold4"/>
                <w:rFonts w:eastAsia="Arial Unicode MS"/>
                <w:sz w:val="22"/>
                <w:szCs w:val="22"/>
              </w:rPr>
            </w:pPr>
            <w:del w:id="10788" w:author="AbbVie14" w:date="2025-05-09T10:34:00Z">
              <w:r w:rsidRPr="00295E71">
                <w:rPr>
                  <w:rStyle w:val="bold4"/>
                  <w:rFonts w:eastAsia="Arial Unicode MS"/>
                  <w:sz w:val="22"/>
                  <w:szCs w:val="22"/>
                </w:rPr>
                <w:delText xml:space="preserve">Humira 40 mg </w:delText>
              </w:r>
            </w:del>
          </w:p>
          <w:p w:rsidR="006224C2" w:rsidRPr="00295E71" w:rsidP="00AD7AF0" w14:paraId="1E13AACD" w14:textId="77777777">
            <w:pPr>
              <w:keepNext/>
              <w:jc w:val="center"/>
              <w:rPr>
                <w:del w:id="10789" w:author="AbbVie14" w:date="2025-05-09T10:34:00Z"/>
                <w:rFonts w:eastAsia="Arial Unicode MS"/>
                <w:sz w:val="22"/>
                <w:szCs w:val="22"/>
              </w:rPr>
            </w:pPr>
            <w:del w:id="10790" w:author="AbbVie14" w:date="2025-05-09T10:34:00Z">
              <w:r w:rsidRPr="00295E71">
                <w:rPr>
                  <w:rStyle w:val="bold4"/>
                  <w:rFonts w:eastAsia="Arial Unicode MS"/>
                  <w:sz w:val="22"/>
                  <w:szCs w:val="22"/>
                </w:rPr>
                <w:delText>a settimane alterne</w:delText>
              </w:r>
            </w:del>
          </w:p>
        </w:tc>
      </w:tr>
      <w:tr w14:paraId="3AB18BDC" w14:textId="77777777">
        <w:tblPrEx>
          <w:tblW w:w="4375" w:type="pct"/>
          <w:tblInd w:w="-105" w:type="dxa"/>
          <w:tblLook w:val="0000"/>
        </w:tblPrEx>
        <w:trPr>
          <w:del w:id="10791" w:author="AbbVie14" w:date="2025-05-09T10:34:00Z"/>
        </w:trPr>
        <w:tc>
          <w:tcPr>
            <w:tcW w:w="2976" w:type="pct"/>
            <w:tcBorders>
              <w:top w:val="single" w:sz="6" w:space="0" w:color="000000"/>
              <w:left w:val="nil"/>
              <w:bottom w:val="single" w:sz="6" w:space="0" w:color="000000"/>
              <w:right w:val="nil"/>
            </w:tcBorders>
          </w:tcPr>
          <w:p w:rsidR="006224C2" w:rsidRPr="00295E71" w:rsidP="00AD7AF0" w14:paraId="668EB522" w14:textId="77777777">
            <w:pPr>
              <w:keepNext/>
              <w:rPr>
                <w:del w:id="10792" w:author="AbbVie14" w:date="2025-05-09T10:34:00Z"/>
                <w:rFonts w:eastAsia="Arial Unicode MS"/>
                <w:sz w:val="22"/>
                <w:szCs w:val="22"/>
              </w:rPr>
            </w:pPr>
            <w:del w:id="10793" w:author="AbbVie14" w:date="2025-05-09T10:34:00Z">
              <w:r w:rsidRPr="00295E71">
                <w:rPr>
                  <w:rFonts w:eastAsia="Arial Unicode MS"/>
                  <w:sz w:val="22"/>
                  <w:szCs w:val="22"/>
                </w:rPr>
                <w:delText>Settimana 52</w:delText>
              </w:r>
            </w:del>
          </w:p>
        </w:tc>
        <w:tc>
          <w:tcPr>
            <w:tcW w:w="634" w:type="pct"/>
            <w:tcBorders>
              <w:top w:val="single" w:sz="6" w:space="0" w:color="000000"/>
              <w:left w:val="nil"/>
              <w:bottom w:val="single" w:sz="6" w:space="0" w:color="000000"/>
              <w:right w:val="nil"/>
            </w:tcBorders>
          </w:tcPr>
          <w:p w:rsidR="006224C2" w:rsidRPr="00295E71" w:rsidP="00AD7AF0" w14:paraId="0BC7C8C6" w14:textId="77777777">
            <w:pPr>
              <w:keepNext/>
              <w:jc w:val="center"/>
              <w:rPr>
                <w:del w:id="10794" w:author="AbbVie14" w:date="2025-05-09T10:34:00Z"/>
                <w:rStyle w:val="bold4"/>
                <w:rFonts w:eastAsia="Arial Unicode MS"/>
                <w:sz w:val="22"/>
                <w:szCs w:val="22"/>
              </w:rPr>
            </w:pPr>
            <w:del w:id="10795" w:author="AbbVie14" w:date="2025-05-09T10:34:00Z">
              <w:r w:rsidRPr="00295E71">
                <w:rPr>
                  <w:rStyle w:val="bold4"/>
                  <w:rFonts w:eastAsia="Arial Unicode MS"/>
                  <w:sz w:val="22"/>
                  <w:szCs w:val="22"/>
                </w:rPr>
                <w:delText>N=246</w:delText>
              </w:r>
            </w:del>
          </w:p>
        </w:tc>
        <w:tc>
          <w:tcPr>
            <w:tcW w:w="1391" w:type="pct"/>
            <w:tcBorders>
              <w:top w:val="single" w:sz="6" w:space="0" w:color="000000"/>
              <w:left w:val="nil"/>
              <w:bottom w:val="single" w:sz="6" w:space="0" w:color="000000"/>
              <w:right w:val="nil"/>
            </w:tcBorders>
          </w:tcPr>
          <w:p w:rsidR="006224C2" w:rsidRPr="00295E71" w:rsidP="00AD7AF0" w14:paraId="0A6E0B3B" w14:textId="77777777">
            <w:pPr>
              <w:keepNext/>
              <w:jc w:val="center"/>
              <w:rPr>
                <w:del w:id="10796" w:author="AbbVie14" w:date="2025-05-09T10:34:00Z"/>
                <w:rStyle w:val="bold4"/>
                <w:rFonts w:eastAsia="Arial Unicode MS"/>
                <w:sz w:val="22"/>
                <w:szCs w:val="22"/>
              </w:rPr>
            </w:pPr>
            <w:del w:id="10797" w:author="AbbVie14" w:date="2025-05-09T10:34:00Z">
              <w:r w:rsidRPr="00295E71">
                <w:rPr>
                  <w:rStyle w:val="bold4"/>
                  <w:rFonts w:eastAsia="Arial Unicode MS"/>
                  <w:sz w:val="22"/>
                  <w:szCs w:val="22"/>
                </w:rPr>
                <w:delText>N=248</w:delText>
              </w:r>
            </w:del>
          </w:p>
        </w:tc>
      </w:tr>
      <w:tr w14:paraId="2FB88484" w14:textId="77777777">
        <w:tblPrEx>
          <w:tblW w:w="4375" w:type="pct"/>
          <w:tblInd w:w="-105" w:type="dxa"/>
          <w:tblLook w:val="0000"/>
        </w:tblPrEx>
        <w:trPr>
          <w:del w:id="10798" w:author="AbbVie14" w:date="2025-05-09T10:34:00Z"/>
        </w:trPr>
        <w:tc>
          <w:tcPr>
            <w:tcW w:w="2976" w:type="pct"/>
            <w:tcBorders>
              <w:top w:val="nil"/>
              <w:left w:val="nil"/>
              <w:right w:val="nil"/>
            </w:tcBorders>
          </w:tcPr>
          <w:p w:rsidR="006224C2" w:rsidRPr="00295E71" w:rsidP="00AD7AF0" w14:paraId="484F3DF4" w14:textId="77777777">
            <w:pPr>
              <w:keepNext/>
              <w:rPr>
                <w:del w:id="10799" w:author="AbbVie14" w:date="2025-05-09T10:34:00Z"/>
                <w:rFonts w:eastAsia="Arial Unicode MS"/>
                <w:sz w:val="22"/>
                <w:szCs w:val="22"/>
              </w:rPr>
            </w:pPr>
            <w:del w:id="10800" w:author="AbbVie14" w:date="2025-05-09T10:34:00Z">
              <w:r w:rsidRPr="00295E71">
                <w:rPr>
                  <w:rFonts w:eastAsia="Arial Unicode MS"/>
                  <w:sz w:val="22"/>
                  <w:szCs w:val="22"/>
                </w:rPr>
                <w:delText xml:space="preserve">  Risposta clinica </w:delText>
              </w:r>
            </w:del>
          </w:p>
        </w:tc>
        <w:tc>
          <w:tcPr>
            <w:tcW w:w="634" w:type="pct"/>
            <w:tcBorders>
              <w:top w:val="nil"/>
              <w:left w:val="nil"/>
              <w:right w:val="nil"/>
            </w:tcBorders>
          </w:tcPr>
          <w:p w:rsidR="006224C2" w:rsidRPr="00295E71" w:rsidP="00AD7AF0" w14:paraId="23089AF9" w14:textId="77777777">
            <w:pPr>
              <w:keepNext/>
              <w:jc w:val="center"/>
              <w:rPr>
                <w:del w:id="10801" w:author="AbbVie14" w:date="2025-05-09T10:34:00Z"/>
                <w:rFonts w:eastAsia="Arial Unicode MS"/>
                <w:sz w:val="22"/>
                <w:szCs w:val="22"/>
              </w:rPr>
            </w:pPr>
            <w:del w:id="10802" w:author="AbbVie14" w:date="2025-05-09T10:34:00Z">
              <w:r w:rsidRPr="00295E71">
                <w:rPr>
                  <w:rFonts w:eastAsia="Arial Unicode MS"/>
                  <w:sz w:val="22"/>
                  <w:szCs w:val="22"/>
                </w:rPr>
                <w:delText xml:space="preserve">18% </w:delText>
              </w:r>
            </w:del>
          </w:p>
        </w:tc>
        <w:tc>
          <w:tcPr>
            <w:tcW w:w="1391" w:type="pct"/>
            <w:tcBorders>
              <w:top w:val="nil"/>
              <w:left w:val="nil"/>
              <w:right w:val="nil"/>
            </w:tcBorders>
          </w:tcPr>
          <w:p w:rsidR="006224C2" w:rsidRPr="00295E71" w:rsidP="00AD7AF0" w14:paraId="1C2E1A6D" w14:textId="77777777">
            <w:pPr>
              <w:keepNext/>
              <w:jc w:val="center"/>
              <w:rPr>
                <w:del w:id="10803" w:author="AbbVie14" w:date="2025-05-09T10:34:00Z"/>
                <w:rFonts w:eastAsia="Arial Unicode MS"/>
                <w:sz w:val="22"/>
                <w:szCs w:val="22"/>
              </w:rPr>
            </w:pPr>
            <w:del w:id="10804" w:author="AbbVie14" w:date="2025-05-09T10:34:00Z">
              <w:r w:rsidRPr="00295E71">
                <w:rPr>
                  <w:rFonts w:eastAsia="Arial Unicode MS"/>
                  <w:sz w:val="22"/>
                  <w:szCs w:val="22"/>
                </w:rPr>
                <w:delText xml:space="preserve">   30%*</w:delText>
              </w:r>
            </w:del>
          </w:p>
        </w:tc>
      </w:tr>
      <w:tr w14:paraId="467F6EDA" w14:textId="77777777">
        <w:tblPrEx>
          <w:tblW w:w="4375" w:type="pct"/>
          <w:tblInd w:w="-105" w:type="dxa"/>
          <w:tblLook w:val="0000"/>
        </w:tblPrEx>
        <w:trPr>
          <w:del w:id="10805" w:author="AbbVie14" w:date="2025-05-09T10:34:00Z"/>
        </w:trPr>
        <w:tc>
          <w:tcPr>
            <w:tcW w:w="2976" w:type="pct"/>
            <w:tcBorders>
              <w:top w:val="nil"/>
              <w:left w:val="nil"/>
              <w:right w:val="nil"/>
            </w:tcBorders>
          </w:tcPr>
          <w:p w:rsidR="006224C2" w:rsidRPr="00295E71" w:rsidP="00AD7AF0" w14:paraId="54C08947" w14:textId="77777777">
            <w:pPr>
              <w:keepNext/>
              <w:rPr>
                <w:del w:id="10806" w:author="AbbVie14" w:date="2025-05-09T10:34:00Z"/>
                <w:rFonts w:eastAsia="Arial Unicode MS"/>
                <w:sz w:val="22"/>
                <w:szCs w:val="22"/>
              </w:rPr>
            </w:pPr>
            <w:del w:id="10807" w:author="AbbVie14" w:date="2025-05-09T10:34:00Z">
              <w:r w:rsidRPr="00295E71">
                <w:rPr>
                  <w:rFonts w:eastAsia="Arial Unicode MS"/>
                  <w:sz w:val="22"/>
                  <w:szCs w:val="22"/>
                </w:rPr>
                <w:delText xml:space="preserve">  Remissione clinica </w:delText>
              </w:r>
            </w:del>
          </w:p>
        </w:tc>
        <w:tc>
          <w:tcPr>
            <w:tcW w:w="634" w:type="pct"/>
            <w:tcBorders>
              <w:top w:val="nil"/>
              <w:left w:val="nil"/>
              <w:right w:val="nil"/>
            </w:tcBorders>
          </w:tcPr>
          <w:p w:rsidR="006224C2" w:rsidRPr="00295E71" w:rsidP="00AD7AF0" w14:paraId="795F5403" w14:textId="77777777">
            <w:pPr>
              <w:keepNext/>
              <w:jc w:val="center"/>
              <w:rPr>
                <w:del w:id="10808" w:author="AbbVie14" w:date="2025-05-09T10:34:00Z"/>
                <w:rFonts w:eastAsia="Arial Unicode MS"/>
                <w:sz w:val="22"/>
                <w:szCs w:val="22"/>
              </w:rPr>
            </w:pPr>
            <w:del w:id="10809" w:author="AbbVie14" w:date="2025-05-09T10:34:00Z">
              <w:r w:rsidRPr="00295E71">
                <w:rPr>
                  <w:rFonts w:eastAsia="Arial Unicode MS"/>
                  <w:sz w:val="22"/>
                  <w:szCs w:val="22"/>
                </w:rPr>
                <w:delText>9%</w:delText>
              </w:r>
            </w:del>
          </w:p>
        </w:tc>
        <w:tc>
          <w:tcPr>
            <w:tcW w:w="1391" w:type="pct"/>
            <w:tcBorders>
              <w:top w:val="nil"/>
              <w:left w:val="nil"/>
              <w:right w:val="nil"/>
            </w:tcBorders>
          </w:tcPr>
          <w:p w:rsidR="006224C2" w:rsidRPr="00295E71" w:rsidP="00AD7AF0" w14:paraId="5926F485" w14:textId="77777777">
            <w:pPr>
              <w:keepNext/>
              <w:jc w:val="center"/>
              <w:rPr>
                <w:del w:id="10810" w:author="AbbVie14" w:date="2025-05-09T10:34:00Z"/>
                <w:rFonts w:eastAsia="Arial Unicode MS"/>
                <w:sz w:val="22"/>
                <w:szCs w:val="22"/>
              </w:rPr>
            </w:pPr>
            <w:del w:id="10811" w:author="AbbVie14" w:date="2025-05-09T10:34:00Z">
              <w:r w:rsidRPr="00295E71">
                <w:rPr>
                  <w:rFonts w:eastAsia="Arial Unicode MS"/>
                  <w:sz w:val="22"/>
                  <w:szCs w:val="22"/>
                </w:rPr>
                <w:delText xml:space="preserve">   17%*</w:delText>
              </w:r>
            </w:del>
          </w:p>
        </w:tc>
      </w:tr>
      <w:tr w14:paraId="3A7DFCA3" w14:textId="77777777">
        <w:tblPrEx>
          <w:tblW w:w="4375" w:type="pct"/>
          <w:tblInd w:w="-105" w:type="dxa"/>
          <w:tblLook w:val="0000"/>
        </w:tblPrEx>
        <w:trPr>
          <w:del w:id="10812" w:author="AbbVie14" w:date="2025-05-09T10:34:00Z"/>
        </w:trPr>
        <w:tc>
          <w:tcPr>
            <w:tcW w:w="2976" w:type="pct"/>
            <w:tcBorders>
              <w:top w:val="nil"/>
              <w:left w:val="nil"/>
              <w:right w:val="nil"/>
            </w:tcBorders>
          </w:tcPr>
          <w:p w:rsidR="006224C2" w:rsidRPr="00295E71" w:rsidP="00AD7AF0" w14:paraId="21CC878D" w14:textId="77777777">
            <w:pPr>
              <w:keepNext/>
              <w:rPr>
                <w:del w:id="10813" w:author="AbbVie14" w:date="2025-05-09T10:34:00Z"/>
                <w:rFonts w:eastAsia="Arial Unicode MS"/>
                <w:sz w:val="22"/>
                <w:szCs w:val="22"/>
              </w:rPr>
            </w:pPr>
            <w:del w:id="10814" w:author="AbbVie14" w:date="2025-05-09T10:34:00Z">
              <w:r w:rsidRPr="00295E71">
                <w:rPr>
                  <w:rFonts w:eastAsia="Arial Unicode MS"/>
                  <w:sz w:val="22"/>
                  <w:szCs w:val="22"/>
                </w:rPr>
                <w:delText xml:space="preserve">  Guarigione della mucosa  </w:delText>
              </w:r>
            </w:del>
          </w:p>
        </w:tc>
        <w:tc>
          <w:tcPr>
            <w:tcW w:w="634" w:type="pct"/>
            <w:tcBorders>
              <w:top w:val="nil"/>
              <w:left w:val="nil"/>
              <w:right w:val="nil"/>
            </w:tcBorders>
          </w:tcPr>
          <w:p w:rsidR="006224C2" w:rsidRPr="00295E71" w:rsidP="00AD7AF0" w14:paraId="3E78E458" w14:textId="77777777">
            <w:pPr>
              <w:keepNext/>
              <w:jc w:val="center"/>
              <w:rPr>
                <w:del w:id="10815" w:author="AbbVie14" w:date="2025-05-09T10:34:00Z"/>
                <w:rFonts w:eastAsia="Arial Unicode MS"/>
                <w:sz w:val="22"/>
                <w:szCs w:val="22"/>
              </w:rPr>
            </w:pPr>
            <w:del w:id="10816" w:author="AbbVie14" w:date="2025-05-09T10:34:00Z">
              <w:r w:rsidRPr="00295E71">
                <w:rPr>
                  <w:rFonts w:eastAsia="Arial Unicode MS"/>
                  <w:sz w:val="22"/>
                  <w:szCs w:val="22"/>
                </w:rPr>
                <w:delText>15%</w:delText>
              </w:r>
            </w:del>
          </w:p>
        </w:tc>
        <w:tc>
          <w:tcPr>
            <w:tcW w:w="1391" w:type="pct"/>
            <w:tcBorders>
              <w:top w:val="nil"/>
              <w:left w:val="nil"/>
              <w:right w:val="nil"/>
            </w:tcBorders>
          </w:tcPr>
          <w:p w:rsidR="006224C2" w:rsidRPr="00295E71" w:rsidP="00AD7AF0" w14:paraId="3EDCDFAE" w14:textId="77777777">
            <w:pPr>
              <w:keepNext/>
              <w:jc w:val="center"/>
              <w:rPr>
                <w:del w:id="10817" w:author="AbbVie14" w:date="2025-05-09T10:34:00Z"/>
                <w:rFonts w:eastAsia="Arial Unicode MS"/>
                <w:sz w:val="22"/>
                <w:szCs w:val="22"/>
              </w:rPr>
            </w:pPr>
            <w:del w:id="10818" w:author="AbbVie14" w:date="2025-05-09T10:34:00Z">
              <w:r w:rsidRPr="00295E71">
                <w:rPr>
                  <w:rFonts w:eastAsia="Arial Unicode MS"/>
                  <w:sz w:val="22"/>
                  <w:szCs w:val="22"/>
                </w:rPr>
                <w:delText xml:space="preserve">   25%*</w:delText>
              </w:r>
            </w:del>
          </w:p>
        </w:tc>
      </w:tr>
      <w:tr w14:paraId="4F68C698" w14:textId="77777777">
        <w:tblPrEx>
          <w:tblW w:w="4375" w:type="pct"/>
          <w:tblInd w:w="-105" w:type="dxa"/>
          <w:tblLook w:val="0000"/>
        </w:tblPrEx>
        <w:trPr>
          <w:del w:id="10819" w:author="AbbVie14" w:date="2025-05-09T10:34:00Z"/>
        </w:trPr>
        <w:tc>
          <w:tcPr>
            <w:tcW w:w="2976" w:type="pct"/>
            <w:tcBorders>
              <w:top w:val="nil"/>
              <w:left w:val="nil"/>
              <w:right w:val="nil"/>
            </w:tcBorders>
          </w:tcPr>
          <w:p w:rsidR="006224C2" w:rsidRPr="00295E71" w:rsidP="00AD7AF0" w14:paraId="0E51DEAC" w14:textId="77777777">
            <w:pPr>
              <w:keepNext/>
              <w:rPr>
                <w:del w:id="10820" w:author="AbbVie14" w:date="2025-05-09T10:34:00Z"/>
                <w:rFonts w:eastAsia="Arial Unicode MS"/>
                <w:sz w:val="22"/>
                <w:szCs w:val="22"/>
              </w:rPr>
            </w:pPr>
            <w:del w:id="10821" w:author="AbbVie14" w:date="2025-05-09T10:34:00Z">
              <w:r w:rsidRPr="00295E71">
                <w:rPr>
                  <w:rFonts w:eastAsia="Arial Unicode MS"/>
                  <w:sz w:val="22"/>
                  <w:szCs w:val="22"/>
                </w:rPr>
                <w:delText xml:space="preserve">  Remissione libera da </w:delText>
              </w:r>
            </w:del>
            <w:del w:id="10822" w:author="AbbVie14" w:date="2025-05-09T10:34:00Z">
              <w:r w:rsidR="00A02331">
                <w:rPr>
                  <w:rFonts w:eastAsia="Arial Unicode MS"/>
                  <w:sz w:val="22"/>
                  <w:szCs w:val="22"/>
                </w:rPr>
                <w:delText>s</w:delText>
              </w:r>
            </w:del>
            <w:del w:id="10823" w:author="AbbVie14" w:date="2025-05-09T10:34:00Z">
              <w:r w:rsidRPr="00295E71">
                <w:rPr>
                  <w:rFonts w:eastAsia="Arial Unicode MS"/>
                  <w:sz w:val="22"/>
                  <w:szCs w:val="22"/>
                </w:rPr>
                <w:delText>teroidi per un periodo ≥ 90 giorni</w:delText>
              </w:r>
            </w:del>
            <w:del w:id="10824" w:author="AbbVie14" w:date="2025-05-09T10:34:00Z">
              <w:r w:rsidRPr="00295E71">
                <w:rPr>
                  <w:sz w:val="22"/>
                  <w:szCs w:val="22"/>
                  <w:vertAlign w:val="superscript"/>
                </w:rPr>
                <w:delText xml:space="preserve"> a</w:delText>
              </w:r>
            </w:del>
          </w:p>
        </w:tc>
        <w:tc>
          <w:tcPr>
            <w:tcW w:w="634" w:type="pct"/>
            <w:tcBorders>
              <w:top w:val="nil"/>
              <w:left w:val="nil"/>
              <w:right w:val="nil"/>
            </w:tcBorders>
          </w:tcPr>
          <w:p w:rsidR="006224C2" w:rsidRPr="00295E71" w:rsidP="00AD7AF0" w14:paraId="75D81DB6" w14:textId="77777777">
            <w:pPr>
              <w:keepNext/>
              <w:jc w:val="center"/>
              <w:rPr>
                <w:del w:id="10825" w:author="AbbVie14" w:date="2025-05-09T10:34:00Z"/>
                <w:rFonts w:eastAsia="Arial Unicode MS"/>
                <w:sz w:val="22"/>
                <w:szCs w:val="22"/>
              </w:rPr>
            </w:pPr>
            <w:del w:id="10826" w:author="AbbVie14" w:date="2025-05-09T10:34:00Z">
              <w:r w:rsidRPr="00295E71">
                <w:rPr>
                  <w:rFonts w:eastAsia="Arial Unicode MS"/>
                  <w:sz w:val="22"/>
                  <w:szCs w:val="22"/>
                </w:rPr>
                <w:delText xml:space="preserve">6% </w:delText>
              </w:r>
            </w:del>
          </w:p>
          <w:p w:rsidR="006224C2" w:rsidRPr="00295E71" w:rsidP="00AD7AF0" w14:paraId="7EF8B5EA" w14:textId="77777777">
            <w:pPr>
              <w:keepNext/>
              <w:jc w:val="center"/>
              <w:rPr>
                <w:del w:id="10827" w:author="AbbVie14" w:date="2025-05-09T10:34:00Z"/>
                <w:rFonts w:eastAsia="Arial Unicode MS"/>
                <w:sz w:val="22"/>
                <w:szCs w:val="22"/>
              </w:rPr>
            </w:pPr>
            <w:del w:id="10828" w:author="AbbVie14" w:date="2025-05-09T10:34:00Z">
              <w:r w:rsidRPr="00295E71">
                <w:rPr>
                  <w:rFonts w:eastAsia="Arial Unicode MS"/>
                  <w:sz w:val="22"/>
                  <w:szCs w:val="22"/>
                </w:rPr>
                <w:delText>(N=140)</w:delText>
              </w:r>
            </w:del>
          </w:p>
        </w:tc>
        <w:tc>
          <w:tcPr>
            <w:tcW w:w="1391" w:type="pct"/>
            <w:tcBorders>
              <w:top w:val="nil"/>
              <w:left w:val="nil"/>
              <w:right w:val="nil"/>
            </w:tcBorders>
          </w:tcPr>
          <w:p w:rsidR="006224C2" w:rsidRPr="00295E71" w:rsidP="00AD7AF0" w14:paraId="2667DA4E" w14:textId="77777777">
            <w:pPr>
              <w:keepNext/>
              <w:jc w:val="center"/>
              <w:rPr>
                <w:del w:id="10829" w:author="AbbVie14" w:date="2025-05-09T10:34:00Z"/>
                <w:rFonts w:eastAsia="Arial Unicode MS"/>
                <w:sz w:val="22"/>
                <w:szCs w:val="22"/>
              </w:rPr>
            </w:pPr>
            <w:del w:id="10830" w:author="AbbVie14" w:date="2025-05-09T10:34:00Z">
              <w:r w:rsidRPr="00295E71">
                <w:rPr>
                  <w:rFonts w:eastAsia="Arial Unicode MS"/>
                  <w:sz w:val="22"/>
                  <w:szCs w:val="22"/>
                </w:rPr>
                <w:delText xml:space="preserve">     13% *</w:delText>
              </w:r>
            </w:del>
          </w:p>
          <w:p w:rsidR="006224C2" w:rsidRPr="00295E71" w:rsidP="00AD7AF0" w14:paraId="792EA565" w14:textId="77777777">
            <w:pPr>
              <w:keepNext/>
              <w:jc w:val="center"/>
              <w:rPr>
                <w:del w:id="10831" w:author="AbbVie14" w:date="2025-05-09T10:34:00Z"/>
                <w:rFonts w:eastAsia="Arial Unicode MS"/>
                <w:sz w:val="22"/>
                <w:szCs w:val="22"/>
              </w:rPr>
            </w:pPr>
            <w:del w:id="10832" w:author="AbbVie14" w:date="2025-05-09T10:34:00Z">
              <w:r w:rsidRPr="00295E71">
                <w:rPr>
                  <w:rFonts w:eastAsia="Arial Unicode MS"/>
                  <w:sz w:val="22"/>
                  <w:szCs w:val="22"/>
                </w:rPr>
                <w:delText>(N=150)</w:delText>
              </w:r>
            </w:del>
          </w:p>
          <w:p w:rsidR="006224C2" w:rsidRPr="00295E71" w:rsidP="00AD7AF0" w14:paraId="0D8C0357" w14:textId="77777777">
            <w:pPr>
              <w:keepNext/>
              <w:rPr>
                <w:del w:id="10833" w:author="AbbVie14" w:date="2025-05-09T10:34:00Z"/>
                <w:rFonts w:eastAsia="Arial Unicode MS"/>
                <w:sz w:val="22"/>
                <w:szCs w:val="22"/>
              </w:rPr>
            </w:pPr>
          </w:p>
        </w:tc>
      </w:tr>
      <w:tr w14:paraId="7E4683EC" w14:textId="77777777">
        <w:tblPrEx>
          <w:tblW w:w="4375" w:type="pct"/>
          <w:tblInd w:w="-105" w:type="dxa"/>
          <w:tblLook w:val="0000"/>
        </w:tblPrEx>
        <w:trPr>
          <w:del w:id="10834" w:author="AbbVie14" w:date="2025-05-09T10:34:00Z"/>
        </w:trPr>
        <w:tc>
          <w:tcPr>
            <w:tcW w:w="2976" w:type="pct"/>
            <w:tcBorders>
              <w:top w:val="nil"/>
              <w:left w:val="nil"/>
              <w:right w:val="nil"/>
            </w:tcBorders>
          </w:tcPr>
          <w:p w:rsidR="006224C2" w:rsidRPr="00295E71" w:rsidP="00AD7AF0" w14:paraId="01979295" w14:textId="77777777">
            <w:pPr>
              <w:keepNext/>
              <w:rPr>
                <w:del w:id="10835" w:author="AbbVie14" w:date="2025-05-09T10:34:00Z"/>
                <w:rFonts w:eastAsia="Arial Unicode MS"/>
                <w:sz w:val="22"/>
                <w:szCs w:val="22"/>
              </w:rPr>
            </w:pPr>
            <w:del w:id="10836" w:author="AbbVie14" w:date="2025-05-09T10:34:00Z">
              <w:r w:rsidRPr="00295E71">
                <w:rPr>
                  <w:rFonts w:eastAsia="Arial Unicode MS"/>
                  <w:sz w:val="22"/>
                  <w:szCs w:val="22"/>
                </w:rPr>
                <w:delText>Settimana 8 e 52</w:delText>
              </w:r>
            </w:del>
          </w:p>
        </w:tc>
        <w:tc>
          <w:tcPr>
            <w:tcW w:w="634" w:type="pct"/>
            <w:tcBorders>
              <w:top w:val="nil"/>
              <w:left w:val="nil"/>
              <w:right w:val="nil"/>
            </w:tcBorders>
          </w:tcPr>
          <w:p w:rsidR="006224C2" w:rsidRPr="00295E71" w:rsidP="00AD7AF0" w14:paraId="2EDF1E0B" w14:textId="77777777">
            <w:pPr>
              <w:keepNext/>
              <w:jc w:val="center"/>
              <w:rPr>
                <w:del w:id="10837" w:author="AbbVie14" w:date="2025-05-09T10:34:00Z"/>
                <w:rFonts w:eastAsia="Arial Unicode MS"/>
                <w:sz w:val="22"/>
                <w:szCs w:val="22"/>
              </w:rPr>
            </w:pPr>
          </w:p>
        </w:tc>
        <w:tc>
          <w:tcPr>
            <w:tcW w:w="1391" w:type="pct"/>
            <w:tcBorders>
              <w:top w:val="nil"/>
              <w:left w:val="nil"/>
              <w:right w:val="nil"/>
            </w:tcBorders>
          </w:tcPr>
          <w:p w:rsidR="006224C2" w:rsidRPr="00295E71" w:rsidP="00AD7AF0" w14:paraId="40906384" w14:textId="77777777">
            <w:pPr>
              <w:keepNext/>
              <w:jc w:val="center"/>
              <w:rPr>
                <w:del w:id="10838" w:author="AbbVie14" w:date="2025-05-09T10:34:00Z"/>
                <w:rFonts w:eastAsia="Arial Unicode MS"/>
                <w:sz w:val="22"/>
                <w:szCs w:val="22"/>
              </w:rPr>
            </w:pPr>
          </w:p>
        </w:tc>
      </w:tr>
      <w:tr w14:paraId="0E8C48EB" w14:textId="77777777">
        <w:tblPrEx>
          <w:tblW w:w="4375" w:type="pct"/>
          <w:tblInd w:w="-105" w:type="dxa"/>
          <w:tblLook w:val="0000"/>
        </w:tblPrEx>
        <w:trPr>
          <w:del w:id="10839" w:author="AbbVie14" w:date="2025-05-09T10:34:00Z"/>
        </w:trPr>
        <w:tc>
          <w:tcPr>
            <w:tcW w:w="2976" w:type="pct"/>
            <w:tcBorders>
              <w:top w:val="nil"/>
              <w:left w:val="nil"/>
              <w:right w:val="nil"/>
            </w:tcBorders>
          </w:tcPr>
          <w:p w:rsidR="006224C2" w:rsidRPr="00295E71" w:rsidP="00AD7AF0" w14:paraId="723FE978" w14:textId="77777777">
            <w:pPr>
              <w:keepNext/>
              <w:rPr>
                <w:del w:id="10840" w:author="AbbVie14" w:date="2025-05-09T10:34:00Z"/>
                <w:rFonts w:eastAsia="Arial Unicode MS"/>
                <w:sz w:val="22"/>
                <w:szCs w:val="22"/>
              </w:rPr>
            </w:pPr>
            <w:del w:id="10841" w:author="AbbVie14" w:date="2025-05-09T10:34:00Z">
              <w:r w:rsidRPr="00295E71">
                <w:rPr>
                  <w:rFonts w:eastAsia="Arial Unicode MS"/>
                  <w:sz w:val="22"/>
                  <w:szCs w:val="22"/>
                </w:rPr>
                <w:delText xml:space="preserve">  Risposta prolungata</w:delText>
              </w:r>
            </w:del>
          </w:p>
        </w:tc>
        <w:tc>
          <w:tcPr>
            <w:tcW w:w="634" w:type="pct"/>
            <w:tcBorders>
              <w:top w:val="nil"/>
              <w:left w:val="nil"/>
              <w:right w:val="nil"/>
            </w:tcBorders>
          </w:tcPr>
          <w:p w:rsidR="006224C2" w:rsidRPr="00295E71" w:rsidP="00AD7AF0" w14:paraId="18ECA0CC" w14:textId="77777777">
            <w:pPr>
              <w:keepNext/>
              <w:jc w:val="center"/>
              <w:rPr>
                <w:del w:id="10842" w:author="AbbVie14" w:date="2025-05-09T10:34:00Z"/>
                <w:rFonts w:eastAsia="Arial Unicode MS"/>
                <w:sz w:val="22"/>
                <w:szCs w:val="22"/>
              </w:rPr>
            </w:pPr>
            <w:del w:id="10843" w:author="AbbVie14" w:date="2025-05-09T10:34:00Z">
              <w:r w:rsidRPr="00295E71">
                <w:rPr>
                  <w:rFonts w:eastAsia="Arial Unicode MS"/>
                  <w:sz w:val="22"/>
                  <w:szCs w:val="22"/>
                </w:rPr>
                <w:delText>12%</w:delText>
              </w:r>
            </w:del>
          </w:p>
        </w:tc>
        <w:tc>
          <w:tcPr>
            <w:tcW w:w="1391" w:type="pct"/>
            <w:tcBorders>
              <w:top w:val="nil"/>
              <w:left w:val="nil"/>
              <w:right w:val="nil"/>
            </w:tcBorders>
          </w:tcPr>
          <w:p w:rsidR="006224C2" w:rsidRPr="00295E71" w:rsidP="00AD7AF0" w14:paraId="48E183DB" w14:textId="77777777">
            <w:pPr>
              <w:keepNext/>
              <w:jc w:val="center"/>
              <w:rPr>
                <w:del w:id="10844" w:author="AbbVie14" w:date="2025-05-09T10:34:00Z"/>
                <w:rFonts w:eastAsia="Arial Unicode MS"/>
                <w:sz w:val="22"/>
                <w:szCs w:val="22"/>
              </w:rPr>
            </w:pPr>
            <w:del w:id="10845" w:author="AbbVie14" w:date="2025-05-09T10:34:00Z">
              <w:r w:rsidRPr="00295E71">
                <w:rPr>
                  <w:rFonts w:eastAsia="Arial Unicode MS"/>
                  <w:sz w:val="22"/>
                  <w:szCs w:val="22"/>
                </w:rPr>
                <w:delText xml:space="preserve">   24%**</w:delText>
              </w:r>
            </w:del>
          </w:p>
        </w:tc>
      </w:tr>
      <w:tr w14:paraId="3FF6BF13" w14:textId="77777777">
        <w:tblPrEx>
          <w:tblW w:w="4375" w:type="pct"/>
          <w:tblInd w:w="-105" w:type="dxa"/>
          <w:tblLook w:val="0000"/>
        </w:tblPrEx>
        <w:trPr>
          <w:del w:id="10846" w:author="AbbVie14" w:date="2025-05-09T10:34:00Z"/>
        </w:trPr>
        <w:tc>
          <w:tcPr>
            <w:tcW w:w="2976" w:type="pct"/>
            <w:tcBorders>
              <w:top w:val="nil"/>
              <w:left w:val="nil"/>
              <w:right w:val="nil"/>
            </w:tcBorders>
          </w:tcPr>
          <w:p w:rsidR="006224C2" w:rsidRPr="00295E71" w:rsidP="00AD7AF0" w14:paraId="36D6297A" w14:textId="77777777">
            <w:pPr>
              <w:keepNext/>
              <w:rPr>
                <w:del w:id="10847" w:author="AbbVie14" w:date="2025-05-09T10:34:00Z"/>
                <w:rFonts w:eastAsia="Arial Unicode MS"/>
                <w:sz w:val="22"/>
                <w:szCs w:val="22"/>
              </w:rPr>
            </w:pPr>
            <w:del w:id="10848" w:author="AbbVie14" w:date="2025-05-09T10:34:00Z">
              <w:r w:rsidRPr="00295E71">
                <w:rPr>
                  <w:rFonts w:eastAsia="Arial Unicode MS"/>
                  <w:sz w:val="22"/>
                  <w:szCs w:val="22"/>
                </w:rPr>
                <w:delText xml:space="preserve"> Remissione prolungata </w:delText>
              </w:r>
            </w:del>
          </w:p>
        </w:tc>
        <w:tc>
          <w:tcPr>
            <w:tcW w:w="634" w:type="pct"/>
            <w:tcBorders>
              <w:top w:val="nil"/>
              <w:left w:val="nil"/>
              <w:right w:val="nil"/>
            </w:tcBorders>
          </w:tcPr>
          <w:p w:rsidR="006224C2" w:rsidRPr="00295E71" w:rsidP="00AD7AF0" w14:paraId="5101F972" w14:textId="77777777">
            <w:pPr>
              <w:keepNext/>
              <w:jc w:val="center"/>
              <w:rPr>
                <w:del w:id="10849" w:author="AbbVie14" w:date="2025-05-09T10:34:00Z"/>
                <w:rFonts w:eastAsia="Arial Unicode MS"/>
                <w:sz w:val="22"/>
                <w:szCs w:val="22"/>
              </w:rPr>
            </w:pPr>
            <w:del w:id="10850" w:author="AbbVie14" w:date="2025-05-09T10:34:00Z">
              <w:r w:rsidRPr="00295E71">
                <w:rPr>
                  <w:rFonts w:eastAsia="Arial Unicode MS"/>
                  <w:sz w:val="22"/>
                  <w:szCs w:val="22"/>
                </w:rPr>
                <w:delText>4%</w:delText>
              </w:r>
            </w:del>
          </w:p>
        </w:tc>
        <w:tc>
          <w:tcPr>
            <w:tcW w:w="1391" w:type="pct"/>
            <w:tcBorders>
              <w:top w:val="nil"/>
              <w:left w:val="nil"/>
              <w:right w:val="nil"/>
            </w:tcBorders>
          </w:tcPr>
          <w:p w:rsidR="006224C2" w:rsidRPr="00295E71" w:rsidP="00AD7AF0" w14:paraId="53CB793B" w14:textId="77777777">
            <w:pPr>
              <w:keepNext/>
              <w:jc w:val="center"/>
              <w:rPr>
                <w:del w:id="10851" w:author="AbbVie14" w:date="2025-05-09T10:34:00Z"/>
                <w:rFonts w:eastAsia="Arial Unicode MS"/>
                <w:sz w:val="22"/>
                <w:szCs w:val="22"/>
              </w:rPr>
            </w:pPr>
            <w:del w:id="10852" w:author="AbbVie14" w:date="2025-05-09T10:34:00Z">
              <w:r w:rsidRPr="00295E71">
                <w:rPr>
                  <w:rFonts w:eastAsia="Arial Unicode MS"/>
                  <w:sz w:val="22"/>
                  <w:szCs w:val="22"/>
                </w:rPr>
                <w:delText xml:space="preserve">   8%*</w:delText>
              </w:r>
            </w:del>
          </w:p>
        </w:tc>
      </w:tr>
      <w:tr w14:paraId="234EAEFC" w14:textId="77777777">
        <w:tblPrEx>
          <w:tblW w:w="4375" w:type="pct"/>
          <w:tblInd w:w="-105" w:type="dxa"/>
          <w:tblLook w:val="0000"/>
        </w:tblPrEx>
        <w:trPr>
          <w:del w:id="10853" w:author="AbbVie14" w:date="2025-05-09T10:34:00Z"/>
        </w:trPr>
        <w:tc>
          <w:tcPr>
            <w:tcW w:w="2976" w:type="pct"/>
            <w:tcBorders>
              <w:top w:val="nil"/>
              <w:left w:val="nil"/>
              <w:bottom w:val="single" w:sz="6" w:space="0" w:color="000000"/>
              <w:right w:val="nil"/>
            </w:tcBorders>
          </w:tcPr>
          <w:p w:rsidR="006224C2" w:rsidRPr="00295E71" w:rsidP="00AD7AF0" w14:paraId="780D124B" w14:textId="77777777">
            <w:pPr>
              <w:keepNext/>
              <w:rPr>
                <w:del w:id="10854" w:author="AbbVie14" w:date="2025-05-09T10:34:00Z"/>
                <w:rFonts w:eastAsia="Arial Unicode MS"/>
                <w:sz w:val="22"/>
                <w:szCs w:val="22"/>
              </w:rPr>
            </w:pPr>
            <w:del w:id="10855" w:author="AbbVie14" w:date="2025-05-09T10:34:00Z">
              <w:r w:rsidRPr="00295E71">
                <w:rPr>
                  <w:rFonts w:eastAsia="Arial Unicode MS"/>
                  <w:sz w:val="22"/>
                  <w:szCs w:val="22"/>
                </w:rPr>
                <w:delText xml:space="preserve">  </w:delText>
              </w:r>
            </w:del>
            <w:del w:id="10856" w:author="AbbVie14" w:date="2025-05-09T10:34:00Z">
              <w:r w:rsidRPr="006207CB" w:rsidR="00A02331">
                <w:rPr>
                  <w:rFonts w:eastAsia="Arial Unicode MS"/>
                  <w:sz w:val="22"/>
                  <w:szCs w:val="22"/>
                </w:rPr>
                <w:delText>Guarigione</w:delText>
              </w:r>
            </w:del>
            <w:del w:id="10857" w:author="AbbVie14" w:date="2025-05-09T10:34:00Z">
              <w:r w:rsidRPr="00295E71">
                <w:rPr>
                  <w:rFonts w:eastAsia="Arial Unicode MS"/>
                  <w:sz w:val="22"/>
                  <w:szCs w:val="22"/>
                </w:rPr>
                <w:delText xml:space="preserve"> prolungata della mucosa</w:delText>
              </w:r>
            </w:del>
          </w:p>
        </w:tc>
        <w:tc>
          <w:tcPr>
            <w:tcW w:w="634" w:type="pct"/>
            <w:tcBorders>
              <w:top w:val="nil"/>
              <w:left w:val="nil"/>
              <w:bottom w:val="single" w:sz="6" w:space="0" w:color="000000"/>
              <w:right w:val="nil"/>
            </w:tcBorders>
          </w:tcPr>
          <w:p w:rsidR="006224C2" w:rsidRPr="00295E71" w:rsidP="00AD7AF0" w14:paraId="2883B1A5" w14:textId="77777777">
            <w:pPr>
              <w:keepNext/>
              <w:jc w:val="center"/>
              <w:rPr>
                <w:del w:id="10858" w:author="AbbVie14" w:date="2025-05-09T10:34:00Z"/>
                <w:rFonts w:eastAsia="Arial Unicode MS"/>
                <w:sz w:val="22"/>
                <w:szCs w:val="22"/>
              </w:rPr>
            </w:pPr>
            <w:del w:id="10859" w:author="AbbVie14" w:date="2025-05-09T10:34:00Z">
              <w:r w:rsidRPr="00295E71">
                <w:rPr>
                  <w:rFonts w:eastAsia="Arial Unicode MS"/>
                  <w:sz w:val="22"/>
                  <w:szCs w:val="22"/>
                </w:rPr>
                <w:delText>11%</w:delText>
              </w:r>
            </w:del>
          </w:p>
        </w:tc>
        <w:tc>
          <w:tcPr>
            <w:tcW w:w="1391" w:type="pct"/>
            <w:tcBorders>
              <w:top w:val="nil"/>
              <w:left w:val="nil"/>
              <w:bottom w:val="single" w:sz="6" w:space="0" w:color="000000"/>
              <w:right w:val="nil"/>
            </w:tcBorders>
          </w:tcPr>
          <w:p w:rsidR="006224C2" w:rsidRPr="00295E71" w:rsidP="00AD7AF0" w14:paraId="5F42DE15" w14:textId="77777777">
            <w:pPr>
              <w:keepNext/>
              <w:jc w:val="center"/>
              <w:rPr>
                <w:del w:id="10860" w:author="AbbVie14" w:date="2025-05-09T10:34:00Z"/>
                <w:rFonts w:eastAsia="Arial Unicode MS"/>
                <w:sz w:val="22"/>
                <w:szCs w:val="22"/>
              </w:rPr>
            </w:pPr>
            <w:del w:id="10861" w:author="AbbVie14" w:date="2025-05-09T10:34:00Z">
              <w:r w:rsidRPr="00295E71">
                <w:rPr>
                  <w:rFonts w:eastAsia="Arial Unicode MS"/>
                  <w:sz w:val="22"/>
                  <w:szCs w:val="22"/>
                </w:rPr>
                <w:delText xml:space="preserve">  19%*</w:delText>
              </w:r>
            </w:del>
          </w:p>
        </w:tc>
      </w:tr>
      <w:tr w14:paraId="2B960495" w14:textId="77777777">
        <w:tblPrEx>
          <w:tblW w:w="4375" w:type="pct"/>
          <w:tblInd w:w="-105" w:type="dxa"/>
          <w:tblLook w:val="0000"/>
        </w:tblPrEx>
        <w:trPr>
          <w:trHeight w:val="65"/>
          <w:del w:id="10862" w:author="AbbVie14" w:date="2025-05-09T10:34:00Z"/>
        </w:trPr>
        <w:tc>
          <w:tcPr>
            <w:tcW w:w="5000" w:type="pct"/>
            <w:gridSpan w:val="3"/>
            <w:tcBorders>
              <w:top w:val="nil"/>
              <w:left w:val="nil"/>
              <w:bottom w:val="nil"/>
              <w:right w:val="nil"/>
            </w:tcBorders>
          </w:tcPr>
          <w:p w:rsidR="006224C2" w:rsidRPr="00295E71" w:rsidP="00AD7AF0" w14:paraId="1C9BCDD8" w14:textId="77777777">
            <w:pPr>
              <w:keepNext/>
              <w:spacing w:line="264" w:lineRule="atLeast"/>
              <w:jc w:val="both"/>
              <w:rPr>
                <w:del w:id="10863" w:author="AbbVie14" w:date="2025-05-09T10:34:00Z"/>
                <w:rFonts w:eastAsia="Arial Unicode MS"/>
                <w:sz w:val="22"/>
                <w:szCs w:val="22"/>
              </w:rPr>
            </w:pPr>
            <w:del w:id="10864" w:author="AbbVie14" w:date="2025-05-09T10:34:00Z">
              <w:r w:rsidRPr="00295E71">
                <w:rPr>
                  <w:rFonts w:eastAsia="Arial Unicode MS"/>
                  <w:sz w:val="22"/>
                  <w:szCs w:val="22"/>
                </w:rPr>
                <w:delText>La remissione clinica è definita da un punteggio di Mayo ≤ 2 con nessun sottopunteggio &gt; 1;</w:delText>
              </w:r>
            </w:del>
          </w:p>
          <w:p w:rsidR="006224C2" w:rsidRPr="00295E71" w:rsidP="00AD7AF0" w14:paraId="20349836" w14:textId="77777777">
            <w:pPr>
              <w:keepNext/>
              <w:spacing w:line="264" w:lineRule="atLeast"/>
              <w:jc w:val="both"/>
              <w:rPr>
                <w:del w:id="10865" w:author="AbbVie14" w:date="2025-05-09T10:34:00Z"/>
                <w:rFonts w:eastAsia="Arial Unicode MS"/>
                <w:sz w:val="22"/>
                <w:szCs w:val="22"/>
              </w:rPr>
            </w:pPr>
            <w:del w:id="10866" w:author="AbbVie14" w:date="2025-05-09T10:34:00Z">
              <w:r w:rsidRPr="00295E71">
                <w:rPr>
                  <w:rFonts w:eastAsia="Arial Unicode MS"/>
                  <w:sz w:val="22"/>
                  <w:szCs w:val="22"/>
                </w:rPr>
                <w:delText>La risposta clinica è definita come una</w:delText>
              </w:r>
            </w:del>
            <w:del w:id="10867" w:author="AbbVie14" w:date="2025-05-09T10:34:00Z">
              <w:r w:rsidRPr="00295E71" w:rsidR="00784BDE">
                <w:rPr>
                  <w:rFonts w:eastAsia="Arial Unicode MS"/>
                  <w:sz w:val="22"/>
                  <w:szCs w:val="22"/>
                </w:rPr>
                <w:delText xml:space="preserve"> </w:delText>
              </w:r>
            </w:del>
            <w:del w:id="10868" w:author="AbbVie14" w:date="2025-05-09T10:34:00Z">
              <w:r w:rsidRPr="00295E71">
                <w:rPr>
                  <w:rFonts w:eastAsia="Arial Unicode MS"/>
                  <w:sz w:val="22"/>
                  <w:szCs w:val="22"/>
                </w:rPr>
                <w:delText>riduzione</w:delText>
              </w:r>
            </w:del>
            <w:del w:id="10869" w:author="AbbVie14" w:date="2025-05-09T10:34:00Z">
              <w:r w:rsidRPr="006207CB" w:rsidR="00A02331">
                <w:rPr>
                  <w:rFonts w:eastAsia="Arial Unicode MS"/>
                  <w:sz w:val="22"/>
                  <w:szCs w:val="22"/>
                </w:rPr>
                <w:delText xml:space="preserve"> rispetto al basale</w:delText>
              </w:r>
            </w:del>
            <w:del w:id="10870" w:author="AbbVie14" w:date="2025-05-09T10:34:00Z">
              <w:r w:rsidRPr="00295E71" w:rsidR="00784BDE">
                <w:rPr>
                  <w:rFonts w:eastAsia="Arial Unicode MS"/>
                  <w:sz w:val="22"/>
                  <w:szCs w:val="22"/>
                </w:rPr>
                <w:delText xml:space="preserve"> </w:delText>
              </w:r>
            </w:del>
            <w:del w:id="10871" w:author="AbbVie14" w:date="2025-05-09T10:34:00Z">
              <w:r w:rsidRPr="00295E71">
                <w:rPr>
                  <w:rFonts w:eastAsia="Arial Unicode MS"/>
                  <w:sz w:val="22"/>
                  <w:szCs w:val="22"/>
                </w:rPr>
                <w:delText>del punteggio Mayo ≥3</w:delText>
              </w:r>
            </w:del>
            <w:del w:id="10872" w:author="AbbVie14" w:date="2025-05-09T10:34:00Z">
              <w:r w:rsidR="00A02331">
                <w:rPr>
                  <w:rFonts w:eastAsia="Arial Unicode MS"/>
                  <w:sz w:val="22"/>
                  <w:szCs w:val="22"/>
                </w:rPr>
                <w:delText xml:space="preserve"> punti</w:delText>
              </w:r>
            </w:del>
            <w:del w:id="10873" w:author="AbbVie14" w:date="2025-05-09T10:34:00Z">
              <w:r w:rsidRPr="00295E71">
                <w:rPr>
                  <w:rFonts w:eastAsia="Arial Unicode MS"/>
                  <w:sz w:val="22"/>
                  <w:szCs w:val="22"/>
                </w:rPr>
                <w:delText xml:space="preserve"> e </w:delText>
              </w:r>
            </w:del>
            <w:del w:id="10874" w:author="AbbVie14" w:date="2025-05-09T10:34:00Z">
              <w:r w:rsidRPr="006207CB" w:rsidR="00A02331">
                <w:rPr>
                  <w:rFonts w:eastAsia="Arial Unicode MS"/>
                  <w:sz w:val="22"/>
                  <w:szCs w:val="22"/>
                </w:rPr>
                <w:delText>≥</w:delText>
              </w:r>
            </w:del>
            <w:del w:id="10875" w:author="AbbVie14" w:date="2025-05-09T10:34:00Z">
              <w:r w:rsidRPr="00295E71">
                <w:rPr>
                  <w:rFonts w:eastAsia="Arial Unicode MS"/>
                  <w:sz w:val="22"/>
                  <w:szCs w:val="22"/>
                </w:rPr>
                <w:delText>30%, oltre ad una diminuzione del sottopunteggio sanguinamento rettale</w:delText>
              </w:r>
            </w:del>
            <w:del w:id="10876" w:author="AbbVie14" w:date="2025-05-09T10:34:00Z">
              <w:r w:rsidR="00A02331">
                <w:rPr>
                  <w:rFonts w:eastAsia="Arial Unicode MS"/>
                  <w:sz w:val="22"/>
                  <w:szCs w:val="22"/>
                </w:rPr>
                <w:delText xml:space="preserve"> </w:delText>
              </w:r>
            </w:del>
            <w:del w:id="10877" w:author="AbbVie14" w:date="2025-05-09T10:34:00Z">
              <w:r w:rsidRPr="006207CB" w:rsidR="00A02331">
                <w:rPr>
                  <w:rFonts w:eastAsia="Arial Unicode MS"/>
                  <w:sz w:val="22"/>
                  <w:szCs w:val="22"/>
                </w:rPr>
                <w:delText xml:space="preserve"> [RBS] </w:delText>
              </w:r>
            </w:del>
            <w:del w:id="10878" w:author="AbbVie14" w:date="2025-05-09T10:34:00Z">
              <w:r w:rsidRPr="00295E71">
                <w:rPr>
                  <w:rFonts w:eastAsia="Arial Unicode MS"/>
                  <w:sz w:val="22"/>
                  <w:szCs w:val="22"/>
                </w:rPr>
                <w:delText xml:space="preserve">≥1 o un </w:delText>
              </w:r>
            </w:del>
            <w:del w:id="10879" w:author="AbbVie14" w:date="2025-05-09T10:34:00Z">
              <w:r w:rsidRPr="006207CB" w:rsidR="00A02331">
                <w:rPr>
                  <w:rFonts w:eastAsia="Arial Unicode MS"/>
                  <w:sz w:val="22"/>
                  <w:szCs w:val="22"/>
                </w:rPr>
                <w:delText>RBS</w:delText>
              </w:r>
            </w:del>
            <w:del w:id="10880" w:author="AbbVie14" w:date="2025-05-09T10:34:00Z">
              <w:r w:rsidRPr="00295E71">
                <w:rPr>
                  <w:rFonts w:eastAsia="Arial Unicode MS"/>
                  <w:sz w:val="22"/>
                  <w:szCs w:val="22"/>
                </w:rPr>
                <w:delText xml:space="preserve"> di 0 o 1 in valore assoluto;</w:delText>
              </w:r>
            </w:del>
          </w:p>
          <w:p w:rsidR="006224C2" w:rsidRPr="00295E71" w:rsidP="00AD7AF0" w14:paraId="1CC000B3" w14:textId="77777777">
            <w:pPr>
              <w:keepNext/>
              <w:spacing w:line="264" w:lineRule="atLeast"/>
              <w:jc w:val="both"/>
              <w:rPr>
                <w:del w:id="10881" w:author="AbbVie14" w:date="2025-05-09T10:34:00Z"/>
                <w:rFonts w:eastAsia="Arial Unicode MS"/>
                <w:sz w:val="22"/>
                <w:szCs w:val="22"/>
              </w:rPr>
            </w:pPr>
            <w:del w:id="10882" w:author="AbbVie14" w:date="2025-05-09T10:34:00Z">
              <w:r w:rsidRPr="00295E71">
                <w:rPr>
                  <w:rStyle w:val="sup1"/>
                  <w:rFonts w:eastAsia="Arial Unicode MS"/>
                  <w:sz w:val="22"/>
                  <w:szCs w:val="22"/>
                  <w:vertAlign w:val="superscript"/>
                </w:rPr>
                <w:delText>*</w:delText>
              </w:r>
            </w:del>
            <w:del w:id="10883" w:author="AbbVie14" w:date="2025-05-09T10:34:00Z">
              <w:r w:rsidRPr="00295E71">
                <w:rPr>
                  <w:rFonts w:eastAsia="Arial Unicode MS"/>
                  <w:sz w:val="22"/>
                  <w:szCs w:val="22"/>
                </w:rPr>
                <w:delText xml:space="preserve">p&lt;0,05 per Humira </w:delText>
              </w:r>
            </w:del>
            <w:del w:id="10884" w:author="AbbVie14" w:date="2025-05-09T10:34:00Z">
              <w:r w:rsidRPr="00295E71">
                <w:rPr>
                  <w:rStyle w:val="italics5"/>
                  <w:rFonts w:eastAsia="Arial Unicode MS"/>
                  <w:sz w:val="22"/>
                  <w:szCs w:val="22"/>
                </w:rPr>
                <w:delText>vs.</w:delText>
              </w:r>
            </w:del>
            <w:del w:id="10885" w:author="AbbVie14" w:date="2025-05-09T10:34:00Z">
              <w:r w:rsidRPr="00295E71">
                <w:rPr>
                  <w:rFonts w:eastAsia="Arial Unicode MS"/>
                  <w:sz w:val="22"/>
                  <w:szCs w:val="22"/>
                </w:rPr>
                <w:delText xml:space="preserve"> placebo alla comparazione appaiata</w:delText>
              </w:r>
            </w:del>
            <w:del w:id="10886" w:author="AbbVie14" w:date="2025-05-09T10:34:00Z">
              <w:r w:rsidR="00A02331">
                <w:rPr>
                  <w:rFonts w:eastAsia="Arial Unicode MS"/>
                  <w:sz w:val="22"/>
                  <w:szCs w:val="22"/>
                </w:rPr>
                <w:delText xml:space="preserve"> </w:delText>
              </w:r>
            </w:del>
            <w:del w:id="10887" w:author="AbbVie14" w:date="2025-05-09T10:34:00Z">
              <w:r w:rsidRPr="006207CB" w:rsidR="00A02331">
                <w:rPr>
                  <w:rFonts w:eastAsia="Arial Unicode MS"/>
                  <w:sz w:val="22"/>
                  <w:szCs w:val="22"/>
                </w:rPr>
                <w:delText>delle percentuali</w:delText>
              </w:r>
            </w:del>
          </w:p>
          <w:p w:rsidR="006224C2" w:rsidRPr="00295E71" w:rsidP="00AD7AF0" w14:paraId="0CE78588" w14:textId="77777777">
            <w:pPr>
              <w:keepNext/>
              <w:spacing w:line="264" w:lineRule="atLeast"/>
              <w:jc w:val="both"/>
              <w:rPr>
                <w:del w:id="10888" w:author="AbbVie14" w:date="2025-05-09T10:34:00Z"/>
                <w:rFonts w:eastAsia="Arial Unicode MS"/>
                <w:sz w:val="22"/>
                <w:szCs w:val="22"/>
              </w:rPr>
            </w:pPr>
            <w:del w:id="10889" w:author="AbbVie14" w:date="2025-05-09T10:34:00Z">
              <w:r w:rsidRPr="00295E71">
                <w:rPr>
                  <w:rFonts w:eastAsia="Arial Unicode MS"/>
                  <w:sz w:val="22"/>
                  <w:szCs w:val="22"/>
                </w:rPr>
                <w:delText xml:space="preserve">**p&lt;0,001 per Humira </w:delText>
              </w:r>
            </w:del>
            <w:del w:id="10890" w:author="AbbVie14" w:date="2025-05-09T10:34:00Z">
              <w:r w:rsidRPr="00295E71">
                <w:rPr>
                  <w:rFonts w:eastAsia="Arial Unicode MS"/>
                  <w:i/>
                  <w:sz w:val="22"/>
                  <w:szCs w:val="22"/>
                </w:rPr>
                <w:delText>vs.</w:delText>
              </w:r>
            </w:del>
            <w:del w:id="10891" w:author="AbbVie14" w:date="2025-05-09T10:34:00Z">
              <w:r w:rsidRPr="00295E71">
                <w:rPr>
                  <w:rFonts w:eastAsia="Arial Unicode MS"/>
                  <w:sz w:val="22"/>
                  <w:szCs w:val="22"/>
                </w:rPr>
                <w:delText xml:space="preserve"> placebo alla comparazione appaiata</w:delText>
              </w:r>
            </w:del>
            <w:del w:id="10892" w:author="AbbVie14" w:date="2025-05-09T10:34:00Z">
              <w:r w:rsidR="00A02331">
                <w:rPr>
                  <w:rFonts w:eastAsia="Arial Unicode MS"/>
                  <w:sz w:val="22"/>
                  <w:szCs w:val="22"/>
                </w:rPr>
                <w:delText xml:space="preserve"> </w:delText>
              </w:r>
            </w:del>
            <w:del w:id="10893" w:author="AbbVie14" w:date="2025-05-09T10:34:00Z">
              <w:r w:rsidRPr="006207CB" w:rsidR="00A02331">
                <w:rPr>
                  <w:rFonts w:eastAsia="Arial Unicode MS"/>
                  <w:sz w:val="22"/>
                  <w:szCs w:val="22"/>
                </w:rPr>
                <w:delText>delle percentuali</w:delText>
              </w:r>
            </w:del>
          </w:p>
          <w:p w:rsidR="006224C2" w:rsidRPr="00295E71" w:rsidP="00AD7AF0" w14:paraId="28FA7638" w14:textId="77777777">
            <w:pPr>
              <w:keepNext/>
              <w:spacing w:line="264" w:lineRule="atLeast"/>
              <w:jc w:val="both"/>
              <w:rPr>
                <w:del w:id="10894" w:author="AbbVie14" w:date="2025-05-09T10:34:00Z"/>
                <w:rFonts w:eastAsia="Arial Unicode MS"/>
                <w:b/>
                <w:sz w:val="22"/>
                <w:szCs w:val="22"/>
              </w:rPr>
            </w:pPr>
            <w:del w:id="10895" w:author="AbbVie14" w:date="2025-05-09T10:34:00Z">
              <w:r w:rsidRPr="00295E71">
                <w:rPr>
                  <w:sz w:val="22"/>
                  <w:szCs w:val="22"/>
                  <w:vertAlign w:val="superscript"/>
                </w:rPr>
                <w:delText xml:space="preserve">a </w:delText>
              </w:r>
            </w:del>
            <w:del w:id="10896" w:author="AbbVie14" w:date="2025-05-09T10:34:00Z">
              <w:r w:rsidRPr="00295E71">
                <w:rPr>
                  <w:sz w:val="22"/>
                  <w:szCs w:val="22"/>
                </w:rPr>
                <w:delText xml:space="preserve">  Di coloro che hanno assunto corticosteroidi </w:delText>
              </w:r>
            </w:del>
            <w:del w:id="10897" w:author="AbbVie14" w:date="2025-05-09T10:34:00Z">
              <w:r w:rsidR="0085279B">
                <w:rPr>
                  <w:sz w:val="22"/>
                  <w:szCs w:val="22"/>
                </w:rPr>
                <w:delText>al basale</w:delText>
              </w:r>
            </w:del>
            <w:del w:id="10898" w:author="AbbVie14" w:date="2025-05-09T10:34:00Z">
              <w:r w:rsidRPr="00295E71">
                <w:rPr>
                  <w:sz w:val="22"/>
                  <w:szCs w:val="22"/>
                </w:rPr>
                <w:delText>.</w:delText>
              </w:r>
            </w:del>
          </w:p>
        </w:tc>
      </w:tr>
    </w:tbl>
    <w:p w:rsidR="006224C2" w:rsidRPr="00295E71" w:rsidP="00AD7AF0" w14:paraId="353A917C" w14:textId="77777777">
      <w:pPr>
        <w:tabs>
          <w:tab w:val="left" w:pos="567"/>
          <w:tab w:val="left" w:pos="1294"/>
        </w:tabs>
        <w:autoSpaceDE w:val="0"/>
        <w:autoSpaceDN w:val="0"/>
        <w:adjustRightInd w:val="0"/>
        <w:rPr>
          <w:del w:id="10899" w:author="AbbVie14" w:date="2025-05-09T10:34:00Z"/>
          <w:color w:val="000000"/>
          <w:sz w:val="22"/>
          <w:szCs w:val="22"/>
        </w:rPr>
      </w:pPr>
    </w:p>
    <w:p w:rsidR="0085279B" w:rsidP="00AD7AF0" w14:paraId="22EC1538" w14:textId="77777777">
      <w:pPr>
        <w:tabs>
          <w:tab w:val="left" w:pos="567"/>
          <w:tab w:val="left" w:pos="1294"/>
        </w:tabs>
        <w:autoSpaceDE w:val="0"/>
        <w:autoSpaceDN w:val="0"/>
        <w:adjustRightInd w:val="0"/>
        <w:jc w:val="both"/>
        <w:rPr>
          <w:del w:id="10900" w:author="AbbVie14" w:date="2025-05-09T10:34:00Z"/>
          <w:color w:val="000000"/>
          <w:sz w:val="22"/>
          <w:szCs w:val="22"/>
        </w:rPr>
      </w:pPr>
      <w:del w:id="10901" w:author="AbbVie14" w:date="2025-05-09T10:34:00Z">
        <w:r w:rsidRPr="00295E71">
          <w:rPr>
            <w:color w:val="000000"/>
            <w:sz w:val="22"/>
            <w:szCs w:val="22"/>
          </w:rPr>
          <w:delText xml:space="preserve">Dei pazienti che hanno risposto alla settimana 8, il 47% mostrava una risposta, il 29% era in remissione, il 41% ha manifestato guarigione della mucosa e il 20% era in remissione senza uso di steroidi per un periodo ≥ 90 giorni alla settimana 52. </w:delText>
        </w:r>
      </w:del>
    </w:p>
    <w:p w:rsidR="006224C2" w:rsidRPr="00295E71" w:rsidP="00AD7AF0" w14:paraId="55F6D0A5" w14:textId="77777777">
      <w:pPr>
        <w:tabs>
          <w:tab w:val="left" w:pos="567"/>
          <w:tab w:val="left" w:pos="1294"/>
        </w:tabs>
        <w:autoSpaceDE w:val="0"/>
        <w:autoSpaceDN w:val="0"/>
        <w:adjustRightInd w:val="0"/>
        <w:jc w:val="both"/>
        <w:rPr>
          <w:del w:id="10902" w:author="AbbVie14" w:date="2025-05-09T10:34:00Z"/>
          <w:color w:val="000000"/>
          <w:sz w:val="22"/>
          <w:szCs w:val="22"/>
        </w:rPr>
      </w:pPr>
      <w:del w:id="10903" w:author="AbbVie14" w:date="2025-05-09T10:34:00Z">
        <w:r w:rsidRPr="00295E71">
          <w:rPr>
            <w:color w:val="000000"/>
            <w:sz w:val="22"/>
            <w:szCs w:val="22"/>
          </w:rPr>
          <w:delText>Circa il 40% di pazienti arruolati nello studio UC-II aveva fallito il precedente trattamento a base di anti-TNF con infliximab. L’efficacia di adalimumab in quei pazienti si è dimostrata ridotta in confronto a quanto mostrato in pazienti non precedentemente trattati con anti</w:delText>
        </w:r>
      </w:del>
      <w:del w:id="10904" w:author="AbbVie14" w:date="2025-05-09T10:34:00Z">
        <w:r w:rsidR="0085279B">
          <w:rPr>
            <w:color w:val="000000"/>
            <w:sz w:val="22"/>
            <w:szCs w:val="22"/>
          </w:rPr>
          <w:delText>-</w:delText>
        </w:r>
      </w:del>
      <w:del w:id="10905" w:author="AbbVie14" w:date="2025-05-09T10:34:00Z">
        <w:r w:rsidRPr="00295E71">
          <w:rPr>
            <w:color w:val="000000"/>
            <w:sz w:val="22"/>
            <w:szCs w:val="22"/>
          </w:rPr>
          <w:delText>TNF. Tra i pazienti che avevano fallito il precedente trattamento con anti</w:delText>
        </w:r>
      </w:del>
      <w:del w:id="10906" w:author="AbbVie14" w:date="2025-05-09T10:34:00Z">
        <w:r w:rsidR="0085279B">
          <w:rPr>
            <w:color w:val="000000"/>
            <w:sz w:val="22"/>
            <w:szCs w:val="22"/>
          </w:rPr>
          <w:delText>-</w:delText>
        </w:r>
      </w:del>
      <w:del w:id="10907" w:author="AbbVie14" w:date="2025-05-09T10:34:00Z">
        <w:r w:rsidRPr="00295E71">
          <w:rPr>
            <w:color w:val="000000"/>
            <w:sz w:val="22"/>
            <w:szCs w:val="22"/>
          </w:rPr>
          <w:delText>TNF, il 3% del</w:delText>
        </w:r>
      </w:del>
      <w:del w:id="10908" w:author="AbbVie14" w:date="2025-05-09T10:34:00Z">
        <w:r w:rsidRPr="00295E71" w:rsidR="00784BDE">
          <w:rPr>
            <w:color w:val="000000"/>
            <w:sz w:val="22"/>
            <w:szCs w:val="22"/>
          </w:rPr>
          <w:delText xml:space="preserve"> </w:delText>
        </w:r>
      </w:del>
      <w:del w:id="10909" w:author="AbbVie14" w:date="2025-05-09T10:34:00Z">
        <w:r w:rsidRPr="00295E71">
          <w:rPr>
            <w:color w:val="000000"/>
            <w:sz w:val="22"/>
            <w:szCs w:val="22"/>
          </w:rPr>
          <w:delText>braccio placebo e il 10% del braccio adalimumab ha raggiunto la remissione alla settimana 52.</w:delText>
        </w:r>
      </w:del>
    </w:p>
    <w:p w:rsidR="006224C2" w:rsidRPr="00295E71" w:rsidP="00AD7AF0" w14:paraId="78AF38D5" w14:textId="77777777">
      <w:pPr>
        <w:tabs>
          <w:tab w:val="left" w:pos="567"/>
          <w:tab w:val="left" w:pos="1294"/>
        </w:tabs>
        <w:autoSpaceDE w:val="0"/>
        <w:autoSpaceDN w:val="0"/>
        <w:adjustRightInd w:val="0"/>
        <w:jc w:val="both"/>
        <w:rPr>
          <w:del w:id="10910" w:author="AbbVie14" w:date="2025-05-09T10:34:00Z"/>
          <w:color w:val="000000"/>
          <w:sz w:val="22"/>
          <w:szCs w:val="22"/>
        </w:rPr>
      </w:pPr>
    </w:p>
    <w:p w:rsidR="006224C2" w:rsidRPr="00295E71" w:rsidP="00AD7AF0" w14:paraId="75243CFC" w14:textId="77777777">
      <w:pPr>
        <w:tabs>
          <w:tab w:val="left" w:pos="567"/>
          <w:tab w:val="left" w:pos="1294"/>
        </w:tabs>
        <w:autoSpaceDE w:val="0"/>
        <w:autoSpaceDN w:val="0"/>
        <w:adjustRightInd w:val="0"/>
        <w:jc w:val="both"/>
        <w:rPr>
          <w:del w:id="10911" w:author="AbbVie14" w:date="2025-05-09T10:34:00Z"/>
          <w:color w:val="000000"/>
          <w:sz w:val="22"/>
          <w:szCs w:val="22"/>
        </w:rPr>
      </w:pPr>
      <w:del w:id="10912" w:author="AbbVie14" w:date="2025-05-09T10:34:00Z">
        <w:r w:rsidRPr="00295E71">
          <w:rPr>
            <w:color w:val="000000"/>
            <w:sz w:val="22"/>
            <w:szCs w:val="22"/>
          </w:rPr>
          <w:delText>I pazienti arruolati negli studi UC-I e UC-II</w:delText>
        </w:r>
      </w:del>
      <w:del w:id="10913" w:author="AbbVie14" w:date="2025-05-09T10:34:00Z">
        <w:r w:rsidRPr="00295E71" w:rsidR="00784BDE">
          <w:rPr>
            <w:color w:val="000000"/>
            <w:sz w:val="22"/>
            <w:szCs w:val="22"/>
          </w:rPr>
          <w:delText xml:space="preserve"> </w:delText>
        </w:r>
      </w:del>
      <w:del w:id="10914" w:author="AbbVie14" w:date="2025-05-09T10:34:00Z">
        <w:r w:rsidRPr="00295E71">
          <w:rPr>
            <w:color w:val="000000"/>
            <w:sz w:val="22"/>
            <w:szCs w:val="22"/>
          </w:rPr>
          <w:delText xml:space="preserve">hanno avuto la possibilità di entrare in uno studio </w:delText>
        </w:r>
      </w:del>
      <w:del w:id="10915" w:author="AbbVie14" w:date="2025-05-09T10:34:00Z">
        <w:r w:rsidRPr="00020442" w:rsidR="0085279B">
          <w:rPr>
            <w:color w:val="000000"/>
            <w:sz w:val="22"/>
            <w:szCs w:val="22"/>
          </w:rPr>
          <w:delText xml:space="preserve">di estensione in </w:delText>
        </w:r>
      </w:del>
      <w:del w:id="10916" w:author="AbbVie14" w:date="2025-05-09T10:34:00Z">
        <w:r w:rsidRPr="00295E71">
          <w:rPr>
            <w:color w:val="000000"/>
            <w:sz w:val="22"/>
            <w:szCs w:val="22"/>
          </w:rPr>
          <w:delText>aperto a lungo termine(UC-III). Dopo tre anni di terapia a base di adalimumab, il 75% (301/402) ha continuato ad essere in remissione clinica in accordo al punteggio Mayo parziale.</w:delText>
        </w:r>
      </w:del>
    </w:p>
    <w:p w:rsidR="006224C2" w:rsidRPr="00295E71" w:rsidP="00AD7AF0" w14:paraId="0A448843" w14:textId="77777777">
      <w:pPr>
        <w:rPr>
          <w:del w:id="10917" w:author="AbbVie14" w:date="2025-05-09T10:34:00Z"/>
          <w:i/>
          <w:color w:val="000000"/>
          <w:sz w:val="22"/>
          <w:szCs w:val="22"/>
          <w:u w:val="single"/>
        </w:rPr>
      </w:pPr>
    </w:p>
    <w:p w:rsidR="006224C2" w:rsidRPr="00295E71" w:rsidP="00AD7AF0" w14:paraId="022C176F" w14:textId="77777777">
      <w:pPr>
        <w:keepNext/>
        <w:rPr>
          <w:del w:id="10918" w:author="AbbVie14" w:date="2025-05-09T10:34:00Z"/>
          <w:i/>
          <w:color w:val="000000"/>
          <w:sz w:val="22"/>
          <w:szCs w:val="22"/>
          <w:u w:val="single"/>
        </w:rPr>
      </w:pPr>
      <w:del w:id="10919" w:author="AbbVie14" w:date="2025-05-09T10:34:00Z">
        <w:r w:rsidRPr="00295E71">
          <w:rPr>
            <w:i/>
            <w:color w:val="000000"/>
            <w:sz w:val="22"/>
            <w:szCs w:val="22"/>
            <w:u w:val="single"/>
          </w:rPr>
          <w:delText>Tasso di ospedalizzazione</w:delText>
        </w:r>
      </w:del>
    </w:p>
    <w:p w:rsidR="006224C2" w:rsidRPr="00295E71" w:rsidP="00AD7AF0" w14:paraId="708BAD6D" w14:textId="77777777">
      <w:pPr>
        <w:keepNext/>
        <w:tabs>
          <w:tab w:val="left" w:pos="567"/>
          <w:tab w:val="left" w:pos="1294"/>
        </w:tabs>
        <w:autoSpaceDE w:val="0"/>
        <w:autoSpaceDN w:val="0"/>
        <w:adjustRightInd w:val="0"/>
        <w:jc w:val="both"/>
        <w:rPr>
          <w:del w:id="10920" w:author="AbbVie14" w:date="2025-05-09T10:34:00Z"/>
          <w:color w:val="000000"/>
          <w:sz w:val="22"/>
          <w:szCs w:val="22"/>
          <w:u w:val="single"/>
        </w:rPr>
      </w:pPr>
    </w:p>
    <w:p w:rsidR="006224C2" w:rsidRPr="00295E71" w:rsidP="00AD7AF0" w14:paraId="39891FF8" w14:textId="77777777">
      <w:pPr>
        <w:tabs>
          <w:tab w:val="left" w:pos="567"/>
          <w:tab w:val="left" w:pos="1294"/>
        </w:tabs>
        <w:autoSpaceDE w:val="0"/>
        <w:autoSpaceDN w:val="0"/>
        <w:adjustRightInd w:val="0"/>
        <w:jc w:val="both"/>
        <w:rPr>
          <w:del w:id="10921" w:author="AbbVie14" w:date="2025-05-09T10:34:00Z"/>
          <w:color w:val="000000"/>
          <w:sz w:val="22"/>
          <w:szCs w:val="22"/>
        </w:rPr>
      </w:pPr>
      <w:del w:id="10922" w:author="AbbVie14" w:date="2025-05-09T10:34:00Z">
        <w:r w:rsidRPr="00295E71">
          <w:rPr>
            <w:color w:val="000000"/>
            <w:sz w:val="22"/>
            <w:szCs w:val="22"/>
          </w:rPr>
          <w:delText>Durante le 52 settimane degli studi UC-I e UC-II, è stata osservata una diminuzione delle ospedalizzazioni per tutte le cause e delle ospedalizzazioni correlate alla</w:delText>
        </w:r>
      </w:del>
      <w:del w:id="10923" w:author="AbbVie14" w:date="2025-05-09T10:34:00Z">
        <w:r w:rsidRPr="00295E71" w:rsidR="00784BDE">
          <w:rPr>
            <w:color w:val="000000"/>
            <w:sz w:val="22"/>
            <w:szCs w:val="22"/>
          </w:rPr>
          <w:delText xml:space="preserve"> </w:delText>
        </w:r>
      </w:del>
      <w:del w:id="10924" w:author="AbbVie14" w:date="2025-05-09T10:34:00Z">
        <w:r w:rsidRPr="00295E71">
          <w:rPr>
            <w:color w:val="000000"/>
            <w:sz w:val="22"/>
            <w:szCs w:val="22"/>
          </w:rPr>
          <w:delText>colite ulcerosa nel gruppo trattato con adalimumab rispetto al gruppo trattato con placebo. Il numero delle ospedalizzazioni per tutte le cause era di 0.18 soggetti per anno nel gruppo di trattamento con adalimumab rispetto al gruppo in trattamento con placebo (0.26 soggetti per anno) ed i corrispondenti dati relativi alle ospedalizzazioni correlate alla colite ulcerosa erano di 0.12 soggetti per anno rispetto a 0.22 soggetti per anno.</w:delText>
        </w:r>
      </w:del>
    </w:p>
    <w:p w:rsidR="006224C2" w:rsidRPr="00295E71" w:rsidP="00AD7AF0" w14:paraId="5C9C30C1" w14:textId="77777777">
      <w:pPr>
        <w:tabs>
          <w:tab w:val="left" w:pos="567"/>
          <w:tab w:val="left" w:pos="1294"/>
        </w:tabs>
        <w:autoSpaceDE w:val="0"/>
        <w:autoSpaceDN w:val="0"/>
        <w:adjustRightInd w:val="0"/>
        <w:jc w:val="both"/>
        <w:rPr>
          <w:del w:id="10925" w:author="AbbVie14" w:date="2025-05-09T10:34:00Z"/>
          <w:color w:val="000000"/>
          <w:sz w:val="22"/>
          <w:szCs w:val="22"/>
          <w:u w:val="single"/>
        </w:rPr>
      </w:pPr>
    </w:p>
    <w:p w:rsidR="006224C2" w:rsidRPr="00295E71" w:rsidP="00AD7AF0" w14:paraId="6F0736C6" w14:textId="77777777">
      <w:pPr>
        <w:tabs>
          <w:tab w:val="left" w:pos="567"/>
          <w:tab w:val="left" w:pos="1294"/>
        </w:tabs>
        <w:autoSpaceDE w:val="0"/>
        <w:autoSpaceDN w:val="0"/>
        <w:adjustRightInd w:val="0"/>
        <w:jc w:val="both"/>
        <w:rPr>
          <w:del w:id="10926" w:author="AbbVie14" w:date="2025-05-09T10:35:00Z"/>
          <w:i/>
          <w:color w:val="000000"/>
          <w:sz w:val="22"/>
          <w:szCs w:val="22"/>
          <w:u w:val="single"/>
        </w:rPr>
      </w:pPr>
      <w:del w:id="10927" w:author="AbbVie14" w:date="2025-05-09T10:34:00Z">
        <w:r w:rsidRPr="00295E71">
          <w:rPr>
            <w:i/>
            <w:color w:val="000000"/>
            <w:sz w:val="22"/>
            <w:szCs w:val="22"/>
            <w:u w:val="single"/>
          </w:rPr>
          <w:delText>Qualità della vita</w:delText>
        </w:r>
      </w:del>
    </w:p>
    <w:p w:rsidR="006224C2" w:rsidRPr="00295E71" w14:paraId="02CD41E5" w14:textId="77777777">
      <w:pPr>
        <w:tabs>
          <w:tab w:val="left" w:pos="567"/>
          <w:tab w:val="left" w:pos="1294"/>
        </w:tabs>
        <w:autoSpaceDE w:val="0"/>
        <w:autoSpaceDN w:val="0"/>
        <w:adjustRightInd w:val="0"/>
        <w:jc w:val="both"/>
        <w:rPr>
          <w:del w:id="10928" w:author="AbbVie14" w:date="2025-05-09T10:35:00Z"/>
          <w:color w:val="000000"/>
          <w:sz w:val="22"/>
          <w:szCs w:val="22"/>
        </w:rPr>
      </w:pPr>
    </w:p>
    <w:p w:rsidR="006224C2" w:rsidRPr="00295E71" w14:paraId="17659A54" w14:textId="77777777">
      <w:pPr>
        <w:tabs>
          <w:tab w:val="left" w:pos="567"/>
          <w:tab w:val="left" w:pos="1294"/>
        </w:tabs>
        <w:autoSpaceDE w:val="0"/>
        <w:autoSpaceDN w:val="0"/>
        <w:adjustRightInd w:val="0"/>
        <w:jc w:val="both"/>
        <w:rPr>
          <w:del w:id="10929" w:author="AbbVie14" w:date="2025-05-09T10:35:00Z"/>
          <w:color w:val="000000"/>
          <w:sz w:val="22"/>
          <w:szCs w:val="22"/>
        </w:rPr>
      </w:pPr>
      <w:del w:id="10930" w:author="AbbVie14" w:date="2025-05-09T10:35:00Z">
        <w:r w:rsidRPr="00295E71">
          <w:rPr>
            <w:color w:val="000000"/>
            <w:sz w:val="22"/>
            <w:szCs w:val="22"/>
          </w:rPr>
          <w:delText xml:space="preserve">Nello studio UC-II, il trattamento con adalimumab ha portato ad un miglioramento del punteggio del questionario </w:delText>
        </w:r>
      </w:del>
      <w:del w:id="10931" w:author="AbbVie14" w:date="2025-05-09T10:35:00Z">
        <w:r w:rsidRPr="00020442" w:rsidR="0085279B">
          <w:rPr>
            <w:color w:val="000000"/>
            <w:sz w:val="22"/>
            <w:szCs w:val="22"/>
          </w:rPr>
          <w:delText>Inflammatory Bowel Disease Questionnaire</w:delText>
        </w:r>
      </w:del>
      <w:del w:id="10932" w:author="AbbVie14" w:date="2025-05-09T10:35:00Z">
        <w:r w:rsidR="0085279B">
          <w:rPr>
            <w:color w:val="000000"/>
            <w:sz w:val="22"/>
            <w:szCs w:val="22"/>
          </w:rPr>
          <w:delText xml:space="preserve"> </w:delText>
        </w:r>
      </w:del>
      <w:del w:id="10933" w:author="AbbVie14" w:date="2025-05-09T10:35:00Z">
        <w:r w:rsidRPr="00295E71">
          <w:rPr>
            <w:color w:val="000000"/>
            <w:sz w:val="22"/>
            <w:szCs w:val="22"/>
          </w:rPr>
          <w:delText>(IBDQ).</w:delText>
        </w:r>
      </w:del>
    </w:p>
    <w:p w:rsidR="006224C2" w:rsidRPr="00295E71" w14:paraId="2FDE3B78" w14:textId="77777777">
      <w:pPr>
        <w:tabs>
          <w:tab w:val="left" w:pos="567"/>
          <w:tab w:val="left" w:pos="1294"/>
        </w:tabs>
        <w:autoSpaceDE w:val="0"/>
        <w:autoSpaceDN w:val="0"/>
        <w:adjustRightInd w:val="0"/>
        <w:jc w:val="both"/>
        <w:rPr>
          <w:del w:id="10934" w:author="AbbVie14" w:date="2025-05-09T10:35:00Z"/>
          <w:color w:val="000000"/>
          <w:sz w:val="22"/>
          <w:szCs w:val="22"/>
          <w:u w:val="single"/>
        </w:rPr>
      </w:pPr>
    </w:p>
    <w:p w:rsidR="006224C2" w:rsidRPr="00295E71" w:rsidP="005D5C2F" w14:paraId="7B9C48DA" w14:textId="77777777">
      <w:pPr>
        <w:keepNext/>
        <w:keepLines/>
        <w:tabs>
          <w:tab w:val="left" w:pos="567"/>
          <w:tab w:val="left" w:pos="1294"/>
        </w:tabs>
        <w:autoSpaceDE w:val="0"/>
        <w:autoSpaceDN w:val="0"/>
        <w:adjustRightInd w:val="0"/>
        <w:jc w:val="both"/>
        <w:rPr>
          <w:del w:id="10935" w:author="AbbVie14" w:date="2025-05-09T10:35:00Z"/>
          <w:color w:val="000000"/>
          <w:sz w:val="22"/>
          <w:szCs w:val="22"/>
        </w:rPr>
      </w:pPr>
      <w:del w:id="10936" w:author="AbbVie14" w:date="2025-05-09T10:35:00Z">
        <w:r w:rsidRPr="00295E71">
          <w:rPr>
            <w:i/>
            <w:color w:val="000000"/>
            <w:sz w:val="22"/>
            <w:szCs w:val="22"/>
          </w:rPr>
          <w:delText>Uveite</w:delText>
        </w:r>
      </w:del>
    </w:p>
    <w:p w:rsidR="006224C2" w:rsidRPr="00295E71" w:rsidP="005D5C2F" w14:paraId="35A3C05E" w14:textId="77777777">
      <w:pPr>
        <w:keepNext/>
        <w:keepLines/>
        <w:tabs>
          <w:tab w:val="left" w:pos="567"/>
          <w:tab w:val="left" w:pos="1294"/>
        </w:tabs>
        <w:autoSpaceDE w:val="0"/>
        <w:autoSpaceDN w:val="0"/>
        <w:adjustRightInd w:val="0"/>
        <w:jc w:val="both"/>
        <w:rPr>
          <w:del w:id="10937" w:author="AbbVie14" w:date="2025-05-09T10:35:00Z"/>
          <w:color w:val="000000"/>
          <w:sz w:val="22"/>
          <w:szCs w:val="22"/>
        </w:rPr>
      </w:pPr>
    </w:p>
    <w:p w:rsidR="006224C2" w:rsidRPr="00295E71" w:rsidP="005D5C2F" w14:paraId="6617A2A6" w14:textId="77777777">
      <w:pPr>
        <w:keepNext/>
        <w:keepLines/>
        <w:tabs>
          <w:tab w:val="left" w:pos="567"/>
          <w:tab w:val="left" w:pos="1294"/>
        </w:tabs>
        <w:autoSpaceDE w:val="0"/>
        <w:autoSpaceDN w:val="0"/>
        <w:adjustRightInd w:val="0"/>
        <w:jc w:val="both"/>
        <w:rPr>
          <w:del w:id="10938" w:author="AbbVie14" w:date="2025-05-09T10:35:00Z"/>
          <w:color w:val="000000"/>
          <w:sz w:val="22"/>
          <w:szCs w:val="22"/>
        </w:rPr>
      </w:pPr>
      <w:del w:id="10939" w:author="AbbVie14" w:date="2025-05-09T10:35:00Z">
        <w:r w:rsidRPr="00295E71">
          <w:rPr>
            <w:color w:val="000000"/>
            <w:sz w:val="22"/>
            <w:szCs w:val="22"/>
          </w:rPr>
          <w:delText>La sicurezza e l'efficacia di Humira sono state valutate in pazienti adulti con uveite non-infettiva</w:delText>
        </w:r>
      </w:del>
      <w:del w:id="10940" w:author="AbbVie14" w:date="2025-05-09T10:35:00Z">
        <w:r w:rsidRPr="00295E71" w:rsidR="00784BDE">
          <w:rPr>
            <w:color w:val="000000"/>
            <w:sz w:val="22"/>
            <w:szCs w:val="22"/>
          </w:rPr>
          <w:delText xml:space="preserve"> </w:delText>
        </w:r>
      </w:del>
      <w:del w:id="10941" w:author="AbbVie14" w:date="2025-05-09T10:35:00Z">
        <w:r w:rsidRPr="00295E71">
          <w:rPr>
            <w:color w:val="000000"/>
            <w:sz w:val="22"/>
            <w:szCs w:val="22"/>
          </w:rPr>
          <w:delText>intermedia, posteriore e panuveite, escludendo i pazienti con uveite anteriore isolata, in due studi randomizzati, in doppio cieco, controllati con placebo (UV I e II). I pazienti hanno ricevuto placebo o Humira a una dose iniziale di 80 mg seguita da 40 mg a settimane alterne a partire da una settimana dopo la dose iniziale. Erano consentite dosi stabili concomitanti di un immunosoppressore non biologico.</w:delText>
        </w:r>
      </w:del>
    </w:p>
    <w:p w:rsidR="006224C2" w:rsidRPr="00295E71" w14:paraId="33C7A59A" w14:textId="77777777">
      <w:pPr>
        <w:tabs>
          <w:tab w:val="left" w:pos="567"/>
          <w:tab w:val="left" w:pos="1294"/>
        </w:tabs>
        <w:autoSpaceDE w:val="0"/>
        <w:autoSpaceDN w:val="0"/>
        <w:adjustRightInd w:val="0"/>
        <w:jc w:val="both"/>
        <w:rPr>
          <w:del w:id="10942" w:author="AbbVie14" w:date="2025-05-09T10:35:00Z"/>
          <w:color w:val="000000"/>
          <w:sz w:val="22"/>
          <w:szCs w:val="22"/>
        </w:rPr>
      </w:pPr>
    </w:p>
    <w:p w:rsidR="006224C2" w:rsidRPr="00295E71" w14:paraId="0D28E2FC" w14:textId="77777777">
      <w:pPr>
        <w:tabs>
          <w:tab w:val="left" w:pos="567"/>
          <w:tab w:val="left" w:pos="1294"/>
        </w:tabs>
        <w:autoSpaceDE w:val="0"/>
        <w:autoSpaceDN w:val="0"/>
        <w:adjustRightInd w:val="0"/>
        <w:jc w:val="both"/>
        <w:rPr>
          <w:del w:id="10943" w:author="AbbVie14" w:date="2025-05-09T10:35:00Z"/>
          <w:color w:val="000000"/>
          <w:sz w:val="22"/>
          <w:szCs w:val="22"/>
        </w:rPr>
      </w:pPr>
      <w:del w:id="10944" w:author="AbbVie14" w:date="2025-05-09T10:35:00Z">
        <w:r w:rsidRPr="00295E71">
          <w:rPr>
            <w:color w:val="000000"/>
            <w:sz w:val="22"/>
            <w:szCs w:val="22"/>
          </w:rPr>
          <w:delText>Lo Studio UV I ha valutato 217 pazienti con uveite attiva nonostante il trattamento con corticosteroidi (prednisone orale a una dose</w:delText>
        </w:r>
      </w:del>
      <w:del w:id="10945" w:author="AbbVie14" w:date="2025-05-09T10:35:00Z">
        <w:r w:rsidRPr="00295E71" w:rsidR="00784BDE">
          <w:rPr>
            <w:color w:val="000000"/>
            <w:sz w:val="22"/>
            <w:szCs w:val="22"/>
          </w:rPr>
          <w:delText xml:space="preserve"> </w:delText>
        </w:r>
      </w:del>
      <w:del w:id="10946" w:author="AbbVie14" w:date="2025-05-09T10:35:00Z">
        <w:r w:rsidRPr="00295E71">
          <w:rPr>
            <w:color w:val="000000"/>
            <w:sz w:val="22"/>
            <w:szCs w:val="22"/>
          </w:rPr>
          <w:delText>di 10-60 mg/die). Tutti i pazienti hanno ricevuto una dose standardizzata di prednisone pari a 60 mg/die all’ingresso nello studio per 2 settimane seguita da un programma obbligatorio di riduzione del dosaggio, fino alla sospensione totale del corticosteroide alla settimana 15.</w:delText>
        </w:r>
      </w:del>
    </w:p>
    <w:p w:rsidR="006224C2" w:rsidRPr="00295E71" w14:paraId="74988F72" w14:textId="77777777">
      <w:pPr>
        <w:tabs>
          <w:tab w:val="left" w:pos="567"/>
          <w:tab w:val="left" w:pos="1294"/>
        </w:tabs>
        <w:autoSpaceDE w:val="0"/>
        <w:autoSpaceDN w:val="0"/>
        <w:adjustRightInd w:val="0"/>
        <w:jc w:val="both"/>
        <w:rPr>
          <w:del w:id="10947" w:author="AbbVie14" w:date="2025-05-09T10:35:00Z"/>
          <w:color w:val="000000"/>
          <w:sz w:val="22"/>
          <w:szCs w:val="22"/>
        </w:rPr>
      </w:pPr>
    </w:p>
    <w:p w:rsidR="006224C2" w:rsidRPr="00295E71" w14:paraId="1BC40792" w14:textId="77777777">
      <w:pPr>
        <w:tabs>
          <w:tab w:val="left" w:pos="567"/>
          <w:tab w:val="left" w:pos="1294"/>
        </w:tabs>
        <w:autoSpaceDE w:val="0"/>
        <w:autoSpaceDN w:val="0"/>
        <w:adjustRightInd w:val="0"/>
        <w:jc w:val="both"/>
        <w:rPr>
          <w:del w:id="10948" w:author="AbbVie14" w:date="2025-05-09T10:35:00Z"/>
          <w:color w:val="000000"/>
          <w:sz w:val="22"/>
          <w:szCs w:val="22"/>
        </w:rPr>
      </w:pPr>
      <w:del w:id="10949" w:author="AbbVie14" w:date="2025-05-09T10:35:00Z">
        <w:r w:rsidRPr="00295E71">
          <w:rPr>
            <w:color w:val="000000"/>
            <w:sz w:val="22"/>
            <w:szCs w:val="22"/>
          </w:rPr>
          <w:delText>Lo Studio UV II ha valutato 226 pazienti con uveite inattiva che al basale necessitavano</w:delText>
        </w:r>
      </w:del>
      <w:del w:id="10950" w:author="AbbVie14" w:date="2025-05-09T10:35:00Z">
        <w:r w:rsidRPr="00295E71" w:rsidR="00784BDE">
          <w:rPr>
            <w:color w:val="000000"/>
            <w:sz w:val="22"/>
            <w:szCs w:val="22"/>
          </w:rPr>
          <w:delText xml:space="preserve"> </w:delText>
        </w:r>
      </w:del>
      <w:del w:id="10951" w:author="AbbVie14" w:date="2025-05-09T10:35:00Z">
        <w:r w:rsidRPr="00295E71">
          <w:rPr>
            <w:color w:val="000000"/>
            <w:sz w:val="22"/>
            <w:szCs w:val="22"/>
          </w:rPr>
          <w:delText>di</w:delText>
        </w:r>
      </w:del>
      <w:del w:id="10952" w:author="AbbVie14" w:date="2025-05-09T10:35:00Z">
        <w:r w:rsidRPr="00295E71" w:rsidR="00784BDE">
          <w:rPr>
            <w:color w:val="000000"/>
            <w:sz w:val="22"/>
            <w:szCs w:val="22"/>
          </w:rPr>
          <w:delText xml:space="preserve"> </w:delText>
        </w:r>
      </w:del>
      <w:del w:id="10953" w:author="AbbVie14" w:date="2025-05-09T10:35:00Z">
        <w:r w:rsidRPr="00295E71">
          <w:rPr>
            <w:color w:val="000000"/>
            <w:sz w:val="22"/>
            <w:szCs w:val="22"/>
          </w:rPr>
          <w:delText>trattamento cronico con corticosteroide (prednisone orale da 10 a 35 mg/die) per controllare la loro malattia. I pazienti sono stati sottoposti successivamente a un programma obbligatorio di riduzione del dosaggio, fino</w:delText>
        </w:r>
      </w:del>
      <w:del w:id="10954" w:author="AbbVie14" w:date="2025-05-09T10:35:00Z">
        <w:r w:rsidRPr="00295E71" w:rsidR="00784BDE">
          <w:rPr>
            <w:color w:val="000000"/>
            <w:sz w:val="22"/>
            <w:szCs w:val="22"/>
          </w:rPr>
          <w:delText xml:space="preserve"> </w:delText>
        </w:r>
      </w:del>
      <w:del w:id="10955" w:author="AbbVie14" w:date="2025-05-09T10:35:00Z">
        <w:r w:rsidRPr="00295E71">
          <w:rPr>
            <w:color w:val="000000"/>
            <w:sz w:val="22"/>
            <w:szCs w:val="22"/>
          </w:rPr>
          <w:delText>alla sospensione totale del corticosteroide alla settimana 19.</w:delText>
        </w:r>
      </w:del>
    </w:p>
    <w:p w:rsidR="006224C2" w:rsidRPr="00295E71" w14:paraId="4A6328F5" w14:textId="77777777">
      <w:pPr>
        <w:tabs>
          <w:tab w:val="left" w:pos="567"/>
          <w:tab w:val="left" w:pos="1294"/>
        </w:tabs>
        <w:autoSpaceDE w:val="0"/>
        <w:autoSpaceDN w:val="0"/>
        <w:adjustRightInd w:val="0"/>
        <w:jc w:val="both"/>
        <w:rPr>
          <w:del w:id="10956" w:author="AbbVie14" w:date="2025-05-09T10:35:00Z"/>
          <w:color w:val="000000"/>
          <w:sz w:val="22"/>
          <w:szCs w:val="22"/>
        </w:rPr>
      </w:pPr>
    </w:p>
    <w:p w:rsidR="006224C2" w:rsidRPr="00295E71" w14:paraId="59270C54" w14:textId="77777777">
      <w:pPr>
        <w:tabs>
          <w:tab w:val="left" w:pos="567"/>
          <w:tab w:val="left" w:pos="1294"/>
        </w:tabs>
        <w:autoSpaceDE w:val="0"/>
        <w:autoSpaceDN w:val="0"/>
        <w:adjustRightInd w:val="0"/>
        <w:jc w:val="both"/>
        <w:rPr>
          <w:del w:id="10957" w:author="AbbVie14" w:date="2025-05-09T10:35:00Z"/>
          <w:color w:val="000000"/>
          <w:sz w:val="22"/>
          <w:szCs w:val="22"/>
        </w:rPr>
      </w:pPr>
      <w:del w:id="10958" w:author="AbbVie14" w:date="2025-05-09T10:35:00Z">
        <w:r w:rsidRPr="00295E71">
          <w:rPr>
            <w:color w:val="000000"/>
            <w:sz w:val="22"/>
            <w:szCs w:val="22"/>
          </w:rPr>
          <w:delText>L'endpoint primario di efficacia in entrambi gli studi era il “tempo al fallimento del trattamento”. Il fallimento del trattamento è stato definito attraverso un parametro a più componenti basato su lesioni vascolari infiammatorie corioretiniche e/o retiniche , numero di cellule</w:delText>
        </w:r>
      </w:del>
      <w:del w:id="10959" w:author="AbbVie14" w:date="2025-05-09T10:35:00Z">
        <w:r w:rsidRPr="00295E71" w:rsidR="00784BDE">
          <w:rPr>
            <w:color w:val="000000"/>
            <w:sz w:val="22"/>
            <w:szCs w:val="22"/>
          </w:rPr>
          <w:delText xml:space="preserve"> </w:delText>
        </w:r>
      </w:del>
      <w:del w:id="10960" w:author="AbbVie14" w:date="2025-05-09T10:35:00Z">
        <w:r w:rsidRPr="00295E71">
          <w:rPr>
            <w:color w:val="000000"/>
            <w:sz w:val="22"/>
            <w:szCs w:val="22"/>
          </w:rPr>
          <w:delText>in camera anteriore (anterior chamber, AC), grado di opacità del vitreo (vitreous haze, VH) e migliore acuità visiva corretta (best corrected visual acuity, BCVA).</w:delText>
        </w:r>
      </w:del>
    </w:p>
    <w:p w:rsidR="006224C2" w:rsidRPr="00295E71" w14:paraId="4A10DDBD" w14:textId="77777777">
      <w:pPr>
        <w:tabs>
          <w:tab w:val="left" w:pos="567"/>
          <w:tab w:val="left" w:pos="1294"/>
        </w:tabs>
        <w:autoSpaceDE w:val="0"/>
        <w:autoSpaceDN w:val="0"/>
        <w:adjustRightInd w:val="0"/>
        <w:jc w:val="both"/>
        <w:rPr>
          <w:del w:id="10961" w:author="AbbVie14" w:date="2025-05-09T10:35:00Z"/>
          <w:color w:val="000000"/>
          <w:sz w:val="22"/>
          <w:szCs w:val="22"/>
        </w:rPr>
      </w:pPr>
    </w:p>
    <w:p w:rsidR="00737052" w:rsidP="00737052" w14:paraId="041772BB" w14:textId="77777777">
      <w:pPr>
        <w:pStyle w:val="EMEANormal"/>
        <w:jc w:val="both"/>
        <w:rPr>
          <w:del w:id="10962" w:author="AbbVie14" w:date="2025-05-09T10:35:00Z"/>
          <w:color w:val="000000"/>
          <w:lang w:val="it-IT" w:eastAsia="it-IT"/>
        </w:rPr>
      </w:pPr>
      <w:del w:id="10963" w:author="AbbVie14" w:date="2025-05-09T10:35:00Z">
        <w:r w:rsidRPr="00004788">
          <w:rPr>
            <w:color w:val="000000"/>
            <w:lang w:val="it-IT" w:eastAsia="it-IT"/>
          </w:rPr>
          <w:delText xml:space="preserve">I pazienti che hanno completato gli Studi UV I e UV II erano eleggibili per </w:delText>
        </w:r>
      </w:del>
      <w:del w:id="10964" w:author="AbbVie14" w:date="2025-05-09T10:35:00Z">
        <w:r>
          <w:rPr>
            <w:color w:val="000000"/>
            <w:lang w:val="it-IT" w:eastAsia="it-IT"/>
          </w:rPr>
          <w:delText xml:space="preserve">essere arruolati in uno </w:delText>
        </w:r>
      </w:del>
      <w:del w:id="10965" w:author="AbbVie14" w:date="2025-05-09T10:35:00Z">
        <w:r w:rsidRPr="00004788">
          <w:rPr>
            <w:color w:val="000000"/>
            <w:lang w:val="it-IT" w:eastAsia="it-IT"/>
          </w:rPr>
          <w:delText xml:space="preserve">studio di estensione a lungo termine </w:delText>
        </w:r>
      </w:del>
      <w:del w:id="10966" w:author="AbbVie14" w:date="2025-05-09T10:35:00Z">
        <w:r>
          <w:rPr>
            <w:color w:val="000000"/>
            <w:lang w:val="it-IT" w:eastAsia="it-IT"/>
          </w:rPr>
          <w:delText xml:space="preserve">non </w:delText>
        </w:r>
      </w:del>
      <w:del w:id="10967" w:author="AbbVie14" w:date="2025-05-09T10:35:00Z">
        <w:r w:rsidRPr="00004788">
          <w:rPr>
            <w:color w:val="000000"/>
            <w:lang w:val="it-IT" w:eastAsia="it-IT"/>
          </w:rPr>
          <w:delText>controllato</w:delText>
        </w:r>
      </w:del>
      <w:del w:id="10968" w:author="AbbVie14" w:date="2025-05-09T10:35:00Z">
        <w:r>
          <w:rPr>
            <w:color w:val="000000"/>
            <w:lang w:val="it-IT" w:eastAsia="it-IT"/>
          </w:rPr>
          <w:delText xml:space="preserve"> della </w:delText>
        </w:r>
      </w:del>
      <w:del w:id="10969" w:author="AbbVie14" w:date="2025-05-09T10:35:00Z">
        <w:r w:rsidRPr="00004788">
          <w:rPr>
            <w:color w:val="000000"/>
            <w:lang w:val="it-IT" w:eastAsia="it-IT"/>
          </w:rPr>
          <w:delText xml:space="preserve">durata originariamente programmata di 78 settimane. I pazienti sono stati autorizzati a continuare </w:delText>
        </w:r>
      </w:del>
      <w:del w:id="10970" w:author="AbbVie14" w:date="2025-05-09T10:35:00Z">
        <w:r>
          <w:rPr>
            <w:color w:val="000000"/>
            <w:lang w:val="it-IT" w:eastAsia="it-IT"/>
          </w:rPr>
          <w:delText xml:space="preserve">il medicinale in studio </w:delText>
        </w:r>
      </w:del>
      <w:del w:id="10971" w:author="AbbVie14" w:date="2025-05-09T10:35:00Z">
        <w:r w:rsidRPr="00004788">
          <w:rPr>
            <w:color w:val="000000"/>
            <w:lang w:val="it-IT" w:eastAsia="it-IT"/>
          </w:rPr>
          <w:delText xml:space="preserve">oltre la </w:delText>
        </w:r>
      </w:del>
      <w:del w:id="10972" w:author="AbbVie14" w:date="2025-05-09T10:35:00Z">
        <w:r>
          <w:rPr>
            <w:color w:val="000000"/>
            <w:lang w:val="it-IT" w:eastAsia="it-IT"/>
          </w:rPr>
          <w:delText>S</w:delText>
        </w:r>
      </w:del>
      <w:del w:id="10973" w:author="AbbVie14" w:date="2025-05-09T10:35:00Z">
        <w:r w:rsidRPr="00004788">
          <w:rPr>
            <w:color w:val="000000"/>
            <w:lang w:val="it-IT" w:eastAsia="it-IT"/>
          </w:rPr>
          <w:delText xml:space="preserve">ettimana 78 fino a quando </w:delText>
        </w:r>
      </w:del>
      <w:del w:id="10974" w:author="AbbVie14" w:date="2025-05-09T10:35:00Z">
        <w:r w:rsidR="00FF189C">
          <w:rPr>
            <w:color w:val="000000"/>
            <w:lang w:val="it-IT" w:eastAsia="it-IT"/>
          </w:rPr>
          <w:delText>hanno avuto</w:delText>
        </w:r>
      </w:del>
      <w:del w:id="10975" w:author="AbbVie14" w:date="2025-05-09T10:35:00Z">
        <w:r>
          <w:rPr>
            <w:color w:val="000000"/>
            <w:lang w:val="it-IT" w:eastAsia="it-IT"/>
          </w:rPr>
          <w:delText xml:space="preserve"> </w:delText>
        </w:r>
      </w:del>
      <w:del w:id="10976" w:author="AbbVie14" w:date="2025-05-09T10:35:00Z">
        <w:r w:rsidRPr="00004788">
          <w:rPr>
            <w:color w:val="000000"/>
            <w:lang w:val="it-IT" w:eastAsia="it-IT"/>
          </w:rPr>
          <w:delText>accesso a</w:delText>
        </w:r>
      </w:del>
      <w:del w:id="10977" w:author="AbbVie14" w:date="2025-05-09T10:35:00Z">
        <w:r>
          <w:rPr>
            <w:color w:val="000000"/>
            <w:lang w:val="it-IT" w:eastAsia="it-IT"/>
          </w:rPr>
          <w:delText>d</w:delText>
        </w:r>
      </w:del>
      <w:del w:id="10978" w:author="AbbVie14" w:date="2025-05-09T10:35:00Z">
        <w:r w:rsidRPr="00004788">
          <w:rPr>
            <w:color w:val="000000"/>
            <w:lang w:val="it-IT" w:eastAsia="it-IT"/>
          </w:rPr>
          <w:delText xml:space="preserve"> Humira.</w:delText>
        </w:r>
      </w:del>
    </w:p>
    <w:p w:rsidR="00737052" w14:paraId="129925F6" w14:textId="77777777">
      <w:pPr>
        <w:tabs>
          <w:tab w:val="left" w:pos="567"/>
          <w:tab w:val="left" w:pos="1294"/>
        </w:tabs>
        <w:autoSpaceDE w:val="0"/>
        <w:autoSpaceDN w:val="0"/>
        <w:adjustRightInd w:val="0"/>
        <w:jc w:val="both"/>
        <w:rPr>
          <w:del w:id="10979" w:author="AbbVie14" w:date="2025-05-09T10:35:00Z"/>
          <w:i/>
          <w:color w:val="000000"/>
          <w:sz w:val="22"/>
          <w:szCs w:val="22"/>
          <w:u w:val="single"/>
        </w:rPr>
      </w:pPr>
    </w:p>
    <w:p w:rsidR="006224C2" w:rsidRPr="00295E71" w14:paraId="1852006C" w14:textId="77777777">
      <w:pPr>
        <w:tabs>
          <w:tab w:val="left" w:pos="567"/>
          <w:tab w:val="left" w:pos="1294"/>
        </w:tabs>
        <w:autoSpaceDE w:val="0"/>
        <w:autoSpaceDN w:val="0"/>
        <w:adjustRightInd w:val="0"/>
        <w:jc w:val="both"/>
        <w:rPr>
          <w:del w:id="10980" w:author="AbbVie14" w:date="2025-05-09T10:35:00Z"/>
          <w:i/>
          <w:color w:val="000000"/>
          <w:sz w:val="22"/>
          <w:szCs w:val="22"/>
          <w:u w:val="single"/>
        </w:rPr>
      </w:pPr>
      <w:del w:id="10981" w:author="AbbVie14" w:date="2025-05-09T10:35:00Z">
        <w:r w:rsidRPr="00295E71">
          <w:rPr>
            <w:i/>
            <w:color w:val="000000"/>
            <w:sz w:val="22"/>
            <w:szCs w:val="22"/>
            <w:u w:val="single"/>
          </w:rPr>
          <w:delText>Risposta clinica</w:delText>
        </w:r>
      </w:del>
    </w:p>
    <w:p w:rsidR="006224C2" w:rsidRPr="00295E71" w14:paraId="1CE6EF9A" w14:textId="77777777">
      <w:pPr>
        <w:tabs>
          <w:tab w:val="left" w:pos="567"/>
          <w:tab w:val="left" w:pos="1294"/>
        </w:tabs>
        <w:autoSpaceDE w:val="0"/>
        <w:autoSpaceDN w:val="0"/>
        <w:adjustRightInd w:val="0"/>
        <w:jc w:val="both"/>
        <w:rPr>
          <w:del w:id="10982" w:author="AbbVie14" w:date="2025-05-09T10:35:00Z"/>
          <w:color w:val="000000"/>
          <w:sz w:val="22"/>
          <w:szCs w:val="22"/>
        </w:rPr>
      </w:pPr>
    </w:p>
    <w:p w:rsidR="006224C2" w:rsidRPr="00295E71" w14:paraId="62829B8B" w14:textId="77777777">
      <w:pPr>
        <w:tabs>
          <w:tab w:val="left" w:pos="567"/>
          <w:tab w:val="left" w:pos="1294"/>
        </w:tabs>
        <w:autoSpaceDE w:val="0"/>
        <w:autoSpaceDN w:val="0"/>
        <w:adjustRightInd w:val="0"/>
        <w:jc w:val="both"/>
        <w:rPr>
          <w:del w:id="10983" w:author="AbbVie14" w:date="2025-05-09T10:35:00Z"/>
          <w:color w:val="000000"/>
          <w:sz w:val="22"/>
          <w:szCs w:val="22"/>
        </w:rPr>
      </w:pPr>
      <w:del w:id="10984" w:author="AbbVie14" w:date="2025-05-09T10:35:00Z">
        <w:r w:rsidRPr="00295E71">
          <w:rPr>
            <w:color w:val="000000"/>
            <w:sz w:val="22"/>
            <w:szCs w:val="22"/>
          </w:rPr>
          <w:delText xml:space="preserve">I risultati di entrambi gli studi hanno dimostrato la riduzione statisticamente significativa del rischio di fallimento del trattamento nei pazienti trattati con Humira rispetto ai pazienti trattati con placebo (vedere Tabella </w:delText>
        </w:r>
      </w:del>
      <w:del w:id="10985" w:author="AbbVie14" w:date="2025-05-09T10:35:00Z">
        <w:r w:rsidRPr="00295E71" w:rsidR="00326430">
          <w:rPr>
            <w:color w:val="000000"/>
            <w:sz w:val="22"/>
            <w:szCs w:val="22"/>
          </w:rPr>
          <w:delText>2</w:delText>
        </w:r>
      </w:del>
      <w:del w:id="10986" w:author="AbbVie14" w:date="2025-05-09T10:35:00Z">
        <w:r w:rsidR="005C4AD7">
          <w:rPr>
            <w:color w:val="000000"/>
            <w:sz w:val="22"/>
            <w:szCs w:val="22"/>
          </w:rPr>
          <w:delText>4</w:delText>
        </w:r>
      </w:del>
      <w:del w:id="10987" w:author="AbbVie14" w:date="2025-05-09T10:35:00Z">
        <w:r w:rsidRPr="00295E71">
          <w:rPr>
            <w:color w:val="000000"/>
            <w:sz w:val="22"/>
            <w:szCs w:val="22"/>
          </w:rPr>
          <w:delText xml:space="preserve">). Entrambi gli studi hanno dimostrato un effetto precoce e prolungato di Humira sul tasso di fallimento del trattamento rispetto al placebo (vedere Figura </w:delText>
        </w:r>
      </w:del>
      <w:del w:id="10988" w:author="AbbVie14" w:date="2025-05-09T10:35:00Z">
        <w:r w:rsidRPr="00295E71" w:rsidR="00CC7DC5">
          <w:rPr>
            <w:color w:val="000000"/>
            <w:sz w:val="22"/>
            <w:szCs w:val="22"/>
          </w:rPr>
          <w:delText>2</w:delText>
        </w:r>
      </w:del>
      <w:del w:id="10989" w:author="AbbVie14" w:date="2025-05-09T10:35:00Z">
        <w:r w:rsidRPr="00295E71">
          <w:rPr>
            <w:color w:val="000000"/>
            <w:sz w:val="22"/>
            <w:szCs w:val="22"/>
          </w:rPr>
          <w:delText>).</w:delText>
        </w:r>
      </w:del>
    </w:p>
    <w:p w:rsidR="006224C2" w:rsidRPr="00295E71" w14:paraId="479610F7" w14:textId="77777777">
      <w:pPr>
        <w:tabs>
          <w:tab w:val="left" w:pos="567"/>
          <w:tab w:val="left" w:pos="1294"/>
        </w:tabs>
        <w:autoSpaceDE w:val="0"/>
        <w:autoSpaceDN w:val="0"/>
        <w:adjustRightInd w:val="0"/>
        <w:jc w:val="both"/>
        <w:rPr>
          <w:del w:id="10990" w:author="AbbVie14" w:date="2025-05-09T10:35:00Z"/>
          <w:color w:val="000000"/>
          <w:sz w:val="22"/>
          <w:szCs w:val="22"/>
        </w:rPr>
      </w:pPr>
    </w:p>
    <w:p w:rsidR="006224C2" w:rsidRPr="00295E71" w14:paraId="6315BC07" w14:textId="77777777">
      <w:pPr>
        <w:keepNext/>
        <w:jc w:val="center"/>
        <w:rPr>
          <w:del w:id="10991" w:author="AbbVie14" w:date="2025-05-09T10:35:00Z"/>
          <w:b/>
          <w:color w:val="000000"/>
          <w:sz w:val="22"/>
          <w:szCs w:val="22"/>
        </w:rPr>
      </w:pPr>
      <w:del w:id="10992" w:author="AbbVie14" w:date="2025-05-09T10:35:00Z">
        <w:r w:rsidRPr="00295E71">
          <w:rPr>
            <w:b/>
            <w:color w:val="000000"/>
            <w:sz w:val="22"/>
            <w:szCs w:val="22"/>
          </w:rPr>
          <w:delText xml:space="preserve">Tabella </w:delText>
        </w:r>
      </w:del>
      <w:del w:id="10993" w:author="AbbVie14" w:date="2025-05-09T10:35:00Z">
        <w:r w:rsidRPr="00295E71" w:rsidR="00326430">
          <w:rPr>
            <w:b/>
            <w:color w:val="000000"/>
            <w:sz w:val="22"/>
            <w:szCs w:val="22"/>
          </w:rPr>
          <w:delText>2</w:delText>
        </w:r>
      </w:del>
      <w:del w:id="10994" w:author="AbbVie14" w:date="2025-05-09T10:35:00Z">
        <w:r w:rsidR="005C4AD7">
          <w:rPr>
            <w:b/>
            <w:color w:val="000000"/>
            <w:sz w:val="22"/>
            <w:szCs w:val="22"/>
          </w:rPr>
          <w:delText>4</w:delText>
        </w:r>
      </w:del>
    </w:p>
    <w:p w:rsidR="006224C2" w:rsidRPr="00295E71" w14:paraId="53DB52C0" w14:textId="77777777">
      <w:pPr>
        <w:keepNext/>
        <w:tabs>
          <w:tab w:val="left" w:pos="567"/>
          <w:tab w:val="left" w:pos="1294"/>
        </w:tabs>
        <w:autoSpaceDE w:val="0"/>
        <w:autoSpaceDN w:val="0"/>
        <w:adjustRightInd w:val="0"/>
        <w:jc w:val="center"/>
        <w:rPr>
          <w:del w:id="10995" w:author="AbbVie14" w:date="2025-05-09T10:35:00Z"/>
          <w:b/>
          <w:color w:val="000000"/>
          <w:sz w:val="22"/>
          <w:szCs w:val="22"/>
        </w:rPr>
      </w:pPr>
      <w:del w:id="10996" w:author="AbbVie14" w:date="2025-05-09T10:35:00Z">
        <w:r w:rsidRPr="00295E71">
          <w:rPr>
            <w:b/>
            <w:color w:val="000000"/>
            <w:sz w:val="22"/>
            <w:szCs w:val="22"/>
          </w:rPr>
          <w:delText>Tempo al fallimento del trattamento negli Studi UV I e UV II</w:delText>
        </w:r>
      </w:del>
    </w:p>
    <w:p w:rsidR="006224C2" w:rsidRPr="00295E71" w14:paraId="20027368" w14:textId="77777777">
      <w:pPr>
        <w:keepNext/>
        <w:tabs>
          <w:tab w:val="left" w:pos="567"/>
          <w:tab w:val="left" w:pos="1294"/>
        </w:tabs>
        <w:autoSpaceDE w:val="0"/>
        <w:autoSpaceDN w:val="0"/>
        <w:adjustRightInd w:val="0"/>
        <w:jc w:val="both"/>
        <w:rPr>
          <w:del w:id="10997" w:author="AbbVie14" w:date="2025-05-09T10:35:00Z"/>
          <w:color w:val="000000"/>
          <w:sz w:val="22"/>
          <w:szCs w:val="22"/>
        </w:rPr>
      </w:pPr>
    </w:p>
    <w:tbl>
      <w:tblPr>
        <w:tblW w:w="0" w:type="auto"/>
        <w:tblBorders>
          <w:top w:val="single" w:sz="4" w:space="0" w:color="auto"/>
          <w:bottom w:val="single" w:sz="4" w:space="0" w:color="auto"/>
        </w:tblBorders>
        <w:tblLook w:val="04A0"/>
      </w:tblPr>
      <w:tblGrid>
        <w:gridCol w:w="2266"/>
        <w:gridCol w:w="719"/>
        <w:gridCol w:w="1231"/>
        <w:gridCol w:w="1887"/>
        <w:gridCol w:w="720"/>
        <w:gridCol w:w="1107"/>
        <w:gridCol w:w="1140"/>
      </w:tblGrid>
      <w:tr w14:paraId="71370D8E" w14:textId="77777777">
        <w:tblPrEx>
          <w:tblW w:w="0" w:type="auto"/>
          <w:tblLook w:val="04A0"/>
        </w:tblPrEx>
        <w:trPr>
          <w:del w:id="10998" w:author="AbbVie14" w:date="2025-05-09T10:35:00Z"/>
        </w:trPr>
        <w:tc>
          <w:tcPr>
            <w:tcW w:w="2268" w:type="dxa"/>
            <w:tcBorders>
              <w:top w:val="single" w:sz="4" w:space="0" w:color="auto"/>
              <w:bottom w:val="single" w:sz="4" w:space="0" w:color="auto"/>
            </w:tcBorders>
          </w:tcPr>
          <w:p w:rsidR="006224C2" w:rsidRPr="00295E71" w14:paraId="19122697" w14:textId="77777777">
            <w:pPr>
              <w:keepNext/>
              <w:tabs>
                <w:tab w:val="left" w:pos="562"/>
              </w:tabs>
              <w:suppressAutoHyphens/>
              <w:rPr>
                <w:del w:id="10999" w:author="AbbVie14" w:date="2025-05-09T10:35:00Z"/>
                <w:b/>
                <w:sz w:val="22"/>
                <w:szCs w:val="22"/>
              </w:rPr>
            </w:pPr>
            <w:del w:id="11000" w:author="AbbVie14" w:date="2025-05-09T10:35:00Z">
              <w:r w:rsidRPr="00295E71">
                <w:rPr>
                  <w:b/>
                  <w:sz w:val="22"/>
                  <w:szCs w:val="22"/>
                </w:rPr>
                <w:delText>Analisi</w:delText>
              </w:r>
            </w:del>
          </w:p>
          <w:p w:rsidR="006224C2" w:rsidRPr="00295E71" w14:paraId="685F1F1B" w14:textId="77777777">
            <w:pPr>
              <w:keepNext/>
              <w:tabs>
                <w:tab w:val="left" w:pos="562"/>
              </w:tabs>
              <w:suppressAutoHyphens/>
              <w:rPr>
                <w:del w:id="11001" w:author="AbbVie14" w:date="2025-05-09T10:35:00Z"/>
                <w:b/>
                <w:sz w:val="22"/>
                <w:szCs w:val="22"/>
              </w:rPr>
            </w:pPr>
            <w:del w:id="11002" w:author="AbbVie14" w:date="2025-05-09T10:35:00Z">
              <w:r w:rsidRPr="00295E71">
                <w:rPr>
                  <w:b/>
                  <w:sz w:val="22"/>
                  <w:szCs w:val="22"/>
                </w:rPr>
                <w:tab/>
                <w:delText>Trattamento</w:delText>
              </w:r>
            </w:del>
          </w:p>
        </w:tc>
        <w:tc>
          <w:tcPr>
            <w:tcW w:w="720" w:type="dxa"/>
            <w:tcBorders>
              <w:top w:val="single" w:sz="4" w:space="0" w:color="auto"/>
              <w:bottom w:val="single" w:sz="4" w:space="0" w:color="auto"/>
            </w:tcBorders>
          </w:tcPr>
          <w:p w:rsidR="006224C2" w:rsidRPr="00295E71" w14:paraId="24394E1D" w14:textId="77777777">
            <w:pPr>
              <w:keepNext/>
              <w:tabs>
                <w:tab w:val="left" w:pos="562"/>
              </w:tabs>
              <w:suppressAutoHyphens/>
              <w:rPr>
                <w:del w:id="11003" w:author="AbbVie14" w:date="2025-05-09T10:35:00Z"/>
                <w:b/>
                <w:sz w:val="22"/>
                <w:szCs w:val="22"/>
              </w:rPr>
            </w:pPr>
            <w:del w:id="11004" w:author="AbbVie14" w:date="2025-05-09T10:35:00Z">
              <w:r w:rsidRPr="00295E71">
                <w:rPr>
                  <w:b/>
                  <w:sz w:val="22"/>
                  <w:szCs w:val="22"/>
                </w:rPr>
                <w:delText>N</w:delText>
              </w:r>
            </w:del>
          </w:p>
        </w:tc>
        <w:tc>
          <w:tcPr>
            <w:tcW w:w="1231" w:type="dxa"/>
            <w:tcBorders>
              <w:top w:val="single" w:sz="4" w:space="0" w:color="auto"/>
              <w:bottom w:val="single" w:sz="4" w:space="0" w:color="auto"/>
            </w:tcBorders>
          </w:tcPr>
          <w:p w:rsidR="006224C2" w:rsidRPr="00295E71" w14:paraId="45767950" w14:textId="77777777">
            <w:pPr>
              <w:keepNext/>
              <w:tabs>
                <w:tab w:val="left" w:pos="562"/>
              </w:tabs>
              <w:suppressAutoHyphens/>
              <w:rPr>
                <w:del w:id="11005" w:author="AbbVie14" w:date="2025-05-09T10:35:00Z"/>
                <w:b/>
                <w:sz w:val="22"/>
                <w:szCs w:val="22"/>
              </w:rPr>
            </w:pPr>
            <w:del w:id="11006" w:author="AbbVie14" w:date="2025-05-09T10:35:00Z">
              <w:r w:rsidRPr="00295E71">
                <w:rPr>
                  <w:b/>
                  <w:sz w:val="22"/>
                  <w:szCs w:val="22"/>
                </w:rPr>
                <w:delText>Fallimento</w:delText>
              </w:r>
            </w:del>
            <w:del w:id="11007" w:author="AbbVie14" w:date="2025-05-09T10:35:00Z">
              <w:r w:rsidRPr="00295E71">
                <w:rPr>
                  <w:b/>
                  <w:sz w:val="22"/>
                  <w:szCs w:val="22"/>
                </w:rPr>
                <w:br/>
                <w:delText>N (%)</w:delText>
              </w:r>
            </w:del>
          </w:p>
        </w:tc>
        <w:tc>
          <w:tcPr>
            <w:tcW w:w="1890" w:type="dxa"/>
            <w:tcBorders>
              <w:top w:val="single" w:sz="4" w:space="0" w:color="auto"/>
              <w:bottom w:val="single" w:sz="4" w:space="0" w:color="auto"/>
            </w:tcBorders>
          </w:tcPr>
          <w:p w:rsidR="006224C2" w:rsidRPr="00295E71" w14:paraId="6D18D68A" w14:textId="77777777">
            <w:pPr>
              <w:keepNext/>
              <w:tabs>
                <w:tab w:val="left" w:pos="562"/>
              </w:tabs>
              <w:suppressAutoHyphens/>
              <w:rPr>
                <w:del w:id="11008" w:author="AbbVie14" w:date="2025-05-09T10:35:00Z"/>
                <w:b/>
                <w:sz w:val="22"/>
                <w:szCs w:val="22"/>
                <w:lang w:eastAsia="en-US"/>
              </w:rPr>
            </w:pPr>
            <w:del w:id="11009" w:author="AbbVie14" w:date="2025-05-09T10:35:00Z">
              <w:r w:rsidRPr="00295E71">
                <w:rPr>
                  <w:b/>
                  <w:sz w:val="22"/>
                  <w:szCs w:val="22"/>
                  <w:lang w:eastAsia="en-US"/>
                </w:rPr>
                <w:delText>Mediana del tempo</w:delText>
              </w:r>
            </w:del>
            <w:del w:id="11010" w:author="AbbVie14" w:date="2025-05-09T10:35:00Z">
              <w:r w:rsidRPr="00295E71" w:rsidR="00226BC4">
                <w:rPr>
                  <w:b/>
                  <w:sz w:val="22"/>
                  <w:szCs w:val="22"/>
                  <w:lang w:eastAsia="en-US"/>
                </w:rPr>
                <w:delText xml:space="preserve"> al fallimento (mesi)</w:delText>
              </w:r>
            </w:del>
          </w:p>
        </w:tc>
        <w:tc>
          <w:tcPr>
            <w:tcW w:w="720" w:type="dxa"/>
            <w:tcBorders>
              <w:top w:val="single" w:sz="4" w:space="0" w:color="auto"/>
              <w:bottom w:val="single" w:sz="4" w:space="0" w:color="auto"/>
            </w:tcBorders>
          </w:tcPr>
          <w:p w:rsidR="006224C2" w:rsidRPr="00295E71" w14:paraId="6CEB5C39" w14:textId="77777777">
            <w:pPr>
              <w:keepNext/>
              <w:tabs>
                <w:tab w:val="left" w:pos="562"/>
              </w:tabs>
              <w:suppressAutoHyphens/>
              <w:rPr>
                <w:del w:id="11011" w:author="AbbVie14" w:date="2025-05-09T10:35:00Z"/>
                <w:b/>
                <w:sz w:val="22"/>
                <w:szCs w:val="22"/>
              </w:rPr>
            </w:pPr>
            <w:del w:id="11012" w:author="AbbVie14" w:date="2025-05-09T10:35:00Z">
              <w:r w:rsidRPr="00295E71">
                <w:rPr>
                  <w:b/>
                  <w:sz w:val="22"/>
                  <w:szCs w:val="22"/>
                </w:rPr>
                <w:delText>HR</w:delText>
              </w:r>
            </w:del>
            <w:del w:id="11013" w:author="AbbVie14" w:date="2025-05-09T10:35:00Z">
              <w:r w:rsidRPr="00295E71">
                <w:rPr>
                  <w:b/>
                  <w:sz w:val="22"/>
                  <w:szCs w:val="22"/>
                  <w:vertAlign w:val="superscript"/>
                </w:rPr>
                <w:delText>a</w:delText>
              </w:r>
            </w:del>
          </w:p>
        </w:tc>
        <w:tc>
          <w:tcPr>
            <w:tcW w:w="1109" w:type="dxa"/>
            <w:tcBorders>
              <w:top w:val="single" w:sz="4" w:space="0" w:color="auto"/>
              <w:bottom w:val="single" w:sz="4" w:space="0" w:color="auto"/>
            </w:tcBorders>
          </w:tcPr>
          <w:p w:rsidR="006224C2" w:rsidRPr="00295E71" w14:paraId="1C3DECB9" w14:textId="77777777">
            <w:pPr>
              <w:keepNext/>
              <w:tabs>
                <w:tab w:val="left" w:pos="562"/>
              </w:tabs>
              <w:suppressAutoHyphens/>
              <w:rPr>
                <w:del w:id="11014" w:author="AbbVie14" w:date="2025-05-09T10:35:00Z"/>
                <w:b/>
                <w:sz w:val="22"/>
                <w:szCs w:val="22"/>
              </w:rPr>
            </w:pPr>
            <w:del w:id="11015" w:author="AbbVie14" w:date="2025-05-09T10:35:00Z">
              <w:r w:rsidRPr="00295E71">
                <w:rPr>
                  <w:b/>
                  <w:sz w:val="22"/>
                  <w:szCs w:val="22"/>
                </w:rPr>
                <w:delText>IC al 95% per l’HR</w:delText>
              </w:r>
            </w:del>
            <w:del w:id="11016" w:author="AbbVie14" w:date="2025-05-09T10:35:00Z">
              <w:r w:rsidRPr="00295E71">
                <w:rPr>
                  <w:b/>
                  <w:sz w:val="22"/>
                  <w:szCs w:val="22"/>
                  <w:vertAlign w:val="superscript"/>
                </w:rPr>
                <w:delText>a</w:delText>
              </w:r>
            </w:del>
          </w:p>
        </w:tc>
        <w:tc>
          <w:tcPr>
            <w:tcW w:w="1141" w:type="dxa"/>
            <w:tcBorders>
              <w:top w:val="single" w:sz="4" w:space="0" w:color="auto"/>
              <w:bottom w:val="single" w:sz="4" w:space="0" w:color="auto"/>
            </w:tcBorders>
          </w:tcPr>
          <w:p w:rsidR="006224C2" w:rsidRPr="00295E71" w14:paraId="0EAF2BFC" w14:textId="77777777">
            <w:pPr>
              <w:keepNext/>
              <w:tabs>
                <w:tab w:val="left" w:pos="562"/>
              </w:tabs>
              <w:suppressAutoHyphens/>
              <w:rPr>
                <w:del w:id="11017" w:author="AbbVie14" w:date="2025-05-09T10:35:00Z"/>
                <w:b/>
                <w:sz w:val="22"/>
                <w:szCs w:val="22"/>
              </w:rPr>
            </w:pPr>
            <w:del w:id="11018" w:author="AbbVie14" w:date="2025-05-09T10:35:00Z">
              <w:r w:rsidRPr="00295E71">
                <w:rPr>
                  <w:b/>
                  <w:sz w:val="22"/>
                  <w:szCs w:val="22"/>
                </w:rPr>
                <w:delText xml:space="preserve">Valore </w:delText>
              </w:r>
            </w:del>
            <w:del w:id="11019" w:author="AbbVie14" w:date="2025-05-09T10:35:00Z">
              <w:r w:rsidRPr="00295E71">
                <w:rPr>
                  <w:b/>
                  <w:i/>
                  <w:sz w:val="22"/>
                  <w:szCs w:val="22"/>
                </w:rPr>
                <w:delText>P</w:delText>
              </w:r>
            </w:del>
            <w:del w:id="11020" w:author="AbbVie14" w:date="2025-05-09T10:35:00Z">
              <w:r w:rsidRPr="00295E71">
                <w:rPr>
                  <w:sz w:val="22"/>
                  <w:szCs w:val="22"/>
                  <w:vertAlign w:val="superscript"/>
                </w:rPr>
                <w:delText>b</w:delText>
              </w:r>
            </w:del>
          </w:p>
        </w:tc>
      </w:tr>
      <w:tr w14:paraId="44BC8804" w14:textId="77777777">
        <w:tblPrEx>
          <w:tblW w:w="0" w:type="auto"/>
          <w:tblLook w:val="04A0"/>
        </w:tblPrEx>
        <w:trPr>
          <w:del w:id="11021" w:author="AbbVie14" w:date="2025-05-09T10:35:00Z"/>
        </w:trPr>
        <w:tc>
          <w:tcPr>
            <w:tcW w:w="9079" w:type="dxa"/>
            <w:gridSpan w:val="7"/>
            <w:tcBorders>
              <w:top w:val="single" w:sz="4" w:space="0" w:color="auto"/>
              <w:bottom w:val="nil"/>
            </w:tcBorders>
          </w:tcPr>
          <w:p w:rsidR="006224C2" w:rsidRPr="00295E71" w14:paraId="680FE477" w14:textId="77777777">
            <w:pPr>
              <w:keepNext/>
              <w:tabs>
                <w:tab w:val="left" w:pos="562"/>
              </w:tabs>
              <w:suppressAutoHyphens/>
              <w:rPr>
                <w:del w:id="11022" w:author="AbbVie14" w:date="2025-05-09T10:35:00Z"/>
                <w:b/>
                <w:sz w:val="22"/>
                <w:szCs w:val="22"/>
                <w:lang w:eastAsia="en-US"/>
              </w:rPr>
            </w:pPr>
            <w:del w:id="11023" w:author="AbbVie14" w:date="2025-05-09T10:35:00Z">
              <w:r w:rsidRPr="00295E71">
                <w:rPr>
                  <w:b/>
                  <w:sz w:val="22"/>
                  <w:szCs w:val="22"/>
                  <w:lang w:eastAsia="en-US"/>
                </w:rPr>
                <w:delText>Tempo al fallimento del trattamento alla o dopo la settimana 6 nello Studio UV I</w:delText>
              </w:r>
            </w:del>
          </w:p>
        </w:tc>
      </w:tr>
      <w:tr w14:paraId="6EE410CE" w14:textId="77777777">
        <w:tblPrEx>
          <w:tblW w:w="0" w:type="auto"/>
          <w:tblLook w:val="04A0"/>
        </w:tblPrEx>
        <w:trPr>
          <w:del w:id="11024" w:author="AbbVie14" w:date="2025-05-09T10:35:00Z"/>
        </w:trPr>
        <w:tc>
          <w:tcPr>
            <w:tcW w:w="2988" w:type="dxa"/>
            <w:gridSpan w:val="2"/>
            <w:tcBorders>
              <w:top w:val="nil"/>
              <w:bottom w:val="nil"/>
            </w:tcBorders>
          </w:tcPr>
          <w:p w:rsidR="006224C2" w:rsidRPr="00295E71" w14:paraId="0FBAD2AE" w14:textId="77777777">
            <w:pPr>
              <w:keepNext/>
              <w:tabs>
                <w:tab w:val="left" w:pos="562"/>
              </w:tabs>
              <w:suppressAutoHyphens/>
              <w:rPr>
                <w:del w:id="11025" w:author="AbbVie14" w:date="2025-05-09T10:35:00Z"/>
                <w:sz w:val="22"/>
                <w:szCs w:val="22"/>
              </w:rPr>
            </w:pPr>
            <w:del w:id="11026" w:author="AbbVie14" w:date="2025-05-09T10:35:00Z">
              <w:r w:rsidRPr="00295E71">
                <w:rPr>
                  <w:sz w:val="22"/>
                  <w:szCs w:val="22"/>
                </w:rPr>
                <w:delText>Analisi primaria (ITT)</w:delText>
              </w:r>
            </w:del>
          </w:p>
        </w:tc>
        <w:tc>
          <w:tcPr>
            <w:tcW w:w="1231" w:type="dxa"/>
            <w:tcBorders>
              <w:top w:val="nil"/>
              <w:bottom w:val="nil"/>
            </w:tcBorders>
          </w:tcPr>
          <w:p w:rsidR="006224C2" w:rsidRPr="00295E71" w14:paraId="0D310CCB" w14:textId="77777777">
            <w:pPr>
              <w:keepNext/>
              <w:tabs>
                <w:tab w:val="left" w:pos="562"/>
              </w:tabs>
              <w:suppressAutoHyphens/>
              <w:rPr>
                <w:del w:id="11027" w:author="AbbVie14" w:date="2025-05-09T10:35:00Z"/>
                <w:sz w:val="22"/>
                <w:szCs w:val="22"/>
              </w:rPr>
            </w:pPr>
          </w:p>
        </w:tc>
        <w:tc>
          <w:tcPr>
            <w:tcW w:w="1890" w:type="dxa"/>
            <w:tcBorders>
              <w:top w:val="nil"/>
              <w:bottom w:val="nil"/>
            </w:tcBorders>
          </w:tcPr>
          <w:p w:rsidR="006224C2" w:rsidRPr="00295E71" w14:paraId="2DC48856" w14:textId="77777777">
            <w:pPr>
              <w:keepNext/>
              <w:tabs>
                <w:tab w:val="left" w:pos="562"/>
              </w:tabs>
              <w:suppressAutoHyphens/>
              <w:rPr>
                <w:del w:id="11028" w:author="AbbVie14" w:date="2025-05-09T10:35:00Z"/>
                <w:sz w:val="22"/>
                <w:szCs w:val="22"/>
              </w:rPr>
            </w:pPr>
          </w:p>
        </w:tc>
        <w:tc>
          <w:tcPr>
            <w:tcW w:w="720" w:type="dxa"/>
            <w:tcBorders>
              <w:top w:val="nil"/>
              <w:bottom w:val="nil"/>
            </w:tcBorders>
          </w:tcPr>
          <w:p w:rsidR="006224C2" w:rsidRPr="00295E71" w14:paraId="67AF14BF" w14:textId="77777777">
            <w:pPr>
              <w:keepNext/>
              <w:tabs>
                <w:tab w:val="left" w:pos="562"/>
              </w:tabs>
              <w:suppressAutoHyphens/>
              <w:rPr>
                <w:del w:id="11029" w:author="AbbVie14" w:date="2025-05-09T10:35:00Z"/>
                <w:sz w:val="22"/>
                <w:szCs w:val="22"/>
              </w:rPr>
            </w:pPr>
          </w:p>
        </w:tc>
        <w:tc>
          <w:tcPr>
            <w:tcW w:w="1109" w:type="dxa"/>
            <w:tcBorders>
              <w:top w:val="nil"/>
              <w:bottom w:val="nil"/>
            </w:tcBorders>
          </w:tcPr>
          <w:p w:rsidR="006224C2" w:rsidRPr="00295E71" w14:paraId="42BBC47E" w14:textId="77777777">
            <w:pPr>
              <w:keepNext/>
              <w:tabs>
                <w:tab w:val="left" w:pos="562"/>
              </w:tabs>
              <w:suppressAutoHyphens/>
              <w:rPr>
                <w:del w:id="11030" w:author="AbbVie14" w:date="2025-05-09T10:35:00Z"/>
                <w:sz w:val="22"/>
                <w:szCs w:val="22"/>
              </w:rPr>
            </w:pPr>
          </w:p>
        </w:tc>
        <w:tc>
          <w:tcPr>
            <w:tcW w:w="1141" w:type="dxa"/>
            <w:tcBorders>
              <w:top w:val="nil"/>
              <w:bottom w:val="nil"/>
            </w:tcBorders>
          </w:tcPr>
          <w:p w:rsidR="006224C2" w:rsidRPr="00295E71" w14:paraId="386DFF33" w14:textId="77777777">
            <w:pPr>
              <w:keepNext/>
              <w:tabs>
                <w:tab w:val="left" w:pos="562"/>
              </w:tabs>
              <w:suppressAutoHyphens/>
              <w:rPr>
                <w:del w:id="11031" w:author="AbbVie14" w:date="2025-05-09T10:35:00Z"/>
                <w:sz w:val="22"/>
                <w:szCs w:val="22"/>
              </w:rPr>
            </w:pPr>
          </w:p>
        </w:tc>
      </w:tr>
      <w:tr w14:paraId="163B6F61" w14:textId="77777777">
        <w:tblPrEx>
          <w:tblW w:w="0" w:type="auto"/>
          <w:tblLook w:val="04A0"/>
        </w:tblPrEx>
        <w:trPr>
          <w:del w:id="11032" w:author="AbbVie14" w:date="2025-05-09T10:35:00Z"/>
        </w:trPr>
        <w:tc>
          <w:tcPr>
            <w:tcW w:w="2268" w:type="dxa"/>
            <w:tcBorders>
              <w:top w:val="nil"/>
              <w:bottom w:val="nil"/>
            </w:tcBorders>
          </w:tcPr>
          <w:p w:rsidR="006224C2" w:rsidRPr="00295E71" w14:paraId="3E65A167" w14:textId="77777777">
            <w:pPr>
              <w:keepNext/>
              <w:tabs>
                <w:tab w:val="left" w:pos="562"/>
              </w:tabs>
              <w:suppressAutoHyphens/>
              <w:rPr>
                <w:del w:id="11033" w:author="AbbVie14" w:date="2025-05-09T10:35:00Z"/>
                <w:sz w:val="22"/>
                <w:szCs w:val="22"/>
              </w:rPr>
            </w:pPr>
            <w:del w:id="11034" w:author="AbbVie14" w:date="2025-05-09T10:35:00Z">
              <w:r w:rsidRPr="00295E71">
                <w:rPr>
                  <w:sz w:val="22"/>
                  <w:szCs w:val="22"/>
                </w:rPr>
                <w:tab/>
                <w:delText>Placebo</w:delText>
              </w:r>
            </w:del>
          </w:p>
        </w:tc>
        <w:tc>
          <w:tcPr>
            <w:tcW w:w="720" w:type="dxa"/>
            <w:tcBorders>
              <w:top w:val="nil"/>
              <w:bottom w:val="nil"/>
            </w:tcBorders>
          </w:tcPr>
          <w:p w:rsidR="006224C2" w:rsidRPr="00295E71" w14:paraId="5BEDBBEA" w14:textId="77777777">
            <w:pPr>
              <w:keepNext/>
              <w:tabs>
                <w:tab w:val="left" w:pos="562"/>
              </w:tabs>
              <w:suppressAutoHyphens/>
              <w:rPr>
                <w:del w:id="11035" w:author="AbbVie14" w:date="2025-05-09T10:35:00Z"/>
                <w:sz w:val="22"/>
                <w:szCs w:val="22"/>
              </w:rPr>
            </w:pPr>
            <w:del w:id="11036" w:author="AbbVie14" w:date="2025-05-09T10:35:00Z">
              <w:r w:rsidRPr="00295E71">
                <w:rPr>
                  <w:sz w:val="22"/>
                  <w:szCs w:val="22"/>
                </w:rPr>
                <w:delText>107</w:delText>
              </w:r>
            </w:del>
          </w:p>
        </w:tc>
        <w:tc>
          <w:tcPr>
            <w:tcW w:w="1231" w:type="dxa"/>
            <w:tcBorders>
              <w:top w:val="nil"/>
              <w:bottom w:val="nil"/>
            </w:tcBorders>
          </w:tcPr>
          <w:p w:rsidR="006224C2" w:rsidRPr="00295E71" w14:paraId="4A4EF57F" w14:textId="77777777">
            <w:pPr>
              <w:keepNext/>
              <w:tabs>
                <w:tab w:val="left" w:pos="562"/>
              </w:tabs>
              <w:suppressAutoHyphens/>
              <w:rPr>
                <w:del w:id="11037" w:author="AbbVie14" w:date="2025-05-09T10:35:00Z"/>
                <w:sz w:val="22"/>
                <w:szCs w:val="22"/>
              </w:rPr>
            </w:pPr>
            <w:del w:id="11038" w:author="AbbVie14" w:date="2025-05-09T10:35:00Z">
              <w:r w:rsidRPr="00295E71">
                <w:rPr>
                  <w:sz w:val="22"/>
                  <w:szCs w:val="22"/>
                </w:rPr>
                <w:delText>84 (78,5)</w:delText>
              </w:r>
            </w:del>
          </w:p>
        </w:tc>
        <w:tc>
          <w:tcPr>
            <w:tcW w:w="1890" w:type="dxa"/>
            <w:tcBorders>
              <w:top w:val="nil"/>
              <w:bottom w:val="nil"/>
            </w:tcBorders>
          </w:tcPr>
          <w:p w:rsidR="006224C2" w:rsidRPr="00295E71" w14:paraId="522CDBC8" w14:textId="77777777">
            <w:pPr>
              <w:keepNext/>
              <w:tabs>
                <w:tab w:val="left" w:pos="562"/>
              </w:tabs>
              <w:suppressAutoHyphens/>
              <w:rPr>
                <w:del w:id="11039" w:author="AbbVie14" w:date="2025-05-09T10:35:00Z"/>
                <w:sz w:val="22"/>
                <w:szCs w:val="22"/>
              </w:rPr>
            </w:pPr>
            <w:del w:id="11040" w:author="AbbVie14" w:date="2025-05-09T10:35:00Z">
              <w:r w:rsidRPr="00295E71">
                <w:rPr>
                  <w:sz w:val="22"/>
                  <w:szCs w:val="22"/>
                </w:rPr>
                <w:delText>3,0</w:delText>
              </w:r>
            </w:del>
          </w:p>
        </w:tc>
        <w:tc>
          <w:tcPr>
            <w:tcW w:w="720" w:type="dxa"/>
            <w:tcBorders>
              <w:top w:val="nil"/>
              <w:bottom w:val="nil"/>
            </w:tcBorders>
          </w:tcPr>
          <w:p w:rsidR="006224C2" w:rsidRPr="00295E71" w14:paraId="1DF86EE9" w14:textId="77777777">
            <w:pPr>
              <w:keepNext/>
              <w:tabs>
                <w:tab w:val="left" w:pos="562"/>
              </w:tabs>
              <w:suppressAutoHyphens/>
              <w:rPr>
                <w:del w:id="11041" w:author="AbbVie14" w:date="2025-05-09T10:35:00Z"/>
                <w:sz w:val="22"/>
                <w:szCs w:val="22"/>
              </w:rPr>
            </w:pPr>
            <w:del w:id="11042" w:author="AbbVie14" w:date="2025-05-09T10:35:00Z">
              <w:r w:rsidRPr="00295E71">
                <w:rPr>
                  <w:sz w:val="22"/>
                  <w:szCs w:val="22"/>
                </w:rPr>
                <w:delText>--</w:delText>
              </w:r>
            </w:del>
          </w:p>
        </w:tc>
        <w:tc>
          <w:tcPr>
            <w:tcW w:w="1109" w:type="dxa"/>
            <w:tcBorders>
              <w:top w:val="nil"/>
              <w:bottom w:val="nil"/>
            </w:tcBorders>
          </w:tcPr>
          <w:p w:rsidR="006224C2" w:rsidRPr="00295E71" w14:paraId="5EC39FA8" w14:textId="77777777">
            <w:pPr>
              <w:keepNext/>
              <w:tabs>
                <w:tab w:val="left" w:pos="562"/>
              </w:tabs>
              <w:suppressAutoHyphens/>
              <w:rPr>
                <w:del w:id="11043" w:author="AbbVie14" w:date="2025-05-09T10:35:00Z"/>
                <w:sz w:val="22"/>
                <w:szCs w:val="22"/>
              </w:rPr>
            </w:pPr>
            <w:del w:id="11044" w:author="AbbVie14" w:date="2025-05-09T10:35:00Z">
              <w:r w:rsidRPr="00295E71">
                <w:rPr>
                  <w:sz w:val="22"/>
                  <w:szCs w:val="22"/>
                </w:rPr>
                <w:delText>--</w:delText>
              </w:r>
            </w:del>
          </w:p>
        </w:tc>
        <w:tc>
          <w:tcPr>
            <w:tcW w:w="1141" w:type="dxa"/>
            <w:tcBorders>
              <w:top w:val="nil"/>
              <w:bottom w:val="nil"/>
            </w:tcBorders>
          </w:tcPr>
          <w:p w:rsidR="006224C2" w:rsidRPr="00295E71" w14:paraId="11D0E705" w14:textId="77777777">
            <w:pPr>
              <w:keepNext/>
              <w:tabs>
                <w:tab w:val="left" w:pos="562"/>
              </w:tabs>
              <w:suppressAutoHyphens/>
              <w:rPr>
                <w:del w:id="11045" w:author="AbbVie14" w:date="2025-05-09T10:35:00Z"/>
                <w:sz w:val="22"/>
                <w:szCs w:val="22"/>
              </w:rPr>
            </w:pPr>
            <w:del w:id="11046" w:author="AbbVie14" w:date="2025-05-09T10:35:00Z">
              <w:r w:rsidRPr="00295E71">
                <w:rPr>
                  <w:sz w:val="22"/>
                  <w:szCs w:val="22"/>
                </w:rPr>
                <w:delText>--</w:delText>
              </w:r>
            </w:del>
          </w:p>
        </w:tc>
      </w:tr>
      <w:tr w14:paraId="4BD74EBD" w14:textId="77777777">
        <w:tblPrEx>
          <w:tblW w:w="0" w:type="auto"/>
          <w:tblLook w:val="04A0"/>
        </w:tblPrEx>
        <w:trPr>
          <w:del w:id="11047" w:author="AbbVie14" w:date="2025-05-09T10:35:00Z"/>
        </w:trPr>
        <w:tc>
          <w:tcPr>
            <w:tcW w:w="2268" w:type="dxa"/>
            <w:tcBorders>
              <w:top w:val="nil"/>
              <w:bottom w:val="single" w:sz="4" w:space="0" w:color="auto"/>
            </w:tcBorders>
          </w:tcPr>
          <w:p w:rsidR="006224C2" w:rsidRPr="00295E71" w14:paraId="012C9770" w14:textId="77777777">
            <w:pPr>
              <w:keepNext/>
              <w:tabs>
                <w:tab w:val="left" w:pos="562"/>
              </w:tabs>
              <w:suppressAutoHyphens/>
              <w:rPr>
                <w:del w:id="11048" w:author="AbbVie14" w:date="2025-05-09T10:35:00Z"/>
                <w:sz w:val="22"/>
                <w:szCs w:val="22"/>
              </w:rPr>
            </w:pPr>
            <w:del w:id="11049" w:author="AbbVie14" w:date="2025-05-09T10:35:00Z">
              <w:r w:rsidRPr="00295E71">
                <w:rPr>
                  <w:sz w:val="22"/>
                  <w:szCs w:val="22"/>
                </w:rPr>
                <w:tab/>
                <w:delText>Adalimumab</w:delText>
              </w:r>
            </w:del>
          </w:p>
        </w:tc>
        <w:tc>
          <w:tcPr>
            <w:tcW w:w="720" w:type="dxa"/>
            <w:tcBorders>
              <w:top w:val="nil"/>
              <w:bottom w:val="single" w:sz="4" w:space="0" w:color="auto"/>
            </w:tcBorders>
          </w:tcPr>
          <w:p w:rsidR="006224C2" w:rsidRPr="00295E71" w14:paraId="26BA43D5" w14:textId="77777777">
            <w:pPr>
              <w:keepNext/>
              <w:tabs>
                <w:tab w:val="left" w:pos="562"/>
              </w:tabs>
              <w:suppressAutoHyphens/>
              <w:rPr>
                <w:del w:id="11050" w:author="AbbVie14" w:date="2025-05-09T10:35:00Z"/>
                <w:sz w:val="22"/>
                <w:szCs w:val="22"/>
              </w:rPr>
            </w:pPr>
            <w:del w:id="11051" w:author="AbbVie14" w:date="2025-05-09T10:35:00Z">
              <w:r w:rsidRPr="00295E71">
                <w:rPr>
                  <w:sz w:val="22"/>
                  <w:szCs w:val="22"/>
                </w:rPr>
                <w:delText>110</w:delText>
              </w:r>
            </w:del>
          </w:p>
        </w:tc>
        <w:tc>
          <w:tcPr>
            <w:tcW w:w="1231" w:type="dxa"/>
            <w:tcBorders>
              <w:top w:val="nil"/>
              <w:bottom w:val="single" w:sz="4" w:space="0" w:color="auto"/>
            </w:tcBorders>
          </w:tcPr>
          <w:p w:rsidR="006224C2" w:rsidRPr="00295E71" w14:paraId="52C9194C" w14:textId="77777777">
            <w:pPr>
              <w:keepNext/>
              <w:tabs>
                <w:tab w:val="left" w:pos="562"/>
              </w:tabs>
              <w:suppressAutoHyphens/>
              <w:rPr>
                <w:del w:id="11052" w:author="AbbVie14" w:date="2025-05-09T10:35:00Z"/>
                <w:sz w:val="22"/>
                <w:szCs w:val="22"/>
              </w:rPr>
            </w:pPr>
            <w:del w:id="11053" w:author="AbbVie14" w:date="2025-05-09T10:35:00Z">
              <w:r w:rsidRPr="00295E71">
                <w:rPr>
                  <w:sz w:val="22"/>
                  <w:szCs w:val="22"/>
                </w:rPr>
                <w:delText>60 (54,5)</w:delText>
              </w:r>
            </w:del>
          </w:p>
        </w:tc>
        <w:tc>
          <w:tcPr>
            <w:tcW w:w="1890" w:type="dxa"/>
            <w:tcBorders>
              <w:top w:val="nil"/>
              <w:bottom w:val="single" w:sz="4" w:space="0" w:color="auto"/>
            </w:tcBorders>
          </w:tcPr>
          <w:p w:rsidR="006224C2" w:rsidRPr="00295E71" w14:paraId="07DC5291" w14:textId="77777777">
            <w:pPr>
              <w:keepNext/>
              <w:tabs>
                <w:tab w:val="left" w:pos="562"/>
              </w:tabs>
              <w:suppressAutoHyphens/>
              <w:rPr>
                <w:del w:id="11054" w:author="AbbVie14" w:date="2025-05-09T10:35:00Z"/>
                <w:sz w:val="22"/>
                <w:szCs w:val="22"/>
              </w:rPr>
            </w:pPr>
            <w:del w:id="11055" w:author="AbbVie14" w:date="2025-05-09T10:35:00Z">
              <w:r w:rsidRPr="00295E71">
                <w:rPr>
                  <w:sz w:val="22"/>
                  <w:szCs w:val="22"/>
                </w:rPr>
                <w:delText>5,6</w:delText>
              </w:r>
            </w:del>
          </w:p>
        </w:tc>
        <w:tc>
          <w:tcPr>
            <w:tcW w:w="720" w:type="dxa"/>
            <w:tcBorders>
              <w:top w:val="nil"/>
              <w:bottom w:val="single" w:sz="4" w:space="0" w:color="auto"/>
            </w:tcBorders>
          </w:tcPr>
          <w:p w:rsidR="006224C2" w:rsidRPr="00295E71" w14:paraId="2A58274B" w14:textId="77777777">
            <w:pPr>
              <w:keepNext/>
              <w:tabs>
                <w:tab w:val="left" w:pos="562"/>
              </w:tabs>
              <w:suppressAutoHyphens/>
              <w:rPr>
                <w:del w:id="11056" w:author="AbbVie14" w:date="2025-05-09T10:35:00Z"/>
                <w:sz w:val="22"/>
                <w:szCs w:val="22"/>
              </w:rPr>
            </w:pPr>
            <w:del w:id="11057" w:author="AbbVie14" w:date="2025-05-09T10:35:00Z">
              <w:r w:rsidRPr="00295E71">
                <w:rPr>
                  <w:sz w:val="22"/>
                  <w:szCs w:val="22"/>
                </w:rPr>
                <w:delText>0,50</w:delText>
              </w:r>
            </w:del>
          </w:p>
        </w:tc>
        <w:tc>
          <w:tcPr>
            <w:tcW w:w="1109" w:type="dxa"/>
            <w:tcBorders>
              <w:top w:val="nil"/>
              <w:bottom w:val="single" w:sz="4" w:space="0" w:color="auto"/>
            </w:tcBorders>
          </w:tcPr>
          <w:p w:rsidR="006224C2" w:rsidRPr="00295E71" w14:paraId="12E83EF1" w14:textId="77777777">
            <w:pPr>
              <w:keepNext/>
              <w:tabs>
                <w:tab w:val="left" w:pos="562"/>
              </w:tabs>
              <w:suppressAutoHyphens/>
              <w:rPr>
                <w:del w:id="11058" w:author="AbbVie14" w:date="2025-05-09T10:35:00Z"/>
                <w:sz w:val="22"/>
                <w:szCs w:val="22"/>
              </w:rPr>
            </w:pPr>
            <w:del w:id="11059" w:author="AbbVie14" w:date="2025-05-09T10:35:00Z">
              <w:r w:rsidRPr="00295E71">
                <w:rPr>
                  <w:sz w:val="22"/>
                  <w:szCs w:val="22"/>
                </w:rPr>
                <w:delText>0,36; 0,70</w:delText>
              </w:r>
            </w:del>
          </w:p>
        </w:tc>
        <w:tc>
          <w:tcPr>
            <w:tcW w:w="1141" w:type="dxa"/>
            <w:tcBorders>
              <w:top w:val="nil"/>
              <w:bottom w:val="single" w:sz="4" w:space="0" w:color="auto"/>
            </w:tcBorders>
          </w:tcPr>
          <w:p w:rsidR="006224C2" w:rsidRPr="00295E71" w14:paraId="72C35D18" w14:textId="77777777">
            <w:pPr>
              <w:keepNext/>
              <w:tabs>
                <w:tab w:val="left" w:pos="562"/>
              </w:tabs>
              <w:suppressAutoHyphens/>
              <w:rPr>
                <w:del w:id="11060" w:author="AbbVie14" w:date="2025-05-09T10:35:00Z"/>
                <w:sz w:val="22"/>
                <w:szCs w:val="22"/>
              </w:rPr>
            </w:pPr>
            <w:del w:id="11061" w:author="AbbVie14" w:date="2025-05-09T10:35:00Z">
              <w:r w:rsidRPr="00295E71">
                <w:rPr>
                  <w:sz w:val="22"/>
                  <w:szCs w:val="22"/>
                </w:rPr>
                <w:delText>&lt; 0,001</w:delText>
              </w:r>
            </w:del>
          </w:p>
        </w:tc>
      </w:tr>
      <w:tr w14:paraId="49E8A708" w14:textId="77777777">
        <w:tblPrEx>
          <w:tblW w:w="0" w:type="auto"/>
          <w:tblBorders>
            <w:left w:val="single" w:sz="4" w:space="0" w:color="auto"/>
            <w:right w:val="single" w:sz="4" w:space="0" w:color="auto"/>
            <w:insideH w:val="single" w:sz="4" w:space="0" w:color="auto"/>
            <w:insideV w:val="single" w:sz="4" w:space="0" w:color="auto"/>
          </w:tblBorders>
          <w:tblLook w:val="04A0"/>
        </w:tblPrEx>
        <w:trPr>
          <w:del w:id="11062" w:author="AbbVie14" w:date="2025-05-09T10:35:00Z"/>
        </w:trPr>
        <w:tc>
          <w:tcPr>
            <w:tcW w:w="9079" w:type="dxa"/>
            <w:gridSpan w:val="7"/>
            <w:tcBorders>
              <w:left w:val="nil"/>
              <w:bottom w:val="nil"/>
              <w:right w:val="nil"/>
            </w:tcBorders>
          </w:tcPr>
          <w:p w:rsidR="006224C2" w:rsidRPr="00295E71" w14:paraId="1DF48D97" w14:textId="77777777">
            <w:pPr>
              <w:keepNext/>
              <w:tabs>
                <w:tab w:val="left" w:pos="562"/>
              </w:tabs>
              <w:suppressAutoHyphens/>
              <w:rPr>
                <w:del w:id="11063" w:author="AbbVie14" w:date="2025-05-09T10:35:00Z"/>
                <w:b/>
                <w:sz w:val="22"/>
                <w:szCs w:val="22"/>
                <w:lang w:eastAsia="en-US"/>
              </w:rPr>
            </w:pPr>
            <w:del w:id="11064" w:author="AbbVie14" w:date="2025-05-09T10:35:00Z">
              <w:r w:rsidRPr="00295E71">
                <w:rPr>
                  <w:b/>
                  <w:sz w:val="22"/>
                  <w:szCs w:val="22"/>
                  <w:lang w:eastAsia="en-US"/>
                </w:rPr>
                <w:delText>Tempo al fallimento del trattamento alla o dopo la settimana 2 nello Studio UV II</w:delText>
              </w:r>
            </w:del>
          </w:p>
        </w:tc>
      </w:tr>
      <w:tr w14:paraId="0721B102" w14:textId="77777777">
        <w:tblPrEx>
          <w:tblW w:w="0" w:type="auto"/>
          <w:tblBorders>
            <w:left w:val="single" w:sz="4" w:space="0" w:color="auto"/>
            <w:right w:val="single" w:sz="4" w:space="0" w:color="auto"/>
            <w:insideH w:val="single" w:sz="4" w:space="0" w:color="auto"/>
            <w:insideV w:val="single" w:sz="4" w:space="0" w:color="auto"/>
          </w:tblBorders>
          <w:tblLook w:val="04A0"/>
        </w:tblPrEx>
        <w:trPr>
          <w:del w:id="11065" w:author="AbbVie14" w:date="2025-05-09T10:35:00Z"/>
        </w:trPr>
        <w:tc>
          <w:tcPr>
            <w:tcW w:w="2988" w:type="dxa"/>
            <w:gridSpan w:val="2"/>
            <w:tcBorders>
              <w:top w:val="nil"/>
              <w:left w:val="nil"/>
              <w:bottom w:val="nil"/>
              <w:right w:val="nil"/>
            </w:tcBorders>
          </w:tcPr>
          <w:p w:rsidR="006224C2" w:rsidRPr="00295E71" w14:paraId="7D5CBB30" w14:textId="77777777">
            <w:pPr>
              <w:keepNext/>
              <w:tabs>
                <w:tab w:val="left" w:pos="562"/>
              </w:tabs>
              <w:suppressAutoHyphens/>
              <w:rPr>
                <w:del w:id="11066" w:author="AbbVie14" w:date="2025-05-09T10:35:00Z"/>
                <w:sz w:val="22"/>
                <w:szCs w:val="22"/>
              </w:rPr>
            </w:pPr>
            <w:del w:id="11067" w:author="AbbVie14" w:date="2025-05-09T10:35:00Z">
              <w:r w:rsidRPr="00295E71">
                <w:rPr>
                  <w:sz w:val="22"/>
                  <w:szCs w:val="22"/>
                </w:rPr>
                <w:delText>Analisi primaria (ITT)</w:delText>
              </w:r>
            </w:del>
          </w:p>
        </w:tc>
        <w:tc>
          <w:tcPr>
            <w:tcW w:w="1231" w:type="dxa"/>
            <w:tcBorders>
              <w:top w:val="nil"/>
              <w:left w:val="nil"/>
              <w:bottom w:val="nil"/>
              <w:right w:val="nil"/>
            </w:tcBorders>
          </w:tcPr>
          <w:p w:rsidR="006224C2" w:rsidRPr="00295E71" w14:paraId="6986261B" w14:textId="77777777">
            <w:pPr>
              <w:keepNext/>
              <w:tabs>
                <w:tab w:val="left" w:pos="562"/>
              </w:tabs>
              <w:suppressAutoHyphens/>
              <w:rPr>
                <w:del w:id="11068" w:author="AbbVie14" w:date="2025-05-09T10:35:00Z"/>
                <w:sz w:val="22"/>
                <w:szCs w:val="22"/>
              </w:rPr>
            </w:pPr>
          </w:p>
        </w:tc>
        <w:tc>
          <w:tcPr>
            <w:tcW w:w="1890" w:type="dxa"/>
            <w:tcBorders>
              <w:top w:val="nil"/>
              <w:left w:val="nil"/>
              <w:bottom w:val="nil"/>
              <w:right w:val="nil"/>
            </w:tcBorders>
          </w:tcPr>
          <w:p w:rsidR="006224C2" w:rsidRPr="00295E71" w14:paraId="5A70DBCF" w14:textId="77777777">
            <w:pPr>
              <w:keepNext/>
              <w:tabs>
                <w:tab w:val="left" w:pos="562"/>
              </w:tabs>
              <w:suppressAutoHyphens/>
              <w:rPr>
                <w:del w:id="11069" w:author="AbbVie14" w:date="2025-05-09T10:35:00Z"/>
                <w:sz w:val="22"/>
                <w:szCs w:val="22"/>
              </w:rPr>
            </w:pPr>
          </w:p>
        </w:tc>
        <w:tc>
          <w:tcPr>
            <w:tcW w:w="720" w:type="dxa"/>
            <w:tcBorders>
              <w:top w:val="nil"/>
              <w:left w:val="nil"/>
              <w:bottom w:val="nil"/>
              <w:right w:val="nil"/>
            </w:tcBorders>
          </w:tcPr>
          <w:p w:rsidR="006224C2" w:rsidRPr="00295E71" w14:paraId="36AD73A9" w14:textId="77777777">
            <w:pPr>
              <w:keepNext/>
              <w:tabs>
                <w:tab w:val="left" w:pos="562"/>
              </w:tabs>
              <w:suppressAutoHyphens/>
              <w:rPr>
                <w:del w:id="11070" w:author="AbbVie14" w:date="2025-05-09T10:35:00Z"/>
                <w:sz w:val="22"/>
                <w:szCs w:val="22"/>
              </w:rPr>
            </w:pPr>
          </w:p>
        </w:tc>
        <w:tc>
          <w:tcPr>
            <w:tcW w:w="1109" w:type="dxa"/>
            <w:tcBorders>
              <w:top w:val="nil"/>
              <w:left w:val="nil"/>
              <w:bottom w:val="nil"/>
              <w:right w:val="nil"/>
            </w:tcBorders>
          </w:tcPr>
          <w:p w:rsidR="006224C2" w:rsidRPr="00295E71" w14:paraId="373ADD9B" w14:textId="77777777">
            <w:pPr>
              <w:keepNext/>
              <w:tabs>
                <w:tab w:val="left" w:pos="562"/>
              </w:tabs>
              <w:suppressAutoHyphens/>
              <w:rPr>
                <w:del w:id="11071" w:author="AbbVie14" w:date="2025-05-09T10:35:00Z"/>
                <w:sz w:val="22"/>
                <w:szCs w:val="22"/>
              </w:rPr>
            </w:pPr>
          </w:p>
        </w:tc>
        <w:tc>
          <w:tcPr>
            <w:tcW w:w="1141" w:type="dxa"/>
            <w:tcBorders>
              <w:top w:val="nil"/>
              <w:left w:val="nil"/>
              <w:bottom w:val="nil"/>
              <w:right w:val="nil"/>
            </w:tcBorders>
          </w:tcPr>
          <w:p w:rsidR="006224C2" w:rsidRPr="00295E71" w14:paraId="68545A86" w14:textId="77777777">
            <w:pPr>
              <w:keepNext/>
              <w:tabs>
                <w:tab w:val="left" w:pos="562"/>
              </w:tabs>
              <w:suppressAutoHyphens/>
              <w:rPr>
                <w:del w:id="11072" w:author="AbbVie14" w:date="2025-05-09T10:35:00Z"/>
                <w:sz w:val="22"/>
                <w:szCs w:val="22"/>
              </w:rPr>
            </w:pPr>
          </w:p>
        </w:tc>
      </w:tr>
      <w:tr w14:paraId="7F403F5E" w14:textId="77777777">
        <w:tblPrEx>
          <w:tblW w:w="0" w:type="auto"/>
          <w:tblBorders>
            <w:left w:val="single" w:sz="4" w:space="0" w:color="auto"/>
            <w:right w:val="single" w:sz="4" w:space="0" w:color="auto"/>
            <w:insideH w:val="single" w:sz="4" w:space="0" w:color="auto"/>
            <w:insideV w:val="single" w:sz="4" w:space="0" w:color="auto"/>
          </w:tblBorders>
          <w:tblLook w:val="04A0"/>
        </w:tblPrEx>
        <w:trPr>
          <w:del w:id="11073" w:author="AbbVie14" w:date="2025-05-09T10:35:00Z"/>
        </w:trPr>
        <w:tc>
          <w:tcPr>
            <w:tcW w:w="2268" w:type="dxa"/>
            <w:tcBorders>
              <w:top w:val="nil"/>
              <w:left w:val="nil"/>
              <w:bottom w:val="nil"/>
              <w:right w:val="nil"/>
            </w:tcBorders>
          </w:tcPr>
          <w:p w:rsidR="006224C2" w:rsidRPr="00295E71" w14:paraId="3290438A" w14:textId="77777777">
            <w:pPr>
              <w:keepNext/>
              <w:tabs>
                <w:tab w:val="left" w:pos="562"/>
              </w:tabs>
              <w:suppressAutoHyphens/>
              <w:rPr>
                <w:del w:id="11074" w:author="AbbVie14" w:date="2025-05-09T10:35:00Z"/>
                <w:sz w:val="22"/>
                <w:szCs w:val="22"/>
              </w:rPr>
            </w:pPr>
            <w:del w:id="11075" w:author="AbbVie14" w:date="2025-05-09T10:35:00Z">
              <w:r w:rsidRPr="00295E71">
                <w:rPr>
                  <w:sz w:val="22"/>
                  <w:szCs w:val="22"/>
                </w:rPr>
                <w:tab/>
                <w:delText>Placebo</w:delText>
              </w:r>
            </w:del>
          </w:p>
        </w:tc>
        <w:tc>
          <w:tcPr>
            <w:tcW w:w="720" w:type="dxa"/>
            <w:tcBorders>
              <w:top w:val="nil"/>
              <w:left w:val="nil"/>
              <w:bottom w:val="nil"/>
              <w:right w:val="nil"/>
            </w:tcBorders>
          </w:tcPr>
          <w:p w:rsidR="006224C2" w:rsidRPr="00295E71" w14:paraId="637BC63E" w14:textId="77777777">
            <w:pPr>
              <w:keepNext/>
              <w:tabs>
                <w:tab w:val="left" w:pos="562"/>
              </w:tabs>
              <w:suppressAutoHyphens/>
              <w:rPr>
                <w:del w:id="11076" w:author="AbbVie14" w:date="2025-05-09T10:35:00Z"/>
                <w:sz w:val="22"/>
                <w:szCs w:val="22"/>
              </w:rPr>
            </w:pPr>
            <w:del w:id="11077" w:author="AbbVie14" w:date="2025-05-09T10:35:00Z">
              <w:r w:rsidRPr="00295E71">
                <w:rPr>
                  <w:sz w:val="22"/>
                  <w:szCs w:val="22"/>
                </w:rPr>
                <w:delText>111</w:delText>
              </w:r>
            </w:del>
          </w:p>
        </w:tc>
        <w:tc>
          <w:tcPr>
            <w:tcW w:w="1231" w:type="dxa"/>
            <w:tcBorders>
              <w:top w:val="nil"/>
              <w:left w:val="nil"/>
              <w:bottom w:val="nil"/>
              <w:right w:val="nil"/>
            </w:tcBorders>
          </w:tcPr>
          <w:p w:rsidR="006224C2" w:rsidRPr="00295E71" w14:paraId="1E7132CF" w14:textId="77777777">
            <w:pPr>
              <w:keepNext/>
              <w:tabs>
                <w:tab w:val="left" w:pos="562"/>
              </w:tabs>
              <w:suppressAutoHyphens/>
              <w:rPr>
                <w:del w:id="11078" w:author="AbbVie14" w:date="2025-05-09T10:35:00Z"/>
                <w:sz w:val="22"/>
                <w:szCs w:val="22"/>
              </w:rPr>
            </w:pPr>
            <w:del w:id="11079" w:author="AbbVie14" w:date="2025-05-09T10:35:00Z">
              <w:r w:rsidRPr="00295E71">
                <w:rPr>
                  <w:sz w:val="22"/>
                  <w:szCs w:val="22"/>
                </w:rPr>
                <w:delText>61 (55,0)</w:delText>
              </w:r>
            </w:del>
          </w:p>
        </w:tc>
        <w:tc>
          <w:tcPr>
            <w:tcW w:w="1890" w:type="dxa"/>
            <w:tcBorders>
              <w:top w:val="nil"/>
              <w:left w:val="nil"/>
              <w:bottom w:val="nil"/>
              <w:right w:val="nil"/>
            </w:tcBorders>
          </w:tcPr>
          <w:p w:rsidR="006224C2" w:rsidRPr="00295E71" w14:paraId="77B6F375" w14:textId="77777777">
            <w:pPr>
              <w:keepNext/>
              <w:tabs>
                <w:tab w:val="left" w:pos="562"/>
              </w:tabs>
              <w:suppressAutoHyphens/>
              <w:rPr>
                <w:del w:id="11080" w:author="AbbVie14" w:date="2025-05-09T10:35:00Z"/>
                <w:sz w:val="22"/>
                <w:szCs w:val="22"/>
              </w:rPr>
            </w:pPr>
            <w:del w:id="11081" w:author="AbbVie14" w:date="2025-05-09T10:35:00Z">
              <w:r w:rsidRPr="00295E71">
                <w:rPr>
                  <w:sz w:val="22"/>
                  <w:szCs w:val="22"/>
                </w:rPr>
                <w:delText>8,3</w:delText>
              </w:r>
            </w:del>
          </w:p>
        </w:tc>
        <w:tc>
          <w:tcPr>
            <w:tcW w:w="720" w:type="dxa"/>
            <w:tcBorders>
              <w:top w:val="nil"/>
              <w:left w:val="nil"/>
              <w:bottom w:val="nil"/>
              <w:right w:val="nil"/>
            </w:tcBorders>
          </w:tcPr>
          <w:p w:rsidR="006224C2" w:rsidRPr="00295E71" w14:paraId="40A6BB8D" w14:textId="77777777">
            <w:pPr>
              <w:keepNext/>
              <w:tabs>
                <w:tab w:val="left" w:pos="562"/>
              </w:tabs>
              <w:suppressAutoHyphens/>
              <w:rPr>
                <w:del w:id="11082" w:author="AbbVie14" w:date="2025-05-09T10:35:00Z"/>
                <w:sz w:val="22"/>
                <w:szCs w:val="22"/>
              </w:rPr>
            </w:pPr>
            <w:del w:id="11083" w:author="AbbVie14" w:date="2025-05-09T10:35:00Z">
              <w:r w:rsidRPr="00295E71">
                <w:rPr>
                  <w:sz w:val="22"/>
                  <w:szCs w:val="22"/>
                </w:rPr>
                <w:delText>--</w:delText>
              </w:r>
            </w:del>
          </w:p>
        </w:tc>
        <w:tc>
          <w:tcPr>
            <w:tcW w:w="1109" w:type="dxa"/>
            <w:tcBorders>
              <w:top w:val="nil"/>
              <w:left w:val="nil"/>
              <w:bottom w:val="nil"/>
              <w:right w:val="nil"/>
            </w:tcBorders>
          </w:tcPr>
          <w:p w:rsidR="006224C2" w:rsidRPr="00295E71" w14:paraId="5775E75D" w14:textId="77777777">
            <w:pPr>
              <w:keepNext/>
              <w:tabs>
                <w:tab w:val="left" w:pos="562"/>
              </w:tabs>
              <w:suppressAutoHyphens/>
              <w:rPr>
                <w:del w:id="11084" w:author="AbbVie14" w:date="2025-05-09T10:35:00Z"/>
                <w:sz w:val="22"/>
                <w:szCs w:val="22"/>
              </w:rPr>
            </w:pPr>
            <w:del w:id="11085" w:author="AbbVie14" w:date="2025-05-09T10:35:00Z">
              <w:r w:rsidRPr="00295E71">
                <w:rPr>
                  <w:sz w:val="22"/>
                  <w:szCs w:val="22"/>
                </w:rPr>
                <w:delText>--</w:delText>
              </w:r>
            </w:del>
          </w:p>
        </w:tc>
        <w:tc>
          <w:tcPr>
            <w:tcW w:w="1141" w:type="dxa"/>
            <w:tcBorders>
              <w:top w:val="nil"/>
              <w:left w:val="nil"/>
              <w:bottom w:val="nil"/>
              <w:right w:val="nil"/>
            </w:tcBorders>
          </w:tcPr>
          <w:p w:rsidR="006224C2" w:rsidRPr="00295E71" w14:paraId="6139BE23" w14:textId="77777777">
            <w:pPr>
              <w:keepNext/>
              <w:tabs>
                <w:tab w:val="left" w:pos="562"/>
              </w:tabs>
              <w:suppressAutoHyphens/>
              <w:rPr>
                <w:del w:id="11086" w:author="AbbVie14" w:date="2025-05-09T10:35:00Z"/>
                <w:sz w:val="22"/>
                <w:szCs w:val="22"/>
              </w:rPr>
            </w:pPr>
            <w:del w:id="11087" w:author="AbbVie14" w:date="2025-05-09T10:35:00Z">
              <w:r w:rsidRPr="00295E71">
                <w:rPr>
                  <w:sz w:val="22"/>
                  <w:szCs w:val="22"/>
                </w:rPr>
                <w:delText>--</w:delText>
              </w:r>
            </w:del>
          </w:p>
        </w:tc>
      </w:tr>
      <w:tr w14:paraId="0F77D70D" w14:textId="77777777">
        <w:tblPrEx>
          <w:tblW w:w="0" w:type="auto"/>
          <w:tblBorders>
            <w:left w:val="single" w:sz="4" w:space="0" w:color="auto"/>
            <w:right w:val="single" w:sz="4" w:space="0" w:color="auto"/>
            <w:insideH w:val="single" w:sz="4" w:space="0" w:color="auto"/>
            <w:insideV w:val="single" w:sz="4" w:space="0" w:color="auto"/>
          </w:tblBorders>
          <w:tblLook w:val="04A0"/>
        </w:tblPrEx>
        <w:trPr>
          <w:del w:id="11088" w:author="AbbVie14" w:date="2025-05-09T10:35:00Z"/>
        </w:trPr>
        <w:tc>
          <w:tcPr>
            <w:tcW w:w="2268" w:type="dxa"/>
            <w:tcBorders>
              <w:top w:val="nil"/>
              <w:left w:val="nil"/>
              <w:bottom w:val="single" w:sz="4" w:space="0" w:color="auto"/>
              <w:right w:val="nil"/>
            </w:tcBorders>
          </w:tcPr>
          <w:p w:rsidR="006224C2" w:rsidRPr="00295E71" w14:paraId="5ECC069D" w14:textId="77777777">
            <w:pPr>
              <w:keepNext/>
              <w:tabs>
                <w:tab w:val="left" w:pos="562"/>
              </w:tabs>
              <w:suppressAutoHyphens/>
              <w:rPr>
                <w:del w:id="11089" w:author="AbbVie14" w:date="2025-05-09T10:35:00Z"/>
                <w:sz w:val="22"/>
                <w:szCs w:val="22"/>
              </w:rPr>
            </w:pPr>
            <w:del w:id="11090" w:author="AbbVie14" w:date="2025-05-09T10:35:00Z">
              <w:r w:rsidRPr="00295E71">
                <w:rPr>
                  <w:sz w:val="22"/>
                  <w:szCs w:val="22"/>
                </w:rPr>
                <w:tab/>
                <w:delText>Adalimumab</w:delText>
              </w:r>
            </w:del>
          </w:p>
        </w:tc>
        <w:tc>
          <w:tcPr>
            <w:tcW w:w="720" w:type="dxa"/>
            <w:tcBorders>
              <w:top w:val="nil"/>
              <w:left w:val="nil"/>
              <w:bottom w:val="single" w:sz="4" w:space="0" w:color="auto"/>
              <w:right w:val="nil"/>
            </w:tcBorders>
          </w:tcPr>
          <w:p w:rsidR="006224C2" w:rsidRPr="00295E71" w14:paraId="54268C7A" w14:textId="77777777">
            <w:pPr>
              <w:keepNext/>
              <w:tabs>
                <w:tab w:val="left" w:pos="562"/>
              </w:tabs>
              <w:suppressAutoHyphens/>
              <w:rPr>
                <w:del w:id="11091" w:author="AbbVie14" w:date="2025-05-09T10:35:00Z"/>
                <w:sz w:val="22"/>
                <w:szCs w:val="22"/>
              </w:rPr>
            </w:pPr>
            <w:del w:id="11092" w:author="AbbVie14" w:date="2025-05-09T10:35:00Z">
              <w:r w:rsidRPr="00295E71">
                <w:rPr>
                  <w:sz w:val="22"/>
                  <w:szCs w:val="22"/>
                </w:rPr>
                <w:delText>115</w:delText>
              </w:r>
            </w:del>
          </w:p>
        </w:tc>
        <w:tc>
          <w:tcPr>
            <w:tcW w:w="1231" w:type="dxa"/>
            <w:tcBorders>
              <w:top w:val="nil"/>
              <w:left w:val="nil"/>
              <w:bottom w:val="single" w:sz="4" w:space="0" w:color="auto"/>
              <w:right w:val="nil"/>
            </w:tcBorders>
          </w:tcPr>
          <w:p w:rsidR="006224C2" w:rsidRPr="00295E71" w14:paraId="65E7FD2F" w14:textId="77777777">
            <w:pPr>
              <w:keepNext/>
              <w:tabs>
                <w:tab w:val="left" w:pos="562"/>
              </w:tabs>
              <w:suppressAutoHyphens/>
              <w:rPr>
                <w:del w:id="11093" w:author="AbbVie14" w:date="2025-05-09T10:35:00Z"/>
                <w:sz w:val="22"/>
                <w:szCs w:val="22"/>
              </w:rPr>
            </w:pPr>
            <w:del w:id="11094" w:author="AbbVie14" w:date="2025-05-09T10:35:00Z">
              <w:r w:rsidRPr="00295E71">
                <w:rPr>
                  <w:sz w:val="22"/>
                  <w:szCs w:val="22"/>
                </w:rPr>
                <w:delText>45 (39,1)</w:delText>
              </w:r>
            </w:del>
          </w:p>
        </w:tc>
        <w:tc>
          <w:tcPr>
            <w:tcW w:w="1890" w:type="dxa"/>
            <w:tcBorders>
              <w:top w:val="nil"/>
              <w:left w:val="nil"/>
              <w:bottom w:val="single" w:sz="4" w:space="0" w:color="auto"/>
              <w:right w:val="nil"/>
            </w:tcBorders>
          </w:tcPr>
          <w:p w:rsidR="006224C2" w:rsidRPr="00295E71" w14:paraId="0FE8DE40" w14:textId="77777777">
            <w:pPr>
              <w:keepNext/>
              <w:tabs>
                <w:tab w:val="left" w:pos="562"/>
              </w:tabs>
              <w:suppressAutoHyphens/>
              <w:rPr>
                <w:del w:id="11095" w:author="AbbVie14" w:date="2025-05-09T10:35:00Z"/>
                <w:sz w:val="22"/>
                <w:szCs w:val="22"/>
              </w:rPr>
            </w:pPr>
            <w:del w:id="11096" w:author="AbbVie14" w:date="2025-05-09T10:35:00Z">
              <w:r w:rsidRPr="00295E71">
                <w:rPr>
                  <w:sz w:val="22"/>
                  <w:szCs w:val="22"/>
                </w:rPr>
                <w:delText>NV</w:delText>
              </w:r>
            </w:del>
            <w:del w:id="11097" w:author="AbbVie14" w:date="2025-05-09T10:35:00Z">
              <w:r w:rsidRPr="00295E71">
                <w:rPr>
                  <w:sz w:val="22"/>
                  <w:szCs w:val="22"/>
                  <w:vertAlign w:val="superscript"/>
                </w:rPr>
                <w:delText>c</w:delText>
              </w:r>
            </w:del>
          </w:p>
        </w:tc>
        <w:tc>
          <w:tcPr>
            <w:tcW w:w="720" w:type="dxa"/>
            <w:tcBorders>
              <w:top w:val="nil"/>
              <w:left w:val="nil"/>
              <w:bottom w:val="single" w:sz="4" w:space="0" w:color="auto"/>
              <w:right w:val="nil"/>
            </w:tcBorders>
          </w:tcPr>
          <w:p w:rsidR="006224C2" w:rsidRPr="00295E71" w14:paraId="73A2FF7C" w14:textId="77777777">
            <w:pPr>
              <w:keepNext/>
              <w:tabs>
                <w:tab w:val="left" w:pos="562"/>
              </w:tabs>
              <w:suppressAutoHyphens/>
              <w:rPr>
                <w:del w:id="11098" w:author="AbbVie14" w:date="2025-05-09T10:35:00Z"/>
                <w:sz w:val="22"/>
                <w:szCs w:val="22"/>
              </w:rPr>
            </w:pPr>
            <w:del w:id="11099" w:author="AbbVie14" w:date="2025-05-09T10:35:00Z">
              <w:r w:rsidRPr="00295E71">
                <w:rPr>
                  <w:sz w:val="22"/>
                  <w:szCs w:val="22"/>
                </w:rPr>
                <w:delText>0,57</w:delText>
              </w:r>
            </w:del>
          </w:p>
        </w:tc>
        <w:tc>
          <w:tcPr>
            <w:tcW w:w="1109" w:type="dxa"/>
            <w:tcBorders>
              <w:top w:val="nil"/>
              <w:left w:val="nil"/>
              <w:bottom w:val="single" w:sz="4" w:space="0" w:color="auto"/>
              <w:right w:val="nil"/>
            </w:tcBorders>
          </w:tcPr>
          <w:p w:rsidR="006224C2" w:rsidRPr="00295E71" w14:paraId="4F3027C4" w14:textId="77777777">
            <w:pPr>
              <w:keepNext/>
              <w:tabs>
                <w:tab w:val="left" w:pos="562"/>
              </w:tabs>
              <w:suppressAutoHyphens/>
              <w:rPr>
                <w:del w:id="11100" w:author="AbbVie14" w:date="2025-05-09T10:35:00Z"/>
                <w:sz w:val="22"/>
                <w:szCs w:val="22"/>
              </w:rPr>
            </w:pPr>
            <w:del w:id="11101" w:author="AbbVie14" w:date="2025-05-09T10:35:00Z">
              <w:r w:rsidRPr="00295E71">
                <w:rPr>
                  <w:sz w:val="22"/>
                  <w:szCs w:val="22"/>
                </w:rPr>
                <w:delText>0,39; 0,84</w:delText>
              </w:r>
            </w:del>
          </w:p>
        </w:tc>
        <w:tc>
          <w:tcPr>
            <w:tcW w:w="1141" w:type="dxa"/>
            <w:tcBorders>
              <w:top w:val="nil"/>
              <w:left w:val="nil"/>
              <w:bottom w:val="single" w:sz="4" w:space="0" w:color="auto"/>
              <w:right w:val="nil"/>
            </w:tcBorders>
          </w:tcPr>
          <w:p w:rsidR="006224C2" w:rsidRPr="00295E71" w14:paraId="05725D74" w14:textId="77777777">
            <w:pPr>
              <w:keepNext/>
              <w:tabs>
                <w:tab w:val="left" w:pos="562"/>
              </w:tabs>
              <w:suppressAutoHyphens/>
              <w:rPr>
                <w:del w:id="11102" w:author="AbbVie14" w:date="2025-05-09T10:35:00Z"/>
                <w:sz w:val="22"/>
                <w:szCs w:val="22"/>
              </w:rPr>
            </w:pPr>
            <w:del w:id="11103" w:author="AbbVie14" w:date="2025-05-09T10:35:00Z">
              <w:r w:rsidRPr="00295E71">
                <w:rPr>
                  <w:sz w:val="22"/>
                  <w:szCs w:val="22"/>
                </w:rPr>
                <w:delText>0,004</w:delText>
              </w:r>
            </w:del>
          </w:p>
        </w:tc>
      </w:tr>
    </w:tbl>
    <w:p w:rsidR="006224C2" w:rsidRPr="00295E71" w14:paraId="0381D223" w14:textId="77777777">
      <w:pPr>
        <w:keepNext/>
        <w:tabs>
          <w:tab w:val="left" w:pos="567"/>
          <w:tab w:val="left" w:pos="1294"/>
        </w:tabs>
        <w:autoSpaceDE w:val="0"/>
        <w:autoSpaceDN w:val="0"/>
        <w:adjustRightInd w:val="0"/>
        <w:jc w:val="both"/>
        <w:rPr>
          <w:del w:id="11104" w:author="AbbVie14" w:date="2025-05-09T10:35:00Z"/>
          <w:color w:val="000000"/>
          <w:sz w:val="22"/>
          <w:szCs w:val="22"/>
        </w:rPr>
      </w:pPr>
      <w:del w:id="11105" w:author="AbbVie14" w:date="2025-05-09T10:35:00Z">
        <w:r w:rsidRPr="00295E71">
          <w:rPr>
            <w:color w:val="000000"/>
            <w:sz w:val="22"/>
            <w:szCs w:val="22"/>
          </w:rPr>
          <w:delText>Nota: il fallimento del trattamento alla o dopo la settimana 6 (Studio UV I) oppure alla o dopo la settimana 2 (Studio UV II) è stato contato come evento. Gli abbandoni a causa di motivi diversi dal fallimento del trattamento sono stati censurati al momento dell’abbandono.</w:delText>
        </w:r>
      </w:del>
    </w:p>
    <w:p w:rsidR="006224C2" w:rsidRPr="00295E71" w14:paraId="266735F9" w14:textId="77777777">
      <w:pPr>
        <w:keepNext/>
        <w:tabs>
          <w:tab w:val="left" w:pos="567"/>
          <w:tab w:val="left" w:pos="1294"/>
        </w:tabs>
        <w:autoSpaceDE w:val="0"/>
        <w:autoSpaceDN w:val="0"/>
        <w:adjustRightInd w:val="0"/>
        <w:jc w:val="both"/>
        <w:rPr>
          <w:del w:id="11106" w:author="AbbVie14" w:date="2025-05-09T10:35:00Z"/>
          <w:color w:val="000000"/>
          <w:sz w:val="22"/>
          <w:szCs w:val="22"/>
        </w:rPr>
      </w:pPr>
      <w:del w:id="11107" w:author="AbbVie14" w:date="2025-05-09T10:35:00Z">
        <w:r w:rsidRPr="00295E71">
          <w:rPr>
            <w:color w:val="000000"/>
            <w:sz w:val="22"/>
            <w:szCs w:val="22"/>
            <w:vertAlign w:val="superscript"/>
          </w:rPr>
          <w:delText>a</w:delText>
        </w:r>
      </w:del>
      <w:del w:id="11108" w:author="AbbVie14" w:date="2025-05-09T10:35:00Z">
        <w:r w:rsidRPr="00295E71">
          <w:rPr>
            <w:color w:val="000000"/>
            <w:sz w:val="22"/>
            <w:szCs w:val="22"/>
          </w:rPr>
          <w:tab/>
          <w:delText>HR di adalimumab rispetto al placebo dalla regressione proporzionale dei rischi con il trattamento come fattore.</w:delText>
        </w:r>
      </w:del>
    </w:p>
    <w:p w:rsidR="006224C2" w:rsidRPr="00295E71" w14:paraId="608E6034" w14:textId="77777777">
      <w:pPr>
        <w:keepNext/>
        <w:tabs>
          <w:tab w:val="left" w:pos="567"/>
          <w:tab w:val="left" w:pos="1294"/>
        </w:tabs>
        <w:autoSpaceDE w:val="0"/>
        <w:autoSpaceDN w:val="0"/>
        <w:adjustRightInd w:val="0"/>
        <w:jc w:val="both"/>
        <w:rPr>
          <w:del w:id="11109" w:author="AbbVie14" w:date="2025-05-09T10:35:00Z"/>
          <w:color w:val="000000"/>
          <w:sz w:val="22"/>
          <w:szCs w:val="22"/>
        </w:rPr>
      </w:pPr>
      <w:del w:id="11110" w:author="AbbVie14" w:date="2025-05-09T10:35:00Z">
        <w:r w:rsidRPr="00295E71">
          <w:rPr>
            <w:color w:val="000000"/>
            <w:sz w:val="22"/>
            <w:szCs w:val="22"/>
            <w:vertAlign w:val="superscript"/>
          </w:rPr>
          <w:delText>b</w:delText>
        </w:r>
      </w:del>
      <w:del w:id="11111" w:author="AbbVie14" w:date="2025-05-09T10:35:00Z">
        <w:r w:rsidRPr="00295E71">
          <w:rPr>
            <w:color w:val="000000"/>
            <w:sz w:val="22"/>
            <w:szCs w:val="22"/>
          </w:rPr>
          <w:tab/>
          <w:delText xml:space="preserve">Valore </w:delText>
        </w:r>
      </w:del>
      <w:del w:id="11112" w:author="AbbVie14" w:date="2025-05-09T10:35:00Z">
        <w:r w:rsidRPr="00295E71">
          <w:rPr>
            <w:i/>
            <w:color w:val="000000"/>
            <w:sz w:val="22"/>
            <w:szCs w:val="22"/>
          </w:rPr>
          <w:delText>P</w:delText>
        </w:r>
      </w:del>
      <w:del w:id="11113" w:author="AbbVie14" w:date="2025-05-09T10:35:00Z">
        <w:r w:rsidRPr="00295E71">
          <w:rPr>
            <w:color w:val="000000"/>
            <w:sz w:val="22"/>
            <w:szCs w:val="22"/>
          </w:rPr>
          <w:delText xml:space="preserve"> bilaterale dal test dei ranghi logaritmici.</w:delText>
        </w:r>
      </w:del>
    </w:p>
    <w:p w:rsidR="006224C2" w:rsidRPr="00295E71" w14:paraId="510DA76C" w14:textId="77777777">
      <w:pPr>
        <w:keepNext/>
        <w:tabs>
          <w:tab w:val="left" w:pos="567"/>
          <w:tab w:val="left" w:pos="1294"/>
        </w:tabs>
        <w:autoSpaceDE w:val="0"/>
        <w:autoSpaceDN w:val="0"/>
        <w:adjustRightInd w:val="0"/>
        <w:jc w:val="both"/>
        <w:rPr>
          <w:del w:id="11114" w:author="AbbVie14" w:date="2025-05-09T10:35:00Z"/>
          <w:color w:val="000000"/>
          <w:sz w:val="22"/>
          <w:szCs w:val="22"/>
        </w:rPr>
      </w:pPr>
      <w:del w:id="11115" w:author="AbbVie14" w:date="2025-05-09T10:35:00Z">
        <w:r w:rsidRPr="00295E71">
          <w:rPr>
            <w:color w:val="000000"/>
            <w:sz w:val="22"/>
            <w:szCs w:val="22"/>
            <w:vertAlign w:val="superscript"/>
          </w:rPr>
          <w:delText>c</w:delText>
        </w:r>
      </w:del>
      <w:del w:id="11116" w:author="AbbVie14" w:date="2025-05-09T10:35:00Z">
        <w:r w:rsidRPr="00295E71">
          <w:rPr>
            <w:color w:val="000000"/>
            <w:sz w:val="22"/>
            <w:szCs w:val="22"/>
          </w:rPr>
          <w:tab/>
          <w:delText>NV = non valutabile. Meno della metà dei soggetti a rischio ha avuto un evento.</w:delText>
        </w:r>
      </w:del>
    </w:p>
    <w:p w:rsidR="006224C2" w:rsidRPr="00295E71" w14:paraId="13DCAFBB" w14:textId="77777777">
      <w:pPr>
        <w:tabs>
          <w:tab w:val="left" w:pos="567"/>
          <w:tab w:val="left" w:pos="1294"/>
        </w:tabs>
        <w:autoSpaceDE w:val="0"/>
        <w:autoSpaceDN w:val="0"/>
        <w:adjustRightInd w:val="0"/>
        <w:jc w:val="both"/>
        <w:rPr>
          <w:del w:id="11117" w:author="AbbVie14" w:date="2025-05-09T10:35:00Z"/>
          <w:color w:val="000000"/>
          <w:sz w:val="22"/>
          <w:szCs w:val="22"/>
        </w:rPr>
      </w:pPr>
    </w:p>
    <w:p w:rsidR="006224C2" w:rsidRPr="00295E71" w14:paraId="144E5614" w14:textId="77777777">
      <w:pPr>
        <w:keepNext/>
        <w:tabs>
          <w:tab w:val="left" w:pos="562"/>
        </w:tabs>
        <w:suppressAutoHyphens/>
        <w:jc w:val="center"/>
        <w:rPr>
          <w:del w:id="11118" w:author="AbbVie14" w:date="2025-05-09T10:35:00Z"/>
          <w:b/>
          <w:sz w:val="22"/>
          <w:szCs w:val="22"/>
          <w:lang w:eastAsia="en-US"/>
        </w:rPr>
      </w:pPr>
      <w:del w:id="11119" w:author="AbbVie14" w:date="2025-05-09T10:35:00Z">
        <w:r w:rsidRPr="00295E71">
          <w:rPr>
            <w:b/>
            <w:sz w:val="22"/>
            <w:szCs w:val="22"/>
            <w:lang w:eastAsia="en-US"/>
          </w:rPr>
          <w:delText xml:space="preserve">Figura </w:delText>
        </w:r>
      </w:del>
      <w:del w:id="11120" w:author="AbbVie14" w:date="2025-05-09T10:35:00Z">
        <w:r w:rsidRPr="00295E71" w:rsidR="00CC7DC5">
          <w:rPr>
            <w:b/>
            <w:sz w:val="22"/>
            <w:szCs w:val="22"/>
            <w:lang w:eastAsia="en-US"/>
          </w:rPr>
          <w:delText>2</w:delText>
        </w:r>
      </w:del>
      <w:del w:id="11121" w:author="AbbVie14" w:date="2025-05-09T10:35:00Z">
        <w:r w:rsidRPr="00295E71">
          <w:rPr>
            <w:b/>
            <w:sz w:val="22"/>
            <w:szCs w:val="22"/>
            <w:lang w:eastAsia="en-US"/>
          </w:rPr>
          <w:delText xml:space="preserve">: curve di Kaplan-Meier del tempo al fallimento del trattamento alla o dopo la settimana 6 (Studio UV I) o la settimana 2 (Studio UV II) </w:delText>
        </w:r>
      </w:del>
    </w:p>
    <w:p w:rsidR="006224C2" w:rsidRPr="00295E71" w14:paraId="1C48F923" w14:textId="77777777">
      <w:pPr>
        <w:keepNext/>
        <w:tabs>
          <w:tab w:val="left" w:pos="562"/>
        </w:tabs>
        <w:suppressAutoHyphens/>
        <w:jc w:val="center"/>
        <w:rPr>
          <w:del w:id="11122" w:author="AbbVie14" w:date="2025-05-09T10:35:00Z"/>
          <w:b/>
          <w:sz w:val="22"/>
          <w:szCs w:val="22"/>
          <w:lang w:eastAsia="en-US"/>
        </w:rPr>
      </w:pPr>
    </w:p>
    <w:tbl>
      <w:tblPr>
        <w:tblW w:w="9481" w:type="dxa"/>
        <w:tblLayout w:type="fixed"/>
        <w:tblLook w:val="04A0"/>
      </w:tblPr>
      <w:tblGrid>
        <w:gridCol w:w="675"/>
        <w:gridCol w:w="3496"/>
        <w:gridCol w:w="1170"/>
        <w:gridCol w:w="1350"/>
        <w:gridCol w:w="900"/>
        <w:gridCol w:w="1890"/>
      </w:tblGrid>
      <w:tr w14:paraId="25AB7606" w14:textId="77777777">
        <w:tblPrEx>
          <w:tblW w:w="9481" w:type="dxa"/>
          <w:tblLayout w:type="fixed"/>
          <w:tblLook w:val="04A0"/>
        </w:tblPrEx>
        <w:trPr>
          <w:cantSplit/>
          <w:trHeight w:val="3806"/>
          <w:del w:id="11123" w:author="AbbVie14" w:date="2025-05-09T10:35:00Z"/>
        </w:trPr>
        <w:tc>
          <w:tcPr>
            <w:tcW w:w="675" w:type="dxa"/>
            <w:textDirection w:val="btLr"/>
            <w:vAlign w:val="bottom"/>
          </w:tcPr>
          <w:p w:rsidR="006224C2" w:rsidRPr="00295E71" w14:paraId="368A6C36" w14:textId="77777777">
            <w:pPr>
              <w:keepNext/>
              <w:tabs>
                <w:tab w:val="left" w:pos="562"/>
              </w:tabs>
              <w:suppressAutoHyphens/>
              <w:ind w:left="113" w:right="113"/>
              <w:jc w:val="center"/>
              <w:rPr>
                <w:del w:id="11124" w:author="AbbVie14" w:date="2025-05-09T10:35:00Z"/>
                <w:b/>
                <w:sz w:val="22"/>
                <w:szCs w:val="22"/>
                <w:lang w:eastAsia="en-US"/>
              </w:rPr>
            </w:pPr>
            <w:del w:id="11125" w:author="AbbVie14" w:date="2025-05-09T10:35:00Z">
              <w:r w:rsidRPr="00295E71">
                <w:rPr>
                  <w:b/>
                  <w:sz w:val="22"/>
                  <w:szCs w:val="22"/>
                  <w:lang w:eastAsia="en-US"/>
                </w:rPr>
                <w:delText>TASSO DI FALLIMENTO DEL TRATTAMENTO (%)</w:delText>
              </w:r>
            </w:del>
          </w:p>
        </w:tc>
        <w:tc>
          <w:tcPr>
            <w:tcW w:w="8806" w:type="dxa"/>
            <w:gridSpan w:val="5"/>
            <w:vAlign w:val="bottom"/>
          </w:tcPr>
          <w:p w:rsidR="006224C2" w:rsidRPr="00295E71" w14:paraId="77662BCE" w14:textId="77777777">
            <w:pPr>
              <w:keepNext/>
              <w:tabs>
                <w:tab w:val="left" w:pos="562"/>
              </w:tabs>
              <w:suppressAutoHyphens/>
              <w:rPr>
                <w:del w:id="11126" w:author="AbbVie14" w:date="2025-05-09T10:35:00Z"/>
                <w:sz w:val="22"/>
                <w:szCs w:val="22"/>
              </w:rPr>
            </w:pPr>
            <w:del w:id="11127" w:author="AbbVie14" w:date="2025-05-09T10:35:00Z">
              <w:r w:rsidRPr="003B3A5A">
                <w:rPr>
                  <w:noProof/>
                  <w:sz w:val="22"/>
                  <w:lang w:val="en-GB"/>
                </w:rPr>
                <w:drawing>
                  <wp:inline distT="0" distB="0" distL="0" distR="0">
                    <wp:extent cx="5375082" cy="2210435"/>
                    <wp:effectExtent l="0" t="0" r="0" b="0"/>
                    <wp:docPr id="35" name="Picture 49"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6" descr="Humira Uveitis Figure 5_6"/>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75082" cy="2210435"/>
                            </a:xfrm>
                            <a:prstGeom prst="rect">
                              <a:avLst/>
                            </a:prstGeom>
                            <a:noFill/>
                            <a:ln>
                              <a:noFill/>
                            </a:ln>
                          </pic:spPr>
                        </pic:pic>
                      </a:graphicData>
                    </a:graphic>
                  </wp:inline>
                </w:drawing>
              </w:r>
            </w:del>
          </w:p>
        </w:tc>
      </w:tr>
      <w:tr w14:paraId="0656FC1A" w14:textId="77777777">
        <w:tblPrEx>
          <w:tblW w:w="9481" w:type="dxa"/>
          <w:tblLayout w:type="fixed"/>
          <w:tblLook w:val="04A0"/>
        </w:tblPrEx>
        <w:trPr>
          <w:del w:id="11128" w:author="AbbVie14" w:date="2025-05-09T10:35:00Z"/>
        </w:trPr>
        <w:tc>
          <w:tcPr>
            <w:tcW w:w="675" w:type="dxa"/>
          </w:tcPr>
          <w:p w:rsidR="006224C2" w:rsidRPr="00295E71" w14:paraId="3DDB8525" w14:textId="77777777">
            <w:pPr>
              <w:tabs>
                <w:tab w:val="left" w:pos="562"/>
              </w:tabs>
              <w:suppressAutoHyphens/>
              <w:rPr>
                <w:del w:id="11129" w:author="AbbVie14" w:date="2025-05-09T10:35:00Z"/>
                <w:sz w:val="22"/>
                <w:szCs w:val="22"/>
              </w:rPr>
            </w:pPr>
          </w:p>
        </w:tc>
        <w:tc>
          <w:tcPr>
            <w:tcW w:w="8806" w:type="dxa"/>
            <w:gridSpan w:val="5"/>
          </w:tcPr>
          <w:p w:rsidR="006224C2" w:rsidRPr="00295E71" w14:paraId="298FA26D" w14:textId="77777777">
            <w:pPr>
              <w:tabs>
                <w:tab w:val="left" w:pos="562"/>
              </w:tabs>
              <w:suppressAutoHyphens/>
              <w:jc w:val="center"/>
              <w:rPr>
                <w:del w:id="11130" w:author="AbbVie14" w:date="2025-05-09T10:35:00Z"/>
                <w:b/>
                <w:sz w:val="22"/>
                <w:szCs w:val="22"/>
              </w:rPr>
            </w:pPr>
            <w:del w:id="11131" w:author="AbbVie14" w:date="2025-05-09T10:35:00Z">
              <w:r w:rsidRPr="00295E71">
                <w:rPr>
                  <w:b/>
                  <w:sz w:val="22"/>
                  <w:szCs w:val="22"/>
                </w:rPr>
                <w:delText>TEMPO (MESI)</w:delText>
              </w:r>
            </w:del>
          </w:p>
        </w:tc>
      </w:tr>
      <w:tr w14:paraId="32174748" w14:textId="77777777">
        <w:tblPrEx>
          <w:tblW w:w="9481" w:type="dxa"/>
          <w:tblLayout w:type="fixed"/>
          <w:tblLook w:val="04A0"/>
        </w:tblPrEx>
        <w:trPr>
          <w:del w:id="11132" w:author="AbbVie14" w:date="2025-05-09T10:35:00Z"/>
        </w:trPr>
        <w:tc>
          <w:tcPr>
            <w:tcW w:w="675" w:type="dxa"/>
          </w:tcPr>
          <w:p w:rsidR="006224C2" w:rsidRPr="00295E71" w14:paraId="52123661" w14:textId="77777777">
            <w:pPr>
              <w:tabs>
                <w:tab w:val="left" w:pos="562"/>
              </w:tabs>
              <w:suppressAutoHyphens/>
              <w:rPr>
                <w:del w:id="11133" w:author="AbbVie14" w:date="2025-05-09T10:35:00Z"/>
                <w:sz w:val="22"/>
                <w:szCs w:val="22"/>
              </w:rPr>
            </w:pPr>
          </w:p>
        </w:tc>
        <w:tc>
          <w:tcPr>
            <w:tcW w:w="3496" w:type="dxa"/>
          </w:tcPr>
          <w:p w:rsidR="006224C2" w:rsidRPr="00295E71" w14:paraId="1FBD0547" w14:textId="77777777">
            <w:pPr>
              <w:tabs>
                <w:tab w:val="left" w:pos="562"/>
              </w:tabs>
              <w:suppressAutoHyphens/>
              <w:rPr>
                <w:del w:id="11134" w:author="AbbVie14" w:date="2025-05-09T10:35:00Z"/>
                <w:sz w:val="22"/>
                <w:szCs w:val="22"/>
              </w:rPr>
            </w:pPr>
            <w:del w:id="11135" w:author="AbbVie14" w:date="2025-05-09T10:35:00Z">
              <w:r w:rsidRPr="00295E71">
                <w:rPr>
                  <w:sz w:val="22"/>
                  <w:szCs w:val="22"/>
                </w:rPr>
                <w:delText>Studio UV I                    Trattamento</w:delText>
              </w:r>
            </w:del>
          </w:p>
        </w:tc>
        <w:tc>
          <w:tcPr>
            <w:tcW w:w="1170" w:type="dxa"/>
          </w:tcPr>
          <w:p w:rsidR="006224C2" w:rsidRPr="00295E71" w14:paraId="318026B2" w14:textId="77777777">
            <w:pPr>
              <w:tabs>
                <w:tab w:val="left" w:pos="562"/>
              </w:tabs>
              <w:suppressAutoHyphens/>
              <w:jc w:val="right"/>
              <w:rPr>
                <w:del w:id="11136" w:author="AbbVie14" w:date="2025-05-09T10:35:00Z"/>
                <w:sz w:val="22"/>
                <w:szCs w:val="22"/>
              </w:rPr>
            </w:pPr>
            <w:del w:id="11137" w:author="AbbVie14" w:date="2025-05-09T10:35:00Z">
              <w:r w:rsidRPr="003B3A5A">
                <w:rPr>
                  <w:noProof/>
                  <w:sz w:val="22"/>
                  <w:lang w:val="en-GB"/>
                </w:rPr>
                <w:drawing>
                  <wp:inline distT="0" distB="0" distL="0" distR="0">
                    <wp:extent cx="394970" cy="180340"/>
                    <wp:effectExtent l="0" t="0" r="0" b="0"/>
                    <wp:docPr id="36" name="Immagine 4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 descr="Humira Uveitis Figure 5_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970" cy="180340"/>
                            </a:xfrm>
                            <a:prstGeom prst="rect">
                              <a:avLst/>
                            </a:prstGeom>
                            <a:noFill/>
                            <a:ln>
                              <a:noFill/>
                            </a:ln>
                          </pic:spPr>
                        </pic:pic>
                      </a:graphicData>
                    </a:graphic>
                  </wp:inline>
                </w:drawing>
              </w:r>
            </w:del>
          </w:p>
        </w:tc>
        <w:tc>
          <w:tcPr>
            <w:tcW w:w="1350" w:type="dxa"/>
          </w:tcPr>
          <w:p w:rsidR="006224C2" w:rsidRPr="00295E71" w14:paraId="1C595375" w14:textId="77777777">
            <w:pPr>
              <w:tabs>
                <w:tab w:val="left" w:pos="562"/>
              </w:tabs>
              <w:suppressAutoHyphens/>
              <w:rPr>
                <w:del w:id="11138" w:author="AbbVie14" w:date="2025-05-09T10:35:00Z"/>
                <w:sz w:val="22"/>
                <w:szCs w:val="22"/>
              </w:rPr>
            </w:pPr>
            <w:del w:id="11139" w:author="AbbVie14" w:date="2025-05-09T10:35:00Z">
              <w:r w:rsidRPr="00295E71">
                <w:rPr>
                  <w:sz w:val="22"/>
                  <w:szCs w:val="22"/>
                </w:rPr>
                <w:delText>Placebo</w:delText>
              </w:r>
            </w:del>
          </w:p>
        </w:tc>
        <w:tc>
          <w:tcPr>
            <w:tcW w:w="900" w:type="dxa"/>
          </w:tcPr>
          <w:p w:rsidR="006224C2" w:rsidRPr="00295E71" w14:paraId="29E36C59" w14:textId="77777777">
            <w:pPr>
              <w:tabs>
                <w:tab w:val="left" w:pos="562"/>
              </w:tabs>
              <w:suppressAutoHyphens/>
              <w:jc w:val="right"/>
              <w:rPr>
                <w:del w:id="11140" w:author="AbbVie14" w:date="2025-05-09T10:35:00Z"/>
                <w:sz w:val="22"/>
                <w:szCs w:val="22"/>
              </w:rPr>
            </w:pPr>
            <w:del w:id="11141" w:author="AbbVie14" w:date="2025-05-09T10:35:00Z">
              <w:r w:rsidRPr="003B3A5A">
                <w:rPr>
                  <w:noProof/>
                  <w:sz w:val="22"/>
                  <w:lang w:val="en-GB"/>
                </w:rPr>
                <w:drawing>
                  <wp:inline distT="0" distB="0" distL="0" distR="0">
                    <wp:extent cx="561340" cy="180340"/>
                    <wp:effectExtent l="0" t="0" r="0" b="0"/>
                    <wp:docPr id="41" name="Immagine 4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 descr="Humira Uveitis Figure 5_2"/>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340" cy="180340"/>
                            </a:xfrm>
                            <a:prstGeom prst="rect">
                              <a:avLst/>
                            </a:prstGeom>
                            <a:noFill/>
                            <a:ln>
                              <a:noFill/>
                            </a:ln>
                          </pic:spPr>
                        </pic:pic>
                      </a:graphicData>
                    </a:graphic>
                  </wp:inline>
                </w:drawing>
              </w:r>
            </w:del>
          </w:p>
        </w:tc>
        <w:tc>
          <w:tcPr>
            <w:tcW w:w="1890" w:type="dxa"/>
          </w:tcPr>
          <w:p w:rsidR="006224C2" w:rsidRPr="00295E71" w14:paraId="14C058B1" w14:textId="77777777">
            <w:pPr>
              <w:tabs>
                <w:tab w:val="left" w:pos="562"/>
              </w:tabs>
              <w:suppressAutoHyphens/>
              <w:rPr>
                <w:del w:id="11142" w:author="AbbVie14" w:date="2025-05-09T10:35:00Z"/>
                <w:sz w:val="22"/>
                <w:szCs w:val="22"/>
              </w:rPr>
            </w:pPr>
            <w:del w:id="11143" w:author="AbbVie14" w:date="2025-05-09T10:35:00Z">
              <w:r w:rsidRPr="00295E71">
                <w:rPr>
                  <w:sz w:val="22"/>
                  <w:szCs w:val="22"/>
                </w:rPr>
                <w:delText>Adalimumab</w:delText>
              </w:r>
            </w:del>
          </w:p>
        </w:tc>
      </w:tr>
      <w:tr w14:paraId="78D942C0" w14:textId="77777777">
        <w:tblPrEx>
          <w:tblW w:w="9481" w:type="dxa"/>
          <w:tblLayout w:type="fixed"/>
          <w:tblLook w:val="04A0"/>
        </w:tblPrEx>
        <w:trPr>
          <w:del w:id="11144" w:author="AbbVie14" w:date="2025-05-09T10:35:00Z"/>
        </w:trPr>
        <w:tc>
          <w:tcPr>
            <w:tcW w:w="675" w:type="dxa"/>
          </w:tcPr>
          <w:p w:rsidR="006224C2" w:rsidRPr="00295E71" w14:paraId="42166BD9" w14:textId="77777777">
            <w:pPr>
              <w:tabs>
                <w:tab w:val="left" w:pos="562"/>
              </w:tabs>
              <w:suppressAutoHyphens/>
              <w:rPr>
                <w:del w:id="11145" w:author="AbbVie14" w:date="2025-05-09T10:35:00Z"/>
                <w:sz w:val="22"/>
                <w:szCs w:val="22"/>
              </w:rPr>
            </w:pPr>
          </w:p>
        </w:tc>
        <w:tc>
          <w:tcPr>
            <w:tcW w:w="3496" w:type="dxa"/>
          </w:tcPr>
          <w:p w:rsidR="006224C2" w:rsidRPr="00295E71" w14:paraId="713443BD" w14:textId="77777777">
            <w:pPr>
              <w:tabs>
                <w:tab w:val="left" w:pos="562"/>
              </w:tabs>
              <w:suppressAutoHyphens/>
              <w:rPr>
                <w:del w:id="11146" w:author="AbbVie14" w:date="2025-05-09T10:35:00Z"/>
                <w:sz w:val="22"/>
                <w:szCs w:val="22"/>
              </w:rPr>
            </w:pPr>
          </w:p>
        </w:tc>
        <w:tc>
          <w:tcPr>
            <w:tcW w:w="1170" w:type="dxa"/>
          </w:tcPr>
          <w:p w:rsidR="006224C2" w:rsidRPr="00295E71" w14:paraId="7D1796AD" w14:textId="77777777">
            <w:pPr>
              <w:tabs>
                <w:tab w:val="left" w:pos="562"/>
              </w:tabs>
              <w:suppressAutoHyphens/>
              <w:jc w:val="right"/>
              <w:rPr>
                <w:del w:id="11147" w:author="AbbVie14" w:date="2025-05-09T10:35:00Z"/>
                <w:noProof/>
                <w:sz w:val="22"/>
                <w:szCs w:val="22"/>
              </w:rPr>
            </w:pPr>
          </w:p>
        </w:tc>
        <w:tc>
          <w:tcPr>
            <w:tcW w:w="1350" w:type="dxa"/>
          </w:tcPr>
          <w:p w:rsidR="006224C2" w:rsidRPr="00295E71" w14:paraId="0CFC7625" w14:textId="77777777">
            <w:pPr>
              <w:tabs>
                <w:tab w:val="left" w:pos="562"/>
              </w:tabs>
              <w:suppressAutoHyphens/>
              <w:rPr>
                <w:del w:id="11148" w:author="AbbVie14" w:date="2025-05-09T10:35:00Z"/>
                <w:sz w:val="22"/>
                <w:szCs w:val="22"/>
              </w:rPr>
            </w:pPr>
          </w:p>
        </w:tc>
        <w:tc>
          <w:tcPr>
            <w:tcW w:w="900" w:type="dxa"/>
          </w:tcPr>
          <w:p w:rsidR="006224C2" w:rsidRPr="00295E71" w14:paraId="4C4D1054" w14:textId="77777777">
            <w:pPr>
              <w:tabs>
                <w:tab w:val="left" w:pos="562"/>
              </w:tabs>
              <w:suppressAutoHyphens/>
              <w:jc w:val="right"/>
              <w:rPr>
                <w:del w:id="11149" w:author="AbbVie14" w:date="2025-05-09T10:35:00Z"/>
                <w:noProof/>
                <w:sz w:val="22"/>
                <w:szCs w:val="22"/>
              </w:rPr>
            </w:pPr>
          </w:p>
        </w:tc>
        <w:tc>
          <w:tcPr>
            <w:tcW w:w="1890" w:type="dxa"/>
          </w:tcPr>
          <w:p w:rsidR="006224C2" w:rsidRPr="00295E71" w14:paraId="43784AC5" w14:textId="77777777">
            <w:pPr>
              <w:tabs>
                <w:tab w:val="left" w:pos="562"/>
              </w:tabs>
              <w:suppressAutoHyphens/>
              <w:rPr>
                <w:del w:id="11150" w:author="AbbVie14" w:date="2025-05-09T10:35:00Z"/>
                <w:sz w:val="22"/>
                <w:szCs w:val="22"/>
              </w:rPr>
            </w:pPr>
          </w:p>
        </w:tc>
      </w:tr>
      <w:tr w14:paraId="719A6647" w14:textId="77777777">
        <w:tblPrEx>
          <w:tblW w:w="9481" w:type="dxa"/>
          <w:tblLayout w:type="fixed"/>
          <w:tblLook w:val="04A0"/>
        </w:tblPrEx>
        <w:trPr>
          <w:trHeight w:val="3869"/>
          <w:del w:id="11151" w:author="AbbVie14" w:date="2025-05-09T10:35:00Z"/>
        </w:trPr>
        <w:tc>
          <w:tcPr>
            <w:tcW w:w="675" w:type="dxa"/>
            <w:textDirection w:val="btLr"/>
            <w:vAlign w:val="bottom"/>
          </w:tcPr>
          <w:p w:rsidR="006224C2" w:rsidRPr="00295E71" w14:paraId="41E2C220" w14:textId="77777777">
            <w:pPr>
              <w:tabs>
                <w:tab w:val="left" w:pos="562"/>
              </w:tabs>
              <w:suppressAutoHyphens/>
              <w:jc w:val="center"/>
              <w:rPr>
                <w:del w:id="11152" w:author="AbbVie14" w:date="2025-05-09T10:35:00Z"/>
                <w:sz w:val="22"/>
                <w:szCs w:val="22"/>
                <w:lang w:eastAsia="en-US"/>
              </w:rPr>
            </w:pPr>
            <w:del w:id="11153" w:author="AbbVie14" w:date="2025-05-09T10:35:00Z">
              <w:r w:rsidRPr="00295E71">
                <w:rPr>
                  <w:b/>
                  <w:sz w:val="22"/>
                  <w:szCs w:val="22"/>
                  <w:lang w:eastAsia="en-US"/>
                </w:rPr>
                <w:delText>TASSO DI FALLIMENTO DEL TRATTAMENTO (%)</w:delText>
              </w:r>
            </w:del>
          </w:p>
        </w:tc>
        <w:tc>
          <w:tcPr>
            <w:tcW w:w="8806" w:type="dxa"/>
            <w:gridSpan w:val="5"/>
            <w:vAlign w:val="bottom"/>
          </w:tcPr>
          <w:p w:rsidR="006224C2" w:rsidRPr="00295E71" w14:paraId="333E2190" w14:textId="77777777">
            <w:pPr>
              <w:tabs>
                <w:tab w:val="left" w:pos="562"/>
              </w:tabs>
              <w:suppressAutoHyphens/>
              <w:rPr>
                <w:del w:id="11154" w:author="AbbVie14" w:date="2025-05-09T10:35:00Z"/>
                <w:sz w:val="22"/>
                <w:szCs w:val="22"/>
                <w:lang w:eastAsia="en-US"/>
              </w:rPr>
            </w:pPr>
            <w:del w:id="11155" w:author="AbbVie14" w:date="2025-05-09T10:35:00Z">
              <w:r w:rsidRPr="003B3A5A">
                <w:rPr>
                  <w:noProof/>
                  <w:sz w:val="22"/>
                  <w:lang w:val="en-GB"/>
                </w:rPr>
                <w:drawing>
                  <wp:inline distT="0" distB="0" distL="0" distR="0">
                    <wp:extent cx="5486400" cy="2182495"/>
                    <wp:effectExtent l="0" t="0" r="0" b="8255"/>
                    <wp:docPr id="46" name="Picture 34"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 descr="Humira Uveitis Figure 5_7"/>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182495"/>
                            </a:xfrm>
                            <a:prstGeom prst="rect">
                              <a:avLst/>
                            </a:prstGeom>
                            <a:noFill/>
                            <a:ln>
                              <a:noFill/>
                            </a:ln>
                          </pic:spPr>
                        </pic:pic>
                      </a:graphicData>
                    </a:graphic>
                  </wp:inline>
                </w:drawing>
              </w:r>
            </w:del>
          </w:p>
        </w:tc>
      </w:tr>
      <w:tr w14:paraId="00AF4E0F" w14:textId="77777777">
        <w:tblPrEx>
          <w:tblW w:w="9481" w:type="dxa"/>
          <w:tblLayout w:type="fixed"/>
          <w:tblLook w:val="04A0"/>
        </w:tblPrEx>
        <w:trPr>
          <w:del w:id="11156" w:author="AbbVie14" w:date="2025-05-09T10:35:00Z"/>
        </w:trPr>
        <w:tc>
          <w:tcPr>
            <w:tcW w:w="675" w:type="dxa"/>
          </w:tcPr>
          <w:p w:rsidR="006224C2" w:rsidRPr="00295E71" w14:paraId="4B52B13F" w14:textId="77777777">
            <w:pPr>
              <w:tabs>
                <w:tab w:val="left" w:pos="562"/>
              </w:tabs>
              <w:suppressAutoHyphens/>
              <w:rPr>
                <w:del w:id="11157" w:author="AbbVie14" w:date="2025-05-09T10:35:00Z"/>
                <w:sz w:val="22"/>
                <w:szCs w:val="22"/>
                <w:lang w:eastAsia="en-US"/>
              </w:rPr>
            </w:pPr>
          </w:p>
        </w:tc>
        <w:tc>
          <w:tcPr>
            <w:tcW w:w="8806" w:type="dxa"/>
            <w:gridSpan w:val="5"/>
          </w:tcPr>
          <w:p w:rsidR="006224C2" w:rsidRPr="00295E71" w14:paraId="3E6696AD" w14:textId="77777777">
            <w:pPr>
              <w:tabs>
                <w:tab w:val="left" w:pos="562"/>
              </w:tabs>
              <w:suppressAutoHyphens/>
              <w:jc w:val="center"/>
              <w:rPr>
                <w:del w:id="11158" w:author="AbbVie14" w:date="2025-05-09T10:35:00Z"/>
                <w:b/>
                <w:sz w:val="22"/>
                <w:szCs w:val="22"/>
              </w:rPr>
            </w:pPr>
            <w:del w:id="11159" w:author="AbbVie14" w:date="2025-05-09T10:35:00Z">
              <w:r w:rsidRPr="00295E71">
                <w:rPr>
                  <w:b/>
                  <w:sz w:val="22"/>
                  <w:szCs w:val="22"/>
                </w:rPr>
                <w:delText>TEMPO (MESI)</w:delText>
              </w:r>
            </w:del>
          </w:p>
        </w:tc>
      </w:tr>
      <w:tr w14:paraId="234B46B1" w14:textId="77777777">
        <w:tblPrEx>
          <w:tblW w:w="9481" w:type="dxa"/>
          <w:tblLayout w:type="fixed"/>
          <w:tblLook w:val="04A0"/>
        </w:tblPrEx>
        <w:trPr>
          <w:trHeight w:val="369"/>
          <w:del w:id="11160" w:author="AbbVie14" w:date="2025-05-09T10:35:00Z"/>
        </w:trPr>
        <w:tc>
          <w:tcPr>
            <w:tcW w:w="675" w:type="dxa"/>
          </w:tcPr>
          <w:p w:rsidR="006224C2" w:rsidRPr="00295E71" w14:paraId="60523571" w14:textId="77777777">
            <w:pPr>
              <w:tabs>
                <w:tab w:val="left" w:pos="562"/>
              </w:tabs>
              <w:suppressAutoHyphens/>
              <w:rPr>
                <w:del w:id="11161" w:author="AbbVie14" w:date="2025-05-09T10:35:00Z"/>
                <w:sz w:val="22"/>
                <w:szCs w:val="22"/>
              </w:rPr>
            </w:pPr>
          </w:p>
        </w:tc>
        <w:tc>
          <w:tcPr>
            <w:tcW w:w="3496" w:type="dxa"/>
          </w:tcPr>
          <w:p w:rsidR="006224C2" w:rsidRPr="00295E71" w14:paraId="4CD91F65" w14:textId="77777777">
            <w:pPr>
              <w:tabs>
                <w:tab w:val="left" w:pos="562"/>
              </w:tabs>
              <w:suppressAutoHyphens/>
              <w:rPr>
                <w:del w:id="11162" w:author="AbbVie14" w:date="2025-05-09T10:35:00Z"/>
                <w:sz w:val="22"/>
                <w:szCs w:val="22"/>
              </w:rPr>
            </w:pPr>
            <w:del w:id="11163" w:author="AbbVie14" w:date="2025-05-09T10:35:00Z">
              <w:r w:rsidRPr="00295E71">
                <w:rPr>
                  <w:sz w:val="22"/>
                  <w:szCs w:val="22"/>
                </w:rPr>
                <w:delText>Studio UV II                   Trattamento</w:delText>
              </w:r>
            </w:del>
          </w:p>
        </w:tc>
        <w:tc>
          <w:tcPr>
            <w:tcW w:w="1170" w:type="dxa"/>
          </w:tcPr>
          <w:p w:rsidR="006224C2" w:rsidRPr="00295E71" w14:paraId="409647D9" w14:textId="77777777">
            <w:pPr>
              <w:tabs>
                <w:tab w:val="left" w:pos="562"/>
              </w:tabs>
              <w:suppressAutoHyphens/>
              <w:jc w:val="right"/>
              <w:rPr>
                <w:del w:id="11164" w:author="AbbVie14" w:date="2025-05-09T10:35:00Z"/>
                <w:sz w:val="22"/>
                <w:szCs w:val="22"/>
              </w:rPr>
            </w:pPr>
            <w:del w:id="11165" w:author="AbbVie14" w:date="2025-05-09T10:35:00Z">
              <w:r w:rsidRPr="003B3A5A">
                <w:rPr>
                  <w:noProof/>
                  <w:sz w:val="22"/>
                  <w:lang w:val="en-GB"/>
                </w:rPr>
                <w:drawing>
                  <wp:inline distT="0" distB="0" distL="0" distR="0">
                    <wp:extent cx="394970" cy="180340"/>
                    <wp:effectExtent l="0" t="0" r="0" b="0"/>
                    <wp:docPr id="52" name="Immagine 4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 descr="Humira Uveitis Figure 5_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970" cy="180340"/>
                            </a:xfrm>
                            <a:prstGeom prst="rect">
                              <a:avLst/>
                            </a:prstGeom>
                            <a:noFill/>
                            <a:ln>
                              <a:noFill/>
                            </a:ln>
                          </pic:spPr>
                        </pic:pic>
                      </a:graphicData>
                    </a:graphic>
                  </wp:inline>
                </w:drawing>
              </w:r>
            </w:del>
          </w:p>
        </w:tc>
        <w:tc>
          <w:tcPr>
            <w:tcW w:w="1350" w:type="dxa"/>
          </w:tcPr>
          <w:p w:rsidR="006224C2" w:rsidRPr="00295E71" w14:paraId="604F27B9" w14:textId="77777777">
            <w:pPr>
              <w:tabs>
                <w:tab w:val="left" w:pos="562"/>
              </w:tabs>
              <w:suppressAutoHyphens/>
              <w:rPr>
                <w:del w:id="11166" w:author="AbbVie14" w:date="2025-05-09T10:35:00Z"/>
                <w:sz w:val="22"/>
                <w:szCs w:val="22"/>
                <w:lang w:eastAsia="en-US"/>
              </w:rPr>
            </w:pPr>
            <w:del w:id="11167" w:author="AbbVie14" w:date="2025-05-09T10:35:00Z">
              <w:r w:rsidRPr="00295E71">
                <w:rPr>
                  <w:sz w:val="22"/>
                  <w:szCs w:val="22"/>
                </w:rPr>
                <w:delText>Placebo</w:delText>
              </w:r>
            </w:del>
          </w:p>
        </w:tc>
        <w:tc>
          <w:tcPr>
            <w:tcW w:w="900" w:type="dxa"/>
          </w:tcPr>
          <w:p w:rsidR="006224C2" w:rsidRPr="00295E71" w14:paraId="57B3C084" w14:textId="77777777">
            <w:pPr>
              <w:tabs>
                <w:tab w:val="left" w:pos="562"/>
              </w:tabs>
              <w:suppressAutoHyphens/>
              <w:jc w:val="right"/>
              <w:rPr>
                <w:del w:id="11168" w:author="AbbVie14" w:date="2025-05-09T10:35:00Z"/>
                <w:sz w:val="22"/>
                <w:szCs w:val="22"/>
              </w:rPr>
            </w:pPr>
            <w:del w:id="11169" w:author="AbbVie14" w:date="2025-05-09T10:35:00Z">
              <w:r w:rsidRPr="003B3A5A">
                <w:rPr>
                  <w:noProof/>
                  <w:sz w:val="22"/>
                  <w:lang w:val="en-GB"/>
                </w:rPr>
                <w:drawing>
                  <wp:inline distT="0" distB="0" distL="0" distR="0">
                    <wp:extent cx="561340" cy="180340"/>
                    <wp:effectExtent l="0" t="0" r="0" b="0"/>
                    <wp:docPr id="58" name="Immagine 4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6" descr="Humira Uveitis Figure 5_2"/>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340" cy="180340"/>
                            </a:xfrm>
                            <a:prstGeom prst="rect">
                              <a:avLst/>
                            </a:prstGeom>
                            <a:noFill/>
                            <a:ln>
                              <a:noFill/>
                            </a:ln>
                          </pic:spPr>
                        </pic:pic>
                      </a:graphicData>
                    </a:graphic>
                  </wp:inline>
                </w:drawing>
              </w:r>
            </w:del>
          </w:p>
        </w:tc>
        <w:tc>
          <w:tcPr>
            <w:tcW w:w="1890" w:type="dxa"/>
          </w:tcPr>
          <w:p w:rsidR="006224C2" w:rsidRPr="00295E71" w14:paraId="25ED7FC4" w14:textId="77777777">
            <w:pPr>
              <w:tabs>
                <w:tab w:val="left" w:pos="562"/>
              </w:tabs>
              <w:suppressAutoHyphens/>
              <w:rPr>
                <w:del w:id="11170" w:author="AbbVie14" w:date="2025-05-09T10:35:00Z"/>
                <w:sz w:val="22"/>
                <w:szCs w:val="22"/>
              </w:rPr>
            </w:pPr>
            <w:del w:id="11171" w:author="AbbVie14" w:date="2025-05-09T10:35:00Z">
              <w:r w:rsidRPr="00295E71">
                <w:rPr>
                  <w:sz w:val="22"/>
                  <w:szCs w:val="22"/>
                </w:rPr>
                <w:delText>Adalimumab</w:delText>
              </w:r>
            </w:del>
          </w:p>
        </w:tc>
      </w:tr>
      <w:tr w14:paraId="1BAA5607" w14:textId="77777777">
        <w:tblPrEx>
          <w:tblW w:w="9481" w:type="dxa"/>
          <w:tblLayout w:type="fixed"/>
          <w:tblLook w:val="04A0"/>
        </w:tblPrEx>
        <w:trPr>
          <w:trHeight w:val="629"/>
          <w:del w:id="11172" w:author="AbbVie14" w:date="2025-05-09T10:35:00Z"/>
        </w:trPr>
        <w:tc>
          <w:tcPr>
            <w:tcW w:w="9481" w:type="dxa"/>
            <w:gridSpan w:val="6"/>
            <w:vAlign w:val="center"/>
          </w:tcPr>
          <w:p w:rsidR="006224C2" w:rsidRPr="00295E71" w14:paraId="19E3A887" w14:textId="77777777">
            <w:pPr>
              <w:tabs>
                <w:tab w:val="left" w:pos="562"/>
              </w:tabs>
              <w:suppressAutoHyphens/>
              <w:rPr>
                <w:del w:id="11173" w:author="AbbVie14" w:date="2025-05-09T10:35:00Z"/>
                <w:sz w:val="22"/>
                <w:szCs w:val="22"/>
                <w:lang w:eastAsia="en-US"/>
              </w:rPr>
            </w:pPr>
            <w:del w:id="11174" w:author="AbbVie14" w:date="2025-05-09T10:35:00Z">
              <w:r w:rsidRPr="00295E71">
                <w:rPr>
                  <w:sz w:val="22"/>
                  <w:szCs w:val="22"/>
                  <w:lang w:eastAsia="en-US"/>
                </w:rPr>
                <w:delText>Nota: P = Placebo (Numero di eventi/Numero a rischio); A = HUMIRA (Numero di</w:delText>
              </w:r>
            </w:del>
          </w:p>
          <w:p w:rsidR="006224C2" w:rsidRPr="00295E71" w14:paraId="4DC50DAC" w14:textId="77777777">
            <w:pPr>
              <w:tabs>
                <w:tab w:val="left" w:pos="562"/>
              </w:tabs>
              <w:suppressAutoHyphens/>
              <w:rPr>
                <w:del w:id="11175" w:author="AbbVie14" w:date="2025-05-09T10:35:00Z"/>
                <w:sz w:val="22"/>
                <w:szCs w:val="22"/>
              </w:rPr>
            </w:pPr>
            <w:del w:id="11176" w:author="AbbVie14" w:date="2025-05-09T10:35:00Z">
              <w:r w:rsidRPr="00295E71">
                <w:rPr>
                  <w:sz w:val="22"/>
                  <w:szCs w:val="22"/>
                </w:rPr>
                <w:delText>eventi/Numero a rischio).</w:delText>
              </w:r>
            </w:del>
          </w:p>
        </w:tc>
      </w:tr>
    </w:tbl>
    <w:p w:rsidR="006224C2" w:rsidRPr="00295E71" w14:paraId="70B31C83" w14:textId="77777777">
      <w:pPr>
        <w:tabs>
          <w:tab w:val="left" w:pos="562"/>
        </w:tabs>
        <w:suppressAutoHyphens/>
        <w:rPr>
          <w:del w:id="11177" w:author="AbbVie14" w:date="2025-05-09T10:35:00Z"/>
          <w:sz w:val="22"/>
          <w:szCs w:val="22"/>
        </w:rPr>
      </w:pPr>
    </w:p>
    <w:p w:rsidR="006224C2" w:rsidRPr="00295E71" w14:paraId="2259C2DB" w14:textId="77777777">
      <w:pPr>
        <w:tabs>
          <w:tab w:val="left" w:pos="562"/>
        </w:tabs>
        <w:suppressAutoHyphens/>
        <w:rPr>
          <w:del w:id="11178" w:author="AbbVie14" w:date="2025-05-09T10:35:00Z"/>
          <w:sz w:val="22"/>
          <w:szCs w:val="22"/>
          <w:lang w:eastAsia="en-US"/>
        </w:rPr>
      </w:pPr>
      <w:del w:id="11179" w:author="AbbVie14" w:date="2025-05-09T10:35:00Z">
        <w:r w:rsidRPr="00295E71">
          <w:rPr>
            <w:sz w:val="22"/>
            <w:szCs w:val="22"/>
            <w:lang w:eastAsia="en-US"/>
          </w:rPr>
          <w:delText>Nello Studio UV I sono state osservate differenze statisticamente significative a favore di adalimumab rispetto al placebo per ogni componente del fallimento del trattamento. Nello Studio UV II sono state osservate differenze statisticamente significative solo per l’acuità visiva, mentre gli altri componenti erano numericamente a favore di adalimumab.</w:delText>
        </w:r>
      </w:del>
    </w:p>
    <w:p w:rsidR="006224C2" w:rsidRPr="00295E71" w14:paraId="6895095F" w14:textId="77777777">
      <w:pPr>
        <w:tabs>
          <w:tab w:val="left" w:pos="562"/>
        </w:tabs>
        <w:suppressAutoHyphens/>
        <w:rPr>
          <w:del w:id="11180" w:author="AbbVie14" w:date="2025-05-09T10:35:00Z"/>
          <w:sz w:val="22"/>
          <w:szCs w:val="22"/>
          <w:lang w:eastAsia="en-US"/>
        </w:rPr>
      </w:pPr>
    </w:p>
    <w:p w:rsidR="00692752" w:rsidP="00692752" w14:paraId="38957C18" w14:textId="77777777">
      <w:pPr>
        <w:rPr>
          <w:del w:id="11181" w:author="AbbVie14" w:date="2025-05-09T10:35:00Z"/>
        </w:rPr>
      </w:pPr>
      <w:del w:id="11182" w:author="AbbVie14" w:date="2025-05-09T10:35:00Z">
        <w:r w:rsidRPr="00295E71">
          <w:rPr>
            <w:sz w:val="22"/>
            <w:szCs w:val="22"/>
            <w:lang w:eastAsia="en-US"/>
          </w:rPr>
          <w:delText xml:space="preserve">Dei </w:delText>
        </w:r>
      </w:del>
      <w:del w:id="11183" w:author="AbbVie14" w:date="2025-05-09T10:35:00Z">
        <w:r>
          <w:rPr>
            <w:sz w:val="22"/>
            <w:szCs w:val="22"/>
            <w:lang w:eastAsia="en-US"/>
          </w:rPr>
          <w:delText>424</w:delText>
        </w:r>
      </w:del>
      <w:del w:id="11184" w:author="AbbVie14" w:date="2025-05-09T10:35:00Z">
        <w:r w:rsidRPr="00295E71">
          <w:rPr>
            <w:sz w:val="22"/>
            <w:szCs w:val="22"/>
            <w:lang w:eastAsia="en-US"/>
          </w:rPr>
          <w:delText xml:space="preserve"> soggetti inclusi nell’estensione a lungo termine non controllata degli Studi UV I ed UV II, </w:delText>
        </w:r>
      </w:del>
      <w:del w:id="11185" w:author="AbbVie14" w:date="2025-05-09T10:35:00Z">
        <w:r>
          <w:rPr>
            <w:sz w:val="22"/>
            <w:szCs w:val="22"/>
            <w:lang w:eastAsia="en-US"/>
          </w:rPr>
          <w:delText>60</w:delText>
        </w:r>
      </w:del>
      <w:del w:id="11186" w:author="AbbVie14" w:date="2025-05-09T10:35:00Z">
        <w:r w:rsidRPr="00295E71">
          <w:rPr>
            <w:sz w:val="22"/>
            <w:szCs w:val="22"/>
            <w:lang w:eastAsia="en-US"/>
          </w:rPr>
          <w:delText xml:space="preserve"> soggetti sono stati considerati non eleggibili (ad es. </w:delText>
        </w:r>
      </w:del>
      <w:del w:id="11187" w:author="AbbVie14" w:date="2025-05-09T10:35:00Z">
        <w:r>
          <w:rPr>
            <w:sz w:val="22"/>
            <w:szCs w:val="22"/>
            <w:lang w:eastAsia="en-US"/>
          </w:rPr>
          <w:delText>a causa di deviazioni o per</w:delText>
        </w:r>
      </w:del>
    </w:p>
    <w:p w:rsidR="00326430" w:rsidP="00692752" w14:paraId="59C684DA" w14:textId="77777777">
      <w:pPr>
        <w:rPr>
          <w:del w:id="11188" w:author="AbbVie14" w:date="2025-05-09T10:35:00Z"/>
          <w:sz w:val="22"/>
          <w:szCs w:val="22"/>
          <w:lang w:eastAsia="en-US"/>
        </w:rPr>
      </w:pPr>
      <w:del w:id="11189" w:author="AbbVie14" w:date="2025-05-09T10:35:00Z">
        <w:r w:rsidRPr="00295E71">
          <w:rPr>
            <w:sz w:val="22"/>
            <w:szCs w:val="22"/>
            <w:lang w:eastAsia="en-US"/>
          </w:rPr>
          <w:delText xml:space="preserve">complicazioni secondarie alla retinopatia diabetica, a causa di intervento chirurgico di cataratta o vitrectomia) e sono stati esclusi dall’analisi primaria di efficacia. Dei </w:delText>
        </w:r>
      </w:del>
      <w:del w:id="11190" w:author="AbbVie14" w:date="2025-05-09T10:35:00Z">
        <w:r w:rsidR="00692752">
          <w:rPr>
            <w:sz w:val="22"/>
            <w:szCs w:val="22"/>
            <w:lang w:eastAsia="en-US"/>
          </w:rPr>
          <w:delText>364</w:delText>
        </w:r>
      </w:del>
      <w:del w:id="11191" w:author="AbbVie14" w:date="2025-05-09T10:35:00Z">
        <w:r w:rsidRPr="00295E71">
          <w:rPr>
            <w:sz w:val="22"/>
            <w:szCs w:val="22"/>
            <w:lang w:eastAsia="en-US"/>
          </w:rPr>
          <w:delText xml:space="preserve"> pazienti rimanenti, </w:delText>
        </w:r>
      </w:del>
      <w:del w:id="11192" w:author="AbbVie14" w:date="2025-05-09T10:35:00Z">
        <w:r w:rsidR="00692752">
          <w:rPr>
            <w:sz w:val="22"/>
            <w:szCs w:val="22"/>
            <w:lang w:eastAsia="en-US"/>
          </w:rPr>
          <w:delText>269</w:delText>
        </w:r>
      </w:del>
      <w:del w:id="11193" w:author="AbbVie14" w:date="2025-05-09T10:35:00Z">
        <w:r w:rsidRPr="00295E71">
          <w:rPr>
            <w:sz w:val="22"/>
            <w:szCs w:val="22"/>
            <w:lang w:eastAsia="en-US"/>
          </w:rPr>
          <w:delText xml:space="preserve"> pazienti </w:delText>
        </w:r>
      </w:del>
      <w:del w:id="11194" w:author="AbbVie14" w:date="2025-05-09T10:35:00Z">
        <w:r w:rsidRPr="005641FA">
          <w:rPr>
            <w:sz w:val="22"/>
            <w:szCs w:val="22"/>
            <w:lang w:eastAsia="en-US"/>
          </w:rPr>
          <w:delText>valutabili</w:delText>
        </w:r>
      </w:del>
      <w:del w:id="11195" w:author="AbbVie14" w:date="2025-05-09T10:35:00Z">
        <w:r w:rsidR="00692752">
          <w:rPr>
            <w:sz w:val="22"/>
            <w:szCs w:val="22"/>
            <w:lang w:eastAsia="en-US"/>
          </w:rPr>
          <w:delText>(74%)</w:delText>
        </w:r>
      </w:del>
      <w:del w:id="11196" w:author="AbbVie14" w:date="2025-05-09T10:35:00Z">
        <w:r w:rsidRPr="00295E71">
          <w:rPr>
            <w:sz w:val="22"/>
            <w:szCs w:val="22"/>
            <w:lang w:eastAsia="en-US"/>
          </w:rPr>
          <w:delText xml:space="preserve"> hanno raggiunto 78 settimane di trattamento in a</w:delText>
        </w:r>
      </w:del>
      <w:del w:id="11197" w:author="AbbVie14" w:date="2025-05-09T10:35:00Z">
        <w:r w:rsidRPr="00295E71" w:rsidR="00784BDE">
          <w:rPr>
            <w:sz w:val="22"/>
            <w:szCs w:val="22"/>
            <w:lang w:eastAsia="en-US"/>
          </w:rPr>
          <w:delText xml:space="preserve">perto con adalimumab. In base </w:delText>
        </w:r>
      </w:del>
      <w:del w:id="11198" w:author="AbbVie14" w:date="2025-05-09T10:35:00Z">
        <w:r w:rsidRPr="00295E71">
          <w:rPr>
            <w:sz w:val="22"/>
            <w:szCs w:val="22"/>
            <w:lang w:eastAsia="en-US"/>
          </w:rPr>
          <w:delText xml:space="preserve">all’approccio utilizzato per l’osservazione dei dati, </w:delText>
        </w:r>
      </w:del>
      <w:del w:id="11199" w:author="AbbVie14" w:date="2025-05-09T10:35:00Z">
        <w:r w:rsidR="00692752">
          <w:rPr>
            <w:sz w:val="22"/>
            <w:szCs w:val="22"/>
            <w:lang w:eastAsia="en-US"/>
          </w:rPr>
          <w:delText>216</w:delText>
        </w:r>
      </w:del>
      <w:del w:id="11200" w:author="AbbVie14" w:date="2025-05-09T10:35:00Z">
        <w:r w:rsidRPr="00295E71">
          <w:rPr>
            <w:sz w:val="22"/>
            <w:szCs w:val="22"/>
            <w:lang w:eastAsia="en-US"/>
          </w:rPr>
          <w:delText xml:space="preserve"> (80,</w:delText>
        </w:r>
      </w:del>
      <w:del w:id="11201" w:author="AbbVie14" w:date="2025-05-09T10:35:00Z">
        <w:r w:rsidR="00692752">
          <w:rPr>
            <w:sz w:val="22"/>
            <w:szCs w:val="22"/>
            <w:lang w:eastAsia="en-US"/>
          </w:rPr>
          <w:delText>3</w:delText>
        </w:r>
      </w:del>
      <w:del w:id="11202" w:author="AbbVie14" w:date="2025-05-09T10:35:00Z">
        <w:r w:rsidRPr="00295E71">
          <w:rPr>
            <w:sz w:val="22"/>
            <w:szCs w:val="22"/>
            <w:lang w:eastAsia="en-US"/>
          </w:rPr>
          <w:delText xml:space="preserve">%) sono stati in quiescenza (nessuna lesione infiammatoria attiva, grado di cellule AC ≤ 0,5+, grado VH ≤ 0,5+) con una dose concomitante di steroidi ≤ 7,5 mg al giorno, e </w:delText>
        </w:r>
      </w:del>
      <w:del w:id="11203" w:author="AbbVie14" w:date="2025-05-09T10:35:00Z">
        <w:r w:rsidR="00692752">
          <w:rPr>
            <w:sz w:val="22"/>
            <w:szCs w:val="22"/>
            <w:lang w:eastAsia="en-US"/>
          </w:rPr>
          <w:delText>178</w:delText>
        </w:r>
      </w:del>
      <w:del w:id="11204" w:author="AbbVie14" w:date="2025-05-09T10:35:00Z">
        <w:r w:rsidRPr="00295E71">
          <w:rPr>
            <w:sz w:val="22"/>
            <w:szCs w:val="22"/>
            <w:lang w:eastAsia="en-US"/>
          </w:rPr>
          <w:delText xml:space="preserve"> (66,</w:delText>
        </w:r>
      </w:del>
      <w:del w:id="11205" w:author="AbbVie14" w:date="2025-05-09T10:35:00Z">
        <w:r w:rsidR="00692752">
          <w:rPr>
            <w:sz w:val="22"/>
            <w:szCs w:val="22"/>
            <w:lang w:eastAsia="en-US"/>
          </w:rPr>
          <w:delText>2</w:delText>
        </w:r>
      </w:del>
      <w:del w:id="11206" w:author="AbbVie14" w:date="2025-05-09T10:35:00Z">
        <w:r w:rsidRPr="00295E71">
          <w:rPr>
            <w:sz w:val="22"/>
            <w:szCs w:val="22"/>
            <w:lang w:eastAsia="en-US"/>
          </w:rPr>
          <w:delText>%) sono stati in quiescenza senza trattamento steroideo. BCVA era migliorat</w:delText>
        </w:r>
      </w:del>
      <w:del w:id="11207" w:author="AbbVie14" w:date="2025-05-09T10:35:00Z">
        <w:r w:rsidR="0085279B">
          <w:rPr>
            <w:sz w:val="22"/>
            <w:szCs w:val="22"/>
            <w:lang w:eastAsia="en-US"/>
          </w:rPr>
          <w:delText>a</w:delText>
        </w:r>
      </w:del>
      <w:del w:id="11208" w:author="AbbVie14" w:date="2025-05-09T10:35:00Z">
        <w:r w:rsidRPr="00295E71">
          <w:rPr>
            <w:sz w:val="22"/>
            <w:szCs w:val="22"/>
            <w:lang w:eastAsia="en-US"/>
          </w:rPr>
          <w:delText xml:space="preserve"> o mantenut</w:delText>
        </w:r>
      </w:del>
      <w:del w:id="11209" w:author="AbbVie14" w:date="2025-05-09T10:35:00Z">
        <w:r w:rsidR="0085279B">
          <w:rPr>
            <w:sz w:val="22"/>
            <w:szCs w:val="22"/>
            <w:lang w:eastAsia="en-US"/>
          </w:rPr>
          <w:delText>a</w:delText>
        </w:r>
      </w:del>
      <w:del w:id="11210" w:author="AbbVie14" w:date="2025-05-09T10:35:00Z">
        <w:r w:rsidRPr="00295E71">
          <w:rPr>
            <w:sz w:val="22"/>
            <w:szCs w:val="22"/>
            <w:lang w:eastAsia="en-US"/>
          </w:rPr>
          <w:delText xml:space="preserve"> (deteriorazione &lt; 5 lettere) nell’88,</w:delText>
        </w:r>
      </w:del>
      <w:del w:id="11211" w:author="AbbVie14" w:date="2025-05-09T10:35:00Z">
        <w:r w:rsidR="00692752">
          <w:rPr>
            <w:sz w:val="22"/>
            <w:szCs w:val="22"/>
            <w:lang w:eastAsia="en-US"/>
          </w:rPr>
          <w:delText>6</w:delText>
        </w:r>
      </w:del>
      <w:del w:id="11212" w:author="AbbVie14" w:date="2025-05-09T10:35:00Z">
        <w:r w:rsidRPr="00295E71">
          <w:rPr>
            <w:sz w:val="22"/>
            <w:szCs w:val="22"/>
            <w:lang w:eastAsia="en-US"/>
          </w:rPr>
          <w:delText xml:space="preserve">% degli occhi alla settimana 78. </w:delText>
        </w:r>
      </w:del>
      <w:del w:id="11213" w:author="AbbVie14" w:date="2025-05-09T10:35:00Z">
        <w:r w:rsidRPr="00004788" w:rsidR="00692752">
          <w:rPr>
            <w:sz w:val="22"/>
            <w:szCs w:val="22"/>
            <w:lang w:eastAsia="en-US"/>
          </w:rPr>
          <w:delText xml:space="preserve">I dati oltre la settimana 78 </w:delText>
        </w:r>
      </w:del>
      <w:del w:id="11214" w:author="AbbVie14" w:date="2025-05-09T10:35:00Z">
        <w:r w:rsidR="00692752">
          <w:rPr>
            <w:sz w:val="22"/>
            <w:szCs w:val="22"/>
            <w:lang w:eastAsia="en-US"/>
          </w:rPr>
          <w:delText>sono stati</w:delText>
        </w:r>
      </w:del>
      <w:del w:id="11215" w:author="AbbVie14" w:date="2025-05-09T10:35:00Z">
        <w:r w:rsidRPr="00004788" w:rsidR="00692752">
          <w:rPr>
            <w:sz w:val="22"/>
            <w:szCs w:val="22"/>
            <w:lang w:eastAsia="en-US"/>
          </w:rPr>
          <w:delText xml:space="preserve"> generalmente coerenti con questi risultati, ma il numero di soggetti arruolati è diminuito dopo questo periodo</w:delText>
        </w:r>
      </w:del>
      <w:del w:id="11216" w:author="AbbVie14" w:date="2025-05-09T10:35:00Z">
        <w:r w:rsidR="00692752">
          <w:rPr>
            <w:sz w:val="22"/>
            <w:szCs w:val="22"/>
            <w:lang w:eastAsia="en-US"/>
          </w:rPr>
          <w:delText>.</w:delText>
        </w:r>
      </w:del>
      <w:del w:id="11217" w:author="AbbVie14" w:date="2025-05-09T10:35:00Z">
        <w:r w:rsidRPr="00004788" w:rsidR="00692752">
          <w:rPr>
            <w:sz w:val="22"/>
            <w:szCs w:val="22"/>
            <w:lang w:eastAsia="en-US"/>
          </w:rPr>
          <w:delText xml:space="preserve"> </w:delText>
        </w:r>
      </w:del>
      <w:del w:id="11218" w:author="AbbVie14" w:date="2025-05-09T10:35:00Z">
        <w:r w:rsidR="00692752">
          <w:rPr>
            <w:sz w:val="22"/>
            <w:szCs w:val="22"/>
            <w:lang w:eastAsia="en-US"/>
          </w:rPr>
          <w:delText>Complessivamente, t</w:delText>
        </w:r>
      </w:del>
      <w:del w:id="11219" w:author="AbbVie14" w:date="2025-05-09T10:35:00Z">
        <w:r w:rsidRPr="00295E71">
          <w:rPr>
            <w:sz w:val="22"/>
            <w:szCs w:val="22"/>
            <w:lang w:eastAsia="en-US"/>
          </w:rPr>
          <w:delText xml:space="preserve">ra i pazienti che hanno interrotto lo studio, </w:delText>
        </w:r>
      </w:del>
      <w:del w:id="11220" w:author="AbbVie14" w:date="2025-05-09T10:35:00Z">
        <w:r w:rsidR="00692752">
          <w:rPr>
            <w:sz w:val="22"/>
            <w:szCs w:val="22"/>
            <w:lang w:eastAsia="en-US"/>
          </w:rPr>
          <w:delText>il 18</w:delText>
        </w:r>
      </w:del>
      <w:del w:id="11221" w:author="AbbVie14" w:date="2025-05-09T10:35:00Z">
        <w:r w:rsidRPr="00295E71">
          <w:rPr>
            <w:sz w:val="22"/>
            <w:szCs w:val="22"/>
            <w:lang w:eastAsia="en-US"/>
          </w:rPr>
          <w:delText>% ha interrotto a causa di eventi avversi, el</w:delText>
        </w:r>
      </w:del>
      <w:del w:id="11222" w:author="AbbVie14" w:date="2025-05-09T10:35:00Z">
        <w:r w:rsidR="00692752">
          <w:rPr>
            <w:sz w:val="22"/>
            <w:szCs w:val="22"/>
            <w:lang w:eastAsia="en-US"/>
          </w:rPr>
          <w:delText>’8</w:delText>
        </w:r>
      </w:del>
      <w:del w:id="11223" w:author="AbbVie14" w:date="2025-05-09T10:35:00Z">
        <w:r w:rsidRPr="00295E71">
          <w:rPr>
            <w:sz w:val="22"/>
            <w:szCs w:val="22"/>
            <w:lang w:eastAsia="en-US"/>
          </w:rPr>
          <w:delText>% a causa di risposta insufficiente al trattamento con adalimumab.</w:delText>
        </w:r>
      </w:del>
    </w:p>
    <w:p w:rsidR="00A65016" w:rsidP="003915EA" w14:paraId="2FE37AC2" w14:textId="77777777">
      <w:pPr>
        <w:rPr>
          <w:del w:id="11224" w:author="AbbVie14" w:date="2025-05-09T10:35:00Z"/>
          <w:sz w:val="22"/>
          <w:szCs w:val="22"/>
          <w:lang w:eastAsia="en-US"/>
        </w:rPr>
      </w:pPr>
    </w:p>
    <w:p w:rsidR="006224C2" w:rsidRPr="00295E71" w14:paraId="44E93CF8" w14:textId="77777777">
      <w:pPr>
        <w:tabs>
          <w:tab w:val="left" w:pos="562"/>
        </w:tabs>
        <w:suppressAutoHyphens/>
        <w:rPr>
          <w:del w:id="11225" w:author="AbbVie14" w:date="2025-05-09T10:35:00Z"/>
          <w:i/>
          <w:sz w:val="22"/>
          <w:szCs w:val="22"/>
          <w:u w:val="single"/>
          <w:lang w:eastAsia="en-US"/>
        </w:rPr>
      </w:pPr>
      <w:del w:id="11226" w:author="AbbVie14" w:date="2025-05-09T10:35:00Z">
        <w:r w:rsidRPr="00295E71">
          <w:rPr>
            <w:i/>
            <w:sz w:val="22"/>
            <w:szCs w:val="22"/>
            <w:u w:val="single"/>
            <w:lang w:eastAsia="en-US"/>
          </w:rPr>
          <w:delText>Qualità della vita</w:delText>
        </w:r>
      </w:del>
    </w:p>
    <w:p w:rsidR="006224C2" w:rsidRPr="00295E71" w14:paraId="42D4BD6D" w14:textId="77777777">
      <w:pPr>
        <w:tabs>
          <w:tab w:val="left" w:pos="562"/>
        </w:tabs>
        <w:suppressAutoHyphens/>
        <w:rPr>
          <w:del w:id="11227" w:author="AbbVie14" w:date="2025-05-09T10:35:00Z"/>
          <w:i/>
          <w:sz w:val="22"/>
          <w:szCs w:val="22"/>
          <w:u w:val="single"/>
          <w:lang w:eastAsia="en-US"/>
        </w:rPr>
      </w:pPr>
    </w:p>
    <w:p w:rsidR="006224C2" w:rsidRPr="00612824" w14:paraId="7673D570" w14:textId="77777777">
      <w:pPr>
        <w:tabs>
          <w:tab w:val="left" w:pos="567"/>
          <w:tab w:val="left" w:pos="1294"/>
        </w:tabs>
        <w:autoSpaceDE w:val="0"/>
        <w:autoSpaceDN w:val="0"/>
        <w:adjustRightInd w:val="0"/>
        <w:jc w:val="both"/>
        <w:rPr>
          <w:del w:id="11228" w:author="AbbVie14" w:date="2025-05-09T10:35:00Z"/>
          <w:sz w:val="22"/>
          <w:szCs w:val="22"/>
          <w:lang w:eastAsia="en-US"/>
        </w:rPr>
      </w:pPr>
      <w:del w:id="11229" w:author="AbbVie14" w:date="2025-05-09T10:35:00Z">
        <w:r w:rsidRPr="00612824">
          <w:rPr>
            <w:sz w:val="22"/>
            <w:szCs w:val="22"/>
            <w:lang w:eastAsia="en-US"/>
          </w:rPr>
          <w:delText>Gli esiti riferiti dal paziente per quanto riguarda la funzione visiva sono stati misurati in entrambi gli studi clinici, utilizzando la scala NEI VFQ-25. Humira è stato numericamente favorito per la maggior parte dei punteggi parziali con differenze medie statisticamente significative per la visione generale, il dolore oculare, la visione da vicino, la salute mentale e il punteggio totale nello Studio UV I e per la visione generale e la salute mentale nello Studio UV II. Gli effetti legati alla visione non erano numericamente a favore di Humira per la visione del colore nello Studio UV I e per la visione del colore, la visione periferica e la visione da vicino nello Studio UV II.</w:delText>
        </w:r>
      </w:del>
    </w:p>
    <w:p w:rsidR="006224C2" w:rsidRPr="00295E71" w14:paraId="54D01788" w14:textId="77777777">
      <w:pPr>
        <w:keepNext/>
        <w:rPr>
          <w:del w:id="11230" w:author="AbbVie14" w:date="2025-05-09T10:35:00Z"/>
          <w:color w:val="000000"/>
          <w:sz w:val="22"/>
          <w:szCs w:val="22"/>
          <w:u w:val="single"/>
        </w:rPr>
      </w:pPr>
    </w:p>
    <w:p w:rsidR="006224C2" w:rsidRPr="00295E71" w14:paraId="4E23A156" w14:textId="77777777">
      <w:pPr>
        <w:keepNext/>
        <w:rPr>
          <w:del w:id="11231" w:author="AbbVie14" w:date="2025-05-09T10:35:00Z"/>
          <w:color w:val="000000"/>
          <w:sz w:val="22"/>
          <w:szCs w:val="22"/>
          <w:u w:val="single"/>
        </w:rPr>
      </w:pPr>
      <w:del w:id="11232" w:author="AbbVie14" w:date="2025-05-09T10:35:00Z">
        <w:r w:rsidRPr="00295E71">
          <w:rPr>
            <w:color w:val="000000"/>
            <w:sz w:val="22"/>
            <w:szCs w:val="22"/>
            <w:u w:val="single"/>
          </w:rPr>
          <w:delText>Immunogenicità</w:delText>
        </w:r>
      </w:del>
    </w:p>
    <w:p w:rsidR="006224C2" w:rsidRPr="00295E71" w14:paraId="47F12D6B" w14:textId="77777777">
      <w:pPr>
        <w:keepNext/>
        <w:tabs>
          <w:tab w:val="left" w:pos="567"/>
          <w:tab w:val="left" w:pos="1294"/>
        </w:tabs>
        <w:autoSpaceDE w:val="0"/>
        <w:autoSpaceDN w:val="0"/>
        <w:adjustRightInd w:val="0"/>
        <w:jc w:val="both"/>
        <w:rPr>
          <w:del w:id="11233" w:author="AbbVie14" w:date="2025-05-09T10:35:00Z"/>
          <w:color w:val="000000"/>
          <w:sz w:val="22"/>
          <w:szCs w:val="22"/>
          <w:u w:val="single"/>
        </w:rPr>
      </w:pPr>
    </w:p>
    <w:p w:rsidR="006224C2" w:rsidRPr="00295E71" w14:paraId="0A683F29" w14:textId="77777777">
      <w:pPr>
        <w:keepNext/>
        <w:tabs>
          <w:tab w:val="left" w:pos="567"/>
          <w:tab w:val="left" w:pos="1294"/>
        </w:tabs>
        <w:autoSpaceDE w:val="0"/>
        <w:autoSpaceDN w:val="0"/>
        <w:adjustRightInd w:val="0"/>
        <w:jc w:val="both"/>
        <w:rPr>
          <w:del w:id="11234" w:author="AbbVie14" w:date="2025-05-09T10:35:00Z"/>
          <w:color w:val="000000"/>
          <w:sz w:val="22"/>
          <w:szCs w:val="22"/>
        </w:rPr>
      </w:pPr>
      <w:del w:id="11235" w:author="AbbVie14" w:date="2025-05-09T10:35:00Z">
        <w:r w:rsidRPr="00295E71">
          <w:rPr>
            <w:color w:val="000000"/>
            <w:sz w:val="22"/>
            <w:szCs w:val="22"/>
          </w:rPr>
          <w:delText>La formazione di anticorpi anti-adalimumab è associata all’aumento della clearance ed alla riduzione dell’efficacia di adalimumab. Non esiste una correlazione evidente tra la presenza di anticorpi anti-adalimumab e l’insorgenza di eventi avversi.</w:delText>
        </w:r>
      </w:del>
    </w:p>
    <w:p w:rsidR="006224C2" w:rsidRPr="00295E71" w14:paraId="5C4BC0D7" w14:textId="77777777">
      <w:pPr>
        <w:keepNext/>
        <w:tabs>
          <w:tab w:val="left" w:pos="567"/>
          <w:tab w:val="left" w:pos="1294"/>
        </w:tabs>
        <w:autoSpaceDE w:val="0"/>
        <w:autoSpaceDN w:val="0"/>
        <w:adjustRightInd w:val="0"/>
        <w:jc w:val="both"/>
        <w:rPr>
          <w:del w:id="11236" w:author="AbbVie14" w:date="2025-05-09T10:35:00Z"/>
          <w:color w:val="000000"/>
          <w:sz w:val="22"/>
          <w:szCs w:val="22"/>
          <w:u w:val="single"/>
        </w:rPr>
      </w:pPr>
    </w:p>
    <w:p w:rsidR="006224C2" w:rsidRPr="00295E71" w14:paraId="6131D3BE" w14:textId="77777777">
      <w:pPr>
        <w:tabs>
          <w:tab w:val="left" w:pos="567"/>
          <w:tab w:val="left" w:pos="1294"/>
        </w:tabs>
        <w:autoSpaceDE w:val="0"/>
        <w:autoSpaceDN w:val="0"/>
        <w:adjustRightInd w:val="0"/>
        <w:jc w:val="both"/>
        <w:rPr>
          <w:del w:id="11237" w:author="AbbVie14" w:date="2025-05-09T10:35:00Z"/>
          <w:color w:val="000000"/>
          <w:sz w:val="22"/>
          <w:szCs w:val="22"/>
        </w:rPr>
      </w:pPr>
      <w:del w:id="11238" w:author="AbbVie14" w:date="2025-05-09T10:35:00Z">
        <w:r w:rsidRPr="00295E71">
          <w:rPr>
            <w:color w:val="000000"/>
            <w:sz w:val="22"/>
            <w:szCs w:val="22"/>
          </w:rPr>
          <w:delText xml:space="preserve">I pazienti degli studi </w:delText>
        </w:r>
      </w:del>
      <w:del w:id="11239" w:author="AbbVie14" w:date="2025-05-09T10:35:00Z">
        <w:r w:rsidRPr="00295E71" w:rsidR="000455A9">
          <w:rPr>
            <w:color w:val="000000"/>
            <w:sz w:val="22"/>
            <w:szCs w:val="22"/>
          </w:rPr>
          <w:delText xml:space="preserve">I, II e III </w:delText>
        </w:r>
      </w:del>
      <w:del w:id="11240" w:author="AbbVie14" w:date="2025-05-09T10:35:00Z">
        <w:r w:rsidRPr="00295E71">
          <w:rPr>
            <w:color w:val="000000"/>
            <w:sz w:val="22"/>
            <w:szCs w:val="22"/>
          </w:rPr>
          <w:delText xml:space="preserve">sull’artrite reumatoide sono stati esaminati a vari intervalli di tempo per valutare gli anticorpi anti-adalimumab durante il periodo da 6 a 12 mesi. Negli studi clinici </w:delText>
        </w:r>
      </w:del>
      <w:del w:id="11241" w:author="AbbVie14" w:date="2025-05-09T10:35:00Z">
        <w:r w:rsidRPr="00020442" w:rsidR="0085279B">
          <w:rPr>
            <w:color w:val="000000"/>
            <w:sz w:val="22"/>
            <w:szCs w:val="22"/>
          </w:rPr>
          <w:delText>registrativi</w:delText>
        </w:r>
      </w:del>
      <w:del w:id="11242" w:author="AbbVie14" w:date="2025-05-09T10:35:00Z">
        <w:r w:rsidRPr="00295E71">
          <w:rPr>
            <w:color w:val="000000"/>
            <w:sz w:val="22"/>
            <w:szCs w:val="22"/>
          </w:rPr>
          <w:delText>, gli anticorpi anti-adalimumab sono stati riscontrati nel 5,5%</w:delText>
        </w:r>
      </w:del>
      <w:del w:id="11243" w:author="AbbVie14" w:date="2025-05-09T10:35:00Z">
        <w:r w:rsidRPr="00295E71" w:rsidR="007F1EB6">
          <w:rPr>
            <w:color w:val="000000"/>
            <w:sz w:val="22"/>
            <w:szCs w:val="22"/>
          </w:rPr>
          <w:delText xml:space="preserve"> </w:delText>
        </w:r>
      </w:del>
      <w:del w:id="11244" w:author="AbbVie14" w:date="2025-05-09T10:35:00Z">
        <w:r w:rsidRPr="00295E71">
          <w:rPr>
            <w:color w:val="000000"/>
            <w:sz w:val="22"/>
            <w:szCs w:val="22"/>
          </w:rPr>
          <w:delText>(58/1053)</w:delText>
        </w:r>
      </w:del>
      <w:del w:id="11245" w:author="AbbVie14" w:date="2025-05-09T10:35:00Z">
        <w:r w:rsidR="0085279B">
          <w:rPr>
            <w:color w:val="000000"/>
            <w:sz w:val="22"/>
            <w:szCs w:val="22"/>
          </w:rPr>
          <w:delText xml:space="preserve"> </w:delText>
        </w:r>
      </w:del>
      <w:del w:id="11246" w:author="AbbVie14" w:date="2025-05-09T10:35:00Z">
        <w:r w:rsidRPr="00295E71">
          <w:rPr>
            <w:color w:val="000000"/>
            <w:sz w:val="22"/>
            <w:szCs w:val="22"/>
          </w:rPr>
          <w:delText>dei pazienti trattati con adalimumab, rispetto allo 0,5%</w:delText>
        </w:r>
      </w:del>
      <w:del w:id="11247" w:author="AbbVie14" w:date="2025-05-09T10:35:00Z">
        <w:r w:rsidRPr="00295E71" w:rsidR="007F1EB6">
          <w:rPr>
            <w:color w:val="000000"/>
            <w:sz w:val="22"/>
            <w:szCs w:val="22"/>
          </w:rPr>
          <w:delText xml:space="preserve"> </w:delText>
        </w:r>
      </w:del>
      <w:del w:id="11248" w:author="AbbVie14" w:date="2025-05-09T10:35:00Z">
        <w:r w:rsidRPr="00295E71">
          <w:rPr>
            <w:color w:val="000000"/>
            <w:sz w:val="22"/>
            <w:szCs w:val="22"/>
          </w:rPr>
          <w:delText>(2/370)</w:delText>
        </w:r>
      </w:del>
      <w:del w:id="11249" w:author="AbbVie14" w:date="2025-05-09T10:35:00Z">
        <w:r w:rsidRPr="00295E71" w:rsidR="00540717">
          <w:rPr>
            <w:color w:val="000000"/>
            <w:sz w:val="22"/>
            <w:szCs w:val="22"/>
          </w:rPr>
          <w:delText xml:space="preserve"> </w:delText>
        </w:r>
      </w:del>
      <w:del w:id="11250" w:author="AbbVie14" w:date="2025-05-09T10:35:00Z">
        <w:r w:rsidRPr="00295E71">
          <w:rPr>
            <w:color w:val="000000"/>
            <w:sz w:val="22"/>
            <w:szCs w:val="22"/>
          </w:rPr>
          <w:delText>dei pazienti trattati con placebo. Nei pazienti a cui non è stato somministrato contemporaneamente il metotressato, l’incidenza è stata del 12,4%, rispetto allo 0,6% quando adalimumab è stato usato in combinazione con metotressato.</w:delText>
        </w:r>
      </w:del>
    </w:p>
    <w:p w:rsidR="006224C2" w:rsidRPr="00295E71" w14:paraId="4F94FF7B" w14:textId="77777777">
      <w:pPr>
        <w:tabs>
          <w:tab w:val="left" w:pos="567"/>
          <w:tab w:val="left" w:pos="1294"/>
        </w:tabs>
        <w:autoSpaceDE w:val="0"/>
        <w:autoSpaceDN w:val="0"/>
        <w:adjustRightInd w:val="0"/>
        <w:jc w:val="both"/>
        <w:rPr>
          <w:del w:id="11251" w:author="AbbVie14" w:date="2025-05-09T10:35:00Z"/>
          <w:color w:val="000000"/>
          <w:sz w:val="22"/>
          <w:szCs w:val="22"/>
        </w:rPr>
      </w:pPr>
    </w:p>
    <w:p w:rsidR="006224C2" w:rsidRPr="00295E71" w14:paraId="2219FB42" w14:textId="77777777">
      <w:pPr>
        <w:tabs>
          <w:tab w:val="left" w:pos="567"/>
          <w:tab w:val="left" w:pos="1294"/>
        </w:tabs>
        <w:autoSpaceDE w:val="0"/>
        <w:autoSpaceDN w:val="0"/>
        <w:adjustRightInd w:val="0"/>
        <w:jc w:val="both"/>
        <w:rPr>
          <w:del w:id="11252" w:author="AbbVie14" w:date="2025-05-09T10:35:00Z"/>
          <w:color w:val="000000"/>
          <w:sz w:val="22"/>
          <w:szCs w:val="22"/>
        </w:rPr>
      </w:pPr>
      <w:del w:id="11253" w:author="AbbVie14" w:date="2025-05-09T10:35:00Z">
        <w:r w:rsidRPr="00295E71">
          <w:rPr>
            <w:color w:val="000000"/>
            <w:sz w:val="22"/>
            <w:szCs w:val="22"/>
          </w:rPr>
          <w:delText>Nei pazienti affetti da artrite idiopatica giovanile poliarticolare</w:delText>
        </w:r>
      </w:del>
      <w:del w:id="11254" w:author="AbbVie14" w:date="2025-05-09T10:35:00Z">
        <w:r w:rsidR="0085279B">
          <w:rPr>
            <w:color w:val="000000"/>
            <w:sz w:val="22"/>
            <w:szCs w:val="22"/>
          </w:rPr>
          <w:delText xml:space="preserve"> </w:delText>
        </w:r>
      </w:del>
      <w:del w:id="11255" w:author="AbbVie14" w:date="2025-05-09T10:35:00Z">
        <w:r w:rsidRPr="00295E71">
          <w:rPr>
            <w:color w:val="000000"/>
            <w:sz w:val="22"/>
            <w:szCs w:val="22"/>
          </w:rPr>
          <w:delText xml:space="preserve">di età compresa tra 4 e 17 anni, sono stati identificati anticorpi anti-adalimumab nel 15,8% dei pazienti (27/171) trattati con adalimumab. Nei pazienti ai quali non è stato somministrato </w:delText>
        </w:r>
      </w:del>
      <w:del w:id="11256" w:author="AbbVie14" w:date="2025-05-09T10:35:00Z">
        <w:r w:rsidRPr="00020442" w:rsidR="0085279B">
          <w:rPr>
            <w:color w:val="000000"/>
            <w:sz w:val="22"/>
            <w:szCs w:val="22"/>
          </w:rPr>
          <w:delText xml:space="preserve">contemporaneamente </w:delText>
        </w:r>
      </w:del>
      <w:del w:id="11257" w:author="AbbVie14" w:date="2025-05-09T10:35:00Z">
        <w:r w:rsidRPr="00295E71">
          <w:rPr>
            <w:color w:val="000000"/>
            <w:sz w:val="22"/>
            <w:szCs w:val="22"/>
          </w:rPr>
          <w:delText>metotressato, l’incidenza è stata pari al 25,6%</w:delText>
        </w:r>
      </w:del>
      <w:del w:id="11258" w:author="AbbVie14" w:date="2025-05-09T10:35:00Z">
        <w:r w:rsidRPr="00295E71" w:rsidR="007F1EB6">
          <w:rPr>
            <w:color w:val="000000"/>
            <w:sz w:val="22"/>
            <w:szCs w:val="22"/>
          </w:rPr>
          <w:delText xml:space="preserve"> </w:delText>
        </w:r>
      </w:del>
      <w:del w:id="11259" w:author="AbbVie14" w:date="2025-05-09T10:35:00Z">
        <w:r w:rsidRPr="00295E71">
          <w:rPr>
            <w:color w:val="000000"/>
            <w:sz w:val="22"/>
            <w:szCs w:val="22"/>
          </w:rPr>
          <w:delText>(22/86)</w:delText>
        </w:r>
      </w:del>
      <w:del w:id="11260" w:author="AbbVie14" w:date="2025-05-09T10:35:00Z">
        <w:r w:rsidRPr="00295E71" w:rsidR="0092443D">
          <w:rPr>
            <w:color w:val="000000"/>
            <w:sz w:val="22"/>
            <w:szCs w:val="22"/>
          </w:rPr>
          <w:delText xml:space="preserve"> </w:delText>
        </w:r>
      </w:del>
      <w:del w:id="11261" w:author="AbbVie14" w:date="2025-05-09T10:35:00Z">
        <w:r w:rsidRPr="00295E71">
          <w:rPr>
            <w:color w:val="000000"/>
            <w:sz w:val="22"/>
            <w:szCs w:val="22"/>
          </w:rPr>
          <w:delText>rispetto al 5,9%</w:delText>
        </w:r>
      </w:del>
      <w:del w:id="11262" w:author="AbbVie14" w:date="2025-05-09T10:35:00Z">
        <w:r w:rsidRPr="00295E71" w:rsidR="0092443D">
          <w:rPr>
            <w:color w:val="000000"/>
            <w:sz w:val="22"/>
            <w:szCs w:val="22"/>
          </w:rPr>
          <w:delText xml:space="preserve"> </w:delText>
        </w:r>
      </w:del>
      <w:del w:id="11263" w:author="AbbVie14" w:date="2025-05-09T10:35:00Z">
        <w:r w:rsidRPr="00295E71">
          <w:rPr>
            <w:color w:val="000000"/>
            <w:sz w:val="22"/>
            <w:szCs w:val="22"/>
          </w:rPr>
          <w:delText xml:space="preserve">(5/85), quando adalimumab è stato utilizzato in associazione al metotressato. </w:delText>
        </w:r>
      </w:del>
      <w:del w:id="11264" w:author="AbbVie14" w:date="2025-05-09T10:35:00Z">
        <w:r w:rsidRPr="00295E71" w:rsidR="0092443D">
          <w:rPr>
            <w:color w:val="000000"/>
            <w:sz w:val="22"/>
            <w:szCs w:val="22"/>
          </w:rPr>
          <w:delText xml:space="preserve">In pazienti con artrite idiopatica giovanile poliarticolare da 2 a &lt; 4 anni di età o con 4 anni </w:delText>
        </w:r>
      </w:del>
      <w:del w:id="11265" w:author="AbbVie14" w:date="2025-05-09T10:35:00Z">
        <w:r w:rsidR="0085279B">
          <w:rPr>
            <w:color w:val="000000"/>
            <w:sz w:val="22"/>
            <w:szCs w:val="22"/>
          </w:rPr>
          <w:delText xml:space="preserve">o più </w:delText>
        </w:r>
      </w:del>
      <w:del w:id="11266" w:author="AbbVie14" w:date="2025-05-09T10:35:00Z">
        <w:r w:rsidRPr="00295E71" w:rsidR="0092443D">
          <w:rPr>
            <w:color w:val="000000"/>
            <w:sz w:val="22"/>
            <w:szCs w:val="22"/>
          </w:rPr>
          <w:delText>di età ed un peso inferiore ai 15 kg, sono stati identificati anticorpi anti-adalimumab nel 7% (1/15) dei pazienti, e l’unico paziente era stato sottoposto alla terapia concomitante con metotressato.</w:delText>
        </w:r>
      </w:del>
    </w:p>
    <w:p w:rsidR="006224C2" w:rsidRPr="00295E71" w14:paraId="59C8EA31" w14:textId="77777777">
      <w:pPr>
        <w:tabs>
          <w:tab w:val="left" w:pos="567"/>
          <w:tab w:val="left" w:pos="1294"/>
        </w:tabs>
        <w:autoSpaceDE w:val="0"/>
        <w:autoSpaceDN w:val="0"/>
        <w:adjustRightInd w:val="0"/>
        <w:jc w:val="both"/>
        <w:rPr>
          <w:del w:id="11267" w:author="AbbVie14" w:date="2025-05-09T10:35:00Z"/>
          <w:color w:val="000000"/>
          <w:sz w:val="22"/>
          <w:szCs w:val="22"/>
        </w:rPr>
      </w:pPr>
    </w:p>
    <w:p w:rsidR="006224C2" w:rsidRPr="00295E71" w14:paraId="0BCD4421" w14:textId="77777777">
      <w:pPr>
        <w:tabs>
          <w:tab w:val="left" w:pos="567"/>
          <w:tab w:val="left" w:pos="1294"/>
        </w:tabs>
        <w:autoSpaceDE w:val="0"/>
        <w:autoSpaceDN w:val="0"/>
        <w:adjustRightInd w:val="0"/>
        <w:jc w:val="both"/>
        <w:rPr>
          <w:del w:id="11268" w:author="AbbVie14" w:date="2025-05-09T10:35:00Z"/>
          <w:color w:val="000000"/>
          <w:sz w:val="22"/>
          <w:szCs w:val="22"/>
        </w:rPr>
      </w:pPr>
      <w:del w:id="11269" w:author="AbbVie14" w:date="2025-05-09T10:35:00Z">
        <w:r w:rsidRPr="00295E71">
          <w:rPr>
            <w:color w:val="000000"/>
            <w:sz w:val="22"/>
            <w:szCs w:val="22"/>
          </w:rPr>
          <w:delText>Nei pazienti con artrite associata ad entesite, sono stati identificati anticorpi anti-adalimumab nel 10</w:delText>
        </w:r>
      </w:del>
      <w:del w:id="11270" w:author="AbbVie14" w:date="2025-05-09T10:35:00Z">
        <w:r w:rsidR="0085279B">
          <w:rPr>
            <w:color w:val="000000"/>
            <w:sz w:val="22"/>
            <w:szCs w:val="22"/>
          </w:rPr>
          <w:delText>,</w:delText>
        </w:r>
      </w:del>
      <w:del w:id="11271" w:author="AbbVie14" w:date="2025-05-09T10:35:00Z">
        <w:r w:rsidRPr="00295E71">
          <w:rPr>
            <w:color w:val="000000"/>
            <w:sz w:val="22"/>
            <w:szCs w:val="22"/>
          </w:rPr>
          <w:delText>9% (5/46) dei pazienti trattati con adalimumab. Nei pazienti ai quali non è stato somministrato metotressato in concomitanza, l’incidenza è stata del 13</w:delText>
        </w:r>
      </w:del>
      <w:del w:id="11272" w:author="AbbVie14" w:date="2025-05-09T10:35:00Z">
        <w:r w:rsidR="0085279B">
          <w:rPr>
            <w:color w:val="000000"/>
            <w:sz w:val="22"/>
            <w:szCs w:val="22"/>
          </w:rPr>
          <w:delText>,</w:delText>
        </w:r>
      </w:del>
      <w:del w:id="11273" w:author="AbbVie14" w:date="2025-05-09T10:35:00Z">
        <w:r w:rsidRPr="00295E71">
          <w:rPr>
            <w:color w:val="000000"/>
            <w:sz w:val="22"/>
            <w:szCs w:val="22"/>
          </w:rPr>
          <w:delText>6% (3/22), rispetto all’8</w:delText>
        </w:r>
      </w:del>
      <w:del w:id="11274" w:author="AbbVie14" w:date="2025-05-09T10:35:00Z">
        <w:r w:rsidR="0085279B">
          <w:rPr>
            <w:color w:val="000000"/>
            <w:sz w:val="22"/>
            <w:szCs w:val="22"/>
          </w:rPr>
          <w:delText>,</w:delText>
        </w:r>
      </w:del>
      <w:del w:id="11275" w:author="AbbVie14" w:date="2025-05-09T10:35:00Z">
        <w:r w:rsidRPr="00295E71">
          <w:rPr>
            <w:color w:val="000000"/>
            <w:sz w:val="22"/>
            <w:szCs w:val="22"/>
          </w:rPr>
          <w:delText xml:space="preserve">3% (2/24) quando adalimumab è stato utilizzato in combinazione con metotressato. </w:delText>
        </w:r>
      </w:del>
    </w:p>
    <w:p w:rsidR="006224C2" w:rsidRPr="00295E71" w14:paraId="5CBB4FCC" w14:textId="77777777">
      <w:pPr>
        <w:tabs>
          <w:tab w:val="left" w:pos="567"/>
          <w:tab w:val="left" w:pos="1294"/>
        </w:tabs>
        <w:autoSpaceDE w:val="0"/>
        <w:autoSpaceDN w:val="0"/>
        <w:adjustRightInd w:val="0"/>
        <w:jc w:val="both"/>
        <w:rPr>
          <w:del w:id="11276" w:author="AbbVie14" w:date="2025-05-09T10:35:00Z"/>
          <w:color w:val="000000"/>
          <w:sz w:val="22"/>
          <w:szCs w:val="22"/>
        </w:rPr>
      </w:pPr>
    </w:p>
    <w:p w:rsidR="006224C2" w:rsidRPr="00295E71" w14:paraId="18F12C97" w14:textId="77777777">
      <w:pPr>
        <w:tabs>
          <w:tab w:val="left" w:pos="567"/>
          <w:tab w:val="left" w:pos="1294"/>
        </w:tabs>
        <w:autoSpaceDE w:val="0"/>
        <w:autoSpaceDN w:val="0"/>
        <w:adjustRightInd w:val="0"/>
        <w:jc w:val="both"/>
        <w:rPr>
          <w:del w:id="11277" w:author="AbbVie14" w:date="2025-05-09T10:35:00Z"/>
          <w:color w:val="000000"/>
          <w:sz w:val="22"/>
          <w:szCs w:val="22"/>
        </w:rPr>
      </w:pPr>
      <w:del w:id="11278" w:author="AbbVie14" w:date="2025-05-09T10:35:00Z">
        <w:r w:rsidRPr="00295E71">
          <w:rPr>
            <w:color w:val="000000"/>
            <w:sz w:val="22"/>
            <w:szCs w:val="22"/>
          </w:rPr>
          <w:delText>Nei pazienti affetti da artrite psoriasica, gli anticorpi anti-adalimumab sono stati identificati in 38/376 soggetti (10%) trattati con adalimumab. Nei pazienti non sottoposti a terapia concomitante con metotressato, l’incidenza è risultata pari al 13,5% (24/178 soggetti) rispetto al 7% (14 su 198 soggetti) quando adalimumab è stato utilizzato in associazione al metotressato.</w:delText>
        </w:r>
      </w:del>
    </w:p>
    <w:p w:rsidR="006224C2" w:rsidRPr="00295E71" w14:paraId="77484A69" w14:textId="77777777">
      <w:pPr>
        <w:tabs>
          <w:tab w:val="left" w:pos="567"/>
          <w:tab w:val="left" w:pos="1294"/>
        </w:tabs>
        <w:autoSpaceDE w:val="0"/>
        <w:autoSpaceDN w:val="0"/>
        <w:adjustRightInd w:val="0"/>
        <w:jc w:val="both"/>
        <w:rPr>
          <w:del w:id="11279" w:author="AbbVie14" w:date="2025-05-09T10:35:00Z"/>
          <w:color w:val="000000"/>
          <w:sz w:val="22"/>
          <w:szCs w:val="22"/>
        </w:rPr>
      </w:pPr>
    </w:p>
    <w:p w:rsidR="006224C2" w:rsidRPr="00295E71" w14:paraId="2B5B88C5" w14:textId="77777777">
      <w:pPr>
        <w:tabs>
          <w:tab w:val="left" w:pos="567"/>
          <w:tab w:val="left" w:pos="1294"/>
        </w:tabs>
        <w:autoSpaceDE w:val="0"/>
        <w:autoSpaceDN w:val="0"/>
        <w:adjustRightInd w:val="0"/>
        <w:jc w:val="both"/>
        <w:rPr>
          <w:del w:id="11280" w:author="AbbVie14" w:date="2025-05-09T10:35:00Z"/>
          <w:color w:val="000000"/>
          <w:sz w:val="22"/>
          <w:szCs w:val="22"/>
        </w:rPr>
      </w:pPr>
      <w:del w:id="11281" w:author="AbbVie14" w:date="2025-05-09T10:35:00Z">
        <w:r w:rsidRPr="00295E71">
          <w:rPr>
            <w:color w:val="000000"/>
            <w:sz w:val="22"/>
            <w:szCs w:val="22"/>
          </w:rPr>
          <w:delText>Nei pazienti affetti da spondilite anchilosante, gli anticorpi anti-adalimumab sono stati identificati in 17/204 soggetti (8,3%) trattati con adalimumab. Nei pazienti non sottoposti a terapia concomitante con metotressato, l’incidenza è risultata pari a 16/185 (8,6%) rispetto all’1/19 (5,3%) quando adalimumab è stato utilizzato in associazione al metotressato.</w:delText>
        </w:r>
      </w:del>
    </w:p>
    <w:p w:rsidR="006224C2" w:rsidRPr="00295E71" w14:paraId="719AB352" w14:textId="77777777">
      <w:pPr>
        <w:tabs>
          <w:tab w:val="left" w:pos="567"/>
          <w:tab w:val="left" w:pos="1294"/>
        </w:tabs>
        <w:autoSpaceDE w:val="0"/>
        <w:autoSpaceDN w:val="0"/>
        <w:adjustRightInd w:val="0"/>
        <w:jc w:val="both"/>
        <w:rPr>
          <w:del w:id="11282" w:author="AbbVie14" w:date="2025-05-09T10:35:00Z"/>
          <w:color w:val="000000"/>
          <w:sz w:val="22"/>
          <w:szCs w:val="22"/>
        </w:rPr>
      </w:pPr>
    </w:p>
    <w:p w:rsidR="00BF0B06" w:rsidRPr="00295E71" w14:paraId="56DE551D" w14:textId="77777777">
      <w:pPr>
        <w:tabs>
          <w:tab w:val="left" w:pos="567"/>
          <w:tab w:val="left" w:pos="1294"/>
        </w:tabs>
        <w:autoSpaceDE w:val="0"/>
        <w:autoSpaceDN w:val="0"/>
        <w:adjustRightInd w:val="0"/>
        <w:jc w:val="both"/>
        <w:rPr>
          <w:del w:id="11283" w:author="AbbVie14" w:date="2025-05-09T10:35:00Z"/>
          <w:color w:val="000000"/>
          <w:sz w:val="22"/>
          <w:szCs w:val="22"/>
        </w:rPr>
      </w:pPr>
      <w:del w:id="11284" w:author="AbbVie14" w:date="2025-05-09T10:35:00Z">
        <w:r w:rsidRPr="00295E71">
          <w:rPr>
            <w:color w:val="000000"/>
            <w:sz w:val="22"/>
            <w:szCs w:val="22"/>
          </w:rPr>
          <w:delText>Nei pazienti con spondiloartrite assiale non radiografica sono stati riscontrati anticorpi anti-adalimumab in 8/152 soggetti (5,3%) trattati in modo continuo con adalimumab.</w:delText>
        </w:r>
      </w:del>
    </w:p>
    <w:p w:rsidR="00BF0B06" w:rsidRPr="00295E71" w14:paraId="2A740AFC" w14:textId="77777777">
      <w:pPr>
        <w:tabs>
          <w:tab w:val="left" w:pos="567"/>
          <w:tab w:val="left" w:pos="1294"/>
        </w:tabs>
        <w:autoSpaceDE w:val="0"/>
        <w:autoSpaceDN w:val="0"/>
        <w:adjustRightInd w:val="0"/>
        <w:jc w:val="both"/>
        <w:rPr>
          <w:del w:id="11285" w:author="AbbVie14" w:date="2025-05-09T10:35:00Z"/>
          <w:color w:val="000000"/>
          <w:sz w:val="22"/>
          <w:szCs w:val="22"/>
        </w:rPr>
      </w:pPr>
    </w:p>
    <w:p w:rsidR="006224C2" w:rsidRPr="00295E71" w14:paraId="40D62A08" w14:textId="77777777">
      <w:pPr>
        <w:tabs>
          <w:tab w:val="left" w:pos="567"/>
          <w:tab w:val="left" w:pos="1294"/>
        </w:tabs>
        <w:autoSpaceDE w:val="0"/>
        <w:autoSpaceDN w:val="0"/>
        <w:adjustRightInd w:val="0"/>
        <w:jc w:val="both"/>
        <w:rPr>
          <w:del w:id="11286" w:author="AbbVie14" w:date="2025-05-09T10:35:00Z"/>
          <w:color w:val="000000"/>
          <w:sz w:val="22"/>
          <w:szCs w:val="22"/>
        </w:rPr>
      </w:pPr>
      <w:del w:id="11287" w:author="AbbVie14" w:date="2025-05-09T10:35:00Z">
        <w:r w:rsidRPr="00295E71">
          <w:rPr>
            <w:color w:val="000000"/>
            <w:sz w:val="22"/>
            <w:szCs w:val="22"/>
          </w:rPr>
          <w:delText xml:space="preserve">Nei pazienti con malattia di Crohn, anticorpi anti-adalimumab sono stati identificati in 7/269 soggetti (2,6%) e in 19/487 soggetti </w:delText>
        </w:r>
      </w:del>
      <w:del w:id="11288" w:author="AbbVie14" w:date="2025-05-09T10:35:00Z">
        <w:r w:rsidRPr="00295E71" w:rsidR="00DA1392">
          <w:rPr>
            <w:color w:val="000000"/>
            <w:sz w:val="22"/>
            <w:szCs w:val="22"/>
          </w:rPr>
          <w:delText xml:space="preserve">(3,9%) </w:delText>
        </w:r>
      </w:del>
      <w:del w:id="11289" w:author="AbbVie14" w:date="2025-05-09T10:35:00Z">
        <w:r w:rsidRPr="00295E71">
          <w:rPr>
            <w:color w:val="000000"/>
            <w:sz w:val="22"/>
            <w:szCs w:val="22"/>
          </w:rPr>
          <w:delText>in pazienti affetti da colite ulcerosa.</w:delText>
        </w:r>
      </w:del>
    </w:p>
    <w:p w:rsidR="006224C2" w:rsidRPr="00295E71" w14:paraId="73174F7E" w14:textId="77777777">
      <w:pPr>
        <w:tabs>
          <w:tab w:val="left" w:pos="567"/>
          <w:tab w:val="left" w:pos="1294"/>
        </w:tabs>
        <w:autoSpaceDE w:val="0"/>
        <w:autoSpaceDN w:val="0"/>
        <w:adjustRightInd w:val="0"/>
        <w:jc w:val="both"/>
        <w:rPr>
          <w:del w:id="11290" w:author="AbbVie14" w:date="2025-05-09T10:35:00Z"/>
          <w:color w:val="000000"/>
          <w:sz w:val="22"/>
          <w:szCs w:val="22"/>
        </w:rPr>
      </w:pPr>
    </w:p>
    <w:p w:rsidR="006224C2" w:rsidRPr="00295E71" w14:paraId="605185C3" w14:textId="77777777">
      <w:pPr>
        <w:tabs>
          <w:tab w:val="left" w:pos="567"/>
          <w:tab w:val="left" w:pos="1294"/>
        </w:tabs>
        <w:autoSpaceDE w:val="0"/>
        <w:autoSpaceDN w:val="0"/>
        <w:adjustRightInd w:val="0"/>
        <w:jc w:val="both"/>
        <w:rPr>
          <w:del w:id="11291" w:author="AbbVie14" w:date="2025-05-09T10:35:00Z"/>
          <w:color w:val="000000"/>
          <w:sz w:val="22"/>
          <w:szCs w:val="22"/>
        </w:rPr>
      </w:pPr>
      <w:del w:id="11292" w:author="AbbVie14" w:date="2025-05-09T10:35:00Z">
        <w:r w:rsidRPr="00295E71">
          <w:rPr>
            <w:color w:val="000000"/>
            <w:sz w:val="22"/>
            <w:szCs w:val="22"/>
          </w:rPr>
          <w:delText>Nei pazienti adulti affetti da psoriasi, sono stati identificati anticorpi anti-adalimumab in 77/920 (8,4%) soggetti trattati con adalimuma</w:delText>
        </w:r>
      </w:del>
      <w:del w:id="11293" w:author="AbbVie14" w:date="2025-05-09T10:35:00Z">
        <w:r w:rsidR="0085279B">
          <w:rPr>
            <w:color w:val="000000"/>
            <w:sz w:val="22"/>
            <w:szCs w:val="22"/>
          </w:rPr>
          <w:delText>b</w:delText>
        </w:r>
      </w:del>
      <w:del w:id="11294" w:author="AbbVie14" w:date="2025-05-09T10:35:00Z">
        <w:r w:rsidRPr="00295E71">
          <w:rPr>
            <w:color w:val="000000"/>
            <w:sz w:val="22"/>
            <w:szCs w:val="22"/>
          </w:rPr>
          <w:delText xml:space="preserve"> in monoterapia.</w:delText>
        </w:r>
      </w:del>
    </w:p>
    <w:p w:rsidR="006224C2" w:rsidRPr="00295E71" w14:paraId="328586BF" w14:textId="77777777">
      <w:pPr>
        <w:tabs>
          <w:tab w:val="left" w:pos="567"/>
          <w:tab w:val="left" w:pos="1294"/>
        </w:tabs>
        <w:autoSpaceDE w:val="0"/>
        <w:autoSpaceDN w:val="0"/>
        <w:adjustRightInd w:val="0"/>
        <w:jc w:val="both"/>
        <w:rPr>
          <w:del w:id="11295" w:author="AbbVie14" w:date="2025-05-09T10:35:00Z"/>
          <w:color w:val="000000"/>
          <w:sz w:val="22"/>
          <w:szCs w:val="22"/>
        </w:rPr>
      </w:pPr>
    </w:p>
    <w:p w:rsidR="006224C2" w:rsidRPr="00295E71" w14:paraId="478F1F5C" w14:textId="77777777">
      <w:pPr>
        <w:rPr>
          <w:del w:id="11296" w:author="AbbVie14" w:date="2025-05-09T10:35:00Z"/>
          <w:color w:val="000000"/>
          <w:sz w:val="22"/>
          <w:szCs w:val="22"/>
        </w:rPr>
      </w:pPr>
      <w:del w:id="11297" w:author="AbbVie14" w:date="2025-05-09T10:35:00Z">
        <w:r w:rsidRPr="00295E71">
          <w:rPr>
            <w:color w:val="000000"/>
            <w:sz w:val="22"/>
            <w:szCs w:val="22"/>
          </w:rPr>
          <w:delText>In pazienti adulti affetti da psoriasi a placche trattati a lungo termine in monoterapia con adalimumab che hanno partecipato ad uno studio di sospensione e di ri-trattamento, la percentuale di positività per anticorpi anti</w:delText>
        </w:r>
      </w:del>
      <w:del w:id="11298" w:author="AbbVie14" w:date="2025-05-09T10:35:00Z">
        <w:r w:rsidR="00304A8D">
          <w:rPr>
            <w:color w:val="000000"/>
            <w:sz w:val="22"/>
            <w:szCs w:val="22"/>
          </w:rPr>
          <w:delText>-</w:delText>
        </w:r>
      </w:del>
      <w:del w:id="11299" w:author="AbbVie14" w:date="2025-05-09T10:35:00Z">
        <w:r w:rsidRPr="00295E71">
          <w:rPr>
            <w:color w:val="000000"/>
            <w:sz w:val="22"/>
            <w:szCs w:val="22"/>
          </w:rPr>
          <w:delText xml:space="preserve">adalimumab dopo la ripresa del trattamento (11 casi su 482 soggetti, 2,3%) si è mostrata simile a quella osservata prima della sospensione del farmaco (11 casi su 590 soggetti, 1,9%).  </w:delText>
        </w:r>
      </w:del>
    </w:p>
    <w:p w:rsidR="006224C2" w:rsidRPr="00295E71" w14:paraId="58B2DB52" w14:textId="77777777">
      <w:pPr>
        <w:tabs>
          <w:tab w:val="left" w:pos="567"/>
          <w:tab w:val="left" w:pos="1294"/>
        </w:tabs>
        <w:autoSpaceDE w:val="0"/>
        <w:autoSpaceDN w:val="0"/>
        <w:adjustRightInd w:val="0"/>
        <w:jc w:val="both"/>
        <w:rPr>
          <w:del w:id="11300" w:author="AbbVie14" w:date="2025-05-09T10:35:00Z"/>
          <w:color w:val="000000"/>
          <w:sz w:val="22"/>
          <w:szCs w:val="22"/>
        </w:rPr>
      </w:pPr>
    </w:p>
    <w:p w:rsidR="006224C2" w:rsidRPr="00295E71" w14:paraId="6094BCE4" w14:textId="77777777">
      <w:pPr>
        <w:tabs>
          <w:tab w:val="left" w:pos="567"/>
          <w:tab w:val="left" w:pos="1294"/>
        </w:tabs>
        <w:autoSpaceDE w:val="0"/>
        <w:autoSpaceDN w:val="0"/>
        <w:adjustRightInd w:val="0"/>
        <w:jc w:val="both"/>
        <w:rPr>
          <w:del w:id="11301" w:author="AbbVie14" w:date="2025-05-09T10:35:00Z"/>
          <w:color w:val="000000"/>
          <w:sz w:val="22"/>
          <w:szCs w:val="22"/>
        </w:rPr>
      </w:pPr>
      <w:del w:id="11302" w:author="AbbVie14" w:date="2025-05-09T10:35:00Z">
        <w:r w:rsidRPr="00295E71">
          <w:rPr>
            <w:color w:val="000000"/>
            <w:sz w:val="22"/>
            <w:szCs w:val="22"/>
          </w:rPr>
          <w:delText>Nei pazienti con psoriasi pediatrica sono stati identificati anticorpi anti-adalimumab in 5/38 soggetti (13%) trattati con 0,8</w:delText>
        </w:r>
      </w:del>
      <w:del w:id="11303" w:author="AbbVie14" w:date="2025-05-09T10:35:00Z">
        <w:r w:rsidR="00304A8D">
          <w:rPr>
            <w:color w:val="000000"/>
            <w:sz w:val="22"/>
            <w:szCs w:val="22"/>
          </w:rPr>
          <w:delText xml:space="preserve"> </w:delText>
        </w:r>
      </w:del>
      <w:del w:id="11304" w:author="AbbVie14" w:date="2025-05-09T10:35:00Z">
        <w:r w:rsidRPr="00295E71">
          <w:rPr>
            <w:color w:val="000000"/>
            <w:sz w:val="22"/>
            <w:szCs w:val="22"/>
          </w:rPr>
          <w:delText>mg/kg di adalimumab in monoterapia.</w:delText>
        </w:r>
      </w:del>
    </w:p>
    <w:p w:rsidR="006224C2" w:rsidRPr="00295E71" w14:paraId="451F6A71" w14:textId="77777777">
      <w:pPr>
        <w:tabs>
          <w:tab w:val="left" w:pos="567"/>
          <w:tab w:val="left" w:pos="1294"/>
        </w:tabs>
        <w:autoSpaceDE w:val="0"/>
        <w:autoSpaceDN w:val="0"/>
        <w:adjustRightInd w:val="0"/>
        <w:jc w:val="both"/>
        <w:rPr>
          <w:del w:id="11305" w:author="AbbVie14" w:date="2025-05-09T10:35:00Z"/>
          <w:color w:val="000000"/>
          <w:sz w:val="22"/>
          <w:szCs w:val="22"/>
        </w:rPr>
      </w:pPr>
    </w:p>
    <w:p w:rsidR="006224C2" w:rsidRPr="00295E71" w14:paraId="6143554E" w14:textId="77777777">
      <w:pPr>
        <w:tabs>
          <w:tab w:val="left" w:pos="567"/>
          <w:tab w:val="left" w:pos="1294"/>
        </w:tabs>
        <w:autoSpaceDE w:val="0"/>
        <w:autoSpaceDN w:val="0"/>
        <w:adjustRightInd w:val="0"/>
        <w:jc w:val="both"/>
        <w:rPr>
          <w:del w:id="11306" w:author="AbbVie14" w:date="2025-05-09T10:35:00Z"/>
          <w:color w:val="000000"/>
          <w:sz w:val="22"/>
          <w:szCs w:val="22"/>
        </w:rPr>
      </w:pPr>
      <w:del w:id="11307" w:author="AbbVie14" w:date="2025-05-09T10:35:00Z">
        <w:r w:rsidRPr="00295E71">
          <w:rPr>
            <w:color w:val="000000"/>
            <w:sz w:val="22"/>
            <w:szCs w:val="22"/>
          </w:rPr>
          <w:delText>In pazienti con idrosadenite suppurativa di grado da moderato a severo, sono stati identificati anticorpi anti-adalimumab in 10/99 soggetti (10,1%) trattati con adalimumab.</w:delText>
        </w:r>
      </w:del>
    </w:p>
    <w:p w:rsidR="006224C2" w:rsidRPr="00295E71" w14:paraId="6F2C6C85" w14:textId="77777777">
      <w:pPr>
        <w:tabs>
          <w:tab w:val="left" w:pos="567"/>
          <w:tab w:val="left" w:pos="1294"/>
        </w:tabs>
        <w:autoSpaceDE w:val="0"/>
        <w:autoSpaceDN w:val="0"/>
        <w:adjustRightInd w:val="0"/>
        <w:jc w:val="both"/>
        <w:rPr>
          <w:del w:id="11308" w:author="AbbVie14" w:date="2025-05-09T10:35:00Z"/>
          <w:color w:val="000000"/>
          <w:sz w:val="22"/>
          <w:szCs w:val="22"/>
        </w:rPr>
      </w:pPr>
    </w:p>
    <w:p w:rsidR="006224C2" w:rsidRPr="00295E71" w14:paraId="164C2CB2" w14:textId="77777777">
      <w:pPr>
        <w:tabs>
          <w:tab w:val="left" w:pos="567"/>
          <w:tab w:val="left" w:pos="1294"/>
        </w:tabs>
        <w:autoSpaceDE w:val="0"/>
        <w:autoSpaceDN w:val="0"/>
        <w:adjustRightInd w:val="0"/>
        <w:jc w:val="both"/>
        <w:rPr>
          <w:del w:id="11309" w:author="AbbVie14" w:date="2025-05-09T10:35:00Z"/>
          <w:color w:val="000000"/>
          <w:sz w:val="22"/>
          <w:szCs w:val="22"/>
        </w:rPr>
      </w:pPr>
      <w:del w:id="11310" w:author="AbbVie14" w:date="2025-05-09T10:35:00Z">
        <w:r w:rsidRPr="00295E71">
          <w:rPr>
            <w:color w:val="000000"/>
            <w:sz w:val="22"/>
            <w:szCs w:val="22"/>
          </w:rPr>
          <w:delText>Nei pazienti in età pediatrica con malattia di Crohn attiva di grado da moderato a severo, il tasso di sviluppo di anticorpi anti-adalimumab è stato del 3,3% nei pazienti in trattamento con adalimumab.</w:delText>
        </w:r>
      </w:del>
    </w:p>
    <w:p w:rsidR="006224C2" w:rsidRPr="00295E71" w14:paraId="035B5E3E" w14:textId="77777777">
      <w:pPr>
        <w:tabs>
          <w:tab w:val="left" w:pos="567"/>
          <w:tab w:val="left" w:pos="1294"/>
        </w:tabs>
        <w:autoSpaceDE w:val="0"/>
        <w:autoSpaceDN w:val="0"/>
        <w:adjustRightInd w:val="0"/>
        <w:jc w:val="both"/>
        <w:rPr>
          <w:del w:id="11311" w:author="AbbVie14" w:date="2025-05-09T10:35:00Z"/>
          <w:color w:val="000000"/>
          <w:sz w:val="22"/>
          <w:szCs w:val="22"/>
        </w:rPr>
      </w:pPr>
    </w:p>
    <w:p w:rsidR="006224C2" w:rsidRPr="00295E71" w14:paraId="633B1F21" w14:textId="77777777">
      <w:pPr>
        <w:tabs>
          <w:tab w:val="left" w:pos="567"/>
          <w:tab w:val="left" w:pos="1294"/>
        </w:tabs>
        <w:autoSpaceDE w:val="0"/>
        <w:autoSpaceDN w:val="0"/>
        <w:adjustRightInd w:val="0"/>
        <w:jc w:val="both"/>
        <w:rPr>
          <w:del w:id="11312" w:author="AbbVie14" w:date="2025-05-09T10:35:00Z"/>
          <w:color w:val="000000"/>
          <w:sz w:val="22"/>
          <w:szCs w:val="22"/>
        </w:rPr>
      </w:pPr>
      <w:del w:id="11313" w:author="AbbVie14" w:date="2025-05-09T10:35:00Z">
        <w:r w:rsidRPr="00295E71">
          <w:rPr>
            <w:color w:val="000000"/>
            <w:sz w:val="22"/>
            <w:szCs w:val="22"/>
          </w:rPr>
          <w:delText xml:space="preserve">Nei pazienti </w:delText>
        </w:r>
      </w:del>
      <w:del w:id="11314" w:author="AbbVie14" w:date="2025-05-09T10:35:00Z">
        <w:r w:rsidRPr="00295E71" w:rsidR="0092443D">
          <w:rPr>
            <w:color w:val="000000"/>
            <w:sz w:val="22"/>
            <w:szCs w:val="22"/>
          </w:rPr>
          <w:delText xml:space="preserve">adulti </w:delText>
        </w:r>
      </w:del>
      <w:del w:id="11315" w:author="AbbVie14" w:date="2025-05-09T10:35:00Z">
        <w:r w:rsidRPr="00295E71">
          <w:rPr>
            <w:color w:val="000000"/>
            <w:sz w:val="22"/>
            <w:szCs w:val="22"/>
          </w:rPr>
          <w:delText>con uveite non infettiva, sono stati identificati anticorpi anti-adalimumab nel 4,8% (12/249) dei pazienti trattati con adalimumab.</w:delText>
        </w:r>
      </w:del>
    </w:p>
    <w:p w:rsidR="006224C2" w:rsidRPr="00295E71" w14:paraId="6E260E13" w14:textId="77777777">
      <w:pPr>
        <w:tabs>
          <w:tab w:val="left" w:pos="567"/>
          <w:tab w:val="left" w:pos="1294"/>
        </w:tabs>
        <w:autoSpaceDE w:val="0"/>
        <w:autoSpaceDN w:val="0"/>
        <w:adjustRightInd w:val="0"/>
        <w:jc w:val="both"/>
        <w:rPr>
          <w:del w:id="11316" w:author="AbbVie14" w:date="2025-05-09T10:35:00Z"/>
          <w:color w:val="000000"/>
          <w:sz w:val="22"/>
          <w:szCs w:val="22"/>
        </w:rPr>
      </w:pPr>
    </w:p>
    <w:p w:rsidR="005C4AD7" w:rsidRPr="00612824" w:rsidP="005C4AD7" w14:paraId="44F6EDFB" w14:textId="77777777">
      <w:pPr>
        <w:rPr>
          <w:del w:id="11317" w:author="AbbVie14" w:date="2025-05-09T10:35:00Z"/>
          <w:sz w:val="22"/>
          <w:szCs w:val="22"/>
        </w:rPr>
      </w:pPr>
      <w:del w:id="11318" w:author="AbbVie14" w:date="2025-05-09T10:35:00Z">
        <w:r w:rsidRPr="00612824">
          <w:rPr>
            <w:sz w:val="22"/>
            <w:szCs w:val="22"/>
          </w:rPr>
          <w:delText xml:space="preserve">Nei pazienti con colite ulcerosa pediatrica </w:delText>
        </w:r>
      </w:del>
      <w:del w:id="11319" w:author="AbbVie14" w:date="2025-05-09T10:35:00Z">
        <w:r w:rsidR="00335210">
          <w:rPr>
            <w:sz w:val="22"/>
            <w:szCs w:val="22"/>
          </w:rPr>
          <w:delText>attiva di grado da moderato a severo</w:delText>
        </w:r>
      </w:del>
      <w:del w:id="11320" w:author="AbbVie14" w:date="2025-05-09T10:35:00Z">
        <w:r w:rsidRPr="00612824">
          <w:rPr>
            <w:sz w:val="22"/>
            <w:szCs w:val="22"/>
          </w:rPr>
          <w:delText>, il tasso di sviluppo di anticorpi anti-adalimumab nei pazienti trattati con adalimumab è stato del 3%.</w:delText>
        </w:r>
      </w:del>
    </w:p>
    <w:p w:rsidR="005C4AD7" w:rsidRPr="005C4AD7" w14:paraId="5014926B" w14:textId="77777777">
      <w:pPr>
        <w:tabs>
          <w:tab w:val="left" w:pos="567"/>
          <w:tab w:val="left" w:pos="1294"/>
        </w:tabs>
        <w:autoSpaceDE w:val="0"/>
        <w:autoSpaceDN w:val="0"/>
        <w:adjustRightInd w:val="0"/>
        <w:jc w:val="both"/>
        <w:rPr>
          <w:del w:id="11321" w:author="AbbVie14" w:date="2025-05-09T10:35:00Z"/>
          <w:color w:val="000000"/>
          <w:sz w:val="22"/>
          <w:szCs w:val="22"/>
        </w:rPr>
      </w:pPr>
    </w:p>
    <w:p w:rsidR="006224C2" w:rsidRPr="00295E71" w14:paraId="404203B7" w14:textId="77777777">
      <w:pPr>
        <w:tabs>
          <w:tab w:val="left" w:pos="567"/>
          <w:tab w:val="left" w:pos="1294"/>
        </w:tabs>
        <w:autoSpaceDE w:val="0"/>
        <w:autoSpaceDN w:val="0"/>
        <w:adjustRightInd w:val="0"/>
        <w:jc w:val="both"/>
        <w:rPr>
          <w:del w:id="11322" w:author="AbbVie14" w:date="2025-05-09T10:35:00Z"/>
          <w:color w:val="000000"/>
          <w:sz w:val="22"/>
          <w:szCs w:val="22"/>
        </w:rPr>
      </w:pPr>
      <w:del w:id="11323" w:author="AbbVie14" w:date="2025-05-09T10:35:00Z">
        <w:r w:rsidRPr="00295E71">
          <w:rPr>
            <w:color w:val="000000"/>
            <w:sz w:val="22"/>
            <w:szCs w:val="22"/>
          </w:rPr>
          <w:delText xml:space="preserve">Poiché le analisi di immunogenicità sono specifiche del prodotto, il confronto fra le quantità di anticorpi con </w:delText>
        </w:r>
      </w:del>
      <w:del w:id="11324" w:author="AbbVie14" w:date="2025-05-09T10:35:00Z">
        <w:r w:rsidRPr="00020442" w:rsidR="0085279B">
          <w:rPr>
            <w:color w:val="000000"/>
            <w:sz w:val="22"/>
            <w:szCs w:val="22"/>
          </w:rPr>
          <w:delText xml:space="preserve">quelle di </w:delText>
        </w:r>
      </w:del>
      <w:del w:id="11325" w:author="AbbVie14" w:date="2025-05-09T10:35:00Z">
        <w:r w:rsidRPr="00295E71">
          <w:rPr>
            <w:color w:val="000000"/>
            <w:sz w:val="22"/>
            <w:szCs w:val="22"/>
          </w:rPr>
          <w:delText>altri prodotti non è appropriato.</w:delText>
        </w:r>
      </w:del>
    </w:p>
    <w:p w:rsidR="006224C2" w:rsidRPr="00295E71" w14:paraId="3F954C16" w14:textId="77777777">
      <w:pPr>
        <w:rPr>
          <w:del w:id="11326" w:author="AbbVie14" w:date="2025-05-09T10:35:00Z"/>
          <w:color w:val="000000"/>
          <w:sz w:val="22"/>
          <w:szCs w:val="22"/>
          <w:u w:val="single"/>
        </w:rPr>
      </w:pPr>
    </w:p>
    <w:p w:rsidR="006224C2" w:rsidRPr="00295E71" w14:paraId="5D94C234" w14:textId="77777777">
      <w:pPr>
        <w:rPr>
          <w:del w:id="11327" w:author="AbbVie14" w:date="2025-05-09T10:35:00Z"/>
          <w:color w:val="000000"/>
          <w:sz w:val="22"/>
          <w:szCs w:val="22"/>
          <w:u w:val="single"/>
        </w:rPr>
      </w:pPr>
      <w:del w:id="11328" w:author="AbbVie14" w:date="2025-05-09T10:35:00Z">
        <w:r w:rsidRPr="00295E71">
          <w:rPr>
            <w:color w:val="000000"/>
            <w:sz w:val="22"/>
            <w:szCs w:val="22"/>
            <w:u w:val="single"/>
          </w:rPr>
          <w:delText>Popolazione pediatrica</w:delText>
        </w:r>
      </w:del>
    </w:p>
    <w:p w:rsidR="00287663" w:rsidRPr="00612824" w:rsidP="00287663" w14:paraId="2EEB3968" w14:textId="77777777">
      <w:pPr>
        <w:rPr>
          <w:del w:id="11329" w:author="AbbVie14" w:date="2025-05-09T10:35:00Z"/>
          <w:i/>
          <w:color w:val="000000"/>
          <w:sz w:val="22"/>
          <w:szCs w:val="22"/>
        </w:rPr>
      </w:pPr>
    </w:p>
    <w:p w:rsidR="00287663" w:rsidRPr="00612824" w:rsidP="00287663" w14:paraId="11060F92" w14:textId="77777777">
      <w:pPr>
        <w:rPr>
          <w:del w:id="11330" w:author="AbbVie14" w:date="2025-05-09T10:35:00Z"/>
          <w:i/>
          <w:color w:val="000000"/>
          <w:sz w:val="22"/>
          <w:szCs w:val="22"/>
        </w:rPr>
      </w:pPr>
      <w:del w:id="11331" w:author="AbbVie14" w:date="2025-05-09T10:35:00Z">
        <w:r w:rsidRPr="00612824">
          <w:rPr>
            <w:i/>
            <w:color w:val="000000"/>
            <w:sz w:val="22"/>
            <w:szCs w:val="22"/>
          </w:rPr>
          <w:delText>Artrite idiopatica giovanile (JIA)</w:delText>
        </w:r>
      </w:del>
    </w:p>
    <w:p w:rsidR="00287663" w:rsidRPr="00612824" w:rsidP="00287663" w14:paraId="308FFDC7" w14:textId="77777777">
      <w:pPr>
        <w:tabs>
          <w:tab w:val="left" w:pos="567"/>
        </w:tabs>
        <w:jc w:val="both"/>
        <w:rPr>
          <w:del w:id="11332" w:author="AbbVie14" w:date="2025-05-09T10:35:00Z"/>
          <w:color w:val="000000"/>
          <w:sz w:val="22"/>
          <w:szCs w:val="22"/>
          <w:u w:val="single"/>
        </w:rPr>
      </w:pPr>
    </w:p>
    <w:p w:rsidR="00287663" w:rsidRPr="00612824" w:rsidP="00287663" w14:paraId="1F077571" w14:textId="77777777">
      <w:pPr>
        <w:tabs>
          <w:tab w:val="left" w:pos="567"/>
        </w:tabs>
        <w:jc w:val="both"/>
        <w:rPr>
          <w:del w:id="11333" w:author="AbbVie14" w:date="2025-05-09T10:35:00Z"/>
          <w:i/>
          <w:sz w:val="22"/>
          <w:szCs w:val="22"/>
          <w:u w:val="single"/>
        </w:rPr>
      </w:pPr>
      <w:del w:id="11334" w:author="AbbVie14" w:date="2025-05-09T10:35:00Z">
        <w:r w:rsidRPr="00612824">
          <w:rPr>
            <w:i/>
            <w:sz w:val="22"/>
            <w:szCs w:val="22"/>
            <w:u w:val="single"/>
          </w:rPr>
          <w:delText>Artrite idiopatica giovanile poliarticolare (pJIA)</w:delText>
        </w:r>
      </w:del>
    </w:p>
    <w:p w:rsidR="00287663" w:rsidRPr="00612824" w:rsidP="00287663" w14:paraId="7C3121BA" w14:textId="77777777">
      <w:pPr>
        <w:tabs>
          <w:tab w:val="left" w:pos="567"/>
        </w:tabs>
        <w:jc w:val="both"/>
        <w:rPr>
          <w:del w:id="11335" w:author="AbbVie14" w:date="2025-05-09T10:35:00Z"/>
          <w:sz w:val="22"/>
          <w:szCs w:val="22"/>
          <w:u w:val="single"/>
        </w:rPr>
      </w:pPr>
    </w:p>
    <w:p w:rsidR="00287663" w:rsidRPr="00612824" w:rsidP="00287663" w14:paraId="03E7C6D3" w14:textId="77777777">
      <w:pPr>
        <w:tabs>
          <w:tab w:val="left" w:pos="567"/>
        </w:tabs>
        <w:jc w:val="both"/>
        <w:rPr>
          <w:del w:id="11336" w:author="AbbVie14" w:date="2025-05-09T10:35:00Z"/>
          <w:color w:val="000000"/>
          <w:sz w:val="22"/>
          <w:szCs w:val="22"/>
        </w:rPr>
      </w:pPr>
      <w:del w:id="11337" w:author="AbbVie14" w:date="2025-05-09T10:35:00Z">
        <w:r w:rsidRPr="00612824">
          <w:rPr>
            <w:color w:val="000000"/>
            <w:sz w:val="22"/>
            <w:szCs w:val="22"/>
          </w:rPr>
          <w:delText>La sicurezza e l’efficacia di Humira sono state valutate in due studi (pJIA I e II) in bambini con artrite idiopatica giovanile poliarticolare attiva o a decorso poliarticolare, che avevano diversi tipi di insorgenza della JIA (più frequentemente poliartrite negativa o positiva al fattore reumatoide e oligoartrite estesa).</w:delText>
        </w:r>
      </w:del>
    </w:p>
    <w:p w:rsidR="00287663" w:rsidRPr="00612824" w:rsidP="00287663" w14:paraId="6DC32FA4" w14:textId="77777777">
      <w:pPr>
        <w:tabs>
          <w:tab w:val="left" w:pos="567"/>
        </w:tabs>
        <w:jc w:val="both"/>
        <w:rPr>
          <w:del w:id="11338" w:author="AbbVie14" w:date="2025-05-09T10:35:00Z"/>
          <w:color w:val="000000"/>
          <w:sz w:val="22"/>
          <w:szCs w:val="22"/>
          <w:u w:val="single"/>
        </w:rPr>
      </w:pPr>
    </w:p>
    <w:p w:rsidR="00287663" w:rsidRPr="00612824" w:rsidP="00287663" w14:paraId="7407A01C" w14:textId="77777777">
      <w:pPr>
        <w:tabs>
          <w:tab w:val="left" w:pos="567"/>
        </w:tabs>
        <w:jc w:val="both"/>
        <w:rPr>
          <w:del w:id="11339" w:author="AbbVie14" w:date="2025-05-09T10:35:00Z"/>
          <w:sz w:val="22"/>
          <w:szCs w:val="22"/>
        </w:rPr>
      </w:pPr>
      <w:del w:id="11340" w:author="AbbVie14" w:date="2025-05-09T10:35:00Z">
        <w:r w:rsidRPr="00612824">
          <w:rPr>
            <w:color w:val="000000"/>
            <w:sz w:val="22"/>
            <w:szCs w:val="22"/>
          </w:rPr>
          <w:delText>pJIA I</w:delText>
        </w:r>
      </w:del>
    </w:p>
    <w:p w:rsidR="00287663" w:rsidRPr="00612824" w:rsidP="00287663" w14:paraId="639643FC" w14:textId="77777777">
      <w:pPr>
        <w:tabs>
          <w:tab w:val="left" w:pos="567"/>
        </w:tabs>
        <w:jc w:val="both"/>
        <w:rPr>
          <w:del w:id="11341" w:author="AbbVie14" w:date="2025-05-09T10:35:00Z"/>
          <w:sz w:val="22"/>
          <w:szCs w:val="22"/>
        </w:rPr>
      </w:pPr>
    </w:p>
    <w:p w:rsidR="00287663" w:rsidRPr="00612824" w:rsidP="00287663" w14:paraId="16BB1775" w14:textId="77777777">
      <w:pPr>
        <w:tabs>
          <w:tab w:val="left" w:pos="567"/>
          <w:tab w:val="left" w:pos="1294"/>
        </w:tabs>
        <w:autoSpaceDE w:val="0"/>
        <w:autoSpaceDN w:val="0"/>
        <w:adjustRightInd w:val="0"/>
        <w:jc w:val="both"/>
        <w:rPr>
          <w:del w:id="11342" w:author="AbbVie14" w:date="2025-05-09T10:35:00Z"/>
          <w:color w:val="000000"/>
          <w:sz w:val="22"/>
          <w:szCs w:val="22"/>
        </w:rPr>
      </w:pPr>
      <w:del w:id="11343" w:author="AbbVie14" w:date="2025-05-09T10:35:00Z">
        <w:r w:rsidRPr="00612824">
          <w:rPr>
            <w:color w:val="000000"/>
            <w:sz w:val="22"/>
            <w:szCs w:val="22"/>
          </w:rPr>
          <w:delText>La sicurezza e l’efficacia di Humira sono state valutate in uno studio multicentrico, randomizzato, in doppio-cieco, a gruppi paralleli, in 171 bambini (di età compresa tra i 4 ed i 17 anni) affetti da artrite idiopatica giovanile poliarticolare(JIA). Nel corso della fase di ammissione in aperto (open-label lead in phase = OL LI), i pazienti sono stati stratificati in due gruppi, il gruppo trattato con MTX (metotressato) ed il gruppo non trattato con MTX. I pazienti ammessi nel braccio non trattato con MTX non erano stati mai trattati prima con MTX oppure avevano sospeso la sua assunzione almeno due settimane prima della somministrazione del farmaco in studio. Ai pazienti sono state somministrate dosi costanti di farmaci antinfiammatori non steroidei (FANS) e/o di prednisone (≤0,2 mg/kg/die o un massimo di 10 mg/die). Nel corso della fase OL LI, a tutti i pazienti sono stati somministrati 24 mg/m</w:delText>
        </w:r>
      </w:del>
      <w:del w:id="11344" w:author="AbbVie14" w:date="2025-05-09T10:35:00Z">
        <w:r w:rsidRPr="00612824">
          <w:rPr>
            <w:color w:val="000000"/>
            <w:sz w:val="22"/>
            <w:szCs w:val="22"/>
            <w:vertAlign w:val="superscript"/>
          </w:rPr>
          <w:delText>2</w:delText>
        </w:r>
      </w:del>
      <w:del w:id="11345" w:author="AbbVie14" w:date="2025-05-09T10:35:00Z">
        <w:r w:rsidRPr="00612824">
          <w:rPr>
            <w:color w:val="000000"/>
            <w:sz w:val="22"/>
            <w:szCs w:val="22"/>
          </w:rPr>
          <w:delText xml:space="preserve"> di Humira fino ad una dose massima pari a 40 mg, a settimane alterne per 16 settimane. La distribuzione dei pazienti per età e la dose minima, media e massima somministrata nel corso della fase OL LI sono riportate nella Tabella 25.</w:delText>
        </w:r>
      </w:del>
    </w:p>
    <w:p w:rsidR="00287663" w:rsidRPr="00612824" w:rsidP="00287663" w14:paraId="227F8F1D" w14:textId="77777777">
      <w:pPr>
        <w:tabs>
          <w:tab w:val="left" w:pos="567"/>
          <w:tab w:val="left" w:pos="1294"/>
        </w:tabs>
        <w:autoSpaceDE w:val="0"/>
        <w:autoSpaceDN w:val="0"/>
        <w:adjustRightInd w:val="0"/>
        <w:rPr>
          <w:del w:id="11346" w:author="AbbVie14" w:date="2025-05-09T10:35:00Z"/>
          <w:color w:val="000000"/>
          <w:sz w:val="22"/>
          <w:szCs w:val="22"/>
        </w:rPr>
      </w:pPr>
    </w:p>
    <w:p w:rsidR="00287663" w:rsidRPr="00612824" w:rsidP="00287663" w14:paraId="12A21A70" w14:textId="77777777">
      <w:pPr>
        <w:keepNext/>
        <w:jc w:val="center"/>
        <w:rPr>
          <w:del w:id="11347" w:author="AbbVie14" w:date="2025-05-09T10:35:00Z"/>
          <w:b/>
          <w:bCs/>
          <w:color w:val="000000"/>
          <w:sz w:val="22"/>
          <w:szCs w:val="22"/>
          <w:lang w:eastAsia="en-US"/>
        </w:rPr>
      </w:pPr>
      <w:del w:id="11348" w:author="AbbVie14" w:date="2025-05-09T10:35:00Z">
        <w:r w:rsidRPr="00612824">
          <w:rPr>
            <w:b/>
            <w:bCs/>
            <w:color w:val="000000"/>
            <w:sz w:val="22"/>
            <w:szCs w:val="22"/>
            <w:lang w:eastAsia="en-US"/>
          </w:rPr>
          <w:delText>Tabella 25</w:delText>
        </w:r>
      </w:del>
    </w:p>
    <w:p w:rsidR="00287663" w:rsidRPr="00612824" w:rsidP="00287663" w14:paraId="6FDCF86D" w14:textId="77777777">
      <w:pPr>
        <w:pStyle w:val="BodyTextIndent"/>
        <w:keepNext/>
        <w:ind w:left="110" w:right="53"/>
        <w:jc w:val="center"/>
        <w:rPr>
          <w:del w:id="11349" w:author="AbbVie14" w:date="2025-05-09T10:35:00Z"/>
          <w:b/>
          <w:bCs/>
        </w:rPr>
      </w:pPr>
      <w:del w:id="11350" w:author="AbbVie14" w:date="2025-05-09T10:35:00Z">
        <w:r w:rsidRPr="00612824">
          <w:rPr>
            <w:b/>
            <w:bCs/>
          </w:rPr>
          <w:delText>Distribuzione dei pazienti per età e dose di adalimumab somministrata nel corso della fase OL LI</w:delText>
        </w:r>
      </w:del>
    </w:p>
    <w:p w:rsidR="00287663" w:rsidRPr="00612824" w:rsidP="00287663" w14:paraId="0B336137" w14:textId="77777777">
      <w:pPr>
        <w:pStyle w:val="BodyTextIndent"/>
        <w:keepNext/>
        <w:ind w:left="110" w:right="53"/>
        <w:jc w:val="center"/>
        <w:rPr>
          <w:del w:id="11351" w:author="AbbVie14" w:date="2025-05-09T10:35:00Z"/>
          <w:b/>
          <w:bCs/>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4"/>
        <w:gridCol w:w="3427"/>
        <w:gridCol w:w="3159"/>
      </w:tblGrid>
      <w:tr w14:paraId="785D6845" w14:textId="77777777" w:rsidTr="00F83E38">
        <w:tblPrEx>
          <w:tblW w:w="0" w:type="auto"/>
          <w:tblInd w:w="110" w:type="dxa"/>
          <w:tblLook w:val="0000"/>
        </w:tblPrEx>
        <w:trPr>
          <w:cantSplit/>
          <w:del w:id="11352" w:author="AbbVie14" w:date="2025-05-09T10:35:00Z"/>
        </w:trPr>
        <w:tc>
          <w:tcPr>
            <w:tcW w:w="2418" w:type="dxa"/>
          </w:tcPr>
          <w:p w:rsidR="00287663" w:rsidRPr="00612824" w:rsidP="00F83E38" w14:paraId="4D2538F2" w14:textId="77777777">
            <w:pPr>
              <w:pStyle w:val="BodyTextIndent"/>
              <w:keepNext/>
              <w:ind w:right="53"/>
              <w:rPr>
                <w:del w:id="11353" w:author="AbbVie14" w:date="2025-05-09T10:35:00Z"/>
              </w:rPr>
            </w:pPr>
            <w:del w:id="11354" w:author="AbbVie14" w:date="2025-05-09T10:35:00Z">
              <w:r w:rsidRPr="00612824">
                <w:delText>Gruppo d’età</w:delText>
              </w:r>
            </w:del>
          </w:p>
        </w:tc>
        <w:tc>
          <w:tcPr>
            <w:tcW w:w="3520" w:type="dxa"/>
          </w:tcPr>
          <w:p w:rsidR="00287663" w:rsidRPr="00612824" w:rsidP="00F83E38" w14:paraId="28067E12" w14:textId="77777777">
            <w:pPr>
              <w:pStyle w:val="BodyTextIndent"/>
              <w:keepNext/>
              <w:ind w:right="53"/>
              <w:rPr>
                <w:del w:id="11355" w:author="AbbVie14" w:date="2025-05-09T10:35:00Z"/>
              </w:rPr>
            </w:pPr>
            <w:del w:id="11356" w:author="AbbVie14" w:date="2025-05-09T10:35:00Z">
              <w:r w:rsidRPr="00612824">
                <w:delText>Numero di pazienti al basale n (%)</w:delText>
              </w:r>
            </w:del>
          </w:p>
        </w:tc>
        <w:tc>
          <w:tcPr>
            <w:tcW w:w="3239" w:type="dxa"/>
          </w:tcPr>
          <w:p w:rsidR="00287663" w:rsidRPr="00612824" w:rsidP="00F83E38" w14:paraId="1C1F506F" w14:textId="77777777">
            <w:pPr>
              <w:pStyle w:val="BodyTextIndent"/>
              <w:keepNext/>
              <w:ind w:right="53"/>
              <w:rPr>
                <w:del w:id="11357" w:author="AbbVie14" w:date="2025-05-09T10:35:00Z"/>
              </w:rPr>
            </w:pPr>
            <w:del w:id="11358" w:author="AbbVie14" w:date="2025-05-09T10:35:00Z">
              <w:r w:rsidRPr="00612824">
                <w:delText>Dose minima, media e massima</w:delText>
              </w:r>
            </w:del>
          </w:p>
        </w:tc>
      </w:tr>
      <w:tr w14:paraId="19AC1348" w14:textId="77777777" w:rsidTr="00F83E38">
        <w:tblPrEx>
          <w:tblW w:w="0" w:type="auto"/>
          <w:tblInd w:w="110" w:type="dxa"/>
          <w:tblLook w:val="0000"/>
        </w:tblPrEx>
        <w:trPr>
          <w:cantSplit/>
          <w:del w:id="11359" w:author="AbbVie14" w:date="2025-05-09T10:35:00Z"/>
        </w:trPr>
        <w:tc>
          <w:tcPr>
            <w:tcW w:w="2418" w:type="dxa"/>
          </w:tcPr>
          <w:p w:rsidR="00287663" w:rsidRPr="00612824" w:rsidP="00F83E38" w14:paraId="327616E1" w14:textId="77777777">
            <w:pPr>
              <w:pStyle w:val="BodyTextIndent"/>
              <w:keepNext/>
              <w:ind w:right="53"/>
              <w:rPr>
                <w:del w:id="11360" w:author="AbbVie14" w:date="2025-05-09T10:35:00Z"/>
              </w:rPr>
            </w:pPr>
            <w:del w:id="11361" w:author="AbbVie14" w:date="2025-05-09T10:35:00Z">
              <w:r w:rsidRPr="00612824">
                <w:delText>Dai 4 ai 7 anni</w:delText>
              </w:r>
            </w:del>
          </w:p>
        </w:tc>
        <w:tc>
          <w:tcPr>
            <w:tcW w:w="3520" w:type="dxa"/>
          </w:tcPr>
          <w:p w:rsidR="00287663" w:rsidRPr="00612824" w:rsidP="00F83E38" w14:paraId="77587A4B" w14:textId="77777777">
            <w:pPr>
              <w:pStyle w:val="BodyTextIndent"/>
              <w:keepNext/>
              <w:ind w:right="53"/>
              <w:rPr>
                <w:del w:id="11362" w:author="AbbVie14" w:date="2025-05-09T10:35:00Z"/>
              </w:rPr>
            </w:pPr>
            <w:del w:id="11363" w:author="AbbVie14" w:date="2025-05-09T10:35:00Z">
              <w:r w:rsidRPr="00612824">
                <w:delText>31 (18,1)</w:delText>
              </w:r>
            </w:del>
          </w:p>
        </w:tc>
        <w:tc>
          <w:tcPr>
            <w:tcW w:w="3239" w:type="dxa"/>
          </w:tcPr>
          <w:p w:rsidR="00287663" w:rsidRPr="00612824" w:rsidP="00F83E38" w14:paraId="1858972B" w14:textId="77777777">
            <w:pPr>
              <w:pStyle w:val="BodyTextIndent"/>
              <w:keepNext/>
              <w:ind w:right="53"/>
              <w:rPr>
                <w:del w:id="11364" w:author="AbbVie14" w:date="2025-05-09T10:35:00Z"/>
              </w:rPr>
            </w:pPr>
            <w:del w:id="11365" w:author="AbbVie14" w:date="2025-05-09T10:35:00Z">
              <w:r w:rsidRPr="00612824">
                <w:delText>10, 20 e 25 mg</w:delText>
              </w:r>
            </w:del>
          </w:p>
        </w:tc>
      </w:tr>
      <w:tr w14:paraId="5244B071" w14:textId="77777777" w:rsidTr="00F83E38">
        <w:tblPrEx>
          <w:tblW w:w="0" w:type="auto"/>
          <w:tblInd w:w="110" w:type="dxa"/>
          <w:tblLook w:val="0000"/>
        </w:tblPrEx>
        <w:trPr>
          <w:cantSplit/>
          <w:del w:id="11366" w:author="AbbVie14" w:date="2025-05-09T10:35:00Z"/>
        </w:trPr>
        <w:tc>
          <w:tcPr>
            <w:tcW w:w="2418" w:type="dxa"/>
          </w:tcPr>
          <w:p w:rsidR="00287663" w:rsidRPr="00612824" w:rsidP="00F83E38" w14:paraId="796C6FA5" w14:textId="77777777">
            <w:pPr>
              <w:pStyle w:val="BodyTextIndent"/>
              <w:keepNext/>
              <w:ind w:right="53"/>
              <w:rPr>
                <w:del w:id="11367" w:author="AbbVie14" w:date="2025-05-09T10:35:00Z"/>
              </w:rPr>
            </w:pPr>
            <w:del w:id="11368" w:author="AbbVie14" w:date="2025-05-09T10:35:00Z">
              <w:r w:rsidRPr="00612824">
                <w:delText>Dagli 8 ai 12 anni</w:delText>
              </w:r>
            </w:del>
          </w:p>
        </w:tc>
        <w:tc>
          <w:tcPr>
            <w:tcW w:w="3520" w:type="dxa"/>
          </w:tcPr>
          <w:p w:rsidR="00287663" w:rsidRPr="00612824" w:rsidP="00F83E38" w14:paraId="5003F983" w14:textId="77777777">
            <w:pPr>
              <w:pStyle w:val="BodyTextIndent"/>
              <w:keepNext/>
              <w:ind w:right="53"/>
              <w:rPr>
                <w:del w:id="11369" w:author="AbbVie14" w:date="2025-05-09T10:35:00Z"/>
              </w:rPr>
            </w:pPr>
            <w:del w:id="11370" w:author="AbbVie14" w:date="2025-05-09T10:35:00Z">
              <w:r w:rsidRPr="00612824">
                <w:delText>71 (41,5)</w:delText>
              </w:r>
            </w:del>
          </w:p>
        </w:tc>
        <w:tc>
          <w:tcPr>
            <w:tcW w:w="3239" w:type="dxa"/>
          </w:tcPr>
          <w:p w:rsidR="00287663" w:rsidRPr="00612824" w:rsidP="00F83E38" w14:paraId="4387F812" w14:textId="77777777">
            <w:pPr>
              <w:pStyle w:val="BodyTextIndent"/>
              <w:keepNext/>
              <w:ind w:right="53"/>
              <w:rPr>
                <w:del w:id="11371" w:author="AbbVie14" w:date="2025-05-09T10:35:00Z"/>
              </w:rPr>
            </w:pPr>
            <w:del w:id="11372" w:author="AbbVie14" w:date="2025-05-09T10:35:00Z">
              <w:r w:rsidRPr="00612824">
                <w:delText>20, 25 e 40 mg</w:delText>
              </w:r>
            </w:del>
          </w:p>
        </w:tc>
      </w:tr>
      <w:tr w14:paraId="6848FB5F" w14:textId="77777777" w:rsidTr="00F83E38">
        <w:tblPrEx>
          <w:tblW w:w="0" w:type="auto"/>
          <w:tblInd w:w="110" w:type="dxa"/>
          <w:tblLook w:val="0000"/>
        </w:tblPrEx>
        <w:trPr>
          <w:cantSplit/>
          <w:del w:id="11373" w:author="AbbVie14" w:date="2025-05-09T10:35:00Z"/>
        </w:trPr>
        <w:tc>
          <w:tcPr>
            <w:tcW w:w="2418" w:type="dxa"/>
          </w:tcPr>
          <w:p w:rsidR="00287663" w:rsidRPr="00612824" w:rsidP="00F83E38" w14:paraId="3031BA17" w14:textId="77777777">
            <w:pPr>
              <w:pStyle w:val="BodyTextIndent"/>
              <w:keepNext/>
              <w:ind w:right="53"/>
              <w:rPr>
                <w:del w:id="11374" w:author="AbbVie14" w:date="2025-05-09T10:35:00Z"/>
              </w:rPr>
            </w:pPr>
            <w:del w:id="11375" w:author="AbbVie14" w:date="2025-05-09T10:35:00Z">
              <w:r w:rsidRPr="00612824">
                <w:delText>Dai 13 ai 17 anni</w:delText>
              </w:r>
            </w:del>
          </w:p>
        </w:tc>
        <w:tc>
          <w:tcPr>
            <w:tcW w:w="3520" w:type="dxa"/>
          </w:tcPr>
          <w:p w:rsidR="00287663" w:rsidRPr="00612824" w:rsidP="00F83E38" w14:paraId="7EBCD26D" w14:textId="77777777">
            <w:pPr>
              <w:pStyle w:val="BodyTextIndent"/>
              <w:keepNext/>
              <w:ind w:right="53"/>
              <w:rPr>
                <w:del w:id="11376" w:author="AbbVie14" w:date="2025-05-09T10:35:00Z"/>
              </w:rPr>
            </w:pPr>
            <w:del w:id="11377" w:author="AbbVie14" w:date="2025-05-09T10:35:00Z">
              <w:r w:rsidRPr="00612824">
                <w:delText>69 (40,4)</w:delText>
              </w:r>
            </w:del>
          </w:p>
        </w:tc>
        <w:tc>
          <w:tcPr>
            <w:tcW w:w="3239" w:type="dxa"/>
          </w:tcPr>
          <w:p w:rsidR="00287663" w:rsidRPr="00612824" w:rsidP="00F83E38" w14:paraId="2CE1AA24" w14:textId="77777777">
            <w:pPr>
              <w:pStyle w:val="BodyTextIndent"/>
              <w:keepNext/>
              <w:ind w:right="53"/>
              <w:rPr>
                <w:del w:id="11378" w:author="AbbVie14" w:date="2025-05-09T10:35:00Z"/>
              </w:rPr>
            </w:pPr>
            <w:del w:id="11379" w:author="AbbVie14" w:date="2025-05-09T10:35:00Z">
              <w:r w:rsidRPr="00612824">
                <w:delText>25, 40 e 40 mg</w:delText>
              </w:r>
            </w:del>
          </w:p>
        </w:tc>
      </w:tr>
    </w:tbl>
    <w:p w:rsidR="00287663" w:rsidRPr="00612824" w:rsidP="00287663" w14:paraId="52E0529D" w14:textId="77777777">
      <w:pPr>
        <w:tabs>
          <w:tab w:val="left" w:pos="6840"/>
        </w:tabs>
        <w:autoSpaceDE w:val="0"/>
        <w:autoSpaceDN w:val="0"/>
        <w:adjustRightInd w:val="0"/>
        <w:ind w:right="53"/>
        <w:rPr>
          <w:del w:id="11380" w:author="AbbVie14" w:date="2025-05-09T10:35:00Z"/>
          <w:sz w:val="22"/>
          <w:szCs w:val="22"/>
        </w:rPr>
      </w:pPr>
    </w:p>
    <w:p w:rsidR="00287663" w:rsidRPr="00612824" w:rsidP="00287663" w14:paraId="02CE287B" w14:textId="77777777">
      <w:pPr>
        <w:tabs>
          <w:tab w:val="left" w:pos="567"/>
          <w:tab w:val="left" w:pos="1294"/>
        </w:tabs>
        <w:autoSpaceDE w:val="0"/>
        <w:autoSpaceDN w:val="0"/>
        <w:adjustRightInd w:val="0"/>
        <w:jc w:val="both"/>
        <w:rPr>
          <w:del w:id="11381" w:author="AbbVie14" w:date="2025-05-09T10:35:00Z"/>
          <w:color w:val="000000"/>
          <w:sz w:val="22"/>
          <w:szCs w:val="22"/>
        </w:rPr>
      </w:pPr>
      <w:del w:id="11382" w:author="AbbVie14" w:date="2025-05-09T10:35:00Z">
        <w:r w:rsidRPr="00612824">
          <w:rPr>
            <w:color w:val="000000"/>
            <w:sz w:val="22"/>
            <w:szCs w:val="22"/>
          </w:rPr>
          <w:delText>I pazienti che avevano dimostrato una risposta ACR30 pediatrica alla 16a settimana possedevano i requisiti necessari per essere ammessi alla randomizzazione della fase dello studio in doppio cieco (Double Blind = DB) ed hanno ricevuto 24 mg/m</w:delText>
        </w:r>
      </w:del>
      <w:del w:id="11383" w:author="AbbVie14" w:date="2025-05-09T10:35:00Z">
        <w:r w:rsidRPr="00612824">
          <w:rPr>
            <w:color w:val="000000"/>
            <w:sz w:val="22"/>
            <w:szCs w:val="22"/>
            <w:vertAlign w:val="superscript"/>
          </w:rPr>
          <w:delText>2</w:delText>
        </w:r>
      </w:del>
      <w:del w:id="11384" w:author="AbbVie14" w:date="2025-05-09T10:35:00Z">
        <w:r w:rsidRPr="00612824">
          <w:rPr>
            <w:color w:val="000000"/>
            <w:sz w:val="22"/>
            <w:szCs w:val="22"/>
          </w:rPr>
          <w:delText xml:space="preserve"> di Humira fino ad un massimo di 40 mg o placebo a settimane alterne per un ulteriore periodo di 32 settimane oppure fino alla riacutizzazione della malattia. </w:delText>
        </w:r>
      </w:del>
    </w:p>
    <w:p w:rsidR="00287663" w:rsidRPr="00612824" w:rsidP="00287663" w14:paraId="39F3A930" w14:textId="77777777">
      <w:pPr>
        <w:jc w:val="both"/>
        <w:rPr>
          <w:del w:id="11385" w:author="AbbVie14" w:date="2025-05-09T10:35:00Z"/>
          <w:sz w:val="22"/>
          <w:szCs w:val="22"/>
        </w:rPr>
      </w:pPr>
      <w:del w:id="11386" w:author="AbbVie14" w:date="2025-05-09T10:35:00Z">
        <w:r w:rsidRPr="00612824">
          <w:rPr>
            <w:color w:val="000000"/>
            <w:sz w:val="22"/>
            <w:szCs w:val="22"/>
          </w:rPr>
          <w:delText>I criteri di definizione della riacutizzazione della malattia sono stati definiti in base ad un peggioramento maggiore o uguale al 30% (</w:delText>
        </w:r>
      </w:del>
      <w:del w:id="11387" w:author="AbbVie14" w:date="2025-05-09T10:35:00Z">
        <w:r w:rsidRPr="00612824">
          <w:rPr>
            <w:rFonts w:ascii="Symbol" w:hAnsi="Symbol"/>
            <w:color w:val="000000"/>
            <w:sz w:val="22"/>
            <w:szCs w:val="22"/>
          </w:rPr>
          <w:sym w:font="Symbol" w:char="F0B3"/>
        </w:r>
      </w:del>
      <w:del w:id="11388" w:author="AbbVie14" w:date="2025-05-09T10:35:00Z">
        <w:r w:rsidRPr="00612824">
          <w:rPr>
            <w:color w:val="000000"/>
            <w:sz w:val="22"/>
            <w:szCs w:val="22"/>
          </w:rPr>
          <w:delText xml:space="preserve"> 30%) rispetto al valore basale di 3 o più dei 6 criteri principali dell’“ACR Paediatric core”, alla presenza di 2 o più articolazioni attive, ed in base ad un miglioramento maggiore del 30% in non più di 1 dei 6 criteri suddetti. </w:delText>
        </w:r>
      </w:del>
      <w:del w:id="11389" w:author="AbbVie14" w:date="2025-05-09T10:35:00Z">
        <w:r w:rsidRPr="00612824">
          <w:rPr>
            <w:sz w:val="22"/>
            <w:szCs w:val="22"/>
          </w:rPr>
          <w:delText>Dopo 32 settimane o nel momento in cui si è verificata la riacutizzazione della malattia, i pazienti sono stati ritenuti in possesso dei requisiti necessari per essere ammessi alla fase di estensione in aperto.</w:delText>
        </w:r>
      </w:del>
    </w:p>
    <w:p w:rsidR="00287663" w:rsidRPr="00612824" w:rsidP="00287663" w14:paraId="53AE5A40" w14:textId="77777777">
      <w:pPr>
        <w:rPr>
          <w:del w:id="11390" w:author="AbbVie14" w:date="2025-05-09T10:35:00Z"/>
          <w:bCs/>
          <w:sz w:val="22"/>
          <w:szCs w:val="22"/>
        </w:rPr>
      </w:pPr>
    </w:p>
    <w:p w:rsidR="00287663" w:rsidRPr="00612824" w:rsidP="00287663" w14:paraId="62C9227D" w14:textId="77777777">
      <w:pPr>
        <w:jc w:val="center"/>
        <w:rPr>
          <w:del w:id="11391" w:author="AbbVie14" w:date="2025-05-09T10:35:00Z"/>
          <w:b/>
          <w:bCs/>
          <w:sz w:val="22"/>
          <w:szCs w:val="22"/>
        </w:rPr>
      </w:pPr>
      <w:del w:id="11392" w:author="AbbVie14" w:date="2025-05-09T10:35:00Z">
        <w:r w:rsidRPr="00612824">
          <w:rPr>
            <w:b/>
            <w:bCs/>
            <w:sz w:val="22"/>
            <w:szCs w:val="22"/>
          </w:rPr>
          <w:delText>Tabella 26</w:delText>
        </w:r>
      </w:del>
    </w:p>
    <w:p w:rsidR="00287663" w:rsidRPr="00612824" w:rsidP="00287663" w14:paraId="593CFC10" w14:textId="77777777">
      <w:pPr>
        <w:pStyle w:val="BodyTextIndent"/>
        <w:ind w:left="110" w:right="53"/>
        <w:jc w:val="center"/>
        <w:rPr>
          <w:del w:id="11393" w:author="AbbVie14" w:date="2025-05-09T10:35:00Z"/>
          <w:b/>
          <w:bCs/>
        </w:rPr>
      </w:pPr>
      <w:del w:id="11394" w:author="AbbVie14" w:date="2025-05-09T10:35:00Z">
        <w:r w:rsidRPr="00612824">
          <w:rPr>
            <w:b/>
            <w:bCs/>
          </w:rPr>
          <w:delText>Risposta PedACR30 nel corso dello studio JIA</w:delText>
        </w:r>
      </w:del>
    </w:p>
    <w:p w:rsidR="00287663" w:rsidRPr="00612824" w:rsidP="00287663" w14:paraId="139EC5CF" w14:textId="77777777">
      <w:pPr>
        <w:pStyle w:val="BodyTextIndent"/>
        <w:ind w:left="110" w:right="53"/>
        <w:jc w:val="center"/>
        <w:rPr>
          <w:del w:id="11395" w:author="AbbVie14" w:date="2025-05-09T10:35:00Z"/>
          <w:b/>
          <w:bCs/>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22"/>
        <w:gridCol w:w="1721"/>
        <w:gridCol w:w="1722"/>
        <w:gridCol w:w="1628"/>
        <w:gridCol w:w="1557"/>
      </w:tblGrid>
      <w:tr w14:paraId="74472441" w14:textId="77777777" w:rsidTr="00F83E38">
        <w:tblPrEx>
          <w:tblW w:w="0" w:type="auto"/>
          <w:tblInd w:w="110" w:type="dxa"/>
          <w:tblLook w:val="0000"/>
        </w:tblPrEx>
        <w:trPr>
          <w:cantSplit/>
          <w:del w:id="11396" w:author="AbbVie14" w:date="2025-05-09T10:35:00Z"/>
        </w:trPr>
        <w:tc>
          <w:tcPr>
            <w:tcW w:w="2418" w:type="dxa"/>
          </w:tcPr>
          <w:p w:rsidR="00287663" w:rsidRPr="00612824" w:rsidP="00F83E38" w14:paraId="4D17616D" w14:textId="77777777">
            <w:pPr>
              <w:pStyle w:val="BodyTextIndent"/>
              <w:ind w:right="53"/>
              <w:rPr>
                <w:del w:id="11397" w:author="AbbVie14" w:date="2025-05-09T10:35:00Z"/>
                <w:b/>
              </w:rPr>
            </w:pPr>
            <w:del w:id="11398" w:author="AbbVie14" w:date="2025-05-09T10:35:00Z">
              <w:r w:rsidRPr="00612824">
                <w:rPr>
                  <w:b/>
                </w:rPr>
                <w:delText>Braccio</w:delText>
              </w:r>
            </w:del>
          </w:p>
        </w:tc>
        <w:tc>
          <w:tcPr>
            <w:tcW w:w="3520" w:type="dxa"/>
            <w:gridSpan w:val="2"/>
          </w:tcPr>
          <w:p w:rsidR="00287663" w:rsidRPr="00612824" w:rsidP="00F83E38" w14:paraId="15017A87" w14:textId="77777777">
            <w:pPr>
              <w:pStyle w:val="BodyTextIndent"/>
              <w:ind w:right="53"/>
              <w:jc w:val="center"/>
              <w:rPr>
                <w:del w:id="11399" w:author="AbbVie14" w:date="2025-05-09T10:35:00Z"/>
                <w:b/>
              </w:rPr>
            </w:pPr>
            <w:del w:id="11400" w:author="AbbVie14" w:date="2025-05-09T10:35:00Z">
              <w:r w:rsidRPr="00612824">
                <w:rPr>
                  <w:b/>
                </w:rPr>
                <w:delText>MTX</w:delText>
              </w:r>
            </w:del>
          </w:p>
        </w:tc>
        <w:tc>
          <w:tcPr>
            <w:tcW w:w="3239" w:type="dxa"/>
            <w:gridSpan w:val="2"/>
          </w:tcPr>
          <w:p w:rsidR="00287663" w:rsidRPr="00612824" w:rsidP="00F83E38" w14:paraId="74C63E0B" w14:textId="77777777">
            <w:pPr>
              <w:pStyle w:val="BodyTextIndent"/>
              <w:ind w:right="53"/>
              <w:jc w:val="center"/>
              <w:rPr>
                <w:del w:id="11401" w:author="AbbVie14" w:date="2025-05-09T10:35:00Z"/>
                <w:b/>
              </w:rPr>
            </w:pPr>
            <w:del w:id="11402" w:author="AbbVie14" w:date="2025-05-09T10:35:00Z">
              <w:r w:rsidRPr="00612824">
                <w:rPr>
                  <w:b/>
                </w:rPr>
                <w:delText>Senza MTX</w:delText>
              </w:r>
            </w:del>
          </w:p>
        </w:tc>
      </w:tr>
      <w:tr w14:paraId="4C117650" w14:textId="77777777" w:rsidTr="00F83E38">
        <w:tblPrEx>
          <w:tblW w:w="0" w:type="auto"/>
          <w:tblInd w:w="110" w:type="dxa"/>
          <w:tblLook w:val="0000"/>
        </w:tblPrEx>
        <w:trPr>
          <w:cantSplit/>
          <w:del w:id="11403" w:author="AbbVie14" w:date="2025-05-09T10:35:00Z"/>
        </w:trPr>
        <w:tc>
          <w:tcPr>
            <w:tcW w:w="2418" w:type="dxa"/>
          </w:tcPr>
          <w:p w:rsidR="00287663" w:rsidRPr="00612824" w:rsidP="00F83E38" w14:paraId="6846BFFB" w14:textId="77777777">
            <w:pPr>
              <w:pStyle w:val="BodyTextIndent"/>
              <w:ind w:right="53"/>
              <w:rPr>
                <w:del w:id="11404" w:author="AbbVie14" w:date="2025-05-09T10:35:00Z"/>
                <w:b/>
              </w:rPr>
            </w:pPr>
            <w:del w:id="11405" w:author="AbbVie14" w:date="2025-05-09T10:35:00Z">
              <w:r w:rsidRPr="00612824">
                <w:rPr>
                  <w:b/>
                </w:rPr>
                <w:delText>Fase</w:delText>
              </w:r>
            </w:del>
          </w:p>
        </w:tc>
        <w:tc>
          <w:tcPr>
            <w:tcW w:w="3520" w:type="dxa"/>
            <w:gridSpan w:val="2"/>
          </w:tcPr>
          <w:p w:rsidR="00287663" w:rsidRPr="00612824" w:rsidP="00F83E38" w14:paraId="7D3FEF73" w14:textId="77777777">
            <w:pPr>
              <w:pStyle w:val="BodyTextIndent"/>
              <w:ind w:right="53"/>
              <w:jc w:val="center"/>
              <w:rPr>
                <w:del w:id="11406" w:author="AbbVie14" w:date="2025-05-09T10:35:00Z"/>
              </w:rPr>
            </w:pPr>
          </w:p>
        </w:tc>
        <w:tc>
          <w:tcPr>
            <w:tcW w:w="3239" w:type="dxa"/>
            <w:gridSpan w:val="2"/>
          </w:tcPr>
          <w:p w:rsidR="00287663" w:rsidRPr="00612824" w:rsidP="00F83E38" w14:paraId="18D204DE" w14:textId="77777777">
            <w:pPr>
              <w:pStyle w:val="BodyTextIndent"/>
              <w:ind w:right="53"/>
              <w:jc w:val="center"/>
              <w:rPr>
                <w:del w:id="11407" w:author="AbbVie14" w:date="2025-05-09T10:35:00Z"/>
              </w:rPr>
            </w:pPr>
          </w:p>
        </w:tc>
      </w:tr>
      <w:tr w14:paraId="5680DF01" w14:textId="77777777" w:rsidTr="00F83E38">
        <w:tblPrEx>
          <w:tblW w:w="0" w:type="auto"/>
          <w:tblInd w:w="110" w:type="dxa"/>
          <w:tblLook w:val="0000"/>
        </w:tblPrEx>
        <w:trPr>
          <w:cantSplit/>
          <w:del w:id="11408" w:author="AbbVie14" w:date="2025-05-09T10:35:00Z"/>
        </w:trPr>
        <w:tc>
          <w:tcPr>
            <w:tcW w:w="2418" w:type="dxa"/>
          </w:tcPr>
          <w:p w:rsidR="00287663" w:rsidRPr="00612824" w:rsidP="00F83E38" w14:paraId="54F4C7B5" w14:textId="77777777">
            <w:pPr>
              <w:pStyle w:val="BodyTextIndent"/>
              <w:ind w:right="53"/>
              <w:rPr>
                <w:del w:id="11409" w:author="AbbVie14" w:date="2025-05-09T10:35:00Z"/>
              </w:rPr>
            </w:pPr>
            <w:del w:id="11410" w:author="AbbVie14" w:date="2025-05-09T10:35:00Z">
              <w:r w:rsidRPr="00612824">
                <w:delText>OL-LI 16a settimana</w:delText>
              </w:r>
            </w:del>
          </w:p>
        </w:tc>
        <w:tc>
          <w:tcPr>
            <w:tcW w:w="3520" w:type="dxa"/>
            <w:gridSpan w:val="2"/>
          </w:tcPr>
          <w:p w:rsidR="00287663" w:rsidRPr="00612824" w:rsidP="00F83E38" w14:paraId="4D9E5321" w14:textId="77777777">
            <w:pPr>
              <w:pStyle w:val="BodyTextIndent"/>
              <w:ind w:right="53"/>
              <w:jc w:val="center"/>
              <w:rPr>
                <w:del w:id="11411" w:author="AbbVie14" w:date="2025-05-09T10:35:00Z"/>
              </w:rPr>
            </w:pPr>
          </w:p>
        </w:tc>
        <w:tc>
          <w:tcPr>
            <w:tcW w:w="3239" w:type="dxa"/>
            <w:gridSpan w:val="2"/>
          </w:tcPr>
          <w:p w:rsidR="00287663" w:rsidRPr="00612824" w:rsidP="00F83E38" w14:paraId="4DE7F3CD" w14:textId="77777777">
            <w:pPr>
              <w:pStyle w:val="BodyTextIndent"/>
              <w:ind w:right="53"/>
              <w:jc w:val="center"/>
              <w:rPr>
                <w:del w:id="11412" w:author="AbbVie14" w:date="2025-05-09T10:35:00Z"/>
              </w:rPr>
            </w:pPr>
          </w:p>
        </w:tc>
      </w:tr>
      <w:tr w14:paraId="60B4D90D" w14:textId="77777777" w:rsidTr="00F83E38">
        <w:tblPrEx>
          <w:tblW w:w="0" w:type="auto"/>
          <w:tblInd w:w="110" w:type="dxa"/>
          <w:tblLook w:val="0000"/>
        </w:tblPrEx>
        <w:trPr>
          <w:cantSplit/>
          <w:del w:id="11413" w:author="AbbVie14" w:date="2025-05-09T10:35:00Z"/>
        </w:trPr>
        <w:tc>
          <w:tcPr>
            <w:tcW w:w="2418" w:type="dxa"/>
          </w:tcPr>
          <w:p w:rsidR="00287663" w:rsidRPr="00612824" w:rsidP="00F83E38" w14:paraId="28F819E8" w14:textId="77777777">
            <w:pPr>
              <w:pStyle w:val="BodyTextIndent"/>
              <w:ind w:right="53"/>
              <w:rPr>
                <w:del w:id="11414" w:author="AbbVie14" w:date="2025-05-09T10:35:00Z"/>
              </w:rPr>
            </w:pPr>
            <w:del w:id="11415" w:author="AbbVie14" w:date="2025-05-09T10:35:00Z">
              <w:r w:rsidRPr="00612824">
                <w:delText>Risposta PedACR 30 (n/N)</w:delText>
              </w:r>
            </w:del>
          </w:p>
        </w:tc>
        <w:tc>
          <w:tcPr>
            <w:tcW w:w="3520" w:type="dxa"/>
            <w:gridSpan w:val="2"/>
          </w:tcPr>
          <w:p w:rsidR="00287663" w:rsidRPr="00612824" w:rsidP="00F83E38" w14:paraId="5106AC60" w14:textId="77777777">
            <w:pPr>
              <w:pStyle w:val="BodyTextIndent"/>
              <w:ind w:right="53"/>
              <w:jc w:val="center"/>
              <w:rPr>
                <w:del w:id="11416" w:author="AbbVie14" w:date="2025-05-09T10:35:00Z"/>
              </w:rPr>
            </w:pPr>
            <w:del w:id="11417" w:author="AbbVie14" w:date="2025-05-09T10:35:00Z">
              <w:r w:rsidRPr="00612824">
                <w:delText>94,1% (80/85)</w:delText>
              </w:r>
            </w:del>
          </w:p>
        </w:tc>
        <w:tc>
          <w:tcPr>
            <w:tcW w:w="3239" w:type="dxa"/>
            <w:gridSpan w:val="2"/>
          </w:tcPr>
          <w:p w:rsidR="00287663" w:rsidRPr="00612824" w:rsidP="00F83E38" w14:paraId="080FC994" w14:textId="77777777">
            <w:pPr>
              <w:pStyle w:val="BodyTextIndent"/>
              <w:ind w:right="53"/>
              <w:jc w:val="center"/>
              <w:rPr>
                <w:del w:id="11418" w:author="AbbVie14" w:date="2025-05-09T10:35:00Z"/>
              </w:rPr>
            </w:pPr>
            <w:del w:id="11419" w:author="AbbVie14" w:date="2025-05-09T10:35:00Z">
              <w:r w:rsidRPr="00612824">
                <w:delText>74,4% (64/86)</w:delText>
              </w:r>
            </w:del>
          </w:p>
        </w:tc>
      </w:tr>
      <w:tr w14:paraId="7FB24CCB" w14:textId="77777777" w:rsidTr="00F83E38">
        <w:tblPrEx>
          <w:tblW w:w="0" w:type="auto"/>
          <w:tblInd w:w="110" w:type="dxa"/>
          <w:tblLook w:val="0000"/>
        </w:tblPrEx>
        <w:trPr>
          <w:cantSplit/>
          <w:del w:id="11420" w:author="AbbVie14" w:date="2025-05-09T10:35:00Z"/>
        </w:trPr>
        <w:tc>
          <w:tcPr>
            <w:tcW w:w="9177" w:type="dxa"/>
            <w:gridSpan w:val="5"/>
          </w:tcPr>
          <w:p w:rsidR="00287663" w:rsidRPr="00612824" w:rsidP="00F83E38" w14:paraId="14F7C0F6" w14:textId="77777777">
            <w:pPr>
              <w:pStyle w:val="BodyTextIndent"/>
              <w:ind w:right="53"/>
              <w:jc w:val="center"/>
              <w:rPr>
                <w:del w:id="11421" w:author="AbbVie14" w:date="2025-05-09T10:35:00Z"/>
              </w:rPr>
            </w:pPr>
            <w:del w:id="11422" w:author="AbbVie14" w:date="2025-05-09T10:35:00Z">
              <w:r w:rsidRPr="00612824">
                <w:delText>Risultati di efficacia</w:delText>
              </w:r>
            </w:del>
          </w:p>
        </w:tc>
      </w:tr>
      <w:tr w14:paraId="4FC4D80F" w14:textId="77777777" w:rsidTr="00F83E38">
        <w:tblPrEx>
          <w:tblW w:w="0" w:type="auto"/>
          <w:tblInd w:w="110" w:type="dxa"/>
          <w:tblLook w:val="0000"/>
        </w:tblPrEx>
        <w:trPr>
          <w:del w:id="11423" w:author="AbbVie14" w:date="2025-05-09T10:35:00Z"/>
        </w:trPr>
        <w:tc>
          <w:tcPr>
            <w:tcW w:w="2418" w:type="dxa"/>
          </w:tcPr>
          <w:p w:rsidR="00287663" w:rsidRPr="00612824" w:rsidP="00F83E38" w14:paraId="7639071F" w14:textId="77777777">
            <w:pPr>
              <w:pStyle w:val="BodyTextIndent"/>
              <w:ind w:right="53"/>
              <w:rPr>
                <w:del w:id="11424" w:author="AbbVie14" w:date="2025-05-09T10:35:00Z"/>
              </w:rPr>
            </w:pPr>
            <w:del w:id="11425" w:author="AbbVie14" w:date="2025-05-09T10:35:00Z">
              <w:r w:rsidRPr="00612824">
                <w:delText xml:space="preserve">Doppio cieco 32sima settimana </w:delText>
              </w:r>
            </w:del>
          </w:p>
        </w:tc>
        <w:tc>
          <w:tcPr>
            <w:tcW w:w="1760" w:type="dxa"/>
          </w:tcPr>
          <w:p w:rsidR="00287663" w:rsidRPr="00612824" w:rsidP="00F83E38" w14:paraId="04D32860" w14:textId="77777777">
            <w:pPr>
              <w:pStyle w:val="BodyTextIndent"/>
              <w:ind w:right="53"/>
              <w:rPr>
                <w:del w:id="11426" w:author="AbbVie14" w:date="2025-05-09T10:35:00Z"/>
              </w:rPr>
            </w:pPr>
            <w:del w:id="11427" w:author="AbbVie14" w:date="2025-05-09T10:35:00Z">
              <w:r w:rsidRPr="00612824">
                <w:delText>Humira/MTX</w:delText>
              </w:r>
            </w:del>
          </w:p>
          <w:p w:rsidR="00287663" w:rsidRPr="00612824" w:rsidP="00F83E38" w14:paraId="33C0A4F2" w14:textId="77777777">
            <w:pPr>
              <w:pStyle w:val="BodyTextIndent"/>
              <w:ind w:right="53"/>
              <w:rPr>
                <w:del w:id="11428" w:author="AbbVie14" w:date="2025-05-09T10:35:00Z"/>
              </w:rPr>
            </w:pPr>
            <w:del w:id="11429" w:author="AbbVie14" w:date="2025-05-09T10:35:00Z">
              <w:r w:rsidRPr="00612824">
                <w:delText>(N = 38)</w:delText>
              </w:r>
            </w:del>
          </w:p>
          <w:p w:rsidR="00287663" w:rsidRPr="00612824" w:rsidP="00F83E38" w14:paraId="0084A8FE" w14:textId="77777777">
            <w:pPr>
              <w:pStyle w:val="BodyTextIndent"/>
              <w:ind w:right="53"/>
              <w:rPr>
                <w:del w:id="11430" w:author="AbbVie14" w:date="2025-05-09T10:35:00Z"/>
              </w:rPr>
            </w:pPr>
          </w:p>
        </w:tc>
        <w:tc>
          <w:tcPr>
            <w:tcW w:w="1760" w:type="dxa"/>
          </w:tcPr>
          <w:p w:rsidR="00287663" w:rsidRPr="00612824" w:rsidP="00F83E38" w14:paraId="7C53B9EA" w14:textId="77777777">
            <w:pPr>
              <w:pStyle w:val="BodyTextIndent"/>
              <w:ind w:right="53"/>
              <w:rPr>
                <w:del w:id="11431" w:author="AbbVie14" w:date="2025-05-09T10:35:00Z"/>
              </w:rPr>
            </w:pPr>
            <w:del w:id="11432" w:author="AbbVie14" w:date="2025-05-09T10:35:00Z">
              <w:r w:rsidRPr="00612824">
                <w:delText>Placebo/MTX</w:delText>
              </w:r>
            </w:del>
          </w:p>
          <w:p w:rsidR="00287663" w:rsidRPr="00612824" w:rsidP="00F83E38" w14:paraId="33103534" w14:textId="77777777">
            <w:pPr>
              <w:pStyle w:val="BodyTextIndent"/>
              <w:ind w:right="53"/>
              <w:rPr>
                <w:del w:id="11433" w:author="AbbVie14" w:date="2025-05-09T10:35:00Z"/>
              </w:rPr>
            </w:pPr>
            <w:del w:id="11434" w:author="AbbVie14" w:date="2025-05-09T10:35:00Z">
              <w:r w:rsidRPr="00612824">
                <w:delText>(N = 37)</w:delText>
              </w:r>
            </w:del>
          </w:p>
        </w:tc>
        <w:tc>
          <w:tcPr>
            <w:tcW w:w="1650" w:type="dxa"/>
          </w:tcPr>
          <w:p w:rsidR="00287663" w:rsidRPr="00612824" w:rsidP="00F83E38" w14:paraId="0FD5E030" w14:textId="77777777">
            <w:pPr>
              <w:pStyle w:val="BodyTextIndent"/>
              <w:ind w:right="53"/>
              <w:rPr>
                <w:del w:id="11435" w:author="AbbVie14" w:date="2025-05-09T10:35:00Z"/>
              </w:rPr>
            </w:pPr>
            <w:del w:id="11436" w:author="AbbVie14" w:date="2025-05-09T10:35:00Z">
              <w:r w:rsidRPr="00612824">
                <w:delText xml:space="preserve">Humira </w:delText>
              </w:r>
            </w:del>
          </w:p>
          <w:p w:rsidR="00287663" w:rsidRPr="00612824" w:rsidP="00F83E38" w14:paraId="1B06522E" w14:textId="77777777">
            <w:pPr>
              <w:pStyle w:val="BodyTextIndent"/>
              <w:ind w:right="53"/>
              <w:rPr>
                <w:del w:id="11437" w:author="AbbVie14" w:date="2025-05-09T10:35:00Z"/>
              </w:rPr>
            </w:pPr>
            <w:del w:id="11438" w:author="AbbVie14" w:date="2025-05-09T10:35:00Z">
              <w:r w:rsidRPr="00612824">
                <w:delText>(N = 30)</w:delText>
              </w:r>
            </w:del>
          </w:p>
        </w:tc>
        <w:tc>
          <w:tcPr>
            <w:tcW w:w="1589" w:type="dxa"/>
          </w:tcPr>
          <w:p w:rsidR="00287663" w:rsidRPr="00612824" w:rsidP="00F83E38" w14:paraId="5C8B5FCA" w14:textId="77777777">
            <w:pPr>
              <w:pStyle w:val="BodyTextIndent"/>
              <w:ind w:right="53"/>
              <w:rPr>
                <w:del w:id="11439" w:author="AbbVie14" w:date="2025-05-09T10:35:00Z"/>
              </w:rPr>
            </w:pPr>
            <w:del w:id="11440" w:author="AbbVie14" w:date="2025-05-09T10:35:00Z">
              <w:r w:rsidRPr="00612824">
                <w:delText>Placebo</w:delText>
              </w:r>
            </w:del>
          </w:p>
          <w:p w:rsidR="00287663" w:rsidRPr="00612824" w:rsidP="00F83E38" w14:paraId="69E6A13F" w14:textId="77777777">
            <w:pPr>
              <w:pStyle w:val="BodyTextIndent"/>
              <w:ind w:right="53"/>
              <w:rPr>
                <w:del w:id="11441" w:author="AbbVie14" w:date="2025-05-09T10:35:00Z"/>
              </w:rPr>
            </w:pPr>
            <w:del w:id="11442" w:author="AbbVie14" w:date="2025-05-09T10:35:00Z">
              <w:r w:rsidRPr="00612824">
                <w:delText>(N = 28)</w:delText>
              </w:r>
            </w:del>
          </w:p>
        </w:tc>
      </w:tr>
      <w:tr w14:paraId="239F4B15" w14:textId="77777777" w:rsidTr="00F83E38">
        <w:tblPrEx>
          <w:tblW w:w="0" w:type="auto"/>
          <w:tblInd w:w="110" w:type="dxa"/>
          <w:tblLook w:val="0000"/>
        </w:tblPrEx>
        <w:trPr>
          <w:del w:id="11443" w:author="AbbVie14" w:date="2025-05-09T10:35:00Z"/>
        </w:trPr>
        <w:tc>
          <w:tcPr>
            <w:tcW w:w="2418" w:type="dxa"/>
          </w:tcPr>
          <w:p w:rsidR="00287663" w:rsidRPr="00612824" w:rsidP="00F83E38" w14:paraId="4DA1A00C" w14:textId="77777777">
            <w:pPr>
              <w:pStyle w:val="BodyTextIndent"/>
              <w:ind w:right="53"/>
              <w:rPr>
                <w:del w:id="11444" w:author="AbbVie14" w:date="2025-05-09T10:35:00Z"/>
              </w:rPr>
            </w:pPr>
            <w:del w:id="11445" w:author="AbbVie14" w:date="2025-05-09T10:35:00Z">
              <w:r w:rsidRPr="00612824">
                <w:delText>Riacutizzazione della malattia alla fine della 32a settimana</w:delText>
              </w:r>
            </w:del>
            <w:del w:id="11446" w:author="AbbVie14" w:date="2025-05-09T10:35:00Z">
              <w:r w:rsidRPr="00612824">
                <w:rPr>
                  <w:vertAlign w:val="superscript"/>
                </w:rPr>
                <w:delText>a</w:delText>
              </w:r>
            </w:del>
            <w:del w:id="11447" w:author="AbbVie14" w:date="2025-05-09T10:35:00Z">
              <w:r w:rsidRPr="00612824">
                <w:delText xml:space="preserve"> (n/N)</w:delText>
              </w:r>
            </w:del>
          </w:p>
        </w:tc>
        <w:tc>
          <w:tcPr>
            <w:tcW w:w="1760" w:type="dxa"/>
          </w:tcPr>
          <w:p w:rsidR="00287663" w:rsidRPr="00612824" w:rsidP="00F83E38" w14:paraId="4C85DC14" w14:textId="77777777">
            <w:pPr>
              <w:pStyle w:val="BodyTextIndent"/>
              <w:ind w:right="53"/>
              <w:rPr>
                <w:del w:id="11448" w:author="AbbVie14" w:date="2025-05-09T10:35:00Z"/>
              </w:rPr>
            </w:pPr>
            <w:del w:id="11449" w:author="AbbVie14" w:date="2025-05-09T10:35:00Z">
              <w:r w:rsidRPr="00612824">
                <w:delText>36,8% (14/38)</w:delText>
              </w:r>
            </w:del>
          </w:p>
        </w:tc>
        <w:tc>
          <w:tcPr>
            <w:tcW w:w="1760" w:type="dxa"/>
          </w:tcPr>
          <w:p w:rsidR="00287663" w:rsidRPr="00612824" w:rsidP="00F83E38" w14:paraId="4658BE70" w14:textId="77777777">
            <w:pPr>
              <w:pStyle w:val="BodyTextIndent"/>
              <w:ind w:right="53"/>
              <w:rPr>
                <w:del w:id="11450" w:author="AbbVie14" w:date="2025-05-09T10:35:00Z"/>
              </w:rPr>
            </w:pPr>
            <w:del w:id="11451" w:author="AbbVie14" w:date="2025-05-09T10:35:00Z">
              <w:r w:rsidRPr="00612824">
                <w:delText>64,9% (24/37)</w:delText>
              </w:r>
            </w:del>
            <w:del w:id="11452" w:author="AbbVie14" w:date="2025-05-09T10:35:00Z">
              <w:r w:rsidRPr="00612824">
                <w:rPr>
                  <w:vertAlign w:val="superscript"/>
                </w:rPr>
                <w:delText>b</w:delText>
              </w:r>
            </w:del>
          </w:p>
        </w:tc>
        <w:tc>
          <w:tcPr>
            <w:tcW w:w="1650" w:type="dxa"/>
          </w:tcPr>
          <w:p w:rsidR="00287663" w:rsidRPr="00612824" w:rsidP="00F83E38" w14:paraId="558E99FD" w14:textId="77777777">
            <w:pPr>
              <w:pStyle w:val="BodyTextIndent"/>
              <w:ind w:right="53"/>
              <w:rPr>
                <w:del w:id="11453" w:author="AbbVie14" w:date="2025-05-09T10:35:00Z"/>
              </w:rPr>
            </w:pPr>
            <w:del w:id="11454" w:author="AbbVie14" w:date="2025-05-09T10:35:00Z">
              <w:r w:rsidRPr="00612824">
                <w:delText>43,3% (13/30)</w:delText>
              </w:r>
            </w:del>
          </w:p>
        </w:tc>
        <w:tc>
          <w:tcPr>
            <w:tcW w:w="1589" w:type="dxa"/>
          </w:tcPr>
          <w:p w:rsidR="00287663" w:rsidRPr="00612824" w:rsidP="00F83E38" w14:paraId="5AB66DCD" w14:textId="77777777">
            <w:pPr>
              <w:pStyle w:val="BodyTextIndent"/>
              <w:ind w:right="53"/>
              <w:rPr>
                <w:del w:id="11455" w:author="AbbVie14" w:date="2025-05-09T10:35:00Z"/>
              </w:rPr>
            </w:pPr>
            <w:del w:id="11456" w:author="AbbVie14" w:date="2025-05-09T10:35:00Z">
              <w:r w:rsidRPr="00612824">
                <w:delText>71,4% (20/28)</w:delText>
              </w:r>
            </w:del>
            <w:del w:id="11457" w:author="AbbVie14" w:date="2025-05-09T10:35:00Z">
              <w:r w:rsidRPr="00612824">
                <w:rPr>
                  <w:vertAlign w:val="superscript"/>
                </w:rPr>
                <w:delText>c</w:delText>
              </w:r>
            </w:del>
          </w:p>
        </w:tc>
      </w:tr>
      <w:tr w14:paraId="147D848D" w14:textId="77777777" w:rsidTr="00F83E38">
        <w:tblPrEx>
          <w:tblW w:w="0" w:type="auto"/>
          <w:tblInd w:w="110" w:type="dxa"/>
          <w:tblLook w:val="0000"/>
        </w:tblPrEx>
        <w:trPr>
          <w:del w:id="11458" w:author="AbbVie14" w:date="2025-05-09T10:35:00Z"/>
        </w:trPr>
        <w:tc>
          <w:tcPr>
            <w:tcW w:w="2418" w:type="dxa"/>
          </w:tcPr>
          <w:p w:rsidR="00287663" w:rsidRPr="00612824" w:rsidP="00F83E38" w14:paraId="311036E7" w14:textId="77777777">
            <w:pPr>
              <w:pStyle w:val="BodyTextIndent"/>
              <w:ind w:right="53"/>
              <w:rPr>
                <w:del w:id="11459" w:author="AbbVie14" w:date="2025-05-09T10:35:00Z"/>
              </w:rPr>
            </w:pPr>
            <w:del w:id="11460" w:author="AbbVie14" w:date="2025-05-09T10:35:00Z">
              <w:r w:rsidRPr="00612824">
                <w:delText>Tempo medio alla riacutizzazione della malattia</w:delText>
              </w:r>
            </w:del>
          </w:p>
        </w:tc>
        <w:tc>
          <w:tcPr>
            <w:tcW w:w="1760" w:type="dxa"/>
          </w:tcPr>
          <w:p w:rsidR="00287663" w:rsidRPr="00612824" w:rsidP="00F83E38" w14:paraId="56170054" w14:textId="77777777">
            <w:pPr>
              <w:pStyle w:val="BodyTextIndent"/>
              <w:ind w:right="53"/>
              <w:rPr>
                <w:del w:id="11461" w:author="AbbVie14" w:date="2025-05-09T10:35:00Z"/>
              </w:rPr>
            </w:pPr>
            <w:del w:id="11462" w:author="AbbVie14" w:date="2025-05-09T10:35:00Z">
              <w:r w:rsidRPr="00612824">
                <w:delText>&gt;32 settimane</w:delText>
              </w:r>
            </w:del>
          </w:p>
        </w:tc>
        <w:tc>
          <w:tcPr>
            <w:tcW w:w="1760" w:type="dxa"/>
          </w:tcPr>
          <w:p w:rsidR="00287663" w:rsidRPr="00612824" w:rsidP="00F83E38" w14:paraId="4B746A23" w14:textId="77777777">
            <w:pPr>
              <w:pStyle w:val="BodyTextIndent"/>
              <w:ind w:right="53"/>
              <w:rPr>
                <w:del w:id="11463" w:author="AbbVie14" w:date="2025-05-09T10:35:00Z"/>
              </w:rPr>
            </w:pPr>
            <w:del w:id="11464" w:author="AbbVie14" w:date="2025-05-09T10:35:00Z">
              <w:r w:rsidRPr="00612824">
                <w:delText>20 settimane</w:delText>
              </w:r>
            </w:del>
          </w:p>
        </w:tc>
        <w:tc>
          <w:tcPr>
            <w:tcW w:w="1650" w:type="dxa"/>
          </w:tcPr>
          <w:p w:rsidR="00287663" w:rsidRPr="00612824" w:rsidP="00F83E38" w14:paraId="4C188F77" w14:textId="77777777">
            <w:pPr>
              <w:pStyle w:val="BodyTextIndent"/>
              <w:ind w:right="53"/>
              <w:rPr>
                <w:del w:id="11465" w:author="AbbVie14" w:date="2025-05-09T10:35:00Z"/>
              </w:rPr>
            </w:pPr>
            <w:del w:id="11466" w:author="AbbVie14" w:date="2025-05-09T10:35:00Z">
              <w:r w:rsidRPr="00612824">
                <w:delText>&gt;32 settimane</w:delText>
              </w:r>
            </w:del>
          </w:p>
        </w:tc>
        <w:tc>
          <w:tcPr>
            <w:tcW w:w="1589" w:type="dxa"/>
          </w:tcPr>
          <w:p w:rsidR="00287663" w:rsidRPr="00612824" w:rsidP="00F83E38" w14:paraId="65449E65" w14:textId="77777777">
            <w:pPr>
              <w:pStyle w:val="BodyTextIndent"/>
              <w:ind w:right="53"/>
              <w:rPr>
                <w:del w:id="11467" w:author="AbbVie14" w:date="2025-05-09T10:35:00Z"/>
              </w:rPr>
            </w:pPr>
            <w:del w:id="11468" w:author="AbbVie14" w:date="2025-05-09T10:35:00Z">
              <w:r w:rsidRPr="00612824">
                <w:delText>14 settimane</w:delText>
              </w:r>
            </w:del>
          </w:p>
        </w:tc>
      </w:tr>
    </w:tbl>
    <w:p w:rsidR="00287663" w:rsidRPr="00612824" w:rsidP="00287663" w14:paraId="2E52D25E" w14:textId="77777777">
      <w:pPr>
        <w:pStyle w:val="BodyTextIndent"/>
        <w:ind w:right="53"/>
        <w:rPr>
          <w:del w:id="11469" w:author="AbbVie14" w:date="2025-05-09T10:35:00Z"/>
          <w:vertAlign w:val="superscript"/>
        </w:rPr>
      </w:pPr>
    </w:p>
    <w:p w:rsidR="00287663" w:rsidRPr="00612824" w:rsidP="00287663" w14:paraId="3A5D1C04" w14:textId="77777777">
      <w:pPr>
        <w:pStyle w:val="BodyTextIndent"/>
        <w:ind w:right="53"/>
        <w:rPr>
          <w:del w:id="11470" w:author="AbbVie14" w:date="2025-05-09T10:35:00Z"/>
        </w:rPr>
      </w:pPr>
      <w:del w:id="11471" w:author="AbbVie14" w:date="2025-05-09T10:35:00Z">
        <w:r w:rsidRPr="00612824">
          <w:rPr>
            <w:vertAlign w:val="superscript"/>
          </w:rPr>
          <w:delText>a</w:delText>
        </w:r>
      </w:del>
      <w:del w:id="11472" w:author="AbbVie14" w:date="2025-05-09T10:35:00Z">
        <w:r w:rsidRPr="00612824">
          <w:delText xml:space="preserve"> Le risposte Ped ACR 30/50/70 alla 48a settimana sono risultate significativamente maggiori rispetto a quelle ottenute nei pazienti trattati con placebo </w:delText>
        </w:r>
      </w:del>
    </w:p>
    <w:p w:rsidR="00287663" w:rsidRPr="00612824" w:rsidP="00287663" w14:paraId="2108A451" w14:textId="77777777">
      <w:pPr>
        <w:pStyle w:val="BodyTextIndent"/>
        <w:ind w:right="53"/>
        <w:rPr>
          <w:del w:id="11473" w:author="AbbVie14" w:date="2025-05-09T10:35:00Z"/>
        </w:rPr>
      </w:pPr>
      <w:del w:id="11474" w:author="AbbVie14" w:date="2025-05-09T10:35:00Z">
        <w:r w:rsidRPr="00612824">
          <w:rPr>
            <w:vertAlign w:val="superscript"/>
          </w:rPr>
          <w:delText xml:space="preserve">b </w:delText>
        </w:r>
      </w:del>
      <w:del w:id="11475" w:author="AbbVie14" w:date="2025-05-09T10:35:00Z">
        <w:r w:rsidRPr="00612824">
          <w:delText>p = 0,015</w:delText>
        </w:r>
      </w:del>
    </w:p>
    <w:p w:rsidR="00287663" w:rsidRPr="00612824" w:rsidP="00287663" w14:paraId="63946940" w14:textId="77777777">
      <w:pPr>
        <w:pStyle w:val="BodyTextIndent"/>
        <w:ind w:right="53"/>
        <w:rPr>
          <w:del w:id="11476" w:author="AbbVie14" w:date="2025-05-09T10:35:00Z"/>
          <w:b/>
          <w:bCs/>
        </w:rPr>
      </w:pPr>
      <w:del w:id="11477" w:author="AbbVie14" w:date="2025-05-09T10:35:00Z">
        <w:r w:rsidRPr="00612824">
          <w:rPr>
            <w:vertAlign w:val="superscript"/>
          </w:rPr>
          <w:delText xml:space="preserve">c </w:delText>
        </w:r>
      </w:del>
      <w:del w:id="11478" w:author="AbbVie14" w:date="2025-05-09T10:35:00Z">
        <w:r w:rsidRPr="00612824">
          <w:delText>p = 0,031</w:delText>
        </w:r>
      </w:del>
    </w:p>
    <w:p w:rsidR="00287663" w:rsidRPr="00612824" w:rsidP="00287663" w14:paraId="4F96B46F" w14:textId="77777777">
      <w:pPr>
        <w:tabs>
          <w:tab w:val="left" w:pos="567"/>
          <w:tab w:val="left" w:pos="1294"/>
        </w:tabs>
        <w:autoSpaceDE w:val="0"/>
        <w:autoSpaceDN w:val="0"/>
        <w:adjustRightInd w:val="0"/>
        <w:jc w:val="both"/>
        <w:rPr>
          <w:del w:id="11479" w:author="AbbVie14" w:date="2025-05-09T10:35:00Z"/>
          <w:color w:val="000000"/>
          <w:sz w:val="22"/>
          <w:szCs w:val="22"/>
        </w:rPr>
      </w:pPr>
    </w:p>
    <w:p w:rsidR="00287663" w:rsidRPr="00612824" w:rsidP="00287663" w14:paraId="6394EDA6" w14:textId="77777777">
      <w:pPr>
        <w:tabs>
          <w:tab w:val="left" w:pos="567"/>
          <w:tab w:val="left" w:pos="1294"/>
        </w:tabs>
        <w:autoSpaceDE w:val="0"/>
        <w:autoSpaceDN w:val="0"/>
        <w:adjustRightInd w:val="0"/>
        <w:jc w:val="both"/>
        <w:rPr>
          <w:del w:id="11480" w:author="AbbVie14" w:date="2025-05-09T10:35:00Z"/>
          <w:sz w:val="22"/>
          <w:szCs w:val="22"/>
        </w:rPr>
      </w:pPr>
      <w:del w:id="11481" w:author="AbbVie14" w:date="2025-05-09T10:35:00Z">
        <w:r w:rsidRPr="00612824">
          <w:rPr>
            <w:sz w:val="22"/>
            <w:szCs w:val="22"/>
          </w:rPr>
          <w:delText xml:space="preserve">Tra coloro che alla 16a settimana hanno risposto al trattamento (n=144), le risposte Ped ACR 30/50/70/90 sono state mantenute per un massimo di sei anni durante la fase OLE nei pazienti a cui è stato somministrato Humira nel corso di tutto lo studio. Complessivamente, 19 soggetti, di cui 11 appartenenti al gruppo di età al basale compresa tra 4 e 12 anni e 8 appartenenti al gruppo di età al basale compresa tra 13 e 17 anni, sono stati trattati per 6 anni o più. </w:delText>
        </w:r>
      </w:del>
    </w:p>
    <w:p w:rsidR="00287663" w:rsidRPr="00612824" w:rsidP="00287663" w14:paraId="636DE5A6" w14:textId="77777777">
      <w:pPr>
        <w:tabs>
          <w:tab w:val="left" w:pos="567"/>
          <w:tab w:val="left" w:pos="1294"/>
        </w:tabs>
        <w:autoSpaceDE w:val="0"/>
        <w:autoSpaceDN w:val="0"/>
        <w:adjustRightInd w:val="0"/>
        <w:jc w:val="both"/>
        <w:rPr>
          <w:del w:id="11482" w:author="AbbVie14" w:date="2025-05-09T10:35:00Z"/>
          <w:sz w:val="22"/>
          <w:szCs w:val="22"/>
        </w:rPr>
      </w:pPr>
    </w:p>
    <w:p w:rsidR="00287663" w:rsidRPr="00612824" w:rsidP="00287663" w14:paraId="0A10042C" w14:textId="77777777">
      <w:pPr>
        <w:tabs>
          <w:tab w:val="left" w:pos="567"/>
          <w:tab w:val="left" w:pos="1294"/>
        </w:tabs>
        <w:autoSpaceDE w:val="0"/>
        <w:autoSpaceDN w:val="0"/>
        <w:adjustRightInd w:val="0"/>
        <w:jc w:val="both"/>
        <w:rPr>
          <w:del w:id="11483" w:author="AbbVie14" w:date="2025-05-09T10:35:00Z"/>
          <w:sz w:val="22"/>
          <w:szCs w:val="22"/>
        </w:rPr>
      </w:pPr>
      <w:del w:id="11484" w:author="AbbVie14" w:date="2025-05-09T10:35:00Z">
        <w:r w:rsidRPr="00612824">
          <w:rPr>
            <w:sz w:val="22"/>
            <w:szCs w:val="22"/>
          </w:rPr>
          <w:delText xml:space="preserve">Le risposte complessive sono risultate generalmente migliori e meno pazienti hanno sviluppato anticorpi quando sono stati trattati con la terapia combinata Humira e MTX rispetto al trattamento con Humira somministrato in monoterapia. </w:delText>
        </w:r>
      </w:del>
    </w:p>
    <w:p w:rsidR="00287663" w:rsidRPr="00612824" w:rsidP="00287663" w14:paraId="237CD0EC" w14:textId="77777777">
      <w:pPr>
        <w:rPr>
          <w:del w:id="11485" w:author="AbbVie14" w:date="2025-05-09T10:35:00Z"/>
          <w:sz w:val="22"/>
          <w:szCs w:val="22"/>
        </w:rPr>
      </w:pPr>
    </w:p>
    <w:p w:rsidR="00287663" w:rsidRPr="00612824" w:rsidP="00287663" w14:paraId="0667A569" w14:textId="77777777">
      <w:pPr>
        <w:tabs>
          <w:tab w:val="left" w:pos="567"/>
          <w:tab w:val="left" w:pos="1294"/>
        </w:tabs>
        <w:autoSpaceDE w:val="0"/>
        <w:autoSpaceDN w:val="0"/>
        <w:adjustRightInd w:val="0"/>
        <w:jc w:val="both"/>
        <w:rPr>
          <w:del w:id="11486" w:author="AbbVie14" w:date="2025-05-09T10:35:00Z"/>
          <w:sz w:val="22"/>
          <w:szCs w:val="22"/>
        </w:rPr>
      </w:pPr>
      <w:del w:id="11487" w:author="AbbVie14" w:date="2025-05-09T10:35:00Z">
        <w:r w:rsidRPr="00612824">
          <w:rPr>
            <w:sz w:val="22"/>
            <w:szCs w:val="22"/>
          </w:rPr>
          <w:delText>Prendendo in considerazione tali risultati, l’uso di Humira è raccomandato in associazione al MTX ed in monoterapia nei pazienti per i quali l’uso di MTX sia sconsigliato (vedere paragrafo 4.2).</w:delText>
        </w:r>
      </w:del>
    </w:p>
    <w:p w:rsidR="00287663" w:rsidRPr="00612824" w:rsidP="00287663" w14:paraId="51415F0C" w14:textId="77777777">
      <w:pPr>
        <w:tabs>
          <w:tab w:val="left" w:pos="567"/>
          <w:tab w:val="left" w:pos="1294"/>
        </w:tabs>
        <w:autoSpaceDE w:val="0"/>
        <w:autoSpaceDN w:val="0"/>
        <w:adjustRightInd w:val="0"/>
        <w:jc w:val="both"/>
        <w:rPr>
          <w:del w:id="11488" w:author="AbbVie14" w:date="2025-05-09T10:35:00Z"/>
          <w:sz w:val="22"/>
          <w:szCs w:val="22"/>
        </w:rPr>
      </w:pPr>
    </w:p>
    <w:p w:rsidR="00287663" w:rsidRPr="00612824" w:rsidP="00287663" w14:paraId="53E82826" w14:textId="77777777">
      <w:pPr>
        <w:tabs>
          <w:tab w:val="left" w:pos="567"/>
          <w:tab w:val="left" w:pos="1294"/>
        </w:tabs>
        <w:autoSpaceDE w:val="0"/>
        <w:autoSpaceDN w:val="0"/>
        <w:adjustRightInd w:val="0"/>
        <w:jc w:val="both"/>
        <w:rPr>
          <w:del w:id="11489" w:author="AbbVie14" w:date="2025-05-09T10:35:00Z"/>
          <w:sz w:val="22"/>
          <w:szCs w:val="22"/>
        </w:rPr>
      </w:pPr>
      <w:del w:id="11490" w:author="AbbVie14" w:date="2025-05-09T10:35:00Z">
        <w:r w:rsidRPr="00612824">
          <w:rPr>
            <w:sz w:val="22"/>
            <w:szCs w:val="22"/>
          </w:rPr>
          <w:delText>pJIA II</w:delText>
        </w:r>
      </w:del>
    </w:p>
    <w:p w:rsidR="00287663" w:rsidRPr="00612824" w:rsidP="00287663" w14:paraId="0C591D03" w14:textId="77777777">
      <w:pPr>
        <w:tabs>
          <w:tab w:val="left" w:pos="567"/>
          <w:tab w:val="left" w:pos="1294"/>
        </w:tabs>
        <w:autoSpaceDE w:val="0"/>
        <w:autoSpaceDN w:val="0"/>
        <w:adjustRightInd w:val="0"/>
        <w:jc w:val="both"/>
        <w:rPr>
          <w:del w:id="11491" w:author="AbbVie14" w:date="2025-05-09T10:35:00Z"/>
          <w:sz w:val="22"/>
          <w:szCs w:val="22"/>
        </w:rPr>
      </w:pPr>
    </w:p>
    <w:p w:rsidR="00287663" w:rsidRPr="00612824" w:rsidP="00287663" w14:paraId="51BAC272" w14:textId="77777777">
      <w:pPr>
        <w:tabs>
          <w:tab w:val="left" w:pos="567"/>
          <w:tab w:val="left" w:pos="1294"/>
        </w:tabs>
        <w:autoSpaceDE w:val="0"/>
        <w:autoSpaceDN w:val="0"/>
        <w:adjustRightInd w:val="0"/>
        <w:jc w:val="both"/>
        <w:rPr>
          <w:del w:id="11492" w:author="AbbVie14" w:date="2025-05-09T10:35:00Z"/>
          <w:sz w:val="22"/>
          <w:szCs w:val="22"/>
        </w:rPr>
      </w:pPr>
      <w:del w:id="11493" w:author="AbbVie14" w:date="2025-05-09T10:35:00Z">
        <w:r w:rsidRPr="00612824">
          <w:rPr>
            <w:sz w:val="22"/>
            <w:szCs w:val="22"/>
          </w:rPr>
          <w:delText>La sicurezza e l’efficacia di Humira è stata valutata in uno studio multicentrico in aperto in 32 bambini (2-&lt;4 anni età o di 4 anni di età o più e peso &lt; 15 kg) con artrite idiopatica giovanile poliarticolare da moderatamente a gravemente attiva. I pazienti hanno ricevuto 24 mg/m</w:delText>
        </w:r>
      </w:del>
      <w:del w:id="11494" w:author="AbbVie14" w:date="2025-05-09T10:35:00Z">
        <w:r w:rsidRPr="00612824">
          <w:rPr>
            <w:sz w:val="22"/>
            <w:szCs w:val="22"/>
            <w:vertAlign w:val="superscript"/>
          </w:rPr>
          <w:delText>2</w:delText>
        </w:r>
      </w:del>
      <w:del w:id="11495" w:author="AbbVie14" w:date="2025-05-09T10:35:00Z">
        <w:r w:rsidRPr="00612824">
          <w:rPr>
            <w:sz w:val="22"/>
            <w:szCs w:val="22"/>
          </w:rPr>
          <w:delText xml:space="preserve"> di superficie corporea (BSA) di Humira fino a un massimo di 20 mg a settimane alterne come singola dose per via sottocutanea per almeno 24 settimane. Durante lo studio la maggior parte dei soggetti faceva un uso concomitante di MTX, con alcuni soggetti che riportavano l’uso di corticosteroidi o antinfiammatori non steroidei (FANS).</w:delText>
        </w:r>
      </w:del>
    </w:p>
    <w:p w:rsidR="00287663" w:rsidRPr="00612824" w:rsidP="00287663" w14:paraId="04C27EC3" w14:textId="77777777">
      <w:pPr>
        <w:tabs>
          <w:tab w:val="left" w:pos="567"/>
          <w:tab w:val="left" w:pos="1294"/>
        </w:tabs>
        <w:autoSpaceDE w:val="0"/>
        <w:autoSpaceDN w:val="0"/>
        <w:adjustRightInd w:val="0"/>
        <w:jc w:val="both"/>
        <w:rPr>
          <w:del w:id="11496" w:author="AbbVie14" w:date="2025-05-09T10:35:00Z"/>
          <w:sz w:val="22"/>
          <w:szCs w:val="22"/>
        </w:rPr>
      </w:pPr>
    </w:p>
    <w:p w:rsidR="00287663" w:rsidRPr="00612824" w:rsidP="00287663" w14:paraId="3485AF2B" w14:textId="77777777">
      <w:pPr>
        <w:tabs>
          <w:tab w:val="left" w:pos="567"/>
          <w:tab w:val="left" w:pos="1294"/>
        </w:tabs>
        <w:autoSpaceDE w:val="0"/>
        <w:autoSpaceDN w:val="0"/>
        <w:adjustRightInd w:val="0"/>
        <w:jc w:val="both"/>
        <w:rPr>
          <w:del w:id="11497" w:author="AbbVie14" w:date="2025-05-09T10:35:00Z"/>
          <w:sz w:val="22"/>
          <w:szCs w:val="22"/>
        </w:rPr>
      </w:pPr>
      <w:del w:id="11498" w:author="AbbVie14" w:date="2025-05-09T10:35:00Z">
        <w:r w:rsidRPr="00612824">
          <w:rPr>
            <w:sz w:val="22"/>
            <w:szCs w:val="22"/>
          </w:rPr>
          <w:delText>Alla settimana 12 e alla settimana 24, la risposta PedACR30 era, rispettivamente, 93,5% e 90,0% usando l’approccio dei dati osservati. Le percentuali dei soggetti con PedACR50/70/90 alla settimana 12 e alla settimana 24 erano, rispettivamente, 90,3%/61,3%/38,7% e 83,3%/73,3%/36,7%. Tra quelli che rispondevano (PedACR30) alla settimana 24 (n=27 pazienti su 30), le risposte PedACR30 erano mantenute fino a 60 settimane nei pazienti che ricevevano Humira nel corso della fase di estensione  in aperto (OLE). In totale, 20 soggetti erano trattati per 60 settimane o oltre.</w:delText>
        </w:r>
      </w:del>
    </w:p>
    <w:p w:rsidR="00287663" w:rsidRPr="00612824" w:rsidP="00287663" w14:paraId="079DE488" w14:textId="77777777">
      <w:pPr>
        <w:tabs>
          <w:tab w:val="left" w:pos="567"/>
          <w:tab w:val="left" w:pos="1294"/>
        </w:tabs>
        <w:autoSpaceDE w:val="0"/>
        <w:autoSpaceDN w:val="0"/>
        <w:adjustRightInd w:val="0"/>
        <w:jc w:val="both"/>
        <w:rPr>
          <w:del w:id="11499" w:author="AbbVie14" w:date="2025-05-09T10:35:00Z"/>
          <w:sz w:val="22"/>
          <w:szCs w:val="22"/>
        </w:rPr>
      </w:pPr>
    </w:p>
    <w:p w:rsidR="00287663" w:rsidRPr="00612824" w:rsidP="00612824" w14:paraId="4F54FC10" w14:textId="77777777">
      <w:pPr>
        <w:keepNext/>
        <w:tabs>
          <w:tab w:val="left" w:pos="567"/>
          <w:tab w:val="left" w:pos="1294"/>
        </w:tabs>
        <w:autoSpaceDE w:val="0"/>
        <w:autoSpaceDN w:val="0"/>
        <w:adjustRightInd w:val="0"/>
        <w:jc w:val="both"/>
        <w:rPr>
          <w:del w:id="11500" w:author="AbbVie14" w:date="2025-05-09T10:35:00Z"/>
          <w:rStyle w:val="gtcbold9"/>
          <w:b w:val="0"/>
          <w:i/>
          <w:sz w:val="22"/>
          <w:szCs w:val="22"/>
          <w:u w:val="single"/>
        </w:rPr>
      </w:pPr>
      <w:del w:id="11501" w:author="AbbVie14" w:date="2025-05-09T10:35:00Z">
        <w:r w:rsidRPr="00612824">
          <w:rPr>
            <w:rStyle w:val="gtcbold9"/>
            <w:b w:val="0"/>
            <w:i/>
            <w:sz w:val="22"/>
            <w:szCs w:val="22"/>
            <w:u w:val="single"/>
          </w:rPr>
          <w:delText>Artrite associata ad entesite</w:delText>
        </w:r>
      </w:del>
    </w:p>
    <w:p w:rsidR="00287663" w:rsidRPr="00612824" w:rsidP="00612824" w14:paraId="0A56D6AB" w14:textId="77777777">
      <w:pPr>
        <w:pStyle w:val="gtcbodytext"/>
        <w:keepNext/>
        <w:spacing w:before="0" w:after="0" w:line="240" w:lineRule="auto"/>
        <w:rPr>
          <w:del w:id="11502" w:author="AbbVie14" w:date="2025-05-09T10:35:00Z"/>
          <w:rStyle w:val="gtcbold9"/>
          <w:b w:val="0"/>
          <w:sz w:val="22"/>
          <w:szCs w:val="22"/>
          <w:u w:val="single"/>
          <w:lang w:val="it-IT"/>
        </w:rPr>
      </w:pPr>
    </w:p>
    <w:p w:rsidR="00287663" w:rsidRPr="00612824" w:rsidP="00287663" w14:paraId="40762454" w14:textId="77777777">
      <w:pPr>
        <w:pStyle w:val="gtcbodytext"/>
        <w:spacing w:before="0" w:after="0" w:line="240" w:lineRule="auto"/>
        <w:jc w:val="both"/>
        <w:rPr>
          <w:del w:id="11503" w:author="AbbVie14" w:date="2025-05-09T10:35:00Z"/>
          <w:rStyle w:val="gtcbold9"/>
          <w:b w:val="0"/>
          <w:sz w:val="22"/>
          <w:szCs w:val="22"/>
          <w:lang w:val="it-IT"/>
        </w:rPr>
      </w:pPr>
      <w:del w:id="11504" w:author="AbbVie14" w:date="2025-05-09T10:35:00Z">
        <w:r w:rsidRPr="00612824">
          <w:rPr>
            <w:rStyle w:val="gtcbold9"/>
            <w:b w:val="0"/>
            <w:sz w:val="22"/>
            <w:szCs w:val="22"/>
            <w:lang w:val="it-IT"/>
          </w:rPr>
          <w:delText>La sicurezza e l’efficacia di Humira sono state valutate in uno studio multicentrico, randomizzato, in doppio cieco in 46 pazienti pediatrici (da 6 a 17 anni di età) con entesite associata ad artrite di grado moderato. I pazienti sono stati randomizzati per ricevere o 24 mg/m</w:delText>
        </w:r>
      </w:del>
      <w:del w:id="11505" w:author="AbbVie14" w:date="2025-05-09T10:35:00Z">
        <w:r w:rsidRPr="00612824">
          <w:rPr>
            <w:rStyle w:val="gtcbold9"/>
            <w:b w:val="0"/>
            <w:sz w:val="22"/>
            <w:szCs w:val="22"/>
            <w:vertAlign w:val="superscript"/>
            <w:lang w:val="it-IT"/>
          </w:rPr>
          <w:delText>2</w:delText>
        </w:r>
      </w:del>
      <w:del w:id="11506" w:author="AbbVie14" w:date="2025-05-09T10:35:00Z">
        <w:r w:rsidRPr="00612824">
          <w:rPr>
            <w:rStyle w:val="gtcbold9"/>
            <w:b w:val="0"/>
            <w:sz w:val="22"/>
            <w:szCs w:val="22"/>
            <w:lang w:val="it-IT"/>
          </w:rPr>
          <w:delText xml:space="preserve"> di superficie corporea (BSA) di Humira, fino ad un massimo di 40 mg, o placebo a settimane alterne per 12 settimane.</w:delText>
        </w:r>
      </w:del>
    </w:p>
    <w:p w:rsidR="00287663" w:rsidRPr="005B3621" w:rsidP="00287663" w14:paraId="0F5C8BED" w14:textId="77777777">
      <w:pPr>
        <w:rPr>
          <w:del w:id="11507" w:author="AbbVie14" w:date="2025-05-09T10:35:00Z"/>
          <w:rStyle w:val="gtcbold9"/>
          <w:b w:val="0"/>
          <w:sz w:val="22"/>
          <w:szCs w:val="22"/>
          <w:lang w:eastAsia="en-US"/>
        </w:rPr>
      </w:pPr>
      <w:del w:id="11508" w:author="AbbVie14" w:date="2025-05-09T10:35:00Z">
        <w:r w:rsidRPr="00612824">
          <w:rPr>
            <w:rStyle w:val="gtcbold9"/>
            <w:b w:val="0"/>
            <w:sz w:val="22"/>
            <w:szCs w:val="22"/>
          </w:rPr>
          <w:delText>Il periodo in doppio cieco è stato seguito da un periodo di studio in aperto (OL), durante il quale i pazienti hanno ricevuto 24 mg/m</w:delText>
        </w:r>
      </w:del>
      <w:del w:id="11509" w:author="AbbVie14" w:date="2025-05-09T10:35:00Z">
        <w:r w:rsidRPr="00612824">
          <w:rPr>
            <w:rStyle w:val="gtcbold9"/>
            <w:b w:val="0"/>
            <w:sz w:val="22"/>
            <w:szCs w:val="22"/>
            <w:vertAlign w:val="superscript"/>
          </w:rPr>
          <w:delText>2</w:delText>
        </w:r>
      </w:del>
      <w:del w:id="11510" w:author="AbbVie14" w:date="2025-05-09T10:35:00Z">
        <w:r w:rsidRPr="00612824">
          <w:rPr>
            <w:rStyle w:val="gtcbold9"/>
            <w:b w:val="0"/>
            <w:sz w:val="22"/>
            <w:szCs w:val="22"/>
          </w:rPr>
          <w:delText xml:space="preserve"> di superficie corporea di Humira, fino ad un massimo di 40 mg per via sottocutanea a settimane alterne, per altre 192 settimane. L’endpoint primario era la variazione percentuale nel numero di articolazioni con artrite attiva dal valore al basale a quello alla settimana 12 (gonfiore non dovuto a deformitào articolazioni con perdita di movimento più dolore e/o dolorabilità), ed è stato raggiunto con una diminuzione media percentuale del -62,6% (variazione mediana percentuale– 88,9%) nei pazienti del gruppo trattato con Humira rispetto al -11,6% (variazione mediana percentuale– 50,0%) nei pazienti del gruppo trattato con placebo. Il miglioramento nel numero di articolazioni attive con artrite è stato mantenuto durante il periodo in aperto dello studio fino alla settimana 156 per 26 dei 31 (84%) pazienti del gruppo trattato con Humira che sono rimasti nello studio. Nonostante non fosse statisticamente significativo, la maggior parte dei pazienti ha dimostrato un miglioramento clinico negli endpoint secondari, come il numero di siti di entesite, la conta delle articolazioni dolenti (TJC), la conta delle articolazioni tumefatte (SJC), la risposta ACR 50 Pediatrica e la risposta ACR 70 Pediatrica.</w:delText>
        </w:r>
      </w:del>
    </w:p>
    <w:p w:rsidR="00287663" w:rsidRPr="005B3621" w:rsidP="00287663" w14:paraId="6C70BBAB" w14:textId="77777777">
      <w:pPr>
        <w:keepNext/>
        <w:tabs>
          <w:tab w:val="left" w:pos="567"/>
        </w:tabs>
        <w:jc w:val="both"/>
        <w:rPr>
          <w:del w:id="11511" w:author="AbbVie14" w:date="2025-05-09T10:35:00Z"/>
          <w:i/>
          <w:color w:val="000000"/>
          <w:sz w:val="22"/>
          <w:szCs w:val="22"/>
        </w:rPr>
      </w:pPr>
    </w:p>
    <w:p w:rsidR="00287663" w:rsidRPr="00612824" w:rsidP="00287663" w14:paraId="3BDC6E48" w14:textId="77777777">
      <w:pPr>
        <w:keepNext/>
        <w:tabs>
          <w:tab w:val="left" w:pos="567"/>
        </w:tabs>
        <w:jc w:val="both"/>
        <w:rPr>
          <w:del w:id="11512" w:author="AbbVie14" w:date="2025-05-09T10:35:00Z"/>
          <w:i/>
          <w:color w:val="000000"/>
          <w:sz w:val="22"/>
          <w:szCs w:val="22"/>
        </w:rPr>
      </w:pPr>
      <w:del w:id="11513" w:author="AbbVie14" w:date="2025-05-09T10:35:00Z">
        <w:r w:rsidRPr="00612824">
          <w:rPr>
            <w:i/>
            <w:color w:val="000000"/>
            <w:sz w:val="22"/>
            <w:szCs w:val="22"/>
          </w:rPr>
          <w:delText>Psoriasi a placche pediatrica</w:delText>
        </w:r>
      </w:del>
    </w:p>
    <w:p w:rsidR="00287663" w:rsidRPr="00612824" w:rsidP="00287663" w14:paraId="127F8E03" w14:textId="77777777">
      <w:pPr>
        <w:keepNext/>
        <w:tabs>
          <w:tab w:val="left" w:pos="567"/>
        </w:tabs>
        <w:jc w:val="both"/>
        <w:rPr>
          <w:del w:id="11514" w:author="AbbVie14" w:date="2025-05-09T10:35:00Z"/>
          <w:color w:val="000000"/>
          <w:sz w:val="22"/>
          <w:szCs w:val="22"/>
        </w:rPr>
      </w:pPr>
    </w:p>
    <w:p w:rsidR="00287663" w:rsidRPr="00612824" w:rsidP="00287663" w14:paraId="4277B200" w14:textId="77777777">
      <w:pPr>
        <w:keepNext/>
        <w:tabs>
          <w:tab w:val="left" w:pos="567"/>
        </w:tabs>
        <w:jc w:val="both"/>
        <w:rPr>
          <w:del w:id="11515" w:author="AbbVie14" w:date="2025-05-09T10:35:00Z"/>
          <w:color w:val="000000"/>
          <w:sz w:val="22"/>
          <w:szCs w:val="22"/>
        </w:rPr>
      </w:pPr>
      <w:del w:id="11516" w:author="AbbVie14" w:date="2025-05-09T10:35:00Z">
        <w:r w:rsidRPr="00612824">
          <w:rPr>
            <w:color w:val="000000"/>
            <w:sz w:val="22"/>
            <w:szCs w:val="22"/>
          </w:rPr>
          <w:delText>L’efficacia di Humira è stata valutata in uno studio randomizzato, controllato, in doppio cieco, su 114 pazienti pediatrici a partire dai 4 anni d’età con psoriasi cronica a placche grave (definita da un PGA ≥ 4 o BSA &gt; 20% o BSA &gt; 10% con lesioni molto spesse o PASI ≥ 20 o ≥ 10 con coinvolgimento facciale, genitale o di mani/piedi clinicamente rilevante) inadeguatamente controllata con la terapia topica e l’elioterapia o la fototerapia.</w:delText>
        </w:r>
      </w:del>
    </w:p>
    <w:p w:rsidR="00287663" w:rsidRPr="00612824" w:rsidP="00287663" w14:paraId="04F48A96" w14:textId="77777777">
      <w:pPr>
        <w:keepNext/>
        <w:tabs>
          <w:tab w:val="left" w:pos="567"/>
        </w:tabs>
        <w:jc w:val="both"/>
        <w:rPr>
          <w:del w:id="11517" w:author="AbbVie14" w:date="2025-05-09T10:35:00Z"/>
          <w:color w:val="000000"/>
          <w:sz w:val="22"/>
          <w:szCs w:val="22"/>
        </w:rPr>
      </w:pPr>
    </w:p>
    <w:p w:rsidR="00287663" w:rsidRPr="00612824" w:rsidP="00287663" w14:paraId="34755524" w14:textId="77777777">
      <w:pPr>
        <w:tabs>
          <w:tab w:val="left" w:pos="567"/>
        </w:tabs>
        <w:jc w:val="both"/>
        <w:rPr>
          <w:del w:id="11518" w:author="AbbVie14" w:date="2025-05-09T10:35:00Z"/>
          <w:color w:val="000000"/>
          <w:sz w:val="22"/>
          <w:szCs w:val="22"/>
        </w:rPr>
      </w:pPr>
      <w:del w:id="11519" w:author="AbbVie14" w:date="2025-05-09T10:35:00Z">
        <w:r w:rsidRPr="00612824">
          <w:rPr>
            <w:color w:val="000000"/>
            <w:sz w:val="22"/>
            <w:szCs w:val="22"/>
          </w:rPr>
          <w:delText>I pazienti hanno ricevuto Humira 0,8 mg/kg a settimane alterne (fino a 40 mg), 0,4 mg/kg a settimane alterne (fino a 20 mg), oppure metotressato 0,1 – 0,4 mg/kg una volta a settimana (fino a 25 mg). Alla settimana 16, un maggior numero di pazienti randomizzati ad Humira 0,8 mg/kg ha avuto risposte di efficacia positive (ad es., risposta PASI 75) rispetto a quelli randomizzati a 0,4 mg/kg a settimane alterne o a metotressato.</w:delText>
        </w:r>
      </w:del>
    </w:p>
    <w:p w:rsidR="00287663" w:rsidRPr="00612824" w:rsidP="00287663" w14:paraId="145005D8" w14:textId="77777777">
      <w:pPr>
        <w:keepNext/>
        <w:tabs>
          <w:tab w:val="left" w:pos="567"/>
        </w:tabs>
        <w:jc w:val="both"/>
        <w:rPr>
          <w:del w:id="11520" w:author="AbbVie14" w:date="2025-05-09T10:35:00Z"/>
          <w:color w:val="000000"/>
          <w:sz w:val="22"/>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3999"/>
        <w:gridCol w:w="1018"/>
        <w:gridCol w:w="3070"/>
      </w:tblGrid>
      <w:tr w14:paraId="6AD12624" w14:textId="77777777" w:rsidTr="00F83E38">
        <w:tblPrEx>
          <w:tblW w:w="4458" w:type="pct"/>
          <w:tblLook w:val="00A0"/>
        </w:tblPrEx>
        <w:trPr>
          <w:del w:id="11521" w:author="AbbVie14" w:date="2025-05-09T10:35:00Z"/>
        </w:trPr>
        <w:tc>
          <w:tcPr>
            <w:tcW w:w="5000" w:type="pct"/>
            <w:gridSpan w:val="3"/>
            <w:tcBorders>
              <w:top w:val="nil"/>
              <w:left w:val="nil"/>
              <w:bottom w:val="nil"/>
              <w:right w:val="nil"/>
            </w:tcBorders>
            <w:vAlign w:val="center"/>
          </w:tcPr>
          <w:p w:rsidR="00287663" w:rsidRPr="00612824" w:rsidP="00F83E38" w14:paraId="5CFCF90C" w14:textId="77777777">
            <w:pPr>
              <w:keepNext/>
              <w:autoSpaceDE w:val="0"/>
              <w:autoSpaceDN w:val="0"/>
              <w:adjustRightInd w:val="0"/>
              <w:jc w:val="center"/>
              <w:rPr>
                <w:del w:id="11522" w:author="AbbVie14" w:date="2025-05-09T10:35:00Z"/>
                <w:rStyle w:val="gtcbold9"/>
                <w:rFonts w:eastAsia="Arial"/>
                <w:sz w:val="22"/>
                <w:szCs w:val="22"/>
                <w:lang w:bidi="it-IT"/>
              </w:rPr>
            </w:pPr>
            <w:del w:id="11523" w:author="AbbVie14" w:date="2025-05-09T10:35:00Z">
              <w:r w:rsidRPr="00612824">
                <w:rPr>
                  <w:rStyle w:val="gtcbold9"/>
                  <w:rFonts w:eastAsia="Arial"/>
                  <w:sz w:val="22"/>
                  <w:szCs w:val="22"/>
                  <w:lang w:bidi="it-IT"/>
                </w:rPr>
                <w:delText>Tabella 27: Psoriasi a Placche Pediatrica</w:delText>
              </w:r>
            </w:del>
          </w:p>
          <w:p w:rsidR="00287663" w:rsidRPr="00612824" w:rsidP="00F83E38" w14:paraId="6FEB296F" w14:textId="77777777">
            <w:pPr>
              <w:keepNext/>
              <w:jc w:val="center"/>
              <w:rPr>
                <w:del w:id="11524" w:author="AbbVie14" w:date="2025-05-09T10:35:00Z"/>
                <w:rStyle w:val="gtcbold9"/>
                <w:rFonts w:eastAsia="Arial"/>
                <w:sz w:val="22"/>
                <w:szCs w:val="22"/>
                <w:lang w:bidi="it-IT"/>
              </w:rPr>
            </w:pPr>
            <w:del w:id="11525" w:author="AbbVie14" w:date="2025-05-09T10:35:00Z">
              <w:r w:rsidRPr="00612824">
                <w:rPr>
                  <w:rStyle w:val="gtcbold9"/>
                  <w:rFonts w:eastAsia="Arial"/>
                  <w:sz w:val="22"/>
                  <w:szCs w:val="22"/>
                  <w:lang w:bidi="it-IT"/>
                </w:rPr>
                <w:delText>Risultati relativi all’efficacia alla settimana 16</w:delText>
              </w:r>
            </w:del>
          </w:p>
          <w:p w:rsidR="00287663" w:rsidRPr="00612824" w:rsidP="00F83E38" w14:paraId="2BA16CA1" w14:textId="77777777">
            <w:pPr>
              <w:keepNext/>
              <w:jc w:val="center"/>
              <w:rPr>
                <w:del w:id="11526" w:author="AbbVie14" w:date="2025-05-09T10:35:00Z"/>
                <w:b/>
                <w:sz w:val="22"/>
                <w:szCs w:val="22"/>
              </w:rPr>
            </w:pPr>
          </w:p>
        </w:tc>
      </w:tr>
      <w:tr w14:paraId="1B57713A" w14:textId="77777777" w:rsidTr="00F83E38">
        <w:tblPrEx>
          <w:tblW w:w="4458" w:type="pct"/>
          <w:tblLook w:val="00A0"/>
        </w:tblPrEx>
        <w:trPr>
          <w:del w:id="11527" w:author="AbbVie14" w:date="2025-05-09T10:35:00Z"/>
        </w:trPr>
        <w:tc>
          <w:tcPr>
            <w:tcW w:w="0" w:type="auto"/>
            <w:tcBorders>
              <w:top w:val="single" w:sz="6" w:space="0" w:color="000000"/>
              <w:left w:val="single" w:sz="6" w:space="0" w:color="000000"/>
              <w:bottom w:val="outset" w:sz="6" w:space="0" w:color="auto"/>
              <w:right w:val="outset" w:sz="6" w:space="0" w:color="auto"/>
            </w:tcBorders>
            <w:vAlign w:val="center"/>
          </w:tcPr>
          <w:p w:rsidR="00287663" w:rsidRPr="00612824" w:rsidP="00F83E38" w14:paraId="74B1221E" w14:textId="77777777">
            <w:pPr>
              <w:keepNext/>
              <w:rPr>
                <w:del w:id="11528" w:author="AbbVie14" w:date="2025-05-09T10:35:00Z"/>
                <w:sz w:val="22"/>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rsidR="00287663" w:rsidRPr="00612824" w:rsidP="00F83E38" w14:paraId="4A76E098" w14:textId="77777777">
            <w:pPr>
              <w:keepNext/>
              <w:jc w:val="center"/>
              <w:rPr>
                <w:del w:id="11529" w:author="AbbVie14" w:date="2025-05-09T10:35:00Z"/>
                <w:sz w:val="22"/>
                <w:szCs w:val="22"/>
              </w:rPr>
            </w:pPr>
            <w:del w:id="11530" w:author="AbbVie14" w:date="2025-05-09T10:35:00Z">
              <w:r w:rsidRPr="00612824">
                <w:rPr>
                  <w:sz w:val="22"/>
                  <w:szCs w:val="22"/>
                </w:rPr>
                <w:delText>MTX</w:delText>
              </w:r>
            </w:del>
            <w:del w:id="11531" w:author="AbbVie14" w:date="2025-05-09T10:35:00Z">
              <w:r w:rsidRPr="00612824">
                <w:rPr>
                  <w:sz w:val="22"/>
                  <w:szCs w:val="22"/>
                  <w:vertAlign w:val="superscript"/>
                </w:rPr>
                <w:delText>a</w:delText>
              </w:r>
            </w:del>
            <w:del w:id="11532" w:author="AbbVie14" w:date="2025-05-09T10:35:00Z">
              <w:r w:rsidRPr="00612824">
                <w:rPr>
                  <w:sz w:val="22"/>
                  <w:szCs w:val="22"/>
                </w:rPr>
                <w:br/>
                <w:delText xml:space="preserve">N=37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rsidR="00287663" w:rsidRPr="00612824" w:rsidP="00F83E38" w14:paraId="4D92FF42" w14:textId="77777777">
            <w:pPr>
              <w:keepNext/>
              <w:jc w:val="center"/>
              <w:rPr>
                <w:del w:id="11533" w:author="AbbVie14" w:date="2025-05-09T10:35:00Z"/>
                <w:sz w:val="22"/>
                <w:szCs w:val="22"/>
              </w:rPr>
            </w:pPr>
            <w:del w:id="11534" w:author="AbbVie14" w:date="2025-05-09T10:35:00Z">
              <w:r w:rsidRPr="00612824">
                <w:rPr>
                  <w:sz w:val="22"/>
                  <w:szCs w:val="22"/>
                </w:rPr>
                <w:delText>Humira 0,8 mg/kg </w:delText>
              </w:r>
            </w:del>
            <w:del w:id="11535" w:author="AbbVie14" w:date="2025-05-09T10:35:00Z">
              <w:r w:rsidRPr="00612824">
                <w:rPr>
                  <w:rFonts w:eastAsia="Arial"/>
                  <w:sz w:val="22"/>
                  <w:szCs w:val="22"/>
                  <w:lang w:bidi="it-IT"/>
                </w:rPr>
                <w:delText>a settimane alterne</w:delText>
              </w:r>
            </w:del>
            <w:del w:id="11536" w:author="AbbVie14" w:date="2025-05-09T10:35:00Z">
              <w:r w:rsidRPr="00612824">
                <w:rPr>
                  <w:sz w:val="22"/>
                  <w:szCs w:val="22"/>
                </w:rPr>
                <w:br/>
                <w:delText xml:space="preserve">N=38 </w:delText>
              </w:r>
            </w:del>
          </w:p>
        </w:tc>
      </w:tr>
      <w:tr w14:paraId="60D6AE36" w14:textId="77777777" w:rsidTr="00F83E38">
        <w:tblPrEx>
          <w:tblW w:w="4458" w:type="pct"/>
          <w:tblLook w:val="00A0"/>
        </w:tblPrEx>
        <w:trPr>
          <w:del w:id="11537" w:author="AbbVie14" w:date="2025-05-09T10:35:00Z"/>
        </w:trPr>
        <w:tc>
          <w:tcPr>
            <w:tcW w:w="0" w:type="auto"/>
            <w:tcBorders>
              <w:top w:val="single" w:sz="6" w:space="0" w:color="000000"/>
              <w:left w:val="single" w:sz="6" w:space="0" w:color="000000"/>
              <w:bottom w:val="outset" w:sz="6" w:space="0" w:color="auto"/>
              <w:right w:val="outset" w:sz="6" w:space="0" w:color="auto"/>
            </w:tcBorders>
            <w:vAlign w:val="center"/>
          </w:tcPr>
          <w:p w:rsidR="00287663" w:rsidRPr="00612824" w:rsidP="00F83E38" w14:paraId="049F8747" w14:textId="77777777">
            <w:pPr>
              <w:keepNext/>
              <w:rPr>
                <w:del w:id="11538" w:author="AbbVie14" w:date="2025-05-09T10:35:00Z"/>
                <w:sz w:val="22"/>
                <w:szCs w:val="22"/>
              </w:rPr>
            </w:pPr>
            <w:del w:id="11539" w:author="AbbVie14" w:date="2025-05-09T10:35:00Z">
              <w:r w:rsidRPr="00612824">
                <w:rPr>
                  <w:sz w:val="22"/>
                  <w:szCs w:val="22"/>
                </w:rPr>
                <w:delText> </w:delText>
              </w:r>
            </w:del>
            <w:del w:id="11540" w:author="AbbVie14" w:date="2025-05-09T10:35:00Z">
              <w:r w:rsidRPr="00612824">
                <w:rPr>
                  <w:sz w:val="22"/>
                  <w:szCs w:val="22"/>
                </w:rPr>
                <w:delText>PASI 75</w:delText>
              </w:r>
            </w:del>
            <w:del w:id="11541" w:author="AbbVie14" w:date="2025-05-09T10:35:00Z">
              <w:r w:rsidRPr="00612824">
                <w:rPr>
                  <w:sz w:val="22"/>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rsidR="00287663" w:rsidRPr="00612824" w:rsidP="00F83E38" w14:paraId="77157406" w14:textId="77777777">
            <w:pPr>
              <w:keepNext/>
              <w:jc w:val="center"/>
              <w:rPr>
                <w:del w:id="11542" w:author="AbbVie14" w:date="2025-05-09T10:35:00Z"/>
                <w:sz w:val="22"/>
                <w:szCs w:val="22"/>
              </w:rPr>
            </w:pPr>
            <w:del w:id="11543" w:author="AbbVie14" w:date="2025-05-09T10:35:00Z">
              <w:r w:rsidRPr="00612824">
                <w:rPr>
                  <w:sz w:val="22"/>
                  <w:szCs w:val="22"/>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rsidR="00287663" w:rsidRPr="00612824" w:rsidP="00F83E38" w14:paraId="0D110417" w14:textId="77777777">
            <w:pPr>
              <w:keepNext/>
              <w:jc w:val="center"/>
              <w:rPr>
                <w:del w:id="11544" w:author="AbbVie14" w:date="2025-05-09T10:35:00Z"/>
                <w:sz w:val="22"/>
                <w:szCs w:val="22"/>
              </w:rPr>
            </w:pPr>
            <w:del w:id="11545" w:author="AbbVie14" w:date="2025-05-09T10:35:00Z">
              <w:r w:rsidRPr="00612824">
                <w:rPr>
                  <w:sz w:val="22"/>
                  <w:szCs w:val="22"/>
                </w:rPr>
                <w:delText>22 (57,9%)</w:delText>
              </w:r>
            </w:del>
          </w:p>
        </w:tc>
      </w:tr>
      <w:tr w14:paraId="2F716CF6" w14:textId="77777777" w:rsidTr="00F83E38">
        <w:tblPrEx>
          <w:tblW w:w="4458" w:type="pct"/>
          <w:tblLook w:val="00A0"/>
        </w:tblPrEx>
        <w:trPr>
          <w:del w:id="11546" w:author="AbbVie14" w:date="2025-05-09T10:35:00Z"/>
        </w:trPr>
        <w:tc>
          <w:tcPr>
            <w:tcW w:w="0" w:type="auto"/>
            <w:tcBorders>
              <w:top w:val="single" w:sz="6" w:space="0" w:color="000000"/>
              <w:left w:val="single" w:sz="6" w:space="0" w:color="000000"/>
              <w:bottom w:val="single" w:sz="6" w:space="0" w:color="000000"/>
              <w:right w:val="outset" w:sz="6" w:space="0" w:color="auto"/>
            </w:tcBorders>
            <w:vAlign w:val="center"/>
          </w:tcPr>
          <w:p w:rsidR="00287663" w:rsidRPr="00612824" w:rsidP="00F83E38" w14:paraId="26E62EE0" w14:textId="77777777">
            <w:pPr>
              <w:keepNext/>
              <w:rPr>
                <w:del w:id="11547" w:author="AbbVie14" w:date="2025-05-09T10:35:00Z"/>
                <w:sz w:val="22"/>
                <w:szCs w:val="22"/>
              </w:rPr>
            </w:pPr>
            <w:del w:id="11548" w:author="AbbVie14" w:date="2025-05-09T10:35:00Z">
              <w:r w:rsidRPr="00612824">
                <w:rPr>
                  <w:sz w:val="22"/>
                  <w:szCs w:val="22"/>
                </w:rPr>
                <w:delText> </w:delText>
              </w:r>
            </w:del>
            <w:del w:id="11549" w:author="AbbVie14" w:date="2025-05-09T10:35:00Z">
              <w:r w:rsidRPr="00612824">
                <w:rPr>
                  <w:rFonts w:eastAsia="Arial"/>
                  <w:sz w:val="22"/>
                  <w:szCs w:val="22"/>
                  <w:lang w:bidi="it-IT"/>
                </w:rPr>
                <w:delText>PGA: Guarigione/Marcato miglioramento</w:delText>
              </w:r>
            </w:del>
            <w:del w:id="11550" w:author="AbbVie14" w:date="2025-05-09T10:35:00Z">
              <w:r w:rsidRPr="00612824">
                <w:rPr>
                  <w:rFonts w:eastAsia="Arial"/>
                  <w:sz w:val="22"/>
                  <w:szCs w:val="22"/>
                  <w:vertAlign w:val="superscript"/>
                  <w:lang w:bidi="it-I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rsidR="00287663" w:rsidRPr="00612824" w:rsidP="00F83E38" w14:paraId="67A1185F" w14:textId="77777777">
            <w:pPr>
              <w:keepNext/>
              <w:jc w:val="center"/>
              <w:rPr>
                <w:del w:id="11551" w:author="AbbVie14" w:date="2025-05-09T10:35:00Z"/>
                <w:sz w:val="22"/>
                <w:szCs w:val="22"/>
              </w:rPr>
            </w:pPr>
            <w:del w:id="11552" w:author="AbbVie14" w:date="2025-05-09T10:35:00Z">
              <w:r w:rsidRPr="00612824">
                <w:rPr>
                  <w:sz w:val="22"/>
                  <w:szCs w:val="22"/>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rsidR="00287663" w:rsidRPr="00612824" w:rsidP="00F83E38" w14:paraId="2A30DBEA" w14:textId="77777777">
            <w:pPr>
              <w:keepNext/>
              <w:jc w:val="center"/>
              <w:rPr>
                <w:del w:id="11553" w:author="AbbVie14" w:date="2025-05-09T10:35:00Z"/>
                <w:sz w:val="22"/>
                <w:szCs w:val="22"/>
              </w:rPr>
            </w:pPr>
            <w:del w:id="11554" w:author="AbbVie14" w:date="2025-05-09T10:35:00Z">
              <w:r w:rsidRPr="00612824">
                <w:rPr>
                  <w:sz w:val="22"/>
                  <w:szCs w:val="22"/>
                </w:rPr>
                <w:delText>23 (60,5%)</w:delText>
              </w:r>
            </w:del>
          </w:p>
        </w:tc>
      </w:tr>
      <w:tr w14:paraId="0F8E6465" w14:textId="77777777" w:rsidTr="00F83E38">
        <w:tblPrEx>
          <w:tblW w:w="4458" w:type="pct"/>
          <w:tblLook w:val="00A0"/>
        </w:tblPrEx>
        <w:trPr>
          <w:del w:id="11555" w:author="AbbVie14" w:date="2025-05-09T10:35: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287663" w:rsidRPr="00612824" w:rsidP="00F83E38" w14:paraId="2D6DE1C0" w14:textId="77777777">
            <w:pPr>
              <w:keepNext/>
              <w:rPr>
                <w:del w:id="11556" w:author="AbbVie14" w:date="2025-05-09T10:35:00Z"/>
                <w:sz w:val="22"/>
                <w:szCs w:val="22"/>
              </w:rPr>
            </w:pPr>
            <w:del w:id="11557" w:author="AbbVie14" w:date="2025-05-09T10:35:00Z">
              <w:r w:rsidRPr="00612824">
                <w:rPr>
                  <w:sz w:val="22"/>
                  <w:szCs w:val="22"/>
                  <w:vertAlign w:val="superscript"/>
                </w:rPr>
                <w:delText xml:space="preserve">a </w:delText>
              </w:r>
            </w:del>
            <w:del w:id="11558" w:author="AbbVie14" w:date="2025-05-09T10:35:00Z">
              <w:r w:rsidRPr="00612824">
                <w:rPr>
                  <w:sz w:val="22"/>
                  <w:szCs w:val="22"/>
                </w:rPr>
                <w:delText xml:space="preserve">MTX = </w:delText>
              </w:r>
            </w:del>
            <w:del w:id="11559" w:author="AbbVie14" w:date="2025-05-09T10:35:00Z">
              <w:r w:rsidRPr="00612824">
                <w:rPr>
                  <w:rFonts w:eastAsia="Arial"/>
                  <w:sz w:val="22"/>
                  <w:szCs w:val="22"/>
                  <w:lang w:bidi="it-IT"/>
                </w:rPr>
                <w:delText>metotressato</w:delText>
              </w:r>
            </w:del>
          </w:p>
          <w:p w:rsidR="00287663" w:rsidRPr="00612824" w:rsidP="00F83E38" w14:paraId="6B7A480E" w14:textId="77777777">
            <w:pPr>
              <w:keepNext/>
              <w:rPr>
                <w:del w:id="11560" w:author="AbbVie14" w:date="2025-05-09T10:35:00Z"/>
                <w:sz w:val="22"/>
                <w:szCs w:val="22"/>
              </w:rPr>
            </w:pPr>
            <w:del w:id="11561" w:author="AbbVie14" w:date="2025-05-09T10:35:00Z">
              <w:r w:rsidRPr="00612824">
                <w:rPr>
                  <w:sz w:val="22"/>
                  <w:szCs w:val="22"/>
                  <w:vertAlign w:val="superscript"/>
                </w:rPr>
                <w:delText>b</w:delText>
              </w:r>
            </w:del>
            <w:del w:id="11562" w:author="AbbVie14" w:date="2025-05-09T10:35:00Z">
              <w:r w:rsidRPr="00612824">
                <w:rPr>
                  <w:sz w:val="22"/>
                  <w:szCs w:val="22"/>
                </w:rPr>
                <w:delText xml:space="preserve"> P=0,027, Humira 0,8 mg/kg vs. MTX</w:delText>
              </w:r>
            </w:del>
          </w:p>
          <w:p w:rsidR="00287663" w:rsidRPr="00612824" w:rsidP="00F83E38" w14:paraId="4D2B41F6" w14:textId="77777777">
            <w:pPr>
              <w:keepNext/>
              <w:rPr>
                <w:del w:id="11563" w:author="AbbVie14" w:date="2025-05-09T10:35:00Z"/>
                <w:sz w:val="22"/>
                <w:szCs w:val="22"/>
              </w:rPr>
            </w:pPr>
            <w:del w:id="11564" w:author="AbbVie14" w:date="2025-05-09T10:35:00Z">
              <w:r w:rsidRPr="00612824">
                <w:rPr>
                  <w:sz w:val="22"/>
                  <w:szCs w:val="22"/>
                  <w:vertAlign w:val="superscript"/>
                </w:rPr>
                <w:delText>c</w:delText>
              </w:r>
            </w:del>
            <w:del w:id="11565" w:author="AbbVie14" w:date="2025-05-09T10:35:00Z">
              <w:r w:rsidRPr="00612824">
                <w:rPr>
                  <w:sz w:val="22"/>
                  <w:szCs w:val="22"/>
                </w:rPr>
                <w:delText xml:space="preserve"> P=0,083, Humira 0,8 mg/kg vs. MTX</w:delText>
              </w:r>
            </w:del>
          </w:p>
        </w:tc>
      </w:tr>
    </w:tbl>
    <w:p w:rsidR="00287663" w:rsidRPr="00612824" w:rsidP="00287663" w14:paraId="64AE2AFD" w14:textId="77777777">
      <w:pPr>
        <w:keepNext/>
        <w:tabs>
          <w:tab w:val="left" w:pos="567"/>
        </w:tabs>
        <w:jc w:val="both"/>
        <w:rPr>
          <w:del w:id="11566" w:author="AbbVie14" w:date="2025-05-09T10:35:00Z"/>
          <w:color w:val="000000"/>
          <w:sz w:val="22"/>
          <w:szCs w:val="22"/>
        </w:rPr>
      </w:pPr>
    </w:p>
    <w:p w:rsidR="00287663" w:rsidRPr="00612824" w:rsidP="00287663" w14:paraId="08B423E0" w14:textId="77777777">
      <w:pPr>
        <w:rPr>
          <w:del w:id="11567" w:author="AbbVie14" w:date="2025-05-09T10:35:00Z"/>
          <w:color w:val="000000"/>
          <w:sz w:val="22"/>
          <w:szCs w:val="22"/>
        </w:rPr>
      </w:pPr>
      <w:del w:id="11568" w:author="AbbVie14" w:date="2025-05-09T10:35:00Z">
        <w:r w:rsidRPr="00612824">
          <w:rPr>
            <w:color w:val="000000"/>
            <w:sz w:val="22"/>
            <w:szCs w:val="22"/>
          </w:rPr>
          <w:delText>I pazienti che hanno ottenuto una risposta PASI 75 e un PGA corrispondente a remissione totale della malattia o a persistenza di malattia minima è stato interrotto il trattamento per un massimo di 36 settimane, e sono stati monitorati per la perdita del controllo della malattia (ovvero, un peggioramento della risposta PGA di almeno 2 gradi). I pazienti sono stati quindi ritrattati con adalimumab 0,8 mg/kg a settimane alterne per ulteriori 16 settimane, e le percentuali di risposta osservate durante il ritrattamento erano simili a quelle osservate durante il precedente periodo in doppio cieco: risposta PASI 75 del 78,9% (15 soggetti su 19) e PGA corrispondente a remissione totale della malattia o a persistenza di malattia minima del 52,6% (10 soggetti su 19).</w:delText>
        </w:r>
      </w:del>
    </w:p>
    <w:p w:rsidR="00287663" w:rsidRPr="00612824" w:rsidP="00287663" w14:paraId="01D0F470" w14:textId="77777777">
      <w:pPr>
        <w:rPr>
          <w:del w:id="11569" w:author="AbbVie14" w:date="2025-05-09T10:35:00Z"/>
          <w:color w:val="000000"/>
          <w:sz w:val="22"/>
          <w:szCs w:val="22"/>
        </w:rPr>
      </w:pPr>
    </w:p>
    <w:p w:rsidR="00287663" w:rsidRPr="005B3621" w:rsidP="00287663" w14:paraId="483E18AC" w14:textId="77777777">
      <w:pPr>
        <w:rPr>
          <w:del w:id="11570" w:author="AbbVie14" w:date="2025-05-09T10:35:00Z"/>
          <w:color w:val="000000"/>
          <w:sz w:val="22"/>
          <w:szCs w:val="22"/>
        </w:rPr>
      </w:pPr>
      <w:del w:id="11571" w:author="AbbVie14" w:date="2025-05-09T10:35:00Z">
        <w:r w:rsidRPr="00612824">
          <w:rPr>
            <w:color w:val="000000"/>
            <w:sz w:val="22"/>
            <w:szCs w:val="22"/>
          </w:rPr>
          <w:delText>Nel periodo in aperto dello studio, le risposte PASI 75 e PGA corrispondente a remissione totale della malattia o a persistenza di malattia minima sono state mantenute per ulteriori 52 settimane senza che siano emerse nuove problematiche di sicurezza.</w:delText>
        </w:r>
      </w:del>
    </w:p>
    <w:p w:rsidR="00615740" w:rsidRPr="005B3621" w:rsidP="00615740" w14:paraId="114549DE" w14:textId="77777777">
      <w:pPr>
        <w:rPr>
          <w:del w:id="11572" w:author="AbbVie14" w:date="2025-05-09T10:35:00Z"/>
          <w:sz w:val="22"/>
          <w:szCs w:val="22"/>
        </w:rPr>
      </w:pPr>
    </w:p>
    <w:p w:rsidR="00615740" w:rsidRPr="00612824" w:rsidP="00615740" w14:paraId="2A2F89CA" w14:textId="77777777">
      <w:pPr>
        <w:pStyle w:val="EMEANormal"/>
        <w:rPr>
          <w:del w:id="11573" w:author="AbbVie14" w:date="2025-05-09T10:35:00Z"/>
          <w:i/>
          <w:lang w:val="it-IT"/>
        </w:rPr>
      </w:pPr>
      <w:del w:id="11574" w:author="AbbVie14" w:date="2025-05-09T10:35:00Z">
        <w:r w:rsidRPr="00612824">
          <w:rPr>
            <w:i/>
            <w:lang w:val="it-IT"/>
          </w:rPr>
          <w:delText>Idrosadenite suppurativa negli adolescenti</w:delText>
        </w:r>
      </w:del>
    </w:p>
    <w:p w:rsidR="00615740" w:rsidRPr="00612824" w:rsidP="00615740" w14:paraId="7CC5D070" w14:textId="77777777">
      <w:pPr>
        <w:pStyle w:val="EMEANormal"/>
        <w:rPr>
          <w:del w:id="11575" w:author="AbbVie14" w:date="2025-05-09T10:35:00Z"/>
          <w:i/>
          <w:lang w:val="it-IT"/>
        </w:rPr>
      </w:pPr>
    </w:p>
    <w:p w:rsidR="00615740" w:rsidRPr="00612824" w:rsidP="00615740" w14:paraId="4BDA5285" w14:textId="77777777">
      <w:pPr>
        <w:pStyle w:val="EMEANormal"/>
        <w:jc w:val="both"/>
        <w:rPr>
          <w:del w:id="11576" w:author="AbbVie14" w:date="2025-05-09T10:35:00Z"/>
          <w:lang w:val="it-IT"/>
        </w:rPr>
      </w:pPr>
      <w:del w:id="11577" w:author="AbbVie14" w:date="2025-05-09T10:35:00Z">
        <w:r w:rsidRPr="00612824">
          <w:rPr>
            <w:lang w:val="it-IT"/>
          </w:rPr>
          <w:delText>Non sono stati condotti studi clinici con Humira in pazienti adolescenti con HS. L’efficacia di</w:delText>
        </w:r>
      </w:del>
      <w:del w:id="11578" w:author="AbbVie14" w:date="2025-05-09T10:35:00Z">
        <w:r w:rsidRPr="00612824">
          <w:rPr>
            <w:iCs/>
            <w:lang w:val="it-IT"/>
          </w:rPr>
          <w:delText xml:space="preserve"> adalimumab nel trattamento di pazienti adolescenti con HS è stata predetta in base all’efficacia dimostrata e al rapporto esposizione-risposta in pazienti adulti con HS ed alla plausibilità che il decorso di malattia, la patofisiologia e gli effetti del medicinale siano sostanzialmente simili a quelli degli adulti agli stessi livelli di esposizione. La sicurezza della dose raccomandata di adalimumab nella popolazione adolescente con HS si basa sul profilo di sicurezza cross-indicazione di adalimumab sia nei pazienti adulti che nei pazienti pediatrici a dosi simili o più frequenti </w:delText>
        </w:r>
      </w:del>
      <w:del w:id="11579" w:author="AbbVie14" w:date="2025-05-09T10:35:00Z">
        <w:r w:rsidRPr="00612824">
          <w:rPr>
            <w:lang w:val="it-IT"/>
          </w:rPr>
          <w:delText>(vedere paragrafo 5.2).</w:delText>
        </w:r>
      </w:del>
    </w:p>
    <w:p w:rsidR="00615740" w:rsidRPr="005B3621" w:rsidP="00615740" w14:paraId="119C9FA5" w14:textId="77777777">
      <w:pPr>
        <w:tabs>
          <w:tab w:val="left" w:pos="567"/>
          <w:tab w:val="left" w:pos="1294"/>
        </w:tabs>
        <w:autoSpaceDE w:val="0"/>
        <w:autoSpaceDN w:val="0"/>
        <w:adjustRightInd w:val="0"/>
        <w:jc w:val="both"/>
        <w:rPr>
          <w:del w:id="11580" w:author="AbbVie14" w:date="2025-05-09T10:35:00Z"/>
          <w:sz w:val="22"/>
          <w:szCs w:val="22"/>
        </w:rPr>
      </w:pPr>
    </w:p>
    <w:p w:rsidR="00615740" w:rsidRPr="00612824" w:rsidP="00615740" w14:paraId="40A542ED" w14:textId="77777777">
      <w:pPr>
        <w:tabs>
          <w:tab w:val="left" w:pos="567"/>
        </w:tabs>
        <w:jc w:val="both"/>
        <w:rPr>
          <w:del w:id="11581" w:author="AbbVie14" w:date="2025-05-09T10:35:00Z"/>
          <w:i/>
          <w:sz w:val="22"/>
          <w:szCs w:val="22"/>
        </w:rPr>
      </w:pPr>
      <w:del w:id="11582" w:author="AbbVie14" w:date="2025-05-09T10:35:00Z">
        <w:r w:rsidRPr="00612824">
          <w:rPr>
            <w:i/>
            <w:sz w:val="22"/>
            <w:szCs w:val="22"/>
          </w:rPr>
          <w:delText>Malattia di Crohn in pazienti pediatrici</w:delText>
        </w:r>
      </w:del>
    </w:p>
    <w:p w:rsidR="00615740" w:rsidRPr="00612824" w:rsidP="00615740" w14:paraId="1F054A9A" w14:textId="77777777">
      <w:pPr>
        <w:tabs>
          <w:tab w:val="left" w:pos="567"/>
        </w:tabs>
        <w:jc w:val="both"/>
        <w:rPr>
          <w:del w:id="11583" w:author="AbbVie14" w:date="2025-05-09T10:35:00Z"/>
          <w:sz w:val="22"/>
          <w:szCs w:val="22"/>
        </w:rPr>
      </w:pPr>
    </w:p>
    <w:p w:rsidR="00615740" w:rsidRPr="00612824" w:rsidP="00615740" w14:paraId="290BBAE2" w14:textId="77777777">
      <w:pPr>
        <w:jc w:val="both"/>
        <w:rPr>
          <w:del w:id="11584" w:author="AbbVie14" w:date="2025-05-09T10:35:00Z"/>
          <w:sz w:val="22"/>
          <w:szCs w:val="22"/>
        </w:rPr>
      </w:pPr>
      <w:del w:id="11585" w:author="AbbVie14" w:date="2025-05-09T10:35:00Z">
        <w:r w:rsidRPr="00612824">
          <w:rPr>
            <w:sz w:val="22"/>
            <w:szCs w:val="22"/>
          </w:rPr>
          <w:delText>Humira è stato testato in uno studio clinico multicentrico, randomizzato, in doppio cieco disegnato per valutare l’efficacia e la sicurezza del trattamento di induzione e di mantenimento con dosi dipendenti dal peso corporeo (&lt;40 kg o ≥ 40 kg) in 192 soggetti pediatrici di età compresa tra 6 e 17 anni (inclusi), con la Malattia di Crohn (MC) di grado da moderato a severo definita da un punteggio dell’Indice di Attività della Malattia di Crohn Pediatrica (Paediatric Crohn's Disease Activity Index - PCDAI) &gt; 30. I soggetti dovevano aver fallito la terapia convenzionale (incluso un corticosteroide e/o un immunomodulatore) per MC. I soggetti, inoltre, potevano aver precedentemente perso la risposta o essere stati intolleranti ad infliximab.</w:delText>
        </w:r>
      </w:del>
    </w:p>
    <w:p w:rsidR="00615740" w:rsidRPr="00612824" w:rsidP="00615740" w14:paraId="420D27C6" w14:textId="77777777">
      <w:pPr>
        <w:tabs>
          <w:tab w:val="left" w:pos="567"/>
        </w:tabs>
        <w:jc w:val="both"/>
        <w:rPr>
          <w:del w:id="11586" w:author="AbbVie14" w:date="2025-05-09T10:35:00Z"/>
          <w:sz w:val="22"/>
          <w:szCs w:val="22"/>
        </w:rPr>
      </w:pPr>
    </w:p>
    <w:p w:rsidR="00615740" w:rsidRPr="00612824" w:rsidP="00615740" w14:paraId="0DBBAF33" w14:textId="77777777">
      <w:pPr>
        <w:tabs>
          <w:tab w:val="left" w:pos="567"/>
        </w:tabs>
        <w:jc w:val="both"/>
        <w:rPr>
          <w:del w:id="11587" w:author="AbbVie14" w:date="2025-05-09T10:35:00Z"/>
          <w:sz w:val="22"/>
          <w:szCs w:val="22"/>
        </w:rPr>
      </w:pPr>
      <w:del w:id="11588" w:author="AbbVie14" w:date="2025-05-09T10:35:00Z">
        <w:r w:rsidRPr="00612824">
          <w:rPr>
            <w:sz w:val="22"/>
            <w:szCs w:val="22"/>
          </w:rPr>
          <w:delText>Tutti i soggetti hanno ricevuto una terapia di induzione in aperto con una dose basata sul loro peso corporeo al basale: 160 mg alla settimana 0 e 80 mg alla settimana 2 per i soggetti con peso ≥ 40 kg, e rispettivamente, 80 mg e 40 mg per i soggetti con peso &lt; 40 kg.</w:delText>
        </w:r>
      </w:del>
    </w:p>
    <w:p w:rsidR="00615740" w:rsidRPr="00612824" w:rsidP="00615740" w14:paraId="743CE9F4" w14:textId="77777777">
      <w:pPr>
        <w:tabs>
          <w:tab w:val="left" w:pos="567"/>
        </w:tabs>
        <w:jc w:val="both"/>
        <w:rPr>
          <w:del w:id="11589" w:author="AbbVie14" w:date="2025-05-09T10:35:00Z"/>
          <w:sz w:val="22"/>
          <w:szCs w:val="22"/>
        </w:rPr>
      </w:pPr>
    </w:p>
    <w:p w:rsidR="00615740" w:rsidRPr="00612824" w:rsidP="00615740" w14:paraId="5FE818D8" w14:textId="77777777">
      <w:pPr>
        <w:tabs>
          <w:tab w:val="left" w:pos="567"/>
        </w:tabs>
        <w:jc w:val="both"/>
        <w:rPr>
          <w:del w:id="11590" w:author="AbbVie14" w:date="2025-05-09T10:35:00Z"/>
          <w:sz w:val="22"/>
          <w:szCs w:val="22"/>
        </w:rPr>
      </w:pPr>
      <w:del w:id="11591" w:author="AbbVie14" w:date="2025-05-09T10:35:00Z">
        <w:r w:rsidRPr="00612824">
          <w:rPr>
            <w:sz w:val="22"/>
            <w:szCs w:val="22"/>
          </w:rPr>
          <w:delText>Alla settimana 4, in base al loro peso corporeo i soggetti sono stati randomizzati 1:1 o nel regime di mantenimento a Bassa Dose o in quello a Dose Standard, come mostrato nella Tabella 28.</w:delText>
        </w:r>
      </w:del>
    </w:p>
    <w:p w:rsidR="00615740" w:rsidRPr="00612824" w:rsidP="00615740" w14:paraId="660E0330" w14:textId="77777777">
      <w:pPr>
        <w:tabs>
          <w:tab w:val="left" w:pos="567"/>
        </w:tabs>
        <w:rPr>
          <w:del w:id="11592" w:author="AbbVie14" w:date="2025-05-09T10:35:00Z"/>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9"/>
        <w:gridCol w:w="1210"/>
        <w:gridCol w:w="1210"/>
      </w:tblGrid>
      <w:tr w14:paraId="3C6C983E" w14:textId="77777777" w:rsidTr="00F83E38">
        <w:tblPrEx>
          <w:tblW w:w="0" w:type="auto"/>
          <w:tblLook w:val="01E0"/>
        </w:tblPrEx>
        <w:trPr>
          <w:trHeight w:val="263"/>
          <w:del w:id="11593" w:author="AbbVie14" w:date="2025-05-09T10:35:00Z"/>
        </w:trPr>
        <w:tc>
          <w:tcPr>
            <w:tcW w:w="3408" w:type="dxa"/>
            <w:gridSpan w:val="3"/>
            <w:tcBorders>
              <w:top w:val="nil"/>
              <w:left w:val="nil"/>
              <w:right w:val="nil"/>
            </w:tcBorders>
          </w:tcPr>
          <w:p w:rsidR="00615740" w:rsidRPr="00612824" w:rsidP="00A60A0D" w14:paraId="429D37C8" w14:textId="77777777">
            <w:pPr>
              <w:pStyle w:val="EMEANormal"/>
              <w:keepNext/>
              <w:jc w:val="center"/>
              <w:rPr>
                <w:del w:id="11594" w:author="AbbVie14" w:date="2025-05-09T10:35:00Z"/>
                <w:b/>
                <w:lang w:val="it-IT"/>
              </w:rPr>
            </w:pPr>
            <w:del w:id="11595" w:author="AbbVie14" w:date="2025-05-09T10:35:00Z">
              <w:r w:rsidRPr="00612824">
                <w:rPr>
                  <w:b/>
                  <w:lang w:val="it-IT"/>
                </w:rPr>
                <w:delText>Tabella 28</w:delText>
              </w:r>
            </w:del>
          </w:p>
          <w:p w:rsidR="00615740" w:rsidRPr="00612824" w:rsidP="00A60A0D" w14:paraId="2471CA5A" w14:textId="77777777">
            <w:pPr>
              <w:pStyle w:val="EMEANormal"/>
              <w:keepNext/>
              <w:jc w:val="center"/>
              <w:rPr>
                <w:del w:id="11596" w:author="AbbVie14" w:date="2025-05-09T10:35:00Z"/>
                <w:lang w:val="it-IT"/>
              </w:rPr>
            </w:pPr>
            <w:del w:id="11597" w:author="AbbVie14" w:date="2025-05-09T10:35:00Z">
              <w:r w:rsidRPr="00612824">
                <w:rPr>
                  <w:b/>
                  <w:lang w:val="it-IT"/>
                </w:rPr>
                <w:delText>Regime di mantenimento</w:delText>
              </w:r>
            </w:del>
          </w:p>
        </w:tc>
      </w:tr>
      <w:tr w14:paraId="382B7D82" w14:textId="77777777" w:rsidTr="00F83E38">
        <w:tblPrEx>
          <w:tblW w:w="0" w:type="auto"/>
          <w:tblLook w:val="01E0"/>
        </w:tblPrEx>
        <w:trPr>
          <w:del w:id="11598" w:author="AbbVie14" w:date="2025-05-09T10:35:00Z"/>
        </w:trPr>
        <w:tc>
          <w:tcPr>
            <w:tcW w:w="988" w:type="dxa"/>
          </w:tcPr>
          <w:p w:rsidR="00615740" w:rsidRPr="00612824" w:rsidP="00A60A0D" w14:paraId="2D19492F" w14:textId="77777777">
            <w:pPr>
              <w:pStyle w:val="EMEANormal"/>
              <w:keepNext/>
              <w:rPr>
                <w:del w:id="11599" w:author="AbbVie14" w:date="2025-05-09T10:35:00Z"/>
                <w:b/>
                <w:lang w:val="it-IT"/>
              </w:rPr>
            </w:pPr>
            <w:del w:id="11600" w:author="AbbVie14" w:date="2025-05-09T10:35:00Z">
              <w:r w:rsidRPr="00612824">
                <w:rPr>
                  <w:b/>
                  <w:lang w:val="it-IT"/>
                </w:rPr>
                <w:delText>Peso del paziente</w:delText>
              </w:r>
            </w:del>
          </w:p>
        </w:tc>
        <w:tc>
          <w:tcPr>
            <w:tcW w:w="1210" w:type="dxa"/>
          </w:tcPr>
          <w:p w:rsidR="00615740" w:rsidRPr="00612824" w:rsidP="00A60A0D" w14:paraId="3E194E91" w14:textId="77777777">
            <w:pPr>
              <w:pStyle w:val="EMEANormal"/>
              <w:keepNext/>
              <w:rPr>
                <w:del w:id="11601" w:author="AbbVie14" w:date="2025-05-09T10:35:00Z"/>
                <w:b/>
                <w:lang w:val="it-IT"/>
              </w:rPr>
            </w:pPr>
            <w:del w:id="11602" w:author="AbbVie14" w:date="2025-05-09T10:35:00Z">
              <w:r w:rsidRPr="00612824">
                <w:rPr>
                  <w:b/>
                  <w:lang w:val="it-IT"/>
                </w:rPr>
                <w:delText xml:space="preserve">Bassa dose </w:delText>
              </w:r>
            </w:del>
          </w:p>
        </w:tc>
        <w:tc>
          <w:tcPr>
            <w:tcW w:w="1210" w:type="dxa"/>
          </w:tcPr>
          <w:p w:rsidR="00615740" w:rsidRPr="00612824" w:rsidP="00A60A0D" w14:paraId="6BE7D6E2" w14:textId="77777777">
            <w:pPr>
              <w:pStyle w:val="EMEANormal"/>
              <w:keepNext/>
              <w:rPr>
                <w:del w:id="11603" w:author="AbbVie14" w:date="2025-05-09T10:35:00Z"/>
                <w:b/>
                <w:lang w:val="it-IT"/>
              </w:rPr>
            </w:pPr>
            <w:del w:id="11604" w:author="AbbVie14" w:date="2025-05-09T10:35:00Z">
              <w:r w:rsidRPr="00612824">
                <w:rPr>
                  <w:b/>
                  <w:lang w:val="it-IT"/>
                </w:rPr>
                <w:delText>Dose standard</w:delText>
              </w:r>
            </w:del>
          </w:p>
        </w:tc>
      </w:tr>
      <w:tr w14:paraId="645E4776" w14:textId="77777777" w:rsidTr="00F83E38">
        <w:tblPrEx>
          <w:tblW w:w="0" w:type="auto"/>
          <w:tblLook w:val="01E0"/>
        </w:tblPrEx>
        <w:trPr>
          <w:del w:id="11605" w:author="AbbVie14" w:date="2025-05-09T10:35:00Z"/>
        </w:trPr>
        <w:tc>
          <w:tcPr>
            <w:tcW w:w="988" w:type="dxa"/>
          </w:tcPr>
          <w:p w:rsidR="00615740" w:rsidRPr="00612824" w:rsidP="00A60A0D" w14:paraId="777AC328" w14:textId="77777777">
            <w:pPr>
              <w:pStyle w:val="EMEANormal"/>
              <w:keepNext/>
              <w:rPr>
                <w:del w:id="11606" w:author="AbbVie14" w:date="2025-05-09T10:35:00Z"/>
                <w:lang w:val="it-IT"/>
              </w:rPr>
            </w:pPr>
            <w:del w:id="11607" w:author="AbbVie14" w:date="2025-05-09T10:35:00Z">
              <w:r w:rsidRPr="00612824">
                <w:rPr>
                  <w:lang w:val="it-IT"/>
                </w:rPr>
                <w:delText>&lt; 40 kg</w:delText>
              </w:r>
            </w:del>
          </w:p>
        </w:tc>
        <w:tc>
          <w:tcPr>
            <w:tcW w:w="1210" w:type="dxa"/>
          </w:tcPr>
          <w:p w:rsidR="00615740" w:rsidRPr="00612824" w:rsidP="00A60A0D" w14:paraId="3B9DDB0E" w14:textId="77777777">
            <w:pPr>
              <w:pStyle w:val="EMEANormal"/>
              <w:keepNext/>
              <w:rPr>
                <w:del w:id="11608" w:author="AbbVie14" w:date="2025-05-09T10:35:00Z"/>
                <w:lang w:val="it-IT"/>
              </w:rPr>
            </w:pPr>
            <w:del w:id="11609" w:author="AbbVie14" w:date="2025-05-09T10:35:00Z">
              <w:r w:rsidRPr="00612824">
                <w:rPr>
                  <w:lang w:val="it-IT"/>
                </w:rPr>
                <w:delText>10 mg a settimane alterne</w:delText>
              </w:r>
            </w:del>
          </w:p>
        </w:tc>
        <w:tc>
          <w:tcPr>
            <w:tcW w:w="1210" w:type="dxa"/>
          </w:tcPr>
          <w:p w:rsidR="00615740" w:rsidRPr="00612824" w:rsidP="00A60A0D" w14:paraId="31E975F0" w14:textId="77777777">
            <w:pPr>
              <w:pStyle w:val="EMEANormal"/>
              <w:keepNext/>
              <w:rPr>
                <w:del w:id="11610" w:author="AbbVie14" w:date="2025-05-09T10:35:00Z"/>
                <w:lang w:val="it-IT"/>
              </w:rPr>
            </w:pPr>
            <w:del w:id="11611" w:author="AbbVie14" w:date="2025-05-09T10:35:00Z">
              <w:r w:rsidRPr="00612824">
                <w:rPr>
                  <w:lang w:val="it-IT"/>
                </w:rPr>
                <w:delText>20 mg a settimane alterne</w:delText>
              </w:r>
            </w:del>
          </w:p>
        </w:tc>
      </w:tr>
      <w:tr w14:paraId="4A1F7862" w14:textId="77777777" w:rsidTr="00F83E38">
        <w:tblPrEx>
          <w:tblW w:w="0" w:type="auto"/>
          <w:tblLook w:val="01E0"/>
        </w:tblPrEx>
        <w:trPr>
          <w:del w:id="11612" w:author="AbbVie14" w:date="2025-05-09T10:35:00Z"/>
        </w:trPr>
        <w:tc>
          <w:tcPr>
            <w:tcW w:w="988" w:type="dxa"/>
          </w:tcPr>
          <w:p w:rsidR="00615740" w:rsidRPr="00612824" w:rsidP="00A60A0D" w14:paraId="0FE85A74" w14:textId="77777777">
            <w:pPr>
              <w:pStyle w:val="EMEANormal"/>
              <w:keepNext/>
              <w:rPr>
                <w:del w:id="11613" w:author="AbbVie14" w:date="2025-05-09T10:35:00Z"/>
                <w:lang w:val="it-IT"/>
              </w:rPr>
            </w:pPr>
            <w:del w:id="11614" w:author="AbbVie14" w:date="2025-05-09T10:35:00Z">
              <w:r w:rsidRPr="00612824">
                <w:rPr>
                  <w:lang w:val="it-IT"/>
                </w:rPr>
                <w:delText>≥ 40 kg</w:delText>
              </w:r>
            </w:del>
          </w:p>
        </w:tc>
        <w:tc>
          <w:tcPr>
            <w:tcW w:w="1210" w:type="dxa"/>
          </w:tcPr>
          <w:p w:rsidR="00615740" w:rsidRPr="00612824" w:rsidP="00A60A0D" w14:paraId="5FE2CCC9" w14:textId="77777777">
            <w:pPr>
              <w:pStyle w:val="EMEANormal"/>
              <w:keepNext/>
              <w:rPr>
                <w:del w:id="11615" w:author="AbbVie14" w:date="2025-05-09T10:35:00Z"/>
                <w:lang w:val="it-IT"/>
              </w:rPr>
            </w:pPr>
            <w:del w:id="11616" w:author="AbbVie14" w:date="2025-05-09T10:35:00Z">
              <w:r w:rsidRPr="00612824">
                <w:rPr>
                  <w:lang w:val="it-IT"/>
                </w:rPr>
                <w:delText>20 mg a settimane alterne</w:delText>
              </w:r>
            </w:del>
          </w:p>
        </w:tc>
        <w:tc>
          <w:tcPr>
            <w:tcW w:w="1210" w:type="dxa"/>
          </w:tcPr>
          <w:p w:rsidR="00615740" w:rsidRPr="00612824" w:rsidP="00A60A0D" w14:paraId="1AD72126" w14:textId="77777777">
            <w:pPr>
              <w:pStyle w:val="EMEANormal"/>
              <w:keepNext/>
              <w:rPr>
                <w:del w:id="11617" w:author="AbbVie14" w:date="2025-05-09T10:35:00Z"/>
                <w:lang w:val="it-IT"/>
              </w:rPr>
            </w:pPr>
            <w:del w:id="11618" w:author="AbbVie14" w:date="2025-05-09T10:35:00Z">
              <w:r w:rsidRPr="00612824">
                <w:rPr>
                  <w:lang w:val="it-IT"/>
                </w:rPr>
                <w:delText>40 mg a settimane alterne</w:delText>
              </w:r>
            </w:del>
          </w:p>
        </w:tc>
      </w:tr>
    </w:tbl>
    <w:p w:rsidR="00615740" w:rsidRPr="00612824" w:rsidP="00615740" w14:paraId="345A2FAE" w14:textId="77777777">
      <w:pPr>
        <w:tabs>
          <w:tab w:val="left" w:pos="567"/>
        </w:tabs>
        <w:jc w:val="both"/>
        <w:rPr>
          <w:del w:id="11619" w:author="AbbVie14" w:date="2025-05-09T10:35:00Z"/>
          <w:i/>
          <w:sz w:val="22"/>
          <w:szCs w:val="22"/>
        </w:rPr>
      </w:pPr>
    </w:p>
    <w:p w:rsidR="00615740" w:rsidRPr="00612824" w:rsidP="00615740" w14:paraId="02E3E528" w14:textId="77777777">
      <w:pPr>
        <w:tabs>
          <w:tab w:val="left" w:pos="567"/>
        </w:tabs>
        <w:jc w:val="both"/>
        <w:rPr>
          <w:del w:id="11620" w:author="AbbVie14" w:date="2025-05-09T10:35:00Z"/>
          <w:i/>
          <w:sz w:val="22"/>
          <w:szCs w:val="22"/>
          <w:u w:val="single"/>
        </w:rPr>
      </w:pPr>
      <w:del w:id="11621" w:author="AbbVie14" w:date="2025-05-09T10:35:00Z">
        <w:r w:rsidRPr="00612824">
          <w:rPr>
            <w:i/>
            <w:sz w:val="22"/>
            <w:szCs w:val="22"/>
            <w:u w:val="single"/>
          </w:rPr>
          <w:delText>Risultati di efficacia</w:delText>
        </w:r>
      </w:del>
    </w:p>
    <w:p w:rsidR="00615740" w:rsidRPr="00612824" w:rsidP="00615740" w14:paraId="7BDAD2D2" w14:textId="77777777">
      <w:pPr>
        <w:tabs>
          <w:tab w:val="left" w:pos="567"/>
        </w:tabs>
        <w:jc w:val="both"/>
        <w:rPr>
          <w:del w:id="11622" w:author="AbbVie14" w:date="2025-05-09T10:35:00Z"/>
          <w:sz w:val="22"/>
          <w:szCs w:val="22"/>
        </w:rPr>
      </w:pPr>
    </w:p>
    <w:p w:rsidR="00615740" w:rsidRPr="00612824" w:rsidP="00615740" w14:paraId="14D6B157" w14:textId="77777777">
      <w:pPr>
        <w:tabs>
          <w:tab w:val="left" w:pos="567"/>
        </w:tabs>
        <w:jc w:val="both"/>
        <w:rPr>
          <w:del w:id="11623" w:author="AbbVie14" w:date="2025-05-09T10:35:00Z"/>
          <w:sz w:val="22"/>
          <w:szCs w:val="22"/>
        </w:rPr>
      </w:pPr>
      <w:del w:id="11624" w:author="AbbVie14" w:date="2025-05-09T10:35:00Z">
        <w:r w:rsidRPr="00612824">
          <w:rPr>
            <w:sz w:val="22"/>
            <w:szCs w:val="22"/>
          </w:rPr>
          <w:delText xml:space="preserve">L’endpoint primario dello studio è stato la remissione clinica alla settimana 26, definita da un punteggio PCDAI </w:delText>
        </w:r>
      </w:del>
      <w:del w:id="11625" w:author="AbbVie14" w:date="2025-05-09T10:35:00Z">
        <w:r w:rsidRPr="00612824">
          <w:rPr>
            <w:rFonts w:ascii="Symbol" w:hAnsi="Symbol"/>
          </w:rPr>
          <w:sym w:font="Symbol" w:char="F0A3"/>
        </w:r>
      </w:del>
      <w:del w:id="11626" w:author="AbbVie14" w:date="2025-05-09T10:35:00Z">
        <w:r w:rsidRPr="00612824">
          <w:rPr>
            <w:sz w:val="22"/>
            <w:szCs w:val="22"/>
          </w:rPr>
          <w:delText xml:space="preserve"> 10.</w:delText>
        </w:r>
      </w:del>
    </w:p>
    <w:p w:rsidR="00615740" w:rsidRPr="00612824" w:rsidP="00615740" w14:paraId="0B5E0224" w14:textId="77777777">
      <w:pPr>
        <w:tabs>
          <w:tab w:val="left" w:pos="567"/>
        </w:tabs>
        <w:jc w:val="both"/>
        <w:rPr>
          <w:del w:id="11627" w:author="AbbVie14" w:date="2025-05-09T10:35:00Z"/>
          <w:sz w:val="22"/>
          <w:szCs w:val="22"/>
        </w:rPr>
      </w:pPr>
    </w:p>
    <w:p w:rsidR="00615740" w:rsidRPr="00612824" w:rsidP="00615740" w14:paraId="3084E703" w14:textId="77777777">
      <w:pPr>
        <w:tabs>
          <w:tab w:val="left" w:pos="567"/>
        </w:tabs>
        <w:jc w:val="both"/>
        <w:rPr>
          <w:del w:id="11628" w:author="AbbVie14" w:date="2025-05-09T10:35:00Z"/>
          <w:sz w:val="22"/>
          <w:szCs w:val="22"/>
        </w:rPr>
      </w:pPr>
      <w:del w:id="11629" w:author="AbbVie14" w:date="2025-05-09T10:35:00Z">
        <w:r w:rsidRPr="00612824">
          <w:rPr>
            <w:sz w:val="22"/>
            <w:szCs w:val="22"/>
          </w:rPr>
          <w:delText>Le percentuali di remissione clinica e di risposta clinica (definite come riduzione del punteggio PCDAI di almeno 15 punti dal basale) sono riportate nella Tabella 29. Le percentuali di interruzione dei corticosteroidi o degli immunomodulatori sono riportate nella Tabella 30.</w:delText>
        </w:r>
      </w:del>
    </w:p>
    <w:p w:rsidR="00615740" w:rsidRPr="00612824" w:rsidP="00615740" w14:paraId="759F1FF3" w14:textId="77777777">
      <w:pPr>
        <w:tabs>
          <w:tab w:val="left" w:pos="567"/>
        </w:tabs>
        <w:jc w:val="both"/>
        <w:rPr>
          <w:del w:id="11630" w:author="AbbVie14" w:date="2025-05-09T10:35:00Z"/>
          <w:sz w:val="22"/>
          <w:szCs w:val="22"/>
        </w:rPr>
      </w:pPr>
    </w:p>
    <w:tbl>
      <w:tblPr>
        <w:tblW w:w="0" w:type="auto"/>
        <w:jc w:val="center"/>
        <w:tblCellMar>
          <w:left w:w="0" w:type="dxa"/>
          <w:right w:w="0" w:type="dxa"/>
        </w:tblCellMar>
        <w:tblLook w:val="00A0"/>
      </w:tblPr>
      <w:tblGrid>
        <w:gridCol w:w="2321"/>
        <w:gridCol w:w="1614"/>
        <w:gridCol w:w="1591"/>
        <w:gridCol w:w="1147"/>
      </w:tblGrid>
      <w:tr w14:paraId="0F143794" w14:textId="77777777" w:rsidTr="00F83E38">
        <w:tblPrEx>
          <w:tblW w:w="0" w:type="auto"/>
          <w:tblLook w:val="00A0"/>
        </w:tblPrEx>
        <w:trPr>
          <w:del w:id="11631" w:author="AbbVie14" w:date="2025-05-09T10:35:00Z"/>
        </w:trPr>
        <w:tc>
          <w:tcPr>
            <w:tcW w:w="6673" w:type="dxa"/>
            <w:gridSpan w:val="4"/>
            <w:tcBorders>
              <w:top w:val="single" w:sz="6" w:space="0" w:color="000000"/>
              <w:left w:val="single" w:sz="6" w:space="0" w:color="000000"/>
              <w:bottom w:val="single" w:sz="6" w:space="0" w:color="000000"/>
              <w:right w:val="single" w:sz="6" w:space="0" w:color="000000"/>
            </w:tcBorders>
          </w:tcPr>
          <w:p w:rsidR="00615740" w:rsidRPr="00612824" w:rsidP="00F83E38" w14:paraId="7499A084" w14:textId="77777777">
            <w:pPr>
              <w:keepNext/>
              <w:tabs>
                <w:tab w:val="left" w:pos="-878"/>
              </w:tabs>
              <w:autoSpaceDE w:val="0"/>
              <w:autoSpaceDN w:val="0"/>
              <w:adjustRightInd w:val="0"/>
              <w:ind w:left="15"/>
              <w:jc w:val="center"/>
              <w:rPr>
                <w:del w:id="11632" w:author="AbbVie14" w:date="2025-05-09T10:35:00Z"/>
                <w:b/>
                <w:bCs/>
                <w:sz w:val="22"/>
                <w:szCs w:val="22"/>
              </w:rPr>
            </w:pPr>
            <w:del w:id="11633" w:author="AbbVie14" w:date="2025-05-09T10:35:00Z">
              <w:r w:rsidRPr="00612824">
                <w:rPr>
                  <w:sz w:val="22"/>
                  <w:szCs w:val="22"/>
                </w:rPr>
                <w:br w:type="page"/>
              </w:r>
            </w:del>
            <w:del w:id="11634" w:author="AbbVie14" w:date="2025-05-09T10:35:00Z">
              <w:r w:rsidRPr="00612824">
                <w:rPr>
                  <w:b/>
                  <w:bCs/>
                  <w:sz w:val="22"/>
                  <w:szCs w:val="22"/>
                </w:rPr>
                <w:delText>Tabella 29</w:delText>
              </w:r>
            </w:del>
          </w:p>
          <w:p w:rsidR="00615740" w:rsidRPr="00612824" w:rsidP="00F83E38" w14:paraId="44AFCFE1" w14:textId="77777777">
            <w:pPr>
              <w:keepNext/>
              <w:tabs>
                <w:tab w:val="left" w:pos="-878"/>
              </w:tabs>
              <w:autoSpaceDE w:val="0"/>
              <w:autoSpaceDN w:val="0"/>
              <w:adjustRightInd w:val="0"/>
              <w:ind w:left="15"/>
              <w:jc w:val="center"/>
              <w:rPr>
                <w:del w:id="11635" w:author="AbbVie14" w:date="2025-05-09T10:35:00Z"/>
                <w:b/>
                <w:bCs/>
                <w:sz w:val="22"/>
                <w:szCs w:val="22"/>
              </w:rPr>
            </w:pPr>
            <w:del w:id="11636" w:author="AbbVie14" w:date="2025-05-09T10:35:00Z">
              <w:r w:rsidRPr="00612824">
                <w:rPr>
                  <w:b/>
                  <w:bCs/>
                  <w:sz w:val="22"/>
                  <w:szCs w:val="22"/>
                </w:rPr>
                <w:delText>Studio della Malattia di Crohn Pediatrica</w:delText>
              </w:r>
            </w:del>
          </w:p>
          <w:p w:rsidR="00615740" w:rsidRPr="00612824" w:rsidP="00F83E38" w14:paraId="27C6C22E" w14:textId="77777777">
            <w:pPr>
              <w:keepNext/>
              <w:tabs>
                <w:tab w:val="left" w:pos="-878"/>
              </w:tabs>
              <w:autoSpaceDE w:val="0"/>
              <w:autoSpaceDN w:val="0"/>
              <w:adjustRightInd w:val="0"/>
              <w:ind w:left="15"/>
              <w:jc w:val="center"/>
              <w:rPr>
                <w:del w:id="11637" w:author="AbbVie14" w:date="2025-05-09T10:35:00Z"/>
                <w:b/>
                <w:bCs/>
                <w:sz w:val="22"/>
                <w:szCs w:val="22"/>
              </w:rPr>
            </w:pPr>
            <w:del w:id="11638" w:author="AbbVie14" w:date="2025-05-09T10:35:00Z">
              <w:r w:rsidRPr="00612824">
                <w:rPr>
                  <w:b/>
                  <w:bCs/>
                  <w:sz w:val="22"/>
                  <w:szCs w:val="22"/>
                </w:rPr>
                <w:delText>PCDAI di Remissione Clinica e di Risposta</w:delText>
              </w:r>
            </w:del>
          </w:p>
        </w:tc>
      </w:tr>
      <w:tr w14:paraId="4641417D" w14:textId="77777777" w:rsidTr="00F83E38">
        <w:tblPrEx>
          <w:tblW w:w="0" w:type="auto"/>
          <w:tblLook w:val="00A0"/>
        </w:tblPrEx>
        <w:trPr>
          <w:del w:id="11639" w:author="AbbVie14" w:date="2025-05-09T10:35:00Z"/>
        </w:trPr>
        <w:tc>
          <w:tcPr>
            <w:tcW w:w="2321" w:type="dxa"/>
            <w:tcBorders>
              <w:top w:val="single" w:sz="6" w:space="0" w:color="000000"/>
              <w:left w:val="single" w:sz="6" w:space="0" w:color="000000"/>
              <w:bottom w:val="single" w:sz="6" w:space="0" w:color="000000"/>
              <w:right w:val="single" w:sz="6" w:space="0" w:color="000000"/>
            </w:tcBorders>
          </w:tcPr>
          <w:p w:rsidR="00615740" w:rsidRPr="00612824" w:rsidP="00F83E38" w14:paraId="15A4EC94" w14:textId="77777777">
            <w:pPr>
              <w:keepNext/>
              <w:keepLines/>
              <w:tabs>
                <w:tab w:val="left" w:pos="-1080"/>
              </w:tabs>
              <w:autoSpaceDE w:val="0"/>
              <w:autoSpaceDN w:val="0"/>
              <w:adjustRightInd w:val="0"/>
              <w:ind w:left="15"/>
              <w:jc w:val="center"/>
              <w:rPr>
                <w:del w:id="11640" w:author="AbbVie14" w:date="2025-05-09T10:35:00Z"/>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rsidR="00615740" w:rsidRPr="00612824" w:rsidP="00F83E38" w14:paraId="7314AC00" w14:textId="77777777">
            <w:pPr>
              <w:keepNext/>
              <w:keepLines/>
              <w:tabs>
                <w:tab w:val="left" w:pos="-1080"/>
              </w:tabs>
              <w:autoSpaceDE w:val="0"/>
              <w:autoSpaceDN w:val="0"/>
              <w:adjustRightInd w:val="0"/>
              <w:ind w:left="15"/>
              <w:jc w:val="center"/>
              <w:rPr>
                <w:del w:id="11641" w:author="AbbVie14" w:date="2025-05-09T10:35:00Z"/>
                <w:b/>
                <w:bCs/>
                <w:sz w:val="22"/>
                <w:szCs w:val="22"/>
              </w:rPr>
            </w:pPr>
            <w:del w:id="11642" w:author="AbbVie14" w:date="2025-05-09T10:35:00Z">
              <w:r w:rsidRPr="00612824">
                <w:rPr>
                  <w:b/>
                  <w:bCs/>
                  <w:sz w:val="22"/>
                  <w:szCs w:val="22"/>
                </w:rPr>
                <w:delText xml:space="preserve">Dose standard </w:delText>
              </w:r>
            </w:del>
          </w:p>
          <w:p w:rsidR="00615740" w:rsidRPr="00612824" w:rsidP="00F83E38" w14:paraId="7B176BB7" w14:textId="77777777">
            <w:pPr>
              <w:keepNext/>
              <w:keepLines/>
              <w:tabs>
                <w:tab w:val="left" w:pos="-1080"/>
              </w:tabs>
              <w:autoSpaceDE w:val="0"/>
              <w:autoSpaceDN w:val="0"/>
              <w:adjustRightInd w:val="0"/>
              <w:ind w:left="15"/>
              <w:jc w:val="center"/>
              <w:rPr>
                <w:del w:id="11643" w:author="AbbVie14" w:date="2025-05-09T10:35:00Z"/>
                <w:b/>
                <w:bCs/>
                <w:sz w:val="22"/>
                <w:szCs w:val="22"/>
              </w:rPr>
            </w:pPr>
            <w:del w:id="11644" w:author="AbbVie14" w:date="2025-05-09T10:35:00Z">
              <w:r w:rsidRPr="00612824">
                <w:rPr>
                  <w:b/>
                  <w:bCs/>
                  <w:sz w:val="22"/>
                  <w:szCs w:val="22"/>
                </w:rPr>
                <w:delText xml:space="preserve">40/20 mg a settimane alterne </w:delText>
              </w:r>
            </w:del>
          </w:p>
          <w:p w:rsidR="00615740" w:rsidRPr="00612824" w:rsidP="00F83E38" w14:paraId="4C8C4517" w14:textId="77777777">
            <w:pPr>
              <w:keepNext/>
              <w:keepLines/>
              <w:tabs>
                <w:tab w:val="left" w:pos="-1080"/>
              </w:tabs>
              <w:autoSpaceDE w:val="0"/>
              <w:autoSpaceDN w:val="0"/>
              <w:adjustRightInd w:val="0"/>
              <w:ind w:left="15"/>
              <w:jc w:val="center"/>
              <w:rPr>
                <w:del w:id="11645" w:author="AbbVie14" w:date="2025-05-09T10:35:00Z"/>
                <w:b/>
                <w:sz w:val="22"/>
                <w:szCs w:val="22"/>
              </w:rPr>
            </w:pPr>
            <w:del w:id="11646" w:author="AbbVie14" w:date="2025-05-09T10:35:00Z">
              <w:r w:rsidRPr="00612824">
                <w:rPr>
                  <w:b/>
                  <w:sz w:val="22"/>
                  <w:szCs w:val="22"/>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rsidR="00615740" w:rsidRPr="00612824" w:rsidP="00F83E38" w14:paraId="3C4355B4" w14:textId="77777777">
            <w:pPr>
              <w:keepNext/>
              <w:keepLines/>
              <w:tabs>
                <w:tab w:val="left" w:pos="-1080"/>
              </w:tabs>
              <w:autoSpaceDE w:val="0"/>
              <w:autoSpaceDN w:val="0"/>
              <w:adjustRightInd w:val="0"/>
              <w:ind w:left="15"/>
              <w:jc w:val="center"/>
              <w:rPr>
                <w:del w:id="11647" w:author="AbbVie14" w:date="2025-05-09T10:35:00Z"/>
                <w:b/>
                <w:bCs/>
                <w:sz w:val="22"/>
                <w:szCs w:val="22"/>
              </w:rPr>
            </w:pPr>
            <w:del w:id="11648" w:author="AbbVie14" w:date="2025-05-09T10:35:00Z">
              <w:r w:rsidRPr="00612824">
                <w:rPr>
                  <w:b/>
                  <w:bCs/>
                  <w:sz w:val="22"/>
                  <w:szCs w:val="22"/>
                </w:rPr>
                <w:delText xml:space="preserve">Bassa dose </w:delText>
              </w:r>
            </w:del>
          </w:p>
          <w:p w:rsidR="00615740" w:rsidRPr="00612824" w:rsidP="00F83E38" w14:paraId="7E3BA5C4" w14:textId="77777777">
            <w:pPr>
              <w:keepNext/>
              <w:keepLines/>
              <w:tabs>
                <w:tab w:val="left" w:pos="-1080"/>
              </w:tabs>
              <w:autoSpaceDE w:val="0"/>
              <w:autoSpaceDN w:val="0"/>
              <w:adjustRightInd w:val="0"/>
              <w:ind w:left="15"/>
              <w:jc w:val="center"/>
              <w:rPr>
                <w:del w:id="11649" w:author="AbbVie14" w:date="2025-05-09T10:35:00Z"/>
                <w:b/>
                <w:bCs/>
                <w:sz w:val="22"/>
                <w:szCs w:val="22"/>
              </w:rPr>
            </w:pPr>
            <w:del w:id="11650" w:author="AbbVie14" w:date="2025-05-09T10:35:00Z">
              <w:r w:rsidRPr="00612824">
                <w:rPr>
                  <w:b/>
                  <w:bCs/>
                  <w:sz w:val="22"/>
                  <w:szCs w:val="22"/>
                </w:rPr>
                <w:delText>20/10 mg a settimane alterne</w:delText>
              </w:r>
            </w:del>
          </w:p>
          <w:p w:rsidR="00615740" w:rsidRPr="00612824" w:rsidP="00F83E38" w14:paraId="51534611" w14:textId="77777777">
            <w:pPr>
              <w:keepNext/>
              <w:keepLines/>
              <w:tabs>
                <w:tab w:val="left" w:pos="-1080"/>
              </w:tabs>
              <w:autoSpaceDE w:val="0"/>
              <w:autoSpaceDN w:val="0"/>
              <w:adjustRightInd w:val="0"/>
              <w:ind w:left="15"/>
              <w:jc w:val="center"/>
              <w:rPr>
                <w:del w:id="11651" w:author="AbbVie14" w:date="2025-05-09T10:35:00Z"/>
                <w:b/>
                <w:sz w:val="22"/>
                <w:szCs w:val="22"/>
              </w:rPr>
            </w:pPr>
            <w:del w:id="11652" w:author="AbbVie14" w:date="2025-05-09T10:35:00Z">
              <w:r w:rsidRPr="00612824">
                <w:rPr>
                  <w:b/>
                  <w:sz w:val="22"/>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rsidR="00615740" w:rsidRPr="00612824" w:rsidP="00F83E38" w14:paraId="02B3C961" w14:textId="77777777">
            <w:pPr>
              <w:keepNext/>
              <w:keepLines/>
              <w:tabs>
                <w:tab w:val="left" w:pos="-1080"/>
              </w:tabs>
              <w:autoSpaceDE w:val="0"/>
              <w:autoSpaceDN w:val="0"/>
              <w:adjustRightInd w:val="0"/>
              <w:ind w:left="15"/>
              <w:jc w:val="center"/>
              <w:rPr>
                <w:del w:id="11653" w:author="AbbVie14" w:date="2025-05-09T10:35:00Z"/>
                <w:sz w:val="22"/>
                <w:szCs w:val="22"/>
              </w:rPr>
            </w:pPr>
            <w:del w:id="11654" w:author="AbbVie14" w:date="2025-05-09T10:35:00Z">
              <w:r w:rsidRPr="00612824">
                <w:rPr>
                  <w:b/>
                  <w:bCs/>
                  <w:sz w:val="22"/>
                  <w:szCs w:val="22"/>
                </w:rPr>
                <w:delText xml:space="preserve">valore P </w:delText>
              </w:r>
            </w:del>
            <w:del w:id="11655" w:author="AbbVie14" w:date="2025-05-09T10:35:00Z">
              <w:r w:rsidRPr="00612824">
                <w:rPr>
                  <w:sz w:val="22"/>
                  <w:szCs w:val="22"/>
                </w:rPr>
                <w:delText>*</w:delText>
              </w:r>
            </w:del>
          </w:p>
        </w:tc>
      </w:tr>
      <w:tr w14:paraId="10BB94F5" w14:textId="77777777" w:rsidTr="00F83E38">
        <w:tblPrEx>
          <w:tblW w:w="0" w:type="auto"/>
          <w:tblLook w:val="00A0"/>
        </w:tblPrEx>
        <w:trPr>
          <w:del w:id="11656" w:author="AbbVie14" w:date="2025-05-09T10:35:00Z"/>
        </w:trPr>
        <w:tc>
          <w:tcPr>
            <w:tcW w:w="2321"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507A3B8B" w14:textId="77777777">
            <w:pPr>
              <w:keepNext/>
              <w:keepLines/>
              <w:tabs>
                <w:tab w:val="left" w:pos="-1080"/>
              </w:tabs>
              <w:autoSpaceDE w:val="0"/>
              <w:autoSpaceDN w:val="0"/>
              <w:adjustRightInd w:val="0"/>
              <w:ind w:left="15"/>
              <w:rPr>
                <w:del w:id="11657" w:author="AbbVie14" w:date="2025-05-09T10:35:00Z"/>
                <w:b/>
                <w:bCs/>
                <w:sz w:val="22"/>
                <w:szCs w:val="22"/>
              </w:rPr>
            </w:pPr>
            <w:del w:id="11658" w:author="AbbVie14" w:date="2025-05-09T10:35:00Z">
              <w:r w:rsidRPr="00612824">
                <w:rPr>
                  <w:b/>
                  <w:bCs/>
                  <w:sz w:val="22"/>
                  <w:szCs w:val="22"/>
                </w:rPr>
                <w:delText>Settimana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7C4B19E3" w14:textId="77777777">
            <w:pPr>
              <w:keepNext/>
              <w:keepLines/>
              <w:tabs>
                <w:tab w:val="left" w:pos="-1080"/>
              </w:tabs>
              <w:autoSpaceDE w:val="0"/>
              <w:autoSpaceDN w:val="0"/>
              <w:adjustRightInd w:val="0"/>
              <w:ind w:left="15"/>
              <w:jc w:val="center"/>
              <w:rPr>
                <w:del w:id="11659" w:author="AbbVie14" w:date="2025-05-09T10:35:00Z"/>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682D03DC" w14:textId="77777777">
            <w:pPr>
              <w:keepNext/>
              <w:keepLines/>
              <w:tabs>
                <w:tab w:val="left" w:pos="-1080"/>
              </w:tabs>
              <w:autoSpaceDE w:val="0"/>
              <w:autoSpaceDN w:val="0"/>
              <w:adjustRightInd w:val="0"/>
              <w:ind w:left="15"/>
              <w:jc w:val="center"/>
              <w:rPr>
                <w:del w:id="11660" w:author="AbbVie14" w:date="2025-05-09T10:35:00Z"/>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21FA0C6E" w14:textId="77777777">
            <w:pPr>
              <w:keepNext/>
              <w:autoSpaceDE w:val="0"/>
              <w:autoSpaceDN w:val="0"/>
              <w:adjustRightInd w:val="0"/>
              <w:ind w:left="15"/>
              <w:rPr>
                <w:del w:id="11661" w:author="AbbVie14" w:date="2025-05-09T10:35:00Z"/>
                <w:b/>
                <w:bCs/>
                <w:sz w:val="22"/>
                <w:szCs w:val="22"/>
              </w:rPr>
            </w:pPr>
          </w:p>
        </w:tc>
      </w:tr>
      <w:tr w14:paraId="363D7CF6" w14:textId="77777777" w:rsidTr="00F83E38">
        <w:tblPrEx>
          <w:tblW w:w="0" w:type="auto"/>
          <w:tblLook w:val="00A0"/>
        </w:tblPrEx>
        <w:trPr>
          <w:del w:id="11662" w:author="AbbVie14" w:date="2025-05-09T10:35:00Z"/>
        </w:trPr>
        <w:tc>
          <w:tcPr>
            <w:tcW w:w="2321"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074E28F0" w14:textId="77777777">
            <w:pPr>
              <w:keepNext/>
              <w:keepLines/>
              <w:tabs>
                <w:tab w:val="left" w:pos="-1080"/>
              </w:tabs>
              <w:autoSpaceDE w:val="0"/>
              <w:autoSpaceDN w:val="0"/>
              <w:adjustRightInd w:val="0"/>
              <w:ind w:left="15"/>
              <w:rPr>
                <w:del w:id="11663" w:author="AbbVie14" w:date="2025-05-09T10:35:00Z"/>
                <w:sz w:val="22"/>
                <w:szCs w:val="22"/>
              </w:rPr>
            </w:pPr>
            <w:del w:id="11664" w:author="AbbVie14" w:date="2025-05-09T10:35:00Z">
              <w:r w:rsidRPr="00612824">
                <w:rPr>
                  <w:sz w:val="22"/>
                  <w:szCs w:val="22"/>
                </w:rPr>
                <w:delText xml:space="preserve">   Remissione clinica </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5C853FED" w14:textId="77777777">
            <w:pPr>
              <w:keepNext/>
              <w:keepLines/>
              <w:tabs>
                <w:tab w:val="left" w:pos="-1080"/>
              </w:tabs>
              <w:autoSpaceDE w:val="0"/>
              <w:autoSpaceDN w:val="0"/>
              <w:adjustRightInd w:val="0"/>
              <w:ind w:left="15"/>
              <w:jc w:val="center"/>
              <w:rPr>
                <w:del w:id="11665" w:author="AbbVie14" w:date="2025-05-09T10:35:00Z"/>
                <w:sz w:val="22"/>
                <w:szCs w:val="22"/>
              </w:rPr>
            </w:pPr>
            <w:del w:id="11666" w:author="AbbVie14" w:date="2025-05-09T10:35:00Z">
              <w:r w:rsidRPr="00612824">
                <w:rPr>
                  <w:sz w:val="22"/>
                  <w:szCs w:val="22"/>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7EF23E89" w14:textId="77777777">
            <w:pPr>
              <w:keepNext/>
              <w:keepLines/>
              <w:tabs>
                <w:tab w:val="left" w:pos="-1080"/>
              </w:tabs>
              <w:autoSpaceDE w:val="0"/>
              <w:autoSpaceDN w:val="0"/>
              <w:adjustRightInd w:val="0"/>
              <w:ind w:left="15"/>
              <w:jc w:val="center"/>
              <w:rPr>
                <w:del w:id="11667" w:author="AbbVie14" w:date="2025-05-09T10:35:00Z"/>
                <w:sz w:val="22"/>
                <w:szCs w:val="22"/>
              </w:rPr>
            </w:pPr>
            <w:del w:id="11668" w:author="AbbVie14" w:date="2025-05-09T10:35:00Z">
              <w:r w:rsidRPr="00612824">
                <w:rPr>
                  <w:sz w:val="22"/>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2E560D00" w14:textId="77777777">
            <w:pPr>
              <w:keepNext/>
              <w:keepLines/>
              <w:tabs>
                <w:tab w:val="left" w:pos="-1080"/>
              </w:tabs>
              <w:autoSpaceDE w:val="0"/>
              <w:autoSpaceDN w:val="0"/>
              <w:adjustRightInd w:val="0"/>
              <w:ind w:left="15"/>
              <w:jc w:val="center"/>
              <w:rPr>
                <w:del w:id="11669" w:author="AbbVie14" w:date="2025-05-09T10:35:00Z"/>
                <w:sz w:val="22"/>
                <w:szCs w:val="22"/>
              </w:rPr>
            </w:pPr>
            <w:del w:id="11670" w:author="AbbVie14" w:date="2025-05-09T10:35:00Z">
              <w:r w:rsidRPr="00612824">
                <w:rPr>
                  <w:sz w:val="22"/>
                  <w:szCs w:val="22"/>
                </w:rPr>
                <w:delText>0,075</w:delText>
              </w:r>
            </w:del>
          </w:p>
        </w:tc>
      </w:tr>
      <w:tr w14:paraId="0AF6E343" w14:textId="77777777" w:rsidTr="00F83E38">
        <w:tblPrEx>
          <w:tblW w:w="0" w:type="auto"/>
          <w:tblLook w:val="00A0"/>
        </w:tblPrEx>
        <w:trPr>
          <w:del w:id="11671" w:author="AbbVie14" w:date="2025-05-09T10:35:00Z"/>
        </w:trPr>
        <w:tc>
          <w:tcPr>
            <w:tcW w:w="2321" w:type="dxa"/>
            <w:tcBorders>
              <w:top w:val="single" w:sz="6" w:space="0" w:color="000000"/>
              <w:left w:val="single" w:sz="6" w:space="0" w:color="000000"/>
              <w:bottom w:val="single" w:sz="6" w:space="0" w:color="000000"/>
              <w:right w:val="single" w:sz="6" w:space="0" w:color="000000"/>
            </w:tcBorders>
          </w:tcPr>
          <w:p w:rsidR="00615740" w:rsidRPr="00612824" w:rsidP="00F83E38" w14:paraId="6FEFB98A" w14:textId="77777777">
            <w:pPr>
              <w:keepNext/>
              <w:keepLines/>
              <w:tabs>
                <w:tab w:val="left" w:pos="-1080"/>
              </w:tabs>
              <w:autoSpaceDE w:val="0"/>
              <w:autoSpaceDN w:val="0"/>
              <w:adjustRightInd w:val="0"/>
              <w:ind w:left="15"/>
              <w:rPr>
                <w:del w:id="11672" w:author="AbbVie14" w:date="2025-05-09T10:35:00Z"/>
                <w:sz w:val="22"/>
                <w:szCs w:val="22"/>
              </w:rPr>
            </w:pPr>
            <w:del w:id="11673" w:author="AbbVie14" w:date="2025-05-09T10:35:00Z">
              <w:r w:rsidRPr="00612824">
                <w:rPr>
                  <w:sz w:val="22"/>
                  <w:szCs w:val="22"/>
                </w:rPr>
                <w:delText xml:space="preserve">   Risposta clinica</w:delText>
              </w:r>
            </w:del>
          </w:p>
        </w:tc>
        <w:tc>
          <w:tcPr>
            <w:tcW w:w="1614" w:type="dxa"/>
            <w:tcBorders>
              <w:top w:val="single" w:sz="6" w:space="0" w:color="000000"/>
              <w:left w:val="single" w:sz="6" w:space="0" w:color="000000"/>
              <w:bottom w:val="single" w:sz="6" w:space="0" w:color="000000"/>
              <w:right w:val="single" w:sz="6" w:space="0" w:color="000000"/>
            </w:tcBorders>
          </w:tcPr>
          <w:p w:rsidR="00615740" w:rsidRPr="00612824" w:rsidP="00F83E38" w14:paraId="5AADCA9C" w14:textId="77777777">
            <w:pPr>
              <w:keepNext/>
              <w:keepLines/>
              <w:tabs>
                <w:tab w:val="left" w:pos="-1080"/>
              </w:tabs>
              <w:autoSpaceDE w:val="0"/>
              <w:autoSpaceDN w:val="0"/>
              <w:adjustRightInd w:val="0"/>
              <w:ind w:left="15"/>
              <w:jc w:val="center"/>
              <w:rPr>
                <w:del w:id="11674" w:author="AbbVie14" w:date="2025-05-09T10:35:00Z"/>
                <w:sz w:val="22"/>
                <w:szCs w:val="22"/>
              </w:rPr>
            </w:pPr>
            <w:del w:id="11675" w:author="AbbVie14" w:date="2025-05-09T10:35:00Z">
              <w:r w:rsidRPr="00612824">
                <w:rPr>
                  <w:sz w:val="22"/>
                  <w:szCs w:val="22"/>
                </w:rPr>
                <w:delText>59,1%</w:delText>
              </w:r>
            </w:del>
          </w:p>
        </w:tc>
        <w:tc>
          <w:tcPr>
            <w:tcW w:w="1591" w:type="dxa"/>
            <w:tcBorders>
              <w:top w:val="single" w:sz="6" w:space="0" w:color="000000"/>
              <w:left w:val="single" w:sz="6" w:space="0" w:color="000000"/>
              <w:bottom w:val="single" w:sz="6" w:space="0" w:color="000000"/>
              <w:right w:val="single" w:sz="6" w:space="0" w:color="000000"/>
            </w:tcBorders>
          </w:tcPr>
          <w:p w:rsidR="00615740" w:rsidRPr="00612824" w:rsidP="00F83E38" w14:paraId="584296AA" w14:textId="77777777">
            <w:pPr>
              <w:keepNext/>
              <w:keepLines/>
              <w:tabs>
                <w:tab w:val="left" w:pos="-1080"/>
              </w:tabs>
              <w:autoSpaceDE w:val="0"/>
              <w:autoSpaceDN w:val="0"/>
              <w:adjustRightInd w:val="0"/>
              <w:ind w:left="15"/>
              <w:jc w:val="center"/>
              <w:rPr>
                <w:del w:id="11676" w:author="AbbVie14" w:date="2025-05-09T10:35:00Z"/>
                <w:sz w:val="22"/>
                <w:szCs w:val="22"/>
              </w:rPr>
            </w:pPr>
            <w:del w:id="11677" w:author="AbbVie14" w:date="2025-05-09T10:35:00Z">
              <w:r w:rsidRPr="00612824">
                <w:rPr>
                  <w:sz w:val="22"/>
                  <w:szCs w:val="22"/>
                </w:rPr>
                <w:delText>48,4%</w:delText>
              </w:r>
            </w:del>
          </w:p>
        </w:tc>
        <w:tc>
          <w:tcPr>
            <w:tcW w:w="1147" w:type="dxa"/>
            <w:tcBorders>
              <w:top w:val="single" w:sz="6" w:space="0" w:color="000000"/>
              <w:left w:val="single" w:sz="6" w:space="0" w:color="000000"/>
              <w:bottom w:val="single" w:sz="6" w:space="0" w:color="000000"/>
              <w:right w:val="single" w:sz="6" w:space="0" w:color="000000"/>
            </w:tcBorders>
          </w:tcPr>
          <w:p w:rsidR="00615740" w:rsidRPr="00612824" w:rsidP="00F83E38" w14:paraId="0D9AE95A" w14:textId="77777777">
            <w:pPr>
              <w:keepNext/>
              <w:keepLines/>
              <w:tabs>
                <w:tab w:val="left" w:pos="-1080"/>
              </w:tabs>
              <w:autoSpaceDE w:val="0"/>
              <w:autoSpaceDN w:val="0"/>
              <w:adjustRightInd w:val="0"/>
              <w:ind w:left="15"/>
              <w:jc w:val="center"/>
              <w:rPr>
                <w:del w:id="11678" w:author="AbbVie14" w:date="2025-05-09T10:35:00Z"/>
                <w:sz w:val="22"/>
                <w:szCs w:val="22"/>
              </w:rPr>
            </w:pPr>
            <w:del w:id="11679" w:author="AbbVie14" w:date="2025-05-09T10:35:00Z">
              <w:r w:rsidRPr="00612824">
                <w:rPr>
                  <w:sz w:val="22"/>
                  <w:szCs w:val="22"/>
                </w:rPr>
                <w:delText>0,073</w:delText>
              </w:r>
            </w:del>
          </w:p>
        </w:tc>
      </w:tr>
      <w:tr w14:paraId="036CC127" w14:textId="77777777" w:rsidTr="00F83E38">
        <w:tblPrEx>
          <w:tblW w:w="0" w:type="auto"/>
          <w:tblLook w:val="00A0"/>
        </w:tblPrEx>
        <w:trPr>
          <w:del w:id="11680" w:author="AbbVie14" w:date="2025-05-09T10:35:00Z"/>
        </w:trPr>
        <w:tc>
          <w:tcPr>
            <w:tcW w:w="2321"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3C793258" w14:textId="77777777">
            <w:pPr>
              <w:keepNext/>
              <w:keepLines/>
              <w:tabs>
                <w:tab w:val="left" w:pos="-1080"/>
              </w:tabs>
              <w:autoSpaceDE w:val="0"/>
              <w:autoSpaceDN w:val="0"/>
              <w:adjustRightInd w:val="0"/>
              <w:ind w:left="15"/>
              <w:rPr>
                <w:del w:id="11681" w:author="AbbVie14" w:date="2025-05-09T10:35:00Z"/>
                <w:b/>
                <w:bCs/>
                <w:sz w:val="22"/>
                <w:szCs w:val="22"/>
              </w:rPr>
            </w:pPr>
            <w:del w:id="11682" w:author="AbbVie14" w:date="2025-05-09T10:35:00Z">
              <w:r w:rsidRPr="00612824">
                <w:rPr>
                  <w:b/>
                  <w:bCs/>
                  <w:sz w:val="22"/>
                  <w:szCs w:val="22"/>
                </w:rPr>
                <w:delText>Settimana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108D2BDE" w14:textId="77777777">
            <w:pPr>
              <w:keepNext/>
              <w:keepLines/>
              <w:tabs>
                <w:tab w:val="left" w:pos="-1080"/>
              </w:tabs>
              <w:autoSpaceDE w:val="0"/>
              <w:autoSpaceDN w:val="0"/>
              <w:adjustRightInd w:val="0"/>
              <w:ind w:left="15"/>
              <w:jc w:val="center"/>
              <w:rPr>
                <w:del w:id="11683" w:author="AbbVie14" w:date="2025-05-09T10:35:00Z"/>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12D8AB95" w14:textId="77777777">
            <w:pPr>
              <w:keepNext/>
              <w:keepLines/>
              <w:tabs>
                <w:tab w:val="left" w:pos="-1080"/>
              </w:tabs>
              <w:autoSpaceDE w:val="0"/>
              <w:autoSpaceDN w:val="0"/>
              <w:adjustRightInd w:val="0"/>
              <w:ind w:left="15"/>
              <w:jc w:val="center"/>
              <w:rPr>
                <w:del w:id="11684" w:author="AbbVie14" w:date="2025-05-09T10:35:00Z"/>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1D3B34FE" w14:textId="77777777">
            <w:pPr>
              <w:keepNext/>
              <w:autoSpaceDE w:val="0"/>
              <w:autoSpaceDN w:val="0"/>
              <w:adjustRightInd w:val="0"/>
              <w:ind w:left="15"/>
              <w:rPr>
                <w:del w:id="11685" w:author="AbbVie14" w:date="2025-05-09T10:35:00Z"/>
                <w:b/>
                <w:bCs/>
                <w:sz w:val="22"/>
                <w:szCs w:val="22"/>
              </w:rPr>
            </w:pPr>
          </w:p>
        </w:tc>
      </w:tr>
      <w:tr w14:paraId="780EDB2F" w14:textId="77777777" w:rsidTr="00F83E38">
        <w:tblPrEx>
          <w:tblW w:w="0" w:type="auto"/>
          <w:tblLook w:val="00A0"/>
        </w:tblPrEx>
        <w:trPr>
          <w:del w:id="11686" w:author="AbbVie14" w:date="2025-05-09T10:35:00Z"/>
        </w:trPr>
        <w:tc>
          <w:tcPr>
            <w:tcW w:w="2321"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7E3AB694" w14:textId="77777777">
            <w:pPr>
              <w:keepNext/>
              <w:keepLines/>
              <w:tabs>
                <w:tab w:val="left" w:pos="-1080"/>
              </w:tabs>
              <w:autoSpaceDE w:val="0"/>
              <w:autoSpaceDN w:val="0"/>
              <w:adjustRightInd w:val="0"/>
              <w:ind w:left="15"/>
              <w:rPr>
                <w:del w:id="11687" w:author="AbbVie14" w:date="2025-05-09T10:35:00Z"/>
                <w:sz w:val="22"/>
                <w:szCs w:val="22"/>
              </w:rPr>
            </w:pPr>
            <w:del w:id="11688" w:author="AbbVie14" w:date="2025-05-09T10:35:00Z">
              <w:r w:rsidRPr="00612824">
                <w:rPr>
                  <w:sz w:val="22"/>
                  <w:szCs w:val="22"/>
                </w:rPr>
                <w:delText xml:space="preserve">   Remissione clinica </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2D7B3B8F" w14:textId="77777777">
            <w:pPr>
              <w:keepNext/>
              <w:keepLines/>
              <w:tabs>
                <w:tab w:val="left" w:pos="-1080"/>
              </w:tabs>
              <w:autoSpaceDE w:val="0"/>
              <w:autoSpaceDN w:val="0"/>
              <w:adjustRightInd w:val="0"/>
              <w:ind w:left="15"/>
              <w:jc w:val="center"/>
              <w:rPr>
                <w:del w:id="11689" w:author="AbbVie14" w:date="2025-05-09T10:35:00Z"/>
                <w:sz w:val="22"/>
                <w:szCs w:val="22"/>
              </w:rPr>
            </w:pPr>
            <w:del w:id="11690" w:author="AbbVie14" w:date="2025-05-09T10:35:00Z">
              <w:r w:rsidRPr="00612824">
                <w:rPr>
                  <w:sz w:val="22"/>
                  <w:szCs w:val="22"/>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6BA8B716" w14:textId="77777777">
            <w:pPr>
              <w:keepNext/>
              <w:keepLines/>
              <w:tabs>
                <w:tab w:val="left" w:pos="-1080"/>
              </w:tabs>
              <w:autoSpaceDE w:val="0"/>
              <w:autoSpaceDN w:val="0"/>
              <w:adjustRightInd w:val="0"/>
              <w:ind w:left="15"/>
              <w:jc w:val="center"/>
              <w:rPr>
                <w:del w:id="11691" w:author="AbbVie14" w:date="2025-05-09T10:35:00Z"/>
                <w:sz w:val="22"/>
                <w:szCs w:val="22"/>
              </w:rPr>
            </w:pPr>
            <w:del w:id="11692" w:author="AbbVie14" w:date="2025-05-09T10:35:00Z">
              <w:r w:rsidRPr="00612824">
                <w:rPr>
                  <w:sz w:val="22"/>
                  <w:szCs w:val="22"/>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4284B48A" w14:textId="77777777">
            <w:pPr>
              <w:keepNext/>
              <w:keepLines/>
              <w:tabs>
                <w:tab w:val="left" w:pos="-1080"/>
              </w:tabs>
              <w:autoSpaceDE w:val="0"/>
              <w:autoSpaceDN w:val="0"/>
              <w:adjustRightInd w:val="0"/>
              <w:ind w:left="15"/>
              <w:jc w:val="center"/>
              <w:rPr>
                <w:del w:id="11693" w:author="AbbVie14" w:date="2025-05-09T10:35:00Z"/>
                <w:sz w:val="22"/>
                <w:szCs w:val="22"/>
              </w:rPr>
            </w:pPr>
            <w:del w:id="11694" w:author="AbbVie14" w:date="2025-05-09T10:35:00Z">
              <w:r w:rsidRPr="00612824">
                <w:rPr>
                  <w:sz w:val="22"/>
                  <w:szCs w:val="22"/>
                </w:rPr>
                <w:delText>0,100</w:delText>
              </w:r>
            </w:del>
          </w:p>
        </w:tc>
      </w:tr>
      <w:tr w14:paraId="3019C5C7" w14:textId="77777777" w:rsidTr="00F83E38">
        <w:tblPrEx>
          <w:tblW w:w="0" w:type="auto"/>
          <w:tblLook w:val="00A0"/>
        </w:tblPrEx>
        <w:trPr>
          <w:del w:id="11695" w:author="AbbVie14" w:date="2025-05-09T10:35:00Z"/>
        </w:trPr>
        <w:tc>
          <w:tcPr>
            <w:tcW w:w="2321" w:type="dxa"/>
            <w:tcBorders>
              <w:top w:val="single" w:sz="6" w:space="0" w:color="000000"/>
              <w:left w:val="single" w:sz="6" w:space="0" w:color="000000"/>
              <w:bottom w:val="single" w:sz="6" w:space="0" w:color="000000"/>
              <w:right w:val="single" w:sz="6" w:space="0" w:color="000000"/>
            </w:tcBorders>
          </w:tcPr>
          <w:p w:rsidR="00615740" w:rsidRPr="00612824" w:rsidP="00F83E38" w14:paraId="6CFB9E18" w14:textId="77777777">
            <w:pPr>
              <w:keepNext/>
              <w:keepLines/>
              <w:tabs>
                <w:tab w:val="left" w:pos="-1080"/>
              </w:tabs>
              <w:autoSpaceDE w:val="0"/>
              <w:autoSpaceDN w:val="0"/>
              <w:adjustRightInd w:val="0"/>
              <w:ind w:left="15"/>
              <w:rPr>
                <w:del w:id="11696" w:author="AbbVie14" w:date="2025-05-09T10:35:00Z"/>
                <w:sz w:val="22"/>
                <w:szCs w:val="22"/>
              </w:rPr>
            </w:pPr>
            <w:del w:id="11697" w:author="AbbVie14" w:date="2025-05-09T10:35:00Z">
              <w:r w:rsidRPr="00612824">
                <w:rPr>
                  <w:sz w:val="22"/>
                  <w:szCs w:val="22"/>
                </w:rPr>
                <w:delText xml:space="preserve">   Risposta clinica</w:delText>
              </w:r>
            </w:del>
          </w:p>
        </w:tc>
        <w:tc>
          <w:tcPr>
            <w:tcW w:w="1614" w:type="dxa"/>
            <w:tcBorders>
              <w:top w:val="single" w:sz="6" w:space="0" w:color="000000"/>
              <w:left w:val="single" w:sz="6" w:space="0" w:color="000000"/>
              <w:bottom w:val="single" w:sz="6" w:space="0" w:color="000000"/>
              <w:right w:val="single" w:sz="6" w:space="0" w:color="000000"/>
            </w:tcBorders>
          </w:tcPr>
          <w:p w:rsidR="00615740" w:rsidRPr="00612824" w:rsidP="00F83E38" w14:paraId="0BED0106" w14:textId="77777777">
            <w:pPr>
              <w:keepNext/>
              <w:keepLines/>
              <w:tabs>
                <w:tab w:val="left" w:pos="-1080"/>
              </w:tabs>
              <w:autoSpaceDE w:val="0"/>
              <w:autoSpaceDN w:val="0"/>
              <w:adjustRightInd w:val="0"/>
              <w:ind w:left="15"/>
              <w:jc w:val="center"/>
              <w:rPr>
                <w:del w:id="11698" w:author="AbbVie14" w:date="2025-05-09T10:35:00Z"/>
                <w:sz w:val="22"/>
                <w:szCs w:val="22"/>
              </w:rPr>
            </w:pPr>
            <w:del w:id="11699" w:author="AbbVie14" w:date="2025-05-09T10:35:00Z">
              <w:r w:rsidRPr="00612824">
                <w:rPr>
                  <w:sz w:val="22"/>
                  <w:szCs w:val="22"/>
                </w:rPr>
                <w:delText>41,9%</w:delText>
              </w:r>
            </w:del>
          </w:p>
        </w:tc>
        <w:tc>
          <w:tcPr>
            <w:tcW w:w="1591" w:type="dxa"/>
            <w:tcBorders>
              <w:top w:val="single" w:sz="6" w:space="0" w:color="000000"/>
              <w:left w:val="single" w:sz="6" w:space="0" w:color="000000"/>
              <w:bottom w:val="single" w:sz="6" w:space="0" w:color="000000"/>
              <w:right w:val="single" w:sz="6" w:space="0" w:color="000000"/>
            </w:tcBorders>
          </w:tcPr>
          <w:p w:rsidR="00615740" w:rsidRPr="00612824" w:rsidP="00F83E38" w14:paraId="1E4CF1DD" w14:textId="77777777">
            <w:pPr>
              <w:keepNext/>
              <w:keepLines/>
              <w:tabs>
                <w:tab w:val="left" w:pos="-1080"/>
              </w:tabs>
              <w:autoSpaceDE w:val="0"/>
              <w:autoSpaceDN w:val="0"/>
              <w:adjustRightInd w:val="0"/>
              <w:ind w:left="15"/>
              <w:jc w:val="center"/>
              <w:rPr>
                <w:del w:id="11700" w:author="AbbVie14" w:date="2025-05-09T10:35:00Z"/>
                <w:sz w:val="22"/>
                <w:szCs w:val="22"/>
              </w:rPr>
            </w:pPr>
            <w:del w:id="11701" w:author="AbbVie14" w:date="2025-05-09T10:35:00Z">
              <w:r w:rsidRPr="00612824">
                <w:rPr>
                  <w:sz w:val="22"/>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tcPr>
          <w:p w:rsidR="00615740" w:rsidRPr="00612824" w:rsidP="00F83E38" w14:paraId="08E764FC" w14:textId="77777777">
            <w:pPr>
              <w:keepNext/>
              <w:keepLines/>
              <w:tabs>
                <w:tab w:val="left" w:pos="-1080"/>
              </w:tabs>
              <w:autoSpaceDE w:val="0"/>
              <w:autoSpaceDN w:val="0"/>
              <w:adjustRightInd w:val="0"/>
              <w:ind w:left="15"/>
              <w:jc w:val="center"/>
              <w:rPr>
                <w:del w:id="11702" w:author="AbbVie14" w:date="2025-05-09T10:35:00Z"/>
                <w:sz w:val="22"/>
                <w:szCs w:val="22"/>
              </w:rPr>
            </w:pPr>
            <w:del w:id="11703" w:author="AbbVie14" w:date="2025-05-09T10:35:00Z">
              <w:r w:rsidRPr="00612824">
                <w:rPr>
                  <w:sz w:val="22"/>
                  <w:szCs w:val="22"/>
                </w:rPr>
                <w:delText>0,038</w:delText>
              </w:r>
            </w:del>
          </w:p>
        </w:tc>
      </w:tr>
      <w:tr w14:paraId="15316E3E" w14:textId="77777777" w:rsidTr="00F83E38">
        <w:tblPrEx>
          <w:tblW w:w="0" w:type="auto"/>
          <w:tblLook w:val="00A0"/>
        </w:tblPrEx>
        <w:trPr>
          <w:del w:id="11704" w:author="AbbVie14" w:date="2025-05-09T10:35:00Z"/>
        </w:trPr>
        <w:tc>
          <w:tcPr>
            <w:tcW w:w="6673" w:type="dxa"/>
            <w:gridSpan w:val="4"/>
            <w:tcBorders>
              <w:top w:val="single" w:sz="6" w:space="0" w:color="000000"/>
              <w:left w:val="single" w:sz="6" w:space="0" w:color="000000"/>
              <w:bottom w:val="single" w:sz="6" w:space="0" w:color="000000"/>
              <w:right w:val="single" w:sz="6" w:space="0" w:color="000000"/>
            </w:tcBorders>
          </w:tcPr>
          <w:p w:rsidR="00615740" w:rsidRPr="00612824" w:rsidP="00F83E38" w14:paraId="67C53FE7" w14:textId="77777777">
            <w:pPr>
              <w:keepNext/>
              <w:keepLines/>
              <w:tabs>
                <w:tab w:val="left" w:pos="-1080"/>
              </w:tabs>
              <w:autoSpaceDE w:val="0"/>
              <w:autoSpaceDN w:val="0"/>
              <w:adjustRightInd w:val="0"/>
              <w:ind w:left="15"/>
              <w:rPr>
                <w:del w:id="11705" w:author="AbbVie14" w:date="2025-05-09T10:35:00Z"/>
                <w:sz w:val="22"/>
                <w:szCs w:val="22"/>
              </w:rPr>
            </w:pPr>
            <w:del w:id="11706" w:author="AbbVie14" w:date="2025-05-09T10:35:00Z">
              <w:r w:rsidRPr="00612824">
                <w:rPr>
                  <w:sz w:val="22"/>
                  <w:szCs w:val="22"/>
                </w:rPr>
                <w:delText xml:space="preserve">* confronto valore P per Dose Standard </w:delText>
              </w:r>
            </w:del>
            <w:del w:id="11707" w:author="AbbVie14" w:date="2025-05-09T10:35:00Z">
              <w:r w:rsidRPr="00612824">
                <w:rPr>
                  <w:i/>
                  <w:iCs/>
                  <w:sz w:val="22"/>
                  <w:szCs w:val="22"/>
                </w:rPr>
                <w:delText xml:space="preserve">versus </w:delText>
              </w:r>
            </w:del>
            <w:del w:id="11708" w:author="AbbVie14" w:date="2025-05-09T10:35:00Z">
              <w:r w:rsidRPr="00612824">
                <w:rPr>
                  <w:sz w:val="22"/>
                  <w:szCs w:val="22"/>
                </w:rPr>
                <w:delText>Bassa Dose.</w:delText>
              </w:r>
            </w:del>
          </w:p>
        </w:tc>
      </w:tr>
    </w:tbl>
    <w:p w:rsidR="00615740" w:rsidRPr="00612824" w:rsidP="00615740" w14:paraId="245EF487" w14:textId="77777777">
      <w:pPr>
        <w:rPr>
          <w:del w:id="11709" w:author="AbbVie14" w:date="2025-05-09T10:35:00Z"/>
          <w:sz w:val="22"/>
          <w:szCs w:val="22"/>
        </w:rPr>
      </w:pPr>
    </w:p>
    <w:tbl>
      <w:tblPr>
        <w:tblW w:w="0" w:type="auto"/>
        <w:jc w:val="center"/>
        <w:tblCellMar>
          <w:left w:w="0" w:type="dxa"/>
          <w:right w:w="0" w:type="dxa"/>
        </w:tblCellMar>
        <w:tblLook w:val="00A0"/>
      </w:tblPr>
      <w:tblGrid>
        <w:gridCol w:w="4025"/>
        <w:gridCol w:w="1656"/>
        <w:gridCol w:w="1619"/>
        <w:gridCol w:w="1140"/>
      </w:tblGrid>
      <w:tr w14:paraId="346B6648" w14:textId="77777777" w:rsidTr="00F83E38">
        <w:tblPrEx>
          <w:tblW w:w="0" w:type="auto"/>
          <w:tblLook w:val="00A0"/>
        </w:tblPrEx>
        <w:trPr>
          <w:del w:id="11710" w:author="AbbVie14" w:date="2025-05-09T10:35:00Z"/>
        </w:trPr>
        <w:tc>
          <w:tcPr>
            <w:tcW w:w="8440" w:type="dxa"/>
            <w:gridSpan w:val="4"/>
            <w:tcBorders>
              <w:top w:val="single" w:sz="6" w:space="0" w:color="000000"/>
              <w:left w:val="single" w:sz="6" w:space="0" w:color="000000"/>
              <w:bottom w:val="single" w:sz="6" w:space="0" w:color="000000"/>
              <w:right w:val="single" w:sz="6" w:space="0" w:color="000000"/>
            </w:tcBorders>
          </w:tcPr>
          <w:p w:rsidR="00615740" w:rsidRPr="00612824" w:rsidP="00F83E38" w14:paraId="69D794C4" w14:textId="77777777">
            <w:pPr>
              <w:keepNext/>
              <w:tabs>
                <w:tab w:val="left" w:pos="-878"/>
              </w:tabs>
              <w:autoSpaceDE w:val="0"/>
              <w:autoSpaceDN w:val="0"/>
              <w:adjustRightInd w:val="0"/>
              <w:jc w:val="center"/>
              <w:rPr>
                <w:del w:id="11711" w:author="AbbVie14" w:date="2025-05-09T10:35:00Z"/>
                <w:b/>
                <w:bCs/>
                <w:sz w:val="22"/>
                <w:szCs w:val="22"/>
              </w:rPr>
            </w:pPr>
            <w:del w:id="11712" w:author="AbbVie14" w:date="2025-05-09T10:35:00Z">
              <w:r w:rsidRPr="00612824">
                <w:rPr>
                  <w:sz w:val="22"/>
                  <w:szCs w:val="22"/>
                </w:rPr>
                <w:br w:type="page"/>
              </w:r>
            </w:del>
            <w:del w:id="11713" w:author="AbbVie14" w:date="2025-05-09T10:35:00Z">
              <w:r w:rsidRPr="00612824">
                <w:rPr>
                  <w:b/>
                  <w:bCs/>
                  <w:sz w:val="22"/>
                  <w:szCs w:val="22"/>
                </w:rPr>
                <w:delText>Tabella 30</w:delText>
              </w:r>
            </w:del>
          </w:p>
          <w:p w:rsidR="00615740" w:rsidRPr="00612824" w:rsidP="00F83E38" w14:paraId="0E73061D" w14:textId="77777777">
            <w:pPr>
              <w:keepNext/>
              <w:tabs>
                <w:tab w:val="left" w:pos="-878"/>
              </w:tabs>
              <w:autoSpaceDE w:val="0"/>
              <w:autoSpaceDN w:val="0"/>
              <w:adjustRightInd w:val="0"/>
              <w:jc w:val="center"/>
              <w:rPr>
                <w:del w:id="11714" w:author="AbbVie14" w:date="2025-05-09T10:35:00Z"/>
                <w:b/>
                <w:bCs/>
                <w:sz w:val="22"/>
                <w:szCs w:val="22"/>
              </w:rPr>
            </w:pPr>
            <w:del w:id="11715" w:author="AbbVie14" w:date="2025-05-09T10:35:00Z">
              <w:r w:rsidRPr="00612824">
                <w:rPr>
                  <w:b/>
                  <w:bCs/>
                  <w:sz w:val="22"/>
                  <w:szCs w:val="22"/>
                </w:rPr>
                <w:delText>Studio della Malattia di Crohn Pediatrica</w:delText>
              </w:r>
            </w:del>
          </w:p>
          <w:p w:rsidR="00615740" w:rsidRPr="00612824" w:rsidP="00F83E38" w14:paraId="6DBE3104" w14:textId="77777777">
            <w:pPr>
              <w:keepNext/>
              <w:tabs>
                <w:tab w:val="left" w:pos="-878"/>
              </w:tabs>
              <w:autoSpaceDE w:val="0"/>
              <w:autoSpaceDN w:val="0"/>
              <w:adjustRightInd w:val="0"/>
              <w:jc w:val="center"/>
              <w:rPr>
                <w:del w:id="11716" w:author="AbbVie14" w:date="2025-05-09T10:35:00Z"/>
                <w:b/>
                <w:bCs/>
                <w:sz w:val="22"/>
                <w:szCs w:val="22"/>
              </w:rPr>
            </w:pPr>
            <w:del w:id="11717" w:author="AbbVie14" w:date="2025-05-09T10:35:00Z">
              <w:r w:rsidRPr="00612824">
                <w:rPr>
                  <w:b/>
                  <w:bCs/>
                  <w:sz w:val="22"/>
                  <w:szCs w:val="22"/>
                </w:rPr>
                <w:delText>Discontinuazione dei Corticosteroidi o Immunomodulatori e Remissione della Fistola</w:delText>
              </w:r>
            </w:del>
          </w:p>
        </w:tc>
      </w:tr>
      <w:tr w14:paraId="25855EE8" w14:textId="77777777" w:rsidTr="00F83E38">
        <w:tblPrEx>
          <w:tblW w:w="0" w:type="auto"/>
          <w:tblLook w:val="00A0"/>
        </w:tblPrEx>
        <w:trPr>
          <w:del w:id="11718" w:author="AbbVie14" w:date="2025-05-09T10:35:00Z"/>
        </w:trPr>
        <w:tc>
          <w:tcPr>
            <w:tcW w:w="4025" w:type="dxa"/>
            <w:tcBorders>
              <w:top w:val="single" w:sz="6" w:space="0" w:color="000000"/>
              <w:left w:val="single" w:sz="6" w:space="0" w:color="000000"/>
              <w:bottom w:val="single" w:sz="6" w:space="0" w:color="000000"/>
              <w:right w:val="single" w:sz="6" w:space="0" w:color="000000"/>
            </w:tcBorders>
          </w:tcPr>
          <w:p w:rsidR="00615740" w:rsidRPr="00612824" w:rsidP="00F83E38" w14:paraId="173FAD81" w14:textId="77777777">
            <w:pPr>
              <w:keepNext/>
              <w:keepLines/>
              <w:tabs>
                <w:tab w:val="left" w:pos="-1080"/>
              </w:tabs>
              <w:autoSpaceDE w:val="0"/>
              <w:autoSpaceDN w:val="0"/>
              <w:adjustRightInd w:val="0"/>
              <w:jc w:val="center"/>
              <w:rPr>
                <w:del w:id="11719" w:author="AbbVie14" w:date="2025-05-09T10:35:00Z"/>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rsidR="00615740" w:rsidRPr="00612824" w:rsidP="00F83E38" w14:paraId="00EFDD13" w14:textId="77777777">
            <w:pPr>
              <w:keepNext/>
              <w:keepLines/>
              <w:tabs>
                <w:tab w:val="left" w:pos="-1080"/>
              </w:tabs>
              <w:autoSpaceDE w:val="0"/>
              <w:autoSpaceDN w:val="0"/>
              <w:adjustRightInd w:val="0"/>
              <w:ind w:left="15"/>
              <w:jc w:val="center"/>
              <w:rPr>
                <w:del w:id="11720" w:author="AbbVie14" w:date="2025-05-09T10:35:00Z"/>
                <w:b/>
                <w:bCs/>
                <w:sz w:val="22"/>
                <w:szCs w:val="22"/>
              </w:rPr>
            </w:pPr>
            <w:del w:id="11721" w:author="AbbVie14" w:date="2025-05-09T10:35:00Z">
              <w:r w:rsidRPr="00612824">
                <w:rPr>
                  <w:b/>
                  <w:bCs/>
                  <w:sz w:val="22"/>
                  <w:szCs w:val="22"/>
                </w:rPr>
                <w:delText xml:space="preserve">Dose standard </w:delText>
              </w:r>
            </w:del>
          </w:p>
          <w:p w:rsidR="00615740" w:rsidRPr="00612824" w:rsidP="00F83E38" w14:paraId="0D00BFA7" w14:textId="77777777">
            <w:pPr>
              <w:keepNext/>
              <w:keepLines/>
              <w:tabs>
                <w:tab w:val="left" w:pos="-1080"/>
              </w:tabs>
              <w:autoSpaceDE w:val="0"/>
              <w:autoSpaceDN w:val="0"/>
              <w:adjustRightInd w:val="0"/>
              <w:ind w:left="15"/>
              <w:jc w:val="center"/>
              <w:rPr>
                <w:del w:id="11722" w:author="AbbVie14" w:date="2025-05-09T10:35:00Z"/>
                <w:b/>
                <w:bCs/>
                <w:sz w:val="22"/>
                <w:szCs w:val="22"/>
              </w:rPr>
            </w:pPr>
            <w:del w:id="11723" w:author="AbbVie14" w:date="2025-05-09T10:35:00Z">
              <w:r w:rsidRPr="00612824">
                <w:rPr>
                  <w:b/>
                  <w:bCs/>
                  <w:sz w:val="22"/>
                  <w:szCs w:val="22"/>
                </w:rPr>
                <w:delText>40/20 mg a settimane alterne</w:delText>
              </w:r>
            </w:del>
          </w:p>
        </w:tc>
        <w:tc>
          <w:tcPr>
            <w:tcW w:w="1619" w:type="dxa"/>
            <w:tcBorders>
              <w:top w:val="single" w:sz="6" w:space="0" w:color="000000"/>
              <w:left w:val="single" w:sz="6" w:space="0" w:color="000000"/>
              <w:bottom w:val="single" w:sz="6" w:space="0" w:color="000000"/>
              <w:right w:val="single" w:sz="6" w:space="0" w:color="000000"/>
            </w:tcBorders>
          </w:tcPr>
          <w:p w:rsidR="00615740" w:rsidRPr="00612824" w:rsidP="00F83E38" w14:paraId="70C5216A" w14:textId="77777777">
            <w:pPr>
              <w:keepNext/>
              <w:keepLines/>
              <w:tabs>
                <w:tab w:val="left" w:pos="-1080"/>
              </w:tabs>
              <w:autoSpaceDE w:val="0"/>
              <w:autoSpaceDN w:val="0"/>
              <w:adjustRightInd w:val="0"/>
              <w:ind w:left="15"/>
              <w:jc w:val="center"/>
              <w:rPr>
                <w:del w:id="11724" w:author="AbbVie14" w:date="2025-05-09T10:35:00Z"/>
                <w:b/>
                <w:bCs/>
                <w:sz w:val="22"/>
                <w:szCs w:val="22"/>
              </w:rPr>
            </w:pPr>
            <w:del w:id="11725" w:author="AbbVie14" w:date="2025-05-09T10:35:00Z">
              <w:r w:rsidRPr="00612824">
                <w:rPr>
                  <w:b/>
                  <w:bCs/>
                  <w:sz w:val="22"/>
                  <w:szCs w:val="22"/>
                </w:rPr>
                <w:delText>Dose Bassa</w:delText>
              </w:r>
            </w:del>
          </w:p>
          <w:p w:rsidR="00615740" w:rsidRPr="00612824" w:rsidP="00F83E38" w14:paraId="559FCA3E" w14:textId="77777777">
            <w:pPr>
              <w:keepNext/>
              <w:keepLines/>
              <w:tabs>
                <w:tab w:val="left" w:pos="-1080"/>
              </w:tabs>
              <w:autoSpaceDE w:val="0"/>
              <w:autoSpaceDN w:val="0"/>
              <w:adjustRightInd w:val="0"/>
              <w:ind w:left="15"/>
              <w:jc w:val="center"/>
              <w:rPr>
                <w:del w:id="11726" w:author="AbbVie14" w:date="2025-05-09T10:35:00Z"/>
                <w:b/>
                <w:bCs/>
                <w:sz w:val="22"/>
                <w:szCs w:val="22"/>
              </w:rPr>
            </w:pPr>
            <w:del w:id="11727" w:author="AbbVie14" w:date="2025-05-09T10:35:00Z">
              <w:r w:rsidRPr="00612824">
                <w:rPr>
                  <w:b/>
                  <w:bCs/>
                  <w:sz w:val="22"/>
                  <w:szCs w:val="22"/>
                </w:rPr>
                <w:delText xml:space="preserve">20/10 mg a settimane alterne </w:delText>
              </w:r>
            </w:del>
          </w:p>
        </w:tc>
        <w:tc>
          <w:tcPr>
            <w:tcW w:w="1140" w:type="dxa"/>
            <w:tcBorders>
              <w:top w:val="single" w:sz="6" w:space="0" w:color="000000"/>
              <w:left w:val="single" w:sz="6" w:space="0" w:color="000000"/>
              <w:bottom w:val="single" w:sz="6" w:space="0" w:color="000000"/>
              <w:right w:val="single" w:sz="6" w:space="0" w:color="000000"/>
            </w:tcBorders>
          </w:tcPr>
          <w:p w:rsidR="00615740" w:rsidRPr="00612824" w:rsidP="00F83E38" w14:paraId="6E1E8FF3" w14:textId="77777777">
            <w:pPr>
              <w:keepNext/>
              <w:keepLines/>
              <w:tabs>
                <w:tab w:val="left" w:pos="-1080"/>
              </w:tabs>
              <w:autoSpaceDE w:val="0"/>
              <w:autoSpaceDN w:val="0"/>
              <w:adjustRightInd w:val="0"/>
              <w:ind w:left="15"/>
              <w:jc w:val="center"/>
              <w:rPr>
                <w:del w:id="11728" w:author="AbbVie14" w:date="2025-05-09T10:35:00Z"/>
                <w:b/>
                <w:bCs/>
                <w:sz w:val="22"/>
                <w:szCs w:val="22"/>
              </w:rPr>
            </w:pPr>
            <w:del w:id="11729" w:author="AbbVie14" w:date="2025-05-09T10:35:00Z">
              <w:r w:rsidRPr="00612824">
                <w:rPr>
                  <w:b/>
                  <w:bCs/>
                  <w:sz w:val="22"/>
                  <w:szCs w:val="22"/>
                </w:rPr>
                <w:delText xml:space="preserve">Valore P </w:delText>
              </w:r>
            </w:del>
            <w:del w:id="11730" w:author="AbbVie14" w:date="2025-05-09T10:35:00Z">
              <w:r w:rsidRPr="00612824">
                <w:rPr>
                  <w:b/>
                  <w:bCs/>
                  <w:sz w:val="22"/>
                  <w:szCs w:val="22"/>
                  <w:vertAlign w:val="superscript"/>
                </w:rPr>
                <w:delText>1</w:delText>
              </w:r>
            </w:del>
          </w:p>
        </w:tc>
      </w:tr>
      <w:tr w14:paraId="3BEC79D6" w14:textId="77777777" w:rsidTr="00F83E38">
        <w:tblPrEx>
          <w:tblW w:w="0" w:type="auto"/>
          <w:tblLook w:val="00A0"/>
        </w:tblPrEx>
        <w:trPr>
          <w:del w:id="11731" w:author="AbbVie14" w:date="2025-05-09T10:35:00Z"/>
        </w:trPr>
        <w:tc>
          <w:tcPr>
            <w:tcW w:w="4025"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0896A70D" w14:textId="77777777">
            <w:pPr>
              <w:keepNext/>
              <w:keepLines/>
              <w:tabs>
                <w:tab w:val="left" w:pos="-1080"/>
              </w:tabs>
              <w:autoSpaceDE w:val="0"/>
              <w:autoSpaceDN w:val="0"/>
              <w:adjustRightInd w:val="0"/>
              <w:rPr>
                <w:del w:id="11732" w:author="AbbVie14" w:date="2025-05-09T10:35:00Z"/>
                <w:b/>
                <w:sz w:val="22"/>
                <w:szCs w:val="22"/>
              </w:rPr>
            </w:pPr>
            <w:del w:id="11733" w:author="AbbVie14" w:date="2025-05-09T10:35:00Z">
              <w:r w:rsidRPr="00612824">
                <w:rPr>
                  <w:b/>
                  <w:sz w:val="22"/>
                  <w:szCs w:val="22"/>
                </w:rPr>
                <w:delText>Corticosteroidi discontinuati</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16935D1D" w14:textId="77777777">
            <w:pPr>
              <w:keepNext/>
              <w:keepLines/>
              <w:tabs>
                <w:tab w:val="left" w:pos="-1080"/>
              </w:tabs>
              <w:autoSpaceDE w:val="0"/>
              <w:autoSpaceDN w:val="0"/>
              <w:adjustRightInd w:val="0"/>
              <w:ind w:left="15"/>
              <w:jc w:val="center"/>
              <w:rPr>
                <w:del w:id="11734" w:author="AbbVie14" w:date="2025-05-09T10:35:00Z"/>
                <w:b/>
                <w:sz w:val="22"/>
                <w:szCs w:val="22"/>
              </w:rPr>
            </w:pPr>
            <w:del w:id="11735" w:author="AbbVie14" w:date="2025-05-09T10:35:00Z">
              <w:r w:rsidRPr="00612824">
                <w:rPr>
                  <w:b/>
                  <w:sz w:val="22"/>
                  <w:szCs w:val="22"/>
                </w:rPr>
                <w:delText>N=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2E67EEA3" w14:textId="77777777">
            <w:pPr>
              <w:keepNext/>
              <w:keepLines/>
              <w:tabs>
                <w:tab w:val="left" w:pos="-1080"/>
              </w:tabs>
              <w:autoSpaceDE w:val="0"/>
              <w:autoSpaceDN w:val="0"/>
              <w:adjustRightInd w:val="0"/>
              <w:ind w:left="15"/>
              <w:jc w:val="center"/>
              <w:rPr>
                <w:del w:id="11736" w:author="AbbVie14" w:date="2025-05-09T10:35:00Z"/>
                <w:b/>
                <w:sz w:val="22"/>
                <w:szCs w:val="22"/>
              </w:rPr>
            </w:pPr>
            <w:del w:id="11737" w:author="AbbVie14" w:date="2025-05-09T10:35:00Z">
              <w:r w:rsidRPr="00612824">
                <w:rPr>
                  <w:b/>
                  <w:sz w:val="22"/>
                  <w:szCs w:val="22"/>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643AB988" w14:textId="77777777">
            <w:pPr>
              <w:keepNext/>
              <w:autoSpaceDE w:val="0"/>
              <w:autoSpaceDN w:val="0"/>
              <w:adjustRightInd w:val="0"/>
              <w:ind w:left="15"/>
              <w:rPr>
                <w:del w:id="11738" w:author="AbbVie14" w:date="2025-05-09T10:35:00Z"/>
                <w:b/>
                <w:sz w:val="22"/>
                <w:szCs w:val="22"/>
              </w:rPr>
            </w:pPr>
          </w:p>
        </w:tc>
      </w:tr>
      <w:tr w14:paraId="64E8013E" w14:textId="77777777" w:rsidTr="00F83E38">
        <w:tblPrEx>
          <w:tblW w:w="0" w:type="auto"/>
          <w:tblLook w:val="00A0"/>
        </w:tblPrEx>
        <w:trPr>
          <w:del w:id="11739" w:author="AbbVie14" w:date="2025-05-09T10:35:00Z"/>
        </w:trPr>
        <w:tc>
          <w:tcPr>
            <w:tcW w:w="4025"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7A0AE200" w14:textId="77777777">
            <w:pPr>
              <w:keepNext/>
              <w:keepLines/>
              <w:tabs>
                <w:tab w:val="left" w:pos="-1080"/>
              </w:tabs>
              <w:autoSpaceDE w:val="0"/>
              <w:autoSpaceDN w:val="0"/>
              <w:adjustRightInd w:val="0"/>
              <w:rPr>
                <w:del w:id="11740" w:author="AbbVie14" w:date="2025-05-09T10:35:00Z"/>
                <w:bCs/>
                <w:sz w:val="22"/>
                <w:szCs w:val="22"/>
              </w:rPr>
            </w:pPr>
            <w:del w:id="11741" w:author="AbbVie14" w:date="2025-05-09T10:35:00Z">
              <w:r w:rsidRPr="00612824">
                <w:rPr>
                  <w:bCs/>
                  <w:sz w:val="22"/>
                  <w:szCs w:val="22"/>
                </w:rPr>
                <w:delText>Settimana 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0E8D2359" w14:textId="77777777">
            <w:pPr>
              <w:keepNext/>
              <w:keepLines/>
              <w:tabs>
                <w:tab w:val="left" w:pos="-1080"/>
              </w:tabs>
              <w:autoSpaceDE w:val="0"/>
              <w:autoSpaceDN w:val="0"/>
              <w:adjustRightInd w:val="0"/>
              <w:ind w:left="15"/>
              <w:jc w:val="center"/>
              <w:rPr>
                <w:del w:id="11742" w:author="AbbVie14" w:date="2025-05-09T10:35:00Z"/>
                <w:sz w:val="22"/>
                <w:szCs w:val="22"/>
              </w:rPr>
            </w:pPr>
            <w:del w:id="11743" w:author="AbbVie14" w:date="2025-05-09T10:35:00Z">
              <w:r w:rsidRPr="00612824">
                <w:rPr>
                  <w:sz w:val="22"/>
                  <w:szCs w:val="22"/>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5791BEDC" w14:textId="77777777">
            <w:pPr>
              <w:keepNext/>
              <w:keepLines/>
              <w:tabs>
                <w:tab w:val="left" w:pos="-1080"/>
              </w:tabs>
              <w:autoSpaceDE w:val="0"/>
              <w:autoSpaceDN w:val="0"/>
              <w:adjustRightInd w:val="0"/>
              <w:ind w:left="15"/>
              <w:jc w:val="center"/>
              <w:rPr>
                <w:del w:id="11744" w:author="AbbVie14" w:date="2025-05-09T10:35:00Z"/>
                <w:sz w:val="22"/>
                <w:szCs w:val="22"/>
              </w:rPr>
            </w:pPr>
            <w:del w:id="11745" w:author="AbbVie14" w:date="2025-05-09T10:35:00Z">
              <w:r w:rsidRPr="00612824">
                <w:rPr>
                  <w:sz w:val="22"/>
                  <w:szCs w:val="22"/>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0D53DA3D" w14:textId="77777777">
            <w:pPr>
              <w:keepNext/>
              <w:keepLines/>
              <w:tabs>
                <w:tab w:val="left" w:pos="-1080"/>
              </w:tabs>
              <w:autoSpaceDE w:val="0"/>
              <w:autoSpaceDN w:val="0"/>
              <w:adjustRightInd w:val="0"/>
              <w:ind w:left="15"/>
              <w:jc w:val="center"/>
              <w:rPr>
                <w:del w:id="11746" w:author="AbbVie14" w:date="2025-05-09T10:35:00Z"/>
                <w:sz w:val="22"/>
                <w:szCs w:val="22"/>
              </w:rPr>
            </w:pPr>
            <w:del w:id="11747" w:author="AbbVie14" w:date="2025-05-09T10:35:00Z">
              <w:r w:rsidRPr="00612824">
                <w:rPr>
                  <w:sz w:val="22"/>
                  <w:szCs w:val="22"/>
                </w:rPr>
                <w:delText>0,066</w:delText>
              </w:r>
            </w:del>
          </w:p>
        </w:tc>
      </w:tr>
      <w:tr w14:paraId="724D4F62" w14:textId="77777777" w:rsidTr="00F83E38">
        <w:tblPrEx>
          <w:tblW w:w="0" w:type="auto"/>
          <w:tblLook w:val="00A0"/>
        </w:tblPrEx>
        <w:trPr>
          <w:del w:id="11748" w:author="AbbVie14" w:date="2025-05-09T10:35:00Z"/>
        </w:trPr>
        <w:tc>
          <w:tcPr>
            <w:tcW w:w="4025"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3384925F" w14:textId="77777777">
            <w:pPr>
              <w:keepNext/>
              <w:keepLines/>
              <w:tabs>
                <w:tab w:val="left" w:pos="-1080"/>
              </w:tabs>
              <w:autoSpaceDE w:val="0"/>
              <w:autoSpaceDN w:val="0"/>
              <w:adjustRightInd w:val="0"/>
              <w:rPr>
                <w:del w:id="11749" w:author="AbbVie14" w:date="2025-05-09T10:35:00Z"/>
                <w:bCs/>
                <w:sz w:val="22"/>
                <w:szCs w:val="22"/>
              </w:rPr>
            </w:pPr>
            <w:del w:id="11750" w:author="AbbVie14" w:date="2025-05-09T10:35:00Z">
              <w:r w:rsidRPr="00612824">
                <w:rPr>
                  <w:bCs/>
                  <w:sz w:val="22"/>
                  <w:szCs w:val="22"/>
                </w:rPr>
                <w:delText>Settimana 52</w:delText>
              </w:r>
            </w:del>
          </w:p>
        </w:tc>
        <w:tc>
          <w:tcPr>
            <w:tcW w:w="1656" w:type="dxa"/>
            <w:tcBorders>
              <w:top w:val="single" w:sz="6" w:space="0" w:color="000000"/>
              <w:left w:val="single" w:sz="6" w:space="0" w:color="000000"/>
              <w:bottom w:val="single" w:sz="6" w:space="0" w:color="000000"/>
              <w:right w:val="single" w:sz="6" w:space="0" w:color="000000"/>
            </w:tcBorders>
          </w:tcPr>
          <w:p w:rsidR="00615740" w:rsidRPr="00612824" w:rsidP="00F83E38" w14:paraId="7FF02119" w14:textId="77777777">
            <w:pPr>
              <w:keepNext/>
              <w:keepLines/>
              <w:tabs>
                <w:tab w:val="left" w:pos="-1080"/>
              </w:tabs>
              <w:autoSpaceDE w:val="0"/>
              <w:autoSpaceDN w:val="0"/>
              <w:adjustRightInd w:val="0"/>
              <w:ind w:left="15"/>
              <w:jc w:val="center"/>
              <w:rPr>
                <w:del w:id="11751" w:author="AbbVie14" w:date="2025-05-09T10:35:00Z"/>
                <w:sz w:val="22"/>
                <w:szCs w:val="22"/>
              </w:rPr>
            </w:pPr>
            <w:del w:id="11752" w:author="AbbVie14" w:date="2025-05-09T10:35:00Z">
              <w:r w:rsidRPr="00612824">
                <w:rPr>
                  <w:sz w:val="22"/>
                  <w:szCs w:val="22"/>
                </w:rPr>
                <w:delText>69,7%</w:delText>
              </w:r>
            </w:del>
          </w:p>
        </w:tc>
        <w:tc>
          <w:tcPr>
            <w:tcW w:w="1619" w:type="dxa"/>
            <w:tcBorders>
              <w:top w:val="single" w:sz="6" w:space="0" w:color="000000"/>
              <w:left w:val="single" w:sz="6" w:space="0" w:color="000000"/>
              <w:bottom w:val="single" w:sz="6" w:space="0" w:color="000000"/>
              <w:right w:val="single" w:sz="6" w:space="0" w:color="000000"/>
            </w:tcBorders>
          </w:tcPr>
          <w:p w:rsidR="00615740" w:rsidRPr="00612824" w:rsidP="00F83E38" w14:paraId="3A32AD13" w14:textId="77777777">
            <w:pPr>
              <w:keepNext/>
              <w:keepLines/>
              <w:tabs>
                <w:tab w:val="left" w:pos="-1080"/>
              </w:tabs>
              <w:autoSpaceDE w:val="0"/>
              <w:autoSpaceDN w:val="0"/>
              <w:adjustRightInd w:val="0"/>
              <w:ind w:left="15"/>
              <w:jc w:val="center"/>
              <w:rPr>
                <w:del w:id="11753" w:author="AbbVie14" w:date="2025-05-09T10:35:00Z"/>
                <w:sz w:val="22"/>
                <w:szCs w:val="22"/>
              </w:rPr>
            </w:pPr>
            <w:del w:id="11754" w:author="AbbVie14" w:date="2025-05-09T10:35:00Z">
              <w:r w:rsidRPr="00612824">
                <w:rPr>
                  <w:sz w:val="22"/>
                  <w:szCs w:val="22"/>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45268872" w14:textId="77777777">
            <w:pPr>
              <w:keepNext/>
              <w:keepLines/>
              <w:tabs>
                <w:tab w:val="left" w:pos="-1080"/>
              </w:tabs>
              <w:autoSpaceDE w:val="0"/>
              <w:autoSpaceDN w:val="0"/>
              <w:adjustRightInd w:val="0"/>
              <w:ind w:left="15"/>
              <w:jc w:val="center"/>
              <w:rPr>
                <w:del w:id="11755" w:author="AbbVie14" w:date="2025-05-09T10:35:00Z"/>
                <w:sz w:val="22"/>
                <w:szCs w:val="22"/>
              </w:rPr>
            </w:pPr>
            <w:del w:id="11756" w:author="AbbVie14" w:date="2025-05-09T10:35:00Z">
              <w:r w:rsidRPr="00612824">
                <w:rPr>
                  <w:sz w:val="22"/>
                  <w:szCs w:val="22"/>
                </w:rPr>
                <w:delText>0,420</w:delText>
              </w:r>
            </w:del>
          </w:p>
        </w:tc>
      </w:tr>
      <w:tr w14:paraId="1B925736" w14:textId="77777777" w:rsidTr="00F83E38">
        <w:tblPrEx>
          <w:tblW w:w="0" w:type="auto"/>
          <w:tblLook w:val="00A0"/>
        </w:tblPrEx>
        <w:trPr>
          <w:del w:id="11757" w:author="AbbVie14" w:date="2025-05-09T10:35:00Z"/>
        </w:trPr>
        <w:tc>
          <w:tcPr>
            <w:tcW w:w="4025"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1AEB57DE" w14:textId="77777777">
            <w:pPr>
              <w:keepNext/>
              <w:keepLines/>
              <w:tabs>
                <w:tab w:val="left" w:pos="-1080"/>
              </w:tabs>
              <w:autoSpaceDE w:val="0"/>
              <w:autoSpaceDN w:val="0"/>
              <w:adjustRightInd w:val="0"/>
              <w:rPr>
                <w:del w:id="11758" w:author="AbbVie14" w:date="2025-05-09T10:35:00Z"/>
                <w:b/>
                <w:sz w:val="22"/>
                <w:szCs w:val="22"/>
              </w:rPr>
            </w:pPr>
            <w:del w:id="11759" w:author="AbbVie14" w:date="2025-05-09T10:35:00Z">
              <w:r w:rsidRPr="00612824">
                <w:rPr>
                  <w:b/>
                  <w:sz w:val="22"/>
                  <w:szCs w:val="22"/>
                </w:rPr>
                <w:delText>Discontinuazione di Immunomodulatori</w:delText>
              </w:r>
            </w:del>
            <w:del w:id="11760" w:author="AbbVie14" w:date="2025-05-09T10:35:00Z">
              <w:r w:rsidRPr="00612824">
                <w:rPr>
                  <w:b/>
                  <w:sz w:val="22"/>
                  <w:szCs w:val="22"/>
                  <w:vertAlign w:val="superscript"/>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51969D77" w14:textId="77777777">
            <w:pPr>
              <w:keepNext/>
              <w:keepLines/>
              <w:tabs>
                <w:tab w:val="left" w:pos="-1080"/>
              </w:tabs>
              <w:autoSpaceDE w:val="0"/>
              <w:autoSpaceDN w:val="0"/>
              <w:adjustRightInd w:val="0"/>
              <w:ind w:left="15"/>
              <w:jc w:val="center"/>
              <w:rPr>
                <w:del w:id="11761" w:author="AbbVie14" w:date="2025-05-09T10:35:00Z"/>
                <w:b/>
                <w:sz w:val="22"/>
                <w:szCs w:val="22"/>
              </w:rPr>
            </w:pPr>
            <w:del w:id="11762" w:author="AbbVie14" w:date="2025-05-09T10:35:00Z">
              <w:r w:rsidRPr="00612824">
                <w:rPr>
                  <w:b/>
                  <w:sz w:val="22"/>
                  <w:szCs w:val="22"/>
                </w:rPr>
                <w:delText>N=60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1A23B274" w14:textId="77777777">
            <w:pPr>
              <w:keepNext/>
              <w:keepLines/>
              <w:tabs>
                <w:tab w:val="left" w:pos="-1080"/>
              </w:tabs>
              <w:autoSpaceDE w:val="0"/>
              <w:autoSpaceDN w:val="0"/>
              <w:adjustRightInd w:val="0"/>
              <w:ind w:left="15"/>
              <w:jc w:val="center"/>
              <w:rPr>
                <w:del w:id="11763" w:author="AbbVie14" w:date="2025-05-09T10:35:00Z"/>
                <w:b/>
                <w:sz w:val="22"/>
                <w:szCs w:val="22"/>
              </w:rPr>
            </w:pPr>
            <w:del w:id="11764" w:author="AbbVie14" w:date="2025-05-09T10:35:00Z">
              <w:r w:rsidRPr="00612824">
                <w:rPr>
                  <w:b/>
                  <w:sz w:val="22"/>
                  <w:szCs w:val="22"/>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615740" w:rsidRPr="00612824" w:rsidP="00F83E38" w14:paraId="6681C5E9" w14:textId="77777777">
            <w:pPr>
              <w:keepNext/>
              <w:autoSpaceDE w:val="0"/>
              <w:autoSpaceDN w:val="0"/>
              <w:adjustRightInd w:val="0"/>
              <w:ind w:left="15"/>
              <w:rPr>
                <w:del w:id="11765" w:author="AbbVie14" w:date="2025-05-09T10:35:00Z"/>
                <w:b/>
                <w:sz w:val="22"/>
                <w:szCs w:val="22"/>
              </w:rPr>
            </w:pPr>
          </w:p>
        </w:tc>
      </w:tr>
      <w:tr w14:paraId="72142BA6" w14:textId="77777777" w:rsidTr="00F83E38">
        <w:tblPrEx>
          <w:tblW w:w="0" w:type="auto"/>
          <w:tblLook w:val="00A0"/>
        </w:tblPrEx>
        <w:trPr>
          <w:del w:id="11766" w:author="AbbVie14" w:date="2025-05-09T10:35:00Z"/>
        </w:trPr>
        <w:tc>
          <w:tcPr>
            <w:tcW w:w="4025" w:type="dxa"/>
            <w:tcBorders>
              <w:top w:val="single" w:sz="6" w:space="0" w:color="000000"/>
              <w:left w:val="single" w:sz="6" w:space="0" w:color="000000"/>
              <w:bottom w:val="single" w:sz="6" w:space="0" w:color="000000"/>
              <w:right w:val="single" w:sz="6" w:space="0" w:color="000000"/>
            </w:tcBorders>
          </w:tcPr>
          <w:p w:rsidR="00615740" w:rsidRPr="00612824" w:rsidP="00F83E38" w14:paraId="582864BE" w14:textId="77777777">
            <w:pPr>
              <w:keepNext/>
              <w:keepLines/>
              <w:tabs>
                <w:tab w:val="left" w:pos="-1080"/>
              </w:tabs>
              <w:autoSpaceDE w:val="0"/>
              <w:autoSpaceDN w:val="0"/>
              <w:adjustRightInd w:val="0"/>
              <w:rPr>
                <w:del w:id="11767" w:author="AbbVie14" w:date="2025-05-09T10:35:00Z"/>
                <w:bCs/>
                <w:sz w:val="22"/>
                <w:szCs w:val="22"/>
              </w:rPr>
            </w:pPr>
            <w:del w:id="11768" w:author="AbbVie14" w:date="2025-05-09T10:35:00Z">
              <w:r w:rsidRPr="00612824">
                <w:rPr>
                  <w:bCs/>
                  <w:sz w:val="22"/>
                  <w:szCs w:val="22"/>
                </w:rPr>
                <w:delText>Settimana 52</w:delText>
              </w:r>
            </w:del>
          </w:p>
        </w:tc>
        <w:tc>
          <w:tcPr>
            <w:tcW w:w="1656" w:type="dxa"/>
            <w:tcBorders>
              <w:top w:val="single" w:sz="6" w:space="0" w:color="000000"/>
              <w:left w:val="single" w:sz="6" w:space="0" w:color="000000"/>
              <w:bottom w:val="single" w:sz="6" w:space="0" w:color="000000"/>
              <w:right w:val="single" w:sz="6" w:space="0" w:color="000000"/>
            </w:tcBorders>
          </w:tcPr>
          <w:p w:rsidR="00615740" w:rsidRPr="00612824" w:rsidP="00F83E38" w14:paraId="20ADBAB8" w14:textId="77777777">
            <w:pPr>
              <w:keepNext/>
              <w:keepLines/>
              <w:tabs>
                <w:tab w:val="left" w:pos="-1080"/>
              </w:tabs>
              <w:autoSpaceDE w:val="0"/>
              <w:autoSpaceDN w:val="0"/>
              <w:adjustRightInd w:val="0"/>
              <w:ind w:left="15"/>
              <w:jc w:val="center"/>
              <w:rPr>
                <w:del w:id="11769" w:author="AbbVie14" w:date="2025-05-09T10:35:00Z"/>
                <w:sz w:val="22"/>
                <w:szCs w:val="22"/>
              </w:rPr>
            </w:pPr>
            <w:del w:id="11770" w:author="AbbVie14" w:date="2025-05-09T10:35:00Z">
              <w:r w:rsidRPr="00612824">
                <w:rPr>
                  <w:sz w:val="22"/>
                  <w:szCs w:val="22"/>
                </w:rPr>
                <w:delText>30,0%</w:delText>
              </w:r>
            </w:del>
          </w:p>
        </w:tc>
        <w:tc>
          <w:tcPr>
            <w:tcW w:w="1619" w:type="dxa"/>
            <w:tcBorders>
              <w:top w:val="single" w:sz="6" w:space="0" w:color="000000"/>
              <w:left w:val="single" w:sz="6" w:space="0" w:color="000000"/>
              <w:bottom w:val="single" w:sz="6" w:space="0" w:color="000000"/>
              <w:right w:val="single" w:sz="6" w:space="0" w:color="000000"/>
            </w:tcBorders>
          </w:tcPr>
          <w:p w:rsidR="00615740" w:rsidRPr="00612824" w:rsidP="00F83E38" w14:paraId="43E0FBB0" w14:textId="77777777">
            <w:pPr>
              <w:keepNext/>
              <w:keepLines/>
              <w:tabs>
                <w:tab w:val="left" w:pos="-1080"/>
              </w:tabs>
              <w:autoSpaceDE w:val="0"/>
              <w:autoSpaceDN w:val="0"/>
              <w:adjustRightInd w:val="0"/>
              <w:ind w:left="15"/>
              <w:jc w:val="center"/>
              <w:rPr>
                <w:del w:id="11771" w:author="AbbVie14" w:date="2025-05-09T10:35:00Z"/>
                <w:sz w:val="22"/>
                <w:szCs w:val="22"/>
              </w:rPr>
            </w:pPr>
            <w:del w:id="11772" w:author="AbbVie14" w:date="2025-05-09T10:35:00Z">
              <w:r w:rsidRPr="00612824">
                <w:rPr>
                  <w:sz w:val="22"/>
                  <w:szCs w:val="22"/>
                </w:rPr>
                <w:delText>29,8%</w:delText>
              </w:r>
            </w:del>
          </w:p>
        </w:tc>
        <w:tc>
          <w:tcPr>
            <w:tcW w:w="1140" w:type="dxa"/>
            <w:tcBorders>
              <w:top w:val="single" w:sz="6" w:space="0" w:color="000000"/>
              <w:left w:val="single" w:sz="6" w:space="0" w:color="000000"/>
              <w:bottom w:val="single" w:sz="6" w:space="0" w:color="000000"/>
              <w:right w:val="single" w:sz="6" w:space="0" w:color="000000"/>
            </w:tcBorders>
          </w:tcPr>
          <w:p w:rsidR="00615740" w:rsidRPr="00612824" w:rsidP="00F83E38" w14:paraId="2924566C" w14:textId="77777777">
            <w:pPr>
              <w:keepNext/>
              <w:keepLines/>
              <w:tabs>
                <w:tab w:val="left" w:pos="-1080"/>
              </w:tabs>
              <w:autoSpaceDE w:val="0"/>
              <w:autoSpaceDN w:val="0"/>
              <w:adjustRightInd w:val="0"/>
              <w:ind w:left="15"/>
              <w:jc w:val="center"/>
              <w:rPr>
                <w:del w:id="11773" w:author="AbbVie14" w:date="2025-05-09T10:35:00Z"/>
                <w:sz w:val="22"/>
                <w:szCs w:val="22"/>
              </w:rPr>
            </w:pPr>
            <w:del w:id="11774" w:author="AbbVie14" w:date="2025-05-09T10:35:00Z">
              <w:r w:rsidRPr="00612824">
                <w:rPr>
                  <w:sz w:val="22"/>
                  <w:szCs w:val="22"/>
                </w:rPr>
                <w:delText>0,983</w:delText>
              </w:r>
            </w:del>
          </w:p>
        </w:tc>
      </w:tr>
      <w:tr w14:paraId="7E0A0DD5" w14:textId="77777777" w:rsidTr="00F83E38">
        <w:tblPrEx>
          <w:tblW w:w="0" w:type="auto"/>
          <w:tblLook w:val="00A0"/>
        </w:tblPrEx>
        <w:trPr>
          <w:del w:id="11775" w:author="AbbVie14" w:date="2025-05-09T10:35:00Z"/>
        </w:trPr>
        <w:tc>
          <w:tcPr>
            <w:tcW w:w="4025" w:type="dxa"/>
            <w:tcBorders>
              <w:top w:val="single" w:sz="6" w:space="0" w:color="000000"/>
              <w:left w:val="single" w:sz="6" w:space="0" w:color="000000"/>
              <w:bottom w:val="single" w:sz="6" w:space="0" w:color="000000"/>
              <w:right w:val="single" w:sz="6" w:space="0" w:color="000000"/>
            </w:tcBorders>
          </w:tcPr>
          <w:p w:rsidR="00615740" w:rsidRPr="00612824" w:rsidP="00F83E38" w14:paraId="0ADB64E9" w14:textId="77777777">
            <w:pPr>
              <w:keepNext/>
              <w:keepLines/>
              <w:tabs>
                <w:tab w:val="left" w:pos="-1080"/>
              </w:tabs>
              <w:autoSpaceDE w:val="0"/>
              <w:autoSpaceDN w:val="0"/>
              <w:adjustRightInd w:val="0"/>
              <w:rPr>
                <w:del w:id="11776" w:author="AbbVie14" w:date="2025-05-09T10:35:00Z"/>
                <w:b/>
                <w:bCs/>
                <w:sz w:val="22"/>
                <w:szCs w:val="22"/>
              </w:rPr>
            </w:pPr>
            <w:del w:id="11777" w:author="AbbVie14" w:date="2025-05-09T10:35:00Z">
              <w:r w:rsidRPr="00612824">
                <w:rPr>
                  <w:b/>
                  <w:sz w:val="22"/>
                  <w:szCs w:val="22"/>
                </w:rPr>
                <w:delText>Remissione della Fistola</w:delText>
              </w:r>
            </w:del>
            <w:del w:id="11778" w:author="AbbVie14" w:date="2025-05-09T10:35:00Z">
              <w:r w:rsidRPr="00612824">
                <w:rPr>
                  <w:b/>
                  <w:sz w:val="22"/>
                  <w:szCs w:val="22"/>
                  <w:vertAlign w:val="superscript"/>
                </w:rPr>
                <w:delText>3</w:delText>
              </w:r>
            </w:del>
          </w:p>
        </w:tc>
        <w:tc>
          <w:tcPr>
            <w:tcW w:w="1656" w:type="dxa"/>
            <w:tcBorders>
              <w:top w:val="single" w:sz="6" w:space="0" w:color="000000"/>
              <w:left w:val="single" w:sz="6" w:space="0" w:color="000000"/>
              <w:bottom w:val="single" w:sz="6" w:space="0" w:color="000000"/>
              <w:right w:val="single" w:sz="6" w:space="0" w:color="000000"/>
            </w:tcBorders>
          </w:tcPr>
          <w:p w:rsidR="00615740" w:rsidRPr="00612824" w:rsidP="00F83E38" w14:paraId="1DBAFDD0" w14:textId="77777777">
            <w:pPr>
              <w:keepNext/>
              <w:keepLines/>
              <w:tabs>
                <w:tab w:val="left" w:pos="-1080"/>
              </w:tabs>
              <w:autoSpaceDE w:val="0"/>
              <w:autoSpaceDN w:val="0"/>
              <w:adjustRightInd w:val="0"/>
              <w:ind w:left="15"/>
              <w:jc w:val="center"/>
              <w:rPr>
                <w:del w:id="11779" w:author="AbbVie14" w:date="2025-05-09T10:35:00Z"/>
                <w:b/>
                <w:sz w:val="22"/>
                <w:szCs w:val="22"/>
              </w:rPr>
            </w:pPr>
            <w:del w:id="11780" w:author="AbbVie14" w:date="2025-05-09T10:35:00Z">
              <w:r w:rsidRPr="00612824">
                <w:rPr>
                  <w:b/>
                  <w:sz w:val="22"/>
                  <w:szCs w:val="22"/>
                </w:rPr>
                <w:delText>N=15</w:delText>
              </w:r>
            </w:del>
          </w:p>
        </w:tc>
        <w:tc>
          <w:tcPr>
            <w:tcW w:w="1619" w:type="dxa"/>
            <w:tcBorders>
              <w:top w:val="single" w:sz="6" w:space="0" w:color="000000"/>
              <w:left w:val="single" w:sz="6" w:space="0" w:color="000000"/>
              <w:bottom w:val="single" w:sz="6" w:space="0" w:color="000000"/>
              <w:right w:val="single" w:sz="6" w:space="0" w:color="000000"/>
            </w:tcBorders>
          </w:tcPr>
          <w:p w:rsidR="00615740" w:rsidRPr="00612824" w:rsidP="00F83E38" w14:paraId="29A7CCC3" w14:textId="77777777">
            <w:pPr>
              <w:keepNext/>
              <w:keepLines/>
              <w:tabs>
                <w:tab w:val="left" w:pos="-1080"/>
              </w:tabs>
              <w:autoSpaceDE w:val="0"/>
              <w:autoSpaceDN w:val="0"/>
              <w:adjustRightInd w:val="0"/>
              <w:ind w:left="15"/>
              <w:jc w:val="center"/>
              <w:rPr>
                <w:del w:id="11781" w:author="AbbVie14" w:date="2025-05-09T10:35:00Z"/>
                <w:b/>
                <w:sz w:val="22"/>
                <w:szCs w:val="22"/>
              </w:rPr>
            </w:pPr>
            <w:del w:id="11782" w:author="AbbVie14" w:date="2025-05-09T10:35:00Z">
              <w:r w:rsidRPr="00612824">
                <w:rPr>
                  <w:b/>
                  <w:sz w:val="22"/>
                  <w:szCs w:val="22"/>
                </w:rPr>
                <w:delText>N=21</w:delText>
              </w:r>
            </w:del>
          </w:p>
        </w:tc>
        <w:tc>
          <w:tcPr>
            <w:tcW w:w="1140" w:type="dxa"/>
            <w:tcBorders>
              <w:top w:val="single" w:sz="6" w:space="0" w:color="000000"/>
              <w:left w:val="single" w:sz="6" w:space="0" w:color="000000"/>
              <w:bottom w:val="single" w:sz="6" w:space="0" w:color="000000"/>
              <w:right w:val="single" w:sz="6" w:space="0" w:color="000000"/>
            </w:tcBorders>
          </w:tcPr>
          <w:p w:rsidR="00615740" w:rsidRPr="00612824" w:rsidP="00F83E38" w14:paraId="25671129" w14:textId="77777777">
            <w:pPr>
              <w:keepNext/>
              <w:keepLines/>
              <w:tabs>
                <w:tab w:val="left" w:pos="-1080"/>
              </w:tabs>
              <w:autoSpaceDE w:val="0"/>
              <w:autoSpaceDN w:val="0"/>
              <w:adjustRightInd w:val="0"/>
              <w:ind w:left="15"/>
              <w:jc w:val="center"/>
              <w:rPr>
                <w:del w:id="11783" w:author="AbbVie14" w:date="2025-05-09T10:35:00Z"/>
                <w:sz w:val="22"/>
                <w:szCs w:val="22"/>
              </w:rPr>
            </w:pPr>
          </w:p>
        </w:tc>
      </w:tr>
      <w:tr w14:paraId="26968AA9" w14:textId="77777777" w:rsidTr="00F83E38">
        <w:tblPrEx>
          <w:tblW w:w="0" w:type="auto"/>
          <w:tblLook w:val="00A0"/>
        </w:tblPrEx>
        <w:trPr>
          <w:del w:id="11784" w:author="AbbVie14" w:date="2025-05-09T10:35:00Z"/>
        </w:trPr>
        <w:tc>
          <w:tcPr>
            <w:tcW w:w="4025" w:type="dxa"/>
            <w:tcBorders>
              <w:top w:val="single" w:sz="6" w:space="0" w:color="000000"/>
              <w:left w:val="single" w:sz="6" w:space="0" w:color="000000"/>
              <w:bottom w:val="single" w:sz="6" w:space="0" w:color="000000"/>
              <w:right w:val="single" w:sz="6" w:space="0" w:color="000000"/>
            </w:tcBorders>
          </w:tcPr>
          <w:p w:rsidR="00615740" w:rsidRPr="00612824" w:rsidP="00F83E38" w14:paraId="62C1B091" w14:textId="77777777">
            <w:pPr>
              <w:keepNext/>
              <w:keepLines/>
              <w:tabs>
                <w:tab w:val="left" w:pos="-1080"/>
              </w:tabs>
              <w:autoSpaceDE w:val="0"/>
              <w:autoSpaceDN w:val="0"/>
              <w:adjustRightInd w:val="0"/>
              <w:rPr>
                <w:del w:id="11785" w:author="AbbVie14" w:date="2025-05-09T10:35:00Z"/>
                <w:bCs/>
                <w:sz w:val="22"/>
                <w:szCs w:val="22"/>
              </w:rPr>
            </w:pPr>
            <w:del w:id="11786" w:author="AbbVie14" w:date="2025-05-09T10:35:00Z">
              <w:r w:rsidRPr="00612824">
                <w:rPr>
                  <w:bCs/>
                  <w:sz w:val="22"/>
                  <w:szCs w:val="22"/>
                </w:rPr>
                <w:delText>Settimana 26</w:delText>
              </w:r>
            </w:del>
          </w:p>
        </w:tc>
        <w:tc>
          <w:tcPr>
            <w:tcW w:w="1656" w:type="dxa"/>
            <w:tcBorders>
              <w:top w:val="single" w:sz="6" w:space="0" w:color="000000"/>
              <w:left w:val="single" w:sz="6" w:space="0" w:color="000000"/>
              <w:bottom w:val="single" w:sz="6" w:space="0" w:color="000000"/>
              <w:right w:val="single" w:sz="6" w:space="0" w:color="000000"/>
            </w:tcBorders>
          </w:tcPr>
          <w:p w:rsidR="00615740" w:rsidRPr="00612824" w:rsidP="00F83E38" w14:paraId="3B9FA52F" w14:textId="77777777">
            <w:pPr>
              <w:keepNext/>
              <w:keepLines/>
              <w:tabs>
                <w:tab w:val="left" w:pos="-1080"/>
              </w:tabs>
              <w:autoSpaceDE w:val="0"/>
              <w:autoSpaceDN w:val="0"/>
              <w:adjustRightInd w:val="0"/>
              <w:ind w:left="15"/>
              <w:jc w:val="center"/>
              <w:rPr>
                <w:del w:id="11787" w:author="AbbVie14" w:date="2025-05-09T10:35:00Z"/>
                <w:sz w:val="22"/>
                <w:szCs w:val="22"/>
              </w:rPr>
            </w:pPr>
            <w:del w:id="11788" w:author="AbbVie14" w:date="2025-05-09T10:35:00Z">
              <w:r w:rsidRPr="00612824">
                <w:rPr>
                  <w:sz w:val="22"/>
                  <w:szCs w:val="22"/>
                </w:rPr>
                <w:delText>46,7%</w:delText>
              </w:r>
            </w:del>
          </w:p>
        </w:tc>
        <w:tc>
          <w:tcPr>
            <w:tcW w:w="1619" w:type="dxa"/>
            <w:tcBorders>
              <w:top w:val="single" w:sz="6" w:space="0" w:color="000000"/>
              <w:left w:val="single" w:sz="6" w:space="0" w:color="000000"/>
              <w:bottom w:val="single" w:sz="6" w:space="0" w:color="000000"/>
              <w:right w:val="single" w:sz="6" w:space="0" w:color="000000"/>
            </w:tcBorders>
          </w:tcPr>
          <w:p w:rsidR="00615740" w:rsidRPr="00612824" w:rsidP="00F83E38" w14:paraId="7690D53C" w14:textId="77777777">
            <w:pPr>
              <w:keepNext/>
              <w:keepLines/>
              <w:tabs>
                <w:tab w:val="left" w:pos="-1080"/>
              </w:tabs>
              <w:autoSpaceDE w:val="0"/>
              <w:autoSpaceDN w:val="0"/>
              <w:adjustRightInd w:val="0"/>
              <w:ind w:left="15"/>
              <w:jc w:val="center"/>
              <w:rPr>
                <w:del w:id="11789" w:author="AbbVie14" w:date="2025-05-09T10:35:00Z"/>
                <w:sz w:val="22"/>
                <w:szCs w:val="22"/>
              </w:rPr>
            </w:pPr>
            <w:del w:id="11790" w:author="AbbVie14" w:date="2025-05-09T10:35:00Z">
              <w:r w:rsidRPr="00612824">
                <w:rPr>
                  <w:sz w:val="22"/>
                  <w:szCs w:val="22"/>
                </w:rPr>
                <w:delText>38,1%</w:delText>
              </w:r>
            </w:del>
          </w:p>
        </w:tc>
        <w:tc>
          <w:tcPr>
            <w:tcW w:w="1140" w:type="dxa"/>
            <w:tcBorders>
              <w:top w:val="single" w:sz="6" w:space="0" w:color="000000"/>
              <w:left w:val="single" w:sz="6" w:space="0" w:color="000000"/>
              <w:bottom w:val="single" w:sz="6" w:space="0" w:color="000000"/>
              <w:right w:val="single" w:sz="6" w:space="0" w:color="000000"/>
            </w:tcBorders>
          </w:tcPr>
          <w:p w:rsidR="00615740" w:rsidRPr="00612824" w:rsidP="00F83E38" w14:paraId="2D5164D8" w14:textId="77777777">
            <w:pPr>
              <w:keepNext/>
              <w:keepLines/>
              <w:tabs>
                <w:tab w:val="left" w:pos="-1080"/>
              </w:tabs>
              <w:autoSpaceDE w:val="0"/>
              <w:autoSpaceDN w:val="0"/>
              <w:adjustRightInd w:val="0"/>
              <w:ind w:left="15"/>
              <w:jc w:val="center"/>
              <w:rPr>
                <w:del w:id="11791" w:author="AbbVie14" w:date="2025-05-09T10:35:00Z"/>
                <w:sz w:val="22"/>
                <w:szCs w:val="22"/>
              </w:rPr>
            </w:pPr>
            <w:del w:id="11792" w:author="AbbVie14" w:date="2025-05-09T10:35:00Z">
              <w:r w:rsidRPr="00612824">
                <w:rPr>
                  <w:sz w:val="22"/>
                  <w:szCs w:val="22"/>
                </w:rPr>
                <w:delText>0,608</w:delText>
              </w:r>
            </w:del>
          </w:p>
        </w:tc>
      </w:tr>
      <w:tr w14:paraId="47F48817" w14:textId="77777777" w:rsidTr="00F83E38">
        <w:tblPrEx>
          <w:tblW w:w="0" w:type="auto"/>
          <w:tblLook w:val="00A0"/>
        </w:tblPrEx>
        <w:trPr>
          <w:del w:id="11793" w:author="AbbVie14" w:date="2025-05-09T10:35:00Z"/>
        </w:trPr>
        <w:tc>
          <w:tcPr>
            <w:tcW w:w="4025" w:type="dxa"/>
            <w:tcBorders>
              <w:top w:val="single" w:sz="6" w:space="0" w:color="000000"/>
              <w:left w:val="single" w:sz="6" w:space="0" w:color="000000"/>
              <w:bottom w:val="single" w:sz="4" w:space="0" w:color="auto"/>
              <w:right w:val="single" w:sz="6" w:space="0" w:color="000000"/>
            </w:tcBorders>
          </w:tcPr>
          <w:p w:rsidR="00615740" w:rsidRPr="00612824" w:rsidP="00F83E38" w14:paraId="78524737" w14:textId="77777777">
            <w:pPr>
              <w:keepNext/>
              <w:keepLines/>
              <w:tabs>
                <w:tab w:val="left" w:pos="-1080"/>
              </w:tabs>
              <w:autoSpaceDE w:val="0"/>
              <w:autoSpaceDN w:val="0"/>
              <w:adjustRightInd w:val="0"/>
              <w:rPr>
                <w:del w:id="11794" w:author="AbbVie14" w:date="2025-05-09T10:35:00Z"/>
                <w:bCs/>
                <w:sz w:val="22"/>
                <w:szCs w:val="22"/>
              </w:rPr>
            </w:pPr>
            <w:del w:id="11795" w:author="AbbVie14" w:date="2025-05-09T10:35:00Z">
              <w:r w:rsidRPr="00612824">
                <w:rPr>
                  <w:bCs/>
                  <w:sz w:val="22"/>
                  <w:szCs w:val="22"/>
                </w:rPr>
                <w:delText>Settimana</w:delText>
              </w:r>
            </w:del>
            <w:del w:id="11796" w:author="AbbVie14" w:date="2025-05-09T10:35:00Z">
              <w:r w:rsidRPr="00612824">
                <w:rPr>
                  <w:sz w:val="22"/>
                  <w:szCs w:val="22"/>
                </w:rPr>
                <w:delText xml:space="preserve"> 52,</w:delText>
              </w:r>
            </w:del>
          </w:p>
        </w:tc>
        <w:tc>
          <w:tcPr>
            <w:tcW w:w="1656" w:type="dxa"/>
            <w:tcBorders>
              <w:top w:val="single" w:sz="6" w:space="0" w:color="000000"/>
              <w:left w:val="single" w:sz="6" w:space="0" w:color="000000"/>
              <w:bottom w:val="single" w:sz="4" w:space="0" w:color="auto"/>
              <w:right w:val="single" w:sz="6" w:space="0" w:color="000000"/>
            </w:tcBorders>
          </w:tcPr>
          <w:p w:rsidR="00615740" w:rsidRPr="00612824" w:rsidP="00F83E38" w14:paraId="0782F04F" w14:textId="77777777">
            <w:pPr>
              <w:keepNext/>
              <w:keepLines/>
              <w:tabs>
                <w:tab w:val="left" w:pos="-1080"/>
              </w:tabs>
              <w:autoSpaceDE w:val="0"/>
              <w:autoSpaceDN w:val="0"/>
              <w:adjustRightInd w:val="0"/>
              <w:ind w:left="15"/>
              <w:jc w:val="center"/>
              <w:rPr>
                <w:del w:id="11797" w:author="AbbVie14" w:date="2025-05-09T10:35:00Z"/>
                <w:sz w:val="22"/>
                <w:szCs w:val="22"/>
              </w:rPr>
            </w:pPr>
            <w:del w:id="11798" w:author="AbbVie14" w:date="2025-05-09T10:35:00Z">
              <w:r w:rsidRPr="00612824">
                <w:rPr>
                  <w:sz w:val="22"/>
                  <w:szCs w:val="22"/>
                </w:rPr>
                <w:delText>40,0%</w:delText>
              </w:r>
            </w:del>
          </w:p>
        </w:tc>
        <w:tc>
          <w:tcPr>
            <w:tcW w:w="1619" w:type="dxa"/>
            <w:tcBorders>
              <w:top w:val="single" w:sz="6" w:space="0" w:color="000000"/>
              <w:left w:val="single" w:sz="6" w:space="0" w:color="000000"/>
              <w:bottom w:val="single" w:sz="4" w:space="0" w:color="auto"/>
              <w:right w:val="single" w:sz="6" w:space="0" w:color="000000"/>
            </w:tcBorders>
          </w:tcPr>
          <w:p w:rsidR="00615740" w:rsidRPr="00612824" w:rsidP="00F83E38" w14:paraId="4549CCC2" w14:textId="77777777">
            <w:pPr>
              <w:keepNext/>
              <w:keepLines/>
              <w:tabs>
                <w:tab w:val="left" w:pos="-1080"/>
              </w:tabs>
              <w:autoSpaceDE w:val="0"/>
              <w:autoSpaceDN w:val="0"/>
              <w:adjustRightInd w:val="0"/>
              <w:ind w:left="15"/>
              <w:jc w:val="center"/>
              <w:rPr>
                <w:del w:id="11799" w:author="AbbVie14" w:date="2025-05-09T10:35:00Z"/>
                <w:sz w:val="22"/>
                <w:szCs w:val="22"/>
              </w:rPr>
            </w:pPr>
            <w:del w:id="11800" w:author="AbbVie14" w:date="2025-05-09T10:35:00Z">
              <w:r w:rsidRPr="00612824">
                <w:rPr>
                  <w:sz w:val="22"/>
                  <w:szCs w:val="22"/>
                </w:rPr>
                <w:delText>23,8%</w:delText>
              </w:r>
            </w:del>
          </w:p>
        </w:tc>
        <w:tc>
          <w:tcPr>
            <w:tcW w:w="1140" w:type="dxa"/>
            <w:tcBorders>
              <w:top w:val="single" w:sz="6" w:space="0" w:color="000000"/>
              <w:left w:val="single" w:sz="6" w:space="0" w:color="000000"/>
              <w:bottom w:val="single" w:sz="4" w:space="0" w:color="auto"/>
              <w:right w:val="single" w:sz="6" w:space="0" w:color="000000"/>
            </w:tcBorders>
          </w:tcPr>
          <w:p w:rsidR="00615740" w:rsidRPr="00612824" w:rsidP="00F83E38" w14:paraId="3B4101F3" w14:textId="77777777">
            <w:pPr>
              <w:keepNext/>
              <w:keepLines/>
              <w:tabs>
                <w:tab w:val="left" w:pos="-1080"/>
              </w:tabs>
              <w:autoSpaceDE w:val="0"/>
              <w:autoSpaceDN w:val="0"/>
              <w:adjustRightInd w:val="0"/>
              <w:ind w:left="15"/>
              <w:jc w:val="center"/>
              <w:rPr>
                <w:del w:id="11801" w:author="AbbVie14" w:date="2025-05-09T10:35:00Z"/>
                <w:sz w:val="22"/>
                <w:szCs w:val="22"/>
              </w:rPr>
            </w:pPr>
            <w:del w:id="11802" w:author="AbbVie14" w:date="2025-05-09T10:35:00Z">
              <w:r w:rsidRPr="00612824">
                <w:rPr>
                  <w:sz w:val="22"/>
                  <w:szCs w:val="22"/>
                </w:rPr>
                <w:delText>0,303</w:delText>
              </w:r>
            </w:del>
          </w:p>
        </w:tc>
      </w:tr>
      <w:tr w14:paraId="28C5ECF2" w14:textId="77777777" w:rsidTr="00F83E38">
        <w:tblPrEx>
          <w:tblW w:w="0" w:type="auto"/>
          <w:tblLook w:val="00A0"/>
        </w:tblPrEx>
        <w:trPr>
          <w:trHeight w:val="177"/>
          <w:del w:id="11803" w:author="AbbVie14" w:date="2025-05-09T10:35:00Z"/>
        </w:trPr>
        <w:tc>
          <w:tcPr>
            <w:tcW w:w="8440" w:type="dxa"/>
            <w:gridSpan w:val="4"/>
            <w:tcBorders>
              <w:top w:val="single" w:sz="4" w:space="0" w:color="auto"/>
            </w:tcBorders>
          </w:tcPr>
          <w:p w:rsidR="00615740" w:rsidRPr="00612824" w:rsidP="00F83E38" w14:paraId="0B15B8C5" w14:textId="77777777">
            <w:pPr>
              <w:keepNext/>
              <w:keepLines/>
              <w:tabs>
                <w:tab w:val="left" w:pos="-1080"/>
              </w:tabs>
              <w:autoSpaceDE w:val="0"/>
              <w:autoSpaceDN w:val="0"/>
              <w:adjustRightInd w:val="0"/>
              <w:rPr>
                <w:del w:id="11804" w:author="AbbVie14" w:date="2025-05-09T10:35:00Z"/>
                <w:sz w:val="22"/>
                <w:szCs w:val="22"/>
              </w:rPr>
            </w:pPr>
            <w:del w:id="11805" w:author="AbbVie14" w:date="2025-05-09T10:35:00Z">
              <w:r w:rsidRPr="00612824">
                <w:rPr>
                  <w:sz w:val="22"/>
                  <w:szCs w:val="22"/>
                  <w:vertAlign w:val="superscript"/>
                </w:rPr>
                <w:delText>1</w:delText>
              </w:r>
            </w:del>
            <w:del w:id="11806" w:author="AbbVie14" w:date="2025-05-09T10:35:00Z">
              <w:r w:rsidRPr="00612824">
                <w:rPr>
                  <w:sz w:val="22"/>
                  <w:szCs w:val="22"/>
                </w:rPr>
                <w:delText xml:space="preserve">  confronto valore P per Dose Standard </w:delText>
              </w:r>
            </w:del>
            <w:del w:id="11807" w:author="AbbVie14" w:date="2025-05-09T10:35:00Z">
              <w:r w:rsidRPr="00612824">
                <w:rPr>
                  <w:i/>
                  <w:iCs/>
                  <w:sz w:val="22"/>
                  <w:szCs w:val="22"/>
                </w:rPr>
                <w:delText xml:space="preserve">versus </w:delText>
              </w:r>
            </w:del>
            <w:del w:id="11808" w:author="AbbVie14" w:date="2025-05-09T10:35:00Z">
              <w:r w:rsidRPr="00612824">
                <w:rPr>
                  <w:sz w:val="22"/>
                  <w:szCs w:val="22"/>
                </w:rPr>
                <w:delText>Dose Bassa.</w:delText>
              </w:r>
            </w:del>
          </w:p>
          <w:p w:rsidR="00615740" w:rsidRPr="00612824" w:rsidP="00F83E38" w14:paraId="5B5E0BF2" w14:textId="77777777">
            <w:pPr>
              <w:keepNext/>
              <w:keepLines/>
              <w:tabs>
                <w:tab w:val="left" w:pos="-1080"/>
              </w:tabs>
              <w:autoSpaceDE w:val="0"/>
              <w:autoSpaceDN w:val="0"/>
              <w:adjustRightInd w:val="0"/>
              <w:rPr>
                <w:del w:id="11809" w:author="AbbVie14" w:date="2025-05-09T10:35:00Z"/>
                <w:sz w:val="22"/>
                <w:szCs w:val="22"/>
              </w:rPr>
            </w:pPr>
            <w:del w:id="11810" w:author="AbbVie14" w:date="2025-05-09T10:35:00Z">
              <w:r w:rsidRPr="00612824">
                <w:rPr>
                  <w:sz w:val="22"/>
                  <w:szCs w:val="22"/>
                  <w:vertAlign w:val="superscript"/>
                </w:rPr>
                <w:delText xml:space="preserve"> 2</w:delText>
              </w:r>
            </w:del>
            <w:del w:id="11811" w:author="AbbVie14" w:date="2025-05-09T10:35:00Z">
              <w:r w:rsidRPr="00612824">
                <w:rPr>
                  <w:sz w:val="22"/>
                  <w:szCs w:val="22"/>
                </w:rPr>
                <w:delText xml:space="preserve">  la terapia immunosoppressiva poteva essere interrotta solo alla o dopo la Settimana 26 a discrezione dello sperimentatore se il soggetto aveva raggiunto il criterio della risposta clinica</w:delText>
              </w:r>
            </w:del>
          </w:p>
          <w:p w:rsidR="00615740" w:rsidRPr="00612824" w:rsidP="00F83E38" w14:paraId="41FD2D76" w14:textId="77777777">
            <w:pPr>
              <w:keepNext/>
              <w:keepLines/>
              <w:tabs>
                <w:tab w:val="left" w:pos="-1080"/>
              </w:tabs>
              <w:autoSpaceDE w:val="0"/>
              <w:autoSpaceDN w:val="0"/>
              <w:adjustRightInd w:val="0"/>
              <w:rPr>
                <w:del w:id="11812" w:author="AbbVie14" w:date="2025-05-09T10:35:00Z"/>
                <w:sz w:val="22"/>
                <w:szCs w:val="22"/>
              </w:rPr>
            </w:pPr>
            <w:del w:id="11813" w:author="AbbVie14" w:date="2025-05-09T10:35:00Z">
              <w:r w:rsidRPr="00612824">
                <w:rPr>
                  <w:sz w:val="22"/>
                  <w:szCs w:val="22"/>
                  <w:vertAlign w:val="superscript"/>
                </w:rPr>
                <w:delText>3</w:delText>
              </w:r>
            </w:del>
            <w:del w:id="11814" w:author="AbbVie14" w:date="2025-05-09T10:35:00Z">
              <w:r w:rsidRPr="00612824">
                <w:rPr>
                  <w:sz w:val="22"/>
                  <w:szCs w:val="22"/>
                </w:rPr>
                <w:delText xml:space="preserve">  definito come chiusura di tutte le fistole che si stavano esaurendo al basale per almeno 2 visite consecutive post-basale</w:delText>
              </w:r>
            </w:del>
          </w:p>
        </w:tc>
      </w:tr>
    </w:tbl>
    <w:p w:rsidR="00615740" w:rsidRPr="00612824" w:rsidP="00615740" w14:paraId="4C1FDB07" w14:textId="77777777">
      <w:pPr>
        <w:keepNext/>
        <w:tabs>
          <w:tab w:val="left" w:pos="567"/>
        </w:tabs>
        <w:rPr>
          <w:del w:id="11815" w:author="AbbVie14" w:date="2025-05-09T10:35:00Z"/>
          <w:sz w:val="22"/>
          <w:szCs w:val="22"/>
        </w:rPr>
      </w:pPr>
    </w:p>
    <w:p w:rsidR="00615740" w:rsidRPr="00612824" w:rsidP="00615740" w14:paraId="7D227095" w14:textId="77777777">
      <w:pPr>
        <w:tabs>
          <w:tab w:val="left" w:pos="567"/>
        </w:tabs>
        <w:jc w:val="both"/>
        <w:rPr>
          <w:del w:id="11816" w:author="AbbVie14" w:date="2025-05-09T10:35:00Z"/>
          <w:sz w:val="22"/>
          <w:szCs w:val="22"/>
        </w:rPr>
      </w:pPr>
      <w:del w:id="11817" w:author="AbbVie14" w:date="2025-05-09T10:35:00Z">
        <w:r w:rsidRPr="00612824">
          <w:rPr>
            <w:sz w:val="22"/>
            <w:szCs w:val="22"/>
          </w:rPr>
          <w:delText>Per entrambi i gruppi di trattamento sono stati osservati incrementi (miglioramenti) statisticamente significativi dell’Indice di Massa Corporea e della velocità di accrescimento staturale dal basale alla Settimana 26 e 52.</w:delText>
        </w:r>
      </w:del>
    </w:p>
    <w:p w:rsidR="00615740" w:rsidRPr="00612824" w:rsidP="00615740" w14:paraId="2D460A8D" w14:textId="77777777">
      <w:pPr>
        <w:tabs>
          <w:tab w:val="left" w:pos="567"/>
        </w:tabs>
        <w:jc w:val="both"/>
        <w:rPr>
          <w:del w:id="11818" w:author="AbbVie14" w:date="2025-05-09T10:35:00Z"/>
          <w:sz w:val="22"/>
          <w:szCs w:val="22"/>
        </w:rPr>
      </w:pPr>
    </w:p>
    <w:p w:rsidR="00615740" w:rsidRPr="00612824" w:rsidP="00615740" w14:paraId="730F97F7" w14:textId="77777777">
      <w:pPr>
        <w:tabs>
          <w:tab w:val="left" w:pos="567"/>
        </w:tabs>
        <w:jc w:val="both"/>
        <w:rPr>
          <w:del w:id="11819" w:author="AbbVie14" w:date="2025-05-09T10:35:00Z"/>
          <w:sz w:val="22"/>
          <w:szCs w:val="22"/>
        </w:rPr>
      </w:pPr>
      <w:del w:id="11820" w:author="AbbVie14" w:date="2025-05-09T10:35:00Z">
        <w:r w:rsidRPr="00612824">
          <w:rPr>
            <w:sz w:val="22"/>
            <w:szCs w:val="22"/>
          </w:rPr>
          <w:delText xml:space="preserve">In entrambi i gruppi di trattamento sono stati inoltre osservati miglioramenti statisticamente e clinicamente significativi rispetto al basale dei parametri di qualità di vita (incluso IMPACT III). </w:delText>
        </w:r>
      </w:del>
    </w:p>
    <w:p w:rsidR="00615740" w:rsidRPr="00612824" w:rsidP="00615740" w14:paraId="3845C948" w14:textId="77777777">
      <w:pPr>
        <w:tabs>
          <w:tab w:val="left" w:pos="567"/>
          <w:tab w:val="left" w:pos="1294"/>
        </w:tabs>
        <w:autoSpaceDE w:val="0"/>
        <w:autoSpaceDN w:val="0"/>
        <w:adjustRightInd w:val="0"/>
        <w:jc w:val="both"/>
        <w:rPr>
          <w:del w:id="11821" w:author="AbbVie14" w:date="2025-05-09T10:35:00Z"/>
          <w:color w:val="000000"/>
          <w:sz w:val="22"/>
          <w:szCs w:val="22"/>
        </w:rPr>
      </w:pPr>
    </w:p>
    <w:p w:rsidR="00615740" w:rsidRPr="00295E71" w:rsidP="00615740" w14:paraId="68478E05" w14:textId="77777777">
      <w:pPr>
        <w:rPr>
          <w:del w:id="11822" w:author="AbbVie14" w:date="2025-05-09T10:35:00Z"/>
          <w:sz w:val="22"/>
          <w:szCs w:val="22"/>
        </w:rPr>
      </w:pPr>
      <w:del w:id="11823" w:author="AbbVie14" w:date="2025-05-09T10:35:00Z">
        <w:r w:rsidRPr="00612824">
          <w:rPr>
            <w:sz w:val="22"/>
            <w:szCs w:val="22"/>
          </w:rPr>
          <w:delText>Cento pazienti (n=100) dello Studio della Malattia di Crohn Pediatrica hanno continuato in uno studio di estensione in aperto a lungo termine. Dopo 5 anni di trattamento con adalimumab, il 74,0% (37/50) dei 50 pazienti rimasti nello studio ha continuato ad essere in remissione clinica e il 92,0% (46/50) dei pazienti ha continuato ad avere la risposta clinica per PCDAI.</w:delText>
        </w:r>
      </w:del>
    </w:p>
    <w:p w:rsidR="005C4AD7" w:rsidRPr="00555874" w:rsidP="005C4AD7" w14:paraId="1C203EDE" w14:textId="77777777">
      <w:pPr>
        <w:pStyle w:val="EMEANormal"/>
        <w:rPr>
          <w:del w:id="11824" w:author="AbbVie14" w:date="2025-05-09T10:35:00Z"/>
          <w:i/>
          <w:lang w:val="it-IT"/>
        </w:rPr>
      </w:pPr>
    </w:p>
    <w:p w:rsidR="00555874" w:rsidRPr="00612824" w:rsidP="00555874" w14:paraId="1C189774" w14:textId="77777777">
      <w:pPr>
        <w:keepNext/>
        <w:rPr>
          <w:del w:id="11825" w:author="AbbVie14" w:date="2025-05-09T10:35:00Z"/>
          <w:bCs/>
          <w:i/>
          <w:sz w:val="22"/>
          <w:szCs w:val="22"/>
        </w:rPr>
      </w:pPr>
      <w:del w:id="11826" w:author="AbbVie14" w:date="2025-05-09T10:35:00Z">
        <w:r w:rsidRPr="00612824">
          <w:rPr>
            <w:i/>
            <w:sz w:val="22"/>
            <w:szCs w:val="22"/>
          </w:rPr>
          <w:delText>Colite ulcerosa pediatrica</w:delText>
        </w:r>
      </w:del>
    </w:p>
    <w:p w:rsidR="00555874" w:rsidRPr="00612824" w:rsidP="00555874" w14:paraId="7676F795" w14:textId="77777777">
      <w:pPr>
        <w:keepNext/>
        <w:rPr>
          <w:del w:id="11827" w:author="AbbVie14" w:date="2025-05-09T10:35:00Z"/>
          <w:bCs/>
          <w:i/>
          <w:sz w:val="22"/>
          <w:szCs w:val="22"/>
        </w:rPr>
      </w:pPr>
    </w:p>
    <w:p w:rsidR="00555874" w:rsidRPr="00612824" w:rsidP="00555874" w14:paraId="4D05030B" w14:textId="77777777">
      <w:pPr>
        <w:rPr>
          <w:del w:id="11828" w:author="AbbVie14" w:date="2025-05-09T10:35:00Z"/>
          <w:sz w:val="22"/>
          <w:szCs w:val="22"/>
        </w:rPr>
      </w:pPr>
      <w:del w:id="11829" w:author="AbbVie14" w:date="2025-05-09T10:35:00Z">
        <w:r w:rsidRPr="00612824">
          <w:rPr>
            <w:sz w:val="22"/>
            <w:szCs w:val="22"/>
          </w:rPr>
          <w:delText xml:space="preserve">La sicurezza e l'efficacia di Humira sono state valutate in uno studio multicentrico, randomizzato, in doppio cieco, condotto su 93 pazienti pediatrici di età compresa tra 5 e 17 anni </w:delText>
        </w:r>
      </w:del>
      <w:del w:id="11830" w:author="AbbVie14" w:date="2025-05-09T10:35:00Z">
        <w:r w:rsidR="000644E2">
          <w:rPr>
            <w:sz w:val="22"/>
            <w:szCs w:val="22"/>
          </w:rPr>
          <w:delText>affetti da</w:delText>
        </w:r>
      </w:del>
      <w:del w:id="11831" w:author="AbbVie14" w:date="2025-05-09T10:35:00Z">
        <w:r w:rsidRPr="00612824">
          <w:rPr>
            <w:sz w:val="22"/>
            <w:szCs w:val="22"/>
          </w:rPr>
          <w:delText xml:space="preserve"> colite ulcerosa da moderata a </w:delText>
        </w:r>
      </w:del>
      <w:del w:id="11832" w:author="AbbVie14" w:date="2025-05-09T10:35:00Z">
        <w:r w:rsidR="000644E2">
          <w:rPr>
            <w:sz w:val="22"/>
            <w:szCs w:val="22"/>
          </w:rPr>
          <w:delText>severa</w:delText>
        </w:r>
      </w:del>
      <w:del w:id="11833" w:author="AbbVie14" w:date="2025-05-09T10:35:00Z">
        <w:r w:rsidRPr="00612824">
          <w:rPr>
            <w:sz w:val="22"/>
            <w:szCs w:val="22"/>
          </w:rPr>
          <w:delText xml:space="preserve"> (Mayo Score da 6 a 12 con </w:delText>
        </w:r>
      </w:del>
      <w:del w:id="11834" w:author="AbbVie14" w:date="2025-05-09T10:35:00Z">
        <w:r w:rsidR="004D484C">
          <w:rPr>
            <w:sz w:val="22"/>
            <w:szCs w:val="22"/>
          </w:rPr>
          <w:delText>sottopunteggio</w:delText>
        </w:r>
      </w:del>
      <w:del w:id="11835" w:author="AbbVie14" w:date="2025-05-09T10:35:00Z">
        <w:r w:rsidRPr="00612824">
          <w:rPr>
            <w:sz w:val="22"/>
            <w:szCs w:val="22"/>
          </w:rPr>
          <w:delText xml:space="preserve"> endoscopico da 2 a 3 punti, confermato mediante endoscopia </w:delText>
        </w:r>
      </w:del>
      <w:del w:id="11836" w:author="AbbVie14" w:date="2025-05-09T10:35:00Z">
        <w:r w:rsidR="000644E2">
          <w:rPr>
            <w:sz w:val="22"/>
            <w:szCs w:val="22"/>
          </w:rPr>
          <w:delText>refertata</w:delText>
        </w:r>
      </w:del>
      <w:del w:id="11837" w:author="AbbVie14" w:date="2025-05-09T10:35:00Z">
        <w:r w:rsidRPr="00612824">
          <w:rPr>
            <w:sz w:val="22"/>
            <w:szCs w:val="22"/>
          </w:rPr>
          <w:delText xml:space="preserve"> da un </w:delText>
        </w:r>
      </w:del>
      <w:del w:id="11838" w:author="AbbVie14" w:date="2025-05-09T10:35:00Z">
        <w:r w:rsidR="000644E2">
          <w:rPr>
            <w:sz w:val="22"/>
            <w:szCs w:val="22"/>
          </w:rPr>
          <w:delText>operatore indipendente</w:delText>
        </w:r>
      </w:del>
      <w:del w:id="11839" w:author="AbbVie14" w:date="2025-05-09T10:35:00Z">
        <w:r w:rsidRPr="00612824">
          <w:rPr>
            <w:sz w:val="22"/>
            <w:szCs w:val="22"/>
          </w:rPr>
          <w:delText xml:space="preserve">) che hanno avuto una risposta inadeguata o intolleranza alla terapia convenzionale. Circa il 16% dei pazienti nello studio aveva </w:delText>
        </w:r>
      </w:del>
      <w:del w:id="11840" w:author="AbbVie14" w:date="2025-05-09T10:35:00Z">
        <w:r w:rsidR="00335210">
          <w:rPr>
            <w:sz w:val="22"/>
            <w:szCs w:val="22"/>
          </w:rPr>
          <w:delText>fallito</w:delText>
        </w:r>
      </w:del>
      <w:del w:id="11841" w:author="AbbVie14" w:date="2025-05-09T10:35:00Z">
        <w:r w:rsidRPr="00612824">
          <w:rPr>
            <w:sz w:val="22"/>
            <w:szCs w:val="22"/>
          </w:rPr>
          <w:delText xml:space="preserve"> </w:delText>
        </w:r>
      </w:del>
      <w:del w:id="11842" w:author="AbbVie14" w:date="2025-05-09T10:35:00Z">
        <w:r w:rsidR="000644E2">
          <w:rPr>
            <w:sz w:val="22"/>
            <w:szCs w:val="22"/>
          </w:rPr>
          <w:delText>un</w:delText>
        </w:r>
      </w:del>
      <w:del w:id="11843" w:author="AbbVie14" w:date="2025-05-09T10:35:00Z">
        <w:r w:rsidRPr="00612824">
          <w:rPr>
            <w:sz w:val="22"/>
            <w:szCs w:val="22"/>
          </w:rPr>
          <w:delText xml:space="preserve"> precedente trattamento </w:delText>
        </w:r>
      </w:del>
      <w:del w:id="11844" w:author="AbbVie14" w:date="2025-05-09T10:35:00Z">
        <w:r w:rsidR="000644E2">
          <w:rPr>
            <w:sz w:val="22"/>
            <w:szCs w:val="22"/>
          </w:rPr>
          <w:delText xml:space="preserve">con </w:delText>
        </w:r>
      </w:del>
      <w:del w:id="11845" w:author="AbbVie14" w:date="2025-05-09T10:35:00Z">
        <w:r w:rsidRPr="00612824">
          <w:rPr>
            <w:sz w:val="22"/>
            <w:szCs w:val="22"/>
          </w:rPr>
          <w:delText>anti-TNF. Ai pazienti che avevano ricevuto corticosteroidi all'arruolamento è stato consentito di ridurre la terapia con corticosteroidi dopo la Settimana 4.</w:delText>
        </w:r>
      </w:del>
    </w:p>
    <w:p w:rsidR="00555874" w:rsidRPr="00612824" w:rsidP="00555874" w14:paraId="545296D6" w14:textId="77777777">
      <w:pPr>
        <w:rPr>
          <w:del w:id="11846" w:author="AbbVie14" w:date="2025-05-09T10:35:00Z"/>
          <w:sz w:val="22"/>
          <w:szCs w:val="22"/>
        </w:rPr>
      </w:pPr>
    </w:p>
    <w:p w:rsidR="00555874" w:rsidRPr="00612824" w:rsidP="00555874" w14:paraId="7F716169" w14:textId="77777777">
      <w:pPr>
        <w:rPr>
          <w:del w:id="11847" w:author="AbbVie14" w:date="2025-05-09T10:35:00Z"/>
          <w:sz w:val="22"/>
          <w:szCs w:val="22"/>
        </w:rPr>
      </w:pPr>
      <w:del w:id="11848" w:author="AbbVie14" w:date="2025-05-09T10:35:00Z">
        <w:r w:rsidRPr="00612824">
          <w:rPr>
            <w:rStyle w:val="normaltextrun"/>
            <w:sz w:val="22"/>
            <w:szCs w:val="22"/>
            <w:shd w:val="clear" w:color="auto" w:fill="FFFFFF"/>
          </w:rPr>
          <w:delText>Nel periodo di induzione dello studio, 77 pazienti sono stati randomizzati 3:2 per ricevere un trattamento in doppio cieco con Humira a una dose di induzione di 2,4 mg/kg (massimo 160 mg) alla Settimana 0 e alla Settimana 1 e di 1,2 mg/kg (massimo 80 mg) alla Settimana 2</w:delText>
        </w:r>
      </w:del>
      <w:del w:id="11849" w:author="AbbVie14" w:date="2025-05-09T10:35:00Z">
        <w:r w:rsidR="000644E2">
          <w:rPr>
            <w:rStyle w:val="normaltextrun"/>
            <w:sz w:val="22"/>
            <w:szCs w:val="22"/>
            <w:shd w:val="clear" w:color="auto" w:fill="FFFFFF"/>
          </w:rPr>
          <w:delText>,</w:delText>
        </w:r>
      </w:del>
      <w:del w:id="11850" w:author="AbbVie14" w:date="2025-05-09T10:35:00Z">
        <w:r w:rsidRPr="00612824">
          <w:rPr>
            <w:rStyle w:val="normaltextrun"/>
            <w:sz w:val="22"/>
            <w:szCs w:val="22"/>
            <w:shd w:val="clear" w:color="auto" w:fill="FFFFFF"/>
          </w:rPr>
          <w:delText xml:space="preserve"> o</w:delText>
        </w:r>
      </w:del>
      <w:del w:id="11851" w:author="AbbVie14" w:date="2025-05-09T10:35:00Z">
        <w:r w:rsidR="000644E2">
          <w:rPr>
            <w:rStyle w:val="normaltextrun"/>
            <w:sz w:val="22"/>
            <w:szCs w:val="22"/>
            <w:shd w:val="clear" w:color="auto" w:fill="FFFFFF"/>
          </w:rPr>
          <w:delText>ppure</w:delText>
        </w:r>
      </w:del>
      <w:del w:id="11852" w:author="AbbVie14" w:date="2025-05-09T10:35:00Z">
        <w:r w:rsidRPr="00612824">
          <w:rPr>
            <w:rStyle w:val="normaltextrun"/>
            <w:sz w:val="22"/>
            <w:szCs w:val="22"/>
            <w:shd w:val="clear" w:color="auto" w:fill="FFFFFF"/>
          </w:rPr>
          <w:delText xml:space="preserve"> una dose di induzione di 2,4 mg/kg (massimo 160 mg) alla Settimana 0, placebo alla Settimana 1 e 1,2 mg/kg (massimo 80 mg) alla Settimana 2. Entrambi i gruppi hanno ricevuto 0,6 mg/kg (massimo 40 mg) alla Settimana 4 e alla Settimana 6. A seguito di un emendamento al disegno dello studio, i restanti 16 pazienti arruolati </w:delText>
        </w:r>
      </w:del>
      <w:del w:id="11853" w:author="AbbVie14" w:date="2025-05-09T10:35:00Z">
        <w:r w:rsidR="000644E2">
          <w:rPr>
            <w:rStyle w:val="normaltextrun"/>
            <w:sz w:val="22"/>
            <w:szCs w:val="22"/>
            <w:shd w:val="clear" w:color="auto" w:fill="FFFFFF"/>
          </w:rPr>
          <w:delText>hanno ricevuto</w:delText>
        </w:r>
      </w:del>
      <w:del w:id="11854" w:author="AbbVie14" w:date="2025-05-09T10:35:00Z">
        <w:r w:rsidRPr="00612824">
          <w:rPr>
            <w:rStyle w:val="normaltextrun"/>
            <w:sz w:val="22"/>
            <w:szCs w:val="22"/>
            <w:shd w:val="clear" w:color="auto" w:fill="FFFFFF"/>
          </w:rPr>
          <w:delText xml:space="preserve"> </w:delText>
        </w:r>
      </w:del>
      <w:del w:id="11855" w:author="AbbVie14" w:date="2025-05-09T10:35:00Z">
        <w:r w:rsidR="000B5CB5">
          <w:rPr>
            <w:rStyle w:val="normaltextrun"/>
            <w:sz w:val="22"/>
            <w:szCs w:val="22"/>
            <w:shd w:val="clear" w:color="auto" w:fill="FFFFFF"/>
          </w:rPr>
          <w:delText xml:space="preserve">nel </w:delText>
        </w:r>
      </w:del>
      <w:del w:id="11856" w:author="AbbVie14" w:date="2025-05-09T10:35:00Z">
        <w:r w:rsidRPr="00612824">
          <w:rPr>
            <w:rStyle w:val="normaltextrun"/>
            <w:sz w:val="22"/>
            <w:szCs w:val="22"/>
            <w:shd w:val="clear" w:color="auto" w:fill="FFFFFF"/>
          </w:rPr>
          <w:delText>periodo di induzione un trattamento in aperto con Humira alla dose di induzione di 2,4 mg/kg (massimo 160 mg) alla Settimana 0 e alla Settimana 1 e di 1,2 mg/kg (massimo 80 mg) alla Settimana 2.</w:delText>
        </w:r>
      </w:del>
      <w:del w:id="11857" w:author="AbbVie14" w:date="2025-05-09T10:35:00Z">
        <w:r w:rsidRPr="00612824">
          <w:rPr>
            <w:rStyle w:val="eop"/>
            <w:sz w:val="22"/>
            <w:szCs w:val="22"/>
            <w:shd w:val="clear" w:color="auto" w:fill="FFFFFF"/>
          </w:rPr>
          <w:delText> </w:delText>
        </w:r>
      </w:del>
    </w:p>
    <w:p w:rsidR="00555874" w:rsidRPr="00612824" w:rsidP="00555874" w14:paraId="3BB2F8E6" w14:textId="77777777">
      <w:pPr>
        <w:rPr>
          <w:del w:id="11858" w:author="AbbVie14" w:date="2025-05-09T10:35:00Z"/>
          <w:sz w:val="22"/>
          <w:szCs w:val="22"/>
        </w:rPr>
      </w:pPr>
    </w:p>
    <w:p w:rsidR="00555874" w:rsidRPr="00612824" w:rsidP="00555874" w14:paraId="5C035DDA" w14:textId="77777777">
      <w:pPr>
        <w:rPr>
          <w:del w:id="11859" w:author="AbbVie14" w:date="2025-05-09T10:35:00Z"/>
          <w:rStyle w:val="eop"/>
          <w:sz w:val="22"/>
          <w:szCs w:val="22"/>
          <w:shd w:val="clear" w:color="auto" w:fill="FFFFFF"/>
        </w:rPr>
      </w:pPr>
      <w:del w:id="11860" w:author="AbbVie14" w:date="2025-05-09T10:35:00Z">
        <w:r w:rsidRPr="00612824">
          <w:rPr>
            <w:rStyle w:val="normaltextrun"/>
            <w:sz w:val="22"/>
            <w:szCs w:val="22"/>
            <w:shd w:val="clear" w:color="auto" w:fill="FFFFFF"/>
          </w:rPr>
          <w:delText xml:space="preserve">Alla Settimana 8, 62 pazienti che </w:delText>
        </w:r>
      </w:del>
      <w:del w:id="11861" w:author="AbbVie14" w:date="2025-05-09T10:35:00Z">
        <w:r w:rsidR="000644E2">
          <w:rPr>
            <w:rStyle w:val="normaltextrun"/>
            <w:sz w:val="22"/>
            <w:szCs w:val="22"/>
            <w:shd w:val="clear" w:color="auto" w:fill="FFFFFF"/>
          </w:rPr>
          <w:delText>avevano</w:delText>
        </w:r>
      </w:del>
      <w:del w:id="11862" w:author="AbbVie14" w:date="2025-05-09T10:35:00Z">
        <w:r w:rsidRPr="00612824">
          <w:rPr>
            <w:rStyle w:val="normaltextrun"/>
            <w:sz w:val="22"/>
            <w:szCs w:val="22"/>
            <w:shd w:val="clear" w:color="auto" w:fill="FFFFFF"/>
          </w:rPr>
          <w:delText xml:space="preserve"> dimostrato una risposta clinica come indicato dal Partial Mayo Score (PMS; definito come una diminuzione del PMS ≥ 2 punti e ≥ 30% dal basale) sono stati randomizzati </w:delText>
        </w:r>
      </w:del>
      <w:del w:id="11863" w:author="AbbVie14" w:date="2025-05-09T10:35:00Z">
        <w:r w:rsidR="000644E2">
          <w:rPr>
            <w:rStyle w:val="normaltextrun"/>
            <w:sz w:val="22"/>
            <w:szCs w:val="22"/>
            <w:shd w:val="clear" w:color="auto" w:fill="FFFFFF"/>
          </w:rPr>
          <w:delText>1:1</w:delText>
        </w:r>
      </w:del>
      <w:del w:id="11864" w:author="AbbVie14" w:date="2025-05-09T10:35:00Z">
        <w:r w:rsidRPr="00612824">
          <w:rPr>
            <w:rStyle w:val="normaltextrun"/>
            <w:sz w:val="22"/>
            <w:szCs w:val="22"/>
            <w:shd w:val="clear" w:color="auto" w:fill="FFFFFF"/>
          </w:rPr>
          <w:delText xml:space="preserve"> a ricevere un trattamento di mantenimento in doppio cieco con Humira ad una dose di 0,6 mg/kg (massimo 40 mg) ogni settimana o ad una dose di mantenimento di 0,6 mg/kg (massimo 40 mg) </w:delText>
        </w:r>
      </w:del>
      <w:del w:id="11865" w:author="AbbVie14" w:date="2025-05-09T10:35:00Z">
        <w:r w:rsidR="00E210A9">
          <w:rPr>
            <w:rStyle w:val="normaltextrun"/>
            <w:sz w:val="22"/>
            <w:szCs w:val="22"/>
            <w:shd w:val="clear" w:color="auto" w:fill="FFFFFF"/>
          </w:rPr>
          <w:delText>a settimane alterne</w:delText>
        </w:r>
      </w:del>
      <w:del w:id="11866" w:author="AbbVie14" w:date="2025-05-09T10:35:00Z">
        <w:r w:rsidRPr="00612824">
          <w:rPr>
            <w:rStyle w:val="normaltextrun"/>
            <w:sz w:val="22"/>
            <w:szCs w:val="22"/>
            <w:shd w:val="clear" w:color="auto" w:fill="FFFFFF"/>
          </w:rPr>
          <w:delText xml:space="preserve">. Prima di un emendamento al disegno dello studio, altri 12 pazienti che </w:delText>
        </w:r>
      </w:del>
      <w:del w:id="11867" w:author="AbbVie14" w:date="2025-05-09T10:35:00Z">
        <w:r w:rsidR="00335210">
          <w:rPr>
            <w:rStyle w:val="normaltextrun"/>
            <w:sz w:val="22"/>
            <w:szCs w:val="22"/>
            <w:shd w:val="clear" w:color="auto" w:fill="FFFFFF"/>
          </w:rPr>
          <w:delText>avevano</w:delText>
        </w:r>
      </w:del>
      <w:del w:id="11868" w:author="AbbVie14" w:date="2025-05-09T10:35:00Z">
        <w:r w:rsidRPr="00612824">
          <w:rPr>
            <w:rStyle w:val="normaltextrun"/>
            <w:sz w:val="22"/>
            <w:szCs w:val="22"/>
            <w:shd w:val="clear" w:color="auto" w:fill="FFFFFF"/>
          </w:rPr>
          <w:delText xml:space="preserve"> dimostrato una risposta clinica come indicato dal PMS sono stati randomizzati a ricevere placebo ma non sono stati inclusi nell'analisi di conferma dell'efficacia.</w:delText>
        </w:r>
      </w:del>
    </w:p>
    <w:p w:rsidR="00555874" w:rsidRPr="00612824" w:rsidP="00555874" w14:paraId="08346D48" w14:textId="77777777">
      <w:pPr>
        <w:rPr>
          <w:del w:id="11869" w:author="AbbVie14" w:date="2025-05-09T10:35:00Z"/>
          <w:sz w:val="22"/>
          <w:szCs w:val="22"/>
        </w:rPr>
      </w:pPr>
    </w:p>
    <w:p w:rsidR="00555874" w:rsidRPr="00612824" w:rsidP="00555874" w14:paraId="5E512B03" w14:textId="77777777">
      <w:pPr>
        <w:rPr>
          <w:del w:id="11870" w:author="AbbVie14" w:date="2025-05-09T10:35:00Z"/>
          <w:sz w:val="22"/>
          <w:szCs w:val="22"/>
        </w:rPr>
      </w:pPr>
      <w:del w:id="11871" w:author="AbbVie14" w:date="2025-05-09T10:35:00Z">
        <w:r w:rsidRPr="00612824">
          <w:rPr>
            <w:sz w:val="22"/>
            <w:szCs w:val="22"/>
          </w:rPr>
          <w:delText xml:space="preserve">La riacutizzazione della malattia è stata definita come un aumento del PMS di almeno 3 punti (per i pazienti con PMS da 0 a 2 alla Settimana 8), </w:delText>
        </w:r>
      </w:del>
      <w:del w:id="11872" w:author="AbbVie14" w:date="2025-05-09T10:35:00Z">
        <w:r w:rsidR="00335210">
          <w:rPr>
            <w:sz w:val="22"/>
            <w:szCs w:val="22"/>
          </w:rPr>
          <w:delText xml:space="preserve">di </w:delText>
        </w:r>
      </w:del>
      <w:del w:id="11873" w:author="AbbVie14" w:date="2025-05-09T10:35:00Z">
        <w:r w:rsidRPr="00612824">
          <w:rPr>
            <w:sz w:val="22"/>
            <w:szCs w:val="22"/>
          </w:rPr>
          <w:delText xml:space="preserve">almeno 2 punti (per i pazienti con PMS da 3 a 4 alla Settimana 8) o almeno </w:delText>
        </w:r>
      </w:del>
      <w:del w:id="11874" w:author="AbbVie14" w:date="2025-05-09T10:35:00Z">
        <w:r w:rsidR="00335210">
          <w:rPr>
            <w:sz w:val="22"/>
            <w:szCs w:val="22"/>
          </w:rPr>
          <w:delText xml:space="preserve">di </w:delText>
        </w:r>
      </w:del>
      <w:del w:id="11875" w:author="AbbVie14" w:date="2025-05-09T10:35:00Z">
        <w:r w:rsidRPr="00612824">
          <w:rPr>
            <w:sz w:val="22"/>
            <w:szCs w:val="22"/>
          </w:rPr>
          <w:delText>1 punto (per i pazienti con PMS da 5 a 6 alla Settimana 8). </w:delText>
        </w:r>
      </w:del>
    </w:p>
    <w:p w:rsidR="00555874" w:rsidRPr="00612824" w:rsidP="00555874" w14:paraId="6AEBF358" w14:textId="77777777">
      <w:pPr>
        <w:rPr>
          <w:del w:id="11876" w:author="AbbVie14" w:date="2025-05-09T10:35:00Z"/>
          <w:sz w:val="22"/>
          <w:szCs w:val="22"/>
        </w:rPr>
      </w:pPr>
    </w:p>
    <w:p w:rsidR="00555874" w:rsidRPr="00612824" w:rsidP="00555874" w14:paraId="78E36E54" w14:textId="77777777">
      <w:pPr>
        <w:rPr>
          <w:del w:id="11877" w:author="AbbVie14" w:date="2025-05-09T10:35:00Z"/>
          <w:sz w:val="22"/>
          <w:szCs w:val="22"/>
        </w:rPr>
      </w:pPr>
      <w:del w:id="11878" w:author="AbbVie14" w:date="2025-05-09T10:35:00Z">
        <w:r w:rsidRPr="00612824">
          <w:rPr>
            <w:sz w:val="22"/>
            <w:szCs w:val="22"/>
          </w:rPr>
          <w:delText xml:space="preserve">I pazienti che </w:delText>
        </w:r>
      </w:del>
      <w:del w:id="11879" w:author="AbbVie14" w:date="2025-05-09T10:35:00Z">
        <w:r w:rsidR="000644E2">
          <w:rPr>
            <w:sz w:val="22"/>
            <w:szCs w:val="22"/>
          </w:rPr>
          <w:delText>hanno presentato</w:delText>
        </w:r>
      </w:del>
      <w:del w:id="11880" w:author="AbbVie14" w:date="2025-05-09T10:35:00Z">
        <w:r w:rsidRPr="00612824">
          <w:rPr>
            <w:sz w:val="22"/>
            <w:szCs w:val="22"/>
          </w:rPr>
          <w:delText xml:space="preserve"> i criteri </w:delText>
        </w:r>
      </w:del>
      <w:del w:id="11881" w:author="AbbVie14" w:date="2025-05-09T10:35:00Z">
        <w:r w:rsidR="000644E2">
          <w:rPr>
            <w:sz w:val="22"/>
            <w:szCs w:val="22"/>
          </w:rPr>
          <w:delText>di</w:delText>
        </w:r>
      </w:del>
      <w:del w:id="11882" w:author="AbbVie14" w:date="2025-05-09T10:35:00Z">
        <w:r w:rsidRPr="00612824">
          <w:rPr>
            <w:sz w:val="22"/>
            <w:szCs w:val="22"/>
          </w:rPr>
          <w:delText xml:space="preserve"> riacutizzazione d</w:delText>
        </w:r>
      </w:del>
      <w:del w:id="11883" w:author="AbbVie14" w:date="2025-05-09T10:35:00Z">
        <w:r w:rsidR="000644E2">
          <w:rPr>
            <w:sz w:val="22"/>
            <w:szCs w:val="22"/>
          </w:rPr>
          <w:delText>i</w:delText>
        </w:r>
      </w:del>
      <w:del w:id="11884" w:author="AbbVie14" w:date="2025-05-09T10:35:00Z">
        <w:r w:rsidRPr="00612824">
          <w:rPr>
            <w:sz w:val="22"/>
            <w:szCs w:val="22"/>
          </w:rPr>
          <w:delText xml:space="preserve"> malattia alla Settimana 12 o successivamente sono stati randomizzati a ricevere una dose di reinduzione di 2,4 mg/kg (massimo 160 mg) o una dose di 0,6 mg/kg (massimo 40 mg) e hanno continuato a ricevere successivamente il rispettivo regime di mantenimento. </w:delText>
        </w:r>
      </w:del>
    </w:p>
    <w:p w:rsidR="00555874" w:rsidRPr="00612824" w:rsidP="00555874" w14:paraId="480C73FE" w14:textId="77777777">
      <w:pPr>
        <w:pStyle w:val="gtcbodytext"/>
        <w:spacing w:after="0" w:line="240" w:lineRule="auto"/>
        <w:rPr>
          <w:del w:id="11885" w:author="AbbVie14" w:date="2025-05-09T10:35:00Z"/>
          <w:i/>
          <w:iCs/>
          <w:sz w:val="22"/>
          <w:szCs w:val="22"/>
          <w:lang w:val="it-IT"/>
        </w:rPr>
      </w:pPr>
      <w:del w:id="11886" w:author="AbbVie14" w:date="2025-05-09T10:35:00Z">
        <w:r w:rsidRPr="00612824">
          <w:rPr>
            <w:i/>
            <w:sz w:val="22"/>
            <w:szCs w:val="22"/>
            <w:lang w:val="it-IT"/>
          </w:rPr>
          <w:delText>Risultati di efficacia</w:delText>
        </w:r>
      </w:del>
    </w:p>
    <w:p w:rsidR="00555874" w:rsidRPr="00612824" w:rsidP="00555874" w14:paraId="20CAAB45" w14:textId="77777777">
      <w:pPr>
        <w:pStyle w:val="gtcbodytext"/>
        <w:spacing w:before="0" w:after="0" w:line="240" w:lineRule="auto"/>
        <w:rPr>
          <w:del w:id="11887" w:author="AbbVie14" w:date="2025-05-09T10:35:00Z"/>
          <w:i/>
          <w:iCs/>
          <w:sz w:val="22"/>
          <w:szCs w:val="22"/>
          <w:lang w:val="it-IT"/>
        </w:rPr>
      </w:pPr>
    </w:p>
    <w:p w:rsidR="00555874" w:rsidRPr="00612824" w:rsidP="00555874" w14:paraId="1A19414C" w14:textId="77777777">
      <w:pPr>
        <w:rPr>
          <w:del w:id="11888" w:author="AbbVie14" w:date="2025-05-09T10:35:00Z"/>
          <w:sz w:val="22"/>
          <w:szCs w:val="22"/>
        </w:rPr>
      </w:pPr>
      <w:del w:id="11889" w:author="AbbVie14" w:date="2025-05-09T10:35:00Z">
        <w:r w:rsidRPr="00612824">
          <w:rPr>
            <w:sz w:val="22"/>
            <w:szCs w:val="22"/>
          </w:rPr>
          <w:delText xml:space="preserve">Gli endpoint co-primari dello studio sono stati la remissione clinica come indicato dal PMS (definita come PMS ≤ 2 e nessun </w:delText>
        </w:r>
      </w:del>
      <w:del w:id="11890" w:author="AbbVie14" w:date="2025-05-09T10:35:00Z">
        <w:r w:rsidR="004D484C">
          <w:rPr>
            <w:sz w:val="22"/>
            <w:szCs w:val="22"/>
          </w:rPr>
          <w:delText>sottopunteggio</w:delText>
        </w:r>
      </w:del>
      <w:del w:id="11891" w:author="AbbVie14" w:date="2025-05-09T10:35:00Z">
        <w:r w:rsidRPr="00612824">
          <w:rPr>
            <w:sz w:val="22"/>
            <w:szCs w:val="22"/>
          </w:rPr>
          <w:delText xml:space="preserve"> individuale &gt; 1) alla Settimana 8 e remissione clinica come indicato dal FMS (Full Mayo Score) (definito come Mayo Score ≤ 2 e nessun </w:delText>
        </w:r>
      </w:del>
      <w:del w:id="11892" w:author="AbbVie14" w:date="2025-05-09T10:35:00Z">
        <w:r w:rsidR="004D484C">
          <w:rPr>
            <w:sz w:val="22"/>
            <w:szCs w:val="22"/>
          </w:rPr>
          <w:delText>sottopunteggio</w:delText>
        </w:r>
      </w:del>
      <w:del w:id="11893" w:author="AbbVie14" w:date="2025-05-09T10:35:00Z">
        <w:r w:rsidRPr="00612824">
          <w:rPr>
            <w:sz w:val="22"/>
            <w:szCs w:val="22"/>
          </w:rPr>
          <w:delText xml:space="preserve"> individuale &gt; 1) alla Settimana 52 </w:delText>
        </w:r>
      </w:del>
      <w:del w:id="11894" w:author="AbbVie14" w:date="2025-05-09T10:35:00Z">
        <w:r w:rsidR="00CB3C81">
          <w:rPr>
            <w:sz w:val="22"/>
            <w:szCs w:val="22"/>
          </w:rPr>
          <w:delText>nei</w:delText>
        </w:r>
      </w:del>
      <w:del w:id="11895" w:author="AbbVie14" w:date="2025-05-09T10:35:00Z">
        <w:r w:rsidRPr="00612824">
          <w:rPr>
            <w:sz w:val="22"/>
            <w:szCs w:val="22"/>
          </w:rPr>
          <w:delText xml:space="preserve"> pazienti che </w:delText>
        </w:r>
      </w:del>
      <w:del w:id="11896" w:author="AbbVie14" w:date="2025-05-09T10:35:00Z">
        <w:r w:rsidR="00CB3C81">
          <w:rPr>
            <w:sz w:val="22"/>
            <w:szCs w:val="22"/>
          </w:rPr>
          <w:delText>avevano</w:delText>
        </w:r>
      </w:del>
      <w:del w:id="11897" w:author="AbbVie14" w:date="2025-05-09T10:35:00Z">
        <w:r w:rsidRPr="00612824">
          <w:rPr>
            <w:sz w:val="22"/>
            <w:szCs w:val="22"/>
          </w:rPr>
          <w:delText xml:space="preserve"> ottenuto una risposta clinica come indicato dal PMS alla Settimana 8.</w:delText>
        </w:r>
      </w:del>
    </w:p>
    <w:p w:rsidR="00555874" w:rsidRPr="00612824" w:rsidP="00555874" w14:paraId="55EAC22C" w14:textId="77777777">
      <w:pPr>
        <w:rPr>
          <w:del w:id="11898" w:author="AbbVie14" w:date="2025-05-09T10:35:00Z"/>
          <w:sz w:val="22"/>
          <w:szCs w:val="22"/>
        </w:rPr>
      </w:pPr>
    </w:p>
    <w:p w:rsidR="00555874" w:rsidRPr="00612824" w:rsidP="00555874" w14:paraId="2A27E95A" w14:textId="77777777">
      <w:pPr>
        <w:textAlignment w:val="baseline"/>
        <w:rPr>
          <w:del w:id="11899" w:author="AbbVie14" w:date="2025-05-09T10:35:00Z"/>
          <w:sz w:val="22"/>
          <w:szCs w:val="22"/>
        </w:rPr>
      </w:pPr>
      <w:del w:id="11900" w:author="AbbVie14" w:date="2025-05-09T10:35:00Z">
        <w:r w:rsidRPr="00612824">
          <w:rPr>
            <w:sz w:val="22"/>
            <w:szCs w:val="22"/>
          </w:rPr>
          <w:delText>I tassi di remissione clinica come indicato dal PMS alla Settimana 8 per i pazienti in ciascuno dei gruppi di induzione in doppio cieco di Humira</w:delText>
        </w:r>
      </w:del>
      <w:del w:id="11901" w:author="AbbVie14" w:date="2025-05-09T10:35:00Z">
        <w:r w:rsidR="00F421DB">
          <w:rPr>
            <w:sz w:val="22"/>
            <w:szCs w:val="22"/>
          </w:rPr>
          <w:delText xml:space="preserve"> sono mostrati </w:delText>
        </w:r>
      </w:del>
      <w:del w:id="11902" w:author="AbbVie14" w:date="2025-05-09T10:35:00Z">
        <w:r w:rsidR="00293FFC">
          <w:rPr>
            <w:sz w:val="22"/>
            <w:szCs w:val="22"/>
          </w:rPr>
          <w:delText>nella</w:delText>
        </w:r>
      </w:del>
      <w:del w:id="11903" w:author="AbbVie14" w:date="2025-05-09T10:35:00Z">
        <w:r w:rsidRPr="00612824">
          <w:rPr>
            <w:sz w:val="22"/>
            <w:szCs w:val="22"/>
          </w:rPr>
          <w:delText xml:space="preserve"> Tabella 31. </w:delText>
        </w:r>
      </w:del>
    </w:p>
    <w:p w:rsidR="00555874" w:rsidRPr="00612824" w:rsidP="00555874" w14:paraId="582FF397" w14:textId="77777777">
      <w:pPr>
        <w:pStyle w:val="gtcbodytext"/>
        <w:spacing w:after="0" w:line="240" w:lineRule="auto"/>
        <w:jc w:val="center"/>
        <w:rPr>
          <w:del w:id="11904" w:author="AbbVie14" w:date="2025-05-09T10:35:00Z"/>
          <w:b/>
          <w:sz w:val="22"/>
          <w:szCs w:val="22"/>
          <w:lang w:val="it-IT"/>
        </w:rPr>
      </w:pPr>
      <w:del w:id="11905" w:author="AbbVie14" w:date="2025-05-09T10:35:00Z">
        <w:r w:rsidRPr="00612824">
          <w:rPr>
            <w:b/>
            <w:sz w:val="22"/>
            <w:szCs w:val="22"/>
            <w:lang w:val="it-IT"/>
          </w:rPr>
          <w:delText xml:space="preserve">Tabella 31: Remissione </w:delText>
        </w:r>
      </w:del>
      <w:del w:id="11906" w:author="AbbVie14" w:date="2025-05-09T10:35:00Z">
        <w:r w:rsidR="00335210">
          <w:rPr>
            <w:b/>
            <w:sz w:val="22"/>
            <w:szCs w:val="22"/>
            <w:lang w:val="it-IT"/>
          </w:rPr>
          <w:delText>C</w:delText>
        </w:r>
      </w:del>
      <w:del w:id="11907" w:author="AbbVie14" w:date="2025-05-09T10:35:00Z">
        <w:r w:rsidRPr="00612824">
          <w:rPr>
            <w:b/>
            <w:sz w:val="22"/>
            <w:szCs w:val="22"/>
            <w:lang w:val="it-IT"/>
          </w:rPr>
          <w:delText xml:space="preserve">linica in base al PMS a 8 </w:delText>
        </w:r>
      </w:del>
      <w:del w:id="11908" w:author="AbbVie14" w:date="2025-05-09T10:35:00Z">
        <w:r w:rsidR="00335210">
          <w:rPr>
            <w:b/>
            <w:sz w:val="22"/>
            <w:szCs w:val="22"/>
            <w:lang w:val="it-IT"/>
          </w:rPr>
          <w:delText>S</w:delText>
        </w:r>
      </w:del>
      <w:del w:id="11909" w:author="AbbVie14" w:date="2025-05-09T10:35:00Z">
        <w:r w:rsidRPr="00612824">
          <w:rPr>
            <w:b/>
            <w:sz w:val="22"/>
            <w:szCs w:val="22"/>
            <w:lang w:val="it-IT"/>
          </w:rPr>
          <w:delText xml:space="preserve">ettimane </w:delText>
        </w:r>
      </w:del>
    </w:p>
    <w:tbl>
      <w:tblPr>
        <w:tblW w:w="4246" w:type="pct"/>
        <w:tblInd w:w="936" w:type="dxa"/>
        <w:tblLook w:val="04A0"/>
      </w:tblPr>
      <w:tblGrid>
        <w:gridCol w:w="1904"/>
        <w:gridCol w:w="2866"/>
        <w:gridCol w:w="2919"/>
      </w:tblGrid>
      <w:tr w14:paraId="56E9B737" w14:textId="77777777" w:rsidTr="0062664F">
        <w:tblPrEx>
          <w:tblW w:w="4246" w:type="pct"/>
          <w:tblInd w:w="936" w:type="dxa"/>
          <w:tblLook w:val="04A0"/>
        </w:tblPrEx>
        <w:trPr>
          <w:del w:id="11910" w:author="AbbVie14" w:date="2025-05-09T10:35: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55874" w:rsidRPr="00612824" w:rsidP="0062664F" w14:paraId="42A0D626" w14:textId="77777777">
            <w:pPr>
              <w:rPr>
                <w:del w:id="11911" w:author="AbbVie14" w:date="2025-05-09T10:35:00Z"/>
                <w:sz w:val="22"/>
                <w:szCs w:val="22"/>
              </w:rPr>
            </w:pPr>
            <w:bookmarkStart w:id="11912" w:name="_Hlk51699630"/>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55874" w:rsidRPr="00555874" w:rsidP="0062664F" w14:paraId="2F445808" w14:textId="77777777">
            <w:pPr>
              <w:pStyle w:val="paragraph0"/>
              <w:spacing w:before="0" w:beforeAutospacing="0" w:after="0" w:afterAutospacing="0"/>
              <w:jc w:val="center"/>
              <w:textAlignment w:val="baseline"/>
              <w:rPr>
                <w:del w:id="11913" w:author="AbbVie14" w:date="2025-05-09T10:35:00Z"/>
                <w:b/>
                <w:bCs/>
                <w:sz w:val="22"/>
                <w:szCs w:val="22"/>
              </w:rPr>
            </w:pPr>
            <w:del w:id="11914" w:author="AbbVie14" w:date="2025-05-09T10:35:00Z">
              <w:r w:rsidRPr="00863077">
                <w:rPr>
                  <w:rStyle w:val="spellingerror"/>
                  <w:b/>
                  <w:sz w:val="22"/>
                  <w:szCs w:val="22"/>
                </w:rPr>
                <w:delText>Humira</w:delText>
              </w:r>
            </w:del>
            <w:del w:id="11915" w:author="AbbVie14" w:date="2025-05-09T10:35:00Z">
              <w:r w:rsidRPr="00863077">
                <w:rPr>
                  <w:rStyle w:val="spellingerror"/>
                  <w:b/>
                  <w:sz w:val="22"/>
                  <w:szCs w:val="22"/>
                  <w:vertAlign w:val="superscript"/>
                </w:rPr>
                <w:delText>a</w:delText>
              </w:r>
            </w:del>
            <w:del w:id="11916" w:author="AbbVie14" w:date="2025-05-09T10:35:00Z">
              <w:r w:rsidRPr="00872134">
                <w:rPr>
                  <w:rStyle w:val="eop"/>
                  <w:b/>
                  <w:sz w:val="22"/>
                  <w:szCs w:val="22"/>
                </w:rPr>
                <w:delText> </w:delText>
              </w:r>
            </w:del>
          </w:p>
          <w:p w:rsidR="00555874" w:rsidRPr="00612824" w:rsidP="0062664F" w14:paraId="6BF1F7C8" w14:textId="77777777">
            <w:pPr>
              <w:jc w:val="center"/>
              <w:rPr>
                <w:del w:id="11917" w:author="AbbVie14" w:date="2025-05-09T10:35:00Z"/>
                <w:rStyle w:val="eop"/>
                <w:b/>
                <w:bCs/>
                <w:sz w:val="22"/>
                <w:szCs w:val="22"/>
              </w:rPr>
            </w:pPr>
            <w:del w:id="11918" w:author="AbbVie14" w:date="2025-05-09T10:35:00Z">
              <w:r w:rsidRPr="00612824">
                <w:rPr>
                  <w:rStyle w:val="normaltextrun"/>
                  <w:b/>
                  <w:sz w:val="22"/>
                  <w:szCs w:val="22"/>
                </w:rPr>
                <w:delText>Massimo 160 mg alla Settimana 0/</w:delText>
              </w:r>
            </w:del>
            <w:del w:id="11919" w:author="AbbVie14" w:date="2025-05-09T10:35:00Z">
              <w:r w:rsidR="0016472B">
                <w:rPr>
                  <w:rStyle w:val="normaltextrun"/>
                  <w:b/>
                  <w:sz w:val="22"/>
                  <w:szCs w:val="22"/>
                </w:rPr>
                <w:delText>P</w:delText>
              </w:r>
            </w:del>
            <w:del w:id="11920" w:author="AbbVie14" w:date="2025-05-09T10:35:00Z">
              <w:r w:rsidRPr="00612824">
                <w:rPr>
                  <w:rStyle w:val="normaltextrun"/>
                  <w:b/>
                  <w:sz w:val="22"/>
                  <w:szCs w:val="22"/>
                </w:rPr>
                <w:delText>lacebo alla Settimana 1</w:delText>
              </w:r>
            </w:del>
            <w:del w:id="11921" w:author="AbbVie14" w:date="2025-05-09T10:35:00Z">
              <w:r w:rsidRPr="00612824">
                <w:rPr>
                  <w:rStyle w:val="eop"/>
                  <w:b/>
                  <w:sz w:val="22"/>
                  <w:szCs w:val="22"/>
                </w:rPr>
                <w:delText> </w:delText>
              </w:r>
            </w:del>
          </w:p>
          <w:p w:rsidR="00555874" w:rsidRPr="00612824" w:rsidP="0062664F" w14:paraId="3CBB9B6F" w14:textId="77777777">
            <w:pPr>
              <w:jc w:val="center"/>
              <w:rPr>
                <w:del w:id="11922" w:author="AbbVie14" w:date="2025-05-09T10:35:00Z"/>
                <w:sz w:val="22"/>
                <w:szCs w:val="22"/>
              </w:rPr>
            </w:pPr>
            <w:del w:id="11923" w:author="AbbVie14" w:date="2025-05-09T10:35:00Z">
              <w:r w:rsidRPr="00612824">
                <w:rPr>
                  <w:rStyle w:val="eop"/>
                  <w:sz w:val="22"/>
                  <w:szCs w:val="22"/>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55874" w:rsidRPr="00555874" w:rsidP="0062664F" w14:paraId="0446BAD5" w14:textId="77777777">
            <w:pPr>
              <w:pStyle w:val="paragraph0"/>
              <w:spacing w:before="0" w:beforeAutospacing="0" w:after="0" w:afterAutospacing="0"/>
              <w:jc w:val="center"/>
              <w:textAlignment w:val="baseline"/>
              <w:rPr>
                <w:del w:id="11924" w:author="AbbVie14" w:date="2025-05-09T10:35:00Z"/>
                <w:b/>
                <w:bCs/>
                <w:sz w:val="22"/>
                <w:szCs w:val="22"/>
              </w:rPr>
            </w:pPr>
            <w:del w:id="11925" w:author="AbbVie14" w:date="2025-05-09T10:35:00Z">
              <w:r w:rsidRPr="00863077">
                <w:rPr>
                  <w:rStyle w:val="spellingerror"/>
                  <w:b/>
                  <w:sz w:val="22"/>
                  <w:szCs w:val="22"/>
                </w:rPr>
                <w:delText>Humira</w:delText>
              </w:r>
            </w:del>
            <w:del w:id="11926" w:author="AbbVie14" w:date="2025-05-09T10:35:00Z">
              <w:r w:rsidRPr="00863077">
                <w:rPr>
                  <w:rStyle w:val="spellingerror"/>
                  <w:b/>
                  <w:sz w:val="22"/>
                  <w:szCs w:val="22"/>
                  <w:vertAlign w:val="superscript"/>
                </w:rPr>
                <w:delText>b</w:delText>
              </w:r>
            </w:del>
            <w:del w:id="11927" w:author="AbbVie14" w:date="2025-05-09T10:35:00Z">
              <w:r w:rsidRPr="00872134">
                <w:rPr>
                  <w:rStyle w:val="normaltextrun"/>
                  <w:b/>
                  <w:sz w:val="22"/>
                  <w:szCs w:val="22"/>
                  <w:vertAlign w:val="superscript"/>
                </w:rPr>
                <w:delText>, c</w:delText>
              </w:r>
            </w:del>
            <w:del w:id="11928" w:author="AbbVie14" w:date="2025-05-09T10:35:00Z">
              <w:r w:rsidRPr="00A845AB">
                <w:rPr>
                  <w:rStyle w:val="eop"/>
                  <w:b/>
                  <w:sz w:val="22"/>
                  <w:szCs w:val="22"/>
                </w:rPr>
                <w:delText> </w:delText>
              </w:r>
            </w:del>
          </w:p>
          <w:p w:rsidR="00555874" w:rsidRPr="00612824" w:rsidP="0062664F" w14:paraId="287A3820" w14:textId="77777777">
            <w:pPr>
              <w:jc w:val="center"/>
              <w:rPr>
                <w:del w:id="11929" w:author="AbbVie14" w:date="2025-05-09T10:35:00Z"/>
                <w:rStyle w:val="eop"/>
                <w:b/>
                <w:bCs/>
                <w:sz w:val="22"/>
                <w:szCs w:val="22"/>
              </w:rPr>
            </w:pPr>
            <w:del w:id="11930" w:author="AbbVie14" w:date="2025-05-09T10:35:00Z">
              <w:r w:rsidRPr="00612824">
                <w:rPr>
                  <w:rStyle w:val="normaltextrun"/>
                  <w:b/>
                  <w:sz w:val="22"/>
                  <w:szCs w:val="22"/>
                </w:rPr>
                <w:delText>Massimo 160 mg alla Settimana 0 e alla Settimana 1</w:delText>
              </w:r>
            </w:del>
            <w:del w:id="11931" w:author="AbbVie14" w:date="2025-05-09T10:35:00Z">
              <w:r w:rsidRPr="00612824">
                <w:rPr>
                  <w:rStyle w:val="eop"/>
                  <w:b/>
                  <w:sz w:val="22"/>
                  <w:szCs w:val="22"/>
                </w:rPr>
                <w:delText> </w:delText>
              </w:r>
            </w:del>
          </w:p>
          <w:p w:rsidR="00555874" w:rsidRPr="00612824" w:rsidP="0062664F" w14:paraId="73C7E6AF" w14:textId="77777777">
            <w:pPr>
              <w:jc w:val="center"/>
              <w:rPr>
                <w:del w:id="11932" w:author="AbbVie14" w:date="2025-05-09T10:35:00Z"/>
                <w:sz w:val="22"/>
                <w:szCs w:val="22"/>
              </w:rPr>
            </w:pPr>
            <w:del w:id="11933" w:author="AbbVie14" w:date="2025-05-09T10:35:00Z">
              <w:r w:rsidRPr="00612824">
                <w:rPr>
                  <w:rStyle w:val="eop"/>
                  <w:sz w:val="22"/>
                  <w:szCs w:val="22"/>
                </w:rPr>
                <w:delText>N=47</w:delText>
              </w:r>
            </w:del>
          </w:p>
        </w:tc>
      </w:tr>
      <w:tr w14:paraId="76B02D04" w14:textId="77777777" w:rsidTr="0062664F">
        <w:tblPrEx>
          <w:tblW w:w="4246" w:type="pct"/>
          <w:tblInd w:w="936" w:type="dxa"/>
          <w:tblLook w:val="04A0"/>
        </w:tblPrEx>
        <w:trPr>
          <w:del w:id="11934" w:author="AbbVie14" w:date="2025-05-09T10:35: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55874" w:rsidRPr="00612824" w:rsidP="0062664F" w14:paraId="5F26ABB2" w14:textId="77777777">
            <w:pPr>
              <w:rPr>
                <w:del w:id="11935" w:author="AbbVie14" w:date="2025-05-09T10:35:00Z"/>
                <w:sz w:val="22"/>
                <w:szCs w:val="22"/>
              </w:rPr>
            </w:pPr>
            <w:del w:id="11936" w:author="AbbVie14" w:date="2025-05-09T10:35:00Z">
              <w:r w:rsidRPr="00612824">
                <w:rPr>
                  <w:sz w:val="22"/>
                  <w:szCs w:val="22"/>
                </w:rPr>
                <w:delText>Remissione clinica</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55874" w:rsidRPr="00612824" w:rsidP="0062664F" w14:paraId="6995A906" w14:textId="77777777">
            <w:pPr>
              <w:jc w:val="center"/>
              <w:rPr>
                <w:del w:id="11937" w:author="AbbVie14" w:date="2025-05-09T10:35:00Z"/>
                <w:sz w:val="22"/>
                <w:szCs w:val="22"/>
              </w:rPr>
            </w:pPr>
            <w:del w:id="11938" w:author="AbbVie14" w:date="2025-05-09T10:35:00Z">
              <w:r w:rsidRPr="00612824">
                <w:rPr>
                  <w:sz w:val="22"/>
                  <w:szCs w:val="22"/>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55874" w:rsidRPr="00612824" w:rsidP="0062664F" w14:paraId="2D823175" w14:textId="77777777">
            <w:pPr>
              <w:jc w:val="center"/>
              <w:rPr>
                <w:del w:id="11939" w:author="AbbVie14" w:date="2025-05-09T10:35:00Z"/>
                <w:sz w:val="22"/>
                <w:szCs w:val="22"/>
                <w:vertAlign w:val="superscript"/>
              </w:rPr>
            </w:pPr>
            <w:del w:id="11940" w:author="AbbVie14" w:date="2025-05-09T10:35:00Z">
              <w:r w:rsidRPr="00612824">
                <w:rPr>
                  <w:sz w:val="22"/>
                  <w:szCs w:val="22"/>
                </w:rPr>
                <w:delText>28/47 (59,6%)</w:delText>
              </w:r>
            </w:del>
          </w:p>
        </w:tc>
      </w:tr>
      <w:tr w14:paraId="4154BA6C" w14:textId="77777777" w:rsidTr="0062664F">
        <w:tblPrEx>
          <w:tblW w:w="4246" w:type="pct"/>
          <w:tblInd w:w="936" w:type="dxa"/>
          <w:tblLook w:val="04A0"/>
        </w:tblPrEx>
        <w:trPr>
          <w:trHeight w:val="2517"/>
          <w:del w:id="11941" w:author="AbbVie14" w:date="2025-05-09T10:35: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55874" w:rsidRPr="00555874" w:rsidP="0062664F" w14:paraId="5FBBF8A6" w14:textId="77777777">
            <w:pPr>
              <w:pStyle w:val="paragraph0"/>
              <w:spacing w:before="0" w:beforeAutospacing="0" w:after="0" w:afterAutospacing="0"/>
              <w:textAlignment w:val="baseline"/>
              <w:rPr>
                <w:del w:id="11942" w:author="AbbVie14" w:date="2025-05-09T10:35:00Z"/>
                <w:sz w:val="22"/>
                <w:szCs w:val="22"/>
              </w:rPr>
            </w:pPr>
            <w:del w:id="11943" w:author="AbbVie14" w:date="2025-05-09T10:35:00Z">
              <w:r w:rsidRPr="00863077">
                <w:rPr>
                  <w:rStyle w:val="normaltextrun"/>
                  <w:sz w:val="22"/>
                  <w:szCs w:val="22"/>
                  <w:vertAlign w:val="superscript"/>
                </w:rPr>
                <w:delText>a</w:delText>
              </w:r>
            </w:del>
            <w:del w:id="11944" w:author="AbbVie14" w:date="2025-05-09T10:35:00Z">
              <w:r w:rsidRPr="00872134">
                <w:rPr>
                  <w:rStyle w:val="normaltextrun"/>
                  <w:sz w:val="22"/>
                  <w:szCs w:val="22"/>
                </w:rPr>
                <w:delText>Humira</w:delText>
              </w:r>
            </w:del>
            <w:del w:id="11945" w:author="AbbVie14" w:date="2025-05-09T10:35:00Z">
              <w:r w:rsidRPr="00A845AB">
                <w:rPr>
                  <w:rStyle w:val="normaltextrun"/>
                  <w:sz w:val="22"/>
                  <w:szCs w:val="22"/>
                </w:rPr>
                <w:delText xml:space="preserve"> 2,4 mg/kg (massimo 160 mg) alla Settimana 0, placebo alla Settimana 1 e 1,2 mg/kg (massimo 80 mg) alla Settimana 2</w:delText>
              </w:r>
            </w:del>
            <w:del w:id="11946" w:author="AbbVie14" w:date="2025-05-09T10:35:00Z">
              <w:r w:rsidRPr="00A845AB">
                <w:rPr>
                  <w:rStyle w:val="eop"/>
                  <w:sz w:val="22"/>
                  <w:szCs w:val="22"/>
                </w:rPr>
                <w:delText> </w:delText>
              </w:r>
            </w:del>
          </w:p>
          <w:p w:rsidR="00555874" w:rsidRPr="00555874" w:rsidP="0062664F" w14:paraId="493EDE6F" w14:textId="77777777">
            <w:pPr>
              <w:pStyle w:val="paragraph0"/>
              <w:spacing w:before="0" w:beforeAutospacing="0" w:after="0" w:afterAutospacing="0"/>
              <w:textAlignment w:val="baseline"/>
              <w:rPr>
                <w:del w:id="11947" w:author="AbbVie14" w:date="2025-05-09T10:35:00Z"/>
                <w:sz w:val="22"/>
                <w:szCs w:val="22"/>
              </w:rPr>
            </w:pPr>
            <w:del w:id="11948" w:author="AbbVie14" w:date="2025-05-09T10:35:00Z">
              <w:r w:rsidRPr="00863077">
                <w:rPr>
                  <w:rStyle w:val="normaltextrun"/>
                  <w:sz w:val="22"/>
                  <w:szCs w:val="22"/>
                  <w:vertAlign w:val="superscript"/>
                </w:rPr>
                <w:delText>b</w:delText>
              </w:r>
            </w:del>
            <w:del w:id="11949" w:author="AbbVie14" w:date="2025-05-09T10:35:00Z">
              <w:r w:rsidRPr="00872134">
                <w:rPr>
                  <w:rStyle w:val="normaltextrun"/>
                  <w:sz w:val="22"/>
                  <w:szCs w:val="22"/>
                </w:rPr>
                <w:delText>Humira 2,4 mg/kg (massimo 160 mg) alla Settimana 0 e alla Settimana 1 e 1,2 mg/kg (massimo 80 mg) alla Settimana 2</w:delText>
              </w:r>
            </w:del>
            <w:del w:id="11950" w:author="AbbVie14" w:date="2025-05-09T10:35:00Z">
              <w:r w:rsidRPr="00A845AB">
                <w:rPr>
                  <w:rStyle w:val="eop"/>
                  <w:sz w:val="22"/>
                  <w:szCs w:val="22"/>
                </w:rPr>
                <w:delText> </w:delText>
              </w:r>
            </w:del>
          </w:p>
          <w:p w:rsidR="00555874" w:rsidRPr="00555874" w:rsidP="0062664F" w14:paraId="0BE811E8" w14:textId="77777777">
            <w:pPr>
              <w:pStyle w:val="paragraph0"/>
              <w:spacing w:before="0" w:beforeAutospacing="0" w:after="0" w:afterAutospacing="0"/>
              <w:textAlignment w:val="baseline"/>
              <w:rPr>
                <w:del w:id="11951" w:author="AbbVie14" w:date="2025-05-09T10:35:00Z"/>
                <w:sz w:val="22"/>
                <w:szCs w:val="22"/>
              </w:rPr>
            </w:pPr>
            <w:del w:id="11952" w:author="AbbVie14" w:date="2025-05-09T10:35:00Z">
              <w:r w:rsidRPr="00863077">
                <w:rPr>
                  <w:rStyle w:val="normaltextrun"/>
                  <w:sz w:val="22"/>
                  <w:szCs w:val="22"/>
                  <w:vertAlign w:val="superscript"/>
                </w:rPr>
                <w:delText>c</w:delText>
              </w:r>
            </w:del>
            <w:del w:id="11953" w:author="AbbVie14" w:date="2025-05-09T10:35:00Z">
              <w:r w:rsidRPr="00872134">
                <w:rPr>
                  <w:rStyle w:val="normaltextrun"/>
                  <w:sz w:val="22"/>
                  <w:szCs w:val="22"/>
                </w:rPr>
                <w:delText>Senza includere la do</w:delText>
              </w:r>
            </w:del>
            <w:del w:id="11954" w:author="AbbVie14" w:date="2025-05-09T10:35:00Z">
              <w:r w:rsidRPr="00A845AB">
                <w:rPr>
                  <w:rStyle w:val="normaltextrun"/>
                  <w:sz w:val="22"/>
                  <w:szCs w:val="22"/>
                </w:rPr>
                <w:delText xml:space="preserve">se di </w:delText>
              </w:r>
            </w:del>
            <w:del w:id="11955" w:author="AbbVie14" w:date="2025-05-09T10:35:00Z">
              <w:r w:rsidR="00335210">
                <w:rPr>
                  <w:rStyle w:val="normaltextrun"/>
                  <w:sz w:val="22"/>
                  <w:szCs w:val="22"/>
                </w:rPr>
                <w:delText>I</w:delText>
              </w:r>
            </w:del>
            <w:del w:id="11956" w:author="AbbVie14" w:date="2025-05-09T10:35:00Z">
              <w:r w:rsidRPr="00A845AB">
                <w:rPr>
                  <w:rStyle w:val="normaltextrun"/>
                  <w:sz w:val="22"/>
                  <w:szCs w:val="22"/>
                </w:rPr>
                <w:delText>nduzione in aperto di Humira 2,4 mg/kg (massimo 160 mg) alla Settimana 0 e alla Settimana 1 e 1,2 mg/kg (massimo 80 mg) alla Settimana 2</w:delText>
              </w:r>
            </w:del>
          </w:p>
          <w:p w:rsidR="00555874" w:rsidRPr="00555874" w:rsidP="0062664F" w14:paraId="6103B2FE" w14:textId="77777777">
            <w:pPr>
              <w:pStyle w:val="paragraph0"/>
              <w:spacing w:before="0" w:beforeAutospacing="0" w:after="0" w:afterAutospacing="0"/>
              <w:textAlignment w:val="baseline"/>
              <w:rPr>
                <w:del w:id="11957" w:author="AbbVie14" w:date="2025-05-09T10:35:00Z"/>
                <w:sz w:val="22"/>
                <w:szCs w:val="22"/>
              </w:rPr>
            </w:pPr>
            <w:del w:id="11958" w:author="AbbVie14" w:date="2025-05-09T10:35:00Z">
              <w:r w:rsidRPr="00863077">
                <w:rPr>
                  <w:rStyle w:val="normaltextrun"/>
                  <w:sz w:val="22"/>
                  <w:szCs w:val="22"/>
                </w:rPr>
                <w:delText>Nota 1: entrambi i gruppi di induzione hanno ricevuto 0,6 mg/kg (massimo 40 mg) alla Settimana 4 e alla Settiman</w:delText>
              </w:r>
            </w:del>
            <w:del w:id="11959" w:author="AbbVie14" w:date="2025-05-09T10:35:00Z">
              <w:r w:rsidRPr="00872134">
                <w:rPr>
                  <w:rStyle w:val="normaltextrun"/>
                  <w:sz w:val="22"/>
                  <w:szCs w:val="22"/>
                </w:rPr>
                <w:delText>a 6</w:delText>
              </w:r>
            </w:del>
            <w:del w:id="11960" w:author="AbbVie14" w:date="2025-05-09T10:35:00Z">
              <w:r w:rsidRPr="00A845AB">
                <w:rPr>
                  <w:rStyle w:val="eop"/>
                  <w:sz w:val="22"/>
                  <w:szCs w:val="22"/>
                </w:rPr>
                <w:delText> </w:delText>
              </w:r>
            </w:del>
          </w:p>
          <w:p w:rsidR="00555874" w:rsidRPr="00555874" w:rsidP="0062664F" w14:paraId="65F69F93" w14:textId="77777777">
            <w:pPr>
              <w:pStyle w:val="paragraph0"/>
              <w:spacing w:before="0" w:beforeAutospacing="0" w:after="0" w:afterAutospacing="0"/>
              <w:textAlignment w:val="baseline"/>
              <w:rPr>
                <w:del w:id="11961" w:author="AbbVie14" w:date="2025-05-09T10:35:00Z"/>
                <w:sz w:val="22"/>
                <w:szCs w:val="22"/>
              </w:rPr>
            </w:pPr>
            <w:del w:id="11962" w:author="AbbVie14" w:date="2025-05-09T10:35:00Z">
              <w:r w:rsidRPr="00863077">
                <w:rPr>
                  <w:rStyle w:val="normaltextrun"/>
                  <w:sz w:val="22"/>
                  <w:szCs w:val="22"/>
                </w:rPr>
                <w:delText xml:space="preserve">Nota 2: i pazienti con valori mancanti alla Settimana 8 sono stati considerati come non aver </w:delText>
              </w:r>
            </w:del>
            <w:del w:id="11963" w:author="AbbVie14" w:date="2025-05-09T10:35:00Z">
              <w:r w:rsidR="00335210">
                <w:rPr>
                  <w:rStyle w:val="normaltextrun"/>
                  <w:sz w:val="22"/>
                  <w:szCs w:val="22"/>
                </w:rPr>
                <w:delText>r</w:delText>
              </w:r>
            </w:del>
            <w:del w:id="11964" w:author="AbbVie14" w:date="2025-05-09T10:35:00Z">
              <w:r w:rsidR="00335210">
                <w:rPr>
                  <w:rStyle w:val="normaltextrun"/>
                </w:rPr>
                <w:delText>aggiunto</w:delText>
              </w:r>
            </w:del>
            <w:del w:id="11965" w:author="AbbVie14" w:date="2025-05-09T10:35:00Z">
              <w:r w:rsidRPr="00863077">
                <w:rPr>
                  <w:rStyle w:val="normaltextrun"/>
                  <w:sz w:val="22"/>
                  <w:szCs w:val="22"/>
                </w:rPr>
                <w:delText xml:space="preserve"> l'endpoint</w:delText>
              </w:r>
            </w:del>
            <w:del w:id="11966" w:author="AbbVie14" w:date="2025-05-09T10:35:00Z">
              <w:r w:rsidRPr="00872134">
                <w:rPr>
                  <w:rStyle w:val="eop"/>
                  <w:sz w:val="22"/>
                  <w:szCs w:val="22"/>
                </w:rPr>
                <w:delText> </w:delText>
              </w:r>
            </w:del>
          </w:p>
        </w:tc>
      </w:tr>
      <w:bookmarkEnd w:id="11912"/>
    </w:tbl>
    <w:p w:rsidR="00555874" w:rsidP="00555874" w14:paraId="6A8089EA" w14:textId="77777777">
      <w:pPr>
        <w:rPr>
          <w:del w:id="11967" w:author="AbbVie14" w:date="2025-05-09T10:35:00Z"/>
          <w:rStyle w:val="normaltextrun"/>
          <w:sz w:val="22"/>
          <w:szCs w:val="22"/>
          <w:shd w:val="clear" w:color="auto" w:fill="FFFFFF"/>
        </w:rPr>
      </w:pPr>
    </w:p>
    <w:p w:rsidR="00555874" w:rsidRPr="0044692A" w:rsidP="00555874" w14:paraId="6037B730" w14:textId="77777777">
      <w:pPr>
        <w:rPr>
          <w:del w:id="11968" w:author="AbbVie14" w:date="2025-05-09T10:35:00Z"/>
          <w:sz w:val="22"/>
          <w:szCs w:val="22"/>
          <w:shd w:val="clear" w:color="auto" w:fill="FFFFFF"/>
        </w:rPr>
      </w:pPr>
      <w:del w:id="11969" w:author="AbbVie14" w:date="2025-05-09T10:35:00Z">
        <w:r w:rsidRPr="005E345C">
          <w:rPr>
            <w:rStyle w:val="normaltextrun"/>
            <w:sz w:val="22"/>
            <w:szCs w:val="22"/>
            <w:shd w:val="clear" w:color="auto" w:fill="FFFFFF"/>
          </w:rPr>
          <w:delText xml:space="preserve">Alla Settimana 52, nei pazienti che </w:delText>
        </w:r>
      </w:del>
      <w:del w:id="11970" w:author="AbbVie14" w:date="2025-05-09T10:35:00Z">
        <w:r>
          <w:rPr>
            <w:rStyle w:val="normaltextrun"/>
            <w:sz w:val="22"/>
            <w:szCs w:val="22"/>
            <w:shd w:val="clear" w:color="auto" w:fill="FFFFFF"/>
          </w:rPr>
          <w:delText>avevano</w:delText>
        </w:r>
      </w:del>
      <w:del w:id="11971" w:author="AbbVie14" w:date="2025-05-09T10:35:00Z">
        <w:r w:rsidRPr="005E345C">
          <w:rPr>
            <w:rStyle w:val="normaltextrun"/>
            <w:sz w:val="22"/>
            <w:szCs w:val="22"/>
            <w:shd w:val="clear" w:color="auto" w:fill="FFFFFF"/>
          </w:rPr>
          <w:delText xml:space="preserve"> ricevuto Humira alle dosi di mantenimento massima in doppio cieco di 40 mg </w:delText>
        </w:r>
      </w:del>
      <w:del w:id="11972" w:author="AbbVie14" w:date="2025-05-09T10:35:00Z">
        <w:r>
          <w:rPr>
            <w:rStyle w:val="spellingerror"/>
            <w:sz w:val="22"/>
            <w:szCs w:val="22"/>
            <w:shd w:val="clear" w:color="auto" w:fill="FFFFFF"/>
          </w:rPr>
          <w:delText>a settimane alterne</w:delText>
        </w:r>
      </w:del>
      <w:del w:id="11973" w:author="AbbVie14" w:date="2025-05-09T10:35:00Z">
        <w:r w:rsidRPr="005E345C">
          <w:rPr>
            <w:rStyle w:val="normaltextrun"/>
            <w:sz w:val="22"/>
            <w:szCs w:val="22"/>
            <w:shd w:val="clear" w:color="auto" w:fill="FFFFFF"/>
          </w:rPr>
          <w:delText xml:space="preserve"> (0,6 mg/kg) e massima di 40 mg </w:delText>
        </w:r>
      </w:del>
      <w:del w:id="11974" w:author="AbbVie14" w:date="2025-05-09T10:35:00Z">
        <w:r>
          <w:rPr>
            <w:rStyle w:val="spellingerror"/>
            <w:sz w:val="22"/>
            <w:szCs w:val="22"/>
            <w:shd w:val="clear" w:color="auto" w:fill="FFFFFF"/>
          </w:rPr>
          <w:delText>a settimana</w:delText>
        </w:r>
      </w:del>
      <w:del w:id="11975" w:author="AbbVie14" w:date="2025-05-09T10:35:00Z">
        <w:r w:rsidRPr="005E345C">
          <w:rPr>
            <w:rStyle w:val="normaltextrun"/>
            <w:sz w:val="22"/>
            <w:szCs w:val="22"/>
            <w:shd w:val="clear" w:color="auto" w:fill="FFFFFF"/>
          </w:rPr>
          <w:delText xml:space="preserve"> (0,6 mg/kg)</w:delText>
        </w:r>
      </w:del>
      <w:del w:id="11976" w:author="AbbVie14" w:date="2025-05-09T10:35:00Z">
        <w:r>
          <w:rPr>
            <w:rStyle w:val="normaltextrun"/>
            <w:sz w:val="22"/>
            <w:szCs w:val="22"/>
            <w:shd w:val="clear" w:color="auto" w:fill="FFFFFF"/>
          </w:rPr>
          <w:delText xml:space="preserve">, sono state valutate </w:delText>
        </w:r>
      </w:del>
      <w:del w:id="11977" w:author="AbbVie14" w:date="2025-05-09T10:35:00Z">
        <w:r w:rsidRPr="005E345C">
          <w:rPr>
            <w:rStyle w:val="normaltextrun"/>
            <w:sz w:val="22"/>
            <w:szCs w:val="22"/>
            <w:shd w:val="clear" w:color="auto" w:fill="FFFFFF"/>
          </w:rPr>
          <w:delText>la remissione clinica come indicato dal FMS nei responder alla Settimana 8, la risposta clinica come indicato dal FMS (definita come una diminuzione del Mayo Score ≥ 3 punti e ≥ 30% dal basale) nei responder alla Settimana 8, la guarigione dell</w:delText>
        </w:r>
      </w:del>
      <w:del w:id="11978" w:author="AbbVie14" w:date="2025-05-09T10:35:00Z">
        <w:r>
          <w:rPr>
            <w:rStyle w:val="normaltextrun"/>
            <w:sz w:val="22"/>
            <w:szCs w:val="22"/>
            <w:shd w:val="clear" w:color="auto" w:fill="FFFFFF"/>
          </w:rPr>
          <w:delText>a</w:delText>
        </w:r>
      </w:del>
      <w:del w:id="11979" w:author="AbbVie14" w:date="2025-05-09T10:35:00Z">
        <w:r w:rsidRPr="005E345C">
          <w:rPr>
            <w:rStyle w:val="normaltextrun"/>
            <w:sz w:val="22"/>
            <w:szCs w:val="22"/>
            <w:shd w:val="clear" w:color="auto" w:fill="FFFFFF"/>
          </w:rPr>
          <w:delText xml:space="preserve"> mucos</w:delText>
        </w:r>
      </w:del>
      <w:del w:id="11980" w:author="AbbVie14" w:date="2025-05-09T10:35:00Z">
        <w:r>
          <w:rPr>
            <w:rStyle w:val="normaltextrun"/>
            <w:sz w:val="22"/>
            <w:szCs w:val="22"/>
            <w:shd w:val="clear" w:color="auto" w:fill="FFFFFF"/>
          </w:rPr>
          <w:delText>a</w:delText>
        </w:r>
      </w:del>
      <w:del w:id="11981" w:author="AbbVie14" w:date="2025-05-09T10:35:00Z">
        <w:r w:rsidRPr="005E345C">
          <w:rPr>
            <w:rStyle w:val="normaltextrun"/>
            <w:sz w:val="22"/>
            <w:szCs w:val="22"/>
            <w:shd w:val="clear" w:color="auto" w:fill="FFFFFF"/>
          </w:rPr>
          <w:delText xml:space="preserve"> (definita come Mayo </w:delText>
        </w:r>
      </w:del>
      <w:del w:id="11982" w:author="AbbVie14" w:date="2025-05-09T10:35:00Z">
        <w:r w:rsidR="003649B7">
          <w:rPr>
            <w:rStyle w:val="normaltextrun"/>
            <w:sz w:val="22"/>
            <w:szCs w:val="22"/>
            <w:shd w:val="clear" w:color="auto" w:fill="FFFFFF"/>
          </w:rPr>
          <w:delText>subs</w:delText>
        </w:r>
      </w:del>
      <w:del w:id="11983" w:author="AbbVie14" w:date="2025-05-09T10:35:00Z">
        <w:r w:rsidRPr="005E345C">
          <w:rPr>
            <w:rStyle w:val="normaltextrun"/>
            <w:sz w:val="22"/>
            <w:szCs w:val="22"/>
            <w:shd w:val="clear" w:color="auto" w:fill="FFFFFF"/>
          </w:rPr>
          <w:delText>core per endoscopia ≤ 1) nei responder alla Settimana 8, la remissione clinica come indicato dal FMS nei soggetti in remissione alla Settimana 8 e la proporzione di soggetti in remissione senza corticosteroidi come indicato dal FMS nei responder alla Settimana 8</w:delText>
        </w:r>
      </w:del>
      <w:del w:id="11984" w:author="AbbVie14" w:date="2025-05-09T10:35:00Z">
        <w:r>
          <w:rPr>
            <w:rStyle w:val="normaltextrun"/>
            <w:sz w:val="22"/>
            <w:szCs w:val="22"/>
            <w:shd w:val="clear" w:color="auto" w:fill="FFFFFF"/>
          </w:rPr>
          <w:delText xml:space="preserve"> </w:delText>
        </w:r>
      </w:del>
      <w:del w:id="11985" w:author="AbbVie14" w:date="2025-05-09T10:35:00Z">
        <w:r w:rsidRPr="00612824">
          <w:rPr>
            <w:rStyle w:val="normaltextrun"/>
            <w:sz w:val="22"/>
            <w:szCs w:val="22"/>
            <w:shd w:val="clear" w:color="auto" w:fill="FFFFFF"/>
          </w:rPr>
          <w:delText>(Tabella 32).</w:delText>
        </w:r>
      </w:del>
      <w:del w:id="11986" w:author="AbbVie14" w:date="2025-05-09T10:35:00Z">
        <w:r w:rsidRPr="00612824">
          <w:rPr>
            <w:rStyle w:val="eop"/>
            <w:sz w:val="22"/>
            <w:szCs w:val="22"/>
            <w:shd w:val="clear" w:color="auto" w:fill="FFFFFF"/>
          </w:rPr>
          <w:delText> </w:delText>
        </w:r>
      </w:del>
    </w:p>
    <w:p w:rsidR="00555874" w:rsidRPr="00612824" w:rsidP="00555874" w14:paraId="547B9CD4" w14:textId="77777777">
      <w:pPr>
        <w:rPr>
          <w:del w:id="11987" w:author="AbbVie14" w:date="2025-05-09T10:35:00Z"/>
          <w:sz w:val="22"/>
          <w:szCs w:val="22"/>
        </w:rPr>
      </w:pPr>
    </w:p>
    <w:p w:rsidR="00555874" w:rsidRPr="00612824" w:rsidP="00A60A0D" w14:paraId="253C5C8A" w14:textId="77777777">
      <w:pPr>
        <w:keepNext/>
        <w:jc w:val="center"/>
        <w:textAlignment w:val="baseline"/>
        <w:rPr>
          <w:del w:id="11988" w:author="AbbVie14" w:date="2025-05-09T10:35:00Z"/>
          <w:b/>
          <w:sz w:val="22"/>
          <w:szCs w:val="22"/>
        </w:rPr>
      </w:pPr>
      <w:del w:id="11989" w:author="AbbVie14" w:date="2025-05-09T10:35:00Z">
        <w:r w:rsidRPr="00612824">
          <w:rPr>
            <w:b/>
            <w:sz w:val="22"/>
            <w:szCs w:val="22"/>
          </w:rPr>
          <w:delText xml:space="preserve">Tabella 32: Risultati di </w:delText>
        </w:r>
      </w:del>
      <w:del w:id="11990" w:author="AbbVie14" w:date="2025-05-09T10:35:00Z">
        <w:r w:rsidR="00335210">
          <w:rPr>
            <w:b/>
            <w:sz w:val="22"/>
            <w:szCs w:val="22"/>
          </w:rPr>
          <w:delText>E</w:delText>
        </w:r>
      </w:del>
      <w:del w:id="11991" w:author="AbbVie14" w:date="2025-05-09T10:35:00Z">
        <w:r w:rsidRPr="00612824">
          <w:rPr>
            <w:b/>
            <w:sz w:val="22"/>
            <w:szCs w:val="22"/>
          </w:rPr>
          <w:delText xml:space="preserve">fficacia a 52 </w:delText>
        </w:r>
      </w:del>
      <w:del w:id="11992" w:author="AbbVie14" w:date="2025-05-09T10:35:00Z">
        <w:r w:rsidR="00335210">
          <w:rPr>
            <w:b/>
            <w:sz w:val="22"/>
            <w:szCs w:val="22"/>
          </w:rPr>
          <w:delText>S</w:delText>
        </w:r>
      </w:del>
      <w:del w:id="11993" w:author="AbbVie14" w:date="2025-05-09T10:35:00Z">
        <w:r w:rsidRPr="00612824">
          <w:rPr>
            <w:b/>
            <w:sz w:val="22"/>
            <w:szCs w:val="22"/>
          </w:rPr>
          <w:delText>ettimane </w:delText>
        </w:r>
      </w:del>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409"/>
        <w:gridCol w:w="2633"/>
      </w:tblGrid>
      <w:tr w14:paraId="38E57871" w14:textId="77777777" w:rsidTr="0062664F">
        <w:tblPrEx>
          <w:tblW w:w="7568" w:type="dxa"/>
          <w:tblLook w:val="04A0"/>
        </w:tblPrEx>
        <w:trPr>
          <w:trHeight w:val="912"/>
          <w:del w:id="11994" w:author="AbbVie14" w:date="2025-05-09T10:35:00Z"/>
        </w:trPr>
        <w:tc>
          <w:tcPr>
            <w:tcW w:w="2526" w:type="dxa"/>
            <w:tcBorders>
              <w:top w:val="single" w:sz="6" w:space="0" w:color="auto"/>
              <w:left w:val="single" w:sz="6" w:space="0" w:color="auto"/>
              <w:bottom w:val="single" w:sz="6" w:space="0" w:color="auto"/>
              <w:right w:val="single" w:sz="6" w:space="0" w:color="auto"/>
            </w:tcBorders>
            <w:hideMark/>
          </w:tcPr>
          <w:p w:rsidR="00555874" w:rsidRPr="00612824" w:rsidP="00A60A0D" w14:paraId="17B6E6B6" w14:textId="77777777">
            <w:pPr>
              <w:keepNext/>
              <w:textAlignment w:val="baseline"/>
              <w:rPr>
                <w:del w:id="11995" w:author="AbbVie14" w:date="2025-05-09T10:35:00Z"/>
                <w:sz w:val="22"/>
                <w:szCs w:val="22"/>
              </w:rPr>
            </w:pPr>
            <w:bookmarkStart w:id="11996" w:name="_Hlk51693203"/>
          </w:p>
        </w:tc>
        <w:tc>
          <w:tcPr>
            <w:tcW w:w="2409" w:type="dxa"/>
            <w:tcBorders>
              <w:top w:val="single" w:sz="6" w:space="0" w:color="auto"/>
              <w:left w:val="nil"/>
              <w:bottom w:val="single" w:sz="6" w:space="0" w:color="auto"/>
              <w:right w:val="single" w:sz="6" w:space="0" w:color="auto"/>
            </w:tcBorders>
            <w:vAlign w:val="center"/>
            <w:hideMark/>
          </w:tcPr>
          <w:p w:rsidR="00555874" w:rsidRPr="00612824" w:rsidP="00A60A0D" w14:paraId="5EBDA005" w14:textId="77777777">
            <w:pPr>
              <w:keepNext/>
              <w:jc w:val="center"/>
              <w:textAlignment w:val="baseline"/>
              <w:rPr>
                <w:del w:id="11997" w:author="AbbVie14" w:date="2025-05-09T10:35:00Z"/>
                <w:sz w:val="22"/>
                <w:szCs w:val="22"/>
              </w:rPr>
            </w:pPr>
            <w:del w:id="11998" w:author="AbbVie14" w:date="2025-05-09T10:35:00Z">
              <w:r w:rsidRPr="00612824">
                <w:rPr>
                  <w:b/>
                  <w:sz w:val="22"/>
                  <w:szCs w:val="22"/>
                </w:rPr>
                <w:delText>Humira</w:delText>
              </w:r>
            </w:del>
            <w:del w:id="11999" w:author="AbbVie14" w:date="2025-05-09T10:35:00Z">
              <w:r w:rsidRPr="00612824">
                <w:rPr>
                  <w:b/>
                  <w:sz w:val="22"/>
                  <w:szCs w:val="22"/>
                  <w:vertAlign w:val="superscript"/>
                </w:rPr>
                <w:delText>a</w:delText>
              </w:r>
            </w:del>
            <w:del w:id="12000" w:author="AbbVie14" w:date="2025-05-09T10:35:00Z">
              <w:r w:rsidRPr="00612824">
                <w:rPr>
                  <w:b/>
                  <w:sz w:val="22"/>
                  <w:szCs w:val="22"/>
                </w:rPr>
                <w:delText> </w:delText>
              </w:r>
            </w:del>
            <w:del w:id="12001" w:author="AbbVie14" w:date="2025-05-09T10:35:00Z">
              <w:r w:rsidRPr="00612824">
                <w:rPr>
                  <w:sz w:val="22"/>
                  <w:szCs w:val="22"/>
                </w:rPr>
                <w:delText> </w:delText>
              </w:r>
            </w:del>
          </w:p>
          <w:p w:rsidR="00555874" w:rsidRPr="00612824" w:rsidP="00A60A0D" w14:paraId="2BB0B9BB" w14:textId="77777777">
            <w:pPr>
              <w:keepNext/>
              <w:jc w:val="center"/>
              <w:textAlignment w:val="baseline"/>
              <w:rPr>
                <w:del w:id="12002" w:author="AbbVie14" w:date="2025-05-09T10:35:00Z"/>
                <w:sz w:val="22"/>
                <w:szCs w:val="22"/>
              </w:rPr>
            </w:pPr>
            <w:del w:id="12003" w:author="AbbVie14" w:date="2025-05-09T10:35:00Z">
              <w:r w:rsidRPr="00612824">
                <w:rPr>
                  <w:b/>
                  <w:sz w:val="22"/>
                  <w:szCs w:val="22"/>
                </w:rPr>
                <w:delText xml:space="preserve">Massimo 40 mg </w:delText>
              </w:r>
            </w:del>
            <w:del w:id="12004" w:author="AbbVie14" w:date="2025-05-09T10:35:00Z">
              <w:r w:rsidR="00335210">
                <w:rPr>
                  <w:b/>
                  <w:sz w:val="22"/>
                  <w:szCs w:val="22"/>
                </w:rPr>
                <w:delText>a set</w:delText>
              </w:r>
            </w:del>
            <w:del w:id="12005" w:author="AbbVie14" w:date="2025-05-09T10:35:00Z">
              <w:r w:rsidR="0044692A">
                <w:rPr>
                  <w:b/>
                  <w:sz w:val="22"/>
                  <w:szCs w:val="22"/>
                </w:rPr>
                <w:delText>t</w:delText>
              </w:r>
            </w:del>
            <w:del w:id="12006" w:author="AbbVie14" w:date="2025-05-09T10:35:00Z">
              <w:r w:rsidR="00335210">
                <w:rPr>
                  <w:b/>
                  <w:sz w:val="22"/>
                  <w:szCs w:val="22"/>
                </w:rPr>
                <w:delText>imane alterne</w:delText>
              </w:r>
            </w:del>
            <w:del w:id="12007" w:author="AbbVie14" w:date="2025-05-09T10:35:00Z">
              <w:r w:rsidRPr="00612824">
                <w:rPr>
                  <w:sz w:val="22"/>
                  <w:szCs w:val="22"/>
                </w:rPr>
                <w:delText> </w:delText>
              </w:r>
            </w:del>
          </w:p>
          <w:p w:rsidR="00555874" w:rsidRPr="00612824" w:rsidP="00A60A0D" w14:paraId="35D21393" w14:textId="77777777">
            <w:pPr>
              <w:keepNext/>
              <w:jc w:val="center"/>
              <w:textAlignment w:val="baseline"/>
              <w:rPr>
                <w:del w:id="12008" w:author="AbbVie14" w:date="2025-05-09T10:35:00Z"/>
                <w:sz w:val="22"/>
                <w:szCs w:val="22"/>
              </w:rPr>
            </w:pPr>
            <w:del w:id="12009" w:author="AbbVie14" w:date="2025-05-09T10:35:00Z">
              <w:r w:rsidRPr="00612824">
                <w:rPr>
                  <w:sz w:val="22"/>
                  <w:szCs w:val="22"/>
                </w:rPr>
                <w:delText>N=31</w:delText>
              </w:r>
            </w:del>
          </w:p>
        </w:tc>
        <w:tc>
          <w:tcPr>
            <w:tcW w:w="2633" w:type="dxa"/>
            <w:tcBorders>
              <w:top w:val="single" w:sz="6" w:space="0" w:color="auto"/>
              <w:left w:val="nil"/>
              <w:bottom w:val="single" w:sz="6" w:space="0" w:color="auto"/>
              <w:right w:val="single" w:sz="6" w:space="0" w:color="auto"/>
            </w:tcBorders>
            <w:vAlign w:val="center"/>
            <w:hideMark/>
          </w:tcPr>
          <w:p w:rsidR="00555874" w:rsidRPr="00612824" w:rsidP="00A60A0D" w14:paraId="5745C3AB" w14:textId="77777777">
            <w:pPr>
              <w:keepNext/>
              <w:jc w:val="center"/>
              <w:textAlignment w:val="baseline"/>
              <w:rPr>
                <w:del w:id="12010" w:author="AbbVie14" w:date="2025-05-09T10:35:00Z"/>
                <w:sz w:val="22"/>
                <w:szCs w:val="22"/>
              </w:rPr>
            </w:pPr>
            <w:del w:id="12011" w:author="AbbVie14" w:date="2025-05-09T10:35:00Z">
              <w:r w:rsidRPr="00612824">
                <w:rPr>
                  <w:b/>
                  <w:sz w:val="22"/>
                  <w:szCs w:val="22"/>
                </w:rPr>
                <w:delText>Humira</w:delText>
              </w:r>
            </w:del>
            <w:del w:id="12012" w:author="AbbVie14" w:date="2025-05-09T10:35:00Z">
              <w:r w:rsidRPr="00612824">
                <w:rPr>
                  <w:b/>
                  <w:sz w:val="22"/>
                  <w:szCs w:val="22"/>
                  <w:vertAlign w:val="superscript"/>
                </w:rPr>
                <w:delText>b</w:delText>
              </w:r>
            </w:del>
            <w:del w:id="12013" w:author="AbbVie14" w:date="2025-05-09T10:35:00Z">
              <w:r w:rsidRPr="00612824">
                <w:rPr>
                  <w:b/>
                  <w:sz w:val="22"/>
                  <w:szCs w:val="22"/>
                </w:rPr>
                <w:delText> </w:delText>
              </w:r>
            </w:del>
            <w:del w:id="12014" w:author="AbbVie14" w:date="2025-05-09T10:35:00Z">
              <w:r w:rsidRPr="00612824">
                <w:rPr>
                  <w:sz w:val="22"/>
                  <w:szCs w:val="22"/>
                </w:rPr>
                <w:delText> </w:delText>
              </w:r>
            </w:del>
          </w:p>
          <w:p w:rsidR="00555874" w:rsidRPr="00612824" w:rsidP="00A60A0D" w14:paraId="2A706C16" w14:textId="77777777">
            <w:pPr>
              <w:keepNext/>
              <w:jc w:val="center"/>
              <w:textAlignment w:val="baseline"/>
              <w:rPr>
                <w:del w:id="12015" w:author="AbbVie14" w:date="2025-05-09T10:35:00Z"/>
                <w:sz w:val="22"/>
                <w:szCs w:val="22"/>
              </w:rPr>
            </w:pPr>
            <w:del w:id="12016" w:author="AbbVie14" w:date="2025-05-09T10:35:00Z">
              <w:r w:rsidRPr="00612824">
                <w:rPr>
                  <w:b/>
                  <w:sz w:val="22"/>
                  <w:szCs w:val="22"/>
                </w:rPr>
                <w:delText>Massimo 40 mg </w:delText>
              </w:r>
            </w:del>
            <w:del w:id="12017" w:author="AbbVie14" w:date="2025-05-09T10:35:00Z">
              <w:r w:rsidR="00335210">
                <w:rPr>
                  <w:b/>
                  <w:sz w:val="22"/>
                  <w:szCs w:val="22"/>
                </w:rPr>
                <w:delText>a settimana</w:delText>
              </w:r>
            </w:del>
            <w:del w:id="12018" w:author="AbbVie14" w:date="2025-05-09T10:35:00Z">
              <w:r w:rsidRPr="00612824">
                <w:rPr>
                  <w:sz w:val="22"/>
                  <w:szCs w:val="22"/>
                </w:rPr>
                <w:delText> </w:delText>
              </w:r>
            </w:del>
          </w:p>
          <w:p w:rsidR="00555874" w:rsidRPr="00612824" w:rsidP="00A60A0D" w14:paraId="35EF5039" w14:textId="77777777">
            <w:pPr>
              <w:keepNext/>
              <w:jc w:val="center"/>
              <w:textAlignment w:val="baseline"/>
              <w:rPr>
                <w:del w:id="12019" w:author="AbbVie14" w:date="2025-05-09T10:35:00Z"/>
                <w:sz w:val="22"/>
                <w:szCs w:val="22"/>
              </w:rPr>
            </w:pPr>
            <w:del w:id="12020" w:author="AbbVie14" w:date="2025-05-09T10:35:00Z">
              <w:r w:rsidRPr="00612824">
                <w:rPr>
                  <w:sz w:val="22"/>
                  <w:szCs w:val="22"/>
                </w:rPr>
                <w:delText>N=31</w:delText>
              </w:r>
            </w:del>
          </w:p>
        </w:tc>
      </w:tr>
      <w:tr w14:paraId="35B8882F" w14:textId="77777777" w:rsidTr="0062664F">
        <w:tblPrEx>
          <w:tblW w:w="7568" w:type="dxa"/>
          <w:tblLook w:val="04A0"/>
        </w:tblPrEx>
        <w:trPr>
          <w:trHeight w:val="570"/>
          <w:del w:id="12021" w:author="AbbVie14" w:date="2025-05-09T10:35:00Z"/>
        </w:trPr>
        <w:tc>
          <w:tcPr>
            <w:tcW w:w="2526" w:type="dxa"/>
            <w:tcBorders>
              <w:top w:val="nil"/>
              <w:left w:val="single" w:sz="6" w:space="0" w:color="auto"/>
              <w:bottom w:val="single" w:sz="6" w:space="0" w:color="auto"/>
              <w:right w:val="single" w:sz="6" w:space="0" w:color="auto"/>
            </w:tcBorders>
            <w:vAlign w:val="center"/>
            <w:hideMark/>
          </w:tcPr>
          <w:p w:rsidR="00555874" w:rsidRPr="00612824" w:rsidP="0062664F" w14:paraId="564A69CE" w14:textId="77777777">
            <w:pPr>
              <w:textAlignment w:val="baseline"/>
              <w:rPr>
                <w:del w:id="12022" w:author="AbbVie14" w:date="2025-05-09T10:35:00Z"/>
                <w:sz w:val="22"/>
                <w:szCs w:val="22"/>
              </w:rPr>
            </w:pPr>
            <w:del w:id="12023" w:author="AbbVie14" w:date="2025-05-09T10:35:00Z">
              <w:r w:rsidRPr="00612824">
                <w:rPr>
                  <w:sz w:val="22"/>
                  <w:szCs w:val="22"/>
                </w:rPr>
                <w:delText>Remissione clinica nei responder PMS alla Settimana 8 </w:delText>
              </w:r>
            </w:del>
          </w:p>
        </w:tc>
        <w:tc>
          <w:tcPr>
            <w:tcW w:w="2409" w:type="dxa"/>
            <w:tcBorders>
              <w:top w:val="nil"/>
              <w:left w:val="nil"/>
              <w:bottom w:val="single" w:sz="6" w:space="0" w:color="auto"/>
              <w:right w:val="single" w:sz="6" w:space="0" w:color="auto"/>
            </w:tcBorders>
            <w:vAlign w:val="center"/>
            <w:hideMark/>
          </w:tcPr>
          <w:p w:rsidR="00555874" w:rsidRPr="00612824" w:rsidP="0062664F" w14:paraId="7FC9ED1B" w14:textId="77777777">
            <w:pPr>
              <w:jc w:val="center"/>
              <w:textAlignment w:val="baseline"/>
              <w:rPr>
                <w:del w:id="12024" w:author="AbbVie14" w:date="2025-05-09T10:35:00Z"/>
                <w:sz w:val="22"/>
                <w:szCs w:val="22"/>
              </w:rPr>
            </w:pPr>
            <w:del w:id="12025" w:author="AbbVie14" w:date="2025-05-09T10:35:00Z">
              <w:r w:rsidRPr="00612824">
                <w:rPr>
                  <w:sz w:val="22"/>
                  <w:szCs w:val="22"/>
                </w:rPr>
                <w:delText>9/31 (29,0%) </w:delText>
              </w:r>
            </w:del>
          </w:p>
        </w:tc>
        <w:tc>
          <w:tcPr>
            <w:tcW w:w="2633" w:type="dxa"/>
            <w:tcBorders>
              <w:top w:val="nil"/>
              <w:left w:val="nil"/>
              <w:bottom w:val="single" w:sz="6" w:space="0" w:color="auto"/>
              <w:right w:val="single" w:sz="6" w:space="0" w:color="auto"/>
            </w:tcBorders>
            <w:vAlign w:val="center"/>
            <w:hideMark/>
          </w:tcPr>
          <w:p w:rsidR="00555874" w:rsidRPr="00612824" w:rsidP="0062664F" w14:paraId="009A2CE2" w14:textId="77777777">
            <w:pPr>
              <w:jc w:val="center"/>
              <w:textAlignment w:val="baseline"/>
              <w:rPr>
                <w:del w:id="12026" w:author="AbbVie14" w:date="2025-05-09T10:35:00Z"/>
                <w:sz w:val="22"/>
                <w:szCs w:val="22"/>
              </w:rPr>
            </w:pPr>
            <w:del w:id="12027" w:author="AbbVie14" w:date="2025-05-09T10:35:00Z">
              <w:r w:rsidRPr="00612824">
                <w:rPr>
                  <w:sz w:val="22"/>
                  <w:szCs w:val="22"/>
                </w:rPr>
                <w:delText>14/31 (45,2%)</w:delText>
              </w:r>
            </w:del>
          </w:p>
        </w:tc>
      </w:tr>
      <w:tr w14:paraId="244F3E3C" w14:textId="77777777" w:rsidTr="0062664F">
        <w:tblPrEx>
          <w:tblW w:w="7568" w:type="dxa"/>
          <w:tblLook w:val="04A0"/>
        </w:tblPrEx>
        <w:trPr>
          <w:trHeight w:val="555"/>
          <w:del w:id="12028" w:author="AbbVie14" w:date="2025-05-09T10:35:00Z"/>
        </w:trPr>
        <w:tc>
          <w:tcPr>
            <w:tcW w:w="2526" w:type="dxa"/>
            <w:tcBorders>
              <w:top w:val="nil"/>
              <w:left w:val="single" w:sz="6" w:space="0" w:color="auto"/>
              <w:bottom w:val="single" w:sz="6" w:space="0" w:color="auto"/>
              <w:right w:val="single" w:sz="6" w:space="0" w:color="auto"/>
            </w:tcBorders>
            <w:vAlign w:val="center"/>
            <w:hideMark/>
          </w:tcPr>
          <w:p w:rsidR="00555874" w:rsidRPr="00612824" w:rsidP="0062664F" w14:paraId="034D41C1" w14:textId="77777777">
            <w:pPr>
              <w:textAlignment w:val="baseline"/>
              <w:rPr>
                <w:del w:id="12029" w:author="AbbVie14" w:date="2025-05-09T10:35:00Z"/>
                <w:sz w:val="22"/>
                <w:szCs w:val="22"/>
              </w:rPr>
            </w:pPr>
            <w:del w:id="12030" w:author="AbbVie14" w:date="2025-05-09T10:35:00Z">
              <w:r w:rsidRPr="00612824">
                <w:rPr>
                  <w:sz w:val="22"/>
                  <w:szCs w:val="22"/>
                </w:rPr>
                <w:delText>Risposta clinica nei responder PMS alla Settimana 8 </w:delText>
              </w:r>
            </w:del>
          </w:p>
        </w:tc>
        <w:tc>
          <w:tcPr>
            <w:tcW w:w="2409" w:type="dxa"/>
            <w:tcBorders>
              <w:top w:val="nil"/>
              <w:left w:val="nil"/>
              <w:bottom w:val="single" w:sz="6" w:space="0" w:color="auto"/>
              <w:right w:val="single" w:sz="6" w:space="0" w:color="auto"/>
            </w:tcBorders>
            <w:vAlign w:val="center"/>
            <w:hideMark/>
          </w:tcPr>
          <w:p w:rsidR="00555874" w:rsidRPr="00612824" w:rsidP="0062664F" w14:paraId="45E03D6A" w14:textId="77777777">
            <w:pPr>
              <w:jc w:val="center"/>
              <w:textAlignment w:val="baseline"/>
              <w:rPr>
                <w:del w:id="12031" w:author="AbbVie14" w:date="2025-05-09T10:35:00Z"/>
                <w:sz w:val="22"/>
                <w:szCs w:val="22"/>
              </w:rPr>
            </w:pPr>
            <w:del w:id="12032" w:author="AbbVie14" w:date="2025-05-09T10:35:00Z">
              <w:r w:rsidRPr="00612824">
                <w:rPr>
                  <w:sz w:val="22"/>
                  <w:szCs w:val="22"/>
                </w:rPr>
                <w:delText>19/31 (61,3%) </w:delText>
              </w:r>
            </w:del>
          </w:p>
        </w:tc>
        <w:tc>
          <w:tcPr>
            <w:tcW w:w="2633" w:type="dxa"/>
            <w:tcBorders>
              <w:top w:val="nil"/>
              <w:left w:val="nil"/>
              <w:bottom w:val="single" w:sz="6" w:space="0" w:color="auto"/>
              <w:right w:val="single" w:sz="6" w:space="0" w:color="auto"/>
            </w:tcBorders>
            <w:vAlign w:val="center"/>
            <w:hideMark/>
          </w:tcPr>
          <w:p w:rsidR="00555874" w:rsidRPr="00612824" w:rsidP="0062664F" w14:paraId="46A0DD1B" w14:textId="77777777">
            <w:pPr>
              <w:jc w:val="center"/>
              <w:textAlignment w:val="baseline"/>
              <w:rPr>
                <w:del w:id="12033" w:author="AbbVie14" w:date="2025-05-09T10:35:00Z"/>
                <w:sz w:val="22"/>
                <w:szCs w:val="22"/>
              </w:rPr>
            </w:pPr>
            <w:del w:id="12034" w:author="AbbVie14" w:date="2025-05-09T10:35:00Z">
              <w:r w:rsidRPr="00612824">
                <w:rPr>
                  <w:sz w:val="22"/>
                  <w:szCs w:val="22"/>
                </w:rPr>
                <w:delText>21/31 (67,7%) </w:delText>
              </w:r>
            </w:del>
          </w:p>
        </w:tc>
      </w:tr>
      <w:tr w14:paraId="3B2D2AF9" w14:textId="77777777" w:rsidTr="0062664F">
        <w:tblPrEx>
          <w:tblW w:w="7568" w:type="dxa"/>
          <w:tblLook w:val="04A0"/>
        </w:tblPrEx>
        <w:trPr>
          <w:del w:id="12035" w:author="AbbVie14" w:date="2025-05-09T10:35:00Z"/>
        </w:trPr>
        <w:tc>
          <w:tcPr>
            <w:tcW w:w="2526" w:type="dxa"/>
            <w:tcBorders>
              <w:top w:val="nil"/>
              <w:left w:val="single" w:sz="6" w:space="0" w:color="auto"/>
              <w:bottom w:val="single" w:sz="6" w:space="0" w:color="auto"/>
              <w:right w:val="single" w:sz="6" w:space="0" w:color="auto"/>
            </w:tcBorders>
            <w:vAlign w:val="center"/>
            <w:hideMark/>
          </w:tcPr>
          <w:p w:rsidR="00555874" w:rsidRPr="00612824" w:rsidP="0062664F" w14:paraId="0F134D14" w14:textId="77777777">
            <w:pPr>
              <w:textAlignment w:val="baseline"/>
              <w:rPr>
                <w:del w:id="12036" w:author="AbbVie14" w:date="2025-05-09T10:35:00Z"/>
                <w:sz w:val="22"/>
                <w:szCs w:val="22"/>
              </w:rPr>
            </w:pPr>
            <w:del w:id="12037" w:author="AbbVie14" w:date="2025-05-09T10:35:00Z">
              <w:r w:rsidRPr="00612824">
                <w:rPr>
                  <w:sz w:val="22"/>
                  <w:szCs w:val="22"/>
                </w:rPr>
                <w:delText>Guarigione dell</w:delText>
              </w:r>
            </w:del>
            <w:del w:id="12038" w:author="AbbVie14" w:date="2025-05-09T10:35:00Z">
              <w:r w:rsidR="0044692A">
                <w:rPr>
                  <w:sz w:val="22"/>
                  <w:szCs w:val="22"/>
                </w:rPr>
                <w:delText>a</w:delText>
              </w:r>
            </w:del>
            <w:del w:id="12039" w:author="AbbVie14" w:date="2025-05-09T10:35:00Z">
              <w:r w:rsidRPr="00612824">
                <w:rPr>
                  <w:sz w:val="22"/>
                  <w:szCs w:val="22"/>
                </w:rPr>
                <w:delText xml:space="preserve"> mucos</w:delText>
              </w:r>
            </w:del>
            <w:del w:id="12040" w:author="AbbVie14" w:date="2025-05-09T10:35:00Z">
              <w:r w:rsidR="0044692A">
                <w:rPr>
                  <w:sz w:val="22"/>
                  <w:szCs w:val="22"/>
                </w:rPr>
                <w:delText>a</w:delText>
              </w:r>
            </w:del>
            <w:del w:id="12041" w:author="AbbVie14" w:date="2025-05-09T10:35:00Z">
              <w:r w:rsidRPr="00612824">
                <w:rPr>
                  <w:sz w:val="22"/>
                  <w:szCs w:val="22"/>
                </w:rPr>
                <w:delText xml:space="preserve"> nei responder PMS alla Settimana 8 </w:delText>
              </w:r>
            </w:del>
          </w:p>
        </w:tc>
        <w:tc>
          <w:tcPr>
            <w:tcW w:w="2409" w:type="dxa"/>
            <w:tcBorders>
              <w:top w:val="nil"/>
              <w:left w:val="nil"/>
              <w:bottom w:val="single" w:sz="6" w:space="0" w:color="auto"/>
              <w:right w:val="single" w:sz="6" w:space="0" w:color="auto"/>
            </w:tcBorders>
            <w:vAlign w:val="center"/>
            <w:hideMark/>
          </w:tcPr>
          <w:p w:rsidR="00555874" w:rsidRPr="00612824" w:rsidP="0062664F" w14:paraId="7280C477" w14:textId="77777777">
            <w:pPr>
              <w:jc w:val="center"/>
              <w:textAlignment w:val="baseline"/>
              <w:rPr>
                <w:del w:id="12042" w:author="AbbVie14" w:date="2025-05-09T10:35:00Z"/>
                <w:sz w:val="22"/>
                <w:szCs w:val="22"/>
              </w:rPr>
            </w:pPr>
            <w:del w:id="12043" w:author="AbbVie14" w:date="2025-05-09T10:35:00Z">
              <w:r w:rsidRPr="00612824">
                <w:rPr>
                  <w:sz w:val="22"/>
                  <w:szCs w:val="22"/>
                </w:rPr>
                <w:delText>12/31 (38,7%) </w:delText>
              </w:r>
            </w:del>
          </w:p>
        </w:tc>
        <w:tc>
          <w:tcPr>
            <w:tcW w:w="2633" w:type="dxa"/>
            <w:tcBorders>
              <w:top w:val="nil"/>
              <w:left w:val="nil"/>
              <w:bottom w:val="single" w:sz="6" w:space="0" w:color="auto"/>
              <w:right w:val="single" w:sz="6" w:space="0" w:color="auto"/>
            </w:tcBorders>
            <w:vAlign w:val="center"/>
            <w:hideMark/>
          </w:tcPr>
          <w:p w:rsidR="00555874" w:rsidRPr="00612824" w:rsidP="0062664F" w14:paraId="50FDFF04" w14:textId="77777777">
            <w:pPr>
              <w:jc w:val="center"/>
              <w:textAlignment w:val="baseline"/>
              <w:rPr>
                <w:del w:id="12044" w:author="AbbVie14" w:date="2025-05-09T10:35:00Z"/>
                <w:sz w:val="22"/>
                <w:szCs w:val="22"/>
              </w:rPr>
            </w:pPr>
            <w:del w:id="12045" w:author="AbbVie14" w:date="2025-05-09T10:35:00Z">
              <w:r w:rsidRPr="00612824">
                <w:rPr>
                  <w:sz w:val="22"/>
                  <w:szCs w:val="22"/>
                </w:rPr>
                <w:delText>16/31 (51,6%) </w:delText>
              </w:r>
            </w:del>
          </w:p>
        </w:tc>
      </w:tr>
      <w:tr w14:paraId="3063E0C6" w14:textId="77777777" w:rsidTr="0062664F">
        <w:tblPrEx>
          <w:tblW w:w="7568" w:type="dxa"/>
          <w:tblLook w:val="04A0"/>
        </w:tblPrEx>
        <w:trPr>
          <w:del w:id="12046" w:author="AbbVie14" w:date="2025-05-09T10:35:00Z"/>
        </w:trPr>
        <w:tc>
          <w:tcPr>
            <w:tcW w:w="2526" w:type="dxa"/>
            <w:tcBorders>
              <w:top w:val="nil"/>
              <w:left w:val="single" w:sz="6" w:space="0" w:color="auto"/>
              <w:bottom w:val="single" w:sz="6" w:space="0" w:color="auto"/>
              <w:right w:val="single" w:sz="6" w:space="0" w:color="auto"/>
            </w:tcBorders>
            <w:vAlign w:val="center"/>
            <w:hideMark/>
          </w:tcPr>
          <w:p w:rsidR="00555874" w:rsidRPr="00612824" w:rsidP="0062664F" w14:paraId="4ED66939" w14:textId="77777777">
            <w:pPr>
              <w:textAlignment w:val="baseline"/>
              <w:rPr>
                <w:del w:id="12047" w:author="AbbVie14" w:date="2025-05-09T10:35:00Z"/>
                <w:sz w:val="22"/>
                <w:szCs w:val="22"/>
              </w:rPr>
            </w:pPr>
            <w:del w:id="12048" w:author="AbbVie14" w:date="2025-05-09T10:35:00Z">
              <w:r w:rsidRPr="00612824">
                <w:rPr>
                  <w:sz w:val="22"/>
                  <w:szCs w:val="22"/>
                </w:rPr>
                <w:delText>Remissione clinica nei soggetti in remissione PMS alla Settimana 8 </w:delText>
              </w:r>
            </w:del>
          </w:p>
        </w:tc>
        <w:tc>
          <w:tcPr>
            <w:tcW w:w="2409" w:type="dxa"/>
            <w:tcBorders>
              <w:top w:val="nil"/>
              <w:left w:val="nil"/>
              <w:bottom w:val="single" w:sz="6" w:space="0" w:color="auto"/>
              <w:right w:val="single" w:sz="6" w:space="0" w:color="auto"/>
            </w:tcBorders>
            <w:vAlign w:val="center"/>
            <w:hideMark/>
          </w:tcPr>
          <w:p w:rsidR="00555874" w:rsidRPr="00612824" w:rsidP="0062664F" w14:paraId="128F9696" w14:textId="77777777">
            <w:pPr>
              <w:jc w:val="center"/>
              <w:textAlignment w:val="baseline"/>
              <w:rPr>
                <w:del w:id="12049" w:author="AbbVie14" w:date="2025-05-09T10:35:00Z"/>
                <w:sz w:val="22"/>
                <w:szCs w:val="22"/>
              </w:rPr>
            </w:pPr>
            <w:del w:id="12050" w:author="AbbVie14" w:date="2025-05-09T10:35:00Z">
              <w:r w:rsidRPr="00612824">
                <w:rPr>
                  <w:sz w:val="22"/>
                  <w:szCs w:val="22"/>
                </w:rPr>
                <w:delText>9/21 (42,9%) </w:delText>
              </w:r>
            </w:del>
          </w:p>
        </w:tc>
        <w:tc>
          <w:tcPr>
            <w:tcW w:w="2633" w:type="dxa"/>
            <w:tcBorders>
              <w:top w:val="nil"/>
              <w:left w:val="nil"/>
              <w:bottom w:val="single" w:sz="6" w:space="0" w:color="auto"/>
              <w:right w:val="single" w:sz="6" w:space="0" w:color="auto"/>
            </w:tcBorders>
            <w:vAlign w:val="center"/>
            <w:hideMark/>
          </w:tcPr>
          <w:p w:rsidR="00555874" w:rsidRPr="00612824" w:rsidP="0062664F" w14:paraId="2990BB08" w14:textId="77777777">
            <w:pPr>
              <w:jc w:val="center"/>
              <w:textAlignment w:val="baseline"/>
              <w:rPr>
                <w:del w:id="12051" w:author="AbbVie14" w:date="2025-05-09T10:35:00Z"/>
                <w:sz w:val="22"/>
                <w:szCs w:val="22"/>
              </w:rPr>
            </w:pPr>
            <w:del w:id="12052" w:author="AbbVie14" w:date="2025-05-09T10:35:00Z">
              <w:r w:rsidRPr="00612824">
                <w:rPr>
                  <w:sz w:val="22"/>
                  <w:szCs w:val="22"/>
                </w:rPr>
                <w:delText>10/22 (45,5%) </w:delText>
              </w:r>
            </w:del>
          </w:p>
        </w:tc>
      </w:tr>
      <w:tr w14:paraId="496FE8CC" w14:textId="77777777" w:rsidTr="0062664F">
        <w:tblPrEx>
          <w:tblW w:w="7568" w:type="dxa"/>
          <w:tblLook w:val="04A0"/>
        </w:tblPrEx>
        <w:trPr>
          <w:del w:id="12053" w:author="AbbVie14" w:date="2025-05-09T10:35:00Z"/>
        </w:trPr>
        <w:tc>
          <w:tcPr>
            <w:tcW w:w="2526" w:type="dxa"/>
            <w:tcBorders>
              <w:top w:val="nil"/>
              <w:left w:val="single" w:sz="6" w:space="0" w:color="auto"/>
              <w:bottom w:val="single" w:sz="6" w:space="0" w:color="auto"/>
              <w:right w:val="single" w:sz="6" w:space="0" w:color="auto"/>
            </w:tcBorders>
            <w:vAlign w:val="center"/>
            <w:hideMark/>
          </w:tcPr>
          <w:p w:rsidR="00555874" w:rsidRPr="00612824" w:rsidP="0062664F" w14:paraId="02B2CE9F" w14:textId="77777777">
            <w:pPr>
              <w:textAlignment w:val="baseline"/>
              <w:rPr>
                <w:del w:id="12054" w:author="AbbVie14" w:date="2025-05-09T10:35:00Z"/>
                <w:sz w:val="22"/>
                <w:szCs w:val="22"/>
              </w:rPr>
            </w:pPr>
            <w:del w:id="12055" w:author="AbbVie14" w:date="2025-05-09T10:35:00Z">
              <w:r w:rsidRPr="00612824">
                <w:rPr>
                  <w:sz w:val="22"/>
                  <w:szCs w:val="22"/>
                </w:rPr>
                <w:delText>Remissione senza corticosteroidi nei responder PMS alla Settimana 8</w:delText>
              </w:r>
            </w:del>
            <w:del w:id="12056" w:author="AbbVie14" w:date="2025-05-09T10:35:00Z">
              <w:r w:rsidRPr="00612824">
                <w:rPr>
                  <w:sz w:val="22"/>
                  <w:szCs w:val="22"/>
                  <w:vertAlign w:val="superscript"/>
                </w:rPr>
                <w:delText>c</w:delText>
              </w:r>
            </w:del>
            <w:del w:id="12057" w:author="AbbVie14" w:date="2025-05-09T10:35:00Z">
              <w:r w:rsidRPr="00612824">
                <w:rPr>
                  <w:sz w:val="22"/>
                  <w:szCs w:val="22"/>
                </w:rPr>
                <w:delText> </w:delText>
              </w:r>
            </w:del>
          </w:p>
        </w:tc>
        <w:tc>
          <w:tcPr>
            <w:tcW w:w="2409" w:type="dxa"/>
            <w:tcBorders>
              <w:top w:val="nil"/>
              <w:left w:val="nil"/>
              <w:bottom w:val="single" w:sz="6" w:space="0" w:color="auto"/>
              <w:right w:val="single" w:sz="6" w:space="0" w:color="auto"/>
            </w:tcBorders>
            <w:vAlign w:val="center"/>
            <w:hideMark/>
          </w:tcPr>
          <w:p w:rsidR="00555874" w:rsidRPr="00612824" w:rsidP="0062664F" w14:paraId="20AD5034" w14:textId="77777777">
            <w:pPr>
              <w:jc w:val="center"/>
              <w:textAlignment w:val="baseline"/>
              <w:rPr>
                <w:del w:id="12058" w:author="AbbVie14" w:date="2025-05-09T10:35:00Z"/>
                <w:sz w:val="22"/>
                <w:szCs w:val="22"/>
              </w:rPr>
            </w:pPr>
            <w:del w:id="12059" w:author="AbbVie14" w:date="2025-05-09T10:35:00Z">
              <w:r w:rsidRPr="00612824">
                <w:rPr>
                  <w:sz w:val="22"/>
                  <w:szCs w:val="22"/>
                </w:rPr>
                <w:delText>4/13 (30,8%) </w:delText>
              </w:r>
            </w:del>
          </w:p>
        </w:tc>
        <w:tc>
          <w:tcPr>
            <w:tcW w:w="2633" w:type="dxa"/>
            <w:tcBorders>
              <w:top w:val="nil"/>
              <w:left w:val="nil"/>
              <w:bottom w:val="single" w:sz="6" w:space="0" w:color="auto"/>
              <w:right w:val="single" w:sz="6" w:space="0" w:color="auto"/>
            </w:tcBorders>
            <w:vAlign w:val="center"/>
            <w:hideMark/>
          </w:tcPr>
          <w:p w:rsidR="00555874" w:rsidRPr="00612824" w:rsidP="0062664F" w14:paraId="33EA9557" w14:textId="77777777">
            <w:pPr>
              <w:jc w:val="center"/>
              <w:textAlignment w:val="baseline"/>
              <w:rPr>
                <w:del w:id="12060" w:author="AbbVie14" w:date="2025-05-09T10:35:00Z"/>
                <w:sz w:val="22"/>
                <w:szCs w:val="22"/>
              </w:rPr>
            </w:pPr>
            <w:del w:id="12061" w:author="AbbVie14" w:date="2025-05-09T10:35:00Z">
              <w:r w:rsidRPr="00612824">
                <w:rPr>
                  <w:sz w:val="22"/>
                  <w:szCs w:val="22"/>
                </w:rPr>
                <w:delText>5/16 (31,3%) </w:delText>
              </w:r>
            </w:del>
          </w:p>
        </w:tc>
      </w:tr>
      <w:tr w14:paraId="39695A11" w14:textId="77777777" w:rsidTr="0062664F">
        <w:tblPrEx>
          <w:tblW w:w="7568" w:type="dxa"/>
          <w:tblLook w:val="04A0"/>
        </w:tblPrEx>
        <w:trPr>
          <w:del w:id="12062" w:author="AbbVie14" w:date="2025-05-09T10:35:00Z"/>
        </w:trPr>
        <w:tc>
          <w:tcPr>
            <w:tcW w:w="7568" w:type="dxa"/>
            <w:gridSpan w:val="3"/>
            <w:tcBorders>
              <w:top w:val="nil"/>
              <w:left w:val="single" w:sz="6" w:space="0" w:color="auto"/>
              <w:bottom w:val="single" w:sz="6" w:space="0" w:color="auto"/>
              <w:right w:val="single" w:sz="6" w:space="0" w:color="auto"/>
            </w:tcBorders>
            <w:hideMark/>
          </w:tcPr>
          <w:p w:rsidR="00555874" w:rsidRPr="00612824" w:rsidP="0062664F" w14:paraId="6542AACE" w14:textId="77777777">
            <w:pPr>
              <w:textAlignment w:val="baseline"/>
              <w:rPr>
                <w:del w:id="12063" w:author="AbbVie14" w:date="2025-05-09T10:35:00Z"/>
                <w:sz w:val="22"/>
                <w:szCs w:val="22"/>
              </w:rPr>
            </w:pPr>
            <w:del w:id="12064" w:author="AbbVie14" w:date="2025-05-09T10:35:00Z">
              <w:r w:rsidRPr="00612824">
                <w:rPr>
                  <w:sz w:val="22"/>
                  <w:szCs w:val="22"/>
                  <w:vertAlign w:val="superscript"/>
                </w:rPr>
                <w:delText>a</w:delText>
              </w:r>
            </w:del>
            <w:del w:id="12065" w:author="AbbVie14" w:date="2025-05-09T10:35:00Z">
              <w:r w:rsidRPr="00612824">
                <w:rPr>
                  <w:sz w:val="22"/>
                  <w:szCs w:val="22"/>
                </w:rPr>
                <w:delText xml:space="preserve">Humira 0,6 mg/kg (massimo 40 mg) </w:delText>
              </w:r>
            </w:del>
            <w:del w:id="12066" w:author="AbbVie14" w:date="2025-05-09T10:35:00Z">
              <w:r w:rsidR="00E54E1B">
                <w:rPr>
                  <w:sz w:val="22"/>
                  <w:szCs w:val="22"/>
                </w:rPr>
                <w:delText>a</w:delText>
              </w:r>
            </w:del>
            <w:del w:id="12067" w:author="AbbVie14" w:date="2025-05-09T10:35:00Z">
              <w:r w:rsidR="00E54E1B">
                <w:delText xml:space="preserve"> </w:delText>
              </w:r>
            </w:del>
            <w:del w:id="12068" w:author="AbbVie14" w:date="2025-05-09T10:35:00Z">
              <w:r w:rsidRPr="00C04163" w:rsidR="00E54E1B">
                <w:rPr>
                  <w:sz w:val="22"/>
                  <w:szCs w:val="22"/>
                </w:rPr>
                <w:delText>settimane alterne</w:delText>
              </w:r>
            </w:del>
            <w:del w:id="12069" w:author="AbbVie14" w:date="2025-05-09T10:35:00Z">
              <w:r w:rsidRPr="00C04163">
                <w:rPr>
                  <w:sz w:val="20"/>
                  <w:szCs w:val="20"/>
                </w:rPr>
                <w:delText> </w:delText>
              </w:r>
            </w:del>
          </w:p>
          <w:p w:rsidR="00555874" w:rsidRPr="00612824" w:rsidP="0062664F" w14:paraId="499F92BA" w14:textId="77777777">
            <w:pPr>
              <w:textAlignment w:val="baseline"/>
              <w:rPr>
                <w:del w:id="12070" w:author="AbbVie14" w:date="2025-05-09T10:35:00Z"/>
                <w:sz w:val="22"/>
                <w:szCs w:val="22"/>
              </w:rPr>
            </w:pPr>
            <w:del w:id="12071" w:author="AbbVie14" w:date="2025-05-09T10:35:00Z">
              <w:r w:rsidRPr="00612824">
                <w:rPr>
                  <w:sz w:val="22"/>
                  <w:szCs w:val="22"/>
                  <w:vertAlign w:val="superscript"/>
                </w:rPr>
                <w:delText>b</w:delText>
              </w:r>
            </w:del>
            <w:del w:id="12072" w:author="AbbVie14" w:date="2025-05-09T10:35:00Z">
              <w:r w:rsidRPr="00612824">
                <w:rPr>
                  <w:sz w:val="22"/>
                  <w:szCs w:val="22"/>
                </w:rPr>
                <w:delText>Humira 0,6 mg/kg (massimo 40 mg) ogni settimana </w:delText>
              </w:r>
            </w:del>
          </w:p>
          <w:p w:rsidR="00555874" w:rsidRPr="00612824" w:rsidP="0062664F" w14:paraId="09CCC702" w14:textId="77777777">
            <w:pPr>
              <w:textAlignment w:val="baseline"/>
              <w:rPr>
                <w:del w:id="12073" w:author="AbbVie14" w:date="2025-05-09T10:35:00Z"/>
                <w:sz w:val="22"/>
                <w:szCs w:val="22"/>
              </w:rPr>
            </w:pPr>
            <w:del w:id="12074" w:author="AbbVie14" w:date="2025-05-09T10:35:00Z">
              <w:r w:rsidRPr="00612824">
                <w:rPr>
                  <w:sz w:val="22"/>
                  <w:szCs w:val="22"/>
                  <w:vertAlign w:val="superscript"/>
                </w:rPr>
                <w:delText>c</w:delText>
              </w:r>
            </w:del>
            <w:del w:id="12075" w:author="AbbVie14" w:date="2025-05-09T10:35:00Z">
              <w:r w:rsidRPr="00612824">
                <w:rPr>
                  <w:sz w:val="22"/>
                  <w:szCs w:val="22"/>
                </w:rPr>
                <w:delText>In pazienti che ricevono corticosteroidi concomitanti al basale </w:delText>
              </w:r>
            </w:del>
          </w:p>
          <w:p w:rsidR="00555874" w:rsidRPr="00612824" w:rsidP="0062664F" w14:paraId="0FFB5E9D" w14:textId="77777777">
            <w:pPr>
              <w:textAlignment w:val="baseline"/>
              <w:rPr>
                <w:del w:id="12076" w:author="AbbVie14" w:date="2025-05-09T10:35:00Z"/>
                <w:sz w:val="22"/>
                <w:szCs w:val="22"/>
              </w:rPr>
            </w:pPr>
            <w:del w:id="12077" w:author="AbbVie14" w:date="2025-05-09T10:35:00Z">
              <w:r w:rsidRPr="00612824">
                <w:rPr>
                  <w:sz w:val="22"/>
                  <w:szCs w:val="22"/>
                </w:rPr>
                <w:delText>Nota: i pazienti con valori mancanti alla Settimana 52 o che sono stati randomizzati a ricevere un trattamento di reinduzione o mantenimento sono stati considerati non responder per gli endpoint della Settimana 52 </w:delText>
              </w:r>
            </w:del>
          </w:p>
        </w:tc>
      </w:tr>
      <w:bookmarkEnd w:id="11996"/>
    </w:tbl>
    <w:p w:rsidR="00555874" w:rsidRPr="00612824" w:rsidP="00555874" w14:paraId="19B11E63" w14:textId="77777777">
      <w:pPr>
        <w:rPr>
          <w:del w:id="12078" w:author="AbbVie14" w:date="2025-05-09T10:35:00Z"/>
          <w:sz w:val="22"/>
          <w:szCs w:val="22"/>
        </w:rPr>
      </w:pPr>
    </w:p>
    <w:p w:rsidR="00555874" w:rsidRPr="00612824" w:rsidP="00555874" w14:paraId="3AE77822" w14:textId="77777777">
      <w:pPr>
        <w:rPr>
          <w:del w:id="12079" w:author="AbbVie14" w:date="2025-05-09T10:35:00Z"/>
          <w:sz w:val="22"/>
          <w:szCs w:val="22"/>
        </w:rPr>
      </w:pPr>
      <w:del w:id="12080" w:author="AbbVie14" w:date="2025-05-09T10:35:00Z">
        <w:r w:rsidRPr="00612824">
          <w:rPr>
            <w:sz w:val="22"/>
            <w:szCs w:val="22"/>
          </w:rPr>
          <w:delText xml:space="preserve">Ulteriori endpoint di efficacia esplorativi includevano la risposta clinica secondo il PUCAI (Pediatric Ulcerative Colitis Activity Index) (definita come una diminuzione del PUCAI ≥ 20 punti dal basale) e la remissione clinica come indicato dal PUCAI (definita come PUCAI &lt; 10) alla Settimana 8 e alla Settimana 52 (Tabella 33). </w:delText>
        </w:r>
      </w:del>
    </w:p>
    <w:p w:rsidR="00555874" w:rsidRPr="00612824" w:rsidP="00555874" w14:paraId="5CF884B8" w14:textId="77777777">
      <w:pPr>
        <w:rPr>
          <w:del w:id="12081" w:author="AbbVie14" w:date="2025-05-09T10:35:00Z"/>
          <w:sz w:val="22"/>
          <w:szCs w:val="22"/>
        </w:rPr>
      </w:pPr>
    </w:p>
    <w:tbl>
      <w:tblPr>
        <w:tblW w:w="8262" w:type="dxa"/>
        <w:tblCellMar>
          <w:left w:w="0" w:type="dxa"/>
          <w:right w:w="0" w:type="dxa"/>
        </w:tblCellMar>
        <w:tblLook w:val="04A0"/>
      </w:tblPr>
      <w:tblGrid>
        <w:gridCol w:w="2934"/>
        <w:gridCol w:w="2898"/>
        <w:gridCol w:w="2430"/>
      </w:tblGrid>
      <w:tr w14:paraId="707A0853" w14:textId="77777777" w:rsidTr="0062664F">
        <w:tblPrEx>
          <w:tblW w:w="8262" w:type="dxa"/>
          <w:tblLook w:val="04A0"/>
        </w:tblPrEx>
        <w:trPr>
          <w:trHeight w:val="60"/>
          <w:del w:id="12082" w:author="AbbVie14" w:date="2025-05-09T10:35:00Z"/>
        </w:trPr>
        <w:tc>
          <w:tcPr>
            <w:tcW w:w="8262" w:type="dxa"/>
            <w:gridSpan w:val="3"/>
            <w:tcMar>
              <w:top w:w="0" w:type="dxa"/>
              <w:left w:w="108" w:type="dxa"/>
              <w:bottom w:w="0" w:type="dxa"/>
              <w:right w:w="108" w:type="dxa"/>
            </w:tcMar>
          </w:tcPr>
          <w:p w:rsidR="00555874" w:rsidRPr="00612824" w:rsidP="00612824" w14:paraId="450874EA" w14:textId="77777777">
            <w:pPr>
              <w:keepNext/>
              <w:keepLines/>
              <w:jc w:val="center"/>
              <w:rPr>
                <w:del w:id="12083" w:author="AbbVie14" w:date="2025-05-09T10:35:00Z"/>
                <w:b/>
                <w:bCs/>
                <w:sz w:val="22"/>
                <w:szCs w:val="22"/>
              </w:rPr>
            </w:pPr>
            <w:del w:id="12084" w:author="AbbVie14" w:date="2025-05-09T10:35:00Z">
              <w:r w:rsidRPr="00612824">
                <w:rPr>
                  <w:b/>
                  <w:sz w:val="22"/>
                  <w:szCs w:val="22"/>
                </w:rPr>
                <w:delText xml:space="preserve">Tabella 33: Risultati degli </w:delText>
              </w:r>
            </w:del>
            <w:del w:id="12085" w:author="AbbVie14" w:date="2025-05-09T10:35:00Z">
              <w:r w:rsidR="00335210">
                <w:rPr>
                  <w:b/>
                  <w:sz w:val="22"/>
                  <w:szCs w:val="22"/>
                </w:rPr>
                <w:delText>E</w:delText>
              </w:r>
            </w:del>
            <w:del w:id="12086" w:author="AbbVie14" w:date="2025-05-09T10:35:00Z">
              <w:r w:rsidRPr="00612824">
                <w:rPr>
                  <w:b/>
                  <w:sz w:val="22"/>
                  <w:szCs w:val="22"/>
                </w:rPr>
                <w:delText xml:space="preserve">ndpoint </w:delText>
              </w:r>
            </w:del>
            <w:del w:id="12087" w:author="AbbVie14" w:date="2025-05-09T10:35:00Z">
              <w:r w:rsidR="00335210">
                <w:rPr>
                  <w:b/>
                  <w:sz w:val="22"/>
                  <w:szCs w:val="22"/>
                </w:rPr>
                <w:delText>E</w:delText>
              </w:r>
            </w:del>
            <w:del w:id="12088" w:author="AbbVie14" w:date="2025-05-09T10:35:00Z">
              <w:r w:rsidRPr="00612824">
                <w:rPr>
                  <w:b/>
                  <w:sz w:val="22"/>
                  <w:szCs w:val="22"/>
                </w:rPr>
                <w:delText>splorativi in base al PUCAI</w:delText>
              </w:r>
            </w:del>
          </w:p>
        </w:tc>
      </w:tr>
      <w:tr w14:paraId="2E17AC12" w14:textId="77777777" w:rsidTr="0062664F">
        <w:tblPrEx>
          <w:tblW w:w="8262" w:type="dxa"/>
          <w:tblLook w:val="04A0"/>
        </w:tblPrEx>
        <w:trPr>
          <w:trHeight w:val="265"/>
          <w:del w:id="12089" w:author="AbbVie14" w:date="2025-05-09T10:35:00Z"/>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rsidR="00555874" w:rsidRPr="00612824" w:rsidP="00612824" w14:paraId="149E57C2" w14:textId="77777777">
            <w:pPr>
              <w:keepNext/>
              <w:keepLines/>
              <w:rPr>
                <w:del w:id="12090" w:author="AbbVie14" w:date="2025-05-09T10:35:00Z"/>
                <w:sz w:val="22"/>
                <w:szCs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55874" w:rsidRPr="00612824" w:rsidP="00612824" w14:paraId="19996DD8" w14:textId="77777777">
            <w:pPr>
              <w:keepNext/>
              <w:keepLines/>
              <w:jc w:val="center"/>
              <w:rPr>
                <w:del w:id="12091" w:author="AbbVie14" w:date="2025-05-09T10:35:00Z"/>
                <w:b/>
                <w:bCs/>
                <w:sz w:val="22"/>
                <w:szCs w:val="22"/>
              </w:rPr>
            </w:pPr>
            <w:del w:id="12092" w:author="AbbVie14" w:date="2025-05-09T10:35:00Z">
              <w:r w:rsidRPr="00612824">
                <w:rPr>
                  <w:b/>
                  <w:sz w:val="22"/>
                  <w:szCs w:val="22"/>
                </w:rPr>
                <w:delText>Settimana 8</w:delText>
              </w:r>
            </w:del>
          </w:p>
        </w:tc>
      </w:tr>
      <w:tr w14:paraId="0CBCED97" w14:textId="77777777" w:rsidTr="0062664F">
        <w:tblPrEx>
          <w:tblW w:w="8262" w:type="dxa"/>
          <w:tblLook w:val="04A0"/>
        </w:tblPrEx>
        <w:trPr>
          <w:trHeight w:val="1042"/>
          <w:del w:id="12093" w:author="AbbVie14" w:date="2025-05-09T10:35:00Z"/>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rsidR="00555874" w:rsidRPr="00612824" w:rsidP="00612824" w14:paraId="5D30F5A5" w14:textId="77777777">
            <w:pPr>
              <w:keepNext/>
              <w:keepLines/>
              <w:rPr>
                <w:del w:id="12094" w:author="AbbVie14" w:date="2025-05-09T10:35:00Z"/>
                <w:sz w:val="22"/>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55874" w:rsidRPr="00612824" w:rsidP="00612824" w14:paraId="3A4CA33E" w14:textId="77777777">
            <w:pPr>
              <w:keepNext/>
              <w:keepLines/>
              <w:jc w:val="center"/>
              <w:rPr>
                <w:del w:id="12095" w:author="AbbVie14" w:date="2025-05-09T10:35:00Z"/>
                <w:b/>
                <w:bCs/>
                <w:sz w:val="22"/>
                <w:szCs w:val="22"/>
                <w:vertAlign w:val="superscript"/>
              </w:rPr>
            </w:pPr>
            <w:del w:id="12096" w:author="AbbVie14" w:date="2025-05-09T10:35:00Z">
              <w:r w:rsidRPr="00612824">
                <w:rPr>
                  <w:b/>
                  <w:sz w:val="22"/>
                  <w:szCs w:val="22"/>
                </w:rPr>
                <w:delText>Humira</w:delText>
              </w:r>
            </w:del>
            <w:del w:id="12097" w:author="AbbVie14" w:date="2025-05-09T10:35:00Z">
              <w:r w:rsidRPr="00612824">
                <w:rPr>
                  <w:b/>
                  <w:sz w:val="22"/>
                  <w:szCs w:val="22"/>
                  <w:vertAlign w:val="superscript"/>
                </w:rPr>
                <w:delText>a</w:delText>
              </w:r>
            </w:del>
          </w:p>
          <w:p w:rsidR="00555874" w:rsidRPr="00612824" w:rsidP="00612824" w14:paraId="291F555F" w14:textId="77777777">
            <w:pPr>
              <w:keepNext/>
              <w:keepLines/>
              <w:jc w:val="center"/>
              <w:rPr>
                <w:del w:id="12098" w:author="AbbVie14" w:date="2025-05-09T10:35:00Z"/>
                <w:b/>
                <w:bCs/>
                <w:sz w:val="22"/>
                <w:szCs w:val="22"/>
              </w:rPr>
            </w:pPr>
            <w:del w:id="12099" w:author="AbbVie14" w:date="2025-05-09T10:35:00Z">
              <w:r w:rsidRPr="00612824">
                <w:rPr>
                  <w:b/>
                  <w:sz w:val="22"/>
                  <w:szCs w:val="22"/>
                </w:rPr>
                <w:delText>Massimo 160 mg alla Settimana 0/</w:delText>
              </w:r>
            </w:del>
            <w:del w:id="12100" w:author="AbbVie14" w:date="2025-05-09T10:35:00Z">
              <w:r w:rsidR="00335210">
                <w:rPr>
                  <w:b/>
                  <w:sz w:val="22"/>
                  <w:szCs w:val="22"/>
                </w:rPr>
                <w:delText>P</w:delText>
              </w:r>
            </w:del>
            <w:del w:id="12101" w:author="AbbVie14" w:date="2025-05-09T10:35:00Z">
              <w:r w:rsidRPr="00612824">
                <w:rPr>
                  <w:b/>
                  <w:sz w:val="22"/>
                  <w:szCs w:val="22"/>
                </w:rPr>
                <w:delText>lacebo alla Settimana 1</w:delText>
              </w:r>
            </w:del>
          </w:p>
          <w:p w:rsidR="00555874" w:rsidRPr="00612824" w:rsidP="00612824" w14:paraId="321ADACE" w14:textId="77777777">
            <w:pPr>
              <w:keepNext/>
              <w:keepLines/>
              <w:jc w:val="center"/>
              <w:rPr>
                <w:del w:id="12102" w:author="AbbVie14" w:date="2025-05-09T10:35:00Z"/>
                <w:sz w:val="22"/>
                <w:szCs w:val="22"/>
              </w:rPr>
            </w:pPr>
            <w:del w:id="12103" w:author="AbbVie14" w:date="2025-05-09T10:35:00Z">
              <w:r w:rsidRPr="00612824">
                <w:rPr>
                  <w:sz w:val="22"/>
                  <w:szCs w:val="22"/>
                </w:rPr>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55874" w:rsidRPr="00612824" w:rsidP="00612824" w14:paraId="4B48DAA4" w14:textId="77777777">
            <w:pPr>
              <w:keepNext/>
              <w:keepLines/>
              <w:jc w:val="center"/>
              <w:rPr>
                <w:del w:id="12104" w:author="AbbVie14" w:date="2025-05-09T10:35:00Z"/>
                <w:b/>
                <w:bCs/>
                <w:sz w:val="22"/>
                <w:szCs w:val="22"/>
                <w:vertAlign w:val="superscript"/>
              </w:rPr>
            </w:pPr>
            <w:del w:id="12105" w:author="AbbVie14" w:date="2025-05-09T10:35:00Z">
              <w:r w:rsidRPr="00612824">
                <w:rPr>
                  <w:b/>
                  <w:sz w:val="22"/>
                  <w:szCs w:val="22"/>
                </w:rPr>
                <w:delText>Humira</w:delText>
              </w:r>
            </w:del>
            <w:del w:id="12106" w:author="AbbVie14" w:date="2025-05-09T10:35:00Z">
              <w:r w:rsidRPr="00612824">
                <w:rPr>
                  <w:b/>
                  <w:sz w:val="22"/>
                  <w:szCs w:val="22"/>
                  <w:vertAlign w:val="superscript"/>
                </w:rPr>
                <w:delText>b,c</w:delText>
              </w:r>
            </w:del>
          </w:p>
          <w:p w:rsidR="00555874" w:rsidRPr="00612824" w:rsidP="00612824" w14:paraId="44F89C32" w14:textId="77777777">
            <w:pPr>
              <w:keepNext/>
              <w:keepLines/>
              <w:jc w:val="center"/>
              <w:rPr>
                <w:del w:id="12107" w:author="AbbVie14" w:date="2025-05-09T10:35:00Z"/>
                <w:b/>
                <w:bCs/>
                <w:sz w:val="22"/>
                <w:szCs w:val="22"/>
              </w:rPr>
            </w:pPr>
            <w:del w:id="12108" w:author="AbbVie14" w:date="2025-05-09T10:35:00Z">
              <w:r w:rsidRPr="00612824">
                <w:rPr>
                  <w:b/>
                  <w:sz w:val="22"/>
                  <w:szCs w:val="22"/>
                </w:rPr>
                <w:delText>Massimo 160 mg alla Settimana 0 e alla Settimana 1</w:delText>
              </w:r>
            </w:del>
          </w:p>
          <w:p w:rsidR="00555874" w:rsidRPr="00612824" w:rsidP="00612824" w14:paraId="108D031B" w14:textId="77777777">
            <w:pPr>
              <w:keepNext/>
              <w:keepLines/>
              <w:jc w:val="center"/>
              <w:rPr>
                <w:del w:id="12109" w:author="AbbVie14" w:date="2025-05-09T10:35:00Z"/>
                <w:sz w:val="22"/>
                <w:szCs w:val="22"/>
              </w:rPr>
            </w:pPr>
            <w:del w:id="12110" w:author="AbbVie14" w:date="2025-05-09T10:35:00Z">
              <w:r w:rsidRPr="00612824">
                <w:rPr>
                  <w:sz w:val="22"/>
                  <w:szCs w:val="22"/>
                </w:rPr>
                <w:delText>N=47</w:delText>
              </w:r>
            </w:del>
          </w:p>
        </w:tc>
      </w:tr>
      <w:tr w14:paraId="53BC430D" w14:textId="77777777" w:rsidTr="0062664F">
        <w:tblPrEx>
          <w:tblW w:w="8262" w:type="dxa"/>
          <w:tblLook w:val="04A0"/>
        </w:tblPrEx>
        <w:trPr>
          <w:trHeight w:val="323"/>
          <w:del w:id="12111" w:author="AbbVie14" w:date="2025-05-09T10:35: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55874" w:rsidRPr="00612824" w:rsidP="0062664F" w14:paraId="46F377F9" w14:textId="77777777">
            <w:pPr>
              <w:rPr>
                <w:del w:id="12112" w:author="AbbVie14" w:date="2025-05-09T10:35:00Z"/>
                <w:sz w:val="22"/>
                <w:szCs w:val="22"/>
              </w:rPr>
            </w:pPr>
            <w:del w:id="12113" w:author="AbbVie14" w:date="2025-05-09T10:35:00Z">
              <w:r w:rsidRPr="00612824">
                <w:rPr>
                  <w:sz w:val="22"/>
                  <w:szCs w:val="22"/>
                </w:rPr>
                <w:delText>Remissione clinica in base al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555874" w:rsidRPr="00612824" w:rsidP="0062664F" w14:paraId="054E5531" w14:textId="77777777">
            <w:pPr>
              <w:jc w:val="center"/>
              <w:rPr>
                <w:del w:id="12114" w:author="AbbVie14" w:date="2025-05-09T10:35:00Z"/>
                <w:sz w:val="22"/>
                <w:szCs w:val="22"/>
              </w:rPr>
            </w:pPr>
            <w:del w:id="12115" w:author="AbbVie14" w:date="2025-05-09T10:35:00Z">
              <w:r w:rsidRPr="00612824">
                <w:rPr>
                  <w:sz w:val="22"/>
                  <w:szCs w:val="22"/>
                </w:rP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555874" w:rsidRPr="00612824" w:rsidP="0062664F" w14:paraId="2926E217" w14:textId="77777777">
            <w:pPr>
              <w:jc w:val="center"/>
              <w:rPr>
                <w:del w:id="12116" w:author="AbbVie14" w:date="2025-05-09T10:35:00Z"/>
                <w:sz w:val="22"/>
                <w:szCs w:val="22"/>
              </w:rPr>
            </w:pPr>
            <w:del w:id="12117" w:author="AbbVie14" w:date="2025-05-09T10:35:00Z">
              <w:r w:rsidRPr="00612824">
                <w:rPr>
                  <w:sz w:val="22"/>
                  <w:szCs w:val="22"/>
                </w:rPr>
                <w:delText>22/47 (46,8%)</w:delText>
              </w:r>
            </w:del>
          </w:p>
        </w:tc>
      </w:tr>
      <w:tr w14:paraId="34D74B76" w14:textId="77777777" w:rsidTr="0062664F">
        <w:tblPrEx>
          <w:tblW w:w="8262" w:type="dxa"/>
          <w:tblLook w:val="04A0"/>
        </w:tblPrEx>
        <w:trPr>
          <w:trHeight w:val="238"/>
          <w:del w:id="12118" w:author="AbbVie14" w:date="2025-05-09T10:35: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55874" w:rsidRPr="00612824" w:rsidP="0062664F" w14:paraId="78653A7D" w14:textId="77777777">
            <w:pPr>
              <w:rPr>
                <w:del w:id="12119" w:author="AbbVie14" w:date="2025-05-09T10:35:00Z"/>
                <w:sz w:val="22"/>
                <w:szCs w:val="22"/>
              </w:rPr>
            </w:pPr>
            <w:del w:id="12120" w:author="AbbVie14" w:date="2025-05-09T10:35:00Z">
              <w:r w:rsidRPr="00612824">
                <w:rPr>
                  <w:sz w:val="22"/>
                  <w:szCs w:val="22"/>
                </w:rPr>
                <w:delText>Risposta clinica in base al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555874" w:rsidRPr="00612824" w:rsidP="0062664F" w14:paraId="5E81B569" w14:textId="77777777">
            <w:pPr>
              <w:jc w:val="center"/>
              <w:rPr>
                <w:del w:id="12121" w:author="AbbVie14" w:date="2025-05-09T10:35:00Z"/>
                <w:sz w:val="22"/>
                <w:szCs w:val="22"/>
              </w:rPr>
            </w:pPr>
            <w:del w:id="12122" w:author="AbbVie14" w:date="2025-05-09T10:35:00Z">
              <w:r w:rsidRPr="00612824">
                <w:rPr>
                  <w:sz w:val="22"/>
                  <w:szCs w:val="22"/>
                </w:rP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555874" w:rsidRPr="00612824" w:rsidP="0062664F" w14:paraId="31195B7B" w14:textId="77777777">
            <w:pPr>
              <w:jc w:val="center"/>
              <w:rPr>
                <w:del w:id="12123" w:author="AbbVie14" w:date="2025-05-09T10:35:00Z"/>
                <w:sz w:val="22"/>
                <w:szCs w:val="22"/>
              </w:rPr>
            </w:pPr>
            <w:del w:id="12124" w:author="AbbVie14" w:date="2025-05-09T10:35:00Z">
              <w:r w:rsidRPr="00612824">
                <w:rPr>
                  <w:sz w:val="22"/>
                  <w:szCs w:val="22"/>
                </w:rPr>
                <w:delText>32/47 (68,1%)</w:delText>
              </w:r>
            </w:del>
          </w:p>
        </w:tc>
      </w:tr>
      <w:tr w14:paraId="73363092" w14:textId="77777777" w:rsidTr="0062664F">
        <w:tblPrEx>
          <w:tblW w:w="8262" w:type="dxa"/>
          <w:tblLook w:val="04A0"/>
        </w:tblPrEx>
        <w:trPr>
          <w:trHeight w:val="238"/>
          <w:del w:id="12125" w:author="AbbVie14" w:date="2025-05-09T10:35:00Z"/>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rsidR="00555874" w:rsidRPr="00612824" w:rsidP="0062664F" w14:paraId="4276B62C" w14:textId="77777777">
            <w:pPr>
              <w:rPr>
                <w:del w:id="12126" w:author="AbbVie14" w:date="2025-05-09T10:35:00Z"/>
                <w:sz w:val="22"/>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rsidR="00555874" w:rsidRPr="00612824" w:rsidP="0062664F" w14:paraId="5F379AB0" w14:textId="77777777">
            <w:pPr>
              <w:jc w:val="center"/>
              <w:rPr>
                <w:del w:id="12127" w:author="AbbVie14" w:date="2025-05-09T10:35:00Z"/>
                <w:b/>
                <w:bCs/>
                <w:sz w:val="22"/>
                <w:szCs w:val="22"/>
              </w:rPr>
            </w:pPr>
            <w:del w:id="12128" w:author="AbbVie14" w:date="2025-05-09T10:35:00Z">
              <w:r w:rsidRPr="00612824">
                <w:rPr>
                  <w:b/>
                  <w:sz w:val="22"/>
                  <w:szCs w:val="22"/>
                </w:rPr>
                <w:delText>Settimana 52</w:delText>
              </w:r>
            </w:del>
          </w:p>
        </w:tc>
      </w:tr>
      <w:tr w14:paraId="6CBEDF7A" w14:textId="77777777" w:rsidTr="0062664F">
        <w:tblPrEx>
          <w:tblW w:w="8262" w:type="dxa"/>
          <w:tblLook w:val="04A0"/>
        </w:tblPrEx>
        <w:trPr>
          <w:trHeight w:val="238"/>
          <w:del w:id="12129" w:author="AbbVie14" w:date="2025-05-09T10:35:00Z"/>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rsidR="00555874" w:rsidRPr="00612824" w:rsidP="0062664F" w14:paraId="00F23AB1" w14:textId="77777777">
            <w:pPr>
              <w:rPr>
                <w:del w:id="12130" w:author="AbbVie14" w:date="2025-05-09T10:35:00Z"/>
                <w:sz w:val="22"/>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55874" w:rsidRPr="00612824" w:rsidP="0062664F" w14:paraId="67C25045" w14:textId="77777777">
            <w:pPr>
              <w:jc w:val="center"/>
              <w:rPr>
                <w:del w:id="12131" w:author="AbbVie14" w:date="2025-05-09T10:35:00Z"/>
                <w:b/>
                <w:bCs/>
                <w:sz w:val="22"/>
                <w:szCs w:val="22"/>
                <w:vertAlign w:val="superscript"/>
              </w:rPr>
            </w:pPr>
            <w:del w:id="12132" w:author="AbbVie14" w:date="2025-05-09T10:35:00Z">
              <w:r w:rsidRPr="00612824">
                <w:rPr>
                  <w:b/>
                  <w:sz w:val="22"/>
                  <w:szCs w:val="22"/>
                </w:rPr>
                <w:delText>Humira</w:delText>
              </w:r>
            </w:del>
            <w:del w:id="12133" w:author="AbbVie14" w:date="2025-05-09T10:35:00Z">
              <w:r w:rsidRPr="00612824">
                <w:rPr>
                  <w:b/>
                  <w:sz w:val="22"/>
                  <w:szCs w:val="22"/>
                  <w:vertAlign w:val="superscript"/>
                </w:rPr>
                <w:delText>d</w:delText>
              </w:r>
            </w:del>
          </w:p>
          <w:p w:rsidR="00555874" w:rsidRPr="00612824" w:rsidP="0062664F" w14:paraId="248E5B35" w14:textId="77777777">
            <w:pPr>
              <w:jc w:val="center"/>
              <w:rPr>
                <w:del w:id="12134" w:author="AbbVie14" w:date="2025-05-09T10:35:00Z"/>
                <w:b/>
                <w:bCs/>
                <w:sz w:val="22"/>
                <w:szCs w:val="22"/>
              </w:rPr>
            </w:pPr>
            <w:del w:id="12135" w:author="AbbVie14" w:date="2025-05-09T10:35:00Z">
              <w:r w:rsidRPr="00612824">
                <w:rPr>
                  <w:b/>
                  <w:sz w:val="22"/>
                  <w:szCs w:val="22"/>
                </w:rPr>
                <w:delText xml:space="preserve">Massimo 40 mg </w:delText>
              </w:r>
            </w:del>
            <w:del w:id="12136" w:author="AbbVie14" w:date="2025-05-09T10:35:00Z">
              <w:r w:rsidR="00335210">
                <w:rPr>
                  <w:b/>
                  <w:sz w:val="22"/>
                  <w:szCs w:val="22"/>
                </w:rPr>
                <w:delText>a settimane alterne</w:delText>
              </w:r>
            </w:del>
          </w:p>
          <w:p w:rsidR="00555874" w:rsidRPr="00612824" w:rsidP="0062664F" w14:paraId="044DD407" w14:textId="77777777">
            <w:pPr>
              <w:jc w:val="center"/>
              <w:rPr>
                <w:del w:id="12137" w:author="AbbVie14" w:date="2025-05-09T10:35:00Z"/>
                <w:sz w:val="22"/>
                <w:szCs w:val="22"/>
              </w:rPr>
            </w:pPr>
            <w:del w:id="12138" w:author="AbbVie14" w:date="2025-05-09T10:35:00Z">
              <w:r w:rsidRPr="00612824">
                <w:rPr>
                  <w:sz w:val="22"/>
                  <w:szCs w:val="22"/>
                </w:rPr>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55874" w:rsidRPr="00612824" w:rsidP="0062664F" w14:paraId="38CBC6DE" w14:textId="77777777">
            <w:pPr>
              <w:jc w:val="center"/>
              <w:rPr>
                <w:del w:id="12139" w:author="AbbVie14" w:date="2025-05-09T10:35:00Z"/>
                <w:b/>
                <w:bCs/>
                <w:sz w:val="22"/>
                <w:szCs w:val="22"/>
                <w:vertAlign w:val="superscript"/>
              </w:rPr>
            </w:pPr>
            <w:del w:id="12140" w:author="AbbVie14" w:date="2025-05-09T10:35:00Z">
              <w:r w:rsidRPr="00612824">
                <w:rPr>
                  <w:b/>
                  <w:sz w:val="22"/>
                  <w:szCs w:val="22"/>
                </w:rPr>
                <w:delText>Humira</w:delText>
              </w:r>
            </w:del>
            <w:del w:id="12141" w:author="AbbVie14" w:date="2025-05-09T10:35:00Z">
              <w:r w:rsidRPr="00612824">
                <w:rPr>
                  <w:b/>
                  <w:sz w:val="22"/>
                  <w:szCs w:val="22"/>
                  <w:vertAlign w:val="superscript"/>
                </w:rPr>
                <w:delText>e</w:delText>
              </w:r>
            </w:del>
          </w:p>
          <w:p w:rsidR="00555874" w:rsidRPr="00612824" w:rsidP="0062664F" w14:paraId="7C990092" w14:textId="77777777">
            <w:pPr>
              <w:jc w:val="center"/>
              <w:rPr>
                <w:del w:id="12142" w:author="AbbVie14" w:date="2025-05-09T10:35:00Z"/>
                <w:b/>
                <w:bCs/>
                <w:sz w:val="22"/>
                <w:szCs w:val="22"/>
              </w:rPr>
            </w:pPr>
            <w:del w:id="12143" w:author="AbbVie14" w:date="2025-05-09T10:35:00Z">
              <w:r w:rsidRPr="00612824">
                <w:rPr>
                  <w:b/>
                  <w:sz w:val="22"/>
                  <w:szCs w:val="22"/>
                </w:rPr>
                <w:delText xml:space="preserve">Massimo 40 mg </w:delText>
              </w:r>
            </w:del>
            <w:del w:id="12144" w:author="AbbVie14" w:date="2025-05-09T10:35:00Z">
              <w:r w:rsidR="00103FAE">
                <w:rPr>
                  <w:b/>
                  <w:sz w:val="22"/>
                  <w:szCs w:val="22"/>
                </w:rPr>
                <w:delText>a</w:delText>
              </w:r>
            </w:del>
            <w:del w:id="12145" w:author="AbbVie14" w:date="2025-05-09T10:35:00Z">
              <w:r w:rsidR="00335210">
                <w:rPr>
                  <w:b/>
                  <w:sz w:val="22"/>
                  <w:szCs w:val="22"/>
                </w:rPr>
                <w:delText xml:space="preserve"> settimana</w:delText>
              </w:r>
            </w:del>
          </w:p>
          <w:p w:rsidR="00555874" w:rsidRPr="00612824" w:rsidP="0062664F" w14:paraId="14B7DDA6" w14:textId="77777777">
            <w:pPr>
              <w:jc w:val="center"/>
              <w:rPr>
                <w:del w:id="12146" w:author="AbbVie14" w:date="2025-05-09T10:35:00Z"/>
                <w:sz w:val="22"/>
                <w:szCs w:val="22"/>
              </w:rPr>
            </w:pPr>
            <w:del w:id="12147" w:author="AbbVie14" w:date="2025-05-09T10:35:00Z">
              <w:r w:rsidRPr="00612824">
                <w:rPr>
                  <w:sz w:val="22"/>
                  <w:szCs w:val="22"/>
                </w:rPr>
                <w:delText>N=31</w:delText>
              </w:r>
            </w:del>
          </w:p>
        </w:tc>
      </w:tr>
      <w:tr w14:paraId="3B2902EA" w14:textId="77777777" w:rsidTr="0062664F">
        <w:tblPrEx>
          <w:tblW w:w="8262" w:type="dxa"/>
          <w:tblLook w:val="04A0"/>
        </w:tblPrEx>
        <w:trPr>
          <w:trHeight w:val="238"/>
          <w:del w:id="12148" w:author="AbbVie14" w:date="2025-05-09T10:35: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555874" w:rsidRPr="00612824" w:rsidP="0062664F" w14:paraId="719031AB" w14:textId="77777777">
            <w:pPr>
              <w:rPr>
                <w:del w:id="12149" w:author="AbbVie14" w:date="2025-05-09T10:35:00Z"/>
                <w:sz w:val="22"/>
                <w:szCs w:val="22"/>
              </w:rPr>
            </w:pPr>
            <w:del w:id="12150" w:author="AbbVie14" w:date="2025-05-09T10:35:00Z">
              <w:r w:rsidRPr="00612824">
                <w:rPr>
                  <w:sz w:val="22"/>
                  <w:szCs w:val="22"/>
                </w:rPr>
                <w:delText>Remissione clinica in base al PUCAI nei responder PMS alla Settimana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55874" w:rsidRPr="00612824" w:rsidP="0062664F" w14:paraId="43CE721E" w14:textId="77777777">
            <w:pPr>
              <w:jc w:val="center"/>
              <w:rPr>
                <w:del w:id="12151" w:author="AbbVie14" w:date="2025-05-09T10:35:00Z"/>
                <w:sz w:val="22"/>
                <w:szCs w:val="22"/>
              </w:rPr>
            </w:pPr>
            <w:del w:id="12152" w:author="AbbVie14" w:date="2025-05-09T10:35:00Z">
              <w:r w:rsidRPr="00612824">
                <w:rPr>
                  <w:sz w:val="22"/>
                  <w:szCs w:val="22"/>
                </w:rP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55874" w:rsidRPr="00612824" w:rsidP="0062664F" w14:paraId="61FCD29F" w14:textId="77777777">
            <w:pPr>
              <w:jc w:val="center"/>
              <w:rPr>
                <w:del w:id="12153" w:author="AbbVie14" w:date="2025-05-09T10:35:00Z"/>
                <w:sz w:val="22"/>
                <w:szCs w:val="22"/>
              </w:rPr>
            </w:pPr>
            <w:del w:id="12154" w:author="AbbVie14" w:date="2025-05-09T10:35:00Z">
              <w:r w:rsidRPr="00612824">
                <w:rPr>
                  <w:sz w:val="22"/>
                  <w:szCs w:val="22"/>
                </w:rPr>
                <w:delText>18/31 (58,1%)</w:delText>
              </w:r>
            </w:del>
          </w:p>
        </w:tc>
      </w:tr>
      <w:tr w14:paraId="01847226" w14:textId="77777777" w:rsidTr="0062664F">
        <w:tblPrEx>
          <w:tblW w:w="8262" w:type="dxa"/>
          <w:tblLook w:val="04A0"/>
        </w:tblPrEx>
        <w:trPr>
          <w:trHeight w:val="238"/>
          <w:del w:id="12155" w:author="AbbVie14" w:date="2025-05-09T10:35: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555874" w:rsidRPr="00612824" w:rsidP="0062664F" w14:paraId="2F61AD17" w14:textId="77777777">
            <w:pPr>
              <w:rPr>
                <w:del w:id="12156" w:author="AbbVie14" w:date="2025-05-09T10:35:00Z"/>
                <w:sz w:val="22"/>
                <w:szCs w:val="22"/>
              </w:rPr>
            </w:pPr>
            <w:del w:id="12157" w:author="AbbVie14" w:date="2025-05-09T10:35:00Z">
              <w:r w:rsidRPr="00612824">
                <w:rPr>
                  <w:sz w:val="22"/>
                  <w:szCs w:val="22"/>
                </w:rPr>
                <w:delText>Risposta clinica in base al PUCAI nei responder PMS alla Settimana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555874" w:rsidRPr="00612824" w:rsidP="0062664F" w14:paraId="513A1C47" w14:textId="77777777">
            <w:pPr>
              <w:jc w:val="center"/>
              <w:rPr>
                <w:del w:id="12158" w:author="AbbVie14" w:date="2025-05-09T10:35:00Z"/>
                <w:sz w:val="22"/>
                <w:szCs w:val="22"/>
              </w:rPr>
            </w:pPr>
            <w:del w:id="12159" w:author="AbbVie14" w:date="2025-05-09T10:35:00Z">
              <w:r w:rsidRPr="00612824">
                <w:rPr>
                  <w:sz w:val="22"/>
                  <w:szCs w:val="22"/>
                </w:rP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555874" w:rsidRPr="00612824" w:rsidP="0062664F" w14:paraId="3D5BB03A" w14:textId="77777777">
            <w:pPr>
              <w:jc w:val="center"/>
              <w:rPr>
                <w:del w:id="12160" w:author="AbbVie14" w:date="2025-05-09T10:35:00Z"/>
                <w:sz w:val="22"/>
                <w:szCs w:val="22"/>
              </w:rPr>
            </w:pPr>
            <w:del w:id="12161" w:author="AbbVie14" w:date="2025-05-09T10:35:00Z">
              <w:r w:rsidRPr="00612824">
                <w:rPr>
                  <w:sz w:val="22"/>
                  <w:szCs w:val="22"/>
                </w:rPr>
                <w:delText>16/31 (51,6%)</w:delText>
              </w:r>
            </w:del>
          </w:p>
        </w:tc>
      </w:tr>
      <w:tr w14:paraId="187E1475" w14:textId="77777777" w:rsidTr="0062664F">
        <w:tblPrEx>
          <w:tblW w:w="8262" w:type="dxa"/>
          <w:tblLook w:val="04A0"/>
        </w:tblPrEx>
        <w:trPr>
          <w:trHeight w:val="533"/>
          <w:del w:id="12162" w:author="AbbVie14" w:date="2025-05-09T10:35: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rsidR="00555874" w:rsidRPr="00612824" w:rsidP="0062664F" w14:paraId="511BBD72" w14:textId="77777777">
            <w:pPr>
              <w:rPr>
                <w:del w:id="12163" w:author="AbbVie14" w:date="2025-05-09T10:35:00Z"/>
                <w:rStyle w:val="eop"/>
                <w:sz w:val="22"/>
                <w:szCs w:val="22"/>
              </w:rPr>
            </w:pPr>
            <w:del w:id="12164" w:author="AbbVie14" w:date="2025-05-09T10:35:00Z">
              <w:r w:rsidRPr="00612824">
                <w:rPr>
                  <w:sz w:val="22"/>
                  <w:szCs w:val="22"/>
                  <w:vertAlign w:val="superscript"/>
                </w:rPr>
                <w:delText>a</w:delText>
              </w:r>
            </w:del>
            <w:del w:id="12165" w:author="AbbVie14" w:date="2025-05-09T10:35:00Z">
              <w:r w:rsidRPr="00612824">
                <w:rPr>
                  <w:rStyle w:val="normaltextrun"/>
                  <w:sz w:val="22"/>
                  <w:szCs w:val="22"/>
                </w:rPr>
                <w:delText>Humira 2,4 mg/kg (massimo 160 mg) alla Settimana 0, placebo alla Settimana 1 e 1,2 mg/kg (massimo 80 mg) alla Settimana 2</w:delText>
              </w:r>
            </w:del>
            <w:del w:id="12166" w:author="AbbVie14" w:date="2025-05-09T10:35:00Z">
              <w:r w:rsidRPr="00612824">
                <w:rPr>
                  <w:rStyle w:val="eop"/>
                  <w:sz w:val="22"/>
                  <w:szCs w:val="22"/>
                </w:rPr>
                <w:delText> </w:delText>
              </w:r>
            </w:del>
          </w:p>
          <w:p w:rsidR="00555874" w:rsidRPr="00612824" w:rsidP="0062664F" w14:paraId="303FAD9C" w14:textId="77777777">
            <w:pPr>
              <w:pStyle w:val="paragraph0"/>
              <w:spacing w:before="0" w:beforeAutospacing="0" w:after="0" w:afterAutospacing="0"/>
              <w:textAlignment w:val="baseline"/>
              <w:rPr>
                <w:del w:id="12167" w:author="AbbVie14" w:date="2025-05-09T10:35:00Z"/>
                <w:rStyle w:val="eop"/>
                <w:sz w:val="22"/>
                <w:szCs w:val="22"/>
              </w:rPr>
            </w:pPr>
            <w:del w:id="12168" w:author="AbbVie14" w:date="2025-05-09T10:35:00Z">
              <w:r w:rsidRPr="00863077">
                <w:rPr>
                  <w:sz w:val="22"/>
                  <w:szCs w:val="22"/>
                  <w:vertAlign w:val="superscript"/>
                </w:rPr>
                <w:delText>b</w:delText>
              </w:r>
            </w:del>
            <w:del w:id="12169" w:author="AbbVie14" w:date="2025-05-09T10:35:00Z">
              <w:r w:rsidRPr="00872134">
                <w:rPr>
                  <w:rStyle w:val="normaltextrun"/>
                  <w:sz w:val="22"/>
                  <w:szCs w:val="22"/>
                </w:rPr>
                <w:delText>Humira</w:delText>
              </w:r>
            </w:del>
            <w:del w:id="12170" w:author="AbbVie14" w:date="2025-05-09T10:35:00Z">
              <w:r w:rsidRPr="00A845AB">
                <w:rPr>
                  <w:rStyle w:val="normaltextrun"/>
                  <w:sz w:val="22"/>
                  <w:szCs w:val="22"/>
                </w:rPr>
                <w:delText xml:space="preserve"> 2,4 mg/kg (massimo 160 mg) alla Settimana 0 e alla Settimana 1 e 1,2 mg/kg (massimo 80 mg) alla Settimana 2</w:delText>
              </w:r>
            </w:del>
            <w:del w:id="12171" w:author="AbbVie14" w:date="2025-05-09T10:35:00Z">
              <w:r w:rsidRPr="00A845AB">
                <w:rPr>
                  <w:rStyle w:val="eop"/>
                  <w:sz w:val="22"/>
                  <w:szCs w:val="22"/>
                </w:rPr>
                <w:delText> </w:delText>
              </w:r>
            </w:del>
          </w:p>
          <w:p w:rsidR="00555874" w:rsidRPr="00555874" w:rsidP="0062664F" w14:paraId="15F40DE5" w14:textId="77777777">
            <w:pPr>
              <w:pStyle w:val="paragraph0"/>
              <w:spacing w:before="0" w:beforeAutospacing="0" w:after="0" w:afterAutospacing="0"/>
              <w:textAlignment w:val="baseline"/>
              <w:rPr>
                <w:del w:id="12172" w:author="AbbVie14" w:date="2025-05-09T10:35:00Z"/>
                <w:rStyle w:val="normaltextrun"/>
                <w:sz w:val="22"/>
                <w:szCs w:val="22"/>
              </w:rPr>
            </w:pPr>
            <w:del w:id="12173" w:author="AbbVie14" w:date="2025-05-09T10:35:00Z">
              <w:r w:rsidRPr="003F5D7E">
                <w:rPr>
                  <w:rStyle w:val="normaltextrun"/>
                  <w:sz w:val="22"/>
                  <w:szCs w:val="22"/>
                  <w:vertAlign w:val="superscript"/>
                </w:rPr>
                <w:delText>c</w:delText>
              </w:r>
            </w:del>
            <w:del w:id="12174" w:author="AbbVie14" w:date="2025-05-09T10:35:00Z">
              <w:r w:rsidRPr="003F5D7E">
                <w:rPr>
                  <w:rStyle w:val="normaltextrun"/>
                  <w:sz w:val="22"/>
                  <w:szCs w:val="22"/>
                </w:rPr>
                <w:delText xml:space="preserve">Senza includere la dose di </w:delText>
              </w:r>
            </w:del>
            <w:del w:id="12175" w:author="AbbVie14" w:date="2025-05-09T10:35:00Z">
              <w:r w:rsidR="00335210">
                <w:rPr>
                  <w:rStyle w:val="normaltextrun"/>
                  <w:sz w:val="22"/>
                  <w:szCs w:val="22"/>
                </w:rPr>
                <w:delText>I</w:delText>
              </w:r>
            </w:del>
            <w:del w:id="12176" w:author="AbbVie14" w:date="2025-05-09T10:35:00Z">
              <w:r w:rsidRPr="003F5D7E">
                <w:rPr>
                  <w:rStyle w:val="normaltextrun"/>
                  <w:sz w:val="22"/>
                  <w:szCs w:val="22"/>
                </w:rPr>
                <w:delText>nduzione in aperto di Humira 2,4 mg/kg (massimo 160 mg) alla Settimana 0 e alla Settimana 1 e 1,2 mg/kg (massimo 80 mg) alla Settimana 2</w:delText>
              </w:r>
            </w:del>
          </w:p>
          <w:p w:rsidR="00555874" w:rsidRPr="00555874" w:rsidP="0062664F" w14:paraId="4EC5C3F6" w14:textId="77777777">
            <w:pPr>
              <w:pStyle w:val="paragraph0"/>
              <w:spacing w:before="0" w:beforeAutospacing="0" w:after="0" w:afterAutospacing="0"/>
              <w:textAlignment w:val="baseline"/>
              <w:rPr>
                <w:del w:id="12177" w:author="AbbVie14" w:date="2025-05-09T10:35:00Z"/>
                <w:sz w:val="22"/>
                <w:szCs w:val="22"/>
              </w:rPr>
            </w:pPr>
            <w:del w:id="12178" w:author="AbbVie14" w:date="2025-05-09T10:35:00Z">
              <w:r w:rsidRPr="00863077">
                <w:rPr>
                  <w:rStyle w:val="normaltextrun"/>
                  <w:sz w:val="22"/>
                  <w:szCs w:val="22"/>
                  <w:vertAlign w:val="superscript"/>
                </w:rPr>
                <w:delText>d</w:delText>
              </w:r>
            </w:del>
            <w:del w:id="12179" w:author="AbbVie14" w:date="2025-05-09T10:35:00Z">
              <w:r w:rsidRPr="00872134">
                <w:rPr>
                  <w:sz w:val="22"/>
                  <w:szCs w:val="22"/>
                </w:rPr>
                <w:delText xml:space="preserve">Humira 0,6 mg/kg (massimo 40 mg) </w:delText>
              </w:r>
            </w:del>
            <w:del w:id="12180" w:author="AbbVie14" w:date="2025-05-09T10:35:00Z">
              <w:r w:rsidRPr="00287663" w:rsidR="002C259C">
                <w:rPr>
                  <w:sz w:val="22"/>
                  <w:szCs w:val="22"/>
                </w:rPr>
                <w:delText>a settimane alterne</w:delText>
              </w:r>
            </w:del>
          </w:p>
          <w:p w:rsidR="00555874" w:rsidRPr="00612824" w:rsidP="0062664F" w14:paraId="13FB8FEF" w14:textId="77777777">
            <w:pPr>
              <w:rPr>
                <w:del w:id="12181" w:author="AbbVie14" w:date="2025-05-09T10:35:00Z"/>
                <w:sz w:val="22"/>
                <w:szCs w:val="22"/>
              </w:rPr>
            </w:pPr>
            <w:del w:id="12182" w:author="AbbVie14" w:date="2025-05-09T10:35:00Z">
              <w:r w:rsidRPr="00612824">
                <w:rPr>
                  <w:sz w:val="22"/>
                  <w:szCs w:val="22"/>
                  <w:vertAlign w:val="superscript"/>
                </w:rPr>
                <w:delText>e</w:delText>
              </w:r>
            </w:del>
            <w:del w:id="12183" w:author="AbbVie14" w:date="2025-05-09T10:35:00Z">
              <w:r w:rsidRPr="00612824">
                <w:rPr>
                  <w:sz w:val="22"/>
                  <w:szCs w:val="22"/>
                </w:rPr>
                <w:delText>Humira 0,6 mg/kg (massimo 40 mg) ogni settimana</w:delText>
              </w:r>
            </w:del>
          </w:p>
          <w:p w:rsidR="00555874" w:rsidRPr="00555874" w:rsidP="0062664F" w14:paraId="34CD75F4" w14:textId="77777777">
            <w:pPr>
              <w:pStyle w:val="paragraph0"/>
              <w:spacing w:before="0" w:beforeAutospacing="0" w:after="0" w:afterAutospacing="0"/>
              <w:textAlignment w:val="baseline"/>
              <w:rPr>
                <w:del w:id="12184" w:author="AbbVie14" w:date="2025-05-09T10:35:00Z"/>
                <w:sz w:val="22"/>
                <w:szCs w:val="22"/>
              </w:rPr>
            </w:pPr>
            <w:del w:id="12185" w:author="AbbVie14" w:date="2025-05-09T10:35:00Z">
              <w:r w:rsidRPr="00863077">
                <w:rPr>
                  <w:rStyle w:val="normaltextrun"/>
                  <w:sz w:val="22"/>
                  <w:szCs w:val="22"/>
                </w:rPr>
                <w:delText>Nota 1: entrambi i gruppi di induzione hanno ricevuto 0,6 mg/kg (massimo 40 mg) alla Settimana 4 e alla Settimana 6</w:delText>
              </w:r>
            </w:del>
            <w:del w:id="12186" w:author="AbbVie14" w:date="2025-05-09T10:35:00Z">
              <w:r w:rsidRPr="00872134">
                <w:rPr>
                  <w:rStyle w:val="eop"/>
                  <w:sz w:val="22"/>
                  <w:szCs w:val="22"/>
                </w:rPr>
                <w:delText> </w:delText>
              </w:r>
            </w:del>
          </w:p>
          <w:p w:rsidR="00555874" w:rsidRPr="00555874" w:rsidP="0062664F" w14:paraId="4932D8F9" w14:textId="77777777">
            <w:pPr>
              <w:pStyle w:val="paragraph0"/>
              <w:spacing w:before="0" w:beforeAutospacing="0" w:after="0" w:afterAutospacing="0"/>
              <w:textAlignment w:val="baseline"/>
              <w:rPr>
                <w:del w:id="12187" w:author="AbbVie14" w:date="2025-05-09T10:35:00Z"/>
                <w:rStyle w:val="eop"/>
                <w:sz w:val="22"/>
                <w:szCs w:val="22"/>
              </w:rPr>
            </w:pPr>
            <w:del w:id="12188" w:author="AbbVie14" w:date="2025-05-09T10:35:00Z">
              <w:r w:rsidRPr="00863077">
                <w:rPr>
                  <w:rStyle w:val="normaltextrun"/>
                  <w:sz w:val="22"/>
                  <w:szCs w:val="22"/>
                </w:rPr>
                <w:delText xml:space="preserve">Nota 2: i </w:delText>
              </w:r>
            </w:del>
            <w:del w:id="12189" w:author="AbbVie14" w:date="2025-05-09T10:35:00Z">
              <w:r w:rsidRPr="00872134">
                <w:rPr>
                  <w:rStyle w:val="normaltextrun"/>
                  <w:sz w:val="22"/>
                  <w:szCs w:val="22"/>
                </w:rPr>
                <w:delText xml:space="preserve">pazienti con valori mancanti alla Settimana 8 sono stati considerati come non aver </w:delText>
              </w:r>
            </w:del>
            <w:del w:id="12190" w:author="AbbVie14" w:date="2025-05-09T10:35:00Z">
              <w:r w:rsidR="009913F6">
                <w:rPr>
                  <w:rStyle w:val="normaltextrun"/>
                  <w:sz w:val="22"/>
                  <w:szCs w:val="22"/>
                </w:rPr>
                <w:delText>raggiunto</w:delText>
              </w:r>
            </w:del>
            <w:del w:id="12191" w:author="AbbVie14" w:date="2025-05-09T10:35:00Z">
              <w:r w:rsidRPr="00A845AB">
                <w:rPr>
                  <w:rStyle w:val="normaltextrun"/>
                  <w:sz w:val="22"/>
                  <w:szCs w:val="22"/>
                </w:rPr>
                <w:delText xml:space="preserve"> gli endpoint</w:delText>
              </w:r>
            </w:del>
            <w:del w:id="12192" w:author="AbbVie14" w:date="2025-05-09T10:35:00Z">
              <w:r w:rsidRPr="00A845AB">
                <w:rPr>
                  <w:rStyle w:val="eop"/>
                  <w:sz w:val="22"/>
                  <w:szCs w:val="22"/>
                </w:rPr>
                <w:delText> </w:delText>
              </w:r>
            </w:del>
          </w:p>
          <w:p w:rsidR="00555874" w:rsidRPr="00555874" w:rsidP="0062664F" w14:paraId="3EBA9F4D" w14:textId="77777777">
            <w:pPr>
              <w:pStyle w:val="paragraph0"/>
              <w:spacing w:before="0" w:beforeAutospacing="0" w:after="0" w:afterAutospacing="0"/>
              <w:textAlignment w:val="baseline"/>
              <w:rPr>
                <w:del w:id="12193" w:author="AbbVie14" w:date="2025-05-09T10:35:00Z"/>
                <w:sz w:val="22"/>
                <w:szCs w:val="22"/>
              </w:rPr>
            </w:pPr>
            <w:del w:id="12194" w:author="AbbVie14" w:date="2025-05-09T10:35:00Z">
              <w:r w:rsidRPr="00863077">
                <w:rPr>
                  <w:rStyle w:val="eop"/>
                  <w:sz w:val="22"/>
                  <w:szCs w:val="22"/>
                </w:rPr>
                <w:delText xml:space="preserve">Nota 3: </w:delText>
              </w:r>
            </w:del>
            <w:del w:id="12195" w:author="AbbVie14" w:date="2025-05-09T10:35:00Z">
              <w:r w:rsidRPr="00872134">
                <w:rPr>
                  <w:sz w:val="22"/>
                  <w:szCs w:val="22"/>
                </w:rPr>
                <w:delText>i pazienti con valori mancanti alla Settimana 52 o che sono stati randomizzati a ricevere un trattamento di reinduzione o mantenimento sono stati considerati non responder per gli endpoint della Settimana 52</w:delText>
              </w:r>
            </w:del>
          </w:p>
        </w:tc>
      </w:tr>
    </w:tbl>
    <w:p w:rsidR="00555874" w:rsidRPr="00612824" w:rsidP="00555874" w14:paraId="37E38AEC" w14:textId="77777777">
      <w:pPr>
        <w:rPr>
          <w:del w:id="12196" w:author="AbbVie14" w:date="2025-05-09T10:35:00Z"/>
          <w:sz w:val="22"/>
          <w:szCs w:val="22"/>
        </w:rPr>
      </w:pPr>
    </w:p>
    <w:p w:rsidR="00555874" w:rsidRPr="00612824" w:rsidP="00555874" w14:paraId="2F553EFA" w14:textId="77777777">
      <w:pPr>
        <w:rPr>
          <w:del w:id="12197" w:author="AbbVie14" w:date="2025-05-09T10:35:00Z"/>
          <w:sz w:val="22"/>
          <w:szCs w:val="22"/>
        </w:rPr>
      </w:pPr>
      <w:del w:id="12198" w:author="AbbVie14" w:date="2025-05-09T10:35:00Z">
        <w:r w:rsidRPr="00612824">
          <w:rPr>
            <w:sz w:val="22"/>
            <w:szCs w:val="22"/>
          </w:rPr>
          <w:delText>Dei pazienti trattati con Humira che hanno ricevuto un trattamento di reinduzione durante il periodo di mantenimento, 2/6 (33%) hanno raggiunto una risposta clinica in base al FMS alla Settimana 52.</w:delText>
        </w:r>
      </w:del>
    </w:p>
    <w:p w:rsidR="00555874" w:rsidRPr="00612824" w:rsidP="00555874" w14:paraId="745DBBFB" w14:textId="77777777">
      <w:pPr>
        <w:keepNext/>
        <w:rPr>
          <w:del w:id="12199" w:author="AbbVie14" w:date="2025-05-09T10:35:00Z"/>
          <w:bCs/>
          <w:i/>
          <w:sz w:val="22"/>
          <w:szCs w:val="22"/>
          <w:u w:val="single"/>
        </w:rPr>
      </w:pPr>
    </w:p>
    <w:p w:rsidR="00555874" w:rsidRPr="00612824" w:rsidP="00555874" w14:paraId="4B01911B" w14:textId="77777777">
      <w:pPr>
        <w:keepNext/>
        <w:rPr>
          <w:del w:id="12200" w:author="AbbVie14" w:date="2025-05-09T10:35:00Z"/>
          <w:bCs/>
          <w:i/>
          <w:sz w:val="22"/>
          <w:szCs w:val="22"/>
          <w:u w:val="single"/>
        </w:rPr>
      </w:pPr>
      <w:del w:id="12201" w:author="AbbVie14" w:date="2025-05-09T10:35:00Z">
        <w:r w:rsidRPr="00612824">
          <w:rPr>
            <w:i/>
            <w:sz w:val="22"/>
            <w:szCs w:val="22"/>
            <w:u w:val="single"/>
          </w:rPr>
          <w:delText>Qualità della vita</w:delText>
        </w:r>
      </w:del>
    </w:p>
    <w:p w:rsidR="00555874" w:rsidRPr="00612824" w:rsidP="00555874" w14:paraId="16289BA4" w14:textId="77777777">
      <w:pPr>
        <w:keepNext/>
        <w:rPr>
          <w:del w:id="12202" w:author="AbbVie14" w:date="2025-05-09T10:35:00Z"/>
          <w:sz w:val="22"/>
          <w:szCs w:val="22"/>
        </w:rPr>
      </w:pPr>
    </w:p>
    <w:p w:rsidR="00555874" w:rsidRPr="00612824" w:rsidP="00555874" w14:paraId="2EE7AC75" w14:textId="77777777">
      <w:pPr>
        <w:keepNext/>
        <w:rPr>
          <w:del w:id="12203" w:author="AbbVie14" w:date="2025-05-09T10:35:00Z"/>
          <w:sz w:val="22"/>
          <w:szCs w:val="22"/>
        </w:rPr>
      </w:pPr>
      <w:del w:id="12204" w:author="AbbVie14" w:date="2025-05-09T10:35:00Z">
        <w:r w:rsidRPr="00612824">
          <w:rPr>
            <w:sz w:val="22"/>
            <w:szCs w:val="22"/>
          </w:rPr>
          <w:delText xml:space="preserve">Miglioramenti clinicamente significativi rispetto al basale sono stati osservati nei punteggi IMPACT III e WPAI (Work Productivity and Activity Impairment) dei caregiver per i gruppi trattati con Humira. </w:delText>
        </w:r>
      </w:del>
    </w:p>
    <w:p w:rsidR="00555874" w:rsidRPr="00612824" w:rsidP="00555874" w14:paraId="08CFE218" w14:textId="77777777">
      <w:pPr>
        <w:rPr>
          <w:del w:id="12205" w:author="AbbVie14" w:date="2025-05-09T10:35:00Z"/>
          <w:sz w:val="22"/>
          <w:szCs w:val="22"/>
        </w:rPr>
      </w:pPr>
      <w:del w:id="12206" w:author="AbbVie14" w:date="2025-05-09T10:35:00Z">
        <w:r w:rsidRPr="00612824">
          <w:rPr>
            <w:sz w:val="22"/>
            <w:szCs w:val="22"/>
          </w:rPr>
          <w:delText xml:space="preserve">Aumenti clinicamente significativi (miglioramento) rispetto al basale della velocità </w:delText>
        </w:r>
      </w:del>
      <w:del w:id="12207" w:author="AbbVie14" w:date="2025-05-09T10:35:00Z">
        <w:r w:rsidR="0044692A">
          <w:rPr>
            <w:sz w:val="22"/>
            <w:szCs w:val="22"/>
          </w:rPr>
          <w:delText xml:space="preserve">di crescita in </w:delText>
        </w:r>
      </w:del>
      <w:del w:id="12208" w:author="AbbVie14" w:date="2025-05-09T10:35:00Z">
        <w:r w:rsidRPr="00612824">
          <w:rPr>
            <w:sz w:val="22"/>
            <w:szCs w:val="22"/>
          </w:rPr>
          <w:delText>altezza sono stati osservati per i gruppi trattati con adalimumab e aumenti clinicamente significativi (miglioramento) rispetto al basale dell'indice di massa corporea sono stati osservati</w:delText>
        </w:r>
      </w:del>
      <w:del w:id="12209" w:author="AbbVie14" w:date="2025-05-09T10:35:00Z">
        <w:r w:rsidR="0044692A">
          <w:rPr>
            <w:sz w:val="22"/>
            <w:szCs w:val="22"/>
          </w:rPr>
          <w:delText xml:space="preserve"> nei</w:delText>
        </w:r>
      </w:del>
      <w:del w:id="12210" w:author="AbbVie14" w:date="2025-05-09T10:35:00Z">
        <w:r w:rsidRPr="00612824">
          <w:rPr>
            <w:sz w:val="22"/>
            <w:szCs w:val="22"/>
          </w:rPr>
          <w:delText xml:space="preserve"> soggetti</w:delText>
        </w:r>
      </w:del>
      <w:del w:id="12211" w:author="AbbVie14" w:date="2025-05-09T10:35:00Z">
        <w:r w:rsidR="0044692A">
          <w:rPr>
            <w:sz w:val="22"/>
            <w:szCs w:val="22"/>
          </w:rPr>
          <w:delText xml:space="preserve"> trattati</w:delText>
        </w:r>
      </w:del>
      <w:del w:id="12212" w:author="AbbVie14" w:date="2025-05-09T10:35:00Z">
        <w:r w:rsidRPr="00612824">
          <w:rPr>
            <w:sz w:val="22"/>
            <w:szCs w:val="22"/>
          </w:rPr>
          <w:delText xml:space="preserve"> con </w:delText>
        </w:r>
      </w:del>
      <w:del w:id="12213" w:author="AbbVie14" w:date="2025-05-09T10:35:00Z">
        <w:r w:rsidR="0044692A">
          <w:rPr>
            <w:sz w:val="22"/>
            <w:szCs w:val="22"/>
          </w:rPr>
          <w:delText>la</w:delText>
        </w:r>
      </w:del>
      <w:del w:id="12214" w:author="AbbVie14" w:date="2025-05-09T10:35:00Z">
        <w:r w:rsidRPr="00612824">
          <w:rPr>
            <w:sz w:val="22"/>
            <w:szCs w:val="22"/>
          </w:rPr>
          <w:delText xml:space="preserve"> dose di mantenimento di massimo 40 mg (0,6 mg/kg) </w:delText>
        </w:r>
      </w:del>
      <w:del w:id="12215" w:author="AbbVie14" w:date="2025-05-09T10:35:00Z">
        <w:r w:rsidR="00335210">
          <w:rPr>
            <w:sz w:val="22"/>
            <w:szCs w:val="22"/>
          </w:rPr>
          <w:delText>ogni settimana</w:delText>
        </w:r>
      </w:del>
      <w:del w:id="12216" w:author="AbbVie14" w:date="2025-05-09T10:35:00Z">
        <w:r w:rsidRPr="00612824">
          <w:rPr>
            <w:sz w:val="22"/>
            <w:szCs w:val="22"/>
          </w:rPr>
          <w:delText>.</w:delText>
        </w:r>
      </w:del>
    </w:p>
    <w:p w:rsidR="005B3621" w:rsidRPr="005B3621" w:rsidP="005B3621" w14:paraId="2A21612D" w14:textId="77777777">
      <w:pPr>
        <w:pStyle w:val="gtcbodytext"/>
        <w:spacing w:before="0" w:after="0" w:line="240" w:lineRule="auto"/>
        <w:rPr>
          <w:del w:id="12217" w:author="AbbVie14" w:date="2025-05-09T10:35:00Z"/>
          <w:bCs/>
          <w:sz w:val="22"/>
          <w:szCs w:val="22"/>
          <w:lang w:val="it-IT"/>
        </w:rPr>
      </w:pPr>
    </w:p>
    <w:p w:rsidR="005B3621" w:rsidRPr="00612824" w:rsidP="005B3621" w14:paraId="5D99C680" w14:textId="77777777">
      <w:pPr>
        <w:pStyle w:val="gtcbodytext"/>
        <w:spacing w:before="0" w:after="0" w:line="240" w:lineRule="auto"/>
        <w:rPr>
          <w:del w:id="12218" w:author="AbbVie14" w:date="2025-05-09T10:35:00Z"/>
          <w:bCs/>
          <w:i/>
          <w:sz w:val="22"/>
          <w:szCs w:val="22"/>
          <w:lang w:val="it-IT"/>
        </w:rPr>
      </w:pPr>
      <w:del w:id="12219" w:author="AbbVie14" w:date="2025-05-09T10:35:00Z">
        <w:r w:rsidRPr="00612824">
          <w:rPr>
            <w:bCs/>
            <w:i/>
            <w:sz w:val="22"/>
            <w:szCs w:val="22"/>
            <w:lang w:val="it-IT"/>
          </w:rPr>
          <w:delText>Uveite pediatrica</w:delText>
        </w:r>
      </w:del>
    </w:p>
    <w:p w:rsidR="005B3621" w:rsidRPr="00612824" w:rsidP="005B3621" w14:paraId="6F60FD74" w14:textId="77777777">
      <w:pPr>
        <w:pStyle w:val="gtcbodytext"/>
        <w:spacing w:before="0" w:after="0" w:line="240" w:lineRule="auto"/>
        <w:rPr>
          <w:del w:id="12220" w:author="AbbVie14" w:date="2025-05-09T10:35:00Z"/>
          <w:bCs/>
          <w:sz w:val="22"/>
          <w:szCs w:val="22"/>
          <w:lang w:val="it-IT"/>
        </w:rPr>
      </w:pPr>
    </w:p>
    <w:p w:rsidR="005B3621" w:rsidRPr="00612824" w:rsidP="005B3621" w14:paraId="76E84CFD" w14:textId="77777777">
      <w:pPr>
        <w:pStyle w:val="gtcbodytext"/>
        <w:spacing w:before="0" w:after="0" w:line="240" w:lineRule="auto"/>
        <w:rPr>
          <w:del w:id="12221" w:author="AbbVie14" w:date="2025-05-09T10:35:00Z"/>
          <w:bCs/>
          <w:sz w:val="22"/>
          <w:szCs w:val="22"/>
          <w:lang w:val="it-IT"/>
        </w:rPr>
      </w:pPr>
      <w:del w:id="12222" w:author="AbbVie14" w:date="2025-05-09T10:35:00Z">
        <w:r w:rsidRPr="00612824">
          <w:rPr>
            <w:bCs/>
            <w:sz w:val="22"/>
            <w:szCs w:val="22"/>
            <w:lang w:val="it-IT"/>
          </w:rPr>
          <w:delText>La sicurezza e l’efficacia di Humira sono state valutate in uno studio randomizzato, controllato, in doppio cieco su 90 pazienti pediatrici dai 2 ai &lt;18 anni di età con uveite anteriore non infettiva attiva associata ad artrite idiopatica giovanile (JIA) refrattari ad almeno 12 settimane di trattamento con metotressato. I pazienti hanno ricevuto placebo oppure 20 mg di adalimumab (se &lt;30 kg) o 40 mg di adalimumab (se ≥30 kg) a settimane alterne in combinazione con la loro dose basale di metotressato.</w:delText>
        </w:r>
      </w:del>
    </w:p>
    <w:p w:rsidR="005B3621" w:rsidRPr="00612824" w:rsidP="005B3621" w14:paraId="48DE7DDF" w14:textId="77777777">
      <w:pPr>
        <w:pStyle w:val="gtcbodytext"/>
        <w:spacing w:before="0" w:after="0" w:line="240" w:lineRule="auto"/>
        <w:rPr>
          <w:del w:id="12223" w:author="AbbVie14" w:date="2025-05-09T10:35:00Z"/>
          <w:bCs/>
          <w:sz w:val="22"/>
          <w:szCs w:val="22"/>
          <w:lang w:val="it-IT"/>
        </w:rPr>
      </w:pPr>
    </w:p>
    <w:p w:rsidR="005B3621" w:rsidRPr="00612824" w:rsidP="005B3621" w14:paraId="1A8FA683" w14:textId="77777777">
      <w:pPr>
        <w:pStyle w:val="gtcbodytext"/>
        <w:spacing w:before="0" w:after="0" w:line="240" w:lineRule="auto"/>
        <w:rPr>
          <w:del w:id="12224" w:author="AbbVie14" w:date="2025-05-09T10:35:00Z"/>
          <w:color w:val="000000"/>
          <w:sz w:val="22"/>
          <w:szCs w:val="22"/>
          <w:lang w:val="it-IT"/>
        </w:rPr>
      </w:pPr>
      <w:del w:id="12225" w:author="AbbVie14" w:date="2025-05-09T10:35:00Z">
        <w:r w:rsidRPr="00612824">
          <w:rPr>
            <w:color w:val="000000"/>
            <w:sz w:val="22"/>
            <w:szCs w:val="22"/>
            <w:lang w:val="it-IT"/>
          </w:rPr>
          <w:delText>L'endpoint primario di efficacia in entrambi gli studi era il “tempo al fallimento del trattamento”. I criteri che definivano il fallimento del trattamento erano il peggioramento o l’assenza prolungata di un miglioramento dell’infiammazione oculare, il miglioramento parziale con sviluppo di comorbidità oculari prolungate o peggioramento delle comorbidità oculari esistenti, l’uso non consentito di medicinali concomitanti e la sospensione del trattamento per un periodo di tempo prolungato.</w:delText>
        </w:r>
      </w:del>
    </w:p>
    <w:p w:rsidR="005B3621" w:rsidRPr="00612824" w:rsidP="005B3621" w14:paraId="13F3A28B" w14:textId="77777777">
      <w:pPr>
        <w:pStyle w:val="gtcbodytext"/>
        <w:spacing w:before="0" w:after="0" w:line="240" w:lineRule="auto"/>
        <w:rPr>
          <w:del w:id="12226" w:author="AbbVie14" w:date="2025-05-09T10:35:00Z"/>
          <w:bCs/>
          <w:sz w:val="22"/>
          <w:szCs w:val="22"/>
          <w:lang w:val="it-IT"/>
        </w:rPr>
      </w:pPr>
    </w:p>
    <w:p w:rsidR="005B3621" w:rsidRPr="00612824" w:rsidP="005B3621" w14:paraId="04AF75C2" w14:textId="77777777">
      <w:pPr>
        <w:pStyle w:val="EMEAHeadingUnderline"/>
        <w:spacing w:beforeLines="0" w:afterLines="0"/>
        <w:rPr>
          <w:del w:id="12227" w:author="AbbVie14" w:date="2025-05-09T10:35:00Z"/>
          <w:i/>
          <w:lang w:val="it-IT"/>
        </w:rPr>
      </w:pPr>
      <w:del w:id="12228" w:author="AbbVie14" w:date="2025-05-09T10:35:00Z">
        <w:r w:rsidRPr="00612824">
          <w:rPr>
            <w:i/>
            <w:lang w:val="it-IT"/>
          </w:rPr>
          <w:delText>Risposta clinica</w:delText>
        </w:r>
      </w:del>
    </w:p>
    <w:p w:rsidR="005B3621" w:rsidRPr="00612824" w:rsidP="005B3621" w14:paraId="5A453CFC" w14:textId="77777777">
      <w:pPr>
        <w:pStyle w:val="gtcbodytext"/>
        <w:spacing w:before="0" w:after="0" w:line="240" w:lineRule="auto"/>
        <w:rPr>
          <w:del w:id="12229" w:author="AbbVie14" w:date="2025-05-09T10:35:00Z"/>
          <w:i/>
          <w:sz w:val="22"/>
          <w:szCs w:val="22"/>
          <w:u w:val="single"/>
          <w:lang w:val="it-IT"/>
        </w:rPr>
      </w:pPr>
    </w:p>
    <w:p w:rsidR="005B3621" w:rsidRPr="00612824" w:rsidP="005B3621" w14:paraId="2D418184" w14:textId="77777777">
      <w:pPr>
        <w:pStyle w:val="gtcbodytext"/>
        <w:spacing w:before="0" w:after="0" w:line="240" w:lineRule="auto"/>
        <w:rPr>
          <w:del w:id="12230" w:author="AbbVie14" w:date="2025-05-09T10:35:00Z"/>
          <w:color w:val="000000"/>
          <w:sz w:val="22"/>
          <w:szCs w:val="22"/>
          <w:lang w:val="it-IT"/>
        </w:rPr>
      </w:pPr>
      <w:del w:id="12231" w:author="AbbVie14" w:date="2025-05-09T10:35:00Z">
        <w:r w:rsidRPr="00612824">
          <w:rPr>
            <w:bCs/>
            <w:sz w:val="22"/>
            <w:szCs w:val="22"/>
            <w:lang w:val="it-IT"/>
          </w:rPr>
          <w:delText xml:space="preserve">Adalimumab ha ritardato in misura significativa il tempo al fallimento del trattamento rispetto al placebo (vedere Figura 3, P &lt;0,0001 </w:delText>
        </w:r>
      </w:del>
      <w:del w:id="12232" w:author="AbbVie14" w:date="2025-05-09T10:35:00Z">
        <w:r w:rsidRPr="00612824">
          <w:rPr>
            <w:color w:val="000000"/>
            <w:sz w:val="22"/>
            <w:szCs w:val="22"/>
            <w:lang w:val="it-IT"/>
          </w:rPr>
          <w:delText>dal test dei ranghi logaritmici). La mediana del tempo al fallimento del trattamento è stata di 24,1 settimane per i soggetti trattati con placebo, mentre la mediana del tempo al fallimento del trattamento è risultata non valutabile per i soggetti trattati con adalimumab in quanto meno di metà di questi soggetti è andata incontro a fallimento del trattamento. Adalimumab ha ridotto in maniera significativa il rischio di fallimento del trattamento nella misura del 75% rispetto al placebo, come evidenziato dal rapporto di rischio (HR = 0,25 [IC al 95%: 0,12; 0,49]).</w:delText>
        </w:r>
      </w:del>
    </w:p>
    <w:p w:rsidR="005B3621" w:rsidRPr="00612824" w:rsidP="005B3621" w14:paraId="451262FE" w14:textId="77777777">
      <w:pPr>
        <w:keepNext/>
        <w:tabs>
          <w:tab w:val="left" w:pos="562"/>
        </w:tabs>
        <w:suppressAutoHyphens/>
        <w:jc w:val="center"/>
        <w:rPr>
          <w:del w:id="12233" w:author="AbbVie14" w:date="2025-05-09T10:35:00Z"/>
          <w:b/>
          <w:sz w:val="22"/>
          <w:szCs w:val="22"/>
        </w:rPr>
      </w:pPr>
    </w:p>
    <w:p w:rsidR="005B3621" w:rsidRPr="00612824" w:rsidP="005B3621" w14:paraId="6D6C9365" w14:textId="77777777">
      <w:pPr>
        <w:keepNext/>
        <w:tabs>
          <w:tab w:val="left" w:pos="562"/>
        </w:tabs>
        <w:suppressAutoHyphens/>
        <w:jc w:val="center"/>
        <w:rPr>
          <w:del w:id="12234" w:author="AbbVie14" w:date="2025-05-09T10:35:00Z"/>
          <w:b/>
          <w:sz w:val="22"/>
          <w:szCs w:val="22"/>
          <w:lang w:eastAsia="en-US"/>
        </w:rPr>
      </w:pPr>
      <w:del w:id="12235" w:author="AbbVie14" w:date="2025-05-09T10:35:00Z">
        <w:r w:rsidRPr="00612824">
          <w:rPr>
            <w:b/>
            <w:sz w:val="22"/>
            <w:szCs w:val="22"/>
          </w:rPr>
          <w:delText xml:space="preserve">Figura 3: </w:delText>
        </w:r>
      </w:del>
      <w:del w:id="12236" w:author="AbbVie14" w:date="2025-05-09T10:35:00Z">
        <w:r w:rsidRPr="00612824">
          <w:rPr>
            <w:b/>
            <w:sz w:val="22"/>
            <w:szCs w:val="22"/>
            <w:lang w:eastAsia="en-US"/>
          </w:rPr>
          <w:delText>curve di Kaplan-Meier del tempo al fallimento del trattamento nello studio sull’uveite pediatrica</w:delText>
        </w:r>
      </w:del>
    </w:p>
    <w:p w:rsidR="005B3621" w:rsidRPr="00612824" w:rsidP="005B3621" w14:paraId="795F83D2" w14:textId="77777777">
      <w:pPr>
        <w:keepNext/>
        <w:tabs>
          <w:tab w:val="left" w:pos="562"/>
        </w:tabs>
        <w:suppressAutoHyphens/>
        <w:jc w:val="center"/>
        <w:rPr>
          <w:del w:id="12237" w:author="AbbVie14" w:date="2025-05-09T10:35:00Z"/>
          <w:b/>
          <w:sz w:val="22"/>
          <w:szCs w:val="22"/>
          <w:lang w:eastAsia="en-US"/>
        </w:rPr>
      </w:pPr>
    </w:p>
    <w:tbl>
      <w:tblPr>
        <w:tblW w:w="9288" w:type="dxa"/>
        <w:tblLayout w:type="fixed"/>
        <w:tblLook w:val="04A0"/>
      </w:tblPr>
      <w:tblGrid>
        <w:gridCol w:w="468"/>
        <w:gridCol w:w="3510"/>
        <w:gridCol w:w="1170"/>
        <w:gridCol w:w="1350"/>
        <w:gridCol w:w="900"/>
        <w:gridCol w:w="1890"/>
      </w:tblGrid>
      <w:tr w14:paraId="0DEF284E" w14:textId="77777777" w:rsidTr="00F83E38">
        <w:tblPrEx>
          <w:tblW w:w="9288" w:type="dxa"/>
          <w:tblLayout w:type="fixed"/>
          <w:tblLook w:val="04A0"/>
        </w:tblPrEx>
        <w:trPr>
          <w:cantSplit/>
          <w:trHeight w:val="3806"/>
          <w:del w:id="12238" w:author="AbbVie14" w:date="2025-05-09T10:35:00Z"/>
        </w:trPr>
        <w:tc>
          <w:tcPr>
            <w:tcW w:w="468" w:type="dxa"/>
            <w:textDirection w:val="btLr"/>
            <w:vAlign w:val="bottom"/>
          </w:tcPr>
          <w:p w:rsidR="005B3621" w:rsidRPr="00612824" w:rsidP="00F83E38" w14:paraId="6051127D" w14:textId="77777777">
            <w:pPr>
              <w:pStyle w:val="EMEANormal"/>
              <w:keepNext/>
              <w:ind w:left="113" w:right="113"/>
              <w:jc w:val="center"/>
              <w:rPr>
                <w:del w:id="12239" w:author="AbbVie14" w:date="2025-05-09T10:35:00Z"/>
                <w:b/>
                <w:lang w:val="it-IT"/>
              </w:rPr>
            </w:pPr>
            <w:del w:id="12240" w:author="AbbVie14" w:date="2025-05-09T10:35:00Z">
              <w:r w:rsidRPr="00612824">
                <w:rPr>
                  <w:b/>
                  <w:lang w:val="it-IT"/>
                </w:rPr>
                <w:delText>P</w:delText>
              </w:r>
            </w:del>
            <w:del w:id="12241" w:author="AbbVie14" w:date="2025-05-09T10:35:00Z">
              <w:r w:rsidRPr="00612824">
                <w:rPr>
                  <w:b/>
                  <w:caps/>
                  <w:lang w:val="it-IT"/>
                </w:rPr>
                <w:delText>ROBABILITà di fallimento del trattamento</w:delText>
              </w:r>
            </w:del>
          </w:p>
        </w:tc>
        <w:tc>
          <w:tcPr>
            <w:tcW w:w="8820" w:type="dxa"/>
            <w:gridSpan w:val="5"/>
            <w:vAlign w:val="bottom"/>
          </w:tcPr>
          <w:p w:rsidR="005B3621" w:rsidRPr="00612824" w:rsidP="00F83E38" w14:paraId="213F2159" w14:textId="77777777">
            <w:pPr>
              <w:pStyle w:val="EMEANormal"/>
              <w:keepNext/>
              <w:rPr>
                <w:del w:id="12242" w:author="AbbVie14" w:date="2025-05-09T10:35:00Z"/>
                <w:lang w:val="it-IT"/>
              </w:rPr>
            </w:pPr>
            <w:del w:id="12243" w:author="AbbVie14" w:date="2025-05-09T10:35:00Z">
              <w:r w:rsidRPr="003B3A5A">
                <w:rPr>
                  <w:noProof/>
                  <w:lang w:val="en-GB"/>
                </w:rPr>
                <w:drawing>
                  <wp:inline distT="0" distB="0" distL="0" distR="0">
                    <wp:extent cx="5486400" cy="4552950"/>
                    <wp:effectExtent l="0" t="0" r="0" b="0"/>
                    <wp:docPr id="157" name="Immagine 72"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 descr="Humira PED UV KM Curve REVISED 3"/>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del>
          </w:p>
        </w:tc>
      </w:tr>
      <w:tr w14:paraId="6C072047" w14:textId="77777777" w:rsidTr="00F83E38">
        <w:tblPrEx>
          <w:tblW w:w="9288" w:type="dxa"/>
          <w:tblLayout w:type="fixed"/>
          <w:tblLook w:val="04A0"/>
        </w:tblPrEx>
        <w:trPr>
          <w:del w:id="12244" w:author="AbbVie14" w:date="2025-05-09T10:35:00Z"/>
        </w:trPr>
        <w:tc>
          <w:tcPr>
            <w:tcW w:w="468" w:type="dxa"/>
          </w:tcPr>
          <w:p w:rsidR="005B3621" w:rsidRPr="00612824" w:rsidP="00F83E38" w14:paraId="2AE9EB10" w14:textId="77777777">
            <w:pPr>
              <w:pStyle w:val="EMEANormal"/>
              <w:keepNext/>
              <w:rPr>
                <w:del w:id="12245" w:author="AbbVie14" w:date="2025-05-09T10:35:00Z"/>
                <w:lang w:val="it-IT"/>
              </w:rPr>
            </w:pPr>
          </w:p>
        </w:tc>
        <w:tc>
          <w:tcPr>
            <w:tcW w:w="8820" w:type="dxa"/>
            <w:gridSpan w:val="5"/>
          </w:tcPr>
          <w:p w:rsidR="005B3621" w:rsidRPr="00612824" w:rsidP="00F83E38" w14:paraId="6AEB9D86" w14:textId="77777777">
            <w:pPr>
              <w:pStyle w:val="EMEANormal"/>
              <w:keepNext/>
              <w:jc w:val="center"/>
              <w:rPr>
                <w:del w:id="12246" w:author="AbbVie14" w:date="2025-05-09T10:35:00Z"/>
                <w:b/>
                <w:lang w:val="it-IT"/>
              </w:rPr>
            </w:pPr>
            <w:del w:id="12247" w:author="AbbVie14" w:date="2025-05-09T10:35:00Z">
              <w:r w:rsidRPr="00612824">
                <w:rPr>
                  <w:b/>
                  <w:lang w:val="it-IT"/>
                </w:rPr>
                <w:delText>TEMPO (SETTIMANE)</w:delText>
              </w:r>
            </w:del>
          </w:p>
        </w:tc>
      </w:tr>
      <w:tr w14:paraId="312EFF8C" w14:textId="77777777" w:rsidTr="00F83E38">
        <w:tblPrEx>
          <w:tblW w:w="9288" w:type="dxa"/>
          <w:tblLayout w:type="fixed"/>
          <w:tblLook w:val="04A0"/>
        </w:tblPrEx>
        <w:trPr>
          <w:del w:id="12248" w:author="AbbVie14" w:date="2025-05-09T10:35:00Z"/>
        </w:trPr>
        <w:tc>
          <w:tcPr>
            <w:tcW w:w="468" w:type="dxa"/>
          </w:tcPr>
          <w:p w:rsidR="005B3621" w:rsidRPr="00612824" w:rsidP="00F83E38" w14:paraId="686E34B5" w14:textId="77777777">
            <w:pPr>
              <w:pStyle w:val="EMEANormal"/>
              <w:keepNext/>
              <w:rPr>
                <w:del w:id="12249" w:author="AbbVie14" w:date="2025-05-09T10:35:00Z"/>
                <w:lang w:val="it-IT"/>
              </w:rPr>
            </w:pPr>
          </w:p>
        </w:tc>
        <w:tc>
          <w:tcPr>
            <w:tcW w:w="3510" w:type="dxa"/>
          </w:tcPr>
          <w:p w:rsidR="005B3621" w:rsidRPr="00612824" w:rsidP="00F83E38" w14:paraId="66E8F9C4" w14:textId="77777777">
            <w:pPr>
              <w:pStyle w:val="EMEANormal"/>
              <w:keepNext/>
              <w:rPr>
                <w:del w:id="12250" w:author="AbbVie14" w:date="2025-05-09T10:35:00Z"/>
                <w:lang w:val="it-IT"/>
              </w:rPr>
            </w:pPr>
            <w:del w:id="12251" w:author="AbbVie14" w:date="2025-05-09T10:35:00Z">
              <w:r w:rsidRPr="00612824">
                <w:rPr>
                  <w:lang w:val="it-IT"/>
                </w:rPr>
                <w:delText>Trattamento</w:delText>
              </w:r>
            </w:del>
          </w:p>
        </w:tc>
        <w:tc>
          <w:tcPr>
            <w:tcW w:w="1170" w:type="dxa"/>
            <w:vAlign w:val="bottom"/>
          </w:tcPr>
          <w:p w:rsidR="005B3621" w:rsidRPr="00612824" w:rsidP="00F83E38" w14:paraId="12C2B144" w14:textId="77777777">
            <w:pPr>
              <w:pStyle w:val="EMEANormal"/>
              <w:keepNext/>
              <w:jc w:val="center"/>
              <w:rPr>
                <w:del w:id="12252" w:author="AbbVie14" w:date="2025-05-09T10:35:00Z"/>
                <w:lang w:val="it-IT"/>
              </w:rPr>
            </w:pPr>
            <w:del w:id="12253" w:author="AbbVie14" w:date="2025-05-09T10:35:00Z">
              <w:r w:rsidRPr="003B3A5A">
                <w:rPr>
                  <w:noProof/>
                  <w:lang w:val="en-GB"/>
                </w:rPr>
                <w:drawing>
                  <wp:inline distT="0" distB="0" distL="0" distR="0">
                    <wp:extent cx="457200" cy="123825"/>
                    <wp:effectExtent l="0" t="0" r="0" b="0"/>
                    <wp:docPr id="158" name="Immagine 87"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2" descr="Humira PED UV KM Curve 11"/>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del>
          </w:p>
        </w:tc>
        <w:tc>
          <w:tcPr>
            <w:tcW w:w="1350" w:type="dxa"/>
          </w:tcPr>
          <w:p w:rsidR="005B3621" w:rsidRPr="00612824" w:rsidP="00F83E38" w14:paraId="5217481B" w14:textId="77777777">
            <w:pPr>
              <w:pStyle w:val="EMEANormal"/>
              <w:keepNext/>
              <w:rPr>
                <w:del w:id="12254" w:author="AbbVie14" w:date="2025-05-09T10:35:00Z"/>
                <w:lang w:val="it-IT"/>
              </w:rPr>
            </w:pPr>
            <w:del w:id="12255" w:author="AbbVie14" w:date="2025-05-09T10:35:00Z">
              <w:r w:rsidRPr="00612824">
                <w:rPr>
                  <w:lang w:val="it-IT"/>
                </w:rPr>
                <w:delText>Placebo</w:delText>
              </w:r>
            </w:del>
          </w:p>
        </w:tc>
        <w:tc>
          <w:tcPr>
            <w:tcW w:w="900" w:type="dxa"/>
            <w:vAlign w:val="center"/>
          </w:tcPr>
          <w:p w:rsidR="005B3621" w:rsidRPr="00612824" w:rsidP="00F83E38" w14:paraId="62361BCF" w14:textId="77777777">
            <w:pPr>
              <w:pStyle w:val="EMEANormal"/>
              <w:keepNext/>
              <w:rPr>
                <w:del w:id="12256" w:author="AbbVie14" w:date="2025-05-09T10:35:00Z"/>
                <w:lang w:val="it-IT"/>
              </w:rPr>
            </w:pPr>
            <w:del w:id="12257" w:author="AbbVie14" w:date="2025-05-09T10:35:00Z">
              <w:r w:rsidRPr="003B3A5A">
                <w:rPr>
                  <w:noProof/>
                  <w:lang w:val="en-GB"/>
                </w:rPr>
                <w:drawing>
                  <wp:inline distT="0" distB="0" distL="0" distR="0">
                    <wp:extent cx="457200" cy="85725"/>
                    <wp:effectExtent l="0" t="0" r="0" b="0"/>
                    <wp:docPr id="159" name="Immagine 88"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3" descr="Humira PED UV KM Curve 11"/>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del>
          </w:p>
        </w:tc>
        <w:tc>
          <w:tcPr>
            <w:tcW w:w="1890" w:type="dxa"/>
          </w:tcPr>
          <w:p w:rsidR="005B3621" w:rsidRPr="00612824" w:rsidP="00F83E38" w14:paraId="50D5B289" w14:textId="77777777">
            <w:pPr>
              <w:pStyle w:val="EMEANormal"/>
              <w:keepNext/>
              <w:rPr>
                <w:del w:id="12258" w:author="AbbVie14" w:date="2025-05-09T10:35:00Z"/>
                <w:lang w:val="it-IT"/>
              </w:rPr>
            </w:pPr>
            <w:del w:id="12259" w:author="AbbVie14" w:date="2025-05-09T10:35:00Z">
              <w:r w:rsidRPr="00612824">
                <w:rPr>
                  <w:lang w:val="it-IT"/>
                </w:rPr>
                <w:delText>Adalimumab</w:delText>
              </w:r>
            </w:del>
          </w:p>
        </w:tc>
      </w:tr>
      <w:tr w14:paraId="5BBFE500" w14:textId="77777777" w:rsidTr="00F83E38">
        <w:tblPrEx>
          <w:tblW w:w="9288" w:type="dxa"/>
          <w:tblLayout w:type="fixed"/>
          <w:tblLook w:val="04A0"/>
        </w:tblPrEx>
        <w:trPr>
          <w:del w:id="12260" w:author="AbbVie14" w:date="2025-05-09T10:35:00Z"/>
        </w:trPr>
        <w:tc>
          <w:tcPr>
            <w:tcW w:w="468" w:type="dxa"/>
          </w:tcPr>
          <w:p w:rsidR="005B3621" w:rsidRPr="00612824" w:rsidP="00F83E38" w14:paraId="730E662A" w14:textId="77777777">
            <w:pPr>
              <w:pStyle w:val="EMEANormal"/>
              <w:rPr>
                <w:del w:id="12261" w:author="AbbVie14" w:date="2025-05-09T10:35:00Z"/>
                <w:lang w:val="it-IT"/>
              </w:rPr>
            </w:pPr>
          </w:p>
        </w:tc>
        <w:tc>
          <w:tcPr>
            <w:tcW w:w="8820" w:type="dxa"/>
            <w:gridSpan w:val="5"/>
          </w:tcPr>
          <w:p w:rsidR="005B3621" w:rsidRPr="00295E71" w:rsidP="00F83E38" w14:paraId="0A723DF7" w14:textId="77777777">
            <w:pPr>
              <w:pStyle w:val="EMEANormal"/>
              <w:rPr>
                <w:del w:id="12262" w:author="AbbVie14" w:date="2025-05-09T10:35:00Z"/>
                <w:lang w:val="it-IT"/>
              </w:rPr>
            </w:pPr>
            <w:del w:id="12263" w:author="AbbVie14" w:date="2025-05-09T10:35:00Z">
              <w:r w:rsidRPr="00612824">
                <w:rPr>
                  <w:lang w:val="it-IT"/>
                </w:rPr>
                <w:delText>Nota: P = Placebo (Numero a rischio); H = HUMIRA (Numero a rischio).</w:delText>
              </w:r>
            </w:del>
          </w:p>
        </w:tc>
      </w:tr>
    </w:tbl>
    <w:p w:rsidR="006224C2" w:rsidRPr="00363FE8" w14:paraId="6BC11AA6" w14:textId="77777777">
      <w:pPr>
        <w:tabs>
          <w:tab w:val="left" w:pos="567"/>
          <w:tab w:val="left" w:pos="1294"/>
        </w:tabs>
        <w:autoSpaceDE w:val="0"/>
        <w:autoSpaceDN w:val="0"/>
        <w:adjustRightInd w:val="0"/>
        <w:jc w:val="both"/>
        <w:rPr>
          <w:del w:id="12264" w:author="AbbVie14" w:date="2025-05-09T10:35:00Z"/>
          <w:b/>
          <w:bCs/>
          <w:color w:val="000000"/>
          <w:sz w:val="22"/>
          <w:szCs w:val="22"/>
          <w:rPrChange w:id="12265" w:author="AbbVie14" w:date="2025-09-08T15:01:00Z">
            <w:rPr>
              <w:color w:val="000000"/>
              <w:sz w:val="22"/>
              <w:szCs w:val="22"/>
            </w:rPr>
          </w:rPrChange>
        </w:rPr>
      </w:pPr>
    </w:p>
    <w:p w:rsidR="006224C2" w:rsidRPr="00363FE8" w:rsidP="00612824" w14:paraId="6A28307D" w14:textId="77777777">
      <w:pPr>
        <w:keepNext/>
        <w:numPr>
          <w:ilvl w:val="1"/>
          <w:numId w:val="18"/>
        </w:numPr>
        <w:tabs>
          <w:tab w:val="clear" w:pos="360"/>
          <w:tab w:val="num" w:pos="540"/>
          <w:tab w:val="left" w:pos="567"/>
        </w:tabs>
        <w:ind w:left="540" w:hanging="540"/>
        <w:jc w:val="both"/>
        <w:rPr>
          <w:del w:id="12266" w:author="AbbVie14" w:date="2025-05-09T10:35:00Z"/>
          <w:b/>
          <w:bCs/>
          <w:sz w:val="22"/>
          <w:szCs w:val="22"/>
          <w:rPrChange w:id="12267" w:author="AbbVie14" w:date="2025-09-08T15:01:00Z">
            <w:rPr>
              <w:bCs/>
              <w:sz w:val="22"/>
              <w:szCs w:val="22"/>
            </w:rPr>
          </w:rPrChange>
        </w:rPr>
      </w:pPr>
      <w:del w:id="12268" w:author="AbbVie14" w:date="2025-05-09T10:35:00Z">
        <w:r w:rsidRPr="00363FE8">
          <w:rPr>
            <w:b/>
            <w:bCs/>
            <w:sz w:val="22"/>
            <w:szCs w:val="22"/>
          </w:rPr>
          <w:delText>Proprietà farmacocinetiche</w:delText>
        </w:r>
      </w:del>
    </w:p>
    <w:p w:rsidR="006224C2" w:rsidRPr="00363FE8" w:rsidP="00612824" w14:paraId="22D911B0" w14:textId="77777777">
      <w:pPr>
        <w:keepNext/>
        <w:tabs>
          <w:tab w:val="left" w:pos="567"/>
        </w:tabs>
        <w:jc w:val="both"/>
        <w:rPr>
          <w:del w:id="12269" w:author="AbbVie14" w:date="2025-05-09T10:35:00Z"/>
          <w:b/>
          <w:bCs/>
          <w:sz w:val="22"/>
          <w:szCs w:val="22"/>
          <w:rPrChange w:id="12270" w:author="AbbVie14" w:date="2025-09-08T15:01:00Z">
            <w:rPr>
              <w:sz w:val="22"/>
              <w:szCs w:val="22"/>
            </w:rPr>
          </w:rPrChange>
        </w:rPr>
      </w:pPr>
    </w:p>
    <w:p w:rsidR="006224C2" w:rsidRPr="00363FE8" w:rsidP="00612824" w14:paraId="7C886473" w14:textId="77777777">
      <w:pPr>
        <w:keepNext/>
        <w:tabs>
          <w:tab w:val="left" w:pos="567"/>
        </w:tabs>
        <w:autoSpaceDE w:val="0"/>
        <w:autoSpaceDN w:val="0"/>
        <w:adjustRightInd w:val="0"/>
        <w:jc w:val="both"/>
        <w:rPr>
          <w:del w:id="12271" w:author="AbbVie14" w:date="2025-05-09T10:35:00Z"/>
          <w:b/>
          <w:bCs/>
          <w:color w:val="000000"/>
          <w:sz w:val="22"/>
          <w:szCs w:val="22"/>
          <w:u w:val="single"/>
          <w:rPrChange w:id="12272" w:author="AbbVie14" w:date="2025-09-08T15:01:00Z">
            <w:rPr>
              <w:color w:val="000000"/>
              <w:sz w:val="22"/>
              <w:szCs w:val="22"/>
              <w:u w:val="single"/>
            </w:rPr>
          </w:rPrChange>
        </w:rPr>
      </w:pPr>
      <w:del w:id="12273" w:author="AbbVie14" w:date="2025-05-09T10:35:00Z">
        <w:r w:rsidRPr="00363FE8">
          <w:rPr>
            <w:b/>
            <w:bCs/>
            <w:color w:val="000000"/>
            <w:sz w:val="22"/>
            <w:szCs w:val="22"/>
            <w:u w:val="single"/>
            <w:rPrChange w:id="12274" w:author="AbbVie14" w:date="2025-09-08T15:01:00Z">
              <w:rPr>
                <w:color w:val="000000"/>
                <w:sz w:val="22"/>
                <w:szCs w:val="22"/>
                <w:u w:val="single"/>
              </w:rPr>
            </w:rPrChange>
          </w:rPr>
          <w:delText>Assorbimento e distribuzione</w:delText>
        </w:r>
      </w:del>
    </w:p>
    <w:p w:rsidR="006224C2" w:rsidRPr="00363FE8" w:rsidP="00612824" w14:paraId="178295FA" w14:textId="77777777">
      <w:pPr>
        <w:keepNext/>
        <w:tabs>
          <w:tab w:val="left" w:pos="567"/>
        </w:tabs>
        <w:autoSpaceDE w:val="0"/>
        <w:autoSpaceDN w:val="0"/>
        <w:adjustRightInd w:val="0"/>
        <w:jc w:val="both"/>
        <w:rPr>
          <w:del w:id="12275" w:author="AbbVie14" w:date="2025-05-09T10:35:00Z"/>
          <w:b/>
          <w:bCs/>
          <w:color w:val="000000"/>
          <w:sz w:val="22"/>
          <w:szCs w:val="22"/>
          <w:rPrChange w:id="12276" w:author="AbbVie14" w:date="2025-09-08T15:01:00Z">
            <w:rPr>
              <w:color w:val="000000"/>
              <w:sz w:val="22"/>
              <w:szCs w:val="22"/>
            </w:rPr>
          </w:rPrChange>
        </w:rPr>
      </w:pPr>
    </w:p>
    <w:p w:rsidR="006224C2" w:rsidRPr="00363FE8" w:rsidP="00F57FE5" w14:paraId="07C05797" w14:textId="77777777">
      <w:pPr>
        <w:keepNext/>
        <w:keepLines/>
        <w:tabs>
          <w:tab w:val="left" w:pos="567"/>
        </w:tabs>
        <w:autoSpaceDE w:val="0"/>
        <w:autoSpaceDN w:val="0"/>
        <w:adjustRightInd w:val="0"/>
        <w:jc w:val="both"/>
        <w:rPr>
          <w:del w:id="12277" w:author="AbbVie14" w:date="2025-05-09T10:35:00Z"/>
          <w:b/>
          <w:bCs/>
          <w:color w:val="000000"/>
          <w:sz w:val="22"/>
          <w:szCs w:val="22"/>
          <w:rPrChange w:id="12278" w:author="AbbVie14" w:date="2025-09-08T15:01:00Z">
            <w:rPr>
              <w:color w:val="000000"/>
              <w:sz w:val="22"/>
              <w:szCs w:val="22"/>
            </w:rPr>
          </w:rPrChange>
        </w:rPr>
      </w:pPr>
      <w:del w:id="12279" w:author="AbbVie14" w:date="2025-05-09T10:35:00Z">
        <w:r w:rsidRPr="00363FE8">
          <w:rPr>
            <w:b/>
            <w:bCs/>
            <w:color w:val="000000"/>
            <w:sz w:val="22"/>
            <w:szCs w:val="22"/>
            <w:rPrChange w:id="12280" w:author="AbbVie14" w:date="2025-09-08T15:01:00Z">
              <w:rPr>
                <w:color w:val="000000"/>
                <w:sz w:val="22"/>
                <w:szCs w:val="22"/>
              </w:rPr>
            </w:rPrChange>
          </w:rPr>
          <w:delText>Dopo la somministrazione sottocutanea di una singola dose di 40 mg, l’assorbimento e la distribuzione di adalimumab sono stati lenti, con picchi di concentrazione sierica raggiunti circa 5 giorni dopo la somministrazione.</w:delText>
        </w:r>
      </w:del>
      <w:del w:id="12281" w:author="AbbVie14" w:date="2025-05-09T10:35:00Z">
        <w:r w:rsidRPr="00363FE8" w:rsidR="00304A8D">
          <w:rPr>
            <w:b/>
            <w:bCs/>
            <w:color w:val="000000"/>
            <w:sz w:val="22"/>
            <w:szCs w:val="22"/>
            <w:rPrChange w:id="12282" w:author="AbbVie14" w:date="2025-09-08T15:01:00Z">
              <w:rPr>
                <w:color w:val="000000"/>
                <w:sz w:val="22"/>
                <w:szCs w:val="22"/>
              </w:rPr>
            </w:rPrChange>
          </w:rPr>
          <w:delText xml:space="preserve"> </w:delText>
        </w:r>
      </w:del>
      <w:del w:id="12283" w:author="AbbVie14" w:date="2025-05-09T10:35:00Z">
        <w:r w:rsidRPr="00363FE8">
          <w:rPr>
            <w:b/>
            <w:bCs/>
            <w:color w:val="000000"/>
            <w:sz w:val="22"/>
            <w:szCs w:val="22"/>
            <w:rPrChange w:id="12284" w:author="AbbVie14" w:date="2025-09-08T15:01:00Z">
              <w:rPr>
                <w:color w:val="000000"/>
                <w:sz w:val="22"/>
                <w:szCs w:val="22"/>
              </w:rPr>
            </w:rPrChange>
          </w:rPr>
          <w:delText>La biodisponibilità media assoluta di adalimumab rilevata nei tre studi dopo una dose sottocutanea unica di 40 mg è stata del 64%.</w:delText>
        </w:r>
      </w:del>
      <w:del w:id="12285" w:author="AbbVie14" w:date="2025-05-09T10:35:00Z">
        <w:r w:rsidRPr="00363FE8" w:rsidR="0066449A">
          <w:rPr>
            <w:b/>
            <w:bCs/>
            <w:color w:val="000000"/>
            <w:sz w:val="22"/>
            <w:szCs w:val="22"/>
            <w:rPrChange w:id="12286" w:author="AbbVie14" w:date="2025-09-08T15:01:00Z">
              <w:rPr>
                <w:color w:val="000000"/>
                <w:sz w:val="22"/>
                <w:szCs w:val="22"/>
              </w:rPr>
            </w:rPrChange>
          </w:rPr>
          <w:delText xml:space="preserve"> </w:delText>
        </w:r>
      </w:del>
      <w:del w:id="12287" w:author="AbbVie14" w:date="2025-05-09T10:35:00Z">
        <w:r w:rsidRPr="00363FE8">
          <w:rPr>
            <w:b/>
            <w:bCs/>
            <w:color w:val="000000"/>
            <w:sz w:val="22"/>
            <w:szCs w:val="22"/>
            <w:rPrChange w:id="12288" w:author="AbbVie14" w:date="2025-09-08T15:01:00Z">
              <w:rPr>
                <w:color w:val="000000"/>
                <w:sz w:val="22"/>
                <w:szCs w:val="22"/>
              </w:rPr>
            </w:rPrChange>
          </w:rPr>
          <w:delText>Dopo dosi endovenose singole da 0,25 a 10 mg/kg, le concentrazioni sono state proporzionali alla dose. Dopo dosi di 0,5 mg/kg (~40 mg), la clearance è variata da 11 a 15 ml/ora, il volume di distribuzione (V</w:delText>
        </w:r>
      </w:del>
      <w:del w:id="12289" w:author="AbbVie14" w:date="2025-05-09T10:35:00Z">
        <w:r w:rsidRPr="00363FE8">
          <w:rPr>
            <w:b/>
            <w:bCs/>
            <w:color w:val="000000"/>
            <w:sz w:val="22"/>
            <w:szCs w:val="22"/>
            <w:vertAlign w:val="subscript"/>
            <w:rPrChange w:id="12290" w:author="AbbVie14" w:date="2025-09-08T15:01:00Z">
              <w:rPr>
                <w:color w:val="000000"/>
                <w:sz w:val="22"/>
                <w:szCs w:val="22"/>
                <w:vertAlign w:val="subscript"/>
              </w:rPr>
            </w:rPrChange>
          </w:rPr>
          <w:delText>ss</w:delText>
        </w:r>
      </w:del>
      <w:del w:id="12291" w:author="AbbVie14" w:date="2025-05-09T10:35:00Z">
        <w:r w:rsidRPr="00363FE8">
          <w:rPr>
            <w:b/>
            <w:bCs/>
            <w:color w:val="000000"/>
            <w:sz w:val="22"/>
            <w:szCs w:val="22"/>
            <w:rPrChange w:id="12292" w:author="AbbVie14" w:date="2025-09-08T15:01:00Z">
              <w:rPr>
                <w:color w:val="000000"/>
                <w:sz w:val="22"/>
                <w:szCs w:val="22"/>
              </w:rPr>
            </w:rPrChange>
          </w:rPr>
          <w:delText xml:space="preserve">) è variato dai 5 ai 6 litri, e l’emivita media della fase finale è stata di circa due settimane. Le concentrazioni di adalimumab nel liquido sinoviale in diversi pazienti affetti da artrite reumatoide sono </w:delText>
        </w:r>
      </w:del>
      <w:del w:id="12293" w:author="AbbVie14" w:date="2025-05-09T10:35:00Z">
        <w:r w:rsidRPr="00363FE8" w:rsidR="0085279B">
          <w:rPr>
            <w:b/>
            <w:bCs/>
            <w:color w:val="000000"/>
            <w:sz w:val="22"/>
            <w:szCs w:val="22"/>
            <w:rPrChange w:id="12294" w:author="AbbVie14" w:date="2025-09-08T15:01:00Z">
              <w:rPr>
                <w:color w:val="000000"/>
                <w:sz w:val="22"/>
                <w:szCs w:val="22"/>
              </w:rPr>
            </w:rPrChange>
          </w:rPr>
          <w:delText>state</w:delText>
        </w:r>
      </w:del>
      <w:del w:id="12295" w:author="AbbVie14" w:date="2025-05-09T10:35:00Z">
        <w:r w:rsidRPr="00363FE8">
          <w:rPr>
            <w:b/>
            <w:bCs/>
            <w:color w:val="000000"/>
            <w:sz w:val="22"/>
            <w:szCs w:val="22"/>
            <w:rPrChange w:id="12296" w:author="AbbVie14" w:date="2025-09-08T15:01:00Z">
              <w:rPr>
                <w:color w:val="000000"/>
                <w:sz w:val="22"/>
                <w:szCs w:val="22"/>
              </w:rPr>
            </w:rPrChange>
          </w:rPr>
          <w:delText xml:space="preserve"> del 31-96% rispetto a quelle sieriche.</w:delText>
        </w:r>
      </w:del>
    </w:p>
    <w:p w:rsidR="006224C2" w:rsidRPr="00363FE8" w14:paraId="78ECDF12" w14:textId="77777777">
      <w:pPr>
        <w:tabs>
          <w:tab w:val="left" w:pos="567"/>
        </w:tabs>
        <w:autoSpaceDE w:val="0"/>
        <w:autoSpaceDN w:val="0"/>
        <w:adjustRightInd w:val="0"/>
        <w:jc w:val="both"/>
        <w:rPr>
          <w:del w:id="12297" w:author="AbbVie14" w:date="2025-05-09T10:35:00Z"/>
          <w:b/>
          <w:bCs/>
          <w:color w:val="000000"/>
          <w:sz w:val="22"/>
          <w:szCs w:val="22"/>
          <w:rPrChange w:id="12298" w:author="AbbVie14" w:date="2025-09-08T15:01:00Z">
            <w:rPr>
              <w:color w:val="000000"/>
              <w:sz w:val="22"/>
              <w:szCs w:val="22"/>
            </w:rPr>
          </w:rPrChange>
        </w:rPr>
      </w:pPr>
    </w:p>
    <w:p w:rsidR="006224C2" w:rsidRPr="00363FE8" w14:paraId="32369D9E" w14:textId="77777777">
      <w:pPr>
        <w:tabs>
          <w:tab w:val="left" w:pos="567"/>
        </w:tabs>
        <w:autoSpaceDE w:val="0"/>
        <w:autoSpaceDN w:val="0"/>
        <w:adjustRightInd w:val="0"/>
        <w:jc w:val="both"/>
        <w:rPr>
          <w:del w:id="12299" w:author="AbbVie14" w:date="2025-05-09T10:35:00Z"/>
          <w:b/>
          <w:bCs/>
          <w:color w:val="000000"/>
          <w:sz w:val="22"/>
          <w:szCs w:val="22"/>
          <w:rPrChange w:id="12300" w:author="AbbVie14" w:date="2025-09-08T15:01:00Z">
            <w:rPr>
              <w:color w:val="000000"/>
              <w:sz w:val="22"/>
              <w:szCs w:val="22"/>
            </w:rPr>
          </w:rPrChange>
        </w:rPr>
      </w:pPr>
      <w:del w:id="12301" w:author="AbbVie14" w:date="2025-05-09T10:35:00Z">
        <w:r w:rsidRPr="00363FE8">
          <w:rPr>
            <w:b/>
            <w:bCs/>
            <w:color w:val="000000"/>
            <w:sz w:val="22"/>
            <w:szCs w:val="22"/>
            <w:rPrChange w:id="12302" w:author="AbbVie14" w:date="2025-09-08T15:01:00Z">
              <w:rPr>
                <w:color w:val="000000"/>
                <w:sz w:val="22"/>
                <w:szCs w:val="22"/>
              </w:rPr>
            </w:rPrChange>
          </w:rPr>
          <w:delText>In seguito a somministrazione sottocutanea di 40 mg di adalimumab ogni due settimane in pazienti adulti con artrite reumatoide (AR) le concentrazioni</w:delText>
        </w:r>
      </w:del>
      <w:del w:id="12303" w:author="AbbVie14" w:date="2025-05-09T10:35:00Z">
        <w:r w:rsidRPr="00363FE8" w:rsidR="0085279B">
          <w:rPr>
            <w:b/>
            <w:bCs/>
            <w:color w:val="000000"/>
            <w:sz w:val="22"/>
            <w:szCs w:val="22"/>
            <w:rPrChange w:id="12304" w:author="AbbVie14" w:date="2025-09-08T15:01:00Z">
              <w:rPr>
                <w:color w:val="000000"/>
                <w:sz w:val="22"/>
                <w:szCs w:val="22"/>
              </w:rPr>
            </w:rPrChange>
          </w:rPr>
          <w:delText xml:space="preserve"> </w:delText>
        </w:r>
      </w:del>
      <w:del w:id="12305" w:author="AbbVie14" w:date="2025-05-09T10:35:00Z">
        <w:r w:rsidRPr="00363FE8">
          <w:rPr>
            <w:b/>
            <w:bCs/>
            <w:color w:val="000000"/>
            <w:sz w:val="22"/>
            <w:szCs w:val="22"/>
            <w:rPrChange w:id="12306" w:author="AbbVie14" w:date="2025-09-08T15:01:00Z">
              <w:rPr>
                <w:color w:val="000000"/>
                <w:sz w:val="22"/>
                <w:szCs w:val="22"/>
              </w:rPr>
            </w:rPrChange>
          </w:rPr>
          <w:delText xml:space="preserve">minime all’equilibrio sono state in media di circa 5 </w:delText>
        </w:r>
      </w:del>
      <w:del w:id="12307" w:author="AbbVie14" w:date="2025-05-09T10:35:00Z">
        <w:r w:rsidRPr="00363FE8">
          <w:rPr>
            <w:rFonts w:ascii="Symbol" w:hAnsi="Symbol"/>
            <w:b/>
            <w:bCs/>
            <w:color w:val="000000"/>
            <w:sz w:val="22"/>
            <w:szCs w:val="22"/>
            <w:rPrChange w:id="12308" w:author="AbbVie14" w:date="2025-09-08T15:01:00Z">
              <w:rPr>
                <w:rFonts w:ascii="Symbol" w:hAnsi="Symbol"/>
                <w:color w:val="000000"/>
                <w:sz w:val="22"/>
                <w:szCs w:val="22"/>
              </w:rPr>
            </w:rPrChange>
          </w:rPr>
          <w:sym w:font="Symbol" w:char="F06D"/>
        </w:r>
      </w:del>
      <w:del w:id="12309" w:author="AbbVie14" w:date="2025-05-09T10:35:00Z">
        <w:r w:rsidRPr="00363FE8">
          <w:rPr>
            <w:b/>
            <w:bCs/>
            <w:color w:val="000000"/>
            <w:sz w:val="22"/>
            <w:szCs w:val="22"/>
            <w:rPrChange w:id="12310" w:author="AbbVie14" w:date="2025-09-08T15:01:00Z">
              <w:rPr>
                <w:color w:val="000000"/>
                <w:sz w:val="22"/>
                <w:szCs w:val="22"/>
              </w:rPr>
            </w:rPrChange>
          </w:rPr>
          <w:delText xml:space="preserve">g/ml (senza terapia concomitante con metotressato) e 8-9 </w:delText>
        </w:r>
      </w:del>
      <w:del w:id="12311" w:author="AbbVie14" w:date="2025-05-09T10:35:00Z">
        <w:r w:rsidRPr="00363FE8">
          <w:rPr>
            <w:rFonts w:ascii="Symbol" w:hAnsi="Symbol"/>
            <w:b/>
            <w:bCs/>
            <w:color w:val="000000"/>
            <w:sz w:val="22"/>
            <w:szCs w:val="22"/>
            <w:rPrChange w:id="12312" w:author="AbbVie14" w:date="2025-09-08T15:01:00Z">
              <w:rPr>
                <w:rFonts w:ascii="Symbol" w:hAnsi="Symbol"/>
                <w:color w:val="000000"/>
                <w:sz w:val="22"/>
                <w:szCs w:val="22"/>
              </w:rPr>
            </w:rPrChange>
          </w:rPr>
          <w:sym w:font="Symbol" w:char="F06D"/>
        </w:r>
      </w:del>
      <w:del w:id="12313" w:author="AbbVie14" w:date="2025-05-09T10:35:00Z">
        <w:r w:rsidRPr="00363FE8">
          <w:rPr>
            <w:b/>
            <w:bCs/>
            <w:color w:val="000000"/>
            <w:sz w:val="22"/>
            <w:szCs w:val="22"/>
            <w:rPrChange w:id="12314" w:author="AbbVie14" w:date="2025-09-08T15:01:00Z">
              <w:rPr>
                <w:color w:val="000000"/>
                <w:sz w:val="22"/>
                <w:szCs w:val="22"/>
              </w:rPr>
            </w:rPrChange>
          </w:rPr>
          <w:delText>g/ml (in combinazione con metotressato). I livelli sierici minimi di adalimumab all’equilibrio a seguito di dosaggi sottocutanei da 20, 40 e 80 mg ogni 2 settimane o settimanalmente sono aumentati approssimativamente in maniera pressoché dose-dipendente.</w:delText>
        </w:r>
      </w:del>
    </w:p>
    <w:p w:rsidR="006224C2" w:rsidRPr="00363FE8" w14:paraId="74497569" w14:textId="77777777">
      <w:pPr>
        <w:tabs>
          <w:tab w:val="left" w:pos="567"/>
        </w:tabs>
        <w:autoSpaceDE w:val="0"/>
        <w:autoSpaceDN w:val="0"/>
        <w:adjustRightInd w:val="0"/>
        <w:jc w:val="both"/>
        <w:rPr>
          <w:del w:id="12315" w:author="AbbVie14" w:date="2025-05-09T10:35:00Z"/>
          <w:b/>
          <w:bCs/>
          <w:color w:val="000000"/>
          <w:sz w:val="22"/>
          <w:szCs w:val="22"/>
          <w:rPrChange w:id="12316" w:author="AbbVie14" w:date="2025-09-08T15:01:00Z">
            <w:rPr>
              <w:color w:val="000000"/>
              <w:sz w:val="22"/>
              <w:szCs w:val="22"/>
            </w:rPr>
          </w:rPrChange>
        </w:rPr>
      </w:pPr>
    </w:p>
    <w:p w:rsidR="006224C2" w:rsidRPr="00363FE8" w14:paraId="412A3422" w14:textId="77777777">
      <w:pPr>
        <w:tabs>
          <w:tab w:val="left" w:pos="567"/>
        </w:tabs>
        <w:autoSpaceDE w:val="0"/>
        <w:autoSpaceDN w:val="0"/>
        <w:adjustRightInd w:val="0"/>
        <w:jc w:val="both"/>
        <w:rPr>
          <w:del w:id="12317" w:author="AbbVie14" w:date="2025-05-09T10:35:00Z"/>
          <w:b/>
          <w:bCs/>
          <w:color w:val="000000"/>
          <w:sz w:val="22"/>
          <w:szCs w:val="22"/>
          <w:rPrChange w:id="12318" w:author="AbbVie14" w:date="2025-09-08T15:01:00Z">
            <w:rPr>
              <w:color w:val="000000"/>
              <w:sz w:val="22"/>
              <w:szCs w:val="22"/>
            </w:rPr>
          </w:rPrChange>
        </w:rPr>
      </w:pPr>
      <w:del w:id="12319" w:author="AbbVie14" w:date="2025-05-09T10:35:00Z">
        <w:r w:rsidRPr="00363FE8">
          <w:rPr>
            <w:b/>
            <w:bCs/>
            <w:color w:val="000000"/>
            <w:sz w:val="22"/>
            <w:szCs w:val="22"/>
            <w:rPrChange w:id="12320" w:author="AbbVie14" w:date="2025-09-08T15:01:00Z">
              <w:rPr>
                <w:color w:val="000000"/>
                <w:sz w:val="22"/>
                <w:szCs w:val="22"/>
              </w:rPr>
            </w:rPrChange>
          </w:rPr>
          <w:delText>In seguito alla somministrazione di 24 mg/m</w:delText>
        </w:r>
      </w:del>
      <w:del w:id="12321" w:author="AbbVie14" w:date="2025-05-09T10:35:00Z">
        <w:r w:rsidRPr="00363FE8">
          <w:rPr>
            <w:b/>
            <w:bCs/>
            <w:color w:val="000000"/>
            <w:sz w:val="22"/>
            <w:szCs w:val="22"/>
            <w:vertAlign w:val="superscript"/>
            <w:rPrChange w:id="12322" w:author="AbbVie14" w:date="2025-09-08T15:01:00Z">
              <w:rPr>
                <w:color w:val="000000"/>
                <w:sz w:val="22"/>
                <w:szCs w:val="22"/>
                <w:vertAlign w:val="superscript"/>
              </w:rPr>
            </w:rPrChange>
          </w:rPr>
          <w:delText>2</w:delText>
        </w:r>
      </w:del>
      <w:del w:id="12323" w:author="AbbVie14" w:date="2025-05-09T10:35:00Z">
        <w:r w:rsidRPr="00363FE8">
          <w:rPr>
            <w:b/>
            <w:bCs/>
            <w:color w:val="000000"/>
            <w:sz w:val="22"/>
            <w:szCs w:val="22"/>
            <w:rPrChange w:id="12324" w:author="AbbVie14" w:date="2025-09-08T15:01:00Z">
              <w:rPr>
                <w:color w:val="000000"/>
                <w:sz w:val="22"/>
                <w:szCs w:val="22"/>
              </w:rPr>
            </w:rPrChange>
          </w:rPr>
          <w:delText xml:space="preserve"> di adalimumab (massimo 40 mg) per via sottocutanea a settimane alterne a pazienti di età dai 4 ai 17 anni affetti da artrite idiopatica giovanile poliarticolare (JIA), la concentrazione sierica minima media allo stato </w:delText>
        </w:r>
      </w:del>
      <w:del w:id="12325" w:author="AbbVie14" w:date="2025-05-09T10:35:00Z">
        <w:r w:rsidRPr="00363FE8" w:rsidR="0085279B">
          <w:rPr>
            <w:b/>
            <w:bCs/>
            <w:color w:val="000000"/>
            <w:sz w:val="22"/>
            <w:szCs w:val="22"/>
            <w:rPrChange w:id="12326" w:author="AbbVie14" w:date="2025-09-08T15:01:00Z">
              <w:rPr>
                <w:color w:val="000000"/>
                <w:sz w:val="22"/>
                <w:szCs w:val="22"/>
              </w:rPr>
            </w:rPrChange>
          </w:rPr>
          <w:delText>stazionario</w:delText>
        </w:r>
      </w:del>
      <w:del w:id="12327" w:author="AbbVie14" w:date="2025-05-09T10:35:00Z">
        <w:r w:rsidRPr="00363FE8">
          <w:rPr>
            <w:b/>
            <w:bCs/>
            <w:color w:val="000000"/>
            <w:sz w:val="22"/>
            <w:szCs w:val="22"/>
            <w:rPrChange w:id="12328" w:author="AbbVie14" w:date="2025-09-08T15:01:00Z">
              <w:rPr>
                <w:color w:val="000000"/>
                <w:sz w:val="22"/>
                <w:szCs w:val="22"/>
              </w:rPr>
            </w:rPrChange>
          </w:rPr>
          <w:delText xml:space="preserve"> di adalimumab (valori misurati a partire dalla 20a fino alla 48a settimana) è stata pari a 5,6 ± 5,6 µg/ml (102% CV) con adalimumab senza l’uso concomitante di metotressato ed a 10,9 ± 5,2 µg/ml (47,7% CV) con metotressato somministrato in concomitanza.</w:delText>
        </w:r>
      </w:del>
    </w:p>
    <w:p w:rsidR="006224C2" w:rsidRPr="00363FE8" w14:paraId="0B1EC0EA" w14:textId="77777777">
      <w:pPr>
        <w:tabs>
          <w:tab w:val="left" w:pos="567"/>
        </w:tabs>
        <w:autoSpaceDE w:val="0"/>
        <w:autoSpaceDN w:val="0"/>
        <w:adjustRightInd w:val="0"/>
        <w:jc w:val="both"/>
        <w:rPr>
          <w:del w:id="12329" w:author="AbbVie14" w:date="2025-05-09T10:35:00Z"/>
          <w:b/>
          <w:bCs/>
          <w:color w:val="000000"/>
          <w:sz w:val="22"/>
          <w:szCs w:val="22"/>
          <w:rPrChange w:id="12330" w:author="AbbVie14" w:date="2025-09-08T15:01:00Z">
            <w:rPr>
              <w:color w:val="000000"/>
              <w:sz w:val="22"/>
              <w:szCs w:val="22"/>
            </w:rPr>
          </w:rPrChange>
        </w:rPr>
      </w:pPr>
    </w:p>
    <w:p w:rsidR="006224C2" w:rsidRPr="00363FE8" w14:paraId="35DB8C34" w14:textId="77777777">
      <w:pPr>
        <w:rPr>
          <w:del w:id="12331" w:author="AbbVie14" w:date="2025-05-09T10:35:00Z"/>
          <w:b/>
          <w:bCs/>
          <w:color w:val="000000"/>
          <w:sz w:val="22"/>
          <w:szCs w:val="22"/>
          <w:rPrChange w:id="12332" w:author="AbbVie14" w:date="2025-09-08T15:01:00Z">
            <w:rPr>
              <w:color w:val="000000"/>
              <w:sz w:val="22"/>
              <w:szCs w:val="22"/>
            </w:rPr>
          </w:rPrChange>
        </w:rPr>
      </w:pPr>
      <w:del w:id="12333" w:author="AbbVie14" w:date="2025-05-09T10:35:00Z">
        <w:r w:rsidRPr="00363FE8">
          <w:rPr>
            <w:b/>
            <w:bCs/>
            <w:color w:val="000000"/>
            <w:sz w:val="22"/>
            <w:szCs w:val="22"/>
            <w:rPrChange w:id="12334" w:author="AbbVie14" w:date="2025-09-08T15:01:00Z">
              <w:rPr>
                <w:color w:val="000000"/>
                <w:sz w:val="22"/>
                <w:szCs w:val="22"/>
              </w:rPr>
            </w:rPrChange>
          </w:rPr>
          <w:delText>Nei pazienti con JIA poliarticolare di età da 2 a &lt;4 anni o di 4 anni e oltre di peso &lt; 15 kg trattati con adalimumab 24mg/m</w:delText>
        </w:r>
      </w:del>
      <w:del w:id="12335" w:author="AbbVie14" w:date="2025-05-09T10:35:00Z">
        <w:r w:rsidRPr="00363FE8">
          <w:rPr>
            <w:b/>
            <w:bCs/>
            <w:color w:val="000000"/>
            <w:sz w:val="22"/>
            <w:szCs w:val="22"/>
            <w:vertAlign w:val="superscript"/>
            <w:rPrChange w:id="12336" w:author="AbbVie14" w:date="2025-09-08T15:01:00Z">
              <w:rPr>
                <w:color w:val="000000"/>
                <w:sz w:val="22"/>
                <w:szCs w:val="22"/>
                <w:vertAlign w:val="superscript"/>
              </w:rPr>
            </w:rPrChange>
          </w:rPr>
          <w:delText>2</w:delText>
        </w:r>
      </w:del>
      <w:del w:id="12337" w:author="AbbVie14" w:date="2025-05-09T10:35:00Z">
        <w:r w:rsidRPr="00363FE8">
          <w:rPr>
            <w:b/>
            <w:bCs/>
            <w:color w:val="000000"/>
            <w:sz w:val="22"/>
            <w:szCs w:val="22"/>
            <w:rPrChange w:id="12338" w:author="AbbVie14" w:date="2025-09-08T15:01:00Z">
              <w:rPr>
                <w:color w:val="000000"/>
                <w:sz w:val="22"/>
                <w:szCs w:val="22"/>
              </w:rPr>
            </w:rPrChange>
          </w:rPr>
          <w:delText xml:space="preserve"> il valore medio minimo all’equilibrio della concentrazione sierica di adalimumab è stato di 6,0 </w:delText>
        </w:r>
      </w:del>
      <w:del w:id="12339" w:author="AbbVie14" w:date="2025-05-09T10:35:00Z">
        <w:r w:rsidRPr="00363FE8">
          <w:rPr>
            <w:rFonts w:ascii="Symbol" w:hAnsi="Symbol"/>
            <w:b/>
            <w:bCs/>
            <w:color w:val="000000"/>
            <w:sz w:val="22"/>
            <w:szCs w:val="22"/>
            <w:rPrChange w:id="12340" w:author="AbbVie14" w:date="2025-09-08T15:01:00Z">
              <w:rPr>
                <w:rFonts w:ascii="Symbol" w:hAnsi="Symbol"/>
                <w:color w:val="000000"/>
                <w:sz w:val="22"/>
                <w:szCs w:val="22"/>
              </w:rPr>
            </w:rPrChange>
          </w:rPr>
          <w:sym w:font="Symbol" w:char="F0B1"/>
        </w:r>
      </w:del>
      <w:del w:id="12341" w:author="AbbVie14" w:date="2025-05-09T10:35:00Z">
        <w:r w:rsidRPr="00363FE8">
          <w:rPr>
            <w:b/>
            <w:bCs/>
            <w:color w:val="000000"/>
            <w:sz w:val="22"/>
            <w:szCs w:val="22"/>
            <w:rPrChange w:id="12342" w:author="AbbVie14" w:date="2025-09-08T15:01:00Z">
              <w:rPr>
                <w:color w:val="000000"/>
                <w:sz w:val="22"/>
                <w:szCs w:val="22"/>
              </w:rPr>
            </w:rPrChange>
          </w:rPr>
          <w:delText xml:space="preserve"> 6,1 µg/ml (101% CV) con adalimumab senza l’uso concomitante di metotressato</w:delText>
        </w:r>
      </w:del>
      <w:del w:id="12343" w:author="AbbVie14" w:date="2025-05-09T10:35:00Z">
        <w:r w:rsidRPr="00363FE8" w:rsidR="0085279B">
          <w:rPr>
            <w:b/>
            <w:bCs/>
            <w:color w:val="000000"/>
            <w:sz w:val="22"/>
            <w:szCs w:val="22"/>
            <w:rPrChange w:id="12344" w:author="AbbVie14" w:date="2025-09-08T15:01:00Z">
              <w:rPr>
                <w:color w:val="000000"/>
                <w:sz w:val="22"/>
                <w:szCs w:val="22"/>
              </w:rPr>
            </w:rPrChange>
          </w:rPr>
          <w:delText xml:space="preserve"> </w:delText>
        </w:r>
      </w:del>
      <w:del w:id="12345" w:author="AbbVie14" w:date="2025-05-09T10:35:00Z">
        <w:r w:rsidRPr="00363FE8">
          <w:rPr>
            <w:b/>
            <w:bCs/>
            <w:color w:val="000000"/>
            <w:sz w:val="22"/>
            <w:szCs w:val="22"/>
            <w:rPrChange w:id="12346" w:author="AbbVie14" w:date="2025-09-08T15:01:00Z">
              <w:rPr>
                <w:color w:val="000000"/>
                <w:sz w:val="22"/>
                <w:szCs w:val="22"/>
              </w:rPr>
            </w:rPrChange>
          </w:rPr>
          <w:delText xml:space="preserve">e di 7,9 </w:delText>
        </w:r>
      </w:del>
      <w:del w:id="12347" w:author="AbbVie14" w:date="2025-05-09T10:35:00Z">
        <w:r w:rsidRPr="00363FE8">
          <w:rPr>
            <w:rFonts w:ascii="Symbol" w:hAnsi="Symbol"/>
            <w:b/>
            <w:bCs/>
            <w:color w:val="000000"/>
            <w:sz w:val="22"/>
            <w:szCs w:val="22"/>
            <w:rPrChange w:id="12348" w:author="AbbVie14" w:date="2025-09-08T15:01:00Z">
              <w:rPr>
                <w:rFonts w:ascii="Symbol" w:hAnsi="Symbol"/>
                <w:color w:val="000000"/>
                <w:sz w:val="22"/>
                <w:szCs w:val="22"/>
              </w:rPr>
            </w:rPrChange>
          </w:rPr>
          <w:sym w:font="Symbol" w:char="F0B1"/>
        </w:r>
      </w:del>
      <w:del w:id="12349" w:author="AbbVie14" w:date="2025-05-09T10:35:00Z">
        <w:r w:rsidRPr="00363FE8">
          <w:rPr>
            <w:b/>
            <w:bCs/>
            <w:color w:val="000000"/>
            <w:sz w:val="22"/>
            <w:szCs w:val="22"/>
            <w:rPrChange w:id="12350" w:author="AbbVie14" w:date="2025-09-08T15:01:00Z">
              <w:rPr>
                <w:color w:val="000000"/>
                <w:sz w:val="22"/>
                <w:szCs w:val="22"/>
              </w:rPr>
            </w:rPrChange>
          </w:rPr>
          <w:delText xml:space="preserve"> 5,6 µg/ml (71,2% CV) in co</w:delText>
        </w:r>
      </w:del>
      <w:del w:id="12351" w:author="AbbVie14" w:date="2025-05-09T10:35:00Z">
        <w:r w:rsidRPr="00363FE8" w:rsidR="0066449A">
          <w:rPr>
            <w:b/>
            <w:bCs/>
            <w:color w:val="000000"/>
            <w:sz w:val="22"/>
            <w:szCs w:val="22"/>
            <w:rPrChange w:id="12352" w:author="AbbVie14" w:date="2025-09-08T15:01:00Z">
              <w:rPr>
                <w:color w:val="000000"/>
                <w:sz w:val="22"/>
                <w:szCs w:val="22"/>
              </w:rPr>
            </w:rPrChange>
          </w:rPr>
          <w:delText>-</w:delText>
        </w:r>
      </w:del>
      <w:del w:id="12353" w:author="AbbVie14" w:date="2025-05-09T10:35:00Z">
        <w:r w:rsidRPr="00363FE8">
          <w:rPr>
            <w:b/>
            <w:bCs/>
            <w:color w:val="000000"/>
            <w:sz w:val="22"/>
            <w:szCs w:val="22"/>
            <w:rPrChange w:id="12354" w:author="AbbVie14" w:date="2025-09-08T15:01:00Z">
              <w:rPr>
                <w:color w:val="000000"/>
                <w:sz w:val="22"/>
                <w:szCs w:val="22"/>
              </w:rPr>
            </w:rPrChange>
          </w:rPr>
          <w:delText>somministrazione con metotressato.</w:delText>
        </w:r>
      </w:del>
    </w:p>
    <w:p w:rsidR="006224C2" w:rsidRPr="00363FE8" w14:paraId="429E6D66" w14:textId="77777777">
      <w:pPr>
        <w:rPr>
          <w:del w:id="12355" w:author="AbbVie14" w:date="2025-05-09T10:35:00Z"/>
          <w:b/>
          <w:bCs/>
          <w:sz w:val="22"/>
          <w:szCs w:val="22"/>
          <w:rPrChange w:id="12356" w:author="AbbVie14" w:date="2025-09-08T15:01:00Z">
            <w:rPr>
              <w:sz w:val="22"/>
              <w:szCs w:val="22"/>
            </w:rPr>
          </w:rPrChange>
        </w:rPr>
      </w:pPr>
    </w:p>
    <w:p w:rsidR="006224C2" w:rsidRPr="00363FE8" w14:paraId="52D7B8F8" w14:textId="77777777">
      <w:pPr>
        <w:rPr>
          <w:del w:id="12357" w:author="AbbVie14" w:date="2025-05-09T10:35:00Z"/>
          <w:b/>
          <w:bCs/>
          <w:color w:val="000000"/>
          <w:sz w:val="22"/>
          <w:szCs w:val="22"/>
          <w:rPrChange w:id="12358" w:author="AbbVie14" w:date="2025-09-08T15:01:00Z">
            <w:rPr>
              <w:color w:val="000000"/>
              <w:sz w:val="22"/>
              <w:szCs w:val="22"/>
            </w:rPr>
          </w:rPrChange>
        </w:rPr>
      </w:pPr>
      <w:del w:id="12359" w:author="AbbVie14" w:date="2025-05-09T10:35:00Z">
        <w:r w:rsidRPr="00363FE8">
          <w:rPr>
            <w:b/>
            <w:bCs/>
            <w:color w:val="000000"/>
            <w:sz w:val="22"/>
            <w:szCs w:val="22"/>
            <w:rPrChange w:id="12360" w:author="AbbVie14" w:date="2025-09-08T15:01:00Z">
              <w:rPr>
                <w:color w:val="000000"/>
                <w:sz w:val="22"/>
                <w:szCs w:val="22"/>
              </w:rPr>
            </w:rPrChange>
          </w:rPr>
          <w:delText>A seguito della somministrazione sottocutanea di 24 mg/m2 (massimo 40 mg), a settimane alterne a pazienti di età compresa tra 6 e 17 anni con artrite associata ad entesite, il valore medio minimo delle concentrazioni sieriche di adalimumab allo stato stazionario (valori misurati alla settimana 24) sono stati di 8</w:delText>
        </w:r>
      </w:del>
      <w:del w:id="12361" w:author="AbbVie14" w:date="2025-05-09T10:35:00Z">
        <w:r w:rsidRPr="00363FE8" w:rsidR="0085279B">
          <w:rPr>
            <w:b/>
            <w:bCs/>
            <w:color w:val="000000"/>
            <w:sz w:val="22"/>
            <w:szCs w:val="22"/>
            <w:rPrChange w:id="12362" w:author="AbbVie14" w:date="2025-09-08T15:01:00Z">
              <w:rPr>
                <w:color w:val="000000"/>
                <w:sz w:val="22"/>
                <w:szCs w:val="22"/>
              </w:rPr>
            </w:rPrChange>
          </w:rPr>
          <w:delText>,</w:delText>
        </w:r>
      </w:del>
      <w:del w:id="12363" w:author="AbbVie14" w:date="2025-05-09T10:35:00Z">
        <w:r w:rsidRPr="00363FE8">
          <w:rPr>
            <w:b/>
            <w:bCs/>
            <w:color w:val="000000"/>
            <w:sz w:val="22"/>
            <w:szCs w:val="22"/>
            <w:rPrChange w:id="12364" w:author="AbbVie14" w:date="2025-09-08T15:01:00Z">
              <w:rPr>
                <w:color w:val="000000"/>
                <w:sz w:val="22"/>
                <w:szCs w:val="22"/>
              </w:rPr>
            </w:rPrChange>
          </w:rPr>
          <w:delText>8 ± 6</w:delText>
        </w:r>
      </w:del>
      <w:del w:id="12365" w:author="AbbVie14" w:date="2025-05-09T10:35:00Z">
        <w:r w:rsidRPr="00363FE8" w:rsidR="0085279B">
          <w:rPr>
            <w:b/>
            <w:bCs/>
            <w:color w:val="000000"/>
            <w:sz w:val="22"/>
            <w:szCs w:val="22"/>
            <w:rPrChange w:id="12366" w:author="AbbVie14" w:date="2025-09-08T15:01:00Z">
              <w:rPr>
                <w:color w:val="000000"/>
                <w:sz w:val="22"/>
                <w:szCs w:val="22"/>
              </w:rPr>
            </w:rPrChange>
          </w:rPr>
          <w:delText>,</w:delText>
        </w:r>
      </w:del>
      <w:del w:id="12367" w:author="AbbVie14" w:date="2025-05-09T10:35:00Z">
        <w:r w:rsidRPr="00363FE8">
          <w:rPr>
            <w:b/>
            <w:bCs/>
            <w:color w:val="000000"/>
            <w:sz w:val="22"/>
            <w:szCs w:val="22"/>
            <w:rPrChange w:id="12368" w:author="AbbVie14" w:date="2025-09-08T15:01:00Z">
              <w:rPr>
                <w:color w:val="000000"/>
                <w:sz w:val="22"/>
                <w:szCs w:val="22"/>
              </w:rPr>
            </w:rPrChange>
          </w:rPr>
          <w:delText>6 μg/ml per adalimumab senza l’uso concomitante di metotressato e di 11</w:delText>
        </w:r>
      </w:del>
      <w:del w:id="12369" w:author="AbbVie14" w:date="2025-05-09T10:35:00Z">
        <w:r w:rsidRPr="00363FE8" w:rsidR="0085279B">
          <w:rPr>
            <w:b/>
            <w:bCs/>
            <w:color w:val="000000"/>
            <w:sz w:val="22"/>
            <w:szCs w:val="22"/>
            <w:rPrChange w:id="12370" w:author="AbbVie14" w:date="2025-09-08T15:01:00Z">
              <w:rPr>
                <w:color w:val="000000"/>
                <w:sz w:val="22"/>
                <w:szCs w:val="22"/>
              </w:rPr>
            </w:rPrChange>
          </w:rPr>
          <w:delText>,</w:delText>
        </w:r>
      </w:del>
      <w:del w:id="12371" w:author="AbbVie14" w:date="2025-05-09T10:35:00Z">
        <w:r w:rsidRPr="00363FE8">
          <w:rPr>
            <w:b/>
            <w:bCs/>
            <w:color w:val="000000"/>
            <w:sz w:val="22"/>
            <w:szCs w:val="22"/>
            <w:rPrChange w:id="12372" w:author="AbbVie14" w:date="2025-09-08T15:01:00Z">
              <w:rPr>
                <w:color w:val="000000"/>
                <w:sz w:val="22"/>
                <w:szCs w:val="22"/>
              </w:rPr>
            </w:rPrChange>
          </w:rPr>
          <w:delText>8 ± 4</w:delText>
        </w:r>
      </w:del>
      <w:del w:id="12373" w:author="AbbVie14" w:date="2025-05-09T10:35:00Z">
        <w:r w:rsidRPr="00363FE8" w:rsidR="0085279B">
          <w:rPr>
            <w:b/>
            <w:bCs/>
            <w:color w:val="000000"/>
            <w:sz w:val="22"/>
            <w:szCs w:val="22"/>
            <w:rPrChange w:id="12374" w:author="AbbVie14" w:date="2025-09-08T15:01:00Z">
              <w:rPr>
                <w:color w:val="000000"/>
                <w:sz w:val="22"/>
                <w:szCs w:val="22"/>
              </w:rPr>
            </w:rPrChange>
          </w:rPr>
          <w:delText>,</w:delText>
        </w:r>
      </w:del>
      <w:del w:id="12375" w:author="AbbVie14" w:date="2025-05-09T10:35:00Z">
        <w:r w:rsidRPr="00363FE8">
          <w:rPr>
            <w:b/>
            <w:bCs/>
            <w:color w:val="000000"/>
            <w:sz w:val="22"/>
            <w:szCs w:val="22"/>
            <w:rPrChange w:id="12376" w:author="AbbVie14" w:date="2025-09-08T15:01:00Z">
              <w:rPr>
                <w:color w:val="000000"/>
                <w:sz w:val="22"/>
                <w:szCs w:val="22"/>
              </w:rPr>
            </w:rPrChange>
          </w:rPr>
          <w:delText>3 μg/ml in co</w:delText>
        </w:r>
      </w:del>
      <w:del w:id="12377" w:author="AbbVie14" w:date="2025-05-09T10:35:00Z">
        <w:r w:rsidRPr="00363FE8" w:rsidR="0066449A">
          <w:rPr>
            <w:b/>
            <w:bCs/>
            <w:color w:val="000000"/>
            <w:sz w:val="22"/>
            <w:szCs w:val="22"/>
            <w:rPrChange w:id="12378" w:author="AbbVie14" w:date="2025-09-08T15:01:00Z">
              <w:rPr>
                <w:color w:val="000000"/>
                <w:sz w:val="22"/>
                <w:szCs w:val="22"/>
              </w:rPr>
            </w:rPrChange>
          </w:rPr>
          <w:delText>-</w:delText>
        </w:r>
      </w:del>
      <w:del w:id="12379" w:author="AbbVie14" w:date="2025-05-09T10:35:00Z">
        <w:r w:rsidRPr="00363FE8">
          <w:rPr>
            <w:b/>
            <w:bCs/>
            <w:color w:val="000000"/>
            <w:sz w:val="22"/>
            <w:szCs w:val="22"/>
            <w:rPrChange w:id="12380" w:author="AbbVie14" w:date="2025-09-08T15:01:00Z">
              <w:rPr>
                <w:color w:val="000000"/>
                <w:sz w:val="22"/>
                <w:szCs w:val="22"/>
              </w:rPr>
            </w:rPrChange>
          </w:rPr>
          <w:delText>somministrazione con metotressato.</w:delText>
        </w:r>
      </w:del>
    </w:p>
    <w:p w:rsidR="006224C2" w:rsidRPr="00363FE8" w14:paraId="38DFF6E8" w14:textId="77777777">
      <w:pPr>
        <w:tabs>
          <w:tab w:val="left" w:pos="567"/>
        </w:tabs>
        <w:autoSpaceDE w:val="0"/>
        <w:autoSpaceDN w:val="0"/>
        <w:adjustRightInd w:val="0"/>
        <w:jc w:val="both"/>
        <w:rPr>
          <w:del w:id="12381" w:author="AbbVie14" w:date="2025-05-09T10:35:00Z"/>
          <w:b/>
          <w:bCs/>
          <w:color w:val="000000"/>
          <w:sz w:val="22"/>
          <w:szCs w:val="22"/>
          <w:rPrChange w:id="12382" w:author="AbbVie14" w:date="2025-09-08T15:01:00Z">
            <w:rPr>
              <w:color w:val="000000"/>
              <w:sz w:val="22"/>
              <w:szCs w:val="22"/>
            </w:rPr>
          </w:rPrChange>
        </w:rPr>
      </w:pPr>
    </w:p>
    <w:p w:rsidR="00EE6946" w:rsidRPr="00363FE8" w14:paraId="031002F1" w14:textId="77777777">
      <w:pPr>
        <w:tabs>
          <w:tab w:val="left" w:pos="567"/>
        </w:tabs>
        <w:autoSpaceDE w:val="0"/>
        <w:autoSpaceDN w:val="0"/>
        <w:adjustRightInd w:val="0"/>
        <w:jc w:val="both"/>
        <w:rPr>
          <w:del w:id="12383" w:author="AbbVie14" w:date="2025-05-09T10:35:00Z"/>
          <w:b/>
          <w:bCs/>
          <w:color w:val="000000"/>
          <w:sz w:val="22"/>
          <w:szCs w:val="22"/>
          <w:rPrChange w:id="12384" w:author="AbbVie14" w:date="2025-09-08T15:01:00Z">
            <w:rPr>
              <w:color w:val="000000"/>
              <w:sz w:val="22"/>
              <w:szCs w:val="22"/>
            </w:rPr>
          </w:rPrChange>
        </w:rPr>
      </w:pPr>
      <w:del w:id="12385" w:author="AbbVie14" w:date="2025-05-09T10:35:00Z">
        <w:r w:rsidRPr="00363FE8">
          <w:rPr>
            <w:b/>
            <w:bCs/>
            <w:color w:val="000000"/>
            <w:sz w:val="22"/>
            <w:szCs w:val="22"/>
            <w:rPrChange w:id="12386" w:author="AbbVie14" w:date="2025-09-08T15:01:00Z">
              <w:rPr>
                <w:color w:val="000000"/>
                <w:sz w:val="22"/>
                <w:szCs w:val="22"/>
              </w:rPr>
            </w:rPrChange>
          </w:rPr>
          <w:delText>Dopo somministrazione sottocutanea di 40 mg di adalimumab a settimane alterne in pazienti adulti con spondiloartrite assiale non radiografica, la concentrazione media (±DS) minima allo stato stazionario alla settimana 68 è stata di 8,0 ± 4,6 </w:delText>
        </w:r>
      </w:del>
      <w:del w:id="12387" w:author="AbbVie14" w:date="2025-05-09T10:35:00Z">
        <w:r w:rsidRPr="00363FE8">
          <w:rPr>
            <w:rFonts w:ascii="Symbol" w:hAnsi="Symbol"/>
            <w:b/>
            <w:bCs/>
            <w:sz w:val="22"/>
            <w:lang w:eastAsia="en-US"/>
            <w:rPrChange w:id="12388" w:author="AbbVie14" w:date="2025-09-08T15:01:00Z">
              <w:rPr>
                <w:rFonts w:ascii="Symbol" w:hAnsi="Symbol"/>
                <w:sz w:val="22"/>
                <w:lang w:eastAsia="en-US"/>
              </w:rPr>
            </w:rPrChange>
          </w:rPr>
          <w:sym w:font="Symbol" w:char="F06D"/>
        </w:r>
      </w:del>
      <w:del w:id="12389" w:author="AbbVie14" w:date="2025-05-09T10:35:00Z">
        <w:r w:rsidRPr="00363FE8">
          <w:rPr>
            <w:b/>
            <w:bCs/>
            <w:sz w:val="22"/>
            <w:lang w:eastAsia="en-US"/>
            <w:rPrChange w:id="12390" w:author="AbbVie14" w:date="2025-09-08T15:01:00Z">
              <w:rPr>
                <w:sz w:val="22"/>
                <w:lang w:eastAsia="en-US"/>
              </w:rPr>
            </w:rPrChange>
          </w:rPr>
          <w:delText>g</w:delText>
        </w:r>
      </w:del>
      <w:del w:id="12391" w:author="AbbVie14" w:date="2025-05-09T10:35:00Z">
        <w:r w:rsidRPr="00363FE8">
          <w:rPr>
            <w:b/>
            <w:bCs/>
            <w:color w:val="000000"/>
            <w:sz w:val="22"/>
            <w:szCs w:val="22"/>
            <w:rPrChange w:id="12392" w:author="AbbVie14" w:date="2025-09-08T15:01:00Z">
              <w:rPr>
                <w:color w:val="000000"/>
                <w:sz w:val="22"/>
                <w:szCs w:val="22"/>
              </w:rPr>
            </w:rPrChange>
          </w:rPr>
          <w:delText>/ml.</w:delText>
        </w:r>
      </w:del>
    </w:p>
    <w:p w:rsidR="00EE6946" w:rsidRPr="00363FE8" w14:paraId="184D972B" w14:textId="77777777">
      <w:pPr>
        <w:tabs>
          <w:tab w:val="left" w:pos="567"/>
        </w:tabs>
        <w:autoSpaceDE w:val="0"/>
        <w:autoSpaceDN w:val="0"/>
        <w:adjustRightInd w:val="0"/>
        <w:jc w:val="both"/>
        <w:rPr>
          <w:del w:id="12393" w:author="AbbVie14" w:date="2025-05-09T10:35:00Z"/>
          <w:b/>
          <w:bCs/>
          <w:color w:val="000000"/>
          <w:sz w:val="22"/>
          <w:szCs w:val="22"/>
          <w:rPrChange w:id="12394" w:author="AbbVie14" w:date="2025-09-08T15:01:00Z">
            <w:rPr>
              <w:color w:val="000000"/>
              <w:sz w:val="22"/>
              <w:szCs w:val="22"/>
            </w:rPr>
          </w:rPrChange>
        </w:rPr>
      </w:pPr>
    </w:p>
    <w:p w:rsidR="006224C2" w:rsidRPr="00363FE8" w14:paraId="73AD0843" w14:textId="77777777">
      <w:pPr>
        <w:tabs>
          <w:tab w:val="left" w:pos="567"/>
        </w:tabs>
        <w:autoSpaceDE w:val="0"/>
        <w:autoSpaceDN w:val="0"/>
        <w:adjustRightInd w:val="0"/>
        <w:jc w:val="both"/>
        <w:rPr>
          <w:del w:id="12395" w:author="AbbVie14" w:date="2025-05-09T10:35:00Z"/>
          <w:b/>
          <w:bCs/>
          <w:color w:val="000000"/>
          <w:sz w:val="22"/>
          <w:szCs w:val="22"/>
          <w:rPrChange w:id="12396" w:author="AbbVie14" w:date="2025-09-08T15:01:00Z">
            <w:rPr>
              <w:color w:val="000000"/>
              <w:sz w:val="22"/>
              <w:szCs w:val="22"/>
            </w:rPr>
          </w:rPrChange>
        </w:rPr>
      </w:pPr>
      <w:del w:id="12397" w:author="AbbVie14" w:date="2025-05-09T10:35:00Z">
        <w:r w:rsidRPr="00363FE8">
          <w:rPr>
            <w:b/>
            <w:bCs/>
            <w:color w:val="000000"/>
            <w:sz w:val="22"/>
            <w:szCs w:val="22"/>
            <w:rPrChange w:id="12398" w:author="AbbVie14" w:date="2025-09-08T15:01:00Z">
              <w:rPr>
                <w:color w:val="000000"/>
                <w:sz w:val="22"/>
                <w:szCs w:val="22"/>
              </w:rPr>
            </w:rPrChange>
          </w:rPr>
          <w:delText>Nei pazienti adulti affetti da psoriasi la concentrazione minima all’equilibrio è risultata essere in media di circa 5 μg/ml durante il trattamento con una dose di adalimumab pari a 40 mg, somministrata a settimane alterne, in monoterapia.</w:delText>
        </w:r>
      </w:del>
    </w:p>
    <w:p w:rsidR="006224C2" w:rsidRPr="00363FE8" w14:paraId="5022F9A9" w14:textId="77777777">
      <w:pPr>
        <w:tabs>
          <w:tab w:val="left" w:pos="567"/>
        </w:tabs>
        <w:autoSpaceDE w:val="0"/>
        <w:autoSpaceDN w:val="0"/>
        <w:adjustRightInd w:val="0"/>
        <w:jc w:val="both"/>
        <w:rPr>
          <w:del w:id="12399" w:author="AbbVie14" w:date="2025-05-09T10:35:00Z"/>
          <w:b/>
          <w:bCs/>
          <w:color w:val="000000"/>
          <w:sz w:val="22"/>
          <w:szCs w:val="22"/>
          <w:rPrChange w:id="12400" w:author="AbbVie14" w:date="2025-09-08T15:01:00Z">
            <w:rPr>
              <w:color w:val="000000"/>
              <w:sz w:val="22"/>
              <w:szCs w:val="22"/>
            </w:rPr>
          </w:rPrChange>
        </w:rPr>
      </w:pPr>
    </w:p>
    <w:p w:rsidR="006224C2" w:rsidRPr="00363FE8" w14:paraId="68D0A408" w14:textId="77777777">
      <w:pPr>
        <w:tabs>
          <w:tab w:val="left" w:pos="567"/>
        </w:tabs>
        <w:autoSpaceDE w:val="0"/>
        <w:autoSpaceDN w:val="0"/>
        <w:adjustRightInd w:val="0"/>
        <w:jc w:val="both"/>
        <w:rPr>
          <w:del w:id="12401" w:author="AbbVie14" w:date="2025-05-09T10:35:00Z"/>
          <w:b/>
          <w:bCs/>
          <w:color w:val="000000"/>
          <w:sz w:val="22"/>
          <w:szCs w:val="22"/>
          <w:rPrChange w:id="12402" w:author="AbbVie14" w:date="2025-09-08T15:01:00Z">
            <w:rPr>
              <w:color w:val="000000"/>
              <w:sz w:val="22"/>
              <w:szCs w:val="22"/>
            </w:rPr>
          </w:rPrChange>
        </w:rPr>
      </w:pPr>
      <w:del w:id="12403" w:author="AbbVie14" w:date="2025-05-09T10:35:00Z">
        <w:r w:rsidRPr="00363FE8">
          <w:rPr>
            <w:b/>
            <w:bCs/>
            <w:color w:val="000000"/>
            <w:sz w:val="22"/>
            <w:szCs w:val="22"/>
            <w:rPrChange w:id="12404" w:author="AbbVie14" w:date="2025-09-08T15:01:00Z">
              <w:rPr>
                <w:color w:val="000000"/>
                <w:sz w:val="22"/>
                <w:szCs w:val="22"/>
              </w:rPr>
            </w:rPrChange>
          </w:rPr>
          <w:delText>Dopo la somministrazione di 0,8 mg/kg (massimo 40 mg) per via sottocutanea a settimane alterne nei pazienti pediatrici con psoriasi cronica a placche, le concentrazioni sieriche medie (±SD) dei livelli minimi di adalimumab allo stato stazionario erano circa 7,4 ± 5,8 µg/ml (79% CV).</w:delText>
        </w:r>
      </w:del>
    </w:p>
    <w:p w:rsidR="006224C2" w:rsidRPr="00363FE8" w14:paraId="2731A65E" w14:textId="77777777">
      <w:pPr>
        <w:tabs>
          <w:tab w:val="left" w:pos="567"/>
        </w:tabs>
        <w:autoSpaceDE w:val="0"/>
        <w:autoSpaceDN w:val="0"/>
        <w:adjustRightInd w:val="0"/>
        <w:jc w:val="both"/>
        <w:rPr>
          <w:del w:id="12405" w:author="AbbVie14" w:date="2025-05-09T10:35:00Z"/>
          <w:b/>
          <w:bCs/>
          <w:color w:val="000000"/>
          <w:sz w:val="22"/>
          <w:szCs w:val="22"/>
          <w:rPrChange w:id="12406" w:author="AbbVie14" w:date="2025-09-08T15:01:00Z">
            <w:rPr>
              <w:color w:val="000000"/>
              <w:sz w:val="22"/>
              <w:szCs w:val="22"/>
            </w:rPr>
          </w:rPrChange>
        </w:rPr>
      </w:pPr>
    </w:p>
    <w:p w:rsidR="006224C2" w:rsidRPr="00363FE8" w14:paraId="36C8275C" w14:textId="77777777">
      <w:pPr>
        <w:tabs>
          <w:tab w:val="left" w:pos="567"/>
        </w:tabs>
        <w:autoSpaceDE w:val="0"/>
        <w:autoSpaceDN w:val="0"/>
        <w:adjustRightInd w:val="0"/>
        <w:jc w:val="both"/>
        <w:rPr>
          <w:del w:id="12407" w:author="AbbVie14" w:date="2025-05-09T10:35:00Z"/>
          <w:b/>
          <w:bCs/>
          <w:color w:val="000000"/>
          <w:sz w:val="22"/>
          <w:szCs w:val="22"/>
          <w:rPrChange w:id="12408" w:author="AbbVie14" w:date="2025-09-08T15:01:00Z">
            <w:rPr>
              <w:color w:val="000000"/>
              <w:sz w:val="22"/>
              <w:szCs w:val="22"/>
            </w:rPr>
          </w:rPrChange>
        </w:rPr>
      </w:pPr>
      <w:del w:id="12409" w:author="AbbVie14" w:date="2025-05-09T10:35:00Z">
        <w:r w:rsidRPr="00363FE8">
          <w:rPr>
            <w:b/>
            <w:bCs/>
            <w:color w:val="000000"/>
            <w:sz w:val="22"/>
            <w:szCs w:val="22"/>
            <w:rPrChange w:id="12410" w:author="AbbVie14" w:date="2025-09-08T15:01:00Z">
              <w:rPr>
                <w:color w:val="000000"/>
                <w:sz w:val="22"/>
                <w:szCs w:val="22"/>
              </w:rPr>
            </w:rPrChange>
          </w:rPr>
          <w:delText xml:space="preserve">Nei pazienti adulti con idrosadenite suppurativa, una dose pari a 160 mg di Humira alla settimana 0 seguita da 80 mg alla settimana 2 ha ottenuto concentrazioni sieriche minime di adalimumab di circa 7-8 </w:delText>
        </w:r>
      </w:del>
      <w:del w:id="12411" w:author="AbbVie14" w:date="2025-05-09T10:35:00Z">
        <w:r w:rsidRPr="00363FE8" w:rsidR="00C17FDA">
          <w:rPr>
            <w:b/>
            <w:bCs/>
            <w:color w:val="000000"/>
            <w:sz w:val="22"/>
            <w:szCs w:val="22"/>
            <w:rPrChange w:id="12412" w:author="AbbVie14" w:date="2025-09-08T15:01:00Z">
              <w:rPr>
                <w:color w:val="000000"/>
                <w:sz w:val="22"/>
                <w:szCs w:val="22"/>
              </w:rPr>
            </w:rPrChange>
          </w:rPr>
          <w:delText>μ</w:delText>
        </w:r>
      </w:del>
      <w:del w:id="12413" w:author="AbbVie14" w:date="2025-05-09T10:35:00Z">
        <w:r w:rsidRPr="00363FE8">
          <w:rPr>
            <w:b/>
            <w:bCs/>
            <w:color w:val="000000"/>
            <w:sz w:val="22"/>
            <w:szCs w:val="22"/>
            <w:rPrChange w:id="12414" w:author="AbbVie14" w:date="2025-09-08T15:01:00Z">
              <w:rPr>
                <w:color w:val="000000"/>
                <w:sz w:val="22"/>
                <w:szCs w:val="22"/>
              </w:rPr>
            </w:rPrChange>
          </w:rPr>
          <w:delText xml:space="preserve">g/ml alla settimana 2 e alla settimana 4. Le concentrazioni medie </w:delText>
        </w:r>
      </w:del>
      <w:del w:id="12415" w:author="AbbVie14" w:date="2025-05-09T10:35:00Z">
        <w:r w:rsidRPr="00363FE8" w:rsidR="0085279B">
          <w:rPr>
            <w:b/>
            <w:bCs/>
            <w:color w:val="000000"/>
            <w:sz w:val="22"/>
            <w:szCs w:val="22"/>
            <w:rPrChange w:id="12416" w:author="AbbVie14" w:date="2025-09-08T15:01:00Z">
              <w:rPr>
                <w:color w:val="000000"/>
                <w:sz w:val="22"/>
                <w:szCs w:val="22"/>
              </w:rPr>
            </w:rPrChange>
          </w:rPr>
          <w:delText xml:space="preserve">minime </w:delText>
        </w:r>
      </w:del>
      <w:del w:id="12417" w:author="AbbVie14" w:date="2025-05-09T10:35:00Z">
        <w:r w:rsidRPr="00363FE8">
          <w:rPr>
            <w:b/>
            <w:bCs/>
            <w:color w:val="000000"/>
            <w:sz w:val="22"/>
            <w:szCs w:val="22"/>
            <w:rPrChange w:id="12418" w:author="AbbVie14" w:date="2025-09-08T15:01:00Z">
              <w:rPr>
                <w:color w:val="000000"/>
                <w:sz w:val="22"/>
                <w:szCs w:val="22"/>
              </w:rPr>
            </w:rPrChange>
          </w:rPr>
          <w:delText xml:space="preserve">all’equilibrio alla settimana 12 fino alla settimana 36 erano circa 8-10 </w:delText>
        </w:r>
      </w:del>
      <w:del w:id="12419" w:author="AbbVie14" w:date="2025-05-09T10:35:00Z">
        <w:r w:rsidRPr="00363FE8" w:rsidR="00C17FDA">
          <w:rPr>
            <w:b/>
            <w:bCs/>
            <w:rPrChange w:id="12420" w:author="AbbVie14" w:date="2025-09-08T15:01:00Z">
              <w:rPr/>
            </w:rPrChange>
          </w:rPr>
          <w:delText>μ</w:delText>
        </w:r>
      </w:del>
      <w:del w:id="12421" w:author="AbbVie14" w:date="2025-05-09T10:35:00Z">
        <w:r w:rsidRPr="00363FE8">
          <w:rPr>
            <w:b/>
            <w:bCs/>
            <w:color w:val="000000"/>
            <w:sz w:val="22"/>
            <w:szCs w:val="22"/>
            <w:rPrChange w:id="12422" w:author="AbbVie14" w:date="2025-09-08T15:01:00Z">
              <w:rPr>
                <w:color w:val="000000"/>
                <w:sz w:val="22"/>
                <w:szCs w:val="22"/>
              </w:rPr>
            </w:rPrChange>
          </w:rPr>
          <w:delText>g/ml durante il trattamento con adalimumab 40 mg a settimana.</w:delText>
        </w:r>
      </w:del>
    </w:p>
    <w:p w:rsidR="006224C2" w:rsidRPr="00363FE8" w14:paraId="379ACBA4" w14:textId="77777777">
      <w:pPr>
        <w:tabs>
          <w:tab w:val="left" w:pos="567"/>
        </w:tabs>
        <w:autoSpaceDE w:val="0"/>
        <w:autoSpaceDN w:val="0"/>
        <w:adjustRightInd w:val="0"/>
        <w:jc w:val="both"/>
        <w:rPr>
          <w:del w:id="12423" w:author="AbbVie14" w:date="2025-05-09T10:35:00Z"/>
          <w:b/>
          <w:bCs/>
          <w:color w:val="000000"/>
          <w:sz w:val="22"/>
          <w:szCs w:val="22"/>
          <w:rPrChange w:id="12424" w:author="AbbVie14" w:date="2025-09-08T15:01:00Z">
            <w:rPr>
              <w:color w:val="000000"/>
              <w:sz w:val="22"/>
              <w:szCs w:val="22"/>
            </w:rPr>
          </w:rPrChange>
        </w:rPr>
      </w:pPr>
    </w:p>
    <w:p w:rsidR="006224C2" w:rsidRPr="00363FE8" w14:paraId="4883168A" w14:textId="77777777">
      <w:pPr>
        <w:pStyle w:val="EMEANormal"/>
        <w:jc w:val="both"/>
        <w:rPr>
          <w:del w:id="12425" w:author="AbbVie14" w:date="2025-05-09T10:35:00Z"/>
          <w:b/>
          <w:bCs/>
          <w:iCs/>
          <w:lang w:val="it-IT"/>
          <w:rPrChange w:id="12426" w:author="AbbVie14" w:date="2025-09-08T15:01:00Z">
            <w:rPr>
              <w:iCs/>
              <w:lang w:val="it-IT"/>
            </w:rPr>
          </w:rPrChange>
        </w:rPr>
      </w:pPr>
      <w:del w:id="12427" w:author="AbbVie14" w:date="2025-05-09T10:35:00Z">
        <w:r w:rsidRPr="00363FE8">
          <w:rPr>
            <w:b/>
            <w:bCs/>
            <w:iCs/>
            <w:lang w:val="it-IT"/>
            <w:rPrChange w:id="12428" w:author="AbbVie14" w:date="2025-09-08T15:01:00Z">
              <w:rPr>
                <w:iCs/>
                <w:lang w:val="it-IT"/>
              </w:rPr>
            </w:rPrChange>
          </w:rPr>
          <w:delText>L’esposizione ad adalimumab nei pazienti adolescenti con HS è stata predetta usando modelli e simulazione farmacocinetica di popolazione basati sulla farmacocinetica cross-indicazione in altri pazienti pediatrici (psoriasi pediatrica, artrite idiopatica giovanile, malattia di Crohn pediatrica e artrite associata ad entesite). Lo schema posologico raccomandato per gli adolescenti con HS è di 40 mg a settimane alterne. Dato che l’esposizione ad adalimumab potrebbe essere influenzata dalla</w:delText>
        </w:r>
      </w:del>
      <w:del w:id="12429" w:author="AbbVie14" w:date="2025-05-09T10:35:00Z">
        <w:r w:rsidRPr="00363FE8" w:rsidR="001353FD">
          <w:rPr>
            <w:b/>
            <w:bCs/>
            <w:iCs/>
            <w:lang w:val="it-IT"/>
            <w:rPrChange w:id="12430" w:author="AbbVie14" w:date="2025-09-08T15:01:00Z">
              <w:rPr>
                <w:iCs/>
                <w:lang w:val="it-IT"/>
              </w:rPr>
            </w:rPrChange>
          </w:rPr>
          <w:delText xml:space="preserve"> </w:delText>
        </w:r>
      </w:del>
      <w:del w:id="12431" w:author="AbbVie14" w:date="2025-05-09T10:35:00Z">
        <w:r w:rsidRPr="00363FE8">
          <w:rPr>
            <w:b/>
            <w:bCs/>
            <w:iCs/>
            <w:lang w:val="it-IT"/>
            <w:rPrChange w:id="12432" w:author="AbbVie14" w:date="2025-09-08T15:01:00Z">
              <w:rPr>
                <w:iCs/>
                <w:lang w:val="it-IT"/>
              </w:rPr>
            </w:rPrChange>
          </w:rPr>
          <w:delText>massa corporea, gli adolescenti che hanno un peso corporeo maggiore e una risposta inadeguata possono beneficiare della dose raccomandata per gli adulti di 40 mg ogni settimana.</w:delText>
        </w:r>
      </w:del>
    </w:p>
    <w:p w:rsidR="006224C2" w:rsidRPr="00363FE8" w14:paraId="68047C4E" w14:textId="77777777">
      <w:pPr>
        <w:tabs>
          <w:tab w:val="left" w:pos="567"/>
        </w:tabs>
        <w:autoSpaceDE w:val="0"/>
        <w:autoSpaceDN w:val="0"/>
        <w:adjustRightInd w:val="0"/>
        <w:jc w:val="both"/>
        <w:rPr>
          <w:del w:id="12433" w:author="AbbVie14" w:date="2025-05-09T10:35:00Z"/>
          <w:b/>
          <w:bCs/>
          <w:color w:val="000000"/>
          <w:sz w:val="22"/>
          <w:szCs w:val="22"/>
          <w:rPrChange w:id="12434" w:author="AbbVie14" w:date="2025-09-08T15:01:00Z">
            <w:rPr>
              <w:color w:val="000000"/>
              <w:sz w:val="22"/>
              <w:szCs w:val="22"/>
            </w:rPr>
          </w:rPrChange>
        </w:rPr>
      </w:pPr>
    </w:p>
    <w:p w:rsidR="006224C2" w:rsidRPr="00363FE8" w:rsidP="00F57FE5" w14:paraId="0F21A3D1" w14:textId="77777777">
      <w:pPr>
        <w:keepNext/>
        <w:keepLines/>
        <w:tabs>
          <w:tab w:val="left" w:pos="567"/>
        </w:tabs>
        <w:autoSpaceDE w:val="0"/>
        <w:autoSpaceDN w:val="0"/>
        <w:adjustRightInd w:val="0"/>
        <w:jc w:val="both"/>
        <w:rPr>
          <w:del w:id="12435" w:author="AbbVie14" w:date="2025-05-09T10:35:00Z"/>
          <w:b/>
          <w:bCs/>
          <w:color w:val="000000"/>
          <w:sz w:val="22"/>
          <w:szCs w:val="22"/>
          <w:rPrChange w:id="12436" w:author="AbbVie14" w:date="2025-09-08T15:01:00Z">
            <w:rPr>
              <w:color w:val="000000"/>
              <w:sz w:val="22"/>
              <w:szCs w:val="22"/>
            </w:rPr>
          </w:rPrChange>
        </w:rPr>
      </w:pPr>
      <w:del w:id="12437" w:author="AbbVie14" w:date="2025-05-09T10:35:00Z">
        <w:r w:rsidRPr="00363FE8">
          <w:rPr>
            <w:b/>
            <w:bCs/>
            <w:color w:val="000000"/>
            <w:sz w:val="22"/>
            <w:szCs w:val="22"/>
            <w:rPrChange w:id="12438" w:author="AbbVie14" w:date="2025-09-08T15:01:00Z">
              <w:rPr>
                <w:color w:val="000000"/>
                <w:sz w:val="22"/>
                <w:szCs w:val="22"/>
              </w:rPr>
            </w:rPrChange>
          </w:rPr>
          <w:delText xml:space="preserve">Nei pazienti con malattia di Crohn, la dose di carico con 80 mg di Humira alla settimana 0 seguita da 40 mg di Humira alla settimana 2 ha ottenuto concentrazioni sieriche minime di adalimumab di circa 5,5 </w:delText>
        </w:r>
      </w:del>
      <w:del w:id="12439" w:author="AbbVie14" w:date="2025-05-09T10:35:00Z">
        <w:r w:rsidRPr="00363FE8" w:rsidR="0092443D">
          <w:rPr>
            <w:b/>
            <w:bCs/>
            <w:color w:val="000000"/>
            <w:sz w:val="22"/>
            <w:szCs w:val="22"/>
            <w:rPrChange w:id="12440" w:author="AbbVie14" w:date="2025-09-08T15:01:00Z">
              <w:rPr>
                <w:color w:val="000000"/>
                <w:sz w:val="22"/>
                <w:szCs w:val="22"/>
              </w:rPr>
            </w:rPrChange>
          </w:rPr>
          <w:delText>μ</w:delText>
        </w:r>
      </w:del>
      <w:del w:id="12441" w:author="AbbVie14" w:date="2025-05-09T10:35:00Z">
        <w:r w:rsidRPr="00363FE8">
          <w:rPr>
            <w:b/>
            <w:bCs/>
            <w:color w:val="000000"/>
            <w:sz w:val="22"/>
            <w:szCs w:val="22"/>
            <w:rPrChange w:id="12442" w:author="AbbVie14" w:date="2025-09-08T15:01:00Z">
              <w:rPr>
                <w:color w:val="000000"/>
                <w:sz w:val="22"/>
                <w:szCs w:val="22"/>
              </w:rPr>
            </w:rPrChange>
          </w:rPr>
          <w:delText xml:space="preserve">g/ml durante il periodo di induzione. Una dose di carico con 160 mg di Humira alla settimana 0 seguita da 80 mg di Humira alla settimana 2 ha ottenuto concentrazioni sieriche minime di adalimumab di circa 12 </w:delText>
        </w:r>
      </w:del>
      <w:del w:id="12443" w:author="AbbVie14" w:date="2025-05-09T10:35:00Z">
        <w:r w:rsidRPr="00363FE8" w:rsidR="0092443D">
          <w:rPr>
            <w:b/>
            <w:bCs/>
            <w:color w:val="000000"/>
            <w:sz w:val="22"/>
            <w:szCs w:val="22"/>
            <w:rPrChange w:id="12444" w:author="AbbVie14" w:date="2025-09-08T15:01:00Z">
              <w:rPr>
                <w:color w:val="000000"/>
                <w:sz w:val="22"/>
                <w:szCs w:val="22"/>
              </w:rPr>
            </w:rPrChange>
          </w:rPr>
          <w:delText>μ</w:delText>
        </w:r>
      </w:del>
      <w:del w:id="12445" w:author="AbbVie14" w:date="2025-05-09T10:35:00Z">
        <w:r w:rsidRPr="00363FE8">
          <w:rPr>
            <w:b/>
            <w:bCs/>
            <w:color w:val="000000"/>
            <w:sz w:val="22"/>
            <w:szCs w:val="22"/>
            <w:rPrChange w:id="12446" w:author="AbbVie14" w:date="2025-09-08T15:01:00Z">
              <w:rPr>
                <w:color w:val="000000"/>
                <w:sz w:val="22"/>
                <w:szCs w:val="22"/>
              </w:rPr>
            </w:rPrChange>
          </w:rPr>
          <w:delText xml:space="preserve">g/ml durante il periodo di induzione. Sono stati osservati livelli medi </w:delText>
        </w:r>
      </w:del>
      <w:del w:id="12447" w:author="AbbVie14" w:date="2025-05-09T10:35:00Z">
        <w:r w:rsidRPr="00363FE8" w:rsidR="0085279B">
          <w:rPr>
            <w:b/>
            <w:bCs/>
            <w:color w:val="000000"/>
            <w:sz w:val="22"/>
            <w:szCs w:val="22"/>
            <w:rPrChange w:id="12448" w:author="AbbVie14" w:date="2025-09-08T15:01:00Z">
              <w:rPr>
                <w:color w:val="000000"/>
                <w:sz w:val="22"/>
                <w:szCs w:val="22"/>
              </w:rPr>
            </w:rPrChange>
          </w:rPr>
          <w:delText xml:space="preserve">minimi </w:delText>
        </w:r>
      </w:del>
      <w:del w:id="12449" w:author="AbbVie14" w:date="2025-05-09T10:35:00Z">
        <w:r w:rsidRPr="00363FE8">
          <w:rPr>
            <w:b/>
            <w:bCs/>
            <w:color w:val="000000"/>
            <w:sz w:val="22"/>
            <w:szCs w:val="22"/>
            <w:rPrChange w:id="12450" w:author="AbbVie14" w:date="2025-09-08T15:01:00Z">
              <w:rPr>
                <w:color w:val="000000"/>
                <w:sz w:val="22"/>
                <w:szCs w:val="22"/>
              </w:rPr>
            </w:rPrChange>
          </w:rPr>
          <w:delText xml:space="preserve">all’equilibrio di circa 7 </w:delText>
        </w:r>
      </w:del>
      <w:del w:id="12451" w:author="AbbVie14" w:date="2025-05-09T10:35:00Z">
        <w:r w:rsidRPr="00363FE8" w:rsidR="0092443D">
          <w:rPr>
            <w:b/>
            <w:bCs/>
            <w:color w:val="000000"/>
            <w:sz w:val="22"/>
            <w:szCs w:val="22"/>
            <w:rPrChange w:id="12452" w:author="AbbVie14" w:date="2025-09-08T15:01:00Z">
              <w:rPr>
                <w:color w:val="000000"/>
                <w:sz w:val="22"/>
                <w:szCs w:val="22"/>
              </w:rPr>
            </w:rPrChange>
          </w:rPr>
          <w:delText>μ</w:delText>
        </w:r>
      </w:del>
      <w:del w:id="12453" w:author="AbbVie14" w:date="2025-05-09T10:35:00Z">
        <w:r w:rsidRPr="00363FE8">
          <w:rPr>
            <w:b/>
            <w:bCs/>
            <w:color w:val="000000"/>
            <w:sz w:val="22"/>
            <w:szCs w:val="22"/>
            <w:rPrChange w:id="12454" w:author="AbbVie14" w:date="2025-09-08T15:01:00Z">
              <w:rPr>
                <w:color w:val="000000"/>
                <w:sz w:val="22"/>
                <w:szCs w:val="22"/>
              </w:rPr>
            </w:rPrChange>
          </w:rPr>
          <w:delText>g/ml nei pazienti con malattia di Crohn che hanno ricevuto una dose di mantenimento di 40 mg di Humira ogni due settimane.</w:delText>
        </w:r>
      </w:del>
    </w:p>
    <w:p w:rsidR="006224C2" w:rsidRPr="00363FE8" w14:paraId="1896367C" w14:textId="77777777">
      <w:pPr>
        <w:pStyle w:val="EMEANormal"/>
        <w:jc w:val="both"/>
        <w:rPr>
          <w:del w:id="12455" w:author="AbbVie14" w:date="2025-05-09T10:35:00Z"/>
          <w:b/>
          <w:bCs/>
          <w:lang w:val="it-IT" w:eastAsia="en-GB"/>
          <w:rPrChange w:id="12456" w:author="AbbVie14" w:date="2025-09-08T15:01:00Z">
            <w:rPr>
              <w:lang w:val="it-IT" w:eastAsia="en-GB"/>
            </w:rPr>
          </w:rPrChange>
        </w:rPr>
      </w:pPr>
    </w:p>
    <w:p w:rsidR="006224C2" w:rsidRPr="00363FE8" w14:paraId="55B4F74E" w14:textId="77777777">
      <w:pPr>
        <w:pStyle w:val="EMEANormal"/>
        <w:jc w:val="both"/>
        <w:rPr>
          <w:del w:id="12457" w:author="AbbVie14" w:date="2025-05-09T10:35:00Z"/>
          <w:b/>
          <w:bCs/>
          <w:lang w:val="it-IT"/>
          <w:rPrChange w:id="12458" w:author="AbbVie14" w:date="2025-09-08T15:01:00Z">
            <w:rPr>
              <w:lang w:val="it-IT"/>
            </w:rPr>
          </w:rPrChange>
        </w:rPr>
      </w:pPr>
      <w:del w:id="12459" w:author="AbbVie14" w:date="2025-05-09T10:35:00Z">
        <w:r w:rsidRPr="00363FE8">
          <w:rPr>
            <w:b/>
            <w:bCs/>
            <w:lang w:val="it-IT" w:eastAsia="en-GB"/>
            <w:rPrChange w:id="12460" w:author="AbbVie14" w:date="2025-09-08T15:01:00Z">
              <w:rPr>
                <w:lang w:val="it-IT" w:eastAsia="en-GB"/>
              </w:rPr>
            </w:rPrChange>
          </w:rPr>
          <w:delText xml:space="preserve">Nei pazienti pediatrici con MC di grado da moderato a severo, la dose di induzione di adalimumab in aperto era 160/80 mg o 80/40 mg alle settimane 0 e 2, rispettivamente, a seconda del cut-off del peso corporeo a 40 kg. Alla settimana 4, i pazienti erano randomizzati </w:delText>
        </w:r>
      </w:del>
      <w:del w:id="12461" w:author="AbbVie14" w:date="2025-05-09T10:35:00Z">
        <w:r w:rsidRPr="00363FE8">
          <w:rPr>
            <w:b/>
            <w:bCs/>
            <w:lang w:val="it-IT"/>
            <w:rPrChange w:id="12462" w:author="AbbVie14" w:date="2025-09-08T15:01:00Z">
              <w:rPr>
                <w:lang w:val="it-IT"/>
              </w:rPr>
            </w:rPrChange>
          </w:rPr>
          <w:delText xml:space="preserve">1:1 </w:delText>
        </w:r>
      </w:del>
      <w:del w:id="12463" w:author="AbbVie14" w:date="2025-05-09T10:35:00Z">
        <w:r w:rsidRPr="00363FE8">
          <w:rPr>
            <w:b/>
            <w:bCs/>
            <w:lang w:val="it-IT" w:eastAsia="en-GB"/>
            <w:rPrChange w:id="12464" w:author="AbbVie14" w:date="2025-09-08T15:01:00Z">
              <w:rPr>
                <w:lang w:val="it-IT" w:eastAsia="en-GB"/>
              </w:rPr>
            </w:rPrChange>
          </w:rPr>
          <w:delText>sulla base del peso corporeo</w:delText>
        </w:r>
      </w:del>
      <w:del w:id="12465" w:author="AbbVie14" w:date="2025-05-09T10:35:00Z">
        <w:r w:rsidRPr="00363FE8">
          <w:rPr>
            <w:b/>
            <w:bCs/>
            <w:lang w:val="it-IT"/>
            <w:rPrChange w:id="12466" w:author="AbbVie14" w:date="2025-09-08T15:01:00Z">
              <w:rPr>
                <w:lang w:val="it-IT"/>
              </w:rPr>
            </w:rPrChange>
          </w:rPr>
          <w:delText xml:space="preserve"> nei gruppi del trattamento di mantenimento o alla Dose Standard (</w:delText>
        </w:r>
      </w:del>
      <w:del w:id="12467" w:author="AbbVie14" w:date="2025-05-09T10:35:00Z">
        <w:r w:rsidRPr="00363FE8">
          <w:rPr>
            <w:b/>
            <w:bCs/>
            <w:lang w:val="it-IT" w:eastAsia="en-GB"/>
            <w:rPrChange w:id="12468" w:author="AbbVie14" w:date="2025-09-08T15:01:00Z">
              <w:rPr>
                <w:lang w:val="it-IT" w:eastAsia="en-GB"/>
              </w:rPr>
            </w:rPrChange>
          </w:rPr>
          <w:delText xml:space="preserve">40/20 mg a settimane alterne) </w:delText>
        </w:r>
      </w:del>
      <w:del w:id="12469" w:author="AbbVie14" w:date="2025-05-09T10:35:00Z">
        <w:r w:rsidRPr="00363FE8">
          <w:rPr>
            <w:b/>
            <w:bCs/>
            <w:lang w:val="it-IT"/>
            <w:rPrChange w:id="12470" w:author="AbbVie14" w:date="2025-09-08T15:01:00Z">
              <w:rPr>
                <w:lang w:val="it-IT"/>
              </w:rPr>
            </w:rPrChange>
          </w:rPr>
          <w:delText>o alla Dose Bassa (</w:delText>
        </w:r>
      </w:del>
      <w:del w:id="12471" w:author="AbbVie14" w:date="2025-05-09T10:35:00Z">
        <w:r w:rsidRPr="00363FE8">
          <w:rPr>
            <w:b/>
            <w:bCs/>
            <w:lang w:val="it-IT" w:eastAsia="en-GB"/>
            <w:rPrChange w:id="12472" w:author="AbbVie14" w:date="2025-09-08T15:01:00Z">
              <w:rPr>
                <w:lang w:val="it-IT" w:eastAsia="en-GB"/>
              </w:rPr>
            </w:rPrChange>
          </w:rPr>
          <w:delText>20/10 mg a settimane alterne). Le concentrazioni sieriche medie (</w:delText>
        </w:r>
      </w:del>
      <w:del w:id="12473" w:author="AbbVie14" w:date="2025-05-09T10:35:00Z">
        <w:r w:rsidRPr="00363FE8">
          <w:rPr>
            <w:rFonts w:eastAsia="Arial Unicode MS"/>
            <w:b/>
            <w:bCs/>
            <w:lang w:val="it-IT"/>
            <w:rPrChange w:id="12474" w:author="AbbVie14" w:date="2025-09-08T15:01:00Z">
              <w:rPr>
                <w:rFonts w:eastAsia="Arial Unicode MS"/>
                <w:lang w:val="it-IT"/>
              </w:rPr>
            </w:rPrChange>
          </w:rPr>
          <w:delText xml:space="preserve">±SD) dei livelli minimi di adalimumab </w:delText>
        </w:r>
      </w:del>
      <w:del w:id="12475" w:author="AbbVie14" w:date="2025-05-09T10:35:00Z">
        <w:r w:rsidRPr="00363FE8">
          <w:rPr>
            <w:b/>
            <w:bCs/>
            <w:lang w:val="it-IT" w:eastAsia="en-GB"/>
            <w:rPrChange w:id="12476" w:author="AbbVie14" w:date="2025-09-08T15:01:00Z">
              <w:rPr>
                <w:lang w:val="it-IT" w:eastAsia="en-GB"/>
              </w:rPr>
            </w:rPrChange>
          </w:rPr>
          <w:delText>raggiunte alla settimana 4 erano 15</w:delText>
        </w:r>
      </w:del>
      <w:del w:id="12477" w:author="AbbVie14" w:date="2025-05-09T10:35:00Z">
        <w:r w:rsidRPr="00363FE8" w:rsidR="00C260B6">
          <w:rPr>
            <w:b/>
            <w:bCs/>
            <w:lang w:val="it-IT" w:eastAsia="en-GB"/>
            <w:rPrChange w:id="12478" w:author="AbbVie14" w:date="2025-09-08T15:01:00Z">
              <w:rPr>
                <w:lang w:val="it-IT" w:eastAsia="en-GB"/>
              </w:rPr>
            </w:rPrChange>
          </w:rPr>
          <w:delText>,</w:delText>
        </w:r>
      </w:del>
      <w:del w:id="12479" w:author="AbbVie14" w:date="2025-05-09T10:35:00Z">
        <w:r w:rsidRPr="00363FE8">
          <w:rPr>
            <w:b/>
            <w:bCs/>
            <w:lang w:val="it-IT" w:eastAsia="en-GB"/>
            <w:rPrChange w:id="12480" w:author="AbbVie14" w:date="2025-09-08T15:01:00Z">
              <w:rPr>
                <w:lang w:val="it-IT" w:eastAsia="en-GB"/>
              </w:rPr>
            </w:rPrChange>
          </w:rPr>
          <w:delText>7</w:delText>
        </w:r>
      </w:del>
      <w:del w:id="12481" w:author="AbbVie14" w:date="2025-05-09T10:35:00Z">
        <w:r w:rsidRPr="00363FE8">
          <w:rPr>
            <w:rFonts w:eastAsia="Arial Unicode MS"/>
            <w:b/>
            <w:bCs/>
            <w:lang w:val="it-IT"/>
            <w:rPrChange w:id="12482" w:author="AbbVie14" w:date="2025-09-08T15:01:00Z">
              <w:rPr>
                <w:rFonts w:eastAsia="Arial Unicode MS"/>
                <w:lang w:val="it-IT"/>
              </w:rPr>
            </w:rPrChange>
          </w:rPr>
          <w:delText>±6</w:delText>
        </w:r>
      </w:del>
      <w:del w:id="12483" w:author="AbbVie14" w:date="2025-05-09T10:35:00Z">
        <w:r w:rsidRPr="00363FE8" w:rsidR="00C260B6">
          <w:rPr>
            <w:rFonts w:eastAsia="Arial Unicode MS"/>
            <w:b/>
            <w:bCs/>
            <w:lang w:val="it-IT"/>
            <w:rPrChange w:id="12484" w:author="AbbVie14" w:date="2025-09-08T15:01:00Z">
              <w:rPr>
                <w:rFonts w:eastAsia="Arial Unicode MS"/>
                <w:lang w:val="it-IT"/>
              </w:rPr>
            </w:rPrChange>
          </w:rPr>
          <w:delText>,</w:delText>
        </w:r>
      </w:del>
      <w:del w:id="12485" w:author="AbbVie14" w:date="2025-05-09T10:35:00Z">
        <w:r w:rsidRPr="00363FE8">
          <w:rPr>
            <w:rFonts w:eastAsia="Arial Unicode MS"/>
            <w:b/>
            <w:bCs/>
            <w:lang w:val="it-IT"/>
            <w:rPrChange w:id="12486" w:author="AbbVie14" w:date="2025-09-08T15:01:00Z">
              <w:rPr>
                <w:rFonts w:eastAsia="Arial Unicode MS"/>
                <w:lang w:val="it-IT"/>
              </w:rPr>
            </w:rPrChange>
          </w:rPr>
          <w:delText xml:space="preserve">6 </w:delText>
        </w:r>
      </w:del>
      <w:del w:id="12487" w:author="AbbVie14" w:date="2025-05-09T10:35:00Z">
        <w:r w:rsidRPr="00363FE8">
          <w:rPr>
            <w:rFonts w:ascii="Symbol" w:hAnsi="Symbol"/>
            <w:b/>
            <w:bCs/>
            <w:lang w:val="it-IT"/>
            <w:rPrChange w:id="12488" w:author="AbbVie14" w:date="2025-09-08T15:01:00Z">
              <w:rPr>
                <w:rFonts w:ascii="Symbol" w:hAnsi="Symbol"/>
                <w:lang w:val="it-IT"/>
              </w:rPr>
            </w:rPrChange>
          </w:rPr>
          <w:sym w:font="Symbol" w:char="F06D"/>
        </w:r>
      </w:del>
      <w:del w:id="12489" w:author="AbbVie14" w:date="2025-05-09T10:35:00Z">
        <w:r w:rsidRPr="00363FE8">
          <w:rPr>
            <w:b/>
            <w:bCs/>
            <w:lang w:val="it-IT"/>
            <w:rPrChange w:id="12490" w:author="AbbVie14" w:date="2025-09-08T15:01:00Z">
              <w:rPr>
                <w:lang w:val="it-IT"/>
              </w:rPr>
            </w:rPrChange>
          </w:rPr>
          <w:delText xml:space="preserve">g/ml per i pazienti </w:delText>
        </w:r>
      </w:del>
      <w:del w:id="12491" w:author="AbbVie14" w:date="2025-05-09T10:35:00Z">
        <w:r w:rsidRPr="00363FE8" w:rsidR="0092443D">
          <w:rPr>
            <w:b/>
            <w:bCs/>
            <w:szCs w:val="20"/>
            <w:lang w:val="it-IT"/>
            <w:rPrChange w:id="12492" w:author="AbbVie14" w:date="2025-09-08T15:01:00Z">
              <w:rPr>
                <w:szCs w:val="20"/>
                <w:lang w:val="it-IT"/>
              </w:rPr>
            </w:rPrChange>
          </w:rPr>
          <w:delText>≥</w:delText>
        </w:r>
      </w:del>
      <w:del w:id="12493" w:author="AbbVie14" w:date="2025-05-09T10:35:00Z">
        <w:r w:rsidRPr="00363FE8">
          <w:rPr>
            <w:b/>
            <w:bCs/>
            <w:lang w:val="it-IT"/>
            <w:rPrChange w:id="12494" w:author="AbbVie14" w:date="2025-09-08T15:01:00Z">
              <w:rPr>
                <w:lang w:val="it-IT"/>
              </w:rPr>
            </w:rPrChange>
          </w:rPr>
          <w:delText xml:space="preserve"> 40 kg (160/80 mg) e </w:delText>
        </w:r>
      </w:del>
      <w:del w:id="12495" w:author="AbbVie14" w:date="2025-05-09T10:35:00Z">
        <w:r w:rsidRPr="00363FE8">
          <w:rPr>
            <w:b/>
            <w:bCs/>
            <w:lang w:val="it-IT" w:eastAsia="en-GB"/>
            <w:rPrChange w:id="12496" w:author="AbbVie14" w:date="2025-09-08T15:01:00Z">
              <w:rPr>
                <w:lang w:val="it-IT" w:eastAsia="en-GB"/>
              </w:rPr>
            </w:rPrChange>
          </w:rPr>
          <w:delText>10</w:delText>
        </w:r>
      </w:del>
      <w:del w:id="12497" w:author="AbbVie14" w:date="2025-05-09T10:35:00Z">
        <w:r w:rsidRPr="00363FE8" w:rsidR="00C260B6">
          <w:rPr>
            <w:b/>
            <w:bCs/>
            <w:lang w:val="it-IT" w:eastAsia="en-GB"/>
            <w:rPrChange w:id="12498" w:author="AbbVie14" w:date="2025-09-08T15:01:00Z">
              <w:rPr>
                <w:lang w:val="it-IT" w:eastAsia="en-GB"/>
              </w:rPr>
            </w:rPrChange>
          </w:rPr>
          <w:delText>,</w:delText>
        </w:r>
      </w:del>
      <w:del w:id="12499" w:author="AbbVie14" w:date="2025-05-09T10:35:00Z">
        <w:r w:rsidRPr="00363FE8">
          <w:rPr>
            <w:b/>
            <w:bCs/>
            <w:lang w:val="it-IT" w:eastAsia="en-GB"/>
            <w:rPrChange w:id="12500" w:author="AbbVie14" w:date="2025-09-08T15:01:00Z">
              <w:rPr>
                <w:lang w:val="it-IT" w:eastAsia="en-GB"/>
              </w:rPr>
            </w:rPrChange>
          </w:rPr>
          <w:delText>6</w:delText>
        </w:r>
      </w:del>
      <w:del w:id="12501" w:author="AbbVie14" w:date="2025-05-09T10:35:00Z">
        <w:r w:rsidRPr="00363FE8">
          <w:rPr>
            <w:rFonts w:eastAsia="Arial Unicode MS"/>
            <w:b/>
            <w:bCs/>
            <w:lang w:val="it-IT"/>
            <w:rPrChange w:id="12502" w:author="AbbVie14" w:date="2025-09-08T15:01:00Z">
              <w:rPr>
                <w:rFonts w:eastAsia="Arial Unicode MS"/>
                <w:lang w:val="it-IT"/>
              </w:rPr>
            </w:rPrChange>
          </w:rPr>
          <w:delText>±6</w:delText>
        </w:r>
      </w:del>
      <w:del w:id="12503" w:author="AbbVie14" w:date="2025-05-09T10:35:00Z">
        <w:r w:rsidRPr="00363FE8" w:rsidR="00C260B6">
          <w:rPr>
            <w:rFonts w:eastAsia="Arial Unicode MS"/>
            <w:b/>
            <w:bCs/>
            <w:lang w:val="it-IT"/>
            <w:rPrChange w:id="12504" w:author="AbbVie14" w:date="2025-09-08T15:01:00Z">
              <w:rPr>
                <w:rFonts w:eastAsia="Arial Unicode MS"/>
                <w:lang w:val="it-IT"/>
              </w:rPr>
            </w:rPrChange>
          </w:rPr>
          <w:delText>,</w:delText>
        </w:r>
      </w:del>
      <w:del w:id="12505" w:author="AbbVie14" w:date="2025-05-09T10:35:00Z">
        <w:r w:rsidRPr="00363FE8">
          <w:rPr>
            <w:rFonts w:eastAsia="Arial Unicode MS"/>
            <w:b/>
            <w:bCs/>
            <w:lang w:val="it-IT"/>
            <w:rPrChange w:id="12506" w:author="AbbVie14" w:date="2025-09-08T15:01:00Z">
              <w:rPr>
                <w:rFonts w:eastAsia="Arial Unicode MS"/>
                <w:lang w:val="it-IT"/>
              </w:rPr>
            </w:rPrChange>
          </w:rPr>
          <w:delText xml:space="preserve">1 </w:delText>
        </w:r>
      </w:del>
      <w:del w:id="12507" w:author="AbbVie14" w:date="2025-05-09T10:35:00Z">
        <w:r w:rsidRPr="00363FE8">
          <w:rPr>
            <w:rFonts w:ascii="Symbol" w:hAnsi="Symbol"/>
            <w:b/>
            <w:bCs/>
            <w:lang w:val="it-IT"/>
            <w:rPrChange w:id="12508" w:author="AbbVie14" w:date="2025-09-08T15:01:00Z">
              <w:rPr>
                <w:rFonts w:ascii="Symbol" w:hAnsi="Symbol"/>
                <w:lang w:val="it-IT"/>
              </w:rPr>
            </w:rPrChange>
          </w:rPr>
          <w:sym w:font="Symbol" w:char="F06D"/>
        </w:r>
      </w:del>
      <w:del w:id="12509" w:author="AbbVie14" w:date="2025-05-09T10:35:00Z">
        <w:r w:rsidRPr="00363FE8">
          <w:rPr>
            <w:b/>
            <w:bCs/>
            <w:lang w:val="it-IT"/>
            <w:rPrChange w:id="12510" w:author="AbbVie14" w:date="2025-09-08T15:01:00Z">
              <w:rPr>
                <w:lang w:val="it-IT"/>
              </w:rPr>
            </w:rPrChange>
          </w:rPr>
          <w:delText>g/ml per i pazienti &lt; 40 kg (80/40 mg).</w:delText>
        </w:r>
      </w:del>
    </w:p>
    <w:p w:rsidR="006224C2" w:rsidRPr="00363FE8" w14:paraId="1A805763" w14:textId="77777777">
      <w:pPr>
        <w:pStyle w:val="EMEANormal"/>
        <w:jc w:val="both"/>
        <w:rPr>
          <w:del w:id="12511" w:author="AbbVie14" w:date="2025-05-09T10:35:00Z"/>
          <w:b/>
          <w:bCs/>
          <w:lang w:val="it-IT" w:eastAsia="en-GB"/>
          <w:rPrChange w:id="12512" w:author="AbbVie14" w:date="2025-09-08T15:01:00Z">
            <w:rPr>
              <w:lang w:val="it-IT" w:eastAsia="en-GB"/>
            </w:rPr>
          </w:rPrChange>
        </w:rPr>
      </w:pPr>
    </w:p>
    <w:p w:rsidR="006224C2" w:rsidRPr="00363FE8" w14:paraId="48A52198" w14:textId="77777777">
      <w:pPr>
        <w:pStyle w:val="EMEANormal"/>
        <w:jc w:val="both"/>
        <w:rPr>
          <w:del w:id="12513" w:author="AbbVie14" w:date="2025-05-09T10:35:00Z"/>
          <w:b/>
          <w:bCs/>
          <w:color w:val="000000"/>
          <w:lang w:val="it-IT"/>
          <w:rPrChange w:id="12514" w:author="AbbVie14" w:date="2025-09-08T15:01:00Z">
            <w:rPr>
              <w:color w:val="000000"/>
              <w:lang w:val="it-IT"/>
            </w:rPr>
          </w:rPrChange>
        </w:rPr>
      </w:pPr>
      <w:del w:id="12515" w:author="AbbVie14" w:date="2025-05-09T10:35:00Z">
        <w:r w:rsidRPr="00363FE8">
          <w:rPr>
            <w:rFonts w:eastAsia="Arial Unicode MS"/>
            <w:b/>
            <w:bCs/>
            <w:lang w:val="it-IT"/>
            <w:rPrChange w:id="12516" w:author="AbbVie14" w:date="2025-09-08T15:01:00Z">
              <w:rPr>
                <w:rFonts w:eastAsia="Arial Unicode MS"/>
                <w:lang w:val="it-IT"/>
              </w:rPr>
            </w:rPrChange>
          </w:rPr>
          <w:delText xml:space="preserve">Per i pazienti che rimanevano nella loro terapia randomizzata, le concentrazioni medie </w:delText>
        </w:r>
      </w:del>
      <w:del w:id="12517" w:author="AbbVie14" w:date="2025-05-09T10:35:00Z">
        <w:r w:rsidRPr="00363FE8">
          <w:rPr>
            <w:b/>
            <w:bCs/>
            <w:lang w:val="it-IT"/>
            <w:rPrChange w:id="12518" w:author="AbbVie14" w:date="2025-09-08T15:01:00Z">
              <w:rPr>
                <w:lang w:val="it-IT"/>
              </w:rPr>
            </w:rPrChange>
          </w:rPr>
          <w:delText>dei livelli minimi</w:delText>
        </w:r>
      </w:del>
      <w:del w:id="12519" w:author="AbbVie14" w:date="2025-05-09T10:35:00Z">
        <w:r w:rsidRPr="00363FE8" w:rsidR="00C260B6">
          <w:rPr>
            <w:b/>
            <w:bCs/>
            <w:lang w:val="it-IT"/>
            <w:rPrChange w:id="12520" w:author="AbbVie14" w:date="2025-09-08T15:01:00Z">
              <w:rPr>
                <w:lang w:val="it-IT"/>
              </w:rPr>
            </w:rPrChange>
          </w:rPr>
          <w:delText xml:space="preserve"> </w:delText>
        </w:r>
      </w:del>
      <w:del w:id="12521" w:author="AbbVie14" w:date="2025-05-09T10:35:00Z">
        <w:r w:rsidRPr="00363FE8">
          <w:rPr>
            <w:b/>
            <w:bCs/>
            <w:lang w:val="it-IT" w:eastAsia="en-GB"/>
            <w:rPrChange w:id="12522" w:author="AbbVie14" w:date="2025-09-08T15:01:00Z">
              <w:rPr>
                <w:lang w:val="it-IT" w:eastAsia="en-GB"/>
              </w:rPr>
            </w:rPrChange>
          </w:rPr>
          <w:delText>(</w:delText>
        </w:r>
      </w:del>
      <w:del w:id="12523" w:author="AbbVie14" w:date="2025-05-09T10:35:00Z">
        <w:r w:rsidRPr="00363FE8">
          <w:rPr>
            <w:rFonts w:eastAsia="Arial Unicode MS"/>
            <w:b/>
            <w:bCs/>
            <w:lang w:val="it-IT"/>
            <w:rPrChange w:id="12524" w:author="AbbVie14" w:date="2025-09-08T15:01:00Z">
              <w:rPr>
                <w:rFonts w:eastAsia="Arial Unicode MS"/>
                <w:lang w:val="it-IT"/>
              </w:rPr>
            </w:rPrChange>
          </w:rPr>
          <w:delText xml:space="preserve">±SD) di </w:delText>
        </w:r>
      </w:del>
      <w:del w:id="12525" w:author="AbbVie14" w:date="2025-05-09T10:35:00Z">
        <w:r w:rsidRPr="00363FE8">
          <w:rPr>
            <w:b/>
            <w:bCs/>
            <w:lang w:val="it-IT"/>
            <w:rPrChange w:id="12526" w:author="AbbVie14" w:date="2025-09-08T15:01:00Z">
              <w:rPr>
                <w:lang w:val="it-IT"/>
              </w:rPr>
            </w:rPrChange>
          </w:rPr>
          <w:delText xml:space="preserve">adalimumab alla settimana 52 erano </w:delText>
        </w:r>
      </w:del>
      <w:del w:id="12527" w:author="AbbVie14" w:date="2025-05-09T10:35:00Z">
        <w:r w:rsidRPr="00363FE8">
          <w:rPr>
            <w:rFonts w:eastAsia="Arial Unicode MS"/>
            <w:b/>
            <w:bCs/>
            <w:lang w:val="it-IT"/>
            <w:rPrChange w:id="12528" w:author="AbbVie14" w:date="2025-09-08T15:01:00Z">
              <w:rPr>
                <w:rFonts w:eastAsia="Arial Unicode MS"/>
                <w:lang w:val="it-IT"/>
              </w:rPr>
            </w:rPrChange>
          </w:rPr>
          <w:delText>9,5±5,6</w:delText>
        </w:r>
      </w:del>
      <w:del w:id="12529" w:author="AbbVie14" w:date="2025-05-09T10:35:00Z">
        <w:r w:rsidRPr="00363FE8">
          <w:rPr>
            <w:b/>
            <w:bCs/>
            <w:lang w:val="it-IT"/>
            <w:rPrChange w:id="12530" w:author="AbbVie14" w:date="2025-09-08T15:01:00Z">
              <w:rPr>
                <w:lang w:val="it-IT"/>
              </w:rPr>
            </w:rPrChange>
          </w:rPr>
          <w:delText> </w:delText>
        </w:r>
      </w:del>
      <w:del w:id="12531" w:author="AbbVie14" w:date="2025-05-09T10:35:00Z">
        <w:r w:rsidRPr="00363FE8">
          <w:rPr>
            <w:rFonts w:ascii="Symbol" w:hAnsi="Symbol"/>
            <w:b/>
            <w:bCs/>
            <w:lang w:val="it-IT"/>
            <w:rPrChange w:id="12532" w:author="AbbVie14" w:date="2025-09-08T15:01:00Z">
              <w:rPr>
                <w:rFonts w:ascii="Symbol" w:hAnsi="Symbol"/>
                <w:lang w:val="it-IT"/>
              </w:rPr>
            </w:rPrChange>
          </w:rPr>
          <w:sym w:font="Symbol" w:char="F06D"/>
        </w:r>
      </w:del>
      <w:del w:id="12533" w:author="AbbVie14" w:date="2025-05-09T10:35:00Z">
        <w:r w:rsidRPr="00363FE8">
          <w:rPr>
            <w:b/>
            <w:bCs/>
            <w:lang w:val="it-IT"/>
            <w:rPrChange w:id="12534" w:author="AbbVie14" w:date="2025-09-08T15:01:00Z">
              <w:rPr>
                <w:lang w:val="it-IT"/>
              </w:rPr>
            </w:rPrChange>
          </w:rPr>
          <w:delText xml:space="preserve">g/ml per il gruppo a Dose Standard e </w:delText>
        </w:r>
      </w:del>
      <w:del w:id="12535" w:author="AbbVie14" w:date="2025-05-09T10:35:00Z">
        <w:r w:rsidRPr="00363FE8">
          <w:rPr>
            <w:rFonts w:eastAsia="Arial Unicode MS"/>
            <w:b/>
            <w:bCs/>
            <w:lang w:val="it-IT"/>
            <w:rPrChange w:id="12536" w:author="AbbVie14" w:date="2025-09-08T15:01:00Z">
              <w:rPr>
                <w:rFonts w:eastAsia="Arial Unicode MS"/>
                <w:lang w:val="it-IT"/>
              </w:rPr>
            </w:rPrChange>
          </w:rPr>
          <w:delText>3,5±2,2</w:delText>
        </w:r>
      </w:del>
      <w:del w:id="12537" w:author="AbbVie14" w:date="2025-05-09T10:35:00Z">
        <w:r w:rsidRPr="00363FE8">
          <w:rPr>
            <w:b/>
            <w:bCs/>
            <w:lang w:val="it-IT"/>
            <w:rPrChange w:id="12538" w:author="AbbVie14" w:date="2025-09-08T15:01:00Z">
              <w:rPr>
                <w:lang w:val="it-IT"/>
              </w:rPr>
            </w:rPrChange>
          </w:rPr>
          <w:delText> </w:delText>
        </w:r>
      </w:del>
      <w:del w:id="12539" w:author="AbbVie14" w:date="2025-05-09T10:35:00Z">
        <w:r w:rsidRPr="00363FE8">
          <w:rPr>
            <w:rFonts w:ascii="Symbol" w:hAnsi="Symbol"/>
            <w:b/>
            <w:bCs/>
            <w:lang w:val="it-IT"/>
            <w:rPrChange w:id="12540" w:author="AbbVie14" w:date="2025-09-08T15:01:00Z">
              <w:rPr>
                <w:rFonts w:ascii="Symbol" w:hAnsi="Symbol"/>
                <w:lang w:val="it-IT"/>
              </w:rPr>
            </w:rPrChange>
          </w:rPr>
          <w:sym w:font="Symbol" w:char="F06D"/>
        </w:r>
      </w:del>
      <w:del w:id="12541" w:author="AbbVie14" w:date="2025-05-09T10:35:00Z">
        <w:r w:rsidRPr="00363FE8">
          <w:rPr>
            <w:b/>
            <w:bCs/>
            <w:lang w:val="it-IT"/>
            <w:rPrChange w:id="12542" w:author="AbbVie14" w:date="2025-09-08T15:01:00Z">
              <w:rPr>
                <w:lang w:val="it-IT"/>
              </w:rPr>
            </w:rPrChange>
          </w:rPr>
          <w:delText xml:space="preserve">g/ml per il gruppo a Bassa Dose. Le concentrazioni medie </w:delText>
        </w:r>
      </w:del>
      <w:del w:id="12543" w:author="AbbVie14" w:date="2025-05-09T10:35:00Z">
        <w:r w:rsidRPr="00363FE8">
          <w:rPr>
            <w:b/>
            <w:bCs/>
            <w:lang w:val="it-IT" w:eastAsia="en-GB"/>
            <w:rPrChange w:id="12544" w:author="AbbVie14" w:date="2025-09-08T15:01:00Z">
              <w:rPr>
                <w:lang w:val="it-IT" w:eastAsia="en-GB"/>
              </w:rPr>
            </w:rPrChange>
          </w:rPr>
          <w:delText xml:space="preserve">dei livelli minimi erano mantenute nei </w:delText>
        </w:r>
      </w:del>
      <w:del w:id="12545" w:author="AbbVie14" w:date="2025-05-09T10:35:00Z">
        <w:r w:rsidRPr="00363FE8">
          <w:rPr>
            <w:rFonts w:eastAsia="Arial Unicode MS"/>
            <w:b/>
            <w:bCs/>
            <w:lang w:val="it-IT"/>
            <w:rPrChange w:id="12546" w:author="AbbVie14" w:date="2025-09-08T15:01:00Z">
              <w:rPr>
                <w:rFonts w:eastAsia="Arial Unicode MS"/>
                <w:lang w:val="it-IT"/>
              </w:rPr>
            </w:rPrChange>
          </w:rPr>
          <w:delText>pazienti</w:delText>
        </w:r>
      </w:del>
      <w:del w:id="12547" w:author="AbbVie14" w:date="2025-05-09T10:35:00Z">
        <w:r w:rsidRPr="00363FE8">
          <w:rPr>
            <w:b/>
            <w:bCs/>
            <w:lang w:val="it-IT" w:eastAsia="en-GB"/>
            <w:rPrChange w:id="12548" w:author="AbbVie14" w:date="2025-09-08T15:01:00Z">
              <w:rPr>
                <w:lang w:val="it-IT" w:eastAsia="en-GB"/>
              </w:rPr>
            </w:rPrChange>
          </w:rPr>
          <w:delText xml:space="preserve"> che continuavano a ricevere il trattamento di adalimumab a settimane alterne per 52 settimane. Per i pazienti che aumentavano la dose da un regime a settimane alterne a uno settimanale</w:delText>
        </w:r>
      </w:del>
      <w:del w:id="12549" w:author="AbbVie14" w:date="2025-05-09T10:35:00Z">
        <w:r w:rsidRPr="00363FE8">
          <w:rPr>
            <w:b/>
            <w:bCs/>
            <w:lang w:val="it-IT"/>
            <w:rPrChange w:id="12550" w:author="AbbVie14" w:date="2025-09-08T15:01:00Z">
              <w:rPr>
                <w:lang w:val="it-IT"/>
              </w:rPr>
            </w:rPrChange>
          </w:rPr>
          <w:delText xml:space="preserve">, le concentrazioni sieriche medie </w:delText>
        </w:r>
      </w:del>
      <w:del w:id="12551" w:author="AbbVie14" w:date="2025-05-09T10:35:00Z">
        <w:r w:rsidRPr="00363FE8">
          <w:rPr>
            <w:b/>
            <w:bCs/>
            <w:lang w:val="it-IT" w:eastAsia="en-GB"/>
            <w:rPrChange w:id="12552" w:author="AbbVie14" w:date="2025-09-08T15:01:00Z">
              <w:rPr>
                <w:lang w:val="it-IT" w:eastAsia="en-GB"/>
              </w:rPr>
            </w:rPrChange>
          </w:rPr>
          <w:delText>(</w:delText>
        </w:r>
      </w:del>
      <w:del w:id="12553" w:author="AbbVie14" w:date="2025-05-09T10:35:00Z">
        <w:r w:rsidRPr="00363FE8">
          <w:rPr>
            <w:rFonts w:eastAsia="Arial Unicode MS"/>
            <w:b/>
            <w:bCs/>
            <w:lang w:val="it-IT"/>
            <w:rPrChange w:id="12554" w:author="AbbVie14" w:date="2025-09-08T15:01:00Z">
              <w:rPr>
                <w:rFonts w:eastAsia="Arial Unicode MS"/>
                <w:lang w:val="it-IT"/>
              </w:rPr>
            </w:rPrChange>
          </w:rPr>
          <w:delText xml:space="preserve">±SD) di adalimumab alla settimana 52 erano </w:delText>
        </w:r>
      </w:del>
      <w:del w:id="12555" w:author="AbbVie14" w:date="2025-05-09T10:35:00Z">
        <w:r w:rsidRPr="00363FE8">
          <w:rPr>
            <w:b/>
            <w:bCs/>
            <w:lang w:val="it-IT"/>
            <w:rPrChange w:id="12556" w:author="AbbVie14" w:date="2025-09-08T15:01:00Z">
              <w:rPr>
                <w:lang w:val="it-IT"/>
              </w:rPr>
            </w:rPrChange>
          </w:rPr>
          <w:delText>15,3</w:delText>
        </w:r>
      </w:del>
      <w:del w:id="12557" w:author="AbbVie14" w:date="2025-05-09T10:35:00Z">
        <w:r w:rsidRPr="00363FE8">
          <w:rPr>
            <w:rFonts w:eastAsia="Arial Unicode MS"/>
            <w:b/>
            <w:bCs/>
            <w:lang w:val="it-IT"/>
            <w:rPrChange w:id="12558" w:author="AbbVie14" w:date="2025-09-08T15:01:00Z">
              <w:rPr>
                <w:rFonts w:eastAsia="Arial Unicode MS"/>
                <w:lang w:val="it-IT"/>
              </w:rPr>
            </w:rPrChange>
          </w:rPr>
          <w:delText>±11,4</w:delText>
        </w:r>
      </w:del>
      <w:del w:id="12559" w:author="AbbVie14" w:date="2025-05-09T10:35:00Z">
        <w:r w:rsidRPr="00363FE8" w:rsidR="00C260B6">
          <w:rPr>
            <w:rFonts w:eastAsia="Arial Unicode MS"/>
            <w:b/>
            <w:bCs/>
            <w:lang w:val="it-IT"/>
            <w:rPrChange w:id="12560" w:author="AbbVie14" w:date="2025-09-08T15:01:00Z">
              <w:rPr>
                <w:rFonts w:eastAsia="Arial Unicode MS"/>
                <w:lang w:val="it-IT"/>
              </w:rPr>
            </w:rPrChange>
          </w:rPr>
          <w:delText xml:space="preserve"> </w:delText>
        </w:r>
      </w:del>
      <w:del w:id="12561" w:author="AbbVie14" w:date="2025-05-09T10:35:00Z">
        <w:r w:rsidRPr="00363FE8">
          <w:rPr>
            <w:b/>
            <w:bCs/>
            <w:lang w:val="it-IT"/>
            <w:rPrChange w:id="12562" w:author="AbbVie14" w:date="2025-09-08T15:01:00Z">
              <w:rPr>
                <w:lang w:val="it-IT"/>
              </w:rPr>
            </w:rPrChange>
          </w:rPr>
          <w:delText>μg/ml (40/20 mg, a settimana) and 6,7</w:delText>
        </w:r>
      </w:del>
      <w:del w:id="12563" w:author="AbbVie14" w:date="2025-05-09T10:35:00Z">
        <w:r w:rsidRPr="00363FE8">
          <w:rPr>
            <w:rFonts w:eastAsia="Arial Unicode MS"/>
            <w:b/>
            <w:bCs/>
            <w:lang w:val="it-IT"/>
            <w:rPrChange w:id="12564" w:author="AbbVie14" w:date="2025-09-08T15:01:00Z">
              <w:rPr>
                <w:rFonts w:eastAsia="Arial Unicode MS"/>
                <w:lang w:val="it-IT"/>
              </w:rPr>
            </w:rPrChange>
          </w:rPr>
          <w:delText xml:space="preserve">±3,5 </w:delText>
        </w:r>
      </w:del>
      <w:del w:id="12565" w:author="AbbVie14" w:date="2025-05-09T10:35:00Z">
        <w:r w:rsidRPr="00363FE8">
          <w:rPr>
            <w:b/>
            <w:bCs/>
            <w:lang w:val="it-IT"/>
            <w:rPrChange w:id="12566" w:author="AbbVie14" w:date="2025-09-08T15:01:00Z">
              <w:rPr>
                <w:lang w:val="it-IT"/>
              </w:rPr>
            </w:rPrChange>
          </w:rPr>
          <w:delText>μg/ml (20/10 mg, a settimana).</w:delText>
        </w:r>
      </w:del>
    </w:p>
    <w:p w:rsidR="006224C2" w:rsidRPr="00363FE8" w14:paraId="020699A4" w14:textId="77777777">
      <w:pPr>
        <w:tabs>
          <w:tab w:val="left" w:pos="567"/>
        </w:tabs>
        <w:autoSpaceDE w:val="0"/>
        <w:autoSpaceDN w:val="0"/>
        <w:adjustRightInd w:val="0"/>
        <w:jc w:val="both"/>
        <w:rPr>
          <w:del w:id="12567" w:author="AbbVie14" w:date="2025-05-09T10:35:00Z"/>
          <w:b/>
          <w:bCs/>
          <w:color w:val="000000"/>
          <w:sz w:val="22"/>
          <w:szCs w:val="22"/>
          <w:rPrChange w:id="12568" w:author="AbbVie14" w:date="2025-09-08T15:01:00Z">
            <w:rPr>
              <w:color w:val="000000"/>
              <w:sz w:val="22"/>
              <w:szCs w:val="22"/>
            </w:rPr>
          </w:rPrChange>
        </w:rPr>
      </w:pPr>
    </w:p>
    <w:p w:rsidR="006224C2" w:rsidRPr="00363FE8" w14:paraId="5240DEC0" w14:textId="77777777">
      <w:pPr>
        <w:tabs>
          <w:tab w:val="left" w:pos="567"/>
        </w:tabs>
        <w:autoSpaceDE w:val="0"/>
        <w:autoSpaceDN w:val="0"/>
        <w:adjustRightInd w:val="0"/>
        <w:jc w:val="both"/>
        <w:rPr>
          <w:del w:id="12569" w:author="AbbVie14" w:date="2025-05-09T10:35:00Z"/>
          <w:b/>
          <w:bCs/>
          <w:color w:val="000000"/>
          <w:sz w:val="22"/>
          <w:szCs w:val="22"/>
          <w:rPrChange w:id="12570" w:author="AbbVie14" w:date="2025-09-08T15:01:00Z">
            <w:rPr>
              <w:color w:val="000000"/>
              <w:sz w:val="22"/>
              <w:szCs w:val="22"/>
            </w:rPr>
          </w:rPrChange>
        </w:rPr>
      </w:pPr>
      <w:del w:id="12571" w:author="AbbVie14" w:date="2025-05-09T10:35:00Z">
        <w:r w:rsidRPr="00363FE8">
          <w:rPr>
            <w:b/>
            <w:bCs/>
            <w:color w:val="000000"/>
            <w:sz w:val="22"/>
            <w:szCs w:val="22"/>
            <w:rPrChange w:id="12572" w:author="AbbVie14" w:date="2025-09-08T15:01:00Z">
              <w:rPr>
                <w:color w:val="000000"/>
                <w:sz w:val="22"/>
                <w:szCs w:val="22"/>
              </w:rPr>
            </w:rPrChange>
          </w:rPr>
          <w:delText>Nei pazienti affetti da colite ulcerosa, una dose di carico di 160 mg di Humira alla settimana 0 seguita da 80</w:delText>
        </w:r>
      </w:del>
      <w:del w:id="12573" w:author="AbbVie14" w:date="2025-05-09T10:35:00Z">
        <w:r w:rsidRPr="00363FE8" w:rsidR="00C260B6">
          <w:rPr>
            <w:b/>
            <w:bCs/>
            <w:color w:val="000000"/>
            <w:sz w:val="22"/>
            <w:szCs w:val="22"/>
            <w:rPrChange w:id="12574" w:author="AbbVie14" w:date="2025-09-08T15:01:00Z">
              <w:rPr>
                <w:color w:val="000000"/>
                <w:sz w:val="22"/>
                <w:szCs w:val="22"/>
              </w:rPr>
            </w:rPrChange>
          </w:rPr>
          <w:delText xml:space="preserve"> </w:delText>
        </w:r>
      </w:del>
      <w:del w:id="12575" w:author="AbbVie14" w:date="2025-05-09T10:35:00Z">
        <w:r w:rsidRPr="00363FE8">
          <w:rPr>
            <w:b/>
            <w:bCs/>
            <w:color w:val="000000"/>
            <w:sz w:val="22"/>
            <w:szCs w:val="22"/>
            <w:rPrChange w:id="12576" w:author="AbbVie14" w:date="2025-09-08T15:01:00Z">
              <w:rPr>
                <w:color w:val="000000"/>
                <w:sz w:val="22"/>
                <w:szCs w:val="22"/>
              </w:rPr>
            </w:rPrChange>
          </w:rPr>
          <w:delText>mg di Humira alla settimana 2</w:delText>
        </w:r>
      </w:del>
      <w:del w:id="12577" w:author="AbbVie14" w:date="2025-05-09T10:35:00Z">
        <w:r w:rsidRPr="00363FE8" w:rsidR="00C260B6">
          <w:rPr>
            <w:b/>
            <w:bCs/>
            <w:color w:val="000000"/>
            <w:sz w:val="22"/>
            <w:szCs w:val="22"/>
            <w:rPrChange w:id="12578" w:author="AbbVie14" w:date="2025-09-08T15:01:00Z">
              <w:rPr>
                <w:color w:val="000000"/>
                <w:sz w:val="22"/>
                <w:szCs w:val="22"/>
              </w:rPr>
            </w:rPrChange>
          </w:rPr>
          <w:delText xml:space="preserve"> </w:delText>
        </w:r>
      </w:del>
      <w:del w:id="12579" w:author="AbbVie14" w:date="2025-05-09T10:35:00Z">
        <w:r w:rsidRPr="00363FE8">
          <w:rPr>
            <w:b/>
            <w:bCs/>
            <w:color w:val="000000"/>
            <w:sz w:val="22"/>
            <w:szCs w:val="22"/>
            <w:rPrChange w:id="12580" w:author="AbbVie14" w:date="2025-09-08T15:01:00Z">
              <w:rPr>
                <w:color w:val="000000"/>
                <w:sz w:val="22"/>
                <w:szCs w:val="22"/>
              </w:rPr>
            </w:rPrChange>
          </w:rPr>
          <w:delText>ha ottenuto una concentrazione sierica minima di adalimumab di circa 12</w:delText>
        </w:r>
      </w:del>
      <w:del w:id="12581" w:author="AbbVie14" w:date="2025-05-09T10:35:00Z">
        <w:r w:rsidRPr="00363FE8" w:rsidR="0092443D">
          <w:rPr>
            <w:b/>
            <w:bCs/>
            <w:color w:val="000000"/>
            <w:sz w:val="22"/>
            <w:szCs w:val="22"/>
            <w:rPrChange w:id="12582" w:author="AbbVie14" w:date="2025-09-08T15:01:00Z">
              <w:rPr>
                <w:color w:val="000000"/>
                <w:sz w:val="22"/>
                <w:szCs w:val="22"/>
              </w:rPr>
            </w:rPrChange>
          </w:rPr>
          <w:delText xml:space="preserve"> μ</w:delText>
        </w:r>
      </w:del>
      <w:del w:id="12583" w:author="AbbVie14" w:date="2025-05-09T10:35:00Z">
        <w:r w:rsidRPr="00363FE8">
          <w:rPr>
            <w:b/>
            <w:bCs/>
            <w:color w:val="000000"/>
            <w:sz w:val="22"/>
            <w:szCs w:val="22"/>
            <w:rPrChange w:id="12584" w:author="AbbVie14" w:date="2025-09-08T15:01:00Z">
              <w:rPr>
                <w:color w:val="000000"/>
                <w:sz w:val="22"/>
                <w:szCs w:val="22"/>
              </w:rPr>
            </w:rPrChange>
          </w:rPr>
          <w:delText xml:space="preserve">g/ml durante il periodo di induzione. Sono stati osservati livelli medi </w:delText>
        </w:r>
      </w:del>
      <w:del w:id="12585" w:author="AbbVie14" w:date="2025-05-09T10:35:00Z">
        <w:r w:rsidRPr="00363FE8" w:rsidR="00C260B6">
          <w:rPr>
            <w:b/>
            <w:bCs/>
            <w:color w:val="000000"/>
            <w:sz w:val="22"/>
            <w:szCs w:val="22"/>
            <w:rPrChange w:id="12586" w:author="AbbVie14" w:date="2025-09-08T15:01:00Z">
              <w:rPr>
                <w:color w:val="000000"/>
                <w:sz w:val="22"/>
                <w:szCs w:val="22"/>
              </w:rPr>
            </w:rPrChange>
          </w:rPr>
          <w:delText xml:space="preserve">minimi </w:delText>
        </w:r>
      </w:del>
      <w:del w:id="12587" w:author="AbbVie14" w:date="2025-05-09T10:35:00Z">
        <w:r w:rsidRPr="00363FE8">
          <w:rPr>
            <w:b/>
            <w:bCs/>
            <w:color w:val="000000"/>
            <w:sz w:val="22"/>
            <w:szCs w:val="22"/>
            <w:rPrChange w:id="12588" w:author="AbbVie14" w:date="2025-09-08T15:01:00Z">
              <w:rPr>
                <w:color w:val="000000"/>
                <w:sz w:val="22"/>
                <w:szCs w:val="22"/>
              </w:rPr>
            </w:rPrChange>
          </w:rPr>
          <w:delText>all’equilibrio di circa 8</w:delText>
        </w:r>
      </w:del>
      <w:del w:id="12589" w:author="AbbVie14" w:date="2025-05-09T10:35:00Z">
        <w:r w:rsidRPr="00363FE8" w:rsidR="0092443D">
          <w:rPr>
            <w:b/>
            <w:bCs/>
            <w:color w:val="000000"/>
            <w:sz w:val="22"/>
            <w:szCs w:val="22"/>
            <w:rPrChange w:id="12590" w:author="AbbVie14" w:date="2025-09-08T15:01:00Z">
              <w:rPr>
                <w:color w:val="000000"/>
                <w:sz w:val="22"/>
                <w:szCs w:val="22"/>
              </w:rPr>
            </w:rPrChange>
          </w:rPr>
          <w:delText xml:space="preserve"> μ</w:delText>
        </w:r>
      </w:del>
      <w:del w:id="12591" w:author="AbbVie14" w:date="2025-05-09T10:35:00Z">
        <w:r w:rsidRPr="00363FE8">
          <w:rPr>
            <w:b/>
            <w:bCs/>
            <w:color w:val="000000"/>
            <w:sz w:val="22"/>
            <w:szCs w:val="22"/>
            <w:rPrChange w:id="12592" w:author="AbbVie14" w:date="2025-09-08T15:01:00Z">
              <w:rPr>
                <w:color w:val="000000"/>
                <w:sz w:val="22"/>
                <w:szCs w:val="22"/>
              </w:rPr>
            </w:rPrChange>
          </w:rPr>
          <w:delText>g/ml nei pazienti con colite ulcerosa che hanno ricevuto una dose di mantenimento di 40 mg di Humira ogni due settimane.</w:delText>
        </w:r>
      </w:del>
    </w:p>
    <w:p w:rsidR="00555874" w:rsidRPr="00363FE8" w:rsidP="00555874" w14:paraId="1DAE521B" w14:textId="77777777">
      <w:pPr>
        <w:rPr>
          <w:del w:id="12593" w:author="AbbVie14" w:date="2025-05-09T10:35:00Z"/>
          <w:rStyle w:val="normaltextrun"/>
          <w:b/>
          <w:bCs/>
          <w:sz w:val="22"/>
          <w:szCs w:val="22"/>
          <w:shd w:val="clear" w:color="auto" w:fill="FFFFFF"/>
          <w:rPrChange w:id="12594" w:author="AbbVie14" w:date="2025-09-08T15:01:00Z">
            <w:rPr>
              <w:rStyle w:val="normaltextrun"/>
              <w:sz w:val="22"/>
              <w:szCs w:val="22"/>
              <w:shd w:val="clear" w:color="auto" w:fill="FFFFFF"/>
            </w:rPr>
          </w:rPrChange>
        </w:rPr>
      </w:pPr>
    </w:p>
    <w:p w:rsidR="00555874" w:rsidRPr="00363FE8" w:rsidP="00555874" w14:paraId="4390A4EF" w14:textId="77777777">
      <w:pPr>
        <w:rPr>
          <w:del w:id="12595" w:author="AbbVie14" w:date="2025-05-09T10:35:00Z"/>
          <w:rStyle w:val="normaltextrun"/>
          <w:b/>
          <w:bCs/>
          <w:sz w:val="22"/>
          <w:szCs w:val="22"/>
          <w:shd w:val="clear" w:color="auto" w:fill="FFFFFF"/>
          <w:rPrChange w:id="12596" w:author="AbbVie14" w:date="2025-09-08T15:01:00Z">
            <w:rPr>
              <w:rStyle w:val="normaltextrun"/>
              <w:sz w:val="22"/>
              <w:szCs w:val="22"/>
              <w:shd w:val="clear" w:color="auto" w:fill="FFFFFF"/>
            </w:rPr>
          </w:rPrChange>
        </w:rPr>
      </w:pPr>
      <w:del w:id="12597" w:author="AbbVie14" w:date="2025-05-09T10:35:00Z">
        <w:r w:rsidRPr="00363FE8">
          <w:rPr>
            <w:rStyle w:val="normaltextrun"/>
            <w:b/>
            <w:bCs/>
            <w:sz w:val="22"/>
            <w:szCs w:val="22"/>
            <w:shd w:val="clear" w:color="auto" w:fill="FFFFFF"/>
            <w:rPrChange w:id="12598" w:author="AbbVie14" w:date="2025-09-08T15:01:00Z">
              <w:rPr>
                <w:rStyle w:val="normaltextrun"/>
                <w:sz w:val="22"/>
                <w:szCs w:val="22"/>
                <w:shd w:val="clear" w:color="auto" w:fill="FFFFFF"/>
              </w:rPr>
            </w:rPrChange>
          </w:rPr>
          <w:delText xml:space="preserve">A seguito della somministrazione sottocutanea di una dose di 0,6 mg/kg (massimo 40 mg) </w:delText>
        </w:r>
      </w:del>
      <w:del w:id="12599" w:author="AbbVie14" w:date="2025-05-09T10:35:00Z">
        <w:r w:rsidRPr="00363FE8" w:rsidR="0074418A">
          <w:rPr>
            <w:rStyle w:val="normaltextrun"/>
            <w:b/>
            <w:bCs/>
            <w:sz w:val="22"/>
            <w:szCs w:val="22"/>
            <w:shd w:val="clear" w:color="auto" w:fill="FFFFFF"/>
            <w:rPrChange w:id="12600" w:author="AbbVie14" w:date="2025-09-08T15:01:00Z">
              <w:rPr>
                <w:rStyle w:val="normaltextrun"/>
                <w:sz w:val="22"/>
                <w:szCs w:val="22"/>
                <w:shd w:val="clear" w:color="auto" w:fill="FFFFFF"/>
              </w:rPr>
            </w:rPrChange>
          </w:rPr>
          <w:delText xml:space="preserve">a </w:delText>
        </w:r>
      </w:del>
      <w:del w:id="12601" w:author="AbbVie14" w:date="2025-05-09T10:35:00Z">
        <w:r w:rsidRPr="00363FE8">
          <w:rPr>
            <w:rStyle w:val="normaltextrun"/>
            <w:b/>
            <w:bCs/>
            <w:sz w:val="22"/>
            <w:szCs w:val="22"/>
            <w:shd w:val="clear" w:color="auto" w:fill="FFFFFF"/>
            <w:rPrChange w:id="12602" w:author="AbbVie14" w:date="2025-09-08T15:01:00Z">
              <w:rPr>
                <w:rStyle w:val="normaltextrun"/>
                <w:sz w:val="22"/>
                <w:szCs w:val="22"/>
                <w:shd w:val="clear" w:color="auto" w:fill="FFFFFF"/>
              </w:rPr>
            </w:rPrChange>
          </w:rPr>
          <w:delText xml:space="preserve">settimane </w:delText>
        </w:r>
      </w:del>
      <w:del w:id="12603" w:author="AbbVie14" w:date="2025-05-09T10:35:00Z">
        <w:r w:rsidRPr="00363FE8" w:rsidR="0074418A">
          <w:rPr>
            <w:rStyle w:val="normaltextrun"/>
            <w:b/>
            <w:bCs/>
            <w:sz w:val="22"/>
            <w:szCs w:val="22"/>
            <w:shd w:val="clear" w:color="auto" w:fill="FFFFFF"/>
            <w:rPrChange w:id="12604" w:author="AbbVie14" w:date="2025-09-08T15:01:00Z">
              <w:rPr>
                <w:rStyle w:val="normaltextrun"/>
                <w:sz w:val="22"/>
                <w:szCs w:val="22"/>
                <w:shd w:val="clear" w:color="auto" w:fill="FFFFFF"/>
              </w:rPr>
            </w:rPrChange>
          </w:rPr>
          <w:delText xml:space="preserve">alterne </w:delText>
        </w:r>
      </w:del>
      <w:del w:id="12605" w:author="AbbVie14" w:date="2025-05-09T10:35:00Z">
        <w:r w:rsidRPr="00363FE8">
          <w:rPr>
            <w:rStyle w:val="normaltextrun"/>
            <w:b/>
            <w:bCs/>
            <w:sz w:val="22"/>
            <w:szCs w:val="22"/>
            <w:shd w:val="clear" w:color="auto" w:fill="FFFFFF"/>
            <w:rPrChange w:id="12606" w:author="AbbVie14" w:date="2025-09-08T15:01:00Z">
              <w:rPr>
                <w:rStyle w:val="normaltextrun"/>
                <w:sz w:val="22"/>
                <w:szCs w:val="22"/>
                <w:shd w:val="clear" w:color="auto" w:fill="FFFFFF"/>
              </w:rPr>
            </w:rPrChange>
          </w:rPr>
          <w:delText xml:space="preserve">basata sul peso corporeo a pazienti pediatrici con colite ulcerosa, la concentrazione media di valle di adalimumab sierico allo </w:delText>
        </w:r>
      </w:del>
      <w:del w:id="12607" w:author="AbbVie14" w:date="2025-05-09T10:35:00Z">
        <w:r w:rsidRPr="00363FE8" w:rsidR="0074418A">
          <w:rPr>
            <w:rStyle w:val="normaltextrun"/>
            <w:b/>
            <w:bCs/>
            <w:sz w:val="22"/>
            <w:szCs w:val="22"/>
            <w:shd w:val="clear" w:color="auto" w:fill="FFFFFF"/>
            <w:rPrChange w:id="12608" w:author="AbbVie14" w:date="2025-09-08T15:01:00Z">
              <w:rPr>
                <w:rStyle w:val="normaltextrun"/>
                <w:sz w:val="22"/>
                <w:szCs w:val="22"/>
                <w:shd w:val="clear" w:color="auto" w:fill="FFFFFF"/>
              </w:rPr>
            </w:rPrChange>
          </w:rPr>
          <w:delText>stato stazionario</w:delText>
        </w:r>
      </w:del>
      <w:del w:id="12609" w:author="AbbVie14" w:date="2025-05-09T10:35:00Z">
        <w:r w:rsidRPr="00363FE8">
          <w:rPr>
            <w:rStyle w:val="normaltextrun"/>
            <w:b/>
            <w:bCs/>
            <w:sz w:val="22"/>
            <w:szCs w:val="22"/>
            <w:shd w:val="clear" w:color="auto" w:fill="FFFFFF"/>
            <w:rPrChange w:id="12610" w:author="AbbVie14" w:date="2025-09-08T15:01:00Z">
              <w:rPr>
                <w:rStyle w:val="normaltextrun"/>
                <w:sz w:val="22"/>
                <w:szCs w:val="22"/>
                <w:shd w:val="clear" w:color="auto" w:fill="FFFFFF"/>
              </w:rPr>
            </w:rPrChange>
          </w:rPr>
          <w:delText xml:space="preserve"> è stata di 5,01±3,28 µg/ml alla Settimana 52. Per i pazienti che hanno ricevuto 0,6 mg/kg (massimo 40 mg) ogni settimana, la concentrazione media di valle (±DS) di adalimumab sierico allo </w:delText>
        </w:r>
      </w:del>
      <w:del w:id="12611" w:author="AbbVie14" w:date="2025-05-09T10:35:00Z">
        <w:r w:rsidRPr="00363FE8" w:rsidR="0074418A">
          <w:rPr>
            <w:rStyle w:val="normaltextrun"/>
            <w:b/>
            <w:bCs/>
            <w:sz w:val="22"/>
            <w:szCs w:val="22"/>
            <w:shd w:val="clear" w:color="auto" w:fill="FFFFFF"/>
            <w:rPrChange w:id="12612" w:author="AbbVie14" w:date="2025-09-08T15:01:00Z">
              <w:rPr>
                <w:rStyle w:val="normaltextrun"/>
                <w:sz w:val="22"/>
                <w:szCs w:val="22"/>
                <w:shd w:val="clear" w:color="auto" w:fill="FFFFFF"/>
              </w:rPr>
            </w:rPrChange>
          </w:rPr>
          <w:delText>stato stazionario</w:delText>
        </w:r>
      </w:del>
      <w:del w:id="12613" w:author="AbbVie14" w:date="2025-05-09T10:35:00Z">
        <w:r w:rsidRPr="00363FE8">
          <w:rPr>
            <w:rStyle w:val="normaltextrun"/>
            <w:b/>
            <w:bCs/>
            <w:sz w:val="22"/>
            <w:szCs w:val="22"/>
            <w:shd w:val="clear" w:color="auto" w:fill="FFFFFF"/>
            <w:rPrChange w:id="12614" w:author="AbbVie14" w:date="2025-09-08T15:01:00Z">
              <w:rPr>
                <w:rStyle w:val="normaltextrun"/>
                <w:sz w:val="22"/>
                <w:szCs w:val="22"/>
                <w:shd w:val="clear" w:color="auto" w:fill="FFFFFF"/>
              </w:rPr>
            </w:rPrChange>
          </w:rPr>
          <w:delText xml:space="preserve"> è stata di 15,7±5,60</w:delText>
        </w:r>
      </w:del>
      <w:del w:id="12615" w:author="AbbVie14" w:date="2025-05-09T10:35:00Z">
        <w:r w:rsidRPr="00363FE8" w:rsidR="0074418A">
          <w:rPr>
            <w:rStyle w:val="normaltextrun"/>
            <w:b/>
            <w:bCs/>
            <w:sz w:val="22"/>
            <w:szCs w:val="22"/>
            <w:shd w:val="clear" w:color="auto" w:fill="FFFFFF"/>
            <w:rPrChange w:id="12616" w:author="AbbVie14" w:date="2025-09-08T15:01:00Z">
              <w:rPr>
                <w:rStyle w:val="normaltextrun"/>
                <w:sz w:val="22"/>
                <w:szCs w:val="22"/>
                <w:shd w:val="clear" w:color="auto" w:fill="FFFFFF"/>
              </w:rPr>
            </w:rPrChange>
          </w:rPr>
          <w:delText xml:space="preserve"> </w:delText>
        </w:r>
      </w:del>
      <w:del w:id="12617" w:author="AbbVie14" w:date="2025-05-09T10:35:00Z">
        <w:r w:rsidRPr="00363FE8">
          <w:rPr>
            <w:rStyle w:val="spellingerror"/>
            <w:b/>
            <w:bCs/>
            <w:sz w:val="22"/>
            <w:szCs w:val="22"/>
            <w:shd w:val="clear" w:color="auto" w:fill="FFFFFF"/>
            <w:rPrChange w:id="12618" w:author="AbbVie14" w:date="2025-09-08T15:01:00Z">
              <w:rPr>
                <w:rStyle w:val="spellingerror"/>
                <w:sz w:val="22"/>
                <w:szCs w:val="22"/>
                <w:shd w:val="clear" w:color="auto" w:fill="FFFFFF"/>
              </w:rPr>
            </w:rPrChange>
          </w:rPr>
          <w:delText>μg</w:delText>
        </w:r>
      </w:del>
      <w:del w:id="12619" w:author="AbbVie14" w:date="2025-05-09T10:35:00Z">
        <w:r w:rsidRPr="00363FE8">
          <w:rPr>
            <w:rStyle w:val="normaltextrun"/>
            <w:b/>
            <w:bCs/>
            <w:sz w:val="22"/>
            <w:szCs w:val="22"/>
            <w:shd w:val="clear" w:color="auto" w:fill="FFFFFF"/>
            <w:rPrChange w:id="12620" w:author="AbbVie14" w:date="2025-09-08T15:01:00Z">
              <w:rPr>
                <w:rStyle w:val="normaltextrun"/>
                <w:sz w:val="22"/>
                <w:szCs w:val="22"/>
                <w:shd w:val="clear" w:color="auto" w:fill="FFFFFF"/>
              </w:rPr>
            </w:rPrChange>
          </w:rPr>
          <w:delText>/ml alla Settimana 52.</w:delText>
        </w:r>
      </w:del>
    </w:p>
    <w:p w:rsidR="00555874" w:rsidRPr="00363FE8" w14:paraId="1F143779" w14:textId="77777777">
      <w:pPr>
        <w:tabs>
          <w:tab w:val="left" w:pos="567"/>
        </w:tabs>
        <w:autoSpaceDE w:val="0"/>
        <w:autoSpaceDN w:val="0"/>
        <w:adjustRightInd w:val="0"/>
        <w:jc w:val="both"/>
        <w:rPr>
          <w:del w:id="12621" w:author="AbbVie14" w:date="2025-05-09T10:35:00Z"/>
          <w:b/>
          <w:bCs/>
          <w:color w:val="000000"/>
          <w:sz w:val="22"/>
          <w:szCs w:val="22"/>
          <w:rPrChange w:id="12622" w:author="AbbVie14" w:date="2025-09-08T15:01:00Z">
            <w:rPr>
              <w:color w:val="000000"/>
              <w:sz w:val="22"/>
              <w:szCs w:val="22"/>
            </w:rPr>
          </w:rPrChange>
        </w:rPr>
      </w:pPr>
    </w:p>
    <w:p w:rsidR="006224C2" w:rsidRPr="00363FE8" w14:paraId="65A0DDD8" w14:textId="77777777">
      <w:pPr>
        <w:tabs>
          <w:tab w:val="left" w:pos="567"/>
        </w:tabs>
        <w:autoSpaceDE w:val="0"/>
        <w:autoSpaceDN w:val="0"/>
        <w:adjustRightInd w:val="0"/>
        <w:jc w:val="both"/>
        <w:rPr>
          <w:del w:id="12623" w:author="AbbVie14" w:date="2025-05-09T10:35:00Z"/>
          <w:b/>
          <w:bCs/>
          <w:color w:val="000000"/>
          <w:sz w:val="22"/>
          <w:szCs w:val="22"/>
          <w:rPrChange w:id="12624" w:author="AbbVie14" w:date="2025-09-08T15:01:00Z">
            <w:rPr>
              <w:color w:val="000000"/>
              <w:sz w:val="22"/>
              <w:szCs w:val="22"/>
            </w:rPr>
          </w:rPrChange>
        </w:rPr>
      </w:pPr>
      <w:del w:id="12625" w:author="AbbVie14" w:date="2025-05-09T10:35:00Z">
        <w:r w:rsidRPr="00363FE8">
          <w:rPr>
            <w:b/>
            <w:bCs/>
            <w:color w:val="000000"/>
            <w:sz w:val="22"/>
            <w:szCs w:val="22"/>
            <w:rPrChange w:id="12626" w:author="AbbVie14" w:date="2025-09-08T15:01:00Z">
              <w:rPr>
                <w:color w:val="000000"/>
                <w:sz w:val="22"/>
                <w:szCs w:val="22"/>
              </w:rPr>
            </w:rPrChange>
          </w:rPr>
          <w:delText xml:space="preserve">Nei pazienti </w:delText>
        </w:r>
      </w:del>
      <w:del w:id="12627" w:author="AbbVie14" w:date="2025-05-09T10:35:00Z">
        <w:r w:rsidRPr="00363FE8" w:rsidR="0092443D">
          <w:rPr>
            <w:b/>
            <w:bCs/>
            <w:color w:val="000000"/>
            <w:sz w:val="22"/>
            <w:szCs w:val="22"/>
            <w:rPrChange w:id="12628" w:author="AbbVie14" w:date="2025-09-08T15:01:00Z">
              <w:rPr>
                <w:color w:val="000000"/>
                <w:sz w:val="22"/>
                <w:szCs w:val="22"/>
              </w:rPr>
            </w:rPrChange>
          </w:rPr>
          <w:delText xml:space="preserve">adulti </w:delText>
        </w:r>
      </w:del>
      <w:del w:id="12629" w:author="AbbVie14" w:date="2025-05-09T10:35:00Z">
        <w:r w:rsidRPr="00363FE8">
          <w:rPr>
            <w:b/>
            <w:bCs/>
            <w:color w:val="000000"/>
            <w:sz w:val="22"/>
            <w:szCs w:val="22"/>
            <w:rPrChange w:id="12630" w:author="AbbVie14" w:date="2025-09-08T15:01:00Z">
              <w:rPr>
                <w:color w:val="000000"/>
                <w:sz w:val="22"/>
                <w:szCs w:val="22"/>
              </w:rPr>
            </w:rPrChange>
          </w:rPr>
          <w:delText>affetti da uveite, una dose di carico di 80 mg di adalimumab alla settimana 0 seguita da 40 mg di adalimumab a settimane alterne a partire dalla settimana 1 ha determinato concentrazioni medie allo stato stazionario di circa 8-10 </w:delText>
        </w:r>
      </w:del>
      <w:del w:id="12631" w:author="AbbVie14" w:date="2025-05-09T10:35:00Z">
        <w:r w:rsidRPr="00363FE8">
          <w:rPr>
            <w:rFonts w:ascii="Symbol" w:hAnsi="Symbol"/>
            <w:b/>
            <w:bCs/>
            <w:color w:val="000000"/>
            <w:sz w:val="22"/>
            <w:szCs w:val="22"/>
            <w:rPrChange w:id="12632" w:author="AbbVie14" w:date="2025-09-08T15:01:00Z">
              <w:rPr>
                <w:rFonts w:ascii="Symbol" w:hAnsi="Symbol"/>
                <w:color w:val="000000"/>
                <w:sz w:val="22"/>
                <w:szCs w:val="22"/>
              </w:rPr>
            </w:rPrChange>
          </w:rPr>
          <w:sym w:font="Symbol" w:char="F06D"/>
        </w:r>
      </w:del>
      <w:del w:id="12633" w:author="AbbVie14" w:date="2025-05-09T10:35:00Z">
        <w:r w:rsidRPr="00363FE8">
          <w:rPr>
            <w:b/>
            <w:bCs/>
            <w:color w:val="000000"/>
            <w:sz w:val="22"/>
            <w:szCs w:val="22"/>
            <w:rPrChange w:id="12634" w:author="AbbVie14" w:date="2025-09-08T15:01:00Z">
              <w:rPr>
                <w:color w:val="000000"/>
                <w:sz w:val="22"/>
                <w:szCs w:val="22"/>
              </w:rPr>
            </w:rPrChange>
          </w:rPr>
          <w:delText>g/ml.</w:delText>
        </w:r>
      </w:del>
    </w:p>
    <w:p w:rsidR="006224C2" w:rsidRPr="00363FE8" w14:paraId="676B8CD8" w14:textId="77777777">
      <w:pPr>
        <w:tabs>
          <w:tab w:val="left" w:pos="567"/>
        </w:tabs>
        <w:autoSpaceDE w:val="0"/>
        <w:autoSpaceDN w:val="0"/>
        <w:adjustRightInd w:val="0"/>
        <w:jc w:val="both"/>
        <w:rPr>
          <w:del w:id="12635" w:author="AbbVie14" w:date="2025-05-09T10:35:00Z"/>
          <w:b/>
          <w:bCs/>
          <w:color w:val="000000"/>
          <w:sz w:val="22"/>
          <w:szCs w:val="22"/>
          <w:rPrChange w:id="12636" w:author="AbbVie14" w:date="2025-09-08T15:01:00Z">
            <w:rPr>
              <w:color w:val="000000"/>
              <w:sz w:val="22"/>
              <w:szCs w:val="22"/>
            </w:rPr>
          </w:rPrChange>
        </w:rPr>
      </w:pPr>
    </w:p>
    <w:p w:rsidR="006224C2" w:rsidRPr="00363FE8" w14:paraId="24073175" w14:textId="77777777">
      <w:pPr>
        <w:tabs>
          <w:tab w:val="left" w:pos="567"/>
        </w:tabs>
        <w:autoSpaceDE w:val="0"/>
        <w:autoSpaceDN w:val="0"/>
        <w:adjustRightInd w:val="0"/>
        <w:jc w:val="both"/>
        <w:rPr>
          <w:del w:id="12637" w:author="AbbVie14" w:date="2025-05-09T10:35:00Z"/>
          <w:b/>
          <w:bCs/>
          <w:color w:val="000000"/>
          <w:sz w:val="22"/>
          <w:szCs w:val="22"/>
          <w:rPrChange w:id="12638" w:author="AbbVie14" w:date="2025-09-08T15:01:00Z">
            <w:rPr>
              <w:color w:val="000000"/>
              <w:sz w:val="22"/>
              <w:szCs w:val="22"/>
            </w:rPr>
          </w:rPrChange>
        </w:rPr>
      </w:pPr>
      <w:del w:id="12639" w:author="AbbVie14" w:date="2025-05-09T10:35:00Z">
        <w:r w:rsidRPr="00363FE8">
          <w:rPr>
            <w:b/>
            <w:bCs/>
            <w:color w:val="000000"/>
            <w:sz w:val="22"/>
            <w:szCs w:val="22"/>
            <w:rPrChange w:id="12640" w:author="AbbVie14" w:date="2025-09-08T15:01:00Z">
              <w:rPr>
                <w:color w:val="000000"/>
                <w:sz w:val="22"/>
                <w:szCs w:val="22"/>
              </w:rPr>
            </w:rPrChange>
          </w:rPr>
          <w:delText>L’esposizione ad adalimumab nei pazienti pediatrici con uveite è stata predetta usando modelli e simulazione farmacocinetica di popolazione basati sulla farmacocinetica cross-indicazione in altri pazienti pediatrici (psoriasi pediatrica, artrite idiopatica giovanile, malattia di Crohn pediatrica e artrite associata ad entesite). Non sono disponibili dati sull’esposizione clinica relativi all’uso di una dose di carico nei bambini di età inferiore ai 6 anni. Le esposizioni previste indicano che in assenza di metotressato una dose di carico potrebbe causare un aumento iniziale dell’esposizione sistemica.</w:delText>
        </w:r>
      </w:del>
    </w:p>
    <w:p w:rsidR="00CF6E52" w:rsidRPr="00363FE8" w14:paraId="43011A10" w14:textId="77777777">
      <w:pPr>
        <w:tabs>
          <w:tab w:val="left" w:pos="567"/>
        </w:tabs>
        <w:autoSpaceDE w:val="0"/>
        <w:autoSpaceDN w:val="0"/>
        <w:adjustRightInd w:val="0"/>
        <w:jc w:val="both"/>
        <w:rPr>
          <w:del w:id="12641" w:author="AbbVie14" w:date="2025-05-09T10:35:00Z"/>
          <w:b/>
          <w:bCs/>
          <w:color w:val="000000"/>
          <w:sz w:val="22"/>
          <w:szCs w:val="22"/>
          <w:rPrChange w:id="12642" w:author="AbbVie14" w:date="2025-09-08T15:01:00Z">
            <w:rPr>
              <w:color w:val="000000"/>
              <w:sz w:val="22"/>
              <w:szCs w:val="22"/>
            </w:rPr>
          </w:rPrChange>
        </w:rPr>
      </w:pPr>
    </w:p>
    <w:p w:rsidR="001E3F2D" w:rsidRPr="00363FE8" w:rsidP="0092443D" w14:paraId="1C51B95F" w14:textId="77777777">
      <w:pPr>
        <w:tabs>
          <w:tab w:val="left" w:pos="567"/>
        </w:tabs>
        <w:autoSpaceDE w:val="0"/>
        <w:autoSpaceDN w:val="0"/>
        <w:adjustRightInd w:val="0"/>
        <w:jc w:val="both"/>
        <w:rPr>
          <w:del w:id="12643" w:author="AbbVie14" w:date="2025-05-09T10:35:00Z"/>
          <w:b/>
          <w:bCs/>
          <w:color w:val="000000"/>
          <w:sz w:val="22"/>
          <w:szCs w:val="22"/>
          <w:rPrChange w:id="12644" w:author="AbbVie14" w:date="2025-09-08T15:01:00Z">
            <w:rPr>
              <w:color w:val="000000"/>
              <w:sz w:val="22"/>
              <w:szCs w:val="22"/>
            </w:rPr>
          </w:rPrChange>
        </w:rPr>
      </w:pPr>
      <w:del w:id="12645" w:author="AbbVie14" w:date="2025-05-09T10:35:00Z">
        <w:r w:rsidRPr="00363FE8">
          <w:rPr>
            <w:b/>
            <w:bCs/>
            <w:color w:val="000000"/>
            <w:sz w:val="22"/>
            <w:szCs w:val="22"/>
            <w:rPrChange w:id="12646" w:author="AbbVie14" w:date="2025-09-08T15:01:00Z">
              <w:rPr>
                <w:color w:val="000000"/>
                <w:sz w:val="22"/>
                <w:szCs w:val="22"/>
              </w:rPr>
            </w:rPrChange>
          </w:rPr>
          <w:delText>Dal modello e dalla simulazione farmacocinetica e farmacocinetica/ farmacodinamica di popolazione è stato previsto che l’esposizione e l'efficacia di adalimumab sono paragonabili in pazienti trattati con 80 mg a settimane alterne e in quelli trattati con 40 mg ogni settimana (compresi i pazienti adulti con AR, HS, CU, MC o Ps, pazienti con HS negli adolescenti e nei pazienti pediatrici ≥ 40 kg con MC</w:delText>
        </w:r>
      </w:del>
      <w:del w:id="12647" w:author="AbbVie14" w:date="2025-05-09T10:35:00Z">
        <w:r w:rsidRPr="00363FE8" w:rsidR="00123685">
          <w:rPr>
            <w:b/>
            <w:bCs/>
            <w:color w:val="000000"/>
            <w:sz w:val="22"/>
            <w:szCs w:val="22"/>
            <w:rPrChange w:id="12648" w:author="AbbVie14" w:date="2025-09-08T15:01:00Z">
              <w:rPr>
                <w:color w:val="000000"/>
                <w:sz w:val="22"/>
                <w:szCs w:val="22"/>
              </w:rPr>
            </w:rPrChange>
          </w:rPr>
          <w:delText xml:space="preserve"> e CU</w:delText>
        </w:r>
      </w:del>
      <w:del w:id="12649" w:author="AbbVie14" w:date="2025-05-09T10:35:00Z">
        <w:r w:rsidRPr="00363FE8">
          <w:rPr>
            <w:b/>
            <w:bCs/>
            <w:color w:val="000000"/>
            <w:sz w:val="22"/>
            <w:szCs w:val="22"/>
            <w:rPrChange w:id="12650" w:author="AbbVie14" w:date="2025-09-08T15:01:00Z">
              <w:rPr>
                <w:color w:val="000000"/>
                <w:sz w:val="22"/>
                <w:szCs w:val="22"/>
              </w:rPr>
            </w:rPrChange>
          </w:rPr>
          <w:delText>).</w:delText>
        </w:r>
      </w:del>
    </w:p>
    <w:p w:rsidR="001E3F2D" w:rsidRPr="00363FE8" w:rsidP="0092443D" w14:paraId="06413806" w14:textId="77777777">
      <w:pPr>
        <w:tabs>
          <w:tab w:val="left" w:pos="567"/>
        </w:tabs>
        <w:autoSpaceDE w:val="0"/>
        <w:autoSpaceDN w:val="0"/>
        <w:adjustRightInd w:val="0"/>
        <w:jc w:val="both"/>
        <w:rPr>
          <w:del w:id="12651" w:author="AbbVie14" w:date="2025-05-09T10:35:00Z"/>
          <w:b/>
          <w:bCs/>
          <w:color w:val="000000"/>
          <w:sz w:val="22"/>
          <w:szCs w:val="22"/>
          <w:rPrChange w:id="12652" w:author="AbbVie14" w:date="2025-09-08T15:01:00Z">
            <w:rPr>
              <w:color w:val="000000"/>
              <w:sz w:val="22"/>
              <w:szCs w:val="22"/>
            </w:rPr>
          </w:rPrChange>
        </w:rPr>
      </w:pPr>
    </w:p>
    <w:p w:rsidR="0092443D" w:rsidRPr="00363FE8" w:rsidP="0092443D" w14:paraId="0F0EEEBD" w14:textId="77777777">
      <w:pPr>
        <w:tabs>
          <w:tab w:val="left" w:pos="567"/>
        </w:tabs>
        <w:autoSpaceDE w:val="0"/>
        <w:autoSpaceDN w:val="0"/>
        <w:adjustRightInd w:val="0"/>
        <w:jc w:val="both"/>
        <w:rPr>
          <w:del w:id="12653" w:author="AbbVie14" w:date="2025-05-09T10:35:00Z"/>
          <w:b/>
          <w:bCs/>
          <w:color w:val="000000"/>
          <w:sz w:val="22"/>
          <w:szCs w:val="22"/>
          <w:u w:val="single"/>
          <w:rPrChange w:id="12654" w:author="AbbVie14" w:date="2025-09-08T15:01:00Z">
            <w:rPr>
              <w:color w:val="000000"/>
              <w:sz w:val="22"/>
              <w:szCs w:val="22"/>
              <w:u w:val="single"/>
            </w:rPr>
          </w:rPrChange>
        </w:rPr>
      </w:pPr>
      <w:del w:id="12655" w:author="AbbVie14" w:date="2025-05-09T10:35:00Z">
        <w:r w:rsidRPr="00363FE8">
          <w:rPr>
            <w:b/>
            <w:bCs/>
            <w:color w:val="000000"/>
            <w:sz w:val="22"/>
            <w:szCs w:val="22"/>
            <w:u w:val="single"/>
            <w:rPrChange w:id="12656" w:author="AbbVie14" w:date="2025-09-08T15:01:00Z">
              <w:rPr>
                <w:color w:val="000000"/>
                <w:sz w:val="22"/>
                <w:szCs w:val="22"/>
                <w:u w:val="single"/>
              </w:rPr>
            </w:rPrChange>
          </w:rPr>
          <w:delText>Rapporto esposizione-risposta nella popolazione pediatrica</w:delText>
        </w:r>
      </w:del>
    </w:p>
    <w:p w:rsidR="0092443D" w:rsidRPr="00363FE8" w:rsidP="0092443D" w14:paraId="4AE970BF" w14:textId="77777777">
      <w:pPr>
        <w:tabs>
          <w:tab w:val="left" w:pos="567"/>
        </w:tabs>
        <w:autoSpaceDE w:val="0"/>
        <w:autoSpaceDN w:val="0"/>
        <w:adjustRightInd w:val="0"/>
        <w:jc w:val="both"/>
        <w:rPr>
          <w:del w:id="12657" w:author="AbbVie14" w:date="2025-05-09T10:35:00Z"/>
          <w:b/>
          <w:bCs/>
          <w:color w:val="000000"/>
          <w:sz w:val="22"/>
          <w:szCs w:val="22"/>
          <w:rPrChange w:id="12658" w:author="AbbVie14" w:date="2025-09-08T15:01:00Z">
            <w:rPr>
              <w:color w:val="000000"/>
              <w:sz w:val="22"/>
              <w:szCs w:val="22"/>
            </w:rPr>
          </w:rPrChange>
        </w:rPr>
      </w:pPr>
    </w:p>
    <w:p w:rsidR="0092443D" w:rsidRPr="00363FE8" w:rsidP="00AD7AF0" w14:paraId="7897300B" w14:textId="77777777">
      <w:pPr>
        <w:tabs>
          <w:tab w:val="left" w:pos="567"/>
        </w:tabs>
        <w:autoSpaceDE w:val="0"/>
        <w:autoSpaceDN w:val="0"/>
        <w:adjustRightInd w:val="0"/>
        <w:jc w:val="both"/>
        <w:rPr>
          <w:del w:id="12659" w:author="AbbVie14" w:date="2025-05-09T10:35:00Z"/>
          <w:b/>
          <w:bCs/>
          <w:color w:val="000000"/>
          <w:sz w:val="22"/>
          <w:szCs w:val="22"/>
          <w:rPrChange w:id="12660" w:author="AbbVie14" w:date="2025-09-08T15:01:00Z">
            <w:rPr>
              <w:color w:val="000000"/>
              <w:sz w:val="22"/>
              <w:szCs w:val="22"/>
            </w:rPr>
          </w:rPrChange>
        </w:rPr>
      </w:pPr>
      <w:del w:id="12661" w:author="AbbVie14" w:date="2025-05-09T10:35:00Z">
        <w:r w:rsidRPr="00363FE8">
          <w:rPr>
            <w:b/>
            <w:bCs/>
            <w:color w:val="000000"/>
            <w:sz w:val="22"/>
            <w:szCs w:val="22"/>
            <w:rPrChange w:id="12662" w:author="AbbVie14" w:date="2025-09-08T15:01:00Z">
              <w:rPr>
                <w:color w:val="000000"/>
                <w:sz w:val="22"/>
                <w:szCs w:val="22"/>
              </w:rPr>
            </w:rPrChange>
          </w:rPr>
          <w:delText xml:space="preserve">Sulla base dei risultati degli studi clinici in pazienti con JIA (pJIA e ERA), </w:delText>
        </w:r>
      </w:del>
      <w:del w:id="12663" w:author="AbbVie14" w:date="2025-05-09T10:35:00Z">
        <w:r w:rsidRPr="00363FE8" w:rsidR="00996365">
          <w:rPr>
            <w:b/>
            <w:bCs/>
            <w:color w:val="000000"/>
            <w:sz w:val="22"/>
            <w:szCs w:val="22"/>
            <w:rPrChange w:id="12664" w:author="AbbVie14" w:date="2025-09-08T15:01:00Z">
              <w:rPr>
                <w:color w:val="000000"/>
                <w:sz w:val="22"/>
                <w:szCs w:val="22"/>
              </w:rPr>
            </w:rPrChange>
          </w:rPr>
          <w:delText xml:space="preserve">è stato stabilito </w:delText>
        </w:r>
      </w:del>
      <w:del w:id="12665" w:author="AbbVie14" w:date="2025-05-09T10:35:00Z">
        <w:r w:rsidRPr="00363FE8">
          <w:rPr>
            <w:b/>
            <w:bCs/>
            <w:color w:val="000000"/>
            <w:sz w:val="22"/>
            <w:szCs w:val="22"/>
            <w:rPrChange w:id="12666" w:author="AbbVie14" w:date="2025-09-08T15:01:00Z">
              <w:rPr>
                <w:color w:val="000000"/>
                <w:sz w:val="22"/>
                <w:szCs w:val="22"/>
              </w:rPr>
            </w:rPrChange>
          </w:rPr>
          <w:delText>un rapporto esposizione-risposta tra le concentrazioni plasmatiche e la risposta PedACR 50. La concentrazione plasmatica apparente di adalimumab che produce metà della massima probabilità di risposta PedACR 50 (EC50) è stata 3 μg/ml (95% IC: 1-6 μg/ml).</w:delText>
        </w:r>
      </w:del>
    </w:p>
    <w:p w:rsidR="0092443D" w:rsidRPr="00363FE8" w:rsidP="00AD7AF0" w14:paraId="5B1AFBF9" w14:textId="77777777">
      <w:pPr>
        <w:tabs>
          <w:tab w:val="left" w:pos="567"/>
        </w:tabs>
        <w:autoSpaceDE w:val="0"/>
        <w:autoSpaceDN w:val="0"/>
        <w:adjustRightInd w:val="0"/>
        <w:jc w:val="both"/>
        <w:rPr>
          <w:del w:id="12667" w:author="AbbVie14" w:date="2025-05-09T10:36:00Z"/>
          <w:b/>
          <w:bCs/>
          <w:color w:val="000000"/>
          <w:sz w:val="22"/>
          <w:szCs w:val="22"/>
          <w:rPrChange w:id="12668" w:author="AbbVie14" w:date="2025-09-08T15:01:00Z">
            <w:rPr>
              <w:color w:val="000000"/>
              <w:sz w:val="22"/>
              <w:szCs w:val="22"/>
            </w:rPr>
          </w:rPrChange>
        </w:rPr>
      </w:pPr>
    </w:p>
    <w:p w:rsidR="0092443D" w:rsidRPr="00363FE8" w:rsidP="00AD7AF0" w14:paraId="3541618A" w14:textId="77777777">
      <w:pPr>
        <w:keepLines/>
        <w:tabs>
          <w:tab w:val="left" w:pos="567"/>
        </w:tabs>
        <w:autoSpaceDE w:val="0"/>
        <w:autoSpaceDN w:val="0"/>
        <w:adjustRightInd w:val="0"/>
        <w:jc w:val="both"/>
        <w:rPr>
          <w:del w:id="12669" w:author="AbbVie14" w:date="2025-05-09T10:36:00Z"/>
          <w:b/>
          <w:bCs/>
          <w:color w:val="000000"/>
          <w:sz w:val="22"/>
          <w:szCs w:val="22"/>
          <w:rPrChange w:id="12670" w:author="AbbVie14" w:date="2025-09-08T15:01:00Z">
            <w:rPr>
              <w:color w:val="000000"/>
              <w:sz w:val="22"/>
              <w:szCs w:val="22"/>
            </w:rPr>
          </w:rPrChange>
        </w:rPr>
      </w:pPr>
      <w:del w:id="12671" w:author="AbbVie14" w:date="2025-05-09T10:36:00Z">
        <w:r w:rsidRPr="00363FE8">
          <w:rPr>
            <w:b/>
            <w:bCs/>
            <w:color w:val="000000"/>
            <w:sz w:val="22"/>
            <w:szCs w:val="22"/>
            <w:rPrChange w:id="12672" w:author="AbbVie14" w:date="2025-09-08T15:01:00Z">
              <w:rPr>
                <w:color w:val="000000"/>
                <w:sz w:val="22"/>
                <w:szCs w:val="22"/>
              </w:rPr>
            </w:rPrChange>
          </w:rPr>
          <w:delText>I rapporti esposizione-risposta tra la concentrazione di adalimumab e l’efficacia in pazienti pediatrici affetti da psoriasi cronica a placche di grado severo sono stati stabiliti per PASI 75 e PGA corrispondente a remissione totale della malattia o a persistenza di malattia minima</w:delText>
        </w:r>
      </w:del>
      <w:del w:id="12673" w:author="AbbVie14" w:date="2025-05-09T10:36:00Z">
        <w:r w:rsidRPr="00363FE8" w:rsidR="00C260B6">
          <w:rPr>
            <w:b/>
            <w:bCs/>
            <w:color w:val="000000"/>
            <w:sz w:val="22"/>
            <w:szCs w:val="22"/>
            <w:rPrChange w:id="12674" w:author="AbbVie14" w:date="2025-09-08T15:01:00Z">
              <w:rPr>
                <w:color w:val="000000"/>
                <w:sz w:val="22"/>
                <w:szCs w:val="22"/>
              </w:rPr>
            </w:rPrChange>
          </w:rPr>
          <w:delText>,</w:delText>
        </w:r>
      </w:del>
      <w:del w:id="12675" w:author="AbbVie14" w:date="2025-05-09T10:36:00Z">
        <w:r w:rsidRPr="00363FE8">
          <w:rPr>
            <w:b/>
            <w:bCs/>
            <w:color w:val="000000"/>
            <w:sz w:val="22"/>
            <w:szCs w:val="22"/>
            <w:rPrChange w:id="12676" w:author="AbbVie14" w:date="2025-09-08T15:01:00Z">
              <w:rPr>
                <w:color w:val="000000"/>
                <w:sz w:val="22"/>
                <w:szCs w:val="22"/>
              </w:rPr>
            </w:rPrChange>
          </w:rPr>
          <w:delText xml:space="preserve"> rispettivamente. PASI 75 e PGA corrispondente a remissione totale della malattia o a persistenza di malattia minima sono aumentati all’aumentare delle concentrazioni di adalimumab, entrambi con una simile EC50 apparente di circa 4,5 μg/ml (95% IC 0,4-47,6 e 1,9-10,5, rispettivamente).</w:delText>
        </w:r>
      </w:del>
    </w:p>
    <w:p w:rsidR="0092443D" w:rsidRPr="00363FE8" w:rsidP="00AD7AF0" w14:paraId="2847BC0F" w14:textId="77777777">
      <w:pPr>
        <w:keepLines/>
        <w:tabs>
          <w:tab w:val="left" w:pos="567"/>
        </w:tabs>
        <w:autoSpaceDE w:val="0"/>
        <w:autoSpaceDN w:val="0"/>
        <w:adjustRightInd w:val="0"/>
        <w:jc w:val="both"/>
        <w:rPr>
          <w:del w:id="12677" w:author="AbbVie14" w:date="2025-05-09T10:36:00Z"/>
          <w:b/>
          <w:bCs/>
          <w:color w:val="000000"/>
          <w:sz w:val="22"/>
          <w:szCs w:val="22"/>
          <w:rPrChange w:id="12678" w:author="AbbVie14" w:date="2025-09-08T15:01:00Z">
            <w:rPr>
              <w:color w:val="000000"/>
              <w:sz w:val="22"/>
              <w:szCs w:val="22"/>
            </w:rPr>
          </w:rPrChange>
        </w:rPr>
      </w:pPr>
    </w:p>
    <w:p w:rsidR="006224C2" w:rsidRPr="00363FE8" w:rsidP="00AD7AF0" w14:paraId="63064584" w14:textId="77777777">
      <w:pPr>
        <w:keepNext/>
        <w:keepLines/>
        <w:rPr>
          <w:del w:id="12679" w:author="AbbVie14" w:date="2025-05-09T10:36:00Z"/>
          <w:b/>
          <w:bCs/>
          <w:color w:val="000000"/>
          <w:sz w:val="22"/>
          <w:szCs w:val="22"/>
          <w:u w:val="single"/>
          <w:rPrChange w:id="12680" w:author="AbbVie14" w:date="2025-09-08T15:01:00Z">
            <w:rPr>
              <w:color w:val="000000"/>
              <w:sz w:val="22"/>
              <w:szCs w:val="22"/>
              <w:u w:val="single"/>
            </w:rPr>
          </w:rPrChange>
        </w:rPr>
      </w:pPr>
      <w:del w:id="12681" w:author="AbbVie14" w:date="2025-05-09T10:36:00Z">
        <w:r w:rsidRPr="00363FE8">
          <w:rPr>
            <w:b/>
            <w:bCs/>
            <w:color w:val="000000"/>
            <w:sz w:val="22"/>
            <w:szCs w:val="22"/>
            <w:u w:val="single"/>
            <w:rPrChange w:id="12682" w:author="AbbVie14" w:date="2025-09-08T15:01:00Z">
              <w:rPr>
                <w:color w:val="000000"/>
                <w:sz w:val="22"/>
                <w:szCs w:val="22"/>
                <w:u w:val="single"/>
              </w:rPr>
            </w:rPrChange>
          </w:rPr>
          <w:delText>Eliminazione</w:delText>
        </w:r>
      </w:del>
    </w:p>
    <w:p w:rsidR="006224C2" w:rsidRPr="00363FE8" w:rsidP="00AD7AF0" w14:paraId="02A5D065" w14:textId="77777777">
      <w:pPr>
        <w:keepNext/>
        <w:keepLines/>
        <w:tabs>
          <w:tab w:val="left" w:pos="567"/>
        </w:tabs>
        <w:autoSpaceDE w:val="0"/>
        <w:autoSpaceDN w:val="0"/>
        <w:adjustRightInd w:val="0"/>
        <w:jc w:val="both"/>
        <w:rPr>
          <w:del w:id="12683" w:author="AbbVie14" w:date="2025-05-09T10:36:00Z"/>
          <w:b/>
          <w:bCs/>
          <w:color w:val="000000"/>
          <w:sz w:val="22"/>
          <w:szCs w:val="22"/>
          <w:rPrChange w:id="12684" w:author="AbbVie14" w:date="2025-09-08T15:01:00Z">
            <w:rPr>
              <w:color w:val="000000"/>
              <w:sz w:val="22"/>
              <w:szCs w:val="22"/>
            </w:rPr>
          </w:rPrChange>
        </w:rPr>
      </w:pPr>
    </w:p>
    <w:p w:rsidR="006224C2" w:rsidRPr="00363FE8" w:rsidP="00AD7AF0" w14:paraId="2E385456" w14:textId="77777777">
      <w:pPr>
        <w:keepLines/>
        <w:tabs>
          <w:tab w:val="left" w:pos="567"/>
        </w:tabs>
        <w:autoSpaceDE w:val="0"/>
        <w:autoSpaceDN w:val="0"/>
        <w:adjustRightInd w:val="0"/>
        <w:jc w:val="both"/>
        <w:rPr>
          <w:del w:id="12685" w:author="AbbVie14" w:date="2025-05-09T10:36:00Z"/>
          <w:b/>
          <w:bCs/>
          <w:color w:val="000000"/>
          <w:sz w:val="22"/>
          <w:szCs w:val="22"/>
          <w:rPrChange w:id="12686" w:author="AbbVie14" w:date="2025-09-08T15:01:00Z">
            <w:rPr>
              <w:color w:val="000000"/>
              <w:sz w:val="22"/>
              <w:szCs w:val="22"/>
            </w:rPr>
          </w:rPrChange>
        </w:rPr>
      </w:pPr>
      <w:del w:id="12687" w:author="AbbVie14" w:date="2025-05-09T10:36:00Z">
        <w:r w:rsidRPr="00363FE8">
          <w:rPr>
            <w:b/>
            <w:bCs/>
            <w:color w:val="000000"/>
            <w:sz w:val="22"/>
            <w:szCs w:val="22"/>
            <w:rPrChange w:id="12688" w:author="AbbVie14" w:date="2025-09-08T15:01:00Z">
              <w:rPr>
                <w:color w:val="000000"/>
                <w:sz w:val="22"/>
                <w:szCs w:val="22"/>
              </w:rPr>
            </w:rPrChange>
          </w:rPr>
          <w:delText>Le analisi farmacocinetiche di popolazione, su un campione di più di 1.300 pazienti con AR, hanno evidenziato una tendenza ad un apparente aumento della clearance di adalimumab con l’aumentare del peso corporeo. Dopo correzione per le differenze di peso corporeo, sesso ed età sono risultati avere un effetto minimo sulla clearance di adalimumab. I livelli sierici di adalimumab libero (non legato agli anticorpi anti-adalimumab – AAA) sono stati più bassi nei pazienti con titoli misurabili di AAA.</w:delText>
        </w:r>
      </w:del>
    </w:p>
    <w:p w:rsidR="006224C2" w:rsidRPr="00363FE8" w:rsidP="00AD7AF0" w14:paraId="42083013" w14:textId="77777777">
      <w:pPr>
        <w:tabs>
          <w:tab w:val="left" w:pos="567"/>
        </w:tabs>
        <w:autoSpaceDE w:val="0"/>
        <w:autoSpaceDN w:val="0"/>
        <w:adjustRightInd w:val="0"/>
        <w:jc w:val="both"/>
        <w:rPr>
          <w:del w:id="12689" w:author="AbbVie14" w:date="2025-05-09T10:36:00Z"/>
          <w:b/>
          <w:bCs/>
          <w:color w:val="000000"/>
          <w:sz w:val="22"/>
          <w:szCs w:val="22"/>
          <w:u w:val="single"/>
          <w:rPrChange w:id="12690" w:author="AbbVie14" w:date="2025-09-08T15:01:00Z">
            <w:rPr>
              <w:color w:val="000000"/>
              <w:sz w:val="22"/>
              <w:szCs w:val="22"/>
              <w:u w:val="single"/>
            </w:rPr>
          </w:rPrChange>
        </w:rPr>
      </w:pPr>
    </w:p>
    <w:p w:rsidR="006224C2" w:rsidRPr="00363FE8" w:rsidP="00AD7AF0" w14:paraId="4F2928A9" w14:textId="77777777">
      <w:pPr>
        <w:keepNext/>
        <w:tabs>
          <w:tab w:val="left" w:pos="567"/>
        </w:tabs>
        <w:autoSpaceDE w:val="0"/>
        <w:autoSpaceDN w:val="0"/>
        <w:adjustRightInd w:val="0"/>
        <w:jc w:val="both"/>
        <w:rPr>
          <w:del w:id="12691" w:author="AbbVie14" w:date="2025-05-09T10:36:00Z"/>
          <w:b/>
          <w:bCs/>
          <w:color w:val="000000"/>
          <w:sz w:val="22"/>
          <w:szCs w:val="22"/>
          <w:u w:val="single"/>
          <w:rPrChange w:id="12692" w:author="AbbVie14" w:date="2025-09-08T15:01:00Z">
            <w:rPr>
              <w:color w:val="000000"/>
              <w:sz w:val="22"/>
              <w:szCs w:val="22"/>
              <w:u w:val="single"/>
            </w:rPr>
          </w:rPrChange>
        </w:rPr>
      </w:pPr>
      <w:del w:id="12693" w:author="AbbVie14" w:date="2025-05-09T10:36:00Z">
        <w:r w:rsidRPr="00363FE8">
          <w:rPr>
            <w:b/>
            <w:bCs/>
            <w:color w:val="000000"/>
            <w:sz w:val="22"/>
            <w:szCs w:val="22"/>
            <w:u w:val="single"/>
            <w:rPrChange w:id="12694" w:author="AbbVie14" w:date="2025-09-08T15:01:00Z">
              <w:rPr>
                <w:color w:val="000000"/>
                <w:sz w:val="22"/>
                <w:szCs w:val="22"/>
                <w:u w:val="single"/>
              </w:rPr>
            </w:rPrChange>
          </w:rPr>
          <w:delText>Insufficienza epatica o renale</w:delText>
        </w:r>
      </w:del>
    </w:p>
    <w:p w:rsidR="006224C2" w:rsidRPr="00363FE8" w:rsidP="00AD7AF0" w14:paraId="7909BA7A" w14:textId="77777777">
      <w:pPr>
        <w:keepNext/>
        <w:tabs>
          <w:tab w:val="left" w:pos="567"/>
        </w:tabs>
        <w:autoSpaceDE w:val="0"/>
        <w:autoSpaceDN w:val="0"/>
        <w:adjustRightInd w:val="0"/>
        <w:jc w:val="both"/>
        <w:rPr>
          <w:del w:id="12695" w:author="AbbVie14" w:date="2025-05-09T10:36:00Z"/>
          <w:b/>
          <w:bCs/>
          <w:color w:val="000000"/>
          <w:sz w:val="22"/>
          <w:szCs w:val="22"/>
          <w:rPrChange w:id="12696" w:author="AbbVie14" w:date="2025-09-08T15:01:00Z">
            <w:rPr>
              <w:color w:val="000000"/>
              <w:sz w:val="22"/>
              <w:szCs w:val="22"/>
            </w:rPr>
          </w:rPrChange>
        </w:rPr>
      </w:pPr>
    </w:p>
    <w:p w:rsidR="006224C2" w:rsidRPr="00363FE8" w:rsidP="00AD7AF0" w14:paraId="0543C76B" w14:textId="77777777">
      <w:pPr>
        <w:keepNext/>
        <w:tabs>
          <w:tab w:val="left" w:pos="567"/>
        </w:tabs>
        <w:autoSpaceDE w:val="0"/>
        <w:autoSpaceDN w:val="0"/>
        <w:adjustRightInd w:val="0"/>
        <w:jc w:val="both"/>
        <w:rPr>
          <w:del w:id="12697" w:author="AbbVie14" w:date="2025-05-09T10:36:00Z"/>
          <w:b/>
          <w:bCs/>
          <w:color w:val="000000"/>
          <w:sz w:val="22"/>
          <w:szCs w:val="22"/>
          <w:rPrChange w:id="12698" w:author="AbbVie14" w:date="2025-09-08T15:01:00Z">
            <w:rPr>
              <w:color w:val="000000"/>
              <w:sz w:val="22"/>
              <w:szCs w:val="22"/>
            </w:rPr>
          </w:rPrChange>
        </w:rPr>
      </w:pPr>
      <w:del w:id="12699" w:author="AbbVie14" w:date="2025-05-09T10:36:00Z">
        <w:r w:rsidRPr="00363FE8">
          <w:rPr>
            <w:b/>
            <w:bCs/>
            <w:color w:val="000000"/>
            <w:sz w:val="22"/>
            <w:szCs w:val="22"/>
            <w:rPrChange w:id="12700" w:author="AbbVie14" w:date="2025-09-08T15:01:00Z">
              <w:rPr>
                <w:color w:val="000000"/>
                <w:sz w:val="22"/>
                <w:szCs w:val="22"/>
              </w:rPr>
            </w:rPrChange>
          </w:rPr>
          <w:delText>Humira non è stato studiato in pazienti con insufficienza</w:delText>
        </w:r>
      </w:del>
      <w:del w:id="12701" w:author="AbbVie14" w:date="2025-05-09T10:36:00Z">
        <w:r w:rsidRPr="00363FE8" w:rsidR="00C260B6">
          <w:rPr>
            <w:b/>
            <w:bCs/>
            <w:color w:val="000000"/>
            <w:sz w:val="22"/>
            <w:szCs w:val="22"/>
            <w:rPrChange w:id="12702" w:author="AbbVie14" w:date="2025-09-08T15:01:00Z">
              <w:rPr>
                <w:color w:val="000000"/>
                <w:sz w:val="22"/>
                <w:szCs w:val="22"/>
              </w:rPr>
            </w:rPrChange>
          </w:rPr>
          <w:delText xml:space="preserve"> epatica o</w:delText>
        </w:r>
      </w:del>
      <w:del w:id="12703" w:author="AbbVie14" w:date="2025-05-09T10:36:00Z">
        <w:r w:rsidRPr="00363FE8">
          <w:rPr>
            <w:b/>
            <w:bCs/>
            <w:color w:val="000000"/>
            <w:sz w:val="22"/>
            <w:szCs w:val="22"/>
            <w:rPrChange w:id="12704" w:author="AbbVie14" w:date="2025-09-08T15:01:00Z">
              <w:rPr>
                <w:color w:val="000000"/>
                <w:sz w:val="22"/>
                <w:szCs w:val="22"/>
              </w:rPr>
            </w:rPrChange>
          </w:rPr>
          <w:delText xml:space="preserve"> renale.</w:delText>
        </w:r>
      </w:del>
    </w:p>
    <w:p w:rsidR="006224C2" w:rsidRPr="00363FE8" w:rsidP="00AD7AF0" w14:paraId="14461955" w14:textId="77777777">
      <w:pPr>
        <w:tabs>
          <w:tab w:val="left" w:pos="567"/>
          <w:tab w:val="left" w:pos="2304"/>
          <w:tab w:val="left" w:pos="3024"/>
        </w:tabs>
        <w:autoSpaceDE w:val="0"/>
        <w:autoSpaceDN w:val="0"/>
        <w:adjustRightInd w:val="0"/>
        <w:jc w:val="both"/>
        <w:rPr>
          <w:del w:id="12705" w:author="AbbVie14" w:date="2025-05-09T10:36:00Z"/>
          <w:b/>
          <w:bCs/>
          <w:sz w:val="22"/>
          <w:szCs w:val="22"/>
          <w:rPrChange w:id="12706" w:author="AbbVie14" w:date="2025-09-08T15:01:00Z">
            <w:rPr>
              <w:sz w:val="22"/>
              <w:szCs w:val="22"/>
            </w:rPr>
          </w:rPrChange>
        </w:rPr>
      </w:pPr>
    </w:p>
    <w:p w:rsidR="006224C2" w:rsidRPr="00363FE8" w:rsidP="00AD7AF0" w14:paraId="604693F7" w14:textId="77777777">
      <w:pPr>
        <w:pStyle w:val="IndexHeading"/>
        <w:keepNext/>
        <w:tabs>
          <w:tab w:val="left" w:pos="540"/>
          <w:tab w:val="left" w:pos="2304"/>
          <w:tab w:val="left" w:pos="3024"/>
        </w:tabs>
        <w:autoSpaceDE w:val="0"/>
        <w:autoSpaceDN w:val="0"/>
        <w:adjustRightInd w:val="0"/>
        <w:spacing w:line="240" w:lineRule="auto"/>
        <w:jc w:val="both"/>
        <w:rPr>
          <w:del w:id="12707" w:author="AbbVie14" w:date="2025-05-09T10:36:00Z"/>
          <w:rFonts w:ascii="Times New Roman" w:hAnsi="Times New Roman" w:cs="Times New Roman"/>
          <w:lang w:val="it-IT" w:eastAsia="it-IT"/>
        </w:rPr>
      </w:pPr>
      <w:del w:id="12708" w:author="AbbVie14" w:date="2025-05-09T10:36:00Z">
        <w:r w:rsidRPr="00363FE8">
          <w:rPr>
            <w:rFonts w:ascii="Times New Roman" w:hAnsi="Times New Roman" w:cs="Times New Roman"/>
            <w:lang w:val="it-IT" w:eastAsia="it-IT"/>
          </w:rPr>
          <w:delText xml:space="preserve">5.3 </w:delText>
        </w:r>
      </w:del>
      <w:del w:id="12709" w:author="AbbVie14" w:date="2025-05-09T10:36:00Z">
        <w:r w:rsidRPr="00363FE8">
          <w:rPr>
            <w:rFonts w:ascii="Times New Roman" w:hAnsi="Times New Roman" w:cs="Times New Roman"/>
            <w:lang w:val="it-IT" w:eastAsia="it-IT"/>
          </w:rPr>
          <w:tab/>
          <w:delText>Dati preclinici di sicurezza</w:delText>
        </w:r>
      </w:del>
    </w:p>
    <w:p w:rsidR="006224C2" w:rsidRPr="00363FE8" w:rsidP="00AD7AF0" w14:paraId="0EA74C84" w14:textId="77777777">
      <w:pPr>
        <w:pStyle w:val="EndnoteText"/>
        <w:keepNext/>
        <w:jc w:val="both"/>
        <w:rPr>
          <w:del w:id="12710" w:author="AbbVie14" w:date="2025-05-09T10:36:00Z"/>
          <w:b/>
          <w:bCs/>
          <w:lang w:val="it-IT"/>
          <w:rPrChange w:id="12711" w:author="AbbVie14" w:date="2025-09-08T15:01:00Z">
            <w:rPr>
              <w:lang w:val="it-IT"/>
            </w:rPr>
          </w:rPrChange>
        </w:rPr>
      </w:pPr>
    </w:p>
    <w:p w:rsidR="006224C2" w:rsidRPr="00363FE8" w:rsidP="00AD7AF0" w14:paraId="432F1901" w14:textId="77777777">
      <w:pPr>
        <w:tabs>
          <w:tab w:val="left" w:pos="567"/>
        </w:tabs>
        <w:autoSpaceDE w:val="0"/>
        <w:autoSpaceDN w:val="0"/>
        <w:adjustRightInd w:val="0"/>
        <w:jc w:val="both"/>
        <w:rPr>
          <w:del w:id="12712" w:author="AbbVie14" w:date="2025-05-09T10:36:00Z"/>
          <w:b/>
          <w:bCs/>
          <w:color w:val="000000"/>
          <w:sz w:val="22"/>
          <w:szCs w:val="22"/>
          <w:rPrChange w:id="12713" w:author="AbbVie14" w:date="2025-09-08T15:01:00Z">
            <w:rPr>
              <w:color w:val="000000"/>
              <w:sz w:val="22"/>
              <w:szCs w:val="22"/>
            </w:rPr>
          </w:rPrChange>
        </w:rPr>
      </w:pPr>
      <w:del w:id="12714" w:author="AbbVie14" w:date="2025-05-09T10:36:00Z">
        <w:r w:rsidRPr="00363FE8">
          <w:rPr>
            <w:b/>
            <w:bCs/>
            <w:color w:val="000000"/>
            <w:sz w:val="22"/>
            <w:szCs w:val="22"/>
            <w:rPrChange w:id="12715" w:author="AbbVie14" w:date="2025-09-08T15:01:00Z">
              <w:rPr>
                <w:color w:val="000000"/>
                <w:sz w:val="22"/>
                <w:szCs w:val="22"/>
              </w:rPr>
            </w:rPrChange>
          </w:rPr>
          <w:delText>I dati preclinici non rivelano rischi particolari per l’uomo sulla base di studi di tossicità a dosi singole, tossicità a dosi ripetute e genotossicità</w:delText>
        </w:r>
      </w:del>
    </w:p>
    <w:p w:rsidR="006224C2" w:rsidRPr="00363FE8" w:rsidP="00AD7AF0" w14:paraId="00DF05EC" w14:textId="77777777">
      <w:pPr>
        <w:tabs>
          <w:tab w:val="left" w:pos="567"/>
        </w:tabs>
        <w:autoSpaceDE w:val="0"/>
        <w:autoSpaceDN w:val="0"/>
        <w:adjustRightInd w:val="0"/>
        <w:jc w:val="both"/>
        <w:rPr>
          <w:del w:id="12716" w:author="AbbVie14" w:date="2025-05-09T10:36:00Z"/>
          <w:b/>
          <w:bCs/>
          <w:sz w:val="22"/>
          <w:szCs w:val="22"/>
          <w:rPrChange w:id="12717" w:author="AbbVie14" w:date="2025-09-08T15:01:00Z">
            <w:rPr>
              <w:sz w:val="22"/>
              <w:szCs w:val="22"/>
            </w:rPr>
          </w:rPrChange>
        </w:rPr>
      </w:pPr>
      <w:del w:id="12718" w:author="AbbVie14" w:date="2025-05-09T10:36:00Z">
        <w:r w:rsidRPr="00363FE8">
          <w:rPr>
            <w:b/>
            <w:bCs/>
            <w:sz w:val="22"/>
            <w:szCs w:val="22"/>
            <w:rPrChange w:id="12719" w:author="AbbVie14" w:date="2025-09-08T15:01:00Z">
              <w:rPr>
                <w:sz w:val="22"/>
                <w:szCs w:val="22"/>
              </w:rPr>
            </w:rPrChange>
          </w:rPr>
          <w:delText>È stato condotto uno studio sulla tossicità nello sviluppo</w:delText>
        </w:r>
      </w:del>
      <w:del w:id="12720" w:author="AbbVie14" w:date="2025-05-09T10:36:00Z">
        <w:r w:rsidRPr="00363FE8" w:rsidR="001353FD">
          <w:rPr>
            <w:b/>
            <w:bCs/>
            <w:sz w:val="22"/>
            <w:szCs w:val="22"/>
            <w:rPrChange w:id="12721" w:author="AbbVie14" w:date="2025-09-08T15:01:00Z">
              <w:rPr>
                <w:sz w:val="22"/>
                <w:szCs w:val="22"/>
              </w:rPr>
            </w:rPrChange>
          </w:rPr>
          <w:delText xml:space="preserve"> </w:delText>
        </w:r>
      </w:del>
      <w:del w:id="12722" w:author="AbbVie14" w:date="2025-05-09T10:36:00Z">
        <w:r w:rsidRPr="00363FE8">
          <w:rPr>
            <w:b/>
            <w:bCs/>
            <w:sz w:val="22"/>
            <w:szCs w:val="22"/>
            <w:rPrChange w:id="12723" w:author="AbbVie14" w:date="2025-09-08T15:01:00Z">
              <w:rPr>
                <w:sz w:val="22"/>
                <w:szCs w:val="22"/>
              </w:rPr>
            </w:rPrChange>
          </w:rPr>
          <w:delText xml:space="preserve">embrio-fetale/sviluppo perinatale in scimmie cinomologhe con dosaggi di 0, 30 e 100 mg/kg (9-17 scimmie/gruppo); tale studio non ha evidenziato danni fetali provocati da adalimumab. </w:delText>
        </w:r>
      </w:del>
      <w:del w:id="12724" w:author="AbbVie14" w:date="2025-05-09T10:36:00Z">
        <w:r w:rsidRPr="00363FE8" w:rsidR="0066449A">
          <w:rPr>
            <w:b/>
            <w:bCs/>
            <w:sz w:val="22"/>
            <w:szCs w:val="22"/>
            <w:rPrChange w:id="12725" w:author="AbbVie14" w:date="2025-09-08T15:01:00Z">
              <w:rPr>
                <w:sz w:val="22"/>
                <w:szCs w:val="22"/>
              </w:rPr>
            </w:rPrChange>
          </w:rPr>
          <w:delText>Sia l</w:delText>
        </w:r>
      </w:del>
      <w:del w:id="12726" w:author="AbbVie14" w:date="2025-05-09T10:36:00Z">
        <w:r w:rsidRPr="00363FE8">
          <w:rPr>
            <w:b/>
            <w:bCs/>
            <w:sz w:val="22"/>
            <w:szCs w:val="22"/>
            <w:rPrChange w:id="12727" w:author="AbbVie14" w:date="2025-09-08T15:01:00Z">
              <w:rPr>
                <w:sz w:val="22"/>
                <w:szCs w:val="22"/>
              </w:rPr>
            </w:rPrChange>
          </w:rPr>
          <w:delText xml:space="preserve">e prove di cancerogenesi </w:delText>
        </w:r>
      </w:del>
      <w:del w:id="12728" w:author="AbbVie14" w:date="2025-05-09T10:36:00Z">
        <w:r w:rsidRPr="00363FE8" w:rsidR="0066449A">
          <w:rPr>
            <w:b/>
            <w:bCs/>
            <w:sz w:val="22"/>
            <w:szCs w:val="22"/>
            <w:rPrChange w:id="12729" w:author="AbbVie14" w:date="2025-09-08T15:01:00Z">
              <w:rPr>
                <w:sz w:val="22"/>
                <w:szCs w:val="22"/>
              </w:rPr>
            </w:rPrChange>
          </w:rPr>
          <w:delText>ch</w:delText>
        </w:r>
      </w:del>
      <w:del w:id="12730" w:author="AbbVie14" w:date="2025-05-09T10:36:00Z">
        <w:r w:rsidRPr="00363FE8">
          <w:rPr>
            <w:b/>
            <w:bCs/>
            <w:sz w:val="22"/>
            <w:szCs w:val="22"/>
            <w:rPrChange w:id="12731" w:author="AbbVie14" w:date="2025-09-08T15:01:00Z">
              <w:rPr>
                <w:sz w:val="22"/>
                <w:szCs w:val="22"/>
              </w:rPr>
            </w:rPrChange>
          </w:rPr>
          <w:delText xml:space="preserve">e le valutazioni standard sulla fertilità e sulla tossicità postnatale non sono state condotte </w:delText>
        </w:r>
      </w:del>
      <w:del w:id="12732" w:author="AbbVie14" w:date="2025-05-09T10:36:00Z">
        <w:r w:rsidRPr="00363FE8" w:rsidR="00C260B6">
          <w:rPr>
            <w:b/>
            <w:bCs/>
            <w:sz w:val="22"/>
            <w:szCs w:val="22"/>
            <w:rPrChange w:id="12733" w:author="AbbVie14" w:date="2025-09-08T15:01:00Z">
              <w:rPr>
                <w:sz w:val="22"/>
                <w:szCs w:val="22"/>
              </w:rPr>
            </w:rPrChange>
          </w:rPr>
          <w:delText xml:space="preserve">con adalimumab </w:delText>
        </w:r>
      </w:del>
      <w:del w:id="12734" w:author="AbbVie14" w:date="2025-05-09T10:36:00Z">
        <w:r w:rsidRPr="00363FE8">
          <w:rPr>
            <w:b/>
            <w:bCs/>
            <w:sz w:val="22"/>
            <w:szCs w:val="22"/>
            <w:rPrChange w:id="12735" w:author="AbbVie14" w:date="2025-09-08T15:01:00Z">
              <w:rPr>
                <w:sz w:val="22"/>
                <w:szCs w:val="22"/>
              </w:rPr>
            </w:rPrChange>
          </w:rPr>
          <w:delText>a causa di mancanza di modelli appropriati per un anticorpo con limitata reattività crociata per il TNF nei roditori e lo sviluppo di anticorpi neutralizzanti nei roditori.</w:delText>
        </w:r>
      </w:del>
    </w:p>
    <w:p w:rsidR="006224C2" w:rsidRPr="00363FE8" w:rsidP="00AD7AF0" w14:paraId="06F2D7F3" w14:textId="77777777">
      <w:pPr>
        <w:tabs>
          <w:tab w:val="left" w:pos="567"/>
        </w:tabs>
        <w:autoSpaceDE w:val="0"/>
        <w:autoSpaceDN w:val="0"/>
        <w:adjustRightInd w:val="0"/>
        <w:jc w:val="both"/>
        <w:rPr>
          <w:del w:id="12736" w:author="AbbVie14" w:date="2025-05-09T10:36:00Z"/>
          <w:b/>
          <w:bCs/>
          <w:sz w:val="22"/>
          <w:szCs w:val="22"/>
          <w:rPrChange w:id="12737" w:author="AbbVie14" w:date="2025-09-08T15:01:00Z">
            <w:rPr>
              <w:sz w:val="22"/>
              <w:szCs w:val="22"/>
            </w:rPr>
          </w:rPrChange>
        </w:rPr>
      </w:pPr>
    </w:p>
    <w:p w:rsidR="006224C2" w:rsidRPr="00363FE8" w:rsidP="00AD7AF0" w14:paraId="2D533502" w14:textId="77777777">
      <w:pPr>
        <w:tabs>
          <w:tab w:val="left" w:pos="567"/>
        </w:tabs>
        <w:autoSpaceDE w:val="0"/>
        <w:autoSpaceDN w:val="0"/>
        <w:adjustRightInd w:val="0"/>
        <w:jc w:val="both"/>
        <w:rPr>
          <w:del w:id="12738" w:author="AbbVie14" w:date="2025-05-09T10:36:00Z"/>
          <w:b/>
          <w:bCs/>
          <w:sz w:val="22"/>
          <w:szCs w:val="22"/>
          <w:rPrChange w:id="12739" w:author="AbbVie14" w:date="2025-09-08T15:01:00Z">
            <w:rPr>
              <w:sz w:val="22"/>
              <w:szCs w:val="22"/>
            </w:rPr>
          </w:rPrChange>
        </w:rPr>
      </w:pPr>
    </w:p>
    <w:p w:rsidR="006224C2" w:rsidRPr="00363FE8" w:rsidP="00AD7AF0" w14:paraId="6C2567C0" w14:textId="77777777">
      <w:pPr>
        <w:rPr>
          <w:del w:id="12740" w:author="AbbVie14" w:date="2025-05-09T10:36:00Z"/>
          <w:b/>
          <w:bCs/>
          <w:sz w:val="22"/>
          <w:szCs w:val="22"/>
        </w:rPr>
      </w:pPr>
      <w:del w:id="12741" w:author="AbbVie14" w:date="2025-05-09T10:36:00Z">
        <w:r w:rsidRPr="00363FE8">
          <w:rPr>
            <w:b/>
            <w:bCs/>
            <w:sz w:val="22"/>
            <w:szCs w:val="22"/>
          </w:rPr>
          <w:delText>6.</w:delText>
        </w:r>
      </w:del>
      <w:del w:id="12742" w:author="AbbVie14" w:date="2025-05-09T10:36:00Z">
        <w:r w:rsidRPr="00363FE8">
          <w:rPr>
            <w:b/>
            <w:bCs/>
            <w:sz w:val="22"/>
            <w:szCs w:val="22"/>
          </w:rPr>
          <w:tab/>
          <w:delText>INFORMAZIONI FARMACEUTICHE</w:delText>
        </w:r>
      </w:del>
    </w:p>
    <w:p w:rsidR="006224C2" w:rsidRPr="00363FE8" w:rsidP="00AD7AF0" w14:paraId="720A2706" w14:textId="77777777">
      <w:pPr>
        <w:tabs>
          <w:tab w:val="left" w:pos="567"/>
        </w:tabs>
        <w:jc w:val="both"/>
        <w:rPr>
          <w:del w:id="12743" w:author="AbbVie14" w:date="2025-05-09T10:36:00Z"/>
          <w:b/>
          <w:bCs/>
          <w:sz w:val="22"/>
          <w:szCs w:val="22"/>
        </w:rPr>
      </w:pPr>
    </w:p>
    <w:p w:rsidR="006224C2" w:rsidRPr="00363FE8" w:rsidP="00AD7AF0" w14:paraId="0A87F390" w14:textId="77777777">
      <w:pPr>
        <w:tabs>
          <w:tab w:val="left" w:pos="567"/>
        </w:tabs>
        <w:jc w:val="both"/>
        <w:rPr>
          <w:del w:id="12744" w:author="AbbVie14" w:date="2025-05-09T10:36:00Z"/>
          <w:b/>
          <w:bCs/>
          <w:sz w:val="22"/>
          <w:szCs w:val="22"/>
        </w:rPr>
      </w:pPr>
      <w:del w:id="12745" w:author="AbbVie14" w:date="2025-05-09T10:36:00Z">
        <w:r w:rsidRPr="00363FE8">
          <w:rPr>
            <w:b/>
            <w:bCs/>
            <w:sz w:val="22"/>
            <w:szCs w:val="22"/>
          </w:rPr>
          <w:delText>6.1</w:delText>
        </w:r>
      </w:del>
      <w:del w:id="12746" w:author="AbbVie14" w:date="2025-05-09T10:36:00Z">
        <w:r w:rsidRPr="00363FE8">
          <w:rPr>
            <w:b/>
            <w:bCs/>
            <w:sz w:val="22"/>
            <w:szCs w:val="22"/>
          </w:rPr>
          <w:tab/>
          <w:delText>Elenco degli eccipienti</w:delText>
        </w:r>
      </w:del>
    </w:p>
    <w:p w:rsidR="006224C2" w:rsidRPr="00363FE8" w:rsidP="00AD7AF0" w14:paraId="1C97A1D3" w14:textId="77777777">
      <w:pPr>
        <w:tabs>
          <w:tab w:val="left" w:pos="567"/>
        </w:tabs>
        <w:autoSpaceDE w:val="0"/>
        <w:autoSpaceDN w:val="0"/>
        <w:adjustRightInd w:val="0"/>
        <w:jc w:val="both"/>
        <w:rPr>
          <w:del w:id="12747" w:author="AbbVie14" w:date="2025-05-09T10:36:00Z"/>
          <w:b/>
          <w:bCs/>
          <w:sz w:val="22"/>
          <w:szCs w:val="22"/>
          <w:rPrChange w:id="12748" w:author="AbbVie14" w:date="2025-09-08T15:01:00Z">
            <w:rPr>
              <w:sz w:val="22"/>
              <w:szCs w:val="22"/>
            </w:rPr>
          </w:rPrChange>
        </w:rPr>
      </w:pPr>
    </w:p>
    <w:p w:rsidR="006224C2" w:rsidRPr="00363FE8" w:rsidP="00AD7AF0" w14:paraId="0027CC36" w14:textId="77777777">
      <w:pPr>
        <w:tabs>
          <w:tab w:val="left" w:pos="567"/>
        </w:tabs>
        <w:autoSpaceDE w:val="0"/>
        <w:autoSpaceDN w:val="0"/>
        <w:adjustRightInd w:val="0"/>
        <w:ind w:left="567" w:hanging="567"/>
        <w:jc w:val="both"/>
        <w:rPr>
          <w:del w:id="12749" w:author="AbbVie14" w:date="2025-05-09T10:36:00Z"/>
          <w:b/>
          <w:bCs/>
          <w:sz w:val="22"/>
          <w:szCs w:val="22"/>
          <w:rPrChange w:id="12750" w:author="AbbVie14" w:date="2025-09-08T15:01:00Z">
            <w:rPr>
              <w:sz w:val="22"/>
              <w:szCs w:val="22"/>
            </w:rPr>
          </w:rPrChange>
        </w:rPr>
      </w:pPr>
      <w:del w:id="12751" w:author="AbbVie14" w:date="2025-05-09T10:36:00Z">
        <w:r w:rsidRPr="00363FE8">
          <w:rPr>
            <w:b/>
            <w:bCs/>
            <w:sz w:val="22"/>
            <w:szCs w:val="22"/>
            <w:rPrChange w:id="12752" w:author="AbbVie14" w:date="2025-09-08T15:01:00Z">
              <w:rPr>
                <w:sz w:val="22"/>
                <w:szCs w:val="22"/>
              </w:rPr>
            </w:rPrChange>
          </w:rPr>
          <w:delText>Mannitolo</w:delText>
        </w:r>
      </w:del>
    </w:p>
    <w:p w:rsidR="006224C2" w:rsidRPr="00363FE8" w:rsidP="00AD7AF0" w14:paraId="11D1DBB5" w14:textId="77777777">
      <w:pPr>
        <w:tabs>
          <w:tab w:val="left" w:pos="567"/>
        </w:tabs>
        <w:autoSpaceDE w:val="0"/>
        <w:autoSpaceDN w:val="0"/>
        <w:adjustRightInd w:val="0"/>
        <w:ind w:left="567" w:hanging="567"/>
        <w:jc w:val="both"/>
        <w:rPr>
          <w:del w:id="12753" w:author="AbbVie14" w:date="2025-05-09T10:36:00Z"/>
          <w:b/>
          <w:bCs/>
          <w:sz w:val="22"/>
          <w:szCs w:val="22"/>
          <w:rPrChange w:id="12754" w:author="AbbVie14" w:date="2025-09-08T15:01:00Z">
            <w:rPr>
              <w:sz w:val="22"/>
              <w:szCs w:val="22"/>
            </w:rPr>
          </w:rPrChange>
        </w:rPr>
      </w:pPr>
      <w:del w:id="12755" w:author="AbbVie14" w:date="2025-05-09T10:36:00Z">
        <w:r w:rsidRPr="00363FE8">
          <w:rPr>
            <w:b/>
            <w:bCs/>
            <w:sz w:val="22"/>
            <w:szCs w:val="22"/>
            <w:rPrChange w:id="12756" w:author="AbbVie14" w:date="2025-09-08T15:01:00Z">
              <w:rPr>
                <w:sz w:val="22"/>
                <w:szCs w:val="22"/>
              </w:rPr>
            </w:rPrChange>
          </w:rPr>
          <w:delText>Acido citrico monoidrato</w:delText>
        </w:r>
      </w:del>
    </w:p>
    <w:p w:rsidR="006224C2" w:rsidRPr="00363FE8" w:rsidP="00AD7AF0" w14:paraId="3AE6690D" w14:textId="77777777">
      <w:pPr>
        <w:tabs>
          <w:tab w:val="left" w:pos="567"/>
        </w:tabs>
        <w:autoSpaceDE w:val="0"/>
        <w:autoSpaceDN w:val="0"/>
        <w:adjustRightInd w:val="0"/>
        <w:ind w:left="567" w:hanging="567"/>
        <w:jc w:val="both"/>
        <w:rPr>
          <w:del w:id="12757" w:author="AbbVie14" w:date="2025-05-09T10:36:00Z"/>
          <w:b/>
          <w:bCs/>
          <w:sz w:val="22"/>
          <w:szCs w:val="22"/>
          <w:rPrChange w:id="12758" w:author="AbbVie14" w:date="2025-09-08T15:01:00Z">
            <w:rPr>
              <w:sz w:val="22"/>
              <w:szCs w:val="22"/>
            </w:rPr>
          </w:rPrChange>
        </w:rPr>
      </w:pPr>
      <w:del w:id="12759" w:author="AbbVie14" w:date="2025-05-09T10:36:00Z">
        <w:r w:rsidRPr="00363FE8">
          <w:rPr>
            <w:b/>
            <w:bCs/>
            <w:sz w:val="22"/>
            <w:szCs w:val="22"/>
            <w:rPrChange w:id="12760" w:author="AbbVie14" w:date="2025-09-08T15:01:00Z">
              <w:rPr>
                <w:sz w:val="22"/>
                <w:szCs w:val="22"/>
              </w:rPr>
            </w:rPrChange>
          </w:rPr>
          <w:delText>Sodio citrato</w:delText>
        </w:r>
      </w:del>
    </w:p>
    <w:p w:rsidR="006224C2" w:rsidRPr="00363FE8" w:rsidP="00AD7AF0" w14:paraId="3458E5B5" w14:textId="77777777">
      <w:pPr>
        <w:tabs>
          <w:tab w:val="left" w:pos="567"/>
        </w:tabs>
        <w:autoSpaceDE w:val="0"/>
        <w:autoSpaceDN w:val="0"/>
        <w:adjustRightInd w:val="0"/>
        <w:ind w:left="567" w:hanging="567"/>
        <w:jc w:val="both"/>
        <w:rPr>
          <w:del w:id="12761" w:author="AbbVie14" w:date="2025-05-09T10:36:00Z"/>
          <w:b/>
          <w:bCs/>
          <w:sz w:val="22"/>
          <w:szCs w:val="22"/>
          <w:rPrChange w:id="12762" w:author="AbbVie14" w:date="2025-09-08T15:01:00Z">
            <w:rPr>
              <w:sz w:val="22"/>
              <w:szCs w:val="22"/>
            </w:rPr>
          </w:rPrChange>
        </w:rPr>
      </w:pPr>
      <w:del w:id="12763" w:author="AbbVie14" w:date="2025-05-09T10:36:00Z">
        <w:r w:rsidRPr="00363FE8">
          <w:rPr>
            <w:b/>
            <w:bCs/>
            <w:sz w:val="22"/>
            <w:szCs w:val="22"/>
            <w:rPrChange w:id="12764" w:author="AbbVie14" w:date="2025-09-08T15:01:00Z">
              <w:rPr>
                <w:sz w:val="22"/>
                <w:szCs w:val="22"/>
              </w:rPr>
            </w:rPrChange>
          </w:rPr>
          <w:delText>Sodio fosfato monobasico diidrato</w:delText>
        </w:r>
      </w:del>
    </w:p>
    <w:p w:rsidR="006224C2" w:rsidRPr="00363FE8" w:rsidP="00AD7AF0" w14:paraId="51710F78" w14:textId="77777777">
      <w:pPr>
        <w:tabs>
          <w:tab w:val="left" w:pos="567"/>
        </w:tabs>
        <w:autoSpaceDE w:val="0"/>
        <w:autoSpaceDN w:val="0"/>
        <w:adjustRightInd w:val="0"/>
        <w:ind w:left="567" w:hanging="567"/>
        <w:jc w:val="both"/>
        <w:rPr>
          <w:del w:id="12765" w:author="AbbVie14" w:date="2025-05-09T10:36:00Z"/>
          <w:b/>
          <w:bCs/>
          <w:sz w:val="22"/>
          <w:szCs w:val="22"/>
          <w:rPrChange w:id="12766" w:author="AbbVie14" w:date="2025-09-08T15:01:00Z">
            <w:rPr>
              <w:sz w:val="22"/>
              <w:szCs w:val="22"/>
            </w:rPr>
          </w:rPrChange>
        </w:rPr>
      </w:pPr>
      <w:del w:id="12767" w:author="AbbVie14" w:date="2025-05-09T10:36:00Z">
        <w:r w:rsidRPr="00363FE8">
          <w:rPr>
            <w:b/>
            <w:bCs/>
            <w:sz w:val="22"/>
            <w:szCs w:val="22"/>
            <w:rPrChange w:id="12768" w:author="AbbVie14" w:date="2025-09-08T15:01:00Z">
              <w:rPr>
                <w:sz w:val="22"/>
                <w:szCs w:val="22"/>
              </w:rPr>
            </w:rPrChange>
          </w:rPr>
          <w:delText>Sodio fosfato dibasico diidrato</w:delText>
        </w:r>
      </w:del>
    </w:p>
    <w:p w:rsidR="006224C2" w:rsidRPr="00363FE8" w:rsidP="00AD7AF0" w14:paraId="796B49B4" w14:textId="77777777">
      <w:pPr>
        <w:tabs>
          <w:tab w:val="left" w:pos="567"/>
        </w:tabs>
        <w:autoSpaceDE w:val="0"/>
        <w:autoSpaceDN w:val="0"/>
        <w:adjustRightInd w:val="0"/>
        <w:ind w:left="567" w:hanging="567"/>
        <w:jc w:val="both"/>
        <w:rPr>
          <w:del w:id="12769" w:author="AbbVie14" w:date="2025-05-09T10:36:00Z"/>
          <w:b/>
          <w:bCs/>
          <w:sz w:val="22"/>
          <w:szCs w:val="22"/>
          <w:rPrChange w:id="12770" w:author="AbbVie14" w:date="2025-09-08T15:01:00Z">
            <w:rPr>
              <w:sz w:val="22"/>
              <w:szCs w:val="22"/>
            </w:rPr>
          </w:rPrChange>
        </w:rPr>
      </w:pPr>
      <w:del w:id="12771" w:author="AbbVie14" w:date="2025-05-09T10:36:00Z">
        <w:r w:rsidRPr="00363FE8">
          <w:rPr>
            <w:b/>
            <w:bCs/>
            <w:sz w:val="22"/>
            <w:szCs w:val="22"/>
            <w:rPrChange w:id="12772" w:author="AbbVie14" w:date="2025-09-08T15:01:00Z">
              <w:rPr>
                <w:sz w:val="22"/>
                <w:szCs w:val="22"/>
              </w:rPr>
            </w:rPrChange>
          </w:rPr>
          <w:delText>Sodio cloruro</w:delText>
        </w:r>
      </w:del>
    </w:p>
    <w:p w:rsidR="006224C2" w:rsidRPr="00363FE8" w:rsidP="00AD7AF0" w14:paraId="23F779CD" w14:textId="77777777">
      <w:pPr>
        <w:tabs>
          <w:tab w:val="left" w:pos="567"/>
        </w:tabs>
        <w:autoSpaceDE w:val="0"/>
        <w:autoSpaceDN w:val="0"/>
        <w:adjustRightInd w:val="0"/>
        <w:ind w:left="567" w:hanging="567"/>
        <w:jc w:val="both"/>
        <w:rPr>
          <w:del w:id="12773" w:author="AbbVie14" w:date="2025-05-09T10:36:00Z"/>
          <w:b/>
          <w:bCs/>
          <w:sz w:val="22"/>
          <w:szCs w:val="22"/>
          <w:rPrChange w:id="12774" w:author="AbbVie14" w:date="2025-09-08T15:01:00Z">
            <w:rPr>
              <w:sz w:val="22"/>
              <w:szCs w:val="22"/>
            </w:rPr>
          </w:rPrChange>
        </w:rPr>
      </w:pPr>
      <w:del w:id="12775" w:author="AbbVie14" w:date="2025-05-09T10:36:00Z">
        <w:r w:rsidRPr="00363FE8">
          <w:rPr>
            <w:b/>
            <w:bCs/>
            <w:sz w:val="22"/>
            <w:szCs w:val="22"/>
            <w:rPrChange w:id="12776" w:author="AbbVie14" w:date="2025-09-08T15:01:00Z">
              <w:rPr>
                <w:sz w:val="22"/>
                <w:szCs w:val="22"/>
              </w:rPr>
            </w:rPrChange>
          </w:rPr>
          <w:delText>Polisorbato 80</w:delText>
        </w:r>
      </w:del>
    </w:p>
    <w:p w:rsidR="006224C2" w:rsidRPr="00363FE8" w:rsidP="00AD7AF0" w14:paraId="6808673E" w14:textId="77777777">
      <w:pPr>
        <w:tabs>
          <w:tab w:val="left" w:pos="567"/>
        </w:tabs>
        <w:autoSpaceDE w:val="0"/>
        <w:autoSpaceDN w:val="0"/>
        <w:adjustRightInd w:val="0"/>
        <w:ind w:left="567" w:hanging="567"/>
        <w:jc w:val="both"/>
        <w:rPr>
          <w:del w:id="12777" w:author="AbbVie14" w:date="2025-05-09T10:36:00Z"/>
          <w:b/>
          <w:bCs/>
          <w:sz w:val="22"/>
          <w:szCs w:val="22"/>
          <w:rPrChange w:id="12778" w:author="AbbVie14" w:date="2025-09-08T15:01:00Z">
            <w:rPr>
              <w:sz w:val="22"/>
              <w:szCs w:val="22"/>
            </w:rPr>
          </w:rPrChange>
        </w:rPr>
      </w:pPr>
      <w:del w:id="12779" w:author="AbbVie14" w:date="2025-05-09T10:36:00Z">
        <w:r w:rsidRPr="00363FE8">
          <w:rPr>
            <w:b/>
            <w:bCs/>
            <w:sz w:val="22"/>
            <w:szCs w:val="22"/>
            <w:rPrChange w:id="12780" w:author="AbbVie14" w:date="2025-09-08T15:01:00Z">
              <w:rPr>
                <w:sz w:val="22"/>
                <w:szCs w:val="22"/>
              </w:rPr>
            </w:rPrChange>
          </w:rPr>
          <w:delText xml:space="preserve">Sodio idrossido </w:delText>
        </w:r>
      </w:del>
    </w:p>
    <w:p w:rsidR="006224C2" w:rsidRPr="00363FE8" w:rsidP="00AD7AF0" w14:paraId="256D9116" w14:textId="77777777">
      <w:pPr>
        <w:tabs>
          <w:tab w:val="left" w:pos="567"/>
        </w:tabs>
        <w:autoSpaceDE w:val="0"/>
        <w:autoSpaceDN w:val="0"/>
        <w:adjustRightInd w:val="0"/>
        <w:ind w:left="567" w:hanging="567"/>
        <w:jc w:val="both"/>
        <w:rPr>
          <w:del w:id="12781" w:author="AbbVie14" w:date="2025-05-09T10:36:00Z"/>
          <w:b/>
          <w:bCs/>
          <w:sz w:val="22"/>
          <w:szCs w:val="22"/>
          <w:rPrChange w:id="12782" w:author="AbbVie14" w:date="2025-09-08T15:01:00Z">
            <w:rPr>
              <w:sz w:val="22"/>
              <w:szCs w:val="22"/>
            </w:rPr>
          </w:rPrChange>
        </w:rPr>
      </w:pPr>
      <w:del w:id="12783" w:author="AbbVie14" w:date="2025-05-09T10:36:00Z">
        <w:r w:rsidRPr="00363FE8">
          <w:rPr>
            <w:b/>
            <w:bCs/>
            <w:sz w:val="22"/>
            <w:szCs w:val="22"/>
            <w:rPrChange w:id="12784" w:author="AbbVie14" w:date="2025-09-08T15:01:00Z">
              <w:rPr>
                <w:sz w:val="22"/>
                <w:szCs w:val="22"/>
              </w:rPr>
            </w:rPrChange>
          </w:rPr>
          <w:delText>Acqua per preparazioni iniettabili.</w:delText>
        </w:r>
      </w:del>
    </w:p>
    <w:p w:rsidR="006224C2" w:rsidRPr="00363FE8" w:rsidP="00AD7AF0" w14:paraId="7763D17B" w14:textId="77777777">
      <w:pPr>
        <w:tabs>
          <w:tab w:val="left" w:pos="567"/>
        </w:tabs>
        <w:ind w:right="-2"/>
        <w:jc w:val="both"/>
        <w:rPr>
          <w:del w:id="12785" w:author="AbbVie14" w:date="2025-05-09T10:36:00Z"/>
          <w:b/>
          <w:bCs/>
          <w:sz w:val="22"/>
          <w:szCs w:val="22"/>
          <w:rPrChange w:id="12786" w:author="AbbVie14" w:date="2025-09-08T15:01:00Z">
            <w:rPr>
              <w:sz w:val="22"/>
              <w:szCs w:val="22"/>
            </w:rPr>
          </w:rPrChange>
        </w:rPr>
      </w:pPr>
    </w:p>
    <w:p w:rsidR="006224C2" w:rsidRPr="00363FE8" w:rsidP="00AD7AF0" w14:paraId="4B684961" w14:textId="77777777">
      <w:pPr>
        <w:tabs>
          <w:tab w:val="left" w:pos="567"/>
        </w:tabs>
        <w:ind w:left="567" w:hanging="567"/>
        <w:jc w:val="both"/>
        <w:rPr>
          <w:del w:id="12787" w:author="AbbVie14" w:date="2025-05-09T10:36:00Z"/>
          <w:b/>
          <w:bCs/>
          <w:sz w:val="22"/>
          <w:szCs w:val="22"/>
        </w:rPr>
      </w:pPr>
      <w:del w:id="12788" w:author="AbbVie14" w:date="2025-05-09T10:36:00Z">
        <w:r w:rsidRPr="00363FE8">
          <w:rPr>
            <w:b/>
            <w:bCs/>
            <w:sz w:val="22"/>
            <w:szCs w:val="22"/>
          </w:rPr>
          <w:delText>6.2</w:delText>
        </w:r>
      </w:del>
      <w:del w:id="12789" w:author="AbbVie14" w:date="2025-05-09T10:36:00Z">
        <w:r w:rsidRPr="00363FE8">
          <w:rPr>
            <w:b/>
            <w:bCs/>
            <w:sz w:val="22"/>
            <w:szCs w:val="22"/>
          </w:rPr>
          <w:tab/>
          <w:delText>Incompatibilità</w:delText>
        </w:r>
      </w:del>
    </w:p>
    <w:p w:rsidR="006224C2" w:rsidRPr="00363FE8" w:rsidP="00AD7AF0" w14:paraId="7AD3E514" w14:textId="77777777">
      <w:pPr>
        <w:tabs>
          <w:tab w:val="left" w:pos="567"/>
        </w:tabs>
        <w:jc w:val="both"/>
        <w:rPr>
          <w:del w:id="12790" w:author="AbbVie14" w:date="2025-05-09T10:36:00Z"/>
          <w:b/>
          <w:bCs/>
          <w:sz w:val="22"/>
          <w:szCs w:val="22"/>
          <w:rPrChange w:id="12791" w:author="AbbVie14" w:date="2025-09-08T15:01:00Z">
            <w:rPr>
              <w:sz w:val="22"/>
              <w:szCs w:val="22"/>
            </w:rPr>
          </w:rPrChange>
        </w:rPr>
      </w:pPr>
    </w:p>
    <w:p w:rsidR="006224C2" w:rsidRPr="00363FE8" w:rsidP="00AD7AF0" w14:paraId="2E081E1D" w14:textId="77777777">
      <w:pPr>
        <w:tabs>
          <w:tab w:val="left" w:pos="567"/>
        </w:tabs>
        <w:jc w:val="both"/>
        <w:rPr>
          <w:del w:id="12792" w:author="AbbVie14" w:date="2025-05-09T10:36:00Z"/>
          <w:b/>
          <w:bCs/>
          <w:sz w:val="22"/>
          <w:szCs w:val="22"/>
          <w:rPrChange w:id="12793" w:author="AbbVie14" w:date="2025-09-08T15:01:00Z">
            <w:rPr>
              <w:sz w:val="22"/>
              <w:szCs w:val="22"/>
            </w:rPr>
          </w:rPrChange>
        </w:rPr>
      </w:pPr>
      <w:del w:id="12794" w:author="AbbVie14" w:date="2025-05-09T10:36:00Z">
        <w:r w:rsidRPr="00363FE8">
          <w:rPr>
            <w:b/>
            <w:bCs/>
            <w:sz w:val="22"/>
            <w:szCs w:val="22"/>
            <w:rPrChange w:id="12795" w:author="AbbVie14" w:date="2025-09-08T15:01:00Z">
              <w:rPr>
                <w:sz w:val="22"/>
                <w:szCs w:val="22"/>
              </w:rPr>
            </w:rPrChange>
          </w:rPr>
          <w:delText>In assenza di studi di compatibilità, questo medicinale non deve essere miscelato con altri medicinali.</w:delText>
        </w:r>
      </w:del>
    </w:p>
    <w:p w:rsidR="006224C2" w:rsidRPr="00363FE8" w:rsidP="00AD7AF0" w14:paraId="0877FD1B" w14:textId="77777777">
      <w:pPr>
        <w:tabs>
          <w:tab w:val="left" w:pos="567"/>
        </w:tabs>
        <w:jc w:val="both"/>
        <w:rPr>
          <w:del w:id="12796" w:author="AbbVie14" w:date="2025-05-09T10:36:00Z"/>
          <w:b/>
          <w:bCs/>
          <w:sz w:val="22"/>
          <w:szCs w:val="22"/>
          <w:rPrChange w:id="12797" w:author="AbbVie14" w:date="2025-09-08T15:01:00Z">
            <w:rPr>
              <w:sz w:val="22"/>
              <w:szCs w:val="22"/>
            </w:rPr>
          </w:rPrChange>
        </w:rPr>
      </w:pPr>
    </w:p>
    <w:p w:rsidR="006224C2" w:rsidRPr="00363FE8" w:rsidP="00AD7AF0" w14:paraId="7E359B9E" w14:textId="77777777">
      <w:pPr>
        <w:tabs>
          <w:tab w:val="left" w:pos="567"/>
        </w:tabs>
        <w:ind w:left="567" w:hanging="567"/>
        <w:jc w:val="both"/>
        <w:rPr>
          <w:del w:id="12798" w:author="AbbVie14" w:date="2025-05-09T10:36:00Z"/>
          <w:b/>
          <w:bCs/>
          <w:sz w:val="22"/>
          <w:szCs w:val="22"/>
        </w:rPr>
      </w:pPr>
      <w:del w:id="12799" w:author="AbbVie14" w:date="2025-05-09T10:36:00Z">
        <w:r w:rsidRPr="00363FE8">
          <w:rPr>
            <w:b/>
            <w:bCs/>
            <w:sz w:val="22"/>
            <w:szCs w:val="22"/>
          </w:rPr>
          <w:delText>6.3</w:delText>
        </w:r>
      </w:del>
      <w:del w:id="12800" w:author="AbbVie14" w:date="2025-05-09T10:36:00Z">
        <w:r w:rsidRPr="00363FE8">
          <w:rPr>
            <w:b/>
            <w:bCs/>
            <w:sz w:val="22"/>
            <w:szCs w:val="22"/>
          </w:rPr>
          <w:tab/>
          <w:delText>Periodo di validità</w:delText>
        </w:r>
      </w:del>
    </w:p>
    <w:p w:rsidR="006224C2" w:rsidRPr="00363FE8" w:rsidP="00AD7AF0" w14:paraId="69A0000C" w14:textId="77777777">
      <w:pPr>
        <w:tabs>
          <w:tab w:val="left" w:pos="567"/>
        </w:tabs>
        <w:jc w:val="both"/>
        <w:rPr>
          <w:del w:id="12801" w:author="AbbVie14" w:date="2025-05-09T10:36:00Z"/>
          <w:b/>
          <w:bCs/>
          <w:sz w:val="22"/>
          <w:szCs w:val="22"/>
          <w:rPrChange w:id="12802" w:author="AbbVie14" w:date="2025-09-08T15:01:00Z">
            <w:rPr>
              <w:sz w:val="22"/>
              <w:szCs w:val="22"/>
            </w:rPr>
          </w:rPrChange>
        </w:rPr>
      </w:pPr>
    </w:p>
    <w:p w:rsidR="006224C2" w:rsidRPr="00363FE8" w:rsidP="00AD7AF0" w14:paraId="3A2EABBE" w14:textId="77777777">
      <w:pPr>
        <w:tabs>
          <w:tab w:val="left" w:pos="567"/>
        </w:tabs>
        <w:jc w:val="both"/>
        <w:rPr>
          <w:del w:id="12803" w:author="AbbVie14" w:date="2025-05-09T10:36:00Z"/>
          <w:b/>
          <w:bCs/>
          <w:sz w:val="22"/>
          <w:szCs w:val="22"/>
          <w:rPrChange w:id="12804" w:author="AbbVie14" w:date="2025-09-08T15:01:00Z">
            <w:rPr>
              <w:sz w:val="22"/>
              <w:szCs w:val="22"/>
            </w:rPr>
          </w:rPrChange>
        </w:rPr>
      </w:pPr>
      <w:del w:id="12805" w:author="AbbVie14" w:date="2025-05-09T10:36:00Z">
        <w:r w:rsidRPr="00363FE8">
          <w:rPr>
            <w:b/>
            <w:bCs/>
            <w:sz w:val="22"/>
            <w:szCs w:val="22"/>
            <w:rPrChange w:id="12806" w:author="AbbVie14" w:date="2025-09-08T15:01:00Z">
              <w:rPr>
                <w:sz w:val="22"/>
                <w:szCs w:val="22"/>
              </w:rPr>
            </w:rPrChange>
          </w:rPr>
          <w:delText>2 anni</w:delText>
        </w:r>
      </w:del>
    </w:p>
    <w:p w:rsidR="006224C2" w:rsidRPr="00363FE8" w:rsidP="00AD7AF0" w14:paraId="2B7F7AA1" w14:textId="77777777">
      <w:pPr>
        <w:tabs>
          <w:tab w:val="left" w:pos="567"/>
        </w:tabs>
        <w:jc w:val="both"/>
        <w:rPr>
          <w:del w:id="12807" w:author="AbbVie14" w:date="2025-05-09T10:36:00Z"/>
          <w:b/>
          <w:bCs/>
          <w:sz w:val="22"/>
          <w:szCs w:val="22"/>
          <w:rPrChange w:id="12808" w:author="AbbVie14" w:date="2025-09-08T15:01:00Z">
            <w:rPr>
              <w:sz w:val="22"/>
              <w:szCs w:val="22"/>
            </w:rPr>
          </w:rPrChange>
        </w:rPr>
      </w:pPr>
    </w:p>
    <w:p w:rsidR="006224C2" w:rsidRPr="00363FE8" w:rsidP="00AD7AF0" w14:paraId="54904DD3" w14:textId="77777777">
      <w:pPr>
        <w:numPr>
          <w:ilvl w:val="1"/>
          <w:numId w:val="7"/>
        </w:numPr>
        <w:tabs>
          <w:tab w:val="left" w:pos="567"/>
          <w:tab w:val="clear" w:pos="570"/>
        </w:tabs>
        <w:jc w:val="both"/>
        <w:rPr>
          <w:del w:id="12809" w:author="AbbVie14" w:date="2025-05-09T10:36:00Z"/>
          <w:b/>
          <w:bCs/>
          <w:sz w:val="22"/>
          <w:szCs w:val="22"/>
        </w:rPr>
      </w:pPr>
      <w:del w:id="12810" w:author="AbbVie14" w:date="2025-05-09T10:36:00Z">
        <w:r w:rsidRPr="00363FE8">
          <w:rPr>
            <w:b/>
            <w:bCs/>
            <w:sz w:val="22"/>
            <w:szCs w:val="22"/>
          </w:rPr>
          <w:delText>Precauzioni particolari per la conservazione</w:delText>
        </w:r>
      </w:del>
    </w:p>
    <w:p w:rsidR="006224C2" w:rsidRPr="00363FE8" w:rsidP="00AD7AF0" w14:paraId="3F06819A" w14:textId="77777777">
      <w:pPr>
        <w:tabs>
          <w:tab w:val="left" w:pos="567"/>
        </w:tabs>
        <w:jc w:val="both"/>
        <w:rPr>
          <w:del w:id="12811" w:author="AbbVie14" w:date="2025-05-09T10:36:00Z"/>
          <w:b/>
          <w:bCs/>
          <w:sz w:val="22"/>
          <w:szCs w:val="22"/>
          <w:rPrChange w:id="12812" w:author="AbbVie14" w:date="2025-09-08T15:01:00Z">
            <w:rPr>
              <w:sz w:val="22"/>
              <w:szCs w:val="22"/>
            </w:rPr>
          </w:rPrChange>
        </w:rPr>
      </w:pPr>
    </w:p>
    <w:p w:rsidR="006224C2" w:rsidRPr="00363FE8" w:rsidP="00AD7AF0" w14:paraId="77A6C4A3" w14:textId="77777777">
      <w:pPr>
        <w:tabs>
          <w:tab w:val="left" w:pos="567"/>
        </w:tabs>
        <w:jc w:val="both"/>
        <w:rPr>
          <w:del w:id="12813" w:author="AbbVie14" w:date="2025-05-09T10:36:00Z"/>
          <w:b/>
          <w:bCs/>
          <w:sz w:val="22"/>
          <w:szCs w:val="22"/>
          <w:rPrChange w:id="12814" w:author="AbbVie14" w:date="2025-09-08T15:01:00Z">
            <w:rPr>
              <w:sz w:val="22"/>
              <w:szCs w:val="22"/>
            </w:rPr>
          </w:rPrChange>
        </w:rPr>
      </w:pPr>
      <w:del w:id="12815" w:author="AbbVie14" w:date="2025-05-09T10:36:00Z">
        <w:r w:rsidRPr="00363FE8">
          <w:rPr>
            <w:b/>
            <w:bCs/>
            <w:sz w:val="22"/>
            <w:szCs w:val="22"/>
            <w:rPrChange w:id="12816" w:author="AbbVie14" w:date="2025-09-08T15:01:00Z">
              <w:rPr>
                <w:sz w:val="22"/>
                <w:szCs w:val="22"/>
              </w:rPr>
            </w:rPrChange>
          </w:rPr>
          <w:delText>Conservare in frigorifero (2</w:delText>
        </w:r>
      </w:del>
      <w:del w:id="12817" w:author="AbbVie14" w:date="2025-05-09T10:36:00Z">
        <w:r w:rsidRPr="00363FE8">
          <w:rPr>
            <w:rFonts w:ascii="Symbol" w:hAnsi="Symbol"/>
            <w:b/>
            <w:bCs/>
            <w:sz w:val="22"/>
            <w:szCs w:val="22"/>
            <w:rPrChange w:id="12818" w:author="AbbVie14" w:date="2025-09-08T15:01:00Z">
              <w:rPr>
                <w:rFonts w:ascii="Symbol" w:hAnsi="Symbol"/>
                <w:sz w:val="22"/>
                <w:szCs w:val="22"/>
              </w:rPr>
            </w:rPrChange>
          </w:rPr>
          <w:sym w:font="Symbol" w:char="F0B0"/>
        </w:r>
      </w:del>
      <w:del w:id="12819" w:author="AbbVie14" w:date="2025-05-09T10:36:00Z">
        <w:r w:rsidRPr="00363FE8">
          <w:rPr>
            <w:b/>
            <w:bCs/>
            <w:sz w:val="22"/>
            <w:szCs w:val="22"/>
            <w:rPrChange w:id="12820" w:author="AbbVie14" w:date="2025-09-08T15:01:00Z">
              <w:rPr>
                <w:sz w:val="22"/>
                <w:szCs w:val="22"/>
              </w:rPr>
            </w:rPrChange>
          </w:rPr>
          <w:delText>C – 8</w:delText>
        </w:r>
      </w:del>
      <w:del w:id="12821" w:author="AbbVie14" w:date="2025-05-09T10:36:00Z">
        <w:r w:rsidRPr="00363FE8">
          <w:rPr>
            <w:rFonts w:ascii="Symbol" w:hAnsi="Symbol"/>
            <w:b/>
            <w:bCs/>
            <w:sz w:val="22"/>
            <w:szCs w:val="22"/>
            <w:rPrChange w:id="12822" w:author="AbbVie14" w:date="2025-09-08T15:01:00Z">
              <w:rPr>
                <w:rFonts w:ascii="Symbol" w:hAnsi="Symbol"/>
                <w:sz w:val="22"/>
                <w:szCs w:val="22"/>
              </w:rPr>
            </w:rPrChange>
          </w:rPr>
          <w:sym w:font="Symbol" w:char="F0B0"/>
        </w:r>
      </w:del>
      <w:del w:id="12823" w:author="AbbVie14" w:date="2025-05-09T10:36:00Z">
        <w:r w:rsidRPr="00363FE8">
          <w:rPr>
            <w:b/>
            <w:bCs/>
            <w:sz w:val="22"/>
            <w:szCs w:val="22"/>
            <w:rPrChange w:id="12824" w:author="AbbVie14" w:date="2025-09-08T15:01:00Z">
              <w:rPr>
                <w:sz w:val="22"/>
                <w:szCs w:val="22"/>
              </w:rPr>
            </w:rPrChange>
          </w:rPr>
          <w:delText xml:space="preserve">C). Non congelare. </w:delText>
        </w:r>
      </w:del>
      <w:del w:id="12825" w:author="AbbVie14" w:date="2025-05-09T10:36:00Z">
        <w:r w:rsidRPr="00363FE8" w:rsidR="001013A9">
          <w:rPr>
            <w:b/>
            <w:bCs/>
            <w:sz w:val="22"/>
            <w:szCs w:val="22"/>
            <w:rPrChange w:id="12826" w:author="AbbVie14" w:date="2025-09-08T15:01:00Z">
              <w:rPr>
                <w:sz w:val="22"/>
                <w:szCs w:val="22"/>
              </w:rPr>
            </w:rPrChange>
          </w:rPr>
          <w:delText xml:space="preserve">Tenere </w:delText>
        </w:r>
      </w:del>
      <w:del w:id="12827" w:author="AbbVie14" w:date="2025-05-09T10:36:00Z">
        <w:r w:rsidRPr="00363FE8">
          <w:rPr>
            <w:b/>
            <w:bCs/>
            <w:sz w:val="22"/>
            <w:szCs w:val="22"/>
            <w:rPrChange w:id="12828" w:author="AbbVie14" w:date="2025-09-08T15:01:00Z">
              <w:rPr>
                <w:sz w:val="22"/>
                <w:szCs w:val="22"/>
              </w:rPr>
            </w:rPrChange>
          </w:rPr>
          <w:delText>la siringa pre-riempita o la penna pre-riempita</w:delText>
        </w:r>
      </w:del>
      <w:del w:id="12829" w:author="AbbVie14" w:date="2025-05-09T10:36:00Z">
        <w:r w:rsidRPr="00363FE8" w:rsidR="001013A9">
          <w:rPr>
            <w:b/>
            <w:bCs/>
            <w:sz w:val="22"/>
            <w:szCs w:val="22"/>
            <w:rPrChange w:id="12830" w:author="AbbVie14" w:date="2025-09-08T15:01:00Z">
              <w:rPr>
                <w:sz w:val="22"/>
                <w:szCs w:val="22"/>
              </w:rPr>
            </w:rPrChange>
          </w:rPr>
          <w:delText xml:space="preserve"> nell’imballaggio esterno</w:delText>
        </w:r>
      </w:del>
      <w:del w:id="12831" w:author="AbbVie14" w:date="2025-05-09T10:36:00Z">
        <w:r w:rsidRPr="00363FE8">
          <w:rPr>
            <w:b/>
            <w:bCs/>
            <w:sz w:val="22"/>
            <w:szCs w:val="22"/>
            <w:rPrChange w:id="12832" w:author="AbbVie14" w:date="2025-09-08T15:01:00Z">
              <w:rPr>
                <w:sz w:val="22"/>
                <w:szCs w:val="22"/>
              </w:rPr>
            </w:rPrChange>
          </w:rPr>
          <w:delText xml:space="preserve"> per proteggere il medicinale dalla luce.</w:delText>
        </w:r>
      </w:del>
    </w:p>
    <w:p w:rsidR="006224C2" w:rsidRPr="00363FE8" w:rsidP="00AD7AF0" w14:paraId="53D29D4C" w14:textId="77777777">
      <w:pPr>
        <w:tabs>
          <w:tab w:val="left" w:pos="567"/>
        </w:tabs>
        <w:jc w:val="both"/>
        <w:rPr>
          <w:del w:id="12833" w:author="AbbVie14" w:date="2025-05-09T10:36:00Z"/>
          <w:b/>
          <w:bCs/>
          <w:sz w:val="22"/>
          <w:szCs w:val="22"/>
          <w:rPrChange w:id="12834" w:author="AbbVie14" w:date="2025-09-08T15:01:00Z">
            <w:rPr>
              <w:sz w:val="22"/>
              <w:szCs w:val="22"/>
            </w:rPr>
          </w:rPrChange>
        </w:rPr>
      </w:pPr>
    </w:p>
    <w:p w:rsidR="006224C2" w:rsidRPr="00363FE8" w:rsidP="00AD7AF0" w14:paraId="51E93EA8" w14:textId="77777777">
      <w:pPr>
        <w:tabs>
          <w:tab w:val="left" w:pos="567"/>
        </w:tabs>
        <w:jc w:val="both"/>
        <w:rPr>
          <w:del w:id="12835" w:author="AbbVie14" w:date="2025-05-09T10:36:00Z"/>
          <w:b/>
          <w:bCs/>
          <w:sz w:val="22"/>
          <w:szCs w:val="22"/>
          <w:rPrChange w:id="12836" w:author="AbbVie14" w:date="2025-09-08T15:01:00Z">
            <w:rPr>
              <w:sz w:val="22"/>
              <w:szCs w:val="22"/>
            </w:rPr>
          </w:rPrChange>
        </w:rPr>
      </w:pPr>
      <w:del w:id="12837" w:author="AbbVie14" w:date="2025-05-09T10:36:00Z">
        <w:r w:rsidRPr="00363FE8">
          <w:rPr>
            <w:b/>
            <w:bCs/>
            <w:sz w:val="22"/>
            <w:szCs w:val="22"/>
            <w:rPrChange w:id="12838" w:author="AbbVie14" w:date="2025-09-08T15:01:00Z">
              <w:rPr>
                <w:sz w:val="22"/>
                <w:szCs w:val="22"/>
              </w:rPr>
            </w:rPrChange>
          </w:rPr>
          <w:delText>Una singola siringa pre-riempita o una penna pre-riempita di Humira può essere conservata a temperature fino a un massimo di 25°C per un periodo di non oltre 14 giorni. La siringa o penna deve essere protetta dalla luce e gettata se non usata durante il periodo dei 14 giorni</w:delText>
        </w:r>
      </w:del>
      <w:del w:id="12839" w:author="AbbVie14" w:date="2025-05-09T10:36:00Z">
        <w:r w:rsidRPr="00363FE8" w:rsidR="00B510FF">
          <w:rPr>
            <w:b/>
            <w:bCs/>
            <w:sz w:val="22"/>
            <w:szCs w:val="22"/>
            <w:rPrChange w:id="12840" w:author="AbbVie14" w:date="2025-09-08T15:01:00Z">
              <w:rPr>
                <w:sz w:val="22"/>
                <w:szCs w:val="22"/>
              </w:rPr>
            </w:rPrChange>
          </w:rPr>
          <w:delText>.</w:delText>
        </w:r>
      </w:del>
    </w:p>
    <w:p w:rsidR="006224C2" w:rsidRPr="00363FE8" w:rsidP="00AD7AF0" w14:paraId="7C1588E5" w14:textId="77777777">
      <w:pPr>
        <w:tabs>
          <w:tab w:val="left" w:pos="567"/>
        </w:tabs>
        <w:jc w:val="both"/>
        <w:rPr>
          <w:del w:id="12841" w:author="AbbVie14" w:date="2025-05-09T10:36:00Z"/>
          <w:b/>
          <w:bCs/>
          <w:sz w:val="22"/>
          <w:szCs w:val="22"/>
          <w:rPrChange w:id="12842" w:author="AbbVie14" w:date="2025-09-08T15:01:00Z">
            <w:rPr>
              <w:sz w:val="22"/>
              <w:szCs w:val="22"/>
            </w:rPr>
          </w:rPrChange>
        </w:rPr>
      </w:pPr>
    </w:p>
    <w:p w:rsidR="006224C2" w:rsidRPr="00363FE8" w:rsidP="00AD7AF0" w14:paraId="6131BF89" w14:textId="77777777">
      <w:pPr>
        <w:keepNext/>
        <w:keepLines/>
        <w:rPr>
          <w:del w:id="12843" w:author="AbbVie14" w:date="2025-05-09T10:36:00Z"/>
          <w:b/>
          <w:bCs/>
          <w:sz w:val="22"/>
          <w:szCs w:val="22"/>
        </w:rPr>
      </w:pPr>
      <w:del w:id="12844" w:author="AbbVie14" w:date="2025-05-09T10:36:00Z">
        <w:r w:rsidRPr="00363FE8">
          <w:rPr>
            <w:b/>
            <w:bCs/>
            <w:sz w:val="22"/>
            <w:szCs w:val="22"/>
          </w:rPr>
          <w:delText>6.5</w:delText>
        </w:r>
      </w:del>
      <w:del w:id="12845" w:author="AbbVie14" w:date="2025-05-09T10:36:00Z">
        <w:r w:rsidRPr="00363FE8">
          <w:rPr>
            <w:b/>
            <w:bCs/>
            <w:sz w:val="22"/>
            <w:szCs w:val="22"/>
          </w:rPr>
          <w:tab/>
          <w:delText>Natura e contenuto del contenitore</w:delText>
        </w:r>
      </w:del>
    </w:p>
    <w:p w:rsidR="006224C2" w:rsidRPr="00363FE8" w:rsidP="00AD7AF0" w14:paraId="4C8DDED5" w14:textId="77777777">
      <w:pPr>
        <w:keepNext/>
        <w:keepLines/>
        <w:tabs>
          <w:tab w:val="left" w:pos="567"/>
        </w:tabs>
        <w:jc w:val="both"/>
        <w:rPr>
          <w:del w:id="12846" w:author="AbbVie14" w:date="2025-05-09T10:36:00Z"/>
          <w:b/>
          <w:bCs/>
          <w:sz w:val="22"/>
          <w:szCs w:val="22"/>
          <w:rPrChange w:id="12847" w:author="AbbVie14" w:date="2025-09-08T15:01:00Z">
            <w:rPr>
              <w:sz w:val="22"/>
              <w:szCs w:val="22"/>
            </w:rPr>
          </w:rPrChange>
        </w:rPr>
      </w:pPr>
    </w:p>
    <w:p w:rsidR="006224C2" w:rsidRPr="00363FE8" w:rsidP="00AD7AF0" w14:paraId="79AA7914" w14:textId="77777777">
      <w:pPr>
        <w:keepNext/>
        <w:keepLines/>
        <w:rPr>
          <w:del w:id="12848" w:author="AbbVie14" w:date="2025-05-09T10:36:00Z"/>
          <w:b/>
          <w:bCs/>
          <w:sz w:val="22"/>
          <w:szCs w:val="22"/>
          <w:u w:val="single"/>
          <w:rPrChange w:id="12849" w:author="AbbVie14" w:date="2025-09-08T15:01:00Z">
            <w:rPr>
              <w:sz w:val="22"/>
              <w:szCs w:val="22"/>
              <w:u w:val="single"/>
            </w:rPr>
          </w:rPrChange>
        </w:rPr>
      </w:pPr>
      <w:del w:id="12850" w:author="AbbVie14" w:date="2025-05-09T10:36:00Z">
        <w:r w:rsidRPr="00363FE8">
          <w:rPr>
            <w:b/>
            <w:bCs/>
            <w:sz w:val="22"/>
            <w:szCs w:val="22"/>
            <w:u w:val="single"/>
            <w:rPrChange w:id="12851" w:author="AbbVie14" w:date="2025-09-08T15:01:00Z">
              <w:rPr>
                <w:sz w:val="22"/>
                <w:szCs w:val="22"/>
                <w:u w:val="single"/>
              </w:rPr>
            </w:rPrChange>
          </w:rPr>
          <w:delText>Humira 40 mg soluzione iniettabile in una siringa pre-riempita</w:delText>
        </w:r>
      </w:del>
    </w:p>
    <w:p w:rsidR="006224C2" w:rsidRPr="00363FE8" w:rsidP="00AD7AF0" w14:paraId="1BF3DD18" w14:textId="77777777">
      <w:pPr>
        <w:keepNext/>
        <w:keepLines/>
        <w:tabs>
          <w:tab w:val="left" w:pos="567"/>
        </w:tabs>
        <w:jc w:val="both"/>
        <w:rPr>
          <w:del w:id="12852" w:author="AbbVie14" w:date="2025-05-09T10:36:00Z"/>
          <w:b/>
          <w:bCs/>
          <w:sz w:val="22"/>
          <w:szCs w:val="22"/>
          <w:rPrChange w:id="12853" w:author="AbbVie14" w:date="2025-09-08T15:01:00Z">
            <w:rPr>
              <w:sz w:val="22"/>
              <w:szCs w:val="22"/>
            </w:rPr>
          </w:rPrChange>
        </w:rPr>
      </w:pPr>
      <w:del w:id="12854" w:author="AbbVie14" w:date="2025-05-09T10:36:00Z">
        <w:r w:rsidRPr="00363FE8">
          <w:rPr>
            <w:b/>
            <w:bCs/>
            <w:sz w:val="22"/>
            <w:szCs w:val="22"/>
            <w:rPrChange w:id="12855" w:author="AbbVie14" w:date="2025-09-08T15:01:00Z">
              <w:rPr>
                <w:sz w:val="22"/>
                <w:szCs w:val="22"/>
              </w:rPr>
            </w:rPrChange>
          </w:rPr>
          <w:delText>Humira 40 mg soluzione iniettabile è contenuta in siringhe pre-riempite monouso (vetro tipo I)</w:delText>
        </w:r>
      </w:del>
      <w:del w:id="12856" w:author="AbbVie14" w:date="2025-05-09T10:36:00Z">
        <w:r w:rsidRPr="00363FE8" w:rsidR="001353FD">
          <w:rPr>
            <w:b/>
            <w:bCs/>
            <w:sz w:val="22"/>
            <w:szCs w:val="22"/>
            <w:rPrChange w:id="12857" w:author="AbbVie14" w:date="2025-09-08T15:01:00Z">
              <w:rPr>
                <w:sz w:val="22"/>
                <w:szCs w:val="22"/>
              </w:rPr>
            </w:rPrChange>
          </w:rPr>
          <w:delText xml:space="preserve"> </w:delText>
        </w:r>
      </w:del>
      <w:del w:id="12858" w:author="AbbVie14" w:date="2025-05-09T10:36:00Z">
        <w:r w:rsidRPr="00363FE8">
          <w:rPr>
            <w:b/>
            <w:bCs/>
            <w:sz w:val="22"/>
            <w:szCs w:val="22"/>
            <w:rPrChange w:id="12859" w:author="AbbVie14" w:date="2025-09-08T15:01:00Z">
              <w:rPr>
                <w:sz w:val="22"/>
                <w:szCs w:val="22"/>
              </w:rPr>
            </w:rPrChange>
          </w:rPr>
          <w:delText>con uno stantuffo (gomma bromobutilica) e un ago con cappuccio (elastomero termoplastico).</w:delText>
        </w:r>
      </w:del>
    </w:p>
    <w:p w:rsidR="006224C2" w:rsidRPr="00363FE8" w:rsidP="00AD7AF0" w14:paraId="757599B0" w14:textId="77777777">
      <w:pPr>
        <w:tabs>
          <w:tab w:val="left" w:pos="567"/>
        </w:tabs>
        <w:jc w:val="both"/>
        <w:rPr>
          <w:del w:id="12860" w:author="AbbVie14" w:date="2025-05-09T10:36:00Z"/>
          <w:b/>
          <w:bCs/>
          <w:sz w:val="22"/>
          <w:szCs w:val="22"/>
          <w:rPrChange w:id="12861" w:author="AbbVie14" w:date="2025-09-08T15:01:00Z">
            <w:rPr>
              <w:sz w:val="22"/>
              <w:szCs w:val="22"/>
            </w:rPr>
          </w:rPrChange>
        </w:rPr>
      </w:pPr>
    </w:p>
    <w:p w:rsidR="006224C2" w:rsidRPr="00363FE8" w:rsidP="00AD7AF0" w14:paraId="3B95E914" w14:textId="77777777">
      <w:pPr>
        <w:keepNext/>
        <w:rPr>
          <w:del w:id="12862" w:author="AbbVie14" w:date="2025-05-09T10:36:00Z"/>
          <w:b/>
          <w:bCs/>
          <w:sz w:val="22"/>
          <w:szCs w:val="22"/>
          <w:rPrChange w:id="12863" w:author="AbbVie14" w:date="2025-09-08T15:01:00Z">
            <w:rPr>
              <w:sz w:val="22"/>
              <w:szCs w:val="22"/>
            </w:rPr>
          </w:rPrChange>
        </w:rPr>
      </w:pPr>
      <w:del w:id="12864" w:author="AbbVie14" w:date="2025-05-09T10:36:00Z">
        <w:r w:rsidRPr="00363FE8">
          <w:rPr>
            <w:b/>
            <w:bCs/>
            <w:sz w:val="22"/>
            <w:szCs w:val="22"/>
            <w:rPrChange w:id="12865" w:author="AbbVie14" w:date="2025-09-08T15:01:00Z">
              <w:rPr>
                <w:sz w:val="22"/>
                <w:szCs w:val="22"/>
              </w:rPr>
            </w:rPrChange>
          </w:rPr>
          <w:delText>Confezioni:</w:delText>
        </w:r>
      </w:del>
    </w:p>
    <w:p w:rsidR="006224C2" w:rsidRPr="00363FE8" w:rsidP="00AD7AF0" w14:paraId="011B6CBA" w14:textId="77777777">
      <w:pPr>
        <w:keepNext/>
        <w:numPr>
          <w:ilvl w:val="0"/>
          <w:numId w:val="11"/>
        </w:numPr>
        <w:tabs>
          <w:tab w:val="clear" w:pos="720"/>
        </w:tabs>
        <w:ind w:left="540" w:hanging="540"/>
        <w:jc w:val="both"/>
        <w:rPr>
          <w:del w:id="12866" w:author="AbbVie14" w:date="2025-05-09T10:36:00Z"/>
          <w:b/>
          <w:bCs/>
          <w:sz w:val="22"/>
          <w:szCs w:val="22"/>
          <w:rPrChange w:id="12867" w:author="AbbVie14" w:date="2025-09-08T15:01:00Z">
            <w:rPr>
              <w:sz w:val="22"/>
              <w:szCs w:val="22"/>
            </w:rPr>
          </w:rPrChange>
        </w:rPr>
      </w:pPr>
      <w:del w:id="12868" w:author="AbbVie14" w:date="2025-05-09T10:36:00Z">
        <w:r w:rsidRPr="00363FE8">
          <w:rPr>
            <w:b/>
            <w:bCs/>
            <w:sz w:val="22"/>
            <w:szCs w:val="22"/>
            <w:rPrChange w:id="12869" w:author="AbbVie14" w:date="2025-09-08T15:01:00Z">
              <w:rPr>
                <w:sz w:val="22"/>
                <w:szCs w:val="22"/>
              </w:rPr>
            </w:rPrChange>
          </w:rPr>
          <w:delText>1 siringa pre-riempita (0,8 ml di soluzione sterile) e 1 tampone imbevuto di alcool in un blister.</w:delText>
        </w:r>
      </w:del>
    </w:p>
    <w:p w:rsidR="006224C2" w:rsidRPr="00363FE8" w:rsidP="00AD7AF0" w14:paraId="1426C17D" w14:textId="77777777">
      <w:pPr>
        <w:keepNext/>
        <w:numPr>
          <w:ilvl w:val="0"/>
          <w:numId w:val="11"/>
        </w:numPr>
        <w:tabs>
          <w:tab w:val="clear" w:pos="720"/>
        </w:tabs>
        <w:ind w:left="540" w:hanging="540"/>
        <w:jc w:val="both"/>
        <w:rPr>
          <w:del w:id="12870" w:author="AbbVie14" w:date="2025-05-09T10:36:00Z"/>
          <w:b/>
          <w:bCs/>
          <w:sz w:val="22"/>
          <w:szCs w:val="22"/>
          <w:rPrChange w:id="12871" w:author="AbbVie14" w:date="2025-09-08T15:01:00Z">
            <w:rPr>
              <w:sz w:val="22"/>
              <w:szCs w:val="22"/>
            </w:rPr>
          </w:rPrChange>
        </w:rPr>
      </w:pPr>
      <w:del w:id="12872" w:author="AbbVie14" w:date="2025-05-09T10:36:00Z">
        <w:r w:rsidRPr="00363FE8">
          <w:rPr>
            <w:b/>
            <w:bCs/>
            <w:sz w:val="22"/>
            <w:szCs w:val="22"/>
            <w:rPrChange w:id="12873" w:author="AbbVie14" w:date="2025-09-08T15:01:00Z">
              <w:rPr>
                <w:sz w:val="22"/>
                <w:szCs w:val="22"/>
              </w:rPr>
            </w:rPrChange>
          </w:rPr>
          <w:delText>2 siringhe pre-riempite (0,8 ml di soluzione sterile) e 1 tampone imbevuto di alcool per ogni siringa, in un blister.</w:delText>
        </w:r>
      </w:del>
    </w:p>
    <w:p w:rsidR="006224C2" w:rsidRPr="00363FE8" w:rsidP="00AD7AF0" w14:paraId="2DD98871" w14:textId="77777777">
      <w:pPr>
        <w:keepNext/>
        <w:numPr>
          <w:ilvl w:val="0"/>
          <w:numId w:val="11"/>
        </w:numPr>
        <w:tabs>
          <w:tab w:val="clear" w:pos="720"/>
        </w:tabs>
        <w:ind w:left="540" w:hanging="540"/>
        <w:jc w:val="both"/>
        <w:rPr>
          <w:del w:id="12874" w:author="AbbVie14" w:date="2025-05-09T10:36:00Z"/>
          <w:b/>
          <w:bCs/>
          <w:sz w:val="22"/>
          <w:szCs w:val="22"/>
          <w:rPrChange w:id="12875" w:author="AbbVie14" w:date="2025-09-08T15:01:00Z">
            <w:rPr>
              <w:sz w:val="22"/>
              <w:szCs w:val="22"/>
            </w:rPr>
          </w:rPrChange>
        </w:rPr>
      </w:pPr>
      <w:del w:id="12876" w:author="AbbVie14" w:date="2025-05-09T10:36:00Z">
        <w:r w:rsidRPr="00363FE8">
          <w:rPr>
            <w:b/>
            <w:bCs/>
            <w:sz w:val="22"/>
            <w:szCs w:val="22"/>
            <w:rPrChange w:id="12877" w:author="AbbVie14" w:date="2025-09-08T15:01:00Z">
              <w:rPr>
                <w:sz w:val="22"/>
                <w:szCs w:val="22"/>
              </w:rPr>
            </w:rPrChange>
          </w:rPr>
          <w:delText>4 siringhe pre-riempite (0,8 ml di soluzione sterile) e 1 tampone imbevuto di alcool per ogni siringa, in un blister.</w:delText>
        </w:r>
      </w:del>
    </w:p>
    <w:p w:rsidR="006224C2" w:rsidRPr="00363FE8" w:rsidP="00AD7AF0" w14:paraId="0D542697" w14:textId="77777777">
      <w:pPr>
        <w:keepNext/>
        <w:numPr>
          <w:ilvl w:val="0"/>
          <w:numId w:val="11"/>
        </w:numPr>
        <w:tabs>
          <w:tab w:val="clear" w:pos="720"/>
        </w:tabs>
        <w:ind w:left="540" w:hanging="540"/>
        <w:jc w:val="both"/>
        <w:rPr>
          <w:del w:id="12878" w:author="AbbVie14" w:date="2025-05-09T10:36:00Z"/>
          <w:b/>
          <w:bCs/>
          <w:sz w:val="22"/>
          <w:szCs w:val="22"/>
          <w:rPrChange w:id="12879" w:author="AbbVie14" w:date="2025-09-08T15:01:00Z">
            <w:rPr>
              <w:sz w:val="22"/>
              <w:szCs w:val="22"/>
            </w:rPr>
          </w:rPrChange>
        </w:rPr>
      </w:pPr>
      <w:del w:id="12880" w:author="AbbVie14" w:date="2025-05-09T10:36:00Z">
        <w:r w:rsidRPr="00363FE8">
          <w:rPr>
            <w:b/>
            <w:bCs/>
            <w:sz w:val="22"/>
            <w:szCs w:val="22"/>
            <w:rPrChange w:id="12881" w:author="AbbVie14" w:date="2025-09-08T15:01:00Z">
              <w:rPr>
                <w:sz w:val="22"/>
                <w:szCs w:val="22"/>
              </w:rPr>
            </w:rPrChange>
          </w:rPr>
          <w:delText>6 siringhe pre-riempite (0,8 ml di soluzione sterile) e 1 tampone imbevuto di alcool per ogni siringa, in un blister.</w:delText>
        </w:r>
      </w:del>
    </w:p>
    <w:p w:rsidR="006224C2" w:rsidRPr="00363FE8" w:rsidP="00AD7AF0" w14:paraId="70592E48" w14:textId="77777777">
      <w:pPr>
        <w:tabs>
          <w:tab w:val="left" w:pos="567"/>
        </w:tabs>
        <w:jc w:val="both"/>
        <w:rPr>
          <w:del w:id="12882" w:author="AbbVie14" w:date="2025-05-09T10:36:00Z"/>
          <w:b/>
          <w:bCs/>
          <w:sz w:val="22"/>
          <w:szCs w:val="22"/>
          <w:rPrChange w:id="12883" w:author="AbbVie14" w:date="2025-09-08T15:01:00Z">
            <w:rPr>
              <w:sz w:val="22"/>
              <w:szCs w:val="22"/>
            </w:rPr>
          </w:rPrChange>
        </w:rPr>
      </w:pPr>
    </w:p>
    <w:p w:rsidR="006224C2" w:rsidRPr="00363FE8" w:rsidP="00AD7AF0" w14:paraId="285163ED" w14:textId="77777777">
      <w:pPr>
        <w:rPr>
          <w:del w:id="12884" w:author="AbbVie14" w:date="2025-05-09T10:36:00Z"/>
          <w:b/>
          <w:bCs/>
          <w:sz w:val="22"/>
          <w:szCs w:val="22"/>
          <w:u w:val="single"/>
          <w:rPrChange w:id="12885" w:author="AbbVie14" w:date="2025-09-08T15:01:00Z">
            <w:rPr>
              <w:sz w:val="22"/>
              <w:szCs w:val="22"/>
              <w:u w:val="single"/>
            </w:rPr>
          </w:rPrChange>
        </w:rPr>
      </w:pPr>
      <w:del w:id="12886" w:author="AbbVie14" w:date="2025-05-09T10:36:00Z">
        <w:r w:rsidRPr="00363FE8">
          <w:rPr>
            <w:b/>
            <w:bCs/>
            <w:sz w:val="22"/>
            <w:szCs w:val="22"/>
            <w:u w:val="single"/>
            <w:rPrChange w:id="12887" w:author="AbbVie14" w:date="2025-09-08T15:01:00Z">
              <w:rPr>
                <w:sz w:val="22"/>
                <w:szCs w:val="22"/>
                <w:u w:val="single"/>
              </w:rPr>
            </w:rPrChange>
          </w:rPr>
          <w:delText>Humira 40 mg soluzione iniettabile in siringa pre-riempita con dispositivo di sicurezza per l’ago</w:delText>
        </w:r>
      </w:del>
    </w:p>
    <w:p w:rsidR="006224C2" w:rsidRPr="00363FE8" w:rsidP="00AD7AF0" w14:paraId="55733C36" w14:textId="77777777">
      <w:pPr>
        <w:rPr>
          <w:del w:id="12888" w:author="AbbVie14" w:date="2025-05-09T10:36:00Z"/>
          <w:b/>
          <w:bCs/>
          <w:sz w:val="22"/>
          <w:szCs w:val="22"/>
          <w:rPrChange w:id="12889" w:author="AbbVie14" w:date="2025-09-08T15:01:00Z">
            <w:rPr>
              <w:sz w:val="22"/>
              <w:szCs w:val="22"/>
            </w:rPr>
          </w:rPrChange>
        </w:rPr>
      </w:pPr>
      <w:del w:id="12890" w:author="AbbVie14" w:date="2025-05-09T10:36:00Z">
        <w:r w:rsidRPr="00363FE8">
          <w:rPr>
            <w:b/>
            <w:bCs/>
            <w:sz w:val="22"/>
            <w:szCs w:val="22"/>
            <w:rPrChange w:id="12891" w:author="AbbVie14" w:date="2025-09-08T15:01:00Z">
              <w:rPr>
                <w:sz w:val="22"/>
                <w:szCs w:val="22"/>
              </w:rPr>
            </w:rPrChange>
          </w:rPr>
          <w:delText>Humira 40 mg soluzione iniettabile in siringa pre-riempita monouso (vetro tipo I) con dispositivo di sicurezza per l’ago per uso ospedaliero o uso da parte di chi si prende cura del paziente. La siringa è di vetro tipo I con uno stantuffo (gomma bromobutilica) e un ago con cappuccio (elastomero termoplastico).</w:delText>
        </w:r>
      </w:del>
    </w:p>
    <w:p w:rsidR="006224C2" w:rsidRPr="00363FE8" w:rsidP="00AD7AF0" w14:paraId="40D9B78A" w14:textId="77777777">
      <w:pPr>
        <w:rPr>
          <w:del w:id="12892" w:author="AbbVie14" w:date="2025-05-09T10:36:00Z"/>
          <w:b/>
          <w:bCs/>
          <w:sz w:val="22"/>
          <w:szCs w:val="22"/>
          <w:rPrChange w:id="12893" w:author="AbbVie14" w:date="2025-09-08T15:01:00Z">
            <w:rPr>
              <w:sz w:val="22"/>
              <w:szCs w:val="22"/>
            </w:rPr>
          </w:rPrChange>
        </w:rPr>
      </w:pPr>
    </w:p>
    <w:p w:rsidR="006224C2" w:rsidRPr="00363FE8" w:rsidP="00AD7AF0" w14:paraId="7B62ED64" w14:textId="77777777">
      <w:pPr>
        <w:rPr>
          <w:del w:id="12894" w:author="AbbVie14" w:date="2025-05-09T10:36:00Z"/>
          <w:b/>
          <w:bCs/>
          <w:sz w:val="22"/>
          <w:szCs w:val="22"/>
          <w:rPrChange w:id="12895" w:author="AbbVie14" w:date="2025-09-08T15:01:00Z">
            <w:rPr>
              <w:sz w:val="22"/>
              <w:szCs w:val="22"/>
            </w:rPr>
          </w:rPrChange>
        </w:rPr>
      </w:pPr>
      <w:del w:id="12896" w:author="AbbVie14" w:date="2025-05-09T10:36:00Z">
        <w:r w:rsidRPr="00363FE8">
          <w:rPr>
            <w:b/>
            <w:bCs/>
            <w:sz w:val="22"/>
            <w:szCs w:val="22"/>
            <w:rPrChange w:id="12897" w:author="AbbVie14" w:date="2025-09-08T15:01:00Z">
              <w:rPr>
                <w:sz w:val="22"/>
                <w:szCs w:val="22"/>
              </w:rPr>
            </w:rPrChange>
          </w:rPr>
          <w:delText>Confezione:</w:delText>
        </w:r>
      </w:del>
    </w:p>
    <w:p w:rsidR="006224C2" w:rsidRPr="00363FE8" w:rsidP="00AD7AF0" w14:paraId="1D3A0161" w14:textId="77777777">
      <w:pPr>
        <w:rPr>
          <w:del w:id="12898" w:author="AbbVie14" w:date="2025-05-09T10:36:00Z"/>
          <w:b/>
          <w:bCs/>
          <w:sz w:val="22"/>
          <w:szCs w:val="22"/>
          <w:rPrChange w:id="12899" w:author="AbbVie14" w:date="2025-09-08T15:01:00Z">
            <w:rPr>
              <w:sz w:val="22"/>
              <w:szCs w:val="22"/>
            </w:rPr>
          </w:rPrChange>
        </w:rPr>
      </w:pPr>
      <w:del w:id="12900" w:author="AbbVie14" w:date="2025-05-09T10:36:00Z">
        <w:r w:rsidRPr="00363FE8">
          <w:rPr>
            <w:b/>
            <w:bCs/>
            <w:sz w:val="22"/>
            <w:szCs w:val="22"/>
            <w:rPrChange w:id="12901" w:author="AbbVie14" w:date="2025-09-08T15:01:00Z">
              <w:rPr>
                <w:sz w:val="22"/>
                <w:szCs w:val="22"/>
              </w:rPr>
            </w:rPrChange>
          </w:rPr>
          <w:delText>1 siringa pre-riempita con dispositivo di sicurezza per l’ago (0,8 ml di soluzione sterile) in un blister e 1 tampone imbevuto di alcool.</w:delText>
        </w:r>
      </w:del>
    </w:p>
    <w:p w:rsidR="006224C2" w:rsidRPr="00363FE8" w:rsidP="00AD7AF0" w14:paraId="55539704" w14:textId="77777777">
      <w:pPr>
        <w:rPr>
          <w:del w:id="12902" w:author="AbbVie14" w:date="2025-05-09T10:36:00Z"/>
          <w:b/>
          <w:bCs/>
          <w:sz w:val="22"/>
          <w:szCs w:val="22"/>
          <w:u w:val="single"/>
          <w:rPrChange w:id="12903" w:author="AbbVie14" w:date="2025-09-08T15:01:00Z">
            <w:rPr>
              <w:sz w:val="22"/>
              <w:szCs w:val="22"/>
              <w:u w:val="single"/>
            </w:rPr>
          </w:rPrChange>
        </w:rPr>
      </w:pPr>
    </w:p>
    <w:p w:rsidR="006224C2" w:rsidRPr="00363FE8" w:rsidP="00AD7AF0" w14:paraId="02D557D0" w14:textId="77777777">
      <w:pPr>
        <w:rPr>
          <w:del w:id="12904" w:author="AbbVie14" w:date="2025-05-09T10:36:00Z"/>
          <w:b/>
          <w:bCs/>
          <w:sz w:val="22"/>
          <w:szCs w:val="22"/>
          <w:u w:val="single"/>
          <w:rPrChange w:id="12905" w:author="AbbVie14" w:date="2025-09-08T15:01:00Z">
            <w:rPr>
              <w:sz w:val="22"/>
              <w:szCs w:val="22"/>
              <w:u w:val="single"/>
            </w:rPr>
          </w:rPrChange>
        </w:rPr>
      </w:pPr>
      <w:del w:id="12906" w:author="AbbVie14" w:date="2025-05-09T10:36:00Z">
        <w:r w:rsidRPr="00363FE8">
          <w:rPr>
            <w:b/>
            <w:bCs/>
            <w:sz w:val="22"/>
            <w:szCs w:val="22"/>
            <w:u w:val="single"/>
            <w:rPrChange w:id="12907" w:author="AbbVie14" w:date="2025-09-08T15:01:00Z">
              <w:rPr>
                <w:sz w:val="22"/>
                <w:szCs w:val="22"/>
                <w:u w:val="single"/>
              </w:rPr>
            </w:rPrChange>
          </w:rPr>
          <w:delText>Humira 40 mg soluzione iniettabile in penna pre-riempita</w:delText>
        </w:r>
      </w:del>
    </w:p>
    <w:p w:rsidR="006224C2" w:rsidRPr="00363FE8" w:rsidP="00AD7AF0" w14:paraId="4D96747E" w14:textId="77777777">
      <w:pPr>
        <w:rPr>
          <w:del w:id="12908" w:author="AbbVie14" w:date="2025-05-09T10:36:00Z"/>
          <w:b/>
          <w:bCs/>
          <w:sz w:val="22"/>
          <w:szCs w:val="22"/>
          <w:rPrChange w:id="12909" w:author="AbbVie14" w:date="2025-09-08T15:01:00Z">
            <w:rPr>
              <w:sz w:val="22"/>
              <w:szCs w:val="22"/>
            </w:rPr>
          </w:rPrChange>
        </w:rPr>
      </w:pPr>
      <w:del w:id="12910" w:author="AbbVie14" w:date="2025-05-09T10:36:00Z">
        <w:r w:rsidRPr="00363FE8">
          <w:rPr>
            <w:b/>
            <w:bCs/>
            <w:sz w:val="22"/>
            <w:szCs w:val="22"/>
            <w:rPrChange w:id="12911" w:author="AbbVie14" w:date="2025-09-08T15:01:00Z">
              <w:rPr>
                <w:sz w:val="22"/>
                <w:szCs w:val="22"/>
              </w:rPr>
            </w:rPrChange>
          </w:rPr>
          <w:delText>Humira 40 mg soluzione iniettabile in penna pre-riempita</w:delText>
        </w:r>
      </w:del>
      <w:del w:id="12912" w:author="AbbVie14" w:date="2025-05-09T10:36:00Z">
        <w:r w:rsidRPr="00363FE8" w:rsidR="001353FD">
          <w:rPr>
            <w:b/>
            <w:bCs/>
            <w:sz w:val="22"/>
            <w:szCs w:val="22"/>
            <w:rPrChange w:id="12913" w:author="AbbVie14" w:date="2025-09-08T15:01:00Z">
              <w:rPr>
                <w:sz w:val="22"/>
                <w:szCs w:val="22"/>
              </w:rPr>
            </w:rPrChange>
          </w:rPr>
          <w:delText xml:space="preserve"> </w:delText>
        </w:r>
      </w:del>
      <w:del w:id="12914" w:author="AbbVie14" w:date="2025-05-09T10:36:00Z">
        <w:r w:rsidRPr="00363FE8">
          <w:rPr>
            <w:b/>
            <w:bCs/>
            <w:sz w:val="22"/>
            <w:szCs w:val="22"/>
            <w:rPrChange w:id="12915" w:author="AbbVie14" w:date="2025-09-08T15:01:00Z">
              <w:rPr>
                <w:sz w:val="22"/>
                <w:szCs w:val="22"/>
              </w:rPr>
            </w:rPrChange>
          </w:rPr>
          <w:delText>monouso pronta per l’utilizzo da parte dei pazienti, contenente una siringa pre-riempita. La siringa all’interno della penna è di vetro tipo I con uno stantuffo (gomma bromobutilica) e un ago con cappuccio (elastomero termoplastico).</w:delText>
        </w:r>
      </w:del>
    </w:p>
    <w:p w:rsidR="006224C2" w:rsidRPr="00363FE8" w:rsidP="00AD7AF0" w14:paraId="1FFFECE1" w14:textId="77777777">
      <w:pPr>
        <w:rPr>
          <w:del w:id="12916" w:author="AbbVie14" w:date="2025-05-09T10:36:00Z"/>
          <w:b/>
          <w:bCs/>
          <w:sz w:val="22"/>
          <w:szCs w:val="22"/>
          <w:rPrChange w:id="12917" w:author="AbbVie14" w:date="2025-09-08T15:01:00Z">
            <w:rPr>
              <w:sz w:val="22"/>
              <w:szCs w:val="22"/>
            </w:rPr>
          </w:rPrChange>
        </w:rPr>
      </w:pPr>
    </w:p>
    <w:p w:rsidR="006224C2" w:rsidRPr="00363FE8" w:rsidP="00AD7AF0" w14:paraId="382F3BD2" w14:textId="77777777">
      <w:pPr>
        <w:rPr>
          <w:del w:id="12918" w:author="AbbVie14" w:date="2025-05-09T10:36:00Z"/>
          <w:b/>
          <w:bCs/>
          <w:sz w:val="22"/>
          <w:szCs w:val="22"/>
          <w:rPrChange w:id="12919" w:author="AbbVie14" w:date="2025-09-08T15:01:00Z">
            <w:rPr>
              <w:sz w:val="22"/>
              <w:szCs w:val="22"/>
            </w:rPr>
          </w:rPrChange>
        </w:rPr>
      </w:pPr>
      <w:del w:id="12920" w:author="AbbVie14" w:date="2025-05-09T10:36:00Z">
        <w:r w:rsidRPr="00363FE8">
          <w:rPr>
            <w:b/>
            <w:bCs/>
            <w:sz w:val="22"/>
            <w:szCs w:val="22"/>
            <w:rPrChange w:id="12921" w:author="AbbVie14" w:date="2025-09-08T15:01:00Z">
              <w:rPr>
                <w:sz w:val="22"/>
                <w:szCs w:val="22"/>
              </w:rPr>
            </w:rPrChange>
          </w:rPr>
          <w:delText>Confezioni:</w:delText>
        </w:r>
      </w:del>
    </w:p>
    <w:p w:rsidR="006224C2" w:rsidRPr="00363FE8" w:rsidP="00AD7AF0" w14:paraId="0716B717" w14:textId="77777777">
      <w:pPr>
        <w:numPr>
          <w:ilvl w:val="0"/>
          <w:numId w:val="113"/>
        </w:numPr>
        <w:suppressAutoHyphens/>
        <w:rPr>
          <w:del w:id="12922" w:author="AbbVie14" w:date="2025-05-09T10:36:00Z"/>
          <w:b/>
          <w:bCs/>
          <w:sz w:val="22"/>
          <w:szCs w:val="22"/>
          <w:rPrChange w:id="12923" w:author="AbbVie14" w:date="2025-09-08T15:01:00Z">
            <w:rPr>
              <w:sz w:val="22"/>
              <w:szCs w:val="22"/>
            </w:rPr>
          </w:rPrChange>
        </w:rPr>
      </w:pPr>
      <w:del w:id="12924" w:author="AbbVie14" w:date="2025-05-09T10:36:00Z">
        <w:r w:rsidRPr="00363FE8">
          <w:rPr>
            <w:b/>
            <w:bCs/>
            <w:sz w:val="22"/>
            <w:szCs w:val="22"/>
            <w:rPrChange w:id="12925" w:author="AbbVie14" w:date="2025-09-08T15:01:00Z">
              <w:rPr>
                <w:sz w:val="22"/>
                <w:szCs w:val="22"/>
              </w:rPr>
            </w:rPrChange>
          </w:rPr>
          <w:delText xml:space="preserve">1 penna pre-riempita (0,8 ml soluzione sterile), con 2 tamponi imbevuti di alcol in un blister. </w:delText>
        </w:r>
      </w:del>
    </w:p>
    <w:p w:rsidR="006224C2" w:rsidRPr="00363FE8" w:rsidP="00AD7AF0" w14:paraId="0D7AB1FE" w14:textId="77777777">
      <w:pPr>
        <w:numPr>
          <w:ilvl w:val="0"/>
          <w:numId w:val="113"/>
        </w:numPr>
        <w:suppressAutoHyphens/>
        <w:rPr>
          <w:del w:id="12926" w:author="AbbVie14" w:date="2025-05-09T10:36:00Z"/>
          <w:b/>
          <w:bCs/>
          <w:sz w:val="22"/>
          <w:szCs w:val="22"/>
          <w:rPrChange w:id="12927" w:author="AbbVie14" w:date="2025-09-08T15:01:00Z">
            <w:rPr>
              <w:sz w:val="22"/>
              <w:szCs w:val="22"/>
            </w:rPr>
          </w:rPrChange>
        </w:rPr>
      </w:pPr>
      <w:del w:id="12928" w:author="AbbVie14" w:date="2025-05-09T10:36:00Z">
        <w:r w:rsidRPr="00363FE8">
          <w:rPr>
            <w:b/>
            <w:bCs/>
            <w:sz w:val="22"/>
            <w:szCs w:val="22"/>
            <w:rPrChange w:id="12929" w:author="AbbVie14" w:date="2025-09-08T15:01:00Z">
              <w:rPr>
                <w:sz w:val="22"/>
                <w:szCs w:val="22"/>
              </w:rPr>
            </w:rPrChange>
          </w:rPr>
          <w:delText xml:space="preserve">2 penne pre-riempite (0,8 ml soluzione sterile), ciascuna con 1 tampone imbevuto di alcol, in un blister. </w:delText>
        </w:r>
      </w:del>
    </w:p>
    <w:p w:rsidR="006224C2" w:rsidRPr="00363FE8" w:rsidP="00AD7AF0" w14:paraId="370B1F70" w14:textId="77777777">
      <w:pPr>
        <w:numPr>
          <w:ilvl w:val="0"/>
          <w:numId w:val="113"/>
        </w:numPr>
        <w:suppressAutoHyphens/>
        <w:rPr>
          <w:del w:id="12930" w:author="AbbVie14" w:date="2025-05-09T10:36:00Z"/>
          <w:b/>
          <w:bCs/>
          <w:sz w:val="22"/>
          <w:szCs w:val="22"/>
          <w:rPrChange w:id="12931" w:author="AbbVie14" w:date="2025-09-08T15:01:00Z">
            <w:rPr>
              <w:sz w:val="22"/>
              <w:szCs w:val="22"/>
            </w:rPr>
          </w:rPrChange>
        </w:rPr>
      </w:pPr>
      <w:del w:id="12932" w:author="AbbVie14" w:date="2025-05-09T10:36:00Z">
        <w:r w:rsidRPr="00363FE8">
          <w:rPr>
            <w:b/>
            <w:bCs/>
            <w:sz w:val="22"/>
            <w:szCs w:val="22"/>
            <w:rPrChange w:id="12933" w:author="AbbVie14" w:date="2025-09-08T15:01:00Z">
              <w:rPr>
                <w:sz w:val="22"/>
                <w:szCs w:val="22"/>
              </w:rPr>
            </w:rPrChange>
          </w:rPr>
          <w:delText xml:space="preserve">4 penne pre-riempite (0,8 ml soluzione sterile), ciascuna con 1 tampone imbevuto di alcol, in un blister. </w:delText>
        </w:r>
      </w:del>
    </w:p>
    <w:p w:rsidR="006224C2" w:rsidRPr="00363FE8" w:rsidP="00AD7AF0" w14:paraId="40C1CE13" w14:textId="77777777">
      <w:pPr>
        <w:numPr>
          <w:ilvl w:val="0"/>
          <w:numId w:val="113"/>
        </w:numPr>
        <w:suppressAutoHyphens/>
        <w:rPr>
          <w:del w:id="12934" w:author="AbbVie14" w:date="2025-05-09T10:36:00Z"/>
          <w:b/>
          <w:bCs/>
          <w:i/>
          <w:iCs/>
          <w:sz w:val="22"/>
          <w:szCs w:val="22"/>
        </w:rPr>
      </w:pPr>
      <w:del w:id="12935" w:author="AbbVie14" w:date="2025-05-09T10:36:00Z">
        <w:r w:rsidRPr="00363FE8">
          <w:rPr>
            <w:b/>
            <w:bCs/>
            <w:sz w:val="22"/>
            <w:szCs w:val="22"/>
            <w:rPrChange w:id="12936" w:author="AbbVie14" w:date="2025-09-08T15:01:00Z">
              <w:rPr>
                <w:sz w:val="22"/>
                <w:szCs w:val="22"/>
              </w:rPr>
            </w:rPrChange>
          </w:rPr>
          <w:delText>6 penne pre-riempite (0,8 ml soluzione sterile), ciascuna con 1 tampone imbevuto di alcol , in un blister.</w:delText>
        </w:r>
      </w:del>
    </w:p>
    <w:p w:rsidR="006224C2" w:rsidRPr="00363FE8" w:rsidP="00AD7AF0" w14:paraId="660B8631" w14:textId="77777777">
      <w:pPr>
        <w:rPr>
          <w:del w:id="12937" w:author="AbbVie14" w:date="2025-05-09T10:36:00Z"/>
          <w:b/>
          <w:bCs/>
          <w:sz w:val="22"/>
          <w:szCs w:val="22"/>
          <w:rPrChange w:id="12938" w:author="AbbVie14" w:date="2025-09-08T15:01:00Z">
            <w:rPr>
              <w:sz w:val="22"/>
              <w:szCs w:val="22"/>
            </w:rPr>
          </w:rPrChange>
        </w:rPr>
      </w:pPr>
    </w:p>
    <w:p w:rsidR="006224C2" w:rsidRPr="00363FE8" w:rsidP="00AD7AF0" w14:paraId="6327F717" w14:textId="77777777">
      <w:pPr>
        <w:tabs>
          <w:tab w:val="left" w:pos="567"/>
        </w:tabs>
        <w:jc w:val="both"/>
        <w:rPr>
          <w:del w:id="12939" w:author="AbbVie14" w:date="2025-05-09T10:36:00Z"/>
          <w:b/>
          <w:bCs/>
          <w:sz w:val="22"/>
          <w:szCs w:val="22"/>
          <w:rPrChange w:id="12940" w:author="AbbVie14" w:date="2025-09-08T15:01:00Z">
            <w:rPr>
              <w:sz w:val="22"/>
              <w:szCs w:val="22"/>
            </w:rPr>
          </w:rPrChange>
        </w:rPr>
      </w:pPr>
      <w:del w:id="12941" w:author="AbbVie14" w:date="2025-05-09T10:36:00Z">
        <w:r w:rsidRPr="00363FE8">
          <w:rPr>
            <w:b/>
            <w:bCs/>
            <w:sz w:val="22"/>
            <w:szCs w:val="22"/>
            <w:rPrChange w:id="12942" w:author="AbbVie14" w:date="2025-09-08T15:01:00Z">
              <w:rPr>
                <w:sz w:val="22"/>
                <w:szCs w:val="22"/>
              </w:rPr>
            </w:rPrChange>
          </w:rPr>
          <w:delText>È possibile che non tutte le confezioni siano commercializzate.</w:delText>
        </w:r>
      </w:del>
    </w:p>
    <w:p w:rsidR="006224C2" w:rsidRPr="00363FE8" w:rsidP="00AD7AF0" w14:paraId="0F3F1FC6" w14:textId="77777777">
      <w:pPr>
        <w:tabs>
          <w:tab w:val="left" w:pos="567"/>
        </w:tabs>
        <w:jc w:val="both"/>
        <w:rPr>
          <w:del w:id="12943" w:author="AbbVie14" w:date="2025-05-09T10:36:00Z"/>
          <w:b/>
          <w:bCs/>
          <w:sz w:val="22"/>
          <w:szCs w:val="22"/>
          <w:rPrChange w:id="12944" w:author="AbbVie14" w:date="2025-09-08T15:01:00Z">
            <w:rPr>
              <w:sz w:val="22"/>
              <w:szCs w:val="22"/>
            </w:rPr>
          </w:rPrChange>
        </w:rPr>
      </w:pPr>
    </w:p>
    <w:p w:rsidR="006224C2" w:rsidRPr="00363FE8" w:rsidP="00AD7AF0" w14:paraId="03B2B06C" w14:textId="77777777">
      <w:pPr>
        <w:keepNext/>
        <w:tabs>
          <w:tab w:val="left" w:pos="567"/>
        </w:tabs>
        <w:ind w:left="567" w:hanging="567"/>
        <w:jc w:val="both"/>
        <w:rPr>
          <w:del w:id="12945" w:author="AbbVie14" w:date="2025-05-09T10:36:00Z"/>
          <w:b/>
          <w:bCs/>
          <w:sz w:val="22"/>
          <w:szCs w:val="22"/>
        </w:rPr>
      </w:pPr>
      <w:del w:id="12946" w:author="AbbVie14" w:date="2025-05-09T10:36:00Z">
        <w:r w:rsidRPr="00363FE8">
          <w:rPr>
            <w:b/>
            <w:bCs/>
            <w:sz w:val="22"/>
            <w:szCs w:val="22"/>
          </w:rPr>
          <w:delText>6.6</w:delText>
        </w:r>
      </w:del>
      <w:del w:id="12947" w:author="AbbVie14" w:date="2025-05-09T10:36:00Z">
        <w:r w:rsidRPr="00363FE8">
          <w:rPr>
            <w:b/>
            <w:bCs/>
            <w:sz w:val="22"/>
            <w:szCs w:val="22"/>
          </w:rPr>
          <w:tab/>
          <w:delText>Precauzioni particolari per lo smaltimento</w:delText>
        </w:r>
      </w:del>
    </w:p>
    <w:p w:rsidR="006224C2" w:rsidRPr="00363FE8" w:rsidP="00AD7AF0" w14:paraId="7926C944" w14:textId="77777777">
      <w:pPr>
        <w:keepNext/>
        <w:tabs>
          <w:tab w:val="left" w:pos="567"/>
        </w:tabs>
        <w:jc w:val="both"/>
        <w:rPr>
          <w:del w:id="12948" w:author="AbbVie14" w:date="2025-05-09T10:36:00Z"/>
          <w:b/>
          <w:bCs/>
          <w:sz w:val="22"/>
          <w:szCs w:val="22"/>
          <w:rPrChange w:id="12949" w:author="AbbVie14" w:date="2025-09-08T15:01:00Z">
            <w:rPr>
              <w:sz w:val="22"/>
              <w:szCs w:val="22"/>
            </w:rPr>
          </w:rPrChange>
        </w:rPr>
      </w:pPr>
    </w:p>
    <w:p w:rsidR="006224C2" w:rsidRPr="00363FE8" w:rsidP="00AD7AF0" w14:paraId="60043215" w14:textId="77777777">
      <w:pPr>
        <w:keepNext/>
        <w:tabs>
          <w:tab w:val="left" w:pos="567"/>
        </w:tabs>
        <w:jc w:val="both"/>
        <w:rPr>
          <w:del w:id="12950" w:author="AbbVie14" w:date="2025-05-09T10:36:00Z"/>
          <w:b/>
          <w:bCs/>
          <w:sz w:val="22"/>
          <w:szCs w:val="22"/>
          <w:rPrChange w:id="12951" w:author="AbbVie14" w:date="2025-09-08T15:01:00Z">
            <w:rPr>
              <w:sz w:val="22"/>
              <w:szCs w:val="22"/>
            </w:rPr>
          </w:rPrChange>
        </w:rPr>
      </w:pPr>
      <w:del w:id="12952" w:author="AbbVie14" w:date="2025-05-09T10:36:00Z">
        <w:r w:rsidRPr="00363FE8">
          <w:rPr>
            <w:b/>
            <w:bCs/>
            <w:sz w:val="22"/>
            <w:szCs w:val="22"/>
            <w:rPrChange w:id="12953" w:author="AbbVie14" w:date="2025-09-08T15:01:00Z">
              <w:rPr>
                <w:sz w:val="22"/>
                <w:szCs w:val="22"/>
              </w:rPr>
            </w:rPrChange>
          </w:rPr>
          <w:delText>Il medicinale non utilizzato e i rifiuti derivati da tale medicinale devono essere smaltiti in conformità alla normativa locale vigente.</w:delText>
        </w:r>
      </w:del>
    </w:p>
    <w:p w:rsidR="006224C2" w:rsidRPr="00363FE8" w:rsidP="00AD7AF0" w14:paraId="1C023D8D" w14:textId="77777777">
      <w:pPr>
        <w:keepNext/>
        <w:tabs>
          <w:tab w:val="left" w:pos="567"/>
        </w:tabs>
        <w:jc w:val="both"/>
        <w:rPr>
          <w:del w:id="12954" w:author="AbbVie14" w:date="2025-05-09T10:36:00Z"/>
          <w:b/>
          <w:bCs/>
          <w:sz w:val="22"/>
          <w:szCs w:val="22"/>
          <w:rPrChange w:id="12955" w:author="AbbVie14" w:date="2025-09-08T15:01:00Z">
            <w:rPr>
              <w:sz w:val="22"/>
              <w:szCs w:val="22"/>
            </w:rPr>
          </w:rPrChange>
        </w:rPr>
      </w:pPr>
    </w:p>
    <w:p w:rsidR="006224C2" w:rsidRPr="00363FE8" w:rsidP="00AD7AF0" w14:paraId="1D000F9C" w14:textId="77777777">
      <w:pPr>
        <w:rPr>
          <w:del w:id="12956" w:author="AbbVie14" w:date="2025-05-09T10:36:00Z"/>
          <w:b/>
          <w:bCs/>
          <w:sz w:val="22"/>
          <w:szCs w:val="22"/>
          <w:rPrChange w:id="12957" w:author="AbbVie14" w:date="2025-09-08T15:01:00Z">
            <w:rPr>
              <w:bCs/>
              <w:sz w:val="22"/>
              <w:szCs w:val="22"/>
            </w:rPr>
          </w:rPrChange>
        </w:rPr>
      </w:pPr>
    </w:p>
    <w:p w:rsidR="006224C2" w:rsidRPr="00363FE8" w:rsidP="00AD7AF0" w14:paraId="26638ECB" w14:textId="77777777">
      <w:pPr>
        <w:keepNext/>
        <w:keepLines/>
        <w:rPr>
          <w:del w:id="12958" w:author="AbbVie14" w:date="2025-05-09T10:36:00Z"/>
          <w:b/>
          <w:bCs/>
          <w:sz w:val="22"/>
          <w:szCs w:val="22"/>
        </w:rPr>
      </w:pPr>
      <w:del w:id="12959" w:author="AbbVie14" w:date="2025-05-09T10:36:00Z">
        <w:r w:rsidRPr="00363FE8">
          <w:rPr>
            <w:b/>
            <w:bCs/>
            <w:sz w:val="22"/>
            <w:szCs w:val="22"/>
          </w:rPr>
          <w:delText>7.</w:delText>
        </w:r>
      </w:del>
      <w:del w:id="12960" w:author="AbbVie14" w:date="2025-05-09T10:36:00Z">
        <w:r w:rsidRPr="00363FE8">
          <w:rPr>
            <w:b/>
            <w:bCs/>
            <w:sz w:val="22"/>
            <w:szCs w:val="22"/>
          </w:rPr>
          <w:tab/>
          <w:delText xml:space="preserve">TITOLARE DELL’AUTORIZZAZIONE ALL’IMMISSIONE IN COMMERCIO </w:delText>
        </w:r>
      </w:del>
    </w:p>
    <w:p w:rsidR="006224C2" w:rsidRPr="00363FE8" w:rsidP="00AD7AF0" w14:paraId="5469C149" w14:textId="77777777">
      <w:pPr>
        <w:keepNext/>
        <w:keepLines/>
        <w:tabs>
          <w:tab w:val="left" w:pos="567"/>
        </w:tabs>
        <w:jc w:val="both"/>
        <w:rPr>
          <w:del w:id="12961" w:author="AbbVie14" w:date="2025-05-09T10:36:00Z"/>
          <w:b/>
          <w:bCs/>
          <w:sz w:val="22"/>
          <w:szCs w:val="22"/>
          <w:rPrChange w:id="12962" w:author="AbbVie14" w:date="2025-09-08T15:01:00Z">
            <w:rPr>
              <w:sz w:val="22"/>
              <w:szCs w:val="22"/>
            </w:rPr>
          </w:rPrChange>
        </w:rPr>
      </w:pPr>
    </w:p>
    <w:p w:rsidR="000C6748" w:rsidRPr="00363FE8" w:rsidP="00AD7AF0" w14:paraId="7828E88E" w14:textId="77777777">
      <w:pPr>
        <w:keepNext/>
        <w:keepLines/>
        <w:tabs>
          <w:tab w:val="left" w:pos="567"/>
        </w:tabs>
        <w:jc w:val="both"/>
        <w:rPr>
          <w:del w:id="12963" w:author="AbbVie14" w:date="2025-05-09T10:36:00Z"/>
          <w:b/>
          <w:bCs/>
          <w:sz w:val="22"/>
          <w:szCs w:val="22"/>
          <w:rPrChange w:id="12964" w:author="AbbVie14" w:date="2025-09-08T15:01:00Z">
            <w:rPr>
              <w:sz w:val="22"/>
              <w:szCs w:val="22"/>
            </w:rPr>
          </w:rPrChange>
        </w:rPr>
      </w:pPr>
      <w:del w:id="12965" w:author="AbbVie14" w:date="2025-05-09T10:36:00Z">
        <w:r w:rsidRPr="00363FE8">
          <w:rPr>
            <w:b/>
            <w:bCs/>
            <w:sz w:val="22"/>
            <w:szCs w:val="22"/>
            <w:rPrChange w:id="12966" w:author="AbbVie14" w:date="2025-09-08T15:01:00Z">
              <w:rPr>
                <w:sz w:val="22"/>
                <w:szCs w:val="22"/>
              </w:rPr>
            </w:rPrChange>
          </w:rPr>
          <w:delText>AbbVie Deutschland GmbH &amp; Co. KG</w:delText>
        </w:r>
      </w:del>
    </w:p>
    <w:p w:rsidR="000C6748" w:rsidRPr="00363FE8" w:rsidP="00AD7AF0" w14:paraId="546E8406" w14:textId="77777777">
      <w:pPr>
        <w:keepNext/>
        <w:keepLines/>
        <w:tabs>
          <w:tab w:val="left" w:pos="567"/>
        </w:tabs>
        <w:jc w:val="both"/>
        <w:rPr>
          <w:del w:id="12967" w:author="AbbVie14" w:date="2025-05-09T10:36:00Z"/>
          <w:b/>
          <w:bCs/>
          <w:sz w:val="22"/>
          <w:szCs w:val="22"/>
          <w:rPrChange w:id="12968" w:author="AbbVie14" w:date="2025-09-08T15:01:00Z">
            <w:rPr>
              <w:sz w:val="22"/>
              <w:szCs w:val="22"/>
            </w:rPr>
          </w:rPrChange>
        </w:rPr>
      </w:pPr>
      <w:del w:id="12969" w:author="AbbVie14" w:date="2025-05-09T10:36:00Z">
        <w:r w:rsidRPr="00363FE8">
          <w:rPr>
            <w:b/>
            <w:bCs/>
            <w:sz w:val="22"/>
            <w:szCs w:val="22"/>
            <w:rPrChange w:id="12970" w:author="AbbVie14" w:date="2025-09-08T15:01:00Z">
              <w:rPr>
                <w:sz w:val="22"/>
                <w:szCs w:val="22"/>
              </w:rPr>
            </w:rPrChange>
          </w:rPr>
          <w:delText>Knollstrasse</w:delText>
        </w:r>
      </w:del>
    </w:p>
    <w:p w:rsidR="000C6748" w:rsidRPr="00363FE8" w:rsidP="00AD7AF0" w14:paraId="2ECBBE83" w14:textId="77777777">
      <w:pPr>
        <w:keepNext/>
        <w:keepLines/>
        <w:tabs>
          <w:tab w:val="left" w:pos="567"/>
        </w:tabs>
        <w:jc w:val="both"/>
        <w:rPr>
          <w:del w:id="12971" w:author="AbbVie14" w:date="2025-05-09T10:36:00Z"/>
          <w:b/>
          <w:bCs/>
          <w:sz w:val="22"/>
          <w:szCs w:val="22"/>
          <w:rPrChange w:id="12972" w:author="AbbVie14" w:date="2025-09-08T15:01:00Z">
            <w:rPr>
              <w:sz w:val="22"/>
              <w:szCs w:val="22"/>
            </w:rPr>
          </w:rPrChange>
        </w:rPr>
      </w:pPr>
      <w:del w:id="12973" w:author="AbbVie14" w:date="2025-05-09T10:36:00Z">
        <w:r w:rsidRPr="00363FE8">
          <w:rPr>
            <w:b/>
            <w:bCs/>
            <w:sz w:val="22"/>
            <w:szCs w:val="22"/>
            <w:rPrChange w:id="12974" w:author="AbbVie14" w:date="2025-09-08T15:01:00Z">
              <w:rPr>
                <w:sz w:val="22"/>
                <w:szCs w:val="22"/>
              </w:rPr>
            </w:rPrChange>
          </w:rPr>
          <w:delText>67061 Ludwigshafen</w:delText>
        </w:r>
      </w:del>
    </w:p>
    <w:p w:rsidR="000C6748" w:rsidRPr="00363FE8" w:rsidP="00AD7AF0" w14:paraId="59586362" w14:textId="77777777">
      <w:pPr>
        <w:keepNext/>
        <w:keepLines/>
        <w:tabs>
          <w:tab w:val="left" w:pos="567"/>
        </w:tabs>
        <w:jc w:val="both"/>
        <w:rPr>
          <w:del w:id="12975" w:author="AbbVie14" w:date="2025-05-09T10:36:00Z"/>
          <w:b/>
          <w:bCs/>
          <w:sz w:val="22"/>
          <w:szCs w:val="22"/>
          <w:rPrChange w:id="12976" w:author="AbbVie14" w:date="2025-09-08T15:01:00Z">
            <w:rPr>
              <w:sz w:val="22"/>
              <w:szCs w:val="22"/>
            </w:rPr>
          </w:rPrChange>
        </w:rPr>
      </w:pPr>
      <w:del w:id="12977" w:author="AbbVie14" w:date="2025-05-09T10:36:00Z">
        <w:r w:rsidRPr="00363FE8">
          <w:rPr>
            <w:b/>
            <w:bCs/>
            <w:sz w:val="22"/>
            <w:szCs w:val="22"/>
            <w:rPrChange w:id="12978" w:author="AbbVie14" w:date="2025-09-08T15:01:00Z">
              <w:rPr>
                <w:sz w:val="22"/>
                <w:szCs w:val="22"/>
              </w:rPr>
            </w:rPrChange>
          </w:rPr>
          <w:delText>Germania</w:delText>
        </w:r>
      </w:del>
    </w:p>
    <w:p w:rsidR="006224C2" w:rsidRPr="00363FE8" w:rsidP="00AD7AF0" w14:paraId="2EE97E7E" w14:textId="77777777">
      <w:pPr>
        <w:tabs>
          <w:tab w:val="left" w:pos="567"/>
        </w:tabs>
        <w:jc w:val="both"/>
        <w:rPr>
          <w:del w:id="12979" w:author="AbbVie14" w:date="2025-05-09T10:36:00Z"/>
          <w:b/>
          <w:bCs/>
          <w:sz w:val="22"/>
          <w:szCs w:val="22"/>
          <w:rPrChange w:id="12980" w:author="AbbVie14" w:date="2025-09-08T15:01:00Z">
            <w:rPr>
              <w:sz w:val="22"/>
              <w:szCs w:val="22"/>
            </w:rPr>
          </w:rPrChange>
        </w:rPr>
      </w:pPr>
    </w:p>
    <w:p w:rsidR="006224C2" w:rsidRPr="00363FE8" w:rsidP="00AD7AF0" w14:paraId="4EA68416" w14:textId="77777777">
      <w:pPr>
        <w:tabs>
          <w:tab w:val="left" w:pos="567"/>
        </w:tabs>
        <w:jc w:val="both"/>
        <w:rPr>
          <w:del w:id="12981" w:author="AbbVie14" w:date="2025-05-09T10:36:00Z"/>
          <w:b/>
          <w:bCs/>
          <w:sz w:val="22"/>
          <w:szCs w:val="22"/>
          <w:rPrChange w:id="12982" w:author="AbbVie14" w:date="2025-09-08T15:01:00Z">
            <w:rPr>
              <w:bCs/>
              <w:sz w:val="22"/>
              <w:szCs w:val="22"/>
            </w:rPr>
          </w:rPrChange>
        </w:rPr>
      </w:pPr>
    </w:p>
    <w:p w:rsidR="006224C2" w:rsidRPr="00363FE8" w:rsidP="00AD7AF0" w14:paraId="65261170" w14:textId="77777777">
      <w:pPr>
        <w:keepNext/>
        <w:keepLines/>
        <w:tabs>
          <w:tab w:val="left" w:pos="567"/>
        </w:tabs>
        <w:jc w:val="both"/>
        <w:rPr>
          <w:del w:id="12983" w:author="AbbVie14" w:date="2025-05-09T10:36:00Z"/>
          <w:b/>
          <w:bCs/>
          <w:sz w:val="22"/>
          <w:szCs w:val="22"/>
        </w:rPr>
      </w:pPr>
      <w:del w:id="12984" w:author="AbbVie14" w:date="2025-05-09T10:36:00Z">
        <w:r w:rsidRPr="00363FE8">
          <w:rPr>
            <w:b/>
            <w:bCs/>
            <w:sz w:val="22"/>
            <w:szCs w:val="22"/>
          </w:rPr>
          <w:delText>8.</w:delText>
        </w:r>
      </w:del>
      <w:del w:id="12985" w:author="AbbVie14" w:date="2025-05-09T10:36:00Z">
        <w:r w:rsidRPr="00363FE8">
          <w:rPr>
            <w:b/>
            <w:bCs/>
            <w:sz w:val="22"/>
            <w:szCs w:val="22"/>
          </w:rPr>
          <w:tab/>
          <w:delText>NUMER</w:delText>
        </w:r>
      </w:del>
      <w:del w:id="12986" w:author="AbbVie14" w:date="2025-05-09T10:36:00Z">
        <w:r w:rsidRPr="00363FE8" w:rsidR="00C260B6">
          <w:rPr>
            <w:b/>
            <w:bCs/>
            <w:sz w:val="22"/>
            <w:szCs w:val="22"/>
          </w:rPr>
          <w:delText>O(</w:delText>
        </w:r>
      </w:del>
      <w:del w:id="12987" w:author="AbbVie14" w:date="2025-05-09T10:36:00Z">
        <w:r w:rsidRPr="00363FE8">
          <w:rPr>
            <w:b/>
            <w:bCs/>
            <w:sz w:val="22"/>
            <w:szCs w:val="22"/>
          </w:rPr>
          <w:delText>I</w:delText>
        </w:r>
      </w:del>
      <w:del w:id="12988" w:author="AbbVie14" w:date="2025-05-09T10:36:00Z">
        <w:r w:rsidRPr="00363FE8" w:rsidR="00C260B6">
          <w:rPr>
            <w:b/>
            <w:bCs/>
            <w:sz w:val="22"/>
            <w:szCs w:val="22"/>
          </w:rPr>
          <w:delText>)</w:delText>
        </w:r>
      </w:del>
      <w:del w:id="12989" w:author="AbbVie14" w:date="2025-05-09T10:36:00Z">
        <w:r w:rsidRPr="00363FE8">
          <w:rPr>
            <w:b/>
            <w:bCs/>
            <w:sz w:val="22"/>
            <w:szCs w:val="22"/>
          </w:rPr>
          <w:delText xml:space="preserve"> DELL’AUTORIZZAZIONE ALL’IMMISSIONE IN COMMERCIO</w:delText>
        </w:r>
      </w:del>
    </w:p>
    <w:p w:rsidR="006224C2" w:rsidRPr="00363FE8" w:rsidP="00AD7AF0" w14:paraId="0077E08A" w14:textId="77777777">
      <w:pPr>
        <w:keepNext/>
        <w:keepLines/>
        <w:rPr>
          <w:del w:id="12990" w:author="AbbVie14" w:date="2025-05-09T10:36:00Z"/>
          <w:b/>
          <w:bCs/>
          <w:sz w:val="22"/>
          <w:szCs w:val="22"/>
          <w:u w:val="single"/>
          <w:rPrChange w:id="12991" w:author="AbbVie14" w:date="2025-09-08T15:01:00Z">
            <w:rPr>
              <w:sz w:val="22"/>
              <w:szCs w:val="22"/>
              <w:u w:val="single"/>
            </w:rPr>
          </w:rPrChange>
        </w:rPr>
      </w:pPr>
    </w:p>
    <w:p w:rsidR="006224C2" w:rsidRPr="00363FE8" w:rsidP="00AD7AF0" w14:paraId="11EDC25C" w14:textId="77777777">
      <w:pPr>
        <w:keepNext/>
        <w:keepLines/>
        <w:tabs>
          <w:tab w:val="left" w:pos="567"/>
        </w:tabs>
        <w:jc w:val="both"/>
        <w:rPr>
          <w:del w:id="12992" w:author="AbbVie14" w:date="2025-05-09T10:36:00Z"/>
          <w:b/>
          <w:bCs/>
          <w:sz w:val="22"/>
          <w:szCs w:val="22"/>
          <w:u w:val="single"/>
          <w:rPrChange w:id="12993" w:author="AbbVie14" w:date="2025-09-08T15:01:00Z">
            <w:rPr>
              <w:sz w:val="22"/>
              <w:szCs w:val="22"/>
              <w:u w:val="single"/>
            </w:rPr>
          </w:rPrChange>
        </w:rPr>
      </w:pPr>
      <w:del w:id="12994" w:author="AbbVie14" w:date="2025-05-09T10:36:00Z">
        <w:r w:rsidRPr="00363FE8">
          <w:rPr>
            <w:b/>
            <w:bCs/>
            <w:sz w:val="22"/>
            <w:szCs w:val="22"/>
            <w:u w:val="single"/>
            <w:rPrChange w:id="12995" w:author="AbbVie14" w:date="2025-09-08T15:01:00Z">
              <w:rPr>
                <w:sz w:val="22"/>
                <w:szCs w:val="22"/>
                <w:u w:val="single"/>
              </w:rPr>
            </w:rPrChange>
          </w:rPr>
          <w:delText>Humira 40 mg soluzione iniettabile in siringa pre-riempita</w:delText>
        </w:r>
      </w:del>
    </w:p>
    <w:p w:rsidR="006224C2" w:rsidRPr="00363FE8" w:rsidP="00AD7AF0" w14:paraId="69460E0D" w14:textId="77777777">
      <w:pPr>
        <w:keepNext/>
        <w:keepLines/>
        <w:tabs>
          <w:tab w:val="left" w:pos="567"/>
        </w:tabs>
        <w:jc w:val="both"/>
        <w:rPr>
          <w:del w:id="12996" w:author="AbbVie14" w:date="2025-05-09T10:36:00Z"/>
          <w:b/>
          <w:bCs/>
          <w:sz w:val="22"/>
          <w:szCs w:val="22"/>
        </w:rPr>
      </w:pPr>
    </w:p>
    <w:p w:rsidR="006224C2" w:rsidRPr="00363FE8" w:rsidP="00AD7AF0" w14:paraId="3F95EAC4" w14:textId="77777777">
      <w:pPr>
        <w:keepNext/>
        <w:keepLines/>
        <w:tabs>
          <w:tab w:val="left" w:pos="567"/>
        </w:tabs>
        <w:jc w:val="both"/>
        <w:rPr>
          <w:del w:id="12997" w:author="AbbVie14" w:date="2025-05-09T10:36:00Z"/>
          <w:b/>
          <w:bCs/>
          <w:sz w:val="22"/>
          <w:szCs w:val="22"/>
          <w:rPrChange w:id="12998" w:author="AbbVie14" w:date="2025-09-08T15:01:00Z">
            <w:rPr>
              <w:sz w:val="22"/>
              <w:szCs w:val="22"/>
            </w:rPr>
          </w:rPrChange>
        </w:rPr>
      </w:pPr>
      <w:del w:id="12999" w:author="AbbVie14" w:date="2025-05-09T10:36:00Z">
        <w:r w:rsidRPr="00363FE8">
          <w:rPr>
            <w:b/>
            <w:bCs/>
            <w:sz w:val="22"/>
            <w:szCs w:val="22"/>
            <w:rPrChange w:id="13000" w:author="AbbVie14" w:date="2025-09-08T15:01:00Z">
              <w:rPr>
                <w:sz w:val="22"/>
                <w:szCs w:val="22"/>
              </w:rPr>
            </w:rPrChange>
          </w:rPr>
          <w:delText>EU/1/03/256/002</w:delText>
        </w:r>
      </w:del>
    </w:p>
    <w:p w:rsidR="006224C2" w:rsidRPr="00363FE8" w:rsidP="00AD7AF0" w14:paraId="755C41DC" w14:textId="77777777">
      <w:pPr>
        <w:keepNext/>
        <w:keepLines/>
        <w:tabs>
          <w:tab w:val="left" w:pos="567"/>
        </w:tabs>
        <w:jc w:val="both"/>
        <w:rPr>
          <w:del w:id="13001" w:author="AbbVie14" w:date="2025-05-09T10:36:00Z"/>
          <w:b/>
          <w:bCs/>
          <w:sz w:val="22"/>
          <w:szCs w:val="22"/>
          <w:rPrChange w:id="13002" w:author="AbbVie14" w:date="2025-09-08T15:01:00Z">
            <w:rPr>
              <w:sz w:val="22"/>
              <w:szCs w:val="22"/>
            </w:rPr>
          </w:rPrChange>
        </w:rPr>
      </w:pPr>
      <w:del w:id="13003" w:author="AbbVie14" w:date="2025-05-09T10:36:00Z">
        <w:r w:rsidRPr="00363FE8">
          <w:rPr>
            <w:b/>
            <w:bCs/>
            <w:sz w:val="22"/>
            <w:szCs w:val="22"/>
            <w:rPrChange w:id="13004" w:author="AbbVie14" w:date="2025-09-08T15:01:00Z">
              <w:rPr>
                <w:sz w:val="22"/>
                <w:szCs w:val="22"/>
              </w:rPr>
            </w:rPrChange>
          </w:rPr>
          <w:delText>EU/1/03/256/003</w:delText>
        </w:r>
      </w:del>
    </w:p>
    <w:p w:rsidR="006224C2" w:rsidRPr="00363FE8" w:rsidP="00AD7AF0" w14:paraId="6F577AE6" w14:textId="77777777">
      <w:pPr>
        <w:keepNext/>
        <w:keepLines/>
        <w:tabs>
          <w:tab w:val="left" w:pos="567"/>
        </w:tabs>
        <w:jc w:val="both"/>
        <w:rPr>
          <w:del w:id="13005" w:author="AbbVie14" w:date="2025-05-09T10:36:00Z"/>
          <w:b/>
          <w:bCs/>
          <w:sz w:val="22"/>
          <w:szCs w:val="22"/>
          <w:rPrChange w:id="13006" w:author="AbbVie14" w:date="2025-09-08T15:01:00Z">
            <w:rPr>
              <w:sz w:val="22"/>
              <w:szCs w:val="22"/>
            </w:rPr>
          </w:rPrChange>
        </w:rPr>
      </w:pPr>
      <w:del w:id="13007" w:author="AbbVie14" w:date="2025-05-09T10:36:00Z">
        <w:r w:rsidRPr="00363FE8">
          <w:rPr>
            <w:b/>
            <w:bCs/>
            <w:sz w:val="22"/>
            <w:szCs w:val="22"/>
            <w:rPrChange w:id="13008" w:author="AbbVie14" w:date="2025-09-08T15:01:00Z">
              <w:rPr>
                <w:sz w:val="22"/>
                <w:szCs w:val="22"/>
              </w:rPr>
            </w:rPrChange>
          </w:rPr>
          <w:delText>EU/1/03/256/004</w:delText>
        </w:r>
      </w:del>
    </w:p>
    <w:p w:rsidR="006224C2" w:rsidRPr="00363FE8" w:rsidP="00AD7AF0" w14:paraId="0A12ABA4" w14:textId="77777777">
      <w:pPr>
        <w:keepNext/>
        <w:keepLines/>
        <w:tabs>
          <w:tab w:val="left" w:pos="567"/>
        </w:tabs>
        <w:jc w:val="both"/>
        <w:rPr>
          <w:del w:id="13009" w:author="AbbVie14" w:date="2025-05-09T10:36:00Z"/>
          <w:b/>
          <w:bCs/>
          <w:sz w:val="22"/>
          <w:szCs w:val="22"/>
          <w:rPrChange w:id="13010" w:author="AbbVie14" w:date="2025-09-08T15:01:00Z">
            <w:rPr>
              <w:sz w:val="22"/>
              <w:szCs w:val="22"/>
            </w:rPr>
          </w:rPrChange>
        </w:rPr>
      </w:pPr>
      <w:del w:id="13011" w:author="AbbVie14" w:date="2025-05-09T10:36:00Z">
        <w:r w:rsidRPr="00363FE8">
          <w:rPr>
            <w:b/>
            <w:bCs/>
            <w:sz w:val="22"/>
            <w:szCs w:val="22"/>
            <w:rPrChange w:id="13012" w:author="AbbVie14" w:date="2025-09-08T15:01:00Z">
              <w:rPr>
                <w:sz w:val="22"/>
                <w:szCs w:val="22"/>
              </w:rPr>
            </w:rPrChange>
          </w:rPr>
          <w:delText>EU/1/03/256/005</w:delText>
        </w:r>
      </w:del>
    </w:p>
    <w:p w:rsidR="006224C2" w:rsidRPr="00363FE8" w:rsidP="00AD7AF0" w14:paraId="094F5D37" w14:textId="77777777">
      <w:pPr>
        <w:pStyle w:val="EMEANormal"/>
        <w:rPr>
          <w:del w:id="13013" w:author="AbbVie14" w:date="2025-05-09T10:36:00Z"/>
          <w:b/>
          <w:bCs/>
          <w:lang w:val="it-IT"/>
          <w:rPrChange w:id="13014" w:author="AbbVie14" w:date="2025-09-08T15:01:00Z">
            <w:rPr>
              <w:lang w:val="it-IT"/>
            </w:rPr>
          </w:rPrChange>
        </w:rPr>
      </w:pPr>
    </w:p>
    <w:p w:rsidR="006224C2" w:rsidRPr="00363FE8" w:rsidP="00AD7AF0" w14:paraId="44B7C805" w14:textId="77777777">
      <w:pPr>
        <w:rPr>
          <w:del w:id="13015" w:author="AbbVie14" w:date="2025-05-09T10:36:00Z"/>
          <w:b/>
          <w:bCs/>
          <w:sz w:val="22"/>
          <w:szCs w:val="22"/>
          <w:u w:val="single"/>
          <w:rPrChange w:id="13016" w:author="AbbVie14" w:date="2025-09-08T15:01:00Z">
            <w:rPr>
              <w:sz w:val="22"/>
              <w:szCs w:val="22"/>
              <w:u w:val="single"/>
            </w:rPr>
          </w:rPrChange>
        </w:rPr>
      </w:pPr>
      <w:del w:id="13017" w:author="AbbVie14" w:date="2025-05-09T10:36:00Z">
        <w:r w:rsidRPr="00363FE8">
          <w:rPr>
            <w:b/>
            <w:bCs/>
            <w:sz w:val="22"/>
            <w:szCs w:val="22"/>
            <w:u w:val="single"/>
            <w:rPrChange w:id="13018" w:author="AbbVie14" w:date="2025-09-08T15:01:00Z">
              <w:rPr>
                <w:sz w:val="22"/>
                <w:szCs w:val="22"/>
                <w:u w:val="single"/>
              </w:rPr>
            </w:rPrChange>
          </w:rPr>
          <w:delText xml:space="preserve">Humira 40 mg soluzione iniettabile in siringa pre-riempita con dispositivo di sicurezza per l’ago </w:delText>
        </w:r>
      </w:del>
    </w:p>
    <w:p w:rsidR="006224C2" w:rsidRPr="00363FE8" w:rsidP="00AD7AF0" w14:paraId="598134C4" w14:textId="77777777">
      <w:pPr>
        <w:keepNext/>
        <w:rPr>
          <w:del w:id="13019" w:author="AbbVie14" w:date="2025-05-09T10:36:00Z"/>
          <w:b/>
          <w:bCs/>
          <w:sz w:val="22"/>
          <w:szCs w:val="22"/>
          <w:rPrChange w:id="13020" w:author="AbbVie14" w:date="2025-09-08T15:01:00Z">
            <w:rPr>
              <w:sz w:val="22"/>
              <w:szCs w:val="22"/>
            </w:rPr>
          </w:rPrChange>
        </w:rPr>
      </w:pPr>
      <w:del w:id="13021" w:author="AbbVie14" w:date="2025-05-09T10:36:00Z">
        <w:r w:rsidRPr="00363FE8">
          <w:rPr>
            <w:b/>
            <w:bCs/>
            <w:sz w:val="22"/>
            <w:szCs w:val="22"/>
            <w:rPrChange w:id="13022" w:author="AbbVie14" w:date="2025-09-08T15:01:00Z">
              <w:rPr>
                <w:sz w:val="22"/>
                <w:szCs w:val="22"/>
              </w:rPr>
            </w:rPrChange>
          </w:rPr>
          <w:delText>EU/1/03/256/006</w:delText>
        </w:r>
      </w:del>
    </w:p>
    <w:p w:rsidR="006224C2" w:rsidRPr="00363FE8" w:rsidP="00AD7AF0" w14:paraId="4CD231F2" w14:textId="77777777">
      <w:pPr>
        <w:pStyle w:val="EMEANormal"/>
        <w:rPr>
          <w:del w:id="13023" w:author="AbbVie14" w:date="2025-05-09T10:36:00Z"/>
          <w:b/>
          <w:bCs/>
          <w:lang w:val="it-IT"/>
          <w:rPrChange w:id="13024" w:author="AbbVie14" w:date="2025-09-08T15:01:00Z">
            <w:rPr>
              <w:lang w:val="it-IT"/>
            </w:rPr>
          </w:rPrChange>
        </w:rPr>
      </w:pPr>
    </w:p>
    <w:p w:rsidR="006224C2" w:rsidRPr="00363FE8" w:rsidP="00AD7AF0" w14:paraId="36D2FC96" w14:textId="77777777">
      <w:pPr>
        <w:pStyle w:val="EMEANormal"/>
        <w:rPr>
          <w:del w:id="13025" w:author="AbbVie14" w:date="2025-05-09T10:36:00Z"/>
          <w:b/>
          <w:bCs/>
          <w:u w:val="single"/>
          <w:lang w:val="it-IT"/>
          <w:rPrChange w:id="13026" w:author="AbbVie14" w:date="2025-09-08T15:01:00Z">
            <w:rPr>
              <w:u w:val="single"/>
              <w:lang w:val="it-IT"/>
            </w:rPr>
          </w:rPrChange>
        </w:rPr>
      </w:pPr>
      <w:del w:id="13027" w:author="AbbVie14" w:date="2025-05-09T10:36:00Z">
        <w:r w:rsidRPr="00363FE8">
          <w:rPr>
            <w:b/>
            <w:bCs/>
            <w:u w:val="single"/>
            <w:lang w:val="it-IT"/>
            <w:rPrChange w:id="13028" w:author="AbbVie14" w:date="2025-09-08T15:01:00Z">
              <w:rPr>
                <w:u w:val="single"/>
                <w:lang w:val="it-IT"/>
              </w:rPr>
            </w:rPrChange>
          </w:rPr>
          <w:delText>Humira 40 mg soluzione iniettabile in penna pre-riempita</w:delText>
        </w:r>
      </w:del>
    </w:p>
    <w:p w:rsidR="006224C2" w:rsidRPr="00363FE8" w:rsidP="00AD7AF0" w14:paraId="5730E101" w14:textId="77777777">
      <w:pPr>
        <w:pStyle w:val="EMEANormal"/>
        <w:rPr>
          <w:del w:id="13029" w:author="AbbVie14" w:date="2025-05-09T10:36:00Z"/>
          <w:b/>
          <w:bCs/>
          <w:lang w:val="it-IT"/>
          <w:rPrChange w:id="13030" w:author="AbbVie14" w:date="2025-09-08T15:01:00Z">
            <w:rPr>
              <w:lang w:val="it-IT"/>
            </w:rPr>
          </w:rPrChange>
        </w:rPr>
      </w:pPr>
      <w:del w:id="13031" w:author="AbbVie14" w:date="2025-05-09T10:36:00Z">
        <w:r w:rsidRPr="00363FE8">
          <w:rPr>
            <w:b/>
            <w:bCs/>
            <w:lang w:val="it-IT"/>
            <w:rPrChange w:id="13032" w:author="AbbVie14" w:date="2025-09-08T15:01:00Z">
              <w:rPr>
                <w:lang w:val="it-IT"/>
              </w:rPr>
            </w:rPrChange>
          </w:rPr>
          <w:delText>EU/1/03/256/007</w:delText>
        </w:r>
      </w:del>
    </w:p>
    <w:p w:rsidR="006224C2" w:rsidRPr="00363FE8" w:rsidP="00AD7AF0" w14:paraId="0934CD64" w14:textId="77777777">
      <w:pPr>
        <w:pStyle w:val="EMEANormal"/>
        <w:rPr>
          <w:del w:id="13033" w:author="AbbVie14" w:date="2025-05-09T10:36:00Z"/>
          <w:b/>
          <w:bCs/>
          <w:lang w:val="it-IT"/>
          <w:rPrChange w:id="13034" w:author="AbbVie14" w:date="2025-09-08T15:01:00Z">
            <w:rPr>
              <w:lang w:val="it-IT"/>
            </w:rPr>
          </w:rPrChange>
        </w:rPr>
      </w:pPr>
      <w:del w:id="13035" w:author="AbbVie14" w:date="2025-05-09T10:36:00Z">
        <w:r w:rsidRPr="00363FE8">
          <w:rPr>
            <w:b/>
            <w:bCs/>
            <w:lang w:val="it-IT"/>
            <w:rPrChange w:id="13036" w:author="AbbVie14" w:date="2025-09-08T15:01:00Z">
              <w:rPr>
                <w:lang w:val="it-IT"/>
              </w:rPr>
            </w:rPrChange>
          </w:rPr>
          <w:delText>EU/1/03/256/008</w:delText>
        </w:r>
      </w:del>
    </w:p>
    <w:p w:rsidR="006224C2" w:rsidRPr="00363FE8" w:rsidP="00AD7AF0" w14:paraId="49B829A1" w14:textId="77777777">
      <w:pPr>
        <w:pStyle w:val="EMEANormal"/>
        <w:rPr>
          <w:del w:id="13037" w:author="AbbVie14" w:date="2025-05-09T10:36:00Z"/>
          <w:b/>
          <w:bCs/>
          <w:lang w:val="it-IT"/>
          <w:rPrChange w:id="13038" w:author="AbbVie14" w:date="2025-09-08T15:01:00Z">
            <w:rPr>
              <w:lang w:val="it-IT"/>
            </w:rPr>
          </w:rPrChange>
        </w:rPr>
      </w:pPr>
      <w:del w:id="13039" w:author="AbbVie14" w:date="2025-05-09T10:36:00Z">
        <w:r w:rsidRPr="00363FE8">
          <w:rPr>
            <w:b/>
            <w:bCs/>
            <w:lang w:val="it-IT"/>
            <w:rPrChange w:id="13040" w:author="AbbVie14" w:date="2025-09-08T15:01:00Z">
              <w:rPr>
                <w:lang w:val="it-IT"/>
              </w:rPr>
            </w:rPrChange>
          </w:rPr>
          <w:delText>EU/1/03/256/009</w:delText>
        </w:r>
      </w:del>
    </w:p>
    <w:p w:rsidR="006224C2" w:rsidRPr="00363FE8" w:rsidP="00AD7AF0" w14:paraId="3921D716" w14:textId="77777777">
      <w:pPr>
        <w:pStyle w:val="EMEANormal"/>
        <w:rPr>
          <w:del w:id="13041" w:author="AbbVie14" w:date="2025-05-09T10:36:00Z"/>
          <w:b/>
          <w:bCs/>
          <w:lang w:val="it-IT"/>
          <w:rPrChange w:id="13042" w:author="AbbVie14" w:date="2025-09-08T15:01:00Z">
            <w:rPr>
              <w:lang w:val="it-IT"/>
            </w:rPr>
          </w:rPrChange>
        </w:rPr>
      </w:pPr>
      <w:del w:id="13043" w:author="AbbVie14" w:date="2025-05-09T10:36:00Z">
        <w:r w:rsidRPr="00363FE8">
          <w:rPr>
            <w:b/>
            <w:bCs/>
            <w:lang w:val="it-IT"/>
            <w:rPrChange w:id="13044" w:author="AbbVie14" w:date="2025-09-08T15:01:00Z">
              <w:rPr>
                <w:lang w:val="it-IT"/>
              </w:rPr>
            </w:rPrChange>
          </w:rPr>
          <w:delText>EU/1/03/256/010</w:delText>
        </w:r>
      </w:del>
    </w:p>
    <w:p w:rsidR="006224C2" w:rsidRPr="00363FE8" w:rsidP="00AD7AF0" w14:paraId="62453969" w14:textId="77777777">
      <w:pPr>
        <w:tabs>
          <w:tab w:val="left" w:pos="567"/>
        </w:tabs>
        <w:jc w:val="both"/>
        <w:rPr>
          <w:del w:id="13045" w:author="AbbVie14" w:date="2025-05-09T10:36:00Z"/>
          <w:b/>
          <w:bCs/>
          <w:sz w:val="22"/>
          <w:szCs w:val="22"/>
          <w:rPrChange w:id="13046" w:author="AbbVie14" w:date="2025-09-08T15:01:00Z">
            <w:rPr>
              <w:sz w:val="22"/>
              <w:szCs w:val="22"/>
            </w:rPr>
          </w:rPrChange>
        </w:rPr>
      </w:pPr>
    </w:p>
    <w:p w:rsidR="006224C2" w:rsidRPr="00363FE8" w:rsidP="00AD7AF0" w14:paraId="14B869DB" w14:textId="77777777">
      <w:pPr>
        <w:tabs>
          <w:tab w:val="left" w:pos="567"/>
        </w:tabs>
        <w:jc w:val="both"/>
        <w:rPr>
          <w:del w:id="13047" w:author="AbbVie14" w:date="2025-05-09T10:36:00Z"/>
          <w:b/>
          <w:bCs/>
          <w:sz w:val="22"/>
          <w:szCs w:val="22"/>
          <w:rPrChange w:id="13048" w:author="AbbVie14" w:date="2025-09-08T15:01:00Z">
            <w:rPr>
              <w:sz w:val="22"/>
              <w:szCs w:val="22"/>
            </w:rPr>
          </w:rPrChange>
        </w:rPr>
      </w:pPr>
    </w:p>
    <w:p w:rsidR="006224C2" w:rsidRPr="00363FE8" w:rsidP="00AD7AF0" w14:paraId="01C1C1F1" w14:textId="77777777">
      <w:pPr>
        <w:tabs>
          <w:tab w:val="left" w:pos="567"/>
        </w:tabs>
        <w:ind w:left="567" w:hanging="567"/>
        <w:jc w:val="both"/>
        <w:rPr>
          <w:del w:id="13049" w:author="AbbVie14" w:date="2025-05-09T10:36:00Z"/>
          <w:b/>
          <w:bCs/>
          <w:sz w:val="22"/>
          <w:szCs w:val="22"/>
        </w:rPr>
      </w:pPr>
      <w:del w:id="13050" w:author="AbbVie14" w:date="2025-05-09T10:36:00Z">
        <w:r w:rsidRPr="00363FE8">
          <w:rPr>
            <w:b/>
            <w:bCs/>
            <w:sz w:val="22"/>
            <w:szCs w:val="22"/>
          </w:rPr>
          <w:delText>9.</w:delText>
        </w:r>
      </w:del>
      <w:del w:id="13051" w:author="AbbVie14" w:date="2025-05-09T10:36:00Z">
        <w:r w:rsidRPr="00363FE8">
          <w:rPr>
            <w:b/>
            <w:bCs/>
            <w:sz w:val="22"/>
            <w:szCs w:val="22"/>
          </w:rPr>
          <w:tab/>
          <w:delText>DATA DELLA PRIMA AUTORIZZAZIONE/RINNOVO DELL’AUTORIZZAZIONE</w:delText>
        </w:r>
      </w:del>
    </w:p>
    <w:p w:rsidR="006224C2" w:rsidRPr="00363FE8" w:rsidP="00AD7AF0" w14:paraId="0139E3B1" w14:textId="77777777">
      <w:pPr>
        <w:tabs>
          <w:tab w:val="left" w:pos="567"/>
        </w:tabs>
        <w:jc w:val="both"/>
        <w:rPr>
          <w:del w:id="13052" w:author="AbbVie14" w:date="2025-05-09T10:36:00Z"/>
          <w:b/>
          <w:bCs/>
          <w:sz w:val="22"/>
          <w:szCs w:val="22"/>
          <w:rPrChange w:id="13053" w:author="AbbVie14" w:date="2025-09-08T15:01:00Z">
            <w:rPr>
              <w:sz w:val="22"/>
              <w:szCs w:val="22"/>
            </w:rPr>
          </w:rPrChange>
        </w:rPr>
      </w:pPr>
    </w:p>
    <w:p w:rsidR="006224C2" w:rsidRPr="00363FE8" w:rsidP="00AD7AF0" w14:paraId="24E0A611" w14:textId="77777777">
      <w:pPr>
        <w:tabs>
          <w:tab w:val="left" w:pos="567"/>
        </w:tabs>
        <w:ind w:left="567" w:hanging="567"/>
        <w:jc w:val="both"/>
        <w:rPr>
          <w:del w:id="13054" w:author="AbbVie14" w:date="2025-05-09T10:36:00Z"/>
          <w:rStyle w:val="hps"/>
          <w:b/>
          <w:bCs/>
          <w:color w:val="000000"/>
          <w:sz w:val="22"/>
          <w:szCs w:val="22"/>
          <w:rPrChange w:id="13055" w:author="AbbVie14" w:date="2025-09-08T15:01:00Z">
            <w:rPr>
              <w:rStyle w:val="hps"/>
              <w:color w:val="000000"/>
              <w:sz w:val="22"/>
              <w:szCs w:val="22"/>
            </w:rPr>
          </w:rPrChange>
        </w:rPr>
      </w:pPr>
      <w:del w:id="13056" w:author="AbbVie14" w:date="2025-05-09T10:36:00Z">
        <w:r w:rsidRPr="00363FE8">
          <w:rPr>
            <w:b/>
            <w:bCs/>
            <w:sz w:val="22"/>
            <w:szCs w:val="22"/>
            <w:rPrChange w:id="13057" w:author="AbbVie14" w:date="2025-09-08T15:01:00Z">
              <w:rPr>
                <w:sz w:val="22"/>
                <w:szCs w:val="22"/>
              </w:rPr>
            </w:rPrChange>
          </w:rPr>
          <w:delText xml:space="preserve">Data della prima autorizzazione: 08 </w:delText>
        </w:r>
      </w:del>
      <w:del w:id="13058" w:author="AbbVie14" w:date="2025-05-09T10:36:00Z">
        <w:r w:rsidRPr="00363FE8">
          <w:rPr>
            <w:rStyle w:val="hps"/>
            <w:b/>
            <w:bCs/>
            <w:color w:val="000000"/>
            <w:sz w:val="22"/>
            <w:szCs w:val="22"/>
            <w:rPrChange w:id="13059" w:author="AbbVie14" w:date="2025-09-08T15:01:00Z">
              <w:rPr>
                <w:rStyle w:val="hps"/>
                <w:color w:val="000000"/>
                <w:sz w:val="22"/>
                <w:szCs w:val="22"/>
              </w:rPr>
            </w:rPrChange>
          </w:rPr>
          <w:delText>settembre 2003</w:delText>
        </w:r>
      </w:del>
    </w:p>
    <w:p w:rsidR="006224C2" w:rsidRPr="00363FE8" w:rsidP="00AD7AF0" w14:paraId="594F9D74" w14:textId="77777777">
      <w:pPr>
        <w:tabs>
          <w:tab w:val="left" w:pos="567"/>
        </w:tabs>
        <w:ind w:left="567" w:hanging="567"/>
        <w:jc w:val="both"/>
        <w:rPr>
          <w:del w:id="13060" w:author="AbbVie14" w:date="2025-05-09T10:36:00Z"/>
          <w:b/>
          <w:bCs/>
          <w:sz w:val="22"/>
          <w:szCs w:val="22"/>
          <w:rPrChange w:id="13061" w:author="AbbVie14" w:date="2025-09-08T15:01:00Z">
            <w:rPr>
              <w:sz w:val="22"/>
              <w:szCs w:val="22"/>
            </w:rPr>
          </w:rPrChange>
        </w:rPr>
      </w:pPr>
      <w:del w:id="13062" w:author="AbbVie14" w:date="2025-05-09T10:36:00Z">
        <w:r w:rsidRPr="00363FE8">
          <w:rPr>
            <w:b/>
            <w:bCs/>
            <w:sz w:val="22"/>
            <w:szCs w:val="22"/>
            <w:rPrChange w:id="13063" w:author="AbbVie14" w:date="2025-09-08T15:01:00Z">
              <w:rPr>
                <w:sz w:val="22"/>
                <w:szCs w:val="22"/>
              </w:rPr>
            </w:rPrChange>
          </w:rPr>
          <w:delText xml:space="preserve">Data del rinnovo più recente: 08 </w:delText>
        </w:r>
      </w:del>
      <w:del w:id="13064" w:author="AbbVie14" w:date="2025-05-09T10:36:00Z">
        <w:r w:rsidRPr="00363FE8">
          <w:rPr>
            <w:rStyle w:val="hps"/>
            <w:b/>
            <w:bCs/>
            <w:color w:val="000000"/>
            <w:sz w:val="22"/>
            <w:szCs w:val="22"/>
            <w:rPrChange w:id="13065" w:author="AbbVie14" w:date="2025-09-08T15:01:00Z">
              <w:rPr>
                <w:rStyle w:val="hps"/>
                <w:color w:val="000000"/>
                <w:sz w:val="22"/>
                <w:szCs w:val="22"/>
              </w:rPr>
            </w:rPrChange>
          </w:rPr>
          <w:delText>settembre 2008</w:delText>
        </w:r>
      </w:del>
    </w:p>
    <w:p w:rsidR="006224C2" w:rsidRPr="00363FE8" w:rsidP="00AD7AF0" w14:paraId="5E585C8B" w14:textId="77777777">
      <w:pPr>
        <w:tabs>
          <w:tab w:val="left" w:pos="567"/>
        </w:tabs>
        <w:ind w:left="567" w:hanging="567"/>
        <w:jc w:val="both"/>
        <w:rPr>
          <w:del w:id="13066" w:author="AbbVie14" w:date="2025-05-09T10:36:00Z"/>
          <w:b/>
          <w:bCs/>
          <w:sz w:val="22"/>
          <w:szCs w:val="22"/>
          <w:rPrChange w:id="13067" w:author="AbbVie14" w:date="2025-09-08T15:01:00Z">
            <w:rPr>
              <w:sz w:val="22"/>
              <w:szCs w:val="22"/>
            </w:rPr>
          </w:rPrChange>
        </w:rPr>
      </w:pPr>
    </w:p>
    <w:p w:rsidR="006224C2" w:rsidRPr="00363FE8" w:rsidP="00AD7AF0" w14:paraId="7EE32A24" w14:textId="77777777">
      <w:pPr>
        <w:tabs>
          <w:tab w:val="left" w:pos="567"/>
        </w:tabs>
        <w:ind w:left="567" w:hanging="567"/>
        <w:jc w:val="both"/>
        <w:rPr>
          <w:del w:id="13068" w:author="AbbVie14" w:date="2025-05-09T10:36:00Z"/>
          <w:b/>
          <w:bCs/>
          <w:sz w:val="22"/>
          <w:szCs w:val="22"/>
          <w:rPrChange w:id="13069" w:author="AbbVie14" w:date="2025-09-08T15:01:00Z">
            <w:rPr>
              <w:sz w:val="22"/>
              <w:szCs w:val="22"/>
            </w:rPr>
          </w:rPrChange>
        </w:rPr>
      </w:pPr>
    </w:p>
    <w:p w:rsidR="006224C2" w:rsidRPr="00363FE8" w:rsidP="00AD7AF0" w14:paraId="6BD4ABA0" w14:textId="77777777">
      <w:pPr>
        <w:keepNext/>
        <w:rPr>
          <w:del w:id="13070" w:author="AbbVie14" w:date="2025-05-09T10:36:00Z"/>
          <w:b/>
          <w:bCs/>
          <w:sz w:val="22"/>
          <w:szCs w:val="22"/>
        </w:rPr>
      </w:pPr>
      <w:del w:id="13071" w:author="AbbVie14" w:date="2025-05-09T10:36:00Z">
        <w:r w:rsidRPr="00363FE8">
          <w:rPr>
            <w:b/>
            <w:bCs/>
            <w:sz w:val="22"/>
            <w:szCs w:val="22"/>
          </w:rPr>
          <w:delText>10.</w:delText>
        </w:r>
      </w:del>
      <w:del w:id="13072" w:author="AbbVie14" w:date="2025-05-09T10:36:00Z">
        <w:r w:rsidRPr="00363FE8">
          <w:rPr>
            <w:b/>
            <w:bCs/>
            <w:sz w:val="22"/>
            <w:szCs w:val="22"/>
          </w:rPr>
          <w:tab/>
          <w:delText>DATA DI REVISIONE DEL TESTO</w:delText>
        </w:r>
      </w:del>
    </w:p>
    <w:p w:rsidR="006224C2" w:rsidRPr="00363FE8" w:rsidP="00AD7AF0" w14:paraId="58C8FF67" w14:textId="77777777">
      <w:pPr>
        <w:keepNext/>
        <w:tabs>
          <w:tab w:val="left" w:pos="567"/>
        </w:tabs>
        <w:jc w:val="both"/>
        <w:rPr>
          <w:del w:id="13073" w:author="AbbVie14" w:date="2025-05-09T10:36:00Z"/>
          <w:b/>
          <w:bCs/>
          <w:sz w:val="22"/>
          <w:szCs w:val="22"/>
          <w:rPrChange w:id="13074" w:author="AbbVie14" w:date="2025-09-08T15:01:00Z">
            <w:rPr>
              <w:sz w:val="22"/>
              <w:szCs w:val="22"/>
            </w:rPr>
          </w:rPrChange>
        </w:rPr>
      </w:pPr>
    </w:p>
    <w:p w:rsidR="006224C2" w:rsidRPr="00363FE8" w:rsidP="00AD7AF0" w14:paraId="31FAEA03" w14:textId="77777777">
      <w:pPr>
        <w:keepNext/>
        <w:tabs>
          <w:tab w:val="left" w:pos="567"/>
        </w:tabs>
        <w:jc w:val="both"/>
        <w:rPr>
          <w:del w:id="13075" w:author="AbbVie14" w:date="2025-05-09T10:38:00Z"/>
          <w:b/>
          <w:bCs/>
          <w:sz w:val="22"/>
          <w:szCs w:val="22"/>
          <w:rPrChange w:id="13076" w:author="AbbVie14" w:date="2025-09-08T15:01:00Z">
            <w:rPr>
              <w:sz w:val="22"/>
              <w:szCs w:val="22"/>
            </w:rPr>
          </w:rPrChange>
        </w:rPr>
      </w:pPr>
      <w:del w:id="13077" w:author="AbbVie14" w:date="2025-05-09T10:36:00Z">
        <w:r w:rsidRPr="00363FE8">
          <w:rPr>
            <w:b/>
            <w:bCs/>
            <w:sz w:val="22"/>
            <w:szCs w:val="22"/>
            <w:rPrChange w:id="13078" w:author="AbbVie14" w:date="2025-09-08T15:01:00Z">
              <w:rPr>
                <w:sz w:val="22"/>
                <w:szCs w:val="22"/>
              </w:rPr>
            </w:rPrChange>
          </w:rPr>
          <w:delText xml:space="preserve">Informazioni più dettagliate su questo medicinale sono disponibili sul sito web dell’Agenzia europea dei medicinali </w:delText>
        </w:r>
      </w:del>
      <w:del w:id="13079" w:author="AbbVie14" w:date="2025-05-09T10:36:00Z">
        <w:r w:rsidRPr="00363FE8">
          <w:rPr>
            <w:b/>
            <w:bCs/>
            <w:rPrChange w:id="13080" w:author="AbbVie14" w:date="2025-09-08T15:01:00Z">
              <w:rPr/>
            </w:rPrChange>
          </w:rPr>
          <w:fldChar w:fldCharType="begin"/>
        </w:r>
      </w:del>
      <w:del w:id="13081" w:author="AbbVie14" w:date="2025-05-09T10:36:00Z">
        <w:r w:rsidRPr="00363FE8">
          <w:rPr>
            <w:b/>
            <w:bCs/>
            <w:rPrChange w:id="13082" w:author="AbbVie14" w:date="2025-09-08T15:01:00Z">
              <w:rPr/>
            </w:rPrChange>
          </w:rPr>
          <w:delInstrText>HYPERLINK "http://www.ema.europa.eu"</w:delInstrText>
        </w:r>
      </w:del>
      <w:del w:id="13083" w:author="AbbVie14" w:date="2025-05-09T10:36:00Z">
        <w:r w:rsidRPr="00363FE8">
          <w:rPr>
            <w:b/>
            <w:bCs/>
            <w:rPrChange w:id="13084" w:author="AbbVie14" w:date="2025-09-08T15:01:00Z">
              <w:rPr/>
            </w:rPrChange>
          </w:rPr>
          <w:fldChar w:fldCharType="separate"/>
        </w:r>
      </w:del>
      <w:del w:id="13085" w:author="AbbVie14" w:date="2025-05-09T10:36:00Z">
        <w:r w:rsidRPr="00363FE8">
          <w:rPr>
            <w:rStyle w:val="Hyperlink"/>
            <w:b/>
            <w:bCs/>
            <w:sz w:val="22"/>
            <w:szCs w:val="22"/>
            <w:rPrChange w:id="13086" w:author="AbbVie14" w:date="2025-09-08T15:01:00Z">
              <w:rPr>
                <w:rStyle w:val="Hyperlink"/>
                <w:sz w:val="22"/>
                <w:szCs w:val="22"/>
              </w:rPr>
            </w:rPrChange>
          </w:rPr>
          <w:delText>http://www.ema.europa.eu</w:delText>
        </w:r>
      </w:del>
      <w:del w:id="13087" w:author="AbbVie14" w:date="2025-05-09T10:36:00Z">
        <w:r w:rsidRPr="00363FE8">
          <w:rPr>
            <w:b/>
            <w:bCs/>
            <w:rPrChange w:id="13088" w:author="AbbVie14" w:date="2025-09-08T15:01:00Z">
              <w:rPr/>
            </w:rPrChange>
          </w:rPr>
          <w:fldChar w:fldCharType="end"/>
        </w:r>
      </w:del>
    </w:p>
    <w:p w:rsidR="006224C2" w:rsidRPr="00363FE8" w14:paraId="01F03588" w14:textId="77777777">
      <w:pPr>
        <w:rPr>
          <w:del w:id="13089" w:author="AbbVie14" w:date="2025-05-09T10:38:00Z"/>
          <w:b/>
          <w:bCs/>
          <w:i/>
          <w:sz w:val="22"/>
          <w:szCs w:val="22"/>
          <w:rPrChange w:id="13090" w:author="AbbVie14" w:date="2025-09-08T15:01:00Z">
            <w:rPr>
              <w:i/>
              <w:sz w:val="22"/>
              <w:szCs w:val="22"/>
            </w:rPr>
          </w:rPrChange>
        </w:rPr>
      </w:pPr>
      <w:del w:id="13091" w:author="AbbVie14" w:date="2025-05-09T10:38:00Z">
        <w:r w:rsidRPr="00363FE8">
          <w:rPr>
            <w:b/>
            <w:bCs/>
            <w:i/>
            <w:sz w:val="22"/>
            <w:szCs w:val="22"/>
            <w:rPrChange w:id="13092" w:author="AbbVie14" w:date="2025-09-08T15:01:00Z">
              <w:rPr>
                <w:i/>
                <w:sz w:val="22"/>
                <w:szCs w:val="22"/>
              </w:rPr>
            </w:rPrChange>
          </w:rPr>
          <w:br w:type="page"/>
        </w:r>
      </w:del>
    </w:p>
    <w:p w:rsidR="006224C2" w:rsidRPr="003E732F" w:rsidP="003E732F" w14:paraId="77425DF9" w14:textId="77777777">
      <w:pPr>
        <w:rPr>
          <w:b/>
          <w:bCs/>
          <w:sz w:val="22"/>
          <w:szCs w:val="22"/>
        </w:rPr>
      </w:pPr>
      <w:r w:rsidRPr="003E732F">
        <w:rPr>
          <w:b/>
          <w:bCs/>
          <w:sz w:val="22"/>
          <w:szCs w:val="22"/>
        </w:rPr>
        <w:t>1.</w:t>
      </w:r>
      <w:r w:rsidRPr="003E732F">
        <w:rPr>
          <w:b/>
          <w:bCs/>
          <w:sz w:val="22"/>
          <w:szCs w:val="22"/>
        </w:rPr>
        <w:tab/>
      </w:r>
      <w:r w:rsidRPr="003E732F">
        <w:rPr>
          <w:b/>
          <w:bCs/>
          <w:caps/>
          <w:sz w:val="22"/>
          <w:szCs w:val="22"/>
        </w:rPr>
        <w:t>Denominazione del medicinale</w:t>
      </w:r>
    </w:p>
    <w:p w:rsidR="006224C2" w:rsidRPr="00295E71" w14:paraId="481C02CF" w14:textId="77777777">
      <w:pPr>
        <w:tabs>
          <w:tab w:val="left" w:pos="567"/>
        </w:tabs>
        <w:jc w:val="both"/>
        <w:rPr>
          <w:sz w:val="22"/>
          <w:szCs w:val="22"/>
        </w:rPr>
      </w:pPr>
    </w:p>
    <w:p w:rsidR="006224C2" w:rsidRPr="00295E71" w14:paraId="75A49896" w14:textId="77777777">
      <w:pPr>
        <w:tabs>
          <w:tab w:val="left" w:pos="567"/>
        </w:tabs>
        <w:jc w:val="both"/>
        <w:rPr>
          <w:sz w:val="22"/>
          <w:szCs w:val="22"/>
        </w:rPr>
      </w:pPr>
      <w:r w:rsidRPr="00295E71">
        <w:rPr>
          <w:sz w:val="22"/>
          <w:szCs w:val="22"/>
        </w:rPr>
        <w:t>Humira 40 mg soluzione iniettabile in siringa pre-riempita</w:t>
      </w:r>
    </w:p>
    <w:p w:rsidR="006224C2" w:rsidRPr="00295E71" w14:paraId="467EA715" w14:textId="77777777">
      <w:pPr>
        <w:pStyle w:val="Heading2"/>
        <w:keepNext w:val="0"/>
        <w:spacing w:before="0" w:after="0" w:line="240" w:lineRule="auto"/>
        <w:jc w:val="both"/>
        <w:rPr>
          <w:rFonts w:ascii="Times New Roman" w:hAnsi="Times New Roman" w:cs="Times New Roman"/>
          <w:b w:val="0"/>
          <w:bCs w:val="0"/>
          <w:i w:val="0"/>
          <w:iCs w:val="0"/>
          <w:sz w:val="22"/>
          <w:szCs w:val="22"/>
          <w:lang w:val="it-IT"/>
        </w:rPr>
      </w:pPr>
      <w:r w:rsidRPr="00295E71">
        <w:rPr>
          <w:rFonts w:ascii="Times New Roman" w:hAnsi="Times New Roman" w:cs="Times New Roman"/>
          <w:b w:val="0"/>
          <w:bCs w:val="0"/>
          <w:i w:val="0"/>
          <w:iCs w:val="0"/>
          <w:sz w:val="22"/>
          <w:szCs w:val="22"/>
          <w:lang w:val="it-IT"/>
        </w:rPr>
        <w:t>Humira 40 mg soluzione iniettabile in penna pre-riempita</w:t>
      </w:r>
    </w:p>
    <w:p w:rsidR="006224C2" w:rsidRPr="00295E71" w14:paraId="03DC9C63" w14:textId="77777777">
      <w:pPr>
        <w:rPr>
          <w:bCs/>
          <w:iCs/>
          <w:sz w:val="22"/>
          <w:szCs w:val="22"/>
        </w:rPr>
      </w:pPr>
    </w:p>
    <w:p w:rsidR="006224C2" w:rsidRPr="00295E71" w14:paraId="41682794" w14:textId="77777777">
      <w:pPr>
        <w:pStyle w:val="Heading2"/>
        <w:keepNext w:val="0"/>
        <w:spacing w:before="0" w:after="0" w:line="240" w:lineRule="auto"/>
        <w:jc w:val="both"/>
        <w:rPr>
          <w:rFonts w:ascii="Times New Roman" w:hAnsi="Times New Roman" w:cs="Times New Roman"/>
          <w:b w:val="0"/>
          <w:i w:val="0"/>
          <w:iCs w:val="0"/>
          <w:sz w:val="22"/>
          <w:szCs w:val="22"/>
          <w:lang w:val="it-IT"/>
        </w:rPr>
      </w:pPr>
    </w:p>
    <w:p w:rsidR="006224C2" w:rsidRPr="00295E71" w14:paraId="53C339A6" w14:textId="77777777">
      <w:pPr>
        <w:pStyle w:val="Heading2"/>
        <w:keepNext w:val="0"/>
        <w:spacing w:before="0" w:after="0" w:line="240" w:lineRule="auto"/>
        <w:jc w:val="both"/>
        <w:rPr>
          <w:rFonts w:ascii="Times New Roman" w:hAnsi="Times New Roman" w:cs="Times New Roman"/>
          <w:i w:val="0"/>
          <w:iCs w:val="0"/>
          <w:sz w:val="22"/>
          <w:szCs w:val="22"/>
          <w:lang w:val="it-IT"/>
        </w:rPr>
      </w:pPr>
      <w:r w:rsidRPr="00295E71">
        <w:rPr>
          <w:rFonts w:ascii="Times New Roman" w:hAnsi="Times New Roman" w:cs="Times New Roman"/>
          <w:i w:val="0"/>
          <w:iCs w:val="0"/>
          <w:sz w:val="22"/>
          <w:szCs w:val="22"/>
          <w:lang w:val="it-IT"/>
        </w:rPr>
        <w:t>2.</w:t>
      </w:r>
      <w:r w:rsidRPr="00295E71">
        <w:rPr>
          <w:rFonts w:ascii="Times New Roman" w:hAnsi="Times New Roman" w:cs="Times New Roman"/>
          <w:i w:val="0"/>
          <w:iCs w:val="0"/>
          <w:sz w:val="22"/>
          <w:szCs w:val="22"/>
          <w:lang w:val="it-IT"/>
        </w:rPr>
        <w:tab/>
      </w:r>
      <w:r w:rsidRPr="00295E71">
        <w:rPr>
          <w:rFonts w:ascii="Times New Roman" w:hAnsi="Times New Roman" w:cs="Times New Roman"/>
          <w:i w:val="0"/>
          <w:iCs w:val="0"/>
          <w:caps/>
          <w:sz w:val="22"/>
          <w:szCs w:val="22"/>
          <w:lang w:val="it-IT"/>
        </w:rPr>
        <w:t>Composizione qualitativa e quantitativa</w:t>
      </w:r>
    </w:p>
    <w:p w:rsidR="006224C2" w:rsidRPr="00295E71" w14:paraId="038769D4" w14:textId="77777777">
      <w:pPr>
        <w:tabs>
          <w:tab w:val="left" w:pos="567"/>
        </w:tabs>
        <w:ind w:left="567" w:hanging="567"/>
        <w:jc w:val="both"/>
        <w:rPr>
          <w:sz w:val="22"/>
          <w:szCs w:val="22"/>
        </w:rPr>
      </w:pPr>
    </w:p>
    <w:p w:rsidR="006224C2" w:rsidRPr="00295E71" w14:paraId="7CF3994B" w14:textId="77777777">
      <w:pPr>
        <w:tabs>
          <w:tab w:val="left" w:pos="567"/>
        </w:tabs>
        <w:autoSpaceDE w:val="0"/>
        <w:autoSpaceDN w:val="0"/>
        <w:adjustRightInd w:val="0"/>
        <w:jc w:val="both"/>
        <w:rPr>
          <w:sz w:val="22"/>
          <w:szCs w:val="22"/>
          <w:u w:val="single"/>
        </w:rPr>
      </w:pPr>
      <w:r w:rsidRPr="00295E71">
        <w:rPr>
          <w:sz w:val="22"/>
          <w:szCs w:val="22"/>
          <w:u w:val="single"/>
        </w:rPr>
        <w:t xml:space="preserve">Humira 40 mg soluzione iniettabile in siringa pre-riempita </w:t>
      </w:r>
    </w:p>
    <w:p w:rsidR="006224C2" w:rsidRPr="00295E71" w14:paraId="284CC3B0" w14:textId="77777777">
      <w:pPr>
        <w:tabs>
          <w:tab w:val="left" w:pos="567"/>
        </w:tabs>
        <w:autoSpaceDE w:val="0"/>
        <w:autoSpaceDN w:val="0"/>
        <w:adjustRightInd w:val="0"/>
        <w:jc w:val="both"/>
        <w:rPr>
          <w:sz w:val="22"/>
          <w:szCs w:val="22"/>
        </w:rPr>
      </w:pPr>
      <w:r w:rsidRPr="00295E71">
        <w:rPr>
          <w:sz w:val="22"/>
          <w:szCs w:val="22"/>
        </w:rPr>
        <w:t>Ciascuna siringa pre-riempita monodose da 0,4 ml contiene 40 mg di adalimumab.</w:t>
      </w:r>
    </w:p>
    <w:p w:rsidR="006224C2" w:rsidRPr="00295E71" w14:paraId="23FC1114" w14:textId="77777777">
      <w:pPr>
        <w:rPr>
          <w:sz w:val="22"/>
          <w:szCs w:val="22"/>
          <w:u w:val="single"/>
        </w:rPr>
      </w:pPr>
    </w:p>
    <w:p w:rsidR="006224C2" w:rsidRPr="00295E71" w14:paraId="1827F373" w14:textId="77777777">
      <w:pPr>
        <w:rPr>
          <w:sz w:val="22"/>
          <w:szCs w:val="22"/>
          <w:u w:val="single"/>
        </w:rPr>
      </w:pPr>
      <w:r w:rsidRPr="00295E71">
        <w:rPr>
          <w:sz w:val="22"/>
          <w:szCs w:val="22"/>
          <w:u w:val="single"/>
        </w:rPr>
        <w:t>Humira 40 mg soluzione iniettabile in penna pre-riempita</w:t>
      </w:r>
    </w:p>
    <w:p w:rsidR="006224C2" w14:paraId="4FB34BAF" w14:textId="77777777">
      <w:pPr>
        <w:autoSpaceDE w:val="0"/>
        <w:autoSpaceDN w:val="0"/>
        <w:adjustRightInd w:val="0"/>
        <w:rPr>
          <w:sz w:val="22"/>
          <w:szCs w:val="22"/>
        </w:rPr>
      </w:pPr>
      <w:r w:rsidRPr="00295E71">
        <w:rPr>
          <w:sz w:val="22"/>
          <w:szCs w:val="22"/>
        </w:rPr>
        <w:t>Ciascuna penna pre-riempita monodose da 0,4 ml contiene 40 mg di adalimumab.</w:t>
      </w:r>
    </w:p>
    <w:p w:rsidR="00190451" w14:paraId="2C6B484D" w14:textId="77777777">
      <w:pPr>
        <w:autoSpaceDE w:val="0"/>
        <w:autoSpaceDN w:val="0"/>
        <w:adjustRightInd w:val="0"/>
        <w:rPr>
          <w:sz w:val="22"/>
          <w:szCs w:val="22"/>
        </w:rPr>
      </w:pPr>
    </w:p>
    <w:p w:rsidR="006224C2" w14:paraId="2AC16FA4" w14:textId="77777777">
      <w:pPr>
        <w:tabs>
          <w:tab w:val="left" w:pos="567"/>
        </w:tabs>
        <w:autoSpaceDE w:val="0"/>
        <w:autoSpaceDN w:val="0"/>
        <w:adjustRightInd w:val="0"/>
        <w:jc w:val="both"/>
        <w:rPr>
          <w:ins w:id="13093" w:author="AbbVie14" w:date="2025-05-09T10:42:00Z"/>
          <w:sz w:val="22"/>
          <w:szCs w:val="22"/>
        </w:rPr>
      </w:pPr>
      <w:r w:rsidRPr="00295E71">
        <w:rPr>
          <w:sz w:val="22"/>
          <w:szCs w:val="22"/>
        </w:rPr>
        <w:t xml:space="preserve">Adalimumab è un anticorpo monoclonale umano ricombinante </w:t>
      </w:r>
      <w:r w:rsidRPr="00295E71" w:rsidR="00570ACA">
        <w:rPr>
          <w:sz w:val="22"/>
          <w:szCs w:val="22"/>
        </w:rPr>
        <w:t xml:space="preserve">prodotto </w:t>
      </w:r>
      <w:r w:rsidRPr="00295E71">
        <w:rPr>
          <w:sz w:val="22"/>
          <w:szCs w:val="22"/>
        </w:rPr>
        <w:t>in cellule ovariche di criceto</w:t>
      </w:r>
      <w:r w:rsidRPr="00295E71" w:rsidR="00FA1EC9">
        <w:rPr>
          <w:sz w:val="22"/>
          <w:szCs w:val="22"/>
        </w:rPr>
        <w:t xml:space="preserve"> cinese</w:t>
      </w:r>
      <w:r w:rsidRPr="00295E71">
        <w:rPr>
          <w:sz w:val="22"/>
          <w:szCs w:val="22"/>
        </w:rPr>
        <w:t xml:space="preserve"> (Chinese Hamster Ovary).</w:t>
      </w:r>
    </w:p>
    <w:p w:rsidR="00872D1F" w14:paraId="59E4ACDC" w14:textId="77777777">
      <w:pPr>
        <w:tabs>
          <w:tab w:val="left" w:pos="567"/>
        </w:tabs>
        <w:autoSpaceDE w:val="0"/>
        <w:autoSpaceDN w:val="0"/>
        <w:adjustRightInd w:val="0"/>
        <w:jc w:val="both"/>
        <w:rPr>
          <w:ins w:id="13094" w:author="AbbVie14" w:date="2025-05-09T10:42:00Z"/>
          <w:sz w:val="22"/>
          <w:szCs w:val="22"/>
        </w:rPr>
      </w:pPr>
    </w:p>
    <w:p w:rsidR="00872D1F" w:rsidRPr="00EA3836" w:rsidP="00872D1F" w14:paraId="34C85C4C" w14:textId="77777777">
      <w:pPr>
        <w:tabs>
          <w:tab w:val="left" w:pos="567"/>
        </w:tabs>
        <w:autoSpaceDE w:val="0"/>
        <w:autoSpaceDN w:val="0"/>
        <w:adjustRightInd w:val="0"/>
        <w:jc w:val="both"/>
        <w:rPr>
          <w:ins w:id="13095" w:author="AbbVie14" w:date="2025-05-09T10:42:00Z"/>
          <w:color w:val="000000"/>
          <w:sz w:val="22"/>
          <w:szCs w:val="22"/>
          <w:u w:val="single"/>
          <w:rPrChange w:id="13096" w:author="AbbVie14" w:date="2025-05-15T08:34:00Z">
            <w:rPr>
              <w:color w:val="000000"/>
              <w:sz w:val="22"/>
              <w:szCs w:val="22"/>
            </w:rPr>
          </w:rPrChange>
        </w:rPr>
      </w:pPr>
      <w:ins w:id="13097" w:author="AbbVie14" w:date="2025-05-09T10:42:00Z">
        <w:r w:rsidRPr="00EA3836">
          <w:rPr>
            <w:color w:val="000000"/>
            <w:sz w:val="22"/>
            <w:szCs w:val="22"/>
            <w:highlight w:val="none"/>
            <w:u w:val="single"/>
            <w:rPrChange w:id="13098" w:author="AbbVie14" w:date="2025-05-15T08:34:00Z">
              <w:rPr>
                <w:color w:val="000000"/>
                <w:sz w:val="22"/>
                <w:szCs w:val="22"/>
                <w:highlight w:val="yellow"/>
              </w:rPr>
            </w:rPrChange>
          </w:rPr>
          <w:t>Eccipienti con effett</w:t>
        </w:r>
      </w:ins>
      <w:ins w:id="13099" w:author="AbbVie14" w:date="2025-05-13T14:34:00Z">
        <w:r w:rsidRPr="00EA3836" w:rsidR="008B6641">
          <w:rPr>
            <w:color w:val="000000"/>
            <w:sz w:val="22"/>
            <w:szCs w:val="22"/>
            <w:u w:val="single"/>
            <w:rPrChange w:id="13100" w:author="AbbVie14" w:date="2025-05-15T08:34:00Z">
              <w:rPr>
                <w:color w:val="000000"/>
                <w:sz w:val="22"/>
                <w:szCs w:val="22"/>
              </w:rPr>
            </w:rPrChange>
          </w:rPr>
          <w:t>i</w:t>
        </w:r>
      </w:ins>
      <w:ins w:id="13101" w:author="AbbVie14" w:date="2025-05-09T10:42:00Z">
        <w:r w:rsidRPr="00EA3836">
          <w:rPr>
            <w:color w:val="000000"/>
            <w:sz w:val="22"/>
            <w:szCs w:val="22"/>
            <w:highlight w:val="none"/>
            <w:u w:val="single"/>
            <w:rPrChange w:id="13102" w:author="AbbVie14" w:date="2025-05-15T08:34:00Z">
              <w:rPr>
                <w:color w:val="000000"/>
                <w:sz w:val="22"/>
                <w:szCs w:val="22"/>
                <w:highlight w:val="yellow"/>
              </w:rPr>
            </w:rPrChange>
          </w:rPr>
          <w:t xml:space="preserve"> not</w:t>
        </w:r>
      </w:ins>
      <w:ins w:id="13103" w:author="AbbVie14" w:date="2025-05-13T14:34:00Z">
        <w:r w:rsidRPr="00EA3836" w:rsidR="008B6641">
          <w:rPr>
            <w:color w:val="000000"/>
            <w:sz w:val="22"/>
            <w:szCs w:val="22"/>
            <w:u w:val="single"/>
            <w:rPrChange w:id="13104" w:author="AbbVie14" w:date="2025-05-15T08:34:00Z">
              <w:rPr>
                <w:color w:val="000000"/>
                <w:sz w:val="22"/>
                <w:szCs w:val="22"/>
              </w:rPr>
            </w:rPrChange>
          </w:rPr>
          <w:t>i</w:t>
        </w:r>
      </w:ins>
    </w:p>
    <w:p w:rsidR="00872D1F" w:rsidRPr="00BE2419" w:rsidP="00872D1F" w14:paraId="0589AA6D" w14:textId="77777777">
      <w:pPr>
        <w:tabs>
          <w:tab w:val="left" w:pos="567"/>
        </w:tabs>
        <w:autoSpaceDE w:val="0"/>
        <w:autoSpaceDN w:val="0"/>
        <w:adjustRightInd w:val="0"/>
        <w:jc w:val="both"/>
        <w:rPr>
          <w:ins w:id="13105" w:author="AbbVie14" w:date="2025-05-09T10:42:00Z"/>
          <w:color w:val="000000"/>
          <w:sz w:val="22"/>
          <w:szCs w:val="22"/>
        </w:rPr>
      </w:pPr>
    </w:p>
    <w:p w:rsidR="00872D1F" w:rsidRPr="00295E71" w14:paraId="0D5BD0C5" w14:textId="77777777">
      <w:pPr>
        <w:tabs>
          <w:tab w:val="left" w:pos="567"/>
        </w:tabs>
        <w:autoSpaceDE w:val="0"/>
        <w:autoSpaceDN w:val="0"/>
        <w:adjustRightInd w:val="0"/>
        <w:jc w:val="both"/>
        <w:rPr>
          <w:color w:val="000000"/>
          <w:sz w:val="22"/>
          <w:szCs w:val="22"/>
        </w:rPr>
      </w:pPr>
      <w:ins w:id="13106" w:author="AbbVie14" w:date="2025-05-09T10:42:00Z">
        <w:r w:rsidRPr="00BE2419">
          <w:rPr>
            <w:color w:val="000000"/>
            <w:sz w:val="22"/>
            <w:szCs w:val="22"/>
            <w:highlight w:val="none"/>
            <w:rPrChange w:id="13107" w:author="AbbVie14" w:date="2025-05-09T11:39:00Z">
              <w:rPr>
                <w:color w:val="000000"/>
                <w:sz w:val="22"/>
                <w:szCs w:val="22"/>
                <w:highlight w:val="yellow"/>
              </w:rPr>
            </w:rPrChange>
          </w:rPr>
          <w:t xml:space="preserve">Questo medicinale contiene 0,4 mg di polisorbato 80 per ogni dose </w:t>
        </w:r>
      </w:ins>
      <w:ins w:id="13108" w:author="AbbVie14" w:date="2025-05-09T11:39:00Z">
        <w:r w:rsidR="00BE2419">
          <w:rPr>
            <w:color w:val="000000"/>
            <w:sz w:val="22"/>
            <w:szCs w:val="22"/>
          </w:rPr>
          <w:t>d</w:t>
        </w:r>
      </w:ins>
      <w:ins w:id="13109" w:author="AbbVie14" w:date="2025-05-09T10:42:00Z">
        <w:r w:rsidRPr="00BE2419">
          <w:rPr>
            <w:color w:val="000000"/>
            <w:sz w:val="22"/>
            <w:szCs w:val="22"/>
            <w:highlight w:val="none"/>
            <w:rPrChange w:id="13110" w:author="AbbVie14" w:date="2025-05-09T11:39:00Z">
              <w:rPr>
                <w:color w:val="000000"/>
                <w:sz w:val="22"/>
                <w:szCs w:val="22"/>
                <w:highlight w:val="yellow"/>
              </w:rPr>
            </w:rPrChange>
          </w:rPr>
          <w:t>a 40 mg.</w:t>
        </w:r>
      </w:ins>
    </w:p>
    <w:p w:rsidR="006224C2" w:rsidRPr="00295E71" w14:paraId="1664DFC0" w14:textId="77777777">
      <w:pPr>
        <w:tabs>
          <w:tab w:val="left" w:pos="567"/>
        </w:tabs>
        <w:autoSpaceDE w:val="0"/>
        <w:autoSpaceDN w:val="0"/>
        <w:adjustRightInd w:val="0"/>
        <w:jc w:val="both"/>
        <w:rPr>
          <w:color w:val="000000"/>
          <w:sz w:val="22"/>
          <w:szCs w:val="22"/>
        </w:rPr>
      </w:pPr>
    </w:p>
    <w:p w:rsidR="006224C2" w:rsidRPr="00295E71" w14:paraId="36E8757C" w14:textId="77777777">
      <w:pPr>
        <w:tabs>
          <w:tab w:val="left" w:pos="567"/>
        </w:tabs>
        <w:jc w:val="both"/>
        <w:rPr>
          <w:sz w:val="22"/>
          <w:szCs w:val="22"/>
        </w:rPr>
      </w:pPr>
      <w:r w:rsidRPr="00295E71">
        <w:rPr>
          <w:sz w:val="22"/>
          <w:szCs w:val="22"/>
        </w:rPr>
        <w:t>Per l’elenco completo degli eccipienti, vedere paragrafo 6.1.</w:t>
      </w:r>
    </w:p>
    <w:p w:rsidR="006224C2" w:rsidRPr="00295E71" w14:paraId="0EEFDA63" w14:textId="77777777">
      <w:pPr>
        <w:pStyle w:val="EndnoteText"/>
        <w:jc w:val="both"/>
        <w:rPr>
          <w:lang w:val="it-IT"/>
        </w:rPr>
      </w:pPr>
    </w:p>
    <w:p w:rsidR="006224C2" w:rsidRPr="00295E71" w14:paraId="2299AE41" w14:textId="77777777">
      <w:pPr>
        <w:tabs>
          <w:tab w:val="left" w:pos="567"/>
        </w:tabs>
        <w:jc w:val="both"/>
        <w:rPr>
          <w:sz w:val="22"/>
          <w:szCs w:val="22"/>
        </w:rPr>
      </w:pPr>
    </w:p>
    <w:p w:rsidR="006224C2" w:rsidRPr="00295E71" w14:paraId="7CBEC67B" w14:textId="77777777">
      <w:pPr>
        <w:tabs>
          <w:tab w:val="left" w:pos="567"/>
        </w:tabs>
        <w:jc w:val="both"/>
        <w:rPr>
          <w:b/>
          <w:bCs/>
          <w:caps/>
          <w:sz w:val="22"/>
          <w:szCs w:val="22"/>
        </w:rPr>
      </w:pPr>
      <w:r w:rsidRPr="00295E71">
        <w:rPr>
          <w:b/>
          <w:bCs/>
          <w:sz w:val="22"/>
          <w:szCs w:val="22"/>
        </w:rPr>
        <w:t>3.</w:t>
      </w:r>
      <w:r w:rsidRPr="00295E71">
        <w:rPr>
          <w:b/>
          <w:bCs/>
          <w:sz w:val="22"/>
          <w:szCs w:val="22"/>
        </w:rPr>
        <w:tab/>
        <w:t>FORMA FARMACEUTICA</w:t>
      </w:r>
    </w:p>
    <w:p w:rsidR="006224C2" w:rsidRPr="00295E71" w14:paraId="3DD158D7" w14:textId="77777777">
      <w:pPr>
        <w:tabs>
          <w:tab w:val="left" w:pos="567"/>
        </w:tabs>
        <w:jc w:val="both"/>
        <w:rPr>
          <w:caps/>
          <w:sz w:val="22"/>
          <w:szCs w:val="22"/>
        </w:rPr>
      </w:pPr>
    </w:p>
    <w:p w:rsidR="006224C2" w:rsidRPr="00295E71" w14:paraId="234A0933" w14:textId="77777777">
      <w:pPr>
        <w:tabs>
          <w:tab w:val="left" w:pos="567"/>
        </w:tabs>
        <w:jc w:val="both"/>
        <w:rPr>
          <w:sz w:val="22"/>
          <w:szCs w:val="22"/>
        </w:rPr>
      </w:pPr>
      <w:r w:rsidRPr="00295E71">
        <w:rPr>
          <w:sz w:val="22"/>
          <w:szCs w:val="22"/>
        </w:rPr>
        <w:t>Soluzione iniettabile</w:t>
      </w:r>
      <w:r w:rsidRPr="00295E71" w:rsidR="00570ACA">
        <w:rPr>
          <w:sz w:val="22"/>
          <w:szCs w:val="22"/>
        </w:rPr>
        <w:t>. (iniettabile)</w:t>
      </w:r>
    </w:p>
    <w:p w:rsidR="006224C2" w:rsidRPr="00295E71" w14:paraId="6A4F9BE0" w14:textId="77777777">
      <w:pPr>
        <w:tabs>
          <w:tab w:val="left" w:pos="567"/>
        </w:tabs>
        <w:jc w:val="both"/>
        <w:rPr>
          <w:sz w:val="22"/>
          <w:szCs w:val="22"/>
        </w:rPr>
      </w:pPr>
    </w:p>
    <w:p w:rsidR="006224C2" w:rsidRPr="00295E71" w14:paraId="0B1BE2FB" w14:textId="77777777">
      <w:pPr>
        <w:tabs>
          <w:tab w:val="left" w:pos="567"/>
        </w:tabs>
        <w:jc w:val="both"/>
        <w:rPr>
          <w:sz w:val="22"/>
          <w:szCs w:val="22"/>
        </w:rPr>
      </w:pPr>
      <w:r w:rsidRPr="00295E71">
        <w:rPr>
          <w:sz w:val="22"/>
          <w:szCs w:val="22"/>
        </w:rPr>
        <w:t>Soluzione limpida e incolore.</w:t>
      </w:r>
    </w:p>
    <w:p w:rsidR="006224C2" w:rsidRPr="00295E71" w14:paraId="47DF5B4D" w14:textId="77777777">
      <w:pPr>
        <w:tabs>
          <w:tab w:val="left" w:pos="567"/>
        </w:tabs>
        <w:jc w:val="both"/>
        <w:rPr>
          <w:sz w:val="22"/>
          <w:szCs w:val="22"/>
        </w:rPr>
      </w:pPr>
    </w:p>
    <w:p w:rsidR="006224C2" w:rsidRPr="00295E71" w14:paraId="5EBE6194" w14:textId="77777777">
      <w:pPr>
        <w:tabs>
          <w:tab w:val="left" w:pos="567"/>
        </w:tabs>
        <w:jc w:val="both"/>
        <w:rPr>
          <w:sz w:val="22"/>
          <w:szCs w:val="22"/>
        </w:rPr>
      </w:pPr>
    </w:p>
    <w:p w:rsidR="006224C2" w:rsidRPr="00295E71" w14:paraId="48B244FB" w14:textId="77777777">
      <w:pPr>
        <w:tabs>
          <w:tab w:val="left" w:pos="567"/>
        </w:tabs>
        <w:ind w:left="567" w:hanging="567"/>
        <w:jc w:val="both"/>
        <w:rPr>
          <w:b/>
          <w:bCs/>
          <w:caps/>
          <w:sz w:val="22"/>
          <w:szCs w:val="22"/>
        </w:rPr>
      </w:pPr>
      <w:r w:rsidRPr="00295E71">
        <w:rPr>
          <w:b/>
          <w:bCs/>
          <w:caps/>
          <w:sz w:val="22"/>
          <w:szCs w:val="22"/>
        </w:rPr>
        <w:t>4.</w:t>
      </w:r>
      <w:r w:rsidRPr="00295E71">
        <w:rPr>
          <w:b/>
          <w:bCs/>
          <w:caps/>
          <w:sz w:val="22"/>
          <w:szCs w:val="22"/>
        </w:rPr>
        <w:tab/>
        <w:t>INFORMAZIONI CLINICHE</w:t>
      </w:r>
    </w:p>
    <w:p w:rsidR="006224C2" w:rsidRPr="00295E71" w14:paraId="7A0D1F55" w14:textId="77777777">
      <w:pPr>
        <w:tabs>
          <w:tab w:val="left" w:pos="567"/>
        </w:tabs>
        <w:jc w:val="both"/>
        <w:rPr>
          <w:sz w:val="22"/>
          <w:szCs w:val="22"/>
        </w:rPr>
      </w:pPr>
    </w:p>
    <w:p w:rsidR="006224C2" w:rsidRPr="00295E71" w14:paraId="6477EB06" w14:textId="77777777">
      <w:pPr>
        <w:tabs>
          <w:tab w:val="left" w:pos="567"/>
        </w:tabs>
        <w:ind w:left="567" w:hanging="567"/>
        <w:jc w:val="both"/>
        <w:rPr>
          <w:b/>
          <w:bCs/>
          <w:sz w:val="22"/>
          <w:szCs w:val="22"/>
        </w:rPr>
      </w:pPr>
      <w:r w:rsidRPr="00295E71">
        <w:rPr>
          <w:b/>
          <w:bCs/>
          <w:sz w:val="22"/>
          <w:szCs w:val="22"/>
        </w:rPr>
        <w:t>4.1</w:t>
      </w:r>
      <w:r w:rsidRPr="00295E71">
        <w:rPr>
          <w:b/>
          <w:bCs/>
          <w:sz w:val="22"/>
          <w:szCs w:val="22"/>
        </w:rPr>
        <w:tab/>
        <w:t>Indicazioni terapeutiche</w:t>
      </w:r>
    </w:p>
    <w:p w:rsidR="006224C2" w:rsidRPr="00295E71" w14:paraId="67803BCA" w14:textId="77777777">
      <w:pPr>
        <w:pStyle w:val="EndnoteText"/>
        <w:jc w:val="both"/>
        <w:rPr>
          <w:lang w:val="it-IT"/>
        </w:rPr>
      </w:pPr>
    </w:p>
    <w:p w:rsidR="006224C2" w:rsidRPr="00295E71" w14:paraId="3D82A2D4" w14:textId="77777777">
      <w:pPr>
        <w:jc w:val="both"/>
        <w:rPr>
          <w:sz w:val="22"/>
          <w:szCs w:val="22"/>
        </w:rPr>
      </w:pPr>
      <w:r w:rsidRPr="00295E71">
        <w:rPr>
          <w:sz w:val="22"/>
          <w:szCs w:val="22"/>
          <w:u w:val="single"/>
        </w:rPr>
        <w:t>Artrite reumatoide</w:t>
      </w:r>
    </w:p>
    <w:p w:rsidR="006224C2" w:rsidRPr="00295E71" w14:paraId="57AD6ED0" w14:textId="77777777">
      <w:pPr>
        <w:jc w:val="both"/>
        <w:rPr>
          <w:sz w:val="22"/>
          <w:szCs w:val="22"/>
        </w:rPr>
      </w:pPr>
    </w:p>
    <w:p w:rsidR="006224C2" w:rsidRPr="00295E71" w14:paraId="33810C90" w14:textId="77777777">
      <w:pPr>
        <w:pStyle w:val="EMEAFigureTitle"/>
        <w:tabs>
          <w:tab w:val="clear" w:pos="562"/>
        </w:tabs>
        <w:suppressAutoHyphens w:val="0"/>
        <w:jc w:val="both"/>
        <w:rPr>
          <w:lang w:val="it-IT" w:eastAsia="it-IT"/>
        </w:rPr>
      </w:pPr>
      <w:r w:rsidRPr="00295E71">
        <w:rPr>
          <w:lang w:val="it-IT" w:eastAsia="it-IT"/>
        </w:rPr>
        <w:t>Humira, in combinazione con metotressato, è indicato per:</w:t>
      </w:r>
    </w:p>
    <w:p w:rsidR="006224C2" w:rsidRPr="00295E71" w14:paraId="78CBB279" w14:textId="77777777">
      <w:pPr>
        <w:jc w:val="both"/>
        <w:rPr>
          <w:sz w:val="22"/>
          <w:szCs w:val="22"/>
        </w:rPr>
      </w:pPr>
    </w:p>
    <w:p w:rsidR="006224C2" w:rsidRPr="00295E71" w14:paraId="398AB4B5" w14:textId="77777777">
      <w:pPr>
        <w:numPr>
          <w:ilvl w:val="0"/>
          <w:numId w:val="22"/>
        </w:numPr>
        <w:tabs>
          <w:tab w:val="num" w:pos="540"/>
          <w:tab w:val="left" w:pos="567"/>
          <w:tab w:val="clear" w:pos="720"/>
        </w:tabs>
        <w:ind w:left="540" w:hanging="540"/>
        <w:jc w:val="both"/>
        <w:rPr>
          <w:sz w:val="22"/>
          <w:szCs w:val="22"/>
        </w:rPr>
      </w:pPr>
      <w:r w:rsidRPr="00295E71">
        <w:rPr>
          <w:sz w:val="22"/>
          <w:szCs w:val="22"/>
        </w:rPr>
        <w:t>il trattamento di pazienti adulti affetti da artrite reumatoide attiva di grado da moderato a severo quando la risposta ai farmaci anti-reumatici modificanti la malattia (DMARD), compreso il metotressato, risulta inadeguata.</w:t>
      </w:r>
    </w:p>
    <w:p w:rsidR="006224C2" w:rsidRPr="00295E71" w14:paraId="19435B33" w14:textId="77777777">
      <w:pPr>
        <w:tabs>
          <w:tab w:val="left" w:pos="567"/>
        </w:tabs>
        <w:ind w:left="540"/>
        <w:jc w:val="both"/>
        <w:rPr>
          <w:sz w:val="22"/>
          <w:szCs w:val="22"/>
        </w:rPr>
      </w:pPr>
    </w:p>
    <w:p w:rsidR="006224C2" w:rsidRPr="00295E71" w14:paraId="480E6607" w14:textId="77777777">
      <w:pPr>
        <w:numPr>
          <w:ilvl w:val="0"/>
          <w:numId w:val="22"/>
        </w:numPr>
        <w:tabs>
          <w:tab w:val="num" w:pos="540"/>
          <w:tab w:val="left" w:pos="567"/>
          <w:tab w:val="clear" w:pos="720"/>
        </w:tabs>
        <w:ind w:left="540" w:hanging="540"/>
        <w:jc w:val="both"/>
        <w:rPr>
          <w:sz w:val="22"/>
          <w:szCs w:val="22"/>
        </w:rPr>
      </w:pPr>
      <w:r w:rsidRPr="00295E71">
        <w:rPr>
          <w:sz w:val="22"/>
          <w:szCs w:val="22"/>
        </w:rPr>
        <w:t>il trattamento dell’artrite reumatoide grave, attiva e progressiva in adulti non precedentemente trattati con metotressato.</w:t>
      </w:r>
    </w:p>
    <w:p w:rsidR="006224C2" w:rsidRPr="00295E71" w14:paraId="6B6D04B7" w14:textId="77777777">
      <w:pPr>
        <w:pStyle w:val="EndnoteText"/>
        <w:jc w:val="both"/>
        <w:rPr>
          <w:lang w:val="it-IT"/>
        </w:rPr>
      </w:pPr>
    </w:p>
    <w:p w:rsidR="006224C2" w:rsidRPr="00295E71" w14:paraId="505AC914" w14:textId="77777777">
      <w:pPr>
        <w:pStyle w:val="EMEAFigureTitle"/>
        <w:suppressAutoHyphens w:val="0"/>
        <w:jc w:val="both"/>
        <w:rPr>
          <w:lang w:val="it-IT" w:eastAsia="it-IT"/>
        </w:rPr>
      </w:pPr>
      <w:r w:rsidRPr="00295E71">
        <w:rPr>
          <w:lang w:val="it-IT" w:eastAsia="it-IT"/>
        </w:rPr>
        <w:t>Humira può essere somministrato come monoterapia in caso di intolleranza al metotressato o quando il trattamento continuato con metotressato non è appropriato.</w:t>
      </w:r>
    </w:p>
    <w:p w:rsidR="006224C2" w:rsidRPr="00295E71" w14:paraId="45E0F3FC" w14:textId="77777777">
      <w:pPr>
        <w:pStyle w:val="EndnoteText"/>
        <w:jc w:val="both"/>
        <w:rPr>
          <w:lang w:val="it-IT"/>
        </w:rPr>
      </w:pPr>
    </w:p>
    <w:p w:rsidR="006224C2" w:rsidRPr="00295E71" w14:paraId="61FCDDB7" w14:textId="77777777">
      <w:pPr>
        <w:pStyle w:val="EMEAFigureTitle"/>
        <w:suppressAutoHyphens w:val="0"/>
        <w:jc w:val="both"/>
        <w:rPr>
          <w:lang w:val="it-IT" w:eastAsia="it-IT"/>
        </w:rPr>
      </w:pPr>
      <w:r w:rsidRPr="00295E71">
        <w:rPr>
          <w:lang w:val="it-IT" w:eastAsia="it-IT"/>
        </w:rPr>
        <w:t>Humira, in combinazione con metotressato, inibisce la progressione del danno strutturale, valutata radiograficamente, e migliora la funzionalità fisica, in questa popolazione di pazienti.</w:t>
      </w:r>
    </w:p>
    <w:p w:rsidR="006224C2" w:rsidRPr="00295E71" w14:paraId="3CD2A726" w14:textId="77777777">
      <w:pPr>
        <w:tabs>
          <w:tab w:val="left" w:pos="567"/>
        </w:tabs>
        <w:jc w:val="both"/>
        <w:rPr>
          <w:sz w:val="22"/>
          <w:szCs w:val="22"/>
        </w:rPr>
      </w:pPr>
    </w:p>
    <w:p w:rsidR="006224C2" w:rsidRPr="00295E71" w14:paraId="78632555" w14:textId="77777777">
      <w:pPr>
        <w:tabs>
          <w:tab w:val="left" w:pos="567"/>
        </w:tabs>
        <w:jc w:val="both"/>
        <w:rPr>
          <w:sz w:val="22"/>
          <w:szCs w:val="22"/>
          <w:u w:val="single"/>
        </w:rPr>
      </w:pPr>
      <w:r w:rsidRPr="00295E71">
        <w:rPr>
          <w:sz w:val="22"/>
          <w:szCs w:val="22"/>
          <w:u w:val="single"/>
        </w:rPr>
        <w:t>Artrite idiopatica giovanile</w:t>
      </w:r>
    </w:p>
    <w:p w:rsidR="006224C2" w:rsidRPr="00295E71" w14:paraId="0E9C277E" w14:textId="77777777">
      <w:pPr>
        <w:tabs>
          <w:tab w:val="left" w:pos="567"/>
        </w:tabs>
        <w:jc w:val="both"/>
        <w:rPr>
          <w:sz w:val="22"/>
          <w:szCs w:val="22"/>
          <w:u w:val="single"/>
        </w:rPr>
      </w:pPr>
    </w:p>
    <w:p w:rsidR="006224C2" w:rsidRPr="00295E71" w14:paraId="17A3B8C2" w14:textId="77777777">
      <w:pPr>
        <w:tabs>
          <w:tab w:val="left" w:pos="567"/>
        </w:tabs>
        <w:jc w:val="both"/>
        <w:rPr>
          <w:i/>
          <w:sz w:val="22"/>
          <w:szCs w:val="22"/>
        </w:rPr>
      </w:pPr>
      <w:r w:rsidRPr="00295E71">
        <w:rPr>
          <w:i/>
          <w:sz w:val="22"/>
          <w:szCs w:val="22"/>
        </w:rPr>
        <w:t xml:space="preserve">Artrite idiopatica giovanile poliarticolare  </w:t>
      </w:r>
    </w:p>
    <w:p w:rsidR="006224C2" w:rsidRPr="00295E71" w14:paraId="7EF3B5DA" w14:textId="77777777">
      <w:pPr>
        <w:tabs>
          <w:tab w:val="left" w:pos="567"/>
        </w:tabs>
        <w:jc w:val="both"/>
        <w:rPr>
          <w:sz w:val="22"/>
          <w:szCs w:val="22"/>
        </w:rPr>
      </w:pPr>
    </w:p>
    <w:p w:rsidR="006224C2" w:rsidRPr="00295E71" w14:paraId="6694620E" w14:textId="77777777">
      <w:pPr>
        <w:pStyle w:val="EMEAFigureTitle"/>
        <w:suppressAutoHyphens w:val="0"/>
        <w:jc w:val="both"/>
        <w:rPr>
          <w:lang w:val="it-IT"/>
        </w:rPr>
      </w:pPr>
      <w:r w:rsidRPr="00295E71">
        <w:rPr>
          <w:lang w:val="it-IT"/>
        </w:rPr>
        <w:t xml:space="preserve">Humira in combinazione con metotressato è indicato per il trattamento dell’artrite idiopatica giovanile poliarticolare attiva, nei pazienti dai 2 anni di età, che hanno avuto una risposta inadeguata ad uno o più </w:t>
      </w:r>
      <w:r w:rsidRPr="00295E71">
        <w:rPr>
          <w:lang w:val="it-IT"/>
        </w:rPr>
        <w:t>farmaci anti-reumatici modificanti la malattia (DMARD). Humira può essere somministrato come monoterapia in caso di intolleranza al metotressato o quando il trattamento continuato con metotressato non è appropriato (per l’efficacia in monoterapia vedere paragrafo 5.1). Humira non è stato studiato in pazienti di età inferiore a 2 anni.</w:t>
      </w:r>
    </w:p>
    <w:p w:rsidR="006224C2" w:rsidRPr="00295E71" w14:paraId="6582A8A5" w14:textId="77777777">
      <w:pPr>
        <w:pStyle w:val="EMEANormal"/>
        <w:jc w:val="both"/>
        <w:rPr>
          <w:lang w:val="it-IT"/>
        </w:rPr>
      </w:pPr>
    </w:p>
    <w:p w:rsidR="006224C2" w:rsidRPr="00295E71" w14:paraId="608CC1EB" w14:textId="77777777">
      <w:pPr>
        <w:keepNext/>
        <w:tabs>
          <w:tab w:val="left" w:pos="567"/>
        </w:tabs>
        <w:jc w:val="both"/>
        <w:rPr>
          <w:i/>
          <w:sz w:val="22"/>
          <w:szCs w:val="22"/>
        </w:rPr>
      </w:pPr>
      <w:r w:rsidRPr="00295E71">
        <w:rPr>
          <w:i/>
          <w:sz w:val="22"/>
          <w:szCs w:val="22"/>
        </w:rPr>
        <w:t>Artrite associata ad entesite</w:t>
      </w:r>
    </w:p>
    <w:p w:rsidR="006224C2" w:rsidRPr="00295E71" w14:paraId="12F83781" w14:textId="77777777">
      <w:pPr>
        <w:pStyle w:val="EMEANormal"/>
        <w:keepNext/>
        <w:rPr>
          <w:rFonts w:eastAsia="Arial"/>
          <w:lang w:val="it-IT"/>
        </w:rPr>
      </w:pPr>
    </w:p>
    <w:p w:rsidR="006224C2" w:rsidRPr="00295E71" w14:paraId="57760F40" w14:textId="77777777">
      <w:pPr>
        <w:keepNext/>
        <w:tabs>
          <w:tab w:val="left" w:pos="567"/>
        </w:tabs>
        <w:jc w:val="both"/>
        <w:rPr>
          <w:sz w:val="22"/>
          <w:szCs w:val="22"/>
        </w:rPr>
      </w:pPr>
      <w:r w:rsidRPr="00295E71">
        <w:rPr>
          <w:sz w:val="22"/>
          <w:szCs w:val="22"/>
          <w:lang w:eastAsia="en-US"/>
        </w:rPr>
        <w:t>Humira è indicato per il trattamento delle forme attive di artrite associata a entesite, nei pazienti dai 6 anni di età, che hanno avuto una risposta inadeguata</w:t>
      </w:r>
      <w:r w:rsidRPr="00295E71">
        <w:rPr>
          <w:sz w:val="22"/>
          <w:szCs w:val="22"/>
        </w:rPr>
        <w:t xml:space="preserve"> o che sono intolleranti alla terapia convenzionale (vedere paragrafo 5.1).</w:t>
      </w:r>
    </w:p>
    <w:p w:rsidR="006224C2" w:rsidRPr="00295E71" w14:paraId="6733FDB6" w14:textId="77777777">
      <w:pPr>
        <w:tabs>
          <w:tab w:val="left" w:pos="567"/>
        </w:tabs>
        <w:jc w:val="both"/>
        <w:rPr>
          <w:sz w:val="22"/>
          <w:szCs w:val="22"/>
        </w:rPr>
      </w:pPr>
    </w:p>
    <w:p w:rsidR="006224C2" w:rsidRPr="00295E71" w14:paraId="50992BCC" w14:textId="77777777">
      <w:pPr>
        <w:rPr>
          <w:sz w:val="22"/>
          <w:szCs w:val="22"/>
          <w:u w:val="single"/>
        </w:rPr>
      </w:pPr>
      <w:r w:rsidRPr="00295E71">
        <w:rPr>
          <w:sz w:val="22"/>
          <w:szCs w:val="22"/>
          <w:u w:val="single"/>
        </w:rPr>
        <w:t>Spondiloartrite assiale</w:t>
      </w:r>
    </w:p>
    <w:p w:rsidR="006224C2" w:rsidRPr="00295E71" w14:paraId="1F32148B" w14:textId="77777777">
      <w:pPr>
        <w:tabs>
          <w:tab w:val="left" w:pos="567"/>
        </w:tabs>
        <w:jc w:val="both"/>
        <w:rPr>
          <w:sz w:val="22"/>
          <w:szCs w:val="22"/>
          <w:u w:val="single"/>
        </w:rPr>
      </w:pPr>
    </w:p>
    <w:p w:rsidR="006224C2" w:rsidRPr="00295E71" w14:paraId="5F4ACD65" w14:textId="77777777">
      <w:pPr>
        <w:tabs>
          <w:tab w:val="left" w:pos="567"/>
        </w:tabs>
        <w:jc w:val="both"/>
        <w:rPr>
          <w:i/>
          <w:sz w:val="22"/>
          <w:szCs w:val="22"/>
        </w:rPr>
      </w:pPr>
      <w:r w:rsidRPr="00295E71">
        <w:rPr>
          <w:i/>
          <w:sz w:val="22"/>
          <w:szCs w:val="22"/>
        </w:rPr>
        <w:t>Spondilite anchilosante (SA)</w:t>
      </w:r>
    </w:p>
    <w:p w:rsidR="006224C2" w:rsidRPr="00295E71" w14:paraId="53B67EAC" w14:textId="77777777">
      <w:pPr>
        <w:tabs>
          <w:tab w:val="left" w:pos="567"/>
        </w:tabs>
        <w:jc w:val="both"/>
        <w:rPr>
          <w:sz w:val="22"/>
          <w:szCs w:val="22"/>
        </w:rPr>
      </w:pPr>
    </w:p>
    <w:p w:rsidR="006224C2" w:rsidRPr="00295E71" w14:paraId="1B26644E" w14:textId="77777777">
      <w:pPr>
        <w:tabs>
          <w:tab w:val="left" w:pos="567"/>
        </w:tabs>
        <w:jc w:val="both"/>
        <w:rPr>
          <w:sz w:val="22"/>
          <w:szCs w:val="22"/>
        </w:rPr>
      </w:pPr>
      <w:r w:rsidRPr="00295E71">
        <w:rPr>
          <w:sz w:val="22"/>
          <w:szCs w:val="22"/>
        </w:rPr>
        <w:t>Humira è indicato per il trattamento dei pazienti adulti affetti da spondilite anchilosante attiva grave in cui la risposta alla terapia convenzionale non è risultata adeguata.</w:t>
      </w:r>
    </w:p>
    <w:p w:rsidR="006224C2" w:rsidRPr="00295E71" w14:paraId="2AE2B351" w14:textId="77777777">
      <w:pPr>
        <w:pStyle w:val="EMEANormal"/>
        <w:jc w:val="both"/>
        <w:rPr>
          <w:lang w:val="it-IT"/>
        </w:rPr>
      </w:pPr>
    </w:p>
    <w:p w:rsidR="006224C2" w:rsidRPr="00295E71" w14:paraId="5605FFFE" w14:textId="77777777">
      <w:pPr>
        <w:pStyle w:val="EMEANormal"/>
        <w:jc w:val="both"/>
        <w:rPr>
          <w:i/>
          <w:lang w:val="it-IT"/>
        </w:rPr>
      </w:pPr>
      <w:r w:rsidRPr="00295E71">
        <w:rPr>
          <w:i/>
          <w:lang w:val="it-IT"/>
        </w:rPr>
        <w:t>Spondiloartrite assiale senza evidenza radiografica di SA</w:t>
      </w:r>
    </w:p>
    <w:p w:rsidR="006224C2" w:rsidRPr="00295E71" w14:paraId="3F3A9DBF" w14:textId="77777777">
      <w:pPr>
        <w:pStyle w:val="EMEANormal"/>
        <w:jc w:val="both"/>
        <w:rPr>
          <w:lang w:val="it-IT"/>
        </w:rPr>
      </w:pPr>
    </w:p>
    <w:p w:rsidR="006224C2" w:rsidRPr="00295E71" w14:paraId="46C2867F" w14:textId="77777777">
      <w:pPr>
        <w:pStyle w:val="EMEANormal"/>
        <w:jc w:val="both"/>
        <w:rPr>
          <w:lang w:val="it-IT"/>
        </w:rPr>
      </w:pPr>
      <w:r w:rsidRPr="00295E71">
        <w:rPr>
          <w:lang w:val="it-IT"/>
        </w:rPr>
        <w:t>Humira è indicato per il trattamento dei pazienti adulti affetti da spondiloartrite assiale grave senza evidenza radiografica di SA ma con segni oggettivi di infiammazione rilevati da elevati livelli di Proteina C Reattiva e/o RMN, che hanno avuto una risposta inadeguata a, o sono intolleranti a farmaci antinfiammatori non</w:t>
      </w:r>
      <w:r w:rsidR="008F53EF">
        <w:rPr>
          <w:lang w:val="it-IT"/>
        </w:rPr>
        <w:t xml:space="preserve"> </w:t>
      </w:r>
      <w:r w:rsidRPr="00295E71">
        <w:rPr>
          <w:lang w:val="it-IT"/>
        </w:rPr>
        <w:t>steroidei</w:t>
      </w:r>
      <w:r w:rsidR="00B02776">
        <w:rPr>
          <w:lang w:val="it-IT"/>
        </w:rPr>
        <w:t xml:space="preserve"> (FANS)</w:t>
      </w:r>
      <w:r w:rsidRPr="00295E71">
        <w:rPr>
          <w:lang w:val="it-IT"/>
        </w:rPr>
        <w:t>.</w:t>
      </w:r>
    </w:p>
    <w:p w:rsidR="006224C2" w:rsidRPr="00295E71" w14:paraId="2FAE955F" w14:textId="77777777">
      <w:pPr>
        <w:jc w:val="both"/>
        <w:rPr>
          <w:sz w:val="22"/>
          <w:szCs w:val="22"/>
        </w:rPr>
      </w:pPr>
    </w:p>
    <w:p w:rsidR="006224C2" w:rsidRPr="00295E71" w14:paraId="57A5322E" w14:textId="77777777">
      <w:pPr>
        <w:tabs>
          <w:tab w:val="left" w:pos="567"/>
        </w:tabs>
        <w:jc w:val="both"/>
        <w:rPr>
          <w:sz w:val="22"/>
          <w:szCs w:val="22"/>
        </w:rPr>
      </w:pPr>
      <w:r w:rsidRPr="00295E71">
        <w:rPr>
          <w:sz w:val="22"/>
          <w:szCs w:val="22"/>
          <w:u w:val="single"/>
        </w:rPr>
        <w:t>Artrite psoriasica</w:t>
      </w:r>
    </w:p>
    <w:p w:rsidR="006224C2" w:rsidRPr="00295E71" w14:paraId="7782F24A" w14:textId="77777777">
      <w:pPr>
        <w:tabs>
          <w:tab w:val="left" w:pos="567"/>
        </w:tabs>
        <w:jc w:val="both"/>
        <w:rPr>
          <w:sz w:val="22"/>
          <w:szCs w:val="22"/>
        </w:rPr>
      </w:pPr>
    </w:p>
    <w:p w:rsidR="006224C2" w:rsidRPr="00295E71" w14:paraId="7595EA14" w14:textId="77777777">
      <w:pPr>
        <w:tabs>
          <w:tab w:val="left" w:pos="567"/>
        </w:tabs>
        <w:jc w:val="both"/>
        <w:rPr>
          <w:sz w:val="22"/>
          <w:szCs w:val="22"/>
        </w:rPr>
      </w:pPr>
      <w:r w:rsidRPr="00295E71">
        <w:rPr>
          <w:sz w:val="22"/>
          <w:szCs w:val="22"/>
        </w:rPr>
        <w:t>Humira è indicato per il trattamento dell’artrite psoriasica attiva e progressiva in soggetti adulti quando la risposta a precedenti trattamenti con farmaci anti-reumatici modificanti la malattia (DMARD) è stata inadeguata. È stato dimostrato che Humira riduce la percentuale di progressione del danno articolare periferico associato rilevato attraverso radiografie in pazienti affetti da sottogruppi poliarticolari simmetrici della malattia (vedere paragrafo 5.1) e migliora la funzionalità fisica.</w:t>
      </w:r>
    </w:p>
    <w:p w:rsidR="006224C2" w:rsidRPr="00295E71" w14:paraId="1342025F" w14:textId="77777777">
      <w:pPr>
        <w:tabs>
          <w:tab w:val="left" w:pos="567"/>
        </w:tabs>
        <w:jc w:val="both"/>
        <w:rPr>
          <w:sz w:val="22"/>
          <w:szCs w:val="22"/>
          <w:u w:val="single"/>
        </w:rPr>
      </w:pPr>
    </w:p>
    <w:p w:rsidR="006224C2" w:rsidRPr="00295E71" w14:paraId="6661A8C9" w14:textId="77777777">
      <w:pPr>
        <w:tabs>
          <w:tab w:val="left" w:pos="567"/>
        </w:tabs>
        <w:jc w:val="both"/>
        <w:rPr>
          <w:sz w:val="22"/>
          <w:szCs w:val="22"/>
          <w:u w:val="single"/>
        </w:rPr>
      </w:pPr>
      <w:r w:rsidRPr="00295E71">
        <w:rPr>
          <w:sz w:val="22"/>
          <w:szCs w:val="22"/>
          <w:u w:val="single"/>
        </w:rPr>
        <w:t>Psoriasi</w:t>
      </w:r>
    </w:p>
    <w:p w:rsidR="006224C2" w:rsidRPr="00295E71" w14:paraId="4B9522A7" w14:textId="77777777">
      <w:pPr>
        <w:pStyle w:val="EMEAFigureTitle"/>
        <w:suppressAutoHyphens w:val="0"/>
        <w:jc w:val="both"/>
        <w:rPr>
          <w:lang w:val="it-IT" w:eastAsia="it-IT"/>
        </w:rPr>
      </w:pPr>
    </w:p>
    <w:p w:rsidR="006224C2" w:rsidRPr="00295E71" w14:paraId="335F2F45" w14:textId="77777777">
      <w:pPr>
        <w:pStyle w:val="EMEAFigureTitle"/>
        <w:suppressAutoHyphens w:val="0"/>
        <w:jc w:val="both"/>
        <w:rPr>
          <w:lang w:val="it-IT" w:eastAsia="it-IT"/>
        </w:rPr>
      </w:pPr>
      <w:r w:rsidRPr="00295E71">
        <w:rPr>
          <w:lang w:val="it-IT" w:eastAsia="it-IT"/>
        </w:rPr>
        <w:t xml:space="preserve">Humira è indicato per il trattamento della psoriasi cronica a placche, di grado da moderato a severo, in pazienti adulti candidati alla terapia sistemica. </w:t>
      </w:r>
    </w:p>
    <w:p w:rsidR="006224C2" w:rsidRPr="00295E71" w14:paraId="65A5324C" w14:textId="77777777">
      <w:pPr>
        <w:pStyle w:val="EMEANormal"/>
        <w:rPr>
          <w:lang w:val="it-IT" w:eastAsia="it-IT"/>
        </w:rPr>
      </w:pPr>
    </w:p>
    <w:p w:rsidR="006224C2" w:rsidRPr="00295E71" w14:paraId="0D876B59" w14:textId="77777777">
      <w:pPr>
        <w:pStyle w:val="EMEANormal"/>
        <w:rPr>
          <w:rFonts w:eastAsia="Arial"/>
          <w:iCs/>
          <w:lang w:val="it-IT" w:bidi="it-IT"/>
        </w:rPr>
      </w:pPr>
      <w:r w:rsidRPr="00295E71">
        <w:rPr>
          <w:rFonts w:eastAsia="Arial"/>
          <w:u w:val="single"/>
          <w:lang w:val="it-IT" w:bidi="it-IT"/>
        </w:rPr>
        <w:t>Psoriasi a placche pediatrica</w:t>
      </w:r>
    </w:p>
    <w:p w:rsidR="006224C2" w:rsidRPr="00295E71" w14:paraId="1F2DF1BA" w14:textId="77777777">
      <w:pPr>
        <w:pStyle w:val="EMEANormal"/>
        <w:rPr>
          <w:rFonts w:eastAsia="Arial"/>
          <w:iCs/>
          <w:lang w:val="it-IT" w:bidi="it-IT"/>
        </w:rPr>
      </w:pPr>
    </w:p>
    <w:p w:rsidR="006224C2" w:rsidRPr="00295E71" w14:paraId="409F2F7B" w14:textId="77777777">
      <w:pPr>
        <w:pStyle w:val="EMEANormal"/>
        <w:rPr>
          <w:lang w:val="it-IT" w:eastAsia="it-IT"/>
        </w:rPr>
      </w:pPr>
      <w:r w:rsidRPr="00295E71">
        <w:rPr>
          <w:rFonts w:eastAsia="Arial"/>
          <w:iCs/>
          <w:lang w:val="it-IT" w:bidi="it-IT"/>
        </w:rPr>
        <w:t>Humira è indicato per il trattamento della psoriasi cronica a placche grave in bambini e adolescenti dai 4 anni di età che abbiano avuto una risposta inadeguata, o siano candidati inappropriati alla terapia topica e alle fototerapie.</w:t>
      </w:r>
    </w:p>
    <w:p w:rsidR="006224C2" w:rsidRPr="00295E71" w14:paraId="35ED6364" w14:textId="77777777">
      <w:pPr>
        <w:pStyle w:val="EMEAFigureTitle"/>
        <w:suppressAutoHyphens w:val="0"/>
        <w:jc w:val="both"/>
        <w:rPr>
          <w:lang w:val="it-IT"/>
        </w:rPr>
      </w:pPr>
    </w:p>
    <w:p w:rsidR="006224C2" w:rsidRPr="00295E71" w14:paraId="6F0AC7C5" w14:textId="77777777">
      <w:pPr>
        <w:pStyle w:val="EMEANormal"/>
        <w:rPr>
          <w:rFonts w:eastAsia="Arial"/>
          <w:iCs/>
          <w:u w:val="single"/>
          <w:lang w:val="it-IT" w:bidi="it-IT"/>
        </w:rPr>
      </w:pPr>
      <w:r w:rsidRPr="00295E71">
        <w:rPr>
          <w:rFonts w:eastAsia="Arial"/>
          <w:iCs/>
          <w:u w:val="single"/>
          <w:lang w:val="it-IT" w:bidi="it-IT"/>
        </w:rPr>
        <w:t>Idrosadenite Suppurativa (HS)</w:t>
      </w:r>
    </w:p>
    <w:p w:rsidR="006224C2" w:rsidRPr="00295E71" w14:paraId="0B9EC59C" w14:textId="77777777">
      <w:pPr>
        <w:pStyle w:val="EMEANormal"/>
        <w:rPr>
          <w:rFonts w:eastAsia="Arial"/>
          <w:lang w:val="it-IT"/>
        </w:rPr>
      </w:pPr>
    </w:p>
    <w:p w:rsidR="006224C2" w:rsidRPr="00295E71" w14:paraId="650F9AA8" w14:textId="77777777">
      <w:pPr>
        <w:pStyle w:val="EMEANormal"/>
        <w:rPr>
          <w:lang w:val="it-IT" w:eastAsia="it-IT"/>
        </w:rPr>
      </w:pPr>
      <w:r w:rsidRPr="00295E71">
        <w:rPr>
          <w:rFonts w:eastAsia="Arial"/>
          <w:lang w:val="it-IT"/>
        </w:rPr>
        <w:t xml:space="preserve">Humira è indicato per il trattamento </w:t>
      </w:r>
      <w:r w:rsidRPr="00295E71">
        <w:rPr>
          <w:rFonts w:eastAsia="Arial"/>
          <w:iCs/>
          <w:lang w:val="it-IT" w:bidi="it-IT"/>
        </w:rPr>
        <w:t>dell’Idrosadenite Suppurativa (acne inversa) attiva di grado da moderato a severo in adulti e adolescenti dai 12 anni di età con una risposta inadeguata alla terapia sistemica convenzionale per l’HS</w:t>
      </w:r>
      <w:r w:rsidRPr="00295E71">
        <w:rPr>
          <w:lang w:val="it-IT"/>
        </w:rPr>
        <w:t>(vedere paragrafi 5.1 e 5.2).</w:t>
      </w:r>
    </w:p>
    <w:p w:rsidR="006224C2" w:rsidRPr="00295E71" w14:paraId="22AD0696" w14:textId="77777777">
      <w:pPr>
        <w:tabs>
          <w:tab w:val="left" w:pos="567"/>
        </w:tabs>
        <w:jc w:val="both"/>
        <w:rPr>
          <w:sz w:val="22"/>
          <w:szCs w:val="22"/>
          <w:u w:val="single"/>
        </w:rPr>
      </w:pPr>
    </w:p>
    <w:p w:rsidR="006224C2" w:rsidRPr="00295E71" w14:paraId="62E25D04" w14:textId="77777777">
      <w:pPr>
        <w:tabs>
          <w:tab w:val="left" w:pos="567"/>
        </w:tabs>
        <w:jc w:val="both"/>
        <w:rPr>
          <w:sz w:val="22"/>
          <w:szCs w:val="22"/>
        </w:rPr>
      </w:pPr>
      <w:r w:rsidRPr="00295E71">
        <w:rPr>
          <w:sz w:val="22"/>
          <w:szCs w:val="22"/>
          <w:u w:val="single"/>
        </w:rPr>
        <w:t>Malattia di Crohn</w:t>
      </w:r>
    </w:p>
    <w:p w:rsidR="006224C2" w:rsidRPr="00295E71" w14:paraId="211748F5" w14:textId="77777777">
      <w:pPr>
        <w:tabs>
          <w:tab w:val="left" w:pos="567"/>
        </w:tabs>
        <w:jc w:val="both"/>
        <w:rPr>
          <w:sz w:val="22"/>
          <w:szCs w:val="22"/>
        </w:rPr>
      </w:pPr>
    </w:p>
    <w:p w:rsidR="006224C2" w:rsidRPr="00295E71" w14:paraId="1556A511" w14:textId="77777777">
      <w:pPr>
        <w:tabs>
          <w:tab w:val="left" w:pos="567"/>
        </w:tabs>
        <w:jc w:val="both"/>
        <w:rPr>
          <w:sz w:val="22"/>
          <w:szCs w:val="22"/>
        </w:rPr>
      </w:pPr>
      <w:r w:rsidRPr="00295E71">
        <w:rPr>
          <w:sz w:val="22"/>
          <w:szCs w:val="22"/>
        </w:rPr>
        <w:t>Humira è indicato nel trattamento della malattia di Crohn attiva di grado da moderato a severo in pazienti adulti che non hanno risposto ad un ciclo terapeutico completo ed adeguato a base di corticosteroidi e/o di un immunosoppressore, o nei pazienti intolleranti a tali terapie o che presentino controindicazioni mediche ad esse.</w:t>
      </w:r>
    </w:p>
    <w:p w:rsidR="006224C2" w:rsidRPr="00295E71" w14:paraId="38072A49" w14:textId="77777777">
      <w:pPr>
        <w:pStyle w:val="EMEANormal"/>
        <w:jc w:val="both"/>
        <w:rPr>
          <w:lang w:val="it-IT" w:eastAsia="it-IT"/>
        </w:rPr>
      </w:pPr>
    </w:p>
    <w:p w:rsidR="006224C2" w:rsidRPr="00295E71" w:rsidP="00F57FE5" w14:paraId="05EDF356" w14:textId="77777777">
      <w:pPr>
        <w:keepNext/>
        <w:keepLines/>
        <w:rPr>
          <w:sz w:val="22"/>
          <w:szCs w:val="22"/>
          <w:u w:val="single"/>
        </w:rPr>
      </w:pPr>
      <w:r w:rsidRPr="00295E71">
        <w:rPr>
          <w:sz w:val="22"/>
          <w:szCs w:val="22"/>
          <w:u w:val="single"/>
        </w:rPr>
        <w:t>Malattia di Crohn in pazienti pediatrici</w:t>
      </w:r>
    </w:p>
    <w:p w:rsidR="006224C2" w:rsidRPr="00295E71" w:rsidP="00F57FE5" w14:paraId="149CE24B" w14:textId="77777777">
      <w:pPr>
        <w:pStyle w:val="EMEANormal"/>
        <w:keepNext/>
        <w:keepLines/>
        <w:jc w:val="both"/>
        <w:rPr>
          <w:lang w:val="it-IT" w:eastAsia="it-IT"/>
        </w:rPr>
      </w:pPr>
    </w:p>
    <w:p w:rsidR="006224C2" w:rsidRPr="00295E71" w:rsidP="00F57FE5" w14:paraId="61A205A0" w14:textId="77777777">
      <w:pPr>
        <w:pStyle w:val="EMEANormal"/>
        <w:keepNext/>
        <w:keepLines/>
        <w:jc w:val="both"/>
        <w:rPr>
          <w:lang w:val="it-IT"/>
        </w:rPr>
      </w:pPr>
      <w:r w:rsidRPr="00295E71">
        <w:rPr>
          <w:lang w:val="it-IT"/>
        </w:rPr>
        <w:t>Humira è indicato nel trattamento della malattia di Crohn attiva di grado da moderato a severo</w:t>
      </w:r>
      <w:r w:rsidRPr="00295E71" w:rsidR="007A318E">
        <w:rPr>
          <w:lang w:val="it-IT"/>
        </w:rPr>
        <w:t xml:space="preserve"> </w:t>
      </w:r>
      <w:r w:rsidRPr="00295E71">
        <w:rPr>
          <w:lang w:val="it-IT"/>
        </w:rPr>
        <w:t>nei pazienti pediatrici (dai 6anni di età) che hanno avuto una risposta inadeguata alla terapia convenzionale, inclusa la terapia nutrizionale primaria e a una terapia a base di un corticosteroide e/o ad un immunomodulatore, o che sono intolleranti o hanno controindicazioni a tali terapie.</w:t>
      </w:r>
    </w:p>
    <w:p w:rsidR="006224C2" w:rsidRPr="00295E71" w:rsidP="00F57FE5" w14:paraId="1FBEB5AD" w14:textId="77777777">
      <w:pPr>
        <w:keepNext/>
        <w:keepLines/>
        <w:tabs>
          <w:tab w:val="left" w:pos="567"/>
        </w:tabs>
        <w:jc w:val="both"/>
        <w:rPr>
          <w:sz w:val="22"/>
          <w:szCs w:val="22"/>
        </w:rPr>
      </w:pPr>
    </w:p>
    <w:p w:rsidR="006224C2" w:rsidRPr="00295E71" w14:paraId="724C6C8F" w14:textId="77777777">
      <w:pPr>
        <w:rPr>
          <w:sz w:val="22"/>
          <w:szCs w:val="22"/>
          <w:u w:val="single"/>
        </w:rPr>
      </w:pPr>
      <w:r w:rsidRPr="00295E71">
        <w:rPr>
          <w:sz w:val="22"/>
          <w:szCs w:val="22"/>
          <w:u w:val="single"/>
        </w:rPr>
        <w:t>Colite Ulcerosa</w:t>
      </w:r>
    </w:p>
    <w:p w:rsidR="006224C2" w:rsidRPr="00295E71" w14:paraId="78EDAB6C" w14:textId="77777777">
      <w:pPr>
        <w:tabs>
          <w:tab w:val="left" w:pos="567"/>
        </w:tabs>
        <w:jc w:val="both"/>
        <w:rPr>
          <w:sz w:val="22"/>
          <w:szCs w:val="22"/>
        </w:rPr>
      </w:pPr>
    </w:p>
    <w:p w:rsidR="006224C2" w:rsidRPr="00295E71" w14:paraId="50D649A4" w14:textId="77777777">
      <w:pPr>
        <w:tabs>
          <w:tab w:val="left" w:pos="567"/>
        </w:tabs>
        <w:jc w:val="both"/>
        <w:rPr>
          <w:sz w:val="22"/>
          <w:szCs w:val="22"/>
        </w:rPr>
      </w:pPr>
      <w:r w:rsidRPr="00295E71">
        <w:rPr>
          <w:sz w:val="22"/>
          <w:szCs w:val="22"/>
        </w:rPr>
        <w:t xml:space="preserve">Humira è indicato nel trattamento della colite ulcerosa attiva di grado da moderato a severo in pazienti adulti che hanno manifestato una risposta inadeguata alla terapia convenzionale inclusi i corticosteroidi e la 6-mercaptopurina (6-MP) o l’azatioprina (AZA) o che sono intolleranti o presentano controindicazioni a tali terapie. </w:t>
      </w:r>
    </w:p>
    <w:p w:rsidR="006224C2" w:rsidRPr="00123685" w14:paraId="47D3F8B6" w14:textId="77777777">
      <w:pPr>
        <w:rPr>
          <w:b/>
          <w:bCs/>
          <w:sz w:val="22"/>
          <w:szCs w:val="22"/>
        </w:rPr>
      </w:pPr>
    </w:p>
    <w:p w:rsidR="00123685" w:rsidRPr="00612824" w:rsidP="00123685" w14:paraId="29F939AE" w14:textId="77777777">
      <w:pPr>
        <w:rPr>
          <w:sz w:val="22"/>
          <w:szCs w:val="22"/>
          <w:u w:val="single"/>
        </w:rPr>
      </w:pPr>
      <w:r w:rsidRPr="00612824">
        <w:rPr>
          <w:sz w:val="22"/>
          <w:szCs w:val="22"/>
          <w:u w:val="single"/>
        </w:rPr>
        <w:t>Colite ulcerosa pediatrica</w:t>
      </w:r>
    </w:p>
    <w:p w:rsidR="00123685" w:rsidRPr="00612824" w:rsidP="00123685" w14:paraId="5926A0B3" w14:textId="77777777">
      <w:pPr>
        <w:rPr>
          <w:sz w:val="22"/>
          <w:szCs w:val="22"/>
        </w:rPr>
      </w:pPr>
    </w:p>
    <w:p w:rsidR="00123685" w:rsidRPr="00612824" w:rsidP="00123685" w14:paraId="39EFE0B9" w14:textId="77777777">
      <w:pPr>
        <w:rPr>
          <w:sz w:val="22"/>
          <w:szCs w:val="22"/>
        </w:rPr>
      </w:pPr>
      <w:r w:rsidRPr="00612824">
        <w:rPr>
          <w:sz w:val="22"/>
          <w:szCs w:val="22"/>
        </w:rPr>
        <w:t xml:space="preserve">Humira è indicato per il trattamento della colite ulcerosa </w:t>
      </w:r>
      <w:r w:rsidR="00806E30">
        <w:rPr>
          <w:sz w:val="22"/>
          <w:szCs w:val="22"/>
        </w:rPr>
        <w:t>attiva di grado da moderato a severo</w:t>
      </w:r>
      <w:r w:rsidRPr="00612824">
        <w:rPr>
          <w:sz w:val="22"/>
          <w:szCs w:val="22"/>
        </w:rPr>
        <w:t xml:space="preserve"> in pazienti pediatrici (dai 6 anni di età) che hanno avuto una risposta inadeguata alla terapia convenzionale, inclusi corticosteroidi e/o 6-mercaptopurina (6-MP) o azatioprina (AZA), o che sono intolleranti o presentano controindicazioni per tali terapie.</w:t>
      </w:r>
    </w:p>
    <w:p w:rsidR="00123685" w:rsidP="00123685" w14:paraId="428CF00D" w14:textId="77777777">
      <w:pPr>
        <w:rPr>
          <w:i/>
        </w:rPr>
      </w:pPr>
    </w:p>
    <w:p w:rsidR="006224C2" w:rsidRPr="00295E71" w14:paraId="33E1EA35" w14:textId="77777777">
      <w:pPr>
        <w:tabs>
          <w:tab w:val="left" w:pos="567"/>
        </w:tabs>
        <w:rPr>
          <w:sz w:val="22"/>
          <w:szCs w:val="22"/>
          <w:u w:val="single"/>
        </w:rPr>
      </w:pPr>
      <w:r w:rsidRPr="00295E71">
        <w:rPr>
          <w:sz w:val="22"/>
          <w:szCs w:val="22"/>
          <w:u w:val="single"/>
        </w:rPr>
        <w:t>Uveite</w:t>
      </w:r>
    </w:p>
    <w:p w:rsidR="006224C2" w:rsidRPr="00295E71" w14:paraId="7CE2B1AA" w14:textId="77777777">
      <w:pPr>
        <w:tabs>
          <w:tab w:val="left" w:pos="567"/>
        </w:tabs>
        <w:rPr>
          <w:sz w:val="22"/>
          <w:szCs w:val="22"/>
        </w:rPr>
      </w:pPr>
    </w:p>
    <w:p w:rsidR="006224C2" w:rsidRPr="00295E71" w14:paraId="1FC6D2BA" w14:textId="77777777">
      <w:pPr>
        <w:tabs>
          <w:tab w:val="left" w:pos="567"/>
        </w:tabs>
        <w:rPr>
          <w:sz w:val="22"/>
          <w:szCs w:val="22"/>
        </w:rPr>
      </w:pPr>
      <w:r w:rsidRPr="00295E71">
        <w:rPr>
          <w:sz w:val="22"/>
          <w:szCs w:val="22"/>
        </w:rPr>
        <w:t>Humira è indicato per il trattamento dell’uveite non-infettiva intermedia, posteriore e panuveite in pazienti adulti che hanno avuto una risposta inadeguata ai corticosteroidi, in pazienti che necessitano di farmaci risparmiatori di corticosteroidi o nei quali il trattamento con corticosteroidi è inappropriato.</w:t>
      </w:r>
    </w:p>
    <w:p w:rsidR="006224C2" w:rsidRPr="00295E71" w14:paraId="298EE8BD" w14:textId="77777777">
      <w:pPr>
        <w:tabs>
          <w:tab w:val="left" w:pos="567"/>
        </w:tabs>
        <w:rPr>
          <w:sz w:val="22"/>
          <w:szCs w:val="22"/>
        </w:rPr>
      </w:pPr>
    </w:p>
    <w:p w:rsidR="006224C2" w:rsidRPr="00295E71" w14:paraId="6A8352DB" w14:textId="77777777">
      <w:pPr>
        <w:rPr>
          <w:iCs/>
          <w:sz w:val="22"/>
          <w:szCs w:val="22"/>
          <w:u w:val="single"/>
        </w:rPr>
      </w:pPr>
      <w:r w:rsidRPr="00295E71">
        <w:rPr>
          <w:iCs/>
          <w:sz w:val="22"/>
          <w:szCs w:val="22"/>
          <w:u w:val="single"/>
        </w:rPr>
        <w:t>Uveite pediatrica</w:t>
      </w:r>
    </w:p>
    <w:p w:rsidR="006224C2" w:rsidRPr="00295E71" w14:paraId="4B0E7E3D" w14:textId="77777777">
      <w:pPr>
        <w:rPr>
          <w:iCs/>
          <w:sz w:val="22"/>
          <w:szCs w:val="22"/>
        </w:rPr>
      </w:pPr>
    </w:p>
    <w:p w:rsidR="006224C2" w:rsidRPr="00295E71" w14:paraId="060DCC78" w14:textId="77777777">
      <w:pPr>
        <w:tabs>
          <w:tab w:val="left" w:pos="567"/>
        </w:tabs>
        <w:rPr>
          <w:sz w:val="22"/>
          <w:szCs w:val="22"/>
        </w:rPr>
      </w:pPr>
      <w:r w:rsidRPr="00295E71">
        <w:rPr>
          <w:iCs/>
          <w:sz w:val="22"/>
          <w:szCs w:val="22"/>
        </w:rPr>
        <w:t xml:space="preserve">Humira è indicato per il trattamento dell’uveite anteriore </w:t>
      </w:r>
      <w:r w:rsidRPr="00295E71" w:rsidR="002126E5">
        <w:rPr>
          <w:iCs/>
          <w:sz w:val="22"/>
          <w:szCs w:val="22"/>
        </w:rPr>
        <w:t xml:space="preserve">pediatrica </w:t>
      </w:r>
      <w:r w:rsidRPr="00295E71">
        <w:rPr>
          <w:iCs/>
          <w:sz w:val="22"/>
          <w:szCs w:val="22"/>
        </w:rPr>
        <w:t>cronica non infettiva nei pazienti dai 2 anni di età che hanno avuto una risposta inadeguata o sono intolleranti alla terapia convenzionale o per i quali la terapia convenzionale non è appropriata.</w:t>
      </w:r>
    </w:p>
    <w:p w:rsidR="006224C2" w:rsidRPr="00295E71" w14:paraId="5A69D70F" w14:textId="77777777">
      <w:pPr>
        <w:rPr>
          <w:b/>
          <w:bCs/>
          <w:sz w:val="22"/>
          <w:szCs w:val="22"/>
        </w:rPr>
      </w:pPr>
    </w:p>
    <w:p w:rsidR="006224C2" w:rsidRPr="00295E71" w14:paraId="296C2E85" w14:textId="77777777">
      <w:pPr>
        <w:rPr>
          <w:b/>
          <w:bCs/>
          <w:sz w:val="22"/>
          <w:szCs w:val="22"/>
        </w:rPr>
      </w:pPr>
      <w:r w:rsidRPr="00295E71">
        <w:rPr>
          <w:b/>
          <w:bCs/>
          <w:sz w:val="22"/>
          <w:szCs w:val="22"/>
        </w:rPr>
        <w:t>4.2   Posologia e modo di somministrazione</w:t>
      </w:r>
    </w:p>
    <w:p w:rsidR="006224C2" w:rsidRPr="00295E71" w14:paraId="36417683" w14:textId="77777777">
      <w:pPr>
        <w:tabs>
          <w:tab w:val="left" w:pos="567"/>
        </w:tabs>
        <w:jc w:val="both"/>
        <w:rPr>
          <w:sz w:val="22"/>
          <w:szCs w:val="22"/>
          <w:u w:val="single"/>
        </w:rPr>
      </w:pPr>
    </w:p>
    <w:p w:rsidR="006224C2" w:rsidRPr="00295E71" w14:paraId="086C6366" w14:textId="77777777">
      <w:pPr>
        <w:pStyle w:val="EndnoteText"/>
        <w:jc w:val="both"/>
        <w:rPr>
          <w:lang w:val="it-IT"/>
        </w:rPr>
      </w:pPr>
      <w:r w:rsidRPr="00295E71">
        <w:rPr>
          <w:lang w:val="it-IT"/>
        </w:rPr>
        <w:t>La terapia con Humira deve essere iniziata e monitorata da medici specialisti con esperienza nella diagnosi e nel trattamento delle patologie per cui Humira è indicato. Gli oculisti sono invitati a consultare uno specialista appropriato prima di iniziare il trattamento con Humira (vedere paragrafo 4.4). Ai pazienti trattati con Humira deve essere consegnata una</w:t>
      </w:r>
      <w:r w:rsidRPr="00C74BF5" w:rsidR="00345505">
        <w:rPr>
          <w:lang w:val="it-IT"/>
        </w:rPr>
        <w:t xml:space="preserve"> </w:t>
      </w:r>
      <w:r w:rsidRPr="00345505" w:rsidR="00345505">
        <w:rPr>
          <w:lang w:val="it-IT"/>
        </w:rPr>
        <w:t>Scheda Promemoria per il Paziente</w:t>
      </w:r>
      <w:r w:rsidRPr="00295E71">
        <w:rPr>
          <w:lang w:val="it-IT"/>
        </w:rPr>
        <w:t>.</w:t>
      </w:r>
    </w:p>
    <w:p w:rsidR="006224C2" w:rsidRPr="00295E71" w14:paraId="412DF16F" w14:textId="77777777">
      <w:pPr>
        <w:pStyle w:val="EndnoteText"/>
        <w:jc w:val="both"/>
        <w:rPr>
          <w:lang w:val="it-IT"/>
        </w:rPr>
      </w:pPr>
    </w:p>
    <w:p w:rsidR="006224C2" w:rsidRPr="00295E71" w14:paraId="1A93FDB4" w14:textId="77777777">
      <w:pPr>
        <w:pStyle w:val="EndnoteText"/>
        <w:jc w:val="both"/>
        <w:rPr>
          <w:lang w:val="it-IT"/>
        </w:rPr>
      </w:pPr>
      <w:r w:rsidRPr="00295E71">
        <w:rPr>
          <w:lang w:val="it-IT"/>
        </w:rPr>
        <w:t>Dopo adeguate istruzioni sulla tecnica di iniezione di Humira, i pazienti possono eseguire da soli l’iniezione, se il medico lo ritiene opportuno, e con controlli medici periodici, secondo necessità.</w:t>
      </w:r>
    </w:p>
    <w:p w:rsidR="006224C2" w:rsidRPr="00295E71" w14:paraId="3A7895B8" w14:textId="77777777">
      <w:pPr>
        <w:tabs>
          <w:tab w:val="left" w:pos="567"/>
        </w:tabs>
        <w:jc w:val="both"/>
        <w:rPr>
          <w:sz w:val="22"/>
          <w:szCs w:val="22"/>
        </w:rPr>
      </w:pPr>
    </w:p>
    <w:p w:rsidR="006224C2" w:rsidRPr="00295E71" w14:paraId="3F147794" w14:textId="77777777">
      <w:pPr>
        <w:tabs>
          <w:tab w:val="left" w:pos="567"/>
        </w:tabs>
        <w:jc w:val="both"/>
        <w:rPr>
          <w:sz w:val="22"/>
          <w:szCs w:val="22"/>
        </w:rPr>
      </w:pPr>
      <w:r w:rsidRPr="00295E71">
        <w:rPr>
          <w:sz w:val="22"/>
          <w:szCs w:val="22"/>
        </w:rPr>
        <w:t>Durante il trattamento con Humira, le altre terapie concomitanti (per esempio, i corticosteroidi e/o gli agenti immunomodulatori) devono essere ottimizzate.</w:t>
      </w:r>
    </w:p>
    <w:p w:rsidR="006224C2" w:rsidRPr="00295E71" w14:paraId="0F3C4A67" w14:textId="77777777">
      <w:pPr>
        <w:pStyle w:val="EndnoteText"/>
        <w:tabs>
          <w:tab w:val="clear" w:pos="567"/>
        </w:tabs>
        <w:jc w:val="both"/>
        <w:rPr>
          <w:u w:val="single"/>
          <w:lang w:val="it-IT"/>
        </w:rPr>
      </w:pPr>
    </w:p>
    <w:p w:rsidR="006224C2" w:rsidRPr="00295E71" w14:paraId="16FEF889" w14:textId="77777777">
      <w:pPr>
        <w:pStyle w:val="EndnoteText"/>
        <w:tabs>
          <w:tab w:val="clear" w:pos="567"/>
        </w:tabs>
        <w:jc w:val="both"/>
        <w:rPr>
          <w:lang w:val="it-IT" w:eastAsia="it-IT"/>
        </w:rPr>
      </w:pPr>
      <w:r w:rsidRPr="00295E71">
        <w:rPr>
          <w:u w:val="single"/>
          <w:lang w:val="it-IT"/>
        </w:rPr>
        <w:t>Posologia</w:t>
      </w:r>
    </w:p>
    <w:p w:rsidR="006224C2" w:rsidRPr="00295E71" w14:paraId="4E914C34" w14:textId="77777777">
      <w:pPr>
        <w:pStyle w:val="EMEAFigureTitle"/>
        <w:suppressAutoHyphens w:val="0"/>
        <w:jc w:val="both"/>
        <w:rPr>
          <w:u w:val="single"/>
          <w:lang w:val="it-IT" w:eastAsia="it-IT"/>
        </w:rPr>
      </w:pPr>
    </w:p>
    <w:p w:rsidR="006224C2" w:rsidRPr="00295E71" w14:paraId="372535B7" w14:textId="77777777">
      <w:pPr>
        <w:pStyle w:val="EMEAFigureTitle"/>
        <w:suppressAutoHyphens w:val="0"/>
        <w:jc w:val="both"/>
        <w:rPr>
          <w:i/>
          <w:lang w:val="it-IT" w:eastAsia="it-IT"/>
        </w:rPr>
      </w:pPr>
      <w:r w:rsidRPr="00295E71">
        <w:rPr>
          <w:i/>
          <w:lang w:val="it-IT" w:eastAsia="it-IT"/>
        </w:rPr>
        <w:t>Artrite reumatoide</w:t>
      </w:r>
    </w:p>
    <w:p w:rsidR="006224C2" w:rsidRPr="00295E71" w14:paraId="298A8A9E" w14:textId="77777777">
      <w:pPr>
        <w:rPr>
          <w:sz w:val="22"/>
          <w:szCs w:val="22"/>
          <w:u w:val="single"/>
        </w:rPr>
      </w:pPr>
    </w:p>
    <w:p w:rsidR="006224C2" w:rsidRPr="00295E71" w14:paraId="42F4A0C5" w14:textId="77777777">
      <w:pPr>
        <w:tabs>
          <w:tab w:val="left" w:pos="567"/>
        </w:tabs>
        <w:jc w:val="both"/>
        <w:rPr>
          <w:sz w:val="22"/>
          <w:szCs w:val="22"/>
        </w:rPr>
      </w:pPr>
      <w:r w:rsidRPr="00295E71">
        <w:rPr>
          <w:sz w:val="22"/>
          <w:szCs w:val="22"/>
        </w:rPr>
        <w:t>La dose di Humira indicata per i pazienti adulti con artrite reumatoide è di 40 mg di adalimumab in un’unica somministrazione ogni due settimane per via sottocutanea. Il metotressato deve essere continuato durante il trattamento con Humira.</w:t>
      </w:r>
    </w:p>
    <w:p w:rsidR="006224C2" w:rsidRPr="00295E71" w14:paraId="3DC88972" w14:textId="77777777">
      <w:pPr>
        <w:tabs>
          <w:tab w:val="left" w:pos="567"/>
        </w:tabs>
        <w:jc w:val="both"/>
        <w:rPr>
          <w:sz w:val="22"/>
          <w:szCs w:val="22"/>
        </w:rPr>
      </w:pPr>
    </w:p>
    <w:p w:rsidR="006224C2" w:rsidRPr="00295E71" w14:paraId="514DB91F" w14:textId="77777777">
      <w:pPr>
        <w:tabs>
          <w:tab w:val="left" w:pos="567"/>
        </w:tabs>
        <w:jc w:val="both"/>
        <w:rPr>
          <w:sz w:val="22"/>
          <w:szCs w:val="22"/>
        </w:rPr>
      </w:pPr>
      <w:r w:rsidRPr="00295E71">
        <w:rPr>
          <w:sz w:val="22"/>
          <w:szCs w:val="22"/>
        </w:rPr>
        <w:t>Glucocorticoidi, salicilati, farmaci anti-infiammatori non-steroidei o analgesici possono essere continuati in corso di terapia con Humira. Per quanto riguarda la combinazione con altri DMARD diversi dal metotressato vedere paragrafi 4.4 e 5.1.</w:t>
      </w:r>
    </w:p>
    <w:p w:rsidR="006224C2" w:rsidRPr="00295E71" w14:paraId="2DC3CAE1" w14:textId="77777777">
      <w:pPr>
        <w:tabs>
          <w:tab w:val="left" w:pos="567"/>
        </w:tabs>
        <w:jc w:val="both"/>
        <w:rPr>
          <w:sz w:val="22"/>
          <w:szCs w:val="22"/>
        </w:rPr>
      </w:pPr>
    </w:p>
    <w:p w:rsidR="006224C2" w:rsidRPr="00295E71" w14:paraId="4B4AF3CD" w14:textId="77777777">
      <w:pPr>
        <w:pStyle w:val="BodyText"/>
        <w:tabs>
          <w:tab w:val="left" w:pos="567"/>
        </w:tabs>
      </w:pPr>
      <w:r w:rsidRPr="00295E71">
        <w:t xml:space="preserve">Alcuni pazienti che in monoterapia mostrano una riduzione nella risposta </w:t>
      </w:r>
      <w:r w:rsidRPr="00295E71" w:rsidR="00781260">
        <w:t xml:space="preserve">a 40 mg </w:t>
      </w:r>
      <w:r w:rsidRPr="00295E71" w:rsidR="00FA7A1D">
        <w:t xml:space="preserve">di Humira </w:t>
      </w:r>
      <w:r w:rsidRPr="00295E71" w:rsidR="00781260">
        <w:t xml:space="preserve">a settimane alterne </w:t>
      </w:r>
      <w:r w:rsidRPr="00295E71">
        <w:t>possono beneficiare di un aumento del dos</w:t>
      </w:r>
      <w:r w:rsidRPr="00295E71" w:rsidR="00781260">
        <w:t>aggio</w:t>
      </w:r>
      <w:r w:rsidRPr="00295E71">
        <w:t xml:space="preserve"> a 40 mg di adalimumab ogni settimana</w:t>
      </w:r>
      <w:r w:rsidRPr="00295E71" w:rsidR="00781260">
        <w:t xml:space="preserve"> o 80 mg a settimane alterne</w:t>
      </w:r>
      <w:r w:rsidRPr="00295E71">
        <w:t>.</w:t>
      </w:r>
    </w:p>
    <w:p w:rsidR="006224C2" w:rsidRPr="00295E71" w14:paraId="1577E60D" w14:textId="77777777">
      <w:pPr>
        <w:pStyle w:val="BodyText"/>
        <w:tabs>
          <w:tab w:val="left" w:pos="567"/>
        </w:tabs>
      </w:pPr>
    </w:p>
    <w:p w:rsidR="006224C2" w:rsidRPr="00295E71" w14:paraId="33C14DC0" w14:textId="77777777">
      <w:pPr>
        <w:pStyle w:val="BodyText"/>
        <w:tabs>
          <w:tab w:val="left" w:pos="567"/>
        </w:tabs>
      </w:pPr>
      <w:r w:rsidRPr="00295E71">
        <w:t>I dati disponibili suggeriscono che la risposta clinica viene di solito ottenuta entro 12 settimane di trattamento. In un paziente che non risponde entro questo periodo di tempo, la continuazione della terapia deve essere riconsiderata.</w:t>
      </w:r>
    </w:p>
    <w:p w:rsidR="00781260" w:rsidRPr="00295E71" w14:paraId="19D08E1A" w14:textId="77777777">
      <w:pPr>
        <w:pStyle w:val="BodyText"/>
        <w:tabs>
          <w:tab w:val="left" w:pos="567"/>
        </w:tabs>
      </w:pPr>
    </w:p>
    <w:p w:rsidR="00781260" w:rsidRPr="00295E71" w14:paraId="70E83CA1" w14:textId="77777777">
      <w:pPr>
        <w:pStyle w:val="BodyText"/>
        <w:tabs>
          <w:tab w:val="left" w:pos="567"/>
        </w:tabs>
      </w:pPr>
      <w:r w:rsidRPr="00295E71">
        <w:t>Humira può essere disponibile in altre concentrazioni e/o presentazioni a seconda delle necessità individuali di trattamento.</w:t>
      </w:r>
    </w:p>
    <w:p w:rsidR="006224C2" w:rsidRPr="00295E71" w14:paraId="186AEDBE" w14:textId="77777777">
      <w:pPr>
        <w:tabs>
          <w:tab w:val="left" w:pos="567"/>
        </w:tabs>
        <w:jc w:val="both"/>
        <w:rPr>
          <w:sz w:val="22"/>
          <w:szCs w:val="22"/>
        </w:rPr>
      </w:pPr>
    </w:p>
    <w:p w:rsidR="006224C2" w:rsidRPr="00295E71" w14:paraId="592F523C" w14:textId="77777777">
      <w:pPr>
        <w:jc w:val="both"/>
        <w:rPr>
          <w:i/>
          <w:sz w:val="22"/>
          <w:szCs w:val="22"/>
          <w:u w:val="single"/>
        </w:rPr>
      </w:pPr>
      <w:r w:rsidRPr="00295E71">
        <w:rPr>
          <w:i/>
          <w:sz w:val="22"/>
          <w:szCs w:val="22"/>
          <w:u w:val="single"/>
        </w:rPr>
        <w:t>Sospensione della dose</w:t>
      </w:r>
    </w:p>
    <w:p w:rsidR="006224C2" w:rsidRPr="00295E71" w14:paraId="0772BB31" w14:textId="77777777">
      <w:pPr>
        <w:pStyle w:val="EndnoteText"/>
        <w:tabs>
          <w:tab w:val="clear" w:pos="567"/>
        </w:tabs>
        <w:jc w:val="both"/>
        <w:rPr>
          <w:lang w:val="it-IT" w:eastAsia="it-IT"/>
        </w:rPr>
      </w:pPr>
    </w:p>
    <w:p w:rsidR="006224C2" w:rsidRPr="00295E71" w14:paraId="5783EFC9" w14:textId="77777777">
      <w:pPr>
        <w:tabs>
          <w:tab w:val="left" w:pos="567"/>
        </w:tabs>
        <w:jc w:val="both"/>
        <w:rPr>
          <w:sz w:val="22"/>
          <w:szCs w:val="22"/>
        </w:rPr>
      </w:pPr>
      <w:r w:rsidRPr="00295E71">
        <w:rPr>
          <w:sz w:val="22"/>
          <w:szCs w:val="22"/>
        </w:rPr>
        <w:t>Ci potrebbe essere necessità di interruzione della somministrazione, per esempio prima di un intervento chirurgico o in caso di grave infezione.</w:t>
      </w:r>
    </w:p>
    <w:p w:rsidR="006224C2" w:rsidRPr="00295E71" w14:paraId="7B92D991" w14:textId="77777777">
      <w:pPr>
        <w:tabs>
          <w:tab w:val="left" w:pos="567"/>
        </w:tabs>
        <w:jc w:val="both"/>
        <w:rPr>
          <w:sz w:val="22"/>
          <w:szCs w:val="22"/>
        </w:rPr>
      </w:pPr>
    </w:p>
    <w:p w:rsidR="006224C2" w:rsidRPr="00295E71" w14:paraId="4BB190ED" w14:textId="77777777">
      <w:pPr>
        <w:tabs>
          <w:tab w:val="left" w:pos="567"/>
        </w:tabs>
        <w:jc w:val="both"/>
        <w:rPr>
          <w:sz w:val="22"/>
          <w:szCs w:val="22"/>
        </w:rPr>
      </w:pPr>
      <w:r w:rsidRPr="00295E71">
        <w:rPr>
          <w:sz w:val="22"/>
          <w:szCs w:val="22"/>
        </w:rPr>
        <w:t>Dati disponibili indicano che la re-introduzione di Humira, dopo sospensione di 70 giorni o più, determina una risposta clinica della stessa importanza e con un profilo di sicurezza simile rispetto a prima della sospensione del dosaggio.</w:t>
      </w:r>
    </w:p>
    <w:p w:rsidR="006224C2" w:rsidRPr="00295E71" w14:paraId="7611BAAC" w14:textId="77777777">
      <w:pPr>
        <w:tabs>
          <w:tab w:val="left" w:pos="567"/>
        </w:tabs>
        <w:jc w:val="both"/>
        <w:rPr>
          <w:sz w:val="22"/>
          <w:szCs w:val="22"/>
        </w:rPr>
      </w:pPr>
    </w:p>
    <w:p w:rsidR="006224C2" w:rsidRPr="00295E71" w14:paraId="21334BE0" w14:textId="77777777">
      <w:pPr>
        <w:keepNext/>
        <w:rPr>
          <w:i/>
          <w:sz w:val="22"/>
          <w:szCs w:val="22"/>
        </w:rPr>
      </w:pPr>
      <w:r w:rsidRPr="00295E71">
        <w:rPr>
          <w:i/>
          <w:sz w:val="22"/>
          <w:szCs w:val="22"/>
        </w:rPr>
        <w:t>Spondilite anchilosante, spondiloartrite assiale senza evidenza radiografica di SA e artrite psoriasica</w:t>
      </w:r>
    </w:p>
    <w:p w:rsidR="006224C2" w:rsidRPr="00295E71" w14:paraId="47F29FB9" w14:textId="77777777">
      <w:pPr>
        <w:keepNext/>
        <w:tabs>
          <w:tab w:val="left" w:pos="567"/>
        </w:tabs>
        <w:jc w:val="both"/>
        <w:rPr>
          <w:sz w:val="22"/>
          <w:szCs w:val="22"/>
        </w:rPr>
      </w:pPr>
    </w:p>
    <w:p w:rsidR="006224C2" w:rsidRPr="00295E71" w14:paraId="41E663C2" w14:textId="77777777">
      <w:pPr>
        <w:keepNext/>
        <w:tabs>
          <w:tab w:val="left" w:pos="567"/>
        </w:tabs>
        <w:jc w:val="both"/>
        <w:rPr>
          <w:sz w:val="22"/>
          <w:szCs w:val="22"/>
        </w:rPr>
      </w:pPr>
      <w:r w:rsidRPr="00295E71">
        <w:rPr>
          <w:sz w:val="22"/>
          <w:szCs w:val="22"/>
        </w:rPr>
        <w:t>La dose raccomandata di Humira per i pazienti affetti da spondilite anchilosante, spondiloartrite assiale senza evidenza radiografica di SA e per i pazienti con artrite psoriasica è di 40 mg di adalimumab somministrati ogni due settimane in dose singola per via sottocutanea.</w:t>
      </w:r>
    </w:p>
    <w:p w:rsidR="006224C2" w:rsidRPr="00295E71" w14:paraId="3E8DE45D" w14:textId="77777777">
      <w:pPr>
        <w:keepNext/>
        <w:tabs>
          <w:tab w:val="left" w:pos="567"/>
        </w:tabs>
        <w:jc w:val="both"/>
        <w:rPr>
          <w:sz w:val="22"/>
          <w:szCs w:val="22"/>
        </w:rPr>
      </w:pPr>
    </w:p>
    <w:p w:rsidR="006224C2" w:rsidRPr="00295E71" w14:paraId="647EAA49" w14:textId="77777777">
      <w:pPr>
        <w:tabs>
          <w:tab w:val="left" w:pos="567"/>
        </w:tabs>
        <w:jc w:val="both"/>
        <w:rPr>
          <w:sz w:val="22"/>
          <w:szCs w:val="22"/>
        </w:rPr>
      </w:pPr>
      <w:r w:rsidRPr="00295E71">
        <w:rPr>
          <w:sz w:val="22"/>
          <w:szCs w:val="22"/>
        </w:rPr>
        <w:t>I dati disponibili suggeriscono che la risposta clinica viene solitamente ottenuta entro 12 settimane dall’inizio del trattamento. In un paziente che non risponde entro questo periodo di tempo, la continuazione della terapia deve essere riconsiderata.</w:t>
      </w:r>
    </w:p>
    <w:p w:rsidR="006224C2" w:rsidRPr="00295E71" w14:paraId="6A579EF0" w14:textId="77777777">
      <w:pPr>
        <w:tabs>
          <w:tab w:val="left" w:pos="567"/>
        </w:tabs>
        <w:jc w:val="both"/>
        <w:rPr>
          <w:sz w:val="22"/>
          <w:szCs w:val="22"/>
          <w:u w:val="single"/>
        </w:rPr>
      </w:pPr>
    </w:p>
    <w:p w:rsidR="006224C2" w:rsidRPr="00295E71" w14:paraId="3E795705" w14:textId="77777777">
      <w:pPr>
        <w:keepNext/>
        <w:rPr>
          <w:i/>
          <w:sz w:val="22"/>
          <w:szCs w:val="22"/>
        </w:rPr>
      </w:pPr>
      <w:r w:rsidRPr="00295E71">
        <w:rPr>
          <w:i/>
          <w:sz w:val="22"/>
          <w:szCs w:val="22"/>
        </w:rPr>
        <w:t>Psoriasi</w:t>
      </w:r>
    </w:p>
    <w:p w:rsidR="006224C2" w:rsidRPr="00295E71" w14:paraId="500C41FE" w14:textId="77777777">
      <w:pPr>
        <w:keepNext/>
        <w:rPr>
          <w:sz w:val="22"/>
          <w:szCs w:val="22"/>
          <w:u w:val="single"/>
        </w:rPr>
      </w:pPr>
    </w:p>
    <w:p w:rsidR="006224C2" w:rsidRPr="00295E71" w14:paraId="014C8BB0" w14:textId="77777777">
      <w:pPr>
        <w:keepNext/>
        <w:tabs>
          <w:tab w:val="left" w:pos="567"/>
        </w:tabs>
        <w:jc w:val="both"/>
        <w:rPr>
          <w:sz w:val="22"/>
          <w:szCs w:val="22"/>
        </w:rPr>
      </w:pPr>
      <w:r w:rsidRPr="00295E71">
        <w:rPr>
          <w:sz w:val="22"/>
          <w:szCs w:val="22"/>
        </w:rPr>
        <w:t>La dose raccomandata di Humira per i pazienti adulti è costituita da una dose iniziale pari a 80 mg, somministrati per via sottocutanea, seguita da una dose pari a 40 mg, per via sottocutanea, somministrati a settimane alterne, ad iniziare dalla settimana successiva all’assunzione della dose iniziale.</w:t>
      </w:r>
    </w:p>
    <w:p w:rsidR="006224C2" w:rsidRPr="00295E71" w14:paraId="70978D51" w14:textId="77777777">
      <w:pPr>
        <w:tabs>
          <w:tab w:val="left" w:pos="567"/>
        </w:tabs>
        <w:jc w:val="both"/>
        <w:rPr>
          <w:sz w:val="22"/>
          <w:szCs w:val="22"/>
        </w:rPr>
      </w:pPr>
    </w:p>
    <w:p w:rsidR="006224C2" w:rsidRPr="00295E71" w14:paraId="011546FB" w14:textId="77777777">
      <w:pPr>
        <w:tabs>
          <w:tab w:val="left" w:pos="567"/>
        </w:tabs>
        <w:jc w:val="both"/>
        <w:rPr>
          <w:sz w:val="22"/>
          <w:szCs w:val="22"/>
        </w:rPr>
      </w:pPr>
      <w:r w:rsidRPr="00295E71">
        <w:rPr>
          <w:sz w:val="22"/>
          <w:szCs w:val="22"/>
        </w:rPr>
        <w:t>Sarebbe opportuno valutare attentamente se sia il caso di proseguire la terapia oltre le 16 settimane qualora i pazienti non abbiano sviluppato una risposta soddisfacente entro tale periodo.</w:t>
      </w:r>
    </w:p>
    <w:p w:rsidR="006224C2" w:rsidRPr="00295E71" w14:paraId="2850AF13" w14:textId="77777777">
      <w:pPr>
        <w:tabs>
          <w:tab w:val="left" w:pos="567"/>
        </w:tabs>
        <w:jc w:val="both"/>
        <w:rPr>
          <w:sz w:val="22"/>
          <w:szCs w:val="22"/>
        </w:rPr>
      </w:pPr>
    </w:p>
    <w:p w:rsidR="006224C2" w:rsidRPr="00295E71" w14:paraId="3A5945F8" w14:textId="77777777">
      <w:pPr>
        <w:tabs>
          <w:tab w:val="left" w:pos="567"/>
        </w:tabs>
        <w:jc w:val="both"/>
        <w:rPr>
          <w:sz w:val="22"/>
          <w:szCs w:val="22"/>
        </w:rPr>
      </w:pPr>
      <w:r w:rsidRPr="00295E71">
        <w:rPr>
          <w:sz w:val="22"/>
          <w:szCs w:val="22"/>
        </w:rPr>
        <w:t>Dopo 16 settimane, i pazienti con una risposta inadeguata</w:t>
      </w:r>
      <w:r w:rsidRPr="00295E71" w:rsidR="00781260">
        <w:t xml:space="preserve"> </w:t>
      </w:r>
      <w:r w:rsidRPr="00295E71" w:rsidR="00781260">
        <w:rPr>
          <w:sz w:val="22"/>
          <w:szCs w:val="22"/>
        </w:rPr>
        <w:t xml:space="preserve">a 40 mg </w:t>
      </w:r>
      <w:r w:rsidRPr="00295E71" w:rsidR="00FA7A1D">
        <w:rPr>
          <w:sz w:val="22"/>
          <w:szCs w:val="22"/>
        </w:rPr>
        <w:t>di Humira</w:t>
      </w:r>
      <w:r w:rsidRPr="00295E71" w:rsidR="00781260">
        <w:rPr>
          <w:sz w:val="22"/>
          <w:szCs w:val="22"/>
        </w:rPr>
        <w:t xml:space="preserve"> a settimane alterne</w:t>
      </w:r>
      <w:r w:rsidRPr="00295E71">
        <w:rPr>
          <w:sz w:val="22"/>
          <w:szCs w:val="22"/>
        </w:rPr>
        <w:t xml:space="preserve"> possono beneficiare di un incremento del dos</w:t>
      </w:r>
      <w:r w:rsidRPr="00295E71" w:rsidR="00781260">
        <w:rPr>
          <w:sz w:val="22"/>
          <w:szCs w:val="22"/>
        </w:rPr>
        <w:t>aggio</w:t>
      </w:r>
      <w:r w:rsidRPr="00295E71">
        <w:rPr>
          <w:sz w:val="22"/>
          <w:szCs w:val="22"/>
        </w:rPr>
        <w:t xml:space="preserve"> a 40 mg ogni settimana</w:t>
      </w:r>
      <w:r w:rsidRPr="00295E71" w:rsidR="00781260">
        <w:rPr>
          <w:sz w:val="22"/>
          <w:szCs w:val="22"/>
        </w:rPr>
        <w:t xml:space="preserve"> o 80 mg a settimane alterne</w:t>
      </w:r>
      <w:r w:rsidRPr="00295E71">
        <w:rPr>
          <w:sz w:val="22"/>
          <w:szCs w:val="22"/>
        </w:rPr>
        <w:t xml:space="preserve">. Devono essere attentamente riconsiderati i benefici e i rischi della terapia settimanale continuativa con </w:t>
      </w:r>
      <w:r w:rsidRPr="00295E71" w:rsidR="00781260">
        <w:rPr>
          <w:sz w:val="22"/>
          <w:szCs w:val="22"/>
        </w:rPr>
        <w:t>40 mg o 80 mg a settimane alterne</w:t>
      </w:r>
      <w:r w:rsidRPr="00295E71">
        <w:rPr>
          <w:sz w:val="22"/>
          <w:szCs w:val="22"/>
        </w:rPr>
        <w:t xml:space="preserve"> in pazienti con una risposta inadeguata dopo l’aumento del dos</w:t>
      </w:r>
      <w:r w:rsidRPr="00295E71" w:rsidR="00781260">
        <w:rPr>
          <w:sz w:val="22"/>
          <w:szCs w:val="22"/>
        </w:rPr>
        <w:t>aggio (vedere paragrafo 5.1)</w:t>
      </w:r>
      <w:r w:rsidRPr="00295E71">
        <w:rPr>
          <w:sz w:val="22"/>
          <w:szCs w:val="22"/>
        </w:rPr>
        <w:t xml:space="preserve">. Se si ottiene una risposta adeguata </w:t>
      </w:r>
      <w:r w:rsidRPr="00295E71" w:rsidR="00781260">
        <w:rPr>
          <w:sz w:val="22"/>
          <w:szCs w:val="22"/>
        </w:rPr>
        <w:t>con 40 mg ogni settima</w:t>
      </w:r>
      <w:r w:rsidR="00BD0F8D">
        <w:rPr>
          <w:sz w:val="22"/>
          <w:szCs w:val="22"/>
        </w:rPr>
        <w:t>n</w:t>
      </w:r>
      <w:r w:rsidRPr="00295E71" w:rsidR="00781260">
        <w:rPr>
          <w:sz w:val="22"/>
          <w:szCs w:val="22"/>
        </w:rPr>
        <w:t>a o 80 mg a settimane alterne</w:t>
      </w:r>
      <w:r w:rsidRPr="00295E71">
        <w:rPr>
          <w:sz w:val="22"/>
          <w:szCs w:val="22"/>
        </w:rPr>
        <w:t xml:space="preserve">, </w:t>
      </w:r>
      <w:r w:rsidRPr="00295E71" w:rsidR="00781260">
        <w:rPr>
          <w:sz w:val="22"/>
          <w:szCs w:val="22"/>
        </w:rPr>
        <w:t>i</w:t>
      </w:r>
      <w:r w:rsidRPr="00295E71">
        <w:rPr>
          <w:sz w:val="22"/>
          <w:szCs w:val="22"/>
        </w:rPr>
        <w:t>l dos</w:t>
      </w:r>
      <w:r w:rsidRPr="00295E71" w:rsidR="00781260">
        <w:rPr>
          <w:sz w:val="22"/>
          <w:szCs w:val="22"/>
        </w:rPr>
        <w:t>aggio</w:t>
      </w:r>
      <w:r w:rsidRPr="00295E71">
        <w:rPr>
          <w:sz w:val="22"/>
          <w:szCs w:val="22"/>
        </w:rPr>
        <w:t xml:space="preserve"> può essere successivamente ridott</w:t>
      </w:r>
      <w:r w:rsidRPr="00295E71" w:rsidR="00781260">
        <w:rPr>
          <w:sz w:val="22"/>
          <w:szCs w:val="22"/>
        </w:rPr>
        <w:t>o</w:t>
      </w:r>
      <w:r w:rsidRPr="00295E71">
        <w:rPr>
          <w:sz w:val="22"/>
          <w:szCs w:val="22"/>
        </w:rPr>
        <w:t xml:space="preserve"> a 40 mg a settimane alterne.</w:t>
      </w:r>
    </w:p>
    <w:p w:rsidR="00781260" w:rsidRPr="00295E71" w14:paraId="0DDE06D0" w14:textId="77777777">
      <w:pPr>
        <w:tabs>
          <w:tab w:val="left" w:pos="567"/>
        </w:tabs>
        <w:jc w:val="both"/>
        <w:rPr>
          <w:sz w:val="22"/>
          <w:szCs w:val="22"/>
        </w:rPr>
      </w:pPr>
    </w:p>
    <w:p w:rsidR="00781260" w:rsidRPr="00295E71" w14:paraId="19B80EEA"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6224C2" w:rsidRPr="00295E71" w14:paraId="4520E712" w14:textId="77777777">
      <w:pPr>
        <w:rPr>
          <w:sz w:val="22"/>
          <w:szCs w:val="22"/>
        </w:rPr>
      </w:pPr>
    </w:p>
    <w:p w:rsidR="006224C2" w:rsidRPr="00295E71" w14:paraId="1A4D82FF" w14:textId="77777777">
      <w:pPr>
        <w:rPr>
          <w:i/>
          <w:sz w:val="22"/>
          <w:szCs w:val="22"/>
        </w:rPr>
      </w:pPr>
      <w:r w:rsidRPr="00295E71">
        <w:rPr>
          <w:i/>
          <w:sz w:val="22"/>
          <w:szCs w:val="22"/>
        </w:rPr>
        <w:t>Idrosadenite Suppurativa</w:t>
      </w:r>
    </w:p>
    <w:p w:rsidR="006224C2" w:rsidRPr="00295E71" w14:paraId="2AA721DE" w14:textId="77777777">
      <w:pPr>
        <w:rPr>
          <w:sz w:val="22"/>
          <w:szCs w:val="22"/>
          <w:u w:val="single"/>
        </w:rPr>
      </w:pPr>
    </w:p>
    <w:p w:rsidR="006224C2" w:rsidRPr="00295E71" w14:paraId="68CB0216" w14:textId="77777777">
      <w:pPr>
        <w:rPr>
          <w:sz w:val="22"/>
          <w:szCs w:val="22"/>
        </w:rPr>
      </w:pPr>
      <w:r w:rsidRPr="00295E71">
        <w:rPr>
          <w:sz w:val="22"/>
          <w:szCs w:val="22"/>
        </w:rPr>
        <w:t>La dose raccomandata di Humira per i pazienti adulti con idrosadenite suppurativa (HS) è inizialmente di 160 mg al giorno 1 (somministrata in quattro iniezioni da 40 mg in un giorno o in due iniezioni da 40 mg al giorno per due giorni consecutivi), seguita da 80 mg due settimane dopo, (giorno 15), somministrati in due iniezioni da 40 mg in un giorno. Due settimane dopo (giorno 29) continuare con una dose di 40 mg a settimana</w:t>
      </w:r>
      <w:r w:rsidRPr="00295E71" w:rsidR="0095752E">
        <w:rPr>
          <w:sz w:val="22"/>
          <w:szCs w:val="22"/>
        </w:rPr>
        <w:t xml:space="preserve"> o 80 mg a settimane alterne (somministrata in due iniezioni da 40 mg in un giorno)</w:t>
      </w:r>
      <w:r w:rsidRPr="00295E71">
        <w:rPr>
          <w:sz w:val="22"/>
          <w:szCs w:val="22"/>
        </w:rPr>
        <w:t xml:space="preserve">. Se necessario, è possibile continuare la terapia antibiotica durante il trattamento con </w:t>
      </w:r>
      <w:r w:rsidRPr="00295E71">
        <w:rPr>
          <w:sz w:val="22"/>
          <w:szCs w:val="22"/>
        </w:rPr>
        <w:t>Humira. Durante il trattamento con Humira si raccomanda ai pazienti di usare tutti i giorni una soluzione di lavaggio antisettica</w:t>
      </w:r>
      <w:r w:rsidRPr="00BD0F8D" w:rsidR="00BD0F8D">
        <w:rPr>
          <w:sz w:val="22"/>
          <w:szCs w:val="22"/>
        </w:rPr>
        <w:t xml:space="preserve"> </w:t>
      </w:r>
      <w:r w:rsidRPr="00020442" w:rsidR="00BD0F8D">
        <w:rPr>
          <w:sz w:val="22"/>
          <w:szCs w:val="22"/>
        </w:rPr>
        <w:t>topica</w:t>
      </w:r>
      <w:r w:rsidRPr="00295E71">
        <w:rPr>
          <w:sz w:val="22"/>
          <w:szCs w:val="22"/>
        </w:rPr>
        <w:t xml:space="preserve"> sulle lesioni correlate all’idrosadenite suppurativa (HS). </w:t>
      </w:r>
    </w:p>
    <w:p w:rsidR="006224C2" w:rsidRPr="00295E71" w14:paraId="4F1BE7EC" w14:textId="77777777">
      <w:pPr>
        <w:rPr>
          <w:sz w:val="22"/>
          <w:szCs w:val="22"/>
        </w:rPr>
      </w:pPr>
    </w:p>
    <w:p w:rsidR="006224C2" w:rsidRPr="00295E71" w14:paraId="7C9D3215" w14:textId="77777777">
      <w:pPr>
        <w:tabs>
          <w:tab w:val="left" w:pos="567"/>
        </w:tabs>
        <w:jc w:val="both"/>
        <w:rPr>
          <w:sz w:val="22"/>
          <w:szCs w:val="22"/>
        </w:rPr>
      </w:pPr>
      <w:r w:rsidRPr="00295E71">
        <w:rPr>
          <w:sz w:val="22"/>
          <w:szCs w:val="22"/>
        </w:rPr>
        <w:t xml:space="preserve">La prosecuzione della terapia oltre 12 settimane di trattamento deve essere valutata attentamente se i pazienti non sono migliorati in tale periodo. </w:t>
      </w:r>
    </w:p>
    <w:p w:rsidR="006224C2" w:rsidRPr="00295E71" w14:paraId="3597384E" w14:textId="77777777">
      <w:pPr>
        <w:tabs>
          <w:tab w:val="left" w:pos="567"/>
        </w:tabs>
        <w:jc w:val="both"/>
        <w:rPr>
          <w:sz w:val="22"/>
          <w:szCs w:val="22"/>
        </w:rPr>
      </w:pPr>
    </w:p>
    <w:p w:rsidR="006224C2" w:rsidRPr="00295E71" w14:paraId="0557D8BD" w14:textId="77777777">
      <w:pPr>
        <w:tabs>
          <w:tab w:val="left" w:pos="567"/>
        </w:tabs>
        <w:jc w:val="both"/>
        <w:rPr>
          <w:sz w:val="22"/>
          <w:szCs w:val="22"/>
        </w:rPr>
      </w:pPr>
      <w:r w:rsidRPr="00295E71">
        <w:rPr>
          <w:sz w:val="22"/>
          <w:szCs w:val="22"/>
        </w:rPr>
        <w:t xml:space="preserve">Laddove fosse necessario interrompere il trattamento, è possibile riprendere la terapia con Humira 40 mg ogni settimana </w:t>
      </w:r>
      <w:r w:rsidRPr="00295E71" w:rsidR="00990181">
        <w:rPr>
          <w:sz w:val="22"/>
          <w:szCs w:val="22"/>
        </w:rPr>
        <w:t xml:space="preserve">o 80 mg a settimane alterne </w:t>
      </w:r>
      <w:r w:rsidRPr="00295E71">
        <w:rPr>
          <w:sz w:val="22"/>
          <w:szCs w:val="22"/>
        </w:rPr>
        <w:t xml:space="preserve">(vedere paragrafo 5.1). </w:t>
      </w:r>
    </w:p>
    <w:p w:rsidR="006224C2" w:rsidRPr="00295E71" w14:paraId="16227A51" w14:textId="77777777">
      <w:pPr>
        <w:tabs>
          <w:tab w:val="left" w:pos="567"/>
        </w:tabs>
        <w:jc w:val="both"/>
        <w:rPr>
          <w:sz w:val="22"/>
          <w:szCs w:val="22"/>
        </w:rPr>
      </w:pPr>
    </w:p>
    <w:p w:rsidR="006224C2" w:rsidRPr="00295E71" w14:paraId="43BB3CFB" w14:textId="77777777">
      <w:pPr>
        <w:keepNext/>
        <w:rPr>
          <w:sz w:val="22"/>
          <w:szCs w:val="22"/>
        </w:rPr>
      </w:pPr>
      <w:r w:rsidRPr="00295E71">
        <w:rPr>
          <w:sz w:val="22"/>
          <w:szCs w:val="22"/>
        </w:rPr>
        <w:t>La valutazione dei benefici e dei rischi del trattamento continuato a lungo termine deve essere effettuata periodicamente (vedere paragrafo 5.1).</w:t>
      </w:r>
    </w:p>
    <w:p w:rsidR="00990181" w:rsidRPr="00295E71" w14:paraId="011F54EF" w14:textId="77777777">
      <w:pPr>
        <w:keepNext/>
        <w:rPr>
          <w:sz w:val="22"/>
          <w:szCs w:val="22"/>
        </w:rPr>
      </w:pPr>
    </w:p>
    <w:p w:rsidR="00990181" w:rsidRPr="00295E71" w14:paraId="2A0A0FF2" w14:textId="77777777">
      <w:pPr>
        <w:keepNext/>
        <w:rPr>
          <w:sz w:val="22"/>
          <w:szCs w:val="22"/>
        </w:rPr>
      </w:pPr>
      <w:r w:rsidRPr="00295E71">
        <w:rPr>
          <w:sz w:val="22"/>
          <w:szCs w:val="22"/>
        </w:rPr>
        <w:t>Humira può essere disponibile in altre concentrazioni e/o presentazioni a seconda delle necessità individuali di trattamento.</w:t>
      </w:r>
    </w:p>
    <w:p w:rsidR="006224C2" w:rsidRPr="00295E71" w14:paraId="5F127674" w14:textId="77777777">
      <w:pPr>
        <w:rPr>
          <w:i/>
          <w:sz w:val="22"/>
          <w:szCs w:val="22"/>
        </w:rPr>
      </w:pPr>
    </w:p>
    <w:p w:rsidR="006224C2" w:rsidRPr="00295E71" w14:paraId="625726AE" w14:textId="77777777">
      <w:pPr>
        <w:rPr>
          <w:i/>
          <w:sz w:val="22"/>
          <w:szCs w:val="22"/>
        </w:rPr>
      </w:pPr>
      <w:r w:rsidRPr="00295E71">
        <w:rPr>
          <w:i/>
          <w:sz w:val="22"/>
          <w:szCs w:val="22"/>
        </w:rPr>
        <w:t>Malattia di Crohn</w:t>
      </w:r>
    </w:p>
    <w:p w:rsidR="006224C2" w:rsidRPr="00295E71" w14:paraId="4473BDF9" w14:textId="77777777">
      <w:pPr>
        <w:rPr>
          <w:sz w:val="22"/>
          <w:szCs w:val="22"/>
        </w:rPr>
      </w:pPr>
    </w:p>
    <w:p w:rsidR="006224C2" w:rsidRPr="00295E71" w14:paraId="274BCE5A" w14:textId="77777777">
      <w:pPr>
        <w:tabs>
          <w:tab w:val="left" w:pos="567"/>
        </w:tabs>
        <w:jc w:val="both"/>
        <w:rPr>
          <w:sz w:val="22"/>
          <w:szCs w:val="22"/>
        </w:rPr>
      </w:pPr>
      <w:r w:rsidRPr="00295E71">
        <w:rPr>
          <w:sz w:val="22"/>
          <w:szCs w:val="22"/>
        </w:rPr>
        <w:t xml:space="preserve">La dose di Humira indicata in caso di terapia di induzione è pari a 80 mg alla settimana 0 per i pazienti adulti affetti da malattia di Crohn attiva di grado da moderato a severo, seguita da una dose di 40 mg alla settimana 2. Nel caso in cui sia necessario indurre una risposta più rapida alla terapia, può essere somministrata una dose pari a 160 mg alla settimana 0 (somministrata </w:t>
      </w:r>
      <w:r w:rsidRPr="00295E71" w:rsidR="00247CCB">
        <w:rPr>
          <w:sz w:val="22"/>
          <w:szCs w:val="22"/>
        </w:rPr>
        <w:t>in</w:t>
      </w:r>
      <w:r w:rsidRPr="00295E71">
        <w:rPr>
          <w:sz w:val="22"/>
          <w:szCs w:val="22"/>
        </w:rPr>
        <w:t xml:space="preserve"> quattro iniezioni</w:t>
      </w:r>
      <w:r w:rsidRPr="00295E71" w:rsidR="00990181">
        <w:rPr>
          <w:sz w:val="22"/>
          <w:szCs w:val="22"/>
        </w:rPr>
        <w:t xml:space="preserve"> da 40 mg</w:t>
      </w:r>
      <w:r w:rsidRPr="00295E71">
        <w:rPr>
          <w:sz w:val="22"/>
          <w:szCs w:val="22"/>
        </w:rPr>
        <w:t xml:space="preserve"> i</w:t>
      </w:r>
      <w:r w:rsidRPr="00295E71" w:rsidR="00247CCB">
        <w:rPr>
          <w:sz w:val="22"/>
          <w:szCs w:val="22"/>
        </w:rPr>
        <w:t>n</w:t>
      </w:r>
      <w:r w:rsidRPr="00295E71">
        <w:rPr>
          <w:sz w:val="22"/>
          <w:szCs w:val="22"/>
        </w:rPr>
        <w:t xml:space="preserve"> un giorno oppure due iniezioni </w:t>
      </w:r>
      <w:r w:rsidRPr="00295E71" w:rsidR="00990181">
        <w:rPr>
          <w:sz w:val="22"/>
          <w:szCs w:val="22"/>
        </w:rPr>
        <w:t xml:space="preserve">da 40 mg </w:t>
      </w:r>
      <w:r w:rsidRPr="00295E71">
        <w:rPr>
          <w:sz w:val="22"/>
          <w:szCs w:val="22"/>
        </w:rPr>
        <w:t>al giorno per due giorni consecutivi), seguita da 80 mg alla settimana 2</w:t>
      </w:r>
      <w:r w:rsidRPr="00295E71" w:rsidR="00247CCB">
        <w:rPr>
          <w:sz w:val="22"/>
          <w:szCs w:val="22"/>
        </w:rPr>
        <w:t xml:space="preserve"> </w:t>
      </w:r>
      <w:r w:rsidRPr="00295E71" w:rsidR="00990181">
        <w:rPr>
          <w:sz w:val="22"/>
          <w:szCs w:val="22"/>
        </w:rPr>
        <w:t>(somministrata in due iniezioni da 40 mg in un giorno)</w:t>
      </w:r>
      <w:r w:rsidRPr="00295E71">
        <w:rPr>
          <w:sz w:val="22"/>
          <w:szCs w:val="22"/>
        </w:rPr>
        <w:t>, tenendo presente che il rischio di eventi avversi risulta maggiore durante l’induzione.</w:t>
      </w:r>
    </w:p>
    <w:p w:rsidR="006224C2" w:rsidRPr="00295E71" w14:paraId="223824D2" w14:textId="77777777">
      <w:pPr>
        <w:rPr>
          <w:sz w:val="22"/>
          <w:szCs w:val="22"/>
        </w:rPr>
      </w:pPr>
    </w:p>
    <w:p w:rsidR="006224C2" w:rsidRPr="00295E71" w14:paraId="5EE942C3" w14:textId="77777777">
      <w:pPr>
        <w:tabs>
          <w:tab w:val="left" w:pos="567"/>
        </w:tabs>
        <w:jc w:val="both"/>
        <w:rPr>
          <w:sz w:val="22"/>
          <w:szCs w:val="22"/>
        </w:rPr>
      </w:pPr>
      <w:r w:rsidRPr="00295E71">
        <w:rPr>
          <w:sz w:val="22"/>
          <w:szCs w:val="22"/>
        </w:rPr>
        <w:t xml:space="preserve">Dopo il trattamento di induzione, la dose indicata è pari a 40 mg a settimane alterne, somministrata per via sottocutanea. In alternativa, nel caso in cui un paziente abbia interrotto il trattamento con Humira e qualora dovesse ricorrere la sintomatologia tipica della malattia, la terapia con Humira può essere somministrata nuovamente. Esistono pochi dati sulla risomministrazione di Humira qualora sia trascorso un periodo </w:t>
      </w:r>
      <w:r w:rsidRPr="00020442" w:rsidR="00BD0F8D">
        <w:rPr>
          <w:sz w:val="22"/>
          <w:szCs w:val="22"/>
        </w:rPr>
        <w:t>superiore a</w:t>
      </w:r>
      <w:r w:rsidRPr="00295E71">
        <w:rPr>
          <w:sz w:val="22"/>
          <w:szCs w:val="22"/>
        </w:rPr>
        <w:t xml:space="preserve"> 8 settimane dalla somministrazione della dose precedente.</w:t>
      </w:r>
    </w:p>
    <w:p w:rsidR="006224C2" w:rsidRPr="00295E71" w14:paraId="35B30EB4" w14:textId="77777777">
      <w:pPr>
        <w:tabs>
          <w:tab w:val="left" w:pos="567"/>
        </w:tabs>
        <w:jc w:val="both"/>
        <w:rPr>
          <w:sz w:val="22"/>
          <w:szCs w:val="22"/>
        </w:rPr>
      </w:pPr>
    </w:p>
    <w:p w:rsidR="006224C2" w:rsidRPr="00295E71" w14:paraId="3147DD64" w14:textId="77777777">
      <w:pPr>
        <w:tabs>
          <w:tab w:val="left" w:pos="567"/>
        </w:tabs>
        <w:jc w:val="both"/>
        <w:rPr>
          <w:sz w:val="22"/>
          <w:szCs w:val="22"/>
        </w:rPr>
      </w:pPr>
      <w:r w:rsidRPr="00295E71">
        <w:rPr>
          <w:sz w:val="22"/>
          <w:szCs w:val="22"/>
        </w:rPr>
        <w:t>Nel corso della terapia di mantenimento, il dosaggio di corticosteroidi può essere gradatamente ridotto in base alle linee guida elaborate per la gestione clinica della malattia.</w:t>
      </w:r>
    </w:p>
    <w:p w:rsidR="006224C2" w:rsidRPr="00295E71" w14:paraId="2D05228A" w14:textId="77777777">
      <w:pPr>
        <w:tabs>
          <w:tab w:val="left" w:pos="567"/>
        </w:tabs>
        <w:jc w:val="both"/>
        <w:rPr>
          <w:sz w:val="22"/>
          <w:szCs w:val="22"/>
        </w:rPr>
      </w:pPr>
    </w:p>
    <w:p w:rsidR="006224C2" w:rsidRPr="00295E71" w14:paraId="390AE079" w14:textId="77777777">
      <w:pPr>
        <w:tabs>
          <w:tab w:val="left" w:pos="567"/>
        </w:tabs>
        <w:jc w:val="both"/>
        <w:rPr>
          <w:sz w:val="22"/>
          <w:szCs w:val="22"/>
        </w:rPr>
      </w:pPr>
      <w:r w:rsidRPr="00295E71">
        <w:rPr>
          <w:sz w:val="22"/>
          <w:szCs w:val="22"/>
        </w:rPr>
        <w:t xml:space="preserve">Alcuni pazienti </w:t>
      </w:r>
      <w:r w:rsidRPr="00295E71" w:rsidR="00247CCB">
        <w:rPr>
          <w:sz w:val="22"/>
          <w:szCs w:val="22"/>
        </w:rPr>
        <w:t xml:space="preserve">che </w:t>
      </w:r>
      <w:r w:rsidRPr="00295E71" w:rsidR="00247CCB">
        <w:t xml:space="preserve">mostrano </w:t>
      </w:r>
      <w:r w:rsidRPr="00295E71" w:rsidR="00247CCB">
        <w:rPr>
          <w:sz w:val="22"/>
          <w:szCs w:val="22"/>
        </w:rPr>
        <w:t>una riduzione nella</w:t>
      </w:r>
      <w:r w:rsidRPr="00295E71">
        <w:rPr>
          <w:sz w:val="22"/>
          <w:szCs w:val="22"/>
        </w:rPr>
        <w:t xml:space="preserve"> risposta </w:t>
      </w:r>
      <w:r w:rsidRPr="00295E71" w:rsidR="00247CCB">
        <w:rPr>
          <w:sz w:val="22"/>
          <w:szCs w:val="22"/>
        </w:rPr>
        <w:t>a 40 mg di Humira a settimane alterne</w:t>
      </w:r>
      <w:r w:rsidRPr="00295E71">
        <w:rPr>
          <w:sz w:val="22"/>
          <w:szCs w:val="22"/>
        </w:rPr>
        <w:t xml:space="preserve"> possono trarre giovamento da un aumento del </w:t>
      </w:r>
      <w:r w:rsidRPr="00295E71" w:rsidR="00247CCB">
        <w:rPr>
          <w:sz w:val="22"/>
          <w:szCs w:val="22"/>
        </w:rPr>
        <w:t>dosaggio</w:t>
      </w:r>
      <w:r w:rsidRPr="00295E71">
        <w:rPr>
          <w:sz w:val="22"/>
          <w:szCs w:val="22"/>
        </w:rPr>
        <w:t xml:space="preserve"> a 40 mg di Humira ogni settimana</w:t>
      </w:r>
      <w:r w:rsidRPr="00295E71" w:rsidR="00247CCB">
        <w:rPr>
          <w:sz w:val="22"/>
          <w:szCs w:val="22"/>
        </w:rPr>
        <w:t xml:space="preserve"> </w:t>
      </w:r>
      <w:r w:rsidRPr="00295E71" w:rsidR="00247CCB">
        <w:t>o 80 mg a settimane alterne</w:t>
      </w:r>
      <w:r w:rsidRPr="00295E71">
        <w:rPr>
          <w:sz w:val="22"/>
          <w:szCs w:val="22"/>
        </w:rPr>
        <w:t>.</w:t>
      </w:r>
    </w:p>
    <w:p w:rsidR="006224C2" w:rsidRPr="00295E71" w14:paraId="715261B6" w14:textId="77777777">
      <w:pPr>
        <w:tabs>
          <w:tab w:val="left" w:pos="567"/>
        </w:tabs>
        <w:jc w:val="both"/>
        <w:rPr>
          <w:sz w:val="22"/>
          <w:szCs w:val="22"/>
        </w:rPr>
      </w:pPr>
    </w:p>
    <w:p w:rsidR="006224C2" w:rsidRPr="00295E71" w14:paraId="007B8892" w14:textId="77777777">
      <w:pPr>
        <w:tabs>
          <w:tab w:val="left" w:pos="567"/>
        </w:tabs>
        <w:jc w:val="both"/>
        <w:rPr>
          <w:sz w:val="22"/>
          <w:szCs w:val="22"/>
        </w:rPr>
      </w:pPr>
      <w:r w:rsidRPr="00020442">
        <w:rPr>
          <w:sz w:val="22"/>
          <w:szCs w:val="22"/>
        </w:rPr>
        <w:t>Alcuni</w:t>
      </w:r>
      <w:r w:rsidRPr="00295E71" w:rsidR="00226BC4">
        <w:rPr>
          <w:sz w:val="22"/>
          <w:szCs w:val="22"/>
        </w:rPr>
        <w:t xml:space="preserve"> pazienti che non hanno manifestato una risposta adeguata alla terapia entro la quarta settimana potrebbero trarre giovamento dall’istituzione di una terapia di mantenimento continuata fino alla dodicesima settimana. Nei pazienti in cui la risposta alla terapia risulti inadeguata entro questo periodo di tempo, deve essere attentamente valutata la necessità di istituire una terapia continuata.</w:t>
      </w:r>
    </w:p>
    <w:p w:rsidR="006224C2" w:rsidRPr="00295E71" w14:paraId="1E32E97C" w14:textId="77777777">
      <w:pPr>
        <w:tabs>
          <w:tab w:val="left" w:pos="567"/>
        </w:tabs>
        <w:jc w:val="both"/>
        <w:rPr>
          <w:sz w:val="22"/>
          <w:szCs w:val="22"/>
        </w:rPr>
      </w:pPr>
    </w:p>
    <w:p w:rsidR="00247CCB" w:rsidRPr="00295E71" w14:paraId="2234067A"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247CCB" w:rsidRPr="00295E71" w14:paraId="40E93FCA" w14:textId="77777777">
      <w:pPr>
        <w:tabs>
          <w:tab w:val="left" w:pos="567"/>
        </w:tabs>
        <w:jc w:val="both"/>
        <w:rPr>
          <w:sz w:val="22"/>
          <w:szCs w:val="22"/>
        </w:rPr>
      </w:pPr>
    </w:p>
    <w:p w:rsidR="006224C2" w:rsidRPr="00295E71" w14:paraId="4F40F2D3" w14:textId="77777777">
      <w:pPr>
        <w:rPr>
          <w:i/>
          <w:sz w:val="22"/>
          <w:szCs w:val="22"/>
        </w:rPr>
      </w:pPr>
      <w:r w:rsidRPr="00295E71">
        <w:rPr>
          <w:i/>
          <w:sz w:val="22"/>
          <w:szCs w:val="22"/>
        </w:rPr>
        <w:t>Colite Ulcerosa</w:t>
      </w:r>
    </w:p>
    <w:p w:rsidR="006224C2" w:rsidRPr="00295E71" w14:paraId="09B060EC" w14:textId="77777777">
      <w:pPr>
        <w:tabs>
          <w:tab w:val="left" w:pos="567"/>
        </w:tabs>
        <w:jc w:val="both"/>
        <w:rPr>
          <w:sz w:val="22"/>
          <w:szCs w:val="22"/>
        </w:rPr>
      </w:pPr>
    </w:p>
    <w:p w:rsidR="006224C2" w:rsidRPr="00295E71" w14:paraId="4E82F029" w14:textId="77777777">
      <w:pPr>
        <w:tabs>
          <w:tab w:val="left" w:pos="567"/>
        </w:tabs>
        <w:jc w:val="both"/>
        <w:rPr>
          <w:sz w:val="22"/>
          <w:szCs w:val="22"/>
        </w:rPr>
      </w:pPr>
      <w:r w:rsidRPr="00295E71">
        <w:rPr>
          <w:sz w:val="22"/>
          <w:szCs w:val="22"/>
        </w:rPr>
        <w:t xml:space="preserve">Il regime posologico di induzione raccomandato per Humira per pazienti adulti affetti da colite ulcerosa di grado da moderato a severo è di 160 mg alla settimana 0 (somministrata </w:t>
      </w:r>
      <w:r w:rsidRPr="00295E71" w:rsidR="00247CCB">
        <w:rPr>
          <w:sz w:val="22"/>
          <w:szCs w:val="22"/>
        </w:rPr>
        <w:t>in quattro</w:t>
      </w:r>
      <w:r w:rsidRPr="00295E71">
        <w:rPr>
          <w:sz w:val="22"/>
          <w:szCs w:val="22"/>
        </w:rPr>
        <w:t xml:space="preserve"> iniezioni </w:t>
      </w:r>
      <w:r w:rsidRPr="00295E71" w:rsidR="00B1793B">
        <w:rPr>
          <w:sz w:val="22"/>
          <w:szCs w:val="22"/>
        </w:rPr>
        <w:t xml:space="preserve">da 40 mg </w:t>
      </w:r>
      <w:r w:rsidRPr="00295E71">
        <w:rPr>
          <w:sz w:val="22"/>
          <w:szCs w:val="22"/>
        </w:rPr>
        <w:t xml:space="preserve">in un giorno o due iniezioni </w:t>
      </w:r>
      <w:r w:rsidRPr="00295E71" w:rsidR="00B1793B">
        <w:rPr>
          <w:sz w:val="22"/>
          <w:szCs w:val="22"/>
        </w:rPr>
        <w:t xml:space="preserve">da 40 mg </w:t>
      </w:r>
      <w:r w:rsidRPr="00295E71">
        <w:rPr>
          <w:sz w:val="22"/>
          <w:szCs w:val="22"/>
        </w:rPr>
        <w:t>al giorno per due giorni consecutivi) e 80 mg alla settimana 2</w:t>
      </w:r>
      <w:r w:rsidRPr="00295E71" w:rsidR="00B1793B">
        <w:rPr>
          <w:sz w:val="22"/>
          <w:szCs w:val="22"/>
        </w:rPr>
        <w:t xml:space="preserve"> (somministrata in due iniezioni da 40 mg in un giorno)</w:t>
      </w:r>
      <w:r w:rsidRPr="00295E71">
        <w:rPr>
          <w:sz w:val="22"/>
          <w:szCs w:val="22"/>
        </w:rPr>
        <w:t>. Dopo il trattamento di induzione, la dose raccomandata è di 40 mg a settimane alterne per via sottocutanea.</w:t>
      </w:r>
    </w:p>
    <w:p w:rsidR="006224C2" w:rsidRPr="00295E71" w14:paraId="1044381A" w14:textId="77777777">
      <w:pPr>
        <w:tabs>
          <w:tab w:val="left" w:pos="567"/>
        </w:tabs>
        <w:jc w:val="both"/>
        <w:rPr>
          <w:sz w:val="22"/>
          <w:szCs w:val="22"/>
        </w:rPr>
      </w:pPr>
    </w:p>
    <w:p w:rsidR="006224C2" w:rsidRPr="00295E71" w14:paraId="242903CE" w14:textId="77777777">
      <w:pPr>
        <w:tabs>
          <w:tab w:val="left" w:pos="567"/>
        </w:tabs>
        <w:jc w:val="both"/>
        <w:rPr>
          <w:sz w:val="22"/>
          <w:szCs w:val="22"/>
        </w:rPr>
      </w:pPr>
      <w:r w:rsidRPr="00295E71">
        <w:rPr>
          <w:sz w:val="22"/>
          <w:szCs w:val="22"/>
        </w:rPr>
        <w:t>Durante il trattamento di mantenimento, i corticosteroidi possono essere ridotti progressivamente in accordo alle linee</w:t>
      </w:r>
      <w:r w:rsidR="00BD0F8D">
        <w:rPr>
          <w:sz w:val="22"/>
          <w:szCs w:val="22"/>
        </w:rPr>
        <w:t xml:space="preserve"> </w:t>
      </w:r>
      <w:r w:rsidRPr="00295E71">
        <w:rPr>
          <w:sz w:val="22"/>
          <w:szCs w:val="22"/>
        </w:rPr>
        <w:t>guida di pratica clinica.</w:t>
      </w:r>
    </w:p>
    <w:p w:rsidR="006224C2" w:rsidRPr="00295E71" w14:paraId="5483BED1" w14:textId="77777777">
      <w:pPr>
        <w:tabs>
          <w:tab w:val="left" w:pos="567"/>
        </w:tabs>
        <w:jc w:val="both"/>
        <w:rPr>
          <w:sz w:val="22"/>
          <w:szCs w:val="22"/>
        </w:rPr>
      </w:pPr>
    </w:p>
    <w:p w:rsidR="006224C2" w:rsidRPr="00295E71" w14:paraId="5D3C2E9E" w14:textId="77777777">
      <w:pPr>
        <w:tabs>
          <w:tab w:val="left" w:pos="567"/>
        </w:tabs>
        <w:jc w:val="both"/>
        <w:rPr>
          <w:sz w:val="22"/>
          <w:szCs w:val="22"/>
        </w:rPr>
      </w:pPr>
      <w:r w:rsidRPr="00295E71">
        <w:rPr>
          <w:sz w:val="22"/>
          <w:szCs w:val="22"/>
        </w:rPr>
        <w:t xml:space="preserve">Alcuni </w:t>
      </w:r>
      <w:r w:rsidRPr="00295E71" w:rsidR="00226BC4">
        <w:rPr>
          <w:sz w:val="22"/>
          <w:szCs w:val="22"/>
        </w:rPr>
        <w:t xml:space="preserve">pazienti in cui si documenta una riduzione della risposta </w:t>
      </w:r>
      <w:r w:rsidRPr="00295E71" w:rsidR="00685E08">
        <w:rPr>
          <w:sz w:val="22"/>
          <w:szCs w:val="22"/>
        </w:rPr>
        <w:t xml:space="preserve">a 40 mg di Humira a settimane alterne </w:t>
      </w:r>
      <w:r w:rsidRPr="00295E71" w:rsidR="00226BC4">
        <w:rPr>
          <w:sz w:val="22"/>
          <w:szCs w:val="22"/>
        </w:rPr>
        <w:t>possono trarre giovamento da un aumento del</w:t>
      </w:r>
      <w:r w:rsidRPr="00295E71" w:rsidR="00685E08">
        <w:rPr>
          <w:sz w:val="22"/>
          <w:szCs w:val="22"/>
        </w:rPr>
        <w:t xml:space="preserve"> dosaggio</w:t>
      </w:r>
      <w:r w:rsidRPr="00295E71" w:rsidR="00226BC4">
        <w:rPr>
          <w:sz w:val="22"/>
          <w:szCs w:val="22"/>
        </w:rPr>
        <w:t xml:space="preserve"> a 40 mg di Humira ogni settimana</w:t>
      </w:r>
      <w:r w:rsidRPr="00295E71" w:rsidR="00685E08">
        <w:rPr>
          <w:sz w:val="22"/>
          <w:szCs w:val="22"/>
        </w:rPr>
        <w:t xml:space="preserve"> o 80 mg a settimane alterne</w:t>
      </w:r>
      <w:r w:rsidRPr="00295E71" w:rsidR="00226BC4">
        <w:rPr>
          <w:sz w:val="22"/>
          <w:szCs w:val="22"/>
        </w:rPr>
        <w:t>.</w:t>
      </w:r>
    </w:p>
    <w:p w:rsidR="006224C2" w:rsidRPr="00295E71" w14:paraId="68D5434E" w14:textId="77777777">
      <w:pPr>
        <w:tabs>
          <w:tab w:val="left" w:pos="567"/>
        </w:tabs>
        <w:jc w:val="both"/>
        <w:rPr>
          <w:sz w:val="22"/>
          <w:szCs w:val="22"/>
        </w:rPr>
      </w:pPr>
    </w:p>
    <w:p w:rsidR="006224C2" w:rsidRPr="00295E71" w14:paraId="5883F45B" w14:textId="77777777">
      <w:pPr>
        <w:tabs>
          <w:tab w:val="left" w:pos="567"/>
        </w:tabs>
        <w:jc w:val="both"/>
        <w:rPr>
          <w:sz w:val="22"/>
          <w:szCs w:val="22"/>
        </w:rPr>
      </w:pPr>
      <w:r w:rsidRPr="00295E71">
        <w:rPr>
          <w:sz w:val="22"/>
          <w:szCs w:val="22"/>
        </w:rPr>
        <w:t>I dati disponibili suggeriscono che la risposta clinica si raggiunge di solito entro le 2-8 settimane di trattamento.</w:t>
      </w:r>
    </w:p>
    <w:p w:rsidR="006224C2" w:rsidRPr="00295E71" w14:paraId="59422BE9" w14:textId="77777777">
      <w:pPr>
        <w:tabs>
          <w:tab w:val="left" w:pos="567"/>
        </w:tabs>
        <w:jc w:val="both"/>
        <w:rPr>
          <w:sz w:val="22"/>
          <w:szCs w:val="22"/>
        </w:rPr>
      </w:pPr>
    </w:p>
    <w:p w:rsidR="006224C2" w:rsidRPr="00295E71" w14:paraId="5A9B7637" w14:textId="77777777">
      <w:pPr>
        <w:tabs>
          <w:tab w:val="left" w:pos="567"/>
        </w:tabs>
        <w:jc w:val="both"/>
        <w:rPr>
          <w:sz w:val="22"/>
          <w:szCs w:val="22"/>
        </w:rPr>
      </w:pPr>
      <w:r w:rsidRPr="00295E71">
        <w:rPr>
          <w:sz w:val="22"/>
          <w:szCs w:val="22"/>
        </w:rPr>
        <w:t>La terapia con Humira non deve essere continuata in pazienti che non hanno risposto durante questo periodo di tempo.</w:t>
      </w:r>
    </w:p>
    <w:p w:rsidR="00685E08" w:rsidRPr="00295E71" w14:paraId="1912FD64" w14:textId="77777777">
      <w:pPr>
        <w:tabs>
          <w:tab w:val="left" w:pos="567"/>
        </w:tabs>
        <w:jc w:val="both"/>
        <w:rPr>
          <w:sz w:val="22"/>
          <w:szCs w:val="22"/>
        </w:rPr>
      </w:pPr>
    </w:p>
    <w:p w:rsidR="006224C2" w:rsidRPr="00295E71" w14:paraId="088F9DE7"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685E08" w:rsidRPr="00295E71" w14:paraId="08A95FB8" w14:textId="77777777">
      <w:pPr>
        <w:tabs>
          <w:tab w:val="left" w:pos="567"/>
        </w:tabs>
        <w:jc w:val="both"/>
        <w:rPr>
          <w:sz w:val="22"/>
          <w:szCs w:val="22"/>
        </w:rPr>
      </w:pPr>
    </w:p>
    <w:p w:rsidR="006224C2" w:rsidRPr="00295E71" w14:paraId="64C9BD2E" w14:textId="77777777">
      <w:pPr>
        <w:tabs>
          <w:tab w:val="left" w:pos="567"/>
        </w:tabs>
        <w:jc w:val="both"/>
        <w:rPr>
          <w:i/>
          <w:sz w:val="22"/>
          <w:szCs w:val="22"/>
        </w:rPr>
      </w:pPr>
      <w:r w:rsidRPr="00295E71">
        <w:rPr>
          <w:i/>
          <w:sz w:val="22"/>
          <w:szCs w:val="22"/>
        </w:rPr>
        <w:t>Uveite</w:t>
      </w:r>
    </w:p>
    <w:p w:rsidR="006224C2" w:rsidRPr="00295E71" w14:paraId="2A6B756A" w14:textId="77777777">
      <w:pPr>
        <w:tabs>
          <w:tab w:val="left" w:pos="567"/>
        </w:tabs>
        <w:jc w:val="both"/>
        <w:rPr>
          <w:i/>
          <w:sz w:val="22"/>
          <w:szCs w:val="22"/>
        </w:rPr>
      </w:pPr>
    </w:p>
    <w:p w:rsidR="006224C2" w:rsidRPr="00295E71" w14:paraId="778425F7" w14:textId="77777777">
      <w:pPr>
        <w:tabs>
          <w:tab w:val="left" w:pos="567"/>
        </w:tabs>
        <w:jc w:val="both"/>
        <w:rPr>
          <w:sz w:val="22"/>
          <w:szCs w:val="22"/>
        </w:rPr>
      </w:pPr>
      <w:r w:rsidRPr="00295E71">
        <w:rPr>
          <w:sz w:val="22"/>
          <w:szCs w:val="22"/>
        </w:rPr>
        <w:t>La dose raccomandata di Humira per i pazienti adulti affetti da uveite è una dose iniziale di 80 mg, seguita da 40 mg somministrati a settimane alterne a partire da una settimana dopo la dose iniziale. Vi è un’esperienza limitata nell’inizio del trattamento con Humira in monoterapia. Il trattamento con Humira può essere iniziato in combinazione con corticosteroidi e/o con altri agenti immunomodulatori non biologici. I corticosteroidi concomitanti possono essere ridotti in accordo con la pratica clinica a partire da due settimane dopo l’inizio del trattamento con Humira.</w:t>
      </w:r>
    </w:p>
    <w:p w:rsidR="006224C2" w:rsidRPr="00295E71" w14:paraId="23B1795B" w14:textId="77777777">
      <w:pPr>
        <w:tabs>
          <w:tab w:val="left" w:pos="567"/>
        </w:tabs>
        <w:jc w:val="both"/>
        <w:rPr>
          <w:sz w:val="22"/>
          <w:szCs w:val="22"/>
        </w:rPr>
      </w:pPr>
    </w:p>
    <w:p w:rsidR="006224C2" w:rsidRPr="00295E71" w14:paraId="6A895F03" w14:textId="77777777">
      <w:pPr>
        <w:tabs>
          <w:tab w:val="left" w:pos="567"/>
        </w:tabs>
        <w:jc w:val="both"/>
        <w:rPr>
          <w:sz w:val="22"/>
          <w:szCs w:val="22"/>
        </w:rPr>
      </w:pPr>
      <w:r w:rsidRPr="00295E71">
        <w:rPr>
          <w:sz w:val="22"/>
          <w:szCs w:val="22"/>
        </w:rPr>
        <w:t>Si raccomanda che i benefici e i rischi del trattamento continuato a lungo termine siano valutati su base annua (vedere paragrafo 5.1).</w:t>
      </w:r>
    </w:p>
    <w:p w:rsidR="006224C2" w:rsidRPr="00295E71" w14:paraId="330EF6D1" w14:textId="77777777">
      <w:pPr>
        <w:tabs>
          <w:tab w:val="left" w:pos="567"/>
        </w:tabs>
        <w:jc w:val="both"/>
        <w:rPr>
          <w:sz w:val="22"/>
          <w:szCs w:val="22"/>
        </w:rPr>
      </w:pPr>
    </w:p>
    <w:p w:rsidR="00B46368" w:rsidRPr="00295E71" w14:paraId="601F8C03"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B46368" w:rsidRPr="00295E71" w14:paraId="354B31FF" w14:textId="77777777">
      <w:pPr>
        <w:tabs>
          <w:tab w:val="left" w:pos="567"/>
        </w:tabs>
        <w:jc w:val="both"/>
        <w:rPr>
          <w:sz w:val="22"/>
          <w:szCs w:val="22"/>
        </w:rPr>
      </w:pPr>
    </w:p>
    <w:p w:rsidR="006D3828" w:rsidRPr="00295E71" w14:paraId="20C9D47D" w14:textId="77777777">
      <w:pPr>
        <w:tabs>
          <w:tab w:val="left" w:pos="567"/>
        </w:tabs>
        <w:jc w:val="both"/>
        <w:rPr>
          <w:sz w:val="22"/>
          <w:szCs w:val="22"/>
          <w:u w:val="single"/>
        </w:rPr>
      </w:pPr>
      <w:r w:rsidRPr="00295E71">
        <w:rPr>
          <w:sz w:val="22"/>
          <w:szCs w:val="22"/>
          <w:u w:val="single"/>
        </w:rPr>
        <w:t>Popolazioni speciali</w:t>
      </w:r>
    </w:p>
    <w:p w:rsidR="006D3828" w:rsidRPr="00295E71" w14:paraId="79E97282" w14:textId="77777777">
      <w:pPr>
        <w:tabs>
          <w:tab w:val="left" w:pos="567"/>
        </w:tabs>
        <w:jc w:val="both"/>
        <w:rPr>
          <w:sz w:val="22"/>
          <w:szCs w:val="22"/>
        </w:rPr>
      </w:pPr>
    </w:p>
    <w:p w:rsidR="006224C2" w:rsidRPr="00295E71" w14:paraId="0BDAE0C9" w14:textId="77777777">
      <w:pPr>
        <w:tabs>
          <w:tab w:val="left" w:pos="567"/>
        </w:tabs>
        <w:jc w:val="both"/>
        <w:rPr>
          <w:sz w:val="22"/>
          <w:szCs w:val="22"/>
        </w:rPr>
      </w:pPr>
      <w:r w:rsidRPr="00295E71">
        <w:rPr>
          <w:sz w:val="22"/>
          <w:szCs w:val="22"/>
        </w:rPr>
        <w:t>Anziani</w:t>
      </w:r>
    </w:p>
    <w:p w:rsidR="006224C2" w:rsidRPr="00295E71" w14:paraId="66EE46B9" w14:textId="77777777">
      <w:pPr>
        <w:tabs>
          <w:tab w:val="left" w:pos="567"/>
        </w:tabs>
        <w:jc w:val="both"/>
        <w:rPr>
          <w:sz w:val="22"/>
          <w:szCs w:val="22"/>
          <w:u w:val="single"/>
        </w:rPr>
      </w:pPr>
    </w:p>
    <w:p w:rsidR="006224C2" w:rsidRPr="00295E71" w14:paraId="5E1C20E4" w14:textId="77777777">
      <w:pPr>
        <w:tabs>
          <w:tab w:val="left" w:pos="567"/>
        </w:tabs>
        <w:jc w:val="both"/>
        <w:rPr>
          <w:color w:val="000000"/>
          <w:sz w:val="22"/>
          <w:szCs w:val="22"/>
        </w:rPr>
      </w:pPr>
      <w:r w:rsidRPr="00295E71">
        <w:rPr>
          <w:color w:val="000000"/>
          <w:sz w:val="22"/>
          <w:szCs w:val="22"/>
        </w:rPr>
        <w:t>Non sono richieste modifiche del dosaggio.</w:t>
      </w:r>
    </w:p>
    <w:p w:rsidR="006224C2" w:rsidRPr="00295E71" w14:paraId="7826A411" w14:textId="77777777">
      <w:pPr>
        <w:tabs>
          <w:tab w:val="left" w:pos="567"/>
        </w:tabs>
        <w:jc w:val="both"/>
        <w:rPr>
          <w:color w:val="000000"/>
          <w:sz w:val="22"/>
          <w:szCs w:val="22"/>
        </w:rPr>
      </w:pPr>
    </w:p>
    <w:p w:rsidR="006224C2" w:rsidRPr="00295E71" w:rsidP="005D5C2F" w14:paraId="7D7106D3" w14:textId="77777777">
      <w:pPr>
        <w:keepNext/>
        <w:keepLines/>
        <w:tabs>
          <w:tab w:val="left" w:pos="567"/>
        </w:tabs>
        <w:jc w:val="both"/>
        <w:rPr>
          <w:color w:val="000000"/>
          <w:sz w:val="22"/>
          <w:szCs w:val="22"/>
        </w:rPr>
      </w:pPr>
      <w:r w:rsidRPr="00295E71">
        <w:rPr>
          <w:color w:val="000000"/>
          <w:sz w:val="22"/>
          <w:szCs w:val="22"/>
        </w:rPr>
        <w:t>Insufficienza epatica e/o renale</w:t>
      </w:r>
    </w:p>
    <w:p w:rsidR="006224C2" w:rsidRPr="00295E71" w:rsidP="005D5C2F" w14:paraId="741FC728" w14:textId="77777777">
      <w:pPr>
        <w:keepNext/>
        <w:keepLines/>
        <w:tabs>
          <w:tab w:val="left" w:pos="567"/>
        </w:tabs>
        <w:jc w:val="both"/>
        <w:rPr>
          <w:color w:val="000000"/>
          <w:sz w:val="22"/>
          <w:szCs w:val="22"/>
        </w:rPr>
      </w:pPr>
    </w:p>
    <w:p w:rsidR="006224C2" w:rsidRPr="00295E71" w:rsidP="005D5C2F" w14:paraId="02284923" w14:textId="77777777">
      <w:pPr>
        <w:keepNext/>
        <w:keepLines/>
        <w:tabs>
          <w:tab w:val="left" w:pos="567"/>
        </w:tabs>
        <w:jc w:val="both"/>
        <w:rPr>
          <w:color w:val="000000"/>
          <w:sz w:val="22"/>
          <w:szCs w:val="22"/>
        </w:rPr>
      </w:pPr>
      <w:r w:rsidRPr="00295E71">
        <w:rPr>
          <w:color w:val="000000"/>
          <w:sz w:val="22"/>
          <w:szCs w:val="22"/>
        </w:rPr>
        <w:t>Humira non è stato studiato in queste popolazioni di pazienti. Non possono essere fornite raccomandazioni posologiche.</w:t>
      </w:r>
    </w:p>
    <w:p w:rsidR="006224C2" w:rsidRPr="00295E71" w14:paraId="5E8A8414" w14:textId="77777777">
      <w:pPr>
        <w:tabs>
          <w:tab w:val="left" w:pos="567"/>
        </w:tabs>
        <w:jc w:val="both"/>
        <w:rPr>
          <w:color w:val="000000"/>
          <w:sz w:val="22"/>
          <w:szCs w:val="22"/>
        </w:rPr>
      </w:pPr>
    </w:p>
    <w:p w:rsidR="006224C2" w:rsidRPr="00295E71" w14:paraId="02F9CE3C" w14:textId="77777777">
      <w:pPr>
        <w:keepNext/>
        <w:rPr>
          <w:color w:val="000000"/>
          <w:sz w:val="22"/>
          <w:szCs w:val="22"/>
        </w:rPr>
      </w:pPr>
      <w:r w:rsidRPr="00295E71">
        <w:rPr>
          <w:color w:val="000000"/>
          <w:sz w:val="22"/>
          <w:szCs w:val="22"/>
        </w:rPr>
        <w:t>Popolazione Pediatrica</w:t>
      </w:r>
    </w:p>
    <w:p w:rsidR="006224C2" w:rsidRPr="00295E71" w14:paraId="44698B8B" w14:textId="77777777">
      <w:pPr>
        <w:keepNext/>
        <w:tabs>
          <w:tab w:val="left" w:pos="567"/>
        </w:tabs>
        <w:jc w:val="both"/>
        <w:rPr>
          <w:color w:val="000000"/>
          <w:sz w:val="22"/>
          <w:szCs w:val="22"/>
          <w:u w:val="single"/>
        </w:rPr>
      </w:pPr>
    </w:p>
    <w:p w:rsidR="006224C2" w:rsidRPr="00295E71" w14:paraId="201B32BC" w14:textId="77777777">
      <w:pPr>
        <w:keepNext/>
        <w:tabs>
          <w:tab w:val="left" w:pos="567"/>
        </w:tabs>
        <w:jc w:val="both"/>
        <w:rPr>
          <w:i/>
          <w:color w:val="000000"/>
          <w:sz w:val="22"/>
          <w:szCs w:val="22"/>
        </w:rPr>
      </w:pPr>
      <w:r w:rsidRPr="00295E71">
        <w:rPr>
          <w:i/>
          <w:color w:val="000000"/>
          <w:sz w:val="22"/>
          <w:szCs w:val="22"/>
        </w:rPr>
        <w:t>Artrite idiopatica giovanile</w:t>
      </w:r>
    </w:p>
    <w:p w:rsidR="006224C2" w:rsidRPr="00295E71" w14:paraId="4E761B9B" w14:textId="77777777">
      <w:pPr>
        <w:keepNext/>
        <w:tabs>
          <w:tab w:val="left" w:pos="567"/>
        </w:tabs>
        <w:jc w:val="both"/>
        <w:rPr>
          <w:color w:val="000000"/>
          <w:sz w:val="22"/>
          <w:szCs w:val="22"/>
          <w:u w:val="single"/>
        </w:rPr>
      </w:pPr>
    </w:p>
    <w:p w:rsidR="006224C2" w:rsidRPr="00295E71" w14:paraId="240DE3D3" w14:textId="77777777">
      <w:pPr>
        <w:tabs>
          <w:tab w:val="left" w:pos="567"/>
        </w:tabs>
        <w:jc w:val="both"/>
        <w:rPr>
          <w:i/>
          <w:color w:val="000000"/>
          <w:sz w:val="22"/>
          <w:szCs w:val="22"/>
          <w:u w:val="single"/>
        </w:rPr>
      </w:pPr>
      <w:r w:rsidRPr="00295E71">
        <w:rPr>
          <w:i/>
          <w:color w:val="000000"/>
          <w:sz w:val="22"/>
          <w:szCs w:val="22"/>
          <w:u w:val="single"/>
        </w:rPr>
        <w:t>Artrite idiopatica giovanile poliarticolare da 2 anni d’età</w:t>
      </w:r>
    </w:p>
    <w:p w:rsidR="006224C2" w:rsidRPr="00295E71" w14:paraId="43E9D950" w14:textId="77777777">
      <w:pPr>
        <w:tabs>
          <w:tab w:val="left" w:pos="567"/>
        </w:tabs>
        <w:jc w:val="both"/>
        <w:rPr>
          <w:sz w:val="22"/>
          <w:szCs w:val="22"/>
          <w:u w:val="single"/>
        </w:rPr>
      </w:pPr>
    </w:p>
    <w:p w:rsidR="00893F2A" w:rsidRPr="00295E71" w:rsidP="00893F2A" w14:paraId="7D42ACB9" w14:textId="77777777">
      <w:pPr>
        <w:tabs>
          <w:tab w:val="left" w:pos="567"/>
        </w:tabs>
        <w:jc w:val="both"/>
        <w:rPr>
          <w:color w:val="000000"/>
          <w:sz w:val="22"/>
          <w:szCs w:val="22"/>
        </w:rPr>
      </w:pPr>
      <w:r w:rsidRPr="00295E71">
        <w:rPr>
          <w:sz w:val="22"/>
          <w:szCs w:val="22"/>
        </w:rPr>
        <w:t xml:space="preserve">La </w:t>
      </w:r>
      <w:r w:rsidRPr="00295E71">
        <w:rPr>
          <w:color w:val="000000"/>
          <w:sz w:val="22"/>
          <w:szCs w:val="22"/>
        </w:rPr>
        <w:t xml:space="preserve">dose raccomandata di Humira per pazienti con artrite idiopatica giovanile poliarticolare da 2 anni di età è basata sul peso corporeo (Tabella 1). Humira è somministrato a settimane alterne attraverso iniezione sottocutanea. </w:t>
      </w:r>
    </w:p>
    <w:p w:rsidR="006224C2" w:rsidRPr="00295E71" w14:paraId="01E92D2C" w14:textId="77777777">
      <w:pPr>
        <w:tabs>
          <w:tab w:val="left" w:pos="567"/>
        </w:tabs>
        <w:jc w:val="both"/>
        <w:rPr>
          <w:color w:val="000000"/>
          <w:sz w:val="22"/>
          <w:szCs w:val="22"/>
        </w:rPr>
      </w:pPr>
    </w:p>
    <w:p w:rsidR="00893F2A" w:rsidRPr="00295E71" w:rsidP="00893F2A" w14:paraId="69769D1D" w14:textId="77777777">
      <w:pPr>
        <w:tabs>
          <w:tab w:val="left" w:pos="562"/>
        </w:tabs>
        <w:jc w:val="center"/>
        <w:rPr>
          <w:b/>
          <w:color w:val="000000"/>
          <w:sz w:val="22"/>
          <w:szCs w:val="22"/>
        </w:rPr>
      </w:pPr>
      <w:r w:rsidRPr="00295E71">
        <w:rPr>
          <w:b/>
          <w:color w:val="000000"/>
          <w:sz w:val="22"/>
          <w:szCs w:val="22"/>
        </w:rPr>
        <w:t>Tabella 1. Dose di Humira per Pazienti con Artrite Idiopatica Giovanile Poliarticolare</w:t>
      </w:r>
    </w:p>
    <w:p w:rsidR="00893F2A" w:rsidRPr="00295E71" w:rsidP="00893F2A" w14:paraId="06766138" w14:textId="77777777">
      <w:pPr>
        <w:tabs>
          <w:tab w:val="left" w:pos="562"/>
        </w:tabs>
        <w:jc w:val="both"/>
        <w:rPr>
          <w:color w:val="000000"/>
          <w:sz w:val="22"/>
          <w:szCs w:val="22"/>
        </w:rPr>
      </w:pPr>
    </w:p>
    <w:tbl>
      <w:tblPr>
        <w:tblW w:w="6795" w:type="dxa"/>
        <w:jc w:val="center"/>
        <w:tblLayout w:type="fixed"/>
        <w:tblLook w:val="0000"/>
      </w:tblPr>
      <w:tblGrid>
        <w:gridCol w:w="3401"/>
        <w:gridCol w:w="3394"/>
      </w:tblGrid>
      <w:tr w14:paraId="04FA974F"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893F2A" w:rsidRPr="00295E71" w:rsidP="00175D66" w14:paraId="067C593E" w14:textId="77777777">
            <w:pPr>
              <w:tabs>
                <w:tab w:val="left" w:pos="567"/>
              </w:tabs>
              <w:jc w:val="center"/>
              <w:rPr>
                <w:b/>
                <w:color w:val="000000"/>
                <w:sz w:val="22"/>
                <w:szCs w:val="22"/>
              </w:rPr>
            </w:pPr>
            <w:r w:rsidRPr="00295E71">
              <w:rPr>
                <w:b/>
                <w:color w:val="000000"/>
                <w:sz w:val="22"/>
                <w:szCs w:val="22"/>
              </w:rPr>
              <w:t>Peso del Paziente</w:t>
            </w:r>
          </w:p>
        </w:tc>
        <w:tc>
          <w:tcPr>
            <w:tcW w:w="3394" w:type="dxa"/>
            <w:tcBorders>
              <w:top w:val="single" w:sz="4" w:space="0" w:color="auto"/>
              <w:bottom w:val="single" w:sz="4" w:space="0" w:color="auto"/>
            </w:tcBorders>
          </w:tcPr>
          <w:p w:rsidR="00893F2A" w:rsidRPr="00295E71" w:rsidP="00175D66" w14:paraId="6B786654" w14:textId="77777777">
            <w:pPr>
              <w:tabs>
                <w:tab w:val="left" w:pos="567"/>
              </w:tabs>
              <w:jc w:val="center"/>
              <w:rPr>
                <w:b/>
                <w:color w:val="000000"/>
                <w:sz w:val="22"/>
                <w:szCs w:val="22"/>
              </w:rPr>
            </w:pPr>
            <w:r w:rsidRPr="00295E71">
              <w:rPr>
                <w:b/>
                <w:color w:val="000000"/>
                <w:sz w:val="22"/>
                <w:szCs w:val="22"/>
              </w:rPr>
              <w:t>Schema Posologico</w:t>
            </w:r>
          </w:p>
        </w:tc>
      </w:tr>
      <w:tr w14:paraId="550E1EE6"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893F2A" w:rsidRPr="00295E71" w:rsidP="00175D66" w14:paraId="1C8B6FAB" w14:textId="77777777">
            <w:pPr>
              <w:tabs>
                <w:tab w:val="left" w:pos="567"/>
              </w:tabs>
              <w:jc w:val="center"/>
              <w:rPr>
                <w:b/>
                <w:color w:val="000000"/>
                <w:sz w:val="22"/>
                <w:szCs w:val="22"/>
              </w:rPr>
            </w:pPr>
            <w:r w:rsidRPr="00295E71">
              <w:rPr>
                <w:color w:val="000000"/>
                <w:sz w:val="22"/>
                <w:szCs w:val="22"/>
              </w:rPr>
              <w:t>10 kg fino a &lt; 30 kg</w:t>
            </w:r>
          </w:p>
        </w:tc>
        <w:tc>
          <w:tcPr>
            <w:tcW w:w="3394" w:type="dxa"/>
            <w:tcBorders>
              <w:top w:val="single" w:sz="4" w:space="0" w:color="auto"/>
              <w:bottom w:val="single" w:sz="4" w:space="0" w:color="auto"/>
            </w:tcBorders>
          </w:tcPr>
          <w:p w:rsidR="00893F2A" w:rsidRPr="00295E71" w:rsidP="00175D66" w14:paraId="2C47AEEA" w14:textId="77777777">
            <w:pPr>
              <w:tabs>
                <w:tab w:val="left" w:pos="567"/>
              </w:tabs>
              <w:jc w:val="center"/>
              <w:rPr>
                <w:b/>
                <w:color w:val="000000"/>
                <w:sz w:val="22"/>
                <w:szCs w:val="22"/>
              </w:rPr>
            </w:pPr>
            <w:r w:rsidRPr="00295E71">
              <w:rPr>
                <w:color w:val="000000"/>
                <w:sz w:val="22"/>
                <w:szCs w:val="22"/>
              </w:rPr>
              <w:t>20 mg a settimane alterne</w:t>
            </w:r>
          </w:p>
        </w:tc>
      </w:tr>
      <w:tr w14:paraId="72384290"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893F2A" w:rsidRPr="00295E71" w:rsidP="00175D66" w14:paraId="19C439DE" w14:textId="77777777">
            <w:pPr>
              <w:tabs>
                <w:tab w:val="left" w:pos="567"/>
              </w:tabs>
              <w:jc w:val="center"/>
              <w:rPr>
                <w:b/>
                <w:color w:val="000000"/>
                <w:sz w:val="22"/>
                <w:szCs w:val="22"/>
              </w:rPr>
            </w:pPr>
            <w:r w:rsidRPr="00295E71">
              <w:rPr>
                <w:color w:val="000000"/>
                <w:sz w:val="22"/>
                <w:szCs w:val="22"/>
              </w:rPr>
              <w:t>≥ 30 kg</w:t>
            </w:r>
          </w:p>
        </w:tc>
        <w:tc>
          <w:tcPr>
            <w:tcW w:w="3394" w:type="dxa"/>
            <w:tcBorders>
              <w:top w:val="single" w:sz="4" w:space="0" w:color="auto"/>
              <w:bottom w:val="single" w:sz="4" w:space="0" w:color="auto"/>
            </w:tcBorders>
          </w:tcPr>
          <w:p w:rsidR="00893F2A" w:rsidRPr="00295E71" w:rsidP="00175D66" w14:paraId="17ECCB19" w14:textId="77777777">
            <w:pPr>
              <w:tabs>
                <w:tab w:val="left" w:pos="567"/>
              </w:tabs>
              <w:jc w:val="center"/>
              <w:rPr>
                <w:b/>
                <w:color w:val="000000"/>
                <w:sz w:val="22"/>
                <w:szCs w:val="22"/>
              </w:rPr>
            </w:pPr>
            <w:r w:rsidRPr="00295E71">
              <w:rPr>
                <w:color w:val="000000"/>
                <w:sz w:val="22"/>
                <w:szCs w:val="22"/>
              </w:rPr>
              <w:t>40 mg a settimane alterne</w:t>
            </w:r>
          </w:p>
        </w:tc>
      </w:tr>
    </w:tbl>
    <w:p w:rsidR="00893F2A" w:rsidRPr="00295E71" w14:paraId="735E8F43" w14:textId="77777777">
      <w:pPr>
        <w:tabs>
          <w:tab w:val="left" w:pos="567"/>
        </w:tabs>
        <w:jc w:val="both"/>
        <w:rPr>
          <w:color w:val="000000"/>
          <w:sz w:val="22"/>
          <w:szCs w:val="22"/>
        </w:rPr>
      </w:pPr>
    </w:p>
    <w:p w:rsidR="006224C2" w:rsidRPr="00295E71" w14:paraId="0DAAEE69" w14:textId="77777777">
      <w:pPr>
        <w:rPr>
          <w:sz w:val="22"/>
          <w:szCs w:val="22"/>
        </w:rPr>
      </w:pPr>
      <w:r w:rsidRPr="00295E71">
        <w:rPr>
          <w:sz w:val="22"/>
          <w:szCs w:val="22"/>
        </w:rPr>
        <w:t>I dati disponibili suggeriscono che la risposta clinica viene di solito ottenuta entro 12 settimane di trattamento. In un paziente che non risponde entro questo periodo di tempo, la continuazione della terapia deve essere riconsiderata</w:t>
      </w:r>
      <w:r w:rsidR="00BD0F8D">
        <w:rPr>
          <w:sz w:val="22"/>
          <w:szCs w:val="22"/>
        </w:rPr>
        <w:t xml:space="preserve"> </w:t>
      </w:r>
      <w:r w:rsidRPr="00304A8D" w:rsidR="00BD0F8D">
        <w:rPr>
          <w:sz w:val="22"/>
          <w:szCs w:val="22"/>
        </w:rPr>
        <w:t>attentamente</w:t>
      </w:r>
      <w:r w:rsidRPr="00295E71">
        <w:rPr>
          <w:sz w:val="22"/>
          <w:szCs w:val="22"/>
        </w:rPr>
        <w:t>.</w:t>
      </w:r>
    </w:p>
    <w:p w:rsidR="006224C2" w:rsidRPr="00295E71" w14:paraId="7188E95D" w14:textId="77777777">
      <w:pPr>
        <w:tabs>
          <w:tab w:val="left" w:pos="567"/>
        </w:tabs>
        <w:jc w:val="both"/>
        <w:rPr>
          <w:sz w:val="22"/>
          <w:szCs w:val="22"/>
        </w:rPr>
      </w:pPr>
    </w:p>
    <w:p w:rsidR="006224C2" w:rsidRPr="00295E71" w14:paraId="2C6D8FF8" w14:textId="77777777">
      <w:pPr>
        <w:tabs>
          <w:tab w:val="left" w:pos="567"/>
        </w:tabs>
        <w:jc w:val="both"/>
        <w:rPr>
          <w:sz w:val="22"/>
          <w:szCs w:val="22"/>
        </w:rPr>
      </w:pPr>
      <w:r w:rsidRPr="00295E71">
        <w:rPr>
          <w:sz w:val="22"/>
          <w:szCs w:val="22"/>
        </w:rPr>
        <w:t>Non c’è un uso rilevante di Humira nei pazienti</w:t>
      </w:r>
      <w:r w:rsidRPr="00295E71" w:rsidR="007A318E">
        <w:rPr>
          <w:sz w:val="22"/>
          <w:szCs w:val="22"/>
        </w:rPr>
        <w:t xml:space="preserve"> </w:t>
      </w:r>
      <w:r w:rsidRPr="00295E71">
        <w:rPr>
          <w:sz w:val="22"/>
          <w:szCs w:val="22"/>
        </w:rPr>
        <w:t>di età inferiore ai 2 anni per questa indicazione.</w:t>
      </w:r>
    </w:p>
    <w:p w:rsidR="006224C2" w:rsidRPr="00295E71" w14:paraId="0238E840" w14:textId="77777777">
      <w:pPr>
        <w:tabs>
          <w:tab w:val="left" w:pos="567"/>
        </w:tabs>
        <w:jc w:val="both"/>
        <w:rPr>
          <w:sz w:val="22"/>
          <w:szCs w:val="22"/>
        </w:rPr>
      </w:pPr>
    </w:p>
    <w:p w:rsidR="00B46368" w:rsidRPr="00295E71" w14:paraId="5C3299D8"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B46368" w:rsidRPr="00295E71" w14:paraId="1C44CEF6" w14:textId="77777777">
      <w:pPr>
        <w:tabs>
          <w:tab w:val="left" w:pos="567"/>
        </w:tabs>
        <w:jc w:val="both"/>
        <w:rPr>
          <w:sz w:val="22"/>
          <w:szCs w:val="22"/>
        </w:rPr>
      </w:pPr>
    </w:p>
    <w:p w:rsidR="006224C2" w:rsidRPr="00295E71" w:rsidP="00F57FE5" w14:paraId="16C47588" w14:textId="77777777">
      <w:pPr>
        <w:keepNext/>
        <w:keepLines/>
        <w:rPr>
          <w:i/>
          <w:sz w:val="22"/>
          <w:szCs w:val="22"/>
          <w:u w:val="single"/>
        </w:rPr>
      </w:pPr>
      <w:r w:rsidRPr="00295E71">
        <w:rPr>
          <w:i/>
          <w:sz w:val="22"/>
          <w:szCs w:val="22"/>
          <w:u w:val="single"/>
        </w:rPr>
        <w:t>Artrite associata ad entesite</w:t>
      </w:r>
    </w:p>
    <w:p w:rsidR="006224C2" w:rsidRPr="00295E71" w:rsidP="00F57FE5" w14:paraId="09DDA4CC" w14:textId="77777777">
      <w:pPr>
        <w:keepNext/>
        <w:keepLines/>
        <w:rPr>
          <w:sz w:val="22"/>
          <w:szCs w:val="22"/>
        </w:rPr>
      </w:pPr>
    </w:p>
    <w:p w:rsidR="006224C2" w:rsidRPr="00295E71" w:rsidP="00F57FE5" w14:paraId="1707D70A" w14:textId="77777777">
      <w:pPr>
        <w:keepNext/>
        <w:keepLines/>
        <w:tabs>
          <w:tab w:val="left" w:pos="567"/>
        </w:tabs>
        <w:jc w:val="both"/>
        <w:rPr>
          <w:color w:val="000000"/>
          <w:sz w:val="22"/>
          <w:szCs w:val="22"/>
        </w:rPr>
      </w:pPr>
      <w:r w:rsidRPr="00295E71">
        <w:rPr>
          <w:sz w:val="22"/>
          <w:szCs w:val="22"/>
        </w:rPr>
        <w:t xml:space="preserve">La dose raccomandata di Humira nei pazienti con artrite associata ad entesite, dai 6 anni in poi, è </w:t>
      </w:r>
      <w:r w:rsidRPr="00295E71" w:rsidR="00893F2A">
        <w:rPr>
          <w:sz w:val="22"/>
          <w:szCs w:val="22"/>
        </w:rPr>
        <w:t>basata sul peso corporeo (Tabella 2). Humira è</w:t>
      </w:r>
      <w:r w:rsidRPr="00295E71">
        <w:rPr>
          <w:sz w:val="22"/>
          <w:szCs w:val="22"/>
        </w:rPr>
        <w:t xml:space="preserve"> somministrato a settimane alterne attraverso iniezione sottocutanea. </w:t>
      </w:r>
      <w:r w:rsidRPr="00295E71" w:rsidR="00893F2A">
        <w:rPr>
          <w:color w:val="000000"/>
          <w:sz w:val="22"/>
          <w:szCs w:val="22"/>
        </w:rPr>
        <w:t xml:space="preserve"> </w:t>
      </w:r>
    </w:p>
    <w:p w:rsidR="006224C2" w:rsidRPr="00295E71" w14:paraId="22D16590" w14:textId="77777777">
      <w:pPr>
        <w:pStyle w:val="gtcbodytext"/>
        <w:spacing w:before="0" w:after="0" w:line="240" w:lineRule="auto"/>
        <w:jc w:val="both"/>
        <w:rPr>
          <w:sz w:val="22"/>
          <w:szCs w:val="22"/>
          <w:lang w:val="it-IT"/>
        </w:rPr>
      </w:pPr>
    </w:p>
    <w:p w:rsidR="0022672C" w:rsidRPr="00295E71" w:rsidP="0022672C" w14:paraId="5632115D" w14:textId="77777777">
      <w:pPr>
        <w:tabs>
          <w:tab w:val="left" w:pos="562"/>
        </w:tabs>
        <w:jc w:val="center"/>
        <w:rPr>
          <w:b/>
          <w:color w:val="000000"/>
          <w:sz w:val="22"/>
          <w:szCs w:val="22"/>
        </w:rPr>
      </w:pPr>
      <w:r w:rsidRPr="00295E71">
        <w:rPr>
          <w:b/>
          <w:color w:val="000000"/>
          <w:sz w:val="22"/>
          <w:szCs w:val="22"/>
        </w:rPr>
        <w:t>Tabella 2. Dose di Humira per Pazienti con Artrite Associata ad Entesite</w:t>
      </w:r>
    </w:p>
    <w:p w:rsidR="0022672C" w:rsidRPr="00295E71" w:rsidP="0022672C" w14:paraId="59D104A2" w14:textId="77777777">
      <w:pPr>
        <w:tabs>
          <w:tab w:val="left" w:pos="562"/>
        </w:tabs>
        <w:jc w:val="both"/>
        <w:rPr>
          <w:color w:val="000000"/>
          <w:sz w:val="22"/>
          <w:szCs w:val="22"/>
        </w:rPr>
      </w:pPr>
    </w:p>
    <w:tbl>
      <w:tblPr>
        <w:tblW w:w="6795" w:type="dxa"/>
        <w:jc w:val="center"/>
        <w:tblLayout w:type="fixed"/>
        <w:tblLook w:val="0000"/>
      </w:tblPr>
      <w:tblGrid>
        <w:gridCol w:w="3401"/>
        <w:gridCol w:w="3394"/>
      </w:tblGrid>
      <w:tr w14:paraId="068DA2A5"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22672C" w:rsidRPr="00295E71" w:rsidP="00175D66" w14:paraId="42ABB19D" w14:textId="77777777">
            <w:pPr>
              <w:tabs>
                <w:tab w:val="left" w:pos="567"/>
              </w:tabs>
              <w:jc w:val="center"/>
              <w:rPr>
                <w:b/>
                <w:color w:val="000000"/>
                <w:sz w:val="22"/>
                <w:szCs w:val="22"/>
              </w:rPr>
            </w:pPr>
            <w:r w:rsidRPr="00295E71">
              <w:rPr>
                <w:b/>
                <w:color w:val="000000"/>
                <w:sz w:val="22"/>
                <w:szCs w:val="22"/>
              </w:rPr>
              <w:t>Peso del Paziente</w:t>
            </w:r>
          </w:p>
        </w:tc>
        <w:tc>
          <w:tcPr>
            <w:tcW w:w="3394" w:type="dxa"/>
            <w:tcBorders>
              <w:top w:val="single" w:sz="4" w:space="0" w:color="auto"/>
              <w:bottom w:val="single" w:sz="4" w:space="0" w:color="auto"/>
            </w:tcBorders>
          </w:tcPr>
          <w:p w:rsidR="0022672C" w:rsidRPr="00295E71" w:rsidP="00175D66" w14:paraId="4FC9AA0D" w14:textId="77777777">
            <w:pPr>
              <w:tabs>
                <w:tab w:val="left" w:pos="567"/>
              </w:tabs>
              <w:jc w:val="center"/>
              <w:rPr>
                <w:b/>
                <w:color w:val="000000"/>
                <w:sz w:val="22"/>
                <w:szCs w:val="22"/>
              </w:rPr>
            </w:pPr>
            <w:r w:rsidRPr="00295E71">
              <w:rPr>
                <w:b/>
                <w:color w:val="000000"/>
                <w:sz w:val="22"/>
                <w:szCs w:val="22"/>
              </w:rPr>
              <w:t>Schema Posologico</w:t>
            </w:r>
          </w:p>
        </w:tc>
      </w:tr>
      <w:tr w14:paraId="42E57AC2"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22672C" w:rsidRPr="00295E71" w:rsidP="00175D66" w14:paraId="02A55954" w14:textId="77777777">
            <w:pPr>
              <w:tabs>
                <w:tab w:val="left" w:pos="567"/>
              </w:tabs>
              <w:jc w:val="center"/>
              <w:rPr>
                <w:b/>
                <w:color w:val="000000"/>
                <w:sz w:val="22"/>
                <w:szCs w:val="22"/>
              </w:rPr>
            </w:pPr>
            <w:r w:rsidRPr="00295E71">
              <w:rPr>
                <w:color w:val="000000"/>
                <w:sz w:val="22"/>
                <w:szCs w:val="22"/>
              </w:rPr>
              <w:t>15 kg fino a &lt; 30 kg</w:t>
            </w:r>
          </w:p>
        </w:tc>
        <w:tc>
          <w:tcPr>
            <w:tcW w:w="3394" w:type="dxa"/>
            <w:tcBorders>
              <w:top w:val="single" w:sz="4" w:space="0" w:color="auto"/>
              <w:bottom w:val="single" w:sz="4" w:space="0" w:color="auto"/>
            </w:tcBorders>
          </w:tcPr>
          <w:p w:rsidR="0022672C" w:rsidRPr="00295E71" w:rsidP="00175D66" w14:paraId="1C60A6A3" w14:textId="77777777">
            <w:pPr>
              <w:tabs>
                <w:tab w:val="left" w:pos="567"/>
              </w:tabs>
              <w:jc w:val="center"/>
              <w:rPr>
                <w:b/>
                <w:color w:val="000000"/>
                <w:sz w:val="22"/>
                <w:szCs w:val="22"/>
              </w:rPr>
            </w:pPr>
            <w:r w:rsidRPr="00295E71">
              <w:rPr>
                <w:color w:val="000000"/>
                <w:sz w:val="22"/>
                <w:szCs w:val="22"/>
              </w:rPr>
              <w:t>20 mg a settimane alterne</w:t>
            </w:r>
          </w:p>
        </w:tc>
      </w:tr>
      <w:tr w14:paraId="3C751A36"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22672C" w:rsidRPr="00295E71" w:rsidP="00175D66" w14:paraId="78A33027" w14:textId="77777777">
            <w:pPr>
              <w:tabs>
                <w:tab w:val="left" w:pos="567"/>
              </w:tabs>
              <w:jc w:val="center"/>
              <w:rPr>
                <w:b/>
                <w:color w:val="000000"/>
                <w:sz w:val="22"/>
                <w:szCs w:val="22"/>
              </w:rPr>
            </w:pPr>
            <w:r w:rsidRPr="00295E71">
              <w:rPr>
                <w:color w:val="000000"/>
                <w:sz w:val="22"/>
                <w:szCs w:val="22"/>
              </w:rPr>
              <w:t>≥ 30 kg</w:t>
            </w:r>
          </w:p>
        </w:tc>
        <w:tc>
          <w:tcPr>
            <w:tcW w:w="3394" w:type="dxa"/>
            <w:tcBorders>
              <w:top w:val="single" w:sz="4" w:space="0" w:color="auto"/>
              <w:bottom w:val="single" w:sz="4" w:space="0" w:color="auto"/>
            </w:tcBorders>
          </w:tcPr>
          <w:p w:rsidR="0022672C" w:rsidRPr="00295E71" w:rsidP="00175D66" w14:paraId="277B338B" w14:textId="77777777">
            <w:pPr>
              <w:tabs>
                <w:tab w:val="left" w:pos="567"/>
              </w:tabs>
              <w:jc w:val="center"/>
              <w:rPr>
                <w:b/>
                <w:color w:val="000000"/>
                <w:sz w:val="22"/>
                <w:szCs w:val="22"/>
              </w:rPr>
            </w:pPr>
            <w:r w:rsidRPr="00295E71">
              <w:rPr>
                <w:color w:val="000000"/>
                <w:sz w:val="22"/>
                <w:szCs w:val="22"/>
              </w:rPr>
              <w:t>40 mg a settimane alterne</w:t>
            </w:r>
          </w:p>
        </w:tc>
      </w:tr>
    </w:tbl>
    <w:p w:rsidR="0022672C" w:rsidRPr="00295E71" w14:paraId="737B64BA" w14:textId="77777777">
      <w:pPr>
        <w:pStyle w:val="gtcbodytext"/>
        <w:spacing w:before="0" w:after="0" w:line="240" w:lineRule="auto"/>
        <w:jc w:val="both"/>
        <w:rPr>
          <w:sz w:val="22"/>
          <w:szCs w:val="22"/>
          <w:lang w:val="it-IT"/>
        </w:rPr>
      </w:pPr>
    </w:p>
    <w:p w:rsidR="006224C2" w:rsidRPr="00295E71" w14:paraId="5FD42EFA" w14:textId="77777777">
      <w:pPr>
        <w:pStyle w:val="gtcbodytext"/>
        <w:spacing w:before="0" w:after="0" w:line="240" w:lineRule="auto"/>
        <w:jc w:val="both"/>
        <w:rPr>
          <w:sz w:val="22"/>
          <w:szCs w:val="22"/>
          <w:lang w:val="it-IT"/>
        </w:rPr>
      </w:pPr>
      <w:r w:rsidRPr="00295E71">
        <w:rPr>
          <w:sz w:val="22"/>
          <w:szCs w:val="22"/>
          <w:lang w:val="it-IT"/>
        </w:rPr>
        <w:t>Humira non è stato studiato nei pazienti di età inferiore ai 6 anni con artrite associata ad entesite.</w:t>
      </w:r>
    </w:p>
    <w:p w:rsidR="006224C2" w:rsidRPr="00295E71" w14:paraId="6A1B0CF3" w14:textId="77777777">
      <w:pPr>
        <w:tabs>
          <w:tab w:val="left" w:pos="567"/>
        </w:tabs>
        <w:jc w:val="both"/>
        <w:rPr>
          <w:sz w:val="22"/>
          <w:szCs w:val="22"/>
          <w:u w:val="single"/>
        </w:rPr>
      </w:pPr>
    </w:p>
    <w:p w:rsidR="00B46368" w:rsidRPr="00295E71" w14:paraId="2ACCC834" w14:textId="77777777">
      <w:pPr>
        <w:tabs>
          <w:tab w:val="left" w:pos="567"/>
        </w:tabs>
        <w:jc w:val="both"/>
        <w:rPr>
          <w:sz w:val="22"/>
          <w:szCs w:val="22"/>
          <w:u w:val="single"/>
        </w:rPr>
      </w:pPr>
      <w:r w:rsidRPr="00295E71">
        <w:rPr>
          <w:sz w:val="22"/>
          <w:szCs w:val="22"/>
          <w:u w:val="single"/>
        </w:rPr>
        <w:t>Humira può essere disponibile in altre concentrazioni e/o presentazioni a seconda delle necessità individuali di trattamento.</w:t>
      </w:r>
    </w:p>
    <w:p w:rsidR="00B46368" w:rsidRPr="00295E71" w14:paraId="0D294B62" w14:textId="77777777">
      <w:pPr>
        <w:tabs>
          <w:tab w:val="left" w:pos="567"/>
        </w:tabs>
        <w:jc w:val="both"/>
        <w:rPr>
          <w:sz w:val="22"/>
          <w:szCs w:val="22"/>
          <w:u w:val="single"/>
        </w:rPr>
      </w:pPr>
    </w:p>
    <w:p w:rsidR="00123685" w:rsidRPr="00295E71" w:rsidP="00123685" w14:paraId="043DB5F0" w14:textId="77777777">
      <w:pPr>
        <w:tabs>
          <w:tab w:val="left" w:pos="567"/>
        </w:tabs>
        <w:jc w:val="both"/>
        <w:rPr>
          <w:i/>
          <w:sz w:val="22"/>
          <w:szCs w:val="22"/>
        </w:rPr>
      </w:pPr>
      <w:r w:rsidRPr="00295E71">
        <w:rPr>
          <w:i/>
          <w:sz w:val="22"/>
          <w:szCs w:val="22"/>
        </w:rPr>
        <w:t>Artrite psoriasica e spondiloartrite assiale inclusa la spondilite anchilosante</w:t>
      </w:r>
    </w:p>
    <w:p w:rsidR="00123685" w:rsidRPr="00295E71" w:rsidP="00123685" w14:paraId="4E7968AA" w14:textId="77777777">
      <w:pPr>
        <w:tabs>
          <w:tab w:val="left" w:pos="567"/>
        </w:tabs>
        <w:jc w:val="both"/>
        <w:rPr>
          <w:sz w:val="22"/>
          <w:szCs w:val="22"/>
        </w:rPr>
      </w:pPr>
    </w:p>
    <w:p w:rsidR="00123685" w:rsidRPr="00295E71" w:rsidP="00123685" w14:paraId="22B12F9B" w14:textId="77777777">
      <w:pPr>
        <w:tabs>
          <w:tab w:val="left" w:pos="567"/>
        </w:tabs>
        <w:jc w:val="both"/>
        <w:rPr>
          <w:sz w:val="22"/>
          <w:szCs w:val="22"/>
        </w:rPr>
      </w:pPr>
      <w:r w:rsidRPr="00295E71">
        <w:rPr>
          <w:sz w:val="22"/>
          <w:szCs w:val="22"/>
        </w:rPr>
        <w:t>Non c’è un uso rilevante di Humira nella popolazione pediatrica per le indicazioni di spondilite anchilosante e artrite psoriasica.</w:t>
      </w:r>
    </w:p>
    <w:p w:rsidR="00123685" w:rsidRPr="00295E71" w:rsidP="00123685" w14:paraId="027C0BBA" w14:textId="77777777">
      <w:pPr>
        <w:tabs>
          <w:tab w:val="left" w:pos="567"/>
        </w:tabs>
        <w:jc w:val="both"/>
        <w:rPr>
          <w:sz w:val="22"/>
          <w:szCs w:val="22"/>
        </w:rPr>
      </w:pPr>
    </w:p>
    <w:p w:rsidR="006224C2" w:rsidRPr="00295E71" w14:paraId="6BDA9DCF" w14:textId="77777777">
      <w:pPr>
        <w:rPr>
          <w:i/>
          <w:sz w:val="22"/>
          <w:szCs w:val="22"/>
        </w:rPr>
      </w:pPr>
      <w:r w:rsidRPr="00295E71">
        <w:rPr>
          <w:i/>
          <w:sz w:val="22"/>
          <w:szCs w:val="22"/>
        </w:rPr>
        <w:t>Psoriasi a placche pediatrica</w:t>
      </w:r>
    </w:p>
    <w:p w:rsidR="006224C2" w:rsidRPr="00295E71" w14:paraId="3CE4F3BB" w14:textId="77777777">
      <w:pPr>
        <w:tabs>
          <w:tab w:val="left" w:pos="567"/>
        </w:tabs>
        <w:jc w:val="both"/>
        <w:rPr>
          <w:sz w:val="22"/>
          <w:szCs w:val="22"/>
        </w:rPr>
      </w:pPr>
    </w:p>
    <w:p w:rsidR="0022672C" w:rsidRPr="00295E71" w14:paraId="36671C22" w14:textId="77777777">
      <w:pPr>
        <w:pStyle w:val="gtcbodytext"/>
        <w:spacing w:before="0" w:after="0" w:line="240" w:lineRule="auto"/>
        <w:jc w:val="both"/>
        <w:rPr>
          <w:color w:val="000000"/>
          <w:sz w:val="22"/>
          <w:szCs w:val="22"/>
          <w:lang w:val="it-IT"/>
        </w:rPr>
      </w:pPr>
      <w:r w:rsidRPr="00295E71">
        <w:rPr>
          <w:sz w:val="22"/>
          <w:szCs w:val="22"/>
          <w:lang w:val="it-IT"/>
        </w:rPr>
        <w:t xml:space="preserve">La dose raccomandata di Humira per pazienti con psoriasi a placche dai 4 ai 17 anni di età è basata sul peso corporeo (Tabella 3). Humira è somministrato attraverso iniezione sottocutanea. </w:t>
      </w:r>
    </w:p>
    <w:p w:rsidR="0022672C" w:rsidRPr="00295E71" w14:paraId="2CAF1DF8" w14:textId="77777777">
      <w:pPr>
        <w:pStyle w:val="gtcbodytext"/>
        <w:spacing w:before="0" w:after="0" w:line="240" w:lineRule="auto"/>
        <w:jc w:val="both"/>
        <w:rPr>
          <w:color w:val="000000"/>
          <w:sz w:val="22"/>
          <w:szCs w:val="22"/>
          <w:lang w:val="it-IT"/>
        </w:rPr>
      </w:pPr>
    </w:p>
    <w:p w:rsidR="0022672C" w:rsidRPr="00295E71" w:rsidP="005F2B94" w14:paraId="551D6FDC" w14:textId="77777777">
      <w:pPr>
        <w:keepNext/>
        <w:tabs>
          <w:tab w:val="left" w:pos="562"/>
        </w:tabs>
        <w:jc w:val="center"/>
        <w:rPr>
          <w:b/>
          <w:color w:val="000000"/>
          <w:sz w:val="22"/>
          <w:szCs w:val="22"/>
        </w:rPr>
      </w:pPr>
      <w:r w:rsidRPr="00295E71">
        <w:rPr>
          <w:b/>
          <w:color w:val="000000"/>
          <w:sz w:val="22"/>
          <w:szCs w:val="22"/>
        </w:rPr>
        <w:t>Tabella 3. Dose di Humira per Pazienti Pediatrici con Psoriasi a Placche</w:t>
      </w:r>
    </w:p>
    <w:p w:rsidR="0022672C" w:rsidRPr="00295E71" w:rsidP="005F2B94" w14:paraId="655930AC" w14:textId="77777777">
      <w:pPr>
        <w:keepNext/>
        <w:tabs>
          <w:tab w:val="left" w:pos="562"/>
        </w:tabs>
        <w:jc w:val="both"/>
        <w:rPr>
          <w:color w:val="000000"/>
          <w:sz w:val="22"/>
          <w:szCs w:val="22"/>
        </w:rPr>
      </w:pPr>
    </w:p>
    <w:tbl>
      <w:tblPr>
        <w:tblW w:w="6795" w:type="dxa"/>
        <w:jc w:val="center"/>
        <w:tblLayout w:type="fixed"/>
        <w:tblLook w:val="0000"/>
      </w:tblPr>
      <w:tblGrid>
        <w:gridCol w:w="3401"/>
        <w:gridCol w:w="3394"/>
      </w:tblGrid>
      <w:tr w14:paraId="72C21BA5"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22672C" w:rsidRPr="00295E71" w:rsidP="005F2B94" w14:paraId="29AD29F3" w14:textId="77777777">
            <w:pPr>
              <w:keepNext/>
              <w:tabs>
                <w:tab w:val="left" w:pos="567"/>
              </w:tabs>
              <w:jc w:val="center"/>
              <w:rPr>
                <w:b/>
                <w:color w:val="000000"/>
                <w:sz w:val="22"/>
                <w:szCs w:val="22"/>
              </w:rPr>
            </w:pPr>
            <w:r w:rsidRPr="00295E71">
              <w:rPr>
                <w:b/>
                <w:color w:val="000000"/>
                <w:sz w:val="22"/>
                <w:szCs w:val="22"/>
              </w:rPr>
              <w:t>Peso del Paziente</w:t>
            </w:r>
          </w:p>
        </w:tc>
        <w:tc>
          <w:tcPr>
            <w:tcW w:w="3394" w:type="dxa"/>
            <w:tcBorders>
              <w:top w:val="single" w:sz="4" w:space="0" w:color="auto"/>
              <w:bottom w:val="single" w:sz="4" w:space="0" w:color="auto"/>
            </w:tcBorders>
          </w:tcPr>
          <w:p w:rsidR="0022672C" w:rsidRPr="00295E71" w:rsidP="005F2B94" w14:paraId="732F2598" w14:textId="77777777">
            <w:pPr>
              <w:keepNext/>
              <w:tabs>
                <w:tab w:val="left" w:pos="567"/>
              </w:tabs>
              <w:jc w:val="center"/>
              <w:rPr>
                <w:b/>
                <w:color w:val="000000"/>
                <w:sz w:val="22"/>
                <w:szCs w:val="22"/>
              </w:rPr>
            </w:pPr>
            <w:r w:rsidRPr="00295E71">
              <w:rPr>
                <w:b/>
                <w:color w:val="000000"/>
                <w:sz w:val="22"/>
                <w:szCs w:val="22"/>
              </w:rPr>
              <w:t>Schema Posologico</w:t>
            </w:r>
          </w:p>
        </w:tc>
      </w:tr>
      <w:tr w14:paraId="5CE1B19B"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22672C" w:rsidRPr="00295E71" w:rsidP="005F2B94" w14:paraId="1BAB8AA5" w14:textId="77777777">
            <w:pPr>
              <w:keepNext/>
              <w:tabs>
                <w:tab w:val="left" w:pos="567"/>
              </w:tabs>
              <w:jc w:val="center"/>
              <w:rPr>
                <w:b/>
                <w:color w:val="000000"/>
                <w:sz w:val="22"/>
                <w:szCs w:val="22"/>
              </w:rPr>
            </w:pPr>
            <w:r w:rsidRPr="00295E71">
              <w:rPr>
                <w:color w:val="000000"/>
                <w:sz w:val="22"/>
                <w:szCs w:val="22"/>
              </w:rPr>
              <w:t>15 kg fino a &lt; 30 kg</w:t>
            </w:r>
          </w:p>
        </w:tc>
        <w:tc>
          <w:tcPr>
            <w:tcW w:w="3394" w:type="dxa"/>
            <w:tcBorders>
              <w:top w:val="single" w:sz="4" w:space="0" w:color="auto"/>
              <w:bottom w:val="single" w:sz="4" w:space="0" w:color="auto"/>
            </w:tcBorders>
          </w:tcPr>
          <w:p w:rsidR="0022672C" w:rsidRPr="00295E71" w:rsidP="005F2B94" w14:paraId="1EF29F9B" w14:textId="77777777">
            <w:pPr>
              <w:keepNext/>
              <w:tabs>
                <w:tab w:val="left" w:pos="567"/>
              </w:tabs>
              <w:jc w:val="center"/>
              <w:rPr>
                <w:b/>
                <w:color w:val="000000"/>
                <w:sz w:val="22"/>
                <w:szCs w:val="22"/>
              </w:rPr>
            </w:pPr>
            <w:r w:rsidRPr="00295E71">
              <w:rPr>
                <w:color w:val="000000"/>
                <w:sz w:val="22"/>
                <w:szCs w:val="22"/>
              </w:rPr>
              <w:t>Dose iniziale di 20 mg, seguita da 20 mg somministrati a settimane alterne iniziando una settimana dopo la dose iniziale</w:t>
            </w:r>
          </w:p>
        </w:tc>
      </w:tr>
      <w:tr w14:paraId="3EA529C2"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22672C" w:rsidRPr="00295E71" w:rsidP="005F2B94" w14:paraId="59677F44" w14:textId="77777777">
            <w:pPr>
              <w:keepNext/>
              <w:tabs>
                <w:tab w:val="left" w:pos="567"/>
              </w:tabs>
              <w:jc w:val="center"/>
              <w:rPr>
                <w:b/>
                <w:color w:val="000000"/>
                <w:sz w:val="22"/>
                <w:szCs w:val="22"/>
              </w:rPr>
            </w:pPr>
            <w:r w:rsidRPr="00295E71">
              <w:rPr>
                <w:color w:val="000000"/>
                <w:sz w:val="22"/>
                <w:szCs w:val="22"/>
              </w:rPr>
              <w:t>≥ 30 kg</w:t>
            </w:r>
          </w:p>
        </w:tc>
        <w:tc>
          <w:tcPr>
            <w:tcW w:w="3394" w:type="dxa"/>
            <w:tcBorders>
              <w:top w:val="single" w:sz="4" w:space="0" w:color="auto"/>
              <w:bottom w:val="single" w:sz="4" w:space="0" w:color="auto"/>
            </w:tcBorders>
          </w:tcPr>
          <w:p w:rsidR="0022672C" w:rsidRPr="00295E71" w:rsidP="005F2B94" w14:paraId="728A4C7C" w14:textId="77777777">
            <w:pPr>
              <w:keepNext/>
              <w:tabs>
                <w:tab w:val="left" w:pos="567"/>
              </w:tabs>
              <w:jc w:val="center"/>
              <w:rPr>
                <w:b/>
                <w:color w:val="000000"/>
                <w:sz w:val="22"/>
                <w:szCs w:val="22"/>
              </w:rPr>
            </w:pPr>
            <w:r w:rsidRPr="00295E71">
              <w:rPr>
                <w:color w:val="000000"/>
                <w:sz w:val="22"/>
                <w:szCs w:val="22"/>
              </w:rPr>
              <w:t>Dose iniziale di 40 mg, seguita da 40 mg somministrati a settimane alterne iniziando una settimana dopo la dose iniziale</w:t>
            </w:r>
          </w:p>
        </w:tc>
      </w:tr>
    </w:tbl>
    <w:p w:rsidR="0022672C" w:rsidRPr="00295E71" w14:paraId="613FC2ED" w14:textId="77777777">
      <w:pPr>
        <w:pStyle w:val="gtcbodytext"/>
        <w:spacing w:before="0" w:after="0" w:line="240" w:lineRule="auto"/>
        <w:jc w:val="both"/>
        <w:rPr>
          <w:color w:val="000000"/>
          <w:sz w:val="22"/>
          <w:szCs w:val="22"/>
          <w:lang w:val="it-IT"/>
        </w:rPr>
      </w:pPr>
    </w:p>
    <w:p w:rsidR="006224C2" w:rsidRPr="00295E71" w14:paraId="6625FAED" w14:textId="77777777">
      <w:pPr>
        <w:pStyle w:val="gtcbodytext"/>
        <w:spacing w:before="0" w:after="0" w:line="240" w:lineRule="auto"/>
        <w:jc w:val="both"/>
        <w:rPr>
          <w:sz w:val="22"/>
          <w:szCs w:val="22"/>
          <w:lang w:val="it-IT"/>
        </w:rPr>
      </w:pPr>
      <w:r w:rsidRPr="00295E71">
        <w:rPr>
          <w:sz w:val="22"/>
          <w:szCs w:val="22"/>
          <w:lang w:val="it-IT"/>
        </w:rPr>
        <w:t>Il proseguimento della terapia oltre le 16 settimane dovrebbe essere attentamente valutato in pazienti che non rispondono entro questo periodo di tempo.</w:t>
      </w:r>
    </w:p>
    <w:p w:rsidR="006224C2" w:rsidRPr="00295E71" w14:paraId="5A184777" w14:textId="77777777">
      <w:pPr>
        <w:tabs>
          <w:tab w:val="left" w:pos="567"/>
        </w:tabs>
        <w:jc w:val="both"/>
        <w:rPr>
          <w:sz w:val="22"/>
          <w:szCs w:val="22"/>
        </w:rPr>
      </w:pPr>
    </w:p>
    <w:p w:rsidR="006224C2" w:rsidRPr="00295E71" w14:paraId="707A7340" w14:textId="77777777">
      <w:pPr>
        <w:tabs>
          <w:tab w:val="left" w:pos="567"/>
        </w:tabs>
        <w:jc w:val="both"/>
        <w:rPr>
          <w:sz w:val="22"/>
          <w:szCs w:val="22"/>
        </w:rPr>
      </w:pPr>
      <w:r w:rsidRPr="00295E71">
        <w:rPr>
          <w:sz w:val="22"/>
          <w:szCs w:val="22"/>
        </w:rPr>
        <w:t>Laddove sia indicato il ri-trattamento con Humira, occorre seguire le indicazioni sopra riportate riguardo la dose e la durata del trattamento.</w:t>
      </w:r>
    </w:p>
    <w:p w:rsidR="006224C2" w:rsidRPr="00295E71" w14:paraId="24A441FB" w14:textId="77777777">
      <w:pPr>
        <w:tabs>
          <w:tab w:val="left" w:pos="567"/>
        </w:tabs>
        <w:jc w:val="both"/>
        <w:rPr>
          <w:sz w:val="22"/>
          <w:szCs w:val="22"/>
          <w:u w:val="single"/>
        </w:rPr>
      </w:pPr>
    </w:p>
    <w:p w:rsidR="006224C2" w:rsidRPr="00295E71" w14:paraId="4C840B08" w14:textId="77777777">
      <w:pPr>
        <w:pStyle w:val="gtcbodytext"/>
        <w:spacing w:before="0" w:after="0" w:line="240" w:lineRule="auto"/>
        <w:jc w:val="both"/>
        <w:rPr>
          <w:sz w:val="22"/>
          <w:szCs w:val="22"/>
          <w:lang w:val="it-IT"/>
        </w:rPr>
      </w:pPr>
      <w:r w:rsidRPr="00295E71">
        <w:rPr>
          <w:sz w:val="22"/>
          <w:szCs w:val="22"/>
          <w:lang w:val="it-IT"/>
        </w:rPr>
        <w:t>La sicurezza di Humira nei pazienti pediatrici con psoriasi a placche è stata valutata per un periodo medio di 13 mesi.</w:t>
      </w:r>
    </w:p>
    <w:p w:rsidR="006224C2" w:rsidRPr="00295E71" w14:paraId="00A80B60" w14:textId="77777777">
      <w:pPr>
        <w:pStyle w:val="gtcbodytext"/>
        <w:spacing w:before="0" w:after="0" w:line="240" w:lineRule="auto"/>
        <w:jc w:val="both"/>
        <w:rPr>
          <w:sz w:val="22"/>
          <w:szCs w:val="22"/>
          <w:lang w:val="it-IT"/>
        </w:rPr>
      </w:pPr>
    </w:p>
    <w:p w:rsidR="006224C2" w:rsidRPr="00295E71" w14:paraId="49C910B4" w14:textId="77777777">
      <w:pPr>
        <w:pStyle w:val="gtcbodytext"/>
        <w:spacing w:before="0" w:after="0" w:line="240" w:lineRule="auto"/>
        <w:jc w:val="both"/>
        <w:rPr>
          <w:sz w:val="22"/>
          <w:szCs w:val="22"/>
          <w:lang w:val="it-IT"/>
        </w:rPr>
      </w:pPr>
      <w:r w:rsidRPr="00295E71">
        <w:rPr>
          <w:sz w:val="22"/>
          <w:szCs w:val="22"/>
          <w:lang w:val="it-IT"/>
        </w:rPr>
        <w:t>Non c’è un uso rilevante di Humira nei bambini di età inferiore ai 4 anni per questa indicazione.</w:t>
      </w:r>
    </w:p>
    <w:p w:rsidR="006224C2" w:rsidRPr="00295E71" w14:paraId="4192B763" w14:textId="77777777">
      <w:pPr>
        <w:tabs>
          <w:tab w:val="left" w:pos="567"/>
        </w:tabs>
        <w:jc w:val="both"/>
        <w:rPr>
          <w:sz w:val="22"/>
          <w:szCs w:val="22"/>
        </w:rPr>
      </w:pPr>
    </w:p>
    <w:p w:rsidR="00B46368" w:rsidRPr="00295E71" w14:paraId="349228C8"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B46368" w:rsidRPr="00295E71" w14:paraId="663355FF" w14:textId="77777777">
      <w:pPr>
        <w:tabs>
          <w:tab w:val="left" w:pos="567"/>
        </w:tabs>
        <w:jc w:val="both"/>
        <w:rPr>
          <w:sz w:val="22"/>
          <w:szCs w:val="22"/>
        </w:rPr>
      </w:pPr>
    </w:p>
    <w:p w:rsidR="006224C2" w:rsidRPr="00295E71" w14:paraId="5A771391" w14:textId="77777777">
      <w:pPr>
        <w:tabs>
          <w:tab w:val="left" w:pos="567"/>
        </w:tabs>
        <w:jc w:val="both"/>
        <w:rPr>
          <w:i/>
          <w:sz w:val="22"/>
          <w:szCs w:val="22"/>
        </w:rPr>
      </w:pPr>
      <w:r w:rsidRPr="00295E71">
        <w:rPr>
          <w:i/>
          <w:sz w:val="22"/>
          <w:szCs w:val="22"/>
        </w:rPr>
        <w:t>Idrosadenite suppurativa negli adolescenti (dai 12 anni d’età, di almeno 30 kg di peso)</w:t>
      </w:r>
    </w:p>
    <w:p w:rsidR="006224C2" w:rsidRPr="00295E71" w14:paraId="25368C27" w14:textId="77777777">
      <w:pPr>
        <w:tabs>
          <w:tab w:val="left" w:pos="567"/>
        </w:tabs>
        <w:jc w:val="both"/>
        <w:rPr>
          <w:i/>
          <w:sz w:val="22"/>
          <w:szCs w:val="22"/>
        </w:rPr>
      </w:pPr>
    </w:p>
    <w:p w:rsidR="006224C2" w:rsidRPr="00295E71" w14:paraId="38AB6BEA" w14:textId="77777777">
      <w:pPr>
        <w:tabs>
          <w:tab w:val="left" w:pos="567"/>
        </w:tabs>
        <w:jc w:val="both"/>
        <w:rPr>
          <w:sz w:val="22"/>
          <w:szCs w:val="22"/>
        </w:rPr>
      </w:pPr>
      <w:r w:rsidRPr="00295E71">
        <w:rPr>
          <w:sz w:val="22"/>
          <w:szCs w:val="22"/>
        </w:rPr>
        <w:t>Non ci sono studi clinici con Humira in pazienti adolescenti con HS. La posologia di Humira in questi pazienti è stata determinata sulla base di modelli e simulazione farmacocinetica (vedere paragrafo 5.2).</w:t>
      </w:r>
    </w:p>
    <w:p w:rsidR="006224C2" w:rsidRPr="00295E71" w14:paraId="2357CF3E" w14:textId="77777777">
      <w:pPr>
        <w:tabs>
          <w:tab w:val="left" w:pos="567"/>
        </w:tabs>
        <w:jc w:val="both"/>
        <w:rPr>
          <w:sz w:val="22"/>
          <w:szCs w:val="22"/>
        </w:rPr>
      </w:pPr>
    </w:p>
    <w:p w:rsidR="006224C2" w:rsidRPr="00295E71" w14:paraId="7AB65230" w14:textId="77777777">
      <w:pPr>
        <w:tabs>
          <w:tab w:val="left" w:pos="567"/>
        </w:tabs>
        <w:jc w:val="both"/>
        <w:rPr>
          <w:sz w:val="22"/>
          <w:szCs w:val="22"/>
        </w:rPr>
      </w:pPr>
      <w:r w:rsidRPr="00295E71">
        <w:rPr>
          <w:sz w:val="22"/>
          <w:szCs w:val="22"/>
        </w:rPr>
        <w:t xml:space="preserve">La dose raccomandata di Humira è di 80 mg alla settimana 0 seguiti da 40 mg a settimane alterne a partire dalla settimana 1 </w:t>
      </w:r>
      <w:r w:rsidRPr="00295E71" w:rsidR="0022672C">
        <w:rPr>
          <w:sz w:val="22"/>
          <w:szCs w:val="22"/>
        </w:rPr>
        <w:t>attraverso iniezione</w:t>
      </w:r>
      <w:r w:rsidRPr="00295E71">
        <w:rPr>
          <w:sz w:val="22"/>
          <w:szCs w:val="22"/>
        </w:rPr>
        <w:t xml:space="preserve"> sottocutanea.</w:t>
      </w:r>
    </w:p>
    <w:p w:rsidR="006224C2" w:rsidRPr="00295E71" w14:paraId="3F7C0561" w14:textId="77777777">
      <w:pPr>
        <w:tabs>
          <w:tab w:val="left" w:pos="567"/>
        </w:tabs>
        <w:jc w:val="both"/>
        <w:rPr>
          <w:sz w:val="22"/>
          <w:szCs w:val="22"/>
        </w:rPr>
      </w:pPr>
    </w:p>
    <w:p w:rsidR="006224C2" w:rsidRPr="00295E71" w14:paraId="13E74384" w14:textId="77777777">
      <w:pPr>
        <w:tabs>
          <w:tab w:val="left" w:pos="567"/>
        </w:tabs>
        <w:jc w:val="both"/>
        <w:rPr>
          <w:sz w:val="22"/>
          <w:szCs w:val="22"/>
        </w:rPr>
      </w:pPr>
      <w:r w:rsidRPr="00295E71">
        <w:rPr>
          <w:sz w:val="22"/>
          <w:szCs w:val="22"/>
        </w:rPr>
        <w:t>In pazienti adolescenti con una risposta inadeguata a 40 mg</w:t>
      </w:r>
      <w:r w:rsidRPr="00295E71" w:rsidR="00B46368">
        <w:rPr>
          <w:sz w:val="22"/>
          <w:szCs w:val="22"/>
        </w:rPr>
        <w:t xml:space="preserve"> di Humira</w:t>
      </w:r>
      <w:r w:rsidRPr="00295E71">
        <w:rPr>
          <w:sz w:val="22"/>
          <w:szCs w:val="22"/>
        </w:rPr>
        <w:t xml:space="preserve"> a settimane alterne, può essere preso in considerazione un incremento del dos</w:t>
      </w:r>
      <w:r w:rsidRPr="00295E71" w:rsidR="00B46368">
        <w:rPr>
          <w:sz w:val="22"/>
          <w:szCs w:val="22"/>
        </w:rPr>
        <w:t>aggio</w:t>
      </w:r>
      <w:r w:rsidRPr="00295E71">
        <w:rPr>
          <w:sz w:val="22"/>
          <w:szCs w:val="22"/>
        </w:rPr>
        <w:t xml:space="preserve"> a 40 mg ogni settimana</w:t>
      </w:r>
      <w:r w:rsidRPr="00295E71" w:rsidR="00B46368">
        <w:rPr>
          <w:sz w:val="22"/>
          <w:szCs w:val="22"/>
        </w:rPr>
        <w:t xml:space="preserve"> o 80 mg a settimane alterne</w:t>
      </w:r>
      <w:r w:rsidRPr="00295E71">
        <w:rPr>
          <w:sz w:val="22"/>
          <w:szCs w:val="22"/>
        </w:rPr>
        <w:t>.</w:t>
      </w:r>
    </w:p>
    <w:p w:rsidR="006224C2" w:rsidRPr="00295E71" w14:paraId="2A15DA4C" w14:textId="77777777">
      <w:pPr>
        <w:tabs>
          <w:tab w:val="left" w:pos="567"/>
        </w:tabs>
        <w:jc w:val="both"/>
        <w:rPr>
          <w:sz w:val="22"/>
          <w:szCs w:val="22"/>
        </w:rPr>
      </w:pPr>
    </w:p>
    <w:p w:rsidR="006224C2" w:rsidRPr="00295E71" w14:paraId="23646A0E" w14:textId="77777777">
      <w:pPr>
        <w:tabs>
          <w:tab w:val="left" w:pos="567"/>
        </w:tabs>
        <w:jc w:val="both"/>
        <w:rPr>
          <w:sz w:val="22"/>
          <w:szCs w:val="22"/>
        </w:rPr>
      </w:pPr>
      <w:r w:rsidRPr="00295E71">
        <w:rPr>
          <w:sz w:val="22"/>
          <w:szCs w:val="22"/>
        </w:rPr>
        <w:t xml:space="preserve">Se necessario, è possibile continuare la terapia antibiotica durante il trattamento con Humira. Durante il trattamento con Humira si raccomanda ai pazienti di usare tutti i giorni una soluzione di lavaggio antisettica </w:t>
      </w:r>
      <w:r w:rsidRPr="00020442" w:rsidR="00BD0F8D">
        <w:rPr>
          <w:sz w:val="22"/>
          <w:szCs w:val="22"/>
        </w:rPr>
        <w:t xml:space="preserve">topica </w:t>
      </w:r>
      <w:r w:rsidRPr="00295E71">
        <w:rPr>
          <w:sz w:val="22"/>
          <w:szCs w:val="22"/>
        </w:rPr>
        <w:t>sulle lesioni correlate all’HS.</w:t>
      </w:r>
    </w:p>
    <w:p w:rsidR="006224C2" w:rsidRPr="00295E71" w14:paraId="5E4569C2" w14:textId="77777777">
      <w:pPr>
        <w:tabs>
          <w:tab w:val="left" w:pos="567"/>
        </w:tabs>
        <w:jc w:val="both"/>
        <w:rPr>
          <w:sz w:val="22"/>
          <w:szCs w:val="22"/>
        </w:rPr>
      </w:pPr>
    </w:p>
    <w:p w:rsidR="006224C2" w:rsidRPr="00295E71" w14:paraId="27F72D0A" w14:textId="77777777">
      <w:pPr>
        <w:tabs>
          <w:tab w:val="left" w:pos="567"/>
        </w:tabs>
        <w:jc w:val="both"/>
        <w:rPr>
          <w:sz w:val="22"/>
          <w:szCs w:val="22"/>
        </w:rPr>
      </w:pPr>
      <w:r w:rsidRPr="00295E71">
        <w:rPr>
          <w:sz w:val="22"/>
          <w:szCs w:val="22"/>
        </w:rPr>
        <w:t>La prosecuzione della terapia oltre 12 settimane di trattamento deve essere valutata attentamente se i pazienti non sono migliorati in tale periodo.</w:t>
      </w:r>
    </w:p>
    <w:p w:rsidR="006224C2" w:rsidRPr="00295E71" w14:paraId="5087B23F" w14:textId="77777777">
      <w:pPr>
        <w:tabs>
          <w:tab w:val="left" w:pos="567"/>
        </w:tabs>
        <w:jc w:val="both"/>
        <w:rPr>
          <w:sz w:val="22"/>
          <w:szCs w:val="22"/>
        </w:rPr>
      </w:pPr>
    </w:p>
    <w:p w:rsidR="006224C2" w:rsidRPr="00295E71" w14:paraId="00CDFE05" w14:textId="77777777">
      <w:pPr>
        <w:tabs>
          <w:tab w:val="left" w:pos="567"/>
        </w:tabs>
        <w:jc w:val="both"/>
        <w:rPr>
          <w:sz w:val="22"/>
          <w:szCs w:val="22"/>
        </w:rPr>
      </w:pPr>
      <w:r w:rsidRPr="00295E71">
        <w:rPr>
          <w:sz w:val="22"/>
          <w:szCs w:val="22"/>
        </w:rPr>
        <w:t>Laddove fosse necessario interrompere il trattamento, è possibile riprendere la terapia con Humira.</w:t>
      </w:r>
    </w:p>
    <w:p w:rsidR="006224C2" w:rsidRPr="00295E71" w14:paraId="7996C534" w14:textId="77777777">
      <w:pPr>
        <w:tabs>
          <w:tab w:val="left" w:pos="567"/>
        </w:tabs>
        <w:jc w:val="both"/>
        <w:rPr>
          <w:sz w:val="22"/>
          <w:szCs w:val="22"/>
        </w:rPr>
      </w:pPr>
    </w:p>
    <w:p w:rsidR="006224C2" w:rsidRPr="00295E71" w14:paraId="28184F5C" w14:textId="77777777">
      <w:pPr>
        <w:tabs>
          <w:tab w:val="left" w:pos="567"/>
        </w:tabs>
        <w:jc w:val="both"/>
        <w:rPr>
          <w:sz w:val="22"/>
          <w:szCs w:val="22"/>
        </w:rPr>
      </w:pPr>
      <w:r w:rsidRPr="00295E71">
        <w:rPr>
          <w:sz w:val="22"/>
          <w:szCs w:val="22"/>
        </w:rPr>
        <w:t>La valutazione dei benefici e dei rischi del trattamento continuato a lungo termine deve essere effettuata periodicamente (vedere i dati relativi agli adulti nel paragrafo 5.1).</w:t>
      </w:r>
    </w:p>
    <w:p w:rsidR="006224C2" w:rsidRPr="00295E71" w14:paraId="47A937FD" w14:textId="77777777">
      <w:pPr>
        <w:tabs>
          <w:tab w:val="left" w:pos="567"/>
        </w:tabs>
        <w:jc w:val="both"/>
        <w:rPr>
          <w:sz w:val="22"/>
          <w:szCs w:val="22"/>
        </w:rPr>
      </w:pPr>
    </w:p>
    <w:p w:rsidR="006224C2" w:rsidRPr="00295E71" w14:paraId="41D5CE42" w14:textId="77777777">
      <w:pPr>
        <w:tabs>
          <w:tab w:val="left" w:pos="567"/>
        </w:tabs>
        <w:jc w:val="both"/>
        <w:rPr>
          <w:sz w:val="22"/>
          <w:szCs w:val="22"/>
        </w:rPr>
      </w:pPr>
      <w:r w:rsidRPr="00295E71">
        <w:rPr>
          <w:sz w:val="22"/>
          <w:szCs w:val="22"/>
        </w:rPr>
        <w:t>Non c’è un uso rilevante di Humira nei bambini di età inferiore ai 12 anni in questa indicazione.</w:t>
      </w:r>
    </w:p>
    <w:p w:rsidR="00B46368" w:rsidRPr="00295E71" w:rsidP="00B46368" w14:paraId="4256A2A7" w14:textId="77777777">
      <w:pPr>
        <w:tabs>
          <w:tab w:val="left" w:pos="567"/>
        </w:tabs>
        <w:jc w:val="both"/>
        <w:rPr>
          <w:sz w:val="22"/>
          <w:szCs w:val="22"/>
        </w:rPr>
      </w:pPr>
    </w:p>
    <w:p w:rsidR="00B46368" w:rsidRPr="00295E71" w14:paraId="10AAB0FF"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6224C2" w:rsidRPr="00295E71" w14:paraId="7F54CF52" w14:textId="77777777">
      <w:pPr>
        <w:tabs>
          <w:tab w:val="left" w:pos="567"/>
        </w:tabs>
        <w:jc w:val="both"/>
        <w:rPr>
          <w:i/>
          <w:sz w:val="22"/>
          <w:szCs w:val="22"/>
        </w:rPr>
      </w:pPr>
    </w:p>
    <w:p w:rsidR="006224C2" w:rsidRPr="00295E71" w14:paraId="73A26ED4" w14:textId="77777777">
      <w:pPr>
        <w:tabs>
          <w:tab w:val="left" w:pos="567"/>
        </w:tabs>
        <w:jc w:val="both"/>
        <w:rPr>
          <w:i/>
          <w:sz w:val="22"/>
          <w:szCs w:val="22"/>
        </w:rPr>
      </w:pPr>
      <w:r w:rsidRPr="00295E71">
        <w:rPr>
          <w:i/>
          <w:sz w:val="22"/>
          <w:szCs w:val="22"/>
        </w:rPr>
        <w:t>Malattia di Crohn in pazienti pediatrici</w:t>
      </w:r>
    </w:p>
    <w:p w:rsidR="006224C2" w:rsidRPr="00295E71" w14:paraId="3982A68A" w14:textId="77777777">
      <w:pPr>
        <w:tabs>
          <w:tab w:val="left" w:pos="567"/>
        </w:tabs>
        <w:jc w:val="both"/>
        <w:rPr>
          <w:sz w:val="22"/>
          <w:szCs w:val="22"/>
        </w:rPr>
      </w:pPr>
    </w:p>
    <w:p w:rsidR="0022672C" w:rsidRPr="00295E71" w:rsidP="0022672C" w14:paraId="643BC8C8" w14:textId="77777777">
      <w:pPr>
        <w:pStyle w:val="gtcbodytext"/>
        <w:spacing w:before="0" w:after="0" w:line="240" w:lineRule="auto"/>
        <w:jc w:val="both"/>
        <w:rPr>
          <w:sz w:val="22"/>
          <w:szCs w:val="22"/>
          <w:lang w:val="it-IT"/>
        </w:rPr>
      </w:pPr>
      <w:r w:rsidRPr="00295E71">
        <w:rPr>
          <w:sz w:val="22"/>
          <w:szCs w:val="22"/>
          <w:lang w:val="it-IT"/>
        </w:rPr>
        <w:t xml:space="preserve"> La dose raccomandata di Humira per pazienti con malattia di Crohn di età compresa tra 6 e 17 anni è basata sul peso corporeo (Tabella 4). Humira è somministrato attraverso iniezione sottocutanea. </w:t>
      </w:r>
    </w:p>
    <w:p w:rsidR="0022672C" w:rsidRPr="00295E71" w:rsidP="0022672C" w14:paraId="649299E3" w14:textId="77777777">
      <w:pPr>
        <w:pStyle w:val="gtcbodytext"/>
        <w:spacing w:before="0" w:after="0" w:line="240" w:lineRule="auto"/>
        <w:jc w:val="both"/>
        <w:rPr>
          <w:sz w:val="22"/>
          <w:szCs w:val="22"/>
          <w:lang w:val="it-IT"/>
        </w:rPr>
      </w:pPr>
    </w:p>
    <w:p w:rsidR="0022672C" w:rsidRPr="00295E71" w:rsidP="005F2B94" w14:paraId="6726959E" w14:textId="77777777">
      <w:pPr>
        <w:keepNext/>
        <w:jc w:val="center"/>
        <w:rPr>
          <w:b/>
          <w:sz w:val="22"/>
          <w:szCs w:val="22"/>
        </w:rPr>
      </w:pPr>
      <w:r w:rsidRPr="00295E71">
        <w:rPr>
          <w:b/>
          <w:sz w:val="22"/>
          <w:szCs w:val="22"/>
        </w:rPr>
        <w:t>Tabella 4. Dose di Humira per Pazienti Pediatrici con malattia di Crohn</w:t>
      </w:r>
    </w:p>
    <w:p w:rsidR="0022672C" w:rsidRPr="00295E71" w:rsidP="005F2B94" w14:paraId="4E46CDC7" w14:textId="77777777">
      <w:pPr>
        <w:keepNext/>
        <w:rPr>
          <w:sz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21"/>
        <w:gridCol w:w="5839"/>
        <w:gridCol w:w="2194"/>
      </w:tblGrid>
      <w:tr w14:paraId="4C99AF71" w14:textId="77777777" w:rsidTr="00175D66">
        <w:tblPrEx>
          <w:tblW w:w="5000" w:type="pct"/>
          <w:tblLook w:val="04A0"/>
        </w:tblPrEx>
        <w:trPr>
          <w:tblHeader/>
        </w:trPr>
        <w:tc>
          <w:tcPr>
            <w:tcW w:w="0" w:type="auto"/>
            <w:tcBorders>
              <w:top w:val="single" w:sz="6" w:space="0" w:color="000000"/>
              <w:left w:val="single" w:sz="6" w:space="0" w:color="000000"/>
              <w:bottom w:val="single" w:sz="6" w:space="0" w:color="000000"/>
              <w:right w:val="single" w:sz="6" w:space="0" w:color="000000"/>
            </w:tcBorders>
            <w:hideMark/>
          </w:tcPr>
          <w:p w:rsidR="0022672C" w:rsidRPr="00295E71" w:rsidP="005F2B94" w14:paraId="0D511D0B" w14:textId="77777777">
            <w:pPr>
              <w:keepNext/>
              <w:jc w:val="center"/>
              <w:rPr>
                <w:sz w:val="22"/>
              </w:rPr>
            </w:pPr>
            <w:r w:rsidRPr="00295E71">
              <w:rPr>
                <w:b/>
                <w:sz w:val="22"/>
              </w:rPr>
              <w:t>Peso del Paziente</w:t>
            </w:r>
          </w:p>
        </w:tc>
        <w:tc>
          <w:tcPr>
            <w:tcW w:w="0" w:type="auto"/>
            <w:tcBorders>
              <w:top w:val="single" w:sz="6" w:space="0" w:color="000000"/>
              <w:left w:val="single" w:sz="6" w:space="0" w:color="000000"/>
              <w:bottom w:val="single" w:sz="6" w:space="0" w:color="000000"/>
              <w:right w:val="single" w:sz="6" w:space="0" w:color="000000"/>
            </w:tcBorders>
            <w:hideMark/>
          </w:tcPr>
          <w:p w:rsidR="0022672C" w:rsidRPr="00295E71" w:rsidP="005F2B94" w14:paraId="7BD3E8FD" w14:textId="77777777">
            <w:pPr>
              <w:keepNext/>
              <w:jc w:val="center"/>
              <w:rPr>
                <w:sz w:val="22"/>
              </w:rPr>
            </w:pPr>
            <w:r w:rsidRPr="00295E71">
              <w:rPr>
                <w:b/>
                <w:sz w:val="22"/>
              </w:rPr>
              <w:t>Dose di Induzione</w:t>
            </w:r>
          </w:p>
        </w:tc>
        <w:tc>
          <w:tcPr>
            <w:tcW w:w="0" w:type="auto"/>
            <w:tcBorders>
              <w:top w:val="single" w:sz="6" w:space="0" w:color="000000"/>
              <w:left w:val="single" w:sz="6" w:space="0" w:color="000000"/>
              <w:bottom w:val="single" w:sz="6" w:space="0" w:color="000000"/>
              <w:right w:val="single" w:sz="6" w:space="0" w:color="000000"/>
            </w:tcBorders>
            <w:hideMark/>
          </w:tcPr>
          <w:p w:rsidR="0022672C" w:rsidRPr="00295E71" w:rsidP="005F2B94" w14:paraId="0B9E2262" w14:textId="77777777">
            <w:pPr>
              <w:keepNext/>
              <w:jc w:val="center"/>
              <w:rPr>
                <w:sz w:val="22"/>
              </w:rPr>
            </w:pPr>
            <w:r w:rsidRPr="00295E71">
              <w:rPr>
                <w:b/>
                <w:sz w:val="22"/>
              </w:rPr>
              <w:t>Dose di Mantenimento a partire dalla settimana 4</w:t>
            </w:r>
          </w:p>
        </w:tc>
      </w:tr>
      <w:tr w14:paraId="74C0EC0A" w14:textId="77777777" w:rsidTr="00175D66">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22672C" w:rsidRPr="00295E71" w:rsidP="005F2B94" w14:paraId="3EEC517A" w14:textId="77777777">
            <w:pPr>
              <w:keepNext/>
              <w:jc w:val="center"/>
              <w:rPr>
                <w:sz w:val="22"/>
              </w:rPr>
            </w:pPr>
            <w:r w:rsidRPr="00295E71">
              <w:rPr>
                <w:sz w:val="22"/>
              </w:rPr>
              <w:t>&lt; 40 kg</w:t>
            </w:r>
          </w:p>
        </w:tc>
        <w:tc>
          <w:tcPr>
            <w:tcW w:w="0" w:type="auto"/>
            <w:tcBorders>
              <w:top w:val="single" w:sz="6" w:space="0" w:color="000000"/>
              <w:left w:val="single" w:sz="6" w:space="0" w:color="000000"/>
              <w:bottom w:val="single" w:sz="6" w:space="0" w:color="000000"/>
              <w:right w:val="single" w:sz="6" w:space="0" w:color="000000"/>
            </w:tcBorders>
            <w:hideMark/>
          </w:tcPr>
          <w:p w:rsidR="0022672C" w:rsidRPr="00295E71" w:rsidP="005F2B94" w14:paraId="0AFE7D7B" w14:textId="77777777">
            <w:pPr>
              <w:keepNext/>
              <w:numPr>
                <w:ilvl w:val="0"/>
                <w:numId w:val="128"/>
              </w:numPr>
              <w:ind w:left="307" w:hanging="180"/>
              <w:rPr>
                <w:sz w:val="22"/>
                <w:szCs w:val="22"/>
              </w:rPr>
            </w:pPr>
            <w:r w:rsidRPr="00295E71">
              <w:rPr>
                <w:sz w:val="22"/>
                <w:szCs w:val="22"/>
              </w:rPr>
              <w:t xml:space="preserve">40 mg alla </w:t>
            </w:r>
            <w:r w:rsidRPr="00295E71" w:rsidR="00075CD9">
              <w:rPr>
                <w:sz w:val="22"/>
                <w:szCs w:val="22"/>
              </w:rPr>
              <w:t>s</w:t>
            </w:r>
            <w:r w:rsidRPr="00295E71">
              <w:rPr>
                <w:sz w:val="22"/>
                <w:szCs w:val="22"/>
              </w:rPr>
              <w:t xml:space="preserve">ettimana 0 e 20 mg alla </w:t>
            </w:r>
            <w:r w:rsidRPr="00295E71" w:rsidR="00075CD9">
              <w:rPr>
                <w:sz w:val="22"/>
                <w:szCs w:val="22"/>
              </w:rPr>
              <w:t>s</w:t>
            </w:r>
            <w:r w:rsidRPr="00295E71">
              <w:rPr>
                <w:sz w:val="22"/>
                <w:szCs w:val="22"/>
              </w:rPr>
              <w:t>ettimana 2</w:t>
            </w:r>
          </w:p>
          <w:p w:rsidR="0022672C" w:rsidRPr="00295E71" w:rsidP="005F2B94" w14:paraId="60208816" w14:textId="77777777">
            <w:pPr>
              <w:keepNext/>
              <w:ind w:left="337"/>
              <w:rPr>
                <w:sz w:val="22"/>
                <w:szCs w:val="22"/>
              </w:rPr>
            </w:pPr>
          </w:p>
          <w:p w:rsidR="0022672C" w:rsidRPr="00295E71" w:rsidP="005F2B94" w14:paraId="5B119ADE" w14:textId="77777777">
            <w:pPr>
              <w:keepNext/>
              <w:ind w:left="150"/>
              <w:rPr>
                <w:sz w:val="22"/>
                <w:szCs w:val="22"/>
              </w:rPr>
            </w:pPr>
            <w:r w:rsidRPr="00295E71">
              <w:rPr>
                <w:sz w:val="22"/>
                <w:szCs w:val="22"/>
              </w:rPr>
              <w:t>Nel caso sia necessaria una risposta più rapida alla terapia, con la consapevolezza che il rischio di eventi avversi possa aumentare con l’utilizzo della dose di induzione più alta, può essere somministrata la seguente dose:</w:t>
            </w:r>
          </w:p>
          <w:p w:rsidR="0022672C" w:rsidRPr="00295E71" w:rsidP="005F2B94" w14:paraId="4D6F1F8C" w14:textId="77777777">
            <w:pPr>
              <w:keepNext/>
              <w:numPr>
                <w:ilvl w:val="0"/>
                <w:numId w:val="130"/>
              </w:numPr>
              <w:ind w:left="307" w:hanging="180"/>
              <w:rPr>
                <w:iCs/>
                <w:sz w:val="22"/>
                <w:szCs w:val="22"/>
              </w:rPr>
            </w:pPr>
            <w:r w:rsidRPr="00295E71">
              <w:rPr>
                <w:sz w:val="22"/>
                <w:szCs w:val="22"/>
              </w:rPr>
              <w:t xml:space="preserve">80 mg alla </w:t>
            </w:r>
            <w:r w:rsidRPr="00295E71" w:rsidR="00075CD9">
              <w:rPr>
                <w:sz w:val="22"/>
                <w:szCs w:val="22"/>
              </w:rPr>
              <w:t>s</w:t>
            </w:r>
            <w:r w:rsidRPr="00295E71">
              <w:rPr>
                <w:sz w:val="22"/>
                <w:szCs w:val="22"/>
              </w:rPr>
              <w:t xml:space="preserve">ettimana 0 e 40 mg alla </w:t>
            </w:r>
            <w:r w:rsidRPr="00295E71" w:rsidR="00075CD9">
              <w:rPr>
                <w:sz w:val="22"/>
                <w:szCs w:val="22"/>
              </w:rPr>
              <w:t>s</w:t>
            </w:r>
            <w:r w:rsidRPr="00295E71">
              <w:rPr>
                <w:sz w:val="22"/>
                <w:szCs w:val="22"/>
              </w:rPr>
              <w:t>ettimana 2</w:t>
            </w:r>
          </w:p>
        </w:tc>
        <w:tc>
          <w:tcPr>
            <w:tcW w:w="0" w:type="auto"/>
            <w:tcBorders>
              <w:top w:val="single" w:sz="6" w:space="0" w:color="000000"/>
              <w:left w:val="single" w:sz="6" w:space="0" w:color="000000"/>
              <w:bottom w:val="single" w:sz="6" w:space="0" w:color="000000"/>
              <w:right w:val="single" w:sz="6" w:space="0" w:color="000000"/>
            </w:tcBorders>
            <w:hideMark/>
          </w:tcPr>
          <w:p w:rsidR="0022672C" w:rsidRPr="00295E71" w:rsidP="005F2B94" w14:paraId="3B1A2317" w14:textId="77777777">
            <w:pPr>
              <w:keepNext/>
              <w:ind w:left="16"/>
              <w:jc w:val="center"/>
              <w:rPr>
                <w:sz w:val="22"/>
              </w:rPr>
            </w:pPr>
            <w:r w:rsidRPr="00295E71">
              <w:rPr>
                <w:sz w:val="22"/>
              </w:rPr>
              <w:t>20 mg a settimane alterne</w:t>
            </w:r>
          </w:p>
        </w:tc>
      </w:tr>
      <w:tr w14:paraId="473C682D" w14:textId="77777777" w:rsidTr="00175D66">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22672C" w:rsidRPr="00295E71" w:rsidP="005F2B94" w14:paraId="282C2ECD" w14:textId="77777777">
            <w:pPr>
              <w:keepNext/>
              <w:jc w:val="center"/>
              <w:rPr>
                <w:sz w:val="22"/>
              </w:rPr>
            </w:pPr>
            <w:r w:rsidRPr="00295E71">
              <w:rPr>
                <w:sz w:val="22"/>
              </w:rPr>
              <w:t>≥ 40 kg</w:t>
            </w:r>
          </w:p>
        </w:tc>
        <w:tc>
          <w:tcPr>
            <w:tcW w:w="0" w:type="auto"/>
            <w:tcBorders>
              <w:top w:val="single" w:sz="6" w:space="0" w:color="000000"/>
              <w:left w:val="single" w:sz="6" w:space="0" w:color="000000"/>
              <w:bottom w:val="single" w:sz="6" w:space="0" w:color="000000"/>
              <w:right w:val="single" w:sz="6" w:space="0" w:color="000000"/>
            </w:tcBorders>
            <w:hideMark/>
          </w:tcPr>
          <w:p w:rsidR="0022672C" w:rsidRPr="00295E71" w:rsidP="005F2B94" w14:paraId="420C28FE" w14:textId="77777777">
            <w:pPr>
              <w:keepNext/>
              <w:numPr>
                <w:ilvl w:val="0"/>
                <w:numId w:val="131"/>
              </w:numPr>
              <w:ind w:left="307" w:hanging="175"/>
              <w:rPr>
                <w:sz w:val="22"/>
                <w:szCs w:val="22"/>
              </w:rPr>
            </w:pPr>
            <w:r w:rsidRPr="00295E71">
              <w:rPr>
                <w:sz w:val="22"/>
                <w:szCs w:val="22"/>
              </w:rPr>
              <w:t>80 mg alla settimana 0 e 40 mg alla settimana 2</w:t>
            </w:r>
          </w:p>
          <w:p w:rsidR="0022672C" w:rsidRPr="00295E71" w:rsidP="005F2B94" w14:paraId="678D6CCA" w14:textId="77777777">
            <w:pPr>
              <w:keepNext/>
              <w:rPr>
                <w:sz w:val="22"/>
                <w:szCs w:val="22"/>
              </w:rPr>
            </w:pPr>
          </w:p>
          <w:p w:rsidR="0022672C" w:rsidRPr="00295E71" w:rsidP="005F2B94" w14:paraId="37937D64" w14:textId="77777777">
            <w:pPr>
              <w:keepNext/>
              <w:ind w:left="150"/>
              <w:rPr>
                <w:sz w:val="22"/>
                <w:szCs w:val="22"/>
              </w:rPr>
            </w:pPr>
            <w:r w:rsidRPr="00295E71">
              <w:rPr>
                <w:sz w:val="22"/>
                <w:szCs w:val="22"/>
              </w:rPr>
              <w:t>Nel caso sia necessaria una risposta più rapida alla terapia, con la consapevolezza che il rischio di eventi avversi possa aumentare con l’utilizzo della dose di induzione più alta, può essere somministrata la seguente dose:</w:t>
            </w:r>
          </w:p>
          <w:p w:rsidR="0022672C" w:rsidRPr="00295E71" w:rsidP="005F2B94" w14:paraId="303E3068" w14:textId="77777777">
            <w:pPr>
              <w:keepNext/>
              <w:numPr>
                <w:ilvl w:val="0"/>
                <w:numId w:val="129"/>
              </w:numPr>
              <w:ind w:left="314" w:hanging="187"/>
              <w:rPr>
                <w:sz w:val="22"/>
                <w:szCs w:val="22"/>
              </w:rPr>
            </w:pPr>
            <w:r w:rsidRPr="00295E71">
              <w:rPr>
                <w:sz w:val="22"/>
                <w:szCs w:val="22"/>
              </w:rPr>
              <w:t xml:space="preserve">160 mg alla </w:t>
            </w:r>
            <w:r w:rsidRPr="00295E71" w:rsidR="00075CD9">
              <w:rPr>
                <w:sz w:val="22"/>
                <w:szCs w:val="22"/>
              </w:rPr>
              <w:t>s</w:t>
            </w:r>
            <w:r w:rsidRPr="00295E71">
              <w:rPr>
                <w:sz w:val="22"/>
                <w:szCs w:val="22"/>
              </w:rPr>
              <w:t xml:space="preserve">ettimana 0 e 80 mg alla </w:t>
            </w:r>
            <w:r w:rsidRPr="00295E71" w:rsidR="00075CD9">
              <w:rPr>
                <w:sz w:val="22"/>
                <w:szCs w:val="22"/>
              </w:rPr>
              <w:t>s</w:t>
            </w:r>
            <w:r w:rsidRPr="00295E71">
              <w:rPr>
                <w:sz w:val="22"/>
                <w:szCs w:val="22"/>
              </w:rPr>
              <w:t>ettimana 2</w:t>
            </w:r>
          </w:p>
        </w:tc>
        <w:tc>
          <w:tcPr>
            <w:tcW w:w="0" w:type="auto"/>
            <w:tcBorders>
              <w:top w:val="single" w:sz="6" w:space="0" w:color="000000"/>
              <w:left w:val="single" w:sz="6" w:space="0" w:color="000000"/>
              <w:bottom w:val="single" w:sz="6" w:space="0" w:color="000000"/>
              <w:right w:val="single" w:sz="6" w:space="0" w:color="000000"/>
            </w:tcBorders>
            <w:hideMark/>
          </w:tcPr>
          <w:p w:rsidR="0022672C" w:rsidRPr="00295E71" w:rsidP="005F2B94" w14:paraId="5CD3DFC5" w14:textId="77777777">
            <w:pPr>
              <w:keepNext/>
              <w:ind w:left="16"/>
              <w:jc w:val="center"/>
              <w:rPr>
                <w:sz w:val="22"/>
              </w:rPr>
            </w:pPr>
            <w:r w:rsidRPr="00295E71">
              <w:rPr>
                <w:sz w:val="22"/>
              </w:rPr>
              <w:t>40 mg a settimane alterne</w:t>
            </w:r>
          </w:p>
        </w:tc>
      </w:tr>
    </w:tbl>
    <w:p w:rsidR="0022672C" w:rsidRPr="00295E71" w:rsidP="0022672C" w14:paraId="7375577E" w14:textId="77777777">
      <w:pPr>
        <w:keepNext/>
        <w:rPr>
          <w:sz w:val="22"/>
        </w:rPr>
      </w:pPr>
    </w:p>
    <w:p w:rsidR="0022672C" w:rsidRPr="00295E71" w:rsidP="0022672C" w14:paraId="77AA721C" w14:textId="77777777">
      <w:pPr>
        <w:keepNext/>
        <w:rPr>
          <w:sz w:val="22"/>
        </w:rPr>
      </w:pPr>
      <w:r w:rsidRPr="00295E71">
        <w:rPr>
          <w:sz w:val="22"/>
        </w:rPr>
        <w:t>Pazienti che manifestano una risposta insufficiente possono beneficiare di un incremento del dos</w:t>
      </w:r>
      <w:r w:rsidRPr="00295E71" w:rsidR="00B46368">
        <w:rPr>
          <w:sz w:val="22"/>
        </w:rPr>
        <w:t>aggio</w:t>
      </w:r>
      <w:r w:rsidRPr="00295E71">
        <w:rPr>
          <w:sz w:val="22"/>
        </w:rPr>
        <w:t>:</w:t>
      </w:r>
    </w:p>
    <w:p w:rsidR="0022672C" w:rsidRPr="00295E71" w:rsidP="0022672C" w14:paraId="60E88765" w14:textId="77777777">
      <w:pPr>
        <w:keepNext/>
        <w:numPr>
          <w:ilvl w:val="0"/>
          <w:numId w:val="129"/>
        </w:numPr>
        <w:tabs>
          <w:tab w:val="left" w:pos="540"/>
        </w:tabs>
        <w:suppressAutoHyphens/>
        <w:ind w:left="540" w:hanging="540"/>
        <w:rPr>
          <w:sz w:val="22"/>
        </w:rPr>
      </w:pPr>
      <w:r w:rsidRPr="00295E71">
        <w:rPr>
          <w:sz w:val="22"/>
        </w:rPr>
        <w:t>&lt; 40 kg: 20 mg ogni settimana</w:t>
      </w:r>
    </w:p>
    <w:p w:rsidR="0022672C" w:rsidRPr="00295E71" w:rsidP="0022672C" w14:paraId="539F04D5" w14:textId="77777777">
      <w:pPr>
        <w:keepNext/>
        <w:numPr>
          <w:ilvl w:val="0"/>
          <w:numId w:val="129"/>
        </w:numPr>
        <w:tabs>
          <w:tab w:val="left" w:pos="540"/>
        </w:tabs>
        <w:suppressAutoHyphens/>
        <w:ind w:left="540" w:hanging="540"/>
        <w:rPr>
          <w:sz w:val="22"/>
        </w:rPr>
      </w:pPr>
      <w:r w:rsidRPr="00295E71">
        <w:rPr>
          <w:sz w:val="22"/>
        </w:rPr>
        <w:t>≥ 40 kg: 40 mg ogni settimana</w:t>
      </w:r>
      <w:r w:rsidRPr="00295E71" w:rsidR="00B46368">
        <w:rPr>
          <w:sz w:val="22"/>
        </w:rPr>
        <w:t xml:space="preserve"> </w:t>
      </w:r>
      <w:r w:rsidRPr="00295E71" w:rsidR="00B46368">
        <w:rPr>
          <w:sz w:val="22"/>
          <w:szCs w:val="22"/>
        </w:rPr>
        <w:t>o 80 mg a settimane alterne</w:t>
      </w:r>
    </w:p>
    <w:p w:rsidR="006224C2" w:rsidRPr="00295E71" w14:paraId="168942BD" w14:textId="77777777">
      <w:pPr>
        <w:tabs>
          <w:tab w:val="left" w:pos="567"/>
        </w:tabs>
        <w:jc w:val="both"/>
        <w:rPr>
          <w:sz w:val="22"/>
          <w:szCs w:val="22"/>
        </w:rPr>
      </w:pPr>
    </w:p>
    <w:p w:rsidR="006224C2" w:rsidRPr="00295E71" w14:paraId="2AD1FA98" w14:textId="77777777">
      <w:pPr>
        <w:tabs>
          <w:tab w:val="left" w:pos="567"/>
        </w:tabs>
        <w:jc w:val="both"/>
        <w:rPr>
          <w:sz w:val="22"/>
          <w:szCs w:val="22"/>
        </w:rPr>
      </w:pPr>
      <w:r w:rsidRPr="00295E71">
        <w:rPr>
          <w:sz w:val="22"/>
          <w:szCs w:val="22"/>
        </w:rPr>
        <w:t xml:space="preserve">La </w:t>
      </w:r>
      <w:r w:rsidRPr="00295E71" w:rsidR="003A68D3">
        <w:rPr>
          <w:sz w:val="22"/>
          <w:szCs w:val="22"/>
        </w:rPr>
        <w:t xml:space="preserve">continuazione della </w:t>
      </w:r>
      <w:r w:rsidRPr="00295E71">
        <w:rPr>
          <w:sz w:val="22"/>
          <w:szCs w:val="22"/>
        </w:rPr>
        <w:t>terapia deve essere attentamente considerata in un soggetto che non risponde alla settimana 12.</w:t>
      </w:r>
    </w:p>
    <w:p w:rsidR="006224C2" w:rsidRPr="00295E71" w14:paraId="548759F5" w14:textId="77777777">
      <w:pPr>
        <w:tabs>
          <w:tab w:val="left" w:pos="567"/>
        </w:tabs>
        <w:jc w:val="both"/>
        <w:rPr>
          <w:sz w:val="22"/>
          <w:szCs w:val="22"/>
        </w:rPr>
      </w:pPr>
    </w:p>
    <w:p w:rsidR="006224C2" w:rsidRPr="00295E71" w14:paraId="6792E371" w14:textId="77777777">
      <w:pPr>
        <w:tabs>
          <w:tab w:val="left" w:pos="567"/>
        </w:tabs>
        <w:jc w:val="both"/>
        <w:rPr>
          <w:sz w:val="22"/>
          <w:szCs w:val="22"/>
        </w:rPr>
      </w:pPr>
      <w:r w:rsidRPr="00295E71">
        <w:rPr>
          <w:sz w:val="22"/>
          <w:szCs w:val="22"/>
        </w:rPr>
        <w:t xml:space="preserve">Non c’è un uso rilevante di Humira nei bambini di età </w:t>
      </w:r>
      <w:r w:rsidRPr="00295E71" w:rsidR="002B4D7A">
        <w:rPr>
          <w:sz w:val="22"/>
          <w:szCs w:val="22"/>
        </w:rPr>
        <w:t xml:space="preserve">inferiore ai 6 anni </w:t>
      </w:r>
      <w:r w:rsidRPr="00295E71">
        <w:rPr>
          <w:sz w:val="22"/>
          <w:szCs w:val="22"/>
        </w:rPr>
        <w:t>per questa indicazione.</w:t>
      </w:r>
    </w:p>
    <w:p w:rsidR="006224C2" w:rsidRPr="00295E71" w14:paraId="092C6548" w14:textId="77777777">
      <w:pPr>
        <w:tabs>
          <w:tab w:val="left" w:pos="567"/>
        </w:tabs>
        <w:jc w:val="both"/>
        <w:rPr>
          <w:sz w:val="22"/>
          <w:szCs w:val="22"/>
        </w:rPr>
      </w:pPr>
    </w:p>
    <w:p w:rsidR="00272D2F" w:rsidRPr="00295E71" w14:paraId="07363EF8"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272D2F" w:rsidRPr="00123685" w14:paraId="471A7255" w14:textId="77777777">
      <w:pPr>
        <w:tabs>
          <w:tab w:val="left" w:pos="567"/>
        </w:tabs>
        <w:jc w:val="both"/>
        <w:rPr>
          <w:sz w:val="22"/>
          <w:szCs w:val="22"/>
        </w:rPr>
      </w:pPr>
    </w:p>
    <w:p w:rsidR="00123685" w:rsidRPr="00612824" w:rsidP="00123685" w14:paraId="5CA0F03B" w14:textId="77777777">
      <w:pPr>
        <w:rPr>
          <w:b/>
          <w:bCs/>
          <w:iCs/>
          <w:sz w:val="22"/>
          <w:szCs w:val="22"/>
        </w:rPr>
      </w:pPr>
      <w:r w:rsidRPr="00612824">
        <w:rPr>
          <w:i/>
          <w:sz w:val="22"/>
          <w:szCs w:val="22"/>
        </w:rPr>
        <w:t>Colite ulcerosa pediatrica</w:t>
      </w:r>
      <w:r w:rsidRPr="00612824">
        <w:rPr>
          <w:b/>
          <w:sz w:val="22"/>
          <w:szCs w:val="22"/>
        </w:rPr>
        <w:t xml:space="preserve"> </w:t>
      </w:r>
    </w:p>
    <w:p w:rsidR="00123685" w:rsidRPr="00612824" w:rsidP="00123685" w14:paraId="252D00F8" w14:textId="77777777">
      <w:pPr>
        <w:rPr>
          <w:sz w:val="22"/>
          <w:szCs w:val="22"/>
        </w:rPr>
      </w:pPr>
    </w:p>
    <w:p w:rsidR="00123685" w:rsidRPr="00612824" w:rsidP="00123685" w14:paraId="4A8AF565" w14:textId="77777777">
      <w:pPr>
        <w:rPr>
          <w:sz w:val="22"/>
          <w:szCs w:val="22"/>
        </w:rPr>
      </w:pPr>
      <w:r w:rsidRPr="00612824">
        <w:rPr>
          <w:sz w:val="22"/>
          <w:szCs w:val="22"/>
        </w:rPr>
        <w:t xml:space="preserve">La dose raccomandata di Humira per i pazienti di età compresa tra 6 e 17 anni con colite ulcerosa </w:t>
      </w:r>
      <w:r w:rsidR="00FF542D">
        <w:rPr>
          <w:sz w:val="22"/>
          <w:szCs w:val="22"/>
        </w:rPr>
        <w:t>è basata</w:t>
      </w:r>
      <w:r w:rsidRPr="00612824">
        <w:rPr>
          <w:sz w:val="22"/>
          <w:szCs w:val="22"/>
        </w:rPr>
        <w:t xml:space="preserve"> sul peso corporeo (Tabella 5). Humira</w:t>
      </w:r>
      <w:r w:rsidR="00FF542D">
        <w:rPr>
          <w:sz w:val="22"/>
          <w:szCs w:val="22"/>
        </w:rPr>
        <w:t xml:space="preserve"> è</w:t>
      </w:r>
      <w:r w:rsidRPr="00612824">
        <w:rPr>
          <w:sz w:val="22"/>
          <w:szCs w:val="22"/>
        </w:rPr>
        <w:t xml:space="preserve"> deve essere somministrato mediante iniezione sottocutanea. </w:t>
      </w:r>
    </w:p>
    <w:p w:rsidR="00123685" w:rsidRPr="00612824" w:rsidP="00123685" w14:paraId="4FF51296" w14:textId="77777777">
      <w:pPr>
        <w:rPr>
          <w:sz w:val="22"/>
          <w:szCs w:val="22"/>
        </w:rPr>
      </w:pPr>
    </w:p>
    <w:p w:rsidR="00123685" w:rsidRPr="00612824" w:rsidP="00FD1D51" w14:paraId="07D6D7BE" w14:textId="77777777">
      <w:pPr>
        <w:keepNext/>
        <w:jc w:val="center"/>
        <w:rPr>
          <w:sz w:val="22"/>
          <w:szCs w:val="22"/>
        </w:rPr>
      </w:pPr>
      <w:r w:rsidRPr="00612824">
        <w:rPr>
          <w:b/>
          <w:sz w:val="22"/>
          <w:szCs w:val="22"/>
        </w:rPr>
        <w:t xml:space="preserve">Tabella 5. Dose di </w:t>
      </w:r>
      <w:r w:rsidR="00FF542D">
        <w:rPr>
          <w:b/>
          <w:sz w:val="22"/>
          <w:szCs w:val="22"/>
        </w:rPr>
        <w:t>H</w:t>
      </w:r>
      <w:r w:rsidRPr="00612824">
        <w:rPr>
          <w:b/>
          <w:sz w:val="22"/>
          <w:szCs w:val="22"/>
        </w:rPr>
        <w:t xml:space="preserve">umira per </w:t>
      </w:r>
      <w:r w:rsidR="00FF542D">
        <w:rPr>
          <w:b/>
          <w:sz w:val="22"/>
          <w:szCs w:val="22"/>
        </w:rPr>
        <w:t>P</w:t>
      </w:r>
      <w:r w:rsidRPr="00612824">
        <w:rPr>
          <w:b/>
          <w:sz w:val="22"/>
          <w:szCs w:val="22"/>
        </w:rPr>
        <w:t xml:space="preserve">azienti </w:t>
      </w:r>
      <w:r w:rsidR="00FF542D">
        <w:rPr>
          <w:b/>
          <w:sz w:val="22"/>
          <w:szCs w:val="22"/>
        </w:rPr>
        <w:t>P</w:t>
      </w:r>
      <w:r w:rsidRPr="00612824">
        <w:rPr>
          <w:b/>
          <w:sz w:val="22"/>
          <w:szCs w:val="22"/>
        </w:rPr>
        <w:t xml:space="preserve">ediatrici con </w:t>
      </w:r>
      <w:r w:rsidR="00FF542D">
        <w:rPr>
          <w:b/>
          <w:sz w:val="22"/>
          <w:szCs w:val="22"/>
        </w:rPr>
        <w:t>C</w:t>
      </w:r>
      <w:r w:rsidRPr="00612824">
        <w:rPr>
          <w:b/>
          <w:sz w:val="22"/>
          <w:szCs w:val="22"/>
        </w:rPr>
        <w:t xml:space="preserve">olite </w:t>
      </w:r>
      <w:r w:rsidR="00FF542D">
        <w:rPr>
          <w:b/>
          <w:sz w:val="22"/>
          <w:szCs w:val="22"/>
        </w:rPr>
        <w:t>U</w:t>
      </w:r>
      <w:r w:rsidRPr="00612824">
        <w:rPr>
          <w:b/>
          <w:sz w:val="22"/>
          <w:szCs w:val="22"/>
        </w:rPr>
        <w:t xml:space="preserve">lcerosa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05"/>
        <w:gridCol w:w="3321"/>
        <w:gridCol w:w="3157"/>
      </w:tblGrid>
      <w:tr w14:paraId="2009FC9F" w14:textId="77777777" w:rsidTr="0062664F">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vAlign w:val="center"/>
            <w:hideMark/>
          </w:tcPr>
          <w:p w:rsidR="00123685" w:rsidRPr="00612824" w:rsidP="003B3A5A" w14:paraId="581F3FEE" w14:textId="77777777">
            <w:pPr>
              <w:keepNext/>
              <w:jc w:val="center"/>
              <w:rPr>
                <w:b/>
                <w:sz w:val="22"/>
                <w:szCs w:val="22"/>
              </w:rPr>
            </w:pPr>
            <w:r w:rsidRPr="00612824">
              <w:rPr>
                <w:b/>
                <w:sz w:val="22"/>
                <w:szCs w:val="22"/>
              </w:rPr>
              <w:t>Peso del paziente</w:t>
            </w:r>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123685" w:rsidRPr="00612824" w:rsidP="003B3A5A" w14:paraId="41E4783C" w14:textId="77777777">
            <w:pPr>
              <w:keepNext/>
              <w:jc w:val="center"/>
              <w:rPr>
                <w:b/>
                <w:sz w:val="22"/>
                <w:szCs w:val="22"/>
              </w:rPr>
            </w:pPr>
            <w:r w:rsidRPr="00612824">
              <w:rPr>
                <w:b/>
                <w:sz w:val="22"/>
                <w:szCs w:val="22"/>
              </w:rPr>
              <w:t xml:space="preserve">Dose di </w:t>
            </w:r>
            <w:r w:rsidR="00FF542D">
              <w:rPr>
                <w:b/>
                <w:sz w:val="22"/>
                <w:szCs w:val="22"/>
              </w:rPr>
              <w:t>I</w:t>
            </w:r>
            <w:r w:rsidRPr="00612824">
              <w:rPr>
                <w:b/>
                <w:sz w:val="22"/>
                <w:szCs w:val="22"/>
              </w:rPr>
              <w:t>nduzione</w:t>
            </w:r>
          </w:p>
        </w:tc>
        <w:tc>
          <w:tcPr>
            <w:tcW w:w="1906" w:type="pct"/>
            <w:tcBorders>
              <w:top w:val="single" w:sz="6" w:space="0" w:color="000000"/>
              <w:left w:val="single" w:sz="6" w:space="0" w:color="000000"/>
              <w:bottom w:val="single" w:sz="6" w:space="0" w:color="000000"/>
              <w:right w:val="single" w:sz="6" w:space="0" w:color="000000"/>
            </w:tcBorders>
            <w:hideMark/>
          </w:tcPr>
          <w:p w:rsidR="00123685" w:rsidRPr="00612824" w:rsidP="003B3A5A" w14:paraId="74E5696A" w14:textId="77777777">
            <w:pPr>
              <w:keepNext/>
              <w:jc w:val="center"/>
              <w:rPr>
                <w:b/>
                <w:sz w:val="22"/>
                <w:szCs w:val="22"/>
              </w:rPr>
            </w:pPr>
            <w:r w:rsidRPr="00612824">
              <w:rPr>
                <w:b/>
                <w:sz w:val="22"/>
                <w:szCs w:val="22"/>
              </w:rPr>
              <w:t xml:space="preserve">Dose di </w:t>
            </w:r>
            <w:r w:rsidR="00FF542D">
              <w:rPr>
                <w:b/>
                <w:sz w:val="22"/>
                <w:szCs w:val="22"/>
              </w:rPr>
              <w:t>M</w:t>
            </w:r>
            <w:r w:rsidRPr="00612824">
              <w:rPr>
                <w:b/>
                <w:sz w:val="22"/>
                <w:szCs w:val="22"/>
              </w:rPr>
              <w:t>antenimento</w:t>
            </w:r>
            <w:r w:rsidRPr="00612824">
              <w:rPr>
                <w:b/>
                <w:sz w:val="22"/>
                <w:szCs w:val="22"/>
              </w:rPr>
              <w:br/>
              <w:t xml:space="preserve">a partire dalla </w:t>
            </w:r>
            <w:r w:rsidR="00FF542D">
              <w:rPr>
                <w:b/>
                <w:sz w:val="22"/>
                <w:szCs w:val="22"/>
              </w:rPr>
              <w:t>S</w:t>
            </w:r>
            <w:r w:rsidRPr="00612824">
              <w:rPr>
                <w:b/>
                <w:sz w:val="22"/>
                <w:szCs w:val="22"/>
              </w:rPr>
              <w:t>ettimana 4*</w:t>
            </w:r>
          </w:p>
        </w:tc>
      </w:tr>
      <w:tr w14:paraId="0387C996" w14:textId="77777777" w:rsidTr="0062664F">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123685" w:rsidRPr="00612824" w:rsidP="003B3A5A" w14:paraId="3A2D3601" w14:textId="77777777">
            <w:pPr>
              <w:keepNext/>
              <w:jc w:val="center"/>
              <w:rPr>
                <w:sz w:val="22"/>
                <w:szCs w:val="22"/>
              </w:rPr>
            </w:pPr>
            <w:r w:rsidRPr="00612824">
              <w:rPr>
                <w:sz w:val="22"/>
                <w:szCs w:val="22"/>
              </w:rPr>
              <w:t>&lt;40 kg</w:t>
            </w:r>
          </w:p>
        </w:tc>
        <w:tc>
          <w:tcPr>
            <w:tcW w:w="2005" w:type="pct"/>
            <w:tcBorders>
              <w:top w:val="single" w:sz="6" w:space="0" w:color="000000"/>
              <w:left w:val="single" w:sz="6" w:space="0" w:color="000000"/>
              <w:bottom w:val="single" w:sz="6" w:space="0" w:color="000000"/>
              <w:right w:val="single" w:sz="6" w:space="0" w:color="000000"/>
            </w:tcBorders>
            <w:hideMark/>
          </w:tcPr>
          <w:p w:rsidR="00123685" w:rsidRPr="00612824" w:rsidP="003B3A5A" w14:paraId="737DA0D2" w14:textId="77777777">
            <w:pPr>
              <w:keepNext/>
              <w:numPr>
                <w:ilvl w:val="0"/>
                <w:numId w:val="154"/>
              </w:numPr>
              <w:ind w:left="360" w:hanging="210"/>
              <w:rPr>
                <w:sz w:val="22"/>
                <w:szCs w:val="22"/>
              </w:rPr>
            </w:pPr>
            <w:r w:rsidRPr="00612824">
              <w:rPr>
                <w:sz w:val="22"/>
                <w:szCs w:val="22"/>
              </w:rPr>
              <w:t>80 mg alla Settimana 0 (somministrati in due iniezioni da 40 mg nello stesso giorno) e</w:t>
            </w:r>
          </w:p>
          <w:p w:rsidR="00123685" w:rsidRPr="00612824" w:rsidP="003B3A5A" w14:paraId="358F9E09" w14:textId="77777777">
            <w:pPr>
              <w:keepNext/>
              <w:numPr>
                <w:ilvl w:val="0"/>
                <w:numId w:val="154"/>
              </w:numPr>
              <w:ind w:left="360" w:hanging="210"/>
              <w:rPr>
                <w:sz w:val="22"/>
                <w:szCs w:val="22"/>
              </w:rPr>
            </w:pPr>
            <w:r w:rsidRPr="00612824">
              <w:rPr>
                <w:sz w:val="22"/>
                <w:szCs w:val="22"/>
              </w:rPr>
              <w:t>40 mg alla Settimana 2 (somministrati con una sola iniezione da 40 mg)</w:t>
            </w:r>
          </w:p>
        </w:tc>
        <w:tc>
          <w:tcPr>
            <w:tcW w:w="1906" w:type="pct"/>
            <w:tcBorders>
              <w:top w:val="single" w:sz="6" w:space="0" w:color="000000"/>
              <w:left w:val="single" w:sz="6" w:space="0" w:color="000000"/>
              <w:bottom w:val="single" w:sz="6" w:space="0" w:color="000000"/>
              <w:right w:val="single" w:sz="6" w:space="0" w:color="000000"/>
            </w:tcBorders>
            <w:hideMark/>
          </w:tcPr>
          <w:p w:rsidR="00123685" w:rsidRPr="00612824" w:rsidP="003B3A5A" w14:paraId="61AEA1F3" w14:textId="77777777">
            <w:pPr>
              <w:keepNext/>
              <w:numPr>
                <w:ilvl w:val="0"/>
                <w:numId w:val="154"/>
              </w:numPr>
              <w:ind w:left="360" w:hanging="210"/>
              <w:rPr>
                <w:sz w:val="22"/>
                <w:szCs w:val="22"/>
              </w:rPr>
            </w:pPr>
            <w:r w:rsidRPr="00612824">
              <w:rPr>
                <w:sz w:val="22"/>
                <w:szCs w:val="22"/>
              </w:rPr>
              <w:t xml:space="preserve">40 mg </w:t>
            </w:r>
            <w:r w:rsidRPr="00612824" w:rsidR="00E54E1B">
              <w:rPr>
                <w:sz w:val="22"/>
                <w:szCs w:val="22"/>
              </w:rPr>
              <w:t>a settimane alterne</w:t>
            </w:r>
          </w:p>
        </w:tc>
      </w:tr>
      <w:tr w14:paraId="29634E35" w14:textId="77777777" w:rsidTr="0062664F">
        <w:tblPrEx>
          <w:tblW w:w="4574" w:type="pct"/>
          <w:tblLook w:val="04A0"/>
        </w:tblPrEx>
        <w:tc>
          <w:tcPr>
            <w:tcW w:w="0" w:type="auto"/>
            <w:tcBorders>
              <w:top w:val="single" w:sz="6" w:space="0" w:color="000000"/>
              <w:left w:val="single" w:sz="6" w:space="0" w:color="000000"/>
              <w:bottom w:val="single" w:sz="4" w:space="0" w:color="auto"/>
              <w:right w:val="single" w:sz="6" w:space="0" w:color="000000"/>
            </w:tcBorders>
            <w:hideMark/>
          </w:tcPr>
          <w:p w:rsidR="00123685" w:rsidRPr="00612824" w:rsidP="003B3A5A" w14:paraId="0B4D3EF6" w14:textId="77777777">
            <w:pPr>
              <w:keepNext/>
              <w:jc w:val="center"/>
              <w:rPr>
                <w:sz w:val="22"/>
                <w:szCs w:val="22"/>
              </w:rPr>
            </w:pPr>
            <w:r w:rsidRPr="00612824">
              <w:rPr>
                <w:sz w:val="22"/>
                <w:szCs w:val="22"/>
              </w:rPr>
              <w:t>≥40 kg</w:t>
            </w:r>
          </w:p>
        </w:tc>
        <w:tc>
          <w:tcPr>
            <w:tcW w:w="2005" w:type="pct"/>
            <w:tcBorders>
              <w:top w:val="single" w:sz="6" w:space="0" w:color="000000"/>
              <w:left w:val="single" w:sz="6" w:space="0" w:color="000000"/>
              <w:bottom w:val="single" w:sz="4" w:space="0" w:color="auto"/>
              <w:right w:val="single" w:sz="6" w:space="0" w:color="000000"/>
            </w:tcBorders>
            <w:hideMark/>
          </w:tcPr>
          <w:p w:rsidR="00123685" w:rsidRPr="00612824" w:rsidP="003B3A5A" w14:paraId="2D751113" w14:textId="77777777">
            <w:pPr>
              <w:keepNext/>
              <w:numPr>
                <w:ilvl w:val="0"/>
                <w:numId w:val="155"/>
              </w:numPr>
              <w:ind w:left="360" w:hanging="210"/>
              <w:rPr>
                <w:sz w:val="22"/>
                <w:szCs w:val="22"/>
              </w:rPr>
            </w:pPr>
            <w:r w:rsidRPr="00612824">
              <w:rPr>
                <w:sz w:val="22"/>
                <w:szCs w:val="22"/>
              </w:rPr>
              <w:t>160 mg alla Settimana 0 (somministrati con quattro iniezioni da 40 mg in un giorno o due iniezioni da 40 mg al giorno per due giorni consecutivi) e</w:t>
            </w:r>
          </w:p>
          <w:p w:rsidR="00123685" w:rsidRPr="00612824" w:rsidP="003B3A5A" w14:paraId="7F1CD818" w14:textId="77777777">
            <w:pPr>
              <w:keepNext/>
              <w:numPr>
                <w:ilvl w:val="0"/>
                <w:numId w:val="155"/>
              </w:numPr>
              <w:ind w:left="360" w:hanging="210"/>
              <w:rPr>
                <w:sz w:val="22"/>
                <w:szCs w:val="22"/>
              </w:rPr>
            </w:pPr>
            <w:r w:rsidRPr="00612824">
              <w:rPr>
                <w:sz w:val="22"/>
                <w:szCs w:val="22"/>
              </w:rPr>
              <w:t>80 mg alla Settimana 2 (somministrati con due iniezioni da 40 mg in un giorno)</w:t>
            </w:r>
          </w:p>
        </w:tc>
        <w:tc>
          <w:tcPr>
            <w:tcW w:w="1906" w:type="pct"/>
            <w:tcBorders>
              <w:top w:val="single" w:sz="6" w:space="0" w:color="000000"/>
              <w:left w:val="single" w:sz="6" w:space="0" w:color="000000"/>
              <w:bottom w:val="single" w:sz="4" w:space="0" w:color="auto"/>
              <w:right w:val="single" w:sz="6" w:space="0" w:color="000000"/>
            </w:tcBorders>
            <w:hideMark/>
          </w:tcPr>
          <w:p w:rsidR="00123685" w:rsidRPr="00612824" w:rsidP="003B3A5A" w14:paraId="109B1AE4" w14:textId="77777777">
            <w:pPr>
              <w:keepNext/>
              <w:numPr>
                <w:ilvl w:val="0"/>
                <w:numId w:val="154"/>
              </w:numPr>
              <w:ind w:left="360" w:hanging="210"/>
              <w:rPr>
                <w:sz w:val="22"/>
                <w:szCs w:val="22"/>
              </w:rPr>
            </w:pPr>
            <w:r w:rsidRPr="00612824">
              <w:rPr>
                <w:sz w:val="22"/>
                <w:szCs w:val="22"/>
              </w:rPr>
              <w:t xml:space="preserve">80 mg </w:t>
            </w:r>
            <w:r w:rsidRPr="00612824" w:rsidR="00E54E1B">
              <w:rPr>
                <w:sz w:val="22"/>
                <w:szCs w:val="22"/>
              </w:rPr>
              <w:t>a settimane alterne</w:t>
            </w:r>
          </w:p>
        </w:tc>
      </w:tr>
      <w:tr w14:paraId="07969B2E" w14:textId="77777777" w:rsidTr="0062664F">
        <w:tblPrEx>
          <w:tblW w:w="4574" w:type="pct"/>
          <w:tblLook w:val="04A0"/>
        </w:tblPrEx>
        <w:tc>
          <w:tcPr>
            <w:tcW w:w="5000" w:type="pct"/>
            <w:gridSpan w:val="3"/>
            <w:tcBorders>
              <w:top w:val="single" w:sz="4" w:space="0" w:color="auto"/>
              <w:left w:val="nil"/>
              <w:bottom w:val="nil"/>
              <w:right w:val="nil"/>
            </w:tcBorders>
          </w:tcPr>
          <w:p w:rsidR="00123685" w:rsidRPr="00612824" w:rsidP="003B3A5A" w14:paraId="61BC15A1" w14:textId="77777777">
            <w:pPr>
              <w:keepNext/>
              <w:rPr>
                <w:sz w:val="22"/>
                <w:szCs w:val="22"/>
              </w:rPr>
            </w:pPr>
            <w:r w:rsidRPr="00612824">
              <w:rPr>
                <w:sz w:val="22"/>
                <w:szCs w:val="22"/>
                <w:vertAlign w:val="superscript"/>
              </w:rPr>
              <w:t xml:space="preserve">* </w:t>
            </w:r>
            <w:r w:rsidRPr="00612824">
              <w:rPr>
                <w:sz w:val="22"/>
                <w:szCs w:val="22"/>
              </w:rPr>
              <w:t>I pazienti pediatrici che compiono 18 anni di età durante il trattamento con Humira devono continuare la dose di mantenimento prescritta.</w:t>
            </w:r>
          </w:p>
        </w:tc>
      </w:tr>
    </w:tbl>
    <w:p w:rsidR="00123685" w:rsidRPr="00612824" w:rsidP="00123685" w14:paraId="37CBF772" w14:textId="77777777">
      <w:pPr>
        <w:pStyle w:val="gtctablespaceafter"/>
        <w:numPr>
          <w:ilvl w:val="0"/>
          <w:numId w:val="156"/>
        </w:numPr>
        <w:spacing w:after="0"/>
        <w:rPr>
          <w:sz w:val="22"/>
          <w:szCs w:val="22"/>
          <w:lang w:val="it-IT"/>
        </w:rPr>
      </w:pPr>
    </w:p>
    <w:p w:rsidR="00123685" w:rsidRPr="00612824" w:rsidP="00123685" w14:paraId="26E0B20C" w14:textId="77777777">
      <w:pPr>
        <w:rPr>
          <w:sz w:val="22"/>
          <w:szCs w:val="22"/>
        </w:rPr>
      </w:pPr>
      <w:r w:rsidRPr="00612824">
        <w:rPr>
          <w:sz w:val="22"/>
          <w:szCs w:val="22"/>
        </w:rPr>
        <w:t>La continuazione della terapia oltre le 8 settimane deve essere attentamente considerata nei pazienti che non mostrano segni di risposta entro questo periodo di tempo.</w:t>
      </w:r>
    </w:p>
    <w:p w:rsidR="00123685" w:rsidRPr="00612824" w:rsidP="00123685" w14:paraId="151B43D7" w14:textId="77777777">
      <w:pPr>
        <w:rPr>
          <w:sz w:val="22"/>
          <w:szCs w:val="22"/>
        </w:rPr>
      </w:pPr>
    </w:p>
    <w:p w:rsidR="00FF542D" w:rsidP="00FF542D" w14:paraId="52063B8A" w14:textId="77777777">
      <w:pPr>
        <w:tabs>
          <w:tab w:val="left" w:pos="567"/>
          <w:tab w:val="right" w:pos="9070"/>
        </w:tabs>
        <w:jc w:val="both"/>
        <w:rPr>
          <w:sz w:val="22"/>
          <w:szCs w:val="22"/>
        </w:rPr>
      </w:pPr>
      <w:r>
        <w:rPr>
          <w:sz w:val="22"/>
          <w:szCs w:val="22"/>
        </w:rPr>
        <w:t>Non c’è un uso rilevante di Humira nei bambini di età inferiore a 6 anni per questa indicazione.</w:t>
      </w:r>
    </w:p>
    <w:p w:rsidR="00123685" w:rsidRPr="00612824" w:rsidP="00123685" w14:paraId="5426EBF5" w14:textId="77777777">
      <w:pPr>
        <w:rPr>
          <w:sz w:val="22"/>
          <w:szCs w:val="22"/>
        </w:rPr>
      </w:pPr>
    </w:p>
    <w:p w:rsidR="00123685" w:rsidRPr="00612824" w:rsidP="00123685" w14:paraId="7436F323" w14:textId="77777777">
      <w:pPr>
        <w:rPr>
          <w:sz w:val="22"/>
          <w:szCs w:val="22"/>
        </w:rPr>
      </w:pPr>
      <w:r w:rsidRPr="00612824">
        <w:rPr>
          <w:sz w:val="22"/>
          <w:szCs w:val="22"/>
        </w:rPr>
        <w:t>Humira può essere disponibile in divers</w:t>
      </w:r>
      <w:r>
        <w:rPr>
          <w:sz w:val="22"/>
          <w:szCs w:val="22"/>
        </w:rPr>
        <w:t xml:space="preserve">e concentrazioni </w:t>
      </w:r>
      <w:r w:rsidRPr="00612824">
        <w:rPr>
          <w:sz w:val="22"/>
          <w:szCs w:val="22"/>
        </w:rPr>
        <w:t xml:space="preserve">e/o presentazioni a seconda delle </w:t>
      </w:r>
      <w:r>
        <w:rPr>
          <w:sz w:val="22"/>
          <w:szCs w:val="22"/>
        </w:rPr>
        <w:t>necessità individuali</w:t>
      </w:r>
      <w:r w:rsidRPr="00612824">
        <w:rPr>
          <w:sz w:val="22"/>
          <w:szCs w:val="22"/>
        </w:rPr>
        <w:t xml:space="preserve"> di trattamento.</w:t>
      </w:r>
    </w:p>
    <w:p w:rsidR="00123685" w:rsidRPr="00123685" w14:paraId="7B1A7D72" w14:textId="77777777">
      <w:pPr>
        <w:tabs>
          <w:tab w:val="left" w:pos="567"/>
          <w:tab w:val="right" w:pos="9070"/>
        </w:tabs>
        <w:jc w:val="both"/>
        <w:rPr>
          <w:i/>
          <w:sz w:val="22"/>
          <w:szCs w:val="22"/>
          <w:u w:val="single"/>
        </w:rPr>
      </w:pPr>
    </w:p>
    <w:p w:rsidR="006224C2" w:rsidRPr="00295E71" w14:paraId="424B88CF" w14:textId="77777777">
      <w:pPr>
        <w:tabs>
          <w:tab w:val="left" w:pos="567"/>
          <w:tab w:val="right" w:pos="9070"/>
        </w:tabs>
        <w:jc w:val="both"/>
        <w:rPr>
          <w:i/>
          <w:sz w:val="22"/>
          <w:szCs w:val="22"/>
          <w:u w:val="single"/>
        </w:rPr>
      </w:pPr>
      <w:r w:rsidRPr="00295E71">
        <w:rPr>
          <w:i/>
          <w:sz w:val="22"/>
          <w:szCs w:val="22"/>
          <w:u w:val="single"/>
        </w:rPr>
        <w:t>Uveite pediatrica</w:t>
      </w:r>
    </w:p>
    <w:p w:rsidR="006224C2" w:rsidRPr="00295E71" w14:paraId="66CC338E" w14:textId="77777777">
      <w:pPr>
        <w:tabs>
          <w:tab w:val="left" w:pos="567"/>
          <w:tab w:val="right" w:pos="9070"/>
        </w:tabs>
        <w:jc w:val="both"/>
        <w:rPr>
          <w:sz w:val="22"/>
          <w:szCs w:val="22"/>
        </w:rPr>
      </w:pPr>
    </w:p>
    <w:p w:rsidR="00175D66" w:rsidRPr="00295E71" w:rsidP="00175D66" w14:paraId="42E2BDEE" w14:textId="77777777">
      <w:pPr>
        <w:pStyle w:val="gtcbodytext"/>
        <w:spacing w:before="0" w:after="0" w:line="240" w:lineRule="auto"/>
        <w:jc w:val="both"/>
        <w:rPr>
          <w:sz w:val="22"/>
          <w:szCs w:val="22"/>
          <w:lang w:val="it-IT"/>
        </w:rPr>
      </w:pPr>
      <w:r w:rsidRPr="00295E71">
        <w:rPr>
          <w:sz w:val="22"/>
          <w:szCs w:val="22"/>
          <w:lang w:val="it-IT"/>
        </w:rPr>
        <w:t xml:space="preserve">La dose raccomandata di Humira nei pazienti pediatrici con uveite dai 2 anni di età è basata sul peso corporeo (Tabella </w:t>
      </w:r>
      <w:r w:rsidR="00123685">
        <w:rPr>
          <w:sz w:val="22"/>
          <w:szCs w:val="22"/>
          <w:lang w:val="it-IT"/>
        </w:rPr>
        <w:t>6</w:t>
      </w:r>
      <w:r w:rsidRPr="00295E71">
        <w:rPr>
          <w:sz w:val="22"/>
          <w:szCs w:val="22"/>
          <w:lang w:val="it-IT"/>
        </w:rPr>
        <w:t xml:space="preserve">). Humira è somministrato attraverso iniezione sottocutanea. </w:t>
      </w:r>
    </w:p>
    <w:p w:rsidR="00175D66" w:rsidRPr="00295E71" w14:paraId="0F9D2A28" w14:textId="77777777">
      <w:pPr>
        <w:tabs>
          <w:tab w:val="left" w:pos="567"/>
          <w:tab w:val="right" w:pos="9070"/>
        </w:tabs>
        <w:jc w:val="both"/>
        <w:rPr>
          <w:sz w:val="22"/>
          <w:szCs w:val="22"/>
        </w:rPr>
      </w:pPr>
    </w:p>
    <w:p w:rsidR="006224C2" w:rsidRPr="00295E71" w14:paraId="1B66FA14" w14:textId="77777777">
      <w:pPr>
        <w:tabs>
          <w:tab w:val="left" w:pos="567"/>
          <w:tab w:val="right" w:pos="9070"/>
        </w:tabs>
        <w:jc w:val="both"/>
        <w:rPr>
          <w:sz w:val="22"/>
          <w:szCs w:val="22"/>
        </w:rPr>
      </w:pPr>
      <w:r w:rsidRPr="00295E71">
        <w:rPr>
          <w:sz w:val="22"/>
          <w:szCs w:val="22"/>
        </w:rPr>
        <w:t>Nell’uveite pediatrica, non</w:t>
      </w:r>
      <w:r w:rsidRPr="00295E71" w:rsidR="00110329">
        <w:rPr>
          <w:sz w:val="22"/>
          <w:szCs w:val="22"/>
        </w:rPr>
        <w:t xml:space="preserve"> c’è</w:t>
      </w:r>
      <w:r w:rsidRPr="00295E71">
        <w:rPr>
          <w:sz w:val="22"/>
          <w:szCs w:val="22"/>
        </w:rPr>
        <w:t xml:space="preserve"> esperienz</w:t>
      </w:r>
      <w:r w:rsidRPr="00295E71" w:rsidR="00110329">
        <w:rPr>
          <w:sz w:val="22"/>
          <w:szCs w:val="22"/>
        </w:rPr>
        <w:t>a</w:t>
      </w:r>
      <w:r w:rsidRPr="00295E71">
        <w:rPr>
          <w:sz w:val="22"/>
          <w:szCs w:val="22"/>
        </w:rPr>
        <w:t xml:space="preserve"> </w:t>
      </w:r>
      <w:r w:rsidRPr="00295E71" w:rsidR="00110329">
        <w:rPr>
          <w:sz w:val="22"/>
          <w:szCs w:val="22"/>
        </w:rPr>
        <w:t>ne</w:t>
      </w:r>
      <w:r w:rsidRPr="00295E71">
        <w:rPr>
          <w:sz w:val="22"/>
          <w:szCs w:val="22"/>
        </w:rPr>
        <w:t>l trattamento con Humira senza terapia concomitante con metotressato.</w:t>
      </w:r>
    </w:p>
    <w:p w:rsidR="006224C2" w:rsidRPr="00295E71" w14:paraId="589497EC" w14:textId="77777777">
      <w:pPr>
        <w:tabs>
          <w:tab w:val="left" w:pos="567"/>
          <w:tab w:val="right" w:pos="9070"/>
        </w:tabs>
        <w:jc w:val="both"/>
        <w:rPr>
          <w:sz w:val="22"/>
          <w:szCs w:val="22"/>
        </w:rPr>
      </w:pPr>
    </w:p>
    <w:p w:rsidR="00175D66" w:rsidRPr="00295E71" w:rsidP="00175D66" w14:paraId="57951D96" w14:textId="77777777">
      <w:pPr>
        <w:tabs>
          <w:tab w:val="left" w:pos="562"/>
        </w:tabs>
        <w:jc w:val="center"/>
        <w:rPr>
          <w:b/>
          <w:color w:val="000000"/>
          <w:sz w:val="22"/>
          <w:szCs w:val="22"/>
        </w:rPr>
      </w:pPr>
      <w:r w:rsidRPr="00295E71">
        <w:rPr>
          <w:b/>
          <w:color w:val="000000"/>
          <w:sz w:val="22"/>
          <w:szCs w:val="22"/>
        </w:rPr>
        <w:t xml:space="preserve">Tabella </w:t>
      </w:r>
      <w:r w:rsidR="00123685">
        <w:rPr>
          <w:b/>
          <w:color w:val="000000"/>
          <w:sz w:val="22"/>
          <w:szCs w:val="22"/>
        </w:rPr>
        <w:t>6</w:t>
      </w:r>
      <w:r w:rsidRPr="00295E71">
        <w:rPr>
          <w:b/>
          <w:color w:val="000000"/>
          <w:sz w:val="22"/>
          <w:szCs w:val="22"/>
        </w:rPr>
        <w:t>. Dose di Humira per Pazienti Pediatrici con Uveite</w:t>
      </w:r>
    </w:p>
    <w:p w:rsidR="00175D66" w:rsidRPr="00295E71" w:rsidP="00175D66" w14:paraId="0E9CF011" w14:textId="77777777">
      <w:pPr>
        <w:tabs>
          <w:tab w:val="left" w:pos="562"/>
        </w:tabs>
        <w:jc w:val="both"/>
        <w:rPr>
          <w:color w:val="000000"/>
          <w:sz w:val="22"/>
          <w:szCs w:val="22"/>
        </w:rPr>
      </w:pPr>
    </w:p>
    <w:tbl>
      <w:tblPr>
        <w:tblW w:w="6795" w:type="dxa"/>
        <w:jc w:val="center"/>
        <w:tblLayout w:type="fixed"/>
        <w:tblLook w:val="0000"/>
      </w:tblPr>
      <w:tblGrid>
        <w:gridCol w:w="3401"/>
        <w:gridCol w:w="3394"/>
      </w:tblGrid>
      <w:tr w14:paraId="4DBD48F4"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175D66" w:rsidRPr="00295E71" w:rsidP="00175D66" w14:paraId="35B27738" w14:textId="77777777">
            <w:pPr>
              <w:tabs>
                <w:tab w:val="left" w:pos="567"/>
              </w:tabs>
              <w:jc w:val="center"/>
              <w:rPr>
                <w:b/>
                <w:color w:val="000000"/>
                <w:sz w:val="22"/>
                <w:szCs w:val="22"/>
              </w:rPr>
            </w:pPr>
            <w:r w:rsidRPr="00295E71">
              <w:rPr>
                <w:b/>
                <w:color w:val="000000"/>
                <w:sz w:val="22"/>
                <w:szCs w:val="22"/>
              </w:rPr>
              <w:t>Peso del Paziente</w:t>
            </w:r>
          </w:p>
        </w:tc>
        <w:tc>
          <w:tcPr>
            <w:tcW w:w="3394" w:type="dxa"/>
            <w:tcBorders>
              <w:top w:val="single" w:sz="4" w:space="0" w:color="auto"/>
              <w:bottom w:val="single" w:sz="4" w:space="0" w:color="auto"/>
            </w:tcBorders>
          </w:tcPr>
          <w:p w:rsidR="00175D66" w:rsidRPr="00295E71" w:rsidP="00175D66" w14:paraId="1A947E48" w14:textId="77777777">
            <w:pPr>
              <w:tabs>
                <w:tab w:val="left" w:pos="567"/>
              </w:tabs>
              <w:jc w:val="center"/>
              <w:rPr>
                <w:b/>
                <w:color w:val="000000"/>
                <w:sz w:val="22"/>
                <w:szCs w:val="22"/>
              </w:rPr>
            </w:pPr>
            <w:r w:rsidRPr="00295E71">
              <w:rPr>
                <w:b/>
                <w:color w:val="000000"/>
                <w:sz w:val="22"/>
                <w:szCs w:val="22"/>
              </w:rPr>
              <w:t>Schema Posologico</w:t>
            </w:r>
          </w:p>
        </w:tc>
      </w:tr>
      <w:tr w14:paraId="78665C28"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175D66" w:rsidRPr="00295E71" w:rsidP="00175D66" w14:paraId="71A48657" w14:textId="77777777">
            <w:pPr>
              <w:tabs>
                <w:tab w:val="left" w:pos="567"/>
              </w:tabs>
              <w:jc w:val="center"/>
              <w:rPr>
                <w:b/>
                <w:color w:val="000000"/>
                <w:sz w:val="22"/>
                <w:szCs w:val="22"/>
              </w:rPr>
            </w:pPr>
            <w:r w:rsidRPr="00295E71">
              <w:rPr>
                <w:color w:val="000000"/>
                <w:sz w:val="22"/>
                <w:szCs w:val="22"/>
              </w:rPr>
              <w:t>&lt; 30 kg</w:t>
            </w:r>
          </w:p>
        </w:tc>
        <w:tc>
          <w:tcPr>
            <w:tcW w:w="3394" w:type="dxa"/>
            <w:tcBorders>
              <w:top w:val="single" w:sz="4" w:space="0" w:color="auto"/>
              <w:bottom w:val="single" w:sz="4" w:space="0" w:color="auto"/>
            </w:tcBorders>
          </w:tcPr>
          <w:p w:rsidR="00175D66" w:rsidRPr="00295E71" w:rsidP="00175D66" w14:paraId="4FC29F4E" w14:textId="77777777">
            <w:pPr>
              <w:tabs>
                <w:tab w:val="left" w:pos="567"/>
              </w:tabs>
              <w:jc w:val="center"/>
              <w:rPr>
                <w:b/>
                <w:color w:val="000000"/>
                <w:sz w:val="22"/>
                <w:szCs w:val="22"/>
              </w:rPr>
            </w:pPr>
            <w:r w:rsidRPr="00295E71">
              <w:rPr>
                <w:color w:val="000000"/>
                <w:sz w:val="22"/>
                <w:szCs w:val="22"/>
              </w:rPr>
              <w:t>20 mg a settimane alterne in associazione con metotressato</w:t>
            </w:r>
          </w:p>
        </w:tc>
      </w:tr>
      <w:tr w14:paraId="68334DC6" w14:textId="77777777" w:rsidTr="00175D66">
        <w:tblPrEx>
          <w:tblW w:w="6795" w:type="dxa"/>
          <w:tblLayout w:type="fixed"/>
          <w:tblLook w:val="0000"/>
        </w:tblPrEx>
        <w:trPr>
          <w:tblHeader/>
        </w:trPr>
        <w:tc>
          <w:tcPr>
            <w:tcW w:w="3401" w:type="dxa"/>
            <w:tcBorders>
              <w:top w:val="single" w:sz="4" w:space="0" w:color="auto"/>
              <w:bottom w:val="single" w:sz="4" w:space="0" w:color="auto"/>
            </w:tcBorders>
          </w:tcPr>
          <w:p w:rsidR="00175D66" w:rsidRPr="00295E71" w:rsidP="00175D66" w14:paraId="09EA6F28" w14:textId="77777777">
            <w:pPr>
              <w:tabs>
                <w:tab w:val="left" w:pos="567"/>
              </w:tabs>
              <w:jc w:val="center"/>
              <w:rPr>
                <w:b/>
                <w:color w:val="000000"/>
                <w:sz w:val="22"/>
                <w:szCs w:val="22"/>
              </w:rPr>
            </w:pPr>
            <w:r w:rsidRPr="00295E71">
              <w:rPr>
                <w:color w:val="000000"/>
                <w:sz w:val="22"/>
                <w:szCs w:val="22"/>
              </w:rPr>
              <w:t>≥ 30 kg</w:t>
            </w:r>
          </w:p>
        </w:tc>
        <w:tc>
          <w:tcPr>
            <w:tcW w:w="3394" w:type="dxa"/>
            <w:tcBorders>
              <w:top w:val="single" w:sz="4" w:space="0" w:color="auto"/>
              <w:bottom w:val="single" w:sz="4" w:space="0" w:color="auto"/>
            </w:tcBorders>
          </w:tcPr>
          <w:p w:rsidR="00175D66" w:rsidRPr="00295E71" w:rsidP="00175D66" w14:paraId="01B7187E" w14:textId="77777777">
            <w:pPr>
              <w:tabs>
                <w:tab w:val="left" w:pos="567"/>
              </w:tabs>
              <w:jc w:val="center"/>
              <w:rPr>
                <w:b/>
                <w:color w:val="000000"/>
                <w:sz w:val="22"/>
                <w:szCs w:val="22"/>
              </w:rPr>
            </w:pPr>
            <w:r w:rsidRPr="00295E71">
              <w:rPr>
                <w:color w:val="000000"/>
                <w:sz w:val="22"/>
                <w:szCs w:val="22"/>
              </w:rPr>
              <w:t>40 mg a settimane alterne in associazione con metotressato</w:t>
            </w:r>
          </w:p>
        </w:tc>
      </w:tr>
    </w:tbl>
    <w:p w:rsidR="006224C2" w:rsidRPr="00295E71" w14:paraId="133B8106" w14:textId="77777777">
      <w:pPr>
        <w:tabs>
          <w:tab w:val="left" w:pos="567"/>
          <w:tab w:val="right" w:pos="9070"/>
        </w:tabs>
        <w:jc w:val="both"/>
        <w:rPr>
          <w:sz w:val="22"/>
          <w:szCs w:val="22"/>
        </w:rPr>
      </w:pPr>
    </w:p>
    <w:p w:rsidR="006224C2" w:rsidRPr="00295E71" w14:paraId="6CD1705C" w14:textId="77777777">
      <w:pPr>
        <w:tabs>
          <w:tab w:val="left" w:pos="567"/>
          <w:tab w:val="right" w:pos="9070"/>
        </w:tabs>
        <w:jc w:val="both"/>
        <w:rPr>
          <w:sz w:val="22"/>
          <w:szCs w:val="22"/>
        </w:rPr>
      </w:pPr>
      <w:r w:rsidRPr="00295E71">
        <w:rPr>
          <w:sz w:val="22"/>
          <w:szCs w:val="22"/>
        </w:rPr>
        <w:t xml:space="preserve">Quando si inizia la terapia con Humira, è possibile somministrare una dose di carico da 40 mg </w:t>
      </w:r>
      <w:r w:rsidRPr="00295E71" w:rsidR="00175D66">
        <w:rPr>
          <w:sz w:val="22"/>
          <w:szCs w:val="22"/>
        </w:rPr>
        <w:t xml:space="preserve">per i pazienti con peso &lt; 30 kg o 80 mg per i pazienti con peso ≥ 30 kg </w:t>
      </w:r>
      <w:r w:rsidRPr="00295E71">
        <w:rPr>
          <w:sz w:val="22"/>
          <w:szCs w:val="22"/>
        </w:rPr>
        <w:t>una settimana prima dell’inizio della terapia di mantenimento. Non sono disponibili dati clinici sull’uso della dose di carico di Humira nei bambini di età inferiore ai 6 anni (vedere paragrafo 5.2).</w:t>
      </w:r>
    </w:p>
    <w:p w:rsidR="006224C2" w:rsidRPr="00295E71" w14:paraId="39D06791" w14:textId="77777777">
      <w:pPr>
        <w:tabs>
          <w:tab w:val="left" w:pos="567"/>
          <w:tab w:val="right" w:pos="9070"/>
        </w:tabs>
        <w:jc w:val="both"/>
        <w:rPr>
          <w:sz w:val="22"/>
          <w:szCs w:val="22"/>
        </w:rPr>
      </w:pPr>
    </w:p>
    <w:p w:rsidR="006224C2" w:rsidRPr="00295E71" w14:paraId="0B22001E" w14:textId="77777777">
      <w:pPr>
        <w:pStyle w:val="gtcbodytext"/>
        <w:spacing w:before="0" w:after="0" w:line="240" w:lineRule="auto"/>
        <w:jc w:val="both"/>
        <w:rPr>
          <w:sz w:val="22"/>
          <w:szCs w:val="22"/>
          <w:lang w:val="it-IT"/>
        </w:rPr>
      </w:pPr>
      <w:r w:rsidRPr="00295E71">
        <w:rPr>
          <w:sz w:val="22"/>
          <w:szCs w:val="22"/>
          <w:lang w:val="it-IT"/>
        </w:rPr>
        <w:t>Non c’è un uso rilevante di Humira nei bambini di età inferiore ai 2 anni per questa indicazione.</w:t>
      </w:r>
    </w:p>
    <w:p w:rsidR="006224C2" w:rsidRPr="00295E71" w14:paraId="326B3B97" w14:textId="77777777">
      <w:pPr>
        <w:pStyle w:val="gtcbodytext"/>
        <w:spacing w:before="0" w:after="0" w:line="240" w:lineRule="auto"/>
        <w:jc w:val="both"/>
        <w:rPr>
          <w:sz w:val="22"/>
          <w:szCs w:val="22"/>
          <w:lang w:val="it-IT"/>
        </w:rPr>
      </w:pPr>
    </w:p>
    <w:p w:rsidR="006224C2" w:rsidRPr="00295E71" w14:paraId="56D9EEA4" w14:textId="77777777">
      <w:pPr>
        <w:tabs>
          <w:tab w:val="left" w:pos="567"/>
        </w:tabs>
        <w:jc w:val="both"/>
        <w:rPr>
          <w:sz w:val="22"/>
          <w:szCs w:val="22"/>
        </w:rPr>
      </w:pPr>
      <w:r w:rsidRPr="00295E71">
        <w:rPr>
          <w:sz w:val="22"/>
          <w:szCs w:val="22"/>
        </w:rPr>
        <w:t>Si raccomanda che i benefici e i rischi del trattamento continuato a lungo termine siano valutati su base annua (vedere paragrafo 5.1).</w:t>
      </w:r>
    </w:p>
    <w:p w:rsidR="00272D2F" w:rsidRPr="00295E71" w14:paraId="01A4DACE" w14:textId="77777777">
      <w:pPr>
        <w:tabs>
          <w:tab w:val="left" w:pos="567"/>
        </w:tabs>
        <w:jc w:val="both"/>
        <w:rPr>
          <w:sz w:val="22"/>
          <w:szCs w:val="22"/>
        </w:rPr>
      </w:pPr>
    </w:p>
    <w:p w:rsidR="00272D2F" w:rsidRPr="00295E71" w14:paraId="2C6AC06B"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6224C2" w:rsidRPr="00295E71" w14:paraId="16648977" w14:textId="77777777">
      <w:pPr>
        <w:tabs>
          <w:tab w:val="left" w:pos="567"/>
        </w:tabs>
        <w:jc w:val="both"/>
        <w:rPr>
          <w:sz w:val="22"/>
          <w:szCs w:val="22"/>
        </w:rPr>
      </w:pPr>
    </w:p>
    <w:p w:rsidR="006224C2" w:rsidRPr="00295E71" w14:paraId="29FA48E0" w14:textId="77777777">
      <w:pPr>
        <w:tabs>
          <w:tab w:val="left" w:pos="567"/>
        </w:tabs>
        <w:jc w:val="both"/>
        <w:rPr>
          <w:sz w:val="22"/>
          <w:szCs w:val="22"/>
          <w:u w:val="single"/>
        </w:rPr>
      </w:pPr>
      <w:r w:rsidRPr="00295E71">
        <w:rPr>
          <w:sz w:val="22"/>
          <w:szCs w:val="22"/>
          <w:u w:val="single"/>
        </w:rPr>
        <w:t>Modo di somministrazione</w:t>
      </w:r>
    </w:p>
    <w:p w:rsidR="006224C2" w:rsidRPr="00295E71" w14:paraId="01CA82C5" w14:textId="77777777">
      <w:pPr>
        <w:tabs>
          <w:tab w:val="left" w:pos="567"/>
        </w:tabs>
        <w:jc w:val="both"/>
        <w:rPr>
          <w:sz w:val="22"/>
          <w:szCs w:val="22"/>
        </w:rPr>
      </w:pPr>
    </w:p>
    <w:p w:rsidR="006224C2" w:rsidRPr="00295E71" w14:paraId="5107830A" w14:textId="77777777">
      <w:pPr>
        <w:tabs>
          <w:tab w:val="left" w:pos="567"/>
        </w:tabs>
        <w:jc w:val="both"/>
        <w:rPr>
          <w:sz w:val="22"/>
          <w:szCs w:val="22"/>
        </w:rPr>
      </w:pPr>
      <w:r w:rsidRPr="00295E71">
        <w:rPr>
          <w:sz w:val="22"/>
          <w:szCs w:val="22"/>
        </w:rPr>
        <w:t>Humira è somministrato per iniezione sottocutanea. Istruzioni complete per l’uso sono fornite nel foglio illustrativo.</w:t>
      </w:r>
    </w:p>
    <w:p w:rsidR="006224C2" w:rsidRPr="00295E71" w14:paraId="283AF310" w14:textId="77777777">
      <w:pPr>
        <w:tabs>
          <w:tab w:val="left" w:pos="567"/>
        </w:tabs>
        <w:jc w:val="both"/>
        <w:rPr>
          <w:sz w:val="22"/>
          <w:szCs w:val="22"/>
        </w:rPr>
      </w:pPr>
    </w:p>
    <w:p w:rsidR="006224C2" w:rsidRPr="00295E71" w14:paraId="788B6621" w14:textId="77777777">
      <w:pPr>
        <w:tabs>
          <w:tab w:val="left" w:pos="567"/>
        </w:tabs>
        <w:jc w:val="both"/>
        <w:rPr>
          <w:sz w:val="22"/>
          <w:szCs w:val="22"/>
        </w:rPr>
      </w:pPr>
      <w:r w:rsidRPr="00295E71">
        <w:rPr>
          <w:sz w:val="22"/>
          <w:szCs w:val="22"/>
        </w:rPr>
        <w:t>Humira è disponibile in altre concentrazioni e presentazioni.</w:t>
      </w:r>
    </w:p>
    <w:p w:rsidR="006224C2" w:rsidRPr="00295E71" w14:paraId="16D9FE78" w14:textId="77777777">
      <w:pPr>
        <w:tabs>
          <w:tab w:val="left" w:pos="567"/>
        </w:tabs>
        <w:jc w:val="both"/>
        <w:rPr>
          <w:sz w:val="22"/>
          <w:szCs w:val="22"/>
        </w:rPr>
      </w:pPr>
    </w:p>
    <w:p w:rsidR="006224C2" w:rsidRPr="00295E71" w14:paraId="44040C72" w14:textId="77777777">
      <w:pPr>
        <w:tabs>
          <w:tab w:val="left" w:pos="567"/>
        </w:tabs>
        <w:ind w:left="567" w:hanging="567"/>
        <w:jc w:val="both"/>
        <w:rPr>
          <w:b/>
          <w:bCs/>
          <w:sz w:val="22"/>
          <w:szCs w:val="22"/>
        </w:rPr>
      </w:pPr>
      <w:r w:rsidRPr="00295E71">
        <w:rPr>
          <w:b/>
          <w:bCs/>
          <w:sz w:val="22"/>
          <w:szCs w:val="22"/>
        </w:rPr>
        <w:t>4.3</w:t>
      </w:r>
      <w:r w:rsidRPr="00295E71">
        <w:rPr>
          <w:b/>
          <w:bCs/>
          <w:sz w:val="22"/>
          <w:szCs w:val="22"/>
        </w:rPr>
        <w:tab/>
        <w:t>Controindicazioni</w:t>
      </w:r>
    </w:p>
    <w:p w:rsidR="006224C2" w:rsidRPr="00295E71" w14:paraId="6A5E5CDC" w14:textId="77777777">
      <w:pPr>
        <w:pStyle w:val="EndnoteText"/>
        <w:jc w:val="both"/>
        <w:rPr>
          <w:lang w:val="it-IT"/>
        </w:rPr>
      </w:pPr>
    </w:p>
    <w:p w:rsidR="006224C2" w:rsidRPr="00295E71" w14:paraId="411D4FE5" w14:textId="77777777">
      <w:pPr>
        <w:tabs>
          <w:tab w:val="left" w:pos="567"/>
        </w:tabs>
        <w:jc w:val="both"/>
        <w:rPr>
          <w:sz w:val="22"/>
          <w:szCs w:val="22"/>
        </w:rPr>
      </w:pPr>
      <w:r w:rsidRPr="00295E71">
        <w:rPr>
          <w:sz w:val="22"/>
          <w:szCs w:val="22"/>
        </w:rPr>
        <w:t>Ipersensibilità al principio attivo o ad uno qualsiasi degli eccipienti elencati al paragrafo 6.1.</w:t>
      </w:r>
    </w:p>
    <w:p w:rsidR="006224C2" w:rsidRPr="00295E71" w14:paraId="1C8ED438" w14:textId="77777777">
      <w:pPr>
        <w:tabs>
          <w:tab w:val="left" w:pos="567"/>
        </w:tabs>
        <w:jc w:val="both"/>
        <w:rPr>
          <w:sz w:val="22"/>
          <w:szCs w:val="22"/>
        </w:rPr>
      </w:pPr>
    </w:p>
    <w:p w:rsidR="006224C2" w:rsidRPr="00295E71" w14:paraId="2E701B85" w14:textId="77777777">
      <w:pPr>
        <w:tabs>
          <w:tab w:val="left" w:pos="567"/>
        </w:tabs>
        <w:jc w:val="both"/>
        <w:rPr>
          <w:sz w:val="22"/>
          <w:szCs w:val="22"/>
        </w:rPr>
      </w:pPr>
      <w:r w:rsidRPr="00295E71">
        <w:rPr>
          <w:sz w:val="22"/>
          <w:szCs w:val="22"/>
        </w:rPr>
        <w:t xml:space="preserve">Tubercolosi attiva o altre gravi infezioni come sepsi e infezioni opportunistiche (vedere paragrafo 4.4). </w:t>
      </w:r>
    </w:p>
    <w:p w:rsidR="006224C2" w:rsidRPr="00295E71" w14:paraId="1DDC997B" w14:textId="77777777">
      <w:pPr>
        <w:tabs>
          <w:tab w:val="left" w:pos="567"/>
        </w:tabs>
        <w:jc w:val="both"/>
        <w:rPr>
          <w:sz w:val="22"/>
          <w:szCs w:val="22"/>
        </w:rPr>
      </w:pPr>
    </w:p>
    <w:p w:rsidR="006224C2" w:rsidRPr="00295E71" w14:paraId="32F8C732" w14:textId="77777777">
      <w:pPr>
        <w:tabs>
          <w:tab w:val="left" w:pos="567"/>
        </w:tabs>
        <w:jc w:val="both"/>
        <w:rPr>
          <w:sz w:val="22"/>
          <w:szCs w:val="22"/>
        </w:rPr>
      </w:pPr>
      <w:r w:rsidRPr="00295E71">
        <w:rPr>
          <w:sz w:val="22"/>
          <w:szCs w:val="22"/>
        </w:rPr>
        <w:t>Insufficienza cardiaca da moderata a grave (classe III/IV NYHA) (vedere paragrafo 4.4).</w:t>
      </w:r>
    </w:p>
    <w:p w:rsidR="006224C2" w:rsidRPr="00295E71" w:rsidP="00F57FE5" w14:paraId="0CFE95E5" w14:textId="77777777">
      <w:pPr>
        <w:keepNext/>
        <w:keepLines/>
        <w:tabs>
          <w:tab w:val="left" w:pos="567"/>
        </w:tabs>
        <w:jc w:val="both"/>
        <w:rPr>
          <w:sz w:val="22"/>
          <w:szCs w:val="22"/>
        </w:rPr>
      </w:pPr>
    </w:p>
    <w:p w:rsidR="006224C2" w:rsidRPr="00295E71" w:rsidP="00F57FE5" w14:paraId="1DC925AB" w14:textId="77777777">
      <w:pPr>
        <w:keepNext/>
        <w:keepLines/>
        <w:tabs>
          <w:tab w:val="left" w:pos="567"/>
        </w:tabs>
        <w:jc w:val="both"/>
        <w:rPr>
          <w:b/>
          <w:bCs/>
          <w:sz w:val="22"/>
          <w:szCs w:val="22"/>
        </w:rPr>
      </w:pPr>
      <w:r w:rsidRPr="00295E71">
        <w:rPr>
          <w:b/>
          <w:bCs/>
          <w:sz w:val="22"/>
          <w:szCs w:val="22"/>
        </w:rPr>
        <w:t>4.4</w:t>
      </w:r>
      <w:r w:rsidRPr="00295E71">
        <w:rPr>
          <w:b/>
          <w:bCs/>
          <w:sz w:val="22"/>
          <w:szCs w:val="22"/>
        </w:rPr>
        <w:tab/>
        <w:t xml:space="preserve">Avvertenze speciali e precauzioni d’impiego </w:t>
      </w:r>
    </w:p>
    <w:p w:rsidR="006224C2" w:rsidRPr="00295E71" w:rsidP="00F57FE5" w14:paraId="48B6E2CB" w14:textId="77777777">
      <w:pPr>
        <w:keepNext/>
        <w:keepLines/>
        <w:tabs>
          <w:tab w:val="left" w:pos="567"/>
        </w:tabs>
        <w:jc w:val="both"/>
        <w:rPr>
          <w:sz w:val="22"/>
          <w:szCs w:val="22"/>
        </w:rPr>
      </w:pPr>
    </w:p>
    <w:p w:rsidR="00175D66" w:rsidRPr="00295E71" w:rsidP="00F57FE5" w14:paraId="2B275F23" w14:textId="77777777">
      <w:pPr>
        <w:keepNext/>
        <w:keepLines/>
        <w:tabs>
          <w:tab w:val="left" w:pos="567"/>
        </w:tabs>
        <w:jc w:val="both"/>
        <w:rPr>
          <w:sz w:val="22"/>
          <w:szCs w:val="22"/>
          <w:u w:val="single"/>
        </w:rPr>
      </w:pPr>
      <w:r w:rsidRPr="00295E71">
        <w:rPr>
          <w:sz w:val="22"/>
          <w:szCs w:val="22"/>
          <w:u w:val="single"/>
        </w:rPr>
        <w:t>Tracciabilità</w:t>
      </w:r>
    </w:p>
    <w:p w:rsidR="00175D66" w:rsidRPr="00295E71" w:rsidP="00F57FE5" w14:paraId="20798FF1" w14:textId="77777777">
      <w:pPr>
        <w:keepNext/>
        <w:keepLines/>
        <w:tabs>
          <w:tab w:val="left" w:pos="567"/>
        </w:tabs>
        <w:jc w:val="both"/>
        <w:rPr>
          <w:sz w:val="22"/>
          <w:szCs w:val="22"/>
        </w:rPr>
      </w:pPr>
    </w:p>
    <w:p w:rsidR="006224C2" w:rsidRPr="00295E71" w:rsidP="00F57FE5" w14:paraId="7293DC4D" w14:textId="77777777">
      <w:pPr>
        <w:pStyle w:val="Heading4"/>
        <w:keepLines/>
        <w:autoSpaceDE w:val="0"/>
        <w:autoSpaceDN w:val="0"/>
        <w:adjustRightInd w:val="0"/>
        <w:rPr>
          <w:b w:val="0"/>
          <w:bCs w:val="0"/>
          <w:noProof w:val="0"/>
          <w:lang w:val="it-IT"/>
        </w:rPr>
      </w:pPr>
      <w:r w:rsidRPr="00295E71">
        <w:rPr>
          <w:b w:val="0"/>
          <w:bCs w:val="0"/>
          <w:noProof w:val="0"/>
          <w:lang w:val="it-IT"/>
        </w:rPr>
        <w:t xml:space="preserve">Al fine di migliorare la tracciabilità dei medicinali biologici, il </w:t>
      </w:r>
      <w:r w:rsidRPr="00295E71" w:rsidR="00175D66">
        <w:rPr>
          <w:b w:val="0"/>
          <w:bCs w:val="0"/>
          <w:noProof w:val="0"/>
          <w:lang w:val="it-IT"/>
        </w:rPr>
        <w:t xml:space="preserve">nome </w:t>
      </w:r>
      <w:r w:rsidRPr="00295E71">
        <w:rPr>
          <w:b w:val="0"/>
          <w:bCs w:val="0"/>
          <w:noProof w:val="0"/>
          <w:lang w:val="it-IT"/>
        </w:rPr>
        <w:t>e</w:t>
      </w:r>
      <w:r w:rsidRPr="00295E71" w:rsidR="00075CD9">
        <w:rPr>
          <w:b w:val="0"/>
          <w:bCs w:val="0"/>
          <w:noProof w:val="0"/>
          <w:lang w:val="it-IT"/>
        </w:rPr>
        <w:t>d</w:t>
      </w:r>
      <w:r w:rsidRPr="00295E71">
        <w:rPr>
          <w:b w:val="0"/>
          <w:bCs w:val="0"/>
          <w:noProof w:val="0"/>
          <w:lang w:val="it-IT"/>
        </w:rPr>
        <w:t xml:space="preserve"> il numero di</w:t>
      </w:r>
      <w:r w:rsidRPr="00295E71" w:rsidR="00175D66">
        <w:rPr>
          <w:b w:val="0"/>
          <w:bCs w:val="0"/>
          <w:noProof w:val="0"/>
          <w:lang w:val="it-IT"/>
        </w:rPr>
        <w:t xml:space="preserve"> </w:t>
      </w:r>
      <w:r w:rsidRPr="00295E71">
        <w:rPr>
          <w:b w:val="0"/>
          <w:bCs w:val="0"/>
          <w:noProof w:val="0"/>
          <w:lang w:val="it-IT"/>
        </w:rPr>
        <w:t>lotto del prodotto somministrato devono essere chiaramente registrati</w:t>
      </w:r>
      <w:r w:rsidRPr="00295E71" w:rsidR="00175D66">
        <w:rPr>
          <w:b w:val="0"/>
          <w:bCs w:val="0"/>
          <w:noProof w:val="0"/>
          <w:lang w:val="it-IT"/>
        </w:rPr>
        <w:t>.</w:t>
      </w:r>
    </w:p>
    <w:p w:rsidR="006224C2" w:rsidRPr="00295E71" w14:paraId="2D776851" w14:textId="77777777">
      <w:pPr>
        <w:pStyle w:val="Heading4"/>
        <w:keepNext w:val="0"/>
        <w:autoSpaceDE w:val="0"/>
        <w:autoSpaceDN w:val="0"/>
        <w:adjustRightInd w:val="0"/>
        <w:spacing w:line="240" w:lineRule="auto"/>
        <w:rPr>
          <w:b w:val="0"/>
          <w:bCs w:val="0"/>
          <w:noProof w:val="0"/>
          <w:u w:val="single"/>
          <w:lang w:val="it-IT"/>
        </w:rPr>
      </w:pPr>
    </w:p>
    <w:p w:rsidR="006224C2" w:rsidRPr="00295E71" w14:paraId="58E9A618" w14:textId="77777777">
      <w:pPr>
        <w:pStyle w:val="Heading4"/>
        <w:keepNext w:val="0"/>
        <w:autoSpaceDE w:val="0"/>
        <w:autoSpaceDN w:val="0"/>
        <w:adjustRightInd w:val="0"/>
        <w:spacing w:line="240" w:lineRule="auto"/>
        <w:rPr>
          <w:b w:val="0"/>
          <w:bCs w:val="0"/>
          <w:noProof w:val="0"/>
          <w:u w:val="single"/>
          <w:lang w:val="it-IT"/>
        </w:rPr>
      </w:pPr>
      <w:r w:rsidRPr="00295E71">
        <w:rPr>
          <w:b w:val="0"/>
          <w:bCs w:val="0"/>
          <w:noProof w:val="0"/>
          <w:u w:val="single"/>
          <w:lang w:val="it-IT"/>
        </w:rPr>
        <w:t>Infezioni</w:t>
      </w:r>
    </w:p>
    <w:p w:rsidR="006224C2" w:rsidRPr="00295E71" w14:paraId="1695C92D" w14:textId="77777777">
      <w:pPr>
        <w:tabs>
          <w:tab w:val="left" w:pos="567"/>
        </w:tabs>
        <w:jc w:val="both"/>
        <w:rPr>
          <w:sz w:val="22"/>
          <w:szCs w:val="22"/>
        </w:rPr>
      </w:pPr>
    </w:p>
    <w:p w:rsidR="006224C2" w:rsidRPr="00295E71" w14:paraId="0B5390C1" w14:textId="77777777">
      <w:pPr>
        <w:tabs>
          <w:tab w:val="left" w:pos="567"/>
        </w:tabs>
        <w:autoSpaceDE w:val="0"/>
        <w:autoSpaceDN w:val="0"/>
        <w:adjustRightInd w:val="0"/>
        <w:jc w:val="both"/>
        <w:rPr>
          <w:color w:val="000000"/>
          <w:sz w:val="22"/>
          <w:szCs w:val="22"/>
        </w:rPr>
      </w:pPr>
      <w:r w:rsidRPr="00295E71">
        <w:rPr>
          <w:color w:val="000000"/>
          <w:sz w:val="22"/>
          <w:szCs w:val="22"/>
        </w:rPr>
        <w:t>I pazienti in trattamento con antagonisti del TNF sono più suscettibili alle infezioni gravi. Una funzione polmonare compromessa può aumentare il rischio di sviluppare infezioni.</w:t>
      </w:r>
    </w:p>
    <w:p w:rsidR="006224C2" w:rsidRPr="00295E71" w14:paraId="1FE4E194" w14:textId="77777777">
      <w:pPr>
        <w:tabs>
          <w:tab w:val="left" w:pos="567"/>
        </w:tabs>
        <w:autoSpaceDE w:val="0"/>
        <w:autoSpaceDN w:val="0"/>
        <w:adjustRightInd w:val="0"/>
        <w:jc w:val="both"/>
        <w:rPr>
          <w:color w:val="000000"/>
          <w:sz w:val="22"/>
          <w:szCs w:val="22"/>
        </w:rPr>
      </w:pPr>
      <w:r w:rsidRPr="00295E71">
        <w:rPr>
          <w:color w:val="000000"/>
          <w:sz w:val="22"/>
          <w:szCs w:val="22"/>
        </w:rPr>
        <w:t>I pazienti devono pertanto essere attentamente esaminati per la valutazione di infezioni, compresa la tubercolosi, prima, durante e dopo il trattamento con Humira. Poichè l’eliminazione di adalimumab può richiedere fino a quattro mesi, il controllo deve essere continuato durante tale periodo.</w:t>
      </w:r>
    </w:p>
    <w:p w:rsidR="006224C2" w:rsidRPr="00295E71" w14:paraId="2AAEBDB6" w14:textId="77777777">
      <w:pPr>
        <w:tabs>
          <w:tab w:val="left" w:pos="567"/>
        </w:tabs>
        <w:autoSpaceDE w:val="0"/>
        <w:autoSpaceDN w:val="0"/>
        <w:adjustRightInd w:val="0"/>
        <w:jc w:val="both"/>
        <w:rPr>
          <w:color w:val="000000"/>
          <w:sz w:val="22"/>
          <w:szCs w:val="22"/>
        </w:rPr>
      </w:pPr>
    </w:p>
    <w:p w:rsidR="006224C2" w:rsidRPr="00295E71" w14:paraId="0CB0CBE2" w14:textId="77777777">
      <w:pPr>
        <w:tabs>
          <w:tab w:val="left" w:pos="567"/>
        </w:tabs>
        <w:autoSpaceDE w:val="0"/>
        <w:autoSpaceDN w:val="0"/>
        <w:adjustRightInd w:val="0"/>
        <w:jc w:val="both"/>
        <w:rPr>
          <w:color w:val="000000"/>
          <w:sz w:val="22"/>
          <w:szCs w:val="22"/>
        </w:rPr>
      </w:pPr>
      <w:r w:rsidRPr="00295E71">
        <w:rPr>
          <w:color w:val="000000"/>
          <w:sz w:val="22"/>
          <w:szCs w:val="22"/>
        </w:rPr>
        <w:t xml:space="preserve">La terapia con Humira non va iniziata in pazienti con infezioni attive, incluse le infezioni croniche o localizzate, fino a che queste non siano sotto controllo. In pazienti che sono stati esposti alla tubercolosi ed in pazienti che hanno viaggiato in aree ad alto rischio di tubercolosi o di micosi endemiche, quali istoplasmosi, coccidioidomicosi o blastomicosi, il rischio ed i benefici del trattamento con Humira devono essere considerati prima di iniziare la terapia (vedere </w:t>
      </w:r>
      <w:r w:rsidRPr="00295E71">
        <w:rPr>
          <w:i/>
          <w:color w:val="000000"/>
          <w:sz w:val="22"/>
          <w:szCs w:val="22"/>
        </w:rPr>
        <w:t xml:space="preserve">Altre </w:t>
      </w:r>
      <w:r w:rsidRPr="00295E71">
        <w:rPr>
          <w:i/>
          <w:iCs/>
          <w:color w:val="000000"/>
          <w:sz w:val="22"/>
          <w:szCs w:val="22"/>
        </w:rPr>
        <w:t>infezioni opportunistiche</w:t>
      </w:r>
      <w:r w:rsidRPr="00295E71">
        <w:rPr>
          <w:color w:val="000000"/>
          <w:sz w:val="22"/>
          <w:szCs w:val="22"/>
        </w:rPr>
        <w:t>).</w:t>
      </w:r>
    </w:p>
    <w:p w:rsidR="006224C2" w:rsidRPr="00295E71" w14:paraId="758A4BA1" w14:textId="77777777">
      <w:pPr>
        <w:rPr>
          <w:sz w:val="22"/>
          <w:szCs w:val="22"/>
        </w:rPr>
      </w:pPr>
    </w:p>
    <w:p w:rsidR="006224C2" w:rsidRPr="00295E71" w14:paraId="558457F9" w14:textId="77777777">
      <w:pPr>
        <w:tabs>
          <w:tab w:val="left" w:pos="567"/>
        </w:tabs>
        <w:autoSpaceDE w:val="0"/>
        <w:autoSpaceDN w:val="0"/>
        <w:adjustRightInd w:val="0"/>
        <w:jc w:val="both"/>
        <w:rPr>
          <w:color w:val="000000"/>
          <w:sz w:val="22"/>
          <w:szCs w:val="22"/>
        </w:rPr>
      </w:pPr>
      <w:r w:rsidRPr="00295E71">
        <w:rPr>
          <w:sz w:val="22"/>
          <w:szCs w:val="22"/>
        </w:rPr>
        <w:t xml:space="preserve">I pazienti che </w:t>
      </w:r>
      <w:r w:rsidRPr="00295E71">
        <w:rPr>
          <w:color w:val="000000"/>
          <w:sz w:val="22"/>
          <w:szCs w:val="22"/>
        </w:rPr>
        <w:t>sviluppano una nuova infezione durante la terapia con Humira devono essere attentamente seguiti ed essere sottoposti ad una completa valutazione diagnostica. In caso di insorgenza di una nuova infezione grave o di sepsi, la somministrazione di Humira deve essere interrotta e deve essere istituita una idonea terapia antimicrobica o antifungina fino a quando l’infezione non sia sotto controllo. I medici devono porre cautela nell’usare Humira in pazienti con storia di infezioni recidivanti o con patologie concomitanti che possano predisporre i pazienti alle infezioni, incluso l’uso concomitante di farmaci immunosoppressivi.</w:t>
      </w:r>
    </w:p>
    <w:p w:rsidR="006224C2" w:rsidRPr="00295E71" w14:paraId="512FC84B" w14:textId="77777777">
      <w:pPr>
        <w:tabs>
          <w:tab w:val="left" w:pos="567"/>
        </w:tabs>
        <w:autoSpaceDE w:val="0"/>
        <w:autoSpaceDN w:val="0"/>
        <w:adjustRightInd w:val="0"/>
        <w:jc w:val="both"/>
        <w:rPr>
          <w:color w:val="000000"/>
          <w:sz w:val="22"/>
          <w:szCs w:val="22"/>
        </w:rPr>
      </w:pPr>
    </w:p>
    <w:p w:rsidR="006224C2" w:rsidRPr="00295E71" w:rsidP="008251A1" w14:paraId="3123C11C" w14:textId="77777777">
      <w:pPr>
        <w:keepNext/>
        <w:tabs>
          <w:tab w:val="left" w:pos="567"/>
        </w:tabs>
        <w:autoSpaceDE w:val="0"/>
        <w:autoSpaceDN w:val="0"/>
        <w:adjustRightInd w:val="0"/>
        <w:jc w:val="both"/>
        <w:rPr>
          <w:color w:val="000000"/>
          <w:sz w:val="22"/>
          <w:szCs w:val="22"/>
        </w:rPr>
      </w:pPr>
      <w:r w:rsidRPr="00295E71">
        <w:rPr>
          <w:i/>
          <w:iCs/>
          <w:color w:val="000000"/>
          <w:sz w:val="22"/>
          <w:szCs w:val="22"/>
        </w:rPr>
        <w:t>Gravi infezioni</w:t>
      </w:r>
    </w:p>
    <w:p w:rsidR="006224C2" w:rsidRPr="00295E71" w:rsidP="008251A1" w14:paraId="43B41D2C" w14:textId="77777777">
      <w:pPr>
        <w:keepNext/>
        <w:tabs>
          <w:tab w:val="left" w:pos="567"/>
        </w:tabs>
        <w:autoSpaceDE w:val="0"/>
        <w:autoSpaceDN w:val="0"/>
        <w:adjustRightInd w:val="0"/>
        <w:jc w:val="both"/>
        <w:rPr>
          <w:color w:val="000000"/>
          <w:sz w:val="22"/>
          <w:szCs w:val="22"/>
        </w:rPr>
      </w:pPr>
    </w:p>
    <w:p w:rsidR="006224C2" w:rsidRPr="00295E71" w:rsidP="008251A1" w14:paraId="6FCFFE31" w14:textId="77777777">
      <w:pPr>
        <w:keepNext/>
        <w:tabs>
          <w:tab w:val="left" w:pos="567"/>
        </w:tabs>
        <w:autoSpaceDE w:val="0"/>
        <w:autoSpaceDN w:val="0"/>
        <w:adjustRightInd w:val="0"/>
        <w:jc w:val="both"/>
        <w:rPr>
          <w:color w:val="000000"/>
          <w:sz w:val="22"/>
          <w:szCs w:val="22"/>
        </w:rPr>
      </w:pPr>
      <w:r w:rsidRPr="00295E71">
        <w:rPr>
          <w:color w:val="000000"/>
          <w:sz w:val="22"/>
          <w:szCs w:val="22"/>
        </w:rPr>
        <w:t>Sono stati riportati casi di infezioni gravi, inclusa sepsi, causat</w:t>
      </w:r>
      <w:r w:rsidR="00BD0F8D">
        <w:rPr>
          <w:color w:val="000000"/>
          <w:sz w:val="22"/>
          <w:szCs w:val="22"/>
        </w:rPr>
        <w:t>e</w:t>
      </w:r>
      <w:r w:rsidRPr="00295E71">
        <w:rPr>
          <w:color w:val="000000"/>
          <w:sz w:val="22"/>
          <w:szCs w:val="22"/>
        </w:rPr>
        <w:t xml:space="preserve"> da batteri, micobatteri, funghi invasivi,</w:t>
      </w:r>
      <w:r w:rsidR="00BD0F8D">
        <w:rPr>
          <w:color w:val="000000"/>
          <w:sz w:val="22"/>
          <w:szCs w:val="22"/>
        </w:rPr>
        <w:t xml:space="preserve"> </w:t>
      </w:r>
      <w:r w:rsidRPr="00295E71">
        <w:rPr>
          <w:color w:val="000000"/>
          <w:sz w:val="22"/>
          <w:szCs w:val="22"/>
        </w:rPr>
        <w:t>parassiti, virus o altre infezioni opportunistiche, quali listeriosi, legionellosi e pneumocistosi in pazienti trattati con Humira.</w:t>
      </w:r>
    </w:p>
    <w:p w:rsidR="006224C2" w:rsidRPr="00295E71" w14:paraId="19579C82" w14:textId="77777777">
      <w:pPr>
        <w:tabs>
          <w:tab w:val="left" w:pos="567"/>
        </w:tabs>
        <w:autoSpaceDE w:val="0"/>
        <w:autoSpaceDN w:val="0"/>
        <w:adjustRightInd w:val="0"/>
        <w:jc w:val="both"/>
        <w:rPr>
          <w:color w:val="000000"/>
          <w:sz w:val="22"/>
          <w:szCs w:val="22"/>
        </w:rPr>
      </w:pPr>
    </w:p>
    <w:p w:rsidR="006224C2" w:rsidRPr="00295E71" w14:paraId="511BE0B2" w14:textId="77777777">
      <w:pPr>
        <w:tabs>
          <w:tab w:val="left" w:pos="567"/>
        </w:tabs>
        <w:autoSpaceDE w:val="0"/>
        <w:autoSpaceDN w:val="0"/>
        <w:adjustRightInd w:val="0"/>
        <w:jc w:val="both"/>
        <w:rPr>
          <w:color w:val="000000"/>
          <w:sz w:val="22"/>
          <w:szCs w:val="22"/>
        </w:rPr>
      </w:pPr>
      <w:r w:rsidRPr="00295E71">
        <w:rPr>
          <w:color w:val="000000"/>
          <w:sz w:val="22"/>
          <w:szCs w:val="22"/>
        </w:rPr>
        <w:t>Altre infezioni gravi osservate nel corso di studi clinici includono polmonite, pielonefrite, artrite settica e setticemia. Sono stati riportati casi di ospedalizzazione o di eventi fatali associati alle infezioni.</w:t>
      </w:r>
    </w:p>
    <w:p w:rsidR="006224C2" w:rsidRPr="00295E71" w14:paraId="3587F2B8" w14:textId="77777777">
      <w:pPr>
        <w:tabs>
          <w:tab w:val="left" w:pos="567"/>
        </w:tabs>
        <w:autoSpaceDE w:val="0"/>
        <w:autoSpaceDN w:val="0"/>
        <w:adjustRightInd w:val="0"/>
        <w:jc w:val="both"/>
        <w:rPr>
          <w:color w:val="000000"/>
          <w:sz w:val="22"/>
          <w:szCs w:val="22"/>
        </w:rPr>
      </w:pPr>
    </w:p>
    <w:p w:rsidR="006224C2" w:rsidRPr="00295E71" w14:paraId="3B773F75" w14:textId="77777777">
      <w:pPr>
        <w:keepNext/>
        <w:tabs>
          <w:tab w:val="left" w:pos="567"/>
        </w:tabs>
        <w:autoSpaceDE w:val="0"/>
        <w:autoSpaceDN w:val="0"/>
        <w:adjustRightInd w:val="0"/>
        <w:jc w:val="both"/>
        <w:rPr>
          <w:i/>
          <w:iCs/>
          <w:color w:val="000000"/>
          <w:sz w:val="22"/>
          <w:szCs w:val="22"/>
        </w:rPr>
      </w:pPr>
      <w:r w:rsidRPr="00295E71">
        <w:rPr>
          <w:i/>
          <w:iCs/>
          <w:color w:val="000000"/>
          <w:sz w:val="22"/>
          <w:szCs w:val="22"/>
        </w:rPr>
        <w:t>Tubercolosi</w:t>
      </w:r>
    </w:p>
    <w:p w:rsidR="006224C2" w:rsidRPr="00295E71" w14:paraId="68CA3156" w14:textId="77777777">
      <w:pPr>
        <w:keepNext/>
        <w:tabs>
          <w:tab w:val="left" w:pos="567"/>
        </w:tabs>
        <w:autoSpaceDE w:val="0"/>
        <w:autoSpaceDN w:val="0"/>
        <w:adjustRightInd w:val="0"/>
        <w:jc w:val="both"/>
        <w:rPr>
          <w:color w:val="000000"/>
          <w:sz w:val="22"/>
          <w:szCs w:val="22"/>
        </w:rPr>
      </w:pPr>
    </w:p>
    <w:p w:rsidR="006224C2" w:rsidRPr="00295E71" w14:paraId="2FD3952C" w14:textId="77777777">
      <w:pPr>
        <w:keepNext/>
        <w:tabs>
          <w:tab w:val="left" w:pos="567"/>
        </w:tabs>
        <w:autoSpaceDE w:val="0"/>
        <w:autoSpaceDN w:val="0"/>
        <w:adjustRightInd w:val="0"/>
        <w:jc w:val="both"/>
        <w:rPr>
          <w:color w:val="000000"/>
          <w:sz w:val="22"/>
          <w:szCs w:val="22"/>
        </w:rPr>
      </w:pPr>
      <w:r w:rsidRPr="00295E71">
        <w:rPr>
          <w:color w:val="000000"/>
          <w:sz w:val="22"/>
          <w:szCs w:val="22"/>
        </w:rPr>
        <w:t>È stata riportata tubercolosi, inclusa riattivazione e nuova manifestazione di tubercolosi, in pazienti che utilizzano Humira. Sono stati riportati casi di tubercolosi polmonare ed extra-polmonare (ovvero disseminata).</w:t>
      </w:r>
    </w:p>
    <w:p w:rsidR="006224C2" w:rsidRPr="00295E71" w14:paraId="630E8629" w14:textId="77777777">
      <w:pPr>
        <w:tabs>
          <w:tab w:val="left" w:pos="567"/>
        </w:tabs>
        <w:autoSpaceDE w:val="0"/>
        <w:autoSpaceDN w:val="0"/>
        <w:adjustRightInd w:val="0"/>
        <w:jc w:val="both"/>
        <w:rPr>
          <w:color w:val="000000"/>
          <w:sz w:val="22"/>
          <w:szCs w:val="22"/>
        </w:rPr>
      </w:pPr>
    </w:p>
    <w:p w:rsidR="006224C2" w:rsidRPr="00295E71" w14:paraId="3F3DB02E" w14:textId="77777777">
      <w:pPr>
        <w:tabs>
          <w:tab w:val="left" w:pos="567"/>
        </w:tabs>
        <w:autoSpaceDE w:val="0"/>
        <w:autoSpaceDN w:val="0"/>
        <w:adjustRightInd w:val="0"/>
        <w:jc w:val="both"/>
        <w:rPr>
          <w:color w:val="000000"/>
          <w:sz w:val="22"/>
          <w:szCs w:val="22"/>
        </w:rPr>
      </w:pPr>
      <w:r w:rsidRPr="00295E71">
        <w:rPr>
          <w:color w:val="000000"/>
          <w:sz w:val="22"/>
          <w:szCs w:val="22"/>
        </w:rPr>
        <w:t>Prima di iniziare la terapia con Humira, tutti i pazienti devono essere esaminati per valutare la presenza di tubercolosi attiva o inattiva (“latente”). Tale valutazione deve includere un’anamnesi clinica dettagliata dei pazienti con una storia pregressa di tubercolosi o eventuali contatti con persone affette da tubercolosi attiva, e con precedenti e/o concomitanti terapie immunosoppressive. Devono essere eseguiti appropriati esami di screening (ovvero il test cutaneo alla tubercolina e la radiografia toracica) in tutti i pazienti (possono essere seguite le linee guida locali). Si raccomanda che l’esecuzione e i risultati di tali test vengano registrati nella</w:t>
      </w:r>
      <w:r w:rsidR="00345505">
        <w:rPr>
          <w:color w:val="000000"/>
          <w:sz w:val="22"/>
          <w:szCs w:val="22"/>
        </w:rPr>
        <w:t xml:space="preserve"> </w:t>
      </w:r>
      <w:r w:rsidRPr="00345505" w:rsidR="00345505">
        <w:rPr>
          <w:color w:val="000000"/>
          <w:sz w:val="22"/>
          <w:szCs w:val="22"/>
        </w:rPr>
        <w:t>Scheda Promemoria per il Paziente</w:t>
      </w:r>
      <w:r w:rsidRPr="00295E71">
        <w:rPr>
          <w:color w:val="000000"/>
          <w:sz w:val="22"/>
          <w:szCs w:val="22"/>
        </w:rPr>
        <w:t>. I medici devono porre attenzione al rischio di falsi negativi al test cutaneo alla tubercolina, soprattutto in pazienti gravemente ammalati o immunocompromessi.</w:t>
      </w:r>
    </w:p>
    <w:p w:rsidR="006224C2" w:rsidRPr="00295E71" w14:paraId="3C9CB405" w14:textId="77777777">
      <w:pPr>
        <w:tabs>
          <w:tab w:val="left" w:pos="567"/>
        </w:tabs>
        <w:autoSpaceDE w:val="0"/>
        <w:autoSpaceDN w:val="0"/>
        <w:adjustRightInd w:val="0"/>
        <w:jc w:val="both"/>
        <w:rPr>
          <w:color w:val="000000"/>
          <w:sz w:val="22"/>
          <w:szCs w:val="22"/>
        </w:rPr>
      </w:pPr>
    </w:p>
    <w:p w:rsidR="006224C2" w:rsidRPr="00295E71" w14:paraId="62B2FF74" w14:textId="77777777">
      <w:pPr>
        <w:tabs>
          <w:tab w:val="left" w:pos="567"/>
        </w:tabs>
        <w:autoSpaceDE w:val="0"/>
        <w:autoSpaceDN w:val="0"/>
        <w:adjustRightInd w:val="0"/>
        <w:jc w:val="both"/>
        <w:rPr>
          <w:sz w:val="22"/>
          <w:szCs w:val="22"/>
        </w:rPr>
      </w:pPr>
      <w:r w:rsidRPr="00295E71">
        <w:rPr>
          <w:sz w:val="22"/>
          <w:szCs w:val="22"/>
        </w:rPr>
        <w:t>Se si diagnostica una tubercolosi attiva, la terapia con Humira non deve essere iniziata (vedere paragrafo 4.3).</w:t>
      </w:r>
    </w:p>
    <w:p w:rsidR="006224C2" w:rsidRPr="00295E71" w14:paraId="07FEE49A" w14:textId="77777777">
      <w:pPr>
        <w:tabs>
          <w:tab w:val="left" w:pos="567"/>
        </w:tabs>
        <w:autoSpaceDE w:val="0"/>
        <w:autoSpaceDN w:val="0"/>
        <w:adjustRightInd w:val="0"/>
        <w:jc w:val="both"/>
        <w:rPr>
          <w:sz w:val="22"/>
          <w:szCs w:val="22"/>
        </w:rPr>
      </w:pPr>
    </w:p>
    <w:p w:rsidR="006224C2" w:rsidRPr="00295E71" w14:paraId="5894AB28" w14:textId="77777777">
      <w:pPr>
        <w:tabs>
          <w:tab w:val="left" w:pos="567"/>
        </w:tabs>
        <w:autoSpaceDE w:val="0"/>
        <w:autoSpaceDN w:val="0"/>
        <w:adjustRightInd w:val="0"/>
        <w:jc w:val="both"/>
        <w:rPr>
          <w:sz w:val="22"/>
          <w:szCs w:val="22"/>
        </w:rPr>
      </w:pPr>
      <w:r w:rsidRPr="00295E71">
        <w:rPr>
          <w:sz w:val="22"/>
          <w:szCs w:val="22"/>
        </w:rPr>
        <w:t>In tutte le situazioni di seguito descritte è opportuno effettuare un’attenta valutazione del rapporto beneficio/rischio della terapia.</w:t>
      </w:r>
    </w:p>
    <w:p w:rsidR="006224C2" w:rsidRPr="00295E71" w14:paraId="5A76F4BF" w14:textId="77777777">
      <w:pPr>
        <w:tabs>
          <w:tab w:val="left" w:pos="567"/>
        </w:tabs>
        <w:autoSpaceDE w:val="0"/>
        <w:autoSpaceDN w:val="0"/>
        <w:adjustRightInd w:val="0"/>
        <w:jc w:val="both"/>
        <w:rPr>
          <w:sz w:val="22"/>
          <w:szCs w:val="22"/>
        </w:rPr>
      </w:pPr>
    </w:p>
    <w:p w:rsidR="006224C2" w:rsidRPr="00295E71" w14:paraId="20982DB6" w14:textId="77777777">
      <w:pPr>
        <w:tabs>
          <w:tab w:val="left" w:pos="567"/>
        </w:tabs>
        <w:autoSpaceDE w:val="0"/>
        <w:autoSpaceDN w:val="0"/>
        <w:adjustRightInd w:val="0"/>
        <w:jc w:val="both"/>
        <w:rPr>
          <w:sz w:val="22"/>
          <w:szCs w:val="22"/>
        </w:rPr>
      </w:pPr>
      <w:r w:rsidRPr="00295E71">
        <w:rPr>
          <w:sz w:val="22"/>
          <w:szCs w:val="22"/>
        </w:rPr>
        <w:t>Se si sospetta una tubercolosi latente, è consigliabile consultare un medico specializzato nel trattamento della tubercolosi.</w:t>
      </w:r>
    </w:p>
    <w:p w:rsidR="006224C2" w:rsidRPr="00295E71" w14:paraId="091E6F4B" w14:textId="77777777">
      <w:pPr>
        <w:tabs>
          <w:tab w:val="left" w:pos="567"/>
        </w:tabs>
        <w:autoSpaceDE w:val="0"/>
        <w:autoSpaceDN w:val="0"/>
        <w:adjustRightInd w:val="0"/>
        <w:jc w:val="both"/>
        <w:rPr>
          <w:sz w:val="22"/>
          <w:szCs w:val="22"/>
        </w:rPr>
      </w:pPr>
    </w:p>
    <w:p w:rsidR="006224C2" w:rsidRPr="00295E71" w14:paraId="6FA0515B" w14:textId="77777777">
      <w:pPr>
        <w:tabs>
          <w:tab w:val="left" w:pos="567"/>
        </w:tabs>
        <w:jc w:val="both"/>
        <w:rPr>
          <w:color w:val="000000"/>
          <w:sz w:val="22"/>
          <w:szCs w:val="22"/>
        </w:rPr>
      </w:pPr>
      <w:r w:rsidRPr="00295E71">
        <w:rPr>
          <w:color w:val="000000"/>
          <w:sz w:val="22"/>
          <w:szCs w:val="22"/>
        </w:rPr>
        <w:t>In caso di diagnosi positiva di tubercolosi latente, prima di iniziare la terapia con Humira deve essere istituito il trattamento di profilassi anti-tubercolare in accordo alle raccomandazioni locali.</w:t>
      </w:r>
    </w:p>
    <w:p w:rsidR="006224C2" w:rsidRPr="00295E71" w14:paraId="745E0A57" w14:textId="77777777">
      <w:pPr>
        <w:tabs>
          <w:tab w:val="left" w:pos="567"/>
        </w:tabs>
        <w:jc w:val="both"/>
        <w:rPr>
          <w:color w:val="000000"/>
          <w:sz w:val="22"/>
          <w:szCs w:val="22"/>
        </w:rPr>
      </w:pPr>
    </w:p>
    <w:p w:rsidR="006224C2" w:rsidRPr="00295E71" w14:paraId="56BF963A" w14:textId="77777777">
      <w:pPr>
        <w:tabs>
          <w:tab w:val="left" w:pos="567"/>
        </w:tabs>
        <w:jc w:val="both"/>
        <w:rPr>
          <w:color w:val="000000"/>
          <w:sz w:val="22"/>
          <w:szCs w:val="22"/>
        </w:rPr>
      </w:pPr>
      <w:r w:rsidRPr="00295E71">
        <w:rPr>
          <w:color w:val="000000"/>
          <w:sz w:val="22"/>
          <w:szCs w:val="22"/>
        </w:rPr>
        <w:t xml:space="preserve">L’istituzione di un trattamento di profilassi anti-tubercolare deve essere presa in considerazione anche prima di iniziare il trattamento a base di Humira in pazienti con diversi o significativi fattori di rischio per la tubercolosi nonostante un test negativo per la tubercolosi e in quei pazienti che all’anamnesi presentano una storia personale di tubercolosi latente o attiva nei quali non sia possibile confermare se il ciclo di trattamento cui sono stati sottoposti sia risultato adeguato. </w:t>
      </w:r>
    </w:p>
    <w:p w:rsidR="006224C2" w:rsidRPr="00295E71" w14:paraId="0EF31B32" w14:textId="77777777">
      <w:pPr>
        <w:tabs>
          <w:tab w:val="left" w:pos="567"/>
        </w:tabs>
        <w:jc w:val="both"/>
        <w:rPr>
          <w:color w:val="000000"/>
          <w:sz w:val="22"/>
          <w:szCs w:val="22"/>
        </w:rPr>
      </w:pPr>
    </w:p>
    <w:p w:rsidR="006224C2" w:rsidRPr="00295E71" w14:paraId="1F6704C3" w14:textId="77777777">
      <w:pPr>
        <w:tabs>
          <w:tab w:val="left" w:pos="567"/>
        </w:tabs>
        <w:jc w:val="both"/>
        <w:rPr>
          <w:color w:val="000000"/>
          <w:sz w:val="22"/>
          <w:szCs w:val="22"/>
        </w:rPr>
      </w:pPr>
      <w:r w:rsidRPr="00295E71">
        <w:rPr>
          <w:color w:val="000000"/>
          <w:sz w:val="22"/>
          <w:szCs w:val="22"/>
        </w:rPr>
        <w:t>Nonostante il trattamento di profilassi per la tubercolosi, si sono verificati casi di riattivazione di tubercolosi in pazienti trattati con Humira. Nel corso del trattamento con Humira, alcuni pazienti trattati con successo per la tubercolosi attiva hanno manifestato nuovamente la comparsa di tubercolosi.</w:t>
      </w:r>
    </w:p>
    <w:p w:rsidR="006224C2" w:rsidRPr="00295E71" w14:paraId="4E2E7E23" w14:textId="77777777">
      <w:pPr>
        <w:tabs>
          <w:tab w:val="left" w:pos="567"/>
        </w:tabs>
        <w:autoSpaceDE w:val="0"/>
        <w:autoSpaceDN w:val="0"/>
        <w:adjustRightInd w:val="0"/>
        <w:jc w:val="both"/>
        <w:rPr>
          <w:color w:val="000000"/>
          <w:sz w:val="22"/>
          <w:szCs w:val="22"/>
        </w:rPr>
      </w:pPr>
    </w:p>
    <w:p w:rsidR="006224C2" w:rsidRPr="00295E71" w14:paraId="68A9E1A0" w14:textId="77777777">
      <w:pPr>
        <w:tabs>
          <w:tab w:val="left" w:pos="567"/>
        </w:tabs>
        <w:autoSpaceDE w:val="0"/>
        <w:autoSpaceDN w:val="0"/>
        <w:adjustRightInd w:val="0"/>
        <w:jc w:val="both"/>
        <w:rPr>
          <w:color w:val="000000"/>
          <w:sz w:val="22"/>
          <w:szCs w:val="22"/>
        </w:rPr>
      </w:pPr>
      <w:r w:rsidRPr="00295E71">
        <w:rPr>
          <w:color w:val="000000"/>
          <w:sz w:val="22"/>
          <w:szCs w:val="22"/>
        </w:rPr>
        <w:t>I pazienti devono essere avvisati di</w:t>
      </w:r>
      <w:r w:rsidRPr="00295E71" w:rsidR="007A318E">
        <w:rPr>
          <w:color w:val="000000"/>
          <w:sz w:val="22"/>
          <w:szCs w:val="22"/>
        </w:rPr>
        <w:t xml:space="preserve"> </w:t>
      </w:r>
      <w:r w:rsidRPr="00295E71">
        <w:rPr>
          <w:color w:val="000000"/>
          <w:sz w:val="22"/>
          <w:szCs w:val="22"/>
        </w:rPr>
        <w:t>rivolgersi al medico se, durante o dopo la terapia con Humira, si manifestano segni/sintomi indicativi di possibile infezione tubercolare (per es. tosse persistente, deperimento, perdita di peso, febbre moderata, svogliatezza).</w:t>
      </w:r>
    </w:p>
    <w:p w:rsidR="006224C2" w:rsidRPr="00295E71" w14:paraId="584199F4" w14:textId="77777777">
      <w:pPr>
        <w:tabs>
          <w:tab w:val="left" w:pos="567"/>
        </w:tabs>
        <w:autoSpaceDE w:val="0"/>
        <w:autoSpaceDN w:val="0"/>
        <w:adjustRightInd w:val="0"/>
        <w:jc w:val="both"/>
        <w:rPr>
          <w:color w:val="000000"/>
          <w:sz w:val="22"/>
          <w:szCs w:val="22"/>
        </w:rPr>
      </w:pPr>
    </w:p>
    <w:p w:rsidR="006224C2" w:rsidRPr="00295E71" w14:paraId="67BC15E2" w14:textId="77777777">
      <w:pPr>
        <w:rPr>
          <w:color w:val="000000"/>
          <w:sz w:val="22"/>
          <w:szCs w:val="22"/>
        </w:rPr>
      </w:pPr>
      <w:r w:rsidRPr="00295E71">
        <w:rPr>
          <w:i/>
          <w:iCs/>
          <w:color w:val="000000"/>
          <w:sz w:val="22"/>
          <w:szCs w:val="22"/>
        </w:rPr>
        <w:t>Altre infezioni opportunistiche</w:t>
      </w:r>
    </w:p>
    <w:p w:rsidR="006224C2" w:rsidRPr="00295E71" w14:paraId="35A05CB0" w14:textId="77777777">
      <w:pPr>
        <w:tabs>
          <w:tab w:val="left" w:pos="567"/>
        </w:tabs>
        <w:autoSpaceDE w:val="0"/>
        <w:autoSpaceDN w:val="0"/>
        <w:adjustRightInd w:val="0"/>
        <w:jc w:val="both"/>
        <w:rPr>
          <w:color w:val="000000"/>
          <w:sz w:val="22"/>
          <w:szCs w:val="22"/>
        </w:rPr>
      </w:pPr>
    </w:p>
    <w:p w:rsidR="006224C2" w:rsidRPr="00295E71" w14:paraId="6410A0C1" w14:textId="77777777">
      <w:pPr>
        <w:tabs>
          <w:tab w:val="left" w:pos="567"/>
        </w:tabs>
        <w:autoSpaceDE w:val="0"/>
        <w:autoSpaceDN w:val="0"/>
        <w:adjustRightInd w:val="0"/>
        <w:jc w:val="both"/>
        <w:rPr>
          <w:color w:val="000000"/>
          <w:sz w:val="22"/>
          <w:szCs w:val="22"/>
        </w:rPr>
      </w:pPr>
      <w:r w:rsidRPr="00295E71">
        <w:rPr>
          <w:color w:val="000000"/>
          <w:sz w:val="22"/>
          <w:szCs w:val="22"/>
        </w:rPr>
        <w:t>In pazienti che hanno assunto Humira sono stati osservati casi di infezioni opportunistiche, incluse infezioni fungine invasive. Queste infezioni non sono state correttamente diagnosticate in pazienti che assumevano antagonisti del TNF e ciò ha comportato un ritardo nel trattamento appropriato, talvolta con esito fatale.</w:t>
      </w:r>
    </w:p>
    <w:p w:rsidR="006224C2" w:rsidRPr="00295E71" w14:paraId="6CF3FDA1" w14:textId="77777777">
      <w:pPr>
        <w:tabs>
          <w:tab w:val="left" w:pos="567"/>
        </w:tabs>
        <w:autoSpaceDE w:val="0"/>
        <w:autoSpaceDN w:val="0"/>
        <w:adjustRightInd w:val="0"/>
        <w:jc w:val="both"/>
        <w:rPr>
          <w:color w:val="000000"/>
          <w:sz w:val="22"/>
          <w:szCs w:val="22"/>
        </w:rPr>
      </w:pPr>
    </w:p>
    <w:p w:rsidR="006224C2" w:rsidRPr="00295E71" w14:paraId="6755EA72" w14:textId="77777777">
      <w:pPr>
        <w:tabs>
          <w:tab w:val="left" w:pos="567"/>
        </w:tabs>
        <w:autoSpaceDE w:val="0"/>
        <w:autoSpaceDN w:val="0"/>
        <w:adjustRightInd w:val="0"/>
        <w:jc w:val="both"/>
        <w:rPr>
          <w:color w:val="000000"/>
          <w:sz w:val="22"/>
          <w:szCs w:val="22"/>
        </w:rPr>
      </w:pPr>
      <w:r w:rsidRPr="00295E71">
        <w:rPr>
          <w:color w:val="000000"/>
          <w:sz w:val="22"/>
          <w:szCs w:val="22"/>
        </w:rPr>
        <w:t>In pazienti che sviluppano segni e sintomi quali febbre, malessere, perdita di peso, sudorazione, tosse, dispnea e/o infiltrato polmonare o altre malattie sistemiche gravi con o senza shock concomitante si deve sospettare un’infezione fungina invasiva e deve essere prontamente interrotta la somministrazione di Humira. La diagnosi e la somministrazione di terapia antifungina empirica in questi pazienti dovrebbero essere effettuate consultando un medico specializzato nella cura di pazienti con infezioni fungine invasive.</w:t>
      </w:r>
    </w:p>
    <w:p w:rsidR="006224C2" w:rsidRPr="00295E71" w14:paraId="660FF30D" w14:textId="77777777">
      <w:pPr>
        <w:tabs>
          <w:tab w:val="left" w:pos="567"/>
        </w:tabs>
        <w:autoSpaceDE w:val="0"/>
        <w:autoSpaceDN w:val="0"/>
        <w:adjustRightInd w:val="0"/>
        <w:jc w:val="both"/>
        <w:rPr>
          <w:color w:val="000000"/>
          <w:sz w:val="22"/>
          <w:szCs w:val="22"/>
        </w:rPr>
      </w:pPr>
    </w:p>
    <w:p w:rsidR="006224C2" w:rsidRPr="00295E71" w14:paraId="0CEC192F" w14:textId="77777777">
      <w:pPr>
        <w:keepNext/>
        <w:tabs>
          <w:tab w:val="left" w:pos="567"/>
        </w:tabs>
        <w:autoSpaceDE w:val="0"/>
        <w:autoSpaceDN w:val="0"/>
        <w:adjustRightInd w:val="0"/>
        <w:jc w:val="both"/>
        <w:rPr>
          <w:color w:val="000000"/>
          <w:sz w:val="22"/>
          <w:szCs w:val="22"/>
        </w:rPr>
      </w:pPr>
      <w:r w:rsidRPr="00295E71">
        <w:rPr>
          <w:color w:val="000000"/>
          <w:sz w:val="22"/>
          <w:szCs w:val="22"/>
          <w:u w:val="single"/>
        </w:rPr>
        <w:t>Riattivazione dell’Epatite B</w:t>
      </w:r>
    </w:p>
    <w:p w:rsidR="006224C2" w:rsidRPr="00295E71" w14:paraId="588EE349" w14:textId="77777777">
      <w:pPr>
        <w:keepNext/>
        <w:tabs>
          <w:tab w:val="left" w:pos="567"/>
        </w:tabs>
        <w:autoSpaceDE w:val="0"/>
        <w:autoSpaceDN w:val="0"/>
        <w:adjustRightInd w:val="0"/>
        <w:jc w:val="both"/>
        <w:rPr>
          <w:color w:val="000000"/>
          <w:sz w:val="22"/>
          <w:szCs w:val="22"/>
        </w:rPr>
      </w:pPr>
    </w:p>
    <w:p w:rsidR="006224C2" w:rsidRPr="00295E71" w14:paraId="7CB23EBC" w14:textId="77777777">
      <w:pPr>
        <w:keepNext/>
        <w:tabs>
          <w:tab w:val="left" w:pos="567"/>
        </w:tabs>
        <w:autoSpaceDE w:val="0"/>
        <w:autoSpaceDN w:val="0"/>
        <w:adjustRightInd w:val="0"/>
        <w:jc w:val="both"/>
        <w:rPr>
          <w:color w:val="000000"/>
          <w:sz w:val="22"/>
          <w:szCs w:val="22"/>
        </w:rPr>
      </w:pPr>
      <w:r w:rsidRPr="00295E71">
        <w:rPr>
          <w:color w:val="000000"/>
          <w:sz w:val="22"/>
          <w:szCs w:val="22"/>
        </w:rPr>
        <w:t>In pazienti portatori cronici del virus dell’epatite B sottoposti a trattamento con antagonisti del TNF incluso Humira, si è verificata una riattivazione dell’epatite B (ad es. antigene di superficie positivo). Alcuni casi hanno avuto un esito fatale. Prima di iniziare il trattamento con Humira, i pazienti devono essere testati per l’infezione da virus dell’epatite B. Si raccomanda la consultazione di un medico con esperienza nel trattamento dell’epatite B per quei pazienti che risultano positivi al test per l’epatite B.</w:t>
      </w:r>
    </w:p>
    <w:p w:rsidR="006224C2" w:rsidRPr="00295E71" w14:paraId="5D1D9C9E" w14:textId="77777777">
      <w:pPr>
        <w:tabs>
          <w:tab w:val="left" w:pos="567"/>
        </w:tabs>
        <w:autoSpaceDE w:val="0"/>
        <w:autoSpaceDN w:val="0"/>
        <w:adjustRightInd w:val="0"/>
        <w:jc w:val="both"/>
        <w:rPr>
          <w:color w:val="000000"/>
          <w:sz w:val="22"/>
          <w:szCs w:val="22"/>
        </w:rPr>
      </w:pPr>
    </w:p>
    <w:p w:rsidR="006224C2" w:rsidRPr="00295E71" w14:paraId="540E5002" w14:textId="77777777">
      <w:pPr>
        <w:tabs>
          <w:tab w:val="left" w:pos="567"/>
        </w:tabs>
        <w:autoSpaceDE w:val="0"/>
        <w:autoSpaceDN w:val="0"/>
        <w:adjustRightInd w:val="0"/>
        <w:jc w:val="both"/>
        <w:rPr>
          <w:color w:val="000000"/>
          <w:sz w:val="22"/>
          <w:szCs w:val="22"/>
        </w:rPr>
      </w:pPr>
      <w:r w:rsidRPr="00295E71">
        <w:rPr>
          <w:color w:val="000000"/>
          <w:sz w:val="22"/>
          <w:szCs w:val="22"/>
        </w:rPr>
        <w:t>I portatori del virus dell’epatite B che necessitano di un trattamento con Humira devono essere attentamente monitorati allo scopo di rilevare la comparsa dei segni e sintomi dell’infezione attiva da virus dell’epatite B non solo nel corso di tutta la terapia, ma anche durante i mesi successivi alla sospensione della terapia. Non sono disponibili dati adeguati derivanti dal trattamento di pazienti portatori del virus dell’epatite B, sottoposti a terapia anti-virale al fine di evitare la riattivazione del virus dell’epatite B, in concomitanza con la terapia con antagonisti del TNF. Nei pazienti che sviluppano una riattivazione del virus dell’epatite B, la somministrazione di Humira deve essere interrotta e deve essere istituita un’efficace terapia anti-virale accompagnata da un adeguato trattamento di supporto.</w:t>
      </w:r>
    </w:p>
    <w:p w:rsidR="006224C2" w:rsidRPr="00295E71" w14:paraId="44204B2C" w14:textId="77777777">
      <w:pPr>
        <w:tabs>
          <w:tab w:val="left" w:pos="567"/>
        </w:tabs>
        <w:autoSpaceDE w:val="0"/>
        <w:autoSpaceDN w:val="0"/>
        <w:adjustRightInd w:val="0"/>
        <w:jc w:val="both"/>
        <w:rPr>
          <w:color w:val="000000"/>
          <w:sz w:val="22"/>
          <w:szCs w:val="22"/>
        </w:rPr>
      </w:pPr>
    </w:p>
    <w:p w:rsidR="006224C2" w:rsidRPr="00295E71" w14:paraId="25F0A6C9" w14:textId="77777777">
      <w:pPr>
        <w:rPr>
          <w:color w:val="000000"/>
          <w:sz w:val="22"/>
          <w:szCs w:val="22"/>
          <w:u w:val="single"/>
        </w:rPr>
      </w:pPr>
      <w:r w:rsidRPr="00295E71">
        <w:rPr>
          <w:color w:val="000000"/>
          <w:sz w:val="22"/>
          <w:szCs w:val="22"/>
          <w:u w:val="single"/>
        </w:rPr>
        <w:t>Eventi neurologici</w:t>
      </w:r>
    </w:p>
    <w:p w:rsidR="006224C2" w:rsidRPr="00295E71" w14:paraId="1C3B31A8" w14:textId="77777777">
      <w:pPr>
        <w:tabs>
          <w:tab w:val="left" w:pos="567"/>
        </w:tabs>
        <w:autoSpaceDE w:val="0"/>
        <w:autoSpaceDN w:val="0"/>
        <w:adjustRightInd w:val="0"/>
        <w:jc w:val="both"/>
        <w:rPr>
          <w:color w:val="000000"/>
          <w:sz w:val="22"/>
          <w:szCs w:val="22"/>
          <w:u w:val="single"/>
        </w:rPr>
      </w:pPr>
    </w:p>
    <w:p w:rsidR="006224C2" w:rsidRPr="00295E71" w14:paraId="25ECBC32" w14:textId="77777777">
      <w:pPr>
        <w:tabs>
          <w:tab w:val="left" w:pos="567"/>
        </w:tabs>
        <w:autoSpaceDE w:val="0"/>
        <w:autoSpaceDN w:val="0"/>
        <w:adjustRightInd w:val="0"/>
        <w:jc w:val="both"/>
        <w:rPr>
          <w:color w:val="000000"/>
          <w:sz w:val="22"/>
          <w:szCs w:val="22"/>
        </w:rPr>
      </w:pPr>
      <w:r w:rsidRPr="00295E71">
        <w:rPr>
          <w:color w:val="000000"/>
          <w:sz w:val="22"/>
          <w:szCs w:val="22"/>
        </w:rPr>
        <w:t>I farmaci anti-TNF, compreso Humira, sono stati correlati, in rari casi, con la nuova insorgenza o con l’esacerbazione di sintomi clinici e/o evidenze radiografiche di malattie demielinizzanti del sistema nervoso centrale, inclusa la sclerosi multipla, la neurite ottica e le malattie demielinizzanti periferiche, compresa la sindrome di Guillain-Barrè. Deve essere usata cautela nell’uso di Humira in quei pazienti con patologie demielinizzanti del sistema nervoso centrale o periferico pregresse o di recente insorgenza; l’interruzione di Humira deve essere presa in considerazione nel caso in cui si sviluppi una qualsiasi di queste patologie. Sussiste una nota associazione tra l’uveite intermedia e le patologie demielinizzanti del sistema nervoso centrale. La valutazione neurologica deve essere effettuata sui pazienti con uveite intermedia non infettiva prima di iniziare la terapia con Humira e a intervalli regolari durante il trattamento al fine di valutare le patologie demielinizzanti del sistema nervoso centrale</w:t>
      </w:r>
      <w:r w:rsidRPr="00295E71" w:rsidR="007A318E">
        <w:rPr>
          <w:color w:val="000000"/>
          <w:sz w:val="22"/>
          <w:szCs w:val="22"/>
        </w:rPr>
        <w:t xml:space="preserve"> </w:t>
      </w:r>
      <w:r w:rsidRPr="00295E71">
        <w:rPr>
          <w:color w:val="000000"/>
          <w:sz w:val="22"/>
          <w:szCs w:val="22"/>
        </w:rPr>
        <w:t>pregresse o in fase di sviluppo.</w:t>
      </w:r>
    </w:p>
    <w:p w:rsidR="006224C2" w:rsidRPr="00295E71" w14:paraId="05FC8C8E" w14:textId="77777777">
      <w:pPr>
        <w:tabs>
          <w:tab w:val="left" w:pos="567"/>
        </w:tabs>
        <w:autoSpaceDE w:val="0"/>
        <w:autoSpaceDN w:val="0"/>
        <w:adjustRightInd w:val="0"/>
        <w:jc w:val="both"/>
        <w:rPr>
          <w:color w:val="000000"/>
          <w:sz w:val="22"/>
          <w:szCs w:val="22"/>
          <w:u w:val="single"/>
        </w:rPr>
      </w:pPr>
    </w:p>
    <w:p w:rsidR="006224C2" w:rsidRPr="00295E71" w14:paraId="44A8D484" w14:textId="77777777">
      <w:pPr>
        <w:tabs>
          <w:tab w:val="left" w:pos="567"/>
        </w:tabs>
        <w:jc w:val="both"/>
        <w:rPr>
          <w:color w:val="000000"/>
          <w:sz w:val="22"/>
          <w:szCs w:val="22"/>
          <w:u w:val="single"/>
        </w:rPr>
      </w:pPr>
      <w:r w:rsidRPr="00295E71">
        <w:rPr>
          <w:color w:val="000000"/>
          <w:sz w:val="22"/>
          <w:szCs w:val="22"/>
          <w:u w:val="single"/>
        </w:rPr>
        <w:t>Reazioni allergiche</w:t>
      </w:r>
    </w:p>
    <w:p w:rsidR="006224C2" w:rsidRPr="00295E71" w14:paraId="1BED96E2" w14:textId="77777777">
      <w:pPr>
        <w:tabs>
          <w:tab w:val="left" w:pos="567"/>
        </w:tabs>
        <w:jc w:val="both"/>
        <w:rPr>
          <w:color w:val="000000"/>
          <w:sz w:val="22"/>
          <w:szCs w:val="22"/>
          <w:u w:val="single"/>
        </w:rPr>
      </w:pPr>
    </w:p>
    <w:p w:rsidR="006224C2" w:rsidRPr="00295E71" w14:paraId="04C22828" w14:textId="77777777">
      <w:pPr>
        <w:tabs>
          <w:tab w:val="left" w:pos="567"/>
        </w:tabs>
        <w:autoSpaceDE w:val="0"/>
        <w:autoSpaceDN w:val="0"/>
        <w:adjustRightInd w:val="0"/>
        <w:jc w:val="both"/>
        <w:rPr>
          <w:color w:val="000000"/>
          <w:sz w:val="22"/>
          <w:szCs w:val="22"/>
        </w:rPr>
      </w:pPr>
      <w:r w:rsidRPr="00295E71">
        <w:rPr>
          <w:color w:val="000000"/>
          <w:sz w:val="22"/>
          <w:szCs w:val="22"/>
        </w:rPr>
        <w:t>Nel corso degli studi clinici, reazioni allergiche gravi associate con Humira sono state rare. Le reazioni allergiche non gravi associate con Humira durante gli studi clinici sono state non comuni. Sono state ricevute segnalazioni di reazioni allergiche gravi inclusa l’anafilassi a seguito della somministrazione di Humira. Se si verificano reazioni anafilattiche o altre gravi manifestazioni allergiche, la somministrazione di Humira deve essere immediatamente interrotta e deve essere iniziata una terapia appropriata.</w:t>
      </w:r>
    </w:p>
    <w:p w:rsidR="006224C2" w:rsidRPr="00295E71" w14:paraId="278B4805" w14:textId="77777777">
      <w:pPr>
        <w:tabs>
          <w:tab w:val="left" w:pos="567"/>
        </w:tabs>
        <w:autoSpaceDE w:val="0"/>
        <w:autoSpaceDN w:val="0"/>
        <w:adjustRightInd w:val="0"/>
        <w:jc w:val="both"/>
        <w:rPr>
          <w:color w:val="000000"/>
          <w:sz w:val="22"/>
          <w:szCs w:val="22"/>
        </w:rPr>
      </w:pPr>
    </w:p>
    <w:p w:rsidR="006224C2" w:rsidRPr="00295E71" w14:paraId="2556B837" w14:textId="77777777">
      <w:pPr>
        <w:rPr>
          <w:color w:val="000000"/>
          <w:sz w:val="22"/>
          <w:szCs w:val="22"/>
          <w:u w:val="single"/>
        </w:rPr>
      </w:pPr>
      <w:r w:rsidRPr="00295E71">
        <w:rPr>
          <w:color w:val="000000"/>
          <w:sz w:val="22"/>
          <w:szCs w:val="22"/>
          <w:u w:val="single"/>
        </w:rPr>
        <w:t>Immunosoppressione</w:t>
      </w:r>
    </w:p>
    <w:p w:rsidR="006224C2" w:rsidRPr="00295E71" w14:paraId="0AE5EC00" w14:textId="77777777">
      <w:pPr>
        <w:tabs>
          <w:tab w:val="left" w:pos="567"/>
        </w:tabs>
        <w:autoSpaceDE w:val="0"/>
        <w:autoSpaceDN w:val="0"/>
        <w:adjustRightInd w:val="0"/>
        <w:jc w:val="both"/>
        <w:rPr>
          <w:color w:val="000000"/>
          <w:sz w:val="22"/>
          <w:szCs w:val="22"/>
          <w:u w:val="single"/>
        </w:rPr>
      </w:pPr>
    </w:p>
    <w:p w:rsidR="006224C2" w:rsidRPr="00295E71" w14:paraId="319B838F" w14:textId="77777777">
      <w:pPr>
        <w:tabs>
          <w:tab w:val="left" w:pos="567"/>
        </w:tabs>
        <w:jc w:val="both"/>
        <w:rPr>
          <w:color w:val="000000"/>
          <w:sz w:val="22"/>
          <w:szCs w:val="22"/>
        </w:rPr>
      </w:pPr>
      <w:r w:rsidRPr="00295E71">
        <w:rPr>
          <w:color w:val="000000"/>
          <w:sz w:val="22"/>
          <w:szCs w:val="22"/>
        </w:rPr>
        <w:t>In uno studio su 64 pazienti con artrite reumatoide, sottoposti a trattamento con Humira, non è stata evidenziata alcuna inibizione dell’ipersensibilità ritardata, nè riduzione dei livelli delle immunoglobuline o cambiamenti nel numero dei linfociti T, B, delle cellule NK, dei monociti/macrofagi e dei neutrofili.</w:t>
      </w:r>
    </w:p>
    <w:p w:rsidR="006224C2" w:rsidRPr="00295E71" w14:paraId="3612CA55" w14:textId="77777777">
      <w:pPr>
        <w:tabs>
          <w:tab w:val="left" w:pos="567"/>
        </w:tabs>
        <w:jc w:val="both"/>
        <w:rPr>
          <w:sz w:val="22"/>
          <w:szCs w:val="22"/>
        </w:rPr>
      </w:pPr>
    </w:p>
    <w:p w:rsidR="006224C2" w:rsidRPr="00295E71" w14:paraId="09E9005D" w14:textId="77777777">
      <w:pPr>
        <w:tabs>
          <w:tab w:val="left" w:pos="567"/>
        </w:tabs>
        <w:jc w:val="both"/>
        <w:rPr>
          <w:color w:val="000000"/>
          <w:sz w:val="22"/>
          <w:szCs w:val="22"/>
          <w:u w:val="single"/>
        </w:rPr>
      </w:pPr>
      <w:r w:rsidRPr="00295E71">
        <w:rPr>
          <w:color w:val="000000"/>
          <w:sz w:val="22"/>
          <w:szCs w:val="22"/>
          <w:u w:val="single"/>
        </w:rPr>
        <w:t>Neoplasie e malattie linfoproliferative</w:t>
      </w:r>
    </w:p>
    <w:p w:rsidR="006224C2" w:rsidRPr="00295E71" w14:paraId="4ABFAF53" w14:textId="77777777">
      <w:pPr>
        <w:tabs>
          <w:tab w:val="left" w:pos="567"/>
        </w:tabs>
        <w:jc w:val="both"/>
        <w:rPr>
          <w:color w:val="000000"/>
          <w:sz w:val="22"/>
          <w:szCs w:val="22"/>
        </w:rPr>
      </w:pPr>
    </w:p>
    <w:p w:rsidR="006224C2" w:rsidRPr="00295E71" w14:paraId="36B5DE31" w14:textId="77777777">
      <w:pPr>
        <w:tabs>
          <w:tab w:val="left" w:pos="567"/>
        </w:tabs>
        <w:jc w:val="both"/>
        <w:rPr>
          <w:color w:val="000000"/>
          <w:sz w:val="22"/>
          <w:szCs w:val="22"/>
        </w:rPr>
      </w:pPr>
      <w:r w:rsidRPr="00295E71">
        <w:rPr>
          <w:color w:val="000000"/>
          <w:sz w:val="22"/>
          <w:szCs w:val="22"/>
        </w:rPr>
        <w:t>Nelle sezioni controllate degli studi clinici con farmaci anti-TNF, sono stati osservati più casi di neoplasie, incluso linfoma, nei pazienti riceventi un anti-TNF rispetto al gruppo di controllo. Tuttavia, i casi sono stati rari. In studi postmarketing, sono stati riportati casi di leucemia in pazienti trattati con un antagonista-TNF. C’è un maggiore aumento del rischio di sviluppare linfomi e leucemia per i pazienti con artrite reumatoide gravemente attiva e di lunga durata, una patologia infiammatoria che complica la valutazione del rischio. Con le attuali conoscenze, non è possibile escludere lo sviluppo di linfomi, leucemia e altre neoplasie in pazienti trattati con farmaci anti-TNF.</w:t>
      </w:r>
    </w:p>
    <w:p w:rsidR="006224C2" w:rsidRPr="00295E71" w14:paraId="7A19CBDF" w14:textId="77777777">
      <w:pPr>
        <w:tabs>
          <w:tab w:val="left" w:pos="567"/>
        </w:tabs>
        <w:jc w:val="both"/>
        <w:rPr>
          <w:color w:val="000000"/>
          <w:sz w:val="22"/>
          <w:szCs w:val="22"/>
        </w:rPr>
      </w:pPr>
    </w:p>
    <w:p w:rsidR="006224C2" w:rsidRPr="00295E71" w14:paraId="4AAF348E" w14:textId="77777777">
      <w:pPr>
        <w:tabs>
          <w:tab w:val="left" w:pos="567"/>
        </w:tabs>
        <w:jc w:val="both"/>
        <w:rPr>
          <w:color w:val="000000"/>
          <w:sz w:val="22"/>
          <w:szCs w:val="22"/>
        </w:rPr>
      </w:pPr>
      <w:r w:rsidRPr="00295E71">
        <w:rPr>
          <w:color w:val="000000"/>
          <w:sz w:val="22"/>
          <w:szCs w:val="22"/>
        </w:rPr>
        <w:t>Casi di tumori, alcuni fatali, sono stati riportati in bambini, adolescenti e adulti di giovane età (fino all’età di 22 anni) trattati con agenti antagonisti del TNF (inizio della terapia ≤18 anni), compreso l’adalimumab, negli studi postmarketing.</w:t>
      </w:r>
    </w:p>
    <w:p w:rsidR="006224C2" w:rsidRPr="00295E71" w14:paraId="3E7FFFE1" w14:textId="77777777">
      <w:pPr>
        <w:tabs>
          <w:tab w:val="left" w:pos="567"/>
        </w:tabs>
        <w:jc w:val="both"/>
        <w:rPr>
          <w:color w:val="000000"/>
          <w:sz w:val="22"/>
          <w:szCs w:val="22"/>
        </w:rPr>
      </w:pPr>
      <w:r w:rsidRPr="00295E71">
        <w:rPr>
          <w:color w:val="000000"/>
          <w:sz w:val="22"/>
          <w:szCs w:val="22"/>
        </w:rPr>
        <w:t>Circa metà dei casi sono stati linfomi. Gli altri casi hanno rappresentato una molteplicità di differenti tumori e hanno incluso rari tumori solitamente associati con immunosoppressione. Non può essere escluso un rischio per lo sviluppo di tumori in bambini ed adolescenti trattati con antagonisti del TNF.</w:t>
      </w:r>
    </w:p>
    <w:p w:rsidR="006224C2" w:rsidRPr="00295E71" w14:paraId="4F8841D7" w14:textId="77777777">
      <w:pPr>
        <w:tabs>
          <w:tab w:val="left" w:pos="567"/>
          <w:tab w:val="left" w:pos="1294"/>
        </w:tabs>
        <w:autoSpaceDE w:val="0"/>
        <w:autoSpaceDN w:val="0"/>
        <w:adjustRightInd w:val="0"/>
        <w:jc w:val="both"/>
        <w:rPr>
          <w:color w:val="000000"/>
          <w:sz w:val="22"/>
          <w:szCs w:val="22"/>
        </w:rPr>
      </w:pPr>
    </w:p>
    <w:p w:rsidR="006224C2" w:rsidRPr="00295E71" w14:paraId="3952AC8C" w14:textId="77777777">
      <w:pPr>
        <w:tabs>
          <w:tab w:val="left" w:pos="567"/>
        </w:tabs>
        <w:jc w:val="both"/>
        <w:rPr>
          <w:color w:val="000000"/>
          <w:sz w:val="22"/>
          <w:szCs w:val="22"/>
        </w:rPr>
      </w:pPr>
      <w:r w:rsidRPr="00295E71">
        <w:rPr>
          <w:color w:val="000000"/>
          <w:sz w:val="22"/>
          <w:szCs w:val="22"/>
        </w:rPr>
        <w:t>Nei pazienti trattati con adalimumab sono stati osservati rari casi postmarketing di linfoma epatosplenico a cellule T. Questo raro tipo di linfoma a cellule T ha un decorso clinico molto aggressivo ed è spesso fatale. Alcuni di questi casi di linfoma epatosplenico a cellule T si sono manifestati in giovani pazienti adulti trattati con Humira e sottoposti a terapia concomitante con azatioprina o 6-mercaptopurina, farmaci utilizzati per il trattamento delle malattie infiammatorie intestinali. Deve essere attentamente considerato il rischio potenziale derivante dalla combinazione di azatioprina o 6-mercaptopurina e Humira. Nei pazienti trattati con Humira non può essere escluso il rischio di sviluppo del linfoma epatosplenico a cellule T (vedere paragrafo 4.8).</w:t>
      </w:r>
    </w:p>
    <w:p w:rsidR="006224C2" w:rsidRPr="00295E71" w14:paraId="33B24FBA" w14:textId="77777777">
      <w:pPr>
        <w:tabs>
          <w:tab w:val="left" w:pos="567"/>
        </w:tabs>
        <w:jc w:val="both"/>
        <w:rPr>
          <w:color w:val="000000"/>
          <w:sz w:val="22"/>
          <w:szCs w:val="22"/>
        </w:rPr>
      </w:pPr>
    </w:p>
    <w:p w:rsidR="006224C2" w:rsidRPr="00295E71" w14:paraId="5AA95661" w14:textId="77777777">
      <w:pPr>
        <w:tabs>
          <w:tab w:val="left" w:pos="567"/>
        </w:tabs>
        <w:jc w:val="both"/>
        <w:rPr>
          <w:color w:val="000000"/>
          <w:sz w:val="22"/>
          <w:szCs w:val="22"/>
        </w:rPr>
      </w:pPr>
      <w:r w:rsidRPr="00295E71">
        <w:rPr>
          <w:color w:val="000000"/>
          <w:sz w:val="22"/>
          <w:szCs w:val="22"/>
        </w:rPr>
        <w:t>Non sono stati condotti studi clinici su pazienti con anamnesi positiva per neoplasie o su pazienti nei quali il trattamento con Humira è continuato dopo lo sviluppo di neoplasia. Pertanto, il trattamento con Humira in questa tipologia di pazienti deve essere considerato con ulteriore cautela (vedere paragrafo 4.8).</w:t>
      </w:r>
    </w:p>
    <w:p w:rsidR="006224C2" w:rsidRPr="00295E71" w14:paraId="2D63AFD7" w14:textId="77777777">
      <w:pPr>
        <w:rPr>
          <w:color w:val="000000"/>
          <w:sz w:val="22"/>
          <w:szCs w:val="22"/>
        </w:rPr>
      </w:pPr>
    </w:p>
    <w:p w:rsidR="006224C2" w:rsidRPr="00295E71" w14:paraId="645D9475" w14:textId="77777777">
      <w:pPr>
        <w:tabs>
          <w:tab w:val="left" w:pos="567"/>
        </w:tabs>
        <w:jc w:val="both"/>
        <w:rPr>
          <w:color w:val="000000"/>
          <w:sz w:val="22"/>
          <w:szCs w:val="22"/>
        </w:rPr>
      </w:pPr>
      <w:r w:rsidRPr="00295E71">
        <w:rPr>
          <w:color w:val="000000"/>
          <w:sz w:val="22"/>
          <w:szCs w:val="22"/>
        </w:rPr>
        <w:t>Prima e durante il trattamento con Humira, tutti i pazienti, in particolare i soggetti che presentano una storia clinica da cui risultino massicce terapie immunosoppressive o soggetti affetti da psoriasi che presentano storia clinica di trattamento con PUVA, devono essere esaminati per valutare la presenza di un eventuale tumore della pelle non melanotico. Nei pazienti trattati con antagonisti del TNF, incluso adalimumab, sono stati anche riportati melanoma e carcinoma a cellule di Merkel (vedere paragrafo 4.8).</w:t>
      </w:r>
    </w:p>
    <w:p w:rsidR="006224C2" w:rsidRPr="00295E71" w14:paraId="75154609" w14:textId="77777777">
      <w:pPr>
        <w:tabs>
          <w:tab w:val="left" w:pos="567"/>
        </w:tabs>
        <w:jc w:val="both"/>
        <w:rPr>
          <w:color w:val="000000"/>
          <w:sz w:val="22"/>
          <w:szCs w:val="22"/>
        </w:rPr>
      </w:pPr>
    </w:p>
    <w:p w:rsidR="006224C2" w:rsidRPr="00295E71" w14:paraId="4C2CB8EF" w14:textId="77777777">
      <w:pPr>
        <w:tabs>
          <w:tab w:val="left" w:pos="567"/>
        </w:tabs>
        <w:jc w:val="both"/>
        <w:rPr>
          <w:color w:val="000000"/>
          <w:sz w:val="22"/>
          <w:szCs w:val="22"/>
        </w:rPr>
      </w:pPr>
      <w:r w:rsidRPr="00295E71">
        <w:rPr>
          <w:color w:val="000000"/>
          <w:sz w:val="22"/>
          <w:szCs w:val="22"/>
        </w:rPr>
        <w:t>In uno studio clinico esplorativo sulla valutazione dell’uso di un altro agente antagonista del TNF, infliximab, in pazienti con malattia polmonare cronica ostruttiva (COPD) da moderata a grave, furono riportate, nei pazienti trattati con infliximab rispetto ai pazienti controllo, più neoplasie, soprattutto al polmone o alla testa ed al collo. Tutti i pazienti avevano una storia di grandi fumatori.</w:t>
      </w:r>
    </w:p>
    <w:p w:rsidR="006224C2" w:rsidRPr="00295E71" w14:paraId="6ABF97CA" w14:textId="77777777">
      <w:pPr>
        <w:tabs>
          <w:tab w:val="left" w:pos="567"/>
        </w:tabs>
        <w:jc w:val="both"/>
        <w:rPr>
          <w:color w:val="000000"/>
          <w:sz w:val="22"/>
          <w:szCs w:val="22"/>
        </w:rPr>
      </w:pPr>
      <w:r w:rsidRPr="00295E71">
        <w:rPr>
          <w:color w:val="000000"/>
          <w:sz w:val="22"/>
          <w:szCs w:val="22"/>
        </w:rPr>
        <w:t>Pertanto, deve essere usata cautela quando si utilizza qualsiasi antagonista-TNF in pazienti affetti da COPD, così come in pazienti con aumentato rischio di neoplasia dovut</w:t>
      </w:r>
      <w:r w:rsidR="00BD0F8D">
        <w:rPr>
          <w:color w:val="000000"/>
          <w:sz w:val="22"/>
          <w:szCs w:val="22"/>
        </w:rPr>
        <w:t>o</w:t>
      </w:r>
      <w:r w:rsidRPr="00295E71">
        <w:rPr>
          <w:color w:val="000000"/>
          <w:sz w:val="22"/>
          <w:szCs w:val="22"/>
        </w:rPr>
        <w:t xml:space="preserve"> al fumo eccessivo.</w:t>
      </w:r>
    </w:p>
    <w:p w:rsidR="006224C2" w:rsidRPr="00295E71" w14:paraId="532F20F5" w14:textId="77777777">
      <w:pPr>
        <w:tabs>
          <w:tab w:val="left" w:pos="567"/>
        </w:tabs>
        <w:jc w:val="both"/>
        <w:rPr>
          <w:color w:val="000000"/>
          <w:sz w:val="22"/>
          <w:szCs w:val="22"/>
        </w:rPr>
      </w:pPr>
    </w:p>
    <w:p w:rsidR="006224C2" w:rsidRPr="00295E71" w14:paraId="52104B84" w14:textId="77777777">
      <w:pPr>
        <w:keepNext/>
        <w:keepLines/>
        <w:rPr>
          <w:color w:val="000000"/>
          <w:sz w:val="22"/>
          <w:szCs w:val="22"/>
        </w:rPr>
      </w:pPr>
      <w:r w:rsidRPr="00295E71">
        <w:rPr>
          <w:color w:val="000000"/>
          <w:sz w:val="22"/>
          <w:szCs w:val="22"/>
        </w:rPr>
        <w:t xml:space="preserve">In base ai dati attuali non è noto se il trattamento con adalimumab influenzi il rischio di sviluppare displasia o cancro del colon. Tutti i pazienti affetti da colite ulcerosa che sono ad aumentato rischio di displasia o carcinoma del colon (per esempio, pazienti affetti da colite ulcerosa da lunga data o da colangite sclerosante primaria), o che hanno avuto una precedente anamnesi di displasia o di carcinoma al colon devono essere sottoposti a screening regolari per displasia </w:t>
      </w:r>
      <w:r w:rsidRPr="00295E71" w:rsidR="00522EA6">
        <w:rPr>
          <w:color w:val="000000"/>
          <w:sz w:val="22"/>
          <w:szCs w:val="22"/>
        </w:rPr>
        <w:t xml:space="preserve">prima della terapia e </w:t>
      </w:r>
      <w:r w:rsidRPr="00295E71">
        <w:rPr>
          <w:color w:val="000000"/>
          <w:sz w:val="22"/>
          <w:szCs w:val="22"/>
        </w:rPr>
        <w:t>durante tutto il corso della malattia. Questa valutazione deve includere colonscopie e biopsie in base a</w:t>
      </w:r>
      <w:r w:rsidR="00BD0F8D">
        <w:rPr>
          <w:color w:val="000000"/>
          <w:sz w:val="22"/>
          <w:szCs w:val="22"/>
        </w:rPr>
        <w:t>lle</w:t>
      </w:r>
      <w:r w:rsidRPr="00295E71">
        <w:rPr>
          <w:color w:val="000000"/>
          <w:sz w:val="22"/>
          <w:szCs w:val="22"/>
        </w:rPr>
        <w:t xml:space="preserve"> raccomandazioni locali. </w:t>
      </w:r>
    </w:p>
    <w:p w:rsidR="006224C2" w:rsidRPr="00295E71" w14:paraId="562DF219" w14:textId="77777777">
      <w:pPr>
        <w:tabs>
          <w:tab w:val="left" w:pos="567"/>
        </w:tabs>
        <w:jc w:val="both"/>
        <w:rPr>
          <w:color w:val="000000"/>
          <w:sz w:val="22"/>
          <w:szCs w:val="22"/>
          <w:u w:val="single"/>
        </w:rPr>
      </w:pPr>
    </w:p>
    <w:p w:rsidR="006224C2" w:rsidRPr="00295E71" w14:paraId="3BAD9F8B" w14:textId="77777777">
      <w:pPr>
        <w:keepNext/>
        <w:tabs>
          <w:tab w:val="left" w:pos="567"/>
        </w:tabs>
        <w:jc w:val="both"/>
        <w:rPr>
          <w:color w:val="000000"/>
          <w:sz w:val="22"/>
          <w:szCs w:val="22"/>
          <w:u w:val="single"/>
        </w:rPr>
      </w:pPr>
      <w:r w:rsidRPr="00295E71">
        <w:rPr>
          <w:color w:val="000000"/>
          <w:sz w:val="22"/>
          <w:szCs w:val="22"/>
          <w:u w:val="single"/>
        </w:rPr>
        <w:t>Reazioni a carico del sistema emopoietico</w:t>
      </w:r>
    </w:p>
    <w:p w:rsidR="006224C2" w:rsidRPr="00295E71" w14:paraId="0ECE7802" w14:textId="77777777">
      <w:pPr>
        <w:keepNext/>
        <w:tabs>
          <w:tab w:val="left" w:pos="567"/>
        </w:tabs>
        <w:jc w:val="both"/>
        <w:rPr>
          <w:color w:val="000000"/>
          <w:sz w:val="22"/>
          <w:szCs w:val="22"/>
          <w:u w:val="single"/>
        </w:rPr>
      </w:pPr>
    </w:p>
    <w:p w:rsidR="006224C2" w:rsidRPr="00295E71" w14:paraId="21DE9668" w14:textId="77777777">
      <w:pPr>
        <w:keepNext/>
        <w:tabs>
          <w:tab w:val="left" w:pos="567"/>
        </w:tabs>
        <w:jc w:val="both"/>
        <w:rPr>
          <w:color w:val="000000"/>
          <w:sz w:val="22"/>
          <w:szCs w:val="22"/>
        </w:rPr>
      </w:pPr>
      <w:r w:rsidRPr="00295E71">
        <w:rPr>
          <w:color w:val="000000"/>
          <w:sz w:val="22"/>
          <w:szCs w:val="22"/>
        </w:rPr>
        <w:t>In seguito all’uso di farmaci anti-TNF, sono stati segnalati rari casi di pancitopenia, tra cui la comparsa di anemia aplastica. Nei pazienti sottoposti a trattamento con Humira, sono stati segnalati eventi avversi a carico del sistema emopoietico, tra cui citopenie significative dal punto di vista medico (per esempio, trombocitopenia, leucopenia). Durante il trattamento con Humira tutti i pazienti devono essere avvisati della necessità di consultare immediatamente un medico per ottenere adeguata assistenza nel caso in cui si manifestino segni e sintomi che suggeriscano la presenza di discrasia ematica (per esempio, febbre persistente, ecchimosi, emorragia, pallore). Nel caso di pazienti che presentino confermate significative alterazioni a carico del sistema emopoietico, si deve prendere in considerazione la necessità di interrompere la terapia a base di Humira.</w:t>
      </w:r>
    </w:p>
    <w:p w:rsidR="006224C2" w:rsidRPr="00295E71" w14:paraId="733CD7AA" w14:textId="77777777">
      <w:pPr>
        <w:tabs>
          <w:tab w:val="left" w:pos="567"/>
        </w:tabs>
        <w:autoSpaceDE w:val="0"/>
        <w:autoSpaceDN w:val="0"/>
        <w:adjustRightInd w:val="0"/>
        <w:jc w:val="both"/>
        <w:rPr>
          <w:sz w:val="22"/>
          <w:szCs w:val="22"/>
          <w:u w:val="single"/>
        </w:rPr>
      </w:pPr>
    </w:p>
    <w:p w:rsidR="006224C2" w:rsidRPr="00295E71" w14:paraId="002A8455" w14:textId="77777777">
      <w:pPr>
        <w:keepNext/>
        <w:rPr>
          <w:sz w:val="22"/>
          <w:szCs w:val="22"/>
          <w:u w:val="single"/>
        </w:rPr>
      </w:pPr>
      <w:r w:rsidRPr="00295E71">
        <w:rPr>
          <w:sz w:val="22"/>
          <w:szCs w:val="22"/>
          <w:u w:val="single"/>
        </w:rPr>
        <w:t>Vaccinazioni</w:t>
      </w:r>
    </w:p>
    <w:p w:rsidR="006224C2" w:rsidRPr="00295E71" w14:paraId="7A234FD2" w14:textId="77777777">
      <w:pPr>
        <w:keepNext/>
        <w:tabs>
          <w:tab w:val="left" w:pos="567"/>
        </w:tabs>
        <w:autoSpaceDE w:val="0"/>
        <w:autoSpaceDN w:val="0"/>
        <w:adjustRightInd w:val="0"/>
        <w:jc w:val="both"/>
        <w:rPr>
          <w:sz w:val="22"/>
          <w:szCs w:val="22"/>
          <w:u w:val="single"/>
        </w:rPr>
      </w:pPr>
    </w:p>
    <w:p w:rsidR="006224C2" w:rsidRPr="00295E71" w14:paraId="37BA2C2B" w14:textId="77777777">
      <w:pPr>
        <w:keepNext/>
        <w:tabs>
          <w:tab w:val="left" w:pos="567"/>
        </w:tabs>
        <w:autoSpaceDE w:val="0"/>
        <w:autoSpaceDN w:val="0"/>
        <w:adjustRightInd w:val="0"/>
        <w:jc w:val="both"/>
        <w:rPr>
          <w:sz w:val="22"/>
          <w:szCs w:val="22"/>
        </w:rPr>
      </w:pPr>
      <w:r w:rsidRPr="00295E71">
        <w:rPr>
          <w:sz w:val="22"/>
          <w:szCs w:val="22"/>
        </w:rPr>
        <w:t xml:space="preserve">Risposte anticorpali simili al vaccino standard 23-valente pneumococcico ed al vaccino trivalente per il virus dell’influenza sono state osservate in uno studio condotto su 226 soggetti adulti affetti da artrite reumatoide che sono stati trattati con adalimumab o con placebo. Non ci sono dati disponibili sulla trasmissione secondaria di infezione da vaccini vivi in pazienti che stanno assumendo Humira. </w:t>
      </w:r>
    </w:p>
    <w:p w:rsidR="006224C2" w:rsidRPr="00295E71" w14:paraId="7C3D3FAA" w14:textId="77777777">
      <w:pPr>
        <w:tabs>
          <w:tab w:val="left" w:pos="567"/>
        </w:tabs>
        <w:autoSpaceDE w:val="0"/>
        <w:autoSpaceDN w:val="0"/>
        <w:adjustRightInd w:val="0"/>
        <w:jc w:val="both"/>
        <w:rPr>
          <w:sz w:val="22"/>
          <w:szCs w:val="22"/>
        </w:rPr>
      </w:pPr>
    </w:p>
    <w:p w:rsidR="006224C2" w:rsidRPr="00295E71" w14:paraId="54C058FD" w14:textId="77777777">
      <w:pPr>
        <w:tabs>
          <w:tab w:val="left" w:pos="567"/>
        </w:tabs>
        <w:autoSpaceDE w:val="0"/>
        <w:autoSpaceDN w:val="0"/>
        <w:adjustRightInd w:val="0"/>
        <w:jc w:val="both"/>
        <w:rPr>
          <w:sz w:val="22"/>
          <w:szCs w:val="22"/>
        </w:rPr>
      </w:pPr>
      <w:r w:rsidRPr="00295E71">
        <w:rPr>
          <w:sz w:val="22"/>
          <w:szCs w:val="22"/>
        </w:rPr>
        <w:t>Nei pazienti pediatrici, prima di iniziare la terapia a base di Humira si raccomanda, se possibile, di attuare il programma di vaccinazioni previsto, in ottemperanza alle linee guida in vigore sulle vaccinazioni.</w:t>
      </w:r>
    </w:p>
    <w:p w:rsidR="006224C2" w:rsidRPr="00295E71" w14:paraId="7222C20A" w14:textId="77777777">
      <w:pPr>
        <w:tabs>
          <w:tab w:val="left" w:pos="567"/>
        </w:tabs>
        <w:autoSpaceDE w:val="0"/>
        <w:autoSpaceDN w:val="0"/>
        <w:adjustRightInd w:val="0"/>
        <w:jc w:val="both"/>
        <w:rPr>
          <w:sz w:val="22"/>
          <w:szCs w:val="22"/>
        </w:rPr>
      </w:pPr>
    </w:p>
    <w:p w:rsidR="006224C2" w:rsidRPr="00295E71" w14:paraId="3A7AFB8F" w14:textId="77777777">
      <w:pPr>
        <w:tabs>
          <w:tab w:val="left" w:pos="567"/>
        </w:tabs>
        <w:autoSpaceDE w:val="0"/>
        <w:autoSpaceDN w:val="0"/>
        <w:adjustRightInd w:val="0"/>
        <w:jc w:val="both"/>
        <w:rPr>
          <w:sz w:val="22"/>
          <w:szCs w:val="22"/>
        </w:rPr>
      </w:pPr>
      <w:r w:rsidRPr="00295E71">
        <w:rPr>
          <w:sz w:val="22"/>
          <w:szCs w:val="22"/>
        </w:rPr>
        <w:t>Pazienti trattati con Humira possono ricevere vaccinazioni simultanee, ad eccezione dei vaccini vivi.</w:t>
      </w:r>
    </w:p>
    <w:p w:rsidR="006224C2" w:rsidRPr="00295E71" w14:paraId="1B117598" w14:textId="77777777">
      <w:pPr>
        <w:tabs>
          <w:tab w:val="left" w:pos="567"/>
        </w:tabs>
        <w:autoSpaceDE w:val="0"/>
        <w:autoSpaceDN w:val="0"/>
        <w:adjustRightInd w:val="0"/>
        <w:jc w:val="both"/>
        <w:rPr>
          <w:sz w:val="22"/>
          <w:szCs w:val="22"/>
        </w:rPr>
      </w:pPr>
      <w:r w:rsidRPr="00295E71">
        <w:rPr>
          <w:sz w:val="22"/>
          <w:szCs w:val="22"/>
        </w:rPr>
        <w:t xml:space="preserve">La somministrazione di vaccini vivi </w:t>
      </w:r>
      <w:r w:rsidR="00284FF4">
        <w:rPr>
          <w:sz w:val="22"/>
          <w:szCs w:val="22"/>
        </w:rPr>
        <w:t xml:space="preserve">(ad es. vaccino BCG) </w:t>
      </w:r>
      <w:r w:rsidRPr="00295E71">
        <w:rPr>
          <w:sz w:val="22"/>
          <w:szCs w:val="22"/>
        </w:rPr>
        <w:t xml:space="preserve">a bambini esposti ad adalimumab nell’utero non è raccomandata </w:t>
      </w:r>
      <w:r w:rsidR="008C57BD">
        <w:rPr>
          <w:sz w:val="22"/>
          <w:szCs w:val="22"/>
        </w:rPr>
        <w:t>fino a</w:t>
      </w:r>
      <w:r w:rsidRPr="00295E71" w:rsidR="008C57BD">
        <w:rPr>
          <w:sz w:val="22"/>
          <w:szCs w:val="22"/>
        </w:rPr>
        <w:t xml:space="preserve"> </w:t>
      </w:r>
      <w:r w:rsidRPr="00295E71">
        <w:rPr>
          <w:sz w:val="22"/>
          <w:szCs w:val="22"/>
        </w:rPr>
        <w:t>5 mesi dall’ultima somministrazione di adalimumab alla madre durante la gravidanza.</w:t>
      </w:r>
    </w:p>
    <w:p w:rsidR="006224C2" w:rsidRPr="00295E71" w14:paraId="07D8F721" w14:textId="77777777">
      <w:pPr>
        <w:tabs>
          <w:tab w:val="left" w:pos="567"/>
        </w:tabs>
        <w:autoSpaceDE w:val="0"/>
        <w:autoSpaceDN w:val="0"/>
        <w:adjustRightInd w:val="0"/>
        <w:jc w:val="both"/>
        <w:rPr>
          <w:sz w:val="22"/>
          <w:szCs w:val="22"/>
        </w:rPr>
      </w:pPr>
    </w:p>
    <w:p w:rsidR="006224C2" w:rsidRPr="00295E71" w:rsidP="00986889" w14:paraId="298D553A" w14:textId="77777777">
      <w:pPr>
        <w:keepNext/>
        <w:keepLines/>
        <w:tabs>
          <w:tab w:val="left" w:pos="567"/>
        </w:tabs>
        <w:autoSpaceDE w:val="0"/>
        <w:autoSpaceDN w:val="0"/>
        <w:adjustRightInd w:val="0"/>
        <w:spacing w:line="240" w:lineRule="atLeast"/>
        <w:jc w:val="both"/>
        <w:rPr>
          <w:sz w:val="22"/>
          <w:szCs w:val="22"/>
          <w:u w:val="single"/>
        </w:rPr>
      </w:pPr>
      <w:r w:rsidRPr="00295E71">
        <w:rPr>
          <w:sz w:val="22"/>
          <w:szCs w:val="22"/>
          <w:u w:val="single"/>
        </w:rPr>
        <w:t>Insufficienza cardiaca congestizia</w:t>
      </w:r>
    </w:p>
    <w:p w:rsidR="006224C2" w:rsidRPr="00295E71" w:rsidP="00986889" w14:paraId="2E0B5A4D" w14:textId="77777777">
      <w:pPr>
        <w:keepNext/>
        <w:keepLines/>
        <w:tabs>
          <w:tab w:val="left" w:pos="567"/>
        </w:tabs>
        <w:autoSpaceDE w:val="0"/>
        <w:autoSpaceDN w:val="0"/>
        <w:adjustRightInd w:val="0"/>
        <w:spacing w:line="240" w:lineRule="atLeast"/>
        <w:jc w:val="both"/>
        <w:rPr>
          <w:color w:val="000000"/>
          <w:sz w:val="22"/>
          <w:szCs w:val="22"/>
          <w:u w:val="single"/>
        </w:rPr>
      </w:pPr>
    </w:p>
    <w:p w:rsidR="006224C2" w:rsidRPr="00295E71" w:rsidP="00986889" w14:paraId="049419B6" w14:textId="77777777">
      <w:pPr>
        <w:keepNext/>
        <w:keepLines/>
        <w:tabs>
          <w:tab w:val="left" w:pos="567"/>
        </w:tabs>
        <w:autoSpaceDE w:val="0"/>
        <w:autoSpaceDN w:val="0"/>
        <w:adjustRightInd w:val="0"/>
        <w:spacing w:line="240" w:lineRule="atLeast"/>
        <w:jc w:val="both"/>
        <w:rPr>
          <w:color w:val="000000"/>
          <w:sz w:val="22"/>
          <w:szCs w:val="22"/>
        </w:rPr>
      </w:pPr>
      <w:r w:rsidRPr="00295E71">
        <w:rPr>
          <w:color w:val="000000"/>
          <w:sz w:val="22"/>
          <w:szCs w:val="22"/>
        </w:rPr>
        <w:t>In uno</w:t>
      </w:r>
      <w:r w:rsidRPr="00295E71" w:rsidR="009E3292">
        <w:rPr>
          <w:color w:val="000000"/>
          <w:sz w:val="22"/>
          <w:szCs w:val="22"/>
        </w:rPr>
        <w:t xml:space="preserve"> </w:t>
      </w:r>
      <w:r w:rsidRPr="00295E71">
        <w:rPr>
          <w:color w:val="000000"/>
          <w:sz w:val="22"/>
          <w:szCs w:val="22"/>
        </w:rPr>
        <w:t>studio clinico con un altro farmaco anti-TNF sono stati osservati il peggioramento dell’insufficienza cardiaca congestizia e l’aumento di mortalità ad essa correlata. Anche in pazienti trattati con Humira sono stati osservati casi di peggioramento di insufficienza cardiaca congestizia. Humira deve essere usato con cautela in pazienti con lieve insufficienza cardiaca (classe I/II NYHA). Humira è controindicato nell’insufficienza cardiaca moderata o severa (vedere paragrafo 4.3). Il trattamento con Humira deve essere interrotto nei pazienti che presentino peggioramento o insorgenza di nuovi sintomi dell’insufficienza cardiaca congestizia.</w:t>
      </w:r>
    </w:p>
    <w:p w:rsidR="006224C2" w:rsidRPr="00295E71" w:rsidP="00986889" w14:paraId="40AB1782" w14:textId="77777777">
      <w:pPr>
        <w:keepNext/>
        <w:tabs>
          <w:tab w:val="left" w:pos="567"/>
        </w:tabs>
        <w:jc w:val="both"/>
        <w:rPr>
          <w:sz w:val="22"/>
          <w:szCs w:val="22"/>
          <w:u w:val="single"/>
        </w:rPr>
      </w:pPr>
    </w:p>
    <w:p w:rsidR="006224C2" w:rsidRPr="00295E71" w14:paraId="7EB1BF7F" w14:textId="77777777">
      <w:pPr>
        <w:tabs>
          <w:tab w:val="left" w:pos="567"/>
        </w:tabs>
        <w:jc w:val="both"/>
        <w:rPr>
          <w:sz w:val="22"/>
          <w:szCs w:val="22"/>
          <w:u w:val="single"/>
        </w:rPr>
      </w:pPr>
      <w:r w:rsidRPr="00295E71">
        <w:rPr>
          <w:sz w:val="22"/>
          <w:szCs w:val="22"/>
          <w:u w:val="single"/>
        </w:rPr>
        <w:t>Processi autoimmuni</w:t>
      </w:r>
    </w:p>
    <w:p w:rsidR="006224C2" w:rsidRPr="00295E71" w14:paraId="040C7336" w14:textId="77777777">
      <w:pPr>
        <w:tabs>
          <w:tab w:val="left" w:pos="567"/>
        </w:tabs>
        <w:jc w:val="both"/>
        <w:rPr>
          <w:color w:val="000000"/>
          <w:sz w:val="22"/>
          <w:szCs w:val="22"/>
        </w:rPr>
      </w:pPr>
    </w:p>
    <w:p w:rsidR="006224C2" w:rsidRPr="00295E71" w14:paraId="6CAC8CB2" w14:textId="77777777">
      <w:pPr>
        <w:pStyle w:val="BodyText"/>
        <w:tabs>
          <w:tab w:val="left" w:pos="567"/>
        </w:tabs>
        <w:rPr>
          <w:lang w:eastAsia="en-US"/>
        </w:rPr>
      </w:pPr>
      <w:r w:rsidRPr="00295E71">
        <w:t xml:space="preserve">Il trattamento con Humira </w:t>
      </w:r>
      <w:r w:rsidRPr="00295E71">
        <w:rPr>
          <w:lang w:eastAsia="en-US"/>
        </w:rPr>
        <w:t>può indurre la formazione di anticorpi autoimmuni. Non è noto l’impatto del trattamento a lungo termine con Humira sullo sviluppo di malattie autoimmuni. Se un paziente sviluppa sintomi indicativi di sindrome simile al lupus a seguito di trattamento con Humira e risulta positivo per gli anticorpi contro il DNA a doppia catena, non deve essere somministrato un ulteriore trattamento con Humira (vedere paragrafo 4.8).</w:t>
      </w:r>
    </w:p>
    <w:p w:rsidR="006224C2" w:rsidRPr="00295E71" w14:paraId="329E7DB4" w14:textId="77777777">
      <w:pPr>
        <w:tabs>
          <w:tab w:val="left" w:pos="567"/>
        </w:tabs>
        <w:jc w:val="both"/>
        <w:rPr>
          <w:sz w:val="22"/>
          <w:szCs w:val="22"/>
        </w:rPr>
      </w:pPr>
    </w:p>
    <w:p w:rsidR="006224C2" w:rsidRPr="0002593D" w14:paraId="054931BE" w14:textId="77777777">
      <w:pPr>
        <w:rPr>
          <w:sz w:val="22"/>
          <w:szCs w:val="22"/>
          <w:u w:val="single"/>
        </w:rPr>
      </w:pPr>
      <w:r w:rsidRPr="0002593D">
        <w:rPr>
          <w:sz w:val="22"/>
          <w:szCs w:val="22"/>
          <w:u w:val="single"/>
        </w:rPr>
        <w:t xml:space="preserve">Somministrazione concomitante di DMARD biologici o antagonisti del TNF </w:t>
      </w:r>
    </w:p>
    <w:p w:rsidR="006224C2" w:rsidRPr="00295E71" w14:paraId="64060736" w14:textId="77777777">
      <w:pPr>
        <w:tabs>
          <w:tab w:val="left" w:pos="567"/>
        </w:tabs>
        <w:jc w:val="both"/>
        <w:rPr>
          <w:sz w:val="22"/>
          <w:szCs w:val="22"/>
        </w:rPr>
      </w:pPr>
    </w:p>
    <w:p w:rsidR="006224C2" w:rsidRPr="00295E71" w14:paraId="564F7D81" w14:textId="77777777">
      <w:pPr>
        <w:keepNext/>
        <w:keepLines/>
        <w:tabs>
          <w:tab w:val="left" w:pos="567"/>
        </w:tabs>
        <w:jc w:val="both"/>
        <w:rPr>
          <w:sz w:val="22"/>
          <w:szCs w:val="22"/>
        </w:rPr>
      </w:pPr>
      <w:r w:rsidRPr="00295E71">
        <w:rPr>
          <w:sz w:val="22"/>
          <w:szCs w:val="22"/>
        </w:rPr>
        <w:t>Nel corso di studi clinici condotti sulla terapia combinata con anakinra ed un altro farmaco anti-TNF, etanercept, sono state osservate infezioni gravi senza alcun beneficio clinico rispetto ad etanercept in monoterapia. Considerata la tipologia degli eventi avversi osservati con la combinazione di anakinra ed etanercept, potrebbero manifestarsi effetti indesiderati simili in seguito alla combinazione di anakinra ed un altro farmaco anti-TNF. Pertanto, la combinazione di adalimumab con anakinra non è raccomandata (vedere paragrafo 4.5).</w:t>
      </w:r>
    </w:p>
    <w:p w:rsidR="006224C2" w:rsidRPr="00295E71" w14:paraId="428EA45E" w14:textId="77777777">
      <w:pPr>
        <w:numPr>
          <w:ilvl w:val="12"/>
          <w:numId w:val="0"/>
        </w:numPr>
        <w:tabs>
          <w:tab w:val="left" w:pos="567"/>
        </w:tabs>
        <w:ind w:right="-2"/>
        <w:jc w:val="both"/>
        <w:rPr>
          <w:sz w:val="22"/>
          <w:szCs w:val="22"/>
          <w:u w:val="single"/>
        </w:rPr>
      </w:pPr>
    </w:p>
    <w:p w:rsidR="006224C2" w:rsidRPr="00295E71" w14:paraId="75447034" w14:textId="77777777">
      <w:pPr>
        <w:tabs>
          <w:tab w:val="left" w:pos="567"/>
        </w:tabs>
        <w:jc w:val="both"/>
        <w:rPr>
          <w:sz w:val="22"/>
          <w:szCs w:val="22"/>
        </w:rPr>
      </w:pPr>
      <w:r w:rsidRPr="00295E71">
        <w:rPr>
          <w:sz w:val="22"/>
          <w:szCs w:val="22"/>
        </w:rPr>
        <w:t>La somministrazione concomitante di adalimumab con altri DMARD biologici (per es. anakinra e abatacept) o altri antagonisti del TNF non è raccomandata sulla base di un possibile aumento del rischio di infezioni, incluse infezioni gravi e altre potenziali interazioni farmacologiche (vedere paragrafo 4.5).</w:t>
      </w:r>
    </w:p>
    <w:p w:rsidR="006224C2" w:rsidRPr="00295E71" w14:paraId="5D9174B9" w14:textId="77777777">
      <w:pPr>
        <w:tabs>
          <w:tab w:val="left" w:pos="567"/>
        </w:tabs>
        <w:jc w:val="both"/>
        <w:rPr>
          <w:sz w:val="22"/>
          <w:szCs w:val="22"/>
        </w:rPr>
      </w:pPr>
    </w:p>
    <w:p w:rsidR="006224C2" w:rsidRPr="00295E71" w14:paraId="3037C489" w14:textId="77777777">
      <w:pPr>
        <w:rPr>
          <w:sz w:val="22"/>
          <w:szCs w:val="22"/>
          <w:u w:val="single"/>
        </w:rPr>
      </w:pPr>
      <w:r w:rsidRPr="00295E71">
        <w:rPr>
          <w:sz w:val="22"/>
          <w:szCs w:val="22"/>
          <w:u w:val="single"/>
        </w:rPr>
        <w:t>Interventi chirurgici</w:t>
      </w:r>
    </w:p>
    <w:p w:rsidR="006224C2" w:rsidRPr="00295E71" w14:paraId="667B81C0" w14:textId="77777777">
      <w:pPr>
        <w:tabs>
          <w:tab w:val="left" w:pos="567"/>
        </w:tabs>
        <w:jc w:val="both"/>
        <w:rPr>
          <w:sz w:val="22"/>
          <w:szCs w:val="22"/>
        </w:rPr>
      </w:pPr>
    </w:p>
    <w:p w:rsidR="006224C2" w:rsidRPr="00295E71" w14:paraId="2B2D959E" w14:textId="77777777">
      <w:pPr>
        <w:tabs>
          <w:tab w:val="left" w:pos="567"/>
        </w:tabs>
        <w:jc w:val="both"/>
        <w:rPr>
          <w:sz w:val="22"/>
          <w:szCs w:val="22"/>
        </w:rPr>
      </w:pPr>
      <w:r w:rsidRPr="00295E71">
        <w:rPr>
          <w:sz w:val="22"/>
          <w:szCs w:val="22"/>
        </w:rPr>
        <w:t>Nei pazienti trattati con Humira c’è un’esperienza limitata, relativa alla sicurezza di procedure chirurgiche. Nel caso in cui si pianifichi un intervento chirurgico si deve considerare la lunga emivita di adalimumab. Un paziente che dovesse essere sottoposto ad intervento chirurgico, durante il trattamento con Humira, deve essere attentamente seguito per lo sviluppo di infezioni, nel qual caso andrebbero intraprese opportune azioni. C’è un’esperienza limitata per quanto riguarda la sicurezza in pazienti sottoposti ad interventi di artroplastica in corso di trattamento con Humira.</w:t>
      </w:r>
    </w:p>
    <w:p w:rsidR="006224C2" w:rsidRPr="00295E71" w14:paraId="0ED19356" w14:textId="77777777">
      <w:pPr>
        <w:tabs>
          <w:tab w:val="left" w:pos="567"/>
        </w:tabs>
        <w:jc w:val="both"/>
        <w:rPr>
          <w:sz w:val="22"/>
          <w:szCs w:val="22"/>
          <w:u w:val="single"/>
        </w:rPr>
      </w:pPr>
    </w:p>
    <w:p w:rsidR="006224C2" w:rsidRPr="00295E71" w14:paraId="190E01EB" w14:textId="77777777">
      <w:pPr>
        <w:keepNext/>
        <w:rPr>
          <w:sz w:val="22"/>
          <w:szCs w:val="22"/>
          <w:u w:val="single"/>
        </w:rPr>
      </w:pPr>
      <w:r w:rsidRPr="00295E71">
        <w:rPr>
          <w:sz w:val="22"/>
          <w:szCs w:val="22"/>
          <w:u w:val="single"/>
        </w:rPr>
        <w:t>Ostruzione dell’intestino tenue</w:t>
      </w:r>
    </w:p>
    <w:p w:rsidR="006224C2" w:rsidRPr="00295E71" w14:paraId="496C4646" w14:textId="77777777">
      <w:pPr>
        <w:keepNext/>
        <w:tabs>
          <w:tab w:val="left" w:pos="567"/>
        </w:tabs>
        <w:jc w:val="both"/>
        <w:rPr>
          <w:sz w:val="22"/>
          <w:szCs w:val="22"/>
          <w:u w:val="single"/>
        </w:rPr>
      </w:pPr>
    </w:p>
    <w:p w:rsidR="006224C2" w:rsidRPr="00295E71" w14:paraId="59D0C438" w14:textId="77777777">
      <w:pPr>
        <w:keepNext/>
        <w:tabs>
          <w:tab w:val="left" w:pos="567"/>
        </w:tabs>
        <w:jc w:val="both"/>
        <w:rPr>
          <w:sz w:val="22"/>
          <w:szCs w:val="22"/>
        </w:rPr>
      </w:pPr>
      <w:r w:rsidRPr="00295E71">
        <w:rPr>
          <w:sz w:val="22"/>
          <w:szCs w:val="22"/>
        </w:rPr>
        <w:t>La mancata risposta al trattamento per la malattia di Crohn può indicare la presenza di stenosi rigida fibrotica che può richiedere un intervento chirurgico. I dati disponibili suggeriscono che Humira non peggiora o causa stenosi.</w:t>
      </w:r>
    </w:p>
    <w:p w:rsidR="006224C2" w:rsidRPr="00295E71" w14:paraId="39047B8D" w14:textId="77777777">
      <w:pPr>
        <w:tabs>
          <w:tab w:val="left" w:pos="567"/>
        </w:tabs>
        <w:jc w:val="both"/>
        <w:rPr>
          <w:sz w:val="22"/>
          <w:szCs w:val="22"/>
        </w:rPr>
      </w:pPr>
    </w:p>
    <w:p w:rsidR="006224C2" w:rsidRPr="00295E71" w14:paraId="7C049694" w14:textId="77777777">
      <w:pPr>
        <w:keepNext/>
        <w:tabs>
          <w:tab w:val="left" w:pos="567"/>
        </w:tabs>
        <w:jc w:val="both"/>
        <w:rPr>
          <w:sz w:val="22"/>
          <w:szCs w:val="22"/>
          <w:u w:val="single"/>
        </w:rPr>
      </w:pPr>
      <w:r w:rsidRPr="00295E71">
        <w:rPr>
          <w:sz w:val="22"/>
          <w:szCs w:val="22"/>
          <w:u w:val="single"/>
        </w:rPr>
        <w:t>Anziani</w:t>
      </w:r>
    </w:p>
    <w:p w:rsidR="006224C2" w:rsidRPr="00295E71" w14:paraId="57119B1C" w14:textId="77777777">
      <w:pPr>
        <w:keepNext/>
        <w:tabs>
          <w:tab w:val="left" w:pos="567"/>
        </w:tabs>
        <w:jc w:val="both"/>
        <w:rPr>
          <w:sz w:val="22"/>
          <w:szCs w:val="22"/>
          <w:u w:val="single"/>
        </w:rPr>
      </w:pPr>
    </w:p>
    <w:p w:rsidR="006224C2" w:rsidRPr="00295E71" w14:paraId="59785803" w14:textId="77777777">
      <w:pPr>
        <w:keepNext/>
        <w:tabs>
          <w:tab w:val="left" w:pos="567"/>
        </w:tabs>
        <w:jc w:val="both"/>
        <w:rPr>
          <w:sz w:val="22"/>
          <w:szCs w:val="22"/>
        </w:rPr>
      </w:pPr>
      <w:r w:rsidRPr="00295E71">
        <w:rPr>
          <w:sz w:val="22"/>
          <w:szCs w:val="22"/>
        </w:rPr>
        <w:t>La frequenza di infezioni gravi tra i pazienti di età superiore ai 65 anni (3,7%) trattati con Humira è stata superiore rispetto a quelli di età inferiore ai 65 anni (1,5%). Alcuni di questi hanno avuto un esito fatale. Particolare attenzione per quanto riguarda il rischio di infezione deve essere prestata nel trattamento dei pazienti anziani.</w:t>
      </w:r>
    </w:p>
    <w:p w:rsidR="006224C2" w:rsidRPr="00295E71" w14:paraId="78D558EE" w14:textId="77777777">
      <w:pPr>
        <w:tabs>
          <w:tab w:val="left" w:pos="567"/>
        </w:tabs>
        <w:jc w:val="both"/>
        <w:rPr>
          <w:sz w:val="22"/>
          <w:szCs w:val="22"/>
        </w:rPr>
      </w:pPr>
    </w:p>
    <w:p w:rsidR="006224C2" w:rsidRPr="00295E71" w14:paraId="2BC1AD9B" w14:textId="77777777">
      <w:pPr>
        <w:tabs>
          <w:tab w:val="left" w:pos="567"/>
        </w:tabs>
        <w:jc w:val="both"/>
        <w:rPr>
          <w:sz w:val="22"/>
          <w:szCs w:val="22"/>
          <w:u w:val="single"/>
        </w:rPr>
      </w:pPr>
      <w:r w:rsidRPr="00295E71">
        <w:rPr>
          <w:sz w:val="22"/>
          <w:szCs w:val="22"/>
          <w:u w:val="single"/>
        </w:rPr>
        <w:t>Popolazione pediatrica</w:t>
      </w:r>
    </w:p>
    <w:p w:rsidR="006224C2" w:rsidRPr="00295E71" w14:paraId="402DD2A0" w14:textId="77777777">
      <w:pPr>
        <w:tabs>
          <w:tab w:val="left" w:pos="567"/>
        </w:tabs>
        <w:jc w:val="both"/>
        <w:rPr>
          <w:sz w:val="22"/>
          <w:szCs w:val="22"/>
        </w:rPr>
      </w:pPr>
    </w:p>
    <w:p w:rsidR="006224C2" w14:paraId="38F60A42" w14:textId="77777777">
      <w:pPr>
        <w:tabs>
          <w:tab w:val="left" w:pos="567"/>
        </w:tabs>
        <w:jc w:val="both"/>
        <w:rPr>
          <w:ins w:id="13111" w:author="AbbVie14" w:date="2025-05-09T10:43:00Z"/>
          <w:sz w:val="22"/>
          <w:szCs w:val="22"/>
        </w:rPr>
      </w:pPr>
      <w:r w:rsidRPr="00295E71">
        <w:rPr>
          <w:sz w:val="22"/>
          <w:szCs w:val="22"/>
        </w:rPr>
        <w:t>Vedere Vaccinazioni sopra.</w:t>
      </w:r>
    </w:p>
    <w:p w:rsidR="00872D1F" w14:paraId="51F4606A" w14:textId="77777777">
      <w:pPr>
        <w:tabs>
          <w:tab w:val="left" w:pos="567"/>
        </w:tabs>
        <w:jc w:val="both"/>
        <w:rPr>
          <w:ins w:id="13112" w:author="AbbVie14" w:date="2025-05-09T10:43:00Z"/>
          <w:sz w:val="22"/>
          <w:szCs w:val="22"/>
        </w:rPr>
      </w:pPr>
    </w:p>
    <w:p w:rsidR="00872D1F" w:rsidRPr="00EA3836" w:rsidP="00872D1F" w14:paraId="2723A591" w14:textId="77777777">
      <w:pPr>
        <w:tabs>
          <w:tab w:val="left" w:pos="567"/>
        </w:tabs>
        <w:autoSpaceDE w:val="0"/>
        <w:autoSpaceDN w:val="0"/>
        <w:adjustRightInd w:val="0"/>
        <w:jc w:val="both"/>
        <w:rPr>
          <w:ins w:id="13113" w:author="AbbVie14" w:date="2025-05-09T10:43:00Z"/>
          <w:color w:val="000000"/>
          <w:sz w:val="22"/>
          <w:szCs w:val="22"/>
          <w:u w:val="single"/>
          <w:rPrChange w:id="13114" w:author="AbbVie14" w:date="2025-05-15T08:35:00Z">
            <w:rPr>
              <w:color w:val="000000"/>
              <w:sz w:val="22"/>
              <w:szCs w:val="22"/>
            </w:rPr>
          </w:rPrChange>
        </w:rPr>
      </w:pPr>
      <w:ins w:id="13115" w:author="AbbVie14" w:date="2025-05-09T10:43:00Z">
        <w:r w:rsidRPr="00EA3836">
          <w:rPr>
            <w:color w:val="000000"/>
            <w:sz w:val="22"/>
            <w:szCs w:val="22"/>
            <w:highlight w:val="none"/>
            <w:u w:val="single"/>
            <w:rPrChange w:id="13116" w:author="AbbVie14" w:date="2025-05-15T08:35:00Z">
              <w:rPr>
                <w:color w:val="000000"/>
                <w:sz w:val="22"/>
                <w:szCs w:val="22"/>
                <w:highlight w:val="yellow"/>
              </w:rPr>
            </w:rPrChange>
          </w:rPr>
          <w:t>Eccipienti con effett</w:t>
        </w:r>
      </w:ins>
      <w:ins w:id="13117" w:author="AbbVie14" w:date="2025-05-13T14:38:00Z">
        <w:r w:rsidRPr="00EA3836" w:rsidR="006B7DEC">
          <w:rPr>
            <w:color w:val="000000"/>
            <w:sz w:val="22"/>
            <w:szCs w:val="22"/>
            <w:u w:val="single"/>
            <w:rPrChange w:id="13118" w:author="AbbVie14" w:date="2025-05-15T08:35:00Z">
              <w:rPr>
                <w:color w:val="000000"/>
                <w:sz w:val="22"/>
                <w:szCs w:val="22"/>
              </w:rPr>
            </w:rPrChange>
          </w:rPr>
          <w:t>i</w:t>
        </w:r>
      </w:ins>
      <w:ins w:id="13119" w:author="AbbVie14" w:date="2025-05-09T10:43:00Z">
        <w:r w:rsidRPr="00EA3836">
          <w:rPr>
            <w:color w:val="000000"/>
            <w:sz w:val="22"/>
            <w:szCs w:val="22"/>
            <w:highlight w:val="none"/>
            <w:u w:val="single"/>
            <w:rPrChange w:id="13120" w:author="AbbVie14" w:date="2025-05-15T08:35:00Z">
              <w:rPr>
                <w:color w:val="000000"/>
                <w:sz w:val="22"/>
                <w:szCs w:val="22"/>
                <w:highlight w:val="yellow"/>
              </w:rPr>
            </w:rPrChange>
          </w:rPr>
          <w:t xml:space="preserve"> not</w:t>
        </w:r>
      </w:ins>
      <w:ins w:id="13121" w:author="AbbVie14" w:date="2025-05-13T14:38:00Z">
        <w:r w:rsidRPr="00EA3836" w:rsidR="006B7DEC">
          <w:rPr>
            <w:color w:val="000000"/>
            <w:sz w:val="22"/>
            <w:szCs w:val="22"/>
            <w:u w:val="single"/>
            <w:rPrChange w:id="13122" w:author="AbbVie14" w:date="2025-05-15T08:35:00Z">
              <w:rPr>
                <w:color w:val="000000"/>
                <w:sz w:val="22"/>
                <w:szCs w:val="22"/>
              </w:rPr>
            </w:rPrChange>
          </w:rPr>
          <w:t>i</w:t>
        </w:r>
      </w:ins>
    </w:p>
    <w:p w:rsidR="00872D1F" w:rsidRPr="00BE2419" w:rsidP="00872D1F" w14:paraId="1D936419" w14:textId="77777777">
      <w:pPr>
        <w:tabs>
          <w:tab w:val="left" w:pos="567"/>
        </w:tabs>
        <w:autoSpaceDE w:val="0"/>
        <w:autoSpaceDN w:val="0"/>
        <w:adjustRightInd w:val="0"/>
        <w:jc w:val="both"/>
        <w:rPr>
          <w:ins w:id="13123" w:author="AbbVie14" w:date="2025-05-09T10:43:00Z"/>
          <w:color w:val="000000"/>
          <w:sz w:val="22"/>
          <w:szCs w:val="22"/>
        </w:rPr>
      </w:pPr>
    </w:p>
    <w:p w:rsidR="00872D1F" w:rsidRPr="00295E71" w14:paraId="0B0A5A48" w14:textId="5AF73811">
      <w:pPr>
        <w:tabs>
          <w:tab w:val="left" w:pos="567"/>
        </w:tabs>
        <w:autoSpaceDE w:val="0"/>
        <w:autoSpaceDN w:val="0"/>
        <w:adjustRightInd w:val="0"/>
        <w:jc w:val="both"/>
        <w:pPrChange w:id="13124" w:author="AbbVie14" w:date="2025-09-08T09:15:00Z">
          <w:pPr>
            <w:tabs>
              <w:tab w:val="left" w:pos="567"/>
            </w:tabs>
            <w:jc w:val="both"/>
          </w:pPr>
        </w:pPrChange>
        <w:rPr>
          <w:sz w:val="22"/>
          <w:szCs w:val="22"/>
        </w:rPr>
      </w:pPr>
      <w:ins w:id="13125" w:author="AbbVie14" w:date="2025-05-09T10:43:00Z">
        <w:r w:rsidRPr="00BE2419">
          <w:rPr>
            <w:color w:val="000000"/>
            <w:sz w:val="22"/>
            <w:szCs w:val="22"/>
            <w:highlight w:val="none"/>
            <w:rPrChange w:id="13126" w:author="AbbVie14" w:date="2025-05-09T11:39:00Z">
              <w:rPr>
                <w:color w:val="000000"/>
                <w:sz w:val="22"/>
                <w:szCs w:val="22"/>
                <w:highlight w:val="yellow"/>
              </w:rPr>
            </w:rPrChange>
          </w:rPr>
          <w:t xml:space="preserve">Questo medicinale contiene 0,4 mg di polisorbato 80 per ogni dose </w:t>
        </w:r>
      </w:ins>
      <w:ins w:id="13127" w:author="AbbVie14" w:date="2025-05-09T11:39:00Z">
        <w:r w:rsidR="00BE2419">
          <w:rPr>
            <w:color w:val="000000"/>
            <w:sz w:val="22"/>
            <w:szCs w:val="22"/>
          </w:rPr>
          <w:t>d</w:t>
        </w:r>
      </w:ins>
      <w:ins w:id="13128" w:author="AbbVie14" w:date="2025-05-09T10:43:00Z">
        <w:r w:rsidRPr="00BE2419">
          <w:rPr>
            <w:color w:val="000000"/>
            <w:sz w:val="22"/>
            <w:szCs w:val="22"/>
            <w:highlight w:val="none"/>
            <w:rPrChange w:id="13129" w:author="AbbVie14" w:date="2025-05-09T11:39:00Z">
              <w:rPr>
                <w:color w:val="000000"/>
                <w:sz w:val="22"/>
                <w:szCs w:val="22"/>
                <w:highlight w:val="yellow"/>
              </w:rPr>
            </w:rPrChange>
          </w:rPr>
          <w:t xml:space="preserve">a </w:t>
        </w:r>
      </w:ins>
      <w:ins w:id="13130" w:author="AbbVie14" w:date="2025-05-09T10:44:00Z">
        <w:r w:rsidRPr="00BE2419">
          <w:rPr>
            <w:color w:val="000000"/>
            <w:sz w:val="22"/>
            <w:szCs w:val="22"/>
            <w:highlight w:val="none"/>
            <w:rPrChange w:id="13131" w:author="AbbVie14" w:date="2025-05-09T11:39:00Z">
              <w:rPr>
                <w:color w:val="000000"/>
                <w:sz w:val="22"/>
                <w:szCs w:val="22"/>
                <w:highlight w:val="yellow"/>
              </w:rPr>
            </w:rPrChange>
          </w:rPr>
          <w:t>4</w:t>
        </w:r>
      </w:ins>
      <w:ins w:id="13132" w:author="AbbVie14" w:date="2025-05-09T10:43:00Z">
        <w:r w:rsidRPr="00BE2419">
          <w:rPr>
            <w:color w:val="000000"/>
            <w:sz w:val="22"/>
            <w:szCs w:val="22"/>
            <w:highlight w:val="none"/>
            <w:rPrChange w:id="13133" w:author="AbbVie14" w:date="2025-05-09T11:39:00Z">
              <w:rPr>
                <w:color w:val="000000"/>
                <w:sz w:val="22"/>
                <w:szCs w:val="22"/>
                <w:highlight w:val="yellow"/>
              </w:rPr>
            </w:rPrChange>
          </w:rPr>
          <w:t>0 mg.</w:t>
        </w:r>
      </w:ins>
      <w:ins w:id="13134" w:author="AbbVie14" w:date="2025-09-08T09:15:00Z">
        <w:r w:rsidR="00E6608E">
          <w:rPr>
            <w:color w:val="000000"/>
            <w:sz w:val="22"/>
            <w:szCs w:val="22"/>
          </w:rPr>
          <w:t xml:space="preserve"> </w:t>
        </w:r>
      </w:ins>
      <w:ins w:id="13135" w:author="AbbVie14" w:date="2025-09-08T09:15:00Z">
        <w:r w:rsidRPr="00E6608E" w:rsidR="00E6608E">
          <w:rPr>
            <w:color w:val="000000"/>
            <w:sz w:val="22"/>
            <w:szCs w:val="22"/>
          </w:rPr>
          <w:t>I polisorbati possono provocare reazioni allergiche.</w:t>
        </w:r>
      </w:ins>
    </w:p>
    <w:p w:rsidR="006224C2" w:rsidRPr="00295E71" w14:paraId="27363CBF" w14:textId="77777777">
      <w:pPr>
        <w:tabs>
          <w:tab w:val="left" w:pos="567"/>
        </w:tabs>
        <w:jc w:val="both"/>
        <w:rPr>
          <w:sz w:val="22"/>
          <w:szCs w:val="22"/>
        </w:rPr>
      </w:pPr>
    </w:p>
    <w:p w:rsidR="006224C2" w:rsidRPr="00295E71" w:rsidP="00612824" w14:paraId="66C534E4" w14:textId="77777777">
      <w:pPr>
        <w:keepNext/>
        <w:tabs>
          <w:tab w:val="left" w:pos="567"/>
        </w:tabs>
        <w:autoSpaceDE w:val="0"/>
        <w:autoSpaceDN w:val="0"/>
        <w:adjustRightInd w:val="0"/>
        <w:jc w:val="both"/>
        <w:rPr>
          <w:b/>
          <w:bCs/>
          <w:sz w:val="22"/>
          <w:szCs w:val="22"/>
        </w:rPr>
      </w:pPr>
      <w:r w:rsidRPr="00295E71">
        <w:rPr>
          <w:b/>
          <w:bCs/>
          <w:color w:val="000000"/>
          <w:sz w:val="22"/>
          <w:szCs w:val="22"/>
        </w:rPr>
        <w:t>4.5</w:t>
      </w:r>
      <w:r w:rsidRPr="00295E71">
        <w:rPr>
          <w:b/>
          <w:bCs/>
          <w:color w:val="000000"/>
          <w:sz w:val="22"/>
          <w:szCs w:val="22"/>
        </w:rPr>
        <w:tab/>
      </w:r>
      <w:r w:rsidRPr="00295E71">
        <w:rPr>
          <w:b/>
          <w:bCs/>
          <w:sz w:val="22"/>
          <w:szCs w:val="22"/>
        </w:rPr>
        <w:t xml:space="preserve">Interazioni con altri medicinali ed altre forme d’interazione </w:t>
      </w:r>
    </w:p>
    <w:p w:rsidR="006224C2" w:rsidRPr="00295E71" w:rsidP="00612824" w14:paraId="368AEFF0" w14:textId="77777777">
      <w:pPr>
        <w:pStyle w:val="EndnoteText"/>
        <w:keepNext/>
        <w:jc w:val="both"/>
        <w:rPr>
          <w:lang w:val="it-IT"/>
        </w:rPr>
      </w:pPr>
    </w:p>
    <w:p w:rsidR="006224C2" w:rsidRPr="00295E71" w14:paraId="0B238D40" w14:textId="77777777">
      <w:pPr>
        <w:tabs>
          <w:tab w:val="left" w:pos="567"/>
        </w:tabs>
        <w:autoSpaceDE w:val="0"/>
        <w:autoSpaceDN w:val="0"/>
        <w:adjustRightInd w:val="0"/>
        <w:jc w:val="both"/>
        <w:rPr>
          <w:color w:val="000000"/>
          <w:sz w:val="22"/>
          <w:szCs w:val="22"/>
        </w:rPr>
      </w:pPr>
      <w:r w:rsidRPr="00295E71">
        <w:rPr>
          <w:color w:val="000000"/>
          <w:sz w:val="22"/>
          <w:szCs w:val="22"/>
        </w:rPr>
        <w:t>La terapia con Humira è stata studiata in monoterapia e in combinazione con metotressato in pazienti affetti da artrite reumatoide, artrite idiopatica giovanile poliarticolare e artrite psoriasica. Quando Humira è stato somministrato in combinazione con metotressato la formazione di anticorpi è stata inferiore rispetto alla monoterapia. La somministrazione di Humira senza il metotressato ha determinato un aumento della formazione di anticorpi, un aumento della clearance ed una riduzione dell’efficacia di adalimumab (vedere paragrafo 5.1).</w:t>
      </w:r>
    </w:p>
    <w:p w:rsidR="006224C2" w:rsidRPr="00295E71" w14:paraId="6DEE9987" w14:textId="77777777">
      <w:pPr>
        <w:tabs>
          <w:tab w:val="left" w:pos="567"/>
        </w:tabs>
        <w:autoSpaceDE w:val="0"/>
        <w:autoSpaceDN w:val="0"/>
        <w:adjustRightInd w:val="0"/>
        <w:jc w:val="both"/>
        <w:rPr>
          <w:color w:val="000000"/>
          <w:sz w:val="22"/>
          <w:szCs w:val="22"/>
        </w:rPr>
      </w:pPr>
    </w:p>
    <w:p w:rsidR="006224C2" w:rsidRPr="00295E71" w14:paraId="7584C29B" w14:textId="77777777">
      <w:pPr>
        <w:tabs>
          <w:tab w:val="left" w:pos="567"/>
        </w:tabs>
        <w:autoSpaceDE w:val="0"/>
        <w:autoSpaceDN w:val="0"/>
        <w:adjustRightInd w:val="0"/>
        <w:jc w:val="both"/>
        <w:rPr>
          <w:color w:val="000000"/>
          <w:sz w:val="22"/>
          <w:szCs w:val="22"/>
        </w:rPr>
      </w:pPr>
      <w:r w:rsidRPr="00295E71">
        <w:rPr>
          <w:color w:val="000000"/>
          <w:sz w:val="22"/>
          <w:szCs w:val="22"/>
        </w:rPr>
        <w:t>La combinazione di Humira e anakinra non è raccomandata (vedere paragrafo 4.4 “Somministrazione concomitante di DMARD biologici o antagonisti del TNF”).</w:t>
      </w:r>
    </w:p>
    <w:p w:rsidR="006224C2" w:rsidRPr="00295E71" w14:paraId="012AAA2D" w14:textId="77777777">
      <w:pPr>
        <w:tabs>
          <w:tab w:val="left" w:pos="567"/>
        </w:tabs>
        <w:autoSpaceDE w:val="0"/>
        <w:autoSpaceDN w:val="0"/>
        <w:adjustRightInd w:val="0"/>
        <w:jc w:val="both"/>
        <w:rPr>
          <w:color w:val="000000"/>
          <w:sz w:val="22"/>
          <w:szCs w:val="22"/>
        </w:rPr>
      </w:pPr>
    </w:p>
    <w:p w:rsidR="006224C2" w:rsidRPr="00295E71" w14:paraId="5CCF292F"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La combinazione di Humira e abatacept non è raccomandata (vedere paragrafo 4.4 “Somministrazione concomitante di DMARD biologici o antagonisti del TNF”).</w:t>
      </w:r>
    </w:p>
    <w:p w:rsidR="006224C2" w:rsidRPr="00295E71" w14:paraId="126BC9B1" w14:textId="77777777">
      <w:pPr>
        <w:keepNext/>
        <w:keepLines/>
        <w:tabs>
          <w:tab w:val="left" w:pos="567"/>
        </w:tabs>
        <w:autoSpaceDE w:val="0"/>
        <w:autoSpaceDN w:val="0"/>
        <w:adjustRightInd w:val="0"/>
        <w:jc w:val="both"/>
        <w:rPr>
          <w:color w:val="000000"/>
          <w:sz w:val="22"/>
          <w:szCs w:val="22"/>
        </w:rPr>
      </w:pPr>
    </w:p>
    <w:p w:rsidR="006224C2" w:rsidRPr="00295E71" w14:paraId="4C255388" w14:textId="77777777">
      <w:pPr>
        <w:keepNext/>
        <w:keepLines/>
        <w:numPr>
          <w:ilvl w:val="1"/>
          <w:numId w:val="62"/>
        </w:numPr>
        <w:autoSpaceDE w:val="0"/>
        <w:autoSpaceDN w:val="0"/>
        <w:adjustRightInd w:val="0"/>
        <w:jc w:val="both"/>
        <w:rPr>
          <w:b/>
          <w:bCs/>
          <w:sz w:val="22"/>
          <w:szCs w:val="22"/>
        </w:rPr>
      </w:pPr>
      <w:r w:rsidRPr="00295E71">
        <w:rPr>
          <w:b/>
          <w:bCs/>
          <w:sz w:val="22"/>
          <w:szCs w:val="22"/>
        </w:rPr>
        <w:t>Fertilità, gravidanza e allattamento</w:t>
      </w:r>
    </w:p>
    <w:p w:rsidR="006224C2" w:rsidRPr="00295E71" w14:paraId="4F026624" w14:textId="77777777">
      <w:pPr>
        <w:tabs>
          <w:tab w:val="left" w:pos="567"/>
        </w:tabs>
        <w:autoSpaceDE w:val="0"/>
        <w:autoSpaceDN w:val="0"/>
        <w:adjustRightInd w:val="0"/>
        <w:jc w:val="both"/>
        <w:rPr>
          <w:color w:val="000000"/>
          <w:sz w:val="22"/>
          <w:szCs w:val="22"/>
        </w:rPr>
      </w:pPr>
    </w:p>
    <w:p w:rsidR="006224C2" w:rsidRPr="00295E71" w14:paraId="2A1555D6" w14:textId="77777777">
      <w:pPr>
        <w:keepNext/>
        <w:tabs>
          <w:tab w:val="left" w:pos="567"/>
        </w:tabs>
        <w:jc w:val="both"/>
        <w:rPr>
          <w:sz w:val="22"/>
          <w:szCs w:val="22"/>
          <w:u w:val="single"/>
        </w:rPr>
      </w:pPr>
      <w:r w:rsidRPr="00295E71">
        <w:rPr>
          <w:sz w:val="22"/>
          <w:szCs w:val="22"/>
          <w:u w:val="single"/>
        </w:rPr>
        <w:t>Donne in età fertile</w:t>
      </w:r>
    </w:p>
    <w:p w:rsidR="006224C2" w:rsidRPr="00295E71" w14:paraId="0F8AB5A8" w14:textId="77777777">
      <w:pPr>
        <w:keepNext/>
        <w:tabs>
          <w:tab w:val="left" w:pos="567"/>
        </w:tabs>
        <w:jc w:val="both"/>
        <w:rPr>
          <w:sz w:val="22"/>
          <w:szCs w:val="22"/>
          <w:u w:val="single"/>
        </w:rPr>
      </w:pPr>
    </w:p>
    <w:p w:rsidR="006224C2" w:rsidRPr="00295E71" w14:paraId="5767A960" w14:textId="77777777">
      <w:pPr>
        <w:keepNext/>
        <w:tabs>
          <w:tab w:val="left" w:pos="567"/>
        </w:tabs>
        <w:jc w:val="both"/>
        <w:rPr>
          <w:sz w:val="22"/>
          <w:szCs w:val="22"/>
        </w:rPr>
      </w:pPr>
      <w:r w:rsidRPr="00295E71">
        <w:rPr>
          <w:sz w:val="22"/>
          <w:szCs w:val="22"/>
        </w:rPr>
        <w:t xml:space="preserve">Le donne in età fertile devono </w:t>
      </w:r>
      <w:r w:rsidRPr="00941B5E" w:rsidR="00941B5E">
        <w:rPr>
          <w:sz w:val="22"/>
          <w:szCs w:val="22"/>
        </w:rPr>
        <w:t>considerare l’utilizzo di</w:t>
      </w:r>
      <w:r w:rsidRPr="00295E71">
        <w:rPr>
          <w:sz w:val="22"/>
          <w:szCs w:val="22"/>
        </w:rPr>
        <w:t xml:space="preserve"> un adeguato metodo contraccettivo per prevenire una gravidanza e l’uso di tale metodo deve proseguire per almeno cinque mesi dopo l’ultimo trattamento</w:t>
      </w:r>
      <w:r w:rsidRPr="00295E71" w:rsidR="001B385A">
        <w:rPr>
          <w:sz w:val="22"/>
          <w:szCs w:val="22"/>
        </w:rPr>
        <w:t xml:space="preserve"> </w:t>
      </w:r>
      <w:r w:rsidRPr="00295E71">
        <w:rPr>
          <w:sz w:val="22"/>
          <w:szCs w:val="22"/>
        </w:rPr>
        <w:t>con Humira.</w:t>
      </w:r>
    </w:p>
    <w:p w:rsidR="006224C2" w:rsidRPr="00295E71" w14:paraId="3ED99C52" w14:textId="77777777">
      <w:pPr>
        <w:tabs>
          <w:tab w:val="left" w:pos="567"/>
        </w:tabs>
        <w:jc w:val="both"/>
        <w:rPr>
          <w:sz w:val="22"/>
          <w:szCs w:val="22"/>
        </w:rPr>
      </w:pPr>
    </w:p>
    <w:p w:rsidR="006224C2" w:rsidRPr="00295E71" w14:paraId="3D4EC477" w14:textId="77777777">
      <w:pPr>
        <w:tabs>
          <w:tab w:val="left" w:pos="567"/>
        </w:tabs>
        <w:autoSpaceDE w:val="0"/>
        <w:autoSpaceDN w:val="0"/>
        <w:adjustRightInd w:val="0"/>
        <w:jc w:val="both"/>
        <w:rPr>
          <w:sz w:val="22"/>
          <w:szCs w:val="22"/>
          <w:u w:val="single"/>
        </w:rPr>
      </w:pPr>
      <w:r w:rsidRPr="00295E71">
        <w:rPr>
          <w:sz w:val="22"/>
          <w:szCs w:val="22"/>
          <w:u w:val="single"/>
        </w:rPr>
        <w:t>Gravidanza</w:t>
      </w:r>
    </w:p>
    <w:p w:rsidR="006224C2" w:rsidRPr="00295E71" w14:paraId="11D3D86F" w14:textId="77777777">
      <w:pPr>
        <w:tabs>
          <w:tab w:val="left" w:pos="567"/>
        </w:tabs>
        <w:autoSpaceDE w:val="0"/>
        <w:autoSpaceDN w:val="0"/>
        <w:adjustRightInd w:val="0"/>
        <w:jc w:val="both"/>
        <w:rPr>
          <w:sz w:val="22"/>
          <w:szCs w:val="22"/>
        </w:rPr>
      </w:pPr>
    </w:p>
    <w:p w:rsidR="00975079" w:rsidP="00975079" w14:paraId="0722CD94" w14:textId="77777777">
      <w:pPr>
        <w:tabs>
          <w:tab w:val="left" w:pos="567"/>
        </w:tabs>
        <w:autoSpaceDE w:val="0"/>
        <w:autoSpaceDN w:val="0"/>
        <w:adjustRightInd w:val="0"/>
        <w:jc w:val="both"/>
        <w:rPr>
          <w:sz w:val="22"/>
          <w:szCs w:val="22"/>
        </w:rPr>
      </w:pPr>
      <w:r>
        <w:rPr>
          <w:sz w:val="22"/>
          <w:szCs w:val="22"/>
        </w:rPr>
        <w:t xml:space="preserve">Un numero elevato (circa 2100) di gravidanze esposte ad adalimumab, </w:t>
      </w:r>
      <w:r w:rsidRPr="003F31B0">
        <w:rPr>
          <w:sz w:val="22"/>
          <w:szCs w:val="22"/>
        </w:rPr>
        <w:t>raccolte</w:t>
      </w:r>
      <w:r>
        <w:rPr>
          <w:sz w:val="22"/>
          <w:szCs w:val="22"/>
        </w:rPr>
        <w:t xml:space="preserve"> in modo prospettico, </w:t>
      </w:r>
      <w:r w:rsidRPr="003F31B0">
        <w:rPr>
          <w:sz w:val="22"/>
          <w:szCs w:val="22"/>
        </w:rPr>
        <w:t xml:space="preserve">che hanno portato </w:t>
      </w:r>
      <w:r w:rsidRPr="00F7229B">
        <w:rPr>
          <w:sz w:val="22"/>
          <w:szCs w:val="22"/>
        </w:rPr>
        <w:t>a nati</w:t>
      </w:r>
      <w:r>
        <w:rPr>
          <w:sz w:val="22"/>
          <w:szCs w:val="22"/>
        </w:rPr>
        <w:t xml:space="preserve"> </w:t>
      </w:r>
      <w:r w:rsidRPr="00400881">
        <w:rPr>
          <w:sz w:val="22"/>
          <w:szCs w:val="22"/>
        </w:rPr>
        <w:t xml:space="preserve">vivi </w:t>
      </w:r>
      <w:r w:rsidRPr="003F31B0">
        <w:rPr>
          <w:sz w:val="22"/>
          <w:szCs w:val="22"/>
        </w:rPr>
        <w:t>con esiti noti</w:t>
      </w:r>
      <w:r>
        <w:rPr>
          <w:sz w:val="22"/>
          <w:szCs w:val="22"/>
        </w:rPr>
        <w:t xml:space="preserve"> e che includevano più di 1500 gravidanze esposte durante il primo trimestre, non ha indicato un aumento del tasso di malformazione nel neonato.</w:t>
      </w:r>
    </w:p>
    <w:p w:rsidR="00975079" w:rsidRPr="00295E71" w:rsidP="00975079" w14:paraId="5D356388" w14:textId="77777777">
      <w:pPr>
        <w:tabs>
          <w:tab w:val="left" w:pos="567"/>
        </w:tabs>
        <w:autoSpaceDE w:val="0"/>
        <w:autoSpaceDN w:val="0"/>
        <w:adjustRightInd w:val="0"/>
        <w:jc w:val="both"/>
        <w:rPr>
          <w:sz w:val="22"/>
          <w:szCs w:val="22"/>
        </w:rPr>
      </w:pPr>
      <w:r>
        <w:rPr>
          <w:sz w:val="22"/>
          <w:szCs w:val="22"/>
        </w:rPr>
        <w:t xml:space="preserve">   </w:t>
      </w:r>
    </w:p>
    <w:p w:rsidR="006224C2" w14:paraId="64383E28" w14:textId="77777777">
      <w:pPr>
        <w:tabs>
          <w:tab w:val="left" w:pos="567"/>
        </w:tabs>
        <w:autoSpaceDE w:val="0"/>
        <w:autoSpaceDN w:val="0"/>
        <w:adjustRightInd w:val="0"/>
        <w:jc w:val="both"/>
        <w:rPr>
          <w:color w:val="000000"/>
          <w:sz w:val="22"/>
          <w:szCs w:val="22"/>
        </w:rPr>
      </w:pPr>
      <w:r>
        <w:rPr>
          <w:color w:val="000000"/>
          <w:sz w:val="22"/>
          <w:szCs w:val="22"/>
        </w:rPr>
        <w:t xml:space="preserve">In </w:t>
      </w:r>
      <w:r w:rsidRPr="00C1727B">
        <w:rPr>
          <w:color w:val="000000"/>
          <w:sz w:val="22"/>
          <w:szCs w:val="22"/>
        </w:rPr>
        <w:t xml:space="preserve">un registro </w:t>
      </w:r>
      <w:r>
        <w:rPr>
          <w:color w:val="000000"/>
          <w:sz w:val="22"/>
          <w:szCs w:val="22"/>
        </w:rPr>
        <w:t xml:space="preserve">di coorte </w:t>
      </w:r>
      <w:r w:rsidRPr="00C1727B">
        <w:rPr>
          <w:color w:val="000000"/>
          <w:sz w:val="22"/>
          <w:szCs w:val="22"/>
        </w:rPr>
        <w:t>prospettico,</w:t>
      </w:r>
      <w:r>
        <w:rPr>
          <w:color w:val="000000"/>
          <w:sz w:val="22"/>
          <w:szCs w:val="22"/>
        </w:rPr>
        <w:t xml:space="preserve"> sono state arruolate 257 donne con artrite reumatoide (AR) o malattia di Crohn (MC) trattate con adalimumab almeno durante il primo trimestre di gravidanza e 120 donne con AR o MC non trattate con adalimumab. L’endpoint primario è stato la prevalenza di gravi difetti alla nascita. Il tasso delle gravidanze che si sono concluse con la nascita di almeno un neonato vivo con un grave difetto alla nascita è stato 6/69 (8,7%) nelle donne con AR trattate con adalimumab e 5/74 (6,8%) nelle donne con AR non trattate (</w:t>
      </w:r>
      <w:r w:rsidRPr="00400881">
        <w:rPr>
          <w:color w:val="000000"/>
          <w:sz w:val="22"/>
          <w:szCs w:val="22"/>
        </w:rPr>
        <w:t xml:space="preserve">OR </w:t>
      </w:r>
      <w:r w:rsidRPr="004C4F83">
        <w:t>non aggiustato</w:t>
      </w:r>
      <w:r>
        <w:t xml:space="preserve"> </w:t>
      </w:r>
      <w:r>
        <w:rPr>
          <w:color w:val="000000"/>
          <w:sz w:val="22"/>
          <w:szCs w:val="22"/>
        </w:rPr>
        <w:t>1,31; 95% IC 0,38-4,52) e 16/152 (10,5%) nelle donne con MC trattate con adalimumab e 3/32 (9,4%) nelle donne con MC non trattate (</w:t>
      </w:r>
      <w:r w:rsidRPr="00400881">
        <w:rPr>
          <w:color w:val="000000"/>
          <w:sz w:val="22"/>
          <w:szCs w:val="22"/>
        </w:rPr>
        <w:t xml:space="preserve">OR </w:t>
      </w:r>
      <w:r w:rsidRPr="004C4F83">
        <w:t xml:space="preserve">non </w:t>
      </w:r>
      <w:r w:rsidRPr="004C4F83">
        <w:t>aggiustato</w:t>
      </w:r>
      <w:r>
        <w:t xml:space="preserve"> </w:t>
      </w:r>
      <w:r>
        <w:rPr>
          <w:color w:val="000000"/>
          <w:sz w:val="22"/>
          <w:szCs w:val="22"/>
        </w:rPr>
        <w:t xml:space="preserve">1,14, 95% IC 0,31-4,16). </w:t>
      </w:r>
      <w:r w:rsidRPr="00400881">
        <w:rPr>
          <w:color w:val="000000"/>
          <w:sz w:val="22"/>
          <w:szCs w:val="22"/>
        </w:rPr>
        <w:t xml:space="preserve">L’OR </w:t>
      </w:r>
      <w:r>
        <w:rPr>
          <w:color w:val="000000"/>
          <w:sz w:val="22"/>
          <w:szCs w:val="22"/>
        </w:rPr>
        <w:t xml:space="preserve">aggiustato (che considera le differenze rispetto al baseline) era 1,10 (95% IC 0,45-2,73) per AR e MC combinate. Tra le donne trattate con adalimumab e quelle non trattate </w:t>
      </w:r>
      <w:r w:rsidRPr="008C57BD">
        <w:rPr>
          <w:color w:val="000000"/>
          <w:sz w:val="22"/>
          <w:szCs w:val="22"/>
        </w:rPr>
        <w:t>non ci sono state evidenti differenze</w:t>
      </w:r>
      <w:r>
        <w:rPr>
          <w:color w:val="000000"/>
          <w:sz w:val="22"/>
          <w:szCs w:val="22"/>
        </w:rPr>
        <w:t xml:space="preserve"> negli endpoint secondari come aborti spontanei, difetti minori alla nascita, parto pretermine, dimensione del neonato e infezioni gravi o opportunistiche e non sono stati riportati casi di nati morti o tumori maligni. L’interpretazione dei dati può essere influenzata dalle limitazioni metodologiche dello studio, compresi la piccola dimensione del campione e il disegno non randomizzato.</w:t>
      </w:r>
    </w:p>
    <w:p w:rsidR="00BD0F8D" w:rsidRPr="00295E71" w14:paraId="5CB577FF" w14:textId="77777777">
      <w:pPr>
        <w:tabs>
          <w:tab w:val="left" w:pos="567"/>
        </w:tabs>
        <w:autoSpaceDE w:val="0"/>
        <w:autoSpaceDN w:val="0"/>
        <w:adjustRightInd w:val="0"/>
        <w:jc w:val="both"/>
        <w:rPr>
          <w:color w:val="000000"/>
          <w:sz w:val="22"/>
          <w:szCs w:val="22"/>
        </w:rPr>
      </w:pPr>
    </w:p>
    <w:p w:rsidR="006224C2" w:rsidRPr="00295E71" w14:paraId="38C947F4" w14:textId="77777777">
      <w:pPr>
        <w:tabs>
          <w:tab w:val="left" w:pos="567"/>
        </w:tabs>
        <w:autoSpaceDE w:val="0"/>
        <w:autoSpaceDN w:val="0"/>
        <w:adjustRightInd w:val="0"/>
        <w:jc w:val="both"/>
        <w:rPr>
          <w:color w:val="000000"/>
          <w:sz w:val="22"/>
          <w:szCs w:val="22"/>
        </w:rPr>
      </w:pPr>
      <w:r w:rsidRPr="00295E71">
        <w:rPr>
          <w:color w:val="000000"/>
          <w:sz w:val="22"/>
          <w:szCs w:val="22"/>
        </w:rPr>
        <w:t>In uno studio di tossicologia dello sviluppo condotto su scimmie, non è stata riscontrata tossicità nella madre, nè embriotossicità o teratogenicità. Non sono disponibili dati preclinici sulla tossicità postnatale di adalimumab (vedere paragrafo 5.3).</w:t>
      </w:r>
    </w:p>
    <w:p w:rsidR="006224C2" w:rsidRPr="00295E71" w14:paraId="1CDA3F13" w14:textId="77777777">
      <w:pPr>
        <w:tabs>
          <w:tab w:val="left" w:pos="567"/>
        </w:tabs>
        <w:autoSpaceDE w:val="0"/>
        <w:autoSpaceDN w:val="0"/>
        <w:adjustRightInd w:val="0"/>
        <w:jc w:val="both"/>
        <w:rPr>
          <w:color w:val="000000"/>
          <w:sz w:val="22"/>
          <w:szCs w:val="22"/>
        </w:rPr>
      </w:pPr>
    </w:p>
    <w:p w:rsidR="006224C2" w:rsidRPr="00295E71" w14:paraId="7BB270CC" w14:textId="77777777">
      <w:pPr>
        <w:tabs>
          <w:tab w:val="left" w:pos="567"/>
        </w:tabs>
        <w:autoSpaceDE w:val="0"/>
        <w:autoSpaceDN w:val="0"/>
        <w:adjustRightInd w:val="0"/>
        <w:jc w:val="both"/>
        <w:rPr>
          <w:color w:val="000000"/>
          <w:sz w:val="22"/>
          <w:szCs w:val="22"/>
        </w:rPr>
      </w:pPr>
      <w:r w:rsidRPr="00295E71">
        <w:rPr>
          <w:color w:val="000000"/>
          <w:sz w:val="22"/>
          <w:szCs w:val="22"/>
        </w:rPr>
        <w:t>A causa dell’inibizione del TNF</w:t>
      </w:r>
      <w:r w:rsidRPr="00295E71">
        <w:rPr>
          <w:rFonts w:ascii="Symbol" w:hAnsi="Symbol"/>
          <w:color w:val="000000"/>
          <w:sz w:val="22"/>
          <w:szCs w:val="22"/>
        </w:rPr>
        <w:sym w:font="Symbol" w:char="F061"/>
      </w:r>
      <w:r w:rsidRPr="00295E71">
        <w:rPr>
          <w:color w:val="000000"/>
          <w:sz w:val="22"/>
          <w:szCs w:val="22"/>
        </w:rPr>
        <w:t xml:space="preserve">, la somministrazione di adalimumab durante la gravidanza potrebbe interferire con la normale risposta immunitaria del neonato. </w:t>
      </w:r>
      <w:r w:rsidRPr="007D6163" w:rsidR="007D6163">
        <w:rPr>
          <w:color w:val="000000"/>
          <w:sz w:val="22"/>
          <w:szCs w:val="22"/>
        </w:rPr>
        <w:t>Adalimumab deve essere utilizzato in gravidanza soltanto se strettamente necessario.</w:t>
      </w:r>
    </w:p>
    <w:p w:rsidR="006224C2" w:rsidRPr="00295E71" w14:paraId="079E4B75" w14:textId="77777777">
      <w:pPr>
        <w:tabs>
          <w:tab w:val="left" w:pos="567"/>
        </w:tabs>
        <w:autoSpaceDE w:val="0"/>
        <w:autoSpaceDN w:val="0"/>
        <w:adjustRightInd w:val="0"/>
        <w:jc w:val="both"/>
        <w:rPr>
          <w:color w:val="000000"/>
          <w:sz w:val="22"/>
          <w:szCs w:val="22"/>
        </w:rPr>
      </w:pPr>
    </w:p>
    <w:p w:rsidR="006224C2" w:rsidRPr="00295E71" w14:paraId="5EC17908" w14:textId="77777777">
      <w:pPr>
        <w:tabs>
          <w:tab w:val="left" w:pos="567"/>
        </w:tabs>
        <w:autoSpaceDE w:val="0"/>
        <w:autoSpaceDN w:val="0"/>
        <w:adjustRightInd w:val="0"/>
        <w:jc w:val="both"/>
        <w:rPr>
          <w:color w:val="000000"/>
          <w:sz w:val="22"/>
          <w:szCs w:val="22"/>
        </w:rPr>
      </w:pPr>
      <w:r w:rsidRPr="00295E71">
        <w:rPr>
          <w:color w:val="000000"/>
          <w:sz w:val="22"/>
          <w:szCs w:val="22"/>
        </w:rPr>
        <w:t xml:space="preserve">Adalimumab può attraversare la placenta e raggiungere il siero dei bambini nati da madri trattate con adalimumab durante la gravidanza. Di conseguenza, questi bambini sono soggetti ad un maggior rischio di infezione. La somministrazione di vaccini vivi </w:t>
      </w:r>
      <w:r w:rsidRPr="007D6163" w:rsidR="007D6163">
        <w:rPr>
          <w:color w:val="000000"/>
          <w:sz w:val="22"/>
          <w:szCs w:val="22"/>
        </w:rPr>
        <w:t>(ad es. vaccino BCG)</w:t>
      </w:r>
      <w:r w:rsidR="007D6163">
        <w:rPr>
          <w:color w:val="000000"/>
          <w:sz w:val="22"/>
          <w:szCs w:val="22"/>
        </w:rPr>
        <w:t xml:space="preserve"> </w:t>
      </w:r>
      <w:r w:rsidRPr="00295E71">
        <w:rPr>
          <w:color w:val="000000"/>
          <w:sz w:val="22"/>
          <w:szCs w:val="22"/>
        </w:rPr>
        <w:t xml:space="preserve">a bambini esposti ad adalimumab nell’utero non è raccomandata </w:t>
      </w:r>
      <w:r w:rsidR="008C57BD">
        <w:rPr>
          <w:sz w:val="22"/>
          <w:szCs w:val="22"/>
        </w:rPr>
        <w:t>fino a</w:t>
      </w:r>
      <w:r w:rsidRPr="00295E71" w:rsidR="008C57BD">
        <w:rPr>
          <w:color w:val="000000"/>
          <w:sz w:val="22"/>
          <w:szCs w:val="22"/>
        </w:rPr>
        <w:t xml:space="preserve"> </w:t>
      </w:r>
      <w:r w:rsidRPr="00295E71">
        <w:rPr>
          <w:color w:val="000000"/>
          <w:sz w:val="22"/>
          <w:szCs w:val="22"/>
        </w:rPr>
        <w:t>5 mesi dall’ultima somministrazione di adalimumab alla madre durante la gravidanza.</w:t>
      </w:r>
    </w:p>
    <w:p w:rsidR="006224C2" w:rsidRPr="00295E71" w14:paraId="3F4D0438" w14:textId="77777777">
      <w:pPr>
        <w:tabs>
          <w:tab w:val="left" w:pos="567"/>
        </w:tabs>
        <w:autoSpaceDE w:val="0"/>
        <w:autoSpaceDN w:val="0"/>
        <w:adjustRightInd w:val="0"/>
        <w:jc w:val="both"/>
        <w:rPr>
          <w:color w:val="000000"/>
          <w:sz w:val="22"/>
          <w:szCs w:val="22"/>
        </w:rPr>
      </w:pPr>
    </w:p>
    <w:p w:rsidR="006224C2" w:rsidRPr="00295E71" w:rsidP="007E6E3E" w14:paraId="08A7A9CB" w14:textId="77777777">
      <w:pPr>
        <w:keepNext/>
        <w:tabs>
          <w:tab w:val="left" w:pos="567"/>
        </w:tabs>
        <w:jc w:val="both"/>
        <w:rPr>
          <w:color w:val="000000"/>
          <w:sz w:val="22"/>
          <w:szCs w:val="22"/>
        </w:rPr>
      </w:pPr>
      <w:r w:rsidRPr="00295E71">
        <w:rPr>
          <w:color w:val="000000"/>
          <w:sz w:val="22"/>
          <w:szCs w:val="22"/>
          <w:u w:val="single"/>
        </w:rPr>
        <w:t>Allattamento</w:t>
      </w:r>
    </w:p>
    <w:p w:rsidR="006224C2" w:rsidRPr="00295E71" w:rsidP="007E6E3E" w14:paraId="2329953C" w14:textId="77777777">
      <w:pPr>
        <w:keepNext/>
        <w:tabs>
          <w:tab w:val="left" w:pos="567"/>
        </w:tabs>
        <w:jc w:val="both"/>
        <w:rPr>
          <w:color w:val="000000"/>
          <w:sz w:val="22"/>
          <w:szCs w:val="22"/>
        </w:rPr>
      </w:pPr>
    </w:p>
    <w:p w:rsidR="006224C2" w:rsidP="007E6E3E" w14:paraId="0D4ED306" w14:textId="77777777">
      <w:pPr>
        <w:keepNext/>
        <w:tabs>
          <w:tab w:val="left" w:pos="567"/>
        </w:tabs>
        <w:jc w:val="both"/>
        <w:rPr>
          <w:sz w:val="22"/>
          <w:szCs w:val="22"/>
        </w:rPr>
      </w:pPr>
      <w:r>
        <w:rPr>
          <w:sz w:val="22"/>
          <w:szCs w:val="22"/>
        </w:rPr>
        <w:t xml:space="preserve">Le limitate informazioni dalla letteratura pubblicata indicano che adalimumab è escreto nel latte materno in concentrazioni molto basse e che la concentrazione di adalimumab nel latte umano è pari allo 0,1% - 1% </w:t>
      </w:r>
      <w:r w:rsidRPr="00AB1F1C">
        <w:rPr>
          <w:sz w:val="22"/>
          <w:szCs w:val="22"/>
        </w:rPr>
        <w:t>del livello</w:t>
      </w:r>
      <w:r w:rsidRPr="00C53732">
        <w:rPr>
          <w:sz w:val="22"/>
          <w:szCs w:val="22"/>
        </w:rPr>
        <w:t xml:space="preserve"> </w:t>
      </w:r>
      <w:r w:rsidRPr="00B902E6">
        <w:rPr>
          <w:sz w:val="22"/>
          <w:szCs w:val="22"/>
        </w:rPr>
        <w:t>sierico</w:t>
      </w:r>
      <w:r>
        <w:rPr>
          <w:sz w:val="22"/>
          <w:szCs w:val="22"/>
        </w:rPr>
        <w:t xml:space="preserve"> della madre. Somministrate per via orale, le immunoglobuline G sono sottoposte a proteolisi intestinale ed hanno una scarsa biodisponibilità. </w:t>
      </w:r>
      <w:r w:rsidRPr="001113B9">
        <w:rPr>
          <w:sz w:val="22"/>
          <w:szCs w:val="22"/>
        </w:rPr>
        <w:t xml:space="preserve">Non si ritiene che possa </w:t>
      </w:r>
      <w:r>
        <w:rPr>
          <w:sz w:val="22"/>
          <w:szCs w:val="22"/>
        </w:rPr>
        <w:t xml:space="preserve">avere </w:t>
      </w:r>
      <w:r w:rsidRPr="001113B9">
        <w:rPr>
          <w:sz w:val="22"/>
          <w:szCs w:val="22"/>
        </w:rPr>
        <w:t>effetti su neonati/lattanti</w:t>
      </w:r>
      <w:r>
        <w:rPr>
          <w:sz w:val="22"/>
          <w:szCs w:val="22"/>
        </w:rPr>
        <w:t>. Conseguentemente, Humira può essere utilizzato durante l’allat</w:t>
      </w:r>
      <w:r w:rsidR="00BD0F8D">
        <w:rPr>
          <w:sz w:val="22"/>
          <w:szCs w:val="22"/>
        </w:rPr>
        <w:t>t</w:t>
      </w:r>
      <w:r>
        <w:rPr>
          <w:sz w:val="22"/>
          <w:szCs w:val="22"/>
        </w:rPr>
        <w:t>amento.</w:t>
      </w:r>
    </w:p>
    <w:p w:rsidR="00BD0F8D" w:rsidRPr="00295E71" w:rsidP="007E6E3E" w14:paraId="240257CF" w14:textId="77777777">
      <w:pPr>
        <w:keepNext/>
        <w:tabs>
          <w:tab w:val="left" w:pos="567"/>
        </w:tabs>
        <w:jc w:val="both"/>
        <w:rPr>
          <w:sz w:val="22"/>
          <w:szCs w:val="22"/>
        </w:rPr>
      </w:pPr>
    </w:p>
    <w:p w:rsidR="006224C2" w:rsidRPr="00295E71" w14:paraId="08EF76BF" w14:textId="77777777">
      <w:pPr>
        <w:tabs>
          <w:tab w:val="left" w:pos="567"/>
        </w:tabs>
        <w:jc w:val="both"/>
        <w:rPr>
          <w:sz w:val="22"/>
          <w:szCs w:val="22"/>
          <w:u w:val="single"/>
        </w:rPr>
      </w:pPr>
      <w:r w:rsidRPr="00295E71">
        <w:rPr>
          <w:sz w:val="22"/>
          <w:szCs w:val="22"/>
          <w:u w:val="single"/>
        </w:rPr>
        <w:t>Fertilità</w:t>
      </w:r>
    </w:p>
    <w:p w:rsidR="006224C2" w:rsidRPr="00295E71" w14:paraId="65AB28FE" w14:textId="77777777">
      <w:pPr>
        <w:tabs>
          <w:tab w:val="left" w:pos="567"/>
        </w:tabs>
        <w:jc w:val="both"/>
        <w:rPr>
          <w:sz w:val="22"/>
          <w:szCs w:val="22"/>
        </w:rPr>
      </w:pPr>
    </w:p>
    <w:p w:rsidR="006224C2" w:rsidRPr="00295E71" w14:paraId="72508D89" w14:textId="77777777">
      <w:pPr>
        <w:tabs>
          <w:tab w:val="left" w:pos="567"/>
        </w:tabs>
        <w:jc w:val="both"/>
        <w:rPr>
          <w:sz w:val="22"/>
          <w:szCs w:val="22"/>
        </w:rPr>
      </w:pPr>
      <w:r w:rsidRPr="00295E71">
        <w:rPr>
          <w:sz w:val="22"/>
          <w:szCs w:val="22"/>
        </w:rPr>
        <w:t>Non sono disponibili dati preclinici sugli effetti di adalimumab sulla fertilità.</w:t>
      </w:r>
    </w:p>
    <w:p w:rsidR="006224C2" w:rsidRPr="00295E71" w14:paraId="1752A4E0" w14:textId="77777777">
      <w:pPr>
        <w:tabs>
          <w:tab w:val="left" w:pos="567"/>
        </w:tabs>
        <w:jc w:val="both"/>
        <w:rPr>
          <w:sz w:val="22"/>
          <w:szCs w:val="22"/>
        </w:rPr>
      </w:pPr>
    </w:p>
    <w:p w:rsidR="006224C2" w:rsidRPr="00295E71" w14:paraId="588BF2A0" w14:textId="77777777">
      <w:pPr>
        <w:tabs>
          <w:tab w:val="left" w:pos="567"/>
        </w:tabs>
        <w:ind w:left="567" w:hanging="567"/>
        <w:jc w:val="both"/>
        <w:rPr>
          <w:b/>
          <w:bCs/>
          <w:sz w:val="22"/>
          <w:szCs w:val="22"/>
        </w:rPr>
      </w:pPr>
      <w:r w:rsidRPr="00295E71">
        <w:rPr>
          <w:b/>
          <w:bCs/>
          <w:sz w:val="22"/>
          <w:szCs w:val="22"/>
        </w:rPr>
        <w:t>4.7</w:t>
      </w:r>
      <w:r w:rsidRPr="00295E71">
        <w:rPr>
          <w:b/>
          <w:bCs/>
          <w:sz w:val="22"/>
          <w:szCs w:val="22"/>
        </w:rPr>
        <w:tab/>
        <w:t>Effetti sulla capacità di guidare veicoli e sull’uso di macchinari</w:t>
      </w:r>
    </w:p>
    <w:p w:rsidR="006224C2" w:rsidRPr="00295E71" w14:paraId="0BE7C862" w14:textId="77777777">
      <w:pPr>
        <w:tabs>
          <w:tab w:val="left" w:pos="567"/>
        </w:tabs>
        <w:jc w:val="both"/>
        <w:rPr>
          <w:sz w:val="22"/>
          <w:szCs w:val="22"/>
        </w:rPr>
      </w:pPr>
    </w:p>
    <w:p w:rsidR="006224C2" w:rsidRPr="00295E71" w14:paraId="55FF0C6D" w14:textId="77777777">
      <w:pPr>
        <w:tabs>
          <w:tab w:val="left" w:pos="567"/>
        </w:tabs>
        <w:jc w:val="both"/>
        <w:rPr>
          <w:sz w:val="22"/>
          <w:szCs w:val="22"/>
        </w:rPr>
      </w:pPr>
      <w:r w:rsidRPr="00295E71">
        <w:rPr>
          <w:sz w:val="22"/>
          <w:szCs w:val="22"/>
        </w:rPr>
        <w:t>Humira altera lievemente la capacità di guidare veicoli e di usare macchinari. Dopo la somministrazione di Humira si possono verificare vertigini e disturbi della vista (vedere paragrafo 4.8).</w:t>
      </w:r>
    </w:p>
    <w:p w:rsidR="006224C2" w:rsidRPr="00295E71" w14:paraId="348C8D9C" w14:textId="77777777">
      <w:pPr>
        <w:tabs>
          <w:tab w:val="left" w:pos="567"/>
        </w:tabs>
        <w:jc w:val="both"/>
        <w:rPr>
          <w:sz w:val="22"/>
          <w:szCs w:val="22"/>
        </w:rPr>
      </w:pPr>
    </w:p>
    <w:p w:rsidR="006224C2" w:rsidRPr="00295E71" w:rsidP="005D5C2F" w14:paraId="0F21759D" w14:textId="77777777">
      <w:pPr>
        <w:keepNext/>
        <w:keepLines/>
        <w:numPr>
          <w:ilvl w:val="1"/>
          <w:numId w:val="63"/>
        </w:numPr>
        <w:tabs>
          <w:tab w:val="clear" w:pos="360"/>
          <w:tab w:val="num" w:pos="567"/>
        </w:tabs>
        <w:ind w:left="567" w:hanging="567"/>
        <w:jc w:val="both"/>
        <w:rPr>
          <w:b/>
          <w:bCs/>
          <w:sz w:val="22"/>
          <w:szCs w:val="22"/>
        </w:rPr>
      </w:pPr>
      <w:r w:rsidRPr="00295E71">
        <w:rPr>
          <w:b/>
          <w:bCs/>
          <w:sz w:val="22"/>
          <w:szCs w:val="22"/>
        </w:rPr>
        <w:t>Effetti indesiderati</w:t>
      </w:r>
    </w:p>
    <w:p w:rsidR="006224C2" w:rsidRPr="00295E71" w:rsidP="005D5C2F" w14:paraId="11A9B6A5" w14:textId="77777777">
      <w:pPr>
        <w:keepNext/>
        <w:keepLines/>
        <w:tabs>
          <w:tab w:val="left" w:pos="567"/>
        </w:tabs>
        <w:jc w:val="both"/>
        <w:rPr>
          <w:sz w:val="22"/>
          <w:szCs w:val="22"/>
        </w:rPr>
      </w:pPr>
    </w:p>
    <w:p w:rsidR="006224C2" w:rsidRPr="00295E71" w:rsidP="005D5C2F" w14:paraId="36D08AAB" w14:textId="77777777">
      <w:pPr>
        <w:pStyle w:val="BodyTextIndent"/>
        <w:keepNext/>
        <w:keepLines/>
        <w:tabs>
          <w:tab w:val="left" w:pos="567"/>
        </w:tabs>
        <w:rPr>
          <w:u w:val="single"/>
        </w:rPr>
      </w:pPr>
      <w:r w:rsidRPr="00295E71">
        <w:rPr>
          <w:u w:val="single"/>
        </w:rPr>
        <w:t>Riassunto del profilo di sicurezza</w:t>
      </w:r>
    </w:p>
    <w:p w:rsidR="006224C2" w:rsidRPr="00295E71" w:rsidP="005D5C2F" w14:paraId="79649AD5" w14:textId="77777777">
      <w:pPr>
        <w:pStyle w:val="BodyTextIndent"/>
        <w:keepNext/>
        <w:keepLines/>
        <w:tabs>
          <w:tab w:val="left" w:pos="567"/>
        </w:tabs>
      </w:pPr>
    </w:p>
    <w:p w:rsidR="006224C2" w:rsidRPr="00295E71" w:rsidP="005D5C2F" w14:paraId="2394DFFB"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 xml:space="preserve">Humira è stato studiato in 9.506 pazienti nel corso di studi clinici </w:t>
      </w:r>
      <w:r w:rsidRPr="00020442" w:rsidR="00BD0F8D">
        <w:rPr>
          <w:color w:val="000000"/>
          <w:sz w:val="22"/>
          <w:szCs w:val="22"/>
        </w:rPr>
        <w:t>registrativi</w:t>
      </w:r>
      <w:r w:rsidRPr="00295E71">
        <w:rPr>
          <w:color w:val="000000"/>
          <w:sz w:val="22"/>
          <w:szCs w:val="22"/>
        </w:rPr>
        <w:t xml:space="preserve"> controllati e in aperto per un periodo fino a 60 mesi o superiore. Tali studi sono stati effettuati su pazienti affetti da artrite reumatoide ad insorgenza precoce e di lunga durata, artrite idiopatica giovanile (artrite idiopatica giovanile poliarticolare e artrite associata ad entesite), così come su pazienti affetti da spondiloartrite assiale (spondilite anchilosante e spondiloartrite assiale senza evidenza radiografica di SA), artrite psoriasica, malattia di Crohn, colite ulcerosa, psoriasi, idrosadenite suppurativa e uveite. Gli studi registrativi controllati sono stati condotti su 6.089 pazienti sottoposti a trattamento con Humira e su 3.801 pazienti cui è stato somministrato placebo o un comparatore attivo durante il periodo di controllo.</w:t>
      </w:r>
    </w:p>
    <w:p w:rsidR="006224C2" w:rsidRPr="00295E71" w14:paraId="21616ABD" w14:textId="77777777">
      <w:pPr>
        <w:tabs>
          <w:tab w:val="left" w:pos="567"/>
        </w:tabs>
        <w:autoSpaceDE w:val="0"/>
        <w:autoSpaceDN w:val="0"/>
        <w:adjustRightInd w:val="0"/>
        <w:jc w:val="both"/>
        <w:rPr>
          <w:color w:val="000000"/>
          <w:sz w:val="22"/>
          <w:szCs w:val="22"/>
        </w:rPr>
      </w:pPr>
    </w:p>
    <w:p w:rsidR="006224C2" w:rsidRPr="00295E71" w14:paraId="3148A43C" w14:textId="77777777">
      <w:pPr>
        <w:pStyle w:val="BodyTextIndent"/>
        <w:tabs>
          <w:tab w:val="left" w:pos="567"/>
        </w:tabs>
      </w:pPr>
      <w:r w:rsidRPr="00295E71">
        <w:t>La percentuale di pazienti che hanno interrotto il trattamento a causa di eventi avversi durante la fase in doppio cieco, controllata, degli studi registrativi è stata del 5,9% per i pazienti che hanno assunto Humira e del 5,4% per i pazienti trattati con il controllo.</w:t>
      </w:r>
    </w:p>
    <w:p w:rsidR="006224C2" w:rsidRPr="00295E71" w14:paraId="4AD167E4" w14:textId="77777777">
      <w:pPr>
        <w:pStyle w:val="BodyTextIndent"/>
        <w:tabs>
          <w:tab w:val="left" w:pos="567"/>
        </w:tabs>
        <w:rPr>
          <w:u w:val="single"/>
        </w:rPr>
      </w:pPr>
    </w:p>
    <w:p w:rsidR="006224C2" w:rsidRPr="00295E71" w14:paraId="5E8B645A" w14:textId="77777777">
      <w:pPr>
        <w:pStyle w:val="BodyTextIndent"/>
        <w:tabs>
          <w:tab w:val="left" w:pos="567"/>
        </w:tabs>
      </w:pPr>
      <w:r w:rsidRPr="00295E71">
        <w:t>Le reazioni avverse più comunemente riportate sono infezioni (quali rinofaringiti, infezione delle alte vie respiratorie e sinusite), reazioni al sito di somministrazione (eritema, prurito, emorragia, dolore o tumefazione), cefalea e dolore muscoloscheletrico.</w:t>
      </w:r>
    </w:p>
    <w:p w:rsidR="006224C2" w:rsidRPr="00295E71" w14:paraId="2495B853" w14:textId="77777777">
      <w:pPr>
        <w:pStyle w:val="BodyTextIndent"/>
        <w:tabs>
          <w:tab w:val="left" w:pos="567"/>
        </w:tabs>
      </w:pPr>
    </w:p>
    <w:p w:rsidR="006224C2" w:rsidRPr="00295E71" w14:paraId="1ECD03A6" w14:textId="77777777">
      <w:pPr>
        <w:pStyle w:val="BodyTextIndent"/>
        <w:tabs>
          <w:tab w:val="left" w:pos="567"/>
        </w:tabs>
      </w:pPr>
      <w:r w:rsidRPr="00295E71">
        <w:t xml:space="preserve">Sono state riportate reazioni avverse gravi per Humira. I farmaci anti-TNF, come Humira, influenzano il sistema immunitario e il loro uso può influenzare le difese dell’organismo contro infezioni e cancro. </w:t>
      </w:r>
    </w:p>
    <w:p w:rsidR="006224C2" w:rsidRPr="00295E71" w14:paraId="3A11B353" w14:textId="77777777">
      <w:pPr>
        <w:pStyle w:val="BodyTextIndent"/>
        <w:tabs>
          <w:tab w:val="left" w:pos="567"/>
        </w:tabs>
      </w:pPr>
      <w:r w:rsidRPr="00295E71">
        <w:t>A seguito della somministrazione di Humira, sono stati riportati anche casi di infezioni fatali</w:t>
      </w:r>
      <w:r w:rsidR="00BD0F8D">
        <w:t xml:space="preserve"> </w:t>
      </w:r>
      <w:r w:rsidRPr="00020442" w:rsidR="00BD0F8D">
        <w:t>e potenzialmente fatali</w:t>
      </w:r>
      <w:r w:rsidRPr="00295E71">
        <w:t xml:space="preserve"> (inclusi casi di sepsi, infezioni opportunistiche e TBC), riattivazione dell’infezione da HBV e vari tipi di tumori maligni (inclusi casi di leucemia, linfomi e linfoma epato-splenico a cellule T-HSTCL).</w:t>
      </w:r>
    </w:p>
    <w:p w:rsidR="006224C2" w:rsidRPr="00295E71" w14:paraId="54193D96" w14:textId="77777777">
      <w:pPr>
        <w:pStyle w:val="BodyTextIndent"/>
        <w:tabs>
          <w:tab w:val="left" w:pos="567"/>
        </w:tabs>
      </w:pPr>
    </w:p>
    <w:p w:rsidR="006224C2" w:rsidRPr="00295E71" w14:paraId="675C7370" w14:textId="77777777">
      <w:pPr>
        <w:pStyle w:val="BodyTextIndent"/>
        <w:tabs>
          <w:tab w:val="left" w:pos="567"/>
        </w:tabs>
      </w:pPr>
      <w:r w:rsidRPr="00295E71">
        <w:t xml:space="preserve">Sono state inoltre riportate gravi reazioni ematologiche, neurologiche e autoimmuni. Queste ultime includono rari casi di pancitopenia, anemia aplastica, eventi di demielinizzazione centrale e periferica e casi di lupus, condizioni lupus-correlate e sindrome di Stevens-Johnson. </w:t>
      </w:r>
    </w:p>
    <w:p w:rsidR="006224C2" w:rsidRPr="00295E71" w14:paraId="60C5889F" w14:textId="77777777">
      <w:pPr>
        <w:tabs>
          <w:tab w:val="left" w:pos="567"/>
        </w:tabs>
        <w:autoSpaceDE w:val="0"/>
        <w:autoSpaceDN w:val="0"/>
        <w:adjustRightInd w:val="0"/>
        <w:jc w:val="both"/>
        <w:rPr>
          <w:color w:val="000000"/>
          <w:sz w:val="22"/>
          <w:szCs w:val="22"/>
        </w:rPr>
      </w:pPr>
    </w:p>
    <w:p w:rsidR="006224C2" w:rsidRPr="00295E71" w:rsidP="008251A1" w14:paraId="15171C0C" w14:textId="77777777">
      <w:pPr>
        <w:keepNext/>
        <w:tabs>
          <w:tab w:val="left" w:pos="567"/>
        </w:tabs>
        <w:autoSpaceDE w:val="0"/>
        <w:autoSpaceDN w:val="0"/>
        <w:adjustRightInd w:val="0"/>
        <w:jc w:val="both"/>
        <w:rPr>
          <w:color w:val="000000"/>
          <w:sz w:val="22"/>
          <w:szCs w:val="22"/>
          <w:u w:val="single"/>
        </w:rPr>
      </w:pPr>
      <w:r w:rsidRPr="00295E71">
        <w:rPr>
          <w:color w:val="000000"/>
          <w:sz w:val="22"/>
          <w:szCs w:val="22"/>
          <w:u w:val="single"/>
        </w:rPr>
        <w:t>Popolazione pediatrica</w:t>
      </w:r>
    </w:p>
    <w:p w:rsidR="006224C2" w:rsidRPr="00295E71" w:rsidP="008251A1" w14:paraId="329BBB7F" w14:textId="77777777">
      <w:pPr>
        <w:keepNext/>
        <w:tabs>
          <w:tab w:val="left" w:pos="567"/>
        </w:tabs>
        <w:autoSpaceDE w:val="0"/>
        <w:autoSpaceDN w:val="0"/>
        <w:adjustRightInd w:val="0"/>
        <w:jc w:val="both"/>
        <w:rPr>
          <w:color w:val="000000"/>
          <w:sz w:val="22"/>
          <w:szCs w:val="22"/>
        </w:rPr>
      </w:pPr>
    </w:p>
    <w:p w:rsidR="006224C2" w:rsidRPr="00295E71" w:rsidP="008251A1" w14:paraId="1B74C763" w14:textId="77777777">
      <w:pPr>
        <w:pStyle w:val="BodyTextIndent"/>
        <w:keepNext/>
        <w:tabs>
          <w:tab w:val="left" w:pos="567"/>
        </w:tabs>
      </w:pPr>
      <w:r w:rsidRPr="00295E71">
        <w:t>In generale, gli eventi avversi nei pazienti pediatrici sono risultati simili a quelli riscontrati nei pazienti adulti sia in termini di frequenza che di tipologia.</w:t>
      </w:r>
    </w:p>
    <w:p w:rsidR="006224C2" w:rsidRPr="00295E71" w14:paraId="6A11E90B" w14:textId="77777777">
      <w:pPr>
        <w:pStyle w:val="BodyTextIndent"/>
        <w:tabs>
          <w:tab w:val="left" w:pos="567"/>
        </w:tabs>
      </w:pPr>
    </w:p>
    <w:p w:rsidR="006224C2" w:rsidRPr="00295E71" w14:paraId="4C264128" w14:textId="77777777">
      <w:pPr>
        <w:keepNext/>
        <w:rPr>
          <w:sz w:val="22"/>
          <w:szCs w:val="22"/>
          <w:u w:val="single"/>
        </w:rPr>
      </w:pPr>
      <w:r w:rsidRPr="00295E71">
        <w:rPr>
          <w:sz w:val="22"/>
          <w:szCs w:val="22"/>
          <w:u w:val="single"/>
        </w:rPr>
        <w:t>Tabella dell’elenco delle reazioni avverse</w:t>
      </w:r>
    </w:p>
    <w:p w:rsidR="006224C2" w:rsidRPr="00295E71" w14:paraId="729E8687" w14:textId="77777777">
      <w:pPr>
        <w:pStyle w:val="BodyTextIndent"/>
        <w:keepNext/>
        <w:tabs>
          <w:tab w:val="left" w:pos="567"/>
        </w:tabs>
      </w:pPr>
    </w:p>
    <w:p w:rsidR="006224C2" w:rsidRPr="00295E71" w14:paraId="469BD191" w14:textId="77777777">
      <w:pPr>
        <w:keepNext/>
        <w:tabs>
          <w:tab w:val="left" w:pos="567"/>
        </w:tabs>
        <w:jc w:val="both"/>
        <w:rPr>
          <w:sz w:val="22"/>
          <w:szCs w:val="22"/>
        </w:rPr>
      </w:pPr>
      <w:r w:rsidRPr="00295E71">
        <w:rPr>
          <w:sz w:val="22"/>
          <w:szCs w:val="22"/>
        </w:rPr>
        <w:t xml:space="preserve">La seguente lista di reazioni avverse è basata su esperienza proveniente da studi clinici ed esperienze post marketing </w:t>
      </w:r>
      <w:r w:rsidR="00BD0F8D">
        <w:rPr>
          <w:sz w:val="22"/>
          <w:szCs w:val="22"/>
        </w:rPr>
        <w:t xml:space="preserve">ed è </w:t>
      </w:r>
      <w:r w:rsidRPr="00295E71">
        <w:rPr>
          <w:sz w:val="22"/>
          <w:szCs w:val="22"/>
        </w:rPr>
        <w:t>riportat</w:t>
      </w:r>
      <w:r w:rsidR="00BD0F8D">
        <w:rPr>
          <w:sz w:val="22"/>
          <w:szCs w:val="22"/>
        </w:rPr>
        <w:t>a</w:t>
      </w:r>
      <w:r w:rsidRPr="00295E71">
        <w:rPr>
          <w:sz w:val="22"/>
          <w:szCs w:val="22"/>
        </w:rPr>
        <w:t xml:space="preserve"> nella Tabella </w:t>
      </w:r>
      <w:r w:rsidR="0062664F">
        <w:rPr>
          <w:sz w:val="22"/>
          <w:szCs w:val="22"/>
        </w:rPr>
        <w:t>7</w:t>
      </w:r>
      <w:r w:rsidRPr="00295E71">
        <w:rPr>
          <w:sz w:val="22"/>
          <w:szCs w:val="22"/>
        </w:rPr>
        <w:t xml:space="preserve"> classificata in base al sistema/organo coinvolto e alla frequenza (molto comune </w:t>
      </w:r>
      <w:r w:rsidRPr="00295E71">
        <w:rPr>
          <w:sz w:val="22"/>
          <w:szCs w:val="22"/>
          <w:u w:val="single"/>
        </w:rPr>
        <w:t>&gt;</w:t>
      </w:r>
      <w:r w:rsidRPr="00295E71">
        <w:rPr>
          <w:sz w:val="22"/>
          <w:szCs w:val="22"/>
        </w:rPr>
        <w:t xml:space="preserve">1/10; </w:t>
      </w:r>
      <w:r w:rsidRPr="00295E71">
        <w:rPr>
          <w:color w:val="000000"/>
          <w:sz w:val="22"/>
          <w:szCs w:val="22"/>
        </w:rPr>
        <w:t>comune ≥1/100</w:t>
      </w:r>
      <w:r w:rsidR="00BD0F8D">
        <w:rPr>
          <w:color w:val="000000"/>
          <w:sz w:val="22"/>
          <w:szCs w:val="22"/>
        </w:rPr>
        <w:t>.</w:t>
      </w:r>
      <w:r w:rsidRPr="00295E71">
        <w:rPr>
          <w:color w:val="000000"/>
          <w:sz w:val="22"/>
          <w:szCs w:val="22"/>
        </w:rPr>
        <w:t xml:space="preserve"> &lt;1/10; non comune ≥1/1.000</w:t>
      </w:r>
      <w:r w:rsidR="00BD0F8D">
        <w:rPr>
          <w:color w:val="000000"/>
          <w:sz w:val="22"/>
          <w:szCs w:val="22"/>
        </w:rPr>
        <w:t>,</w:t>
      </w:r>
      <w:r w:rsidRPr="00295E71">
        <w:rPr>
          <w:color w:val="000000"/>
          <w:sz w:val="22"/>
          <w:szCs w:val="22"/>
        </w:rPr>
        <w:t xml:space="preserve"> &lt;1/100,</w:t>
      </w:r>
      <w:r w:rsidRPr="00295E71">
        <w:rPr>
          <w:sz w:val="22"/>
          <w:szCs w:val="22"/>
        </w:rPr>
        <w:t xml:space="preserve"> raro ≥1/10.000</w:t>
      </w:r>
      <w:r w:rsidR="00BD0F8D">
        <w:rPr>
          <w:sz w:val="22"/>
          <w:szCs w:val="22"/>
        </w:rPr>
        <w:t>,</w:t>
      </w:r>
      <w:r w:rsidRPr="00295E71">
        <w:rPr>
          <w:sz w:val="22"/>
          <w:szCs w:val="22"/>
        </w:rPr>
        <w:t xml:space="preserve"> &lt;1/1.000 e non nota – la frequenza non può essere definita sulla base dei dati disponibili). All’interno di ogni gruppo di frequenza, gli effetti indesiderati sono riportati in ordine decrescente di gravità. È stata inclusa la frequenza più elevata osservata tra le varie indicazioni. Nella colonna Classificazione per sistemi ed organi compare un asterisco (*) nel caso in cui siano presenti ulteriori informazioni contenute nei paragrafi 4.3, 4.4 e 4.8.</w:t>
      </w:r>
    </w:p>
    <w:p w:rsidR="006224C2" w:rsidRPr="00295E71" w:rsidP="008251A1" w14:paraId="62C39080" w14:textId="77777777">
      <w:pPr>
        <w:jc w:val="center"/>
        <w:rPr>
          <w:b/>
          <w:bCs/>
          <w:sz w:val="22"/>
          <w:szCs w:val="22"/>
        </w:rPr>
      </w:pPr>
    </w:p>
    <w:p w:rsidR="006224C2" w:rsidRPr="00295E71" w:rsidP="00F57FE5" w14:paraId="038B5CC4" w14:textId="77777777">
      <w:pPr>
        <w:keepNext/>
        <w:keepLines/>
        <w:jc w:val="center"/>
        <w:rPr>
          <w:b/>
          <w:bCs/>
          <w:sz w:val="22"/>
          <w:szCs w:val="22"/>
        </w:rPr>
      </w:pPr>
      <w:r w:rsidRPr="00295E71">
        <w:rPr>
          <w:b/>
          <w:bCs/>
          <w:sz w:val="22"/>
          <w:szCs w:val="22"/>
        </w:rPr>
        <w:t xml:space="preserve">Tabella </w:t>
      </w:r>
      <w:r w:rsidR="0062664F">
        <w:rPr>
          <w:b/>
          <w:bCs/>
          <w:sz w:val="22"/>
          <w:szCs w:val="22"/>
        </w:rPr>
        <w:t>7</w:t>
      </w:r>
    </w:p>
    <w:p w:rsidR="006224C2" w:rsidRPr="00295E71" w:rsidP="00F57FE5" w14:paraId="14726BA6" w14:textId="77777777">
      <w:pPr>
        <w:keepNext/>
        <w:keepLines/>
        <w:tabs>
          <w:tab w:val="left" w:pos="567"/>
        </w:tabs>
        <w:jc w:val="center"/>
        <w:rPr>
          <w:b/>
          <w:bCs/>
          <w:sz w:val="22"/>
          <w:szCs w:val="22"/>
        </w:rPr>
      </w:pPr>
      <w:r w:rsidRPr="00295E71">
        <w:rPr>
          <w:b/>
          <w:bCs/>
          <w:sz w:val="22"/>
          <w:szCs w:val="22"/>
        </w:rPr>
        <w:t xml:space="preserve">Effetti indesiderati </w:t>
      </w:r>
    </w:p>
    <w:p w:rsidR="006224C2" w:rsidRPr="00295E71" w:rsidP="00F57FE5" w14:paraId="04988BBC" w14:textId="77777777">
      <w:pPr>
        <w:keepNext/>
        <w:keepLines/>
        <w:tabs>
          <w:tab w:val="left" w:pos="567"/>
        </w:tabs>
        <w:autoSpaceDE w:val="0"/>
        <w:autoSpaceDN w:val="0"/>
        <w:adjustRightInd w:val="0"/>
        <w:rPr>
          <w:color w:val="00000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6"/>
        <w:gridCol w:w="2037"/>
        <w:gridCol w:w="4457"/>
      </w:tblGrid>
      <w:tr w14:paraId="533661AC" w14:textId="77777777" w:rsidTr="00C04163">
        <w:tblPrEx>
          <w:tblW w:w="0" w:type="auto"/>
          <w:tblLook w:val="01E0"/>
        </w:tblPrEx>
        <w:trPr>
          <w:tblHeader/>
        </w:trPr>
        <w:tc>
          <w:tcPr>
            <w:tcW w:w="2566" w:type="dxa"/>
            <w:tcBorders>
              <w:bottom w:val="single" w:sz="4" w:space="0" w:color="auto"/>
            </w:tcBorders>
          </w:tcPr>
          <w:p w:rsidR="006224C2" w:rsidRPr="00295E71" w:rsidP="00F57FE5" w14:paraId="6B356943" w14:textId="77777777">
            <w:pPr>
              <w:pStyle w:val="IndexHeading"/>
              <w:keepNext/>
              <w:keepLines/>
              <w:widowControl w:val="0"/>
              <w:tabs>
                <w:tab w:val="clear" w:pos="567"/>
              </w:tabs>
              <w:spacing w:before="120" w:after="120" w:line="240" w:lineRule="auto"/>
              <w:jc w:val="center"/>
              <w:rPr>
                <w:rFonts w:ascii="Times New Roman" w:hAnsi="Times New Roman" w:cs="Times New Roman"/>
                <w:lang w:val="it-IT" w:eastAsia="it-IT"/>
              </w:rPr>
            </w:pPr>
            <w:r w:rsidRPr="00295E71">
              <w:rPr>
                <w:rFonts w:ascii="Times New Roman" w:hAnsi="Times New Roman" w:cs="Times New Roman"/>
                <w:lang w:val="it-IT" w:eastAsia="it-IT"/>
              </w:rPr>
              <w:t>Classificazione per sistemi e organi</w:t>
            </w:r>
          </w:p>
        </w:tc>
        <w:tc>
          <w:tcPr>
            <w:tcW w:w="2037" w:type="dxa"/>
            <w:tcBorders>
              <w:bottom w:val="single" w:sz="4" w:space="0" w:color="auto"/>
            </w:tcBorders>
          </w:tcPr>
          <w:p w:rsidR="006224C2" w:rsidRPr="00295E71" w:rsidP="00F57FE5" w14:paraId="7B14117E" w14:textId="77777777">
            <w:pPr>
              <w:pStyle w:val="EMEATitle"/>
              <w:keepNext/>
              <w:keepLines/>
              <w:widowControl w:val="0"/>
              <w:tabs>
                <w:tab w:val="clear" w:pos="562"/>
              </w:tabs>
              <w:suppressAutoHyphens w:val="0"/>
              <w:spacing w:before="120" w:after="120"/>
              <w:rPr>
                <w:rFonts w:ascii="Times New Roman" w:hAnsi="Times New Roman"/>
                <w:caps w:val="0"/>
                <w:lang w:val="it-IT"/>
              </w:rPr>
            </w:pPr>
            <w:r w:rsidRPr="00295E71">
              <w:rPr>
                <w:rFonts w:ascii="Times New Roman" w:hAnsi="Times New Roman"/>
                <w:caps w:val="0"/>
                <w:lang w:val="it-IT"/>
              </w:rPr>
              <w:t>Frequenza</w:t>
            </w:r>
          </w:p>
        </w:tc>
        <w:tc>
          <w:tcPr>
            <w:tcW w:w="4457" w:type="dxa"/>
            <w:tcBorders>
              <w:bottom w:val="single" w:sz="4" w:space="0" w:color="auto"/>
            </w:tcBorders>
          </w:tcPr>
          <w:p w:rsidR="006224C2" w:rsidRPr="00295E71" w:rsidP="00F57FE5" w14:paraId="4BF00D2D" w14:textId="77777777">
            <w:pPr>
              <w:pStyle w:val="EMEATitle"/>
              <w:keepNext/>
              <w:keepLines/>
              <w:widowControl w:val="0"/>
              <w:tabs>
                <w:tab w:val="clear" w:pos="562"/>
              </w:tabs>
              <w:suppressAutoHyphens w:val="0"/>
              <w:spacing w:before="120" w:after="120"/>
              <w:rPr>
                <w:rFonts w:ascii="Times New Roman" w:hAnsi="Times New Roman"/>
                <w:caps w:val="0"/>
                <w:lang w:val="it-IT"/>
              </w:rPr>
            </w:pPr>
            <w:r w:rsidRPr="00295E71">
              <w:rPr>
                <w:rFonts w:ascii="Times New Roman" w:hAnsi="Times New Roman"/>
                <w:caps w:val="0"/>
                <w:lang w:val="it-IT"/>
              </w:rPr>
              <w:t>Reazione avversa</w:t>
            </w:r>
          </w:p>
        </w:tc>
      </w:tr>
      <w:tr w14:paraId="21DD17EA" w14:textId="77777777" w:rsidTr="00C04163">
        <w:tblPrEx>
          <w:tblW w:w="0" w:type="auto"/>
          <w:tblLook w:val="01E0"/>
        </w:tblPrEx>
        <w:trPr>
          <w:cantSplit/>
        </w:trPr>
        <w:tc>
          <w:tcPr>
            <w:tcW w:w="2566" w:type="dxa"/>
            <w:vMerge w:val="restart"/>
            <w:tcBorders>
              <w:right w:val="single" w:sz="4" w:space="0" w:color="auto"/>
            </w:tcBorders>
          </w:tcPr>
          <w:p w:rsidR="006224C2" w:rsidRPr="00295E71" w:rsidP="00F57FE5" w14:paraId="684DD3A8" w14:textId="77777777">
            <w:pPr>
              <w:pStyle w:val="EMEANormal"/>
              <w:keepNext/>
              <w:keepLines/>
              <w:widowControl w:val="0"/>
              <w:spacing w:before="60"/>
              <w:rPr>
                <w:lang w:val="it-IT"/>
              </w:rPr>
            </w:pPr>
            <w:r w:rsidRPr="00295E71">
              <w:rPr>
                <w:lang w:val="it-IT"/>
              </w:rPr>
              <w:t>Infezioni ed infestazioni*</w:t>
            </w:r>
          </w:p>
          <w:p w:rsidR="006224C2" w:rsidRPr="00295E71" w:rsidP="00F57FE5" w14:paraId="0CBDBB83" w14:textId="77777777">
            <w:pPr>
              <w:keepNext/>
              <w:keepLines/>
              <w:widowControl w:val="0"/>
              <w:spacing w:before="60"/>
              <w:jc w:val="center"/>
              <w:rPr>
                <w:sz w:val="22"/>
                <w:szCs w:val="22"/>
              </w:rPr>
            </w:pPr>
          </w:p>
        </w:tc>
        <w:tc>
          <w:tcPr>
            <w:tcW w:w="2037" w:type="dxa"/>
            <w:tcBorders>
              <w:left w:val="single" w:sz="4" w:space="0" w:color="auto"/>
              <w:bottom w:val="single" w:sz="4" w:space="0" w:color="auto"/>
              <w:right w:val="single" w:sz="4" w:space="0" w:color="auto"/>
            </w:tcBorders>
          </w:tcPr>
          <w:p w:rsidR="006224C2" w:rsidRPr="00295E71" w:rsidP="00F57FE5" w14:paraId="65CF3E25" w14:textId="77777777">
            <w:pPr>
              <w:pStyle w:val="EMEANormal"/>
              <w:keepNext/>
              <w:keepLines/>
              <w:widowControl w:val="0"/>
              <w:spacing w:before="60"/>
              <w:rPr>
                <w:lang w:val="it-IT"/>
              </w:rPr>
            </w:pPr>
            <w:r w:rsidRPr="00295E71">
              <w:rPr>
                <w:lang w:val="it-IT"/>
              </w:rPr>
              <w:t>Molto comune</w:t>
            </w:r>
          </w:p>
        </w:tc>
        <w:tc>
          <w:tcPr>
            <w:tcW w:w="4457" w:type="dxa"/>
            <w:tcBorders>
              <w:left w:val="single" w:sz="4" w:space="0" w:color="auto"/>
              <w:bottom w:val="single" w:sz="4" w:space="0" w:color="auto"/>
            </w:tcBorders>
          </w:tcPr>
          <w:p w:rsidR="006224C2" w:rsidRPr="00295E71" w:rsidP="00F57FE5" w14:paraId="5A8FFC10" w14:textId="77777777">
            <w:pPr>
              <w:pStyle w:val="EMEANormal"/>
              <w:keepNext/>
              <w:keepLines/>
              <w:widowControl w:val="0"/>
              <w:spacing w:before="60"/>
              <w:rPr>
                <w:lang w:val="it-IT"/>
              </w:rPr>
            </w:pPr>
            <w:r w:rsidRPr="00295E71">
              <w:rPr>
                <w:lang w:val="it-IT"/>
              </w:rPr>
              <w:t>I</w:t>
            </w:r>
            <w:r w:rsidRPr="00295E71" w:rsidR="00226BC4">
              <w:rPr>
                <w:lang w:val="it-IT"/>
              </w:rPr>
              <w:t>nfezioni delle vie respiratorie (tra cui infezioni delle vie respiratorie superiori ed inferiori, polmonite, sinusite, faringite, rinofaringite e polmonite da herpes virus)</w:t>
            </w:r>
          </w:p>
          <w:p w:rsidR="006224C2" w:rsidRPr="00295E71" w:rsidP="00F57FE5" w14:paraId="60C5DDDB" w14:textId="77777777">
            <w:pPr>
              <w:pStyle w:val="EMEANormal"/>
              <w:keepNext/>
              <w:keepLines/>
              <w:widowControl w:val="0"/>
              <w:spacing w:before="60"/>
              <w:rPr>
                <w:lang w:val="it-IT"/>
              </w:rPr>
            </w:pPr>
          </w:p>
        </w:tc>
      </w:tr>
      <w:tr w14:paraId="70E91EA1" w14:textId="77777777" w:rsidTr="00C04163">
        <w:tblPrEx>
          <w:tblW w:w="0" w:type="auto"/>
          <w:tblLook w:val="01E0"/>
        </w:tblPrEx>
        <w:trPr>
          <w:cantSplit/>
        </w:trPr>
        <w:tc>
          <w:tcPr>
            <w:tcW w:w="2566" w:type="dxa"/>
            <w:vMerge/>
            <w:tcBorders>
              <w:bottom w:val="single" w:sz="4" w:space="0" w:color="auto"/>
            </w:tcBorders>
          </w:tcPr>
          <w:p w:rsidR="006224C2" w:rsidRPr="00295E71" w:rsidP="00F57FE5" w14:paraId="39EB416D" w14:textId="77777777">
            <w:pPr>
              <w:keepNext/>
              <w:keepLines/>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rsidP="00F57FE5" w14:paraId="1139CF23" w14:textId="77777777">
            <w:pPr>
              <w:pStyle w:val="EMEANormal"/>
              <w:keepNext/>
              <w:keepLines/>
              <w:widowControl w:val="0"/>
              <w:spacing w:before="60"/>
              <w:rPr>
                <w:lang w:val="it-IT"/>
              </w:rPr>
            </w:pPr>
            <w:r w:rsidRPr="00295E71">
              <w:rPr>
                <w:lang w:val="it-IT"/>
              </w:rPr>
              <w:t>Comune</w:t>
            </w:r>
          </w:p>
          <w:p w:rsidR="006224C2" w:rsidRPr="00295E71" w:rsidP="00F57FE5" w14:paraId="71CC31B3" w14:textId="77777777">
            <w:pPr>
              <w:pStyle w:val="EMEANormal"/>
              <w:keepNext/>
              <w:keepLines/>
              <w:widowControl w:val="0"/>
              <w:spacing w:before="60"/>
              <w:rPr>
                <w:lang w:val="it-IT"/>
              </w:rPr>
            </w:pPr>
          </w:p>
        </w:tc>
        <w:tc>
          <w:tcPr>
            <w:tcW w:w="4457" w:type="dxa"/>
            <w:tcBorders>
              <w:top w:val="single" w:sz="4" w:space="0" w:color="auto"/>
              <w:bottom w:val="single" w:sz="4" w:space="0" w:color="auto"/>
            </w:tcBorders>
          </w:tcPr>
          <w:p w:rsidR="006224C2" w:rsidRPr="00295E71" w:rsidP="00F57FE5" w14:paraId="419BA4E0" w14:textId="77777777">
            <w:pPr>
              <w:keepNext/>
              <w:keepLines/>
              <w:widowControl w:val="0"/>
              <w:rPr>
                <w:sz w:val="22"/>
                <w:szCs w:val="22"/>
              </w:rPr>
            </w:pPr>
            <w:r w:rsidRPr="00295E71">
              <w:rPr>
                <w:sz w:val="22"/>
                <w:szCs w:val="22"/>
              </w:rPr>
              <w:t>I</w:t>
            </w:r>
            <w:r w:rsidRPr="00295E71" w:rsidR="00226BC4">
              <w:rPr>
                <w:sz w:val="22"/>
                <w:szCs w:val="22"/>
              </w:rPr>
              <w:t xml:space="preserve">nfezioni sistemiche (tra cui sepsi, candidosi ed influenza), </w:t>
            </w:r>
          </w:p>
          <w:p w:rsidR="006224C2" w:rsidRPr="00295E71" w:rsidP="00F57FE5" w14:paraId="0B11012A" w14:textId="77777777">
            <w:pPr>
              <w:keepNext/>
              <w:keepLines/>
              <w:widowControl w:val="0"/>
              <w:rPr>
                <w:sz w:val="22"/>
                <w:szCs w:val="22"/>
              </w:rPr>
            </w:pPr>
            <w:r w:rsidRPr="00295E71">
              <w:rPr>
                <w:sz w:val="22"/>
                <w:szCs w:val="22"/>
              </w:rPr>
              <w:t xml:space="preserve">infezioni intestinali (tra cui gastroenterite virale), </w:t>
            </w:r>
          </w:p>
          <w:p w:rsidR="006224C2" w:rsidRPr="00295E71" w:rsidP="00F57FE5" w14:paraId="26666F4B" w14:textId="77777777">
            <w:pPr>
              <w:keepNext/>
              <w:keepLines/>
              <w:widowControl w:val="0"/>
              <w:rPr>
                <w:sz w:val="22"/>
                <w:szCs w:val="22"/>
              </w:rPr>
            </w:pPr>
            <w:r w:rsidRPr="00295E71">
              <w:rPr>
                <w:sz w:val="22"/>
                <w:szCs w:val="22"/>
              </w:rPr>
              <w:t>infezioni della pelle e dei tessuti molli (tra cui paronichia, cellulite, impetigine, fascite necrotizzante ed herpes zoster),</w:t>
            </w:r>
          </w:p>
          <w:p w:rsidR="006224C2" w:rsidRPr="00295E71" w:rsidP="00F57FE5" w14:paraId="42C84B37" w14:textId="77777777">
            <w:pPr>
              <w:pStyle w:val="EndnoteText"/>
              <w:keepNext/>
              <w:keepLines/>
              <w:widowControl w:val="0"/>
              <w:tabs>
                <w:tab w:val="clear" w:pos="567"/>
              </w:tabs>
              <w:rPr>
                <w:lang w:val="it-IT" w:eastAsia="it-IT"/>
              </w:rPr>
            </w:pPr>
            <w:r w:rsidRPr="00295E71">
              <w:rPr>
                <w:lang w:val="it-IT" w:eastAsia="it-IT"/>
              </w:rPr>
              <w:t>infezioni dell’orecchio,</w:t>
            </w:r>
          </w:p>
          <w:p w:rsidR="006224C2" w:rsidRPr="00295E71" w:rsidP="00F57FE5" w14:paraId="18FA54F3" w14:textId="77777777">
            <w:pPr>
              <w:keepNext/>
              <w:keepLines/>
              <w:rPr>
                <w:sz w:val="22"/>
                <w:szCs w:val="22"/>
              </w:rPr>
            </w:pPr>
            <w:r w:rsidRPr="00295E71">
              <w:rPr>
                <w:sz w:val="22"/>
                <w:szCs w:val="22"/>
              </w:rPr>
              <w:t>infezioni del cavo orale (tra cui herpes simplex, herpes orale ed infezioni dentali),</w:t>
            </w:r>
          </w:p>
          <w:p w:rsidR="006224C2" w:rsidRPr="00295E71" w:rsidP="00F57FE5" w14:paraId="5699AB31" w14:textId="77777777">
            <w:pPr>
              <w:keepNext/>
              <w:keepLines/>
              <w:rPr>
                <w:sz w:val="22"/>
                <w:szCs w:val="22"/>
              </w:rPr>
            </w:pPr>
            <w:r w:rsidRPr="00295E71">
              <w:rPr>
                <w:sz w:val="22"/>
                <w:szCs w:val="22"/>
              </w:rPr>
              <w:t>infezioni dell’apparato riproduttivo (tra cui infezione vulvovaginale micotica),</w:t>
            </w:r>
          </w:p>
          <w:p w:rsidR="006224C2" w:rsidRPr="00295E71" w:rsidP="00F57FE5" w14:paraId="60496A7D" w14:textId="77777777">
            <w:pPr>
              <w:pStyle w:val="EndnoteText"/>
              <w:keepNext/>
              <w:keepLines/>
              <w:tabs>
                <w:tab w:val="clear" w:pos="567"/>
              </w:tabs>
              <w:rPr>
                <w:lang w:val="it-IT" w:eastAsia="it-IT"/>
              </w:rPr>
            </w:pPr>
            <w:r w:rsidRPr="00295E71">
              <w:rPr>
                <w:lang w:val="it-IT" w:eastAsia="it-IT"/>
              </w:rPr>
              <w:t>infezioni delle vie urinarie (tra cui pielonefriti),</w:t>
            </w:r>
          </w:p>
          <w:p w:rsidR="006224C2" w:rsidRPr="00295E71" w:rsidP="00F57FE5" w14:paraId="7B8728A1" w14:textId="77777777">
            <w:pPr>
              <w:pStyle w:val="EMEANormal"/>
              <w:keepNext/>
              <w:keepLines/>
              <w:widowControl w:val="0"/>
              <w:spacing w:before="60"/>
              <w:rPr>
                <w:lang w:val="it-IT"/>
              </w:rPr>
            </w:pPr>
            <w:r w:rsidRPr="00295E71">
              <w:rPr>
                <w:lang w:val="it-IT"/>
              </w:rPr>
              <w:t>infezioni fungine,</w:t>
            </w:r>
          </w:p>
          <w:p w:rsidR="006224C2" w:rsidRPr="00295E71" w:rsidP="00F57FE5" w14:paraId="0B2EA5EC" w14:textId="77777777">
            <w:pPr>
              <w:pStyle w:val="EMEANormal"/>
              <w:keepNext/>
              <w:keepLines/>
              <w:widowControl w:val="0"/>
              <w:spacing w:before="60"/>
              <w:rPr>
                <w:lang w:val="it-IT"/>
              </w:rPr>
            </w:pPr>
            <w:r w:rsidRPr="00295E71">
              <w:rPr>
                <w:lang w:val="it-IT"/>
              </w:rPr>
              <w:t>infezioni articolari</w:t>
            </w:r>
          </w:p>
          <w:p w:rsidR="006224C2" w:rsidRPr="00295E71" w:rsidP="00F57FE5" w14:paraId="17A004E9" w14:textId="77777777">
            <w:pPr>
              <w:pStyle w:val="EMEANormal"/>
              <w:keepNext/>
              <w:keepLines/>
              <w:widowControl w:val="0"/>
              <w:spacing w:before="60"/>
              <w:rPr>
                <w:lang w:val="it-IT"/>
              </w:rPr>
            </w:pPr>
          </w:p>
        </w:tc>
      </w:tr>
      <w:tr w14:paraId="03B738CB" w14:textId="77777777" w:rsidTr="00C04163">
        <w:tblPrEx>
          <w:tblW w:w="0" w:type="auto"/>
          <w:tblLook w:val="01E0"/>
        </w:tblPrEx>
        <w:trPr>
          <w:cantSplit/>
        </w:trPr>
        <w:tc>
          <w:tcPr>
            <w:tcW w:w="2566" w:type="dxa"/>
            <w:vMerge/>
            <w:tcBorders>
              <w:top w:val="single" w:sz="4" w:space="0" w:color="auto"/>
            </w:tcBorders>
          </w:tcPr>
          <w:p w:rsidR="006224C2" w:rsidRPr="00295E71" w14:paraId="3A490B56" w14:textId="77777777">
            <w:pPr>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14:paraId="1F44BE08" w14:textId="77777777">
            <w:pPr>
              <w:pStyle w:val="EMEANormal"/>
              <w:widowControl w:val="0"/>
              <w:rPr>
                <w:lang w:val="it-IT"/>
              </w:rPr>
            </w:pPr>
            <w:r w:rsidRPr="00295E71">
              <w:rPr>
                <w:lang w:val="it-IT"/>
              </w:rPr>
              <w:t>Non comune</w:t>
            </w:r>
          </w:p>
          <w:p w:rsidR="006224C2" w:rsidRPr="00295E71" w14:paraId="2B3AFFF1" w14:textId="77777777">
            <w:pPr>
              <w:pStyle w:val="EMEANormal"/>
              <w:widowControl w:val="0"/>
              <w:rPr>
                <w:lang w:val="it-IT"/>
              </w:rPr>
            </w:pPr>
          </w:p>
        </w:tc>
        <w:tc>
          <w:tcPr>
            <w:tcW w:w="4457" w:type="dxa"/>
            <w:tcBorders>
              <w:top w:val="single" w:sz="4" w:space="0" w:color="auto"/>
              <w:bottom w:val="single" w:sz="4" w:space="0" w:color="auto"/>
            </w:tcBorders>
          </w:tcPr>
          <w:p w:rsidR="006224C2" w:rsidRPr="00295E71" w14:paraId="11797B86" w14:textId="77777777">
            <w:pPr>
              <w:pStyle w:val="EMEANormal"/>
              <w:widowControl w:val="0"/>
              <w:rPr>
                <w:lang w:val="it-IT"/>
              </w:rPr>
            </w:pPr>
            <w:r w:rsidRPr="00295E71">
              <w:rPr>
                <w:lang w:val="it-IT"/>
              </w:rPr>
              <w:t>I</w:t>
            </w:r>
            <w:r w:rsidRPr="00295E71" w:rsidR="00226BC4">
              <w:rPr>
                <w:lang w:val="it-IT"/>
              </w:rPr>
              <w:t xml:space="preserve">nfezioni neurologiche (tra cui meningite virale), </w:t>
            </w:r>
          </w:p>
          <w:p w:rsidR="006224C2" w:rsidRPr="00295E71" w14:paraId="7C847547" w14:textId="77777777">
            <w:pPr>
              <w:pStyle w:val="EMEANormal"/>
              <w:widowControl w:val="0"/>
              <w:rPr>
                <w:lang w:val="it-IT"/>
              </w:rPr>
            </w:pPr>
            <w:r w:rsidRPr="00295E71">
              <w:rPr>
                <w:lang w:val="it-IT"/>
              </w:rPr>
              <w:t>infezioni opportunistiche e tubercolosi (tra cui coccidioidomicosi, istoplasmosi e infezioni da mycobacterium avium complex),</w:t>
            </w:r>
          </w:p>
          <w:p w:rsidR="006224C2" w:rsidRPr="00295E71" w14:paraId="00942E71" w14:textId="77777777">
            <w:pPr>
              <w:pStyle w:val="EMEANormal"/>
              <w:widowControl w:val="0"/>
              <w:rPr>
                <w:lang w:val="it-IT"/>
              </w:rPr>
            </w:pPr>
            <w:r w:rsidRPr="00295E71">
              <w:rPr>
                <w:lang w:val="it-IT"/>
              </w:rPr>
              <w:t>infezioni batteriche,</w:t>
            </w:r>
          </w:p>
          <w:p w:rsidR="006224C2" w:rsidRPr="00295E71" w14:paraId="4FC64C16" w14:textId="77777777">
            <w:pPr>
              <w:pStyle w:val="EMEANormal"/>
              <w:widowControl w:val="0"/>
              <w:rPr>
                <w:lang w:val="it-IT"/>
              </w:rPr>
            </w:pPr>
            <w:r w:rsidRPr="00295E71">
              <w:rPr>
                <w:lang w:val="it-IT"/>
              </w:rPr>
              <w:t>infezioni oculari,</w:t>
            </w:r>
          </w:p>
          <w:p w:rsidR="006224C2" w:rsidRPr="00295E71" w14:paraId="0561DA30" w14:textId="77777777">
            <w:pPr>
              <w:pStyle w:val="EMEANormal"/>
              <w:widowControl w:val="0"/>
              <w:rPr>
                <w:vertAlign w:val="superscript"/>
                <w:lang w:val="it-IT"/>
              </w:rPr>
            </w:pPr>
            <w:r w:rsidRPr="00295E71">
              <w:rPr>
                <w:lang w:val="it-IT"/>
              </w:rPr>
              <w:t>diverticolite</w:t>
            </w:r>
            <w:r w:rsidRPr="00295E71">
              <w:rPr>
                <w:vertAlign w:val="superscript"/>
                <w:lang w:val="it-IT"/>
              </w:rPr>
              <w:t>1)</w:t>
            </w:r>
          </w:p>
          <w:p w:rsidR="006224C2" w:rsidRPr="00295E71" w14:paraId="15FC1B7D" w14:textId="77777777">
            <w:pPr>
              <w:pStyle w:val="EMEANormal"/>
              <w:widowControl w:val="0"/>
              <w:rPr>
                <w:lang w:val="it-IT"/>
              </w:rPr>
            </w:pPr>
          </w:p>
        </w:tc>
      </w:tr>
      <w:tr w14:paraId="10675F42" w14:textId="77777777" w:rsidTr="00C04163">
        <w:tblPrEx>
          <w:tblW w:w="0" w:type="auto"/>
          <w:tblLook w:val="01E0"/>
        </w:tblPrEx>
        <w:trPr>
          <w:cantSplit/>
        </w:trPr>
        <w:tc>
          <w:tcPr>
            <w:tcW w:w="2566" w:type="dxa"/>
            <w:vMerge w:val="restart"/>
          </w:tcPr>
          <w:p w:rsidR="006224C2" w:rsidRPr="00295E71" w14:paraId="270A87EF" w14:textId="77777777">
            <w:pPr>
              <w:pStyle w:val="EndnoteText"/>
              <w:widowControl w:val="0"/>
              <w:tabs>
                <w:tab w:val="clear" w:pos="567"/>
              </w:tabs>
              <w:spacing w:before="60"/>
              <w:rPr>
                <w:b/>
                <w:lang w:val="it-IT" w:eastAsia="it-IT"/>
              </w:rPr>
            </w:pPr>
            <w:r w:rsidRPr="00295E71">
              <w:rPr>
                <w:lang w:val="it-IT" w:eastAsia="it-IT"/>
              </w:rPr>
              <w:t>Tumori benigni, maligni e non specificati (cisti e polipi compresi)*</w:t>
            </w:r>
          </w:p>
        </w:tc>
        <w:tc>
          <w:tcPr>
            <w:tcW w:w="2037" w:type="dxa"/>
            <w:tcBorders>
              <w:top w:val="single" w:sz="4" w:space="0" w:color="auto"/>
              <w:bottom w:val="single" w:sz="4" w:space="0" w:color="auto"/>
            </w:tcBorders>
          </w:tcPr>
          <w:p w:rsidR="006224C2" w:rsidRPr="00295E71" w14:paraId="5A0D9A8A" w14:textId="77777777">
            <w:pPr>
              <w:pStyle w:val="EMEANormal"/>
              <w:widowControl w:val="0"/>
              <w:spacing w:before="60"/>
              <w:rPr>
                <w:lang w:val="it-IT"/>
              </w:rPr>
            </w:pPr>
            <w:r w:rsidRPr="00295E71">
              <w:rPr>
                <w:lang w:val="it-IT"/>
              </w:rPr>
              <w:t>Comune</w:t>
            </w:r>
          </w:p>
          <w:p w:rsidR="006224C2" w:rsidRPr="00295E71" w14:paraId="56EE7B3F" w14:textId="77777777">
            <w:pPr>
              <w:pStyle w:val="EMEANormal"/>
              <w:widowControl w:val="0"/>
              <w:spacing w:before="60"/>
              <w:rPr>
                <w:lang w:val="it-IT"/>
              </w:rPr>
            </w:pPr>
          </w:p>
        </w:tc>
        <w:tc>
          <w:tcPr>
            <w:tcW w:w="4457" w:type="dxa"/>
            <w:tcBorders>
              <w:top w:val="single" w:sz="4" w:space="0" w:color="auto"/>
              <w:bottom w:val="single" w:sz="4" w:space="0" w:color="auto"/>
            </w:tcBorders>
          </w:tcPr>
          <w:p w:rsidR="006224C2" w:rsidRPr="00295E71" w14:paraId="15FAF4EF" w14:textId="77777777">
            <w:pPr>
              <w:pStyle w:val="EMEANormal"/>
              <w:widowControl w:val="0"/>
              <w:spacing w:before="60"/>
              <w:rPr>
                <w:lang w:val="it-IT"/>
              </w:rPr>
            </w:pPr>
            <w:r w:rsidRPr="00295E71">
              <w:rPr>
                <w:lang w:val="it-IT"/>
              </w:rPr>
              <w:t>T</w:t>
            </w:r>
            <w:r w:rsidRPr="00295E71" w:rsidR="00226BC4">
              <w:rPr>
                <w:lang w:val="it-IT"/>
              </w:rPr>
              <w:t>umore cutaneo escluso il melanoma (tra cui carcinoma basocellulare e carcinoma a cellule squamose),</w:t>
            </w:r>
          </w:p>
          <w:p w:rsidR="006224C2" w:rsidRPr="00295E71" w14:paraId="57932E85" w14:textId="77777777">
            <w:pPr>
              <w:pStyle w:val="EMEANormal"/>
              <w:widowControl w:val="0"/>
              <w:spacing w:before="60"/>
              <w:rPr>
                <w:lang w:val="it-IT"/>
              </w:rPr>
            </w:pPr>
            <w:r w:rsidRPr="00295E71">
              <w:rPr>
                <w:lang w:val="it-IT"/>
              </w:rPr>
              <w:t>neoplasia benigna,</w:t>
            </w:r>
          </w:p>
          <w:p w:rsidR="006224C2" w:rsidRPr="00295E71" w14:paraId="446C78E9" w14:textId="77777777">
            <w:pPr>
              <w:pStyle w:val="EMEANormal"/>
              <w:widowControl w:val="0"/>
              <w:spacing w:before="60"/>
              <w:rPr>
                <w:lang w:val="it-IT"/>
              </w:rPr>
            </w:pPr>
          </w:p>
        </w:tc>
      </w:tr>
      <w:tr w14:paraId="13E42ED2" w14:textId="77777777" w:rsidTr="00C04163">
        <w:tblPrEx>
          <w:tblW w:w="0" w:type="auto"/>
          <w:tblLook w:val="01E0"/>
        </w:tblPrEx>
        <w:trPr>
          <w:cantSplit/>
        </w:trPr>
        <w:tc>
          <w:tcPr>
            <w:tcW w:w="2566" w:type="dxa"/>
            <w:vMerge/>
          </w:tcPr>
          <w:p w:rsidR="006224C2" w:rsidRPr="00295E71" w14:paraId="68BE2DEE" w14:textId="77777777">
            <w:pPr>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14:paraId="62F50430" w14:textId="77777777">
            <w:pPr>
              <w:pStyle w:val="EMEANormal"/>
              <w:widowControl w:val="0"/>
              <w:rPr>
                <w:lang w:val="it-IT"/>
              </w:rPr>
            </w:pPr>
            <w:r w:rsidRPr="00295E71">
              <w:rPr>
                <w:lang w:val="it-IT"/>
              </w:rPr>
              <w:t>Non comune</w:t>
            </w:r>
          </w:p>
          <w:p w:rsidR="006224C2" w:rsidRPr="00295E71" w14:paraId="6CAE8186" w14:textId="77777777">
            <w:pPr>
              <w:pStyle w:val="EMEANormal"/>
              <w:widowControl w:val="0"/>
              <w:rPr>
                <w:lang w:val="it-IT"/>
              </w:rPr>
            </w:pPr>
          </w:p>
        </w:tc>
        <w:tc>
          <w:tcPr>
            <w:tcW w:w="4457" w:type="dxa"/>
            <w:tcBorders>
              <w:top w:val="single" w:sz="4" w:space="0" w:color="auto"/>
              <w:bottom w:val="single" w:sz="4" w:space="0" w:color="auto"/>
            </w:tcBorders>
          </w:tcPr>
          <w:p w:rsidR="006224C2" w:rsidRPr="00295E71" w14:paraId="7DABD495" w14:textId="77777777">
            <w:pPr>
              <w:pStyle w:val="EMEANormal"/>
              <w:widowControl w:val="0"/>
              <w:rPr>
                <w:lang w:val="it-IT"/>
              </w:rPr>
            </w:pPr>
            <w:r w:rsidRPr="00295E71">
              <w:rPr>
                <w:lang w:val="it-IT"/>
              </w:rPr>
              <w:t>L</w:t>
            </w:r>
            <w:r w:rsidRPr="00295E71" w:rsidR="00226BC4">
              <w:rPr>
                <w:lang w:val="it-IT"/>
              </w:rPr>
              <w:t>infoma**,</w:t>
            </w:r>
          </w:p>
          <w:p w:rsidR="006224C2" w:rsidRPr="00295E71" w14:paraId="44074F57" w14:textId="77777777">
            <w:pPr>
              <w:pStyle w:val="EMEANormal"/>
              <w:widowControl w:val="0"/>
              <w:rPr>
                <w:lang w:val="it-IT"/>
              </w:rPr>
            </w:pPr>
            <w:r w:rsidRPr="00295E71">
              <w:rPr>
                <w:lang w:val="it-IT"/>
              </w:rPr>
              <w:t>tumori solidi (tra cui carcinoma mammario, neoplasia polmonare e neoplasia tiroidea),</w:t>
            </w:r>
          </w:p>
          <w:p w:rsidR="006224C2" w:rsidRPr="00295E71" w14:paraId="677B9625" w14:textId="77777777">
            <w:pPr>
              <w:pStyle w:val="EMEANormal"/>
              <w:widowControl w:val="0"/>
              <w:rPr>
                <w:lang w:val="it-IT"/>
              </w:rPr>
            </w:pPr>
            <w:r w:rsidRPr="00295E71">
              <w:rPr>
                <w:lang w:val="it-IT"/>
              </w:rPr>
              <w:t>melanoma**</w:t>
            </w:r>
          </w:p>
          <w:p w:rsidR="006224C2" w:rsidRPr="00295E71" w14:paraId="0B3BE59B" w14:textId="77777777">
            <w:pPr>
              <w:pStyle w:val="EMEANormal"/>
              <w:widowControl w:val="0"/>
              <w:rPr>
                <w:lang w:val="it-IT"/>
              </w:rPr>
            </w:pPr>
          </w:p>
        </w:tc>
      </w:tr>
      <w:tr w14:paraId="4947BEE2" w14:textId="77777777" w:rsidTr="00C04163">
        <w:tblPrEx>
          <w:tblW w:w="0" w:type="auto"/>
          <w:tblLook w:val="01E0"/>
        </w:tblPrEx>
        <w:trPr>
          <w:cantSplit/>
        </w:trPr>
        <w:tc>
          <w:tcPr>
            <w:tcW w:w="2566" w:type="dxa"/>
            <w:vMerge/>
          </w:tcPr>
          <w:p w:rsidR="006224C2" w:rsidRPr="00295E71" w14:paraId="33E4FB04" w14:textId="77777777">
            <w:pPr>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14:paraId="727EA24A" w14:textId="77777777">
            <w:pPr>
              <w:pStyle w:val="EMEANormal"/>
              <w:widowControl w:val="0"/>
              <w:rPr>
                <w:lang w:val="it-IT"/>
              </w:rPr>
            </w:pPr>
            <w:r w:rsidRPr="00295E71">
              <w:rPr>
                <w:lang w:val="it-IT"/>
              </w:rPr>
              <w:t>Raro</w:t>
            </w:r>
          </w:p>
        </w:tc>
        <w:tc>
          <w:tcPr>
            <w:tcW w:w="4457" w:type="dxa"/>
            <w:tcBorders>
              <w:top w:val="single" w:sz="4" w:space="0" w:color="auto"/>
              <w:bottom w:val="single" w:sz="4" w:space="0" w:color="auto"/>
            </w:tcBorders>
          </w:tcPr>
          <w:p w:rsidR="006224C2" w:rsidRPr="00295E71" w14:paraId="7F24E8EA" w14:textId="77777777">
            <w:pPr>
              <w:pStyle w:val="EMEANormal"/>
              <w:widowControl w:val="0"/>
              <w:rPr>
                <w:vertAlign w:val="superscript"/>
                <w:lang w:val="it-IT"/>
              </w:rPr>
            </w:pPr>
            <w:r w:rsidRPr="00295E71">
              <w:rPr>
                <w:lang w:val="it-IT"/>
              </w:rPr>
              <w:t>L</w:t>
            </w:r>
            <w:r w:rsidRPr="00295E71" w:rsidR="00226BC4">
              <w:rPr>
                <w:lang w:val="it-IT"/>
              </w:rPr>
              <w:t>eucemia</w:t>
            </w:r>
            <w:r w:rsidRPr="00295E71" w:rsidR="00226BC4">
              <w:rPr>
                <w:vertAlign w:val="superscript"/>
                <w:lang w:val="it-IT"/>
              </w:rPr>
              <w:t>1)</w:t>
            </w:r>
          </w:p>
          <w:p w:rsidR="006224C2" w:rsidRPr="00295E71" w14:paraId="460858E9" w14:textId="77777777">
            <w:pPr>
              <w:pStyle w:val="EMEANormal"/>
              <w:widowControl w:val="0"/>
              <w:rPr>
                <w:lang w:val="it-IT"/>
              </w:rPr>
            </w:pPr>
          </w:p>
        </w:tc>
      </w:tr>
      <w:tr w14:paraId="7BF2851D" w14:textId="77777777" w:rsidTr="00C04163">
        <w:tblPrEx>
          <w:tblW w:w="0" w:type="auto"/>
          <w:tblLook w:val="01E0"/>
        </w:tblPrEx>
        <w:trPr>
          <w:cantSplit/>
        </w:trPr>
        <w:tc>
          <w:tcPr>
            <w:tcW w:w="2566" w:type="dxa"/>
            <w:vMerge/>
          </w:tcPr>
          <w:p w:rsidR="006224C2" w:rsidRPr="00295E71" w14:paraId="6072AE94" w14:textId="77777777">
            <w:pPr>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14:paraId="2AA052BC" w14:textId="77777777">
            <w:pPr>
              <w:pStyle w:val="EMEANormal"/>
              <w:widowControl w:val="0"/>
              <w:rPr>
                <w:lang w:val="it-IT"/>
              </w:rPr>
            </w:pPr>
            <w:r w:rsidRPr="00295E71">
              <w:rPr>
                <w:lang w:val="it-IT"/>
              </w:rPr>
              <w:t>Non nota</w:t>
            </w:r>
          </w:p>
        </w:tc>
        <w:tc>
          <w:tcPr>
            <w:tcW w:w="4457" w:type="dxa"/>
            <w:tcBorders>
              <w:top w:val="single" w:sz="4" w:space="0" w:color="auto"/>
              <w:bottom w:val="single" w:sz="4" w:space="0" w:color="auto"/>
            </w:tcBorders>
          </w:tcPr>
          <w:p w:rsidR="006224C2" w:rsidRPr="0002593D" w14:paraId="6392D082" w14:textId="77777777">
            <w:pPr>
              <w:pStyle w:val="EMEANormal"/>
              <w:widowControl w:val="0"/>
              <w:rPr>
                <w:lang w:val="it-IT"/>
              </w:rPr>
            </w:pPr>
            <w:r w:rsidRPr="00295E71">
              <w:rPr>
                <w:lang w:val="it-IT"/>
              </w:rPr>
              <w:t>L</w:t>
            </w:r>
            <w:r w:rsidRPr="00295E71" w:rsidR="00226BC4">
              <w:rPr>
                <w:lang w:val="it-IT"/>
              </w:rPr>
              <w:t xml:space="preserve">infoma epato-splenico a cellule T </w:t>
            </w:r>
            <w:r w:rsidRPr="00295E71" w:rsidR="00226BC4">
              <w:rPr>
                <w:vertAlign w:val="superscript"/>
                <w:lang w:val="it-IT"/>
              </w:rPr>
              <w:t>1)</w:t>
            </w:r>
            <w:r w:rsidR="00BD0F8D">
              <w:rPr>
                <w:lang w:val="it-IT"/>
              </w:rPr>
              <w:t>,</w:t>
            </w:r>
          </w:p>
          <w:p w:rsidR="000B3DBE" w:rsidP="000B3DBE" w14:paraId="1255FFBE" w14:textId="77777777">
            <w:pPr>
              <w:pStyle w:val="EMEANormal"/>
              <w:widowControl w:val="0"/>
              <w:jc w:val="both"/>
              <w:rPr>
                <w:lang w:val="it-IT"/>
              </w:rPr>
            </w:pPr>
            <w:r>
              <w:rPr>
                <w:lang w:val="it-IT"/>
              </w:rPr>
              <w:t>c</w:t>
            </w:r>
            <w:r w:rsidRPr="00295E71" w:rsidR="00226BC4">
              <w:rPr>
                <w:lang w:val="it-IT"/>
              </w:rPr>
              <w:t>arcinoma a cellule di Merkel (carcinoma neuroendocrino della pelle)</w:t>
            </w:r>
            <w:r w:rsidRPr="00295E71" w:rsidR="00226BC4">
              <w:rPr>
                <w:vertAlign w:val="superscript"/>
                <w:lang w:val="it-IT"/>
              </w:rPr>
              <w:t>1)</w:t>
            </w:r>
            <w:r>
              <w:rPr>
                <w:lang w:val="it-IT"/>
              </w:rPr>
              <w:t xml:space="preserve"> ,</w:t>
            </w:r>
          </w:p>
          <w:p w:rsidR="000B3DBE" w:rsidP="000B3DBE" w14:paraId="0840E0D0" w14:textId="77777777">
            <w:pPr>
              <w:pStyle w:val="EMEANormal"/>
              <w:widowControl w:val="0"/>
              <w:jc w:val="both"/>
              <w:rPr>
                <w:lang w:val="it-IT"/>
              </w:rPr>
            </w:pPr>
            <w:r w:rsidRPr="000B3DBE">
              <w:rPr>
                <w:lang w:val="it-IT"/>
              </w:rPr>
              <w:t>sarcoma di Kaposi</w:t>
            </w:r>
          </w:p>
          <w:p w:rsidR="006224C2" w:rsidRPr="00295E71" w14:paraId="3BFD354C" w14:textId="77777777">
            <w:pPr>
              <w:pStyle w:val="EMEANormal"/>
              <w:widowControl w:val="0"/>
              <w:rPr>
                <w:lang w:val="it-IT"/>
              </w:rPr>
            </w:pPr>
          </w:p>
        </w:tc>
      </w:tr>
      <w:tr w14:paraId="4D7CB4AA" w14:textId="77777777" w:rsidTr="00C04163">
        <w:tblPrEx>
          <w:tblW w:w="0" w:type="auto"/>
          <w:tblLook w:val="01E0"/>
        </w:tblPrEx>
        <w:trPr>
          <w:cantSplit/>
        </w:trPr>
        <w:tc>
          <w:tcPr>
            <w:tcW w:w="2566" w:type="dxa"/>
            <w:vMerge w:val="restart"/>
          </w:tcPr>
          <w:p w:rsidR="006224C2" w:rsidRPr="00295E71" w14:paraId="21E9A7F1" w14:textId="77777777">
            <w:pPr>
              <w:pStyle w:val="EndnoteText"/>
              <w:widowControl w:val="0"/>
              <w:tabs>
                <w:tab w:val="clear" w:pos="567"/>
              </w:tabs>
              <w:spacing w:before="60"/>
              <w:rPr>
                <w:b/>
                <w:lang w:val="it-IT" w:eastAsia="it-IT"/>
              </w:rPr>
            </w:pPr>
            <w:r w:rsidRPr="00295E71">
              <w:rPr>
                <w:lang w:val="it-IT" w:eastAsia="it-IT"/>
              </w:rPr>
              <w:t>Patologie del sistema emolinfopoietico*</w:t>
            </w:r>
          </w:p>
        </w:tc>
        <w:tc>
          <w:tcPr>
            <w:tcW w:w="2037" w:type="dxa"/>
            <w:tcBorders>
              <w:bottom w:val="single" w:sz="4" w:space="0" w:color="auto"/>
            </w:tcBorders>
          </w:tcPr>
          <w:p w:rsidR="006224C2" w:rsidRPr="00295E71" w14:paraId="1BDC8C83" w14:textId="77777777">
            <w:pPr>
              <w:pStyle w:val="EMEANormal"/>
              <w:widowControl w:val="0"/>
              <w:spacing w:before="60"/>
              <w:jc w:val="both"/>
              <w:rPr>
                <w:lang w:val="it-IT"/>
              </w:rPr>
            </w:pPr>
            <w:r w:rsidRPr="00295E71">
              <w:rPr>
                <w:lang w:val="it-IT"/>
              </w:rPr>
              <w:t>Molto comune</w:t>
            </w:r>
          </w:p>
          <w:p w:rsidR="006224C2" w:rsidRPr="00295E71" w14:paraId="77074DC3" w14:textId="77777777">
            <w:pPr>
              <w:pStyle w:val="EMEANormal"/>
              <w:widowControl w:val="0"/>
              <w:spacing w:before="60"/>
              <w:jc w:val="both"/>
              <w:rPr>
                <w:lang w:val="it-IT"/>
              </w:rPr>
            </w:pPr>
          </w:p>
        </w:tc>
        <w:tc>
          <w:tcPr>
            <w:tcW w:w="4457" w:type="dxa"/>
            <w:tcBorders>
              <w:bottom w:val="single" w:sz="4" w:space="0" w:color="auto"/>
            </w:tcBorders>
          </w:tcPr>
          <w:p w:rsidR="006224C2" w:rsidRPr="00295E71" w14:paraId="6E3F1950" w14:textId="77777777">
            <w:pPr>
              <w:pStyle w:val="EMEAFigureTitle"/>
              <w:widowControl w:val="0"/>
              <w:tabs>
                <w:tab w:val="clear" w:pos="562"/>
              </w:tabs>
              <w:suppressAutoHyphens w:val="0"/>
              <w:spacing w:before="60"/>
              <w:rPr>
                <w:lang w:val="it-IT" w:eastAsia="it-IT"/>
              </w:rPr>
            </w:pPr>
            <w:r w:rsidRPr="00295E71">
              <w:rPr>
                <w:lang w:val="it-IT" w:eastAsia="it-IT"/>
              </w:rPr>
              <w:t>L</w:t>
            </w:r>
            <w:r w:rsidRPr="00295E71" w:rsidR="00226BC4">
              <w:rPr>
                <w:lang w:val="it-IT" w:eastAsia="it-IT"/>
              </w:rPr>
              <w:t>eucopenia (tra cui neutropenia e agranulocitosi),</w:t>
            </w:r>
          </w:p>
          <w:p w:rsidR="006224C2" w:rsidRPr="00295E71" w14:paraId="05BB0C6D" w14:textId="77777777">
            <w:pPr>
              <w:widowControl w:val="0"/>
              <w:spacing w:before="60"/>
              <w:rPr>
                <w:sz w:val="22"/>
                <w:szCs w:val="22"/>
              </w:rPr>
            </w:pPr>
            <w:r w:rsidRPr="00295E71">
              <w:rPr>
                <w:sz w:val="22"/>
                <w:szCs w:val="22"/>
              </w:rPr>
              <w:t>anemia</w:t>
            </w:r>
          </w:p>
          <w:p w:rsidR="006224C2" w:rsidRPr="00295E71" w14:paraId="73D85689" w14:textId="77777777">
            <w:pPr>
              <w:widowControl w:val="0"/>
              <w:spacing w:before="60"/>
              <w:rPr>
                <w:b/>
                <w:sz w:val="22"/>
                <w:szCs w:val="22"/>
              </w:rPr>
            </w:pPr>
          </w:p>
        </w:tc>
      </w:tr>
      <w:tr w14:paraId="548049E2" w14:textId="77777777" w:rsidTr="00C04163">
        <w:tblPrEx>
          <w:tblW w:w="0" w:type="auto"/>
          <w:tblLook w:val="01E0"/>
        </w:tblPrEx>
        <w:trPr>
          <w:cantSplit/>
        </w:trPr>
        <w:tc>
          <w:tcPr>
            <w:tcW w:w="2566" w:type="dxa"/>
            <w:vMerge/>
          </w:tcPr>
          <w:p w:rsidR="006224C2" w:rsidRPr="00295E71" w14:paraId="442BB101" w14:textId="77777777">
            <w:pPr>
              <w:widowControl w:val="0"/>
              <w:spacing w:before="144" w:beforeLines="60"/>
              <w:jc w:val="center"/>
              <w:rPr>
                <w:b/>
                <w:sz w:val="22"/>
                <w:szCs w:val="22"/>
              </w:rPr>
            </w:pPr>
          </w:p>
        </w:tc>
        <w:tc>
          <w:tcPr>
            <w:tcW w:w="2037" w:type="dxa"/>
            <w:tcBorders>
              <w:top w:val="single" w:sz="4" w:space="0" w:color="auto"/>
              <w:bottom w:val="single" w:sz="4" w:space="0" w:color="auto"/>
            </w:tcBorders>
          </w:tcPr>
          <w:p w:rsidR="006224C2" w:rsidRPr="00295E71" w14:paraId="5B3245A2" w14:textId="77777777">
            <w:pPr>
              <w:pStyle w:val="EMEANormal"/>
              <w:widowControl w:val="0"/>
              <w:jc w:val="both"/>
              <w:rPr>
                <w:lang w:val="it-IT"/>
              </w:rPr>
            </w:pPr>
            <w:r w:rsidRPr="00295E71">
              <w:rPr>
                <w:lang w:val="it-IT"/>
              </w:rPr>
              <w:t>Comune</w:t>
            </w:r>
          </w:p>
        </w:tc>
        <w:tc>
          <w:tcPr>
            <w:tcW w:w="4457" w:type="dxa"/>
            <w:tcBorders>
              <w:top w:val="single" w:sz="4" w:space="0" w:color="auto"/>
              <w:bottom w:val="single" w:sz="4" w:space="0" w:color="auto"/>
            </w:tcBorders>
          </w:tcPr>
          <w:p w:rsidR="006224C2" w:rsidRPr="00295E71" w14:paraId="32A642A0" w14:textId="77777777">
            <w:pPr>
              <w:widowControl w:val="0"/>
              <w:rPr>
                <w:sz w:val="22"/>
                <w:szCs w:val="22"/>
              </w:rPr>
            </w:pPr>
            <w:r w:rsidRPr="00295E71">
              <w:rPr>
                <w:sz w:val="22"/>
                <w:szCs w:val="22"/>
              </w:rPr>
              <w:t>L</w:t>
            </w:r>
            <w:r w:rsidRPr="00295E71" w:rsidR="00226BC4">
              <w:rPr>
                <w:sz w:val="22"/>
                <w:szCs w:val="22"/>
              </w:rPr>
              <w:t>eucocitosi,</w:t>
            </w:r>
          </w:p>
          <w:p w:rsidR="006224C2" w:rsidRPr="00295E71" w14:paraId="2F56C7BF" w14:textId="77777777">
            <w:pPr>
              <w:pStyle w:val="EndnoteText"/>
              <w:widowControl w:val="0"/>
              <w:tabs>
                <w:tab w:val="clear" w:pos="567"/>
              </w:tabs>
              <w:rPr>
                <w:lang w:val="it-IT"/>
              </w:rPr>
            </w:pPr>
            <w:r w:rsidRPr="00295E71">
              <w:rPr>
                <w:lang w:val="it-IT"/>
              </w:rPr>
              <w:t>trombocitopenia</w:t>
            </w:r>
          </w:p>
          <w:p w:rsidR="006224C2" w:rsidRPr="00295E71" w14:paraId="2F39B923" w14:textId="77777777">
            <w:pPr>
              <w:widowControl w:val="0"/>
              <w:rPr>
                <w:sz w:val="22"/>
                <w:szCs w:val="22"/>
              </w:rPr>
            </w:pPr>
          </w:p>
        </w:tc>
      </w:tr>
      <w:tr w14:paraId="3A0C1AEC" w14:textId="77777777" w:rsidTr="00C04163">
        <w:tblPrEx>
          <w:tblW w:w="0" w:type="auto"/>
          <w:tblLook w:val="01E0"/>
        </w:tblPrEx>
        <w:trPr>
          <w:cantSplit/>
        </w:trPr>
        <w:tc>
          <w:tcPr>
            <w:tcW w:w="2566" w:type="dxa"/>
            <w:vMerge/>
          </w:tcPr>
          <w:p w:rsidR="006224C2" w:rsidRPr="00295E71" w14:paraId="589F3898" w14:textId="77777777">
            <w:pPr>
              <w:widowControl w:val="0"/>
              <w:spacing w:before="144" w:beforeLines="60"/>
              <w:jc w:val="center"/>
              <w:rPr>
                <w:b/>
                <w:sz w:val="22"/>
                <w:szCs w:val="22"/>
              </w:rPr>
            </w:pPr>
          </w:p>
        </w:tc>
        <w:tc>
          <w:tcPr>
            <w:tcW w:w="2037" w:type="dxa"/>
            <w:tcBorders>
              <w:top w:val="single" w:sz="4" w:space="0" w:color="auto"/>
              <w:bottom w:val="single" w:sz="4" w:space="0" w:color="auto"/>
            </w:tcBorders>
          </w:tcPr>
          <w:p w:rsidR="006224C2" w:rsidRPr="00295E71" w14:paraId="6F4B02B9" w14:textId="77777777">
            <w:pPr>
              <w:pStyle w:val="EMEANormal"/>
              <w:widowControl w:val="0"/>
              <w:jc w:val="both"/>
              <w:rPr>
                <w:lang w:val="it-IT"/>
              </w:rPr>
            </w:pPr>
            <w:r w:rsidRPr="00295E71">
              <w:rPr>
                <w:lang w:val="it-IT"/>
              </w:rPr>
              <w:t>Non comune</w:t>
            </w:r>
          </w:p>
        </w:tc>
        <w:tc>
          <w:tcPr>
            <w:tcW w:w="4457" w:type="dxa"/>
            <w:tcBorders>
              <w:top w:val="single" w:sz="4" w:space="0" w:color="auto"/>
              <w:bottom w:val="single" w:sz="4" w:space="0" w:color="auto"/>
            </w:tcBorders>
          </w:tcPr>
          <w:p w:rsidR="006224C2" w:rsidRPr="00295E71" w14:paraId="2BB45571" w14:textId="77777777">
            <w:pPr>
              <w:pStyle w:val="EMEAFigureTitle"/>
              <w:widowControl w:val="0"/>
              <w:tabs>
                <w:tab w:val="clear" w:pos="562"/>
              </w:tabs>
              <w:suppressAutoHyphens w:val="0"/>
              <w:rPr>
                <w:lang w:val="it-IT"/>
              </w:rPr>
            </w:pPr>
            <w:r w:rsidRPr="00295E71">
              <w:rPr>
                <w:lang w:val="it-IT"/>
              </w:rPr>
              <w:t>P</w:t>
            </w:r>
            <w:r w:rsidRPr="00295E71" w:rsidR="00226BC4">
              <w:rPr>
                <w:lang w:val="it-IT"/>
              </w:rPr>
              <w:t>orpora trombocitopenica idiopatica</w:t>
            </w:r>
          </w:p>
          <w:p w:rsidR="006224C2" w:rsidRPr="00295E71" w14:paraId="403E889F" w14:textId="77777777">
            <w:pPr>
              <w:pStyle w:val="EMEANormal"/>
              <w:rPr>
                <w:lang w:val="it-IT"/>
              </w:rPr>
            </w:pPr>
          </w:p>
        </w:tc>
      </w:tr>
      <w:tr w14:paraId="57719AEE" w14:textId="77777777" w:rsidTr="00C04163">
        <w:tblPrEx>
          <w:tblW w:w="0" w:type="auto"/>
          <w:tblLook w:val="01E0"/>
        </w:tblPrEx>
        <w:trPr>
          <w:cantSplit/>
        </w:trPr>
        <w:tc>
          <w:tcPr>
            <w:tcW w:w="2566" w:type="dxa"/>
            <w:vMerge/>
          </w:tcPr>
          <w:p w:rsidR="006224C2" w:rsidRPr="00295E71" w14:paraId="7D719D6E" w14:textId="77777777">
            <w:pPr>
              <w:widowControl w:val="0"/>
              <w:spacing w:before="144" w:beforeLines="60"/>
              <w:jc w:val="center"/>
              <w:rPr>
                <w:b/>
                <w:sz w:val="22"/>
                <w:szCs w:val="22"/>
              </w:rPr>
            </w:pPr>
          </w:p>
        </w:tc>
        <w:tc>
          <w:tcPr>
            <w:tcW w:w="2037" w:type="dxa"/>
            <w:tcBorders>
              <w:top w:val="single" w:sz="4" w:space="0" w:color="auto"/>
              <w:bottom w:val="single" w:sz="4" w:space="0" w:color="auto"/>
            </w:tcBorders>
          </w:tcPr>
          <w:p w:rsidR="006224C2" w:rsidRPr="00295E71" w14:paraId="0AB19307" w14:textId="77777777">
            <w:pPr>
              <w:pStyle w:val="EMEANormal"/>
              <w:widowControl w:val="0"/>
              <w:jc w:val="both"/>
              <w:rPr>
                <w:lang w:val="it-IT"/>
              </w:rPr>
            </w:pPr>
            <w:r w:rsidRPr="00295E71">
              <w:rPr>
                <w:lang w:val="it-IT"/>
              </w:rPr>
              <w:t>Raro</w:t>
            </w:r>
          </w:p>
          <w:p w:rsidR="006224C2" w:rsidRPr="00295E71" w14:paraId="59623601" w14:textId="77777777">
            <w:pPr>
              <w:pStyle w:val="EMEANormal"/>
              <w:widowControl w:val="0"/>
              <w:jc w:val="both"/>
              <w:rPr>
                <w:lang w:val="it-IT"/>
              </w:rPr>
            </w:pPr>
          </w:p>
        </w:tc>
        <w:tc>
          <w:tcPr>
            <w:tcW w:w="4457" w:type="dxa"/>
            <w:tcBorders>
              <w:top w:val="single" w:sz="4" w:space="0" w:color="auto"/>
              <w:bottom w:val="single" w:sz="4" w:space="0" w:color="auto"/>
            </w:tcBorders>
          </w:tcPr>
          <w:p w:rsidR="006224C2" w:rsidRPr="00295E71" w14:paraId="27BEA2A0" w14:textId="77777777">
            <w:pPr>
              <w:pStyle w:val="EndnoteText"/>
              <w:widowControl w:val="0"/>
              <w:tabs>
                <w:tab w:val="clear" w:pos="567"/>
              </w:tabs>
              <w:rPr>
                <w:b/>
                <w:lang w:val="it-IT"/>
              </w:rPr>
            </w:pPr>
            <w:r w:rsidRPr="00295E71">
              <w:rPr>
                <w:lang w:val="it-IT"/>
              </w:rPr>
              <w:t>P</w:t>
            </w:r>
            <w:r w:rsidRPr="00295E71" w:rsidR="00226BC4">
              <w:rPr>
                <w:lang w:val="it-IT"/>
              </w:rPr>
              <w:t>ancitopenia</w:t>
            </w:r>
          </w:p>
        </w:tc>
      </w:tr>
      <w:tr w14:paraId="2A020E23" w14:textId="77777777" w:rsidTr="00C04163">
        <w:tblPrEx>
          <w:tblW w:w="0" w:type="auto"/>
          <w:tblLook w:val="01E0"/>
        </w:tblPrEx>
        <w:tc>
          <w:tcPr>
            <w:tcW w:w="2566" w:type="dxa"/>
            <w:vMerge w:val="restart"/>
          </w:tcPr>
          <w:p w:rsidR="006224C2" w:rsidRPr="00295E71" w14:paraId="3C518F40" w14:textId="77777777">
            <w:pPr>
              <w:pStyle w:val="EMEANormal"/>
              <w:widowControl w:val="0"/>
              <w:spacing w:before="60"/>
              <w:rPr>
                <w:lang w:val="it-IT"/>
              </w:rPr>
            </w:pPr>
            <w:r w:rsidRPr="00295E71">
              <w:rPr>
                <w:lang w:val="it-IT"/>
              </w:rPr>
              <w:t>Disturbi del sistema immunitario*</w:t>
            </w:r>
          </w:p>
        </w:tc>
        <w:tc>
          <w:tcPr>
            <w:tcW w:w="2037" w:type="dxa"/>
            <w:tcBorders>
              <w:bottom w:val="single" w:sz="4" w:space="0" w:color="auto"/>
            </w:tcBorders>
          </w:tcPr>
          <w:p w:rsidR="006224C2" w:rsidRPr="00295E71" w14:paraId="1FF16E95" w14:textId="77777777">
            <w:pPr>
              <w:pStyle w:val="EMEANormal"/>
              <w:widowControl w:val="0"/>
              <w:spacing w:before="60"/>
              <w:rPr>
                <w:lang w:val="it-IT"/>
              </w:rPr>
            </w:pPr>
            <w:r w:rsidRPr="00295E71">
              <w:rPr>
                <w:lang w:val="it-IT"/>
              </w:rPr>
              <w:t>Comune</w:t>
            </w:r>
          </w:p>
          <w:p w:rsidR="006224C2" w:rsidRPr="00295E71" w14:paraId="0C2C05ED" w14:textId="77777777">
            <w:pPr>
              <w:pStyle w:val="EMEANormal"/>
              <w:widowControl w:val="0"/>
              <w:spacing w:before="60"/>
              <w:rPr>
                <w:lang w:val="it-IT"/>
              </w:rPr>
            </w:pPr>
          </w:p>
        </w:tc>
        <w:tc>
          <w:tcPr>
            <w:tcW w:w="4457" w:type="dxa"/>
            <w:tcBorders>
              <w:bottom w:val="single" w:sz="4" w:space="0" w:color="auto"/>
            </w:tcBorders>
          </w:tcPr>
          <w:p w:rsidR="006224C2" w:rsidRPr="00295E71" w14:paraId="0FEC06A1" w14:textId="77777777">
            <w:pPr>
              <w:pStyle w:val="EMEANormal"/>
              <w:widowControl w:val="0"/>
              <w:spacing w:before="60"/>
              <w:rPr>
                <w:lang w:val="it-IT"/>
              </w:rPr>
            </w:pPr>
            <w:r w:rsidRPr="00295E71">
              <w:rPr>
                <w:lang w:val="it-IT"/>
              </w:rPr>
              <w:t>I</w:t>
            </w:r>
            <w:r w:rsidRPr="00295E71" w:rsidR="00226BC4">
              <w:rPr>
                <w:lang w:val="it-IT"/>
              </w:rPr>
              <w:t>persensibilità,</w:t>
            </w:r>
          </w:p>
          <w:p w:rsidR="006224C2" w:rsidRPr="00295E71" w14:paraId="6CC7046F" w14:textId="77777777">
            <w:pPr>
              <w:pStyle w:val="EMEANormal"/>
              <w:widowControl w:val="0"/>
              <w:spacing w:before="60"/>
              <w:rPr>
                <w:lang w:val="it-IT"/>
              </w:rPr>
            </w:pPr>
            <w:r w:rsidRPr="00295E71">
              <w:rPr>
                <w:lang w:val="it-IT"/>
              </w:rPr>
              <w:t>allergie (tra cui allergia stagionale)</w:t>
            </w:r>
          </w:p>
        </w:tc>
      </w:tr>
      <w:tr w14:paraId="6CB6FAE4" w14:textId="77777777" w:rsidTr="00C04163">
        <w:tblPrEx>
          <w:tblW w:w="0" w:type="auto"/>
          <w:tblLook w:val="01E0"/>
        </w:tblPrEx>
        <w:tc>
          <w:tcPr>
            <w:tcW w:w="2566" w:type="dxa"/>
            <w:vMerge/>
            <w:tcBorders>
              <w:right w:val="single" w:sz="4" w:space="0" w:color="auto"/>
            </w:tcBorders>
          </w:tcPr>
          <w:p w:rsidR="006224C2" w:rsidRPr="00295E71" w14:paraId="2BE51947" w14:textId="77777777">
            <w:pPr>
              <w:pStyle w:val="EMEANormal"/>
              <w:widowControl w:val="0"/>
              <w:spacing w:before="60"/>
              <w:rPr>
                <w:lang w:val="it-IT"/>
              </w:rPr>
            </w:pPr>
          </w:p>
        </w:tc>
        <w:tc>
          <w:tcPr>
            <w:tcW w:w="2037" w:type="dxa"/>
            <w:tcBorders>
              <w:top w:val="single" w:sz="4" w:space="0" w:color="auto"/>
              <w:left w:val="single" w:sz="4" w:space="0" w:color="auto"/>
              <w:bottom w:val="single" w:sz="4" w:space="0" w:color="auto"/>
            </w:tcBorders>
          </w:tcPr>
          <w:p w:rsidR="006224C2" w:rsidRPr="00295E71" w14:paraId="0F0773FD" w14:textId="77777777">
            <w:pPr>
              <w:pStyle w:val="EMEANormal"/>
              <w:widowControl w:val="0"/>
              <w:spacing w:before="60"/>
              <w:rPr>
                <w:lang w:val="it-IT"/>
              </w:rPr>
            </w:pPr>
          </w:p>
          <w:p w:rsidR="006224C2" w:rsidRPr="00295E71" w14:paraId="2BF9776B" w14:textId="77777777">
            <w:pPr>
              <w:pStyle w:val="EMEANormal"/>
              <w:widowControl w:val="0"/>
              <w:spacing w:before="60"/>
              <w:rPr>
                <w:lang w:val="it-IT"/>
              </w:rPr>
            </w:pPr>
            <w:r w:rsidRPr="00295E71">
              <w:rPr>
                <w:lang w:val="it-IT"/>
              </w:rPr>
              <w:t>Non comune</w:t>
            </w:r>
          </w:p>
        </w:tc>
        <w:tc>
          <w:tcPr>
            <w:tcW w:w="4457" w:type="dxa"/>
            <w:tcBorders>
              <w:top w:val="single" w:sz="4" w:space="0" w:color="auto"/>
              <w:bottom w:val="single" w:sz="4" w:space="0" w:color="auto"/>
            </w:tcBorders>
          </w:tcPr>
          <w:p w:rsidR="006224C2" w:rsidRPr="00295E71" w14:paraId="1C671ACA" w14:textId="77777777">
            <w:pPr>
              <w:pStyle w:val="EMEANormal"/>
              <w:widowControl w:val="0"/>
              <w:rPr>
                <w:lang w:val="it-IT"/>
              </w:rPr>
            </w:pPr>
          </w:p>
          <w:p w:rsidR="006224C2" w:rsidRPr="00295E71" w14:paraId="3A7B85D5" w14:textId="77777777">
            <w:pPr>
              <w:pStyle w:val="EMEANormal"/>
              <w:widowControl w:val="0"/>
              <w:rPr>
                <w:lang w:val="it-IT"/>
              </w:rPr>
            </w:pPr>
            <w:r w:rsidRPr="00295E71">
              <w:rPr>
                <w:lang w:val="it-IT"/>
              </w:rPr>
              <w:t>S</w:t>
            </w:r>
            <w:r w:rsidRPr="00295E71" w:rsidR="00226BC4">
              <w:rPr>
                <w:lang w:val="it-IT"/>
              </w:rPr>
              <w:t>arcoidosi</w:t>
            </w:r>
            <w:r w:rsidRPr="00295E71" w:rsidR="00226BC4">
              <w:rPr>
                <w:vertAlign w:val="superscript"/>
                <w:lang w:val="it-IT"/>
              </w:rPr>
              <w:t>1)</w:t>
            </w:r>
            <w:r w:rsidRPr="00295E71" w:rsidR="00226BC4">
              <w:rPr>
                <w:lang w:val="it-IT"/>
              </w:rPr>
              <w:t>,</w:t>
            </w:r>
          </w:p>
          <w:p w:rsidR="006224C2" w:rsidRPr="00295E71" w14:paraId="2FCA1D0A" w14:textId="77777777">
            <w:pPr>
              <w:pStyle w:val="EMEANormal"/>
              <w:widowControl w:val="0"/>
              <w:rPr>
                <w:lang w:val="it-IT"/>
              </w:rPr>
            </w:pPr>
            <w:r w:rsidRPr="00295E71">
              <w:rPr>
                <w:lang w:val="it-IT"/>
              </w:rPr>
              <w:t>vasculite</w:t>
            </w:r>
          </w:p>
          <w:p w:rsidR="006224C2" w:rsidRPr="00295E71" w14:paraId="77C8C83E" w14:textId="77777777">
            <w:pPr>
              <w:pStyle w:val="EMEANormal"/>
              <w:widowControl w:val="0"/>
              <w:spacing w:before="60"/>
              <w:rPr>
                <w:lang w:val="it-IT"/>
              </w:rPr>
            </w:pPr>
          </w:p>
        </w:tc>
      </w:tr>
      <w:tr w14:paraId="6843CFF2" w14:textId="77777777" w:rsidTr="00C04163">
        <w:tblPrEx>
          <w:tblW w:w="0" w:type="auto"/>
          <w:tblLook w:val="01E0"/>
        </w:tblPrEx>
        <w:tc>
          <w:tcPr>
            <w:tcW w:w="2566" w:type="dxa"/>
            <w:vMerge/>
            <w:tcBorders>
              <w:bottom w:val="single" w:sz="4" w:space="0" w:color="auto"/>
            </w:tcBorders>
          </w:tcPr>
          <w:p w:rsidR="006224C2" w:rsidRPr="00295E71" w14:paraId="42C3ED25" w14:textId="77777777">
            <w:pPr>
              <w:pStyle w:val="EMEANormal"/>
              <w:widowControl w:val="0"/>
              <w:spacing w:before="60"/>
              <w:rPr>
                <w:lang w:val="it-IT"/>
              </w:rPr>
            </w:pPr>
          </w:p>
        </w:tc>
        <w:tc>
          <w:tcPr>
            <w:tcW w:w="2037" w:type="dxa"/>
            <w:tcBorders>
              <w:top w:val="single" w:sz="4" w:space="0" w:color="auto"/>
              <w:bottom w:val="single" w:sz="4" w:space="0" w:color="auto"/>
            </w:tcBorders>
          </w:tcPr>
          <w:p w:rsidR="006224C2" w:rsidRPr="00295E71" w14:paraId="716D8911" w14:textId="77777777">
            <w:pPr>
              <w:pStyle w:val="EMEANormal"/>
              <w:widowControl w:val="0"/>
              <w:spacing w:before="60"/>
              <w:rPr>
                <w:lang w:val="it-IT"/>
              </w:rPr>
            </w:pPr>
            <w:r w:rsidRPr="00295E71">
              <w:rPr>
                <w:lang w:val="it-IT"/>
              </w:rPr>
              <w:t>Raro</w:t>
            </w:r>
          </w:p>
        </w:tc>
        <w:tc>
          <w:tcPr>
            <w:tcW w:w="4457" w:type="dxa"/>
            <w:tcBorders>
              <w:top w:val="single" w:sz="4" w:space="0" w:color="auto"/>
              <w:bottom w:val="single" w:sz="4" w:space="0" w:color="auto"/>
            </w:tcBorders>
          </w:tcPr>
          <w:p w:rsidR="006224C2" w:rsidRPr="00295E71" w14:paraId="12304F35" w14:textId="77777777">
            <w:pPr>
              <w:pStyle w:val="EMEANormal"/>
              <w:widowControl w:val="0"/>
              <w:rPr>
                <w:vertAlign w:val="superscript"/>
                <w:lang w:val="it-IT"/>
              </w:rPr>
            </w:pPr>
            <w:r w:rsidRPr="00295E71">
              <w:rPr>
                <w:lang w:val="it-IT"/>
              </w:rPr>
              <w:t>A</w:t>
            </w:r>
            <w:r w:rsidRPr="00295E71" w:rsidR="00226BC4">
              <w:rPr>
                <w:lang w:val="it-IT"/>
              </w:rPr>
              <w:t>nafilassi</w:t>
            </w:r>
            <w:r w:rsidRPr="00295E71" w:rsidR="00226BC4">
              <w:rPr>
                <w:vertAlign w:val="superscript"/>
                <w:lang w:val="it-IT"/>
              </w:rPr>
              <w:t>1)</w:t>
            </w:r>
          </w:p>
          <w:p w:rsidR="006224C2" w:rsidRPr="00295E71" w14:paraId="625B6BCF" w14:textId="77777777">
            <w:pPr>
              <w:pStyle w:val="EMEANormal"/>
              <w:widowControl w:val="0"/>
              <w:spacing w:before="60"/>
              <w:rPr>
                <w:lang w:val="it-IT"/>
              </w:rPr>
            </w:pPr>
          </w:p>
        </w:tc>
      </w:tr>
      <w:tr w14:paraId="6FE6B30D" w14:textId="77777777" w:rsidTr="00C04163">
        <w:tblPrEx>
          <w:tblW w:w="0" w:type="auto"/>
          <w:tblLook w:val="01E0"/>
        </w:tblPrEx>
        <w:trPr>
          <w:cantSplit/>
        </w:trPr>
        <w:tc>
          <w:tcPr>
            <w:tcW w:w="2566" w:type="dxa"/>
            <w:vMerge w:val="restart"/>
            <w:tcBorders>
              <w:bottom w:val="single" w:sz="4" w:space="0" w:color="auto"/>
            </w:tcBorders>
          </w:tcPr>
          <w:p w:rsidR="006224C2" w:rsidRPr="00295E71" w14:paraId="0C8D5866" w14:textId="77777777">
            <w:pPr>
              <w:pStyle w:val="EMEANormal"/>
              <w:widowControl w:val="0"/>
              <w:spacing w:before="60"/>
              <w:rPr>
                <w:lang w:val="it-IT"/>
              </w:rPr>
            </w:pPr>
            <w:r w:rsidRPr="00295E71">
              <w:rPr>
                <w:lang w:val="it-IT"/>
              </w:rPr>
              <w:t>Disturbi del metabolismo e della nutrizione</w:t>
            </w:r>
          </w:p>
        </w:tc>
        <w:tc>
          <w:tcPr>
            <w:tcW w:w="2037" w:type="dxa"/>
            <w:tcBorders>
              <w:bottom w:val="single" w:sz="4" w:space="0" w:color="auto"/>
            </w:tcBorders>
          </w:tcPr>
          <w:p w:rsidR="006224C2" w:rsidRPr="00295E71" w14:paraId="25850099" w14:textId="77777777">
            <w:pPr>
              <w:pStyle w:val="EMEANormal"/>
              <w:widowControl w:val="0"/>
              <w:spacing w:before="60"/>
              <w:rPr>
                <w:lang w:val="it-IT"/>
              </w:rPr>
            </w:pPr>
            <w:r w:rsidRPr="00295E71">
              <w:rPr>
                <w:lang w:val="it-IT"/>
              </w:rPr>
              <w:t>Molto comune</w:t>
            </w:r>
          </w:p>
          <w:p w:rsidR="006224C2" w:rsidRPr="00295E71" w14:paraId="7A74A241" w14:textId="77777777">
            <w:pPr>
              <w:pStyle w:val="EMEANormal"/>
              <w:widowControl w:val="0"/>
              <w:spacing w:before="60"/>
              <w:rPr>
                <w:lang w:val="it-IT"/>
              </w:rPr>
            </w:pPr>
          </w:p>
        </w:tc>
        <w:tc>
          <w:tcPr>
            <w:tcW w:w="4457" w:type="dxa"/>
            <w:tcBorders>
              <w:bottom w:val="single" w:sz="4" w:space="0" w:color="auto"/>
            </w:tcBorders>
          </w:tcPr>
          <w:p w:rsidR="006224C2" w:rsidRPr="00295E71" w14:paraId="67818C0D" w14:textId="77777777">
            <w:pPr>
              <w:pStyle w:val="EMEANormal"/>
              <w:widowControl w:val="0"/>
              <w:spacing w:before="60"/>
              <w:rPr>
                <w:lang w:val="it-IT"/>
              </w:rPr>
            </w:pPr>
            <w:r w:rsidRPr="00295E71">
              <w:rPr>
                <w:lang w:val="it-IT"/>
              </w:rPr>
              <w:t>I</w:t>
            </w:r>
            <w:r w:rsidRPr="00295E71" w:rsidR="00226BC4">
              <w:rPr>
                <w:lang w:val="it-IT"/>
              </w:rPr>
              <w:t>perlipidemia</w:t>
            </w:r>
          </w:p>
        </w:tc>
      </w:tr>
      <w:tr w14:paraId="7B3D2275" w14:textId="77777777" w:rsidTr="00C04163">
        <w:tblPrEx>
          <w:tblW w:w="0" w:type="auto"/>
          <w:tblLook w:val="01E0"/>
        </w:tblPrEx>
        <w:trPr>
          <w:cantSplit/>
          <w:trHeight w:val="2393"/>
        </w:trPr>
        <w:tc>
          <w:tcPr>
            <w:tcW w:w="2566" w:type="dxa"/>
            <w:vMerge/>
            <w:tcBorders>
              <w:top w:val="single" w:sz="4" w:space="0" w:color="auto"/>
            </w:tcBorders>
          </w:tcPr>
          <w:p w:rsidR="006224C2" w:rsidRPr="00295E71" w14:paraId="006FDBE2" w14:textId="77777777">
            <w:pPr>
              <w:pStyle w:val="EMEANormal"/>
              <w:widowControl w:val="0"/>
              <w:spacing w:before="60"/>
              <w:rPr>
                <w:lang w:val="it-IT"/>
              </w:rPr>
            </w:pPr>
          </w:p>
        </w:tc>
        <w:tc>
          <w:tcPr>
            <w:tcW w:w="2037" w:type="dxa"/>
            <w:tcBorders>
              <w:top w:val="single" w:sz="4" w:space="0" w:color="auto"/>
            </w:tcBorders>
          </w:tcPr>
          <w:p w:rsidR="006224C2" w:rsidRPr="00295E71" w14:paraId="5E531EC7" w14:textId="77777777">
            <w:pPr>
              <w:pStyle w:val="EMEANormal"/>
              <w:widowControl w:val="0"/>
              <w:spacing w:before="60"/>
              <w:rPr>
                <w:lang w:val="it-IT"/>
              </w:rPr>
            </w:pPr>
            <w:r w:rsidRPr="00295E71">
              <w:rPr>
                <w:lang w:val="it-IT"/>
              </w:rPr>
              <w:t>Comune</w:t>
            </w:r>
          </w:p>
          <w:p w:rsidR="006224C2" w:rsidRPr="00295E71" w14:paraId="35D0A28B" w14:textId="77777777">
            <w:pPr>
              <w:pStyle w:val="EMEANormal"/>
              <w:widowControl w:val="0"/>
              <w:spacing w:before="60"/>
              <w:rPr>
                <w:lang w:val="it-IT"/>
              </w:rPr>
            </w:pPr>
          </w:p>
        </w:tc>
        <w:tc>
          <w:tcPr>
            <w:tcW w:w="4457" w:type="dxa"/>
            <w:tcBorders>
              <w:top w:val="single" w:sz="4" w:space="0" w:color="auto"/>
            </w:tcBorders>
          </w:tcPr>
          <w:p w:rsidR="006224C2" w:rsidRPr="00295E71" w14:paraId="1FF8832B" w14:textId="77777777">
            <w:pPr>
              <w:pStyle w:val="EMEANormal"/>
              <w:widowControl w:val="0"/>
              <w:spacing w:before="60"/>
              <w:rPr>
                <w:lang w:val="it-IT"/>
              </w:rPr>
            </w:pPr>
            <w:r w:rsidRPr="00295E71">
              <w:rPr>
                <w:lang w:val="it-IT"/>
              </w:rPr>
              <w:t>I</w:t>
            </w:r>
            <w:r w:rsidRPr="00295E71" w:rsidR="00226BC4">
              <w:rPr>
                <w:lang w:val="it-IT"/>
              </w:rPr>
              <w:t xml:space="preserve">pokaliemia, </w:t>
            </w:r>
          </w:p>
          <w:p w:rsidR="006224C2" w:rsidRPr="00295E71" w14:paraId="1BCCC5D7" w14:textId="77777777">
            <w:pPr>
              <w:pStyle w:val="EMEANormal"/>
              <w:widowControl w:val="0"/>
              <w:spacing w:before="60"/>
              <w:rPr>
                <w:lang w:val="it-IT"/>
              </w:rPr>
            </w:pPr>
            <w:r w:rsidRPr="00295E71">
              <w:rPr>
                <w:lang w:val="it-IT"/>
              </w:rPr>
              <w:t xml:space="preserve">iperuricemia, </w:t>
            </w:r>
          </w:p>
          <w:p w:rsidR="006224C2" w:rsidRPr="00295E71" w14:paraId="19CE8BF2" w14:textId="77777777">
            <w:pPr>
              <w:pStyle w:val="EMEANormal"/>
              <w:widowControl w:val="0"/>
              <w:spacing w:before="60"/>
              <w:rPr>
                <w:lang w:val="it-IT"/>
              </w:rPr>
            </w:pPr>
            <w:r w:rsidRPr="00295E71">
              <w:rPr>
                <w:lang w:val="it-IT"/>
              </w:rPr>
              <w:t>alterazione della sodiemia,</w:t>
            </w:r>
          </w:p>
          <w:p w:rsidR="006224C2" w:rsidRPr="00295E71" w14:paraId="23DB774A" w14:textId="77777777">
            <w:pPr>
              <w:pStyle w:val="EMEANormal"/>
              <w:widowControl w:val="0"/>
              <w:spacing w:before="60"/>
              <w:rPr>
                <w:lang w:val="it-IT"/>
              </w:rPr>
            </w:pPr>
            <w:r w:rsidRPr="00295E71">
              <w:rPr>
                <w:lang w:val="it-IT"/>
              </w:rPr>
              <w:t>ipocalcemia</w:t>
            </w:r>
          </w:p>
          <w:p w:rsidR="006224C2" w:rsidRPr="00295E71" w14:paraId="357C2A73" w14:textId="77777777">
            <w:pPr>
              <w:pStyle w:val="EMEANormal"/>
              <w:widowControl w:val="0"/>
              <w:spacing w:before="60"/>
              <w:rPr>
                <w:lang w:val="it-IT"/>
              </w:rPr>
            </w:pPr>
            <w:r w:rsidRPr="00295E71">
              <w:rPr>
                <w:lang w:val="it-IT"/>
              </w:rPr>
              <w:t>iperglicemia,</w:t>
            </w:r>
          </w:p>
          <w:p w:rsidR="006224C2" w:rsidRPr="00295E71" w14:paraId="77754C13" w14:textId="77777777">
            <w:pPr>
              <w:pStyle w:val="EMEANormal"/>
              <w:widowControl w:val="0"/>
              <w:spacing w:before="60"/>
              <w:rPr>
                <w:lang w:val="it-IT"/>
              </w:rPr>
            </w:pPr>
            <w:r w:rsidRPr="00295E71">
              <w:rPr>
                <w:lang w:val="it-IT"/>
              </w:rPr>
              <w:t>ipofosfatemia,</w:t>
            </w:r>
          </w:p>
          <w:p w:rsidR="006224C2" w:rsidRPr="00295E71" w14:paraId="69F46DFC" w14:textId="77777777">
            <w:pPr>
              <w:pStyle w:val="EMEANormal"/>
              <w:widowControl w:val="0"/>
              <w:spacing w:before="60"/>
              <w:rPr>
                <w:lang w:val="it-IT"/>
              </w:rPr>
            </w:pPr>
            <w:r w:rsidRPr="00295E71">
              <w:rPr>
                <w:lang w:val="it-IT"/>
              </w:rPr>
              <w:t>disidratazione</w:t>
            </w:r>
          </w:p>
          <w:p w:rsidR="006224C2" w:rsidRPr="00295E71" w14:paraId="612C4AC4" w14:textId="77777777">
            <w:pPr>
              <w:pStyle w:val="EMEANormal"/>
              <w:widowControl w:val="0"/>
              <w:spacing w:before="60"/>
              <w:rPr>
                <w:lang w:val="it-IT"/>
              </w:rPr>
            </w:pPr>
          </w:p>
        </w:tc>
      </w:tr>
      <w:tr w14:paraId="698AAF21" w14:textId="77777777" w:rsidTr="00C04163">
        <w:tblPrEx>
          <w:tblW w:w="0" w:type="auto"/>
          <w:tblLook w:val="01E0"/>
        </w:tblPrEx>
        <w:tc>
          <w:tcPr>
            <w:tcW w:w="2566" w:type="dxa"/>
          </w:tcPr>
          <w:p w:rsidR="006224C2" w:rsidRPr="00295E71" w14:paraId="735FD9DD" w14:textId="77777777">
            <w:pPr>
              <w:pStyle w:val="EMEANormal"/>
              <w:widowControl w:val="0"/>
              <w:spacing w:before="60"/>
              <w:rPr>
                <w:lang w:val="it-IT"/>
              </w:rPr>
            </w:pPr>
            <w:r w:rsidRPr="00295E71">
              <w:rPr>
                <w:lang w:val="it-IT"/>
              </w:rPr>
              <w:t>Disturbi psichiatrici</w:t>
            </w:r>
          </w:p>
        </w:tc>
        <w:tc>
          <w:tcPr>
            <w:tcW w:w="2037" w:type="dxa"/>
            <w:tcBorders>
              <w:bottom w:val="single" w:sz="4" w:space="0" w:color="auto"/>
            </w:tcBorders>
          </w:tcPr>
          <w:p w:rsidR="006224C2" w:rsidRPr="00295E71" w14:paraId="3F35DAC3" w14:textId="77777777">
            <w:pPr>
              <w:pStyle w:val="EMEANormal"/>
              <w:widowControl w:val="0"/>
              <w:spacing w:before="60"/>
              <w:rPr>
                <w:lang w:val="it-IT"/>
              </w:rPr>
            </w:pPr>
            <w:r w:rsidRPr="00295E71">
              <w:rPr>
                <w:lang w:val="it-IT"/>
              </w:rPr>
              <w:t>Comune</w:t>
            </w:r>
          </w:p>
          <w:p w:rsidR="006224C2" w:rsidRPr="00295E71" w14:paraId="10163ED6" w14:textId="77777777">
            <w:pPr>
              <w:pStyle w:val="EMEANormal"/>
              <w:widowControl w:val="0"/>
              <w:spacing w:before="60"/>
              <w:rPr>
                <w:lang w:val="it-IT"/>
              </w:rPr>
            </w:pPr>
          </w:p>
        </w:tc>
        <w:tc>
          <w:tcPr>
            <w:tcW w:w="4457" w:type="dxa"/>
            <w:tcBorders>
              <w:bottom w:val="single" w:sz="4" w:space="0" w:color="auto"/>
            </w:tcBorders>
          </w:tcPr>
          <w:p w:rsidR="006224C2" w:rsidRPr="00295E71" w14:paraId="407562F8" w14:textId="77777777">
            <w:pPr>
              <w:pStyle w:val="EMEANormal"/>
              <w:widowControl w:val="0"/>
              <w:spacing w:before="60"/>
              <w:rPr>
                <w:lang w:val="it-IT"/>
              </w:rPr>
            </w:pPr>
            <w:r w:rsidRPr="00295E71">
              <w:rPr>
                <w:lang w:val="it-IT"/>
              </w:rPr>
              <w:t>D</w:t>
            </w:r>
            <w:r w:rsidRPr="00295E71" w:rsidR="00226BC4">
              <w:rPr>
                <w:lang w:val="it-IT"/>
              </w:rPr>
              <w:t>isturbi dell’umore (tra cui depressione),</w:t>
            </w:r>
          </w:p>
          <w:p w:rsidR="006224C2" w:rsidRPr="00295E71" w14:paraId="7262AC04" w14:textId="77777777">
            <w:pPr>
              <w:pStyle w:val="EMEANormal"/>
              <w:widowControl w:val="0"/>
              <w:spacing w:before="60"/>
              <w:rPr>
                <w:lang w:val="it-IT"/>
              </w:rPr>
            </w:pPr>
            <w:r w:rsidRPr="00295E71">
              <w:rPr>
                <w:lang w:val="it-IT"/>
              </w:rPr>
              <w:t>ansia,</w:t>
            </w:r>
          </w:p>
          <w:p w:rsidR="006224C2" w:rsidRPr="00295E71" w14:paraId="4E6E132F" w14:textId="77777777">
            <w:pPr>
              <w:pStyle w:val="EMEANormal"/>
              <w:widowControl w:val="0"/>
              <w:spacing w:before="60"/>
              <w:rPr>
                <w:lang w:val="it-IT"/>
              </w:rPr>
            </w:pPr>
            <w:r w:rsidRPr="00295E71">
              <w:rPr>
                <w:lang w:val="it-IT"/>
              </w:rPr>
              <w:t>insonnia</w:t>
            </w:r>
          </w:p>
          <w:p w:rsidR="006224C2" w:rsidRPr="00295E71" w14:paraId="6FE2C41E" w14:textId="77777777">
            <w:pPr>
              <w:pStyle w:val="EMEANormal"/>
              <w:widowControl w:val="0"/>
              <w:spacing w:before="60"/>
              <w:rPr>
                <w:lang w:val="it-IT"/>
              </w:rPr>
            </w:pPr>
          </w:p>
        </w:tc>
      </w:tr>
      <w:tr w14:paraId="540CB0C5" w14:textId="77777777" w:rsidTr="00C04163">
        <w:tblPrEx>
          <w:tblW w:w="0" w:type="auto"/>
          <w:tblLook w:val="01E0"/>
        </w:tblPrEx>
        <w:trPr>
          <w:cantSplit/>
        </w:trPr>
        <w:tc>
          <w:tcPr>
            <w:tcW w:w="2566" w:type="dxa"/>
            <w:vMerge w:val="restart"/>
          </w:tcPr>
          <w:p w:rsidR="006224C2" w:rsidRPr="00295E71" w14:paraId="086D6520" w14:textId="77777777">
            <w:pPr>
              <w:pStyle w:val="EMEANormal"/>
              <w:widowControl w:val="0"/>
              <w:spacing w:before="60"/>
              <w:rPr>
                <w:lang w:val="it-IT"/>
              </w:rPr>
            </w:pPr>
            <w:r w:rsidRPr="00295E71">
              <w:rPr>
                <w:lang w:val="it-IT"/>
              </w:rPr>
              <w:t>Patologie del sistema nervoso*</w:t>
            </w:r>
          </w:p>
        </w:tc>
        <w:tc>
          <w:tcPr>
            <w:tcW w:w="2037" w:type="dxa"/>
            <w:tcBorders>
              <w:bottom w:val="single" w:sz="4" w:space="0" w:color="auto"/>
            </w:tcBorders>
          </w:tcPr>
          <w:p w:rsidR="006224C2" w:rsidRPr="00295E71" w14:paraId="67CD31D2" w14:textId="77777777">
            <w:pPr>
              <w:pStyle w:val="EMEANormal"/>
              <w:widowControl w:val="0"/>
              <w:spacing w:before="60"/>
              <w:rPr>
                <w:lang w:val="it-IT"/>
              </w:rPr>
            </w:pPr>
            <w:r w:rsidRPr="00295E71">
              <w:rPr>
                <w:lang w:val="it-IT"/>
              </w:rPr>
              <w:t>Molto comune</w:t>
            </w:r>
          </w:p>
          <w:p w:rsidR="006224C2" w:rsidRPr="00295E71" w14:paraId="45FD4425" w14:textId="77777777">
            <w:pPr>
              <w:pStyle w:val="EMEANormal"/>
              <w:widowControl w:val="0"/>
              <w:spacing w:before="60"/>
              <w:rPr>
                <w:lang w:val="it-IT"/>
              </w:rPr>
            </w:pPr>
          </w:p>
        </w:tc>
        <w:tc>
          <w:tcPr>
            <w:tcW w:w="4457" w:type="dxa"/>
            <w:tcBorders>
              <w:bottom w:val="single" w:sz="4" w:space="0" w:color="auto"/>
            </w:tcBorders>
          </w:tcPr>
          <w:p w:rsidR="006224C2" w:rsidRPr="00295E71" w14:paraId="202C06C7" w14:textId="77777777">
            <w:pPr>
              <w:pStyle w:val="EMEANormal"/>
              <w:widowControl w:val="0"/>
              <w:spacing w:before="60"/>
              <w:rPr>
                <w:lang w:val="it-IT"/>
              </w:rPr>
            </w:pPr>
            <w:r w:rsidRPr="00295E71">
              <w:rPr>
                <w:lang w:val="it-IT"/>
              </w:rPr>
              <w:t>C</w:t>
            </w:r>
            <w:r w:rsidRPr="00295E71" w:rsidR="00226BC4">
              <w:rPr>
                <w:lang w:val="it-IT"/>
              </w:rPr>
              <w:t>efalea</w:t>
            </w:r>
          </w:p>
        </w:tc>
      </w:tr>
      <w:tr w14:paraId="0DAF2369" w14:textId="77777777" w:rsidTr="00C04163">
        <w:tblPrEx>
          <w:tblW w:w="0" w:type="auto"/>
          <w:tblLook w:val="01E0"/>
        </w:tblPrEx>
        <w:trPr>
          <w:cantSplit/>
        </w:trPr>
        <w:tc>
          <w:tcPr>
            <w:tcW w:w="2566" w:type="dxa"/>
            <w:vMerge/>
          </w:tcPr>
          <w:p w:rsidR="006224C2" w:rsidRPr="00295E71" w14:paraId="05E6636A" w14:textId="77777777">
            <w:pPr>
              <w:pStyle w:val="EMEANormal"/>
              <w:widowControl w:val="0"/>
              <w:spacing w:before="60"/>
              <w:rPr>
                <w:lang w:val="it-IT"/>
              </w:rPr>
            </w:pPr>
          </w:p>
        </w:tc>
        <w:tc>
          <w:tcPr>
            <w:tcW w:w="2037" w:type="dxa"/>
            <w:tcBorders>
              <w:top w:val="single" w:sz="4" w:space="0" w:color="auto"/>
              <w:bottom w:val="single" w:sz="4" w:space="0" w:color="auto"/>
            </w:tcBorders>
          </w:tcPr>
          <w:p w:rsidR="006224C2" w:rsidRPr="00295E71" w14:paraId="728097EC" w14:textId="77777777">
            <w:pPr>
              <w:pStyle w:val="EMEANormal"/>
              <w:widowControl w:val="0"/>
              <w:spacing w:before="60"/>
              <w:rPr>
                <w:lang w:val="it-IT"/>
              </w:rPr>
            </w:pPr>
            <w:r w:rsidRPr="00295E71">
              <w:rPr>
                <w:lang w:val="it-IT"/>
              </w:rPr>
              <w:t>Comune</w:t>
            </w:r>
          </w:p>
          <w:p w:rsidR="006224C2" w:rsidRPr="00295E71" w14:paraId="4A511E56" w14:textId="77777777">
            <w:pPr>
              <w:pStyle w:val="EMEANormal"/>
              <w:widowControl w:val="0"/>
              <w:spacing w:before="60"/>
              <w:rPr>
                <w:lang w:val="it-IT"/>
              </w:rPr>
            </w:pPr>
          </w:p>
        </w:tc>
        <w:tc>
          <w:tcPr>
            <w:tcW w:w="4457" w:type="dxa"/>
            <w:tcBorders>
              <w:top w:val="single" w:sz="4" w:space="0" w:color="auto"/>
              <w:bottom w:val="single" w:sz="4" w:space="0" w:color="auto"/>
            </w:tcBorders>
          </w:tcPr>
          <w:p w:rsidR="006224C2" w:rsidRPr="00295E71" w14:paraId="2505AEC6" w14:textId="77777777">
            <w:pPr>
              <w:pStyle w:val="EMEANormal"/>
              <w:widowControl w:val="0"/>
              <w:spacing w:before="60"/>
              <w:rPr>
                <w:lang w:val="it-IT"/>
              </w:rPr>
            </w:pPr>
            <w:r w:rsidRPr="00295E71">
              <w:rPr>
                <w:lang w:val="it-IT"/>
              </w:rPr>
              <w:t>P</w:t>
            </w:r>
            <w:r w:rsidRPr="00295E71" w:rsidR="00226BC4">
              <w:rPr>
                <w:lang w:val="it-IT"/>
              </w:rPr>
              <w:t>arestesia (tra cui ipoestesia),</w:t>
            </w:r>
          </w:p>
          <w:p w:rsidR="006224C2" w:rsidRPr="00295E71" w14:paraId="660E9A20" w14:textId="77777777">
            <w:pPr>
              <w:pStyle w:val="EMEANormal"/>
              <w:widowControl w:val="0"/>
              <w:spacing w:before="60"/>
              <w:rPr>
                <w:lang w:val="it-IT"/>
              </w:rPr>
            </w:pPr>
            <w:r w:rsidRPr="00295E71">
              <w:rPr>
                <w:lang w:val="it-IT"/>
              </w:rPr>
              <w:t>emicrania,</w:t>
            </w:r>
          </w:p>
          <w:p w:rsidR="006224C2" w:rsidRPr="00295E71" w14:paraId="593BA04E" w14:textId="77777777">
            <w:pPr>
              <w:pStyle w:val="EMEANormal"/>
              <w:widowControl w:val="0"/>
              <w:spacing w:before="60"/>
              <w:rPr>
                <w:lang w:val="it-IT"/>
              </w:rPr>
            </w:pPr>
            <w:r w:rsidRPr="00295E71">
              <w:rPr>
                <w:lang w:val="it-IT"/>
              </w:rPr>
              <w:t>compressione di radice nervosa</w:t>
            </w:r>
          </w:p>
          <w:p w:rsidR="006224C2" w:rsidRPr="00295E71" w14:paraId="5F81B2A4" w14:textId="77777777">
            <w:pPr>
              <w:pStyle w:val="EMEANormal"/>
              <w:widowControl w:val="0"/>
              <w:spacing w:before="60"/>
              <w:rPr>
                <w:lang w:val="it-IT"/>
              </w:rPr>
            </w:pPr>
          </w:p>
        </w:tc>
      </w:tr>
      <w:tr w14:paraId="1830463E" w14:textId="77777777" w:rsidTr="00C04163">
        <w:tblPrEx>
          <w:tblW w:w="0" w:type="auto"/>
          <w:tblLook w:val="01E0"/>
        </w:tblPrEx>
        <w:trPr>
          <w:cantSplit/>
        </w:trPr>
        <w:tc>
          <w:tcPr>
            <w:tcW w:w="2566" w:type="dxa"/>
            <w:vMerge/>
          </w:tcPr>
          <w:p w:rsidR="006224C2" w:rsidRPr="00295E71" w14:paraId="12EE20DB" w14:textId="77777777">
            <w:pPr>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14:paraId="546F1D64" w14:textId="77777777">
            <w:pPr>
              <w:pStyle w:val="EMEANormal"/>
              <w:widowControl w:val="0"/>
              <w:rPr>
                <w:lang w:val="it-IT"/>
              </w:rPr>
            </w:pPr>
            <w:r w:rsidRPr="00295E71">
              <w:rPr>
                <w:lang w:val="it-IT"/>
              </w:rPr>
              <w:t>Non comune</w:t>
            </w:r>
          </w:p>
          <w:p w:rsidR="006224C2" w:rsidRPr="00295E71" w14:paraId="45C76922" w14:textId="77777777">
            <w:pPr>
              <w:pStyle w:val="EMEANormal"/>
              <w:widowControl w:val="0"/>
              <w:rPr>
                <w:lang w:val="it-IT"/>
              </w:rPr>
            </w:pPr>
          </w:p>
        </w:tc>
        <w:tc>
          <w:tcPr>
            <w:tcW w:w="4457" w:type="dxa"/>
            <w:tcBorders>
              <w:top w:val="single" w:sz="4" w:space="0" w:color="auto"/>
              <w:bottom w:val="single" w:sz="4" w:space="0" w:color="auto"/>
            </w:tcBorders>
          </w:tcPr>
          <w:p w:rsidR="006224C2" w:rsidRPr="00295E71" w14:paraId="0E191519" w14:textId="77777777">
            <w:pPr>
              <w:pStyle w:val="EMEANormal"/>
              <w:widowControl w:val="0"/>
              <w:rPr>
                <w:lang w:val="it-IT"/>
              </w:rPr>
            </w:pPr>
            <w:r w:rsidRPr="00295E71">
              <w:rPr>
                <w:lang w:val="it-IT"/>
              </w:rPr>
              <w:t>A</w:t>
            </w:r>
            <w:r w:rsidRPr="00295E71" w:rsidR="00226BC4">
              <w:rPr>
                <w:lang w:val="it-IT"/>
              </w:rPr>
              <w:t>ccidente cerebrovascolare</w:t>
            </w:r>
            <w:r w:rsidRPr="00295E71" w:rsidR="00226BC4">
              <w:rPr>
                <w:vertAlign w:val="superscript"/>
                <w:lang w:val="it-IT"/>
              </w:rPr>
              <w:t>1)</w:t>
            </w:r>
            <w:r w:rsidRPr="00295E71" w:rsidR="00226BC4">
              <w:rPr>
                <w:lang w:val="it-IT"/>
              </w:rPr>
              <w:t>,</w:t>
            </w:r>
          </w:p>
          <w:p w:rsidR="006224C2" w:rsidRPr="00295E71" w14:paraId="734B0817" w14:textId="77777777">
            <w:pPr>
              <w:pStyle w:val="EMEANormal"/>
              <w:widowControl w:val="0"/>
              <w:rPr>
                <w:lang w:val="it-IT"/>
              </w:rPr>
            </w:pPr>
            <w:r w:rsidRPr="00295E71">
              <w:rPr>
                <w:lang w:val="it-IT"/>
              </w:rPr>
              <w:t>tremore,</w:t>
            </w:r>
          </w:p>
          <w:p w:rsidR="006224C2" w:rsidRPr="00295E71" w14:paraId="20825A69" w14:textId="77777777">
            <w:pPr>
              <w:pStyle w:val="EMEANormal"/>
              <w:widowControl w:val="0"/>
              <w:rPr>
                <w:lang w:val="it-IT"/>
              </w:rPr>
            </w:pPr>
            <w:r w:rsidRPr="00295E71">
              <w:rPr>
                <w:lang w:val="it-IT"/>
              </w:rPr>
              <w:t xml:space="preserve">neuropatia </w:t>
            </w:r>
          </w:p>
          <w:p w:rsidR="006224C2" w:rsidRPr="00295E71" w14:paraId="43D331F4" w14:textId="77777777">
            <w:pPr>
              <w:pStyle w:val="EMEANormal"/>
              <w:widowControl w:val="0"/>
              <w:rPr>
                <w:lang w:val="it-IT"/>
              </w:rPr>
            </w:pPr>
          </w:p>
        </w:tc>
      </w:tr>
      <w:tr w14:paraId="6E0639A4" w14:textId="77777777" w:rsidTr="00C04163">
        <w:tblPrEx>
          <w:tblW w:w="0" w:type="auto"/>
          <w:tblLook w:val="01E0"/>
        </w:tblPrEx>
        <w:trPr>
          <w:cantSplit/>
        </w:trPr>
        <w:tc>
          <w:tcPr>
            <w:tcW w:w="2566" w:type="dxa"/>
            <w:vMerge/>
          </w:tcPr>
          <w:p w:rsidR="006224C2" w:rsidRPr="00295E71" w14:paraId="0F0381E2" w14:textId="77777777">
            <w:pPr>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14:paraId="149A67E9" w14:textId="77777777">
            <w:pPr>
              <w:pStyle w:val="EMEANormal"/>
              <w:widowControl w:val="0"/>
              <w:rPr>
                <w:lang w:val="it-IT"/>
              </w:rPr>
            </w:pPr>
            <w:r w:rsidRPr="00295E71">
              <w:rPr>
                <w:lang w:val="it-IT"/>
              </w:rPr>
              <w:t>Raro</w:t>
            </w:r>
          </w:p>
          <w:p w:rsidR="006224C2" w:rsidRPr="00295E71" w14:paraId="029120F4" w14:textId="77777777">
            <w:pPr>
              <w:pStyle w:val="EMEANormal"/>
              <w:widowControl w:val="0"/>
              <w:rPr>
                <w:lang w:val="it-IT"/>
              </w:rPr>
            </w:pPr>
          </w:p>
        </w:tc>
        <w:tc>
          <w:tcPr>
            <w:tcW w:w="4457" w:type="dxa"/>
            <w:tcBorders>
              <w:top w:val="single" w:sz="4" w:space="0" w:color="auto"/>
              <w:bottom w:val="single" w:sz="4" w:space="0" w:color="auto"/>
            </w:tcBorders>
          </w:tcPr>
          <w:p w:rsidR="006224C2" w:rsidRPr="00295E71" w14:paraId="14A9D2D0" w14:textId="77777777">
            <w:pPr>
              <w:pStyle w:val="EMEANormal"/>
              <w:widowControl w:val="0"/>
              <w:rPr>
                <w:lang w:val="it-IT"/>
              </w:rPr>
            </w:pPr>
            <w:r w:rsidRPr="00295E71">
              <w:rPr>
                <w:lang w:val="it-IT"/>
              </w:rPr>
              <w:t>S</w:t>
            </w:r>
            <w:r w:rsidRPr="00295E71" w:rsidR="00226BC4">
              <w:rPr>
                <w:lang w:val="it-IT"/>
              </w:rPr>
              <w:t>clerosi multipla,</w:t>
            </w:r>
          </w:p>
          <w:p w:rsidR="006224C2" w:rsidRPr="00295E71" w14:paraId="52092272" w14:textId="77777777">
            <w:pPr>
              <w:pStyle w:val="EMEANormal"/>
              <w:widowControl w:val="0"/>
              <w:rPr>
                <w:vertAlign w:val="superscript"/>
                <w:lang w:val="it-IT"/>
              </w:rPr>
            </w:pPr>
            <w:r w:rsidRPr="00295E71">
              <w:rPr>
                <w:lang w:val="it-IT"/>
              </w:rPr>
              <w:t>disturbi demielinizzanti (ad es. neurite ottica, sindrome di Guillain-Barré)</w:t>
            </w:r>
            <w:r w:rsidRPr="00295E71">
              <w:rPr>
                <w:vertAlign w:val="superscript"/>
                <w:lang w:val="it-IT"/>
              </w:rPr>
              <w:t xml:space="preserve"> 1)</w:t>
            </w:r>
          </w:p>
          <w:p w:rsidR="006224C2" w:rsidRPr="00295E71" w14:paraId="437B58B0" w14:textId="77777777">
            <w:pPr>
              <w:pStyle w:val="EMEANormal"/>
              <w:widowControl w:val="0"/>
              <w:rPr>
                <w:lang w:val="it-IT"/>
              </w:rPr>
            </w:pPr>
          </w:p>
        </w:tc>
      </w:tr>
      <w:tr w14:paraId="57CB15D7" w14:textId="77777777" w:rsidTr="00C04163">
        <w:tblPrEx>
          <w:tblW w:w="0" w:type="auto"/>
          <w:tblLook w:val="01E0"/>
        </w:tblPrEx>
        <w:trPr>
          <w:cantSplit/>
        </w:trPr>
        <w:tc>
          <w:tcPr>
            <w:tcW w:w="2566" w:type="dxa"/>
            <w:vMerge w:val="restart"/>
          </w:tcPr>
          <w:p w:rsidR="006224C2" w:rsidRPr="00295E71" w14:paraId="7FDE4362" w14:textId="77777777">
            <w:pPr>
              <w:pStyle w:val="EMEANormal"/>
              <w:widowControl w:val="0"/>
              <w:spacing w:before="60"/>
              <w:rPr>
                <w:lang w:val="it-IT"/>
              </w:rPr>
            </w:pPr>
            <w:r w:rsidRPr="00295E71">
              <w:rPr>
                <w:lang w:val="it-IT"/>
              </w:rPr>
              <w:t>Patologie dell’occhio</w:t>
            </w:r>
          </w:p>
        </w:tc>
        <w:tc>
          <w:tcPr>
            <w:tcW w:w="2037" w:type="dxa"/>
            <w:tcBorders>
              <w:bottom w:val="single" w:sz="4" w:space="0" w:color="auto"/>
            </w:tcBorders>
          </w:tcPr>
          <w:p w:rsidR="006224C2" w:rsidRPr="00295E71" w14:paraId="0CCBFBB8" w14:textId="77777777">
            <w:pPr>
              <w:pStyle w:val="EMEANormal"/>
              <w:widowControl w:val="0"/>
              <w:spacing w:before="60"/>
              <w:rPr>
                <w:lang w:val="it-IT"/>
              </w:rPr>
            </w:pPr>
            <w:r w:rsidRPr="00295E71">
              <w:rPr>
                <w:lang w:val="it-IT"/>
              </w:rPr>
              <w:t>Comune</w:t>
            </w:r>
          </w:p>
          <w:p w:rsidR="006224C2" w:rsidRPr="00295E71" w14:paraId="088471BA" w14:textId="77777777">
            <w:pPr>
              <w:pStyle w:val="EMEANormal"/>
              <w:widowControl w:val="0"/>
              <w:spacing w:before="60"/>
              <w:rPr>
                <w:lang w:val="it-IT"/>
              </w:rPr>
            </w:pPr>
          </w:p>
        </w:tc>
        <w:tc>
          <w:tcPr>
            <w:tcW w:w="4457" w:type="dxa"/>
            <w:tcBorders>
              <w:bottom w:val="single" w:sz="4" w:space="0" w:color="auto"/>
            </w:tcBorders>
          </w:tcPr>
          <w:p w:rsidR="006224C2" w:rsidRPr="00295E71" w14:paraId="5C0BA2AB" w14:textId="77777777">
            <w:pPr>
              <w:pStyle w:val="EMEANormal"/>
              <w:widowControl w:val="0"/>
              <w:spacing w:before="60"/>
              <w:rPr>
                <w:lang w:val="it-IT"/>
              </w:rPr>
            </w:pPr>
            <w:r w:rsidRPr="00295E71">
              <w:rPr>
                <w:lang w:val="it-IT"/>
              </w:rPr>
              <w:t>D</w:t>
            </w:r>
            <w:r w:rsidRPr="00295E71" w:rsidR="00226BC4">
              <w:rPr>
                <w:lang w:val="it-IT"/>
              </w:rPr>
              <w:t>isturbi visivi,</w:t>
            </w:r>
          </w:p>
          <w:p w:rsidR="006224C2" w:rsidRPr="00295E71" w14:paraId="456C5981" w14:textId="77777777">
            <w:pPr>
              <w:pStyle w:val="EMEANormal"/>
              <w:widowControl w:val="0"/>
              <w:spacing w:before="60"/>
              <w:rPr>
                <w:lang w:val="it-IT"/>
              </w:rPr>
            </w:pPr>
            <w:r w:rsidRPr="00295E71">
              <w:rPr>
                <w:lang w:val="it-IT"/>
              </w:rPr>
              <w:t>congiuntivit</w:t>
            </w:r>
            <w:r w:rsidR="00BD0F8D">
              <w:rPr>
                <w:lang w:val="it-IT"/>
              </w:rPr>
              <w:t>e</w:t>
            </w:r>
            <w:r w:rsidRPr="00295E71">
              <w:rPr>
                <w:lang w:val="it-IT"/>
              </w:rPr>
              <w:t>,</w:t>
            </w:r>
          </w:p>
          <w:p w:rsidR="006224C2" w:rsidRPr="00295E71" w14:paraId="68B28C77" w14:textId="77777777">
            <w:pPr>
              <w:pStyle w:val="EMEANormal"/>
              <w:widowControl w:val="0"/>
              <w:spacing w:before="60"/>
              <w:rPr>
                <w:lang w:val="it-IT"/>
              </w:rPr>
            </w:pPr>
            <w:r w:rsidRPr="00295E71">
              <w:rPr>
                <w:lang w:val="it-IT"/>
              </w:rPr>
              <w:t>blefarite,</w:t>
            </w:r>
          </w:p>
          <w:p w:rsidR="006224C2" w:rsidRPr="00295E71" w14:paraId="24C3B2EF" w14:textId="77777777">
            <w:pPr>
              <w:pStyle w:val="EMEANormal"/>
              <w:widowControl w:val="0"/>
              <w:spacing w:before="60"/>
              <w:rPr>
                <w:lang w:val="it-IT"/>
              </w:rPr>
            </w:pPr>
            <w:r w:rsidRPr="00295E71">
              <w:rPr>
                <w:lang w:val="it-IT"/>
              </w:rPr>
              <w:t>edema periorbitale</w:t>
            </w:r>
          </w:p>
          <w:p w:rsidR="006224C2" w:rsidRPr="00295E71" w14:paraId="02B43E6A" w14:textId="77777777">
            <w:pPr>
              <w:pStyle w:val="EMEANormal"/>
              <w:widowControl w:val="0"/>
              <w:spacing w:before="60"/>
              <w:rPr>
                <w:lang w:val="it-IT"/>
              </w:rPr>
            </w:pPr>
          </w:p>
        </w:tc>
      </w:tr>
      <w:tr w14:paraId="11FCAD3A" w14:textId="77777777" w:rsidTr="00C04163">
        <w:tblPrEx>
          <w:tblW w:w="0" w:type="auto"/>
          <w:tblLook w:val="01E0"/>
        </w:tblPrEx>
        <w:trPr>
          <w:cantSplit/>
        </w:trPr>
        <w:tc>
          <w:tcPr>
            <w:tcW w:w="2566" w:type="dxa"/>
            <w:vMerge/>
          </w:tcPr>
          <w:p w:rsidR="006224C2" w:rsidRPr="00295E71" w14:paraId="2511AED4" w14:textId="77777777">
            <w:pPr>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14:paraId="326CBDB4" w14:textId="77777777">
            <w:pPr>
              <w:pStyle w:val="EMEANormal"/>
              <w:widowControl w:val="0"/>
              <w:rPr>
                <w:lang w:val="it-IT"/>
              </w:rPr>
            </w:pPr>
            <w:r w:rsidRPr="00295E71">
              <w:rPr>
                <w:lang w:val="it-IT"/>
              </w:rPr>
              <w:t>Non comune</w:t>
            </w:r>
          </w:p>
        </w:tc>
        <w:tc>
          <w:tcPr>
            <w:tcW w:w="4457" w:type="dxa"/>
            <w:tcBorders>
              <w:top w:val="single" w:sz="4" w:space="0" w:color="auto"/>
              <w:bottom w:val="single" w:sz="4" w:space="0" w:color="auto"/>
            </w:tcBorders>
          </w:tcPr>
          <w:p w:rsidR="006224C2" w:rsidRPr="00295E71" w14:paraId="10B66F32" w14:textId="77777777">
            <w:pPr>
              <w:pStyle w:val="EMEANormal"/>
              <w:widowControl w:val="0"/>
              <w:rPr>
                <w:lang w:val="it-IT"/>
              </w:rPr>
            </w:pPr>
            <w:r w:rsidRPr="00295E71">
              <w:rPr>
                <w:lang w:val="it-IT"/>
              </w:rPr>
              <w:t>D</w:t>
            </w:r>
            <w:r w:rsidRPr="00295E71" w:rsidR="00226BC4">
              <w:rPr>
                <w:lang w:val="it-IT"/>
              </w:rPr>
              <w:t>iplopia</w:t>
            </w:r>
          </w:p>
          <w:p w:rsidR="006224C2" w:rsidRPr="00295E71" w14:paraId="41D48B9C" w14:textId="77777777">
            <w:pPr>
              <w:pStyle w:val="EMEANormal"/>
              <w:widowControl w:val="0"/>
              <w:rPr>
                <w:lang w:val="it-IT"/>
              </w:rPr>
            </w:pPr>
          </w:p>
        </w:tc>
      </w:tr>
      <w:tr w14:paraId="7765CA80" w14:textId="77777777" w:rsidTr="00C04163">
        <w:tblPrEx>
          <w:tblW w:w="0" w:type="auto"/>
          <w:tblLook w:val="01E0"/>
        </w:tblPrEx>
        <w:trPr>
          <w:cantSplit/>
        </w:trPr>
        <w:tc>
          <w:tcPr>
            <w:tcW w:w="2566" w:type="dxa"/>
            <w:vMerge w:val="restart"/>
          </w:tcPr>
          <w:p w:rsidR="006224C2" w:rsidRPr="00295E71" w14:paraId="258E3D79" w14:textId="77777777">
            <w:pPr>
              <w:pStyle w:val="EMEANormal"/>
              <w:widowControl w:val="0"/>
              <w:spacing w:before="60"/>
              <w:rPr>
                <w:lang w:val="it-IT"/>
              </w:rPr>
            </w:pPr>
            <w:r w:rsidRPr="00295E71">
              <w:rPr>
                <w:lang w:val="it-IT"/>
              </w:rPr>
              <w:t xml:space="preserve">Patologie dell’orecchio e del labirinto </w:t>
            </w:r>
          </w:p>
          <w:p w:rsidR="006224C2" w:rsidRPr="00295E71" w14:paraId="5CD915A9" w14:textId="77777777">
            <w:pPr>
              <w:pStyle w:val="EMEANormal"/>
              <w:widowControl w:val="0"/>
              <w:spacing w:before="60"/>
              <w:rPr>
                <w:lang w:val="it-IT"/>
              </w:rPr>
            </w:pPr>
          </w:p>
        </w:tc>
        <w:tc>
          <w:tcPr>
            <w:tcW w:w="2037" w:type="dxa"/>
            <w:tcBorders>
              <w:bottom w:val="single" w:sz="4" w:space="0" w:color="auto"/>
            </w:tcBorders>
          </w:tcPr>
          <w:p w:rsidR="006224C2" w:rsidRPr="00295E71" w14:paraId="0F20D1E9" w14:textId="77777777">
            <w:pPr>
              <w:pStyle w:val="EMEANormal"/>
              <w:widowControl w:val="0"/>
              <w:spacing w:before="60"/>
              <w:rPr>
                <w:lang w:val="it-IT"/>
              </w:rPr>
            </w:pPr>
            <w:r w:rsidRPr="00295E71">
              <w:rPr>
                <w:lang w:val="it-IT"/>
              </w:rPr>
              <w:t>Comune</w:t>
            </w:r>
          </w:p>
          <w:p w:rsidR="006224C2" w:rsidRPr="00295E71" w14:paraId="79217F21" w14:textId="77777777">
            <w:pPr>
              <w:pStyle w:val="EMEANormal"/>
              <w:widowControl w:val="0"/>
              <w:spacing w:before="60"/>
              <w:rPr>
                <w:lang w:val="it-IT"/>
              </w:rPr>
            </w:pPr>
          </w:p>
        </w:tc>
        <w:tc>
          <w:tcPr>
            <w:tcW w:w="4457" w:type="dxa"/>
            <w:tcBorders>
              <w:bottom w:val="single" w:sz="4" w:space="0" w:color="auto"/>
            </w:tcBorders>
          </w:tcPr>
          <w:p w:rsidR="006224C2" w:rsidRPr="00295E71" w14:paraId="15170AA1" w14:textId="77777777">
            <w:pPr>
              <w:pStyle w:val="EMEANormal"/>
              <w:widowControl w:val="0"/>
              <w:spacing w:before="60"/>
              <w:rPr>
                <w:lang w:val="it-IT"/>
              </w:rPr>
            </w:pPr>
            <w:r w:rsidRPr="00295E71">
              <w:rPr>
                <w:lang w:val="it-IT"/>
              </w:rPr>
              <w:t>V</w:t>
            </w:r>
            <w:r w:rsidRPr="00295E71" w:rsidR="00226BC4">
              <w:rPr>
                <w:lang w:val="it-IT"/>
              </w:rPr>
              <w:t>ertigini</w:t>
            </w:r>
          </w:p>
          <w:p w:rsidR="006224C2" w:rsidRPr="00295E71" w14:paraId="2FFF7CDC" w14:textId="77777777">
            <w:pPr>
              <w:pStyle w:val="EMEANormal"/>
              <w:widowControl w:val="0"/>
              <w:spacing w:before="60"/>
              <w:rPr>
                <w:lang w:val="it-IT"/>
              </w:rPr>
            </w:pPr>
          </w:p>
        </w:tc>
      </w:tr>
      <w:tr w14:paraId="1EE43513" w14:textId="77777777" w:rsidTr="00C04163">
        <w:tblPrEx>
          <w:tblW w:w="0" w:type="auto"/>
          <w:tblLook w:val="01E0"/>
        </w:tblPrEx>
        <w:trPr>
          <w:cantSplit/>
        </w:trPr>
        <w:tc>
          <w:tcPr>
            <w:tcW w:w="2566" w:type="dxa"/>
            <w:vMerge/>
          </w:tcPr>
          <w:p w:rsidR="006224C2" w:rsidRPr="00295E71" w14:paraId="171694C0" w14:textId="77777777">
            <w:pPr>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14:paraId="58555427" w14:textId="77777777">
            <w:pPr>
              <w:pStyle w:val="EMEANormal"/>
              <w:widowControl w:val="0"/>
              <w:rPr>
                <w:lang w:val="it-IT"/>
              </w:rPr>
            </w:pPr>
            <w:r w:rsidRPr="00295E71">
              <w:rPr>
                <w:lang w:val="it-IT"/>
              </w:rPr>
              <w:t>Non comune</w:t>
            </w:r>
          </w:p>
          <w:p w:rsidR="006224C2" w:rsidRPr="00295E71" w14:paraId="5C8A442B" w14:textId="77777777">
            <w:pPr>
              <w:pStyle w:val="EMEANormal"/>
              <w:widowControl w:val="0"/>
              <w:rPr>
                <w:lang w:val="it-IT"/>
              </w:rPr>
            </w:pPr>
          </w:p>
        </w:tc>
        <w:tc>
          <w:tcPr>
            <w:tcW w:w="4457" w:type="dxa"/>
            <w:tcBorders>
              <w:top w:val="single" w:sz="4" w:space="0" w:color="auto"/>
              <w:bottom w:val="single" w:sz="4" w:space="0" w:color="auto"/>
            </w:tcBorders>
          </w:tcPr>
          <w:p w:rsidR="006224C2" w:rsidRPr="00295E71" w14:paraId="3F6603F5" w14:textId="77777777">
            <w:pPr>
              <w:pStyle w:val="EMEANormal"/>
              <w:widowControl w:val="0"/>
              <w:rPr>
                <w:lang w:val="it-IT"/>
              </w:rPr>
            </w:pPr>
            <w:r w:rsidRPr="00295E71">
              <w:rPr>
                <w:lang w:val="it-IT"/>
              </w:rPr>
              <w:t>P</w:t>
            </w:r>
            <w:r w:rsidRPr="00295E71" w:rsidR="00226BC4">
              <w:rPr>
                <w:lang w:val="it-IT"/>
              </w:rPr>
              <w:t xml:space="preserve">erdita dell’udito, </w:t>
            </w:r>
          </w:p>
          <w:p w:rsidR="006224C2" w:rsidRPr="00295E71" w14:paraId="47B29BC8" w14:textId="77777777">
            <w:pPr>
              <w:pStyle w:val="EMEANormal"/>
              <w:widowControl w:val="0"/>
              <w:rPr>
                <w:lang w:val="it-IT"/>
              </w:rPr>
            </w:pPr>
            <w:r w:rsidRPr="00295E71">
              <w:rPr>
                <w:lang w:val="it-IT"/>
              </w:rPr>
              <w:t>tinnito</w:t>
            </w:r>
          </w:p>
          <w:p w:rsidR="006224C2" w:rsidRPr="00295E71" w14:paraId="2A0F0FF7" w14:textId="77777777">
            <w:pPr>
              <w:pStyle w:val="EMEANormal"/>
              <w:widowControl w:val="0"/>
              <w:rPr>
                <w:lang w:val="it-IT"/>
              </w:rPr>
            </w:pPr>
          </w:p>
        </w:tc>
      </w:tr>
      <w:tr w14:paraId="2C87D982" w14:textId="77777777" w:rsidTr="00C04163">
        <w:tblPrEx>
          <w:tblW w:w="0" w:type="auto"/>
          <w:tblLook w:val="01E0"/>
        </w:tblPrEx>
        <w:trPr>
          <w:cantSplit/>
        </w:trPr>
        <w:tc>
          <w:tcPr>
            <w:tcW w:w="2566" w:type="dxa"/>
            <w:vMerge w:val="restart"/>
          </w:tcPr>
          <w:p w:rsidR="006224C2" w:rsidRPr="00295E71" w14:paraId="33D4D22D" w14:textId="77777777">
            <w:pPr>
              <w:pStyle w:val="EMEANormal"/>
              <w:widowControl w:val="0"/>
              <w:spacing w:before="60"/>
              <w:rPr>
                <w:lang w:val="it-IT"/>
              </w:rPr>
            </w:pPr>
            <w:r w:rsidRPr="00295E71">
              <w:rPr>
                <w:lang w:val="it-IT"/>
              </w:rPr>
              <w:t xml:space="preserve">Patologie cardiache* </w:t>
            </w:r>
          </w:p>
        </w:tc>
        <w:tc>
          <w:tcPr>
            <w:tcW w:w="2037" w:type="dxa"/>
            <w:tcBorders>
              <w:bottom w:val="single" w:sz="4" w:space="0" w:color="auto"/>
            </w:tcBorders>
          </w:tcPr>
          <w:p w:rsidR="006224C2" w:rsidRPr="00295E71" w14:paraId="068FCBA3" w14:textId="77777777">
            <w:pPr>
              <w:pStyle w:val="EMEANormal"/>
              <w:widowControl w:val="0"/>
              <w:spacing w:before="60"/>
              <w:rPr>
                <w:lang w:val="it-IT"/>
              </w:rPr>
            </w:pPr>
            <w:r w:rsidRPr="00295E71">
              <w:rPr>
                <w:lang w:val="it-IT"/>
              </w:rPr>
              <w:t>Comune</w:t>
            </w:r>
          </w:p>
        </w:tc>
        <w:tc>
          <w:tcPr>
            <w:tcW w:w="4457" w:type="dxa"/>
            <w:tcBorders>
              <w:bottom w:val="single" w:sz="4" w:space="0" w:color="auto"/>
            </w:tcBorders>
          </w:tcPr>
          <w:p w:rsidR="006224C2" w:rsidRPr="00295E71" w14:paraId="5583E409" w14:textId="77777777">
            <w:pPr>
              <w:pStyle w:val="EMEANormal"/>
              <w:widowControl w:val="0"/>
              <w:spacing w:before="60"/>
              <w:rPr>
                <w:lang w:val="it-IT"/>
              </w:rPr>
            </w:pPr>
            <w:r w:rsidRPr="00295E71">
              <w:rPr>
                <w:lang w:val="it-IT"/>
              </w:rPr>
              <w:t>T</w:t>
            </w:r>
            <w:r w:rsidRPr="00295E71" w:rsidR="00226BC4">
              <w:rPr>
                <w:lang w:val="it-IT"/>
              </w:rPr>
              <w:t>achicardia</w:t>
            </w:r>
          </w:p>
          <w:p w:rsidR="006224C2" w:rsidRPr="00295E71" w14:paraId="3FD01379" w14:textId="77777777">
            <w:pPr>
              <w:pStyle w:val="EMEANormal"/>
              <w:widowControl w:val="0"/>
              <w:spacing w:before="60"/>
              <w:rPr>
                <w:lang w:val="it-IT"/>
              </w:rPr>
            </w:pPr>
          </w:p>
        </w:tc>
      </w:tr>
      <w:tr w14:paraId="1F2F7AB3" w14:textId="77777777" w:rsidTr="00C04163">
        <w:tblPrEx>
          <w:tblW w:w="0" w:type="auto"/>
          <w:tblLook w:val="01E0"/>
        </w:tblPrEx>
        <w:trPr>
          <w:cantSplit/>
        </w:trPr>
        <w:tc>
          <w:tcPr>
            <w:tcW w:w="2566" w:type="dxa"/>
            <w:vMerge/>
          </w:tcPr>
          <w:p w:rsidR="006224C2" w:rsidRPr="00295E71" w14:paraId="72B00DD1" w14:textId="77777777">
            <w:pPr>
              <w:pStyle w:val="EMEANormal"/>
              <w:widowControl w:val="0"/>
              <w:spacing w:before="60"/>
              <w:rPr>
                <w:lang w:val="it-IT"/>
              </w:rPr>
            </w:pPr>
          </w:p>
        </w:tc>
        <w:tc>
          <w:tcPr>
            <w:tcW w:w="2037" w:type="dxa"/>
            <w:tcBorders>
              <w:top w:val="single" w:sz="4" w:space="0" w:color="auto"/>
              <w:bottom w:val="single" w:sz="4" w:space="0" w:color="auto"/>
            </w:tcBorders>
          </w:tcPr>
          <w:p w:rsidR="006224C2" w:rsidRPr="00295E71" w14:paraId="670EF09A" w14:textId="77777777">
            <w:pPr>
              <w:pStyle w:val="EMEANormal"/>
              <w:widowControl w:val="0"/>
              <w:spacing w:before="60"/>
              <w:rPr>
                <w:lang w:val="it-IT"/>
              </w:rPr>
            </w:pPr>
            <w:r w:rsidRPr="00295E71">
              <w:rPr>
                <w:lang w:val="it-IT"/>
              </w:rPr>
              <w:t>Non comune</w:t>
            </w:r>
          </w:p>
          <w:p w:rsidR="006224C2" w:rsidRPr="00295E71" w14:paraId="43313084" w14:textId="77777777">
            <w:pPr>
              <w:pStyle w:val="EMEANormal"/>
              <w:widowControl w:val="0"/>
              <w:spacing w:before="60"/>
              <w:rPr>
                <w:lang w:val="it-IT"/>
              </w:rPr>
            </w:pPr>
          </w:p>
        </w:tc>
        <w:tc>
          <w:tcPr>
            <w:tcW w:w="4457" w:type="dxa"/>
            <w:tcBorders>
              <w:top w:val="single" w:sz="4" w:space="0" w:color="auto"/>
              <w:bottom w:val="single" w:sz="4" w:space="0" w:color="auto"/>
            </w:tcBorders>
          </w:tcPr>
          <w:p w:rsidR="006224C2" w:rsidRPr="00295E71" w14:paraId="511F195C" w14:textId="77777777">
            <w:pPr>
              <w:pStyle w:val="EMEANormal"/>
              <w:widowControl w:val="0"/>
              <w:rPr>
                <w:lang w:val="it-IT"/>
              </w:rPr>
            </w:pPr>
            <w:r w:rsidRPr="00295E71">
              <w:rPr>
                <w:lang w:val="it-IT"/>
              </w:rPr>
              <w:t>I</w:t>
            </w:r>
            <w:r w:rsidRPr="00295E71" w:rsidR="00226BC4">
              <w:rPr>
                <w:lang w:val="it-IT"/>
              </w:rPr>
              <w:t>nfarto del miocardio</w:t>
            </w:r>
            <w:r w:rsidRPr="00295E71" w:rsidR="00226BC4">
              <w:rPr>
                <w:vertAlign w:val="superscript"/>
                <w:lang w:val="it-IT"/>
              </w:rPr>
              <w:t>1)</w:t>
            </w:r>
            <w:r w:rsidRPr="00295E71" w:rsidR="00226BC4">
              <w:rPr>
                <w:lang w:val="it-IT"/>
              </w:rPr>
              <w:t>,</w:t>
            </w:r>
          </w:p>
          <w:p w:rsidR="006224C2" w:rsidRPr="00295E71" w14:paraId="311CBD5B" w14:textId="77777777">
            <w:pPr>
              <w:pStyle w:val="EMEANormal"/>
              <w:widowControl w:val="0"/>
              <w:spacing w:before="60"/>
              <w:rPr>
                <w:lang w:val="it-IT"/>
              </w:rPr>
            </w:pPr>
            <w:r w:rsidRPr="00295E71">
              <w:rPr>
                <w:lang w:val="it-IT"/>
              </w:rPr>
              <w:t>aritmia,</w:t>
            </w:r>
          </w:p>
          <w:p w:rsidR="006224C2" w:rsidRPr="00295E71" w14:paraId="36992B38" w14:textId="77777777">
            <w:pPr>
              <w:pStyle w:val="EMEANormal"/>
              <w:widowControl w:val="0"/>
              <w:spacing w:before="60"/>
              <w:rPr>
                <w:lang w:val="it-IT"/>
              </w:rPr>
            </w:pPr>
            <w:r w:rsidRPr="00295E71">
              <w:rPr>
                <w:lang w:val="it-IT"/>
              </w:rPr>
              <w:t>insufficienza cardiaca congestizia</w:t>
            </w:r>
          </w:p>
          <w:p w:rsidR="006224C2" w:rsidRPr="00295E71" w14:paraId="2D1BD10C" w14:textId="77777777">
            <w:pPr>
              <w:pStyle w:val="EMEANormal"/>
              <w:widowControl w:val="0"/>
              <w:spacing w:before="60"/>
              <w:rPr>
                <w:lang w:val="it-IT"/>
              </w:rPr>
            </w:pPr>
          </w:p>
        </w:tc>
      </w:tr>
      <w:tr w14:paraId="4BA80620" w14:textId="77777777" w:rsidTr="00C04163">
        <w:tblPrEx>
          <w:tblW w:w="0" w:type="auto"/>
          <w:tblLook w:val="01E0"/>
        </w:tblPrEx>
        <w:trPr>
          <w:cantSplit/>
        </w:trPr>
        <w:tc>
          <w:tcPr>
            <w:tcW w:w="2566" w:type="dxa"/>
            <w:vMerge/>
          </w:tcPr>
          <w:p w:rsidR="006224C2" w:rsidRPr="00295E71" w14:paraId="7B82E77C" w14:textId="77777777">
            <w:pPr>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14:paraId="67F784AB" w14:textId="77777777">
            <w:pPr>
              <w:pStyle w:val="EMEANormal"/>
              <w:widowControl w:val="0"/>
              <w:rPr>
                <w:lang w:val="it-IT"/>
              </w:rPr>
            </w:pPr>
            <w:r w:rsidRPr="00295E71">
              <w:rPr>
                <w:lang w:val="it-IT"/>
              </w:rPr>
              <w:t>Raro</w:t>
            </w:r>
          </w:p>
          <w:p w:rsidR="006224C2" w:rsidRPr="00295E71" w14:paraId="1DA98172" w14:textId="77777777">
            <w:pPr>
              <w:pStyle w:val="EMEANormal"/>
              <w:widowControl w:val="0"/>
              <w:rPr>
                <w:lang w:val="it-IT"/>
              </w:rPr>
            </w:pPr>
          </w:p>
        </w:tc>
        <w:tc>
          <w:tcPr>
            <w:tcW w:w="4457" w:type="dxa"/>
            <w:tcBorders>
              <w:top w:val="single" w:sz="4" w:space="0" w:color="auto"/>
              <w:bottom w:val="single" w:sz="4" w:space="0" w:color="auto"/>
            </w:tcBorders>
          </w:tcPr>
          <w:p w:rsidR="006224C2" w:rsidRPr="00295E71" w14:paraId="0AD7A66B" w14:textId="77777777">
            <w:pPr>
              <w:pStyle w:val="EMEANormal"/>
              <w:widowControl w:val="0"/>
              <w:rPr>
                <w:lang w:val="it-IT"/>
              </w:rPr>
            </w:pPr>
            <w:r w:rsidRPr="00295E71">
              <w:rPr>
                <w:lang w:val="it-IT"/>
              </w:rPr>
              <w:t>A</w:t>
            </w:r>
            <w:r w:rsidRPr="00295E71" w:rsidR="00226BC4">
              <w:rPr>
                <w:lang w:val="it-IT"/>
              </w:rPr>
              <w:t>rresto cardiaco</w:t>
            </w:r>
          </w:p>
          <w:p w:rsidR="006224C2" w:rsidRPr="00295E71" w14:paraId="0E180C99" w14:textId="77777777">
            <w:pPr>
              <w:pStyle w:val="EMEANormal"/>
              <w:widowControl w:val="0"/>
              <w:rPr>
                <w:lang w:val="it-IT"/>
              </w:rPr>
            </w:pPr>
          </w:p>
        </w:tc>
      </w:tr>
      <w:tr w14:paraId="15F607C4" w14:textId="77777777" w:rsidTr="00C04163">
        <w:tblPrEx>
          <w:tblW w:w="0" w:type="auto"/>
          <w:tblLook w:val="01E0"/>
        </w:tblPrEx>
        <w:trPr>
          <w:cantSplit/>
        </w:trPr>
        <w:tc>
          <w:tcPr>
            <w:tcW w:w="2566" w:type="dxa"/>
            <w:vMerge w:val="restart"/>
          </w:tcPr>
          <w:p w:rsidR="006224C2" w:rsidRPr="00295E71" w14:paraId="07FFCA7A" w14:textId="77777777">
            <w:pPr>
              <w:pStyle w:val="EMEANormal"/>
              <w:widowControl w:val="0"/>
              <w:spacing w:before="60"/>
              <w:rPr>
                <w:lang w:val="it-IT"/>
              </w:rPr>
            </w:pPr>
            <w:r w:rsidRPr="00295E71">
              <w:rPr>
                <w:lang w:val="it-IT"/>
              </w:rPr>
              <w:t>Patologie vascolari</w:t>
            </w:r>
          </w:p>
        </w:tc>
        <w:tc>
          <w:tcPr>
            <w:tcW w:w="2037" w:type="dxa"/>
            <w:tcBorders>
              <w:bottom w:val="single" w:sz="4" w:space="0" w:color="auto"/>
            </w:tcBorders>
          </w:tcPr>
          <w:p w:rsidR="006224C2" w:rsidRPr="00295E71" w14:paraId="7B075D6B" w14:textId="77777777">
            <w:pPr>
              <w:pStyle w:val="EMEANormal"/>
              <w:widowControl w:val="0"/>
              <w:spacing w:before="60"/>
              <w:rPr>
                <w:lang w:val="it-IT"/>
              </w:rPr>
            </w:pPr>
            <w:r w:rsidRPr="00295E71">
              <w:rPr>
                <w:lang w:val="it-IT"/>
              </w:rPr>
              <w:t>Comune</w:t>
            </w:r>
          </w:p>
          <w:p w:rsidR="006224C2" w:rsidRPr="00295E71" w14:paraId="6497CD6D" w14:textId="77777777">
            <w:pPr>
              <w:pStyle w:val="EMEANormal"/>
              <w:widowControl w:val="0"/>
              <w:spacing w:before="60"/>
              <w:rPr>
                <w:lang w:val="it-IT"/>
              </w:rPr>
            </w:pPr>
          </w:p>
        </w:tc>
        <w:tc>
          <w:tcPr>
            <w:tcW w:w="4457" w:type="dxa"/>
            <w:tcBorders>
              <w:bottom w:val="single" w:sz="4" w:space="0" w:color="auto"/>
            </w:tcBorders>
          </w:tcPr>
          <w:p w:rsidR="006224C2" w:rsidRPr="00295E71" w14:paraId="2EB0BCAB" w14:textId="77777777">
            <w:pPr>
              <w:pStyle w:val="EMEANormal"/>
              <w:widowControl w:val="0"/>
              <w:spacing w:before="60"/>
              <w:rPr>
                <w:lang w:val="it-IT"/>
              </w:rPr>
            </w:pPr>
            <w:r w:rsidRPr="00295E71">
              <w:rPr>
                <w:lang w:val="it-IT"/>
              </w:rPr>
              <w:t>I</w:t>
            </w:r>
            <w:r w:rsidRPr="00295E71" w:rsidR="00226BC4">
              <w:rPr>
                <w:lang w:val="it-IT"/>
              </w:rPr>
              <w:t xml:space="preserve">pertensione, </w:t>
            </w:r>
          </w:p>
          <w:p w:rsidR="006224C2" w:rsidRPr="00295E71" w14:paraId="4D42BF71" w14:textId="77777777">
            <w:pPr>
              <w:pStyle w:val="EMEANormal"/>
              <w:widowControl w:val="0"/>
              <w:spacing w:before="60"/>
              <w:rPr>
                <w:lang w:val="it-IT"/>
              </w:rPr>
            </w:pPr>
            <w:r w:rsidRPr="00295E71">
              <w:rPr>
                <w:lang w:val="it-IT"/>
              </w:rPr>
              <w:t xml:space="preserve">vampate, </w:t>
            </w:r>
          </w:p>
          <w:p w:rsidR="006224C2" w:rsidRPr="00295E71" w14:paraId="14B72B4B" w14:textId="77777777">
            <w:pPr>
              <w:pStyle w:val="EMEANormal"/>
              <w:widowControl w:val="0"/>
              <w:spacing w:before="60"/>
              <w:rPr>
                <w:lang w:val="it-IT"/>
              </w:rPr>
            </w:pPr>
            <w:r w:rsidRPr="00295E71">
              <w:rPr>
                <w:lang w:val="it-IT"/>
              </w:rPr>
              <w:t>ematoma</w:t>
            </w:r>
          </w:p>
          <w:p w:rsidR="006224C2" w:rsidRPr="00295E71" w14:paraId="52049C89" w14:textId="77777777">
            <w:pPr>
              <w:pStyle w:val="EMEANormal"/>
              <w:widowControl w:val="0"/>
              <w:spacing w:before="60"/>
              <w:rPr>
                <w:lang w:val="it-IT"/>
              </w:rPr>
            </w:pPr>
          </w:p>
        </w:tc>
      </w:tr>
      <w:tr w14:paraId="008BBF34" w14:textId="77777777" w:rsidTr="00C04163">
        <w:tblPrEx>
          <w:tblW w:w="0" w:type="auto"/>
          <w:tblLook w:val="01E0"/>
        </w:tblPrEx>
        <w:trPr>
          <w:cantSplit/>
        </w:trPr>
        <w:tc>
          <w:tcPr>
            <w:tcW w:w="2566" w:type="dxa"/>
            <w:vMerge/>
          </w:tcPr>
          <w:p w:rsidR="006224C2" w:rsidRPr="00295E71" w14:paraId="1A94B56F" w14:textId="77777777">
            <w:pPr>
              <w:pStyle w:val="EMEANormal"/>
              <w:widowControl w:val="0"/>
              <w:spacing w:before="60"/>
              <w:rPr>
                <w:lang w:val="it-IT"/>
              </w:rPr>
            </w:pPr>
          </w:p>
        </w:tc>
        <w:tc>
          <w:tcPr>
            <w:tcW w:w="2037" w:type="dxa"/>
            <w:tcBorders>
              <w:top w:val="single" w:sz="4" w:space="0" w:color="auto"/>
              <w:bottom w:val="single" w:sz="4" w:space="0" w:color="auto"/>
            </w:tcBorders>
          </w:tcPr>
          <w:p w:rsidR="006224C2" w:rsidRPr="00295E71" w14:paraId="560124E3" w14:textId="77777777">
            <w:pPr>
              <w:pStyle w:val="EMEANormal"/>
              <w:widowControl w:val="0"/>
              <w:rPr>
                <w:lang w:val="it-IT"/>
              </w:rPr>
            </w:pPr>
            <w:r w:rsidRPr="00295E71">
              <w:rPr>
                <w:lang w:val="it-IT"/>
              </w:rPr>
              <w:t>Non Comune</w:t>
            </w:r>
          </w:p>
        </w:tc>
        <w:tc>
          <w:tcPr>
            <w:tcW w:w="4457" w:type="dxa"/>
            <w:tcBorders>
              <w:top w:val="single" w:sz="4" w:space="0" w:color="auto"/>
              <w:bottom w:val="single" w:sz="4" w:space="0" w:color="auto"/>
            </w:tcBorders>
          </w:tcPr>
          <w:p w:rsidR="006224C2" w:rsidRPr="00295E71" w14:paraId="04F0EFD6" w14:textId="77777777">
            <w:pPr>
              <w:pStyle w:val="EMEANormal"/>
              <w:widowControl w:val="0"/>
              <w:rPr>
                <w:lang w:val="it-IT"/>
              </w:rPr>
            </w:pPr>
            <w:r w:rsidRPr="00295E71">
              <w:rPr>
                <w:lang w:val="it-IT"/>
              </w:rPr>
              <w:t>A</w:t>
            </w:r>
            <w:r w:rsidRPr="00295E71" w:rsidR="00226BC4">
              <w:rPr>
                <w:lang w:val="it-IT"/>
              </w:rPr>
              <w:t>neurisma dell’aorta,</w:t>
            </w:r>
          </w:p>
          <w:p w:rsidR="006224C2" w:rsidRPr="00295E71" w14:paraId="2A2D9047" w14:textId="77777777">
            <w:pPr>
              <w:pStyle w:val="EMEANormal"/>
              <w:widowControl w:val="0"/>
              <w:rPr>
                <w:lang w:val="it-IT"/>
              </w:rPr>
            </w:pPr>
            <w:r w:rsidRPr="00295E71">
              <w:rPr>
                <w:lang w:val="it-IT"/>
              </w:rPr>
              <w:t>occlusione vascolare arteriosa,</w:t>
            </w:r>
          </w:p>
          <w:p w:rsidR="006224C2" w:rsidRPr="00295E71" w14:paraId="3104BBBA" w14:textId="77777777">
            <w:pPr>
              <w:pStyle w:val="EMEANormal"/>
              <w:widowControl w:val="0"/>
              <w:rPr>
                <w:lang w:val="it-IT"/>
              </w:rPr>
            </w:pPr>
            <w:r w:rsidRPr="00295E71">
              <w:rPr>
                <w:lang w:val="it-IT"/>
              </w:rPr>
              <w:t xml:space="preserve">tromboflebite </w:t>
            </w:r>
          </w:p>
          <w:p w:rsidR="006224C2" w:rsidRPr="00295E71" w14:paraId="1DA2906F" w14:textId="77777777">
            <w:pPr>
              <w:pStyle w:val="EMEANormal"/>
              <w:widowControl w:val="0"/>
              <w:rPr>
                <w:lang w:val="it-IT"/>
              </w:rPr>
            </w:pPr>
          </w:p>
        </w:tc>
      </w:tr>
      <w:tr w14:paraId="7480A2E5" w14:textId="77777777" w:rsidTr="00C04163">
        <w:tblPrEx>
          <w:tblW w:w="0" w:type="auto"/>
          <w:tblLook w:val="01E0"/>
        </w:tblPrEx>
        <w:trPr>
          <w:cantSplit/>
        </w:trPr>
        <w:tc>
          <w:tcPr>
            <w:tcW w:w="2566" w:type="dxa"/>
            <w:vMerge w:val="restart"/>
          </w:tcPr>
          <w:p w:rsidR="006224C2" w:rsidRPr="00295E71" w14:paraId="0C32EF4E" w14:textId="77777777">
            <w:pPr>
              <w:pStyle w:val="EMEANormal"/>
              <w:widowControl w:val="0"/>
              <w:spacing w:before="60"/>
              <w:rPr>
                <w:lang w:val="it-IT"/>
              </w:rPr>
            </w:pPr>
            <w:r w:rsidRPr="00295E71">
              <w:rPr>
                <w:lang w:val="it-IT"/>
              </w:rPr>
              <w:t>Patologie respiratorie, toraciche e mediastiniche*</w:t>
            </w:r>
          </w:p>
        </w:tc>
        <w:tc>
          <w:tcPr>
            <w:tcW w:w="2037" w:type="dxa"/>
            <w:tcBorders>
              <w:bottom w:val="single" w:sz="4" w:space="0" w:color="auto"/>
            </w:tcBorders>
          </w:tcPr>
          <w:p w:rsidR="006224C2" w:rsidRPr="00295E71" w14:paraId="19134CC5" w14:textId="77777777">
            <w:pPr>
              <w:pStyle w:val="EMEANormal"/>
              <w:widowControl w:val="0"/>
              <w:spacing w:before="60"/>
              <w:rPr>
                <w:lang w:val="it-IT"/>
              </w:rPr>
            </w:pPr>
            <w:r w:rsidRPr="00295E71">
              <w:rPr>
                <w:lang w:val="it-IT"/>
              </w:rPr>
              <w:t>Comune</w:t>
            </w:r>
          </w:p>
          <w:p w:rsidR="006224C2" w:rsidRPr="00295E71" w14:paraId="1474E0D9" w14:textId="77777777">
            <w:pPr>
              <w:pStyle w:val="EMEANormal"/>
              <w:widowControl w:val="0"/>
              <w:spacing w:before="60"/>
              <w:rPr>
                <w:lang w:val="it-IT"/>
              </w:rPr>
            </w:pPr>
          </w:p>
        </w:tc>
        <w:tc>
          <w:tcPr>
            <w:tcW w:w="4457" w:type="dxa"/>
            <w:tcBorders>
              <w:bottom w:val="single" w:sz="4" w:space="0" w:color="auto"/>
            </w:tcBorders>
          </w:tcPr>
          <w:p w:rsidR="006224C2" w:rsidRPr="00295E71" w14:paraId="62E2944C" w14:textId="77777777">
            <w:pPr>
              <w:pStyle w:val="EMEANormal"/>
              <w:widowControl w:val="0"/>
              <w:spacing w:before="60"/>
              <w:rPr>
                <w:lang w:val="it-IT"/>
              </w:rPr>
            </w:pPr>
            <w:r w:rsidRPr="00295E71">
              <w:rPr>
                <w:lang w:val="it-IT"/>
              </w:rPr>
              <w:t>A</w:t>
            </w:r>
            <w:r w:rsidRPr="00295E71" w:rsidR="00226BC4">
              <w:rPr>
                <w:lang w:val="it-IT"/>
              </w:rPr>
              <w:t xml:space="preserve">sma, </w:t>
            </w:r>
          </w:p>
          <w:p w:rsidR="006224C2" w:rsidRPr="00295E71" w14:paraId="2960174B" w14:textId="77777777">
            <w:pPr>
              <w:pStyle w:val="EMEANormal"/>
              <w:widowControl w:val="0"/>
              <w:spacing w:before="60"/>
              <w:rPr>
                <w:lang w:val="it-IT"/>
              </w:rPr>
            </w:pPr>
            <w:r w:rsidRPr="00295E71">
              <w:rPr>
                <w:lang w:val="it-IT"/>
              </w:rPr>
              <w:t>dispnea,</w:t>
            </w:r>
          </w:p>
          <w:p w:rsidR="006224C2" w:rsidRPr="00295E71" w14:paraId="666A54C9" w14:textId="77777777">
            <w:pPr>
              <w:pStyle w:val="EMEANormal"/>
              <w:widowControl w:val="0"/>
              <w:spacing w:before="60"/>
              <w:rPr>
                <w:lang w:val="it-IT"/>
              </w:rPr>
            </w:pPr>
            <w:r w:rsidRPr="00295E71">
              <w:rPr>
                <w:lang w:val="it-IT"/>
              </w:rPr>
              <w:t>tosse</w:t>
            </w:r>
          </w:p>
          <w:p w:rsidR="006224C2" w:rsidRPr="00295E71" w14:paraId="18439A3C" w14:textId="77777777">
            <w:pPr>
              <w:pStyle w:val="EMEANormal"/>
              <w:widowControl w:val="0"/>
              <w:spacing w:before="60"/>
              <w:rPr>
                <w:lang w:val="it-IT"/>
              </w:rPr>
            </w:pPr>
          </w:p>
        </w:tc>
      </w:tr>
      <w:tr w14:paraId="104DDD78" w14:textId="77777777" w:rsidTr="00C04163">
        <w:tblPrEx>
          <w:tblW w:w="0" w:type="auto"/>
          <w:tblLook w:val="01E0"/>
        </w:tblPrEx>
        <w:trPr>
          <w:cantSplit/>
        </w:trPr>
        <w:tc>
          <w:tcPr>
            <w:tcW w:w="2566" w:type="dxa"/>
            <w:vMerge/>
          </w:tcPr>
          <w:p w:rsidR="006224C2" w:rsidRPr="00295E71" w14:paraId="05F626C1" w14:textId="77777777">
            <w:pPr>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14:paraId="4F395B75" w14:textId="77777777">
            <w:pPr>
              <w:pStyle w:val="EMEANormal"/>
              <w:widowControl w:val="0"/>
              <w:rPr>
                <w:lang w:val="it-IT"/>
              </w:rPr>
            </w:pPr>
            <w:r w:rsidRPr="00295E71">
              <w:rPr>
                <w:lang w:val="it-IT"/>
              </w:rPr>
              <w:t>Non comune</w:t>
            </w:r>
          </w:p>
          <w:p w:rsidR="006224C2" w:rsidRPr="00295E71" w14:paraId="66766AD2" w14:textId="77777777">
            <w:pPr>
              <w:pStyle w:val="EMEANormal"/>
              <w:widowControl w:val="0"/>
              <w:rPr>
                <w:lang w:val="it-IT"/>
              </w:rPr>
            </w:pPr>
          </w:p>
        </w:tc>
        <w:tc>
          <w:tcPr>
            <w:tcW w:w="4457" w:type="dxa"/>
            <w:tcBorders>
              <w:top w:val="single" w:sz="4" w:space="0" w:color="auto"/>
              <w:bottom w:val="single" w:sz="4" w:space="0" w:color="auto"/>
            </w:tcBorders>
          </w:tcPr>
          <w:p w:rsidR="006224C2" w:rsidRPr="00295E71" w14:paraId="67ECF9E4" w14:textId="77777777">
            <w:pPr>
              <w:pStyle w:val="EMEANormal"/>
              <w:widowControl w:val="0"/>
              <w:rPr>
                <w:lang w:val="it-IT"/>
              </w:rPr>
            </w:pPr>
            <w:r w:rsidRPr="00295E71">
              <w:rPr>
                <w:lang w:val="it-IT"/>
              </w:rPr>
              <w:t>E</w:t>
            </w:r>
            <w:r w:rsidRPr="00295E71" w:rsidR="00226BC4">
              <w:rPr>
                <w:lang w:val="it-IT"/>
              </w:rPr>
              <w:t>mbolia polmonare</w:t>
            </w:r>
            <w:r w:rsidRPr="00295E71" w:rsidR="00226BC4">
              <w:rPr>
                <w:vertAlign w:val="superscript"/>
                <w:lang w:val="it-IT"/>
              </w:rPr>
              <w:t>1)</w:t>
            </w:r>
            <w:r w:rsidRPr="00295E71" w:rsidR="00226BC4">
              <w:rPr>
                <w:lang w:val="it-IT"/>
              </w:rPr>
              <w:t>,</w:t>
            </w:r>
          </w:p>
          <w:p w:rsidR="006224C2" w:rsidRPr="00295E71" w14:paraId="093B867C" w14:textId="77777777">
            <w:pPr>
              <w:pStyle w:val="EMEANormal"/>
              <w:widowControl w:val="0"/>
              <w:rPr>
                <w:lang w:val="it-IT"/>
              </w:rPr>
            </w:pPr>
            <w:r w:rsidRPr="00295E71">
              <w:rPr>
                <w:lang w:val="it-IT"/>
              </w:rPr>
              <w:t>interstiziopatia polmonare,</w:t>
            </w:r>
          </w:p>
          <w:p w:rsidR="006224C2" w:rsidRPr="00295E71" w14:paraId="4BA2F0AE" w14:textId="77777777">
            <w:pPr>
              <w:pStyle w:val="EMEANormal"/>
              <w:widowControl w:val="0"/>
              <w:rPr>
                <w:lang w:val="it-IT"/>
              </w:rPr>
            </w:pPr>
            <w:r w:rsidRPr="00295E71">
              <w:rPr>
                <w:lang w:val="it-IT"/>
              </w:rPr>
              <w:t>malattia polmonare cronica ostruttiva,</w:t>
            </w:r>
          </w:p>
          <w:p w:rsidR="006224C2" w:rsidRPr="00295E71" w14:paraId="44F80E70" w14:textId="77777777">
            <w:pPr>
              <w:pStyle w:val="EMEANormal"/>
              <w:widowControl w:val="0"/>
              <w:rPr>
                <w:lang w:val="it-IT"/>
              </w:rPr>
            </w:pPr>
            <w:r w:rsidRPr="00295E71">
              <w:rPr>
                <w:lang w:val="it-IT"/>
              </w:rPr>
              <w:t>polmonite,</w:t>
            </w:r>
          </w:p>
          <w:p w:rsidR="006224C2" w:rsidRPr="00295E71" w14:paraId="7B4EC69C" w14:textId="77777777">
            <w:pPr>
              <w:pStyle w:val="EMEANormal"/>
              <w:widowControl w:val="0"/>
              <w:rPr>
                <w:lang w:val="it-IT"/>
              </w:rPr>
            </w:pPr>
            <w:r w:rsidRPr="00295E71">
              <w:rPr>
                <w:lang w:val="it-IT"/>
              </w:rPr>
              <w:t>effusione pleurica</w:t>
            </w:r>
            <w:r w:rsidRPr="00295E71">
              <w:rPr>
                <w:vertAlign w:val="superscript"/>
                <w:lang w:val="it-IT"/>
              </w:rPr>
              <w:t>1)</w:t>
            </w:r>
          </w:p>
          <w:p w:rsidR="006224C2" w:rsidRPr="00295E71" w14:paraId="18264C68" w14:textId="77777777">
            <w:pPr>
              <w:pStyle w:val="EMEANormal"/>
              <w:widowControl w:val="0"/>
              <w:rPr>
                <w:lang w:val="it-IT"/>
              </w:rPr>
            </w:pPr>
          </w:p>
        </w:tc>
      </w:tr>
      <w:tr w14:paraId="55267CD6" w14:textId="77777777" w:rsidTr="00C04163">
        <w:tblPrEx>
          <w:tblW w:w="0" w:type="auto"/>
          <w:tblLook w:val="01E0"/>
        </w:tblPrEx>
        <w:trPr>
          <w:cantSplit/>
        </w:trPr>
        <w:tc>
          <w:tcPr>
            <w:tcW w:w="2566" w:type="dxa"/>
            <w:vMerge/>
          </w:tcPr>
          <w:p w:rsidR="006224C2" w:rsidRPr="00295E71" w14:paraId="1635F41A" w14:textId="77777777">
            <w:pPr>
              <w:widowControl w:val="0"/>
              <w:spacing w:before="60"/>
              <w:jc w:val="center"/>
              <w:rPr>
                <w:b/>
                <w:sz w:val="22"/>
                <w:szCs w:val="22"/>
              </w:rPr>
            </w:pPr>
          </w:p>
        </w:tc>
        <w:tc>
          <w:tcPr>
            <w:tcW w:w="2037" w:type="dxa"/>
            <w:tcBorders>
              <w:top w:val="single" w:sz="4" w:space="0" w:color="auto"/>
              <w:bottom w:val="single" w:sz="4" w:space="0" w:color="auto"/>
            </w:tcBorders>
          </w:tcPr>
          <w:p w:rsidR="006224C2" w:rsidRPr="00295E71" w14:paraId="2EE24311" w14:textId="77777777">
            <w:pPr>
              <w:pStyle w:val="EMEANormal"/>
              <w:widowControl w:val="0"/>
              <w:rPr>
                <w:lang w:val="it-IT"/>
              </w:rPr>
            </w:pPr>
            <w:r w:rsidRPr="00295E71">
              <w:rPr>
                <w:lang w:val="it-IT"/>
              </w:rPr>
              <w:t>Raro</w:t>
            </w:r>
          </w:p>
        </w:tc>
        <w:tc>
          <w:tcPr>
            <w:tcW w:w="4457" w:type="dxa"/>
            <w:tcBorders>
              <w:top w:val="single" w:sz="4" w:space="0" w:color="auto"/>
              <w:bottom w:val="single" w:sz="4" w:space="0" w:color="auto"/>
            </w:tcBorders>
          </w:tcPr>
          <w:p w:rsidR="006224C2" w:rsidRPr="00295E71" w14:paraId="3933B0CD" w14:textId="77777777">
            <w:pPr>
              <w:pStyle w:val="EMEANormal"/>
              <w:widowControl w:val="0"/>
              <w:rPr>
                <w:vertAlign w:val="superscript"/>
                <w:lang w:val="it-IT"/>
              </w:rPr>
            </w:pPr>
            <w:r w:rsidRPr="00295E71">
              <w:rPr>
                <w:lang w:val="it-IT"/>
              </w:rPr>
              <w:t>F</w:t>
            </w:r>
            <w:r w:rsidRPr="00295E71" w:rsidR="00226BC4">
              <w:rPr>
                <w:lang w:val="it-IT"/>
              </w:rPr>
              <w:t>ibrosi polmonare</w:t>
            </w:r>
            <w:r w:rsidRPr="00295E71" w:rsidR="00226BC4">
              <w:rPr>
                <w:vertAlign w:val="superscript"/>
                <w:lang w:val="it-IT"/>
              </w:rPr>
              <w:t>1)</w:t>
            </w:r>
          </w:p>
          <w:p w:rsidR="006224C2" w:rsidRPr="00295E71" w14:paraId="0F128935" w14:textId="77777777">
            <w:pPr>
              <w:pStyle w:val="EMEANormal"/>
              <w:widowControl w:val="0"/>
              <w:rPr>
                <w:lang w:val="it-IT"/>
              </w:rPr>
            </w:pPr>
          </w:p>
        </w:tc>
      </w:tr>
      <w:tr w14:paraId="50516489" w14:textId="77777777" w:rsidTr="00C04163">
        <w:tblPrEx>
          <w:tblW w:w="0" w:type="auto"/>
          <w:tblLook w:val="01E0"/>
        </w:tblPrEx>
        <w:trPr>
          <w:cantSplit/>
        </w:trPr>
        <w:tc>
          <w:tcPr>
            <w:tcW w:w="2566" w:type="dxa"/>
          </w:tcPr>
          <w:p w:rsidR="00C04163" w:rsidRPr="00295E71" w:rsidP="00035AC5" w14:paraId="408FFBA1" w14:textId="77777777">
            <w:pPr>
              <w:pStyle w:val="IndexHeading"/>
              <w:widowControl w:val="0"/>
              <w:tabs>
                <w:tab w:val="clear" w:pos="567"/>
              </w:tabs>
              <w:spacing w:before="120" w:after="120" w:line="240" w:lineRule="auto"/>
              <w:jc w:val="center"/>
              <w:rPr>
                <w:rFonts w:ascii="Times New Roman" w:hAnsi="Times New Roman" w:cs="Times New Roman"/>
                <w:lang w:val="it-IT" w:eastAsia="it-IT"/>
              </w:rPr>
            </w:pPr>
            <w:r w:rsidRPr="00295E71">
              <w:rPr>
                <w:rFonts w:ascii="Times New Roman" w:hAnsi="Times New Roman" w:cs="Times New Roman"/>
                <w:lang w:val="it-IT" w:eastAsia="it-IT"/>
              </w:rPr>
              <w:t>Classificazione per sistemi e organi</w:t>
            </w:r>
          </w:p>
        </w:tc>
        <w:tc>
          <w:tcPr>
            <w:tcW w:w="2037" w:type="dxa"/>
            <w:tcBorders>
              <w:top w:val="single" w:sz="4" w:space="0" w:color="auto"/>
              <w:left w:val="single" w:sz="4" w:space="0" w:color="auto"/>
              <w:bottom w:val="single" w:sz="4" w:space="0" w:color="auto"/>
              <w:right w:val="single" w:sz="4" w:space="0" w:color="auto"/>
            </w:tcBorders>
          </w:tcPr>
          <w:p w:rsidR="00C04163" w:rsidRPr="00C04163" w:rsidP="00C04163" w14:paraId="6EB519D1" w14:textId="77777777">
            <w:pPr>
              <w:pStyle w:val="EMEANormal"/>
              <w:spacing w:before="60"/>
              <w:rPr>
                <w:lang w:val="it-IT"/>
              </w:rPr>
            </w:pPr>
            <w:r w:rsidRPr="00295E71">
              <w:rPr>
                <w:lang w:val="it-IT"/>
              </w:rPr>
              <w:t>Frequenza</w:t>
            </w:r>
          </w:p>
        </w:tc>
        <w:tc>
          <w:tcPr>
            <w:tcW w:w="4457" w:type="dxa"/>
            <w:tcBorders>
              <w:top w:val="single" w:sz="4" w:space="0" w:color="auto"/>
              <w:left w:val="single" w:sz="4" w:space="0" w:color="auto"/>
              <w:bottom w:val="single" w:sz="4" w:space="0" w:color="auto"/>
              <w:right w:val="single" w:sz="4" w:space="0" w:color="auto"/>
            </w:tcBorders>
          </w:tcPr>
          <w:p w:rsidR="00C04163" w:rsidRPr="00C04163" w:rsidP="00C04163" w14:paraId="34AC47F5" w14:textId="77777777">
            <w:pPr>
              <w:pStyle w:val="EMEANormal"/>
              <w:spacing w:before="60"/>
              <w:rPr>
                <w:lang w:val="it-IT"/>
              </w:rPr>
            </w:pPr>
            <w:r w:rsidRPr="00295E71">
              <w:rPr>
                <w:lang w:val="it-IT"/>
              </w:rPr>
              <w:t>Reazione avversa</w:t>
            </w:r>
          </w:p>
        </w:tc>
      </w:tr>
      <w:tr w14:paraId="130EB935" w14:textId="77777777" w:rsidTr="00C04163">
        <w:tblPrEx>
          <w:tblW w:w="0" w:type="auto"/>
          <w:tblLook w:val="01E0"/>
        </w:tblPrEx>
        <w:trPr>
          <w:cantSplit/>
        </w:trPr>
        <w:tc>
          <w:tcPr>
            <w:tcW w:w="2566" w:type="dxa"/>
            <w:vMerge w:val="restart"/>
          </w:tcPr>
          <w:p w:rsidR="00C04163" w:rsidRPr="00295E71" w:rsidP="00035AC5" w14:paraId="5D8AB023" w14:textId="77777777">
            <w:pPr>
              <w:pStyle w:val="EMEANormal"/>
              <w:widowControl w:val="0"/>
              <w:spacing w:before="60"/>
              <w:rPr>
                <w:lang w:val="it-IT"/>
              </w:rPr>
            </w:pPr>
            <w:r w:rsidRPr="00295E71">
              <w:rPr>
                <w:lang w:val="it-IT"/>
              </w:rPr>
              <w:t>Patologie gastrointestinali</w:t>
            </w: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2C941CC9" w14:textId="77777777">
            <w:pPr>
              <w:pStyle w:val="EMEANormal"/>
              <w:widowControl w:val="0"/>
              <w:spacing w:before="60"/>
              <w:rPr>
                <w:lang w:val="it-IT"/>
              </w:rPr>
            </w:pPr>
            <w:r w:rsidRPr="00295E71">
              <w:rPr>
                <w:lang w:val="it-IT"/>
              </w:rPr>
              <w:t>Molto comune</w:t>
            </w:r>
          </w:p>
          <w:p w:rsidR="00C04163" w:rsidRPr="00295E71" w:rsidP="00035AC5" w14:paraId="49211E57"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1695C8D9" w14:textId="77777777">
            <w:pPr>
              <w:pStyle w:val="EMEANormal"/>
              <w:widowControl w:val="0"/>
              <w:spacing w:before="60"/>
              <w:rPr>
                <w:lang w:val="it-IT"/>
              </w:rPr>
            </w:pPr>
            <w:r w:rsidRPr="00295E71">
              <w:rPr>
                <w:lang w:val="it-IT"/>
              </w:rPr>
              <w:t xml:space="preserve">Dolore addominale, </w:t>
            </w:r>
          </w:p>
          <w:p w:rsidR="00C04163" w:rsidRPr="00295E71" w:rsidP="00035AC5" w14:paraId="0B46ED20" w14:textId="77777777">
            <w:pPr>
              <w:pStyle w:val="EMEANormal"/>
              <w:widowControl w:val="0"/>
              <w:spacing w:before="60"/>
              <w:rPr>
                <w:lang w:val="it-IT"/>
              </w:rPr>
            </w:pPr>
            <w:r w:rsidRPr="00295E71">
              <w:rPr>
                <w:lang w:val="it-IT"/>
              </w:rPr>
              <w:t>nausea e vomito</w:t>
            </w:r>
          </w:p>
          <w:p w:rsidR="00C04163" w:rsidRPr="00295E71" w:rsidP="00035AC5" w14:paraId="3B039242" w14:textId="77777777">
            <w:pPr>
              <w:pStyle w:val="EMEANormal"/>
              <w:widowControl w:val="0"/>
              <w:spacing w:before="60"/>
              <w:rPr>
                <w:lang w:val="it-IT"/>
              </w:rPr>
            </w:pPr>
          </w:p>
        </w:tc>
      </w:tr>
      <w:tr w14:paraId="6E483D05" w14:textId="77777777" w:rsidTr="00C04163">
        <w:tblPrEx>
          <w:tblW w:w="0" w:type="auto"/>
          <w:tblLook w:val="01E0"/>
        </w:tblPrEx>
        <w:trPr>
          <w:cantSplit/>
        </w:trPr>
        <w:tc>
          <w:tcPr>
            <w:tcW w:w="2566" w:type="dxa"/>
            <w:vMerge/>
          </w:tcPr>
          <w:p w:rsidR="00C04163" w:rsidRPr="00295E71" w:rsidP="00035AC5" w14:paraId="36E3E7D1"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C04163" w14:paraId="6041144A" w14:textId="77777777">
            <w:pPr>
              <w:pStyle w:val="EMEANormal"/>
              <w:widowControl w:val="0"/>
              <w:spacing w:before="60"/>
              <w:rPr>
                <w:lang w:val="it-IT"/>
              </w:rPr>
            </w:pPr>
            <w:r w:rsidRPr="00295E71">
              <w:rPr>
                <w:lang w:val="it-IT"/>
              </w:rPr>
              <w:t>Comune</w:t>
            </w:r>
          </w:p>
          <w:p w:rsidR="00C04163" w:rsidRPr="00295E71" w:rsidP="00C04163" w14:paraId="3BB45325"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C04163" w14:paraId="0FE67A60" w14:textId="77777777">
            <w:pPr>
              <w:pStyle w:val="EMEANormal"/>
              <w:widowControl w:val="0"/>
              <w:spacing w:before="60"/>
              <w:rPr>
                <w:lang w:val="it-IT"/>
              </w:rPr>
            </w:pPr>
            <w:r w:rsidRPr="00295E71">
              <w:rPr>
                <w:lang w:val="it-IT"/>
              </w:rPr>
              <w:t xml:space="preserve">Emorragia gastrointestinale, </w:t>
            </w:r>
          </w:p>
          <w:p w:rsidR="00C04163" w:rsidRPr="00295E71" w:rsidP="00C04163" w14:paraId="17F176BD" w14:textId="77777777">
            <w:pPr>
              <w:pStyle w:val="EMEANormal"/>
              <w:widowControl w:val="0"/>
              <w:spacing w:before="60"/>
              <w:rPr>
                <w:lang w:val="it-IT"/>
              </w:rPr>
            </w:pPr>
            <w:r w:rsidRPr="00295E71">
              <w:rPr>
                <w:lang w:val="it-IT"/>
              </w:rPr>
              <w:t>dispepsia,</w:t>
            </w:r>
          </w:p>
          <w:p w:rsidR="00C04163" w:rsidRPr="00295E71" w:rsidP="00C04163" w14:paraId="2564FD8A" w14:textId="77777777">
            <w:pPr>
              <w:pStyle w:val="EMEANormal"/>
              <w:widowControl w:val="0"/>
              <w:spacing w:before="60"/>
              <w:rPr>
                <w:lang w:val="it-IT"/>
              </w:rPr>
            </w:pPr>
            <w:r w:rsidRPr="00295E71">
              <w:rPr>
                <w:lang w:val="it-IT"/>
              </w:rPr>
              <w:t>malattia da reflusso gastroesofageo,</w:t>
            </w:r>
          </w:p>
          <w:p w:rsidR="00C04163" w:rsidRPr="00295E71" w:rsidP="00C04163" w14:paraId="2E5F588C" w14:textId="77777777">
            <w:pPr>
              <w:pStyle w:val="EMEANormal"/>
              <w:widowControl w:val="0"/>
              <w:spacing w:before="60"/>
              <w:rPr>
                <w:lang w:val="it-IT"/>
              </w:rPr>
            </w:pPr>
            <w:r w:rsidRPr="00295E71">
              <w:rPr>
                <w:lang w:val="it-IT"/>
              </w:rPr>
              <w:t>sindrome sicca</w:t>
            </w:r>
          </w:p>
          <w:p w:rsidR="00C04163" w:rsidRPr="00295E71" w:rsidP="00C04163" w14:paraId="1AD4BC4B" w14:textId="77777777">
            <w:pPr>
              <w:pStyle w:val="EMEANormal"/>
              <w:widowControl w:val="0"/>
              <w:spacing w:before="60"/>
              <w:rPr>
                <w:lang w:val="it-IT"/>
              </w:rPr>
            </w:pPr>
          </w:p>
        </w:tc>
      </w:tr>
      <w:tr w14:paraId="17A32446" w14:textId="77777777" w:rsidTr="00C04163">
        <w:tblPrEx>
          <w:tblW w:w="0" w:type="auto"/>
          <w:tblLook w:val="01E0"/>
        </w:tblPrEx>
        <w:trPr>
          <w:cantSplit/>
        </w:trPr>
        <w:tc>
          <w:tcPr>
            <w:tcW w:w="2566" w:type="dxa"/>
            <w:vMerge/>
          </w:tcPr>
          <w:p w:rsidR="00C04163" w:rsidRPr="00295E71" w:rsidP="00035AC5" w14:paraId="6459D65C"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C04163" w14:paraId="658176D7" w14:textId="77777777">
            <w:pPr>
              <w:pStyle w:val="EMEANormal"/>
              <w:widowControl w:val="0"/>
              <w:spacing w:before="60"/>
              <w:rPr>
                <w:lang w:val="it-IT"/>
              </w:rPr>
            </w:pPr>
            <w:r w:rsidRPr="00295E71">
              <w:rPr>
                <w:lang w:val="it-IT"/>
              </w:rPr>
              <w:t>Non comune</w:t>
            </w:r>
          </w:p>
          <w:p w:rsidR="00C04163" w:rsidRPr="00295E71" w:rsidP="00C04163" w14:paraId="32B8F3C4"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C04163" w14:paraId="7C6C81FD" w14:textId="77777777">
            <w:pPr>
              <w:pStyle w:val="EMEANormal"/>
              <w:widowControl w:val="0"/>
              <w:spacing w:before="60"/>
              <w:rPr>
                <w:lang w:val="it-IT"/>
              </w:rPr>
            </w:pPr>
            <w:r w:rsidRPr="00295E71">
              <w:rPr>
                <w:lang w:val="it-IT"/>
              </w:rPr>
              <w:t xml:space="preserve">Pancreatite, </w:t>
            </w:r>
          </w:p>
          <w:p w:rsidR="00C04163" w:rsidRPr="00295E71" w:rsidP="00C04163" w14:paraId="69C3B44E" w14:textId="77777777">
            <w:pPr>
              <w:pStyle w:val="EMEANormal"/>
              <w:widowControl w:val="0"/>
              <w:spacing w:before="60"/>
              <w:rPr>
                <w:lang w:val="it-IT"/>
              </w:rPr>
            </w:pPr>
            <w:r w:rsidRPr="00295E71">
              <w:rPr>
                <w:lang w:val="it-IT"/>
              </w:rPr>
              <w:t>disfagia</w:t>
            </w:r>
          </w:p>
          <w:p w:rsidR="00C04163" w:rsidRPr="00295E71" w:rsidP="00C04163" w14:paraId="13E8F5AC" w14:textId="77777777">
            <w:pPr>
              <w:pStyle w:val="EMEANormal"/>
              <w:widowControl w:val="0"/>
              <w:spacing w:before="60"/>
              <w:rPr>
                <w:lang w:val="it-IT"/>
              </w:rPr>
            </w:pPr>
            <w:r w:rsidRPr="00295E71">
              <w:rPr>
                <w:lang w:val="it-IT"/>
              </w:rPr>
              <w:t>edema facciale</w:t>
            </w:r>
          </w:p>
          <w:p w:rsidR="00C04163" w:rsidRPr="00295E71" w:rsidP="00C04163" w14:paraId="6B257916" w14:textId="77777777">
            <w:pPr>
              <w:pStyle w:val="EMEANormal"/>
              <w:widowControl w:val="0"/>
              <w:spacing w:before="60"/>
              <w:rPr>
                <w:lang w:val="it-IT"/>
              </w:rPr>
            </w:pPr>
          </w:p>
        </w:tc>
      </w:tr>
      <w:tr w14:paraId="01CBFDC8" w14:textId="77777777" w:rsidTr="00C04163">
        <w:tblPrEx>
          <w:tblW w:w="0" w:type="auto"/>
          <w:tblLook w:val="01E0"/>
        </w:tblPrEx>
        <w:trPr>
          <w:cantSplit/>
        </w:trPr>
        <w:tc>
          <w:tcPr>
            <w:tcW w:w="2566" w:type="dxa"/>
            <w:vMerge/>
          </w:tcPr>
          <w:p w:rsidR="00C04163" w:rsidRPr="00295E71" w:rsidP="00035AC5" w14:paraId="68B35ED4"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C04163" w14:paraId="4449DD35" w14:textId="77777777">
            <w:pPr>
              <w:pStyle w:val="EMEANormal"/>
              <w:widowControl w:val="0"/>
              <w:spacing w:before="60"/>
              <w:rPr>
                <w:lang w:val="it-IT"/>
              </w:rPr>
            </w:pPr>
            <w:r w:rsidRPr="00295E71">
              <w:rPr>
                <w:lang w:val="it-IT"/>
              </w:rPr>
              <w:t>Raro</w:t>
            </w:r>
          </w:p>
        </w:tc>
        <w:tc>
          <w:tcPr>
            <w:tcW w:w="4457" w:type="dxa"/>
            <w:tcBorders>
              <w:top w:val="single" w:sz="4" w:space="0" w:color="auto"/>
              <w:left w:val="single" w:sz="4" w:space="0" w:color="auto"/>
              <w:bottom w:val="single" w:sz="4" w:space="0" w:color="auto"/>
              <w:right w:val="single" w:sz="4" w:space="0" w:color="auto"/>
            </w:tcBorders>
          </w:tcPr>
          <w:p w:rsidR="00C04163" w:rsidRPr="00C04163" w:rsidP="00C04163" w14:paraId="60B80D33" w14:textId="77777777">
            <w:pPr>
              <w:pStyle w:val="EMEANormal"/>
              <w:widowControl w:val="0"/>
              <w:spacing w:before="60"/>
              <w:rPr>
                <w:lang w:val="it-IT"/>
              </w:rPr>
            </w:pPr>
            <w:r w:rsidRPr="00295E71">
              <w:rPr>
                <w:lang w:val="it-IT"/>
              </w:rPr>
              <w:t>Perforazione intestinale</w:t>
            </w:r>
            <w:r w:rsidRPr="00C04163">
              <w:rPr>
                <w:lang w:val="it-IT"/>
              </w:rPr>
              <w:t>1)</w:t>
            </w:r>
          </w:p>
          <w:p w:rsidR="00C04163" w:rsidRPr="00295E71" w:rsidP="00C04163" w14:paraId="0FDF3A4B" w14:textId="77777777">
            <w:pPr>
              <w:pStyle w:val="EMEANormal"/>
              <w:widowControl w:val="0"/>
              <w:spacing w:before="60"/>
              <w:rPr>
                <w:lang w:val="it-IT"/>
              </w:rPr>
            </w:pPr>
          </w:p>
        </w:tc>
      </w:tr>
      <w:tr w14:paraId="679DF383" w14:textId="77777777" w:rsidTr="00C04163">
        <w:tblPrEx>
          <w:tblW w:w="0" w:type="auto"/>
          <w:tblLook w:val="01E0"/>
        </w:tblPrEx>
        <w:trPr>
          <w:cantSplit/>
        </w:trPr>
        <w:tc>
          <w:tcPr>
            <w:tcW w:w="2566" w:type="dxa"/>
            <w:vMerge w:val="restart"/>
          </w:tcPr>
          <w:p w:rsidR="00C04163" w:rsidRPr="00295E71" w:rsidP="00035AC5" w14:paraId="09D38D6B" w14:textId="77777777">
            <w:pPr>
              <w:pStyle w:val="EMEANormal"/>
              <w:widowControl w:val="0"/>
              <w:spacing w:before="60"/>
              <w:rPr>
                <w:lang w:val="it-IT"/>
              </w:rPr>
            </w:pPr>
            <w:r w:rsidRPr="00295E71">
              <w:rPr>
                <w:lang w:val="it-IT"/>
              </w:rPr>
              <w:t>Patologie epatobiliari*</w:t>
            </w: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13E4F859" w14:textId="77777777">
            <w:pPr>
              <w:pStyle w:val="EMEANormal"/>
              <w:widowControl w:val="0"/>
              <w:spacing w:before="60"/>
              <w:rPr>
                <w:lang w:val="it-IT"/>
              </w:rPr>
            </w:pPr>
            <w:r w:rsidRPr="00295E71">
              <w:rPr>
                <w:lang w:val="it-IT"/>
              </w:rPr>
              <w:t>Molto comune</w:t>
            </w:r>
          </w:p>
          <w:p w:rsidR="00C04163" w:rsidRPr="00295E71" w:rsidP="00035AC5" w14:paraId="52183AD3"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06958CB5" w14:textId="77777777">
            <w:pPr>
              <w:pStyle w:val="EMEANormal"/>
              <w:widowControl w:val="0"/>
              <w:spacing w:before="60"/>
              <w:rPr>
                <w:lang w:val="it-IT"/>
              </w:rPr>
            </w:pPr>
            <w:r w:rsidRPr="00295E71">
              <w:rPr>
                <w:lang w:val="it-IT"/>
              </w:rPr>
              <w:t>Aumento degli enzimi epatici</w:t>
            </w:r>
          </w:p>
          <w:p w:rsidR="00C04163" w:rsidRPr="00295E71" w:rsidP="00035AC5" w14:paraId="3243A1AB" w14:textId="77777777">
            <w:pPr>
              <w:pStyle w:val="EMEANormal"/>
              <w:widowControl w:val="0"/>
              <w:spacing w:before="60"/>
              <w:rPr>
                <w:lang w:val="it-IT"/>
              </w:rPr>
            </w:pPr>
          </w:p>
        </w:tc>
      </w:tr>
      <w:tr w14:paraId="7D4A471F" w14:textId="77777777" w:rsidTr="00C04163">
        <w:tblPrEx>
          <w:tblW w:w="0" w:type="auto"/>
          <w:tblLook w:val="01E0"/>
        </w:tblPrEx>
        <w:trPr>
          <w:cantSplit/>
        </w:trPr>
        <w:tc>
          <w:tcPr>
            <w:tcW w:w="2566" w:type="dxa"/>
            <w:vMerge/>
          </w:tcPr>
          <w:p w:rsidR="00C04163" w:rsidRPr="00295E71" w:rsidP="00035AC5" w14:paraId="3193D2FD" w14:textId="77777777">
            <w:pPr>
              <w:pStyle w:val="EMEANormal"/>
              <w:widowControl w:val="0"/>
              <w:spacing w:before="60"/>
              <w:rPr>
                <w:lang w:val="it-IT"/>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C04163" w14:paraId="0F120B0E" w14:textId="77777777">
            <w:pPr>
              <w:pStyle w:val="EMEANormal"/>
              <w:widowControl w:val="0"/>
              <w:spacing w:before="60"/>
              <w:rPr>
                <w:lang w:val="it-IT"/>
              </w:rPr>
            </w:pPr>
            <w:r w:rsidRPr="00295E71">
              <w:rPr>
                <w:lang w:val="it-IT"/>
              </w:rPr>
              <w:t>Non comune</w:t>
            </w:r>
          </w:p>
          <w:p w:rsidR="00C04163" w:rsidRPr="00295E71" w:rsidP="00C04163" w14:paraId="423ED514"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C04163" w14:paraId="7F81348E" w14:textId="77777777">
            <w:pPr>
              <w:pStyle w:val="EMEANormal"/>
              <w:widowControl w:val="0"/>
              <w:spacing w:before="60"/>
              <w:rPr>
                <w:lang w:val="it-IT"/>
              </w:rPr>
            </w:pPr>
            <w:r w:rsidRPr="00295E71">
              <w:rPr>
                <w:lang w:val="it-IT"/>
              </w:rPr>
              <w:t xml:space="preserve">Colecistite e colelitiasi, </w:t>
            </w:r>
          </w:p>
          <w:p w:rsidR="00C04163" w:rsidRPr="00295E71" w:rsidP="00C04163" w14:paraId="1ACA390E" w14:textId="77777777">
            <w:pPr>
              <w:pStyle w:val="EMEANormal"/>
              <w:widowControl w:val="0"/>
              <w:spacing w:before="60"/>
              <w:rPr>
                <w:lang w:val="it-IT"/>
              </w:rPr>
            </w:pPr>
            <w:r w:rsidRPr="00295E71">
              <w:rPr>
                <w:lang w:val="it-IT"/>
              </w:rPr>
              <w:t>steatosi epatica,</w:t>
            </w:r>
            <w:r>
              <w:rPr>
                <w:lang w:val="it-IT"/>
              </w:rPr>
              <w:t xml:space="preserve"> </w:t>
            </w:r>
            <w:r w:rsidRPr="00295E71">
              <w:rPr>
                <w:lang w:val="it-IT"/>
              </w:rPr>
              <w:t>aumento della bilirubina,</w:t>
            </w:r>
          </w:p>
          <w:p w:rsidR="00C04163" w:rsidRPr="00295E71" w:rsidP="00C04163" w14:paraId="5AFB7F2A" w14:textId="77777777">
            <w:pPr>
              <w:pStyle w:val="EMEANormal"/>
              <w:widowControl w:val="0"/>
              <w:spacing w:before="60"/>
              <w:rPr>
                <w:lang w:val="it-IT"/>
              </w:rPr>
            </w:pPr>
          </w:p>
        </w:tc>
      </w:tr>
      <w:tr w14:paraId="1362495E" w14:textId="77777777" w:rsidTr="00C04163">
        <w:tblPrEx>
          <w:tblW w:w="0" w:type="auto"/>
          <w:tblLook w:val="01E0"/>
        </w:tblPrEx>
        <w:trPr>
          <w:cantSplit/>
        </w:trPr>
        <w:tc>
          <w:tcPr>
            <w:tcW w:w="2566" w:type="dxa"/>
            <w:vMerge/>
          </w:tcPr>
          <w:p w:rsidR="00C04163" w:rsidRPr="00295E71" w:rsidP="00035AC5" w14:paraId="25975A70" w14:textId="77777777">
            <w:pPr>
              <w:pStyle w:val="EMEANormal"/>
              <w:widowControl w:val="0"/>
              <w:spacing w:before="60"/>
              <w:rPr>
                <w:lang w:val="it-IT"/>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C04163" w14:paraId="3A753D00" w14:textId="77777777">
            <w:pPr>
              <w:pStyle w:val="EMEANormal"/>
              <w:widowControl w:val="0"/>
              <w:spacing w:before="60"/>
              <w:rPr>
                <w:lang w:val="it-IT"/>
              </w:rPr>
            </w:pPr>
            <w:r w:rsidRPr="00295E71">
              <w:rPr>
                <w:lang w:val="it-IT"/>
              </w:rPr>
              <w:t>Raro</w:t>
            </w:r>
          </w:p>
        </w:tc>
        <w:tc>
          <w:tcPr>
            <w:tcW w:w="4457" w:type="dxa"/>
            <w:tcBorders>
              <w:top w:val="single" w:sz="4" w:space="0" w:color="auto"/>
              <w:left w:val="single" w:sz="4" w:space="0" w:color="auto"/>
              <w:bottom w:val="single" w:sz="4" w:space="0" w:color="auto"/>
              <w:right w:val="single" w:sz="4" w:space="0" w:color="auto"/>
            </w:tcBorders>
          </w:tcPr>
          <w:p w:rsidR="00C04163" w:rsidRPr="00295E71" w:rsidP="00C04163" w14:paraId="3EB1F953" w14:textId="77777777">
            <w:pPr>
              <w:pStyle w:val="EMEANormal"/>
              <w:widowControl w:val="0"/>
              <w:spacing w:before="60"/>
              <w:rPr>
                <w:lang w:val="it-IT"/>
              </w:rPr>
            </w:pPr>
            <w:r w:rsidRPr="00295E71">
              <w:rPr>
                <w:lang w:val="it-IT"/>
              </w:rPr>
              <w:t>Epatite</w:t>
            </w:r>
          </w:p>
          <w:p w:rsidR="00C04163" w:rsidRPr="00C04163" w:rsidP="00C04163" w14:paraId="4CB6B434" w14:textId="77777777">
            <w:pPr>
              <w:pStyle w:val="EMEANormal"/>
              <w:widowControl w:val="0"/>
              <w:spacing w:before="60"/>
              <w:rPr>
                <w:lang w:val="it-IT"/>
              </w:rPr>
            </w:pPr>
            <w:r w:rsidRPr="00295E71">
              <w:rPr>
                <w:lang w:val="it-IT"/>
              </w:rPr>
              <w:t xml:space="preserve">riattivazione </w:t>
            </w:r>
            <w:r>
              <w:rPr>
                <w:lang w:val="it-IT"/>
              </w:rPr>
              <w:t>dell’</w:t>
            </w:r>
            <w:r w:rsidRPr="00295E71">
              <w:rPr>
                <w:lang w:val="it-IT"/>
              </w:rPr>
              <w:t xml:space="preserve">epatite B </w:t>
            </w:r>
            <w:r w:rsidRPr="00C04163">
              <w:rPr>
                <w:lang w:val="it-IT"/>
              </w:rPr>
              <w:t>1)</w:t>
            </w:r>
            <w:r w:rsidRPr="00295E71">
              <w:rPr>
                <w:lang w:val="it-IT"/>
              </w:rPr>
              <w:t>,</w:t>
            </w:r>
          </w:p>
          <w:p w:rsidR="00C04163" w:rsidRPr="00C04163" w:rsidP="00C04163" w14:paraId="182BFA92" w14:textId="77777777">
            <w:pPr>
              <w:pStyle w:val="EMEANormal"/>
              <w:widowControl w:val="0"/>
              <w:spacing w:before="60"/>
              <w:rPr>
                <w:lang w:val="it-IT"/>
              </w:rPr>
            </w:pPr>
            <w:r w:rsidRPr="00295E71">
              <w:rPr>
                <w:lang w:val="it-IT"/>
              </w:rPr>
              <w:t xml:space="preserve">epatite autoimmune </w:t>
            </w:r>
            <w:r w:rsidRPr="00C04163">
              <w:rPr>
                <w:lang w:val="it-IT"/>
              </w:rPr>
              <w:t>1)</w:t>
            </w:r>
          </w:p>
          <w:p w:rsidR="00C04163" w:rsidRPr="00295E71" w:rsidP="00C04163" w14:paraId="6A38780C" w14:textId="77777777">
            <w:pPr>
              <w:pStyle w:val="EMEANormal"/>
              <w:widowControl w:val="0"/>
              <w:spacing w:before="60"/>
              <w:rPr>
                <w:lang w:val="it-IT"/>
              </w:rPr>
            </w:pPr>
          </w:p>
        </w:tc>
      </w:tr>
      <w:tr w14:paraId="522BEF47" w14:textId="77777777" w:rsidTr="00C04163">
        <w:tblPrEx>
          <w:tblW w:w="0" w:type="auto"/>
          <w:tblLook w:val="01E0"/>
        </w:tblPrEx>
        <w:trPr>
          <w:cantSplit/>
        </w:trPr>
        <w:tc>
          <w:tcPr>
            <w:tcW w:w="2566" w:type="dxa"/>
            <w:vMerge/>
          </w:tcPr>
          <w:p w:rsidR="00C04163" w:rsidRPr="00295E71" w:rsidP="00035AC5" w14:paraId="3CA548EE" w14:textId="77777777">
            <w:pPr>
              <w:pStyle w:val="EMEANormal"/>
              <w:widowControl w:val="0"/>
              <w:spacing w:before="60"/>
              <w:rPr>
                <w:lang w:val="it-IT"/>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2BEBABA1" w14:textId="77777777">
            <w:pPr>
              <w:pStyle w:val="EMEANormal"/>
              <w:widowControl w:val="0"/>
              <w:spacing w:before="60"/>
              <w:rPr>
                <w:lang w:val="it-IT"/>
              </w:rPr>
            </w:pPr>
            <w:r w:rsidRPr="00295E71">
              <w:rPr>
                <w:lang w:val="it-IT"/>
              </w:rPr>
              <w:t>Non not</w:t>
            </w:r>
            <w:r>
              <w:rPr>
                <w:lang w:val="it-IT"/>
              </w:rPr>
              <w:t>a</w:t>
            </w: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0B23F8D0" w14:textId="77777777">
            <w:pPr>
              <w:pStyle w:val="EMEANormal"/>
              <w:widowControl w:val="0"/>
              <w:spacing w:before="60"/>
              <w:rPr>
                <w:lang w:val="it-IT"/>
              </w:rPr>
            </w:pPr>
            <w:r w:rsidRPr="00295E71">
              <w:rPr>
                <w:lang w:val="it-IT"/>
              </w:rPr>
              <w:t xml:space="preserve">Insufficienza epatica </w:t>
            </w:r>
            <w:r w:rsidRPr="00C04163">
              <w:rPr>
                <w:lang w:val="it-IT"/>
              </w:rPr>
              <w:t>1)</w:t>
            </w:r>
          </w:p>
          <w:p w:rsidR="00C04163" w:rsidRPr="00295E71" w:rsidP="00035AC5" w14:paraId="7E0CF550" w14:textId="77777777">
            <w:pPr>
              <w:pStyle w:val="EMEANormal"/>
              <w:widowControl w:val="0"/>
              <w:spacing w:before="60"/>
              <w:rPr>
                <w:lang w:val="it-IT"/>
              </w:rPr>
            </w:pPr>
          </w:p>
        </w:tc>
      </w:tr>
      <w:tr w14:paraId="60D8A10C" w14:textId="77777777" w:rsidTr="00C04163">
        <w:tblPrEx>
          <w:tblW w:w="0" w:type="auto"/>
          <w:tblLook w:val="01E0"/>
        </w:tblPrEx>
        <w:trPr>
          <w:cantSplit/>
        </w:trPr>
        <w:tc>
          <w:tcPr>
            <w:tcW w:w="2566" w:type="dxa"/>
            <w:vMerge w:val="restart"/>
          </w:tcPr>
          <w:p w:rsidR="00C04163" w:rsidRPr="00295E71" w:rsidP="00035AC5" w14:paraId="7A876250" w14:textId="77777777">
            <w:pPr>
              <w:pStyle w:val="EMEANormal"/>
              <w:widowControl w:val="0"/>
              <w:spacing w:before="60"/>
              <w:rPr>
                <w:lang w:val="it-IT"/>
              </w:rPr>
            </w:pPr>
            <w:r w:rsidRPr="00295E71">
              <w:rPr>
                <w:lang w:val="it-IT"/>
              </w:rPr>
              <w:t>Patologie della cute e del tessuto sottocutaneo</w:t>
            </w: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36D38A01" w14:textId="77777777">
            <w:pPr>
              <w:pStyle w:val="EMEANormal"/>
              <w:widowControl w:val="0"/>
              <w:spacing w:before="60"/>
              <w:rPr>
                <w:lang w:val="it-IT"/>
              </w:rPr>
            </w:pPr>
            <w:r w:rsidRPr="00295E71">
              <w:rPr>
                <w:lang w:val="it-IT"/>
              </w:rPr>
              <w:t>Molto comune</w:t>
            </w:r>
          </w:p>
          <w:p w:rsidR="00C04163" w:rsidRPr="00295E71" w:rsidP="00035AC5" w14:paraId="6C62146A"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09B60E5D" w14:textId="77777777">
            <w:pPr>
              <w:pStyle w:val="EMEANormal"/>
              <w:widowControl w:val="0"/>
              <w:spacing w:before="60"/>
              <w:rPr>
                <w:lang w:val="it-IT"/>
              </w:rPr>
            </w:pPr>
            <w:r w:rsidRPr="00295E71">
              <w:rPr>
                <w:lang w:val="it-IT"/>
              </w:rPr>
              <w:t>Rash (tra cui rash esfoliativo)</w:t>
            </w:r>
          </w:p>
          <w:p w:rsidR="00C04163" w:rsidRPr="00295E71" w:rsidP="00035AC5" w14:paraId="2851AFF9" w14:textId="77777777">
            <w:pPr>
              <w:pStyle w:val="EMEANormal"/>
              <w:widowControl w:val="0"/>
              <w:spacing w:before="60"/>
              <w:rPr>
                <w:lang w:val="it-IT"/>
              </w:rPr>
            </w:pPr>
          </w:p>
        </w:tc>
      </w:tr>
      <w:tr w14:paraId="59E75022" w14:textId="77777777" w:rsidTr="00C04163">
        <w:tblPrEx>
          <w:tblW w:w="0" w:type="auto"/>
          <w:tblLook w:val="01E0"/>
        </w:tblPrEx>
        <w:trPr>
          <w:cantSplit/>
        </w:trPr>
        <w:tc>
          <w:tcPr>
            <w:tcW w:w="2566" w:type="dxa"/>
            <w:vMerge/>
          </w:tcPr>
          <w:p w:rsidR="00C04163" w:rsidRPr="00295E71" w:rsidP="00035AC5" w14:paraId="71A72F09"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C04163" w14:paraId="35C458C4" w14:textId="77777777">
            <w:pPr>
              <w:pStyle w:val="EMEANormal"/>
              <w:widowControl w:val="0"/>
              <w:spacing w:before="60"/>
              <w:rPr>
                <w:lang w:val="it-IT"/>
              </w:rPr>
            </w:pPr>
            <w:r w:rsidRPr="00295E71">
              <w:rPr>
                <w:lang w:val="it-IT"/>
              </w:rPr>
              <w:t>Comune</w:t>
            </w:r>
          </w:p>
          <w:p w:rsidR="00C04163" w:rsidRPr="00295E71" w:rsidP="00C04163" w14:paraId="488E31A4"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C04163" w14:paraId="121343A3" w14:textId="77777777">
            <w:pPr>
              <w:pStyle w:val="EMEANormal"/>
              <w:widowControl w:val="0"/>
              <w:spacing w:before="60"/>
              <w:rPr>
                <w:lang w:val="it-IT"/>
              </w:rPr>
            </w:pPr>
            <w:r w:rsidRPr="00295E71">
              <w:rPr>
                <w:lang w:val="it-IT"/>
              </w:rPr>
              <w:t>Peggioramento o insorgenza di psoriasi (tra cui psoriasi pustol</w:t>
            </w:r>
            <w:r>
              <w:rPr>
                <w:lang w:val="it-IT"/>
              </w:rPr>
              <w:t>osa</w:t>
            </w:r>
            <w:r w:rsidRPr="00295E71">
              <w:rPr>
                <w:lang w:val="it-IT"/>
              </w:rPr>
              <w:t xml:space="preserve"> palmoplantare)</w:t>
            </w:r>
            <w:r w:rsidRPr="00C04163">
              <w:rPr>
                <w:lang w:val="it-IT"/>
              </w:rPr>
              <w:t xml:space="preserve"> 1)</w:t>
            </w:r>
            <w:r w:rsidRPr="00295E71">
              <w:rPr>
                <w:lang w:val="it-IT"/>
              </w:rPr>
              <w:t>,</w:t>
            </w:r>
          </w:p>
          <w:p w:rsidR="00C04163" w:rsidRPr="00295E71" w:rsidP="00C04163" w14:paraId="08167CA4" w14:textId="77777777">
            <w:pPr>
              <w:pStyle w:val="EMEANormal"/>
              <w:widowControl w:val="0"/>
              <w:spacing w:before="60"/>
              <w:rPr>
                <w:lang w:val="it-IT"/>
              </w:rPr>
            </w:pPr>
            <w:r w:rsidRPr="00295E71">
              <w:rPr>
                <w:lang w:val="it-IT"/>
              </w:rPr>
              <w:t>orticaria,</w:t>
            </w:r>
          </w:p>
          <w:p w:rsidR="00C04163" w:rsidRPr="00295E71" w:rsidP="00C04163" w14:paraId="61B84A6F" w14:textId="77777777">
            <w:pPr>
              <w:pStyle w:val="EMEANormal"/>
              <w:widowControl w:val="0"/>
              <w:spacing w:before="60"/>
              <w:rPr>
                <w:lang w:val="it-IT"/>
              </w:rPr>
            </w:pPr>
            <w:r w:rsidRPr="00295E71">
              <w:rPr>
                <w:lang w:val="it-IT"/>
              </w:rPr>
              <w:t xml:space="preserve">ecchimosi (tra cui porpora), </w:t>
            </w:r>
          </w:p>
          <w:p w:rsidR="00C04163" w:rsidRPr="00295E71" w:rsidP="00C04163" w14:paraId="760C80A1" w14:textId="77777777">
            <w:pPr>
              <w:pStyle w:val="EMEANormal"/>
              <w:widowControl w:val="0"/>
              <w:spacing w:before="60"/>
              <w:rPr>
                <w:lang w:val="it-IT"/>
              </w:rPr>
            </w:pPr>
            <w:r w:rsidRPr="00295E71">
              <w:rPr>
                <w:lang w:val="it-IT"/>
              </w:rPr>
              <w:t>dermatite (tra cui eczema),</w:t>
            </w:r>
          </w:p>
          <w:p w:rsidR="00C04163" w:rsidRPr="00295E71" w:rsidP="00C04163" w14:paraId="58AF8770" w14:textId="77777777">
            <w:pPr>
              <w:pStyle w:val="EMEANormal"/>
              <w:widowControl w:val="0"/>
              <w:spacing w:before="60"/>
              <w:rPr>
                <w:lang w:val="it-IT"/>
              </w:rPr>
            </w:pPr>
            <w:r w:rsidRPr="00295E71">
              <w:rPr>
                <w:lang w:val="it-IT"/>
              </w:rPr>
              <w:t xml:space="preserve">onicoclasia, </w:t>
            </w:r>
          </w:p>
          <w:p w:rsidR="00C04163" w:rsidRPr="00295E71" w:rsidP="00C04163" w14:paraId="60EBC3B4" w14:textId="77777777">
            <w:pPr>
              <w:pStyle w:val="EMEANormal"/>
              <w:widowControl w:val="0"/>
              <w:spacing w:before="60"/>
              <w:rPr>
                <w:lang w:val="it-IT"/>
              </w:rPr>
            </w:pPr>
            <w:r w:rsidRPr="00295E71">
              <w:rPr>
                <w:lang w:val="it-IT"/>
              </w:rPr>
              <w:t>iperidrosi,</w:t>
            </w:r>
          </w:p>
          <w:p w:rsidR="00C04163" w:rsidRPr="00295E71" w:rsidP="00C04163" w14:paraId="4FBFBF6F" w14:textId="77777777">
            <w:pPr>
              <w:pStyle w:val="EMEANormal"/>
              <w:widowControl w:val="0"/>
              <w:spacing w:before="60"/>
              <w:rPr>
                <w:lang w:val="it-IT"/>
              </w:rPr>
            </w:pPr>
            <w:r w:rsidRPr="00295E71">
              <w:rPr>
                <w:lang w:val="it-IT"/>
              </w:rPr>
              <w:t>alopecia</w:t>
            </w:r>
            <w:r w:rsidRPr="00C04163">
              <w:rPr>
                <w:lang w:val="it-IT"/>
              </w:rPr>
              <w:t>1)</w:t>
            </w:r>
            <w:r w:rsidRPr="00295E71">
              <w:rPr>
                <w:lang w:val="it-IT"/>
              </w:rPr>
              <w:t>,</w:t>
            </w:r>
          </w:p>
          <w:p w:rsidR="00C04163" w:rsidRPr="00295E71" w:rsidP="00C04163" w14:paraId="0A1FE683" w14:textId="77777777">
            <w:pPr>
              <w:pStyle w:val="EMEANormal"/>
              <w:widowControl w:val="0"/>
              <w:spacing w:before="60"/>
              <w:rPr>
                <w:lang w:val="it-IT"/>
              </w:rPr>
            </w:pPr>
            <w:r w:rsidRPr="00295E71">
              <w:rPr>
                <w:lang w:val="it-IT"/>
              </w:rPr>
              <w:t>prurito</w:t>
            </w:r>
          </w:p>
          <w:p w:rsidR="00C04163" w:rsidRPr="00295E71" w:rsidP="00C04163" w14:paraId="04DAD342" w14:textId="77777777">
            <w:pPr>
              <w:pStyle w:val="EMEANormal"/>
              <w:widowControl w:val="0"/>
              <w:spacing w:before="60"/>
              <w:rPr>
                <w:lang w:val="it-IT"/>
              </w:rPr>
            </w:pPr>
          </w:p>
        </w:tc>
      </w:tr>
      <w:tr w14:paraId="16A182C7" w14:textId="77777777" w:rsidTr="00C04163">
        <w:tblPrEx>
          <w:tblW w:w="0" w:type="auto"/>
          <w:tblLook w:val="01E0"/>
        </w:tblPrEx>
        <w:trPr>
          <w:cantSplit/>
        </w:trPr>
        <w:tc>
          <w:tcPr>
            <w:tcW w:w="2566" w:type="dxa"/>
            <w:vMerge/>
          </w:tcPr>
          <w:p w:rsidR="00C04163" w:rsidRPr="00295E71" w:rsidP="00035AC5" w14:paraId="19FA1B4B"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C04163" w14:paraId="2AF5D826" w14:textId="77777777">
            <w:pPr>
              <w:pStyle w:val="EMEANormal"/>
              <w:widowControl w:val="0"/>
              <w:spacing w:before="60"/>
              <w:rPr>
                <w:lang w:val="it-IT"/>
              </w:rPr>
            </w:pPr>
            <w:r w:rsidRPr="00295E71">
              <w:rPr>
                <w:lang w:val="it-IT"/>
              </w:rPr>
              <w:t>Non comune</w:t>
            </w:r>
          </w:p>
          <w:p w:rsidR="00C04163" w:rsidRPr="00295E71" w:rsidP="00C04163" w14:paraId="347203B8"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C04163" w14:paraId="1505827D" w14:textId="77777777">
            <w:pPr>
              <w:pStyle w:val="EMEANormal"/>
              <w:widowControl w:val="0"/>
              <w:spacing w:before="60"/>
              <w:rPr>
                <w:lang w:val="it-IT"/>
              </w:rPr>
            </w:pPr>
            <w:r w:rsidRPr="00295E71">
              <w:rPr>
                <w:lang w:val="it-IT"/>
              </w:rPr>
              <w:t>Sudorazione notturna,</w:t>
            </w:r>
          </w:p>
          <w:p w:rsidR="00C04163" w:rsidRPr="00295E71" w:rsidP="00C04163" w14:paraId="0F6BA452" w14:textId="77777777">
            <w:pPr>
              <w:pStyle w:val="EMEANormal"/>
              <w:widowControl w:val="0"/>
              <w:spacing w:before="60"/>
              <w:rPr>
                <w:lang w:val="it-IT"/>
              </w:rPr>
            </w:pPr>
            <w:r w:rsidRPr="00295E71">
              <w:rPr>
                <w:lang w:val="it-IT"/>
              </w:rPr>
              <w:t>cicatrice</w:t>
            </w:r>
          </w:p>
          <w:p w:rsidR="00C04163" w:rsidRPr="00295E71" w:rsidP="00C04163" w14:paraId="2F8B8607" w14:textId="77777777">
            <w:pPr>
              <w:pStyle w:val="EMEANormal"/>
              <w:widowControl w:val="0"/>
              <w:spacing w:before="60"/>
              <w:rPr>
                <w:lang w:val="it-IT"/>
              </w:rPr>
            </w:pPr>
          </w:p>
        </w:tc>
      </w:tr>
      <w:tr w14:paraId="3F5B9502" w14:textId="77777777" w:rsidTr="00C04163">
        <w:tblPrEx>
          <w:tblW w:w="0" w:type="auto"/>
          <w:tblLook w:val="01E0"/>
        </w:tblPrEx>
        <w:trPr>
          <w:cantSplit/>
        </w:trPr>
        <w:tc>
          <w:tcPr>
            <w:tcW w:w="2566" w:type="dxa"/>
            <w:vMerge/>
          </w:tcPr>
          <w:p w:rsidR="00C04163" w:rsidRPr="00295E71" w:rsidP="00035AC5" w14:paraId="4D22C3AA"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C04163" w14:paraId="49B93383" w14:textId="77777777">
            <w:pPr>
              <w:pStyle w:val="EMEANormal"/>
              <w:widowControl w:val="0"/>
              <w:spacing w:before="60"/>
              <w:rPr>
                <w:lang w:val="it-IT"/>
              </w:rPr>
            </w:pPr>
            <w:r w:rsidRPr="00295E71">
              <w:rPr>
                <w:lang w:val="it-IT"/>
              </w:rPr>
              <w:t>Raro</w:t>
            </w:r>
          </w:p>
        </w:tc>
        <w:tc>
          <w:tcPr>
            <w:tcW w:w="4457" w:type="dxa"/>
            <w:tcBorders>
              <w:top w:val="single" w:sz="4" w:space="0" w:color="auto"/>
              <w:left w:val="single" w:sz="4" w:space="0" w:color="auto"/>
              <w:bottom w:val="single" w:sz="4" w:space="0" w:color="auto"/>
              <w:right w:val="single" w:sz="4" w:space="0" w:color="auto"/>
            </w:tcBorders>
          </w:tcPr>
          <w:p w:rsidR="00C04163" w:rsidRPr="00295E71" w:rsidP="00C04163" w14:paraId="60FA11DD" w14:textId="77777777">
            <w:pPr>
              <w:pStyle w:val="EMEANormal"/>
              <w:widowControl w:val="0"/>
              <w:spacing w:before="60"/>
              <w:rPr>
                <w:lang w:val="it-IT"/>
              </w:rPr>
            </w:pPr>
            <w:r w:rsidRPr="00295E71">
              <w:rPr>
                <w:lang w:val="it-IT"/>
              </w:rPr>
              <w:t>Eritema multiforme</w:t>
            </w:r>
            <w:r w:rsidRPr="00C04163">
              <w:rPr>
                <w:lang w:val="it-IT"/>
              </w:rPr>
              <w:t>1)</w:t>
            </w:r>
            <w:r w:rsidRPr="00295E71">
              <w:rPr>
                <w:lang w:val="it-IT"/>
              </w:rPr>
              <w:t>,</w:t>
            </w:r>
          </w:p>
          <w:p w:rsidR="00C04163" w:rsidRPr="00295E71" w:rsidP="00C04163" w14:paraId="748C2CFD" w14:textId="77777777">
            <w:pPr>
              <w:pStyle w:val="EMEANormal"/>
              <w:widowControl w:val="0"/>
              <w:spacing w:before="60"/>
              <w:rPr>
                <w:lang w:val="it-IT"/>
              </w:rPr>
            </w:pPr>
            <w:r w:rsidRPr="00295E71">
              <w:rPr>
                <w:lang w:val="it-IT"/>
              </w:rPr>
              <w:t>sindrome di Stevens-Johnson</w:t>
            </w:r>
            <w:r w:rsidRPr="00C04163">
              <w:rPr>
                <w:lang w:val="it-IT"/>
              </w:rPr>
              <w:t>1)</w:t>
            </w:r>
            <w:r w:rsidRPr="00295E71">
              <w:rPr>
                <w:lang w:val="it-IT"/>
              </w:rPr>
              <w:t>,</w:t>
            </w:r>
          </w:p>
          <w:p w:rsidR="00C04163" w:rsidRPr="00295E71" w:rsidP="00C04163" w14:paraId="40A6E0B8" w14:textId="77777777">
            <w:pPr>
              <w:pStyle w:val="EMEANormal"/>
              <w:widowControl w:val="0"/>
              <w:spacing w:before="60"/>
              <w:rPr>
                <w:lang w:val="it-IT"/>
              </w:rPr>
            </w:pPr>
            <w:r w:rsidRPr="00295E71">
              <w:rPr>
                <w:lang w:val="it-IT"/>
              </w:rPr>
              <w:t>angioedema</w:t>
            </w:r>
            <w:r w:rsidRPr="00C04163">
              <w:rPr>
                <w:lang w:val="it-IT"/>
              </w:rPr>
              <w:t>1)</w:t>
            </w:r>
            <w:r w:rsidRPr="00295E71">
              <w:rPr>
                <w:lang w:val="it-IT"/>
              </w:rPr>
              <w:t>,</w:t>
            </w:r>
          </w:p>
          <w:p w:rsidR="00C04163" w:rsidRPr="00C04163" w:rsidP="00C04163" w14:paraId="5D07C198" w14:textId="77777777">
            <w:pPr>
              <w:pStyle w:val="EMEANormal"/>
              <w:widowControl w:val="0"/>
              <w:spacing w:before="60"/>
              <w:rPr>
                <w:lang w:val="it-IT"/>
              </w:rPr>
            </w:pPr>
            <w:r w:rsidRPr="00295E71">
              <w:rPr>
                <w:lang w:val="it-IT"/>
              </w:rPr>
              <w:t>vasculite cutanea</w:t>
            </w:r>
            <w:r w:rsidRPr="00C04163">
              <w:rPr>
                <w:lang w:val="it-IT"/>
              </w:rPr>
              <w:t>1)</w:t>
            </w:r>
          </w:p>
          <w:p w:rsidR="00C04163" w:rsidRPr="00C04163" w:rsidP="00C04163" w14:paraId="0D9ABA64" w14:textId="77777777">
            <w:pPr>
              <w:pStyle w:val="EMEANormal"/>
              <w:widowControl w:val="0"/>
              <w:spacing w:before="60"/>
              <w:rPr>
                <w:lang w:val="it-IT"/>
              </w:rPr>
            </w:pPr>
            <w:r>
              <w:rPr>
                <w:lang w:val="it-IT"/>
              </w:rPr>
              <w:t>reazione cutanea lichenoide</w:t>
            </w:r>
            <w:r w:rsidRPr="00C04163">
              <w:rPr>
                <w:lang w:val="it-IT"/>
              </w:rPr>
              <w:t>1)</w:t>
            </w:r>
          </w:p>
          <w:p w:rsidR="00C04163" w:rsidRPr="00295E71" w:rsidP="00C04163" w14:paraId="03ED3D76" w14:textId="77777777">
            <w:pPr>
              <w:pStyle w:val="EMEANormal"/>
              <w:widowControl w:val="0"/>
              <w:spacing w:before="60"/>
              <w:rPr>
                <w:lang w:val="it-IT"/>
              </w:rPr>
            </w:pPr>
          </w:p>
        </w:tc>
      </w:tr>
      <w:tr w14:paraId="5D2E0024" w14:textId="77777777" w:rsidTr="00C04163">
        <w:tblPrEx>
          <w:tblW w:w="0" w:type="auto"/>
          <w:tblLook w:val="01E0"/>
        </w:tblPrEx>
        <w:trPr>
          <w:cantSplit/>
        </w:trPr>
        <w:tc>
          <w:tcPr>
            <w:tcW w:w="2566" w:type="dxa"/>
            <w:vMerge/>
          </w:tcPr>
          <w:p w:rsidR="00C04163" w:rsidRPr="00295E71" w:rsidP="00035AC5" w14:paraId="37704FF5"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C04163" w14:paraId="6AB848DC" w14:textId="77777777">
            <w:pPr>
              <w:pStyle w:val="EMEANormal"/>
              <w:widowControl w:val="0"/>
              <w:spacing w:before="60"/>
              <w:rPr>
                <w:lang w:val="it-IT"/>
              </w:rPr>
            </w:pPr>
            <w:r w:rsidRPr="00295E71">
              <w:rPr>
                <w:lang w:val="it-IT"/>
              </w:rPr>
              <w:t>Non nota</w:t>
            </w:r>
          </w:p>
        </w:tc>
        <w:tc>
          <w:tcPr>
            <w:tcW w:w="4457" w:type="dxa"/>
            <w:tcBorders>
              <w:top w:val="single" w:sz="4" w:space="0" w:color="auto"/>
              <w:left w:val="single" w:sz="4" w:space="0" w:color="auto"/>
              <w:bottom w:val="single" w:sz="4" w:space="0" w:color="auto"/>
              <w:right w:val="single" w:sz="4" w:space="0" w:color="auto"/>
            </w:tcBorders>
          </w:tcPr>
          <w:p w:rsidR="00C04163" w:rsidRPr="00295E71" w:rsidP="00C04163" w14:paraId="3AD01E7A" w14:textId="77777777">
            <w:pPr>
              <w:pStyle w:val="EMEANormal"/>
              <w:widowControl w:val="0"/>
              <w:spacing w:before="60"/>
              <w:rPr>
                <w:lang w:val="it-IT"/>
              </w:rPr>
            </w:pPr>
            <w:r w:rsidRPr="00295E71">
              <w:rPr>
                <w:lang w:val="it-IT"/>
              </w:rPr>
              <w:t>Peggioramento dei sintomi di dermatomiosite</w:t>
            </w:r>
            <w:r w:rsidRPr="00C04163">
              <w:rPr>
                <w:lang w:val="it-IT"/>
              </w:rPr>
              <w:t>1)</w:t>
            </w:r>
          </w:p>
        </w:tc>
      </w:tr>
      <w:tr w14:paraId="649772B0" w14:textId="77777777" w:rsidTr="00C04163">
        <w:tblPrEx>
          <w:tblW w:w="0" w:type="auto"/>
          <w:tblLook w:val="01E0"/>
        </w:tblPrEx>
        <w:trPr>
          <w:cantSplit/>
        </w:trPr>
        <w:tc>
          <w:tcPr>
            <w:tcW w:w="2566" w:type="dxa"/>
          </w:tcPr>
          <w:p w:rsidR="00C04163" w:rsidRPr="00295E71" w:rsidP="00035AC5" w14:paraId="48C84C67" w14:textId="77777777">
            <w:pPr>
              <w:pStyle w:val="IndexHeading"/>
              <w:widowControl w:val="0"/>
              <w:tabs>
                <w:tab w:val="clear" w:pos="567"/>
              </w:tabs>
              <w:spacing w:before="120" w:after="120" w:line="240" w:lineRule="auto"/>
              <w:jc w:val="center"/>
              <w:rPr>
                <w:rFonts w:ascii="Times New Roman" w:hAnsi="Times New Roman" w:cs="Times New Roman"/>
                <w:lang w:val="it-IT" w:eastAsia="it-IT"/>
              </w:rPr>
            </w:pPr>
            <w:r w:rsidRPr="00295E71">
              <w:rPr>
                <w:rFonts w:ascii="Times New Roman" w:hAnsi="Times New Roman" w:cs="Times New Roman"/>
                <w:lang w:val="it-IT" w:eastAsia="it-IT"/>
              </w:rPr>
              <w:t>Classificazione per sistemi e organi</w:t>
            </w:r>
          </w:p>
        </w:tc>
        <w:tc>
          <w:tcPr>
            <w:tcW w:w="2037" w:type="dxa"/>
            <w:tcBorders>
              <w:top w:val="single" w:sz="4" w:space="0" w:color="auto"/>
              <w:left w:val="single" w:sz="4" w:space="0" w:color="auto"/>
              <w:bottom w:val="single" w:sz="4" w:space="0" w:color="auto"/>
              <w:right w:val="single" w:sz="4" w:space="0" w:color="auto"/>
            </w:tcBorders>
          </w:tcPr>
          <w:p w:rsidR="00C04163" w:rsidRPr="00C04163" w:rsidP="00C04163" w14:paraId="4727F7C4" w14:textId="77777777">
            <w:pPr>
              <w:pStyle w:val="EMEANormal"/>
              <w:widowControl w:val="0"/>
              <w:spacing w:before="60"/>
              <w:rPr>
                <w:lang w:val="it-IT"/>
              </w:rPr>
            </w:pPr>
            <w:r w:rsidRPr="00295E71">
              <w:rPr>
                <w:lang w:val="it-IT"/>
              </w:rPr>
              <w:t>Frequenza</w:t>
            </w:r>
          </w:p>
        </w:tc>
        <w:tc>
          <w:tcPr>
            <w:tcW w:w="4457" w:type="dxa"/>
            <w:tcBorders>
              <w:top w:val="single" w:sz="4" w:space="0" w:color="auto"/>
              <w:left w:val="single" w:sz="4" w:space="0" w:color="auto"/>
              <w:bottom w:val="single" w:sz="4" w:space="0" w:color="auto"/>
              <w:right w:val="single" w:sz="4" w:space="0" w:color="auto"/>
            </w:tcBorders>
          </w:tcPr>
          <w:p w:rsidR="00C04163" w:rsidRPr="00C04163" w:rsidP="00C04163" w14:paraId="6358E6B4" w14:textId="77777777">
            <w:pPr>
              <w:pStyle w:val="EMEANormal"/>
              <w:widowControl w:val="0"/>
              <w:spacing w:before="60"/>
              <w:rPr>
                <w:lang w:val="it-IT"/>
              </w:rPr>
            </w:pPr>
            <w:r w:rsidRPr="00295E71">
              <w:rPr>
                <w:lang w:val="it-IT"/>
              </w:rPr>
              <w:t>Reazione avversa</w:t>
            </w:r>
          </w:p>
        </w:tc>
      </w:tr>
      <w:tr w14:paraId="0B255B13" w14:textId="77777777" w:rsidTr="00C04163">
        <w:tblPrEx>
          <w:tblW w:w="0" w:type="auto"/>
          <w:tblLook w:val="01E0"/>
        </w:tblPrEx>
        <w:trPr>
          <w:cantSplit/>
        </w:trPr>
        <w:tc>
          <w:tcPr>
            <w:tcW w:w="2566" w:type="dxa"/>
            <w:vMerge w:val="restart"/>
          </w:tcPr>
          <w:p w:rsidR="00C04163" w:rsidRPr="00295E71" w:rsidP="00035AC5" w14:paraId="2117A7FA" w14:textId="77777777">
            <w:pPr>
              <w:pStyle w:val="EMEANormal"/>
              <w:widowControl w:val="0"/>
              <w:spacing w:before="60"/>
              <w:rPr>
                <w:lang w:val="it-IT"/>
              </w:rPr>
            </w:pPr>
            <w:r w:rsidRPr="00295E71">
              <w:rPr>
                <w:lang w:val="it-IT"/>
              </w:rPr>
              <w:t>Patologie del sistema muscolo-scheletrico e del tessuto connettivo</w:t>
            </w: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2393D3BA" w14:textId="77777777">
            <w:pPr>
              <w:pStyle w:val="EMEANormal"/>
              <w:widowControl w:val="0"/>
              <w:spacing w:before="60"/>
              <w:rPr>
                <w:lang w:val="it-IT"/>
              </w:rPr>
            </w:pPr>
            <w:r w:rsidRPr="00295E71">
              <w:rPr>
                <w:lang w:val="it-IT"/>
              </w:rPr>
              <w:t>Molto comune</w:t>
            </w:r>
          </w:p>
          <w:p w:rsidR="00C04163" w:rsidRPr="00295E71" w:rsidP="00035AC5" w14:paraId="792E38FE"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7D4D71D7" w14:textId="77777777">
            <w:pPr>
              <w:pStyle w:val="EMEANormal"/>
              <w:widowControl w:val="0"/>
              <w:spacing w:before="60"/>
              <w:rPr>
                <w:lang w:val="it-IT"/>
              </w:rPr>
            </w:pPr>
            <w:r w:rsidRPr="00295E71">
              <w:rPr>
                <w:lang w:val="it-IT"/>
              </w:rPr>
              <w:t>Dolore muscoloscheletrico</w:t>
            </w:r>
          </w:p>
          <w:p w:rsidR="00C04163" w:rsidRPr="00295E71" w:rsidP="00035AC5" w14:paraId="1F1531D4" w14:textId="77777777">
            <w:pPr>
              <w:pStyle w:val="EMEANormal"/>
              <w:widowControl w:val="0"/>
              <w:spacing w:before="60"/>
              <w:rPr>
                <w:lang w:val="it-IT"/>
              </w:rPr>
            </w:pPr>
          </w:p>
        </w:tc>
      </w:tr>
      <w:tr w14:paraId="3A9517B5" w14:textId="77777777" w:rsidTr="00C04163">
        <w:tblPrEx>
          <w:tblW w:w="0" w:type="auto"/>
          <w:tblLook w:val="01E0"/>
        </w:tblPrEx>
        <w:trPr>
          <w:cantSplit/>
        </w:trPr>
        <w:tc>
          <w:tcPr>
            <w:tcW w:w="2566" w:type="dxa"/>
            <w:vMerge/>
          </w:tcPr>
          <w:p w:rsidR="00C04163" w:rsidRPr="00295E71" w:rsidP="00035AC5" w14:paraId="33239F33" w14:textId="77777777">
            <w:pPr>
              <w:pStyle w:val="EMEANormal"/>
              <w:widowControl w:val="0"/>
              <w:spacing w:before="60"/>
              <w:rPr>
                <w:lang w:val="it-IT"/>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789F4350" w14:textId="77777777">
            <w:pPr>
              <w:pStyle w:val="EMEANormal"/>
              <w:widowControl w:val="0"/>
              <w:spacing w:before="60"/>
              <w:rPr>
                <w:lang w:val="it-IT"/>
              </w:rPr>
            </w:pPr>
            <w:r w:rsidRPr="00295E71">
              <w:rPr>
                <w:lang w:val="it-IT"/>
              </w:rPr>
              <w:t>Comune</w:t>
            </w: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10E64176" w14:textId="77777777">
            <w:pPr>
              <w:pStyle w:val="EMEANormal"/>
              <w:widowControl w:val="0"/>
              <w:spacing w:before="60"/>
              <w:rPr>
                <w:lang w:val="it-IT"/>
              </w:rPr>
            </w:pPr>
            <w:r w:rsidRPr="00295E71">
              <w:rPr>
                <w:lang w:val="it-IT"/>
              </w:rPr>
              <w:t>Spasmi muscolari (tra cui aumento della creatinfosfochinasi ematica)</w:t>
            </w:r>
          </w:p>
          <w:p w:rsidR="00C04163" w:rsidRPr="00295E71" w:rsidP="00035AC5" w14:paraId="6C6A06D5" w14:textId="77777777">
            <w:pPr>
              <w:pStyle w:val="EMEANormal"/>
              <w:widowControl w:val="0"/>
              <w:spacing w:before="60"/>
              <w:rPr>
                <w:lang w:val="it-IT"/>
              </w:rPr>
            </w:pPr>
          </w:p>
        </w:tc>
      </w:tr>
      <w:tr w14:paraId="1B5A59C0" w14:textId="77777777" w:rsidTr="00C04163">
        <w:tblPrEx>
          <w:tblW w:w="0" w:type="auto"/>
          <w:tblLook w:val="01E0"/>
        </w:tblPrEx>
        <w:trPr>
          <w:cantSplit/>
        </w:trPr>
        <w:tc>
          <w:tcPr>
            <w:tcW w:w="2566" w:type="dxa"/>
            <w:vMerge/>
          </w:tcPr>
          <w:p w:rsidR="00C04163" w:rsidRPr="00295E71" w:rsidP="00035AC5" w14:paraId="04BB5E30"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23190C57" w14:textId="77777777">
            <w:pPr>
              <w:pStyle w:val="EMEANormal"/>
              <w:widowControl w:val="0"/>
              <w:spacing w:before="60"/>
              <w:rPr>
                <w:lang w:val="it-IT"/>
              </w:rPr>
            </w:pPr>
            <w:r w:rsidRPr="00295E71">
              <w:rPr>
                <w:lang w:val="it-IT"/>
              </w:rPr>
              <w:t>Non comune</w:t>
            </w: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12FB223A" w14:textId="77777777">
            <w:pPr>
              <w:pStyle w:val="EMEANormal"/>
              <w:widowControl w:val="0"/>
              <w:spacing w:before="60"/>
              <w:rPr>
                <w:lang w:val="it-IT"/>
              </w:rPr>
            </w:pPr>
            <w:r w:rsidRPr="00295E71">
              <w:rPr>
                <w:lang w:val="it-IT"/>
              </w:rPr>
              <w:t>Rabdomiolisi</w:t>
            </w:r>
          </w:p>
          <w:p w:rsidR="00C04163" w:rsidRPr="00295E71" w:rsidP="00035AC5" w14:paraId="475CBC86" w14:textId="77777777">
            <w:pPr>
              <w:pStyle w:val="EMEANormal"/>
              <w:widowControl w:val="0"/>
              <w:spacing w:before="60"/>
              <w:rPr>
                <w:lang w:val="it-IT"/>
              </w:rPr>
            </w:pPr>
            <w:r w:rsidRPr="00295E71">
              <w:rPr>
                <w:lang w:val="it-IT"/>
              </w:rPr>
              <w:t>lupus eritematoso sistemico</w:t>
            </w:r>
          </w:p>
          <w:p w:rsidR="00C04163" w:rsidRPr="00295E71" w:rsidP="00035AC5" w14:paraId="4BB93606" w14:textId="77777777">
            <w:pPr>
              <w:pStyle w:val="EMEANormal"/>
              <w:widowControl w:val="0"/>
              <w:spacing w:before="60"/>
              <w:rPr>
                <w:lang w:val="it-IT"/>
              </w:rPr>
            </w:pPr>
          </w:p>
        </w:tc>
      </w:tr>
      <w:tr w14:paraId="70ECC1FA" w14:textId="77777777" w:rsidTr="00C04163">
        <w:tblPrEx>
          <w:tblW w:w="0" w:type="auto"/>
          <w:tblLook w:val="01E0"/>
        </w:tblPrEx>
        <w:trPr>
          <w:cantSplit/>
        </w:trPr>
        <w:tc>
          <w:tcPr>
            <w:tcW w:w="2566" w:type="dxa"/>
            <w:vMerge/>
          </w:tcPr>
          <w:p w:rsidR="00C04163" w:rsidRPr="00295E71" w:rsidP="00035AC5" w14:paraId="7431DEDB"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383F7C08" w14:textId="77777777">
            <w:pPr>
              <w:pStyle w:val="EMEANormal"/>
              <w:widowControl w:val="0"/>
              <w:spacing w:before="60"/>
              <w:rPr>
                <w:lang w:val="it-IT"/>
              </w:rPr>
            </w:pPr>
            <w:r w:rsidRPr="00295E71">
              <w:rPr>
                <w:lang w:val="it-IT"/>
              </w:rPr>
              <w:t>Raro</w:t>
            </w:r>
          </w:p>
          <w:p w:rsidR="00C04163" w:rsidRPr="00295E71" w:rsidP="00035AC5" w14:paraId="76861E23"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123F1FC0" w14:textId="77777777">
            <w:pPr>
              <w:pStyle w:val="EMEANormal"/>
              <w:widowControl w:val="0"/>
              <w:spacing w:before="60"/>
              <w:rPr>
                <w:lang w:val="it-IT"/>
              </w:rPr>
            </w:pPr>
            <w:r w:rsidRPr="00295E71">
              <w:rPr>
                <w:lang w:val="it-IT"/>
              </w:rPr>
              <w:t>Sindrome simile al lupus</w:t>
            </w:r>
            <w:r w:rsidRPr="00C04163">
              <w:rPr>
                <w:lang w:val="it-IT"/>
              </w:rPr>
              <w:t>1)</w:t>
            </w:r>
          </w:p>
          <w:p w:rsidR="00C04163" w:rsidRPr="00295E71" w:rsidP="00035AC5" w14:paraId="1AB1C61E" w14:textId="77777777">
            <w:pPr>
              <w:pStyle w:val="EMEANormal"/>
              <w:widowControl w:val="0"/>
              <w:spacing w:before="60"/>
              <w:rPr>
                <w:lang w:val="it-IT"/>
              </w:rPr>
            </w:pPr>
          </w:p>
          <w:p w:rsidR="00C04163" w:rsidRPr="00295E71" w:rsidP="00035AC5" w14:paraId="310A3DAC" w14:textId="77777777">
            <w:pPr>
              <w:pStyle w:val="EMEANormal"/>
              <w:widowControl w:val="0"/>
              <w:spacing w:before="60"/>
              <w:rPr>
                <w:lang w:val="it-IT"/>
              </w:rPr>
            </w:pPr>
          </w:p>
        </w:tc>
      </w:tr>
      <w:tr w14:paraId="6E95BC3A" w14:textId="77777777" w:rsidTr="00C04163">
        <w:tblPrEx>
          <w:tblW w:w="0" w:type="auto"/>
          <w:tblLook w:val="01E0"/>
        </w:tblPrEx>
        <w:trPr>
          <w:cantSplit/>
        </w:trPr>
        <w:tc>
          <w:tcPr>
            <w:tcW w:w="2566" w:type="dxa"/>
            <w:vMerge w:val="restart"/>
          </w:tcPr>
          <w:p w:rsidR="00C04163" w:rsidRPr="00295E71" w:rsidP="00035AC5" w14:paraId="45DA9380" w14:textId="77777777">
            <w:pPr>
              <w:pStyle w:val="EMEANormal"/>
              <w:widowControl w:val="0"/>
              <w:spacing w:before="60"/>
              <w:rPr>
                <w:lang w:val="it-IT"/>
              </w:rPr>
            </w:pPr>
            <w:r w:rsidRPr="00295E71">
              <w:rPr>
                <w:lang w:val="it-IT"/>
              </w:rPr>
              <w:t xml:space="preserve">Patologie renali e urinarie </w:t>
            </w: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6D595CC1" w14:textId="77777777">
            <w:pPr>
              <w:pStyle w:val="EMEANormal"/>
              <w:widowControl w:val="0"/>
              <w:spacing w:before="60"/>
              <w:rPr>
                <w:lang w:val="it-IT"/>
              </w:rPr>
            </w:pPr>
            <w:r w:rsidRPr="00295E71">
              <w:rPr>
                <w:lang w:val="it-IT"/>
              </w:rPr>
              <w:t>Comune</w:t>
            </w:r>
          </w:p>
          <w:p w:rsidR="00C04163" w:rsidRPr="00295E71" w:rsidP="00035AC5" w14:paraId="18484E5A"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28F29E73" w14:textId="77777777">
            <w:pPr>
              <w:pStyle w:val="EMEANormal"/>
              <w:widowControl w:val="0"/>
              <w:spacing w:before="60"/>
              <w:rPr>
                <w:lang w:val="it-IT"/>
              </w:rPr>
            </w:pPr>
            <w:r w:rsidRPr="00295E71">
              <w:rPr>
                <w:lang w:val="it-IT"/>
              </w:rPr>
              <w:t>Insufficienza renale,</w:t>
            </w:r>
          </w:p>
          <w:p w:rsidR="00C04163" w:rsidRPr="00295E71" w:rsidP="00035AC5" w14:paraId="7EB56DC0" w14:textId="77777777">
            <w:pPr>
              <w:pStyle w:val="EMEANormal"/>
              <w:widowControl w:val="0"/>
              <w:spacing w:before="60"/>
              <w:rPr>
                <w:lang w:val="it-IT"/>
              </w:rPr>
            </w:pPr>
            <w:r w:rsidRPr="00295E71">
              <w:rPr>
                <w:lang w:val="it-IT"/>
              </w:rPr>
              <w:t>ematuria</w:t>
            </w:r>
          </w:p>
          <w:p w:rsidR="00C04163" w:rsidRPr="00295E71" w:rsidP="00035AC5" w14:paraId="11406600" w14:textId="77777777">
            <w:pPr>
              <w:pStyle w:val="EMEANormal"/>
              <w:widowControl w:val="0"/>
              <w:spacing w:before="60"/>
              <w:rPr>
                <w:lang w:val="it-IT"/>
              </w:rPr>
            </w:pPr>
          </w:p>
        </w:tc>
      </w:tr>
      <w:tr w14:paraId="2270CB9F" w14:textId="77777777" w:rsidTr="00C04163">
        <w:tblPrEx>
          <w:tblW w:w="0" w:type="auto"/>
          <w:tblLook w:val="01E0"/>
        </w:tblPrEx>
        <w:trPr>
          <w:cantSplit/>
        </w:trPr>
        <w:tc>
          <w:tcPr>
            <w:tcW w:w="2566" w:type="dxa"/>
            <w:vMerge/>
          </w:tcPr>
          <w:p w:rsidR="00C04163" w:rsidRPr="00295E71" w:rsidP="00035AC5" w14:paraId="0163000D"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4E059351" w14:textId="77777777">
            <w:pPr>
              <w:pStyle w:val="EMEANormal"/>
              <w:widowControl w:val="0"/>
              <w:spacing w:before="60"/>
              <w:rPr>
                <w:lang w:val="it-IT"/>
              </w:rPr>
            </w:pPr>
            <w:r w:rsidRPr="00295E71">
              <w:rPr>
                <w:lang w:val="it-IT"/>
              </w:rPr>
              <w:t>Non comune</w:t>
            </w:r>
          </w:p>
          <w:p w:rsidR="00C04163" w:rsidRPr="00295E71" w:rsidP="00035AC5" w14:paraId="46F164CA"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35B480EF" w14:textId="77777777">
            <w:pPr>
              <w:pStyle w:val="EMEANormal"/>
              <w:widowControl w:val="0"/>
              <w:spacing w:before="60"/>
              <w:rPr>
                <w:lang w:val="it-IT"/>
              </w:rPr>
            </w:pPr>
            <w:r w:rsidRPr="00295E71">
              <w:rPr>
                <w:lang w:val="it-IT"/>
              </w:rPr>
              <w:t>Nicturia</w:t>
            </w:r>
          </w:p>
          <w:p w:rsidR="00C04163" w:rsidRPr="00295E71" w:rsidP="00035AC5" w14:paraId="68C32BB6" w14:textId="77777777">
            <w:pPr>
              <w:pStyle w:val="EMEANormal"/>
              <w:widowControl w:val="0"/>
              <w:spacing w:before="60"/>
              <w:rPr>
                <w:lang w:val="it-IT"/>
              </w:rPr>
            </w:pPr>
          </w:p>
        </w:tc>
      </w:tr>
      <w:tr w14:paraId="5700D502" w14:textId="77777777" w:rsidTr="00C04163">
        <w:tblPrEx>
          <w:tblW w:w="0" w:type="auto"/>
          <w:tblLook w:val="01E0"/>
        </w:tblPrEx>
        <w:trPr>
          <w:cantSplit/>
        </w:trPr>
        <w:tc>
          <w:tcPr>
            <w:tcW w:w="2566" w:type="dxa"/>
          </w:tcPr>
          <w:p w:rsidR="00C04163" w:rsidRPr="00295E71" w:rsidP="00035AC5" w14:paraId="5C4058D1" w14:textId="77777777">
            <w:pPr>
              <w:pStyle w:val="EMEANormal"/>
              <w:widowControl w:val="0"/>
              <w:spacing w:before="60"/>
              <w:rPr>
                <w:lang w:val="it-IT"/>
              </w:rPr>
            </w:pPr>
            <w:r w:rsidRPr="00295E71">
              <w:rPr>
                <w:lang w:val="it-IT"/>
              </w:rPr>
              <w:t>Patologie dell’apparato riproduttivo e della mammella</w:t>
            </w: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2B9C43C3" w14:textId="77777777">
            <w:pPr>
              <w:pStyle w:val="EMEANormal"/>
              <w:widowControl w:val="0"/>
              <w:spacing w:before="60"/>
              <w:rPr>
                <w:lang w:val="it-IT"/>
              </w:rPr>
            </w:pPr>
            <w:r w:rsidRPr="00295E71">
              <w:rPr>
                <w:lang w:val="it-IT"/>
              </w:rPr>
              <w:t>Non comune</w:t>
            </w: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24E050A8" w14:textId="77777777">
            <w:pPr>
              <w:pStyle w:val="EMEANormal"/>
              <w:widowControl w:val="0"/>
              <w:spacing w:before="60"/>
              <w:rPr>
                <w:lang w:val="it-IT"/>
              </w:rPr>
            </w:pPr>
            <w:r w:rsidRPr="00295E71">
              <w:rPr>
                <w:lang w:val="it-IT"/>
              </w:rPr>
              <w:t>Disfunzione erettile</w:t>
            </w:r>
          </w:p>
          <w:p w:rsidR="00C04163" w:rsidRPr="00295E71" w:rsidP="00035AC5" w14:paraId="4C82F514" w14:textId="77777777">
            <w:pPr>
              <w:pStyle w:val="EMEANormal"/>
              <w:widowControl w:val="0"/>
              <w:spacing w:before="60"/>
              <w:rPr>
                <w:lang w:val="it-IT"/>
              </w:rPr>
            </w:pPr>
          </w:p>
        </w:tc>
      </w:tr>
      <w:tr w14:paraId="7EA23A60" w14:textId="77777777" w:rsidTr="00C04163">
        <w:tblPrEx>
          <w:tblW w:w="0" w:type="auto"/>
          <w:tblLook w:val="01E0"/>
        </w:tblPrEx>
        <w:trPr>
          <w:cantSplit/>
        </w:trPr>
        <w:tc>
          <w:tcPr>
            <w:tcW w:w="2566" w:type="dxa"/>
            <w:vMerge w:val="restart"/>
          </w:tcPr>
          <w:p w:rsidR="00C04163" w:rsidRPr="00295E71" w:rsidP="00035AC5" w14:paraId="55F89846" w14:textId="77777777">
            <w:pPr>
              <w:pStyle w:val="EMEANormal"/>
              <w:widowControl w:val="0"/>
              <w:spacing w:before="60"/>
              <w:rPr>
                <w:lang w:val="it-IT"/>
              </w:rPr>
            </w:pPr>
            <w:r w:rsidRPr="00295E71">
              <w:rPr>
                <w:lang w:val="it-IT"/>
              </w:rPr>
              <w:t>Patologie sistemiche e condizioni relative alla sede di somministrazione*</w:t>
            </w: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3CF69A82" w14:textId="77777777">
            <w:pPr>
              <w:pStyle w:val="EMEANormal"/>
              <w:widowControl w:val="0"/>
              <w:spacing w:before="60"/>
              <w:rPr>
                <w:lang w:val="it-IT"/>
              </w:rPr>
            </w:pPr>
            <w:r w:rsidRPr="00295E71">
              <w:rPr>
                <w:lang w:val="it-IT"/>
              </w:rPr>
              <w:t>Molto comune</w:t>
            </w:r>
          </w:p>
          <w:p w:rsidR="00C04163" w:rsidRPr="00295E71" w:rsidP="00035AC5" w14:paraId="5B924857"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15EE06A7" w14:textId="77777777">
            <w:pPr>
              <w:pStyle w:val="EMEANormal"/>
              <w:widowControl w:val="0"/>
              <w:spacing w:before="60"/>
              <w:rPr>
                <w:lang w:val="it-IT"/>
              </w:rPr>
            </w:pPr>
            <w:r w:rsidRPr="00295E71">
              <w:rPr>
                <w:lang w:val="it-IT"/>
              </w:rPr>
              <w:t>Reazione al sito di iniezione (tra cui eritema al sito di iniezione)</w:t>
            </w:r>
          </w:p>
          <w:p w:rsidR="00C04163" w:rsidRPr="00295E71" w:rsidP="00035AC5" w14:paraId="6781EE5C" w14:textId="77777777">
            <w:pPr>
              <w:pStyle w:val="EMEANormal"/>
              <w:widowControl w:val="0"/>
              <w:spacing w:before="60"/>
              <w:rPr>
                <w:lang w:val="it-IT"/>
              </w:rPr>
            </w:pPr>
          </w:p>
        </w:tc>
      </w:tr>
      <w:tr w14:paraId="5A3EA0F0" w14:textId="77777777" w:rsidTr="00C04163">
        <w:tblPrEx>
          <w:tblW w:w="0" w:type="auto"/>
          <w:tblLook w:val="01E0"/>
        </w:tblPrEx>
        <w:trPr>
          <w:cantSplit/>
        </w:trPr>
        <w:tc>
          <w:tcPr>
            <w:tcW w:w="2566" w:type="dxa"/>
            <w:vMerge/>
          </w:tcPr>
          <w:p w:rsidR="00C04163" w:rsidRPr="00295E71" w:rsidP="00035AC5" w14:paraId="30A677DA"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7D50AD26" w14:textId="77777777">
            <w:pPr>
              <w:pStyle w:val="EMEANormal"/>
              <w:widowControl w:val="0"/>
              <w:spacing w:before="60"/>
              <w:rPr>
                <w:lang w:val="it-IT"/>
              </w:rPr>
            </w:pPr>
            <w:r w:rsidRPr="00295E71">
              <w:rPr>
                <w:lang w:val="it-IT"/>
              </w:rPr>
              <w:t>Comune</w:t>
            </w:r>
          </w:p>
          <w:p w:rsidR="00C04163" w:rsidRPr="00295E71" w:rsidP="00035AC5" w14:paraId="1B0F8B89"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3E68BCA5" w14:textId="77777777">
            <w:pPr>
              <w:pStyle w:val="EMEANormal"/>
              <w:widowControl w:val="0"/>
              <w:spacing w:before="60"/>
              <w:rPr>
                <w:lang w:val="it-IT"/>
              </w:rPr>
            </w:pPr>
            <w:r w:rsidRPr="00295E71">
              <w:rPr>
                <w:lang w:val="it-IT"/>
              </w:rPr>
              <w:t xml:space="preserve">Dolore toracico, </w:t>
            </w:r>
          </w:p>
          <w:p w:rsidR="00C04163" w:rsidRPr="00295E71" w:rsidP="00035AC5" w14:paraId="5319D06B" w14:textId="77777777">
            <w:pPr>
              <w:pStyle w:val="EMEANormal"/>
              <w:widowControl w:val="0"/>
              <w:spacing w:before="60"/>
              <w:rPr>
                <w:lang w:val="it-IT"/>
              </w:rPr>
            </w:pPr>
            <w:r w:rsidRPr="00295E71">
              <w:rPr>
                <w:lang w:val="it-IT"/>
              </w:rPr>
              <w:t>edema,</w:t>
            </w:r>
          </w:p>
          <w:p w:rsidR="00C04163" w:rsidRPr="00295E71" w:rsidP="00035AC5" w14:paraId="205D87D8" w14:textId="77777777">
            <w:pPr>
              <w:pStyle w:val="EMEANormal"/>
              <w:widowControl w:val="0"/>
              <w:spacing w:before="60"/>
              <w:rPr>
                <w:lang w:val="it-IT"/>
              </w:rPr>
            </w:pPr>
            <w:r w:rsidRPr="00295E71">
              <w:rPr>
                <w:lang w:val="it-IT"/>
              </w:rPr>
              <w:t>piressia</w:t>
            </w:r>
            <w:r w:rsidRPr="00C04163">
              <w:rPr>
                <w:lang w:val="it-IT"/>
              </w:rPr>
              <w:t>1)</w:t>
            </w:r>
          </w:p>
          <w:p w:rsidR="00C04163" w:rsidRPr="00295E71" w:rsidP="00035AC5" w14:paraId="3F311D52" w14:textId="77777777">
            <w:pPr>
              <w:pStyle w:val="EMEANormal"/>
              <w:widowControl w:val="0"/>
              <w:spacing w:before="60"/>
              <w:rPr>
                <w:lang w:val="it-IT"/>
              </w:rPr>
            </w:pPr>
          </w:p>
        </w:tc>
      </w:tr>
      <w:tr w14:paraId="08453CA8" w14:textId="77777777" w:rsidTr="00C04163">
        <w:tblPrEx>
          <w:tblW w:w="0" w:type="auto"/>
          <w:tblLook w:val="01E0"/>
        </w:tblPrEx>
        <w:trPr>
          <w:cantSplit/>
        </w:trPr>
        <w:tc>
          <w:tcPr>
            <w:tcW w:w="2566" w:type="dxa"/>
            <w:vMerge/>
          </w:tcPr>
          <w:p w:rsidR="00C04163" w:rsidRPr="00295E71" w:rsidP="00035AC5" w14:paraId="2FB10256" w14:textId="77777777">
            <w:pPr>
              <w:widowControl w:val="0"/>
              <w:spacing w:before="60"/>
              <w:jc w:val="center"/>
              <w:rPr>
                <w:b/>
                <w:sz w:val="22"/>
                <w:szCs w:val="22"/>
              </w:rPr>
            </w:pP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34B36D57" w14:textId="77777777">
            <w:pPr>
              <w:pStyle w:val="EMEANormal"/>
              <w:widowControl w:val="0"/>
              <w:spacing w:before="60"/>
              <w:rPr>
                <w:lang w:val="it-IT"/>
              </w:rPr>
            </w:pPr>
            <w:r w:rsidRPr="00295E71">
              <w:rPr>
                <w:lang w:val="it-IT"/>
              </w:rPr>
              <w:t>Non comune</w:t>
            </w:r>
          </w:p>
          <w:p w:rsidR="00C04163" w:rsidRPr="00295E71" w:rsidP="00035AC5" w14:paraId="6276831D" w14:textId="77777777">
            <w:pPr>
              <w:pStyle w:val="EMEANormal"/>
              <w:widowControl w:val="0"/>
              <w:spacing w:before="60"/>
              <w:rPr>
                <w:lang w:val="it-IT"/>
              </w:rPr>
            </w:pP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7790C793" w14:textId="77777777">
            <w:pPr>
              <w:pStyle w:val="EMEANormal"/>
              <w:widowControl w:val="0"/>
              <w:spacing w:before="60"/>
              <w:rPr>
                <w:lang w:val="it-IT"/>
              </w:rPr>
            </w:pPr>
            <w:r w:rsidRPr="00295E71">
              <w:rPr>
                <w:lang w:val="it-IT"/>
              </w:rPr>
              <w:t>Infiammazione</w:t>
            </w:r>
          </w:p>
        </w:tc>
      </w:tr>
      <w:tr w14:paraId="1D22AF2A" w14:textId="77777777" w:rsidTr="00C04163">
        <w:tblPrEx>
          <w:tblW w:w="0" w:type="auto"/>
          <w:tblLook w:val="01E0"/>
        </w:tblPrEx>
        <w:trPr>
          <w:cantSplit/>
        </w:trPr>
        <w:tc>
          <w:tcPr>
            <w:tcW w:w="2566" w:type="dxa"/>
            <w:vMerge w:val="restart"/>
          </w:tcPr>
          <w:p w:rsidR="00822954" w:rsidRPr="00295E71" w:rsidP="00035AC5" w14:paraId="63349C05" w14:textId="77777777">
            <w:pPr>
              <w:pStyle w:val="EMEANormal"/>
              <w:widowControl w:val="0"/>
              <w:spacing w:before="60"/>
              <w:rPr>
                <w:lang w:val="it-IT"/>
              </w:rPr>
            </w:pPr>
            <w:r w:rsidRPr="00295E71">
              <w:rPr>
                <w:lang w:val="it-IT"/>
              </w:rPr>
              <w:t>Esami diagnostici*</w:t>
            </w:r>
          </w:p>
        </w:tc>
        <w:tc>
          <w:tcPr>
            <w:tcW w:w="2037" w:type="dxa"/>
            <w:tcBorders>
              <w:top w:val="single" w:sz="4" w:space="0" w:color="auto"/>
              <w:left w:val="single" w:sz="4" w:space="0" w:color="auto"/>
              <w:bottom w:val="single" w:sz="4" w:space="0" w:color="auto"/>
              <w:right w:val="single" w:sz="4" w:space="0" w:color="auto"/>
            </w:tcBorders>
          </w:tcPr>
          <w:p w:rsidR="00822954" w:rsidRPr="00295E71" w:rsidP="00035AC5" w14:paraId="74526559" w14:textId="77777777">
            <w:pPr>
              <w:pStyle w:val="EMEANormal"/>
              <w:widowControl w:val="0"/>
              <w:spacing w:before="60"/>
              <w:rPr>
                <w:lang w:val="it-IT"/>
              </w:rPr>
            </w:pPr>
            <w:r w:rsidRPr="00295E71">
              <w:rPr>
                <w:lang w:val="it-IT"/>
              </w:rPr>
              <w:t>Comune</w:t>
            </w:r>
          </w:p>
        </w:tc>
        <w:tc>
          <w:tcPr>
            <w:tcW w:w="4457" w:type="dxa"/>
            <w:tcBorders>
              <w:top w:val="single" w:sz="4" w:space="0" w:color="auto"/>
              <w:left w:val="single" w:sz="4" w:space="0" w:color="auto"/>
              <w:bottom w:val="single" w:sz="4" w:space="0" w:color="auto"/>
              <w:right w:val="single" w:sz="4" w:space="0" w:color="auto"/>
            </w:tcBorders>
          </w:tcPr>
          <w:p w:rsidR="00822954" w:rsidRPr="00295E71" w:rsidP="00035AC5" w14:paraId="1806F900" w14:textId="77777777">
            <w:pPr>
              <w:pStyle w:val="EMEANormal"/>
              <w:widowControl w:val="0"/>
              <w:spacing w:before="60"/>
              <w:rPr>
                <w:lang w:val="it-IT"/>
              </w:rPr>
            </w:pPr>
            <w:r w:rsidRPr="00295E71">
              <w:rPr>
                <w:lang w:val="it-IT"/>
              </w:rPr>
              <w:t>Disturbi della coagulazione</w:t>
            </w:r>
            <w:r>
              <w:rPr>
                <w:lang w:val="it-IT"/>
              </w:rPr>
              <w:t xml:space="preserve"> e disturbi emorragici</w:t>
            </w:r>
            <w:r w:rsidRPr="00295E71">
              <w:rPr>
                <w:lang w:val="it-IT"/>
              </w:rPr>
              <w:t xml:space="preserve"> (tra cui prolungamento del tempo di tromboplastina parziale attivata), </w:t>
            </w:r>
          </w:p>
          <w:p w:rsidR="00822954" w:rsidRPr="00295E71" w:rsidP="00035AC5" w14:paraId="5E8B3D9B" w14:textId="77777777">
            <w:pPr>
              <w:pStyle w:val="EMEANormal"/>
              <w:widowControl w:val="0"/>
              <w:spacing w:before="60"/>
              <w:rPr>
                <w:lang w:val="it-IT"/>
              </w:rPr>
            </w:pPr>
            <w:r w:rsidRPr="00295E71">
              <w:rPr>
                <w:lang w:val="it-IT"/>
              </w:rPr>
              <w:t>positività ai test per autoanticorpi (tra cui anticorpi anti</w:t>
            </w:r>
            <w:r>
              <w:rPr>
                <w:lang w:val="it-IT"/>
              </w:rPr>
              <w:t>-</w:t>
            </w:r>
            <w:r w:rsidRPr="00295E71">
              <w:rPr>
                <w:lang w:val="it-IT"/>
              </w:rPr>
              <w:t xml:space="preserve">DNA a doppia catena), </w:t>
            </w:r>
          </w:p>
          <w:p w:rsidR="00822954" w:rsidRPr="00295E71" w:rsidP="00035AC5" w14:paraId="1EC73D86" w14:textId="77777777">
            <w:pPr>
              <w:pStyle w:val="EMEANormal"/>
              <w:widowControl w:val="0"/>
              <w:spacing w:before="60"/>
              <w:rPr>
                <w:lang w:val="it-IT"/>
              </w:rPr>
            </w:pPr>
            <w:r w:rsidRPr="00295E71">
              <w:rPr>
                <w:lang w:val="it-IT"/>
              </w:rPr>
              <w:t>aumento della lattato deidrogenasi ematica</w:t>
            </w:r>
          </w:p>
          <w:p w:rsidR="00822954" w:rsidRPr="00295E71" w:rsidP="00035AC5" w14:paraId="5C900BD4" w14:textId="77777777">
            <w:pPr>
              <w:pStyle w:val="EMEANormal"/>
              <w:widowControl w:val="0"/>
              <w:spacing w:before="60"/>
              <w:rPr>
                <w:lang w:val="it-IT"/>
              </w:rPr>
            </w:pPr>
          </w:p>
        </w:tc>
      </w:tr>
      <w:tr w14:paraId="031CA1BC" w14:textId="77777777" w:rsidTr="00C04163">
        <w:tblPrEx>
          <w:tblW w:w="0" w:type="auto"/>
          <w:tblLook w:val="01E0"/>
        </w:tblPrEx>
        <w:trPr>
          <w:cantSplit/>
        </w:trPr>
        <w:tc>
          <w:tcPr>
            <w:tcW w:w="2566" w:type="dxa"/>
            <w:vMerge/>
          </w:tcPr>
          <w:p w:rsidR="00822954" w:rsidRPr="00295E71" w:rsidP="00035AC5" w14:paraId="56A6AE5B" w14:textId="77777777">
            <w:pPr>
              <w:pStyle w:val="EMEANormal"/>
              <w:widowControl w:val="0"/>
              <w:spacing w:before="60"/>
              <w:rPr>
                <w:lang w:val="it-IT"/>
              </w:rPr>
            </w:pPr>
          </w:p>
        </w:tc>
        <w:tc>
          <w:tcPr>
            <w:tcW w:w="2037" w:type="dxa"/>
            <w:tcBorders>
              <w:top w:val="single" w:sz="4" w:space="0" w:color="auto"/>
              <w:left w:val="single" w:sz="4" w:space="0" w:color="auto"/>
              <w:bottom w:val="single" w:sz="4" w:space="0" w:color="auto"/>
              <w:right w:val="single" w:sz="4" w:space="0" w:color="auto"/>
            </w:tcBorders>
          </w:tcPr>
          <w:p w:rsidR="00822954" w:rsidRPr="00295E71" w:rsidP="00035AC5" w14:paraId="537BB991" w14:textId="77777777">
            <w:pPr>
              <w:pStyle w:val="EMEANormal"/>
              <w:widowControl w:val="0"/>
              <w:spacing w:before="60"/>
              <w:rPr>
                <w:lang w:val="it-IT"/>
              </w:rPr>
            </w:pPr>
            <w:r>
              <w:rPr>
                <w:lang w:val="it-IT"/>
              </w:rPr>
              <w:t>Non nota</w:t>
            </w:r>
          </w:p>
        </w:tc>
        <w:tc>
          <w:tcPr>
            <w:tcW w:w="4457" w:type="dxa"/>
            <w:tcBorders>
              <w:top w:val="single" w:sz="4" w:space="0" w:color="auto"/>
              <w:left w:val="single" w:sz="4" w:space="0" w:color="auto"/>
              <w:bottom w:val="single" w:sz="4" w:space="0" w:color="auto"/>
              <w:right w:val="single" w:sz="4" w:space="0" w:color="auto"/>
            </w:tcBorders>
          </w:tcPr>
          <w:p w:rsidR="00822954" w:rsidRPr="00FD1D51" w:rsidP="00035AC5" w14:paraId="4C8AC7B7" w14:textId="77777777">
            <w:pPr>
              <w:pStyle w:val="EMEANormal"/>
              <w:widowControl w:val="0"/>
              <w:spacing w:before="60"/>
              <w:rPr>
                <w:vertAlign w:val="superscript"/>
                <w:lang w:val="it-IT"/>
              </w:rPr>
            </w:pPr>
            <w:r>
              <w:rPr>
                <w:lang w:val="it-IT"/>
              </w:rPr>
              <w:t>Aumento di peso</w:t>
            </w:r>
            <w:r>
              <w:rPr>
                <w:vertAlign w:val="superscript"/>
                <w:lang w:val="it-IT"/>
              </w:rPr>
              <w:t>2)</w:t>
            </w:r>
          </w:p>
        </w:tc>
      </w:tr>
      <w:tr w14:paraId="6D7558C0" w14:textId="77777777" w:rsidTr="00C04163">
        <w:tblPrEx>
          <w:tblW w:w="0" w:type="auto"/>
          <w:tblLook w:val="01E0"/>
        </w:tblPrEx>
        <w:trPr>
          <w:cantSplit/>
        </w:trPr>
        <w:tc>
          <w:tcPr>
            <w:tcW w:w="2566" w:type="dxa"/>
          </w:tcPr>
          <w:p w:rsidR="00C04163" w:rsidRPr="00295E71" w:rsidP="00035AC5" w14:paraId="7C754C23" w14:textId="77777777">
            <w:pPr>
              <w:pStyle w:val="EMEANormal"/>
              <w:widowControl w:val="0"/>
              <w:spacing w:before="60"/>
              <w:rPr>
                <w:lang w:val="it-IT"/>
              </w:rPr>
            </w:pPr>
            <w:r w:rsidRPr="00295E71">
              <w:rPr>
                <w:lang w:val="it-IT"/>
              </w:rPr>
              <w:t>Traumatismo, avvelenamento e complicazioni da procedura</w:t>
            </w:r>
          </w:p>
        </w:tc>
        <w:tc>
          <w:tcPr>
            <w:tcW w:w="2037" w:type="dxa"/>
            <w:tcBorders>
              <w:top w:val="single" w:sz="4" w:space="0" w:color="auto"/>
              <w:left w:val="single" w:sz="4" w:space="0" w:color="auto"/>
              <w:bottom w:val="single" w:sz="4" w:space="0" w:color="auto"/>
              <w:right w:val="single" w:sz="4" w:space="0" w:color="auto"/>
            </w:tcBorders>
          </w:tcPr>
          <w:p w:rsidR="00C04163" w:rsidRPr="00295E71" w:rsidP="00035AC5" w14:paraId="3AF6C651" w14:textId="77777777">
            <w:pPr>
              <w:pStyle w:val="EMEANormal"/>
              <w:widowControl w:val="0"/>
              <w:spacing w:before="60"/>
              <w:rPr>
                <w:lang w:val="it-IT"/>
              </w:rPr>
            </w:pPr>
            <w:r w:rsidRPr="00295E71">
              <w:rPr>
                <w:lang w:val="it-IT"/>
              </w:rPr>
              <w:t>Comune</w:t>
            </w:r>
          </w:p>
        </w:tc>
        <w:tc>
          <w:tcPr>
            <w:tcW w:w="4457" w:type="dxa"/>
            <w:tcBorders>
              <w:top w:val="single" w:sz="4" w:space="0" w:color="auto"/>
              <w:left w:val="single" w:sz="4" w:space="0" w:color="auto"/>
              <w:bottom w:val="single" w:sz="4" w:space="0" w:color="auto"/>
              <w:right w:val="single" w:sz="4" w:space="0" w:color="auto"/>
            </w:tcBorders>
          </w:tcPr>
          <w:p w:rsidR="00C04163" w:rsidRPr="00295E71" w:rsidP="00035AC5" w14:paraId="2822D5B0" w14:textId="77777777">
            <w:pPr>
              <w:pStyle w:val="EMEANormal"/>
              <w:widowControl w:val="0"/>
              <w:spacing w:before="60"/>
              <w:rPr>
                <w:lang w:val="it-IT"/>
              </w:rPr>
            </w:pPr>
            <w:r w:rsidRPr="00295E71">
              <w:rPr>
                <w:lang w:val="it-IT"/>
              </w:rPr>
              <w:t>Difficoltà di cicatrizzazione</w:t>
            </w:r>
          </w:p>
          <w:p w:rsidR="00C04163" w:rsidRPr="00295E71" w:rsidP="00035AC5" w14:paraId="5B6C869F" w14:textId="77777777">
            <w:pPr>
              <w:pStyle w:val="EMEANormal"/>
              <w:widowControl w:val="0"/>
              <w:spacing w:before="60"/>
              <w:rPr>
                <w:lang w:val="it-IT"/>
              </w:rPr>
            </w:pPr>
          </w:p>
        </w:tc>
      </w:tr>
    </w:tbl>
    <w:p w:rsidR="006224C2" w:rsidRPr="00295E71" w14:paraId="49DAB988" w14:textId="77777777">
      <w:pPr>
        <w:tabs>
          <w:tab w:val="left" w:pos="567"/>
        </w:tabs>
        <w:autoSpaceDE w:val="0"/>
        <w:autoSpaceDN w:val="0"/>
        <w:adjustRightInd w:val="0"/>
        <w:jc w:val="both"/>
        <w:rPr>
          <w:color w:val="000000"/>
          <w:sz w:val="22"/>
          <w:szCs w:val="22"/>
        </w:rPr>
      </w:pPr>
      <w:r w:rsidRPr="00295E71">
        <w:rPr>
          <w:color w:val="000000"/>
          <w:sz w:val="22"/>
          <w:szCs w:val="22"/>
        </w:rPr>
        <w:t>* sono presenti ulteriori informazioni contenute nei paragrafi 4.3, 4.4 e 4.8</w:t>
      </w:r>
    </w:p>
    <w:p w:rsidR="006224C2" w:rsidRPr="00295E71" w14:paraId="670C72F1" w14:textId="77777777">
      <w:pPr>
        <w:tabs>
          <w:tab w:val="left" w:pos="567"/>
        </w:tabs>
        <w:autoSpaceDE w:val="0"/>
        <w:autoSpaceDN w:val="0"/>
        <w:adjustRightInd w:val="0"/>
        <w:jc w:val="both"/>
        <w:rPr>
          <w:color w:val="000000"/>
          <w:sz w:val="22"/>
          <w:szCs w:val="22"/>
        </w:rPr>
      </w:pPr>
      <w:r w:rsidRPr="00295E71">
        <w:rPr>
          <w:color w:val="000000"/>
          <w:sz w:val="22"/>
          <w:szCs w:val="22"/>
        </w:rPr>
        <w:t>** tra cui studi di estensione in aperto</w:t>
      </w:r>
    </w:p>
    <w:p w:rsidR="006224C2" w:rsidRPr="002538BF" w:rsidP="003B3A5A" w14:paraId="63A26DE7" w14:textId="77777777">
      <w:pPr>
        <w:pStyle w:val="ListParagraph"/>
        <w:numPr>
          <w:ilvl w:val="0"/>
          <w:numId w:val="164"/>
        </w:numPr>
        <w:tabs>
          <w:tab w:val="left" w:pos="567"/>
        </w:tabs>
        <w:autoSpaceDE w:val="0"/>
        <w:autoSpaceDN w:val="0"/>
        <w:adjustRightInd w:val="0"/>
        <w:jc w:val="both"/>
        <w:rPr>
          <w:color w:val="000000"/>
          <w:sz w:val="22"/>
          <w:szCs w:val="22"/>
        </w:rPr>
      </w:pPr>
      <w:r w:rsidRPr="002538BF">
        <w:rPr>
          <w:color w:val="000000"/>
          <w:sz w:val="22"/>
          <w:szCs w:val="22"/>
        </w:rPr>
        <w:t>tra cui dati provenienti da segnalazioni spontanee</w:t>
      </w:r>
    </w:p>
    <w:p w:rsidR="00822954" w:rsidRPr="0087691F" w:rsidP="002538BF" w14:paraId="695F1566" w14:textId="77777777">
      <w:pPr>
        <w:pStyle w:val="EMEANormal"/>
        <w:widowControl w:val="0"/>
        <w:numPr>
          <w:ilvl w:val="0"/>
          <w:numId w:val="164"/>
        </w:numPr>
        <w:rPr>
          <w:lang w:val="it-IT"/>
        </w:rPr>
      </w:pPr>
      <w:r w:rsidRPr="0025081D">
        <w:rPr>
          <w:lang w:val="it-IT"/>
        </w:rPr>
        <w:t xml:space="preserve">La variazione ponderale media rispetto al basale per adalimumab era compresa tra 0,3 kg e 1,0 kg </w:t>
      </w:r>
      <w:r w:rsidRPr="0025081D">
        <w:rPr>
          <w:lang w:val="it-IT"/>
        </w:rPr>
        <w:t>per le indicazioni per adulti rispetto a (meno) - 0,4 kg e 0,4 kg per il placebo nell’arco di un periodo di trattamento di 4-6 mesi. È stato osservato anche un aumento di peso di 5-6 kg in studi di estensione a lungo termine con esposizioni medie di circa 1-2 anni in assenza di un gruppo di controllo, in particolare nei pazienti affetti da morbo di Crohn e colite ulcerosa. Il meccanismo alla base di questo effetto non è chiaro, ma potrebbe essere associato all’effetto antinfiammatorio di adalimumab.</w:t>
      </w:r>
    </w:p>
    <w:p w:rsidR="006224C2" w:rsidRPr="00295E71" w14:paraId="7FC4EC20" w14:textId="77777777">
      <w:pPr>
        <w:tabs>
          <w:tab w:val="left" w:pos="567"/>
        </w:tabs>
        <w:autoSpaceDE w:val="0"/>
        <w:autoSpaceDN w:val="0"/>
        <w:adjustRightInd w:val="0"/>
        <w:rPr>
          <w:color w:val="000000"/>
          <w:sz w:val="22"/>
          <w:szCs w:val="22"/>
          <w:u w:val="single"/>
        </w:rPr>
      </w:pPr>
    </w:p>
    <w:p w:rsidR="006224C2" w:rsidRPr="00295E71" w14:paraId="40A3946A" w14:textId="77777777">
      <w:pPr>
        <w:rPr>
          <w:color w:val="000000"/>
          <w:sz w:val="22"/>
          <w:szCs w:val="22"/>
          <w:u w:val="single"/>
        </w:rPr>
      </w:pPr>
      <w:r w:rsidRPr="00295E71">
        <w:rPr>
          <w:color w:val="000000"/>
          <w:sz w:val="22"/>
          <w:szCs w:val="22"/>
          <w:u w:val="single"/>
        </w:rPr>
        <w:t>Idrosadenite Suppurativa</w:t>
      </w:r>
    </w:p>
    <w:p w:rsidR="006224C2" w:rsidRPr="00295E71" w14:paraId="5E818C09" w14:textId="77777777">
      <w:pPr>
        <w:keepNext/>
        <w:tabs>
          <w:tab w:val="left" w:pos="567"/>
        </w:tabs>
        <w:autoSpaceDE w:val="0"/>
        <w:autoSpaceDN w:val="0"/>
        <w:adjustRightInd w:val="0"/>
        <w:jc w:val="both"/>
        <w:rPr>
          <w:color w:val="000000"/>
          <w:sz w:val="22"/>
          <w:szCs w:val="22"/>
        </w:rPr>
      </w:pPr>
    </w:p>
    <w:p w:rsidR="006224C2" w:rsidRPr="00295E71" w14:paraId="2AE613D5" w14:textId="77777777">
      <w:pPr>
        <w:keepNext/>
        <w:tabs>
          <w:tab w:val="left" w:pos="567"/>
        </w:tabs>
        <w:autoSpaceDE w:val="0"/>
        <w:autoSpaceDN w:val="0"/>
        <w:adjustRightInd w:val="0"/>
        <w:jc w:val="both"/>
        <w:rPr>
          <w:color w:val="000000"/>
          <w:sz w:val="22"/>
          <w:szCs w:val="22"/>
        </w:rPr>
      </w:pPr>
      <w:r w:rsidRPr="00295E71">
        <w:rPr>
          <w:color w:val="000000"/>
          <w:sz w:val="22"/>
          <w:szCs w:val="22"/>
        </w:rPr>
        <w:t>Il profilo di sicurezza di Humira utilizzato ogni settimana nei pazienti con Idrosadenite Suppurativa (HS)</w:t>
      </w:r>
      <w:r w:rsidR="00BD0F8D">
        <w:rPr>
          <w:color w:val="000000"/>
          <w:sz w:val="22"/>
          <w:szCs w:val="22"/>
        </w:rPr>
        <w:t xml:space="preserve"> </w:t>
      </w:r>
      <w:r w:rsidRPr="00295E71">
        <w:rPr>
          <w:color w:val="000000"/>
          <w:sz w:val="22"/>
          <w:szCs w:val="22"/>
        </w:rPr>
        <w:t xml:space="preserve">è </w:t>
      </w:r>
      <w:r w:rsidR="00BD0F8D">
        <w:rPr>
          <w:color w:val="000000"/>
          <w:sz w:val="22"/>
          <w:szCs w:val="22"/>
        </w:rPr>
        <w:t>stato coerente con il</w:t>
      </w:r>
      <w:r w:rsidRPr="00295E71">
        <w:rPr>
          <w:color w:val="000000"/>
          <w:sz w:val="22"/>
          <w:szCs w:val="22"/>
        </w:rPr>
        <w:t xml:space="preserve"> profilo di sicurezza noto di Humira.</w:t>
      </w:r>
    </w:p>
    <w:p w:rsidR="006224C2" w:rsidRPr="00295E71" w14:paraId="57938EB2" w14:textId="77777777">
      <w:pPr>
        <w:tabs>
          <w:tab w:val="left" w:pos="567"/>
        </w:tabs>
        <w:autoSpaceDE w:val="0"/>
        <w:autoSpaceDN w:val="0"/>
        <w:adjustRightInd w:val="0"/>
        <w:jc w:val="both"/>
        <w:rPr>
          <w:color w:val="000000"/>
          <w:sz w:val="22"/>
          <w:szCs w:val="22"/>
          <w:u w:val="single"/>
        </w:rPr>
      </w:pPr>
    </w:p>
    <w:p w:rsidR="006224C2" w:rsidRPr="00295E71" w14:paraId="52D624F8" w14:textId="77777777">
      <w:pPr>
        <w:keepNext/>
        <w:tabs>
          <w:tab w:val="left" w:pos="567"/>
        </w:tabs>
        <w:autoSpaceDE w:val="0"/>
        <w:autoSpaceDN w:val="0"/>
        <w:adjustRightInd w:val="0"/>
        <w:jc w:val="both"/>
        <w:rPr>
          <w:color w:val="000000"/>
          <w:sz w:val="22"/>
          <w:szCs w:val="22"/>
          <w:u w:val="single"/>
        </w:rPr>
      </w:pPr>
      <w:r w:rsidRPr="00295E71">
        <w:rPr>
          <w:color w:val="000000"/>
          <w:sz w:val="22"/>
          <w:szCs w:val="22"/>
          <w:u w:val="single"/>
        </w:rPr>
        <w:t>Uveite</w:t>
      </w:r>
    </w:p>
    <w:p w:rsidR="006224C2" w:rsidRPr="00295E71" w14:paraId="7C5523EB" w14:textId="77777777">
      <w:pPr>
        <w:keepNext/>
        <w:tabs>
          <w:tab w:val="left" w:pos="567"/>
        </w:tabs>
        <w:autoSpaceDE w:val="0"/>
        <w:autoSpaceDN w:val="0"/>
        <w:adjustRightInd w:val="0"/>
        <w:jc w:val="both"/>
        <w:rPr>
          <w:color w:val="000000"/>
          <w:sz w:val="22"/>
          <w:szCs w:val="22"/>
        </w:rPr>
      </w:pPr>
    </w:p>
    <w:p w:rsidR="006224C2" w:rsidRPr="00295E71" w14:paraId="694FE8CD" w14:textId="77777777">
      <w:pPr>
        <w:keepNext/>
        <w:tabs>
          <w:tab w:val="left" w:pos="567"/>
        </w:tabs>
        <w:autoSpaceDE w:val="0"/>
        <w:autoSpaceDN w:val="0"/>
        <w:adjustRightInd w:val="0"/>
        <w:jc w:val="both"/>
        <w:rPr>
          <w:color w:val="000000"/>
          <w:sz w:val="22"/>
          <w:szCs w:val="22"/>
          <w:u w:val="single"/>
        </w:rPr>
      </w:pPr>
      <w:r w:rsidRPr="00295E71">
        <w:rPr>
          <w:color w:val="000000"/>
          <w:sz w:val="22"/>
          <w:szCs w:val="22"/>
        </w:rPr>
        <w:t xml:space="preserve">Il profilo di sicurezza nei pazienti affetti da uveite trattati con Humira a settimane alterne è </w:t>
      </w:r>
      <w:r w:rsidR="00BD0F8D">
        <w:rPr>
          <w:color w:val="000000"/>
          <w:sz w:val="22"/>
          <w:szCs w:val="22"/>
        </w:rPr>
        <w:t xml:space="preserve">stato </w:t>
      </w:r>
      <w:r w:rsidRPr="00295E71">
        <w:rPr>
          <w:color w:val="000000"/>
          <w:sz w:val="22"/>
          <w:szCs w:val="22"/>
        </w:rPr>
        <w:t>coerente con il profilo di sicurezza noto di Humira.</w:t>
      </w:r>
    </w:p>
    <w:p w:rsidR="006224C2" w:rsidRPr="00295E71" w14:paraId="39A2F92F" w14:textId="77777777">
      <w:pPr>
        <w:tabs>
          <w:tab w:val="left" w:pos="567"/>
        </w:tabs>
        <w:autoSpaceDE w:val="0"/>
        <w:autoSpaceDN w:val="0"/>
        <w:adjustRightInd w:val="0"/>
        <w:jc w:val="both"/>
        <w:rPr>
          <w:color w:val="000000"/>
          <w:sz w:val="22"/>
          <w:szCs w:val="22"/>
          <w:u w:val="single"/>
        </w:rPr>
      </w:pPr>
    </w:p>
    <w:p w:rsidR="006224C2" w:rsidRPr="00295E71" w14:paraId="3C3E4B74" w14:textId="77777777">
      <w:pPr>
        <w:tabs>
          <w:tab w:val="left" w:pos="567"/>
        </w:tabs>
        <w:autoSpaceDE w:val="0"/>
        <w:autoSpaceDN w:val="0"/>
        <w:adjustRightInd w:val="0"/>
        <w:jc w:val="both"/>
        <w:rPr>
          <w:color w:val="000000"/>
          <w:sz w:val="22"/>
          <w:szCs w:val="22"/>
          <w:u w:val="single"/>
        </w:rPr>
      </w:pPr>
      <w:r w:rsidRPr="00295E71">
        <w:rPr>
          <w:color w:val="000000"/>
          <w:sz w:val="22"/>
          <w:szCs w:val="22"/>
          <w:u w:val="single"/>
        </w:rPr>
        <w:t>Descrizione delle reazioni avverse selezionate</w:t>
      </w:r>
    </w:p>
    <w:p w:rsidR="006224C2" w:rsidRPr="00295E71" w14:paraId="3CE170A4" w14:textId="77777777">
      <w:pPr>
        <w:tabs>
          <w:tab w:val="left" w:pos="567"/>
        </w:tabs>
        <w:autoSpaceDE w:val="0"/>
        <w:autoSpaceDN w:val="0"/>
        <w:adjustRightInd w:val="0"/>
        <w:jc w:val="both"/>
        <w:rPr>
          <w:color w:val="000000"/>
          <w:sz w:val="22"/>
          <w:szCs w:val="22"/>
          <w:u w:val="single"/>
        </w:rPr>
      </w:pPr>
    </w:p>
    <w:p w:rsidR="006224C2" w:rsidRPr="00295E71" w14:paraId="2FAB12B4" w14:textId="77777777">
      <w:pPr>
        <w:tabs>
          <w:tab w:val="left" w:pos="567"/>
        </w:tabs>
        <w:autoSpaceDE w:val="0"/>
        <w:autoSpaceDN w:val="0"/>
        <w:adjustRightInd w:val="0"/>
        <w:jc w:val="both"/>
        <w:rPr>
          <w:i/>
          <w:color w:val="000000"/>
          <w:sz w:val="22"/>
          <w:szCs w:val="22"/>
        </w:rPr>
      </w:pPr>
      <w:r w:rsidRPr="00295E71">
        <w:rPr>
          <w:i/>
          <w:color w:val="000000"/>
          <w:sz w:val="22"/>
          <w:szCs w:val="22"/>
        </w:rPr>
        <w:t>Reazioni nel sito di iniezione</w:t>
      </w:r>
    </w:p>
    <w:p w:rsidR="006224C2" w:rsidRPr="00295E71" w14:paraId="50F95609" w14:textId="77777777">
      <w:pPr>
        <w:tabs>
          <w:tab w:val="left" w:pos="567"/>
        </w:tabs>
        <w:autoSpaceDE w:val="0"/>
        <w:autoSpaceDN w:val="0"/>
        <w:adjustRightInd w:val="0"/>
        <w:jc w:val="both"/>
        <w:rPr>
          <w:sz w:val="22"/>
          <w:szCs w:val="22"/>
        </w:rPr>
      </w:pPr>
    </w:p>
    <w:p w:rsidR="006224C2" w:rsidRPr="00295E71" w14:paraId="08667E86" w14:textId="77777777">
      <w:pPr>
        <w:tabs>
          <w:tab w:val="left" w:pos="567"/>
        </w:tabs>
        <w:jc w:val="both"/>
        <w:rPr>
          <w:color w:val="000000"/>
          <w:sz w:val="22"/>
          <w:szCs w:val="22"/>
        </w:rPr>
      </w:pPr>
      <w:r w:rsidRPr="00295E71">
        <w:rPr>
          <w:color w:val="000000"/>
          <w:sz w:val="22"/>
          <w:szCs w:val="22"/>
        </w:rPr>
        <w:t xml:space="preserve">Negli studi clinici registrativi controllati su adulti e bambini, il 12,9% dei pazienti trattati con Humira ha manifestato reazioni nel sito d’iniezione (eritema e/o prurito, emorragia, dolore o edema), contro il 7,2% dei pazienti trattati con placebo o con controllo attivo. Le reazioni nel sito d’iniezione non hanno richiesto generalmente la sospensione del </w:t>
      </w:r>
      <w:r w:rsidR="00BD0F8D">
        <w:rPr>
          <w:color w:val="000000"/>
          <w:sz w:val="22"/>
          <w:szCs w:val="22"/>
        </w:rPr>
        <w:t>medicinale</w:t>
      </w:r>
      <w:r w:rsidRPr="00295E71">
        <w:rPr>
          <w:color w:val="000000"/>
          <w:sz w:val="22"/>
          <w:szCs w:val="22"/>
        </w:rPr>
        <w:t>.</w:t>
      </w:r>
    </w:p>
    <w:p w:rsidR="006224C2" w:rsidRPr="00295E71" w14:paraId="5F1099B1" w14:textId="77777777">
      <w:pPr>
        <w:tabs>
          <w:tab w:val="left" w:pos="567"/>
        </w:tabs>
        <w:autoSpaceDE w:val="0"/>
        <w:autoSpaceDN w:val="0"/>
        <w:adjustRightInd w:val="0"/>
        <w:jc w:val="both"/>
        <w:rPr>
          <w:color w:val="000000"/>
          <w:sz w:val="22"/>
          <w:szCs w:val="22"/>
        </w:rPr>
      </w:pPr>
    </w:p>
    <w:p w:rsidR="006224C2" w:rsidRPr="00295E71" w14:paraId="1AE5124A" w14:textId="77777777">
      <w:pPr>
        <w:tabs>
          <w:tab w:val="left" w:pos="567"/>
        </w:tabs>
        <w:autoSpaceDE w:val="0"/>
        <w:autoSpaceDN w:val="0"/>
        <w:adjustRightInd w:val="0"/>
        <w:jc w:val="both"/>
        <w:rPr>
          <w:i/>
          <w:color w:val="000000"/>
          <w:sz w:val="22"/>
          <w:szCs w:val="22"/>
        </w:rPr>
      </w:pPr>
      <w:r w:rsidRPr="00295E71">
        <w:rPr>
          <w:i/>
          <w:color w:val="000000"/>
          <w:sz w:val="22"/>
          <w:szCs w:val="22"/>
        </w:rPr>
        <w:t>Infezioni</w:t>
      </w:r>
    </w:p>
    <w:p w:rsidR="006224C2" w:rsidRPr="00295E71" w14:paraId="60FB6571" w14:textId="77777777">
      <w:pPr>
        <w:tabs>
          <w:tab w:val="left" w:pos="567"/>
        </w:tabs>
        <w:autoSpaceDE w:val="0"/>
        <w:autoSpaceDN w:val="0"/>
        <w:adjustRightInd w:val="0"/>
        <w:jc w:val="both"/>
        <w:rPr>
          <w:color w:val="000000"/>
          <w:sz w:val="22"/>
          <w:szCs w:val="22"/>
        </w:rPr>
      </w:pPr>
    </w:p>
    <w:p w:rsidR="006224C2" w:rsidRPr="00295E71" w14:paraId="276F819C" w14:textId="77777777">
      <w:pPr>
        <w:pStyle w:val="BodyText"/>
        <w:tabs>
          <w:tab w:val="left" w:pos="567"/>
        </w:tabs>
      </w:pPr>
      <w:r w:rsidRPr="00295E71">
        <w:t>Negli studi clinici registrativi controllati su adulti e bambini, il tasso d’infezione è stato di 1,51 per paziente/anno nel gruppo trattato con Humira e di 1,46 per paziente/anno nel gruppo trattato con placebo e con controllo attivo. Le infezioni sono state rappresentate principalmente da rinofaringiti, infezioni delle vie respiratorie superiori e sinusite. La maggior parte dei pazienti ha continuato ad assumere Humira dopo la remissione dell’infezione.</w:t>
      </w:r>
    </w:p>
    <w:p w:rsidR="006224C2" w:rsidRPr="00295E71" w14:paraId="7BCC042D" w14:textId="77777777">
      <w:pPr>
        <w:pStyle w:val="BodyText"/>
        <w:tabs>
          <w:tab w:val="left" w:pos="567"/>
        </w:tabs>
      </w:pPr>
    </w:p>
    <w:p w:rsidR="006224C2" w:rsidRPr="00295E71" w14:paraId="5CC92FA0" w14:textId="77777777">
      <w:pPr>
        <w:pStyle w:val="BodyText"/>
        <w:tabs>
          <w:tab w:val="left" w:pos="567"/>
        </w:tabs>
      </w:pPr>
      <w:r w:rsidRPr="00295E71">
        <w:t>L’incidenza di infezioni gravi è stata di 0,04 per paziente/anno nel gruppo trattato con Humira e di 0,03 per paziente/anno in quello trattato con placebo e con controllo attivo.</w:t>
      </w:r>
    </w:p>
    <w:p w:rsidR="006224C2" w:rsidRPr="00295E71" w14:paraId="2D3501F1" w14:textId="77777777">
      <w:pPr>
        <w:pStyle w:val="BodyText"/>
        <w:tabs>
          <w:tab w:val="left" w:pos="567"/>
        </w:tabs>
      </w:pPr>
    </w:p>
    <w:p w:rsidR="006224C2" w:rsidRPr="00295E71" w14:paraId="659834D8" w14:textId="77777777">
      <w:pPr>
        <w:pStyle w:val="BodyText"/>
        <w:tabs>
          <w:tab w:val="left" w:pos="567"/>
        </w:tabs>
      </w:pPr>
      <w:r w:rsidRPr="00295E71">
        <w:t>Nel corso degli studi controllati e in aperto condotti con Humira su adulti e bambini, sono state segnalate infezioni di grave entità (anche infezioni fatali, verificatesi solo raramente), che hanno incluso segnalazioni di casi di tubercolosi (anche con localizzazioni miliari ed extra-polmonari) e infezioni opportunistiche invasive (ad es., da istoplasmosi disseminata o extrapolmonare, blastomicosi, coccidioidomicosi, pneumocistosi, candidosi, aspergillosi e listeriosi). La maggior parte dei casi di tubercolosi si è verificata nel corso dei primi otto mesi dall’inizio della terapia e possono essere interpretati come una recrudescenza della malattia latente.</w:t>
      </w:r>
    </w:p>
    <w:p w:rsidR="006224C2" w:rsidRPr="00295E71" w14:paraId="1B302873" w14:textId="77777777">
      <w:pPr>
        <w:pStyle w:val="BodyText"/>
        <w:tabs>
          <w:tab w:val="left" w:pos="567"/>
        </w:tabs>
        <w:rPr>
          <w:i/>
          <w:color w:val="000000"/>
        </w:rPr>
      </w:pPr>
    </w:p>
    <w:p w:rsidR="006224C2" w:rsidRPr="00295E71" w14:paraId="218C7F6C" w14:textId="77777777">
      <w:pPr>
        <w:tabs>
          <w:tab w:val="left" w:pos="567"/>
        </w:tabs>
        <w:autoSpaceDE w:val="0"/>
        <w:autoSpaceDN w:val="0"/>
        <w:adjustRightInd w:val="0"/>
        <w:jc w:val="both"/>
        <w:rPr>
          <w:i/>
          <w:color w:val="000000"/>
          <w:sz w:val="22"/>
          <w:szCs w:val="22"/>
        </w:rPr>
      </w:pPr>
      <w:r w:rsidRPr="00295E71">
        <w:rPr>
          <w:i/>
          <w:color w:val="000000"/>
          <w:sz w:val="22"/>
          <w:szCs w:val="22"/>
        </w:rPr>
        <w:t>Neoplasie e malattie linfoproliferative</w:t>
      </w:r>
    </w:p>
    <w:p w:rsidR="006224C2" w:rsidRPr="00295E71" w14:paraId="26011C31" w14:textId="77777777">
      <w:pPr>
        <w:tabs>
          <w:tab w:val="left" w:pos="567"/>
        </w:tabs>
        <w:autoSpaceDE w:val="0"/>
        <w:autoSpaceDN w:val="0"/>
        <w:adjustRightInd w:val="0"/>
        <w:jc w:val="both"/>
        <w:rPr>
          <w:color w:val="000000"/>
          <w:sz w:val="22"/>
          <w:szCs w:val="22"/>
          <w:u w:val="single"/>
        </w:rPr>
      </w:pPr>
    </w:p>
    <w:p w:rsidR="006224C2" w:rsidRPr="00295E71" w:rsidP="00612824" w14:paraId="13A341FF" w14:textId="77777777">
      <w:pPr>
        <w:rPr>
          <w:color w:val="000000"/>
          <w:sz w:val="22"/>
          <w:szCs w:val="22"/>
        </w:rPr>
      </w:pPr>
      <w:r w:rsidRPr="00295E71">
        <w:rPr>
          <w:color w:val="000000"/>
          <w:sz w:val="22"/>
          <w:szCs w:val="22"/>
        </w:rPr>
        <w:t>Nel corso di studi eseguiti somministrando Humira ai pazienti affetti da artrite idiopatica giovanile (artrite idiopatica giovanile poliarticolare e artrite associata ad entesite), non sono state osservate neoplasie maligne nei 249 pazienti pediatrici</w:t>
      </w:r>
      <w:r w:rsidRPr="00295E71" w:rsidR="001B385A">
        <w:rPr>
          <w:color w:val="000000"/>
          <w:sz w:val="22"/>
          <w:szCs w:val="22"/>
        </w:rPr>
        <w:t xml:space="preserve"> </w:t>
      </w:r>
      <w:r w:rsidRPr="00295E71">
        <w:rPr>
          <w:color w:val="000000"/>
          <w:sz w:val="22"/>
          <w:szCs w:val="22"/>
        </w:rPr>
        <w:t xml:space="preserve">con un’esposizione di 655,6 </w:t>
      </w:r>
      <w:r w:rsidRPr="00020442" w:rsidR="00BD0F8D">
        <w:rPr>
          <w:color w:val="000000"/>
          <w:sz w:val="22"/>
          <w:szCs w:val="22"/>
        </w:rPr>
        <w:t>anni-paziente</w:t>
      </w:r>
      <w:r w:rsidRPr="00295E71">
        <w:rPr>
          <w:color w:val="000000"/>
          <w:sz w:val="22"/>
          <w:szCs w:val="22"/>
        </w:rPr>
        <w:t xml:space="preserve">. In aggiunta non sono state osservate neoplasie maligne nei 192 pazienti pediatrici con una esposizione di 498,1 </w:t>
      </w:r>
      <w:r w:rsidRPr="00020442" w:rsidR="005522B6">
        <w:rPr>
          <w:color w:val="000000"/>
          <w:sz w:val="22"/>
          <w:szCs w:val="22"/>
        </w:rPr>
        <w:t>anni-paziente</w:t>
      </w:r>
      <w:r w:rsidRPr="00295E71">
        <w:rPr>
          <w:color w:val="000000"/>
          <w:sz w:val="22"/>
          <w:szCs w:val="22"/>
        </w:rPr>
        <w:t xml:space="preserve"> durante studi eseguiti somministrando Humira ai pazienti pediatrici affetti da Malattia di Crohn. </w:t>
      </w:r>
      <w:r w:rsidRPr="00295E71">
        <w:rPr>
          <w:rFonts w:eastAsia="Arial"/>
          <w:sz w:val="22"/>
          <w:szCs w:val="22"/>
          <w:lang w:bidi="it-IT"/>
        </w:rPr>
        <w:t xml:space="preserve">Nel corso di uno studio in cui è stato somministrato Humira a pazienti pediatrici con psoriasi cronica a placche, non è stata osservata alcuna neoplasia maligna in 77 pazienti con un’esposizione di 80,0 </w:t>
      </w:r>
      <w:r w:rsidRPr="00020442" w:rsidR="005522B6">
        <w:rPr>
          <w:color w:val="000000"/>
          <w:sz w:val="22"/>
          <w:szCs w:val="22"/>
        </w:rPr>
        <w:t>anni-paziente</w:t>
      </w:r>
      <w:r w:rsidRPr="00295E71">
        <w:rPr>
          <w:rFonts w:eastAsia="Arial"/>
          <w:sz w:val="22"/>
          <w:szCs w:val="22"/>
          <w:lang w:bidi="it-IT"/>
        </w:rPr>
        <w:t xml:space="preserve">. </w:t>
      </w:r>
      <w:r w:rsidRPr="00612824" w:rsidR="0062664F">
        <w:rPr>
          <w:rStyle w:val="normaltextrun"/>
          <w:sz w:val="22"/>
          <w:szCs w:val="22"/>
          <w:shd w:val="clear" w:color="auto" w:fill="FFFFFF"/>
        </w:rPr>
        <w:t>Non sono state osservate neoplasie maligne in 93 pazienti pediatrici con un'esposizione di 65,3 anni-paziente durante uno studio con Humira in pazienti pediatrici con colite ulcerosa.</w:t>
      </w:r>
      <w:r w:rsidR="0062664F">
        <w:rPr>
          <w:rStyle w:val="normaltextrun"/>
          <w:sz w:val="22"/>
          <w:szCs w:val="22"/>
          <w:shd w:val="clear" w:color="auto" w:fill="FFFFFF"/>
        </w:rPr>
        <w:t xml:space="preserve"> </w:t>
      </w:r>
      <w:r w:rsidRPr="00295E71">
        <w:rPr>
          <w:rFonts w:eastAsia="Arial"/>
          <w:sz w:val="22"/>
          <w:szCs w:val="22"/>
          <w:lang w:bidi="it-IT"/>
        </w:rPr>
        <w:t xml:space="preserve">Nel corso di uno studio in cui è stato somministrato Humira a pazienti pediatrici con uveite, </w:t>
      </w:r>
      <w:r w:rsidRPr="00295E71">
        <w:rPr>
          <w:rFonts w:eastAsia="Arial"/>
          <w:sz w:val="22"/>
          <w:szCs w:val="22"/>
          <w:lang w:bidi="it-IT"/>
        </w:rPr>
        <w:t>non è stata osservata alcuna neoplasia maligna in 60 pazienti pediatrici con un’esposizione di 58,4 </w:t>
      </w:r>
      <w:r w:rsidRPr="00020442" w:rsidR="005522B6">
        <w:rPr>
          <w:color w:val="000000"/>
          <w:sz w:val="22"/>
          <w:szCs w:val="22"/>
        </w:rPr>
        <w:t>anni-paziente</w:t>
      </w:r>
      <w:r w:rsidRPr="00295E71">
        <w:rPr>
          <w:rFonts w:eastAsia="Arial"/>
          <w:sz w:val="22"/>
          <w:szCs w:val="22"/>
          <w:lang w:bidi="it-IT"/>
        </w:rPr>
        <w:t>.</w:t>
      </w:r>
    </w:p>
    <w:p w:rsidR="006224C2" w:rsidRPr="00295E71" w14:paraId="79277DF8" w14:textId="77777777">
      <w:pPr>
        <w:tabs>
          <w:tab w:val="left" w:pos="567"/>
        </w:tabs>
        <w:autoSpaceDE w:val="0"/>
        <w:autoSpaceDN w:val="0"/>
        <w:adjustRightInd w:val="0"/>
        <w:jc w:val="both"/>
        <w:rPr>
          <w:color w:val="000000"/>
          <w:sz w:val="22"/>
          <w:szCs w:val="22"/>
        </w:rPr>
      </w:pPr>
    </w:p>
    <w:p w:rsidR="006224C2" w:rsidRPr="00295E71" w14:paraId="7B1884FB" w14:textId="77777777">
      <w:pPr>
        <w:tabs>
          <w:tab w:val="left" w:pos="567"/>
        </w:tabs>
        <w:autoSpaceDE w:val="0"/>
        <w:autoSpaceDN w:val="0"/>
        <w:adjustRightInd w:val="0"/>
        <w:jc w:val="both"/>
        <w:rPr>
          <w:color w:val="000000"/>
          <w:sz w:val="22"/>
          <w:szCs w:val="22"/>
        </w:rPr>
      </w:pPr>
      <w:r w:rsidRPr="00295E71">
        <w:rPr>
          <w:color w:val="000000"/>
          <w:sz w:val="22"/>
          <w:szCs w:val="22"/>
        </w:rPr>
        <w:t xml:space="preserve">Nelle sezioni controllate di studi registrativi su adulti con Humira della durata di almeno 12 settimane in pazienti con artrite reumatoide </w:t>
      </w:r>
      <w:r w:rsidRPr="00295E71">
        <w:rPr>
          <w:sz w:val="22"/>
          <w:szCs w:val="22"/>
        </w:rPr>
        <w:t>attiva di grado da moderato a severo</w:t>
      </w:r>
      <w:r w:rsidRPr="00295E71">
        <w:rPr>
          <w:color w:val="000000"/>
          <w:sz w:val="22"/>
          <w:szCs w:val="22"/>
        </w:rPr>
        <w:t>, spondilite anchilosante, spondiloart</w:t>
      </w:r>
      <w:r w:rsidRPr="00295E71" w:rsidR="001B385A">
        <w:rPr>
          <w:color w:val="000000"/>
          <w:sz w:val="22"/>
          <w:szCs w:val="22"/>
        </w:rPr>
        <w:t>r</w:t>
      </w:r>
      <w:r w:rsidRPr="00295E71">
        <w:rPr>
          <w:color w:val="000000"/>
          <w:sz w:val="22"/>
          <w:szCs w:val="22"/>
        </w:rPr>
        <w:t>ite assiale senza evidenza radiografica di SA, artrite psoriasica, psoriasi, idrosadenite suppurativa, malattia di Crohn, colite ulcerosa e uveite, neoplasie, oltre a linfoma e carcinoma cutaneo non melanotico sono stat</w:t>
      </w:r>
      <w:r w:rsidR="005522B6">
        <w:rPr>
          <w:color w:val="000000"/>
          <w:sz w:val="22"/>
          <w:szCs w:val="22"/>
        </w:rPr>
        <w:t>e</w:t>
      </w:r>
      <w:r w:rsidRPr="00295E71">
        <w:rPr>
          <w:color w:val="000000"/>
          <w:sz w:val="22"/>
          <w:szCs w:val="22"/>
        </w:rPr>
        <w:t xml:space="preserve"> osservat</w:t>
      </w:r>
      <w:r w:rsidR="005522B6">
        <w:rPr>
          <w:color w:val="000000"/>
          <w:sz w:val="22"/>
          <w:szCs w:val="22"/>
        </w:rPr>
        <w:t>e</w:t>
      </w:r>
      <w:r w:rsidRPr="00295E71">
        <w:rPr>
          <w:color w:val="000000"/>
          <w:sz w:val="22"/>
          <w:szCs w:val="22"/>
        </w:rPr>
        <w:t xml:space="preserve"> con un tasso (95% di intervallo di confidenza) di 6,8 (4,4; 10,5) per 1.000 </w:t>
      </w:r>
      <w:r w:rsidRPr="00020442" w:rsidR="005522B6">
        <w:rPr>
          <w:color w:val="000000"/>
          <w:sz w:val="22"/>
          <w:szCs w:val="22"/>
        </w:rPr>
        <w:t>anni-paziente</w:t>
      </w:r>
      <w:r w:rsidR="005522B6">
        <w:rPr>
          <w:color w:val="000000"/>
          <w:sz w:val="22"/>
          <w:szCs w:val="22"/>
        </w:rPr>
        <w:t xml:space="preserve"> in</w:t>
      </w:r>
      <w:r w:rsidRPr="00295E71">
        <w:rPr>
          <w:color w:val="000000"/>
          <w:sz w:val="22"/>
          <w:szCs w:val="22"/>
        </w:rPr>
        <w:t xml:space="preserve"> 5.291 pazienti trattati con Humira verso un tasso di 6,3 (3,4; 11,8) per 1.000 </w:t>
      </w:r>
      <w:r w:rsidRPr="00020442" w:rsidR="005522B6">
        <w:rPr>
          <w:color w:val="000000"/>
          <w:sz w:val="22"/>
          <w:szCs w:val="22"/>
        </w:rPr>
        <w:t>anni-paziente</w:t>
      </w:r>
      <w:r w:rsidR="005522B6">
        <w:rPr>
          <w:color w:val="000000"/>
          <w:sz w:val="22"/>
          <w:szCs w:val="22"/>
        </w:rPr>
        <w:t xml:space="preserve"> in</w:t>
      </w:r>
      <w:r w:rsidRPr="00295E71">
        <w:rPr>
          <w:color w:val="000000"/>
          <w:sz w:val="22"/>
          <w:szCs w:val="22"/>
        </w:rPr>
        <w:t xml:space="preserve"> 3.444 pazienti controllo (la durata mediana del trattamento è stata 4,0 mesi per i pazienti trattati con Humira e 3,8 mesi per i pazienti controllo). Il tasso (95% di intervallo di confidenza) dei carcinomi cutanei non melanotici è stato di 8,8 (6,0; 13,0) per 1.000 </w:t>
      </w:r>
      <w:r w:rsidRPr="00020442" w:rsidR="005522B6">
        <w:rPr>
          <w:color w:val="000000"/>
          <w:sz w:val="22"/>
          <w:szCs w:val="22"/>
        </w:rPr>
        <w:t>anni-paziente</w:t>
      </w:r>
      <w:r w:rsidRPr="00295E71">
        <w:rPr>
          <w:color w:val="000000"/>
          <w:sz w:val="22"/>
          <w:szCs w:val="22"/>
        </w:rPr>
        <w:t xml:space="preserve"> nei pazienti trattati con Humira e 3,2 (1,3; 7,6) per 1.000 </w:t>
      </w:r>
      <w:r w:rsidRPr="00020442" w:rsidR="005522B6">
        <w:rPr>
          <w:color w:val="000000"/>
          <w:sz w:val="22"/>
          <w:szCs w:val="22"/>
        </w:rPr>
        <w:t>anni-paziente</w:t>
      </w:r>
      <w:r w:rsidRPr="00295E71">
        <w:rPr>
          <w:color w:val="000000"/>
          <w:sz w:val="22"/>
          <w:szCs w:val="22"/>
        </w:rPr>
        <w:t xml:space="preserve"> nei pazienti controllo. </w:t>
      </w:r>
    </w:p>
    <w:p w:rsidR="006224C2" w:rsidRPr="00295E71" w14:paraId="76B294FB" w14:textId="77777777">
      <w:pPr>
        <w:tabs>
          <w:tab w:val="left" w:pos="567"/>
        </w:tabs>
        <w:autoSpaceDE w:val="0"/>
        <w:autoSpaceDN w:val="0"/>
        <w:adjustRightInd w:val="0"/>
        <w:jc w:val="both"/>
        <w:rPr>
          <w:color w:val="000000"/>
          <w:sz w:val="22"/>
          <w:szCs w:val="22"/>
        </w:rPr>
      </w:pPr>
    </w:p>
    <w:p w:rsidR="006224C2" w:rsidRPr="00295E71" w14:paraId="3C0A4E81" w14:textId="77777777">
      <w:pPr>
        <w:keepNext/>
        <w:keepLines/>
        <w:rPr>
          <w:color w:val="000000"/>
          <w:sz w:val="22"/>
          <w:szCs w:val="22"/>
        </w:rPr>
      </w:pPr>
      <w:r w:rsidRPr="00295E71">
        <w:rPr>
          <w:color w:val="000000"/>
          <w:sz w:val="22"/>
          <w:szCs w:val="22"/>
        </w:rPr>
        <w:t xml:space="preserve">Di questi carcinomi cutanei, carcinomi a cellule squamose si sono verificati con tassi (95% di intervallo di confidenza) di 2,7 (1,4; 5,4) per 1.000 </w:t>
      </w:r>
      <w:r w:rsidRPr="00020442" w:rsidR="005522B6">
        <w:rPr>
          <w:color w:val="000000"/>
          <w:sz w:val="22"/>
          <w:szCs w:val="22"/>
        </w:rPr>
        <w:t>anni-paziente</w:t>
      </w:r>
      <w:r w:rsidRPr="00295E71">
        <w:rPr>
          <w:color w:val="000000"/>
          <w:sz w:val="22"/>
          <w:szCs w:val="22"/>
        </w:rPr>
        <w:t xml:space="preserve"> nei pazienti trattati con Humira e 0,6 (0,1; 4,5) per 1.000 </w:t>
      </w:r>
      <w:r w:rsidRPr="00020442" w:rsidR="005522B6">
        <w:rPr>
          <w:color w:val="000000"/>
          <w:sz w:val="22"/>
          <w:szCs w:val="22"/>
        </w:rPr>
        <w:t>anni-paziente</w:t>
      </w:r>
      <w:r w:rsidRPr="00295E71">
        <w:rPr>
          <w:color w:val="000000"/>
          <w:sz w:val="22"/>
          <w:szCs w:val="22"/>
        </w:rPr>
        <w:t xml:space="preserve"> nei pazienti controllo. Il tasso (95% di intervallo di confidenza) di linfomi è stato di 0,7 (0,2; 2,7) per 1.000 </w:t>
      </w:r>
      <w:r w:rsidRPr="00020442" w:rsidR="005522B6">
        <w:rPr>
          <w:color w:val="000000"/>
          <w:sz w:val="22"/>
          <w:szCs w:val="22"/>
        </w:rPr>
        <w:t>anni-paziente</w:t>
      </w:r>
      <w:r w:rsidRPr="00295E71">
        <w:rPr>
          <w:color w:val="000000"/>
          <w:sz w:val="22"/>
          <w:szCs w:val="22"/>
        </w:rPr>
        <w:t xml:space="preserve"> nei pazienti trattati con Humira e 0,6 (0,1; 4,5) per 1.000 </w:t>
      </w:r>
      <w:r w:rsidRPr="00020442" w:rsidR="005522B6">
        <w:rPr>
          <w:color w:val="000000"/>
          <w:sz w:val="22"/>
          <w:szCs w:val="22"/>
        </w:rPr>
        <w:t>anni-paziente</w:t>
      </w:r>
      <w:r w:rsidRPr="00295E71">
        <w:rPr>
          <w:color w:val="000000"/>
          <w:sz w:val="22"/>
          <w:szCs w:val="22"/>
        </w:rPr>
        <w:t xml:space="preserve"> nei pazienti controllo.</w:t>
      </w:r>
    </w:p>
    <w:p w:rsidR="006224C2" w:rsidRPr="00295E71" w14:paraId="7272854D" w14:textId="77777777">
      <w:pPr>
        <w:tabs>
          <w:tab w:val="left" w:pos="567"/>
        </w:tabs>
        <w:autoSpaceDE w:val="0"/>
        <w:autoSpaceDN w:val="0"/>
        <w:adjustRightInd w:val="0"/>
        <w:jc w:val="both"/>
        <w:rPr>
          <w:color w:val="000000"/>
          <w:sz w:val="22"/>
          <w:szCs w:val="22"/>
        </w:rPr>
      </w:pPr>
    </w:p>
    <w:p w:rsidR="006224C2" w:rsidRPr="00295E71" w14:paraId="2E70BE07" w14:textId="77777777">
      <w:pPr>
        <w:tabs>
          <w:tab w:val="left" w:pos="567"/>
        </w:tabs>
        <w:autoSpaceDE w:val="0"/>
        <w:autoSpaceDN w:val="0"/>
        <w:adjustRightInd w:val="0"/>
        <w:jc w:val="both"/>
        <w:rPr>
          <w:color w:val="000000"/>
          <w:sz w:val="22"/>
          <w:szCs w:val="22"/>
        </w:rPr>
      </w:pPr>
      <w:r w:rsidRPr="00295E71">
        <w:rPr>
          <w:color w:val="000000"/>
          <w:sz w:val="22"/>
          <w:szCs w:val="22"/>
        </w:rPr>
        <w:t>Quando vengono combinat</w:t>
      </w:r>
      <w:r w:rsidR="005522B6">
        <w:rPr>
          <w:color w:val="000000"/>
          <w:sz w:val="22"/>
          <w:szCs w:val="22"/>
        </w:rPr>
        <w:t>e</w:t>
      </w:r>
      <w:r w:rsidRPr="00295E71">
        <w:rPr>
          <w:color w:val="000000"/>
          <w:sz w:val="22"/>
          <w:szCs w:val="22"/>
        </w:rPr>
        <w:t xml:space="preserve"> parti </w:t>
      </w:r>
      <w:r w:rsidR="005522B6">
        <w:rPr>
          <w:color w:val="000000"/>
          <w:sz w:val="22"/>
          <w:szCs w:val="22"/>
        </w:rPr>
        <w:t xml:space="preserve">controllate </w:t>
      </w:r>
      <w:r w:rsidRPr="00295E71">
        <w:rPr>
          <w:color w:val="000000"/>
          <w:sz w:val="22"/>
          <w:szCs w:val="22"/>
        </w:rPr>
        <w:t xml:space="preserve">di questi studi e studi di estensione in aperto sia in corso che completati con una durata media di circa 3,3 anni includendo 6.427 pazienti e più di 26.439 </w:t>
      </w:r>
      <w:r w:rsidRPr="00020442" w:rsidR="005522B6">
        <w:rPr>
          <w:color w:val="000000"/>
          <w:sz w:val="22"/>
          <w:szCs w:val="22"/>
        </w:rPr>
        <w:t>anni-paziente</w:t>
      </w:r>
      <w:r w:rsidRPr="00295E71">
        <w:rPr>
          <w:color w:val="000000"/>
          <w:sz w:val="22"/>
          <w:szCs w:val="22"/>
        </w:rPr>
        <w:t xml:space="preserve"> di terapia, il tasso di neoplasie osservate, a parte linfoma e carcinoma cutaneo non melanotico, è circa 8,5 per 1.000 </w:t>
      </w:r>
      <w:r w:rsidRPr="00020442" w:rsidR="005522B6">
        <w:rPr>
          <w:color w:val="000000"/>
          <w:sz w:val="22"/>
          <w:szCs w:val="22"/>
        </w:rPr>
        <w:t>anni-paziente</w:t>
      </w:r>
      <w:r w:rsidRPr="00295E71">
        <w:rPr>
          <w:color w:val="000000"/>
          <w:sz w:val="22"/>
          <w:szCs w:val="22"/>
        </w:rPr>
        <w:t xml:space="preserve">. Il tasso osservato di carcinoma cutaneo non melanotico è circa 9,6 per 1.000 </w:t>
      </w:r>
      <w:r w:rsidRPr="00020442" w:rsidR="005522B6">
        <w:rPr>
          <w:color w:val="000000"/>
          <w:sz w:val="22"/>
          <w:szCs w:val="22"/>
        </w:rPr>
        <w:t>anni-paziente</w:t>
      </w:r>
      <w:r w:rsidRPr="00295E71">
        <w:rPr>
          <w:color w:val="000000"/>
          <w:sz w:val="22"/>
          <w:szCs w:val="22"/>
        </w:rPr>
        <w:t xml:space="preserve"> e il tasso osservato di linfomi è circa 1,3 per 1.000 </w:t>
      </w:r>
      <w:r w:rsidRPr="00020442" w:rsidR="005522B6">
        <w:rPr>
          <w:color w:val="000000"/>
          <w:sz w:val="22"/>
          <w:szCs w:val="22"/>
        </w:rPr>
        <w:t>anni-paziente</w:t>
      </w:r>
      <w:r w:rsidRPr="00295E71">
        <w:rPr>
          <w:color w:val="000000"/>
          <w:sz w:val="22"/>
          <w:szCs w:val="22"/>
        </w:rPr>
        <w:t>.</w:t>
      </w:r>
    </w:p>
    <w:p w:rsidR="006224C2" w:rsidRPr="00295E71" w14:paraId="3636F17A" w14:textId="77777777">
      <w:pPr>
        <w:tabs>
          <w:tab w:val="left" w:pos="567"/>
        </w:tabs>
        <w:autoSpaceDE w:val="0"/>
        <w:autoSpaceDN w:val="0"/>
        <w:adjustRightInd w:val="0"/>
        <w:jc w:val="both"/>
        <w:rPr>
          <w:color w:val="000000"/>
          <w:sz w:val="22"/>
          <w:szCs w:val="22"/>
        </w:rPr>
      </w:pPr>
    </w:p>
    <w:p w:rsidR="006224C2" w:rsidRPr="00295E71" w14:paraId="74DAB47A" w14:textId="77777777">
      <w:pPr>
        <w:tabs>
          <w:tab w:val="left" w:pos="567"/>
        </w:tabs>
        <w:autoSpaceDE w:val="0"/>
        <w:autoSpaceDN w:val="0"/>
        <w:adjustRightInd w:val="0"/>
        <w:jc w:val="both"/>
        <w:rPr>
          <w:color w:val="000000"/>
          <w:sz w:val="22"/>
          <w:szCs w:val="22"/>
        </w:rPr>
      </w:pPr>
      <w:r w:rsidRPr="00295E71">
        <w:rPr>
          <w:color w:val="000000"/>
          <w:sz w:val="22"/>
          <w:szCs w:val="22"/>
        </w:rPr>
        <w:t xml:space="preserve">In una esperienza post-marketing dal gennaio 2003 a dicembre 2010, principalmente in pazienti affetti da artrite reumatoide, il tasso di neoplasie </w:t>
      </w:r>
      <w:r w:rsidRPr="00295E71" w:rsidR="0026134F">
        <w:rPr>
          <w:color w:val="000000"/>
          <w:sz w:val="22"/>
          <w:szCs w:val="22"/>
        </w:rPr>
        <w:t>riportat</w:t>
      </w:r>
      <w:r w:rsidR="00306285">
        <w:rPr>
          <w:color w:val="000000"/>
          <w:sz w:val="22"/>
          <w:szCs w:val="22"/>
        </w:rPr>
        <w:t>o</w:t>
      </w:r>
      <w:r w:rsidRPr="00295E71" w:rsidR="0026134F">
        <w:rPr>
          <w:color w:val="000000"/>
          <w:sz w:val="22"/>
          <w:szCs w:val="22"/>
        </w:rPr>
        <w:t xml:space="preserve"> </w:t>
      </w:r>
      <w:r w:rsidR="0026134F">
        <w:rPr>
          <w:color w:val="000000"/>
          <w:sz w:val="22"/>
          <w:szCs w:val="22"/>
        </w:rPr>
        <w:t xml:space="preserve">spontaneamente </w:t>
      </w:r>
      <w:r w:rsidRPr="00295E71">
        <w:rPr>
          <w:color w:val="000000"/>
          <w:sz w:val="22"/>
          <w:szCs w:val="22"/>
        </w:rPr>
        <w:t>è di circa 2,7 per 1.000 anni trattamento/paziente. I tassi riportati</w:t>
      </w:r>
      <w:r w:rsidR="0026134F">
        <w:rPr>
          <w:color w:val="000000"/>
          <w:sz w:val="22"/>
          <w:szCs w:val="22"/>
        </w:rPr>
        <w:t xml:space="preserve"> spontaneamente</w:t>
      </w:r>
      <w:r w:rsidRPr="00295E71">
        <w:rPr>
          <w:color w:val="000000"/>
          <w:sz w:val="22"/>
          <w:szCs w:val="22"/>
        </w:rPr>
        <w:t xml:space="preserve"> rispettivamente per carcinomi cutanei non melanotici e linfomi sono di circa 0,2 e 0,3 per 1.000 anni trattamento/paziente (vedere paragrafo 4.4).</w:t>
      </w:r>
    </w:p>
    <w:p w:rsidR="006224C2" w:rsidRPr="00295E71" w14:paraId="054AA063" w14:textId="77777777">
      <w:pPr>
        <w:tabs>
          <w:tab w:val="left" w:pos="567"/>
        </w:tabs>
        <w:autoSpaceDE w:val="0"/>
        <w:autoSpaceDN w:val="0"/>
        <w:adjustRightInd w:val="0"/>
        <w:jc w:val="both"/>
        <w:rPr>
          <w:color w:val="000000"/>
          <w:sz w:val="22"/>
          <w:szCs w:val="22"/>
        </w:rPr>
      </w:pPr>
    </w:p>
    <w:p w:rsidR="006224C2" w:rsidRPr="00295E71" w14:paraId="1AF7B761" w14:textId="77777777">
      <w:pPr>
        <w:tabs>
          <w:tab w:val="left" w:pos="567"/>
        </w:tabs>
        <w:autoSpaceDE w:val="0"/>
        <w:autoSpaceDN w:val="0"/>
        <w:adjustRightInd w:val="0"/>
        <w:jc w:val="both"/>
        <w:rPr>
          <w:color w:val="000000"/>
          <w:sz w:val="22"/>
          <w:szCs w:val="22"/>
        </w:rPr>
      </w:pPr>
      <w:r w:rsidRPr="00295E71">
        <w:rPr>
          <w:color w:val="000000"/>
          <w:sz w:val="22"/>
          <w:szCs w:val="22"/>
        </w:rPr>
        <w:t>Nell’esperienza post-marketing sono stati segnalati rari casi di linfoma epatosplenico a cellule T nei pazienti trattati con adalimumab (vedere paragrafo 4.4).</w:t>
      </w:r>
    </w:p>
    <w:p w:rsidR="006224C2" w:rsidRPr="00295E71" w14:paraId="2C42CDAB" w14:textId="77777777">
      <w:pPr>
        <w:tabs>
          <w:tab w:val="left" w:pos="567"/>
        </w:tabs>
        <w:autoSpaceDE w:val="0"/>
        <w:autoSpaceDN w:val="0"/>
        <w:adjustRightInd w:val="0"/>
        <w:jc w:val="both"/>
        <w:rPr>
          <w:color w:val="000000"/>
          <w:sz w:val="22"/>
          <w:szCs w:val="22"/>
          <w:u w:val="single"/>
        </w:rPr>
      </w:pPr>
    </w:p>
    <w:p w:rsidR="006224C2" w:rsidRPr="00295E71" w14:paraId="19D8F343" w14:textId="77777777">
      <w:pPr>
        <w:tabs>
          <w:tab w:val="left" w:pos="567"/>
        </w:tabs>
        <w:autoSpaceDE w:val="0"/>
        <w:autoSpaceDN w:val="0"/>
        <w:adjustRightInd w:val="0"/>
        <w:jc w:val="both"/>
        <w:rPr>
          <w:i/>
          <w:color w:val="000000"/>
          <w:sz w:val="22"/>
          <w:szCs w:val="22"/>
        </w:rPr>
      </w:pPr>
      <w:r w:rsidRPr="00295E71">
        <w:rPr>
          <w:i/>
          <w:color w:val="000000"/>
          <w:sz w:val="22"/>
          <w:szCs w:val="22"/>
        </w:rPr>
        <w:t>Autoanticorpi</w:t>
      </w:r>
    </w:p>
    <w:p w:rsidR="006224C2" w:rsidRPr="00295E71" w14:paraId="32F91886" w14:textId="77777777">
      <w:pPr>
        <w:tabs>
          <w:tab w:val="left" w:pos="567"/>
        </w:tabs>
        <w:autoSpaceDE w:val="0"/>
        <w:autoSpaceDN w:val="0"/>
        <w:adjustRightInd w:val="0"/>
        <w:jc w:val="both"/>
        <w:rPr>
          <w:color w:val="000000"/>
          <w:sz w:val="22"/>
          <w:szCs w:val="22"/>
        </w:rPr>
      </w:pPr>
    </w:p>
    <w:p w:rsidR="006224C2" w:rsidRPr="00295E71" w14:paraId="192E9596" w14:textId="77777777">
      <w:pPr>
        <w:tabs>
          <w:tab w:val="left" w:pos="567"/>
        </w:tabs>
        <w:autoSpaceDE w:val="0"/>
        <w:autoSpaceDN w:val="0"/>
        <w:adjustRightInd w:val="0"/>
        <w:jc w:val="both"/>
        <w:rPr>
          <w:color w:val="000000"/>
          <w:sz w:val="22"/>
          <w:szCs w:val="22"/>
        </w:rPr>
      </w:pPr>
      <w:r w:rsidRPr="00295E71">
        <w:rPr>
          <w:color w:val="000000"/>
          <w:sz w:val="22"/>
          <w:szCs w:val="22"/>
        </w:rPr>
        <w:t>Nel corso d</w:t>
      </w:r>
      <w:r w:rsidR="005522B6">
        <w:rPr>
          <w:color w:val="000000"/>
          <w:sz w:val="22"/>
          <w:szCs w:val="22"/>
        </w:rPr>
        <w:t>egl</w:t>
      </w:r>
      <w:r w:rsidRPr="00295E71">
        <w:rPr>
          <w:color w:val="000000"/>
          <w:sz w:val="22"/>
          <w:szCs w:val="22"/>
        </w:rPr>
        <w:t xml:space="preserve">i studi I-V condotti sull’artrite reumatoide, sono stati analizzati, </w:t>
      </w:r>
      <w:r w:rsidRPr="00020442" w:rsidR="005522B6">
        <w:rPr>
          <w:color w:val="000000"/>
          <w:sz w:val="22"/>
          <w:szCs w:val="22"/>
        </w:rPr>
        <w:t>a vari intervalli temporali</w:t>
      </w:r>
      <w:r w:rsidRPr="00295E71">
        <w:rPr>
          <w:color w:val="000000"/>
          <w:sz w:val="22"/>
          <w:szCs w:val="22"/>
        </w:rPr>
        <w:t xml:space="preserve">, i campioni sierici dei pazienti per la valutazione degli autoanticorpi. In questi studi, l’11,9% dei pazienti trattati con Humira e l’8,1% dei pazienti trattati con placebo e con controllo attivo, che presentavano valori negativi di anticorpi antinucleo </w:t>
      </w:r>
      <w:r w:rsidR="005522B6">
        <w:rPr>
          <w:color w:val="000000"/>
          <w:sz w:val="22"/>
          <w:szCs w:val="22"/>
        </w:rPr>
        <w:t>al basale</w:t>
      </w:r>
      <w:r w:rsidRPr="00295E71">
        <w:rPr>
          <w:color w:val="000000"/>
          <w:sz w:val="22"/>
          <w:szCs w:val="22"/>
        </w:rPr>
        <w:t>, ha presentato valori positivi alla ventiquattresima settimana. Due pazienti su 3.441 trattati con Humira nel corso di tutti gli studi condotti sull’artrite reumatoide e sull’artrite psoriasica hanno manifestato segni clinici che indicavano l’inizio di una sindrome simile al lupus. I pazienti sono migliorati dopo la sospensione della terapia. Nessun paziente ha sviluppato una nefrite da lupus o sintomi a carico del sistema nervoso centrale.</w:t>
      </w:r>
    </w:p>
    <w:p w:rsidR="006224C2" w:rsidRPr="00295E71" w14:paraId="2B2D6B38" w14:textId="77777777">
      <w:pPr>
        <w:tabs>
          <w:tab w:val="left" w:pos="567"/>
        </w:tabs>
        <w:autoSpaceDE w:val="0"/>
        <w:autoSpaceDN w:val="0"/>
        <w:adjustRightInd w:val="0"/>
        <w:jc w:val="both"/>
        <w:rPr>
          <w:color w:val="000000"/>
          <w:sz w:val="22"/>
          <w:szCs w:val="22"/>
        </w:rPr>
      </w:pPr>
    </w:p>
    <w:p w:rsidR="006224C2" w:rsidRPr="00295E71" w:rsidP="003B3A5A" w14:paraId="08770103" w14:textId="77777777">
      <w:pPr>
        <w:keepNext/>
        <w:tabs>
          <w:tab w:val="left" w:pos="567"/>
        </w:tabs>
        <w:ind w:left="567" w:hanging="567"/>
        <w:jc w:val="both"/>
        <w:rPr>
          <w:i/>
          <w:sz w:val="22"/>
          <w:szCs w:val="22"/>
        </w:rPr>
      </w:pPr>
      <w:r w:rsidRPr="00295E71">
        <w:rPr>
          <w:i/>
          <w:sz w:val="22"/>
          <w:szCs w:val="22"/>
        </w:rPr>
        <w:t>Eventi epato-biliari</w:t>
      </w:r>
    </w:p>
    <w:p w:rsidR="006224C2" w:rsidRPr="00295E71" w:rsidP="003B3A5A" w14:paraId="586E965F" w14:textId="77777777">
      <w:pPr>
        <w:keepNext/>
        <w:tabs>
          <w:tab w:val="left" w:pos="567"/>
        </w:tabs>
        <w:ind w:left="567" w:hanging="567"/>
        <w:jc w:val="both"/>
        <w:rPr>
          <w:sz w:val="22"/>
          <w:szCs w:val="22"/>
        </w:rPr>
      </w:pPr>
    </w:p>
    <w:p w:rsidR="006224C2" w:rsidRPr="00295E71" w:rsidP="003B3A5A" w14:paraId="258BA2E4" w14:textId="77777777">
      <w:pPr>
        <w:keepNext/>
        <w:tabs>
          <w:tab w:val="left" w:pos="180"/>
          <w:tab w:val="left" w:pos="360"/>
        </w:tabs>
        <w:jc w:val="both"/>
        <w:rPr>
          <w:sz w:val="22"/>
          <w:szCs w:val="22"/>
        </w:rPr>
      </w:pPr>
      <w:r w:rsidRPr="00295E71">
        <w:rPr>
          <w:sz w:val="22"/>
          <w:szCs w:val="22"/>
        </w:rPr>
        <w:t>Negli studi clinici controllati di Fase 3 di Humira in pazienti con artrite reumatoide e artrite psoriasica con una durata del periodo di controllo che va da 4 a 104 settimane, gli aumenti delle transaminasi ALT superiori o uguali a tre volte il limite superiore di normalità si sono verificati nel 3,7% dei pazienti trattati con Humira e nell’1,6% dei pazienti trattati con il controllo.</w:t>
      </w:r>
    </w:p>
    <w:p w:rsidR="006224C2" w:rsidRPr="00295E71" w14:paraId="78F4B946" w14:textId="77777777">
      <w:pPr>
        <w:tabs>
          <w:tab w:val="left" w:pos="180"/>
          <w:tab w:val="left" w:pos="360"/>
        </w:tabs>
        <w:jc w:val="both"/>
        <w:rPr>
          <w:sz w:val="22"/>
          <w:szCs w:val="22"/>
        </w:rPr>
      </w:pPr>
    </w:p>
    <w:p w:rsidR="006224C2" w:rsidRPr="00295E71" w14:paraId="5F74B853" w14:textId="77777777">
      <w:pPr>
        <w:tabs>
          <w:tab w:val="left" w:pos="180"/>
          <w:tab w:val="left" w:pos="360"/>
        </w:tabs>
        <w:jc w:val="both"/>
        <w:rPr>
          <w:iCs/>
          <w:sz w:val="22"/>
          <w:szCs w:val="22"/>
          <w:lang w:eastAsia="en-US"/>
        </w:rPr>
      </w:pPr>
      <w:r w:rsidRPr="00295E71">
        <w:rPr>
          <w:sz w:val="22"/>
          <w:szCs w:val="22"/>
        </w:rPr>
        <w:t xml:space="preserve">Negli studi clinici controllati di </w:t>
      </w:r>
      <w:r w:rsidRPr="00295E71">
        <w:rPr>
          <w:iCs/>
          <w:sz w:val="22"/>
          <w:szCs w:val="22"/>
          <w:lang w:eastAsia="en-US"/>
        </w:rPr>
        <w:t>Fase 3 di Humira in pazienti con artrite idiopatica giovanile poliarticolare che avevano da 4 a 17 anni di età e in pazienti con artrite associata ad entesite, dai 6 ai 17 anni di età, gli aumenti delle transaminasi ALT superiori o uguali a tre volte il limite superiore di normalità ULN si sono verificati nel 6,1% dei pazienti trattati con Humira e nel 1,3% dei pazienti trattati con il farmaco di controllo. La maggior parte degli aumenti delle transaminasi ALT si sono verificati con l’uso concomitante di metotressato. Non si sono verificati aumenti delle transaminasi ALT superior</w:t>
      </w:r>
      <w:r w:rsidR="005522B6">
        <w:rPr>
          <w:iCs/>
          <w:sz w:val="22"/>
          <w:szCs w:val="22"/>
          <w:lang w:eastAsia="en-US"/>
        </w:rPr>
        <w:t>i</w:t>
      </w:r>
      <w:r w:rsidRPr="00295E71">
        <w:rPr>
          <w:iCs/>
          <w:sz w:val="22"/>
          <w:szCs w:val="22"/>
          <w:lang w:eastAsia="en-US"/>
        </w:rPr>
        <w:t xml:space="preserve"> </w:t>
      </w:r>
      <w:r w:rsidRPr="00295E71">
        <w:rPr>
          <w:iCs/>
          <w:sz w:val="22"/>
          <w:szCs w:val="22"/>
          <w:lang w:eastAsia="en-US"/>
        </w:rPr>
        <w:t>o ugual</w:t>
      </w:r>
      <w:r w:rsidR="005522B6">
        <w:rPr>
          <w:iCs/>
          <w:sz w:val="22"/>
          <w:szCs w:val="22"/>
          <w:lang w:eastAsia="en-US"/>
        </w:rPr>
        <w:t>i</w:t>
      </w:r>
      <w:r w:rsidRPr="00295E71">
        <w:rPr>
          <w:iCs/>
          <w:sz w:val="22"/>
          <w:szCs w:val="22"/>
          <w:lang w:eastAsia="en-US"/>
        </w:rPr>
        <w:t xml:space="preserve"> a tre volte il limite superiore di normalità nello studio clinico di Fase 3 con Humira in pazienti con artrite idiopatica giovanile poliarticolare di età compresa tra 2 e &lt;4 anni.</w:t>
      </w:r>
    </w:p>
    <w:p w:rsidR="006224C2" w:rsidRPr="00295E71" w14:paraId="1BD038C6" w14:textId="77777777">
      <w:pPr>
        <w:tabs>
          <w:tab w:val="left" w:pos="180"/>
          <w:tab w:val="left" w:pos="360"/>
        </w:tabs>
        <w:jc w:val="both"/>
        <w:rPr>
          <w:sz w:val="22"/>
          <w:szCs w:val="22"/>
        </w:rPr>
      </w:pPr>
    </w:p>
    <w:p w:rsidR="006224C2" w:rsidRPr="00295E71" w14:paraId="1E1EB7A2" w14:textId="77777777">
      <w:pPr>
        <w:rPr>
          <w:iCs/>
          <w:sz w:val="22"/>
          <w:szCs w:val="22"/>
          <w:lang w:eastAsia="en-US"/>
        </w:rPr>
      </w:pPr>
      <w:r w:rsidRPr="00295E71">
        <w:rPr>
          <w:iCs/>
          <w:sz w:val="22"/>
          <w:szCs w:val="22"/>
          <w:lang w:eastAsia="en-US"/>
        </w:rPr>
        <w:t>Negli studi clinici controllati di Fase 3 di Humira in pazienti con malattia di Crohn e colite ulcerosa con un periodo di controllo che va da 4 a 52 settimane, gli aumenti delle transaminasi ALT superiori o uguali a tre volte il limite superiore di normalità si sono verificati nello 0,9% dei pazienti trattati con Humira e nello 0,9% dei pazienti trattati con il controllo.</w:t>
      </w:r>
    </w:p>
    <w:p w:rsidR="006224C2" w:rsidRPr="00295E71" w14:paraId="1B778211" w14:textId="77777777">
      <w:pPr>
        <w:pStyle w:val="EMEANormal"/>
        <w:jc w:val="both"/>
        <w:rPr>
          <w:iCs/>
          <w:lang w:val="it-IT"/>
        </w:rPr>
      </w:pPr>
    </w:p>
    <w:p w:rsidR="006224C2" w:rsidRPr="00295E71" w14:paraId="52C59334" w14:textId="77777777">
      <w:pPr>
        <w:pStyle w:val="EMEANormal"/>
        <w:jc w:val="both"/>
        <w:rPr>
          <w:lang w:val="it-IT"/>
        </w:rPr>
      </w:pPr>
      <w:r w:rsidRPr="00295E71">
        <w:rPr>
          <w:lang w:val="it-IT"/>
        </w:rPr>
        <w:t>Nello studio di fase 3 di Humira, in pazienti con malattia di Cro</w:t>
      </w:r>
      <w:r w:rsidR="005522B6">
        <w:rPr>
          <w:lang w:val="it-IT"/>
        </w:rPr>
        <w:t>h</w:t>
      </w:r>
      <w:r w:rsidRPr="00295E71">
        <w:rPr>
          <w:lang w:val="it-IT"/>
        </w:rPr>
        <w:t>n in età pediatrica, che ha valutato la sicurezza e l’efficacia dei due regimi posologici aggiustati per il peso corporeo per la terapia di mantenimento che segue la terapia di induzione aggiustata per il peso fino a 52 settimane, sono stati trovati livelli di ALT superior</w:t>
      </w:r>
      <w:r w:rsidR="005522B6">
        <w:rPr>
          <w:lang w:val="it-IT"/>
        </w:rPr>
        <w:t>i</w:t>
      </w:r>
      <w:r w:rsidRPr="00295E71">
        <w:rPr>
          <w:lang w:val="it-IT"/>
        </w:rPr>
        <w:t xml:space="preserve"> o ugual</w:t>
      </w:r>
      <w:r w:rsidR="005522B6">
        <w:rPr>
          <w:lang w:val="it-IT"/>
        </w:rPr>
        <w:t>i</w:t>
      </w:r>
      <w:r w:rsidRPr="00295E71">
        <w:rPr>
          <w:lang w:val="it-IT"/>
        </w:rPr>
        <w:t xml:space="preserve"> a tre volte il limite superiore di normalità nel 2,6% (5/192) dei pazienti di cui 4 ricevevano un trattamento concomitante con immunosoppressori </w:t>
      </w:r>
      <w:r w:rsidR="005522B6">
        <w:rPr>
          <w:lang w:val="it-IT"/>
        </w:rPr>
        <w:t xml:space="preserve">al </w:t>
      </w:r>
      <w:r w:rsidRPr="00295E71">
        <w:rPr>
          <w:lang w:val="it-IT"/>
        </w:rPr>
        <w:t>basal</w:t>
      </w:r>
      <w:r w:rsidR="005522B6">
        <w:rPr>
          <w:lang w:val="it-IT"/>
        </w:rPr>
        <w:t>e</w:t>
      </w:r>
      <w:r w:rsidRPr="00295E71">
        <w:rPr>
          <w:lang w:val="it-IT"/>
        </w:rPr>
        <w:t xml:space="preserve">. </w:t>
      </w:r>
    </w:p>
    <w:p w:rsidR="006224C2" w:rsidRPr="00295E71" w14:paraId="00AD013E" w14:textId="77777777">
      <w:pPr>
        <w:tabs>
          <w:tab w:val="left" w:pos="180"/>
          <w:tab w:val="left" w:pos="360"/>
        </w:tabs>
        <w:jc w:val="both"/>
        <w:rPr>
          <w:sz w:val="22"/>
          <w:szCs w:val="22"/>
        </w:rPr>
      </w:pPr>
    </w:p>
    <w:p w:rsidR="006224C2" w:rsidRPr="00295E71" w14:paraId="081568B7" w14:textId="77777777">
      <w:pPr>
        <w:pStyle w:val="EMEANormal"/>
        <w:jc w:val="both"/>
        <w:rPr>
          <w:lang w:val="it-IT"/>
        </w:rPr>
      </w:pPr>
      <w:r w:rsidRPr="00295E71">
        <w:rPr>
          <w:iCs/>
          <w:lang w:val="it-IT"/>
        </w:rPr>
        <w:t>Negli</w:t>
      </w:r>
      <w:r w:rsidRPr="00295E71">
        <w:rPr>
          <w:lang w:val="it-IT"/>
        </w:rPr>
        <w:t xml:space="preserve"> studi clinici controllati di Fase 3 di Humira in pazienti con </w:t>
      </w:r>
      <w:r w:rsidRPr="00295E71" w:rsidR="00563287">
        <w:rPr>
          <w:lang w:val="it-IT"/>
        </w:rPr>
        <w:t>p</w:t>
      </w:r>
      <w:r w:rsidRPr="00295E71">
        <w:rPr>
          <w:lang w:val="it-IT"/>
        </w:rPr>
        <w:t>soriasi a placche con una durata del periodo di controllo che va da 12 a 24 settimane, gli aumenti delle transaminasi ALT superiori o uguali a tre volte il limite superiore di normalità si sono verificati nell’1,8% dei pazienti trattati con Humira e nell’1,8% dei pazienti trattati con il controllo.</w:t>
      </w:r>
    </w:p>
    <w:p w:rsidR="00563287" w:rsidRPr="00295E71" w14:paraId="385EE902" w14:textId="77777777">
      <w:pPr>
        <w:pStyle w:val="EMEANormal"/>
        <w:jc w:val="both"/>
        <w:rPr>
          <w:lang w:val="it-IT"/>
        </w:rPr>
      </w:pPr>
    </w:p>
    <w:p w:rsidR="006224C2" w:rsidRPr="00295E71" w14:paraId="2C1DBD5E" w14:textId="77777777">
      <w:pPr>
        <w:pStyle w:val="EMEANormal"/>
        <w:jc w:val="both"/>
        <w:rPr>
          <w:lang w:val="it-IT"/>
        </w:rPr>
      </w:pPr>
      <w:r w:rsidRPr="00295E71">
        <w:rPr>
          <w:lang w:val="it-IT"/>
        </w:rPr>
        <w:t>Nello studio di fase 3 di Humira in pazienti pediatrici con psoriasi a placche non si è verificato alcun aumento dei livelli di ALT superiore o uguale a tre volte il limite superiore di normalità.</w:t>
      </w:r>
    </w:p>
    <w:p w:rsidR="006224C2" w:rsidRPr="00295E71" w14:paraId="0BF693D2" w14:textId="77777777">
      <w:pPr>
        <w:pStyle w:val="EMEANormal"/>
        <w:jc w:val="both"/>
        <w:rPr>
          <w:lang w:val="it-IT"/>
        </w:rPr>
      </w:pPr>
    </w:p>
    <w:p w:rsidR="006224C2" w:rsidRPr="00295E71" w14:paraId="0D919C82" w14:textId="77777777">
      <w:pPr>
        <w:pStyle w:val="EMEANormal"/>
        <w:jc w:val="both"/>
        <w:rPr>
          <w:lang w:val="it-IT"/>
        </w:rPr>
      </w:pPr>
      <w:r w:rsidRPr="00295E71">
        <w:rPr>
          <w:lang w:val="it-IT"/>
        </w:rPr>
        <w:t xml:space="preserve">Negli studi clinici controllati di Humira (dosi iniziali di 160 mg alla settimana 0 e 80 mg alla settimana 2, seguiti da 40 mg ogni settimana a partire dalla settimana 4) in pazienti con Idrosadenite Suppurativa, con una durata del periodo di controllo tra 12 e 16 settimane, aumenti dei livelli di ALT superiori o uguali a tre volte il limite superiore di normalità si sono verificati nello 0,3% dei pazienti trattati con Humira e nello 0,6% dei pazienti trattati con il controllo.  </w:t>
      </w:r>
    </w:p>
    <w:p w:rsidR="006224C2" w:rsidRPr="00295E71" w14:paraId="262DEA11" w14:textId="77777777">
      <w:pPr>
        <w:pStyle w:val="EMEANormal"/>
        <w:jc w:val="both"/>
        <w:rPr>
          <w:lang w:val="it-IT"/>
        </w:rPr>
      </w:pPr>
    </w:p>
    <w:p w:rsidR="006224C2" w:rsidRPr="00295E71" w14:paraId="4A79428D" w14:textId="77777777">
      <w:pPr>
        <w:pStyle w:val="EMEANormal"/>
        <w:jc w:val="both"/>
        <w:rPr>
          <w:lang w:val="it-IT"/>
        </w:rPr>
      </w:pPr>
      <w:r w:rsidRPr="00295E71">
        <w:rPr>
          <w:lang w:val="it-IT"/>
        </w:rPr>
        <w:t xml:space="preserve">Negli studi clinici controllati di Humira (dosi iniziali di 80 mg alla settimana 0 seguiti da 40 mg a settimane alterne a partire dalla settimana 1) in pazienti </w:t>
      </w:r>
      <w:r w:rsidRPr="00295E71" w:rsidR="00563287">
        <w:rPr>
          <w:lang w:val="it-IT"/>
        </w:rPr>
        <w:t xml:space="preserve">adulti </w:t>
      </w:r>
      <w:r w:rsidRPr="00295E71">
        <w:rPr>
          <w:lang w:val="it-IT"/>
        </w:rPr>
        <w:t>con uveite fino a 80 settimane con un’esposizione mediana rispettivamente di 166,5 giorni nei pazienti trattati con Humira e di 105,0 giorni nei pazienti trattati con il controllo, aumenti dei livelli di ALT superiori o uguali a tre volte il limite superiore di normalità ULN si sono verificati nel 2,4% dei pazienti trattati con Humira e nel 2,4% dei pazienti trattati con il controllo.</w:t>
      </w:r>
    </w:p>
    <w:p w:rsidR="006224C2" w:rsidRPr="0062664F" w14:paraId="28FAF3CA" w14:textId="77777777">
      <w:pPr>
        <w:pStyle w:val="EMEANormal"/>
        <w:jc w:val="both"/>
        <w:rPr>
          <w:lang w:val="it-IT"/>
        </w:rPr>
      </w:pPr>
    </w:p>
    <w:p w:rsidR="0062664F" w:rsidRPr="00612824" w:rsidP="0062664F" w14:paraId="3E675AAF" w14:textId="77777777">
      <w:pPr>
        <w:rPr>
          <w:rStyle w:val="normaltextrun"/>
          <w:sz w:val="22"/>
          <w:szCs w:val="22"/>
          <w:shd w:val="clear" w:color="auto" w:fill="FFFFFF"/>
        </w:rPr>
      </w:pPr>
      <w:r w:rsidRPr="00612824">
        <w:rPr>
          <w:rStyle w:val="normaltextrun"/>
          <w:sz w:val="22"/>
          <w:szCs w:val="22"/>
          <w:shd w:val="clear" w:color="auto" w:fill="FFFFFF"/>
        </w:rPr>
        <w:t xml:space="preserve">Nello studio controllato di fase 3 </w:t>
      </w:r>
      <w:r w:rsidR="00FF542D">
        <w:rPr>
          <w:rStyle w:val="normaltextrun"/>
          <w:sz w:val="22"/>
          <w:szCs w:val="22"/>
          <w:shd w:val="clear" w:color="auto" w:fill="FFFFFF"/>
        </w:rPr>
        <w:t>di</w:t>
      </w:r>
      <w:r w:rsidRPr="00612824">
        <w:rPr>
          <w:rStyle w:val="normaltextrun"/>
          <w:sz w:val="22"/>
          <w:szCs w:val="22"/>
          <w:shd w:val="clear" w:color="auto" w:fill="FFFFFF"/>
        </w:rPr>
        <w:t xml:space="preserve"> Humira in pazienti con colite ulcerosa pediatrica (N=93) che ha valutato l'efficacia e la sicurezza di una dose di mantenimento di 0,6 mg/kg (massimo 40 mg) ogni due settimane (N=31) e di una dose di mantenimento di 0,6 mg/kg (massimo 40 mg) ogni settimana (N=32), a seguito di una dose di induzione aggiustata per il peso corporeo di 2,4 mg/kg (massimo 160 mg) alla Settimana 0 e alla Settimana 1, e di 1,2 mg/kg (massimo 80 mg) alla Settimana 2 (N=63), o di una dose di induzione di 2,4 mg/kg (massimo 160 mg) alla Settimana 0, placebo alla Settimana 1, e 1,2 mg/kg (massimo 80 mg) alla Settimana 2 (N=30), sono stati riscontrati aumenti delle ALT ≥ 3 X ULN nell'1,1% (1/93) dei pazienti.</w:t>
      </w:r>
    </w:p>
    <w:p w:rsidR="0062664F" w:rsidRPr="00612824" w:rsidP="0062664F" w14:paraId="1E0EBE4C" w14:textId="77777777">
      <w:pPr>
        <w:rPr>
          <w:sz w:val="22"/>
          <w:szCs w:val="22"/>
        </w:rPr>
      </w:pPr>
    </w:p>
    <w:p w:rsidR="006224C2" w:rsidRPr="00295E71" w14:paraId="36A73177" w14:textId="77777777">
      <w:pPr>
        <w:pStyle w:val="EMEANormal"/>
        <w:jc w:val="both"/>
        <w:rPr>
          <w:lang w:val="it-IT"/>
        </w:rPr>
      </w:pPr>
      <w:r w:rsidRPr="00295E71">
        <w:rPr>
          <w:lang w:val="it-IT"/>
        </w:rPr>
        <w:t xml:space="preserve">Negli studi clinici, in tutte le indicazioni, i pazienti con livelli aumentati di transaminasi </w:t>
      </w:r>
      <w:r w:rsidR="005522B6">
        <w:rPr>
          <w:lang w:val="it-IT"/>
        </w:rPr>
        <w:t xml:space="preserve">ALT </w:t>
      </w:r>
      <w:r w:rsidRPr="00295E71">
        <w:rPr>
          <w:lang w:val="it-IT"/>
        </w:rPr>
        <w:t>erano asintomatici e nella maggior parte dei casi gli innalzamenti erano transitori e si sono risolti nel corso del trattamento. Tuttavia, in pazienti trattati con adalimumab, sono stati riportati anche casi post-marketing di insufficienza epatica come pure di disordini epatici meno gravi che possono precedere l’insufficienza epatica, come l’epatite, inclusa l’epatite autoimmune.</w:t>
      </w:r>
    </w:p>
    <w:p w:rsidR="006224C2" w:rsidRPr="00295E71" w14:paraId="4721837D" w14:textId="77777777">
      <w:pPr>
        <w:pStyle w:val="EMEANormal"/>
        <w:jc w:val="both"/>
        <w:rPr>
          <w:lang w:val="it-IT"/>
        </w:rPr>
      </w:pPr>
    </w:p>
    <w:p w:rsidR="006224C2" w:rsidRPr="00295E71" w14:paraId="6BBE2368" w14:textId="77777777">
      <w:pPr>
        <w:tabs>
          <w:tab w:val="left" w:pos="0"/>
        </w:tabs>
        <w:jc w:val="both"/>
        <w:rPr>
          <w:sz w:val="22"/>
          <w:szCs w:val="22"/>
          <w:u w:val="single"/>
        </w:rPr>
      </w:pPr>
      <w:r w:rsidRPr="00295E71">
        <w:rPr>
          <w:sz w:val="22"/>
          <w:szCs w:val="22"/>
          <w:u w:val="single"/>
        </w:rPr>
        <w:t>Trattamento concomitante con azatioprina/6-mercaptopurina</w:t>
      </w:r>
    </w:p>
    <w:p w:rsidR="006224C2" w:rsidRPr="00295E71" w14:paraId="7861342E" w14:textId="77777777">
      <w:pPr>
        <w:tabs>
          <w:tab w:val="left" w:pos="0"/>
        </w:tabs>
        <w:jc w:val="both"/>
        <w:rPr>
          <w:sz w:val="22"/>
          <w:szCs w:val="22"/>
        </w:rPr>
      </w:pPr>
    </w:p>
    <w:p w:rsidR="006224C2" w:rsidRPr="00295E71" w14:paraId="441BBC07" w14:textId="77777777">
      <w:pPr>
        <w:tabs>
          <w:tab w:val="left" w:pos="0"/>
        </w:tabs>
        <w:jc w:val="both"/>
        <w:rPr>
          <w:sz w:val="22"/>
          <w:szCs w:val="22"/>
        </w:rPr>
      </w:pPr>
      <w:r w:rsidRPr="00295E71">
        <w:rPr>
          <w:sz w:val="22"/>
          <w:szCs w:val="22"/>
        </w:rPr>
        <w:t>Negli studi sulla malattia di Crohn negli adulti, con la combinazione di Humira e azatioprina/6-mercaptopurina sono state osservate incidenze più elevate di eventi avversi correlati a infezioni gravi e a tumori maligni rispetto a Humira da solo.</w:t>
      </w:r>
    </w:p>
    <w:p w:rsidR="006224C2" w:rsidRPr="00295E71" w14:paraId="770920FF" w14:textId="77777777">
      <w:pPr>
        <w:pStyle w:val="EMEANormal"/>
        <w:jc w:val="both"/>
        <w:rPr>
          <w:lang w:val="it-IT"/>
        </w:rPr>
      </w:pPr>
    </w:p>
    <w:p w:rsidR="006224C2" w:rsidRPr="00295E71" w14:paraId="3443C947" w14:textId="77777777">
      <w:pPr>
        <w:tabs>
          <w:tab w:val="left" w:pos="0"/>
        </w:tabs>
        <w:jc w:val="both"/>
        <w:rPr>
          <w:sz w:val="22"/>
          <w:szCs w:val="22"/>
          <w:u w:val="single"/>
        </w:rPr>
      </w:pPr>
      <w:r w:rsidRPr="00295E71">
        <w:rPr>
          <w:sz w:val="22"/>
          <w:szCs w:val="22"/>
          <w:u w:val="single"/>
        </w:rPr>
        <w:t>Segnalazione delle reazioni avverse sospette</w:t>
      </w:r>
    </w:p>
    <w:p w:rsidR="006224C2" w:rsidRPr="00295E71" w14:paraId="278D7F56" w14:textId="77777777">
      <w:pPr>
        <w:tabs>
          <w:tab w:val="left" w:pos="0"/>
        </w:tabs>
        <w:jc w:val="both"/>
        <w:rPr>
          <w:sz w:val="22"/>
          <w:szCs w:val="22"/>
        </w:rPr>
      </w:pPr>
      <w:r w:rsidRPr="00295E71">
        <w:rPr>
          <w:sz w:val="22"/>
          <w:szCs w:val="22"/>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il </w:t>
      </w:r>
      <w:r w:rsidRPr="00295E71">
        <w:rPr>
          <w:sz w:val="22"/>
          <w:szCs w:val="22"/>
          <w:highlight w:val="lightGray"/>
        </w:rPr>
        <w:t>sistema nazionale di segnalazione riportato nell’</w:t>
      </w:r>
      <w:hyperlink r:id="rId27" w:history="1">
        <w:r w:rsidRPr="00295E71">
          <w:rPr>
            <w:rStyle w:val="Hyperlink"/>
            <w:sz w:val="22"/>
            <w:szCs w:val="22"/>
          </w:rPr>
          <w:t>allegato V</w:t>
        </w:r>
      </w:hyperlink>
      <w:r w:rsidRPr="00295E71">
        <w:rPr>
          <w:sz w:val="22"/>
          <w:szCs w:val="22"/>
          <w:highlight w:val="lightGray"/>
        </w:rPr>
        <w:t>.</w:t>
      </w:r>
    </w:p>
    <w:p w:rsidR="006224C2" w:rsidRPr="00295E71" w14:paraId="7A5AD836" w14:textId="77777777">
      <w:pPr>
        <w:pStyle w:val="EMEANormal"/>
        <w:jc w:val="both"/>
        <w:rPr>
          <w:lang w:val="it-IT"/>
        </w:rPr>
      </w:pPr>
    </w:p>
    <w:p w:rsidR="006224C2" w:rsidRPr="00295E71" w14:paraId="0A2584E2" w14:textId="77777777">
      <w:pPr>
        <w:tabs>
          <w:tab w:val="left" w:pos="567"/>
        </w:tabs>
        <w:ind w:left="567" w:hanging="567"/>
        <w:jc w:val="both"/>
        <w:rPr>
          <w:b/>
          <w:bCs/>
          <w:sz w:val="22"/>
          <w:szCs w:val="22"/>
        </w:rPr>
      </w:pPr>
      <w:r w:rsidRPr="00295E71">
        <w:rPr>
          <w:b/>
          <w:bCs/>
          <w:sz w:val="22"/>
          <w:szCs w:val="22"/>
        </w:rPr>
        <w:t>4.9</w:t>
      </w:r>
      <w:r w:rsidRPr="00295E71">
        <w:rPr>
          <w:b/>
          <w:bCs/>
          <w:sz w:val="22"/>
          <w:szCs w:val="22"/>
        </w:rPr>
        <w:tab/>
        <w:t xml:space="preserve">Sovradosaggio </w:t>
      </w:r>
    </w:p>
    <w:p w:rsidR="006224C2" w:rsidRPr="00295E71" w14:paraId="5C678FEA" w14:textId="77777777">
      <w:pPr>
        <w:tabs>
          <w:tab w:val="left" w:pos="567"/>
        </w:tabs>
        <w:jc w:val="both"/>
        <w:rPr>
          <w:sz w:val="22"/>
          <w:szCs w:val="22"/>
        </w:rPr>
      </w:pPr>
    </w:p>
    <w:p w:rsidR="006224C2" w:rsidRPr="00295E71" w14:paraId="0C08FE98" w14:textId="77777777">
      <w:pPr>
        <w:tabs>
          <w:tab w:val="left" w:pos="567"/>
        </w:tabs>
        <w:jc w:val="both"/>
        <w:rPr>
          <w:color w:val="000000"/>
          <w:sz w:val="22"/>
          <w:szCs w:val="22"/>
        </w:rPr>
      </w:pPr>
      <w:r w:rsidRPr="00295E71">
        <w:rPr>
          <w:color w:val="000000"/>
          <w:sz w:val="22"/>
          <w:szCs w:val="22"/>
        </w:rPr>
        <w:t xml:space="preserve">Non è stata osservata tossicità </w:t>
      </w:r>
      <w:r w:rsidR="005522B6">
        <w:rPr>
          <w:color w:val="000000"/>
          <w:sz w:val="22"/>
          <w:szCs w:val="22"/>
        </w:rPr>
        <w:t xml:space="preserve">dose-limitante </w:t>
      </w:r>
      <w:r w:rsidRPr="00295E71">
        <w:rPr>
          <w:color w:val="000000"/>
          <w:sz w:val="22"/>
          <w:szCs w:val="22"/>
        </w:rPr>
        <w:t>durante gli studi clinici. La dose più elevata valutata è stata quella costituita da dosi multiple di 10 mg/kg per via endovenosa; tale dose risulta equivalente a circa 15 volte la dose raccomandata.</w:t>
      </w:r>
    </w:p>
    <w:p w:rsidR="006224C2" w:rsidRPr="00295E71" w14:paraId="501BC6FD" w14:textId="77777777">
      <w:pPr>
        <w:pStyle w:val="EndnoteText"/>
        <w:jc w:val="both"/>
        <w:rPr>
          <w:lang w:val="it-IT" w:eastAsia="it-IT"/>
        </w:rPr>
      </w:pPr>
    </w:p>
    <w:p w:rsidR="006224C2" w:rsidRPr="00295E71" w14:paraId="54ADB379" w14:textId="77777777">
      <w:pPr>
        <w:tabs>
          <w:tab w:val="left" w:pos="567"/>
        </w:tabs>
        <w:jc w:val="both"/>
        <w:rPr>
          <w:sz w:val="22"/>
          <w:szCs w:val="22"/>
        </w:rPr>
      </w:pPr>
    </w:p>
    <w:p w:rsidR="006224C2" w:rsidRPr="00295E71" w:rsidP="00A60A0D" w14:paraId="26CB0173" w14:textId="77777777">
      <w:pPr>
        <w:keepNext/>
        <w:tabs>
          <w:tab w:val="left" w:pos="567"/>
        </w:tabs>
        <w:ind w:left="567" w:hanging="567"/>
        <w:jc w:val="both"/>
        <w:rPr>
          <w:b/>
          <w:bCs/>
          <w:sz w:val="22"/>
          <w:szCs w:val="22"/>
        </w:rPr>
      </w:pPr>
      <w:r w:rsidRPr="00295E71">
        <w:rPr>
          <w:b/>
          <w:bCs/>
          <w:sz w:val="22"/>
          <w:szCs w:val="22"/>
        </w:rPr>
        <w:t>5.</w:t>
      </w:r>
      <w:r w:rsidRPr="00295E71">
        <w:rPr>
          <w:b/>
          <w:bCs/>
          <w:sz w:val="22"/>
          <w:szCs w:val="22"/>
        </w:rPr>
        <w:tab/>
        <w:t>PROPRIETÀ FARMACOLOGICHE</w:t>
      </w:r>
    </w:p>
    <w:p w:rsidR="006224C2" w:rsidRPr="00295E71" w:rsidP="00A60A0D" w14:paraId="5503601C" w14:textId="77777777">
      <w:pPr>
        <w:keepNext/>
        <w:tabs>
          <w:tab w:val="left" w:pos="567"/>
        </w:tabs>
        <w:jc w:val="both"/>
        <w:rPr>
          <w:b/>
          <w:bCs/>
          <w:sz w:val="22"/>
          <w:szCs w:val="22"/>
        </w:rPr>
      </w:pPr>
    </w:p>
    <w:p w:rsidR="006224C2" w:rsidRPr="00295E71" w14:paraId="7D8AE903" w14:textId="77777777">
      <w:pPr>
        <w:tabs>
          <w:tab w:val="left" w:pos="567"/>
        </w:tabs>
        <w:ind w:left="567" w:hanging="567"/>
        <w:jc w:val="both"/>
        <w:rPr>
          <w:b/>
          <w:bCs/>
          <w:sz w:val="22"/>
          <w:szCs w:val="22"/>
        </w:rPr>
      </w:pPr>
      <w:r w:rsidRPr="00295E71">
        <w:rPr>
          <w:b/>
          <w:bCs/>
          <w:sz w:val="22"/>
          <w:szCs w:val="22"/>
        </w:rPr>
        <w:t xml:space="preserve">5.1 </w:t>
      </w:r>
      <w:r w:rsidRPr="00295E71">
        <w:rPr>
          <w:b/>
          <w:bCs/>
          <w:sz w:val="22"/>
          <w:szCs w:val="22"/>
        </w:rPr>
        <w:tab/>
        <w:t>Proprietà farmacodinamiche</w:t>
      </w:r>
    </w:p>
    <w:p w:rsidR="006224C2" w:rsidRPr="00295E71" w14:paraId="551A05EF" w14:textId="77777777">
      <w:pPr>
        <w:tabs>
          <w:tab w:val="left" w:pos="567"/>
        </w:tabs>
        <w:jc w:val="both"/>
        <w:rPr>
          <w:sz w:val="22"/>
          <w:szCs w:val="22"/>
        </w:rPr>
      </w:pPr>
    </w:p>
    <w:p w:rsidR="006224C2" w:rsidRPr="00295E71" w14:paraId="626286C0" w14:textId="77777777">
      <w:pPr>
        <w:tabs>
          <w:tab w:val="left" w:pos="567"/>
        </w:tabs>
        <w:jc w:val="both"/>
        <w:rPr>
          <w:sz w:val="22"/>
          <w:szCs w:val="22"/>
        </w:rPr>
      </w:pPr>
      <w:r w:rsidRPr="00295E71">
        <w:rPr>
          <w:sz w:val="22"/>
          <w:szCs w:val="22"/>
        </w:rPr>
        <w:t>Categoria farmacoterapeutica: Immunosoppressori, inibitori del Fattore di Necrosi Tumorale alfa (TNF</w:t>
      </w:r>
      <w:r w:rsidRPr="00295E71">
        <w:rPr>
          <w:sz w:val="22"/>
          <w:szCs w:val="22"/>
        </w:rPr>
        <w:noBreakHyphen/>
        <w:t>α). Codice ATC: L04AB04</w:t>
      </w:r>
    </w:p>
    <w:p w:rsidR="006224C2" w:rsidRPr="00295E71" w14:paraId="78D86749" w14:textId="77777777">
      <w:pPr>
        <w:tabs>
          <w:tab w:val="left" w:pos="567"/>
        </w:tabs>
        <w:jc w:val="both"/>
        <w:rPr>
          <w:sz w:val="22"/>
          <w:szCs w:val="22"/>
        </w:rPr>
      </w:pPr>
    </w:p>
    <w:p w:rsidR="006224C2" w:rsidRPr="00295E71" w14:paraId="20FF5F2C" w14:textId="77777777">
      <w:pPr>
        <w:rPr>
          <w:sz w:val="22"/>
          <w:szCs w:val="22"/>
          <w:u w:val="single"/>
        </w:rPr>
      </w:pPr>
      <w:r w:rsidRPr="00295E71">
        <w:rPr>
          <w:sz w:val="22"/>
          <w:szCs w:val="22"/>
          <w:u w:val="single"/>
        </w:rPr>
        <w:t>Meccanismo d’azione</w:t>
      </w:r>
    </w:p>
    <w:p w:rsidR="006224C2" w:rsidRPr="00295E71" w14:paraId="7FF2D400" w14:textId="77777777">
      <w:pPr>
        <w:tabs>
          <w:tab w:val="left" w:pos="567"/>
        </w:tabs>
        <w:jc w:val="both"/>
        <w:rPr>
          <w:sz w:val="22"/>
          <w:szCs w:val="22"/>
        </w:rPr>
      </w:pPr>
    </w:p>
    <w:p w:rsidR="006224C2" w:rsidRPr="00295E71" w14:paraId="21BC0CF9" w14:textId="77777777">
      <w:pPr>
        <w:pStyle w:val="BodyText"/>
        <w:tabs>
          <w:tab w:val="left" w:pos="567"/>
        </w:tabs>
      </w:pPr>
      <w:r w:rsidRPr="00295E71">
        <w:t>Adalimumab si lega selettivamente al TNF e ne neutralizza la funzione biologica bloccando la sua interazione con i recettori del TNF di membrana cellulare, p55 e p75.</w:t>
      </w:r>
    </w:p>
    <w:p w:rsidR="006224C2" w:rsidRPr="00295E71" w14:paraId="464A616E" w14:textId="77777777">
      <w:pPr>
        <w:tabs>
          <w:tab w:val="left" w:pos="567"/>
        </w:tabs>
        <w:jc w:val="both"/>
        <w:rPr>
          <w:sz w:val="22"/>
          <w:szCs w:val="22"/>
        </w:rPr>
      </w:pPr>
    </w:p>
    <w:p w:rsidR="006224C2" w:rsidRPr="00295E71" w14:paraId="2E88A2E9" w14:textId="77777777">
      <w:pPr>
        <w:tabs>
          <w:tab w:val="left" w:pos="567"/>
        </w:tabs>
        <w:jc w:val="both"/>
        <w:rPr>
          <w:sz w:val="22"/>
          <w:szCs w:val="22"/>
        </w:rPr>
      </w:pPr>
      <w:r w:rsidRPr="00295E71">
        <w:rPr>
          <w:sz w:val="22"/>
          <w:szCs w:val="22"/>
        </w:rPr>
        <w:t>Adalimumab modula anche le risposte biologiche che sono indotte o regolate dal TNF, inclusi i cambiamenti dei livelli delle molecole di adesione responsabili della migrazione dei leucociti (ELAM-1, VCAM-1 e ICAM-1 con un IC</w:t>
      </w:r>
      <w:r w:rsidRPr="00295E71">
        <w:rPr>
          <w:sz w:val="22"/>
          <w:szCs w:val="22"/>
          <w:vertAlign w:val="subscript"/>
        </w:rPr>
        <w:t>50</w:t>
      </w:r>
      <w:r w:rsidRPr="00295E71">
        <w:rPr>
          <w:sz w:val="22"/>
          <w:szCs w:val="22"/>
        </w:rPr>
        <w:t xml:space="preserve"> di 0,1-0,2 nM).</w:t>
      </w:r>
    </w:p>
    <w:p w:rsidR="006224C2" w:rsidRPr="00295E71" w14:paraId="4ADE9857" w14:textId="77777777">
      <w:pPr>
        <w:tabs>
          <w:tab w:val="left" w:pos="567"/>
        </w:tabs>
        <w:jc w:val="both"/>
        <w:rPr>
          <w:sz w:val="22"/>
          <w:szCs w:val="22"/>
        </w:rPr>
      </w:pPr>
    </w:p>
    <w:p w:rsidR="006224C2" w:rsidRPr="00295E71" w14:paraId="58871752" w14:textId="77777777">
      <w:pPr>
        <w:rPr>
          <w:color w:val="000000"/>
          <w:sz w:val="22"/>
          <w:szCs w:val="22"/>
          <w:u w:val="single"/>
        </w:rPr>
      </w:pPr>
      <w:r w:rsidRPr="00295E71">
        <w:rPr>
          <w:color w:val="000000"/>
          <w:sz w:val="22"/>
          <w:szCs w:val="22"/>
          <w:u w:val="single"/>
        </w:rPr>
        <w:t>Effetti farmacodinamici</w:t>
      </w:r>
    </w:p>
    <w:p w:rsidR="006224C2" w:rsidRPr="00295E71" w14:paraId="51969D33" w14:textId="77777777">
      <w:pPr>
        <w:tabs>
          <w:tab w:val="left" w:pos="567"/>
        </w:tabs>
        <w:autoSpaceDE w:val="0"/>
        <w:autoSpaceDN w:val="0"/>
        <w:adjustRightInd w:val="0"/>
        <w:jc w:val="both"/>
        <w:rPr>
          <w:color w:val="000000"/>
          <w:sz w:val="22"/>
          <w:szCs w:val="22"/>
          <w:u w:val="single"/>
        </w:rPr>
      </w:pPr>
    </w:p>
    <w:p w:rsidR="006224C2" w:rsidRPr="00295E71" w14:paraId="1A198366" w14:textId="77777777">
      <w:pPr>
        <w:tabs>
          <w:tab w:val="left" w:pos="567"/>
        </w:tabs>
        <w:jc w:val="both"/>
        <w:rPr>
          <w:color w:val="000000"/>
          <w:sz w:val="22"/>
          <w:szCs w:val="22"/>
        </w:rPr>
      </w:pPr>
      <w:r w:rsidRPr="00295E71">
        <w:rPr>
          <w:color w:val="000000"/>
          <w:sz w:val="22"/>
          <w:szCs w:val="22"/>
        </w:rPr>
        <w:t>Dopo trattamento con Humira, si è osservata una rapida diminuzione delle proteine di fase acuta, indici di infiammazione (proteina C reattiva-PCR, velocità di eritrosedimentazione -VES) e delle citochine sieriche (IL-6) nei pazienti con artrite reumatoide rispetto al valore basale. Anche i livelli sierici delle metalloproteinasi della matrice (MMP-1 e MMP-3), coinvolte nel rimodellamento tissutale responsabile della distruzione della cartilagine, erano diminuiti in seguito alla somministrazione di Humira. I pazienti trattati con Humira hanno generalmente mostrato un miglioramento dei segni emato</w:t>
      </w:r>
      <w:r w:rsidR="005522B6">
        <w:rPr>
          <w:color w:val="000000"/>
          <w:sz w:val="22"/>
          <w:szCs w:val="22"/>
        </w:rPr>
        <w:t>logici</w:t>
      </w:r>
      <w:r w:rsidRPr="00295E71">
        <w:rPr>
          <w:color w:val="000000"/>
          <w:sz w:val="22"/>
          <w:szCs w:val="22"/>
        </w:rPr>
        <w:t xml:space="preserve"> dell’infiammazione cronica.</w:t>
      </w:r>
    </w:p>
    <w:p w:rsidR="006224C2" w:rsidRPr="00295E71" w14:paraId="5FD299AC" w14:textId="77777777">
      <w:pPr>
        <w:tabs>
          <w:tab w:val="left" w:pos="567"/>
        </w:tabs>
        <w:jc w:val="both"/>
        <w:rPr>
          <w:sz w:val="22"/>
          <w:szCs w:val="22"/>
        </w:rPr>
      </w:pPr>
    </w:p>
    <w:p w:rsidR="006224C2" w:rsidRPr="00295E71" w14:paraId="2D5E4F7A" w14:textId="77777777">
      <w:pPr>
        <w:tabs>
          <w:tab w:val="left" w:pos="567"/>
        </w:tabs>
        <w:jc w:val="both"/>
        <w:rPr>
          <w:sz w:val="22"/>
          <w:szCs w:val="22"/>
        </w:rPr>
      </w:pPr>
      <w:r w:rsidRPr="00295E71">
        <w:rPr>
          <w:sz w:val="22"/>
          <w:szCs w:val="22"/>
        </w:rPr>
        <w:t xml:space="preserve">Dopo trattamento con Humira, </w:t>
      </w:r>
      <w:r w:rsidR="005522B6">
        <w:rPr>
          <w:sz w:val="22"/>
          <w:szCs w:val="22"/>
        </w:rPr>
        <w:t>anche nei</w:t>
      </w:r>
      <w:r w:rsidRPr="00295E71">
        <w:rPr>
          <w:sz w:val="22"/>
          <w:szCs w:val="22"/>
        </w:rPr>
        <w:t xml:space="preserve"> pazienti affetti da Artrite Idiopatica Giovanile Poliarticolare, malattia di Crohn, colite ulcerosa e Idrosadenite Suppurativa è stata osservata una rapida diminuzione dei livelli di PCR (proteina C reattiva). Nei pazienti affetti dalla malattia di Crohn, è stata osservata una riduzione del numero di cellule che esprimono i marcatori infiammatori nel colon compresa una significativa riduzione dell’espressione del TNFα. Studi endoscopici della mucosa intestinale hanno evidenziato la guarigione mucosale nei pazienti trattati con adalimumab.</w:t>
      </w:r>
    </w:p>
    <w:p w:rsidR="006224C2" w:rsidRPr="00295E71" w14:paraId="161BB5B1" w14:textId="77777777">
      <w:pPr>
        <w:tabs>
          <w:tab w:val="left" w:pos="567"/>
        </w:tabs>
        <w:jc w:val="both"/>
        <w:rPr>
          <w:color w:val="000000"/>
          <w:sz w:val="22"/>
          <w:szCs w:val="22"/>
        </w:rPr>
      </w:pPr>
    </w:p>
    <w:p w:rsidR="006224C2" w:rsidRPr="00295E71" w14:paraId="40160DE2" w14:textId="77777777">
      <w:pPr>
        <w:tabs>
          <w:tab w:val="left" w:pos="567"/>
        </w:tabs>
        <w:jc w:val="both"/>
        <w:rPr>
          <w:color w:val="000000"/>
          <w:sz w:val="22"/>
          <w:szCs w:val="22"/>
          <w:u w:val="single"/>
        </w:rPr>
      </w:pPr>
      <w:r w:rsidRPr="00295E71">
        <w:rPr>
          <w:color w:val="000000"/>
          <w:sz w:val="22"/>
          <w:szCs w:val="22"/>
          <w:u w:val="single"/>
        </w:rPr>
        <w:t>Efficacia e sicurezza clinica</w:t>
      </w:r>
    </w:p>
    <w:p w:rsidR="006224C2" w:rsidRPr="00295E71" w14:paraId="291F74FD" w14:textId="77777777">
      <w:pPr>
        <w:tabs>
          <w:tab w:val="left" w:pos="567"/>
        </w:tabs>
        <w:jc w:val="both"/>
        <w:rPr>
          <w:color w:val="000000"/>
          <w:sz w:val="22"/>
          <w:szCs w:val="22"/>
          <w:u w:val="single"/>
        </w:rPr>
      </w:pPr>
    </w:p>
    <w:p w:rsidR="006224C2" w:rsidRPr="00295E71" w14:paraId="36D7D83D" w14:textId="77777777">
      <w:pPr>
        <w:tabs>
          <w:tab w:val="left" w:pos="567"/>
        </w:tabs>
        <w:jc w:val="both"/>
        <w:rPr>
          <w:i/>
          <w:sz w:val="22"/>
          <w:szCs w:val="22"/>
        </w:rPr>
      </w:pPr>
      <w:r w:rsidRPr="00295E71">
        <w:rPr>
          <w:i/>
          <w:sz w:val="22"/>
          <w:szCs w:val="22"/>
        </w:rPr>
        <w:t>Artrite reumatoide</w:t>
      </w:r>
    </w:p>
    <w:p w:rsidR="006224C2" w:rsidRPr="00295E71" w14:paraId="118F7D32" w14:textId="77777777">
      <w:pPr>
        <w:tabs>
          <w:tab w:val="left" w:pos="567"/>
        </w:tabs>
        <w:jc w:val="both"/>
        <w:rPr>
          <w:sz w:val="22"/>
          <w:szCs w:val="22"/>
        </w:rPr>
      </w:pPr>
    </w:p>
    <w:p w:rsidR="006224C2" w:rsidRPr="00295E71" w14:paraId="48C2A342" w14:textId="77777777">
      <w:pPr>
        <w:jc w:val="both"/>
        <w:rPr>
          <w:sz w:val="22"/>
          <w:szCs w:val="22"/>
        </w:rPr>
      </w:pPr>
      <w:r w:rsidRPr="00295E71">
        <w:rPr>
          <w:sz w:val="22"/>
          <w:szCs w:val="22"/>
        </w:rPr>
        <w:t>Humira è stato valutato su oltre 3.000 pazienti in tutti gli studi clinici sull’artrite reumatoide. L’efficacia e la sicurezza di Humira sono state valutate in cinque studi randomizzati, in doppio cieco e ben controllati. Alcuni pazienti sono stati sottoposti a trattamento per un periodo fino a 120 mesi. Il dolore nel sito di iniezione di Humira 40 mg/0,4 ml è stato valutato in due studi randomizzati, con controllo attivo, in singolo cieco, con due periodi di crossover.</w:t>
      </w:r>
    </w:p>
    <w:p w:rsidR="006224C2" w:rsidRPr="00295E71" w14:paraId="6DFDE860" w14:textId="77777777">
      <w:pPr>
        <w:rPr>
          <w:sz w:val="22"/>
          <w:szCs w:val="22"/>
        </w:rPr>
      </w:pPr>
    </w:p>
    <w:p w:rsidR="006224C2" w:rsidRPr="00295E71" w14:paraId="40C89D11" w14:textId="77777777">
      <w:pPr>
        <w:pStyle w:val="BodyText"/>
        <w:tabs>
          <w:tab w:val="left" w:pos="567"/>
        </w:tabs>
      </w:pPr>
      <w:r w:rsidRPr="00295E71">
        <w:t xml:space="preserve">Lo studio AR I è stato condotto su 271 pazienti di età </w:t>
      </w:r>
      <w:r w:rsidRPr="00295E71">
        <w:rPr>
          <w:rFonts w:ascii="Symbol" w:hAnsi="Symbol"/>
        </w:rPr>
        <w:sym w:font="Symbol" w:char="F0B3"/>
      </w:r>
      <w:r w:rsidRPr="00295E71">
        <w:t xml:space="preserve"> 18 anni, affetti da artrite reumatoide attiva di grado da moderato a severo, refrattari ad almeno un farmaco DMARD </w:t>
      </w:r>
      <w:r w:rsidR="005522B6">
        <w:t>e con risposta inadeguata al</w:t>
      </w:r>
      <w:r w:rsidRPr="00295E71">
        <w:t xml:space="preserve"> metotressato a dosaggi compresi tra 12,5 e 25 mg (10 mg se intolleranti al metotressato) a settimana e </w:t>
      </w:r>
      <w:r w:rsidRPr="00295E71">
        <w:t>la cui dose di metotressato è rimasta costante a 10-25 mg a settimana. Humira 20, 40 o 80 mg o placebo sono stati somministrati a settimane alterne per 24 settimane.</w:t>
      </w:r>
    </w:p>
    <w:p w:rsidR="006224C2" w:rsidRPr="00295E71" w14:paraId="6B3E681E" w14:textId="77777777">
      <w:pPr>
        <w:tabs>
          <w:tab w:val="left" w:pos="567"/>
        </w:tabs>
        <w:jc w:val="both"/>
        <w:rPr>
          <w:sz w:val="22"/>
          <w:szCs w:val="22"/>
        </w:rPr>
      </w:pPr>
    </w:p>
    <w:p w:rsidR="006224C2" w:rsidRPr="00295E71" w14:paraId="542D4A06" w14:textId="77777777">
      <w:pPr>
        <w:tabs>
          <w:tab w:val="left" w:pos="567"/>
        </w:tabs>
        <w:jc w:val="both"/>
        <w:rPr>
          <w:sz w:val="22"/>
          <w:szCs w:val="22"/>
        </w:rPr>
      </w:pPr>
      <w:r w:rsidRPr="00295E71">
        <w:rPr>
          <w:sz w:val="22"/>
          <w:szCs w:val="22"/>
        </w:rPr>
        <w:t xml:space="preserve">Nello studio AR II sono stati studiati 544 pazienti di età </w:t>
      </w:r>
      <w:r w:rsidRPr="00295E71">
        <w:rPr>
          <w:rFonts w:ascii="Symbol" w:hAnsi="Symbol"/>
          <w:sz w:val="22"/>
          <w:szCs w:val="22"/>
        </w:rPr>
        <w:sym w:font="Symbol" w:char="F0B3"/>
      </w:r>
      <w:r w:rsidRPr="00295E71">
        <w:rPr>
          <w:sz w:val="22"/>
          <w:szCs w:val="22"/>
        </w:rPr>
        <w:t xml:space="preserve"> 18 anni, affetti da artrite reumatoide attiva di grado da moderato a severo, con insufficiente risposta ad almeno un farmaco DMARD. Sono state somministrate dosi di 20 o 40 mg di Humira attraverso iniezione sottocutanea ogni due settimane con placebo a settimane alterne, o ogni settimana per 26 settimane; il placebo è stato somministrato ogni settimana per la stessa durata. Non è stato consentito l’uso di altri DMARD.</w:t>
      </w:r>
    </w:p>
    <w:p w:rsidR="006224C2" w:rsidRPr="00295E71" w14:paraId="687D9D39" w14:textId="77777777">
      <w:pPr>
        <w:tabs>
          <w:tab w:val="left" w:pos="567"/>
        </w:tabs>
        <w:jc w:val="both"/>
        <w:rPr>
          <w:sz w:val="22"/>
          <w:szCs w:val="22"/>
        </w:rPr>
      </w:pPr>
    </w:p>
    <w:p w:rsidR="006224C2" w:rsidRPr="00295E71" w14:paraId="360573C4" w14:textId="77777777">
      <w:pPr>
        <w:rPr>
          <w:sz w:val="22"/>
          <w:szCs w:val="22"/>
        </w:rPr>
      </w:pPr>
      <w:r w:rsidRPr="00295E71">
        <w:rPr>
          <w:sz w:val="22"/>
          <w:szCs w:val="22"/>
        </w:rPr>
        <w:t xml:space="preserve">Allo studio AR III hanno partecipato 619 pazienti, di età </w:t>
      </w:r>
      <w:r w:rsidRPr="00295E71">
        <w:rPr>
          <w:rFonts w:ascii="Symbol" w:hAnsi="Symbol"/>
          <w:sz w:val="22"/>
          <w:szCs w:val="22"/>
        </w:rPr>
        <w:sym w:font="Symbol" w:char="F0B3"/>
      </w:r>
      <w:r w:rsidRPr="00295E71">
        <w:rPr>
          <w:sz w:val="22"/>
          <w:szCs w:val="22"/>
        </w:rPr>
        <w:t xml:space="preserve"> 18 anni, con artrite reumatoide attiva di grado da moderato a severo con inadeguata risposta alla terapia con metotressato a dosaggi compresi tra 12,5 e 25 mg, o intolleranti a 10 mg di metotressato ogni settimana. In questo studio sono stati costituiti 3 gruppi. Il primo ha ricevuto iniezioni di placebo ogni settimana per 52 settimane. Il secondo ha ricevuto 20 mg di Humira a settimana per 52 settimane, mentre il terzo ha ricevuto 40 mg di Humira ogni due settimane e iniezioni di placebo a settimane alterne. Al completamento delle prime 52 settimane, 457 pazienti sono stati arruolati in una fase di estensione in aperto in cui Humira/MTX è stato somministrato alla dose di 40 mg a settimane alterne fino a 10 anni</w:t>
      </w:r>
      <w:r w:rsidRPr="00295E71">
        <w:rPr>
          <w:sz w:val="22"/>
          <w:szCs w:val="22"/>
          <w:lang w:eastAsia="en-US"/>
        </w:rPr>
        <w:t>.</w:t>
      </w:r>
    </w:p>
    <w:p w:rsidR="006224C2" w:rsidRPr="00295E71" w14:paraId="0A36FACD" w14:textId="77777777">
      <w:pPr>
        <w:rPr>
          <w:sz w:val="22"/>
          <w:szCs w:val="22"/>
        </w:rPr>
      </w:pPr>
    </w:p>
    <w:p w:rsidR="006224C2" w:rsidRPr="00295E71" w14:paraId="7A4040B8" w14:textId="77777777">
      <w:pPr>
        <w:rPr>
          <w:sz w:val="22"/>
          <w:szCs w:val="22"/>
        </w:rPr>
      </w:pPr>
      <w:r w:rsidRPr="00295E71">
        <w:rPr>
          <w:sz w:val="22"/>
          <w:szCs w:val="22"/>
          <w:lang w:eastAsia="en-US"/>
        </w:rPr>
        <w:t xml:space="preserve">Lo </w:t>
      </w:r>
      <w:r w:rsidRPr="00295E71">
        <w:rPr>
          <w:sz w:val="22"/>
          <w:szCs w:val="22"/>
        </w:rPr>
        <w:t xml:space="preserve">studio AR IV ha valutato in primo luogo la sicurezza di Humira in 636 pazienti con artrite reumatoide attiva di grado da moderato a severo e con età </w:t>
      </w:r>
      <w:r w:rsidRPr="00295E71">
        <w:rPr>
          <w:rFonts w:ascii="Symbol" w:hAnsi="Symbol"/>
          <w:sz w:val="22"/>
          <w:szCs w:val="22"/>
        </w:rPr>
        <w:sym w:font="Symbol" w:char="F0B3"/>
      </w:r>
      <w:r w:rsidRPr="00295E71">
        <w:rPr>
          <w:sz w:val="22"/>
          <w:szCs w:val="22"/>
        </w:rPr>
        <w:t> 18 anni. La popolazione studiata era costituita sia da pazienti mai trattati con DMARD, sia da pazienti che avevano continuato la terapia anti-reumatica preesistente a condizione che questa fosse stabile da un minimo di 28 giorni. Queste terapie includono metotressato, leflunomide, idrossiclorochina, sulfasalazina e/o sali d’oro. I pazienti sono stati randomizzati per ricevere 40 mg di Humira o placebo ogni due settimane per 24 settimane</w:t>
      </w:r>
      <w:r w:rsidRPr="00295E71">
        <w:rPr>
          <w:sz w:val="22"/>
          <w:szCs w:val="22"/>
          <w:lang w:eastAsia="en-US"/>
        </w:rPr>
        <w:t>.</w:t>
      </w:r>
    </w:p>
    <w:p w:rsidR="006224C2" w:rsidRPr="00295E71" w14:paraId="0DFFC02B" w14:textId="77777777">
      <w:pPr>
        <w:rPr>
          <w:sz w:val="22"/>
          <w:szCs w:val="22"/>
        </w:rPr>
      </w:pPr>
    </w:p>
    <w:p w:rsidR="006224C2" w:rsidRPr="00295E71" w14:paraId="277BE5B3" w14:textId="77777777">
      <w:pPr>
        <w:rPr>
          <w:sz w:val="22"/>
          <w:szCs w:val="22"/>
        </w:rPr>
      </w:pPr>
      <w:r w:rsidRPr="00295E71">
        <w:rPr>
          <w:sz w:val="22"/>
          <w:szCs w:val="22"/>
          <w:lang w:eastAsia="en-US"/>
        </w:rPr>
        <w:t xml:space="preserve">Lo </w:t>
      </w:r>
      <w:r w:rsidRPr="00295E71">
        <w:rPr>
          <w:sz w:val="22"/>
          <w:szCs w:val="22"/>
        </w:rPr>
        <w:t>studio AR V ha valutato 799 pazienti adulti mai trattati in precedenza con metotressato ed affetti da artrite reumatoide precoce attiva di grado moderato-grave (durata media della malattia inferiore a 9 mesi). Questo studio ha valutato l’efficacia di 40 mg di Humira somministrato a settimane alterne in terapia associata con il metotressato, di 40 mg di Humira somministrato in monoterapia a settimane alterne e di metotressato in monoterapia nella riduzione dei segni e sintomi di malattia e dell’indice di progressione del danno articolare causato dall’artrite reumatoide per 104 settimane. Al completamento delle prime 104 settimane, 497 pazienti sono stati arruolati in una fase di estensione in aperto in cui Humira è stato somministrato alla dose di 40 mg a settimane alterne fino a 10 anni.</w:t>
      </w:r>
    </w:p>
    <w:p w:rsidR="006224C2" w:rsidRPr="00295E71" w14:paraId="5727C0B8" w14:textId="77777777">
      <w:pPr>
        <w:tabs>
          <w:tab w:val="left" w:pos="567"/>
        </w:tabs>
        <w:jc w:val="both"/>
        <w:rPr>
          <w:sz w:val="22"/>
          <w:szCs w:val="22"/>
        </w:rPr>
      </w:pPr>
    </w:p>
    <w:p w:rsidR="006224C2" w:rsidRPr="00295E71" w14:paraId="2B1931A1" w14:textId="77777777">
      <w:pPr>
        <w:tabs>
          <w:tab w:val="left" w:pos="567"/>
        </w:tabs>
        <w:jc w:val="both"/>
        <w:rPr>
          <w:sz w:val="22"/>
          <w:szCs w:val="22"/>
        </w:rPr>
      </w:pPr>
      <w:r w:rsidRPr="00295E71">
        <w:rPr>
          <w:sz w:val="22"/>
          <w:szCs w:val="22"/>
        </w:rPr>
        <w:t>Gli studi AR VI e VII hanno valutato ciascuno 60 pazienti con artrite reumatoide attiva di grado da moderato a grave con età ≥ 18 anni. I pazienti arruolati utilizzavano sia Humira 40 mg/0,8 ml e valutarono il dolore medio al sito di iniezione come una superficie di almeno 3 cm (su una scala VAS da 0-10 cm) oppure erano soggetti naive al trattamento con farmaco biologico che stavano iniziando il trattamento con Humira 40 mg/0,8 ml. I pazienti erano randomizzati a ricevere una singola dose di Humira 40 mg/0,8 ml oppure di Humira 40 mg/0,4 ml, seguita da una singola iniezione del trattamento alternativo alla dose successiva.</w:t>
      </w:r>
    </w:p>
    <w:p w:rsidR="006224C2" w:rsidRPr="00295E71" w14:paraId="0091BEB7" w14:textId="77777777">
      <w:pPr>
        <w:tabs>
          <w:tab w:val="left" w:pos="567"/>
        </w:tabs>
        <w:jc w:val="both"/>
        <w:rPr>
          <w:sz w:val="22"/>
          <w:szCs w:val="22"/>
        </w:rPr>
      </w:pPr>
    </w:p>
    <w:p w:rsidR="006224C2" w:rsidRPr="00295E71" w14:paraId="724E220F" w14:textId="77777777">
      <w:pPr>
        <w:jc w:val="both"/>
        <w:rPr>
          <w:sz w:val="22"/>
          <w:szCs w:val="22"/>
        </w:rPr>
      </w:pPr>
      <w:r w:rsidRPr="00295E71">
        <w:rPr>
          <w:sz w:val="22"/>
          <w:szCs w:val="22"/>
        </w:rPr>
        <w:t>L’</w:t>
      </w:r>
      <w:r w:rsidRPr="00020442" w:rsidR="005522B6">
        <w:rPr>
          <w:sz w:val="22"/>
          <w:szCs w:val="22"/>
        </w:rPr>
        <w:t>endpoint</w:t>
      </w:r>
      <w:r w:rsidRPr="00295E71">
        <w:rPr>
          <w:sz w:val="22"/>
          <w:szCs w:val="22"/>
        </w:rPr>
        <w:t xml:space="preserve"> primario degli studi AR I, II, III, e secondario dello studio AR IV, era la valutazione della percentuale di pazienti che raggiungeva una risposta ACR 20 alla settimana 24 o 26. L’</w:t>
      </w:r>
      <w:r w:rsidRPr="00020442" w:rsidR="005522B6">
        <w:rPr>
          <w:sz w:val="22"/>
          <w:szCs w:val="22"/>
        </w:rPr>
        <w:t>endpoint</w:t>
      </w:r>
      <w:r w:rsidR="005522B6">
        <w:rPr>
          <w:sz w:val="22"/>
          <w:szCs w:val="22"/>
        </w:rPr>
        <w:t xml:space="preserve"> </w:t>
      </w:r>
      <w:r w:rsidR="00D05E20">
        <w:rPr>
          <w:sz w:val="22"/>
          <w:szCs w:val="22"/>
        </w:rPr>
        <w:t xml:space="preserve"> </w:t>
      </w:r>
      <w:r w:rsidRPr="00295E71">
        <w:rPr>
          <w:sz w:val="22"/>
          <w:szCs w:val="22"/>
        </w:rPr>
        <w:t xml:space="preserve">primario dello studio AR V era la valutazione della percentuale di pazienti che raggiungeva una risposta ACR 50 alla settimana 52. Inoltre, gli studi AR III e V avevano </w:t>
      </w:r>
      <w:r w:rsidRPr="00020442" w:rsidR="005522B6">
        <w:rPr>
          <w:sz w:val="22"/>
          <w:szCs w:val="22"/>
        </w:rPr>
        <w:t xml:space="preserve">un ulteriore endpoint primario rappresentato dal ritardo </w:t>
      </w:r>
      <w:r w:rsidRPr="00295E71">
        <w:rPr>
          <w:sz w:val="22"/>
          <w:szCs w:val="22"/>
        </w:rPr>
        <w:t xml:space="preserve"> della progressione di malattia (attraverso gli esami radiografici) alla settimana 52. Lo studio AR III aveva anche l’</w:t>
      </w:r>
      <w:r w:rsidRPr="00020442" w:rsidR="005522B6">
        <w:rPr>
          <w:sz w:val="22"/>
          <w:szCs w:val="22"/>
        </w:rPr>
        <w:t>endpoint</w:t>
      </w:r>
      <w:r w:rsidRPr="00295E71">
        <w:rPr>
          <w:sz w:val="22"/>
          <w:szCs w:val="22"/>
        </w:rPr>
        <w:t xml:space="preserve"> primario di </w:t>
      </w:r>
      <w:r w:rsidR="00A40A02">
        <w:rPr>
          <w:sz w:val="22"/>
          <w:szCs w:val="22"/>
        </w:rPr>
        <w:t>variazione</w:t>
      </w:r>
      <w:r w:rsidRPr="00295E71">
        <w:rPr>
          <w:sz w:val="22"/>
          <w:szCs w:val="22"/>
        </w:rPr>
        <w:t xml:space="preserve"> della qualità di vita. L’endpoint primario negli studi RA VI e VII era rappresentato dal dolore al sito di iniezione immediatamente dopo l’iniezione misurato dalla scala VAS da 0-10 cm</w:t>
      </w:r>
      <w:r w:rsidRPr="00295E71">
        <w:rPr>
          <w:sz w:val="22"/>
          <w:szCs w:val="22"/>
          <w:lang w:eastAsia="en-US"/>
        </w:rPr>
        <w:t>.</w:t>
      </w:r>
    </w:p>
    <w:p w:rsidR="006224C2" w:rsidRPr="00295E71" w14:paraId="3A7D8067" w14:textId="77777777">
      <w:pPr>
        <w:rPr>
          <w:sz w:val="22"/>
          <w:szCs w:val="22"/>
        </w:rPr>
      </w:pPr>
    </w:p>
    <w:p w:rsidR="006224C2" w:rsidRPr="00295E71" w:rsidP="00986889" w14:paraId="7BB3C475" w14:textId="77777777">
      <w:pPr>
        <w:pStyle w:val="Heading7"/>
        <w:spacing w:line="240" w:lineRule="auto"/>
        <w:rPr>
          <w:iCs w:val="0"/>
          <w:u w:val="single"/>
          <w:lang w:val="it-IT"/>
        </w:rPr>
      </w:pPr>
      <w:r w:rsidRPr="00295E71">
        <w:rPr>
          <w:u w:val="single"/>
          <w:lang w:val="it-IT"/>
        </w:rPr>
        <w:t xml:space="preserve">Risposta </w:t>
      </w:r>
      <w:r w:rsidRPr="00295E71">
        <w:rPr>
          <w:iCs w:val="0"/>
          <w:u w:val="single"/>
          <w:lang w:val="it-IT"/>
        </w:rPr>
        <w:t>ACR</w:t>
      </w:r>
    </w:p>
    <w:p w:rsidR="006224C2" w:rsidRPr="00295E71" w:rsidP="00986889" w14:paraId="3A84C2ED" w14:textId="77777777">
      <w:pPr>
        <w:keepNext/>
        <w:tabs>
          <w:tab w:val="left" w:pos="567"/>
        </w:tabs>
        <w:jc w:val="both"/>
        <w:rPr>
          <w:sz w:val="22"/>
          <w:szCs w:val="22"/>
        </w:rPr>
      </w:pPr>
    </w:p>
    <w:p w:rsidR="006224C2" w:rsidRPr="00295E71" w14:paraId="1236D2D8" w14:textId="77777777">
      <w:pPr>
        <w:tabs>
          <w:tab w:val="left" w:pos="567"/>
        </w:tabs>
        <w:jc w:val="both"/>
        <w:rPr>
          <w:sz w:val="22"/>
          <w:szCs w:val="22"/>
        </w:rPr>
      </w:pPr>
      <w:r w:rsidRPr="00295E71">
        <w:rPr>
          <w:sz w:val="22"/>
          <w:szCs w:val="22"/>
        </w:rPr>
        <w:t xml:space="preserve">Le percentuali di pazienti trattati con Humira che hanno raggiunto risposte ACR 20, 50 e 70 erano sovrapponibili negli studi AR I, II e III. I risultati relativi al trattamento con 40 mg ogni due settimane sono riassunti nella Tabella </w:t>
      </w:r>
      <w:r w:rsidR="0062664F">
        <w:rPr>
          <w:sz w:val="22"/>
          <w:szCs w:val="22"/>
        </w:rPr>
        <w:t>8</w:t>
      </w:r>
      <w:r w:rsidRPr="00295E71">
        <w:rPr>
          <w:sz w:val="22"/>
          <w:szCs w:val="22"/>
        </w:rPr>
        <w:t>.</w:t>
      </w:r>
    </w:p>
    <w:p w:rsidR="006224C2" w:rsidRPr="00295E71" w14:paraId="5C436CA7" w14:textId="77777777">
      <w:pPr>
        <w:tabs>
          <w:tab w:val="left" w:pos="567"/>
        </w:tabs>
        <w:jc w:val="both"/>
        <w:rPr>
          <w:sz w:val="22"/>
          <w:szCs w:val="22"/>
        </w:rPr>
      </w:pPr>
    </w:p>
    <w:tbl>
      <w:tblPr>
        <w:tblW w:w="9549" w:type="dxa"/>
        <w:tblInd w:w="98" w:type="dxa"/>
        <w:tblLayout w:type="fixed"/>
        <w:tblCellMar>
          <w:left w:w="0" w:type="dxa"/>
          <w:right w:w="0" w:type="dxa"/>
        </w:tblCellMar>
        <w:tblLook w:val="0000"/>
      </w:tblPr>
      <w:tblGrid>
        <w:gridCol w:w="1046"/>
        <w:gridCol w:w="1363"/>
        <w:gridCol w:w="1387"/>
        <w:gridCol w:w="1049"/>
        <w:gridCol w:w="1172"/>
        <w:gridCol w:w="1388"/>
        <w:gridCol w:w="1942"/>
        <w:gridCol w:w="202"/>
      </w:tblGrid>
      <w:tr w14:paraId="40CE142E" w14:textId="77777777">
        <w:tblPrEx>
          <w:tblW w:w="9549" w:type="dxa"/>
          <w:tblInd w:w="98" w:type="dxa"/>
          <w:tblLayout w:type="fixed"/>
          <w:tblLook w:val="0000"/>
        </w:tblPrEx>
        <w:tc>
          <w:tcPr>
            <w:tcW w:w="9549" w:type="dxa"/>
            <w:gridSpan w:val="8"/>
          </w:tcPr>
          <w:p w:rsidR="006224C2" w:rsidRPr="00295E71" w:rsidP="003B3A5A" w14:paraId="21AC27C0" w14:textId="77777777">
            <w:pPr>
              <w:pStyle w:val="BodyText1"/>
              <w:keepNext/>
              <w:tabs>
                <w:tab w:val="left" w:pos="567"/>
                <w:tab w:val="clear" w:pos="1152"/>
                <w:tab w:val="clear" w:pos="1872"/>
              </w:tabs>
              <w:spacing w:after="0" w:line="240" w:lineRule="auto"/>
              <w:ind w:left="0"/>
              <w:jc w:val="center"/>
              <w:rPr>
                <w:b/>
                <w:bCs/>
                <w:sz w:val="22"/>
                <w:szCs w:val="22"/>
                <w:lang w:val="it-IT"/>
              </w:rPr>
            </w:pPr>
            <w:r w:rsidRPr="00295E71">
              <w:rPr>
                <w:sz w:val="22"/>
                <w:szCs w:val="22"/>
                <w:lang w:val="it-IT"/>
              </w:rPr>
              <w:br w:type="page"/>
            </w:r>
            <w:r w:rsidRPr="00295E71">
              <w:rPr>
                <w:b/>
                <w:bCs/>
                <w:sz w:val="22"/>
                <w:szCs w:val="22"/>
                <w:lang w:val="it-IT"/>
              </w:rPr>
              <w:t xml:space="preserve">Tabella </w:t>
            </w:r>
            <w:r w:rsidR="0062664F">
              <w:rPr>
                <w:b/>
                <w:bCs/>
                <w:sz w:val="22"/>
                <w:szCs w:val="22"/>
                <w:lang w:val="it-IT"/>
              </w:rPr>
              <w:t>8</w:t>
            </w:r>
          </w:p>
          <w:p w:rsidR="006224C2" w:rsidRPr="00295E71" w:rsidP="003B3A5A" w14:paraId="647DA57F" w14:textId="77777777">
            <w:pPr>
              <w:pStyle w:val="BodyText1"/>
              <w:keepNext/>
              <w:tabs>
                <w:tab w:val="left" w:pos="567"/>
                <w:tab w:val="clear" w:pos="1152"/>
                <w:tab w:val="clear" w:pos="1872"/>
              </w:tabs>
              <w:spacing w:after="0" w:line="240" w:lineRule="auto"/>
              <w:ind w:left="0"/>
              <w:jc w:val="center"/>
              <w:rPr>
                <w:b/>
                <w:bCs/>
                <w:sz w:val="22"/>
                <w:szCs w:val="22"/>
                <w:lang w:val="it-IT"/>
              </w:rPr>
            </w:pPr>
            <w:r w:rsidRPr="00295E71">
              <w:rPr>
                <w:b/>
                <w:bCs/>
                <w:sz w:val="22"/>
                <w:szCs w:val="22"/>
                <w:lang w:val="it-IT"/>
              </w:rPr>
              <w:t>Risposte ACR negli studi clinici controllati con placebo</w:t>
            </w:r>
          </w:p>
          <w:p w:rsidR="006224C2" w:rsidRPr="00295E71" w:rsidP="003B3A5A" w14:paraId="4342F48B" w14:textId="77777777">
            <w:pPr>
              <w:pStyle w:val="BodyText1"/>
              <w:keepNext/>
              <w:tabs>
                <w:tab w:val="left" w:pos="567"/>
                <w:tab w:val="clear" w:pos="1152"/>
                <w:tab w:val="clear" w:pos="1872"/>
              </w:tabs>
              <w:spacing w:after="0" w:line="240" w:lineRule="auto"/>
              <w:ind w:left="0"/>
              <w:jc w:val="center"/>
              <w:rPr>
                <w:b/>
                <w:bCs/>
                <w:sz w:val="22"/>
                <w:szCs w:val="22"/>
                <w:lang w:val="it-IT"/>
              </w:rPr>
            </w:pPr>
            <w:r w:rsidRPr="00295E71">
              <w:rPr>
                <w:b/>
                <w:bCs/>
                <w:sz w:val="22"/>
                <w:szCs w:val="22"/>
                <w:lang w:val="it-IT"/>
              </w:rPr>
              <w:t>(percentuale di pazienti)</w:t>
            </w:r>
          </w:p>
          <w:p w:rsidR="006224C2" w:rsidRPr="00295E71" w:rsidP="003B3A5A" w14:paraId="7AAC588D" w14:textId="77777777">
            <w:pPr>
              <w:pStyle w:val="BodyText1"/>
              <w:keepNext/>
              <w:tabs>
                <w:tab w:val="left" w:pos="567"/>
                <w:tab w:val="clear" w:pos="1152"/>
                <w:tab w:val="clear" w:pos="1872"/>
              </w:tabs>
              <w:spacing w:after="0" w:line="240" w:lineRule="auto"/>
              <w:ind w:left="0"/>
              <w:jc w:val="center"/>
              <w:rPr>
                <w:sz w:val="22"/>
                <w:szCs w:val="22"/>
                <w:lang w:val="it-IT"/>
              </w:rPr>
            </w:pPr>
          </w:p>
        </w:tc>
      </w:tr>
      <w:tr w14:paraId="26F6CBFD" w14:textId="77777777">
        <w:tblPrEx>
          <w:tblW w:w="9549" w:type="dxa"/>
          <w:tblInd w:w="98" w:type="dxa"/>
          <w:tblLayout w:type="fixed"/>
          <w:tblLook w:val="0000"/>
        </w:tblPrEx>
        <w:trPr>
          <w:cantSplit/>
        </w:trPr>
        <w:tc>
          <w:tcPr>
            <w:tcW w:w="1046" w:type="dxa"/>
            <w:tcBorders>
              <w:top w:val="single" w:sz="6" w:space="0" w:color="auto"/>
              <w:right w:val="single" w:sz="6" w:space="0" w:color="auto"/>
            </w:tcBorders>
          </w:tcPr>
          <w:p w:rsidR="006224C2" w:rsidRPr="00295E71" w14:paraId="3CE90566" w14:textId="77777777">
            <w:pPr>
              <w:pStyle w:val="In-texttable"/>
              <w:keepNext w:val="0"/>
              <w:tabs>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Risposta</w:t>
            </w:r>
          </w:p>
        </w:tc>
        <w:tc>
          <w:tcPr>
            <w:tcW w:w="2750" w:type="dxa"/>
            <w:gridSpan w:val="2"/>
            <w:tcBorders>
              <w:top w:val="single" w:sz="6" w:space="0" w:color="auto"/>
              <w:left w:val="single" w:sz="6" w:space="0" w:color="auto"/>
              <w:bottom w:val="single" w:sz="6" w:space="0" w:color="auto"/>
              <w:right w:val="single" w:sz="6" w:space="0" w:color="auto"/>
            </w:tcBorders>
          </w:tcPr>
          <w:p w:rsidR="006224C2" w:rsidRPr="00295E71" w14:paraId="5280E7FB"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studio AR I</w:t>
            </w: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w:t>
            </w:r>
          </w:p>
        </w:tc>
        <w:tc>
          <w:tcPr>
            <w:tcW w:w="2221" w:type="dxa"/>
            <w:gridSpan w:val="2"/>
            <w:tcBorders>
              <w:top w:val="single" w:sz="6" w:space="0" w:color="auto"/>
              <w:left w:val="single" w:sz="6" w:space="0" w:color="auto"/>
              <w:bottom w:val="single" w:sz="6" w:space="0" w:color="auto"/>
              <w:right w:val="single" w:sz="6" w:space="0" w:color="auto"/>
            </w:tcBorders>
          </w:tcPr>
          <w:p w:rsidR="006224C2" w:rsidRPr="00295E71" w14:paraId="36505E6D"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studio AR II</w:t>
            </w: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w:t>
            </w:r>
          </w:p>
        </w:tc>
        <w:tc>
          <w:tcPr>
            <w:tcW w:w="3532" w:type="dxa"/>
            <w:gridSpan w:val="3"/>
            <w:tcBorders>
              <w:top w:val="single" w:sz="6" w:space="0" w:color="auto"/>
              <w:left w:val="single" w:sz="6" w:space="0" w:color="auto"/>
              <w:bottom w:val="single" w:sz="6" w:space="0" w:color="auto"/>
            </w:tcBorders>
          </w:tcPr>
          <w:p w:rsidR="006224C2" w:rsidRPr="00295E71" w:rsidP="003B3A5A" w14:paraId="4443580F" w14:textId="77777777">
            <w:pPr>
              <w:pStyle w:val="In-texttable"/>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studio AR III</w:t>
            </w: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w:t>
            </w:r>
          </w:p>
          <w:p w:rsidR="006224C2" w:rsidRPr="00295E71" w:rsidP="003B3A5A" w14:paraId="669616D5" w14:textId="77777777">
            <w:pPr>
              <w:pStyle w:val="In-texttable"/>
              <w:tabs>
                <w:tab w:val="left" w:pos="567"/>
              </w:tabs>
              <w:spacing w:line="240" w:lineRule="auto"/>
              <w:jc w:val="center"/>
              <w:rPr>
                <w:rFonts w:ascii="Times New Roman" w:hAnsi="Times New Roman" w:cs="Times New Roman"/>
                <w:sz w:val="22"/>
                <w:szCs w:val="22"/>
                <w:lang w:val="it-IT"/>
              </w:rPr>
            </w:pPr>
          </w:p>
        </w:tc>
      </w:tr>
      <w:tr w14:paraId="370FC7D8" w14:textId="77777777">
        <w:tblPrEx>
          <w:tblW w:w="9549" w:type="dxa"/>
          <w:tblInd w:w="98" w:type="dxa"/>
          <w:tblLayout w:type="fixed"/>
          <w:tblLook w:val="0000"/>
        </w:tblPrEx>
        <w:trPr>
          <w:cantSplit/>
        </w:trPr>
        <w:tc>
          <w:tcPr>
            <w:tcW w:w="1046" w:type="dxa"/>
            <w:tcBorders>
              <w:bottom w:val="single" w:sz="6" w:space="0" w:color="auto"/>
              <w:right w:val="single" w:sz="6" w:space="0" w:color="auto"/>
            </w:tcBorders>
          </w:tcPr>
          <w:p w:rsidR="006224C2" w:rsidRPr="00295E71" w14:paraId="64FC5DE2" w14:textId="77777777">
            <w:pPr>
              <w:pStyle w:val="In-texttable"/>
              <w:keepNext w:val="0"/>
              <w:tabs>
                <w:tab w:val="left" w:pos="567"/>
              </w:tabs>
              <w:spacing w:line="240" w:lineRule="auto"/>
              <w:rPr>
                <w:rFonts w:ascii="Times New Roman" w:hAnsi="Times New Roman" w:cs="Times New Roman"/>
                <w:sz w:val="22"/>
                <w:szCs w:val="22"/>
                <w:lang w:val="it-IT"/>
              </w:rPr>
            </w:pPr>
          </w:p>
        </w:tc>
        <w:tc>
          <w:tcPr>
            <w:tcW w:w="1363" w:type="dxa"/>
            <w:tcBorders>
              <w:top w:val="single" w:sz="6" w:space="0" w:color="auto"/>
              <w:left w:val="single" w:sz="6" w:space="0" w:color="auto"/>
              <w:bottom w:val="single" w:sz="6" w:space="0" w:color="auto"/>
            </w:tcBorders>
          </w:tcPr>
          <w:p w:rsidR="006224C2" w:rsidRPr="00295E71" w14:paraId="40AA910D"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Placebo/</w:t>
            </w:r>
          </w:p>
          <w:p w:rsidR="006224C2" w:rsidRPr="00295E71" w14:paraId="6A8B736A"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 xml:space="preserve"> MTX</w:t>
            </w:r>
            <w:r w:rsidRPr="00295E71">
              <w:rPr>
                <w:rFonts w:ascii="Times New Roman" w:hAnsi="Times New Roman" w:cs="Times New Roman"/>
                <w:sz w:val="22"/>
                <w:szCs w:val="22"/>
                <w:vertAlign w:val="superscript"/>
                <w:lang w:val="it-IT"/>
              </w:rPr>
              <w:t>c</w:t>
            </w:r>
          </w:p>
          <w:p w:rsidR="006224C2" w:rsidRPr="00295E71" w14:paraId="02D7A598"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n=60</w:t>
            </w:r>
          </w:p>
        </w:tc>
        <w:tc>
          <w:tcPr>
            <w:tcW w:w="1387" w:type="dxa"/>
            <w:tcBorders>
              <w:top w:val="single" w:sz="6" w:space="0" w:color="auto"/>
              <w:bottom w:val="single" w:sz="6" w:space="0" w:color="auto"/>
              <w:right w:val="single" w:sz="6" w:space="0" w:color="auto"/>
            </w:tcBorders>
          </w:tcPr>
          <w:p w:rsidR="006224C2" w:rsidRPr="00295E71" w14:paraId="25F863E7"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 MTX</w:t>
            </w:r>
            <w:r w:rsidRPr="00295E71">
              <w:rPr>
                <w:rFonts w:ascii="Times New Roman" w:hAnsi="Times New Roman" w:cs="Times New Roman"/>
                <w:sz w:val="22"/>
                <w:szCs w:val="22"/>
                <w:vertAlign w:val="superscript"/>
                <w:lang w:val="it-IT"/>
              </w:rPr>
              <w:t>c</w:t>
            </w:r>
          </w:p>
          <w:p w:rsidR="006224C2" w:rsidRPr="00295E71" w14:paraId="451D6ACA"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n=63</w:t>
            </w:r>
          </w:p>
        </w:tc>
        <w:tc>
          <w:tcPr>
            <w:tcW w:w="1049" w:type="dxa"/>
            <w:tcBorders>
              <w:top w:val="single" w:sz="6" w:space="0" w:color="auto"/>
              <w:left w:val="single" w:sz="6" w:space="0" w:color="auto"/>
              <w:bottom w:val="single" w:sz="6" w:space="0" w:color="auto"/>
            </w:tcBorders>
          </w:tcPr>
          <w:p w:rsidR="006224C2" w:rsidRPr="00295E71" w14:paraId="14969802"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Placebo</w:t>
            </w:r>
          </w:p>
          <w:p w:rsidR="006224C2" w:rsidRPr="00295E71" w14:paraId="70524949"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n=110</w:t>
            </w:r>
          </w:p>
        </w:tc>
        <w:tc>
          <w:tcPr>
            <w:tcW w:w="1172" w:type="dxa"/>
            <w:tcBorders>
              <w:top w:val="single" w:sz="6" w:space="0" w:color="auto"/>
              <w:bottom w:val="single" w:sz="6" w:space="0" w:color="auto"/>
              <w:right w:val="single" w:sz="6" w:space="0" w:color="auto"/>
            </w:tcBorders>
          </w:tcPr>
          <w:p w:rsidR="006224C2" w:rsidRPr="00295E71" w14:paraId="1FD25714"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r w:rsidRPr="00295E71">
              <w:rPr>
                <w:rFonts w:ascii="Times New Roman" w:hAnsi="Times New Roman" w:cs="Times New Roman"/>
                <w:sz w:val="22"/>
                <w:szCs w:val="22"/>
                <w:vertAlign w:val="superscript"/>
                <w:lang w:val="it-IT"/>
              </w:rPr>
              <w:t>b</w:t>
            </w:r>
          </w:p>
          <w:p w:rsidR="006224C2" w:rsidRPr="00295E71" w14:paraId="636360EC"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n=113</w:t>
            </w:r>
          </w:p>
        </w:tc>
        <w:tc>
          <w:tcPr>
            <w:tcW w:w="1388" w:type="dxa"/>
            <w:tcBorders>
              <w:top w:val="single" w:sz="6" w:space="0" w:color="auto"/>
              <w:left w:val="single" w:sz="6" w:space="0" w:color="auto"/>
              <w:bottom w:val="single" w:sz="6" w:space="0" w:color="auto"/>
            </w:tcBorders>
          </w:tcPr>
          <w:p w:rsidR="006224C2" w:rsidRPr="00295E71" w14:paraId="768A2296"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Placebo/ MTX</w:t>
            </w:r>
            <w:r w:rsidRPr="00295E71">
              <w:rPr>
                <w:rFonts w:ascii="Times New Roman" w:hAnsi="Times New Roman" w:cs="Times New Roman"/>
                <w:sz w:val="22"/>
                <w:szCs w:val="22"/>
                <w:vertAlign w:val="superscript"/>
                <w:lang w:val="it-IT"/>
              </w:rPr>
              <w:t>c</w:t>
            </w:r>
          </w:p>
          <w:p w:rsidR="006224C2" w:rsidRPr="00295E71" w14:paraId="2C5DC111"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n=200</w:t>
            </w:r>
          </w:p>
        </w:tc>
        <w:tc>
          <w:tcPr>
            <w:tcW w:w="2144" w:type="dxa"/>
            <w:gridSpan w:val="2"/>
            <w:tcBorders>
              <w:top w:val="single" w:sz="6" w:space="0" w:color="auto"/>
              <w:bottom w:val="single" w:sz="6" w:space="0" w:color="auto"/>
            </w:tcBorders>
          </w:tcPr>
          <w:p w:rsidR="006224C2" w:rsidRPr="00295E71" w14:paraId="23C4644C"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 MTX</w:t>
            </w:r>
            <w:r w:rsidRPr="00295E71">
              <w:rPr>
                <w:rFonts w:ascii="Times New Roman" w:hAnsi="Times New Roman" w:cs="Times New Roman"/>
                <w:sz w:val="22"/>
                <w:szCs w:val="22"/>
                <w:vertAlign w:val="superscript"/>
                <w:lang w:val="it-IT"/>
              </w:rPr>
              <w:t>c</w:t>
            </w:r>
          </w:p>
          <w:p w:rsidR="006224C2" w:rsidRPr="00295E71" w14:paraId="40487726"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n=207</w:t>
            </w:r>
          </w:p>
        </w:tc>
      </w:tr>
      <w:tr w14:paraId="2569F3C2" w14:textId="77777777">
        <w:tblPrEx>
          <w:tblW w:w="9549" w:type="dxa"/>
          <w:tblInd w:w="98" w:type="dxa"/>
          <w:tblLayout w:type="fixed"/>
          <w:tblLook w:val="0000"/>
        </w:tblPrEx>
        <w:trPr>
          <w:cantSplit/>
        </w:trPr>
        <w:tc>
          <w:tcPr>
            <w:tcW w:w="1046" w:type="dxa"/>
            <w:tcBorders>
              <w:right w:val="single" w:sz="6" w:space="0" w:color="auto"/>
            </w:tcBorders>
          </w:tcPr>
          <w:p w:rsidR="006224C2" w:rsidRPr="00295E71" w14:paraId="7372778B"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ACR 20</w:t>
            </w:r>
          </w:p>
        </w:tc>
        <w:tc>
          <w:tcPr>
            <w:tcW w:w="1363" w:type="dxa"/>
            <w:tcBorders>
              <w:left w:val="single" w:sz="6" w:space="0" w:color="auto"/>
            </w:tcBorders>
          </w:tcPr>
          <w:p w:rsidR="006224C2" w:rsidRPr="00295E71" w14:paraId="0960F3AE"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387" w:type="dxa"/>
            <w:tcBorders>
              <w:right w:val="single" w:sz="6" w:space="0" w:color="auto"/>
            </w:tcBorders>
          </w:tcPr>
          <w:p w:rsidR="006224C2" w:rsidRPr="00295E71" w14:paraId="67710824"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049" w:type="dxa"/>
            <w:tcBorders>
              <w:left w:val="single" w:sz="6" w:space="0" w:color="auto"/>
            </w:tcBorders>
          </w:tcPr>
          <w:p w:rsidR="006224C2" w:rsidRPr="00295E71" w14:paraId="7652342D"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172" w:type="dxa"/>
            <w:tcBorders>
              <w:right w:val="single" w:sz="6" w:space="0" w:color="auto"/>
            </w:tcBorders>
          </w:tcPr>
          <w:p w:rsidR="006224C2" w:rsidRPr="00295E71" w14:paraId="4AA8A027"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388" w:type="dxa"/>
            <w:tcBorders>
              <w:top w:val="single" w:sz="6" w:space="0" w:color="auto"/>
              <w:left w:val="single" w:sz="6" w:space="0" w:color="auto"/>
            </w:tcBorders>
          </w:tcPr>
          <w:p w:rsidR="006224C2" w:rsidRPr="00295E71" w14:paraId="4214D11C"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2144" w:type="dxa"/>
            <w:gridSpan w:val="2"/>
            <w:tcBorders>
              <w:top w:val="single" w:sz="6" w:space="0" w:color="auto"/>
            </w:tcBorders>
          </w:tcPr>
          <w:p w:rsidR="006224C2" w:rsidRPr="00295E71" w14:paraId="33A6E9F4" w14:textId="77777777">
            <w:pPr>
              <w:pStyle w:val="In-texttable"/>
              <w:keepNext w:val="0"/>
              <w:tabs>
                <w:tab w:val="left" w:pos="567"/>
              </w:tabs>
              <w:spacing w:line="240" w:lineRule="auto"/>
              <w:jc w:val="center"/>
              <w:rPr>
                <w:rFonts w:ascii="Times New Roman" w:hAnsi="Times New Roman" w:cs="Times New Roman"/>
                <w:sz w:val="22"/>
                <w:szCs w:val="22"/>
                <w:lang w:val="it-IT"/>
              </w:rPr>
            </w:pPr>
          </w:p>
        </w:tc>
      </w:tr>
      <w:tr w14:paraId="39FCB440" w14:textId="77777777">
        <w:tblPrEx>
          <w:tblW w:w="9549" w:type="dxa"/>
          <w:tblInd w:w="98" w:type="dxa"/>
          <w:tblLayout w:type="fixed"/>
          <w:tblLook w:val="0000"/>
        </w:tblPrEx>
        <w:trPr>
          <w:cantSplit/>
        </w:trPr>
        <w:tc>
          <w:tcPr>
            <w:tcW w:w="1046" w:type="dxa"/>
            <w:tcBorders>
              <w:right w:val="single" w:sz="6" w:space="0" w:color="auto"/>
            </w:tcBorders>
          </w:tcPr>
          <w:p w:rsidR="006224C2" w:rsidRPr="00295E71" w14:paraId="6CB92334"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6 mesi</w:t>
            </w:r>
          </w:p>
        </w:tc>
        <w:tc>
          <w:tcPr>
            <w:tcW w:w="1363" w:type="dxa"/>
            <w:tcBorders>
              <w:left w:val="single" w:sz="6" w:space="0" w:color="auto"/>
            </w:tcBorders>
          </w:tcPr>
          <w:p w:rsidR="006224C2" w:rsidRPr="00295E71" w14:paraId="158877E8"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13,3%</w:t>
            </w:r>
          </w:p>
        </w:tc>
        <w:tc>
          <w:tcPr>
            <w:tcW w:w="1387" w:type="dxa"/>
            <w:tcBorders>
              <w:right w:val="single" w:sz="6" w:space="0" w:color="auto"/>
            </w:tcBorders>
          </w:tcPr>
          <w:p w:rsidR="006224C2" w:rsidRPr="00295E71" w14:paraId="2F6CB60E"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65,1%</w:t>
            </w:r>
          </w:p>
        </w:tc>
        <w:tc>
          <w:tcPr>
            <w:tcW w:w="1049" w:type="dxa"/>
            <w:tcBorders>
              <w:left w:val="single" w:sz="6" w:space="0" w:color="auto"/>
            </w:tcBorders>
          </w:tcPr>
          <w:p w:rsidR="006224C2" w:rsidRPr="00295E71" w14:paraId="78910874"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19,1%</w:t>
            </w:r>
          </w:p>
        </w:tc>
        <w:tc>
          <w:tcPr>
            <w:tcW w:w="1172" w:type="dxa"/>
            <w:tcBorders>
              <w:right w:val="single" w:sz="6" w:space="0" w:color="auto"/>
            </w:tcBorders>
          </w:tcPr>
          <w:p w:rsidR="006224C2" w:rsidRPr="00295E71" w14:paraId="6EFE5461" w14:textId="77777777">
            <w:pPr>
              <w:pStyle w:val="In-texttable"/>
              <w:keepNext w:val="0"/>
              <w:tabs>
                <w:tab w:val="decimal" w:pos="20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46,0%</w:t>
            </w:r>
          </w:p>
        </w:tc>
        <w:tc>
          <w:tcPr>
            <w:tcW w:w="1388" w:type="dxa"/>
            <w:tcBorders>
              <w:left w:val="single" w:sz="6" w:space="0" w:color="auto"/>
            </w:tcBorders>
          </w:tcPr>
          <w:p w:rsidR="006224C2" w:rsidRPr="00295E71" w14:paraId="2DF81263"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29,5%</w:t>
            </w:r>
          </w:p>
        </w:tc>
        <w:tc>
          <w:tcPr>
            <w:tcW w:w="2144" w:type="dxa"/>
            <w:gridSpan w:val="2"/>
          </w:tcPr>
          <w:p w:rsidR="006224C2" w:rsidRPr="00295E71" w14:paraId="20E63144"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63,3%</w:t>
            </w:r>
          </w:p>
        </w:tc>
      </w:tr>
      <w:tr w14:paraId="2D53D011" w14:textId="77777777">
        <w:tblPrEx>
          <w:tblW w:w="9549" w:type="dxa"/>
          <w:tblInd w:w="98" w:type="dxa"/>
          <w:tblLayout w:type="fixed"/>
          <w:tblLook w:val="0000"/>
        </w:tblPrEx>
        <w:trPr>
          <w:cantSplit/>
        </w:trPr>
        <w:tc>
          <w:tcPr>
            <w:tcW w:w="1046" w:type="dxa"/>
            <w:tcBorders>
              <w:right w:val="single" w:sz="6" w:space="0" w:color="auto"/>
            </w:tcBorders>
          </w:tcPr>
          <w:p w:rsidR="006224C2" w:rsidRPr="00295E71" w14:paraId="2E9BDE15"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12 mesi</w:t>
            </w:r>
          </w:p>
        </w:tc>
        <w:tc>
          <w:tcPr>
            <w:tcW w:w="1363" w:type="dxa"/>
            <w:tcBorders>
              <w:left w:val="single" w:sz="6" w:space="0" w:color="auto"/>
            </w:tcBorders>
          </w:tcPr>
          <w:p w:rsidR="006224C2" w:rsidRPr="00295E71" w14:paraId="2CA39582"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7" w:type="dxa"/>
            <w:tcBorders>
              <w:right w:val="single" w:sz="6" w:space="0" w:color="auto"/>
            </w:tcBorders>
          </w:tcPr>
          <w:p w:rsidR="006224C2" w:rsidRPr="00295E71" w14:paraId="1AAB79D1"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049" w:type="dxa"/>
            <w:tcBorders>
              <w:left w:val="single" w:sz="6" w:space="0" w:color="auto"/>
            </w:tcBorders>
          </w:tcPr>
          <w:p w:rsidR="006224C2" w:rsidRPr="00295E71" w14:paraId="3F6CF562"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172" w:type="dxa"/>
            <w:tcBorders>
              <w:right w:val="single" w:sz="6" w:space="0" w:color="auto"/>
            </w:tcBorders>
          </w:tcPr>
          <w:p w:rsidR="006224C2" w:rsidRPr="00295E71" w14:paraId="520E7BC1"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8" w:type="dxa"/>
            <w:tcBorders>
              <w:left w:val="single" w:sz="6" w:space="0" w:color="auto"/>
            </w:tcBorders>
          </w:tcPr>
          <w:p w:rsidR="006224C2" w:rsidRPr="00295E71" w14:paraId="10AE7C13"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24,0%</w:t>
            </w:r>
          </w:p>
        </w:tc>
        <w:tc>
          <w:tcPr>
            <w:tcW w:w="2144" w:type="dxa"/>
            <w:gridSpan w:val="2"/>
          </w:tcPr>
          <w:p w:rsidR="006224C2" w:rsidRPr="00295E71" w14:paraId="10DA9A08"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58,9%</w:t>
            </w:r>
          </w:p>
        </w:tc>
      </w:tr>
      <w:tr w14:paraId="246C3043" w14:textId="77777777">
        <w:tblPrEx>
          <w:tblW w:w="9549" w:type="dxa"/>
          <w:tblInd w:w="98" w:type="dxa"/>
          <w:tblLayout w:type="fixed"/>
          <w:tblLook w:val="0000"/>
        </w:tblPrEx>
        <w:trPr>
          <w:cantSplit/>
        </w:trPr>
        <w:tc>
          <w:tcPr>
            <w:tcW w:w="1046" w:type="dxa"/>
            <w:tcBorders>
              <w:right w:val="single" w:sz="6" w:space="0" w:color="auto"/>
            </w:tcBorders>
          </w:tcPr>
          <w:p w:rsidR="006224C2" w:rsidRPr="00295E71" w14:paraId="0361E7A2"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ACR 50</w:t>
            </w:r>
          </w:p>
        </w:tc>
        <w:tc>
          <w:tcPr>
            <w:tcW w:w="1363" w:type="dxa"/>
            <w:tcBorders>
              <w:left w:val="single" w:sz="6" w:space="0" w:color="auto"/>
            </w:tcBorders>
          </w:tcPr>
          <w:p w:rsidR="006224C2" w:rsidRPr="00295E71" w14:paraId="5DFFE1F4"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p>
        </w:tc>
        <w:tc>
          <w:tcPr>
            <w:tcW w:w="1387" w:type="dxa"/>
            <w:tcBorders>
              <w:right w:val="single" w:sz="6" w:space="0" w:color="auto"/>
            </w:tcBorders>
          </w:tcPr>
          <w:p w:rsidR="006224C2" w:rsidRPr="00295E71" w14:paraId="3C8C3F02"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p>
        </w:tc>
        <w:tc>
          <w:tcPr>
            <w:tcW w:w="1049" w:type="dxa"/>
            <w:tcBorders>
              <w:left w:val="single" w:sz="6" w:space="0" w:color="auto"/>
            </w:tcBorders>
          </w:tcPr>
          <w:p w:rsidR="006224C2" w:rsidRPr="00295E71" w14:paraId="6B5A02BF"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172" w:type="dxa"/>
            <w:tcBorders>
              <w:right w:val="single" w:sz="6" w:space="0" w:color="auto"/>
            </w:tcBorders>
          </w:tcPr>
          <w:p w:rsidR="006224C2" w:rsidRPr="00295E71" w14:paraId="77283D1D" w14:textId="77777777">
            <w:pPr>
              <w:pStyle w:val="In-texttable"/>
              <w:keepNext w:val="0"/>
              <w:tabs>
                <w:tab w:val="decimal" w:pos="205"/>
                <w:tab w:val="left" w:pos="567"/>
              </w:tabs>
              <w:spacing w:line="240" w:lineRule="auto"/>
              <w:jc w:val="center"/>
              <w:rPr>
                <w:rFonts w:ascii="Times New Roman" w:hAnsi="Times New Roman" w:cs="Times New Roman"/>
                <w:sz w:val="22"/>
                <w:szCs w:val="22"/>
                <w:lang w:val="it-IT"/>
              </w:rPr>
            </w:pPr>
          </w:p>
        </w:tc>
        <w:tc>
          <w:tcPr>
            <w:tcW w:w="1388" w:type="dxa"/>
            <w:tcBorders>
              <w:left w:val="single" w:sz="6" w:space="0" w:color="auto"/>
            </w:tcBorders>
          </w:tcPr>
          <w:p w:rsidR="006224C2" w:rsidRPr="00295E71" w14:paraId="5DBD78BF"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p>
        </w:tc>
        <w:tc>
          <w:tcPr>
            <w:tcW w:w="2144" w:type="dxa"/>
            <w:gridSpan w:val="2"/>
          </w:tcPr>
          <w:p w:rsidR="006224C2" w:rsidRPr="00295E71" w14:paraId="48CE10ED"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p>
        </w:tc>
      </w:tr>
      <w:tr w14:paraId="1885FC19" w14:textId="77777777">
        <w:tblPrEx>
          <w:tblW w:w="9549" w:type="dxa"/>
          <w:tblInd w:w="98" w:type="dxa"/>
          <w:tblLayout w:type="fixed"/>
          <w:tblLook w:val="0000"/>
        </w:tblPrEx>
        <w:trPr>
          <w:cantSplit/>
        </w:trPr>
        <w:tc>
          <w:tcPr>
            <w:tcW w:w="1046" w:type="dxa"/>
            <w:tcBorders>
              <w:right w:val="single" w:sz="6" w:space="0" w:color="auto"/>
            </w:tcBorders>
          </w:tcPr>
          <w:p w:rsidR="006224C2" w:rsidRPr="00295E71" w14:paraId="65843DD9"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6 mesi</w:t>
            </w:r>
          </w:p>
        </w:tc>
        <w:tc>
          <w:tcPr>
            <w:tcW w:w="1363" w:type="dxa"/>
            <w:tcBorders>
              <w:left w:val="single" w:sz="6" w:space="0" w:color="auto"/>
            </w:tcBorders>
          </w:tcPr>
          <w:p w:rsidR="006224C2" w:rsidRPr="00295E71" w14:paraId="1D45A0ED"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6,7%</w:t>
            </w:r>
          </w:p>
        </w:tc>
        <w:tc>
          <w:tcPr>
            <w:tcW w:w="1387" w:type="dxa"/>
            <w:tcBorders>
              <w:right w:val="single" w:sz="6" w:space="0" w:color="auto"/>
            </w:tcBorders>
          </w:tcPr>
          <w:p w:rsidR="006224C2" w:rsidRPr="00295E71" w14:paraId="133B5794"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52,4%</w:t>
            </w:r>
          </w:p>
        </w:tc>
        <w:tc>
          <w:tcPr>
            <w:tcW w:w="1049" w:type="dxa"/>
            <w:tcBorders>
              <w:left w:val="single" w:sz="6" w:space="0" w:color="auto"/>
            </w:tcBorders>
          </w:tcPr>
          <w:p w:rsidR="006224C2" w:rsidRPr="00295E71" w14:paraId="669B7412"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8,2%</w:t>
            </w:r>
          </w:p>
        </w:tc>
        <w:tc>
          <w:tcPr>
            <w:tcW w:w="1172" w:type="dxa"/>
            <w:tcBorders>
              <w:right w:val="single" w:sz="6" w:space="0" w:color="auto"/>
            </w:tcBorders>
          </w:tcPr>
          <w:p w:rsidR="006224C2" w:rsidRPr="00295E71" w14:paraId="74C0D64A" w14:textId="77777777">
            <w:pPr>
              <w:pStyle w:val="In-texttable"/>
              <w:keepNext w:val="0"/>
              <w:tabs>
                <w:tab w:val="decimal" w:pos="20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22,1%</w:t>
            </w:r>
          </w:p>
        </w:tc>
        <w:tc>
          <w:tcPr>
            <w:tcW w:w="1388" w:type="dxa"/>
            <w:tcBorders>
              <w:left w:val="single" w:sz="6" w:space="0" w:color="auto"/>
            </w:tcBorders>
          </w:tcPr>
          <w:p w:rsidR="006224C2" w:rsidRPr="00295E71" w14:paraId="24E9C979"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9,5%</w:t>
            </w:r>
          </w:p>
        </w:tc>
        <w:tc>
          <w:tcPr>
            <w:tcW w:w="2144" w:type="dxa"/>
            <w:gridSpan w:val="2"/>
          </w:tcPr>
          <w:p w:rsidR="006224C2" w:rsidRPr="00295E71" w14:paraId="37E2F2B6"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39,1%</w:t>
            </w:r>
          </w:p>
        </w:tc>
      </w:tr>
      <w:tr w14:paraId="670F18CC" w14:textId="77777777">
        <w:tblPrEx>
          <w:tblW w:w="9549" w:type="dxa"/>
          <w:tblInd w:w="98" w:type="dxa"/>
          <w:tblLayout w:type="fixed"/>
          <w:tblLook w:val="0000"/>
        </w:tblPrEx>
        <w:trPr>
          <w:cantSplit/>
        </w:trPr>
        <w:tc>
          <w:tcPr>
            <w:tcW w:w="1046" w:type="dxa"/>
            <w:tcBorders>
              <w:right w:val="single" w:sz="6" w:space="0" w:color="auto"/>
            </w:tcBorders>
          </w:tcPr>
          <w:p w:rsidR="006224C2" w:rsidRPr="00295E71" w14:paraId="67250599"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12 mesi</w:t>
            </w:r>
          </w:p>
        </w:tc>
        <w:tc>
          <w:tcPr>
            <w:tcW w:w="1363" w:type="dxa"/>
            <w:tcBorders>
              <w:left w:val="single" w:sz="6" w:space="0" w:color="auto"/>
            </w:tcBorders>
          </w:tcPr>
          <w:p w:rsidR="006224C2" w:rsidRPr="00295E71" w14:paraId="1254B978"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7" w:type="dxa"/>
            <w:tcBorders>
              <w:right w:val="single" w:sz="6" w:space="0" w:color="auto"/>
            </w:tcBorders>
          </w:tcPr>
          <w:p w:rsidR="006224C2" w:rsidRPr="00295E71" w14:paraId="575BDFDF"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049" w:type="dxa"/>
            <w:tcBorders>
              <w:left w:val="single" w:sz="6" w:space="0" w:color="auto"/>
            </w:tcBorders>
          </w:tcPr>
          <w:p w:rsidR="006224C2" w:rsidRPr="00295E71" w14:paraId="7AA85F73"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172" w:type="dxa"/>
            <w:tcBorders>
              <w:right w:val="single" w:sz="6" w:space="0" w:color="auto"/>
            </w:tcBorders>
          </w:tcPr>
          <w:p w:rsidR="006224C2" w:rsidRPr="00295E71" w14:paraId="2862BF22"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8" w:type="dxa"/>
            <w:tcBorders>
              <w:left w:val="single" w:sz="6" w:space="0" w:color="auto"/>
            </w:tcBorders>
          </w:tcPr>
          <w:p w:rsidR="006224C2" w:rsidRPr="00295E71" w14:paraId="6F4B34AB"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9,5%</w:t>
            </w:r>
          </w:p>
        </w:tc>
        <w:tc>
          <w:tcPr>
            <w:tcW w:w="2144" w:type="dxa"/>
            <w:gridSpan w:val="2"/>
          </w:tcPr>
          <w:p w:rsidR="006224C2" w:rsidRPr="00295E71" w14:paraId="3330829A"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41,5%</w:t>
            </w:r>
          </w:p>
        </w:tc>
      </w:tr>
      <w:tr w14:paraId="2B74BA24" w14:textId="77777777">
        <w:tblPrEx>
          <w:tblW w:w="9549" w:type="dxa"/>
          <w:tblInd w:w="98" w:type="dxa"/>
          <w:tblLayout w:type="fixed"/>
          <w:tblLook w:val="0000"/>
        </w:tblPrEx>
        <w:trPr>
          <w:cantSplit/>
        </w:trPr>
        <w:tc>
          <w:tcPr>
            <w:tcW w:w="1046" w:type="dxa"/>
            <w:tcBorders>
              <w:right w:val="single" w:sz="6" w:space="0" w:color="auto"/>
            </w:tcBorders>
          </w:tcPr>
          <w:p w:rsidR="006224C2" w:rsidRPr="00295E71" w14:paraId="4937358E"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3B3A5A">
              <w:rPr>
                <w:rFonts w:ascii="Times New Roman" w:hAnsi="Times New Roman"/>
                <w:noProof/>
                <w:sz w:val="22"/>
                <w:lang w:val="en-GB"/>
              </w:rPr>
              <mc:AlternateContent>
                <mc:Choice Requires="wps">
                  <w:drawing>
                    <wp:anchor distT="0" distB="0" distL="114300" distR="114300" simplePos="0" relativeHeight="251662336" behindDoc="0" locked="0" layoutInCell="0" allowOverlap="1">
                      <wp:simplePos x="0" y="0"/>
                      <wp:positionH relativeFrom="column">
                        <wp:posOffset>-4972050</wp:posOffset>
                      </wp:positionH>
                      <wp:positionV relativeFrom="paragraph">
                        <wp:posOffset>38735</wp:posOffset>
                      </wp:positionV>
                      <wp:extent cx="3543300" cy="342900"/>
                      <wp:effectExtent l="0" t="0" r="0" b="0"/>
                      <wp:wrapNone/>
                      <wp:docPr id="148"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43300" cy="342900"/>
                              </a:xfrm>
                              <a:prstGeom prst="rect">
                                <a:avLst/>
                              </a:prstGeom>
                              <a:solidFill>
                                <a:srgbClr val="FFFFFF"/>
                              </a:solidFill>
                              <a:ln>
                                <a:noFill/>
                              </a:ln>
                            </wps:spPr>
                            <wps:txbx>
                              <w:txbxContent>
                                <w:p w:rsidR="003B3A5A" w14:textId="77777777">
                                  <w:pPr>
                                    <w:rPr>
                                      <w:sz w:val="20"/>
                                      <w:szCs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1" type="#_x0000_t202" style="width:279pt;height:27pt;margin-top:3.05pt;margin-left:-391.5pt;mso-height-percent:0;mso-height-relative:page;mso-width-percent:0;mso-width-relative:page;mso-wrap-distance-bottom:0;mso-wrap-distance-left:9pt;mso-wrap-distance-right:9pt;mso-wrap-distance-top:0;mso-wrap-style:square;position:absolute;visibility:visible;v-text-anchor:top;z-index:251663360" o:allowincell="f" stroked="f">
                      <v:textbox>
                        <w:txbxContent>
                          <w:p w:rsidR="003B3A5A" w14:paraId="4548B07B" w14:textId="77777777">
                            <w:pPr>
                              <w:rPr>
                                <w:sz w:val="20"/>
                                <w:szCs w:val="20"/>
                              </w:rPr>
                            </w:pPr>
                          </w:p>
                        </w:txbxContent>
                      </v:textbox>
                    </v:shape>
                  </w:pict>
                </mc:Fallback>
              </mc:AlternateContent>
            </w:r>
            <w:r w:rsidRPr="00295E71" w:rsidR="00226BC4">
              <w:rPr>
                <w:rFonts w:ascii="Times New Roman" w:hAnsi="Times New Roman" w:cs="Times New Roman"/>
                <w:sz w:val="22"/>
                <w:szCs w:val="22"/>
                <w:lang w:val="it-IT"/>
              </w:rPr>
              <w:t>ACR 70</w:t>
            </w:r>
          </w:p>
        </w:tc>
        <w:tc>
          <w:tcPr>
            <w:tcW w:w="1363" w:type="dxa"/>
            <w:tcBorders>
              <w:left w:val="single" w:sz="6" w:space="0" w:color="auto"/>
            </w:tcBorders>
          </w:tcPr>
          <w:p w:rsidR="006224C2" w:rsidRPr="00295E71" w14:paraId="660E748E"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p>
        </w:tc>
        <w:tc>
          <w:tcPr>
            <w:tcW w:w="1387" w:type="dxa"/>
            <w:tcBorders>
              <w:right w:val="single" w:sz="6" w:space="0" w:color="auto"/>
            </w:tcBorders>
          </w:tcPr>
          <w:p w:rsidR="006224C2" w:rsidRPr="00295E71" w14:paraId="539A61F9"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p>
        </w:tc>
        <w:tc>
          <w:tcPr>
            <w:tcW w:w="1049" w:type="dxa"/>
            <w:tcBorders>
              <w:left w:val="single" w:sz="6" w:space="0" w:color="auto"/>
            </w:tcBorders>
          </w:tcPr>
          <w:p w:rsidR="006224C2" w:rsidRPr="00295E71" w14:paraId="64AD66FF"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172" w:type="dxa"/>
            <w:tcBorders>
              <w:right w:val="single" w:sz="6" w:space="0" w:color="auto"/>
            </w:tcBorders>
          </w:tcPr>
          <w:p w:rsidR="006224C2" w:rsidRPr="00295E71" w14:paraId="6B5520CC" w14:textId="77777777">
            <w:pPr>
              <w:pStyle w:val="In-texttable"/>
              <w:keepNext w:val="0"/>
              <w:tabs>
                <w:tab w:val="decimal" w:pos="205"/>
                <w:tab w:val="left" w:pos="567"/>
              </w:tabs>
              <w:spacing w:line="240" w:lineRule="auto"/>
              <w:jc w:val="center"/>
              <w:rPr>
                <w:rFonts w:ascii="Times New Roman" w:hAnsi="Times New Roman" w:cs="Times New Roman"/>
                <w:sz w:val="22"/>
                <w:szCs w:val="22"/>
                <w:lang w:val="it-IT"/>
              </w:rPr>
            </w:pPr>
          </w:p>
        </w:tc>
        <w:tc>
          <w:tcPr>
            <w:tcW w:w="1388" w:type="dxa"/>
            <w:tcBorders>
              <w:left w:val="single" w:sz="6" w:space="0" w:color="auto"/>
            </w:tcBorders>
          </w:tcPr>
          <w:p w:rsidR="006224C2" w:rsidRPr="00295E71" w14:paraId="3BD81BFC"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p>
        </w:tc>
        <w:tc>
          <w:tcPr>
            <w:tcW w:w="2144" w:type="dxa"/>
            <w:gridSpan w:val="2"/>
          </w:tcPr>
          <w:p w:rsidR="006224C2" w:rsidRPr="00295E71" w14:paraId="6CB65F59"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p>
        </w:tc>
      </w:tr>
      <w:tr w14:paraId="31A80E4C" w14:textId="77777777">
        <w:tblPrEx>
          <w:tblW w:w="9549" w:type="dxa"/>
          <w:tblInd w:w="98" w:type="dxa"/>
          <w:tblLayout w:type="fixed"/>
          <w:tblLook w:val="0000"/>
        </w:tblPrEx>
        <w:trPr>
          <w:cantSplit/>
        </w:trPr>
        <w:tc>
          <w:tcPr>
            <w:tcW w:w="1046" w:type="dxa"/>
            <w:tcBorders>
              <w:right w:val="single" w:sz="6" w:space="0" w:color="auto"/>
            </w:tcBorders>
          </w:tcPr>
          <w:p w:rsidR="006224C2" w:rsidRPr="00295E71" w14:paraId="3815C4A1"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6 mesi</w:t>
            </w:r>
          </w:p>
        </w:tc>
        <w:tc>
          <w:tcPr>
            <w:tcW w:w="1363" w:type="dxa"/>
            <w:tcBorders>
              <w:left w:val="single" w:sz="6" w:space="0" w:color="auto"/>
            </w:tcBorders>
          </w:tcPr>
          <w:p w:rsidR="006224C2" w:rsidRPr="00295E71" w14:paraId="36252E41"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3,3%</w:t>
            </w:r>
          </w:p>
        </w:tc>
        <w:tc>
          <w:tcPr>
            <w:tcW w:w="1387" w:type="dxa"/>
            <w:tcBorders>
              <w:right w:val="single" w:sz="6" w:space="0" w:color="auto"/>
            </w:tcBorders>
          </w:tcPr>
          <w:p w:rsidR="006224C2" w:rsidRPr="00295E71" w14:paraId="4B6C3E51"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23,8%</w:t>
            </w:r>
          </w:p>
        </w:tc>
        <w:tc>
          <w:tcPr>
            <w:tcW w:w="1049" w:type="dxa"/>
            <w:tcBorders>
              <w:left w:val="single" w:sz="6" w:space="0" w:color="auto"/>
            </w:tcBorders>
          </w:tcPr>
          <w:p w:rsidR="006224C2" w:rsidRPr="00295E71" w14:paraId="129F86F0"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1,8%</w:t>
            </w:r>
          </w:p>
        </w:tc>
        <w:tc>
          <w:tcPr>
            <w:tcW w:w="1172" w:type="dxa"/>
            <w:tcBorders>
              <w:right w:val="single" w:sz="6" w:space="0" w:color="auto"/>
            </w:tcBorders>
          </w:tcPr>
          <w:p w:rsidR="006224C2" w:rsidRPr="00295E71" w14:paraId="0D08730B" w14:textId="77777777">
            <w:pPr>
              <w:pStyle w:val="In-texttable"/>
              <w:keepNext w:val="0"/>
              <w:tabs>
                <w:tab w:val="decimal" w:pos="20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12,4%</w:t>
            </w:r>
          </w:p>
        </w:tc>
        <w:tc>
          <w:tcPr>
            <w:tcW w:w="1388" w:type="dxa"/>
            <w:tcBorders>
              <w:left w:val="single" w:sz="6" w:space="0" w:color="auto"/>
            </w:tcBorders>
          </w:tcPr>
          <w:p w:rsidR="006224C2" w:rsidRPr="00295E71" w14:paraId="183215E9"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2,5%</w:t>
            </w:r>
          </w:p>
        </w:tc>
        <w:tc>
          <w:tcPr>
            <w:tcW w:w="2144" w:type="dxa"/>
            <w:gridSpan w:val="2"/>
          </w:tcPr>
          <w:p w:rsidR="006224C2" w:rsidRPr="00295E71" w14:paraId="547F45DD"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20,8%</w:t>
            </w:r>
          </w:p>
        </w:tc>
      </w:tr>
      <w:tr w14:paraId="0D9571AE" w14:textId="77777777">
        <w:tblPrEx>
          <w:tblW w:w="9549" w:type="dxa"/>
          <w:tblInd w:w="98" w:type="dxa"/>
          <w:tblLayout w:type="fixed"/>
          <w:tblLook w:val="0000"/>
        </w:tblPrEx>
        <w:trPr>
          <w:cantSplit/>
        </w:trPr>
        <w:tc>
          <w:tcPr>
            <w:tcW w:w="1046" w:type="dxa"/>
            <w:tcBorders>
              <w:bottom w:val="single" w:sz="6" w:space="0" w:color="auto"/>
              <w:right w:val="single" w:sz="6" w:space="0" w:color="auto"/>
            </w:tcBorders>
          </w:tcPr>
          <w:p w:rsidR="006224C2" w:rsidRPr="00295E71" w14:paraId="17393960"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12 mesi</w:t>
            </w:r>
          </w:p>
        </w:tc>
        <w:tc>
          <w:tcPr>
            <w:tcW w:w="1363" w:type="dxa"/>
            <w:tcBorders>
              <w:left w:val="single" w:sz="6" w:space="0" w:color="auto"/>
              <w:bottom w:val="single" w:sz="6" w:space="0" w:color="auto"/>
            </w:tcBorders>
          </w:tcPr>
          <w:p w:rsidR="006224C2" w:rsidRPr="00295E71" w14:paraId="095AE175"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7" w:type="dxa"/>
            <w:tcBorders>
              <w:bottom w:val="single" w:sz="6" w:space="0" w:color="auto"/>
              <w:right w:val="single" w:sz="6" w:space="0" w:color="auto"/>
            </w:tcBorders>
          </w:tcPr>
          <w:p w:rsidR="006224C2" w:rsidRPr="00295E71" w14:paraId="7E880736"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049" w:type="dxa"/>
            <w:tcBorders>
              <w:left w:val="single" w:sz="6" w:space="0" w:color="auto"/>
              <w:bottom w:val="single" w:sz="6" w:space="0" w:color="auto"/>
            </w:tcBorders>
          </w:tcPr>
          <w:p w:rsidR="006224C2" w:rsidRPr="00295E71" w14:paraId="4389AE49"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172" w:type="dxa"/>
            <w:tcBorders>
              <w:bottom w:val="single" w:sz="6" w:space="0" w:color="auto"/>
              <w:right w:val="single" w:sz="6" w:space="0" w:color="auto"/>
            </w:tcBorders>
          </w:tcPr>
          <w:p w:rsidR="006224C2" w:rsidRPr="00295E71" w14:paraId="13EFF02D"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8" w:type="dxa"/>
            <w:tcBorders>
              <w:left w:val="single" w:sz="6" w:space="0" w:color="auto"/>
              <w:bottom w:val="single" w:sz="6" w:space="0" w:color="auto"/>
            </w:tcBorders>
          </w:tcPr>
          <w:p w:rsidR="006224C2" w:rsidRPr="00295E71" w14:paraId="76DDB706"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4,5%</w:t>
            </w:r>
          </w:p>
        </w:tc>
        <w:tc>
          <w:tcPr>
            <w:tcW w:w="2144" w:type="dxa"/>
            <w:gridSpan w:val="2"/>
            <w:tcBorders>
              <w:bottom w:val="single" w:sz="6" w:space="0" w:color="auto"/>
            </w:tcBorders>
          </w:tcPr>
          <w:p w:rsidR="006224C2" w:rsidRPr="00295E71" w14:paraId="32C368BA"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23,2%</w:t>
            </w:r>
          </w:p>
        </w:tc>
      </w:tr>
      <w:tr w14:paraId="7648FCDB" w14:textId="77777777">
        <w:tblPrEx>
          <w:tblW w:w="9549" w:type="dxa"/>
          <w:tblInd w:w="98" w:type="dxa"/>
          <w:tblLayout w:type="fixed"/>
          <w:tblLook w:val="0000"/>
        </w:tblPrEx>
        <w:trPr>
          <w:gridAfter w:val="1"/>
          <w:wAfter w:w="202" w:type="dxa"/>
          <w:cantSplit/>
        </w:trPr>
        <w:tc>
          <w:tcPr>
            <w:tcW w:w="9347" w:type="dxa"/>
            <w:gridSpan w:val="7"/>
          </w:tcPr>
          <w:p w:rsidR="006224C2" w:rsidRPr="00295E71" w14:paraId="3936C5FA" w14:textId="77777777">
            <w:pPr>
              <w:pStyle w:val="In-textfootnote"/>
              <w:keepNext w:val="0"/>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ab/>
              <w:t>studio AR I a 24 settimane, studio AR II a 26 settimane, e studio AR III a 24 e 52 settimane</w:t>
            </w:r>
          </w:p>
          <w:p w:rsidR="006224C2" w:rsidRPr="00295E71" w14:paraId="0555D048" w14:textId="77777777">
            <w:pPr>
              <w:pStyle w:val="In-textfootnote"/>
              <w:keepNext w:val="0"/>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ab/>
              <w:t>40 mg di Humira somministrato ogni due settimane</w:t>
            </w:r>
          </w:p>
          <w:p w:rsidR="006224C2" w:rsidRPr="00295E71" w14:paraId="48240012" w14:textId="77777777">
            <w:pPr>
              <w:pStyle w:val="In-textfootnote"/>
              <w:keepNext w:val="0"/>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c</w:t>
            </w:r>
            <w:r w:rsidRPr="00295E71">
              <w:rPr>
                <w:rFonts w:ascii="Times New Roman" w:hAnsi="Times New Roman" w:cs="Times New Roman"/>
                <w:sz w:val="22"/>
                <w:szCs w:val="22"/>
                <w:lang w:val="it-IT"/>
              </w:rPr>
              <w:t xml:space="preserve"> MTX = metotressato</w:t>
            </w:r>
          </w:p>
          <w:p w:rsidR="006224C2" w:rsidRPr="00295E71" w14:paraId="282388EF" w14:textId="77777777">
            <w:pPr>
              <w:pStyle w:val="In-textfootnote"/>
              <w:keepNext w:val="0"/>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lang w:val="it-IT"/>
              </w:rPr>
              <w:t xml:space="preserve">**p&lt;0,01, Humira </w:t>
            </w:r>
            <w:r w:rsidRPr="00295E71">
              <w:rPr>
                <w:rFonts w:ascii="Times New Roman" w:hAnsi="Times New Roman" w:cs="Times New Roman"/>
                <w:i/>
                <w:sz w:val="22"/>
                <w:szCs w:val="22"/>
                <w:lang w:val="it-IT"/>
              </w:rPr>
              <w:t>versus</w:t>
            </w:r>
            <w:r w:rsidRPr="00295E71">
              <w:rPr>
                <w:rFonts w:ascii="Times New Roman" w:hAnsi="Times New Roman" w:cs="Times New Roman"/>
                <w:sz w:val="22"/>
                <w:szCs w:val="22"/>
                <w:lang w:val="it-IT"/>
              </w:rPr>
              <w:t xml:space="preserve"> placebo</w:t>
            </w:r>
          </w:p>
        </w:tc>
      </w:tr>
    </w:tbl>
    <w:p w:rsidR="006224C2" w:rsidRPr="00295E71" w14:paraId="69195B10" w14:textId="77777777">
      <w:pPr>
        <w:tabs>
          <w:tab w:val="left" w:pos="567"/>
        </w:tabs>
        <w:rPr>
          <w:sz w:val="22"/>
          <w:szCs w:val="22"/>
        </w:rPr>
      </w:pPr>
    </w:p>
    <w:p w:rsidR="006224C2" w:rsidRPr="00295E71" w14:paraId="0CC7583F" w14:textId="77777777">
      <w:pPr>
        <w:tabs>
          <w:tab w:val="left" w:pos="567"/>
        </w:tabs>
        <w:jc w:val="both"/>
        <w:rPr>
          <w:sz w:val="22"/>
          <w:szCs w:val="22"/>
        </w:rPr>
      </w:pPr>
      <w:r w:rsidRPr="00295E71">
        <w:rPr>
          <w:sz w:val="22"/>
          <w:szCs w:val="22"/>
        </w:rPr>
        <w:t xml:space="preserve">Negli studi AR I-IV, tutti i parametri valutati per la definizione della risposta ACR (numero di articolazioni dolenti e tumefatte, valutazione dell’attività di malattia da parte del medico e del paziente, valutazione del dolore da parte del paziente, indice di disabilità - HAQ) e i valori di PCR (mg/dl) sono migliorati a 24 o 26 settimane rispetto al placebo. Nello studio AR III, tali miglioramenti si sono mantenuti nell’arco di 52 settimane. </w:t>
      </w:r>
    </w:p>
    <w:p w:rsidR="006224C2" w:rsidRPr="00295E71" w14:paraId="56911DC9" w14:textId="77777777">
      <w:pPr>
        <w:tabs>
          <w:tab w:val="left" w:pos="567"/>
        </w:tabs>
        <w:jc w:val="both"/>
        <w:rPr>
          <w:sz w:val="22"/>
          <w:szCs w:val="22"/>
        </w:rPr>
      </w:pPr>
    </w:p>
    <w:p w:rsidR="006224C2" w:rsidRPr="00295E71" w14:paraId="18308B01" w14:textId="77777777">
      <w:pPr>
        <w:tabs>
          <w:tab w:val="left" w:pos="567"/>
        </w:tabs>
        <w:jc w:val="both"/>
        <w:rPr>
          <w:sz w:val="22"/>
          <w:szCs w:val="22"/>
        </w:rPr>
      </w:pPr>
      <w:r w:rsidRPr="00295E71">
        <w:rPr>
          <w:sz w:val="22"/>
          <w:szCs w:val="22"/>
        </w:rPr>
        <w:t xml:space="preserve">Nella fase di estensione in aperto dello studio AR III, la maggior parte dei pazienti che hanno avuto una risposta ACR hanno mantenuto la risposta quando </w:t>
      </w:r>
      <w:r w:rsidRPr="00020442" w:rsidR="00A40A02">
        <w:rPr>
          <w:sz w:val="22"/>
          <w:szCs w:val="22"/>
        </w:rPr>
        <w:t>sono stati seguiti</w:t>
      </w:r>
      <w:r w:rsidR="00A40A02">
        <w:rPr>
          <w:sz w:val="22"/>
          <w:szCs w:val="22"/>
        </w:rPr>
        <w:t xml:space="preserve"> fino a</w:t>
      </w:r>
      <w:r w:rsidR="00D05E20">
        <w:rPr>
          <w:sz w:val="22"/>
          <w:szCs w:val="22"/>
        </w:rPr>
        <w:t xml:space="preserve"> </w:t>
      </w:r>
      <w:r w:rsidRPr="00295E71">
        <w:rPr>
          <w:sz w:val="22"/>
          <w:szCs w:val="22"/>
        </w:rPr>
        <w:t xml:space="preserve">per 10 anni. Su un totale di 207 pazienti che sono stati randomizzati a Humira 40 mg a settimane alterne, 114 hanno continuato il trattamento con Humira 40 mg a settimane alterne per 5 anni. Di questi, 86 pazienti (75,4%) hanno avuto risposte ACR 20; 72 pazienti (63,2%) hanno avuto risposte ACR 50; e 41 pazienti (36%) hanno avuto risposte ACR 70. </w:t>
      </w:r>
    </w:p>
    <w:p w:rsidR="006224C2" w:rsidRPr="00295E71" w14:paraId="195156D2" w14:textId="77777777">
      <w:pPr>
        <w:tabs>
          <w:tab w:val="left" w:pos="567"/>
        </w:tabs>
        <w:jc w:val="both"/>
        <w:rPr>
          <w:sz w:val="22"/>
          <w:szCs w:val="22"/>
        </w:rPr>
      </w:pPr>
      <w:r w:rsidRPr="00295E71">
        <w:rPr>
          <w:sz w:val="22"/>
          <w:szCs w:val="22"/>
        </w:rPr>
        <w:t>Su un totale di 207 pazienti, 81 hanno continuato il trattamento con Humira 40 mg a settimane alterne per 10 anni. Di questi, 64 pazienti (79,0%) hanno avuto risposte ACR 20; 56 pazienti (69,1%) hanno avuto risposte ACR 50; e 43 pazienti (53,1%) hanno avuto risposte ACR 70.</w:t>
      </w:r>
    </w:p>
    <w:p w:rsidR="006224C2" w:rsidRPr="00295E71" w14:paraId="607C6544" w14:textId="77777777">
      <w:pPr>
        <w:tabs>
          <w:tab w:val="left" w:pos="567"/>
        </w:tabs>
        <w:jc w:val="both"/>
        <w:rPr>
          <w:sz w:val="22"/>
          <w:szCs w:val="22"/>
        </w:rPr>
      </w:pPr>
    </w:p>
    <w:p w:rsidR="006224C2" w:rsidRPr="00295E71" w14:paraId="1F45DDA3" w14:textId="77777777">
      <w:pPr>
        <w:tabs>
          <w:tab w:val="left" w:pos="567"/>
        </w:tabs>
        <w:jc w:val="both"/>
        <w:rPr>
          <w:sz w:val="22"/>
          <w:szCs w:val="22"/>
        </w:rPr>
      </w:pPr>
      <w:r w:rsidRPr="00295E71">
        <w:rPr>
          <w:sz w:val="22"/>
          <w:szCs w:val="22"/>
        </w:rPr>
        <w:t xml:space="preserve">Nello studio AR IV, la risposta ACR 20 di pazienti trattati con Humira, in combinazione con la terapia convenzionale, è stata </w:t>
      </w:r>
      <w:r w:rsidRPr="00020442" w:rsidR="00A40A02">
        <w:rPr>
          <w:sz w:val="22"/>
          <w:szCs w:val="22"/>
        </w:rPr>
        <w:t xml:space="preserve">migliore in misura statisticamente </w:t>
      </w:r>
      <w:r w:rsidRPr="00295E71">
        <w:rPr>
          <w:sz w:val="22"/>
          <w:szCs w:val="22"/>
        </w:rPr>
        <w:t xml:space="preserve">significativa rispetto ai pazienti trattati con placebo associato a </w:t>
      </w:r>
      <w:r w:rsidRPr="00020442" w:rsidR="00A40A02">
        <w:rPr>
          <w:sz w:val="22"/>
          <w:szCs w:val="22"/>
        </w:rPr>
        <w:t>terapia convenzionale</w:t>
      </w:r>
      <w:r w:rsidRPr="00295E71">
        <w:rPr>
          <w:sz w:val="22"/>
          <w:szCs w:val="22"/>
        </w:rPr>
        <w:t>(p&lt;0,001).</w:t>
      </w:r>
    </w:p>
    <w:p w:rsidR="006224C2" w:rsidRPr="00295E71" w14:paraId="56547A53" w14:textId="77777777">
      <w:pPr>
        <w:pStyle w:val="BodyText1"/>
        <w:tabs>
          <w:tab w:val="left" w:pos="567"/>
          <w:tab w:val="clear" w:pos="1152"/>
          <w:tab w:val="clear" w:pos="1872"/>
        </w:tabs>
        <w:spacing w:after="0" w:line="240" w:lineRule="auto"/>
        <w:ind w:left="0"/>
        <w:rPr>
          <w:sz w:val="22"/>
          <w:szCs w:val="22"/>
          <w:lang w:val="it-IT"/>
        </w:rPr>
      </w:pPr>
    </w:p>
    <w:p w:rsidR="006224C2" w:rsidRPr="00295E71" w14:paraId="01E5A044" w14:textId="77777777">
      <w:pPr>
        <w:tabs>
          <w:tab w:val="left" w:pos="567"/>
        </w:tabs>
        <w:jc w:val="both"/>
        <w:rPr>
          <w:sz w:val="22"/>
          <w:szCs w:val="22"/>
        </w:rPr>
      </w:pPr>
      <w:r w:rsidRPr="00295E71">
        <w:rPr>
          <w:sz w:val="22"/>
          <w:szCs w:val="22"/>
        </w:rPr>
        <w:t xml:space="preserve">Negli studi AR I-IV, i pazienti trattati con Humira hanno raggiunto risposte ACR 20 e 50 </w:t>
      </w:r>
      <w:r w:rsidRPr="00020442" w:rsidR="00A40A02">
        <w:rPr>
          <w:sz w:val="22"/>
          <w:szCs w:val="22"/>
        </w:rPr>
        <w:t xml:space="preserve">statisticamente significative </w:t>
      </w:r>
      <w:r w:rsidRPr="00295E71">
        <w:rPr>
          <w:sz w:val="22"/>
          <w:szCs w:val="22"/>
        </w:rPr>
        <w:t>rispetto al placebo già entro 1-2 settimane dall’inizio del trattamento.</w:t>
      </w:r>
    </w:p>
    <w:p w:rsidR="006224C2" w14:paraId="61420992" w14:textId="77777777">
      <w:pPr>
        <w:rPr>
          <w:sz w:val="22"/>
          <w:szCs w:val="22"/>
        </w:rPr>
      </w:pPr>
    </w:p>
    <w:p w:rsidR="00A60A0D" w:rsidRPr="00295E71" w:rsidP="00A60A0D" w14:paraId="3D762113" w14:textId="77777777">
      <w:pPr>
        <w:pStyle w:val="BodyText"/>
        <w:tabs>
          <w:tab w:val="left" w:pos="3600"/>
          <w:tab w:val="center" w:pos="5760"/>
        </w:tabs>
        <w:jc w:val="left"/>
      </w:pPr>
      <w:r w:rsidRPr="00295E71">
        <w:t xml:space="preserve">Nello studio AR V, nei pazienti affetti da artrite reumatoide precoce che non erano mai stati precedentemente trattati con metotressato, la terapia associata Humira/metotressato ha determinato risposte ACR più rapide e significativamente superiori rispetto alla monoterapia con metotressato ed alla monoterapia con Humira alla settimana 52 e tali risposte si sono mantenute nell’arco di 104 settimane (vedere Tabella </w:t>
      </w:r>
      <w:r>
        <w:t>9</w:t>
      </w:r>
      <w:r w:rsidRPr="00295E71">
        <w:t>).</w:t>
      </w:r>
    </w:p>
    <w:p w:rsidR="00A60A0D" w:rsidRPr="00295E71" w14:paraId="77DFAA1E" w14:textId="77777777">
      <w:pPr>
        <w:rPr>
          <w:sz w:val="22"/>
          <w:szCs w:val="22"/>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
        <w:gridCol w:w="1718"/>
        <w:gridCol w:w="1320"/>
        <w:gridCol w:w="1320"/>
        <w:gridCol w:w="1576"/>
        <w:gridCol w:w="1100"/>
        <w:gridCol w:w="1173"/>
        <w:gridCol w:w="1210"/>
        <w:gridCol w:w="12"/>
      </w:tblGrid>
      <w:tr w14:paraId="4E53D3AA" w14:textId="77777777">
        <w:tblPrEx>
          <w:tblW w:w="9435" w:type="dxa"/>
          <w:tblLayout w:type="fixed"/>
          <w:tblLook w:val="0000"/>
        </w:tblPrEx>
        <w:trPr>
          <w:gridBefore w:val="1"/>
          <w:wBefore w:w="6" w:type="dxa"/>
          <w:cantSplit/>
        </w:trPr>
        <w:tc>
          <w:tcPr>
            <w:tcW w:w="9429" w:type="dxa"/>
            <w:gridSpan w:val="8"/>
            <w:tcBorders>
              <w:top w:val="nil"/>
              <w:left w:val="nil"/>
              <w:bottom w:val="nil"/>
              <w:right w:val="nil"/>
            </w:tcBorders>
            <w:vAlign w:val="center"/>
          </w:tcPr>
          <w:p w:rsidR="006224C2" w:rsidRPr="00295E71" w:rsidP="003B3A5A" w14:paraId="5A8E4765" w14:textId="77777777">
            <w:pPr>
              <w:pStyle w:val="BodyText"/>
              <w:keepNext/>
              <w:tabs>
                <w:tab w:val="left" w:pos="3600"/>
                <w:tab w:val="center" w:pos="5760"/>
              </w:tabs>
              <w:jc w:val="left"/>
            </w:pPr>
          </w:p>
          <w:p w:rsidR="006224C2" w:rsidRPr="00295E71" w:rsidP="003B3A5A" w14:paraId="1F55C955" w14:textId="77777777">
            <w:pPr>
              <w:pStyle w:val="BodyText"/>
              <w:keepNext/>
              <w:tabs>
                <w:tab w:val="left" w:pos="3600"/>
                <w:tab w:val="center" w:pos="5760"/>
              </w:tabs>
              <w:jc w:val="center"/>
            </w:pPr>
          </w:p>
          <w:p w:rsidR="006224C2" w:rsidRPr="00295E71" w:rsidP="003B3A5A" w14:paraId="39197AFA" w14:textId="77777777">
            <w:pPr>
              <w:pStyle w:val="BodyText"/>
              <w:keepNext/>
              <w:tabs>
                <w:tab w:val="left" w:pos="3600"/>
                <w:tab w:val="center" w:pos="5760"/>
              </w:tabs>
              <w:jc w:val="center"/>
              <w:rPr>
                <w:b/>
                <w:bCs/>
              </w:rPr>
            </w:pPr>
            <w:r w:rsidRPr="00295E71">
              <w:rPr>
                <w:b/>
                <w:bCs/>
              </w:rPr>
              <w:t xml:space="preserve">Tabella </w:t>
            </w:r>
            <w:r w:rsidR="0062664F">
              <w:rPr>
                <w:b/>
                <w:bCs/>
              </w:rPr>
              <w:t>9</w:t>
            </w:r>
          </w:p>
          <w:p w:rsidR="006224C2" w:rsidRPr="00295E71" w:rsidP="003B3A5A" w14:paraId="218F8C08" w14:textId="77777777">
            <w:pPr>
              <w:pStyle w:val="BodyText"/>
              <w:keepNext/>
              <w:tabs>
                <w:tab w:val="left" w:pos="3600"/>
                <w:tab w:val="center" w:pos="5760"/>
              </w:tabs>
              <w:jc w:val="center"/>
              <w:rPr>
                <w:b/>
                <w:bCs/>
              </w:rPr>
            </w:pPr>
            <w:r w:rsidRPr="00295E71">
              <w:rPr>
                <w:b/>
                <w:bCs/>
              </w:rPr>
              <w:t>Risposte ACR nello studio AR V</w:t>
            </w:r>
          </w:p>
          <w:p w:rsidR="006224C2" w:rsidRPr="00295E71" w:rsidP="003B3A5A" w14:paraId="1AFBE620" w14:textId="77777777">
            <w:pPr>
              <w:pStyle w:val="BodyText"/>
              <w:keepNext/>
              <w:tabs>
                <w:tab w:val="left" w:pos="3600"/>
                <w:tab w:val="center" w:pos="5760"/>
              </w:tabs>
              <w:jc w:val="center"/>
              <w:rPr>
                <w:b/>
                <w:bCs/>
                <w:caps/>
              </w:rPr>
            </w:pPr>
            <w:r w:rsidRPr="00295E71">
              <w:rPr>
                <w:b/>
                <w:bCs/>
              </w:rPr>
              <w:t>(percentuale di pazienti</w:t>
            </w:r>
            <w:r w:rsidRPr="00295E71">
              <w:rPr>
                <w:b/>
                <w:bCs/>
                <w:caps/>
              </w:rPr>
              <w:t>)</w:t>
            </w:r>
          </w:p>
          <w:p w:rsidR="006224C2" w:rsidRPr="00295E71" w:rsidP="003B3A5A" w14:paraId="4CB81D96" w14:textId="77777777">
            <w:pPr>
              <w:pStyle w:val="BodyText"/>
              <w:keepNext/>
              <w:tabs>
                <w:tab w:val="left" w:pos="3600"/>
                <w:tab w:val="center" w:pos="5760"/>
              </w:tabs>
              <w:jc w:val="center"/>
              <w:rPr>
                <w:i/>
                <w:iCs/>
              </w:rPr>
            </w:pPr>
          </w:p>
        </w:tc>
      </w:tr>
      <w:tr w14:paraId="2EF3C751" w14:textId="77777777">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vAlign w:val="center"/>
          </w:tcPr>
          <w:p w:rsidR="006224C2" w:rsidRPr="00295E71" w:rsidP="003B3A5A" w14:paraId="00EC083D" w14:textId="77777777">
            <w:pPr>
              <w:pStyle w:val="Heading6"/>
              <w:rPr>
                <w:lang w:val="it-IT"/>
              </w:rPr>
            </w:pPr>
            <w:r w:rsidRPr="00295E71">
              <w:rPr>
                <w:lang w:val="it-IT"/>
              </w:rPr>
              <w:t>Risposta</w:t>
            </w:r>
          </w:p>
        </w:tc>
        <w:tc>
          <w:tcPr>
            <w:tcW w:w="1320" w:type="dxa"/>
            <w:tcBorders>
              <w:top w:val="single" w:sz="4" w:space="0" w:color="auto"/>
              <w:left w:val="single" w:sz="4" w:space="0" w:color="auto"/>
              <w:bottom w:val="single" w:sz="4" w:space="0" w:color="auto"/>
              <w:right w:val="single" w:sz="4" w:space="0" w:color="auto"/>
            </w:tcBorders>
            <w:vAlign w:val="center"/>
          </w:tcPr>
          <w:p w:rsidR="006224C2" w:rsidRPr="00295E71" w:rsidP="003B3A5A" w14:paraId="7A04B9B7" w14:textId="77777777">
            <w:pPr>
              <w:keepNext/>
              <w:jc w:val="center"/>
              <w:rPr>
                <w:b/>
                <w:sz w:val="22"/>
                <w:szCs w:val="22"/>
              </w:rPr>
            </w:pPr>
            <w:r w:rsidRPr="00295E71">
              <w:rPr>
                <w:b/>
                <w:sz w:val="22"/>
                <w:szCs w:val="22"/>
              </w:rPr>
              <w:t>MTX</w:t>
            </w:r>
          </w:p>
          <w:p w:rsidR="006224C2" w:rsidRPr="00295E71" w:rsidP="003B3A5A" w14:paraId="22558C1B" w14:textId="77777777">
            <w:pPr>
              <w:pStyle w:val="EndnoteText"/>
              <w:keepNext/>
              <w:jc w:val="center"/>
              <w:rPr>
                <w:b/>
                <w:lang w:val="it-IT"/>
              </w:rPr>
            </w:pPr>
            <w:r w:rsidRPr="00295E71">
              <w:rPr>
                <w:b/>
                <w:lang w:val="it-IT"/>
              </w:rPr>
              <w:t>n=257</w:t>
            </w:r>
          </w:p>
        </w:tc>
        <w:tc>
          <w:tcPr>
            <w:tcW w:w="1320" w:type="dxa"/>
            <w:tcBorders>
              <w:top w:val="single" w:sz="4" w:space="0" w:color="auto"/>
              <w:left w:val="single" w:sz="4" w:space="0" w:color="auto"/>
              <w:bottom w:val="single" w:sz="4" w:space="0" w:color="auto"/>
              <w:right w:val="single" w:sz="4" w:space="0" w:color="auto"/>
            </w:tcBorders>
            <w:vAlign w:val="center"/>
          </w:tcPr>
          <w:p w:rsidR="006224C2" w:rsidRPr="00295E71" w:rsidP="003B3A5A" w14:paraId="46ECB91B" w14:textId="77777777">
            <w:pPr>
              <w:keepNext/>
              <w:jc w:val="center"/>
              <w:rPr>
                <w:b/>
                <w:sz w:val="22"/>
                <w:szCs w:val="22"/>
              </w:rPr>
            </w:pPr>
            <w:r w:rsidRPr="00295E71">
              <w:rPr>
                <w:b/>
                <w:sz w:val="22"/>
                <w:szCs w:val="22"/>
              </w:rPr>
              <w:t>Humira</w:t>
            </w:r>
          </w:p>
          <w:p w:rsidR="006224C2" w:rsidRPr="00295E71" w:rsidP="003B3A5A" w14:paraId="02861DB9" w14:textId="77777777">
            <w:pPr>
              <w:keepNext/>
              <w:jc w:val="center"/>
              <w:rPr>
                <w:b/>
                <w:sz w:val="22"/>
                <w:szCs w:val="22"/>
              </w:rPr>
            </w:pPr>
            <w:r w:rsidRPr="00295E71">
              <w:rPr>
                <w:b/>
                <w:sz w:val="22"/>
                <w:szCs w:val="22"/>
              </w:rPr>
              <w:t>n=274</w:t>
            </w:r>
          </w:p>
        </w:tc>
        <w:tc>
          <w:tcPr>
            <w:tcW w:w="1576" w:type="dxa"/>
            <w:tcBorders>
              <w:top w:val="single" w:sz="4" w:space="0" w:color="auto"/>
              <w:left w:val="single" w:sz="4" w:space="0" w:color="auto"/>
              <w:bottom w:val="single" w:sz="4" w:space="0" w:color="auto"/>
              <w:right w:val="single" w:sz="4" w:space="0" w:color="auto"/>
            </w:tcBorders>
            <w:vAlign w:val="center"/>
          </w:tcPr>
          <w:p w:rsidR="006224C2" w:rsidRPr="00295E71" w:rsidP="003B3A5A" w14:paraId="6E2EFEAC" w14:textId="77777777">
            <w:pPr>
              <w:keepNext/>
              <w:jc w:val="center"/>
              <w:rPr>
                <w:b/>
                <w:sz w:val="22"/>
                <w:szCs w:val="22"/>
              </w:rPr>
            </w:pPr>
            <w:r w:rsidRPr="00295E71">
              <w:rPr>
                <w:b/>
                <w:sz w:val="22"/>
                <w:szCs w:val="22"/>
              </w:rPr>
              <w:t>Humira/MTX</w:t>
            </w:r>
          </w:p>
          <w:p w:rsidR="006224C2" w:rsidRPr="00295E71" w:rsidP="003B3A5A" w14:paraId="1BECFCBB" w14:textId="77777777">
            <w:pPr>
              <w:keepNext/>
              <w:jc w:val="center"/>
              <w:rPr>
                <w:b/>
                <w:sz w:val="22"/>
                <w:szCs w:val="22"/>
              </w:rPr>
            </w:pPr>
            <w:r w:rsidRPr="00295E71">
              <w:rPr>
                <w:b/>
                <w:sz w:val="22"/>
                <w:szCs w:val="22"/>
              </w:rPr>
              <w:t>n=268</w:t>
            </w:r>
          </w:p>
        </w:tc>
        <w:tc>
          <w:tcPr>
            <w:tcW w:w="1100" w:type="dxa"/>
            <w:tcBorders>
              <w:top w:val="single" w:sz="4" w:space="0" w:color="auto"/>
              <w:left w:val="single" w:sz="4" w:space="0" w:color="auto"/>
              <w:bottom w:val="single" w:sz="4" w:space="0" w:color="auto"/>
              <w:right w:val="single" w:sz="4" w:space="0" w:color="auto"/>
            </w:tcBorders>
            <w:vAlign w:val="center"/>
          </w:tcPr>
          <w:p w:rsidR="006224C2" w:rsidRPr="00295E71" w:rsidP="003B3A5A" w14:paraId="6DA8603B" w14:textId="77777777">
            <w:pPr>
              <w:pStyle w:val="EndnoteText"/>
              <w:keepNext/>
              <w:jc w:val="center"/>
              <w:rPr>
                <w:b/>
                <w:lang w:val="it-IT"/>
              </w:rPr>
            </w:pPr>
            <w:r w:rsidRPr="00295E71">
              <w:rPr>
                <w:b/>
                <w:lang w:val="it-IT"/>
              </w:rPr>
              <w:t>Valore p</w:t>
            </w:r>
            <w:r w:rsidRPr="00295E71">
              <w:rPr>
                <w:b/>
                <w:vertAlign w:val="superscript"/>
                <w:lang w:val="it-IT"/>
              </w:rPr>
              <w:t>a</w:t>
            </w:r>
          </w:p>
        </w:tc>
        <w:tc>
          <w:tcPr>
            <w:tcW w:w="1173" w:type="dxa"/>
            <w:tcBorders>
              <w:top w:val="single" w:sz="4" w:space="0" w:color="auto"/>
              <w:left w:val="single" w:sz="4" w:space="0" w:color="auto"/>
              <w:bottom w:val="single" w:sz="4" w:space="0" w:color="auto"/>
              <w:right w:val="single" w:sz="4" w:space="0" w:color="auto"/>
            </w:tcBorders>
            <w:vAlign w:val="center"/>
          </w:tcPr>
          <w:p w:rsidR="006224C2" w:rsidRPr="00295E71" w:rsidP="003B3A5A" w14:paraId="6F80B084" w14:textId="77777777">
            <w:pPr>
              <w:keepNext/>
              <w:jc w:val="center"/>
              <w:rPr>
                <w:b/>
                <w:sz w:val="22"/>
                <w:szCs w:val="22"/>
              </w:rPr>
            </w:pPr>
            <w:r w:rsidRPr="00295E71">
              <w:rPr>
                <w:b/>
                <w:sz w:val="22"/>
                <w:szCs w:val="22"/>
              </w:rPr>
              <w:t>Valore p</w:t>
            </w:r>
            <w:r w:rsidRPr="00295E71">
              <w:rPr>
                <w:b/>
                <w:sz w:val="22"/>
                <w:szCs w:val="22"/>
                <w:vertAlign w:val="superscript"/>
              </w:rPr>
              <w:t>b</w:t>
            </w:r>
          </w:p>
        </w:tc>
        <w:tc>
          <w:tcPr>
            <w:tcW w:w="1210" w:type="dxa"/>
            <w:tcBorders>
              <w:top w:val="single" w:sz="4" w:space="0" w:color="auto"/>
              <w:left w:val="single" w:sz="4" w:space="0" w:color="auto"/>
              <w:bottom w:val="single" w:sz="4" w:space="0" w:color="auto"/>
              <w:right w:val="single" w:sz="4" w:space="0" w:color="auto"/>
            </w:tcBorders>
            <w:vAlign w:val="center"/>
          </w:tcPr>
          <w:p w:rsidR="006224C2" w:rsidRPr="00295E71" w14:paraId="3700A62C" w14:textId="77777777">
            <w:pPr>
              <w:jc w:val="center"/>
              <w:rPr>
                <w:sz w:val="22"/>
                <w:szCs w:val="22"/>
              </w:rPr>
            </w:pPr>
            <w:r w:rsidRPr="00295E71">
              <w:rPr>
                <w:b/>
                <w:sz w:val="22"/>
                <w:szCs w:val="22"/>
              </w:rPr>
              <w:t>Valore p</w:t>
            </w:r>
            <w:r w:rsidRPr="00295E71">
              <w:rPr>
                <w:b/>
                <w:sz w:val="22"/>
                <w:szCs w:val="22"/>
                <w:vertAlign w:val="superscript"/>
              </w:rPr>
              <w:t>c</w:t>
            </w:r>
          </w:p>
        </w:tc>
      </w:tr>
      <w:tr w14:paraId="6421841B" w14:textId="77777777">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rsidP="003B3A5A" w14:paraId="59324664" w14:textId="77777777">
            <w:pPr>
              <w:keepNext/>
              <w:rPr>
                <w:sz w:val="22"/>
                <w:szCs w:val="22"/>
              </w:rPr>
            </w:pPr>
            <w:r w:rsidRPr="00295E71">
              <w:rPr>
                <w:sz w:val="22"/>
                <w:szCs w:val="22"/>
              </w:rPr>
              <w:t>ACR 20</w:t>
            </w: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78C34D9B" w14:textId="77777777">
            <w:pPr>
              <w:keepNext/>
              <w:jc w:val="center"/>
              <w:rPr>
                <w:sz w:val="22"/>
                <w:szCs w:val="22"/>
              </w:rPr>
            </w:pP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778526FF" w14:textId="77777777">
            <w:pPr>
              <w:keepNext/>
              <w:jc w:val="center"/>
              <w:rPr>
                <w:sz w:val="22"/>
                <w:szCs w:val="22"/>
              </w:rPr>
            </w:pPr>
          </w:p>
        </w:tc>
        <w:tc>
          <w:tcPr>
            <w:tcW w:w="1576" w:type="dxa"/>
            <w:tcBorders>
              <w:top w:val="single" w:sz="4" w:space="0" w:color="auto"/>
              <w:left w:val="single" w:sz="4" w:space="0" w:color="auto"/>
              <w:bottom w:val="single" w:sz="4" w:space="0" w:color="auto"/>
              <w:right w:val="single" w:sz="4" w:space="0" w:color="auto"/>
            </w:tcBorders>
          </w:tcPr>
          <w:p w:rsidR="006224C2" w:rsidRPr="00295E71" w:rsidP="003B3A5A" w14:paraId="4A35EFDC" w14:textId="77777777">
            <w:pPr>
              <w:keepNext/>
              <w:jc w:val="center"/>
              <w:rPr>
                <w:sz w:val="22"/>
                <w:szCs w:val="22"/>
              </w:rPr>
            </w:pPr>
          </w:p>
        </w:tc>
        <w:tc>
          <w:tcPr>
            <w:tcW w:w="1100" w:type="dxa"/>
            <w:tcBorders>
              <w:top w:val="single" w:sz="4" w:space="0" w:color="auto"/>
              <w:left w:val="single" w:sz="4" w:space="0" w:color="auto"/>
              <w:bottom w:val="single" w:sz="4" w:space="0" w:color="auto"/>
              <w:right w:val="single" w:sz="4" w:space="0" w:color="auto"/>
            </w:tcBorders>
          </w:tcPr>
          <w:p w:rsidR="006224C2" w:rsidRPr="00295E71" w:rsidP="003B3A5A" w14:paraId="123FA211" w14:textId="77777777">
            <w:pPr>
              <w:keepNext/>
              <w:jc w:val="center"/>
              <w:rPr>
                <w:sz w:val="22"/>
                <w:szCs w:val="22"/>
              </w:rPr>
            </w:pPr>
          </w:p>
        </w:tc>
        <w:tc>
          <w:tcPr>
            <w:tcW w:w="1173" w:type="dxa"/>
            <w:tcBorders>
              <w:top w:val="single" w:sz="4" w:space="0" w:color="auto"/>
              <w:left w:val="single" w:sz="4" w:space="0" w:color="auto"/>
              <w:bottom w:val="single" w:sz="4" w:space="0" w:color="auto"/>
              <w:right w:val="single" w:sz="4" w:space="0" w:color="auto"/>
            </w:tcBorders>
          </w:tcPr>
          <w:p w:rsidR="006224C2" w:rsidRPr="00295E71" w:rsidP="003B3A5A" w14:paraId="2E39232B" w14:textId="77777777">
            <w:pPr>
              <w:keepNext/>
              <w:jc w:val="center"/>
              <w:rPr>
                <w:sz w:val="22"/>
                <w:szCs w:val="22"/>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6106FCEA" w14:textId="77777777">
            <w:pPr>
              <w:jc w:val="center"/>
              <w:rPr>
                <w:sz w:val="22"/>
                <w:szCs w:val="22"/>
              </w:rPr>
            </w:pPr>
          </w:p>
        </w:tc>
      </w:tr>
      <w:tr w14:paraId="24D60301" w14:textId="77777777">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rsidP="003B3A5A" w14:paraId="74D5FD9C" w14:textId="77777777">
            <w:pPr>
              <w:keepNext/>
              <w:rPr>
                <w:sz w:val="22"/>
                <w:szCs w:val="22"/>
              </w:rPr>
            </w:pPr>
            <w:r w:rsidRPr="00295E71">
              <w:rPr>
                <w:sz w:val="22"/>
                <w:szCs w:val="22"/>
              </w:rPr>
              <w:t>Settimana 52</w:t>
            </w: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506F48E6" w14:textId="77777777">
            <w:pPr>
              <w:keepNext/>
              <w:jc w:val="center"/>
              <w:rPr>
                <w:sz w:val="22"/>
                <w:szCs w:val="22"/>
              </w:rPr>
            </w:pPr>
            <w:r w:rsidRPr="00295E71">
              <w:rPr>
                <w:sz w:val="22"/>
                <w:szCs w:val="22"/>
              </w:rPr>
              <w:t>62,6%</w:t>
            </w: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584C89E0" w14:textId="77777777">
            <w:pPr>
              <w:keepNext/>
              <w:jc w:val="center"/>
              <w:rPr>
                <w:sz w:val="22"/>
                <w:szCs w:val="22"/>
              </w:rPr>
            </w:pPr>
            <w:r w:rsidRPr="00295E71">
              <w:rPr>
                <w:sz w:val="22"/>
                <w:szCs w:val="22"/>
              </w:rPr>
              <w:t>54,4%</w:t>
            </w:r>
          </w:p>
        </w:tc>
        <w:tc>
          <w:tcPr>
            <w:tcW w:w="1576" w:type="dxa"/>
            <w:tcBorders>
              <w:top w:val="single" w:sz="4" w:space="0" w:color="auto"/>
              <w:left w:val="single" w:sz="4" w:space="0" w:color="auto"/>
              <w:bottom w:val="single" w:sz="4" w:space="0" w:color="auto"/>
              <w:right w:val="single" w:sz="4" w:space="0" w:color="auto"/>
            </w:tcBorders>
          </w:tcPr>
          <w:p w:rsidR="006224C2" w:rsidRPr="00295E71" w:rsidP="003B3A5A" w14:paraId="0B524CEA" w14:textId="77777777">
            <w:pPr>
              <w:keepNext/>
              <w:jc w:val="center"/>
              <w:rPr>
                <w:sz w:val="22"/>
                <w:szCs w:val="22"/>
              </w:rPr>
            </w:pPr>
            <w:r w:rsidRPr="00295E71">
              <w:rPr>
                <w:sz w:val="22"/>
                <w:szCs w:val="22"/>
              </w:rPr>
              <w:t>72,8%</w:t>
            </w:r>
          </w:p>
        </w:tc>
        <w:tc>
          <w:tcPr>
            <w:tcW w:w="1100" w:type="dxa"/>
            <w:tcBorders>
              <w:top w:val="single" w:sz="4" w:space="0" w:color="auto"/>
              <w:left w:val="single" w:sz="4" w:space="0" w:color="auto"/>
              <w:bottom w:val="single" w:sz="4" w:space="0" w:color="auto"/>
              <w:right w:val="single" w:sz="4" w:space="0" w:color="auto"/>
            </w:tcBorders>
          </w:tcPr>
          <w:p w:rsidR="006224C2" w:rsidRPr="00295E71" w:rsidP="003B3A5A" w14:paraId="6F5D6E1E" w14:textId="77777777">
            <w:pPr>
              <w:keepNext/>
              <w:jc w:val="center"/>
              <w:rPr>
                <w:sz w:val="22"/>
                <w:szCs w:val="22"/>
              </w:rPr>
            </w:pPr>
            <w:r w:rsidRPr="00295E71">
              <w:rPr>
                <w:sz w:val="22"/>
                <w:szCs w:val="22"/>
              </w:rPr>
              <w:t>0,013</w:t>
            </w:r>
          </w:p>
        </w:tc>
        <w:tc>
          <w:tcPr>
            <w:tcW w:w="1173" w:type="dxa"/>
            <w:tcBorders>
              <w:top w:val="single" w:sz="4" w:space="0" w:color="auto"/>
              <w:left w:val="single" w:sz="4" w:space="0" w:color="auto"/>
              <w:bottom w:val="single" w:sz="4" w:space="0" w:color="auto"/>
              <w:right w:val="single" w:sz="4" w:space="0" w:color="auto"/>
            </w:tcBorders>
          </w:tcPr>
          <w:p w:rsidR="006224C2" w:rsidRPr="00295E71" w:rsidP="003B3A5A" w14:paraId="6E566F2E" w14:textId="77777777">
            <w:pPr>
              <w:keepNext/>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6224C2" w:rsidRPr="00295E71" w14:paraId="04F42256" w14:textId="77777777">
            <w:pPr>
              <w:jc w:val="center"/>
              <w:rPr>
                <w:sz w:val="22"/>
                <w:szCs w:val="22"/>
              </w:rPr>
            </w:pPr>
            <w:r w:rsidRPr="00295E71">
              <w:rPr>
                <w:sz w:val="22"/>
                <w:szCs w:val="22"/>
              </w:rPr>
              <w:t>0,043</w:t>
            </w:r>
          </w:p>
        </w:tc>
      </w:tr>
      <w:tr w14:paraId="44D15DD6" w14:textId="77777777">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rsidP="003B3A5A" w14:paraId="413DF4F6" w14:textId="77777777">
            <w:pPr>
              <w:keepNext/>
              <w:rPr>
                <w:sz w:val="22"/>
                <w:szCs w:val="22"/>
              </w:rPr>
            </w:pPr>
            <w:r w:rsidRPr="00295E71">
              <w:rPr>
                <w:sz w:val="22"/>
                <w:szCs w:val="22"/>
              </w:rPr>
              <w:t>Settimana 104</w:t>
            </w: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00EB52AB" w14:textId="77777777">
            <w:pPr>
              <w:keepNext/>
              <w:jc w:val="center"/>
              <w:rPr>
                <w:sz w:val="22"/>
                <w:szCs w:val="22"/>
              </w:rPr>
            </w:pPr>
            <w:r w:rsidRPr="00295E71">
              <w:rPr>
                <w:sz w:val="22"/>
                <w:szCs w:val="22"/>
              </w:rPr>
              <w:t>56,0%</w:t>
            </w: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5ECF20AB" w14:textId="77777777">
            <w:pPr>
              <w:keepNext/>
              <w:jc w:val="center"/>
              <w:rPr>
                <w:sz w:val="22"/>
                <w:szCs w:val="22"/>
              </w:rPr>
            </w:pPr>
            <w:r w:rsidRPr="00295E71">
              <w:rPr>
                <w:sz w:val="22"/>
                <w:szCs w:val="22"/>
              </w:rPr>
              <w:t>49,3%</w:t>
            </w:r>
          </w:p>
        </w:tc>
        <w:tc>
          <w:tcPr>
            <w:tcW w:w="1576" w:type="dxa"/>
            <w:tcBorders>
              <w:top w:val="single" w:sz="4" w:space="0" w:color="auto"/>
              <w:left w:val="single" w:sz="4" w:space="0" w:color="auto"/>
              <w:bottom w:val="single" w:sz="4" w:space="0" w:color="auto"/>
              <w:right w:val="single" w:sz="4" w:space="0" w:color="auto"/>
            </w:tcBorders>
          </w:tcPr>
          <w:p w:rsidR="006224C2" w:rsidRPr="00295E71" w:rsidP="003B3A5A" w14:paraId="4B2522F4" w14:textId="77777777">
            <w:pPr>
              <w:keepNext/>
              <w:jc w:val="center"/>
              <w:rPr>
                <w:sz w:val="22"/>
                <w:szCs w:val="22"/>
              </w:rPr>
            </w:pPr>
            <w:r w:rsidRPr="00295E71">
              <w:rPr>
                <w:sz w:val="22"/>
                <w:szCs w:val="22"/>
              </w:rPr>
              <w:t>69,4%</w:t>
            </w:r>
          </w:p>
        </w:tc>
        <w:tc>
          <w:tcPr>
            <w:tcW w:w="1100" w:type="dxa"/>
            <w:tcBorders>
              <w:top w:val="single" w:sz="4" w:space="0" w:color="auto"/>
              <w:left w:val="single" w:sz="4" w:space="0" w:color="auto"/>
              <w:bottom w:val="single" w:sz="4" w:space="0" w:color="auto"/>
              <w:right w:val="single" w:sz="4" w:space="0" w:color="auto"/>
            </w:tcBorders>
          </w:tcPr>
          <w:p w:rsidR="006224C2" w:rsidRPr="00295E71" w:rsidP="003B3A5A" w14:paraId="6ABABFFB" w14:textId="77777777">
            <w:pPr>
              <w:keepNext/>
              <w:jc w:val="center"/>
              <w:rPr>
                <w:sz w:val="22"/>
                <w:szCs w:val="22"/>
              </w:rPr>
            </w:pPr>
            <w:r w:rsidRPr="00295E71">
              <w:rPr>
                <w:sz w:val="22"/>
                <w:szCs w:val="22"/>
              </w:rPr>
              <w:t>0,002</w:t>
            </w:r>
          </w:p>
        </w:tc>
        <w:tc>
          <w:tcPr>
            <w:tcW w:w="1173" w:type="dxa"/>
            <w:tcBorders>
              <w:top w:val="single" w:sz="4" w:space="0" w:color="auto"/>
              <w:left w:val="single" w:sz="4" w:space="0" w:color="auto"/>
              <w:bottom w:val="single" w:sz="4" w:space="0" w:color="auto"/>
              <w:right w:val="single" w:sz="4" w:space="0" w:color="auto"/>
            </w:tcBorders>
          </w:tcPr>
          <w:p w:rsidR="006224C2" w:rsidRPr="00295E71" w:rsidP="003B3A5A" w14:paraId="1963FC1E" w14:textId="77777777">
            <w:pPr>
              <w:keepNext/>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6224C2" w:rsidRPr="00295E71" w14:paraId="2BCBCF03" w14:textId="77777777">
            <w:pPr>
              <w:jc w:val="center"/>
              <w:rPr>
                <w:sz w:val="22"/>
                <w:szCs w:val="22"/>
              </w:rPr>
            </w:pPr>
            <w:r w:rsidRPr="00295E71">
              <w:rPr>
                <w:sz w:val="22"/>
                <w:szCs w:val="22"/>
              </w:rPr>
              <w:t>0,140</w:t>
            </w:r>
          </w:p>
        </w:tc>
      </w:tr>
      <w:tr w14:paraId="785E9B2A" w14:textId="77777777">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rsidP="003B3A5A" w14:paraId="2F09B9FA" w14:textId="77777777">
            <w:pPr>
              <w:keepNext/>
              <w:rPr>
                <w:sz w:val="22"/>
                <w:szCs w:val="22"/>
              </w:rPr>
            </w:pPr>
            <w:r w:rsidRPr="00295E71">
              <w:rPr>
                <w:sz w:val="22"/>
                <w:szCs w:val="22"/>
              </w:rPr>
              <w:t>ACR 50</w:t>
            </w: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2330807E" w14:textId="77777777">
            <w:pPr>
              <w:keepNext/>
              <w:jc w:val="center"/>
              <w:rPr>
                <w:sz w:val="22"/>
                <w:szCs w:val="22"/>
              </w:rPr>
            </w:pP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16BE1EFE" w14:textId="77777777">
            <w:pPr>
              <w:keepNext/>
              <w:jc w:val="center"/>
              <w:rPr>
                <w:sz w:val="22"/>
                <w:szCs w:val="22"/>
              </w:rPr>
            </w:pPr>
          </w:p>
        </w:tc>
        <w:tc>
          <w:tcPr>
            <w:tcW w:w="1576" w:type="dxa"/>
            <w:tcBorders>
              <w:top w:val="single" w:sz="4" w:space="0" w:color="auto"/>
              <w:left w:val="single" w:sz="4" w:space="0" w:color="auto"/>
              <w:bottom w:val="single" w:sz="4" w:space="0" w:color="auto"/>
              <w:right w:val="single" w:sz="4" w:space="0" w:color="auto"/>
            </w:tcBorders>
          </w:tcPr>
          <w:p w:rsidR="006224C2" w:rsidRPr="00295E71" w:rsidP="003B3A5A" w14:paraId="16B7B91D" w14:textId="77777777">
            <w:pPr>
              <w:keepNext/>
              <w:jc w:val="center"/>
              <w:rPr>
                <w:sz w:val="22"/>
                <w:szCs w:val="22"/>
              </w:rPr>
            </w:pPr>
          </w:p>
        </w:tc>
        <w:tc>
          <w:tcPr>
            <w:tcW w:w="1100" w:type="dxa"/>
            <w:tcBorders>
              <w:top w:val="single" w:sz="4" w:space="0" w:color="auto"/>
              <w:left w:val="single" w:sz="4" w:space="0" w:color="auto"/>
              <w:bottom w:val="single" w:sz="4" w:space="0" w:color="auto"/>
              <w:right w:val="single" w:sz="4" w:space="0" w:color="auto"/>
            </w:tcBorders>
          </w:tcPr>
          <w:p w:rsidR="006224C2" w:rsidRPr="00295E71" w:rsidP="003B3A5A" w14:paraId="214541EA" w14:textId="77777777">
            <w:pPr>
              <w:keepNext/>
              <w:jc w:val="center"/>
              <w:rPr>
                <w:sz w:val="22"/>
                <w:szCs w:val="22"/>
              </w:rPr>
            </w:pPr>
          </w:p>
        </w:tc>
        <w:tc>
          <w:tcPr>
            <w:tcW w:w="1173" w:type="dxa"/>
            <w:tcBorders>
              <w:top w:val="single" w:sz="4" w:space="0" w:color="auto"/>
              <w:left w:val="single" w:sz="4" w:space="0" w:color="auto"/>
              <w:bottom w:val="single" w:sz="4" w:space="0" w:color="auto"/>
              <w:right w:val="single" w:sz="4" w:space="0" w:color="auto"/>
            </w:tcBorders>
          </w:tcPr>
          <w:p w:rsidR="006224C2" w:rsidRPr="00295E71" w:rsidP="003B3A5A" w14:paraId="78FE6035" w14:textId="77777777">
            <w:pPr>
              <w:keepNext/>
              <w:jc w:val="center"/>
              <w:rPr>
                <w:sz w:val="22"/>
                <w:szCs w:val="22"/>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51BDC5EB" w14:textId="77777777">
            <w:pPr>
              <w:jc w:val="center"/>
              <w:rPr>
                <w:sz w:val="22"/>
                <w:szCs w:val="22"/>
              </w:rPr>
            </w:pPr>
          </w:p>
        </w:tc>
      </w:tr>
      <w:tr w14:paraId="7715F789" w14:textId="77777777">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rsidP="003B3A5A" w14:paraId="60738F72" w14:textId="77777777">
            <w:pPr>
              <w:keepNext/>
              <w:rPr>
                <w:sz w:val="22"/>
                <w:szCs w:val="22"/>
              </w:rPr>
            </w:pPr>
            <w:r w:rsidRPr="00295E71">
              <w:rPr>
                <w:sz w:val="22"/>
                <w:szCs w:val="22"/>
              </w:rPr>
              <w:t>Settimana 52</w:t>
            </w: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4C52E58D" w14:textId="77777777">
            <w:pPr>
              <w:keepNext/>
              <w:jc w:val="center"/>
              <w:rPr>
                <w:sz w:val="22"/>
                <w:szCs w:val="22"/>
              </w:rPr>
            </w:pPr>
            <w:r w:rsidRPr="00295E71">
              <w:rPr>
                <w:sz w:val="22"/>
                <w:szCs w:val="22"/>
              </w:rPr>
              <w:t>45,9%</w:t>
            </w: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233D2399" w14:textId="77777777">
            <w:pPr>
              <w:keepNext/>
              <w:jc w:val="center"/>
              <w:rPr>
                <w:sz w:val="22"/>
                <w:szCs w:val="22"/>
              </w:rPr>
            </w:pPr>
            <w:r w:rsidRPr="00295E71">
              <w:rPr>
                <w:sz w:val="22"/>
                <w:szCs w:val="22"/>
              </w:rPr>
              <w:t>41,2%</w:t>
            </w:r>
          </w:p>
        </w:tc>
        <w:tc>
          <w:tcPr>
            <w:tcW w:w="1576" w:type="dxa"/>
            <w:tcBorders>
              <w:top w:val="single" w:sz="4" w:space="0" w:color="auto"/>
              <w:left w:val="single" w:sz="4" w:space="0" w:color="auto"/>
              <w:bottom w:val="single" w:sz="4" w:space="0" w:color="auto"/>
              <w:right w:val="single" w:sz="4" w:space="0" w:color="auto"/>
            </w:tcBorders>
          </w:tcPr>
          <w:p w:rsidR="006224C2" w:rsidRPr="00295E71" w:rsidP="003B3A5A" w14:paraId="7B8B6218" w14:textId="77777777">
            <w:pPr>
              <w:keepNext/>
              <w:jc w:val="center"/>
              <w:rPr>
                <w:sz w:val="22"/>
                <w:szCs w:val="22"/>
              </w:rPr>
            </w:pPr>
            <w:r w:rsidRPr="00295E71">
              <w:rPr>
                <w:sz w:val="22"/>
                <w:szCs w:val="22"/>
              </w:rPr>
              <w:t>61,6%</w:t>
            </w:r>
          </w:p>
        </w:tc>
        <w:tc>
          <w:tcPr>
            <w:tcW w:w="1100" w:type="dxa"/>
            <w:tcBorders>
              <w:top w:val="single" w:sz="4" w:space="0" w:color="auto"/>
              <w:left w:val="single" w:sz="4" w:space="0" w:color="auto"/>
              <w:bottom w:val="single" w:sz="4" w:space="0" w:color="auto"/>
              <w:right w:val="single" w:sz="4" w:space="0" w:color="auto"/>
            </w:tcBorders>
          </w:tcPr>
          <w:p w:rsidR="006224C2" w:rsidRPr="00295E71" w:rsidP="003B3A5A" w14:paraId="2D3F37CB" w14:textId="77777777">
            <w:pPr>
              <w:keepNext/>
              <w:jc w:val="center"/>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6224C2" w:rsidRPr="00295E71" w:rsidP="003B3A5A" w14:paraId="6D4C30FF" w14:textId="77777777">
            <w:pPr>
              <w:keepNext/>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6224C2" w:rsidRPr="00295E71" w14:paraId="1F00A711" w14:textId="77777777">
            <w:pPr>
              <w:jc w:val="center"/>
              <w:rPr>
                <w:sz w:val="22"/>
                <w:szCs w:val="22"/>
              </w:rPr>
            </w:pPr>
            <w:r w:rsidRPr="00295E71">
              <w:rPr>
                <w:sz w:val="22"/>
                <w:szCs w:val="22"/>
              </w:rPr>
              <w:t>0,317</w:t>
            </w:r>
          </w:p>
        </w:tc>
      </w:tr>
      <w:tr w14:paraId="7FB4D3B9" w14:textId="77777777">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rsidP="003B3A5A" w14:paraId="20C64419" w14:textId="77777777">
            <w:pPr>
              <w:keepNext/>
              <w:rPr>
                <w:sz w:val="22"/>
                <w:szCs w:val="22"/>
              </w:rPr>
            </w:pPr>
            <w:r w:rsidRPr="00295E71">
              <w:rPr>
                <w:sz w:val="22"/>
                <w:szCs w:val="22"/>
              </w:rPr>
              <w:t>Settimana 104</w:t>
            </w: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712F3A56" w14:textId="77777777">
            <w:pPr>
              <w:keepNext/>
              <w:jc w:val="center"/>
              <w:rPr>
                <w:sz w:val="22"/>
                <w:szCs w:val="22"/>
              </w:rPr>
            </w:pPr>
            <w:r w:rsidRPr="00295E71">
              <w:rPr>
                <w:sz w:val="22"/>
                <w:szCs w:val="22"/>
              </w:rPr>
              <w:t>42,8%</w:t>
            </w: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3BDDEB7B" w14:textId="77777777">
            <w:pPr>
              <w:keepNext/>
              <w:jc w:val="center"/>
              <w:rPr>
                <w:sz w:val="22"/>
                <w:szCs w:val="22"/>
              </w:rPr>
            </w:pPr>
            <w:r w:rsidRPr="00295E71">
              <w:rPr>
                <w:sz w:val="22"/>
                <w:szCs w:val="22"/>
              </w:rPr>
              <w:t>36,9%</w:t>
            </w:r>
          </w:p>
        </w:tc>
        <w:tc>
          <w:tcPr>
            <w:tcW w:w="1576" w:type="dxa"/>
            <w:tcBorders>
              <w:top w:val="single" w:sz="4" w:space="0" w:color="auto"/>
              <w:left w:val="single" w:sz="4" w:space="0" w:color="auto"/>
              <w:bottom w:val="single" w:sz="4" w:space="0" w:color="auto"/>
              <w:right w:val="single" w:sz="4" w:space="0" w:color="auto"/>
            </w:tcBorders>
          </w:tcPr>
          <w:p w:rsidR="006224C2" w:rsidRPr="00295E71" w:rsidP="003B3A5A" w14:paraId="4B9F9970" w14:textId="77777777">
            <w:pPr>
              <w:keepNext/>
              <w:jc w:val="center"/>
              <w:rPr>
                <w:sz w:val="22"/>
                <w:szCs w:val="22"/>
              </w:rPr>
            </w:pPr>
            <w:r w:rsidRPr="00295E71">
              <w:rPr>
                <w:sz w:val="22"/>
                <w:szCs w:val="22"/>
              </w:rPr>
              <w:t>59,0%</w:t>
            </w:r>
          </w:p>
        </w:tc>
        <w:tc>
          <w:tcPr>
            <w:tcW w:w="1100" w:type="dxa"/>
            <w:tcBorders>
              <w:top w:val="single" w:sz="4" w:space="0" w:color="auto"/>
              <w:left w:val="single" w:sz="4" w:space="0" w:color="auto"/>
              <w:bottom w:val="single" w:sz="4" w:space="0" w:color="auto"/>
              <w:right w:val="single" w:sz="4" w:space="0" w:color="auto"/>
            </w:tcBorders>
          </w:tcPr>
          <w:p w:rsidR="006224C2" w:rsidRPr="00295E71" w:rsidP="003B3A5A" w14:paraId="44CE29AA" w14:textId="77777777">
            <w:pPr>
              <w:keepNext/>
              <w:jc w:val="center"/>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6224C2" w:rsidRPr="00295E71" w:rsidP="003B3A5A" w14:paraId="34213FA4" w14:textId="77777777">
            <w:pPr>
              <w:keepNext/>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6224C2" w:rsidRPr="00295E71" w14:paraId="7A934B18" w14:textId="77777777">
            <w:pPr>
              <w:jc w:val="center"/>
              <w:rPr>
                <w:sz w:val="22"/>
                <w:szCs w:val="22"/>
              </w:rPr>
            </w:pPr>
            <w:r w:rsidRPr="00295E71">
              <w:rPr>
                <w:sz w:val="22"/>
                <w:szCs w:val="22"/>
              </w:rPr>
              <w:t>0,162</w:t>
            </w:r>
          </w:p>
        </w:tc>
      </w:tr>
      <w:tr w14:paraId="6BD3D83E" w14:textId="77777777">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rsidP="003B3A5A" w14:paraId="572B51B9" w14:textId="77777777">
            <w:pPr>
              <w:keepNext/>
              <w:rPr>
                <w:sz w:val="22"/>
                <w:szCs w:val="22"/>
              </w:rPr>
            </w:pPr>
            <w:r w:rsidRPr="00295E71">
              <w:rPr>
                <w:sz w:val="22"/>
                <w:szCs w:val="22"/>
              </w:rPr>
              <w:t>ACR 70</w:t>
            </w: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33EB073D" w14:textId="77777777">
            <w:pPr>
              <w:keepNext/>
              <w:jc w:val="center"/>
              <w:rPr>
                <w:sz w:val="22"/>
                <w:szCs w:val="22"/>
              </w:rPr>
            </w:pPr>
          </w:p>
        </w:tc>
        <w:tc>
          <w:tcPr>
            <w:tcW w:w="1320" w:type="dxa"/>
            <w:tcBorders>
              <w:top w:val="single" w:sz="4" w:space="0" w:color="auto"/>
              <w:left w:val="single" w:sz="4" w:space="0" w:color="auto"/>
              <w:bottom w:val="single" w:sz="4" w:space="0" w:color="auto"/>
              <w:right w:val="single" w:sz="4" w:space="0" w:color="auto"/>
            </w:tcBorders>
          </w:tcPr>
          <w:p w:rsidR="006224C2" w:rsidRPr="00295E71" w:rsidP="003B3A5A" w14:paraId="5A81919D" w14:textId="77777777">
            <w:pPr>
              <w:keepNext/>
              <w:jc w:val="center"/>
              <w:rPr>
                <w:sz w:val="22"/>
                <w:szCs w:val="22"/>
              </w:rPr>
            </w:pPr>
          </w:p>
        </w:tc>
        <w:tc>
          <w:tcPr>
            <w:tcW w:w="1576" w:type="dxa"/>
            <w:tcBorders>
              <w:top w:val="single" w:sz="4" w:space="0" w:color="auto"/>
              <w:left w:val="single" w:sz="4" w:space="0" w:color="auto"/>
              <w:bottom w:val="single" w:sz="4" w:space="0" w:color="auto"/>
              <w:right w:val="single" w:sz="4" w:space="0" w:color="auto"/>
            </w:tcBorders>
          </w:tcPr>
          <w:p w:rsidR="006224C2" w:rsidRPr="00295E71" w:rsidP="003B3A5A" w14:paraId="37BC27CD" w14:textId="77777777">
            <w:pPr>
              <w:keepNext/>
              <w:jc w:val="center"/>
              <w:rPr>
                <w:sz w:val="22"/>
                <w:szCs w:val="22"/>
              </w:rPr>
            </w:pPr>
          </w:p>
        </w:tc>
        <w:tc>
          <w:tcPr>
            <w:tcW w:w="1100" w:type="dxa"/>
            <w:tcBorders>
              <w:top w:val="single" w:sz="4" w:space="0" w:color="auto"/>
              <w:left w:val="single" w:sz="4" w:space="0" w:color="auto"/>
              <w:bottom w:val="single" w:sz="4" w:space="0" w:color="auto"/>
              <w:right w:val="single" w:sz="4" w:space="0" w:color="auto"/>
            </w:tcBorders>
          </w:tcPr>
          <w:p w:rsidR="006224C2" w:rsidRPr="00295E71" w:rsidP="003B3A5A" w14:paraId="484FAF4D" w14:textId="77777777">
            <w:pPr>
              <w:keepNext/>
              <w:jc w:val="center"/>
              <w:rPr>
                <w:sz w:val="22"/>
                <w:szCs w:val="22"/>
              </w:rPr>
            </w:pPr>
          </w:p>
        </w:tc>
        <w:tc>
          <w:tcPr>
            <w:tcW w:w="1173" w:type="dxa"/>
            <w:tcBorders>
              <w:top w:val="single" w:sz="4" w:space="0" w:color="auto"/>
              <w:left w:val="single" w:sz="4" w:space="0" w:color="auto"/>
              <w:bottom w:val="single" w:sz="4" w:space="0" w:color="auto"/>
              <w:right w:val="single" w:sz="4" w:space="0" w:color="auto"/>
            </w:tcBorders>
          </w:tcPr>
          <w:p w:rsidR="006224C2" w:rsidRPr="00295E71" w:rsidP="003B3A5A" w14:paraId="3404EFEB" w14:textId="77777777">
            <w:pPr>
              <w:keepNext/>
              <w:jc w:val="center"/>
              <w:rPr>
                <w:sz w:val="22"/>
                <w:szCs w:val="22"/>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3C74E722" w14:textId="77777777">
            <w:pPr>
              <w:jc w:val="center"/>
              <w:rPr>
                <w:sz w:val="22"/>
                <w:szCs w:val="22"/>
              </w:rPr>
            </w:pPr>
          </w:p>
        </w:tc>
      </w:tr>
      <w:tr w14:paraId="1B41A853" w14:textId="77777777">
        <w:tblPrEx>
          <w:tblW w:w="9435" w:type="dxa"/>
          <w:tblLayout w:type="fixed"/>
          <w:tblLook w:val="0000"/>
        </w:tblPrEx>
        <w:trPr>
          <w:gridAfter w:val="1"/>
          <w:wAfter w:w="12" w:type="dxa"/>
          <w:cantSplit/>
          <w:trHeight w:val="70"/>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14:paraId="391BBB02" w14:textId="77777777">
            <w:pPr>
              <w:rPr>
                <w:sz w:val="22"/>
                <w:szCs w:val="22"/>
              </w:rPr>
            </w:pPr>
            <w:r w:rsidRPr="00295E71">
              <w:rPr>
                <w:sz w:val="22"/>
                <w:szCs w:val="22"/>
              </w:rPr>
              <w:t>Settimana 52</w:t>
            </w:r>
          </w:p>
        </w:tc>
        <w:tc>
          <w:tcPr>
            <w:tcW w:w="1320" w:type="dxa"/>
            <w:tcBorders>
              <w:top w:val="single" w:sz="4" w:space="0" w:color="auto"/>
              <w:left w:val="single" w:sz="4" w:space="0" w:color="auto"/>
              <w:bottom w:val="single" w:sz="4" w:space="0" w:color="auto"/>
              <w:right w:val="single" w:sz="4" w:space="0" w:color="auto"/>
            </w:tcBorders>
          </w:tcPr>
          <w:p w:rsidR="006224C2" w:rsidRPr="00295E71" w14:paraId="77E2188F" w14:textId="77777777">
            <w:pPr>
              <w:jc w:val="center"/>
              <w:rPr>
                <w:sz w:val="22"/>
                <w:szCs w:val="22"/>
              </w:rPr>
            </w:pPr>
            <w:r w:rsidRPr="00295E71">
              <w:rPr>
                <w:sz w:val="22"/>
                <w:szCs w:val="22"/>
              </w:rPr>
              <w:t>27,2%</w:t>
            </w:r>
          </w:p>
        </w:tc>
        <w:tc>
          <w:tcPr>
            <w:tcW w:w="1320" w:type="dxa"/>
            <w:tcBorders>
              <w:top w:val="single" w:sz="4" w:space="0" w:color="auto"/>
              <w:left w:val="single" w:sz="4" w:space="0" w:color="auto"/>
              <w:bottom w:val="single" w:sz="4" w:space="0" w:color="auto"/>
              <w:right w:val="single" w:sz="4" w:space="0" w:color="auto"/>
            </w:tcBorders>
          </w:tcPr>
          <w:p w:rsidR="006224C2" w:rsidRPr="00295E71" w14:paraId="37D5282D" w14:textId="77777777">
            <w:pPr>
              <w:jc w:val="center"/>
              <w:rPr>
                <w:sz w:val="22"/>
                <w:szCs w:val="22"/>
              </w:rPr>
            </w:pPr>
            <w:r w:rsidRPr="00295E71">
              <w:rPr>
                <w:sz w:val="22"/>
                <w:szCs w:val="22"/>
              </w:rPr>
              <w:t>25,9%</w:t>
            </w:r>
          </w:p>
        </w:tc>
        <w:tc>
          <w:tcPr>
            <w:tcW w:w="1576" w:type="dxa"/>
            <w:tcBorders>
              <w:top w:val="single" w:sz="4" w:space="0" w:color="auto"/>
              <w:left w:val="single" w:sz="4" w:space="0" w:color="auto"/>
              <w:bottom w:val="single" w:sz="4" w:space="0" w:color="auto"/>
              <w:right w:val="single" w:sz="4" w:space="0" w:color="auto"/>
            </w:tcBorders>
          </w:tcPr>
          <w:p w:rsidR="006224C2" w:rsidRPr="00295E71" w14:paraId="07731480" w14:textId="77777777">
            <w:pPr>
              <w:jc w:val="center"/>
              <w:rPr>
                <w:sz w:val="22"/>
                <w:szCs w:val="22"/>
              </w:rPr>
            </w:pPr>
            <w:r w:rsidRPr="00295E71">
              <w:rPr>
                <w:sz w:val="22"/>
                <w:szCs w:val="22"/>
              </w:rPr>
              <w:t>45,5%</w:t>
            </w:r>
          </w:p>
        </w:tc>
        <w:tc>
          <w:tcPr>
            <w:tcW w:w="1100" w:type="dxa"/>
            <w:tcBorders>
              <w:top w:val="single" w:sz="4" w:space="0" w:color="auto"/>
              <w:left w:val="single" w:sz="4" w:space="0" w:color="auto"/>
              <w:bottom w:val="single" w:sz="4" w:space="0" w:color="auto"/>
              <w:right w:val="single" w:sz="4" w:space="0" w:color="auto"/>
            </w:tcBorders>
          </w:tcPr>
          <w:p w:rsidR="006224C2" w:rsidRPr="00295E71" w14:paraId="64E63748" w14:textId="77777777">
            <w:pPr>
              <w:jc w:val="center"/>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6224C2" w:rsidRPr="00295E71" w14:paraId="6EE3BB9E" w14:textId="77777777">
            <w:pPr>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6224C2" w:rsidRPr="00295E71" w14:paraId="31A17CE8" w14:textId="77777777">
            <w:pPr>
              <w:jc w:val="center"/>
              <w:rPr>
                <w:sz w:val="22"/>
                <w:szCs w:val="22"/>
              </w:rPr>
            </w:pPr>
            <w:r w:rsidRPr="00295E71">
              <w:rPr>
                <w:sz w:val="22"/>
                <w:szCs w:val="22"/>
              </w:rPr>
              <w:t>0,656</w:t>
            </w:r>
          </w:p>
        </w:tc>
      </w:tr>
      <w:tr w14:paraId="16F25EC6" w14:textId="77777777">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6224C2" w:rsidRPr="00295E71" w14:paraId="40E33C0A" w14:textId="77777777">
            <w:pPr>
              <w:rPr>
                <w:sz w:val="22"/>
                <w:szCs w:val="22"/>
              </w:rPr>
            </w:pPr>
            <w:r w:rsidRPr="00295E71">
              <w:rPr>
                <w:sz w:val="22"/>
                <w:szCs w:val="22"/>
              </w:rPr>
              <w:t>Settimana 104</w:t>
            </w:r>
          </w:p>
        </w:tc>
        <w:tc>
          <w:tcPr>
            <w:tcW w:w="1320" w:type="dxa"/>
            <w:tcBorders>
              <w:top w:val="single" w:sz="4" w:space="0" w:color="auto"/>
              <w:left w:val="single" w:sz="4" w:space="0" w:color="auto"/>
              <w:bottom w:val="single" w:sz="4" w:space="0" w:color="auto"/>
              <w:right w:val="single" w:sz="4" w:space="0" w:color="auto"/>
            </w:tcBorders>
          </w:tcPr>
          <w:p w:rsidR="006224C2" w:rsidRPr="00295E71" w14:paraId="688314D6" w14:textId="77777777">
            <w:pPr>
              <w:jc w:val="center"/>
              <w:rPr>
                <w:sz w:val="22"/>
                <w:szCs w:val="22"/>
              </w:rPr>
            </w:pPr>
            <w:r w:rsidRPr="00295E71">
              <w:rPr>
                <w:sz w:val="22"/>
                <w:szCs w:val="22"/>
              </w:rPr>
              <w:t>28,4%</w:t>
            </w:r>
          </w:p>
        </w:tc>
        <w:tc>
          <w:tcPr>
            <w:tcW w:w="1320" w:type="dxa"/>
            <w:tcBorders>
              <w:top w:val="single" w:sz="4" w:space="0" w:color="auto"/>
              <w:left w:val="single" w:sz="4" w:space="0" w:color="auto"/>
              <w:bottom w:val="single" w:sz="4" w:space="0" w:color="auto"/>
              <w:right w:val="single" w:sz="4" w:space="0" w:color="auto"/>
            </w:tcBorders>
          </w:tcPr>
          <w:p w:rsidR="006224C2" w:rsidRPr="00295E71" w14:paraId="07C34158" w14:textId="77777777">
            <w:pPr>
              <w:jc w:val="center"/>
              <w:rPr>
                <w:sz w:val="22"/>
                <w:szCs w:val="22"/>
              </w:rPr>
            </w:pPr>
            <w:r w:rsidRPr="00295E71">
              <w:rPr>
                <w:sz w:val="22"/>
                <w:szCs w:val="22"/>
              </w:rPr>
              <w:t>28,1%</w:t>
            </w:r>
          </w:p>
        </w:tc>
        <w:tc>
          <w:tcPr>
            <w:tcW w:w="1576" w:type="dxa"/>
            <w:tcBorders>
              <w:top w:val="single" w:sz="4" w:space="0" w:color="auto"/>
              <w:left w:val="single" w:sz="4" w:space="0" w:color="auto"/>
              <w:bottom w:val="single" w:sz="4" w:space="0" w:color="auto"/>
              <w:right w:val="single" w:sz="4" w:space="0" w:color="auto"/>
            </w:tcBorders>
          </w:tcPr>
          <w:p w:rsidR="006224C2" w:rsidRPr="00295E71" w14:paraId="68AE7A26" w14:textId="77777777">
            <w:pPr>
              <w:jc w:val="center"/>
              <w:rPr>
                <w:sz w:val="22"/>
                <w:szCs w:val="22"/>
              </w:rPr>
            </w:pPr>
            <w:r w:rsidRPr="00295E71">
              <w:rPr>
                <w:sz w:val="22"/>
                <w:szCs w:val="22"/>
              </w:rPr>
              <w:t>46,6%</w:t>
            </w:r>
          </w:p>
        </w:tc>
        <w:tc>
          <w:tcPr>
            <w:tcW w:w="1100" w:type="dxa"/>
            <w:tcBorders>
              <w:top w:val="single" w:sz="4" w:space="0" w:color="auto"/>
              <w:left w:val="single" w:sz="4" w:space="0" w:color="auto"/>
              <w:bottom w:val="single" w:sz="4" w:space="0" w:color="auto"/>
              <w:right w:val="single" w:sz="4" w:space="0" w:color="auto"/>
            </w:tcBorders>
          </w:tcPr>
          <w:p w:rsidR="006224C2" w:rsidRPr="00295E71" w14:paraId="0890F1F4" w14:textId="77777777">
            <w:pPr>
              <w:jc w:val="center"/>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6224C2" w:rsidRPr="00295E71" w14:paraId="3B9ED191" w14:textId="77777777">
            <w:pPr>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6224C2" w:rsidRPr="00295E71" w14:paraId="56DA7CCB" w14:textId="77777777">
            <w:pPr>
              <w:jc w:val="center"/>
              <w:rPr>
                <w:sz w:val="22"/>
                <w:szCs w:val="22"/>
              </w:rPr>
            </w:pPr>
            <w:r w:rsidRPr="00295E71">
              <w:rPr>
                <w:sz w:val="22"/>
                <w:szCs w:val="22"/>
              </w:rPr>
              <w:t>0,864</w:t>
            </w:r>
          </w:p>
        </w:tc>
      </w:tr>
      <w:tr w14:paraId="775334F8" w14:textId="77777777">
        <w:tblPrEx>
          <w:tblW w:w="9435" w:type="dxa"/>
          <w:tblLayout w:type="fixed"/>
          <w:tblLook w:val="0000"/>
        </w:tblPrEx>
        <w:trPr>
          <w:gridBefore w:val="1"/>
          <w:wBefore w:w="6" w:type="dxa"/>
          <w:cantSplit/>
        </w:trPr>
        <w:tc>
          <w:tcPr>
            <w:tcW w:w="9429" w:type="dxa"/>
            <w:gridSpan w:val="8"/>
            <w:tcBorders>
              <w:top w:val="single" w:sz="4" w:space="0" w:color="auto"/>
              <w:left w:val="single" w:sz="4" w:space="0" w:color="auto"/>
              <w:bottom w:val="single" w:sz="4" w:space="0" w:color="auto"/>
              <w:right w:val="single" w:sz="4" w:space="0" w:color="auto"/>
            </w:tcBorders>
          </w:tcPr>
          <w:p w:rsidR="006224C2" w:rsidRPr="00295E71" w14:paraId="6B2AA266" w14:textId="77777777">
            <w:pPr>
              <w:tabs>
                <w:tab w:val="left" w:pos="330"/>
                <w:tab w:val="left" w:pos="10728"/>
              </w:tabs>
              <w:ind w:left="360" w:hanging="360"/>
              <w:rPr>
                <w:sz w:val="22"/>
                <w:szCs w:val="22"/>
              </w:rPr>
            </w:pPr>
            <w:r w:rsidRPr="00295E71">
              <w:rPr>
                <w:sz w:val="22"/>
                <w:szCs w:val="22"/>
                <w:vertAlign w:val="superscript"/>
              </w:rPr>
              <w:t>a</w:t>
            </w:r>
            <w:r w:rsidRPr="00295E71">
              <w:rPr>
                <w:sz w:val="22"/>
                <w:szCs w:val="22"/>
              </w:rPr>
              <w:tab/>
              <w:t xml:space="preserve">il valore p è stato ottenuto confrontando a due a due la </w:t>
            </w:r>
            <w:r w:rsidRPr="00020442" w:rsidR="00A40A02">
              <w:rPr>
                <w:sz w:val="22"/>
                <w:szCs w:val="22"/>
              </w:rPr>
              <w:t>mono</w:t>
            </w:r>
            <w:r w:rsidRPr="00295E71">
              <w:rPr>
                <w:sz w:val="22"/>
                <w:szCs w:val="22"/>
              </w:rPr>
              <w:t>terapia con metotressato e la terapia associata Humira/metotressato utilizzando il test U Mann-Whitney.</w:t>
            </w:r>
          </w:p>
          <w:p w:rsidR="006224C2" w:rsidRPr="00295E71" w14:paraId="5DA52667" w14:textId="77777777">
            <w:pPr>
              <w:pStyle w:val="BodyTextIndent"/>
              <w:autoSpaceDE/>
              <w:autoSpaceDN/>
              <w:adjustRightInd/>
              <w:ind w:left="330" w:hanging="330"/>
              <w:jc w:val="left"/>
              <w:rPr>
                <w:color w:val="auto"/>
              </w:rPr>
            </w:pPr>
            <w:r w:rsidRPr="00295E71">
              <w:rPr>
                <w:vertAlign w:val="superscript"/>
              </w:rPr>
              <w:t>b</w:t>
            </w:r>
            <w:r w:rsidRPr="00295E71">
              <w:rPr>
                <w:color w:val="auto"/>
              </w:rPr>
              <w:tab/>
              <w:t xml:space="preserve">il valore p è stato ottenuto confrontando a due a due la </w:t>
            </w:r>
            <w:r w:rsidRPr="00020442" w:rsidR="00A40A02">
              <w:t>mono</w:t>
            </w:r>
            <w:r w:rsidRPr="00295E71">
              <w:rPr>
                <w:color w:val="auto"/>
              </w:rPr>
              <w:t>terapia con Humira e la terapia associata Humira/metotressato utilizzando il test U Mann-Whitney</w:t>
            </w:r>
          </w:p>
          <w:p w:rsidR="006224C2" w:rsidRPr="00295E71" w14:paraId="23BF274B" w14:textId="77777777">
            <w:pPr>
              <w:pStyle w:val="BodyTextIndent"/>
              <w:autoSpaceDE/>
              <w:autoSpaceDN/>
              <w:adjustRightInd/>
              <w:ind w:left="330" w:hanging="330"/>
              <w:jc w:val="left"/>
              <w:rPr>
                <w:color w:val="auto"/>
              </w:rPr>
            </w:pPr>
            <w:r w:rsidRPr="00295E71">
              <w:rPr>
                <w:vertAlign w:val="superscript"/>
              </w:rPr>
              <w:t>c</w:t>
            </w:r>
            <w:r w:rsidRPr="00295E71" w:rsidR="006142E9">
              <w:rPr>
                <w:color w:val="auto"/>
              </w:rPr>
              <w:tab/>
            </w:r>
            <w:r w:rsidRPr="00295E71">
              <w:rPr>
                <w:color w:val="auto"/>
              </w:rPr>
              <w:t xml:space="preserve">il valore p è stato ottenuto confrontando a due a due la </w:t>
            </w:r>
            <w:r w:rsidRPr="00020442" w:rsidR="00A40A02">
              <w:t>mono</w:t>
            </w:r>
            <w:r w:rsidRPr="00295E71">
              <w:rPr>
                <w:color w:val="auto"/>
              </w:rPr>
              <w:t xml:space="preserve">terapia con Humira e la </w:t>
            </w:r>
            <w:r w:rsidRPr="00020442" w:rsidR="00A40A02">
              <w:t>mono</w:t>
            </w:r>
            <w:r w:rsidRPr="00295E71">
              <w:rPr>
                <w:color w:val="auto"/>
              </w:rPr>
              <w:t>terapia con metotressato utilizzando il test U Mann-Whitney</w:t>
            </w:r>
          </w:p>
        </w:tc>
      </w:tr>
    </w:tbl>
    <w:p w:rsidR="006224C2" w:rsidRPr="00295E71" w:rsidP="00F57FE5" w14:paraId="4E240E4C" w14:textId="77777777">
      <w:pPr>
        <w:keepNext/>
        <w:keepLines/>
        <w:rPr>
          <w:sz w:val="22"/>
          <w:szCs w:val="22"/>
        </w:rPr>
      </w:pPr>
    </w:p>
    <w:p w:rsidR="006224C2" w:rsidRPr="00295E71" w:rsidP="00F57FE5" w14:paraId="58454B5B" w14:textId="77777777">
      <w:pPr>
        <w:pStyle w:val="EMEAFigureTitle"/>
        <w:keepNext/>
        <w:keepLines/>
        <w:suppressAutoHyphens w:val="0"/>
        <w:jc w:val="both"/>
        <w:rPr>
          <w:lang w:val="it-IT"/>
        </w:rPr>
      </w:pPr>
      <w:r w:rsidRPr="00295E71">
        <w:rPr>
          <w:lang w:val="it-IT"/>
        </w:rPr>
        <w:t xml:space="preserve">Nella fase di estensione in aperto dello studio AR V, il tasso di risposta ACR è stato mantenuto </w:t>
      </w:r>
      <w:r w:rsidRPr="00020442" w:rsidR="00A40A02">
        <w:rPr>
          <w:lang w:val="it-IT"/>
        </w:rPr>
        <w:t>nei pazienti seguiti</w:t>
      </w:r>
      <w:r w:rsidR="00A40A02">
        <w:rPr>
          <w:lang w:val="it-IT"/>
        </w:rPr>
        <w:t xml:space="preserve"> </w:t>
      </w:r>
      <w:r w:rsidRPr="00295E71">
        <w:rPr>
          <w:lang w:val="it-IT"/>
        </w:rPr>
        <w:t>fino a 10 anni. Dei 542 pazienti</w:t>
      </w:r>
      <w:r w:rsidRPr="00295E71" w:rsidR="001B385A">
        <w:rPr>
          <w:lang w:val="it-IT"/>
        </w:rPr>
        <w:t xml:space="preserve"> </w:t>
      </w:r>
      <w:r w:rsidRPr="00295E71">
        <w:rPr>
          <w:lang w:val="it-IT"/>
        </w:rPr>
        <w:t>che erano stati randomizzati alla somministrazione di 40 mg di Humira a settimane alterne, 170 pazienti hanno continuato il trattamento con Humira 40 mg a settimane alterne per 10 anni. Di questi, 154 pazienti (90,6%) hanno avuto risposte ACR 20; 127 pazienti (74,7%) hanno avuto risposte ACR 50; e 102 pazienti (60,0%) hanno avuto risposte ACR 70.</w:t>
      </w:r>
    </w:p>
    <w:p w:rsidR="006224C2" w:rsidRPr="00295E71" w14:paraId="7568C26A" w14:textId="77777777">
      <w:pPr>
        <w:pStyle w:val="EMEAFigureTitle"/>
        <w:suppressAutoHyphens w:val="0"/>
        <w:jc w:val="both"/>
        <w:rPr>
          <w:lang w:val="it-IT"/>
        </w:rPr>
      </w:pPr>
    </w:p>
    <w:p w:rsidR="006224C2" w:rsidRPr="00295E71" w14:paraId="4EF74CF9" w14:textId="77777777">
      <w:pPr>
        <w:rPr>
          <w:sz w:val="22"/>
          <w:szCs w:val="22"/>
        </w:rPr>
      </w:pPr>
      <w:r w:rsidRPr="00295E71">
        <w:rPr>
          <w:sz w:val="22"/>
          <w:szCs w:val="22"/>
        </w:rPr>
        <w:t>Alla settimana 52, il 42,9% dei pazienti che era stato sottoposto a terapia associata con Humira/metotressato ha raggiunto remissione clinica (DAS28 (PCR) &lt; 2,6) rispetto al 20,6% dei pazienti trattat</w:t>
      </w:r>
      <w:r w:rsidR="00A40A02">
        <w:rPr>
          <w:sz w:val="22"/>
          <w:szCs w:val="22"/>
        </w:rPr>
        <w:t>i</w:t>
      </w:r>
      <w:r w:rsidRPr="00295E71">
        <w:rPr>
          <w:sz w:val="22"/>
          <w:szCs w:val="22"/>
        </w:rPr>
        <w:t xml:space="preserve"> con metotressato in monoterapia ed al 23,4% dei pazienti che aveva ricevuto Humira in monoterapia. La terapia associata Humira/metotressato si è rivelata superiore dal punto di vista clinico e statistico alle monoterapie con metotressato (p&lt;0,001) e Humira (p&lt;0,001) nel determinare una riduzione dell’attività di malattia in pazienti in cui era stata di recente diagnosticata a</w:t>
      </w:r>
      <w:r w:rsidRPr="00295E71" w:rsidR="001B385A">
        <w:rPr>
          <w:sz w:val="22"/>
          <w:szCs w:val="22"/>
        </w:rPr>
        <w:t>r</w:t>
      </w:r>
      <w:r w:rsidRPr="00295E71">
        <w:rPr>
          <w:sz w:val="22"/>
          <w:szCs w:val="22"/>
        </w:rPr>
        <w:t>trite reumatoide di grado da moderato a severo. La risposta ottenuta nei due gruppi in monoterapia è stata simile (p=0,447). Dei 342 pazienti che erano stati inizialmente randomizzati alla somministrazione di Humira in monoterapia o alla terapia associata Humira/metotressato e che erano stati arruolati nella fase di estensione in aperto dello studio, 171 hanno completato i 10 anni di trattamento con Humira. Di questi, è stato riportato che 109 pazienti (63,7%) erano in remissione a 10 anni.</w:t>
      </w:r>
    </w:p>
    <w:p w:rsidR="006224C2" w:rsidRPr="00295E71" w14:paraId="0050DF07" w14:textId="77777777">
      <w:pPr>
        <w:pStyle w:val="EMEAFigureTitle"/>
        <w:suppressAutoHyphens w:val="0"/>
        <w:jc w:val="both"/>
        <w:rPr>
          <w:lang w:val="it-IT" w:eastAsia="it-IT"/>
        </w:rPr>
      </w:pPr>
    </w:p>
    <w:p w:rsidR="006224C2" w:rsidRPr="00295E71" w14:paraId="3988B89B" w14:textId="77777777">
      <w:pPr>
        <w:keepNext/>
        <w:rPr>
          <w:i/>
          <w:sz w:val="22"/>
          <w:szCs w:val="22"/>
          <w:u w:val="single"/>
        </w:rPr>
      </w:pPr>
      <w:r w:rsidRPr="00295E71">
        <w:rPr>
          <w:i/>
          <w:sz w:val="22"/>
          <w:szCs w:val="22"/>
          <w:u w:val="single"/>
        </w:rPr>
        <w:t>Risposta radiologica</w:t>
      </w:r>
    </w:p>
    <w:p w:rsidR="006224C2" w:rsidRPr="00295E71" w14:paraId="4D1EDA77" w14:textId="77777777">
      <w:pPr>
        <w:keepNext/>
        <w:tabs>
          <w:tab w:val="left" w:pos="567"/>
        </w:tabs>
        <w:jc w:val="both"/>
        <w:rPr>
          <w:sz w:val="22"/>
          <w:szCs w:val="22"/>
        </w:rPr>
      </w:pPr>
    </w:p>
    <w:p w:rsidR="006224C2" w:rsidRPr="00295E71" w14:paraId="33AFEC62" w14:textId="77777777">
      <w:pPr>
        <w:pStyle w:val="BodyText"/>
        <w:keepNext/>
        <w:tabs>
          <w:tab w:val="left" w:pos="567"/>
        </w:tabs>
      </w:pPr>
      <w:r w:rsidRPr="00295E71">
        <w:t xml:space="preserve">Nello studio AR III, in cui i pazienti trattati con Humira avevano una durata media di malattia di circa 11 anni, il danno strutturale è stato valutato radiograficamente ed espresso come variazione dell’Indice Totale di Sharp modificato (Total Sharp Score TSS) e dei relativi componenti, gli indici di erosione e di riduzione della rima articolare (Joint Space Narrowing, JSN). I pazienti trattati con Humira/MTX hanno mostrato una progressione radiologica significativamente inferiore ai pazienti che hanno ricevuto solo MTX, a 6 e 12 mesi (vedere Tabella </w:t>
      </w:r>
      <w:r w:rsidR="0062664F">
        <w:t>10</w:t>
      </w:r>
      <w:r w:rsidRPr="00295E71">
        <w:t xml:space="preserve">). </w:t>
      </w:r>
    </w:p>
    <w:p w:rsidR="006224C2" w:rsidRPr="00295E71" w14:paraId="7F0C4DAE" w14:textId="77777777">
      <w:pPr>
        <w:pStyle w:val="BodyText"/>
        <w:tabs>
          <w:tab w:val="left" w:pos="567"/>
        </w:tabs>
      </w:pPr>
    </w:p>
    <w:p w:rsidR="006224C2" w:rsidRPr="00295E71" w14:paraId="160D0380" w14:textId="77777777">
      <w:pPr>
        <w:pStyle w:val="BodyText"/>
        <w:tabs>
          <w:tab w:val="left" w:pos="567"/>
        </w:tabs>
      </w:pPr>
      <w:r w:rsidRPr="00295E71">
        <w:t>Nell’estensione in aperto dello studio AR III,</w:t>
      </w:r>
      <w:r w:rsidR="00A40A02">
        <w:t xml:space="preserve"> </w:t>
      </w:r>
      <w:r w:rsidRPr="00295E71">
        <w:t xml:space="preserve">la riduzione del tasso di progressione del danno strutturale </w:t>
      </w:r>
      <w:r w:rsidRPr="00020442" w:rsidR="00A40A02">
        <w:t>è stata mantenuta</w:t>
      </w:r>
      <w:r w:rsidRPr="00295E71">
        <w:t xml:space="preserve"> per 8 e 10 anni in un sottogruppo di pazienti. A 8 anni, 81 pazienti su 207 originariamente trattati con Humira 40 mg a settimane alterne sono stati valutati radiologicamente. Tra questi, 48 pazienti non hanno mostrato progressione del danno strutturale definita attraverso una modifica del mTSS di 0,5 o meno rispetto al valore basale. A 10 anni, 79 pazienti su 207 originariamente trattati con Humira 40 mg a settimane alterne sono stati valutati radiologicamente. Di questi, 40 pazienti </w:t>
      </w:r>
      <w:r w:rsidRPr="00295E71">
        <w:t>non hanno dimostrato una progressione del danno strutturale definito da un cambiamento del mTSS di 0,5 o minore dal valore basale.</w:t>
      </w:r>
    </w:p>
    <w:p w:rsidR="006224C2" w:rsidRPr="00295E71" w14:paraId="0C4BFF93" w14:textId="77777777">
      <w:pPr>
        <w:keepNext/>
        <w:keepLines/>
        <w:jc w:val="center"/>
        <w:rPr>
          <w:b/>
          <w:sz w:val="22"/>
          <w:szCs w:val="22"/>
        </w:rPr>
      </w:pPr>
    </w:p>
    <w:p w:rsidR="006224C2" w:rsidRPr="00295E71" w14:paraId="5A98551C" w14:textId="77777777">
      <w:pPr>
        <w:keepNext/>
        <w:keepLines/>
        <w:jc w:val="center"/>
        <w:rPr>
          <w:b/>
          <w:sz w:val="22"/>
          <w:szCs w:val="22"/>
        </w:rPr>
      </w:pPr>
      <w:r w:rsidRPr="00295E71">
        <w:rPr>
          <w:b/>
          <w:sz w:val="22"/>
          <w:szCs w:val="22"/>
        </w:rPr>
        <w:t xml:space="preserve">Tabella </w:t>
      </w:r>
      <w:r w:rsidR="0062664F">
        <w:rPr>
          <w:b/>
          <w:sz w:val="22"/>
          <w:szCs w:val="22"/>
        </w:rPr>
        <w:t>10</w:t>
      </w:r>
    </w:p>
    <w:p w:rsidR="006224C2" w:rsidRPr="00295E71" w14:paraId="2106018B" w14:textId="77777777">
      <w:pPr>
        <w:pStyle w:val="Heading9"/>
        <w:keepLines/>
        <w:jc w:val="center"/>
        <w:rPr>
          <w:sz w:val="22"/>
          <w:szCs w:val="22"/>
          <w:lang w:val="it-IT"/>
        </w:rPr>
      </w:pPr>
      <w:r w:rsidRPr="00295E71">
        <w:rPr>
          <w:sz w:val="22"/>
          <w:szCs w:val="22"/>
          <w:lang w:val="it-IT"/>
        </w:rPr>
        <w:t>Variazione radiografica media dopo 12 mesi nello studio AR III</w:t>
      </w:r>
    </w:p>
    <w:p w:rsidR="006224C2" w:rsidRPr="00295E71" w14:paraId="7E75FA53" w14:textId="77777777">
      <w:pPr>
        <w:keepNext/>
        <w:keepLines/>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8"/>
        <w:gridCol w:w="1430"/>
        <w:gridCol w:w="1790"/>
        <w:gridCol w:w="2000"/>
        <w:gridCol w:w="1548"/>
      </w:tblGrid>
      <w:tr w14:paraId="4EBFC1C3" w14:textId="77777777">
        <w:tblPrEx>
          <w:tblW w:w="0" w:type="auto"/>
          <w:tblLook w:val="0000"/>
        </w:tblPrEx>
        <w:tc>
          <w:tcPr>
            <w:tcW w:w="2088" w:type="dxa"/>
            <w:tcBorders>
              <w:top w:val="single" w:sz="4" w:space="0" w:color="auto"/>
              <w:left w:val="single" w:sz="4" w:space="0" w:color="auto"/>
              <w:bottom w:val="single" w:sz="4" w:space="0" w:color="auto"/>
              <w:right w:val="single" w:sz="4" w:space="0" w:color="auto"/>
            </w:tcBorders>
          </w:tcPr>
          <w:p w:rsidR="006224C2" w:rsidRPr="00295E71" w14:paraId="0F113146" w14:textId="77777777">
            <w:pPr>
              <w:keepNext/>
              <w:keepLines/>
              <w:jc w:val="center"/>
              <w:rPr>
                <w:sz w:val="22"/>
                <w:szCs w:val="22"/>
              </w:rPr>
            </w:pPr>
          </w:p>
        </w:tc>
        <w:tc>
          <w:tcPr>
            <w:tcW w:w="1430" w:type="dxa"/>
            <w:tcBorders>
              <w:top w:val="single" w:sz="4" w:space="0" w:color="auto"/>
              <w:left w:val="single" w:sz="4" w:space="0" w:color="auto"/>
              <w:bottom w:val="single" w:sz="4" w:space="0" w:color="auto"/>
              <w:right w:val="single" w:sz="4" w:space="0" w:color="auto"/>
            </w:tcBorders>
          </w:tcPr>
          <w:p w:rsidR="006224C2" w:rsidRPr="00295E71" w14:paraId="219C0C4B" w14:textId="77777777">
            <w:pPr>
              <w:keepNext/>
              <w:keepLines/>
              <w:rPr>
                <w:sz w:val="22"/>
                <w:szCs w:val="22"/>
              </w:rPr>
            </w:pPr>
            <w:r w:rsidRPr="00295E71">
              <w:rPr>
                <w:sz w:val="22"/>
                <w:szCs w:val="22"/>
              </w:rPr>
              <w:t>Placebo/</w:t>
            </w:r>
          </w:p>
          <w:p w:rsidR="006224C2" w:rsidRPr="00295E71" w14:paraId="7A90661F" w14:textId="77777777">
            <w:pPr>
              <w:keepNext/>
              <w:keepLines/>
              <w:rPr>
                <w:sz w:val="22"/>
                <w:szCs w:val="22"/>
                <w:vertAlign w:val="superscript"/>
              </w:rPr>
            </w:pPr>
            <w:r w:rsidRPr="00295E71">
              <w:rPr>
                <w:sz w:val="22"/>
                <w:szCs w:val="22"/>
              </w:rPr>
              <w:t>MTX</w:t>
            </w:r>
            <w:r w:rsidRPr="00295E71">
              <w:rPr>
                <w:sz w:val="22"/>
                <w:szCs w:val="22"/>
                <w:vertAlign w:val="superscript"/>
              </w:rPr>
              <w:t>a</w:t>
            </w:r>
          </w:p>
        </w:tc>
        <w:tc>
          <w:tcPr>
            <w:tcW w:w="1790" w:type="dxa"/>
            <w:tcBorders>
              <w:top w:val="single" w:sz="4" w:space="0" w:color="auto"/>
              <w:left w:val="single" w:sz="4" w:space="0" w:color="auto"/>
              <w:bottom w:val="single" w:sz="4" w:space="0" w:color="auto"/>
              <w:right w:val="single" w:sz="4" w:space="0" w:color="auto"/>
            </w:tcBorders>
          </w:tcPr>
          <w:p w:rsidR="006224C2" w:rsidRPr="00295E71" w14:paraId="10AA9B0A" w14:textId="77777777">
            <w:pPr>
              <w:keepNext/>
              <w:keepLines/>
              <w:jc w:val="center"/>
              <w:rPr>
                <w:sz w:val="22"/>
                <w:szCs w:val="22"/>
              </w:rPr>
            </w:pPr>
            <w:r w:rsidRPr="00295E71">
              <w:rPr>
                <w:sz w:val="22"/>
                <w:szCs w:val="22"/>
              </w:rPr>
              <w:t>Humira/MTX</w:t>
            </w:r>
          </w:p>
          <w:p w:rsidR="006224C2" w:rsidRPr="00295E71" w14:paraId="7C0A9822" w14:textId="77777777">
            <w:pPr>
              <w:keepNext/>
              <w:keepLines/>
              <w:jc w:val="center"/>
              <w:rPr>
                <w:sz w:val="22"/>
                <w:szCs w:val="22"/>
              </w:rPr>
            </w:pPr>
            <w:r w:rsidRPr="00295E71">
              <w:rPr>
                <w:sz w:val="22"/>
                <w:szCs w:val="22"/>
              </w:rPr>
              <w:t>40 mg a settimane alterne</w:t>
            </w:r>
          </w:p>
        </w:tc>
        <w:tc>
          <w:tcPr>
            <w:tcW w:w="2000" w:type="dxa"/>
            <w:tcBorders>
              <w:top w:val="single" w:sz="4" w:space="0" w:color="auto"/>
              <w:left w:val="single" w:sz="4" w:space="0" w:color="auto"/>
              <w:bottom w:val="single" w:sz="4" w:space="0" w:color="auto"/>
              <w:right w:val="single" w:sz="4" w:space="0" w:color="auto"/>
            </w:tcBorders>
          </w:tcPr>
          <w:p w:rsidR="006224C2" w:rsidRPr="00295E71" w14:paraId="3D7B57D3" w14:textId="77777777">
            <w:pPr>
              <w:keepNext/>
              <w:keepLines/>
              <w:jc w:val="center"/>
              <w:rPr>
                <w:sz w:val="22"/>
                <w:szCs w:val="22"/>
              </w:rPr>
            </w:pPr>
            <w:r w:rsidRPr="00295E71">
              <w:rPr>
                <w:sz w:val="22"/>
                <w:szCs w:val="22"/>
              </w:rPr>
              <w:t>Placebo/MTX-Humira/MTX (intervallo di confidenza 95%</w:t>
            </w:r>
            <w:r w:rsidRPr="00295E71">
              <w:rPr>
                <w:sz w:val="22"/>
                <w:szCs w:val="22"/>
                <w:vertAlign w:val="superscript"/>
              </w:rPr>
              <w:t>b</w:t>
            </w:r>
            <w:r w:rsidRPr="00295E71">
              <w:rPr>
                <w:sz w:val="22"/>
                <w:szCs w:val="22"/>
              </w:rPr>
              <w:t>)</w:t>
            </w:r>
          </w:p>
        </w:tc>
        <w:tc>
          <w:tcPr>
            <w:tcW w:w="1548" w:type="dxa"/>
            <w:tcBorders>
              <w:top w:val="single" w:sz="4" w:space="0" w:color="auto"/>
              <w:left w:val="single" w:sz="4" w:space="0" w:color="auto"/>
              <w:bottom w:val="single" w:sz="4" w:space="0" w:color="auto"/>
              <w:right w:val="single" w:sz="4" w:space="0" w:color="auto"/>
            </w:tcBorders>
          </w:tcPr>
          <w:p w:rsidR="006224C2" w:rsidRPr="00295E71" w14:paraId="3FE4FCB7" w14:textId="77777777">
            <w:pPr>
              <w:keepNext/>
              <w:keepLines/>
              <w:jc w:val="center"/>
              <w:rPr>
                <w:sz w:val="22"/>
                <w:szCs w:val="22"/>
              </w:rPr>
            </w:pPr>
            <w:r w:rsidRPr="00295E71">
              <w:rPr>
                <w:sz w:val="22"/>
                <w:szCs w:val="22"/>
              </w:rPr>
              <w:t>Valore di p</w:t>
            </w:r>
          </w:p>
        </w:tc>
      </w:tr>
      <w:tr w14:paraId="13215020" w14:textId="77777777">
        <w:tblPrEx>
          <w:tblW w:w="0" w:type="auto"/>
          <w:tblLook w:val="0000"/>
        </w:tblPrEx>
        <w:tc>
          <w:tcPr>
            <w:tcW w:w="2088" w:type="dxa"/>
            <w:tcBorders>
              <w:top w:val="single" w:sz="4" w:space="0" w:color="auto"/>
              <w:left w:val="single" w:sz="4" w:space="0" w:color="auto"/>
              <w:bottom w:val="single" w:sz="4" w:space="0" w:color="auto"/>
              <w:right w:val="single" w:sz="4" w:space="0" w:color="auto"/>
            </w:tcBorders>
          </w:tcPr>
          <w:p w:rsidR="006224C2" w:rsidRPr="00295E71" w14:paraId="2D79220B" w14:textId="77777777">
            <w:pPr>
              <w:jc w:val="center"/>
              <w:rPr>
                <w:sz w:val="22"/>
                <w:szCs w:val="22"/>
              </w:rPr>
            </w:pPr>
            <w:r w:rsidRPr="00295E71">
              <w:rPr>
                <w:sz w:val="22"/>
                <w:szCs w:val="22"/>
              </w:rPr>
              <w:t>Indice Totale di Sharp</w:t>
            </w:r>
          </w:p>
        </w:tc>
        <w:tc>
          <w:tcPr>
            <w:tcW w:w="1430" w:type="dxa"/>
            <w:tcBorders>
              <w:top w:val="single" w:sz="4" w:space="0" w:color="auto"/>
              <w:left w:val="single" w:sz="4" w:space="0" w:color="auto"/>
              <w:bottom w:val="single" w:sz="4" w:space="0" w:color="auto"/>
              <w:right w:val="single" w:sz="4" w:space="0" w:color="auto"/>
            </w:tcBorders>
          </w:tcPr>
          <w:p w:rsidR="006224C2" w:rsidRPr="00295E71" w14:paraId="1B1BCF6C" w14:textId="77777777">
            <w:pPr>
              <w:jc w:val="center"/>
              <w:rPr>
                <w:sz w:val="22"/>
                <w:szCs w:val="22"/>
              </w:rPr>
            </w:pPr>
            <w:r w:rsidRPr="00295E71">
              <w:rPr>
                <w:sz w:val="22"/>
                <w:szCs w:val="22"/>
              </w:rPr>
              <w:t>2,7</w:t>
            </w:r>
          </w:p>
        </w:tc>
        <w:tc>
          <w:tcPr>
            <w:tcW w:w="1790" w:type="dxa"/>
            <w:tcBorders>
              <w:top w:val="single" w:sz="4" w:space="0" w:color="auto"/>
              <w:left w:val="single" w:sz="4" w:space="0" w:color="auto"/>
              <w:bottom w:val="single" w:sz="4" w:space="0" w:color="auto"/>
              <w:right w:val="single" w:sz="4" w:space="0" w:color="auto"/>
            </w:tcBorders>
          </w:tcPr>
          <w:p w:rsidR="006224C2" w:rsidRPr="00295E71" w14:paraId="14F12A65" w14:textId="77777777">
            <w:pPr>
              <w:jc w:val="center"/>
              <w:rPr>
                <w:sz w:val="22"/>
                <w:szCs w:val="22"/>
              </w:rPr>
            </w:pPr>
            <w:r w:rsidRPr="00295E71">
              <w:rPr>
                <w:sz w:val="22"/>
                <w:szCs w:val="22"/>
              </w:rPr>
              <w:t>0,1</w:t>
            </w:r>
          </w:p>
        </w:tc>
        <w:tc>
          <w:tcPr>
            <w:tcW w:w="2000" w:type="dxa"/>
            <w:tcBorders>
              <w:top w:val="single" w:sz="4" w:space="0" w:color="auto"/>
              <w:left w:val="single" w:sz="4" w:space="0" w:color="auto"/>
              <w:bottom w:val="single" w:sz="4" w:space="0" w:color="auto"/>
              <w:right w:val="single" w:sz="4" w:space="0" w:color="auto"/>
            </w:tcBorders>
          </w:tcPr>
          <w:p w:rsidR="006224C2" w:rsidRPr="00295E71" w14:paraId="02F41519" w14:textId="77777777">
            <w:pPr>
              <w:jc w:val="center"/>
              <w:rPr>
                <w:sz w:val="22"/>
                <w:szCs w:val="22"/>
              </w:rPr>
            </w:pPr>
            <w:r w:rsidRPr="00295E71">
              <w:rPr>
                <w:sz w:val="22"/>
                <w:szCs w:val="22"/>
              </w:rPr>
              <w:t xml:space="preserve">2,6 (1,4-3,8) </w:t>
            </w:r>
          </w:p>
        </w:tc>
        <w:tc>
          <w:tcPr>
            <w:tcW w:w="1548" w:type="dxa"/>
            <w:tcBorders>
              <w:top w:val="single" w:sz="4" w:space="0" w:color="auto"/>
              <w:left w:val="single" w:sz="4" w:space="0" w:color="auto"/>
              <w:bottom w:val="single" w:sz="4" w:space="0" w:color="auto"/>
              <w:right w:val="single" w:sz="4" w:space="0" w:color="auto"/>
            </w:tcBorders>
          </w:tcPr>
          <w:p w:rsidR="006224C2" w:rsidRPr="00295E71" w14:paraId="68DA2098" w14:textId="77777777">
            <w:pPr>
              <w:jc w:val="center"/>
              <w:rPr>
                <w:sz w:val="22"/>
                <w:szCs w:val="22"/>
                <w:vertAlign w:val="superscript"/>
              </w:rPr>
            </w:pPr>
            <w:r w:rsidRPr="00295E71">
              <w:rPr>
                <w:sz w:val="22"/>
                <w:szCs w:val="22"/>
              </w:rPr>
              <w:t>&lt;0,001</w:t>
            </w:r>
            <w:r w:rsidRPr="00295E71">
              <w:rPr>
                <w:sz w:val="22"/>
                <w:szCs w:val="22"/>
                <w:vertAlign w:val="superscript"/>
              </w:rPr>
              <w:t>c</w:t>
            </w:r>
          </w:p>
        </w:tc>
      </w:tr>
      <w:tr w14:paraId="2BB5F623" w14:textId="77777777">
        <w:tblPrEx>
          <w:tblW w:w="0" w:type="auto"/>
          <w:tblLook w:val="0000"/>
        </w:tblPrEx>
        <w:tc>
          <w:tcPr>
            <w:tcW w:w="2088" w:type="dxa"/>
            <w:tcBorders>
              <w:top w:val="single" w:sz="4" w:space="0" w:color="auto"/>
              <w:left w:val="single" w:sz="4" w:space="0" w:color="auto"/>
              <w:bottom w:val="single" w:sz="4" w:space="0" w:color="auto"/>
              <w:right w:val="single" w:sz="4" w:space="0" w:color="auto"/>
            </w:tcBorders>
          </w:tcPr>
          <w:p w:rsidR="006224C2" w:rsidRPr="00295E71" w14:paraId="000B8B22" w14:textId="77777777">
            <w:pPr>
              <w:jc w:val="center"/>
              <w:rPr>
                <w:sz w:val="22"/>
                <w:szCs w:val="22"/>
              </w:rPr>
            </w:pPr>
            <w:r w:rsidRPr="00295E71">
              <w:rPr>
                <w:sz w:val="22"/>
                <w:szCs w:val="22"/>
              </w:rPr>
              <w:t>Indice di erosione</w:t>
            </w:r>
          </w:p>
        </w:tc>
        <w:tc>
          <w:tcPr>
            <w:tcW w:w="1430" w:type="dxa"/>
            <w:tcBorders>
              <w:top w:val="single" w:sz="4" w:space="0" w:color="auto"/>
              <w:left w:val="single" w:sz="4" w:space="0" w:color="auto"/>
              <w:bottom w:val="single" w:sz="4" w:space="0" w:color="auto"/>
              <w:right w:val="single" w:sz="4" w:space="0" w:color="auto"/>
            </w:tcBorders>
          </w:tcPr>
          <w:p w:rsidR="006224C2" w:rsidRPr="00295E71" w14:paraId="55E550F8" w14:textId="77777777">
            <w:pPr>
              <w:jc w:val="center"/>
              <w:rPr>
                <w:sz w:val="22"/>
                <w:szCs w:val="22"/>
              </w:rPr>
            </w:pPr>
            <w:r w:rsidRPr="00295E71">
              <w:rPr>
                <w:sz w:val="22"/>
                <w:szCs w:val="22"/>
              </w:rPr>
              <w:t>1,6</w:t>
            </w:r>
          </w:p>
        </w:tc>
        <w:tc>
          <w:tcPr>
            <w:tcW w:w="1790" w:type="dxa"/>
            <w:tcBorders>
              <w:top w:val="single" w:sz="4" w:space="0" w:color="auto"/>
              <w:left w:val="single" w:sz="4" w:space="0" w:color="auto"/>
              <w:bottom w:val="single" w:sz="4" w:space="0" w:color="auto"/>
              <w:right w:val="single" w:sz="4" w:space="0" w:color="auto"/>
            </w:tcBorders>
          </w:tcPr>
          <w:p w:rsidR="006224C2" w:rsidRPr="00295E71" w14:paraId="59602E15" w14:textId="77777777">
            <w:pPr>
              <w:jc w:val="center"/>
              <w:rPr>
                <w:sz w:val="22"/>
                <w:szCs w:val="22"/>
              </w:rPr>
            </w:pPr>
            <w:r w:rsidRPr="00295E71">
              <w:rPr>
                <w:sz w:val="22"/>
                <w:szCs w:val="22"/>
              </w:rPr>
              <w:t>0,0</w:t>
            </w:r>
          </w:p>
        </w:tc>
        <w:tc>
          <w:tcPr>
            <w:tcW w:w="2000" w:type="dxa"/>
            <w:tcBorders>
              <w:top w:val="single" w:sz="4" w:space="0" w:color="auto"/>
              <w:left w:val="single" w:sz="4" w:space="0" w:color="auto"/>
              <w:bottom w:val="single" w:sz="4" w:space="0" w:color="auto"/>
              <w:right w:val="single" w:sz="4" w:space="0" w:color="auto"/>
            </w:tcBorders>
          </w:tcPr>
          <w:p w:rsidR="006224C2" w:rsidRPr="00295E71" w14:paraId="59D4C9FF" w14:textId="77777777">
            <w:pPr>
              <w:jc w:val="center"/>
              <w:rPr>
                <w:sz w:val="22"/>
                <w:szCs w:val="22"/>
              </w:rPr>
            </w:pPr>
            <w:r w:rsidRPr="00295E71">
              <w:rPr>
                <w:sz w:val="22"/>
                <w:szCs w:val="22"/>
              </w:rPr>
              <w:t>1,6 (0,9-2,2)</w:t>
            </w:r>
          </w:p>
        </w:tc>
        <w:tc>
          <w:tcPr>
            <w:tcW w:w="1548" w:type="dxa"/>
            <w:tcBorders>
              <w:top w:val="single" w:sz="4" w:space="0" w:color="auto"/>
              <w:left w:val="single" w:sz="4" w:space="0" w:color="auto"/>
              <w:bottom w:val="single" w:sz="4" w:space="0" w:color="auto"/>
              <w:right w:val="single" w:sz="4" w:space="0" w:color="auto"/>
            </w:tcBorders>
          </w:tcPr>
          <w:p w:rsidR="006224C2" w:rsidRPr="00295E71" w14:paraId="53562AD4" w14:textId="77777777">
            <w:pPr>
              <w:jc w:val="center"/>
              <w:rPr>
                <w:sz w:val="22"/>
                <w:szCs w:val="22"/>
              </w:rPr>
            </w:pPr>
            <w:r w:rsidRPr="00295E71">
              <w:rPr>
                <w:sz w:val="22"/>
                <w:szCs w:val="22"/>
              </w:rPr>
              <w:t>&lt;0,001</w:t>
            </w:r>
          </w:p>
        </w:tc>
      </w:tr>
      <w:tr w14:paraId="1B6069B4" w14:textId="77777777">
        <w:tblPrEx>
          <w:tblW w:w="0" w:type="auto"/>
          <w:tblLook w:val="0000"/>
        </w:tblPrEx>
        <w:tc>
          <w:tcPr>
            <w:tcW w:w="2088" w:type="dxa"/>
            <w:tcBorders>
              <w:top w:val="single" w:sz="4" w:space="0" w:color="auto"/>
              <w:left w:val="single" w:sz="4" w:space="0" w:color="auto"/>
              <w:bottom w:val="single" w:sz="4" w:space="0" w:color="auto"/>
              <w:right w:val="single" w:sz="4" w:space="0" w:color="auto"/>
            </w:tcBorders>
          </w:tcPr>
          <w:p w:rsidR="006224C2" w:rsidRPr="00295E71" w14:paraId="7EB05E80" w14:textId="77777777">
            <w:pPr>
              <w:jc w:val="center"/>
              <w:rPr>
                <w:sz w:val="22"/>
                <w:szCs w:val="22"/>
              </w:rPr>
            </w:pPr>
            <w:r w:rsidRPr="00295E71">
              <w:rPr>
                <w:sz w:val="22"/>
                <w:szCs w:val="22"/>
              </w:rPr>
              <w:t>Indice JSN</w:t>
            </w:r>
            <w:r w:rsidRPr="00295E71">
              <w:rPr>
                <w:sz w:val="22"/>
                <w:szCs w:val="22"/>
                <w:vertAlign w:val="superscript"/>
              </w:rPr>
              <w:t>d</w:t>
            </w:r>
          </w:p>
        </w:tc>
        <w:tc>
          <w:tcPr>
            <w:tcW w:w="1430" w:type="dxa"/>
            <w:tcBorders>
              <w:top w:val="single" w:sz="4" w:space="0" w:color="auto"/>
              <w:left w:val="single" w:sz="4" w:space="0" w:color="auto"/>
              <w:bottom w:val="single" w:sz="4" w:space="0" w:color="auto"/>
              <w:right w:val="single" w:sz="4" w:space="0" w:color="auto"/>
            </w:tcBorders>
          </w:tcPr>
          <w:p w:rsidR="006224C2" w:rsidRPr="00295E71" w14:paraId="4F2640C5" w14:textId="77777777">
            <w:pPr>
              <w:jc w:val="center"/>
              <w:rPr>
                <w:sz w:val="22"/>
                <w:szCs w:val="22"/>
              </w:rPr>
            </w:pPr>
            <w:r w:rsidRPr="00295E71">
              <w:rPr>
                <w:sz w:val="22"/>
                <w:szCs w:val="22"/>
              </w:rPr>
              <w:t>1,0</w:t>
            </w:r>
          </w:p>
        </w:tc>
        <w:tc>
          <w:tcPr>
            <w:tcW w:w="1790" w:type="dxa"/>
            <w:tcBorders>
              <w:top w:val="single" w:sz="4" w:space="0" w:color="auto"/>
              <w:left w:val="single" w:sz="4" w:space="0" w:color="auto"/>
              <w:bottom w:val="single" w:sz="4" w:space="0" w:color="auto"/>
              <w:right w:val="single" w:sz="4" w:space="0" w:color="auto"/>
            </w:tcBorders>
          </w:tcPr>
          <w:p w:rsidR="006224C2" w:rsidRPr="00295E71" w14:paraId="098FB18B" w14:textId="77777777">
            <w:pPr>
              <w:jc w:val="center"/>
              <w:rPr>
                <w:sz w:val="22"/>
                <w:szCs w:val="22"/>
              </w:rPr>
            </w:pPr>
            <w:r w:rsidRPr="00295E71">
              <w:rPr>
                <w:sz w:val="22"/>
                <w:szCs w:val="22"/>
              </w:rPr>
              <w:t>0,1</w:t>
            </w:r>
          </w:p>
        </w:tc>
        <w:tc>
          <w:tcPr>
            <w:tcW w:w="2000" w:type="dxa"/>
            <w:tcBorders>
              <w:top w:val="single" w:sz="4" w:space="0" w:color="auto"/>
              <w:left w:val="single" w:sz="4" w:space="0" w:color="auto"/>
              <w:bottom w:val="single" w:sz="4" w:space="0" w:color="auto"/>
              <w:right w:val="single" w:sz="4" w:space="0" w:color="auto"/>
            </w:tcBorders>
          </w:tcPr>
          <w:p w:rsidR="006224C2" w:rsidRPr="00295E71" w14:paraId="689ACB27" w14:textId="77777777">
            <w:pPr>
              <w:jc w:val="center"/>
              <w:rPr>
                <w:sz w:val="22"/>
                <w:szCs w:val="22"/>
              </w:rPr>
            </w:pPr>
            <w:r w:rsidRPr="00295E71">
              <w:rPr>
                <w:sz w:val="22"/>
                <w:szCs w:val="22"/>
              </w:rPr>
              <w:t>0,9 (0,3-1,4)</w:t>
            </w:r>
          </w:p>
        </w:tc>
        <w:tc>
          <w:tcPr>
            <w:tcW w:w="1548" w:type="dxa"/>
            <w:tcBorders>
              <w:top w:val="single" w:sz="4" w:space="0" w:color="auto"/>
              <w:left w:val="single" w:sz="4" w:space="0" w:color="auto"/>
              <w:bottom w:val="single" w:sz="4" w:space="0" w:color="auto"/>
              <w:right w:val="single" w:sz="4" w:space="0" w:color="auto"/>
            </w:tcBorders>
          </w:tcPr>
          <w:p w:rsidR="006224C2" w:rsidRPr="00295E71" w14:paraId="15709713" w14:textId="77777777">
            <w:pPr>
              <w:jc w:val="center"/>
              <w:rPr>
                <w:sz w:val="22"/>
                <w:szCs w:val="22"/>
              </w:rPr>
            </w:pPr>
            <w:r w:rsidRPr="00295E71">
              <w:rPr>
                <w:sz w:val="22"/>
                <w:szCs w:val="22"/>
              </w:rPr>
              <w:t xml:space="preserve">  0,002</w:t>
            </w:r>
          </w:p>
        </w:tc>
      </w:tr>
    </w:tbl>
    <w:p w:rsidR="006224C2" w:rsidRPr="00295E71" w14:paraId="5CC3E1E6"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b/>
          <w:bCs/>
          <w:sz w:val="22"/>
          <w:szCs w:val="22"/>
          <w:vertAlign w:val="superscript"/>
          <w:lang w:val="it-IT"/>
        </w:rPr>
        <w:t>a</w:t>
      </w:r>
      <w:r w:rsidRPr="00295E71">
        <w:rPr>
          <w:rFonts w:ascii="Times New Roman" w:hAnsi="Times New Roman" w:cs="Times New Roman"/>
          <w:sz w:val="22"/>
          <w:szCs w:val="22"/>
          <w:lang w:val="it-IT"/>
        </w:rPr>
        <w:t>metotressato</w:t>
      </w:r>
    </w:p>
    <w:p w:rsidR="006224C2" w:rsidRPr="00295E71" w14:paraId="61BE27A5"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Intervallo di confidenza del 95% per le differenze nelle variazioni degli indici tra metotressato e Humira.</w:t>
      </w:r>
    </w:p>
    <w:p w:rsidR="006224C2" w:rsidRPr="00295E71" w14:paraId="5703BEC8"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c</w:t>
      </w:r>
      <w:r w:rsidRPr="00295E71">
        <w:rPr>
          <w:rFonts w:ascii="Times New Roman" w:hAnsi="Times New Roman" w:cs="Times New Roman"/>
          <w:sz w:val="22"/>
          <w:szCs w:val="22"/>
          <w:lang w:val="it-IT"/>
        </w:rPr>
        <w:t>Basato sull’analisi a ranghi</w:t>
      </w:r>
    </w:p>
    <w:p w:rsidR="006224C2" w:rsidRPr="00295E71" w14:paraId="45BAD054"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d</w:t>
      </w:r>
      <w:r w:rsidRPr="00295E71">
        <w:rPr>
          <w:rFonts w:ascii="Times New Roman" w:hAnsi="Times New Roman" w:cs="Times New Roman"/>
          <w:sz w:val="22"/>
          <w:szCs w:val="22"/>
          <w:lang w:val="it-IT"/>
        </w:rPr>
        <w:t>Joint Space Narrowing (riduzione della rima articolare)</w:t>
      </w:r>
    </w:p>
    <w:p w:rsidR="006224C2" w:rsidRPr="00295E71" w14:paraId="2AD6FFE8" w14:textId="77777777">
      <w:pPr>
        <w:tabs>
          <w:tab w:val="left" w:pos="567"/>
        </w:tabs>
        <w:jc w:val="both"/>
        <w:rPr>
          <w:sz w:val="22"/>
          <w:szCs w:val="22"/>
        </w:rPr>
      </w:pPr>
    </w:p>
    <w:p w:rsidR="006224C2" w:rsidRPr="00295E71" w14:paraId="15243582" w14:textId="77777777">
      <w:pPr>
        <w:tabs>
          <w:tab w:val="left" w:pos="567"/>
        </w:tabs>
        <w:jc w:val="both"/>
        <w:rPr>
          <w:sz w:val="22"/>
          <w:szCs w:val="22"/>
        </w:rPr>
      </w:pPr>
      <w:r w:rsidRPr="00295E71">
        <w:rPr>
          <w:sz w:val="22"/>
          <w:szCs w:val="22"/>
        </w:rPr>
        <w:t xml:space="preserve">Nello studio AR V, il danno articolare strutturale è stato valutato radiograficamente ed è espresso in termini di variazione dell’Indice Totale di Sharp modificato (vedere Tabella </w:t>
      </w:r>
      <w:r w:rsidRPr="00295E71" w:rsidR="00C457AE">
        <w:rPr>
          <w:sz w:val="22"/>
          <w:szCs w:val="22"/>
        </w:rPr>
        <w:t>1</w:t>
      </w:r>
      <w:r w:rsidR="0062664F">
        <w:rPr>
          <w:sz w:val="22"/>
          <w:szCs w:val="22"/>
        </w:rPr>
        <w:t>1</w:t>
      </w:r>
      <w:r w:rsidRPr="00295E71">
        <w:rPr>
          <w:sz w:val="22"/>
          <w:szCs w:val="22"/>
        </w:rPr>
        <w:t>).</w:t>
      </w:r>
    </w:p>
    <w:p w:rsidR="006224C2" w:rsidRPr="00295E71" w14:paraId="292587FB" w14:textId="77777777">
      <w:pPr>
        <w:tabs>
          <w:tab w:val="left" w:pos="567"/>
        </w:tabs>
        <w:jc w:val="both"/>
        <w:rPr>
          <w:sz w:val="22"/>
          <w:szCs w:val="22"/>
        </w:rPr>
      </w:pPr>
    </w:p>
    <w:tbl>
      <w:tblPr>
        <w:tblW w:w="8910" w:type="dxa"/>
        <w:tblInd w:w="108" w:type="dxa"/>
        <w:tblLayout w:type="fixed"/>
        <w:tblLook w:val="0000"/>
      </w:tblPr>
      <w:tblGrid>
        <w:gridCol w:w="1430"/>
        <w:gridCol w:w="1540"/>
        <w:gridCol w:w="1482"/>
        <w:gridCol w:w="1488"/>
        <w:gridCol w:w="990"/>
        <w:gridCol w:w="990"/>
        <w:gridCol w:w="990"/>
      </w:tblGrid>
      <w:tr w14:paraId="5BE68034" w14:textId="77777777">
        <w:tblPrEx>
          <w:tblW w:w="8910" w:type="dxa"/>
          <w:tblInd w:w="108" w:type="dxa"/>
          <w:tblLayout w:type="fixed"/>
          <w:tblLook w:val="0000"/>
        </w:tblPrEx>
        <w:trPr>
          <w:cantSplit/>
        </w:trPr>
        <w:tc>
          <w:tcPr>
            <w:tcW w:w="8910" w:type="dxa"/>
            <w:gridSpan w:val="7"/>
            <w:tcBorders>
              <w:bottom w:val="single" w:sz="4" w:space="0" w:color="auto"/>
            </w:tcBorders>
          </w:tcPr>
          <w:p w:rsidR="006224C2" w:rsidRPr="00295E71" w:rsidP="008251A1" w14:paraId="1FDE742A" w14:textId="77777777">
            <w:pPr>
              <w:pStyle w:val="Heading5"/>
              <w:rPr>
                <w:lang w:val="it-IT"/>
              </w:rPr>
            </w:pPr>
            <w:r w:rsidRPr="00295E71">
              <w:rPr>
                <w:lang w:val="it-IT"/>
              </w:rPr>
              <w:br w:type="page"/>
              <w:t xml:space="preserve">Tabella </w:t>
            </w:r>
            <w:r w:rsidRPr="00295E71" w:rsidR="00C457AE">
              <w:rPr>
                <w:lang w:val="it-IT"/>
              </w:rPr>
              <w:t>1</w:t>
            </w:r>
            <w:r w:rsidR="0062664F">
              <w:rPr>
                <w:lang w:val="it-IT"/>
              </w:rPr>
              <w:t>1</w:t>
            </w:r>
          </w:p>
          <w:p w:rsidR="006224C2" w:rsidRPr="00295E71" w:rsidP="008251A1" w14:paraId="341B29C7" w14:textId="77777777">
            <w:pPr>
              <w:pStyle w:val="Heading5"/>
              <w:rPr>
                <w:lang w:val="it-IT"/>
              </w:rPr>
            </w:pPr>
            <w:r w:rsidRPr="00295E71">
              <w:rPr>
                <w:lang w:val="it-IT"/>
              </w:rPr>
              <w:t>Variazioni radiografiche medie alla settimana 52 nello studio AR V</w:t>
            </w:r>
          </w:p>
          <w:p w:rsidR="006224C2" w:rsidRPr="00295E71" w:rsidP="008251A1" w14:paraId="111E8BD1" w14:textId="77777777">
            <w:pPr>
              <w:keepNext/>
              <w:rPr>
                <w:sz w:val="22"/>
                <w:szCs w:val="22"/>
              </w:rPr>
            </w:pPr>
          </w:p>
        </w:tc>
      </w:tr>
      <w:tr w14:paraId="10DE7653" w14:textId="77777777">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vAlign w:val="center"/>
          </w:tcPr>
          <w:p w:rsidR="006224C2" w:rsidRPr="00295E71" w14:paraId="34D13C55" w14:textId="77777777">
            <w:pPr>
              <w:pStyle w:val="EndnoteText"/>
              <w:tabs>
                <w:tab w:val="clear" w:pos="567"/>
              </w:tabs>
              <w:rPr>
                <w:lang w:val="it-IT" w:eastAsia="it-IT"/>
              </w:rPr>
            </w:pPr>
          </w:p>
        </w:tc>
        <w:tc>
          <w:tcPr>
            <w:tcW w:w="1540" w:type="dxa"/>
            <w:tcBorders>
              <w:top w:val="single" w:sz="4" w:space="0" w:color="auto"/>
              <w:left w:val="single" w:sz="4" w:space="0" w:color="auto"/>
              <w:bottom w:val="single" w:sz="4" w:space="0" w:color="auto"/>
              <w:right w:val="single" w:sz="4" w:space="0" w:color="auto"/>
            </w:tcBorders>
            <w:vAlign w:val="center"/>
          </w:tcPr>
          <w:p w:rsidR="006224C2" w:rsidRPr="00295E71" w14:paraId="5A0462DE" w14:textId="77777777">
            <w:pPr>
              <w:jc w:val="center"/>
              <w:rPr>
                <w:sz w:val="22"/>
                <w:szCs w:val="22"/>
              </w:rPr>
            </w:pPr>
            <w:r w:rsidRPr="00295E71">
              <w:rPr>
                <w:sz w:val="22"/>
                <w:szCs w:val="22"/>
              </w:rPr>
              <w:t>MTX</w:t>
            </w:r>
          </w:p>
          <w:p w:rsidR="006224C2" w:rsidRPr="00295E71" w14:paraId="7551BE41" w14:textId="77777777">
            <w:pPr>
              <w:jc w:val="center"/>
              <w:rPr>
                <w:sz w:val="22"/>
                <w:szCs w:val="22"/>
              </w:rPr>
            </w:pPr>
            <w:r w:rsidRPr="00295E71">
              <w:rPr>
                <w:sz w:val="22"/>
                <w:szCs w:val="22"/>
              </w:rPr>
              <w:t>n=257</w:t>
            </w:r>
          </w:p>
          <w:p w:rsidR="006224C2" w:rsidRPr="00295E71" w14:paraId="5BFCBB1F" w14:textId="77777777">
            <w:pPr>
              <w:jc w:val="center"/>
              <w:rPr>
                <w:sz w:val="22"/>
                <w:szCs w:val="22"/>
              </w:rPr>
            </w:pPr>
            <w:r w:rsidRPr="00295E71">
              <w:rPr>
                <w:sz w:val="22"/>
                <w:szCs w:val="22"/>
              </w:rPr>
              <w:t>(95% intervallo di confidenza)</w:t>
            </w:r>
          </w:p>
        </w:tc>
        <w:tc>
          <w:tcPr>
            <w:tcW w:w="1482" w:type="dxa"/>
            <w:tcBorders>
              <w:top w:val="single" w:sz="4" w:space="0" w:color="auto"/>
              <w:left w:val="single" w:sz="4" w:space="0" w:color="auto"/>
              <w:bottom w:val="single" w:sz="4" w:space="0" w:color="auto"/>
              <w:right w:val="single" w:sz="4" w:space="0" w:color="auto"/>
            </w:tcBorders>
            <w:vAlign w:val="center"/>
          </w:tcPr>
          <w:p w:rsidR="006224C2" w:rsidRPr="00295E71" w14:paraId="09A389AE" w14:textId="77777777">
            <w:pPr>
              <w:jc w:val="center"/>
              <w:rPr>
                <w:sz w:val="22"/>
                <w:szCs w:val="22"/>
              </w:rPr>
            </w:pPr>
            <w:r w:rsidRPr="00295E71">
              <w:rPr>
                <w:sz w:val="22"/>
                <w:szCs w:val="22"/>
              </w:rPr>
              <w:t>Humira</w:t>
            </w:r>
          </w:p>
          <w:p w:rsidR="006224C2" w:rsidRPr="00295E71" w14:paraId="61E57D86" w14:textId="77777777">
            <w:pPr>
              <w:pStyle w:val="EMEAFigureTitle"/>
              <w:jc w:val="center"/>
              <w:rPr>
                <w:lang w:val="it-IT"/>
              </w:rPr>
            </w:pPr>
            <w:r w:rsidRPr="00295E71">
              <w:rPr>
                <w:lang w:val="it-IT"/>
              </w:rPr>
              <w:t>n=274</w:t>
            </w:r>
          </w:p>
          <w:p w:rsidR="006224C2" w:rsidRPr="00295E71" w14:paraId="3C0D690D" w14:textId="77777777">
            <w:pPr>
              <w:jc w:val="center"/>
              <w:rPr>
                <w:sz w:val="22"/>
                <w:szCs w:val="22"/>
              </w:rPr>
            </w:pPr>
            <w:r w:rsidRPr="00295E71">
              <w:rPr>
                <w:sz w:val="22"/>
                <w:szCs w:val="22"/>
              </w:rPr>
              <w:t>(95% intervallo di confidenza)</w:t>
            </w:r>
          </w:p>
        </w:tc>
        <w:tc>
          <w:tcPr>
            <w:tcW w:w="1488" w:type="dxa"/>
            <w:tcBorders>
              <w:top w:val="single" w:sz="4" w:space="0" w:color="auto"/>
              <w:left w:val="single" w:sz="4" w:space="0" w:color="auto"/>
              <w:bottom w:val="single" w:sz="4" w:space="0" w:color="auto"/>
              <w:right w:val="single" w:sz="4" w:space="0" w:color="auto"/>
            </w:tcBorders>
            <w:vAlign w:val="center"/>
          </w:tcPr>
          <w:p w:rsidR="006224C2" w:rsidRPr="00295E71" w14:paraId="6983FCB9" w14:textId="77777777">
            <w:pPr>
              <w:jc w:val="center"/>
              <w:rPr>
                <w:sz w:val="22"/>
                <w:szCs w:val="22"/>
              </w:rPr>
            </w:pPr>
            <w:r w:rsidRPr="00295E71">
              <w:rPr>
                <w:sz w:val="22"/>
                <w:szCs w:val="22"/>
              </w:rPr>
              <w:t>Humira/MTX</w:t>
            </w:r>
          </w:p>
          <w:p w:rsidR="006224C2" w:rsidRPr="00295E71" w14:paraId="07833FB8" w14:textId="77777777">
            <w:pPr>
              <w:pStyle w:val="EMEAFigureTitle"/>
              <w:jc w:val="center"/>
              <w:rPr>
                <w:lang w:val="it-IT"/>
              </w:rPr>
            </w:pPr>
            <w:r w:rsidRPr="00295E71">
              <w:rPr>
                <w:lang w:val="it-IT"/>
              </w:rPr>
              <w:t>n=268</w:t>
            </w:r>
          </w:p>
          <w:p w:rsidR="006224C2" w:rsidRPr="00295E71" w14:paraId="513028A5" w14:textId="77777777">
            <w:pPr>
              <w:pStyle w:val="EMEANormal"/>
              <w:jc w:val="center"/>
              <w:rPr>
                <w:lang w:val="it-IT"/>
              </w:rPr>
            </w:pPr>
            <w:r w:rsidRPr="00295E71">
              <w:rPr>
                <w:lang w:val="it-IT"/>
              </w:rPr>
              <w:t>(95% intervallo di confidenza)</w:t>
            </w:r>
          </w:p>
        </w:tc>
        <w:tc>
          <w:tcPr>
            <w:tcW w:w="990" w:type="dxa"/>
            <w:tcBorders>
              <w:top w:val="single" w:sz="4" w:space="0" w:color="auto"/>
              <w:left w:val="single" w:sz="4" w:space="0" w:color="auto"/>
              <w:bottom w:val="single" w:sz="4" w:space="0" w:color="auto"/>
              <w:right w:val="single" w:sz="4" w:space="0" w:color="auto"/>
            </w:tcBorders>
            <w:vAlign w:val="center"/>
          </w:tcPr>
          <w:p w:rsidR="006224C2" w:rsidRPr="00295E71" w:rsidP="008251A1" w14:paraId="3F9421A0" w14:textId="77777777">
            <w:pPr>
              <w:pStyle w:val="EMEANormal"/>
              <w:keepNext/>
              <w:jc w:val="center"/>
              <w:rPr>
                <w:lang w:val="it-IT"/>
              </w:rPr>
            </w:pPr>
            <w:r w:rsidRPr="00295E71">
              <w:rPr>
                <w:lang w:val="it-IT"/>
              </w:rPr>
              <w:t>Valore p</w:t>
            </w:r>
            <w:r w:rsidRPr="00295E71">
              <w:rPr>
                <w:vertAlign w:val="superscript"/>
                <w:lang w:val="it-IT"/>
              </w:rPr>
              <w:t>a</w:t>
            </w:r>
          </w:p>
        </w:tc>
        <w:tc>
          <w:tcPr>
            <w:tcW w:w="990" w:type="dxa"/>
            <w:tcBorders>
              <w:top w:val="single" w:sz="4" w:space="0" w:color="auto"/>
              <w:left w:val="single" w:sz="4" w:space="0" w:color="auto"/>
              <w:bottom w:val="single" w:sz="4" w:space="0" w:color="auto"/>
              <w:right w:val="single" w:sz="4" w:space="0" w:color="auto"/>
            </w:tcBorders>
            <w:vAlign w:val="center"/>
          </w:tcPr>
          <w:p w:rsidR="006224C2" w:rsidRPr="00295E71" w:rsidP="008251A1" w14:paraId="30DACF3E" w14:textId="77777777">
            <w:pPr>
              <w:keepNext/>
              <w:jc w:val="center"/>
              <w:rPr>
                <w:sz w:val="22"/>
                <w:szCs w:val="22"/>
              </w:rPr>
            </w:pPr>
            <w:r w:rsidRPr="00295E71">
              <w:rPr>
                <w:sz w:val="22"/>
                <w:szCs w:val="22"/>
              </w:rPr>
              <w:t>Valore p</w:t>
            </w:r>
            <w:r w:rsidRPr="00295E71">
              <w:rPr>
                <w:sz w:val="22"/>
                <w:szCs w:val="22"/>
                <w:vertAlign w:val="superscript"/>
              </w:rPr>
              <w:t>b</w:t>
            </w:r>
          </w:p>
        </w:tc>
        <w:tc>
          <w:tcPr>
            <w:tcW w:w="990" w:type="dxa"/>
            <w:tcBorders>
              <w:top w:val="single" w:sz="4" w:space="0" w:color="auto"/>
              <w:left w:val="single" w:sz="4" w:space="0" w:color="auto"/>
              <w:bottom w:val="single" w:sz="4" w:space="0" w:color="auto"/>
              <w:right w:val="single" w:sz="4" w:space="0" w:color="auto"/>
            </w:tcBorders>
            <w:vAlign w:val="center"/>
          </w:tcPr>
          <w:p w:rsidR="006224C2" w:rsidRPr="00295E71" w14:paraId="554D4860" w14:textId="77777777">
            <w:pPr>
              <w:jc w:val="center"/>
              <w:rPr>
                <w:sz w:val="22"/>
                <w:szCs w:val="22"/>
              </w:rPr>
            </w:pPr>
            <w:r w:rsidRPr="00295E71">
              <w:rPr>
                <w:sz w:val="22"/>
                <w:szCs w:val="22"/>
              </w:rPr>
              <w:t>Valore p</w:t>
            </w:r>
            <w:r w:rsidRPr="00295E71">
              <w:rPr>
                <w:sz w:val="22"/>
                <w:szCs w:val="22"/>
                <w:vertAlign w:val="superscript"/>
              </w:rPr>
              <w:t>c</w:t>
            </w:r>
          </w:p>
        </w:tc>
      </w:tr>
      <w:tr w14:paraId="38C87601" w14:textId="77777777">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tcPr>
          <w:p w:rsidR="006224C2" w:rsidRPr="00295E71" w14:paraId="416E13C3" w14:textId="77777777">
            <w:pPr>
              <w:pStyle w:val="EMEAFigureTitle"/>
              <w:jc w:val="center"/>
              <w:rPr>
                <w:lang w:val="it-IT"/>
              </w:rPr>
            </w:pPr>
            <w:r w:rsidRPr="00295E71">
              <w:rPr>
                <w:lang w:val="it-IT"/>
              </w:rPr>
              <w:t>Indice Totale di Sharp</w:t>
            </w:r>
          </w:p>
        </w:tc>
        <w:tc>
          <w:tcPr>
            <w:tcW w:w="1540" w:type="dxa"/>
            <w:tcBorders>
              <w:top w:val="single" w:sz="4" w:space="0" w:color="auto"/>
              <w:left w:val="single" w:sz="4" w:space="0" w:color="auto"/>
              <w:bottom w:val="single" w:sz="4" w:space="0" w:color="auto"/>
              <w:right w:val="single" w:sz="4" w:space="0" w:color="auto"/>
            </w:tcBorders>
          </w:tcPr>
          <w:p w:rsidR="006224C2" w:rsidRPr="00295E71" w14:paraId="36F8EFDD" w14:textId="77777777">
            <w:pPr>
              <w:jc w:val="center"/>
              <w:rPr>
                <w:sz w:val="22"/>
                <w:szCs w:val="22"/>
              </w:rPr>
            </w:pPr>
            <w:r w:rsidRPr="00295E71">
              <w:rPr>
                <w:sz w:val="22"/>
                <w:szCs w:val="22"/>
              </w:rPr>
              <w:t>5,7 (4,2-7,3)</w:t>
            </w:r>
          </w:p>
        </w:tc>
        <w:tc>
          <w:tcPr>
            <w:tcW w:w="1482" w:type="dxa"/>
            <w:tcBorders>
              <w:top w:val="single" w:sz="4" w:space="0" w:color="auto"/>
              <w:left w:val="single" w:sz="4" w:space="0" w:color="auto"/>
              <w:bottom w:val="single" w:sz="4" w:space="0" w:color="auto"/>
              <w:right w:val="single" w:sz="4" w:space="0" w:color="auto"/>
            </w:tcBorders>
          </w:tcPr>
          <w:p w:rsidR="006224C2" w:rsidRPr="00295E71" w14:paraId="0716CAD4" w14:textId="77777777">
            <w:pPr>
              <w:pStyle w:val="EndnoteText"/>
              <w:jc w:val="center"/>
              <w:rPr>
                <w:lang w:val="it-IT"/>
              </w:rPr>
            </w:pPr>
            <w:r w:rsidRPr="00295E71">
              <w:rPr>
                <w:lang w:val="it-IT"/>
              </w:rPr>
              <w:t>3,0 (1,7-4,3)</w:t>
            </w:r>
          </w:p>
        </w:tc>
        <w:tc>
          <w:tcPr>
            <w:tcW w:w="1488" w:type="dxa"/>
            <w:tcBorders>
              <w:top w:val="single" w:sz="4" w:space="0" w:color="auto"/>
              <w:left w:val="single" w:sz="4" w:space="0" w:color="auto"/>
              <w:bottom w:val="single" w:sz="4" w:space="0" w:color="auto"/>
              <w:right w:val="single" w:sz="4" w:space="0" w:color="auto"/>
            </w:tcBorders>
          </w:tcPr>
          <w:p w:rsidR="006224C2" w:rsidRPr="00295E71" w14:paraId="106FDCD1" w14:textId="77777777">
            <w:pPr>
              <w:pStyle w:val="EndnoteText"/>
              <w:jc w:val="center"/>
              <w:rPr>
                <w:lang w:val="it-IT"/>
              </w:rPr>
            </w:pPr>
            <w:r w:rsidRPr="00295E71">
              <w:rPr>
                <w:lang w:val="it-IT"/>
              </w:rPr>
              <w:t>1,3 (0,5-2,1)</w:t>
            </w:r>
          </w:p>
        </w:tc>
        <w:tc>
          <w:tcPr>
            <w:tcW w:w="990" w:type="dxa"/>
            <w:tcBorders>
              <w:top w:val="single" w:sz="4" w:space="0" w:color="auto"/>
              <w:left w:val="single" w:sz="4" w:space="0" w:color="auto"/>
              <w:bottom w:val="single" w:sz="4" w:space="0" w:color="auto"/>
              <w:right w:val="single" w:sz="4" w:space="0" w:color="auto"/>
            </w:tcBorders>
          </w:tcPr>
          <w:p w:rsidR="006224C2" w:rsidRPr="00295E71" w:rsidP="008251A1" w14:paraId="2E770170" w14:textId="77777777">
            <w:pPr>
              <w:pStyle w:val="EndnoteText"/>
              <w:keepNext/>
              <w:jc w:val="center"/>
              <w:rPr>
                <w:lang w:val="it-IT"/>
              </w:rPr>
            </w:pPr>
            <w:r w:rsidRPr="00295E71">
              <w:rPr>
                <w:lang w:val="it-IT"/>
              </w:rPr>
              <w:t>&lt;0,001</w:t>
            </w:r>
          </w:p>
        </w:tc>
        <w:tc>
          <w:tcPr>
            <w:tcW w:w="990" w:type="dxa"/>
            <w:tcBorders>
              <w:top w:val="single" w:sz="4" w:space="0" w:color="auto"/>
              <w:left w:val="single" w:sz="4" w:space="0" w:color="auto"/>
              <w:bottom w:val="single" w:sz="4" w:space="0" w:color="auto"/>
              <w:right w:val="single" w:sz="4" w:space="0" w:color="auto"/>
            </w:tcBorders>
          </w:tcPr>
          <w:p w:rsidR="006224C2" w:rsidRPr="00295E71" w:rsidP="008251A1" w14:paraId="267EF26A" w14:textId="77777777">
            <w:pPr>
              <w:keepNext/>
              <w:jc w:val="center"/>
              <w:rPr>
                <w:sz w:val="22"/>
                <w:szCs w:val="22"/>
              </w:rPr>
            </w:pPr>
            <w:r w:rsidRPr="00295E71">
              <w:rPr>
                <w:sz w:val="22"/>
                <w:szCs w:val="22"/>
              </w:rPr>
              <w:t>0,0020</w:t>
            </w:r>
          </w:p>
        </w:tc>
        <w:tc>
          <w:tcPr>
            <w:tcW w:w="990" w:type="dxa"/>
            <w:tcBorders>
              <w:top w:val="single" w:sz="4" w:space="0" w:color="auto"/>
              <w:left w:val="single" w:sz="4" w:space="0" w:color="auto"/>
              <w:bottom w:val="single" w:sz="4" w:space="0" w:color="auto"/>
              <w:right w:val="single" w:sz="4" w:space="0" w:color="auto"/>
            </w:tcBorders>
          </w:tcPr>
          <w:p w:rsidR="006224C2" w:rsidRPr="00295E71" w14:paraId="6F26A658" w14:textId="77777777">
            <w:pPr>
              <w:jc w:val="center"/>
              <w:rPr>
                <w:sz w:val="22"/>
                <w:szCs w:val="22"/>
              </w:rPr>
            </w:pPr>
            <w:r w:rsidRPr="00295E71">
              <w:rPr>
                <w:sz w:val="22"/>
                <w:szCs w:val="22"/>
              </w:rPr>
              <w:t>&lt;0,001</w:t>
            </w:r>
          </w:p>
        </w:tc>
      </w:tr>
      <w:tr w14:paraId="4DE21D29" w14:textId="77777777">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tcPr>
          <w:p w:rsidR="006224C2" w:rsidRPr="00295E71" w14:paraId="7D63DDE6" w14:textId="77777777">
            <w:pPr>
              <w:jc w:val="center"/>
              <w:rPr>
                <w:sz w:val="22"/>
                <w:szCs w:val="22"/>
              </w:rPr>
            </w:pPr>
            <w:r w:rsidRPr="00295E71">
              <w:rPr>
                <w:sz w:val="22"/>
                <w:szCs w:val="22"/>
              </w:rPr>
              <w:t>Indice di erosione</w:t>
            </w:r>
          </w:p>
        </w:tc>
        <w:tc>
          <w:tcPr>
            <w:tcW w:w="1540" w:type="dxa"/>
            <w:tcBorders>
              <w:top w:val="single" w:sz="4" w:space="0" w:color="auto"/>
              <w:left w:val="single" w:sz="4" w:space="0" w:color="auto"/>
              <w:bottom w:val="single" w:sz="4" w:space="0" w:color="auto"/>
              <w:right w:val="single" w:sz="4" w:space="0" w:color="auto"/>
            </w:tcBorders>
          </w:tcPr>
          <w:p w:rsidR="006224C2" w:rsidRPr="00295E71" w14:paraId="7B44C314" w14:textId="77777777">
            <w:pPr>
              <w:jc w:val="center"/>
              <w:rPr>
                <w:sz w:val="22"/>
                <w:szCs w:val="22"/>
              </w:rPr>
            </w:pPr>
            <w:r w:rsidRPr="00295E71">
              <w:rPr>
                <w:sz w:val="22"/>
                <w:szCs w:val="22"/>
              </w:rPr>
              <w:t>3,7 (2,7-4,7)</w:t>
            </w:r>
          </w:p>
        </w:tc>
        <w:tc>
          <w:tcPr>
            <w:tcW w:w="1482" w:type="dxa"/>
            <w:tcBorders>
              <w:top w:val="single" w:sz="4" w:space="0" w:color="auto"/>
              <w:left w:val="single" w:sz="4" w:space="0" w:color="auto"/>
              <w:bottom w:val="single" w:sz="4" w:space="0" w:color="auto"/>
              <w:right w:val="single" w:sz="4" w:space="0" w:color="auto"/>
            </w:tcBorders>
          </w:tcPr>
          <w:p w:rsidR="006224C2" w:rsidRPr="00295E71" w14:paraId="17FCC04B" w14:textId="77777777">
            <w:pPr>
              <w:jc w:val="center"/>
              <w:rPr>
                <w:sz w:val="22"/>
                <w:szCs w:val="22"/>
              </w:rPr>
            </w:pPr>
            <w:r w:rsidRPr="00295E71">
              <w:rPr>
                <w:sz w:val="22"/>
                <w:szCs w:val="22"/>
              </w:rPr>
              <w:t>1,7 (1,0-2,4)</w:t>
            </w:r>
          </w:p>
        </w:tc>
        <w:tc>
          <w:tcPr>
            <w:tcW w:w="1488" w:type="dxa"/>
            <w:tcBorders>
              <w:top w:val="single" w:sz="4" w:space="0" w:color="auto"/>
              <w:left w:val="single" w:sz="4" w:space="0" w:color="auto"/>
              <w:bottom w:val="single" w:sz="4" w:space="0" w:color="auto"/>
              <w:right w:val="single" w:sz="4" w:space="0" w:color="auto"/>
            </w:tcBorders>
          </w:tcPr>
          <w:p w:rsidR="006224C2" w:rsidRPr="00295E71" w14:paraId="5669B19F" w14:textId="77777777">
            <w:pPr>
              <w:jc w:val="center"/>
              <w:rPr>
                <w:sz w:val="22"/>
                <w:szCs w:val="22"/>
              </w:rPr>
            </w:pPr>
            <w:r w:rsidRPr="00295E71">
              <w:rPr>
                <w:sz w:val="22"/>
                <w:szCs w:val="22"/>
              </w:rPr>
              <w:t>0,8 (0,4-1,2)</w:t>
            </w:r>
          </w:p>
        </w:tc>
        <w:tc>
          <w:tcPr>
            <w:tcW w:w="990" w:type="dxa"/>
            <w:tcBorders>
              <w:top w:val="single" w:sz="4" w:space="0" w:color="auto"/>
              <w:left w:val="single" w:sz="4" w:space="0" w:color="auto"/>
              <w:bottom w:val="single" w:sz="4" w:space="0" w:color="auto"/>
              <w:right w:val="single" w:sz="4" w:space="0" w:color="auto"/>
            </w:tcBorders>
          </w:tcPr>
          <w:p w:rsidR="006224C2" w:rsidRPr="00295E71" w:rsidP="008251A1" w14:paraId="2FCFF954" w14:textId="77777777">
            <w:pPr>
              <w:keepNext/>
              <w:jc w:val="center"/>
              <w:rPr>
                <w:sz w:val="22"/>
                <w:szCs w:val="22"/>
              </w:rPr>
            </w:pPr>
            <w:r w:rsidRPr="00295E71">
              <w:rPr>
                <w:sz w:val="22"/>
                <w:szCs w:val="22"/>
              </w:rPr>
              <w:t>&lt;0,001</w:t>
            </w:r>
          </w:p>
        </w:tc>
        <w:tc>
          <w:tcPr>
            <w:tcW w:w="990" w:type="dxa"/>
            <w:tcBorders>
              <w:top w:val="single" w:sz="4" w:space="0" w:color="auto"/>
              <w:left w:val="single" w:sz="4" w:space="0" w:color="auto"/>
              <w:bottom w:val="single" w:sz="4" w:space="0" w:color="auto"/>
              <w:right w:val="single" w:sz="4" w:space="0" w:color="auto"/>
            </w:tcBorders>
          </w:tcPr>
          <w:p w:rsidR="006224C2" w:rsidRPr="00295E71" w:rsidP="008251A1" w14:paraId="589CD9D1" w14:textId="77777777">
            <w:pPr>
              <w:keepNext/>
              <w:jc w:val="center"/>
              <w:rPr>
                <w:sz w:val="22"/>
                <w:szCs w:val="22"/>
              </w:rPr>
            </w:pPr>
            <w:r w:rsidRPr="00295E71">
              <w:rPr>
                <w:sz w:val="22"/>
                <w:szCs w:val="22"/>
              </w:rPr>
              <w:t>0,0082</w:t>
            </w:r>
          </w:p>
        </w:tc>
        <w:tc>
          <w:tcPr>
            <w:tcW w:w="990" w:type="dxa"/>
            <w:tcBorders>
              <w:top w:val="single" w:sz="4" w:space="0" w:color="auto"/>
              <w:left w:val="single" w:sz="4" w:space="0" w:color="auto"/>
              <w:bottom w:val="single" w:sz="4" w:space="0" w:color="auto"/>
              <w:right w:val="single" w:sz="4" w:space="0" w:color="auto"/>
            </w:tcBorders>
          </w:tcPr>
          <w:p w:rsidR="006224C2" w:rsidRPr="00295E71" w14:paraId="145CF9A6" w14:textId="77777777">
            <w:pPr>
              <w:jc w:val="center"/>
              <w:rPr>
                <w:sz w:val="22"/>
                <w:szCs w:val="22"/>
              </w:rPr>
            </w:pPr>
            <w:r w:rsidRPr="00295E71">
              <w:rPr>
                <w:sz w:val="22"/>
                <w:szCs w:val="22"/>
              </w:rPr>
              <w:t>&lt;0,001</w:t>
            </w:r>
          </w:p>
        </w:tc>
      </w:tr>
      <w:tr w14:paraId="17DE4D7E" w14:textId="77777777">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tcPr>
          <w:p w:rsidR="006224C2" w:rsidRPr="00295E71" w14:paraId="76858F26" w14:textId="77777777">
            <w:pPr>
              <w:jc w:val="center"/>
              <w:rPr>
                <w:sz w:val="22"/>
                <w:szCs w:val="22"/>
              </w:rPr>
            </w:pPr>
            <w:r w:rsidRPr="00295E71">
              <w:rPr>
                <w:sz w:val="22"/>
                <w:szCs w:val="22"/>
              </w:rPr>
              <w:t>Indice JSN</w:t>
            </w:r>
          </w:p>
        </w:tc>
        <w:tc>
          <w:tcPr>
            <w:tcW w:w="1540" w:type="dxa"/>
            <w:tcBorders>
              <w:top w:val="single" w:sz="4" w:space="0" w:color="auto"/>
              <w:left w:val="single" w:sz="4" w:space="0" w:color="auto"/>
              <w:bottom w:val="single" w:sz="4" w:space="0" w:color="auto"/>
              <w:right w:val="single" w:sz="4" w:space="0" w:color="auto"/>
            </w:tcBorders>
          </w:tcPr>
          <w:p w:rsidR="006224C2" w:rsidRPr="00295E71" w14:paraId="7CD19C29" w14:textId="77777777">
            <w:pPr>
              <w:jc w:val="center"/>
              <w:rPr>
                <w:sz w:val="22"/>
                <w:szCs w:val="22"/>
              </w:rPr>
            </w:pPr>
            <w:r w:rsidRPr="00295E71">
              <w:rPr>
                <w:sz w:val="22"/>
                <w:szCs w:val="22"/>
              </w:rPr>
              <w:t>2,0 (1,2-2,8)</w:t>
            </w:r>
          </w:p>
        </w:tc>
        <w:tc>
          <w:tcPr>
            <w:tcW w:w="1482" w:type="dxa"/>
            <w:tcBorders>
              <w:top w:val="single" w:sz="4" w:space="0" w:color="auto"/>
              <w:left w:val="single" w:sz="4" w:space="0" w:color="auto"/>
              <w:bottom w:val="single" w:sz="4" w:space="0" w:color="auto"/>
              <w:right w:val="single" w:sz="4" w:space="0" w:color="auto"/>
            </w:tcBorders>
          </w:tcPr>
          <w:p w:rsidR="006224C2" w:rsidRPr="00295E71" w14:paraId="1060DEBD" w14:textId="77777777">
            <w:pPr>
              <w:jc w:val="center"/>
              <w:rPr>
                <w:sz w:val="22"/>
                <w:szCs w:val="22"/>
              </w:rPr>
            </w:pPr>
            <w:r w:rsidRPr="00295E71">
              <w:rPr>
                <w:sz w:val="22"/>
                <w:szCs w:val="22"/>
              </w:rPr>
              <w:t>1,3 (0,5-2,1)</w:t>
            </w:r>
          </w:p>
        </w:tc>
        <w:tc>
          <w:tcPr>
            <w:tcW w:w="1488" w:type="dxa"/>
            <w:tcBorders>
              <w:top w:val="single" w:sz="4" w:space="0" w:color="auto"/>
              <w:left w:val="single" w:sz="4" w:space="0" w:color="auto"/>
              <w:bottom w:val="single" w:sz="4" w:space="0" w:color="auto"/>
              <w:right w:val="single" w:sz="4" w:space="0" w:color="auto"/>
            </w:tcBorders>
          </w:tcPr>
          <w:p w:rsidR="006224C2" w:rsidRPr="00295E71" w14:paraId="6F4DA64A" w14:textId="77777777">
            <w:pPr>
              <w:jc w:val="center"/>
              <w:rPr>
                <w:sz w:val="22"/>
                <w:szCs w:val="22"/>
              </w:rPr>
            </w:pPr>
            <w:r w:rsidRPr="00295E71">
              <w:rPr>
                <w:sz w:val="22"/>
                <w:szCs w:val="22"/>
              </w:rPr>
              <w:t>0,5 (0-1,0)</w:t>
            </w:r>
          </w:p>
        </w:tc>
        <w:tc>
          <w:tcPr>
            <w:tcW w:w="990" w:type="dxa"/>
            <w:tcBorders>
              <w:top w:val="single" w:sz="4" w:space="0" w:color="auto"/>
              <w:left w:val="single" w:sz="4" w:space="0" w:color="auto"/>
              <w:bottom w:val="single" w:sz="4" w:space="0" w:color="auto"/>
              <w:right w:val="single" w:sz="4" w:space="0" w:color="auto"/>
            </w:tcBorders>
          </w:tcPr>
          <w:p w:rsidR="006224C2" w:rsidRPr="00295E71" w:rsidP="008251A1" w14:paraId="10F1567A" w14:textId="77777777">
            <w:pPr>
              <w:keepNext/>
              <w:jc w:val="center"/>
              <w:rPr>
                <w:sz w:val="22"/>
                <w:szCs w:val="22"/>
              </w:rPr>
            </w:pPr>
            <w:r w:rsidRPr="00295E71">
              <w:rPr>
                <w:sz w:val="22"/>
                <w:szCs w:val="22"/>
              </w:rPr>
              <w:t>&lt;0,001</w:t>
            </w:r>
          </w:p>
        </w:tc>
        <w:tc>
          <w:tcPr>
            <w:tcW w:w="990" w:type="dxa"/>
            <w:tcBorders>
              <w:top w:val="single" w:sz="4" w:space="0" w:color="auto"/>
              <w:left w:val="single" w:sz="4" w:space="0" w:color="auto"/>
              <w:bottom w:val="single" w:sz="4" w:space="0" w:color="auto"/>
              <w:right w:val="single" w:sz="4" w:space="0" w:color="auto"/>
            </w:tcBorders>
          </w:tcPr>
          <w:p w:rsidR="006224C2" w:rsidRPr="00295E71" w:rsidP="008251A1" w14:paraId="158F47E3" w14:textId="77777777">
            <w:pPr>
              <w:keepNext/>
              <w:jc w:val="center"/>
              <w:rPr>
                <w:sz w:val="22"/>
                <w:szCs w:val="22"/>
              </w:rPr>
            </w:pPr>
            <w:r w:rsidRPr="00295E71">
              <w:rPr>
                <w:sz w:val="22"/>
                <w:szCs w:val="22"/>
              </w:rPr>
              <w:t>0,0037</w:t>
            </w:r>
          </w:p>
        </w:tc>
        <w:tc>
          <w:tcPr>
            <w:tcW w:w="990" w:type="dxa"/>
            <w:tcBorders>
              <w:top w:val="single" w:sz="4" w:space="0" w:color="auto"/>
              <w:left w:val="single" w:sz="4" w:space="0" w:color="auto"/>
              <w:bottom w:val="single" w:sz="4" w:space="0" w:color="auto"/>
              <w:right w:val="single" w:sz="4" w:space="0" w:color="auto"/>
            </w:tcBorders>
          </w:tcPr>
          <w:p w:rsidR="006224C2" w:rsidRPr="00295E71" w14:paraId="34C58078" w14:textId="77777777">
            <w:pPr>
              <w:jc w:val="center"/>
              <w:rPr>
                <w:sz w:val="22"/>
                <w:szCs w:val="22"/>
              </w:rPr>
            </w:pPr>
            <w:r w:rsidRPr="00295E71">
              <w:rPr>
                <w:sz w:val="22"/>
                <w:szCs w:val="22"/>
              </w:rPr>
              <w:t>0,151</w:t>
            </w:r>
          </w:p>
        </w:tc>
      </w:tr>
      <w:tr w14:paraId="1FFE8A5C" w14:textId="77777777">
        <w:tblPrEx>
          <w:tblW w:w="8910" w:type="dxa"/>
          <w:tblInd w:w="108" w:type="dxa"/>
          <w:tblLayout w:type="fixed"/>
          <w:tblLook w:val="0000"/>
        </w:tblPrEx>
        <w:trPr>
          <w:cantSplit/>
        </w:trPr>
        <w:tc>
          <w:tcPr>
            <w:tcW w:w="8910" w:type="dxa"/>
            <w:gridSpan w:val="7"/>
            <w:tcBorders>
              <w:top w:val="single" w:sz="4" w:space="0" w:color="auto"/>
            </w:tcBorders>
          </w:tcPr>
          <w:p w:rsidR="006224C2" w:rsidRPr="00295E71" w:rsidP="008251A1" w14:paraId="464FA2B4" w14:textId="77777777">
            <w:pPr>
              <w:keepNext/>
              <w:tabs>
                <w:tab w:val="left" w:pos="330"/>
                <w:tab w:val="left" w:pos="10728"/>
              </w:tabs>
              <w:ind w:left="360" w:hanging="360"/>
              <w:rPr>
                <w:sz w:val="22"/>
                <w:szCs w:val="22"/>
              </w:rPr>
            </w:pPr>
            <w:r w:rsidRPr="00295E71">
              <w:rPr>
                <w:sz w:val="22"/>
                <w:szCs w:val="22"/>
                <w:vertAlign w:val="superscript"/>
              </w:rPr>
              <w:t>a</w:t>
            </w:r>
            <w:r w:rsidRPr="00295E71">
              <w:rPr>
                <w:sz w:val="22"/>
                <w:szCs w:val="22"/>
              </w:rPr>
              <w:tab/>
              <w:t xml:space="preserve">il valore p è stato ottenuto confrontando a due a due la </w:t>
            </w:r>
            <w:r w:rsidRPr="00020442" w:rsidR="00A40A02">
              <w:rPr>
                <w:sz w:val="22"/>
                <w:szCs w:val="22"/>
              </w:rPr>
              <w:t>mono</w:t>
            </w:r>
            <w:r w:rsidRPr="00295E71">
              <w:rPr>
                <w:sz w:val="22"/>
                <w:szCs w:val="22"/>
              </w:rPr>
              <w:t>terapia con metotressato e la terapia associata Humira/metotressato utilizzando il test U Mann-Whitney.</w:t>
            </w:r>
          </w:p>
          <w:p w:rsidR="006224C2" w:rsidRPr="00295E71" w:rsidP="008251A1" w14:paraId="7821BB9D" w14:textId="77777777">
            <w:pPr>
              <w:pStyle w:val="BodyTextIndent"/>
              <w:keepNext/>
              <w:autoSpaceDE/>
              <w:autoSpaceDN/>
              <w:adjustRightInd/>
              <w:ind w:left="330" w:hanging="330"/>
              <w:jc w:val="left"/>
              <w:rPr>
                <w:color w:val="auto"/>
              </w:rPr>
            </w:pPr>
            <w:r w:rsidRPr="00295E71">
              <w:rPr>
                <w:vertAlign w:val="superscript"/>
              </w:rPr>
              <w:t>b</w:t>
            </w:r>
            <w:r w:rsidRPr="00295E71">
              <w:rPr>
                <w:color w:val="auto"/>
              </w:rPr>
              <w:tab/>
              <w:t xml:space="preserve">il valore p è stato ottenuto confrontando a due a due la </w:t>
            </w:r>
            <w:r w:rsidRPr="00020442" w:rsidR="00A40A02">
              <w:t>mono</w:t>
            </w:r>
            <w:r w:rsidRPr="00295E71">
              <w:rPr>
                <w:color w:val="auto"/>
              </w:rPr>
              <w:t>terapia con Humira e la terapia associata Humira/metotressato utilizzando il test U Mann-Whitney</w:t>
            </w:r>
          </w:p>
          <w:p w:rsidR="006224C2" w:rsidRPr="00295E71" w:rsidP="008251A1" w14:paraId="41276946" w14:textId="77777777">
            <w:pPr>
              <w:keepNext/>
              <w:tabs>
                <w:tab w:val="left" w:pos="330"/>
              </w:tabs>
              <w:ind w:left="360" w:hanging="360"/>
              <w:rPr>
                <w:sz w:val="22"/>
                <w:szCs w:val="22"/>
              </w:rPr>
            </w:pPr>
            <w:r w:rsidRPr="00295E71">
              <w:rPr>
                <w:sz w:val="22"/>
                <w:szCs w:val="22"/>
                <w:vertAlign w:val="superscript"/>
              </w:rPr>
              <w:t>c</w:t>
            </w:r>
            <w:r w:rsidRPr="00295E71" w:rsidR="006142E9">
              <w:tab/>
            </w:r>
            <w:r w:rsidRPr="00295E71">
              <w:rPr>
                <w:sz w:val="22"/>
                <w:szCs w:val="22"/>
              </w:rPr>
              <w:t xml:space="preserve">il valore p è stato ottenuto confrontando a due a due la </w:t>
            </w:r>
            <w:r w:rsidRPr="00020442" w:rsidR="00A40A02">
              <w:rPr>
                <w:sz w:val="22"/>
                <w:szCs w:val="22"/>
              </w:rPr>
              <w:t>mono</w:t>
            </w:r>
            <w:r w:rsidRPr="00295E71">
              <w:rPr>
                <w:sz w:val="22"/>
                <w:szCs w:val="22"/>
              </w:rPr>
              <w:t xml:space="preserve">terapia con Humira e la </w:t>
            </w:r>
            <w:r w:rsidRPr="00020442" w:rsidR="00A40A02">
              <w:rPr>
                <w:sz w:val="22"/>
                <w:szCs w:val="22"/>
              </w:rPr>
              <w:t>mono</w:t>
            </w:r>
            <w:r w:rsidRPr="00295E71">
              <w:rPr>
                <w:sz w:val="22"/>
                <w:szCs w:val="22"/>
              </w:rPr>
              <w:t>terapia con metotressato utilizzando il test U Mann-Whitney</w:t>
            </w:r>
          </w:p>
        </w:tc>
      </w:tr>
    </w:tbl>
    <w:p w:rsidR="006224C2" w:rsidRPr="00295E71" w14:paraId="030E9C6E" w14:textId="77777777">
      <w:pPr>
        <w:tabs>
          <w:tab w:val="left" w:pos="567"/>
        </w:tabs>
        <w:rPr>
          <w:sz w:val="22"/>
          <w:szCs w:val="22"/>
        </w:rPr>
      </w:pPr>
    </w:p>
    <w:p w:rsidR="006224C2" w:rsidRPr="00295E71" w14:paraId="6293D37E" w14:textId="77777777">
      <w:pPr>
        <w:pStyle w:val="Heading7"/>
        <w:keepNext w:val="0"/>
        <w:spacing w:line="240" w:lineRule="auto"/>
        <w:rPr>
          <w:i w:val="0"/>
          <w:iCs w:val="0"/>
          <w:lang w:val="it-IT"/>
        </w:rPr>
      </w:pPr>
      <w:r w:rsidRPr="00295E71">
        <w:rPr>
          <w:i w:val="0"/>
          <w:iCs w:val="0"/>
          <w:lang w:val="it-IT"/>
        </w:rPr>
        <w:t xml:space="preserve">Dopo 52 settimane e 104 settimane di trattamento, la percentuale di pazienti in cui non si è avuta progressione (variazione rispetto al valore basale dell’Indice Totale di Sharp modificato </w:t>
      </w:r>
      <w:r w:rsidRPr="00295E71">
        <w:rPr>
          <w:rFonts w:ascii="Symbol" w:hAnsi="Symbol"/>
          <w:i w:val="0"/>
          <w:lang w:val="it-IT"/>
        </w:rPr>
        <w:sym w:font="Symbol" w:char="F0A3"/>
      </w:r>
      <w:r w:rsidRPr="00295E71">
        <w:rPr>
          <w:i w:val="0"/>
          <w:iCs w:val="0"/>
          <w:lang w:val="it-IT"/>
        </w:rPr>
        <w:t xml:space="preserve"> 0,5) è stata significativamente maggiore con la terapia associata Humira/metotressato (rispettivamente 63,8% e 61,2%) rispetto alla monoterapia con metotressato (rispettivamente 37,4% e 33,5%, p&lt;0,001) ed alla monoterapia con Humira (rispettivamente 50,7%, p&lt;0,002 e 44,5%, p&lt;0,001).</w:t>
      </w:r>
    </w:p>
    <w:p w:rsidR="006224C2" w:rsidRPr="00295E71" w14:paraId="5C257712" w14:textId="77777777">
      <w:pPr>
        <w:rPr>
          <w:sz w:val="22"/>
          <w:szCs w:val="22"/>
          <w:u w:val="single"/>
        </w:rPr>
      </w:pPr>
    </w:p>
    <w:p w:rsidR="006224C2" w:rsidRPr="00295E71" w14:paraId="2455C668" w14:textId="77777777">
      <w:pPr>
        <w:rPr>
          <w:sz w:val="22"/>
          <w:szCs w:val="22"/>
          <w:u w:val="single"/>
        </w:rPr>
      </w:pPr>
      <w:r w:rsidRPr="00295E71">
        <w:rPr>
          <w:sz w:val="22"/>
          <w:szCs w:val="22"/>
        </w:rPr>
        <w:t>Nella fase di estensione in aperto dello studio AR V, la variazione media rispetto al valore basale all’Anno 10 dell’Indice Totale di Sharp modificato è stata, rispettivamente, di 10,8; 9,2 e 3,9 nei pazienti che erano stati inizialmente randomizzati alla somministrazione di metotressato in monoterapia, di Humira in monoterapia e della terapia associata Humira/metotressato. Le corrispondenti percentuali di pazienti senza progressione radiologica sono state, rispettivamente, 31,3%, 23,7% e 36,7%.</w:t>
      </w:r>
    </w:p>
    <w:p w:rsidR="006224C2" w:rsidRPr="00295E71" w14:paraId="09A94798" w14:textId="77777777">
      <w:pPr>
        <w:rPr>
          <w:sz w:val="22"/>
          <w:szCs w:val="22"/>
          <w:u w:val="single"/>
        </w:rPr>
      </w:pPr>
    </w:p>
    <w:p w:rsidR="006224C2" w:rsidRPr="00295E71" w14:paraId="3E2C5475" w14:textId="77777777">
      <w:pPr>
        <w:keepNext/>
        <w:rPr>
          <w:i/>
          <w:iCs/>
          <w:sz w:val="22"/>
          <w:szCs w:val="22"/>
          <w:u w:val="single"/>
        </w:rPr>
      </w:pPr>
      <w:r w:rsidRPr="00295E71">
        <w:rPr>
          <w:i/>
          <w:sz w:val="22"/>
          <w:szCs w:val="22"/>
          <w:u w:val="single"/>
        </w:rPr>
        <w:t>Qualità della vita e funzionalità fisica</w:t>
      </w:r>
    </w:p>
    <w:p w:rsidR="006224C2" w:rsidRPr="00295E71" w14:paraId="45B0D5DC" w14:textId="77777777">
      <w:pPr>
        <w:keepNext/>
        <w:tabs>
          <w:tab w:val="left" w:pos="567"/>
        </w:tabs>
        <w:jc w:val="both"/>
        <w:rPr>
          <w:sz w:val="22"/>
          <w:szCs w:val="22"/>
        </w:rPr>
      </w:pPr>
    </w:p>
    <w:p w:rsidR="006224C2" w:rsidRPr="00295E71" w14:paraId="2C092C18" w14:textId="77777777">
      <w:pPr>
        <w:keepNext/>
        <w:tabs>
          <w:tab w:val="left" w:pos="567"/>
        </w:tabs>
        <w:jc w:val="both"/>
        <w:rPr>
          <w:sz w:val="22"/>
          <w:szCs w:val="22"/>
        </w:rPr>
      </w:pPr>
      <w:r w:rsidRPr="00295E71">
        <w:rPr>
          <w:sz w:val="22"/>
          <w:szCs w:val="22"/>
        </w:rPr>
        <w:t xml:space="preserve">La qualità di vita </w:t>
      </w:r>
      <w:r w:rsidRPr="00020442" w:rsidR="00A40A02">
        <w:rPr>
          <w:sz w:val="22"/>
          <w:szCs w:val="22"/>
        </w:rPr>
        <w:t xml:space="preserve">correlata allo stato di salute </w:t>
      </w:r>
      <w:r w:rsidRPr="00295E71">
        <w:rPr>
          <w:sz w:val="22"/>
          <w:szCs w:val="22"/>
        </w:rPr>
        <w:t xml:space="preserve">e la funzionalità fisica sono state valutate con l’indice di disabilità ottenuto attraverso il questionario di valutazione dello stato di salute (Health Assessment Questionnaire - HAQ), in quattro studi originali, adeguati e ben controllati, </w:t>
      </w:r>
      <w:r w:rsidR="00A40A02">
        <w:rPr>
          <w:sz w:val="22"/>
          <w:szCs w:val="22"/>
        </w:rPr>
        <w:t>che</w:t>
      </w:r>
      <w:r w:rsidRPr="00295E71">
        <w:rPr>
          <w:sz w:val="22"/>
          <w:szCs w:val="22"/>
        </w:rPr>
        <w:t xml:space="preserve"> è stato un </w:t>
      </w:r>
      <w:r w:rsidR="00A40A02">
        <w:rPr>
          <w:sz w:val="22"/>
          <w:szCs w:val="22"/>
        </w:rPr>
        <w:t xml:space="preserve">endpoint </w:t>
      </w:r>
      <w:r w:rsidRPr="00295E71">
        <w:rPr>
          <w:sz w:val="22"/>
          <w:szCs w:val="22"/>
        </w:rPr>
        <w:t>primari</w:t>
      </w:r>
      <w:r w:rsidR="00A40A02">
        <w:rPr>
          <w:sz w:val="22"/>
          <w:szCs w:val="22"/>
        </w:rPr>
        <w:t>o prespecificato</w:t>
      </w:r>
      <w:r w:rsidRPr="00295E71">
        <w:rPr>
          <w:sz w:val="22"/>
          <w:szCs w:val="22"/>
        </w:rPr>
        <w:t xml:space="preserve"> dello studio AR III alla 52^ settimana. Tutti gli schemi terapeutici con Humira nei quattro studi hanno evidenziato miglioramenti </w:t>
      </w:r>
      <w:r w:rsidRPr="00020442" w:rsidR="00A40A02">
        <w:rPr>
          <w:sz w:val="22"/>
          <w:szCs w:val="22"/>
        </w:rPr>
        <w:t xml:space="preserve">maggiori in misura </w:t>
      </w:r>
      <w:r w:rsidRPr="00295E71">
        <w:rPr>
          <w:sz w:val="22"/>
          <w:szCs w:val="22"/>
        </w:rPr>
        <w:t>statisticamente significativ</w:t>
      </w:r>
      <w:r w:rsidR="00A40A02">
        <w:rPr>
          <w:sz w:val="22"/>
          <w:szCs w:val="22"/>
        </w:rPr>
        <w:t>a</w:t>
      </w:r>
      <w:r w:rsidRPr="00295E71">
        <w:rPr>
          <w:sz w:val="22"/>
          <w:szCs w:val="22"/>
        </w:rPr>
        <w:t xml:space="preserve"> dell’indice di disabilità dell’HAQ tra il valore basale e il 6° mese rispetto al placebo e nello studio AR III il medesimo risultato è stato osservato alla settimana 52. </w:t>
      </w:r>
    </w:p>
    <w:p w:rsidR="006224C2" w:rsidRPr="00295E71" w14:paraId="76ED6005" w14:textId="77777777">
      <w:pPr>
        <w:tabs>
          <w:tab w:val="left" w:pos="567"/>
        </w:tabs>
        <w:jc w:val="both"/>
        <w:rPr>
          <w:sz w:val="22"/>
          <w:szCs w:val="22"/>
        </w:rPr>
      </w:pPr>
    </w:p>
    <w:p w:rsidR="006224C2" w:rsidRPr="00295E71" w14:paraId="0B898EB7" w14:textId="77777777">
      <w:pPr>
        <w:tabs>
          <w:tab w:val="left" w:pos="567"/>
        </w:tabs>
        <w:jc w:val="both"/>
        <w:rPr>
          <w:sz w:val="22"/>
          <w:szCs w:val="22"/>
        </w:rPr>
      </w:pPr>
      <w:r w:rsidRPr="00295E71">
        <w:rPr>
          <w:sz w:val="22"/>
          <w:szCs w:val="22"/>
        </w:rPr>
        <w:t>L’analisi dello stato generale di salute, valutato attraverso lo Short Form Health Survey (SF-36) nei quattro studi, supporta queste conclusioni per tutti gli schemi di somministrazione di Humira con risultati statisticamente significativi per quanto riguarda gli indici di attività fisica, di dolore e dello stato di benessere, registrati con Humira 40 mg a settimane alterne. Una diminuzione statisticamente significativa del senso di affaticamento così come risulta dagli indici della valutazione funzionale relativa al trattamento della patologia cronica (FACIT) è stata riscontrata in tutti i tre studi in cui è stata valutata (studi AR I, III, IV).</w:t>
      </w:r>
    </w:p>
    <w:p w:rsidR="006224C2" w:rsidRPr="00295E71" w14:paraId="3734AF5D" w14:textId="77777777">
      <w:pPr>
        <w:tabs>
          <w:tab w:val="left" w:pos="567"/>
        </w:tabs>
        <w:jc w:val="both"/>
        <w:rPr>
          <w:sz w:val="22"/>
          <w:szCs w:val="22"/>
        </w:rPr>
      </w:pPr>
    </w:p>
    <w:p w:rsidR="006224C2" w:rsidRPr="00295E71" w14:paraId="7B38550E" w14:textId="77777777">
      <w:pPr>
        <w:tabs>
          <w:tab w:val="left" w:pos="567"/>
        </w:tabs>
        <w:jc w:val="both"/>
        <w:rPr>
          <w:sz w:val="22"/>
          <w:szCs w:val="22"/>
        </w:rPr>
      </w:pPr>
      <w:r w:rsidRPr="00295E71">
        <w:rPr>
          <w:sz w:val="22"/>
          <w:szCs w:val="22"/>
        </w:rPr>
        <w:t>Nello studio AR III, la maggioranza dei soggetti che hanno raggiunto il miglioramento della funzionalità fisica e che hanno continuato il trattamento hanno mantenuto il miglioramento per 520 settimane (120 mesi) di trattamento in aperto. Il miglioramento della qualità di vita è stato misurato fino alla settimana 156 (36 mesi) ed il miglioramento è stato mantenuto nel tempo.</w:t>
      </w:r>
    </w:p>
    <w:p w:rsidR="006224C2" w:rsidRPr="00295E71" w14:paraId="3B23E4DC" w14:textId="77777777">
      <w:pPr>
        <w:tabs>
          <w:tab w:val="left" w:pos="567"/>
        </w:tabs>
        <w:jc w:val="both"/>
        <w:rPr>
          <w:sz w:val="22"/>
          <w:szCs w:val="22"/>
        </w:rPr>
      </w:pPr>
    </w:p>
    <w:p w:rsidR="006224C2" w:rsidRPr="00295E71" w:rsidP="00F57FE5" w14:paraId="6B0F9F9D" w14:textId="77777777">
      <w:pPr>
        <w:keepNext/>
        <w:keepLines/>
        <w:tabs>
          <w:tab w:val="left" w:pos="567"/>
        </w:tabs>
        <w:jc w:val="both"/>
        <w:rPr>
          <w:sz w:val="22"/>
          <w:szCs w:val="22"/>
        </w:rPr>
      </w:pPr>
      <w:r w:rsidRPr="00295E71">
        <w:rPr>
          <w:sz w:val="22"/>
          <w:szCs w:val="22"/>
        </w:rPr>
        <w:t>Nello studio AR V, l’indice di disabilità valutato in base all’HAQ e la componente fisica dell’SF-36 hanno dimostrato un miglioramento superiore (p&lt;0,001) quando è stata effettuata terapia associata Humira/metotressato rispetto alla monoterapia con metotressato ed a quella con Humira alla settimana 52, e questo miglioramento si è mantenuto nell’arco di 104 settimane.</w:t>
      </w:r>
      <w:r w:rsidR="00A40A02">
        <w:rPr>
          <w:sz w:val="22"/>
          <w:szCs w:val="22"/>
        </w:rPr>
        <w:t xml:space="preserve"> </w:t>
      </w:r>
      <w:r w:rsidRPr="00295E71">
        <w:rPr>
          <w:sz w:val="22"/>
          <w:szCs w:val="22"/>
        </w:rPr>
        <w:t>Nei 250 pazienti che hanno completato la fase di estensione in aperto dello studio, i miglioramenti nella funzionalità fisica sono stati mantenuti nell’arco dei 10 anni di trattamento.</w:t>
      </w:r>
    </w:p>
    <w:p w:rsidR="006224C2" w:rsidRPr="00295E71" w14:paraId="516B461E" w14:textId="77777777">
      <w:pPr>
        <w:tabs>
          <w:tab w:val="left" w:pos="567"/>
        </w:tabs>
        <w:jc w:val="both"/>
        <w:rPr>
          <w:sz w:val="22"/>
          <w:szCs w:val="22"/>
        </w:rPr>
      </w:pPr>
    </w:p>
    <w:p w:rsidR="006224C2" w:rsidRPr="00295E71" w14:paraId="1B6DBEF3" w14:textId="77777777">
      <w:pPr>
        <w:rPr>
          <w:i/>
          <w:color w:val="000000"/>
          <w:sz w:val="22"/>
          <w:szCs w:val="22"/>
          <w:u w:val="single"/>
        </w:rPr>
      </w:pPr>
      <w:r w:rsidRPr="00295E71">
        <w:rPr>
          <w:i/>
          <w:color w:val="000000"/>
          <w:sz w:val="22"/>
          <w:szCs w:val="22"/>
          <w:u w:val="single"/>
        </w:rPr>
        <w:t>Dolore al sito di iniezione</w:t>
      </w:r>
    </w:p>
    <w:p w:rsidR="006224C2" w:rsidRPr="00295E71" w14:paraId="5C431FC8" w14:textId="77777777">
      <w:pPr>
        <w:tabs>
          <w:tab w:val="left" w:pos="567"/>
        </w:tabs>
        <w:jc w:val="both"/>
        <w:rPr>
          <w:color w:val="000000"/>
          <w:sz w:val="22"/>
          <w:szCs w:val="22"/>
          <w:u w:val="single"/>
        </w:rPr>
      </w:pPr>
    </w:p>
    <w:p w:rsidR="006224C2" w:rsidRPr="00C1236A" w14:paraId="16271BA4" w14:textId="77777777">
      <w:pPr>
        <w:tabs>
          <w:tab w:val="left" w:pos="567"/>
        </w:tabs>
        <w:jc w:val="both"/>
        <w:rPr>
          <w:color w:val="000000"/>
          <w:sz w:val="22"/>
          <w:szCs w:val="22"/>
        </w:rPr>
      </w:pPr>
      <w:r w:rsidRPr="00295E71">
        <w:rPr>
          <w:color w:val="000000"/>
          <w:sz w:val="22"/>
          <w:szCs w:val="22"/>
        </w:rPr>
        <w:t xml:space="preserve">Per gli studi crossover raggruppati RA VI e VII, è stata osservata una differenza statisticamente </w:t>
      </w:r>
      <w:r w:rsidRPr="00C1236A">
        <w:rPr>
          <w:color w:val="000000"/>
          <w:sz w:val="22"/>
          <w:szCs w:val="22"/>
        </w:rPr>
        <w:t>significativa per il dolore al sito di iniezione subito dopo la somministrazione tra Humira 40 mg/0,8 ml</w:t>
      </w:r>
      <w:r w:rsidRPr="00C1236A" w:rsidR="001B385A">
        <w:rPr>
          <w:color w:val="000000"/>
          <w:sz w:val="22"/>
          <w:szCs w:val="22"/>
        </w:rPr>
        <w:t xml:space="preserve"> </w:t>
      </w:r>
      <w:r w:rsidRPr="00C1236A">
        <w:rPr>
          <w:color w:val="000000"/>
          <w:sz w:val="22"/>
          <w:szCs w:val="22"/>
        </w:rPr>
        <w:t xml:space="preserve">e Humira 40 mg/0,4 ml (valore medio di VAS di 3,7 </w:t>
      </w:r>
      <w:r w:rsidRPr="00C1236A" w:rsidR="00A40A02">
        <w:rPr>
          <w:color w:val="000000"/>
          <w:sz w:val="22"/>
          <w:szCs w:val="22"/>
        </w:rPr>
        <w:t xml:space="preserve">cm </w:t>
      </w:r>
      <w:r w:rsidRPr="00C1236A">
        <w:rPr>
          <w:color w:val="000000"/>
          <w:sz w:val="22"/>
          <w:szCs w:val="22"/>
        </w:rPr>
        <w:t>contro un valore di 1,2 cm, scala 0-10 cm, P&lt;0,001). Questo rappresenta una riduzione media</w:t>
      </w:r>
      <w:r w:rsidRPr="00C1236A" w:rsidR="00BA54EB">
        <w:rPr>
          <w:color w:val="000000"/>
          <w:sz w:val="22"/>
          <w:szCs w:val="22"/>
        </w:rPr>
        <w:t>na</w:t>
      </w:r>
      <w:r w:rsidRPr="00C1236A">
        <w:rPr>
          <w:color w:val="000000"/>
          <w:sz w:val="22"/>
          <w:szCs w:val="22"/>
        </w:rPr>
        <w:t xml:space="preserve"> del dolore al sito di iniezione pari all’84%.</w:t>
      </w:r>
    </w:p>
    <w:p w:rsidR="006224C2" w:rsidRPr="00C1236A" w14:paraId="755C3033" w14:textId="77777777">
      <w:pPr>
        <w:tabs>
          <w:tab w:val="left" w:pos="567"/>
        </w:tabs>
        <w:jc w:val="both"/>
        <w:rPr>
          <w:color w:val="000000"/>
          <w:sz w:val="22"/>
          <w:szCs w:val="22"/>
          <w:u w:val="single"/>
        </w:rPr>
      </w:pPr>
    </w:p>
    <w:p w:rsidR="006224C2" w:rsidRPr="00295E71" w14:paraId="6CB21B9F" w14:textId="77777777">
      <w:pPr>
        <w:rPr>
          <w:i/>
          <w:color w:val="000000"/>
          <w:sz w:val="22"/>
          <w:szCs w:val="22"/>
        </w:rPr>
      </w:pPr>
      <w:r w:rsidRPr="00C1236A">
        <w:rPr>
          <w:i/>
          <w:color w:val="000000"/>
          <w:sz w:val="22"/>
          <w:szCs w:val="22"/>
        </w:rPr>
        <w:t>Spondiloartrite</w:t>
      </w:r>
      <w:r w:rsidRPr="00295E71">
        <w:rPr>
          <w:i/>
          <w:color w:val="000000"/>
          <w:sz w:val="22"/>
          <w:szCs w:val="22"/>
        </w:rPr>
        <w:t xml:space="preserve"> assiale</w:t>
      </w:r>
    </w:p>
    <w:p w:rsidR="006224C2" w:rsidRPr="00295E71" w14:paraId="07DA8FC9" w14:textId="77777777">
      <w:pPr>
        <w:tabs>
          <w:tab w:val="left" w:pos="567"/>
          <w:tab w:val="left" w:pos="1294"/>
        </w:tabs>
        <w:autoSpaceDE w:val="0"/>
        <w:autoSpaceDN w:val="0"/>
        <w:adjustRightInd w:val="0"/>
        <w:jc w:val="both"/>
        <w:rPr>
          <w:color w:val="000000"/>
          <w:sz w:val="22"/>
          <w:szCs w:val="22"/>
          <w:u w:val="single"/>
        </w:rPr>
      </w:pPr>
    </w:p>
    <w:p w:rsidR="006224C2" w:rsidRPr="00295E71" w14:paraId="66CAD095" w14:textId="77777777">
      <w:pPr>
        <w:tabs>
          <w:tab w:val="left" w:pos="567"/>
          <w:tab w:val="left" w:pos="1294"/>
        </w:tabs>
        <w:autoSpaceDE w:val="0"/>
        <w:autoSpaceDN w:val="0"/>
        <w:adjustRightInd w:val="0"/>
        <w:jc w:val="both"/>
        <w:rPr>
          <w:i/>
          <w:color w:val="000000"/>
          <w:sz w:val="22"/>
          <w:szCs w:val="22"/>
          <w:u w:val="single"/>
        </w:rPr>
      </w:pPr>
      <w:r w:rsidRPr="00295E71">
        <w:rPr>
          <w:i/>
          <w:color w:val="000000"/>
          <w:sz w:val="22"/>
          <w:szCs w:val="22"/>
          <w:u w:val="single"/>
        </w:rPr>
        <w:t>Spondilite anchilosante (SA)</w:t>
      </w:r>
    </w:p>
    <w:p w:rsidR="006224C2" w:rsidRPr="00295E71" w14:paraId="0DB0D7AC" w14:textId="77777777">
      <w:pPr>
        <w:tabs>
          <w:tab w:val="left" w:pos="567"/>
          <w:tab w:val="left" w:pos="1294"/>
        </w:tabs>
        <w:autoSpaceDE w:val="0"/>
        <w:autoSpaceDN w:val="0"/>
        <w:adjustRightInd w:val="0"/>
        <w:jc w:val="both"/>
        <w:rPr>
          <w:color w:val="000000"/>
          <w:sz w:val="22"/>
          <w:szCs w:val="22"/>
        </w:rPr>
      </w:pPr>
    </w:p>
    <w:p w:rsidR="006224C2" w:rsidRPr="00295E71" w14:paraId="544E9868" w14:textId="77777777">
      <w:pPr>
        <w:tabs>
          <w:tab w:val="left" w:pos="567"/>
          <w:tab w:val="left" w:pos="1294"/>
        </w:tabs>
        <w:autoSpaceDE w:val="0"/>
        <w:autoSpaceDN w:val="0"/>
        <w:adjustRightInd w:val="0"/>
        <w:jc w:val="both"/>
        <w:rPr>
          <w:color w:val="000000"/>
          <w:sz w:val="22"/>
          <w:szCs w:val="22"/>
        </w:rPr>
      </w:pPr>
      <w:r w:rsidRPr="00295E71">
        <w:rPr>
          <w:sz w:val="22"/>
          <w:szCs w:val="22"/>
        </w:rPr>
        <w:t>È</w:t>
      </w:r>
      <w:r w:rsidRPr="00295E71">
        <w:rPr>
          <w:color w:val="000000"/>
          <w:sz w:val="22"/>
          <w:szCs w:val="22"/>
        </w:rPr>
        <w:t xml:space="preserve"> stata valutata la somministrazione di 40 mg di Humira assunti a settimane alterne da 393 pazienti nel corso di due studi randomizzati in doppio cieco controllati con placebo della durata di 24 settimane in soggetti affetti da spondilite anchilosante attiva (in cui il punteggio basale medio dell’attività della malattia [Bath Ankylosing Spondylitis Disease Activity Index (BASDAI)] è risultato pari a 6,3 in tutti i gruppi analizzati) che hanno sviluppato una risposta inadeguata alla terapia convenzionale. Settantanove pazienti (20,1%) sono stati trattati con terapia concomitante con DMARD, e 37 pazienti (9,4%) con glucocorticoidi. Il periodo condotto in cieco è stato seguito da un periodo in aperto durante il quale i pazienti hanno ricevuto 40 mg di Humira a settimane alterne per via sottocutanea per un periodo di tempo aggiuntivo fino a 28 settimane. Ai soggetti (n=215, 54,7%) in cui non è stato possibile ottenere l’ASAS 20 alla settimana 12, o alla 16 o alla 20, sono stati somministrati per via sottocutanea 40 mg di adalimumab come terapia di salvataggio precoce in aperto a settimane alterne e sono stati conseguentemente trattati come soggetti non-responder nelle analisi statistiche condotte in doppio cieco.</w:t>
      </w:r>
    </w:p>
    <w:p w:rsidR="006224C2" w:rsidRPr="00295E71" w14:paraId="6639AD17" w14:textId="77777777">
      <w:pPr>
        <w:tabs>
          <w:tab w:val="left" w:pos="567"/>
          <w:tab w:val="left" w:pos="1294"/>
        </w:tabs>
        <w:autoSpaceDE w:val="0"/>
        <w:autoSpaceDN w:val="0"/>
        <w:adjustRightInd w:val="0"/>
        <w:jc w:val="both"/>
        <w:rPr>
          <w:color w:val="000000"/>
          <w:sz w:val="22"/>
          <w:szCs w:val="22"/>
        </w:rPr>
      </w:pPr>
    </w:p>
    <w:p w:rsidR="006224C2" w:rsidRPr="00295E71" w14:paraId="4DB226FE"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In uno studio AS I più ampio in cui sono stati analizzati 315 pazienti, i risultati hanno mostrato un miglioramento statisticamente significativo dei segni e dei sintomi della spondilite anchilosante nei pazienti trattati con Humira rispetto ai pazienti trattati con placebo.</w:t>
      </w:r>
    </w:p>
    <w:p w:rsidR="006224C2" w:rsidRPr="00295E71" w14:paraId="468EBDBB"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La risposta significativa è stata per la prima volta osservata alla settimana 2 ed è stata mantenuta per un periodo di 24 settimane (Tabella </w:t>
      </w:r>
      <w:r w:rsidRPr="00295E71" w:rsidR="00C457AE">
        <w:rPr>
          <w:color w:val="000000"/>
          <w:sz w:val="22"/>
          <w:szCs w:val="22"/>
        </w:rPr>
        <w:t>1</w:t>
      </w:r>
      <w:r w:rsidR="0062664F">
        <w:rPr>
          <w:color w:val="000000"/>
          <w:sz w:val="22"/>
          <w:szCs w:val="22"/>
        </w:rPr>
        <w:t>2</w:t>
      </w:r>
      <w:r w:rsidRPr="00295E71">
        <w:rPr>
          <w:color w:val="000000"/>
          <w:sz w:val="22"/>
          <w:szCs w:val="22"/>
        </w:rPr>
        <w:t>).</w:t>
      </w:r>
    </w:p>
    <w:p w:rsidR="006224C2" w:rsidRPr="00295E71" w14:paraId="6D119881" w14:textId="77777777">
      <w:pPr>
        <w:rPr>
          <w:b/>
          <w:bCs/>
          <w:color w:val="000000"/>
          <w:sz w:val="22"/>
          <w:szCs w:val="22"/>
        </w:rPr>
      </w:pPr>
    </w:p>
    <w:p w:rsidR="006224C2" w:rsidRPr="00295E71" w14:paraId="57148A71" w14:textId="77777777">
      <w:pPr>
        <w:keepNext/>
        <w:tabs>
          <w:tab w:val="left" w:pos="567"/>
          <w:tab w:val="left" w:pos="1294"/>
        </w:tabs>
        <w:autoSpaceDE w:val="0"/>
        <w:autoSpaceDN w:val="0"/>
        <w:adjustRightInd w:val="0"/>
        <w:jc w:val="center"/>
        <w:rPr>
          <w:b/>
          <w:bCs/>
          <w:color w:val="000000"/>
          <w:sz w:val="22"/>
          <w:szCs w:val="22"/>
        </w:rPr>
      </w:pPr>
      <w:r w:rsidRPr="00295E71">
        <w:rPr>
          <w:b/>
          <w:bCs/>
          <w:color w:val="000000"/>
          <w:sz w:val="22"/>
          <w:szCs w:val="22"/>
        </w:rPr>
        <w:t xml:space="preserve">Tabella </w:t>
      </w:r>
      <w:r w:rsidRPr="00295E71" w:rsidR="00C457AE">
        <w:rPr>
          <w:b/>
          <w:bCs/>
          <w:color w:val="000000"/>
          <w:sz w:val="22"/>
          <w:szCs w:val="22"/>
        </w:rPr>
        <w:t>1</w:t>
      </w:r>
      <w:r w:rsidR="0062664F">
        <w:rPr>
          <w:b/>
          <w:bCs/>
          <w:color w:val="000000"/>
          <w:sz w:val="22"/>
          <w:szCs w:val="22"/>
        </w:rPr>
        <w:t>2</w:t>
      </w:r>
    </w:p>
    <w:p w:rsidR="006224C2" w:rsidRPr="00295E71" w14:paraId="4A0FFB60" w14:textId="77777777">
      <w:pPr>
        <w:keepNext/>
        <w:tabs>
          <w:tab w:val="left" w:pos="567"/>
          <w:tab w:val="left" w:pos="1294"/>
        </w:tabs>
        <w:autoSpaceDE w:val="0"/>
        <w:autoSpaceDN w:val="0"/>
        <w:adjustRightInd w:val="0"/>
        <w:jc w:val="center"/>
        <w:rPr>
          <w:b/>
          <w:bCs/>
          <w:color w:val="000000"/>
          <w:sz w:val="22"/>
          <w:szCs w:val="22"/>
        </w:rPr>
      </w:pPr>
      <w:r w:rsidRPr="00295E71">
        <w:rPr>
          <w:b/>
          <w:bCs/>
          <w:color w:val="000000"/>
          <w:sz w:val="22"/>
          <w:szCs w:val="22"/>
        </w:rPr>
        <w:t xml:space="preserve">Risposte di efficacia in uno studio controllato con placebo sulla spondilite anchilosante – </w:t>
      </w:r>
    </w:p>
    <w:p w:rsidR="006224C2" w:rsidRPr="00295E71" w14:paraId="622B620C" w14:textId="77777777">
      <w:pPr>
        <w:keepNext/>
        <w:tabs>
          <w:tab w:val="left" w:pos="567"/>
          <w:tab w:val="left" w:pos="1294"/>
        </w:tabs>
        <w:autoSpaceDE w:val="0"/>
        <w:autoSpaceDN w:val="0"/>
        <w:adjustRightInd w:val="0"/>
        <w:jc w:val="center"/>
        <w:rPr>
          <w:b/>
          <w:bCs/>
          <w:color w:val="000000"/>
          <w:sz w:val="22"/>
          <w:szCs w:val="22"/>
        </w:rPr>
      </w:pPr>
      <w:r w:rsidRPr="00295E71">
        <w:rPr>
          <w:b/>
          <w:bCs/>
          <w:color w:val="000000"/>
          <w:sz w:val="22"/>
          <w:szCs w:val="22"/>
        </w:rPr>
        <w:t>Studio I</w:t>
      </w:r>
    </w:p>
    <w:p w:rsidR="006224C2" w:rsidRPr="00295E71" w14:paraId="355D4DD6" w14:textId="77777777">
      <w:pPr>
        <w:keepNext/>
        <w:tabs>
          <w:tab w:val="left" w:pos="567"/>
          <w:tab w:val="left" w:pos="1294"/>
        </w:tabs>
        <w:autoSpaceDE w:val="0"/>
        <w:autoSpaceDN w:val="0"/>
        <w:adjustRightInd w:val="0"/>
        <w:jc w:val="center"/>
        <w:rPr>
          <w:color w:val="000000"/>
          <w:sz w:val="22"/>
          <w:szCs w:val="22"/>
        </w:rPr>
      </w:pPr>
      <w:r w:rsidRPr="00295E71">
        <w:rPr>
          <w:b/>
          <w:bCs/>
          <w:color w:val="000000"/>
          <w:sz w:val="22"/>
          <w:szCs w:val="22"/>
        </w:rPr>
        <w:t>Riduzione dei segni e dei sintomi</w:t>
      </w:r>
    </w:p>
    <w:p w:rsidR="006224C2" w:rsidRPr="00295E71" w14:paraId="577FDEA9" w14:textId="77777777">
      <w:pPr>
        <w:keepNext/>
        <w:tabs>
          <w:tab w:val="left" w:pos="567"/>
          <w:tab w:val="left" w:pos="1294"/>
        </w:tabs>
        <w:autoSpaceDE w:val="0"/>
        <w:autoSpaceDN w:val="0"/>
        <w:adjustRightInd w:val="0"/>
        <w:rPr>
          <w:color w:val="000000"/>
          <w:sz w:val="22"/>
          <w:szCs w:val="22"/>
        </w:rPr>
      </w:pPr>
    </w:p>
    <w:tbl>
      <w:tblPr>
        <w:tblW w:w="7150" w:type="dxa"/>
        <w:tblInd w:w="106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2750"/>
        <w:gridCol w:w="2090"/>
        <w:gridCol w:w="2310"/>
      </w:tblGrid>
      <w:tr w14:paraId="230B1E99"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5F8DE404" w14:textId="77777777">
            <w:pPr>
              <w:pStyle w:val="Heading6"/>
              <w:rPr>
                <w:rFonts w:eastAsia="Arial Unicode MS"/>
                <w:lang w:val="it-IT"/>
              </w:rPr>
            </w:pPr>
            <w:r w:rsidRPr="00295E71">
              <w:rPr>
                <w:lang w:val="it-IT"/>
              </w:rPr>
              <w:t>Risposta</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6171597F" w14:textId="77777777">
            <w:pPr>
              <w:keepNext/>
              <w:jc w:val="center"/>
              <w:rPr>
                <w:b/>
                <w:sz w:val="22"/>
                <w:szCs w:val="22"/>
              </w:rPr>
            </w:pPr>
            <w:r w:rsidRPr="00295E71">
              <w:rPr>
                <w:b/>
                <w:sz w:val="22"/>
                <w:szCs w:val="22"/>
              </w:rPr>
              <w:t>Placebo</w:t>
            </w:r>
          </w:p>
          <w:p w:rsidR="006224C2" w:rsidRPr="00295E71" w14:paraId="54835A7E" w14:textId="77777777">
            <w:pPr>
              <w:keepNext/>
              <w:jc w:val="center"/>
              <w:rPr>
                <w:b/>
                <w:sz w:val="22"/>
                <w:szCs w:val="22"/>
              </w:rPr>
            </w:pPr>
            <w:r w:rsidRPr="00295E71">
              <w:rPr>
                <w:b/>
                <w:sz w:val="22"/>
                <w:szCs w:val="22"/>
              </w:rPr>
              <w:t>N=107</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4E336931" w14:textId="77777777">
            <w:pPr>
              <w:keepNext/>
              <w:jc w:val="center"/>
              <w:rPr>
                <w:b/>
                <w:sz w:val="22"/>
                <w:szCs w:val="22"/>
              </w:rPr>
            </w:pPr>
            <w:r w:rsidRPr="00295E71">
              <w:rPr>
                <w:b/>
                <w:sz w:val="22"/>
                <w:szCs w:val="22"/>
              </w:rPr>
              <w:t>Humira</w:t>
            </w:r>
          </w:p>
          <w:p w:rsidR="006224C2" w:rsidRPr="00295E71" w14:paraId="25575957" w14:textId="77777777">
            <w:pPr>
              <w:keepNext/>
              <w:jc w:val="center"/>
              <w:rPr>
                <w:b/>
                <w:bCs/>
                <w:sz w:val="22"/>
                <w:szCs w:val="22"/>
              </w:rPr>
            </w:pPr>
            <w:r w:rsidRPr="00295E71">
              <w:rPr>
                <w:b/>
                <w:bCs/>
                <w:sz w:val="22"/>
                <w:szCs w:val="22"/>
              </w:rPr>
              <w:t>N=208</w:t>
            </w:r>
          </w:p>
        </w:tc>
      </w:tr>
      <w:tr w14:paraId="48B10377"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7CA18BB3" w14:textId="77777777">
            <w:pPr>
              <w:keepNext/>
              <w:rPr>
                <w:sz w:val="22"/>
                <w:szCs w:val="22"/>
              </w:rPr>
            </w:pPr>
            <w:r w:rsidRPr="00295E71">
              <w:rPr>
                <w:sz w:val="22"/>
                <w:szCs w:val="22"/>
              </w:rPr>
              <w:t>ASAS</w:t>
            </w:r>
            <w:r w:rsidRPr="00295E71">
              <w:rPr>
                <w:sz w:val="22"/>
                <w:szCs w:val="22"/>
                <w:vertAlign w:val="superscript"/>
              </w:rPr>
              <w:t>a</w:t>
            </w:r>
            <w:r w:rsidRPr="00295E71">
              <w:rPr>
                <w:sz w:val="22"/>
                <w:szCs w:val="22"/>
              </w:rPr>
              <w:t xml:space="preserve"> 20</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5C79541A" w14:textId="77777777">
            <w:pPr>
              <w:keepNext/>
              <w:jc w:val="center"/>
              <w:rPr>
                <w:sz w:val="22"/>
                <w:szCs w:val="22"/>
              </w:rPr>
            </w:pPr>
          </w:p>
        </w:tc>
        <w:tc>
          <w:tcPr>
            <w:tcW w:w="2310" w:type="dxa"/>
            <w:tcBorders>
              <w:top w:val="single" w:sz="4" w:space="0" w:color="auto"/>
              <w:left w:val="single" w:sz="4" w:space="0" w:color="auto"/>
              <w:bottom w:val="single" w:sz="4" w:space="0" w:color="auto"/>
              <w:right w:val="single" w:sz="4" w:space="0" w:color="auto"/>
            </w:tcBorders>
          </w:tcPr>
          <w:p w:rsidR="006224C2" w:rsidRPr="00295E71" w14:paraId="359C4FE0" w14:textId="77777777">
            <w:pPr>
              <w:keepNext/>
              <w:jc w:val="center"/>
              <w:rPr>
                <w:sz w:val="22"/>
                <w:szCs w:val="22"/>
              </w:rPr>
            </w:pPr>
          </w:p>
        </w:tc>
      </w:tr>
      <w:tr w14:paraId="0829C3E0"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49DEC3D2" w14:textId="77777777">
            <w:pPr>
              <w:keepNext/>
              <w:rPr>
                <w:sz w:val="22"/>
                <w:szCs w:val="22"/>
              </w:rPr>
            </w:pPr>
            <w:r w:rsidRPr="00295E71">
              <w:rPr>
                <w:sz w:val="22"/>
                <w:szCs w:val="22"/>
              </w:rPr>
              <w:tab/>
              <w:t>Settimana 2</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020B3618" w14:textId="77777777">
            <w:pPr>
              <w:keepNext/>
              <w:jc w:val="center"/>
              <w:rPr>
                <w:sz w:val="22"/>
                <w:szCs w:val="22"/>
              </w:rPr>
            </w:pPr>
            <w:r w:rsidRPr="00295E71">
              <w:rPr>
                <w:sz w:val="22"/>
                <w:szCs w:val="22"/>
              </w:rPr>
              <w:t>16%</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0326F24A" w14:textId="77777777">
            <w:pPr>
              <w:keepNext/>
              <w:jc w:val="center"/>
              <w:rPr>
                <w:sz w:val="22"/>
                <w:szCs w:val="22"/>
              </w:rPr>
            </w:pPr>
            <w:r w:rsidRPr="00295E71">
              <w:rPr>
                <w:sz w:val="22"/>
                <w:szCs w:val="22"/>
              </w:rPr>
              <w:t>42%***</w:t>
            </w:r>
          </w:p>
        </w:tc>
      </w:tr>
      <w:tr w14:paraId="5AB2CF13"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454C1B52" w14:textId="77777777">
            <w:pPr>
              <w:keepNext/>
              <w:rPr>
                <w:sz w:val="22"/>
                <w:szCs w:val="22"/>
              </w:rPr>
            </w:pPr>
            <w:r w:rsidRPr="00295E71">
              <w:rPr>
                <w:sz w:val="22"/>
                <w:szCs w:val="22"/>
              </w:rPr>
              <w:tab/>
              <w:t>Settimana 12</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13C0FECA" w14:textId="77777777">
            <w:pPr>
              <w:keepNext/>
              <w:jc w:val="center"/>
              <w:rPr>
                <w:sz w:val="22"/>
                <w:szCs w:val="22"/>
              </w:rPr>
            </w:pPr>
            <w:r w:rsidRPr="00295E71">
              <w:rPr>
                <w:sz w:val="22"/>
                <w:szCs w:val="22"/>
              </w:rPr>
              <w:t>21%</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6DFB3F28" w14:textId="77777777">
            <w:pPr>
              <w:keepNext/>
              <w:jc w:val="center"/>
              <w:rPr>
                <w:sz w:val="22"/>
                <w:szCs w:val="22"/>
              </w:rPr>
            </w:pPr>
            <w:r w:rsidRPr="00295E71">
              <w:rPr>
                <w:sz w:val="22"/>
                <w:szCs w:val="22"/>
              </w:rPr>
              <w:t>58%***</w:t>
            </w:r>
          </w:p>
        </w:tc>
      </w:tr>
      <w:tr w14:paraId="6ED862C8"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18BEFB53" w14:textId="77777777">
            <w:pPr>
              <w:keepNext/>
              <w:rPr>
                <w:sz w:val="22"/>
                <w:szCs w:val="22"/>
              </w:rPr>
            </w:pPr>
            <w:r w:rsidRPr="00295E71">
              <w:rPr>
                <w:sz w:val="22"/>
                <w:szCs w:val="22"/>
              </w:rPr>
              <w:tab/>
              <w:t>Settimana 24</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71BC5672" w14:textId="77777777">
            <w:pPr>
              <w:keepNext/>
              <w:jc w:val="center"/>
              <w:rPr>
                <w:sz w:val="22"/>
                <w:szCs w:val="22"/>
              </w:rPr>
            </w:pPr>
            <w:r w:rsidRPr="00295E71">
              <w:rPr>
                <w:sz w:val="22"/>
                <w:szCs w:val="22"/>
              </w:rPr>
              <w:t>19%</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614D5590" w14:textId="77777777">
            <w:pPr>
              <w:keepNext/>
              <w:jc w:val="center"/>
              <w:rPr>
                <w:sz w:val="22"/>
                <w:szCs w:val="22"/>
              </w:rPr>
            </w:pPr>
            <w:r w:rsidRPr="00295E71">
              <w:rPr>
                <w:sz w:val="22"/>
                <w:szCs w:val="22"/>
              </w:rPr>
              <w:t>51%***</w:t>
            </w:r>
          </w:p>
        </w:tc>
      </w:tr>
      <w:tr w14:paraId="0FC4E917"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7E527AF4" w14:textId="77777777">
            <w:pPr>
              <w:keepNext/>
              <w:rPr>
                <w:sz w:val="22"/>
                <w:szCs w:val="22"/>
              </w:rPr>
            </w:pPr>
            <w:r w:rsidRPr="00295E71">
              <w:rPr>
                <w:sz w:val="22"/>
                <w:szCs w:val="22"/>
              </w:rPr>
              <w:t>ASAS 50</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3D43DCD9" w14:textId="77777777">
            <w:pPr>
              <w:keepNext/>
              <w:jc w:val="center"/>
              <w:rPr>
                <w:sz w:val="22"/>
                <w:szCs w:val="22"/>
              </w:rPr>
            </w:pPr>
          </w:p>
        </w:tc>
        <w:tc>
          <w:tcPr>
            <w:tcW w:w="2310" w:type="dxa"/>
            <w:tcBorders>
              <w:top w:val="single" w:sz="4" w:space="0" w:color="auto"/>
              <w:left w:val="single" w:sz="4" w:space="0" w:color="auto"/>
              <w:bottom w:val="single" w:sz="4" w:space="0" w:color="auto"/>
              <w:right w:val="single" w:sz="4" w:space="0" w:color="auto"/>
            </w:tcBorders>
          </w:tcPr>
          <w:p w:rsidR="006224C2" w:rsidRPr="00295E71" w14:paraId="6F7C548F" w14:textId="77777777">
            <w:pPr>
              <w:keepNext/>
              <w:jc w:val="center"/>
              <w:rPr>
                <w:sz w:val="22"/>
                <w:szCs w:val="22"/>
              </w:rPr>
            </w:pPr>
          </w:p>
        </w:tc>
      </w:tr>
      <w:tr w14:paraId="227E865F"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102EC3A4" w14:textId="77777777">
            <w:pPr>
              <w:keepNext/>
              <w:rPr>
                <w:sz w:val="22"/>
                <w:szCs w:val="22"/>
              </w:rPr>
            </w:pPr>
            <w:r w:rsidRPr="00295E71">
              <w:rPr>
                <w:sz w:val="22"/>
                <w:szCs w:val="22"/>
              </w:rPr>
              <w:tab/>
              <w:t>Settimana 2</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6D142B77" w14:textId="77777777">
            <w:pPr>
              <w:keepNext/>
              <w:jc w:val="center"/>
              <w:rPr>
                <w:sz w:val="22"/>
                <w:szCs w:val="22"/>
              </w:rPr>
            </w:pPr>
            <w:r w:rsidRPr="00295E71">
              <w:rPr>
                <w:sz w:val="22"/>
                <w:szCs w:val="22"/>
              </w:rPr>
              <w:t>3%</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39D4599C" w14:textId="77777777">
            <w:pPr>
              <w:keepNext/>
              <w:jc w:val="center"/>
              <w:rPr>
                <w:sz w:val="22"/>
                <w:szCs w:val="22"/>
              </w:rPr>
            </w:pPr>
            <w:r w:rsidRPr="00295E71">
              <w:rPr>
                <w:sz w:val="22"/>
                <w:szCs w:val="22"/>
              </w:rPr>
              <w:t>16%***</w:t>
            </w:r>
          </w:p>
        </w:tc>
      </w:tr>
      <w:tr w14:paraId="06A16A94"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6AF5B60A" w14:textId="77777777">
            <w:pPr>
              <w:keepNext/>
              <w:rPr>
                <w:sz w:val="22"/>
                <w:szCs w:val="22"/>
              </w:rPr>
            </w:pPr>
            <w:r w:rsidRPr="00295E71">
              <w:rPr>
                <w:sz w:val="22"/>
                <w:szCs w:val="22"/>
              </w:rPr>
              <w:tab/>
              <w:t>Settimana 12</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6F557B11" w14:textId="77777777">
            <w:pPr>
              <w:keepNext/>
              <w:jc w:val="center"/>
              <w:rPr>
                <w:sz w:val="22"/>
                <w:szCs w:val="22"/>
              </w:rPr>
            </w:pPr>
            <w:r w:rsidRPr="00295E71">
              <w:rPr>
                <w:sz w:val="22"/>
                <w:szCs w:val="22"/>
              </w:rPr>
              <w:t>10%</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3D5F287F" w14:textId="77777777">
            <w:pPr>
              <w:keepNext/>
              <w:jc w:val="center"/>
              <w:rPr>
                <w:sz w:val="22"/>
                <w:szCs w:val="22"/>
              </w:rPr>
            </w:pPr>
            <w:r w:rsidRPr="00295E71">
              <w:rPr>
                <w:sz w:val="22"/>
                <w:szCs w:val="22"/>
              </w:rPr>
              <w:t>38%***</w:t>
            </w:r>
          </w:p>
        </w:tc>
      </w:tr>
      <w:tr w14:paraId="5D09049F"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79826C74" w14:textId="77777777">
            <w:pPr>
              <w:keepNext/>
              <w:rPr>
                <w:sz w:val="22"/>
                <w:szCs w:val="22"/>
              </w:rPr>
            </w:pPr>
            <w:r w:rsidRPr="00295E71">
              <w:rPr>
                <w:sz w:val="22"/>
                <w:szCs w:val="22"/>
              </w:rPr>
              <w:tab/>
              <w:t>Settimana 24</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1B87A34A" w14:textId="77777777">
            <w:pPr>
              <w:keepNext/>
              <w:jc w:val="center"/>
              <w:rPr>
                <w:sz w:val="22"/>
                <w:szCs w:val="22"/>
              </w:rPr>
            </w:pPr>
            <w:r w:rsidRPr="00295E71">
              <w:rPr>
                <w:sz w:val="22"/>
                <w:szCs w:val="22"/>
              </w:rPr>
              <w:t>11%</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3D901F2E" w14:textId="77777777">
            <w:pPr>
              <w:keepNext/>
              <w:jc w:val="center"/>
              <w:rPr>
                <w:sz w:val="22"/>
                <w:szCs w:val="22"/>
              </w:rPr>
            </w:pPr>
            <w:r w:rsidRPr="00295E71">
              <w:rPr>
                <w:sz w:val="22"/>
                <w:szCs w:val="22"/>
              </w:rPr>
              <w:t>35%***</w:t>
            </w:r>
          </w:p>
        </w:tc>
      </w:tr>
      <w:tr w14:paraId="7430CBF0"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3E032A98" w14:textId="77777777">
            <w:pPr>
              <w:keepNext/>
              <w:rPr>
                <w:sz w:val="22"/>
                <w:szCs w:val="22"/>
              </w:rPr>
            </w:pPr>
            <w:r w:rsidRPr="00295E71">
              <w:rPr>
                <w:sz w:val="22"/>
                <w:szCs w:val="22"/>
              </w:rPr>
              <w:t>ASAS 70</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1A85D31A" w14:textId="77777777">
            <w:pPr>
              <w:keepNext/>
              <w:jc w:val="center"/>
              <w:rPr>
                <w:sz w:val="22"/>
                <w:szCs w:val="22"/>
              </w:rPr>
            </w:pPr>
          </w:p>
        </w:tc>
        <w:tc>
          <w:tcPr>
            <w:tcW w:w="2310" w:type="dxa"/>
            <w:tcBorders>
              <w:top w:val="single" w:sz="4" w:space="0" w:color="auto"/>
              <w:left w:val="single" w:sz="4" w:space="0" w:color="auto"/>
              <w:bottom w:val="single" w:sz="4" w:space="0" w:color="auto"/>
              <w:right w:val="single" w:sz="4" w:space="0" w:color="auto"/>
            </w:tcBorders>
          </w:tcPr>
          <w:p w:rsidR="006224C2" w:rsidRPr="00295E71" w14:paraId="1B0043AC" w14:textId="77777777">
            <w:pPr>
              <w:keepNext/>
              <w:jc w:val="center"/>
              <w:rPr>
                <w:sz w:val="22"/>
                <w:szCs w:val="22"/>
              </w:rPr>
            </w:pPr>
          </w:p>
        </w:tc>
      </w:tr>
      <w:tr w14:paraId="7C2FEDD9"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0F0CA7B5" w14:textId="77777777">
            <w:pPr>
              <w:keepNext/>
              <w:rPr>
                <w:sz w:val="22"/>
                <w:szCs w:val="22"/>
              </w:rPr>
            </w:pPr>
            <w:r w:rsidRPr="00295E71">
              <w:rPr>
                <w:sz w:val="22"/>
                <w:szCs w:val="22"/>
              </w:rPr>
              <w:tab/>
              <w:t>Settimana 2</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738A856C" w14:textId="77777777">
            <w:pPr>
              <w:keepNext/>
              <w:jc w:val="center"/>
              <w:rPr>
                <w:sz w:val="22"/>
                <w:szCs w:val="22"/>
              </w:rPr>
            </w:pPr>
            <w:r w:rsidRPr="00295E71">
              <w:rPr>
                <w:sz w:val="22"/>
                <w:szCs w:val="22"/>
              </w:rPr>
              <w:t>0%</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242D62B1" w14:textId="77777777">
            <w:pPr>
              <w:keepNext/>
              <w:jc w:val="center"/>
              <w:rPr>
                <w:sz w:val="22"/>
                <w:szCs w:val="22"/>
              </w:rPr>
            </w:pPr>
            <w:r w:rsidRPr="00295E71">
              <w:rPr>
                <w:sz w:val="22"/>
                <w:szCs w:val="22"/>
              </w:rPr>
              <w:t>7%**</w:t>
            </w:r>
          </w:p>
        </w:tc>
      </w:tr>
      <w:tr w14:paraId="2526DD82"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55C49DF5" w14:textId="77777777">
            <w:pPr>
              <w:keepNext/>
              <w:rPr>
                <w:sz w:val="22"/>
                <w:szCs w:val="22"/>
              </w:rPr>
            </w:pPr>
            <w:r w:rsidRPr="00295E71">
              <w:rPr>
                <w:sz w:val="22"/>
                <w:szCs w:val="22"/>
              </w:rPr>
              <w:tab/>
              <w:t>Settimana 12</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72ECB138" w14:textId="77777777">
            <w:pPr>
              <w:keepNext/>
              <w:jc w:val="center"/>
              <w:rPr>
                <w:sz w:val="22"/>
                <w:szCs w:val="22"/>
              </w:rPr>
            </w:pPr>
            <w:r w:rsidRPr="00295E71">
              <w:rPr>
                <w:sz w:val="22"/>
                <w:szCs w:val="22"/>
              </w:rPr>
              <w:t>5%</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7D579CCA" w14:textId="77777777">
            <w:pPr>
              <w:keepNext/>
              <w:jc w:val="center"/>
              <w:rPr>
                <w:sz w:val="22"/>
                <w:szCs w:val="22"/>
              </w:rPr>
            </w:pPr>
            <w:r w:rsidRPr="00295E71">
              <w:rPr>
                <w:sz w:val="22"/>
                <w:szCs w:val="22"/>
              </w:rPr>
              <w:t>23%***</w:t>
            </w:r>
          </w:p>
        </w:tc>
      </w:tr>
      <w:tr w14:paraId="40FDBD8C"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5F0C7BE6" w14:textId="77777777">
            <w:pPr>
              <w:keepNext/>
              <w:rPr>
                <w:sz w:val="22"/>
                <w:szCs w:val="22"/>
              </w:rPr>
            </w:pPr>
            <w:r w:rsidRPr="00295E71">
              <w:rPr>
                <w:sz w:val="22"/>
                <w:szCs w:val="22"/>
              </w:rPr>
              <w:tab/>
              <w:t>Settimana 24</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7CF9FED1" w14:textId="77777777">
            <w:pPr>
              <w:keepNext/>
              <w:jc w:val="center"/>
              <w:rPr>
                <w:sz w:val="22"/>
                <w:szCs w:val="22"/>
              </w:rPr>
            </w:pPr>
            <w:r w:rsidRPr="00295E71">
              <w:rPr>
                <w:sz w:val="22"/>
                <w:szCs w:val="22"/>
              </w:rPr>
              <w:t>8%</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1DB19715" w14:textId="77777777">
            <w:pPr>
              <w:keepNext/>
              <w:jc w:val="center"/>
              <w:rPr>
                <w:sz w:val="22"/>
                <w:szCs w:val="22"/>
              </w:rPr>
            </w:pPr>
            <w:r w:rsidRPr="00295E71">
              <w:rPr>
                <w:sz w:val="22"/>
                <w:szCs w:val="22"/>
              </w:rPr>
              <w:t>24%***</w:t>
            </w:r>
          </w:p>
        </w:tc>
      </w:tr>
      <w:tr w14:paraId="1EF5363D"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615D712F" w14:textId="77777777">
            <w:pPr>
              <w:keepNext/>
              <w:rPr>
                <w:sz w:val="22"/>
                <w:szCs w:val="22"/>
              </w:rPr>
            </w:pPr>
          </w:p>
        </w:tc>
        <w:tc>
          <w:tcPr>
            <w:tcW w:w="2090" w:type="dxa"/>
            <w:tcBorders>
              <w:top w:val="single" w:sz="4" w:space="0" w:color="auto"/>
              <w:left w:val="single" w:sz="4" w:space="0" w:color="auto"/>
              <w:bottom w:val="single" w:sz="4" w:space="0" w:color="auto"/>
              <w:right w:val="single" w:sz="4" w:space="0" w:color="auto"/>
            </w:tcBorders>
          </w:tcPr>
          <w:p w:rsidR="006224C2" w:rsidRPr="00295E71" w14:paraId="58CC034C" w14:textId="77777777">
            <w:pPr>
              <w:keepNext/>
              <w:jc w:val="center"/>
              <w:rPr>
                <w:sz w:val="22"/>
                <w:szCs w:val="22"/>
              </w:rPr>
            </w:pPr>
          </w:p>
        </w:tc>
        <w:tc>
          <w:tcPr>
            <w:tcW w:w="2310" w:type="dxa"/>
            <w:tcBorders>
              <w:top w:val="single" w:sz="4" w:space="0" w:color="auto"/>
              <w:left w:val="single" w:sz="4" w:space="0" w:color="auto"/>
              <w:bottom w:val="single" w:sz="4" w:space="0" w:color="auto"/>
              <w:right w:val="single" w:sz="4" w:space="0" w:color="auto"/>
            </w:tcBorders>
          </w:tcPr>
          <w:p w:rsidR="006224C2" w:rsidRPr="00295E71" w14:paraId="25A751AE" w14:textId="77777777">
            <w:pPr>
              <w:keepNext/>
              <w:jc w:val="center"/>
              <w:rPr>
                <w:sz w:val="22"/>
                <w:szCs w:val="22"/>
              </w:rPr>
            </w:pPr>
          </w:p>
        </w:tc>
      </w:tr>
      <w:tr w14:paraId="3DABEBEE"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402E7436" w14:textId="77777777">
            <w:pPr>
              <w:keepNext/>
              <w:rPr>
                <w:sz w:val="22"/>
                <w:szCs w:val="22"/>
              </w:rPr>
            </w:pPr>
            <w:r w:rsidRPr="00295E71">
              <w:rPr>
                <w:sz w:val="22"/>
                <w:szCs w:val="22"/>
              </w:rPr>
              <w:t>BASDAI</w:t>
            </w:r>
            <w:r w:rsidRPr="00295E71">
              <w:rPr>
                <w:sz w:val="22"/>
                <w:szCs w:val="22"/>
                <w:vertAlign w:val="superscript"/>
              </w:rPr>
              <w:t>b</w:t>
            </w:r>
            <w:r w:rsidRPr="00295E71">
              <w:rPr>
                <w:sz w:val="22"/>
                <w:szCs w:val="22"/>
              </w:rPr>
              <w:t xml:space="preserve"> 50 </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512D2258" w14:textId="77777777">
            <w:pPr>
              <w:keepNext/>
              <w:jc w:val="center"/>
              <w:rPr>
                <w:sz w:val="22"/>
                <w:szCs w:val="22"/>
              </w:rPr>
            </w:pPr>
          </w:p>
        </w:tc>
        <w:tc>
          <w:tcPr>
            <w:tcW w:w="2310" w:type="dxa"/>
            <w:tcBorders>
              <w:top w:val="single" w:sz="4" w:space="0" w:color="auto"/>
              <w:left w:val="single" w:sz="4" w:space="0" w:color="auto"/>
              <w:bottom w:val="single" w:sz="4" w:space="0" w:color="auto"/>
              <w:right w:val="single" w:sz="4" w:space="0" w:color="auto"/>
            </w:tcBorders>
          </w:tcPr>
          <w:p w:rsidR="006224C2" w:rsidRPr="00295E71" w14:paraId="4B8B64EE" w14:textId="77777777">
            <w:pPr>
              <w:keepNext/>
              <w:jc w:val="center"/>
              <w:rPr>
                <w:sz w:val="22"/>
                <w:szCs w:val="22"/>
              </w:rPr>
            </w:pPr>
          </w:p>
        </w:tc>
      </w:tr>
      <w:tr w14:paraId="4E634B3D"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0786F1C4" w14:textId="77777777">
            <w:pPr>
              <w:keepNext/>
              <w:rPr>
                <w:sz w:val="22"/>
                <w:szCs w:val="22"/>
              </w:rPr>
            </w:pPr>
            <w:r w:rsidRPr="00295E71">
              <w:rPr>
                <w:sz w:val="22"/>
                <w:szCs w:val="22"/>
              </w:rPr>
              <w:tab/>
              <w:t>Settimana 2</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5EF599AF" w14:textId="77777777">
            <w:pPr>
              <w:keepNext/>
              <w:jc w:val="center"/>
              <w:rPr>
                <w:sz w:val="22"/>
                <w:szCs w:val="22"/>
              </w:rPr>
            </w:pPr>
            <w:r w:rsidRPr="00295E71">
              <w:rPr>
                <w:sz w:val="22"/>
                <w:szCs w:val="22"/>
              </w:rPr>
              <w:t>4%</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0F15B23B" w14:textId="77777777">
            <w:pPr>
              <w:keepNext/>
              <w:jc w:val="center"/>
              <w:rPr>
                <w:sz w:val="22"/>
                <w:szCs w:val="22"/>
              </w:rPr>
            </w:pPr>
            <w:r w:rsidRPr="00295E71">
              <w:rPr>
                <w:sz w:val="22"/>
                <w:szCs w:val="22"/>
              </w:rPr>
              <w:t>20%***</w:t>
            </w:r>
          </w:p>
        </w:tc>
      </w:tr>
      <w:tr w14:paraId="2A76F3E2"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524A39C7" w14:textId="77777777">
            <w:pPr>
              <w:keepNext/>
              <w:rPr>
                <w:sz w:val="22"/>
                <w:szCs w:val="22"/>
              </w:rPr>
            </w:pPr>
            <w:r w:rsidRPr="00295E71">
              <w:rPr>
                <w:sz w:val="22"/>
                <w:szCs w:val="22"/>
              </w:rPr>
              <w:tab/>
              <w:t>Settimana 12</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0497603D" w14:textId="77777777">
            <w:pPr>
              <w:keepNext/>
              <w:jc w:val="center"/>
              <w:rPr>
                <w:sz w:val="22"/>
                <w:szCs w:val="22"/>
              </w:rPr>
            </w:pPr>
            <w:r w:rsidRPr="00295E71">
              <w:rPr>
                <w:sz w:val="22"/>
                <w:szCs w:val="22"/>
              </w:rPr>
              <w:t>16%</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3E53A893" w14:textId="77777777">
            <w:pPr>
              <w:keepNext/>
              <w:jc w:val="center"/>
              <w:rPr>
                <w:sz w:val="22"/>
                <w:szCs w:val="22"/>
              </w:rPr>
            </w:pPr>
            <w:r w:rsidRPr="00295E71">
              <w:rPr>
                <w:sz w:val="22"/>
                <w:szCs w:val="22"/>
              </w:rPr>
              <w:t>45%***</w:t>
            </w:r>
          </w:p>
        </w:tc>
      </w:tr>
      <w:tr w14:paraId="673822B6" w14:textId="77777777">
        <w:tblPrEx>
          <w:tblW w:w="7150" w:type="dxa"/>
          <w:tblInd w:w="1060" w:type="dxa"/>
          <w:tblLook w:val="0000"/>
        </w:tblPrEx>
        <w:tc>
          <w:tcPr>
            <w:tcW w:w="2750" w:type="dxa"/>
            <w:tcBorders>
              <w:top w:val="single" w:sz="4" w:space="0" w:color="auto"/>
              <w:left w:val="single" w:sz="4" w:space="0" w:color="auto"/>
              <w:bottom w:val="single" w:sz="4" w:space="0" w:color="auto"/>
              <w:right w:val="single" w:sz="4" w:space="0" w:color="auto"/>
            </w:tcBorders>
          </w:tcPr>
          <w:p w:rsidR="006224C2" w:rsidRPr="00295E71" w14:paraId="3076EED5" w14:textId="77777777">
            <w:pPr>
              <w:keepNext/>
              <w:rPr>
                <w:sz w:val="22"/>
                <w:szCs w:val="22"/>
              </w:rPr>
            </w:pPr>
            <w:r w:rsidRPr="00295E71">
              <w:rPr>
                <w:sz w:val="22"/>
                <w:szCs w:val="22"/>
              </w:rPr>
              <w:tab/>
              <w:t>Settimana 24</w:t>
            </w:r>
          </w:p>
        </w:tc>
        <w:tc>
          <w:tcPr>
            <w:tcW w:w="2090" w:type="dxa"/>
            <w:tcBorders>
              <w:top w:val="single" w:sz="4" w:space="0" w:color="auto"/>
              <w:left w:val="single" w:sz="4" w:space="0" w:color="auto"/>
              <w:bottom w:val="single" w:sz="4" w:space="0" w:color="auto"/>
              <w:right w:val="single" w:sz="4" w:space="0" w:color="auto"/>
            </w:tcBorders>
          </w:tcPr>
          <w:p w:rsidR="006224C2" w:rsidRPr="00295E71" w14:paraId="5DB53107" w14:textId="77777777">
            <w:pPr>
              <w:keepNext/>
              <w:jc w:val="center"/>
              <w:rPr>
                <w:sz w:val="22"/>
                <w:szCs w:val="22"/>
              </w:rPr>
            </w:pPr>
            <w:r w:rsidRPr="00295E71">
              <w:rPr>
                <w:sz w:val="22"/>
                <w:szCs w:val="22"/>
              </w:rPr>
              <w:t>15%</w:t>
            </w:r>
          </w:p>
        </w:tc>
        <w:tc>
          <w:tcPr>
            <w:tcW w:w="2310" w:type="dxa"/>
            <w:tcBorders>
              <w:top w:val="single" w:sz="4" w:space="0" w:color="auto"/>
              <w:left w:val="single" w:sz="4" w:space="0" w:color="auto"/>
              <w:bottom w:val="single" w:sz="4" w:space="0" w:color="auto"/>
              <w:right w:val="single" w:sz="4" w:space="0" w:color="auto"/>
            </w:tcBorders>
          </w:tcPr>
          <w:p w:rsidR="006224C2" w:rsidRPr="00295E71" w14:paraId="0B26B69C" w14:textId="77777777">
            <w:pPr>
              <w:keepNext/>
              <w:jc w:val="center"/>
              <w:rPr>
                <w:sz w:val="22"/>
                <w:szCs w:val="22"/>
              </w:rPr>
            </w:pPr>
            <w:r w:rsidRPr="00295E71">
              <w:rPr>
                <w:sz w:val="22"/>
                <w:szCs w:val="22"/>
              </w:rPr>
              <w:t>42%***</w:t>
            </w:r>
          </w:p>
        </w:tc>
      </w:tr>
    </w:tbl>
    <w:p w:rsidR="006224C2" w:rsidRPr="00295E71" w14:paraId="6F98881D" w14:textId="77777777">
      <w:pPr>
        <w:pStyle w:val="DefaultText"/>
        <w:keepNext/>
        <w:ind w:left="990"/>
        <w:rPr>
          <w:rFonts w:ascii="Times New Roman" w:hAnsi="Times New Roman" w:cs="Times New Roman"/>
          <w:lang w:val="it-IT"/>
        </w:rPr>
      </w:pPr>
      <w:r w:rsidRPr="00295E71">
        <w:rPr>
          <w:rFonts w:ascii="Times New Roman" w:hAnsi="Times New Roman" w:cs="Times New Roman"/>
          <w:lang w:val="it-IT"/>
        </w:rPr>
        <w:t>***,** Statisticamente significativa a p&lt;0,001, &lt;0,01 per tutti i valori messi a confronto tra Humira e placebo alla settimana 2, 12 e 24</w:t>
      </w:r>
    </w:p>
    <w:p w:rsidR="006224C2" w:rsidRPr="00295E71" w14:paraId="49AAC53C" w14:textId="77777777">
      <w:pPr>
        <w:keepNext/>
        <w:autoSpaceDE w:val="0"/>
        <w:autoSpaceDN w:val="0"/>
        <w:adjustRightInd w:val="0"/>
        <w:ind w:left="990"/>
        <w:rPr>
          <w:sz w:val="22"/>
          <w:szCs w:val="22"/>
        </w:rPr>
      </w:pPr>
      <w:r w:rsidRPr="00295E71">
        <w:rPr>
          <w:color w:val="000000"/>
          <w:sz w:val="22"/>
          <w:szCs w:val="22"/>
          <w:vertAlign w:val="superscript"/>
        </w:rPr>
        <w:t>a</w:t>
      </w:r>
      <w:r w:rsidRPr="00295E71">
        <w:rPr>
          <w:sz w:val="22"/>
          <w:szCs w:val="22"/>
        </w:rPr>
        <w:t>Valutazioni della spondilite anchilosante</w:t>
      </w:r>
    </w:p>
    <w:p w:rsidR="006224C2" w:rsidRPr="00295E71" w14:paraId="375D5CA6" w14:textId="77777777">
      <w:pPr>
        <w:keepNext/>
        <w:autoSpaceDE w:val="0"/>
        <w:autoSpaceDN w:val="0"/>
        <w:adjustRightInd w:val="0"/>
        <w:ind w:left="990"/>
        <w:rPr>
          <w:color w:val="000000"/>
          <w:sz w:val="22"/>
          <w:szCs w:val="22"/>
        </w:rPr>
      </w:pPr>
      <w:r w:rsidRPr="00295E71">
        <w:rPr>
          <w:color w:val="000000"/>
          <w:sz w:val="22"/>
          <w:szCs w:val="22"/>
          <w:vertAlign w:val="superscript"/>
        </w:rPr>
        <w:t>b</w:t>
      </w:r>
      <w:r w:rsidRPr="00295E71">
        <w:rPr>
          <w:sz w:val="22"/>
          <w:szCs w:val="22"/>
        </w:rPr>
        <w:t>Bath Ankylosing Spondylitis Disease Activity Index</w:t>
      </w:r>
    </w:p>
    <w:p w:rsidR="006224C2" w:rsidRPr="00295E71" w14:paraId="13B81B95" w14:textId="77777777">
      <w:pPr>
        <w:tabs>
          <w:tab w:val="left" w:pos="567"/>
          <w:tab w:val="left" w:pos="1294"/>
        </w:tabs>
        <w:autoSpaceDE w:val="0"/>
        <w:autoSpaceDN w:val="0"/>
        <w:adjustRightInd w:val="0"/>
        <w:rPr>
          <w:color w:val="000000"/>
          <w:sz w:val="22"/>
          <w:szCs w:val="22"/>
        </w:rPr>
      </w:pPr>
    </w:p>
    <w:p w:rsidR="006224C2" w:rsidRPr="00295E71" w14:paraId="1906DD5A"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 pazienti trattati con Humira hanno manifestato un miglioramento significativamente più elevato alla settimana 12 che è stato mantenuto per tutta la durata della terapia fino alla settimana 24 sia nell’SF36 che nel Questionario sulla Qualità della Vita della Spondilite Anchilosante (ASQoL).</w:t>
      </w:r>
    </w:p>
    <w:p w:rsidR="006224C2" w:rsidRPr="00295E71" w14:paraId="37667E58" w14:textId="77777777">
      <w:pPr>
        <w:tabs>
          <w:tab w:val="left" w:pos="567"/>
          <w:tab w:val="left" w:pos="1294"/>
        </w:tabs>
        <w:autoSpaceDE w:val="0"/>
        <w:autoSpaceDN w:val="0"/>
        <w:adjustRightInd w:val="0"/>
        <w:jc w:val="both"/>
        <w:rPr>
          <w:color w:val="000000"/>
          <w:sz w:val="22"/>
          <w:szCs w:val="22"/>
        </w:rPr>
      </w:pPr>
    </w:p>
    <w:p w:rsidR="006224C2" w:rsidRPr="00295E71" w14:paraId="7209B5BB"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Tendenze simili (non tutte statisticamente significative) sono state osservate in uno studio AS II più piccolo</w:t>
      </w:r>
      <w:r w:rsidR="00A40A02">
        <w:rPr>
          <w:color w:val="000000"/>
          <w:sz w:val="22"/>
          <w:szCs w:val="22"/>
        </w:rPr>
        <w:t>,</w:t>
      </w:r>
      <w:r w:rsidRPr="00295E71">
        <w:rPr>
          <w:color w:val="000000"/>
          <w:sz w:val="22"/>
          <w:szCs w:val="22"/>
        </w:rPr>
        <w:t xml:space="preserve"> randomizzato</w:t>
      </w:r>
      <w:r w:rsidR="00A40A02">
        <w:rPr>
          <w:color w:val="000000"/>
          <w:sz w:val="22"/>
          <w:szCs w:val="22"/>
        </w:rPr>
        <w:t>,</w:t>
      </w:r>
      <w:r w:rsidRPr="00295E71">
        <w:rPr>
          <w:color w:val="000000"/>
          <w:sz w:val="22"/>
          <w:szCs w:val="22"/>
        </w:rPr>
        <w:t xml:space="preserve"> in doppio cieco, controllato con placebo</w:t>
      </w:r>
      <w:r w:rsidR="00A40A02">
        <w:rPr>
          <w:color w:val="000000"/>
          <w:sz w:val="22"/>
          <w:szCs w:val="22"/>
        </w:rPr>
        <w:t>,</w:t>
      </w:r>
      <w:r w:rsidRPr="00295E71">
        <w:rPr>
          <w:color w:val="000000"/>
          <w:sz w:val="22"/>
          <w:szCs w:val="22"/>
        </w:rPr>
        <w:t xml:space="preserve"> condotto su 82 pazienti adulti affetti da spondilite anchilosante attiva.</w:t>
      </w:r>
    </w:p>
    <w:p w:rsidR="006224C2" w:rsidRPr="00295E71" w14:paraId="798DB6E0" w14:textId="77777777">
      <w:pPr>
        <w:tabs>
          <w:tab w:val="left" w:pos="567"/>
          <w:tab w:val="left" w:pos="1294"/>
        </w:tabs>
        <w:autoSpaceDE w:val="0"/>
        <w:autoSpaceDN w:val="0"/>
        <w:adjustRightInd w:val="0"/>
        <w:jc w:val="both"/>
        <w:rPr>
          <w:color w:val="000000"/>
          <w:sz w:val="22"/>
          <w:szCs w:val="22"/>
        </w:rPr>
      </w:pPr>
    </w:p>
    <w:p w:rsidR="006224C2" w:rsidRPr="00295E71" w14:paraId="4CAD979A" w14:textId="77777777">
      <w:pPr>
        <w:tabs>
          <w:tab w:val="left" w:pos="567"/>
          <w:tab w:val="left" w:pos="1294"/>
        </w:tabs>
        <w:autoSpaceDE w:val="0"/>
        <w:autoSpaceDN w:val="0"/>
        <w:adjustRightInd w:val="0"/>
        <w:jc w:val="both"/>
        <w:rPr>
          <w:i/>
          <w:color w:val="000000"/>
          <w:sz w:val="22"/>
          <w:szCs w:val="22"/>
          <w:u w:val="single"/>
        </w:rPr>
      </w:pPr>
      <w:r w:rsidRPr="00295E71">
        <w:rPr>
          <w:i/>
          <w:color w:val="000000"/>
          <w:sz w:val="22"/>
          <w:szCs w:val="22"/>
          <w:u w:val="single"/>
        </w:rPr>
        <w:t>Spondiloartrite assiale senza evidenza radiografica di SA</w:t>
      </w:r>
    </w:p>
    <w:p w:rsidR="006224C2" w:rsidRPr="00295E71" w14:paraId="3A9DBBE6" w14:textId="77777777">
      <w:pPr>
        <w:tabs>
          <w:tab w:val="left" w:pos="567"/>
          <w:tab w:val="left" w:pos="1294"/>
        </w:tabs>
        <w:autoSpaceDE w:val="0"/>
        <w:autoSpaceDN w:val="0"/>
        <w:adjustRightInd w:val="0"/>
        <w:jc w:val="both"/>
        <w:rPr>
          <w:color w:val="000000"/>
          <w:sz w:val="22"/>
          <w:szCs w:val="22"/>
        </w:rPr>
      </w:pPr>
    </w:p>
    <w:p w:rsidR="00EE6946" w:rsidRPr="00295E71" w:rsidP="00EE6946" w14:paraId="503E2EEF" w14:textId="77777777">
      <w:pPr>
        <w:tabs>
          <w:tab w:val="left" w:pos="562"/>
          <w:tab w:val="left" w:pos="1294"/>
        </w:tabs>
        <w:autoSpaceDE w:val="0"/>
        <w:autoSpaceDN w:val="0"/>
        <w:adjustRightInd w:val="0"/>
        <w:jc w:val="both"/>
        <w:rPr>
          <w:color w:val="000000"/>
          <w:sz w:val="22"/>
          <w:szCs w:val="22"/>
        </w:rPr>
      </w:pPr>
      <w:r w:rsidRPr="00295E71">
        <w:rPr>
          <w:bCs/>
          <w:iCs/>
          <w:color w:val="000000"/>
          <w:sz w:val="22"/>
          <w:szCs w:val="22"/>
        </w:rPr>
        <w:t xml:space="preserve">La sicurezza e l’efficacia di </w:t>
      </w:r>
      <w:r w:rsidRPr="00295E71">
        <w:rPr>
          <w:color w:val="000000"/>
          <w:sz w:val="22"/>
          <w:szCs w:val="22"/>
        </w:rPr>
        <w:t>Humira sono state determinate in due studi randomizzati, in doppio cieco, controllati verso placebo, in pazienti con spondiloartrite assiale non radiografica (</w:t>
      </w:r>
      <w:r w:rsidRPr="00295E71">
        <w:rPr>
          <w:i/>
          <w:color w:val="000000"/>
          <w:sz w:val="22"/>
          <w:szCs w:val="22"/>
        </w:rPr>
        <w:t>non-radiographic axial spondyloarthritis</w:t>
      </w:r>
      <w:r w:rsidRPr="00295E71">
        <w:rPr>
          <w:color w:val="000000"/>
          <w:sz w:val="22"/>
          <w:szCs w:val="22"/>
        </w:rPr>
        <w:t>, nr-axSpA). Nello studio nr-axSpA I sono stati valutati pazienti con nr-axSpA attiva. Lo studio n</w:t>
      </w:r>
      <w:r w:rsidRPr="00295E71" w:rsidR="00D609A2">
        <w:rPr>
          <w:color w:val="000000"/>
          <w:sz w:val="22"/>
          <w:szCs w:val="22"/>
        </w:rPr>
        <w:t>r</w:t>
      </w:r>
      <w:r w:rsidRPr="00295E71">
        <w:rPr>
          <w:color w:val="000000"/>
          <w:sz w:val="22"/>
          <w:szCs w:val="22"/>
        </w:rPr>
        <w:t>-axSpA II era uno studio di interruzione del trattamento</w:t>
      </w:r>
      <w:r w:rsidRPr="00295E71" w:rsidR="00D609A2">
        <w:rPr>
          <w:color w:val="000000"/>
          <w:sz w:val="22"/>
          <w:szCs w:val="22"/>
        </w:rPr>
        <w:t xml:space="preserve"> in pazienti con nr-axSpA</w:t>
      </w:r>
      <w:r w:rsidRPr="00295E71">
        <w:rPr>
          <w:color w:val="000000"/>
          <w:sz w:val="22"/>
          <w:szCs w:val="22"/>
        </w:rPr>
        <w:t xml:space="preserve"> </w:t>
      </w:r>
      <w:r w:rsidRPr="009A4609" w:rsidR="009A4609">
        <w:rPr>
          <w:color w:val="000000"/>
          <w:sz w:val="22"/>
          <w:szCs w:val="22"/>
        </w:rPr>
        <w:t xml:space="preserve">attiva </w:t>
      </w:r>
      <w:r w:rsidRPr="00295E71">
        <w:rPr>
          <w:color w:val="000000"/>
          <w:sz w:val="22"/>
          <w:szCs w:val="22"/>
        </w:rPr>
        <w:t>che avevano ottenuto la remissione durante il trattamento in aperto con Humira.</w:t>
      </w:r>
    </w:p>
    <w:p w:rsidR="00EE6946" w:rsidRPr="00295E71" w:rsidP="00EE6946" w14:paraId="7C9B727E" w14:textId="77777777">
      <w:pPr>
        <w:tabs>
          <w:tab w:val="left" w:pos="562"/>
          <w:tab w:val="left" w:pos="1294"/>
        </w:tabs>
        <w:autoSpaceDE w:val="0"/>
        <w:autoSpaceDN w:val="0"/>
        <w:adjustRightInd w:val="0"/>
        <w:jc w:val="both"/>
        <w:rPr>
          <w:color w:val="000000"/>
          <w:sz w:val="22"/>
          <w:szCs w:val="22"/>
        </w:rPr>
      </w:pPr>
    </w:p>
    <w:p w:rsidR="00EE6946" w:rsidRPr="00295E71" w:rsidP="00EE6946" w14:paraId="72844CA6"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Studio nr-axSpA I</w:t>
      </w:r>
    </w:p>
    <w:p w:rsidR="00EE6946" w:rsidRPr="00295E71" w:rsidP="00EE6946" w14:paraId="587D6654" w14:textId="77777777">
      <w:pPr>
        <w:tabs>
          <w:tab w:val="left" w:pos="567"/>
          <w:tab w:val="left" w:pos="1294"/>
        </w:tabs>
        <w:autoSpaceDE w:val="0"/>
        <w:autoSpaceDN w:val="0"/>
        <w:adjustRightInd w:val="0"/>
        <w:jc w:val="both"/>
        <w:rPr>
          <w:color w:val="000000"/>
          <w:sz w:val="22"/>
          <w:szCs w:val="22"/>
        </w:rPr>
      </w:pPr>
    </w:p>
    <w:p w:rsidR="006224C2" w:rsidRPr="00295E71" w:rsidP="00EE6946" w14:paraId="5DCB7F41"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Nello studio nr-axSpA I, </w:t>
      </w:r>
      <w:r w:rsidRPr="00295E71" w:rsidR="00226BC4">
        <w:rPr>
          <w:color w:val="000000"/>
          <w:sz w:val="22"/>
          <w:szCs w:val="22"/>
        </w:rPr>
        <w:t xml:space="preserve">Humira, somministrato alla dose di 40 mg a settimane alterne, è stato valutato in 185 pazienti con </w:t>
      </w:r>
      <w:r w:rsidRPr="00295E71">
        <w:rPr>
          <w:color w:val="000000"/>
          <w:sz w:val="22"/>
          <w:szCs w:val="22"/>
        </w:rPr>
        <w:t>nr-axSpA</w:t>
      </w:r>
      <w:r w:rsidRPr="00295E71" w:rsidR="00226BC4">
        <w:rPr>
          <w:color w:val="000000"/>
          <w:sz w:val="22"/>
          <w:szCs w:val="22"/>
        </w:rPr>
        <w:t xml:space="preserve"> attiva in uno studio randomizzato di 12 settimane in doppio cieco controllato con placebo (il valore medio basale dell’attività della malattia [Bath Ankylosing Spondylitis Disease Activity Index (BASDAI)] è stato di 6,4 per i pazienti trattati con Humira e di 6,5 per quelli trattati con placebo) che hanno avuto una risposta inadeguata a, o una intolleranza a, uno o più FANS, o una controindicazione ai FANS.</w:t>
      </w:r>
    </w:p>
    <w:p w:rsidR="006224C2" w:rsidRPr="00295E71" w14:paraId="62DDB92D" w14:textId="77777777">
      <w:pPr>
        <w:tabs>
          <w:tab w:val="left" w:pos="567"/>
          <w:tab w:val="left" w:pos="1294"/>
        </w:tabs>
        <w:autoSpaceDE w:val="0"/>
        <w:autoSpaceDN w:val="0"/>
        <w:adjustRightInd w:val="0"/>
        <w:jc w:val="both"/>
        <w:rPr>
          <w:color w:val="000000"/>
          <w:sz w:val="22"/>
          <w:szCs w:val="22"/>
        </w:rPr>
      </w:pPr>
    </w:p>
    <w:p w:rsidR="006224C2" w:rsidRPr="00295E71" w14:paraId="6F15E802"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Trentatre pazienti (18%) sono stati trattati contemporaneamente con farmaci anti-reumatici modificanti la malattia, e 146 pazienti (79%) con FANS al basale. Il periodo in doppio cieco è stato seguito da un periodo in aperto durante il quale i pazienti hanno ricevuto Humira 40 mg a settimane alterne per via sottocutanea per un periodo fino a 144 settimane. Nei pazienti trattati con Humira i risultati della settimana 12 hanno dimostrato un miglioramento statisticamente significativo dei segni e dei sintomi della </w:t>
      </w:r>
      <w:r w:rsidRPr="00295E71" w:rsidR="00EE6946">
        <w:rPr>
          <w:color w:val="000000"/>
          <w:sz w:val="22"/>
          <w:szCs w:val="22"/>
        </w:rPr>
        <w:t xml:space="preserve">nr-axSpA </w:t>
      </w:r>
      <w:r w:rsidRPr="00295E71">
        <w:rPr>
          <w:color w:val="000000"/>
          <w:sz w:val="22"/>
          <w:szCs w:val="22"/>
        </w:rPr>
        <w:t xml:space="preserve">attiva rispetto al placebo (Tabella </w:t>
      </w:r>
      <w:r w:rsidRPr="00295E71" w:rsidR="00C457AE">
        <w:rPr>
          <w:color w:val="000000"/>
          <w:sz w:val="22"/>
          <w:szCs w:val="22"/>
        </w:rPr>
        <w:t>1</w:t>
      </w:r>
      <w:r w:rsidR="0062664F">
        <w:rPr>
          <w:color w:val="000000"/>
          <w:sz w:val="22"/>
          <w:szCs w:val="22"/>
        </w:rPr>
        <w:t>3</w:t>
      </w:r>
      <w:r w:rsidRPr="00295E71">
        <w:rPr>
          <w:color w:val="000000"/>
          <w:sz w:val="22"/>
          <w:szCs w:val="22"/>
        </w:rPr>
        <w:t>).</w:t>
      </w:r>
    </w:p>
    <w:p w:rsidR="006224C2" w:rsidRPr="00BF509C" w14:paraId="36728DD0" w14:textId="77777777">
      <w:pPr>
        <w:rPr>
          <w:bCs/>
          <w:sz w:val="22"/>
          <w:szCs w:val="22"/>
        </w:rPr>
      </w:pPr>
    </w:p>
    <w:p w:rsidR="006224C2" w:rsidRPr="00BF509C" w14:paraId="63B72C6B" w14:textId="77777777">
      <w:pPr>
        <w:pStyle w:val="EMEATitle"/>
        <w:keepNext/>
        <w:suppressAutoHyphens w:val="0"/>
        <w:rPr>
          <w:rFonts w:ascii="Times New Roman" w:hAnsi="Times New Roman"/>
          <w:b w:val="0"/>
          <w:caps w:val="0"/>
          <w:lang w:val="it-IT" w:eastAsia="it-IT"/>
        </w:rPr>
      </w:pPr>
      <w:r w:rsidRPr="00295E71">
        <w:rPr>
          <w:rFonts w:ascii="Times New Roman" w:hAnsi="Times New Roman"/>
          <w:caps w:val="0"/>
          <w:lang w:val="it-IT" w:eastAsia="it-IT"/>
        </w:rPr>
        <w:t xml:space="preserve">Tabella </w:t>
      </w:r>
      <w:r w:rsidRPr="00295E71" w:rsidR="00C457AE">
        <w:rPr>
          <w:rFonts w:ascii="Times New Roman" w:hAnsi="Times New Roman"/>
          <w:caps w:val="0"/>
          <w:lang w:val="it-IT" w:eastAsia="it-IT"/>
        </w:rPr>
        <w:t>1</w:t>
      </w:r>
      <w:r w:rsidR="0062664F">
        <w:rPr>
          <w:rFonts w:ascii="Times New Roman" w:hAnsi="Times New Roman"/>
          <w:caps w:val="0"/>
          <w:lang w:val="it-IT" w:eastAsia="it-IT"/>
        </w:rPr>
        <w:t>3</w:t>
      </w:r>
    </w:p>
    <w:p w:rsidR="006224C2" w:rsidRPr="00BF509C" w14:paraId="052FE622" w14:textId="77777777">
      <w:pPr>
        <w:pStyle w:val="EMEATitle"/>
        <w:keepNext/>
        <w:suppressAutoHyphens w:val="0"/>
        <w:rPr>
          <w:rFonts w:ascii="Times New Roman" w:hAnsi="Times New Roman"/>
          <w:b w:val="0"/>
          <w:caps w:val="0"/>
          <w:lang w:val="it-IT" w:eastAsia="it-IT"/>
        </w:rPr>
      </w:pPr>
      <w:r w:rsidRPr="00295E71">
        <w:rPr>
          <w:rFonts w:ascii="Times New Roman" w:hAnsi="Times New Roman"/>
          <w:caps w:val="0"/>
          <w:lang w:val="it-IT" w:eastAsia="it-IT"/>
        </w:rPr>
        <w:t xml:space="preserve">Risposta di efficacia nello studio controllato con placebo </w:t>
      </w:r>
      <w:r w:rsidRPr="00295E71" w:rsidR="00EE6946">
        <w:rPr>
          <w:rFonts w:ascii="Times New Roman" w:hAnsi="Times New Roman"/>
          <w:caps w:val="0"/>
          <w:lang w:val="it-IT" w:eastAsia="it-IT"/>
        </w:rPr>
        <w:t>nr-axSpA I</w:t>
      </w:r>
    </w:p>
    <w:p w:rsidR="006224C2" w:rsidRPr="00BF509C" w14:paraId="199C50FD" w14:textId="77777777">
      <w:pPr>
        <w:pStyle w:val="EMEATitle"/>
        <w:keepNext/>
        <w:suppressAutoHyphens w:val="0"/>
        <w:rPr>
          <w:rFonts w:ascii="Times New Roman" w:hAnsi="Times New Roman"/>
          <w:b w:val="0"/>
          <w:caps w:val="0"/>
          <w:lang w:val="it-IT" w:eastAsia="it-IT"/>
        </w:rPr>
      </w:pPr>
    </w:p>
    <w:tbl>
      <w:tblPr>
        <w:tblW w:w="7150" w:type="dxa"/>
        <w:tblInd w:w="106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3330"/>
        <w:gridCol w:w="1980"/>
        <w:gridCol w:w="1840"/>
      </w:tblGrid>
      <w:tr w14:paraId="6688ACC2" w14:textId="77777777">
        <w:tblPrEx>
          <w:tblW w:w="7150" w:type="dxa"/>
          <w:tblInd w:w="1060" w:type="dxa"/>
          <w:tblLook w:val="0000"/>
        </w:tblPrEx>
        <w:tc>
          <w:tcPr>
            <w:tcW w:w="3330" w:type="dxa"/>
            <w:tcBorders>
              <w:top w:val="single" w:sz="4" w:space="0" w:color="auto"/>
              <w:left w:val="single" w:sz="4" w:space="0" w:color="auto"/>
              <w:bottom w:val="single" w:sz="4" w:space="0" w:color="auto"/>
              <w:right w:val="single" w:sz="4" w:space="0" w:color="auto"/>
            </w:tcBorders>
          </w:tcPr>
          <w:p w:rsidR="006224C2" w:rsidRPr="00295E71" w14:paraId="1CDBBAF3" w14:textId="77777777">
            <w:pPr>
              <w:pStyle w:val="Heading6"/>
              <w:rPr>
                <w:lang w:val="it-IT"/>
              </w:rPr>
            </w:pPr>
            <w:r w:rsidRPr="00295E71">
              <w:rPr>
                <w:lang w:val="it-IT"/>
              </w:rPr>
              <w:t>Doppio cieco</w:t>
            </w:r>
          </w:p>
          <w:p w:rsidR="006224C2" w:rsidRPr="00295E71" w14:paraId="349FC93B" w14:textId="77777777">
            <w:pPr>
              <w:pStyle w:val="Heading6"/>
              <w:rPr>
                <w:rFonts w:eastAsia="Arial Unicode MS"/>
                <w:lang w:val="it-IT"/>
              </w:rPr>
            </w:pPr>
            <w:r w:rsidRPr="00295E71">
              <w:rPr>
                <w:lang w:val="it-IT"/>
              </w:rPr>
              <w:t>Risposta alla settimana 12</w:t>
            </w:r>
          </w:p>
        </w:tc>
        <w:tc>
          <w:tcPr>
            <w:tcW w:w="1980" w:type="dxa"/>
            <w:tcBorders>
              <w:top w:val="single" w:sz="4" w:space="0" w:color="auto"/>
              <w:left w:val="single" w:sz="4" w:space="0" w:color="auto"/>
              <w:bottom w:val="single" w:sz="4" w:space="0" w:color="auto"/>
              <w:right w:val="single" w:sz="4" w:space="0" w:color="auto"/>
            </w:tcBorders>
          </w:tcPr>
          <w:p w:rsidR="006224C2" w:rsidRPr="00295E71" w14:paraId="70F7A4D0" w14:textId="77777777">
            <w:pPr>
              <w:keepNext/>
              <w:jc w:val="center"/>
              <w:rPr>
                <w:b/>
                <w:sz w:val="22"/>
                <w:szCs w:val="22"/>
              </w:rPr>
            </w:pPr>
            <w:r w:rsidRPr="00295E71">
              <w:rPr>
                <w:b/>
                <w:sz w:val="22"/>
                <w:szCs w:val="22"/>
              </w:rPr>
              <w:t>Placebo</w:t>
            </w:r>
          </w:p>
          <w:p w:rsidR="006224C2" w:rsidRPr="00295E71" w14:paraId="677AAB3B" w14:textId="77777777">
            <w:pPr>
              <w:keepNext/>
              <w:jc w:val="center"/>
              <w:rPr>
                <w:b/>
                <w:sz w:val="22"/>
                <w:szCs w:val="22"/>
              </w:rPr>
            </w:pPr>
            <w:r w:rsidRPr="00295E71">
              <w:rPr>
                <w:b/>
                <w:sz w:val="22"/>
                <w:szCs w:val="22"/>
              </w:rPr>
              <w:t>N=94</w:t>
            </w:r>
          </w:p>
        </w:tc>
        <w:tc>
          <w:tcPr>
            <w:tcW w:w="1840" w:type="dxa"/>
            <w:tcBorders>
              <w:top w:val="single" w:sz="4" w:space="0" w:color="auto"/>
              <w:left w:val="single" w:sz="4" w:space="0" w:color="auto"/>
              <w:bottom w:val="single" w:sz="4" w:space="0" w:color="auto"/>
              <w:right w:val="single" w:sz="4" w:space="0" w:color="auto"/>
            </w:tcBorders>
          </w:tcPr>
          <w:p w:rsidR="006224C2" w:rsidRPr="00295E71" w14:paraId="6807F762" w14:textId="77777777">
            <w:pPr>
              <w:keepNext/>
              <w:jc w:val="center"/>
              <w:rPr>
                <w:b/>
                <w:sz w:val="22"/>
                <w:szCs w:val="22"/>
              </w:rPr>
            </w:pPr>
            <w:r w:rsidRPr="00295E71">
              <w:rPr>
                <w:b/>
                <w:sz w:val="22"/>
                <w:szCs w:val="22"/>
              </w:rPr>
              <w:t>Humira</w:t>
            </w:r>
          </w:p>
          <w:p w:rsidR="006224C2" w:rsidRPr="00295E71" w14:paraId="14AA5B99" w14:textId="77777777">
            <w:pPr>
              <w:keepNext/>
              <w:jc w:val="center"/>
              <w:rPr>
                <w:b/>
                <w:bCs/>
                <w:sz w:val="22"/>
                <w:szCs w:val="22"/>
              </w:rPr>
            </w:pPr>
            <w:r w:rsidRPr="00295E71">
              <w:rPr>
                <w:b/>
                <w:bCs/>
                <w:sz w:val="22"/>
                <w:szCs w:val="22"/>
              </w:rPr>
              <w:t>N=91</w:t>
            </w:r>
          </w:p>
        </w:tc>
      </w:tr>
      <w:tr w14:paraId="227D0FB6" w14:textId="77777777">
        <w:tblPrEx>
          <w:tblW w:w="7150" w:type="dxa"/>
          <w:tblInd w:w="1060" w:type="dxa"/>
          <w:tblLook w:val="0000"/>
        </w:tblPrEx>
        <w:tc>
          <w:tcPr>
            <w:tcW w:w="3330" w:type="dxa"/>
            <w:tcBorders>
              <w:top w:val="single" w:sz="4" w:space="0" w:color="auto"/>
              <w:left w:val="single" w:sz="4" w:space="0" w:color="auto"/>
              <w:bottom w:val="single" w:sz="4" w:space="0" w:color="auto"/>
              <w:right w:val="single" w:sz="4" w:space="0" w:color="auto"/>
            </w:tcBorders>
          </w:tcPr>
          <w:p w:rsidR="006224C2" w:rsidRPr="00295E71" w14:paraId="245886D0" w14:textId="77777777">
            <w:pPr>
              <w:keepNext/>
              <w:rPr>
                <w:sz w:val="22"/>
                <w:szCs w:val="22"/>
              </w:rPr>
            </w:pPr>
            <w:r w:rsidRPr="00295E71">
              <w:rPr>
                <w:sz w:val="22"/>
                <w:szCs w:val="22"/>
              </w:rPr>
              <w:t>ASAS</w:t>
            </w:r>
            <w:r w:rsidRPr="00295E71">
              <w:rPr>
                <w:sz w:val="22"/>
                <w:szCs w:val="22"/>
                <w:vertAlign w:val="superscript"/>
              </w:rPr>
              <w:t>a</w:t>
            </w:r>
            <w:r w:rsidRPr="00295E71">
              <w:rPr>
                <w:sz w:val="22"/>
                <w:szCs w:val="22"/>
              </w:rPr>
              <w:t xml:space="preserve"> 40</w:t>
            </w:r>
          </w:p>
        </w:tc>
        <w:tc>
          <w:tcPr>
            <w:tcW w:w="1980" w:type="dxa"/>
            <w:tcBorders>
              <w:top w:val="single" w:sz="4" w:space="0" w:color="auto"/>
              <w:left w:val="single" w:sz="4" w:space="0" w:color="auto"/>
              <w:bottom w:val="single" w:sz="4" w:space="0" w:color="auto"/>
              <w:right w:val="single" w:sz="4" w:space="0" w:color="auto"/>
            </w:tcBorders>
          </w:tcPr>
          <w:p w:rsidR="006224C2" w:rsidRPr="00295E71" w14:paraId="7338A876" w14:textId="77777777">
            <w:pPr>
              <w:keepNext/>
              <w:jc w:val="center"/>
              <w:rPr>
                <w:sz w:val="22"/>
                <w:szCs w:val="22"/>
              </w:rPr>
            </w:pPr>
            <w:r w:rsidRPr="00295E71">
              <w:rPr>
                <w:sz w:val="22"/>
                <w:szCs w:val="22"/>
              </w:rPr>
              <w:t>15%</w:t>
            </w:r>
          </w:p>
        </w:tc>
        <w:tc>
          <w:tcPr>
            <w:tcW w:w="1840" w:type="dxa"/>
            <w:tcBorders>
              <w:top w:val="single" w:sz="4" w:space="0" w:color="auto"/>
              <w:left w:val="single" w:sz="4" w:space="0" w:color="auto"/>
              <w:bottom w:val="single" w:sz="4" w:space="0" w:color="auto"/>
              <w:right w:val="single" w:sz="4" w:space="0" w:color="auto"/>
            </w:tcBorders>
          </w:tcPr>
          <w:p w:rsidR="006224C2" w:rsidRPr="00295E71" w14:paraId="5FA39AF8" w14:textId="77777777">
            <w:pPr>
              <w:keepNext/>
              <w:jc w:val="center"/>
              <w:rPr>
                <w:sz w:val="22"/>
                <w:szCs w:val="22"/>
              </w:rPr>
            </w:pPr>
            <w:r w:rsidRPr="00295E71">
              <w:rPr>
                <w:sz w:val="22"/>
                <w:szCs w:val="22"/>
              </w:rPr>
              <w:t>36%***</w:t>
            </w:r>
          </w:p>
        </w:tc>
      </w:tr>
      <w:tr w14:paraId="14CDA6C2" w14:textId="77777777">
        <w:tblPrEx>
          <w:tblW w:w="7150" w:type="dxa"/>
          <w:tblInd w:w="1060" w:type="dxa"/>
          <w:tblLook w:val="0000"/>
        </w:tblPrEx>
        <w:tc>
          <w:tcPr>
            <w:tcW w:w="3330" w:type="dxa"/>
            <w:tcBorders>
              <w:top w:val="single" w:sz="4" w:space="0" w:color="auto"/>
              <w:left w:val="single" w:sz="4" w:space="0" w:color="auto"/>
              <w:bottom w:val="single" w:sz="4" w:space="0" w:color="auto"/>
              <w:right w:val="single" w:sz="4" w:space="0" w:color="auto"/>
            </w:tcBorders>
          </w:tcPr>
          <w:p w:rsidR="006224C2" w:rsidRPr="00295E71" w14:paraId="32D07702" w14:textId="77777777">
            <w:pPr>
              <w:keepNext/>
              <w:rPr>
                <w:sz w:val="22"/>
                <w:szCs w:val="22"/>
              </w:rPr>
            </w:pPr>
            <w:r w:rsidRPr="00295E71">
              <w:rPr>
                <w:sz w:val="22"/>
                <w:szCs w:val="22"/>
              </w:rPr>
              <w:t>ASAS 20</w:t>
            </w:r>
          </w:p>
        </w:tc>
        <w:tc>
          <w:tcPr>
            <w:tcW w:w="1980" w:type="dxa"/>
            <w:tcBorders>
              <w:top w:val="single" w:sz="4" w:space="0" w:color="auto"/>
              <w:left w:val="single" w:sz="4" w:space="0" w:color="auto"/>
              <w:bottom w:val="single" w:sz="4" w:space="0" w:color="auto"/>
              <w:right w:val="single" w:sz="4" w:space="0" w:color="auto"/>
            </w:tcBorders>
          </w:tcPr>
          <w:p w:rsidR="006224C2" w:rsidRPr="00295E71" w14:paraId="027262EB" w14:textId="77777777">
            <w:pPr>
              <w:keepNext/>
              <w:jc w:val="center"/>
              <w:rPr>
                <w:sz w:val="22"/>
                <w:szCs w:val="22"/>
              </w:rPr>
            </w:pPr>
            <w:r w:rsidRPr="00295E71">
              <w:rPr>
                <w:sz w:val="22"/>
                <w:szCs w:val="22"/>
              </w:rPr>
              <w:t>31%</w:t>
            </w:r>
          </w:p>
        </w:tc>
        <w:tc>
          <w:tcPr>
            <w:tcW w:w="1840" w:type="dxa"/>
            <w:tcBorders>
              <w:top w:val="single" w:sz="4" w:space="0" w:color="auto"/>
              <w:left w:val="single" w:sz="4" w:space="0" w:color="auto"/>
              <w:bottom w:val="single" w:sz="4" w:space="0" w:color="auto"/>
              <w:right w:val="single" w:sz="4" w:space="0" w:color="auto"/>
            </w:tcBorders>
          </w:tcPr>
          <w:p w:rsidR="006224C2" w:rsidRPr="00295E71" w14:paraId="79498704" w14:textId="77777777">
            <w:pPr>
              <w:keepNext/>
              <w:jc w:val="center"/>
              <w:rPr>
                <w:sz w:val="22"/>
                <w:szCs w:val="22"/>
              </w:rPr>
            </w:pPr>
            <w:r w:rsidRPr="00295E71">
              <w:rPr>
                <w:sz w:val="22"/>
                <w:szCs w:val="22"/>
              </w:rPr>
              <w:t>52%**</w:t>
            </w:r>
          </w:p>
        </w:tc>
      </w:tr>
      <w:tr w14:paraId="30931070" w14:textId="77777777">
        <w:tblPrEx>
          <w:tblW w:w="7150" w:type="dxa"/>
          <w:tblInd w:w="1060" w:type="dxa"/>
          <w:tblLook w:val="0000"/>
        </w:tblPrEx>
        <w:tc>
          <w:tcPr>
            <w:tcW w:w="3330" w:type="dxa"/>
            <w:tcBorders>
              <w:top w:val="single" w:sz="4" w:space="0" w:color="auto"/>
              <w:left w:val="single" w:sz="4" w:space="0" w:color="auto"/>
              <w:bottom w:val="single" w:sz="4" w:space="0" w:color="auto"/>
              <w:right w:val="single" w:sz="4" w:space="0" w:color="auto"/>
            </w:tcBorders>
          </w:tcPr>
          <w:p w:rsidR="006224C2" w:rsidRPr="00295E71" w14:paraId="30832616" w14:textId="77777777">
            <w:pPr>
              <w:keepNext/>
              <w:rPr>
                <w:sz w:val="22"/>
                <w:szCs w:val="22"/>
              </w:rPr>
            </w:pPr>
            <w:r w:rsidRPr="00295E71">
              <w:rPr>
                <w:sz w:val="22"/>
                <w:szCs w:val="22"/>
              </w:rPr>
              <w:t>ASAS 5/6</w:t>
            </w:r>
          </w:p>
        </w:tc>
        <w:tc>
          <w:tcPr>
            <w:tcW w:w="1980" w:type="dxa"/>
            <w:tcBorders>
              <w:top w:val="single" w:sz="4" w:space="0" w:color="auto"/>
              <w:left w:val="single" w:sz="4" w:space="0" w:color="auto"/>
              <w:bottom w:val="single" w:sz="4" w:space="0" w:color="auto"/>
              <w:right w:val="single" w:sz="4" w:space="0" w:color="auto"/>
            </w:tcBorders>
          </w:tcPr>
          <w:p w:rsidR="006224C2" w:rsidRPr="00295E71" w14:paraId="3258EA04" w14:textId="77777777">
            <w:pPr>
              <w:keepNext/>
              <w:jc w:val="center"/>
              <w:rPr>
                <w:sz w:val="22"/>
                <w:szCs w:val="22"/>
              </w:rPr>
            </w:pPr>
            <w:r w:rsidRPr="00295E71">
              <w:rPr>
                <w:sz w:val="22"/>
                <w:szCs w:val="22"/>
              </w:rPr>
              <w:t>6%</w:t>
            </w:r>
          </w:p>
        </w:tc>
        <w:tc>
          <w:tcPr>
            <w:tcW w:w="1840" w:type="dxa"/>
            <w:tcBorders>
              <w:top w:val="single" w:sz="4" w:space="0" w:color="auto"/>
              <w:left w:val="single" w:sz="4" w:space="0" w:color="auto"/>
              <w:bottom w:val="single" w:sz="4" w:space="0" w:color="auto"/>
              <w:right w:val="single" w:sz="4" w:space="0" w:color="auto"/>
            </w:tcBorders>
          </w:tcPr>
          <w:p w:rsidR="006224C2" w:rsidRPr="00295E71" w14:paraId="181674FF" w14:textId="77777777">
            <w:pPr>
              <w:keepNext/>
              <w:jc w:val="center"/>
              <w:rPr>
                <w:sz w:val="22"/>
                <w:szCs w:val="22"/>
              </w:rPr>
            </w:pPr>
            <w:r w:rsidRPr="00295E71">
              <w:rPr>
                <w:sz w:val="22"/>
                <w:szCs w:val="22"/>
              </w:rPr>
              <w:t>31%***</w:t>
            </w:r>
          </w:p>
        </w:tc>
      </w:tr>
      <w:tr w14:paraId="4AAA93E3" w14:textId="77777777">
        <w:tblPrEx>
          <w:tblW w:w="7150" w:type="dxa"/>
          <w:tblInd w:w="1060" w:type="dxa"/>
          <w:tblLook w:val="0000"/>
        </w:tblPrEx>
        <w:tc>
          <w:tcPr>
            <w:tcW w:w="3330" w:type="dxa"/>
            <w:tcBorders>
              <w:top w:val="single" w:sz="4" w:space="0" w:color="auto"/>
              <w:left w:val="single" w:sz="4" w:space="0" w:color="auto"/>
              <w:bottom w:val="single" w:sz="4" w:space="0" w:color="auto"/>
              <w:right w:val="single" w:sz="4" w:space="0" w:color="auto"/>
            </w:tcBorders>
          </w:tcPr>
          <w:p w:rsidR="006224C2" w:rsidRPr="00295E71" w14:paraId="14EA5C33" w14:textId="77777777">
            <w:pPr>
              <w:keepNext/>
              <w:rPr>
                <w:sz w:val="22"/>
                <w:szCs w:val="22"/>
              </w:rPr>
            </w:pPr>
            <w:r w:rsidRPr="00295E71">
              <w:rPr>
                <w:sz w:val="22"/>
                <w:szCs w:val="22"/>
              </w:rPr>
              <w:t>ASAS Remissione Parziale</w:t>
            </w:r>
          </w:p>
        </w:tc>
        <w:tc>
          <w:tcPr>
            <w:tcW w:w="1980" w:type="dxa"/>
            <w:tcBorders>
              <w:top w:val="single" w:sz="4" w:space="0" w:color="auto"/>
              <w:left w:val="single" w:sz="4" w:space="0" w:color="auto"/>
              <w:bottom w:val="single" w:sz="4" w:space="0" w:color="auto"/>
              <w:right w:val="single" w:sz="4" w:space="0" w:color="auto"/>
            </w:tcBorders>
          </w:tcPr>
          <w:p w:rsidR="006224C2" w:rsidRPr="00295E71" w14:paraId="7DDFDD40" w14:textId="77777777">
            <w:pPr>
              <w:keepNext/>
              <w:jc w:val="center"/>
              <w:rPr>
                <w:sz w:val="22"/>
                <w:szCs w:val="22"/>
              </w:rPr>
            </w:pPr>
            <w:r w:rsidRPr="00295E71">
              <w:rPr>
                <w:sz w:val="22"/>
                <w:szCs w:val="22"/>
              </w:rPr>
              <w:t>5%</w:t>
            </w:r>
          </w:p>
        </w:tc>
        <w:tc>
          <w:tcPr>
            <w:tcW w:w="1840" w:type="dxa"/>
            <w:tcBorders>
              <w:top w:val="single" w:sz="4" w:space="0" w:color="auto"/>
              <w:left w:val="single" w:sz="4" w:space="0" w:color="auto"/>
              <w:bottom w:val="single" w:sz="4" w:space="0" w:color="auto"/>
              <w:right w:val="single" w:sz="4" w:space="0" w:color="auto"/>
            </w:tcBorders>
          </w:tcPr>
          <w:p w:rsidR="006224C2" w:rsidRPr="00295E71" w14:paraId="1037E075" w14:textId="77777777">
            <w:pPr>
              <w:keepNext/>
              <w:jc w:val="center"/>
              <w:rPr>
                <w:sz w:val="22"/>
                <w:szCs w:val="22"/>
              </w:rPr>
            </w:pPr>
            <w:r w:rsidRPr="00295E71">
              <w:rPr>
                <w:sz w:val="22"/>
                <w:szCs w:val="22"/>
              </w:rPr>
              <w:t>16%*</w:t>
            </w:r>
          </w:p>
        </w:tc>
      </w:tr>
      <w:tr w14:paraId="7364C7C3" w14:textId="77777777">
        <w:tblPrEx>
          <w:tblW w:w="7150" w:type="dxa"/>
          <w:tblInd w:w="1060" w:type="dxa"/>
          <w:tblLook w:val="0000"/>
        </w:tblPrEx>
        <w:tc>
          <w:tcPr>
            <w:tcW w:w="3330" w:type="dxa"/>
            <w:tcBorders>
              <w:top w:val="single" w:sz="4" w:space="0" w:color="auto"/>
              <w:left w:val="single" w:sz="4" w:space="0" w:color="auto"/>
              <w:bottom w:val="single" w:sz="4" w:space="0" w:color="auto"/>
              <w:right w:val="single" w:sz="4" w:space="0" w:color="auto"/>
            </w:tcBorders>
          </w:tcPr>
          <w:p w:rsidR="006224C2" w:rsidRPr="00295E71" w14:paraId="0CF84BD3" w14:textId="77777777">
            <w:pPr>
              <w:keepNext/>
              <w:rPr>
                <w:sz w:val="22"/>
                <w:szCs w:val="22"/>
              </w:rPr>
            </w:pPr>
            <w:r w:rsidRPr="00295E71">
              <w:rPr>
                <w:sz w:val="22"/>
                <w:szCs w:val="22"/>
              </w:rPr>
              <w:t>BASDAI</w:t>
            </w:r>
            <w:r w:rsidRPr="00295E71">
              <w:rPr>
                <w:sz w:val="22"/>
                <w:szCs w:val="22"/>
                <w:vertAlign w:val="superscript"/>
              </w:rPr>
              <w:t>b</w:t>
            </w:r>
            <w:r w:rsidRPr="00295E71">
              <w:rPr>
                <w:sz w:val="22"/>
                <w:szCs w:val="22"/>
              </w:rPr>
              <w:t xml:space="preserve"> 50</w:t>
            </w:r>
          </w:p>
        </w:tc>
        <w:tc>
          <w:tcPr>
            <w:tcW w:w="1980" w:type="dxa"/>
            <w:tcBorders>
              <w:top w:val="single" w:sz="4" w:space="0" w:color="auto"/>
              <w:left w:val="single" w:sz="4" w:space="0" w:color="auto"/>
              <w:bottom w:val="single" w:sz="4" w:space="0" w:color="auto"/>
              <w:right w:val="single" w:sz="4" w:space="0" w:color="auto"/>
            </w:tcBorders>
          </w:tcPr>
          <w:p w:rsidR="006224C2" w:rsidRPr="00295E71" w14:paraId="2C81A7C2" w14:textId="77777777">
            <w:pPr>
              <w:keepNext/>
              <w:jc w:val="center"/>
              <w:rPr>
                <w:sz w:val="22"/>
                <w:szCs w:val="22"/>
              </w:rPr>
            </w:pPr>
            <w:r w:rsidRPr="00295E71">
              <w:rPr>
                <w:sz w:val="22"/>
                <w:szCs w:val="22"/>
              </w:rPr>
              <w:t>15%</w:t>
            </w:r>
          </w:p>
        </w:tc>
        <w:tc>
          <w:tcPr>
            <w:tcW w:w="1840" w:type="dxa"/>
            <w:tcBorders>
              <w:top w:val="single" w:sz="4" w:space="0" w:color="auto"/>
              <w:left w:val="single" w:sz="4" w:space="0" w:color="auto"/>
              <w:bottom w:val="single" w:sz="4" w:space="0" w:color="auto"/>
              <w:right w:val="single" w:sz="4" w:space="0" w:color="auto"/>
            </w:tcBorders>
          </w:tcPr>
          <w:p w:rsidR="006224C2" w:rsidRPr="00295E71" w14:paraId="050D899C" w14:textId="77777777">
            <w:pPr>
              <w:keepNext/>
              <w:jc w:val="center"/>
              <w:rPr>
                <w:sz w:val="22"/>
                <w:szCs w:val="22"/>
              </w:rPr>
            </w:pPr>
            <w:r w:rsidRPr="00295E71">
              <w:rPr>
                <w:sz w:val="22"/>
                <w:szCs w:val="22"/>
              </w:rPr>
              <w:t>35%**</w:t>
            </w:r>
          </w:p>
        </w:tc>
      </w:tr>
      <w:tr w14:paraId="0B9466C5" w14:textId="77777777">
        <w:tblPrEx>
          <w:tblW w:w="7150" w:type="dxa"/>
          <w:tblInd w:w="1060" w:type="dxa"/>
          <w:tblLook w:val="0000"/>
        </w:tblPrEx>
        <w:tc>
          <w:tcPr>
            <w:tcW w:w="3330" w:type="dxa"/>
            <w:tcBorders>
              <w:top w:val="single" w:sz="4" w:space="0" w:color="auto"/>
              <w:left w:val="single" w:sz="4" w:space="0" w:color="auto"/>
              <w:bottom w:val="single" w:sz="4" w:space="0" w:color="auto"/>
              <w:right w:val="single" w:sz="4" w:space="0" w:color="auto"/>
            </w:tcBorders>
          </w:tcPr>
          <w:p w:rsidR="006224C2" w:rsidRPr="00295E71" w14:paraId="7C50767A" w14:textId="77777777">
            <w:pPr>
              <w:keepNext/>
              <w:rPr>
                <w:sz w:val="22"/>
                <w:szCs w:val="22"/>
              </w:rPr>
            </w:pPr>
            <w:r w:rsidRPr="00295E71">
              <w:rPr>
                <w:sz w:val="22"/>
                <w:szCs w:val="22"/>
              </w:rPr>
              <w:t>ASDAS</w:t>
            </w:r>
            <w:r w:rsidRPr="00295E71">
              <w:rPr>
                <w:sz w:val="22"/>
                <w:szCs w:val="22"/>
                <w:vertAlign w:val="superscript"/>
              </w:rPr>
              <w:t>c,d,e</w:t>
            </w:r>
          </w:p>
        </w:tc>
        <w:tc>
          <w:tcPr>
            <w:tcW w:w="1980" w:type="dxa"/>
            <w:tcBorders>
              <w:top w:val="single" w:sz="4" w:space="0" w:color="auto"/>
              <w:left w:val="single" w:sz="4" w:space="0" w:color="auto"/>
              <w:bottom w:val="single" w:sz="4" w:space="0" w:color="auto"/>
              <w:right w:val="single" w:sz="4" w:space="0" w:color="auto"/>
            </w:tcBorders>
          </w:tcPr>
          <w:p w:rsidR="006224C2" w:rsidRPr="00295E71" w14:paraId="35DE233A" w14:textId="77777777">
            <w:pPr>
              <w:keepNext/>
              <w:jc w:val="center"/>
              <w:rPr>
                <w:sz w:val="22"/>
                <w:szCs w:val="22"/>
              </w:rPr>
            </w:pPr>
            <w:r w:rsidRPr="00295E71">
              <w:rPr>
                <w:sz w:val="22"/>
                <w:szCs w:val="22"/>
              </w:rPr>
              <w:t>-0,3</w:t>
            </w:r>
          </w:p>
        </w:tc>
        <w:tc>
          <w:tcPr>
            <w:tcW w:w="1840" w:type="dxa"/>
            <w:tcBorders>
              <w:top w:val="single" w:sz="4" w:space="0" w:color="auto"/>
              <w:left w:val="single" w:sz="4" w:space="0" w:color="auto"/>
              <w:bottom w:val="single" w:sz="4" w:space="0" w:color="auto"/>
              <w:right w:val="single" w:sz="4" w:space="0" w:color="auto"/>
            </w:tcBorders>
          </w:tcPr>
          <w:p w:rsidR="006224C2" w:rsidRPr="00295E71" w14:paraId="25FA3A1E" w14:textId="77777777">
            <w:pPr>
              <w:keepNext/>
              <w:jc w:val="center"/>
              <w:rPr>
                <w:sz w:val="22"/>
                <w:szCs w:val="22"/>
              </w:rPr>
            </w:pPr>
            <w:r w:rsidRPr="00295E71">
              <w:rPr>
                <w:sz w:val="22"/>
                <w:szCs w:val="22"/>
              </w:rPr>
              <w:t>-1,0***</w:t>
            </w:r>
          </w:p>
        </w:tc>
      </w:tr>
      <w:tr w14:paraId="5A44E784" w14:textId="77777777">
        <w:tblPrEx>
          <w:tblW w:w="7150" w:type="dxa"/>
          <w:tblInd w:w="1060" w:type="dxa"/>
          <w:tblLook w:val="0000"/>
        </w:tblPrEx>
        <w:tc>
          <w:tcPr>
            <w:tcW w:w="3330" w:type="dxa"/>
            <w:tcBorders>
              <w:top w:val="single" w:sz="4" w:space="0" w:color="auto"/>
              <w:left w:val="single" w:sz="4" w:space="0" w:color="auto"/>
              <w:bottom w:val="single" w:sz="4" w:space="0" w:color="auto"/>
              <w:right w:val="single" w:sz="4" w:space="0" w:color="auto"/>
            </w:tcBorders>
          </w:tcPr>
          <w:p w:rsidR="006224C2" w:rsidRPr="00295E71" w14:paraId="57374D2F" w14:textId="77777777">
            <w:pPr>
              <w:keepNext/>
              <w:rPr>
                <w:sz w:val="22"/>
                <w:szCs w:val="22"/>
              </w:rPr>
            </w:pPr>
            <w:r w:rsidRPr="00295E71">
              <w:rPr>
                <w:sz w:val="22"/>
                <w:szCs w:val="22"/>
              </w:rPr>
              <w:t>ASDAS malattia inattiva</w:t>
            </w:r>
          </w:p>
        </w:tc>
        <w:tc>
          <w:tcPr>
            <w:tcW w:w="1980" w:type="dxa"/>
            <w:tcBorders>
              <w:top w:val="single" w:sz="4" w:space="0" w:color="auto"/>
              <w:left w:val="single" w:sz="4" w:space="0" w:color="auto"/>
              <w:bottom w:val="single" w:sz="4" w:space="0" w:color="auto"/>
              <w:right w:val="single" w:sz="4" w:space="0" w:color="auto"/>
            </w:tcBorders>
          </w:tcPr>
          <w:p w:rsidR="006224C2" w:rsidRPr="00295E71" w14:paraId="7F98F80F" w14:textId="77777777">
            <w:pPr>
              <w:keepNext/>
              <w:jc w:val="center"/>
              <w:rPr>
                <w:sz w:val="22"/>
                <w:szCs w:val="22"/>
              </w:rPr>
            </w:pPr>
            <w:r w:rsidRPr="00295E71">
              <w:rPr>
                <w:sz w:val="22"/>
                <w:szCs w:val="22"/>
              </w:rPr>
              <w:t>4%</w:t>
            </w:r>
          </w:p>
        </w:tc>
        <w:tc>
          <w:tcPr>
            <w:tcW w:w="1840" w:type="dxa"/>
            <w:tcBorders>
              <w:top w:val="single" w:sz="4" w:space="0" w:color="auto"/>
              <w:left w:val="single" w:sz="4" w:space="0" w:color="auto"/>
              <w:bottom w:val="single" w:sz="4" w:space="0" w:color="auto"/>
              <w:right w:val="single" w:sz="4" w:space="0" w:color="auto"/>
            </w:tcBorders>
          </w:tcPr>
          <w:p w:rsidR="006224C2" w:rsidRPr="00295E71" w14:paraId="2A715E8C" w14:textId="77777777">
            <w:pPr>
              <w:keepNext/>
              <w:jc w:val="center"/>
              <w:rPr>
                <w:sz w:val="22"/>
                <w:szCs w:val="22"/>
              </w:rPr>
            </w:pPr>
            <w:r w:rsidRPr="00295E71">
              <w:rPr>
                <w:sz w:val="22"/>
                <w:szCs w:val="22"/>
              </w:rPr>
              <w:t>24%***</w:t>
            </w:r>
          </w:p>
        </w:tc>
      </w:tr>
      <w:tr w14:paraId="6A8BA15F" w14:textId="77777777">
        <w:tblPrEx>
          <w:tblW w:w="7150" w:type="dxa"/>
          <w:tblInd w:w="1060" w:type="dxa"/>
          <w:tblLook w:val="0000"/>
        </w:tblPrEx>
        <w:tc>
          <w:tcPr>
            <w:tcW w:w="3330" w:type="dxa"/>
            <w:tcBorders>
              <w:top w:val="single" w:sz="4" w:space="0" w:color="auto"/>
              <w:left w:val="single" w:sz="4" w:space="0" w:color="auto"/>
              <w:bottom w:val="single" w:sz="4" w:space="0" w:color="auto"/>
              <w:right w:val="single" w:sz="4" w:space="0" w:color="auto"/>
            </w:tcBorders>
          </w:tcPr>
          <w:p w:rsidR="006224C2" w:rsidRPr="00295E71" w:rsidP="008858DF" w14:paraId="207297CF" w14:textId="77777777">
            <w:pPr>
              <w:keepNext/>
              <w:rPr>
                <w:sz w:val="22"/>
                <w:szCs w:val="22"/>
              </w:rPr>
            </w:pPr>
            <w:r w:rsidRPr="00295E71">
              <w:rPr>
                <w:sz w:val="22"/>
                <w:szCs w:val="22"/>
              </w:rPr>
              <w:t>hs-</w:t>
            </w:r>
            <w:r w:rsidR="008858DF">
              <w:rPr>
                <w:sz w:val="22"/>
                <w:szCs w:val="22"/>
              </w:rPr>
              <w:t>PCR</w:t>
            </w:r>
            <w:r w:rsidRPr="00295E71" w:rsidR="008858DF">
              <w:rPr>
                <w:sz w:val="22"/>
                <w:szCs w:val="22"/>
                <w:vertAlign w:val="superscript"/>
              </w:rPr>
              <w:t>d</w:t>
            </w:r>
            <w:r w:rsidRPr="00295E71">
              <w:rPr>
                <w:sz w:val="22"/>
                <w:szCs w:val="22"/>
                <w:vertAlign w:val="superscript"/>
              </w:rPr>
              <w:t>,f,g</w:t>
            </w:r>
          </w:p>
        </w:tc>
        <w:tc>
          <w:tcPr>
            <w:tcW w:w="1980" w:type="dxa"/>
            <w:tcBorders>
              <w:top w:val="single" w:sz="4" w:space="0" w:color="auto"/>
              <w:left w:val="single" w:sz="4" w:space="0" w:color="auto"/>
              <w:bottom w:val="single" w:sz="4" w:space="0" w:color="auto"/>
              <w:right w:val="single" w:sz="4" w:space="0" w:color="auto"/>
            </w:tcBorders>
          </w:tcPr>
          <w:p w:rsidR="006224C2" w:rsidRPr="00295E71" w14:paraId="6736A668" w14:textId="77777777">
            <w:pPr>
              <w:keepNext/>
              <w:jc w:val="center"/>
              <w:rPr>
                <w:sz w:val="22"/>
                <w:szCs w:val="22"/>
              </w:rPr>
            </w:pPr>
            <w:r w:rsidRPr="00295E71">
              <w:rPr>
                <w:sz w:val="22"/>
                <w:szCs w:val="22"/>
              </w:rPr>
              <w:t>-0,3</w:t>
            </w:r>
          </w:p>
        </w:tc>
        <w:tc>
          <w:tcPr>
            <w:tcW w:w="1840" w:type="dxa"/>
            <w:tcBorders>
              <w:top w:val="single" w:sz="4" w:space="0" w:color="auto"/>
              <w:left w:val="single" w:sz="4" w:space="0" w:color="auto"/>
              <w:bottom w:val="single" w:sz="4" w:space="0" w:color="auto"/>
              <w:right w:val="single" w:sz="4" w:space="0" w:color="auto"/>
            </w:tcBorders>
          </w:tcPr>
          <w:p w:rsidR="006224C2" w:rsidRPr="00295E71" w14:paraId="369AC530" w14:textId="77777777">
            <w:pPr>
              <w:keepNext/>
              <w:jc w:val="center"/>
              <w:rPr>
                <w:sz w:val="22"/>
                <w:szCs w:val="22"/>
              </w:rPr>
            </w:pPr>
            <w:r w:rsidRPr="00295E71">
              <w:rPr>
                <w:sz w:val="22"/>
                <w:szCs w:val="22"/>
              </w:rPr>
              <w:t>-4,7***</w:t>
            </w:r>
          </w:p>
        </w:tc>
      </w:tr>
      <w:tr w14:paraId="5F48AAC1" w14:textId="77777777">
        <w:tblPrEx>
          <w:tblW w:w="7150" w:type="dxa"/>
          <w:tblInd w:w="1060" w:type="dxa"/>
          <w:tblLook w:val="0000"/>
        </w:tblPrEx>
        <w:tc>
          <w:tcPr>
            <w:tcW w:w="3330" w:type="dxa"/>
            <w:tcBorders>
              <w:top w:val="single" w:sz="4" w:space="0" w:color="auto"/>
              <w:left w:val="single" w:sz="4" w:space="0" w:color="auto"/>
              <w:bottom w:val="single" w:sz="4" w:space="0" w:color="auto"/>
              <w:right w:val="single" w:sz="4" w:space="0" w:color="auto"/>
            </w:tcBorders>
          </w:tcPr>
          <w:p w:rsidR="006224C2" w:rsidRPr="00295E71" w14:paraId="09BA98AD" w14:textId="77777777">
            <w:pPr>
              <w:keepNext/>
              <w:rPr>
                <w:sz w:val="22"/>
                <w:szCs w:val="22"/>
              </w:rPr>
            </w:pPr>
            <w:r w:rsidRPr="00295E71">
              <w:rPr>
                <w:sz w:val="22"/>
                <w:szCs w:val="22"/>
              </w:rPr>
              <w:t>SPARCC</w:t>
            </w:r>
            <w:r w:rsidRPr="00295E71">
              <w:rPr>
                <w:sz w:val="22"/>
                <w:szCs w:val="22"/>
                <w:vertAlign w:val="superscript"/>
              </w:rPr>
              <w:t>h</w:t>
            </w:r>
            <w:r w:rsidRPr="00295E71">
              <w:rPr>
                <w:sz w:val="22"/>
                <w:szCs w:val="22"/>
              </w:rPr>
              <w:t xml:space="preserve"> MRI </w:t>
            </w:r>
            <w:r w:rsidRPr="00295E71" w:rsidR="00A82609">
              <w:rPr>
                <w:sz w:val="22"/>
                <w:szCs w:val="22"/>
              </w:rPr>
              <w:t xml:space="preserve">articolazioni sacroiliache </w:t>
            </w:r>
            <w:r w:rsidRPr="00295E71" w:rsidR="00A82609">
              <w:rPr>
                <w:sz w:val="22"/>
                <w:szCs w:val="22"/>
                <w:vertAlign w:val="superscript"/>
              </w:rPr>
              <w:t>d,i</w:t>
            </w:r>
          </w:p>
        </w:tc>
        <w:tc>
          <w:tcPr>
            <w:tcW w:w="1980" w:type="dxa"/>
            <w:tcBorders>
              <w:top w:val="single" w:sz="4" w:space="0" w:color="auto"/>
              <w:left w:val="single" w:sz="4" w:space="0" w:color="auto"/>
              <w:bottom w:val="single" w:sz="4" w:space="0" w:color="auto"/>
              <w:right w:val="single" w:sz="4" w:space="0" w:color="auto"/>
            </w:tcBorders>
          </w:tcPr>
          <w:p w:rsidR="006224C2" w:rsidRPr="00295E71" w14:paraId="567FCC2F" w14:textId="77777777">
            <w:pPr>
              <w:keepNext/>
              <w:jc w:val="center"/>
              <w:rPr>
                <w:sz w:val="22"/>
                <w:szCs w:val="22"/>
              </w:rPr>
            </w:pPr>
            <w:r w:rsidRPr="00295E71">
              <w:rPr>
                <w:sz w:val="22"/>
                <w:szCs w:val="22"/>
              </w:rPr>
              <w:t>-0,6</w:t>
            </w:r>
          </w:p>
        </w:tc>
        <w:tc>
          <w:tcPr>
            <w:tcW w:w="1840" w:type="dxa"/>
            <w:tcBorders>
              <w:top w:val="single" w:sz="4" w:space="0" w:color="auto"/>
              <w:left w:val="single" w:sz="4" w:space="0" w:color="auto"/>
              <w:bottom w:val="single" w:sz="4" w:space="0" w:color="auto"/>
              <w:right w:val="single" w:sz="4" w:space="0" w:color="auto"/>
            </w:tcBorders>
          </w:tcPr>
          <w:p w:rsidR="006224C2" w:rsidRPr="00295E71" w14:paraId="7FC90EC5" w14:textId="77777777">
            <w:pPr>
              <w:keepNext/>
              <w:jc w:val="center"/>
              <w:rPr>
                <w:sz w:val="22"/>
                <w:szCs w:val="22"/>
              </w:rPr>
            </w:pPr>
            <w:r w:rsidRPr="00295E71">
              <w:rPr>
                <w:sz w:val="22"/>
                <w:szCs w:val="22"/>
              </w:rPr>
              <w:t>-3,2**</w:t>
            </w:r>
          </w:p>
        </w:tc>
      </w:tr>
      <w:tr w14:paraId="255C6689" w14:textId="77777777">
        <w:tblPrEx>
          <w:tblW w:w="7150" w:type="dxa"/>
          <w:tblInd w:w="1060" w:type="dxa"/>
          <w:tblLook w:val="0000"/>
        </w:tblPrEx>
        <w:tc>
          <w:tcPr>
            <w:tcW w:w="3330" w:type="dxa"/>
            <w:tcBorders>
              <w:top w:val="single" w:sz="4" w:space="0" w:color="auto"/>
              <w:left w:val="single" w:sz="4" w:space="0" w:color="auto"/>
              <w:bottom w:val="single" w:sz="4" w:space="0" w:color="auto"/>
              <w:right w:val="single" w:sz="4" w:space="0" w:color="auto"/>
            </w:tcBorders>
          </w:tcPr>
          <w:p w:rsidR="006224C2" w:rsidRPr="00295E71" w14:paraId="01CB8C74" w14:textId="77777777">
            <w:pPr>
              <w:keepNext/>
              <w:rPr>
                <w:sz w:val="22"/>
                <w:szCs w:val="22"/>
              </w:rPr>
            </w:pPr>
            <w:r w:rsidRPr="00295E71">
              <w:rPr>
                <w:sz w:val="22"/>
                <w:szCs w:val="22"/>
              </w:rPr>
              <w:t xml:space="preserve">SPARCC MRI </w:t>
            </w:r>
            <w:r w:rsidR="00A40A02">
              <w:rPr>
                <w:sz w:val="22"/>
                <w:szCs w:val="22"/>
              </w:rPr>
              <w:t>c</w:t>
            </w:r>
            <w:r w:rsidRPr="00295E71">
              <w:rPr>
                <w:sz w:val="22"/>
                <w:szCs w:val="22"/>
              </w:rPr>
              <w:t>olonna vertebrale</w:t>
            </w:r>
            <w:r w:rsidRPr="00295E71">
              <w:rPr>
                <w:sz w:val="22"/>
                <w:szCs w:val="22"/>
                <w:vertAlign w:val="superscript"/>
              </w:rPr>
              <w:t>d,j</w:t>
            </w:r>
          </w:p>
        </w:tc>
        <w:tc>
          <w:tcPr>
            <w:tcW w:w="1980" w:type="dxa"/>
            <w:tcBorders>
              <w:top w:val="single" w:sz="4" w:space="0" w:color="auto"/>
              <w:left w:val="single" w:sz="4" w:space="0" w:color="auto"/>
              <w:bottom w:val="single" w:sz="4" w:space="0" w:color="auto"/>
              <w:right w:val="single" w:sz="4" w:space="0" w:color="auto"/>
            </w:tcBorders>
          </w:tcPr>
          <w:p w:rsidR="006224C2" w:rsidRPr="00295E71" w14:paraId="78D7E58D" w14:textId="77777777">
            <w:pPr>
              <w:keepNext/>
              <w:jc w:val="center"/>
              <w:rPr>
                <w:sz w:val="22"/>
                <w:szCs w:val="22"/>
              </w:rPr>
            </w:pPr>
            <w:r w:rsidRPr="00295E71">
              <w:rPr>
                <w:sz w:val="22"/>
                <w:szCs w:val="22"/>
              </w:rPr>
              <w:t>-0,2</w:t>
            </w:r>
          </w:p>
        </w:tc>
        <w:tc>
          <w:tcPr>
            <w:tcW w:w="1840" w:type="dxa"/>
            <w:tcBorders>
              <w:top w:val="single" w:sz="4" w:space="0" w:color="auto"/>
              <w:left w:val="single" w:sz="4" w:space="0" w:color="auto"/>
              <w:bottom w:val="single" w:sz="4" w:space="0" w:color="auto"/>
              <w:right w:val="single" w:sz="4" w:space="0" w:color="auto"/>
            </w:tcBorders>
          </w:tcPr>
          <w:p w:rsidR="006224C2" w:rsidRPr="00295E71" w14:paraId="0D8E40E6" w14:textId="77777777">
            <w:pPr>
              <w:keepNext/>
              <w:jc w:val="center"/>
              <w:rPr>
                <w:sz w:val="22"/>
                <w:szCs w:val="22"/>
              </w:rPr>
            </w:pPr>
            <w:r w:rsidRPr="00295E71">
              <w:rPr>
                <w:sz w:val="22"/>
                <w:szCs w:val="22"/>
              </w:rPr>
              <w:t>-1,8**</w:t>
            </w:r>
          </w:p>
        </w:tc>
      </w:tr>
      <w:tr w14:paraId="2AEA6DD1" w14:textId="77777777">
        <w:tblPrEx>
          <w:tblW w:w="7150" w:type="dxa"/>
          <w:tblInd w:w="1060" w:type="dxa"/>
          <w:tblLook w:val="0000"/>
        </w:tblPrEx>
        <w:trPr>
          <w:trHeight w:val="511"/>
        </w:trPr>
        <w:tc>
          <w:tcPr>
            <w:tcW w:w="7150" w:type="dxa"/>
            <w:gridSpan w:val="3"/>
            <w:tcBorders>
              <w:top w:val="single" w:sz="4" w:space="0" w:color="auto"/>
              <w:left w:val="nil"/>
              <w:bottom w:val="nil"/>
              <w:right w:val="nil"/>
            </w:tcBorders>
          </w:tcPr>
          <w:p w:rsidR="006224C2" w:rsidRPr="00BF509C" w:rsidP="00357925" w14:paraId="64D66B56" w14:textId="77777777">
            <w:pPr>
              <w:keepNext/>
              <w:autoSpaceDE w:val="0"/>
              <w:autoSpaceDN w:val="0"/>
              <w:adjustRightInd w:val="0"/>
              <w:outlineLvl w:val="4"/>
              <w:rPr>
                <w:bCs/>
                <w:sz w:val="22"/>
                <w:szCs w:val="22"/>
                <w:lang w:val="en-US"/>
              </w:rPr>
            </w:pPr>
            <w:r w:rsidRPr="00357925">
              <w:rPr>
                <w:color w:val="000000"/>
                <w:sz w:val="22"/>
                <w:szCs w:val="22"/>
                <w:vertAlign w:val="superscript"/>
                <w:lang w:val="en-US"/>
              </w:rPr>
              <w:t>a</w:t>
            </w:r>
            <w:r w:rsidRPr="00357925">
              <w:rPr>
                <w:sz w:val="22"/>
                <w:szCs w:val="22"/>
                <w:lang w:val="en-US"/>
              </w:rPr>
              <w:t>Assessment</w:t>
            </w:r>
            <w:r w:rsidRPr="00357925">
              <w:rPr>
                <w:sz w:val="22"/>
                <w:szCs w:val="22"/>
                <w:lang w:val="en-US"/>
              </w:rPr>
              <w:t xml:space="preserve"> of </w:t>
            </w:r>
            <w:r w:rsidRPr="00357925">
              <w:rPr>
                <w:sz w:val="22"/>
                <w:szCs w:val="22"/>
                <w:lang w:val="en-US"/>
              </w:rPr>
              <w:t>Spondyloarthritis</w:t>
            </w:r>
            <w:r w:rsidRPr="00357925">
              <w:rPr>
                <w:sz w:val="22"/>
                <w:szCs w:val="22"/>
                <w:lang w:val="en-US"/>
              </w:rPr>
              <w:t xml:space="preserve"> </w:t>
            </w:r>
            <w:r w:rsidR="009A4609">
              <w:rPr>
                <w:sz w:val="22"/>
                <w:szCs w:val="22"/>
                <w:lang w:val="en-US"/>
              </w:rPr>
              <w:t>i</w:t>
            </w:r>
            <w:r w:rsidRPr="00357925">
              <w:rPr>
                <w:sz w:val="22"/>
                <w:szCs w:val="22"/>
                <w:lang w:val="en-US"/>
              </w:rPr>
              <w:t>nternational Society</w:t>
            </w:r>
          </w:p>
          <w:p w:rsidR="006224C2" w:rsidRPr="00BF509C" w14:paraId="10E0ACB8" w14:textId="77777777">
            <w:pPr>
              <w:keepNext/>
              <w:autoSpaceDE w:val="0"/>
              <w:autoSpaceDN w:val="0"/>
              <w:adjustRightInd w:val="0"/>
              <w:outlineLvl w:val="4"/>
              <w:rPr>
                <w:bCs/>
                <w:sz w:val="22"/>
                <w:szCs w:val="22"/>
                <w:lang w:val="en-US"/>
              </w:rPr>
            </w:pPr>
            <w:r w:rsidRPr="00357925">
              <w:rPr>
                <w:color w:val="000000"/>
                <w:sz w:val="22"/>
                <w:szCs w:val="22"/>
                <w:vertAlign w:val="superscript"/>
                <w:lang w:val="en-US"/>
              </w:rPr>
              <w:t>b</w:t>
            </w:r>
            <w:r w:rsidRPr="00357925">
              <w:rPr>
                <w:sz w:val="22"/>
                <w:szCs w:val="22"/>
                <w:lang w:val="en-US"/>
              </w:rPr>
              <w:t>Bath</w:t>
            </w:r>
            <w:r w:rsidRPr="00357925">
              <w:rPr>
                <w:sz w:val="22"/>
                <w:szCs w:val="22"/>
                <w:lang w:val="en-US"/>
              </w:rPr>
              <w:t xml:space="preserve"> Ankylosing Spondylitis Disease Activity Index</w:t>
            </w:r>
          </w:p>
          <w:p w:rsidR="006224C2" w:rsidRPr="00BF509C" w14:paraId="164EC698" w14:textId="77777777">
            <w:pPr>
              <w:keepNext/>
              <w:autoSpaceDE w:val="0"/>
              <w:autoSpaceDN w:val="0"/>
              <w:adjustRightInd w:val="0"/>
              <w:outlineLvl w:val="4"/>
              <w:rPr>
                <w:bCs/>
                <w:sz w:val="22"/>
                <w:szCs w:val="22"/>
                <w:lang w:val="en-US"/>
              </w:rPr>
            </w:pPr>
            <w:r w:rsidRPr="00357925">
              <w:rPr>
                <w:sz w:val="22"/>
                <w:szCs w:val="22"/>
                <w:vertAlign w:val="superscript"/>
                <w:lang w:val="en-US"/>
              </w:rPr>
              <w:t>c</w:t>
            </w:r>
            <w:r w:rsidRPr="00357925">
              <w:rPr>
                <w:sz w:val="22"/>
                <w:szCs w:val="22"/>
                <w:lang w:val="en-US"/>
              </w:rPr>
              <w:t xml:space="preserve"> Ankylosing Spondylitis Disease Activity Score</w:t>
            </w:r>
          </w:p>
          <w:p w:rsidR="006224C2" w:rsidRPr="00295E71" w14:paraId="67256E16" w14:textId="77777777">
            <w:pPr>
              <w:keepNext/>
              <w:autoSpaceDE w:val="0"/>
              <w:autoSpaceDN w:val="0"/>
              <w:adjustRightInd w:val="0"/>
              <w:rPr>
                <w:sz w:val="22"/>
                <w:szCs w:val="22"/>
              </w:rPr>
            </w:pPr>
            <w:r w:rsidRPr="00295E71">
              <w:rPr>
                <w:sz w:val="22"/>
                <w:szCs w:val="22"/>
                <w:vertAlign w:val="superscript"/>
              </w:rPr>
              <w:t xml:space="preserve">d </w:t>
            </w:r>
            <w:r w:rsidRPr="00295E71">
              <w:rPr>
                <w:sz w:val="22"/>
                <w:szCs w:val="22"/>
              </w:rPr>
              <w:t>deviazione media dal valore basale</w:t>
            </w:r>
          </w:p>
          <w:p w:rsidR="006224C2" w:rsidRPr="00295E71" w14:paraId="21FD3D07" w14:textId="77777777">
            <w:pPr>
              <w:keepNext/>
              <w:autoSpaceDE w:val="0"/>
              <w:autoSpaceDN w:val="0"/>
              <w:adjustRightInd w:val="0"/>
              <w:rPr>
                <w:sz w:val="22"/>
                <w:szCs w:val="22"/>
              </w:rPr>
            </w:pPr>
            <w:r w:rsidRPr="00295E71">
              <w:rPr>
                <w:sz w:val="22"/>
                <w:szCs w:val="22"/>
                <w:vertAlign w:val="superscript"/>
              </w:rPr>
              <w:t>e</w:t>
            </w:r>
            <w:r w:rsidRPr="00295E71">
              <w:rPr>
                <w:sz w:val="22"/>
                <w:szCs w:val="22"/>
              </w:rPr>
              <w:t xml:space="preserve"> n=91 con placebo e n=87 con Humira</w:t>
            </w:r>
          </w:p>
          <w:p w:rsidR="006224C2" w:rsidRPr="00BF509C" w:rsidP="00357925" w14:paraId="0B1AF2C3" w14:textId="77777777">
            <w:pPr>
              <w:keepNext/>
              <w:autoSpaceDE w:val="0"/>
              <w:autoSpaceDN w:val="0"/>
              <w:adjustRightInd w:val="0"/>
              <w:outlineLvl w:val="4"/>
              <w:rPr>
                <w:bCs/>
                <w:sz w:val="22"/>
                <w:szCs w:val="22"/>
                <w:lang w:val="en-US"/>
              </w:rPr>
            </w:pPr>
            <w:r w:rsidRPr="00357925">
              <w:rPr>
                <w:sz w:val="22"/>
                <w:szCs w:val="22"/>
                <w:vertAlign w:val="superscript"/>
                <w:lang w:val="en-US"/>
              </w:rPr>
              <w:t>f</w:t>
            </w:r>
            <w:r w:rsidRPr="00357925">
              <w:rPr>
                <w:sz w:val="22"/>
                <w:szCs w:val="22"/>
                <w:lang w:val="en-US"/>
              </w:rPr>
              <w:t xml:space="preserve"> high sensitivity C-Reactive Protein (mg/L)</w:t>
            </w:r>
          </w:p>
          <w:p w:rsidR="006224C2" w:rsidRPr="00F01EAB" w14:paraId="23DFE5AE" w14:textId="77777777">
            <w:pPr>
              <w:keepNext/>
              <w:autoSpaceDE w:val="0"/>
              <w:autoSpaceDN w:val="0"/>
              <w:adjustRightInd w:val="0"/>
              <w:rPr>
                <w:sz w:val="22"/>
                <w:szCs w:val="22"/>
              </w:rPr>
            </w:pPr>
            <w:r w:rsidRPr="00F01EAB">
              <w:rPr>
                <w:sz w:val="22"/>
                <w:szCs w:val="22"/>
                <w:vertAlign w:val="superscript"/>
              </w:rPr>
              <w:t>g</w:t>
            </w:r>
            <w:r w:rsidRPr="00F01EAB">
              <w:rPr>
                <w:sz w:val="22"/>
                <w:szCs w:val="22"/>
              </w:rPr>
              <w:t xml:space="preserve"> n=73 con placebo e n=7 con Humira</w:t>
            </w:r>
          </w:p>
          <w:p w:rsidR="006224C2" w:rsidRPr="00C04163" w14:paraId="5F7AF896" w14:textId="77777777">
            <w:pPr>
              <w:keepNext/>
              <w:autoSpaceDE w:val="0"/>
              <w:autoSpaceDN w:val="0"/>
              <w:adjustRightInd w:val="0"/>
              <w:outlineLvl w:val="4"/>
              <w:rPr>
                <w:bCs/>
                <w:sz w:val="22"/>
                <w:szCs w:val="22"/>
                <w:lang w:val="pt-PT"/>
              </w:rPr>
            </w:pPr>
            <w:r w:rsidRPr="00C04163">
              <w:rPr>
                <w:sz w:val="22"/>
                <w:szCs w:val="22"/>
                <w:vertAlign w:val="superscript"/>
                <w:lang w:val="pt-PT"/>
              </w:rPr>
              <w:t>h</w:t>
            </w:r>
            <w:r w:rsidRPr="00C04163">
              <w:rPr>
                <w:sz w:val="22"/>
                <w:szCs w:val="22"/>
                <w:lang w:val="pt-PT"/>
              </w:rPr>
              <w:t xml:space="preserve"> Spondyloarthritis Research Consortium of Canada</w:t>
            </w:r>
          </w:p>
          <w:p w:rsidR="006224C2" w:rsidRPr="00295E71" w14:paraId="0B9F6B10" w14:textId="77777777">
            <w:pPr>
              <w:keepNext/>
              <w:autoSpaceDE w:val="0"/>
              <w:autoSpaceDN w:val="0"/>
              <w:adjustRightInd w:val="0"/>
              <w:rPr>
                <w:sz w:val="22"/>
                <w:szCs w:val="22"/>
              </w:rPr>
            </w:pPr>
            <w:r w:rsidRPr="00295E71">
              <w:rPr>
                <w:sz w:val="22"/>
                <w:szCs w:val="22"/>
                <w:vertAlign w:val="superscript"/>
              </w:rPr>
              <w:t>i</w:t>
            </w:r>
            <w:r w:rsidRPr="00295E71">
              <w:rPr>
                <w:sz w:val="22"/>
                <w:szCs w:val="22"/>
              </w:rPr>
              <w:t xml:space="preserve"> n=84 con placebo e Humira</w:t>
            </w:r>
          </w:p>
          <w:p w:rsidR="006224C2" w:rsidRPr="00295E71" w14:paraId="7DDAECBF" w14:textId="77777777">
            <w:pPr>
              <w:keepNext/>
              <w:autoSpaceDE w:val="0"/>
              <w:autoSpaceDN w:val="0"/>
              <w:adjustRightInd w:val="0"/>
              <w:rPr>
                <w:sz w:val="22"/>
                <w:szCs w:val="22"/>
              </w:rPr>
            </w:pPr>
            <w:r w:rsidRPr="00295E71">
              <w:rPr>
                <w:sz w:val="22"/>
                <w:szCs w:val="22"/>
                <w:vertAlign w:val="superscript"/>
              </w:rPr>
              <w:t>j</w:t>
            </w:r>
            <w:r w:rsidRPr="00295E71">
              <w:rPr>
                <w:sz w:val="22"/>
                <w:szCs w:val="22"/>
              </w:rPr>
              <w:t xml:space="preserve"> n=84 con placebo e n=85 con Humira</w:t>
            </w:r>
          </w:p>
          <w:p w:rsidR="006224C2" w:rsidRPr="00295E71" w:rsidP="009A4609" w14:paraId="52B95478" w14:textId="77777777">
            <w:pPr>
              <w:keepNext/>
              <w:rPr>
                <w:sz w:val="22"/>
                <w:szCs w:val="22"/>
              </w:rPr>
            </w:pPr>
            <w:r w:rsidRPr="00295E71">
              <w:rPr>
                <w:sz w:val="22"/>
                <w:szCs w:val="22"/>
              </w:rPr>
              <w:t>***,**,* Statisticamente significativa a p&lt;0,001, &lt;0,01, e &lt;0,05, per tutti i valori messi a confronto tra Humira e placebo</w:t>
            </w:r>
          </w:p>
        </w:tc>
      </w:tr>
    </w:tbl>
    <w:p w:rsidR="006224C2" w:rsidRPr="00BF509C" w14:paraId="7E83A5D1" w14:textId="77777777">
      <w:pPr>
        <w:pStyle w:val="EMEATitle"/>
        <w:suppressAutoHyphens w:val="0"/>
        <w:jc w:val="left"/>
        <w:rPr>
          <w:rFonts w:ascii="Times New Roman" w:hAnsi="Times New Roman"/>
          <w:b w:val="0"/>
          <w:caps w:val="0"/>
          <w:lang w:val="it-IT" w:eastAsia="it-IT"/>
        </w:rPr>
      </w:pPr>
    </w:p>
    <w:p w:rsidR="006224C2" w:rsidRPr="00295E71" w14:paraId="1B7D3A4A" w14:textId="77777777">
      <w:pPr>
        <w:pStyle w:val="EMEATitle"/>
        <w:suppressAutoHyphens w:val="0"/>
        <w:jc w:val="both"/>
        <w:rPr>
          <w:rFonts w:ascii="Times New Roman" w:hAnsi="Times New Roman"/>
          <w:b w:val="0"/>
          <w:caps w:val="0"/>
          <w:lang w:val="it-IT" w:eastAsia="it-IT"/>
        </w:rPr>
      </w:pPr>
      <w:r w:rsidRPr="00295E71">
        <w:rPr>
          <w:rFonts w:ascii="Times New Roman" w:hAnsi="Times New Roman"/>
          <w:b w:val="0"/>
          <w:caps w:val="0"/>
          <w:lang w:val="it-IT" w:eastAsia="it-IT"/>
        </w:rPr>
        <w:t>Nell’estensione in aperto, il miglioramento dei segni e sintomi è stato mantenuto con la terapia con Humira fino alla settimana 156.</w:t>
      </w:r>
    </w:p>
    <w:p w:rsidR="006224C2" w:rsidRPr="00295E71" w14:paraId="2E31E9FF" w14:textId="77777777">
      <w:pPr>
        <w:pStyle w:val="EMEATitle"/>
        <w:suppressAutoHyphens w:val="0"/>
        <w:jc w:val="both"/>
        <w:rPr>
          <w:rFonts w:ascii="Times New Roman" w:hAnsi="Times New Roman"/>
          <w:b w:val="0"/>
          <w:caps w:val="0"/>
          <w:lang w:val="it-IT" w:eastAsia="it-IT"/>
        </w:rPr>
      </w:pPr>
    </w:p>
    <w:p w:rsidR="006224C2" w:rsidRPr="00295E71" w14:paraId="4BEAAF8E" w14:textId="77777777">
      <w:pPr>
        <w:pStyle w:val="EMEATitle"/>
        <w:suppressAutoHyphens w:val="0"/>
        <w:jc w:val="both"/>
        <w:rPr>
          <w:rFonts w:ascii="Times New Roman" w:hAnsi="Times New Roman"/>
          <w:b w:val="0"/>
          <w:caps w:val="0"/>
          <w:lang w:val="it-IT" w:eastAsia="it-IT"/>
        </w:rPr>
      </w:pPr>
      <w:r w:rsidRPr="00295E71">
        <w:rPr>
          <w:rFonts w:ascii="Times New Roman" w:hAnsi="Times New Roman"/>
          <w:b w:val="0"/>
          <w:caps w:val="0"/>
          <w:lang w:val="it-IT" w:eastAsia="it-IT"/>
        </w:rPr>
        <w:t>Inibizione dell’infiammazione</w:t>
      </w:r>
    </w:p>
    <w:p w:rsidR="006224C2" w:rsidRPr="00295E71" w14:paraId="055DC536" w14:textId="77777777">
      <w:pPr>
        <w:pStyle w:val="EMEATitle"/>
        <w:suppressAutoHyphens w:val="0"/>
        <w:jc w:val="both"/>
        <w:rPr>
          <w:rFonts w:ascii="Times New Roman" w:hAnsi="Times New Roman"/>
          <w:b w:val="0"/>
          <w:caps w:val="0"/>
          <w:lang w:val="it-IT" w:eastAsia="it-IT"/>
        </w:rPr>
      </w:pPr>
    </w:p>
    <w:p w:rsidR="006224C2" w:rsidRPr="00295E71" w14:paraId="79636E4C" w14:textId="77777777">
      <w:pPr>
        <w:pStyle w:val="EMEATitle"/>
        <w:suppressAutoHyphens w:val="0"/>
        <w:jc w:val="both"/>
        <w:rPr>
          <w:rFonts w:ascii="Times New Roman" w:hAnsi="Times New Roman"/>
          <w:b w:val="0"/>
          <w:caps w:val="0"/>
          <w:lang w:val="it-IT" w:eastAsia="it-IT"/>
        </w:rPr>
      </w:pPr>
      <w:r w:rsidRPr="00295E71">
        <w:rPr>
          <w:rFonts w:ascii="Times New Roman" w:hAnsi="Times New Roman"/>
          <w:b w:val="0"/>
          <w:caps w:val="0"/>
          <w:lang w:val="it-IT" w:eastAsia="it-IT"/>
        </w:rPr>
        <w:t>Un miglioramento significativo dei segni dell’infiammazione, come mostrato dai livelli di hs-</w:t>
      </w:r>
      <w:r w:rsidR="008858DF">
        <w:rPr>
          <w:rFonts w:ascii="Times New Roman" w:hAnsi="Times New Roman"/>
          <w:b w:val="0"/>
          <w:caps w:val="0"/>
          <w:lang w:val="it-IT" w:eastAsia="it-IT"/>
        </w:rPr>
        <w:t>PCR</w:t>
      </w:r>
      <w:r w:rsidRPr="00295E71" w:rsidR="008858DF">
        <w:rPr>
          <w:rFonts w:ascii="Times New Roman" w:hAnsi="Times New Roman"/>
          <w:b w:val="0"/>
          <w:caps w:val="0"/>
          <w:lang w:val="it-IT" w:eastAsia="it-IT"/>
        </w:rPr>
        <w:t xml:space="preserve"> </w:t>
      </w:r>
      <w:r w:rsidRPr="00295E71">
        <w:rPr>
          <w:rFonts w:ascii="Times New Roman" w:hAnsi="Times New Roman"/>
          <w:b w:val="0"/>
          <w:caps w:val="0"/>
          <w:lang w:val="it-IT" w:eastAsia="it-IT"/>
        </w:rPr>
        <w:t xml:space="preserve">e dai segni alla MRI sia per le articolazioni sacroiliache sia per la colonna vertebrale, è stato mantenuto </w:t>
      </w:r>
      <w:r w:rsidRPr="00020442" w:rsidR="00A40A02">
        <w:rPr>
          <w:rFonts w:ascii="Times New Roman" w:hAnsi="Times New Roman"/>
          <w:b w:val="0"/>
          <w:caps w:val="0"/>
          <w:lang w:val="it-IT" w:eastAsia="it-IT"/>
        </w:rPr>
        <w:t xml:space="preserve">nei pazienti trattati con Humira </w:t>
      </w:r>
      <w:r w:rsidRPr="00295E71">
        <w:rPr>
          <w:rFonts w:ascii="Times New Roman" w:hAnsi="Times New Roman"/>
          <w:b w:val="0"/>
          <w:caps w:val="0"/>
          <w:lang w:val="it-IT" w:eastAsia="it-IT"/>
        </w:rPr>
        <w:t>rispettivamente fino alla settimana 156 e la settimana 104.</w:t>
      </w:r>
    </w:p>
    <w:p w:rsidR="006224C2" w:rsidRPr="00295E71" w14:paraId="768B56F6" w14:textId="77777777">
      <w:pPr>
        <w:pStyle w:val="EMEATitle"/>
        <w:suppressAutoHyphens w:val="0"/>
        <w:jc w:val="both"/>
        <w:rPr>
          <w:rFonts w:ascii="Times New Roman" w:hAnsi="Times New Roman"/>
          <w:b w:val="0"/>
          <w:caps w:val="0"/>
          <w:lang w:val="it-IT" w:eastAsia="it-IT"/>
        </w:rPr>
      </w:pPr>
    </w:p>
    <w:p w:rsidR="006224C2" w:rsidRPr="00295E71" w14:paraId="5A941739" w14:textId="77777777">
      <w:pPr>
        <w:pStyle w:val="EMEATitle"/>
        <w:suppressAutoHyphens w:val="0"/>
        <w:jc w:val="both"/>
        <w:rPr>
          <w:rFonts w:ascii="Times New Roman" w:hAnsi="Times New Roman"/>
          <w:b w:val="0"/>
          <w:caps w:val="0"/>
          <w:lang w:val="it-IT" w:eastAsia="it-IT"/>
        </w:rPr>
      </w:pPr>
      <w:r w:rsidRPr="00295E71">
        <w:rPr>
          <w:rFonts w:ascii="Times New Roman" w:hAnsi="Times New Roman"/>
          <w:b w:val="0"/>
          <w:caps w:val="0"/>
          <w:lang w:val="it-IT" w:eastAsia="it-IT"/>
        </w:rPr>
        <w:t>Qualità della vita e funzionalità fisica</w:t>
      </w:r>
    </w:p>
    <w:p w:rsidR="006224C2" w:rsidRPr="00295E71" w14:paraId="7E4BC949" w14:textId="77777777">
      <w:pPr>
        <w:pStyle w:val="EMEATitle"/>
        <w:suppressAutoHyphens w:val="0"/>
        <w:jc w:val="both"/>
        <w:rPr>
          <w:rFonts w:ascii="Times New Roman" w:hAnsi="Times New Roman"/>
          <w:b w:val="0"/>
          <w:caps w:val="0"/>
          <w:lang w:val="it-IT" w:eastAsia="it-IT"/>
        </w:rPr>
      </w:pPr>
    </w:p>
    <w:p w:rsidR="006224C2" w:rsidRPr="00295E71" w14:paraId="3C75DEB8" w14:textId="77777777">
      <w:pPr>
        <w:pStyle w:val="EMEATitle"/>
        <w:suppressAutoHyphens w:val="0"/>
        <w:jc w:val="both"/>
        <w:rPr>
          <w:rFonts w:ascii="Times New Roman" w:hAnsi="Times New Roman"/>
          <w:b w:val="0"/>
          <w:caps w:val="0"/>
          <w:lang w:val="it-IT" w:eastAsia="it-IT"/>
        </w:rPr>
      </w:pPr>
      <w:r w:rsidRPr="00295E71">
        <w:rPr>
          <w:rFonts w:ascii="Times New Roman" w:hAnsi="Times New Roman"/>
          <w:b w:val="0"/>
          <w:caps w:val="0"/>
          <w:lang w:val="it-IT" w:eastAsia="it-IT"/>
        </w:rPr>
        <w:t xml:space="preserve">La qualità di vita correlata allo stato di salute e la funzionalità fisica sono state valutate utilizzando i questionari HAQ-S e il SF-36. Humira ha dimostrato, alla settimana 12, un miglioramento dal basale </w:t>
      </w:r>
      <w:r w:rsidRPr="00020442" w:rsidR="00A40A02">
        <w:rPr>
          <w:rFonts w:ascii="Times New Roman" w:hAnsi="Times New Roman"/>
          <w:b w:val="0"/>
          <w:caps w:val="0"/>
          <w:lang w:val="it-IT" w:eastAsia="it-IT"/>
        </w:rPr>
        <w:t xml:space="preserve">maggiore in misura </w:t>
      </w:r>
      <w:r w:rsidRPr="00295E71">
        <w:rPr>
          <w:rFonts w:ascii="Times New Roman" w:hAnsi="Times New Roman"/>
          <w:b w:val="0"/>
          <w:caps w:val="0"/>
          <w:lang w:val="it-IT" w:eastAsia="it-IT"/>
        </w:rPr>
        <w:t>statisticamente significativ</w:t>
      </w:r>
      <w:r w:rsidR="00A40A02">
        <w:rPr>
          <w:rFonts w:ascii="Times New Roman" w:hAnsi="Times New Roman"/>
          <w:b w:val="0"/>
          <w:caps w:val="0"/>
          <w:lang w:val="it-IT" w:eastAsia="it-IT"/>
        </w:rPr>
        <w:t>a</w:t>
      </w:r>
      <w:r w:rsidRPr="00295E71">
        <w:rPr>
          <w:rFonts w:ascii="Times New Roman" w:hAnsi="Times New Roman"/>
          <w:b w:val="0"/>
          <w:caps w:val="0"/>
          <w:lang w:val="it-IT" w:eastAsia="it-IT"/>
        </w:rPr>
        <w:t xml:space="preserve"> rispetto al placebo nel punteggio dell’HAQ-S totale e nel Physical Component Score </w:t>
      </w:r>
      <w:r w:rsidR="00A40A02">
        <w:rPr>
          <w:rFonts w:ascii="Times New Roman" w:hAnsi="Times New Roman"/>
          <w:b w:val="0"/>
          <w:caps w:val="0"/>
          <w:lang w:val="it-IT" w:eastAsia="it-IT"/>
        </w:rPr>
        <w:t xml:space="preserve">(PCS) </w:t>
      </w:r>
      <w:r w:rsidRPr="00295E71">
        <w:rPr>
          <w:rFonts w:ascii="Times New Roman" w:hAnsi="Times New Roman"/>
          <w:b w:val="0"/>
          <w:caps w:val="0"/>
          <w:lang w:val="it-IT" w:eastAsia="it-IT"/>
        </w:rPr>
        <w:t>dell’SF-36. Un miglioramento della qualità di vita correlata alla salute e della funzionalità fisica è stato mantenuto durante l’estensione in aperto fino alla settimana 156.</w:t>
      </w:r>
    </w:p>
    <w:p w:rsidR="00EE6946" w:rsidRPr="00295E71" w14:paraId="10EE1396" w14:textId="77777777">
      <w:pPr>
        <w:pStyle w:val="EMEATitle"/>
        <w:suppressAutoHyphens w:val="0"/>
        <w:jc w:val="both"/>
        <w:rPr>
          <w:rFonts w:ascii="Times New Roman" w:hAnsi="Times New Roman"/>
          <w:b w:val="0"/>
          <w:caps w:val="0"/>
          <w:lang w:val="it-IT" w:eastAsia="it-IT"/>
        </w:rPr>
      </w:pPr>
    </w:p>
    <w:p w:rsidR="00EE6946" w:rsidRPr="00295E71" w:rsidP="00357925" w14:paraId="187213B2" w14:textId="77777777">
      <w:pPr>
        <w:keepNext/>
        <w:keepLines/>
        <w:tabs>
          <w:tab w:val="left" w:pos="562"/>
        </w:tabs>
        <w:suppressAutoHyphens/>
        <w:rPr>
          <w:sz w:val="22"/>
          <w:szCs w:val="22"/>
          <w:lang w:eastAsia="en-US"/>
        </w:rPr>
      </w:pPr>
      <w:r w:rsidRPr="00295E71">
        <w:rPr>
          <w:sz w:val="22"/>
          <w:szCs w:val="22"/>
          <w:lang w:eastAsia="en-US"/>
        </w:rPr>
        <w:t>Studio nr-axSpA II</w:t>
      </w:r>
    </w:p>
    <w:p w:rsidR="00EE6946" w:rsidRPr="00295E71" w:rsidP="00357925" w14:paraId="6B6A61F6" w14:textId="77777777">
      <w:pPr>
        <w:keepNext/>
        <w:keepLines/>
        <w:tabs>
          <w:tab w:val="left" w:pos="562"/>
        </w:tabs>
        <w:suppressAutoHyphens/>
        <w:rPr>
          <w:sz w:val="22"/>
          <w:szCs w:val="22"/>
          <w:lang w:eastAsia="en-US"/>
        </w:rPr>
      </w:pPr>
    </w:p>
    <w:p w:rsidR="00EE6946" w:rsidRPr="00295E71" w:rsidP="00EE6946" w14:paraId="6B3D1373" w14:textId="77777777">
      <w:pPr>
        <w:tabs>
          <w:tab w:val="left" w:pos="562"/>
        </w:tabs>
        <w:suppressAutoHyphens/>
        <w:rPr>
          <w:sz w:val="22"/>
          <w:szCs w:val="22"/>
          <w:lang w:eastAsia="en-US"/>
        </w:rPr>
      </w:pPr>
      <w:r w:rsidRPr="00295E71">
        <w:rPr>
          <w:sz w:val="22"/>
          <w:szCs w:val="22"/>
          <w:lang w:eastAsia="en-US"/>
        </w:rPr>
        <w:t>Seicentosettantatre (673) pazienti con nr-axSpA attiva (attività media di malattia al basale [</w:t>
      </w:r>
      <w:r w:rsidRPr="00295E71">
        <w:rPr>
          <w:i/>
          <w:sz w:val="22"/>
          <w:szCs w:val="22"/>
          <w:lang w:eastAsia="en-US"/>
        </w:rPr>
        <w:t>mean baseline disease activity</w:t>
      </w:r>
      <w:r w:rsidRPr="00295E71">
        <w:rPr>
          <w:sz w:val="22"/>
          <w:szCs w:val="22"/>
          <w:lang w:eastAsia="en-US"/>
        </w:rPr>
        <w:t xml:space="preserve">, BASDAI] pari a 7,0) e risposta inadeguata a </w:t>
      </w:r>
      <w:r w:rsidRPr="00295E71">
        <w:rPr>
          <w:rFonts w:ascii="Symbol" w:hAnsi="Symbol"/>
          <w:sz w:val="22"/>
          <w:szCs w:val="22"/>
          <w:lang w:eastAsia="en-US"/>
        </w:rPr>
        <w:sym w:font="Symbol" w:char="F0B3"/>
      </w:r>
      <w:r w:rsidR="00F92001">
        <w:rPr>
          <w:sz w:val="22"/>
          <w:szCs w:val="22"/>
          <w:lang w:eastAsia="en-US"/>
        </w:rPr>
        <w:t> </w:t>
      </w:r>
      <w:r w:rsidRPr="00295E71">
        <w:rPr>
          <w:sz w:val="22"/>
          <w:szCs w:val="22"/>
          <w:lang w:eastAsia="en-US"/>
        </w:rPr>
        <w:t xml:space="preserve">2 FANS, oppure intolleranza </w:t>
      </w:r>
      <w:r w:rsidRPr="00295E71">
        <w:rPr>
          <w:sz w:val="22"/>
          <w:szCs w:val="22"/>
          <w:lang w:eastAsia="en-US"/>
        </w:rPr>
        <w:t>o controindicazione ai FANS, sono stati arruolati nel periodo in aperto dello studio nr-axSpA II, durante il quale hanno ricevuto Humira 40 mg a settimane alterne per 28 settimane. Questi pazienti presentavano anche evidenza obiettiva di infiammazione alle articolazioni sacroiliache o alla colonna vertebrale alla RM o una hs-</w:t>
      </w:r>
      <w:r w:rsidR="008858DF">
        <w:rPr>
          <w:sz w:val="22"/>
          <w:szCs w:val="22"/>
          <w:lang w:eastAsia="en-US"/>
        </w:rPr>
        <w:t>PCR</w:t>
      </w:r>
      <w:r w:rsidRPr="00295E71">
        <w:rPr>
          <w:sz w:val="22"/>
          <w:szCs w:val="22"/>
          <w:lang w:eastAsia="en-US"/>
        </w:rPr>
        <w:t xml:space="preserve"> elevata. I pazienti che avevano ottenuto una remissione duratura per almen</w:t>
      </w:r>
      <w:r w:rsidRPr="00295E71" w:rsidR="00AE1EFC">
        <w:rPr>
          <w:sz w:val="22"/>
          <w:szCs w:val="22"/>
          <w:lang w:eastAsia="en-US"/>
        </w:rPr>
        <w:t>o 12 settimane (N=305) (ASDAS &lt;</w:t>
      </w:r>
      <w:r w:rsidR="00F92001">
        <w:rPr>
          <w:sz w:val="22"/>
          <w:szCs w:val="22"/>
          <w:lang w:eastAsia="en-US"/>
        </w:rPr>
        <w:t> </w:t>
      </w:r>
      <w:r w:rsidRPr="00295E71">
        <w:rPr>
          <w:sz w:val="22"/>
          <w:szCs w:val="22"/>
          <w:lang w:eastAsia="en-US"/>
        </w:rPr>
        <w:t>1,3 alle settimane 16, 20, 24 e 28) durante il periodo in aperto sono stati quindi randomizzati a proseguire il trattamento con Humira 40 mg a settimane alterne (N=152) o a ricevere un placebo (N=153) per altre 40 settimane in uno studio in doppio cieco, controllato verso placebo (durata complessiva dello studio: 68 settimane). I soggetti che presentavano esacerbazioni durante il periodo in doppio cieco potevano ricorrere a Humira 40 mg a settimane alterne come terapia di salvataggio per almeno 12 settimane.</w:t>
      </w:r>
    </w:p>
    <w:p w:rsidR="00EE6946" w:rsidRPr="00295E71" w:rsidP="00EE6946" w14:paraId="21201100" w14:textId="77777777">
      <w:pPr>
        <w:tabs>
          <w:tab w:val="left" w:pos="562"/>
        </w:tabs>
        <w:suppressAutoHyphens/>
        <w:rPr>
          <w:sz w:val="22"/>
          <w:szCs w:val="20"/>
          <w:lang w:eastAsia="en-US"/>
        </w:rPr>
      </w:pPr>
    </w:p>
    <w:p w:rsidR="00EE6946" w:rsidRPr="00295E71" w:rsidP="00EE6946" w14:paraId="6638E7F7" w14:textId="77777777">
      <w:pPr>
        <w:tabs>
          <w:tab w:val="left" w:pos="562"/>
        </w:tabs>
        <w:suppressAutoHyphens/>
        <w:rPr>
          <w:sz w:val="22"/>
          <w:szCs w:val="20"/>
          <w:lang w:eastAsia="en-US"/>
        </w:rPr>
      </w:pPr>
      <w:r w:rsidRPr="00295E71">
        <w:rPr>
          <w:sz w:val="22"/>
          <w:szCs w:val="20"/>
          <w:lang w:eastAsia="en-US"/>
        </w:rPr>
        <w:t>L’endpoint primario di efficacia era la percentuale di pazienti senza esacerbazioni alla settimana 68 dello studio. L’esacerbazion</w:t>
      </w:r>
      <w:r w:rsidRPr="00295E71" w:rsidR="00AE1EFC">
        <w:rPr>
          <w:sz w:val="22"/>
          <w:szCs w:val="20"/>
          <w:lang w:eastAsia="en-US"/>
        </w:rPr>
        <w:t>e è stata definita come ASDAS ≥</w:t>
      </w:r>
      <w:r w:rsidR="00F92001">
        <w:rPr>
          <w:sz w:val="22"/>
          <w:szCs w:val="20"/>
          <w:lang w:eastAsia="en-US"/>
        </w:rPr>
        <w:t> </w:t>
      </w:r>
      <w:r w:rsidRPr="00295E71">
        <w:rPr>
          <w:sz w:val="22"/>
          <w:szCs w:val="20"/>
          <w:lang w:eastAsia="en-US"/>
        </w:rPr>
        <w:t xml:space="preserve">2,1 a due visite consecutive a distanza di quattro settimane. Una percentuale maggiore di pazienti che ricevevano Humira non ha presentato esacerbazioni di malattia durante il periodo in doppio cieco in confronto a quelli che ricevevano il placebo (70,4% </w:t>
      </w:r>
      <w:r w:rsidR="00BF509C">
        <w:rPr>
          <w:sz w:val="22"/>
          <w:szCs w:val="20"/>
          <w:lang w:eastAsia="en-US"/>
        </w:rPr>
        <w:t>vs. 47,1%, p&lt;0,001) (Figura 1).</w:t>
      </w:r>
    </w:p>
    <w:p w:rsidR="00EE6946" w:rsidRPr="00BF509C" w:rsidP="00EE6946" w14:paraId="3027ED10" w14:textId="77777777">
      <w:pPr>
        <w:keepNext/>
        <w:tabs>
          <w:tab w:val="left" w:pos="562"/>
        </w:tabs>
        <w:suppressAutoHyphens/>
        <w:jc w:val="center"/>
        <w:rPr>
          <w:sz w:val="22"/>
          <w:szCs w:val="20"/>
          <w:lang w:eastAsia="en-US"/>
        </w:rPr>
      </w:pPr>
    </w:p>
    <w:p w:rsidR="00EE6946" w:rsidRPr="00BF509C" w:rsidP="00EE6946" w14:paraId="06BE3BBC" w14:textId="77777777">
      <w:pPr>
        <w:keepNext/>
        <w:tabs>
          <w:tab w:val="left" w:pos="562"/>
        </w:tabs>
        <w:suppressAutoHyphens/>
        <w:jc w:val="center"/>
        <w:rPr>
          <w:sz w:val="22"/>
          <w:szCs w:val="20"/>
          <w:lang w:eastAsia="en-US"/>
        </w:rPr>
      </w:pPr>
      <w:r w:rsidRPr="00295E71">
        <w:rPr>
          <w:b/>
          <w:sz w:val="22"/>
          <w:szCs w:val="20"/>
          <w:lang w:eastAsia="en-US"/>
        </w:rPr>
        <w:t>Figura 1: Curve di Kaplan-Meier che riassu</w:t>
      </w:r>
      <w:r w:rsidR="00BF509C">
        <w:rPr>
          <w:b/>
          <w:sz w:val="22"/>
          <w:szCs w:val="20"/>
          <w:lang w:eastAsia="en-US"/>
        </w:rPr>
        <w:t>mono il tempo all’esacerbazione</w:t>
      </w:r>
    </w:p>
    <w:p w:rsidR="00EE6946" w:rsidRPr="00BF509C" w:rsidP="00EE6946" w14:paraId="4B064242" w14:textId="77777777">
      <w:pPr>
        <w:keepNext/>
        <w:tabs>
          <w:tab w:val="left" w:pos="562"/>
        </w:tabs>
        <w:suppressAutoHyphens/>
        <w:jc w:val="center"/>
        <w:rPr>
          <w:sz w:val="22"/>
          <w:szCs w:val="20"/>
          <w:lang w:eastAsia="en-US"/>
        </w:rPr>
      </w:pPr>
      <w:r w:rsidRPr="00295E71">
        <w:rPr>
          <w:b/>
          <w:sz w:val="22"/>
          <w:szCs w:val="20"/>
          <w:lang w:eastAsia="en-US"/>
        </w:rPr>
        <w:t>nello studio nr-axSpA II</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7"/>
        <w:gridCol w:w="8623"/>
      </w:tblGrid>
      <w:tr w14:paraId="4941239B" w14:textId="77777777" w:rsidTr="009C4DA2">
        <w:tblPrEx>
          <w:tblW w:w="0" w:type="auto"/>
          <w:tblLook w:val="04A0"/>
        </w:tblPrEx>
        <w:trPr>
          <w:cantSplit/>
          <w:trHeight w:val="1134"/>
        </w:trPr>
        <w:tc>
          <w:tcPr>
            <w:tcW w:w="930" w:type="dxa"/>
            <w:textDirection w:val="btLr"/>
            <w:vAlign w:val="center"/>
          </w:tcPr>
          <w:p w:rsidR="00EE6946" w:rsidRPr="00295E71" w:rsidP="00EE6946" w14:paraId="4A28C933" w14:textId="77777777">
            <w:pPr>
              <w:ind w:left="113" w:right="113"/>
              <w:jc w:val="center"/>
              <w:rPr>
                <w:b/>
                <w:sz w:val="20"/>
                <w:lang w:val="it-IT"/>
              </w:rPr>
            </w:pPr>
            <w:r w:rsidRPr="00295E71">
              <w:rPr>
                <w:b/>
                <w:sz w:val="20"/>
                <w:lang w:val="it-IT"/>
              </w:rPr>
              <w:t xml:space="preserve">                   PROBABILITÀ DI ASSENZA DI ESACERBAZIONE</w:t>
            </w:r>
          </w:p>
        </w:tc>
        <w:tc>
          <w:tcPr>
            <w:tcW w:w="8646" w:type="dxa"/>
          </w:tcPr>
          <w:p w:rsidR="00EE6946" w:rsidRPr="00295E71" w:rsidP="00EE6946" w14:paraId="19BB8099" w14:textId="77777777">
            <w:pPr>
              <w:rPr>
                <w:sz w:val="20"/>
                <w:lang w:val="it-IT"/>
              </w:rPr>
            </w:pPr>
            <w:r w:rsidRPr="003B3A5A">
              <w:rPr>
                <w:noProof/>
                <w:sz w:val="20"/>
              </w:rPr>
              <w:drawing>
                <wp:inline distT="0" distB="0" distL="0" distR="0">
                  <wp:extent cx="5616000" cy="3006000"/>
                  <wp:effectExtent l="0" t="0" r="3810" b="4445"/>
                  <wp:docPr id="10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m13375_flare_km_db_f.14.2__1.1.jpg"/>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16000" cy="3006000"/>
                          </a:xfrm>
                          <a:prstGeom prst="rect">
                            <a:avLst/>
                          </a:prstGeom>
                        </pic:spPr>
                      </pic:pic>
                    </a:graphicData>
                  </a:graphic>
                </wp:inline>
              </w:drawing>
            </w:r>
          </w:p>
        </w:tc>
      </w:tr>
      <w:tr w14:paraId="09C63FCA" w14:textId="77777777" w:rsidTr="009C4DA2">
        <w:tblPrEx>
          <w:tblW w:w="0" w:type="auto"/>
          <w:tblLook w:val="04A0"/>
        </w:tblPrEx>
        <w:tc>
          <w:tcPr>
            <w:tcW w:w="930" w:type="dxa"/>
          </w:tcPr>
          <w:p w:rsidR="00EE6946" w:rsidRPr="00295E71" w:rsidP="00EE6946" w14:paraId="62FFC9B9" w14:textId="77777777">
            <w:pPr>
              <w:rPr>
                <w:sz w:val="20"/>
                <w:lang w:val="it-IT"/>
              </w:rPr>
            </w:pPr>
          </w:p>
        </w:tc>
        <w:tc>
          <w:tcPr>
            <w:tcW w:w="8646" w:type="dxa"/>
            <w:vAlign w:val="center"/>
          </w:tcPr>
          <w:p w:rsidR="00EE6946" w:rsidRPr="00295E71" w:rsidP="00EE6946" w14:paraId="09EAA4F0" w14:textId="77777777">
            <w:pPr>
              <w:jc w:val="center"/>
              <w:rPr>
                <w:b/>
                <w:sz w:val="20"/>
                <w:lang w:val="it-IT"/>
              </w:rPr>
            </w:pPr>
            <w:r w:rsidRPr="00295E71">
              <w:rPr>
                <w:b/>
                <w:sz w:val="20"/>
                <w:lang w:val="it-IT"/>
              </w:rPr>
              <w:t>TEMPO (SETTIMANE)</w:t>
            </w:r>
          </w:p>
        </w:tc>
      </w:tr>
      <w:tr w14:paraId="67B576B5" w14:textId="77777777" w:rsidTr="009C4DA2">
        <w:tblPrEx>
          <w:tblW w:w="0" w:type="auto"/>
          <w:tblLook w:val="04A0"/>
        </w:tblPrEx>
        <w:tc>
          <w:tcPr>
            <w:tcW w:w="9576" w:type="dxa"/>
            <w:gridSpan w:val="2"/>
          </w:tcPr>
          <w:p w:rsidR="00EE6946" w:rsidRPr="00295E71" w:rsidP="00EE6946" w14:paraId="1589EF7E" w14:textId="77777777">
            <w:pPr>
              <w:rPr>
                <w:sz w:val="20"/>
                <w:lang w:val="it-IT"/>
              </w:rPr>
            </w:pPr>
            <w:r w:rsidRPr="00295E71">
              <w:rPr>
                <w:sz w:val="20"/>
                <w:lang w:val="it-IT"/>
              </w:rPr>
              <w:t xml:space="preserve">                                  Trattamento      </w:t>
            </w:r>
            <w:r w:rsidRPr="00295E71">
              <w:rPr>
                <w:noProof/>
                <w:sz w:val="20"/>
                <w:lang w:val="it-IT"/>
              </w:rPr>
              <w:t xml:space="preserve"> </w:t>
            </w:r>
            <w:r w:rsidRPr="003B3A5A" w:rsidR="004B3CAB">
              <w:rPr>
                <w:noProof/>
                <w:sz w:val="20"/>
              </w:rPr>
              <mc:AlternateContent>
                <mc:Choice Requires="wps">
                  <w:drawing>
                    <wp:inline distT="0" distB="0" distL="0" distR="0">
                      <wp:extent cx="381000" cy="635"/>
                      <wp:effectExtent l="19050" t="19050" r="19050" b="18415"/>
                      <wp:docPr id="48" name="Straight Connector 9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81000" cy="635"/>
                              </a:xfrm>
                              <a:prstGeom prst="line">
                                <a:avLst/>
                              </a:prstGeom>
                              <a:noFill/>
                              <a:ln w="28575">
                                <a:solidFill>
                                  <a:srgbClr val="595959"/>
                                </a:solidFill>
                                <a:prstDash val="sysDot"/>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inline>
                  </w:drawing>
                </mc:Choice>
                <mc:Fallback>
                  <w:pict>
                    <v:line id="Straight Connector 92" o:spid="_x0000_i1032" style="mso-left-percent:-10001;mso-position-horizontal-relative:char;mso-position-vertical-relative:line;mso-top-percent:-10001;mso-wrap-style:square;visibility:visible" from="0,0" to="30pt,0.05pt" strokecolor="#595959" strokeweight="2.25pt">
                      <v:stroke dashstyle="1 1"/>
                      <w10:anchorlock/>
                    </v:line>
                  </w:pict>
                </mc:Fallback>
              </mc:AlternateContent>
            </w:r>
            <w:r w:rsidRPr="00295E71">
              <w:rPr>
                <w:noProof/>
                <w:sz w:val="20"/>
                <w:lang w:val="it-IT"/>
              </w:rPr>
              <w:t xml:space="preserve"> </w:t>
            </w:r>
            <w:r w:rsidRPr="00295E71">
              <w:rPr>
                <w:sz w:val="20"/>
                <w:lang w:val="it-IT"/>
              </w:rPr>
              <w:t xml:space="preserve">Placebo     </w:t>
            </w:r>
            <w:r w:rsidRPr="003B3A5A" w:rsidR="004B3CAB">
              <w:rPr>
                <w:noProof/>
                <w:sz w:val="20"/>
              </w:rPr>
              <mc:AlternateContent>
                <mc:Choice Requires="wps">
                  <w:drawing>
                    <wp:inline distT="0" distB="0" distL="0" distR="0">
                      <wp:extent cx="401320" cy="635"/>
                      <wp:effectExtent l="9525" t="9525" r="17780" b="18415"/>
                      <wp:docPr id="22" name="Straight Connector 5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01320" cy="635"/>
                              </a:xfrm>
                              <a:prstGeom prst="line">
                                <a:avLst/>
                              </a:prstGeom>
                              <a:noFill/>
                              <a:ln w="190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inline>
                  </w:drawing>
                </mc:Choice>
                <mc:Fallback>
                  <w:pict>
                    <v:line id="Straight Connector 56" o:spid="_x0000_i1033" style="mso-left-percent:-10001;mso-position-horizontal-relative:char;mso-position-vertical-relative:line;mso-top-percent:-10001;mso-wrap-style:square;visibility:visible" from="0,0" to="31.6pt,0.05pt" strokecolor="#404040" strokeweight="1.5pt">
                      <w10:anchorlock/>
                    </v:line>
                  </w:pict>
                </mc:Fallback>
              </mc:AlternateContent>
            </w:r>
            <w:r w:rsidRPr="00295E71">
              <w:rPr>
                <w:sz w:val="20"/>
                <w:lang w:val="it-IT"/>
              </w:rPr>
              <w:t xml:space="preserve"> Humira     ∆ Censurato</w:t>
            </w:r>
          </w:p>
        </w:tc>
      </w:tr>
    </w:tbl>
    <w:p w:rsidR="00EE6946" w:rsidRPr="00295E71" w:rsidP="00EE6946" w14:paraId="3797F7F6" w14:textId="77777777">
      <w:pPr>
        <w:tabs>
          <w:tab w:val="left" w:pos="562"/>
        </w:tabs>
        <w:suppressAutoHyphens/>
        <w:rPr>
          <w:sz w:val="22"/>
          <w:lang w:eastAsia="en-US"/>
        </w:rPr>
      </w:pPr>
    </w:p>
    <w:p w:rsidR="00EE6946" w:rsidRPr="00295E71" w:rsidP="00EE6946" w14:paraId="5C107C05" w14:textId="77777777">
      <w:pPr>
        <w:tabs>
          <w:tab w:val="left" w:pos="562"/>
        </w:tabs>
        <w:suppressAutoHyphens/>
        <w:rPr>
          <w:sz w:val="22"/>
          <w:lang w:eastAsia="en-US"/>
        </w:rPr>
      </w:pPr>
      <w:r w:rsidRPr="00295E71">
        <w:rPr>
          <w:sz w:val="22"/>
          <w:lang w:eastAsia="en-US"/>
        </w:rPr>
        <w:t>Nota: P = placebo (numero a rischio (esacerbazione)); A = HUMIRA (numero a rischio (esacerbazione)).</w:t>
      </w:r>
    </w:p>
    <w:p w:rsidR="00EE6946" w:rsidRPr="00295E71" w:rsidP="00EE6946" w14:paraId="7F72BBFB" w14:textId="77777777">
      <w:pPr>
        <w:tabs>
          <w:tab w:val="left" w:pos="562"/>
        </w:tabs>
        <w:suppressAutoHyphens/>
        <w:rPr>
          <w:sz w:val="22"/>
          <w:lang w:eastAsia="en-US"/>
        </w:rPr>
      </w:pPr>
    </w:p>
    <w:p w:rsidR="00EE6946" w:rsidRPr="00295E71" w:rsidP="00EE6946" w14:paraId="6FA28929" w14:textId="77777777">
      <w:pPr>
        <w:tabs>
          <w:tab w:val="left" w:pos="562"/>
        </w:tabs>
        <w:suppressAutoHyphens/>
        <w:rPr>
          <w:sz w:val="22"/>
          <w:szCs w:val="20"/>
          <w:lang w:eastAsia="en-US"/>
        </w:rPr>
      </w:pPr>
      <w:r w:rsidRPr="00295E71">
        <w:rPr>
          <w:sz w:val="22"/>
          <w:szCs w:val="20"/>
          <w:lang w:eastAsia="en-US"/>
        </w:rPr>
        <w:t>Tra i 68 pazienti che presentavano esacerbazioni nel gruppo assegnato all’interruzione del trattamento, 65 hanno completato 12 settimane di terapia di salvataggio con Humira, e 37 di questi (56,9%) hanno raggiunto nu</w:t>
      </w:r>
      <w:r w:rsidRPr="00295E71" w:rsidR="00AE1EFC">
        <w:rPr>
          <w:sz w:val="22"/>
          <w:szCs w:val="20"/>
          <w:lang w:eastAsia="en-US"/>
        </w:rPr>
        <w:t>ovamente la remissione (ASDAS &lt;</w:t>
      </w:r>
      <w:r w:rsidR="00F92001">
        <w:rPr>
          <w:sz w:val="22"/>
          <w:szCs w:val="20"/>
          <w:lang w:eastAsia="en-US"/>
        </w:rPr>
        <w:t> </w:t>
      </w:r>
      <w:r w:rsidRPr="00295E71">
        <w:rPr>
          <w:sz w:val="22"/>
          <w:szCs w:val="20"/>
          <w:lang w:eastAsia="en-US"/>
        </w:rPr>
        <w:t xml:space="preserve">1,3) 12 settimane dopo la ripresa del trattamento in aperto. </w:t>
      </w:r>
    </w:p>
    <w:p w:rsidR="00EE6946" w:rsidRPr="00295E71" w:rsidP="00EE6946" w14:paraId="4974E933" w14:textId="77777777">
      <w:pPr>
        <w:tabs>
          <w:tab w:val="left" w:pos="562"/>
        </w:tabs>
        <w:suppressAutoHyphens/>
        <w:rPr>
          <w:sz w:val="22"/>
          <w:lang w:eastAsia="en-US"/>
        </w:rPr>
      </w:pPr>
    </w:p>
    <w:p w:rsidR="00EE6946" w:rsidRPr="00295E71" w:rsidP="00EE6946" w14:paraId="25231462" w14:textId="77777777">
      <w:pPr>
        <w:tabs>
          <w:tab w:val="left" w:pos="562"/>
        </w:tabs>
        <w:suppressAutoHyphens/>
        <w:rPr>
          <w:sz w:val="22"/>
          <w:lang w:eastAsia="en-US"/>
        </w:rPr>
      </w:pPr>
      <w:r w:rsidRPr="00295E71">
        <w:rPr>
          <w:sz w:val="22"/>
          <w:lang w:eastAsia="en-US"/>
        </w:rPr>
        <w:t>Alla settimana 68, i pazienti che ricevevano un trattamento continuo con Humira hanno presentato un miglioramento dei segni e sintomi di nr-axSpA attiva maggiore, in misura statisticamente significativa, in confronto ai pazienti assegnati all’interruzione del trattamento durante il periodo in doppio cieco dello studio (Tabella 1</w:t>
      </w:r>
      <w:r w:rsidR="0062664F">
        <w:rPr>
          <w:sz w:val="22"/>
          <w:lang w:eastAsia="en-US"/>
        </w:rPr>
        <w:t>4</w:t>
      </w:r>
      <w:r w:rsidRPr="00295E71">
        <w:rPr>
          <w:sz w:val="22"/>
          <w:lang w:eastAsia="en-US"/>
        </w:rPr>
        <w:t>).</w:t>
      </w:r>
    </w:p>
    <w:p w:rsidR="00EE6946" w:rsidRPr="00295E71" w:rsidP="00EE6946" w14:paraId="4DD1B8AF" w14:textId="77777777">
      <w:pPr>
        <w:tabs>
          <w:tab w:val="left" w:pos="562"/>
        </w:tabs>
        <w:suppressAutoHyphens/>
        <w:rPr>
          <w:sz w:val="22"/>
          <w:lang w:eastAsia="en-US"/>
        </w:rPr>
      </w:pPr>
    </w:p>
    <w:p w:rsidR="00EE6946" w:rsidRPr="00BF509C" w:rsidP="005A3348" w14:paraId="01A6FD8D" w14:textId="77777777">
      <w:pPr>
        <w:keepNext/>
        <w:tabs>
          <w:tab w:val="left" w:pos="562"/>
        </w:tabs>
        <w:suppressAutoHyphens/>
        <w:ind w:left="720"/>
        <w:jc w:val="center"/>
        <w:rPr>
          <w:sz w:val="22"/>
          <w:szCs w:val="20"/>
          <w:lang w:eastAsia="en-US"/>
        </w:rPr>
      </w:pPr>
      <w:r w:rsidRPr="00295E71">
        <w:rPr>
          <w:b/>
          <w:sz w:val="22"/>
          <w:szCs w:val="20"/>
          <w:lang w:eastAsia="en-US"/>
        </w:rPr>
        <w:t>Tabella 1</w:t>
      </w:r>
      <w:r w:rsidR="0062664F">
        <w:rPr>
          <w:b/>
          <w:sz w:val="22"/>
          <w:szCs w:val="20"/>
          <w:lang w:eastAsia="en-US"/>
        </w:rPr>
        <w:t>4</w:t>
      </w:r>
    </w:p>
    <w:p w:rsidR="00EE6946" w:rsidRPr="00BF509C" w:rsidP="005A3348" w14:paraId="7E59B3E1" w14:textId="77777777">
      <w:pPr>
        <w:keepNext/>
        <w:tabs>
          <w:tab w:val="left" w:pos="562"/>
        </w:tabs>
        <w:suppressAutoHyphens/>
        <w:ind w:left="720"/>
        <w:rPr>
          <w:sz w:val="22"/>
          <w:szCs w:val="20"/>
          <w:lang w:eastAsia="en-US"/>
        </w:rPr>
      </w:pPr>
      <w:r w:rsidRPr="00295E71">
        <w:rPr>
          <w:b/>
          <w:sz w:val="22"/>
          <w:szCs w:val="20"/>
          <w:lang w:eastAsia="en-US"/>
        </w:rPr>
        <w:t>Risposta di efficacia nel periodo controllato verso placebo dello studio nr-axSpA II</w:t>
      </w:r>
    </w:p>
    <w:p w:rsidR="00EE6946" w:rsidRPr="00BF509C" w:rsidP="005A3348" w14:paraId="5256BEA4" w14:textId="77777777">
      <w:pPr>
        <w:keepNext/>
        <w:tabs>
          <w:tab w:val="left" w:pos="562"/>
        </w:tabs>
        <w:suppressAutoHyphens/>
        <w:ind w:left="720"/>
        <w:rPr>
          <w:sz w:val="22"/>
          <w:szCs w:val="2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557"/>
        <w:gridCol w:w="1682"/>
        <w:gridCol w:w="1821"/>
      </w:tblGrid>
      <w:tr w14:paraId="4E182AA0" w14:textId="77777777" w:rsidTr="009C4DA2">
        <w:tblPrEx>
          <w:tblW w:w="5000" w:type="pct"/>
          <w:tblLook w:val="0000"/>
        </w:tblPrEx>
        <w:tc>
          <w:tcPr>
            <w:tcW w:w="3067" w:type="pct"/>
          </w:tcPr>
          <w:p w:rsidR="00EE6946" w:rsidRPr="00295E71" w:rsidP="00EE6946" w14:paraId="64DC815A" w14:textId="77777777">
            <w:pPr>
              <w:keepNext/>
              <w:tabs>
                <w:tab w:val="left" w:pos="562"/>
              </w:tabs>
              <w:suppressAutoHyphens/>
              <w:rPr>
                <w:b/>
                <w:bCs/>
                <w:sz w:val="22"/>
                <w:lang w:eastAsia="en-US"/>
              </w:rPr>
            </w:pPr>
            <w:r w:rsidRPr="00295E71">
              <w:rPr>
                <w:b/>
                <w:bCs/>
                <w:sz w:val="22"/>
                <w:lang w:eastAsia="en-US"/>
              </w:rPr>
              <w:t>Doppio cieco</w:t>
            </w:r>
          </w:p>
          <w:p w:rsidR="00EE6946" w:rsidRPr="00295E71" w:rsidP="00EE6946" w14:paraId="7A5B497C" w14:textId="77777777">
            <w:pPr>
              <w:keepNext/>
              <w:tabs>
                <w:tab w:val="left" w:pos="562"/>
              </w:tabs>
              <w:suppressAutoHyphens/>
              <w:rPr>
                <w:b/>
                <w:bCs/>
                <w:sz w:val="22"/>
                <w:lang w:eastAsia="en-US"/>
              </w:rPr>
            </w:pPr>
            <w:r w:rsidRPr="00295E71">
              <w:rPr>
                <w:b/>
                <w:bCs/>
                <w:sz w:val="22"/>
                <w:lang w:eastAsia="en-US"/>
              </w:rPr>
              <w:t>Risposta alla settimana 68</w:t>
            </w:r>
          </w:p>
        </w:tc>
        <w:tc>
          <w:tcPr>
            <w:tcW w:w="928" w:type="pct"/>
          </w:tcPr>
          <w:p w:rsidR="00EE6946" w:rsidRPr="00295E71" w:rsidP="00EE6946" w14:paraId="1B1F1A8D" w14:textId="77777777">
            <w:pPr>
              <w:keepNext/>
              <w:tabs>
                <w:tab w:val="left" w:pos="562"/>
              </w:tabs>
              <w:suppressAutoHyphens/>
              <w:jc w:val="center"/>
              <w:rPr>
                <w:b/>
                <w:bCs/>
                <w:sz w:val="20"/>
                <w:szCs w:val="20"/>
                <w:lang w:eastAsia="en-US"/>
              </w:rPr>
            </w:pPr>
            <w:r w:rsidRPr="00295E71">
              <w:rPr>
                <w:b/>
                <w:bCs/>
                <w:sz w:val="20"/>
                <w:szCs w:val="20"/>
                <w:lang w:eastAsia="en-US"/>
              </w:rPr>
              <w:t>Placebo</w:t>
            </w:r>
          </w:p>
          <w:p w:rsidR="00EE6946" w:rsidRPr="00295E71" w:rsidP="00EE6946" w14:paraId="134A5A7C" w14:textId="77777777">
            <w:pPr>
              <w:keepNext/>
              <w:tabs>
                <w:tab w:val="left" w:pos="562"/>
              </w:tabs>
              <w:suppressAutoHyphens/>
              <w:jc w:val="center"/>
              <w:rPr>
                <w:b/>
                <w:bCs/>
                <w:sz w:val="20"/>
                <w:szCs w:val="20"/>
                <w:lang w:eastAsia="en-US"/>
              </w:rPr>
            </w:pPr>
            <w:r w:rsidRPr="00295E71">
              <w:rPr>
                <w:b/>
                <w:bCs/>
                <w:sz w:val="20"/>
                <w:szCs w:val="20"/>
                <w:lang w:eastAsia="en-US"/>
              </w:rPr>
              <w:t>N=153</w:t>
            </w:r>
          </w:p>
        </w:tc>
        <w:tc>
          <w:tcPr>
            <w:tcW w:w="1005" w:type="pct"/>
          </w:tcPr>
          <w:p w:rsidR="00EE6946" w:rsidRPr="00295E71" w:rsidP="00EE6946" w14:paraId="267DF08F" w14:textId="77777777">
            <w:pPr>
              <w:keepNext/>
              <w:tabs>
                <w:tab w:val="left" w:pos="562"/>
              </w:tabs>
              <w:suppressAutoHyphens/>
              <w:jc w:val="center"/>
              <w:rPr>
                <w:b/>
                <w:bCs/>
                <w:sz w:val="20"/>
                <w:szCs w:val="20"/>
                <w:lang w:eastAsia="en-US"/>
              </w:rPr>
            </w:pPr>
            <w:r w:rsidRPr="00295E71">
              <w:rPr>
                <w:b/>
                <w:bCs/>
                <w:sz w:val="20"/>
                <w:szCs w:val="20"/>
                <w:lang w:eastAsia="en-US"/>
              </w:rPr>
              <w:t>Humira</w:t>
            </w:r>
          </w:p>
          <w:p w:rsidR="00EE6946" w:rsidRPr="00295E71" w:rsidP="00EE6946" w14:paraId="4882698D" w14:textId="77777777">
            <w:pPr>
              <w:keepNext/>
              <w:tabs>
                <w:tab w:val="left" w:pos="562"/>
              </w:tabs>
              <w:suppressAutoHyphens/>
              <w:jc w:val="center"/>
              <w:rPr>
                <w:b/>
                <w:bCs/>
                <w:sz w:val="20"/>
                <w:szCs w:val="20"/>
                <w:lang w:eastAsia="en-US"/>
              </w:rPr>
            </w:pPr>
            <w:r w:rsidRPr="00295E71">
              <w:rPr>
                <w:b/>
                <w:bCs/>
                <w:sz w:val="20"/>
                <w:szCs w:val="20"/>
                <w:lang w:eastAsia="en-US"/>
              </w:rPr>
              <w:t>N=152</w:t>
            </w:r>
          </w:p>
        </w:tc>
      </w:tr>
      <w:tr w14:paraId="47838ADD" w14:textId="77777777" w:rsidTr="009C4DA2">
        <w:tblPrEx>
          <w:tblW w:w="5000" w:type="pct"/>
          <w:tblLook w:val="0000"/>
        </w:tblPrEx>
        <w:tc>
          <w:tcPr>
            <w:tcW w:w="3067" w:type="pct"/>
          </w:tcPr>
          <w:p w:rsidR="00EE6946" w:rsidRPr="00295E71" w:rsidP="00EE6946" w14:paraId="10282541" w14:textId="77777777">
            <w:pPr>
              <w:keepNext/>
              <w:tabs>
                <w:tab w:val="left" w:pos="562"/>
              </w:tabs>
              <w:suppressAutoHyphens/>
              <w:rPr>
                <w:sz w:val="22"/>
                <w:lang w:eastAsia="en-US"/>
              </w:rPr>
            </w:pPr>
            <w:r w:rsidRPr="00295E71">
              <w:rPr>
                <w:sz w:val="22"/>
                <w:lang w:eastAsia="en-US"/>
              </w:rPr>
              <w:t>ASAS</w:t>
            </w:r>
            <w:r w:rsidRPr="00295E71">
              <w:rPr>
                <w:sz w:val="22"/>
                <w:vertAlign w:val="superscript"/>
                <w:lang w:eastAsia="en-US"/>
              </w:rPr>
              <w:t>a,b</w:t>
            </w:r>
            <w:r w:rsidRPr="00295E71">
              <w:rPr>
                <w:sz w:val="22"/>
                <w:lang w:eastAsia="en-US"/>
              </w:rPr>
              <w:t xml:space="preserve"> 20</w:t>
            </w:r>
          </w:p>
        </w:tc>
        <w:tc>
          <w:tcPr>
            <w:tcW w:w="928" w:type="pct"/>
          </w:tcPr>
          <w:p w:rsidR="00EE6946" w:rsidRPr="00295E71" w:rsidP="00EE6946" w14:paraId="6F29DC04" w14:textId="77777777">
            <w:pPr>
              <w:keepNext/>
              <w:tabs>
                <w:tab w:val="left" w:pos="562"/>
              </w:tabs>
              <w:suppressAutoHyphens/>
              <w:jc w:val="center"/>
              <w:rPr>
                <w:sz w:val="22"/>
                <w:lang w:eastAsia="en-US"/>
              </w:rPr>
            </w:pPr>
            <w:r w:rsidRPr="00295E71">
              <w:rPr>
                <w:sz w:val="22"/>
                <w:lang w:eastAsia="en-US"/>
              </w:rPr>
              <w:t>47,1%</w:t>
            </w:r>
          </w:p>
        </w:tc>
        <w:tc>
          <w:tcPr>
            <w:tcW w:w="1005" w:type="pct"/>
          </w:tcPr>
          <w:p w:rsidR="00EE6946" w:rsidRPr="00295E71" w:rsidP="00EE6946" w14:paraId="33EA8881" w14:textId="77777777">
            <w:pPr>
              <w:keepNext/>
              <w:tabs>
                <w:tab w:val="left" w:pos="562"/>
              </w:tabs>
              <w:suppressAutoHyphens/>
              <w:jc w:val="center"/>
              <w:rPr>
                <w:sz w:val="22"/>
                <w:lang w:eastAsia="en-US"/>
              </w:rPr>
            </w:pPr>
            <w:r w:rsidRPr="00295E71">
              <w:rPr>
                <w:sz w:val="22"/>
                <w:lang w:eastAsia="en-US"/>
              </w:rPr>
              <w:t>70,4%***</w:t>
            </w:r>
          </w:p>
        </w:tc>
      </w:tr>
      <w:tr w14:paraId="6D9FD759" w14:textId="77777777" w:rsidTr="009C4DA2">
        <w:tblPrEx>
          <w:tblW w:w="5000" w:type="pct"/>
          <w:tblLook w:val="0000"/>
        </w:tblPrEx>
        <w:tc>
          <w:tcPr>
            <w:tcW w:w="3067" w:type="pct"/>
          </w:tcPr>
          <w:p w:rsidR="00EE6946" w:rsidRPr="00295E71" w:rsidP="00EE6946" w14:paraId="1C731D80" w14:textId="77777777">
            <w:pPr>
              <w:keepNext/>
              <w:tabs>
                <w:tab w:val="left" w:pos="562"/>
              </w:tabs>
              <w:suppressAutoHyphens/>
              <w:rPr>
                <w:sz w:val="22"/>
                <w:lang w:eastAsia="en-US"/>
              </w:rPr>
            </w:pPr>
            <w:r w:rsidRPr="00295E71">
              <w:rPr>
                <w:sz w:val="22"/>
                <w:lang w:eastAsia="en-US"/>
              </w:rPr>
              <w:t>ASAS</w:t>
            </w:r>
            <w:r w:rsidRPr="00295E71">
              <w:rPr>
                <w:sz w:val="22"/>
                <w:vertAlign w:val="superscript"/>
                <w:lang w:eastAsia="en-US"/>
              </w:rPr>
              <w:t>a,b</w:t>
            </w:r>
            <w:r w:rsidRPr="00295E71">
              <w:rPr>
                <w:sz w:val="22"/>
                <w:lang w:eastAsia="en-US"/>
              </w:rPr>
              <w:t xml:space="preserve"> 40</w:t>
            </w:r>
          </w:p>
        </w:tc>
        <w:tc>
          <w:tcPr>
            <w:tcW w:w="928" w:type="pct"/>
          </w:tcPr>
          <w:p w:rsidR="00EE6946" w:rsidRPr="00295E71" w:rsidP="00EE6946" w14:paraId="073F697B" w14:textId="77777777">
            <w:pPr>
              <w:keepNext/>
              <w:tabs>
                <w:tab w:val="left" w:pos="562"/>
              </w:tabs>
              <w:suppressAutoHyphens/>
              <w:jc w:val="center"/>
              <w:rPr>
                <w:sz w:val="22"/>
                <w:lang w:eastAsia="en-US"/>
              </w:rPr>
            </w:pPr>
            <w:r w:rsidRPr="00295E71">
              <w:rPr>
                <w:sz w:val="22"/>
                <w:lang w:eastAsia="en-US"/>
              </w:rPr>
              <w:t>45,8%</w:t>
            </w:r>
          </w:p>
        </w:tc>
        <w:tc>
          <w:tcPr>
            <w:tcW w:w="1005" w:type="pct"/>
          </w:tcPr>
          <w:p w:rsidR="00EE6946" w:rsidRPr="00295E71" w:rsidP="00EE6946" w14:paraId="26BE4D15" w14:textId="77777777">
            <w:pPr>
              <w:keepNext/>
              <w:tabs>
                <w:tab w:val="left" w:pos="562"/>
              </w:tabs>
              <w:suppressAutoHyphens/>
              <w:jc w:val="center"/>
              <w:rPr>
                <w:sz w:val="22"/>
                <w:lang w:eastAsia="en-US"/>
              </w:rPr>
            </w:pPr>
            <w:r w:rsidRPr="00295E71">
              <w:rPr>
                <w:sz w:val="22"/>
                <w:lang w:eastAsia="en-US"/>
              </w:rPr>
              <w:t>65,8%***</w:t>
            </w:r>
          </w:p>
        </w:tc>
      </w:tr>
      <w:tr w14:paraId="16329793" w14:textId="77777777" w:rsidTr="009C4DA2">
        <w:tblPrEx>
          <w:tblW w:w="5000" w:type="pct"/>
          <w:tblLook w:val="0000"/>
        </w:tblPrEx>
        <w:tc>
          <w:tcPr>
            <w:tcW w:w="3067" w:type="pct"/>
          </w:tcPr>
          <w:p w:rsidR="00EE6946" w:rsidRPr="00295E71" w:rsidP="00EE6946" w14:paraId="28155E6E" w14:textId="77777777">
            <w:pPr>
              <w:keepNext/>
              <w:tabs>
                <w:tab w:val="left" w:pos="562"/>
              </w:tabs>
              <w:suppressAutoHyphens/>
              <w:rPr>
                <w:sz w:val="22"/>
                <w:lang w:eastAsia="en-US"/>
              </w:rPr>
            </w:pPr>
            <w:r w:rsidRPr="00295E71">
              <w:rPr>
                <w:sz w:val="22"/>
                <w:lang w:eastAsia="en-US"/>
              </w:rPr>
              <w:t>ASAS</w:t>
            </w:r>
            <w:r w:rsidRPr="00295E71">
              <w:rPr>
                <w:sz w:val="22"/>
                <w:vertAlign w:val="superscript"/>
                <w:lang w:eastAsia="en-US"/>
              </w:rPr>
              <w:t>a</w:t>
            </w:r>
            <w:r w:rsidRPr="00295E71">
              <w:rPr>
                <w:sz w:val="22"/>
                <w:lang w:eastAsia="en-US"/>
              </w:rPr>
              <w:t xml:space="preserve"> remissione parziale</w:t>
            </w:r>
          </w:p>
        </w:tc>
        <w:tc>
          <w:tcPr>
            <w:tcW w:w="928" w:type="pct"/>
          </w:tcPr>
          <w:p w:rsidR="00EE6946" w:rsidRPr="00295E71" w:rsidP="00EE6946" w14:paraId="56D4676B" w14:textId="77777777">
            <w:pPr>
              <w:keepNext/>
              <w:tabs>
                <w:tab w:val="left" w:pos="562"/>
              </w:tabs>
              <w:suppressAutoHyphens/>
              <w:jc w:val="center"/>
              <w:rPr>
                <w:sz w:val="22"/>
                <w:lang w:eastAsia="en-US"/>
              </w:rPr>
            </w:pPr>
            <w:r w:rsidRPr="00295E71">
              <w:rPr>
                <w:sz w:val="22"/>
                <w:lang w:eastAsia="en-US"/>
              </w:rPr>
              <w:t>26,8%</w:t>
            </w:r>
          </w:p>
        </w:tc>
        <w:tc>
          <w:tcPr>
            <w:tcW w:w="1005" w:type="pct"/>
          </w:tcPr>
          <w:p w:rsidR="00EE6946" w:rsidRPr="00295E71" w:rsidP="00EE6946" w14:paraId="2D905C53" w14:textId="77777777">
            <w:pPr>
              <w:keepNext/>
              <w:tabs>
                <w:tab w:val="left" w:pos="562"/>
              </w:tabs>
              <w:suppressAutoHyphens/>
              <w:jc w:val="center"/>
              <w:rPr>
                <w:sz w:val="22"/>
                <w:lang w:eastAsia="en-US"/>
              </w:rPr>
            </w:pPr>
            <w:r w:rsidRPr="00295E71">
              <w:rPr>
                <w:sz w:val="22"/>
                <w:lang w:eastAsia="en-US"/>
              </w:rPr>
              <w:t>42,1%**</w:t>
            </w:r>
          </w:p>
        </w:tc>
      </w:tr>
      <w:tr w14:paraId="329E8541" w14:textId="77777777" w:rsidTr="009C4DA2">
        <w:tblPrEx>
          <w:tblW w:w="5000" w:type="pct"/>
          <w:tblLook w:val="0000"/>
        </w:tblPrEx>
        <w:tc>
          <w:tcPr>
            <w:tcW w:w="3067" w:type="pct"/>
          </w:tcPr>
          <w:p w:rsidR="00EE6946" w:rsidRPr="00295E71" w:rsidP="00EE6946" w14:paraId="2DED9774" w14:textId="77777777">
            <w:pPr>
              <w:keepNext/>
              <w:tabs>
                <w:tab w:val="left" w:pos="562"/>
              </w:tabs>
              <w:suppressAutoHyphens/>
              <w:rPr>
                <w:sz w:val="22"/>
                <w:lang w:eastAsia="en-US"/>
              </w:rPr>
            </w:pPr>
            <w:r w:rsidRPr="00295E71">
              <w:rPr>
                <w:sz w:val="22"/>
                <w:lang w:eastAsia="en-US"/>
              </w:rPr>
              <w:t>ASDAS</w:t>
            </w:r>
            <w:r w:rsidRPr="00295E71">
              <w:rPr>
                <w:sz w:val="22"/>
                <w:vertAlign w:val="superscript"/>
                <w:lang w:eastAsia="en-US"/>
              </w:rPr>
              <w:t>c</w:t>
            </w:r>
            <w:r w:rsidRPr="00295E71">
              <w:rPr>
                <w:sz w:val="22"/>
                <w:lang w:eastAsia="en-US"/>
              </w:rPr>
              <w:t xml:space="preserve"> malattia inattiva</w:t>
            </w:r>
          </w:p>
        </w:tc>
        <w:tc>
          <w:tcPr>
            <w:tcW w:w="928" w:type="pct"/>
          </w:tcPr>
          <w:p w:rsidR="00EE6946" w:rsidRPr="00295E71" w:rsidP="00EE6946" w14:paraId="0ED807B3" w14:textId="77777777">
            <w:pPr>
              <w:keepNext/>
              <w:tabs>
                <w:tab w:val="left" w:pos="562"/>
              </w:tabs>
              <w:suppressAutoHyphens/>
              <w:jc w:val="center"/>
              <w:rPr>
                <w:sz w:val="22"/>
                <w:lang w:eastAsia="en-US"/>
              </w:rPr>
            </w:pPr>
            <w:r w:rsidRPr="00295E71">
              <w:rPr>
                <w:sz w:val="22"/>
                <w:lang w:eastAsia="en-US"/>
              </w:rPr>
              <w:t>33,3%</w:t>
            </w:r>
          </w:p>
        </w:tc>
        <w:tc>
          <w:tcPr>
            <w:tcW w:w="1005" w:type="pct"/>
          </w:tcPr>
          <w:p w:rsidR="00EE6946" w:rsidRPr="00295E71" w:rsidP="00EE6946" w14:paraId="10AC073E" w14:textId="77777777">
            <w:pPr>
              <w:keepNext/>
              <w:tabs>
                <w:tab w:val="left" w:pos="562"/>
              </w:tabs>
              <w:suppressAutoHyphens/>
              <w:jc w:val="center"/>
              <w:rPr>
                <w:sz w:val="22"/>
                <w:lang w:eastAsia="en-US"/>
              </w:rPr>
            </w:pPr>
            <w:r w:rsidRPr="00295E71">
              <w:rPr>
                <w:sz w:val="22"/>
                <w:lang w:eastAsia="en-US"/>
              </w:rPr>
              <w:t>57,2%***</w:t>
            </w:r>
          </w:p>
        </w:tc>
      </w:tr>
      <w:tr w14:paraId="11771740" w14:textId="77777777" w:rsidTr="009C4DA2">
        <w:tblPrEx>
          <w:tblW w:w="5000" w:type="pct"/>
          <w:tblLook w:val="0000"/>
        </w:tblPrEx>
        <w:tc>
          <w:tcPr>
            <w:tcW w:w="3067" w:type="pct"/>
          </w:tcPr>
          <w:p w:rsidR="00EE6946" w:rsidRPr="00295E71" w:rsidP="00EE6946" w14:paraId="066ADD24" w14:textId="77777777">
            <w:pPr>
              <w:keepNext/>
              <w:tabs>
                <w:tab w:val="left" w:pos="562"/>
              </w:tabs>
              <w:suppressAutoHyphens/>
              <w:rPr>
                <w:sz w:val="22"/>
                <w:lang w:eastAsia="en-US"/>
              </w:rPr>
            </w:pPr>
            <w:r w:rsidRPr="00295E71">
              <w:rPr>
                <w:sz w:val="22"/>
                <w:lang w:eastAsia="en-US"/>
              </w:rPr>
              <w:t>Esacerbazione parziale</w:t>
            </w:r>
            <w:r w:rsidRPr="00295E71">
              <w:rPr>
                <w:sz w:val="22"/>
                <w:szCs w:val="22"/>
                <w:vertAlign w:val="superscript"/>
                <w:lang w:eastAsia="en-US"/>
              </w:rPr>
              <w:t>d</w:t>
            </w:r>
          </w:p>
        </w:tc>
        <w:tc>
          <w:tcPr>
            <w:tcW w:w="928" w:type="pct"/>
          </w:tcPr>
          <w:p w:rsidR="00EE6946" w:rsidRPr="00295E71" w:rsidP="00EE6946" w14:paraId="4CB26F57" w14:textId="77777777">
            <w:pPr>
              <w:keepNext/>
              <w:tabs>
                <w:tab w:val="left" w:pos="562"/>
              </w:tabs>
              <w:suppressAutoHyphens/>
              <w:jc w:val="center"/>
              <w:rPr>
                <w:sz w:val="22"/>
                <w:lang w:eastAsia="en-US"/>
              </w:rPr>
            </w:pPr>
            <w:r w:rsidRPr="00295E71">
              <w:rPr>
                <w:sz w:val="22"/>
                <w:lang w:eastAsia="en-US"/>
              </w:rPr>
              <w:t>64,1%</w:t>
            </w:r>
          </w:p>
        </w:tc>
        <w:tc>
          <w:tcPr>
            <w:tcW w:w="1005" w:type="pct"/>
          </w:tcPr>
          <w:p w:rsidR="00EE6946" w:rsidRPr="00295E71" w:rsidP="00EE6946" w14:paraId="74663E75" w14:textId="77777777">
            <w:pPr>
              <w:keepNext/>
              <w:tabs>
                <w:tab w:val="left" w:pos="562"/>
              </w:tabs>
              <w:suppressAutoHyphens/>
              <w:jc w:val="center"/>
              <w:rPr>
                <w:sz w:val="22"/>
                <w:lang w:eastAsia="en-US"/>
              </w:rPr>
            </w:pPr>
            <w:r w:rsidRPr="00295E71">
              <w:rPr>
                <w:sz w:val="22"/>
                <w:lang w:eastAsia="en-US"/>
              </w:rPr>
              <w:t>40,8%***</w:t>
            </w:r>
          </w:p>
        </w:tc>
      </w:tr>
      <w:tr w14:paraId="14135C70" w14:textId="77777777" w:rsidTr="009C4DA2">
        <w:tblPrEx>
          <w:tblW w:w="5000" w:type="pct"/>
          <w:tblLook w:val="0000"/>
        </w:tblPrEx>
        <w:tc>
          <w:tcPr>
            <w:tcW w:w="5000" w:type="pct"/>
            <w:gridSpan w:val="3"/>
            <w:tcBorders>
              <w:left w:val="nil"/>
              <w:bottom w:val="nil"/>
              <w:right w:val="nil"/>
            </w:tcBorders>
          </w:tcPr>
          <w:p w:rsidR="00EE6946" w:rsidRPr="00295E71" w:rsidP="00EE6946" w14:paraId="20C3B8C2" w14:textId="77777777">
            <w:pPr>
              <w:autoSpaceDE w:val="0"/>
              <w:autoSpaceDN w:val="0"/>
              <w:adjustRightInd w:val="0"/>
              <w:rPr>
                <w:sz w:val="22"/>
                <w:szCs w:val="22"/>
                <w:lang w:eastAsia="en-US"/>
              </w:rPr>
            </w:pPr>
            <w:r w:rsidRPr="00295E71">
              <w:rPr>
                <w:sz w:val="22"/>
                <w:szCs w:val="22"/>
                <w:vertAlign w:val="superscript"/>
                <w:lang w:eastAsia="en-US"/>
              </w:rPr>
              <w:t>a</w:t>
            </w:r>
            <w:r w:rsidRPr="00295E71">
              <w:rPr>
                <w:sz w:val="22"/>
                <w:szCs w:val="22"/>
                <w:lang w:eastAsia="en-US"/>
              </w:rPr>
              <w:t xml:space="preserve"> Valutazione della Società internazionale per la spondiloartrite (</w:t>
            </w:r>
            <w:r w:rsidRPr="00295E71">
              <w:rPr>
                <w:i/>
                <w:sz w:val="22"/>
                <w:szCs w:val="22"/>
                <w:lang w:eastAsia="en-US"/>
              </w:rPr>
              <w:t>Assessment of SpondyloArthritis international Society)</w:t>
            </w:r>
          </w:p>
          <w:p w:rsidR="00EE6946" w:rsidRPr="00295E71" w:rsidP="00EE6946" w14:paraId="0F93C166" w14:textId="77777777">
            <w:pPr>
              <w:tabs>
                <w:tab w:val="left" w:pos="562"/>
              </w:tabs>
              <w:suppressAutoHyphens/>
              <w:ind w:left="20"/>
              <w:rPr>
                <w:sz w:val="22"/>
                <w:szCs w:val="22"/>
                <w:vertAlign w:val="superscript"/>
                <w:lang w:eastAsia="en-US"/>
              </w:rPr>
            </w:pPr>
            <w:r w:rsidRPr="00295E71">
              <w:rPr>
                <w:sz w:val="22"/>
                <w:szCs w:val="22"/>
                <w:vertAlign w:val="superscript"/>
                <w:lang w:eastAsia="en-US"/>
              </w:rPr>
              <w:t>b</w:t>
            </w:r>
            <w:r w:rsidRPr="00295E71">
              <w:rPr>
                <w:sz w:val="22"/>
                <w:szCs w:val="22"/>
                <w:lang w:eastAsia="en-US"/>
              </w:rPr>
              <w:t xml:space="preserve"> Il basale è definito come basale in aperto quando i pazienti presentano malattia attiva.</w:t>
            </w:r>
          </w:p>
          <w:p w:rsidR="00EE6946" w:rsidRPr="00295E71" w:rsidP="00EE6946" w14:paraId="326F0E24" w14:textId="77777777">
            <w:pPr>
              <w:tabs>
                <w:tab w:val="left" w:pos="562"/>
              </w:tabs>
              <w:suppressAutoHyphens/>
              <w:ind w:left="20"/>
              <w:rPr>
                <w:sz w:val="22"/>
                <w:szCs w:val="22"/>
                <w:vertAlign w:val="superscript"/>
                <w:lang w:eastAsia="en-US"/>
              </w:rPr>
            </w:pPr>
            <w:r w:rsidRPr="00295E71">
              <w:rPr>
                <w:sz w:val="22"/>
                <w:szCs w:val="22"/>
                <w:vertAlign w:val="superscript"/>
                <w:lang w:eastAsia="en-US"/>
              </w:rPr>
              <w:t>c</w:t>
            </w:r>
            <w:r w:rsidRPr="00295E71">
              <w:rPr>
                <w:sz w:val="22"/>
                <w:szCs w:val="22"/>
                <w:lang w:eastAsia="en-US"/>
              </w:rPr>
              <w:t xml:space="preserve"> Punteggio di attività di malattia della spondilite anchilosante (</w:t>
            </w:r>
            <w:r w:rsidRPr="00295E71">
              <w:rPr>
                <w:i/>
                <w:sz w:val="22"/>
                <w:szCs w:val="22"/>
                <w:lang w:eastAsia="en-US"/>
              </w:rPr>
              <w:t>Ankylosing Spondylitis Disease Activity Score</w:t>
            </w:r>
            <w:r w:rsidRPr="00295E71">
              <w:rPr>
                <w:sz w:val="22"/>
                <w:szCs w:val="22"/>
                <w:lang w:eastAsia="en-US"/>
              </w:rPr>
              <w:t>)</w:t>
            </w:r>
          </w:p>
          <w:p w:rsidR="00EE6946" w:rsidRPr="00295E71" w:rsidP="00EE6946" w14:paraId="697E5BBC" w14:textId="77777777">
            <w:pPr>
              <w:autoSpaceDE w:val="0"/>
              <w:autoSpaceDN w:val="0"/>
              <w:adjustRightInd w:val="0"/>
              <w:rPr>
                <w:sz w:val="22"/>
                <w:szCs w:val="22"/>
                <w:lang w:eastAsia="en-US"/>
              </w:rPr>
            </w:pPr>
            <w:r w:rsidRPr="00295E71">
              <w:rPr>
                <w:sz w:val="22"/>
                <w:szCs w:val="22"/>
                <w:vertAlign w:val="superscript"/>
                <w:lang w:eastAsia="en-US"/>
              </w:rPr>
              <w:t>d</w:t>
            </w:r>
            <w:r w:rsidRPr="00295E71">
              <w:rPr>
                <w:sz w:val="22"/>
                <w:szCs w:val="22"/>
                <w:lang w:eastAsia="en-US"/>
              </w:rPr>
              <w:t xml:space="preserve"> L’esacerbazione parziale è definita come </w:t>
            </w:r>
            <w:r w:rsidRPr="00295E71" w:rsidR="00AE1EFC">
              <w:rPr>
                <w:rFonts w:eastAsia="Calibri"/>
                <w:sz w:val="22"/>
                <w:szCs w:val="22"/>
                <w:lang w:eastAsia="en-US"/>
              </w:rPr>
              <w:t>ASDAS ≥</w:t>
            </w:r>
            <w:r w:rsidR="00F92001">
              <w:rPr>
                <w:rFonts w:eastAsia="Calibri"/>
                <w:sz w:val="22"/>
                <w:szCs w:val="22"/>
                <w:lang w:eastAsia="en-US"/>
              </w:rPr>
              <w:t> </w:t>
            </w:r>
            <w:r w:rsidRPr="00295E71" w:rsidR="00AE1EFC">
              <w:rPr>
                <w:rFonts w:eastAsia="Calibri"/>
                <w:sz w:val="22"/>
                <w:szCs w:val="22"/>
                <w:lang w:eastAsia="en-US"/>
              </w:rPr>
              <w:t>1,3 ma &lt;</w:t>
            </w:r>
            <w:r w:rsidR="00F92001">
              <w:rPr>
                <w:rFonts w:eastAsia="Calibri"/>
                <w:sz w:val="22"/>
                <w:szCs w:val="22"/>
                <w:lang w:eastAsia="en-US"/>
              </w:rPr>
              <w:t> </w:t>
            </w:r>
            <w:r w:rsidRPr="00295E71">
              <w:rPr>
                <w:rFonts w:eastAsia="Calibri"/>
                <w:sz w:val="22"/>
                <w:szCs w:val="22"/>
                <w:lang w:eastAsia="en-US"/>
              </w:rPr>
              <w:t>2,1 a 2 visite consecutive.</w:t>
            </w:r>
          </w:p>
          <w:p w:rsidR="00EE6946" w:rsidRPr="00295E71" w:rsidP="00EE6946" w14:paraId="2F922147" w14:textId="77777777">
            <w:pPr>
              <w:keepNext/>
              <w:tabs>
                <w:tab w:val="left" w:pos="562"/>
              </w:tabs>
              <w:suppressAutoHyphens/>
              <w:ind w:left="20"/>
              <w:rPr>
                <w:sz w:val="22"/>
                <w:szCs w:val="20"/>
                <w:lang w:eastAsia="en-US"/>
              </w:rPr>
            </w:pPr>
            <w:r w:rsidRPr="00295E71">
              <w:rPr>
                <w:sz w:val="22"/>
                <w:szCs w:val="22"/>
                <w:lang w:eastAsia="en-US"/>
              </w:rPr>
              <w:t>***, ** Statisticamente significativo, rispettivamente,</w:t>
            </w:r>
            <w:r w:rsidRPr="00295E71" w:rsidR="00AE1EFC">
              <w:rPr>
                <w:sz w:val="22"/>
                <w:szCs w:val="22"/>
                <w:lang w:eastAsia="en-US"/>
              </w:rPr>
              <w:t xml:space="preserve"> con p &lt;0,001 e &lt;</w:t>
            </w:r>
            <w:r w:rsidRPr="00295E71">
              <w:rPr>
                <w:sz w:val="22"/>
                <w:szCs w:val="22"/>
                <w:lang w:eastAsia="en-US"/>
              </w:rPr>
              <w:t>0,01 per tutti i confronti tra Humira e placebo.</w:t>
            </w:r>
          </w:p>
        </w:tc>
      </w:tr>
    </w:tbl>
    <w:p w:rsidR="006224C2" w:rsidRPr="00BF509C" w14:paraId="45CDFEA4" w14:textId="77777777">
      <w:pPr>
        <w:pStyle w:val="EMEATitle"/>
        <w:suppressAutoHyphens w:val="0"/>
        <w:jc w:val="both"/>
        <w:rPr>
          <w:rFonts w:ascii="Times New Roman" w:hAnsi="Times New Roman"/>
          <w:b w:val="0"/>
          <w:caps w:val="0"/>
          <w:lang w:val="it-IT" w:eastAsia="it-IT"/>
        </w:rPr>
      </w:pPr>
    </w:p>
    <w:p w:rsidR="006224C2" w:rsidRPr="00295E71" w14:paraId="0AAEBE23" w14:textId="77777777">
      <w:pPr>
        <w:keepNext/>
        <w:tabs>
          <w:tab w:val="left" w:pos="567"/>
          <w:tab w:val="left" w:pos="1294"/>
        </w:tabs>
        <w:autoSpaceDE w:val="0"/>
        <w:autoSpaceDN w:val="0"/>
        <w:adjustRightInd w:val="0"/>
        <w:jc w:val="both"/>
        <w:rPr>
          <w:i/>
          <w:color w:val="000000"/>
          <w:sz w:val="22"/>
          <w:szCs w:val="22"/>
        </w:rPr>
      </w:pPr>
      <w:r w:rsidRPr="00295E71">
        <w:rPr>
          <w:i/>
          <w:color w:val="000000"/>
          <w:sz w:val="22"/>
          <w:szCs w:val="22"/>
        </w:rPr>
        <w:t>Artrite psoriasica</w:t>
      </w:r>
    </w:p>
    <w:p w:rsidR="006224C2" w:rsidRPr="00295E71" w14:paraId="6CC0EF0C" w14:textId="77777777">
      <w:pPr>
        <w:keepNext/>
        <w:tabs>
          <w:tab w:val="left" w:pos="567"/>
          <w:tab w:val="left" w:pos="1294"/>
        </w:tabs>
        <w:autoSpaceDE w:val="0"/>
        <w:autoSpaceDN w:val="0"/>
        <w:adjustRightInd w:val="0"/>
        <w:jc w:val="both"/>
        <w:rPr>
          <w:color w:val="000000"/>
          <w:sz w:val="22"/>
          <w:szCs w:val="22"/>
        </w:rPr>
      </w:pPr>
    </w:p>
    <w:p w:rsidR="006224C2" w:rsidRPr="00295E71" w14:paraId="409F9140" w14:textId="77777777">
      <w:pPr>
        <w:keepNext/>
        <w:tabs>
          <w:tab w:val="left" w:pos="567"/>
          <w:tab w:val="left" w:pos="1294"/>
        </w:tabs>
        <w:autoSpaceDE w:val="0"/>
        <w:autoSpaceDN w:val="0"/>
        <w:adjustRightInd w:val="0"/>
        <w:jc w:val="both"/>
        <w:rPr>
          <w:sz w:val="22"/>
          <w:szCs w:val="22"/>
        </w:rPr>
      </w:pPr>
      <w:r w:rsidRPr="00295E71">
        <w:rPr>
          <w:sz w:val="22"/>
          <w:szCs w:val="22"/>
        </w:rPr>
        <w:t>Humira, somministrato alla dose di 40 mg a settimane alterne, è stato studiato in pazienti affetti da artrite psoriasica attiva di grado moderato-grave in due studi controllati con placebo, gli studi PsA I e II. Nel corso dello studio PsA I della durata di 24 settimane, sono stati trattati 313 pazienti adulti che avevano una risposta inadeguata alla terapia con farmaci antinfiammatori non</w:t>
      </w:r>
      <w:r w:rsidRPr="00295E71" w:rsidR="00046E7F">
        <w:rPr>
          <w:sz w:val="22"/>
          <w:szCs w:val="22"/>
        </w:rPr>
        <w:t xml:space="preserve"> </w:t>
      </w:r>
      <w:r w:rsidRPr="00295E71">
        <w:rPr>
          <w:sz w:val="22"/>
          <w:szCs w:val="22"/>
        </w:rPr>
        <w:t>steroidei e di questi, circa il 50% stava assumendo metotressato. Nel corso dello studio PsA II della durata di 12 settimane, sono stati trattati 100 pazienti che avevano una risposta inadeguata alla terapia con DMARD. A conclusione di entrambi gli studi, 383 pazienti sono stati arruolati in uno studio di estensione in aperto ed hanno ricevuto Humira 40 mg a settimane alterne.</w:t>
      </w:r>
    </w:p>
    <w:p w:rsidR="006224C2" w:rsidRPr="00295E71" w14:paraId="449421B0" w14:textId="77777777">
      <w:pPr>
        <w:tabs>
          <w:tab w:val="left" w:pos="567"/>
          <w:tab w:val="left" w:pos="1294"/>
        </w:tabs>
        <w:autoSpaceDE w:val="0"/>
        <w:autoSpaceDN w:val="0"/>
        <w:adjustRightInd w:val="0"/>
        <w:jc w:val="both"/>
        <w:rPr>
          <w:sz w:val="22"/>
          <w:szCs w:val="22"/>
        </w:rPr>
      </w:pPr>
    </w:p>
    <w:p w:rsidR="006224C2" w:rsidRPr="00295E71" w14:paraId="01DD23D3" w14:textId="77777777">
      <w:pPr>
        <w:tabs>
          <w:tab w:val="left" w:pos="567"/>
          <w:tab w:val="left" w:pos="1294"/>
        </w:tabs>
        <w:autoSpaceDE w:val="0"/>
        <w:autoSpaceDN w:val="0"/>
        <w:adjustRightInd w:val="0"/>
        <w:jc w:val="both"/>
        <w:rPr>
          <w:sz w:val="22"/>
          <w:szCs w:val="22"/>
        </w:rPr>
      </w:pPr>
      <w:r w:rsidRPr="00295E71">
        <w:rPr>
          <w:sz w:val="22"/>
          <w:szCs w:val="22"/>
        </w:rPr>
        <w:t>A causa del numero limitato di pazienti studiati, non vi è sufficiente evidenza dell’efficacia di Humira in pazienti affetti da artrite psoriasica simil-spondilite anchilosante.</w:t>
      </w:r>
    </w:p>
    <w:p w:rsidR="006224C2" w:rsidRPr="00295E71" w14:paraId="1BB402B0" w14:textId="77777777">
      <w:pPr>
        <w:tabs>
          <w:tab w:val="left" w:pos="567"/>
          <w:tab w:val="left" w:pos="1294"/>
        </w:tabs>
        <w:autoSpaceDE w:val="0"/>
        <w:autoSpaceDN w:val="0"/>
        <w:adjustRightInd w:val="0"/>
        <w:rPr>
          <w:sz w:val="22"/>
          <w:szCs w:val="22"/>
        </w:rPr>
      </w:pPr>
    </w:p>
    <w:p w:rsidR="006224C2" w:rsidRPr="00295E71" w14:paraId="63D7D3C8" w14:textId="77777777">
      <w:pPr>
        <w:pStyle w:val="EMEATitle"/>
        <w:keepNext/>
        <w:suppressAutoHyphens w:val="0"/>
        <w:rPr>
          <w:rFonts w:ascii="Times New Roman" w:hAnsi="Times New Roman"/>
          <w:caps w:val="0"/>
          <w:lang w:val="it-IT" w:eastAsia="it-IT"/>
        </w:rPr>
      </w:pPr>
      <w:r w:rsidRPr="00295E71">
        <w:rPr>
          <w:rFonts w:ascii="Times New Roman" w:hAnsi="Times New Roman"/>
          <w:caps w:val="0"/>
          <w:lang w:val="it-IT" w:eastAsia="it-IT"/>
        </w:rPr>
        <w:t>Tabella 1</w:t>
      </w:r>
      <w:r w:rsidR="0062664F">
        <w:rPr>
          <w:rFonts w:ascii="Times New Roman" w:hAnsi="Times New Roman"/>
          <w:caps w:val="0"/>
          <w:lang w:val="it-IT" w:eastAsia="it-IT"/>
        </w:rPr>
        <w:t>5</w:t>
      </w:r>
    </w:p>
    <w:p w:rsidR="006224C2" w:rsidRPr="00295E71" w14:paraId="69E49930" w14:textId="77777777">
      <w:pPr>
        <w:keepNext/>
        <w:tabs>
          <w:tab w:val="left" w:pos="567"/>
        </w:tabs>
        <w:jc w:val="center"/>
        <w:rPr>
          <w:b/>
          <w:bCs/>
          <w:sz w:val="22"/>
          <w:szCs w:val="22"/>
        </w:rPr>
      </w:pPr>
      <w:r w:rsidRPr="00295E71">
        <w:rPr>
          <w:b/>
          <w:bCs/>
          <w:sz w:val="22"/>
          <w:szCs w:val="22"/>
        </w:rPr>
        <w:t>Risposte ACR in studi controllati con placebo nei casi di artrite psoriasica (percentuale di pazienti)</w:t>
      </w:r>
    </w:p>
    <w:p w:rsidR="006224C2" w:rsidRPr="00295E71" w14:paraId="01D5B81C" w14:textId="77777777">
      <w:pPr>
        <w:keepNext/>
        <w:tabs>
          <w:tab w:val="left" w:pos="567"/>
        </w:tabs>
        <w:jc w:val="center"/>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4"/>
        <w:gridCol w:w="1770"/>
        <w:gridCol w:w="1324"/>
        <w:gridCol w:w="1316"/>
        <w:gridCol w:w="1343"/>
        <w:gridCol w:w="1316"/>
        <w:gridCol w:w="91"/>
      </w:tblGrid>
      <w:tr w14:paraId="26D6B961" w14:textId="77777777">
        <w:tblPrEx>
          <w:tblW w:w="0" w:type="auto"/>
          <w:tblLook w:val="0000"/>
        </w:tblPrEx>
        <w:trPr>
          <w:gridBefore w:val="1"/>
          <w:gridAfter w:val="1"/>
          <w:wBefore w:w="64" w:type="dxa"/>
          <w:wAfter w:w="91" w:type="dxa"/>
        </w:trPr>
        <w:tc>
          <w:tcPr>
            <w:tcW w:w="1770" w:type="dxa"/>
            <w:tcBorders>
              <w:top w:val="single" w:sz="4" w:space="0" w:color="auto"/>
              <w:left w:val="single" w:sz="4" w:space="0" w:color="auto"/>
              <w:bottom w:val="single" w:sz="4" w:space="0" w:color="auto"/>
              <w:right w:val="single" w:sz="4" w:space="0" w:color="auto"/>
            </w:tcBorders>
            <w:vAlign w:val="center"/>
          </w:tcPr>
          <w:p w:rsidR="006224C2" w:rsidRPr="00295E71" w14:paraId="7F04AC56" w14:textId="77777777">
            <w:pPr>
              <w:pStyle w:val="EMEANormal"/>
              <w:keepNext/>
              <w:rPr>
                <w:lang w:val="it-IT"/>
              </w:rPr>
            </w:pPr>
          </w:p>
        </w:tc>
        <w:tc>
          <w:tcPr>
            <w:tcW w:w="2640" w:type="dxa"/>
            <w:gridSpan w:val="2"/>
            <w:tcBorders>
              <w:top w:val="single" w:sz="4" w:space="0" w:color="auto"/>
              <w:left w:val="single" w:sz="4" w:space="0" w:color="auto"/>
              <w:bottom w:val="single" w:sz="4" w:space="0" w:color="auto"/>
              <w:right w:val="single" w:sz="4" w:space="0" w:color="auto"/>
            </w:tcBorders>
            <w:vAlign w:val="center"/>
          </w:tcPr>
          <w:p w:rsidR="006224C2" w:rsidRPr="00295E71" w14:paraId="715458DA" w14:textId="77777777">
            <w:pPr>
              <w:pStyle w:val="EMEANormal"/>
              <w:keepNext/>
              <w:jc w:val="center"/>
              <w:rPr>
                <w:lang w:val="it-IT"/>
              </w:rPr>
            </w:pPr>
            <w:r w:rsidRPr="00295E71">
              <w:rPr>
                <w:lang w:val="it-IT"/>
              </w:rPr>
              <w:t>Studio PsA I</w:t>
            </w:r>
          </w:p>
        </w:tc>
        <w:tc>
          <w:tcPr>
            <w:tcW w:w="2659" w:type="dxa"/>
            <w:gridSpan w:val="2"/>
            <w:tcBorders>
              <w:top w:val="single" w:sz="4" w:space="0" w:color="auto"/>
              <w:left w:val="single" w:sz="4" w:space="0" w:color="auto"/>
              <w:bottom w:val="single" w:sz="4" w:space="0" w:color="auto"/>
              <w:right w:val="single" w:sz="4" w:space="0" w:color="auto"/>
            </w:tcBorders>
          </w:tcPr>
          <w:p w:rsidR="006224C2" w:rsidRPr="00295E71" w14:paraId="4BE18C78" w14:textId="77777777">
            <w:pPr>
              <w:pStyle w:val="EMEANormal"/>
              <w:keepNext/>
              <w:jc w:val="center"/>
              <w:rPr>
                <w:lang w:val="it-IT"/>
              </w:rPr>
            </w:pPr>
            <w:r w:rsidRPr="00295E71">
              <w:rPr>
                <w:lang w:val="it-IT"/>
              </w:rPr>
              <w:t>Studio PsA II</w:t>
            </w:r>
          </w:p>
        </w:tc>
      </w:tr>
      <w:tr w14:paraId="05713030" w14:textId="77777777">
        <w:tblPrEx>
          <w:tblW w:w="0" w:type="auto"/>
          <w:tblLook w:val="0000"/>
        </w:tblPrEx>
        <w:trPr>
          <w:gridBefore w:val="1"/>
          <w:gridAfter w:val="1"/>
          <w:wBefore w:w="64" w:type="dxa"/>
          <w:wAfter w:w="91" w:type="dxa"/>
        </w:trPr>
        <w:tc>
          <w:tcPr>
            <w:tcW w:w="1770" w:type="dxa"/>
            <w:tcBorders>
              <w:top w:val="single" w:sz="4" w:space="0" w:color="auto"/>
              <w:left w:val="single" w:sz="4" w:space="0" w:color="auto"/>
              <w:bottom w:val="single" w:sz="4" w:space="0" w:color="auto"/>
              <w:right w:val="single" w:sz="4" w:space="0" w:color="auto"/>
            </w:tcBorders>
            <w:vAlign w:val="center"/>
          </w:tcPr>
          <w:p w:rsidR="006224C2" w:rsidRPr="00295E71" w14:paraId="1692734A" w14:textId="77777777">
            <w:pPr>
              <w:pStyle w:val="EMEANormal"/>
              <w:keepNext/>
              <w:rPr>
                <w:lang w:val="it-IT"/>
              </w:rPr>
            </w:pPr>
            <w:r w:rsidRPr="00295E71">
              <w:rPr>
                <w:lang w:val="it-IT"/>
              </w:rPr>
              <w:t>Risposta</w:t>
            </w:r>
          </w:p>
        </w:tc>
        <w:tc>
          <w:tcPr>
            <w:tcW w:w="1324" w:type="dxa"/>
            <w:tcBorders>
              <w:top w:val="single" w:sz="4" w:space="0" w:color="auto"/>
              <w:left w:val="single" w:sz="4" w:space="0" w:color="auto"/>
              <w:bottom w:val="single" w:sz="4" w:space="0" w:color="auto"/>
              <w:right w:val="single" w:sz="4" w:space="0" w:color="auto"/>
            </w:tcBorders>
            <w:vAlign w:val="center"/>
          </w:tcPr>
          <w:p w:rsidR="006224C2" w:rsidRPr="00295E71" w14:paraId="0B5DA871" w14:textId="77777777">
            <w:pPr>
              <w:pStyle w:val="EMEANormal"/>
              <w:keepNext/>
              <w:jc w:val="center"/>
              <w:rPr>
                <w:lang w:val="it-IT"/>
              </w:rPr>
            </w:pPr>
            <w:r w:rsidRPr="00295E71">
              <w:rPr>
                <w:lang w:val="it-IT"/>
              </w:rPr>
              <w:t>Placebo</w:t>
            </w:r>
          </w:p>
          <w:p w:rsidR="006224C2" w:rsidRPr="00295E71" w14:paraId="2313A043" w14:textId="77777777">
            <w:pPr>
              <w:pStyle w:val="EMEANormal"/>
              <w:keepNext/>
              <w:jc w:val="center"/>
              <w:rPr>
                <w:lang w:val="it-IT"/>
              </w:rPr>
            </w:pPr>
            <w:r w:rsidRPr="00295E71">
              <w:rPr>
                <w:lang w:val="it-IT"/>
              </w:rPr>
              <w:t>N=162</w:t>
            </w:r>
          </w:p>
        </w:tc>
        <w:tc>
          <w:tcPr>
            <w:tcW w:w="1316" w:type="dxa"/>
            <w:tcBorders>
              <w:top w:val="single" w:sz="4" w:space="0" w:color="auto"/>
              <w:left w:val="single" w:sz="4" w:space="0" w:color="auto"/>
              <w:bottom w:val="single" w:sz="4" w:space="0" w:color="auto"/>
              <w:right w:val="nil"/>
            </w:tcBorders>
            <w:vAlign w:val="center"/>
          </w:tcPr>
          <w:p w:rsidR="006224C2" w:rsidRPr="00295E71" w14:paraId="42F8006F" w14:textId="77777777">
            <w:pPr>
              <w:pStyle w:val="EMEANormal"/>
              <w:keepNext/>
              <w:jc w:val="center"/>
              <w:rPr>
                <w:lang w:val="it-IT"/>
              </w:rPr>
            </w:pPr>
            <w:r w:rsidRPr="00295E71">
              <w:rPr>
                <w:lang w:val="it-IT"/>
              </w:rPr>
              <w:t>Humira</w:t>
            </w:r>
          </w:p>
          <w:p w:rsidR="006224C2" w:rsidRPr="00295E71" w14:paraId="3F3570D9" w14:textId="77777777">
            <w:pPr>
              <w:pStyle w:val="EMEANormal"/>
              <w:keepNext/>
              <w:jc w:val="center"/>
              <w:rPr>
                <w:lang w:val="it-IT"/>
              </w:rPr>
            </w:pPr>
            <w:r w:rsidRPr="00295E71">
              <w:rPr>
                <w:lang w:val="it-IT"/>
              </w:rPr>
              <w:t>N=151</w:t>
            </w:r>
          </w:p>
        </w:tc>
        <w:tc>
          <w:tcPr>
            <w:tcW w:w="1343" w:type="dxa"/>
            <w:tcBorders>
              <w:top w:val="single" w:sz="4" w:space="0" w:color="auto"/>
              <w:left w:val="single" w:sz="4" w:space="0" w:color="auto"/>
              <w:bottom w:val="single" w:sz="4" w:space="0" w:color="auto"/>
              <w:right w:val="single" w:sz="4" w:space="0" w:color="auto"/>
            </w:tcBorders>
          </w:tcPr>
          <w:p w:rsidR="006224C2" w:rsidRPr="00295E71" w14:paraId="00371C76" w14:textId="77777777">
            <w:pPr>
              <w:pStyle w:val="EMEANormal"/>
              <w:keepNext/>
              <w:jc w:val="center"/>
              <w:rPr>
                <w:lang w:val="it-IT"/>
              </w:rPr>
            </w:pPr>
            <w:r w:rsidRPr="00295E71">
              <w:rPr>
                <w:lang w:val="it-IT"/>
              </w:rPr>
              <w:t xml:space="preserve">Placebo </w:t>
            </w:r>
          </w:p>
          <w:p w:rsidR="006224C2" w:rsidRPr="00295E71" w14:paraId="5D4B965C" w14:textId="77777777">
            <w:pPr>
              <w:pStyle w:val="EMEANormal"/>
              <w:keepNext/>
              <w:jc w:val="center"/>
              <w:rPr>
                <w:lang w:val="it-IT"/>
              </w:rPr>
            </w:pPr>
            <w:r w:rsidRPr="00295E71">
              <w:rPr>
                <w:lang w:val="it-IT"/>
              </w:rPr>
              <w:t>N=49</w:t>
            </w:r>
          </w:p>
        </w:tc>
        <w:tc>
          <w:tcPr>
            <w:tcW w:w="1316" w:type="dxa"/>
            <w:tcBorders>
              <w:top w:val="single" w:sz="4" w:space="0" w:color="auto"/>
              <w:left w:val="single" w:sz="4" w:space="0" w:color="auto"/>
              <w:bottom w:val="single" w:sz="4" w:space="0" w:color="auto"/>
              <w:right w:val="single" w:sz="4" w:space="0" w:color="auto"/>
            </w:tcBorders>
          </w:tcPr>
          <w:p w:rsidR="006224C2" w:rsidRPr="00295E71" w14:paraId="37D429CE" w14:textId="77777777">
            <w:pPr>
              <w:pStyle w:val="EMEANormal"/>
              <w:keepNext/>
              <w:jc w:val="center"/>
              <w:rPr>
                <w:lang w:val="it-IT"/>
              </w:rPr>
            </w:pPr>
            <w:r w:rsidRPr="00295E71">
              <w:rPr>
                <w:lang w:val="it-IT"/>
              </w:rPr>
              <w:t>Humira</w:t>
            </w:r>
          </w:p>
          <w:p w:rsidR="006224C2" w:rsidRPr="00295E71" w14:paraId="615498A7" w14:textId="77777777">
            <w:pPr>
              <w:pStyle w:val="EMEANormal"/>
              <w:keepNext/>
              <w:jc w:val="center"/>
              <w:rPr>
                <w:lang w:val="it-IT"/>
              </w:rPr>
            </w:pPr>
            <w:r w:rsidRPr="00295E71">
              <w:rPr>
                <w:lang w:val="it-IT"/>
              </w:rPr>
              <w:t>N=51</w:t>
            </w:r>
          </w:p>
        </w:tc>
      </w:tr>
      <w:tr w14:paraId="58EF3DC0" w14:textId="77777777">
        <w:tblPrEx>
          <w:tblW w:w="0" w:type="auto"/>
          <w:tblLook w:val="0000"/>
        </w:tblPrEx>
        <w:trPr>
          <w:gridBefore w:val="1"/>
          <w:gridAfter w:val="1"/>
          <w:wBefore w:w="64" w:type="dxa"/>
          <w:wAfter w:w="91" w:type="dxa"/>
        </w:trPr>
        <w:tc>
          <w:tcPr>
            <w:tcW w:w="1770" w:type="dxa"/>
            <w:tcBorders>
              <w:top w:val="single" w:sz="4" w:space="0" w:color="auto"/>
              <w:left w:val="single" w:sz="4" w:space="0" w:color="auto"/>
              <w:bottom w:val="nil"/>
              <w:right w:val="single" w:sz="4" w:space="0" w:color="auto"/>
            </w:tcBorders>
          </w:tcPr>
          <w:p w:rsidR="006224C2" w:rsidRPr="00295E71" w14:paraId="62525C08" w14:textId="77777777">
            <w:pPr>
              <w:pStyle w:val="EMEANormal"/>
              <w:keepNext/>
              <w:rPr>
                <w:lang w:val="it-IT"/>
              </w:rPr>
            </w:pPr>
            <w:r w:rsidRPr="00295E71">
              <w:rPr>
                <w:lang w:val="it-IT"/>
              </w:rPr>
              <w:t xml:space="preserve">ACR 20 </w:t>
            </w:r>
          </w:p>
        </w:tc>
        <w:tc>
          <w:tcPr>
            <w:tcW w:w="1324" w:type="dxa"/>
            <w:tcBorders>
              <w:top w:val="single" w:sz="4" w:space="0" w:color="auto"/>
              <w:left w:val="single" w:sz="4" w:space="0" w:color="auto"/>
              <w:bottom w:val="nil"/>
              <w:right w:val="single" w:sz="4" w:space="0" w:color="auto"/>
            </w:tcBorders>
          </w:tcPr>
          <w:p w:rsidR="006224C2" w:rsidRPr="00295E71" w14:paraId="0CA17A66" w14:textId="77777777">
            <w:pPr>
              <w:pStyle w:val="EMEANormal"/>
              <w:keepNext/>
              <w:jc w:val="center"/>
              <w:rPr>
                <w:lang w:val="it-IT"/>
              </w:rPr>
            </w:pPr>
          </w:p>
        </w:tc>
        <w:tc>
          <w:tcPr>
            <w:tcW w:w="1316" w:type="dxa"/>
            <w:tcBorders>
              <w:top w:val="single" w:sz="4" w:space="0" w:color="auto"/>
              <w:left w:val="single" w:sz="4" w:space="0" w:color="auto"/>
              <w:bottom w:val="nil"/>
              <w:right w:val="nil"/>
            </w:tcBorders>
          </w:tcPr>
          <w:p w:rsidR="006224C2" w:rsidRPr="00295E71" w14:paraId="29E14637" w14:textId="77777777">
            <w:pPr>
              <w:pStyle w:val="EMEANormal"/>
              <w:keepNext/>
              <w:jc w:val="center"/>
              <w:rPr>
                <w:lang w:val="it-IT"/>
              </w:rPr>
            </w:pPr>
          </w:p>
        </w:tc>
        <w:tc>
          <w:tcPr>
            <w:tcW w:w="1343" w:type="dxa"/>
            <w:tcBorders>
              <w:top w:val="single" w:sz="4" w:space="0" w:color="auto"/>
              <w:left w:val="single" w:sz="4" w:space="0" w:color="auto"/>
              <w:bottom w:val="nil"/>
              <w:right w:val="single" w:sz="4" w:space="0" w:color="auto"/>
            </w:tcBorders>
          </w:tcPr>
          <w:p w:rsidR="006224C2" w:rsidRPr="00295E71" w14:paraId="424F776F" w14:textId="77777777">
            <w:pPr>
              <w:pStyle w:val="EMEANormal"/>
              <w:keepNext/>
              <w:jc w:val="center"/>
              <w:rPr>
                <w:lang w:val="it-IT"/>
              </w:rPr>
            </w:pPr>
          </w:p>
        </w:tc>
        <w:tc>
          <w:tcPr>
            <w:tcW w:w="1316" w:type="dxa"/>
            <w:tcBorders>
              <w:top w:val="single" w:sz="4" w:space="0" w:color="auto"/>
              <w:left w:val="single" w:sz="4" w:space="0" w:color="auto"/>
              <w:bottom w:val="nil"/>
              <w:right w:val="single" w:sz="4" w:space="0" w:color="auto"/>
            </w:tcBorders>
          </w:tcPr>
          <w:p w:rsidR="006224C2" w:rsidRPr="00295E71" w14:paraId="7DA5B3CA" w14:textId="77777777">
            <w:pPr>
              <w:pStyle w:val="EMEANormal"/>
              <w:keepNext/>
              <w:jc w:val="center"/>
              <w:rPr>
                <w:lang w:val="it-IT"/>
              </w:rPr>
            </w:pPr>
          </w:p>
        </w:tc>
      </w:tr>
      <w:tr w14:paraId="31B30738" w14:textId="77777777">
        <w:tblPrEx>
          <w:tblW w:w="0" w:type="auto"/>
          <w:tblLook w:val="0000"/>
        </w:tblPrEx>
        <w:trPr>
          <w:gridBefore w:val="1"/>
          <w:gridAfter w:val="1"/>
          <w:wBefore w:w="64" w:type="dxa"/>
          <w:wAfter w:w="91" w:type="dxa"/>
        </w:trPr>
        <w:tc>
          <w:tcPr>
            <w:tcW w:w="1770" w:type="dxa"/>
            <w:tcBorders>
              <w:top w:val="nil"/>
              <w:left w:val="single" w:sz="4" w:space="0" w:color="auto"/>
              <w:bottom w:val="nil"/>
              <w:right w:val="single" w:sz="4" w:space="0" w:color="auto"/>
            </w:tcBorders>
          </w:tcPr>
          <w:p w:rsidR="006224C2" w:rsidRPr="00295E71" w14:paraId="6D20C1D8" w14:textId="77777777">
            <w:pPr>
              <w:pStyle w:val="EMEANormal"/>
              <w:keepNext/>
              <w:rPr>
                <w:lang w:val="it-IT"/>
              </w:rPr>
            </w:pPr>
            <w:r w:rsidRPr="00295E71">
              <w:rPr>
                <w:lang w:val="it-IT"/>
              </w:rPr>
              <w:t>Settimana 12</w:t>
            </w:r>
          </w:p>
        </w:tc>
        <w:tc>
          <w:tcPr>
            <w:tcW w:w="1324" w:type="dxa"/>
            <w:tcBorders>
              <w:top w:val="nil"/>
              <w:left w:val="single" w:sz="4" w:space="0" w:color="auto"/>
              <w:bottom w:val="nil"/>
              <w:right w:val="single" w:sz="4" w:space="0" w:color="auto"/>
            </w:tcBorders>
          </w:tcPr>
          <w:p w:rsidR="006224C2" w:rsidRPr="00295E71" w14:paraId="1CB9662B" w14:textId="77777777">
            <w:pPr>
              <w:pStyle w:val="EMEANormal"/>
              <w:keepNext/>
              <w:jc w:val="center"/>
              <w:rPr>
                <w:lang w:val="it-IT"/>
              </w:rPr>
            </w:pPr>
            <w:r w:rsidRPr="00295E71">
              <w:rPr>
                <w:lang w:val="it-IT"/>
              </w:rPr>
              <w:t>14%</w:t>
            </w:r>
          </w:p>
        </w:tc>
        <w:tc>
          <w:tcPr>
            <w:tcW w:w="1316" w:type="dxa"/>
            <w:tcBorders>
              <w:top w:val="nil"/>
              <w:left w:val="single" w:sz="4" w:space="0" w:color="auto"/>
              <w:bottom w:val="nil"/>
              <w:right w:val="nil"/>
            </w:tcBorders>
          </w:tcPr>
          <w:p w:rsidR="006224C2" w:rsidRPr="00295E71" w14:paraId="0F914C47" w14:textId="77777777">
            <w:pPr>
              <w:pStyle w:val="EMEANormal"/>
              <w:keepNext/>
              <w:jc w:val="center"/>
              <w:rPr>
                <w:lang w:val="it-IT"/>
              </w:rPr>
            </w:pPr>
            <w:r w:rsidRPr="00295E71">
              <w:rPr>
                <w:lang w:val="it-IT"/>
              </w:rPr>
              <w:t>58%</w:t>
            </w:r>
            <w:r w:rsidRPr="00295E71">
              <w:rPr>
                <w:vertAlign w:val="superscript"/>
                <w:lang w:val="it-IT"/>
              </w:rPr>
              <w:t>***</w:t>
            </w:r>
          </w:p>
        </w:tc>
        <w:tc>
          <w:tcPr>
            <w:tcW w:w="1343" w:type="dxa"/>
            <w:tcBorders>
              <w:top w:val="nil"/>
              <w:left w:val="single" w:sz="4" w:space="0" w:color="auto"/>
              <w:bottom w:val="nil"/>
              <w:right w:val="single" w:sz="4" w:space="0" w:color="auto"/>
            </w:tcBorders>
          </w:tcPr>
          <w:p w:rsidR="006224C2" w:rsidRPr="00295E71" w14:paraId="5427EC4D" w14:textId="77777777">
            <w:pPr>
              <w:pStyle w:val="EMEANormal"/>
              <w:keepNext/>
              <w:jc w:val="center"/>
              <w:rPr>
                <w:lang w:val="it-IT"/>
              </w:rPr>
            </w:pPr>
            <w:r w:rsidRPr="00295E71">
              <w:rPr>
                <w:lang w:val="it-IT"/>
              </w:rPr>
              <w:t>16%</w:t>
            </w:r>
          </w:p>
        </w:tc>
        <w:tc>
          <w:tcPr>
            <w:tcW w:w="1316" w:type="dxa"/>
            <w:tcBorders>
              <w:top w:val="nil"/>
              <w:left w:val="single" w:sz="4" w:space="0" w:color="auto"/>
              <w:bottom w:val="nil"/>
              <w:right w:val="single" w:sz="4" w:space="0" w:color="auto"/>
            </w:tcBorders>
          </w:tcPr>
          <w:p w:rsidR="006224C2" w:rsidRPr="00295E71" w14:paraId="1AA11BC5" w14:textId="77777777">
            <w:pPr>
              <w:pStyle w:val="EMEANormal"/>
              <w:keepNext/>
              <w:jc w:val="center"/>
              <w:rPr>
                <w:lang w:val="it-IT"/>
              </w:rPr>
            </w:pPr>
            <w:r w:rsidRPr="00295E71">
              <w:rPr>
                <w:lang w:val="it-IT"/>
              </w:rPr>
              <w:t>39%</w:t>
            </w:r>
            <w:r w:rsidRPr="00295E71">
              <w:rPr>
                <w:vertAlign w:val="superscript"/>
                <w:lang w:val="it-IT"/>
              </w:rPr>
              <w:t>*</w:t>
            </w:r>
          </w:p>
        </w:tc>
      </w:tr>
      <w:tr w14:paraId="281CF7EC" w14:textId="77777777">
        <w:tblPrEx>
          <w:tblW w:w="0" w:type="auto"/>
          <w:tblLook w:val="0000"/>
        </w:tblPrEx>
        <w:trPr>
          <w:gridBefore w:val="1"/>
          <w:gridAfter w:val="1"/>
          <w:wBefore w:w="64" w:type="dxa"/>
          <w:wAfter w:w="91" w:type="dxa"/>
        </w:trPr>
        <w:tc>
          <w:tcPr>
            <w:tcW w:w="1770" w:type="dxa"/>
            <w:tcBorders>
              <w:top w:val="nil"/>
              <w:left w:val="single" w:sz="4" w:space="0" w:color="auto"/>
              <w:bottom w:val="nil"/>
              <w:right w:val="single" w:sz="4" w:space="0" w:color="auto"/>
            </w:tcBorders>
          </w:tcPr>
          <w:p w:rsidR="006224C2" w:rsidRPr="00295E71" w14:paraId="3C28C117" w14:textId="77777777">
            <w:pPr>
              <w:pStyle w:val="EMEANormal"/>
              <w:keepNext/>
              <w:rPr>
                <w:lang w:val="it-IT"/>
              </w:rPr>
            </w:pPr>
            <w:r w:rsidRPr="00295E71">
              <w:rPr>
                <w:lang w:val="it-IT"/>
              </w:rPr>
              <w:t>Settimana 24</w:t>
            </w:r>
          </w:p>
        </w:tc>
        <w:tc>
          <w:tcPr>
            <w:tcW w:w="1324" w:type="dxa"/>
            <w:tcBorders>
              <w:top w:val="nil"/>
              <w:left w:val="single" w:sz="4" w:space="0" w:color="auto"/>
              <w:bottom w:val="nil"/>
              <w:right w:val="single" w:sz="4" w:space="0" w:color="auto"/>
            </w:tcBorders>
          </w:tcPr>
          <w:p w:rsidR="006224C2" w:rsidRPr="00295E71" w14:paraId="02846FB8" w14:textId="77777777">
            <w:pPr>
              <w:pStyle w:val="EMEANormal"/>
              <w:keepNext/>
              <w:jc w:val="center"/>
              <w:rPr>
                <w:lang w:val="it-IT"/>
              </w:rPr>
            </w:pPr>
            <w:r w:rsidRPr="00295E71">
              <w:rPr>
                <w:lang w:val="it-IT"/>
              </w:rPr>
              <w:t>15%</w:t>
            </w:r>
          </w:p>
        </w:tc>
        <w:tc>
          <w:tcPr>
            <w:tcW w:w="1316" w:type="dxa"/>
            <w:tcBorders>
              <w:top w:val="nil"/>
              <w:left w:val="single" w:sz="4" w:space="0" w:color="auto"/>
              <w:bottom w:val="nil"/>
              <w:right w:val="nil"/>
            </w:tcBorders>
          </w:tcPr>
          <w:p w:rsidR="006224C2" w:rsidRPr="00295E71" w14:paraId="2DBE8996" w14:textId="77777777">
            <w:pPr>
              <w:pStyle w:val="EMEANormal"/>
              <w:keepNext/>
              <w:jc w:val="center"/>
              <w:rPr>
                <w:lang w:val="it-IT"/>
              </w:rPr>
            </w:pPr>
            <w:r w:rsidRPr="00295E71">
              <w:rPr>
                <w:lang w:val="it-IT"/>
              </w:rPr>
              <w:t>57%</w:t>
            </w:r>
            <w:r w:rsidRPr="00295E71">
              <w:rPr>
                <w:vertAlign w:val="superscript"/>
                <w:lang w:val="it-IT"/>
              </w:rPr>
              <w:t>***</w:t>
            </w:r>
          </w:p>
        </w:tc>
        <w:tc>
          <w:tcPr>
            <w:tcW w:w="1343" w:type="dxa"/>
            <w:tcBorders>
              <w:top w:val="nil"/>
              <w:left w:val="single" w:sz="4" w:space="0" w:color="auto"/>
              <w:bottom w:val="nil"/>
              <w:right w:val="single" w:sz="4" w:space="0" w:color="auto"/>
            </w:tcBorders>
          </w:tcPr>
          <w:p w:rsidR="006224C2" w:rsidRPr="00295E71" w14:paraId="01B10BA0" w14:textId="77777777">
            <w:pPr>
              <w:pStyle w:val="EMEANormal"/>
              <w:keepNext/>
              <w:jc w:val="center"/>
              <w:rPr>
                <w:lang w:val="it-IT"/>
              </w:rPr>
            </w:pPr>
            <w:r w:rsidRPr="00295E71">
              <w:rPr>
                <w:lang w:val="it-IT"/>
              </w:rPr>
              <w:t>N/A</w:t>
            </w:r>
          </w:p>
        </w:tc>
        <w:tc>
          <w:tcPr>
            <w:tcW w:w="1316" w:type="dxa"/>
            <w:tcBorders>
              <w:top w:val="nil"/>
              <w:left w:val="single" w:sz="4" w:space="0" w:color="auto"/>
              <w:bottom w:val="nil"/>
              <w:right w:val="single" w:sz="4" w:space="0" w:color="auto"/>
            </w:tcBorders>
          </w:tcPr>
          <w:p w:rsidR="006224C2" w:rsidRPr="00295E71" w14:paraId="0017B239" w14:textId="77777777">
            <w:pPr>
              <w:pStyle w:val="EMEANormal"/>
              <w:keepNext/>
              <w:jc w:val="center"/>
              <w:rPr>
                <w:lang w:val="it-IT"/>
              </w:rPr>
            </w:pPr>
            <w:r w:rsidRPr="00295E71">
              <w:rPr>
                <w:lang w:val="it-IT"/>
              </w:rPr>
              <w:t>N/A</w:t>
            </w:r>
          </w:p>
        </w:tc>
      </w:tr>
      <w:tr w14:paraId="14079FA6" w14:textId="77777777">
        <w:tblPrEx>
          <w:tblW w:w="0" w:type="auto"/>
          <w:tblLook w:val="0000"/>
        </w:tblPrEx>
        <w:trPr>
          <w:gridBefore w:val="1"/>
          <w:gridAfter w:val="1"/>
          <w:wBefore w:w="64" w:type="dxa"/>
          <w:wAfter w:w="91" w:type="dxa"/>
        </w:trPr>
        <w:tc>
          <w:tcPr>
            <w:tcW w:w="1770" w:type="dxa"/>
            <w:tcBorders>
              <w:top w:val="nil"/>
              <w:left w:val="single" w:sz="4" w:space="0" w:color="auto"/>
              <w:bottom w:val="nil"/>
              <w:right w:val="single" w:sz="4" w:space="0" w:color="auto"/>
            </w:tcBorders>
          </w:tcPr>
          <w:p w:rsidR="006224C2" w:rsidRPr="00295E71" w14:paraId="7A5FE095" w14:textId="77777777">
            <w:pPr>
              <w:pStyle w:val="EMEANormal"/>
              <w:keepNext/>
              <w:rPr>
                <w:lang w:val="it-IT"/>
              </w:rPr>
            </w:pPr>
            <w:r w:rsidRPr="00295E71">
              <w:rPr>
                <w:lang w:val="it-IT"/>
              </w:rPr>
              <w:t xml:space="preserve">ACR 50 </w:t>
            </w:r>
          </w:p>
        </w:tc>
        <w:tc>
          <w:tcPr>
            <w:tcW w:w="1324" w:type="dxa"/>
            <w:tcBorders>
              <w:top w:val="nil"/>
              <w:left w:val="single" w:sz="4" w:space="0" w:color="auto"/>
              <w:bottom w:val="nil"/>
              <w:right w:val="single" w:sz="4" w:space="0" w:color="auto"/>
            </w:tcBorders>
          </w:tcPr>
          <w:p w:rsidR="006224C2" w:rsidRPr="00295E71" w14:paraId="4B37AAC7" w14:textId="77777777">
            <w:pPr>
              <w:pStyle w:val="EMEANormal"/>
              <w:keepNext/>
              <w:jc w:val="center"/>
              <w:rPr>
                <w:lang w:val="it-IT"/>
              </w:rPr>
            </w:pPr>
          </w:p>
        </w:tc>
        <w:tc>
          <w:tcPr>
            <w:tcW w:w="1316" w:type="dxa"/>
            <w:tcBorders>
              <w:top w:val="nil"/>
              <w:left w:val="single" w:sz="4" w:space="0" w:color="auto"/>
              <w:bottom w:val="nil"/>
              <w:right w:val="nil"/>
            </w:tcBorders>
          </w:tcPr>
          <w:p w:rsidR="006224C2" w:rsidRPr="00295E71" w14:paraId="319F7314" w14:textId="77777777">
            <w:pPr>
              <w:pStyle w:val="EMEANormal"/>
              <w:keepNext/>
              <w:jc w:val="center"/>
              <w:rPr>
                <w:lang w:val="it-IT"/>
              </w:rPr>
            </w:pPr>
          </w:p>
        </w:tc>
        <w:tc>
          <w:tcPr>
            <w:tcW w:w="1343" w:type="dxa"/>
            <w:tcBorders>
              <w:top w:val="nil"/>
              <w:left w:val="single" w:sz="4" w:space="0" w:color="auto"/>
              <w:bottom w:val="nil"/>
              <w:right w:val="single" w:sz="4" w:space="0" w:color="auto"/>
            </w:tcBorders>
          </w:tcPr>
          <w:p w:rsidR="006224C2" w:rsidRPr="00295E71" w14:paraId="4D0E977D" w14:textId="77777777">
            <w:pPr>
              <w:pStyle w:val="EMEANormal"/>
              <w:keepNext/>
              <w:jc w:val="center"/>
              <w:rPr>
                <w:lang w:val="it-IT"/>
              </w:rPr>
            </w:pPr>
          </w:p>
        </w:tc>
        <w:tc>
          <w:tcPr>
            <w:tcW w:w="1316" w:type="dxa"/>
            <w:tcBorders>
              <w:top w:val="nil"/>
              <w:left w:val="single" w:sz="4" w:space="0" w:color="auto"/>
              <w:bottom w:val="nil"/>
              <w:right w:val="single" w:sz="4" w:space="0" w:color="auto"/>
            </w:tcBorders>
          </w:tcPr>
          <w:p w:rsidR="006224C2" w:rsidRPr="00295E71" w14:paraId="43D66C5A" w14:textId="77777777">
            <w:pPr>
              <w:pStyle w:val="EMEANormal"/>
              <w:keepNext/>
              <w:jc w:val="center"/>
              <w:rPr>
                <w:lang w:val="it-IT"/>
              </w:rPr>
            </w:pPr>
          </w:p>
        </w:tc>
      </w:tr>
      <w:tr w14:paraId="37FC02BB" w14:textId="77777777">
        <w:tblPrEx>
          <w:tblW w:w="0" w:type="auto"/>
          <w:tblLook w:val="0000"/>
        </w:tblPrEx>
        <w:trPr>
          <w:gridBefore w:val="1"/>
          <w:gridAfter w:val="1"/>
          <w:wBefore w:w="64" w:type="dxa"/>
          <w:wAfter w:w="91" w:type="dxa"/>
        </w:trPr>
        <w:tc>
          <w:tcPr>
            <w:tcW w:w="1770" w:type="dxa"/>
            <w:tcBorders>
              <w:top w:val="nil"/>
              <w:left w:val="single" w:sz="4" w:space="0" w:color="auto"/>
              <w:bottom w:val="nil"/>
              <w:right w:val="single" w:sz="4" w:space="0" w:color="auto"/>
            </w:tcBorders>
          </w:tcPr>
          <w:p w:rsidR="006224C2" w:rsidRPr="00295E71" w14:paraId="03846CD0" w14:textId="77777777">
            <w:pPr>
              <w:pStyle w:val="EMEANormal"/>
              <w:keepNext/>
              <w:rPr>
                <w:lang w:val="it-IT"/>
              </w:rPr>
            </w:pPr>
            <w:r w:rsidRPr="00295E71">
              <w:rPr>
                <w:lang w:val="it-IT"/>
              </w:rPr>
              <w:t>Settimana 12</w:t>
            </w:r>
          </w:p>
        </w:tc>
        <w:tc>
          <w:tcPr>
            <w:tcW w:w="1324" w:type="dxa"/>
            <w:tcBorders>
              <w:top w:val="nil"/>
              <w:left w:val="single" w:sz="4" w:space="0" w:color="auto"/>
              <w:bottom w:val="nil"/>
              <w:right w:val="single" w:sz="4" w:space="0" w:color="auto"/>
            </w:tcBorders>
          </w:tcPr>
          <w:p w:rsidR="006224C2" w:rsidRPr="00295E71" w14:paraId="0A4F224F" w14:textId="77777777">
            <w:pPr>
              <w:pStyle w:val="EMEANormal"/>
              <w:keepNext/>
              <w:jc w:val="center"/>
              <w:rPr>
                <w:lang w:val="it-IT"/>
              </w:rPr>
            </w:pPr>
            <w:r w:rsidRPr="00295E71">
              <w:rPr>
                <w:lang w:val="it-IT"/>
              </w:rPr>
              <w:t>4%</w:t>
            </w:r>
          </w:p>
        </w:tc>
        <w:tc>
          <w:tcPr>
            <w:tcW w:w="1316" w:type="dxa"/>
            <w:tcBorders>
              <w:top w:val="nil"/>
              <w:left w:val="single" w:sz="4" w:space="0" w:color="auto"/>
              <w:bottom w:val="nil"/>
              <w:right w:val="nil"/>
            </w:tcBorders>
          </w:tcPr>
          <w:p w:rsidR="006224C2" w:rsidRPr="00295E71" w14:paraId="18E3F3C3" w14:textId="77777777">
            <w:pPr>
              <w:pStyle w:val="EMEANormal"/>
              <w:keepNext/>
              <w:jc w:val="center"/>
              <w:rPr>
                <w:lang w:val="it-IT"/>
              </w:rPr>
            </w:pPr>
            <w:r w:rsidRPr="00295E71">
              <w:rPr>
                <w:lang w:val="it-IT"/>
              </w:rPr>
              <w:t>36%</w:t>
            </w:r>
            <w:r w:rsidRPr="00295E71">
              <w:rPr>
                <w:vertAlign w:val="superscript"/>
                <w:lang w:val="it-IT"/>
              </w:rPr>
              <w:t>***</w:t>
            </w:r>
          </w:p>
        </w:tc>
        <w:tc>
          <w:tcPr>
            <w:tcW w:w="1343" w:type="dxa"/>
            <w:tcBorders>
              <w:top w:val="nil"/>
              <w:left w:val="single" w:sz="4" w:space="0" w:color="auto"/>
              <w:bottom w:val="nil"/>
              <w:right w:val="single" w:sz="4" w:space="0" w:color="auto"/>
            </w:tcBorders>
          </w:tcPr>
          <w:p w:rsidR="006224C2" w:rsidRPr="00295E71" w14:paraId="7C0B491E" w14:textId="77777777">
            <w:pPr>
              <w:pStyle w:val="EMEANormal"/>
              <w:keepNext/>
              <w:jc w:val="center"/>
              <w:rPr>
                <w:lang w:val="it-IT"/>
              </w:rPr>
            </w:pPr>
            <w:r w:rsidRPr="00295E71">
              <w:rPr>
                <w:lang w:val="it-IT"/>
              </w:rPr>
              <w:t>2%</w:t>
            </w:r>
          </w:p>
        </w:tc>
        <w:tc>
          <w:tcPr>
            <w:tcW w:w="1316" w:type="dxa"/>
            <w:tcBorders>
              <w:top w:val="nil"/>
              <w:left w:val="single" w:sz="4" w:space="0" w:color="auto"/>
              <w:bottom w:val="nil"/>
              <w:right w:val="single" w:sz="4" w:space="0" w:color="auto"/>
            </w:tcBorders>
          </w:tcPr>
          <w:p w:rsidR="006224C2" w:rsidRPr="00295E71" w14:paraId="5800F676" w14:textId="77777777">
            <w:pPr>
              <w:pStyle w:val="EMEANormal"/>
              <w:keepNext/>
              <w:jc w:val="center"/>
              <w:rPr>
                <w:lang w:val="it-IT"/>
              </w:rPr>
            </w:pPr>
            <w:r w:rsidRPr="00295E71">
              <w:rPr>
                <w:lang w:val="it-IT"/>
              </w:rPr>
              <w:t>25%</w:t>
            </w:r>
            <w:r w:rsidRPr="00295E71">
              <w:rPr>
                <w:vertAlign w:val="superscript"/>
                <w:lang w:val="it-IT"/>
              </w:rPr>
              <w:t>***</w:t>
            </w:r>
          </w:p>
        </w:tc>
      </w:tr>
      <w:tr w14:paraId="373959B0" w14:textId="77777777">
        <w:tblPrEx>
          <w:tblW w:w="0" w:type="auto"/>
          <w:tblLook w:val="0000"/>
        </w:tblPrEx>
        <w:trPr>
          <w:gridBefore w:val="1"/>
          <w:gridAfter w:val="1"/>
          <w:wBefore w:w="64" w:type="dxa"/>
          <w:wAfter w:w="91" w:type="dxa"/>
        </w:trPr>
        <w:tc>
          <w:tcPr>
            <w:tcW w:w="1770" w:type="dxa"/>
            <w:tcBorders>
              <w:top w:val="nil"/>
              <w:left w:val="single" w:sz="4" w:space="0" w:color="auto"/>
              <w:bottom w:val="nil"/>
              <w:right w:val="single" w:sz="4" w:space="0" w:color="auto"/>
            </w:tcBorders>
          </w:tcPr>
          <w:p w:rsidR="006224C2" w:rsidRPr="00295E71" w14:paraId="5A018F0E" w14:textId="77777777">
            <w:pPr>
              <w:pStyle w:val="EMEANormal"/>
              <w:keepNext/>
              <w:rPr>
                <w:lang w:val="it-IT"/>
              </w:rPr>
            </w:pPr>
            <w:r w:rsidRPr="00295E71">
              <w:rPr>
                <w:lang w:val="it-IT"/>
              </w:rPr>
              <w:t>Settimana 24</w:t>
            </w:r>
          </w:p>
        </w:tc>
        <w:tc>
          <w:tcPr>
            <w:tcW w:w="1324" w:type="dxa"/>
            <w:tcBorders>
              <w:top w:val="nil"/>
              <w:left w:val="single" w:sz="4" w:space="0" w:color="auto"/>
              <w:bottom w:val="nil"/>
              <w:right w:val="single" w:sz="4" w:space="0" w:color="auto"/>
            </w:tcBorders>
          </w:tcPr>
          <w:p w:rsidR="006224C2" w:rsidRPr="00295E71" w14:paraId="08DA0519" w14:textId="77777777">
            <w:pPr>
              <w:pStyle w:val="EMEANormal"/>
              <w:keepNext/>
              <w:jc w:val="center"/>
              <w:rPr>
                <w:lang w:val="it-IT"/>
              </w:rPr>
            </w:pPr>
            <w:r w:rsidRPr="00295E71">
              <w:rPr>
                <w:lang w:val="it-IT"/>
              </w:rPr>
              <w:t>6%</w:t>
            </w:r>
          </w:p>
        </w:tc>
        <w:tc>
          <w:tcPr>
            <w:tcW w:w="1316" w:type="dxa"/>
            <w:tcBorders>
              <w:top w:val="nil"/>
              <w:left w:val="single" w:sz="4" w:space="0" w:color="auto"/>
              <w:bottom w:val="nil"/>
              <w:right w:val="nil"/>
            </w:tcBorders>
          </w:tcPr>
          <w:p w:rsidR="006224C2" w:rsidRPr="00295E71" w14:paraId="2F0250F9" w14:textId="77777777">
            <w:pPr>
              <w:pStyle w:val="EMEANormal"/>
              <w:keepNext/>
              <w:jc w:val="center"/>
              <w:rPr>
                <w:lang w:val="it-IT"/>
              </w:rPr>
            </w:pPr>
            <w:r w:rsidRPr="00295E71">
              <w:rPr>
                <w:lang w:val="it-IT"/>
              </w:rPr>
              <w:t>39%</w:t>
            </w:r>
            <w:r w:rsidRPr="00295E71">
              <w:rPr>
                <w:vertAlign w:val="superscript"/>
                <w:lang w:val="it-IT"/>
              </w:rPr>
              <w:t>***</w:t>
            </w:r>
          </w:p>
        </w:tc>
        <w:tc>
          <w:tcPr>
            <w:tcW w:w="1343" w:type="dxa"/>
            <w:tcBorders>
              <w:top w:val="nil"/>
              <w:left w:val="single" w:sz="4" w:space="0" w:color="auto"/>
              <w:bottom w:val="nil"/>
              <w:right w:val="single" w:sz="4" w:space="0" w:color="auto"/>
            </w:tcBorders>
          </w:tcPr>
          <w:p w:rsidR="006224C2" w:rsidRPr="00295E71" w14:paraId="06E91F7A" w14:textId="77777777">
            <w:pPr>
              <w:pStyle w:val="EMEANormal"/>
              <w:keepNext/>
              <w:jc w:val="center"/>
              <w:rPr>
                <w:lang w:val="it-IT"/>
              </w:rPr>
            </w:pPr>
            <w:r w:rsidRPr="00295E71">
              <w:rPr>
                <w:lang w:val="it-IT"/>
              </w:rPr>
              <w:t>N/A</w:t>
            </w:r>
          </w:p>
        </w:tc>
        <w:tc>
          <w:tcPr>
            <w:tcW w:w="1316" w:type="dxa"/>
            <w:tcBorders>
              <w:top w:val="nil"/>
              <w:left w:val="single" w:sz="4" w:space="0" w:color="auto"/>
              <w:bottom w:val="nil"/>
              <w:right w:val="single" w:sz="4" w:space="0" w:color="auto"/>
            </w:tcBorders>
          </w:tcPr>
          <w:p w:rsidR="006224C2" w:rsidRPr="00295E71" w14:paraId="38693595" w14:textId="77777777">
            <w:pPr>
              <w:pStyle w:val="EMEANormal"/>
              <w:keepNext/>
              <w:jc w:val="center"/>
              <w:rPr>
                <w:lang w:val="it-IT"/>
              </w:rPr>
            </w:pPr>
            <w:r w:rsidRPr="00295E71">
              <w:rPr>
                <w:lang w:val="it-IT"/>
              </w:rPr>
              <w:t>N/A</w:t>
            </w:r>
          </w:p>
        </w:tc>
      </w:tr>
      <w:tr w14:paraId="766B3298" w14:textId="77777777">
        <w:tblPrEx>
          <w:tblW w:w="0" w:type="auto"/>
          <w:tblLook w:val="0000"/>
        </w:tblPrEx>
        <w:trPr>
          <w:gridBefore w:val="1"/>
          <w:gridAfter w:val="1"/>
          <w:wBefore w:w="64" w:type="dxa"/>
          <w:wAfter w:w="91" w:type="dxa"/>
        </w:trPr>
        <w:tc>
          <w:tcPr>
            <w:tcW w:w="1770" w:type="dxa"/>
            <w:tcBorders>
              <w:top w:val="nil"/>
              <w:left w:val="single" w:sz="4" w:space="0" w:color="auto"/>
              <w:bottom w:val="nil"/>
              <w:right w:val="single" w:sz="4" w:space="0" w:color="auto"/>
            </w:tcBorders>
          </w:tcPr>
          <w:p w:rsidR="006224C2" w:rsidRPr="00295E71" w14:paraId="2E32967F" w14:textId="77777777">
            <w:pPr>
              <w:pStyle w:val="EMEANormal"/>
              <w:keepNext/>
              <w:rPr>
                <w:lang w:val="it-IT"/>
              </w:rPr>
            </w:pPr>
            <w:r w:rsidRPr="00295E71">
              <w:rPr>
                <w:lang w:val="it-IT"/>
              </w:rPr>
              <w:t xml:space="preserve">ACR 70 </w:t>
            </w:r>
          </w:p>
        </w:tc>
        <w:tc>
          <w:tcPr>
            <w:tcW w:w="1324" w:type="dxa"/>
            <w:tcBorders>
              <w:top w:val="nil"/>
              <w:left w:val="single" w:sz="4" w:space="0" w:color="auto"/>
              <w:bottom w:val="nil"/>
              <w:right w:val="single" w:sz="4" w:space="0" w:color="auto"/>
            </w:tcBorders>
          </w:tcPr>
          <w:p w:rsidR="006224C2" w:rsidRPr="00295E71" w14:paraId="65C44CA4" w14:textId="77777777">
            <w:pPr>
              <w:pStyle w:val="EMEANormal"/>
              <w:keepNext/>
              <w:jc w:val="center"/>
              <w:rPr>
                <w:lang w:val="it-IT"/>
              </w:rPr>
            </w:pPr>
          </w:p>
        </w:tc>
        <w:tc>
          <w:tcPr>
            <w:tcW w:w="1316" w:type="dxa"/>
            <w:tcBorders>
              <w:top w:val="nil"/>
              <w:left w:val="single" w:sz="4" w:space="0" w:color="auto"/>
              <w:bottom w:val="nil"/>
              <w:right w:val="nil"/>
            </w:tcBorders>
          </w:tcPr>
          <w:p w:rsidR="006224C2" w:rsidRPr="00295E71" w14:paraId="36BD2CDC" w14:textId="77777777">
            <w:pPr>
              <w:pStyle w:val="EMEANormal"/>
              <w:keepNext/>
              <w:jc w:val="center"/>
              <w:rPr>
                <w:lang w:val="it-IT"/>
              </w:rPr>
            </w:pPr>
          </w:p>
        </w:tc>
        <w:tc>
          <w:tcPr>
            <w:tcW w:w="1343" w:type="dxa"/>
            <w:tcBorders>
              <w:top w:val="nil"/>
              <w:left w:val="single" w:sz="4" w:space="0" w:color="auto"/>
              <w:bottom w:val="nil"/>
              <w:right w:val="single" w:sz="4" w:space="0" w:color="auto"/>
            </w:tcBorders>
          </w:tcPr>
          <w:p w:rsidR="006224C2" w:rsidRPr="00295E71" w14:paraId="126EC260" w14:textId="77777777">
            <w:pPr>
              <w:pStyle w:val="EMEANormal"/>
              <w:keepNext/>
              <w:jc w:val="center"/>
              <w:rPr>
                <w:lang w:val="it-IT"/>
              </w:rPr>
            </w:pPr>
          </w:p>
        </w:tc>
        <w:tc>
          <w:tcPr>
            <w:tcW w:w="1316" w:type="dxa"/>
            <w:tcBorders>
              <w:top w:val="nil"/>
              <w:left w:val="single" w:sz="4" w:space="0" w:color="auto"/>
              <w:bottom w:val="nil"/>
              <w:right w:val="single" w:sz="4" w:space="0" w:color="auto"/>
            </w:tcBorders>
          </w:tcPr>
          <w:p w:rsidR="006224C2" w:rsidRPr="00295E71" w14:paraId="3E23972B" w14:textId="77777777">
            <w:pPr>
              <w:pStyle w:val="EMEANormal"/>
              <w:keepNext/>
              <w:jc w:val="center"/>
              <w:rPr>
                <w:lang w:val="it-IT"/>
              </w:rPr>
            </w:pPr>
          </w:p>
        </w:tc>
      </w:tr>
      <w:tr w14:paraId="31F942CB" w14:textId="77777777">
        <w:tblPrEx>
          <w:tblW w:w="0" w:type="auto"/>
          <w:tblLook w:val="0000"/>
        </w:tblPrEx>
        <w:trPr>
          <w:gridBefore w:val="1"/>
          <w:gridAfter w:val="1"/>
          <w:wBefore w:w="64" w:type="dxa"/>
          <w:wAfter w:w="91" w:type="dxa"/>
        </w:trPr>
        <w:tc>
          <w:tcPr>
            <w:tcW w:w="1770" w:type="dxa"/>
            <w:tcBorders>
              <w:top w:val="nil"/>
              <w:left w:val="single" w:sz="4" w:space="0" w:color="auto"/>
              <w:bottom w:val="nil"/>
              <w:right w:val="single" w:sz="4" w:space="0" w:color="auto"/>
            </w:tcBorders>
          </w:tcPr>
          <w:p w:rsidR="006224C2" w:rsidRPr="00295E71" w14:paraId="0980F998" w14:textId="77777777">
            <w:pPr>
              <w:pStyle w:val="EMEANormal"/>
              <w:keepNext/>
              <w:rPr>
                <w:lang w:val="it-IT"/>
              </w:rPr>
            </w:pPr>
            <w:r w:rsidRPr="00295E71">
              <w:rPr>
                <w:lang w:val="it-IT"/>
              </w:rPr>
              <w:t>Settimana 12</w:t>
            </w:r>
          </w:p>
        </w:tc>
        <w:tc>
          <w:tcPr>
            <w:tcW w:w="1324" w:type="dxa"/>
            <w:tcBorders>
              <w:top w:val="nil"/>
              <w:left w:val="single" w:sz="4" w:space="0" w:color="auto"/>
              <w:bottom w:val="nil"/>
              <w:right w:val="single" w:sz="4" w:space="0" w:color="auto"/>
            </w:tcBorders>
          </w:tcPr>
          <w:p w:rsidR="006224C2" w:rsidRPr="00295E71" w14:paraId="33F3DFD0" w14:textId="77777777">
            <w:pPr>
              <w:pStyle w:val="EMEANormal"/>
              <w:keepNext/>
              <w:jc w:val="center"/>
              <w:rPr>
                <w:lang w:val="it-IT"/>
              </w:rPr>
            </w:pPr>
            <w:r w:rsidRPr="00295E71">
              <w:rPr>
                <w:lang w:val="it-IT"/>
              </w:rPr>
              <w:t>1%</w:t>
            </w:r>
          </w:p>
        </w:tc>
        <w:tc>
          <w:tcPr>
            <w:tcW w:w="1316" w:type="dxa"/>
            <w:tcBorders>
              <w:top w:val="nil"/>
              <w:left w:val="single" w:sz="4" w:space="0" w:color="auto"/>
              <w:bottom w:val="nil"/>
              <w:right w:val="nil"/>
            </w:tcBorders>
          </w:tcPr>
          <w:p w:rsidR="006224C2" w:rsidRPr="00295E71" w14:paraId="2DDDECC1" w14:textId="77777777">
            <w:pPr>
              <w:pStyle w:val="EMEANormal"/>
              <w:keepNext/>
              <w:jc w:val="center"/>
              <w:rPr>
                <w:lang w:val="it-IT"/>
              </w:rPr>
            </w:pPr>
            <w:r w:rsidRPr="00295E71">
              <w:rPr>
                <w:lang w:val="it-IT"/>
              </w:rPr>
              <w:t>20%</w:t>
            </w:r>
            <w:r w:rsidRPr="00295E71">
              <w:rPr>
                <w:vertAlign w:val="superscript"/>
                <w:lang w:val="it-IT"/>
              </w:rPr>
              <w:t>***</w:t>
            </w:r>
          </w:p>
        </w:tc>
        <w:tc>
          <w:tcPr>
            <w:tcW w:w="1343" w:type="dxa"/>
            <w:tcBorders>
              <w:top w:val="nil"/>
              <w:left w:val="single" w:sz="4" w:space="0" w:color="auto"/>
              <w:bottom w:val="nil"/>
              <w:right w:val="single" w:sz="4" w:space="0" w:color="auto"/>
            </w:tcBorders>
          </w:tcPr>
          <w:p w:rsidR="006224C2" w:rsidRPr="00295E71" w14:paraId="35D078D0" w14:textId="77777777">
            <w:pPr>
              <w:pStyle w:val="EMEANormal"/>
              <w:keepNext/>
              <w:jc w:val="center"/>
              <w:rPr>
                <w:lang w:val="it-IT"/>
              </w:rPr>
            </w:pPr>
            <w:r w:rsidRPr="00295E71">
              <w:rPr>
                <w:lang w:val="it-IT"/>
              </w:rPr>
              <w:t>0%</w:t>
            </w:r>
          </w:p>
        </w:tc>
        <w:tc>
          <w:tcPr>
            <w:tcW w:w="1316" w:type="dxa"/>
            <w:tcBorders>
              <w:top w:val="nil"/>
              <w:left w:val="single" w:sz="4" w:space="0" w:color="auto"/>
              <w:bottom w:val="nil"/>
              <w:right w:val="single" w:sz="4" w:space="0" w:color="auto"/>
            </w:tcBorders>
          </w:tcPr>
          <w:p w:rsidR="006224C2" w:rsidRPr="00295E71" w14:paraId="19B78F18" w14:textId="77777777">
            <w:pPr>
              <w:pStyle w:val="EMEANormal"/>
              <w:keepNext/>
              <w:jc w:val="center"/>
              <w:rPr>
                <w:lang w:val="it-IT"/>
              </w:rPr>
            </w:pPr>
            <w:r w:rsidRPr="00295E71">
              <w:rPr>
                <w:lang w:val="it-IT"/>
              </w:rPr>
              <w:t>14%</w:t>
            </w:r>
            <w:r w:rsidRPr="00295E71">
              <w:rPr>
                <w:vertAlign w:val="superscript"/>
                <w:lang w:val="it-IT"/>
              </w:rPr>
              <w:t xml:space="preserve"> *</w:t>
            </w:r>
          </w:p>
        </w:tc>
      </w:tr>
      <w:tr w14:paraId="5160DB8B" w14:textId="77777777">
        <w:tblPrEx>
          <w:tblW w:w="0" w:type="auto"/>
          <w:tblLook w:val="0000"/>
        </w:tblPrEx>
        <w:trPr>
          <w:gridBefore w:val="1"/>
          <w:gridAfter w:val="1"/>
          <w:wBefore w:w="64" w:type="dxa"/>
          <w:wAfter w:w="91" w:type="dxa"/>
        </w:trPr>
        <w:tc>
          <w:tcPr>
            <w:tcW w:w="1770" w:type="dxa"/>
            <w:tcBorders>
              <w:top w:val="nil"/>
              <w:left w:val="single" w:sz="4" w:space="0" w:color="auto"/>
              <w:bottom w:val="single" w:sz="4" w:space="0" w:color="auto"/>
              <w:right w:val="single" w:sz="4" w:space="0" w:color="auto"/>
            </w:tcBorders>
          </w:tcPr>
          <w:p w:rsidR="006224C2" w:rsidRPr="00295E71" w14:paraId="42842CA1" w14:textId="77777777">
            <w:pPr>
              <w:pStyle w:val="EMEANormal"/>
              <w:keepNext/>
              <w:rPr>
                <w:lang w:val="it-IT"/>
              </w:rPr>
            </w:pPr>
            <w:r w:rsidRPr="00295E71">
              <w:rPr>
                <w:lang w:val="it-IT"/>
              </w:rPr>
              <w:t>Settimana 24</w:t>
            </w:r>
          </w:p>
        </w:tc>
        <w:tc>
          <w:tcPr>
            <w:tcW w:w="1324" w:type="dxa"/>
            <w:tcBorders>
              <w:top w:val="nil"/>
              <w:left w:val="single" w:sz="4" w:space="0" w:color="auto"/>
              <w:bottom w:val="single" w:sz="4" w:space="0" w:color="auto"/>
              <w:right w:val="single" w:sz="4" w:space="0" w:color="auto"/>
            </w:tcBorders>
          </w:tcPr>
          <w:p w:rsidR="006224C2" w:rsidRPr="00295E71" w14:paraId="63B0EFE2" w14:textId="77777777">
            <w:pPr>
              <w:pStyle w:val="EMEANormal"/>
              <w:keepNext/>
              <w:jc w:val="center"/>
              <w:rPr>
                <w:lang w:val="it-IT"/>
              </w:rPr>
            </w:pPr>
            <w:r w:rsidRPr="00295E71">
              <w:rPr>
                <w:lang w:val="it-IT"/>
              </w:rPr>
              <w:t>1%</w:t>
            </w:r>
          </w:p>
        </w:tc>
        <w:tc>
          <w:tcPr>
            <w:tcW w:w="1316" w:type="dxa"/>
            <w:tcBorders>
              <w:top w:val="nil"/>
              <w:left w:val="single" w:sz="4" w:space="0" w:color="auto"/>
              <w:bottom w:val="single" w:sz="4" w:space="0" w:color="auto"/>
              <w:right w:val="nil"/>
            </w:tcBorders>
          </w:tcPr>
          <w:p w:rsidR="006224C2" w:rsidRPr="00295E71" w14:paraId="15EF9150" w14:textId="77777777">
            <w:pPr>
              <w:pStyle w:val="EMEANormal"/>
              <w:keepNext/>
              <w:jc w:val="center"/>
              <w:rPr>
                <w:lang w:val="it-IT"/>
              </w:rPr>
            </w:pPr>
            <w:r w:rsidRPr="00295E71">
              <w:rPr>
                <w:lang w:val="it-IT"/>
              </w:rPr>
              <w:t>23%</w:t>
            </w:r>
            <w:r w:rsidRPr="00295E71">
              <w:rPr>
                <w:vertAlign w:val="superscript"/>
                <w:lang w:val="it-IT"/>
              </w:rPr>
              <w:t>***</w:t>
            </w:r>
          </w:p>
        </w:tc>
        <w:tc>
          <w:tcPr>
            <w:tcW w:w="1343" w:type="dxa"/>
            <w:tcBorders>
              <w:top w:val="nil"/>
              <w:left w:val="single" w:sz="4" w:space="0" w:color="auto"/>
              <w:bottom w:val="single" w:sz="4" w:space="0" w:color="auto"/>
              <w:right w:val="single" w:sz="4" w:space="0" w:color="auto"/>
            </w:tcBorders>
          </w:tcPr>
          <w:p w:rsidR="006224C2" w:rsidRPr="00295E71" w14:paraId="22A6663B" w14:textId="77777777">
            <w:pPr>
              <w:pStyle w:val="EMEANormal"/>
              <w:keepNext/>
              <w:jc w:val="center"/>
              <w:rPr>
                <w:lang w:val="it-IT"/>
              </w:rPr>
            </w:pPr>
            <w:r w:rsidRPr="00295E71">
              <w:rPr>
                <w:lang w:val="it-IT"/>
              </w:rPr>
              <w:t>N/A</w:t>
            </w:r>
          </w:p>
        </w:tc>
        <w:tc>
          <w:tcPr>
            <w:tcW w:w="1316" w:type="dxa"/>
            <w:tcBorders>
              <w:top w:val="nil"/>
              <w:left w:val="single" w:sz="4" w:space="0" w:color="auto"/>
              <w:bottom w:val="single" w:sz="4" w:space="0" w:color="auto"/>
              <w:right w:val="single" w:sz="4" w:space="0" w:color="auto"/>
            </w:tcBorders>
          </w:tcPr>
          <w:p w:rsidR="006224C2" w:rsidRPr="00295E71" w14:paraId="64ACB9CD" w14:textId="77777777">
            <w:pPr>
              <w:pStyle w:val="EMEANormal"/>
              <w:keepNext/>
              <w:jc w:val="center"/>
              <w:rPr>
                <w:lang w:val="it-IT"/>
              </w:rPr>
            </w:pPr>
            <w:r w:rsidRPr="00295E71">
              <w:rPr>
                <w:lang w:val="it-IT"/>
              </w:rPr>
              <w:t>N/A</w:t>
            </w:r>
          </w:p>
        </w:tc>
      </w:tr>
      <w:tr w14:paraId="102B5CA4" w14:textId="77777777">
        <w:tblPrEx>
          <w:tblW w:w="0" w:type="auto"/>
          <w:tblLook w:val="0000"/>
        </w:tblPrEx>
        <w:tc>
          <w:tcPr>
            <w:tcW w:w="7224" w:type="dxa"/>
            <w:gridSpan w:val="7"/>
            <w:tcBorders>
              <w:top w:val="nil"/>
              <w:left w:val="nil"/>
              <w:bottom w:val="nil"/>
              <w:right w:val="nil"/>
            </w:tcBorders>
          </w:tcPr>
          <w:p w:rsidR="006224C2" w:rsidRPr="00295E71" w14:paraId="0BD336D2" w14:textId="77777777">
            <w:pPr>
              <w:pStyle w:val="EMEANormal"/>
              <w:keepNext/>
              <w:rPr>
                <w:lang w:val="it-IT"/>
              </w:rPr>
            </w:pPr>
            <w:r w:rsidRPr="00295E71">
              <w:rPr>
                <w:lang w:val="it-IT"/>
              </w:rPr>
              <w:t>***</w:t>
            </w:r>
            <w:r w:rsidRPr="00295E71">
              <w:rPr>
                <w:lang w:val="it-IT"/>
              </w:rPr>
              <w:tab/>
              <w:t>p&lt;0,001 per tutti i confronti tra Humira e placebo</w:t>
            </w:r>
          </w:p>
          <w:p w:rsidR="006224C2" w:rsidRPr="00295E71" w14:paraId="40EAC92A" w14:textId="77777777">
            <w:pPr>
              <w:pStyle w:val="EMEANormal"/>
              <w:keepNext/>
              <w:rPr>
                <w:lang w:val="it-IT"/>
              </w:rPr>
            </w:pPr>
            <w:r w:rsidRPr="00295E71">
              <w:rPr>
                <w:lang w:val="it-IT"/>
              </w:rPr>
              <w:t>*</w:t>
            </w:r>
            <w:r w:rsidRPr="00295E71">
              <w:rPr>
                <w:lang w:val="it-IT"/>
              </w:rPr>
              <w:tab/>
              <w:t xml:space="preserve">p&lt;0,05 per tutti i confronti tra Humira e placebo  </w:t>
            </w:r>
          </w:p>
          <w:p w:rsidR="006224C2" w:rsidRPr="00295E71" w14:paraId="0A3436EA" w14:textId="77777777">
            <w:pPr>
              <w:pStyle w:val="EMEANormal"/>
              <w:keepNext/>
              <w:rPr>
                <w:lang w:val="it-IT"/>
              </w:rPr>
            </w:pPr>
            <w:r w:rsidRPr="00295E71">
              <w:rPr>
                <w:lang w:val="it-IT"/>
              </w:rPr>
              <w:t>N/A non applicabile</w:t>
            </w:r>
          </w:p>
        </w:tc>
      </w:tr>
    </w:tbl>
    <w:p w:rsidR="006224C2" w:rsidRPr="00295E71" w14:paraId="6A8DCACE" w14:textId="77777777">
      <w:pPr>
        <w:tabs>
          <w:tab w:val="left" w:pos="567"/>
          <w:tab w:val="left" w:pos="1294"/>
        </w:tabs>
        <w:autoSpaceDE w:val="0"/>
        <w:autoSpaceDN w:val="0"/>
        <w:adjustRightInd w:val="0"/>
        <w:rPr>
          <w:color w:val="000000"/>
          <w:sz w:val="22"/>
          <w:szCs w:val="22"/>
        </w:rPr>
      </w:pPr>
    </w:p>
    <w:p w:rsidR="006224C2" w:rsidRPr="00295E71" w14:paraId="5CAA28C3"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Le risposte ACR nello studio PsA I sono state simili con e senza terapia concomitante con metotressato.</w:t>
      </w:r>
    </w:p>
    <w:p w:rsidR="006224C2" w:rsidRPr="00295E71" w14:paraId="06EA9836" w14:textId="77777777">
      <w:pPr>
        <w:tabs>
          <w:tab w:val="left" w:pos="567"/>
          <w:tab w:val="left" w:pos="1294"/>
        </w:tabs>
        <w:autoSpaceDE w:val="0"/>
        <w:autoSpaceDN w:val="0"/>
        <w:adjustRightInd w:val="0"/>
        <w:jc w:val="both"/>
        <w:rPr>
          <w:color w:val="000000"/>
          <w:sz w:val="22"/>
          <w:szCs w:val="22"/>
        </w:rPr>
      </w:pPr>
    </w:p>
    <w:p w:rsidR="006224C2" w:rsidRPr="00295E71" w14:paraId="70DDFB26"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Le risposte ACR nello studio di estensione in aperto sono state mantenute fino a 136 settimane.</w:t>
      </w:r>
    </w:p>
    <w:p w:rsidR="006224C2" w:rsidRPr="00295E71" w14:paraId="0EF8CF1A"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Negli studi sull’artrite psoriasica sono state valutate le modifiche radiologiche. Sono state eseguite radiografie delle mani, dei polsi e dei piedi al basale ed alla settimana 24, durante la fase in doppio cieco </w:t>
      </w:r>
      <w:r w:rsidRPr="00295E71">
        <w:rPr>
          <w:color w:val="000000"/>
          <w:sz w:val="22"/>
          <w:szCs w:val="22"/>
        </w:rPr>
        <w:t xml:space="preserve">quando i pazienti erano trattati con Humira o con placebo, ed alla settimana 48, quando tutti i pazienti erano trattati con Humira in aperto. </w:t>
      </w:r>
      <w:r w:rsidRPr="00295E71">
        <w:rPr>
          <w:sz w:val="22"/>
          <w:szCs w:val="22"/>
        </w:rPr>
        <w:t>È</w:t>
      </w:r>
      <w:r w:rsidRPr="00295E71">
        <w:rPr>
          <w:color w:val="000000"/>
          <w:sz w:val="22"/>
          <w:szCs w:val="22"/>
        </w:rPr>
        <w:t xml:space="preserve"> stato utilizzato l’Indice Totale di Sharp modificato (mTSS) che includeva le articolazioni distali interfalangee (cioè diverso dall’Indice Totale di Sharp utilizzato per l’artrite reumatoide).</w:t>
      </w:r>
    </w:p>
    <w:p w:rsidR="006224C2" w:rsidRPr="00295E71" w14:paraId="7A2DDA4E" w14:textId="77777777">
      <w:pPr>
        <w:tabs>
          <w:tab w:val="left" w:pos="567"/>
          <w:tab w:val="left" w:pos="1294"/>
        </w:tabs>
        <w:autoSpaceDE w:val="0"/>
        <w:autoSpaceDN w:val="0"/>
        <w:adjustRightInd w:val="0"/>
        <w:jc w:val="both"/>
        <w:rPr>
          <w:color w:val="000000"/>
          <w:sz w:val="22"/>
          <w:szCs w:val="22"/>
        </w:rPr>
      </w:pPr>
    </w:p>
    <w:p w:rsidR="006224C2" w:rsidRPr="00295E71" w14:paraId="4C1CD593" w14:textId="77777777">
      <w:pPr>
        <w:rPr>
          <w:color w:val="000000"/>
          <w:sz w:val="22"/>
          <w:szCs w:val="22"/>
        </w:rPr>
      </w:pPr>
      <w:r w:rsidRPr="00295E71">
        <w:rPr>
          <w:color w:val="000000"/>
          <w:sz w:val="22"/>
          <w:szCs w:val="22"/>
        </w:rPr>
        <w:t>Il trattamento con Humira, in confronto al trattamento con placebo, ha ridotto la percentuale di progressione del danno articolare periferico, come rilevato dalle variazioni dell’Indice Totale di Sharp modificato rispetto al basale (media ± DS) 0,8 ±2,5 nel gruppo placebo (alla settimana 24) rispetto a 0,0 ± 1,9 (p&lt;0,001) nel gruppo Humira (alla settimana 48).</w:t>
      </w:r>
    </w:p>
    <w:p w:rsidR="006224C2" w:rsidRPr="00295E71" w14:paraId="093A5055" w14:textId="77777777">
      <w:pPr>
        <w:tabs>
          <w:tab w:val="left" w:pos="567"/>
          <w:tab w:val="left" w:pos="1294"/>
        </w:tabs>
        <w:autoSpaceDE w:val="0"/>
        <w:autoSpaceDN w:val="0"/>
        <w:adjustRightInd w:val="0"/>
        <w:jc w:val="both"/>
        <w:rPr>
          <w:color w:val="000000"/>
          <w:sz w:val="22"/>
          <w:szCs w:val="22"/>
        </w:rPr>
      </w:pPr>
    </w:p>
    <w:p w:rsidR="006224C2" w:rsidRPr="00295E71" w14:paraId="1D287DE2"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trattati con Humira senza progressione del danno radiologico dal basale alla settimana 48 (n=102), l’84% ha continuato a non mostrare alcuna progressione del danno radiologico nelle 144 settimane di trattamento.</w:t>
      </w:r>
    </w:p>
    <w:p w:rsidR="006224C2" w:rsidRPr="00295E71" w14:paraId="35721900" w14:textId="77777777">
      <w:pPr>
        <w:tabs>
          <w:tab w:val="left" w:pos="567"/>
          <w:tab w:val="left" w:pos="1294"/>
        </w:tabs>
        <w:autoSpaceDE w:val="0"/>
        <w:autoSpaceDN w:val="0"/>
        <w:adjustRightInd w:val="0"/>
        <w:jc w:val="both"/>
        <w:rPr>
          <w:color w:val="000000"/>
          <w:sz w:val="22"/>
          <w:szCs w:val="22"/>
        </w:rPr>
      </w:pPr>
    </w:p>
    <w:p w:rsidR="006224C2" w:rsidRPr="00295E71" w14:paraId="7535DCEE"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 pazienti trattati con Humira hanno dimostrato un miglioramento statisticamente significativo della funzionalità fisica alla settimana 24 rispetto ai pazienti trattati con placebo, come valutato dall’HAQ e dallo Short Form Health Survey (SF-36). Il miglioramento della funzionalità fisica è continuato fino alla settimana 136 nello studio di estensione in aperto.</w:t>
      </w:r>
    </w:p>
    <w:p w:rsidR="006224C2" w:rsidRPr="00295E71" w14:paraId="2E697EB0" w14:textId="77777777">
      <w:pPr>
        <w:tabs>
          <w:tab w:val="left" w:pos="567"/>
          <w:tab w:val="left" w:pos="1294"/>
        </w:tabs>
        <w:autoSpaceDE w:val="0"/>
        <w:autoSpaceDN w:val="0"/>
        <w:adjustRightInd w:val="0"/>
        <w:jc w:val="both"/>
        <w:rPr>
          <w:color w:val="000000"/>
          <w:sz w:val="22"/>
          <w:szCs w:val="22"/>
        </w:rPr>
      </w:pPr>
    </w:p>
    <w:p w:rsidR="006224C2" w:rsidRPr="00295E71" w14:paraId="202DF2E4" w14:textId="77777777">
      <w:pPr>
        <w:tabs>
          <w:tab w:val="left" w:pos="567"/>
          <w:tab w:val="left" w:pos="1294"/>
        </w:tabs>
        <w:autoSpaceDE w:val="0"/>
        <w:autoSpaceDN w:val="0"/>
        <w:adjustRightInd w:val="0"/>
        <w:jc w:val="both"/>
        <w:rPr>
          <w:i/>
          <w:color w:val="000000"/>
          <w:sz w:val="22"/>
          <w:szCs w:val="22"/>
        </w:rPr>
      </w:pPr>
      <w:r w:rsidRPr="00295E71">
        <w:rPr>
          <w:i/>
          <w:color w:val="000000"/>
          <w:sz w:val="22"/>
          <w:szCs w:val="22"/>
        </w:rPr>
        <w:t>Psoriasi</w:t>
      </w:r>
    </w:p>
    <w:p w:rsidR="006224C2" w:rsidRPr="00295E71" w14:paraId="1DCBDD36" w14:textId="77777777">
      <w:pPr>
        <w:tabs>
          <w:tab w:val="left" w:pos="567"/>
          <w:tab w:val="left" w:pos="1294"/>
        </w:tabs>
        <w:autoSpaceDE w:val="0"/>
        <w:autoSpaceDN w:val="0"/>
        <w:adjustRightInd w:val="0"/>
        <w:jc w:val="both"/>
        <w:rPr>
          <w:color w:val="000000"/>
          <w:sz w:val="22"/>
          <w:szCs w:val="22"/>
        </w:rPr>
      </w:pPr>
    </w:p>
    <w:p w:rsidR="006224C2" w:rsidRPr="00295E71" w14:paraId="30F225ED"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La sicurezza e l’efficacia di Humira sono state studiate nei pazienti adulti affetti da psoriasi cronica a placche (BSA ≥10% e Psoriasis Area and Severity Index (PASI) ≥12 o ≥10), i quali erano candidati alla terapia sistemica o alla fototerapia, durante gli studi randomizzati in doppio cieco. Il 73% dei pazienti </w:t>
      </w:r>
      <w:r w:rsidRPr="00020442" w:rsidR="00A40A02">
        <w:rPr>
          <w:color w:val="000000"/>
          <w:sz w:val="22"/>
          <w:szCs w:val="22"/>
        </w:rPr>
        <w:t>arruolati negli</w:t>
      </w:r>
      <w:r w:rsidRPr="00295E71">
        <w:rPr>
          <w:color w:val="000000"/>
          <w:sz w:val="22"/>
          <w:szCs w:val="22"/>
        </w:rPr>
        <w:t xml:space="preserve"> studi I e II sulla psoriasi erano stati precedentemente sottoposti a terapia sistemica o fototerapica. </w:t>
      </w:r>
    </w:p>
    <w:p w:rsidR="008251A1" w:rsidRPr="00295E71" w14:paraId="54A5CF9C" w14:textId="77777777">
      <w:pPr>
        <w:tabs>
          <w:tab w:val="left" w:pos="567"/>
          <w:tab w:val="left" w:pos="1294"/>
        </w:tabs>
        <w:autoSpaceDE w:val="0"/>
        <w:autoSpaceDN w:val="0"/>
        <w:adjustRightInd w:val="0"/>
        <w:jc w:val="both"/>
        <w:rPr>
          <w:color w:val="000000"/>
          <w:sz w:val="22"/>
          <w:szCs w:val="22"/>
        </w:rPr>
      </w:pPr>
    </w:p>
    <w:p w:rsidR="006224C2" w:rsidRPr="00295E71" w:rsidP="008251A1" w14:paraId="781A7DB1" w14:textId="77777777">
      <w:pPr>
        <w:rPr>
          <w:color w:val="000000"/>
          <w:sz w:val="22"/>
          <w:szCs w:val="22"/>
        </w:rPr>
      </w:pPr>
      <w:r w:rsidRPr="00295E71">
        <w:rPr>
          <w:color w:val="000000"/>
          <w:sz w:val="22"/>
          <w:szCs w:val="22"/>
        </w:rPr>
        <w:t>La sicurezza e l’efficacia di Humira sono state studiate anche nei pazienti adulti affetti da psoriasi cronica a placche da moderata a severa con concomitante psoriasi localizzata alla mano e/o al piede, i quali erano candidati alla terapia sistemica in uno studio randomizzato in doppio cieco (studio di fase III sulla psoriasi).</w:t>
      </w:r>
    </w:p>
    <w:p w:rsidR="006224C2" w:rsidRPr="00295E71" w14:paraId="2B54F054" w14:textId="77777777">
      <w:pPr>
        <w:rPr>
          <w:sz w:val="22"/>
          <w:szCs w:val="22"/>
        </w:rPr>
      </w:pPr>
    </w:p>
    <w:p w:rsidR="006224C2" w:rsidRPr="00295E71" w14:paraId="74949842" w14:textId="77777777">
      <w:pPr>
        <w:tabs>
          <w:tab w:val="left" w:pos="567"/>
          <w:tab w:val="left" w:pos="1294"/>
        </w:tabs>
        <w:autoSpaceDE w:val="0"/>
        <w:autoSpaceDN w:val="0"/>
        <w:adjustRightInd w:val="0"/>
        <w:jc w:val="both"/>
        <w:rPr>
          <w:color w:val="000000"/>
          <w:sz w:val="22"/>
          <w:szCs w:val="22"/>
        </w:rPr>
      </w:pPr>
      <w:r w:rsidRPr="00295E71">
        <w:rPr>
          <w:sz w:val="22"/>
          <w:szCs w:val="22"/>
        </w:rPr>
        <w:t xml:space="preserve">Lo </w:t>
      </w:r>
      <w:r w:rsidRPr="00295E71">
        <w:rPr>
          <w:color w:val="000000"/>
          <w:sz w:val="22"/>
          <w:szCs w:val="22"/>
        </w:rPr>
        <w:t>studio I sulla psoriasi (REVEAL) ha valutato 1.212 pazienti entro tre periodi di trattamento. Nel corso del periodo A, ai pazienti è stato somministrato placebo o Humira ad una dose iniziale pari a 80 mg, seguita da una dose pari a 40 mg, a settimane alterne, somministrata ad iniziare dalla settimana successiva all’assunzione della dose iniziale. Dopo 16 settimane di terapia, i pazienti che hanno ottenuto almeno una risposta PASI 75 (in cui il punteggio PASI ha registrato un miglioramento pari ad almeno il 75% del valore al basale) sono stati ammessi al periodo B ed hanno ricevuto una dose di Humira pari a 40 mg, a settimane alterne, in aperto. I pazienti che hanno mantenuto una risposta ≥PASI 75 alla settimana 33 e che erano stati inizialmente randomizzati per la terapia attiva nel corso del periodo A sono stati nuovamente randomizzati nel periodo C a ricevere 40 mg di Humira, a settimane alterne, o placebo, per un ulteriore periodo di 19 settimane. In tutti i gruppi di trattamento, il punteggio PASI medio al basale è risultato pari a 18,9 ed il punteggio relativo al Physician’s Global Assessment (PGA) è risultato di grado “moderato” nel 53% dei soggetti inclusi, “severo” nel 41% e “molto severo” nel 6%.</w:t>
      </w:r>
    </w:p>
    <w:p w:rsidR="006224C2" w:rsidRPr="00295E71" w14:paraId="03A222B4" w14:textId="77777777">
      <w:pPr>
        <w:rPr>
          <w:sz w:val="22"/>
          <w:szCs w:val="22"/>
        </w:rPr>
      </w:pPr>
    </w:p>
    <w:p w:rsidR="006224C2" w:rsidRPr="00295E71" w14:paraId="7E19F747" w14:textId="77777777">
      <w:pPr>
        <w:tabs>
          <w:tab w:val="left" w:pos="567"/>
          <w:tab w:val="left" w:pos="1294"/>
        </w:tabs>
        <w:autoSpaceDE w:val="0"/>
        <w:autoSpaceDN w:val="0"/>
        <w:adjustRightInd w:val="0"/>
        <w:jc w:val="both"/>
        <w:rPr>
          <w:color w:val="000000"/>
          <w:sz w:val="22"/>
          <w:szCs w:val="22"/>
        </w:rPr>
      </w:pPr>
      <w:r w:rsidRPr="00295E71">
        <w:rPr>
          <w:sz w:val="22"/>
          <w:szCs w:val="22"/>
        </w:rPr>
        <w:t xml:space="preserve">Lo </w:t>
      </w:r>
      <w:r w:rsidRPr="00295E71">
        <w:rPr>
          <w:color w:val="000000"/>
          <w:sz w:val="22"/>
          <w:szCs w:val="22"/>
        </w:rPr>
        <w:t>studio II sulla psoriasi (CHAMPION) ha paragonato l’efficacia e la sicurezza di Humira rispetto al metotressato ed al placebo in 271 pazienti. Per un periodo di 16 settimane, i pazienti hanno ricevuto placebo, o metotressato con una dose iniziale pari a 7,5 mg successivamente elevata fino alla settimana 12 e con un massimo di 25 mg, o Humira alla dose iniziale di 80 mg seguita dalla dose di 40 mg somministrata a settimane alterne (a iniziare dalla settimana successiva all’assunzione della dose iniziale). Non sono disponibili dati che mettano a confronto Humira e metotressato oltre le 16 settimane di terapia. Nei pazienti trattati con metotressato che hanno raggiunto una risposta ≥PASI 50 alla settimana 8 e/o alla settimana 12, non sono stati effettuati incrementi della dose. In tutti i gruppi di trattamento, il punteggio PASI al basale medio è risultato pari a 19,7 ed il punteggio PGA al basale è risultato da “lieve” (&lt;1%) a “moderato” (48%) a “severo” (46%) a “molto severo” (6%).</w:t>
      </w:r>
    </w:p>
    <w:p w:rsidR="006224C2" w:rsidRPr="00295E71" w14:paraId="45305F38" w14:textId="77777777">
      <w:pPr>
        <w:tabs>
          <w:tab w:val="left" w:pos="567"/>
          <w:tab w:val="left" w:pos="1294"/>
        </w:tabs>
        <w:autoSpaceDE w:val="0"/>
        <w:autoSpaceDN w:val="0"/>
        <w:adjustRightInd w:val="0"/>
        <w:jc w:val="both"/>
        <w:rPr>
          <w:color w:val="000000"/>
          <w:sz w:val="22"/>
          <w:szCs w:val="22"/>
        </w:rPr>
      </w:pPr>
    </w:p>
    <w:p w:rsidR="006224C2" w:rsidRPr="00295E71" w14:paraId="6BC1CE11"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I pazienti che hanno partecipato a tutti gli studi di Fase 2 e Fase 3 sulla psoriasi sono stati considerati idonei ad essere arruolati in uno studio di estensione in aperto, dove Humira è stato somministrato per un periodo aggiuntivo di almeno 108 settimane. </w:t>
      </w:r>
    </w:p>
    <w:p w:rsidR="006224C2" w:rsidRPr="00295E71" w14:paraId="050B6382" w14:textId="77777777">
      <w:pPr>
        <w:tabs>
          <w:tab w:val="left" w:pos="567"/>
          <w:tab w:val="left" w:pos="1294"/>
        </w:tabs>
        <w:autoSpaceDE w:val="0"/>
        <w:autoSpaceDN w:val="0"/>
        <w:adjustRightInd w:val="0"/>
        <w:jc w:val="both"/>
        <w:rPr>
          <w:color w:val="000000"/>
          <w:sz w:val="22"/>
          <w:szCs w:val="22"/>
        </w:rPr>
      </w:pPr>
    </w:p>
    <w:p w:rsidR="006224C2" w:rsidRPr="00295E71" w14:paraId="20F5131F"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Negli studi I e II sulla psoriasi, l’endpoint primario è stato rappresentato dalla percentuale di pazienti che ha ottenuto una risposta PASI 75 rispetto al valore basale alla settimana 16 (vedere Tabelle 1</w:t>
      </w:r>
      <w:r w:rsidR="0062664F">
        <w:rPr>
          <w:color w:val="000000"/>
          <w:sz w:val="22"/>
          <w:szCs w:val="22"/>
        </w:rPr>
        <w:t>6</w:t>
      </w:r>
      <w:r w:rsidRPr="00295E71">
        <w:rPr>
          <w:color w:val="000000"/>
          <w:sz w:val="22"/>
          <w:szCs w:val="22"/>
        </w:rPr>
        <w:t xml:space="preserve"> e 1</w:t>
      </w:r>
      <w:r w:rsidR="0062664F">
        <w:rPr>
          <w:color w:val="000000"/>
          <w:sz w:val="22"/>
          <w:szCs w:val="22"/>
        </w:rPr>
        <w:t>7</w:t>
      </w:r>
      <w:r w:rsidRPr="00295E71">
        <w:rPr>
          <w:color w:val="000000"/>
          <w:sz w:val="22"/>
          <w:szCs w:val="22"/>
        </w:rPr>
        <w:t>)</w:t>
      </w:r>
      <w:r w:rsidR="00F440A3">
        <w:rPr>
          <w:color w:val="000000"/>
          <w:sz w:val="22"/>
          <w:szCs w:val="22"/>
        </w:rPr>
        <w:t>.</w:t>
      </w:r>
    </w:p>
    <w:p w:rsidR="006224C2" w:rsidRPr="00295E71" w14:paraId="74EB5C22" w14:textId="77777777">
      <w:pPr>
        <w:keepNext/>
        <w:tabs>
          <w:tab w:val="left" w:pos="567"/>
          <w:tab w:val="left" w:pos="1294"/>
        </w:tabs>
        <w:autoSpaceDE w:val="0"/>
        <w:autoSpaceDN w:val="0"/>
        <w:adjustRightInd w:val="0"/>
        <w:rPr>
          <w:color w:val="000000"/>
          <w:sz w:val="22"/>
          <w:szCs w:val="22"/>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77"/>
        <w:gridCol w:w="1620"/>
        <w:gridCol w:w="2352"/>
      </w:tblGrid>
      <w:tr w14:paraId="078DA5BE" w14:textId="77777777">
        <w:tblPrEx>
          <w:tblW w:w="6949" w:type="dxa"/>
          <w:tblLook w:val="0000"/>
        </w:tblPrEx>
        <w:trPr>
          <w:cantSplit/>
        </w:trPr>
        <w:tc>
          <w:tcPr>
            <w:tcW w:w="6949" w:type="dxa"/>
            <w:gridSpan w:val="3"/>
            <w:tcBorders>
              <w:top w:val="nil"/>
              <w:left w:val="nil"/>
              <w:bottom w:val="single" w:sz="4" w:space="0" w:color="auto"/>
              <w:right w:val="nil"/>
            </w:tcBorders>
          </w:tcPr>
          <w:p w:rsidR="006224C2" w:rsidRPr="00295E71" w14:paraId="043A7652"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Tabella 1</w:t>
            </w:r>
            <w:r w:rsidR="0062664F">
              <w:rPr>
                <w:rFonts w:ascii="Times New Roman" w:hAnsi="Times New Roman" w:cs="Times New Roman"/>
                <w:b/>
                <w:bCs/>
                <w:lang w:val="it-IT"/>
              </w:rPr>
              <w:t>6</w:t>
            </w:r>
          </w:p>
          <w:p w:rsidR="006224C2" w:rsidRPr="00295E71" w14:paraId="51D9E5E7"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Studio I sulla psoriasi (REVEAL)</w:t>
            </w:r>
          </w:p>
          <w:p w:rsidR="006224C2" w:rsidRPr="00295E71" w14:paraId="2F55BF03" w14:textId="77777777">
            <w:pPr>
              <w:pStyle w:val="DefaultText"/>
              <w:keepNext/>
              <w:jc w:val="center"/>
              <w:rPr>
                <w:rFonts w:ascii="Times New Roman" w:hAnsi="Times New Roman" w:cs="Times New Roman"/>
                <w:b/>
                <w:bCs/>
                <w:u w:val="single"/>
                <w:lang w:val="it-IT"/>
              </w:rPr>
            </w:pPr>
            <w:r w:rsidRPr="00295E71">
              <w:rPr>
                <w:rFonts w:ascii="Times New Roman" w:hAnsi="Times New Roman" w:cs="Times New Roman"/>
                <w:b/>
                <w:bCs/>
                <w:lang w:val="it-IT"/>
              </w:rPr>
              <w:t xml:space="preserve">Risultati relativi all’efficacia alla settimana 16 </w:t>
            </w:r>
          </w:p>
        </w:tc>
      </w:tr>
      <w:tr w14:paraId="44FE0478" w14:textId="77777777">
        <w:tblPrEx>
          <w:tblW w:w="6949" w:type="dxa"/>
          <w:tblLook w:val="0000"/>
        </w:tblPrEx>
        <w:trPr>
          <w:cantSplit/>
        </w:trPr>
        <w:tc>
          <w:tcPr>
            <w:tcW w:w="2977" w:type="dxa"/>
            <w:tcBorders>
              <w:top w:val="single" w:sz="4" w:space="0" w:color="auto"/>
              <w:left w:val="single" w:sz="4" w:space="0" w:color="auto"/>
              <w:bottom w:val="single" w:sz="4" w:space="0" w:color="auto"/>
              <w:right w:val="single" w:sz="4" w:space="0" w:color="auto"/>
            </w:tcBorders>
            <w:vAlign w:val="center"/>
          </w:tcPr>
          <w:p w:rsidR="006224C2" w:rsidRPr="00295E71" w14:paraId="601C20B8" w14:textId="77777777">
            <w:pPr>
              <w:pStyle w:val="DefaultText"/>
              <w:keepNext/>
              <w:rPr>
                <w:rFonts w:ascii="Times New Roman" w:hAnsi="Times New Roman" w:cs="Times New Roman"/>
                <w:b/>
                <w:bCs/>
                <w:lang w:val="it-IT"/>
              </w:rPr>
            </w:pPr>
          </w:p>
        </w:tc>
        <w:tc>
          <w:tcPr>
            <w:tcW w:w="1620" w:type="dxa"/>
            <w:tcBorders>
              <w:top w:val="single" w:sz="4" w:space="0" w:color="auto"/>
              <w:left w:val="single" w:sz="4" w:space="0" w:color="auto"/>
              <w:bottom w:val="single" w:sz="4" w:space="0" w:color="auto"/>
              <w:right w:val="single" w:sz="4" w:space="0" w:color="auto"/>
            </w:tcBorders>
            <w:vAlign w:val="center"/>
          </w:tcPr>
          <w:p w:rsidR="006224C2" w:rsidRPr="00295E71" w14:paraId="3220239D"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Placebo</w:t>
            </w:r>
          </w:p>
          <w:p w:rsidR="006224C2" w:rsidRPr="00295E71" w14:paraId="1602FFAD"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N=398</w:t>
            </w:r>
          </w:p>
          <w:p w:rsidR="006224C2" w:rsidRPr="00295E71" w14:paraId="0C1747D3"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 (%)</w:t>
            </w:r>
          </w:p>
        </w:tc>
        <w:tc>
          <w:tcPr>
            <w:tcW w:w="2352" w:type="dxa"/>
            <w:tcBorders>
              <w:top w:val="single" w:sz="4" w:space="0" w:color="auto"/>
              <w:left w:val="single" w:sz="4" w:space="0" w:color="auto"/>
              <w:bottom w:val="single" w:sz="4" w:space="0" w:color="auto"/>
              <w:right w:val="single" w:sz="4" w:space="0" w:color="auto"/>
            </w:tcBorders>
            <w:vAlign w:val="center"/>
          </w:tcPr>
          <w:p w:rsidR="006224C2" w:rsidRPr="00295E71" w14:paraId="742B1110"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Humira 40 mg a settimane alterne</w:t>
            </w:r>
          </w:p>
          <w:p w:rsidR="006224C2" w:rsidRPr="00295E71" w14:paraId="333A817C"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N=814</w:t>
            </w:r>
          </w:p>
          <w:p w:rsidR="006224C2" w:rsidRPr="00295E71" w14:paraId="66863076"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n (%)</w:t>
            </w:r>
          </w:p>
        </w:tc>
      </w:tr>
      <w:tr w14:paraId="1C814267" w14:textId="77777777">
        <w:tblPrEx>
          <w:tblW w:w="6949" w:type="dxa"/>
          <w:tblLook w:val="0000"/>
        </w:tblPrEx>
        <w:trPr>
          <w:cantSplit/>
        </w:trPr>
        <w:tc>
          <w:tcPr>
            <w:tcW w:w="2977" w:type="dxa"/>
            <w:tcBorders>
              <w:top w:val="single" w:sz="4" w:space="0" w:color="auto"/>
              <w:left w:val="single" w:sz="4" w:space="0" w:color="auto"/>
              <w:bottom w:val="single" w:sz="4" w:space="0" w:color="auto"/>
              <w:right w:val="single" w:sz="4" w:space="0" w:color="auto"/>
            </w:tcBorders>
          </w:tcPr>
          <w:p w:rsidR="006224C2" w:rsidRPr="00295E71" w14:paraId="5FFE551F" w14:textId="77777777">
            <w:pPr>
              <w:pStyle w:val="DefaultText"/>
              <w:keepNext/>
              <w:rPr>
                <w:rFonts w:ascii="Times New Roman" w:hAnsi="Times New Roman" w:cs="Times New Roman"/>
                <w:b/>
                <w:bCs/>
                <w:lang w:val="it-IT"/>
              </w:rPr>
            </w:pPr>
            <w:r w:rsidRPr="00295E71">
              <w:rPr>
                <w:rFonts w:ascii="Symbol" w:hAnsi="Symbol" w:cs="Times New Roman"/>
                <w:b/>
                <w:lang w:val="it-IT"/>
              </w:rPr>
              <w:sym w:font="Symbol" w:char="F0B3"/>
            </w:r>
            <w:r w:rsidRPr="00295E71">
              <w:rPr>
                <w:rFonts w:ascii="Times New Roman" w:hAnsi="Times New Roman" w:cs="Times New Roman"/>
                <w:b/>
                <w:bCs/>
                <w:lang w:val="it-IT"/>
              </w:rPr>
              <w:t>PASI 75</w:t>
            </w:r>
            <w:r w:rsidRPr="00295E71">
              <w:rPr>
                <w:rFonts w:ascii="Times New Roman" w:hAnsi="Times New Roman" w:cs="Times New Roman"/>
                <w:b/>
                <w:bCs/>
                <w:vertAlign w:val="superscript"/>
                <w:lang w:val="it-IT"/>
              </w:rPr>
              <w:t>a</w:t>
            </w:r>
          </w:p>
        </w:tc>
        <w:tc>
          <w:tcPr>
            <w:tcW w:w="1620" w:type="dxa"/>
            <w:tcBorders>
              <w:top w:val="single" w:sz="4" w:space="0" w:color="auto"/>
              <w:left w:val="single" w:sz="4" w:space="0" w:color="auto"/>
              <w:bottom w:val="single" w:sz="4" w:space="0" w:color="auto"/>
              <w:right w:val="single" w:sz="4" w:space="0" w:color="auto"/>
            </w:tcBorders>
          </w:tcPr>
          <w:p w:rsidR="006224C2" w:rsidRPr="00295E71" w14:paraId="3B1464D2"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26 (6,5)</w:t>
            </w:r>
          </w:p>
        </w:tc>
        <w:tc>
          <w:tcPr>
            <w:tcW w:w="2352" w:type="dxa"/>
            <w:tcBorders>
              <w:top w:val="single" w:sz="4" w:space="0" w:color="auto"/>
              <w:left w:val="single" w:sz="4" w:space="0" w:color="auto"/>
              <w:bottom w:val="single" w:sz="4" w:space="0" w:color="auto"/>
              <w:right w:val="single" w:sz="4" w:space="0" w:color="auto"/>
            </w:tcBorders>
          </w:tcPr>
          <w:p w:rsidR="006224C2" w:rsidRPr="00295E71" w14:paraId="186CAEF9"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578 (70,9)</w:t>
            </w:r>
            <w:r w:rsidRPr="00295E71">
              <w:rPr>
                <w:rFonts w:ascii="Times New Roman" w:hAnsi="Times New Roman" w:cs="Times New Roman"/>
                <w:vertAlign w:val="superscript"/>
                <w:lang w:val="it-IT"/>
              </w:rPr>
              <w:t>b</w:t>
            </w:r>
          </w:p>
        </w:tc>
      </w:tr>
      <w:tr w14:paraId="6E82D483" w14:textId="77777777">
        <w:tblPrEx>
          <w:tblW w:w="6949" w:type="dxa"/>
          <w:tblLook w:val="0000"/>
        </w:tblPrEx>
        <w:trPr>
          <w:cantSplit/>
          <w:trHeight w:val="70"/>
        </w:trPr>
        <w:tc>
          <w:tcPr>
            <w:tcW w:w="2977" w:type="dxa"/>
            <w:tcBorders>
              <w:top w:val="single" w:sz="4" w:space="0" w:color="auto"/>
              <w:left w:val="single" w:sz="4" w:space="0" w:color="auto"/>
              <w:bottom w:val="single" w:sz="4" w:space="0" w:color="auto"/>
              <w:right w:val="single" w:sz="4" w:space="0" w:color="auto"/>
            </w:tcBorders>
          </w:tcPr>
          <w:p w:rsidR="006224C2" w:rsidRPr="00295E71" w14:paraId="25DD28E2" w14:textId="77777777">
            <w:pPr>
              <w:pStyle w:val="DefaultText"/>
              <w:keepNext/>
              <w:rPr>
                <w:rFonts w:ascii="Times New Roman" w:hAnsi="Times New Roman" w:cs="Times New Roman"/>
                <w:b/>
                <w:bCs/>
                <w:lang w:val="it-IT"/>
              </w:rPr>
            </w:pPr>
            <w:r w:rsidRPr="00295E71">
              <w:rPr>
                <w:rFonts w:ascii="Times New Roman" w:hAnsi="Times New Roman" w:cs="Times New Roman"/>
                <w:b/>
                <w:bCs/>
                <w:lang w:val="it-IT"/>
              </w:rPr>
              <w:t xml:space="preserve">    PASI 100</w:t>
            </w:r>
          </w:p>
        </w:tc>
        <w:tc>
          <w:tcPr>
            <w:tcW w:w="1620" w:type="dxa"/>
            <w:tcBorders>
              <w:top w:val="single" w:sz="4" w:space="0" w:color="auto"/>
              <w:left w:val="single" w:sz="4" w:space="0" w:color="auto"/>
              <w:bottom w:val="single" w:sz="4" w:space="0" w:color="auto"/>
              <w:right w:val="single" w:sz="4" w:space="0" w:color="auto"/>
            </w:tcBorders>
          </w:tcPr>
          <w:p w:rsidR="006224C2" w:rsidRPr="00295E71" w14:paraId="30763A2C"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3 (0,8)</w:t>
            </w:r>
          </w:p>
        </w:tc>
        <w:tc>
          <w:tcPr>
            <w:tcW w:w="2352" w:type="dxa"/>
            <w:tcBorders>
              <w:top w:val="single" w:sz="4" w:space="0" w:color="auto"/>
              <w:left w:val="single" w:sz="4" w:space="0" w:color="auto"/>
              <w:bottom w:val="single" w:sz="4" w:space="0" w:color="auto"/>
              <w:right w:val="single" w:sz="4" w:space="0" w:color="auto"/>
            </w:tcBorders>
          </w:tcPr>
          <w:p w:rsidR="006224C2" w:rsidRPr="00295E71" w14:paraId="42A27C2E"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163 (20,0)</w:t>
            </w:r>
            <w:r w:rsidRPr="00295E71">
              <w:rPr>
                <w:rFonts w:ascii="Times New Roman" w:hAnsi="Times New Roman" w:cs="Times New Roman"/>
                <w:vertAlign w:val="superscript"/>
                <w:lang w:val="it-IT"/>
              </w:rPr>
              <w:t>b</w:t>
            </w:r>
          </w:p>
        </w:tc>
      </w:tr>
      <w:tr w14:paraId="2890B4C8" w14:textId="77777777">
        <w:tblPrEx>
          <w:tblW w:w="6949" w:type="dxa"/>
          <w:tblLook w:val="0000"/>
        </w:tblPrEx>
        <w:trPr>
          <w:cantSplit/>
        </w:trPr>
        <w:tc>
          <w:tcPr>
            <w:tcW w:w="2977" w:type="dxa"/>
            <w:tcBorders>
              <w:top w:val="single" w:sz="4" w:space="0" w:color="auto"/>
              <w:left w:val="single" w:sz="4" w:space="0" w:color="auto"/>
              <w:bottom w:val="single" w:sz="4" w:space="0" w:color="auto"/>
              <w:right w:val="single" w:sz="4" w:space="0" w:color="auto"/>
            </w:tcBorders>
          </w:tcPr>
          <w:p w:rsidR="006224C2" w:rsidRPr="00295E71" w14:paraId="2C1FA3B2" w14:textId="77777777">
            <w:pPr>
              <w:pStyle w:val="DefaultText"/>
              <w:keepNext/>
              <w:rPr>
                <w:rFonts w:ascii="Times New Roman" w:hAnsi="Times New Roman" w:cs="Times New Roman"/>
                <w:b/>
                <w:bCs/>
                <w:lang w:val="it-IT"/>
              </w:rPr>
            </w:pPr>
            <w:r w:rsidRPr="00295E71">
              <w:rPr>
                <w:rFonts w:ascii="Times New Roman" w:hAnsi="Times New Roman" w:cs="Times New Roman"/>
                <w:b/>
                <w:bCs/>
                <w:lang w:val="it-IT"/>
              </w:rPr>
              <w:t xml:space="preserve">    PGA: Guarigione/Marcato miglioramento</w:t>
            </w:r>
          </w:p>
        </w:tc>
        <w:tc>
          <w:tcPr>
            <w:tcW w:w="1620" w:type="dxa"/>
            <w:tcBorders>
              <w:top w:val="single" w:sz="4" w:space="0" w:color="auto"/>
              <w:left w:val="single" w:sz="4" w:space="0" w:color="auto"/>
              <w:bottom w:val="single" w:sz="4" w:space="0" w:color="auto"/>
              <w:right w:val="single" w:sz="4" w:space="0" w:color="auto"/>
            </w:tcBorders>
          </w:tcPr>
          <w:p w:rsidR="006224C2" w:rsidRPr="00295E71" w14:paraId="54D7B21D"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17 (4,3)</w:t>
            </w:r>
          </w:p>
        </w:tc>
        <w:tc>
          <w:tcPr>
            <w:tcW w:w="2352" w:type="dxa"/>
            <w:tcBorders>
              <w:top w:val="single" w:sz="4" w:space="0" w:color="auto"/>
              <w:left w:val="single" w:sz="4" w:space="0" w:color="auto"/>
              <w:bottom w:val="single" w:sz="4" w:space="0" w:color="auto"/>
              <w:right w:val="single" w:sz="4" w:space="0" w:color="auto"/>
            </w:tcBorders>
          </w:tcPr>
          <w:p w:rsidR="006224C2" w:rsidRPr="00295E71" w14:paraId="71D8E331"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506 (62,2)</w:t>
            </w:r>
            <w:r w:rsidRPr="00295E71">
              <w:rPr>
                <w:rFonts w:ascii="Times New Roman" w:hAnsi="Times New Roman" w:cs="Times New Roman"/>
                <w:vertAlign w:val="superscript"/>
                <w:lang w:val="it-IT"/>
              </w:rPr>
              <w:t>b</w:t>
            </w:r>
          </w:p>
        </w:tc>
      </w:tr>
      <w:tr w14:paraId="587DD18A" w14:textId="77777777">
        <w:tblPrEx>
          <w:tblW w:w="6949" w:type="dxa"/>
          <w:tblLook w:val="0000"/>
        </w:tblPrEx>
        <w:trPr>
          <w:cantSplit/>
        </w:trPr>
        <w:tc>
          <w:tcPr>
            <w:tcW w:w="6949" w:type="dxa"/>
            <w:gridSpan w:val="3"/>
            <w:tcBorders>
              <w:top w:val="single" w:sz="4" w:space="0" w:color="auto"/>
              <w:left w:val="single" w:sz="4" w:space="0" w:color="auto"/>
              <w:bottom w:val="single" w:sz="4" w:space="0" w:color="auto"/>
              <w:right w:val="single" w:sz="4" w:space="0" w:color="auto"/>
            </w:tcBorders>
          </w:tcPr>
          <w:p w:rsidR="006224C2" w:rsidRPr="00DA456F" w14:paraId="52741860" w14:textId="77777777">
            <w:pPr>
              <w:pStyle w:val="DefaultText"/>
              <w:keepNext/>
              <w:rPr>
                <w:rFonts w:ascii="Times New Roman" w:hAnsi="Times New Roman" w:cs="Times New Roman"/>
                <w:lang w:val="it-IT"/>
              </w:rPr>
            </w:pPr>
            <w:r w:rsidRPr="00DA456F">
              <w:rPr>
                <w:rFonts w:ascii="Times New Roman" w:hAnsi="Times New Roman" w:cs="Times New Roman"/>
                <w:vertAlign w:val="superscript"/>
                <w:lang w:val="it-IT"/>
              </w:rPr>
              <w:t>a</w:t>
            </w:r>
            <w:r w:rsidRPr="00DA456F">
              <w:rPr>
                <w:rFonts w:ascii="Times New Roman" w:hAnsi="Times New Roman" w:cs="Times New Roman"/>
                <w:lang w:val="it-IT"/>
              </w:rPr>
              <w:t xml:space="preserve"> La percentuale di pazienti che ha ottenuto una risposta PASI 75 è stata calcolata sotto forma di centre-adjusted rate</w:t>
            </w:r>
          </w:p>
          <w:p w:rsidR="006224C2" w:rsidRPr="00C04163" w:rsidP="00272D2F" w14:paraId="4AD7EBCC" w14:textId="77777777">
            <w:pPr>
              <w:pStyle w:val="DefaultText"/>
              <w:keepNext/>
              <w:ind w:left="849" w:hanging="283"/>
              <w:outlineLvl w:val="4"/>
              <w:rPr>
                <w:rFonts w:ascii="Times New Roman" w:hAnsi="Times New Roman" w:cs="Times New Roman"/>
                <w:b/>
                <w:bCs/>
                <w:lang w:val="pt-PT"/>
              </w:rPr>
            </w:pPr>
            <w:r w:rsidRPr="00C04163">
              <w:rPr>
                <w:rFonts w:ascii="Times New Roman" w:hAnsi="Times New Roman" w:cs="Times New Roman"/>
                <w:vertAlign w:val="superscript"/>
                <w:lang w:val="pt-PT"/>
              </w:rPr>
              <w:t>b</w:t>
            </w:r>
            <w:r w:rsidRPr="00C04163">
              <w:rPr>
                <w:rFonts w:ascii="Times New Roman" w:hAnsi="Times New Roman" w:cs="Times New Roman"/>
                <w:lang w:val="pt-PT"/>
              </w:rPr>
              <w:t xml:space="preserve"> p&lt;0,001, Humira vs. </w:t>
            </w:r>
            <w:r w:rsidRPr="00C04163" w:rsidR="00272D2F">
              <w:rPr>
                <w:rFonts w:ascii="Times New Roman" w:hAnsi="Times New Roman" w:cs="Times New Roman"/>
                <w:lang w:val="pt-PT"/>
              </w:rPr>
              <w:t>p</w:t>
            </w:r>
            <w:r w:rsidRPr="00C04163">
              <w:rPr>
                <w:rFonts w:ascii="Times New Roman" w:hAnsi="Times New Roman" w:cs="Times New Roman"/>
                <w:lang w:val="pt-PT"/>
              </w:rPr>
              <w:t>lacebo</w:t>
            </w:r>
          </w:p>
        </w:tc>
      </w:tr>
    </w:tbl>
    <w:p w:rsidR="006224C2" w:rsidRPr="00C04163" w14:paraId="6DDC9291" w14:textId="77777777">
      <w:pPr>
        <w:rPr>
          <w:sz w:val="22"/>
          <w:szCs w:val="22"/>
          <w:lang w:val="pt-PT"/>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3"/>
        <w:gridCol w:w="1528"/>
        <w:gridCol w:w="1246"/>
        <w:gridCol w:w="2149"/>
      </w:tblGrid>
      <w:tr w14:paraId="2072B5A1" w14:textId="77777777">
        <w:tblPrEx>
          <w:tblW w:w="7046" w:type="dxa"/>
          <w:tblLook w:val="0000"/>
        </w:tblPrEx>
        <w:trPr>
          <w:cantSplit/>
        </w:trPr>
        <w:tc>
          <w:tcPr>
            <w:tcW w:w="7046" w:type="dxa"/>
            <w:gridSpan w:val="4"/>
            <w:tcBorders>
              <w:top w:val="nil"/>
              <w:left w:val="nil"/>
              <w:bottom w:val="single" w:sz="4" w:space="0" w:color="auto"/>
              <w:right w:val="nil"/>
            </w:tcBorders>
          </w:tcPr>
          <w:p w:rsidR="006224C2" w:rsidRPr="00295E71" w14:paraId="41EFB30C" w14:textId="77777777">
            <w:pPr>
              <w:pStyle w:val="DefaultText"/>
              <w:keepNext/>
              <w:keepLines/>
              <w:jc w:val="center"/>
              <w:rPr>
                <w:rFonts w:ascii="Times New Roman" w:hAnsi="Times New Roman" w:cs="Times New Roman"/>
                <w:b/>
                <w:bCs/>
                <w:lang w:val="it-IT"/>
              </w:rPr>
            </w:pPr>
            <w:r w:rsidRPr="003E732F">
              <w:rPr>
                <w:rFonts w:ascii="Times New Roman" w:hAnsi="Times New Roman" w:cs="Times New Roman"/>
                <w:lang w:val="it-IT"/>
              </w:rPr>
              <w:br w:type="page"/>
            </w:r>
            <w:r w:rsidRPr="00295E71" w:rsidR="00226BC4">
              <w:rPr>
                <w:rFonts w:ascii="Times New Roman" w:hAnsi="Times New Roman" w:cs="Times New Roman"/>
                <w:b/>
                <w:bCs/>
                <w:lang w:val="it-IT"/>
              </w:rPr>
              <w:t>Tabella 1</w:t>
            </w:r>
            <w:r w:rsidR="0062664F">
              <w:rPr>
                <w:rFonts w:ascii="Times New Roman" w:hAnsi="Times New Roman" w:cs="Times New Roman"/>
                <w:b/>
                <w:bCs/>
                <w:lang w:val="it-IT"/>
              </w:rPr>
              <w:t>7</w:t>
            </w:r>
          </w:p>
          <w:p w:rsidR="006224C2" w:rsidRPr="00295E71" w14:paraId="23B49C44"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Studio II sulla psoriasi (CHAMPION)</w:t>
            </w:r>
          </w:p>
          <w:p w:rsidR="006224C2" w:rsidRPr="00295E71" w14:paraId="62DBAC6D" w14:textId="77777777">
            <w:pPr>
              <w:pStyle w:val="DefaultText"/>
              <w:keepNext/>
              <w:keepLines/>
              <w:jc w:val="center"/>
              <w:rPr>
                <w:rFonts w:ascii="Times New Roman" w:hAnsi="Times New Roman" w:cs="Times New Roman"/>
                <w:u w:val="single"/>
                <w:lang w:val="it-IT"/>
              </w:rPr>
            </w:pPr>
            <w:r w:rsidRPr="00295E71">
              <w:rPr>
                <w:rFonts w:ascii="Times New Roman" w:hAnsi="Times New Roman" w:cs="Times New Roman"/>
                <w:b/>
                <w:bCs/>
                <w:lang w:val="it-IT"/>
              </w:rPr>
              <w:t>Risultati relativi all’efficacia alla settimana 16</w:t>
            </w:r>
          </w:p>
        </w:tc>
      </w:tr>
      <w:tr w14:paraId="7595F1B0" w14:textId="77777777">
        <w:tblPrEx>
          <w:tblW w:w="7046" w:type="dxa"/>
          <w:tblLook w:val="0000"/>
        </w:tblPrEx>
        <w:trPr>
          <w:cantSplit/>
        </w:trPr>
        <w:tc>
          <w:tcPr>
            <w:tcW w:w="2123" w:type="dxa"/>
            <w:tcBorders>
              <w:top w:val="single" w:sz="4" w:space="0" w:color="auto"/>
              <w:left w:val="single" w:sz="4" w:space="0" w:color="auto"/>
              <w:bottom w:val="single" w:sz="4" w:space="0" w:color="auto"/>
              <w:right w:val="single" w:sz="4" w:space="0" w:color="auto"/>
            </w:tcBorders>
          </w:tcPr>
          <w:p w:rsidR="006224C2" w:rsidRPr="00295E71" w14:paraId="6BAEA7C5" w14:textId="77777777">
            <w:pPr>
              <w:pStyle w:val="DefaultText"/>
              <w:keepNext/>
              <w:keepLines/>
              <w:jc w:val="center"/>
              <w:rPr>
                <w:rFonts w:ascii="Times New Roman" w:hAnsi="Times New Roman" w:cs="Times New Roman"/>
                <w:b/>
                <w:bCs/>
                <w:lang w:val="it-IT"/>
              </w:rPr>
            </w:pPr>
          </w:p>
        </w:tc>
        <w:tc>
          <w:tcPr>
            <w:tcW w:w="1528" w:type="dxa"/>
            <w:tcBorders>
              <w:top w:val="single" w:sz="4" w:space="0" w:color="auto"/>
              <w:left w:val="single" w:sz="4" w:space="0" w:color="auto"/>
              <w:bottom w:val="single" w:sz="4" w:space="0" w:color="auto"/>
              <w:right w:val="single" w:sz="4" w:space="0" w:color="auto"/>
            </w:tcBorders>
            <w:vAlign w:val="center"/>
          </w:tcPr>
          <w:p w:rsidR="006224C2" w:rsidRPr="00295E71" w14:paraId="266718F2" w14:textId="77777777">
            <w:pPr>
              <w:pStyle w:val="DefaultText"/>
              <w:keepNext/>
              <w:keepLines/>
              <w:jc w:val="center"/>
              <w:rPr>
                <w:rFonts w:ascii="Times New Roman" w:hAnsi="Times New Roman" w:cs="Times New Roman"/>
                <w:b/>
                <w:lang w:val="it-IT"/>
              </w:rPr>
            </w:pPr>
            <w:r w:rsidRPr="00295E71">
              <w:rPr>
                <w:rFonts w:ascii="Times New Roman" w:hAnsi="Times New Roman" w:cs="Times New Roman"/>
                <w:b/>
                <w:lang w:val="it-IT"/>
              </w:rPr>
              <w:t>Placebo</w:t>
            </w:r>
          </w:p>
          <w:p w:rsidR="006224C2" w:rsidRPr="00295E71" w14:paraId="5C34B070" w14:textId="77777777">
            <w:pPr>
              <w:pStyle w:val="DefaultText"/>
              <w:keepNext/>
              <w:keepLines/>
              <w:jc w:val="center"/>
              <w:rPr>
                <w:rFonts w:ascii="Times New Roman" w:hAnsi="Times New Roman" w:cs="Times New Roman"/>
                <w:b/>
                <w:lang w:val="it-IT"/>
              </w:rPr>
            </w:pPr>
            <w:r w:rsidRPr="00295E71">
              <w:rPr>
                <w:rFonts w:ascii="Times New Roman" w:hAnsi="Times New Roman" w:cs="Times New Roman"/>
                <w:b/>
                <w:lang w:val="it-IT"/>
              </w:rPr>
              <w:t>N=53</w:t>
            </w:r>
          </w:p>
          <w:p w:rsidR="006224C2" w:rsidRPr="00295E71" w14:paraId="6C619F30" w14:textId="77777777">
            <w:pPr>
              <w:pStyle w:val="DefaultText"/>
              <w:keepNext/>
              <w:keepLines/>
              <w:jc w:val="center"/>
              <w:rPr>
                <w:rFonts w:ascii="Times New Roman" w:hAnsi="Times New Roman" w:cs="Times New Roman"/>
                <w:b/>
                <w:lang w:val="it-IT"/>
              </w:rPr>
            </w:pPr>
            <w:r w:rsidRPr="00295E71">
              <w:rPr>
                <w:rFonts w:ascii="Times New Roman" w:hAnsi="Times New Roman" w:cs="Times New Roman"/>
                <w:b/>
                <w:lang w:val="it-IT"/>
              </w:rPr>
              <w:t>n (%)</w:t>
            </w:r>
          </w:p>
        </w:tc>
        <w:tc>
          <w:tcPr>
            <w:tcW w:w="1246" w:type="dxa"/>
            <w:tcBorders>
              <w:top w:val="single" w:sz="4" w:space="0" w:color="auto"/>
              <w:left w:val="single" w:sz="4" w:space="0" w:color="auto"/>
              <w:bottom w:val="single" w:sz="4" w:space="0" w:color="auto"/>
              <w:right w:val="single" w:sz="4" w:space="0" w:color="auto"/>
            </w:tcBorders>
            <w:vAlign w:val="center"/>
          </w:tcPr>
          <w:p w:rsidR="006224C2" w:rsidRPr="00295E71" w14:paraId="7824E0DB"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MTX</w:t>
            </w:r>
          </w:p>
          <w:p w:rsidR="006224C2" w:rsidRPr="00295E71" w14:paraId="39D32B78"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N=110</w:t>
            </w:r>
          </w:p>
          <w:p w:rsidR="006224C2" w:rsidRPr="00295E71" w14:paraId="75376272"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n (%)</w:t>
            </w:r>
          </w:p>
        </w:tc>
        <w:tc>
          <w:tcPr>
            <w:tcW w:w="2149" w:type="dxa"/>
            <w:tcBorders>
              <w:top w:val="single" w:sz="4" w:space="0" w:color="auto"/>
              <w:left w:val="single" w:sz="4" w:space="0" w:color="auto"/>
              <w:bottom w:val="single" w:sz="4" w:space="0" w:color="auto"/>
              <w:right w:val="single" w:sz="4" w:space="0" w:color="auto"/>
            </w:tcBorders>
            <w:vAlign w:val="center"/>
          </w:tcPr>
          <w:p w:rsidR="006224C2" w:rsidRPr="00295E71" w14:paraId="68C8B708"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Humira 40 mg a settimane alterne</w:t>
            </w:r>
          </w:p>
          <w:p w:rsidR="006224C2" w:rsidRPr="00295E71" w14:paraId="7722A56A"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N=108</w:t>
            </w:r>
          </w:p>
          <w:p w:rsidR="006224C2" w:rsidRPr="00295E71" w14:paraId="0730C8D9"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n (%)</w:t>
            </w:r>
          </w:p>
        </w:tc>
      </w:tr>
      <w:tr w14:paraId="71CDE4D7" w14:textId="77777777">
        <w:tblPrEx>
          <w:tblW w:w="7046" w:type="dxa"/>
          <w:tblLook w:val="0000"/>
        </w:tblPrEx>
        <w:trPr>
          <w:cantSplit/>
        </w:trPr>
        <w:tc>
          <w:tcPr>
            <w:tcW w:w="2123" w:type="dxa"/>
            <w:tcBorders>
              <w:top w:val="single" w:sz="4" w:space="0" w:color="auto"/>
              <w:left w:val="single" w:sz="4" w:space="0" w:color="auto"/>
              <w:bottom w:val="single" w:sz="4" w:space="0" w:color="auto"/>
              <w:right w:val="single" w:sz="4" w:space="0" w:color="auto"/>
            </w:tcBorders>
          </w:tcPr>
          <w:p w:rsidR="006224C2" w:rsidRPr="00295E71" w14:paraId="1465EA5F" w14:textId="77777777">
            <w:pPr>
              <w:pStyle w:val="DefaultText"/>
              <w:keepNext/>
              <w:keepLines/>
              <w:rPr>
                <w:rFonts w:ascii="Times New Roman" w:hAnsi="Times New Roman" w:cs="Times New Roman"/>
                <w:b/>
                <w:bCs/>
                <w:lang w:val="it-IT"/>
              </w:rPr>
            </w:pPr>
            <w:r w:rsidRPr="00295E71">
              <w:rPr>
                <w:rFonts w:ascii="Symbol" w:hAnsi="Symbol" w:cs="Times New Roman"/>
                <w:b/>
                <w:lang w:val="it-IT"/>
              </w:rPr>
              <w:sym w:font="Symbol" w:char="F0B3"/>
            </w:r>
            <w:r w:rsidRPr="00295E71">
              <w:rPr>
                <w:rFonts w:ascii="Times New Roman" w:hAnsi="Times New Roman" w:cs="Times New Roman"/>
                <w:b/>
                <w:bCs/>
                <w:lang w:val="it-IT"/>
              </w:rPr>
              <w:t>PASI 75</w:t>
            </w:r>
          </w:p>
        </w:tc>
        <w:tc>
          <w:tcPr>
            <w:tcW w:w="1528" w:type="dxa"/>
            <w:tcBorders>
              <w:top w:val="single" w:sz="4" w:space="0" w:color="auto"/>
              <w:left w:val="single" w:sz="4" w:space="0" w:color="auto"/>
              <w:bottom w:val="single" w:sz="4" w:space="0" w:color="auto"/>
              <w:right w:val="single" w:sz="4" w:space="0" w:color="auto"/>
            </w:tcBorders>
          </w:tcPr>
          <w:p w:rsidR="006224C2" w:rsidRPr="00295E71" w14:paraId="24DCF4B0"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10 (18,9)</w:t>
            </w:r>
          </w:p>
        </w:tc>
        <w:tc>
          <w:tcPr>
            <w:tcW w:w="1246" w:type="dxa"/>
            <w:tcBorders>
              <w:top w:val="single" w:sz="4" w:space="0" w:color="auto"/>
              <w:left w:val="single" w:sz="4" w:space="0" w:color="auto"/>
              <w:bottom w:val="single" w:sz="4" w:space="0" w:color="auto"/>
              <w:right w:val="single" w:sz="4" w:space="0" w:color="auto"/>
            </w:tcBorders>
          </w:tcPr>
          <w:p w:rsidR="006224C2" w:rsidRPr="00295E71" w14:paraId="4BA3C3ED"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39 (35,5)</w:t>
            </w:r>
          </w:p>
        </w:tc>
        <w:tc>
          <w:tcPr>
            <w:tcW w:w="2149" w:type="dxa"/>
            <w:tcBorders>
              <w:top w:val="single" w:sz="4" w:space="0" w:color="auto"/>
              <w:left w:val="single" w:sz="4" w:space="0" w:color="auto"/>
              <w:bottom w:val="single" w:sz="4" w:space="0" w:color="auto"/>
              <w:right w:val="single" w:sz="4" w:space="0" w:color="auto"/>
            </w:tcBorders>
          </w:tcPr>
          <w:p w:rsidR="006224C2" w:rsidRPr="00295E71" w14:paraId="64A03995"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86 (79,6)</w:t>
            </w:r>
            <w:r w:rsidRPr="00295E71">
              <w:rPr>
                <w:rFonts w:ascii="Times New Roman" w:hAnsi="Times New Roman" w:cs="Times New Roman"/>
                <w:vertAlign w:val="superscript"/>
                <w:lang w:val="it-IT"/>
              </w:rPr>
              <w:t xml:space="preserve"> a, b</w:t>
            </w:r>
          </w:p>
        </w:tc>
      </w:tr>
      <w:tr w14:paraId="40F085C2" w14:textId="77777777">
        <w:tblPrEx>
          <w:tblW w:w="7046" w:type="dxa"/>
          <w:tblLook w:val="0000"/>
        </w:tblPrEx>
        <w:trPr>
          <w:cantSplit/>
        </w:trPr>
        <w:tc>
          <w:tcPr>
            <w:tcW w:w="2123" w:type="dxa"/>
            <w:tcBorders>
              <w:top w:val="single" w:sz="4" w:space="0" w:color="auto"/>
              <w:left w:val="single" w:sz="4" w:space="0" w:color="auto"/>
              <w:bottom w:val="single" w:sz="4" w:space="0" w:color="auto"/>
              <w:right w:val="single" w:sz="4" w:space="0" w:color="auto"/>
            </w:tcBorders>
          </w:tcPr>
          <w:p w:rsidR="006224C2" w:rsidRPr="00295E71" w14:paraId="02D0F289" w14:textId="77777777">
            <w:pPr>
              <w:pStyle w:val="DefaultText"/>
              <w:keepNext/>
              <w:keepLines/>
              <w:rPr>
                <w:rFonts w:ascii="Times New Roman" w:hAnsi="Times New Roman" w:cs="Times New Roman"/>
                <w:b/>
                <w:bCs/>
                <w:lang w:val="it-IT"/>
              </w:rPr>
            </w:pPr>
            <w:r w:rsidRPr="00295E71">
              <w:rPr>
                <w:rFonts w:ascii="Times New Roman" w:hAnsi="Times New Roman" w:cs="Times New Roman"/>
                <w:b/>
                <w:bCs/>
                <w:lang w:val="it-IT"/>
              </w:rPr>
              <w:t xml:space="preserve">    PASI 100</w:t>
            </w:r>
          </w:p>
        </w:tc>
        <w:tc>
          <w:tcPr>
            <w:tcW w:w="1528" w:type="dxa"/>
            <w:tcBorders>
              <w:top w:val="single" w:sz="4" w:space="0" w:color="auto"/>
              <w:left w:val="single" w:sz="4" w:space="0" w:color="auto"/>
              <w:bottom w:val="single" w:sz="4" w:space="0" w:color="auto"/>
              <w:right w:val="single" w:sz="4" w:space="0" w:color="auto"/>
            </w:tcBorders>
          </w:tcPr>
          <w:p w:rsidR="006224C2" w:rsidRPr="00295E71" w14:paraId="24F530F0"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1 (1,9)</w:t>
            </w:r>
          </w:p>
        </w:tc>
        <w:tc>
          <w:tcPr>
            <w:tcW w:w="1246" w:type="dxa"/>
            <w:tcBorders>
              <w:top w:val="single" w:sz="4" w:space="0" w:color="auto"/>
              <w:left w:val="single" w:sz="4" w:space="0" w:color="auto"/>
              <w:bottom w:val="single" w:sz="4" w:space="0" w:color="auto"/>
              <w:right w:val="single" w:sz="4" w:space="0" w:color="auto"/>
            </w:tcBorders>
          </w:tcPr>
          <w:p w:rsidR="006224C2" w:rsidRPr="00295E71" w14:paraId="6D631F62"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8 (7,3)</w:t>
            </w:r>
          </w:p>
        </w:tc>
        <w:tc>
          <w:tcPr>
            <w:tcW w:w="2149" w:type="dxa"/>
            <w:tcBorders>
              <w:top w:val="single" w:sz="4" w:space="0" w:color="auto"/>
              <w:left w:val="single" w:sz="4" w:space="0" w:color="auto"/>
              <w:bottom w:val="single" w:sz="4" w:space="0" w:color="auto"/>
              <w:right w:val="single" w:sz="4" w:space="0" w:color="auto"/>
            </w:tcBorders>
          </w:tcPr>
          <w:p w:rsidR="006224C2" w:rsidRPr="00295E71" w14:paraId="0EB7EC4A"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18 (16,7)</w:t>
            </w:r>
            <w:r w:rsidRPr="00295E71">
              <w:rPr>
                <w:rFonts w:ascii="Times New Roman" w:hAnsi="Times New Roman" w:cs="Times New Roman"/>
                <w:vertAlign w:val="superscript"/>
                <w:lang w:val="it-IT"/>
              </w:rPr>
              <w:t xml:space="preserve"> c, d</w:t>
            </w:r>
          </w:p>
        </w:tc>
      </w:tr>
      <w:tr w14:paraId="0A09D101" w14:textId="77777777">
        <w:tblPrEx>
          <w:tblW w:w="7046" w:type="dxa"/>
          <w:tblLook w:val="0000"/>
        </w:tblPrEx>
        <w:trPr>
          <w:cantSplit/>
        </w:trPr>
        <w:tc>
          <w:tcPr>
            <w:tcW w:w="2123" w:type="dxa"/>
            <w:tcBorders>
              <w:top w:val="single" w:sz="4" w:space="0" w:color="auto"/>
              <w:left w:val="single" w:sz="4" w:space="0" w:color="auto"/>
              <w:bottom w:val="single" w:sz="4" w:space="0" w:color="auto"/>
              <w:right w:val="single" w:sz="4" w:space="0" w:color="auto"/>
            </w:tcBorders>
          </w:tcPr>
          <w:p w:rsidR="006224C2" w:rsidRPr="00295E71" w14:paraId="66484A20" w14:textId="77777777">
            <w:pPr>
              <w:pStyle w:val="DefaultText"/>
              <w:keepNext/>
              <w:keepLines/>
              <w:rPr>
                <w:rFonts w:ascii="Times New Roman" w:hAnsi="Times New Roman" w:cs="Times New Roman"/>
                <w:b/>
                <w:bCs/>
                <w:lang w:val="it-IT"/>
              </w:rPr>
            </w:pPr>
            <w:r w:rsidRPr="00295E71">
              <w:rPr>
                <w:rFonts w:ascii="Times New Roman" w:hAnsi="Times New Roman" w:cs="Times New Roman"/>
                <w:b/>
                <w:bCs/>
                <w:lang w:val="it-IT"/>
              </w:rPr>
              <w:t xml:space="preserve">    PGA: Guarigione/marcato miglioramento</w:t>
            </w:r>
          </w:p>
        </w:tc>
        <w:tc>
          <w:tcPr>
            <w:tcW w:w="1528" w:type="dxa"/>
            <w:tcBorders>
              <w:top w:val="single" w:sz="4" w:space="0" w:color="auto"/>
              <w:left w:val="single" w:sz="4" w:space="0" w:color="auto"/>
              <w:bottom w:val="single" w:sz="4" w:space="0" w:color="auto"/>
              <w:right w:val="single" w:sz="4" w:space="0" w:color="auto"/>
            </w:tcBorders>
          </w:tcPr>
          <w:p w:rsidR="006224C2" w:rsidRPr="00295E71" w14:paraId="7E50A7FB"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6 (11,3)</w:t>
            </w:r>
          </w:p>
        </w:tc>
        <w:tc>
          <w:tcPr>
            <w:tcW w:w="1246" w:type="dxa"/>
            <w:tcBorders>
              <w:top w:val="single" w:sz="4" w:space="0" w:color="auto"/>
              <w:left w:val="single" w:sz="4" w:space="0" w:color="auto"/>
              <w:bottom w:val="single" w:sz="4" w:space="0" w:color="auto"/>
              <w:right w:val="single" w:sz="4" w:space="0" w:color="auto"/>
            </w:tcBorders>
          </w:tcPr>
          <w:p w:rsidR="006224C2" w:rsidRPr="00295E71" w14:paraId="774939C6"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33 (30,0)</w:t>
            </w:r>
          </w:p>
        </w:tc>
        <w:tc>
          <w:tcPr>
            <w:tcW w:w="2149" w:type="dxa"/>
            <w:tcBorders>
              <w:top w:val="single" w:sz="4" w:space="0" w:color="auto"/>
              <w:left w:val="single" w:sz="4" w:space="0" w:color="auto"/>
              <w:bottom w:val="single" w:sz="4" w:space="0" w:color="auto"/>
              <w:right w:val="single" w:sz="4" w:space="0" w:color="auto"/>
            </w:tcBorders>
          </w:tcPr>
          <w:p w:rsidR="006224C2" w:rsidRPr="00295E71" w14:paraId="4F3A48DB"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79 (73,1)</w:t>
            </w:r>
            <w:r w:rsidRPr="00295E71">
              <w:rPr>
                <w:rFonts w:ascii="Times New Roman" w:hAnsi="Times New Roman" w:cs="Times New Roman"/>
                <w:vertAlign w:val="superscript"/>
                <w:lang w:val="it-IT"/>
              </w:rPr>
              <w:t xml:space="preserve"> a, b</w:t>
            </w:r>
          </w:p>
        </w:tc>
      </w:tr>
      <w:tr w14:paraId="683F356D" w14:textId="77777777">
        <w:tblPrEx>
          <w:tblW w:w="7046" w:type="dxa"/>
          <w:tblLook w:val="0000"/>
        </w:tblPrEx>
        <w:trPr>
          <w:cantSplit/>
        </w:trPr>
        <w:tc>
          <w:tcPr>
            <w:tcW w:w="7046" w:type="dxa"/>
            <w:gridSpan w:val="4"/>
            <w:tcBorders>
              <w:top w:val="single" w:sz="4" w:space="0" w:color="auto"/>
              <w:left w:val="single" w:sz="4" w:space="0" w:color="auto"/>
              <w:bottom w:val="single" w:sz="4" w:space="0" w:color="auto"/>
              <w:right w:val="single" w:sz="4" w:space="0" w:color="auto"/>
            </w:tcBorders>
          </w:tcPr>
          <w:p w:rsidR="006224C2" w:rsidRPr="00295E71" w14:paraId="35A3C5DE" w14:textId="77777777">
            <w:pPr>
              <w:pStyle w:val="DefaultText"/>
              <w:keepNext/>
              <w:keepLines/>
              <w:rPr>
                <w:rFonts w:ascii="Times New Roman" w:hAnsi="Times New Roman" w:cs="Times New Roman"/>
                <w:lang w:val="it-IT"/>
              </w:rPr>
            </w:pPr>
            <w:r w:rsidRPr="00295E71">
              <w:rPr>
                <w:rFonts w:ascii="Times New Roman" w:hAnsi="Times New Roman" w:cs="Times New Roman"/>
                <w:vertAlign w:val="superscript"/>
                <w:lang w:val="it-IT"/>
              </w:rPr>
              <w:t>a</w:t>
            </w:r>
            <w:r w:rsidRPr="00295E71">
              <w:rPr>
                <w:rFonts w:ascii="Times New Roman" w:hAnsi="Times New Roman" w:cs="Times New Roman"/>
                <w:lang w:val="it-IT"/>
              </w:rPr>
              <w:t xml:space="preserve"> p&lt;0,001 Humira vs. placebo</w:t>
            </w:r>
          </w:p>
          <w:p w:rsidR="006224C2" w:rsidRPr="00295E71" w14:paraId="66EA9975" w14:textId="77777777">
            <w:pPr>
              <w:pStyle w:val="DefaultText"/>
              <w:keepNext/>
              <w:keepLines/>
              <w:rPr>
                <w:rFonts w:ascii="Times New Roman" w:hAnsi="Times New Roman" w:cs="Times New Roman"/>
                <w:lang w:val="it-IT"/>
              </w:rPr>
            </w:pPr>
            <w:r w:rsidRPr="00295E71">
              <w:rPr>
                <w:rFonts w:ascii="Times New Roman" w:hAnsi="Times New Roman" w:cs="Times New Roman"/>
                <w:vertAlign w:val="superscript"/>
                <w:lang w:val="it-IT"/>
              </w:rPr>
              <w:t>b</w:t>
            </w:r>
            <w:r w:rsidRPr="00295E71">
              <w:rPr>
                <w:rFonts w:ascii="Times New Roman" w:hAnsi="Times New Roman" w:cs="Times New Roman"/>
                <w:lang w:val="it-IT"/>
              </w:rPr>
              <w:t xml:space="preserve"> p&lt;0,001 Humira vs. metotressato</w:t>
            </w:r>
          </w:p>
          <w:p w:rsidR="006224C2" w:rsidRPr="00295E71" w14:paraId="510E061A" w14:textId="77777777">
            <w:pPr>
              <w:pStyle w:val="DefaultText"/>
              <w:keepNext/>
              <w:keepLines/>
              <w:rPr>
                <w:rFonts w:ascii="Times New Roman" w:hAnsi="Times New Roman" w:cs="Times New Roman"/>
                <w:lang w:val="it-IT"/>
              </w:rPr>
            </w:pPr>
            <w:r w:rsidRPr="00295E71">
              <w:rPr>
                <w:rFonts w:ascii="Times New Roman" w:hAnsi="Times New Roman" w:cs="Times New Roman"/>
                <w:vertAlign w:val="superscript"/>
                <w:lang w:val="it-IT"/>
              </w:rPr>
              <w:t>c</w:t>
            </w:r>
            <w:r w:rsidRPr="00295E71">
              <w:rPr>
                <w:rFonts w:ascii="Times New Roman" w:hAnsi="Times New Roman" w:cs="Times New Roman"/>
                <w:lang w:val="it-IT"/>
              </w:rPr>
              <w:t xml:space="preserve"> p&lt;0,01 Humira vs. placebo</w:t>
            </w:r>
          </w:p>
          <w:p w:rsidR="006224C2" w:rsidRPr="00295E71" w14:paraId="220D032A" w14:textId="77777777">
            <w:pPr>
              <w:pStyle w:val="DefaultText"/>
              <w:keepNext/>
              <w:keepLines/>
              <w:rPr>
                <w:rFonts w:ascii="Times New Roman" w:hAnsi="Times New Roman" w:cs="Times New Roman"/>
                <w:lang w:val="it-IT"/>
              </w:rPr>
            </w:pPr>
            <w:r w:rsidRPr="00295E71">
              <w:rPr>
                <w:rFonts w:ascii="Times New Roman" w:hAnsi="Times New Roman" w:cs="Times New Roman"/>
                <w:vertAlign w:val="superscript"/>
                <w:lang w:val="it-IT"/>
              </w:rPr>
              <w:t>d</w:t>
            </w:r>
            <w:r w:rsidRPr="00295E71">
              <w:rPr>
                <w:rFonts w:ascii="Times New Roman" w:hAnsi="Times New Roman" w:cs="Times New Roman"/>
                <w:lang w:val="it-IT"/>
              </w:rPr>
              <w:t xml:space="preserve"> p&lt;0,05 Humira vs. metotressato</w:t>
            </w:r>
          </w:p>
        </w:tc>
      </w:tr>
    </w:tbl>
    <w:p w:rsidR="006224C2" w:rsidRPr="00295E71" w14:paraId="5BF18843" w14:textId="77777777">
      <w:pPr>
        <w:tabs>
          <w:tab w:val="left" w:pos="567"/>
          <w:tab w:val="left" w:pos="1294"/>
        </w:tabs>
        <w:autoSpaceDE w:val="0"/>
        <w:autoSpaceDN w:val="0"/>
        <w:adjustRightInd w:val="0"/>
        <w:rPr>
          <w:color w:val="000000"/>
          <w:sz w:val="22"/>
          <w:szCs w:val="22"/>
        </w:rPr>
      </w:pPr>
    </w:p>
    <w:p w:rsidR="006224C2" w:rsidRPr="00295E71" w14:paraId="5C05613B"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Nel corso dello studio I sulla psoriasi, </w:t>
      </w:r>
      <w:r w:rsidR="00A40A02">
        <w:rPr>
          <w:color w:val="000000"/>
          <w:sz w:val="22"/>
          <w:szCs w:val="22"/>
        </w:rPr>
        <w:t>nel</w:t>
      </w:r>
      <w:r w:rsidRPr="00295E71">
        <w:rPr>
          <w:color w:val="000000"/>
          <w:sz w:val="22"/>
          <w:szCs w:val="22"/>
        </w:rPr>
        <w:t xml:space="preserve"> 28% dei pazienti randomizzati a placebo alla settimana 33 dopo aver ottenuto una risposta PASI 75 rispetto al 5% di pazienti che ha proseguito la terapia con Humira, p&lt;0,001, si è verificata una “perdita di risposta adeguata” (definita da un punteggio PASI che dopo la settimana 33 e prima </w:t>
      </w:r>
      <w:r w:rsidR="00A40A02">
        <w:rPr>
          <w:color w:val="000000"/>
          <w:sz w:val="22"/>
          <w:szCs w:val="22"/>
        </w:rPr>
        <w:t>o alla</w:t>
      </w:r>
      <w:r w:rsidRPr="00295E71">
        <w:rPr>
          <w:color w:val="000000"/>
          <w:sz w:val="22"/>
          <w:szCs w:val="22"/>
        </w:rPr>
        <w:t xml:space="preserve"> scadenza della settimana 52 sia risultato &lt;PASI 50 rispetto al valore basale con un aumento minimo di 6 punti del punteggio PASI relativo alla settimana 33). Tra i pazienti in cui si è verificata la “perdita di risposta adeguata” dopo la ri-randomizzazione per ricevere placebo, e che sono stati successivamente </w:t>
      </w:r>
      <w:r w:rsidRPr="00020442" w:rsidR="00A40A02">
        <w:rPr>
          <w:color w:val="000000"/>
          <w:sz w:val="22"/>
          <w:szCs w:val="22"/>
        </w:rPr>
        <w:t>arruolati nello</w:t>
      </w:r>
      <w:r w:rsidRPr="00295E71">
        <w:rPr>
          <w:color w:val="000000"/>
          <w:sz w:val="22"/>
          <w:szCs w:val="22"/>
        </w:rPr>
        <w:t xml:space="preserve"> studio d’estensione in aperto, il 38% (25/66) ed il 55% (36/66) sono riusciti ad ottenere una risposta PASI 75 rispettivamente dopo 12 e 24 settimane di ri-trattamento.</w:t>
      </w:r>
    </w:p>
    <w:p w:rsidR="006224C2" w:rsidRPr="00295E71" w14:paraId="55700E0B" w14:textId="77777777">
      <w:pPr>
        <w:tabs>
          <w:tab w:val="left" w:pos="567"/>
          <w:tab w:val="left" w:pos="1294"/>
        </w:tabs>
        <w:autoSpaceDE w:val="0"/>
        <w:autoSpaceDN w:val="0"/>
        <w:adjustRightInd w:val="0"/>
        <w:jc w:val="both"/>
        <w:rPr>
          <w:color w:val="000000"/>
          <w:sz w:val="22"/>
          <w:szCs w:val="22"/>
        </w:rPr>
      </w:pPr>
    </w:p>
    <w:p w:rsidR="006224C2" w:rsidRPr="00295E71" w14:paraId="46D78E44"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Durante lo studio I sulla psoriasi, un totale di 233 pazienti tra coloro i quali avevano ottenuto una risposta PASI 75 alla sedicesima settimana e alla trentatreesima settimana e che avevano continuato la terapia con Humira fino alla cinquantaduesima settimana hanno continuato la somministrazione di Humira nello studio di estensione in aperto. In questi pazienti, le percentuali di risposta PASI 75 e PGA corrispondente a remissione totale della malattia o a persistenza di malattia minima sono state rispettivamente 74,7% e 59,0%, dopo un ulteriore periodo di 108 settimane di terapia somministrata in aperto (per un totale di terapia continuativa di 160 settimane). </w:t>
      </w:r>
    </w:p>
    <w:p w:rsidR="006224C2" w:rsidRPr="00295E71" w14:paraId="5679B17A"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In un’analisi effettuata su tutti i pazienti che avevano interrotto lo studio per eventi avversi o per mancanza di efficacia, o che avevano aumentato la posologia e che per tali motivi erano stati considerati come non rispondenti alla terapia, analogamente le percentuali di risposta PASI 75 e PGA corrispondente a remissione totale della malattia o a persistenza di malattia minima, sono state rispettivamente del 69,6% e del 55,7%, dopo un ulteriore periodo di 108 settimane di terapia somministrata in aperto (per un totale di terapia continuativa di 160 settimane).</w:t>
      </w:r>
    </w:p>
    <w:p w:rsidR="006224C2" w:rsidRPr="00295E71" w14:paraId="159A68F1" w14:textId="77777777">
      <w:pPr>
        <w:tabs>
          <w:tab w:val="left" w:pos="567"/>
          <w:tab w:val="left" w:pos="1294"/>
        </w:tabs>
        <w:autoSpaceDE w:val="0"/>
        <w:autoSpaceDN w:val="0"/>
        <w:adjustRightInd w:val="0"/>
        <w:jc w:val="both"/>
        <w:rPr>
          <w:color w:val="000000"/>
          <w:sz w:val="22"/>
          <w:szCs w:val="22"/>
        </w:rPr>
      </w:pPr>
    </w:p>
    <w:p w:rsidR="006224C2" w:rsidRPr="00295E71" w14:paraId="5FB8B44C"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Un totale di 347 pazienti, caratterizzati da una risposta stabile alla terapia, ha preso parte ad uno studio di estensione in aperto per la valutazione degli effetti della sospensione e della ripresa del trattamento. Durante il periodo di sospensione della terapia, i sintomi della psoriasi si sono ripresentati in maniera progressiva con un tempo medi</w:t>
      </w:r>
      <w:r w:rsidR="00F921EB">
        <w:rPr>
          <w:color w:val="000000"/>
          <w:sz w:val="22"/>
          <w:szCs w:val="22"/>
        </w:rPr>
        <w:t>an</w:t>
      </w:r>
      <w:r w:rsidRPr="00295E71">
        <w:rPr>
          <w:color w:val="000000"/>
          <w:sz w:val="22"/>
          <w:szCs w:val="22"/>
        </w:rPr>
        <w:t xml:space="preserve">o </w:t>
      </w:r>
      <w:r w:rsidR="00F921EB">
        <w:rPr>
          <w:color w:val="000000"/>
          <w:sz w:val="22"/>
          <w:szCs w:val="22"/>
        </w:rPr>
        <w:t>alla</w:t>
      </w:r>
      <w:r w:rsidRPr="00295E71">
        <w:rPr>
          <w:color w:val="000000"/>
          <w:sz w:val="22"/>
          <w:szCs w:val="22"/>
        </w:rPr>
        <w:t xml:space="preserve"> recidiva (progredendo fino ad uno stadio PGA “moderato” o peggiore) di circa 5 mesi. Nessuno di questi pazienti ha manifestato fenomeni di rebound durante il periodo di sospensione del trattamento. Complessivamente, il 76,5% dei pazienti (218/285) che erano entrati nella fase di ri-trattamento aveva ottenuto una risposta PGA corrispondente a remissione totale della malattia o a malattia minima dopo sedici settimane di terapia, indipendentemente dal fatto di aver avuto o meno riacutizzazione della malattia durante il periodo di sospensione d</w:t>
      </w:r>
      <w:r w:rsidR="00F921EB">
        <w:rPr>
          <w:color w:val="000000"/>
          <w:sz w:val="22"/>
          <w:szCs w:val="22"/>
        </w:rPr>
        <w:t>e</w:t>
      </w:r>
      <w:r w:rsidRPr="00295E71">
        <w:rPr>
          <w:color w:val="000000"/>
          <w:sz w:val="22"/>
          <w:szCs w:val="22"/>
        </w:rPr>
        <w:t xml:space="preserve">l farmaco (rispettivamente il </w:t>
      </w:r>
      <w:r w:rsidRPr="00295E71">
        <w:rPr>
          <w:sz w:val="22"/>
          <w:szCs w:val="22"/>
        </w:rPr>
        <w:t>69,1%[123/178] e 88,8%[95/107]</w:t>
      </w:r>
      <w:r w:rsidRPr="00295E71">
        <w:rPr>
          <w:rFonts w:eastAsia="MS Mincho"/>
          <w:color w:val="000000"/>
          <w:sz w:val="22"/>
          <w:szCs w:val="22"/>
          <w:lang w:eastAsia="ja-JP"/>
        </w:rPr>
        <w:t>dei pazienti che avevano avuto o meno una riacutizzazione della malattia durante il periodo di sospensione)</w:t>
      </w:r>
      <w:r w:rsidRPr="00295E71">
        <w:rPr>
          <w:color w:val="000000"/>
          <w:sz w:val="22"/>
          <w:szCs w:val="22"/>
        </w:rPr>
        <w:t>.</w:t>
      </w:r>
      <w:r w:rsidRPr="00295E71">
        <w:rPr>
          <w:sz w:val="22"/>
          <w:szCs w:val="22"/>
        </w:rPr>
        <w:t xml:space="preserve"> Durante la ripresa del trattamento è stato osservato u</w:t>
      </w:r>
      <w:r w:rsidRPr="00295E71">
        <w:rPr>
          <w:color w:val="000000"/>
          <w:sz w:val="22"/>
          <w:szCs w:val="22"/>
        </w:rPr>
        <w:t>n profilo di sicurezza del tutto simile a quello osservato durante il periodo precedente alla sospensione della terapia.</w:t>
      </w:r>
    </w:p>
    <w:p w:rsidR="006224C2" w:rsidRPr="00295E71" w14:paraId="4BE9C424" w14:textId="77777777">
      <w:pPr>
        <w:tabs>
          <w:tab w:val="left" w:pos="567"/>
          <w:tab w:val="left" w:pos="1294"/>
        </w:tabs>
        <w:autoSpaceDE w:val="0"/>
        <w:autoSpaceDN w:val="0"/>
        <w:adjustRightInd w:val="0"/>
        <w:jc w:val="both"/>
        <w:rPr>
          <w:sz w:val="22"/>
          <w:szCs w:val="22"/>
        </w:rPr>
      </w:pPr>
    </w:p>
    <w:p w:rsidR="006224C2" w:rsidRPr="00295E71" w14:paraId="62166E92" w14:textId="77777777">
      <w:pPr>
        <w:rPr>
          <w:color w:val="000000"/>
          <w:sz w:val="22"/>
          <w:szCs w:val="22"/>
        </w:rPr>
      </w:pPr>
      <w:r w:rsidRPr="00295E71">
        <w:rPr>
          <w:color w:val="000000"/>
          <w:sz w:val="22"/>
          <w:szCs w:val="22"/>
        </w:rPr>
        <w:t>Miglioramenti significativi del DLQI (Dermatology Life Quality Index) sono stati dimostrati alla settimana 16 a partire dal valore basale rispetto al placebo (studi I e II) ed al metotressato (studio II). Nel corso dello studio I, anche i miglioramenti relativi ai punteggi complessivi delle componenti fisiche e mentali del SF-36 sono risultati significativi rispetto al placebo.</w:t>
      </w:r>
    </w:p>
    <w:p w:rsidR="006224C2" w:rsidRPr="00295E71" w14:paraId="119CBA8C" w14:textId="77777777">
      <w:pPr>
        <w:tabs>
          <w:tab w:val="left" w:pos="567"/>
          <w:tab w:val="left" w:pos="1294"/>
        </w:tabs>
        <w:autoSpaceDE w:val="0"/>
        <w:autoSpaceDN w:val="0"/>
        <w:adjustRightInd w:val="0"/>
        <w:jc w:val="both"/>
        <w:rPr>
          <w:color w:val="000000"/>
          <w:sz w:val="22"/>
          <w:szCs w:val="22"/>
        </w:rPr>
      </w:pPr>
    </w:p>
    <w:p w:rsidR="006224C2" w:rsidRPr="00295E71" w14:paraId="44AD48BA"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In uno studio d’estensione in aperto, tra i pazienti che a causa di risposta PASI inferiore al 50% avevano ricevuto incrementi della dose da 40 mg a settimane alterne alla dose di 40 mg ogni settimana, il 26,4% (92/349) e il 37,8% (132/349) ha ottenuto una risposta PASI 75 alla settimana 12 e 24, rispettivamente.</w:t>
      </w:r>
    </w:p>
    <w:p w:rsidR="006224C2" w:rsidRPr="00295E71" w14:paraId="46CBE66E" w14:textId="77777777">
      <w:pPr>
        <w:tabs>
          <w:tab w:val="left" w:pos="567"/>
          <w:tab w:val="left" w:pos="1294"/>
        </w:tabs>
        <w:autoSpaceDE w:val="0"/>
        <w:autoSpaceDN w:val="0"/>
        <w:adjustRightInd w:val="0"/>
        <w:jc w:val="both"/>
        <w:rPr>
          <w:color w:val="000000"/>
          <w:sz w:val="22"/>
          <w:szCs w:val="22"/>
        </w:rPr>
      </w:pPr>
    </w:p>
    <w:p w:rsidR="006224C2" w:rsidRPr="00295E71" w14:paraId="1753E228"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Lo studio di fase III sulla psoriasi (REACH) ha paragonato l’efficacia e la sicurezza di Humira rispetto al placebo in 72 pazienti affetti da psoriasi cronica a placche da moderata a severa e psoriasi localizzata alla mano e/o al piede. I pazienti hanno ricevuto una dose iniziale di 80 mg di Humira seguita dalla dose di 40 mg somministrata a settimane alterne (a iniziare dalla settimana successiva all’assunzione della dose iniziale) o placebo per 16 settimane. Alla settimana 16, una percentuale maggiore</w:t>
      </w:r>
      <w:r w:rsidR="00F921EB">
        <w:rPr>
          <w:color w:val="000000"/>
          <w:sz w:val="22"/>
          <w:szCs w:val="22"/>
        </w:rPr>
        <w:t xml:space="preserve"> </w:t>
      </w:r>
      <w:r w:rsidRPr="00020442" w:rsidR="00F921EB">
        <w:rPr>
          <w:color w:val="000000"/>
          <w:sz w:val="22"/>
          <w:szCs w:val="22"/>
        </w:rPr>
        <w:t xml:space="preserve">in misura statisticamente significativa </w:t>
      </w:r>
      <w:r w:rsidRPr="00295E71">
        <w:rPr>
          <w:color w:val="000000"/>
          <w:sz w:val="22"/>
          <w:szCs w:val="22"/>
        </w:rPr>
        <w:t>di pazienti che aveva ricevuto Humira, ha ottenuto una risposta PGA corrispondente a remissione totale o pressochè totale della malattia alle mani e/o ai piedi rispetto ai pazienti che avevano ricevuto il placebo (rispettivamente 30,6% vs 4,3%, [P = 0,014]).</w:t>
      </w:r>
    </w:p>
    <w:p w:rsidR="006224C2" w:rsidRPr="00295E71" w14:paraId="0817C3FE" w14:textId="77777777">
      <w:pPr>
        <w:tabs>
          <w:tab w:val="left" w:pos="567"/>
          <w:tab w:val="left" w:pos="1294"/>
        </w:tabs>
        <w:autoSpaceDE w:val="0"/>
        <w:autoSpaceDN w:val="0"/>
        <w:adjustRightInd w:val="0"/>
        <w:jc w:val="both"/>
        <w:rPr>
          <w:color w:val="000000"/>
          <w:sz w:val="22"/>
          <w:szCs w:val="22"/>
        </w:rPr>
      </w:pPr>
    </w:p>
    <w:p w:rsidR="006224C2" w:rsidRPr="00295E71" w14:paraId="12C6A83D" w14:textId="77777777">
      <w:pPr>
        <w:pStyle w:val="gtcbodytext"/>
        <w:spacing w:before="0" w:after="0" w:line="240" w:lineRule="auto"/>
        <w:jc w:val="both"/>
        <w:rPr>
          <w:sz w:val="22"/>
          <w:szCs w:val="22"/>
          <w:lang w:val="it-IT"/>
        </w:rPr>
      </w:pPr>
      <w:r w:rsidRPr="00295E71">
        <w:rPr>
          <w:sz w:val="22"/>
          <w:szCs w:val="22"/>
          <w:lang w:val="it-IT"/>
        </w:rPr>
        <w:t>Lo studio IV sulla psoriasi ha paragonato l’efficacia e la sicurezza di Humira rispetto al placebo in 217 pazienti adulti affetti da psoriasi ungueale da moderata a severa. I pazienti hanno ricevuto una dose iniziale di 80 mg di Humira seguita da 40 mg a settimane alterne (a partire da una settimana dopo la dose iniziale) o di placebo per 26 settimane seguita da un trattamento in aperto con Humira per altre 26 settimane.</w:t>
      </w:r>
      <w:r w:rsidR="00F921EB">
        <w:rPr>
          <w:sz w:val="22"/>
          <w:szCs w:val="22"/>
          <w:lang w:val="it-IT"/>
        </w:rPr>
        <w:t xml:space="preserve"> </w:t>
      </w:r>
      <w:r w:rsidRPr="00295E71">
        <w:rPr>
          <w:sz w:val="22"/>
          <w:szCs w:val="22"/>
          <w:lang w:val="it-IT"/>
        </w:rPr>
        <w:t>Le valutazioni della psoriasi ungueale comprendevano il Modified Nail Psoriasis Severity Index (mNAPSI), il Physician’s Global Assessment of Fingernail Psoriasis (PGA-F) e il Nail Psoriasis Severity Index (NAPSI) (vedere Tabella 1</w:t>
      </w:r>
      <w:r w:rsidR="00882D98">
        <w:rPr>
          <w:sz w:val="22"/>
          <w:szCs w:val="22"/>
          <w:lang w:val="it-IT"/>
        </w:rPr>
        <w:t>8</w:t>
      </w:r>
      <w:r w:rsidRPr="00295E71">
        <w:rPr>
          <w:sz w:val="22"/>
          <w:szCs w:val="22"/>
          <w:lang w:val="it-IT"/>
        </w:rPr>
        <w:t>). Il trattamento con Humira ha dimostrato un beneficio terapeutico nei pazienti affetti da psoriasi ungueale con coinvolgimento cutaneo di grado variabile (BSA≥10% (60% dei pazienti) e BSA&lt;10% e ≥5% (40% dei pazienti)).</w:t>
      </w:r>
    </w:p>
    <w:p w:rsidR="006224C2" w:rsidRPr="00295E71" w14:paraId="6A30F224" w14:textId="77777777">
      <w:pPr>
        <w:tabs>
          <w:tab w:val="left" w:pos="567"/>
          <w:tab w:val="left" w:pos="1294"/>
        </w:tabs>
        <w:autoSpaceDE w:val="0"/>
        <w:autoSpaceDN w:val="0"/>
        <w:adjustRightInd w:val="0"/>
        <w:jc w:val="both"/>
        <w:rPr>
          <w:color w:val="000000"/>
          <w:sz w:val="22"/>
          <w:szCs w:val="22"/>
        </w:rPr>
      </w:pPr>
    </w:p>
    <w:p w:rsidR="006224C2" w:rsidRPr="00295E71" w:rsidP="008251A1" w14:paraId="72C641F1" w14:textId="77777777">
      <w:pPr>
        <w:pStyle w:val="gtctabletitleotherwise"/>
        <w:keepNext/>
        <w:spacing w:before="0"/>
        <w:rPr>
          <w:bCs w:val="0"/>
          <w:sz w:val="22"/>
          <w:szCs w:val="22"/>
          <w:lang w:val="it-IT"/>
        </w:rPr>
      </w:pPr>
      <w:r w:rsidRPr="00295E71">
        <w:rPr>
          <w:bCs w:val="0"/>
          <w:sz w:val="22"/>
          <w:szCs w:val="22"/>
          <w:lang w:val="it-IT"/>
        </w:rPr>
        <w:t>Tabella 1</w:t>
      </w:r>
      <w:r w:rsidR="0062664F">
        <w:rPr>
          <w:bCs w:val="0"/>
          <w:sz w:val="22"/>
          <w:szCs w:val="22"/>
          <w:lang w:val="it-IT"/>
        </w:rPr>
        <w:t>8</w:t>
      </w:r>
    </w:p>
    <w:p w:rsidR="006224C2" w:rsidRPr="00295E71" w:rsidP="008251A1" w14:paraId="3ADCA5D9" w14:textId="77777777">
      <w:pPr>
        <w:pStyle w:val="gtctabletitleotherwise"/>
        <w:keepNext/>
        <w:spacing w:before="0"/>
        <w:rPr>
          <w:sz w:val="22"/>
          <w:szCs w:val="22"/>
          <w:lang w:val="it-IT"/>
        </w:rPr>
      </w:pPr>
      <w:r w:rsidRPr="00295E71">
        <w:rPr>
          <w:bCs w:val="0"/>
          <w:sz w:val="22"/>
          <w:szCs w:val="22"/>
          <w:lang w:val="it-IT"/>
        </w:rPr>
        <w:t xml:space="preserve">Risultati di efficacia dello Studio Ps IV </w:t>
      </w:r>
      <w:r w:rsidRPr="000752A6">
        <w:rPr>
          <w:bCs w:val="0"/>
          <w:sz w:val="22"/>
          <w:szCs w:val="22"/>
          <w:lang w:val="it-IT"/>
        </w:rPr>
        <w:t>alle</w:t>
      </w:r>
      <w:r w:rsidRPr="00295E71">
        <w:rPr>
          <w:bCs w:val="0"/>
          <w:sz w:val="22"/>
          <w:szCs w:val="22"/>
          <w:lang w:val="it-IT"/>
        </w:rPr>
        <w:t xml:space="preserve"> settimane 16, 26 e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75ED5572" w14:textId="77777777">
        <w:tblPrEx>
          <w:tblW w:w="0" w:type="auto"/>
          <w:tblLayout w:type="fixed"/>
          <w:tblLook w:val="04A0"/>
        </w:tblPrEx>
        <w:tc>
          <w:tcPr>
            <w:tcW w:w="2718" w:type="dxa"/>
            <w:vMerge w:val="restart"/>
          </w:tcPr>
          <w:p w:rsidR="006224C2" w:rsidRPr="00295E71" w:rsidP="008251A1" w14:paraId="3DD353DE" w14:textId="77777777">
            <w:pPr>
              <w:pStyle w:val="gtctablespaceafter"/>
              <w:keepNext/>
              <w:spacing w:after="0"/>
              <w:rPr>
                <w:sz w:val="22"/>
                <w:szCs w:val="22"/>
                <w:lang w:val="it-IT"/>
              </w:rPr>
            </w:pPr>
            <w:r w:rsidRPr="00295E71">
              <w:rPr>
                <w:sz w:val="22"/>
                <w:szCs w:val="22"/>
                <w:lang w:val="it-IT"/>
              </w:rPr>
              <w:t>Endpoint</w:t>
            </w:r>
          </w:p>
        </w:tc>
        <w:tc>
          <w:tcPr>
            <w:tcW w:w="2340" w:type="dxa"/>
            <w:gridSpan w:val="2"/>
          </w:tcPr>
          <w:p w:rsidR="006224C2" w:rsidRPr="00295E71" w:rsidP="008251A1" w14:paraId="6F4543E9" w14:textId="77777777">
            <w:pPr>
              <w:pStyle w:val="gtctablespaceafter"/>
              <w:keepNext/>
              <w:spacing w:after="0"/>
              <w:jc w:val="center"/>
              <w:rPr>
                <w:sz w:val="22"/>
                <w:szCs w:val="22"/>
                <w:lang w:val="it-IT"/>
              </w:rPr>
            </w:pPr>
            <w:r w:rsidRPr="00295E71">
              <w:rPr>
                <w:sz w:val="22"/>
                <w:szCs w:val="22"/>
                <w:lang w:val="it-IT"/>
              </w:rPr>
              <w:t>Settimana 16</w:t>
            </w:r>
          </w:p>
          <w:p w:rsidR="006224C2" w:rsidRPr="00295E71" w:rsidP="008251A1" w14:paraId="4F4B40CC" w14:textId="77777777">
            <w:pPr>
              <w:pStyle w:val="gtctablespaceafter"/>
              <w:keepNext/>
              <w:spacing w:after="0"/>
              <w:jc w:val="center"/>
              <w:rPr>
                <w:sz w:val="22"/>
                <w:szCs w:val="22"/>
                <w:lang w:val="it-IT"/>
              </w:rPr>
            </w:pPr>
            <w:r w:rsidRPr="00295E71">
              <w:rPr>
                <w:sz w:val="22"/>
                <w:szCs w:val="22"/>
                <w:lang w:val="it-IT"/>
              </w:rPr>
              <w:t>Controllato verso placebo</w:t>
            </w:r>
          </w:p>
        </w:tc>
        <w:tc>
          <w:tcPr>
            <w:tcW w:w="2250" w:type="dxa"/>
            <w:gridSpan w:val="2"/>
          </w:tcPr>
          <w:p w:rsidR="006224C2" w:rsidRPr="00295E71" w:rsidP="008251A1" w14:paraId="1501B564" w14:textId="77777777">
            <w:pPr>
              <w:pStyle w:val="gtctablespaceafter"/>
              <w:keepNext/>
              <w:spacing w:after="0"/>
              <w:jc w:val="center"/>
              <w:rPr>
                <w:sz w:val="22"/>
                <w:szCs w:val="22"/>
                <w:lang w:val="it-IT"/>
              </w:rPr>
            </w:pPr>
            <w:r w:rsidRPr="00295E71">
              <w:rPr>
                <w:sz w:val="22"/>
                <w:szCs w:val="22"/>
                <w:lang w:val="it-IT"/>
              </w:rPr>
              <w:t>Settimana 26</w:t>
            </w:r>
          </w:p>
          <w:p w:rsidR="006224C2" w:rsidRPr="00295E71" w:rsidP="008251A1" w14:paraId="7D988AA7" w14:textId="77777777">
            <w:pPr>
              <w:pStyle w:val="gtctablespaceafter"/>
              <w:keepNext/>
              <w:spacing w:after="0"/>
              <w:jc w:val="center"/>
              <w:rPr>
                <w:sz w:val="22"/>
                <w:szCs w:val="22"/>
                <w:lang w:val="it-IT"/>
              </w:rPr>
            </w:pPr>
            <w:r w:rsidRPr="00295E71">
              <w:rPr>
                <w:sz w:val="22"/>
                <w:szCs w:val="22"/>
                <w:lang w:val="it-IT"/>
              </w:rPr>
              <w:t>Controllato verso placebo</w:t>
            </w:r>
          </w:p>
        </w:tc>
        <w:tc>
          <w:tcPr>
            <w:tcW w:w="2268" w:type="dxa"/>
            <w:vAlign w:val="center"/>
          </w:tcPr>
          <w:p w:rsidR="006224C2" w:rsidRPr="00295E71" w:rsidP="008251A1" w14:paraId="600C13E4" w14:textId="77777777">
            <w:pPr>
              <w:pStyle w:val="gtctablespaceafter"/>
              <w:keepNext/>
              <w:spacing w:after="0"/>
              <w:jc w:val="center"/>
              <w:rPr>
                <w:sz w:val="22"/>
                <w:szCs w:val="22"/>
                <w:lang w:val="it-IT"/>
              </w:rPr>
            </w:pPr>
            <w:r w:rsidRPr="00295E71">
              <w:rPr>
                <w:sz w:val="22"/>
                <w:szCs w:val="22"/>
                <w:lang w:val="it-IT"/>
              </w:rPr>
              <w:t>Settimana 52</w:t>
            </w:r>
          </w:p>
          <w:p w:rsidR="006224C2" w:rsidRPr="00295E71" w:rsidP="008251A1" w14:paraId="4A63E8F8" w14:textId="77777777">
            <w:pPr>
              <w:pStyle w:val="gtctablespaceafter"/>
              <w:keepNext/>
              <w:spacing w:after="0"/>
              <w:jc w:val="center"/>
              <w:rPr>
                <w:sz w:val="22"/>
                <w:szCs w:val="22"/>
                <w:lang w:val="it-IT"/>
              </w:rPr>
            </w:pPr>
            <w:r w:rsidRPr="00295E71">
              <w:rPr>
                <w:sz w:val="22"/>
                <w:szCs w:val="22"/>
                <w:lang w:val="it-IT"/>
              </w:rPr>
              <w:t>In aperto</w:t>
            </w:r>
          </w:p>
        </w:tc>
      </w:tr>
      <w:tr w14:paraId="1F60285F" w14:textId="77777777">
        <w:tblPrEx>
          <w:tblW w:w="0" w:type="auto"/>
          <w:tblLayout w:type="fixed"/>
          <w:tblLook w:val="04A0"/>
        </w:tblPrEx>
        <w:tc>
          <w:tcPr>
            <w:tcW w:w="2718" w:type="dxa"/>
            <w:vMerge/>
          </w:tcPr>
          <w:p w:rsidR="006224C2" w:rsidRPr="00295E71" w:rsidP="008251A1" w14:paraId="2CF3F113" w14:textId="77777777">
            <w:pPr>
              <w:pStyle w:val="gtctablespaceafter"/>
              <w:keepNext/>
              <w:spacing w:after="0"/>
              <w:rPr>
                <w:sz w:val="22"/>
                <w:szCs w:val="22"/>
                <w:lang w:val="it-IT"/>
              </w:rPr>
            </w:pPr>
          </w:p>
        </w:tc>
        <w:tc>
          <w:tcPr>
            <w:tcW w:w="1080" w:type="dxa"/>
          </w:tcPr>
          <w:p w:rsidR="006224C2" w:rsidRPr="00295E71" w:rsidP="008251A1" w14:paraId="257426B8" w14:textId="77777777">
            <w:pPr>
              <w:pStyle w:val="gtctablespaceafter"/>
              <w:keepNext/>
              <w:spacing w:after="0"/>
              <w:jc w:val="center"/>
              <w:rPr>
                <w:sz w:val="22"/>
                <w:szCs w:val="22"/>
                <w:lang w:val="it-IT"/>
              </w:rPr>
            </w:pPr>
            <w:r w:rsidRPr="00295E71">
              <w:rPr>
                <w:sz w:val="22"/>
                <w:szCs w:val="22"/>
                <w:lang w:val="it-IT"/>
              </w:rPr>
              <w:t>Placebo</w:t>
            </w:r>
            <w:r w:rsidRPr="00295E71">
              <w:rPr>
                <w:sz w:val="22"/>
                <w:szCs w:val="22"/>
                <w:lang w:val="it-IT"/>
              </w:rPr>
              <w:br/>
              <w:t>N=108</w:t>
            </w:r>
          </w:p>
        </w:tc>
        <w:tc>
          <w:tcPr>
            <w:tcW w:w="1260" w:type="dxa"/>
          </w:tcPr>
          <w:p w:rsidR="006224C2" w:rsidRPr="00295E71" w:rsidP="008251A1" w14:paraId="73FE18E3" w14:textId="77777777">
            <w:pPr>
              <w:pStyle w:val="In-texttable"/>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p>
          <w:p w:rsidR="006224C2" w:rsidRPr="00295E71" w:rsidP="008251A1" w14:paraId="760DB792" w14:textId="77777777">
            <w:pPr>
              <w:pStyle w:val="gtctablespaceafter"/>
              <w:keepNext/>
              <w:spacing w:after="0"/>
              <w:jc w:val="center"/>
              <w:rPr>
                <w:sz w:val="22"/>
                <w:szCs w:val="22"/>
                <w:lang w:val="it-IT"/>
              </w:rPr>
            </w:pPr>
            <w:r w:rsidRPr="00295E71">
              <w:rPr>
                <w:sz w:val="22"/>
                <w:szCs w:val="22"/>
                <w:lang w:val="it-IT"/>
              </w:rPr>
              <w:t xml:space="preserve">40 mg a settimane alterne </w:t>
            </w:r>
            <w:r w:rsidRPr="00295E71">
              <w:rPr>
                <w:sz w:val="22"/>
                <w:szCs w:val="22"/>
                <w:lang w:val="it-IT"/>
              </w:rPr>
              <w:br/>
              <w:t>N=109</w:t>
            </w:r>
          </w:p>
        </w:tc>
        <w:tc>
          <w:tcPr>
            <w:tcW w:w="990" w:type="dxa"/>
          </w:tcPr>
          <w:p w:rsidR="006224C2" w:rsidRPr="00295E71" w:rsidP="008251A1" w14:paraId="074846AA" w14:textId="77777777">
            <w:pPr>
              <w:pStyle w:val="gtctablespaceafter"/>
              <w:keepNext/>
              <w:spacing w:after="0"/>
              <w:jc w:val="center"/>
              <w:rPr>
                <w:sz w:val="22"/>
                <w:szCs w:val="22"/>
                <w:lang w:val="it-IT"/>
              </w:rPr>
            </w:pPr>
            <w:r w:rsidRPr="00295E71">
              <w:rPr>
                <w:sz w:val="22"/>
                <w:szCs w:val="22"/>
                <w:lang w:val="it-IT"/>
              </w:rPr>
              <w:t>Placebo</w:t>
            </w:r>
            <w:r w:rsidRPr="00295E71">
              <w:rPr>
                <w:sz w:val="22"/>
                <w:szCs w:val="22"/>
                <w:lang w:val="it-IT"/>
              </w:rPr>
              <w:br/>
              <w:t>N=108</w:t>
            </w:r>
          </w:p>
        </w:tc>
        <w:tc>
          <w:tcPr>
            <w:tcW w:w="1260" w:type="dxa"/>
          </w:tcPr>
          <w:p w:rsidR="006224C2" w:rsidRPr="00295E71" w:rsidP="008251A1" w14:paraId="7ACBAD83" w14:textId="77777777">
            <w:pPr>
              <w:pStyle w:val="In-texttable"/>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p>
          <w:p w:rsidR="006224C2" w:rsidRPr="00295E71" w:rsidP="008251A1" w14:paraId="72CC7EE9" w14:textId="77777777">
            <w:pPr>
              <w:pStyle w:val="gtctablespaceafter"/>
              <w:keepNext/>
              <w:spacing w:after="0"/>
              <w:jc w:val="center"/>
              <w:rPr>
                <w:sz w:val="22"/>
                <w:szCs w:val="22"/>
                <w:lang w:val="it-IT"/>
              </w:rPr>
            </w:pPr>
            <w:r w:rsidRPr="00295E71">
              <w:rPr>
                <w:sz w:val="22"/>
                <w:szCs w:val="22"/>
                <w:lang w:val="it-IT"/>
              </w:rPr>
              <w:t>40 mg a settimane alterne</w:t>
            </w:r>
            <w:r w:rsidRPr="00295E71">
              <w:rPr>
                <w:sz w:val="22"/>
                <w:szCs w:val="22"/>
                <w:lang w:val="it-IT"/>
              </w:rPr>
              <w:br/>
              <w:t>N=109</w:t>
            </w:r>
          </w:p>
        </w:tc>
        <w:tc>
          <w:tcPr>
            <w:tcW w:w="2268" w:type="dxa"/>
          </w:tcPr>
          <w:p w:rsidR="006224C2" w:rsidRPr="00295E71" w:rsidP="008251A1" w14:paraId="2A2DA875" w14:textId="77777777">
            <w:pPr>
              <w:pStyle w:val="In-texttable"/>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p>
          <w:p w:rsidR="006224C2" w:rsidRPr="00295E71" w:rsidP="008251A1" w14:paraId="34A45510" w14:textId="77777777">
            <w:pPr>
              <w:pStyle w:val="gtctablespaceafter"/>
              <w:keepNext/>
              <w:spacing w:after="0"/>
              <w:jc w:val="center"/>
              <w:rPr>
                <w:sz w:val="22"/>
                <w:szCs w:val="22"/>
                <w:lang w:val="it-IT"/>
              </w:rPr>
            </w:pPr>
            <w:r w:rsidRPr="00295E71">
              <w:rPr>
                <w:sz w:val="22"/>
                <w:szCs w:val="22"/>
                <w:lang w:val="it-IT"/>
              </w:rPr>
              <w:t>40 mg a settimane alterne</w:t>
            </w:r>
            <w:r w:rsidRPr="00295E71">
              <w:rPr>
                <w:sz w:val="22"/>
                <w:szCs w:val="22"/>
                <w:lang w:val="it-IT"/>
              </w:rPr>
              <w:br/>
              <w:t>N=80</w:t>
            </w:r>
          </w:p>
        </w:tc>
      </w:tr>
      <w:tr w14:paraId="60014763" w14:textId="77777777">
        <w:tblPrEx>
          <w:tblW w:w="0" w:type="auto"/>
          <w:tblLayout w:type="fixed"/>
          <w:tblLook w:val="04A0"/>
        </w:tblPrEx>
        <w:tc>
          <w:tcPr>
            <w:tcW w:w="2718" w:type="dxa"/>
          </w:tcPr>
          <w:p w:rsidR="006224C2" w:rsidRPr="00295E71" w:rsidP="008251A1" w14:paraId="46F98B05" w14:textId="77777777">
            <w:pPr>
              <w:pStyle w:val="gtctablespaceafter"/>
              <w:keepNext/>
              <w:spacing w:after="0"/>
              <w:rPr>
                <w:sz w:val="22"/>
                <w:szCs w:val="22"/>
                <w:lang w:val="it-IT"/>
              </w:rPr>
            </w:pPr>
            <w:r w:rsidRPr="00295E71">
              <w:rPr>
                <w:sz w:val="22"/>
                <w:szCs w:val="22"/>
                <w:lang w:val="it-IT"/>
              </w:rPr>
              <w:t>≥ mNAPSI 75 (%)</w:t>
            </w:r>
          </w:p>
        </w:tc>
        <w:tc>
          <w:tcPr>
            <w:tcW w:w="1080" w:type="dxa"/>
          </w:tcPr>
          <w:p w:rsidR="006224C2" w:rsidRPr="00295E71" w:rsidP="008251A1" w14:paraId="6E5715BB" w14:textId="77777777">
            <w:pPr>
              <w:pStyle w:val="gtctablespaceafter"/>
              <w:keepNext/>
              <w:spacing w:after="0"/>
              <w:jc w:val="center"/>
              <w:rPr>
                <w:sz w:val="22"/>
                <w:szCs w:val="22"/>
                <w:lang w:val="it-IT"/>
              </w:rPr>
            </w:pPr>
            <w:r w:rsidRPr="00295E71">
              <w:rPr>
                <w:sz w:val="22"/>
                <w:szCs w:val="22"/>
                <w:lang w:val="it-IT"/>
              </w:rPr>
              <w:t>2,9</w:t>
            </w:r>
          </w:p>
        </w:tc>
        <w:tc>
          <w:tcPr>
            <w:tcW w:w="1260" w:type="dxa"/>
          </w:tcPr>
          <w:p w:rsidR="006224C2" w:rsidRPr="00295E71" w:rsidP="008251A1" w14:paraId="1DE99BC0" w14:textId="77777777">
            <w:pPr>
              <w:pStyle w:val="gtctablespaceafter"/>
              <w:keepNext/>
              <w:spacing w:after="0"/>
              <w:jc w:val="center"/>
              <w:rPr>
                <w:sz w:val="22"/>
                <w:szCs w:val="22"/>
                <w:lang w:val="it-IT"/>
              </w:rPr>
            </w:pPr>
            <w:r w:rsidRPr="00295E71">
              <w:rPr>
                <w:sz w:val="22"/>
                <w:szCs w:val="22"/>
                <w:lang w:val="it-IT"/>
              </w:rPr>
              <w:t>26,0</w:t>
            </w:r>
            <w:r w:rsidRPr="00295E71">
              <w:rPr>
                <w:sz w:val="22"/>
                <w:szCs w:val="22"/>
                <w:vertAlign w:val="superscript"/>
                <w:lang w:val="it-IT"/>
              </w:rPr>
              <w:t>a</w:t>
            </w:r>
          </w:p>
        </w:tc>
        <w:tc>
          <w:tcPr>
            <w:tcW w:w="990" w:type="dxa"/>
          </w:tcPr>
          <w:p w:rsidR="006224C2" w:rsidRPr="00295E71" w:rsidP="008251A1" w14:paraId="2608CF1F" w14:textId="77777777">
            <w:pPr>
              <w:keepNext/>
              <w:jc w:val="center"/>
              <w:rPr>
                <w:sz w:val="22"/>
                <w:szCs w:val="22"/>
              </w:rPr>
            </w:pPr>
            <w:r w:rsidRPr="00295E71">
              <w:rPr>
                <w:sz w:val="22"/>
                <w:szCs w:val="22"/>
              </w:rPr>
              <w:t>3,4</w:t>
            </w:r>
          </w:p>
        </w:tc>
        <w:tc>
          <w:tcPr>
            <w:tcW w:w="1260" w:type="dxa"/>
          </w:tcPr>
          <w:p w:rsidR="006224C2" w:rsidRPr="00295E71" w:rsidP="008251A1" w14:paraId="3AFE9ED8" w14:textId="77777777">
            <w:pPr>
              <w:keepNext/>
              <w:jc w:val="center"/>
              <w:rPr>
                <w:sz w:val="22"/>
                <w:szCs w:val="22"/>
              </w:rPr>
            </w:pPr>
            <w:r w:rsidRPr="00295E71">
              <w:rPr>
                <w:sz w:val="22"/>
                <w:szCs w:val="22"/>
              </w:rPr>
              <w:t>46,6</w:t>
            </w:r>
            <w:r w:rsidRPr="00295E71">
              <w:rPr>
                <w:sz w:val="22"/>
                <w:szCs w:val="22"/>
                <w:vertAlign w:val="superscript"/>
              </w:rPr>
              <w:t>a</w:t>
            </w:r>
          </w:p>
        </w:tc>
        <w:tc>
          <w:tcPr>
            <w:tcW w:w="2268" w:type="dxa"/>
          </w:tcPr>
          <w:p w:rsidR="006224C2" w:rsidRPr="00295E71" w:rsidP="008251A1" w14:paraId="5520A25A" w14:textId="77777777">
            <w:pPr>
              <w:pStyle w:val="gtctablespaceafter"/>
              <w:keepNext/>
              <w:spacing w:after="0"/>
              <w:jc w:val="center"/>
              <w:rPr>
                <w:sz w:val="22"/>
                <w:szCs w:val="22"/>
                <w:lang w:val="it-IT"/>
              </w:rPr>
            </w:pPr>
            <w:r w:rsidRPr="00295E71">
              <w:rPr>
                <w:sz w:val="22"/>
                <w:szCs w:val="22"/>
                <w:lang w:val="it-IT"/>
              </w:rPr>
              <w:t>65,0</w:t>
            </w:r>
          </w:p>
        </w:tc>
      </w:tr>
      <w:tr w14:paraId="3B307531" w14:textId="77777777">
        <w:tblPrEx>
          <w:tblW w:w="0" w:type="auto"/>
          <w:tblLayout w:type="fixed"/>
          <w:tblLook w:val="04A0"/>
        </w:tblPrEx>
        <w:tc>
          <w:tcPr>
            <w:tcW w:w="2718" w:type="dxa"/>
          </w:tcPr>
          <w:p w:rsidR="006224C2" w:rsidRPr="00295E71" w:rsidP="008251A1" w14:paraId="2C1C8200" w14:textId="77777777">
            <w:pPr>
              <w:pStyle w:val="gtctablespaceafter"/>
              <w:keepNext/>
              <w:spacing w:after="0"/>
              <w:rPr>
                <w:sz w:val="22"/>
                <w:szCs w:val="22"/>
                <w:lang w:val="it-IT"/>
              </w:rPr>
            </w:pPr>
            <w:r w:rsidRPr="00295E71">
              <w:rPr>
                <w:sz w:val="22"/>
                <w:szCs w:val="22"/>
                <w:lang w:val="it-IT"/>
              </w:rPr>
              <w:t>PGA-F guarigione/marcato miglioramento e miglioramento di grado ≥2(%)</w:t>
            </w:r>
          </w:p>
        </w:tc>
        <w:tc>
          <w:tcPr>
            <w:tcW w:w="1080" w:type="dxa"/>
          </w:tcPr>
          <w:p w:rsidR="006224C2" w:rsidRPr="00295E71" w:rsidP="008251A1" w14:paraId="5CB3F617" w14:textId="77777777">
            <w:pPr>
              <w:pStyle w:val="gtctablespaceafter"/>
              <w:keepNext/>
              <w:spacing w:after="0"/>
              <w:jc w:val="center"/>
              <w:rPr>
                <w:sz w:val="22"/>
                <w:szCs w:val="22"/>
                <w:lang w:val="it-IT"/>
              </w:rPr>
            </w:pPr>
            <w:r w:rsidRPr="00295E71">
              <w:rPr>
                <w:sz w:val="22"/>
                <w:szCs w:val="22"/>
                <w:lang w:val="it-IT"/>
              </w:rPr>
              <w:t>2,9</w:t>
            </w:r>
          </w:p>
        </w:tc>
        <w:tc>
          <w:tcPr>
            <w:tcW w:w="1260" w:type="dxa"/>
          </w:tcPr>
          <w:p w:rsidR="006224C2" w:rsidRPr="00295E71" w:rsidP="008251A1" w14:paraId="7EF4C41E" w14:textId="77777777">
            <w:pPr>
              <w:pStyle w:val="gtctablespaceafter"/>
              <w:keepNext/>
              <w:spacing w:after="0"/>
              <w:jc w:val="center"/>
              <w:rPr>
                <w:sz w:val="22"/>
                <w:szCs w:val="22"/>
                <w:lang w:val="it-IT"/>
              </w:rPr>
            </w:pPr>
            <w:r w:rsidRPr="00295E71">
              <w:rPr>
                <w:sz w:val="22"/>
                <w:szCs w:val="22"/>
                <w:lang w:val="it-IT"/>
              </w:rPr>
              <w:t>29,7</w:t>
            </w:r>
            <w:r w:rsidRPr="00295E71">
              <w:rPr>
                <w:sz w:val="22"/>
                <w:szCs w:val="22"/>
                <w:vertAlign w:val="superscript"/>
                <w:lang w:val="it-IT"/>
              </w:rPr>
              <w:t>a</w:t>
            </w:r>
          </w:p>
        </w:tc>
        <w:tc>
          <w:tcPr>
            <w:tcW w:w="990" w:type="dxa"/>
          </w:tcPr>
          <w:p w:rsidR="006224C2" w:rsidRPr="00295E71" w:rsidP="008251A1" w14:paraId="0F14A518" w14:textId="77777777">
            <w:pPr>
              <w:keepNext/>
              <w:jc w:val="center"/>
              <w:rPr>
                <w:sz w:val="22"/>
                <w:szCs w:val="22"/>
              </w:rPr>
            </w:pPr>
            <w:r w:rsidRPr="00295E71">
              <w:rPr>
                <w:sz w:val="22"/>
                <w:szCs w:val="22"/>
              </w:rPr>
              <w:t>6,9</w:t>
            </w:r>
          </w:p>
        </w:tc>
        <w:tc>
          <w:tcPr>
            <w:tcW w:w="1260" w:type="dxa"/>
          </w:tcPr>
          <w:p w:rsidR="006224C2" w:rsidRPr="00295E71" w:rsidP="008251A1" w14:paraId="260E364E" w14:textId="77777777">
            <w:pPr>
              <w:keepNext/>
              <w:jc w:val="center"/>
              <w:rPr>
                <w:sz w:val="22"/>
                <w:szCs w:val="22"/>
              </w:rPr>
            </w:pPr>
            <w:r w:rsidRPr="00295E71">
              <w:rPr>
                <w:sz w:val="22"/>
                <w:szCs w:val="22"/>
              </w:rPr>
              <w:t>48,9</w:t>
            </w:r>
            <w:r w:rsidRPr="00295E71">
              <w:rPr>
                <w:sz w:val="22"/>
                <w:szCs w:val="22"/>
                <w:vertAlign w:val="superscript"/>
              </w:rPr>
              <w:t>a</w:t>
            </w:r>
          </w:p>
        </w:tc>
        <w:tc>
          <w:tcPr>
            <w:tcW w:w="2268" w:type="dxa"/>
          </w:tcPr>
          <w:p w:rsidR="006224C2" w:rsidRPr="00295E71" w:rsidP="008251A1" w14:paraId="0A4604BD" w14:textId="77777777">
            <w:pPr>
              <w:pStyle w:val="gtctablespaceafter"/>
              <w:keepNext/>
              <w:spacing w:after="0"/>
              <w:jc w:val="center"/>
              <w:rPr>
                <w:sz w:val="22"/>
                <w:szCs w:val="22"/>
                <w:lang w:val="it-IT"/>
              </w:rPr>
            </w:pPr>
            <w:r w:rsidRPr="00295E71">
              <w:rPr>
                <w:sz w:val="22"/>
                <w:szCs w:val="22"/>
                <w:lang w:val="it-IT"/>
              </w:rPr>
              <w:t>61,3</w:t>
            </w:r>
          </w:p>
        </w:tc>
      </w:tr>
      <w:tr w14:paraId="03A90AD6" w14:textId="77777777">
        <w:tblPrEx>
          <w:tblW w:w="0" w:type="auto"/>
          <w:tblLayout w:type="fixed"/>
          <w:tblLook w:val="04A0"/>
        </w:tblPrEx>
        <w:tc>
          <w:tcPr>
            <w:tcW w:w="2718" w:type="dxa"/>
          </w:tcPr>
          <w:p w:rsidR="006224C2" w:rsidRPr="00295E71" w:rsidP="008251A1" w14:paraId="4D0CAAEC" w14:textId="77777777">
            <w:pPr>
              <w:pStyle w:val="gtctablespaceafter"/>
              <w:keepNext/>
              <w:spacing w:after="0"/>
              <w:rPr>
                <w:sz w:val="22"/>
                <w:szCs w:val="22"/>
                <w:lang w:val="it-IT"/>
              </w:rPr>
            </w:pPr>
            <w:r w:rsidRPr="00295E71">
              <w:rPr>
                <w:sz w:val="22"/>
                <w:szCs w:val="22"/>
                <w:lang w:val="it-IT"/>
              </w:rPr>
              <w:t>Variazione percentuale nel punteggio NAPSI totale (%)</w:t>
            </w:r>
          </w:p>
        </w:tc>
        <w:tc>
          <w:tcPr>
            <w:tcW w:w="1080" w:type="dxa"/>
          </w:tcPr>
          <w:p w:rsidR="006224C2" w:rsidRPr="00295E71" w:rsidP="008251A1" w14:paraId="7A05FC91" w14:textId="77777777">
            <w:pPr>
              <w:pStyle w:val="gtctablespaceafter"/>
              <w:keepNext/>
              <w:spacing w:after="0"/>
              <w:jc w:val="center"/>
              <w:rPr>
                <w:sz w:val="22"/>
                <w:szCs w:val="22"/>
                <w:lang w:val="it-IT"/>
              </w:rPr>
            </w:pPr>
            <w:r w:rsidRPr="00295E71">
              <w:rPr>
                <w:sz w:val="22"/>
                <w:szCs w:val="22"/>
                <w:lang w:val="it-IT"/>
              </w:rPr>
              <w:t>-7,8</w:t>
            </w:r>
          </w:p>
        </w:tc>
        <w:tc>
          <w:tcPr>
            <w:tcW w:w="1260" w:type="dxa"/>
          </w:tcPr>
          <w:p w:rsidR="006224C2" w:rsidRPr="00295E71" w:rsidP="008251A1" w14:paraId="52B748E6" w14:textId="77777777">
            <w:pPr>
              <w:pStyle w:val="gtctablespaceafter"/>
              <w:keepNext/>
              <w:spacing w:after="0"/>
              <w:jc w:val="center"/>
              <w:rPr>
                <w:sz w:val="22"/>
                <w:szCs w:val="22"/>
                <w:lang w:val="it-IT"/>
              </w:rPr>
            </w:pPr>
            <w:r w:rsidRPr="00295E71">
              <w:rPr>
                <w:sz w:val="22"/>
                <w:szCs w:val="22"/>
                <w:lang w:val="it-IT"/>
              </w:rPr>
              <w:t>-44,2</w:t>
            </w:r>
            <w:r w:rsidRPr="00295E71">
              <w:rPr>
                <w:sz w:val="22"/>
                <w:szCs w:val="22"/>
                <w:vertAlign w:val="superscript"/>
                <w:lang w:val="it-IT"/>
              </w:rPr>
              <w:t>a</w:t>
            </w:r>
          </w:p>
        </w:tc>
        <w:tc>
          <w:tcPr>
            <w:tcW w:w="990" w:type="dxa"/>
          </w:tcPr>
          <w:p w:rsidR="006224C2" w:rsidRPr="00295E71" w:rsidP="008251A1" w14:paraId="5C749411" w14:textId="77777777">
            <w:pPr>
              <w:keepNext/>
              <w:jc w:val="center"/>
              <w:rPr>
                <w:sz w:val="22"/>
                <w:szCs w:val="22"/>
              </w:rPr>
            </w:pPr>
            <w:r w:rsidRPr="00295E71">
              <w:rPr>
                <w:sz w:val="22"/>
                <w:szCs w:val="22"/>
              </w:rPr>
              <w:t>-11,5</w:t>
            </w:r>
          </w:p>
        </w:tc>
        <w:tc>
          <w:tcPr>
            <w:tcW w:w="1260" w:type="dxa"/>
          </w:tcPr>
          <w:p w:rsidR="006224C2" w:rsidRPr="00295E71" w:rsidP="008251A1" w14:paraId="7F613B52" w14:textId="77777777">
            <w:pPr>
              <w:keepNext/>
              <w:jc w:val="center"/>
              <w:rPr>
                <w:sz w:val="22"/>
                <w:szCs w:val="22"/>
              </w:rPr>
            </w:pPr>
            <w:r w:rsidRPr="00295E71">
              <w:rPr>
                <w:sz w:val="22"/>
                <w:szCs w:val="22"/>
              </w:rPr>
              <w:t>-56,2</w:t>
            </w:r>
            <w:r w:rsidRPr="00295E71">
              <w:rPr>
                <w:sz w:val="22"/>
                <w:szCs w:val="22"/>
                <w:vertAlign w:val="superscript"/>
              </w:rPr>
              <w:t>a</w:t>
            </w:r>
          </w:p>
        </w:tc>
        <w:tc>
          <w:tcPr>
            <w:tcW w:w="2268" w:type="dxa"/>
          </w:tcPr>
          <w:p w:rsidR="006224C2" w:rsidRPr="00295E71" w:rsidP="008251A1" w14:paraId="502DAF40" w14:textId="77777777">
            <w:pPr>
              <w:pStyle w:val="gtctablespaceafter"/>
              <w:keepNext/>
              <w:spacing w:after="0"/>
              <w:jc w:val="center"/>
              <w:rPr>
                <w:sz w:val="22"/>
                <w:szCs w:val="22"/>
                <w:lang w:val="it-IT"/>
              </w:rPr>
            </w:pPr>
            <w:r w:rsidRPr="00295E71">
              <w:rPr>
                <w:sz w:val="22"/>
                <w:szCs w:val="22"/>
                <w:lang w:val="it-IT"/>
              </w:rPr>
              <w:t>-72,2</w:t>
            </w:r>
          </w:p>
        </w:tc>
      </w:tr>
      <w:tr w14:paraId="4277F818" w14:textId="77777777">
        <w:tblPrEx>
          <w:tblW w:w="0" w:type="auto"/>
          <w:tblLayout w:type="fixed"/>
          <w:tblLook w:val="04A0"/>
        </w:tblPrEx>
        <w:tc>
          <w:tcPr>
            <w:tcW w:w="9576" w:type="dxa"/>
            <w:gridSpan w:val="6"/>
          </w:tcPr>
          <w:p w:rsidR="006224C2" w:rsidRPr="00295E71" w:rsidP="008251A1" w14:paraId="07116C64" w14:textId="77777777">
            <w:pPr>
              <w:pStyle w:val="gtctablespaceafter"/>
              <w:keepNext/>
              <w:spacing w:after="0"/>
              <w:rPr>
                <w:sz w:val="22"/>
                <w:szCs w:val="22"/>
                <w:lang w:val="it-IT"/>
              </w:rPr>
            </w:pPr>
            <w:r w:rsidRPr="00295E71">
              <w:rPr>
                <w:sz w:val="22"/>
                <w:szCs w:val="22"/>
                <w:vertAlign w:val="superscript"/>
                <w:lang w:val="it-IT"/>
              </w:rPr>
              <w:t>a</w:t>
            </w:r>
            <w:r w:rsidRPr="00295E71">
              <w:rPr>
                <w:sz w:val="22"/>
                <w:szCs w:val="22"/>
                <w:lang w:val="it-IT"/>
              </w:rPr>
              <w:t xml:space="preserve"> p&lt;0,001, Humira </w:t>
            </w:r>
            <w:r w:rsidRPr="00295E71">
              <w:rPr>
                <w:i/>
                <w:sz w:val="22"/>
                <w:szCs w:val="22"/>
                <w:lang w:val="it-IT"/>
              </w:rPr>
              <w:t>vs.</w:t>
            </w:r>
            <w:r w:rsidRPr="00295E71">
              <w:rPr>
                <w:sz w:val="22"/>
                <w:szCs w:val="22"/>
                <w:lang w:val="it-IT"/>
              </w:rPr>
              <w:t xml:space="preserve"> placebo </w:t>
            </w:r>
          </w:p>
        </w:tc>
      </w:tr>
    </w:tbl>
    <w:p w:rsidR="006224C2" w:rsidRPr="00295E71" w14:paraId="0F757A4D" w14:textId="77777777">
      <w:pPr>
        <w:pStyle w:val="gtctablespaceafter"/>
        <w:spacing w:after="0"/>
        <w:jc w:val="both"/>
        <w:rPr>
          <w:sz w:val="22"/>
          <w:szCs w:val="22"/>
          <w:lang w:val="it-IT"/>
        </w:rPr>
      </w:pPr>
    </w:p>
    <w:p w:rsidR="006224C2" w:rsidRPr="00C1236A" w14:paraId="28E19DB0" w14:textId="77777777">
      <w:pPr>
        <w:pStyle w:val="EMEANormal"/>
        <w:jc w:val="both"/>
        <w:rPr>
          <w:lang w:val="it-IT"/>
        </w:rPr>
      </w:pPr>
      <w:r w:rsidRPr="00295E71">
        <w:rPr>
          <w:lang w:val="it-IT"/>
        </w:rPr>
        <w:t xml:space="preserve">I </w:t>
      </w:r>
      <w:r w:rsidRPr="00C1236A">
        <w:rPr>
          <w:lang w:val="it-IT"/>
        </w:rPr>
        <w:t>pazienti trattati con Humira hanno mostrato miglioramenti statisticamente significativi alla settimana 26 rispetto al placebo nel DLQI.</w:t>
      </w:r>
    </w:p>
    <w:p w:rsidR="006224C2" w:rsidRPr="00C1236A" w14:paraId="726B27E0" w14:textId="77777777">
      <w:pPr>
        <w:pStyle w:val="EMEAHeadingUnderline"/>
        <w:spacing w:beforeLines="0" w:afterLines="0"/>
        <w:jc w:val="both"/>
        <w:rPr>
          <w:lang w:val="it-IT"/>
        </w:rPr>
      </w:pPr>
    </w:p>
    <w:p w:rsidR="006224C2" w:rsidRPr="00295E71" w14:paraId="13E5AC65" w14:textId="77777777">
      <w:pPr>
        <w:keepNext/>
        <w:rPr>
          <w:i/>
          <w:color w:val="000000"/>
          <w:sz w:val="22"/>
          <w:szCs w:val="22"/>
        </w:rPr>
      </w:pPr>
      <w:r w:rsidRPr="00C1236A">
        <w:rPr>
          <w:i/>
          <w:color w:val="000000"/>
          <w:sz w:val="22"/>
          <w:szCs w:val="22"/>
        </w:rPr>
        <w:t>Idrosadenite</w:t>
      </w:r>
      <w:r w:rsidRPr="00295E71">
        <w:rPr>
          <w:i/>
          <w:color w:val="000000"/>
          <w:sz w:val="22"/>
          <w:szCs w:val="22"/>
        </w:rPr>
        <w:t xml:space="preserve"> Suppurativa</w:t>
      </w:r>
    </w:p>
    <w:p w:rsidR="006224C2" w:rsidRPr="00295E71" w14:paraId="6D136772" w14:textId="77777777">
      <w:pPr>
        <w:pStyle w:val="EMEAHeadingUnderline"/>
        <w:keepNext/>
        <w:spacing w:beforeLines="0" w:afterLines="0"/>
        <w:jc w:val="both"/>
        <w:rPr>
          <w:lang w:val="it-IT"/>
        </w:rPr>
      </w:pPr>
    </w:p>
    <w:p w:rsidR="006224C2" w:rsidRPr="00295E71" w14:paraId="1C746891" w14:textId="77777777">
      <w:pPr>
        <w:keepNext/>
        <w:rPr>
          <w:sz w:val="22"/>
          <w:szCs w:val="22"/>
        </w:rPr>
      </w:pPr>
      <w:r w:rsidRPr="00295E71">
        <w:rPr>
          <w:sz w:val="22"/>
          <w:szCs w:val="22"/>
        </w:rPr>
        <w:t xml:space="preserve">La sicurezza e l’efficacia di Humira sono state valutate in </w:t>
      </w:r>
      <w:r w:rsidRPr="00295E71">
        <w:rPr>
          <w:sz w:val="22"/>
          <w:szCs w:val="22"/>
          <w:lang w:eastAsia="en-US"/>
        </w:rPr>
        <w:t>studi randomizzati, in doppio cieco, controllati con placebo e in uno studio di estensione in aperto, in pazienti adulti affetti da Idrosadenite Suppurativa (HS) di grado da moderato a severo, che erano intolleranti, presentavano una controindicazione o una risposta inadeguata ad almeno 3 mesi di terapia antibiotica sistemica. I pazienti in HS-I e HS-II avevano uno Stadio Hurley II o III della malattia con almeno 3 ascessi o noduli infiammatori.</w:t>
      </w:r>
    </w:p>
    <w:p w:rsidR="006224C2" w:rsidRPr="00295E71" w14:paraId="38DC48BC" w14:textId="77777777">
      <w:pPr>
        <w:rPr>
          <w:sz w:val="22"/>
          <w:szCs w:val="22"/>
        </w:rPr>
      </w:pPr>
    </w:p>
    <w:p w:rsidR="006224C2" w:rsidRPr="00295E71" w14:paraId="75DF27C4" w14:textId="77777777">
      <w:pPr>
        <w:rPr>
          <w:sz w:val="22"/>
          <w:szCs w:val="22"/>
        </w:rPr>
      </w:pPr>
      <w:r w:rsidRPr="00295E71">
        <w:rPr>
          <w:sz w:val="22"/>
          <w:szCs w:val="22"/>
        </w:rPr>
        <w:t xml:space="preserve">Lo </w:t>
      </w:r>
      <w:r w:rsidRPr="00295E71">
        <w:rPr>
          <w:sz w:val="22"/>
          <w:szCs w:val="22"/>
          <w:lang w:eastAsia="en-US"/>
        </w:rPr>
        <w:t>Studio HS-I (PIONEER I) ha valutato 307 pazienti con 2 periodi di trattamento. Nel Periodo A, i pazienti hanno ricevuto placebo o Humira ad una dose iniziale di 160 mg alla settimana 0,80 mg alla settimana 2 e 40 mg ogni settimana a partire dalla settimana 4 fino alla settimana 11. Durante lo studio non era consentito l’uso concomitante di antibiotici. Dopo 12 settimane di trattamento, i pazienti che avevano ricevuto Humira nel Periodo A sono stati randomizzati nel Periodo B ad 1 dei 3 gruppi di trattamento (Humira 40 mg ogni settimana, Humira 40 mg a settimane alterne o placebo dalla settimana 12 alla settimana 35). I pazienti che erano stati randomizzati al placebo nel Periodo A, sono stati assegnati a ricevere Humira 40 mg ogni settimana nel Periodo B.</w:t>
      </w:r>
    </w:p>
    <w:p w:rsidR="006224C2" w:rsidRPr="00295E71" w14:paraId="0D057162" w14:textId="77777777">
      <w:pPr>
        <w:rPr>
          <w:sz w:val="22"/>
          <w:szCs w:val="22"/>
        </w:rPr>
      </w:pPr>
    </w:p>
    <w:p w:rsidR="006224C2" w:rsidRPr="00295E71" w14:paraId="24DB74BA" w14:textId="77777777">
      <w:pPr>
        <w:rPr>
          <w:sz w:val="22"/>
          <w:szCs w:val="22"/>
        </w:rPr>
      </w:pPr>
      <w:r w:rsidRPr="00295E71">
        <w:rPr>
          <w:sz w:val="22"/>
          <w:szCs w:val="22"/>
        </w:rPr>
        <w:t xml:space="preserve">Lo </w:t>
      </w:r>
      <w:r w:rsidRPr="00295E71">
        <w:rPr>
          <w:sz w:val="22"/>
          <w:szCs w:val="22"/>
          <w:lang w:eastAsia="en-US"/>
        </w:rPr>
        <w:t>Studio HS-II (PIONEER II) ha valutato 326 pazienti con 2 periodi di trattamento. Nel Periodo A, i pazienti hanno ricevuto placebo o Humira ad una dose iniziale di 160 mg alla settimana 0, 80 mg alla settimana 2 e 40 mg ogni settimana a partire dalla settimana 4 fino alla settimana 11. Durante lo studio il 19,3% dei pazienti ha continuato la terapia antibiotica orale che faceva all’inizio dello studio. Dopo 12 settimane di trattamento, i pazienti che avevano ricevuto Humira nel Periodo A sono stati randomizzati nel Periodo B ad 1 dei 3 gruppi di trattamento (Humira 40 mg ogni settimana, Humira 40 mg a settimane alterne o placebo dalla settimana 12 alla settimana 35). I pazienti che erano stati randomizzati al placebo nel Periodo A, sono stati assegnati a ricevere placebo nel Periodo B.</w:t>
      </w:r>
    </w:p>
    <w:p w:rsidR="006224C2" w:rsidRPr="00295E71" w14:paraId="1219B8EC" w14:textId="77777777">
      <w:pPr>
        <w:rPr>
          <w:sz w:val="22"/>
          <w:szCs w:val="22"/>
        </w:rPr>
      </w:pPr>
    </w:p>
    <w:p w:rsidR="006224C2" w:rsidRPr="00295E71" w14:paraId="7FD7F5CB" w14:textId="77777777">
      <w:pPr>
        <w:rPr>
          <w:sz w:val="22"/>
          <w:szCs w:val="22"/>
        </w:rPr>
      </w:pPr>
      <w:r w:rsidRPr="00295E71">
        <w:rPr>
          <w:sz w:val="22"/>
          <w:szCs w:val="22"/>
          <w:lang w:eastAsia="en-US"/>
        </w:rPr>
        <w:t xml:space="preserve">I pazienti che avevano preso parte agli Studi HS-I e HS-II erano idonei a partecipare ad uno studio di estensione in aperto in cui ogni settimana veniva somministrato Humira 40 mg. </w:t>
      </w:r>
      <w:r w:rsidRPr="00295E71" w:rsidR="00176CDB">
        <w:rPr>
          <w:sz w:val="22"/>
          <w:szCs w:val="22"/>
          <w:lang w:eastAsia="en-US"/>
        </w:rPr>
        <w:t xml:space="preserve">L’esposizione media in tutta la popolazione trattata con adalimumab è stata di 762 giorni. </w:t>
      </w:r>
      <w:r w:rsidRPr="00295E71">
        <w:rPr>
          <w:sz w:val="22"/>
          <w:szCs w:val="22"/>
          <w:lang w:eastAsia="en-US"/>
        </w:rPr>
        <w:t>Durante tutti e 3 gli studi, i pazienti hanno usato tutti i giorni una soluzione di lavaggio antisettica topica.</w:t>
      </w:r>
    </w:p>
    <w:p w:rsidR="006224C2" w:rsidRPr="00295E71" w14:paraId="1AFD7891" w14:textId="77777777">
      <w:pPr>
        <w:rPr>
          <w:sz w:val="22"/>
          <w:szCs w:val="22"/>
        </w:rPr>
      </w:pPr>
    </w:p>
    <w:p w:rsidR="006224C2" w:rsidRPr="00295E71" w14:paraId="0907040F" w14:textId="77777777">
      <w:pPr>
        <w:rPr>
          <w:i/>
          <w:sz w:val="22"/>
          <w:szCs w:val="22"/>
          <w:u w:val="single"/>
        </w:rPr>
      </w:pPr>
      <w:r w:rsidRPr="00295E71">
        <w:rPr>
          <w:i/>
          <w:sz w:val="22"/>
          <w:szCs w:val="22"/>
          <w:u w:val="single"/>
          <w:lang w:eastAsia="en-US"/>
        </w:rPr>
        <w:t>Risposta Clinica</w:t>
      </w:r>
    </w:p>
    <w:p w:rsidR="006224C2" w:rsidRPr="00295E71" w14:paraId="6D335B75" w14:textId="77777777">
      <w:pPr>
        <w:rPr>
          <w:sz w:val="22"/>
          <w:szCs w:val="22"/>
        </w:rPr>
      </w:pPr>
    </w:p>
    <w:p w:rsidR="006224C2" w:rsidRPr="00295E71" w14:paraId="6648978E" w14:textId="77777777">
      <w:pPr>
        <w:rPr>
          <w:sz w:val="22"/>
          <w:szCs w:val="22"/>
        </w:rPr>
      </w:pPr>
      <w:r w:rsidRPr="00295E71">
        <w:rPr>
          <w:sz w:val="22"/>
          <w:szCs w:val="22"/>
        </w:rPr>
        <w:t xml:space="preserve">La </w:t>
      </w:r>
      <w:r w:rsidRPr="00295E71">
        <w:rPr>
          <w:sz w:val="22"/>
          <w:szCs w:val="22"/>
          <w:lang w:eastAsia="en-US"/>
        </w:rPr>
        <w:t xml:space="preserve">riduzione delle lesioni infiammatorie e la prevenzione del peggioramento degli ascessi e delle fistole drenanti sono state valutate utilizzando l’Hidradenitis Suppurativa Clinical Response (HiSCR; </w:t>
      </w:r>
      <w:r w:rsidRPr="00295E71">
        <w:rPr>
          <w:sz w:val="22"/>
          <w:szCs w:val="22"/>
          <w:lang w:eastAsia="en-US"/>
        </w:rPr>
        <w:t>una riduzione di almeno il50% nella conta totale di ascessi e noduli infiammatori senza aumento nella conta degli ascessi né di fistole drenanti rispetto al valore basale). La riduzione del dolore cutaneo riferito all’idrosadenite suppurativa (HS) è stata valutata utilizzando la Scala di Valutazione Numerica (Numeric Rating Scale) nei pazienti che erano entrati nello studio con un punteggio basale iniziale pari a 3 o superiore su una scala di 11 punti.</w:t>
      </w:r>
    </w:p>
    <w:p w:rsidR="006224C2" w:rsidRPr="00295E71" w14:paraId="09EB0CC3" w14:textId="77777777">
      <w:pPr>
        <w:rPr>
          <w:sz w:val="22"/>
          <w:szCs w:val="22"/>
        </w:rPr>
      </w:pPr>
    </w:p>
    <w:p w:rsidR="006224C2" w:rsidRPr="00295E71" w14:paraId="19555714" w14:textId="77777777">
      <w:pPr>
        <w:rPr>
          <w:sz w:val="22"/>
          <w:szCs w:val="22"/>
        </w:rPr>
      </w:pPr>
      <w:r w:rsidRPr="00295E71">
        <w:rPr>
          <w:sz w:val="22"/>
          <w:szCs w:val="22"/>
          <w:lang w:eastAsia="en-US"/>
        </w:rPr>
        <w:t xml:space="preserve">Alla settimana 12, una percentuale significativamente maggiore di pazienti trattati con Humira </w:t>
      </w:r>
      <w:r w:rsidRPr="00295E71">
        <w:rPr>
          <w:i/>
          <w:sz w:val="22"/>
          <w:szCs w:val="22"/>
          <w:lang w:eastAsia="en-US"/>
        </w:rPr>
        <w:t xml:space="preserve">verso </w:t>
      </w:r>
      <w:r w:rsidRPr="00295E71">
        <w:rPr>
          <w:sz w:val="22"/>
          <w:szCs w:val="22"/>
          <w:lang w:eastAsia="en-US"/>
        </w:rPr>
        <w:t xml:space="preserve">placebo ha raggiunto HiSCR. Alla settimana 12, una percentuale significativamente superiore di pazienti nello Studio HS-II ha mostrato una diminuzione clinicamente rilevante del dolore cutaneo riferito all’Idrosadenite Suppurativa (HS) (vedere Tabella </w:t>
      </w:r>
      <w:r w:rsidR="0062664F">
        <w:rPr>
          <w:sz w:val="22"/>
          <w:szCs w:val="22"/>
          <w:lang w:eastAsia="en-US"/>
        </w:rPr>
        <w:t>19</w:t>
      </w:r>
      <w:r w:rsidRPr="00295E71">
        <w:rPr>
          <w:sz w:val="22"/>
          <w:szCs w:val="22"/>
          <w:lang w:eastAsia="en-US"/>
        </w:rPr>
        <w:t>). I pazienti trattati con Humira presentavano un rischio significativamente ridotto di riacutizzazione della malattia durante le 12 settimane iniziali di trattamento.</w:t>
      </w:r>
    </w:p>
    <w:p w:rsidR="006224C2" w:rsidRPr="00295E71" w14:paraId="79FA639E" w14:textId="77777777">
      <w:pPr>
        <w:rPr>
          <w:b/>
          <w:sz w:val="22"/>
          <w:szCs w:val="22"/>
          <w:lang w:eastAsia="en-US"/>
        </w:rPr>
      </w:pPr>
    </w:p>
    <w:p w:rsidR="006224C2" w:rsidRPr="00295E71" w14:paraId="15CC9DEF" w14:textId="77777777">
      <w:pPr>
        <w:keepNext/>
        <w:keepLines/>
        <w:jc w:val="center"/>
        <w:rPr>
          <w:b/>
          <w:sz w:val="22"/>
          <w:szCs w:val="22"/>
        </w:rPr>
      </w:pPr>
      <w:r w:rsidRPr="00295E71">
        <w:rPr>
          <w:b/>
          <w:sz w:val="22"/>
          <w:szCs w:val="22"/>
          <w:lang w:eastAsia="en-US"/>
        </w:rPr>
        <w:t xml:space="preserve">Tabella </w:t>
      </w:r>
      <w:r w:rsidR="0062664F">
        <w:rPr>
          <w:b/>
          <w:sz w:val="22"/>
          <w:szCs w:val="22"/>
          <w:lang w:eastAsia="en-US"/>
        </w:rPr>
        <w:t>19</w:t>
      </w:r>
      <w:r w:rsidRPr="00295E71">
        <w:rPr>
          <w:b/>
          <w:sz w:val="22"/>
          <w:szCs w:val="22"/>
          <w:lang w:eastAsia="en-US"/>
        </w:rPr>
        <w:t>: Risultati di efficacia a 12 settimane, Studi HS I e II</w:t>
      </w:r>
    </w:p>
    <w:p w:rsidR="006224C2" w:rsidRPr="00295E71" w14:paraId="65D3A546" w14:textId="77777777">
      <w:pPr>
        <w:keepNext/>
        <w:keepLines/>
        <w:rPr>
          <w:sz w:val="22"/>
          <w:szCs w:val="22"/>
          <w:lang w:eastAsia="en-US"/>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2847"/>
        <w:gridCol w:w="1440"/>
        <w:gridCol w:w="1746"/>
        <w:gridCol w:w="1404"/>
        <w:gridCol w:w="1856"/>
      </w:tblGrid>
      <w:tr w14:paraId="3111DBA4" w14:textId="77777777">
        <w:tblPrEx>
          <w:tblW w:w="9293" w:type="dxa"/>
          <w:tblLook w:val="04A0"/>
        </w:tblPrEx>
        <w:tc>
          <w:tcPr>
            <w:tcW w:w="2847" w:type="dxa"/>
            <w:vMerge w:val="restart"/>
            <w:tcMar>
              <w:top w:w="0" w:type="dxa"/>
              <w:left w:w="115" w:type="dxa"/>
              <w:bottom w:w="0" w:type="dxa"/>
              <w:right w:w="115" w:type="dxa"/>
            </w:tcMar>
            <w:vAlign w:val="bottom"/>
          </w:tcPr>
          <w:p w:rsidR="006224C2" w:rsidRPr="00295E71" w14:paraId="03786B44" w14:textId="77777777">
            <w:pPr>
              <w:keepNext/>
              <w:keepLines/>
              <w:rPr>
                <w:b/>
                <w:sz w:val="22"/>
                <w:szCs w:val="22"/>
              </w:rPr>
            </w:pPr>
          </w:p>
        </w:tc>
        <w:tc>
          <w:tcPr>
            <w:tcW w:w="3186" w:type="dxa"/>
            <w:gridSpan w:val="2"/>
            <w:tcMar>
              <w:top w:w="0" w:type="dxa"/>
              <w:left w:w="115" w:type="dxa"/>
              <w:bottom w:w="0" w:type="dxa"/>
              <w:right w:w="115" w:type="dxa"/>
            </w:tcMar>
            <w:vAlign w:val="bottom"/>
          </w:tcPr>
          <w:p w:rsidR="006224C2" w:rsidRPr="00295E71" w14:paraId="3DB7B458" w14:textId="77777777">
            <w:pPr>
              <w:keepNext/>
              <w:keepLines/>
              <w:jc w:val="center"/>
              <w:rPr>
                <w:b/>
                <w:bCs/>
                <w:sz w:val="22"/>
                <w:szCs w:val="22"/>
              </w:rPr>
            </w:pPr>
            <w:r w:rsidRPr="00295E71">
              <w:rPr>
                <w:b/>
                <w:bCs/>
                <w:sz w:val="22"/>
                <w:szCs w:val="22"/>
              </w:rPr>
              <w:t>Studio HS I</w:t>
            </w:r>
          </w:p>
        </w:tc>
        <w:tc>
          <w:tcPr>
            <w:tcW w:w="3260" w:type="dxa"/>
            <w:gridSpan w:val="2"/>
            <w:tcMar>
              <w:top w:w="0" w:type="dxa"/>
              <w:left w:w="115" w:type="dxa"/>
              <w:bottom w:w="0" w:type="dxa"/>
              <w:right w:w="115" w:type="dxa"/>
            </w:tcMar>
            <w:vAlign w:val="bottom"/>
          </w:tcPr>
          <w:p w:rsidR="006224C2" w:rsidRPr="00295E71" w14:paraId="4B8E66FD" w14:textId="77777777">
            <w:pPr>
              <w:keepNext/>
              <w:keepLines/>
              <w:jc w:val="center"/>
              <w:rPr>
                <w:b/>
                <w:bCs/>
                <w:sz w:val="22"/>
                <w:szCs w:val="22"/>
              </w:rPr>
            </w:pPr>
            <w:r w:rsidRPr="00295E71">
              <w:rPr>
                <w:b/>
                <w:bCs/>
                <w:sz w:val="22"/>
                <w:szCs w:val="22"/>
              </w:rPr>
              <w:t>Studio HS II</w:t>
            </w:r>
          </w:p>
        </w:tc>
      </w:tr>
      <w:tr w14:paraId="606F9862" w14:textId="77777777">
        <w:tblPrEx>
          <w:tblW w:w="9293" w:type="dxa"/>
          <w:tblLook w:val="04A0"/>
        </w:tblPrEx>
        <w:tc>
          <w:tcPr>
            <w:tcW w:w="2847" w:type="dxa"/>
            <w:vMerge/>
            <w:tcMar>
              <w:top w:w="0" w:type="dxa"/>
              <w:left w:w="115" w:type="dxa"/>
              <w:bottom w:w="0" w:type="dxa"/>
              <w:right w:w="115" w:type="dxa"/>
            </w:tcMar>
            <w:vAlign w:val="center"/>
            <w:hideMark/>
          </w:tcPr>
          <w:p w:rsidR="006224C2" w:rsidRPr="00295E71" w14:paraId="1523F35B" w14:textId="77777777">
            <w:pPr>
              <w:keepNext/>
              <w:keepLines/>
              <w:rPr>
                <w:sz w:val="22"/>
                <w:szCs w:val="22"/>
              </w:rPr>
            </w:pPr>
          </w:p>
        </w:tc>
        <w:tc>
          <w:tcPr>
            <w:tcW w:w="1440" w:type="dxa"/>
            <w:tcMar>
              <w:top w:w="0" w:type="dxa"/>
              <w:left w:w="115" w:type="dxa"/>
              <w:bottom w:w="0" w:type="dxa"/>
              <w:right w:w="115" w:type="dxa"/>
            </w:tcMar>
            <w:vAlign w:val="bottom"/>
            <w:hideMark/>
          </w:tcPr>
          <w:p w:rsidR="006224C2" w:rsidRPr="00295E71" w14:paraId="1F3B9632" w14:textId="77777777">
            <w:pPr>
              <w:keepNext/>
              <w:keepLines/>
              <w:jc w:val="center"/>
              <w:rPr>
                <w:sz w:val="22"/>
                <w:szCs w:val="22"/>
              </w:rPr>
            </w:pPr>
            <w:r w:rsidRPr="00295E71">
              <w:rPr>
                <w:b/>
                <w:bCs/>
                <w:sz w:val="22"/>
                <w:szCs w:val="22"/>
              </w:rPr>
              <w:t>Placebo</w:t>
            </w:r>
          </w:p>
        </w:tc>
        <w:tc>
          <w:tcPr>
            <w:tcW w:w="1746" w:type="dxa"/>
            <w:tcMar>
              <w:top w:w="0" w:type="dxa"/>
              <w:left w:w="115" w:type="dxa"/>
              <w:bottom w:w="0" w:type="dxa"/>
              <w:right w:w="115" w:type="dxa"/>
            </w:tcMar>
            <w:vAlign w:val="bottom"/>
            <w:hideMark/>
          </w:tcPr>
          <w:p w:rsidR="006224C2" w:rsidRPr="00295E71" w14:paraId="4BFDAF1D" w14:textId="77777777">
            <w:pPr>
              <w:keepNext/>
              <w:keepLines/>
              <w:jc w:val="center"/>
              <w:rPr>
                <w:b/>
                <w:bCs/>
                <w:sz w:val="22"/>
                <w:szCs w:val="22"/>
              </w:rPr>
            </w:pPr>
            <w:r w:rsidRPr="00295E71">
              <w:rPr>
                <w:b/>
                <w:bCs/>
                <w:sz w:val="22"/>
                <w:szCs w:val="22"/>
              </w:rPr>
              <w:t>Humira 40 mg a settimana</w:t>
            </w:r>
          </w:p>
        </w:tc>
        <w:tc>
          <w:tcPr>
            <w:tcW w:w="1404" w:type="dxa"/>
            <w:tcMar>
              <w:top w:w="0" w:type="dxa"/>
              <w:left w:w="115" w:type="dxa"/>
              <w:bottom w:w="0" w:type="dxa"/>
              <w:right w:w="115" w:type="dxa"/>
            </w:tcMar>
            <w:vAlign w:val="bottom"/>
            <w:hideMark/>
          </w:tcPr>
          <w:p w:rsidR="006224C2" w:rsidRPr="00295E71" w14:paraId="5E33D927" w14:textId="77777777">
            <w:pPr>
              <w:keepNext/>
              <w:keepLines/>
              <w:jc w:val="center"/>
              <w:rPr>
                <w:b/>
                <w:bCs/>
                <w:sz w:val="22"/>
                <w:szCs w:val="22"/>
              </w:rPr>
            </w:pPr>
            <w:r w:rsidRPr="00295E71">
              <w:rPr>
                <w:b/>
                <w:bCs/>
                <w:sz w:val="22"/>
                <w:szCs w:val="22"/>
              </w:rPr>
              <w:t xml:space="preserve">Placebo </w:t>
            </w:r>
          </w:p>
        </w:tc>
        <w:tc>
          <w:tcPr>
            <w:tcW w:w="1856" w:type="dxa"/>
            <w:tcMar>
              <w:top w:w="0" w:type="dxa"/>
              <w:left w:w="115" w:type="dxa"/>
              <w:bottom w:w="0" w:type="dxa"/>
              <w:right w:w="115" w:type="dxa"/>
            </w:tcMar>
            <w:vAlign w:val="bottom"/>
            <w:hideMark/>
          </w:tcPr>
          <w:p w:rsidR="006224C2" w:rsidRPr="00295E71" w14:paraId="061EA369" w14:textId="77777777">
            <w:pPr>
              <w:keepNext/>
              <w:keepLines/>
              <w:jc w:val="center"/>
              <w:rPr>
                <w:b/>
                <w:bCs/>
                <w:sz w:val="22"/>
                <w:szCs w:val="22"/>
              </w:rPr>
            </w:pPr>
            <w:r w:rsidRPr="00295E71">
              <w:rPr>
                <w:b/>
                <w:bCs/>
                <w:sz w:val="22"/>
                <w:szCs w:val="22"/>
              </w:rPr>
              <w:t>Humira 40 mg a settimana</w:t>
            </w:r>
          </w:p>
        </w:tc>
      </w:tr>
      <w:tr w14:paraId="798455FB" w14:textId="77777777">
        <w:tblPrEx>
          <w:tblW w:w="9293" w:type="dxa"/>
          <w:tblLook w:val="04A0"/>
        </w:tblPrEx>
        <w:trPr>
          <w:trHeight w:val="755"/>
        </w:trPr>
        <w:tc>
          <w:tcPr>
            <w:tcW w:w="2847" w:type="dxa"/>
            <w:tcMar>
              <w:top w:w="0" w:type="dxa"/>
              <w:left w:w="115" w:type="dxa"/>
              <w:bottom w:w="0" w:type="dxa"/>
              <w:right w:w="115" w:type="dxa"/>
            </w:tcMar>
            <w:vAlign w:val="center"/>
            <w:hideMark/>
          </w:tcPr>
          <w:p w:rsidR="006224C2" w:rsidRPr="00295E71" w14:paraId="3435CC02" w14:textId="77777777">
            <w:pPr>
              <w:keepNext/>
              <w:keepLines/>
              <w:rPr>
                <w:sz w:val="22"/>
                <w:szCs w:val="22"/>
              </w:rPr>
            </w:pPr>
            <w:r w:rsidRPr="00295E71">
              <w:rPr>
                <w:sz w:val="22"/>
                <w:szCs w:val="22"/>
              </w:rPr>
              <w:t>Hidradenitis Suppurativa Clinical Response (HiSCR)</w:t>
            </w:r>
            <w:r w:rsidRPr="00295E71">
              <w:rPr>
                <w:sz w:val="22"/>
                <w:szCs w:val="22"/>
                <w:vertAlign w:val="superscript"/>
              </w:rPr>
              <w:t>a</w:t>
            </w:r>
          </w:p>
          <w:p w:rsidR="006224C2" w:rsidRPr="00295E71" w14:paraId="0EE02B7E" w14:textId="77777777">
            <w:pPr>
              <w:keepNext/>
              <w:keepLines/>
              <w:rPr>
                <w:sz w:val="22"/>
                <w:szCs w:val="22"/>
              </w:rPr>
            </w:pPr>
          </w:p>
        </w:tc>
        <w:tc>
          <w:tcPr>
            <w:tcW w:w="1440" w:type="dxa"/>
            <w:tcMar>
              <w:top w:w="0" w:type="dxa"/>
              <w:left w:w="115" w:type="dxa"/>
              <w:bottom w:w="0" w:type="dxa"/>
              <w:right w:w="115" w:type="dxa"/>
            </w:tcMar>
            <w:hideMark/>
          </w:tcPr>
          <w:p w:rsidR="006224C2" w:rsidRPr="00295E71" w14:paraId="48F12E2E" w14:textId="77777777">
            <w:pPr>
              <w:keepNext/>
              <w:keepLines/>
              <w:jc w:val="center"/>
              <w:rPr>
                <w:sz w:val="22"/>
                <w:szCs w:val="22"/>
              </w:rPr>
            </w:pPr>
            <w:r w:rsidRPr="00295E71">
              <w:rPr>
                <w:sz w:val="22"/>
                <w:szCs w:val="22"/>
              </w:rPr>
              <w:t>N = 154</w:t>
            </w:r>
            <w:r w:rsidRPr="00295E71">
              <w:rPr>
                <w:sz w:val="22"/>
                <w:szCs w:val="22"/>
              </w:rPr>
              <w:br/>
              <w:t>40 (26,0%)</w:t>
            </w:r>
          </w:p>
        </w:tc>
        <w:tc>
          <w:tcPr>
            <w:tcW w:w="1746" w:type="dxa"/>
            <w:tcMar>
              <w:top w:w="0" w:type="dxa"/>
              <w:left w:w="115" w:type="dxa"/>
              <w:bottom w:w="0" w:type="dxa"/>
              <w:right w:w="115" w:type="dxa"/>
            </w:tcMar>
            <w:hideMark/>
          </w:tcPr>
          <w:p w:rsidR="006224C2" w:rsidRPr="00295E71" w14:paraId="67857765" w14:textId="77777777">
            <w:pPr>
              <w:keepNext/>
              <w:keepLines/>
              <w:jc w:val="center"/>
              <w:rPr>
                <w:sz w:val="22"/>
                <w:szCs w:val="22"/>
              </w:rPr>
            </w:pPr>
            <w:r w:rsidRPr="00295E71">
              <w:rPr>
                <w:sz w:val="22"/>
                <w:szCs w:val="22"/>
              </w:rPr>
              <w:t>N = 153</w:t>
            </w:r>
            <w:r w:rsidRPr="00295E71">
              <w:rPr>
                <w:sz w:val="22"/>
                <w:szCs w:val="22"/>
              </w:rPr>
              <w:br/>
              <w:t xml:space="preserve">64 (41,8%) </w:t>
            </w:r>
            <w:r w:rsidRPr="00295E71">
              <w:rPr>
                <w:sz w:val="22"/>
                <w:szCs w:val="22"/>
                <w:vertAlign w:val="superscript"/>
              </w:rPr>
              <w:t>*</w:t>
            </w:r>
          </w:p>
        </w:tc>
        <w:tc>
          <w:tcPr>
            <w:tcW w:w="1404" w:type="dxa"/>
            <w:tcMar>
              <w:top w:w="0" w:type="dxa"/>
              <w:left w:w="115" w:type="dxa"/>
              <w:bottom w:w="0" w:type="dxa"/>
              <w:right w:w="115" w:type="dxa"/>
            </w:tcMar>
          </w:tcPr>
          <w:p w:rsidR="006224C2" w:rsidRPr="00295E71" w14:paraId="064251FC" w14:textId="77777777">
            <w:pPr>
              <w:keepNext/>
              <w:keepLines/>
              <w:jc w:val="center"/>
              <w:rPr>
                <w:sz w:val="22"/>
                <w:szCs w:val="22"/>
              </w:rPr>
            </w:pPr>
            <w:r w:rsidRPr="00295E71">
              <w:rPr>
                <w:sz w:val="22"/>
                <w:szCs w:val="22"/>
              </w:rPr>
              <w:t>N=163</w:t>
            </w:r>
          </w:p>
          <w:p w:rsidR="006224C2" w:rsidRPr="00295E71" w14:paraId="394FE06D" w14:textId="77777777">
            <w:pPr>
              <w:keepNext/>
              <w:keepLines/>
              <w:jc w:val="center"/>
              <w:rPr>
                <w:sz w:val="22"/>
                <w:szCs w:val="22"/>
              </w:rPr>
            </w:pPr>
            <w:r w:rsidRPr="00295E71">
              <w:rPr>
                <w:sz w:val="22"/>
                <w:szCs w:val="22"/>
              </w:rPr>
              <w:t>45 (27,6%)</w:t>
            </w:r>
          </w:p>
        </w:tc>
        <w:tc>
          <w:tcPr>
            <w:tcW w:w="1856" w:type="dxa"/>
            <w:tcMar>
              <w:top w:w="0" w:type="dxa"/>
              <w:left w:w="115" w:type="dxa"/>
              <w:bottom w:w="0" w:type="dxa"/>
              <w:right w:w="115" w:type="dxa"/>
            </w:tcMar>
          </w:tcPr>
          <w:p w:rsidR="006224C2" w:rsidRPr="00295E71" w14:paraId="4861920F" w14:textId="77777777">
            <w:pPr>
              <w:keepNext/>
              <w:keepLines/>
              <w:jc w:val="center"/>
              <w:rPr>
                <w:sz w:val="22"/>
                <w:szCs w:val="22"/>
              </w:rPr>
            </w:pPr>
            <w:r w:rsidRPr="00295E71">
              <w:rPr>
                <w:sz w:val="22"/>
                <w:szCs w:val="22"/>
              </w:rPr>
              <w:t>N=163</w:t>
            </w:r>
          </w:p>
          <w:p w:rsidR="006224C2" w:rsidRPr="00295E71" w14:paraId="622D28D5" w14:textId="77777777">
            <w:pPr>
              <w:keepNext/>
              <w:keepLines/>
              <w:jc w:val="center"/>
              <w:rPr>
                <w:sz w:val="22"/>
                <w:szCs w:val="22"/>
              </w:rPr>
            </w:pPr>
            <w:r w:rsidRPr="00295E71">
              <w:rPr>
                <w:sz w:val="22"/>
                <w:szCs w:val="22"/>
              </w:rPr>
              <w:t xml:space="preserve">96 (58,9%) </w:t>
            </w:r>
            <w:r w:rsidRPr="00295E71">
              <w:rPr>
                <w:sz w:val="22"/>
                <w:szCs w:val="22"/>
                <w:vertAlign w:val="superscript"/>
              </w:rPr>
              <w:t>***</w:t>
            </w:r>
          </w:p>
        </w:tc>
      </w:tr>
      <w:tr w14:paraId="39685B25" w14:textId="77777777">
        <w:tblPrEx>
          <w:tblW w:w="9293" w:type="dxa"/>
          <w:tblLook w:val="04A0"/>
        </w:tblPrEx>
        <w:tc>
          <w:tcPr>
            <w:tcW w:w="2847" w:type="dxa"/>
            <w:tcMar>
              <w:top w:w="0" w:type="dxa"/>
              <w:left w:w="115" w:type="dxa"/>
              <w:bottom w:w="0" w:type="dxa"/>
              <w:right w:w="115" w:type="dxa"/>
            </w:tcMar>
            <w:vAlign w:val="center"/>
            <w:hideMark/>
          </w:tcPr>
          <w:p w:rsidR="006224C2" w:rsidRPr="00295E71" w14:paraId="64E37FE2" w14:textId="77777777">
            <w:pPr>
              <w:keepNext/>
              <w:keepLines/>
              <w:rPr>
                <w:sz w:val="22"/>
                <w:szCs w:val="22"/>
              </w:rPr>
            </w:pPr>
            <w:r w:rsidRPr="00295E71">
              <w:rPr>
                <w:sz w:val="22"/>
                <w:szCs w:val="22"/>
              </w:rPr>
              <w:t>≥30% Riduzione di Dolore cutaneo</w:t>
            </w:r>
            <w:r w:rsidRPr="00295E71">
              <w:rPr>
                <w:sz w:val="22"/>
                <w:szCs w:val="22"/>
                <w:vertAlign w:val="superscript"/>
              </w:rPr>
              <w:t>b</w:t>
            </w:r>
          </w:p>
        </w:tc>
        <w:tc>
          <w:tcPr>
            <w:tcW w:w="1440" w:type="dxa"/>
            <w:tcMar>
              <w:top w:w="0" w:type="dxa"/>
              <w:left w:w="115" w:type="dxa"/>
              <w:bottom w:w="0" w:type="dxa"/>
              <w:right w:w="115" w:type="dxa"/>
            </w:tcMar>
            <w:hideMark/>
          </w:tcPr>
          <w:p w:rsidR="006224C2" w:rsidRPr="00295E71" w14:paraId="06ADEB21" w14:textId="77777777">
            <w:pPr>
              <w:keepNext/>
              <w:keepLines/>
              <w:jc w:val="center"/>
              <w:rPr>
                <w:sz w:val="22"/>
                <w:szCs w:val="22"/>
              </w:rPr>
            </w:pPr>
            <w:r w:rsidRPr="00295E71">
              <w:rPr>
                <w:sz w:val="22"/>
                <w:szCs w:val="22"/>
              </w:rPr>
              <w:t>N = 109</w:t>
            </w:r>
            <w:r w:rsidRPr="00295E71">
              <w:rPr>
                <w:sz w:val="22"/>
                <w:szCs w:val="22"/>
              </w:rPr>
              <w:br/>
              <w:t>27 (24,8%)</w:t>
            </w:r>
          </w:p>
        </w:tc>
        <w:tc>
          <w:tcPr>
            <w:tcW w:w="1746" w:type="dxa"/>
            <w:tcMar>
              <w:top w:w="0" w:type="dxa"/>
              <w:left w:w="115" w:type="dxa"/>
              <w:bottom w:w="0" w:type="dxa"/>
              <w:right w:w="115" w:type="dxa"/>
            </w:tcMar>
            <w:hideMark/>
          </w:tcPr>
          <w:p w:rsidR="006224C2" w:rsidRPr="00295E71" w14:paraId="59220549" w14:textId="77777777">
            <w:pPr>
              <w:keepNext/>
              <w:keepLines/>
              <w:jc w:val="center"/>
              <w:rPr>
                <w:sz w:val="22"/>
                <w:szCs w:val="22"/>
              </w:rPr>
            </w:pPr>
            <w:r w:rsidRPr="00295E71">
              <w:rPr>
                <w:sz w:val="22"/>
                <w:szCs w:val="22"/>
              </w:rPr>
              <w:t>N = 122</w:t>
            </w:r>
            <w:r w:rsidRPr="00295E71">
              <w:rPr>
                <w:sz w:val="22"/>
                <w:szCs w:val="22"/>
              </w:rPr>
              <w:br/>
              <w:t>34 (27,9%)</w:t>
            </w:r>
          </w:p>
        </w:tc>
        <w:tc>
          <w:tcPr>
            <w:tcW w:w="1404" w:type="dxa"/>
            <w:tcMar>
              <w:top w:w="0" w:type="dxa"/>
              <w:left w:w="115" w:type="dxa"/>
              <w:bottom w:w="0" w:type="dxa"/>
              <w:right w:w="115" w:type="dxa"/>
            </w:tcMar>
          </w:tcPr>
          <w:p w:rsidR="006224C2" w:rsidRPr="00295E71" w14:paraId="0931B97C" w14:textId="77777777">
            <w:pPr>
              <w:keepNext/>
              <w:keepLines/>
              <w:jc w:val="center"/>
              <w:rPr>
                <w:sz w:val="22"/>
                <w:szCs w:val="22"/>
              </w:rPr>
            </w:pPr>
            <w:r w:rsidRPr="00295E71">
              <w:rPr>
                <w:sz w:val="22"/>
                <w:szCs w:val="22"/>
              </w:rPr>
              <w:t>N=111</w:t>
            </w:r>
          </w:p>
          <w:p w:rsidR="006224C2" w:rsidRPr="00295E71" w14:paraId="53A5761B" w14:textId="77777777">
            <w:pPr>
              <w:keepNext/>
              <w:keepLines/>
              <w:jc w:val="center"/>
              <w:rPr>
                <w:sz w:val="22"/>
                <w:szCs w:val="22"/>
              </w:rPr>
            </w:pPr>
            <w:r w:rsidRPr="00295E71">
              <w:rPr>
                <w:sz w:val="22"/>
                <w:szCs w:val="22"/>
              </w:rPr>
              <w:t>23 (20,7%)</w:t>
            </w:r>
          </w:p>
        </w:tc>
        <w:tc>
          <w:tcPr>
            <w:tcW w:w="1856" w:type="dxa"/>
            <w:tcMar>
              <w:top w:w="0" w:type="dxa"/>
              <w:left w:w="115" w:type="dxa"/>
              <w:bottom w:w="0" w:type="dxa"/>
              <w:right w:w="115" w:type="dxa"/>
            </w:tcMar>
          </w:tcPr>
          <w:p w:rsidR="006224C2" w:rsidRPr="00295E71" w14:paraId="0DB0BC28" w14:textId="77777777">
            <w:pPr>
              <w:keepNext/>
              <w:keepLines/>
              <w:jc w:val="center"/>
              <w:rPr>
                <w:sz w:val="22"/>
                <w:szCs w:val="22"/>
              </w:rPr>
            </w:pPr>
            <w:r w:rsidRPr="00295E71">
              <w:rPr>
                <w:sz w:val="22"/>
                <w:szCs w:val="22"/>
              </w:rPr>
              <w:t>N=105</w:t>
            </w:r>
          </w:p>
          <w:p w:rsidR="006224C2" w:rsidRPr="00295E71" w14:paraId="502F15E9" w14:textId="77777777">
            <w:pPr>
              <w:keepNext/>
              <w:keepLines/>
              <w:jc w:val="center"/>
              <w:rPr>
                <w:sz w:val="22"/>
                <w:szCs w:val="22"/>
              </w:rPr>
            </w:pPr>
            <w:r w:rsidRPr="00295E71">
              <w:rPr>
                <w:sz w:val="22"/>
                <w:szCs w:val="22"/>
              </w:rPr>
              <w:t xml:space="preserve">48 (45,7%) </w:t>
            </w:r>
            <w:r w:rsidRPr="00295E71">
              <w:rPr>
                <w:sz w:val="22"/>
                <w:szCs w:val="22"/>
                <w:vertAlign w:val="superscript"/>
              </w:rPr>
              <w:t>***</w:t>
            </w:r>
          </w:p>
        </w:tc>
      </w:tr>
      <w:tr w14:paraId="7A32D3E1" w14:textId="77777777">
        <w:tblPrEx>
          <w:tblW w:w="9293" w:type="dxa"/>
          <w:tblLook w:val="04A0"/>
        </w:tblPrEx>
        <w:tc>
          <w:tcPr>
            <w:tcW w:w="9293" w:type="dxa"/>
            <w:gridSpan w:val="5"/>
            <w:tcMar>
              <w:top w:w="0" w:type="dxa"/>
              <w:left w:w="115" w:type="dxa"/>
              <w:bottom w:w="0" w:type="dxa"/>
              <w:right w:w="115" w:type="dxa"/>
            </w:tcMar>
            <w:vAlign w:val="center"/>
          </w:tcPr>
          <w:p w:rsidR="006224C2" w:rsidRPr="00295E71" w14:paraId="737D6990" w14:textId="77777777">
            <w:pPr>
              <w:keepNext/>
              <w:keepLines/>
              <w:ind w:left="360"/>
              <w:rPr>
                <w:sz w:val="22"/>
                <w:szCs w:val="22"/>
              </w:rPr>
            </w:pPr>
            <w:r w:rsidRPr="00295E71">
              <w:rPr>
                <w:sz w:val="22"/>
                <w:szCs w:val="22"/>
              </w:rPr>
              <w:t xml:space="preserve">* </w:t>
            </w:r>
            <w:r w:rsidRPr="00295E71">
              <w:rPr>
                <w:i/>
                <w:sz w:val="22"/>
                <w:szCs w:val="22"/>
              </w:rPr>
              <w:t>P</w:t>
            </w:r>
            <w:r w:rsidRPr="00295E71">
              <w:rPr>
                <w:sz w:val="22"/>
                <w:szCs w:val="22"/>
              </w:rPr>
              <w:t>&lt; 0,05, ***</w:t>
            </w:r>
            <w:r w:rsidRPr="00295E71">
              <w:rPr>
                <w:i/>
                <w:sz w:val="22"/>
                <w:szCs w:val="22"/>
              </w:rPr>
              <w:t xml:space="preserve">P </w:t>
            </w:r>
            <w:r w:rsidRPr="00295E71">
              <w:rPr>
                <w:sz w:val="22"/>
                <w:szCs w:val="22"/>
              </w:rPr>
              <w:t xml:space="preserve">&lt; 0,001, Humira </w:t>
            </w:r>
            <w:r w:rsidRPr="00295E71">
              <w:rPr>
                <w:i/>
                <w:sz w:val="22"/>
                <w:szCs w:val="22"/>
              </w:rPr>
              <w:t>versus</w:t>
            </w:r>
            <w:r w:rsidRPr="00295E71">
              <w:rPr>
                <w:sz w:val="22"/>
                <w:szCs w:val="22"/>
              </w:rPr>
              <w:t xml:space="preserve"> placebo </w:t>
            </w:r>
          </w:p>
          <w:p w:rsidR="006224C2" w:rsidRPr="00295E71" w14:paraId="2D47B253" w14:textId="77777777">
            <w:pPr>
              <w:keepNext/>
              <w:keepLines/>
              <w:numPr>
                <w:ilvl w:val="0"/>
                <w:numId w:val="83"/>
              </w:numPr>
              <w:spacing w:before="40" w:line="240" w:lineRule="exact"/>
              <w:rPr>
                <w:sz w:val="22"/>
                <w:szCs w:val="22"/>
              </w:rPr>
            </w:pPr>
            <w:r w:rsidRPr="00295E71">
              <w:rPr>
                <w:sz w:val="22"/>
                <w:szCs w:val="22"/>
              </w:rPr>
              <w:t>Tra tutti i pazienti randomizzati.</w:t>
            </w:r>
          </w:p>
          <w:p w:rsidR="006224C2" w:rsidRPr="00295E71" w14:paraId="3290DB1E" w14:textId="77777777">
            <w:pPr>
              <w:keepNext/>
              <w:keepLines/>
              <w:numPr>
                <w:ilvl w:val="0"/>
                <w:numId w:val="83"/>
              </w:numPr>
              <w:spacing w:before="40" w:line="240" w:lineRule="exact"/>
              <w:rPr>
                <w:sz w:val="22"/>
                <w:szCs w:val="22"/>
              </w:rPr>
            </w:pPr>
            <w:r w:rsidRPr="00295E71">
              <w:rPr>
                <w:sz w:val="22"/>
                <w:szCs w:val="22"/>
              </w:rPr>
              <w:t>Tra i pazienti con una valutazione di dolore cutaneo legato all’Idrosadenite Suppurativa (HS) ≥ 3, in base alla Scala di Valutazione Numerica 0 – 10; 0 = nessun dolore cutaneo, 10 = dolore cutaneo più forte che si possa immaginare.</w:t>
            </w:r>
          </w:p>
        </w:tc>
      </w:tr>
    </w:tbl>
    <w:p w:rsidR="006224C2" w:rsidRPr="00295E71" w14:paraId="0AF7519B" w14:textId="77777777">
      <w:pPr>
        <w:rPr>
          <w:sz w:val="22"/>
          <w:szCs w:val="22"/>
          <w:lang w:eastAsia="en-US"/>
        </w:rPr>
      </w:pPr>
    </w:p>
    <w:p w:rsidR="006224C2" w:rsidRPr="00295E71" w14:paraId="4D026C51" w14:textId="77777777">
      <w:pPr>
        <w:rPr>
          <w:sz w:val="22"/>
          <w:szCs w:val="22"/>
        </w:rPr>
      </w:pPr>
      <w:r w:rsidRPr="00295E71">
        <w:rPr>
          <w:sz w:val="22"/>
          <w:szCs w:val="22"/>
        </w:rPr>
        <w:t xml:space="preserve">Il trattamento con Humira 40 mg ogni settimana ha ridotto in maniera significativa il rischio di peggioramento di ascessi e fistole drenanti. Nelle prime 12 settimane degli Studi HS-I e HS-II, nel gruppo con placebo circa il doppio della percentuale dei pazienti ha avuto un peggioramento degli ascessi (23,0% vs 11,4%, rispettivamente) e delle fistole drenanti (30,0% vs 13,9%, rispettivamente) rispetto ai pazienti nel gruppo con Humira. </w:t>
      </w:r>
    </w:p>
    <w:p w:rsidR="006224C2" w:rsidRPr="00295E71" w14:paraId="7102446D" w14:textId="77777777">
      <w:pPr>
        <w:rPr>
          <w:sz w:val="22"/>
          <w:szCs w:val="22"/>
        </w:rPr>
      </w:pPr>
    </w:p>
    <w:p w:rsidR="006224C2" w:rsidRPr="00295E71" w14:paraId="7F08041A"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Miglioramenti maggiori della qualità della vita, definita come stato di salute generale correlato alla patologia cutanea e misurato attraverso il Dermatology Life Quality Index (DLQI; Studi HS-I e HS-II),sono stati dimostrati alla settimana 12 a partire dal valore basale rispetto al placebo, la soddisfazione globale dei pazienti in trattamento con il medicinale, misurata con il questionario Treatment Satisfaction Questionnaire - medication (TSQM; Studi HS-I e HS-II), e salute fisica misurata attraverso il Physical Component Summary Score del SF-36 (Studio HS-I).</w:t>
      </w:r>
    </w:p>
    <w:p w:rsidR="006224C2" w:rsidRPr="00295E71" w14:paraId="7192590C" w14:textId="77777777">
      <w:pPr>
        <w:tabs>
          <w:tab w:val="left" w:pos="567"/>
          <w:tab w:val="left" w:pos="1294"/>
        </w:tabs>
        <w:autoSpaceDE w:val="0"/>
        <w:autoSpaceDN w:val="0"/>
        <w:adjustRightInd w:val="0"/>
        <w:jc w:val="both"/>
        <w:rPr>
          <w:color w:val="000000"/>
          <w:sz w:val="22"/>
          <w:szCs w:val="22"/>
        </w:rPr>
      </w:pPr>
    </w:p>
    <w:p w:rsidR="006224C2" w:rsidRPr="00295E71" w14:paraId="166F0817"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Nei pazienti che alla settimana 12 avevano una risposta almeno parziale ad Humira 40 mg somministrato ogni settimana, la percentuale di HiSCR alla settimana 36 era superiore nei pazienti che avevano continuato Humira ogni settimana rispetto ai pazienti in cui la frequenza di somministrazione era stata ridotta a settimane alterne, o nei quali era stato sospeso il trattamento (vedere Tabella </w:t>
      </w:r>
      <w:r w:rsidRPr="00295E71" w:rsidR="00C457AE">
        <w:rPr>
          <w:color w:val="000000"/>
          <w:sz w:val="22"/>
          <w:szCs w:val="22"/>
        </w:rPr>
        <w:t>2</w:t>
      </w:r>
      <w:r w:rsidR="0062664F">
        <w:rPr>
          <w:color w:val="000000"/>
          <w:sz w:val="22"/>
          <w:szCs w:val="22"/>
        </w:rPr>
        <w:t>0</w:t>
      </w:r>
      <w:r w:rsidRPr="00295E71">
        <w:rPr>
          <w:color w:val="000000"/>
          <w:sz w:val="22"/>
          <w:szCs w:val="22"/>
        </w:rPr>
        <w:t>).</w:t>
      </w:r>
    </w:p>
    <w:p w:rsidR="006224C2" w:rsidRPr="00295E71" w14:paraId="3C960F08" w14:textId="77777777">
      <w:pPr>
        <w:tabs>
          <w:tab w:val="left" w:pos="567"/>
          <w:tab w:val="left" w:pos="1294"/>
        </w:tabs>
        <w:autoSpaceDE w:val="0"/>
        <w:autoSpaceDN w:val="0"/>
        <w:adjustRightInd w:val="0"/>
        <w:jc w:val="both"/>
        <w:rPr>
          <w:color w:val="000000"/>
          <w:sz w:val="22"/>
          <w:szCs w:val="22"/>
        </w:rPr>
      </w:pPr>
    </w:p>
    <w:p w:rsidR="006224C2" w:rsidRPr="00295E71" w14:paraId="63CB73FB" w14:textId="77777777">
      <w:pPr>
        <w:keepNext/>
        <w:rPr>
          <w:b/>
          <w:color w:val="000000"/>
          <w:sz w:val="22"/>
          <w:szCs w:val="22"/>
        </w:rPr>
      </w:pPr>
      <w:r w:rsidRPr="00295E71">
        <w:rPr>
          <w:b/>
          <w:color w:val="000000"/>
          <w:sz w:val="22"/>
          <w:szCs w:val="22"/>
        </w:rPr>
        <w:t xml:space="preserve">Tabella </w:t>
      </w:r>
      <w:r w:rsidRPr="00295E71" w:rsidR="00C457AE">
        <w:rPr>
          <w:b/>
          <w:color w:val="000000"/>
          <w:sz w:val="22"/>
          <w:szCs w:val="22"/>
        </w:rPr>
        <w:t>2</w:t>
      </w:r>
      <w:r w:rsidR="0062664F">
        <w:rPr>
          <w:b/>
          <w:color w:val="000000"/>
          <w:sz w:val="22"/>
          <w:szCs w:val="22"/>
        </w:rPr>
        <w:t>0</w:t>
      </w:r>
      <w:r w:rsidRPr="00295E71">
        <w:rPr>
          <w:b/>
          <w:color w:val="000000"/>
          <w:sz w:val="22"/>
          <w:szCs w:val="22"/>
        </w:rPr>
        <w:t>: Percentuale di Pazienti</w:t>
      </w:r>
      <w:r w:rsidRPr="00295E71">
        <w:rPr>
          <w:b/>
          <w:color w:val="000000"/>
          <w:sz w:val="22"/>
          <w:szCs w:val="22"/>
          <w:vertAlign w:val="superscript"/>
        </w:rPr>
        <w:t>a</w:t>
      </w:r>
      <w:r w:rsidRPr="00295E71">
        <w:rPr>
          <w:b/>
          <w:color w:val="000000"/>
          <w:sz w:val="22"/>
          <w:szCs w:val="22"/>
        </w:rPr>
        <w:t xml:space="preserve"> che hanno ottenuto HiSCR</w:t>
      </w:r>
      <w:r w:rsidRPr="00295E71">
        <w:rPr>
          <w:b/>
          <w:color w:val="000000"/>
          <w:sz w:val="22"/>
          <w:szCs w:val="22"/>
          <w:vertAlign w:val="superscript"/>
        </w:rPr>
        <w:t xml:space="preserve">b </w:t>
      </w:r>
      <w:r w:rsidRPr="00295E71">
        <w:rPr>
          <w:b/>
          <w:color w:val="000000"/>
          <w:sz w:val="22"/>
          <w:szCs w:val="22"/>
        </w:rPr>
        <w:t>alle settimane 24 e 36 dopo il Riassegnamento del Trattamento alla settimana 12</w:t>
      </w:r>
      <w:r w:rsidR="00DF3D2D">
        <w:rPr>
          <w:b/>
          <w:color w:val="000000"/>
          <w:sz w:val="22"/>
          <w:szCs w:val="22"/>
        </w:rPr>
        <w:t xml:space="preserve"> </w:t>
      </w:r>
      <w:r w:rsidRPr="00295E71">
        <w:rPr>
          <w:b/>
          <w:color w:val="000000"/>
          <w:sz w:val="22"/>
          <w:szCs w:val="22"/>
        </w:rPr>
        <w:t xml:space="preserve">da Humira ogni settimana </w:t>
      </w:r>
    </w:p>
    <w:p w:rsidR="006224C2" w:rsidRPr="00295E71" w14:paraId="0F2D485E" w14:textId="77777777">
      <w:pPr>
        <w:keepNext/>
        <w:tabs>
          <w:tab w:val="left" w:pos="567"/>
          <w:tab w:val="left" w:pos="1294"/>
        </w:tabs>
        <w:autoSpaceDE w:val="0"/>
        <w:autoSpaceDN w:val="0"/>
        <w:adjustRightInd w:val="0"/>
        <w:jc w:val="center"/>
        <w:rPr>
          <w:b/>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7"/>
        <w:gridCol w:w="1980"/>
        <w:gridCol w:w="1980"/>
        <w:gridCol w:w="1855"/>
      </w:tblGrid>
      <w:tr w14:paraId="59049963" w14:textId="77777777">
        <w:tblPrEx>
          <w:tblW w:w="0" w:type="auto"/>
          <w:tblLayout w:type="fixed"/>
          <w:tblLook w:val="0000"/>
        </w:tblPrEx>
        <w:trPr>
          <w:tblHeader/>
        </w:trPr>
        <w:tc>
          <w:tcPr>
            <w:tcW w:w="1437" w:type="dxa"/>
            <w:vAlign w:val="bottom"/>
          </w:tcPr>
          <w:p w:rsidR="006224C2" w:rsidRPr="00295E71" w14:paraId="573DEC01" w14:textId="77777777">
            <w:pPr>
              <w:pStyle w:val="TableLeft"/>
              <w:rPr>
                <w:b/>
                <w:sz w:val="22"/>
                <w:szCs w:val="22"/>
                <w:lang w:val="it-IT"/>
              </w:rPr>
            </w:pPr>
          </w:p>
        </w:tc>
        <w:tc>
          <w:tcPr>
            <w:tcW w:w="1980" w:type="dxa"/>
            <w:vAlign w:val="bottom"/>
          </w:tcPr>
          <w:p w:rsidR="006224C2" w:rsidRPr="00295E71" w14:paraId="7D93C27E" w14:textId="77777777">
            <w:pPr>
              <w:pStyle w:val="TableLeft"/>
              <w:jc w:val="center"/>
              <w:rPr>
                <w:b/>
                <w:sz w:val="22"/>
                <w:szCs w:val="22"/>
                <w:lang w:val="it-IT"/>
              </w:rPr>
            </w:pPr>
            <w:r w:rsidRPr="00295E71">
              <w:rPr>
                <w:b/>
                <w:sz w:val="22"/>
                <w:szCs w:val="22"/>
                <w:lang w:val="it-IT"/>
              </w:rPr>
              <w:t>Placebo</w:t>
            </w:r>
            <w:r w:rsidRPr="00295E71">
              <w:rPr>
                <w:b/>
                <w:sz w:val="22"/>
                <w:szCs w:val="22"/>
                <w:lang w:val="it-IT"/>
              </w:rPr>
              <w:br/>
              <w:t>(trattamento sospeso)</w:t>
            </w:r>
            <w:r w:rsidRPr="00295E71">
              <w:rPr>
                <w:b/>
                <w:sz w:val="22"/>
                <w:szCs w:val="22"/>
                <w:lang w:val="it-IT"/>
              </w:rPr>
              <w:br/>
              <w:t>N = 73</w:t>
            </w:r>
          </w:p>
        </w:tc>
        <w:tc>
          <w:tcPr>
            <w:tcW w:w="1980" w:type="dxa"/>
            <w:vAlign w:val="bottom"/>
          </w:tcPr>
          <w:p w:rsidR="006224C2" w:rsidRPr="00295E71" w14:paraId="28995DB3" w14:textId="77777777">
            <w:pPr>
              <w:pStyle w:val="TableLeft"/>
              <w:jc w:val="center"/>
              <w:rPr>
                <w:b/>
                <w:sz w:val="22"/>
                <w:szCs w:val="22"/>
                <w:lang w:val="it-IT"/>
              </w:rPr>
            </w:pPr>
            <w:r w:rsidRPr="00295E71">
              <w:rPr>
                <w:b/>
                <w:sz w:val="22"/>
                <w:szCs w:val="22"/>
                <w:lang w:val="it-IT"/>
              </w:rPr>
              <w:t>Humira 40 mg</w:t>
            </w:r>
            <w:r w:rsidRPr="00295E71">
              <w:rPr>
                <w:b/>
                <w:sz w:val="22"/>
                <w:szCs w:val="22"/>
                <w:lang w:val="it-IT"/>
              </w:rPr>
              <w:br/>
              <w:t>a settimane alterne</w:t>
            </w:r>
            <w:r w:rsidRPr="00295E71">
              <w:rPr>
                <w:b/>
                <w:sz w:val="22"/>
                <w:szCs w:val="22"/>
                <w:lang w:val="it-IT"/>
              </w:rPr>
              <w:br/>
              <w:t>N = 70</w:t>
            </w:r>
          </w:p>
        </w:tc>
        <w:tc>
          <w:tcPr>
            <w:tcW w:w="1855" w:type="dxa"/>
            <w:vAlign w:val="bottom"/>
          </w:tcPr>
          <w:p w:rsidR="006224C2" w:rsidRPr="00295E71" w14:paraId="1EAC74AB" w14:textId="77777777">
            <w:pPr>
              <w:pStyle w:val="TableLeft"/>
              <w:jc w:val="center"/>
              <w:rPr>
                <w:b/>
                <w:sz w:val="22"/>
                <w:szCs w:val="22"/>
                <w:lang w:val="it-IT"/>
              </w:rPr>
            </w:pPr>
            <w:r w:rsidRPr="00295E71">
              <w:rPr>
                <w:b/>
                <w:sz w:val="22"/>
                <w:szCs w:val="22"/>
                <w:lang w:val="it-IT"/>
              </w:rPr>
              <w:t>Humira 40 mg</w:t>
            </w:r>
            <w:r w:rsidRPr="00295E71">
              <w:rPr>
                <w:b/>
                <w:sz w:val="22"/>
                <w:szCs w:val="22"/>
                <w:lang w:val="it-IT"/>
              </w:rPr>
              <w:br/>
              <w:t>ogni settimana</w:t>
            </w:r>
            <w:r w:rsidRPr="00295E71">
              <w:rPr>
                <w:b/>
                <w:sz w:val="22"/>
                <w:szCs w:val="22"/>
                <w:lang w:val="it-IT"/>
              </w:rPr>
              <w:br/>
              <w:t>N = 70</w:t>
            </w:r>
          </w:p>
        </w:tc>
      </w:tr>
      <w:tr w14:paraId="3D78E874" w14:textId="77777777">
        <w:tblPrEx>
          <w:tblW w:w="0" w:type="auto"/>
          <w:tblLayout w:type="fixed"/>
          <w:tblLook w:val="0000"/>
        </w:tblPrEx>
        <w:tc>
          <w:tcPr>
            <w:tcW w:w="1437" w:type="dxa"/>
          </w:tcPr>
          <w:p w:rsidR="006224C2" w:rsidRPr="00295E71" w14:paraId="207D5FEE" w14:textId="77777777">
            <w:pPr>
              <w:pStyle w:val="TableLeft"/>
              <w:rPr>
                <w:sz w:val="22"/>
                <w:szCs w:val="22"/>
                <w:lang w:val="it-IT"/>
              </w:rPr>
            </w:pPr>
            <w:r w:rsidRPr="00295E71">
              <w:rPr>
                <w:sz w:val="22"/>
                <w:szCs w:val="22"/>
                <w:lang w:val="it-IT"/>
              </w:rPr>
              <w:t>Settimana 24</w:t>
            </w:r>
          </w:p>
        </w:tc>
        <w:tc>
          <w:tcPr>
            <w:tcW w:w="1980" w:type="dxa"/>
          </w:tcPr>
          <w:p w:rsidR="006224C2" w:rsidRPr="00295E71" w14:paraId="04D5F5B2" w14:textId="77777777">
            <w:pPr>
              <w:pStyle w:val="TableLeft"/>
              <w:jc w:val="center"/>
              <w:rPr>
                <w:sz w:val="22"/>
                <w:szCs w:val="22"/>
                <w:lang w:val="it-IT"/>
              </w:rPr>
            </w:pPr>
            <w:r w:rsidRPr="00295E71">
              <w:rPr>
                <w:sz w:val="22"/>
                <w:szCs w:val="22"/>
                <w:lang w:val="it-IT"/>
              </w:rPr>
              <w:t>24 (32,9%)</w:t>
            </w:r>
          </w:p>
        </w:tc>
        <w:tc>
          <w:tcPr>
            <w:tcW w:w="1980" w:type="dxa"/>
          </w:tcPr>
          <w:p w:rsidR="006224C2" w:rsidRPr="00295E71" w14:paraId="1F3F650A" w14:textId="77777777">
            <w:pPr>
              <w:pStyle w:val="TableLeft"/>
              <w:jc w:val="center"/>
              <w:rPr>
                <w:sz w:val="22"/>
                <w:szCs w:val="22"/>
                <w:lang w:val="it-IT"/>
              </w:rPr>
            </w:pPr>
            <w:r w:rsidRPr="00295E71">
              <w:rPr>
                <w:sz w:val="22"/>
                <w:szCs w:val="22"/>
                <w:lang w:val="it-IT"/>
              </w:rPr>
              <w:t>36 (51,4%)</w:t>
            </w:r>
          </w:p>
        </w:tc>
        <w:tc>
          <w:tcPr>
            <w:tcW w:w="1855" w:type="dxa"/>
          </w:tcPr>
          <w:p w:rsidR="006224C2" w:rsidRPr="00295E71" w14:paraId="5E13ED06" w14:textId="77777777">
            <w:pPr>
              <w:pStyle w:val="TableLeft"/>
              <w:jc w:val="center"/>
              <w:rPr>
                <w:sz w:val="22"/>
                <w:szCs w:val="22"/>
                <w:lang w:val="it-IT"/>
              </w:rPr>
            </w:pPr>
            <w:r w:rsidRPr="00295E71">
              <w:rPr>
                <w:sz w:val="22"/>
                <w:szCs w:val="22"/>
                <w:lang w:val="it-IT"/>
              </w:rPr>
              <w:t>40 (57,1%)</w:t>
            </w:r>
          </w:p>
        </w:tc>
      </w:tr>
      <w:tr w14:paraId="0E4C615D" w14:textId="77777777">
        <w:tblPrEx>
          <w:tblW w:w="0" w:type="auto"/>
          <w:tblLayout w:type="fixed"/>
          <w:tblLook w:val="0000"/>
        </w:tblPrEx>
        <w:tc>
          <w:tcPr>
            <w:tcW w:w="1437" w:type="dxa"/>
          </w:tcPr>
          <w:p w:rsidR="006224C2" w:rsidRPr="00295E71" w14:paraId="627A8BD8" w14:textId="77777777">
            <w:pPr>
              <w:pStyle w:val="TableLeft"/>
              <w:rPr>
                <w:sz w:val="22"/>
                <w:szCs w:val="22"/>
                <w:lang w:val="it-IT"/>
              </w:rPr>
            </w:pPr>
            <w:r w:rsidRPr="00295E71">
              <w:rPr>
                <w:sz w:val="22"/>
                <w:szCs w:val="22"/>
                <w:lang w:val="it-IT"/>
              </w:rPr>
              <w:t>Settimana 36</w:t>
            </w:r>
          </w:p>
        </w:tc>
        <w:tc>
          <w:tcPr>
            <w:tcW w:w="1980" w:type="dxa"/>
          </w:tcPr>
          <w:p w:rsidR="006224C2" w:rsidRPr="00295E71" w14:paraId="1253D848" w14:textId="77777777">
            <w:pPr>
              <w:pStyle w:val="TableLeft"/>
              <w:jc w:val="center"/>
              <w:rPr>
                <w:sz w:val="22"/>
                <w:szCs w:val="22"/>
                <w:lang w:val="it-IT"/>
              </w:rPr>
            </w:pPr>
            <w:r w:rsidRPr="00295E71">
              <w:rPr>
                <w:sz w:val="22"/>
                <w:szCs w:val="22"/>
                <w:lang w:val="it-IT"/>
              </w:rPr>
              <w:t>22 (30,1%)</w:t>
            </w:r>
          </w:p>
        </w:tc>
        <w:tc>
          <w:tcPr>
            <w:tcW w:w="1980" w:type="dxa"/>
          </w:tcPr>
          <w:p w:rsidR="006224C2" w:rsidRPr="00295E71" w14:paraId="359CEA78" w14:textId="77777777">
            <w:pPr>
              <w:pStyle w:val="TableLeft"/>
              <w:jc w:val="center"/>
              <w:rPr>
                <w:sz w:val="22"/>
                <w:szCs w:val="22"/>
                <w:lang w:val="it-IT"/>
              </w:rPr>
            </w:pPr>
            <w:r w:rsidRPr="00295E71">
              <w:rPr>
                <w:sz w:val="22"/>
                <w:szCs w:val="22"/>
                <w:lang w:val="it-IT"/>
              </w:rPr>
              <w:t>28 (40,0%)</w:t>
            </w:r>
          </w:p>
        </w:tc>
        <w:tc>
          <w:tcPr>
            <w:tcW w:w="1855" w:type="dxa"/>
          </w:tcPr>
          <w:p w:rsidR="006224C2" w:rsidRPr="00295E71" w14:paraId="5FDBCCCB" w14:textId="77777777">
            <w:pPr>
              <w:pStyle w:val="TableLeft"/>
              <w:jc w:val="center"/>
              <w:rPr>
                <w:sz w:val="22"/>
                <w:szCs w:val="22"/>
                <w:lang w:val="it-IT"/>
              </w:rPr>
            </w:pPr>
            <w:r w:rsidRPr="00295E71">
              <w:rPr>
                <w:sz w:val="22"/>
                <w:szCs w:val="22"/>
                <w:lang w:val="it-IT"/>
              </w:rPr>
              <w:t>39 (55,7%)</w:t>
            </w:r>
          </w:p>
        </w:tc>
      </w:tr>
      <w:tr w14:paraId="36A562EC" w14:textId="77777777">
        <w:tblPrEx>
          <w:tblW w:w="0" w:type="auto"/>
          <w:tblLayout w:type="fixed"/>
          <w:tblLook w:val="0000"/>
        </w:tblPrEx>
        <w:tc>
          <w:tcPr>
            <w:tcW w:w="7252" w:type="dxa"/>
            <w:gridSpan w:val="4"/>
          </w:tcPr>
          <w:p w:rsidR="006224C2" w:rsidRPr="00295E71" w:rsidP="006142E9" w14:paraId="233FE98E" w14:textId="77777777">
            <w:pPr>
              <w:pStyle w:val="TableFootnoteLetter"/>
              <w:keepNext/>
              <w:numPr>
                <w:ilvl w:val="0"/>
                <w:numId w:val="84"/>
              </w:numPr>
              <w:ind w:left="333" w:hanging="270"/>
              <w:rPr>
                <w:rFonts w:ascii="Times New Roman" w:hAnsi="Times New Roman"/>
                <w:sz w:val="22"/>
                <w:szCs w:val="22"/>
                <w:lang w:val="it-IT"/>
              </w:rPr>
            </w:pPr>
            <w:r w:rsidRPr="00295E71">
              <w:rPr>
                <w:rFonts w:ascii="Times New Roman" w:hAnsi="Times New Roman"/>
                <w:sz w:val="22"/>
                <w:szCs w:val="22"/>
                <w:lang w:val="it-IT"/>
              </w:rPr>
              <w:t>Pazienti con almeno una risposta parziale ad Humira 40 mg ogni settimana dopo 12 settimane di trattamento.</w:t>
            </w:r>
          </w:p>
          <w:p w:rsidR="006224C2" w:rsidRPr="00295E71" w14:paraId="65EFABF9" w14:textId="77777777">
            <w:pPr>
              <w:pStyle w:val="TableFootnoteLetter"/>
              <w:keepNext/>
              <w:numPr>
                <w:ilvl w:val="0"/>
                <w:numId w:val="84"/>
              </w:numPr>
              <w:ind w:left="333" w:hanging="270"/>
              <w:rPr>
                <w:rFonts w:ascii="Times New Roman" w:hAnsi="Times New Roman"/>
                <w:sz w:val="22"/>
                <w:szCs w:val="22"/>
                <w:lang w:val="it-IT"/>
              </w:rPr>
            </w:pPr>
            <w:r w:rsidRPr="00295E71">
              <w:rPr>
                <w:rFonts w:ascii="Times New Roman" w:hAnsi="Times New Roman"/>
                <w:sz w:val="22"/>
                <w:szCs w:val="22"/>
                <w:lang w:val="it-IT"/>
              </w:rPr>
              <w:t>Pazienti che rispettavano i criteri specificati nel protocollo per la perdita di risposta o per la mancanza di miglioramento ai quali è stato richiesto di interrompere gli studi ed erano stati considerati come non-responder.</w:t>
            </w:r>
          </w:p>
        </w:tc>
      </w:tr>
    </w:tbl>
    <w:p w:rsidR="006224C2" w:rsidRPr="00295E71" w14:paraId="01D0CE0E" w14:textId="77777777">
      <w:pPr>
        <w:rPr>
          <w:sz w:val="22"/>
          <w:szCs w:val="22"/>
          <w:lang w:eastAsia="en-US"/>
        </w:rPr>
      </w:pPr>
    </w:p>
    <w:p w:rsidR="006224C2" w:rsidRPr="00295E71" w14:paraId="427DAC27" w14:textId="77777777">
      <w:pPr>
        <w:rPr>
          <w:sz w:val="22"/>
          <w:szCs w:val="22"/>
        </w:rPr>
      </w:pPr>
      <w:r w:rsidRPr="00295E71">
        <w:rPr>
          <w:sz w:val="22"/>
          <w:szCs w:val="22"/>
          <w:lang w:eastAsia="en-US"/>
        </w:rPr>
        <w:t xml:space="preserve">Tra i pazienti con una risposta parziale alla settimana 12 e che hanno ricevuto una terapia settimanale senza interruzione con Humira, la percentuale di HiSCR alla settimana 48 era del </w:t>
      </w:r>
      <w:r w:rsidRPr="00295E71" w:rsidR="00176CDB">
        <w:rPr>
          <w:sz w:val="22"/>
          <w:szCs w:val="22"/>
          <w:lang w:eastAsia="en-US"/>
        </w:rPr>
        <w:t xml:space="preserve">68,3% ed alla settimana 96 era del 65,1%. Nel trattamento a lungo termine con Humira 40 mg </w:t>
      </w:r>
      <w:r w:rsidRPr="00295E71" w:rsidR="009F5745">
        <w:rPr>
          <w:sz w:val="22"/>
          <w:szCs w:val="22"/>
          <w:lang w:eastAsia="en-US"/>
        </w:rPr>
        <w:t xml:space="preserve">a settimana </w:t>
      </w:r>
      <w:r w:rsidRPr="00295E71" w:rsidR="00176CDB">
        <w:rPr>
          <w:sz w:val="22"/>
          <w:szCs w:val="22"/>
          <w:lang w:eastAsia="en-US"/>
        </w:rPr>
        <w:t>per 96 settimane non sono emerse nuove problematiche di sicurezza.</w:t>
      </w:r>
    </w:p>
    <w:p w:rsidR="006224C2" w:rsidRPr="00295E71" w14:paraId="6A422F6E" w14:textId="77777777">
      <w:pPr>
        <w:rPr>
          <w:sz w:val="22"/>
          <w:szCs w:val="22"/>
        </w:rPr>
      </w:pPr>
    </w:p>
    <w:p w:rsidR="006224C2" w:rsidRPr="00C1236A" w14:paraId="082288F3" w14:textId="77777777">
      <w:pPr>
        <w:rPr>
          <w:sz w:val="22"/>
          <w:szCs w:val="22"/>
        </w:rPr>
      </w:pPr>
      <w:r w:rsidRPr="00295E71">
        <w:rPr>
          <w:sz w:val="22"/>
          <w:szCs w:val="22"/>
          <w:lang w:eastAsia="en-US"/>
        </w:rPr>
        <w:t xml:space="preserve">Tra i pazienti negli Studi HS-I e HS-II che avevano interrotto il trattamento con Humira alla settimana 12, la </w:t>
      </w:r>
      <w:r w:rsidRPr="00C1236A">
        <w:rPr>
          <w:sz w:val="22"/>
          <w:szCs w:val="22"/>
          <w:lang w:eastAsia="en-US"/>
        </w:rPr>
        <w:t>percentuale di HiSCR 12 settimane dopo la ripresa di Humira 40 mg ogni settimana, sono ritornati ai livelli simili a quelli osservati prima della sospensione (56,0%).</w:t>
      </w:r>
    </w:p>
    <w:p w:rsidR="006224C2" w:rsidRPr="00C1236A" w14:paraId="2FEC7AAA" w14:textId="77777777">
      <w:pPr>
        <w:pStyle w:val="EMEAHeadingUnderline"/>
        <w:spacing w:beforeLines="0" w:afterLines="0"/>
        <w:jc w:val="both"/>
        <w:rPr>
          <w:i/>
          <w:u w:val="none"/>
          <w:lang w:val="it-IT"/>
        </w:rPr>
      </w:pPr>
    </w:p>
    <w:p w:rsidR="006224C2" w:rsidRPr="00295E71" w14:paraId="1E2AA1EE" w14:textId="77777777">
      <w:pPr>
        <w:pStyle w:val="EMEAHeadingUnderline"/>
        <w:spacing w:beforeLines="0" w:afterLines="0"/>
        <w:jc w:val="both"/>
        <w:rPr>
          <w:i/>
          <w:u w:val="none"/>
          <w:lang w:val="it-IT"/>
        </w:rPr>
      </w:pPr>
      <w:r w:rsidRPr="00C1236A">
        <w:rPr>
          <w:i/>
          <w:u w:val="none"/>
          <w:lang w:val="it-IT"/>
        </w:rPr>
        <w:t>Malattia di Crohn</w:t>
      </w:r>
    </w:p>
    <w:p w:rsidR="006224C2" w:rsidRPr="00295E71" w14:paraId="6492D697" w14:textId="77777777">
      <w:pPr>
        <w:rPr>
          <w:sz w:val="22"/>
          <w:szCs w:val="22"/>
          <w:lang w:eastAsia="en-US"/>
        </w:rPr>
      </w:pPr>
    </w:p>
    <w:p w:rsidR="006224C2" w:rsidRPr="00295E71" w14:paraId="703F425C" w14:textId="77777777">
      <w:pPr>
        <w:pStyle w:val="EMEANormal"/>
        <w:jc w:val="both"/>
        <w:rPr>
          <w:lang w:val="it-IT"/>
        </w:rPr>
      </w:pPr>
      <w:r w:rsidRPr="00295E71">
        <w:rPr>
          <w:lang w:val="it-IT"/>
        </w:rPr>
        <w:t xml:space="preserve">La sicurezza e l’efficacia di Humira sono state valutate in oltre 1.500 pazienti affetti da malattia di Crohn, da moderatamente a gravemente attiva (Crohn’s Disease Activity Index = indice di attività della malattia di Crohn (CDAI) </w:t>
      </w:r>
      <w:r w:rsidRPr="00295E71">
        <w:rPr>
          <w:rFonts w:ascii="Symbol" w:hAnsi="Symbol"/>
          <w:lang w:val="it-IT"/>
        </w:rPr>
        <w:sym w:font="Symbol" w:char="F0B3"/>
      </w:r>
      <w:r w:rsidRPr="00295E71">
        <w:rPr>
          <w:lang w:val="it-IT"/>
        </w:rPr>
        <w:t xml:space="preserve"> 220 e </w:t>
      </w:r>
      <w:r w:rsidRPr="00295E71">
        <w:rPr>
          <w:rFonts w:ascii="Symbol" w:hAnsi="Symbol"/>
          <w:lang w:val="it-IT"/>
        </w:rPr>
        <w:sym w:font="Symbol" w:char="F0A3"/>
      </w:r>
      <w:r w:rsidRPr="00295E71">
        <w:rPr>
          <w:lang w:val="it-IT"/>
        </w:rPr>
        <w:t xml:space="preserve"> 450) in studi randomizzati, in doppio cieco, controllati con placebo. È stata consentita la somministrazione concomitante di dosi costanti di aminosalicilati, di corticosteroidi, e/o di agenti immunomodulatori ed il 80% dei pazienti ha continuato ad assumere almeno uno di questi farmaci. </w:t>
      </w:r>
    </w:p>
    <w:p w:rsidR="006224C2" w:rsidRPr="00295E71" w14:paraId="45E1A5A7" w14:textId="77777777">
      <w:pPr>
        <w:pStyle w:val="EMEANormal"/>
        <w:jc w:val="both"/>
        <w:rPr>
          <w:lang w:val="it-IT"/>
        </w:rPr>
      </w:pPr>
    </w:p>
    <w:p w:rsidR="006224C2" w:rsidRPr="00295E71" w14:paraId="7C9CD699" w14:textId="77777777">
      <w:pPr>
        <w:pStyle w:val="EMEANormal"/>
        <w:jc w:val="both"/>
        <w:rPr>
          <w:lang w:val="it-IT"/>
        </w:rPr>
      </w:pPr>
      <w:r w:rsidRPr="00295E71">
        <w:rPr>
          <w:lang w:val="it-IT"/>
        </w:rPr>
        <w:t>L’induzione della remissione clinica (definita come CDAI &lt; 150) è stata valutata in due studi, studio CD I (CLASSIC I) e studio CD II (GAIN). Nello studio CD I, 299 pazienti mai trattati con anti-TNF sono stati randomizzati ad uno dei quattro gruppi di trattamento; il gruppo trattato con placebo alla settimana 0 e 2, il gruppo trattato con 160 mg di Humira alla settimana 0 e con 80 mg alla settimana 2, il gruppo trattato con 80 mg alla settimana 0 e 40 mg alla settimana 2, ed il gruppo trattato con 40 mg alla settimana 0 e 20 mg alla settimana 2. Nello studio CD II, 325 pazienti che avevano perso la risposta o si sono rivelati intolleranti ad infliximab sono stati randomizzati per ricevere160 mg di Humira alla settimana 0 ed 80 mg di Humira alla settimana 2 oppure placebo alla settimana 0 ed alla settimana 2. I non-responder primari sono stati esclusi dagli studi e, di conseguenza, questi pazienti non sono stati sottoposti ad ulteriori valutazioni.</w:t>
      </w:r>
    </w:p>
    <w:p w:rsidR="006224C2" w:rsidRPr="00295E71" w14:paraId="27E1B11B" w14:textId="77777777">
      <w:pPr>
        <w:pStyle w:val="EMEANormal"/>
        <w:jc w:val="both"/>
        <w:rPr>
          <w:lang w:val="it-IT"/>
        </w:rPr>
      </w:pPr>
    </w:p>
    <w:p w:rsidR="006224C2" w:rsidRPr="00295E71" w14:paraId="185426A9" w14:textId="77777777">
      <w:pPr>
        <w:pStyle w:val="EMEANormal"/>
        <w:jc w:val="both"/>
        <w:rPr>
          <w:lang w:val="it-IT"/>
        </w:rPr>
      </w:pPr>
      <w:r w:rsidRPr="00295E71">
        <w:rPr>
          <w:lang w:val="it-IT"/>
        </w:rPr>
        <w:t xml:space="preserve">Il mantenimento della remissione clinica è stato valutato nello studio CD III (CHARM). Nello studio CD III, 854 pazienti hanno ricevuto in aperto 80 mg di Humira alla settimana 0 e 40 mg alla settimana 2. Alla settimana 4, i pazienti sono stati randomizzati per ricevere 40 mg a settimane alterne, 40 mg ogni settimana, oppure il placebo; la durata totale dello studio è stata pari a 56 settimane. I pazienti che hanno manifestato una risposta clinica  (diminuzione dell’indice CDAI ≥ 70) alla settimana 4 sono stati stratificati ed analizzati separatamente da coloro che non hanno manifestato una risposta clinica alla settimana 4. È stata consentita una riduzione graduale della dose di corticosteroidi dopo la settimana 8. </w:t>
      </w:r>
    </w:p>
    <w:p w:rsidR="006224C2" w:rsidRPr="00295E71" w14:paraId="6F5BF0AB" w14:textId="77777777">
      <w:pPr>
        <w:pStyle w:val="EMEANormal"/>
        <w:jc w:val="both"/>
        <w:rPr>
          <w:lang w:val="it-IT"/>
        </w:rPr>
      </w:pPr>
    </w:p>
    <w:p w:rsidR="006224C2" w:rsidRPr="00295E71" w14:paraId="352CB0B4" w14:textId="77777777">
      <w:pPr>
        <w:pStyle w:val="EMEANormal"/>
        <w:jc w:val="both"/>
        <w:rPr>
          <w:lang w:val="it-IT"/>
        </w:rPr>
      </w:pPr>
      <w:r w:rsidRPr="00295E71">
        <w:rPr>
          <w:lang w:val="it-IT"/>
        </w:rPr>
        <w:t xml:space="preserve">Le percentuali relative all’induzione della remissione e della risposta clinica dello studio CD I e dello studio CD II sono riportate nella Tabella </w:t>
      </w:r>
      <w:r w:rsidRPr="00295E71" w:rsidR="00C457AE">
        <w:rPr>
          <w:lang w:val="it-IT"/>
        </w:rPr>
        <w:t>2</w:t>
      </w:r>
      <w:r w:rsidR="0062664F">
        <w:rPr>
          <w:lang w:val="it-IT"/>
        </w:rPr>
        <w:t>1</w:t>
      </w:r>
      <w:r w:rsidRPr="00295E71">
        <w:rPr>
          <w:lang w:val="it-IT"/>
        </w:rPr>
        <w:t>.</w:t>
      </w:r>
    </w:p>
    <w:p w:rsidR="006224C2" w:rsidRPr="00295E71" w14:paraId="0E83C87A" w14:textId="77777777">
      <w:pPr>
        <w:keepNext/>
        <w:rPr>
          <w:sz w:val="22"/>
          <w:szCs w:val="22"/>
        </w:rPr>
      </w:pPr>
    </w:p>
    <w:tbl>
      <w:tblPr>
        <w:tblW w:w="9238" w:type="dxa"/>
        <w:tblBorders>
          <w:top w:val="single" w:sz="4" w:space="0" w:color="auto"/>
          <w:left w:val="single" w:sz="4" w:space="0" w:color="auto"/>
          <w:bottom w:val="single" w:sz="4" w:space="0" w:color="auto"/>
          <w:right w:val="single" w:sz="4" w:space="0" w:color="auto"/>
        </w:tblBorders>
        <w:tblLook w:val="0000"/>
      </w:tblPr>
      <w:tblGrid>
        <w:gridCol w:w="2406"/>
        <w:gridCol w:w="1210"/>
        <w:gridCol w:w="1262"/>
        <w:gridCol w:w="962"/>
        <w:gridCol w:w="1535"/>
        <w:gridCol w:w="1863"/>
      </w:tblGrid>
      <w:tr w14:paraId="78109BD6" w14:textId="77777777">
        <w:tblPrEx>
          <w:tblW w:w="9238" w:type="dxa"/>
          <w:tblLook w:val="0000"/>
        </w:tblPrEx>
        <w:tc>
          <w:tcPr>
            <w:tcW w:w="9238" w:type="dxa"/>
            <w:gridSpan w:val="6"/>
            <w:tcBorders>
              <w:top w:val="nil"/>
              <w:left w:val="nil"/>
              <w:bottom w:val="single" w:sz="4" w:space="0" w:color="auto"/>
              <w:right w:val="nil"/>
            </w:tcBorders>
          </w:tcPr>
          <w:p w:rsidR="006224C2" w:rsidRPr="00295E71" w14:paraId="70AEB70D" w14:textId="77777777">
            <w:pPr>
              <w:pStyle w:val="TableText"/>
              <w:spacing w:line="240" w:lineRule="exact"/>
              <w:jc w:val="center"/>
              <w:rPr>
                <w:b/>
                <w:bCs/>
                <w:sz w:val="22"/>
                <w:szCs w:val="22"/>
                <w:lang w:val="it-IT"/>
              </w:rPr>
            </w:pPr>
            <w:r w:rsidRPr="00295E71">
              <w:rPr>
                <w:sz w:val="22"/>
                <w:szCs w:val="22"/>
                <w:lang w:val="it-IT"/>
              </w:rPr>
              <w:br w:type="page"/>
            </w:r>
            <w:r w:rsidRPr="00295E71">
              <w:rPr>
                <w:b/>
                <w:bCs/>
                <w:sz w:val="22"/>
                <w:szCs w:val="22"/>
                <w:lang w:val="it-IT"/>
              </w:rPr>
              <w:t xml:space="preserve">Tabella </w:t>
            </w:r>
            <w:r w:rsidRPr="00295E71" w:rsidR="00C457AE">
              <w:rPr>
                <w:b/>
                <w:bCs/>
                <w:sz w:val="22"/>
                <w:szCs w:val="22"/>
                <w:lang w:val="it-IT"/>
              </w:rPr>
              <w:t>2</w:t>
            </w:r>
            <w:r w:rsidR="0062664F">
              <w:rPr>
                <w:b/>
                <w:bCs/>
                <w:sz w:val="22"/>
                <w:szCs w:val="22"/>
                <w:lang w:val="it-IT"/>
              </w:rPr>
              <w:t>1</w:t>
            </w:r>
          </w:p>
          <w:p w:rsidR="006224C2" w:rsidRPr="00295E71" w14:paraId="79B1598B" w14:textId="77777777">
            <w:pPr>
              <w:pStyle w:val="TableText"/>
              <w:spacing w:line="240" w:lineRule="exact"/>
              <w:jc w:val="center"/>
              <w:rPr>
                <w:b/>
                <w:bCs/>
                <w:sz w:val="22"/>
                <w:szCs w:val="22"/>
                <w:lang w:val="it-IT"/>
              </w:rPr>
            </w:pPr>
            <w:r w:rsidRPr="00295E71">
              <w:rPr>
                <w:b/>
                <w:bCs/>
                <w:sz w:val="22"/>
                <w:szCs w:val="22"/>
                <w:lang w:val="it-IT"/>
              </w:rPr>
              <w:t>Induzione della remissione e della risposta clinica</w:t>
            </w:r>
          </w:p>
          <w:p w:rsidR="006224C2" w:rsidRPr="00295E71" w14:paraId="23C51206" w14:textId="77777777">
            <w:pPr>
              <w:pStyle w:val="TableText"/>
              <w:spacing w:line="240" w:lineRule="exact"/>
              <w:jc w:val="center"/>
              <w:rPr>
                <w:b/>
                <w:bCs/>
                <w:sz w:val="22"/>
                <w:szCs w:val="22"/>
                <w:lang w:val="it-IT"/>
              </w:rPr>
            </w:pPr>
            <w:r w:rsidRPr="00295E71">
              <w:rPr>
                <w:b/>
                <w:bCs/>
                <w:sz w:val="22"/>
                <w:szCs w:val="22"/>
                <w:lang w:val="it-IT"/>
              </w:rPr>
              <w:t>(percentuale di pazienti)</w:t>
            </w:r>
          </w:p>
          <w:p w:rsidR="006224C2" w:rsidRPr="00295E71" w14:paraId="5A5132A4" w14:textId="77777777">
            <w:pPr>
              <w:pStyle w:val="TableText"/>
              <w:spacing w:line="240" w:lineRule="exact"/>
              <w:jc w:val="center"/>
              <w:rPr>
                <w:sz w:val="22"/>
                <w:szCs w:val="22"/>
                <w:lang w:val="it-IT"/>
              </w:rPr>
            </w:pPr>
          </w:p>
        </w:tc>
      </w:tr>
      <w:tr w14:paraId="730406B6" w14:textId="77777777">
        <w:tblPrEx>
          <w:tblW w:w="9238" w:type="dxa"/>
          <w:tblLook w:val="0000"/>
        </w:tblPrEx>
        <w:tc>
          <w:tcPr>
            <w:tcW w:w="2406" w:type="dxa"/>
            <w:tcBorders>
              <w:top w:val="single" w:sz="4" w:space="0" w:color="auto"/>
              <w:left w:val="single" w:sz="4" w:space="0" w:color="auto"/>
              <w:bottom w:val="single" w:sz="4" w:space="0" w:color="auto"/>
              <w:right w:val="single" w:sz="4" w:space="0" w:color="auto"/>
            </w:tcBorders>
          </w:tcPr>
          <w:p w:rsidR="006224C2" w:rsidRPr="00295E71" w14:paraId="30374DEA" w14:textId="77777777">
            <w:pPr>
              <w:pStyle w:val="TableText"/>
              <w:spacing w:line="240" w:lineRule="exact"/>
              <w:rPr>
                <w:sz w:val="22"/>
                <w:szCs w:val="22"/>
                <w:lang w:val="it-IT"/>
              </w:rPr>
            </w:pPr>
          </w:p>
        </w:tc>
        <w:tc>
          <w:tcPr>
            <w:tcW w:w="3434" w:type="dxa"/>
            <w:gridSpan w:val="3"/>
            <w:tcBorders>
              <w:top w:val="single" w:sz="4" w:space="0" w:color="auto"/>
              <w:left w:val="single" w:sz="4" w:space="0" w:color="auto"/>
              <w:bottom w:val="single" w:sz="4" w:space="0" w:color="auto"/>
              <w:right w:val="single" w:sz="4" w:space="0" w:color="auto"/>
            </w:tcBorders>
          </w:tcPr>
          <w:p w:rsidR="006224C2" w:rsidRPr="00295E71" w14:paraId="54B4D682" w14:textId="77777777">
            <w:pPr>
              <w:pStyle w:val="TableText"/>
              <w:spacing w:line="240" w:lineRule="exact"/>
              <w:rPr>
                <w:b/>
                <w:bCs/>
                <w:sz w:val="22"/>
                <w:szCs w:val="22"/>
                <w:lang w:val="it-IT"/>
              </w:rPr>
            </w:pPr>
            <w:r w:rsidRPr="00295E71">
              <w:rPr>
                <w:b/>
                <w:bCs/>
                <w:sz w:val="22"/>
                <w:szCs w:val="22"/>
                <w:lang w:val="it-IT"/>
              </w:rPr>
              <w:t>Studio CD I: Pazienti mai trattati con Infliximab</w:t>
            </w:r>
          </w:p>
        </w:tc>
        <w:tc>
          <w:tcPr>
            <w:tcW w:w="3398" w:type="dxa"/>
            <w:gridSpan w:val="2"/>
            <w:tcBorders>
              <w:top w:val="single" w:sz="4" w:space="0" w:color="auto"/>
              <w:left w:val="single" w:sz="4" w:space="0" w:color="auto"/>
              <w:bottom w:val="single" w:sz="4" w:space="0" w:color="auto"/>
              <w:right w:val="single" w:sz="4" w:space="0" w:color="auto"/>
            </w:tcBorders>
          </w:tcPr>
          <w:p w:rsidR="006224C2" w:rsidRPr="00295E71" w14:paraId="38962486" w14:textId="77777777">
            <w:pPr>
              <w:pStyle w:val="TableText"/>
              <w:spacing w:line="240" w:lineRule="exact"/>
              <w:rPr>
                <w:b/>
                <w:bCs/>
                <w:sz w:val="22"/>
                <w:szCs w:val="22"/>
                <w:lang w:val="it-IT"/>
              </w:rPr>
            </w:pPr>
            <w:r w:rsidRPr="00295E71">
              <w:rPr>
                <w:b/>
                <w:bCs/>
                <w:sz w:val="22"/>
                <w:szCs w:val="22"/>
                <w:lang w:val="it-IT"/>
              </w:rPr>
              <w:t>Studio CD II: Pazienti precedentemente trattati con Infliximab</w:t>
            </w:r>
          </w:p>
        </w:tc>
      </w:tr>
      <w:tr w14:paraId="5E6241D8" w14:textId="77777777">
        <w:tblPrEx>
          <w:tblW w:w="9238" w:type="dxa"/>
          <w:tblLook w:val="0000"/>
        </w:tblPrEx>
        <w:tc>
          <w:tcPr>
            <w:tcW w:w="2406" w:type="dxa"/>
            <w:tcBorders>
              <w:top w:val="single" w:sz="4" w:space="0" w:color="auto"/>
              <w:left w:val="single" w:sz="4" w:space="0" w:color="auto"/>
              <w:bottom w:val="single" w:sz="4" w:space="0" w:color="auto"/>
              <w:right w:val="single" w:sz="4" w:space="0" w:color="auto"/>
            </w:tcBorders>
          </w:tcPr>
          <w:p w:rsidR="006224C2" w:rsidRPr="00295E71" w14:paraId="7C8272BE" w14:textId="77777777">
            <w:pPr>
              <w:pStyle w:val="TableText"/>
              <w:spacing w:line="240" w:lineRule="exact"/>
              <w:jc w:val="center"/>
              <w:rPr>
                <w:sz w:val="22"/>
                <w:szCs w:val="22"/>
                <w:lang w:val="it-IT"/>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3378E254" w14:textId="77777777">
            <w:pPr>
              <w:pStyle w:val="TableText"/>
              <w:spacing w:line="240" w:lineRule="exact"/>
              <w:jc w:val="center"/>
              <w:rPr>
                <w:b/>
                <w:sz w:val="22"/>
                <w:szCs w:val="22"/>
                <w:lang w:val="it-IT"/>
              </w:rPr>
            </w:pPr>
            <w:r w:rsidRPr="00295E71">
              <w:rPr>
                <w:b/>
                <w:sz w:val="22"/>
                <w:szCs w:val="22"/>
                <w:lang w:val="it-IT"/>
              </w:rPr>
              <w:t>Placebo</w:t>
            </w:r>
          </w:p>
          <w:p w:rsidR="006224C2" w:rsidRPr="00295E71" w14:paraId="3F8F7B5F" w14:textId="77777777">
            <w:pPr>
              <w:pStyle w:val="TableText"/>
              <w:spacing w:line="240" w:lineRule="exact"/>
              <w:jc w:val="center"/>
              <w:rPr>
                <w:b/>
                <w:sz w:val="22"/>
                <w:szCs w:val="22"/>
                <w:lang w:val="it-IT"/>
              </w:rPr>
            </w:pPr>
            <w:r w:rsidRPr="00295E71">
              <w:rPr>
                <w:b/>
                <w:sz w:val="22"/>
                <w:szCs w:val="22"/>
                <w:lang w:val="it-IT"/>
              </w:rPr>
              <w:t>N=74</w:t>
            </w:r>
          </w:p>
        </w:tc>
        <w:tc>
          <w:tcPr>
            <w:tcW w:w="1262" w:type="dxa"/>
            <w:tcBorders>
              <w:top w:val="single" w:sz="4" w:space="0" w:color="auto"/>
              <w:left w:val="single" w:sz="4" w:space="0" w:color="auto"/>
              <w:bottom w:val="single" w:sz="4" w:space="0" w:color="auto"/>
              <w:right w:val="single" w:sz="4" w:space="0" w:color="auto"/>
            </w:tcBorders>
          </w:tcPr>
          <w:p w:rsidR="006224C2" w:rsidRPr="00295E71" w14:paraId="7E7CB098" w14:textId="77777777">
            <w:pPr>
              <w:pStyle w:val="TableText"/>
              <w:spacing w:line="240" w:lineRule="exact"/>
              <w:jc w:val="center"/>
              <w:rPr>
                <w:b/>
                <w:sz w:val="22"/>
                <w:szCs w:val="22"/>
                <w:lang w:val="it-IT"/>
              </w:rPr>
            </w:pPr>
            <w:r w:rsidRPr="00295E71">
              <w:rPr>
                <w:b/>
                <w:sz w:val="22"/>
                <w:szCs w:val="22"/>
                <w:lang w:val="it-IT"/>
              </w:rPr>
              <w:t>Humira</w:t>
            </w:r>
          </w:p>
          <w:p w:rsidR="006224C2" w:rsidRPr="00295E71" w14:paraId="108FA332" w14:textId="77777777">
            <w:pPr>
              <w:pStyle w:val="TableText"/>
              <w:spacing w:line="240" w:lineRule="exact"/>
              <w:jc w:val="center"/>
              <w:rPr>
                <w:b/>
                <w:sz w:val="22"/>
                <w:szCs w:val="22"/>
                <w:lang w:val="it-IT"/>
              </w:rPr>
            </w:pPr>
            <w:r w:rsidRPr="00295E71">
              <w:rPr>
                <w:b/>
                <w:sz w:val="22"/>
                <w:szCs w:val="22"/>
                <w:lang w:val="it-IT"/>
              </w:rPr>
              <w:t>80/40 mg</w:t>
            </w:r>
          </w:p>
          <w:p w:rsidR="006224C2" w:rsidRPr="00295E71" w14:paraId="71745EE5" w14:textId="77777777">
            <w:pPr>
              <w:pStyle w:val="TableText"/>
              <w:spacing w:line="240" w:lineRule="exact"/>
              <w:jc w:val="center"/>
              <w:rPr>
                <w:b/>
                <w:sz w:val="22"/>
                <w:szCs w:val="22"/>
                <w:lang w:val="it-IT"/>
              </w:rPr>
            </w:pPr>
            <w:r w:rsidRPr="00295E71">
              <w:rPr>
                <w:b/>
                <w:sz w:val="22"/>
                <w:szCs w:val="22"/>
                <w:lang w:val="it-IT"/>
              </w:rPr>
              <w:t>N = 75</w:t>
            </w:r>
          </w:p>
        </w:tc>
        <w:tc>
          <w:tcPr>
            <w:tcW w:w="962" w:type="dxa"/>
            <w:tcBorders>
              <w:top w:val="single" w:sz="4" w:space="0" w:color="auto"/>
              <w:left w:val="single" w:sz="4" w:space="0" w:color="auto"/>
              <w:bottom w:val="single" w:sz="4" w:space="0" w:color="auto"/>
              <w:right w:val="single" w:sz="4" w:space="0" w:color="auto"/>
            </w:tcBorders>
          </w:tcPr>
          <w:p w:rsidR="006224C2" w:rsidRPr="00295E71" w14:paraId="18697E11" w14:textId="77777777">
            <w:pPr>
              <w:pStyle w:val="TableText"/>
              <w:spacing w:line="240" w:lineRule="exact"/>
              <w:jc w:val="center"/>
              <w:rPr>
                <w:b/>
                <w:sz w:val="22"/>
                <w:szCs w:val="22"/>
                <w:lang w:val="it-IT"/>
              </w:rPr>
            </w:pPr>
            <w:r w:rsidRPr="00295E71">
              <w:rPr>
                <w:b/>
                <w:sz w:val="22"/>
                <w:szCs w:val="22"/>
                <w:lang w:val="it-IT"/>
              </w:rPr>
              <w:t xml:space="preserve">Humira </w:t>
            </w:r>
          </w:p>
          <w:p w:rsidR="006224C2" w:rsidRPr="00295E71" w14:paraId="221603DB" w14:textId="77777777">
            <w:pPr>
              <w:pStyle w:val="TableText"/>
              <w:spacing w:line="240" w:lineRule="exact"/>
              <w:jc w:val="center"/>
              <w:rPr>
                <w:b/>
                <w:sz w:val="22"/>
                <w:szCs w:val="22"/>
                <w:lang w:val="it-IT"/>
              </w:rPr>
            </w:pPr>
            <w:r w:rsidRPr="00295E71">
              <w:rPr>
                <w:b/>
                <w:sz w:val="22"/>
                <w:szCs w:val="22"/>
                <w:lang w:val="it-IT"/>
              </w:rPr>
              <w:t>160/80 mg N=76</w:t>
            </w:r>
          </w:p>
        </w:tc>
        <w:tc>
          <w:tcPr>
            <w:tcW w:w="1535" w:type="dxa"/>
            <w:tcBorders>
              <w:top w:val="single" w:sz="4" w:space="0" w:color="auto"/>
              <w:left w:val="single" w:sz="4" w:space="0" w:color="auto"/>
              <w:bottom w:val="single" w:sz="4" w:space="0" w:color="auto"/>
              <w:right w:val="single" w:sz="4" w:space="0" w:color="auto"/>
            </w:tcBorders>
          </w:tcPr>
          <w:p w:rsidR="006224C2" w:rsidRPr="00295E71" w14:paraId="419EAC72" w14:textId="77777777">
            <w:pPr>
              <w:pStyle w:val="TableText"/>
              <w:spacing w:line="240" w:lineRule="exact"/>
              <w:jc w:val="center"/>
              <w:rPr>
                <w:b/>
                <w:sz w:val="22"/>
                <w:szCs w:val="22"/>
                <w:lang w:val="it-IT"/>
              </w:rPr>
            </w:pPr>
            <w:r w:rsidRPr="00295E71">
              <w:rPr>
                <w:b/>
                <w:sz w:val="22"/>
                <w:szCs w:val="22"/>
                <w:lang w:val="it-IT"/>
              </w:rPr>
              <w:t>Placebo</w:t>
            </w:r>
          </w:p>
          <w:p w:rsidR="006224C2" w:rsidRPr="00295E71" w14:paraId="7F4A5A9E" w14:textId="77777777">
            <w:pPr>
              <w:pStyle w:val="TableText"/>
              <w:spacing w:line="240" w:lineRule="exact"/>
              <w:jc w:val="center"/>
              <w:rPr>
                <w:b/>
                <w:sz w:val="22"/>
                <w:szCs w:val="22"/>
                <w:lang w:val="it-IT"/>
              </w:rPr>
            </w:pPr>
            <w:r w:rsidRPr="00295E71">
              <w:rPr>
                <w:b/>
                <w:sz w:val="22"/>
                <w:szCs w:val="22"/>
                <w:lang w:val="it-IT"/>
              </w:rPr>
              <w:t>N=166</w:t>
            </w:r>
          </w:p>
        </w:tc>
        <w:tc>
          <w:tcPr>
            <w:tcW w:w="1863" w:type="dxa"/>
            <w:tcBorders>
              <w:top w:val="single" w:sz="4" w:space="0" w:color="auto"/>
              <w:left w:val="single" w:sz="4" w:space="0" w:color="auto"/>
              <w:bottom w:val="single" w:sz="4" w:space="0" w:color="auto"/>
              <w:right w:val="single" w:sz="4" w:space="0" w:color="auto"/>
            </w:tcBorders>
          </w:tcPr>
          <w:p w:rsidR="006224C2" w:rsidRPr="00295E71" w14:paraId="62834AFE" w14:textId="77777777">
            <w:pPr>
              <w:pStyle w:val="TableText"/>
              <w:spacing w:line="240" w:lineRule="exact"/>
              <w:jc w:val="center"/>
              <w:rPr>
                <w:b/>
                <w:sz w:val="22"/>
                <w:szCs w:val="22"/>
                <w:lang w:val="it-IT"/>
              </w:rPr>
            </w:pPr>
            <w:r w:rsidRPr="00295E71">
              <w:rPr>
                <w:b/>
                <w:sz w:val="22"/>
                <w:szCs w:val="22"/>
                <w:lang w:val="it-IT"/>
              </w:rPr>
              <w:t xml:space="preserve">Humira </w:t>
            </w:r>
          </w:p>
          <w:p w:rsidR="006224C2" w:rsidRPr="00295E71" w14:paraId="61E0EC2E" w14:textId="77777777">
            <w:pPr>
              <w:pStyle w:val="TableText"/>
              <w:spacing w:line="240" w:lineRule="exact"/>
              <w:jc w:val="center"/>
              <w:rPr>
                <w:b/>
                <w:sz w:val="22"/>
                <w:szCs w:val="22"/>
                <w:lang w:val="it-IT"/>
              </w:rPr>
            </w:pPr>
            <w:r w:rsidRPr="00295E71">
              <w:rPr>
                <w:b/>
                <w:sz w:val="22"/>
                <w:szCs w:val="22"/>
                <w:lang w:val="it-IT"/>
              </w:rPr>
              <w:t>160/80 mg</w:t>
            </w:r>
          </w:p>
          <w:p w:rsidR="006224C2" w:rsidRPr="00295E71" w14:paraId="0CD18EDC" w14:textId="77777777">
            <w:pPr>
              <w:pStyle w:val="TableText"/>
              <w:spacing w:line="240" w:lineRule="exact"/>
              <w:jc w:val="center"/>
              <w:rPr>
                <w:b/>
                <w:sz w:val="22"/>
                <w:szCs w:val="22"/>
                <w:lang w:val="it-IT"/>
              </w:rPr>
            </w:pPr>
            <w:r w:rsidRPr="00295E71">
              <w:rPr>
                <w:b/>
                <w:sz w:val="22"/>
                <w:szCs w:val="22"/>
                <w:lang w:val="it-IT"/>
              </w:rPr>
              <w:t>N=159</w:t>
            </w:r>
          </w:p>
        </w:tc>
      </w:tr>
      <w:tr w14:paraId="3C2CE9AE" w14:textId="77777777">
        <w:tblPrEx>
          <w:tblW w:w="9238" w:type="dxa"/>
          <w:tblLook w:val="0000"/>
        </w:tblPrEx>
        <w:tc>
          <w:tcPr>
            <w:tcW w:w="2406" w:type="dxa"/>
            <w:tcBorders>
              <w:top w:val="single" w:sz="4" w:space="0" w:color="auto"/>
              <w:left w:val="single" w:sz="4" w:space="0" w:color="auto"/>
              <w:bottom w:val="single" w:sz="4" w:space="0" w:color="auto"/>
              <w:right w:val="single" w:sz="4" w:space="0" w:color="auto"/>
            </w:tcBorders>
            <w:vAlign w:val="bottom"/>
          </w:tcPr>
          <w:p w:rsidR="006224C2" w:rsidRPr="00295E71" w14:paraId="7A84F6F3" w14:textId="77777777">
            <w:pPr>
              <w:pStyle w:val="TableText"/>
              <w:spacing w:line="240" w:lineRule="exact"/>
              <w:rPr>
                <w:sz w:val="22"/>
                <w:szCs w:val="22"/>
                <w:lang w:val="it-IT"/>
              </w:rPr>
            </w:pPr>
            <w:r w:rsidRPr="00295E71">
              <w:rPr>
                <w:sz w:val="22"/>
                <w:szCs w:val="22"/>
                <w:lang w:val="it-IT"/>
              </w:rPr>
              <w:t>Settimana 4</w:t>
            </w:r>
          </w:p>
        </w:tc>
        <w:tc>
          <w:tcPr>
            <w:tcW w:w="1210" w:type="dxa"/>
            <w:tcBorders>
              <w:top w:val="single" w:sz="4" w:space="0" w:color="auto"/>
              <w:left w:val="single" w:sz="4" w:space="0" w:color="auto"/>
              <w:bottom w:val="single" w:sz="4" w:space="0" w:color="auto"/>
              <w:right w:val="single" w:sz="4" w:space="0" w:color="auto"/>
            </w:tcBorders>
            <w:vAlign w:val="bottom"/>
          </w:tcPr>
          <w:p w:rsidR="006224C2" w:rsidRPr="00295E71" w14:paraId="5A02AF4D" w14:textId="77777777">
            <w:pPr>
              <w:pStyle w:val="TableText"/>
              <w:spacing w:line="240" w:lineRule="exact"/>
              <w:rPr>
                <w:sz w:val="22"/>
                <w:szCs w:val="22"/>
                <w:lang w:val="it-IT"/>
              </w:rPr>
            </w:pPr>
          </w:p>
        </w:tc>
        <w:tc>
          <w:tcPr>
            <w:tcW w:w="1262" w:type="dxa"/>
            <w:tcBorders>
              <w:top w:val="single" w:sz="4" w:space="0" w:color="auto"/>
              <w:left w:val="single" w:sz="4" w:space="0" w:color="auto"/>
              <w:bottom w:val="single" w:sz="4" w:space="0" w:color="auto"/>
              <w:right w:val="single" w:sz="4" w:space="0" w:color="auto"/>
            </w:tcBorders>
            <w:vAlign w:val="bottom"/>
          </w:tcPr>
          <w:p w:rsidR="006224C2" w:rsidRPr="00295E71" w14:paraId="340C13E3" w14:textId="77777777">
            <w:pPr>
              <w:pStyle w:val="TableText"/>
              <w:spacing w:line="240" w:lineRule="exact"/>
              <w:rPr>
                <w:sz w:val="22"/>
                <w:szCs w:val="22"/>
                <w:lang w:val="it-IT"/>
              </w:rPr>
            </w:pPr>
          </w:p>
        </w:tc>
        <w:tc>
          <w:tcPr>
            <w:tcW w:w="962" w:type="dxa"/>
            <w:tcBorders>
              <w:top w:val="single" w:sz="4" w:space="0" w:color="auto"/>
              <w:left w:val="single" w:sz="4" w:space="0" w:color="auto"/>
              <w:bottom w:val="single" w:sz="4" w:space="0" w:color="auto"/>
              <w:right w:val="single" w:sz="4" w:space="0" w:color="auto"/>
            </w:tcBorders>
            <w:vAlign w:val="bottom"/>
          </w:tcPr>
          <w:p w:rsidR="006224C2" w:rsidRPr="00295E71" w14:paraId="4E63A90E" w14:textId="77777777">
            <w:pPr>
              <w:pStyle w:val="TableText"/>
              <w:spacing w:line="240" w:lineRule="exact"/>
              <w:rPr>
                <w:sz w:val="22"/>
                <w:szCs w:val="22"/>
                <w:lang w:val="it-IT"/>
              </w:rPr>
            </w:pPr>
          </w:p>
        </w:tc>
        <w:tc>
          <w:tcPr>
            <w:tcW w:w="1535" w:type="dxa"/>
            <w:tcBorders>
              <w:top w:val="single" w:sz="4" w:space="0" w:color="auto"/>
              <w:left w:val="single" w:sz="4" w:space="0" w:color="auto"/>
              <w:bottom w:val="single" w:sz="4" w:space="0" w:color="auto"/>
              <w:right w:val="single" w:sz="4" w:space="0" w:color="auto"/>
            </w:tcBorders>
            <w:vAlign w:val="bottom"/>
          </w:tcPr>
          <w:p w:rsidR="006224C2" w:rsidRPr="00295E71" w14:paraId="605963C3" w14:textId="77777777">
            <w:pPr>
              <w:pStyle w:val="TableText"/>
              <w:spacing w:line="240" w:lineRule="exact"/>
              <w:rPr>
                <w:sz w:val="22"/>
                <w:szCs w:val="22"/>
                <w:lang w:val="it-IT"/>
              </w:rPr>
            </w:pPr>
          </w:p>
        </w:tc>
        <w:tc>
          <w:tcPr>
            <w:tcW w:w="1863" w:type="dxa"/>
            <w:tcBorders>
              <w:top w:val="single" w:sz="4" w:space="0" w:color="auto"/>
              <w:left w:val="single" w:sz="4" w:space="0" w:color="auto"/>
              <w:bottom w:val="single" w:sz="4" w:space="0" w:color="auto"/>
              <w:right w:val="single" w:sz="4" w:space="0" w:color="auto"/>
            </w:tcBorders>
            <w:vAlign w:val="bottom"/>
          </w:tcPr>
          <w:p w:rsidR="006224C2" w:rsidRPr="00295E71" w14:paraId="60551C56" w14:textId="77777777">
            <w:pPr>
              <w:pStyle w:val="TableText"/>
              <w:spacing w:line="240" w:lineRule="exact"/>
              <w:rPr>
                <w:sz w:val="22"/>
                <w:szCs w:val="22"/>
                <w:lang w:val="it-IT"/>
              </w:rPr>
            </w:pPr>
          </w:p>
        </w:tc>
      </w:tr>
      <w:tr w14:paraId="658A2E83" w14:textId="77777777">
        <w:tblPrEx>
          <w:tblW w:w="9238" w:type="dxa"/>
          <w:tblLook w:val="0000"/>
        </w:tblPrEx>
        <w:tc>
          <w:tcPr>
            <w:tcW w:w="2406" w:type="dxa"/>
            <w:tcBorders>
              <w:top w:val="single" w:sz="4" w:space="0" w:color="auto"/>
              <w:left w:val="single" w:sz="4" w:space="0" w:color="auto"/>
              <w:bottom w:val="single" w:sz="4" w:space="0" w:color="auto"/>
              <w:right w:val="single" w:sz="4" w:space="0" w:color="auto"/>
            </w:tcBorders>
            <w:vAlign w:val="bottom"/>
          </w:tcPr>
          <w:p w:rsidR="006224C2" w:rsidRPr="00295E71" w14:paraId="220D9B45" w14:textId="77777777">
            <w:pPr>
              <w:pStyle w:val="TableText"/>
              <w:spacing w:line="240" w:lineRule="exact"/>
              <w:rPr>
                <w:sz w:val="22"/>
                <w:szCs w:val="22"/>
                <w:lang w:val="it-IT"/>
              </w:rPr>
            </w:pPr>
            <w:r w:rsidRPr="00295E71">
              <w:rPr>
                <w:sz w:val="22"/>
                <w:szCs w:val="22"/>
                <w:lang w:val="it-IT"/>
              </w:rPr>
              <w:t>Remissione clinica</w:t>
            </w:r>
          </w:p>
        </w:tc>
        <w:tc>
          <w:tcPr>
            <w:tcW w:w="1210" w:type="dxa"/>
            <w:tcBorders>
              <w:top w:val="single" w:sz="4" w:space="0" w:color="auto"/>
              <w:left w:val="single" w:sz="4" w:space="0" w:color="auto"/>
              <w:bottom w:val="single" w:sz="4" w:space="0" w:color="auto"/>
              <w:right w:val="single" w:sz="4" w:space="0" w:color="auto"/>
            </w:tcBorders>
            <w:vAlign w:val="bottom"/>
          </w:tcPr>
          <w:p w:rsidR="006224C2" w:rsidRPr="00295E71" w14:paraId="7F0A5E7C" w14:textId="77777777">
            <w:pPr>
              <w:pStyle w:val="TableText"/>
              <w:spacing w:line="240" w:lineRule="exact"/>
              <w:jc w:val="center"/>
              <w:rPr>
                <w:sz w:val="22"/>
                <w:szCs w:val="22"/>
                <w:lang w:val="it-IT"/>
              </w:rPr>
            </w:pPr>
            <w:r w:rsidRPr="00295E71">
              <w:rPr>
                <w:sz w:val="22"/>
                <w:szCs w:val="22"/>
                <w:lang w:val="it-IT"/>
              </w:rPr>
              <w:t>12%</w:t>
            </w:r>
          </w:p>
        </w:tc>
        <w:tc>
          <w:tcPr>
            <w:tcW w:w="1262" w:type="dxa"/>
            <w:tcBorders>
              <w:top w:val="single" w:sz="4" w:space="0" w:color="auto"/>
              <w:left w:val="single" w:sz="4" w:space="0" w:color="auto"/>
              <w:bottom w:val="single" w:sz="4" w:space="0" w:color="auto"/>
              <w:right w:val="single" w:sz="4" w:space="0" w:color="auto"/>
            </w:tcBorders>
            <w:vAlign w:val="bottom"/>
          </w:tcPr>
          <w:p w:rsidR="006224C2" w:rsidRPr="00295E71" w14:paraId="4BD7B2A2" w14:textId="77777777">
            <w:pPr>
              <w:pStyle w:val="TableText"/>
              <w:spacing w:line="240" w:lineRule="exact"/>
              <w:jc w:val="center"/>
              <w:rPr>
                <w:sz w:val="22"/>
                <w:szCs w:val="22"/>
                <w:lang w:val="it-IT"/>
              </w:rPr>
            </w:pPr>
            <w:r w:rsidRPr="00295E71">
              <w:rPr>
                <w:sz w:val="22"/>
                <w:szCs w:val="22"/>
                <w:lang w:val="it-IT"/>
              </w:rPr>
              <w:t>24%</w:t>
            </w:r>
          </w:p>
        </w:tc>
        <w:tc>
          <w:tcPr>
            <w:tcW w:w="962" w:type="dxa"/>
            <w:tcBorders>
              <w:top w:val="single" w:sz="4" w:space="0" w:color="auto"/>
              <w:left w:val="single" w:sz="4" w:space="0" w:color="auto"/>
              <w:bottom w:val="single" w:sz="4" w:space="0" w:color="auto"/>
              <w:right w:val="single" w:sz="4" w:space="0" w:color="auto"/>
            </w:tcBorders>
            <w:vAlign w:val="bottom"/>
          </w:tcPr>
          <w:p w:rsidR="006224C2" w:rsidRPr="00295E71" w14:paraId="2CECC6CC" w14:textId="77777777">
            <w:pPr>
              <w:pStyle w:val="TableText"/>
              <w:spacing w:line="240" w:lineRule="exact"/>
              <w:jc w:val="center"/>
              <w:rPr>
                <w:sz w:val="22"/>
                <w:szCs w:val="22"/>
                <w:lang w:val="it-IT"/>
              </w:rPr>
            </w:pPr>
            <w:r w:rsidRPr="00295E71">
              <w:rPr>
                <w:sz w:val="22"/>
                <w:szCs w:val="22"/>
                <w:lang w:val="it-IT"/>
              </w:rPr>
              <w:t>36%</w:t>
            </w:r>
            <w:r w:rsidRPr="00295E71">
              <w:rPr>
                <w:sz w:val="22"/>
                <w:szCs w:val="22"/>
                <w:vertAlign w:val="superscript"/>
                <w:lang w:val="it-IT"/>
              </w:rPr>
              <w:t>*</w:t>
            </w:r>
          </w:p>
        </w:tc>
        <w:tc>
          <w:tcPr>
            <w:tcW w:w="1535" w:type="dxa"/>
            <w:tcBorders>
              <w:top w:val="single" w:sz="4" w:space="0" w:color="auto"/>
              <w:left w:val="single" w:sz="4" w:space="0" w:color="auto"/>
              <w:bottom w:val="single" w:sz="4" w:space="0" w:color="auto"/>
              <w:right w:val="single" w:sz="4" w:space="0" w:color="auto"/>
            </w:tcBorders>
            <w:vAlign w:val="bottom"/>
          </w:tcPr>
          <w:p w:rsidR="006224C2" w:rsidRPr="00295E71" w14:paraId="129340B3" w14:textId="77777777">
            <w:pPr>
              <w:pStyle w:val="TableText"/>
              <w:spacing w:line="240" w:lineRule="exact"/>
              <w:jc w:val="center"/>
              <w:rPr>
                <w:sz w:val="22"/>
                <w:szCs w:val="22"/>
                <w:lang w:val="it-IT"/>
              </w:rPr>
            </w:pPr>
            <w:r w:rsidRPr="00295E71">
              <w:rPr>
                <w:sz w:val="22"/>
                <w:szCs w:val="22"/>
                <w:lang w:val="it-IT"/>
              </w:rPr>
              <w:t>7%</w:t>
            </w:r>
          </w:p>
        </w:tc>
        <w:tc>
          <w:tcPr>
            <w:tcW w:w="1863" w:type="dxa"/>
            <w:tcBorders>
              <w:top w:val="single" w:sz="4" w:space="0" w:color="auto"/>
              <w:left w:val="single" w:sz="4" w:space="0" w:color="auto"/>
              <w:bottom w:val="single" w:sz="4" w:space="0" w:color="auto"/>
              <w:right w:val="single" w:sz="4" w:space="0" w:color="auto"/>
            </w:tcBorders>
            <w:vAlign w:val="bottom"/>
          </w:tcPr>
          <w:p w:rsidR="006224C2" w:rsidRPr="00295E71" w14:paraId="3625DC88" w14:textId="77777777">
            <w:pPr>
              <w:pStyle w:val="TableText"/>
              <w:spacing w:line="240" w:lineRule="exact"/>
              <w:jc w:val="center"/>
              <w:rPr>
                <w:sz w:val="22"/>
                <w:szCs w:val="22"/>
                <w:lang w:val="it-IT"/>
              </w:rPr>
            </w:pPr>
            <w:r w:rsidRPr="00295E71">
              <w:rPr>
                <w:sz w:val="22"/>
                <w:szCs w:val="22"/>
                <w:lang w:val="it-IT"/>
              </w:rPr>
              <w:t>21%</w:t>
            </w:r>
            <w:r w:rsidRPr="00295E71">
              <w:rPr>
                <w:sz w:val="22"/>
                <w:szCs w:val="22"/>
                <w:vertAlign w:val="superscript"/>
                <w:lang w:val="it-IT"/>
              </w:rPr>
              <w:t>*</w:t>
            </w:r>
          </w:p>
        </w:tc>
      </w:tr>
      <w:tr w14:paraId="706E4B36" w14:textId="77777777">
        <w:tblPrEx>
          <w:tblW w:w="9238" w:type="dxa"/>
          <w:tblLook w:val="0000"/>
        </w:tblPrEx>
        <w:tc>
          <w:tcPr>
            <w:tcW w:w="2406" w:type="dxa"/>
            <w:tcBorders>
              <w:top w:val="single" w:sz="4" w:space="0" w:color="auto"/>
              <w:left w:val="single" w:sz="4" w:space="0" w:color="auto"/>
              <w:bottom w:val="single" w:sz="4" w:space="0" w:color="auto"/>
              <w:right w:val="single" w:sz="4" w:space="0" w:color="auto"/>
            </w:tcBorders>
          </w:tcPr>
          <w:p w:rsidR="006224C2" w:rsidRPr="00295E71" w14:paraId="01274105" w14:textId="77777777">
            <w:pPr>
              <w:pStyle w:val="TableText"/>
              <w:spacing w:line="240" w:lineRule="exact"/>
              <w:rPr>
                <w:sz w:val="22"/>
                <w:szCs w:val="22"/>
                <w:lang w:val="it-IT"/>
              </w:rPr>
            </w:pPr>
            <w:r w:rsidRPr="00295E71">
              <w:rPr>
                <w:sz w:val="22"/>
                <w:szCs w:val="22"/>
                <w:lang w:val="it-IT"/>
              </w:rPr>
              <w:t>Risposta clinica (CR-100)</w:t>
            </w:r>
          </w:p>
        </w:tc>
        <w:tc>
          <w:tcPr>
            <w:tcW w:w="1210" w:type="dxa"/>
            <w:tcBorders>
              <w:top w:val="single" w:sz="4" w:space="0" w:color="auto"/>
              <w:left w:val="single" w:sz="4" w:space="0" w:color="auto"/>
              <w:bottom w:val="single" w:sz="4" w:space="0" w:color="auto"/>
              <w:right w:val="single" w:sz="4" w:space="0" w:color="auto"/>
            </w:tcBorders>
          </w:tcPr>
          <w:p w:rsidR="006224C2" w:rsidRPr="00295E71" w14:paraId="59F5FFBB" w14:textId="77777777">
            <w:pPr>
              <w:pStyle w:val="TableText"/>
              <w:spacing w:line="240" w:lineRule="exact"/>
              <w:jc w:val="center"/>
              <w:rPr>
                <w:sz w:val="22"/>
                <w:szCs w:val="22"/>
                <w:lang w:val="it-IT"/>
              </w:rPr>
            </w:pPr>
            <w:r w:rsidRPr="00295E71">
              <w:rPr>
                <w:sz w:val="22"/>
                <w:szCs w:val="22"/>
                <w:lang w:val="it-IT"/>
              </w:rPr>
              <w:t>24%</w:t>
            </w:r>
          </w:p>
        </w:tc>
        <w:tc>
          <w:tcPr>
            <w:tcW w:w="1262" w:type="dxa"/>
            <w:tcBorders>
              <w:top w:val="single" w:sz="4" w:space="0" w:color="auto"/>
              <w:left w:val="single" w:sz="4" w:space="0" w:color="auto"/>
              <w:bottom w:val="single" w:sz="4" w:space="0" w:color="auto"/>
              <w:right w:val="single" w:sz="4" w:space="0" w:color="auto"/>
            </w:tcBorders>
          </w:tcPr>
          <w:p w:rsidR="006224C2" w:rsidRPr="00295E71" w14:paraId="4D609B80" w14:textId="77777777">
            <w:pPr>
              <w:pStyle w:val="TableText"/>
              <w:spacing w:line="240" w:lineRule="exact"/>
              <w:jc w:val="center"/>
              <w:rPr>
                <w:sz w:val="22"/>
                <w:szCs w:val="22"/>
                <w:lang w:val="it-IT"/>
              </w:rPr>
            </w:pPr>
            <w:r w:rsidRPr="00295E71">
              <w:rPr>
                <w:sz w:val="22"/>
                <w:szCs w:val="22"/>
                <w:lang w:val="it-IT"/>
              </w:rPr>
              <w:t>37%</w:t>
            </w:r>
          </w:p>
        </w:tc>
        <w:tc>
          <w:tcPr>
            <w:tcW w:w="962" w:type="dxa"/>
            <w:tcBorders>
              <w:top w:val="single" w:sz="4" w:space="0" w:color="auto"/>
              <w:left w:val="single" w:sz="4" w:space="0" w:color="auto"/>
              <w:bottom w:val="single" w:sz="4" w:space="0" w:color="auto"/>
              <w:right w:val="single" w:sz="4" w:space="0" w:color="auto"/>
            </w:tcBorders>
          </w:tcPr>
          <w:p w:rsidR="006224C2" w:rsidRPr="00295E71" w14:paraId="0E3A5864" w14:textId="77777777">
            <w:pPr>
              <w:pStyle w:val="TableText"/>
              <w:spacing w:line="240" w:lineRule="exact"/>
              <w:jc w:val="center"/>
              <w:rPr>
                <w:sz w:val="22"/>
                <w:szCs w:val="22"/>
                <w:lang w:val="it-IT"/>
              </w:rPr>
            </w:pPr>
            <w:r w:rsidRPr="00295E71">
              <w:rPr>
                <w:sz w:val="22"/>
                <w:szCs w:val="22"/>
                <w:lang w:val="it-IT"/>
              </w:rPr>
              <w:t>49%</w:t>
            </w:r>
            <w:r w:rsidRPr="00295E71">
              <w:rPr>
                <w:sz w:val="22"/>
                <w:szCs w:val="22"/>
                <w:vertAlign w:val="superscript"/>
                <w:lang w:val="it-IT"/>
              </w:rPr>
              <w:t>**</w:t>
            </w:r>
          </w:p>
        </w:tc>
        <w:tc>
          <w:tcPr>
            <w:tcW w:w="1535" w:type="dxa"/>
            <w:tcBorders>
              <w:top w:val="single" w:sz="4" w:space="0" w:color="auto"/>
              <w:left w:val="single" w:sz="4" w:space="0" w:color="auto"/>
              <w:bottom w:val="single" w:sz="4" w:space="0" w:color="auto"/>
              <w:right w:val="single" w:sz="4" w:space="0" w:color="auto"/>
            </w:tcBorders>
          </w:tcPr>
          <w:p w:rsidR="006224C2" w:rsidRPr="00295E71" w14:paraId="6F5DB477" w14:textId="77777777">
            <w:pPr>
              <w:pStyle w:val="TableText"/>
              <w:spacing w:line="240" w:lineRule="exact"/>
              <w:jc w:val="center"/>
              <w:rPr>
                <w:sz w:val="22"/>
                <w:szCs w:val="22"/>
                <w:lang w:val="it-IT"/>
              </w:rPr>
            </w:pPr>
            <w:r w:rsidRPr="00295E71">
              <w:rPr>
                <w:sz w:val="22"/>
                <w:szCs w:val="22"/>
                <w:lang w:val="it-IT"/>
              </w:rPr>
              <w:t>25%</w:t>
            </w:r>
          </w:p>
        </w:tc>
        <w:tc>
          <w:tcPr>
            <w:tcW w:w="1863" w:type="dxa"/>
            <w:tcBorders>
              <w:top w:val="single" w:sz="4" w:space="0" w:color="auto"/>
              <w:left w:val="single" w:sz="4" w:space="0" w:color="auto"/>
              <w:bottom w:val="single" w:sz="4" w:space="0" w:color="auto"/>
              <w:right w:val="single" w:sz="4" w:space="0" w:color="auto"/>
            </w:tcBorders>
          </w:tcPr>
          <w:p w:rsidR="006224C2" w:rsidRPr="00295E71" w14:paraId="78E125A6" w14:textId="77777777">
            <w:pPr>
              <w:pStyle w:val="TableText"/>
              <w:spacing w:line="240" w:lineRule="exact"/>
              <w:jc w:val="center"/>
              <w:rPr>
                <w:sz w:val="22"/>
                <w:szCs w:val="22"/>
                <w:lang w:val="it-IT"/>
              </w:rPr>
            </w:pPr>
            <w:r w:rsidRPr="00295E71">
              <w:rPr>
                <w:sz w:val="22"/>
                <w:szCs w:val="22"/>
                <w:lang w:val="it-IT"/>
              </w:rPr>
              <w:t>38%</w:t>
            </w:r>
            <w:r w:rsidRPr="00295E71">
              <w:rPr>
                <w:sz w:val="22"/>
                <w:szCs w:val="22"/>
                <w:vertAlign w:val="superscript"/>
                <w:lang w:val="it-IT"/>
              </w:rPr>
              <w:t>**</w:t>
            </w:r>
          </w:p>
        </w:tc>
      </w:tr>
      <w:tr w14:paraId="333C36EE" w14:textId="77777777">
        <w:tblPrEx>
          <w:tblW w:w="9238" w:type="dxa"/>
          <w:tblLook w:val="0000"/>
        </w:tblPrEx>
        <w:tc>
          <w:tcPr>
            <w:tcW w:w="9238" w:type="dxa"/>
            <w:gridSpan w:val="6"/>
            <w:tcBorders>
              <w:top w:val="single" w:sz="4" w:space="0" w:color="auto"/>
              <w:left w:val="nil"/>
              <w:bottom w:val="nil"/>
              <w:right w:val="nil"/>
            </w:tcBorders>
          </w:tcPr>
          <w:p w:rsidR="006224C2" w:rsidRPr="00295E71" w14:paraId="524844D6" w14:textId="77777777">
            <w:pPr>
              <w:pStyle w:val="TableText"/>
              <w:spacing w:line="240" w:lineRule="exact"/>
              <w:rPr>
                <w:sz w:val="22"/>
                <w:szCs w:val="22"/>
                <w:lang w:val="it-IT"/>
              </w:rPr>
            </w:pPr>
            <w:r w:rsidRPr="00295E71">
              <w:rPr>
                <w:sz w:val="22"/>
                <w:szCs w:val="22"/>
                <w:lang w:val="it-IT"/>
              </w:rPr>
              <w:t>Tutti i valori p rappresentano i confronti a coppie delle percentuali di Humira verso placebo</w:t>
            </w:r>
          </w:p>
          <w:p w:rsidR="006224C2" w:rsidRPr="00295E71" w14:paraId="3985A713" w14:textId="77777777">
            <w:pPr>
              <w:pStyle w:val="TableText"/>
              <w:spacing w:line="240" w:lineRule="exact"/>
              <w:rPr>
                <w:sz w:val="22"/>
                <w:szCs w:val="22"/>
                <w:lang w:val="it-IT"/>
              </w:rPr>
            </w:pPr>
            <w:r w:rsidRPr="00295E71">
              <w:rPr>
                <w:sz w:val="22"/>
                <w:szCs w:val="22"/>
                <w:vertAlign w:val="superscript"/>
                <w:lang w:val="it-IT"/>
              </w:rPr>
              <w:t>*</w:t>
            </w:r>
            <w:r w:rsidRPr="00295E71">
              <w:rPr>
                <w:sz w:val="22"/>
                <w:szCs w:val="22"/>
                <w:lang w:val="it-IT"/>
              </w:rPr>
              <w:tab/>
              <w:t>p&lt;0,001</w:t>
            </w:r>
          </w:p>
          <w:p w:rsidR="006224C2" w:rsidRPr="00295E71" w14:paraId="57675BDE" w14:textId="77777777">
            <w:pPr>
              <w:pStyle w:val="TableText"/>
              <w:spacing w:line="240" w:lineRule="exact"/>
              <w:rPr>
                <w:sz w:val="22"/>
                <w:szCs w:val="22"/>
                <w:lang w:val="it-IT"/>
              </w:rPr>
            </w:pPr>
            <w:r w:rsidRPr="00295E71">
              <w:rPr>
                <w:sz w:val="22"/>
                <w:szCs w:val="22"/>
                <w:vertAlign w:val="superscript"/>
                <w:lang w:val="it-IT"/>
              </w:rPr>
              <w:t>**</w:t>
            </w:r>
            <w:r w:rsidRPr="00295E71">
              <w:rPr>
                <w:sz w:val="22"/>
                <w:szCs w:val="22"/>
                <w:lang w:val="it-IT"/>
              </w:rPr>
              <w:tab/>
              <w:t>p&lt;0,01</w:t>
            </w:r>
          </w:p>
        </w:tc>
      </w:tr>
    </w:tbl>
    <w:p w:rsidR="006224C2" w:rsidRPr="00295E71" w14:paraId="281415CA" w14:textId="77777777">
      <w:pPr>
        <w:pStyle w:val="EMEANormal"/>
        <w:rPr>
          <w:lang w:val="it-IT"/>
        </w:rPr>
      </w:pPr>
    </w:p>
    <w:p w:rsidR="006224C2" w:rsidRPr="00295E71" w14:paraId="2594AB3E" w14:textId="77777777">
      <w:pPr>
        <w:pStyle w:val="EMEANormal"/>
        <w:jc w:val="both"/>
        <w:rPr>
          <w:lang w:val="it-IT"/>
        </w:rPr>
      </w:pPr>
      <w:r w:rsidRPr="00295E71">
        <w:rPr>
          <w:lang w:val="it-IT"/>
        </w:rPr>
        <w:t>Percentuali di remissione simili sono state osservate nel gruppo trattato con la dose di induzione pari a 160/80 mg ed a 80/40 mg entro la settimana 8 e gli eventi avversi si sono manifestati più frequentemente nel gruppo trattato con il dosaggio pari a 160/80 mg.</w:t>
      </w:r>
    </w:p>
    <w:p w:rsidR="006224C2" w:rsidRPr="00295E71" w14:paraId="537A4097" w14:textId="77777777">
      <w:pPr>
        <w:pStyle w:val="EMEANormal"/>
        <w:jc w:val="both"/>
        <w:rPr>
          <w:lang w:val="it-IT"/>
        </w:rPr>
      </w:pPr>
    </w:p>
    <w:p w:rsidR="006224C2" w:rsidRPr="00295E71" w14:paraId="140CBD3F" w14:textId="77777777">
      <w:pPr>
        <w:rPr>
          <w:sz w:val="22"/>
          <w:szCs w:val="22"/>
        </w:rPr>
      </w:pPr>
      <w:r w:rsidRPr="00295E71">
        <w:rPr>
          <w:sz w:val="22"/>
          <w:szCs w:val="22"/>
        </w:rPr>
        <w:t xml:space="preserve">Nello studio CD III, alla settimana 4, il 58% (499/854) dei pazienti ha manifestato una risposta clinica ed è stato valutato nell’analisi primaria. Tra i pazienti che hanno manifestato una risposta clinicaalla settimana 4, il 48% era stato esposto precedentemente a terapia con altri farmaci antagonisti del TNF. Le percentuali relative al mantenimento della remissione e della risposta clinica sono riportate nella Tabella </w:t>
      </w:r>
      <w:r w:rsidRPr="00295E71" w:rsidR="00C457AE">
        <w:rPr>
          <w:sz w:val="22"/>
          <w:szCs w:val="22"/>
        </w:rPr>
        <w:t>2</w:t>
      </w:r>
      <w:r w:rsidR="0062664F">
        <w:rPr>
          <w:sz w:val="22"/>
          <w:szCs w:val="22"/>
        </w:rPr>
        <w:t>2</w:t>
      </w:r>
      <w:r w:rsidRPr="00295E71">
        <w:rPr>
          <w:sz w:val="22"/>
          <w:szCs w:val="22"/>
        </w:rPr>
        <w:t>. I risultati relativi alla remissione clinica sono rimasti relativamente costanti a prescindere dall’esposizione precedente a farmaci anti-TNF.</w:t>
      </w:r>
    </w:p>
    <w:p w:rsidR="006224C2" w:rsidRPr="00295E71" w14:paraId="47C4CBF0" w14:textId="77777777">
      <w:pPr>
        <w:pStyle w:val="EMEANormal"/>
        <w:jc w:val="both"/>
        <w:rPr>
          <w:lang w:val="it-IT"/>
        </w:rPr>
      </w:pPr>
    </w:p>
    <w:p w:rsidR="006224C2" w:rsidRPr="00295E71" w14:paraId="63D09CEA" w14:textId="77777777">
      <w:pPr>
        <w:pStyle w:val="EMEANormal"/>
        <w:jc w:val="both"/>
        <w:rPr>
          <w:lang w:val="it-IT"/>
        </w:rPr>
      </w:pPr>
      <w:r w:rsidRPr="00295E71">
        <w:rPr>
          <w:lang w:val="it-IT"/>
        </w:rPr>
        <w:t>Alla settimana 56 il ricovero ospedaliero correlato alla malattia e gli interventi chirurgici erano statisticamente significativamente ridotti con adalimumab rispetto al placebo.</w:t>
      </w:r>
    </w:p>
    <w:p w:rsidR="006224C2" w:rsidRPr="00295E71" w14:paraId="552097F8" w14:textId="77777777">
      <w:pPr>
        <w:keepNext/>
        <w:rPr>
          <w:sz w:val="22"/>
          <w:szCs w:val="22"/>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3644"/>
        <w:gridCol w:w="1713"/>
        <w:gridCol w:w="1889"/>
        <w:gridCol w:w="1824"/>
      </w:tblGrid>
      <w:tr w14:paraId="79CDC35D" w14:textId="77777777">
        <w:tblPrEx>
          <w:tblW w:w="0" w:type="auto"/>
          <w:tblLook w:val="0000"/>
        </w:tblPrEx>
        <w:tc>
          <w:tcPr>
            <w:tcW w:w="9286" w:type="dxa"/>
            <w:gridSpan w:val="4"/>
            <w:tcBorders>
              <w:top w:val="nil"/>
              <w:left w:val="nil"/>
              <w:bottom w:val="single" w:sz="4" w:space="0" w:color="auto"/>
              <w:right w:val="nil"/>
            </w:tcBorders>
          </w:tcPr>
          <w:p w:rsidR="006224C2" w:rsidRPr="00295E71" w14:paraId="5E72F290" w14:textId="77777777">
            <w:pPr>
              <w:pStyle w:val="TableText"/>
              <w:spacing w:line="240" w:lineRule="exact"/>
              <w:jc w:val="center"/>
              <w:rPr>
                <w:b/>
                <w:bCs/>
                <w:sz w:val="22"/>
                <w:szCs w:val="22"/>
                <w:lang w:val="it-IT"/>
              </w:rPr>
            </w:pPr>
            <w:r w:rsidRPr="00295E71">
              <w:rPr>
                <w:sz w:val="22"/>
                <w:szCs w:val="22"/>
                <w:lang w:val="it-IT"/>
              </w:rPr>
              <w:br w:type="page"/>
            </w:r>
            <w:r w:rsidRPr="00295E71">
              <w:rPr>
                <w:b/>
                <w:bCs/>
                <w:sz w:val="22"/>
                <w:szCs w:val="22"/>
                <w:lang w:val="it-IT"/>
              </w:rPr>
              <w:t xml:space="preserve">Tabella </w:t>
            </w:r>
            <w:r w:rsidRPr="00295E71" w:rsidR="00C457AE">
              <w:rPr>
                <w:b/>
                <w:bCs/>
                <w:sz w:val="22"/>
                <w:szCs w:val="22"/>
                <w:lang w:val="it-IT"/>
              </w:rPr>
              <w:t>2</w:t>
            </w:r>
            <w:r w:rsidR="0062664F">
              <w:rPr>
                <w:b/>
                <w:bCs/>
                <w:sz w:val="22"/>
                <w:szCs w:val="22"/>
                <w:lang w:val="it-IT"/>
              </w:rPr>
              <w:t>2</w:t>
            </w:r>
          </w:p>
          <w:p w:rsidR="006224C2" w:rsidRPr="00295E71" w14:paraId="7AD0669C" w14:textId="77777777">
            <w:pPr>
              <w:pStyle w:val="TableText"/>
              <w:spacing w:line="240" w:lineRule="exact"/>
              <w:jc w:val="center"/>
              <w:rPr>
                <w:b/>
                <w:bCs/>
                <w:sz w:val="22"/>
                <w:szCs w:val="22"/>
                <w:lang w:val="it-IT"/>
              </w:rPr>
            </w:pPr>
            <w:r w:rsidRPr="00295E71">
              <w:rPr>
                <w:b/>
                <w:bCs/>
                <w:sz w:val="22"/>
                <w:szCs w:val="22"/>
                <w:lang w:val="it-IT"/>
              </w:rPr>
              <w:t>Mantenimento della remissione e della risposta clinica</w:t>
            </w:r>
          </w:p>
          <w:p w:rsidR="006224C2" w:rsidRPr="00295E71" w14:paraId="27FD68E2" w14:textId="77777777">
            <w:pPr>
              <w:pStyle w:val="TableText"/>
              <w:spacing w:line="240" w:lineRule="exact"/>
              <w:jc w:val="center"/>
              <w:rPr>
                <w:b/>
                <w:bCs/>
                <w:sz w:val="22"/>
                <w:szCs w:val="22"/>
                <w:lang w:val="it-IT"/>
              </w:rPr>
            </w:pPr>
            <w:r w:rsidRPr="00295E71">
              <w:rPr>
                <w:b/>
                <w:bCs/>
                <w:sz w:val="22"/>
                <w:szCs w:val="22"/>
                <w:lang w:val="it-IT"/>
              </w:rPr>
              <w:t>(percentuale di pazienti)</w:t>
            </w:r>
          </w:p>
          <w:p w:rsidR="006224C2" w:rsidRPr="00295E71" w14:paraId="3FAD6378" w14:textId="77777777">
            <w:pPr>
              <w:pStyle w:val="TableText"/>
              <w:spacing w:line="240" w:lineRule="exact"/>
              <w:jc w:val="center"/>
              <w:rPr>
                <w:sz w:val="22"/>
                <w:szCs w:val="22"/>
                <w:lang w:val="it-IT"/>
              </w:rPr>
            </w:pPr>
          </w:p>
        </w:tc>
      </w:tr>
      <w:tr w14:paraId="306C6C4B" w14:textId="77777777">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65CCBFA4" w14:textId="77777777">
            <w:pPr>
              <w:pStyle w:val="TableText"/>
              <w:spacing w:line="240" w:lineRule="exact"/>
              <w:rPr>
                <w:b/>
                <w:bCs/>
                <w:sz w:val="22"/>
                <w:szCs w:val="22"/>
                <w:lang w:val="it-IT"/>
              </w:rPr>
            </w:pPr>
          </w:p>
        </w:tc>
        <w:tc>
          <w:tcPr>
            <w:tcW w:w="1751" w:type="dxa"/>
            <w:tcBorders>
              <w:top w:val="single" w:sz="4" w:space="0" w:color="auto"/>
              <w:left w:val="single" w:sz="4" w:space="0" w:color="auto"/>
              <w:bottom w:val="single" w:sz="4" w:space="0" w:color="auto"/>
              <w:right w:val="single" w:sz="4" w:space="0" w:color="auto"/>
            </w:tcBorders>
          </w:tcPr>
          <w:p w:rsidR="006224C2" w:rsidRPr="00295E71" w14:paraId="7AE0F654" w14:textId="77777777">
            <w:pPr>
              <w:pStyle w:val="TableText"/>
              <w:spacing w:line="240" w:lineRule="exact"/>
              <w:jc w:val="center"/>
              <w:rPr>
                <w:b/>
                <w:bCs/>
                <w:sz w:val="22"/>
                <w:szCs w:val="22"/>
                <w:lang w:val="it-IT"/>
              </w:rPr>
            </w:pPr>
            <w:r w:rsidRPr="00295E71">
              <w:rPr>
                <w:b/>
                <w:bCs/>
                <w:sz w:val="22"/>
                <w:szCs w:val="22"/>
                <w:lang w:val="it-IT"/>
              </w:rPr>
              <w:t>Placebo</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2356E91B" w14:textId="77777777">
            <w:pPr>
              <w:pStyle w:val="TableText"/>
              <w:spacing w:line="240" w:lineRule="exact"/>
              <w:jc w:val="center"/>
              <w:rPr>
                <w:b/>
                <w:bCs/>
                <w:sz w:val="22"/>
                <w:szCs w:val="22"/>
                <w:lang w:val="it-IT"/>
              </w:rPr>
            </w:pPr>
            <w:r w:rsidRPr="00295E71">
              <w:rPr>
                <w:b/>
                <w:bCs/>
                <w:sz w:val="22"/>
                <w:szCs w:val="22"/>
                <w:lang w:val="it-IT"/>
              </w:rPr>
              <w:t>40 mg Humira</w:t>
            </w:r>
            <w:r w:rsidRPr="00295E71">
              <w:rPr>
                <w:b/>
                <w:bCs/>
                <w:sz w:val="22"/>
                <w:szCs w:val="22"/>
                <w:lang w:val="it-IT"/>
              </w:rPr>
              <w:br/>
              <w:t>a settimane alterne</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58397C8F" w14:textId="77777777">
            <w:pPr>
              <w:pStyle w:val="TableText"/>
              <w:spacing w:line="240" w:lineRule="exact"/>
              <w:jc w:val="center"/>
              <w:rPr>
                <w:b/>
                <w:bCs/>
                <w:sz w:val="22"/>
                <w:szCs w:val="22"/>
                <w:lang w:val="it-IT"/>
              </w:rPr>
            </w:pPr>
            <w:r w:rsidRPr="00295E71">
              <w:rPr>
                <w:b/>
                <w:bCs/>
                <w:sz w:val="22"/>
                <w:szCs w:val="22"/>
                <w:lang w:val="it-IT"/>
              </w:rPr>
              <w:t>40 mg Humira</w:t>
            </w:r>
            <w:r w:rsidRPr="00295E71">
              <w:rPr>
                <w:b/>
                <w:bCs/>
                <w:sz w:val="22"/>
                <w:szCs w:val="22"/>
                <w:lang w:val="it-IT"/>
              </w:rPr>
              <w:br/>
              <w:t>ogni settimana</w:t>
            </w:r>
          </w:p>
        </w:tc>
      </w:tr>
      <w:tr w14:paraId="7719556A" w14:textId="77777777">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4A8333C4" w14:textId="77777777">
            <w:pPr>
              <w:pStyle w:val="TableText"/>
              <w:spacing w:line="240" w:lineRule="exact"/>
              <w:rPr>
                <w:b/>
                <w:bCs/>
                <w:sz w:val="22"/>
                <w:szCs w:val="22"/>
                <w:lang w:val="it-IT"/>
              </w:rPr>
            </w:pPr>
            <w:r w:rsidRPr="00295E71">
              <w:rPr>
                <w:b/>
                <w:bCs/>
                <w:sz w:val="22"/>
                <w:szCs w:val="22"/>
                <w:lang w:val="it-IT"/>
              </w:rPr>
              <w:t>Settimana 26</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2665BAB9" w14:textId="77777777">
            <w:pPr>
              <w:pStyle w:val="TableText"/>
              <w:spacing w:line="240" w:lineRule="exact"/>
              <w:jc w:val="center"/>
              <w:rPr>
                <w:b/>
                <w:bCs/>
                <w:sz w:val="22"/>
                <w:szCs w:val="22"/>
                <w:lang w:val="it-IT"/>
              </w:rPr>
            </w:pPr>
            <w:r w:rsidRPr="00295E71">
              <w:rPr>
                <w:b/>
                <w:bCs/>
                <w:sz w:val="22"/>
                <w:szCs w:val="22"/>
                <w:lang w:val="it-IT"/>
              </w:rPr>
              <w:t>N=170</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27B920DA" w14:textId="77777777">
            <w:pPr>
              <w:pStyle w:val="TableText"/>
              <w:spacing w:line="240" w:lineRule="exact"/>
              <w:jc w:val="center"/>
              <w:rPr>
                <w:b/>
                <w:bCs/>
                <w:sz w:val="22"/>
                <w:szCs w:val="22"/>
                <w:lang w:val="it-IT"/>
              </w:rPr>
            </w:pPr>
            <w:r w:rsidRPr="00295E71">
              <w:rPr>
                <w:b/>
                <w:bCs/>
                <w:sz w:val="22"/>
                <w:szCs w:val="22"/>
                <w:lang w:val="it-IT"/>
              </w:rPr>
              <w:t>N=172</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042E1647" w14:textId="77777777">
            <w:pPr>
              <w:pStyle w:val="TableText"/>
              <w:spacing w:line="240" w:lineRule="exact"/>
              <w:jc w:val="center"/>
              <w:rPr>
                <w:b/>
                <w:bCs/>
                <w:sz w:val="22"/>
                <w:szCs w:val="22"/>
                <w:lang w:val="it-IT"/>
              </w:rPr>
            </w:pPr>
            <w:r w:rsidRPr="00295E71">
              <w:rPr>
                <w:b/>
                <w:bCs/>
                <w:sz w:val="22"/>
                <w:szCs w:val="22"/>
                <w:lang w:val="it-IT"/>
              </w:rPr>
              <w:t>N=157</w:t>
            </w:r>
          </w:p>
        </w:tc>
      </w:tr>
      <w:tr w14:paraId="452117C5" w14:textId="77777777">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21EEC97B" w14:textId="77777777">
            <w:pPr>
              <w:pStyle w:val="TableText"/>
              <w:spacing w:line="240" w:lineRule="exact"/>
              <w:rPr>
                <w:sz w:val="22"/>
                <w:szCs w:val="22"/>
                <w:lang w:val="it-IT"/>
              </w:rPr>
            </w:pPr>
            <w:r w:rsidRPr="00295E71">
              <w:rPr>
                <w:sz w:val="22"/>
                <w:szCs w:val="22"/>
                <w:lang w:val="it-IT"/>
              </w:rPr>
              <w:t>Remissione clinica</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60B444D4" w14:textId="77777777">
            <w:pPr>
              <w:pStyle w:val="TableText"/>
              <w:spacing w:line="240" w:lineRule="exact"/>
              <w:jc w:val="center"/>
              <w:rPr>
                <w:sz w:val="22"/>
                <w:szCs w:val="22"/>
                <w:lang w:val="it-IT"/>
              </w:rPr>
            </w:pPr>
            <w:r w:rsidRPr="00295E71">
              <w:rPr>
                <w:sz w:val="22"/>
                <w:szCs w:val="22"/>
                <w:lang w:val="it-IT"/>
              </w:rPr>
              <w:t>17%</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7EC16E5A" w14:textId="77777777">
            <w:pPr>
              <w:pStyle w:val="TableText"/>
              <w:spacing w:line="240" w:lineRule="exact"/>
              <w:jc w:val="center"/>
              <w:rPr>
                <w:sz w:val="22"/>
                <w:szCs w:val="22"/>
                <w:lang w:val="it-IT"/>
              </w:rPr>
            </w:pPr>
            <w:r w:rsidRPr="00295E71">
              <w:rPr>
                <w:sz w:val="22"/>
                <w:szCs w:val="22"/>
                <w:lang w:val="it-IT"/>
              </w:rPr>
              <w:t>40%*</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5DB35DC4" w14:textId="77777777">
            <w:pPr>
              <w:pStyle w:val="TableText"/>
              <w:spacing w:line="240" w:lineRule="exact"/>
              <w:jc w:val="center"/>
              <w:rPr>
                <w:sz w:val="22"/>
                <w:szCs w:val="22"/>
                <w:lang w:val="it-IT"/>
              </w:rPr>
            </w:pPr>
            <w:r w:rsidRPr="00295E71">
              <w:rPr>
                <w:sz w:val="22"/>
                <w:szCs w:val="22"/>
                <w:lang w:val="it-IT"/>
              </w:rPr>
              <w:t>47%*</w:t>
            </w:r>
          </w:p>
        </w:tc>
      </w:tr>
      <w:tr w14:paraId="4CBCB80E" w14:textId="77777777">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2199CC2A" w14:textId="77777777">
            <w:pPr>
              <w:pStyle w:val="TableText"/>
              <w:spacing w:line="240" w:lineRule="exact"/>
              <w:rPr>
                <w:sz w:val="22"/>
                <w:szCs w:val="22"/>
                <w:lang w:val="it-IT"/>
              </w:rPr>
            </w:pPr>
            <w:r w:rsidRPr="00295E71">
              <w:rPr>
                <w:sz w:val="22"/>
                <w:szCs w:val="22"/>
                <w:lang w:val="it-IT"/>
              </w:rPr>
              <w:t>Risposta clinica (CR-100)</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243A3ACE" w14:textId="77777777">
            <w:pPr>
              <w:pStyle w:val="TableText"/>
              <w:spacing w:line="240" w:lineRule="exact"/>
              <w:jc w:val="center"/>
              <w:rPr>
                <w:sz w:val="22"/>
                <w:szCs w:val="22"/>
                <w:lang w:val="it-IT"/>
              </w:rPr>
            </w:pPr>
            <w:r w:rsidRPr="00295E71">
              <w:rPr>
                <w:sz w:val="22"/>
                <w:szCs w:val="22"/>
                <w:lang w:val="it-IT"/>
              </w:rPr>
              <w:t>27%</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68EEB89D" w14:textId="77777777">
            <w:pPr>
              <w:pStyle w:val="TableText"/>
              <w:spacing w:line="240" w:lineRule="exact"/>
              <w:jc w:val="center"/>
              <w:rPr>
                <w:sz w:val="22"/>
                <w:szCs w:val="22"/>
                <w:lang w:val="it-IT"/>
              </w:rPr>
            </w:pPr>
            <w:r w:rsidRPr="00295E71">
              <w:rPr>
                <w:sz w:val="22"/>
                <w:szCs w:val="22"/>
                <w:lang w:val="it-IT"/>
              </w:rPr>
              <w:t>52%*</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292D5FB0" w14:textId="77777777">
            <w:pPr>
              <w:pStyle w:val="TableText"/>
              <w:spacing w:line="240" w:lineRule="exact"/>
              <w:jc w:val="center"/>
              <w:rPr>
                <w:sz w:val="22"/>
                <w:szCs w:val="22"/>
                <w:lang w:val="it-IT"/>
              </w:rPr>
            </w:pPr>
            <w:r w:rsidRPr="00295E71">
              <w:rPr>
                <w:sz w:val="22"/>
                <w:szCs w:val="22"/>
                <w:lang w:val="it-IT"/>
              </w:rPr>
              <w:t>52%*</w:t>
            </w:r>
          </w:p>
        </w:tc>
      </w:tr>
      <w:tr w14:paraId="645D39E9" w14:textId="77777777">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7EEDD81C" w14:textId="77777777">
            <w:pPr>
              <w:pStyle w:val="TableText"/>
              <w:spacing w:line="240" w:lineRule="exact"/>
              <w:ind w:left="360"/>
              <w:rPr>
                <w:sz w:val="22"/>
                <w:szCs w:val="22"/>
                <w:lang w:val="it-IT"/>
              </w:rPr>
            </w:pPr>
            <w:r w:rsidRPr="00295E71">
              <w:rPr>
                <w:sz w:val="22"/>
                <w:szCs w:val="22"/>
                <w:lang w:val="it-IT"/>
              </w:rPr>
              <w:t xml:space="preserve">Pazienti in remissione senza trattamento steroideo </w:t>
            </w:r>
            <w:r w:rsidRPr="00295E71">
              <w:rPr>
                <w:sz w:val="22"/>
                <w:szCs w:val="22"/>
                <w:lang w:val="it-IT"/>
              </w:rPr>
              <w:br/>
              <w:t>per &gt;=90 giorni</w:t>
            </w:r>
            <w:r w:rsidRPr="00295E71">
              <w:rPr>
                <w:sz w:val="22"/>
                <w:szCs w:val="22"/>
                <w:vertAlign w:val="superscript"/>
                <w:lang w:val="it-IT"/>
              </w:rPr>
              <w:t>a</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0588A103" w14:textId="77777777">
            <w:pPr>
              <w:pStyle w:val="TableText"/>
              <w:spacing w:line="240" w:lineRule="exact"/>
              <w:jc w:val="center"/>
              <w:rPr>
                <w:sz w:val="22"/>
                <w:szCs w:val="22"/>
                <w:lang w:val="it-IT"/>
              </w:rPr>
            </w:pPr>
            <w:r w:rsidRPr="00295E71">
              <w:rPr>
                <w:sz w:val="22"/>
                <w:szCs w:val="22"/>
                <w:lang w:val="it-IT"/>
              </w:rPr>
              <w:t>3% (2/66)</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6595A6DC" w14:textId="77777777">
            <w:pPr>
              <w:pStyle w:val="TableText"/>
              <w:spacing w:line="240" w:lineRule="exact"/>
              <w:jc w:val="center"/>
              <w:rPr>
                <w:sz w:val="22"/>
                <w:szCs w:val="22"/>
                <w:lang w:val="it-IT"/>
              </w:rPr>
            </w:pPr>
            <w:r w:rsidRPr="00295E71">
              <w:rPr>
                <w:sz w:val="22"/>
                <w:szCs w:val="22"/>
                <w:lang w:val="it-IT"/>
              </w:rPr>
              <w:t>19% (11/58)**</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392F3DA8" w14:textId="77777777">
            <w:pPr>
              <w:pStyle w:val="TableText"/>
              <w:spacing w:line="240" w:lineRule="exact"/>
              <w:jc w:val="center"/>
              <w:rPr>
                <w:sz w:val="22"/>
                <w:szCs w:val="22"/>
                <w:lang w:val="it-IT"/>
              </w:rPr>
            </w:pPr>
            <w:r w:rsidRPr="00295E71">
              <w:rPr>
                <w:sz w:val="22"/>
                <w:szCs w:val="22"/>
                <w:lang w:val="it-IT"/>
              </w:rPr>
              <w:t>15% (11/74)**</w:t>
            </w:r>
          </w:p>
        </w:tc>
      </w:tr>
      <w:tr w14:paraId="44E20FEB" w14:textId="77777777">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67837E5A" w14:textId="77777777">
            <w:pPr>
              <w:pStyle w:val="TableText"/>
              <w:spacing w:line="240" w:lineRule="exact"/>
              <w:rPr>
                <w:b/>
                <w:bCs/>
                <w:sz w:val="22"/>
                <w:szCs w:val="22"/>
                <w:lang w:val="it-IT"/>
              </w:rPr>
            </w:pPr>
            <w:r w:rsidRPr="00295E71">
              <w:rPr>
                <w:b/>
                <w:bCs/>
                <w:sz w:val="22"/>
                <w:szCs w:val="22"/>
                <w:lang w:val="it-IT"/>
              </w:rPr>
              <w:t>Settimana 56</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3A933350" w14:textId="77777777">
            <w:pPr>
              <w:pStyle w:val="TableText"/>
              <w:spacing w:line="240" w:lineRule="exact"/>
              <w:jc w:val="center"/>
              <w:rPr>
                <w:b/>
                <w:bCs/>
                <w:sz w:val="22"/>
                <w:szCs w:val="22"/>
                <w:lang w:val="it-IT"/>
              </w:rPr>
            </w:pPr>
            <w:r w:rsidRPr="00295E71">
              <w:rPr>
                <w:b/>
                <w:bCs/>
                <w:sz w:val="22"/>
                <w:szCs w:val="22"/>
                <w:lang w:val="it-IT"/>
              </w:rPr>
              <w:t>N=170</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3C245E20" w14:textId="77777777">
            <w:pPr>
              <w:pStyle w:val="TableText"/>
              <w:spacing w:line="240" w:lineRule="exact"/>
              <w:jc w:val="center"/>
              <w:rPr>
                <w:b/>
                <w:bCs/>
                <w:sz w:val="22"/>
                <w:szCs w:val="22"/>
                <w:lang w:val="it-IT"/>
              </w:rPr>
            </w:pPr>
            <w:r w:rsidRPr="00295E71">
              <w:rPr>
                <w:b/>
                <w:bCs/>
                <w:sz w:val="22"/>
                <w:szCs w:val="22"/>
                <w:lang w:val="it-IT"/>
              </w:rPr>
              <w:t>N=172</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5A3BD833" w14:textId="77777777">
            <w:pPr>
              <w:pStyle w:val="TableText"/>
              <w:spacing w:line="240" w:lineRule="exact"/>
              <w:jc w:val="center"/>
              <w:rPr>
                <w:b/>
                <w:bCs/>
                <w:sz w:val="22"/>
                <w:szCs w:val="22"/>
                <w:lang w:val="it-IT"/>
              </w:rPr>
            </w:pPr>
            <w:r w:rsidRPr="00295E71">
              <w:rPr>
                <w:b/>
                <w:bCs/>
                <w:sz w:val="22"/>
                <w:szCs w:val="22"/>
                <w:lang w:val="it-IT"/>
              </w:rPr>
              <w:t>N=157</w:t>
            </w:r>
          </w:p>
        </w:tc>
      </w:tr>
      <w:tr w14:paraId="55953120" w14:textId="77777777">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2F8979B9" w14:textId="77777777">
            <w:pPr>
              <w:pStyle w:val="TableText"/>
              <w:spacing w:line="240" w:lineRule="exact"/>
              <w:rPr>
                <w:sz w:val="22"/>
                <w:szCs w:val="22"/>
                <w:lang w:val="it-IT"/>
              </w:rPr>
            </w:pPr>
            <w:r w:rsidRPr="00295E71">
              <w:rPr>
                <w:sz w:val="22"/>
                <w:szCs w:val="22"/>
                <w:lang w:val="it-IT"/>
              </w:rPr>
              <w:t xml:space="preserve">Remissione clinica </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480F6F65" w14:textId="77777777">
            <w:pPr>
              <w:pStyle w:val="TableText"/>
              <w:spacing w:line="240" w:lineRule="exact"/>
              <w:jc w:val="center"/>
              <w:rPr>
                <w:sz w:val="22"/>
                <w:szCs w:val="22"/>
                <w:lang w:val="it-IT"/>
              </w:rPr>
            </w:pPr>
            <w:r w:rsidRPr="00295E71">
              <w:rPr>
                <w:sz w:val="22"/>
                <w:szCs w:val="22"/>
                <w:lang w:val="it-IT"/>
              </w:rPr>
              <w:t>12%</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13315095" w14:textId="77777777">
            <w:pPr>
              <w:pStyle w:val="TableText"/>
              <w:spacing w:line="240" w:lineRule="exact"/>
              <w:jc w:val="center"/>
              <w:rPr>
                <w:sz w:val="22"/>
                <w:szCs w:val="22"/>
                <w:lang w:val="it-IT"/>
              </w:rPr>
            </w:pPr>
            <w:r w:rsidRPr="00295E71">
              <w:rPr>
                <w:sz w:val="22"/>
                <w:szCs w:val="22"/>
                <w:lang w:val="it-IT"/>
              </w:rPr>
              <w:t>36%*</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65ED2444" w14:textId="77777777">
            <w:pPr>
              <w:pStyle w:val="TableText"/>
              <w:spacing w:line="240" w:lineRule="exact"/>
              <w:jc w:val="center"/>
              <w:rPr>
                <w:sz w:val="22"/>
                <w:szCs w:val="22"/>
                <w:lang w:val="it-IT"/>
              </w:rPr>
            </w:pPr>
            <w:r w:rsidRPr="00295E71">
              <w:rPr>
                <w:sz w:val="22"/>
                <w:szCs w:val="22"/>
                <w:lang w:val="it-IT"/>
              </w:rPr>
              <w:t>41%*</w:t>
            </w:r>
          </w:p>
        </w:tc>
      </w:tr>
      <w:tr w14:paraId="4B62207C" w14:textId="77777777">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578A6C18" w14:textId="77777777">
            <w:pPr>
              <w:pStyle w:val="TableText"/>
              <w:spacing w:line="240" w:lineRule="exact"/>
              <w:rPr>
                <w:sz w:val="22"/>
                <w:szCs w:val="22"/>
                <w:lang w:val="it-IT"/>
              </w:rPr>
            </w:pPr>
            <w:r w:rsidRPr="00295E71">
              <w:rPr>
                <w:sz w:val="22"/>
                <w:szCs w:val="22"/>
                <w:lang w:val="it-IT"/>
              </w:rPr>
              <w:t>Risposta clinica (CR-100)</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7461BBE4" w14:textId="77777777">
            <w:pPr>
              <w:pStyle w:val="TableText"/>
              <w:spacing w:line="240" w:lineRule="exact"/>
              <w:jc w:val="center"/>
              <w:rPr>
                <w:sz w:val="22"/>
                <w:szCs w:val="22"/>
                <w:lang w:val="it-IT"/>
              </w:rPr>
            </w:pPr>
            <w:r w:rsidRPr="00295E71">
              <w:rPr>
                <w:sz w:val="22"/>
                <w:szCs w:val="22"/>
                <w:lang w:val="it-IT"/>
              </w:rPr>
              <w:t>17%</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64721E99" w14:textId="77777777">
            <w:pPr>
              <w:pStyle w:val="TableText"/>
              <w:spacing w:line="240" w:lineRule="exact"/>
              <w:jc w:val="center"/>
              <w:rPr>
                <w:sz w:val="22"/>
                <w:szCs w:val="22"/>
                <w:lang w:val="it-IT"/>
              </w:rPr>
            </w:pPr>
            <w:r w:rsidRPr="00295E71">
              <w:rPr>
                <w:sz w:val="22"/>
                <w:szCs w:val="22"/>
                <w:lang w:val="it-IT"/>
              </w:rPr>
              <w:t>41%*</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090CCEB1" w14:textId="77777777">
            <w:pPr>
              <w:pStyle w:val="TableText"/>
              <w:spacing w:line="240" w:lineRule="exact"/>
              <w:jc w:val="center"/>
              <w:rPr>
                <w:sz w:val="22"/>
                <w:szCs w:val="22"/>
                <w:lang w:val="it-IT"/>
              </w:rPr>
            </w:pPr>
            <w:r w:rsidRPr="00295E71">
              <w:rPr>
                <w:sz w:val="22"/>
                <w:szCs w:val="22"/>
                <w:lang w:val="it-IT"/>
              </w:rPr>
              <w:t>48%*</w:t>
            </w:r>
          </w:p>
        </w:tc>
      </w:tr>
      <w:tr w14:paraId="7C10FC5E" w14:textId="77777777">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rsidP="000B152B" w14:paraId="0E851A21" w14:textId="77777777">
            <w:pPr>
              <w:pStyle w:val="TableText"/>
              <w:spacing w:line="240" w:lineRule="exact"/>
              <w:ind w:left="360"/>
              <w:rPr>
                <w:sz w:val="22"/>
                <w:szCs w:val="22"/>
                <w:lang w:val="it-IT"/>
              </w:rPr>
            </w:pPr>
            <w:r w:rsidRPr="00295E71">
              <w:rPr>
                <w:sz w:val="22"/>
                <w:szCs w:val="22"/>
                <w:lang w:val="it-IT"/>
              </w:rPr>
              <w:t xml:space="preserve">Pazienti in remissione senza trattamento steroideo </w:t>
            </w:r>
            <w:r w:rsidRPr="00295E71">
              <w:rPr>
                <w:sz w:val="22"/>
                <w:szCs w:val="22"/>
                <w:lang w:val="it-IT"/>
              </w:rPr>
              <w:br/>
            </w:r>
            <w:r w:rsidRPr="00295E71" w:rsidR="000B152B">
              <w:rPr>
                <w:sz w:val="22"/>
                <w:szCs w:val="22"/>
                <w:lang w:val="it-IT"/>
              </w:rPr>
              <w:t xml:space="preserve">per </w:t>
            </w:r>
            <w:r w:rsidRPr="00295E71">
              <w:rPr>
                <w:sz w:val="22"/>
                <w:szCs w:val="22"/>
                <w:lang w:val="it-IT"/>
              </w:rPr>
              <w:t>&gt;=90 giorni</w:t>
            </w:r>
            <w:r w:rsidRPr="00295E71">
              <w:rPr>
                <w:sz w:val="22"/>
                <w:szCs w:val="22"/>
                <w:vertAlign w:val="superscript"/>
                <w:lang w:val="it-IT"/>
              </w:rPr>
              <w:t>a</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234818BD" w14:textId="77777777">
            <w:pPr>
              <w:pStyle w:val="TableText"/>
              <w:spacing w:line="240" w:lineRule="exact"/>
              <w:jc w:val="center"/>
              <w:rPr>
                <w:sz w:val="22"/>
                <w:szCs w:val="22"/>
                <w:lang w:val="it-IT"/>
              </w:rPr>
            </w:pPr>
            <w:r w:rsidRPr="00295E71">
              <w:rPr>
                <w:sz w:val="22"/>
                <w:szCs w:val="22"/>
                <w:lang w:val="it-IT"/>
              </w:rPr>
              <w:t>5% (3/66)</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1FE9DFB5" w14:textId="77777777">
            <w:pPr>
              <w:pStyle w:val="TableText"/>
              <w:spacing w:line="240" w:lineRule="exact"/>
              <w:jc w:val="center"/>
              <w:rPr>
                <w:sz w:val="22"/>
                <w:szCs w:val="22"/>
                <w:lang w:val="it-IT"/>
              </w:rPr>
            </w:pPr>
            <w:r w:rsidRPr="00295E71">
              <w:rPr>
                <w:sz w:val="22"/>
                <w:szCs w:val="22"/>
                <w:lang w:val="it-IT"/>
              </w:rPr>
              <w:t>29% (17/58)*</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6A37DC72" w14:textId="77777777">
            <w:pPr>
              <w:pStyle w:val="TableText"/>
              <w:spacing w:line="240" w:lineRule="exact"/>
              <w:jc w:val="center"/>
              <w:rPr>
                <w:sz w:val="22"/>
                <w:szCs w:val="22"/>
                <w:lang w:val="it-IT"/>
              </w:rPr>
            </w:pPr>
            <w:r w:rsidRPr="00295E71">
              <w:rPr>
                <w:sz w:val="22"/>
                <w:szCs w:val="22"/>
                <w:lang w:val="it-IT"/>
              </w:rPr>
              <w:t>20% (15/74)**</w:t>
            </w:r>
          </w:p>
        </w:tc>
      </w:tr>
      <w:tr w14:paraId="44A24F03" w14:textId="77777777">
        <w:tblPrEx>
          <w:tblW w:w="0" w:type="auto"/>
          <w:tblLook w:val="0000"/>
        </w:tblPrEx>
        <w:tc>
          <w:tcPr>
            <w:tcW w:w="9286" w:type="dxa"/>
            <w:gridSpan w:val="4"/>
            <w:tcBorders>
              <w:top w:val="single" w:sz="4" w:space="0" w:color="auto"/>
              <w:left w:val="nil"/>
              <w:bottom w:val="single" w:sz="4" w:space="0" w:color="auto"/>
              <w:right w:val="nil"/>
            </w:tcBorders>
          </w:tcPr>
          <w:p w:rsidR="006224C2" w:rsidRPr="00295E71" w14:paraId="32AEA520" w14:textId="77777777">
            <w:pPr>
              <w:pStyle w:val="TableText"/>
              <w:spacing w:line="240" w:lineRule="exact"/>
              <w:rPr>
                <w:sz w:val="22"/>
                <w:szCs w:val="22"/>
                <w:lang w:val="it-IT"/>
              </w:rPr>
            </w:pPr>
            <w:r w:rsidRPr="00295E71">
              <w:rPr>
                <w:sz w:val="22"/>
                <w:szCs w:val="22"/>
                <w:lang w:val="it-IT"/>
              </w:rPr>
              <w:t>*</w:t>
            </w:r>
            <w:r w:rsidRPr="00295E71">
              <w:rPr>
                <w:sz w:val="22"/>
                <w:szCs w:val="22"/>
                <w:lang w:val="it-IT"/>
              </w:rPr>
              <w:tab/>
              <w:t xml:space="preserve">p&lt;0,001 per confronti a coppie delle percentuali Humira verso placebo </w:t>
            </w:r>
          </w:p>
          <w:p w:rsidR="006224C2" w:rsidRPr="00295E71" w14:paraId="71018394" w14:textId="77777777">
            <w:pPr>
              <w:pStyle w:val="TableText"/>
              <w:spacing w:line="240" w:lineRule="exact"/>
              <w:rPr>
                <w:sz w:val="22"/>
                <w:szCs w:val="22"/>
                <w:lang w:val="it-IT"/>
              </w:rPr>
            </w:pPr>
            <w:r w:rsidRPr="00295E71">
              <w:rPr>
                <w:sz w:val="22"/>
                <w:szCs w:val="22"/>
                <w:lang w:val="it-IT"/>
              </w:rPr>
              <w:t>**</w:t>
            </w:r>
            <w:r w:rsidRPr="00295E71">
              <w:rPr>
                <w:sz w:val="22"/>
                <w:szCs w:val="22"/>
                <w:lang w:val="it-IT"/>
              </w:rPr>
              <w:tab/>
              <w:t xml:space="preserve">p&lt;0,02 per confronti a coppie delle percentuali Humira verso placebo </w:t>
            </w:r>
          </w:p>
          <w:p w:rsidR="006224C2" w:rsidRPr="00295E71" w14:paraId="6221C57E" w14:textId="77777777">
            <w:pPr>
              <w:pStyle w:val="TableText"/>
              <w:spacing w:line="240" w:lineRule="exact"/>
              <w:rPr>
                <w:sz w:val="22"/>
                <w:szCs w:val="22"/>
                <w:lang w:val="it-IT"/>
              </w:rPr>
            </w:pPr>
            <w:r w:rsidRPr="00295E71">
              <w:rPr>
                <w:sz w:val="22"/>
                <w:szCs w:val="22"/>
                <w:vertAlign w:val="superscript"/>
                <w:lang w:val="it-IT"/>
              </w:rPr>
              <w:t>a</w:t>
            </w:r>
            <w:r w:rsidRPr="00295E71">
              <w:rPr>
                <w:sz w:val="22"/>
                <w:szCs w:val="22"/>
                <w:vertAlign w:val="superscript"/>
                <w:lang w:val="it-IT"/>
              </w:rPr>
              <w:tab/>
            </w:r>
            <w:r w:rsidRPr="00295E71">
              <w:rPr>
                <w:sz w:val="22"/>
                <w:szCs w:val="22"/>
                <w:lang w:val="it-IT"/>
              </w:rPr>
              <w:t>di coloro che sono stati trattati con corticosteroidi al basale</w:t>
            </w:r>
          </w:p>
        </w:tc>
      </w:tr>
    </w:tbl>
    <w:p w:rsidR="006224C2" w:rsidRPr="00295E71" w14:paraId="21BDF092" w14:textId="77777777">
      <w:pPr>
        <w:pStyle w:val="EMEANormal"/>
        <w:keepNext/>
        <w:rPr>
          <w:lang w:val="it-IT"/>
        </w:rPr>
      </w:pPr>
    </w:p>
    <w:p w:rsidR="006224C2" w:rsidRPr="00295E71" w14:paraId="0EC2D9A6" w14:textId="77777777">
      <w:pPr>
        <w:pStyle w:val="EMEAFigureTitle"/>
        <w:jc w:val="both"/>
        <w:rPr>
          <w:lang w:val="it-IT" w:eastAsia="it-IT"/>
        </w:rPr>
      </w:pPr>
      <w:r w:rsidRPr="00295E71">
        <w:rPr>
          <w:lang w:val="it-IT" w:eastAsia="it-IT"/>
        </w:rPr>
        <w:t>Tra i pazienti che non hanno evidenziato una risposta alla settimana 4, il 43% dei pazienti trattati con terapia di mantenimento a base di Humira ha manifestato una risposta entro la settimana 12 rispetto al 30% dei pazienti trattati con placebo. Tali risultati suggeriscono che alcuni pazienti che non hanno manifestato una risposta alla settimana 4 traggono giovamento dalla terapia di mantenimento continuata fino alla settimana 12. La terapia proseguita oltre le 12 settimane non ha portato ad un numero significativamente più elevato di risposte (vedere paragrafo 4.2).</w:t>
      </w:r>
    </w:p>
    <w:p w:rsidR="006224C2" w:rsidRPr="00295E71" w14:paraId="64246927" w14:textId="77777777">
      <w:pPr>
        <w:pStyle w:val="EMEAFigureTitle"/>
        <w:jc w:val="both"/>
        <w:rPr>
          <w:lang w:val="it-IT" w:eastAsia="it-IT"/>
        </w:rPr>
      </w:pPr>
    </w:p>
    <w:p w:rsidR="006224C2" w:rsidRPr="00295E71" w14:paraId="63E2F1AE" w14:textId="77777777">
      <w:pPr>
        <w:pStyle w:val="EMEAFigureTitle"/>
        <w:jc w:val="both"/>
        <w:rPr>
          <w:lang w:val="it-IT" w:eastAsia="it-IT"/>
        </w:rPr>
      </w:pPr>
      <w:r w:rsidRPr="00295E71">
        <w:rPr>
          <w:lang w:val="it-IT" w:eastAsia="it-IT"/>
        </w:rPr>
        <w:t>117/276 pazienti dallo studio CD I e 272/777 pazienti provenienti da</w:t>
      </w:r>
      <w:r w:rsidR="004C4E1E">
        <w:rPr>
          <w:lang w:val="it-IT" w:eastAsia="it-IT"/>
        </w:rPr>
        <w:t>gli</w:t>
      </w:r>
      <w:r w:rsidRPr="00295E71">
        <w:rPr>
          <w:lang w:val="it-IT" w:eastAsia="it-IT"/>
        </w:rPr>
        <w:t xml:space="preserve"> studi CD II e III sono stati seguiti per almeno 3 anni di terapia con adalimumab in aperto. Rispettivamente 88 e 189 pazienti hanno continuato a mantenere la remissione clinica. La risposta clinica (CR-100) è stata mantenuta rispettivamente in 102 e 233 pazienti.</w:t>
      </w:r>
    </w:p>
    <w:p w:rsidR="006224C2" w:rsidRPr="00295E71" w14:paraId="145E8B5D" w14:textId="77777777">
      <w:pPr>
        <w:pStyle w:val="EMEAHeadingUnderline"/>
        <w:spacing w:beforeLines="0" w:afterLines="0"/>
        <w:jc w:val="both"/>
        <w:rPr>
          <w:lang w:val="it-IT"/>
        </w:rPr>
      </w:pPr>
    </w:p>
    <w:p w:rsidR="006224C2" w:rsidRPr="00295E71" w14:paraId="0A151886" w14:textId="77777777">
      <w:pPr>
        <w:pStyle w:val="EMEAHeadingUnderline"/>
        <w:spacing w:beforeLines="0" w:afterLines="0"/>
        <w:jc w:val="both"/>
        <w:rPr>
          <w:i/>
          <w:lang w:val="it-IT"/>
        </w:rPr>
      </w:pPr>
      <w:r w:rsidRPr="00295E71">
        <w:rPr>
          <w:i/>
          <w:lang w:val="it-IT"/>
        </w:rPr>
        <w:t>Qualità della vita</w:t>
      </w:r>
    </w:p>
    <w:p w:rsidR="006224C2" w:rsidRPr="00295E71" w14:paraId="665A86D2" w14:textId="77777777">
      <w:pPr>
        <w:rPr>
          <w:sz w:val="22"/>
          <w:szCs w:val="22"/>
          <w:lang w:eastAsia="en-US"/>
        </w:rPr>
      </w:pPr>
    </w:p>
    <w:p w:rsidR="006224C2" w:rsidRPr="004F635B" w14:paraId="39F324B2" w14:textId="77777777">
      <w:pPr>
        <w:tabs>
          <w:tab w:val="left" w:pos="567"/>
          <w:tab w:val="left" w:pos="1294"/>
        </w:tabs>
        <w:autoSpaceDE w:val="0"/>
        <w:autoSpaceDN w:val="0"/>
        <w:adjustRightInd w:val="0"/>
        <w:jc w:val="both"/>
        <w:rPr>
          <w:sz w:val="22"/>
          <w:szCs w:val="22"/>
        </w:rPr>
      </w:pPr>
      <w:r w:rsidRPr="00295E71">
        <w:rPr>
          <w:sz w:val="22"/>
          <w:szCs w:val="22"/>
        </w:rPr>
        <w:t xml:space="preserve">Negli studi CD I e CD II, alla settimana 4 era raggiunto un miglioramento statisticamente significativo del punteggio </w:t>
      </w:r>
      <w:r w:rsidRPr="004F635B">
        <w:rPr>
          <w:sz w:val="22"/>
          <w:szCs w:val="22"/>
        </w:rPr>
        <w:t>totale del questionario IBDQ (inflammatory bowel disease questionnaire) nei pazienti randomizzati a Humira 80/40 mg e 160/80 mg rispetto al placebo ed era visto alle settimane 26 e 56 nello studio CD III come pure tra i gruppi trattati con adalimumab rispetto al gruppo trattato con placebo.</w:t>
      </w:r>
    </w:p>
    <w:p w:rsidR="006224C2" w:rsidRPr="004F635B" w14:paraId="3FD3848D" w14:textId="77777777">
      <w:pPr>
        <w:pStyle w:val="EMEAHeadingUnderline"/>
        <w:spacing w:beforeLines="0" w:afterLines="0"/>
        <w:jc w:val="both"/>
        <w:rPr>
          <w:i/>
          <w:u w:val="none"/>
          <w:lang w:val="it-IT"/>
        </w:rPr>
      </w:pPr>
    </w:p>
    <w:p w:rsidR="006224C2" w:rsidRPr="00295E71" w14:paraId="3090DE6E" w14:textId="77777777">
      <w:pPr>
        <w:pStyle w:val="EMEAHeadingUnderline"/>
        <w:spacing w:beforeLines="0" w:afterLines="0"/>
        <w:jc w:val="both"/>
        <w:rPr>
          <w:i/>
          <w:u w:val="none"/>
          <w:lang w:val="it-IT"/>
        </w:rPr>
      </w:pPr>
      <w:r w:rsidRPr="004F635B">
        <w:rPr>
          <w:i/>
          <w:u w:val="none"/>
          <w:lang w:val="it-IT"/>
        </w:rPr>
        <w:t>Colite Ulcerosa</w:t>
      </w:r>
    </w:p>
    <w:p w:rsidR="006224C2" w:rsidRPr="00295E71" w14:paraId="40B1E732" w14:textId="77777777">
      <w:pPr>
        <w:rPr>
          <w:sz w:val="22"/>
          <w:szCs w:val="22"/>
        </w:rPr>
      </w:pPr>
    </w:p>
    <w:p w:rsidR="006224C2" w:rsidRPr="00295E71" w14:paraId="03FF3CB7"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La sicurezza e l’efficacia di dosi multiple di Humira sono state valutate in pazienti adulti affetti da colite ulcerosa attiva di grado da moderato a severo (punteggio Mayo da 6 a 12 con un sottopunteggio endoscopico da 2 a 3) in studi randomizzati, in doppio cieco, controllati con placebo.</w:t>
      </w:r>
    </w:p>
    <w:p w:rsidR="006224C2" w:rsidRPr="00295E71" w14:paraId="71C8D9E5" w14:textId="77777777">
      <w:pPr>
        <w:tabs>
          <w:tab w:val="left" w:pos="567"/>
          <w:tab w:val="left" w:pos="1294"/>
        </w:tabs>
        <w:autoSpaceDE w:val="0"/>
        <w:autoSpaceDN w:val="0"/>
        <w:adjustRightInd w:val="0"/>
        <w:jc w:val="both"/>
        <w:rPr>
          <w:color w:val="000000"/>
          <w:sz w:val="22"/>
          <w:szCs w:val="22"/>
        </w:rPr>
      </w:pPr>
    </w:p>
    <w:p w:rsidR="006224C2" w:rsidRPr="00295E71" w14:paraId="415C26D8"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Nello studio UC-I, 390 pazienti non precedentemente trattati con antagonisti del TNF sono stati randomizzati in modo da assumere placebo alla settimana 0 e 2, 160 mg di Humira alla settimana 0 seguiti da 80 mg alla settimana 2 oppure 80 mg</w:t>
      </w:r>
      <w:r w:rsidRPr="004C4E1E" w:rsidR="004C4E1E">
        <w:rPr>
          <w:color w:val="000000"/>
          <w:sz w:val="22"/>
          <w:szCs w:val="22"/>
        </w:rPr>
        <w:t xml:space="preserve"> </w:t>
      </w:r>
      <w:r w:rsidRPr="00020442" w:rsidR="004C4E1E">
        <w:rPr>
          <w:color w:val="000000"/>
          <w:sz w:val="22"/>
          <w:szCs w:val="22"/>
        </w:rPr>
        <w:t>di Humira</w:t>
      </w:r>
      <w:r w:rsidRPr="00295E71">
        <w:rPr>
          <w:color w:val="000000"/>
          <w:sz w:val="22"/>
          <w:szCs w:val="22"/>
        </w:rPr>
        <w:t xml:space="preserve"> alla settimana 0 seguiti da 40 mg alla settimana 2. Dopo la settimana 2, i pazienti arruolati in entrambi i bracci con adalimumab hanno assunto </w:t>
      </w:r>
      <w:r w:rsidRPr="00295E71">
        <w:rPr>
          <w:color w:val="000000"/>
          <w:sz w:val="22"/>
          <w:szCs w:val="22"/>
        </w:rPr>
        <w:t>40 mg a settimane alterne. La remissione clinica (definita come punteggio di Mayo ≤ 2 con nessun sotto punteggio &gt; 1) è stata valutata alla settimana 8.</w:t>
      </w:r>
    </w:p>
    <w:p w:rsidR="006224C2" w:rsidRPr="00295E71" w14:paraId="074B01AA" w14:textId="77777777">
      <w:pPr>
        <w:tabs>
          <w:tab w:val="left" w:pos="567"/>
          <w:tab w:val="left" w:pos="1294"/>
        </w:tabs>
        <w:autoSpaceDE w:val="0"/>
        <w:autoSpaceDN w:val="0"/>
        <w:adjustRightInd w:val="0"/>
        <w:jc w:val="both"/>
        <w:rPr>
          <w:color w:val="000000"/>
          <w:sz w:val="22"/>
          <w:szCs w:val="22"/>
        </w:rPr>
      </w:pPr>
    </w:p>
    <w:p w:rsidR="006224C2" w:rsidRPr="00295E71" w14:paraId="638B9E63"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Nello studio UC-II, 248 pazienti hanno assunto 160 mg di Humira alla settimana 0,80 mg alla settimana 2 e</w:t>
      </w:r>
      <w:r w:rsidRPr="004C4E1E" w:rsidR="004C4E1E">
        <w:rPr>
          <w:color w:val="000000"/>
          <w:sz w:val="22"/>
          <w:szCs w:val="22"/>
        </w:rPr>
        <w:t xml:space="preserve"> </w:t>
      </w:r>
      <w:r w:rsidRPr="00020442" w:rsidR="004C4E1E">
        <w:rPr>
          <w:color w:val="000000"/>
          <w:sz w:val="22"/>
          <w:szCs w:val="22"/>
        </w:rPr>
        <w:t>successivamente</w:t>
      </w:r>
      <w:r w:rsidRPr="00295E71">
        <w:rPr>
          <w:color w:val="000000"/>
          <w:sz w:val="22"/>
          <w:szCs w:val="22"/>
        </w:rPr>
        <w:t xml:space="preserve"> 40 mg a settimane alterne, e 246 pazienti hanno assunto placebo. L’induzione della remissione è stata valutata alla settimana 8 mentre il mantenimento della remissione alla settimana 52.</w:t>
      </w:r>
    </w:p>
    <w:p w:rsidR="006224C2" w:rsidRPr="00295E71" w14:paraId="7E482EAD" w14:textId="77777777">
      <w:pPr>
        <w:tabs>
          <w:tab w:val="left" w:pos="567"/>
          <w:tab w:val="left" w:pos="1294"/>
        </w:tabs>
        <w:autoSpaceDE w:val="0"/>
        <w:autoSpaceDN w:val="0"/>
        <w:adjustRightInd w:val="0"/>
        <w:jc w:val="both"/>
        <w:rPr>
          <w:color w:val="000000"/>
          <w:sz w:val="22"/>
          <w:szCs w:val="22"/>
        </w:rPr>
      </w:pPr>
    </w:p>
    <w:p w:rsidR="006224C2" w:rsidRPr="00295E71" w14:paraId="3233A693"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Nello studio UC-I ( rispettivamente 18% vs 9%, p=0,031) e nello studio UC-II (rispettivamente 17% vs 9%, p=0,019) i pazienti indotti con 160/80 mg di Humira hanno raggiunto la remissione clinica rispetto al placebo alla settimana 8 in percentuali superiori in modo statisticamente significativo. Nello studio UC-II, tra i pazienti trattati con Humira in remissione alla settimana 8, 21/41 (51%) erano in remissione alla settimana 52.</w:t>
      </w:r>
    </w:p>
    <w:p w:rsidR="006224C2" w:rsidRPr="00295E71" w14:paraId="028A1578" w14:textId="77777777">
      <w:pPr>
        <w:tabs>
          <w:tab w:val="left" w:pos="567"/>
          <w:tab w:val="left" w:pos="1294"/>
        </w:tabs>
        <w:autoSpaceDE w:val="0"/>
        <w:autoSpaceDN w:val="0"/>
        <w:adjustRightInd w:val="0"/>
        <w:jc w:val="both"/>
        <w:rPr>
          <w:color w:val="000000"/>
          <w:sz w:val="22"/>
          <w:szCs w:val="22"/>
        </w:rPr>
      </w:pPr>
    </w:p>
    <w:p w:rsidR="006224C2" w:rsidRPr="00295E71" w14:paraId="06665BB0"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I risultati </w:t>
      </w:r>
      <w:r w:rsidR="004C4E1E">
        <w:rPr>
          <w:color w:val="000000"/>
          <w:sz w:val="22"/>
          <w:szCs w:val="22"/>
        </w:rPr>
        <w:t>per la</w:t>
      </w:r>
      <w:r w:rsidRPr="00295E71">
        <w:rPr>
          <w:color w:val="000000"/>
          <w:sz w:val="22"/>
          <w:szCs w:val="22"/>
        </w:rPr>
        <w:t xml:space="preserve"> popolazione </w:t>
      </w:r>
      <w:r w:rsidR="004C4E1E">
        <w:rPr>
          <w:color w:val="000000"/>
          <w:sz w:val="22"/>
          <w:szCs w:val="22"/>
        </w:rPr>
        <w:t xml:space="preserve">totale dello studio </w:t>
      </w:r>
      <w:r w:rsidRPr="00295E71">
        <w:rPr>
          <w:color w:val="000000"/>
          <w:sz w:val="22"/>
          <w:szCs w:val="22"/>
        </w:rPr>
        <w:t>UC-II sono mostrati nella Tabella 2</w:t>
      </w:r>
      <w:r w:rsidR="0062664F">
        <w:rPr>
          <w:color w:val="000000"/>
          <w:sz w:val="22"/>
          <w:szCs w:val="22"/>
        </w:rPr>
        <w:t>3</w:t>
      </w:r>
      <w:r w:rsidRPr="00295E71">
        <w:rPr>
          <w:color w:val="000000"/>
          <w:sz w:val="22"/>
          <w:szCs w:val="22"/>
        </w:rPr>
        <w:t>.</w:t>
      </w:r>
    </w:p>
    <w:p w:rsidR="006224C2" w:rsidRPr="00295E71" w14:paraId="1FD8202C" w14:textId="77777777">
      <w:pPr>
        <w:rPr>
          <w:sz w:val="22"/>
          <w:szCs w:val="22"/>
        </w:rPr>
      </w:pPr>
    </w:p>
    <w:p w:rsidR="006224C2" w:rsidRPr="00295E71" w14:paraId="4156E90E" w14:textId="77777777">
      <w:pPr>
        <w:keepNext/>
        <w:jc w:val="center"/>
        <w:rPr>
          <w:rFonts w:eastAsia="Arial Unicode MS"/>
          <w:b/>
          <w:bCs/>
          <w:sz w:val="22"/>
          <w:szCs w:val="22"/>
        </w:rPr>
      </w:pPr>
      <w:r w:rsidRPr="00295E71">
        <w:rPr>
          <w:rFonts w:eastAsia="Arial Unicode MS"/>
          <w:b/>
          <w:bCs/>
          <w:sz w:val="22"/>
          <w:szCs w:val="22"/>
        </w:rPr>
        <w:t>Tabella 2</w:t>
      </w:r>
      <w:r w:rsidR="0062664F">
        <w:rPr>
          <w:rFonts w:eastAsia="Arial Unicode MS"/>
          <w:b/>
          <w:bCs/>
          <w:sz w:val="22"/>
          <w:szCs w:val="22"/>
        </w:rPr>
        <w:t>3</w:t>
      </w:r>
    </w:p>
    <w:p w:rsidR="006224C2" w:rsidRPr="00295E71" w14:paraId="3E3787B4" w14:textId="77777777">
      <w:pPr>
        <w:pStyle w:val="EMEANormal"/>
        <w:keepNext/>
        <w:jc w:val="center"/>
        <w:rPr>
          <w:rFonts w:eastAsia="Arial Unicode MS"/>
          <w:b/>
          <w:bCs/>
          <w:lang w:val="it-IT"/>
        </w:rPr>
      </w:pPr>
      <w:r w:rsidRPr="00295E71">
        <w:rPr>
          <w:rFonts w:eastAsia="Arial Unicode MS"/>
          <w:b/>
          <w:bCs/>
          <w:lang w:val="it-IT"/>
        </w:rPr>
        <w:t>Risposta, Remissione e guarigione della mucosa nello Studio UC-II</w:t>
      </w:r>
    </w:p>
    <w:p w:rsidR="006224C2" w:rsidRPr="00295E71" w14:paraId="735DDCCE" w14:textId="77777777">
      <w:pPr>
        <w:pStyle w:val="EMEANormal"/>
        <w:keepNext/>
        <w:jc w:val="center"/>
        <w:rPr>
          <w:rFonts w:eastAsia="Arial Unicode MS"/>
          <w:b/>
          <w:lang w:val="it-IT"/>
        </w:rPr>
      </w:pPr>
      <w:r w:rsidRPr="00295E71">
        <w:rPr>
          <w:rFonts w:eastAsia="Arial Unicode MS"/>
          <w:b/>
          <w:lang w:val="it-IT"/>
        </w:rPr>
        <w:t>(Percentuale di pazienti)</w:t>
      </w:r>
    </w:p>
    <w:p w:rsidR="006224C2" w:rsidRPr="00295E71" w14:paraId="72ECB18F" w14:textId="77777777">
      <w:pPr>
        <w:pStyle w:val="EMEANormal"/>
        <w:keepNext/>
        <w:spacing w:before="144"/>
        <w:jc w:val="center"/>
        <w:rPr>
          <w:rFonts w:eastAsia="Arial Unicode MS"/>
          <w:b/>
          <w:lang w:val="it-IT"/>
        </w:rPr>
      </w:pPr>
    </w:p>
    <w:tbl>
      <w:tblPr>
        <w:tblW w:w="4375" w:type="pct"/>
        <w:tblInd w:w="-105" w:type="dxa"/>
        <w:tblCellMar>
          <w:top w:w="15" w:type="dxa"/>
          <w:left w:w="15" w:type="dxa"/>
          <w:bottom w:w="15" w:type="dxa"/>
          <w:right w:w="15" w:type="dxa"/>
        </w:tblCellMar>
        <w:tblLook w:val="0000"/>
      </w:tblPr>
      <w:tblGrid>
        <w:gridCol w:w="4724"/>
        <w:gridCol w:w="1006"/>
        <w:gridCol w:w="2206"/>
      </w:tblGrid>
      <w:tr w14:paraId="02DDFAB0" w14:textId="77777777">
        <w:tblPrEx>
          <w:tblW w:w="4375" w:type="pct"/>
          <w:tblInd w:w="-105" w:type="dxa"/>
          <w:tblLook w:val="0000"/>
        </w:tblPrEx>
        <w:tc>
          <w:tcPr>
            <w:tcW w:w="2976" w:type="pct"/>
            <w:tcBorders>
              <w:top w:val="single" w:sz="6" w:space="0" w:color="000000"/>
              <w:left w:val="nil"/>
              <w:bottom w:val="single" w:sz="6" w:space="0" w:color="000000"/>
              <w:right w:val="nil"/>
            </w:tcBorders>
          </w:tcPr>
          <w:p w:rsidR="006224C2" w:rsidRPr="00295E71" w14:paraId="7D64BC59" w14:textId="77777777">
            <w:pPr>
              <w:keepNext/>
              <w:jc w:val="center"/>
              <w:rPr>
                <w:rFonts w:eastAsia="Arial Unicode MS"/>
                <w:sz w:val="22"/>
                <w:szCs w:val="22"/>
              </w:rPr>
            </w:pPr>
          </w:p>
        </w:tc>
        <w:tc>
          <w:tcPr>
            <w:tcW w:w="634" w:type="pct"/>
            <w:tcBorders>
              <w:top w:val="single" w:sz="6" w:space="0" w:color="000000"/>
              <w:left w:val="nil"/>
              <w:bottom w:val="single" w:sz="6" w:space="0" w:color="000000"/>
              <w:right w:val="nil"/>
            </w:tcBorders>
          </w:tcPr>
          <w:p w:rsidR="006224C2" w:rsidRPr="00295E71" w14:paraId="1C9A96D9" w14:textId="77777777">
            <w:pPr>
              <w:keepNext/>
              <w:jc w:val="center"/>
              <w:rPr>
                <w:rFonts w:eastAsia="Arial Unicode MS"/>
                <w:sz w:val="22"/>
                <w:szCs w:val="22"/>
              </w:rPr>
            </w:pPr>
            <w:r w:rsidRPr="00295E71">
              <w:rPr>
                <w:rStyle w:val="bold4"/>
                <w:rFonts w:eastAsia="Arial Unicode MS"/>
                <w:sz w:val="22"/>
                <w:szCs w:val="22"/>
              </w:rPr>
              <w:t>Placebo</w:t>
            </w:r>
            <w:r w:rsidRPr="00295E71">
              <w:rPr>
                <w:rFonts w:eastAsia="Arial Unicode MS"/>
                <w:sz w:val="22"/>
                <w:szCs w:val="22"/>
              </w:rPr>
              <w:br/>
            </w:r>
          </w:p>
        </w:tc>
        <w:tc>
          <w:tcPr>
            <w:tcW w:w="1391" w:type="pct"/>
            <w:tcBorders>
              <w:top w:val="single" w:sz="6" w:space="0" w:color="000000"/>
              <w:left w:val="nil"/>
              <w:bottom w:val="single" w:sz="6" w:space="0" w:color="000000"/>
              <w:right w:val="nil"/>
            </w:tcBorders>
          </w:tcPr>
          <w:p w:rsidR="006224C2" w:rsidRPr="00295E71" w14:paraId="7199C7B0" w14:textId="77777777">
            <w:pPr>
              <w:keepNext/>
              <w:jc w:val="center"/>
              <w:rPr>
                <w:rStyle w:val="bold4"/>
                <w:rFonts w:eastAsia="Arial Unicode MS"/>
                <w:sz w:val="22"/>
                <w:szCs w:val="22"/>
              </w:rPr>
            </w:pPr>
            <w:r w:rsidRPr="00295E71">
              <w:rPr>
                <w:rStyle w:val="bold4"/>
                <w:rFonts w:eastAsia="Arial Unicode MS"/>
                <w:sz w:val="22"/>
                <w:szCs w:val="22"/>
              </w:rPr>
              <w:t xml:space="preserve">Humira 40 mg </w:t>
            </w:r>
          </w:p>
          <w:p w:rsidR="006224C2" w:rsidRPr="00295E71" w14:paraId="338EA85E" w14:textId="77777777">
            <w:pPr>
              <w:keepNext/>
              <w:jc w:val="center"/>
              <w:rPr>
                <w:rFonts w:eastAsia="Arial Unicode MS"/>
                <w:sz w:val="22"/>
                <w:szCs w:val="22"/>
              </w:rPr>
            </w:pPr>
            <w:r w:rsidRPr="00295E71">
              <w:rPr>
                <w:rStyle w:val="bold4"/>
                <w:rFonts w:eastAsia="Arial Unicode MS"/>
                <w:sz w:val="22"/>
                <w:szCs w:val="22"/>
              </w:rPr>
              <w:t>a settimane alterne</w:t>
            </w:r>
          </w:p>
        </w:tc>
      </w:tr>
      <w:tr w14:paraId="6E8350E7" w14:textId="77777777">
        <w:tblPrEx>
          <w:tblW w:w="4375" w:type="pct"/>
          <w:tblInd w:w="-105" w:type="dxa"/>
          <w:tblLook w:val="0000"/>
        </w:tblPrEx>
        <w:tc>
          <w:tcPr>
            <w:tcW w:w="2976" w:type="pct"/>
            <w:tcBorders>
              <w:top w:val="single" w:sz="6" w:space="0" w:color="000000"/>
              <w:left w:val="nil"/>
              <w:bottom w:val="single" w:sz="6" w:space="0" w:color="000000"/>
              <w:right w:val="nil"/>
            </w:tcBorders>
          </w:tcPr>
          <w:p w:rsidR="006224C2" w:rsidRPr="00295E71" w14:paraId="18E6F1EE" w14:textId="77777777">
            <w:pPr>
              <w:keepNext/>
              <w:rPr>
                <w:rFonts w:eastAsia="Arial Unicode MS"/>
                <w:sz w:val="22"/>
                <w:szCs w:val="22"/>
              </w:rPr>
            </w:pPr>
            <w:r w:rsidRPr="00295E71">
              <w:rPr>
                <w:rFonts w:eastAsia="Arial Unicode MS"/>
                <w:sz w:val="22"/>
                <w:szCs w:val="22"/>
              </w:rPr>
              <w:t>Settimana 52</w:t>
            </w:r>
          </w:p>
        </w:tc>
        <w:tc>
          <w:tcPr>
            <w:tcW w:w="634" w:type="pct"/>
            <w:tcBorders>
              <w:top w:val="single" w:sz="6" w:space="0" w:color="000000"/>
              <w:left w:val="nil"/>
              <w:bottom w:val="single" w:sz="6" w:space="0" w:color="000000"/>
              <w:right w:val="nil"/>
            </w:tcBorders>
          </w:tcPr>
          <w:p w:rsidR="006224C2" w:rsidRPr="00295E71" w14:paraId="6EDBEF95" w14:textId="77777777">
            <w:pPr>
              <w:keepNext/>
              <w:jc w:val="center"/>
              <w:rPr>
                <w:rStyle w:val="bold4"/>
                <w:rFonts w:eastAsia="Arial Unicode MS"/>
                <w:sz w:val="22"/>
                <w:szCs w:val="22"/>
              </w:rPr>
            </w:pPr>
            <w:r w:rsidRPr="00295E71">
              <w:rPr>
                <w:rStyle w:val="bold4"/>
                <w:rFonts w:eastAsia="Arial Unicode MS"/>
                <w:sz w:val="22"/>
                <w:szCs w:val="22"/>
              </w:rPr>
              <w:t>N=246</w:t>
            </w:r>
          </w:p>
        </w:tc>
        <w:tc>
          <w:tcPr>
            <w:tcW w:w="1391" w:type="pct"/>
            <w:tcBorders>
              <w:top w:val="single" w:sz="6" w:space="0" w:color="000000"/>
              <w:left w:val="nil"/>
              <w:bottom w:val="single" w:sz="6" w:space="0" w:color="000000"/>
              <w:right w:val="nil"/>
            </w:tcBorders>
          </w:tcPr>
          <w:p w:rsidR="006224C2" w:rsidRPr="00295E71" w14:paraId="068319D9" w14:textId="77777777">
            <w:pPr>
              <w:keepNext/>
              <w:jc w:val="center"/>
              <w:rPr>
                <w:rStyle w:val="bold4"/>
                <w:rFonts w:eastAsia="Arial Unicode MS"/>
                <w:sz w:val="22"/>
                <w:szCs w:val="22"/>
              </w:rPr>
            </w:pPr>
            <w:r w:rsidRPr="00295E71">
              <w:rPr>
                <w:rStyle w:val="bold4"/>
                <w:rFonts w:eastAsia="Arial Unicode MS"/>
                <w:sz w:val="22"/>
                <w:szCs w:val="22"/>
              </w:rPr>
              <w:t>N=248</w:t>
            </w:r>
          </w:p>
        </w:tc>
      </w:tr>
      <w:tr w14:paraId="01B66AD7" w14:textId="77777777">
        <w:tblPrEx>
          <w:tblW w:w="4375" w:type="pct"/>
          <w:tblInd w:w="-105" w:type="dxa"/>
          <w:tblLook w:val="0000"/>
        </w:tblPrEx>
        <w:tc>
          <w:tcPr>
            <w:tcW w:w="2976" w:type="pct"/>
            <w:tcBorders>
              <w:top w:val="nil"/>
              <w:left w:val="nil"/>
              <w:right w:val="nil"/>
            </w:tcBorders>
          </w:tcPr>
          <w:p w:rsidR="006224C2" w:rsidRPr="00295E71" w14:paraId="3EC39B2A" w14:textId="77777777">
            <w:pPr>
              <w:keepNext/>
              <w:rPr>
                <w:rFonts w:eastAsia="Arial Unicode MS"/>
                <w:sz w:val="22"/>
                <w:szCs w:val="22"/>
              </w:rPr>
            </w:pPr>
            <w:r w:rsidRPr="00295E71">
              <w:rPr>
                <w:rFonts w:eastAsia="Arial Unicode MS"/>
                <w:sz w:val="22"/>
                <w:szCs w:val="22"/>
              </w:rPr>
              <w:t xml:space="preserve">  Risposta clinica </w:t>
            </w:r>
          </w:p>
        </w:tc>
        <w:tc>
          <w:tcPr>
            <w:tcW w:w="634" w:type="pct"/>
            <w:tcBorders>
              <w:top w:val="nil"/>
              <w:left w:val="nil"/>
              <w:right w:val="nil"/>
            </w:tcBorders>
          </w:tcPr>
          <w:p w:rsidR="006224C2" w:rsidRPr="00295E71" w14:paraId="71246DCD" w14:textId="77777777">
            <w:pPr>
              <w:keepNext/>
              <w:jc w:val="center"/>
              <w:rPr>
                <w:rFonts w:eastAsia="Arial Unicode MS"/>
                <w:sz w:val="22"/>
                <w:szCs w:val="22"/>
              </w:rPr>
            </w:pPr>
            <w:r w:rsidRPr="00295E71">
              <w:rPr>
                <w:rFonts w:eastAsia="Arial Unicode MS"/>
                <w:sz w:val="22"/>
                <w:szCs w:val="22"/>
              </w:rPr>
              <w:t xml:space="preserve">18% </w:t>
            </w:r>
          </w:p>
        </w:tc>
        <w:tc>
          <w:tcPr>
            <w:tcW w:w="1391" w:type="pct"/>
            <w:tcBorders>
              <w:top w:val="nil"/>
              <w:left w:val="nil"/>
              <w:right w:val="nil"/>
            </w:tcBorders>
          </w:tcPr>
          <w:p w:rsidR="006224C2" w:rsidRPr="00295E71" w14:paraId="1D953F9F" w14:textId="77777777">
            <w:pPr>
              <w:keepNext/>
              <w:jc w:val="center"/>
              <w:rPr>
                <w:rFonts w:eastAsia="Arial Unicode MS"/>
                <w:sz w:val="22"/>
                <w:szCs w:val="22"/>
              </w:rPr>
            </w:pPr>
            <w:r w:rsidRPr="00295E71">
              <w:rPr>
                <w:rFonts w:eastAsia="Arial Unicode MS"/>
                <w:sz w:val="22"/>
                <w:szCs w:val="22"/>
              </w:rPr>
              <w:t xml:space="preserve">   30%*</w:t>
            </w:r>
          </w:p>
        </w:tc>
      </w:tr>
      <w:tr w14:paraId="4198C8BF" w14:textId="77777777">
        <w:tblPrEx>
          <w:tblW w:w="4375" w:type="pct"/>
          <w:tblInd w:w="-105" w:type="dxa"/>
          <w:tblLook w:val="0000"/>
        </w:tblPrEx>
        <w:tc>
          <w:tcPr>
            <w:tcW w:w="2976" w:type="pct"/>
            <w:tcBorders>
              <w:top w:val="nil"/>
              <w:left w:val="nil"/>
              <w:right w:val="nil"/>
            </w:tcBorders>
          </w:tcPr>
          <w:p w:rsidR="006224C2" w:rsidRPr="00295E71" w14:paraId="4E2D76CC" w14:textId="77777777">
            <w:pPr>
              <w:keepNext/>
              <w:rPr>
                <w:rFonts w:eastAsia="Arial Unicode MS"/>
                <w:sz w:val="22"/>
                <w:szCs w:val="22"/>
              </w:rPr>
            </w:pPr>
            <w:r w:rsidRPr="00295E71">
              <w:rPr>
                <w:rFonts w:eastAsia="Arial Unicode MS"/>
                <w:sz w:val="22"/>
                <w:szCs w:val="22"/>
              </w:rPr>
              <w:t xml:space="preserve">  Remissione clinica </w:t>
            </w:r>
          </w:p>
        </w:tc>
        <w:tc>
          <w:tcPr>
            <w:tcW w:w="634" w:type="pct"/>
            <w:tcBorders>
              <w:top w:val="nil"/>
              <w:left w:val="nil"/>
              <w:right w:val="nil"/>
            </w:tcBorders>
          </w:tcPr>
          <w:p w:rsidR="006224C2" w:rsidRPr="00295E71" w14:paraId="41334EE5" w14:textId="77777777">
            <w:pPr>
              <w:keepNext/>
              <w:jc w:val="center"/>
              <w:rPr>
                <w:rFonts w:eastAsia="Arial Unicode MS"/>
                <w:sz w:val="22"/>
                <w:szCs w:val="22"/>
              </w:rPr>
            </w:pPr>
            <w:r w:rsidRPr="00295E71">
              <w:rPr>
                <w:rFonts w:eastAsia="Arial Unicode MS"/>
                <w:sz w:val="22"/>
                <w:szCs w:val="22"/>
              </w:rPr>
              <w:t>9%</w:t>
            </w:r>
          </w:p>
        </w:tc>
        <w:tc>
          <w:tcPr>
            <w:tcW w:w="1391" w:type="pct"/>
            <w:tcBorders>
              <w:top w:val="nil"/>
              <w:left w:val="nil"/>
              <w:right w:val="nil"/>
            </w:tcBorders>
          </w:tcPr>
          <w:p w:rsidR="006224C2" w:rsidRPr="00295E71" w14:paraId="68668F6A" w14:textId="77777777">
            <w:pPr>
              <w:keepNext/>
              <w:jc w:val="center"/>
              <w:rPr>
                <w:rFonts w:eastAsia="Arial Unicode MS"/>
                <w:sz w:val="22"/>
                <w:szCs w:val="22"/>
              </w:rPr>
            </w:pPr>
            <w:r w:rsidRPr="00295E71">
              <w:rPr>
                <w:rFonts w:eastAsia="Arial Unicode MS"/>
                <w:sz w:val="22"/>
                <w:szCs w:val="22"/>
              </w:rPr>
              <w:t xml:space="preserve">   17%*</w:t>
            </w:r>
          </w:p>
        </w:tc>
      </w:tr>
      <w:tr w14:paraId="53257772" w14:textId="77777777">
        <w:tblPrEx>
          <w:tblW w:w="4375" w:type="pct"/>
          <w:tblInd w:w="-105" w:type="dxa"/>
          <w:tblLook w:val="0000"/>
        </w:tblPrEx>
        <w:tc>
          <w:tcPr>
            <w:tcW w:w="2976" w:type="pct"/>
            <w:tcBorders>
              <w:top w:val="nil"/>
              <w:left w:val="nil"/>
              <w:right w:val="nil"/>
            </w:tcBorders>
          </w:tcPr>
          <w:p w:rsidR="006224C2" w:rsidRPr="00295E71" w14:paraId="1D5A2F2A" w14:textId="77777777">
            <w:pPr>
              <w:keepNext/>
              <w:rPr>
                <w:rFonts w:eastAsia="Arial Unicode MS"/>
                <w:sz w:val="22"/>
                <w:szCs w:val="22"/>
              </w:rPr>
            </w:pPr>
            <w:r w:rsidRPr="00295E71">
              <w:rPr>
                <w:rFonts w:eastAsia="Arial Unicode MS"/>
                <w:sz w:val="22"/>
                <w:szCs w:val="22"/>
              </w:rPr>
              <w:t xml:space="preserve">  Guarigione della mucosa  </w:t>
            </w:r>
          </w:p>
        </w:tc>
        <w:tc>
          <w:tcPr>
            <w:tcW w:w="634" w:type="pct"/>
            <w:tcBorders>
              <w:top w:val="nil"/>
              <w:left w:val="nil"/>
              <w:right w:val="nil"/>
            </w:tcBorders>
          </w:tcPr>
          <w:p w:rsidR="006224C2" w:rsidRPr="00295E71" w14:paraId="27D027B0" w14:textId="77777777">
            <w:pPr>
              <w:keepNext/>
              <w:jc w:val="center"/>
              <w:rPr>
                <w:rFonts w:eastAsia="Arial Unicode MS"/>
                <w:sz w:val="22"/>
                <w:szCs w:val="22"/>
              </w:rPr>
            </w:pPr>
            <w:r w:rsidRPr="00295E71">
              <w:rPr>
                <w:rFonts w:eastAsia="Arial Unicode MS"/>
                <w:sz w:val="22"/>
                <w:szCs w:val="22"/>
              </w:rPr>
              <w:t>15%</w:t>
            </w:r>
          </w:p>
        </w:tc>
        <w:tc>
          <w:tcPr>
            <w:tcW w:w="1391" w:type="pct"/>
            <w:tcBorders>
              <w:top w:val="nil"/>
              <w:left w:val="nil"/>
              <w:right w:val="nil"/>
            </w:tcBorders>
          </w:tcPr>
          <w:p w:rsidR="006224C2" w:rsidRPr="00295E71" w14:paraId="778F6513" w14:textId="77777777">
            <w:pPr>
              <w:keepNext/>
              <w:jc w:val="center"/>
              <w:rPr>
                <w:rFonts w:eastAsia="Arial Unicode MS"/>
                <w:sz w:val="22"/>
                <w:szCs w:val="22"/>
              </w:rPr>
            </w:pPr>
            <w:r w:rsidRPr="00295E71">
              <w:rPr>
                <w:rFonts w:eastAsia="Arial Unicode MS"/>
                <w:sz w:val="22"/>
                <w:szCs w:val="22"/>
              </w:rPr>
              <w:t xml:space="preserve">   25%*</w:t>
            </w:r>
          </w:p>
        </w:tc>
      </w:tr>
      <w:tr w14:paraId="160D2514" w14:textId="77777777">
        <w:tblPrEx>
          <w:tblW w:w="4375" w:type="pct"/>
          <w:tblInd w:w="-105" w:type="dxa"/>
          <w:tblLook w:val="0000"/>
        </w:tblPrEx>
        <w:tc>
          <w:tcPr>
            <w:tcW w:w="2976" w:type="pct"/>
            <w:tcBorders>
              <w:top w:val="nil"/>
              <w:left w:val="nil"/>
              <w:right w:val="nil"/>
            </w:tcBorders>
          </w:tcPr>
          <w:p w:rsidR="006224C2" w:rsidRPr="00295E71" w14:paraId="5F643FD5" w14:textId="77777777">
            <w:pPr>
              <w:keepNext/>
              <w:rPr>
                <w:rFonts w:eastAsia="Arial Unicode MS"/>
                <w:sz w:val="22"/>
                <w:szCs w:val="22"/>
              </w:rPr>
            </w:pPr>
            <w:r w:rsidRPr="00295E71">
              <w:rPr>
                <w:rFonts w:eastAsia="Arial Unicode MS"/>
                <w:sz w:val="22"/>
                <w:szCs w:val="22"/>
              </w:rPr>
              <w:t xml:space="preserve">  Remissione libera da Steroidi per un periodo ≥ 90 giorni</w:t>
            </w:r>
            <w:r w:rsidRPr="00295E71">
              <w:rPr>
                <w:sz w:val="22"/>
                <w:szCs w:val="22"/>
                <w:vertAlign w:val="superscript"/>
              </w:rPr>
              <w:t xml:space="preserve"> a</w:t>
            </w:r>
          </w:p>
        </w:tc>
        <w:tc>
          <w:tcPr>
            <w:tcW w:w="634" w:type="pct"/>
            <w:tcBorders>
              <w:top w:val="nil"/>
              <w:left w:val="nil"/>
              <w:right w:val="nil"/>
            </w:tcBorders>
          </w:tcPr>
          <w:p w:rsidR="006224C2" w:rsidRPr="00295E71" w14:paraId="23F1AC0B" w14:textId="77777777">
            <w:pPr>
              <w:keepNext/>
              <w:jc w:val="center"/>
              <w:rPr>
                <w:rFonts w:eastAsia="Arial Unicode MS"/>
                <w:sz w:val="22"/>
                <w:szCs w:val="22"/>
              </w:rPr>
            </w:pPr>
            <w:r w:rsidRPr="00295E71">
              <w:rPr>
                <w:rFonts w:eastAsia="Arial Unicode MS"/>
                <w:sz w:val="22"/>
                <w:szCs w:val="22"/>
              </w:rPr>
              <w:t xml:space="preserve">6% </w:t>
            </w:r>
          </w:p>
          <w:p w:rsidR="006224C2" w:rsidRPr="00295E71" w14:paraId="0961D76C" w14:textId="77777777">
            <w:pPr>
              <w:keepNext/>
              <w:jc w:val="center"/>
              <w:rPr>
                <w:rFonts w:eastAsia="Arial Unicode MS"/>
                <w:sz w:val="22"/>
                <w:szCs w:val="22"/>
              </w:rPr>
            </w:pPr>
            <w:r w:rsidRPr="00295E71">
              <w:rPr>
                <w:rFonts w:eastAsia="Arial Unicode MS"/>
                <w:sz w:val="22"/>
                <w:szCs w:val="22"/>
              </w:rPr>
              <w:t>(N=140)</w:t>
            </w:r>
          </w:p>
        </w:tc>
        <w:tc>
          <w:tcPr>
            <w:tcW w:w="1391" w:type="pct"/>
            <w:tcBorders>
              <w:top w:val="nil"/>
              <w:left w:val="nil"/>
              <w:right w:val="nil"/>
            </w:tcBorders>
          </w:tcPr>
          <w:p w:rsidR="006224C2" w:rsidRPr="00295E71" w14:paraId="09921145" w14:textId="77777777">
            <w:pPr>
              <w:keepNext/>
              <w:jc w:val="center"/>
              <w:rPr>
                <w:rFonts w:eastAsia="Arial Unicode MS"/>
                <w:sz w:val="22"/>
                <w:szCs w:val="22"/>
              </w:rPr>
            </w:pPr>
            <w:r w:rsidRPr="00295E71">
              <w:rPr>
                <w:rFonts w:eastAsia="Arial Unicode MS"/>
                <w:sz w:val="22"/>
                <w:szCs w:val="22"/>
              </w:rPr>
              <w:t xml:space="preserve">     13% *</w:t>
            </w:r>
          </w:p>
          <w:p w:rsidR="006224C2" w:rsidRPr="00295E71" w14:paraId="43AD3F09" w14:textId="77777777">
            <w:pPr>
              <w:keepNext/>
              <w:jc w:val="center"/>
              <w:rPr>
                <w:rFonts w:eastAsia="Arial Unicode MS"/>
                <w:sz w:val="22"/>
                <w:szCs w:val="22"/>
              </w:rPr>
            </w:pPr>
            <w:r w:rsidRPr="00295E71">
              <w:rPr>
                <w:rFonts w:eastAsia="Arial Unicode MS"/>
                <w:sz w:val="22"/>
                <w:szCs w:val="22"/>
              </w:rPr>
              <w:t>(N=150)</w:t>
            </w:r>
          </w:p>
          <w:p w:rsidR="006224C2" w:rsidRPr="00295E71" w14:paraId="6858143C" w14:textId="77777777">
            <w:pPr>
              <w:keepNext/>
              <w:rPr>
                <w:rFonts w:eastAsia="Arial Unicode MS"/>
                <w:sz w:val="22"/>
                <w:szCs w:val="22"/>
              </w:rPr>
            </w:pPr>
          </w:p>
        </w:tc>
      </w:tr>
      <w:tr w14:paraId="38307444" w14:textId="77777777">
        <w:tblPrEx>
          <w:tblW w:w="4375" w:type="pct"/>
          <w:tblInd w:w="-105" w:type="dxa"/>
          <w:tblLook w:val="0000"/>
        </w:tblPrEx>
        <w:tc>
          <w:tcPr>
            <w:tcW w:w="2976" w:type="pct"/>
            <w:tcBorders>
              <w:top w:val="nil"/>
              <w:left w:val="nil"/>
              <w:right w:val="nil"/>
            </w:tcBorders>
          </w:tcPr>
          <w:p w:rsidR="006224C2" w:rsidRPr="00295E71" w14:paraId="11543D98" w14:textId="77777777">
            <w:pPr>
              <w:keepNext/>
              <w:rPr>
                <w:rFonts w:eastAsia="Arial Unicode MS"/>
                <w:sz w:val="22"/>
                <w:szCs w:val="22"/>
              </w:rPr>
            </w:pPr>
            <w:r w:rsidRPr="00295E71">
              <w:rPr>
                <w:rFonts w:eastAsia="Arial Unicode MS"/>
                <w:sz w:val="22"/>
                <w:szCs w:val="22"/>
              </w:rPr>
              <w:t>Settimana 8 e 52</w:t>
            </w:r>
          </w:p>
        </w:tc>
        <w:tc>
          <w:tcPr>
            <w:tcW w:w="634" w:type="pct"/>
            <w:tcBorders>
              <w:top w:val="nil"/>
              <w:left w:val="nil"/>
              <w:right w:val="nil"/>
            </w:tcBorders>
          </w:tcPr>
          <w:p w:rsidR="006224C2" w:rsidRPr="00295E71" w14:paraId="67CBB513" w14:textId="77777777">
            <w:pPr>
              <w:keepNext/>
              <w:jc w:val="center"/>
              <w:rPr>
                <w:rFonts w:eastAsia="Arial Unicode MS"/>
                <w:sz w:val="22"/>
                <w:szCs w:val="22"/>
              </w:rPr>
            </w:pPr>
          </w:p>
        </w:tc>
        <w:tc>
          <w:tcPr>
            <w:tcW w:w="1391" w:type="pct"/>
            <w:tcBorders>
              <w:top w:val="nil"/>
              <w:left w:val="nil"/>
              <w:right w:val="nil"/>
            </w:tcBorders>
          </w:tcPr>
          <w:p w:rsidR="006224C2" w:rsidRPr="00295E71" w14:paraId="0CEE9756" w14:textId="77777777">
            <w:pPr>
              <w:keepNext/>
              <w:jc w:val="center"/>
              <w:rPr>
                <w:rFonts w:eastAsia="Arial Unicode MS"/>
                <w:sz w:val="22"/>
                <w:szCs w:val="22"/>
              </w:rPr>
            </w:pPr>
          </w:p>
        </w:tc>
      </w:tr>
      <w:tr w14:paraId="31FEC877" w14:textId="77777777">
        <w:tblPrEx>
          <w:tblW w:w="4375" w:type="pct"/>
          <w:tblInd w:w="-105" w:type="dxa"/>
          <w:tblLook w:val="0000"/>
        </w:tblPrEx>
        <w:tc>
          <w:tcPr>
            <w:tcW w:w="2976" w:type="pct"/>
            <w:tcBorders>
              <w:top w:val="nil"/>
              <w:left w:val="nil"/>
              <w:right w:val="nil"/>
            </w:tcBorders>
          </w:tcPr>
          <w:p w:rsidR="006224C2" w:rsidRPr="00295E71" w14:paraId="35E92D1F" w14:textId="77777777">
            <w:pPr>
              <w:keepNext/>
              <w:rPr>
                <w:rFonts w:eastAsia="Arial Unicode MS"/>
                <w:sz w:val="22"/>
                <w:szCs w:val="22"/>
              </w:rPr>
            </w:pPr>
            <w:r w:rsidRPr="00295E71">
              <w:rPr>
                <w:rFonts w:eastAsia="Arial Unicode MS"/>
                <w:sz w:val="22"/>
                <w:szCs w:val="22"/>
              </w:rPr>
              <w:t xml:space="preserve">  Risposta prolungata</w:t>
            </w:r>
          </w:p>
        </w:tc>
        <w:tc>
          <w:tcPr>
            <w:tcW w:w="634" w:type="pct"/>
            <w:tcBorders>
              <w:top w:val="nil"/>
              <w:left w:val="nil"/>
              <w:right w:val="nil"/>
            </w:tcBorders>
          </w:tcPr>
          <w:p w:rsidR="006224C2" w:rsidRPr="00295E71" w14:paraId="4D74BEA0" w14:textId="77777777">
            <w:pPr>
              <w:keepNext/>
              <w:jc w:val="center"/>
              <w:rPr>
                <w:rFonts w:eastAsia="Arial Unicode MS"/>
                <w:sz w:val="22"/>
                <w:szCs w:val="22"/>
              </w:rPr>
            </w:pPr>
            <w:r w:rsidRPr="00295E71">
              <w:rPr>
                <w:rFonts w:eastAsia="Arial Unicode MS"/>
                <w:sz w:val="22"/>
                <w:szCs w:val="22"/>
              </w:rPr>
              <w:t>12%</w:t>
            </w:r>
          </w:p>
        </w:tc>
        <w:tc>
          <w:tcPr>
            <w:tcW w:w="1391" w:type="pct"/>
            <w:tcBorders>
              <w:top w:val="nil"/>
              <w:left w:val="nil"/>
              <w:right w:val="nil"/>
            </w:tcBorders>
          </w:tcPr>
          <w:p w:rsidR="006224C2" w:rsidRPr="00295E71" w14:paraId="12C1DB17" w14:textId="77777777">
            <w:pPr>
              <w:keepNext/>
              <w:jc w:val="center"/>
              <w:rPr>
                <w:rFonts w:eastAsia="Arial Unicode MS"/>
                <w:sz w:val="22"/>
                <w:szCs w:val="22"/>
              </w:rPr>
            </w:pPr>
            <w:r w:rsidRPr="00295E71">
              <w:rPr>
                <w:rFonts w:eastAsia="Arial Unicode MS"/>
                <w:sz w:val="22"/>
                <w:szCs w:val="22"/>
              </w:rPr>
              <w:t xml:space="preserve">   24%**</w:t>
            </w:r>
          </w:p>
        </w:tc>
      </w:tr>
      <w:tr w14:paraId="31C40E45" w14:textId="77777777">
        <w:tblPrEx>
          <w:tblW w:w="4375" w:type="pct"/>
          <w:tblInd w:w="-105" w:type="dxa"/>
          <w:tblLook w:val="0000"/>
        </w:tblPrEx>
        <w:tc>
          <w:tcPr>
            <w:tcW w:w="2976" w:type="pct"/>
            <w:tcBorders>
              <w:top w:val="nil"/>
              <w:left w:val="nil"/>
              <w:right w:val="nil"/>
            </w:tcBorders>
          </w:tcPr>
          <w:p w:rsidR="006224C2" w:rsidRPr="00295E71" w14:paraId="165D3F2C" w14:textId="77777777">
            <w:pPr>
              <w:keepNext/>
              <w:rPr>
                <w:rFonts w:eastAsia="Arial Unicode MS"/>
                <w:sz w:val="22"/>
                <w:szCs w:val="22"/>
              </w:rPr>
            </w:pPr>
            <w:r w:rsidRPr="00295E71">
              <w:rPr>
                <w:rFonts w:eastAsia="Arial Unicode MS"/>
                <w:sz w:val="22"/>
                <w:szCs w:val="22"/>
              </w:rPr>
              <w:t xml:space="preserve"> Remissione prolungata </w:t>
            </w:r>
          </w:p>
        </w:tc>
        <w:tc>
          <w:tcPr>
            <w:tcW w:w="634" w:type="pct"/>
            <w:tcBorders>
              <w:top w:val="nil"/>
              <w:left w:val="nil"/>
              <w:right w:val="nil"/>
            </w:tcBorders>
          </w:tcPr>
          <w:p w:rsidR="006224C2" w:rsidRPr="00295E71" w14:paraId="124D2878" w14:textId="77777777">
            <w:pPr>
              <w:keepNext/>
              <w:jc w:val="center"/>
              <w:rPr>
                <w:rFonts w:eastAsia="Arial Unicode MS"/>
                <w:sz w:val="22"/>
                <w:szCs w:val="22"/>
              </w:rPr>
            </w:pPr>
            <w:r w:rsidRPr="00295E71">
              <w:rPr>
                <w:rFonts w:eastAsia="Arial Unicode MS"/>
                <w:sz w:val="22"/>
                <w:szCs w:val="22"/>
              </w:rPr>
              <w:t>4%</w:t>
            </w:r>
          </w:p>
        </w:tc>
        <w:tc>
          <w:tcPr>
            <w:tcW w:w="1391" w:type="pct"/>
            <w:tcBorders>
              <w:top w:val="nil"/>
              <w:left w:val="nil"/>
              <w:right w:val="nil"/>
            </w:tcBorders>
          </w:tcPr>
          <w:p w:rsidR="006224C2" w:rsidRPr="00295E71" w14:paraId="351640E3" w14:textId="77777777">
            <w:pPr>
              <w:keepNext/>
              <w:jc w:val="center"/>
              <w:rPr>
                <w:rFonts w:eastAsia="Arial Unicode MS"/>
                <w:sz w:val="22"/>
                <w:szCs w:val="22"/>
              </w:rPr>
            </w:pPr>
            <w:r w:rsidRPr="00295E71">
              <w:rPr>
                <w:rFonts w:eastAsia="Arial Unicode MS"/>
                <w:sz w:val="22"/>
                <w:szCs w:val="22"/>
              </w:rPr>
              <w:t xml:space="preserve">   8%*</w:t>
            </w:r>
          </w:p>
        </w:tc>
      </w:tr>
      <w:tr w14:paraId="5FEE6569" w14:textId="77777777">
        <w:tblPrEx>
          <w:tblW w:w="4375" w:type="pct"/>
          <w:tblInd w:w="-105" w:type="dxa"/>
          <w:tblLook w:val="0000"/>
        </w:tblPrEx>
        <w:tc>
          <w:tcPr>
            <w:tcW w:w="2976" w:type="pct"/>
            <w:tcBorders>
              <w:top w:val="nil"/>
              <w:left w:val="nil"/>
              <w:bottom w:val="single" w:sz="6" w:space="0" w:color="000000"/>
              <w:right w:val="nil"/>
            </w:tcBorders>
          </w:tcPr>
          <w:p w:rsidR="006224C2" w:rsidRPr="00295E71" w14:paraId="496443AF" w14:textId="77777777">
            <w:pPr>
              <w:keepNext/>
              <w:rPr>
                <w:rFonts w:eastAsia="Arial Unicode MS"/>
                <w:sz w:val="22"/>
                <w:szCs w:val="22"/>
              </w:rPr>
            </w:pPr>
            <w:r w:rsidRPr="00295E71">
              <w:rPr>
                <w:rFonts w:eastAsia="Arial Unicode MS"/>
                <w:sz w:val="22"/>
                <w:szCs w:val="22"/>
              </w:rPr>
              <w:t xml:space="preserve">  </w:t>
            </w:r>
            <w:r w:rsidRPr="006207CB" w:rsidR="004C4E1E">
              <w:rPr>
                <w:rFonts w:eastAsia="Arial Unicode MS"/>
                <w:sz w:val="22"/>
                <w:szCs w:val="22"/>
              </w:rPr>
              <w:t>Guarigione</w:t>
            </w:r>
            <w:r w:rsidRPr="00295E71">
              <w:rPr>
                <w:rFonts w:eastAsia="Arial Unicode MS"/>
                <w:sz w:val="22"/>
                <w:szCs w:val="22"/>
              </w:rPr>
              <w:t xml:space="preserve"> prolungata della mucosa</w:t>
            </w:r>
          </w:p>
        </w:tc>
        <w:tc>
          <w:tcPr>
            <w:tcW w:w="634" w:type="pct"/>
            <w:tcBorders>
              <w:top w:val="nil"/>
              <w:left w:val="nil"/>
              <w:bottom w:val="single" w:sz="6" w:space="0" w:color="000000"/>
              <w:right w:val="nil"/>
            </w:tcBorders>
          </w:tcPr>
          <w:p w:rsidR="006224C2" w:rsidRPr="00295E71" w14:paraId="26856984" w14:textId="77777777">
            <w:pPr>
              <w:keepNext/>
              <w:jc w:val="center"/>
              <w:rPr>
                <w:rFonts w:eastAsia="Arial Unicode MS"/>
                <w:sz w:val="22"/>
                <w:szCs w:val="22"/>
              </w:rPr>
            </w:pPr>
            <w:r w:rsidRPr="00295E71">
              <w:rPr>
                <w:rFonts w:eastAsia="Arial Unicode MS"/>
                <w:sz w:val="22"/>
                <w:szCs w:val="22"/>
              </w:rPr>
              <w:t>11%</w:t>
            </w:r>
          </w:p>
        </w:tc>
        <w:tc>
          <w:tcPr>
            <w:tcW w:w="1391" w:type="pct"/>
            <w:tcBorders>
              <w:top w:val="nil"/>
              <w:left w:val="nil"/>
              <w:bottom w:val="single" w:sz="6" w:space="0" w:color="000000"/>
              <w:right w:val="nil"/>
            </w:tcBorders>
          </w:tcPr>
          <w:p w:rsidR="006224C2" w:rsidRPr="00295E71" w14:paraId="672DB7BB" w14:textId="77777777">
            <w:pPr>
              <w:keepNext/>
              <w:jc w:val="center"/>
              <w:rPr>
                <w:rFonts w:eastAsia="Arial Unicode MS"/>
                <w:sz w:val="22"/>
                <w:szCs w:val="22"/>
              </w:rPr>
            </w:pPr>
            <w:r w:rsidRPr="00295E71">
              <w:rPr>
                <w:rFonts w:eastAsia="Arial Unicode MS"/>
                <w:sz w:val="22"/>
                <w:szCs w:val="22"/>
              </w:rPr>
              <w:t xml:space="preserve">  19%*</w:t>
            </w:r>
          </w:p>
        </w:tc>
      </w:tr>
      <w:tr w14:paraId="6A3B5B83" w14:textId="77777777">
        <w:tblPrEx>
          <w:tblW w:w="4375" w:type="pct"/>
          <w:tblInd w:w="-105" w:type="dxa"/>
          <w:tblLook w:val="0000"/>
        </w:tblPrEx>
        <w:trPr>
          <w:trHeight w:val="65"/>
        </w:trPr>
        <w:tc>
          <w:tcPr>
            <w:tcW w:w="5000" w:type="pct"/>
            <w:gridSpan w:val="3"/>
            <w:tcBorders>
              <w:top w:val="nil"/>
              <w:left w:val="nil"/>
              <w:bottom w:val="nil"/>
              <w:right w:val="nil"/>
            </w:tcBorders>
          </w:tcPr>
          <w:p w:rsidR="006224C2" w:rsidRPr="00295E71" w14:paraId="57B55D3C" w14:textId="77777777">
            <w:pPr>
              <w:keepNext/>
              <w:spacing w:line="264" w:lineRule="atLeast"/>
              <w:jc w:val="both"/>
              <w:rPr>
                <w:rFonts w:eastAsia="Arial Unicode MS"/>
                <w:sz w:val="22"/>
                <w:szCs w:val="22"/>
              </w:rPr>
            </w:pPr>
            <w:r w:rsidRPr="00295E71">
              <w:rPr>
                <w:rFonts w:eastAsia="Arial Unicode MS"/>
                <w:sz w:val="22"/>
                <w:szCs w:val="22"/>
              </w:rPr>
              <w:t>La remissione clinica è definita da un punteggio di Mayo ≤ 2 con nessun sottopunteggio &gt; 1;</w:t>
            </w:r>
          </w:p>
          <w:p w:rsidR="006224C2" w:rsidRPr="00295E71" w14:paraId="63C6BCCF" w14:textId="77777777">
            <w:pPr>
              <w:keepNext/>
              <w:spacing w:line="264" w:lineRule="atLeast"/>
              <w:jc w:val="both"/>
              <w:rPr>
                <w:rFonts w:eastAsia="Arial Unicode MS"/>
                <w:sz w:val="22"/>
                <w:szCs w:val="22"/>
              </w:rPr>
            </w:pPr>
            <w:r w:rsidRPr="00295E71">
              <w:rPr>
                <w:rFonts w:eastAsia="Arial Unicode MS"/>
                <w:sz w:val="22"/>
                <w:szCs w:val="22"/>
              </w:rPr>
              <w:t xml:space="preserve">La risposta clinica è definita come una riduzione </w:t>
            </w:r>
            <w:r w:rsidRPr="006207CB" w:rsidR="004C4E1E">
              <w:rPr>
                <w:rFonts w:eastAsia="Arial Unicode MS"/>
                <w:sz w:val="22"/>
                <w:szCs w:val="22"/>
              </w:rPr>
              <w:t xml:space="preserve">rispetto al basale </w:t>
            </w:r>
            <w:r w:rsidRPr="00295E71">
              <w:rPr>
                <w:rFonts w:eastAsia="Arial Unicode MS"/>
                <w:sz w:val="22"/>
                <w:szCs w:val="22"/>
              </w:rPr>
              <w:t>del punteggio Mayo ≥</w:t>
            </w:r>
            <w:r w:rsidR="000752A6">
              <w:rPr>
                <w:rFonts w:eastAsia="Arial Unicode MS"/>
                <w:sz w:val="22"/>
                <w:szCs w:val="22"/>
              </w:rPr>
              <w:t xml:space="preserve"> </w:t>
            </w:r>
            <w:r w:rsidRPr="00295E71">
              <w:rPr>
                <w:rFonts w:eastAsia="Arial Unicode MS"/>
                <w:sz w:val="22"/>
                <w:szCs w:val="22"/>
              </w:rPr>
              <w:t>3</w:t>
            </w:r>
            <w:r w:rsidR="004C4E1E">
              <w:rPr>
                <w:rFonts w:eastAsia="Arial Unicode MS"/>
                <w:sz w:val="22"/>
                <w:szCs w:val="22"/>
              </w:rPr>
              <w:t xml:space="preserve"> punti</w:t>
            </w:r>
            <w:r w:rsidRPr="00295E71">
              <w:rPr>
                <w:rFonts w:eastAsia="Arial Unicode MS"/>
                <w:sz w:val="22"/>
                <w:szCs w:val="22"/>
              </w:rPr>
              <w:t xml:space="preserve"> e </w:t>
            </w:r>
            <w:r w:rsidRPr="006207CB" w:rsidR="004C4E1E">
              <w:rPr>
                <w:rFonts w:eastAsia="Arial Unicode MS"/>
                <w:sz w:val="22"/>
                <w:szCs w:val="22"/>
              </w:rPr>
              <w:t>≥</w:t>
            </w:r>
            <w:r w:rsidRPr="00295E71">
              <w:rPr>
                <w:rFonts w:eastAsia="Arial Unicode MS"/>
                <w:sz w:val="22"/>
                <w:szCs w:val="22"/>
              </w:rPr>
              <w:t>30%, oltre ad una diminuzione del sottopunteggio sanguinamento rettale</w:t>
            </w:r>
            <w:r w:rsidRPr="006207CB" w:rsidR="004C4E1E">
              <w:rPr>
                <w:rFonts w:eastAsia="Arial Unicode MS"/>
                <w:sz w:val="22"/>
                <w:szCs w:val="22"/>
              </w:rPr>
              <w:t xml:space="preserve">  [RBS] </w:t>
            </w:r>
            <w:r w:rsidRPr="00295E71">
              <w:rPr>
                <w:rFonts w:eastAsia="Arial Unicode MS"/>
                <w:sz w:val="22"/>
                <w:szCs w:val="22"/>
              </w:rPr>
              <w:t xml:space="preserve">≥1 o un </w:t>
            </w:r>
            <w:r w:rsidR="004C4E1E">
              <w:rPr>
                <w:rFonts w:eastAsia="Arial Unicode MS"/>
                <w:sz w:val="22"/>
                <w:szCs w:val="22"/>
              </w:rPr>
              <w:t>RBS</w:t>
            </w:r>
            <w:r w:rsidRPr="00295E71">
              <w:rPr>
                <w:rFonts w:eastAsia="Arial Unicode MS"/>
                <w:sz w:val="22"/>
                <w:szCs w:val="22"/>
              </w:rPr>
              <w:t xml:space="preserve"> di 0 o 1 in valore assoluto;</w:t>
            </w:r>
          </w:p>
          <w:p w:rsidR="006224C2" w:rsidRPr="00295E71" w14:paraId="5A462E42" w14:textId="77777777">
            <w:pPr>
              <w:keepNext/>
              <w:spacing w:line="264" w:lineRule="atLeast"/>
              <w:jc w:val="both"/>
              <w:rPr>
                <w:rFonts w:eastAsia="Arial Unicode MS"/>
                <w:sz w:val="22"/>
                <w:szCs w:val="22"/>
              </w:rPr>
            </w:pPr>
            <w:r w:rsidRPr="00295E71">
              <w:rPr>
                <w:rStyle w:val="sup1"/>
                <w:rFonts w:eastAsia="Arial Unicode MS"/>
                <w:sz w:val="22"/>
                <w:szCs w:val="22"/>
                <w:vertAlign w:val="superscript"/>
              </w:rPr>
              <w:t>*</w:t>
            </w:r>
            <w:r w:rsidRPr="00295E71">
              <w:rPr>
                <w:rFonts w:eastAsia="Arial Unicode MS"/>
                <w:sz w:val="22"/>
                <w:szCs w:val="22"/>
              </w:rPr>
              <w:t xml:space="preserve">p&lt;0,05 per Humira </w:t>
            </w:r>
            <w:r w:rsidRPr="00295E71">
              <w:rPr>
                <w:rStyle w:val="italics5"/>
                <w:rFonts w:eastAsia="Arial Unicode MS"/>
                <w:sz w:val="22"/>
                <w:szCs w:val="22"/>
              </w:rPr>
              <w:t>vs.</w:t>
            </w:r>
            <w:r w:rsidRPr="00295E71">
              <w:rPr>
                <w:rFonts w:eastAsia="Arial Unicode MS"/>
                <w:sz w:val="22"/>
                <w:szCs w:val="22"/>
              </w:rPr>
              <w:t xml:space="preserve"> placebo alla comparazione appaiata </w:t>
            </w:r>
            <w:r w:rsidRPr="006207CB" w:rsidR="004C4E1E">
              <w:rPr>
                <w:rFonts w:eastAsia="Arial Unicode MS"/>
                <w:sz w:val="22"/>
                <w:szCs w:val="22"/>
              </w:rPr>
              <w:t>delle percentuali</w:t>
            </w:r>
          </w:p>
          <w:p w:rsidR="006224C2" w:rsidRPr="00295E71" w14:paraId="51698ABE" w14:textId="77777777">
            <w:pPr>
              <w:keepNext/>
              <w:spacing w:line="264" w:lineRule="atLeast"/>
              <w:jc w:val="both"/>
              <w:rPr>
                <w:rFonts w:eastAsia="Arial Unicode MS"/>
                <w:sz w:val="22"/>
                <w:szCs w:val="22"/>
              </w:rPr>
            </w:pPr>
            <w:r w:rsidRPr="00295E71">
              <w:rPr>
                <w:rFonts w:eastAsia="Arial Unicode MS"/>
                <w:sz w:val="22"/>
                <w:szCs w:val="22"/>
              </w:rPr>
              <w:t xml:space="preserve">**p&lt;0,001 per Humira </w:t>
            </w:r>
            <w:r w:rsidRPr="00295E71">
              <w:rPr>
                <w:rFonts w:eastAsia="Arial Unicode MS"/>
                <w:i/>
                <w:sz w:val="22"/>
                <w:szCs w:val="22"/>
              </w:rPr>
              <w:t>vs.</w:t>
            </w:r>
            <w:r w:rsidRPr="00295E71">
              <w:rPr>
                <w:rFonts w:eastAsia="Arial Unicode MS"/>
                <w:sz w:val="22"/>
                <w:szCs w:val="22"/>
              </w:rPr>
              <w:t xml:space="preserve"> placebo alla comparazione appaiata</w:t>
            </w:r>
            <w:r w:rsidR="004C4E1E">
              <w:rPr>
                <w:rFonts w:eastAsia="Arial Unicode MS"/>
                <w:sz w:val="22"/>
                <w:szCs w:val="22"/>
              </w:rPr>
              <w:t xml:space="preserve"> </w:t>
            </w:r>
            <w:r w:rsidRPr="006207CB" w:rsidR="004C4E1E">
              <w:rPr>
                <w:rFonts w:eastAsia="Arial Unicode MS"/>
                <w:sz w:val="22"/>
                <w:szCs w:val="22"/>
              </w:rPr>
              <w:t>delle percentuali</w:t>
            </w:r>
          </w:p>
          <w:p w:rsidR="006224C2" w:rsidRPr="00295E71" w14:paraId="58FC8306" w14:textId="77777777">
            <w:pPr>
              <w:keepNext/>
              <w:spacing w:line="264" w:lineRule="atLeast"/>
              <w:jc w:val="both"/>
              <w:rPr>
                <w:rFonts w:eastAsia="Arial Unicode MS"/>
                <w:b/>
                <w:sz w:val="22"/>
                <w:szCs w:val="22"/>
              </w:rPr>
            </w:pPr>
            <w:r w:rsidRPr="00295E71">
              <w:rPr>
                <w:sz w:val="22"/>
                <w:szCs w:val="22"/>
                <w:vertAlign w:val="superscript"/>
              </w:rPr>
              <w:t xml:space="preserve">a </w:t>
            </w:r>
            <w:r w:rsidRPr="00295E71">
              <w:rPr>
                <w:sz w:val="22"/>
                <w:szCs w:val="22"/>
              </w:rPr>
              <w:t xml:space="preserve">  Di coloro che hanno assunto corticosteroidi </w:t>
            </w:r>
            <w:r w:rsidR="004C4E1E">
              <w:rPr>
                <w:sz w:val="22"/>
                <w:szCs w:val="22"/>
              </w:rPr>
              <w:t>al basale</w:t>
            </w:r>
            <w:r w:rsidRPr="00295E71">
              <w:rPr>
                <w:sz w:val="22"/>
                <w:szCs w:val="22"/>
              </w:rPr>
              <w:t>.</w:t>
            </w:r>
          </w:p>
        </w:tc>
      </w:tr>
    </w:tbl>
    <w:p w:rsidR="006224C2" w:rsidRPr="00295E71" w14:paraId="0232A4BC" w14:textId="77777777">
      <w:pPr>
        <w:tabs>
          <w:tab w:val="left" w:pos="567"/>
          <w:tab w:val="left" w:pos="1294"/>
        </w:tabs>
        <w:autoSpaceDE w:val="0"/>
        <w:autoSpaceDN w:val="0"/>
        <w:adjustRightInd w:val="0"/>
        <w:rPr>
          <w:color w:val="000000"/>
          <w:sz w:val="22"/>
          <w:szCs w:val="22"/>
        </w:rPr>
      </w:pPr>
    </w:p>
    <w:p w:rsidR="006224C2" w:rsidRPr="00295E71" w14:paraId="6BE6623D"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Dei pazienti che hanno risposto alla settimana 8, il 47% mostrava una risposta, il 29% era in remissione, il 41% ha manifestato guarigione della mucosa e il 20% era in remissionesenza uso di steroidi per un periodo ≥ 90 giorni alla settimana 52. </w:t>
      </w:r>
    </w:p>
    <w:p w:rsidR="006224C2" w:rsidRPr="00295E71" w14:paraId="0053A2DF" w14:textId="77777777">
      <w:pPr>
        <w:tabs>
          <w:tab w:val="left" w:pos="567"/>
          <w:tab w:val="left" w:pos="1294"/>
        </w:tabs>
        <w:autoSpaceDE w:val="0"/>
        <w:autoSpaceDN w:val="0"/>
        <w:adjustRightInd w:val="0"/>
        <w:jc w:val="both"/>
        <w:rPr>
          <w:color w:val="000000"/>
          <w:sz w:val="22"/>
          <w:szCs w:val="22"/>
        </w:rPr>
      </w:pPr>
    </w:p>
    <w:p w:rsidR="006224C2" w:rsidRPr="00295E71" w14:paraId="239BEE00"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Circa il 40% di pazienti arruolati nello studio UC-II aveva fallito il precedente trattamento a base di anti-TNF con infliximab. L’efficacia di adalimumab in quei pazienti si è dimostrata ridotta in confronto a quanto mostrato in pazienti non precedentemente trattati con anti TNF. Tra i pazienti che avevano fallito il precedente trattamento con anti TNF, il 3% del braccio placebo e il 10% del braccio adalimumab ha raggiunto la remissione alla settimana 52.</w:t>
      </w:r>
    </w:p>
    <w:p w:rsidR="006224C2" w:rsidRPr="00295E71" w14:paraId="30063731" w14:textId="77777777">
      <w:pPr>
        <w:tabs>
          <w:tab w:val="left" w:pos="567"/>
          <w:tab w:val="left" w:pos="1294"/>
        </w:tabs>
        <w:autoSpaceDE w:val="0"/>
        <w:autoSpaceDN w:val="0"/>
        <w:adjustRightInd w:val="0"/>
        <w:jc w:val="both"/>
        <w:rPr>
          <w:color w:val="000000"/>
          <w:sz w:val="22"/>
          <w:szCs w:val="22"/>
        </w:rPr>
      </w:pPr>
    </w:p>
    <w:p w:rsidR="006224C2" w:rsidRPr="00295E71" w14:paraId="798015B5"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 pazienti arruolati negli studi UC-I e UC-II</w:t>
      </w:r>
      <w:r w:rsidRPr="00295E71" w:rsidR="00046E7F">
        <w:rPr>
          <w:color w:val="000000"/>
          <w:sz w:val="22"/>
          <w:szCs w:val="22"/>
        </w:rPr>
        <w:t xml:space="preserve"> </w:t>
      </w:r>
      <w:r w:rsidRPr="00295E71">
        <w:rPr>
          <w:color w:val="000000"/>
          <w:sz w:val="22"/>
          <w:szCs w:val="22"/>
        </w:rPr>
        <w:t xml:space="preserve">hanno avuto la possibilità di entrare in uno studio </w:t>
      </w:r>
      <w:r w:rsidRPr="00020442" w:rsidR="004C4E1E">
        <w:rPr>
          <w:color w:val="000000"/>
          <w:sz w:val="22"/>
          <w:szCs w:val="22"/>
        </w:rPr>
        <w:t xml:space="preserve">di estensione in </w:t>
      </w:r>
      <w:r w:rsidRPr="00295E71">
        <w:rPr>
          <w:color w:val="000000"/>
          <w:sz w:val="22"/>
          <w:szCs w:val="22"/>
        </w:rPr>
        <w:t xml:space="preserve">aperto a lungo termine (UC-III). Dopo tre anni di terapia a base di adalimumab, il 75% (301/402) ha continuato ad essere in remissione clinica in accordo al punteggio Mayo parziale. </w:t>
      </w:r>
    </w:p>
    <w:p w:rsidR="006224C2" w:rsidRPr="00295E71" w14:paraId="41CDC8D3" w14:textId="77777777">
      <w:pPr>
        <w:tabs>
          <w:tab w:val="left" w:pos="567"/>
          <w:tab w:val="left" w:pos="1294"/>
        </w:tabs>
        <w:autoSpaceDE w:val="0"/>
        <w:autoSpaceDN w:val="0"/>
        <w:adjustRightInd w:val="0"/>
        <w:jc w:val="both"/>
        <w:rPr>
          <w:color w:val="000000"/>
          <w:sz w:val="22"/>
          <w:szCs w:val="22"/>
        </w:rPr>
      </w:pPr>
    </w:p>
    <w:p w:rsidR="006224C2" w:rsidRPr="00295E71" w:rsidP="00A60A0D" w14:paraId="0E9E1B1A" w14:textId="77777777">
      <w:pPr>
        <w:keepNext/>
        <w:tabs>
          <w:tab w:val="left" w:pos="567"/>
          <w:tab w:val="left" w:pos="1294"/>
        </w:tabs>
        <w:autoSpaceDE w:val="0"/>
        <w:autoSpaceDN w:val="0"/>
        <w:adjustRightInd w:val="0"/>
        <w:jc w:val="both"/>
        <w:rPr>
          <w:i/>
          <w:color w:val="000000"/>
          <w:sz w:val="22"/>
          <w:szCs w:val="22"/>
          <w:u w:val="single"/>
        </w:rPr>
      </w:pPr>
      <w:r w:rsidRPr="00295E71">
        <w:rPr>
          <w:i/>
          <w:color w:val="000000"/>
          <w:sz w:val="22"/>
          <w:szCs w:val="22"/>
          <w:u w:val="single"/>
        </w:rPr>
        <w:t>Tassi di ospedalizzazione</w:t>
      </w:r>
    </w:p>
    <w:p w:rsidR="006224C2" w:rsidRPr="00295E71" w14:paraId="62825CC1" w14:textId="77777777">
      <w:pPr>
        <w:tabs>
          <w:tab w:val="left" w:pos="567"/>
          <w:tab w:val="left" w:pos="1294"/>
        </w:tabs>
        <w:autoSpaceDE w:val="0"/>
        <w:autoSpaceDN w:val="0"/>
        <w:adjustRightInd w:val="0"/>
        <w:jc w:val="both"/>
        <w:rPr>
          <w:color w:val="000000"/>
          <w:sz w:val="22"/>
          <w:szCs w:val="22"/>
          <w:u w:val="single"/>
        </w:rPr>
      </w:pPr>
    </w:p>
    <w:p w:rsidR="006224C2" w:rsidRPr="00295E71" w14:paraId="3E2D4DAD"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Durante le 52 settimane degli studi UC-I e UC-II, è stata osservata una diminuzione delle ospedalizzazioni per tutte le cause e delle ospedalizzazioni correlate alla colite ulcerosa nel gruppo trattato con adalimumab rispetto al gruppo trattato con placebo. Il numero delle ospedalizzazioni per tutte le cause era di 0,18 soggetti per anno nel gruppo di trattamento con adalimumab rispetto al gruppo in trattamento con placebo (0,26 soggetti per anno) ed i corrispondenti dati relativi alle ospedalizzazioni correlate alla colite ulcerosa erano di 0,12 soggetti per anno rispetto a 0,22 soggetti per anno.</w:t>
      </w:r>
    </w:p>
    <w:p w:rsidR="006224C2" w:rsidRPr="00295E71" w14:paraId="6B09BF76" w14:textId="77777777">
      <w:pPr>
        <w:tabs>
          <w:tab w:val="left" w:pos="567"/>
          <w:tab w:val="left" w:pos="1294"/>
        </w:tabs>
        <w:autoSpaceDE w:val="0"/>
        <w:autoSpaceDN w:val="0"/>
        <w:adjustRightInd w:val="0"/>
        <w:jc w:val="both"/>
        <w:rPr>
          <w:color w:val="000000"/>
          <w:sz w:val="22"/>
          <w:szCs w:val="22"/>
          <w:u w:val="single"/>
        </w:rPr>
      </w:pPr>
    </w:p>
    <w:p w:rsidR="006224C2" w:rsidRPr="00295E71" w14:paraId="7002F4FF" w14:textId="77777777">
      <w:pPr>
        <w:keepNext/>
        <w:rPr>
          <w:i/>
          <w:color w:val="000000"/>
          <w:sz w:val="22"/>
          <w:szCs w:val="22"/>
          <w:u w:val="single"/>
        </w:rPr>
      </w:pPr>
      <w:r w:rsidRPr="00295E71">
        <w:rPr>
          <w:i/>
          <w:color w:val="000000"/>
          <w:sz w:val="22"/>
          <w:szCs w:val="22"/>
          <w:u w:val="single"/>
        </w:rPr>
        <w:t>Qualità della vita</w:t>
      </w:r>
    </w:p>
    <w:p w:rsidR="006224C2" w:rsidRPr="00295E71" w14:paraId="3C7DC077" w14:textId="77777777">
      <w:pPr>
        <w:keepNext/>
        <w:tabs>
          <w:tab w:val="left" w:pos="567"/>
          <w:tab w:val="left" w:pos="1294"/>
        </w:tabs>
        <w:autoSpaceDE w:val="0"/>
        <w:autoSpaceDN w:val="0"/>
        <w:adjustRightInd w:val="0"/>
        <w:jc w:val="both"/>
        <w:rPr>
          <w:color w:val="000000"/>
          <w:sz w:val="22"/>
          <w:szCs w:val="22"/>
        </w:rPr>
      </w:pPr>
    </w:p>
    <w:p w:rsidR="006224C2" w:rsidRPr="00295E71" w14:paraId="3F4D6960" w14:textId="77777777">
      <w:pPr>
        <w:keepNext/>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Nello studio UC-II, il trattamento con adalimumab ha portato ad un miglioramento del punteggio del questionario </w:t>
      </w:r>
      <w:r w:rsidRPr="00020442" w:rsidR="004C4E1E">
        <w:rPr>
          <w:color w:val="000000"/>
          <w:sz w:val="22"/>
          <w:szCs w:val="22"/>
        </w:rPr>
        <w:t>Inflammatory Bowel Disease Questionnaire</w:t>
      </w:r>
      <w:r w:rsidRPr="00295E71">
        <w:rPr>
          <w:color w:val="000000"/>
          <w:sz w:val="22"/>
          <w:szCs w:val="22"/>
        </w:rPr>
        <w:t xml:space="preserve"> (IBDQ).</w:t>
      </w:r>
    </w:p>
    <w:p w:rsidR="006224C2" w:rsidRPr="00295E71" w14:paraId="17D0610B" w14:textId="77777777">
      <w:pPr>
        <w:tabs>
          <w:tab w:val="left" w:pos="567"/>
          <w:tab w:val="left" w:pos="1294"/>
        </w:tabs>
        <w:autoSpaceDE w:val="0"/>
        <w:autoSpaceDN w:val="0"/>
        <w:adjustRightInd w:val="0"/>
        <w:jc w:val="both"/>
        <w:rPr>
          <w:color w:val="000000"/>
          <w:sz w:val="22"/>
          <w:szCs w:val="22"/>
          <w:u w:val="single"/>
        </w:rPr>
      </w:pPr>
    </w:p>
    <w:p w:rsidR="006224C2" w:rsidRPr="00295E71" w14:paraId="30279C51" w14:textId="77777777">
      <w:pPr>
        <w:tabs>
          <w:tab w:val="left" w:pos="567"/>
          <w:tab w:val="left" w:pos="1294"/>
        </w:tabs>
        <w:autoSpaceDE w:val="0"/>
        <w:autoSpaceDN w:val="0"/>
        <w:adjustRightInd w:val="0"/>
        <w:jc w:val="both"/>
        <w:rPr>
          <w:i/>
          <w:color w:val="000000"/>
          <w:sz w:val="22"/>
          <w:szCs w:val="22"/>
        </w:rPr>
      </w:pPr>
      <w:r w:rsidRPr="00295E71">
        <w:rPr>
          <w:i/>
          <w:color w:val="000000"/>
          <w:sz w:val="22"/>
          <w:szCs w:val="22"/>
        </w:rPr>
        <w:t>Uveite</w:t>
      </w:r>
    </w:p>
    <w:p w:rsidR="006224C2" w:rsidRPr="00295E71" w14:paraId="7AA4A78A" w14:textId="77777777">
      <w:pPr>
        <w:tabs>
          <w:tab w:val="left" w:pos="567"/>
          <w:tab w:val="left" w:pos="1294"/>
        </w:tabs>
        <w:autoSpaceDE w:val="0"/>
        <w:autoSpaceDN w:val="0"/>
        <w:adjustRightInd w:val="0"/>
        <w:jc w:val="both"/>
        <w:rPr>
          <w:color w:val="000000"/>
          <w:sz w:val="22"/>
          <w:szCs w:val="22"/>
        </w:rPr>
      </w:pPr>
    </w:p>
    <w:p w:rsidR="006224C2" w:rsidRPr="00295E71" w14:paraId="19BC4A5A"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La sicurezza e l'efficacia di Humira sono state valutate in pazienti adulti con uveite non-infettiva intermedia, posteriore e panuveite, escludendo i pazienti con uveite anteriore isolata, in due studi randomizzati, in doppio cieco, controllati con placebo (UV I e II). I pazienti hanno ricevuto placebo o Humira a una dose iniziale di 80 mg seguita da 40 mg a settimane alterne a partire da una settimana dopo la dose iniziale. Erano consentite dosi stabili concomitanti di un immunosoppressore non biologico.</w:t>
      </w:r>
    </w:p>
    <w:p w:rsidR="006224C2" w:rsidRPr="00295E71" w14:paraId="677D23DA" w14:textId="77777777">
      <w:pPr>
        <w:tabs>
          <w:tab w:val="left" w:pos="567"/>
          <w:tab w:val="left" w:pos="1294"/>
        </w:tabs>
        <w:autoSpaceDE w:val="0"/>
        <w:autoSpaceDN w:val="0"/>
        <w:adjustRightInd w:val="0"/>
        <w:jc w:val="both"/>
        <w:rPr>
          <w:color w:val="000000"/>
          <w:sz w:val="22"/>
          <w:szCs w:val="22"/>
        </w:rPr>
      </w:pPr>
    </w:p>
    <w:p w:rsidR="006224C2" w:rsidRPr="00295E71" w14:paraId="46D55523"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Lo Studio UV I ha valutato 217 pazienti con uveite attiva nonostante il trattamento con corticosteroidi (prednisone orale a una dose di 10-60 mg/die). Tutti i pazienti hanno ricevuto una dose standardizzata di prednisone pari a 60 mg/die all’ingresso nello studio per 2 settimane seguita da un programma obbligatorio di riduzione del dosaggio, fino alla sospensione totale del corticosteroide alla settimana 15.</w:t>
      </w:r>
    </w:p>
    <w:p w:rsidR="006224C2" w:rsidRPr="00295E71" w14:paraId="012FEB9F" w14:textId="77777777">
      <w:pPr>
        <w:tabs>
          <w:tab w:val="left" w:pos="567"/>
          <w:tab w:val="left" w:pos="1294"/>
        </w:tabs>
        <w:autoSpaceDE w:val="0"/>
        <w:autoSpaceDN w:val="0"/>
        <w:adjustRightInd w:val="0"/>
        <w:jc w:val="both"/>
        <w:rPr>
          <w:color w:val="000000"/>
          <w:sz w:val="22"/>
          <w:szCs w:val="22"/>
        </w:rPr>
      </w:pPr>
    </w:p>
    <w:p w:rsidR="006224C2" w:rsidRPr="00295E71" w14:paraId="266EE650"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Lo Studio UV II ha valutato 226 pazienti con uveite inattiva che al basale necessitavano di trattamento cronico con corticosteroide (prednisone orale da 10 a 35 mg/die) per controllare la loro malattia. I pazienti sono stati sottoposti successivamente a un programma obbligatorio di riduzione del dosaggio, fino alla sospensione totale del corticosteroide alla settimana 19.</w:t>
      </w:r>
    </w:p>
    <w:p w:rsidR="006224C2" w:rsidRPr="00295E71" w14:paraId="078663B5" w14:textId="77777777">
      <w:pPr>
        <w:tabs>
          <w:tab w:val="left" w:pos="567"/>
          <w:tab w:val="left" w:pos="1294"/>
        </w:tabs>
        <w:autoSpaceDE w:val="0"/>
        <w:autoSpaceDN w:val="0"/>
        <w:adjustRightInd w:val="0"/>
        <w:jc w:val="both"/>
        <w:rPr>
          <w:color w:val="000000"/>
          <w:sz w:val="22"/>
          <w:szCs w:val="22"/>
        </w:rPr>
      </w:pPr>
    </w:p>
    <w:p w:rsidR="006224C2" w:rsidRPr="00295E71" w14:paraId="49ABD129"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L'endpoint primario di efficacia in entrambi gli studi era il “tempo al fallimento del trattamento”. Il fallimento del trattamento è stato definito attraverso un parametro a più componenti basato su lesioni vascolari infiammatorie corioretiniche e/o retiniche , numero di cellule in camera anteriore (anterior chamber, AC), grado di opacità del vitreo (vitreous haze, VH) e migliore acuità visiva corretta (best corrected visual acuity, BCVA).</w:t>
      </w:r>
    </w:p>
    <w:p w:rsidR="006224C2" w:rsidRPr="00295E71" w14:paraId="5F83EF24" w14:textId="77777777">
      <w:pPr>
        <w:tabs>
          <w:tab w:val="left" w:pos="567"/>
          <w:tab w:val="left" w:pos="1294"/>
        </w:tabs>
        <w:autoSpaceDE w:val="0"/>
        <w:autoSpaceDN w:val="0"/>
        <w:adjustRightInd w:val="0"/>
        <w:jc w:val="both"/>
        <w:rPr>
          <w:color w:val="000000"/>
          <w:sz w:val="22"/>
          <w:szCs w:val="22"/>
        </w:rPr>
      </w:pPr>
    </w:p>
    <w:p w:rsidR="00D43E59" w:rsidP="00D43E59" w14:paraId="637A271F" w14:textId="77777777">
      <w:pPr>
        <w:pStyle w:val="EMEANormal"/>
        <w:jc w:val="both"/>
        <w:rPr>
          <w:color w:val="000000"/>
          <w:lang w:val="it-IT" w:eastAsia="it-IT"/>
        </w:rPr>
      </w:pPr>
      <w:r w:rsidRPr="00004788">
        <w:rPr>
          <w:color w:val="000000"/>
          <w:lang w:val="it-IT" w:eastAsia="it-IT"/>
        </w:rPr>
        <w:t xml:space="preserve">I pazienti che hanno completato gli Studi UV I e UV II erano eleggibili per </w:t>
      </w:r>
      <w:r>
        <w:rPr>
          <w:color w:val="000000"/>
          <w:lang w:val="it-IT" w:eastAsia="it-IT"/>
        </w:rPr>
        <w:t xml:space="preserve">essere arruolati in uno </w:t>
      </w:r>
      <w:r w:rsidRPr="00004788">
        <w:rPr>
          <w:color w:val="000000"/>
          <w:lang w:val="it-IT" w:eastAsia="it-IT"/>
        </w:rPr>
        <w:t xml:space="preserve">studio di estensione a lungo termine </w:t>
      </w:r>
      <w:r>
        <w:rPr>
          <w:color w:val="000000"/>
          <w:lang w:val="it-IT" w:eastAsia="it-IT"/>
        </w:rPr>
        <w:t xml:space="preserve">non </w:t>
      </w:r>
      <w:r w:rsidRPr="00004788">
        <w:rPr>
          <w:color w:val="000000"/>
          <w:lang w:val="it-IT" w:eastAsia="it-IT"/>
        </w:rPr>
        <w:t>controllato</w:t>
      </w:r>
      <w:r>
        <w:rPr>
          <w:color w:val="000000"/>
          <w:lang w:val="it-IT" w:eastAsia="it-IT"/>
        </w:rPr>
        <w:t xml:space="preserve"> della </w:t>
      </w:r>
      <w:r w:rsidRPr="00004788">
        <w:rPr>
          <w:color w:val="000000"/>
          <w:lang w:val="it-IT" w:eastAsia="it-IT"/>
        </w:rPr>
        <w:t xml:space="preserve">durata originariamente programmata di 78 settimane. I pazienti sono stati autorizzati a continuare </w:t>
      </w:r>
      <w:r>
        <w:rPr>
          <w:color w:val="000000"/>
          <w:lang w:val="it-IT" w:eastAsia="it-IT"/>
        </w:rPr>
        <w:t xml:space="preserve">il medicinale in studio </w:t>
      </w:r>
      <w:r w:rsidRPr="00004788">
        <w:rPr>
          <w:color w:val="000000"/>
          <w:lang w:val="it-IT" w:eastAsia="it-IT"/>
        </w:rPr>
        <w:t xml:space="preserve">oltre la </w:t>
      </w:r>
      <w:r>
        <w:rPr>
          <w:color w:val="000000"/>
          <w:lang w:val="it-IT" w:eastAsia="it-IT"/>
        </w:rPr>
        <w:t>S</w:t>
      </w:r>
      <w:r w:rsidRPr="00004788">
        <w:rPr>
          <w:color w:val="000000"/>
          <w:lang w:val="it-IT" w:eastAsia="it-IT"/>
        </w:rPr>
        <w:t xml:space="preserve">ettimana 78 fino a quando </w:t>
      </w:r>
      <w:r w:rsidR="00FF189C">
        <w:rPr>
          <w:color w:val="000000"/>
          <w:lang w:val="it-IT" w:eastAsia="it-IT"/>
        </w:rPr>
        <w:t xml:space="preserve">hanno avuto </w:t>
      </w:r>
      <w:r w:rsidRPr="00004788">
        <w:rPr>
          <w:color w:val="000000"/>
          <w:lang w:val="it-IT" w:eastAsia="it-IT"/>
        </w:rPr>
        <w:t>accesso a</w:t>
      </w:r>
      <w:r>
        <w:rPr>
          <w:color w:val="000000"/>
          <w:lang w:val="it-IT" w:eastAsia="it-IT"/>
        </w:rPr>
        <w:t>d</w:t>
      </w:r>
      <w:r w:rsidRPr="00004788">
        <w:rPr>
          <w:color w:val="000000"/>
          <w:lang w:val="it-IT" w:eastAsia="it-IT"/>
        </w:rPr>
        <w:t xml:space="preserve"> Humira.</w:t>
      </w:r>
    </w:p>
    <w:p w:rsidR="00D43E59" w14:paraId="603BB171" w14:textId="77777777">
      <w:pPr>
        <w:tabs>
          <w:tab w:val="left" w:pos="567"/>
          <w:tab w:val="left" w:pos="1294"/>
        </w:tabs>
        <w:autoSpaceDE w:val="0"/>
        <w:autoSpaceDN w:val="0"/>
        <w:adjustRightInd w:val="0"/>
        <w:jc w:val="both"/>
        <w:rPr>
          <w:i/>
          <w:color w:val="000000"/>
          <w:sz w:val="22"/>
          <w:szCs w:val="22"/>
          <w:u w:val="single"/>
        </w:rPr>
      </w:pPr>
    </w:p>
    <w:p w:rsidR="006224C2" w:rsidRPr="00295E71" w14:paraId="6D132C71" w14:textId="77777777">
      <w:pPr>
        <w:tabs>
          <w:tab w:val="left" w:pos="567"/>
          <w:tab w:val="left" w:pos="1294"/>
        </w:tabs>
        <w:autoSpaceDE w:val="0"/>
        <w:autoSpaceDN w:val="0"/>
        <w:adjustRightInd w:val="0"/>
        <w:jc w:val="both"/>
        <w:rPr>
          <w:i/>
          <w:color w:val="000000"/>
          <w:sz w:val="22"/>
          <w:szCs w:val="22"/>
          <w:u w:val="single"/>
        </w:rPr>
      </w:pPr>
      <w:r w:rsidRPr="00295E71">
        <w:rPr>
          <w:i/>
          <w:color w:val="000000"/>
          <w:sz w:val="22"/>
          <w:szCs w:val="22"/>
          <w:u w:val="single"/>
        </w:rPr>
        <w:t>Risposta clinica</w:t>
      </w:r>
    </w:p>
    <w:p w:rsidR="006224C2" w:rsidRPr="00295E71" w14:paraId="139CD693" w14:textId="77777777">
      <w:pPr>
        <w:tabs>
          <w:tab w:val="left" w:pos="567"/>
          <w:tab w:val="left" w:pos="1294"/>
        </w:tabs>
        <w:autoSpaceDE w:val="0"/>
        <w:autoSpaceDN w:val="0"/>
        <w:adjustRightInd w:val="0"/>
        <w:jc w:val="both"/>
        <w:rPr>
          <w:color w:val="000000"/>
          <w:sz w:val="22"/>
          <w:szCs w:val="22"/>
        </w:rPr>
      </w:pPr>
    </w:p>
    <w:p w:rsidR="006224C2" w:rsidRPr="00295E71" w14:paraId="02E0920F"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 risultati di entrambi gli studi hanno dimostrato la riduzione statisticamente significativa del rischio di fallimento del trattamento nei pazienti trattati con Humira rispetto ai pazienti trattati con placebo (vedere Tabella 2</w:t>
      </w:r>
      <w:r w:rsidR="0062664F">
        <w:rPr>
          <w:color w:val="000000"/>
          <w:sz w:val="22"/>
          <w:szCs w:val="22"/>
        </w:rPr>
        <w:t>4</w:t>
      </w:r>
      <w:r w:rsidRPr="00295E71">
        <w:rPr>
          <w:color w:val="000000"/>
          <w:sz w:val="22"/>
          <w:szCs w:val="22"/>
        </w:rPr>
        <w:t xml:space="preserve">). Entrambi gli studi hanno dimostrato un effetto precoce e prolungato di Humira sul tasso di fallimento del trattamento rispetto al placebo (vedere Figura </w:t>
      </w:r>
      <w:r w:rsidRPr="00295E71" w:rsidR="00561485">
        <w:rPr>
          <w:color w:val="000000"/>
          <w:sz w:val="22"/>
          <w:szCs w:val="22"/>
        </w:rPr>
        <w:t>2</w:t>
      </w:r>
      <w:r w:rsidRPr="00295E71">
        <w:rPr>
          <w:color w:val="000000"/>
          <w:sz w:val="22"/>
          <w:szCs w:val="22"/>
        </w:rPr>
        <w:t>).</w:t>
      </w:r>
    </w:p>
    <w:p w:rsidR="006224C2" w:rsidRPr="00295E71" w14:paraId="7C4FF5F4" w14:textId="77777777">
      <w:pPr>
        <w:tabs>
          <w:tab w:val="left" w:pos="567"/>
          <w:tab w:val="left" w:pos="1294"/>
        </w:tabs>
        <w:autoSpaceDE w:val="0"/>
        <w:autoSpaceDN w:val="0"/>
        <w:adjustRightInd w:val="0"/>
        <w:jc w:val="both"/>
        <w:rPr>
          <w:color w:val="000000"/>
          <w:sz w:val="22"/>
          <w:szCs w:val="22"/>
        </w:rPr>
      </w:pPr>
    </w:p>
    <w:p w:rsidR="006224C2" w:rsidRPr="00295E71" w:rsidP="00F57FE5" w14:paraId="229B8DCD" w14:textId="77777777">
      <w:pPr>
        <w:keepNext/>
        <w:keepLines/>
        <w:jc w:val="center"/>
        <w:rPr>
          <w:b/>
          <w:color w:val="000000"/>
          <w:sz w:val="22"/>
          <w:szCs w:val="22"/>
        </w:rPr>
      </w:pPr>
      <w:r w:rsidRPr="00295E71">
        <w:rPr>
          <w:b/>
          <w:color w:val="000000"/>
          <w:sz w:val="22"/>
          <w:szCs w:val="22"/>
        </w:rPr>
        <w:t>Tabella 2</w:t>
      </w:r>
      <w:r w:rsidR="0062664F">
        <w:rPr>
          <w:b/>
          <w:color w:val="000000"/>
          <w:sz w:val="22"/>
          <w:szCs w:val="22"/>
        </w:rPr>
        <w:t>4</w:t>
      </w:r>
    </w:p>
    <w:p w:rsidR="006224C2" w:rsidRPr="00295E71" w:rsidP="00F57FE5" w14:paraId="449BBB21" w14:textId="77777777">
      <w:pPr>
        <w:keepNext/>
        <w:keepLines/>
        <w:tabs>
          <w:tab w:val="left" w:pos="567"/>
          <w:tab w:val="left" w:pos="1294"/>
        </w:tabs>
        <w:autoSpaceDE w:val="0"/>
        <w:autoSpaceDN w:val="0"/>
        <w:adjustRightInd w:val="0"/>
        <w:jc w:val="center"/>
        <w:rPr>
          <w:b/>
          <w:color w:val="000000"/>
          <w:sz w:val="22"/>
          <w:szCs w:val="22"/>
        </w:rPr>
      </w:pPr>
      <w:r w:rsidRPr="00295E71">
        <w:rPr>
          <w:b/>
          <w:color w:val="000000"/>
          <w:sz w:val="22"/>
          <w:szCs w:val="22"/>
        </w:rPr>
        <w:t>Tempo al fallimento del trattamento negli Studi UV I e UV II</w:t>
      </w:r>
    </w:p>
    <w:p w:rsidR="006224C2" w:rsidRPr="00295E71" w:rsidP="00F57FE5" w14:paraId="2566A9AC" w14:textId="77777777">
      <w:pPr>
        <w:keepNext/>
        <w:keepLines/>
        <w:tabs>
          <w:tab w:val="left" w:pos="567"/>
          <w:tab w:val="left" w:pos="1294"/>
        </w:tabs>
        <w:autoSpaceDE w:val="0"/>
        <w:autoSpaceDN w:val="0"/>
        <w:adjustRightInd w:val="0"/>
        <w:jc w:val="both"/>
        <w:rPr>
          <w:color w:val="000000"/>
          <w:sz w:val="22"/>
          <w:szCs w:val="22"/>
        </w:rPr>
      </w:pPr>
    </w:p>
    <w:tbl>
      <w:tblPr>
        <w:tblW w:w="0" w:type="auto"/>
        <w:tblBorders>
          <w:top w:val="single" w:sz="4" w:space="0" w:color="auto"/>
          <w:bottom w:val="single" w:sz="4" w:space="0" w:color="auto"/>
        </w:tblBorders>
        <w:tblLook w:val="04A0"/>
      </w:tblPr>
      <w:tblGrid>
        <w:gridCol w:w="2266"/>
        <w:gridCol w:w="719"/>
        <w:gridCol w:w="1231"/>
        <w:gridCol w:w="1887"/>
        <w:gridCol w:w="720"/>
        <w:gridCol w:w="1107"/>
        <w:gridCol w:w="1140"/>
      </w:tblGrid>
      <w:tr w14:paraId="6D60321E" w14:textId="77777777">
        <w:tblPrEx>
          <w:tblW w:w="0" w:type="auto"/>
          <w:tblLook w:val="04A0"/>
        </w:tblPrEx>
        <w:tc>
          <w:tcPr>
            <w:tcW w:w="2268" w:type="dxa"/>
            <w:tcBorders>
              <w:top w:val="single" w:sz="4" w:space="0" w:color="auto"/>
              <w:bottom w:val="single" w:sz="4" w:space="0" w:color="auto"/>
            </w:tcBorders>
          </w:tcPr>
          <w:p w:rsidR="006224C2" w:rsidRPr="00295E71" w:rsidP="00F57FE5" w14:paraId="6E87E64D" w14:textId="77777777">
            <w:pPr>
              <w:keepNext/>
              <w:keepLines/>
              <w:tabs>
                <w:tab w:val="left" w:pos="562"/>
              </w:tabs>
              <w:suppressAutoHyphens/>
              <w:rPr>
                <w:b/>
                <w:sz w:val="22"/>
                <w:szCs w:val="22"/>
              </w:rPr>
            </w:pPr>
            <w:r w:rsidRPr="00295E71">
              <w:rPr>
                <w:b/>
                <w:sz w:val="22"/>
                <w:szCs w:val="22"/>
              </w:rPr>
              <w:t>Analisi</w:t>
            </w:r>
          </w:p>
          <w:p w:rsidR="006224C2" w:rsidRPr="00295E71" w:rsidP="00F57FE5" w14:paraId="6E9B085D" w14:textId="77777777">
            <w:pPr>
              <w:keepNext/>
              <w:keepLines/>
              <w:tabs>
                <w:tab w:val="left" w:pos="562"/>
              </w:tabs>
              <w:suppressAutoHyphens/>
              <w:rPr>
                <w:b/>
                <w:sz w:val="22"/>
                <w:szCs w:val="22"/>
              </w:rPr>
            </w:pPr>
            <w:r w:rsidRPr="00295E71">
              <w:rPr>
                <w:b/>
                <w:sz w:val="22"/>
                <w:szCs w:val="22"/>
              </w:rPr>
              <w:tab/>
              <w:t>Trattamento</w:t>
            </w:r>
          </w:p>
        </w:tc>
        <w:tc>
          <w:tcPr>
            <w:tcW w:w="720" w:type="dxa"/>
            <w:tcBorders>
              <w:top w:val="single" w:sz="4" w:space="0" w:color="auto"/>
              <w:bottom w:val="single" w:sz="4" w:space="0" w:color="auto"/>
            </w:tcBorders>
          </w:tcPr>
          <w:p w:rsidR="006224C2" w:rsidRPr="00295E71" w:rsidP="00F57FE5" w14:paraId="4C9CC34F" w14:textId="77777777">
            <w:pPr>
              <w:keepNext/>
              <w:keepLines/>
              <w:tabs>
                <w:tab w:val="left" w:pos="562"/>
              </w:tabs>
              <w:suppressAutoHyphens/>
              <w:rPr>
                <w:b/>
                <w:sz w:val="22"/>
                <w:szCs w:val="22"/>
              </w:rPr>
            </w:pPr>
            <w:r w:rsidRPr="00295E71">
              <w:rPr>
                <w:b/>
                <w:sz w:val="22"/>
                <w:szCs w:val="22"/>
              </w:rPr>
              <w:t>N</w:t>
            </w:r>
          </w:p>
        </w:tc>
        <w:tc>
          <w:tcPr>
            <w:tcW w:w="1231" w:type="dxa"/>
            <w:tcBorders>
              <w:top w:val="single" w:sz="4" w:space="0" w:color="auto"/>
              <w:bottom w:val="single" w:sz="4" w:space="0" w:color="auto"/>
            </w:tcBorders>
          </w:tcPr>
          <w:p w:rsidR="006224C2" w:rsidRPr="00295E71" w:rsidP="00F57FE5" w14:paraId="34FD7A5A" w14:textId="77777777">
            <w:pPr>
              <w:keepNext/>
              <w:keepLines/>
              <w:tabs>
                <w:tab w:val="left" w:pos="562"/>
              </w:tabs>
              <w:suppressAutoHyphens/>
              <w:rPr>
                <w:b/>
                <w:sz w:val="22"/>
                <w:szCs w:val="22"/>
              </w:rPr>
            </w:pPr>
            <w:r w:rsidRPr="00295E71">
              <w:rPr>
                <w:b/>
                <w:sz w:val="22"/>
                <w:szCs w:val="22"/>
              </w:rPr>
              <w:t>Fallimento</w:t>
            </w:r>
            <w:r w:rsidRPr="00295E71">
              <w:rPr>
                <w:b/>
                <w:sz w:val="22"/>
                <w:szCs w:val="22"/>
              </w:rPr>
              <w:br/>
              <w:t>N (%)</w:t>
            </w:r>
          </w:p>
        </w:tc>
        <w:tc>
          <w:tcPr>
            <w:tcW w:w="1890" w:type="dxa"/>
            <w:tcBorders>
              <w:top w:val="single" w:sz="4" w:space="0" w:color="auto"/>
              <w:bottom w:val="single" w:sz="4" w:space="0" w:color="auto"/>
            </w:tcBorders>
          </w:tcPr>
          <w:p w:rsidR="006224C2" w:rsidRPr="00295E71" w:rsidP="00F57FE5" w14:paraId="7B4BA190" w14:textId="77777777">
            <w:pPr>
              <w:keepNext/>
              <w:keepLines/>
              <w:tabs>
                <w:tab w:val="left" w:pos="562"/>
              </w:tabs>
              <w:suppressAutoHyphens/>
              <w:rPr>
                <w:b/>
                <w:sz w:val="22"/>
                <w:szCs w:val="22"/>
                <w:lang w:eastAsia="en-US"/>
              </w:rPr>
            </w:pPr>
            <w:r w:rsidRPr="00295E71">
              <w:rPr>
                <w:b/>
                <w:sz w:val="22"/>
                <w:szCs w:val="22"/>
                <w:lang w:eastAsia="en-US"/>
              </w:rPr>
              <w:t>Mediana del tempo</w:t>
            </w:r>
            <w:r w:rsidRPr="00295E71" w:rsidR="00226BC4">
              <w:rPr>
                <w:b/>
                <w:sz w:val="22"/>
                <w:szCs w:val="22"/>
                <w:lang w:eastAsia="en-US"/>
              </w:rPr>
              <w:t xml:space="preserve"> al fallimento (mesi)</w:t>
            </w:r>
          </w:p>
        </w:tc>
        <w:tc>
          <w:tcPr>
            <w:tcW w:w="720" w:type="dxa"/>
            <w:tcBorders>
              <w:top w:val="single" w:sz="4" w:space="0" w:color="auto"/>
              <w:bottom w:val="single" w:sz="4" w:space="0" w:color="auto"/>
            </w:tcBorders>
          </w:tcPr>
          <w:p w:rsidR="006224C2" w:rsidRPr="00295E71" w:rsidP="00F57FE5" w14:paraId="1F820D79" w14:textId="77777777">
            <w:pPr>
              <w:keepNext/>
              <w:keepLines/>
              <w:tabs>
                <w:tab w:val="left" w:pos="562"/>
              </w:tabs>
              <w:suppressAutoHyphens/>
              <w:rPr>
                <w:b/>
                <w:sz w:val="22"/>
                <w:szCs w:val="22"/>
              </w:rPr>
            </w:pPr>
            <w:r w:rsidRPr="00295E71">
              <w:rPr>
                <w:b/>
                <w:sz w:val="22"/>
                <w:szCs w:val="22"/>
              </w:rPr>
              <w:t>HR</w:t>
            </w:r>
            <w:r w:rsidRPr="00295E71">
              <w:rPr>
                <w:b/>
                <w:sz w:val="22"/>
                <w:szCs w:val="22"/>
                <w:vertAlign w:val="superscript"/>
              </w:rPr>
              <w:t>a</w:t>
            </w:r>
          </w:p>
        </w:tc>
        <w:tc>
          <w:tcPr>
            <w:tcW w:w="1109" w:type="dxa"/>
            <w:tcBorders>
              <w:top w:val="single" w:sz="4" w:space="0" w:color="auto"/>
              <w:bottom w:val="single" w:sz="4" w:space="0" w:color="auto"/>
            </w:tcBorders>
          </w:tcPr>
          <w:p w:rsidR="006224C2" w:rsidRPr="00295E71" w:rsidP="00F57FE5" w14:paraId="5B4B8DAF" w14:textId="77777777">
            <w:pPr>
              <w:keepNext/>
              <w:keepLines/>
              <w:tabs>
                <w:tab w:val="left" w:pos="562"/>
              </w:tabs>
              <w:suppressAutoHyphens/>
              <w:rPr>
                <w:b/>
                <w:sz w:val="22"/>
                <w:szCs w:val="22"/>
              </w:rPr>
            </w:pPr>
            <w:r w:rsidRPr="00295E71">
              <w:rPr>
                <w:b/>
                <w:sz w:val="22"/>
                <w:szCs w:val="22"/>
              </w:rPr>
              <w:t>IC al 95% per l’HR</w:t>
            </w:r>
            <w:r w:rsidRPr="00295E71">
              <w:rPr>
                <w:b/>
                <w:sz w:val="22"/>
                <w:szCs w:val="22"/>
                <w:vertAlign w:val="superscript"/>
              </w:rPr>
              <w:t>a</w:t>
            </w:r>
          </w:p>
        </w:tc>
        <w:tc>
          <w:tcPr>
            <w:tcW w:w="1141" w:type="dxa"/>
            <w:tcBorders>
              <w:top w:val="single" w:sz="4" w:space="0" w:color="auto"/>
              <w:bottom w:val="single" w:sz="4" w:space="0" w:color="auto"/>
            </w:tcBorders>
          </w:tcPr>
          <w:p w:rsidR="006224C2" w:rsidRPr="00295E71" w:rsidP="00F57FE5" w14:paraId="7C874B49" w14:textId="77777777">
            <w:pPr>
              <w:keepNext/>
              <w:keepLines/>
              <w:tabs>
                <w:tab w:val="left" w:pos="562"/>
              </w:tabs>
              <w:suppressAutoHyphens/>
              <w:rPr>
                <w:b/>
                <w:sz w:val="22"/>
                <w:szCs w:val="22"/>
              </w:rPr>
            </w:pPr>
            <w:r w:rsidRPr="00295E71">
              <w:rPr>
                <w:b/>
                <w:sz w:val="22"/>
                <w:szCs w:val="22"/>
              </w:rPr>
              <w:t xml:space="preserve">Valore </w:t>
            </w:r>
            <w:r w:rsidRPr="00295E71">
              <w:rPr>
                <w:b/>
                <w:i/>
                <w:sz w:val="22"/>
                <w:szCs w:val="22"/>
              </w:rPr>
              <w:t>P</w:t>
            </w:r>
            <w:r w:rsidRPr="00295E71">
              <w:rPr>
                <w:sz w:val="22"/>
                <w:szCs w:val="22"/>
                <w:vertAlign w:val="superscript"/>
              </w:rPr>
              <w:t>b</w:t>
            </w:r>
          </w:p>
        </w:tc>
      </w:tr>
      <w:tr w14:paraId="3A6CB693" w14:textId="77777777">
        <w:tblPrEx>
          <w:tblW w:w="0" w:type="auto"/>
          <w:tblLook w:val="04A0"/>
        </w:tblPrEx>
        <w:tc>
          <w:tcPr>
            <w:tcW w:w="9079" w:type="dxa"/>
            <w:gridSpan w:val="7"/>
            <w:tcBorders>
              <w:top w:val="single" w:sz="4" w:space="0" w:color="auto"/>
              <w:bottom w:val="nil"/>
            </w:tcBorders>
          </w:tcPr>
          <w:p w:rsidR="006224C2" w:rsidRPr="00295E71" w:rsidP="00F57FE5" w14:paraId="1E6F99D1" w14:textId="77777777">
            <w:pPr>
              <w:keepNext/>
              <w:keepLines/>
              <w:tabs>
                <w:tab w:val="left" w:pos="562"/>
              </w:tabs>
              <w:suppressAutoHyphens/>
              <w:rPr>
                <w:b/>
                <w:sz w:val="22"/>
                <w:szCs w:val="22"/>
                <w:lang w:eastAsia="en-US"/>
              </w:rPr>
            </w:pPr>
            <w:r w:rsidRPr="00295E71">
              <w:rPr>
                <w:b/>
                <w:sz w:val="22"/>
                <w:szCs w:val="22"/>
                <w:lang w:eastAsia="en-US"/>
              </w:rPr>
              <w:t>Tempo al fallimento del trattamento alla o dopo la settimana 6 nello Studio UV I</w:t>
            </w:r>
          </w:p>
        </w:tc>
      </w:tr>
      <w:tr w14:paraId="20A57350" w14:textId="77777777">
        <w:tblPrEx>
          <w:tblW w:w="0" w:type="auto"/>
          <w:tblLook w:val="04A0"/>
        </w:tblPrEx>
        <w:tc>
          <w:tcPr>
            <w:tcW w:w="2988" w:type="dxa"/>
            <w:gridSpan w:val="2"/>
            <w:tcBorders>
              <w:top w:val="nil"/>
              <w:bottom w:val="nil"/>
            </w:tcBorders>
          </w:tcPr>
          <w:p w:rsidR="006224C2" w:rsidRPr="00295E71" w:rsidP="00F57FE5" w14:paraId="77A50276" w14:textId="77777777">
            <w:pPr>
              <w:keepNext/>
              <w:keepLines/>
              <w:tabs>
                <w:tab w:val="left" w:pos="562"/>
              </w:tabs>
              <w:suppressAutoHyphens/>
              <w:rPr>
                <w:sz w:val="22"/>
                <w:szCs w:val="22"/>
              </w:rPr>
            </w:pPr>
            <w:r w:rsidRPr="00295E71">
              <w:rPr>
                <w:sz w:val="22"/>
                <w:szCs w:val="22"/>
              </w:rPr>
              <w:t>Analisi primaria (ITT)</w:t>
            </w:r>
          </w:p>
        </w:tc>
        <w:tc>
          <w:tcPr>
            <w:tcW w:w="1231" w:type="dxa"/>
            <w:tcBorders>
              <w:top w:val="nil"/>
              <w:bottom w:val="nil"/>
            </w:tcBorders>
          </w:tcPr>
          <w:p w:rsidR="006224C2" w:rsidRPr="00295E71" w:rsidP="00F57FE5" w14:paraId="105C59A3" w14:textId="77777777">
            <w:pPr>
              <w:keepNext/>
              <w:keepLines/>
              <w:tabs>
                <w:tab w:val="left" w:pos="562"/>
              </w:tabs>
              <w:suppressAutoHyphens/>
              <w:rPr>
                <w:sz w:val="22"/>
                <w:szCs w:val="22"/>
              </w:rPr>
            </w:pPr>
          </w:p>
        </w:tc>
        <w:tc>
          <w:tcPr>
            <w:tcW w:w="1890" w:type="dxa"/>
            <w:tcBorders>
              <w:top w:val="nil"/>
              <w:bottom w:val="nil"/>
            </w:tcBorders>
          </w:tcPr>
          <w:p w:rsidR="006224C2" w:rsidRPr="00295E71" w:rsidP="00F57FE5" w14:paraId="41E783ED" w14:textId="77777777">
            <w:pPr>
              <w:keepNext/>
              <w:keepLines/>
              <w:tabs>
                <w:tab w:val="left" w:pos="562"/>
              </w:tabs>
              <w:suppressAutoHyphens/>
              <w:rPr>
                <w:sz w:val="22"/>
                <w:szCs w:val="22"/>
              </w:rPr>
            </w:pPr>
          </w:p>
        </w:tc>
        <w:tc>
          <w:tcPr>
            <w:tcW w:w="720" w:type="dxa"/>
            <w:tcBorders>
              <w:top w:val="nil"/>
              <w:bottom w:val="nil"/>
            </w:tcBorders>
          </w:tcPr>
          <w:p w:rsidR="006224C2" w:rsidRPr="00295E71" w:rsidP="00F57FE5" w14:paraId="69BD0066" w14:textId="77777777">
            <w:pPr>
              <w:keepNext/>
              <w:keepLines/>
              <w:tabs>
                <w:tab w:val="left" w:pos="562"/>
              </w:tabs>
              <w:suppressAutoHyphens/>
              <w:rPr>
                <w:sz w:val="22"/>
                <w:szCs w:val="22"/>
              </w:rPr>
            </w:pPr>
          </w:p>
        </w:tc>
        <w:tc>
          <w:tcPr>
            <w:tcW w:w="1109" w:type="dxa"/>
            <w:tcBorders>
              <w:top w:val="nil"/>
              <w:bottom w:val="nil"/>
            </w:tcBorders>
          </w:tcPr>
          <w:p w:rsidR="006224C2" w:rsidRPr="00295E71" w:rsidP="00F57FE5" w14:paraId="12C53913" w14:textId="77777777">
            <w:pPr>
              <w:keepNext/>
              <w:keepLines/>
              <w:tabs>
                <w:tab w:val="left" w:pos="562"/>
              </w:tabs>
              <w:suppressAutoHyphens/>
              <w:rPr>
                <w:sz w:val="22"/>
                <w:szCs w:val="22"/>
              </w:rPr>
            </w:pPr>
          </w:p>
        </w:tc>
        <w:tc>
          <w:tcPr>
            <w:tcW w:w="1141" w:type="dxa"/>
            <w:tcBorders>
              <w:top w:val="nil"/>
              <w:bottom w:val="nil"/>
            </w:tcBorders>
          </w:tcPr>
          <w:p w:rsidR="006224C2" w:rsidRPr="00295E71" w:rsidP="00F57FE5" w14:paraId="332B5695" w14:textId="77777777">
            <w:pPr>
              <w:keepNext/>
              <w:keepLines/>
              <w:tabs>
                <w:tab w:val="left" w:pos="562"/>
              </w:tabs>
              <w:suppressAutoHyphens/>
              <w:rPr>
                <w:sz w:val="22"/>
                <w:szCs w:val="22"/>
              </w:rPr>
            </w:pPr>
          </w:p>
        </w:tc>
      </w:tr>
      <w:tr w14:paraId="6DF4E394" w14:textId="77777777">
        <w:tblPrEx>
          <w:tblW w:w="0" w:type="auto"/>
          <w:tblLook w:val="04A0"/>
        </w:tblPrEx>
        <w:tc>
          <w:tcPr>
            <w:tcW w:w="2268" w:type="dxa"/>
            <w:tcBorders>
              <w:top w:val="nil"/>
              <w:bottom w:val="nil"/>
            </w:tcBorders>
          </w:tcPr>
          <w:p w:rsidR="006224C2" w:rsidRPr="00295E71" w:rsidP="00F57FE5" w14:paraId="06458E18" w14:textId="77777777">
            <w:pPr>
              <w:keepNext/>
              <w:keepLines/>
              <w:tabs>
                <w:tab w:val="left" w:pos="562"/>
              </w:tabs>
              <w:suppressAutoHyphens/>
              <w:rPr>
                <w:sz w:val="22"/>
                <w:szCs w:val="22"/>
              </w:rPr>
            </w:pPr>
            <w:r w:rsidRPr="00295E71">
              <w:rPr>
                <w:sz w:val="22"/>
                <w:szCs w:val="22"/>
              </w:rPr>
              <w:tab/>
              <w:t>Placebo</w:t>
            </w:r>
          </w:p>
        </w:tc>
        <w:tc>
          <w:tcPr>
            <w:tcW w:w="720" w:type="dxa"/>
            <w:tcBorders>
              <w:top w:val="nil"/>
              <w:bottom w:val="nil"/>
            </w:tcBorders>
          </w:tcPr>
          <w:p w:rsidR="006224C2" w:rsidRPr="00295E71" w:rsidP="00F57FE5" w14:paraId="3568F3E1" w14:textId="77777777">
            <w:pPr>
              <w:keepNext/>
              <w:keepLines/>
              <w:tabs>
                <w:tab w:val="left" w:pos="562"/>
              </w:tabs>
              <w:suppressAutoHyphens/>
              <w:rPr>
                <w:sz w:val="22"/>
                <w:szCs w:val="22"/>
              </w:rPr>
            </w:pPr>
            <w:r w:rsidRPr="00295E71">
              <w:rPr>
                <w:sz w:val="22"/>
                <w:szCs w:val="22"/>
              </w:rPr>
              <w:t>107</w:t>
            </w:r>
          </w:p>
        </w:tc>
        <w:tc>
          <w:tcPr>
            <w:tcW w:w="1231" w:type="dxa"/>
            <w:tcBorders>
              <w:top w:val="nil"/>
              <w:bottom w:val="nil"/>
            </w:tcBorders>
          </w:tcPr>
          <w:p w:rsidR="006224C2" w:rsidRPr="00295E71" w:rsidP="00F57FE5" w14:paraId="1660CB51" w14:textId="77777777">
            <w:pPr>
              <w:keepNext/>
              <w:keepLines/>
              <w:tabs>
                <w:tab w:val="left" w:pos="562"/>
              </w:tabs>
              <w:suppressAutoHyphens/>
              <w:rPr>
                <w:sz w:val="22"/>
                <w:szCs w:val="22"/>
              </w:rPr>
            </w:pPr>
            <w:r w:rsidRPr="00295E71">
              <w:rPr>
                <w:sz w:val="22"/>
                <w:szCs w:val="22"/>
              </w:rPr>
              <w:t>84 (78,5)</w:t>
            </w:r>
          </w:p>
        </w:tc>
        <w:tc>
          <w:tcPr>
            <w:tcW w:w="1890" w:type="dxa"/>
            <w:tcBorders>
              <w:top w:val="nil"/>
              <w:bottom w:val="nil"/>
            </w:tcBorders>
          </w:tcPr>
          <w:p w:rsidR="006224C2" w:rsidRPr="00295E71" w:rsidP="00F57FE5" w14:paraId="1A64AE55" w14:textId="77777777">
            <w:pPr>
              <w:keepNext/>
              <w:keepLines/>
              <w:tabs>
                <w:tab w:val="left" w:pos="562"/>
              </w:tabs>
              <w:suppressAutoHyphens/>
              <w:rPr>
                <w:sz w:val="22"/>
                <w:szCs w:val="22"/>
              </w:rPr>
            </w:pPr>
            <w:r w:rsidRPr="00295E71">
              <w:rPr>
                <w:sz w:val="22"/>
                <w:szCs w:val="22"/>
              </w:rPr>
              <w:t>3,0</w:t>
            </w:r>
          </w:p>
        </w:tc>
        <w:tc>
          <w:tcPr>
            <w:tcW w:w="720" w:type="dxa"/>
            <w:tcBorders>
              <w:top w:val="nil"/>
              <w:bottom w:val="nil"/>
            </w:tcBorders>
          </w:tcPr>
          <w:p w:rsidR="006224C2" w:rsidRPr="00295E71" w:rsidP="00F57FE5" w14:paraId="2380A66E" w14:textId="77777777">
            <w:pPr>
              <w:keepNext/>
              <w:keepLines/>
              <w:tabs>
                <w:tab w:val="left" w:pos="562"/>
              </w:tabs>
              <w:suppressAutoHyphens/>
              <w:rPr>
                <w:sz w:val="22"/>
                <w:szCs w:val="22"/>
              </w:rPr>
            </w:pPr>
            <w:r w:rsidRPr="00295E71">
              <w:rPr>
                <w:sz w:val="22"/>
                <w:szCs w:val="22"/>
              </w:rPr>
              <w:t>--</w:t>
            </w:r>
          </w:p>
        </w:tc>
        <w:tc>
          <w:tcPr>
            <w:tcW w:w="1109" w:type="dxa"/>
            <w:tcBorders>
              <w:top w:val="nil"/>
              <w:bottom w:val="nil"/>
            </w:tcBorders>
          </w:tcPr>
          <w:p w:rsidR="006224C2" w:rsidRPr="00295E71" w:rsidP="00F57FE5" w14:paraId="197DA29B" w14:textId="77777777">
            <w:pPr>
              <w:keepNext/>
              <w:keepLines/>
              <w:tabs>
                <w:tab w:val="left" w:pos="562"/>
              </w:tabs>
              <w:suppressAutoHyphens/>
              <w:rPr>
                <w:sz w:val="22"/>
                <w:szCs w:val="22"/>
              </w:rPr>
            </w:pPr>
            <w:r w:rsidRPr="00295E71">
              <w:rPr>
                <w:sz w:val="22"/>
                <w:szCs w:val="22"/>
              </w:rPr>
              <w:t>--</w:t>
            </w:r>
          </w:p>
        </w:tc>
        <w:tc>
          <w:tcPr>
            <w:tcW w:w="1141" w:type="dxa"/>
            <w:tcBorders>
              <w:top w:val="nil"/>
              <w:bottom w:val="nil"/>
            </w:tcBorders>
          </w:tcPr>
          <w:p w:rsidR="006224C2" w:rsidRPr="00295E71" w:rsidP="00F57FE5" w14:paraId="03D3C338" w14:textId="77777777">
            <w:pPr>
              <w:keepNext/>
              <w:keepLines/>
              <w:tabs>
                <w:tab w:val="left" w:pos="562"/>
              </w:tabs>
              <w:suppressAutoHyphens/>
              <w:rPr>
                <w:sz w:val="22"/>
                <w:szCs w:val="22"/>
              </w:rPr>
            </w:pPr>
            <w:r w:rsidRPr="00295E71">
              <w:rPr>
                <w:sz w:val="22"/>
                <w:szCs w:val="22"/>
              </w:rPr>
              <w:t>--</w:t>
            </w:r>
          </w:p>
        </w:tc>
      </w:tr>
      <w:tr w14:paraId="709BF91D" w14:textId="77777777">
        <w:tblPrEx>
          <w:tblW w:w="0" w:type="auto"/>
          <w:tblLook w:val="04A0"/>
        </w:tblPrEx>
        <w:tc>
          <w:tcPr>
            <w:tcW w:w="2268" w:type="dxa"/>
            <w:tcBorders>
              <w:top w:val="nil"/>
              <w:bottom w:val="single" w:sz="4" w:space="0" w:color="auto"/>
            </w:tcBorders>
          </w:tcPr>
          <w:p w:rsidR="006224C2" w:rsidRPr="00295E71" w:rsidP="00F57FE5" w14:paraId="66CB935C" w14:textId="77777777">
            <w:pPr>
              <w:keepNext/>
              <w:keepLines/>
              <w:tabs>
                <w:tab w:val="left" w:pos="562"/>
              </w:tabs>
              <w:suppressAutoHyphens/>
              <w:rPr>
                <w:sz w:val="22"/>
                <w:szCs w:val="22"/>
              </w:rPr>
            </w:pPr>
            <w:r w:rsidRPr="00295E71">
              <w:rPr>
                <w:sz w:val="22"/>
                <w:szCs w:val="22"/>
              </w:rPr>
              <w:tab/>
              <w:t>Adalimumab</w:t>
            </w:r>
          </w:p>
        </w:tc>
        <w:tc>
          <w:tcPr>
            <w:tcW w:w="720" w:type="dxa"/>
            <w:tcBorders>
              <w:top w:val="nil"/>
              <w:bottom w:val="single" w:sz="4" w:space="0" w:color="auto"/>
            </w:tcBorders>
          </w:tcPr>
          <w:p w:rsidR="006224C2" w:rsidRPr="00295E71" w:rsidP="00F57FE5" w14:paraId="2AE10E29" w14:textId="77777777">
            <w:pPr>
              <w:keepNext/>
              <w:keepLines/>
              <w:tabs>
                <w:tab w:val="left" w:pos="562"/>
              </w:tabs>
              <w:suppressAutoHyphens/>
              <w:rPr>
                <w:sz w:val="22"/>
                <w:szCs w:val="22"/>
              </w:rPr>
            </w:pPr>
            <w:r w:rsidRPr="00295E71">
              <w:rPr>
                <w:sz w:val="22"/>
                <w:szCs w:val="22"/>
              </w:rPr>
              <w:t>110</w:t>
            </w:r>
          </w:p>
        </w:tc>
        <w:tc>
          <w:tcPr>
            <w:tcW w:w="1231" w:type="dxa"/>
            <w:tcBorders>
              <w:top w:val="nil"/>
              <w:bottom w:val="single" w:sz="4" w:space="0" w:color="auto"/>
            </w:tcBorders>
          </w:tcPr>
          <w:p w:rsidR="006224C2" w:rsidRPr="00295E71" w:rsidP="00F57FE5" w14:paraId="16E8F74A" w14:textId="77777777">
            <w:pPr>
              <w:keepNext/>
              <w:keepLines/>
              <w:tabs>
                <w:tab w:val="left" w:pos="562"/>
              </w:tabs>
              <w:suppressAutoHyphens/>
              <w:rPr>
                <w:sz w:val="22"/>
                <w:szCs w:val="22"/>
              </w:rPr>
            </w:pPr>
            <w:r w:rsidRPr="00295E71">
              <w:rPr>
                <w:sz w:val="22"/>
                <w:szCs w:val="22"/>
              </w:rPr>
              <w:t>60 (54,5)</w:t>
            </w:r>
          </w:p>
        </w:tc>
        <w:tc>
          <w:tcPr>
            <w:tcW w:w="1890" w:type="dxa"/>
            <w:tcBorders>
              <w:top w:val="nil"/>
              <w:bottom w:val="single" w:sz="4" w:space="0" w:color="auto"/>
            </w:tcBorders>
          </w:tcPr>
          <w:p w:rsidR="006224C2" w:rsidRPr="00295E71" w:rsidP="00F57FE5" w14:paraId="026394CC" w14:textId="77777777">
            <w:pPr>
              <w:keepNext/>
              <w:keepLines/>
              <w:tabs>
                <w:tab w:val="left" w:pos="562"/>
              </w:tabs>
              <w:suppressAutoHyphens/>
              <w:rPr>
                <w:sz w:val="22"/>
                <w:szCs w:val="22"/>
              </w:rPr>
            </w:pPr>
            <w:r w:rsidRPr="00295E71">
              <w:rPr>
                <w:sz w:val="22"/>
                <w:szCs w:val="22"/>
              </w:rPr>
              <w:t>5,6</w:t>
            </w:r>
          </w:p>
        </w:tc>
        <w:tc>
          <w:tcPr>
            <w:tcW w:w="720" w:type="dxa"/>
            <w:tcBorders>
              <w:top w:val="nil"/>
              <w:bottom w:val="single" w:sz="4" w:space="0" w:color="auto"/>
            </w:tcBorders>
          </w:tcPr>
          <w:p w:rsidR="006224C2" w:rsidRPr="00295E71" w:rsidP="00F57FE5" w14:paraId="41501174" w14:textId="77777777">
            <w:pPr>
              <w:keepNext/>
              <w:keepLines/>
              <w:tabs>
                <w:tab w:val="left" w:pos="562"/>
              </w:tabs>
              <w:suppressAutoHyphens/>
              <w:rPr>
                <w:sz w:val="22"/>
                <w:szCs w:val="22"/>
              </w:rPr>
            </w:pPr>
            <w:r w:rsidRPr="00295E71">
              <w:rPr>
                <w:sz w:val="22"/>
                <w:szCs w:val="22"/>
              </w:rPr>
              <w:t>0,50</w:t>
            </w:r>
          </w:p>
        </w:tc>
        <w:tc>
          <w:tcPr>
            <w:tcW w:w="1109" w:type="dxa"/>
            <w:tcBorders>
              <w:top w:val="nil"/>
              <w:bottom w:val="single" w:sz="4" w:space="0" w:color="auto"/>
            </w:tcBorders>
          </w:tcPr>
          <w:p w:rsidR="006224C2" w:rsidRPr="00295E71" w:rsidP="00F57FE5" w14:paraId="37BA6397" w14:textId="77777777">
            <w:pPr>
              <w:keepNext/>
              <w:keepLines/>
              <w:tabs>
                <w:tab w:val="left" w:pos="562"/>
              </w:tabs>
              <w:suppressAutoHyphens/>
              <w:rPr>
                <w:sz w:val="22"/>
                <w:szCs w:val="22"/>
              </w:rPr>
            </w:pPr>
            <w:r w:rsidRPr="00295E71">
              <w:rPr>
                <w:sz w:val="22"/>
                <w:szCs w:val="22"/>
              </w:rPr>
              <w:t>0,36; 0,70</w:t>
            </w:r>
          </w:p>
        </w:tc>
        <w:tc>
          <w:tcPr>
            <w:tcW w:w="1141" w:type="dxa"/>
            <w:tcBorders>
              <w:top w:val="nil"/>
              <w:bottom w:val="single" w:sz="4" w:space="0" w:color="auto"/>
            </w:tcBorders>
          </w:tcPr>
          <w:p w:rsidR="006224C2" w:rsidRPr="00295E71" w:rsidP="00F57FE5" w14:paraId="048B572D" w14:textId="77777777">
            <w:pPr>
              <w:keepNext/>
              <w:keepLines/>
              <w:tabs>
                <w:tab w:val="left" w:pos="562"/>
              </w:tabs>
              <w:suppressAutoHyphens/>
              <w:rPr>
                <w:sz w:val="22"/>
                <w:szCs w:val="22"/>
              </w:rPr>
            </w:pPr>
            <w:r w:rsidRPr="00295E71">
              <w:rPr>
                <w:sz w:val="22"/>
                <w:szCs w:val="22"/>
              </w:rPr>
              <w:t>&lt; 0,001</w:t>
            </w:r>
          </w:p>
        </w:tc>
      </w:tr>
      <w:tr w14:paraId="5BE89C5F"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9079" w:type="dxa"/>
            <w:gridSpan w:val="7"/>
            <w:tcBorders>
              <w:left w:val="nil"/>
              <w:bottom w:val="nil"/>
              <w:right w:val="nil"/>
            </w:tcBorders>
          </w:tcPr>
          <w:p w:rsidR="006224C2" w:rsidRPr="00295E71" w:rsidP="00F57FE5" w14:paraId="2AB0CE57" w14:textId="77777777">
            <w:pPr>
              <w:keepNext/>
              <w:keepLines/>
              <w:tabs>
                <w:tab w:val="left" w:pos="562"/>
              </w:tabs>
              <w:suppressAutoHyphens/>
              <w:rPr>
                <w:b/>
                <w:sz w:val="22"/>
                <w:szCs w:val="22"/>
                <w:lang w:eastAsia="en-US"/>
              </w:rPr>
            </w:pPr>
            <w:r w:rsidRPr="00295E71">
              <w:rPr>
                <w:b/>
                <w:sz w:val="22"/>
                <w:szCs w:val="22"/>
                <w:lang w:eastAsia="en-US"/>
              </w:rPr>
              <w:t>Tempo al fallimento del trattamento alla o dopo la settimana 2 nello Studio UV II</w:t>
            </w:r>
          </w:p>
        </w:tc>
      </w:tr>
      <w:tr w14:paraId="6C7F7B97"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988" w:type="dxa"/>
            <w:gridSpan w:val="2"/>
            <w:tcBorders>
              <w:top w:val="nil"/>
              <w:left w:val="nil"/>
              <w:bottom w:val="nil"/>
              <w:right w:val="nil"/>
            </w:tcBorders>
          </w:tcPr>
          <w:p w:rsidR="006224C2" w:rsidRPr="00295E71" w:rsidP="00F57FE5" w14:paraId="05C3CE45" w14:textId="77777777">
            <w:pPr>
              <w:keepNext/>
              <w:keepLines/>
              <w:tabs>
                <w:tab w:val="left" w:pos="562"/>
              </w:tabs>
              <w:suppressAutoHyphens/>
              <w:rPr>
                <w:sz w:val="22"/>
                <w:szCs w:val="22"/>
              </w:rPr>
            </w:pPr>
            <w:r w:rsidRPr="00295E71">
              <w:rPr>
                <w:sz w:val="22"/>
                <w:szCs w:val="22"/>
              </w:rPr>
              <w:t>Analisi primaria (ITT)</w:t>
            </w:r>
          </w:p>
        </w:tc>
        <w:tc>
          <w:tcPr>
            <w:tcW w:w="1231" w:type="dxa"/>
            <w:tcBorders>
              <w:top w:val="nil"/>
              <w:left w:val="nil"/>
              <w:bottom w:val="nil"/>
              <w:right w:val="nil"/>
            </w:tcBorders>
          </w:tcPr>
          <w:p w:rsidR="006224C2" w:rsidRPr="00295E71" w:rsidP="00F57FE5" w14:paraId="43CCD3CE" w14:textId="77777777">
            <w:pPr>
              <w:keepNext/>
              <w:keepLines/>
              <w:tabs>
                <w:tab w:val="left" w:pos="562"/>
              </w:tabs>
              <w:suppressAutoHyphens/>
              <w:rPr>
                <w:sz w:val="22"/>
                <w:szCs w:val="22"/>
              </w:rPr>
            </w:pPr>
          </w:p>
        </w:tc>
        <w:tc>
          <w:tcPr>
            <w:tcW w:w="1890" w:type="dxa"/>
            <w:tcBorders>
              <w:top w:val="nil"/>
              <w:left w:val="nil"/>
              <w:bottom w:val="nil"/>
              <w:right w:val="nil"/>
            </w:tcBorders>
          </w:tcPr>
          <w:p w:rsidR="006224C2" w:rsidRPr="00295E71" w:rsidP="00F57FE5" w14:paraId="23E65C28" w14:textId="77777777">
            <w:pPr>
              <w:keepNext/>
              <w:keepLines/>
              <w:tabs>
                <w:tab w:val="left" w:pos="562"/>
              </w:tabs>
              <w:suppressAutoHyphens/>
              <w:rPr>
                <w:sz w:val="22"/>
                <w:szCs w:val="22"/>
              </w:rPr>
            </w:pPr>
          </w:p>
        </w:tc>
        <w:tc>
          <w:tcPr>
            <w:tcW w:w="720" w:type="dxa"/>
            <w:tcBorders>
              <w:top w:val="nil"/>
              <w:left w:val="nil"/>
              <w:bottom w:val="nil"/>
              <w:right w:val="nil"/>
            </w:tcBorders>
          </w:tcPr>
          <w:p w:rsidR="006224C2" w:rsidRPr="00295E71" w:rsidP="00F57FE5" w14:paraId="576A2799" w14:textId="77777777">
            <w:pPr>
              <w:keepNext/>
              <w:keepLines/>
              <w:tabs>
                <w:tab w:val="left" w:pos="562"/>
              </w:tabs>
              <w:suppressAutoHyphens/>
              <w:rPr>
                <w:sz w:val="22"/>
                <w:szCs w:val="22"/>
              </w:rPr>
            </w:pPr>
          </w:p>
        </w:tc>
        <w:tc>
          <w:tcPr>
            <w:tcW w:w="1109" w:type="dxa"/>
            <w:tcBorders>
              <w:top w:val="nil"/>
              <w:left w:val="nil"/>
              <w:bottom w:val="nil"/>
              <w:right w:val="nil"/>
            </w:tcBorders>
          </w:tcPr>
          <w:p w:rsidR="006224C2" w:rsidRPr="00295E71" w:rsidP="00F57FE5" w14:paraId="1E7DF3D9" w14:textId="77777777">
            <w:pPr>
              <w:keepNext/>
              <w:keepLines/>
              <w:tabs>
                <w:tab w:val="left" w:pos="562"/>
              </w:tabs>
              <w:suppressAutoHyphens/>
              <w:rPr>
                <w:sz w:val="22"/>
                <w:szCs w:val="22"/>
              </w:rPr>
            </w:pPr>
          </w:p>
        </w:tc>
        <w:tc>
          <w:tcPr>
            <w:tcW w:w="1141" w:type="dxa"/>
            <w:tcBorders>
              <w:top w:val="nil"/>
              <w:left w:val="nil"/>
              <w:bottom w:val="nil"/>
              <w:right w:val="nil"/>
            </w:tcBorders>
          </w:tcPr>
          <w:p w:rsidR="006224C2" w:rsidRPr="00295E71" w:rsidP="00F57FE5" w14:paraId="61008873" w14:textId="77777777">
            <w:pPr>
              <w:keepNext/>
              <w:keepLines/>
              <w:tabs>
                <w:tab w:val="left" w:pos="562"/>
              </w:tabs>
              <w:suppressAutoHyphens/>
              <w:rPr>
                <w:sz w:val="22"/>
                <w:szCs w:val="22"/>
              </w:rPr>
            </w:pPr>
          </w:p>
        </w:tc>
      </w:tr>
      <w:tr w14:paraId="3BD2DB50"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nil"/>
              <w:right w:val="nil"/>
            </w:tcBorders>
          </w:tcPr>
          <w:p w:rsidR="006224C2" w:rsidRPr="00295E71" w:rsidP="00F57FE5" w14:paraId="71B54B8F" w14:textId="77777777">
            <w:pPr>
              <w:keepNext/>
              <w:keepLines/>
              <w:tabs>
                <w:tab w:val="left" w:pos="562"/>
              </w:tabs>
              <w:suppressAutoHyphens/>
              <w:rPr>
                <w:sz w:val="22"/>
                <w:szCs w:val="22"/>
              </w:rPr>
            </w:pPr>
            <w:r w:rsidRPr="00295E71">
              <w:rPr>
                <w:sz w:val="22"/>
                <w:szCs w:val="22"/>
              </w:rPr>
              <w:tab/>
              <w:t>Placebo</w:t>
            </w:r>
          </w:p>
        </w:tc>
        <w:tc>
          <w:tcPr>
            <w:tcW w:w="720" w:type="dxa"/>
            <w:tcBorders>
              <w:top w:val="nil"/>
              <w:left w:val="nil"/>
              <w:bottom w:val="nil"/>
              <w:right w:val="nil"/>
            </w:tcBorders>
          </w:tcPr>
          <w:p w:rsidR="006224C2" w:rsidRPr="00295E71" w:rsidP="00F57FE5" w14:paraId="5320A8F4" w14:textId="77777777">
            <w:pPr>
              <w:keepNext/>
              <w:keepLines/>
              <w:tabs>
                <w:tab w:val="left" w:pos="562"/>
              </w:tabs>
              <w:suppressAutoHyphens/>
              <w:rPr>
                <w:sz w:val="22"/>
                <w:szCs w:val="22"/>
              </w:rPr>
            </w:pPr>
            <w:r w:rsidRPr="00295E71">
              <w:rPr>
                <w:sz w:val="22"/>
                <w:szCs w:val="22"/>
              </w:rPr>
              <w:t>111</w:t>
            </w:r>
          </w:p>
        </w:tc>
        <w:tc>
          <w:tcPr>
            <w:tcW w:w="1231" w:type="dxa"/>
            <w:tcBorders>
              <w:top w:val="nil"/>
              <w:left w:val="nil"/>
              <w:bottom w:val="nil"/>
              <w:right w:val="nil"/>
            </w:tcBorders>
          </w:tcPr>
          <w:p w:rsidR="006224C2" w:rsidRPr="00295E71" w:rsidP="00F57FE5" w14:paraId="26FE8A29" w14:textId="77777777">
            <w:pPr>
              <w:keepNext/>
              <w:keepLines/>
              <w:tabs>
                <w:tab w:val="left" w:pos="562"/>
              </w:tabs>
              <w:suppressAutoHyphens/>
              <w:rPr>
                <w:sz w:val="22"/>
                <w:szCs w:val="22"/>
              </w:rPr>
            </w:pPr>
            <w:r w:rsidRPr="00295E71">
              <w:rPr>
                <w:sz w:val="22"/>
                <w:szCs w:val="22"/>
              </w:rPr>
              <w:t>61 (55,0)</w:t>
            </w:r>
          </w:p>
        </w:tc>
        <w:tc>
          <w:tcPr>
            <w:tcW w:w="1890" w:type="dxa"/>
            <w:tcBorders>
              <w:top w:val="nil"/>
              <w:left w:val="nil"/>
              <w:bottom w:val="nil"/>
              <w:right w:val="nil"/>
            </w:tcBorders>
          </w:tcPr>
          <w:p w:rsidR="006224C2" w:rsidRPr="00295E71" w:rsidP="00F57FE5" w14:paraId="0E07017E" w14:textId="77777777">
            <w:pPr>
              <w:keepNext/>
              <w:keepLines/>
              <w:tabs>
                <w:tab w:val="left" w:pos="562"/>
              </w:tabs>
              <w:suppressAutoHyphens/>
              <w:rPr>
                <w:sz w:val="22"/>
                <w:szCs w:val="22"/>
              </w:rPr>
            </w:pPr>
            <w:r w:rsidRPr="00295E71">
              <w:rPr>
                <w:sz w:val="22"/>
                <w:szCs w:val="22"/>
              </w:rPr>
              <w:t>8,3</w:t>
            </w:r>
          </w:p>
        </w:tc>
        <w:tc>
          <w:tcPr>
            <w:tcW w:w="720" w:type="dxa"/>
            <w:tcBorders>
              <w:top w:val="nil"/>
              <w:left w:val="nil"/>
              <w:bottom w:val="nil"/>
              <w:right w:val="nil"/>
            </w:tcBorders>
          </w:tcPr>
          <w:p w:rsidR="006224C2" w:rsidRPr="00295E71" w:rsidP="00F57FE5" w14:paraId="3DD0F3E6" w14:textId="77777777">
            <w:pPr>
              <w:keepNext/>
              <w:keepLines/>
              <w:tabs>
                <w:tab w:val="left" w:pos="562"/>
              </w:tabs>
              <w:suppressAutoHyphens/>
              <w:rPr>
                <w:sz w:val="22"/>
                <w:szCs w:val="22"/>
              </w:rPr>
            </w:pPr>
            <w:r w:rsidRPr="00295E71">
              <w:rPr>
                <w:sz w:val="22"/>
                <w:szCs w:val="22"/>
              </w:rPr>
              <w:t>--</w:t>
            </w:r>
          </w:p>
        </w:tc>
        <w:tc>
          <w:tcPr>
            <w:tcW w:w="1109" w:type="dxa"/>
            <w:tcBorders>
              <w:top w:val="nil"/>
              <w:left w:val="nil"/>
              <w:bottom w:val="nil"/>
              <w:right w:val="nil"/>
            </w:tcBorders>
          </w:tcPr>
          <w:p w:rsidR="006224C2" w:rsidRPr="00295E71" w:rsidP="00F57FE5" w14:paraId="14299014" w14:textId="77777777">
            <w:pPr>
              <w:keepNext/>
              <w:keepLines/>
              <w:tabs>
                <w:tab w:val="left" w:pos="562"/>
              </w:tabs>
              <w:suppressAutoHyphens/>
              <w:rPr>
                <w:sz w:val="22"/>
                <w:szCs w:val="22"/>
              </w:rPr>
            </w:pPr>
            <w:r w:rsidRPr="00295E71">
              <w:rPr>
                <w:sz w:val="22"/>
                <w:szCs w:val="22"/>
              </w:rPr>
              <w:t>--</w:t>
            </w:r>
          </w:p>
        </w:tc>
        <w:tc>
          <w:tcPr>
            <w:tcW w:w="1141" w:type="dxa"/>
            <w:tcBorders>
              <w:top w:val="nil"/>
              <w:left w:val="nil"/>
              <w:bottom w:val="nil"/>
              <w:right w:val="nil"/>
            </w:tcBorders>
          </w:tcPr>
          <w:p w:rsidR="006224C2" w:rsidRPr="00295E71" w:rsidP="00F57FE5" w14:paraId="19891AB9" w14:textId="77777777">
            <w:pPr>
              <w:keepNext/>
              <w:keepLines/>
              <w:tabs>
                <w:tab w:val="left" w:pos="562"/>
              </w:tabs>
              <w:suppressAutoHyphens/>
              <w:rPr>
                <w:sz w:val="22"/>
                <w:szCs w:val="22"/>
              </w:rPr>
            </w:pPr>
            <w:r w:rsidRPr="00295E71">
              <w:rPr>
                <w:sz w:val="22"/>
                <w:szCs w:val="22"/>
              </w:rPr>
              <w:t>--</w:t>
            </w:r>
          </w:p>
        </w:tc>
      </w:tr>
      <w:tr w14:paraId="4D0F1395"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single" w:sz="4" w:space="0" w:color="auto"/>
              <w:right w:val="nil"/>
            </w:tcBorders>
          </w:tcPr>
          <w:p w:rsidR="006224C2" w:rsidRPr="00295E71" w:rsidP="00F57FE5" w14:paraId="23345711" w14:textId="77777777">
            <w:pPr>
              <w:keepNext/>
              <w:keepLines/>
              <w:tabs>
                <w:tab w:val="left" w:pos="562"/>
              </w:tabs>
              <w:suppressAutoHyphens/>
              <w:rPr>
                <w:sz w:val="22"/>
                <w:szCs w:val="22"/>
              </w:rPr>
            </w:pPr>
            <w:r w:rsidRPr="00295E71">
              <w:rPr>
                <w:sz w:val="22"/>
                <w:szCs w:val="22"/>
              </w:rPr>
              <w:tab/>
              <w:t>Adalimumab</w:t>
            </w:r>
          </w:p>
        </w:tc>
        <w:tc>
          <w:tcPr>
            <w:tcW w:w="720" w:type="dxa"/>
            <w:tcBorders>
              <w:top w:val="nil"/>
              <w:left w:val="nil"/>
              <w:bottom w:val="single" w:sz="4" w:space="0" w:color="auto"/>
              <w:right w:val="nil"/>
            </w:tcBorders>
          </w:tcPr>
          <w:p w:rsidR="006224C2" w:rsidRPr="00295E71" w:rsidP="00F57FE5" w14:paraId="29FCFA33" w14:textId="77777777">
            <w:pPr>
              <w:keepNext/>
              <w:keepLines/>
              <w:tabs>
                <w:tab w:val="left" w:pos="562"/>
              </w:tabs>
              <w:suppressAutoHyphens/>
              <w:rPr>
                <w:sz w:val="22"/>
                <w:szCs w:val="22"/>
              </w:rPr>
            </w:pPr>
            <w:r w:rsidRPr="00295E71">
              <w:rPr>
                <w:sz w:val="22"/>
                <w:szCs w:val="22"/>
              </w:rPr>
              <w:t>115</w:t>
            </w:r>
          </w:p>
        </w:tc>
        <w:tc>
          <w:tcPr>
            <w:tcW w:w="1231" w:type="dxa"/>
            <w:tcBorders>
              <w:top w:val="nil"/>
              <w:left w:val="nil"/>
              <w:bottom w:val="single" w:sz="4" w:space="0" w:color="auto"/>
              <w:right w:val="nil"/>
            </w:tcBorders>
          </w:tcPr>
          <w:p w:rsidR="006224C2" w:rsidRPr="00295E71" w:rsidP="00F57FE5" w14:paraId="691733E4" w14:textId="77777777">
            <w:pPr>
              <w:keepNext/>
              <w:keepLines/>
              <w:tabs>
                <w:tab w:val="left" w:pos="562"/>
              </w:tabs>
              <w:suppressAutoHyphens/>
              <w:rPr>
                <w:sz w:val="22"/>
                <w:szCs w:val="22"/>
              </w:rPr>
            </w:pPr>
            <w:r w:rsidRPr="00295E71">
              <w:rPr>
                <w:sz w:val="22"/>
                <w:szCs w:val="22"/>
              </w:rPr>
              <w:t>45 (39,1)</w:t>
            </w:r>
          </w:p>
        </w:tc>
        <w:tc>
          <w:tcPr>
            <w:tcW w:w="1890" w:type="dxa"/>
            <w:tcBorders>
              <w:top w:val="nil"/>
              <w:left w:val="nil"/>
              <w:bottom w:val="single" w:sz="4" w:space="0" w:color="auto"/>
              <w:right w:val="nil"/>
            </w:tcBorders>
          </w:tcPr>
          <w:p w:rsidR="006224C2" w:rsidRPr="00295E71" w:rsidP="00F57FE5" w14:paraId="3A2EA8F7" w14:textId="77777777">
            <w:pPr>
              <w:keepNext/>
              <w:keepLines/>
              <w:tabs>
                <w:tab w:val="left" w:pos="562"/>
              </w:tabs>
              <w:suppressAutoHyphens/>
              <w:rPr>
                <w:sz w:val="22"/>
                <w:szCs w:val="22"/>
              </w:rPr>
            </w:pPr>
            <w:r w:rsidRPr="00295E71">
              <w:rPr>
                <w:sz w:val="22"/>
                <w:szCs w:val="22"/>
              </w:rPr>
              <w:t>NV</w:t>
            </w:r>
            <w:r w:rsidRPr="00295E71">
              <w:rPr>
                <w:sz w:val="22"/>
                <w:szCs w:val="22"/>
                <w:vertAlign w:val="superscript"/>
              </w:rPr>
              <w:t>c</w:t>
            </w:r>
          </w:p>
        </w:tc>
        <w:tc>
          <w:tcPr>
            <w:tcW w:w="720" w:type="dxa"/>
            <w:tcBorders>
              <w:top w:val="nil"/>
              <w:left w:val="nil"/>
              <w:bottom w:val="single" w:sz="4" w:space="0" w:color="auto"/>
              <w:right w:val="nil"/>
            </w:tcBorders>
          </w:tcPr>
          <w:p w:rsidR="006224C2" w:rsidRPr="00295E71" w:rsidP="00F57FE5" w14:paraId="2B14DE3A" w14:textId="77777777">
            <w:pPr>
              <w:keepNext/>
              <w:keepLines/>
              <w:tabs>
                <w:tab w:val="left" w:pos="562"/>
              </w:tabs>
              <w:suppressAutoHyphens/>
              <w:rPr>
                <w:sz w:val="22"/>
                <w:szCs w:val="22"/>
              </w:rPr>
            </w:pPr>
            <w:r w:rsidRPr="00295E71">
              <w:rPr>
                <w:sz w:val="22"/>
                <w:szCs w:val="22"/>
              </w:rPr>
              <w:t>0,57</w:t>
            </w:r>
          </w:p>
        </w:tc>
        <w:tc>
          <w:tcPr>
            <w:tcW w:w="1109" w:type="dxa"/>
            <w:tcBorders>
              <w:top w:val="nil"/>
              <w:left w:val="nil"/>
              <w:bottom w:val="single" w:sz="4" w:space="0" w:color="auto"/>
              <w:right w:val="nil"/>
            </w:tcBorders>
          </w:tcPr>
          <w:p w:rsidR="006224C2" w:rsidRPr="00295E71" w:rsidP="00F57FE5" w14:paraId="5A9E3062" w14:textId="77777777">
            <w:pPr>
              <w:keepNext/>
              <w:keepLines/>
              <w:tabs>
                <w:tab w:val="left" w:pos="562"/>
              </w:tabs>
              <w:suppressAutoHyphens/>
              <w:rPr>
                <w:sz w:val="22"/>
                <w:szCs w:val="22"/>
              </w:rPr>
            </w:pPr>
            <w:r w:rsidRPr="00295E71">
              <w:rPr>
                <w:sz w:val="22"/>
                <w:szCs w:val="22"/>
              </w:rPr>
              <w:t>0,39; 0,84</w:t>
            </w:r>
          </w:p>
        </w:tc>
        <w:tc>
          <w:tcPr>
            <w:tcW w:w="1141" w:type="dxa"/>
            <w:tcBorders>
              <w:top w:val="nil"/>
              <w:left w:val="nil"/>
              <w:bottom w:val="single" w:sz="4" w:space="0" w:color="auto"/>
              <w:right w:val="nil"/>
            </w:tcBorders>
          </w:tcPr>
          <w:p w:rsidR="006224C2" w:rsidRPr="00295E71" w:rsidP="00F57FE5" w14:paraId="01B30D3A" w14:textId="77777777">
            <w:pPr>
              <w:keepNext/>
              <w:keepLines/>
              <w:tabs>
                <w:tab w:val="left" w:pos="562"/>
              </w:tabs>
              <w:suppressAutoHyphens/>
              <w:rPr>
                <w:sz w:val="22"/>
                <w:szCs w:val="22"/>
              </w:rPr>
            </w:pPr>
            <w:r w:rsidRPr="00295E71">
              <w:rPr>
                <w:sz w:val="22"/>
                <w:szCs w:val="22"/>
              </w:rPr>
              <w:t>0,004</w:t>
            </w:r>
          </w:p>
        </w:tc>
      </w:tr>
    </w:tbl>
    <w:p w:rsidR="006224C2" w:rsidRPr="00295E71" w:rsidP="00F57FE5" w14:paraId="566F06BC" w14:textId="77777777">
      <w:pPr>
        <w:keepNext/>
        <w:keepLines/>
        <w:tabs>
          <w:tab w:val="left" w:pos="567"/>
          <w:tab w:val="left" w:pos="1294"/>
        </w:tabs>
        <w:autoSpaceDE w:val="0"/>
        <w:autoSpaceDN w:val="0"/>
        <w:adjustRightInd w:val="0"/>
        <w:jc w:val="both"/>
        <w:rPr>
          <w:color w:val="000000"/>
          <w:sz w:val="22"/>
          <w:szCs w:val="22"/>
        </w:rPr>
      </w:pPr>
      <w:r w:rsidRPr="00295E71">
        <w:rPr>
          <w:color w:val="000000"/>
          <w:sz w:val="22"/>
          <w:szCs w:val="22"/>
        </w:rPr>
        <w:t>Nota: il fallimento del trattamento alla o dopo la settimana 6 (Studio UV I) oppure alla o dopo la settimana 2 (Studio UV II) è stato contato come evento. Gli abbandoni a causa di motivi diversi dal fallimento del trattamento sono stati censurati al momento dell’abbandono.</w:t>
      </w:r>
    </w:p>
    <w:p w:rsidR="006224C2" w:rsidRPr="00295E71" w:rsidP="00F57FE5" w14:paraId="7C622F56" w14:textId="77777777">
      <w:pPr>
        <w:keepNext/>
        <w:keepLines/>
        <w:tabs>
          <w:tab w:val="left" w:pos="567"/>
          <w:tab w:val="left" w:pos="1294"/>
        </w:tabs>
        <w:autoSpaceDE w:val="0"/>
        <w:autoSpaceDN w:val="0"/>
        <w:adjustRightInd w:val="0"/>
        <w:jc w:val="both"/>
        <w:rPr>
          <w:color w:val="000000"/>
          <w:sz w:val="22"/>
          <w:szCs w:val="22"/>
        </w:rPr>
      </w:pPr>
      <w:r w:rsidRPr="00295E71">
        <w:rPr>
          <w:color w:val="000000"/>
          <w:sz w:val="22"/>
          <w:szCs w:val="22"/>
          <w:vertAlign w:val="superscript"/>
        </w:rPr>
        <w:t>a</w:t>
      </w:r>
      <w:r w:rsidRPr="00295E71">
        <w:rPr>
          <w:color w:val="000000"/>
          <w:sz w:val="22"/>
          <w:szCs w:val="22"/>
        </w:rPr>
        <w:tab/>
        <w:t>HR di adalimumab rispetto al placebo dalla regressione proporzionale dei rischi con il trattamento come fattore.</w:t>
      </w:r>
    </w:p>
    <w:p w:rsidR="006224C2" w:rsidRPr="00295E71" w:rsidP="00F57FE5" w14:paraId="5DBEFCA9" w14:textId="77777777">
      <w:pPr>
        <w:keepNext/>
        <w:keepLines/>
        <w:tabs>
          <w:tab w:val="left" w:pos="567"/>
          <w:tab w:val="left" w:pos="1294"/>
        </w:tabs>
        <w:autoSpaceDE w:val="0"/>
        <w:autoSpaceDN w:val="0"/>
        <w:adjustRightInd w:val="0"/>
        <w:jc w:val="both"/>
        <w:rPr>
          <w:color w:val="000000"/>
          <w:sz w:val="22"/>
          <w:szCs w:val="22"/>
        </w:rPr>
      </w:pPr>
      <w:r w:rsidRPr="00295E71">
        <w:rPr>
          <w:color w:val="000000"/>
          <w:sz w:val="22"/>
          <w:szCs w:val="22"/>
          <w:vertAlign w:val="superscript"/>
        </w:rPr>
        <w:t>b</w:t>
      </w:r>
      <w:r w:rsidRPr="00295E71">
        <w:rPr>
          <w:color w:val="000000"/>
          <w:sz w:val="22"/>
          <w:szCs w:val="22"/>
        </w:rPr>
        <w:tab/>
        <w:t xml:space="preserve">Valore </w:t>
      </w:r>
      <w:r w:rsidRPr="00295E71">
        <w:rPr>
          <w:i/>
          <w:color w:val="000000"/>
          <w:sz w:val="22"/>
          <w:szCs w:val="22"/>
        </w:rPr>
        <w:t>P</w:t>
      </w:r>
      <w:r w:rsidRPr="00295E71">
        <w:rPr>
          <w:color w:val="000000"/>
          <w:sz w:val="22"/>
          <w:szCs w:val="22"/>
        </w:rPr>
        <w:t xml:space="preserve"> bilaterale dal test dei ranghi logaritmici.</w:t>
      </w:r>
    </w:p>
    <w:p w:rsidR="006224C2" w:rsidRPr="00295E71" w14:paraId="02EFDA81" w14:textId="77777777">
      <w:pPr>
        <w:tabs>
          <w:tab w:val="left" w:pos="567"/>
          <w:tab w:val="left" w:pos="1294"/>
        </w:tabs>
        <w:autoSpaceDE w:val="0"/>
        <w:autoSpaceDN w:val="0"/>
        <w:adjustRightInd w:val="0"/>
        <w:jc w:val="both"/>
        <w:rPr>
          <w:color w:val="000000"/>
          <w:sz w:val="22"/>
          <w:szCs w:val="22"/>
        </w:rPr>
      </w:pPr>
      <w:r w:rsidRPr="00295E71">
        <w:rPr>
          <w:color w:val="000000"/>
          <w:sz w:val="22"/>
          <w:szCs w:val="22"/>
          <w:vertAlign w:val="superscript"/>
        </w:rPr>
        <w:t>c</w:t>
      </w:r>
      <w:r w:rsidRPr="00295E71">
        <w:rPr>
          <w:color w:val="000000"/>
          <w:sz w:val="22"/>
          <w:szCs w:val="22"/>
        </w:rPr>
        <w:tab/>
        <w:t>NV = non valutabile. Meno della metà dei soggetti a rischio ha avuto un evento.</w:t>
      </w:r>
    </w:p>
    <w:p w:rsidR="006224C2" w:rsidRPr="00295E71" w14:paraId="469E4B0C" w14:textId="77777777">
      <w:pPr>
        <w:tabs>
          <w:tab w:val="left" w:pos="567"/>
          <w:tab w:val="left" w:pos="1294"/>
        </w:tabs>
        <w:autoSpaceDE w:val="0"/>
        <w:autoSpaceDN w:val="0"/>
        <w:adjustRightInd w:val="0"/>
        <w:jc w:val="both"/>
        <w:rPr>
          <w:color w:val="000000"/>
          <w:sz w:val="22"/>
          <w:szCs w:val="22"/>
        </w:rPr>
      </w:pPr>
    </w:p>
    <w:p w:rsidR="006224C2" w:rsidRPr="00295E71" w:rsidP="00986889" w14:paraId="41B1F071" w14:textId="77777777">
      <w:pPr>
        <w:keepLines/>
        <w:rPr>
          <w:b/>
          <w:sz w:val="22"/>
          <w:szCs w:val="22"/>
          <w:lang w:eastAsia="en-US"/>
        </w:rPr>
      </w:pPr>
      <w:r w:rsidRPr="00295E71">
        <w:rPr>
          <w:b/>
          <w:sz w:val="22"/>
          <w:szCs w:val="22"/>
          <w:lang w:eastAsia="en-US"/>
        </w:rPr>
        <w:t xml:space="preserve">Figura </w:t>
      </w:r>
      <w:r w:rsidRPr="00295E71" w:rsidR="00561485">
        <w:rPr>
          <w:b/>
          <w:sz w:val="22"/>
          <w:szCs w:val="22"/>
          <w:lang w:eastAsia="en-US"/>
        </w:rPr>
        <w:t>2</w:t>
      </w:r>
      <w:r w:rsidRPr="00295E71">
        <w:rPr>
          <w:b/>
          <w:sz w:val="22"/>
          <w:szCs w:val="22"/>
          <w:lang w:eastAsia="en-US"/>
        </w:rPr>
        <w:t xml:space="preserve">: curve di Kaplan-Meier del tempo al fallimento del trattamento alla o dopo la settimana 6 (Studio UV I) o la settimana 2 (Studio UV II) </w:t>
      </w:r>
    </w:p>
    <w:p w:rsidR="006224C2" w:rsidRPr="00295E71" w:rsidP="00986889" w14:paraId="6261EACD" w14:textId="77777777">
      <w:pPr>
        <w:keepLines/>
        <w:tabs>
          <w:tab w:val="left" w:pos="562"/>
        </w:tabs>
        <w:suppressAutoHyphens/>
        <w:jc w:val="center"/>
        <w:rPr>
          <w:b/>
          <w:sz w:val="22"/>
          <w:szCs w:val="22"/>
          <w:lang w:eastAsia="en-US"/>
        </w:rPr>
      </w:pPr>
    </w:p>
    <w:tbl>
      <w:tblPr>
        <w:tblW w:w="9481" w:type="dxa"/>
        <w:tblLayout w:type="fixed"/>
        <w:tblLook w:val="04A0"/>
      </w:tblPr>
      <w:tblGrid>
        <w:gridCol w:w="675"/>
        <w:gridCol w:w="3496"/>
        <w:gridCol w:w="1170"/>
        <w:gridCol w:w="1350"/>
        <w:gridCol w:w="900"/>
        <w:gridCol w:w="1890"/>
      </w:tblGrid>
      <w:tr w14:paraId="346A51EF" w14:textId="77777777">
        <w:tblPrEx>
          <w:tblW w:w="9481" w:type="dxa"/>
          <w:tblLayout w:type="fixed"/>
          <w:tblLook w:val="04A0"/>
        </w:tblPrEx>
        <w:trPr>
          <w:cantSplit/>
          <w:trHeight w:val="3806"/>
        </w:trPr>
        <w:tc>
          <w:tcPr>
            <w:tcW w:w="675" w:type="dxa"/>
            <w:textDirection w:val="btLr"/>
            <w:vAlign w:val="bottom"/>
          </w:tcPr>
          <w:p w:rsidR="006224C2" w:rsidRPr="00295E71" w:rsidP="00986889" w14:paraId="6179ACD0" w14:textId="77777777">
            <w:pPr>
              <w:keepLines/>
              <w:tabs>
                <w:tab w:val="left" w:pos="562"/>
              </w:tabs>
              <w:suppressAutoHyphens/>
              <w:ind w:left="113" w:right="113"/>
              <w:jc w:val="center"/>
              <w:rPr>
                <w:b/>
                <w:sz w:val="22"/>
                <w:szCs w:val="22"/>
                <w:lang w:eastAsia="en-US"/>
              </w:rPr>
            </w:pPr>
            <w:r w:rsidRPr="00295E71">
              <w:rPr>
                <w:b/>
                <w:sz w:val="22"/>
                <w:szCs w:val="22"/>
                <w:lang w:eastAsia="en-US"/>
              </w:rPr>
              <w:t>TASSO DI FALLIMENTO DEL TRATTAMENTO (%)</w:t>
            </w:r>
          </w:p>
        </w:tc>
        <w:tc>
          <w:tcPr>
            <w:tcW w:w="8806" w:type="dxa"/>
            <w:gridSpan w:val="5"/>
            <w:vAlign w:val="bottom"/>
          </w:tcPr>
          <w:p w:rsidR="006224C2" w:rsidRPr="00295E71" w:rsidP="00986889" w14:paraId="13E78873" w14:textId="77777777">
            <w:pPr>
              <w:keepLines/>
              <w:tabs>
                <w:tab w:val="left" w:pos="562"/>
              </w:tabs>
              <w:suppressAutoHyphens/>
              <w:rPr>
                <w:sz w:val="22"/>
                <w:szCs w:val="22"/>
              </w:rPr>
            </w:pPr>
            <w:r w:rsidRPr="00910CE7">
              <w:rPr>
                <w:noProof/>
                <w:sz w:val="22"/>
                <w:lang w:val="en-GB"/>
              </w:rPr>
              <w:drawing>
                <wp:inline distT="0" distB="0" distL="0" distR="0">
                  <wp:extent cx="5422789" cy="2210435"/>
                  <wp:effectExtent l="0" t="0" r="6985" b="0"/>
                  <wp:docPr id="64" name="Picture 61"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0" descr="Humira Uveitis Figure 5_6"/>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22789" cy="2210435"/>
                          </a:xfrm>
                          <a:prstGeom prst="rect">
                            <a:avLst/>
                          </a:prstGeom>
                          <a:noFill/>
                          <a:ln>
                            <a:noFill/>
                          </a:ln>
                        </pic:spPr>
                      </pic:pic>
                    </a:graphicData>
                  </a:graphic>
                </wp:inline>
              </w:drawing>
            </w:r>
          </w:p>
        </w:tc>
      </w:tr>
      <w:tr w14:paraId="7CD4799F" w14:textId="77777777">
        <w:tblPrEx>
          <w:tblW w:w="9481" w:type="dxa"/>
          <w:tblLayout w:type="fixed"/>
          <w:tblLook w:val="04A0"/>
        </w:tblPrEx>
        <w:tc>
          <w:tcPr>
            <w:tcW w:w="675" w:type="dxa"/>
          </w:tcPr>
          <w:p w:rsidR="006224C2" w:rsidRPr="00295E71" w:rsidP="00986889" w14:paraId="6DD61377" w14:textId="77777777">
            <w:pPr>
              <w:keepLines/>
              <w:tabs>
                <w:tab w:val="left" w:pos="562"/>
              </w:tabs>
              <w:suppressAutoHyphens/>
              <w:rPr>
                <w:sz w:val="22"/>
                <w:szCs w:val="22"/>
              </w:rPr>
            </w:pPr>
          </w:p>
        </w:tc>
        <w:tc>
          <w:tcPr>
            <w:tcW w:w="8806" w:type="dxa"/>
            <w:gridSpan w:val="5"/>
          </w:tcPr>
          <w:p w:rsidR="006224C2" w:rsidRPr="00295E71" w:rsidP="00986889" w14:paraId="48B5ADAC" w14:textId="77777777">
            <w:pPr>
              <w:keepLines/>
              <w:tabs>
                <w:tab w:val="left" w:pos="562"/>
              </w:tabs>
              <w:suppressAutoHyphens/>
              <w:jc w:val="center"/>
              <w:rPr>
                <w:b/>
                <w:sz w:val="22"/>
                <w:szCs w:val="22"/>
              </w:rPr>
            </w:pPr>
            <w:r w:rsidRPr="00295E71">
              <w:rPr>
                <w:b/>
                <w:sz w:val="22"/>
                <w:szCs w:val="22"/>
              </w:rPr>
              <w:t>TEMPO (MESI)</w:t>
            </w:r>
          </w:p>
        </w:tc>
      </w:tr>
      <w:tr w14:paraId="60FACF16" w14:textId="77777777">
        <w:tblPrEx>
          <w:tblW w:w="9481" w:type="dxa"/>
          <w:tblLayout w:type="fixed"/>
          <w:tblLook w:val="04A0"/>
        </w:tblPrEx>
        <w:tc>
          <w:tcPr>
            <w:tcW w:w="675" w:type="dxa"/>
          </w:tcPr>
          <w:p w:rsidR="006224C2" w:rsidRPr="00295E71" w:rsidP="00986889" w14:paraId="7E4AB64E" w14:textId="77777777">
            <w:pPr>
              <w:keepLines/>
              <w:tabs>
                <w:tab w:val="left" w:pos="562"/>
              </w:tabs>
              <w:suppressAutoHyphens/>
              <w:rPr>
                <w:sz w:val="22"/>
                <w:szCs w:val="22"/>
              </w:rPr>
            </w:pPr>
          </w:p>
        </w:tc>
        <w:tc>
          <w:tcPr>
            <w:tcW w:w="3496" w:type="dxa"/>
          </w:tcPr>
          <w:p w:rsidR="006224C2" w:rsidRPr="00295E71" w:rsidP="00986889" w14:paraId="1340BDC2" w14:textId="77777777">
            <w:pPr>
              <w:keepLines/>
              <w:tabs>
                <w:tab w:val="left" w:pos="562"/>
              </w:tabs>
              <w:suppressAutoHyphens/>
              <w:rPr>
                <w:sz w:val="22"/>
                <w:szCs w:val="22"/>
              </w:rPr>
            </w:pPr>
            <w:r w:rsidRPr="00295E71">
              <w:rPr>
                <w:sz w:val="22"/>
                <w:szCs w:val="22"/>
              </w:rPr>
              <w:t>Studio UV I                    Trattamento</w:t>
            </w:r>
          </w:p>
        </w:tc>
        <w:tc>
          <w:tcPr>
            <w:tcW w:w="1170" w:type="dxa"/>
          </w:tcPr>
          <w:p w:rsidR="006224C2" w:rsidRPr="00295E71" w:rsidP="00986889" w14:paraId="35BC72D9" w14:textId="77777777">
            <w:pPr>
              <w:keepLines/>
              <w:tabs>
                <w:tab w:val="left" w:pos="562"/>
              </w:tabs>
              <w:suppressAutoHyphens/>
              <w:jc w:val="right"/>
              <w:rPr>
                <w:sz w:val="22"/>
                <w:szCs w:val="22"/>
              </w:rPr>
            </w:pPr>
            <w:r w:rsidRPr="00910CE7">
              <w:rPr>
                <w:noProof/>
                <w:sz w:val="22"/>
                <w:lang w:val="en-GB"/>
              </w:rPr>
              <w:drawing>
                <wp:inline distT="0" distB="0" distL="0" distR="0">
                  <wp:extent cx="394970" cy="180340"/>
                  <wp:effectExtent l="0" t="0" r="0" b="0"/>
                  <wp:docPr id="70" name="Immagine 6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 descr="Humira Uveitis Figure 5_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970" cy="180340"/>
                          </a:xfrm>
                          <a:prstGeom prst="rect">
                            <a:avLst/>
                          </a:prstGeom>
                          <a:noFill/>
                          <a:ln>
                            <a:noFill/>
                          </a:ln>
                        </pic:spPr>
                      </pic:pic>
                    </a:graphicData>
                  </a:graphic>
                </wp:inline>
              </w:drawing>
            </w:r>
          </w:p>
        </w:tc>
        <w:tc>
          <w:tcPr>
            <w:tcW w:w="1350" w:type="dxa"/>
          </w:tcPr>
          <w:p w:rsidR="006224C2" w:rsidRPr="00295E71" w:rsidP="00986889" w14:paraId="198ED197" w14:textId="77777777">
            <w:pPr>
              <w:keepLines/>
              <w:tabs>
                <w:tab w:val="left" w:pos="562"/>
              </w:tabs>
              <w:suppressAutoHyphens/>
              <w:rPr>
                <w:sz w:val="22"/>
                <w:szCs w:val="22"/>
              </w:rPr>
            </w:pPr>
            <w:r w:rsidRPr="00295E71">
              <w:rPr>
                <w:sz w:val="22"/>
                <w:szCs w:val="22"/>
              </w:rPr>
              <w:t>Placebo</w:t>
            </w:r>
          </w:p>
        </w:tc>
        <w:tc>
          <w:tcPr>
            <w:tcW w:w="900" w:type="dxa"/>
          </w:tcPr>
          <w:p w:rsidR="006224C2" w:rsidRPr="00295E71" w:rsidP="00986889" w14:paraId="170B50C5" w14:textId="77777777">
            <w:pPr>
              <w:keepLines/>
              <w:tabs>
                <w:tab w:val="left" w:pos="562"/>
              </w:tabs>
              <w:suppressAutoHyphens/>
              <w:jc w:val="right"/>
              <w:rPr>
                <w:sz w:val="22"/>
                <w:szCs w:val="22"/>
              </w:rPr>
            </w:pPr>
            <w:r w:rsidRPr="00910CE7">
              <w:rPr>
                <w:noProof/>
                <w:sz w:val="22"/>
                <w:lang w:val="en-GB"/>
              </w:rPr>
              <w:drawing>
                <wp:inline distT="0" distB="0" distL="0" distR="0">
                  <wp:extent cx="561340" cy="180340"/>
                  <wp:effectExtent l="0" t="0" r="0" b="0"/>
                  <wp:docPr id="73" name="Immagine 6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3" descr="Humira Uveitis Figure 5_2"/>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340" cy="180340"/>
                          </a:xfrm>
                          <a:prstGeom prst="rect">
                            <a:avLst/>
                          </a:prstGeom>
                          <a:noFill/>
                          <a:ln>
                            <a:noFill/>
                          </a:ln>
                        </pic:spPr>
                      </pic:pic>
                    </a:graphicData>
                  </a:graphic>
                </wp:inline>
              </w:drawing>
            </w:r>
          </w:p>
        </w:tc>
        <w:tc>
          <w:tcPr>
            <w:tcW w:w="1890" w:type="dxa"/>
          </w:tcPr>
          <w:p w:rsidR="006224C2" w:rsidRPr="00295E71" w:rsidP="00986889" w14:paraId="282650E9" w14:textId="77777777">
            <w:pPr>
              <w:keepLines/>
              <w:tabs>
                <w:tab w:val="left" w:pos="562"/>
              </w:tabs>
              <w:suppressAutoHyphens/>
              <w:rPr>
                <w:sz w:val="22"/>
                <w:szCs w:val="22"/>
              </w:rPr>
            </w:pPr>
            <w:r w:rsidRPr="00295E71">
              <w:rPr>
                <w:sz w:val="22"/>
                <w:szCs w:val="22"/>
              </w:rPr>
              <w:t>Adalimumab</w:t>
            </w:r>
          </w:p>
        </w:tc>
      </w:tr>
      <w:tr w14:paraId="35D1B36C" w14:textId="77777777">
        <w:tblPrEx>
          <w:tblW w:w="9481" w:type="dxa"/>
          <w:tblLayout w:type="fixed"/>
          <w:tblLook w:val="04A0"/>
        </w:tblPrEx>
        <w:trPr>
          <w:trHeight w:val="3869"/>
        </w:trPr>
        <w:tc>
          <w:tcPr>
            <w:tcW w:w="675" w:type="dxa"/>
            <w:textDirection w:val="btLr"/>
            <w:vAlign w:val="bottom"/>
          </w:tcPr>
          <w:p w:rsidR="006224C2" w:rsidRPr="00295E71" w:rsidP="00F57FE5" w14:paraId="10E77409" w14:textId="77777777">
            <w:pPr>
              <w:keepNext/>
              <w:keepLines/>
              <w:tabs>
                <w:tab w:val="left" w:pos="562"/>
              </w:tabs>
              <w:suppressAutoHyphens/>
              <w:jc w:val="center"/>
              <w:rPr>
                <w:sz w:val="22"/>
                <w:szCs w:val="22"/>
                <w:lang w:eastAsia="en-US"/>
              </w:rPr>
            </w:pPr>
            <w:r w:rsidRPr="00295E71">
              <w:rPr>
                <w:b/>
                <w:sz w:val="22"/>
                <w:szCs w:val="22"/>
                <w:lang w:eastAsia="en-US"/>
              </w:rPr>
              <w:t>TASSO DI FALLIMENTO DEL TRATTAMENTO (%)</w:t>
            </w:r>
          </w:p>
        </w:tc>
        <w:tc>
          <w:tcPr>
            <w:tcW w:w="8806" w:type="dxa"/>
            <w:gridSpan w:val="5"/>
            <w:vAlign w:val="bottom"/>
          </w:tcPr>
          <w:p w:rsidR="006224C2" w:rsidRPr="00295E71" w:rsidP="00F57FE5" w14:paraId="1A5B261C" w14:textId="77777777">
            <w:pPr>
              <w:keepNext/>
              <w:keepLines/>
              <w:tabs>
                <w:tab w:val="left" w:pos="562"/>
              </w:tabs>
              <w:suppressAutoHyphens/>
              <w:rPr>
                <w:sz w:val="22"/>
                <w:szCs w:val="22"/>
                <w:lang w:eastAsia="en-US"/>
              </w:rPr>
            </w:pPr>
            <w:r w:rsidRPr="00910CE7">
              <w:rPr>
                <w:noProof/>
                <w:sz w:val="22"/>
                <w:lang w:val="en-GB"/>
              </w:rPr>
              <w:drawing>
                <wp:inline distT="0" distB="0" distL="0" distR="0">
                  <wp:extent cx="5486400" cy="2182495"/>
                  <wp:effectExtent l="0" t="0" r="0" b="8255"/>
                  <wp:docPr id="74" name="Picture 39"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7" descr="Humira Uveitis Figure 5_7"/>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182495"/>
                          </a:xfrm>
                          <a:prstGeom prst="rect">
                            <a:avLst/>
                          </a:prstGeom>
                          <a:noFill/>
                          <a:ln>
                            <a:noFill/>
                          </a:ln>
                        </pic:spPr>
                      </pic:pic>
                    </a:graphicData>
                  </a:graphic>
                </wp:inline>
              </w:drawing>
            </w:r>
          </w:p>
        </w:tc>
      </w:tr>
      <w:tr w14:paraId="078C7D3D" w14:textId="77777777">
        <w:tblPrEx>
          <w:tblW w:w="9481" w:type="dxa"/>
          <w:tblLayout w:type="fixed"/>
          <w:tblLook w:val="04A0"/>
        </w:tblPrEx>
        <w:tc>
          <w:tcPr>
            <w:tcW w:w="675" w:type="dxa"/>
          </w:tcPr>
          <w:p w:rsidR="006224C2" w:rsidRPr="00295E71" w:rsidP="00F57FE5" w14:paraId="48DD195D" w14:textId="77777777">
            <w:pPr>
              <w:keepNext/>
              <w:keepLines/>
              <w:tabs>
                <w:tab w:val="left" w:pos="562"/>
              </w:tabs>
              <w:suppressAutoHyphens/>
              <w:rPr>
                <w:sz w:val="22"/>
                <w:szCs w:val="22"/>
                <w:lang w:eastAsia="en-US"/>
              </w:rPr>
            </w:pPr>
          </w:p>
        </w:tc>
        <w:tc>
          <w:tcPr>
            <w:tcW w:w="8806" w:type="dxa"/>
            <w:gridSpan w:val="5"/>
          </w:tcPr>
          <w:p w:rsidR="006224C2" w:rsidRPr="00295E71" w:rsidP="00F57FE5" w14:paraId="6522EA89" w14:textId="77777777">
            <w:pPr>
              <w:keepNext/>
              <w:keepLines/>
              <w:tabs>
                <w:tab w:val="left" w:pos="562"/>
              </w:tabs>
              <w:suppressAutoHyphens/>
              <w:jc w:val="center"/>
              <w:rPr>
                <w:b/>
                <w:sz w:val="22"/>
                <w:szCs w:val="22"/>
              </w:rPr>
            </w:pPr>
            <w:r w:rsidRPr="00295E71">
              <w:rPr>
                <w:b/>
                <w:sz w:val="22"/>
                <w:szCs w:val="22"/>
              </w:rPr>
              <w:t>TEMPO (MESI)</w:t>
            </w:r>
          </w:p>
        </w:tc>
      </w:tr>
      <w:tr w14:paraId="4A6901DF" w14:textId="77777777">
        <w:tblPrEx>
          <w:tblW w:w="9481" w:type="dxa"/>
          <w:tblLayout w:type="fixed"/>
          <w:tblLook w:val="04A0"/>
        </w:tblPrEx>
        <w:trPr>
          <w:trHeight w:val="369"/>
        </w:trPr>
        <w:tc>
          <w:tcPr>
            <w:tcW w:w="675" w:type="dxa"/>
          </w:tcPr>
          <w:p w:rsidR="006224C2" w:rsidRPr="00295E71" w:rsidP="00F57FE5" w14:paraId="33AD3D1E" w14:textId="77777777">
            <w:pPr>
              <w:keepNext/>
              <w:keepLines/>
              <w:tabs>
                <w:tab w:val="left" w:pos="562"/>
              </w:tabs>
              <w:suppressAutoHyphens/>
              <w:rPr>
                <w:sz w:val="22"/>
                <w:szCs w:val="22"/>
              </w:rPr>
            </w:pPr>
          </w:p>
        </w:tc>
        <w:tc>
          <w:tcPr>
            <w:tcW w:w="3496" w:type="dxa"/>
          </w:tcPr>
          <w:p w:rsidR="006224C2" w:rsidRPr="00295E71" w:rsidP="00F57FE5" w14:paraId="180E64F8" w14:textId="77777777">
            <w:pPr>
              <w:keepNext/>
              <w:keepLines/>
              <w:tabs>
                <w:tab w:val="left" w:pos="562"/>
              </w:tabs>
              <w:suppressAutoHyphens/>
              <w:rPr>
                <w:sz w:val="22"/>
                <w:szCs w:val="22"/>
              </w:rPr>
            </w:pPr>
            <w:r w:rsidRPr="00295E71">
              <w:rPr>
                <w:sz w:val="22"/>
                <w:szCs w:val="22"/>
              </w:rPr>
              <w:t>Studio UV II                   Trattamento</w:t>
            </w:r>
          </w:p>
        </w:tc>
        <w:tc>
          <w:tcPr>
            <w:tcW w:w="1170" w:type="dxa"/>
          </w:tcPr>
          <w:p w:rsidR="006224C2" w:rsidRPr="00295E71" w:rsidP="00F57FE5" w14:paraId="7B4432FD" w14:textId="77777777">
            <w:pPr>
              <w:keepNext/>
              <w:keepLines/>
              <w:tabs>
                <w:tab w:val="left" w:pos="562"/>
              </w:tabs>
              <w:suppressAutoHyphens/>
              <w:jc w:val="right"/>
              <w:rPr>
                <w:sz w:val="22"/>
                <w:szCs w:val="22"/>
              </w:rPr>
            </w:pPr>
            <w:r w:rsidRPr="00910CE7">
              <w:rPr>
                <w:noProof/>
                <w:sz w:val="22"/>
                <w:lang w:val="en-GB"/>
              </w:rPr>
              <w:drawing>
                <wp:inline distT="0" distB="0" distL="0" distR="0">
                  <wp:extent cx="394970" cy="180340"/>
                  <wp:effectExtent l="0" t="0" r="0" b="0"/>
                  <wp:docPr id="75" name="Immagine 6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5" descr="Humira Uveitis Figure 5_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970" cy="180340"/>
                          </a:xfrm>
                          <a:prstGeom prst="rect">
                            <a:avLst/>
                          </a:prstGeom>
                          <a:noFill/>
                          <a:ln>
                            <a:noFill/>
                          </a:ln>
                        </pic:spPr>
                      </pic:pic>
                    </a:graphicData>
                  </a:graphic>
                </wp:inline>
              </w:drawing>
            </w:r>
          </w:p>
        </w:tc>
        <w:tc>
          <w:tcPr>
            <w:tcW w:w="1350" w:type="dxa"/>
          </w:tcPr>
          <w:p w:rsidR="006224C2" w:rsidRPr="00295E71" w:rsidP="00F57FE5" w14:paraId="02651D42" w14:textId="77777777">
            <w:pPr>
              <w:keepNext/>
              <w:keepLines/>
              <w:tabs>
                <w:tab w:val="left" w:pos="562"/>
              </w:tabs>
              <w:suppressAutoHyphens/>
              <w:rPr>
                <w:sz w:val="22"/>
                <w:szCs w:val="22"/>
              </w:rPr>
            </w:pPr>
            <w:r w:rsidRPr="00295E71">
              <w:rPr>
                <w:sz w:val="22"/>
                <w:szCs w:val="22"/>
              </w:rPr>
              <w:t>Placebo</w:t>
            </w:r>
          </w:p>
        </w:tc>
        <w:tc>
          <w:tcPr>
            <w:tcW w:w="900" w:type="dxa"/>
          </w:tcPr>
          <w:p w:rsidR="006224C2" w:rsidRPr="00295E71" w:rsidP="00F57FE5" w14:paraId="7C201E80" w14:textId="77777777">
            <w:pPr>
              <w:keepNext/>
              <w:keepLines/>
              <w:tabs>
                <w:tab w:val="left" w:pos="562"/>
              </w:tabs>
              <w:suppressAutoHyphens/>
              <w:jc w:val="right"/>
              <w:rPr>
                <w:sz w:val="22"/>
                <w:szCs w:val="22"/>
              </w:rPr>
            </w:pPr>
            <w:r w:rsidRPr="00910CE7">
              <w:rPr>
                <w:noProof/>
                <w:sz w:val="22"/>
                <w:lang w:val="en-GB"/>
              </w:rPr>
              <w:drawing>
                <wp:inline distT="0" distB="0" distL="0" distR="0">
                  <wp:extent cx="561340" cy="180340"/>
                  <wp:effectExtent l="0" t="0" r="0" b="0"/>
                  <wp:docPr id="76" name="Immagine 6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6" descr="Humira Uveitis Figure 5_2"/>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340" cy="180340"/>
                          </a:xfrm>
                          <a:prstGeom prst="rect">
                            <a:avLst/>
                          </a:prstGeom>
                          <a:noFill/>
                          <a:ln>
                            <a:noFill/>
                          </a:ln>
                        </pic:spPr>
                      </pic:pic>
                    </a:graphicData>
                  </a:graphic>
                </wp:inline>
              </w:drawing>
            </w:r>
          </w:p>
        </w:tc>
        <w:tc>
          <w:tcPr>
            <w:tcW w:w="1890" w:type="dxa"/>
          </w:tcPr>
          <w:p w:rsidR="006224C2" w:rsidRPr="00295E71" w:rsidP="00F57FE5" w14:paraId="773F172D" w14:textId="77777777">
            <w:pPr>
              <w:keepNext/>
              <w:keepLines/>
              <w:tabs>
                <w:tab w:val="left" w:pos="562"/>
              </w:tabs>
              <w:suppressAutoHyphens/>
              <w:rPr>
                <w:sz w:val="22"/>
                <w:szCs w:val="22"/>
              </w:rPr>
            </w:pPr>
            <w:r w:rsidRPr="00295E71">
              <w:rPr>
                <w:sz w:val="22"/>
                <w:szCs w:val="22"/>
              </w:rPr>
              <w:t>Adalimumab</w:t>
            </w:r>
          </w:p>
        </w:tc>
      </w:tr>
      <w:tr w14:paraId="6D7B4D2B" w14:textId="77777777">
        <w:tblPrEx>
          <w:tblW w:w="9481" w:type="dxa"/>
          <w:tblLayout w:type="fixed"/>
          <w:tblLook w:val="04A0"/>
        </w:tblPrEx>
        <w:trPr>
          <w:trHeight w:val="629"/>
        </w:trPr>
        <w:tc>
          <w:tcPr>
            <w:tcW w:w="9481" w:type="dxa"/>
            <w:gridSpan w:val="6"/>
            <w:vAlign w:val="center"/>
          </w:tcPr>
          <w:p w:rsidR="006224C2" w:rsidRPr="00295E71" w:rsidP="00F57FE5" w14:paraId="3979B0D6" w14:textId="77777777">
            <w:pPr>
              <w:keepNext/>
              <w:keepLines/>
              <w:tabs>
                <w:tab w:val="left" w:pos="562"/>
              </w:tabs>
              <w:suppressAutoHyphens/>
              <w:rPr>
                <w:sz w:val="22"/>
                <w:szCs w:val="22"/>
                <w:lang w:eastAsia="en-US"/>
              </w:rPr>
            </w:pPr>
            <w:r w:rsidRPr="00295E71">
              <w:rPr>
                <w:sz w:val="22"/>
                <w:szCs w:val="22"/>
                <w:lang w:eastAsia="en-US"/>
              </w:rPr>
              <w:t>Nota: P = Placebo (Numero di eventi/Numero a rischio); A = HUMIRA (Numero di</w:t>
            </w:r>
          </w:p>
          <w:p w:rsidR="006224C2" w:rsidRPr="00295E71" w:rsidP="00F57FE5" w14:paraId="0C81E001" w14:textId="77777777">
            <w:pPr>
              <w:keepNext/>
              <w:keepLines/>
              <w:tabs>
                <w:tab w:val="left" w:pos="562"/>
              </w:tabs>
              <w:suppressAutoHyphens/>
              <w:rPr>
                <w:sz w:val="22"/>
                <w:szCs w:val="22"/>
              </w:rPr>
            </w:pPr>
            <w:r w:rsidRPr="00295E71">
              <w:rPr>
                <w:sz w:val="22"/>
                <w:szCs w:val="22"/>
              </w:rPr>
              <w:t>eventi/Numero a rischio).</w:t>
            </w:r>
          </w:p>
        </w:tc>
      </w:tr>
    </w:tbl>
    <w:p w:rsidR="006224C2" w:rsidRPr="00295E71" w14:paraId="2E4C5D6A" w14:textId="77777777">
      <w:pPr>
        <w:tabs>
          <w:tab w:val="left" w:pos="562"/>
        </w:tabs>
        <w:suppressAutoHyphens/>
        <w:rPr>
          <w:sz w:val="22"/>
          <w:szCs w:val="22"/>
        </w:rPr>
      </w:pPr>
    </w:p>
    <w:p w:rsidR="006224C2" w:rsidRPr="00295E71" w14:paraId="42A86979" w14:textId="77777777">
      <w:pPr>
        <w:tabs>
          <w:tab w:val="left" w:pos="562"/>
        </w:tabs>
        <w:suppressAutoHyphens/>
        <w:rPr>
          <w:sz w:val="22"/>
          <w:szCs w:val="22"/>
          <w:lang w:eastAsia="en-US"/>
        </w:rPr>
      </w:pPr>
      <w:r w:rsidRPr="00295E71">
        <w:rPr>
          <w:sz w:val="22"/>
          <w:szCs w:val="22"/>
          <w:lang w:eastAsia="en-US"/>
        </w:rPr>
        <w:t>Nello Studio UV I sono state osservate differenze statisticamente significative a favore di adalimumab rispetto al placebo per ogni componente del fallimento del trattamento. Nello Studio UV II sono state osservate differenze statisticamente significative solo per l’acuità visiva, mentre gli altri componenti erano numericamente a favore di adalimumab.</w:t>
      </w:r>
    </w:p>
    <w:p w:rsidR="006224C2" w:rsidRPr="00295E71" w14:paraId="51E3291D" w14:textId="77777777">
      <w:pPr>
        <w:tabs>
          <w:tab w:val="left" w:pos="562"/>
        </w:tabs>
        <w:suppressAutoHyphens/>
        <w:rPr>
          <w:sz w:val="22"/>
          <w:szCs w:val="22"/>
          <w:lang w:eastAsia="en-US"/>
        </w:rPr>
      </w:pPr>
    </w:p>
    <w:p w:rsidR="00A65016" w:rsidP="003915EA" w14:paraId="12AD156E" w14:textId="77777777">
      <w:pPr>
        <w:rPr>
          <w:sz w:val="22"/>
          <w:szCs w:val="22"/>
          <w:lang w:eastAsia="en-US"/>
        </w:rPr>
      </w:pPr>
      <w:r w:rsidRPr="00295E71">
        <w:rPr>
          <w:sz w:val="22"/>
          <w:szCs w:val="22"/>
          <w:lang w:eastAsia="en-US"/>
        </w:rPr>
        <w:t xml:space="preserve">Dei </w:t>
      </w:r>
      <w:r w:rsidR="00D43E59">
        <w:rPr>
          <w:sz w:val="22"/>
          <w:szCs w:val="22"/>
          <w:lang w:eastAsia="en-US"/>
        </w:rPr>
        <w:t>424</w:t>
      </w:r>
      <w:r w:rsidRPr="00295E71">
        <w:rPr>
          <w:sz w:val="22"/>
          <w:szCs w:val="22"/>
          <w:lang w:eastAsia="en-US"/>
        </w:rPr>
        <w:t xml:space="preserve"> soggetti inclusi nell’estensione a lungo termine non controllata degli Studi UV I ed UV II, </w:t>
      </w:r>
      <w:r w:rsidR="00D43E59">
        <w:rPr>
          <w:sz w:val="22"/>
          <w:szCs w:val="22"/>
          <w:lang w:eastAsia="en-US"/>
        </w:rPr>
        <w:t>60</w:t>
      </w:r>
      <w:r w:rsidRPr="00295E71">
        <w:rPr>
          <w:sz w:val="22"/>
          <w:szCs w:val="22"/>
          <w:lang w:eastAsia="en-US"/>
        </w:rPr>
        <w:t xml:space="preserve"> soggetti sono stati considerati non eleggibili (ad es. </w:t>
      </w:r>
      <w:r w:rsidR="00D43E59">
        <w:rPr>
          <w:sz w:val="22"/>
          <w:szCs w:val="22"/>
          <w:lang w:eastAsia="en-US"/>
        </w:rPr>
        <w:t xml:space="preserve">a causa di deviazioni o per </w:t>
      </w:r>
      <w:r w:rsidRPr="00295E71">
        <w:rPr>
          <w:sz w:val="22"/>
          <w:szCs w:val="22"/>
          <w:lang w:eastAsia="en-US"/>
        </w:rPr>
        <w:t xml:space="preserve">complicazioni secondarie alla retinopatia diabetica, a causa di intervento chirurgico di cataratta o vitrectomia) e sono stati esclusi dall’analisi primaria di efficacia. Dei </w:t>
      </w:r>
      <w:r w:rsidR="00D43E59">
        <w:rPr>
          <w:sz w:val="22"/>
          <w:szCs w:val="22"/>
          <w:lang w:eastAsia="en-US"/>
        </w:rPr>
        <w:t>364</w:t>
      </w:r>
      <w:r w:rsidRPr="00295E71">
        <w:rPr>
          <w:sz w:val="22"/>
          <w:szCs w:val="22"/>
          <w:lang w:eastAsia="en-US"/>
        </w:rPr>
        <w:t xml:space="preserve"> pazienti rimanenti, </w:t>
      </w:r>
      <w:r w:rsidR="00D43E59">
        <w:rPr>
          <w:sz w:val="22"/>
          <w:szCs w:val="22"/>
          <w:lang w:eastAsia="en-US"/>
        </w:rPr>
        <w:t>269</w:t>
      </w:r>
      <w:r w:rsidRPr="00295E71">
        <w:rPr>
          <w:sz w:val="22"/>
          <w:szCs w:val="22"/>
          <w:lang w:eastAsia="en-US"/>
        </w:rPr>
        <w:t xml:space="preserve"> pazienti </w:t>
      </w:r>
      <w:r w:rsidRPr="005641FA">
        <w:rPr>
          <w:sz w:val="22"/>
          <w:szCs w:val="22"/>
          <w:lang w:eastAsia="en-US"/>
        </w:rPr>
        <w:t>valutabili</w:t>
      </w:r>
      <w:r w:rsidRPr="00295E71">
        <w:rPr>
          <w:sz w:val="22"/>
          <w:szCs w:val="22"/>
          <w:lang w:eastAsia="en-US"/>
        </w:rPr>
        <w:t xml:space="preserve"> </w:t>
      </w:r>
      <w:r w:rsidR="00D43E59">
        <w:rPr>
          <w:sz w:val="22"/>
          <w:szCs w:val="22"/>
          <w:lang w:eastAsia="en-US"/>
        </w:rPr>
        <w:t xml:space="preserve">(74%) </w:t>
      </w:r>
      <w:r w:rsidRPr="00295E71">
        <w:rPr>
          <w:sz w:val="22"/>
          <w:szCs w:val="22"/>
          <w:lang w:eastAsia="en-US"/>
        </w:rPr>
        <w:t xml:space="preserve">hanno raggiunto 78 settimane di trattamento in aperto con adalimumab. In base all’approccio utilizzato per l’osservazione dei dati, </w:t>
      </w:r>
      <w:r w:rsidR="00D43E59">
        <w:rPr>
          <w:sz w:val="22"/>
          <w:szCs w:val="22"/>
          <w:lang w:eastAsia="en-US"/>
        </w:rPr>
        <w:t>216</w:t>
      </w:r>
      <w:r w:rsidRPr="00295E71">
        <w:rPr>
          <w:sz w:val="22"/>
          <w:szCs w:val="22"/>
          <w:lang w:eastAsia="en-US"/>
        </w:rPr>
        <w:t xml:space="preserve"> (80,</w:t>
      </w:r>
      <w:r w:rsidR="00D43E59">
        <w:rPr>
          <w:sz w:val="22"/>
          <w:szCs w:val="22"/>
          <w:lang w:eastAsia="en-US"/>
        </w:rPr>
        <w:t>3</w:t>
      </w:r>
      <w:r w:rsidRPr="00295E71">
        <w:rPr>
          <w:sz w:val="22"/>
          <w:szCs w:val="22"/>
          <w:lang w:eastAsia="en-US"/>
        </w:rPr>
        <w:t xml:space="preserve">%) sono stati in quiescenza (nessuna lesione infiammatoria attiva, grado di cellule AC ≤ 0,5+, grado VH ≤ 0,5+) con una dose concomitante di steroidi ≤ 7,5 mg al giorno, e </w:t>
      </w:r>
      <w:r w:rsidR="00D43E59">
        <w:rPr>
          <w:sz w:val="22"/>
          <w:szCs w:val="22"/>
          <w:lang w:eastAsia="en-US"/>
        </w:rPr>
        <w:t>178</w:t>
      </w:r>
      <w:r w:rsidRPr="00295E71">
        <w:rPr>
          <w:sz w:val="22"/>
          <w:szCs w:val="22"/>
          <w:lang w:eastAsia="en-US"/>
        </w:rPr>
        <w:t xml:space="preserve"> (66,</w:t>
      </w:r>
      <w:r w:rsidR="00D43E59">
        <w:rPr>
          <w:sz w:val="22"/>
          <w:szCs w:val="22"/>
          <w:lang w:eastAsia="en-US"/>
        </w:rPr>
        <w:t>2</w:t>
      </w:r>
      <w:r w:rsidRPr="00295E71">
        <w:rPr>
          <w:sz w:val="22"/>
          <w:szCs w:val="22"/>
          <w:lang w:eastAsia="en-US"/>
        </w:rPr>
        <w:t>%) sono stati in quiescenza senza trattamento steroideo. BCVA era migliorat</w:t>
      </w:r>
      <w:r w:rsidR="004C4E1E">
        <w:rPr>
          <w:sz w:val="22"/>
          <w:szCs w:val="22"/>
          <w:lang w:eastAsia="en-US"/>
        </w:rPr>
        <w:t>a</w:t>
      </w:r>
      <w:r w:rsidRPr="00295E71">
        <w:rPr>
          <w:sz w:val="22"/>
          <w:szCs w:val="22"/>
          <w:lang w:eastAsia="en-US"/>
        </w:rPr>
        <w:t xml:space="preserve"> o mantenut</w:t>
      </w:r>
      <w:r w:rsidR="004C4E1E">
        <w:rPr>
          <w:sz w:val="22"/>
          <w:szCs w:val="22"/>
          <w:lang w:eastAsia="en-US"/>
        </w:rPr>
        <w:t>a</w:t>
      </w:r>
      <w:r w:rsidRPr="00295E71">
        <w:rPr>
          <w:sz w:val="22"/>
          <w:szCs w:val="22"/>
          <w:lang w:eastAsia="en-US"/>
        </w:rPr>
        <w:t xml:space="preserve"> (deteriorazione &lt; 5 lettere) nell’88,</w:t>
      </w:r>
      <w:r w:rsidR="00D43E59">
        <w:rPr>
          <w:sz w:val="22"/>
          <w:szCs w:val="22"/>
          <w:lang w:eastAsia="en-US"/>
        </w:rPr>
        <w:t>6</w:t>
      </w:r>
      <w:r w:rsidRPr="00295E71">
        <w:rPr>
          <w:sz w:val="22"/>
          <w:szCs w:val="22"/>
          <w:lang w:eastAsia="en-US"/>
        </w:rPr>
        <w:t xml:space="preserve">% degli occhi alla settimana 78. </w:t>
      </w:r>
      <w:r w:rsidRPr="00004788" w:rsidR="00D43E59">
        <w:rPr>
          <w:sz w:val="22"/>
          <w:szCs w:val="22"/>
          <w:lang w:eastAsia="en-US"/>
        </w:rPr>
        <w:t xml:space="preserve">I dati oltre la settimana 78 </w:t>
      </w:r>
      <w:r w:rsidR="00D43E59">
        <w:rPr>
          <w:sz w:val="22"/>
          <w:szCs w:val="22"/>
          <w:lang w:eastAsia="en-US"/>
        </w:rPr>
        <w:t>sono stati</w:t>
      </w:r>
      <w:r w:rsidRPr="00004788" w:rsidR="00D43E59">
        <w:rPr>
          <w:sz w:val="22"/>
          <w:szCs w:val="22"/>
          <w:lang w:eastAsia="en-US"/>
        </w:rPr>
        <w:t xml:space="preserve"> generalmente coerenti con questi risultati, ma il numero di soggetti arruolati è diminuito dopo questo periodo</w:t>
      </w:r>
      <w:r w:rsidR="00D43E59">
        <w:rPr>
          <w:sz w:val="22"/>
          <w:szCs w:val="22"/>
          <w:lang w:eastAsia="en-US"/>
        </w:rPr>
        <w:t>.</w:t>
      </w:r>
      <w:r w:rsidRPr="00004788" w:rsidR="00D43E59">
        <w:rPr>
          <w:sz w:val="22"/>
          <w:szCs w:val="22"/>
          <w:lang w:eastAsia="en-US"/>
        </w:rPr>
        <w:t xml:space="preserve"> </w:t>
      </w:r>
      <w:r w:rsidR="00D43E59">
        <w:rPr>
          <w:sz w:val="22"/>
          <w:szCs w:val="22"/>
          <w:lang w:eastAsia="en-US"/>
        </w:rPr>
        <w:t>Complessivamente, t</w:t>
      </w:r>
      <w:r w:rsidRPr="00295E71">
        <w:rPr>
          <w:sz w:val="22"/>
          <w:szCs w:val="22"/>
          <w:lang w:eastAsia="en-US"/>
        </w:rPr>
        <w:t xml:space="preserve">ra i pazienti che hanno interrotto lo studio prima della settimana 78, </w:t>
      </w:r>
      <w:r w:rsidR="00D43E59">
        <w:rPr>
          <w:sz w:val="22"/>
          <w:szCs w:val="22"/>
          <w:lang w:eastAsia="en-US"/>
        </w:rPr>
        <w:t>il 18</w:t>
      </w:r>
      <w:r w:rsidRPr="00295E71">
        <w:rPr>
          <w:sz w:val="22"/>
          <w:szCs w:val="22"/>
          <w:lang w:eastAsia="en-US"/>
        </w:rPr>
        <w:t>% ha interrotto a causa di eventi avversi, e</w:t>
      </w:r>
      <w:r w:rsidR="00D43E59">
        <w:rPr>
          <w:sz w:val="22"/>
          <w:szCs w:val="22"/>
          <w:lang w:eastAsia="en-US"/>
        </w:rPr>
        <w:t>l’8</w:t>
      </w:r>
      <w:r w:rsidRPr="00295E71">
        <w:rPr>
          <w:sz w:val="22"/>
          <w:szCs w:val="22"/>
          <w:lang w:eastAsia="en-US"/>
        </w:rPr>
        <w:t>% a causa di risposta insufficiente al trattamento con adalimumab.</w:t>
      </w:r>
    </w:p>
    <w:p w:rsidR="008F1AF6" w:rsidRPr="00295E71" w14:paraId="151BD2EA" w14:textId="77777777">
      <w:pPr>
        <w:tabs>
          <w:tab w:val="left" w:pos="562"/>
        </w:tabs>
        <w:suppressAutoHyphens/>
        <w:rPr>
          <w:sz w:val="22"/>
          <w:szCs w:val="22"/>
          <w:lang w:eastAsia="en-US"/>
        </w:rPr>
      </w:pPr>
    </w:p>
    <w:p w:rsidR="006224C2" w:rsidRPr="00295E71" w14:paraId="67770617" w14:textId="77777777">
      <w:pPr>
        <w:tabs>
          <w:tab w:val="left" w:pos="562"/>
        </w:tabs>
        <w:suppressAutoHyphens/>
        <w:rPr>
          <w:i/>
          <w:sz w:val="22"/>
          <w:szCs w:val="22"/>
          <w:u w:val="single"/>
          <w:lang w:eastAsia="en-US"/>
        </w:rPr>
      </w:pPr>
      <w:r w:rsidRPr="00295E71">
        <w:rPr>
          <w:i/>
          <w:sz w:val="22"/>
          <w:szCs w:val="22"/>
          <w:u w:val="single"/>
          <w:lang w:eastAsia="en-US"/>
        </w:rPr>
        <w:t>Qualità della vita</w:t>
      </w:r>
    </w:p>
    <w:p w:rsidR="006224C2" w:rsidRPr="00295E71" w14:paraId="5C318B34" w14:textId="77777777">
      <w:pPr>
        <w:tabs>
          <w:tab w:val="left" w:pos="562"/>
        </w:tabs>
        <w:suppressAutoHyphens/>
        <w:rPr>
          <w:i/>
          <w:sz w:val="22"/>
          <w:szCs w:val="22"/>
          <w:u w:val="single"/>
          <w:lang w:eastAsia="en-US"/>
        </w:rPr>
      </w:pPr>
    </w:p>
    <w:p w:rsidR="006224C2" w:rsidRPr="00296E2B" w14:paraId="73B6247A" w14:textId="77777777">
      <w:pPr>
        <w:tabs>
          <w:tab w:val="left" w:pos="567"/>
          <w:tab w:val="left" w:pos="1294"/>
        </w:tabs>
        <w:autoSpaceDE w:val="0"/>
        <w:autoSpaceDN w:val="0"/>
        <w:adjustRightInd w:val="0"/>
        <w:jc w:val="both"/>
        <w:rPr>
          <w:color w:val="000000"/>
          <w:sz w:val="22"/>
          <w:szCs w:val="22"/>
          <w:u w:val="single"/>
        </w:rPr>
      </w:pPr>
      <w:r w:rsidRPr="00295E71">
        <w:rPr>
          <w:sz w:val="22"/>
          <w:szCs w:val="22"/>
          <w:lang w:eastAsia="en-US"/>
        </w:rPr>
        <w:t xml:space="preserve">Gli esiti riferiti dal paziente per quanto riguarda la funzione visiva sono stati misurati in entrambi gli studi clinici, utilizzando la scala NEI VFQ-25. Humira è stato numericamente favorito per la maggior parte dei punteggi parziali con differenze medie statisticamente significative per la visione generale, il dolore oculare, la visione da vicino, la salute mentale e il punteggio totale nello Studio UV I e per la visione generale e la salute mentale nello Studio UV II. Gli effetti legati alla visione non erano </w:t>
      </w:r>
      <w:r w:rsidRPr="00296E2B">
        <w:rPr>
          <w:sz w:val="22"/>
          <w:szCs w:val="22"/>
          <w:lang w:eastAsia="en-US"/>
        </w:rPr>
        <w:t>numericamente a favore di Humira per la visione del colore nello Studio UV I e per la visione del colore, la visione periferica e la visione da vicino nello Studio UV II.</w:t>
      </w:r>
    </w:p>
    <w:p w:rsidR="00564FFA" w:rsidRPr="00296E2B" w14:paraId="2DA24D50" w14:textId="77777777">
      <w:pPr>
        <w:keepNext/>
        <w:rPr>
          <w:color w:val="000000"/>
          <w:sz w:val="22"/>
          <w:szCs w:val="22"/>
          <w:u w:val="single"/>
        </w:rPr>
      </w:pPr>
    </w:p>
    <w:p w:rsidR="006224C2" w:rsidRPr="00295E71" w14:paraId="467CCC9B" w14:textId="77777777">
      <w:pPr>
        <w:keepNext/>
        <w:rPr>
          <w:color w:val="000000"/>
          <w:sz w:val="22"/>
          <w:szCs w:val="22"/>
          <w:u w:val="single"/>
        </w:rPr>
      </w:pPr>
      <w:r w:rsidRPr="00296E2B">
        <w:rPr>
          <w:color w:val="000000"/>
          <w:sz w:val="22"/>
          <w:szCs w:val="22"/>
          <w:u w:val="single"/>
        </w:rPr>
        <w:t>Immunogenicità</w:t>
      </w:r>
    </w:p>
    <w:p w:rsidR="006224C2" w:rsidRPr="00295E71" w14:paraId="3CC22848" w14:textId="77777777">
      <w:pPr>
        <w:keepNext/>
        <w:tabs>
          <w:tab w:val="left" w:pos="567"/>
          <w:tab w:val="left" w:pos="1294"/>
        </w:tabs>
        <w:autoSpaceDE w:val="0"/>
        <w:autoSpaceDN w:val="0"/>
        <w:adjustRightInd w:val="0"/>
        <w:jc w:val="both"/>
        <w:rPr>
          <w:color w:val="000000"/>
          <w:sz w:val="22"/>
          <w:szCs w:val="22"/>
          <w:u w:val="single"/>
        </w:rPr>
      </w:pPr>
    </w:p>
    <w:p w:rsidR="006224C2" w:rsidRPr="00295E71" w14:paraId="7F90210D" w14:textId="77777777">
      <w:pPr>
        <w:keepNext/>
        <w:tabs>
          <w:tab w:val="left" w:pos="567"/>
          <w:tab w:val="left" w:pos="1294"/>
        </w:tabs>
        <w:autoSpaceDE w:val="0"/>
        <w:autoSpaceDN w:val="0"/>
        <w:adjustRightInd w:val="0"/>
        <w:jc w:val="both"/>
        <w:rPr>
          <w:color w:val="000000"/>
          <w:sz w:val="22"/>
          <w:szCs w:val="22"/>
        </w:rPr>
      </w:pPr>
      <w:r w:rsidRPr="00295E71">
        <w:rPr>
          <w:color w:val="000000"/>
          <w:sz w:val="22"/>
          <w:szCs w:val="22"/>
        </w:rPr>
        <w:t>La formazione di anticorpi anti-adalimumab è associata all’aumento della clearance ed alla riduzione dell’efficacia di adalimumab. Non esiste una correlazione evidente tra la presenza di anticorpi anti-adalimumab e l’insorgenza di eventi avversi.</w:t>
      </w:r>
    </w:p>
    <w:p w:rsidR="006224C2" w:rsidRPr="00295E71" w14:paraId="5750FA30" w14:textId="77777777">
      <w:pPr>
        <w:keepNext/>
        <w:tabs>
          <w:tab w:val="left" w:pos="567"/>
          <w:tab w:val="left" w:pos="1294"/>
        </w:tabs>
        <w:autoSpaceDE w:val="0"/>
        <w:autoSpaceDN w:val="0"/>
        <w:adjustRightInd w:val="0"/>
        <w:jc w:val="both"/>
        <w:rPr>
          <w:color w:val="000000"/>
          <w:sz w:val="22"/>
          <w:szCs w:val="22"/>
          <w:u w:val="single"/>
        </w:rPr>
      </w:pPr>
    </w:p>
    <w:p w:rsidR="006224C2" w:rsidRPr="00295E71" w14:paraId="589AF70D"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I pazienti degli studi </w:t>
      </w:r>
      <w:r w:rsidRPr="00295E71" w:rsidR="000455A9">
        <w:rPr>
          <w:color w:val="000000"/>
          <w:sz w:val="22"/>
          <w:szCs w:val="22"/>
        </w:rPr>
        <w:t xml:space="preserve">I, II e III </w:t>
      </w:r>
      <w:r w:rsidRPr="00295E71">
        <w:rPr>
          <w:color w:val="000000"/>
          <w:sz w:val="22"/>
          <w:szCs w:val="22"/>
        </w:rPr>
        <w:t xml:space="preserve">sull’artrite reumatoide sono stati esaminati a vari intervalli di tempo per valutare gli anticorpi anti-adalimumab durante il periodo da 6 a 12 mesi. Negli studi clinici </w:t>
      </w:r>
      <w:r w:rsidRPr="00020442" w:rsidR="004C4E1E">
        <w:rPr>
          <w:color w:val="000000"/>
          <w:sz w:val="22"/>
          <w:szCs w:val="22"/>
        </w:rPr>
        <w:t>registrativi</w:t>
      </w:r>
      <w:r w:rsidRPr="00295E71">
        <w:rPr>
          <w:color w:val="000000"/>
          <w:sz w:val="22"/>
          <w:szCs w:val="22"/>
        </w:rPr>
        <w:t xml:space="preserve">, </w:t>
      </w:r>
      <w:r w:rsidRPr="00295E71">
        <w:rPr>
          <w:color w:val="000000"/>
          <w:sz w:val="22"/>
          <w:szCs w:val="22"/>
        </w:rPr>
        <w:t>gli anticorpi anti-adalimumab sono stati riscontrati nel 5,5% (58/1053)</w:t>
      </w:r>
      <w:r w:rsidRPr="00295E71" w:rsidR="00E631A0">
        <w:rPr>
          <w:color w:val="000000"/>
          <w:sz w:val="22"/>
          <w:szCs w:val="22"/>
        </w:rPr>
        <w:t xml:space="preserve"> </w:t>
      </w:r>
      <w:r w:rsidRPr="00295E71">
        <w:rPr>
          <w:color w:val="000000"/>
          <w:sz w:val="22"/>
          <w:szCs w:val="22"/>
        </w:rPr>
        <w:t>dei pazienti trattati con adalimumab, rispetto allo 0,5% (2/370)</w:t>
      </w:r>
      <w:r w:rsidRPr="00295E71" w:rsidR="00540717">
        <w:rPr>
          <w:color w:val="000000"/>
          <w:sz w:val="22"/>
          <w:szCs w:val="22"/>
        </w:rPr>
        <w:t xml:space="preserve"> </w:t>
      </w:r>
      <w:r w:rsidRPr="00295E71">
        <w:rPr>
          <w:color w:val="000000"/>
          <w:sz w:val="22"/>
          <w:szCs w:val="22"/>
        </w:rPr>
        <w:t>dei pazienti trattati con placebo. Nei pazienti a cui non è stato somministrato contemporaneamente il metotressato, l’incidenza è stata del 12,4%, rispetto allo 0,6% quando adalimumab è stato usato in combinazione con metotressato.</w:t>
      </w:r>
    </w:p>
    <w:p w:rsidR="006224C2" w:rsidRPr="00295E71" w14:paraId="4C0491FA" w14:textId="77777777">
      <w:pPr>
        <w:tabs>
          <w:tab w:val="left" w:pos="567"/>
          <w:tab w:val="left" w:pos="1294"/>
        </w:tabs>
        <w:autoSpaceDE w:val="0"/>
        <w:autoSpaceDN w:val="0"/>
        <w:adjustRightInd w:val="0"/>
        <w:jc w:val="both"/>
        <w:rPr>
          <w:color w:val="000000"/>
          <w:sz w:val="22"/>
          <w:szCs w:val="22"/>
        </w:rPr>
      </w:pPr>
    </w:p>
    <w:p w:rsidR="000C2C3B" w:rsidRPr="00295E71" w:rsidP="000C2C3B" w14:paraId="6660FF02"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Nei pazienti affetti da artrite idiopatica giovanile poliarticolare di età compresa tra 4 e 17 anni, sono stati identificati anticorpi anti-adalimumab nel 15,8% dei pazienti (27/171) trattati con adalimumab. Nei pazienti ai quali non è stato somministrato </w:t>
      </w:r>
      <w:r w:rsidRPr="00020442" w:rsidR="004C4E1E">
        <w:rPr>
          <w:color w:val="000000"/>
          <w:sz w:val="22"/>
          <w:szCs w:val="22"/>
        </w:rPr>
        <w:t xml:space="preserve">contemporaneamente </w:t>
      </w:r>
      <w:r w:rsidRPr="00295E71">
        <w:rPr>
          <w:color w:val="000000"/>
          <w:sz w:val="22"/>
          <w:szCs w:val="22"/>
        </w:rPr>
        <w:t>metotressato, l’incidenza è stata pari al 25,6%</w:t>
      </w:r>
      <w:r w:rsidRPr="00295E71" w:rsidR="007F1EB6">
        <w:rPr>
          <w:color w:val="000000"/>
          <w:sz w:val="22"/>
          <w:szCs w:val="22"/>
        </w:rPr>
        <w:t xml:space="preserve"> </w:t>
      </w:r>
      <w:r w:rsidRPr="00295E71">
        <w:rPr>
          <w:color w:val="000000"/>
          <w:sz w:val="22"/>
          <w:szCs w:val="22"/>
        </w:rPr>
        <w:t xml:space="preserve">(22/86) rispetto al 5,9% (5/85), quando adalimumab è stato utilizzato in associazione al metotressato. In pazienti con artrite idiopatica giovanile poliarticolare da 2 a &lt; 4 anni di età o con 4 anni </w:t>
      </w:r>
      <w:r w:rsidR="004C4E1E">
        <w:rPr>
          <w:color w:val="000000"/>
          <w:sz w:val="22"/>
          <w:szCs w:val="22"/>
        </w:rPr>
        <w:t xml:space="preserve">o più </w:t>
      </w:r>
      <w:r w:rsidRPr="00295E71">
        <w:rPr>
          <w:color w:val="000000"/>
          <w:sz w:val="22"/>
          <w:szCs w:val="22"/>
        </w:rPr>
        <w:t>di età ed un peso inferiore ai 15 kg, sono stati identificati anticorpi anti-adalimumab nel 7% (1/15) dei pazienti, e l’unico paziente era stato sottoposto alla terapia concomitante con metotressato.</w:t>
      </w:r>
    </w:p>
    <w:p w:rsidR="006224C2" w:rsidRPr="00295E71" w14:paraId="3223CBBD" w14:textId="77777777">
      <w:pPr>
        <w:tabs>
          <w:tab w:val="left" w:pos="567"/>
          <w:tab w:val="left" w:pos="1294"/>
        </w:tabs>
        <w:autoSpaceDE w:val="0"/>
        <w:autoSpaceDN w:val="0"/>
        <w:adjustRightInd w:val="0"/>
        <w:jc w:val="both"/>
        <w:rPr>
          <w:color w:val="000000"/>
          <w:sz w:val="22"/>
          <w:szCs w:val="22"/>
        </w:rPr>
      </w:pPr>
    </w:p>
    <w:p w:rsidR="006224C2" w:rsidRPr="00295E71" w:rsidP="00F57FE5" w14:paraId="224BED99" w14:textId="77777777">
      <w:pPr>
        <w:keepNext/>
        <w:keepLines/>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Nei pazienti con artrite associata ad entesite, sono stati identificati anticorpi anti-adalimumab nel 10,9% (5/46) dei pazienti trattati con adalimumab. Nei pazienti ai quali non è stato somministrato metotressato in concomitanza, l’incidenza è stata del 13,6% (3/22), rispetto all’8,3% (2/24) quando adalimumab è stato utilizzato in combinazione con metotressato. </w:t>
      </w:r>
    </w:p>
    <w:p w:rsidR="006224C2" w:rsidRPr="00295E71" w14:paraId="55E6DB8D" w14:textId="77777777">
      <w:pPr>
        <w:tabs>
          <w:tab w:val="left" w:pos="567"/>
          <w:tab w:val="left" w:pos="1294"/>
        </w:tabs>
        <w:autoSpaceDE w:val="0"/>
        <w:autoSpaceDN w:val="0"/>
        <w:adjustRightInd w:val="0"/>
        <w:jc w:val="both"/>
        <w:rPr>
          <w:color w:val="000000"/>
          <w:sz w:val="22"/>
          <w:szCs w:val="22"/>
        </w:rPr>
      </w:pPr>
    </w:p>
    <w:p w:rsidR="006224C2" w:rsidRPr="00295E71" w14:paraId="14818951"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affetti da artrite psoriasica, gli anticorpi anti-adalimumab sono stati identificati in 38/376 soggetti (10%) trattati con adalimumab. Nei pazienti non sottoposti a terapia concomitante con metotressato, l’incidenza è risultata pari al 13,5% (24/178 soggetti) rispetto al 7% (14 su 198 soggetti) quando adalimumab è stato utilizzato in associazione al metotressato.</w:t>
      </w:r>
    </w:p>
    <w:p w:rsidR="006224C2" w:rsidRPr="00295E71" w14:paraId="487D9AC7" w14:textId="77777777">
      <w:pPr>
        <w:tabs>
          <w:tab w:val="left" w:pos="567"/>
          <w:tab w:val="left" w:pos="1294"/>
        </w:tabs>
        <w:autoSpaceDE w:val="0"/>
        <w:autoSpaceDN w:val="0"/>
        <w:adjustRightInd w:val="0"/>
        <w:jc w:val="both"/>
        <w:rPr>
          <w:color w:val="000000"/>
          <w:sz w:val="22"/>
          <w:szCs w:val="22"/>
        </w:rPr>
      </w:pPr>
    </w:p>
    <w:p w:rsidR="006224C2" w:rsidRPr="00295E71" w14:paraId="15A7A088"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affetti da spondilite anchilosante, gli anticorpi anti-adalimumab sono stati identificati in 17/204 soggetti (8,3%) trattati con adalimumab. Nei pazienti non sottoposti a terapia concomitante con metotressato, l’incidenza è risultata pari a 16/185 (8,6%) rispetto all’1/19 (5,3%) quando adalimumab è stato utilizzato in associazione al metotressato.</w:t>
      </w:r>
    </w:p>
    <w:p w:rsidR="006224C2" w:rsidRPr="00295E71" w14:paraId="5AC64BE2" w14:textId="77777777">
      <w:pPr>
        <w:tabs>
          <w:tab w:val="left" w:pos="567"/>
          <w:tab w:val="left" w:pos="1294"/>
        </w:tabs>
        <w:autoSpaceDE w:val="0"/>
        <w:autoSpaceDN w:val="0"/>
        <w:adjustRightInd w:val="0"/>
        <w:jc w:val="both"/>
        <w:rPr>
          <w:color w:val="000000"/>
          <w:sz w:val="22"/>
          <w:szCs w:val="22"/>
        </w:rPr>
      </w:pPr>
    </w:p>
    <w:p w:rsidR="00561485" w:rsidRPr="00295E71" w14:paraId="045A0C13"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con spondiloartrite assiale non radiografica sono stati riscontrati anticorpi anti-adalimumab in 8/152 soggetti (5,3%) trattati in modo continuo con adalimumab.</w:t>
      </w:r>
    </w:p>
    <w:p w:rsidR="00561485" w:rsidRPr="00295E71" w14:paraId="0D8DE8C2" w14:textId="77777777">
      <w:pPr>
        <w:tabs>
          <w:tab w:val="left" w:pos="567"/>
          <w:tab w:val="left" w:pos="1294"/>
        </w:tabs>
        <w:autoSpaceDE w:val="0"/>
        <w:autoSpaceDN w:val="0"/>
        <w:adjustRightInd w:val="0"/>
        <w:jc w:val="both"/>
        <w:rPr>
          <w:color w:val="000000"/>
          <w:sz w:val="22"/>
          <w:szCs w:val="22"/>
        </w:rPr>
      </w:pPr>
    </w:p>
    <w:p w:rsidR="006224C2" w:rsidRPr="00295E71" w14:paraId="18270244"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con malattia di Crohn, anticorpi anti-adalimumab sono stati identificati in 7/269 soggetti (2,6%) e in 19/487 soggetti (3,9%) in pazienti affetti da colite ulcerosa.</w:t>
      </w:r>
    </w:p>
    <w:p w:rsidR="006224C2" w:rsidRPr="00295E71" w14:paraId="2B8EAF7D" w14:textId="77777777">
      <w:pPr>
        <w:tabs>
          <w:tab w:val="left" w:pos="567"/>
          <w:tab w:val="left" w:pos="1294"/>
        </w:tabs>
        <w:autoSpaceDE w:val="0"/>
        <w:autoSpaceDN w:val="0"/>
        <w:adjustRightInd w:val="0"/>
        <w:jc w:val="both"/>
        <w:rPr>
          <w:color w:val="000000"/>
          <w:sz w:val="22"/>
          <w:szCs w:val="22"/>
        </w:rPr>
      </w:pPr>
    </w:p>
    <w:p w:rsidR="006224C2" w:rsidRPr="00295E71" w14:paraId="1BEF1E83"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adulti affetti da psoriasi, sono stati identificati anticorpi anti-adalimumab in 77/920 (8,4%) soggetti trattati con adalimuma</w:t>
      </w:r>
      <w:r w:rsidR="004C4E1E">
        <w:rPr>
          <w:color w:val="000000"/>
          <w:sz w:val="22"/>
          <w:szCs w:val="22"/>
        </w:rPr>
        <w:t>b</w:t>
      </w:r>
      <w:r w:rsidRPr="00295E71">
        <w:rPr>
          <w:color w:val="000000"/>
          <w:sz w:val="22"/>
          <w:szCs w:val="22"/>
        </w:rPr>
        <w:t xml:space="preserve"> in monoterapia.</w:t>
      </w:r>
    </w:p>
    <w:p w:rsidR="006224C2" w:rsidRPr="00295E71" w14:paraId="3F7241BC" w14:textId="77777777">
      <w:pPr>
        <w:tabs>
          <w:tab w:val="left" w:pos="567"/>
          <w:tab w:val="left" w:pos="1294"/>
        </w:tabs>
        <w:autoSpaceDE w:val="0"/>
        <w:autoSpaceDN w:val="0"/>
        <w:adjustRightInd w:val="0"/>
        <w:jc w:val="both"/>
        <w:rPr>
          <w:color w:val="000000"/>
          <w:sz w:val="22"/>
          <w:szCs w:val="22"/>
        </w:rPr>
      </w:pPr>
    </w:p>
    <w:p w:rsidR="006224C2" w:rsidRPr="00295E71" w14:paraId="1D50A157"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In pazienti adulti affetti da psoriasi a placche trattati a lungo termine in monoterapia con adalimumab che hanno partecipato ad uno studio di sospensione e di ri-trattamento, la percentuale di positività per anticorpi anti</w:t>
      </w:r>
      <w:r w:rsidR="004C4E1E">
        <w:rPr>
          <w:color w:val="000000"/>
          <w:sz w:val="22"/>
          <w:szCs w:val="22"/>
        </w:rPr>
        <w:t>-</w:t>
      </w:r>
      <w:r w:rsidRPr="00295E71">
        <w:rPr>
          <w:color w:val="000000"/>
          <w:sz w:val="22"/>
          <w:szCs w:val="22"/>
        </w:rPr>
        <w:t xml:space="preserve">adalimumab dopo la ripresa del trattamento (11 casi su 482 soggetti, 2,3%) si è mostrata simile a quella osservata prima della sospensione del farmaco (11 casi su 590 soggetti, 1,9%).  </w:t>
      </w:r>
    </w:p>
    <w:p w:rsidR="006224C2" w:rsidRPr="00295E71" w14:paraId="394A4A7E" w14:textId="77777777">
      <w:pPr>
        <w:tabs>
          <w:tab w:val="left" w:pos="567"/>
          <w:tab w:val="left" w:pos="1294"/>
        </w:tabs>
        <w:autoSpaceDE w:val="0"/>
        <w:autoSpaceDN w:val="0"/>
        <w:adjustRightInd w:val="0"/>
        <w:jc w:val="both"/>
        <w:rPr>
          <w:color w:val="000000"/>
          <w:sz w:val="22"/>
          <w:szCs w:val="22"/>
        </w:rPr>
      </w:pPr>
    </w:p>
    <w:p w:rsidR="006224C2" w:rsidRPr="00295E71" w14:paraId="72188CFA"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con psoriasi pediatrica sono stati identificati anticorpi anti-adalimumab in 5/38 soggetti (13%) trattati con 0,8mg/kg di adalimumab in monoterapia.</w:t>
      </w:r>
    </w:p>
    <w:p w:rsidR="006224C2" w:rsidRPr="00295E71" w14:paraId="32E53E6B" w14:textId="77777777">
      <w:pPr>
        <w:tabs>
          <w:tab w:val="left" w:pos="567"/>
          <w:tab w:val="left" w:pos="1294"/>
        </w:tabs>
        <w:autoSpaceDE w:val="0"/>
        <w:autoSpaceDN w:val="0"/>
        <w:adjustRightInd w:val="0"/>
        <w:jc w:val="both"/>
        <w:rPr>
          <w:color w:val="000000"/>
          <w:sz w:val="22"/>
          <w:szCs w:val="22"/>
        </w:rPr>
      </w:pPr>
    </w:p>
    <w:p w:rsidR="006224C2" w:rsidRPr="00295E71" w14:paraId="1F98626B"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In pazienti con Idrosadenite Suppurativa di grado da moderato a severo, sono stati identificati anticorpi anti-adalimumab in 10/99 soggetti (10,1%) trattati con adalimumab.</w:t>
      </w:r>
    </w:p>
    <w:p w:rsidR="006224C2" w:rsidRPr="00295E71" w14:paraId="34046AA7" w14:textId="77777777">
      <w:pPr>
        <w:tabs>
          <w:tab w:val="left" w:pos="567"/>
          <w:tab w:val="left" w:pos="1294"/>
        </w:tabs>
        <w:autoSpaceDE w:val="0"/>
        <w:autoSpaceDN w:val="0"/>
        <w:adjustRightInd w:val="0"/>
        <w:jc w:val="both"/>
        <w:rPr>
          <w:color w:val="000000"/>
          <w:sz w:val="22"/>
          <w:szCs w:val="22"/>
        </w:rPr>
      </w:pPr>
    </w:p>
    <w:p w:rsidR="006224C2" w:rsidRPr="00295E71" w14:paraId="287C62F5"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in età pediatrica con malattia di Crohn attiva di grado da moderato a severo, il tasso di sviluppo di anticorpi anti-adalimumab è stato del 3,3% nei pazienti in trattamento con adalimumab.</w:t>
      </w:r>
    </w:p>
    <w:p w:rsidR="006224C2" w:rsidRPr="00295E71" w14:paraId="46ED261F" w14:textId="77777777">
      <w:pPr>
        <w:tabs>
          <w:tab w:val="left" w:pos="567"/>
          <w:tab w:val="left" w:pos="1294"/>
        </w:tabs>
        <w:autoSpaceDE w:val="0"/>
        <w:autoSpaceDN w:val="0"/>
        <w:adjustRightInd w:val="0"/>
        <w:jc w:val="both"/>
        <w:rPr>
          <w:color w:val="000000"/>
          <w:sz w:val="22"/>
          <w:szCs w:val="22"/>
        </w:rPr>
      </w:pPr>
    </w:p>
    <w:p w:rsidR="006224C2" w:rsidRPr="00295E71" w14:paraId="12DC5A4B"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Nei pazienti </w:t>
      </w:r>
      <w:r w:rsidRPr="00295E71" w:rsidR="000C2C3B">
        <w:rPr>
          <w:color w:val="000000"/>
          <w:sz w:val="22"/>
          <w:szCs w:val="22"/>
        </w:rPr>
        <w:t xml:space="preserve">adulti </w:t>
      </w:r>
      <w:r w:rsidRPr="00295E71">
        <w:rPr>
          <w:color w:val="000000"/>
          <w:sz w:val="22"/>
          <w:szCs w:val="22"/>
        </w:rPr>
        <w:t>con uveite non infettiva, sono stati identificati anticorpi anti-adalimumab nel 4,8% (12/249) dei pazienti trattati con adalimumab.</w:t>
      </w:r>
    </w:p>
    <w:p w:rsidR="006224C2" w:rsidRPr="00295E71" w14:paraId="2A80995C" w14:textId="77777777">
      <w:pPr>
        <w:tabs>
          <w:tab w:val="left" w:pos="567"/>
          <w:tab w:val="left" w:pos="1294"/>
        </w:tabs>
        <w:autoSpaceDE w:val="0"/>
        <w:autoSpaceDN w:val="0"/>
        <w:adjustRightInd w:val="0"/>
        <w:jc w:val="both"/>
        <w:rPr>
          <w:color w:val="000000"/>
          <w:sz w:val="22"/>
          <w:szCs w:val="22"/>
        </w:rPr>
      </w:pPr>
    </w:p>
    <w:p w:rsidR="0062664F" w:rsidRPr="00612824" w:rsidP="0062664F" w14:paraId="2288150C" w14:textId="77777777">
      <w:pPr>
        <w:rPr>
          <w:sz w:val="22"/>
          <w:szCs w:val="22"/>
        </w:rPr>
      </w:pPr>
      <w:r w:rsidRPr="00612824">
        <w:rPr>
          <w:sz w:val="22"/>
          <w:szCs w:val="22"/>
        </w:rPr>
        <w:t>Nei pazienti con colite ulcerosa pediatrica</w:t>
      </w:r>
      <w:r w:rsidR="00DF3D2D">
        <w:rPr>
          <w:sz w:val="22"/>
          <w:szCs w:val="22"/>
        </w:rPr>
        <w:t xml:space="preserve"> attiva da moderata a severa</w:t>
      </w:r>
      <w:r w:rsidRPr="00612824">
        <w:rPr>
          <w:sz w:val="22"/>
          <w:szCs w:val="22"/>
        </w:rPr>
        <w:t>, il tasso di sviluppo di anticorpi anti-adalimumab nei pazienti trattati con adalimumab è stato del 3%.</w:t>
      </w:r>
    </w:p>
    <w:p w:rsidR="0062664F" w:rsidRPr="0062664F" w14:paraId="599C30CB" w14:textId="77777777">
      <w:pPr>
        <w:tabs>
          <w:tab w:val="left" w:pos="567"/>
          <w:tab w:val="left" w:pos="1294"/>
        </w:tabs>
        <w:autoSpaceDE w:val="0"/>
        <w:autoSpaceDN w:val="0"/>
        <w:adjustRightInd w:val="0"/>
        <w:jc w:val="both"/>
        <w:rPr>
          <w:color w:val="000000"/>
          <w:sz w:val="22"/>
          <w:szCs w:val="22"/>
        </w:rPr>
      </w:pPr>
    </w:p>
    <w:p w:rsidR="006224C2" w:rsidRPr="00295E71" w14:paraId="5808C7DE"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Poiché le analisi di immunogenicità sono specifiche del prodotto, il confronto fra le quantità di anticorpi con </w:t>
      </w:r>
      <w:r w:rsidRPr="00020442" w:rsidR="004C4E1E">
        <w:rPr>
          <w:color w:val="000000"/>
          <w:sz w:val="22"/>
          <w:szCs w:val="22"/>
        </w:rPr>
        <w:t xml:space="preserve">quelle di </w:t>
      </w:r>
      <w:r w:rsidRPr="00295E71">
        <w:rPr>
          <w:color w:val="000000"/>
          <w:sz w:val="22"/>
          <w:szCs w:val="22"/>
        </w:rPr>
        <w:t>altri prodotti non è appropriato.</w:t>
      </w:r>
    </w:p>
    <w:p w:rsidR="006224C2" w:rsidRPr="00295E71" w14:paraId="63E86D9B" w14:textId="77777777">
      <w:pPr>
        <w:rPr>
          <w:color w:val="000000"/>
          <w:sz w:val="22"/>
          <w:szCs w:val="22"/>
          <w:u w:val="single"/>
        </w:rPr>
      </w:pPr>
    </w:p>
    <w:p w:rsidR="006224C2" w:rsidRPr="00295E71" w14:paraId="66C1CAF8" w14:textId="77777777">
      <w:pPr>
        <w:keepNext/>
        <w:keepLines/>
        <w:rPr>
          <w:color w:val="000000"/>
          <w:sz w:val="22"/>
          <w:szCs w:val="22"/>
          <w:u w:val="single"/>
        </w:rPr>
      </w:pPr>
      <w:r w:rsidRPr="00295E71">
        <w:rPr>
          <w:color w:val="000000"/>
          <w:sz w:val="22"/>
          <w:szCs w:val="22"/>
          <w:u w:val="single"/>
        </w:rPr>
        <w:t>Popolazione pediatrica</w:t>
      </w:r>
    </w:p>
    <w:p w:rsidR="00C1236A" w:rsidRPr="00612824" w:rsidP="00C1236A" w14:paraId="33946902" w14:textId="77777777">
      <w:pPr>
        <w:tabs>
          <w:tab w:val="left" w:pos="567"/>
        </w:tabs>
        <w:jc w:val="both"/>
        <w:rPr>
          <w:i/>
          <w:color w:val="000000"/>
          <w:sz w:val="22"/>
          <w:szCs w:val="22"/>
        </w:rPr>
      </w:pPr>
    </w:p>
    <w:p w:rsidR="00C1236A" w:rsidRPr="00612824" w:rsidP="00C1236A" w14:paraId="5F8D2E31" w14:textId="77777777">
      <w:pPr>
        <w:tabs>
          <w:tab w:val="left" w:pos="567"/>
        </w:tabs>
        <w:jc w:val="both"/>
        <w:rPr>
          <w:i/>
          <w:color w:val="000000"/>
          <w:sz w:val="22"/>
          <w:szCs w:val="22"/>
        </w:rPr>
      </w:pPr>
      <w:r w:rsidRPr="00612824">
        <w:rPr>
          <w:i/>
          <w:color w:val="000000"/>
          <w:sz w:val="22"/>
          <w:szCs w:val="22"/>
        </w:rPr>
        <w:t>Artrite idiopatica giovanile (JIA)</w:t>
      </w:r>
    </w:p>
    <w:p w:rsidR="00C1236A" w:rsidRPr="00612824" w:rsidP="00C1236A" w14:paraId="4631FE0B" w14:textId="77777777">
      <w:pPr>
        <w:tabs>
          <w:tab w:val="left" w:pos="567"/>
        </w:tabs>
        <w:jc w:val="both"/>
        <w:rPr>
          <w:color w:val="000000"/>
          <w:sz w:val="22"/>
          <w:szCs w:val="22"/>
          <w:u w:val="single"/>
        </w:rPr>
      </w:pPr>
    </w:p>
    <w:p w:rsidR="00C1236A" w:rsidRPr="00612824" w:rsidP="00C1236A" w14:paraId="06EBC996" w14:textId="77777777">
      <w:pPr>
        <w:tabs>
          <w:tab w:val="left" w:pos="567"/>
        </w:tabs>
        <w:jc w:val="both"/>
        <w:rPr>
          <w:i/>
          <w:sz w:val="22"/>
          <w:szCs w:val="22"/>
          <w:u w:val="single"/>
        </w:rPr>
      </w:pPr>
      <w:r w:rsidRPr="00612824">
        <w:rPr>
          <w:i/>
          <w:sz w:val="22"/>
          <w:szCs w:val="22"/>
          <w:u w:val="single"/>
        </w:rPr>
        <w:t>Artrite idiopatica giovanile poliarticolare (pJIA)</w:t>
      </w:r>
    </w:p>
    <w:p w:rsidR="00C1236A" w:rsidRPr="00612824" w:rsidP="00C1236A" w14:paraId="1EA12DF3" w14:textId="77777777">
      <w:pPr>
        <w:pStyle w:val="EMEAHeadingUnderline"/>
        <w:spacing w:beforeLines="0" w:afterLines="0"/>
        <w:jc w:val="both"/>
        <w:rPr>
          <w:lang w:val="it-IT"/>
        </w:rPr>
      </w:pPr>
    </w:p>
    <w:p w:rsidR="00C1236A" w:rsidRPr="00612824" w:rsidP="00C1236A" w14:paraId="286C8E6F" w14:textId="77777777">
      <w:pPr>
        <w:tabs>
          <w:tab w:val="left" w:pos="567"/>
        </w:tabs>
        <w:jc w:val="both"/>
        <w:rPr>
          <w:color w:val="000000"/>
          <w:sz w:val="22"/>
          <w:szCs w:val="22"/>
        </w:rPr>
      </w:pPr>
      <w:r w:rsidRPr="00612824">
        <w:rPr>
          <w:sz w:val="22"/>
          <w:szCs w:val="22"/>
        </w:rPr>
        <w:t xml:space="preserve">La sicurezza e l’efficacia di Humira sono state valutate in </w:t>
      </w:r>
      <w:r w:rsidRPr="00612824">
        <w:rPr>
          <w:color w:val="000000"/>
          <w:sz w:val="22"/>
          <w:szCs w:val="22"/>
        </w:rPr>
        <w:t>due studi (pJIA I e II) in bambini con artrite idiopatica giovanile poliarticolare attiva o a decorso poliarticolare, che avevano diversi tipi di insorgenza della JIA (più frequentemente poliartrite negativa o positiva al fattore reumatoide e oligoartrite estesa).</w:t>
      </w:r>
    </w:p>
    <w:p w:rsidR="00C1236A" w:rsidRPr="00612824" w:rsidP="00C1236A" w14:paraId="67A0F2EB" w14:textId="77777777">
      <w:pPr>
        <w:tabs>
          <w:tab w:val="left" w:pos="567"/>
        </w:tabs>
        <w:jc w:val="both"/>
        <w:rPr>
          <w:color w:val="000000"/>
          <w:sz w:val="22"/>
          <w:szCs w:val="22"/>
          <w:u w:val="single"/>
        </w:rPr>
      </w:pPr>
    </w:p>
    <w:p w:rsidR="00C1236A" w:rsidRPr="00612824" w:rsidP="00C1236A" w14:paraId="2493FCDC" w14:textId="77777777">
      <w:pPr>
        <w:keepNext/>
        <w:keepLines/>
        <w:tabs>
          <w:tab w:val="left" w:pos="567"/>
        </w:tabs>
        <w:jc w:val="both"/>
        <w:rPr>
          <w:sz w:val="22"/>
          <w:szCs w:val="22"/>
        </w:rPr>
      </w:pPr>
      <w:r w:rsidRPr="00612824">
        <w:rPr>
          <w:color w:val="000000"/>
          <w:sz w:val="22"/>
          <w:szCs w:val="22"/>
        </w:rPr>
        <w:t>pJIA I</w:t>
      </w:r>
    </w:p>
    <w:p w:rsidR="00C1236A" w:rsidRPr="00612824" w:rsidP="00C1236A" w14:paraId="5C585571" w14:textId="77777777">
      <w:pPr>
        <w:keepNext/>
        <w:keepLines/>
        <w:tabs>
          <w:tab w:val="left" w:pos="567"/>
        </w:tabs>
        <w:jc w:val="both"/>
        <w:rPr>
          <w:sz w:val="22"/>
          <w:szCs w:val="22"/>
        </w:rPr>
      </w:pPr>
    </w:p>
    <w:p w:rsidR="00C1236A" w:rsidRPr="00612824" w:rsidP="00C1236A" w14:paraId="43D2C1DE" w14:textId="77777777">
      <w:pPr>
        <w:rPr>
          <w:color w:val="000000"/>
          <w:sz w:val="22"/>
          <w:szCs w:val="22"/>
        </w:rPr>
      </w:pPr>
      <w:r w:rsidRPr="00612824">
        <w:rPr>
          <w:color w:val="000000"/>
          <w:sz w:val="22"/>
          <w:szCs w:val="22"/>
        </w:rPr>
        <w:t>La sicurezza e l’efficacia di Humira sono state valutate in uno studio multicentrico, randomizzato, in doppio-cieco, a gruppi paralleli, in 171 bambini (di età compresa tra i 4 ed i 17 anni) affetti da artrite idiopatica giovanile poliarticolare (JIA). Nel corso della fase di ammissione in aperto (open-label lead in phase = OL LI), i pazienti sono stati stratificati in due gruppi, il gruppo trattato con MTX (metotressato) ed il gruppo non trattato con MTX. I pazienti ammessi nel braccio non trattato con MTX non erano stati mai trattati prima con MTX oppure avevano sospeso la sua assunzione almeno due settimane prima della somministrazione del farmaco in studio. Ai pazienti sono state somministrate dosi costanti di farmaci antinfiammatori non steroidei (FANS) e/o di prednisone (≤0,2 mg/kg/die o un massimo di 10 mg/die). Nel corso della fase OL LI, a tutti i pazienti sono stati somministrati 24 mg/m</w:t>
      </w:r>
      <w:r w:rsidRPr="00612824">
        <w:rPr>
          <w:color w:val="000000"/>
          <w:sz w:val="22"/>
          <w:szCs w:val="22"/>
          <w:vertAlign w:val="superscript"/>
        </w:rPr>
        <w:t>2</w:t>
      </w:r>
      <w:r w:rsidRPr="00612824">
        <w:rPr>
          <w:color w:val="000000"/>
          <w:sz w:val="22"/>
          <w:szCs w:val="22"/>
        </w:rPr>
        <w:t xml:space="preserve"> di Humira fino ad una dose massima pari a 40 mg, a settimane alterne per 16 settimane. La distribuzione dei pazienti per età e la dose minima, media e massima somministrata nel corso della fase OL LI sono riportate nella Tabella 25.</w:t>
      </w:r>
    </w:p>
    <w:p w:rsidR="00C1236A" w:rsidRPr="00612824" w:rsidP="00C1236A" w14:paraId="0764381F" w14:textId="77777777">
      <w:pPr>
        <w:keepNext/>
        <w:keepLines/>
        <w:tabs>
          <w:tab w:val="left" w:pos="567"/>
          <w:tab w:val="left" w:pos="1294"/>
        </w:tabs>
        <w:autoSpaceDE w:val="0"/>
        <w:autoSpaceDN w:val="0"/>
        <w:adjustRightInd w:val="0"/>
        <w:jc w:val="center"/>
        <w:rPr>
          <w:b/>
          <w:bCs/>
          <w:sz w:val="22"/>
          <w:szCs w:val="22"/>
        </w:rPr>
      </w:pPr>
    </w:p>
    <w:p w:rsidR="00C1236A" w:rsidRPr="00612824" w:rsidP="00C1236A" w14:paraId="2AC9A1E7" w14:textId="77777777">
      <w:pPr>
        <w:keepNext/>
        <w:keepLines/>
        <w:tabs>
          <w:tab w:val="left" w:pos="567"/>
          <w:tab w:val="left" w:pos="1294"/>
        </w:tabs>
        <w:autoSpaceDE w:val="0"/>
        <w:autoSpaceDN w:val="0"/>
        <w:adjustRightInd w:val="0"/>
        <w:jc w:val="center"/>
        <w:rPr>
          <w:b/>
          <w:bCs/>
          <w:sz w:val="22"/>
          <w:szCs w:val="22"/>
        </w:rPr>
      </w:pPr>
      <w:r w:rsidRPr="00612824">
        <w:rPr>
          <w:b/>
          <w:bCs/>
          <w:sz w:val="22"/>
          <w:szCs w:val="22"/>
        </w:rPr>
        <w:t>Tabella 25</w:t>
      </w:r>
    </w:p>
    <w:p w:rsidR="00C1236A" w:rsidRPr="00612824" w:rsidP="00C1236A" w14:paraId="1454EDF1" w14:textId="77777777">
      <w:pPr>
        <w:pStyle w:val="BodyTextIndent"/>
        <w:keepNext/>
        <w:keepLines/>
        <w:ind w:left="110" w:right="53"/>
        <w:jc w:val="center"/>
        <w:rPr>
          <w:b/>
          <w:bCs/>
        </w:rPr>
      </w:pPr>
      <w:r w:rsidRPr="00612824">
        <w:rPr>
          <w:b/>
          <w:bCs/>
        </w:rPr>
        <w:t>Distribuzione dei pazienti per età e dose di adalimumab somministrata nel corso della fase OL LI</w:t>
      </w:r>
    </w:p>
    <w:p w:rsidR="00C1236A" w:rsidRPr="00612824" w:rsidP="00C1236A" w14:paraId="1938F3EB" w14:textId="77777777">
      <w:pPr>
        <w:pStyle w:val="BodyTextIndent"/>
        <w:keepNext/>
        <w:keepLines/>
        <w:ind w:left="110" w:right="53"/>
        <w:jc w:val="center"/>
        <w:rPr>
          <w:b/>
          <w:bCs/>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4"/>
        <w:gridCol w:w="3427"/>
        <w:gridCol w:w="3159"/>
      </w:tblGrid>
      <w:tr w14:paraId="75433C1E" w14:textId="77777777" w:rsidTr="00F83E38">
        <w:tblPrEx>
          <w:tblW w:w="0" w:type="auto"/>
          <w:tblInd w:w="110" w:type="dxa"/>
          <w:tblLook w:val="0000"/>
        </w:tblPrEx>
        <w:trPr>
          <w:cantSplit/>
        </w:trPr>
        <w:tc>
          <w:tcPr>
            <w:tcW w:w="2418" w:type="dxa"/>
          </w:tcPr>
          <w:p w:rsidR="00C1236A" w:rsidRPr="00612824" w:rsidP="00F83E38" w14:paraId="38F24F25" w14:textId="77777777">
            <w:pPr>
              <w:pStyle w:val="BodyTextIndent"/>
              <w:keepNext/>
              <w:keepLines/>
              <w:ind w:right="53"/>
            </w:pPr>
            <w:r w:rsidRPr="00612824">
              <w:t>Gruppo d’età</w:t>
            </w:r>
          </w:p>
        </w:tc>
        <w:tc>
          <w:tcPr>
            <w:tcW w:w="3520" w:type="dxa"/>
          </w:tcPr>
          <w:p w:rsidR="00C1236A" w:rsidRPr="00612824" w:rsidP="00F83E38" w14:paraId="42D310F0" w14:textId="77777777">
            <w:pPr>
              <w:pStyle w:val="BodyTextIndent"/>
              <w:keepNext/>
              <w:keepLines/>
              <w:ind w:right="53"/>
            </w:pPr>
            <w:r w:rsidRPr="00612824">
              <w:t>Numero di pazienti al basale n (%)</w:t>
            </w:r>
          </w:p>
        </w:tc>
        <w:tc>
          <w:tcPr>
            <w:tcW w:w="3239" w:type="dxa"/>
          </w:tcPr>
          <w:p w:rsidR="00C1236A" w:rsidRPr="00612824" w:rsidP="00F83E38" w14:paraId="363DA081" w14:textId="77777777">
            <w:pPr>
              <w:pStyle w:val="BodyTextIndent"/>
              <w:keepNext/>
              <w:keepLines/>
              <w:ind w:right="53"/>
            </w:pPr>
            <w:r w:rsidRPr="00612824">
              <w:t>Dose minima, media e massima</w:t>
            </w:r>
          </w:p>
        </w:tc>
      </w:tr>
      <w:tr w14:paraId="722E2BEB" w14:textId="77777777" w:rsidTr="00F83E38">
        <w:tblPrEx>
          <w:tblW w:w="0" w:type="auto"/>
          <w:tblInd w:w="110" w:type="dxa"/>
          <w:tblLook w:val="0000"/>
        </w:tblPrEx>
        <w:trPr>
          <w:cantSplit/>
        </w:trPr>
        <w:tc>
          <w:tcPr>
            <w:tcW w:w="2418" w:type="dxa"/>
          </w:tcPr>
          <w:p w:rsidR="00C1236A" w:rsidRPr="00612824" w:rsidP="00F83E38" w14:paraId="2F664123" w14:textId="77777777">
            <w:pPr>
              <w:pStyle w:val="BodyTextIndent"/>
              <w:keepNext/>
              <w:keepLines/>
              <w:ind w:right="53"/>
            </w:pPr>
            <w:r w:rsidRPr="00612824">
              <w:t>Dai 4 ai 7 anni</w:t>
            </w:r>
          </w:p>
        </w:tc>
        <w:tc>
          <w:tcPr>
            <w:tcW w:w="3520" w:type="dxa"/>
          </w:tcPr>
          <w:p w:rsidR="00C1236A" w:rsidRPr="00612824" w:rsidP="00F83E38" w14:paraId="00DDA779" w14:textId="77777777">
            <w:pPr>
              <w:pStyle w:val="BodyTextIndent"/>
              <w:keepNext/>
              <w:keepLines/>
              <w:ind w:right="53"/>
            </w:pPr>
            <w:r w:rsidRPr="00612824">
              <w:t>31 (18,1)</w:t>
            </w:r>
          </w:p>
        </w:tc>
        <w:tc>
          <w:tcPr>
            <w:tcW w:w="3239" w:type="dxa"/>
          </w:tcPr>
          <w:p w:rsidR="00C1236A" w:rsidRPr="00612824" w:rsidP="00F83E38" w14:paraId="526E7292" w14:textId="77777777">
            <w:pPr>
              <w:pStyle w:val="BodyTextIndent"/>
              <w:keepNext/>
              <w:keepLines/>
              <w:ind w:right="53"/>
            </w:pPr>
            <w:r w:rsidRPr="00612824">
              <w:t>10, 20 e 25 mg</w:t>
            </w:r>
          </w:p>
        </w:tc>
      </w:tr>
      <w:tr w14:paraId="636B3EEF" w14:textId="77777777" w:rsidTr="00F83E38">
        <w:tblPrEx>
          <w:tblW w:w="0" w:type="auto"/>
          <w:tblInd w:w="110" w:type="dxa"/>
          <w:tblLook w:val="0000"/>
        </w:tblPrEx>
        <w:trPr>
          <w:cantSplit/>
        </w:trPr>
        <w:tc>
          <w:tcPr>
            <w:tcW w:w="2418" w:type="dxa"/>
          </w:tcPr>
          <w:p w:rsidR="00C1236A" w:rsidRPr="00612824" w:rsidP="00F83E38" w14:paraId="7057DCB7" w14:textId="77777777">
            <w:pPr>
              <w:pStyle w:val="BodyTextIndent"/>
              <w:keepNext/>
              <w:keepLines/>
              <w:ind w:right="53"/>
            </w:pPr>
            <w:r w:rsidRPr="00612824">
              <w:t>Dagli 8 ai 12 anni</w:t>
            </w:r>
          </w:p>
        </w:tc>
        <w:tc>
          <w:tcPr>
            <w:tcW w:w="3520" w:type="dxa"/>
          </w:tcPr>
          <w:p w:rsidR="00C1236A" w:rsidRPr="00612824" w:rsidP="00F83E38" w14:paraId="75BB4C8B" w14:textId="77777777">
            <w:pPr>
              <w:pStyle w:val="BodyTextIndent"/>
              <w:keepNext/>
              <w:keepLines/>
              <w:ind w:right="53"/>
            </w:pPr>
            <w:r w:rsidRPr="00612824">
              <w:t>71 (41,5)</w:t>
            </w:r>
          </w:p>
        </w:tc>
        <w:tc>
          <w:tcPr>
            <w:tcW w:w="3239" w:type="dxa"/>
          </w:tcPr>
          <w:p w:rsidR="00C1236A" w:rsidRPr="00612824" w:rsidP="00F83E38" w14:paraId="2D745846" w14:textId="77777777">
            <w:pPr>
              <w:pStyle w:val="BodyTextIndent"/>
              <w:keepNext/>
              <w:keepLines/>
              <w:ind w:right="53"/>
            </w:pPr>
            <w:r w:rsidRPr="00612824">
              <w:t>20, 25 e 40 mg</w:t>
            </w:r>
          </w:p>
        </w:tc>
      </w:tr>
      <w:tr w14:paraId="55FD6296" w14:textId="77777777" w:rsidTr="00F83E38">
        <w:tblPrEx>
          <w:tblW w:w="0" w:type="auto"/>
          <w:tblInd w:w="110" w:type="dxa"/>
          <w:tblLook w:val="0000"/>
        </w:tblPrEx>
        <w:trPr>
          <w:cantSplit/>
        </w:trPr>
        <w:tc>
          <w:tcPr>
            <w:tcW w:w="2418" w:type="dxa"/>
          </w:tcPr>
          <w:p w:rsidR="00C1236A" w:rsidRPr="00612824" w:rsidP="00F83E38" w14:paraId="245A37EF" w14:textId="77777777">
            <w:pPr>
              <w:pStyle w:val="BodyTextIndent"/>
              <w:keepNext/>
              <w:keepLines/>
              <w:ind w:right="53"/>
            </w:pPr>
            <w:r w:rsidRPr="00612824">
              <w:t>Dai 13 ai 17 anni</w:t>
            </w:r>
          </w:p>
        </w:tc>
        <w:tc>
          <w:tcPr>
            <w:tcW w:w="3520" w:type="dxa"/>
          </w:tcPr>
          <w:p w:rsidR="00C1236A" w:rsidRPr="00612824" w:rsidP="00F83E38" w14:paraId="34208EE3" w14:textId="77777777">
            <w:pPr>
              <w:pStyle w:val="BodyTextIndent"/>
              <w:keepNext/>
              <w:keepLines/>
              <w:ind w:right="53"/>
            </w:pPr>
            <w:r w:rsidRPr="00612824">
              <w:t>69 (40,4)</w:t>
            </w:r>
          </w:p>
        </w:tc>
        <w:tc>
          <w:tcPr>
            <w:tcW w:w="3239" w:type="dxa"/>
          </w:tcPr>
          <w:p w:rsidR="00C1236A" w:rsidRPr="00612824" w:rsidP="00F83E38" w14:paraId="601663BE" w14:textId="77777777">
            <w:pPr>
              <w:pStyle w:val="BodyTextIndent"/>
              <w:keepNext/>
              <w:keepLines/>
              <w:ind w:right="53"/>
            </w:pPr>
            <w:r w:rsidRPr="00612824">
              <w:t>25, 40 e 40 mg</w:t>
            </w:r>
          </w:p>
        </w:tc>
      </w:tr>
    </w:tbl>
    <w:p w:rsidR="00C1236A" w:rsidRPr="00612824" w:rsidP="00C1236A" w14:paraId="74BC0A47" w14:textId="77777777">
      <w:pPr>
        <w:keepNext/>
        <w:keepLines/>
        <w:tabs>
          <w:tab w:val="left" w:pos="6840"/>
        </w:tabs>
        <w:autoSpaceDE w:val="0"/>
        <w:autoSpaceDN w:val="0"/>
        <w:adjustRightInd w:val="0"/>
        <w:ind w:right="53"/>
        <w:rPr>
          <w:sz w:val="22"/>
          <w:szCs w:val="22"/>
        </w:rPr>
      </w:pPr>
    </w:p>
    <w:p w:rsidR="00C1236A" w:rsidRPr="00612824" w:rsidP="00C1236A" w14:paraId="6CE3344F" w14:textId="77777777">
      <w:pPr>
        <w:keepNext/>
        <w:keepLines/>
        <w:tabs>
          <w:tab w:val="left" w:pos="567"/>
          <w:tab w:val="left" w:pos="1294"/>
        </w:tabs>
        <w:autoSpaceDE w:val="0"/>
        <w:autoSpaceDN w:val="0"/>
        <w:adjustRightInd w:val="0"/>
        <w:jc w:val="both"/>
        <w:rPr>
          <w:color w:val="000000"/>
          <w:sz w:val="22"/>
          <w:szCs w:val="22"/>
        </w:rPr>
      </w:pPr>
      <w:r w:rsidRPr="00612824">
        <w:rPr>
          <w:color w:val="000000"/>
          <w:sz w:val="22"/>
          <w:szCs w:val="22"/>
        </w:rPr>
        <w:t>I pazienti che avevano dimostrato una risposta ACR30 pediatrica alla 16a settimana possedevano i requisiti necessari per essere ammessi alla randomizzazione della fase dello studio in doppio cieco (Double Blind = DB) ed hanno ricevuto 24 mg/m</w:t>
      </w:r>
      <w:r w:rsidRPr="00612824">
        <w:rPr>
          <w:color w:val="000000"/>
          <w:sz w:val="22"/>
          <w:szCs w:val="22"/>
          <w:vertAlign w:val="superscript"/>
        </w:rPr>
        <w:t>2</w:t>
      </w:r>
      <w:r w:rsidRPr="00612824">
        <w:rPr>
          <w:color w:val="000000"/>
          <w:sz w:val="22"/>
          <w:szCs w:val="22"/>
        </w:rPr>
        <w:t xml:space="preserve"> di Humira fino ad un massimo di 40 mg o placebo a settimane alterne per un ulteriore periodo di 32 settimane oppure fino alla riacutizzazione della malattia. </w:t>
      </w:r>
    </w:p>
    <w:p w:rsidR="00C1236A" w:rsidRPr="00612824" w:rsidP="00C1236A" w14:paraId="635AB7E7" w14:textId="77777777">
      <w:pPr>
        <w:rPr>
          <w:color w:val="000000"/>
          <w:sz w:val="22"/>
          <w:szCs w:val="22"/>
        </w:rPr>
      </w:pPr>
    </w:p>
    <w:p w:rsidR="00C1236A" w:rsidRPr="00612824" w:rsidP="00C1236A" w14:paraId="2A4E06D7" w14:textId="77777777">
      <w:pPr>
        <w:tabs>
          <w:tab w:val="left" w:pos="567"/>
          <w:tab w:val="left" w:pos="1294"/>
        </w:tabs>
        <w:autoSpaceDE w:val="0"/>
        <w:autoSpaceDN w:val="0"/>
        <w:adjustRightInd w:val="0"/>
        <w:jc w:val="both"/>
        <w:rPr>
          <w:color w:val="000000"/>
          <w:sz w:val="22"/>
          <w:szCs w:val="22"/>
        </w:rPr>
      </w:pPr>
      <w:r w:rsidRPr="00612824">
        <w:rPr>
          <w:color w:val="000000"/>
          <w:sz w:val="22"/>
          <w:szCs w:val="22"/>
        </w:rPr>
        <w:t>I criteri di definizione della riacutizzazione della malattia sono stati definiti in base ad un peggioramento maggiore o uguale al 30% (</w:t>
      </w:r>
      <w:r w:rsidRPr="00612824">
        <w:rPr>
          <w:rFonts w:ascii="Symbol" w:hAnsi="Symbol"/>
          <w:color w:val="000000"/>
          <w:sz w:val="22"/>
          <w:szCs w:val="22"/>
        </w:rPr>
        <w:sym w:font="Symbol" w:char="F0B3"/>
      </w:r>
      <w:r w:rsidRPr="00612824">
        <w:rPr>
          <w:color w:val="000000"/>
          <w:sz w:val="22"/>
          <w:szCs w:val="22"/>
        </w:rPr>
        <w:t xml:space="preserve"> 30%) rispetto al valore basale di 3 o più dei 6 criteri principali dell’“ACR Paediatric core”, alla presenza di 2 o più articolazioni attive, ed in base ad un miglioramento maggiore del 30% in non più di 1 dei 6 criteri suddetti. </w:t>
      </w:r>
    </w:p>
    <w:p w:rsidR="00C1236A" w:rsidRPr="00612824" w:rsidP="00C1236A" w14:paraId="0E692B7E" w14:textId="77777777">
      <w:pPr>
        <w:jc w:val="both"/>
        <w:rPr>
          <w:sz w:val="22"/>
          <w:szCs w:val="22"/>
        </w:rPr>
      </w:pPr>
    </w:p>
    <w:p w:rsidR="00C1236A" w:rsidRPr="00612824" w:rsidP="00C1236A" w14:paraId="73B63BE4" w14:textId="77777777">
      <w:pPr>
        <w:jc w:val="both"/>
        <w:rPr>
          <w:sz w:val="22"/>
          <w:szCs w:val="22"/>
        </w:rPr>
      </w:pPr>
      <w:r w:rsidRPr="00612824">
        <w:rPr>
          <w:sz w:val="22"/>
          <w:szCs w:val="22"/>
        </w:rPr>
        <w:t>Dopo 32 settimane o nel momento in cui si è verificata la riacutizzazione della malattia, i pazienti sono stati ritenuti in possesso dei requisiti necessari per essere ammessi alla fase di estensione in aperto.</w:t>
      </w:r>
    </w:p>
    <w:p w:rsidR="00C1236A" w:rsidRPr="00612824" w:rsidP="00C1236A" w14:paraId="31247FBB" w14:textId="77777777">
      <w:pPr>
        <w:jc w:val="both"/>
        <w:rPr>
          <w:sz w:val="22"/>
          <w:szCs w:val="22"/>
        </w:rPr>
      </w:pPr>
    </w:p>
    <w:p w:rsidR="00C1236A" w:rsidRPr="00612824" w:rsidP="00C1236A" w14:paraId="604503F8" w14:textId="77777777">
      <w:pPr>
        <w:keepNext/>
        <w:keepLines/>
        <w:jc w:val="center"/>
        <w:rPr>
          <w:b/>
          <w:bCs/>
          <w:sz w:val="22"/>
          <w:szCs w:val="22"/>
        </w:rPr>
      </w:pPr>
      <w:r w:rsidRPr="00612824">
        <w:rPr>
          <w:b/>
          <w:bCs/>
          <w:sz w:val="22"/>
          <w:szCs w:val="22"/>
        </w:rPr>
        <w:t>Tabella 26</w:t>
      </w:r>
    </w:p>
    <w:p w:rsidR="00C1236A" w:rsidRPr="00612824" w:rsidP="00C1236A" w14:paraId="52B63588" w14:textId="77777777">
      <w:pPr>
        <w:pStyle w:val="BodyTextIndent"/>
        <w:keepNext/>
        <w:keepLines/>
        <w:ind w:left="110" w:right="53"/>
        <w:jc w:val="center"/>
        <w:rPr>
          <w:b/>
          <w:bCs/>
        </w:rPr>
      </w:pPr>
      <w:r w:rsidRPr="00612824">
        <w:rPr>
          <w:b/>
          <w:bCs/>
        </w:rPr>
        <w:t>Risposta PedACR30 nel corso dello studio JIA</w:t>
      </w:r>
    </w:p>
    <w:p w:rsidR="00C1236A" w:rsidRPr="00612824" w:rsidP="00C1236A" w14:paraId="33308696" w14:textId="77777777">
      <w:pPr>
        <w:pStyle w:val="BodyTextIndent"/>
        <w:keepNext/>
        <w:keepLines/>
        <w:ind w:left="110" w:right="53"/>
        <w:jc w:val="center"/>
        <w:rPr>
          <w:b/>
          <w:bCs/>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4"/>
        <w:gridCol w:w="1733"/>
        <w:gridCol w:w="1736"/>
        <w:gridCol w:w="1596"/>
        <w:gridCol w:w="1541"/>
      </w:tblGrid>
      <w:tr w14:paraId="0EFB300E" w14:textId="77777777" w:rsidTr="00F83E38">
        <w:tblPrEx>
          <w:tblW w:w="0" w:type="auto"/>
          <w:tblInd w:w="110" w:type="dxa"/>
          <w:tblLook w:val="0000"/>
        </w:tblPrEx>
        <w:trPr>
          <w:cantSplit/>
        </w:trPr>
        <w:tc>
          <w:tcPr>
            <w:tcW w:w="2418" w:type="dxa"/>
          </w:tcPr>
          <w:p w:rsidR="00C1236A" w:rsidRPr="00612824" w:rsidP="00F83E38" w14:paraId="67A7FCB6" w14:textId="77777777">
            <w:pPr>
              <w:pStyle w:val="BodyTextIndent"/>
              <w:keepNext/>
              <w:keepLines/>
              <w:ind w:right="53"/>
            </w:pPr>
            <w:r w:rsidRPr="00612824">
              <w:t>Braccio</w:t>
            </w:r>
          </w:p>
        </w:tc>
        <w:tc>
          <w:tcPr>
            <w:tcW w:w="3520" w:type="dxa"/>
            <w:gridSpan w:val="2"/>
          </w:tcPr>
          <w:p w:rsidR="00C1236A" w:rsidRPr="00612824" w:rsidP="00F83E38" w14:paraId="3296B240" w14:textId="77777777">
            <w:pPr>
              <w:pStyle w:val="BodyTextIndent"/>
              <w:keepNext/>
              <w:keepLines/>
              <w:ind w:right="53"/>
              <w:jc w:val="center"/>
            </w:pPr>
            <w:r w:rsidRPr="00612824">
              <w:t>MTX</w:t>
            </w:r>
          </w:p>
        </w:tc>
        <w:tc>
          <w:tcPr>
            <w:tcW w:w="3239" w:type="dxa"/>
            <w:gridSpan w:val="2"/>
          </w:tcPr>
          <w:p w:rsidR="00C1236A" w:rsidRPr="00612824" w:rsidP="00F83E38" w14:paraId="5A411CD0" w14:textId="77777777">
            <w:pPr>
              <w:pStyle w:val="BodyTextIndent"/>
              <w:keepNext/>
              <w:keepLines/>
              <w:ind w:right="53"/>
              <w:jc w:val="center"/>
            </w:pPr>
            <w:r w:rsidRPr="00612824">
              <w:t>Senza MTX</w:t>
            </w:r>
          </w:p>
        </w:tc>
      </w:tr>
      <w:tr w14:paraId="7D58F024" w14:textId="77777777" w:rsidTr="00F83E38">
        <w:tblPrEx>
          <w:tblW w:w="0" w:type="auto"/>
          <w:tblInd w:w="110" w:type="dxa"/>
          <w:tblLook w:val="0000"/>
        </w:tblPrEx>
        <w:trPr>
          <w:cantSplit/>
        </w:trPr>
        <w:tc>
          <w:tcPr>
            <w:tcW w:w="2418" w:type="dxa"/>
          </w:tcPr>
          <w:p w:rsidR="00C1236A" w:rsidRPr="00612824" w:rsidP="00F83E38" w14:paraId="556F506B" w14:textId="77777777">
            <w:pPr>
              <w:pStyle w:val="BodyTextIndent"/>
              <w:keepNext/>
              <w:keepLines/>
              <w:ind w:right="53"/>
            </w:pPr>
            <w:r w:rsidRPr="00612824">
              <w:t>Fase</w:t>
            </w:r>
          </w:p>
        </w:tc>
        <w:tc>
          <w:tcPr>
            <w:tcW w:w="3520" w:type="dxa"/>
            <w:gridSpan w:val="2"/>
          </w:tcPr>
          <w:p w:rsidR="00C1236A" w:rsidRPr="00612824" w:rsidP="00F83E38" w14:paraId="2A6CEFB7" w14:textId="77777777">
            <w:pPr>
              <w:pStyle w:val="BodyTextIndent"/>
              <w:keepNext/>
              <w:keepLines/>
              <w:ind w:right="53"/>
              <w:jc w:val="center"/>
            </w:pPr>
          </w:p>
        </w:tc>
        <w:tc>
          <w:tcPr>
            <w:tcW w:w="3239" w:type="dxa"/>
            <w:gridSpan w:val="2"/>
          </w:tcPr>
          <w:p w:rsidR="00C1236A" w:rsidRPr="00612824" w:rsidP="00F83E38" w14:paraId="303506F7" w14:textId="77777777">
            <w:pPr>
              <w:pStyle w:val="BodyTextIndent"/>
              <w:keepNext/>
              <w:keepLines/>
              <w:ind w:right="53"/>
              <w:jc w:val="center"/>
            </w:pPr>
          </w:p>
        </w:tc>
      </w:tr>
      <w:tr w14:paraId="3AFA95D7" w14:textId="77777777" w:rsidTr="00F83E38">
        <w:tblPrEx>
          <w:tblW w:w="0" w:type="auto"/>
          <w:tblInd w:w="110" w:type="dxa"/>
          <w:tblLook w:val="0000"/>
        </w:tblPrEx>
        <w:trPr>
          <w:cantSplit/>
        </w:trPr>
        <w:tc>
          <w:tcPr>
            <w:tcW w:w="2418" w:type="dxa"/>
          </w:tcPr>
          <w:p w:rsidR="00C1236A" w:rsidRPr="00612824" w:rsidP="00F83E38" w14:paraId="5801A10B" w14:textId="77777777">
            <w:pPr>
              <w:pStyle w:val="BodyTextIndent"/>
              <w:keepNext/>
              <w:keepLines/>
              <w:ind w:right="53"/>
            </w:pPr>
            <w:r w:rsidRPr="00612824">
              <w:t>OL-LI 16a settimana</w:t>
            </w:r>
          </w:p>
        </w:tc>
        <w:tc>
          <w:tcPr>
            <w:tcW w:w="3520" w:type="dxa"/>
            <w:gridSpan w:val="2"/>
          </w:tcPr>
          <w:p w:rsidR="00C1236A" w:rsidRPr="00612824" w:rsidP="00F83E38" w14:paraId="518C0886" w14:textId="77777777">
            <w:pPr>
              <w:pStyle w:val="BodyTextIndent"/>
              <w:keepNext/>
              <w:keepLines/>
              <w:ind w:right="53"/>
              <w:jc w:val="center"/>
            </w:pPr>
          </w:p>
        </w:tc>
        <w:tc>
          <w:tcPr>
            <w:tcW w:w="3239" w:type="dxa"/>
            <w:gridSpan w:val="2"/>
          </w:tcPr>
          <w:p w:rsidR="00C1236A" w:rsidRPr="00612824" w:rsidP="00F83E38" w14:paraId="042FDB3E" w14:textId="77777777">
            <w:pPr>
              <w:pStyle w:val="BodyTextIndent"/>
              <w:keepNext/>
              <w:keepLines/>
              <w:ind w:right="53"/>
              <w:jc w:val="center"/>
            </w:pPr>
          </w:p>
        </w:tc>
      </w:tr>
      <w:tr w14:paraId="43BFB13D" w14:textId="77777777" w:rsidTr="00F83E38">
        <w:tblPrEx>
          <w:tblW w:w="0" w:type="auto"/>
          <w:tblInd w:w="110" w:type="dxa"/>
          <w:tblLook w:val="0000"/>
        </w:tblPrEx>
        <w:trPr>
          <w:cantSplit/>
        </w:trPr>
        <w:tc>
          <w:tcPr>
            <w:tcW w:w="2418" w:type="dxa"/>
          </w:tcPr>
          <w:p w:rsidR="00C1236A" w:rsidRPr="00612824" w:rsidP="00F83E38" w14:paraId="3A533B69" w14:textId="77777777">
            <w:pPr>
              <w:pStyle w:val="BodyTextIndent"/>
              <w:keepNext/>
              <w:keepLines/>
              <w:ind w:right="53"/>
            </w:pPr>
            <w:r w:rsidRPr="00612824">
              <w:t>Risposta PedACR 30 (n/N)</w:t>
            </w:r>
          </w:p>
        </w:tc>
        <w:tc>
          <w:tcPr>
            <w:tcW w:w="3520" w:type="dxa"/>
            <w:gridSpan w:val="2"/>
          </w:tcPr>
          <w:p w:rsidR="00C1236A" w:rsidRPr="00612824" w:rsidP="00F83E38" w14:paraId="261B10F9" w14:textId="77777777">
            <w:pPr>
              <w:pStyle w:val="BodyTextIndent"/>
              <w:keepNext/>
              <w:keepLines/>
              <w:ind w:right="53"/>
              <w:jc w:val="center"/>
            </w:pPr>
            <w:r w:rsidRPr="00612824">
              <w:t>94,1% (80/85)</w:t>
            </w:r>
          </w:p>
        </w:tc>
        <w:tc>
          <w:tcPr>
            <w:tcW w:w="3239" w:type="dxa"/>
            <w:gridSpan w:val="2"/>
          </w:tcPr>
          <w:p w:rsidR="00C1236A" w:rsidRPr="00612824" w:rsidP="00F83E38" w14:paraId="7766F486" w14:textId="77777777">
            <w:pPr>
              <w:pStyle w:val="BodyTextIndent"/>
              <w:keepNext/>
              <w:keepLines/>
              <w:ind w:right="53"/>
              <w:jc w:val="center"/>
            </w:pPr>
            <w:r w:rsidRPr="00612824">
              <w:t>74,4% (64/86)</w:t>
            </w:r>
          </w:p>
        </w:tc>
      </w:tr>
      <w:tr w14:paraId="7D6E3F57" w14:textId="77777777" w:rsidTr="00F83E38">
        <w:tblPrEx>
          <w:tblW w:w="0" w:type="auto"/>
          <w:tblInd w:w="110" w:type="dxa"/>
          <w:tblLook w:val="0000"/>
        </w:tblPrEx>
        <w:trPr>
          <w:cantSplit/>
        </w:trPr>
        <w:tc>
          <w:tcPr>
            <w:tcW w:w="9177" w:type="dxa"/>
            <w:gridSpan w:val="5"/>
          </w:tcPr>
          <w:p w:rsidR="00C1236A" w:rsidRPr="00612824" w:rsidP="00F83E38" w14:paraId="2BFF550B" w14:textId="77777777">
            <w:pPr>
              <w:pStyle w:val="BodyTextIndent"/>
              <w:keepNext/>
              <w:keepLines/>
              <w:ind w:right="53"/>
              <w:jc w:val="center"/>
            </w:pPr>
            <w:r w:rsidRPr="00612824">
              <w:t>Risultati di efficacia</w:t>
            </w:r>
          </w:p>
        </w:tc>
      </w:tr>
      <w:tr w14:paraId="015863F1" w14:textId="77777777" w:rsidTr="00F83E38">
        <w:tblPrEx>
          <w:tblW w:w="0" w:type="auto"/>
          <w:tblInd w:w="110" w:type="dxa"/>
          <w:tblLook w:val="0000"/>
        </w:tblPrEx>
        <w:tc>
          <w:tcPr>
            <w:tcW w:w="2418" w:type="dxa"/>
          </w:tcPr>
          <w:p w:rsidR="00C1236A" w:rsidRPr="00612824" w:rsidP="00F83E38" w14:paraId="0980DD3A" w14:textId="77777777">
            <w:pPr>
              <w:pStyle w:val="BodyTextIndent"/>
              <w:keepNext/>
              <w:keepLines/>
              <w:ind w:right="53"/>
            </w:pPr>
            <w:r w:rsidRPr="00612824">
              <w:t xml:space="preserve">Doppio cieco 32sima settimana </w:t>
            </w:r>
          </w:p>
        </w:tc>
        <w:tc>
          <w:tcPr>
            <w:tcW w:w="1760" w:type="dxa"/>
          </w:tcPr>
          <w:p w:rsidR="00C1236A" w:rsidRPr="00612824" w:rsidP="00F83E38" w14:paraId="2FB3ADD9" w14:textId="77777777">
            <w:pPr>
              <w:pStyle w:val="BodyTextIndent"/>
              <w:keepNext/>
              <w:keepLines/>
              <w:ind w:right="53"/>
            </w:pPr>
            <w:r w:rsidRPr="00612824">
              <w:t>Humira/MTX</w:t>
            </w:r>
          </w:p>
          <w:p w:rsidR="00C1236A" w:rsidRPr="00612824" w:rsidP="00F83E38" w14:paraId="1B212504" w14:textId="77777777">
            <w:pPr>
              <w:pStyle w:val="BodyTextIndent"/>
              <w:keepNext/>
              <w:keepLines/>
              <w:ind w:right="53"/>
            </w:pPr>
            <w:r w:rsidRPr="00612824">
              <w:t>(N = 38)</w:t>
            </w:r>
          </w:p>
          <w:p w:rsidR="00C1236A" w:rsidRPr="00612824" w:rsidP="00F83E38" w14:paraId="6195D35B" w14:textId="77777777">
            <w:pPr>
              <w:pStyle w:val="BodyTextIndent"/>
              <w:keepNext/>
              <w:keepLines/>
              <w:ind w:right="53"/>
            </w:pPr>
          </w:p>
        </w:tc>
        <w:tc>
          <w:tcPr>
            <w:tcW w:w="1760" w:type="dxa"/>
          </w:tcPr>
          <w:p w:rsidR="00C1236A" w:rsidRPr="00612824" w:rsidP="00F83E38" w14:paraId="4BDA4025" w14:textId="77777777">
            <w:pPr>
              <w:pStyle w:val="BodyTextIndent"/>
              <w:keepNext/>
              <w:keepLines/>
              <w:ind w:right="53"/>
            </w:pPr>
            <w:r w:rsidRPr="00612824">
              <w:t>Placebo/MTX</w:t>
            </w:r>
          </w:p>
          <w:p w:rsidR="00C1236A" w:rsidRPr="00612824" w:rsidP="00F83E38" w14:paraId="0EDBAF79" w14:textId="77777777">
            <w:pPr>
              <w:pStyle w:val="BodyTextIndent"/>
              <w:keepNext/>
              <w:keepLines/>
              <w:ind w:right="53"/>
            </w:pPr>
            <w:r w:rsidRPr="00612824">
              <w:t>(N = 37)</w:t>
            </w:r>
          </w:p>
        </w:tc>
        <w:tc>
          <w:tcPr>
            <w:tcW w:w="1650" w:type="dxa"/>
          </w:tcPr>
          <w:p w:rsidR="00C1236A" w:rsidRPr="00612824" w:rsidP="00F83E38" w14:paraId="1CE77B3E" w14:textId="77777777">
            <w:pPr>
              <w:pStyle w:val="BodyTextIndent"/>
              <w:keepNext/>
              <w:keepLines/>
              <w:ind w:right="53"/>
            </w:pPr>
            <w:r w:rsidRPr="00612824">
              <w:t xml:space="preserve">Humira </w:t>
            </w:r>
          </w:p>
          <w:p w:rsidR="00C1236A" w:rsidRPr="00612824" w:rsidP="00F83E38" w14:paraId="776FBB88" w14:textId="77777777">
            <w:pPr>
              <w:pStyle w:val="BodyTextIndent"/>
              <w:keepNext/>
              <w:keepLines/>
              <w:ind w:right="53"/>
            </w:pPr>
            <w:r w:rsidRPr="00612824">
              <w:t>(N = 30)</w:t>
            </w:r>
          </w:p>
        </w:tc>
        <w:tc>
          <w:tcPr>
            <w:tcW w:w="1589" w:type="dxa"/>
          </w:tcPr>
          <w:p w:rsidR="00C1236A" w:rsidRPr="00612824" w:rsidP="00F83E38" w14:paraId="147A5196" w14:textId="77777777">
            <w:pPr>
              <w:pStyle w:val="BodyTextIndent"/>
              <w:keepNext/>
              <w:keepLines/>
              <w:ind w:right="53"/>
            </w:pPr>
            <w:r w:rsidRPr="00612824">
              <w:t>Placebo</w:t>
            </w:r>
          </w:p>
          <w:p w:rsidR="00C1236A" w:rsidRPr="00612824" w:rsidP="00F83E38" w14:paraId="3398A0AA" w14:textId="77777777">
            <w:pPr>
              <w:pStyle w:val="BodyTextIndent"/>
              <w:keepNext/>
              <w:keepLines/>
              <w:ind w:right="53"/>
            </w:pPr>
            <w:r w:rsidRPr="00612824">
              <w:t>(N = 28)</w:t>
            </w:r>
          </w:p>
        </w:tc>
      </w:tr>
      <w:tr w14:paraId="228AB0EF" w14:textId="77777777" w:rsidTr="00F83E38">
        <w:tblPrEx>
          <w:tblW w:w="0" w:type="auto"/>
          <w:tblInd w:w="110" w:type="dxa"/>
          <w:tblLook w:val="0000"/>
        </w:tblPrEx>
        <w:tc>
          <w:tcPr>
            <w:tcW w:w="2418" w:type="dxa"/>
          </w:tcPr>
          <w:p w:rsidR="00C1236A" w:rsidRPr="00612824" w:rsidP="00F83E38" w14:paraId="36FEC149" w14:textId="77777777">
            <w:pPr>
              <w:pStyle w:val="BodyTextIndent"/>
              <w:keepNext/>
              <w:keepLines/>
              <w:ind w:right="53"/>
            </w:pPr>
            <w:r w:rsidRPr="00612824">
              <w:t>Riacutizzazione della malattia alla fine della 32a settimana</w:t>
            </w:r>
            <w:r w:rsidRPr="00612824">
              <w:rPr>
                <w:vertAlign w:val="superscript"/>
              </w:rPr>
              <w:t>a</w:t>
            </w:r>
            <w:r w:rsidRPr="00612824">
              <w:t xml:space="preserve"> (n/N)</w:t>
            </w:r>
          </w:p>
        </w:tc>
        <w:tc>
          <w:tcPr>
            <w:tcW w:w="1760" w:type="dxa"/>
          </w:tcPr>
          <w:p w:rsidR="00C1236A" w:rsidRPr="00612824" w:rsidP="00F83E38" w14:paraId="6649D1DA" w14:textId="77777777">
            <w:pPr>
              <w:pStyle w:val="BodyTextIndent"/>
              <w:keepNext/>
              <w:keepLines/>
              <w:ind w:right="53"/>
            </w:pPr>
            <w:r w:rsidRPr="00612824">
              <w:t>36,8% (14/38)</w:t>
            </w:r>
          </w:p>
        </w:tc>
        <w:tc>
          <w:tcPr>
            <w:tcW w:w="1760" w:type="dxa"/>
          </w:tcPr>
          <w:p w:rsidR="00C1236A" w:rsidRPr="00612824" w:rsidP="00F83E38" w14:paraId="390496AD" w14:textId="77777777">
            <w:pPr>
              <w:pStyle w:val="BodyTextIndent"/>
              <w:keepNext/>
              <w:keepLines/>
              <w:ind w:right="53"/>
            </w:pPr>
            <w:r w:rsidRPr="00612824">
              <w:t>64,9% (24/37)</w:t>
            </w:r>
            <w:r w:rsidRPr="00612824">
              <w:rPr>
                <w:vertAlign w:val="superscript"/>
              </w:rPr>
              <w:t>b</w:t>
            </w:r>
          </w:p>
        </w:tc>
        <w:tc>
          <w:tcPr>
            <w:tcW w:w="1650" w:type="dxa"/>
          </w:tcPr>
          <w:p w:rsidR="00C1236A" w:rsidRPr="00612824" w:rsidP="00F83E38" w14:paraId="001535B5" w14:textId="77777777">
            <w:pPr>
              <w:pStyle w:val="BodyTextIndent"/>
              <w:keepNext/>
              <w:keepLines/>
              <w:ind w:right="53"/>
            </w:pPr>
            <w:r w:rsidRPr="00612824">
              <w:t>43,3% (13/30)</w:t>
            </w:r>
          </w:p>
        </w:tc>
        <w:tc>
          <w:tcPr>
            <w:tcW w:w="1589" w:type="dxa"/>
          </w:tcPr>
          <w:p w:rsidR="00C1236A" w:rsidRPr="00612824" w:rsidP="00F83E38" w14:paraId="48B9FF79" w14:textId="77777777">
            <w:pPr>
              <w:pStyle w:val="BodyTextIndent"/>
              <w:keepNext/>
              <w:keepLines/>
              <w:ind w:right="53"/>
            </w:pPr>
            <w:r w:rsidRPr="00612824">
              <w:t>71,4% (20/28)</w:t>
            </w:r>
            <w:r w:rsidRPr="00612824">
              <w:rPr>
                <w:vertAlign w:val="superscript"/>
              </w:rPr>
              <w:t>c</w:t>
            </w:r>
          </w:p>
        </w:tc>
      </w:tr>
      <w:tr w14:paraId="1221F8D1" w14:textId="77777777" w:rsidTr="00F83E38">
        <w:tblPrEx>
          <w:tblW w:w="0" w:type="auto"/>
          <w:tblInd w:w="110" w:type="dxa"/>
          <w:tblLook w:val="0000"/>
        </w:tblPrEx>
        <w:tc>
          <w:tcPr>
            <w:tcW w:w="2418" w:type="dxa"/>
          </w:tcPr>
          <w:p w:rsidR="00C1236A" w:rsidRPr="00612824" w:rsidP="00F83E38" w14:paraId="3DB2781F" w14:textId="77777777">
            <w:pPr>
              <w:pStyle w:val="BodyTextIndent"/>
              <w:keepNext/>
              <w:keepLines/>
              <w:ind w:right="53"/>
            </w:pPr>
            <w:r w:rsidRPr="00612824">
              <w:t>Tempo medio alla riacutizzazione della malattia</w:t>
            </w:r>
          </w:p>
        </w:tc>
        <w:tc>
          <w:tcPr>
            <w:tcW w:w="1760" w:type="dxa"/>
          </w:tcPr>
          <w:p w:rsidR="00C1236A" w:rsidRPr="00612824" w:rsidP="00F83E38" w14:paraId="02B7190E" w14:textId="77777777">
            <w:pPr>
              <w:pStyle w:val="BodyTextIndent"/>
              <w:keepNext/>
              <w:keepLines/>
              <w:ind w:right="53"/>
            </w:pPr>
            <w:r w:rsidRPr="00612824">
              <w:t>&gt;32 settimane</w:t>
            </w:r>
          </w:p>
        </w:tc>
        <w:tc>
          <w:tcPr>
            <w:tcW w:w="1760" w:type="dxa"/>
          </w:tcPr>
          <w:p w:rsidR="00C1236A" w:rsidRPr="00612824" w:rsidP="00F83E38" w14:paraId="4548CEC1" w14:textId="77777777">
            <w:pPr>
              <w:pStyle w:val="BodyTextIndent"/>
              <w:keepNext/>
              <w:keepLines/>
              <w:ind w:right="53"/>
            </w:pPr>
            <w:r w:rsidRPr="00612824">
              <w:t>20 settimane</w:t>
            </w:r>
          </w:p>
        </w:tc>
        <w:tc>
          <w:tcPr>
            <w:tcW w:w="1650" w:type="dxa"/>
          </w:tcPr>
          <w:p w:rsidR="00C1236A" w:rsidRPr="00612824" w:rsidP="00F83E38" w14:paraId="1530A373" w14:textId="77777777">
            <w:pPr>
              <w:pStyle w:val="BodyTextIndent"/>
              <w:keepNext/>
              <w:keepLines/>
              <w:ind w:right="53"/>
            </w:pPr>
            <w:r w:rsidRPr="00612824">
              <w:t>&gt;32 settimane</w:t>
            </w:r>
          </w:p>
        </w:tc>
        <w:tc>
          <w:tcPr>
            <w:tcW w:w="1589" w:type="dxa"/>
          </w:tcPr>
          <w:p w:rsidR="00C1236A" w:rsidRPr="00612824" w:rsidP="00F83E38" w14:paraId="05FB3B63" w14:textId="77777777">
            <w:pPr>
              <w:pStyle w:val="BodyTextIndent"/>
              <w:keepNext/>
              <w:keepLines/>
              <w:ind w:right="53"/>
            </w:pPr>
            <w:r w:rsidRPr="00612824">
              <w:t>14 settimane</w:t>
            </w:r>
          </w:p>
        </w:tc>
      </w:tr>
    </w:tbl>
    <w:p w:rsidR="00C1236A" w:rsidRPr="00612824" w:rsidP="00C1236A" w14:paraId="3C533814" w14:textId="77777777">
      <w:pPr>
        <w:pStyle w:val="BodyTextIndent"/>
        <w:keepNext/>
        <w:keepLines/>
        <w:ind w:right="53"/>
      </w:pPr>
      <w:r w:rsidRPr="00612824">
        <w:rPr>
          <w:vertAlign w:val="superscript"/>
        </w:rPr>
        <w:t>a</w:t>
      </w:r>
      <w:r w:rsidRPr="00612824">
        <w:t xml:space="preserve"> Le risposte Ped ACR 30/50/70 alla 48a settimana sono risultate significativamente maggiori rispetto a quelle ottenute nei pazienti trattati con placebo </w:t>
      </w:r>
    </w:p>
    <w:p w:rsidR="00C1236A" w:rsidRPr="00612824" w:rsidP="00C1236A" w14:paraId="5F9B1C0C" w14:textId="77777777">
      <w:pPr>
        <w:pStyle w:val="BodyTextIndent"/>
        <w:keepNext/>
        <w:keepLines/>
        <w:ind w:right="53"/>
      </w:pPr>
      <w:r w:rsidRPr="00612824">
        <w:rPr>
          <w:vertAlign w:val="superscript"/>
        </w:rPr>
        <w:t xml:space="preserve">b </w:t>
      </w:r>
      <w:r w:rsidRPr="00612824">
        <w:t>p = 0,015</w:t>
      </w:r>
    </w:p>
    <w:p w:rsidR="00C1236A" w:rsidRPr="00612824" w:rsidP="00C1236A" w14:paraId="5C8FEED2" w14:textId="77777777">
      <w:pPr>
        <w:pStyle w:val="BodyTextIndent"/>
        <w:keepNext/>
        <w:keepLines/>
        <w:ind w:right="53"/>
        <w:rPr>
          <w:b/>
          <w:bCs/>
        </w:rPr>
      </w:pPr>
      <w:r w:rsidRPr="00612824">
        <w:rPr>
          <w:vertAlign w:val="superscript"/>
        </w:rPr>
        <w:t xml:space="preserve">c </w:t>
      </w:r>
      <w:r w:rsidRPr="00612824">
        <w:t>p = 0,031</w:t>
      </w:r>
    </w:p>
    <w:p w:rsidR="00C1236A" w:rsidRPr="00612824" w:rsidP="00C1236A" w14:paraId="18C9CECD" w14:textId="77777777">
      <w:pPr>
        <w:tabs>
          <w:tab w:val="left" w:pos="567"/>
          <w:tab w:val="left" w:pos="1294"/>
        </w:tabs>
        <w:autoSpaceDE w:val="0"/>
        <w:autoSpaceDN w:val="0"/>
        <w:adjustRightInd w:val="0"/>
        <w:jc w:val="both"/>
        <w:rPr>
          <w:color w:val="000000"/>
          <w:sz w:val="22"/>
          <w:szCs w:val="22"/>
        </w:rPr>
      </w:pPr>
    </w:p>
    <w:p w:rsidR="00C1236A" w:rsidRPr="00612824" w:rsidP="00C1236A" w14:paraId="110F4027" w14:textId="77777777">
      <w:pPr>
        <w:rPr>
          <w:sz w:val="22"/>
          <w:szCs w:val="22"/>
        </w:rPr>
      </w:pPr>
      <w:r w:rsidRPr="00612824">
        <w:rPr>
          <w:sz w:val="22"/>
          <w:szCs w:val="22"/>
        </w:rPr>
        <w:t xml:space="preserve">Tra coloro che alla 16a settimana hanno risposto al trattamento (n=144), le risposte Ped ACR 30/50/70/90 sono state mantenute per un massimo di sei anni durante la fase OLE nei pazienti a cui è stato somministrato Humira nel corso di tutto lo studio. Complessivamente, 19 soggetti, di cui 11 appartenenti al gruppo di età al basale compresa tra 4 e 12 anni e 8 appartenenti al gruppo di età al basale compresa tra 13 e 17 anni, sono stati trattati per 6 anni o più. </w:t>
      </w:r>
    </w:p>
    <w:p w:rsidR="00C1236A" w:rsidRPr="00612824" w:rsidP="00C1236A" w14:paraId="111CDC0E" w14:textId="77777777">
      <w:pPr>
        <w:tabs>
          <w:tab w:val="left" w:pos="567"/>
          <w:tab w:val="left" w:pos="1294"/>
        </w:tabs>
        <w:autoSpaceDE w:val="0"/>
        <w:autoSpaceDN w:val="0"/>
        <w:adjustRightInd w:val="0"/>
        <w:jc w:val="both"/>
        <w:rPr>
          <w:sz w:val="22"/>
          <w:szCs w:val="22"/>
        </w:rPr>
      </w:pPr>
    </w:p>
    <w:p w:rsidR="00C1236A" w:rsidRPr="00612824" w:rsidP="00C1236A" w14:paraId="1B32CE4B" w14:textId="77777777">
      <w:pPr>
        <w:tabs>
          <w:tab w:val="left" w:pos="567"/>
          <w:tab w:val="left" w:pos="1294"/>
        </w:tabs>
        <w:autoSpaceDE w:val="0"/>
        <w:autoSpaceDN w:val="0"/>
        <w:adjustRightInd w:val="0"/>
        <w:jc w:val="both"/>
        <w:rPr>
          <w:sz w:val="22"/>
          <w:szCs w:val="22"/>
        </w:rPr>
      </w:pPr>
      <w:r w:rsidRPr="00612824">
        <w:rPr>
          <w:sz w:val="22"/>
          <w:szCs w:val="22"/>
        </w:rPr>
        <w:t xml:space="preserve">Le risposte complessive sono risultate generalmente migliori e meno pazienti hanno sviluppato anticorpi quando sono stati trattati con la terapia combinata Humira e MTX rispetto al trattamento con Humira somministrato in monoterapia. </w:t>
      </w:r>
    </w:p>
    <w:p w:rsidR="00C1236A" w:rsidRPr="00612824" w:rsidP="00C1236A" w14:paraId="0720D87C" w14:textId="77777777">
      <w:pPr>
        <w:rPr>
          <w:sz w:val="22"/>
          <w:szCs w:val="22"/>
        </w:rPr>
      </w:pPr>
    </w:p>
    <w:p w:rsidR="00C1236A" w:rsidRPr="00612824" w:rsidP="00C1236A" w14:paraId="121DBA3B" w14:textId="77777777">
      <w:pPr>
        <w:tabs>
          <w:tab w:val="left" w:pos="567"/>
          <w:tab w:val="left" w:pos="1294"/>
        </w:tabs>
        <w:autoSpaceDE w:val="0"/>
        <w:autoSpaceDN w:val="0"/>
        <w:adjustRightInd w:val="0"/>
        <w:jc w:val="both"/>
        <w:rPr>
          <w:sz w:val="22"/>
          <w:szCs w:val="22"/>
        </w:rPr>
      </w:pPr>
      <w:r w:rsidRPr="00612824">
        <w:rPr>
          <w:sz w:val="22"/>
          <w:szCs w:val="22"/>
        </w:rPr>
        <w:t>Prendendo in considerazione tali risultati, l’uso di Humira è raccomandato in associazione al MTX ed in monoterapia nei pazienti per i quali l’uso di MTX sia sconsigliato (vedere paragrafo 4.2).</w:t>
      </w:r>
    </w:p>
    <w:p w:rsidR="00C1236A" w:rsidRPr="00612824" w:rsidP="00C1236A" w14:paraId="197E3138" w14:textId="77777777">
      <w:pPr>
        <w:tabs>
          <w:tab w:val="left" w:pos="567"/>
          <w:tab w:val="left" w:pos="1294"/>
        </w:tabs>
        <w:autoSpaceDE w:val="0"/>
        <w:autoSpaceDN w:val="0"/>
        <w:adjustRightInd w:val="0"/>
        <w:jc w:val="both"/>
        <w:rPr>
          <w:sz w:val="22"/>
          <w:szCs w:val="22"/>
        </w:rPr>
      </w:pPr>
    </w:p>
    <w:p w:rsidR="00C1236A" w:rsidRPr="00612824" w:rsidP="00C1236A" w14:paraId="1932E546" w14:textId="77777777">
      <w:pPr>
        <w:tabs>
          <w:tab w:val="left" w:pos="567"/>
          <w:tab w:val="left" w:pos="1294"/>
        </w:tabs>
        <w:autoSpaceDE w:val="0"/>
        <w:autoSpaceDN w:val="0"/>
        <w:adjustRightInd w:val="0"/>
        <w:jc w:val="both"/>
        <w:rPr>
          <w:sz w:val="22"/>
          <w:szCs w:val="22"/>
        </w:rPr>
      </w:pPr>
      <w:r w:rsidRPr="00612824">
        <w:rPr>
          <w:sz w:val="22"/>
          <w:szCs w:val="22"/>
        </w:rPr>
        <w:t>pJIA II</w:t>
      </w:r>
    </w:p>
    <w:p w:rsidR="00C1236A" w:rsidRPr="00612824" w:rsidP="00C1236A" w14:paraId="50925D2F" w14:textId="77777777">
      <w:pPr>
        <w:tabs>
          <w:tab w:val="left" w:pos="567"/>
          <w:tab w:val="left" w:pos="1294"/>
        </w:tabs>
        <w:autoSpaceDE w:val="0"/>
        <w:autoSpaceDN w:val="0"/>
        <w:adjustRightInd w:val="0"/>
        <w:jc w:val="both"/>
        <w:rPr>
          <w:sz w:val="22"/>
          <w:szCs w:val="22"/>
        </w:rPr>
      </w:pPr>
    </w:p>
    <w:p w:rsidR="00C1236A" w:rsidRPr="00612824" w:rsidP="00C1236A" w14:paraId="1A0DBB1A" w14:textId="77777777">
      <w:pPr>
        <w:tabs>
          <w:tab w:val="left" w:pos="567"/>
          <w:tab w:val="left" w:pos="1294"/>
        </w:tabs>
        <w:autoSpaceDE w:val="0"/>
        <w:autoSpaceDN w:val="0"/>
        <w:adjustRightInd w:val="0"/>
        <w:jc w:val="both"/>
        <w:rPr>
          <w:sz w:val="22"/>
          <w:szCs w:val="22"/>
        </w:rPr>
      </w:pPr>
      <w:r w:rsidRPr="00612824">
        <w:rPr>
          <w:sz w:val="22"/>
          <w:szCs w:val="22"/>
        </w:rPr>
        <w:t>La sicurezza e l’efficacia di Humira è stata valutata in uno studio multicentrico in aperto in 32 bambini (2-&lt;4 anni età o di 4 anni di età o più e peso &lt;15 kg) con artrite idiopatica giovanile poliarticolare da moderatamente a gravemente attiva. I pazienti hanno ricevuto 24 mg/m</w:t>
      </w:r>
      <w:r w:rsidRPr="00612824">
        <w:rPr>
          <w:sz w:val="22"/>
          <w:szCs w:val="22"/>
          <w:vertAlign w:val="superscript"/>
        </w:rPr>
        <w:t>2</w:t>
      </w:r>
      <w:r w:rsidRPr="00612824">
        <w:rPr>
          <w:sz w:val="22"/>
          <w:szCs w:val="22"/>
        </w:rPr>
        <w:t xml:space="preserve"> di superficie corporea (BSA) di Humira fino a un massimo di 20 mg a settimane alterne come singola dose per via sottocutanea per almeno 24 settimane. Durante lo studio la maggior parte dei soggetti faceva un uso concomitante di MTX, con alcuni soggetti che riportavano l’uso di corticosteroidi o antinfiammatori non steroidei (FANS).</w:t>
      </w:r>
    </w:p>
    <w:p w:rsidR="00C1236A" w:rsidRPr="00612824" w:rsidP="00C1236A" w14:paraId="1BCFA4EC" w14:textId="77777777">
      <w:pPr>
        <w:tabs>
          <w:tab w:val="left" w:pos="567"/>
          <w:tab w:val="left" w:pos="1294"/>
        </w:tabs>
        <w:autoSpaceDE w:val="0"/>
        <w:autoSpaceDN w:val="0"/>
        <w:adjustRightInd w:val="0"/>
        <w:jc w:val="both"/>
        <w:rPr>
          <w:sz w:val="22"/>
          <w:szCs w:val="22"/>
        </w:rPr>
      </w:pPr>
    </w:p>
    <w:p w:rsidR="00C1236A" w:rsidRPr="00612824" w:rsidP="00C1236A" w14:paraId="07F6A85C" w14:textId="77777777">
      <w:pPr>
        <w:rPr>
          <w:color w:val="000000"/>
          <w:sz w:val="22"/>
          <w:szCs w:val="22"/>
        </w:rPr>
      </w:pPr>
      <w:r w:rsidRPr="00612824">
        <w:rPr>
          <w:sz w:val="22"/>
          <w:szCs w:val="22"/>
        </w:rPr>
        <w:t>Alla settimana 12 e alla settimana 24, la risposta PedACR30 era, rispettivamente, 93,5% e 90,0% usando l’approccio dei dati osservati. Le percentuali dei soggetti con PedACR50/70/90 alla settimana 12 e alla settimana 24 erano, rispettivamente, 90,3%/61,3%/38,7% e 83,3%/73,3%/36,7%. Tra quelli che rispondevano (PedACR30) alla settimana 24 (n=27 pazienti su 30), le risposte PedACR30 erano mantenute fino a 60 settimane nei pazienti che ricevevano Humira nel corso della fa</w:t>
      </w:r>
      <w:r w:rsidR="00672E60">
        <w:rPr>
          <w:sz w:val="22"/>
          <w:szCs w:val="22"/>
        </w:rPr>
        <w:t>s</w:t>
      </w:r>
      <w:r w:rsidRPr="00612824">
        <w:rPr>
          <w:sz w:val="22"/>
          <w:szCs w:val="22"/>
        </w:rPr>
        <w:t>e di estensione in aperto (OLE). In totale, 20 soggetti erano trattati per 60 settimane o oltre.</w:t>
      </w:r>
    </w:p>
    <w:p w:rsidR="00C1236A" w:rsidRPr="00612824" w:rsidP="00C1236A" w14:paraId="1CA594DC" w14:textId="77777777">
      <w:pPr>
        <w:tabs>
          <w:tab w:val="left" w:pos="567"/>
        </w:tabs>
        <w:jc w:val="both"/>
        <w:rPr>
          <w:sz w:val="22"/>
          <w:szCs w:val="22"/>
        </w:rPr>
      </w:pPr>
    </w:p>
    <w:p w:rsidR="00C1236A" w:rsidRPr="00612824" w:rsidP="00C1236A" w14:paraId="174C81AF" w14:textId="77777777">
      <w:pPr>
        <w:pStyle w:val="gtcbodytext"/>
        <w:keepNext/>
        <w:keepLines/>
        <w:spacing w:before="0" w:after="0" w:line="240" w:lineRule="auto"/>
        <w:rPr>
          <w:rStyle w:val="gtcbold9"/>
          <w:b w:val="0"/>
          <w:i/>
          <w:color w:val="000000"/>
          <w:sz w:val="22"/>
          <w:szCs w:val="22"/>
          <w:u w:val="single"/>
          <w:lang w:val="it-IT"/>
        </w:rPr>
      </w:pPr>
      <w:r w:rsidRPr="00612824">
        <w:rPr>
          <w:rStyle w:val="gtcbold9"/>
          <w:b w:val="0"/>
          <w:i/>
          <w:sz w:val="22"/>
          <w:szCs w:val="22"/>
          <w:u w:val="single"/>
          <w:lang w:val="it-IT"/>
        </w:rPr>
        <w:t>Artrite associata ad entesite</w:t>
      </w:r>
    </w:p>
    <w:p w:rsidR="00C1236A" w:rsidRPr="00612824" w:rsidP="00C1236A" w14:paraId="6D17CE2B" w14:textId="77777777">
      <w:pPr>
        <w:pStyle w:val="EMEAHeadingUnderline"/>
        <w:keepNext/>
        <w:keepLines/>
        <w:spacing w:beforeLines="0" w:afterLines="0"/>
        <w:jc w:val="both"/>
        <w:rPr>
          <w:lang w:val="it-IT"/>
        </w:rPr>
      </w:pPr>
    </w:p>
    <w:p w:rsidR="00C1236A" w:rsidRPr="00296E2B" w:rsidP="00C1236A" w14:paraId="454D3F48" w14:textId="77777777">
      <w:pPr>
        <w:pStyle w:val="gtcbodytext"/>
        <w:keepNext/>
        <w:keepLines/>
        <w:spacing w:before="0" w:after="0" w:line="240" w:lineRule="auto"/>
        <w:jc w:val="both"/>
        <w:rPr>
          <w:rStyle w:val="gtcbold9"/>
          <w:b w:val="0"/>
          <w:color w:val="000000"/>
          <w:sz w:val="22"/>
          <w:szCs w:val="22"/>
          <w:lang w:val="it-IT"/>
        </w:rPr>
      </w:pPr>
      <w:r w:rsidRPr="00612824">
        <w:rPr>
          <w:sz w:val="22"/>
          <w:szCs w:val="22"/>
          <w:lang w:val="it-IT"/>
        </w:rPr>
        <w:t xml:space="preserve">La sicurezza e l’efficacia di Humira sono state valutate in </w:t>
      </w:r>
      <w:r w:rsidRPr="00612824">
        <w:rPr>
          <w:rStyle w:val="gtcbold9"/>
          <w:b w:val="0"/>
          <w:sz w:val="22"/>
          <w:szCs w:val="22"/>
          <w:lang w:val="it-IT"/>
        </w:rPr>
        <w:t>uno studio multicentrico, randomizzato, in doppio cieco in 46 pazienti pediatrici (da 6 a 17 anni di età) con entesite associata ad artrite di grado moderato. I pazienti sono stati randomizzati per ricevere o 24 mg/m</w:t>
      </w:r>
      <w:r w:rsidRPr="00612824">
        <w:rPr>
          <w:rStyle w:val="gtcbold9"/>
          <w:b w:val="0"/>
          <w:sz w:val="22"/>
          <w:szCs w:val="22"/>
          <w:vertAlign w:val="superscript"/>
          <w:lang w:val="it-IT"/>
        </w:rPr>
        <w:t>2</w:t>
      </w:r>
      <w:r w:rsidRPr="00612824">
        <w:rPr>
          <w:rStyle w:val="gtcbold9"/>
          <w:b w:val="0"/>
          <w:sz w:val="22"/>
          <w:szCs w:val="22"/>
          <w:lang w:val="it-IT"/>
        </w:rPr>
        <w:t xml:space="preserve"> di superficie corporea (BSA) di Humira, fino ad un massimo di 40 mg, o placebo a settimane alterne per 12 settimane. Il periodo in doppio cieco è stato seguito da un periodo di studio in aperto (OL), durante il quale i pazienti hanno ricevuto 24 mg/m</w:t>
      </w:r>
      <w:r w:rsidRPr="00612824">
        <w:rPr>
          <w:rStyle w:val="gtcbold9"/>
          <w:b w:val="0"/>
          <w:sz w:val="22"/>
          <w:szCs w:val="22"/>
          <w:vertAlign w:val="superscript"/>
          <w:lang w:val="it-IT"/>
        </w:rPr>
        <w:t>2</w:t>
      </w:r>
      <w:r w:rsidRPr="00612824">
        <w:rPr>
          <w:rStyle w:val="gtcbold9"/>
          <w:b w:val="0"/>
          <w:sz w:val="22"/>
          <w:szCs w:val="22"/>
          <w:lang w:val="it-IT"/>
        </w:rPr>
        <w:t xml:space="preserve"> di superficie corporea di Humira, fino ad un massimo di 40 mg per via sottocutanea a settimane alterne, per altre 192 settimane. L’endpoint primario era la variazione percentuale nel numero di articolazioni con artrite attiva dal valore al basale a quello alla settimana 12 (gonfiore non dovuto a deformità o articolazioni con perdita di movimento più dolore e/o dolorabilità), ed è stato raggiunto con una diminuzione media percentuale del -62,6% (variazione mediana percentuale– 88,9%) nei pazienti del gruppo trattato con Humira rispetto al -11,6% (variazione mediana percentuale– 50,0%) nei pazienti del gruppo trattato con placebo. Il miglioramento nel numero di articolazioni attive con artrite è stato mantenuto durante il periodo in aperto dello studio, fino alla settimana 156 per 26 dei 31 (84%) pazienti del gruppo trattato con Humira che sono rimasti nello studio. Nonostante non fosse statisticamente significativo, la maggior parte dei pazienti ha dimostrato un miglioramento clinico negli endpoint secondari, come il numero di siti di entesite, la conta delle articolazioni dolenti (TJC), la conta delle articolazioni tumefatte (SJC), la risposta ACR 50 Pediatrica e la risposta ACR 70 Pediatrica.</w:t>
      </w:r>
    </w:p>
    <w:p w:rsidR="00C1236A" w:rsidRPr="00296E2B" w:rsidP="00C1236A" w14:paraId="3F818A25" w14:textId="77777777">
      <w:pPr>
        <w:pStyle w:val="gtcbodytext"/>
        <w:spacing w:before="0" w:after="0" w:line="240" w:lineRule="auto"/>
        <w:jc w:val="both"/>
        <w:rPr>
          <w:rStyle w:val="gtcbold9"/>
          <w:b w:val="0"/>
          <w:sz w:val="22"/>
          <w:szCs w:val="22"/>
          <w:u w:val="single"/>
          <w:lang w:val="it-IT"/>
        </w:rPr>
      </w:pPr>
    </w:p>
    <w:p w:rsidR="00C1236A" w:rsidRPr="00612824" w:rsidP="00C1236A" w14:paraId="679D70E0" w14:textId="77777777">
      <w:pPr>
        <w:tabs>
          <w:tab w:val="left" w:pos="567"/>
        </w:tabs>
        <w:jc w:val="both"/>
        <w:rPr>
          <w:i/>
          <w:color w:val="000000"/>
          <w:sz w:val="22"/>
          <w:szCs w:val="22"/>
        </w:rPr>
      </w:pPr>
      <w:r w:rsidRPr="00612824">
        <w:rPr>
          <w:i/>
          <w:color w:val="000000"/>
          <w:sz w:val="22"/>
          <w:szCs w:val="22"/>
        </w:rPr>
        <w:t>Psoriasi a placche pediatrica</w:t>
      </w:r>
    </w:p>
    <w:p w:rsidR="00C1236A" w:rsidRPr="00612824" w:rsidP="00C1236A" w14:paraId="1E002D80" w14:textId="77777777">
      <w:pPr>
        <w:tabs>
          <w:tab w:val="left" w:pos="567"/>
        </w:tabs>
        <w:jc w:val="both"/>
        <w:rPr>
          <w:color w:val="000000"/>
          <w:sz w:val="22"/>
          <w:szCs w:val="22"/>
        </w:rPr>
      </w:pPr>
    </w:p>
    <w:p w:rsidR="00C1236A" w:rsidRPr="00612824" w:rsidP="00C1236A" w14:paraId="07DE3F1A" w14:textId="77777777">
      <w:pPr>
        <w:tabs>
          <w:tab w:val="left" w:pos="567"/>
        </w:tabs>
        <w:jc w:val="both"/>
        <w:rPr>
          <w:color w:val="000000"/>
          <w:sz w:val="22"/>
          <w:szCs w:val="22"/>
        </w:rPr>
      </w:pPr>
      <w:r w:rsidRPr="00612824">
        <w:rPr>
          <w:color w:val="000000"/>
          <w:sz w:val="22"/>
          <w:szCs w:val="22"/>
        </w:rPr>
        <w:t>L’efficacia di Humira è stata valutata in uno studio randomizzato, controllato, in doppio cieco, su 114 pazienti pediatrici a partire dai 4 anni d’età con psoriasi cronica a placche grave (definita da un PGA ≥ 4 o BSA &gt; 20% o BSA &gt; 10% con lesioni molto spesse o PASI ≥ 20 o ≥ 10 con coinvolgimento facciale, genitale o di mani/piedi clinicamente rilevante) inadeguatamente controllata con la terapia topica e l’elioterapia o la fototerapia.</w:t>
      </w:r>
    </w:p>
    <w:p w:rsidR="00C1236A" w:rsidRPr="00612824" w:rsidP="00C1236A" w14:paraId="74277360" w14:textId="77777777">
      <w:pPr>
        <w:tabs>
          <w:tab w:val="left" w:pos="567"/>
        </w:tabs>
        <w:jc w:val="both"/>
        <w:rPr>
          <w:color w:val="000000"/>
          <w:sz w:val="22"/>
          <w:szCs w:val="22"/>
        </w:rPr>
      </w:pPr>
    </w:p>
    <w:p w:rsidR="00C1236A" w:rsidRPr="00612824" w:rsidP="00C1236A" w14:paraId="28822D27" w14:textId="77777777">
      <w:pPr>
        <w:tabs>
          <w:tab w:val="left" w:pos="567"/>
        </w:tabs>
        <w:jc w:val="both"/>
        <w:rPr>
          <w:color w:val="000000"/>
          <w:sz w:val="22"/>
          <w:szCs w:val="22"/>
        </w:rPr>
      </w:pPr>
      <w:r w:rsidRPr="00612824">
        <w:rPr>
          <w:color w:val="000000"/>
          <w:sz w:val="22"/>
          <w:szCs w:val="22"/>
        </w:rPr>
        <w:t>I pazienti hanno ricevuto Humira 0,8 mg/kg a settimane alterne (fino a 40 mg), 0,4 mg/kg a settimane alterne (fino a 20 mg), oppure metotressato 0,1 – 0,4 mg/kg una volta a settimana (fino a 25 mg). Alla settimana 16, un maggior numero di pazienti randomizzati ad Humira 0,8 mg/kg ha avuto risposte di efficacia positive (ad es., risposta PASI 75) rispetto a quelli randomizzati a 0,4mg/kg a settimane alterne o a metotressato.</w:t>
      </w:r>
    </w:p>
    <w:p w:rsidR="00C1236A" w:rsidRPr="00612824" w:rsidP="00C1236A" w14:paraId="250AEDA3" w14:textId="77777777">
      <w:pPr>
        <w:keepNext/>
        <w:tabs>
          <w:tab w:val="left" w:pos="567"/>
        </w:tabs>
        <w:jc w:val="both"/>
        <w:rPr>
          <w:color w:val="000000"/>
          <w:sz w:val="22"/>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4185"/>
        <w:gridCol w:w="1131"/>
        <w:gridCol w:w="2771"/>
      </w:tblGrid>
      <w:tr w14:paraId="3ABC50AF" w14:textId="77777777" w:rsidTr="00F83E38">
        <w:tblPrEx>
          <w:tblW w:w="4458" w:type="pct"/>
          <w:tblLook w:val="00A0"/>
        </w:tblPrEx>
        <w:tc>
          <w:tcPr>
            <w:tcW w:w="5000" w:type="pct"/>
            <w:gridSpan w:val="3"/>
            <w:tcBorders>
              <w:top w:val="nil"/>
              <w:left w:val="nil"/>
              <w:bottom w:val="nil"/>
              <w:right w:val="nil"/>
            </w:tcBorders>
            <w:vAlign w:val="center"/>
          </w:tcPr>
          <w:p w:rsidR="00C1236A" w:rsidRPr="00612824" w:rsidP="00F83E38" w14:paraId="2F4B5018" w14:textId="77777777">
            <w:pPr>
              <w:keepNext/>
              <w:autoSpaceDE w:val="0"/>
              <w:autoSpaceDN w:val="0"/>
              <w:adjustRightInd w:val="0"/>
              <w:jc w:val="center"/>
              <w:rPr>
                <w:rStyle w:val="gtcbold9"/>
                <w:rFonts w:eastAsia="Arial"/>
                <w:sz w:val="22"/>
                <w:szCs w:val="22"/>
                <w:lang w:bidi="it-IT"/>
              </w:rPr>
            </w:pPr>
            <w:r w:rsidRPr="00612824">
              <w:rPr>
                <w:rStyle w:val="gtcbold9"/>
                <w:rFonts w:eastAsia="Arial"/>
                <w:sz w:val="22"/>
                <w:szCs w:val="22"/>
                <w:lang w:bidi="it-IT"/>
              </w:rPr>
              <w:t>Tabella 27: Psoriasi a Placche Pediatrica</w:t>
            </w:r>
          </w:p>
          <w:p w:rsidR="00C1236A" w:rsidRPr="00612824" w:rsidP="00F83E38" w14:paraId="774C864D" w14:textId="77777777">
            <w:pPr>
              <w:keepNext/>
              <w:jc w:val="center"/>
              <w:rPr>
                <w:rStyle w:val="gtcbold9"/>
                <w:rFonts w:eastAsia="Arial"/>
                <w:sz w:val="22"/>
                <w:szCs w:val="22"/>
                <w:lang w:bidi="it-IT"/>
              </w:rPr>
            </w:pPr>
            <w:r w:rsidRPr="00612824">
              <w:rPr>
                <w:rStyle w:val="gtcbold9"/>
                <w:rFonts w:eastAsia="Arial"/>
                <w:sz w:val="22"/>
                <w:szCs w:val="22"/>
                <w:lang w:bidi="it-IT"/>
              </w:rPr>
              <w:t>Risultati relativi all’efficacia alla settimana 16</w:t>
            </w:r>
          </w:p>
          <w:p w:rsidR="00C1236A" w:rsidRPr="00612824" w:rsidP="00F83E38" w14:paraId="4DC93327" w14:textId="77777777">
            <w:pPr>
              <w:keepNext/>
              <w:jc w:val="center"/>
              <w:rPr>
                <w:b/>
                <w:sz w:val="22"/>
                <w:szCs w:val="22"/>
              </w:rPr>
            </w:pPr>
          </w:p>
        </w:tc>
      </w:tr>
      <w:tr w14:paraId="4EB87FEF" w14:textId="77777777" w:rsidTr="00F83E38">
        <w:tblPrEx>
          <w:tblW w:w="4458" w:type="pct"/>
          <w:tblLook w:val="00A0"/>
        </w:tblPrEx>
        <w:tc>
          <w:tcPr>
            <w:tcW w:w="2588" w:type="pct"/>
            <w:tcBorders>
              <w:top w:val="single" w:sz="6" w:space="0" w:color="000000"/>
              <w:left w:val="single" w:sz="6" w:space="0" w:color="000000"/>
              <w:bottom w:val="outset" w:sz="6" w:space="0" w:color="auto"/>
              <w:right w:val="outset" w:sz="6" w:space="0" w:color="auto"/>
            </w:tcBorders>
            <w:vAlign w:val="center"/>
          </w:tcPr>
          <w:p w:rsidR="00C1236A" w:rsidRPr="00612824" w:rsidP="00F83E38" w14:paraId="65702A88" w14:textId="77777777">
            <w:pPr>
              <w:keepNext/>
              <w:rPr>
                <w:sz w:val="22"/>
                <w:szCs w:val="22"/>
              </w:rPr>
            </w:pPr>
          </w:p>
        </w:tc>
        <w:tc>
          <w:tcPr>
            <w:tcW w:w="699" w:type="pct"/>
            <w:tcBorders>
              <w:top w:val="single" w:sz="6" w:space="0" w:color="000000"/>
              <w:left w:val="single" w:sz="6" w:space="0" w:color="000000"/>
              <w:bottom w:val="outset" w:sz="6" w:space="0" w:color="auto"/>
              <w:right w:val="outset" w:sz="6" w:space="0" w:color="auto"/>
            </w:tcBorders>
            <w:vAlign w:val="center"/>
          </w:tcPr>
          <w:p w:rsidR="00C1236A" w:rsidRPr="00612824" w:rsidP="00F83E38" w14:paraId="1B1C7EE5" w14:textId="77777777">
            <w:pPr>
              <w:keepNext/>
              <w:jc w:val="center"/>
              <w:rPr>
                <w:sz w:val="22"/>
                <w:szCs w:val="22"/>
              </w:rPr>
            </w:pPr>
            <w:r w:rsidRPr="00612824">
              <w:rPr>
                <w:sz w:val="22"/>
                <w:szCs w:val="22"/>
              </w:rPr>
              <w:t>MTX</w:t>
            </w:r>
            <w:r w:rsidRPr="00612824">
              <w:rPr>
                <w:sz w:val="22"/>
                <w:szCs w:val="22"/>
                <w:vertAlign w:val="superscript"/>
              </w:rPr>
              <w:t>a</w:t>
            </w:r>
            <w:r w:rsidRPr="00612824">
              <w:rPr>
                <w:sz w:val="22"/>
                <w:szCs w:val="22"/>
              </w:rPr>
              <w:br/>
              <w:t xml:space="preserve">N=37 </w:t>
            </w:r>
          </w:p>
        </w:tc>
        <w:tc>
          <w:tcPr>
            <w:tcW w:w="1713" w:type="pct"/>
            <w:tcBorders>
              <w:top w:val="single" w:sz="6" w:space="0" w:color="000000"/>
              <w:left w:val="single" w:sz="6" w:space="0" w:color="000000"/>
              <w:bottom w:val="outset" w:sz="6" w:space="0" w:color="auto"/>
              <w:right w:val="single" w:sz="6" w:space="0" w:color="000000"/>
            </w:tcBorders>
            <w:vAlign w:val="center"/>
          </w:tcPr>
          <w:p w:rsidR="00C1236A" w:rsidRPr="00612824" w:rsidP="00F83E38" w14:paraId="2F3CE8B7" w14:textId="77777777">
            <w:pPr>
              <w:keepNext/>
              <w:jc w:val="center"/>
              <w:rPr>
                <w:sz w:val="22"/>
                <w:szCs w:val="22"/>
              </w:rPr>
            </w:pPr>
            <w:r w:rsidRPr="00612824">
              <w:rPr>
                <w:sz w:val="22"/>
                <w:szCs w:val="22"/>
              </w:rPr>
              <w:t xml:space="preserve">Humira 0,8mg/kg </w:t>
            </w:r>
            <w:r w:rsidRPr="00612824">
              <w:rPr>
                <w:rFonts w:eastAsia="Arial"/>
                <w:sz w:val="22"/>
                <w:szCs w:val="22"/>
                <w:lang w:bidi="it-IT"/>
              </w:rPr>
              <w:t>a settimane alterne</w:t>
            </w:r>
            <w:r w:rsidRPr="00612824">
              <w:rPr>
                <w:sz w:val="22"/>
                <w:szCs w:val="22"/>
              </w:rPr>
              <w:br/>
              <w:t xml:space="preserve">N=38 </w:t>
            </w:r>
          </w:p>
        </w:tc>
      </w:tr>
      <w:tr w14:paraId="50E1F6CC" w14:textId="77777777" w:rsidTr="00F83E38">
        <w:tblPrEx>
          <w:tblW w:w="4458" w:type="pct"/>
          <w:tblLook w:val="00A0"/>
        </w:tblPrEx>
        <w:tc>
          <w:tcPr>
            <w:tcW w:w="2588" w:type="pct"/>
            <w:tcBorders>
              <w:top w:val="single" w:sz="6" w:space="0" w:color="000000"/>
              <w:left w:val="single" w:sz="6" w:space="0" w:color="000000"/>
              <w:bottom w:val="outset" w:sz="6" w:space="0" w:color="auto"/>
              <w:right w:val="outset" w:sz="6" w:space="0" w:color="auto"/>
            </w:tcBorders>
            <w:vAlign w:val="center"/>
          </w:tcPr>
          <w:p w:rsidR="00C1236A" w:rsidRPr="00612824" w:rsidP="00F83E38" w14:paraId="1710CA4B" w14:textId="77777777">
            <w:pPr>
              <w:keepNext/>
              <w:rPr>
                <w:sz w:val="22"/>
                <w:szCs w:val="22"/>
              </w:rPr>
            </w:pPr>
            <w:r w:rsidRPr="00612824">
              <w:rPr>
                <w:sz w:val="22"/>
                <w:szCs w:val="22"/>
              </w:rPr>
              <w:t> </w:t>
            </w:r>
            <w:r w:rsidRPr="00612824">
              <w:rPr>
                <w:sz w:val="22"/>
                <w:szCs w:val="22"/>
              </w:rPr>
              <w:t>PASI 75</w:t>
            </w:r>
            <w:r w:rsidRPr="00612824">
              <w:rPr>
                <w:sz w:val="22"/>
                <w:szCs w:val="22"/>
                <w:vertAlign w:val="superscript"/>
              </w:rPr>
              <w:t>b</w:t>
            </w:r>
          </w:p>
        </w:tc>
        <w:tc>
          <w:tcPr>
            <w:tcW w:w="699" w:type="pct"/>
            <w:tcBorders>
              <w:top w:val="single" w:sz="6" w:space="0" w:color="000000"/>
              <w:left w:val="single" w:sz="6" w:space="0" w:color="000000"/>
              <w:bottom w:val="outset" w:sz="6" w:space="0" w:color="auto"/>
              <w:right w:val="outset" w:sz="6" w:space="0" w:color="auto"/>
            </w:tcBorders>
            <w:vAlign w:val="center"/>
          </w:tcPr>
          <w:p w:rsidR="00C1236A" w:rsidRPr="00612824" w:rsidP="00F83E38" w14:paraId="7A2D6A3F" w14:textId="77777777">
            <w:pPr>
              <w:keepNext/>
              <w:jc w:val="center"/>
              <w:rPr>
                <w:sz w:val="22"/>
                <w:szCs w:val="22"/>
              </w:rPr>
            </w:pPr>
            <w:r w:rsidRPr="00612824">
              <w:rPr>
                <w:sz w:val="22"/>
                <w:szCs w:val="22"/>
              </w:rPr>
              <w:t>12 (32,4%)</w:t>
            </w:r>
          </w:p>
        </w:tc>
        <w:tc>
          <w:tcPr>
            <w:tcW w:w="1713" w:type="pct"/>
            <w:tcBorders>
              <w:top w:val="single" w:sz="6" w:space="0" w:color="000000"/>
              <w:left w:val="single" w:sz="6" w:space="0" w:color="000000"/>
              <w:bottom w:val="outset" w:sz="6" w:space="0" w:color="auto"/>
              <w:right w:val="single" w:sz="6" w:space="0" w:color="000000"/>
            </w:tcBorders>
            <w:vAlign w:val="center"/>
          </w:tcPr>
          <w:p w:rsidR="00C1236A" w:rsidRPr="00612824" w:rsidP="00F83E38" w14:paraId="3B51EC45" w14:textId="77777777">
            <w:pPr>
              <w:keepNext/>
              <w:jc w:val="center"/>
              <w:rPr>
                <w:sz w:val="22"/>
                <w:szCs w:val="22"/>
              </w:rPr>
            </w:pPr>
            <w:r w:rsidRPr="00612824">
              <w:rPr>
                <w:sz w:val="22"/>
                <w:szCs w:val="22"/>
              </w:rPr>
              <w:t>22 (57,9%)</w:t>
            </w:r>
          </w:p>
        </w:tc>
      </w:tr>
      <w:tr w14:paraId="4B071CD0" w14:textId="77777777" w:rsidTr="00F83E38">
        <w:tblPrEx>
          <w:tblW w:w="4458" w:type="pct"/>
          <w:tblLook w:val="00A0"/>
        </w:tblPrEx>
        <w:tc>
          <w:tcPr>
            <w:tcW w:w="2588" w:type="pct"/>
            <w:tcBorders>
              <w:top w:val="single" w:sz="6" w:space="0" w:color="000000"/>
              <w:left w:val="single" w:sz="6" w:space="0" w:color="000000"/>
              <w:bottom w:val="single" w:sz="6" w:space="0" w:color="000000"/>
              <w:right w:val="outset" w:sz="6" w:space="0" w:color="auto"/>
            </w:tcBorders>
            <w:vAlign w:val="center"/>
          </w:tcPr>
          <w:p w:rsidR="00C1236A" w:rsidRPr="00612824" w:rsidP="00F83E38" w14:paraId="07C5C0E3" w14:textId="77777777">
            <w:pPr>
              <w:keepNext/>
              <w:rPr>
                <w:sz w:val="22"/>
                <w:szCs w:val="22"/>
              </w:rPr>
            </w:pPr>
            <w:r w:rsidRPr="00612824">
              <w:rPr>
                <w:sz w:val="22"/>
                <w:szCs w:val="22"/>
              </w:rPr>
              <w:t> </w:t>
            </w:r>
            <w:r w:rsidRPr="00612824">
              <w:rPr>
                <w:rFonts w:eastAsia="Arial"/>
                <w:sz w:val="22"/>
                <w:szCs w:val="22"/>
                <w:lang w:bidi="it-IT"/>
              </w:rPr>
              <w:t>PGA: Guarigione/Marcato miglioramento</w:t>
            </w:r>
            <w:r w:rsidRPr="00612824">
              <w:rPr>
                <w:rFonts w:eastAsia="Arial"/>
                <w:sz w:val="22"/>
                <w:szCs w:val="22"/>
                <w:vertAlign w:val="superscript"/>
                <w:lang w:bidi="it-IT"/>
              </w:rPr>
              <w:t>c</w:t>
            </w:r>
          </w:p>
        </w:tc>
        <w:tc>
          <w:tcPr>
            <w:tcW w:w="699" w:type="pct"/>
            <w:tcBorders>
              <w:top w:val="single" w:sz="6" w:space="0" w:color="000000"/>
              <w:left w:val="single" w:sz="6" w:space="0" w:color="000000"/>
              <w:bottom w:val="single" w:sz="6" w:space="0" w:color="000000"/>
              <w:right w:val="outset" w:sz="6" w:space="0" w:color="auto"/>
            </w:tcBorders>
            <w:vAlign w:val="center"/>
          </w:tcPr>
          <w:p w:rsidR="00C1236A" w:rsidRPr="00612824" w:rsidP="00F83E38" w14:paraId="48857099" w14:textId="77777777">
            <w:pPr>
              <w:keepNext/>
              <w:jc w:val="center"/>
              <w:rPr>
                <w:sz w:val="22"/>
                <w:szCs w:val="22"/>
              </w:rPr>
            </w:pPr>
            <w:r w:rsidRPr="00612824">
              <w:rPr>
                <w:sz w:val="22"/>
                <w:szCs w:val="22"/>
              </w:rPr>
              <w:t>15 (40,5%)</w:t>
            </w:r>
          </w:p>
        </w:tc>
        <w:tc>
          <w:tcPr>
            <w:tcW w:w="1713" w:type="pct"/>
            <w:tcBorders>
              <w:top w:val="single" w:sz="6" w:space="0" w:color="000000"/>
              <w:left w:val="single" w:sz="6" w:space="0" w:color="000000"/>
              <w:bottom w:val="single" w:sz="6" w:space="0" w:color="000000"/>
              <w:right w:val="single" w:sz="6" w:space="0" w:color="000000"/>
            </w:tcBorders>
            <w:vAlign w:val="center"/>
          </w:tcPr>
          <w:p w:rsidR="00C1236A" w:rsidRPr="00612824" w:rsidP="00F83E38" w14:paraId="423D76E6" w14:textId="77777777">
            <w:pPr>
              <w:keepNext/>
              <w:jc w:val="center"/>
              <w:rPr>
                <w:sz w:val="22"/>
                <w:szCs w:val="22"/>
              </w:rPr>
            </w:pPr>
            <w:r w:rsidRPr="00612824">
              <w:rPr>
                <w:sz w:val="22"/>
                <w:szCs w:val="22"/>
              </w:rPr>
              <w:t>23 (60,5%)</w:t>
            </w:r>
          </w:p>
        </w:tc>
      </w:tr>
      <w:tr w14:paraId="7095DF83" w14:textId="77777777" w:rsidTr="00F83E38">
        <w:tblPrEx>
          <w:tblW w:w="4458" w:type="pct"/>
          <w:tblLook w:val="00A0"/>
        </w:tblPrEx>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C1236A" w:rsidRPr="00612824" w:rsidP="00F83E38" w14:paraId="6AE9276F" w14:textId="77777777">
            <w:pPr>
              <w:keepNext/>
              <w:rPr>
                <w:sz w:val="22"/>
                <w:szCs w:val="22"/>
              </w:rPr>
            </w:pPr>
            <w:r w:rsidRPr="00612824">
              <w:rPr>
                <w:sz w:val="22"/>
                <w:szCs w:val="22"/>
                <w:vertAlign w:val="superscript"/>
              </w:rPr>
              <w:t xml:space="preserve">a </w:t>
            </w:r>
            <w:r w:rsidRPr="00612824">
              <w:rPr>
                <w:sz w:val="22"/>
                <w:szCs w:val="22"/>
              </w:rPr>
              <w:t xml:space="preserve">MTX = </w:t>
            </w:r>
            <w:r w:rsidRPr="00612824">
              <w:rPr>
                <w:rFonts w:eastAsia="Arial"/>
                <w:sz w:val="22"/>
                <w:szCs w:val="22"/>
                <w:lang w:bidi="it-IT"/>
              </w:rPr>
              <w:t>metotressato</w:t>
            </w:r>
          </w:p>
          <w:p w:rsidR="00C1236A" w:rsidRPr="00612824" w:rsidP="00F83E38" w14:paraId="0D9ABF4B" w14:textId="77777777">
            <w:pPr>
              <w:keepNext/>
              <w:rPr>
                <w:sz w:val="22"/>
                <w:szCs w:val="22"/>
              </w:rPr>
            </w:pPr>
            <w:r w:rsidRPr="00612824">
              <w:rPr>
                <w:sz w:val="22"/>
                <w:szCs w:val="22"/>
                <w:vertAlign w:val="superscript"/>
              </w:rPr>
              <w:t>b</w:t>
            </w:r>
            <w:r w:rsidRPr="00612824">
              <w:rPr>
                <w:sz w:val="22"/>
                <w:szCs w:val="22"/>
              </w:rPr>
              <w:t xml:space="preserve"> P=0,027, Humira 0,8 mg/kg vs. MTX</w:t>
            </w:r>
          </w:p>
          <w:p w:rsidR="00C1236A" w:rsidRPr="00612824" w:rsidP="00F83E38" w14:paraId="04A95E5E" w14:textId="77777777">
            <w:pPr>
              <w:keepNext/>
              <w:rPr>
                <w:sz w:val="22"/>
                <w:szCs w:val="22"/>
              </w:rPr>
            </w:pPr>
            <w:r w:rsidRPr="00612824">
              <w:rPr>
                <w:sz w:val="22"/>
                <w:szCs w:val="22"/>
                <w:vertAlign w:val="superscript"/>
              </w:rPr>
              <w:t>c</w:t>
            </w:r>
            <w:r w:rsidRPr="00612824">
              <w:rPr>
                <w:sz w:val="22"/>
                <w:szCs w:val="22"/>
              </w:rPr>
              <w:t xml:space="preserve"> P=0,083, Humira 0,8 mg/kg vs. MTX</w:t>
            </w:r>
          </w:p>
        </w:tc>
      </w:tr>
    </w:tbl>
    <w:p w:rsidR="00C1236A" w:rsidRPr="00612824" w:rsidP="00C1236A" w14:paraId="40AC9A9A" w14:textId="77777777">
      <w:pPr>
        <w:keepNext/>
        <w:tabs>
          <w:tab w:val="left" w:pos="567"/>
        </w:tabs>
        <w:jc w:val="both"/>
        <w:rPr>
          <w:color w:val="000000"/>
          <w:sz w:val="22"/>
          <w:szCs w:val="22"/>
        </w:rPr>
      </w:pPr>
    </w:p>
    <w:p w:rsidR="00C1236A" w:rsidRPr="00612824" w:rsidP="00C1236A" w14:paraId="38B3E315" w14:textId="77777777">
      <w:pPr>
        <w:tabs>
          <w:tab w:val="left" w:pos="567"/>
        </w:tabs>
        <w:jc w:val="both"/>
        <w:rPr>
          <w:color w:val="000000"/>
          <w:sz w:val="22"/>
          <w:szCs w:val="22"/>
        </w:rPr>
      </w:pPr>
      <w:r w:rsidRPr="00612824">
        <w:rPr>
          <w:color w:val="000000"/>
          <w:sz w:val="22"/>
          <w:szCs w:val="22"/>
        </w:rPr>
        <w:t>I pazienti che hanno ottenuto una risposta PASI 75 e un PGA corrispondente a remissione totale della malattia o a persistenza di malattia minima è stato interrotto il trattamento per un massimo di 36 settimane, e sono stati monitorati per la perdita del controllo della malattia (ovvero, un peggioramento della risposta PGA di almeno 2 gradi). I pazienti sono stati quindi ritrattati con adalimumab 0,8 mg/kg a settimane alterne per ulteriori 16 settimane, e le percentuali di risposta osservate durante il ritrattamento erano simili a quelle osservate durante il precedente periodo in doppio cieco: risposta PASI 75 del 78,9% (15 soggetti su 19) e PGA corrispondente a remissione totale della malattia o a persistenza di malattia minima del 52,6% (10 soggetti su 19).</w:t>
      </w:r>
    </w:p>
    <w:p w:rsidR="00C1236A" w:rsidRPr="00612824" w:rsidP="00C1236A" w14:paraId="681B6E00" w14:textId="77777777">
      <w:pPr>
        <w:rPr>
          <w:color w:val="000000"/>
          <w:sz w:val="22"/>
          <w:szCs w:val="22"/>
        </w:rPr>
      </w:pPr>
    </w:p>
    <w:p w:rsidR="00C1236A" w:rsidRPr="00296E2B" w:rsidP="00C1236A" w14:paraId="7F57D9E0" w14:textId="77777777">
      <w:pPr>
        <w:rPr>
          <w:color w:val="000000"/>
          <w:sz w:val="22"/>
          <w:szCs w:val="22"/>
        </w:rPr>
      </w:pPr>
      <w:r w:rsidRPr="00612824">
        <w:rPr>
          <w:color w:val="000000"/>
          <w:sz w:val="22"/>
          <w:szCs w:val="22"/>
        </w:rPr>
        <w:t>Nel periodo in aperto dello studio, le risposte PASI 75 e PGA corrispondente a remissione totale della malattia o a persistenza di malattia minima sono state mantenute per ulteriori 52 settimane senza che siano emerse nuove problematiche di sicurezza.</w:t>
      </w:r>
    </w:p>
    <w:p w:rsidR="00C1236A" w:rsidRPr="00296E2B" w:rsidP="00C1236A" w14:paraId="684E6B72" w14:textId="77777777">
      <w:pPr>
        <w:rPr>
          <w:sz w:val="22"/>
          <w:szCs w:val="22"/>
        </w:rPr>
      </w:pPr>
    </w:p>
    <w:p w:rsidR="00C1236A" w:rsidRPr="00612824" w:rsidP="00C1236A" w14:paraId="237CE509" w14:textId="77777777">
      <w:pPr>
        <w:pStyle w:val="EMEANormal"/>
        <w:rPr>
          <w:i/>
          <w:lang w:val="it-IT"/>
        </w:rPr>
      </w:pPr>
      <w:r w:rsidRPr="00612824">
        <w:rPr>
          <w:i/>
          <w:lang w:val="it-IT"/>
        </w:rPr>
        <w:t>Idrosadenite suppurativa negli adolescenti</w:t>
      </w:r>
    </w:p>
    <w:p w:rsidR="00C1236A" w:rsidRPr="00612824" w:rsidP="00C1236A" w14:paraId="096B3DF9" w14:textId="77777777">
      <w:pPr>
        <w:pStyle w:val="EMEANormal"/>
        <w:rPr>
          <w:i/>
          <w:lang w:val="it-IT"/>
        </w:rPr>
      </w:pPr>
    </w:p>
    <w:p w:rsidR="00C1236A" w:rsidRPr="00296E2B" w:rsidP="00C1236A" w14:paraId="723539AB" w14:textId="77777777">
      <w:pPr>
        <w:pStyle w:val="EMEANormal"/>
        <w:jc w:val="both"/>
        <w:rPr>
          <w:lang w:val="it-IT"/>
        </w:rPr>
      </w:pPr>
      <w:r w:rsidRPr="00612824">
        <w:rPr>
          <w:lang w:val="it-IT"/>
        </w:rPr>
        <w:t>Non sono stati condotti studi clinici con Humira in pazienti adolescenti con HS. L’efficacia di</w:t>
      </w:r>
      <w:r w:rsidRPr="00612824">
        <w:rPr>
          <w:iCs/>
          <w:lang w:val="it-IT"/>
        </w:rPr>
        <w:t xml:space="preserve"> adalimumab nel trattamento di pazienti adolescenti con HS è stata predetta in base all’efficacia dimostrata e al rapporto esposizione-risposta in pazienti adulti con HS ed alla plausibilità che il decorso di malattia, la patofisiologia e gli effetti del medicinale siano sostanzialmente simili a quelli degli adulti agli stessi livelli di esposizione. La sicurezza della dose raccomandata di adalimumab nella popolazione adolescente con HS si basa sul profilo di sicurezza cross-indicazione di adalimumab sia nei pazienti adulti che nei pazienti pediatrici a dosi simili o più frequenti </w:t>
      </w:r>
      <w:r w:rsidRPr="00612824">
        <w:rPr>
          <w:lang w:val="it-IT"/>
        </w:rPr>
        <w:t>(vedere paragrafo 5.2).</w:t>
      </w:r>
    </w:p>
    <w:p w:rsidR="004F635B" w:rsidRPr="00296E2B" w:rsidP="004F635B" w14:paraId="7EF24882" w14:textId="77777777">
      <w:pPr>
        <w:tabs>
          <w:tab w:val="left" w:pos="567"/>
          <w:tab w:val="left" w:pos="1294"/>
        </w:tabs>
        <w:autoSpaceDE w:val="0"/>
        <w:autoSpaceDN w:val="0"/>
        <w:adjustRightInd w:val="0"/>
        <w:jc w:val="both"/>
        <w:rPr>
          <w:sz w:val="22"/>
          <w:szCs w:val="22"/>
        </w:rPr>
      </w:pPr>
    </w:p>
    <w:p w:rsidR="004F635B" w:rsidRPr="00612824" w:rsidP="004F635B" w14:paraId="2FD498F1" w14:textId="77777777">
      <w:pPr>
        <w:rPr>
          <w:i/>
          <w:sz w:val="22"/>
          <w:szCs w:val="22"/>
        </w:rPr>
      </w:pPr>
      <w:r w:rsidRPr="00612824">
        <w:rPr>
          <w:i/>
          <w:sz w:val="22"/>
          <w:szCs w:val="22"/>
        </w:rPr>
        <w:t>Malattia di Crohn in pazienti pediatrici</w:t>
      </w:r>
    </w:p>
    <w:p w:rsidR="004F635B" w:rsidRPr="00612824" w:rsidP="004F635B" w14:paraId="09FC16D1" w14:textId="77777777">
      <w:pPr>
        <w:tabs>
          <w:tab w:val="left" w:pos="567"/>
        </w:tabs>
        <w:jc w:val="both"/>
        <w:rPr>
          <w:sz w:val="22"/>
          <w:szCs w:val="22"/>
        </w:rPr>
      </w:pPr>
    </w:p>
    <w:p w:rsidR="004F635B" w:rsidRPr="00612824" w:rsidP="004F635B" w14:paraId="27040B6C" w14:textId="77777777">
      <w:pPr>
        <w:tabs>
          <w:tab w:val="left" w:pos="567"/>
        </w:tabs>
        <w:jc w:val="both"/>
        <w:rPr>
          <w:sz w:val="22"/>
          <w:szCs w:val="22"/>
        </w:rPr>
      </w:pPr>
      <w:r w:rsidRPr="00612824">
        <w:rPr>
          <w:sz w:val="22"/>
          <w:szCs w:val="22"/>
        </w:rPr>
        <w:t xml:space="preserve">Humira è stato testato in uno studio clinico multicentrico, randomizzato, in doppio cieco disegnato per valutare l’efficacia e la sicurezza del trattamento di induzione e di mantenimento con dosi dipendenti dal peso corporeo (&lt;40 kg o ≥ 40 kg) in 192 soggetti pediatrici di età compresa tra 6 e 17 anni (inclusi), con la Malattia di Crohn (MC) di grado da moderato a severo definita da un punteggio dell’Indice di Attività della Malattia di Crohn Pediatrica (Paediatric Crohn's Disease Activity Index - PCDAI) &gt; 30. </w:t>
      </w:r>
    </w:p>
    <w:p w:rsidR="004F635B" w:rsidRPr="00612824" w:rsidP="004F635B" w14:paraId="6136EA40" w14:textId="77777777">
      <w:pPr>
        <w:jc w:val="both"/>
        <w:rPr>
          <w:sz w:val="22"/>
          <w:szCs w:val="22"/>
        </w:rPr>
      </w:pPr>
      <w:r w:rsidRPr="00612824">
        <w:rPr>
          <w:sz w:val="22"/>
          <w:szCs w:val="22"/>
        </w:rPr>
        <w:t>I soggetti dovevano aver fallito la terapia convenzionale (incluso un corticosteroide e/o un immunomodulatore) per MC. I soggetti, inoltre, potevano aver precedentemente perso la risposta o essere stati intolleranti ad infliximab.</w:t>
      </w:r>
    </w:p>
    <w:p w:rsidR="004F635B" w:rsidRPr="00612824" w:rsidP="004F635B" w14:paraId="12C5860D" w14:textId="77777777">
      <w:pPr>
        <w:tabs>
          <w:tab w:val="left" w:pos="567"/>
        </w:tabs>
        <w:jc w:val="both"/>
        <w:rPr>
          <w:sz w:val="22"/>
          <w:szCs w:val="22"/>
        </w:rPr>
      </w:pPr>
    </w:p>
    <w:p w:rsidR="004F635B" w:rsidRPr="00612824" w:rsidP="004F635B" w14:paraId="3EB44A4F" w14:textId="77777777">
      <w:pPr>
        <w:tabs>
          <w:tab w:val="left" w:pos="567"/>
        </w:tabs>
        <w:jc w:val="both"/>
        <w:rPr>
          <w:sz w:val="22"/>
          <w:szCs w:val="22"/>
        </w:rPr>
      </w:pPr>
      <w:r w:rsidRPr="00612824">
        <w:rPr>
          <w:sz w:val="22"/>
          <w:szCs w:val="22"/>
        </w:rPr>
        <w:t>Tutti i soggetti hanno ricevuto una terapia di induzione in aperto con una dose basata sul loro peso corporeo al basale: 160 mg alla settimana 0 e 80 mg alla settimana 2 per i soggetti con peso ≥ 40 kg, e rispettivamente, 80 mg e 40 mg per i soggetti con peso &lt; 40 kg.</w:t>
      </w:r>
    </w:p>
    <w:p w:rsidR="004F635B" w:rsidRPr="00612824" w:rsidP="004F635B" w14:paraId="25938B46" w14:textId="77777777">
      <w:pPr>
        <w:tabs>
          <w:tab w:val="left" w:pos="567"/>
        </w:tabs>
        <w:jc w:val="both"/>
        <w:rPr>
          <w:sz w:val="22"/>
          <w:szCs w:val="22"/>
        </w:rPr>
      </w:pPr>
    </w:p>
    <w:p w:rsidR="004F635B" w:rsidRPr="00612824" w:rsidP="004F635B" w14:paraId="2852B65A" w14:textId="77777777">
      <w:pPr>
        <w:tabs>
          <w:tab w:val="left" w:pos="567"/>
        </w:tabs>
        <w:jc w:val="both"/>
        <w:rPr>
          <w:sz w:val="22"/>
          <w:szCs w:val="22"/>
        </w:rPr>
      </w:pPr>
      <w:r w:rsidRPr="00612824">
        <w:rPr>
          <w:sz w:val="22"/>
          <w:szCs w:val="22"/>
        </w:rPr>
        <w:t>Alla settimana 4, in base al loro peso corporeo i soggetti sono stati randomizzati 1:1 o nel regime di mantenimento a Bassa Dose o in quello a Dose Standard, come mostrato nella Tabella 28.</w:t>
      </w:r>
    </w:p>
    <w:p w:rsidR="004F635B" w:rsidRPr="00612824" w:rsidP="004F635B" w14:paraId="082A5DD6" w14:textId="77777777">
      <w:pPr>
        <w:tabs>
          <w:tab w:val="left" w:pos="567"/>
        </w:tabs>
        <w:rPr>
          <w:sz w:val="22"/>
          <w:szCs w:val="22"/>
        </w:rPr>
      </w:pPr>
    </w:p>
    <w:tbl>
      <w:tblPr>
        <w:tblW w:w="0" w:type="auto"/>
        <w:jc w:val="center"/>
        <w:tblLook w:val="01E0"/>
      </w:tblPr>
      <w:tblGrid>
        <w:gridCol w:w="999"/>
        <w:gridCol w:w="1210"/>
        <w:gridCol w:w="1210"/>
      </w:tblGrid>
      <w:tr w14:paraId="3BA49CD7" w14:textId="77777777" w:rsidTr="00F83E38">
        <w:tblPrEx>
          <w:tblW w:w="0" w:type="auto"/>
          <w:tblLook w:val="01E0"/>
        </w:tblPrEx>
        <w:trPr>
          <w:trHeight w:val="263"/>
        </w:trPr>
        <w:tc>
          <w:tcPr>
            <w:tcW w:w="3408" w:type="dxa"/>
            <w:gridSpan w:val="3"/>
            <w:tcBorders>
              <w:bottom w:val="single" w:sz="4" w:space="0" w:color="auto"/>
            </w:tcBorders>
          </w:tcPr>
          <w:p w:rsidR="004F635B" w:rsidRPr="00612824" w:rsidP="00F83E38" w14:paraId="5C5E84A0" w14:textId="77777777">
            <w:pPr>
              <w:pStyle w:val="EMEANormal"/>
              <w:jc w:val="center"/>
              <w:rPr>
                <w:b/>
                <w:lang w:val="it-IT"/>
              </w:rPr>
            </w:pPr>
            <w:r w:rsidRPr="00612824">
              <w:rPr>
                <w:b/>
                <w:lang w:val="it-IT"/>
              </w:rPr>
              <w:t>Tabella 28</w:t>
            </w:r>
          </w:p>
          <w:p w:rsidR="004F635B" w:rsidRPr="00612824" w:rsidP="00F83E38" w14:paraId="3112DC92" w14:textId="77777777">
            <w:pPr>
              <w:pStyle w:val="EMEANormal"/>
              <w:jc w:val="center"/>
              <w:rPr>
                <w:lang w:val="it-IT"/>
              </w:rPr>
            </w:pPr>
            <w:r w:rsidRPr="00612824">
              <w:rPr>
                <w:b/>
                <w:lang w:val="it-IT"/>
              </w:rPr>
              <w:t>Regime di mantenimento</w:t>
            </w:r>
          </w:p>
        </w:tc>
      </w:tr>
      <w:tr w14:paraId="7D5457F1" w14:textId="77777777" w:rsidTr="00F83E38">
        <w:tblPrEx>
          <w:tblW w:w="0" w:type="auto"/>
          <w:tblLook w:val="01E0"/>
        </w:tblPrEx>
        <w:tc>
          <w:tcPr>
            <w:tcW w:w="988" w:type="dxa"/>
            <w:tcBorders>
              <w:top w:val="single" w:sz="4" w:space="0" w:color="auto"/>
              <w:left w:val="single" w:sz="4" w:space="0" w:color="auto"/>
              <w:bottom w:val="single" w:sz="4" w:space="0" w:color="auto"/>
              <w:right w:val="single" w:sz="4" w:space="0" w:color="auto"/>
            </w:tcBorders>
          </w:tcPr>
          <w:p w:rsidR="004F635B" w:rsidRPr="00612824" w:rsidP="00F83E38" w14:paraId="3521A8BE" w14:textId="77777777">
            <w:pPr>
              <w:pStyle w:val="EMEANormal"/>
              <w:rPr>
                <w:b/>
                <w:lang w:val="it-IT"/>
              </w:rPr>
            </w:pPr>
            <w:r w:rsidRPr="00612824">
              <w:rPr>
                <w:b/>
                <w:lang w:val="it-IT"/>
              </w:rPr>
              <w:t>Peso del paziente</w:t>
            </w:r>
          </w:p>
        </w:tc>
        <w:tc>
          <w:tcPr>
            <w:tcW w:w="1210" w:type="dxa"/>
            <w:tcBorders>
              <w:top w:val="single" w:sz="4" w:space="0" w:color="auto"/>
              <w:left w:val="single" w:sz="4" w:space="0" w:color="auto"/>
              <w:bottom w:val="single" w:sz="4" w:space="0" w:color="auto"/>
              <w:right w:val="single" w:sz="4" w:space="0" w:color="auto"/>
            </w:tcBorders>
          </w:tcPr>
          <w:p w:rsidR="004F635B" w:rsidRPr="00612824" w:rsidP="00F83E38" w14:paraId="6753432F" w14:textId="77777777">
            <w:pPr>
              <w:pStyle w:val="EMEANormal"/>
              <w:rPr>
                <w:b/>
                <w:lang w:val="it-IT"/>
              </w:rPr>
            </w:pPr>
            <w:r w:rsidRPr="00612824">
              <w:rPr>
                <w:b/>
                <w:lang w:val="it-IT"/>
              </w:rPr>
              <w:t xml:space="preserve">Bassa dose </w:t>
            </w:r>
          </w:p>
        </w:tc>
        <w:tc>
          <w:tcPr>
            <w:tcW w:w="1210" w:type="dxa"/>
            <w:tcBorders>
              <w:top w:val="single" w:sz="4" w:space="0" w:color="auto"/>
              <w:left w:val="single" w:sz="4" w:space="0" w:color="auto"/>
              <w:bottom w:val="single" w:sz="4" w:space="0" w:color="auto"/>
              <w:right w:val="single" w:sz="4" w:space="0" w:color="auto"/>
            </w:tcBorders>
          </w:tcPr>
          <w:p w:rsidR="004F635B" w:rsidRPr="00612824" w:rsidP="00F83E38" w14:paraId="00454AD4" w14:textId="77777777">
            <w:pPr>
              <w:pStyle w:val="EMEANormal"/>
              <w:rPr>
                <w:b/>
                <w:lang w:val="it-IT"/>
              </w:rPr>
            </w:pPr>
            <w:r w:rsidRPr="00612824">
              <w:rPr>
                <w:b/>
                <w:lang w:val="it-IT"/>
              </w:rPr>
              <w:t>Dose standard</w:t>
            </w:r>
          </w:p>
        </w:tc>
      </w:tr>
      <w:tr w14:paraId="14CDB208" w14:textId="77777777" w:rsidTr="00F83E38">
        <w:tblPrEx>
          <w:tblW w:w="0" w:type="auto"/>
          <w:tblLook w:val="01E0"/>
        </w:tblPrEx>
        <w:tc>
          <w:tcPr>
            <w:tcW w:w="988" w:type="dxa"/>
            <w:tcBorders>
              <w:top w:val="single" w:sz="4" w:space="0" w:color="auto"/>
              <w:left w:val="single" w:sz="4" w:space="0" w:color="auto"/>
              <w:bottom w:val="single" w:sz="4" w:space="0" w:color="auto"/>
              <w:right w:val="single" w:sz="4" w:space="0" w:color="auto"/>
            </w:tcBorders>
          </w:tcPr>
          <w:p w:rsidR="004F635B" w:rsidRPr="00612824" w:rsidP="00F83E38" w14:paraId="27BEA9D8" w14:textId="77777777">
            <w:pPr>
              <w:pStyle w:val="EMEANormal"/>
              <w:rPr>
                <w:lang w:val="it-IT"/>
              </w:rPr>
            </w:pPr>
            <w:r w:rsidRPr="00612824">
              <w:rPr>
                <w:lang w:val="it-IT"/>
              </w:rPr>
              <w:t>&lt; 40 kg</w:t>
            </w:r>
          </w:p>
        </w:tc>
        <w:tc>
          <w:tcPr>
            <w:tcW w:w="1210" w:type="dxa"/>
            <w:tcBorders>
              <w:top w:val="single" w:sz="4" w:space="0" w:color="auto"/>
              <w:left w:val="single" w:sz="4" w:space="0" w:color="auto"/>
              <w:bottom w:val="single" w:sz="4" w:space="0" w:color="auto"/>
              <w:right w:val="single" w:sz="4" w:space="0" w:color="auto"/>
            </w:tcBorders>
          </w:tcPr>
          <w:p w:rsidR="004F635B" w:rsidRPr="00612824" w:rsidP="00F83E38" w14:paraId="58869DE8" w14:textId="77777777">
            <w:pPr>
              <w:pStyle w:val="EMEANormal"/>
              <w:rPr>
                <w:lang w:val="it-IT"/>
              </w:rPr>
            </w:pPr>
            <w:r w:rsidRPr="00612824">
              <w:rPr>
                <w:lang w:val="it-IT"/>
              </w:rPr>
              <w:t>10 mg a settimane alterne</w:t>
            </w:r>
          </w:p>
        </w:tc>
        <w:tc>
          <w:tcPr>
            <w:tcW w:w="1210" w:type="dxa"/>
            <w:tcBorders>
              <w:top w:val="single" w:sz="4" w:space="0" w:color="auto"/>
              <w:left w:val="single" w:sz="4" w:space="0" w:color="auto"/>
              <w:bottom w:val="single" w:sz="4" w:space="0" w:color="auto"/>
              <w:right w:val="single" w:sz="4" w:space="0" w:color="auto"/>
            </w:tcBorders>
          </w:tcPr>
          <w:p w:rsidR="004F635B" w:rsidRPr="00612824" w:rsidP="00F83E38" w14:paraId="3F64B056" w14:textId="77777777">
            <w:pPr>
              <w:pStyle w:val="EMEANormal"/>
              <w:rPr>
                <w:lang w:val="it-IT"/>
              </w:rPr>
            </w:pPr>
            <w:r w:rsidRPr="00612824">
              <w:rPr>
                <w:lang w:val="it-IT"/>
              </w:rPr>
              <w:t>20 mg a settimane alterne</w:t>
            </w:r>
          </w:p>
        </w:tc>
      </w:tr>
      <w:tr w14:paraId="37799659" w14:textId="77777777" w:rsidTr="00F83E38">
        <w:tblPrEx>
          <w:tblW w:w="0" w:type="auto"/>
          <w:tblLook w:val="01E0"/>
        </w:tblPrEx>
        <w:tc>
          <w:tcPr>
            <w:tcW w:w="988" w:type="dxa"/>
            <w:tcBorders>
              <w:top w:val="single" w:sz="4" w:space="0" w:color="auto"/>
              <w:left w:val="single" w:sz="4" w:space="0" w:color="auto"/>
              <w:bottom w:val="single" w:sz="4" w:space="0" w:color="auto"/>
              <w:right w:val="single" w:sz="4" w:space="0" w:color="auto"/>
            </w:tcBorders>
          </w:tcPr>
          <w:p w:rsidR="004F635B" w:rsidRPr="00612824" w:rsidP="00F83E38" w14:paraId="323387C4" w14:textId="77777777">
            <w:pPr>
              <w:pStyle w:val="EMEANormal"/>
              <w:rPr>
                <w:lang w:val="it-IT"/>
              </w:rPr>
            </w:pPr>
            <w:r w:rsidRPr="00612824">
              <w:rPr>
                <w:lang w:val="it-IT"/>
              </w:rPr>
              <w:t>≥ 40 kg</w:t>
            </w:r>
          </w:p>
        </w:tc>
        <w:tc>
          <w:tcPr>
            <w:tcW w:w="1210" w:type="dxa"/>
            <w:tcBorders>
              <w:top w:val="single" w:sz="4" w:space="0" w:color="auto"/>
              <w:left w:val="single" w:sz="4" w:space="0" w:color="auto"/>
              <w:bottom w:val="single" w:sz="4" w:space="0" w:color="auto"/>
              <w:right w:val="single" w:sz="4" w:space="0" w:color="auto"/>
            </w:tcBorders>
          </w:tcPr>
          <w:p w:rsidR="004F635B" w:rsidRPr="00612824" w:rsidP="00F83E38" w14:paraId="7DEC4024" w14:textId="77777777">
            <w:pPr>
              <w:pStyle w:val="EMEANormal"/>
              <w:rPr>
                <w:lang w:val="it-IT"/>
              </w:rPr>
            </w:pPr>
            <w:r w:rsidRPr="00612824">
              <w:rPr>
                <w:lang w:val="it-IT"/>
              </w:rPr>
              <w:t>20 mg a settimane alterne</w:t>
            </w:r>
          </w:p>
        </w:tc>
        <w:tc>
          <w:tcPr>
            <w:tcW w:w="1210" w:type="dxa"/>
            <w:tcBorders>
              <w:top w:val="single" w:sz="4" w:space="0" w:color="auto"/>
              <w:left w:val="single" w:sz="4" w:space="0" w:color="auto"/>
              <w:bottom w:val="single" w:sz="4" w:space="0" w:color="auto"/>
              <w:right w:val="single" w:sz="4" w:space="0" w:color="auto"/>
            </w:tcBorders>
          </w:tcPr>
          <w:p w:rsidR="004F635B" w:rsidRPr="00612824" w:rsidP="00F83E38" w14:paraId="6B65B264" w14:textId="77777777">
            <w:pPr>
              <w:pStyle w:val="EMEANormal"/>
              <w:rPr>
                <w:lang w:val="it-IT"/>
              </w:rPr>
            </w:pPr>
            <w:r w:rsidRPr="00612824">
              <w:rPr>
                <w:lang w:val="it-IT"/>
              </w:rPr>
              <w:t>40 mg a settimane alterne</w:t>
            </w:r>
          </w:p>
        </w:tc>
      </w:tr>
    </w:tbl>
    <w:p w:rsidR="004F635B" w:rsidRPr="00612824" w:rsidP="004F635B" w14:paraId="4E899D16" w14:textId="77777777">
      <w:pPr>
        <w:tabs>
          <w:tab w:val="left" w:pos="567"/>
        </w:tabs>
        <w:jc w:val="both"/>
        <w:rPr>
          <w:i/>
          <w:sz w:val="22"/>
          <w:szCs w:val="22"/>
        </w:rPr>
      </w:pPr>
    </w:p>
    <w:p w:rsidR="004F635B" w:rsidRPr="00612824" w:rsidP="004F635B" w14:paraId="105C3D25" w14:textId="77777777">
      <w:pPr>
        <w:tabs>
          <w:tab w:val="left" w:pos="567"/>
        </w:tabs>
        <w:jc w:val="both"/>
        <w:rPr>
          <w:i/>
          <w:sz w:val="22"/>
          <w:szCs w:val="22"/>
          <w:u w:val="single"/>
        </w:rPr>
      </w:pPr>
      <w:r w:rsidRPr="00612824">
        <w:rPr>
          <w:i/>
          <w:sz w:val="22"/>
          <w:szCs w:val="22"/>
          <w:u w:val="single"/>
        </w:rPr>
        <w:t>Risultati di efficacia</w:t>
      </w:r>
    </w:p>
    <w:p w:rsidR="004F635B" w:rsidRPr="00612824" w:rsidP="004F635B" w14:paraId="3DA27A5A" w14:textId="77777777">
      <w:pPr>
        <w:tabs>
          <w:tab w:val="left" w:pos="567"/>
        </w:tabs>
        <w:jc w:val="both"/>
        <w:rPr>
          <w:sz w:val="22"/>
          <w:szCs w:val="22"/>
        </w:rPr>
      </w:pPr>
    </w:p>
    <w:p w:rsidR="004F635B" w:rsidRPr="00612824" w:rsidP="004F635B" w14:paraId="1D3C943B" w14:textId="77777777">
      <w:pPr>
        <w:tabs>
          <w:tab w:val="left" w:pos="567"/>
        </w:tabs>
        <w:jc w:val="both"/>
        <w:rPr>
          <w:sz w:val="22"/>
          <w:szCs w:val="22"/>
        </w:rPr>
      </w:pPr>
      <w:r w:rsidRPr="00612824">
        <w:rPr>
          <w:sz w:val="22"/>
          <w:szCs w:val="22"/>
        </w:rPr>
        <w:t xml:space="preserve">L’endpoint primario dello studio è stato la remissione clinica alla settimana 26, definita da un punteggio PCDAI </w:t>
      </w:r>
      <w:r w:rsidRPr="00612824">
        <w:rPr>
          <w:rFonts w:ascii="Symbol" w:hAnsi="Symbol"/>
        </w:rPr>
        <w:sym w:font="Symbol" w:char="F0A3"/>
      </w:r>
      <w:r w:rsidRPr="00612824">
        <w:t> </w:t>
      </w:r>
      <w:r w:rsidRPr="00612824">
        <w:rPr>
          <w:sz w:val="22"/>
          <w:szCs w:val="22"/>
        </w:rPr>
        <w:t>10.</w:t>
      </w:r>
    </w:p>
    <w:p w:rsidR="004F635B" w:rsidRPr="00612824" w:rsidP="004F635B" w14:paraId="380F647D" w14:textId="77777777">
      <w:pPr>
        <w:tabs>
          <w:tab w:val="left" w:pos="567"/>
        </w:tabs>
        <w:jc w:val="both"/>
        <w:rPr>
          <w:sz w:val="22"/>
          <w:szCs w:val="22"/>
        </w:rPr>
      </w:pPr>
    </w:p>
    <w:p w:rsidR="004F635B" w:rsidRPr="00612824" w:rsidP="004F635B" w14:paraId="418EED12" w14:textId="77777777">
      <w:pPr>
        <w:tabs>
          <w:tab w:val="left" w:pos="567"/>
        </w:tabs>
        <w:jc w:val="both"/>
        <w:rPr>
          <w:sz w:val="22"/>
          <w:szCs w:val="22"/>
        </w:rPr>
      </w:pPr>
      <w:r w:rsidRPr="00612824">
        <w:rPr>
          <w:sz w:val="22"/>
          <w:szCs w:val="22"/>
        </w:rPr>
        <w:t>Le percentuali di remissione clinica e di risposta clinica (definite come riduzione del punteggio PCDAI di almeno 15 punti dal basale) sono riportate nella Tabella 29. Le percentuali di interruzione dei corticosteroidi o degli immunomodulatori sono riportate nella Tabella 30.</w:t>
      </w:r>
    </w:p>
    <w:p w:rsidR="004F635B" w:rsidRPr="00612824" w:rsidP="004F635B" w14:paraId="2329A754" w14:textId="77777777">
      <w:pPr>
        <w:tabs>
          <w:tab w:val="left" w:pos="567"/>
        </w:tabs>
        <w:rPr>
          <w:sz w:val="22"/>
          <w:szCs w:val="22"/>
        </w:rPr>
      </w:pPr>
    </w:p>
    <w:tbl>
      <w:tblPr>
        <w:tblW w:w="0" w:type="auto"/>
        <w:jc w:val="center"/>
        <w:tblCellMar>
          <w:left w:w="0" w:type="dxa"/>
          <w:right w:w="0" w:type="dxa"/>
        </w:tblCellMar>
        <w:tblLook w:val="00A0"/>
      </w:tblPr>
      <w:tblGrid>
        <w:gridCol w:w="2321"/>
        <w:gridCol w:w="1614"/>
        <w:gridCol w:w="1591"/>
        <w:gridCol w:w="1147"/>
      </w:tblGrid>
      <w:tr w14:paraId="37D4397C" w14:textId="77777777" w:rsidTr="00F83E38">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4F635B" w:rsidRPr="00612824" w:rsidP="00986889" w14:paraId="1005088D" w14:textId="77777777">
            <w:pPr>
              <w:keepNext/>
              <w:tabs>
                <w:tab w:val="left" w:pos="-878"/>
              </w:tabs>
              <w:autoSpaceDE w:val="0"/>
              <w:autoSpaceDN w:val="0"/>
              <w:adjustRightInd w:val="0"/>
              <w:ind w:left="15"/>
              <w:jc w:val="center"/>
              <w:rPr>
                <w:b/>
                <w:bCs/>
                <w:sz w:val="22"/>
                <w:szCs w:val="22"/>
              </w:rPr>
            </w:pPr>
            <w:r w:rsidRPr="00612824">
              <w:rPr>
                <w:b/>
                <w:bCs/>
                <w:sz w:val="22"/>
                <w:szCs w:val="22"/>
              </w:rPr>
              <w:t>Tabella 29</w:t>
            </w:r>
          </w:p>
          <w:p w:rsidR="004F635B" w:rsidRPr="00612824" w:rsidP="00986889" w14:paraId="2C25C431" w14:textId="77777777">
            <w:pPr>
              <w:keepNext/>
              <w:tabs>
                <w:tab w:val="left" w:pos="-878"/>
              </w:tabs>
              <w:autoSpaceDE w:val="0"/>
              <w:autoSpaceDN w:val="0"/>
              <w:adjustRightInd w:val="0"/>
              <w:ind w:left="15"/>
              <w:jc w:val="center"/>
              <w:rPr>
                <w:b/>
                <w:bCs/>
                <w:sz w:val="22"/>
                <w:szCs w:val="22"/>
              </w:rPr>
            </w:pPr>
            <w:r w:rsidRPr="00612824">
              <w:rPr>
                <w:b/>
                <w:bCs/>
                <w:sz w:val="22"/>
                <w:szCs w:val="22"/>
              </w:rPr>
              <w:t>Studio della Malattia di Crohn Pediatrica</w:t>
            </w:r>
          </w:p>
          <w:p w:rsidR="004F635B" w:rsidRPr="00612824" w:rsidP="00986889" w14:paraId="3FE463C4" w14:textId="77777777">
            <w:pPr>
              <w:keepNext/>
              <w:tabs>
                <w:tab w:val="left" w:pos="-878"/>
              </w:tabs>
              <w:autoSpaceDE w:val="0"/>
              <w:autoSpaceDN w:val="0"/>
              <w:adjustRightInd w:val="0"/>
              <w:ind w:left="15"/>
              <w:jc w:val="center"/>
              <w:rPr>
                <w:b/>
                <w:bCs/>
                <w:sz w:val="22"/>
                <w:szCs w:val="22"/>
              </w:rPr>
            </w:pPr>
            <w:r w:rsidRPr="00612824">
              <w:rPr>
                <w:b/>
                <w:bCs/>
                <w:sz w:val="22"/>
                <w:szCs w:val="22"/>
              </w:rPr>
              <w:t>PCDAI di Remissione Clinica e di Risposta</w:t>
            </w:r>
          </w:p>
        </w:tc>
      </w:tr>
      <w:tr w14:paraId="25C8CD52"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4F635B" w:rsidRPr="00612824" w:rsidP="00986889" w14:paraId="63AE175F" w14:textId="77777777">
            <w:pPr>
              <w:keepNext/>
              <w:keepLines/>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rsidR="004F635B" w:rsidRPr="00612824" w:rsidP="00986889" w14:paraId="28C382BC" w14:textId="77777777">
            <w:pPr>
              <w:keepNext/>
              <w:keepLines/>
              <w:tabs>
                <w:tab w:val="left" w:pos="-1080"/>
              </w:tabs>
              <w:autoSpaceDE w:val="0"/>
              <w:autoSpaceDN w:val="0"/>
              <w:adjustRightInd w:val="0"/>
              <w:ind w:left="15"/>
              <w:jc w:val="center"/>
              <w:rPr>
                <w:b/>
                <w:bCs/>
                <w:sz w:val="22"/>
                <w:szCs w:val="22"/>
              </w:rPr>
            </w:pPr>
            <w:r w:rsidRPr="00612824">
              <w:rPr>
                <w:b/>
                <w:bCs/>
                <w:sz w:val="22"/>
                <w:szCs w:val="22"/>
              </w:rPr>
              <w:t xml:space="preserve">Dose standard </w:t>
            </w:r>
          </w:p>
          <w:p w:rsidR="004F635B" w:rsidRPr="00612824" w:rsidP="00986889" w14:paraId="6F7B3D5C" w14:textId="77777777">
            <w:pPr>
              <w:keepNext/>
              <w:keepLines/>
              <w:tabs>
                <w:tab w:val="left" w:pos="-1080"/>
              </w:tabs>
              <w:autoSpaceDE w:val="0"/>
              <w:autoSpaceDN w:val="0"/>
              <w:adjustRightInd w:val="0"/>
              <w:ind w:left="15"/>
              <w:jc w:val="center"/>
              <w:rPr>
                <w:b/>
                <w:bCs/>
                <w:sz w:val="22"/>
                <w:szCs w:val="22"/>
              </w:rPr>
            </w:pPr>
            <w:r w:rsidRPr="00612824">
              <w:rPr>
                <w:b/>
                <w:bCs/>
                <w:sz w:val="22"/>
                <w:szCs w:val="22"/>
              </w:rPr>
              <w:t xml:space="preserve">40/20 mg a settimane alterne </w:t>
            </w:r>
          </w:p>
          <w:p w:rsidR="004F635B" w:rsidRPr="00612824" w:rsidP="00986889" w14:paraId="65EDF52B" w14:textId="77777777">
            <w:pPr>
              <w:keepNext/>
              <w:keepLines/>
              <w:tabs>
                <w:tab w:val="left" w:pos="-1080"/>
              </w:tabs>
              <w:autoSpaceDE w:val="0"/>
              <w:autoSpaceDN w:val="0"/>
              <w:adjustRightInd w:val="0"/>
              <w:ind w:left="15"/>
              <w:jc w:val="center"/>
              <w:rPr>
                <w:b/>
                <w:sz w:val="22"/>
                <w:szCs w:val="22"/>
              </w:rPr>
            </w:pPr>
            <w:r w:rsidRPr="00612824">
              <w:rPr>
                <w:b/>
                <w:sz w:val="22"/>
                <w:szCs w:val="22"/>
              </w:rPr>
              <w:t>N = 93</w:t>
            </w:r>
          </w:p>
        </w:tc>
        <w:tc>
          <w:tcPr>
            <w:tcW w:w="1591" w:type="dxa"/>
            <w:tcBorders>
              <w:top w:val="single" w:sz="6" w:space="0" w:color="000000"/>
              <w:left w:val="single" w:sz="6" w:space="0" w:color="000000"/>
              <w:bottom w:val="single" w:sz="6" w:space="0" w:color="000000"/>
              <w:right w:val="single" w:sz="6" w:space="0" w:color="000000"/>
            </w:tcBorders>
          </w:tcPr>
          <w:p w:rsidR="004F635B" w:rsidRPr="00612824" w:rsidP="00986889" w14:paraId="74E37179" w14:textId="77777777">
            <w:pPr>
              <w:keepNext/>
              <w:keepLines/>
              <w:tabs>
                <w:tab w:val="left" w:pos="-1080"/>
              </w:tabs>
              <w:autoSpaceDE w:val="0"/>
              <w:autoSpaceDN w:val="0"/>
              <w:adjustRightInd w:val="0"/>
              <w:ind w:left="15"/>
              <w:jc w:val="center"/>
              <w:rPr>
                <w:b/>
                <w:bCs/>
                <w:sz w:val="22"/>
                <w:szCs w:val="22"/>
              </w:rPr>
            </w:pPr>
            <w:r w:rsidRPr="00612824">
              <w:rPr>
                <w:b/>
                <w:bCs/>
                <w:sz w:val="22"/>
                <w:szCs w:val="22"/>
              </w:rPr>
              <w:t xml:space="preserve">Bassa dose </w:t>
            </w:r>
          </w:p>
          <w:p w:rsidR="004F635B" w:rsidRPr="00612824" w:rsidP="00986889" w14:paraId="54851CA7" w14:textId="77777777">
            <w:pPr>
              <w:keepNext/>
              <w:keepLines/>
              <w:tabs>
                <w:tab w:val="left" w:pos="-1080"/>
              </w:tabs>
              <w:autoSpaceDE w:val="0"/>
              <w:autoSpaceDN w:val="0"/>
              <w:adjustRightInd w:val="0"/>
              <w:ind w:left="15"/>
              <w:jc w:val="center"/>
              <w:rPr>
                <w:b/>
                <w:bCs/>
                <w:sz w:val="22"/>
                <w:szCs w:val="22"/>
              </w:rPr>
            </w:pPr>
            <w:r w:rsidRPr="00612824">
              <w:rPr>
                <w:b/>
                <w:bCs/>
                <w:sz w:val="22"/>
                <w:szCs w:val="22"/>
              </w:rPr>
              <w:t>20/10 mg a settimane alterne</w:t>
            </w:r>
          </w:p>
          <w:p w:rsidR="004F635B" w:rsidRPr="00612824" w:rsidP="00986889" w14:paraId="11A90983" w14:textId="77777777">
            <w:pPr>
              <w:keepNext/>
              <w:keepLines/>
              <w:tabs>
                <w:tab w:val="left" w:pos="-1080"/>
              </w:tabs>
              <w:autoSpaceDE w:val="0"/>
              <w:autoSpaceDN w:val="0"/>
              <w:adjustRightInd w:val="0"/>
              <w:ind w:left="15"/>
              <w:jc w:val="center"/>
              <w:rPr>
                <w:b/>
                <w:sz w:val="22"/>
                <w:szCs w:val="22"/>
              </w:rPr>
            </w:pPr>
            <w:r w:rsidRPr="00612824">
              <w:rPr>
                <w:b/>
                <w:sz w:val="22"/>
                <w:szCs w:val="22"/>
              </w:rPr>
              <w:t>N = 95</w:t>
            </w:r>
          </w:p>
        </w:tc>
        <w:tc>
          <w:tcPr>
            <w:tcW w:w="1147" w:type="dxa"/>
            <w:tcBorders>
              <w:top w:val="single" w:sz="6" w:space="0" w:color="000000"/>
              <w:left w:val="single" w:sz="6" w:space="0" w:color="000000"/>
              <w:bottom w:val="single" w:sz="6" w:space="0" w:color="000000"/>
              <w:right w:val="single" w:sz="6" w:space="0" w:color="000000"/>
            </w:tcBorders>
          </w:tcPr>
          <w:p w:rsidR="004F635B" w:rsidRPr="00612824" w:rsidP="00986889" w14:paraId="1CDEAE13" w14:textId="77777777">
            <w:pPr>
              <w:keepNext/>
              <w:keepLines/>
              <w:tabs>
                <w:tab w:val="left" w:pos="-1080"/>
              </w:tabs>
              <w:autoSpaceDE w:val="0"/>
              <w:autoSpaceDN w:val="0"/>
              <w:adjustRightInd w:val="0"/>
              <w:ind w:left="15"/>
              <w:jc w:val="center"/>
              <w:rPr>
                <w:sz w:val="22"/>
                <w:szCs w:val="22"/>
              </w:rPr>
            </w:pPr>
            <w:r w:rsidRPr="00612824">
              <w:rPr>
                <w:b/>
                <w:bCs/>
                <w:sz w:val="22"/>
                <w:szCs w:val="22"/>
              </w:rPr>
              <w:t xml:space="preserve">valore P </w:t>
            </w:r>
            <w:r w:rsidRPr="00612824">
              <w:rPr>
                <w:sz w:val="22"/>
                <w:szCs w:val="22"/>
              </w:rPr>
              <w:t>*</w:t>
            </w:r>
          </w:p>
        </w:tc>
      </w:tr>
      <w:tr w14:paraId="50374D25"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23798208" w14:textId="77777777">
            <w:pPr>
              <w:keepNext/>
              <w:keepLines/>
              <w:tabs>
                <w:tab w:val="left" w:pos="-1080"/>
              </w:tabs>
              <w:autoSpaceDE w:val="0"/>
              <w:autoSpaceDN w:val="0"/>
              <w:adjustRightInd w:val="0"/>
              <w:ind w:left="15"/>
              <w:rPr>
                <w:b/>
                <w:bCs/>
                <w:sz w:val="22"/>
                <w:szCs w:val="22"/>
              </w:rPr>
            </w:pPr>
            <w:r w:rsidRPr="00612824">
              <w:rPr>
                <w:b/>
                <w:bCs/>
                <w:sz w:val="22"/>
                <w:szCs w:val="22"/>
              </w:rPr>
              <w:t>Settimana 26</w:t>
            </w:r>
          </w:p>
        </w:tc>
        <w:tc>
          <w:tcPr>
            <w:tcW w:w="1614"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077E2C13" w14:textId="77777777">
            <w:pPr>
              <w:keepNext/>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0E6D8D1A" w14:textId="77777777">
            <w:pPr>
              <w:keepNext/>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1BCADAC4" w14:textId="77777777">
            <w:pPr>
              <w:keepNext/>
              <w:autoSpaceDE w:val="0"/>
              <w:autoSpaceDN w:val="0"/>
              <w:adjustRightInd w:val="0"/>
              <w:ind w:left="15"/>
              <w:rPr>
                <w:b/>
                <w:bCs/>
                <w:sz w:val="22"/>
                <w:szCs w:val="22"/>
              </w:rPr>
            </w:pPr>
          </w:p>
        </w:tc>
      </w:tr>
      <w:tr w14:paraId="64ED8E2B"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74976A44" w14:textId="77777777">
            <w:pPr>
              <w:keepNext/>
              <w:keepLines/>
              <w:tabs>
                <w:tab w:val="left" w:pos="-1080"/>
              </w:tabs>
              <w:autoSpaceDE w:val="0"/>
              <w:autoSpaceDN w:val="0"/>
              <w:adjustRightInd w:val="0"/>
              <w:ind w:left="15"/>
              <w:rPr>
                <w:sz w:val="22"/>
                <w:szCs w:val="22"/>
              </w:rPr>
            </w:pPr>
            <w:r w:rsidRPr="00612824">
              <w:rPr>
                <w:sz w:val="22"/>
                <w:szCs w:val="22"/>
              </w:rPr>
              <w:t xml:space="preserve">   Remissione clinica </w:t>
            </w:r>
          </w:p>
        </w:tc>
        <w:tc>
          <w:tcPr>
            <w:tcW w:w="1614"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6FD4AD22" w14:textId="77777777">
            <w:pPr>
              <w:keepNext/>
              <w:keepLines/>
              <w:tabs>
                <w:tab w:val="left" w:pos="-1080"/>
              </w:tabs>
              <w:autoSpaceDE w:val="0"/>
              <w:autoSpaceDN w:val="0"/>
              <w:adjustRightInd w:val="0"/>
              <w:ind w:left="15"/>
              <w:jc w:val="center"/>
              <w:rPr>
                <w:sz w:val="22"/>
                <w:szCs w:val="22"/>
              </w:rPr>
            </w:pPr>
            <w:r w:rsidRPr="00612824">
              <w:rPr>
                <w:sz w:val="22"/>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4D02EA10" w14:textId="77777777">
            <w:pPr>
              <w:keepNext/>
              <w:keepLines/>
              <w:tabs>
                <w:tab w:val="left" w:pos="-1080"/>
              </w:tabs>
              <w:autoSpaceDE w:val="0"/>
              <w:autoSpaceDN w:val="0"/>
              <w:adjustRightInd w:val="0"/>
              <w:ind w:left="15"/>
              <w:jc w:val="center"/>
              <w:rPr>
                <w:sz w:val="22"/>
                <w:szCs w:val="22"/>
              </w:rPr>
            </w:pPr>
            <w:r w:rsidRPr="00612824">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03DA3345" w14:textId="77777777">
            <w:pPr>
              <w:keepNext/>
              <w:keepLines/>
              <w:tabs>
                <w:tab w:val="left" w:pos="-1080"/>
              </w:tabs>
              <w:autoSpaceDE w:val="0"/>
              <w:autoSpaceDN w:val="0"/>
              <w:adjustRightInd w:val="0"/>
              <w:ind w:left="15"/>
              <w:jc w:val="center"/>
              <w:rPr>
                <w:sz w:val="22"/>
                <w:szCs w:val="22"/>
              </w:rPr>
            </w:pPr>
            <w:r w:rsidRPr="00612824">
              <w:rPr>
                <w:sz w:val="22"/>
                <w:szCs w:val="22"/>
              </w:rPr>
              <w:t>0,075</w:t>
            </w:r>
          </w:p>
        </w:tc>
      </w:tr>
      <w:tr w14:paraId="41AE03E6"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4F635B" w:rsidRPr="00612824" w:rsidP="00986889" w14:paraId="0873F8FE" w14:textId="77777777">
            <w:pPr>
              <w:keepNext/>
              <w:keepLines/>
              <w:tabs>
                <w:tab w:val="left" w:pos="-1080"/>
              </w:tabs>
              <w:autoSpaceDE w:val="0"/>
              <w:autoSpaceDN w:val="0"/>
              <w:adjustRightInd w:val="0"/>
              <w:ind w:left="15"/>
              <w:rPr>
                <w:sz w:val="22"/>
                <w:szCs w:val="22"/>
              </w:rPr>
            </w:pPr>
            <w:r w:rsidRPr="00612824">
              <w:rPr>
                <w:sz w:val="22"/>
                <w:szCs w:val="22"/>
              </w:rPr>
              <w:t xml:space="preserve">   Risposta clinica</w:t>
            </w:r>
          </w:p>
        </w:tc>
        <w:tc>
          <w:tcPr>
            <w:tcW w:w="1614" w:type="dxa"/>
            <w:tcBorders>
              <w:top w:val="single" w:sz="6" w:space="0" w:color="000000"/>
              <w:left w:val="single" w:sz="6" w:space="0" w:color="000000"/>
              <w:bottom w:val="single" w:sz="6" w:space="0" w:color="000000"/>
              <w:right w:val="single" w:sz="6" w:space="0" w:color="000000"/>
            </w:tcBorders>
          </w:tcPr>
          <w:p w:rsidR="004F635B" w:rsidRPr="00612824" w:rsidP="00986889" w14:paraId="6423D4EE" w14:textId="77777777">
            <w:pPr>
              <w:keepNext/>
              <w:keepLines/>
              <w:tabs>
                <w:tab w:val="left" w:pos="-1080"/>
              </w:tabs>
              <w:autoSpaceDE w:val="0"/>
              <w:autoSpaceDN w:val="0"/>
              <w:adjustRightInd w:val="0"/>
              <w:ind w:left="15"/>
              <w:jc w:val="center"/>
              <w:rPr>
                <w:sz w:val="22"/>
                <w:szCs w:val="22"/>
              </w:rPr>
            </w:pPr>
            <w:r w:rsidRPr="00612824">
              <w:rPr>
                <w:sz w:val="22"/>
                <w:szCs w:val="22"/>
              </w:rPr>
              <w:t>59,1%</w:t>
            </w:r>
          </w:p>
        </w:tc>
        <w:tc>
          <w:tcPr>
            <w:tcW w:w="1591" w:type="dxa"/>
            <w:tcBorders>
              <w:top w:val="single" w:sz="6" w:space="0" w:color="000000"/>
              <w:left w:val="single" w:sz="6" w:space="0" w:color="000000"/>
              <w:bottom w:val="single" w:sz="6" w:space="0" w:color="000000"/>
              <w:right w:val="single" w:sz="6" w:space="0" w:color="000000"/>
            </w:tcBorders>
          </w:tcPr>
          <w:p w:rsidR="004F635B" w:rsidRPr="00612824" w:rsidP="00986889" w14:paraId="4DAC9231" w14:textId="77777777">
            <w:pPr>
              <w:keepNext/>
              <w:keepLines/>
              <w:tabs>
                <w:tab w:val="left" w:pos="-1080"/>
              </w:tabs>
              <w:autoSpaceDE w:val="0"/>
              <w:autoSpaceDN w:val="0"/>
              <w:adjustRightInd w:val="0"/>
              <w:ind w:left="15"/>
              <w:jc w:val="center"/>
              <w:rPr>
                <w:sz w:val="22"/>
                <w:szCs w:val="22"/>
              </w:rPr>
            </w:pPr>
            <w:r w:rsidRPr="00612824">
              <w:rPr>
                <w:sz w:val="22"/>
                <w:szCs w:val="22"/>
              </w:rPr>
              <w:t>48,4%</w:t>
            </w:r>
          </w:p>
        </w:tc>
        <w:tc>
          <w:tcPr>
            <w:tcW w:w="1147" w:type="dxa"/>
            <w:tcBorders>
              <w:top w:val="single" w:sz="6" w:space="0" w:color="000000"/>
              <w:left w:val="single" w:sz="6" w:space="0" w:color="000000"/>
              <w:bottom w:val="single" w:sz="6" w:space="0" w:color="000000"/>
              <w:right w:val="single" w:sz="6" w:space="0" w:color="000000"/>
            </w:tcBorders>
          </w:tcPr>
          <w:p w:rsidR="004F635B" w:rsidRPr="00612824" w:rsidP="00986889" w14:paraId="70713292" w14:textId="77777777">
            <w:pPr>
              <w:keepNext/>
              <w:keepLines/>
              <w:tabs>
                <w:tab w:val="left" w:pos="-1080"/>
              </w:tabs>
              <w:autoSpaceDE w:val="0"/>
              <w:autoSpaceDN w:val="0"/>
              <w:adjustRightInd w:val="0"/>
              <w:ind w:left="15"/>
              <w:jc w:val="center"/>
              <w:rPr>
                <w:sz w:val="22"/>
                <w:szCs w:val="22"/>
              </w:rPr>
            </w:pPr>
            <w:r w:rsidRPr="00612824">
              <w:rPr>
                <w:sz w:val="22"/>
                <w:szCs w:val="22"/>
              </w:rPr>
              <w:t>0,073</w:t>
            </w:r>
          </w:p>
        </w:tc>
      </w:tr>
      <w:tr w14:paraId="2D5D2018"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4BD867F2" w14:textId="77777777">
            <w:pPr>
              <w:keepNext/>
              <w:keepLines/>
              <w:tabs>
                <w:tab w:val="left" w:pos="-1080"/>
              </w:tabs>
              <w:autoSpaceDE w:val="0"/>
              <w:autoSpaceDN w:val="0"/>
              <w:adjustRightInd w:val="0"/>
              <w:ind w:left="15"/>
              <w:rPr>
                <w:b/>
                <w:bCs/>
                <w:sz w:val="22"/>
                <w:szCs w:val="22"/>
              </w:rPr>
            </w:pPr>
            <w:r w:rsidRPr="00612824">
              <w:rPr>
                <w:b/>
                <w:bCs/>
                <w:sz w:val="22"/>
                <w:szCs w:val="22"/>
              </w:rPr>
              <w:t>Settimana 52</w:t>
            </w:r>
          </w:p>
        </w:tc>
        <w:tc>
          <w:tcPr>
            <w:tcW w:w="1614"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48187D24" w14:textId="77777777">
            <w:pPr>
              <w:keepNext/>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6E8599D4" w14:textId="77777777">
            <w:pPr>
              <w:keepNext/>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166B4C5C" w14:textId="77777777">
            <w:pPr>
              <w:keepNext/>
              <w:autoSpaceDE w:val="0"/>
              <w:autoSpaceDN w:val="0"/>
              <w:adjustRightInd w:val="0"/>
              <w:ind w:left="15"/>
              <w:rPr>
                <w:b/>
                <w:bCs/>
                <w:sz w:val="22"/>
                <w:szCs w:val="22"/>
              </w:rPr>
            </w:pPr>
          </w:p>
        </w:tc>
      </w:tr>
      <w:tr w14:paraId="33820107"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68A4F4CF" w14:textId="77777777">
            <w:pPr>
              <w:keepNext/>
              <w:keepLines/>
              <w:tabs>
                <w:tab w:val="left" w:pos="-1080"/>
              </w:tabs>
              <w:autoSpaceDE w:val="0"/>
              <w:autoSpaceDN w:val="0"/>
              <w:adjustRightInd w:val="0"/>
              <w:ind w:left="15"/>
              <w:rPr>
                <w:sz w:val="22"/>
                <w:szCs w:val="22"/>
              </w:rPr>
            </w:pPr>
            <w:r w:rsidRPr="00612824">
              <w:rPr>
                <w:sz w:val="22"/>
                <w:szCs w:val="22"/>
              </w:rPr>
              <w:t xml:space="preserve">   Remissione clinica </w:t>
            </w:r>
          </w:p>
        </w:tc>
        <w:tc>
          <w:tcPr>
            <w:tcW w:w="1614"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1B509CF7" w14:textId="77777777">
            <w:pPr>
              <w:keepNext/>
              <w:keepLines/>
              <w:tabs>
                <w:tab w:val="left" w:pos="-1080"/>
              </w:tabs>
              <w:autoSpaceDE w:val="0"/>
              <w:autoSpaceDN w:val="0"/>
              <w:adjustRightInd w:val="0"/>
              <w:ind w:left="15"/>
              <w:jc w:val="center"/>
              <w:rPr>
                <w:sz w:val="22"/>
                <w:szCs w:val="22"/>
              </w:rPr>
            </w:pPr>
            <w:r w:rsidRPr="00612824">
              <w:rPr>
                <w:sz w:val="22"/>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7EA27B8E" w14:textId="77777777">
            <w:pPr>
              <w:keepNext/>
              <w:keepLines/>
              <w:tabs>
                <w:tab w:val="left" w:pos="-1080"/>
              </w:tabs>
              <w:autoSpaceDE w:val="0"/>
              <w:autoSpaceDN w:val="0"/>
              <w:adjustRightInd w:val="0"/>
              <w:ind w:left="15"/>
              <w:jc w:val="center"/>
              <w:rPr>
                <w:sz w:val="22"/>
                <w:szCs w:val="22"/>
              </w:rPr>
            </w:pPr>
            <w:r w:rsidRPr="00612824">
              <w:rPr>
                <w:sz w:val="22"/>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rsidR="004F635B" w:rsidRPr="00612824" w:rsidP="00986889" w14:paraId="3A6AEFE5" w14:textId="77777777">
            <w:pPr>
              <w:keepNext/>
              <w:keepLines/>
              <w:tabs>
                <w:tab w:val="left" w:pos="-1080"/>
              </w:tabs>
              <w:autoSpaceDE w:val="0"/>
              <w:autoSpaceDN w:val="0"/>
              <w:adjustRightInd w:val="0"/>
              <w:ind w:left="15"/>
              <w:jc w:val="center"/>
              <w:rPr>
                <w:sz w:val="22"/>
                <w:szCs w:val="22"/>
              </w:rPr>
            </w:pPr>
            <w:r w:rsidRPr="00612824">
              <w:rPr>
                <w:sz w:val="22"/>
                <w:szCs w:val="22"/>
              </w:rPr>
              <w:t>0,100</w:t>
            </w:r>
          </w:p>
        </w:tc>
      </w:tr>
      <w:tr w14:paraId="04AC76AC"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4F635B" w:rsidRPr="00612824" w:rsidP="00986889" w14:paraId="1D6E4568" w14:textId="77777777">
            <w:pPr>
              <w:keepNext/>
              <w:keepLines/>
              <w:tabs>
                <w:tab w:val="left" w:pos="-1080"/>
              </w:tabs>
              <w:autoSpaceDE w:val="0"/>
              <w:autoSpaceDN w:val="0"/>
              <w:adjustRightInd w:val="0"/>
              <w:ind w:left="15"/>
              <w:rPr>
                <w:sz w:val="22"/>
                <w:szCs w:val="22"/>
              </w:rPr>
            </w:pPr>
            <w:r w:rsidRPr="00612824">
              <w:rPr>
                <w:sz w:val="22"/>
                <w:szCs w:val="22"/>
              </w:rPr>
              <w:t xml:space="preserve">   Risposta clinica</w:t>
            </w:r>
          </w:p>
        </w:tc>
        <w:tc>
          <w:tcPr>
            <w:tcW w:w="1614" w:type="dxa"/>
            <w:tcBorders>
              <w:top w:val="single" w:sz="6" w:space="0" w:color="000000"/>
              <w:left w:val="single" w:sz="6" w:space="0" w:color="000000"/>
              <w:bottom w:val="single" w:sz="6" w:space="0" w:color="000000"/>
              <w:right w:val="single" w:sz="6" w:space="0" w:color="000000"/>
            </w:tcBorders>
          </w:tcPr>
          <w:p w:rsidR="004F635B" w:rsidRPr="00612824" w:rsidP="00986889" w14:paraId="2A6974C9" w14:textId="77777777">
            <w:pPr>
              <w:keepNext/>
              <w:keepLines/>
              <w:tabs>
                <w:tab w:val="left" w:pos="-1080"/>
              </w:tabs>
              <w:autoSpaceDE w:val="0"/>
              <w:autoSpaceDN w:val="0"/>
              <w:adjustRightInd w:val="0"/>
              <w:ind w:left="15"/>
              <w:jc w:val="center"/>
              <w:rPr>
                <w:sz w:val="22"/>
                <w:szCs w:val="22"/>
              </w:rPr>
            </w:pPr>
            <w:r w:rsidRPr="00612824">
              <w:rPr>
                <w:sz w:val="22"/>
                <w:szCs w:val="22"/>
              </w:rPr>
              <w:t>41,9%</w:t>
            </w:r>
          </w:p>
        </w:tc>
        <w:tc>
          <w:tcPr>
            <w:tcW w:w="1591" w:type="dxa"/>
            <w:tcBorders>
              <w:top w:val="single" w:sz="6" w:space="0" w:color="000000"/>
              <w:left w:val="single" w:sz="6" w:space="0" w:color="000000"/>
              <w:bottom w:val="single" w:sz="6" w:space="0" w:color="000000"/>
              <w:right w:val="single" w:sz="6" w:space="0" w:color="000000"/>
            </w:tcBorders>
          </w:tcPr>
          <w:p w:rsidR="004F635B" w:rsidRPr="00612824" w:rsidP="00986889" w14:paraId="2AB1F9DE" w14:textId="77777777">
            <w:pPr>
              <w:keepNext/>
              <w:keepLines/>
              <w:tabs>
                <w:tab w:val="left" w:pos="-1080"/>
              </w:tabs>
              <w:autoSpaceDE w:val="0"/>
              <w:autoSpaceDN w:val="0"/>
              <w:adjustRightInd w:val="0"/>
              <w:ind w:left="15"/>
              <w:jc w:val="center"/>
              <w:rPr>
                <w:sz w:val="22"/>
                <w:szCs w:val="22"/>
              </w:rPr>
            </w:pPr>
            <w:r w:rsidRPr="00612824">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tcPr>
          <w:p w:rsidR="004F635B" w:rsidRPr="00612824" w:rsidP="00986889" w14:paraId="08CB91FE" w14:textId="77777777">
            <w:pPr>
              <w:keepNext/>
              <w:keepLines/>
              <w:tabs>
                <w:tab w:val="left" w:pos="-1080"/>
              </w:tabs>
              <w:autoSpaceDE w:val="0"/>
              <w:autoSpaceDN w:val="0"/>
              <w:adjustRightInd w:val="0"/>
              <w:ind w:left="15"/>
              <w:jc w:val="center"/>
              <w:rPr>
                <w:sz w:val="22"/>
                <w:szCs w:val="22"/>
              </w:rPr>
            </w:pPr>
            <w:r w:rsidRPr="00612824">
              <w:rPr>
                <w:sz w:val="22"/>
                <w:szCs w:val="22"/>
              </w:rPr>
              <w:t>0,038</w:t>
            </w:r>
          </w:p>
        </w:tc>
      </w:tr>
      <w:tr w14:paraId="377180FD" w14:textId="77777777" w:rsidTr="00F83E38">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4F635B" w:rsidRPr="00612824" w:rsidP="00986889" w14:paraId="67515D34" w14:textId="77777777">
            <w:pPr>
              <w:keepNext/>
              <w:keepLines/>
              <w:tabs>
                <w:tab w:val="left" w:pos="-1080"/>
              </w:tabs>
              <w:autoSpaceDE w:val="0"/>
              <w:autoSpaceDN w:val="0"/>
              <w:adjustRightInd w:val="0"/>
              <w:ind w:left="15"/>
              <w:rPr>
                <w:sz w:val="22"/>
                <w:szCs w:val="22"/>
              </w:rPr>
            </w:pPr>
            <w:r w:rsidRPr="00612824">
              <w:rPr>
                <w:sz w:val="22"/>
                <w:szCs w:val="22"/>
              </w:rPr>
              <w:t xml:space="preserve">* confronto valore P per Dose Standard </w:t>
            </w:r>
            <w:r w:rsidRPr="00612824">
              <w:rPr>
                <w:i/>
                <w:iCs/>
                <w:sz w:val="22"/>
                <w:szCs w:val="22"/>
              </w:rPr>
              <w:t>versus</w:t>
            </w:r>
            <w:r w:rsidRPr="00612824">
              <w:rPr>
                <w:sz w:val="22"/>
                <w:szCs w:val="22"/>
              </w:rPr>
              <w:t xml:space="preserve"> Bassa Dose.</w:t>
            </w:r>
          </w:p>
        </w:tc>
      </w:tr>
    </w:tbl>
    <w:p w:rsidR="004F635B" w:rsidRPr="00612824" w:rsidP="004F635B" w14:paraId="186E2F5F" w14:textId="77777777">
      <w:pPr>
        <w:keepNext/>
        <w:rPr>
          <w:sz w:val="22"/>
          <w:szCs w:val="22"/>
        </w:rPr>
      </w:pPr>
    </w:p>
    <w:tbl>
      <w:tblPr>
        <w:tblW w:w="0" w:type="auto"/>
        <w:jc w:val="center"/>
        <w:tblCellMar>
          <w:left w:w="0" w:type="dxa"/>
          <w:right w:w="0" w:type="dxa"/>
        </w:tblCellMar>
        <w:tblLook w:val="00A0"/>
      </w:tblPr>
      <w:tblGrid>
        <w:gridCol w:w="4025"/>
        <w:gridCol w:w="1656"/>
        <w:gridCol w:w="1619"/>
        <w:gridCol w:w="1140"/>
      </w:tblGrid>
      <w:tr w14:paraId="3CB70A15" w14:textId="77777777" w:rsidTr="00F83E38">
        <w:tblPrEx>
          <w:tblW w:w="0" w:type="auto"/>
          <w:tblLook w:val="00A0"/>
        </w:tblPrEx>
        <w:tc>
          <w:tcPr>
            <w:tcW w:w="8440" w:type="dxa"/>
            <w:gridSpan w:val="4"/>
            <w:tcBorders>
              <w:top w:val="single" w:sz="6" w:space="0" w:color="000000"/>
              <w:left w:val="single" w:sz="6" w:space="0" w:color="000000"/>
              <w:bottom w:val="single" w:sz="6" w:space="0" w:color="000000"/>
              <w:right w:val="single" w:sz="6" w:space="0" w:color="000000"/>
            </w:tcBorders>
          </w:tcPr>
          <w:p w:rsidR="004F635B" w:rsidRPr="00612824" w:rsidP="00F83E38" w14:paraId="561C1199" w14:textId="77777777">
            <w:pPr>
              <w:keepNext/>
              <w:tabs>
                <w:tab w:val="left" w:pos="-878"/>
              </w:tabs>
              <w:autoSpaceDE w:val="0"/>
              <w:autoSpaceDN w:val="0"/>
              <w:adjustRightInd w:val="0"/>
              <w:jc w:val="center"/>
              <w:rPr>
                <w:b/>
                <w:bCs/>
                <w:sz w:val="22"/>
                <w:szCs w:val="22"/>
              </w:rPr>
            </w:pPr>
            <w:r w:rsidRPr="00612824">
              <w:rPr>
                <w:sz w:val="22"/>
                <w:szCs w:val="22"/>
              </w:rPr>
              <w:br w:type="page"/>
            </w:r>
            <w:r w:rsidRPr="00612824">
              <w:rPr>
                <w:b/>
                <w:bCs/>
                <w:sz w:val="22"/>
                <w:szCs w:val="22"/>
              </w:rPr>
              <w:t>Tabella 30</w:t>
            </w:r>
          </w:p>
          <w:p w:rsidR="004F635B" w:rsidRPr="00612824" w:rsidP="00F83E38" w14:paraId="0DDBFC5E" w14:textId="77777777">
            <w:pPr>
              <w:keepNext/>
              <w:tabs>
                <w:tab w:val="left" w:pos="-878"/>
              </w:tabs>
              <w:autoSpaceDE w:val="0"/>
              <w:autoSpaceDN w:val="0"/>
              <w:adjustRightInd w:val="0"/>
              <w:jc w:val="center"/>
              <w:rPr>
                <w:b/>
                <w:bCs/>
                <w:sz w:val="22"/>
                <w:szCs w:val="22"/>
              </w:rPr>
            </w:pPr>
            <w:r w:rsidRPr="00612824">
              <w:rPr>
                <w:b/>
                <w:bCs/>
                <w:sz w:val="22"/>
                <w:szCs w:val="22"/>
              </w:rPr>
              <w:t>Studio della Malattia di Crohn Pediatrica</w:t>
            </w:r>
          </w:p>
          <w:p w:rsidR="004F635B" w:rsidRPr="00612824" w:rsidP="00F83E38" w14:paraId="4B6D5733" w14:textId="77777777">
            <w:pPr>
              <w:keepNext/>
              <w:tabs>
                <w:tab w:val="left" w:pos="-878"/>
              </w:tabs>
              <w:autoSpaceDE w:val="0"/>
              <w:autoSpaceDN w:val="0"/>
              <w:adjustRightInd w:val="0"/>
              <w:jc w:val="center"/>
              <w:rPr>
                <w:b/>
                <w:bCs/>
                <w:sz w:val="22"/>
                <w:szCs w:val="22"/>
              </w:rPr>
            </w:pPr>
            <w:r w:rsidRPr="00612824">
              <w:rPr>
                <w:b/>
                <w:bCs/>
                <w:sz w:val="22"/>
                <w:szCs w:val="22"/>
              </w:rPr>
              <w:t>Discontinuazione dei Corticosteroidi o Immunomodulatori e Remissione della Fistola</w:t>
            </w:r>
          </w:p>
        </w:tc>
      </w:tr>
      <w:tr w14:paraId="424B77E1"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4F635B" w:rsidRPr="00612824" w:rsidP="00F83E38" w14:paraId="550A9734" w14:textId="77777777">
            <w:pPr>
              <w:keepNext/>
              <w:keepLines/>
              <w:tabs>
                <w:tab w:val="left" w:pos="-1080"/>
              </w:tabs>
              <w:autoSpaceDE w:val="0"/>
              <w:autoSpaceDN w:val="0"/>
              <w:adjustRightInd w:val="0"/>
              <w:jc w:val="center"/>
              <w:rPr>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rsidR="004F635B" w:rsidRPr="00612824" w:rsidP="00F83E38" w14:paraId="12577BFD" w14:textId="77777777">
            <w:pPr>
              <w:keepNext/>
              <w:keepLines/>
              <w:tabs>
                <w:tab w:val="left" w:pos="-1080"/>
              </w:tabs>
              <w:autoSpaceDE w:val="0"/>
              <w:autoSpaceDN w:val="0"/>
              <w:adjustRightInd w:val="0"/>
              <w:ind w:left="15"/>
              <w:jc w:val="center"/>
              <w:rPr>
                <w:b/>
                <w:bCs/>
                <w:sz w:val="22"/>
                <w:szCs w:val="22"/>
              </w:rPr>
            </w:pPr>
            <w:r w:rsidRPr="00612824">
              <w:rPr>
                <w:b/>
                <w:bCs/>
                <w:sz w:val="22"/>
                <w:szCs w:val="22"/>
              </w:rPr>
              <w:t xml:space="preserve">Dose standard </w:t>
            </w:r>
          </w:p>
          <w:p w:rsidR="004F635B" w:rsidRPr="00612824" w:rsidP="00F83E38" w14:paraId="413C4112" w14:textId="77777777">
            <w:pPr>
              <w:keepNext/>
              <w:keepLines/>
              <w:tabs>
                <w:tab w:val="left" w:pos="-1080"/>
              </w:tabs>
              <w:autoSpaceDE w:val="0"/>
              <w:autoSpaceDN w:val="0"/>
              <w:adjustRightInd w:val="0"/>
              <w:ind w:left="15"/>
              <w:jc w:val="center"/>
              <w:rPr>
                <w:b/>
                <w:bCs/>
                <w:sz w:val="22"/>
                <w:szCs w:val="22"/>
              </w:rPr>
            </w:pPr>
            <w:r w:rsidRPr="00612824">
              <w:rPr>
                <w:b/>
                <w:bCs/>
                <w:sz w:val="22"/>
                <w:szCs w:val="22"/>
              </w:rPr>
              <w:t>40/20 mg a settimane alterne</w:t>
            </w:r>
          </w:p>
        </w:tc>
        <w:tc>
          <w:tcPr>
            <w:tcW w:w="1619" w:type="dxa"/>
            <w:tcBorders>
              <w:top w:val="single" w:sz="6" w:space="0" w:color="000000"/>
              <w:left w:val="single" w:sz="6" w:space="0" w:color="000000"/>
              <w:bottom w:val="single" w:sz="6" w:space="0" w:color="000000"/>
              <w:right w:val="single" w:sz="6" w:space="0" w:color="000000"/>
            </w:tcBorders>
          </w:tcPr>
          <w:p w:rsidR="004F635B" w:rsidRPr="00612824" w:rsidP="00F83E38" w14:paraId="3F99372A" w14:textId="77777777">
            <w:pPr>
              <w:keepNext/>
              <w:keepLines/>
              <w:tabs>
                <w:tab w:val="left" w:pos="-1080"/>
              </w:tabs>
              <w:autoSpaceDE w:val="0"/>
              <w:autoSpaceDN w:val="0"/>
              <w:adjustRightInd w:val="0"/>
              <w:ind w:left="15"/>
              <w:jc w:val="center"/>
              <w:rPr>
                <w:b/>
                <w:bCs/>
                <w:sz w:val="22"/>
                <w:szCs w:val="22"/>
              </w:rPr>
            </w:pPr>
            <w:r w:rsidRPr="00612824">
              <w:rPr>
                <w:b/>
                <w:bCs/>
                <w:sz w:val="22"/>
                <w:szCs w:val="22"/>
              </w:rPr>
              <w:t>Dose Bassa</w:t>
            </w:r>
          </w:p>
          <w:p w:rsidR="004F635B" w:rsidRPr="00612824" w:rsidP="00F83E38" w14:paraId="73E6281C" w14:textId="77777777">
            <w:pPr>
              <w:keepNext/>
              <w:keepLines/>
              <w:tabs>
                <w:tab w:val="left" w:pos="-1080"/>
              </w:tabs>
              <w:autoSpaceDE w:val="0"/>
              <w:autoSpaceDN w:val="0"/>
              <w:adjustRightInd w:val="0"/>
              <w:ind w:left="15"/>
              <w:jc w:val="center"/>
              <w:rPr>
                <w:b/>
                <w:bCs/>
                <w:sz w:val="22"/>
                <w:szCs w:val="22"/>
              </w:rPr>
            </w:pPr>
            <w:r w:rsidRPr="00612824">
              <w:rPr>
                <w:b/>
                <w:bCs/>
                <w:sz w:val="22"/>
                <w:szCs w:val="22"/>
              </w:rPr>
              <w:t xml:space="preserve">20/10 mg a settimane alterne </w:t>
            </w:r>
          </w:p>
        </w:tc>
        <w:tc>
          <w:tcPr>
            <w:tcW w:w="1140" w:type="dxa"/>
            <w:tcBorders>
              <w:top w:val="single" w:sz="6" w:space="0" w:color="000000"/>
              <w:left w:val="single" w:sz="6" w:space="0" w:color="000000"/>
              <w:bottom w:val="single" w:sz="6" w:space="0" w:color="000000"/>
              <w:right w:val="single" w:sz="6" w:space="0" w:color="000000"/>
            </w:tcBorders>
          </w:tcPr>
          <w:p w:rsidR="004F635B" w:rsidRPr="00612824" w:rsidP="00F83E38" w14:paraId="5F9DC2EA" w14:textId="77777777">
            <w:pPr>
              <w:keepNext/>
              <w:keepLines/>
              <w:tabs>
                <w:tab w:val="left" w:pos="-1080"/>
              </w:tabs>
              <w:autoSpaceDE w:val="0"/>
              <w:autoSpaceDN w:val="0"/>
              <w:adjustRightInd w:val="0"/>
              <w:ind w:left="15"/>
              <w:jc w:val="center"/>
              <w:rPr>
                <w:b/>
                <w:bCs/>
                <w:sz w:val="22"/>
                <w:szCs w:val="22"/>
              </w:rPr>
            </w:pPr>
            <w:r w:rsidRPr="00612824">
              <w:rPr>
                <w:b/>
                <w:bCs/>
                <w:sz w:val="22"/>
                <w:szCs w:val="22"/>
              </w:rPr>
              <w:t xml:space="preserve">Valore P </w:t>
            </w:r>
            <w:r w:rsidRPr="00612824">
              <w:rPr>
                <w:b/>
                <w:bCs/>
                <w:sz w:val="22"/>
                <w:szCs w:val="22"/>
                <w:vertAlign w:val="superscript"/>
              </w:rPr>
              <w:t>1</w:t>
            </w:r>
          </w:p>
        </w:tc>
      </w:tr>
      <w:tr w14:paraId="1531CFE1"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6442C9A7" w14:textId="77777777">
            <w:pPr>
              <w:keepNext/>
              <w:keepLines/>
              <w:tabs>
                <w:tab w:val="left" w:pos="-1080"/>
              </w:tabs>
              <w:autoSpaceDE w:val="0"/>
              <w:autoSpaceDN w:val="0"/>
              <w:adjustRightInd w:val="0"/>
              <w:rPr>
                <w:b/>
                <w:sz w:val="22"/>
                <w:szCs w:val="22"/>
              </w:rPr>
            </w:pPr>
            <w:r w:rsidRPr="00612824">
              <w:rPr>
                <w:b/>
                <w:sz w:val="22"/>
                <w:szCs w:val="22"/>
              </w:rPr>
              <w:t>Corticosteroidi discontinuati</w:t>
            </w:r>
          </w:p>
        </w:tc>
        <w:tc>
          <w:tcPr>
            <w:tcW w:w="1656"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713F007A" w14:textId="77777777">
            <w:pPr>
              <w:keepNext/>
              <w:keepLines/>
              <w:tabs>
                <w:tab w:val="left" w:pos="-1080"/>
              </w:tabs>
              <w:autoSpaceDE w:val="0"/>
              <w:autoSpaceDN w:val="0"/>
              <w:adjustRightInd w:val="0"/>
              <w:ind w:left="15"/>
              <w:jc w:val="center"/>
              <w:rPr>
                <w:b/>
                <w:sz w:val="22"/>
                <w:szCs w:val="22"/>
              </w:rPr>
            </w:pPr>
            <w:r w:rsidRPr="00612824">
              <w:rPr>
                <w:b/>
                <w:sz w:val="22"/>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19024F58" w14:textId="77777777">
            <w:pPr>
              <w:keepNext/>
              <w:keepLines/>
              <w:tabs>
                <w:tab w:val="left" w:pos="-1080"/>
              </w:tabs>
              <w:autoSpaceDE w:val="0"/>
              <w:autoSpaceDN w:val="0"/>
              <w:adjustRightInd w:val="0"/>
              <w:ind w:left="15"/>
              <w:jc w:val="center"/>
              <w:rPr>
                <w:b/>
                <w:sz w:val="22"/>
                <w:szCs w:val="22"/>
              </w:rPr>
            </w:pPr>
            <w:r w:rsidRPr="00612824">
              <w:rPr>
                <w:b/>
                <w:sz w:val="22"/>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08AAA2BD" w14:textId="77777777">
            <w:pPr>
              <w:keepNext/>
              <w:autoSpaceDE w:val="0"/>
              <w:autoSpaceDN w:val="0"/>
              <w:adjustRightInd w:val="0"/>
              <w:ind w:left="15"/>
              <w:rPr>
                <w:b/>
                <w:sz w:val="22"/>
                <w:szCs w:val="22"/>
              </w:rPr>
            </w:pPr>
          </w:p>
        </w:tc>
      </w:tr>
      <w:tr w14:paraId="793D72B5"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3300AC74" w14:textId="77777777">
            <w:pPr>
              <w:keepNext/>
              <w:keepLines/>
              <w:tabs>
                <w:tab w:val="left" w:pos="-1080"/>
              </w:tabs>
              <w:autoSpaceDE w:val="0"/>
              <w:autoSpaceDN w:val="0"/>
              <w:adjustRightInd w:val="0"/>
              <w:rPr>
                <w:bCs/>
                <w:sz w:val="22"/>
                <w:szCs w:val="22"/>
              </w:rPr>
            </w:pPr>
            <w:r w:rsidRPr="00612824">
              <w:rPr>
                <w:bCs/>
                <w:sz w:val="22"/>
                <w:szCs w:val="22"/>
              </w:rPr>
              <w:t>Settimana 26</w:t>
            </w:r>
          </w:p>
        </w:tc>
        <w:tc>
          <w:tcPr>
            <w:tcW w:w="1656"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3BE49D15" w14:textId="77777777">
            <w:pPr>
              <w:keepNext/>
              <w:keepLines/>
              <w:tabs>
                <w:tab w:val="left" w:pos="-1080"/>
              </w:tabs>
              <w:autoSpaceDE w:val="0"/>
              <w:autoSpaceDN w:val="0"/>
              <w:adjustRightInd w:val="0"/>
              <w:ind w:left="15"/>
              <w:jc w:val="center"/>
              <w:rPr>
                <w:sz w:val="22"/>
                <w:szCs w:val="22"/>
              </w:rPr>
            </w:pPr>
            <w:r w:rsidRPr="00612824">
              <w:rPr>
                <w:sz w:val="22"/>
                <w:szCs w:val="22"/>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4C6AF848" w14:textId="77777777">
            <w:pPr>
              <w:keepNext/>
              <w:keepLines/>
              <w:tabs>
                <w:tab w:val="left" w:pos="-1080"/>
              </w:tabs>
              <w:autoSpaceDE w:val="0"/>
              <w:autoSpaceDN w:val="0"/>
              <w:adjustRightInd w:val="0"/>
              <w:ind w:left="15"/>
              <w:jc w:val="center"/>
              <w:rPr>
                <w:sz w:val="22"/>
                <w:szCs w:val="22"/>
              </w:rPr>
            </w:pPr>
            <w:r w:rsidRPr="00612824">
              <w:rPr>
                <w:sz w:val="22"/>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3EC3D133" w14:textId="77777777">
            <w:pPr>
              <w:keepNext/>
              <w:keepLines/>
              <w:tabs>
                <w:tab w:val="left" w:pos="-1080"/>
              </w:tabs>
              <w:autoSpaceDE w:val="0"/>
              <w:autoSpaceDN w:val="0"/>
              <w:adjustRightInd w:val="0"/>
              <w:ind w:left="15"/>
              <w:jc w:val="center"/>
              <w:rPr>
                <w:sz w:val="22"/>
                <w:szCs w:val="22"/>
              </w:rPr>
            </w:pPr>
            <w:r w:rsidRPr="00612824">
              <w:rPr>
                <w:sz w:val="22"/>
                <w:szCs w:val="22"/>
              </w:rPr>
              <w:t>0,066</w:t>
            </w:r>
          </w:p>
        </w:tc>
      </w:tr>
      <w:tr w14:paraId="451AFFDC"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45667A25" w14:textId="77777777">
            <w:pPr>
              <w:keepNext/>
              <w:keepLines/>
              <w:tabs>
                <w:tab w:val="left" w:pos="-1080"/>
              </w:tabs>
              <w:autoSpaceDE w:val="0"/>
              <w:autoSpaceDN w:val="0"/>
              <w:adjustRightInd w:val="0"/>
              <w:rPr>
                <w:bCs/>
                <w:sz w:val="22"/>
                <w:szCs w:val="22"/>
              </w:rPr>
            </w:pPr>
            <w:r w:rsidRPr="00612824">
              <w:rPr>
                <w:bCs/>
                <w:sz w:val="22"/>
                <w:szCs w:val="22"/>
              </w:rPr>
              <w:t>Settimana 52</w:t>
            </w:r>
          </w:p>
        </w:tc>
        <w:tc>
          <w:tcPr>
            <w:tcW w:w="1656" w:type="dxa"/>
            <w:tcBorders>
              <w:top w:val="single" w:sz="6" w:space="0" w:color="000000"/>
              <w:left w:val="single" w:sz="6" w:space="0" w:color="000000"/>
              <w:bottom w:val="single" w:sz="6" w:space="0" w:color="000000"/>
              <w:right w:val="single" w:sz="6" w:space="0" w:color="000000"/>
            </w:tcBorders>
          </w:tcPr>
          <w:p w:rsidR="004F635B" w:rsidRPr="00612824" w:rsidP="00F83E38" w14:paraId="0768C8F8" w14:textId="77777777">
            <w:pPr>
              <w:keepNext/>
              <w:keepLines/>
              <w:tabs>
                <w:tab w:val="left" w:pos="-1080"/>
              </w:tabs>
              <w:autoSpaceDE w:val="0"/>
              <w:autoSpaceDN w:val="0"/>
              <w:adjustRightInd w:val="0"/>
              <w:ind w:left="15"/>
              <w:jc w:val="center"/>
              <w:rPr>
                <w:sz w:val="22"/>
                <w:szCs w:val="22"/>
              </w:rPr>
            </w:pPr>
            <w:r w:rsidRPr="00612824">
              <w:rPr>
                <w:sz w:val="22"/>
                <w:szCs w:val="22"/>
              </w:rPr>
              <w:t>69,7%</w:t>
            </w:r>
          </w:p>
        </w:tc>
        <w:tc>
          <w:tcPr>
            <w:tcW w:w="1619" w:type="dxa"/>
            <w:tcBorders>
              <w:top w:val="single" w:sz="6" w:space="0" w:color="000000"/>
              <w:left w:val="single" w:sz="6" w:space="0" w:color="000000"/>
              <w:bottom w:val="single" w:sz="6" w:space="0" w:color="000000"/>
              <w:right w:val="single" w:sz="6" w:space="0" w:color="000000"/>
            </w:tcBorders>
          </w:tcPr>
          <w:p w:rsidR="004F635B" w:rsidRPr="00612824" w:rsidP="00F83E38" w14:paraId="59F2784E" w14:textId="77777777">
            <w:pPr>
              <w:keepNext/>
              <w:keepLines/>
              <w:tabs>
                <w:tab w:val="left" w:pos="-1080"/>
              </w:tabs>
              <w:autoSpaceDE w:val="0"/>
              <w:autoSpaceDN w:val="0"/>
              <w:adjustRightInd w:val="0"/>
              <w:ind w:left="15"/>
              <w:jc w:val="center"/>
              <w:rPr>
                <w:sz w:val="22"/>
                <w:szCs w:val="22"/>
              </w:rPr>
            </w:pPr>
            <w:r w:rsidRPr="00612824">
              <w:rPr>
                <w:sz w:val="22"/>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45FE3A9A" w14:textId="77777777">
            <w:pPr>
              <w:keepNext/>
              <w:keepLines/>
              <w:tabs>
                <w:tab w:val="left" w:pos="-1080"/>
              </w:tabs>
              <w:autoSpaceDE w:val="0"/>
              <w:autoSpaceDN w:val="0"/>
              <w:adjustRightInd w:val="0"/>
              <w:ind w:left="15"/>
              <w:jc w:val="center"/>
              <w:rPr>
                <w:sz w:val="22"/>
                <w:szCs w:val="22"/>
              </w:rPr>
            </w:pPr>
            <w:r w:rsidRPr="00612824">
              <w:rPr>
                <w:sz w:val="22"/>
                <w:szCs w:val="22"/>
              </w:rPr>
              <w:t>0,420</w:t>
            </w:r>
          </w:p>
        </w:tc>
      </w:tr>
      <w:tr w14:paraId="5736A0FE"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37D67390" w14:textId="77777777">
            <w:pPr>
              <w:keepNext/>
              <w:keepLines/>
              <w:tabs>
                <w:tab w:val="left" w:pos="-1080"/>
              </w:tabs>
              <w:autoSpaceDE w:val="0"/>
              <w:autoSpaceDN w:val="0"/>
              <w:adjustRightInd w:val="0"/>
              <w:rPr>
                <w:b/>
                <w:sz w:val="22"/>
                <w:szCs w:val="22"/>
              </w:rPr>
            </w:pPr>
            <w:r w:rsidRPr="00612824">
              <w:rPr>
                <w:b/>
                <w:sz w:val="22"/>
                <w:szCs w:val="22"/>
              </w:rPr>
              <w:t>Discontinuazione di Immunomodulatori</w:t>
            </w:r>
            <w:r w:rsidRPr="00612824">
              <w:rPr>
                <w:b/>
                <w:sz w:val="22"/>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391C3095" w14:textId="77777777">
            <w:pPr>
              <w:keepNext/>
              <w:keepLines/>
              <w:tabs>
                <w:tab w:val="left" w:pos="-1080"/>
              </w:tabs>
              <w:autoSpaceDE w:val="0"/>
              <w:autoSpaceDN w:val="0"/>
              <w:adjustRightInd w:val="0"/>
              <w:ind w:left="15"/>
              <w:jc w:val="center"/>
              <w:rPr>
                <w:b/>
                <w:sz w:val="22"/>
                <w:szCs w:val="22"/>
              </w:rPr>
            </w:pPr>
            <w:r w:rsidRPr="00612824">
              <w:rPr>
                <w:b/>
                <w:sz w:val="22"/>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098092BB" w14:textId="77777777">
            <w:pPr>
              <w:keepNext/>
              <w:keepLines/>
              <w:tabs>
                <w:tab w:val="left" w:pos="-1080"/>
              </w:tabs>
              <w:autoSpaceDE w:val="0"/>
              <w:autoSpaceDN w:val="0"/>
              <w:adjustRightInd w:val="0"/>
              <w:ind w:left="15"/>
              <w:jc w:val="center"/>
              <w:rPr>
                <w:b/>
                <w:sz w:val="22"/>
                <w:szCs w:val="22"/>
              </w:rPr>
            </w:pPr>
            <w:r w:rsidRPr="00612824">
              <w:rPr>
                <w:b/>
                <w:sz w:val="22"/>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rsidR="004F635B" w:rsidRPr="00612824" w:rsidP="00F83E38" w14:paraId="2489D82B" w14:textId="77777777">
            <w:pPr>
              <w:keepNext/>
              <w:autoSpaceDE w:val="0"/>
              <w:autoSpaceDN w:val="0"/>
              <w:adjustRightInd w:val="0"/>
              <w:ind w:left="15"/>
              <w:rPr>
                <w:b/>
                <w:sz w:val="22"/>
                <w:szCs w:val="22"/>
              </w:rPr>
            </w:pPr>
          </w:p>
        </w:tc>
      </w:tr>
      <w:tr w14:paraId="0B0D584A"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4F635B" w:rsidRPr="00612824" w:rsidP="00F83E38" w14:paraId="65CB1307" w14:textId="77777777">
            <w:pPr>
              <w:keepNext/>
              <w:keepLines/>
              <w:tabs>
                <w:tab w:val="left" w:pos="-1080"/>
              </w:tabs>
              <w:autoSpaceDE w:val="0"/>
              <w:autoSpaceDN w:val="0"/>
              <w:adjustRightInd w:val="0"/>
              <w:rPr>
                <w:bCs/>
                <w:sz w:val="22"/>
                <w:szCs w:val="22"/>
              </w:rPr>
            </w:pPr>
            <w:r w:rsidRPr="00612824">
              <w:rPr>
                <w:bCs/>
                <w:sz w:val="22"/>
                <w:szCs w:val="22"/>
              </w:rPr>
              <w:t>Settimana 52</w:t>
            </w:r>
          </w:p>
        </w:tc>
        <w:tc>
          <w:tcPr>
            <w:tcW w:w="1656" w:type="dxa"/>
            <w:tcBorders>
              <w:top w:val="single" w:sz="6" w:space="0" w:color="000000"/>
              <w:left w:val="single" w:sz="6" w:space="0" w:color="000000"/>
              <w:bottom w:val="single" w:sz="6" w:space="0" w:color="000000"/>
              <w:right w:val="single" w:sz="6" w:space="0" w:color="000000"/>
            </w:tcBorders>
          </w:tcPr>
          <w:p w:rsidR="004F635B" w:rsidRPr="00612824" w:rsidP="00F83E38" w14:paraId="3AA5DCD1" w14:textId="77777777">
            <w:pPr>
              <w:keepNext/>
              <w:keepLines/>
              <w:tabs>
                <w:tab w:val="left" w:pos="-1080"/>
              </w:tabs>
              <w:autoSpaceDE w:val="0"/>
              <w:autoSpaceDN w:val="0"/>
              <w:adjustRightInd w:val="0"/>
              <w:ind w:left="15"/>
              <w:jc w:val="center"/>
              <w:rPr>
                <w:sz w:val="22"/>
                <w:szCs w:val="22"/>
              </w:rPr>
            </w:pPr>
            <w:r w:rsidRPr="00612824">
              <w:rPr>
                <w:sz w:val="22"/>
                <w:szCs w:val="22"/>
              </w:rPr>
              <w:t>30,0%</w:t>
            </w:r>
          </w:p>
        </w:tc>
        <w:tc>
          <w:tcPr>
            <w:tcW w:w="1619" w:type="dxa"/>
            <w:tcBorders>
              <w:top w:val="single" w:sz="6" w:space="0" w:color="000000"/>
              <w:left w:val="single" w:sz="6" w:space="0" w:color="000000"/>
              <w:bottom w:val="single" w:sz="6" w:space="0" w:color="000000"/>
              <w:right w:val="single" w:sz="6" w:space="0" w:color="000000"/>
            </w:tcBorders>
          </w:tcPr>
          <w:p w:rsidR="004F635B" w:rsidRPr="00612824" w:rsidP="00F83E38" w14:paraId="08151FA3" w14:textId="77777777">
            <w:pPr>
              <w:keepNext/>
              <w:keepLines/>
              <w:tabs>
                <w:tab w:val="left" w:pos="-1080"/>
              </w:tabs>
              <w:autoSpaceDE w:val="0"/>
              <w:autoSpaceDN w:val="0"/>
              <w:adjustRightInd w:val="0"/>
              <w:ind w:left="15"/>
              <w:jc w:val="center"/>
              <w:rPr>
                <w:sz w:val="22"/>
                <w:szCs w:val="22"/>
              </w:rPr>
            </w:pPr>
            <w:r w:rsidRPr="00612824">
              <w:rPr>
                <w:sz w:val="22"/>
                <w:szCs w:val="22"/>
              </w:rPr>
              <w:t>29,8%</w:t>
            </w:r>
          </w:p>
        </w:tc>
        <w:tc>
          <w:tcPr>
            <w:tcW w:w="1140" w:type="dxa"/>
            <w:tcBorders>
              <w:top w:val="single" w:sz="6" w:space="0" w:color="000000"/>
              <w:left w:val="single" w:sz="6" w:space="0" w:color="000000"/>
              <w:bottom w:val="single" w:sz="6" w:space="0" w:color="000000"/>
              <w:right w:val="single" w:sz="6" w:space="0" w:color="000000"/>
            </w:tcBorders>
          </w:tcPr>
          <w:p w:rsidR="004F635B" w:rsidRPr="00612824" w:rsidP="00F83E38" w14:paraId="2D6B5E4C" w14:textId="77777777">
            <w:pPr>
              <w:keepNext/>
              <w:keepLines/>
              <w:tabs>
                <w:tab w:val="left" w:pos="-1080"/>
              </w:tabs>
              <w:autoSpaceDE w:val="0"/>
              <w:autoSpaceDN w:val="0"/>
              <w:adjustRightInd w:val="0"/>
              <w:ind w:left="15"/>
              <w:jc w:val="center"/>
              <w:rPr>
                <w:sz w:val="22"/>
                <w:szCs w:val="22"/>
              </w:rPr>
            </w:pPr>
            <w:r w:rsidRPr="00612824">
              <w:rPr>
                <w:sz w:val="22"/>
                <w:szCs w:val="22"/>
              </w:rPr>
              <w:t>0,983</w:t>
            </w:r>
          </w:p>
        </w:tc>
      </w:tr>
      <w:tr w14:paraId="156E8990"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4F635B" w:rsidRPr="00612824" w:rsidP="00F83E38" w14:paraId="1A00B7B9" w14:textId="77777777">
            <w:pPr>
              <w:keepNext/>
              <w:keepLines/>
              <w:tabs>
                <w:tab w:val="left" w:pos="-1080"/>
              </w:tabs>
              <w:autoSpaceDE w:val="0"/>
              <w:autoSpaceDN w:val="0"/>
              <w:adjustRightInd w:val="0"/>
              <w:rPr>
                <w:b/>
                <w:bCs/>
                <w:sz w:val="22"/>
                <w:szCs w:val="22"/>
              </w:rPr>
            </w:pPr>
            <w:r w:rsidRPr="00612824">
              <w:rPr>
                <w:b/>
                <w:sz w:val="22"/>
                <w:szCs w:val="22"/>
              </w:rPr>
              <w:t>Remissione della Fistola</w:t>
            </w:r>
            <w:r w:rsidRPr="00612824">
              <w:rPr>
                <w:b/>
                <w:sz w:val="22"/>
                <w:szCs w:val="22"/>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rsidR="004F635B" w:rsidRPr="00612824" w:rsidP="00F83E38" w14:paraId="2894E776" w14:textId="77777777">
            <w:pPr>
              <w:keepNext/>
              <w:keepLines/>
              <w:tabs>
                <w:tab w:val="left" w:pos="-1080"/>
              </w:tabs>
              <w:autoSpaceDE w:val="0"/>
              <w:autoSpaceDN w:val="0"/>
              <w:adjustRightInd w:val="0"/>
              <w:ind w:left="15"/>
              <w:jc w:val="center"/>
              <w:rPr>
                <w:b/>
                <w:sz w:val="22"/>
                <w:szCs w:val="22"/>
              </w:rPr>
            </w:pPr>
            <w:r w:rsidRPr="00612824">
              <w:rPr>
                <w:b/>
                <w:sz w:val="22"/>
                <w:szCs w:val="22"/>
              </w:rPr>
              <w:t>N=15</w:t>
            </w:r>
          </w:p>
        </w:tc>
        <w:tc>
          <w:tcPr>
            <w:tcW w:w="1619" w:type="dxa"/>
            <w:tcBorders>
              <w:top w:val="single" w:sz="6" w:space="0" w:color="000000"/>
              <w:left w:val="single" w:sz="6" w:space="0" w:color="000000"/>
              <w:bottom w:val="single" w:sz="6" w:space="0" w:color="000000"/>
              <w:right w:val="single" w:sz="6" w:space="0" w:color="000000"/>
            </w:tcBorders>
          </w:tcPr>
          <w:p w:rsidR="004F635B" w:rsidRPr="00612824" w:rsidP="00F83E38" w14:paraId="738056A2" w14:textId="77777777">
            <w:pPr>
              <w:keepNext/>
              <w:keepLines/>
              <w:tabs>
                <w:tab w:val="left" w:pos="-1080"/>
              </w:tabs>
              <w:autoSpaceDE w:val="0"/>
              <w:autoSpaceDN w:val="0"/>
              <w:adjustRightInd w:val="0"/>
              <w:ind w:left="15"/>
              <w:jc w:val="center"/>
              <w:rPr>
                <w:b/>
                <w:sz w:val="22"/>
                <w:szCs w:val="22"/>
              </w:rPr>
            </w:pPr>
            <w:r w:rsidRPr="00612824">
              <w:rPr>
                <w:b/>
                <w:sz w:val="22"/>
                <w:szCs w:val="22"/>
              </w:rPr>
              <w:t>N=21</w:t>
            </w:r>
          </w:p>
        </w:tc>
        <w:tc>
          <w:tcPr>
            <w:tcW w:w="1140" w:type="dxa"/>
            <w:tcBorders>
              <w:top w:val="single" w:sz="6" w:space="0" w:color="000000"/>
              <w:left w:val="single" w:sz="6" w:space="0" w:color="000000"/>
              <w:bottom w:val="single" w:sz="6" w:space="0" w:color="000000"/>
              <w:right w:val="single" w:sz="6" w:space="0" w:color="000000"/>
            </w:tcBorders>
          </w:tcPr>
          <w:p w:rsidR="004F635B" w:rsidRPr="00612824" w:rsidP="00F83E38" w14:paraId="1D886A9B" w14:textId="77777777">
            <w:pPr>
              <w:keepNext/>
              <w:keepLines/>
              <w:tabs>
                <w:tab w:val="left" w:pos="-1080"/>
              </w:tabs>
              <w:autoSpaceDE w:val="0"/>
              <w:autoSpaceDN w:val="0"/>
              <w:adjustRightInd w:val="0"/>
              <w:ind w:left="15"/>
              <w:jc w:val="center"/>
              <w:rPr>
                <w:sz w:val="22"/>
                <w:szCs w:val="22"/>
              </w:rPr>
            </w:pPr>
          </w:p>
        </w:tc>
      </w:tr>
      <w:tr w14:paraId="1BB8F5E8"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4F635B" w:rsidRPr="00612824" w:rsidP="00F83E38" w14:paraId="4CA01734" w14:textId="77777777">
            <w:pPr>
              <w:keepNext/>
              <w:keepLines/>
              <w:tabs>
                <w:tab w:val="left" w:pos="-1080"/>
              </w:tabs>
              <w:autoSpaceDE w:val="0"/>
              <w:autoSpaceDN w:val="0"/>
              <w:adjustRightInd w:val="0"/>
              <w:rPr>
                <w:bCs/>
                <w:sz w:val="22"/>
                <w:szCs w:val="22"/>
              </w:rPr>
            </w:pPr>
            <w:r w:rsidRPr="00612824">
              <w:rPr>
                <w:bCs/>
                <w:sz w:val="22"/>
                <w:szCs w:val="22"/>
              </w:rPr>
              <w:t>Settimana 26</w:t>
            </w:r>
          </w:p>
        </w:tc>
        <w:tc>
          <w:tcPr>
            <w:tcW w:w="1656" w:type="dxa"/>
            <w:tcBorders>
              <w:top w:val="single" w:sz="6" w:space="0" w:color="000000"/>
              <w:left w:val="single" w:sz="6" w:space="0" w:color="000000"/>
              <w:bottom w:val="single" w:sz="6" w:space="0" w:color="000000"/>
              <w:right w:val="single" w:sz="6" w:space="0" w:color="000000"/>
            </w:tcBorders>
          </w:tcPr>
          <w:p w:rsidR="004F635B" w:rsidRPr="00612824" w:rsidP="00F83E38" w14:paraId="34A70114" w14:textId="77777777">
            <w:pPr>
              <w:keepNext/>
              <w:keepLines/>
              <w:tabs>
                <w:tab w:val="left" w:pos="-1080"/>
              </w:tabs>
              <w:autoSpaceDE w:val="0"/>
              <w:autoSpaceDN w:val="0"/>
              <w:adjustRightInd w:val="0"/>
              <w:ind w:left="15"/>
              <w:jc w:val="center"/>
              <w:rPr>
                <w:sz w:val="22"/>
                <w:szCs w:val="22"/>
              </w:rPr>
            </w:pPr>
            <w:r w:rsidRPr="00612824">
              <w:rPr>
                <w:sz w:val="22"/>
                <w:szCs w:val="22"/>
              </w:rPr>
              <w:t>46,7%</w:t>
            </w:r>
          </w:p>
        </w:tc>
        <w:tc>
          <w:tcPr>
            <w:tcW w:w="1619" w:type="dxa"/>
            <w:tcBorders>
              <w:top w:val="single" w:sz="6" w:space="0" w:color="000000"/>
              <w:left w:val="single" w:sz="6" w:space="0" w:color="000000"/>
              <w:bottom w:val="single" w:sz="6" w:space="0" w:color="000000"/>
              <w:right w:val="single" w:sz="6" w:space="0" w:color="000000"/>
            </w:tcBorders>
          </w:tcPr>
          <w:p w:rsidR="004F635B" w:rsidRPr="00612824" w:rsidP="00F83E38" w14:paraId="05E13848" w14:textId="77777777">
            <w:pPr>
              <w:keepNext/>
              <w:keepLines/>
              <w:tabs>
                <w:tab w:val="left" w:pos="-1080"/>
              </w:tabs>
              <w:autoSpaceDE w:val="0"/>
              <w:autoSpaceDN w:val="0"/>
              <w:adjustRightInd w:val="0"/>
              <w:ind w:left="15"/>
              <w:jc w:val="center"/>
              <w:rPr>
                <w:sz w:val="22"/>
                <w:szCs w:val="22"/>
              </w:rPr>
            </w:pPr>
            <w:r w:rsidRPr="00612824">
              <w:rPr>
                <w:sz w:val="22"/>
                <w:szCs w:val="22"/>
              </w:rPr>
              <w:t>38,1%</w:t>
            </w:r>
          </w:p>
        </w:tc>
        <w:tc>
          <w:tcPr>
            <w:tcW w:w="1140" w:type="dxa"/>
            <w:tcBorders>
              <w:top w:val="single" w:sz="6" w:space="0" w:color="000000"/>
              <w:left w:val="single" w:sz="6" w:space="0" w:color="000000"/>
              <w:bottom w:val="single" w:sz="6" w:space="0" w:color="000000"/>
              <w:right w:val="single" w:sz="6" w:space="0" w:color="000000"/>
            </w:tcBorders>
          </w:tcPr>
          <w:p w:rsidR="004F635B" w:rsidRPr="00612824" w:rsidP="00F83E38" w14:paraId="2C38D7BB" w14:textId="77777777">
            <w:pPr>
              <w:keepNext/>
              <w:keepLines/>
              <w:tabs>
                <w:tab w:val="left" w:pos="-1080"/>
              </w:tabs>
              <w:autoSpaceDE w:val="0"/>
              <w:autoSpaceDN w:val="0"/>
              <w:adjustRightInd w:val="0"/>
              <w:ind w:left="15"/>
              <w:jc w:val="center"/>
              <w:rPr>
                <w:sz w:val="22"/>
                <w:szCs w:val="22"/>
              </w:rPr>
            </w:pPr>
            <w:r w:rsidRPr="00612824">
              <w:rPr>
                <w:sz w:val="22"/>
                <w:szCs w:val="22"/>
              </w:rPr>
              <w:t>0,608</w:t>
            </w:r>
          </w:p>
        </w:tc>
      </w:tr>
      <w:tr w14:paraId="36628964" w14:textId="77777777" w:rsidTr="00F83E38">
        <w:tblPrEx>
          <w:tblW w:w="0" w:type="auto"/>
          <w:tblLook w:val="00A0"/>
        </w:tblPrEx>
        <w:tc>
          <w:tcPr>
            <w:tcW w:w="4025" w:type="dxa"/>
            <w:tcBorders>
              <w:top w:val="single" w:sz="6" w:space="0" w:color="000000"/>
              <w:left w:val="single" w:sz="6" w:space="0" w:color="000000"/>
              <w:bottom w:val="single" w:sz="4" w:space="0" w:color="auto"/>
              <w:right w:val="single" w:sz="6" w:space="0" w:color="000000"/>
            </w:tcBorders>
          </w:tcPr>
          <w:p w:rsidR="004F635B" w:rsidRPr="00612824" w:rsidP="00F83E38" w14:paraId="21BE7803" w14:textId="77777777">
            <w:pPr>
              <w:keepNext/>
              <w:keepLines/>
              <w:tabs>
                <w:tab w:val="left" w:pos="-1080"/>
              </w:tabs>
              <w:autoSpaceDE w:val="0"/>
              <w:autoSpaceDN w:val="0"/>
              <w:adjustRightInd w:val="0"/>
              <w:rPr>
                <w:bCs/>
                <w:sz w:val="22"/>
                <w:szCs w:val="22"/>
              </w:rPr>
            </w:pPr>
            <w:r w:rsidRPr="00612824">
              <w:rPr>
                <w:bCs/>
                <w:sz w:val="22"/>
                <w:szCs w:val="22"/>
              </w:rPr>
              <w:t>Settimana</w:t>
            </w:r>
            <w:r w:rsidRPr="00612824">
              <w:rPr>
                <w:sz w:val="22"/>
                <w:szCs w:val="22"/>
              </w:rPr>
              <w:t xml:space="preserve"> 52,</w:t>
            </w:r>
          </w:p>
        </w:tc>
        <w:tc>
          <w:tcPr>
            <w:tcW w:w="1656" w:type="dxa"/>
            <w:tcBorders>
              <w:top w:val="single" w:sz="6" w:space="0" w:color="000000"/>
              <w:left w:val="single" w:sz="6" w:space="0" w:color="000000"/>
              <w:bottom w:val="single" w:sz="4" w:space="0" w:color="auto"/>
              <w:right w:val="single" w:sz="6" w:space="0" w:color="000000"/>
            </w:tcBorders>
          </w:tcPr>
          <w:p w:rsidR="004F635B" w:rsidRPr="00612824" w:rsidP="00F83E38" w14:paraId="230EBD72" w14:textId="77777777">
            <w:pPr>
              <w:keepNext/>
              <w:keepLines/>
              <w:tabs>
                <w:tab w:val="left" w:pos="-1080"/>
              </w:tabs>
              <w:autoSpaceDE w:val="0"/>
              <w:autoSpaceDN w:val="0"/>
              <w:adjustRightInd w:val="0"/>
              <w:ind w:left="15"/>
              <w:jc w:val="center"/>
              <w:rPr>
                <w:sz w:val="22"/>
                <w:szCs w:val="22"/>
              </w:rPr>
            </w:pPr>
            <w:r w:rsidRPr="00612824">
              <w:rPr>
                <w:sz w:val="22"/>
                <w:szCs w:val="22"/>
              </w:rPr>
              <w:t>40,0%</w:t>
            </w:r>
          </w:p>
        </w:tc>
        <w:tc>
          <w:tcPr>
            <w:tcW w:w="1619" w:type="dxa"/>
            <w:tcBorders>
              <w:top w:val="single" w:sz="6" w:space="0" w:color="000000"/>
              <w:left w:val="single" w:sz="6" w:space="0" w:color="000000"/>
              <w:bottom w:val="single" w:sz="4" w:space="0" w:color="auto"/>
              <w:right w:val="single" w:sz="6" w:space="0" w:color="000000"/>
            </w:tcBorders>
          </w:tcPr>
          <w:p w:rsidR="004F635B" w:rsidRPr="00612824" w:rsidP="00F83E38" w14:paraId="0786744B" w14:textId="77777777">
            <w:pPr>
              <w:keepNext/>
              <w:keepLines/>
              <w:tabs>
                <w:tab w:val="left" w:pos="-1080"/>
              </w:tabs>
              <w:autoSpaceDE w:val="0"/>
              <w:autoSpaceDN w:val="0"/>
              <w:adjustRightInd w:val="0"/>
              <w:ind w:left="15"/>
              <w:jc w:val="center"/>
              <w:rPr>
                <w:sz w:val="22"/>
                <w:szCs w:val="22"/>
              </w:rPr>
            </w:pPr>
            <w:r w:rsidRPr="00612824">
              <w:rPr>
                <w:sz w:val="22"/>
                <w:szCs w:val="22"/>
              </w:rPr>
              <w:t>23,8%</w:t>
            </w:r>
          </w:p>
        </w:tc>
        <w:tc>
          <w:tcPr>
            <w:tcW w:w="1140" w:type="dxa"/>
            <w:tcBorders>
              <w:top w:val="single" w:sz="6" w:space="0" w:color="000000"/>
              <w:left w:val="single" w:sz="6" w:space="0" w:color="000000"/>
              <w:bottom w:val="single" w:sz="4" w:space="0" w:color="auto"/>
              <w:right w:val="single" w:sz="6" w:space="0" w:color="000000"/>
            </w:tcBorders>
          </w:tcPr>
          <w:p w:rsidR="004F635B" w:rsidRPr="00612824" w:rsidP="00F83E38" w14:paraId="4C28055C" w14:textId="77777777">
            <w:pPr>
              <w:keepNext/>
              <w:keepLines/>
              <w:tabs>
                <w:tab w:val="left" w:pos="-1080"/>
              </w:tabs>
              <w:autoSpaceDE w:val="0"/>
              <w:autoSpaceDN w:val="0"/>
              <w:adjustRightInd w:val="0"/>
              <w:ind w:left="15"/>
              <w:jc w:val="center"/>
              <w:rPr>
                <w:sz w:val="22"/>
                <w:szCs w:val="22"/>
              </w:rPr>
            </w:pPr>
            <w:r w:rsidRPr="00612824">
              <w:rPr>
                <w:sz w:val="22"/>
                <w:szCs w:val="22"/>
              </w:rPr>
              <w:t>0,303</w:t>
            </w:r>
          </w:p>
        </w:tc>
      </w:tr>
      <w:tr w14:paraId="628C4C53" w14:textId="77777777" w:rsidTr="00F83E38">
        <w:tblPrEx>
          <w:tblW w:w="0" w:type="auto"/>
          <w:tblLook w:val="00A0"/>
        </w:tblPrEx>
        <w:trPr>
          <w:trHeight w:val="177"/>
        </w:trPr>
        <w:tc>
          <w:tcPr>
            <w:tcW w:w="8440" w:type="dxa"/>
            <w:gridSpan w:val="4"/>
            <w:tcBorders>
              <w:top w:val="single" w:sz="4" w:space="0" w:color="auto"/>
            </w:tcBorders>
          </w:tcPr>
          <w:p w:rsidR="004F635B" w:rsidRPr="00612824" w:rsidP="00F83E38" w14:paraId="7D3D9B8A" w14:textId="77777777">
            <w:pPr>
              <w:keepNext/>
              <w:keepLines/>
              <w:tabs>
                <w:tab w:val="left" w:pos="-1080"/>
              </w:tabs>
              <w:autoSpaceDE w:val="0"/>
              <w:autoSpaceDN w:val="0"/>
              <w:adjustRightInd w:val="0"/>
              <w:rPr>
                <w:sz w:val="22"/>
                <w:szCs w:val="22"/>
              </w:rPr>
            </w:pPr>
            <w:r w:rsidRPr="00612824">
              <w:rPr>
                <w:sz w:val="22"/>
                <w:szCs w:val="22"/>
                <w:vertAlign w:val="superscript"/>
              </w:rPr>
              <w:t>1</w:t>
            </w:r>
            <w:r w:rsidRPr="00612824">
              <w:rPr>
                <w:sz w:val="22"/>
                <w:szCs w:val="22"/>
              </w:rPr>
              <w:t xml:space="preserve">  confronto valore P per Dose Standard </w:t>
            </w:r>
            <w:r w:rsidRPr="00612824">
              <w:rPr>
                <w:i/>
                <w:iCs/>
                <w:sz w:val="22"/>
                <w:szCs w:val="22"/>
              </w:rPr>
              <w:t xml:space="preserve">versus </w:t>
            </w:r>
            <w:r w:rsidRPr="00612824">
              <w:rPr>
                <w:sz w:val="22"/>
                <w:szCs w:val="22"/>
              </w:rPr>
              <w:t>Dose Bassa.</w:t>
            </w:r>
          </w:p>
          <w:p w:rsidR="004F635B" w:rsidRPr="00612824" w:rsidP="00F83E38" w14:paraId="3F84F1A6" w14:textId="77777777">
            <w:pPr>
              <w:keepNext/>
              <w:keepLines/>
              <w:tabs>
                <w:tab w:val="left" w:pos="-1080"/>
              </w:tabs>
              <w:autoSpaceDE w:val="0"/>
              <w:autoSpaceDN w:val="0"/>
              <w:adjustRightInd w:val="0"/>
              <w:rPr>
                <w:sz w:val="22"/>
                <w:szCs w:val="22"/>
              </w:rPr>
            </w:pPr>
            <w:r w:rsidRPr="00612824">
              <w:rPr>
                <w:sz w:val="22"/>
                <w:szCs w:val="22"/>
                <w:vertAlign w:val="superscript"/>
              </w:rPr>
              <w:t xml:space="preserve"> 2</w:t>
            </w:r>
            <w:r w:rsidRPr="00612824">
              <w:rPr>
                <w:sz w:val="22"/>
                <w:szCs w:val="22"/>
              </w:rPr>
              <w:t xml:space="preserve">  la terapia immunosoppressiva poteva essere interrotta solo alla o dopo la Settimana 26 a discrezione dello sperimentatore se il soggetto aveva raggiunto il criterio della risposta clinica</w:t>
            </w:r>
          </w:p>
          <w:p w:rsidR="004F635B" w:rsidRPr="00612824" w:rsidP="00F83E38" w14:paraId="6A373229" w14:textId="77777777">
            <w:pPr>
              <w:keepNext/>
              <w:keepLines/>
              <w:tabs>
                <w:tab w:val="left" w:pos="-1080"/>
              </w:tabs>
              <w:autoSpaceDE w:val="0"/>
              <w:autoSpaceDN w:val="0"/>
              <w:adjustRightInd w:val="0"/>
              <w:rPr>
                <w:sz w:val="22"/>
                <w:szCs w:val="22"/>
              </w:rPr>
            </w:pPr>
            <w:r w:rsidRPr="00612824">
              <w:rPr>
                <w:sz w:val="22"/>
                <w:szCs w:val="22"/>
                <w:vertAlign w:val="superscript"/>
              </w:rPr>
              <w:t>3</w:t>
            </w:r>
            <w:r w:rsidRPr="00612824">
              <w:rPr>
                <w:sz w:val="22"/>
                <w:szCs w:val="22"/>
              </w:rPr>
              <w:t xml:space="preserve">  definito come chiusura di tutte le fistole che si stavano esaurendo al basale per almeno 2 visite consecutive post-basale</w:t>
            </w:r>
          </w:p>
        </w:tc>
      </w:tr>
    </w:tbl>
    <w:p w:rsidR="004F635B" w:rsidRPr="00612824" w:rsidP="004F635B" w14:paraId="3B58E88A" w14:textId="77777777">
      <w:pPr>
        <w:keepNext/>
        <w:tabs>
          <w:tab w:val="left" w:pos="567"/>
        </w:tabs>
        <w:rPr>
          <w:sz w:val="22"/>
          <w:szCs w:val="22"/>
        </w:rPr>
      </w:pPr>
    </w:p>
    <w:p w:rsidR="004F635B" w:rsidRPr="00612824" w:rsidP="004F635B" w14:paraId="5CDDCE8C" w14:textId="77777777">
      <w:pPr>
        <w:tabs>
          <w:tab w:val="left" w:pos="567"/>
        </w:tabs>
        <w:jc w:val="both"/>
        <w:rPr>
          <w:sz w:val="22"/>
          <w:szCs w:val="22"/>
        </w:rPr>
      </w:pPr>
      <w:r w:rsidRPr="00612824">
        <w:rPr>
          <w:sz w:val="22"/>
          <w:szCs w:val="22"/>
        </w:rPr>
        <w:t>Per entrambi i gruppi di trattamento sono stati osservati incrementi (miglioramenti) statisticamente significativi dell’Indice di Massa Corporea e della velocità di accrescimento staturale dal basale alla Settimana 26 e 52.</w:t>
      </w:r>
    </w:p>
    <w:p w:rsidR="004F635B" w:rsidRPr="00612824" w:rsidP="004F635B" w14:paraId="4449B796" w14:textId="77777777">
      <w:pPr>
        <w:tabs>
          <w:tab w:val="left" w:pos="567"/>
        </w:tabs>
        <w:jc w:val="both"/>
        <w:rPr>
          <w:sz w:val="22"/>
          <w:szCs w:val="22"/>
        </w:rPr>
      </w:pPr>
    </w:p>
    <w:p w:rsidR="004F635B" w:rsidRPr="00612824" w:rsidP="004F635B" w14:paraId="5B14D074" w14:textId="77777777">
      <w:pPr>
        <w:tabs>
          <w:tab w:val="left" w:pos="567"/>
        </w:tabs>
        <w:jc w:val="both"/>
        <w:rPr>
          <w:sz w:val="22"/>
          <w:szCs w:val="22"/>
        </w:rPr>
      </w:pPr>
      <w:r w:rsidRPr="00612824">
        <w:rPr>
          <w:sz w:val="22"/>
          <w:szCs w:val="22"/>
        </w:rPr>
        <w:t xml:space="preserve">In entrambi i gruppi di trattamento sono stati inoltre osservati miglioramenti statisticamente e clinicamente significativi rispetto al basale dei parametri di qualità di vita (incluso IMPACT III). </w:t>
      </w:r>
    </w:p>
    <w:p w:rsidR="004F635B" w:rsidRPr="00612824" w:rsidP="004F635B" w14:paraId="488DDF9C" w14:textId="77777777">
      <w:pPr>
        <w:tabs>
          <w:tab w:val="left" w:pos="567"/>
          <w:tab w:val="left" w:pos="1294"/>
        </w:tabs>
        <w:autoSpaceDE w:val="0"/>
        <w:autoSpaceDN w:val="0"/>
        <w:adjustRightInd w:val="0"/>
        <w:jc w:val="both"/>
        <w:rPr>
          <w:color w:val="000000"/>
          <w:sz w:val="22"/>
          <w:szCs w:val="22"/>
        </w:rPr>
      </w:pPr>
    </w:p>
    <w:p w:rsidR="004F635B" w:rsidRPr="00612824" w:rsidP="004F635B" w14:paraId="05C84BFA" w14:textId="77777777">
      <w:pPr>
        <w:rPr>
          <w:sz w:val="22"/>
          <w:szCs w:val="22"/>
        </w:rPr>
      </w:pPr>
      <w:r w:rsidRPr="00612824">
        <w:rPr>
          <w:sz w:val="22"/>
          <w:szCs w:val="22"/>
        </w:rPr>
        <w:t>Cento pazienti (n=100) dello Studio della Malattia di Crohn Pediatrica hanno continuato in uno studio di estensione in aperto a lungo termine. Dopo 5 anni di trattamento con adalimumab, il 74,0% (37/50) dei 50 pazienti rimasti nello studio ha continuato ad essere in remissione clinica e il 92,0% (46/50) dei pazienti ha continuato ad avere la risposta clinica per PCDAI.</w:t>
      </w:r>
    </w:p>
    <w:p w:rsidR="0062664F" w:rsidRPr="00612824" w:rsidP="0062664F" w14:paraId="7017634D" w14:textId="77777777">
      <w:pPr>
        <w:rPr>
          <w:sz w:val="22"/>
          <w:szCs w:val="22"/>
        </w:rPr>
      </w:pPr>
    </w:p>
    <w:p w:rsidR="00B23A08" w:rsidRPr="00612824" w:rsidP="00B23A08" w14:paraId="4C4964A0" w14:textId="77777777">
      <w:pPr>
        <w:keepNext/>
        <w:rPr>
          <w:bCs/>
          <w:i/>
          <w:sz w:val="22"/>
          <w:szCs w:val="22"/>
        </w:rPr>
      </w:pPr>
      <w:r w:rsidRPr="00612824">
        <w:rPr>
          <w:i/>
          <w:sz w:val="22"/>
          <w:szCs w:val="22"/>
        </w:rPr>
        <w:t>Colite ulcerosa pediatrica</w:t>
      </w:r>
    </w:p>
    <w:p w:rsidR="00B23A08" w:rsidRPr="00612824" w:rsidP="00B23A08" w14:paraId="36A63E72" w14:textId="77777777">
      <w:pPr>
        <w:keepNext/>
        <w:rPr>
          <w:bCs/>
          <w:i/>
          <w:sz w:val="22"/>
          <w:szCs w:val="22"/>
        </w:rPr>
      </w:pPr>
    </w:p>
    <w:p w:rsidR="00B23A08" w:rsidRPr="00612824" w:rsidP="00B23A08" w14:paraId="22B6599B" w14:textId="77777777">
      <w:pPr>
        <w:rPr>
          <w:sz w:val="22"/>
          <w:szCs w:val="22"/>
        </w:rPr>
      </w:pPr>
      <w:r w:rsidRPr="00612824">
        <w:rPr>
          <w:sz w:val="22"/>
          <w:szCs w:val="22"/>
        </w:rPr>
        <w:t xml:space="preserve">La sicurezza e l'efficacia di Humira sono state valutate in uno studio multicentrico, randomizzato, in doppio cieco, condotto su 93 pazienti pediatrici di età compresa tra 5 e 17 anni </w:t>
      </w:r>
      <w:r w:rsidR="00672E60">
        <w:rPr>
          <w:sz w:val="22"/>
          <w:szCs w:val="22"/>
        </w:rPr>
        <w:t>affetti da</w:t>
      </w:r>
      <w:r w:rsidRPr="00612824">
        <w:rPr>
          <w:sz w:val="22"/>
          <w:szCs w:val="22"/>
        </w:rPr>
        <w:t xml:space="preserve"> colite ulcerosa da moderata a </w:t>
      </w:r>
      <w:r w:rsidR="00672E60">
        <w:rPr>
          <w:sz w:val="22"/>
          <w:szCs w:val="22"/>
        </w:rPr>
        <w:t>severa</w:t>
      </w:r>
      <w:r w:rsidRPr="00612824">
        <w:rPr>
          <w:sz w:val="22"/>
          <w:szCs w:val="22"/>
        </w:rPr>
        <w:t xml:space="preserve"> (Mayo Score da 6 a 12 con </w:t>
      </w:r>
      <w:r w:rsidR="004D484C">
        <w:rPr>
          <w:sz w:val="22"/>
          <w:szCs w:val="22"/>
        </w:rPr>
        <w:t>sottopunteggio</w:t>
      </w:r>
      <w:r w:rsidRPr="00612824">
        <w:rPr>
          <w:sz w:val="22"/>
          <w:szCs w:val="22"/>
        </w:rPr>
        <w:t xml:space="preserve"> endoscopico da 2 a 3 punti, confermato mediante endoscopia </w:t>
      </w:r>
      <w:r w:rsidR="00672E60">
        <w:rPr>
          <w:sz w:val="22"/>
          <w:szCs w:val="22"/>
        </w:rPr>
        <w:t>refertata</w:t>
      </w:r>
      <w:r w:rsidRPr="00612824">
        <w:rPr>
          <w:sz w:val="22"/>
          <w:szCs w:val="22"/>
        </w:rPr>
        <w:t xml:space="preserve"> da un </w:t>
      </w:r>
      <w:r w:rsidR="00672E60">
        <w:rPr>
          <w:sz w:val="22"/>
          <w:szCs w:val="22"/>
        </w:rPr>
        <w:t>operatore indipendente</w:t>
      </w:r>
      <w:r w:rsidRPr="00612824">
        <w:rPr>
          <w:sz w:val="22"/>
          <w:szCs w:val="22"/>
        </w:rPr>
        <w:t xml:space="preserve">) che hanno avuto una risposta inadeguata o intolleranza alla terapia convenzionale. Circa il 16% dei pazienti nello studio </w:t>
      </w:r>
      <w:r w:rsidR="00DF3D2D">
        <w:rPr>
          <w:sz w:val="22"/>
          <w:szCs w:val="22"/>
        </w:rPr>
        <w:t xml:space="preserve">aveva </w:t>
      </w:r>
      <w:r w:rsidR="00DF3D2D">
        <w:rPr>
          <w:sz w:val="22"/>
          <w:szCs w:val="22"/>
        </w:rPr>
        <w:t>fallito</w:t>
      </w:r>
      <w:r w:rsidRPr="00612824">
        <w:rPr>
          <w:sz w:val="22"/>
          <w:szCs w:val="22"/>
        </w:rPr>
        <w:t xml:space="preserve"> </w:t>
      </w:r>
      <w:r w:rsidR="00672E60">
        <w:rPr>
          <w:sz w:val="22"/>
          <w:szCs w:val="22"/>
        </w:rPr>
        <w:t>un</w:t>
      </w:r>
      <w:r w:rsidRPr="00612824">
        <w:rPr>
          <w:sz w:val="22"/>
          <w:szCs w:val="22"/>
        </w:rPr>
        <w:t xml:space="preserve"> precedente trattamento </w:t>
      </w:r>
      <w:r w:rsidR="00672E60">
        <w:rPr>
          <w:sz w:val="22"/>
          <w:szCs w:val="22"/>
        </w:rPr>
        <w:t xml:space="preserve">con </w:t>
      </w:r>
      <w:r w:rsidRPr="00612824">
        <w:rPr>
          <w:sz w:val="22"/>
          <w:szCs w:val="22"/>
        </w:rPr>
        <w:t>anti-TNF. Ai pazienti che avevano ricevuto corticosteroidi all'arruolamento è stato consentito di ridurre la terapia con corticosteroidi dopo la Settimana 4.</w:t>
      </w:r>
    </w:p>
    <w:p w:rsidR="00B23A08" w:rsidRPr="00612824" w:rsidP="00B23A08" w14:paraId="48986002" w14:textId="77777777">
      <w:pPr>
        <w:rPr>
          <w:sz w:val="22"/>
          <w:szCs w:val="22"/>
        </w:rPr>
      </w:pPr>
    </w:p>
    <w:p w:rsidR="00B23A08" w:rsidRPr="00612824" w:rsidP="00B23A08" w14:paraId="18A7F842" w14:textId="77777777">
      <w:pPr>
        <w:rPr>
          <w:sz w:val="22"/>
          <w:szCs w:val="22"/>
        </w:rPr>
      </w:pPr>
      <w:r w:rsidRPr="00612824">
        <w:rPr>
          <w:rStyle w:val="normaltextrun"/>
          <w:sz w:val="22"/>
          <w:szCs w:val="22"/>
          <w:shd w:val="clear" w:color="auto" w:fill="FFFFFF"/>
        </w:rPr>
        <w:t>Nel periodo di induzione dello studio, 77 pazienti sono stati randomizzati 3:2 per ricevere un trattamento in doppio cieco con Humira a una dose di induzione di 2,4 mg/kg (massimo 160 mg) alla Settimana 0 e alla Settimana 1 e di 1,2 mg/kg (massimo 80 mg) alla Settimana 2</w:t>
      </w:r>
      <w:r w:rsidR="00672E60">
        <w:rPr>
          <w:rStyle w:val="normaltextrun"/>
          <w:sz w:val="22"/>
          <w:szCs w:val="22"/>
          <w:shd w:val="clear" w:color="auto" w:fill="FFFFFF"/>
        </w:rPr>
        <w:t xml:space="preserve">, oppure </w:t>
      </w:r>
      <w:r w:rsidRPr="00612824">
        <w:rPr>
          <w:rStyle w:val="normaltextrun"/>
          <w:sz w:val="22"/>
          <w:szCs w:val="22"/>
          <w:shd w:val="clear" w:color="auto" w:fill="FFFFFF"/>
        </w:rPr>
        <w:t xml:space="preserve">una dose di induzione di 2,4 mg/kg (massimo 160 mg) alla Settimana 0, placebo alla Settimana 1 e 1,2 mg/kg (massimo 80 mg) alla Settimana 2. Entrambi i gruppi hanno ricevuto 0,6 mg/kg (massimo 40 mg) alla Settimana 4 e alla Settimana 6. A seguito di un emendamento al disegno dello studio, i restanti 16 pazienti arruolati </w:t>
      </w:r>
      <w:r w:rsidR="00672E60">
        <w:rPr>
          <w:rStyle w:val="normaltextrun"/>
          <w:sz w:val="22"/>
          <w:szCs w:val="22"/>
          <w:shd w:val="clear" w:color="auto" w:fill="FFFFFF"/>
        </w:rPr>
        <w:t xml:space="preserve">hanno ricevuto </w:t>
      </w:r>
      <w:r w:rsidRPr="00612824">
        <w:rPr>
          <w:rStyle w:val="normaltextrun"/>
          <w:sz w:val="22"/>
          <w:szCs w:val="22"/>
          <w:shd w:val="clear" w:color="auto" w:fill="FFFFFF"/>
        </w:rPr>
        <w:t>nel periodo di induzione un trattamento in aperto con Humira alla dose di induzione di 2,4 mg/kg (massimo 160 mg) alla Settimana 0 e alla Settimana 1 e di 1,2 mg/kg (massimo 80 mg) alla Settimana 2.</w:t>
      </w:r>
      <w:r w:rsidRPr="00612824">
        <w:rPr>
          <w:rStyle w:val="eop"/>
          <w:sz w:val="22"/>
          <w:szCs w:val="22"/>
          <w:shd w:val="clear" w:color="auto" w:fill="FFFFFF"/>
        </w:rPr>
        <w:t> </w:t>
      </w:r>
    </w:p>
    <w:p w:rsidR="00B23A08" w:rsidRPr="00612824" w:rsidP="00B23A08" w14:paraId="7EEBB30C" w14:textId="77777777">
      <w:pPr>
        <w:rPr>
          <w:sz w:val="22"/>
          <w:szCs w:val="22"/>
        </w:rPr>
      </w:pPr>
    </w:p>
    <w:p w:rsidR="00B23A08" w:rsidRPr="00612824" w:rsidP="00B23A08" w14:paraId="3340C09B" w14:textId="77777777">
      <w:pPr>
        <w:rPr>
          <w:rStyle w:val="eop"/>
          <w:sz w:val="22"/>
          <w:szCs w:val="22"/>
          <w:shd w:val="clear" w:color="auto" w:fill="FFFFFF"/>
        </w:rPr>
      </w:pPr>
      <w:r w:rsidRPr="00612824">
        <w:rPr>
          <w:rStyle w:val="normaltextrun"/>
          <w:sz w:val="22"/>
          <w:szCs w:val="22"/>
          <w:shd w:val="clear" w:color="auto" w:fill="FFFFFF"/>
        </w:rPr>
        <w:t xml:space="preserve">Alla Settimana 8, 62 pazienti che </w:t>
      </w:r>
      <w:r w:rsidR="00672E60">
        <w:rPr>
          <w:rStyle w:val="normaltextrun"/>
          <w:sz w:val="22"/>
          <w:szCs w:val="22"/>
          <w:shd w:val="clear" w:color="auto" w:fill="FFFFFF"/>
        </w:rPr>
        <w:t>avevano</w:t>
      </w:r>
      <w:r w:rsidRPr="00612824">
        <w:rPr>
          <w:rStyle w:val="normaltextrun"/>
          <w:sz w:val="22"/>
          <w:szCs w:val="22"/>
          <w:shd w:val="clear" w:color="auto" w:fill="FFFFFF"/>
        </w:rPr>
        <w:t xml:space="preserve"> dimostrato una risposta clinica come indicato dal Partial Mayo Score (PMS; definito come una diminuzione del PMS ≥ 2 punti e ≥ 30% dal basale) sono stati randomizzati </w:t>
      </w:r>
      <w:r w:rsidR="00672E60">
        <w:rPr>
          <w:rStyle w:val="normaltextrun"/>
          <w:sz w:val="22"/>
          <w:szCs w:val="22"/>
          <w:shd w:val="clear" w:color="auto" w:fill="FFFFFF"/>
        </w:rPr>
        <w:t>1:1</w:t>
      </w:r>
      <w:r w:rsidRPr="00612824">
        <w:rPr>
          <w:rStyle w:val="normaltextrun"/>
          <w:sz w:val="22"/>
          <w:szCs w:val="22"/>
          <w:shd w:val="clear" w:color="auto" w:fill="FFFFFF"/>
        </w:rPr>
        <w:t xml:space="preserve"> a ricevere un trattamento di mantenimento in doppio cieco con Humira ad una dose di 0,6 mg/kg (massimo 40 mg) ogni settimana o ad una dose di mantenimento di 0,6 mg/kg (massimo 40 mg) </w:t>
      </w:r>
      <w:r w:rsidR="00672E60">
        <w:rPr>
          <w:rStyle w:val="normaltextrun"/>
          <w:sz w:val="22"/>
          <w:szCs w:val="22"/>
          <w:shd w:val="clear" w:color="auto" w:fill="FFFFFF"/>
        </w:rPr>
        <w:t>a settimane alterne</w:t>
      </w:r>
      <w:r w:rsidRPr="00612824">
        <w:rPr>
          <w:rStyle w:val="normaltextrun"/>
          <w:sz w:val="22"/>
          <w:szCs w:val="22"/>
          <w:shd w:val="clear" w:color="auto" w:fill="FFFFFF"/>
        </w:rPr>
        <w:t xml:space="preserve">. Prima di un emendamento al disegno dello studio, altri 12 pazienti che </w:t>
      </w:r>
      <w:r w:rsidR="00DF3D2D">
        <w:rPr>
          <w:rStyle w:val="normaltextrun"/>
          <w:sz w:val="22"/>
          <w:szCs w:val="22"/>
          <w:shd w:val="clear" w:color="auto" w:fill="FFFFFF"/>
        </w:rPr>
        <w:t xml:space="preserve">avevano </w:t>
      </w:r>
      <w:r w:rsidRPr="00612824">
        <w:rPr>
          <w:rStyle w:val="normaltextrun"/>
          <w:sz w:val="22"/>
          <w:szCs w:val="22"/>
          <w:shd w:val="clear" w:color="auto" w:fill="FFFFFF"/>
        </w:rPr>
        <w:t>dimostrato una risposta clinica come indicato dal PMS</w:t>
      </w:r>
      <w:r w:rsidR="00DF3D2D">
        <w:rPr>
          <w:rStyle w:val="normaltextrun"/>
          <w:sz w:val="22"/>
          <w:szCs w:val="22"/>
          <w:shd w:val="clear" w:color="auto" w:fill="FFFFFF"/>
        </w:rPr>
        <w:t>,</w:t>
      </w:r>
      <w:r w:rsidRPr="00612824">
        <w:rPr>
          <w:rStyle w:val="normaltextrun"/>
          <w:sz w:val="22"/>
          <w:szCs w:val="22"/>
          <w:shd w:val="clear" w:color="auto" w:fill="FFFFFF"/>
        </w:rPr>
        <w:t xml:space="preserve"> sono stati randomizzati a ricevere placebo ma non sono stati inclusi nell'analisi di conferma dell'efficacia.</w:t>
      </w:r>
    </w:p>
    <w:p w:rsidR="00B23A08" w:rsidRPr="00612824" w:rsidP="00B23A08" w14:paraId="5629CDDA" w14:textId="77777777">
      <w:pPr>
        <w:rPr>
          <w:sz w:val="22"/>
          <w:szCs w:val="22"/>
        </w:rPr>
      </w:pPr>
    </w:p>
    <w:p w:rsidR="00B23A08" w:rsidRPr="00612824" w:rsidP="00B23A08" w14:paraId="1CCB1258" w14:textId="77777777">
      <w:pPr>
        <w:rPr>
          <w:sz w:val="22"/>
          <w:szCs w:val="22"/>
        </w:rPr>
      </w:pPr>
      <w:r w:rsidRPr="00612824">
        <w:rPr>
          <w:sz w:val="22"/>
          <w:szCs w:val="22"/>
        </w:rPr>
        <w:t xml:space="preserve">La riacutizzazione della malattia è stata definita come un aumento del PMS di almeno 3 punti (per i pazienti con PMS da 0 a 2 alla Settimana 8), </w:t>
      </w:r>
      <w:r w:rsidR="00103FAE">
        <w:rPr>
          <w:sz w:val="22"/>
          <w:szCs w:val="22"/>
        </w:rPr>
        <w:t xml:space="preserve">di </w:t>
      </w:r>
      <w:r w:rsidRPr="00612824">
        <w:rPr>
          <w:sz w:val="22"/>
          <w:szCs w:val="22"/>
        </w:rPr>
        <w:t xml:space="preserve">almeno 2 punti (per i pazienti con PMS da 3 a 4 alla Settimana 8) o almeno </w:t>
      </w:r>
      <w:r w:rsidR="00103FAE">
        <w:rPr>
          <w:sz w:val="22"/>
          <w:szCs w:val="22"/>
        </w:rPr>
        <w:t xml:space="preserve">di </w:t>
      </w:r>
      <w:r w:rsidRPr="00612824">
        <w:rPr>
          <w:sz w:val="22"/>
          <w:szCs w:val="22"/>
        </w:rPr>
        <w:t>1 punto (per i pazienti con PMS da 5 a 6 alla Settimana 8). </w:t>
      </w:r>
    </w:p>
    <w:p w:rsidR="00B23A08" w:rsidRPr="00612824" w:rsidP="00B23A08" w14:paraId="358B6DE5" w14:textId="77777777">
      <w:pPr>
        <w:rPr>
          <w:sz w:val="22"/>
          <w:szCs w:val="22"/>
        </w:rPr>
      </w:pPr>
    </w:p>
    <w:p w:rsidR="00B23A08" w:rsidRPr="00612824" w:rsidP="00B23A08" w14:paraId="4103BF4F" w14:textId="77777777">
      <w:pPr>
        <w:rPr>
          <w:sz w:val="22"/>
          <w:szCs w:val="22"/>
        </w:rPr>
      </w:pPr>
      <w:r w:rsidRPr="00612824">
        <w:rPr>
          <w:sz w:val="22"/>
          <w:szCs w:val="22"/>
        </w:rPr>
        <w:t xml:space="preserve">I pazienti che </w:t>
      </w:r>
      <w:r w:rsidR="00672E60">
        <w:rPr>
          <w:sz w:val="22"/>
          <w:szCs w:val="22"/>
        </w:rPr>
        <w:t>hanno presentato</w:t>
      </w:r>
      <w:r w:rsidRPr="00612824">
        <w:rPr>
          <w:sz w:val="22"/>
          <w:szCs w:val="22"/>
        </w:rPr>
        <w:t xml:space="preserve"> i criteri </w:t>
      </w:r>
      <w:r w:rsidR="00672E60">
        <w:rPr>
          <w:sz w:val="22"/>
          <w:szCs w:val="22"/>
        </w:rPr>
        <w:t>di</w:t>
      </w:r>
      <w:r w:rsidRPr="00612824">
        <w:rPr>
          <w:sz w:val="22"/>
          <w:szCs w:val="22"/>
        </w:rPr>
        <w:t xml:space="preserve"> riacutizzazione d</w:t>
      </w:r>
      <w:r w:rsidR="00672E60">
        <w:rPr>
          <w:sz w:val="22"/>
          <w:szCs w:val="22"/>
        </w:rPr>
        <w:t>i</w:t>
      </w:r>
      <w:r w:rsidRPr="00612824">
        <w:rPr>
          <w:sz w:val="22"/>
          <w:szCs w:val="22"/>
        </w:rPr>
        <w:t xml:space="preserve"> malattia alla Settimana 12 o successivamente</w:t>
      </w:r>
      <w:r w:rsidR="00103FAE">
        <w:rPr>
          <w:sz w:val="22"/>
          <w:szCs w:val="22"/>
        </w:rPr>
        <w:t>,</w:t>
      </w:r>
      <w:r w:rsidRPr="00612824">
        <w:rPr>
          <w:sz w:val="22"/>
          <w:szCs w:val="22"/>
        </w:rPr>
        <w:t xml:space="preserve"> sono stati randomizzati a ricevere una dose di reinduzione di 2,4 mg/kg (massimo 160 mg) o una dose di 0,6 mg/kg (massimo 40 mg) e hanno continuato a ricevere successivamente il rispettivo regime di mantenimento. </w:t>
      </w:r>
    </w:p>
    <w:p w:rsidR="00B23A08" w:rsidRPr="00612824" w:rsidP="00B23A08" w14:paraId="47CF20BA" w14:textId="77777777">
      <w:pPr>
        <w:pStyle w:val="gtcbodytext"/>
        <w:spacing w:after="0" w:line="240" w:lineRule="auto"/>
        <w:rPr>
          <w:i/>
          <w:iCs/>
          <w:sz w:val="22"/>
          <w:szCs w:val="22"/>
          <w:lang w:val="it-IT"/>
        </w:rPr>
      </w:pPr>
      <w:r w:rsidRPr="00612824">
        <w:rPr>
          <w:i/>
          <w:sz w:val="22"/>
          <w:szCs w:val="22"/>
          <w:lang w:val="it-IT"/>
        </w:rPr>
        <w:t>Risultati di efficacia</w:t>
      </w:r>
    </w:p>
    <w:p w:rsidR="00B23A08" w:rsidRPr="00612824" w:rsidP="00B23A08" w14:paraId="7027500A" w14:textId="77777777">
      <w:pPr>
        <w:rPr>
          <w:sz w:val="22"/>
          <w:szCs w:val="22"/>
        </w:rPr>
      </w:pPr>
    </w:p>
    <w:p w:rsidR="00B23A08" w:rsidRPr="00612824" w:rsidP="00B23A08" w14:paraId="2F3692FC" w14:textId="77777777">
      <w:pPr>
        <w:rPr>
          <w:sz w:val="22"/>
          <w:szCs w:val="22"/>
        </w:rPr>
      </w:pPr>
      <w:r w:rsidRPr="00612824">
        <w:rPr>
          <w:sz w:val="22"/>
          <w:szCs w:val="22"/>
        </w:rPr>
        <w:t xml:space="preserve">Gli endpoint co-primari dello studio sono stati la remissione clinica come indicato dal PMS (definita come PMS ≤ 2 e nessun </w:t>
      </w:r>
      <w:r w:rsidR="004D484C">
        <w:rPr>
          <w:sz w:val="22"/>
          <w:szCs w:val="22"/>
        </w:rPr>
        <w:t>sottopunteggio</w:t>
      </w:r>
      <w:r w:rsidRPr="00612824">
        <w:rPr>
          <w:sz w:val="22"/>
          <w:szCs w:val="22"/>
        </w:rPr>
        <w:t xml:space="preserve"> individuale &gt; 1) alla Settimana 8 e remissione clinica come indicato dal FMS (Full Mayo Score) (definito come Mayo Score ≤ 2 e nessun </w:t>
      </w:r>
      <w:r w:rsidR="004D484C">
        <w:rPr>
          <w:sz w:val="22"/>
          <w:szCs w:val="22"/>
        </w:rPr>
        <w:t>sottopunteggio</w:t>
      </w:r>
      <w:r w:rsidRPr="00612824">
        <w:rPr>
          <w:sz w:val="22"/>
          <w:szCs w:val="22"/>
        </w:rPr>
        <w:t xml:space="preserve"> individuale &gt; 1) alla Settimana 52 </w:t>
      </w:r>
      <w:r w:rsidR="00672E60">
        <w:rPr>
          <w:sz w:val="22"/>
          <w:szCs w:val="22"/>
        </w:rPr>
        <w:t>nei</w:t>
      </w:r>
      <w:r w:rsidRPr="00612824">
        <w:rPr>
          <w:sz w:val="22"/>
          <w:szCs w:val="22"/>
        </w:rPr>
        <w:t xml:space="preserve"> pazienti che </w:t>
      </w:r>
      <w:r w:rsidR="00672E60">
        <w:rPr>
          <w:sz w:val="22"/>
          <w:szCs w:val="22"/>
        </w:rPr>
        <w:t>avevano</w:t>
      </w:r>
      <w:r w:rsidRPr="00612824">
        <w:rPr>
          <w:sz w:val="22"/>
          <w:szCs w:val="22"/>
        </w:rPr>
        <w:t xml:space="preserve"> ottenuto una risposta clinica come indicato dal PMS alla Settimana 8.</w:t>
      </w:r>
    </w:p>
    <w:p w:rsidR="00B23A08" w:rsidRPr="00612824" w:rsidP="00B23A08" w14:paraId="5BB1910E" w14:textId="77777777">
      <w:pPr>
        <w:textAlignment w:val="baseline"/>
        <w:rPr>
          <w:sz w:val="22"/>
          <w:szCs w:val="22"/>
          <w:lang w:eastAsia="en-GB"/>
        </w:rPr>
      </w:pPr>
    </w:p>
    <w:p w:rsidR="00B23A08" w:rsidRPr="00612824" w:rsidP="00B23A08" w14:paraId="4616B92D" w14:textId="77777777">
      <w:pPr>
        <w:textAlignment w:val="baseline"/>
        <w:rPr>
          <w:sz w:val="22"/>
          <w:szCs w:val="22"/>
        </w:rPr>
      </w:pPr>
      <w:r w:rsidRPr="00612824">
        <w:rPr>
          <w:sz w:val="22"/>
          <w:szCs w:val="22"/>
        </w:rPr>
        <w:t xml:space="preserve">I tassi di remissione clinica come indicato dal PMS alla Settimana 8 per i pazienti in ciascuno dei gruppi di induzione in doppio cieco di Humira </w:t>
      </w:r>
      <w:r w:rsidR="00F421DB">
        <w:rPr>
          <w:sz w:val="22"/>
          <w:szCs w:val="22"/>
        </w:rPr>
        <w:t xml:space="preserve">sono mostrati nella </w:t>
      </w:r>
      <w:r w:rsidRPr="00612824">
        <w:rPr>
          <w:sz w:val="22"/>
          <w:szCs w:val="22"/>
        </w:rPr>
        <w:t>Tabella 31. </w:t>
      </w:r>
    </w:p>
    <w:p w:rsidR="00B23A08" w:rsidRPr="00612824" w:rsidP="00986889" w14:paraId="70CACD2F" w14:textId="77777777">
      <w:pPr>
        <w:pStyle w:val="gtcbodytext"/>
        <w:keepNext/>
        <w:spacing w:after="0" w:line="240" w:lineRule="auto"/>
        <w:jc w:val="center"/>
        <w:rPr>
          <w:rStyle w:val="normaltextrun"/>
          <w:b/>
          <w:sz w:val="22"/>
          <w:szCs w:val="22"/>
          <w:lang w:val="it-IT"/>
        </w:rPr>
      </w:pPr>
      <w:r w:rsidRPr="00612824">
        <w:rPr>
          <w:b/>
          <w:sz w:val="22"/>
          <w:szCs w:val="22"/>
          <w:lang w:val="it-IT"/>
        </w:rPr>
        <w:t xml:space="preserve">Tabella 31: Remissione </w:t>
      </w:r>
      <w:r w:rsidR="00103FAE">
        <w:rPr>
          <w:b/>
          <w:sz w:val="22"/>
          <w:szCs w:val="22"/>
          <w:lang w:val="it-IT"/>
        </w:rPr>
        <w:t>C</w:t>
      </w:r>
      <w:r w:rsidRPr="00612824">
        <w:rPr>
          <w:b/>
          <w:sz w:val="22"/>
          <w:szCs w:val="22"/>
          <w:lang w:val="it-IT"/>
        </w:rPr>
        <w:t xml:space="preserve">linica in base al PMS a 8 </w:t>
      </w:r>
      <w:r w:rsidR="00103FAE">
        <w:rPr>
          <w:b/>
          <w:sz w:val="22"/>
          <w:szCs w:val="22"/>
          <w:lang w:val="it-IT"/>
        </w:rPr>
        <w:t>S</w:t>
      </w:r>
      <w:r w:rsidRPr="00612824">
        <w:rPr>
          <w:b/>
          <w:sz w:val="22"/>
          <w:szCs w:val="22"/>
          <w:lang w:val="it-IT"/>
        </w:rPr>
        <w:t xml:space="preserve">ettimane </w:t>
      </w:r>
    </w:p>
    <w:tbl>
      <w:tblPr>
        <w:tblW w:w="4246" w:type="pct"/>
        <w:jc w:val="center"/>
        <w:tblLook w:val="04A0"/>
      </w:tblPr>
      <w:tblGrid>
        <w:gridCol w:w="1904"/>
        <w:gridCol w:w="2866"/>
        <w:gridCol w:w="2919"/>
      </w:tblGrid>
      <w:tr w14:paraId="168FCFEC" w14:textId="77777777" w:rsidTr="004E19B6">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23A08" w:rsidRPr="00612824" w:rsidP="00986889" w14:paraId="2F2E7C1C" w14:textId="77777777">
            <w:pPr>
              <w:keepNext/>
              <w:rPr>
                <w:sz w:val="22"/>
                <w:szCs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23A08" w:rsidRPr="00B23A08" w:rsidP="00986889" w14:paraId="255C17B7" w14:textId="77777777">
            <w:pPr>
              <w:pStyle w:val="paragraph0"/>
              <w:keepNext/>
              <w:spacing w:before="0" w:beforeAutospacing="0" w:after="0" w:afterAutospacing="0"/>
              <w:jc w:val="center"/>
              <w:textAlignment w:val="baseline"/>
              <w:rPr>
                <w:b/>
                <w:bCs/>
                <w:sz w:val="22"/>
                <w:szCs w:val="22"/>
              </w:rPr>
            </w:pPr>
            <w:r w:rsidRPr="00863077">
              <w:rPr>
                <w:rStyle w:val="spellingerror"/>
                <w:b/>
                <w:sz w:val="22"/>
                <w:szCs w:val="22"/>
              </w:rPr>
              <w:t>Humira</w:t>
            </w:r>
            <w:r w:rsidRPr="00863077">
              <w:rPr>
                <w:rStyle w:val="spellingerror"/>
                <w:b/>
                <w:sz w:val="22"/>
                <w:szCs w:val="22"/>
                <w:vertAlign w:val="superscript"/>
              </w:rPr>
              <w:t>a</w:t>
            </w:r>
            <w:r w:rsidRPr="00872134">
              <w:rPr>
                <w:rStyle w:val="eop"/>
                <w:b/>
                <w:sz w:val="22"/>
                <w:szCs w:val="22"/>
              </w:rPr>
              <w:t> </w:t>
            </w:r>
          </w:p>
          <w:p w:rsidR="00B23A08" w:rsidRPr="00612824" w:rsidP="00986889" w14:paraId="59067D47" w14:textId="77777777">
            <w:pPr>
              <w:keepNext/>
              <w:jc w:val="center"/>
              <w:rPr>
                <w:rStyle w:val="eop"/>
                <w:b/>
                <w:bCs/>
                <w:sz w:val="22"/>
                <w:szCs w:val="22"/>
              </w:rPr>
            </w:pPr>
            <w:r w:rsidRPr="00612824">
              <w:rPr>
                <w:rStyle w:val="normaltextrun"/>
                <w:b/>
                <w:sz w:val="22"/>
                <w:szCs w:val="22"/>
              </w:rPr>
              <w:t>Massimo 160 mg alla Settimana 0/</w:t>
            </w:r>
            <w:r w:rsidR="0016472B">
              <w:rPr>
                <w:rStyle w:val="normaltextrun"/>
                <w:b/>
                <w:sz w:val="22"/>
                <w:szCs w:val="22"/>
              </w:rPr>
              <w:t>P</w:t>
            </w:r>
            <w:r w:rsidRPr="00612824">
              <w:rPr>
                <w:rStyle w:val="normaltextrun"/>
                <w:b/>
                <w:sz w:val="22"/>
                <w:szCs w:val="22"/>
              </w:rPr>
              <w:t>lacebo alla Settimana 1</w:t>
            </w:r>
            <w:r w:rsidRPr="00612824">
              <w:rPr>
                <w:rStyle w:val="eop"/>
                <w:b/>
                <w:sz w:val="22"/>
                <w:szCs w:val="22"/>
              </w:rPr>
              <w:t> </w:t>
            </w:r>
          </w:p>
          <w:p w:rsidR="00B23A08" w:rsidRPr="00612824" w:rsidP="00986889" w14:paraId="6900F6AA" w14:textId="77777777">
            <w:pPr>
              <w:keepNext/>
              <w:jc w:val="center"/>
              <w:rPr>
                <w:sz w:val="22"/>
                <w:szCs w:val="22"/>
              </w:rPr>
            </w:pPr>
            <w:r w:rsidRPr="00612824">
              <w:rPr>
                <w:rStyle w:val="eop"/>
                <w:sz w:val="22"/>
                <w:szCs w:val="22"/>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23A08" w:rsidRPr="00B23A08" w:rsidP="00986889" w14:paraId="6503CAD9" w14:textId="77777777">
            <w:pPr>
              <w:pStyle w:val="paragraph0"/>
              <w:keepNext/>
              <w:spacing w:before="0" w:beforeAutospacing="0" w:after="0" w:afterAutospacing="0"/>
              <w:jc w:val="center"/>
              <w:textAlignment w:val="baseline"/>
              <w:rPr>
                <w:b/>
                <w:bCs/>
                <w:sz w:val="22"/>
                <w:szCs w:val="22"/>
              </w:rPr>
            </w:pPr>
            <w:r w:rsidRPr="00863077">
              <w:rPr>
                <w:rStyle w:val="spellingerror"/>
                <w:b/>
                <w:sz w:val="22"/>
                <w:szCs w:val="22"/>
              </w:rPr>
              <w:t>Humira</w:t>
            </w:r>
            <w:r w:rsidRPr="00863077">
              <w:rPr>
                <w:rStyle w:val="spellingerror"/>
                <w:b/>
                <w:sz w:val="22"/>
                <w:szCs w:val="22"/>
                <w:vertAlign w:val="superscript"/>
              </w:rPr>
              <w:t>b</w:t>
            </w:r>
            <w:r w:rsidRPr="00872134">
              <w:rPr>
                <w:rStyle w:val="normaltextrun"/>
                <w:b/>
                <w:sz w:val="22"/>
                <w:szCs w:val="22"/>
                <w:vertAlign w:val="superscript"/>
              </w:rPr>
              <w:t>,</w:t>
            </w:r>
            <w:r w:rsidRPr="00F40167">
              <w:rPr>
                <w:rStyle w:val="normaltextrun"/>
                <w:b/>
                <w:sz w:val="22"/>
                <w:szCs w:val="22"/>
                <w:vertAlign w:val="superscript"/>
              </w:rPr>
              <w:t xml:space="preserve"> c</w:t>
            </w:r>
            <w:r w:rsidRPr="00F40167">
              <w:rPr>
                <w:rStyle w:val="eop"/>
                <w:b/>
                <w:sz w:val="22"/>
                <w:szCs w:val="22"/>
              </w:rPr>
              <w:t> </w:t>
            </w:r>
          </w:p>
          <w:p w:rsidR="00B23A08" w:rsidRPr="00612824" w:rsidP="00986889" w14:paraId="5D89C0AB" w14:textId="77777777">
            <w:pPr>
              <w:keepNext/>
              <w:jc w:val="center"/>
              <w:rPr>
                <w:rStyle w:val="eop"/>
                <w:b/>
                <w:bCs/>
                <w:sz w:val="22"/>
                <w:szCs w:val="22"/>
              </w:rPr>
            </w:pPr>
            <w:r w:rsidRPr="00612824">
              <w:rPr>
                <w:rStyle w:val="normaltextrun"/>
                <w:b/>
                <w:sz w:val="22"/>
                <w:szCs w:val="22"/>
              </w:rPr>
              <w:t>Massimo 160 mg alla Settimana 0 e alla Settimana 1</w:t>
            </w:r>
            <w:r w:rsidRPr="00612824">
              <w:rPr>
                <w:rStyle w:val="eop"/>
                <w:b/>
                <w:sz w:val="22"/>
                <w:szCs w:val="22"/>
              </w:rPr>
              <w:t> </w:t>
            </w:r>
          </w:p>
          <w:p w:rsidR="00B23A08" w:rsidRPr="00612824" w:rsidP="00986889" w14:paraId="08B15829" w14:textId="77777777">
            <w:pPr>
              <w:keepNext/>
              <w:jc w:val="center"/>
              <w:rPr>
                <w:sz w:val="22"/>
                <w:szCs w:val="22"/>
              </w:rPr>
            </w:pPr>
            <w:r w:rsidRPr="00612824">
              <w:rPr>
                <w:rStyle w:val="eop"/>
                <w:sz w:val="22"/>
                <w:szCs w:val="22"/>
              </w:rPr>
              <w:t>N=47</w:t>
            </w:r>
          </w:p>
        </w:tc>
      </w:tr>
      <w:tr w14:paraId="642E9931" w14:textId="77777777" w:rsidTr="004E19B6">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23A08" w:rsidRPr="00612824" w:rsidP="00986889" w14:paraId="26285EF6" w14:textId="77777777">
            <w:pPr>
              <w:keepNext/>
              <w:rPr>
                <w:sz w:val="22"/>
                <w:szCs w:val="22"/>
              </w:rPr>
            </w:pPr>
            <w:r w:rsidRPr="00612824">
              <w:rPr>
                <w:sz w:val="22"/>
                <w:szCs w:val="22"/>
              </w:rPr>
              <w:t>Remissione clinica</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B23A08" w:rsidRPr="00612824" w:rsidP="00986889" w14:paraId="75CFCF1E" w14:textId="77777777">
            <w:pPr>
              <w:keepNext/>
              <w:jc w:val="center"/>
              <w:rPr>
                <w:sz w:val="22"/>
                <w:szCs w:val="22"/>
              </w:rPr>
            </w:pPr>
            <w:r w:rsidRPr="00612824">
              <w:rPr>
                <w:sz w:val="22"/>
                <w:szCs w:val="22"/>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23A08" w:rsidRPr="00612824" w:rsidP="00986889" w14:paraId="4049A43D" w14:textId="77777777">
            <w:pPr>
              <w:keepNext/>
              <w:jc w:val="center"/>
              <w:rPr>
                <w:sz w:val="22"/>
                <w:szCs w:val="22"/>
                <w:vertAlign w:val="superscript"/>
              </w:rPr>
            </w:pPr>
            <w:r w:rsidRPr="00612824">
              <w:rPr>
                <w:sz w:val="22"/>
                <w:szCs w:val="22"/>
              </w:rPr>
              <w:t>28/47 (59,6%)</w:t>
            </w:r>
          </w:p>
        </w:tc>
      </w:tr>
      <w:tr w14:paraId="4CC75913" w14:textId="77777777" w:rsidTr="004E19B6">
        <w:tblPrEx>
          <w:tblW w:w="4246" w:type="pct"/>
          <w:tblLook w:val="04A0"/>
        </w:tblPrEx>
        <w:trPr>
          <w:trHeight w:val="2517"/>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B23A08" w:rsidRPr="00B23A08" w:rsidP="004E19B6" w14:paraId="6AB7CF41" w14:textId="77777777">
            <w:pPr>
              <w:pStyle w:val="paragraph0"/>
              <w:spacing w:before="0" w:beforeAutospacing="0" w:after="0" w:afterAutospacing="0"/>
              <w:textAlignment w:val="baseline"/>
              <w:rPr>
                <w:sz w:val="22"/>
                <w:szCs w:val="22"/>
              </w:rPr>
            </w:pPr>
            <w:r w:rsidRPr="00863077">
              <w:rPr>
                <w:rStyle w:val="normaltextrun"/>
                <w:sz w:val="22"/>
                <w:szCs w:val="22"/>
                <w:vertAlign w:val="superscript"/>
              </w:rPr>
              <w:t>a</w:t>
            </w:r>
            <w:r w:rsidRPr="00863077">
              <w:rPr>
                <w:rStyle w:val="normaltextrun"/>
                <w:sz w:val="22"/>
                <w:szCs w:val="22"/>
              </w:rPr>
              <w:t>Humira</w:t>
            </w:r>
            <w:r w:rsidRPr="00872134">
              <w:rPr>
                <w:rStyle w:val="normaltextrun"/>
                <w:sz w:val="22"/>
                <w:szCs w:val="22"/>
              </w:rPr>
              <w:t xml:space="preserve"> 2,4 mg/kg (massimo 160 mg) alla Settimana 0, placebo alla Settimana 1 e 1,2 mg/kg (massimo 80 mg) alla Settimana 2</w:t>
            </w:r>
            <w:r w:rsidRPr="00F40167">
              <w:rPr>
                <w:rStyle w:val="eop"/>
                <w:sz w:val="22"/>
                <w:szCs w:val="22"/>
              </w:rPr>
              <w:t> </w:t>
            </w:r>
          </w:p>
          <w:p w:rsidR="00B23A08" w:rsidRPr="00B23A08" w:rsidP="004E19B6" w14:paraId="2896E461" w14:textId="77777777">
            <w:pPr>
              <w:pStyle w:val="paragraph0"/>
              <w:spacing w:before="0" w:beforeAutospacing="0" w:after="0" w:afterAutospacing="0"/>
              <w:textAlignment w:val="baseline"/>
              <w:rPr>
                <w:sz w:val="22"/>
                <w:szCs w:val="22"/>
              </w:rPr>
            </w:pPr>
            <w:r w:rsidRPr="00863077">
              <w:rPr>
                <w:rStyle w:val="normaltextrun"/>
                <w:sz w:val="22"/>
                <w:szCs w:val="22"/>
                <w:vertAlign w:val="superscript"/>
              </w:rPr>
              <w:t>b</w:t>
            </w:r>
            <w:r w:rsidRPr="00863077">
              <w:rPr>
                <w:rStyle w:val="normaltextrun"/>
                <w:sz w:val="22"/>
                <w:szCs w:val="22"/>
              </w:rPr>
              <w:t>Humira 2,4 mg/kg (massimo 160 mg) alla Settimana 0 e alla Settimana 1 e 1,2 mg/kg (massimo 80 mg) alla Settimana 2</w:t>
            </w:r>
            <w:r w:rsidRPr="00872134">
              <w:rPr>
                <w:rStyle w:val="eop"/>
                <w:sz w:val="22"/>
                <w:szCs w:val="22"/>
              </w:rPr>
              <w:t> </w:t>
            </w:r>
          </w:p>
          <w:p w:rsidR="00B23A08" w:rsidRPr="00B23A08" w:rsidP="004E19B6" w14:paraId="3FC42911" w14:textId="77777777">
            <w:pPr>
              <w:pStyle w:val="paragraph0"/>
              <w:spacing w:before="0" w:beforeAutospacing="0" w:after="0" w:afterAutospacing="0"/>
              <w:textAlignment w:val="baseline"/>
              <w:rPr>
                <w:sz w:val="22"/>
                <w:szCs w:val="22"/>
              </w:rPr>
            </w:pPr>
            <w:r w:rsidRPr="00863077">
              <w:rPr>
                <w:rStyle w:val="normaltextrun"/>
                <w:sz w:val="22"/>
                <w:szCs w:val="22"/>
                <w:vertAlign w:val="superscript"/>
              </w:rPr>
              <w:t>c</w:t>
            </w:r>
            <w:r w:rsidRPr="00863077">
              <w:rPr>
                <w:rStyle w:val="normaltextrun"/>
                <w:sz w:val="22"/>
                <w:szCs w:val="22"/>
              </w:rPr>
              <w:t>Senza</w:t>
            </w:r>
            <w:r w:rsidRPr="00872134">
              <w:rPr>
                <w:rStyle w:val="normaltextrun"/>
                <w:sz w:val="22"/>
                <w:szCs w:val="22"/>
              </w:rPr>
              <w:t xml:space="preserve"> includere la dose di </w:t>
            </w:r>
            <w:r w:rsidR="00103FAE">
              <w:rPr>
                <w:rStyle w:val="normaltextrun"/>
                <w:sz w:val="22"/>
                <w:szCs w:val="22"/>
              </w:rPr>
              <w:t>I</w:t>
            </w:r>
            <w:r w:rsidRPr="00872134">
              <w:rPr>
                <w:rStyle w:val="normaltextrun"/>
                <w:sz w:val="22"/>
                <w:szCs w:val="22"/>
              </w:rPr>
              <w:t>nduzione in aperto di Humira 2,4 mg/kg (massimo 160 mg) alla Settimana 0 e alla Settimana 1 e 1,2 mg/kg (massimo 80 mg) alla Settima</w:t>
            </w:r>
            <w:r w:rsidRPr="00F40167">
              <w:rPr>
                <w:rStyle w:val="normaltextrun"/>
                <w:sz w:val="22"/>
                <w:szCs w:val="22"/>
              </w:rPr>
              <w:t>na 2</w:t>
            </w:r>
          </w:p>
          <w:p w:rsidR="00B23A08" w:rsidRPr="00B23A08" w:rsidP="004E19B6" w14:paraId="6368441F" w14:textId="77777777">
            <w:pPr>
              <w:pStyle w:val="paragraph0"/>
              <w:spacing w:before="0" w:beforeAutospacing="0" w:after="0" w:afterAutospacing="0"/>
              <w:textAlignment w:val="baseline"/>
              <w:rPr>
                <w:sz w:val="22"/>
                <w:szCs w:val="22"/>
              </w:rPr>
            </w:pPr>
            <w:r w:rsidRPr="00863077">
              <w:rPr>
                <w:rStyle w:val="normaltextrun"/>
                <w:sz w:val="22"/>
                <w:szCs w:val="22"/>
              </w:rPr>
              <w:t>Nota 1: entrambi i gruppi di induzione hanno ricevuto 0,6 mg/kg (massimo 40 mg) alla Settimana 4</w:t>
            </w:r>
            <w:r w:rsidRPr="00872134">
              <w:rPr>
                <w:rStyle w:val="normaltextrun"/>
                <w:sz w:val="22"/>
                <w:szCs w:val="22"/>
              </w:rPr>
              <w:t xml:space="preserve"> e alla Settimana 6</w:t>
            </w:r>
            <w:r w:rsidRPr="00F40167">
              <w:rPr>
                <w:rStyle w:val="eop"/>
                <w:sz w:val="22"/>
                <w:szCs w:val="22"/>
              </w:rPr>
              <w:t> </w:t>
            </w:r>
          </w:p>
          <w:p w:rsidR="00B23A08" w:rsidRPr="00B23A08" w:rsidP="004E19B6" w14:paraId="320A3606" w14:textId="77777777">
            <w:pPr>
              <w:pStyle w:val="paragraph0"/>
              <w:spacing w:before="0" w:beforeAutospacing="0" w:after="0" w:afterAutospacing="0"/>
              <w:textAlignment w:val="baseline"/>
              <w:rPr>
                <w:sz w:val="22"/>
                <w:szCs w:val="22"/>
              </w:rPr>
            </w:pPr>
            <w:r w:rsidRPr="00863077">
              <w:rPr>
                <w:rStyle w:val="normaltextrun"/>
                <w:sz w:val="22"/>
                <w:szCs w:val="22"/>
              </w:rPr>
              <w:t xml:space="preserve">Nota 2: i pazienti con valori mancanti alla Settimana 8 sono stati considerati come non aver </w:t>
            </w:r>
            <w:r w:rsidRPr="00103FAE" w:rsidR="00103FAE">
              <w:rPr>
                <w:rStyle w:val="normaltextrun"/>
                <w:sz w:val="22"/>
                <w:szCs w:val="22"/>
              </w:rPr>
              <w:t>r</w:t>
            </w:r>
            <w:r w:rsidRPr="00C04163" w:rsidR="00103FAE">
              <w:rPr>
                <w:rStyle w:val="normaltextrun"/>
                <w:sz w:val="22"/>
                <w:szCs w:val="22"/>
              </w:rPr>
              <w:t>aggiunto</w:t>
            </w:r>
            <w:r w:rsidR="00103FAE">
              <w:rPr>
                <w:rStyle w:val="normaltextrun"/>
              </w:rPr>
              <w:t xml:space="preserve"> </w:t>
            </w:r>
            <w:r w:rsidRPr="00863077">
              <w:rPr>
                <w:rStyle w:val="normaltextrun"/>
                <w:sz w:val="22"/>
                <w:szCs w:val="22"/>
              </w:rPr>
              <w:t>l'endpoint</w:t>
            </w:r>
            <w:r w:rsidRPr="00872134">
              <w:rPr>
                <w:rStyle w:val="eop"/>
                <w:sz w:val="22"/>
                <w:szCs w:val="22"/>
              </w:rPr>
              <w:t> </w:t>
            </w:r>
          </w:p>
        </w:tc>
      </w:tr>
    </w:tbl>
    <w:p w:rsidR="00B23A08" w:rsidRPr="00612824" w:rsidP="00B23A08" w14:paraId="16B10007" w14:textId="77777777">
      <w:pPr>
        <w:rPr>
          <w:sz w:val="22"/>
          <w:szCs w:val="22"/>
        </w:rPr>
      </w:pPr>
    </w:p>
    <w:p w:rsidR="00B23A08" w:rsidRPr="00612824" w:rsidP="00B23A08" w14:paraId="1F5AC305" w14:textId="77777777">
      <w:pPr>
        <w:rPr>
          <w:sz w:val="22"/>
          <w:szCs w:val="22"/>
        </w:rPr>
      </w:pPr>
      <w:r w:rsidRPr="005E345C">
        <w:rPr>
          <w:rStyle w:val="normaltextrun"/>
          <w:sz w:val="22"/>
          <w:szCs w:val="22"/>
          <w:shd w:val="clear" w:color="auto" w:fill="FFFFFF"/>
        </w:rPr>
        <w:t xml:space="preserve">Alla Settimana 52, nei pazienti che </w:t>
      </w:r>
      <w:r>
        <w:rPr>
          <w:rStyle w:val="normaltextrun"/>
          <w:sz w:val="22"/>
          <w:szCs w:val="22"/>
          <w:shd w:val="clear" w:color="auto" w:fill="FFFFFF"/>
        </w:rPr>
        <w:t>avevano</w:t>
      </w:r>
      <w:r w:rsidRPr="005E345C">
        <w:rPr>
          <w:rStyle w:val="normaltextrun"/>
          <w:sz w:val="22"/>
          <w:szCs w:val="22"/>
          <w:shd w:val="clear" w:color="auto" w:fill="FFFFFF"/>
        </w:rPr>
        <w:t xml:space="preserve"> ricevuto Humira alle dosi di mantenimento massima in doppio cieco di 40 mg </w:t>
      </w:r>
      <w:r>
        <w:rPr>
          <w:rStyle w:val="spellingerror"/>
          <w:sz w:val="22"/>
          <w:szCs w:val="22"/>
          <w:shd w:val="clear" w:color="auto" w:fill="FFFFFF"/>
        </w:rPr>
        <w:t>a settimane alterne</w:t>
      </w:r>
      <w:r w:rsidRPr="005E345C">
        <w:rPr>
          <w:rStyle w:val="normaltextrun"/>
          <w:sz w:val="22"/>
          <w:szCs w:val="22"/>
          <w:shd w:val="clear" w:color="auto" w:fill="FFFFFF"/>
        </w:rPr>
        <w:t xml:space="preserve"> (0,6 mg/kg) e massima di 40 mg </w:t>
      </w:r>
      <w:r>
        <w:rPr>
          <w:rStyle w:val="spellingerror"/>
          <w:sz w:val="22"/>
          <w:szCs w:val="22"/>
          <w:shd w:val="clear" w:color="auto" w:fill="FFFFFF"/>
        </w:rPr>
        <w:t>a settimana</w:t>
      </w:r>
      <w:r w:rsidRPr="005E345C">
        <w:rPr>
          <w:rStyle w:val="normaltextrun"/>
          <w:sz w:val="22"/>
          <w:szCs w:val="22"/>
          <w:shd w:val="clear" w:color="auto" w:fill="FFFFFF"/>
        </w:rPr>
        <w:t xml:space="preserve"> (0,6 mg/kg)</w:t>
      </w:r>
      <w:r>
        <w:rPr>
          <w:rStyle w:val="normaltextrun"/>
          <w:sz w:val="22"/>
          <w:szCs w:val="22"/>
          <w:shd w:val="clear" w:color="auto" w:fill="FFFFFF"/>
        </w:rPr>
        <w:t xml:space="preserve">, sono state valutate </w:t>
      </w:r>
      <w:r w:rsidRPr="005E345C">
        <w:rPr>
          <w:rStyle w:val="normaltextrun"/>
          <w:sz w:val="22"/>
          <w:szCs w:val="22"/>
          <w:shd w:val="clear" w:color="auto" w:fill="FFFFFF"/>
        </w:rPr>
        <w:t>la remissione clinica come indicato dal FMS nei responder alla Settimana 8, la risposta clinica come indicato dal FMS (definita come una diminuzione del Mayo Score ≥ 3 punti e ≥ 30% dal basale) nei responder alla Settimana 8, la guarigione dell</w:t>
      </w:r>
      <w:r>
        <w:rPr>
          <w:rStyle w:val="normaltextrun"/>
          <w:sz w:val="22"/>
          <w:szCs w:val="22"/>
          <w:shd w:val="clear" w:color="auto" w:fill="FFFFFF"/>
        </w:rPr>
        <w:t>a</w:t>
      </w:r>
      <w:r w:rsidRPr="005E345C">
        <w:rPr>
          <w:rStyle w:val="normaltextrun"/>
          <w:sz w:val="22"/>
          <w:szCs w:val="22"/>
          <w:shd w:val="clear" w:color="auto" w:fill="FFFFFF"/>
        </w:rPr>
        <w:t xml:space="preserve"> mucos</w:t>
      </w:r>
      <w:r>
        <w:rPr>
          <w:rStyle w:val="normaltextrun"/>
          <w:sz w:val="22"/>
          <w:szCs w:val="22"/>
          <w:shd w:val="clear" w:color="auto" w:fill="FFFFFF"/>
        </w:rPr>
        <w:t>a</w:t>
      </w:r>
      <w:r w:rsidRPr="005E345C">
        <w:rPr>
          <w:rStyle w:val="normaltextrun"/>
          <w:sz w:val="22"/>
          <w:szCs w:val="22"/>
          <w:shd w:val="clear" w:color="auto" w:fill="FFFFFF"/>
        </w:rPr>
        <w:t xml:space="preserve"> (definita come Mayo </w:t>
      </w:r>
      <w:r w:rsidR="003649B7">
        <w:rPr>
          <w:rStyle w:val="normaltextrun"/>
          <w:sz w:val="22"/>
          <w:szCs w:val="22"/>
          <w:shd w:val="clear" w:color="auto" w:fill="FFFFFF"/>
        </w:rPr>
        <w:t>subs</w:t>
      </w:r>
      <w:r w:rsidRPr="005E345C">
        <w:rPr>
          <w:rStyle w:val="normaltextrun"/>
          <w:sz w:val="22"/>
          <w:szCs w:val="22"/>
          <w:shd w:val="clear" w:color="auto" w:fill="FFFFFF"/>
        </w:rPr>
        <w:t>core per endoscopia ≤ 1) nei responder alla Settimana 8, la remissione clinica come indicato dal FMS nei soggetti in remissione alla Settimana 8 e la proporzione di soggetti in remissione senza corticosteroidi come indicato dal FMS nei responder alla Settimana 8</w:t>
      </w:r>
      <w:r>
        <w:rPr>
          <w:rStyle w:val="normaltextrun"/>
          <w:sz w:val="22"/>
          <w:szCs w:val="22"/>
          <w:shd w:val="clear" w:color="auto" w:fill="FFFFFF"/>
        </w:rPr>
        <w:t xml:space="preserve"> </w:t>
      </w:r>
      <w:r w:rsidRPr="00612824">
        <w:rPr>
          <w:rStyle w:val="normaltextrun"/>
          <w:sz w:val="22"/>
          <w:szCs w:val="22"/>
          <w:shd w:val="clear" w:color="auto" w:fill="FFFFFF"/>
        </w:rPr>
        <w:t>(Tabella 32).</w:t>
      </w:r>
    </w:p>
    <w:p w:rsidR="00B23A08" w:rsidRPr="00612824" w:rsidP="00B23A08" w14:paraId="77F84C50" w14:textId="77777777">
      <w:pPr>
        <w:jc w:val="center"/>
        <w:textAlignment w:val="baseline"/>
        <w:rPr>
          <w:b/>
          <w:sz w:val="22"/>
          <w:szCs w:val="22"/>
          <w:lang w:eastAsia="en-GB"/>
        </w:rPr>
      </w:pPr>
    </w:p>
    <w:p w:rsidR="00B23A08" w:rsidRPr="00612824" w:rsidP="00612824" w14:paraId="0B948D6E" w14:textId="77777777">
      <w:pPr>
        <w:keepNext/>
        <w:jc w:val="center"/>
        <w:textAlignment w:val="baseline"/>
        <w:rPr>
          <w:b/>
          <w:sz w:val="22"/>
          <w:szCs w:val="22"/>
        </w:rPr>
      </w:pPr>
      <w:r w:rsidRPr="00612824">
        <w:rPr>
          <w:b/>
          <w:sz w:val="22"/>
          <w:szCs w:val="22"/>
        </w:rPr>
        <w:t xml:space="preserve">Tabella 32: Risultati di </w:t>
      </w:r>
      <w:r w:rsidR="00103FAE">
        <w:rPr>
          <w:b/>
          <w:sz w:val="22"/>
          <w:szCs w:val="22"/>
        </w:rPr>
        <w:t>E</w:t>
      </w:r>
      <w:r w:rsidRPr="00612824">
        <w:rPr>
          <w:b/>
          <w:sz w:val="22"/>
          <w:szCs w:val="22"/>
        </w:rPr>
        <w:t xml:space="preserve">fficacia a 52 </w:t>
      </w:r>
      <w:r w:rsidR="00103FAE">
        <w:rPr>
          <w:b/>
          <w:sz w:val="22"/>
          <w:szCs w:val="22"/>
        </w:rPr>
        <w:t>S</w:t>
      </w:r>
      <w:r w:rsidRPr="00612824">
        <w:rPr>
          <w:b/>
          <w:sz w:val="22"/>
          <w:szCs w:val="22"/>
        </w:rPr>
        <w:t>ettimane </w:t>
      </w: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409"/>
        <w:gridCol w:w="2633"/>
      </w:tblGrid>
      <w:tr w14:paraId="4C77AAD1" w14:textId="77777777" w:rsidTr="004E19B6">
        <w:tblPrEx>
          <w:tblW w:w="7568" w:type="dxa"/>
          <w:tblLook w:val="04A0"/>
        </w:tblPrEx>
        <w:trPr>
          <w:trHeight w:val="912"/>
        </w:trPr>
        <w:tc>
          <w:tcPr>
            <w:tcW w:w="2526" w:type="dxa"/>
            <w:tcBorders>
              <w:top w:val="single" w:sz="6" w:space="0" w:color="auto"/>
              <w:left w:val="single" w:sz="6" w:space="0" w:color="auto"/>
              <w:bottom w:val="single" w:sz="6" w:space="0" w:color="auto"/>
              <w:right w:val="single" w:sz="6" w:space="0" w:color="auto"/>
            </w:tcBorders>
            <w:hideMark/>
          </w:tcPr>
          <w:p w:rsidR="00B23A08" w:rsidRPr="00612824" w:rsidP="004E19B6" w14:paraId="5D026BE2" w14:textId="77777777">
            <w:pPr>
              <w:jc w:val="center"/>
              <w:textAlignment w:val="baseline"/>
              <w:rPr>
                <w:sz w:val="22"/>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rsidR="00B23A08" w:rsidRPr="00612824" w:rsidP="004E19B6" w14:paraId="40F19C69" w14:textId="77777777">
            <w:pPr>
              <w:jc w:val="center"/>
              <w:textAlignment w:val="baseline"/>
              <w:rPr>
                <w:sz w:val="22"/>
                <w:szCs w:val="22"/>
              </w:rPr>
            </w:pPr>
            <w:r w:rsidRPr="00612824">
              <w:rPr>
                <w:b/>
                <w:sz w:val="22"/>
                <w:szCs w:val="22"/>
              </w:rPr>
              <w:t>Humira</w:t>
            </w:r>
            <w:r w:rsidRPr="00612824">
              <w:rPr>
                <w:b/>
                <w:sz w:val="22"/>
                <w:szCs w:val="22"/>
                <w:vertAlign w:val="superscript"/>
              </w:rPr>
              <w:t>a</w:t>
            </w:r>
            <w:r w:rsidRPr="00612824">
              <w:rPr>
                <w:b/>
                <w:sz w:val="22"/>
                <w:szCs w:val="22"/>
              </w:rPr>
              <w:t> </w:t>
            </w:r>
            <w:r w:rsidRPr="00612824">
              <w:rPr>
                <w:sz w:val="22"/>
                <w:szCs w:val="22"/>
              </w:rPr>
              <w:t> </w:t>
            </w:r>
          </w:p>
          <w:p w:rsidR="00B23A08" w:rsidRPr="00612824" w:rsidP="004E19B6" w14:paraId="100A43C9" w14:textId="77777777">
            <w:pPr>
              <w:jc w:val="center"/>
              <w:textAlignment w:val="baseline"/>
              <w:rPr>
                <w:sz w:val="22"/>
                <w:szCs w:val="22"/>
              </w:rPr>
            </w:pPr>
            <w:r w:rsidRPr="00612824">
              <w:rPr>
                <w:b/>
                <w:sz w:val="22"/>
                <w:szCs w:val="22"/>
              </w:rPr>
              <w:t xml:space="preserve">Massimo 40 mg </w:t>
            </w:r>
            <w:r w:rsidR="00103FAE">
              <w:rPr>
                <w:b/>
                <w:sz w:val="22"/>
                <w:szCs w:val="22"/>
              </w:rPr>
              <w:t>a settimane alterne</w:t>
            </w:r>
            <w:r w:rsidRPr="00612824">
              <w:rPr>
                <w:sz w:val="22"/>
                <w:szCs w:val="22"/>
              </w:rPr>
              <w:t> </w:t>
            </w:r>
          </w:p>
          <w:p w:rsidR="00B23A08" w:rsidRPr="00612824" w:rsidP="004E19B6" w14:paraId="74D72F1D" w14:textId="77777777">
            <w:pPr>
              <w:jc w:val="center"/>
              <w:textAlignment w:val="baseline"/>
              <w:rPr>
                <w:sz w:val="22"/>
                <w:szCs w:val="22"/>
              </w:rPr>
            </w:pPr>
            <w:r w:rsidRPr="00612824">
              <w:rPr>
                <w:sz w:val="22"/>
                <w:szCs w:val="22"/>
              </w:rPr>
              <w:t>N=31</w:t>
            </w:r>
          </w:p>
        </w:tc>
        <w:tc>
          <w:tcPr>
            <w:tcW w:w="2633" w:type="dxa"/>
            <w:tcBorders>
              <w:top w:val="single" w:sz="6" w:space="0" w:color="auto"/>
              <w:left w:val="nil"/>
              <w:bottom w:val="single" w:sz="6" w:space="0" w:color="auto"/>
              <w:right w:val="single" w:sz="6" w:space="0" w:color="auto"/>
            </w:tcBorders>
            <w:vAlign w:val="center"/>
            <w:hideMark/>
          </w:tcPr>
          <w:p w:rsidR="00B23A08" w:rsidRPr="00612824" w:rsidP="004E19B6" w14:paraId="7E37551B" w14:textId="77777777">
            <w:pPr>
              <w:jc w:val="center"/>
              <w:textAlignment w:val="baseline"/>
              <w:rPr>
                <w:sz w:val="22"/>
                <w:szCs w:val="22"/>
              </w:rPr>
            </w:pPr>
            <w:r w:rsidRPr="00612824">
              <w:rPr>
                <w:b/>
                <w:sz w:val="22"/>
                <w:szCs w:val="22"/>
              </w:rPr>
              <w:t>Humira</w:t>
            </w:r>
            <w:r w:rsidRPr="00612824">
              <w:rPr>
                <w:b/>
                <w:sz w:val="22"/>
                <w:szCs w:val="22"/>
                <w:vertAlign w:val="superscript"/>
              </w:rPr>
              <w:t>b</w:t>
            </w:r>
            <w:r w:rsidRPr="00612824">
              <w:rPr>
                <w:b/>
                <w:sz w:val="22"/>
                <w:szCs w:val="22"/>
              </w:rPr>
              <w:t> </w:t>
            </w:r>
            <w:r w:rsidRPr="00612824">
              <w:rPr>
                <w:sz w:val="22"/>
                <w:szCs w:val="22"/>
              </w:rPr>
              <w:t> </w:t>
            </w:r>
          </w:p>
          <w:p w:rsidR="00B23A08" w:rsidRPr="00612824" w:rsidP="004E19B6" w14:paraId="2BC8EA77" w14:textId="77777777">
            <w:pPr>
              <w:jc w:val="center"/>
              <w:textAlignment w:val="baseline"/>
              <w:rPr>
                <w:sz w:val="22"/>
                <w:szCs w:val="22"/>
              </w:rPr>
            </w:pPr>
            <w:r w:rsidRPr="00612824">
              <w:rPr>
                <w:b/>
                <w:sz w:val="22"/>
                <w:szCs w:val="22"/>
              </w:rPr>
              <w:t>Massimo 40 mg </w:t>
            </w:r>
            <w:r w:rsidR="00103FAE">
              <w:rPr>
                <w:b/>
                <w:sz w:val="22"/>
                <w:szCs w:val="22"/>
              </w:rPr>
              <w:t>a settimana</w:t>
            </w:r>
            <w:r w:rsidRPr="00612824">
              <w:rPr>
                <w:sz w:val="22"/>
                <w:szCs w:val="22"/>
              </w:rPr>
              <w:t> </w:t>
            </w:r>
          </w:p>
          <w:p w:rsidR="00B23A08" w:rsidRPr="00612824" w:rsidP="004E19B6" w14:paraId="55D7A23C" w14:textId="77777777">
            <w:pPr>
              <w:jc w:val="center"/>
              <w:textAlignment w:val="baseline"/>
              <w:rPr>
                <w:sz w:val="22"/>
                <w:szCs w:val="22"/>
              </w:rPr>
            </w:pPr>
            <w:r w:rsidRPr="00612824">
              <w:rPr>
                <w:sz w:val="22"/>
                <w:szCs w:val="22"/>
              </w:rPr>
              <w:t>N=31</w:t>
            </w:r>
          </w:p>
        </w:tc>
      </w:tr>
      <w:tr w14:paraId="29385B32" w14:textId="77777777" w:rsidTr="004E19B6">
        <w:tblPrEx>
          <w:tblW w:w="7568" w:type="dxa"/>
          <w:tblLook w:val="04A0"/>
        </w:tblPrEx>
        <w:trPr>
          <w:trHeight w:val="570"/>
        </w:trPr>
        <w:tc>
          <w:tcPr>
            <w:tcW w:w="2526" w:type="dxa"/>
            <w:tcBorders>
              <w:top w:val="nil"/>
              <w:left w:val="single" w:sz="6" w:space="0" w:color="auto"/>
              <w:bottom w:val="single" w:sz="6" w:space="0" w:color="auto"/>
              <w:right w:val="single" w:sz="6" w:space="0" w:color="auto"/>
            </w:tcBorders>
            <w:vAlign w:val="center"/>
            <w:hideMark/>
          </w:tcPr>
          <w:p w:rsidR="00B23A08" w:rsidRPr="00612824" w:rsidP="004E19B6" w14:paraId="25E0F7A8" w14:textId="77777777">
            <w:pPr>
              <w:textAlignment w:val="baseline"/>
              <w:rPr>
                <w:sz w:val="22"/>
                <w:szCs w:val="22"/>
              </w:rPr>
            </w:pPr>
            <w:r w:rsidRPr="00612824">
              <w:rPr>
                <w:sz w:val="22"/>
                <w:szCs w:val="22"/>
              </w:rPr>
              <w:t>Remissione clinica nei responder PMS alla Settimana 8 </w:t>
            </w:r>
          </w:p>
        </w:tc>
        <w:tc>
          <w:tcPr>
            <w:tcW w:w="2409" w:type="dxa"/>
            <w:tcBorders>
              <w:top w:val="nil"/>
              <w:left w:val="nil"/>
              <w:bottom w:val="single" w:sz="6" w:space="0" w:color="auto"/>
              <w:right w:val="single" w:sz="6" w:space="0" w:color="auto"/>
            </w:tcBorders>
            <w:vAlign w:val="center"/>
            <w:hideMark/>
          </w:tcPr>
          <w:p w:rsidR="00B23A08" w:rsidRPr="00612824" w:rsidP="004E19B6" w14:paraId="4289B8CE" w14:textId="77777777">
            <w:pPr>
              <w:jc w:val="center"/>
              <w:textAlignment w:val="baseline"/>
              <w:rPr>
                <w:sz w:val="22"/>
                <w:szCs w:val="22"/>
              </w:rPr>
            </w:pPr>
            <w:r w:rsidRPr="00612824">
              <w:rPr>
                <w:sz w:val="22"/>
                <w:szCs w:val="22"/>
              </w:rPr>
              <w:t>9/31 (29,0%) </w:t>
            </w:r>
          </w:p>
        </w:tc>
        <w:tc>
          <w:tcPr>
            <w:tcW w:w="2633" w:type="dxa"/>
            <w:tcBorders>
              <w:top w:val="nil"/>
              <w:left w:val="nil"/>
              <w:bottom w:val="single" w:sz="6" w:space="0" w:color="auto"/>
              <w:right w:val="single" w:sz="6" w:space="0" w:color="auto"/>
            </w:tcBorders>
            <w:vAlign w:val="center"/>
            <w:hideMark/>
          </w:tcPr>
          <w:p w:rsidR="00B23A08" w:rsidRPr="00612824" w:rsidP="004E19B6" w14:paraId="38838955" w14:textId="77777777">
            <w:pPr>
              <w:jc w:val="center"/>
              <w:textAlignment w:val="baseline"/>
              <w:rPr>
                <w:sz w:val="22"/>
                <w:szCs w:val="22"/>
              </w:rPr>
            </w:pPr>
            <w:r w:rsidRPr="00612824">
              <w:rPr>
                <w:sz w:val="22"/>
                <w:szCs w:val="22"/>
              </w:rPr>
              <w:t>14/31 (45,2%)</w:t>
            </w:r>
          </w:p>
        </w:tc>
      </w:tr>
      <w:tr w14:paraId="58DE1413" w14:textId="77777777" w:rsidTr="004E19B6">
        <w:tblPrEx>
          <w:tblW w:w="7568" w:type="dxa"/>
          <w:tblLook w:val="04A0"/>
        </w:tblPrEx>
        <w:trPr>
          <w:trHeight w:val="555"/>
        </w:trPr>
        <w:tc>
          <w:tcPr>
            <w:tcW w:w="2526" w:type="dxa"/>
            <w:tcBorders>
              <w:top w:val="nil"/>
              <w:left w:val="single" w:sz="6" w:space="0" w:color="auto"/>
              <w:bottom w:val="single" w:sz="6" w:space="0" w:color="auto"/>
              <w:right w:val="single" w:sz="6" w:space="0" w:color="auto"/>
            </w:tcBorders>
            <w:vAlign w:val="center"/>
            <w:hideMark/>
          </w:tcPr>
          <w:p w:rsidR="00B23A08" w:rsidRPr="00612824" w:rsidP="004E19B6" w14:paraId="720F546B" w14:textId="77777777">
            <w:pPr>
              <w:textAlignment w:val="baseline"/>
              <w:rPr>
                <w:sz w:val="22"/>
                <w:szCs w:val="22"/>
              </w:rPr>
            </w:pPr>
            <w:r w:rsidRPr="00612824">
              <w:rPr>
                <w:sz w:val="22"/>
                <w:szCs w:val="22"/>
              </w:rPr>
              <w:t>Risposta clinica nei responder PMS alla Settimana 8 </w:t>
            </w:r>
          </w:p>
        </w:tc>
        <w:tc>
          <w:tcPr>
            <w:tcW w:w="2409" w:type="dxa"/>
            <w:tcBorders>
              <w:top w:val="nil"/>
              <w:left w:val="nil"/>
              <w:bottom w:val="single" w:sz="6" w:space="0" w:color="auto"/>
              <w:right w:val="single" w:sz="6" w:space="0" w:color="auto"/>
            </w:tcBorders>
            <w:vAlign w:val="center"/>
            <w:hideMark/>
          </w:tcPr>
          <w:p w:rsidR="00B23A08" w:rsidRPr="00612824" w:rsidP="004E19B6" w14:paraId="5126831B" w14:textId="77777777">
            <w:pPr>
              <w:jc w:val="center"/>
              <w:textAlignment w:val="baseline"/>
              <w:rPr>
                <w:sz w:val="22"/>
                <w:szCs w:val="22"/>
              </w:rPr>
            </w:pPr>
            <w:r w:rsidRPr="00612824">
              <w:rPr>
                <w:sz w:val="22"/>
                <w:szCs w:val="22"/>
              </w:rPr>
              <w:t>19/31 (61,3%) </w:t>
            </w:r>
          </w:p>
        </w:tc>
        <w:tc>
          <w:tcPr>
            <w:tcW w:w="2633" w:type="dxa"/>
            <w:tcBorders>
              <w:top w:val="nil"/>
              <w:left w:val="nil"/>
              <w:bottom w:val="single" w:sz="6" w:space="0" w:color="auto"/>
              <w:right w:val="single" w:sz="6" w:space="0" w:color="auto"/>
            </w:tcBorders>
            <w:vAlign w:val="center"/>
            <w:hideMark/>
          </w:tcPr>
          <w:p w:rsidR="00B23A08" w:rsidRPr="00612824" w:rsidP="004E19B6" w14:paraId="4D8094ED" w14:textId="77777777">
            <w:pPr>
              <w:jc w:val="center"/>
              <w:textAlignment w:val="baseline"/>
              <w:rPr>
                <w:sz w:val="22"/>
                <w:szCs w:val="22"/>
              </w:rPr>
            </w:pPr>
            <w:r w:rsidRPr="00612824">
              <w:rPr>
                <w:sz w:val="22"/>
                <w:szCs w:val="22"/>
              </w:rPr>
              <w:t>21/31 (67,7%) </w:t>
            </w:r>
          </w:p>
        </w:tc>
      </w:tr>
      <w:tr w14:paraId="7919F071" w14:textId="77777777" w:rsidTr="004E19B6">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B23A08" w:rsidRPr="00612824" w:rsidP="004E19B6" w14:paraId="5AB4FDC9" w14:textId="77777777">
            <w:pPr>
              <w:textAlignment w:val="baseline"/>
              <w:rPr>
                <w:sz w:val="22"/>
                <w:szCs w:val="22"/>
              </w:rPr>
            </w:pPr>
            <w:r w:rsidRPr="00612824">
              <w:rPr>
                <w:sz w:val="22"/>
                <w:szCs w:val="22"/>
              </w:rPr>
              <w:t>Guarigione dell</w:t>
            </w:r>
            <w:r w:rsidR="00CB3C81">
              <w:rPr>
                <w:sz w:val="22"/>
                <w:szCs w:val="22"/>
              </w:rPr>
              <w:t>a</w:t>
            </w:r>
            <w:r w:rsidRPr="00612824">
              <w:rPr>
                <w:sz w:val="22"/>
                <w:szCs w:val="22"/>
              </w:rPr>
              <w:t xml:space="preserve"> mucos</w:t>
            </w:r>
            <w:r w:rsidR="00CB3C81">
              <w:rPr>
                <w:sz w:val="22"/>
                <w:szCs w:val="22"/>
              </w:rPr>
              <w:t>a</w:t>
            </w:r>
            <w:r w:rsidRPr="00612824">
              <w:rPr>
                <w:sz w:val="22"/>
                <w:szCs w:val="22"/>
              </w:rPr>
              <w:t xml:space="preserve"> nei responder PMS alla Settimana 8 </w:t>
            </w:r>
          </w:p>
        </w:tc>
        <w:tc>
          <w:tcPr>
            <w:tcW w:w="2409" w:type="dxa"/>
            <w:tcBorders>
              <w:top w:val="nil"/>
              <w:left w:val="nil"/>
              <w:bottom w:val="single" w:sz="6" w:space="0" w:color="auto"/>
              <w:right w:val="single" w:sz="6" w:space="0" w:color="auto"/>
            </w:tcBorders>
            <w:vAlign w:val="center"/>
            <w:hideMark/>
          </w:tcPr>
          <w:p w:rsidR="00B23A08" w:rsidRPr="00612824" w:rsidP="004E19B6" w14:paraId="6C78DC89" w14:textId="77777777">
            <w:pPr>
              <w:jc w:val="center"/>
              <w:textAlignment w:val="baseline"/>
              <w:rPr>
                <w:sz w:val="22"/>
                <w:szCs w:val="22"/>
              </w:rPr>
            </w:pPr>
            <w:r w:rsidRPr="00612824">
              <w:rPr>
                <w:sz w:val="22"/>
                <w:szCs w:val="22"/>
              </w:rPr>
              <w:t>12/31 (38,7%) </w:t>
            </w:r>
          </w:p>
        </w:tc>
        <w:tc>
          <w:tcPr>
            <w:tcW w:w="2633" w:type="dxa"/>
            <w:tcBorders>
              <w:top w:val="nil"/>
              <w:left w:val="nil"/>
              <w:bottom w:val="single" w:sz="6" w:space="0" w:color="auto"/>
              <w:right w:val="single" w:sz="6" w:space="0" w:color="auto"/>
            </w:tcBorders>
            <w:vAlign w:val="center"/>
            <w:hideMark/>
          </w:tcPr>
          <w:p w:rsidR="00B23A08" w:rsidRPr="00612824" w:rsidP="004E19B6" w14:paraId="73B16FC6" w14:textId="77777777">
            <w:pPr>
              <w:jc w:val="center"/>
              <w:textAlignment w:val="baseline"/>
              <w:rPr>
                <w:sz w:val="22"/>
                <w:szCs w:val="22"/>
              </w:rPr>
            </w:pPr>
            <w:r w:rsidRPr="00612824">
              <w:rPr>
                <w:sz w:val="22"/>
                <w:szCs w:val="22"/>
              </w:rPr>
              <w:t>16/31 (51,6%) </w:t>
            </w:r>
          </w:p>
        </w:tc>
      </w:tr>
      <w:tr w14:paraId="77E4FD18" w14:textId="77777777" w:rsidTr="004E19B6">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B23A08" w:rsidRPr="00612824" w:rsidP="004E19B6" w14:paraId="732A2672" w14:textId="77777777">
            <w:pPr>
              <w:textAlignment w:val="baseline"/>
              <w:rPr>
                <w:sz w:val="22"/>
                <w:szCs w:val="22"/>
              </w:rPr>
            </w:pPr>
            <w:r w:rsidRPr="00612824">
              <w:rPr>
                <w:sz w:val="22"/>
                <w:szCs w:val="22"/>
              </w:rPr>
              <w:t>Remissione clinica nei soggetti in remissione PMS alla Settimana 8 </w:t>
            </w:r>
          </w:p>
        </w:tc>
        <w:tc>
          <w:tcPr>
            <w:tcW w:w="2409" w:type="dxa"/>
            <w:tcBorders>
              <w:top w:val="nil"/>
              <w:left w:val="nil"/>
              <w:bottom w:val="single" w:sz="6" w:space="0" w:color="auto"/>
              <w:right w:val="single" w:sz="6" w:space="0" w:color="auto"/>
            </w:tcBorders>
            <w:vAlign w:val="center"/>
            <w:hideMark/>
          </w:tcPr>
          <w:p w:rsidR="00B23A08" w:rsidRPr="00612824" w:rsidP="004E19B6" w14:paraId="3311C5F2" w14:textId="77777777">
            <w:pPr>
              <w:jc w:val="center"/>
              <w:textAlignment w:val="baseline"/>
              <w:rPr>
                <w:sz w:val="22"/>
                <w:szCs w:val="22"/>
              </w:rPr>
            </w:pPr>
            <w:r w:rsidRPr="00612824">
              <w:rPr>
                <w:sz w:val="22"/>
                <w:szCs w:val="22"/>
              </w:rPr>
              <w:t>9/21 (42,9%) </w:t>
            </w:r>
          </w:p>
        </w:tc>
        <w:tc>
          <w:tcPr>
            <w:tcW w:w="2633" w:type="dxa"/>
            <w:tcBorders>
              <w:top w:val="nil"/>
              <w:left w:val="nil"/>
              <w:bottom w:val="single" w:sz="6" w:space="0" w:color="auto"/>
              <w:right w:val="single" w:sz="6" w:space="0" w:color="auto"/>
            </w:tcBorders>
            <w:vAlign w:val="center"/>
            <w:hideMark/>
          </w:tcPr>
          <w:p w:rsidR="00B23A08" w:rsidRPr="00612824" w:rsidP="004E19B6" w14:paraId="4BE3A95C" w14:textId="77777777">
            <w:pPr>
              <w:jc w:val="center"/>
              <w:textAlignment w:val="baseline"/>
              <w:rPr>
                <w:sz w:val="22"/>
                <w:szCs w:val="22"/>
              </w:rPr>
            </w:pPr>
            <w:r w:rsidRPr="00612824">
              <w:rPr>
                <w:sz w:val="22"/>
                <w:szCs w:val="22"/>
              </w:rPr>
              <w:t>10/22 (45,5%) </w:t>
            </w:r>
          </w:p>
        </w:tc>
      </w:tr>
      <w:tr w14:paraId="2D2C124F" w14:textId="77777777" w:rsidTr="004E19B6">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B23A08" w:rsidRPr="00612824" w:rsidP="004E19B6" w14:paraId="26CE7748" w14:textId="77777777">
            <w:pPr>
              <w:textAlignment w:val="baseline"/>
              <w:rPr>
                <w:sz w:val="22"/>
                <w:szCs w:val="22"/>
              </w:rPr>
            </w:pPr>
            <w:r w:rsidRPr="00612824">
              <w:rPr>
                <w:sz w:val="22"/>
                <w:szCs w:val="22"/>
              </w:rPr>
              <w:t>Remissione senza corticosteroidi nei responder PMS alla Settimana 8</w:t>
            </w:r>
            <w:r w:rsidRPr="00612824">
              <w:rPr>
                <w:sz w:val="22"/>
                <w:szCs w:val="22"/>
                <w:vertAlign w:val="superscript"/>
              </w:rPr>
              <w:t>c</w:t>
            </w:r>
            <w:r w:rsidRPr="00612824">
              <w:rPr>
                <w:sz w:val="22"/>
                <w:szCs w:val="22"/>
              </w:rPr>
              <w:t> </w:t>
            </w:r>
          </w:p>
        </w:tc>
        <w:tc>
          <w:tcPr>
            <w:tcW w:w="2409" w:type="dxa"/>
            <w:tcBorders>
              <w:top w:val="nil"/>
              <w:left w:val="nil"/>
              <w:bottom w:val="single" w:sz="6" w:space="0" w:color="auto"/>
              <w:right w:val="single" w:sz="6" w:space="0" w:color="auto"/>
            </w:tcBorders>
            <w:vAlign w:val="center"/>
            <w:hideMark/>
          </w:tcPr>
          <w:p w:rsidR="00B23A08" w:rsidRPr="00612824" w:rsidP="004E19B6" w14:paraId="59C2DED8" w14:textId="77777777">
            <w:pPr>
              <w:jc w:val="center"/>
              <w:textAlignment w:val="baseline"/>
              <w:rPr>
                <w:sz w:val="22"/>
                <w:szCs w:val="22"/>
              </w:rPr>
            </w:pPr>
            <w:r w:rsidRPr="00612824">
              <w:rPr>
                <w:sz w:val="22"/>
                <w:szCs w:val="22"/>
              </w:rPr>
              <w:t>4/13 (30,8%) </w:t>
            </w:r>
          </w:p>
        </w:tc>
        <w:tc>
          <w:tcPr>
            <w:tcW w:w="2633" w:type="dxa"/>
            <w:tcBorders>
              <w:top w:val="nil"/>
              <w:left w:val="nil"/>
              <w:bottom w:val="single" w:sz="6" w:space="0" w:color="auto"/>
              <w:right w:val="single" w:sz="6" w:space="0" w:color="auto"/>
            </w:tcBorders>
            <w:vAlign w:val="center"/>
            <w:hideMark/>
          </w:tcPr>
          <w:p w:rsidR="00B23A08" w:rsidRPr="00612824" w:rsidP="004E19B6" w14:paraId="23EBEE92" w14:textId="77777777">
            <w:pPr>
              <w:jc w:val="center"/>
              <w:textAlignment w:val="baseline"/>
              <w:rPr>
                <w:sz w:val="22"/>
                <w:szCs w:val="22"/>
              </w:rPr>
            </w:pPr>
            <w:r w:rsidRPr="00612824">
              <w:rPr>
                <w:sz w:val="22"/>
                <w:szCs w:val="22"/>
              </w:rPr>
              <w:t>5/16 (31,3%) </w:t>
            </w:r>
          </w:p>
        </w:tc>
      </w:tr>
      <w:tr w14:paraId="1A1DCF7B" w14:textId="77777777" w:rsidTr="004E19B6">
        <w:tblPrEx>
          <w:tblW w:w="7568" w:type="dxa"/>
          <w:tblLook w:val="04A0"/>
        </w:tblPrEx>
        <w:tc>
          <w:tcPr>
            <w:tcW w:w="7568" w:type="dxa"/>
            <w:gridSpan w:val="3"/>
            <w:tcBorders>
              <w:top w:val="nil"/>
              <w:left w:val="single" w:sz="6" w:space="0" w:color="auto"/>
              <w:bottom w:val="single" w:sz="6" w:space="0" w:color="auto"/>
              <w:right w:val="single" w:sz="6" w:space="0" w:color="auto"/>
            </w:tcBorders>
            <w:hideMark/>
          </w:tcPr>
          <w:p w:rsidR="00B23A08" w:rsidRPr="00612824" w:rsidP="004E19B6" w14:paraId="0EC72E2E" w14:textId="77777777">
            <w:pPr>
              <w:textAlignment w:val="baseline"/>
              <w:rPr>
                <w:sz w:val="22"/>
                <w:szCs w:val="22"/>
              </w:rPr>
            </w:pPr>
            <w:r w:rsidRPr="00612824">
              <w:rPr>
                <w:sz w:val="22"/>
                <w:szCs w:val="22"/>
                <w:vertAlign w:val="superscript"/>
              </w:rPr>
              <w:t>a</w:t>
            </w:r>
            <w:r w:rsidRPr="00612824">
              <w:rPr>
                <w:sz w:val="22"/>
                <w:szCs w:val="22"/>
              </w:rPr>
              <w:t xml:space="preserve">Humira 0,6 mg/kg (massimo 40 mg) </w:t>
            </w:r>
            <w:r w:rsidR="00E54E1B">
              <w:rPr>
                <w:sz w:val="22"/>
                <w:szCs w:val="22"/>
              </w:rPr>
              <w:t>a</w:t>
            </w:r>
            <w:r w:rsidR="00E54E1B">
              <w:t xml:space="preserve"> </w:t>
            </w:r>
            <w:r w:rsidRPr="008762F4" w:rsidR="00E54E1B">
              <w:rPr>
                <w:sz w:val="22"/>
                <w:szCs w:val="22"/>
              </w:rPr>
              <w:t>settimane alterne</w:t>
            </w:r>
            <w:r w:rsidRPr="008762F4" w:rsidR="00E54E1B">
              <w:rPr>
                <w:sz w:val="20"/>
                <w:szCs w:val="20"/>
              </w:rPr>
              <w:t> </w:t>
            </w:r>
          </w:p>
          <w:p w:rsidR="00B23A08" w:rsidRPr="00612824" w:rsidP="004E19B6" w14:paraId="0A434726" w14:textId="77777777">
            <w:pPr>
              <w:textAlignment w:val="baseline"/>
              <w:rPr>
                <w:sz w:val="22"/>
                <w:szCs w:val="22"/>
              </w:rPr>
            </w:pPr>
            <w:r w:rsidRPr="00612824">
              <w:rPr>
                <w:sz w:val="22"/>
                <w:szCs w:val="22"/>
                <w:vertAlign w:val="superscript"/>
              </w:rPr>
              <w:t>b</w:t>
            </w:r>
            <w:r w:rsidRPr="00612824">
              <w:rPr>
                <w:sz w:val="22"/>
                <w:szCs w:val="22"/>
              </w:rPr>
              <w:t>Humira 0,6 mg/kg (massimo 40 mg) ogni settimana </w:t>
            </w:r>
          </w:p>
          <w:p w:rsidR="00B23A08" w:rsidRPr="00612824" w:rsidP="004E19B6" w14:paraId="520D2544" w14:textId="77777777">
            <w:pPr>
              <w:textAlignment w:val="baseline"/>
              <w:rPr>
                <w:sz w:val="22"/>
                <w:szCs w:val="22"/>
              </w:rPr>
            </w:pPr>
            <w:r w:rsidRPr="00612824">
              <w:rPr>
                <w:sz w:val="22"/>
                <w:szCs w:val="22"/>
                <w:vertAlign w:val="superscript"/>
              </w:rPr>
              <w:t>c</w:t>
            </w:r>
            <w:r w:rsidRPr="00612824">
              <w:rPr>
                <w:sz w:val="22"/>
                <w:szCs w:val="22"/>
              </w:rPr>
              <w:t>In pazienti che ricevono corticosteroidi concomitanti al basale </w:t>
            </w:r>
          </w:p>
          <w:p w:rsidR="00B23A08" w:rsidRPr="00612824" w:rsidP="004E19B6" w14:paraId="5D5B7ED6" w14:textId="77777777">
            <w:pPr>
              <w:textAlignment w:val="baseline"/>
              <w:rPr>
                <w:sz w:val="22"/>
                <w:szCs w:val="22"/>
              </w:rPr>
            </w:pPr>
            <w:r w:rsidRPr="00612824">
              <w:rPr>
                <w:sz w:val="22"/>
                <w:szCs w:val="22"/>
              </w:rPr>
              <w:t>Nota: i pazienti con valori mancanti alla Settimana 52 o che sono stati randomizzati a ricevere un trattamento di reinduzione o mantenimento sono stati considerati non responder per gli endpoint della Settimana 52 </w:t>
            </w:r>
          </w:p>
        </w:tc>
      </w:tr>
    </w:tbl>
    <w:p w:rsidR="00B23A08" w:rsidRPr="00612824" w:rsidP="00B23A08" w14:paraId="04AD5F34" w14:textId="77777777">
      <w:pPr>
        <w:rPr>
          <w:sz w:val="22"/>
          <w:szCs w:val="22"/>
        </w:rPr>
      </w:pPr>
    </w:p>
    <w:p w:rsidR="00B23A08" w:rsidRPr="00612824" w:rsidP="00B23A08" w14:paraId="0A2A063E" w14:textId="77777777">
      <w:pPr>
        <w:rPr>
          <w:sz w:val="22"/>
          <w:szCs w:val="22"/>
        </w:rPr>
      </w:pPr>
      <w:r w:rsidRPr="00612824">
        <w:rPr>
          <w:sz w:val="22"/>
          <w:szCs w:val="22"/>
        </w:rPr>
        <w:t xml:space="preserve">Ulteriori endpoint di efficacia esplorativi includevano la risposta clinica secondo il PUCAI (Pediatric Ulcerative Colitis Activity Index) (definita come una diminuzione del PUCAI ≥ 20 punti dal basale) e la remissione clinica come indicato dal PUCAI (definita come PUCAI &lt; 10) alla Settimana 8 e alla Settimana 52 (Tabella 33). </w:t>
      </w:r>
    </w:p>
    <w:p w:rsidR="00B23A08" w:rsidRPr="00612824" w:rsidP="00B23A08" w14:paraId="093E1C6B" w14:textId="77777777">
      <w:pPr>
        <w:rPr>
          <w:sz w:val="22"/>
          <w:szCs w:val="22"/>
        </w:rPr>
      </w:pPr>
    </w:p>
    <w:tbl>
      <w:tblPr>
        <w:tblW w:w="8262" w:type="dxa"/>
        <w:jc w:val="center"/>
        <w:tblCellMar>
          <w:left w:w="0" w:type="dxa"/>
          <w:right w:w="0" w:type="dxa"/>
        </w:tblCellMar>
        <w:tblLook w:val="04A0"/>
      </w:tblPr>
      <w:tblGrid>
        <w:gridCol w:w="2934"/>
        <w:gridCol w:w="2898"/>
        <w:gridCol w:w="2430"/>
      </w:tblGrid>
      <w:tr w14:paraId="38EB0F9E" w14:textId="77777777" w:rsidTr="004E19B6">
        <w:tblPrEx>
          <w:tblW w:w="8262" w:type="dxa"/>
          <w:tblLook w:val="04A0"/>
        </w:tblPrEx>
        <w:trPr>
          <w:trHeight w:val="60"/>
        </w:trPr>
        <w:tc>
          <w:tcPr>
            <w:tcW w:w="8262" w:type="dxa"/>
            <w:gridSpan w:val="3"/>
            <w:tcMar>
              <w:top w:w="0" w:type="dxa"/>
              <w:left w:w="108" w:type="dxa"/>
              <w:bottom w:w="0" w:type="dxa"/>
              <w:right w:w="108" w:type="dxa"/>
            </w:tcMar>
          </w:tcPr>
          <w:p w:rsidR="00B23A08" w:rsidRPr="00612824" w:rsidP="004E19B6" w14:paraId="2ED4E893" w14:textId="77777777">
            <w:pPr>
              <w:jc w:val="center"/>
              <w:rPr>
                <w:b/>
                <w:bCs/>
                <w:sz w:val="22"/>
                <w:szCs w:val="22"/>
              </w:rPr>
            </w:pPr>
            <w:bookmarkStart w:id="13136" w:name="_Hlk51667533"/>
            <w:r w:rsidRPr="00612824">
              <w:rPr>
                <w:b/>
                <w:sz w:val="22"/>
                <w:szCs w:val="22"/>
              </w:rPr>
              <w:t xml:space="preserve">Tabella 33: Risultati degli </w:t>
            </w:r>
            <w:r w:rsidR="00103FAE">
              <w:rPr>
                <w:b/>
                <w:sz w:val="22"/>
                <w:szCs w:val="22"/>
              </w:rPr>
              <w:t>E</w:t>
            </w:r>
            <w:r w:rsidRPr="00612824">
              <w:rPr>
                <w:b/>
                <w:sz w:val="22"/>
                <w:szCs w:val="22"/>
              </w:rPr>
              <w:t xml:space="preserve">ndpoint </w:t>
            </w:r>
            <w:r w:rsidR="00103FAE">
              <w:rPr>
                <w:b/>
                <w:sz w:val="22"/>
                <w:szCs w:val="22"/>
              </w:rPr>
              <w:t>E</w:t>
            </w:r>
            <w:r w:rsidRPr="00612824">
              <w:rPr>
                <w:b/>
                <w:sz w:val="22"/>
                <w:szCs w:val="22"/>
              </w:rPr>
              <w:t>splorativi in base al PUCAI</w:t>
            </w:r>
          </w:p>
        </w:tc>
      </w:tr>
      <w:tr w14:paraId="29245477" w14:textId="77777777" w:rsidTr="004E19B6">
        <w:tblPrEx>
          <w:tblW w:w="8262" w:type="dxa"/>
          <w:tblLook w:val="04A0"/>
        </w:tblPrEx>
        <w:trPr>
          <w:trHeight w:val="265"/>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rsidR="00B23A08" w:rsidRPr="00612824" w:rsidP="004E19B6" w14:paraId="2CC2ED6D" w14:textId="77777777">
            <w:pPr>
              <w:rPr>
                <w:sz w:val="22"/>
                <w:szCs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23A08" w:rsidRPr="00612824" w:rsidP="004E19B6" w14:paraId="4D1B3DF2" w14:textId="77777777">
            <w:pPr>
              <w:jc w:val="center"/>
              <w:rPr>
                <w:b/>
                <w:bCs/>
                <w:sz w:val="22"/>
                <w:szCs w:val="22"/>
              </w:rPr>
            </w:pPr>
            <w:r w:rsidRPr="00612824">
              <w:rPr>
                <w:b/>
                <w:sz w:val="22"/>
                <w:szCs w:val="22"/>
              </w:rPr>
              <w:t>Settimana 8</w:t>
            </w:r>
          </w:p>
        </w:tc>
      </w:tr>
      <w:tr w14:paraId="4C0F60CE" w14:textId="77777777" w:rsidTr="004E19B6">
        <w:tblPrEx>
          <w:tblW w:w="8262" w:type="dxa"/>
          <w:tblLook w:val="04A0"/>
        </w:tblPrEx>
        <w:trPr>
          <w:trHeight w:val="1042"/>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rsidR="00B23A08" w:rsidRPr="00612824" w:rsidP="004E19B6" w14:paraId="71C9341E" w14:textId="77777777">
            <w:pPr>
              <w:rPr>
                <w:sz w:val="22"/>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23A08" w:rsidRPr="00612824" w:rsidP="004E19B6" w14:paraId="4EE14966" w14:textId="77777777">
            <w:pPr>
              <w:jc w:val="center"/>
              <w:rPr>
                <w:b/>
                <w:bCs/>
                <w:sz w:val="22"/>
                <w:szCs w:val="22"/>
                <w:vertAlign w:val="superscript"/>
              </w:rPr>
            </w:pPr>
            <w:r w:rsidRPr="00612824">
              <w:rPr>
                <w:b/>
                <w:sz w:val="22"/>
                <w:szCs w:val="22"/>
              </w:rPr>
              <w:t>Humira</w:t>
            </w:r>
            <w:r w:rsidRPr="00612824">
              <w:rPr>
                <w:b/>
                <w:sz w:val="22"/>
                <w:szCs w:val="22"/>
                <w:vertAlign w:val="superscript"/>
              </w:rPr>
              <w:t>a</w:t>
            </w:r>
          </w:p>
          <w:p w:rsidR="00B23A08" w:rsidRPr="00612824" w:rsidP="004E19B6" w14:paraId="33C9BA7A" w14:textId="77777777">
            <w:pPr>
              <w:jc w:val="center"/>
              <w:rPr>
                <w:b/>
                <w:bCs/>
                <w:sz w:val="22"/>
                <w:szCs w:val="22"/>
              </w:rPr>
            </w:pPr>
            <w:r w:rsidRPr="00612824">
              <w:rPr>
                <w:b/>
                <w:sz w:val="22"/>
                <w:szCs w:val="22"/>
              </w:rPr>
              <w:t>Massimo 160 mg alla Settimana 0/</w:t>
            </w:r>
            <w:r w:rsidR="00103FAE">
              <w:rPr>
                <w:b/>
                <w:sz w:val="22"/>
                <w:szCs w:val="22"/>
              </w:rPr>
              <w:t>P</w:t>
            </w:r>
            <w:r w:rsidRPr="00612824">
              <w:rPr>
                <w:b/>
                <w:sz w:val="22"/>
                <w:szCs w:val="22"/>
              </w:rPr>
              <w:t>lacebo alla Settimana 1</w:t>
            </w:r>
          </w:p>
          <w:p w:rsidR="00B23A08" w:rsidRPr="00612824" w:rsidP="004E19B6" w14:paraId="5D03ADCA" w14:textId="77777777">
            <w:pPr>
              <w:jc w:val="center"/>
              <w:rPr>
                <w:sz w:val="22"/>
                <w:szCs w:val="22"/>
              </w:rPr>
            </w:pPr>
            <w:r w:rsidRPr="00612824">
              <w:rPr>
                <w:sz w:val="22"/>
                <w:szCs w:val="22"/>
              </w:rPr>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23A08" w:rsidRPr="00612824" w:rsidP="004E19B6" w14:paraId="712F058E" w14:textId="77777777">
            <w:pPr>
              <w:jc w:val="center"/>
              <w:rPr>
                <w:b/>
                <w:bCs/>
                <w:sz w:val="22"/>
                <w:szCs w:val="22"/>
                <w:vertAlign w:val="superscript"/>
              </w:rPr>
            </w:pPr>
            <w:r w:rsidRPr="00612824">
              <w:rPr>
                <w:b/>
                <w:sz w:val="22"/>
                <w:szCs w:val="22"/>
              </w:rPr>
              <w:t>Humira</w:t>
            </w:r>
            <w:r w:rsidRPr="00612824">
              <w:rPr>
                <w:b/>
                <w:sz w:val="22"/>
                <w:szCs w:val="22"/>
                <w:vertAlign w:val="superscript"/>
              </w:rPr>
              <w:t>b,c</w:t>
            </w:r>
          </w:p>
          <w:p w:rsidR="00B23A08" w:rsidRPr="00612824" w:rsidP="004E19B6" w14:paraId="33F51D5C" w14:textId="77777777">
            <w:pPr>
              <w:jc w:val="center"/>
              <w:rPr>
                <w:b/>
                <w:bCs/>
                <w:sz w:val="22"/>
                <w:szCs w:val="22"/>
              </w:rPr>
            </w:pPr>
            <w:r w:rsidRPr="00612824">
              <w:rPr>
                <w:b/>
                <w:sz w:val="22"/>
                <w:szCs w:val="22"/>
              </w:rPr>
              <w:t>Massimo 160 mg alla Settimana 0 e alla Settimana 1</w:t>
            </w:r>
          </w:p>
          <w:p w:rsidR="00B23A08" w:rsidRPr="00612824" w:rsidP="004E19B6" w14:paraId="5D74272A" w14:textId="77777777">
            <w:pPr>
              <w:jc w:val="center"/>
              <w:rPr>
                <w:sz w:val="22"/>
                <w:szCs w:val="22"/>
              </w:rPr>
            </w:pPr>
            <w:r w:rsidRPr="00612824">
              <w:rPr>
                <w:sz w:val="22"/>
                <w:szCs w:val="22"/>
              </w:rPr>
              <w:t>N=47</w:t>
            </w:r>
          </w:p>
        </w:tc>
      </w:tr>
      <w:tr w14:paraId="0FCA5D66" w14:textId="77777777" w:rsidTr="004E19B6">
        <w:tblPrEx>
          <w:tblW w:w="8262" w:type="dxa"/>
          <w:tblLook w:val="04A0"/>
        </w:tblPrEx>
        <w:trPr>
          <w:trHeight w:val="202"/>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3A08" w:rsidRPr="00612824" w:rsidP="004E19B6" w14:paraId="0501A3EB" w14:textId="77777777">
            <w:pPr>
              <w:rPr>
                <w:sz w:val="22"/>
                <w:szCs w:val="22"/>
              </w:rPr>
            </w:pPr>
            <w:r w:rsidRPr="00612824">
              <w:rPr>
                <w:sz w:val="22"/>
                <w:szCs w:val="22"/>
              </w:rPr>
              <w:t>Remissione clinica in base al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B23A08" w:rsidRPr="00612824" w:rsidP="004E19B6" w14:paraId="2AFA231F" w14:textId="77777777">
            <w:pPr>
              <w:jc w:val="center"/>
              <w:rPr>
                <w:sz w:val="22"/>
                <w:szCs w:val="22"/>
              </w:rPr>
            </w:pPr>
            <w:r w:rsidRPr="00612824">
              <w:rPr>
                <w:sz w:val="22"/>
                <w:szCs w:val="22"/>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B23A08" w:rsidRPr="00612824" w:rsidP="004E19B6" w14:paraId="5922314E" w14:textId="77777777">
            <w:pPr>
              <w:jc w:val="center"/>
              <w:rPr>
                <w:sz w:val="22"/>
                <w:szCs w:val="22"/>
              </w:rPr>
            </w:pPr>
            <w:r w:rsidRPr="00612824">
              <w:rPr>
                <w:sz w:val="22"/>
                <w:szCs w:val="22"/>
              </w:rPr>
              <w:t>22/47 (46,8%)</w:t>
            </w:r>
          </w:p>
        </w:tc>
      </w:tr>
      <w:tr w14:paraId="47DE6910" w14:textId="77777777" w:rsidTr="004E19B6">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23A08" w:rsidRPr="00612824" w:rsidP="004E19B6" w14:paraId="616DC049" w14:textId="77777777">
            <w:pPr>
              <w:rPr>
                <w:sz w:val="22"/>
                <w:szCs w:val="22"/>
              </w:rPr>
            </w:pPr>
            <w:r w:rsidRPr="00612824">
              <w:rPr>
                <w:sz w:val="22"/>
                <w:szCs w:val="22"/>
              </w:rPr>
              <w:t>Risposta clinica in base al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B23A08" w:rsidRPr="00612824" w:rsidP="004E19B6" w14:paraId="4A768D21" w14:textId="77777777">
            <w:pPr>
              <w:jc w:val="center"/>
              <w:rPr>
                <w:sz w:val="22"/>
                <w:szCs w:val="22"/>
              </w:rPr>
            </w:pPr>
            <w:r w:rsidRPr="00612824">
              <w:rPr>
                <w:sz w:val="22"/>
                <w:szCs w:val="22"/>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B23A08" w:rsidRPr="00612824" w:rsidP="004E19B6" w14:paraId="4111184F" w14:textId="77777777">
            <w:pPr>
              <w:jc w:val="center"/>
              <w:rPr>
                <w:sz w:val="22"/>
                <w:szCs w:val="22"/>
              </w:rPr>
            </w:pPr>
            <w:r w:rsidRPr="00612824">
              <w:rPr>
                <w:sz w:val="22"/>
                <w:szCs w:val="22"/>
              </w:rPr>
              <w:t>32/47 (68,1%)</w:t>
            </w:r>
          </w:p>
        </w:tc>
      </w:tr>
      <w:tr w14:paraId="380547B7" w14:textId="77777777" w:rsidTr="004E19B6">
        <w:tblPrEx>
          <w:tblW w:w="8262" w:type="dxa"/>
          <w:tblLook w:val="04A0"/>
        </w:tblPrEx>
        <w:trPr>
          <w:trHeight w:val="238"/>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rsidR="00B23A08" w:rsidRPr="00612824" w:rsidP="004E19B6" w14:paraId="3A7166E6" w14:textId="77777777">
            <w:pPr>
              <w:rPr>
                <w:sz w:val="22"/>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rsidR="00B23A08" w:rsidRPr="00612824" w:rsidP="004E19B6" w14:paraId="2B856876" w14:textId="77777777">
            <w:pPr>
              <w:jc w:val="center"/>
              <w:rPr>
                <w:b/>
                <w:bCs/>
                <w:sz w:val="22"/>
                <w:szCs w:val="22"/>
              </w:rPr>
            </w:pPr>
            <w:r w:rsidRPr="00612824">
              <w:rPr>
                <w:b/>
                <w:sz w:val="22"/>
                <w:szCs w:val="22"/>
              </w:rPr>
              <w:t>Settimana 52</w:t>
            </w:r>
          </w:p>
        </w:tc>
      </w:tr>
      <w:tr w14:paraId="33DC920F" w14:textId="77777777" w:rsidTr="004E19B6">
        <w:tblPrEx>
          <w:tblW w:w="8262" w:type="dxa"/>
          <w:tblLook w:val="04A0"/>
        </w:tblPrEx>
        <w:trPr>
          <w:trHeight w:val="238"/>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rsidR="00B23A08" w:rsidRPr="00612824" w:rsidP="004E19B6" w14:paraId="3D9D10F2" w14:textId="77777777">
            <w:pPr>
              <w:rPr>
                <w:sz w:val="22"/>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B23A08" w:rsidRPr="00612824" w:rsidP="004E19B6" w14:paraId="4D9FE91B" w14:textId="77777777">
            <w:pPr>
              <w:jc w:val="center"/>
              <w:rPr>
                <w:b/>
                <w:bCs/>
                <w:sz w:val="22"/>
                <w:szCs w:val="22"/>
                <w:vertAlign w:val="superscript"/>
              </w:rPr>
            </w:pPr>
            <w:r w:rsidRPr="00612824">
              <w:rPr>
                <w:b/>
                <w:sz w:val="22"/>
                <w:szCs w:val="22"/>
              </w:rPr>
              <w:t>Humira</w:t>
            </w:r>
            <w:r w:rsidRPr="00612824">
              <w:rPr>
                <w:b/>
                <w:sz w:val="22"/>
                <w:szCs w:val="22"/>
                <w:vertAlign w:val="superscript"/>
              </w:rPr>
              <w:t>d</w:t>
            </w:r>
          </w:p>
          <w:p w:rsidR="00B23A08" w:rsidRPr="00612824" w:rsidP="004E19B6" w14:paraId="0ABE9ECF" w14:textId="77777777">
            <w:pPr>
              <w:jc w:val="center"/>
              <w:rPr>
                <w:b/>
                <w:bCs/>
                <w:sz w:val="22"/>
                <w:szCs w:val="22"/>
              </w:rPr>
            </w:pPr>
            <w:r w:rsidRPr="00612824">
              <w:rPr>
                <w:b/>
                <w:sz w:val="22"/>
                <w:szCs w:val="22"/>
              </w:rPr>
              <w:t xml:space="preserve">Massimo 40 mg </w:t>
            </w:r>
            <w:r w:rsidR="00103FAE">
              <w:rPr>
                <w:b/>
                <w:sz w:val="22"/>
                <w:szCs w:val="22"/>
              </w:rPr>
              <w:t>a settimane alterne</w:t>
            </w:r>
          </w:p>
          <w:p w:rsidR="00B23A08" w:rsidRPr="00612824" w:rsidP="004E19B6" w14:paraId="4DDF1130" w14:textId="77777777">
            <w:pPr>
              <w:jc w:val="center"/>
              <w:rPr>
                <w:sz w:val="22"/>
                <w:szCs w:val="22"/>
              </w:rPr>
            </w:pPr>
            <w:r w:rsidRPr="00612824">
              <w:rPr>
                <w:sz w:val="22"/>
                <w:szCs w:val="22"/>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B23A08" w:rsidRPr="00612824" w:rsidP="004E19B6" w14:paraId="01A33BCD" w14:textId="77777777">
            <w:pPr>
              <w:jc w:val="center"/>
              <w:rPr>
                <w:b/>
                <w:bCs/>
                <w:sz w:val="22"/>
                <w:szCs w:val="22"/>
                <w:vertAlign w:val="superscript"/>
              </w:rPr>
            </w:pPr>
            <w:r w:rsidRPr="00612824">
              <w:rPr>
                <w:b/>
                <w:sz w:val="22"/>
                <w:szCs w:val="22"/>
              </w:rPr>
              <w:t>Humira</w:t>
            </w:r>
            <w:r w:rsidRPr="00612824">
              <w:rPr>
                <w:b/>
                <w:sz w:val="22"/>
                <w:szCs w:val="22"/>
                <w:vertAlign w:val="superscript"/>
              </w:rPr>
              <w:t>e</w:t>
            </w:r>
          </w:p>
          <w:p w:rsidR="00B23A08" w:rsidRPr="00612824" w:rsidP="004E19B6" w14:paraId="6E39E762" w14:textId="77777777">
            <w:pPr>
              <w:jc w:val="center"/>
              <w:rPr>
                <w:b/>
                <w:bCs/>
                <w:sz w:val="22"/>
                <w:szCs w:val="22"/>
              </w:rPr>
            </w:pPr>
            <w:r w:rsidRPr="00612824">
              <w:rPr>
                <w:b/>
                <w:sz w:val="22"/>
                <w:szCs w:val="22"/>
              </w:rPr>
              <w:t xml:space="preserve">Massimo 40 mg </w:t>
            </w:r>
            <w:r w:rsidR="00103FAE">
              <w:rPr>
                <w:b/>
                <w:sz w:val="22"/>
                <w:szCs w:val="22"/>
              </w:rPr>
              <w:t>a settimana</w:t>
            </w:r>
          </w:p>
          <w:p w:rsidR="00B23A08" w:rsidRPr="00612824" w:rsidP="004E19B6" w14:paraId="3E6E987C" w14:textId="77777777">
            <w:pPr>
              <w:jc w:val="center"/>
              <w:rPr>
                <w:sz w:val="22"/>
                <w:szCs w:val="22"/>
              </w:rPr>
            </w:pPr>
            <w:r w:rsidRPr="00612824">
              <w:rPr>
                <w:sz w:val="22"/>
                <w:szCs w:val="22"/>
              </w:rPr>
              <w:t>N=31</w:t>
            </w:r>
          </w:p>
        </w:tc>
      </w:tr>
      <w:tr w14:paraId="21D40272" w14:textId="77777777" w:rsidTr="004E19B6">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B23A08" w:rsidRPr="00612824" w:rsidP="004E19B6" w14:paraId="2FDC0817" w14:textId="77777777">
            <w:pPr>
              <w:rPr>
                <w:sz w:val="22"/>
                <w:szCs w:val="22"/>
              </w:rPr>
            </w:pPr>
            <w:r w:rsidRPr="00612824">
              <w:rPr>
                <w:sz w:val="22"/>
                <w:szCs w:val="22"/>
              </w:rPr>
              <w:t>Remissione clinica in base al PUCAI nei responder PMS alla Settimana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B23A08" w:rsidRPr="00612824" w:rsidP="004E19B6" w14:paraId="272F2E80" w14:textId="77777777">
            <w:pPr>
              <w:jc w:val="center"/>
              <w:rPr>
                <w:sz w:val="22"/>
                <w:szCs w:val="22"/>
              </w:rPr>
            </w:pPr>
            <w:r w:rsidRPr="00612824">
              <w:rPr>
                <w:sz w:val="22"/>
                <w:szCs w:val="22"/>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B23A08" w:rsidRPr="00612824" w:rsidP="004E19B6" w14:paraId="5817BDAA" w14:textId="77777777">
            <w:pPr>
              <w:jc w:val="center"/>
              <w:rPr>
                <w:sz w:val="22"/>
                <w:szCs w:val="22"/>
              </w:rPr>
            </w:pPr>
            <w:r w:rsidRPr="00612824">
              <w:rPr>
                <w:sz w:val="22"/>
                <w:szCs w:val="22"/>
              </w:rPr>
              <w:t>18/31 (58,1%)</w:t>
            </w:r>
          </w:p>
        </w:tc>
      </w:tr>
      <w:tr w14:paraId="45A8B58A" w14:textId="77777777" w:rsidTr="004E19B6">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B23A08" w:rsidRPr="00612824" w:rsidP="004E19B6" w14:paraId="5D6E812A" w14:textId="77777777">
            <w:pPr>
              <w:rPr>
                <w:sz w:val="22"/>
                <w:szCs w:val="22"/>
              </w:rPr>
            </w:pPr>
            <w:r w:rsidRPr="00612824">
              <w:rPr>
                <w:sz w:val="22"/>
                <w:szCs w:val="22"/>
              </w:rPr>
              <w:t>Risposta clinica in base al PUCAI nei responder PMS alla Settimana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B23A08" w:rsidRPr="00612824" w:rsidP="004E19B6" w14:paraId="735E1979" w14:textId="77777777">
            <w:pPr>
              <w:jc w:val="center"/>
              <w:rPr>
                <w:sz w:val="22"/>
                <w:szCs w:val="22"/>
              </w:rPr>
            </w:pPr>
            <w:r w:rsidRPr="00612824">
              <w:rPr>
                <w:sz w:val="22"/>
                <w:szCs w:val="22"/>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B23A08" w:rsidRPr="00612824" w:rsidP="004E19B6" w14:paraId="7C042267" w14:textId="77777777">
            <w:pPr>
              <w:jc w:val="center"/>
              <w:rPr>
                <w:sz w:val="22"/>
                <w:szCs w:val="22"/>
              </w:rPr>
            </w:pPr>
            <w:r w:rsidRPr="00612824">
              <w:rPr>
                <w:sz w:val="22"/>
                <w:szCs w:val="22"/>
              </w:rPr>
              <w:t>16/31 (51,6%)</w:t>
            </w:r>
          </w:p>
        </w:tc>
      </w:tr>
      <w:tr w14:paraId="35C08603" w14:textId="77777777" w:rsidTr="004E19B6">
        <w:tblPrEx>
          <w:tblW w:w="8262" w:type="dxa"/>
          <w:tblLook w:val="04A0"/>
        </w:tblPrEx>
        <w:trPr>
          <w:trHeight w:val="533"/>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rsidR="00B23A08" w:rsidRPr="00612824" w:rsidP="004E19B6" w14:paraId="74494D2A" w14:textId="77777777">
            <w:pPr>
              <w:rPr>
                <w:rStyle w:val="eop"/>
                <w:sz w:val="22"/>
                <w:szCs w:val="22"/>
              </w:rPr>
            </w:pPr>
            <w:r w:rsidRPr="00612824">
              <w:rPr>
                <w:sz w:val="22"/>
                <w:szCs w:val="22"/>
                <w:vertAlign w:val="superscript"/>
              </w:rPr>
              <w:t>a</w:t>
            </w:r>
            <w:r w:rsidRPr="00612824">
              <w:rPr>
                <w:rStyle w:val="normaltextrun"/>
                <w:sz w:val="22"/>
                <w:szCs w:val="22"/>
              </w:rPr>
              <w:t>Humira 2,4 mg/kg (massimo 160 mg) alla Settimana 0, placebo alla Settimana 1 e 1,2 mg/kg (massimo 80 mg) alla Settimana 2</w:t>
            </w:r>
            <w:r w:rsidRPr="00612824">
              <w:rPr>
                <w:rStyle w:val="eop"/>
                <w:sz w:val="22"/>
                <w:szCs w:val="22"/>
              </w:rPr>
              <w:t> </w:t>
            </w:r>
          </w:p>
          <w:p w:rsidR="00B23A08" w:rsidRPr="00612824" w:rsidP="004E19B6" w14:paraId="3B2242E3" w14:textId="77777777">
            <w:pPr>
              <w:pStyle w:val="paragraph0"/>
              <w:spacing w:before="0" w:beforeAutospacing="0" w:after="0" w:afterAutospacing="0"/>
              <w:textAlignment w:val="baseline"/>
              <w:rPr>
                <w:rStyle w:val="eop"/>
                <w:sz w:val="22"/>
                <w:szCs w:val="22"/>
              </w:rPr>
            </w:pPr>
            <w:r w:rsidRPr="00863077">
              <w:rPr>
                <w:sz w:val="22"/>
                <w:szCs w:val="22"/>
                <w:vertAlign w:val="superscript"/>
              </w:rPr>
              <w:t>b</w:t>
            </w:r>
            <w:r w:rsidRPr="00872134">
              <w:rPr>
                <w:rStyle w:val="normaltextrun"/>
                <w:sz w:val="22"/>
                <w:szCs w:val="22"/>
              </w:rPr>
              <w:t>Humira</w:t>
            </w:r>
            <w:r w:rsidRPr="00F40167">
              <w:rPr>
                <w:rStyle w:val="normaltextrun"/>
                <w:sz w:val="22"/>
                <w:szCs w:val="22"/>
              </w:rPr>
              <w:t xml:space="preserve"> 2,4 mg/kg (massimo 160 mg) alla Settimana 0 e alla Settimana 1 e 1,2 mg/kg (massimo 80 mg) alla Settimana 2</w:t>
            </w:r>
            <w:r w:rsidRPr="00F40167">
              <w:rPr>
                <w:rStyle w:val="eop"/>
                <w:sz w:val="22"/>
                <w:szCs w:val="22"/>
              </w:rPr>
              <w:t> </w:t>
            </w:r>
          </w:p>
          <w:p w:rsidR="00B23A08" w:rsidRPr="00B23A08" w:rsidP="004E19B6" w14:paraId="2C6CD768" w14:textId="77777777">
            <w:pPr>
              <w:pStyle w:val="paragraph0"/>
              <w:spacing w:before="0" w:beforeAutospacing="0" w:after="0" w:afterAutospacing="0"/>
              <w:textAlignment w:val="baseline"/>
              <w:rPr>
                <w:rStyle w:val="normaltextrun"/>
                <w:sz w:val="22"/>
                <w:szCs w:val="22"/>
              </w:rPr>
            </w:pPr>
            <w:r w:rsidRPr="003F5D7E">
              <w:rPr>
                <w:rStyle w:val="normaltextrun"/>
                <w:sz w:val="22"/>
                <w:szCs w:val="22"/>
                <w:vertAlign w:val="superscript"/>
              </w:rPr>
              <w:t>c</w:t>
            </w:r>
            <w:r w:rsidRPr="003F5D7E">
              <w:rPr>
                <w:rStyle w:val="normaltextrun"/>
                <w:sz w:val="22"/>
                <w:szCs w:val="22"/>
              </w:rPr>
              <w:t xml:space="preserve">Senza includere la dose di </w:t>
            </w:r>
            <w:r w:rsidR="00103FAE">
              <w:rPr>
                <w:rStyle w:val="normaltextrun"/>
                <w:sz w:val="22"/>
                <w:szCs w:val="22"/>
              </w:rPr>
              <w:t>I</w:t>
            </w:r>
            <w:r w:rsidRPr="003F5D7E">
              <w:rPr>
                <w:rStyle w:val="normaltextrun"/>
                <w:sz w:val="22"/>
                <w:szCs w:val="22"/>
              </w:rPr>
              <w:t>nduzione in aperto di Humira 2,4 mg/kg (massimo 160 mg) alla Settimana 0 e alla Settimana 1 e 1,2 mg/kg (massimo 80 mg) alla Settimana 2</w:t>
            </w:r>
          </w:p>
          <w:p w:rsidR="00B23A08" w:rsidRPr="00B23A08" w:rsidP="004E19B6" w14:paraId="66907B8F" w14:textId="77777777">
            <w:pPr>
              <w:pStyle w:val="paragraph0"/>
              <w:spacing w:before="0" w:beforeAutospacing="0" w:after="0" w:afterAutospacing="0"/>
              <w:textAlignment w:val="baseline"/>
              <w:rPr>
                <w:sz w:val="22"/>
                <w:szCs w:val="22"/>
              </w:rPr>
            </w:pPr>
            <w:r w:rsidRPr="00863077">
              <w:rPr>
                <w:rStyle w:val="normaltextrun"/>
                <w:sz w:val="22"/>
                <w:szCs w:val="22"/>
                <w:vertAlign w:val="superscript"/>
              </w:rPr>
              <w:t>d</w:t>
            </w:r>
            <w:r w:rsidRPr="00872134">
              <w:rPr>
                <w:sz w:val="22"/>
                <w:szCs w:val="22"/>
              </w:rPr>
              <w:t xml:space="preserve">Humira 0,6 mg/kg (massimo 40 mg) </w:t>
            </w:r>
            <w:r w:rsidRPr="00287663" w:rsidR="002C259C">
              <w:rPr>
                <w:sz w:val="22"/>
                <w:szCs w:val="22"/>
              </w:rPr>
              <w:t>a settimane alterne</w:t>
            </w:r>
          </w:p>
          <w:p w:rsidR="00B23A08" w:rsidRPr="00612824" w:rsidP="004E19B6" w14:paraId="4FE1016D" w14:textId="77777777">
            <w:pPr>
              <w:rPr>
                <w:sz w:val="22"/>
                <w:szCs w:val="22"/>
              </w:rPr>
            </w:pPr>
            <w:r w:rsidRPr="00612824">
              <w:rPr>
                <w:sz w:val="22"/>
                <w:szCs w:val="22"/>
                <w:vertAlign w:val="superscript"/>
              </w:rPr>
              <w:t>e</w:t>
            </w:r>
            <w:r w:rsidRPr="00612824">
              <w:rPr>
                <w:sz w:val="22"/>
                <w:szCs w:val="22"/>
              </w:rPr>
              <w:t>Humira 0,6 mg/kg (massimo 40 mg) ogni settimana</w:t>
            </w:r>
          </w:p>
          <w:p w:rsidR="00B23A08" w:rsidRPr="00B23A08" w:rsidP="004E19B6" w14:paraId="0600A2B2" w14:textId="77777777">
            <w:pPr>
              <w:pStyle w:val="paragraph0"/>
              <w:spacing w:before="0" w:beforeAutospacing="0" w:after="0" w:afterAutospacing="0"/>
              <w:textAlignment w:val="baseline"/>
              <w:rPr>
                <w:sz w:val="22"/>
                <w:szCs w:val="22"/>
              </w:rPr>
            </w:pPr>
            <w:r w:rsidRPr="00863077">
              <w:rPr>
                <w:rStyle w:val="normaltextrun"/>
                <w:sz w:val="22"/>
                <w:szCs w:val="22"/>
              </w:rPr>
              <w:t>Nota 1: entrambi i gruppi di induzione hanno ricevuto 0,6 mg/kg (massimo 40 mg) alla Settimana 4 e alla Settimana 6</w:t>
            </w:r>
            <w:r w:rsidRPr="00872134">
              <w:rPr>
                <w:rStyle w:val="eop"/>
                <w:sz w:val="22"/>
                <w:szCs w:val="22"/>
              </w:rPr>
              <w:t> </w:t>
            </w:r>
          </w:p>
          <w:p w:rsidR="00B23A08" w:rsidRPr="00B23A08" w:rsidP="004E19B6" w14:paraId="616E2FF3" w14:textId="77777777">
            <w:pPr>
              <w:pStyle w:val="paragraph0"/>
              <w:spacing w:before="0" w:beforeAutospacing="0" w:after="0" w:afterAutospacing="0"/>
              <w:textAlignment w:val="baseline"/>
              <w:rPr>
                <w:rStyle w:val="eop"/>
                <w:sz w:val="22"/>
                <w:szCs w:val="22"/>
              </w:rPr>
            </w:pPr>
            <w:r w:rsidRPr="00863077">
              <w:rPr>
                <w:rStyle w:val="normaltextrun"/>
                <w:sz w:val="22"/>
                <w:szCs w:val="22"/>
              </w:rPr>
              <w:t xml:space="preserve">Nota 2: i </w:t>
            </w:r>
            <w:r w:rsidRPr="00872134">
              <w:rPr>
                <w:rStyle w:val="normaltextrun"/>
                <w:sz w:val="22"/>
                <w:szCs w:val="22"/>
              </w:rPr>
              <w:t>pazienti con valori mancanti alla Settimana 8 sono stati considerati com</w:t>
            </w:r>
            <w:r w:rsidRPr="00F40167">
              <w:rPr>
                <w:rStyle w:val="normaltextrun"/>
                <w:sz w:val="22"/>
                <w:szCs w:val="22"/>
              </w:rPr>
              <w:t xml:space="preserve">e non aver </w:t>
            </w:r>
            <w:r w:rsidR="009913F6">
              <w:rPr>
                <w:rStyle w:val="normaltextrun"/>
                <w:sz w:val="22"/>
                <w:szCs w:val="22"/>
              </w:rPr>
              <w:t>raggiunto</w:t>
            </w:r>
            <w:r w:rsidRPr="00F40167">
              <w:rPr>
                <w:rStyle w:val="normaltextrun"/>
                <w:sz w:val="22"/>
                <w:szCs w:val="22"/>
              </w:rPr>
              <w:t xml:space="preserve"> gli endpoint</w:t>
            </w:r>
            <w:r w:rsidRPr="00F40167">
              <w:rPr>
                <w:rStyle w:val="eop"/>
                <w:sz w:val="22"/>
                <w:szCs w:val="22"/>
              </w:rPr>
              <w:t> </w:t>
            </w:r>
          </w:p>
          <w:p w:rsidR="00B23A08" w:rsidRPr="00B23A08" w:rsidP="004E19B6" w14:paraId="5B325A56" w14:textId="77777777">
            <w:pPr>
              <w:pStyle w:val="paragraph0"/>
              <w:spacing w:before="0" w:beforeAutospacing="0" w:after="0" w:afterAutospacing="0"/>
              <w:textAlignment w:val="baseline"/>
              <w:rPr>
                <w:sz w:val="22"/>
                <w:szCs w:val="22"/>
              </w:rPr>
            </w:pPr>
            <w:r w:rsidRPr="00863077">
              <w:rPr>
                <w:rStyle w:val="eop"/>
                <w:sz w:val="22"/>
                <w:szCs w:val="22"/>
              </w:rPr>
              <w:t xml:space="preserve">Nota 3: </w:t>
            </w:r>
            <w:r w:rsidRPr="00872134">
              <w:rPr>
                <w:sz w:val="22"/>
                <w:szCs w:val="22"/>
              </w:rPr>
              <w:t>i pazienti con valori mancanti alla Settimana 52 o che sono stati randomizzati a ricevere un trattamento di reinduzione o mantenimento sono</w:t>
            </w:r>
            <w:r w:rsidRPr="00F40167">
              <w:rPr>
                <w:sz w:val="22"/>
                <w:szCs w:val="22"/>
              </w:rPr>
              <w:t xml:space="preserve"> stati considerati non responder per gli endpoint della Settimana 52</w:t>
            </w:r>
          </w:p>
        </w:tc>
      </w:tr>
      <w:bookmarkEnd w:id="13136"/>
    </w:tbl>
    <w:p w:rsidR="00B23A08" w:rsidRPr="00612824" w:rsidP="00B23A08" w14:paraId="35E1E2BA" w14:textId="77777777">
      <w:pPr>
        <w:rPr>
          <w:sz w:val="22"/>
          <w:szCs w:val="22"/>
        </w:rPr>
      </w:pPr>
    </w:p>
    <w:p w:rsidR="00B23A08" w:rsidRPr="00612824" w:rsidP="00B23A08" w14:paraId="35C3D7E8" w14:textId="77777777">
      <w:pPr>
        <w:rPr>
          <w:sz w:val="22"/>
          <w:szCs w:val="22"/>
        </w:rPr>
      </w:pPr>
      <w:r w:rsidRPr="00612824">
        <w:rPr>
          <w:sz w:val="22"/>
          <w:szCs w:val="22"/>
        </w:rPr>
        <w:t>Dei pazienti trattati con Humira che hanno ricevuto un trattamento di reinduzione durante il periodo di mantenimento, 2/6 (33%) hanno raggiunto una risposta clinica in base al FMS alla Settimana 52.</w:t>
      </w:r>
    </w:p>
    <w:p w:rsidR="00B23A08" w:rsidRPr="00612824" w:rsidP="00B23A08" w14:paraId="353EAD0F" w14:textId="77777777">
      <w:pPr>
        <w:rPr>
          <w:sz w:val="22"/>
          <w:szCs w:val="22"/>
        </w:rPr>
      </w:pPr>
    </w:p>
    <w:p w:rsidR="00B23A08" w:rsidRPr="00612824" w:rsidP="00B23A08" w14:paraId="4081E0C1" w14:textId="77777777">
      <w:pPr>
        <w:keepNext/>
        <w:rPr>
          <w:bCs/>
          <w:i/>
          <w:sz w:val="22"/>
          <w:szCs w:val="22"/>
        </w:rPr>
      </w:pPr>
      <w:r w:rsidRPr="00612824">
        <w:rPr>
          <w:i/>
          <w:sz w:val="22"/>
          <w:szCs w:val="22"/>
        </w:rPr>
        <w:t>Qualità della vita</w:t>
      </w:r>
    </w:p>
    <w:p w:rsidR="00B23A08" w:rsidRPr="00612824" w:rsidP="00B23A08" w14:paraId="519830D1" w14:textId="77777777">
      <w:pPr>
        <w:keepNext/>
        <w:rPr>
          <w:bCs/>
          <w:i/>
          <w:sz w:val="22"/>
          <w:szCs w:val="22"/>
        </w:rPr>
      </w:pPr>
    </w:p>
    <w:p w:rsidR="00B23A08" w:rsidRPr="00612824" w:rsidP="00B23A08" w14:paraId="5695A08F" w14:textId="77777777">
      <w:pPr>
        <w:keepNext/>
        <w:rPr>
          <w:sz w:val="22"/>
          <w:szCs w:val="22"/>
        </w:rPr>
      </w:pPr>
      <w:r w:rsidRPr="00612824">
        <w:rPr>
          <w:sz w:val="22"/>
          <w:szCs w:val="22"/>
        </w:rPr>
        <w:t xml:space="preserve">Miglioramenti clinicamente significativi rispetto al basale sono stati osservati nei punteggi IMPACT III e WPAI (Work Productivity and Activity Impairment) dei caregiver per i gruppi trattati con Humira. </w:t>
      </w:r>
    </w:p>
    <w:p w:rsidR="00B23A08" w:rsidRPr="00612824" w:rsidP="00B23A08" w14:paraId="453D7799" w14:textId="77777777">
      <w:pPr>
        <w:keepNext/>
        <w:rPr>
          <w:sz w:val="22"/>
          <w:szCs w:val="22"/>
        </w:rPr>
      </w:pPr>
    </w:p>
    <w:p w:rsidR="00B23A08" w:rsidRPr="00612824" w:rsidP="00B23A08" w14:paraId="622206C4" w14:textId="77777777">
      <w:pPr>
        <w:rPr>
          <w:sz w:val="22"/>
          <w:szCs w:val="22"/>
        </w:rPr>
      </w:pPr>
      <w:r w:rsidRPr="00612824">
        <w:rPr>
          <w:sz w:val="22"/>
          <w:szCs w:val="22"/>
        </w:rPr>
        <w:t>Aumenti clinicamente significativi (miglioramento) rispetto al basale della velocità d</w:t>
      </w:r>
      <w:r w:rsidR="00CB3C81">
        <w:rPr>
          <w:sz w:val="22"/>
          <w:szCs w:val="22"/>
        </w:rPr>
        <w:t>i crescita in altezza</w:t>
      </w:r>
      <w:r w:rsidRPr="00612824">
        <w:rPr>
          <w:sz w:val="22"/>
          <w:szCs w:val="22"/>
        </w:rPr>
        <w:t xml:space="preserve"> sono stati osservati per i gruppi trattati con adalimumab e aumenti clinicamente significativi (miglioramento) rispetto al basale dell'indice di massa corporea sono stati osservati </w:t>
      </w:r>
      <w:r w:rsidR="00CB3C81">
        <w:rPr>
          <w:sz w:val="22"/>
          <w:szCs w:val="22"/>
        </w:rPr>
        <w:t>nei</w:t>
      </w:r>
      <w:r w:rsidRPr="00612824">
        <w:rPr>
          <w:sz w:val="22"/>
          <w:szCs w:val="22"/>
        </w:rPr>
        <w:t xml:space="preserve"> soggetti </w:t>
      </w:r>
      <w:r w:rsidR="00CB3C81">
        <w:rPr>
          <w:sz w:val="22"/>
          <w:szCs w:val="22"/>
        </w:rPr>
        <w:t xml:space="preserve">trattati </w:t>
      </w:r>
      <w:r w:rsidRPr="00612824">
        <w:rPr>
          <w:sz w:val="22"/>
          <w:szCs w:val="22"/>
        </w:rPr>
        <w:t xml:space="preserve">con </w:t>
      </w:r>
      <w:r w:rsidR="00CB3C81">
        <w:rPr>
          <w:sz w:val="22"/>
          <w:szCs w:val="22"/>
        </w:rPr>
        <w:t>la</w:t>
      </w:r>
      <w:r w:rsidRPr="00612824">
        <w:rPr>
          <w:sz w:val="22"/>
          <w:szCs w:val="22"/>
        </w:rPr>
        <w:t xml:space="preserve"> dose di </w:t>
      </w:r>
      <w:r w:rsidRPr="00612824">
        <w:rPr>
          <w:rStyle w:val="normaltextrun"/>
          <w:sz w:val="22"/>
          <w:szCs w:val="22"/>
        </w:rPr>
        <w:t>mantenimento</w:t>
      </w:r>
      <w:r w:rsidRPr="00612824">
        <w:rPr>
          <w:sz w:val="22"/>
          <w:szCs w:val="22"/>
        </w:rPr>
        <w:t xml:space="preserve"> di massimo 40 mg (0,6 mg/kg) </w:t>
      </w:r>
      <w:r w:rsidR="00103FAE">
        <w:rPr>
          <w:sz w:val="22"/>
          <w:szCs w:val="22"/>
        </w:rPr>
        <w:t>ogni settimana</w:t>
      </w:r>
      <w:r w:rsidRPr="00612824">
        <w:rPr>
          <w:sz w:val="22"/>
          <w:szCs w:val="22"/>
        </w:rPr>
        <w:t xml:space="preserve">. </w:t>
      </w:r>
    </w:p>
    <w:p w:rsidR="00296E2B" w:rsidRPr="00296E2B" w:rsidP="00296E2B" w14:paraId="4E6A7368" w14:textId="77777777">
      <w:pPr>
        <w:tabs>
          <w:tab w:val="left" w:pos="567"/>
          <w:tab w:val="left" w:pos="1294"/>
        </w:tabs>
        <w:autoSpaceDE w:val="0"/>
        <w:autoSpaceDN w:val="0"/>
        <w:adjustRightInd w:val="0"/>
        <w:jc w:val="both"/>
        <w:rPr>
          <w:color w:val="000000"/>
          <w:sz w:val="22"/>
          <w:szCs w:val="22"/>
          <w:u w:val="single"/>
        </w:rPr>
      </w:pPr>
    </w:p>
    <w:p w:rsidR="00296E2B" w:rsidRPr="00612824" w:rsidP="00296E2B" w14:paraId="64DA2D54" w14:textId="77777777">
      <w:pPr>
        <w:pStyle w:val="gtcbodytext"/>
        <w:keepNext/>
        <w:spacing w:before="0" w:after="0" w:line="240" w:lineRule="auto"/>
        <w:rPr>
          <w:bCs/>
          <w:i/>
          <w:sz w:val="22"/>
          <w:szCs w:val="22"/>
          <w:lang w:val="it-IT"/>
        </w:rPr>
      </w:pPr>
      <w:r w:rsidRPr="00612824">
        <w:rPr>
          <w:bCs/>
          <w:i/>
          <w:sz w:val="22"/>
          <w:szCs w:val="22"/>
          <w:lang w:val="it-IT"/>
        </w:rPr>
        <w:t>Uveite pediatrica</w:t>
      </w:r>
    </w:p>
    <w:p w:rsidR="00296E2B" w:rsidRPr="00612824" w:rsidP="00296E2B" w14:paraId="2109D379" w14:textId="77777777">
      <w:pPr>
        <w:pStyle w:val="gtcbodytext"/>
        <w:keepNext/>
        <w:spacing w:before="0" w:after="0" w:line="240" w:lineRule="auto"/>
        <w:rPr>
          <w:bCs/>
          <w:sz w:val="22"/>
          <w:szCs w:val="22"/>
          <w:lang w:val="it-IT"/>
        </w:rPr>
      </w:pPr>
    </w:p>
    <w:p w:rsidR="00296E2B" w:rsidRPr="00612824" w:rsidP="00296E2B" w14:paraId="11028846" w14:textId="77777777">
      <w:pPr>
        <w:pStyle w:val="gtcbodytext"/>
        <w:keepNext/>
        <w:spacing w:before="0" w:after="0" w:line="240" w:lineRule="auto"/>
        <w:rPr>
          <w:bCs/>
          <w:sz w:val="22"/>
          <w:szCs w:val="22"/>
          <w:lang w:val="it-IT"/>
        </w:rPr>
      </w:pPr>
      <w:r w:rsidRPr="00612824">
        <w:rPr>
          <w:bCs/>
          <w:sz w:val="22"/>
          <w:szCs w:val="22"/>
          <w:lang w:val="it-IT"/>
        </w:rPr>
        <w:t>La sicurezza e l’efficacia di Humira sono state valutate in uno studio randomizzato, controllato, in doppio cieco su 90 pazienti pediatrici dai 2 ai &lt;18 anni di età con uveite anteriore non infettiva attiva associata ad artrite idiopatica giovanile (JIA) refrattari ad almeno 12 settimane di trattamento con metotressato. I pazienti hanno ricevuto placebo oppure 20 mg di adalimumab (se &lt;30 kg) o 40 mg di adalimumab (se ≥30 kg) a settimane alterne in combinazione con la loro dose basale di metotressato.</w:t>
      </w:r>
    </w:p>
    <w:p w:rsidR="00296E2B" w:rsidRPr="00612824" w:rsidP="00296E2B" w14:paraId="2932AB90" w14:textId="77777777">
      <w:pPr>
        <w:pStyle w:val="gtcbodytext"/>
        <w:spacing w:before="0" w:after="0" w:line="240" w:lineRule="auto"/>
        <w:rPr>
          <w:bCs/>
          <w:sz w:val="22"/>
          <w:szCs w:val="22"/>
          <w:lang w:val="it-IT"/>
        </w:rPr>
      </w:pPr>
    </w:p>
    <w:p w:rsidR="00296E2B" w:rsidRPr="00612824" w:rsidP="00296E2B" w14:paraId="17EC8DC1" w14:textId="77777777">
      <w:pPr>
        <w:pStyle w:val="gtcbodytext"/>
        <w:keepNext/>
        <w:keepLines/>
        <w:spacing w:before="0" w:after="0" w:line="240" w:lineRule="auto"/>
        <w:rPr>
          <w:color w:val="000000"/>
          <w:sz w:val="22"/>
          <w:szCs w:val="22"/>
          <w:lang w:val="it-IT"/>
        </w:rPr>
      </w:pPr>
      <w:r w:rsidRPr="00612824">
        <w:rPr>
          <w:color w:val="000000"/>
          <w:sz w:val="22"/>
          <w:szCs w:val="22"/>
          <w:lang w:val="it-IT"/>
        </w:rPr>
        <w:t>L'endpoint primario di efficacia in entrambi gli studi era il “tempo al fallimento del trattamento”. I criteri che definivano il fallimento del trattamento erano il peggioramento o l’assenza prolungata di un miglioramento dell’infiammazione oculare o il miglioramento parziale con sviluppo di comorbidità oculari prolungate o peggioramento delle comorbidità oculari esistenti, l’uso non consentito di medicinali concomitanti e la sospensione del trattamento per un periodo di tempo prolungato.</w:t>
      </w:r>
    </w:p>
    <w:p w:rsidR="00296E2B" w:rsidRPr="00612824" w:rsidP="00296E2B" w14:paraId="6906E1CE" w14:textId="77777777">
      <w:pPr>
        <w:pStyle w:val="gtcbodytext"/>
        <w:keepNext/>
        <w:keepLines/>
        <w:spacing w:before="0" w:after="0" w:line="240" w:lineRule="auto"/>
        <w:rPr>
          <w:bCs/>
          <w:sz w:val="22"/>
          <w:szCs w:val="22"/>
          <w:lang w:val="it-IT"/>
        </w:rPr>
      </w:pPr>
    </w:p>
    <w:p w:rsidR="00296E2B" w:rsidRPr="00612824" w:rsidP="00296E2B" w14:paraId="48117A9F" w14:textId="77777777">
      <w:pPr>
        <w:pStyle w:val="EMEAHeadingUnderline"/>
        <w:spacing w:beforeLines="0" w:afterLines="0"/>
        <w:rPr>
          <w:i/>
          <w:lang w:val="it-IT"/>
        </w:rPr>
      </w:pPr>
      <w:r w:rsidRPr="00612824">
        <w:rPr>
          <w:i/>
          <w:lang w:val="it-IT"/>
        </w:rPr>
        <w:t>Risposta clinica</w:t>
      </w:r>
    </w:p>
    <w:p w:rsidR="00296E2B" w:rsidRPr="00612824" w:rsidP="00296E2B" w14:paraId="6199F6FB" w14:textId="77777777">
      <w:pPr>
        <w:pStyle w:val="gtcbodytext"/>
        <w:spacing w:before="0" w:after="0" w:line="240" w:lineRule="auto"/>
        <w:rPr>
          <w:i/>
          <w:sz w:val="22"/>
          <w:szCs w:val="22"/>
          <w:u w:val="single"/>
          <w:lang w:val="it-IT"/>
        </w:rPr>
      </w:pPr>
    </w:p>
    <w:p w:rsidR="00296E2B" w:rsidRPr="00612824" w:rsidP="00296E2B" w14:paraId="6AA4F77D" w14:textId="77777777">
      <w:pPr>
        <w:pStyle w:val="gtcbodytext"/>
        <w:spacing w:before="0" w:after="0" w:line="240" w:lineRule="auto"/>
        <w:rPr>
          <w:color w:val="000000"/>
          <w:sz w:val="22"/>
          <w:szCs w:val="22"/>
          <w:lang w:val="it-IT"/>
        </w:rPr>
      </w:pPr>
      <w:r w:rsidRPr="00612824">
        <w:rPr>
          <w:bCs/>
          <w:sz w:val="22"/>
          <w:szCs w:val="22"/>
          <w:lang w:val="it-IT"/>
        </w:rPr>
        <w:t xml:space="preserve">Adalimumab ha ritardato in misura significativa il tempo al fallimento del trattamento rispetto al placebo (vedere Figura 3, P &lt;0,0001 </w:t>
      </w:r>
      <w:r w:rsidRPr="00612824">
        <w:rPr>
          <w:color w:val="000000"/>
          <w:sz w:val="22"/>
          <w:szCs w:val="22"/>
          <w:lang w:val="it-IT"/>
        </w:rPr>
        <w:t>dal test dei ranghi logaritmici). La mediana del tempo al fallimento del trattamento è stata di 24,1 settimane per i soggetti trattati con placebo, mentre la mediana del tempo al fallimento del trattamento è risultata non valutabile per i soggetti trattati con adalimumab in quanto meno di metà di questi soggetti è andata incontro a fallimento del trattamento. Adalimumab ha ridotto in maniera significativa il rischio di fallimento del trattamento nella misura del 75% rispetto al placebo, come evidenziato dal rapporto di rischio (HR = 0,25 [IC al 95%: 0,12; 0,49]).</w:t>
      </w:r>
    </w:p>
    <w:p w:rsidR="00296E2B" w:rsidRPr="00612824" w:rsidP="00296E2B" w14:paraId="55B75D5C" w14:textId="77777777">
      <w:pPr>
        <w:pStyle w:val="gtcbodytext"/>
        <w:spacing w:before="0" w:after="0" w:line="240" w:lineRule="auto"/>
        <w:rPr>
          <w:bCs/>
          <w:sz w:val="22"/>
          <w:szCs w:val="22"/>
          <w:lang w:val="it-IT"/>
        </w:rPr>
      </w:pPr>
    </w:p>
    <w:p w:rsidR="00296E2B" w:rsidRPr="00612824" w:rsidP="00296E2B" w14:paraId="76858249" w14:textId="77777777">
      <w:pPr>
        <w:keepNext/>
        <w:tabs>
          <w:tab w:val="left" w:pos="562"/>
        </w:tabs>
        <w:suppressAutoHyphens/>
        <w:jc w:val="center"/>
        <w:rPr>
          <w:b/>
          <w:sz w:val="22"/>
          <w:szCs w:val="22"/>
          <w:lang w:eastAsia="en-US"/>
        </w:rPr>
      </w:pPr>
      <w:r w:rsidRPr="00612824">
        <w:rPr>
          <w:b/>
          <w:sz w:val="22"/>
          <w:szCs w:val="22"/>
        </w:rPr>
        <w:t xml:space="preserve">Figura 3: </w:t>
      </w:r>
      <w:r w:rsidRPr="00612824">
        <w:rPr>
          <w:b/>
          <w:sz w:val="22"/>
          <w:szCs w:val="22"/>
          <w:lang w:eastAsia="en-US"/>
        </w:rPr>
        <w:t>curve di Kaplan-Meier del tempo al fallimento del trattamento nello studio sull’uveite pediatrica</w:t>
      </w:r>
    </w:p>
    <w:p w:rsidR="00296E2B" w:rsidRPr="00612824" w:rsidP="00296E2B" w14:paraId="7AE431FD" w14:textId="77777777">
      <w:pPr>
        <w:keepNext/>
        <w:tabs>
          <w:tab w:val="left" w:pos="562"/>
        </w:tabs>
        <w:suppressAutoHyphens/>
        <w:jc w:val="center"/>
        <w:rPr>
          <w:b/>
          <w:sz w:val="22"/>
          <w:szCs w:val="22"/>
          <w:lang w:eastAsia="en-US"/>
        </w:rPr>
      </w:pPr>
    </w:p>
    <w:tbl>
      <w:tblPr>
        <w:tblW w:w="9288" w:type="dxa"/>
        <w:tblLayout w:type="fixed"/>
        <w:tblLook w:val="04A0"/>
      </w:tblPr>
      <w:tblGrid>
        <w:gridCol w:w="468"/>
        <w:gridCol w:w="3510"/>
        <w:gridCol w:w="1170"/>
        <w:gridCol w:w="1350"/>
        <w:gridCol w:w="900"/>
        <w:gridCol w:w="1890"/>
      </w:tblGrid>
      <w:tr w14:paraId="206ADCC1" w14:textId="77777777" w:rsidTr="00F83E38">
        <w:tblPrEx>
          <w:tblW w:w="9288" w:type="dxa"/>
          <w:tblLayout w:type="fixed"/>
          <w:tblLook w:val="04A0"/>
        </w:tblPrEx>
        <w:trPr>
          <w:cantSplit/>
          <w:trHeight w:val="3806"/>
        </w:trPr>
        <w:tc>
          <w:tcPr>
            <w:tcW w:w="468" w:type="dxa"/>
            <w:textDirection w:val="btLr"/>
            <w:vAlign w:val="bottom"/>
          </w:tcPr>
          <w:p w:rsidR="00296E2B" w:rsidRPr="00612824" w:rsidP="00F83E38" w14:paraId="1F5EA056" w14:textId="77777777">
            <w:pPr>
              <w:pStyle w:val="EMEANormal"/>
              <w:keepNext/>
              <w:ind w:left="113" w:right="113"/>
              <w:jc w:val="center"/>
              <w:rPr>
                <w:b/>
                <w:lang w:val="it-IT"/>
              </w:rPr>
            </w:pPr>
            <w:r w:rsidRPr="00612824">
              <w:rPr>
                <w:b/>
                <w:lang w:val="it-IT"/>
              </w:rPr>
              <w:t>P</w:t>
            </w:r>
            <w:r w:rsidRPr="00612824">
              <w:rPr>
                <w:b/>
                <w:caps/>
                <w:lang w:val="it-IT"/>
              </w:rPr>
              <w:t>ROBABILITà di fallimento del trattamento</w:t>
            </w:r>
          </w:p>
        </w:tc>
        <w:tc>
          <w:tcPr>
            <w:tcW w:w="8820" w:type="dxa"/>
            <w:gridSpan w:val="5"/>
            <w:vAlign w:val="bottom"/>
          </w:tcPr>
          <w:p w:rsidR="00296E2B" w:rsidRPr="00612824" w:rsidP="00F83E38" w14:paraId="0C39CC9A" w14:textId="77777777">
            <w:pPr>
              <w:pStyle w:val="EMEANormal"/>
              <w:keepNext/>
              <w:rPr>
                <w:lang w:val="it-IT"/>
              </w:rPr>
            </w:pPr>
            <w:r w:rsidRPr="00910CE7">
              <w:rPr>
                <w:noProof/>
                <w:lang w:val="en-GB"/>
              </w:rPr>
              <w:drawing>
                <wp:inline distT="0" distB="0" distL="0" distR="0">
                  <wp:extent cx="5486400" cy="4552950"/>
                  <wp:effectExtent l="0" t="0" r="0" b="0"/>
                  <wp:docPr id="59" name="Immagine 89"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 descr="Humira PED UV KM Curve REVISED 3"/>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14:paraId="566C2AAA" w14:textId="77777777" w:rsidTr="00F83E38">
        <w:tblPrEx>
          <w:tblW w:w="9288" w:type="dxa"/>
          <w:tblLayout w:type="fixed"/>
          <w:tblLook w:val="04A0"/>
        </w:tblPrEx>
        <w:tc>
          <w:tcPr>
            <w:tcW w:w="468" w:type="dxa"/>
          </w:tcPr>
          <w:p w:rsidR="00296E2B" w:rsidRPr="00612824" w:rsidP="00F83E38" w14:paraId="3EA3A36B" w14:textId="77777777">
            <w:pPr>
              <w:pStyle w:val="EMEANormal"/>
              <w:keepNext/>
              <w:rPr>
                <w:lang w:val="it-IT"/>
              </w:rPr>
            </w:pPr>
          </w:p>
        </w:tc>
        <w:tc>
          <w:tcPr>
            <w:tcW w:w="8820" w:type="dxa"/>
            <w:gridSpan w:val="5"/>
          </w:tcPr>
          <w:p w:rsidR="00296E2B" w:rsidRPr="00612824" w:rsidP="00F83E38" w14:paraId="26C10867" w14:textId="77777777">
            <w:pPr>
              <w:pStyle w:val="EMEANormal"/>
              <w:keepNext/>
              <w:jc w:val="center"/>
              <w:rPr>
                <w:b/>
                <w:lang w:val="it-IT"/>
              </w:rPr>
            </w:pPr>
            <w:r w:rsidRPr="00612824">
              <w:rPr>
                <w:b/>
                <w:lang w:val="it-IT"/>
              </w:rPr>
              <w:t>TEMPO (SETTIMANE)</w:t>
            </w:r>
          </w:p>
        </w:tc>
      </w:tr>
      <w:tr w14:paraId="39A02496" w14:textId="77777777" w:rsidTr="00F83E38">
        <w:tblPrEx>
          <w:tblW w:w="9288" w:type="dxa"/>
          <w:tblLayout w:type="fixed"/>
          <w:tblLook w:val="04A0"/>
        </w:tblPrEx>
        <w:tc>
          <w:tcPr>
            <w:tcW w:w="468" w:type="dxa"/>
          </w:tcPr>
          <w:p w:rsidR="00296E2B" w:rsidRPr="00612824" w:rsidP="00F83E38" w14:paraId="0EAD8E08" w14:textId="77777777">
            <w:pPr>
              <w:pStyle w:val="EMEANormal"/>
              <w:keepNext/>
              <w:rPr>
                <w:lang w:val="it-IT"/>
              </w:rPr>
            </w:pPr>
          </w:p>
        </w:tc>
        <w:tc>
          <w:tcPr>
            <w:tcW w:w="3510" w:type="dxa"/>
          </w:tcPr>
          <w:p w:rsidR="00296E2B" w:rsidRPr="00612824" w:rsidP="00F83E38" w14:paraId="332E8D51" w14:textId="77777777">
            <w:pPr>
              <w:pStyle w:val="EMEANormal"/>
              <w:keepNext/>
              <w:rPr>
                <w:lang w:val="it-IT"/>
              </w:rPr>
            </w:pPr>
            <w:r w:rsidRPr="00612824">
              <w:rPr>
                <w:lang w:val="it-IT"/>
              </w:rPr>
              <w:t>Trattamento</w:t>
            </w:r>
          </w:p>
        </w:tc>
        <w:tc>
          <w:tcPr>
            <w:tcW w:w="1170" w:type="dxa"/>
            <w:vAlign w:val="bottom"/>
          </w:tcPr>
          <w:p w:rsidR="00296E2B" w:rsidRPr="00612824" w:rsidP="00F83E38" w14:paraId="1BF0300C" w14:textId="77777777">
            <w:pPr>
              <w:pStyle w:val="EMEANormal"/>
              <w:keepNext/>
              <w:jc w:val="center"/>
              <w:rPr>
                <w:lang w:val="it-IT"/>
              </w:rPr>
            </w:pPr>
            <w:r w:rsidRPr="00910CE7">
              <w:rPr>
                <w:noProof/>
                <w:lang w:val="en-GB"/>
              </w:rPr>
              <w:drawing>
                <wp:inline distT="0" distB="0" distL="0" distR="0">
                  <wp:extent cx="457200" cy="123825"/>
                  <wp:effectExtent l="0" t="0" r="0" b="0"/>
                  <wp:docPr id="60" name="Immagine 9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 descr="Humira PED UV KM Curve 11"/>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tcPr>
          <w:p w:rsidR="00296E2B" w:rsidRPr="00612824" w:rsidP="00F83E38" w14:paraId="68700B1B" w14:textId="77777777">
            <w:pPr>
              <w:pStyle w:val="EMEANormal"/>
              <w:keepNext/>
              <w:rPr>
                <w:lang w:val="it-IT"/>
              </w:rPr>
            </w:pPr>
            <w:r w:rsidRPr="00612824">
              <w:rPr>
                <w:lang w:val="it-IT"/>
              </w:rPr>
              <w:t>Placebo</w:t>
            </w:r>
          </w:p>
        </w:tc>
        <w:tc>
          <w:tcPr>
            <w:tcW w:w="900" w:type="dxa"/>
            <w:vAlign w:val="center"/>
          </w:tcPr>
          <w:p w:rsidR="00296E2B" w:rsidRPr="00612824" w:rsidP="00F83E38" w14:paraId="2D670757" w14:textId="77777777">
            <w:pPr>
              <w:pStyle w:val="EMEANormal"/>
              <w:keepNext/>
              <w:rPr>
                <w:lang w:val="it-IT"/>
              </w:rPr>
            </w:pPr>
            <w:r w:rsidRPr="00910CE7">
              <w:rPr>
                <w:noProof/>
                <w:lang w:val="en-GB"/>
              </w:rPr>
              <w:drawing>
                <wp:inline distT="0" distB="0" distL="0" distR="0">
                  <wp:extent cx="457200" cy="85725"/>
                  <wp:effectExtent l="0" t="0" r="0" b="0"/>
                  <wp:docPr id="62" name="Immagine 97"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3" descr="Humira PED UV KM Curve 11"/>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tcPr>
          <w:p w:rsidR="00296E2B" w:rsidRPr="00612824" w:rsidP="00F83E38" w14:paraId="64916A19" w14:textId="77777777">
            <w:pPr>
              <w:pStyle w:val="EMEANormal"/>
              <w:keepNext/>
              <w:rPr>
                <w:lang w:val="it-IT"/>
              </w:rPr>
            </w:pPr>
            <w:r w:rsidRPr="00612824">
              <w:rPr>
                <w:lang w:val="it-IT"/>
              </w:rPr>
              <w:t>Adalimumab</w:t>
            </w:r>
          </w:p>
        </w:tc>
      </w:tr>
      <w:tr w14:paraId="754E8C5D" w14:textId="77777777" w:rsidTr="00F83E38">
        <w:tblPrEx>
          <w:tblW w:w="9288" w:type="dxa"/>
          <w:tblLayout w:type="fixed"/>
          <w:tblLook w:val="04A0"/>
        </w:tblPrEx>
        <w:tc>
          <w:tcPr>
            <w:tcW w:w="468" w:type="dxa"/>
          </w:tcPr>
          <w:p w:rsidR="00296E2B" w:rsidRPr="00612824" w:rsidP="00F83E38" w14:paraId="4FA870B9" w14:textId="77777777">
            <w:pPr>
              <w:pStyle w:val="EMEANormal"/>
              <w:rPr>
                <w:lang w:val="it-IT"/>
              </w:rPr>
            </w:pPr>
          </w:p>
        </w:tc>
        <w:tc>
          <w:tcPr>
            <w:tcW w:w="8820" w:type="dxa"/>
            <w:gridSpan w:val="5"/>
          </w:tcPr>
          <w:p w:rsidR="00296E2B" w:rsidRPr="00296E2B" w:rsidP="00F83E38" w14:paraId="0BF94812" w14:textId="77777777">
            <w:pPr>
              <w:pStyle w:val="EMEANormal"/>
              <w:rPr>
                <w:lang w:val="it-IT"/>
              </w:rPr>
            </w:pPr>
            <w:r w:rsidRPr="00612824">
              <w:rPr>
                <w:lang w:val="it-IT"/>
              </w:rPr>
              <w:t>Nota: P = Placebo (Numero a rischio); H = HUMIRA (Numero a rischio).</w:t>
            </w:r>
          </w:p>
        </w:tc>
      </w:tr>
    </w:tbl>
    <w:p w:rsidR="006224C2" w:rsidRPr="00295E71" w14:paraId="616BC3F8" w14:textId="77777777">
      <w:pPr>
        <w:tabs>
          <w:tab w:val="left" w:pos="567"/>
          <w:tab w:val="left" w:pos="1294"/>
        </w:tabs>
        <w:autoSpaceDE w:val="0"/>
        <w:autoSpaceDN w:val="0"/>
        <w:adjustRightInd w:val="0"/>
        <w:jc w:val="both"/>
        <w:rPr>
          <w:color w:val="000000"/>
          <w:sz w:val="22"/>
          <w:szCs w:val="22"/>
        </w:rPr>
      </w:pPr>
    </w:p>
    <w:p w:rsidR="006224C2" w:rsidRPr="00295E71" w:rsidP="00F57FE5" w14:paraId="7E49E86B" w14:textId="77777777">
      <w:pPr>
        <w:keepNext/>
        <w:keepLines/>
        <w:numPr>
          <w:ilvl w:val="1"/>
          <w:numId w:val="61"/>
        </w:numPr>
        <w:tabs>
          <w:tab w:val="clear" w:pos="360"/>
          <w:tab w:val="num" w:pos="567"/>
        </w:tabs>
        <w:ind w:left="567" w:hanging="567"/>
        <w:jc w:val="both"/>
        <w:rPr>
          <w:b/>
          <w:bCs/>
          <w:sz w:val="22"/>
          <w:szCs w:val="22"/>
        </w:rPr>
      </w:pPr>
      <w:r w:rsidRPr="00295E71">
        <w:rPr>
          <w:b/>
          <w:bCs/>
          <w:sz w:val="22"/>
          <w:szCs w:val="22"/>
        </w:rPr>
        <w:t>Proprietà farmacocinetiche</w:t>
      </w:r>
    </w:p>
    <w:p w:rsidR="006224C2" w:rsidRPr="00295E71" w:rsidP="00F57FE5" w14:paraId="74663D37" w14:textId="77777777">
      <w:pPr>
        <w:keepNext/>
        <w:keepLines/>
        <w:tabs>
          <w:tab w:val="left" w:pos="567"/>
        </w:tabs>
        <w:jc w:val="both"/>
        <w:rPr>
          <w:sz w:val="22"/>
          <w:szCs w:val="22"/>
        </w:rPr>
      </w:pPr>
    </w:p>
    <w:p w:rsidR="006224C2" w:rsidRPr="00295E71" w:rsidP="00F57FE5" w14:paraId="11475A00" w14:textId="77777777">
      <w:pPr>
        <w:keepNext/>
        <w:keepLines/>
        <w:tabs>
          <w:tab w:val="left" w:pos="567"/>
        </w:tabs>
        <w:autoSpaceDE w:val="0"/>
        <w:autoSpaceDN w:val="0"/>
        <w:adjustRightInd w:val="0"/>
        <w:jc w:val="both"/>
        <w:rPr>
          <w:color w:val="000000"/>
          <w:sz w:val="22"/>
          <w:szCs w:val="22"/>
          <w:u w:val="single"/>
        </w:rPr>
      </w:pPr>
      <w:r w:rsidRPr="00295E71">
        <w:rPr>
          <w:color w:val="000000"/>
          <w:sz w:val="22"/>
          <w:szCs w:val="22"/>
          <w:u w:val="single"/>
        </w:rPr>
        <w:t>Assorbimento e distribuzione</w:t>
      </w:r>
    </w:p>
    <w:p w:rsidR="006224C2" w:rsidRPr="00295E71" w:rsidP="00F57FE5" w14:paraId="79545E94" w14:textId="77777777">
      <w:pPr>
        <w:keepNext/>
        <w:keepLines/>
        <w:tabs>
          <w:tab w:val="left" w:pos="567"/>
        </w:tabs>
        <w:autoSpaceDE w:val="0"/>
        <w:autoSpaceDN w:val="0"/>
        <w:adjustRightInd w:val="0"/>
        <w:jc w:val="both"/>
        <w:rPr>
          <w:color w:val="000000"/>
          <w:sz w:val="22"/>
          <w:szCs w:val="22"/>
        </w:rPr>
      </w:pPr>
    </w:p>
    <w:p w:rsidR="006224C2" w:rsidRPr="00295E71" w:rsidP="00F57FE5" w14:paraId="34BD56E4"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Dopo la somministrazione sottocutanea di una singola dose di 40 mg, l’assorbimento e la distribuzione di adalimumab sono stati lenti, con picchi di concentrazione sierica raggiunti circa 5 giorni dopo la somministrazione. La biodisponibilità media assoluta di adalimumab rilevata nei tre studi dopo una dose sottocutanea unica di 40 mg è stata del 64%.</w:t>
      </w:r>
      <w:r w:rsidRPr="00295E71" w:rsidR="0066449A">
        <w:rPr>
          <w:color w:val="000000"/>
          <w:sz w:val="22"/>
          <w:szCs w:val="22"/>
        </w:rPr>
        <w:t xml:space="preserve"> </w:t>
      </w:r>
      <w:r w:rsidRPr="00295E71">
        <w:rPr>
          <w:color w:val="000000"/>
          <w:sz w:val="22"/>
          <w:szCs w:val="22"/>
        </w:rPr>
        <w:t>Dopo dosi endovenose singole da 0,25 a 10 mg/kg, le concentrazioni sono state proporzionali alla dose. Dopo dosi di 0,5 mg/kg (~40 mg), la clearance è variata da 11 a 15 ml/ora, il volume di distribuzione (V</w:t>
      </w:r>
      <w:r w:rsidRPr="00295E71">
        <w:rPr>
          <w:color w:val="000000"/>
          <w:sz w:val="22"/>
          <w:szCs w:val="22"/>
          <w:vertAlign w:val="subscript"/>
        </w:rPr>
        <w:t>ss</w:t>
      </w:r>
      <w:r w:rsidRPr="00295E71">
        <w:rPr>
          <w:color w:val="000000"/>
          <w:sz w:val="22"/>
          <w:szCs w:val="22"/>
        </w:rPr>
        <w:t xml:space="preserve">) è variato dai 5 ai 6 litri, e l’emivita media della fase finale è stata di circa due settimane. Le concentrazioni di adalimumab nel liquido sinoviale in diversi pazienti affetti da artrite reumatoide sono </w:t>
      </w:r>
      <w:r w:rsidR="004C4E1E">
        <w:rPr>
          <w:color w:val="000000"/>
          <w:sz w:val="22"/>
          <w:szCs w:val="22"/>
        </w:rPr>
        <w:t>state</w:t>
      </w:r>
      <w:r w:rsidRPr="00295E71">
        <w:rPr>
          <w:color w:val="000000"/>
          <w:sz w:val="22"/>
          <w:szCs w:val="22"/>
        </w:rPr>
        <w:t xml:space="preserve"> del 31-96% rispetto a quelle sieriche.</w:t>
      </w:r>
    </w:p>
    <w:p w:rsidR="006224C2" w:rsidRPr="00295E71" w:rsidP="00F57FE5" w14:paraId="5EBB3DDF" w14:textId="77777777">
      <w:pPr>
        <w:keepNext/>
        <w:keepLines/>
        <w:tabs>
          <w:tab w:val="left" w:pos="567"/>
        </w:tabs>
        <w:autoSpaceDE w:val="0"/>
        <w:autoSpaceDN w:val="0"/>
        <w:adjustRightInd w:val="0"/>
        <w:jc w:val="both"/>
        <w:rPr>
          <w:color w:val="000000"/>
          <w:sz w:val="22"/>
          <w:szCs w:val="22"/>
        </w:rPr>
      </w:pPr>
    </w:p>
    <w:p w:rsidR="006224C2" w:rsidRPr="00295E71" w14:paraId="50417412" w14:textId="77777777">
      <w:pPr>
        <w:tabs>
          <w:tab w:val="left" w:pos="567"/>
        </w:tabs>
        <w:autoSpaceDE w:val="0"/>
        <w:autoSpaceDN w:val="0"/>
        <w:adjustRightInd w:val="0"/>
        <w:jc w:val="both"/>
        <w:rPr>
          <w:color w:val="000000"/>
          <w:sz w:val="22"/>
          <w:szCs w:val="22"/>
        </w:rPr>
      </w:pPr>
      <w:r w:rsidRPr="00295E71">
        <w:rPr>
          <w:color w:val="000000"/>
          <w:sz w:val="22"/>
          <w:szCs w:val="22"/>
        </w:rPr>
        <w:t>In seguito a somministrazione sottocutanea di 40 mg di adalimumab ogni due settimane in pazienti adulti con artrite reumatoide (AR) le concentrazioni</w:t>
      </w:r>
      <w:r w:rsidRPr="00295E71" w:rsidR="00046E7F">
        <w:rPr>
          <w:color w:val="000000"/>
          <w:sz w:val="22"/>
          <w:szCs w:val="22"/>
        </w:rPr>
        <w:t xml:space="preserve"> </w:t>
      </w:r>
      <w:r w:rsidRPr="00295E71">
        <w:rPr>
          <w:color w:val="000000"/>
          <w:sz w:val="22"/>
          <w:szCs w:val="22"/>
        </w:rPr>
        <w:t xml:space="preserve">minime all’equilibrio sono state in media di circa 5 </w:t>
      </w:r>
      <w:r w:rsidRPr="00295E71">
        <w:rPr>
          <w:rFonts w:ascii="Symbol" w:hAnsi="Symbol"/>
          <w:color w:val="000000"/>
          <w:sz w:val="22"/>
          <w:szCs w:val="22"/>
        </w:rPr>
        <w:sym w:font="Symbol" w:char="F06D"/>
      </w:r>
      <w:r w:rsidRPr="00295E71">
        <w:rPr>
          <w:color w:val="000000"/>
          <w:sz w:val="22"/>
          <w:szCs w:val="22"/>
        </w:rPr>
        <w:t xml:space="preserve">g/ml (senza terapia concomitante con metotressato) e 8-9 </w:t>
      </w:r>
      <w:r w:rsidRPr="00295E71">
        <w:rPr>
          <w:rFonts w:ascii="Symbol" w:hAnsi="Symbol"/>
          <w:color w:val="000000"/>
          <w:sz w:val="22"/>
          <w:szCs w:val="22"/>
        </w:rPr>
        <w:sym w:font="Symbol" w:char="F06D"/>
      </w:r>
      <w:r w:rsidRPr="00295E71">
        <w:rPr>
          <w:color w:val="000000"/>
          <w:sz w:val="22"/>
          <w:szCs w:val="22"/>
        </w:rPr>
        <w:t>g/ml (in combinazione con metotressato). I livelli sierici minimi di adalimumab all’equilibrio a seguito di dosaggi sottocutanei da 20, 40 e 80 mg ogni 2 settimane o settimanalmente sono aumentati approssimativamente in maniera pressoché dose-dipendente.</w:t>
      </w:r>
    </w:p>
    <w:p w:rsidR="006224C2" w:rsidRPr="00295E71" w14:paraId="7A0EAB21" w14:textId="77777777">
      <w:pPr>
        <w:tabs>
          <w:tab w:val="left" w:pos="567"/>
        </w:tabs>
        <w:autoSpaceDE w:val="0"/>
        <w:autoSpaceDN w:val="0"/>
        <w:adjustRightInd w:val="0"/>
        <w:jc w:val="both"/>
        <w:rPr>
          <w:color w:val="000000"/>
          <w:sz w:val="22"/>
          <w:szCs w:val="22"/>
        </w:rPr>
      </w:pPr>
    </w:p>
    <w:p w:rsidR="006224C2" w:rsidRPr="00295E71" w14:paraId="1FC813F7" w14:textId="77777777">
      <w:pPr>
        <w:tabs>
          <w:tab w:val="left" w:pos="567"/>
        </w:tabs>
        <w:autoSpaceDE w:val="0"/>
        <w:autoSpaceDN w:val="0"/>
        <w:adjustRightInd w:val="0"/>
        <w:jc w:val="both"/>
        <w:rPr>
          <w:color w:val="000000"/>
          <w:sz w:val="22"/>
          <w:szCs w:val="22"/>
        </w:rPr>
      </w:pPr>
      <w:r w:rsidRPr="00295E71">
        <w:rPr>
          <w:color w:val="000000"/>
          <w:sz w:val="22"/>
          <w:szCs w:val="22"/>
        </w:rPr>
        <w:t>In seguito alla somministrazione di 24 mg/m</w:t>
      </w:r>
      <w:r w:rsidRPr="00295E71">
        <w:rPr>
          <w:color w:val="000000"/>
          <w:sz w:val="22"/>
          <w:szCs w:val="22"/>
          <w:vertAlign w:val="superscript"/>
        </w:rPr>
        <w:t>2</w:t>
      </w:r>
      <w:r w:rsidRPr="00295E71">
        <w:rPr>
          <w:color w:val="000000"/>
          <w:sz w:val="22"/>
          <w:szCs w:val="22"/>
        </w:rPr>
        <w:t xml:space="preserve"> di adalimumab (massimo 40 mg) per via sottocutanea a settimane alterne a pazienti di età dai 4 ai 17 anni affetti da artrite idiopatica giovanile poliarticolare (JIA), la concentrazione sierica minima media allo stato </w:t>
      </w:r>
      <w:r w:rsidR="004C4E1E">
        <w:rPr>
          <w:color w:val="000000"/>
          <w:sz w:val="22"/>
          <w:szCs w:val="22"/>
        </w:rPr>
        <w:t>stazionario</w:t>
      </w:r>
      <w:r w:rsidRPr="00295E71" w:rsidR="004C4E1E">
        <w:rPr>
          <w:color w:val="000000"/>
          <w:sz w:val="22"/>
          <w:szCs w:val="22"/>
        </w:rPr>
        <w:t xml:space="preserve"> </w:t>
      </w:r>
      <w:r w:rsidRPr="00295E71">
        <w:rPr>
          <w:color w:val="000000"/>
          <w:sz w:val="22"/>
          <w:szCs w:val="22"/>
        </w:rPr>
        <w:t>di adalimumab (valori misurati a partire dalla 20a fino alla 48a settimana) è stata pari a 5,6 ± 5,6 µg/ml (102% CV) con adalimumab senza l’uso concomitante di metotressato ed a 10,9 ± 5,2 µg/ml (47,7% CV) con metotressato somministrato in concomitanza.</w:t>
      </w:r>
    </w:p>
    <w:p w:rsidR="006224C2" w:rsidRPr="00295E71" w14:paraId="59B2B1B0" w14:textId="77777777">
      <w:pPr>
        <w:tabs>
          <w:tab w:val="left" w:pos="567"/>
        </w:tabs>
        <w:autoSpaceDE w:val="0"/>
        <w:autoSpaceDN w:val="0"/>
        <w:adjustRightInd w:val="0"/>
        <w:jc w:val="both"/>
        <w:rPr>
          <w:color w:val="000000"/>
          <w:sz w:val="22"/>
          <w:szCs w:val="22"/>
        </w:rPr>
      </w:pPr>
    </w:p>
    <w:p w:rsidR="006224C2" w:rsidRPr="00295E71" w14:paraId="3757874D" w14:textId="77777777">
      <w:pPr>
        <w:tabs>
          <w:tab w:val="left" w:pos="567"/>
        </w:tabs>
        <w:autoSpaceDE w:val="0"/>
        <w:autoSpaceDN w:val="0"/>
        <w:adjustRightInd w:val="0"/>
        <w:jc w:val="both"/>
        <w:rPr>
          <w:color w:val="000000"/>
          <w:sz w:val="22"/>
          <w:szCs w:val="22"/>
        </w:rPr>
      </w:pPr>
      <w:r w:rsidRPr="00295E71">
        <w:rPr>
          <w:color w:val="000000"/>
          <w:sz w:val="22"/>
          <w:szCs w:val="22"/>
        </w:rPr>
        <w:t>Nei pazienti con JIA poliarticolare di età da 2 a &lt;4 anni o di 4 anni e oltre di peso &lt; 15 kg trattati con adalimumab 24mg/m</w:t>
      </w:r>
      <w:r w:rsidRPr="00295E71">
        <w:rPr>
          <w:color w:val="000000"/>
          <w:sz w:val="22"/>
          <w:szCs w:val="22"/>
          <w:vertAlign w:val="superscript"/>
        </w:rPr>
        <w:t>2</w:t>
      </w:r>
      <w:r w:rsidRPr="00295E71">
        <w:rPr>
          <w:color w:val="000000"/>
          <w:sz w:val="22"/>
          <w:szCs w:val="22"/>
        </w:rPr>
        <w:t xml:space="preserve"> il valore medio minimo all’equilibrio della concentrazione sierica di adalimumab è stato di 6,0 </w:t>
      </w:r>
      <w:r w:rsidRPr="00295E71">
        <w:rPr>
          <w:rFonts w:ascii="Symbol" w:hAnsi="Symbol"/>
          <w:color w:val="000000"/>
          <w:sz w:val="22"/>
          <w:szCs w:val="22"/>
        </w:rPr>
        <w:sym w:font="Symbol" w:char="F0B1"/>
      </w:r>
      <w:r w:rsidRPr="00295E71">
        <w:rPr>
          <w:color w:val="000000"/>
          <w:sz w:val="22"/>
          <w:szCs w:val="22"/>
        </w:rPr>
        <w:t xml:space="preserve"> 6,1 µg/ml (101% CV) con adalimumab senza l’uso concomitante di metotressato</w:t>
      </w:r>
      <w:r w:rsidR="004C4E1E">
        <w:rPr>
          <w:color w:val="000000"/>
          <w:sz w:val="22"/>
          <w:szCs w:val="22"/>
        </w:rPr>
        <w:t xml:space="preserve"> </w:t>
      </w:r>
      <w:r w:rsidRPr="00295E71">
        <w:rPr>
          <w:color w:val="000000"/>
          <w:sz w:val="22"/>
          <w:szCs w:val="22"/>
        </w:rPr>
        <w:t xml:space="preserve">e di 7,9 </w:t>
      </w:r>
      <w:r w:rsidRPr="00295E71">
        <w:rPr>
          <w:rFonts w:ascii="Symbol" w:hAnsi="Symbol"/>
          <w:color w:val="000000"/>
          <w:sz w:val="22"/>
          <w:szCs w:val="22"/>
        </w:rPr>
        <w:sym w:font="Symbol" w:char="F0B1"/>
      </w:r>
      <w:r w:rsidRPr="00295E71">
        <w:rPr>
          <w:color w:val="000000"/>
          <w:sz w:val="22"/>
          <w:szCs w:val="22"/>
        </w:rPr>
        <w:t xml:space="preserve"> 5,6 µg/ml (71,2% CV) in co</w:t>
      </w:r>
      <w:r w:rsidRPr="00295E71" w:rsidR="0066449A">
        <w:rPr>
          <w:color w:val="000000"/>
          <w:sz w:val="22"/>
          <w:szCs w:val="22"/>
        </w:rPr>
        <w:t>-</w:t>
      </w:r>
      <w:r w:rsidRPr="00295E71">
        <w:rPr>
          <w:color w:val="000000"/>
          <w:sz w:val="22"/>
          <w:szCs w:val="22"/>
        </w:rPr>
        <w:t>somministrazione con metotressato.</w:t>
      </w:r>
    </w:p>
    <w:p w:rsidR="006224C2" w:rsidRPr="00295E71" w14:paraId="33EE7110" w14:textId="77777777">
      <w:pPr>
        <w:tabs>
          <w:tab w:val="left" w:pos="567"/>
        </w:tabs>
        <w:autoSpaceDE w:val="0"/>
        <w:autoSpaceDN w:val="0"/>
        <w:adjustRightInd w:val="0"/>
        <w:jc w:val="both"/>
        <w:rPr>
          <w:color w:val="000000"/>
          <w:sz w:val="22"/>
          <w:szCs w:val="22"/>
        </w:rPr>
      </w:pPr>
    </w:p>
    <w:p w:rsidR="006224C2" w:rsidRPr="00295E71" w14:paraId="5D742F5A" w14:textId="77777777">
      <w:pPr>
        <w:pStyle w:val="EMEANormal"/>
        <w:jc w:val="both"/>
        <w:rPr>
          <w:lang w:val="it-IT"/>
        </w:rPr>
      </w:pPr>
      <w:r w:rsidRPr="00295E71">
        <w:rPr>
          <w:lang w:val="it-IT" w:eastAsia="en-GB"/>
        </w:rPr>
        <w:t>A seguito della somministrazione sottocutanea di 24 mg/m</w:t>
      </w:r>
      <w:r w:rsidRPr="00295E71">
        <w:rPr>
          <w:vertAlign w:val="superscript"/>
          <w:lang w:val="it-IT" w:eastAsia="en-GB"/>
        </w:rPr>
        <w:t xml:space="preserve">2 </w:t>
      </w:r>
      <w:r w:rsidRPr="00295E71">
        <w:rPr>
          <w:lang w:val="it-IT" w:eastAsia="en-GB"/>
        </w:rPr>
        <w:t>(massimo 40 mg), a settimane alterne a pazienti di età compresa tra 6 e 17 anni con artrite associata ad entesite, i</w:t>
      </w:r>
      <w:r w:rsidRPr="00295E71">
        <w:rPr>
          <w:color w:val="000000"/>
          <w:lang w:val="it-IT"/>
        </w:rPr>
        <w:t xml:space="preserve">l valore medio minimo delle concentrazioni sieriche di adalimumab allo stato stazionario (valori misurati alla settimana 24) sono stati di </w:t>
      </w:r>
      <w:r w:rsidRPr="00295E71">
        <w:rPr>
          <w:lang w:val="it-IT"/>
        </w:rPr>
        <w:t>8,8 ± 6,6 μg/ml per adalimumab senza l’uso concomitante di metotressato e di 11,8 ± 4,3 μg/ml in co</w:t>
      </w:r>
      <w:r w:rsidRPr="00295E71" w:rsidR="0066449A">
        <w:rPr>
          <w:lang w:val="it-IT"/>
        </w:rPr>
        <w:t>-</w:t>
      </w:r>
      <w:r w:rsidRPr="00295E71">
        <w:rPr>
          <w:lang w:val="it-IT"/>
        </w:rPr>
        <w:t>somministrazione con metotressato.</w:t>
      </w:r>
    </w:p>
    <w:p w:rsidR="006224C2" w:rsidRPr="00295E71" w14:paraId="4D4986E8" w14:textId="77777777">
      <w:pPr>
        <w:tabs>
          <w:tab w:val="left" w:pos="567"/>
        </w:tabs>
        <w:autoSpaceDE w:val="0"/>
        <w:autoSpaceDN w:val="0"/>
        <w:adjustRightInd w:val="0"/>
        <w:jc w:val="both"/>
        <w:rPr>
          <w:color w:val="000000"/>
          <w:sz w:val="22"/>
          <w:szCs w:val="22"/>
        </w:rPr>
      </w:pPr>
    </w:p>
    <w:p w:rsidR="00561485" w:rsidRPr="00295E71" w14:paraId="18C94BC0" w14:textId="77777777">
      <w:pPr>
        <w:tabs>
          <w:tab w:val="left" w:pos="567"/>
        </w:tabs>
        <w:autoSpaceDE w:val="0"/>
        <w:autoSpaceDN w:val="0"/>
        <w:adjustRightInd w:val="0"/>
        <w:jc w:val="both"/>
        <w:rPr>
          <w:sz w:val="22"/>
          <w:lang w:eastAsia="en-US"/>
        </w:rPr>
      </w:pPr>
      <w:r w:rsidRPr="00295E71">
        <w:rPr>
          <w:sz w:val="22"/>
          <w:lang w:eastAsia="en-US"/>
        </w:rPr>
        <w:t>Dopo somministrazione sottocutanea di 40 mg di adalimumab a settimane alterne in pazienti adulti con spondiloartrite assiale non radiografica, la concentrazione media (±DS) minima allo stato stazionario alla settimana 68 è stata di 8,0 ± 4,6 </w:t>
      </w:r>
      <w:r w:rsidRPr="00295E71">
        <w:rPr>
          <w:rFonts w:ascii="Symbol" w:hAnsi="Symbol"/>
          <w:sz w:val="22"/>
          <w:lang w:eastAsia="en-US"/>
        </w:rPr>
        <w:sym w:font="Symbol" w:char="F06D"/>
      </w:r>
      <w:r w:rsidRPr="00295E71">
        <w:rPr>
          <w:sz w:val="22"/>
          <w:lang w:eastAsia="en-US"/>
        </w:rPr>
        <w:t>g/ml.</w:t>
      </w:r>
    </w:p>
    <w:p w:rsidR="00561485" w:rsidRPr="00295E71" w14:paraId="7D6BB394" w14:textId="77777777">
      <w:pPr>
        <w:tabs>
          <w:tab w:val="left" w:pos="567"/>
        </w:tabs>
        <w:autoSpaceDE w:val="0"/>
        <w:autoSpaceDN w:val="0"/>
        <w:adjustRightInd w:val="0"/>
        <w:jc w:val="both"/>
        <w:rPr>
          <w:sz w:val="22"/>
          <w:lang w:eastAsia="en-US"/>
        </w:rPr>
      </w:pPr>
    </w:p>
    <w:p w:rsidR="006224C2" w:rsidRPr="00295E71" w14:paraId="27D522C3" w14:textId="77777777">
      <w:pPr>
        <w:tabs>
          <w:tab w:val="left" w:pos="567"/>
        </w:tabs>
        <w:autoSpaceDE w:val="0"/>
        <w:autoSpaceDN w:val="0"/>
        <w:adjustRightInd w:val="0"/>
        <w:jc w:val="both"/>
        <w:rPr>
          <w:color w:val="000000"/>
          <w:sz w:val="22"/>
          <w:szCs w:val="22"/>
        </w:rPr>
      </w:pPr>
      <w:r w:rsidRPr="00295E71">
        <w:rPr>
          <w:color w:val="000000"/>
          <w:sz w:val="22"/>
          <w:szCs w:val="22"/>
        </w:rPr>
        <w:t>Nei pazienti adulti affetti da psoriasi la concentrazione minima all’equilibrio è risultata essere in media di circa 5 μg/ml durante il trattamento con una dose di adalimumab pari a 40 mg, somministrata a settimane alterne, in monoterapia.</w:t>
      </w:r>
    </w:p>
    <w:p w:rsidR="006224C2" w:rsidRPr="00295E71" w14:paraId="36A35F31" w14:textId="77777777">
      <w:pPr>
        <w:tabs>
          <w:tab w:val="left" w:pos="567"/>
        </w:tabs>
        <w:autoSpaceDE w:val="0"/>
        <w:autoSpaceDN w:val="0"/>
        <w:adjustRightInd w:val="0"/>
        <w:jc w:val="both"/>
        <w:rPr>
          <w:color w:val="000000"/>
          <w:sz w:val="22"/>
          <w:szCs w:val="22"/>
        </w:rPr>
      </w:pPr>
    </w:p>
    <w:p w:rsidR="006224C2" w:rsidRPr="00295E71" w14:paraId="3487B82A" w14:textId="77777777">
      <w:pPr>
        <w:tabs>
          <w:tab w:val="left" w:pos="567"/>
        </w:tabs>
        <w:autoSpaceDE w:val="0"/>
        <w:autoSpaceDN w:val="0"/>
        <w:adjustRightInd w:val="0"/>
        <w:jc w:val="both"/>
        <w:rPr>
          <w:color w:val="000000"/>
          <w:sz w:val="22"/>
          <w:szCs w:val="22"/>
        </w:rPr>
      </w:pPr>
      <w:r w:rsidRPr="00295E71">
        <w:rPr>
          <w:color w:val="000000"/>
          <w:sz w:val="22"/>
          <w:szCs w:val="22"/>
        </w:rPr>
        <w:t>Dopo la somministrazione di 0,8 mg/kg (massimo 40 mg) per via sottocutanea a settimane alterne nei pazienti pediatrici con psoriasi cronica a placche, le concentrazioni sieriche medie (±SD) dei livelli minimi di adalimumab allo stato stazionario erano circa 7,4 ± 5,8 µg/ml (79% CV).</w:t>
      </w:r>
    </w:p>
    <w:p w:rsidR="006224C2" w:rsidRPr="00295E71" w14:paraId="55B0E32C" w14:textId="77777777">
      <w:pPr>
        <w:tabs>
          <w:tab w:val="left" w:pos="567"/>
        </w:tabs>
        <w:autoSpaceDE w:val="0"/>
        <w:autoSpaceDN w:val="0"/>
        <w:adjustRightInd w:val="0"/>
        <w:jc w:val="both"/>
        <w:rPr>
          <w:color w:val="000000"/>
          <w:sz w:val="22"/>
          <w:szCs w:val="22"/>
        </w:rPr>
      </w:pPr>
    </w:p>
    <w:p w:rsidR="006224C2" w:rsidRPr="00295E71" w14:paraId="7E07E67F" w14:textId="77777777">
      <w:pPr>
        <w:rPr>
          <w:color w:val="000000"/>
          <w:sz w:val="22"/>
          <w:szCs w:val="22"/>
        </w:rPr>
      </w:pPr>
      <w:r w:rsidRPr="00295E71">
        <w:rPr>
          <w:color w:val="000000"/>
          <w:sz w:val="22"/>
          <w:szCs w:val="22"/>
        </w:rPr>
        <w:t xml:space="preserve">Nei pazienti adulti con Idrosadenite Suppurativa, una dose pari a 160 mg di Humira alla settimana 0 seguita da 80 mg alla settimana 2 ha ottenuto concentrazioni sieriche minime di adalimumab di circa 7-8 </w:t>
      </w:r>
      <w:r w:rsidRPr="00295E71" w:rsidR="00C17FDA">
        <w:t>μ</w:t>
      </w:r>
      <w:r w:rsidRPr="00295E71">
        <w:rPr>
          <w:color w:val="000000"/>
          <w:sz w:val="22"/>
          <w:szCs w:val="22"/>
        </w:rPr>
        <w:t xml:space="preserve">g/ml alla settimana 2 e alla settimana 4. Le concentrazioni medie </w:t>
      </w:r>
      <w:r w:rsidRPr="00020442" w:rsidR="004C4E1E">
        <w:rPr>
          <w:color w:val="000000"/>
          <w:sz w:val="22"/>
          <w:szCs w:val="22"/>
        </w:rPr>
        <w:t xml:space="preserve">minime </w:t>
      </w:r>
      <w:r w:rsidRPr="00295E71">
        <w:rPr>
          <w:color w:val="000000"/>
          <w:sz w:val="22"/>
          <w:szCs w:val="22"/>
        </w:rPr>
        <w:t>all’equilibrio alla settimana 12 fino alla settimana 36 erano circa 8-10</w:t>
      </w:r>
      <w:r w:rsidRPr="00295E71" w:rsidR="00C17FDA">
        <w:t xml:space="preserve"> μ</w:t>
      </w:r>
      <w:r w:rsidRPr="00295E71">
        <w:rPr>
          <w:color w:val="000000"/>
          <w:sz w:val="22"/>
          <w:szCs w:val="22"/>
        </w:rPr>
        <w:t>g/ml durante il trattamento con adalimumab 40 mg a settimana.</w:t>
      </w:r>
    </w:p>
    <w:p w:rsidR="006224C2" w:rsidRPr="00295E71" w14:paraId="10229C56" w14:textId="77777777">
      <w:pPr>
        <w:tabs>
          <w:tab w:val="left" w:pos="567"/>
        </w:tabs>
        <w:autoSpaceDE w:val="0"/>
        <w:autoSpaceDN w:val="0"/>
        <w:adjustRightInd w:val="0"/>
        <w:jc w:val="both"/>
        <w:rPr>
          <w:color w:val="000000"/>
          <w:sz w:val="22"/>
          <w:szCs w:val="22"/>
        </w:rPr>
      </w:pPr>
    </w:p>
    <w:p w:rsidR="006224C2" w:rsidRPr="00295E71" w:rsidP="00F57FE5" w14:paraId="1AD44F02" w14:textId="77777777">
      <w:pPr>
        <w:pStyle w:val="EMEANormal"/>
        <w:keepNext/>
        <w:keepLines/>
        <w:jc w:val="both"/>
        <w:rPr>
          <w:iCs/>
          <w:lang w:val="it-IT"/>
        </w:rPr>
      </w:pPr>
      <w:r w:rsidRPr="00295E71">
        <w:rPr>
          <w:iCs/>
          <w:lang w:val="it-IT"/>
        </w:rPr>
        <w:t>L’esposizione ad adalimumab nei pazienti adolescenti con HS è stata predetta usando modelli e simulazione farmacocinetica di popolazione basati sulla farmacocinetica cross-indicazione in altri pazienti pediatrici (psoriasi pediatrica, artrite idiopatica giovanile, malattia di Crohn pediatrica e artrite associata ad entesite). Lo schema posologico raccomandato per gli adolescenti con HS è di 40 mg a settimane alterne.</w:t>
      </w:r>
      <w:r w:rsidRPr="00295E71" w:rsidR="00B763C7">
        <w:rPr>
          <w:iCs/>
          <w:lang w:val="it-IT"/>
        </w:rPr>
        <w:t xml:space="preserve"> </w:t>
      </w:r>
      <w:r w:rsidRPr="00295E71">
        <w:rPr>
          <w:iCs/>
          <w:lang w:val="it-IT"/>
        </w:rPr>
        <w:t>Dato che l’esposizione ad adalimumab potrebbe essere influenzata dalla</w:t>
      </w:r>
      <w:r w:rsidR="004C4E1E">
        <w:rPr>
          <w:iCs/>
          <w:lang w:val="it-IT"/>
        </w:rPr>
        <w:t xml:space="preserve"> </w:t>
      </w:r>
      <w:r w:rsidRPr="00295E71">
        <w:rPr>
          <w:iCs/>
          <w:lang w:val="it-IT"/>
        </w:rPr>
        <w:t>massa corporea, gli adolescenti che hanno un peso corporeo maggiore e una risposta inadeguata possono beneficiare della dose raccomandata per gli adulti di 40 mg ogni settimana.</w:t>
      </w:r>
    </w:p>
    <w:p w:rsidR="006224C2" w:rsidRPr="00295E71" w14:paraId="5DE7C94E" w14:textId="77777777">
      <w:pPr>
        <w:tabs>
          <w:tab w:val="left" w:pos="567"/>
        </w:tabs>
        <w:autoSpaceDE w:val="0"/>
        <w:autoSpaceDN w:val="0"/>
        <w:adjustRightInd w:val="0"/>
        <w:jc w:val="both"/>
        <w:rPr>
          <w:color w:val="000000"/>
          <w:sz w:val="22"/>
          <w:szCs w:val="22"/>
        </w:rPr>
      </w:pPr>
    </w:p>
    <w:p w:rsidR="006224C2" w:rsidRPr="00295E71" w14:paraId="20229D6A" w14:textId="77777777">
      <w:pPr>
        <w:tabs>
          <w:tab w:val="left" w:pos="567"/>
        </w:tabs>
        <w:autoSpaceDE w:val="0"/>
        <w:autoSpaceDN w:val="0"/>
        <w:adjustRightInd w:val="0"/>
        <w:jc w:val="both"/>
        <w:rPr>
          <w:color w:val="000000"/>
          <w:sz w:val="22"/>
          <w:szCs w:val="22"/>
        </w:rPr>
      </w:pPr>
      <w:r w:rsidRPr="00295E71">
        <w:rPr>
          <w:color w:val="000000"/>
          <w:sz w:val="22"/>
          <w:szCs w:val="22"/>
        </w:rPr>
        <w:t xml:space="preserve">Nei pazienti con malattia di Crohn, la dose di carico con 80 mg di Humira alla settimana 0 seguita da 40 mg di Humira alla settimana 2 ha ottenuto concentrazioni sieriche minime di adalimumab di circa 5,5 </w:t>
      </w:r>
      <w:r w:rsidRPr="00295E71" w:rsidR="000C2C3B">
        <w:t>μ</w:t>
      </w:r>
      <w:r w:rsidRPr="00295E71">
        <w:rPr>
          <w:color w:val="000000"/>
          <w:sz w:val="22"/>
          <w:szCs w:val="22"/>
        </w:rPr>
        <w:t xml:space="preserve">g/ml durante il periodo di induzione. Una dose di carico con 160 mg di Humira alla settimana 0 seguita da 80 mg di Humira alla settimana 2 ha ottenuto concentrazioni sieriche minime di adalimumab di circa 12 </w:t>
      </w:r>
      <w:r w:rsidRPr="00295E71" w:rsidR="000C2C3B">
        <w:t>μ</w:t>
      </w:r>
      <w:r w:rsidRPr="00295E71">
        <w:rPr>
          <w:color w:val="000000"/>
          <w:sz w:val="22"/>
          <w:szCs w:val="22"/>
        </w:rPr>
        <w:t xml:space="preserve">g/ml durante il periodo di induzione. Sono stati osservati livelli medi </w:t>
      </w:r>
      <w:r w:rsidRPr="00020442" w:rsidR="004C4E1E">
        <w:rPr>
          <w:color w:val="000000"/>
          <w:sz w:val="22"/>
          <w:szCs w:val="22"/>
        </w:rPr>
        <w:t xml:space="preserve">minimi </w:t>
      </w:r>
      <w:r w:rsidRPr="00295E71">
        <w:rPr>
          <w:color w:val="000000"/>
          <w:sz w:val="22"/>
          <w:szCs w:val="22"/>
        </w:rPr>
        <w:t xml:space="preserve">all’equilibrio di circa 7 </w:t>
      </w:r>
      <w:r w:rsidRPr="00295E71" w:rsidR="000C2C3B">
        <w:t>μ</w:t>
      </w:r>
      <w:r w:rsidRPr="00295E71">
        <w:rPr>
          <w:color w:val="000000"/>
          <w:sz w:val="22"/>
          <w:szCs w:val="22"/>
        </w:rPr>
        <w:t>g/ml nei pazienti con malattia di Crohn che hanno ricevuto una dose di mantenimento di 40 mg di Humira ogni due settimane.</w:t>
      </w:r>
    </w:p>
    <w:p w:rsidR="006224C2" w:rsidRPr="00295E71" w14:paraId="6AFDAA72" w14:textId="77777777">
      <w:pPr>
        <w:tabs>
          <w:tab w:val="left" w:pos="567"/>
        </w:tabs>
        <w:autoSpaceDE w:val="0"/>
        <w:autoSpaceDN w:val="0"/>
        <w:adjustRightInd w:val="0"/>
        <w:jc w:val="both"/>
        <w:rPr>
          <w:color w:val="000000"/>
          <w:sz w:val="22"/>
          <w:szCs w:val="22"/>
        </w:rPr>
      </w:pPr>
    </w:p>
    <w:p w:rsidR="006224C2" w:rsidRPr="00295E71" w14:paraId="2080C76F" w14:textId="77777777">
      <w:pPr>
        <w:pStyle w:val="EMEANormal"/>
        <w:jc w:val="both"/>
        <w:rPr>
          <w:lang w:val="it-IT"/>
        </w:rPr>
      </w:pPr>
      <w:r w:rsidRPr="00295E71">
        <w:rPr>
          <w:lang w:val="it-IT" w:eastAsia="en-GB"/>
        </w:rPr>
        <w:t xml:space="preserve">Nei pazienti pediatrici con MC di grado da moderato a severo, la dose di induzione di adalimumab in aperto era 160/80 mg o 80/40 mg alle settimane 0 e 2, rispettivamente, a seconda del cut-off del peso corporeo a 40 kg. Alla settimana 4, i pazienti erano randomizzati </w:t>
      </w:r>
      <w:r w:rsidRPr="00295E71">
        <w:rPr>
          <w:lang w:val="it-IT"/>
        </w:rPr>
        <w:t xml:space="preserve">1:1 </w:t>
      </w:r>
      <w:r w:rsidRPr="00295E71">
        <w:rPr>
          <w:lang w:val="it-IT" w:eastAsia="en-GB"/>
        </w:rPr>
        <w:t>sulla base del peso corporeo</w:t>
      </w:r>
      <w:r w:rsidRPr="00295E71">
        <w:rPr>
          <w:lang w:val="it-IT"/>
        </w:rPr>
        <w:t xml:space="preserve"> nei gruppi del trattamento di mantenimento o alla Dose Standard (</w:t>
      </w:r>
      <w:r w:rsidRPr="00295E71">
        <w:rPr>
          <w:lang w:val="it-IT" w:eastAsia="en-GB"/>
        </w:rPr>
        <w:t xml:space="preserve">40/20 mg a settimane alterne) </w:t>
      </w:r>
      <w:r w:rsidRPr="00295E71">
        <w:rPr>
          <w:lang w:val="it-IT"/>
        </w:rPr>
        <w:t>o alla Dose Bassa (</w:t>
      </w:r>
      <w:r w:rsidRPr="00295E71">
        <w:rPr>
          <w:lang w:val="it-IT" w:eastAsia="en-GB"/>
        </w:rPr>
        <w:t>20/10 mg a settimane alterne). Le concentrazioni sieriche medie (</w:t>
      </w:r>
      <w:r w:rsidRPr="00295E71">
        <w:rPr>
          <w:rFonts w:eastAsia="Arial Unicode MS"/>
          <w:lang w:val="it-IT"/>
        </w:rPr>
        <w:t xml:space="preserve">±SD) dei livelli minimi di adalimumab </w:t>
      </w:r>
      <w:r w:rsidRPr="00295E71">
        <w:rPr>
          <w:lang w:val="it-IT" w:eastAsia="en-GB"/>
        </w:rPr>
        <w:t>raggiunte alla settimana 4 erano 15,7</w:t>
      </w:r>
      <w:r w:rsidRPr="00295E71">
        <w:rPr>
          <w:rFonts w:eastAsia="Arial Unicode MS"/>
          <w:lang w:val="it-IT"/>
        </w:rPr>
        <w:t xml:space="preserve">±6,6 </w:t>
      </w:r>
      <w:r w:rsidRPr="00295E71">
        <w:rPr>
          <w:rFonts w:ascii="Symbol" w:hAnsi="Symbol"/>
          <w:lang w:val="it-IT"/>
        </w:rPr>
        <w:sym w:font="Symbol" w:char="F06D"/>
      </w:r>
      <w:r w:rsidRPr="00295E71">
        <w:rPr>
          <w:lang w:val="it-IT"/>
        </w:rPr>
        <w:t xml:space="preserve">g/ml per i pazienti </w:t>
      </w:r>
      <w:r w:rsidRPr="00295E71" w:rsidR="000C2C3B">
        <w:rPr>
          <w:szCs w:val="20"/>
          <w:lang w:val="it-IT"/>
        </w:rPr>
        <w:t>≥</w:t>
      </w:r>
      <w:r w:rsidRPr="00295E71">
        <w:rPr>
          <w:lang w:val="it-IT"/>
        </w:rPr>
        <w:t xml:space="preserve"> 40 kg (160/80 mg) e </w:t>
      </w:r>
      <w:r w:rsidRPr="00295E71">
        <w:rPr>
          <w:lang w:val="it-IT" w:eastAsia="en-GB"/>
        </w:rPr>
        <w:t>10,6</w:t>
      </w:r>
      <w:r w:rsidRPr="00295E71">
        <w:rPr>
          <w:rFonts w:eastAsia="Arial Unicode MS"/>
          <w:lang w:val="it-IT"/>
        </w:rPr>
        <w:t xml:space="preserve">±6,1 </w:t>
      </w:r>
      <w:r w:rsidRPr="00295E71">
        <w:rPr>
          <w:rFonts w:ascii="Symbol" w:hAnsi="Symbol"/>
          <w:lang w:val="it-IT"/>
        </w:rPr>
        <w:sym w:font="Symbol" w:char="F06D"/>
      </w:r>
      <w:r w:rsidRPr="00295E71">
        <w:rPr>
          <w:lang w:val="it-IT"/>
        </w:rPr>
        <w:t>g/ml per i pazienti &lt; 40 kg (80/40 mg).</w:t>
      </w:r>
    </w:p>
    <w:p w:rsidR="006224C2" w:rsidRPr="00295E71" w14:paraId="076FB615" w14:textId="77777777">
      <w:pPr>
        <w:pStyle w:val="EMEANormal"/>
        <w:jc w:val="both"/>
        <w:rPr>
          <w:lang w:val="it-IT" w:eastAsia="en-GB"/>
        </w:rPr>
      </w:pPr>
    </w:p>
    <w:p w:rsidR="006224C2" w:rsidRPr="00295E71" w14:paraId="63A9056A" w14:textId="77777777">
      <w:pPr>
        <w:pStyle w:val="EMEANormal"/>
        <w:jc w:val="both"/>
        <w:rPr>
          <w:color w:val="000000"/>
          <w:lang w:val="it-IT"/>
        </w:rPr>
      </w:pPr>
      <w:r w:rsidRPr="00295E71">
        <w:rPr>
          <w:rFonts w:eastAsia="Arial Unicode MS"/>
          <w:lang w:val="it-IT"/>
        </w:rPr>
        <w:t xml:space="preserve">Per i pazienti che rimanevano nella loro terapia randomizzata, le concentrazioni medie </w:t>
      </w:r>
      <w:r w:rsidRPr="00295E71">
        <w:rPr>
          <w:lang w:val="it-IT"/>
        </w:rPr>
        <w:t xml:space="preserve">dei livelli minimi </w:t>
      </w:r>
      <w:r w:rsidRPr="00295E71">
        <w:rPr>
          <w:lang w:val="it-IT" w:eastAsia="en-GB"/>
        </w:rPr>
        <w:t>(</w:t>
      </w:r>
      <w:r w:rsidRPr="00295E71">
        <w:rPr>
          <w:rFonts w:eastAsia="Arial Unicode MS"/>
          <w:lang w:val="it-IT"/>
        </w:rPr>
        <w:t xml:space="preserve">±SD) di </w:t>
      </w:r>
      <w:r w:rsidRPr="00295E71">
        <w:rPr>
          <w:lang w:val="it-IT"/>
        </w:rPr>
        <w:t xml:space="preserve">adalimumab alla settimana 52 erano </w:t>
      </w:r>
      <w:r w:rsidRPr="00295E71">
        <w:rPr>
          <w:rFonts w:eastAsia="Arial Unicode MS"/>
          <w:lang w:val="it-IT"/>
        </w:rPr>
        <w:t>9,5±5,6</w:t>
      </w:r>
      <w:r w:rsidRPr="00295E71">
        <w:rPr>
          <w:lang w:val="it-IT"/>
        </w:rPr>
        <w:t> </w:t>
      </w:r>
      <w:r w:rsidRPr="00295E71">
        <w:rPr>
          <w:rFonts w:ascii="Symbol" w:hAnsi="Symbol"/>
          <w:lang w:val="it-IT"/>
        </w:rPr>
        <w:sym w:font="Symbol" w:char="F06D"/>
      </w:r>
      <w:r w:rsidRPr="00295E71">
        <w:rPr>
          <w:lang w:val="it-IT"/>
        </w:rPr>
        <w:t xml:space="preserve">g/ml per il gruppo a Dose Standard e </w:t>
      </w:r>
      <w:r w:rsidRPr="00295E71">
        <w:rPr>
          <w:rFonts w:eastAsia="Arial Unicode MS"/>
          <w:lang w:val="it-IT"/>
        </w:rPr>
        <w:t>3,5±2,2</w:t>
      </w:r>
      <w:r w:rsidRPr="00295E71">
        <w:rPr>
          <w:lang w:val="it-IT"/>
        </w:rPr>
        <w:t> </w:t>
      </w:r>
      <w:r w:rsidRPr="00295E71">
        <w:rPr>
          <w:rFonts w:ascii="Symbol" w:hAnsi="Symbol"/>
          <w:lang w:val="it-IT"/>
        </w:rPr>
        <w:sym w:font="Symbol" w:char="F06D"/>
      </w:r>
      <w:r w:rsidRPr="00295E71">
        <w:rPr>
          <w:lang w:val="it-IT"/>
        </w:rPr>
        <w:t xml:space="preserve">g/ml per il gruppo a Bassa Dose. Le concentrazioni medie </w:t>
      </w:r>
      <w:r w:rsidRPr="00295E71">
        <w:rPr>
          <w:lang w:val="it-IT" w:eastAsia="en-GB"/>
        </w:rPr>
        <w:t xml:space="preserve">dei livelli minimi erano mantenute nei </w:t>
      </w:r>
      <w:r w:rsidRPr="00295E71">
        <w:rPr>
          <w:rFonts w:eastAsia="Arial Unicode MS"/>
          <w:lang w:val="it-IT"/>
        </w:rPr>
        <w:t>pazienti</w:t>
      </w:r>
      <w:r w:rsidRPr="00295E71">
        <w:rPr>
          <w:lang w:val="it-IT" w:eastAsia="en-GB"/>
        </w:rPr>
        <w:t xml:space="preserve"> che continuavano a ricevere il trattamento di adalimumab a settimane alterne per 52 settimane. Per i pazienti che aumentavano la dose da un regime a settimane alterne a uno settimanale</w:t>
      </w:r>
      <w:r w:rsidRPr="00295E71">
        <w:rPr>
          <w:lang w:val="it-IT"/>
        </w:rPr>
        <w:t xml:space="preserve">, le concentrazioni sieriche medie </w:t>
      </w:r>
      <w:r w:rsidRPr="00295E71">
        <w:rPr>
          <w:lang w:val="it-IT" w:eastAsia="en-GB"/>
        </w:rPr>
        <w:t>(</w:t>
      </w:r>
      <w:r w:rsidRPr="00295E71">
        <w:rPr>
          <w:rFonts w:eastAsia="Arial Unicode MS"/>
          <w:lang w:val="it-IT"/>
        </w:rPr>
        <w:t xml:space="preserve">±SD) di adalimumab alla settimana 52 erano </w:t>
      </w:r>
      <w:r w:rsidRPr="00295E71">
        <w:rPr>
          <w:lang w:val="it-IT"/>
        </w:rPr>
        <w:t>15,3</w:t>
      </w:r>
      <w:r w:rsidRPr="00295E71">
        <w:rPr>
          <w:rFonts w:eastAsia="Arial Unicode MS"/>
          <w:lang w:val="it-IT"/>
        </w:rPr>
        <w:t>±11,4</w:t>
      </w:r>
      <w:r w:rsidRPr="00295E71">
        <w:rPr>
          <w:lang w:val="it-IT"/>
        </w:rPr>
        <w:t>μg/ml (40/20 mg, a settimana) and 6,7</w:t>
      </w:r>
      <w:r w:rsidRPr="00295E71">
        <w:rPr>
          <w:rFonts w:eastAsia="Arial Unicode MS"/>
          <w:lang w:val="it-IT"/>
        </w:rPr>
        <w:t xml:space="preserve">±3,5 </w:t>
      </w:r>
      <w:r w:rsidRPr="00295E71">
        <w:rPr>
          <w:lang w:val="it-IT"/>
        </w:rPr>
        <w:t>μg/ml (20/10 mg, a settimana).</w:t>
      </w:r>
    </w:p>
    <w:p w:rsidR="006224C2" w:rsidRPr="00295E71" w14:paraId="66419FC7" w14:textId="77777777">
      <w:pPr>
        <w:tabs>
          <w:tab w:val="left" w:pos="567"/>
        </w:tabs>
        <w:autoSpaceDE w:val="0"/>
        <w:autoSpaceDN w:val="0"/>
        <w:adjustRightInd w:val="0"/>
        <w:jc w:val="both"/>
        <w:rPr>
          <w:color w:val="000000"/>
          <w:sz w:val="22"/>
          <w:szCs w:val="22"/>
        </w:rPr>
      </w:pPr>
    </w:p>
    <w:p w:rsidR="006224C2" w:rsidRPr="00295E71" w14:paraId="7E9B8130" w14:textId="77777777">
      <w:pPr>
        <w:tabs>
          <w:tab w:val="left" w:pos="567"/>
        </w:tabs>
        <w:autoSpaceDE w:val="0"/>
        <w:autoSpaceDN w:val="0"/>
        <w:adjustRightInd w:val="0"/>
        <w:jc w:val="both"/>
        <w:rPr>
          <w:color w:val="000000"/>
          <w:sz w:val="22"/>
          <w:szCs w:val="22"/>
        </w:rPr>
      </w:pPr>
      <w:r w:rsidRPr="00295E71">
        <w:rPr>
          <w:color w:val="000000"/>
          <w:sz w:val="22"/>
          <w:szCs w:val="22"/>
        </w:rPr>
        <w:t>Nei pazienti affetti da colite ulcerosa, una dose di carico di 160 mg di Humira alla settimana 0 seguita da 80mg di Humira alla settimana 2 ha ottenuto una concentrazione sierica minima di adalimumab di circa 12</w:t>
      </w:r>
      <w:r w:rsidRPr="00295E71" w:rsidR="000C2C3B">
        <w:t>μ</w:t>
      </w:r>
      <w:r w:rsidRPr="00295E71">
        <w:rPr>
          <w:color w:val="000000"/>
          <w:sz w:val="22"/>
          <w:szCs w:val="22"/>
        </w:rPr>
        <w:t xml:space="preserve">g/ml durante il periodo di induzione. Sono stati osservati livelli medi </w:t>
      </w:r>
      <w:r w:rsidRPr="00020442" w:rsidR="004C4E1E">
        <w:rPr>
          <w:color w:val="000000"/>
          <w:sz w:val="22"/>
          <w:szCs w:val="22"/>
        </w:rPr>
        <w:t xml:space="preserve">minimi </w:t>
      </w:r>
      <w:r w:rsidRPr="00295E71">
        <w:rPr>
          <w:color w:val="000000"/>
          <w:sz w:val="22"/>
          <w:szCs w:val="22"/>
        </w:rPr>
        <w:t xml:space="preserve">all’equilibrio di circa 8 </w:t>
      </w:r>
      <w:r w:rsidRPr="00295E71" w:rsidR="000C2C3B">
        <w:t>μ</w:t>
      </w:r>
      <w:r w:rsidRPr="00295E71">
        <w:rPr>
          <w:color w:val="000000"/>
          <w:sz w:val="22"/>
          <w:szCs w:val="22"/>
        </w:rPr>
        <w:t>g/ml nei pazienti con colite ulcerosa che hanno ricevuto una dose di mantenimento di 40 mg di Humira ogni due settimane.</w:t>
      </w:r>
    </w:p>
    <w:p w:rsidR="006224C2" w:rsidRPr="00295E71" w14:paraId="2EB7FDDB" w14:textId="77777777">
      <w:pPr>
        <w:tabs>
          <w:tab w:val="left" w:pos="567"/>
        </w:tabs>
        <w:autoSpaceDE w:val="0"/>
        <w:autoSpaceDN w:val="0"/>
        <w:adjustRightInd w:val="0"/>
        <w:jc w:val="both"/>
        <w:rPr>
          <w:color w:val="000000"/>
          <w:sz w:val="22"/>
          <w:szCs w:val="22"/>
        </w:rPr>
      </w:pPr>
    </w:p>
    <w:p w:rsidR="009757A0" w:rsidRPr="00612824" w:rsidP="009757A0" w14:paraId="6392984B" w14:textId="77777777">
      <w:pPr>
        <w:rPr>
          <w:sz w:val="22"/>
          <w:szCs w:val="22"/>
        </w:rPr>
      </w:pPr>
      <w:r w:rsidRPr="00612824">
        <w:rPr>
          <w:sz w:val="22"/>
          <w:szCs w:val="22"/>
        </w:rPr>
        <w:t xml:space="preserve">A seguito della somministrazione sottocutanea di una dose di 0,6 mg/kg (massimo 40 mg) </w:t>
      </w:r>
      <w:r w:rsidR="00BA05ED">
        <w:rPr>
          <w:sz w:val="22"/>
          <w:szCs w:val="22"/>
        </w:rPr>
        <w:t>a settimane alterne</w:t>
      </w:r>
      <w:r w:rsidRPr="00612824">
        <w:rPr>
          <w:sz w:val="22"/>
          <w:szCs w:val="22"/>
        </w:rPr>
        <w:t xml:space="preserve"> basata sul peso corporeo</w:t>
      </w:r>
      <w:r w:rsidR="00CB3C81">
        <w:rPr>
          <w:sz w:val="22"/>
          <w:szCs w:val="22"/>
        </w:rPr>
        <w:t>,</w:t>
      </w:r>
      <w:r w:rsidRPr="00612824">
        <w:rPr>
          <w:sz w:val="22"/>
          <w:szCs w:val="22"/>
        </w:rPr>
        <w:t xml:space="preserve"> </w:t>
      </w:r>
      <w:r w:rsidR="00CB3C81">
        <w:rPr>
          <w:sz w:val="22"/>
          <w:szCs w:val="22"/>
        </w:rPr>
        <w:t>in</w:t>
      </w:r>
      <w:r w:rsidRPr="00612824">
        <w:rPr>
          <w:sz w:val="22"/>
          <w:szCs w:val="22"/>
        </w:rPr>
        <w:t xml:space="preserve"> pazienti pediatrici con colite ulcerosa, la concentrazione media </w:t>
      </w:r>
      <w:r w:rsidR="00CB3C81">
        <w:rPr>
          <w:sz w:val="22"/>
          <w:szCs w:val="22"/>
        </w:rPr>
        <w:t>minima</w:t>
      </w:r>
      <w:r w:rsidRPr="00612824">
        <w:rPr>
          <w:sz w:val="22"/>
          <w:szCs w:val="22"/>
        </w:rPr>
        <w:t xml:space="preserve"> di adalimumab sierico all</w:t>
      </w:r>
      <w:r w:rsidR="00CB3C81">
        <w:rPr>
          <w:sz w:val="22"/>
          <w:szCs w:val="22"/>
        </w:rPr>
        <w:t>’equilibrio</w:t>
      </w:r>
      <w:r w:rsidRPr="00612824">
        <w:rPr>
          <w:sz w:val="22"/>
          <w:szCs w:val="22"/>
        </w:rPr>
        <w:t xml:space="preserve"> è stata di 5,01±3,28 µg/ml alla Settimana 52. Per i pazienti che hanno ricevuto 0,6 mg/kg (massimo 40 mg) ogni settimana, la concentrazione media</w:t>
      </w:r>
      <w:r w:rsidR="00CB3C81">
        <w:rPr>
          <w:sz w:val="22"/>
          <w:szCs w:val="22"/>
        </w:rPr>
        <w:t xml:space="preserve"> minima</w:t>
      </w:r>
      <w:r w:rsidRPr="00612824">
        <w:rPr>
          <w:sz w:val="22"/>
          <w:szCs w:val="22"/>
        </w:rPr>
        <w:t xml:space="preserve"> (±DS) di adalimumab sierico all</w:t>
      </w:r>
      <w:r w:rsidR="00CB3C81">
        <w:rPr>
          <w:sz w:val="22"/>
          <w:szCs w:val="22"/>
        </w:rPr>
        <w:t>’equilibrio</w:t>
      </w:r>
      <w:r w:rsidRPr="00612824" w:rsidR="006A625E">
        <w:rPr>
          <w:sz w:val="22"/>
          <w:szCs w:val="22"/>
        </w:rPr>
        <w:t xml:space="preserve"> </w:t>
      </w:r>
      <w:r w:rsidRPr="00612824">
        <w:rPr>
          <w:sz w:val="22"/>
          <w:szCs w:val="22"/>
        </w:rPr>
        <w:t>è stata di 15,7±5,60 μg/ml alla Settimana 52.</w:t>
      </w:r>
    </w:p>
    <w:p w:rsidR="009757A0" w:rsidRPr="009757A0" w14:paraId="09E95801" w14:textId="77777777">
      <w:pPr>
        <w:tabs>
          <w:tab w:val="left" w:pos="567"/>
        </w:tabs>
        <w:autoSpaceDE w:val="0"/>
        <w:autoSpaceDN w:val="0"/>
        <w:adjustRightInd w:val="0"/>
        <w:jc w:val="both"/>
        <w:rPr>
          <w:color w:val="000000"/>
          <w:sz w:val="22"/>
          <w:szCs w:val="22"/>
        </w:rPr>
      </w:pPr>
    </w:p>
    <w:p w:rsidR="006224C2" w:rsidRPr="00295E71" w14:paraId="57E1E146" w14:textId="77777777">
      <w:pPr>
        <w:tabs>
          <w:tab w:val="left" w:pos="567"/>
        </w:tabs>
        <w:autoSpaceDE w:val="0"/>
        <w:autoSpaceDN w:val="0"/>
        <w:adjustRightInd w:val="0"/>
        <w:jc w:val="both"/>
        <w:rPr>
          <w:color w:val="000000"/>
          <w:sz w:val="22"/>
          <w:szCs w:val="22"/>
        </w:rPr>
      </w:pPr>
      <w:r w:rsidRPr="00295E71">
        <w:rPr>
          <w:color w:val="000000"/>
          <w:sz w:val="22"/>
          <w:szCs w:val="22"/>
        </w:rPr>
        <w:t xml:space="preserve">Nei pazienti </w:t>
      </w:r>
      <w:r w:rsidRPr="00295E71" w:rsidR="000C2C3B">
        <w:rPr>
          <w:color w:val="000000"/>
          <w:sz w:val="22"/>
          <w:szCs w:val="22"/>
        </w:rPr>
        <w:t xml:space="preserve">adulti </w:t>
      </w:r>
      <w:r w:rsidRPr="00295E71">
        <w:rPr>
          <w:color w:val="000000"/>
          <w:sz w:val="22"/>
          <w:szCs w:val="22"/>
        </w:rPr>
        <w:t>affetti da uveite, una dose di carico di 80 mg di adalimumab alla settimana 0 seguita da 40 mg di adalimumab a settimane alterne a partire dalla settimana 1 ha determinato concentrazioni medie allo stato stazionario di circa 8-10 </w:t>
      </w:r>
      <w:r w:rsidRPr="00295E71">
        <w:rPr>
          <w:rFonts w:ascii="Symbol" w:hAnsi="Symbol"/>
          <w:color w:val="000000"/>
          <w:sz w:val="22"/>
          <w:szCs w:val="22"/>
        </w:rPr>
        <w:sym w:font="Symbol" w:char="F06D"/>
      </w:r>
      <w:r w:rsidRPr="00295E71">
        <w:rPr>
          <w:color w:val="000000"/>
          <w:sz w:val="22"/>
          <w:szCs w:val="22"/>
        </w:rPr>
        <w:t>g/ml.</w:t>
      </w:r>
    </w:p>
    <w:p w:rsidR="006224C2" w:rsidRPr="00295E71" w14:paraId="0F8C1C24" w14:textId="77777777">
      <w:pPr>
        <w:tabs>
          <w:tab w:val="left" w:pos="567"/>
        </w:tabs>
        <w:autoSpaceDE w:val="0"/>
        <w:autoSpaceDN w:val="0"/>
        <w:adjustRightInd w:val="0"/>
        <w:jc w:val="both"/>
        <w:rPr>
          <w:color w:val="000000"/>
          <w:sz w:val="22"/>
          <w:szCs w:val="22"/>
        </w:rPr>
      </w:pPr>
    </w:p>
    <w:p w:rsidR="006224C2" w:rsidRPr="00295E71" w14:paraId="0D203F2A" w14:textId="77777777">
      <w:pPr>
        <w:tabs>
          <w:tab w:val="left" w:pos="567"/>
        </w:tabs>
        <w:autoSpaceDE w:val="0"/>
        <w:autoSpaceDN w:val="0"/>
        <w:adjustRightInd w:val="0"/>
        <w:jc w:val="both"/>
        <w:rPr>
          <w:color w:val="000000"/>
          <w:sz w:val="22"/>
          <w:szCs w:val="22"/>
        </w:rPr>
      </w:pPr>
      <w:r w:rsidRPr="00295E71">
        <w:rPr>
          <w:color w:val="000000"/>
          <w:sz w:val="22"/>
          <w:szCs w:val="22"/>
        </w:rPr>
        <w:t>L’esposizione ad adalimumab nei pazienti pediatrici con uveite è stata predetta usando modelli e simulazione farmacocinetica di popolazione basati sulla farmacocinetica cross-indicazione in altri pazienti pediatrici (psoriasi pediatrica, artrite idiopatica giovanile, malattia di Crohn pediatrica e artrite associata ad entesite). Non sono disponibili dati sull’esposizione clinica relativi all’uso di una dose di carico nei bambini di età inferiore ai 6 anni. Le esposizioni previste indicano che in assenza di metotressato una dose di carico potrebbe causare un aumento iniziale dell’esposizione sistemica.</w:t>
      </w:r>
    </w:p>
    <w:p w:rsidR="001E3F2D" w:rsidRPr="00295E71" w:rsidP="001E3F2D" w14:paraId="2923D692" w14:textId="77777777">
      <w:pPr>
        <w:tabs>
          <w:tab w:val="left" w:pos="567"/>
        </w:tabs>
        <w:autoSpaceDE w:val="0"/>
        <w:autoSpaceDN w:val="0"/>
        <w:adjustRightInd w:val="0"/>
        <w:jc w:val="both"/>
        <w:rPr>
          <w:color w:val="000000"/>
          <w:sz w:val="22"/>
          <w:szCs w:val="22"/>
        </w:rPr>
      </w:pPr>
    </w:p>
    <w:p w:rsidR="001E3F2D" w:rsidRPr="00295E71" w:rsidP="00D825A6" w14:paraId="5EEB6E3D" w14:textId="77777777">
      <w:pPr>
        <w:tabs>
          <w:tab w:val="left" w:pos="567"/>
        </w:tabs>
        <w:autoSpaceDE w:val="0"/>
        <w:autoSpaceDN w:val="0"/>
        <w:adjustRightInd w:val="0"/>
        <w:jc w:val="both"/>
        <w:rPr>
          <w:color w:val="000000"/>
          <w:sz w:val="22"/>
          <w:szCs w:val="22"/>
        </w:rPr>
      </w:pPr>
      <w:r w:rsidRPr="00295E71">
        <w:rPr>
          <w:color w:val="000000"/>
          <w:sz w:val="22"/>
          <w:szCs w:val="22"/>
        </w:rPr>
        <w:t xml:space="preserve">Dal modello e dalla simulazione farmacocinetica e farmacocinetica/ farmacodinamica di popolazione è stato previsto che l’esposizione e l'efficacia di adalimumab sono paragonabili in pazienti trattati con 80 </w:t>
      </w:r>
      <w:r w:rsidRPr="00295E71">
        <w:rPr>
          <w:color w:val="000000"/>
          <w:sz w:val="22"/>
          <w:szCs w:val="22"/>
        </w:rPr>
        <w:t>mg a settimane alterne e in quelli trattati con 40 mg ogni settimana (compresi i pazienti adulti con AR, HS, CU, MC o Ps, pazienti con HS negli adolescenti e nei pazienti pediatrici ≥ 40 kg con MC</w:t>
      </w:r>
      <w:r w:rsidR="009757A0">
        <w:rPr>
          <w:color w:val="000000"/>
          <w:sz w:val="22"/>
          <w:szCs w:val="22"/>
        </w:rPr>
        <w:t xml:space="preserve"> e CU</w:t>
      </w:r>
      <w:r w:rsidRPr="00295E71">
        <w:rPr>
          <w:color w:val="000000"/>
          <w:sz w:val="22"/>
          <w:szCs w:val="22"/>
        </w:rPr>
        <w:t>).</w:t>
      </w:r>
    </w:p>
    <w:p w:rsidR="000569FB" w:rsidRPr="00295E71" w:rsidP="00D54A0B" w14:paraId="08F0F3C7" w14:textId="77777777">
      <w:pPr>
        <w:tabs>
          <w:tab w:val="left" w:pos="567"/>
        </w:tabs>
        <w:autoSpaceDE w:val="0"/>
        <w:autoSpaceDN w:val="0"/>
        <w:adjustRightInd w:val="0"/>
        <w:jc w:val="both"/>
        <w:rPr>
          <w:color w:val="000000"/>
          <w:sz w:val="22"/>
          <w:szCs w:val="22"/>
        </w:rPr>
      </w:pPr>
    </w:p>
    <w:p w:rsidR="000C2C3B" w:rsidRPr="00295E71" w:rsidP="00F57FE5" w14:paraId="1EC4D610" w14:textId="77777777">
      <w:pPr>
        <w:keepNext/>
        <w:keepLines/>
        <w:tabs>
          <w:tab w:val="left" w:pos="567"/>
        </w:tabs>
        <w:autoSpaceDE w:val="0"/>
        <w:autoSpaceDN w:val="0"/>
        <w:adjustRightInd w:val="0"/>
        <w:jc w:val="both"/>
        <w:rPr>
          <w:color w:val="000000"/>
          <w:sz w:val="22"/>
          <w:szCs w:val="22"/>
          <w:u w:val="single"/>
        </w:rPr>
      </w:pPr>
      <w:r w:rsidRPr="00295E71">
        <w:rPr>
          <w:color w:val="000000"/>
          <w:sz w:val="22"/>
          <w:szCs w:val="22"/>
          <w:u w:val="single"/>
        </w:rPr>
        <w:t>Rapporto esposizione-risposta nella popolazione pediatrica</w:t>
      </w:r>
    </w:p>
    <w:p w:rsidR="000C2C3B" w:rsidRPr="00295E71" w:rsidP="00F57FE5" w14:paraId="0054E335" w14:textId="77777777">
      <w:pPr>
        <w:keepNext/>
        <w:keepLines/>
        <w:tabs>
          <w:tab w:val="left" w:pos="567"/>
        </w:tabs>
        <w:autoSpaceDE w:val="0"/>
        <w:autoSpaceDN w:val="0"/>
        <w:adjustRightInd w:val="0"/>
        <w:jc w:val="both"/>
        <w:rPr>
          <w:color w:val="000000"/>
          <w:sz w:val="22"/>
          <w:szCs w:val="22"/>
        </w:rPr>
      </w:pPr>
    </w:p>
    <w:p w:rsidR="000C2C3B" w:rsidRPr="00295E71" w:rsidP="00F57FE5" w14:paraId="539D0EFE"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 xml:space="preserve">Sulla base dei risultati degli studi clinici in pazienti con JIA (pJIA e ERA), </w:t>
      </w:r>
      <w:r w:rsidRPr="00295E71" w:rsidR="00996365">
        <w:rPr>
          <w:color w:val="000000"/>
          <w:sz w:val="22"/>
          <w:szCs w:val="22"/>
        </w:rPr>
        <w:t xml:space="preserve">è stato stabilito </w:t>
      </w:r>
      <w:r w:rsidRPr="00295E71">
        <w:rPr>
          <w:color w:val="000000"/>
          <w:sz w:val="22"/>
          <w:szCs w:val="22"/>
        </w:rPr>
        <w:t>un rapporto esposizione-risposta tra le concentrazioni plasmatiche e la risposta PedACR 50. La concentrazione plasmatica apparente di adalimumab che produce metà della massima probabilità di risposta PedACR 50 (EC50) è stata 3 μg/ml (95% IC: 1-6 μg/ml).</w:t>
      </w:r>
    </w:p>
    <w:p w:rsidR="000C2C3B" w:rsidRPr="00295E71" w:rsidP="000C2C3B" w14:paraId="4B54FC98" w14:textId="77777777">
      <w:pPr>
        <w:tabs>
          <w:tab w:val="left" w:pos="567"/>
        </w:tabs>
        <w:autoSpaceDE w:val="0"/>
        <w:autoSpaceDN w:val="0"/>
        <w:adjustRightInd w:val="0"/>
        <w:jc w:val="both"/>
        <w:rPr>
          <w:color w:val="000000"/>
          <w:sz w:val="22"/>
          <w:szCs w:val="22"/>
        </w:rPr>
      </w:pPr>
    </w:p>
    <w:p w:rsidR="000C2C3B" w:rsidRPr="00295E71" w:rsidP="000C2C3B" w14:paraId="166B1EAD" w14:textId="77777777">
      <w:pPr>
        <w:tabs>
          <w:tab w:val="left" w:pos="567"/>
        </w:tabs>
        <w:autoSpaceDE w:val="0"/>
        <w:autoSpaceDN w:val="0"/>
        <w:adjustRightInd w:val="0"/>
        <w:jc w:val="both"/>
        <w:rPr>
          <w:color w:val="000000"/>
          <w:sz w:val="22"/>
          <w:szCs w:val="22"/>
        </w:rPr>
      </w:pPr>
      <w:r w:rsidRPr="00295E71">
        <w:rPr>
          <w:color w:val="000000"/>
          <w:sz w:val="22"/>
          <w:szCs w:val="22"/>
        </w:rPr>
        <w:t>I rapporti esposizione-risposta tra la concentrazione di adalimumab e l’efficacia in pazienti pediatrici affetti da psoriasi cronica a placche di grado severo sono stati stabiliti per PASI 75 e PGA corrispondente a remissione totale della malattia o a persistenza di malattia minima rispettivamente. PASI 75 e PGA corrispondente a remissione totale della malattia o a persistenza di malattia minima sono aumentati all’aumentare delle concentrazioni di adalimumab, entrambi con una simile EC50 apparente di circa 4,5 μg/ml (95% IC 0,4-47,6 e 1,9-10,5, rispettivamente).</w:t>
      </w:r>
    </w:p>
    <w:p w:rsidR="000C2C3B" w:rsidRPr="00295E71" w14:paraId="268482F4" w14:textId="77777777">
      <w:pPr>
        <w:tabs>
          <w:tab w:val="left" w:pos="567"/>
        </w:tabs>
        <w:autoSpaceDE w:val="0"/>
        <w:autoSpaceDN w:val="0"/>
        <w:adjustRightInd w:val="0"/>
        <w:jc w:val="both"/>
        <w:rPr>
          <w:color w:val="000000"/>
          <w:sz w:val="22"/>
          <w:szCs w:val="22"/>
        </w:rPr>
      </w:pPr>
    </w:p>
    <w:p w:rsidR="006224C2" w:rsidRPr="00295E71" w:rsidP="005D5C2F" w14:paraId="44A095A5" w14:textId="77777777">
      <w:pPr>
        <w:keepNext/>
        <w:keepLines/>
        <w:tabs>
          <w:tab w:val="left" w:pos="567"/>
        </w:tabs>
        <w:autoSpaceDE w:val="0"/>
        <w:autoSpaceDN w:val="0"/>
        <w:adjustRightInd w:val="0"/>
        <w:jc w:val="both"/>
        <w:rPr>
          <w:color w:val="000000"/>
          <w:sz w:val="22"/>
          <w:szCs w:val="22"/>
          <w:u w:val="single"/>
        </w:rPr>
      </w:pPr>
      <w:r w:rsidRPr="00295E71">
        <w:rPr>
          <w:color w:val="000000"/>
          <w:sz w:val="22"/>
          <w:szCs w:val="22"/>
          <w:u w:val="single"/>
        </w:rPr>
        <w:t>Eliminazione</w:t>
      </w:r>
    </w:p>
    <w:p w:rsidR="006224C2" w:rsidRPr="00295E71" w:rsidP="005D5C2F" w14:paraId="5F99ADF6" w14:textId="77777777">
      <w:pPr>
        <w:keepNext/>
        <w:keepLines/>
        <w:tabs>
          <w:tab w:val="left" w:pos="567"/>
        </w:tabs>
        <w:autoSpaceDE w:val="0"/>
        <w:autoSpaceDN w:val="0"/>
        <w:adjustRightInd w:val="0"/>
        <w:jc w:val="both"/>
        <w:rPr>
          <w:color w:val="000000"/>
          <w:sz w:val="22"/>
          <w:szCs w:val="22"/>
        </w:rPr>
      </w:pPr>
    </w:p>
    <w:p w:rsidR="006224C2" w:rsidRPr="00295E71" w:rsidP="005D5C2F" w14:paraId="25B39A19"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Le analisi farmacocinetiche di popolazione, su un campione di più di 1.300 pazienti con AR, hanno evidenziato una tendenza ad un apparente aumento della clearance di adalimumab con l’aumentare del peso corporeo. Dopo correzione per le differenze di peso corporeo, sesso ed età sono risultati avere un effetto minimo sulla clearance di adalimumab. I livelli sierici di adalimumab libero (non legato agli anticorpi anti-adalimumab – AAA) sono stati più bassi nei pazienti con titoli misurabili di AAA.</w:t>
      </w:r>
    </w:p>
    <w:p w:rsidR="006224C2" w:rsidRPr="00295E71" w14:paraId="762B81DA" w14:textId="77777777">
      <w:pPr>
        <w:tabs>
          <w:tab w:val="left" w:pos="567"/>
        </w:tabs>
        <w:autoSpaceDE w:val="0"/>
        <w:autoSpaceDN w:val="0"/>
        <w:adjustRightInd w:val="0"/>
        <w:jc w:val="both"/>
        <w:rPr>
          <w:color w:val="000000"/>
          <w:sz w:val="22"/>
          <w:szCs w:val="22"/>
        </w:rPr>
      </w:pPr>
    </w:p>
    <w:p w:rsidR="006224C2" w:rsidRPr="00295E71" w14:paraId="7E21810D" w14:textId="77777777">
      <w:pPr>
        <w:keepNext/>
        <w:tabs>
          <w:tab w:val="left" w:pos="567"/>
        </w:tabs>
        <w:autoSpaceDE w:val="0"/>
        <w:autoSpaceDN w:val="0"/>
        <w:adjustRightInd w:val="0"/>
        <w:jc w:val="both"/>
        <w:rPr>
          <w:color w:val="000000"/>
          <w:sz w:val="22"/>
          <w:szCs w:val="22"/>
          <w:u w:val="single"/>
        </w:rPr>
      </w:pPr>
      <w:r w:rsidRPr="00295E71">
        <w:rPr>
          <w:color w:val="000000"/>
          <w:sz w:val="22"/>
          <w:szCs w:val="22"/>
          <w:u w:val="single"/>
        </w:rPr>
        <w:t>Insufficienza epatica o renale</w:t>
      </w:r>
    </w:p>
    <w:p w:rsidR="006224C2" w:rsidRPr="00295E71" w14:paraId="6660CF79" w14:textId="77777777">
      <w:pPr>
        <w:keepNext/>
        <w:tabs>
          <w:tab w:val="left" w:pos="567"/>
        </w:tabs>
        <w:autoSpaceDE w:val="0"/>
        <w:autoSpaceDN w:val="0"/>
        <w:adjustRightInd w:val="0"/>
        <w:jc w:val="both"/>
        <w:rPr>
          <w:color w:val="000000"/>
          <w:sz w:val="22"/>
          <w:szCs w:val="22"/>
        </w:rPr>
      </w:pPr>
    </w:p>
    <w:p w:rsidR="006224C2" w:rsidRPr="00295E71" w14:paraId="2B04499F" w14:textId="77777777">
      <w:pPr>
        <w:keepNext/>
        <w:tabs>
          <w:tab w:val="left" w:pos="567"/>
        </w:tabs>
        <w:autoSpaceDE w:val="0"/>
        <w:autoSpaceDN w:val="0"/>
        <w:adjustRightInd w:val="0"/>
        <w:jc w:val="both"/>
        <w:rPr>
          <w:color w:val="000000"/>
          <w:sz w:val="22"/>
          <w:szCs w:val="22"/>
        </w:rPr>
      </w:pPr>
      <w:r w:rsidRPr="00295E71">
        <w:rPr>
          <w:color w:val="000000"/>
          <w:sz w:val="22"/>
          <w:szCs w:val="22"/>
        </w:rPr>
        <w:t xml:space="preserve">Humira non è stato studiato in pazienti con insufficienza </w:t>
      </w:r>
      <w:r w:rsidRPr="00020442" w:rsidR="004C4E1E">
        <w:rPr>
          <w:color w:val="000000"/>
          <w:sz w:val="22"/>
          <w:szCs w:val="22"/>
        </w:rPr>
        <w:t xml:space="preserve">epatica o </w:t>
      </w:r>
      <w:r w:rsidRPr="00295E71">
        <w:rPr>
          <w:color w:val="000000"/>
          <w:sz w:val="22"/>
          <w:szCs w:val="22"/>
        </w:rPr>
        <w:t>renale.</w:t>
      </w:r>
    </w:p>
    <w:p w:rsidR="006224C2" w:rsidRPr="00295E71" w14:paraId="5E892B7B" w14:textId="77777777">
      <w:pPr>
        <w:keepNext/>
        <w:tabs>
          <w:tab w:val="left" w:pos="567"/>
          <w:tab w:val="left" w:pos="2304"/>
          <w:tab w:val="left" w:pos="3024"/>
        </w:tabs>
        <w:autoSpaceDE w:val="0"/>
        <w:autoSpaceDN w:val="0"/>
        <w:adjustRightInd w:val="0"/>
        <w:jc w:val="both"/>
        <w:rPr>
          <w:sz w:val="22"/>
          <w:szCs w:val="22"/>
        </w:rPr>
      </w:pPr>
    </w:p>
    <w:p w:rsidR="006224C2" w:rsidRPr="00295E71" w14:paraId="4F55FBE7" w14:textId="77777777">
      <w:pPr>
        <w:rPr>
          <w:b/>
          <w:sz w:val="22"/>
          <w:szCs w:val="22"/>
          <w:lang w:eastAsia="en-US"/>
        </w:rPr>
      </w:pPr>
      <w:r w:rsidRPr="00295E71">
        <w:rPr>
          <w:b/>
          <w:sz w:val="22"/>
          <w:szCs w:val="22"/>
        </w:rPr>
        <w:t xml:space="preserve">5.3 </w:t>
      </w:r>
      <w:r w:rsidRPr="00295E71">
        <w:rPr>
          <w:b/>
          <w:sz w:val="22"/>
          <w:szCs w:val="22"/>
        </w:rPr>
        <w:tab/>
      </w:r>
      <w:r w:rsidRPr="00295E71">
        <w:rPr>
          <w:b/>
          <w:sz w:val="22"/>
          <w:szCs w:val="22"/>
          <w:lang w:eastAsia="en-US"/>
        </w:rPr>
        <w:t>Dati preclinici di sicurezza</w:t>
      </w:r>
    </w:p>
    <w:p w:rsidR="006224C2" w:rsidRPr="00295E71" w14:paraId="30ADAE2D" w14:textId="77777777">
      <w:pPr>
        <w:pStyle w:val="EndnoteText"/>
        <w:jc w:val="both"/>
        <w:rPr>
          <w:lang w:val="it-IT"/>
        </w:rPr>
      </w:pPr>
    </w:p>
    <w:p w:rsidR="006224C2" w:rsidRPr="00295E71" w14:paraId="11FFC559" w14:textId="77777777">
      <w:pPr>
        <w:tabs>
          <w:tab w:val="left" w:pos="567"/>
        </w:tabs>
        <w:autoSpaceDE w:val="0"/>
        <w:autoSpaceDN w:val="0"/>
        <w:adjustRightInd w:val="0"/>
        <w:jc w:val="both"/>
        <w:rPr>
          <w:color w:val="000000"/>
          <w:sz w:val="22"/>
          <w:szCs w:val="22"/>
        </w:rPr>
      </w:pPr>
      <w:r w:rsidRPr="00020442">
        <w:rPr>
          <w:color w:val="000000"/>
          <w:sz w:val="22"/>
          <w:szCs w:val="22"/>
        </w:rPr>
        <w:t>I dati preclinici non rivelano rischi particolari per l’uomo sulla base di studi di tossicità a dosi singole, tossicità a dosi ripetute e genotossicità</w:t>
      </w:r>
    </w:p>
    <w:p w:rsidR="006224C2" w:rsidRPr="00295E71" w14:paraId="1C42A85F" w14:textId="77777777">
      <w:pPr>
        <w:rPr>
          <w:sz w:val="22"/>
          <w:szCs w:val="22"/>
        </w:rPr>
      </w:pPr>
      <w:r w:rsidRPr="00295E71">
        <w:rPr>
          <w:sz w:val="22"/>
          <w:szCs w:val="22"/>
        </w:rPr>
        <w:t xml:space="preserve">È stato condotto uno studio sulla tossicità nello sviluppo embrio-fetale/sviluppo perinatale in scimmie cinomologhe con dosaggi di 0,30 e 100 mg/kg (9-17 scimmie/gruppo); tale studio non ha evidenziato danni fetali provocati da adalimumab. </w:t>
      </w:r>
      <w:r w:rsidRPr="00295E71" w:rsidR="0066449A">
        <w:rPr>
          <w:sz w:val="22"/>
          <w:szCs w:val="22"/>
        </w:rPr>
        <w:t>Sia l</w:t>
      </w:r>
      <w:r w:rsidRPr="00295E71">
        <w:rPr>
          <w:sz w:val="22"/>
          <w:szCs w:val="22"/>
        </w:rPr>
        <w:t xml:space="preserve">e prove di cancerogenesi </w:t>
      </w:r>
      <w:r w:rsidRPr="00295E71" w:rsidR="0066449A">
        <w:rPr>
          <w:sz w:val="22"/>
          <w:szCs w:val="22"/>
        </w:rPr>
        <w:t>ch</w:t>
      </w:r>
      <w:r w:rsidRPr="00295E71">
        <w:rPr>
          <w:sz w:val="22"/>
          <w:szCs w:val="22"/>
        </w:rPr>
        <w:t xml:space="preserve">e le valutazioni standard sulla fertilità e sulla tossicità postnatale non sono state condotte </w:t>
      </w:r>
      <w:r w:rsidRPr="00020442" w:rsidR="004C4E1E">
        <w:rPr>
          <w:sz w:val="22"/>
          <w:szCs w:val="22"/>
        </w:rPr>
        <w:t xml:space="preserve">con adalimumab </w:t>
      </w:r>
      <w:r w:rsidRPr="00295E71">
        <w:rPr>
          <w:sz w:val="22"/>
          <w:szCs w:val="22"/>
        </w:rPr>
        <w:t>a causa di mancanza di modelli appropriati per un anticorpo con limitata reattività crociata per il TNF nei roditori e lo sviluppo di anticorpi neutralizzanti nei roditori.</w:t>
      </w:r>
    </w:p>
    <w:p w:rsidR="006224C2" w:rsidRPr="00295E71" w14:paraId="44421177" w14:textId="77777777">
      <w:pPr>
        <w:tabs>
          <w:tab w:val="left" w:pos="567"/>
        </w:tabs>
        <w:autoSpaceDE w:val="0"/>
        <w:autoSpaceDN w:val="0"/>
        <w:adjustRightInd w:val="0"/>
        <w:jc w:val="both"/>
        <w:rPr>
          <w:sz w:val="22"/>
          <w:szCs w:val="22"/>
        </w:rPr>
      </w:pPr>
    </w:p>
    <w:p w:rsidR="006224C2" w:rsidRPr="00295E71" w14:paraId="35A4CA9D" w14:textId="77777777">
      <w:pPr>
        <w:tabs>
          <w:tab w:val="left" w:pos="567"/>
        </w:tabs>
        <w:autoSpaceDE w:val="0"/>
        <w:autoSpaceDN w:val="0"/>
        <w:adjustRightInd w:val="0"/>
        <w:jc w:val="both"/>
        <w:rPr>
          <w:sz w:val="22"/>
          <w:szCs w:val="22"/>
        </w:rPr>
      </w:pPr>
    </w:p>
    <w:p w:rsidR="006224C2" w:rsidRPr="00295E71" w14:paraId="0DFDAE59" w14:textId="77777777">
      <w:pPr>
        <w:rPr>
          <w:b/>
          <w:bCs/>
          <w:sz w:val="22"/>
          <w:szCs w:val="22"/>
        </w:rPr>
      </w:pPr>
      <w:r w:rsidRPr="00295E71">
        <w:rPr>
          <w:b/>
          <w:bCs/>
          <w:sz w:val="22"/>
          <w:szCs w:val="22"/>
        </w:rPr>
        <w:t>6.</w:t>
      </w:r>
      <w:r w:rsidRPr="00295E71">
        <w:rPr>
          <w:b/>
          <w:bCs/>
          <w:sz w:val="22"/>
          <w:szCs w:val="22"/>
        </w:rPr>
        <w:tab/>
        <w:t>INFORMAZIONI FARMACEUTICHE</w:t>
      </w:r>
    </w:p>
    <w:p w:rsidR="006224C2" w:rsidRPr="00295E71" w14:paraId="5816407B" w14:textId="77777777">
      <w:pPr>
        <w:tabs>
          <w:tab w:val="left" w:pos="567"/>
        </w:tabs>
        <w:jc w:val="both"/>
        <w:rPr>
          <w:b/>
          <w:bCs/>
          <w:sz w:val="22"/>
          <w:szCs w:val="22"/>
        </w:rPr>
      </w:pPr>
    </w:p>
    <w:p w:rsidR="006224C2" w:rsidRPr="00295E71" w14:paraId="68B498B4" w14:textId="77777777">
      <w:pPr>
        <w:tabs>
          <w:tab w:val="left" w:pos="567"/>
        </w:tabs>
        <w:jc w:val="both"/>
        <w:rPr>
          <w:b/>
          <w:bCs/>
          <w:sz w:val="22"/>
          <w:szCs w:val="22"/>
        </w:rPr>
      </w:pPr>
      <w:r w:rsidRPr="00295E71">
        <w:rPr>
          <w:b/>
          <w:bCs/>
          <w:sz w:val="22"/>
          <w:szCs w:val="22"/>
        </w:rPr>
        <w:t>6.1</w:t>
      </w:r>
      <w:r w:rsidRPr="00295E71">
        <w:rPr>
          <w:b/>
          <w:bCs/>
          <w:sz w:val="22"/>
          <w:szCs w:val="22"/>
        </w:rPr>
        <w:tab/>
        <w:t>Elenco degli eccipienti</w:t>
      </w:r>
    </w:p>
    <w:p w:rsidR="006224C2" w:rsidRPr="00295E71" w14:paraId="7353326A" w14:textId="77777777">
      <w:pPr>
        <w:tabs>
          <w:tab w:val="left" w:pos="567"/>
        </w:tabs>
        <w:autoSpaceDE w:val="0"/>
        <w:autoSpaceDN w:val="0"/>
        <w:adjustRightInd w:val="0"/>
        <w:jc w:val="both"/>
        <w:rPr>
          <w:sz w:val="22"/>
          <w:szCs w:val="22"/>
        </w:rPr>
      </w:pPr>
    </w:p>
    <w:p w:rsidR="006224C2" w:rsidRPr="00295E71" w14:paraId="59C20477" w14:textId="77777777">
      <w:pPr>
        <w:tabs>
          <w:tab w:val="left" w:pos="567"/>
        </w:tabs>
        <w:autoSpaceDE w:val="0"/>
        <w:autoSpaceDN w:val="0"/>
        <w:adjustRightInd w:val="0"/>
        <w:ind w:left="567" w:hanging="567"/>
        <w:jc w:val="both"/>
        <w:rPr>
          <w:sz w:val="22"/>
          <w:szCs w:val="22"/>
        </w:rPr>
      </w:pPr>
      <w:r w:rsidRPr="00295E71">
        <w:rPr>
          <w:sz w:val="22"/>
          <w:szCs w:val="22"/>
        </w:rPr>
        <w:t>Mannitolo</w:t>
      </w:r>
    </w:p>
    <w:p w:rsidR="006224C2" w:rsidRPr="00295E71" w14:paraId="03324218" w14:textId="77777777">
      <w:pPr>
        <w:tabs>
          <w:tab w:val="left" w:pos="567"/>
        </w:tabs>
        <w:autoSpaceDE w:val="0"/>
        <w:autoSpaceDN w:val="0"/>
        <w:adjustRightInd w:val="0"/>
        <w:ind w:left="567" w:hanging="567"/>
        <w:jc w:val="both"/>
        <w:rPr>
          <w:sz w:val="22"/>
          <w:szCs w:val="22"/>
        </w:rPr>
      </w:pPr>
      <w:r w:rsidRPr="00295E71">
        <w:rPr>
          <w:sz w:val="22"/>
          <w:szCs w:val="22"/>
        </w:rPr>
        <w:t>Polisorbato 80</w:t>
      </w:r>
    </w:p>
    <w:p w:rsidR="006224C2" w:rsidRPr="00295E71" w14:paraId="3A1E45AC" w14:textId="77777777">
      <w:pPr>
        <w:tabs>
          <w:tab w:val="left" w:pos="567"/>
        </w:tabs>
        <w:autoSpaceDE w:val="0"/>
        <w:autoSpaceDN w:val="0"/>
        <w:adjustRightInd w:val="0"/>
        <w:ind w:left="567" w:hanging="567"/>
        <w:jc w:val="both"/>
        <w:rPr>
          <w:sz w:val="22"/>
          <w:szCs w:val="22"/>
        </w:rPr>
      </w:pPr>
      <w:r w:rsidRPr="00295E71">
        <w:rPr>
          <w:sz w:val="22"/>
          <w:szCs w:val="22"/>
        </w:rPr>
        <w:t>Acqua per preparazioni iniettabili.</w:t>
      </w:r>
    </w:p>
    <w:p w:rsidR="006224C2" w:rsidRPr="00295E71" w14:paraId="36639EBF" w14:textId="77777777">
      <w:pPr>
        <w:tabs>
          <w:tab w:val="left" w:pos="567"/>
        </w:tabs>
        <w:ind w:right="-2"/>
        <w:jc w:val="both"/>
        <w:rPr>
          <w:sz w:val="22"/>
          <w:szCs w:val="22"/>
        </w:rPr>
      </w:pPr>
    </w:p>
    <w:p w:rsidR="006224C2" w:rsidRPr="00295E71" w14:paraId="26CDC5E7" w14:textId="77777777">
      <w:pPr>
        <w:tabs>
          <w:tab w:val="left" w:pos="567"/>
        </w:tabs>
        <w:ind w:left="567" w:hanging="567"/>
        <w:jc w:val="both"/>
        <w:rPr>
          <w:b/>
          <w:bCs/>
          <w:sz w:val="22"/>
          <w:szCs w:val="22"/>
        </w:rPr>
      </w:pPr>
      <w:r w:rsidRPr="00295E71">
        <w:rPr>
          <w:b/>
          <w:bCs/>
          <w:sz w:val="22"/>
          <w:szCs w:val="22"/>
        </w:rPr>
        <w:t>6.2</w:t>
      </w:r>
      <w:r w:rsidRPr="00295E71">
        <w:rPr>
          <w:b/>
          <w:bCs/>
          <w:sz w:val="22"/>
          <w:szCs w:val="22"/>
        </w:rPr>
        <w:tab/>
        <w:t>Incompatibilità</w:t>
      </w:r>
    </w:p>
    <w:p w:rsidR="006224C2" w:rsidRPr="00295E71" w14:paraId="3F2DF174" w14:textId="77777777">
      <w:pPr>
        <w:tabs>
          <w:tab w:val="left" w:pos="567"/>
        </w:tabs>
        <w:jc w:val="both"/>
        <w:rPr>
          <w:sz w:val="22"/>
          <w:szCs w:val="22"/>
        </w:rPr>
      </w:pPr>
    </w:p>
    <w:p w:rsidR="006224C2" w:rsidRPr="00295E71" w14:paraId="6094D45E" w14:textId="77777777">
      <w:pPr>
        <w:tabs>
          <w:tab w:val="left" w:pos="567"/>
        </w:tabs>
        <w:jc w:val="both"/>
        <w:rPr>
          <w:sz w:val="22"/>
          <w:szCs w:val="22"/>
        </w:rPr>
      </w:pPr>
      <w:r w:rsidRPr="00295E71">
        <w:rPr>
          <w:sz w:val="22"/>
          <w:szCs w:val="22"/>
        </w:rPr>
        <w:t>In assenza di studi di compatibilità, questo medicinale non deve essere miscelato con altri medicinali.</w:t>
      </w:r>
    </w:p>
    <w:p w:rsidR="006224C2" w:rsidRPr="00295E71" w14:paraId="48A40333" w14:textId="77777777">
      <w:pPr>
        <w:tabs>
          <w:tab w:val="left" w:pos="567"/>
        </w:tabs>
        <w:jc w:val="both"/>
        <w:rPr>
          <w:sz w:val="22"/>
          <w:szCs w:val="22"/>
        </w:rPr>
      </w:pPr>
    </w:p>
    <w:p w:rsidR="006224C2" w:rsidRPr="00295E71" w:rsidP="00F57FE5" w14:paraId="571B8854" w14:textId="77777777">
      <w:pPr>
        <w:keepNext/>
        <w:keepLines/>
        <w:tabs>
          <w:tab w:val="left" w:pos="567"/>
        </w:tabs>
        <w:ind w:left="567" w:hanging="567"/>
        <w:jc w:val="both"/>
        <w:rPr>
          <w:b/>
          <w:bCs/>
          <w:sz w:val="22"/>
          <w:szCs w:val="22"/>
        </w:rPr>
      </w:pPr>
      <w:r w:rsidRPr="00295E71">
        <w:rPr>
          <w:b/>
          <w:bCs/>
          <w:sz w:val="22"/>
          <w:szCs w:val="22"/>
        </w:rPr>
        <w:t>6.3</w:t>
      </w:r>
      <w:r w:rsidRPr="00295E71">
        <w:rPr>
          <w:b/>
          <w:bCs/>
          <w:sz w:val="22"/>
          <w:szCs w:val="22"/>
        </w:rPr>
        <w:tab/>
        <w:t>Periodo di validità</w:t>
      </w:r>
    </w:p>
    <w:p w:rsidR="006224C2" w:rsidRPr="00295E71" w:rsidP="00F57FE5" w14:paraId="5649DF52" w14:textId="77777777">
      <w:pPr>
        <w:keepNext/>
        <w:keepLines/>
        <w:tabs>
          <w:tab w:val="left" w:pos="567"/>
        </w:tabs>
        <w:jc w:val="both"/>
        <w:rPr>
          <w:sz w:val="22"/>
          <w:szCs w:val="22"/>
        </w:rPr>
      </w:pPr>
    </w:p>
    <w:p w:rsidR="006224C2" w:rsidRPr="00295E71" w:rsidP="00F57FE5" w14:paraId="6B0940B3" w14:textId="77777777">
      <w:pPr>
        <w:keepNext/>
        <w:keepLines/>
        <w:tabs>
          <w:tab w:val="left" w:pos="567"/>
        </w:tabs>
        <w:jc w:val="both"/>
        <w:rPr>
          <w:sz w:val="22"/>
          <w:szCs w:val="22"/>
        </w:rPr>
      </w:pPr>
      <w:r w:rsidRPr="00295E71">
        <w:rPr>
          <w:sz w:val="22"/>
          <w:szCs w:val="22"/>
        </w:rPr>
        <w:t>2 anni</w:t>
      </w:r>
    </w:p>
    <w:p w:rsidR="006224C2" w:rsidRPr="00295E71" w14:paraId="5D041327" w14:textId="77777777">
      <w:pPr>
        <w:tabs>
          <w:tab w:val="left" w:pos="567"/>
        </w:tabs>
        <w:jc w:val="both"/>
        <w:rPr>
          <w:sz w:val="22"/>
          <w:szCs w:val="22"/>
        </w:rPr>
      </w:pPr>
    </w:p>
    <w:p w:rsidR="006224C2" w:rsidRPr="00295E71" w:rsidP="00F57FE5" w14:paraId="005FB064" w14:textId="77777777">
      <w:pPr>
        <w:keepNext/>
        <w:keepLines/>
        <w:tabs>
          <w:tab w:val="left" w:pos="567"/>
        </w:tabs>
        <w:jc w:val="both"/>
        <w:rPr>
          <w:b/>
          <w:bCs/>
          <w:sz w:val="22"/>
          <w:szCs w:val="22"/>
        </w:rPr>
      </w:pPr>
      <w:r w:rsidRPr="00295E71">
        <w:rPr>
          <w:b/>
          <w:bCs/>
          <w:sz w:val="22"/>
          <w:szCs w:val="22"/>
        </w:rPr>
        <w:t>6.4</w:t>
      </w:r>
      <w:r w:rsidRPr="00295E71">
        <w:rPr>
          <w:b/>
          <w:bCs/>
          <w:sz w:val="22"/>
          <w:szCs w:val="22"/>
        </w:rPr>
        <w:tab/>
        <w:t>Precauzioni particolari per la conservazione</w:t>
      </w:r>
    </w:p>
    <w:p w:rsidR="006224C2" w:rsidRPr="00295E71" w:rsidP="00F57FE5" w14:paraId="71FE8B0C" w14:textId="77777777">
      <w:pPr>
        <w:keepNext/>
        <w:keepLines/>
        <w:tabs>
          <w:tab w:val="left" w:pos="567"/>
        </w:tabs>
        <w:jc w:val="both"/>
        <w:rPr>
          <w:sz w:val="22"/>
          <w:szCs w:val="22"/>
        </w:rPr>
      </w:pPr>
    </w:p>
    <w:p w:rsidR="006224C2" w:rsidRPr="00295E71" w:rsidP="00F57FE5" w14:paraId="4D293755" w14:textId="77777777">
      <w:pPr>
        <w:keepNext/>
        <w:keepLines/>
        <w:tabs>
          <w:tab w:val="left" w:pos="567"/>
        </w:tabs>
        <w:jc w:val="both"/>
        <w:rPr>
          <w:sz w:val="22"/>
          <w:szCs w:val="22"/>
        </w:rPr>
      </w:pPr>
      <w:r w:rsidRPr="00295E71">
        <w:rPr>
          <w:sz w:val="22"/>
          <w:szCs w:val="22"/>
        </w:rPr>
        <w:t>Conservare in frigorifero (2</w:t>
      </w:r>
      <w:r w:rsidRPr="00295E71">
        <w:rPr>
          <w:rFonts w:ascii="Symbol" w:hAnsi="Symbol"/>
          <w:sz w:val="22"/>
          <w:szCs w:val="22"/>
        </w:rPr>
        <w:sym w:font="Symbol" w:char="F0B0"/>
      </w:r>
      <w:r w:rsidRPr="00295E71">
        <w:rPr>
          <w:sz w:val="22"/>
          <w:szCs w:val="22"/>
        </w:rPr>
        <w:t>C – 8</w:t>
      </w:r>
      <w:r w:rsidRPr="00295E71">
        <w:rPr>
          <w:rFonts w:ascii="Symbol" w:hAnsi="Symbol"/>
          <w:sz w:val="22"/>
          <w:szCs w:val="22"/>
        </w:rPr>
        <w:sym w:font="Symbol" w:char="F0B0"/>
      </w:r>
      <w:r w:rsidRPr="00295E71">
        <w:rPr>
          <w:sz w:val="22"/>
          <w:szCs w:val="22"/>
        </w:rPr>
        <w:t xml:space="preserve">C). Non congelare. </w:t>
      </w:r>
      <w:r w:rsidRPr="00295E71" w:rsidR="001013A9">
        <w:rPr>
          <w:sz w:val="22"/>
          <w:szCs w:val="22"/>
        </w:rPr>
        <w:t xml:space="preserve">Tenere </w:t>
      </w:r>
      <w:r w:rsidRPr="00295E71">
        <w:rPr>
          <w:sz w:val="22"/>
          <w:szCs w:val="22"/>
        </w:rPr>
        <w:t>la siringa pre-riempita o</w:t>
      </w:r>
      <w:r w:rsidRPr="00295E71" w:rsidR="001013A9">
        <w:rPr>
          <w:sz w:val="22"/>
          <w:szCs w:val="22"/>
        </w:rPr>
        <w:t xml:space="preserve"> </w:t>
      </w:r>
      <w:r w:rsidRPr="00295E71">
        <w:rPr>
          <w:sz w:val="22"/>
          <w:szCs w:val="22"/>
        </w:rPr>
        <w:t>la penna pre-riempita</w:t>
      </w:r>
      <w:r w:rsidRPr="00295E71" w:rsidR="001013A9">
        <w:rPr>
          <w:sz w:val="22"/>
          <w:szCs w:val="22"/>
        </w:rPr>
        <w:t xml:space="preserve"> nell’imballaggio esterno </w:t>
      </w:r>
      <w:r w:rsidRPr="00295E71">
        <w:rPr>
          <w:sz w:val="22"/>
          <w:szCs w:val="22"/>
        </w:rPr>
        <w:t>per proteggere il medicinale dalla luce.</w:t>
      </w:r>
    </w:p>
    <w:p w:rsidR="006224C2" w:rsidRPr="00295E71" w:rsidP="00F57FE5" w14:paraId="413C965D" w14:textId="77777777">
      <w:pPr>
        <w:keepNext/>
        <w:keepLines/>
        <w:tabs>
          <w:tab w:val="left" w:pos="567"/>
        </w:tabs>
        <w:jc w:val="both"/>
        <w:rPr>
          <w:sz w:val="22"/>
          <w:szCs w:val="22"/>
        </w:rPr>
      </w:pPr>
    </w:p>
    <w:p w:rsidR="006224C2" w:rsidRPr="00295E71" w14:paraId="4C61497F" w14:textId="77777777">
      <w:pPr>
        <w:tabs>
          <w:tab w:val="left" w:pos="567"/>
        </w:tabs>
        <w:jc w:val="both"/>
        <w:rPr>
          <w:sz w:val="22"/>
          <w:szCs w:val="22"/>
        </w:rPr>
      </w:pPr>
      <w:r w:rsidRPr="00295E71">
        <w:rPr>
          <w:sz w:val="22"/>
          <w:szCs w:val="22"/>
        </w:rPr>
        <w:t>Una singola siringa pre-riempita o penna pre-riempita di Humira può essere conservata a temperature fino a un massimo di 25°C per un periodo di non oltre 14 giorni. La siringa o penna deve essere protetta dalla luce e gettata se non usata durante il periodo dei 14 giorni</w:t>
      </w:r>
      <w:r w:rsidRPr="00295E71" w:rsidR="00B510FF">
        <w:rPr>
          <w:sz w:val="22"/>
          <w:szCs w:val="22"/>
        </w:rPr>
        <w:t>.</w:t>
      </w:r>
    </w:p>
    <w:p w:rsidR="006224C2" w:rsidRPr="00295E71" w14:paraId="4B4D7390" w14:textId="77777777">
      <w:pPr>
        <w:tabs>
          <w:tab w:val="left" w:pos="567"/>
        </w:tabs>
        <w:jc w:val="both"/>
        <w:rPr>
          <w:sz w:val="22"/>
          <w:szCs w:val="22"/>
        </w:rPr>
      </w:pPr>
    </w:p>
    <w:p w:rsidR="006224C2" w:rsidRPr="00295E71" w14:paraId="755740C3" w14:textId="77777777">
      <w:pPr>
        <w:tabs>
          <w:tab w:val="left" w:pos="567"/>
        </w:tabs>
        <w:ind w:left="567" w:hanging="567"/>
        <w:jc w:val="both"/>
        <w:rPr>
          <w:b/>
          <w:bCs/>
          <w:sz w:val="22"/>
          <w:szCs w:val="22"/>
        </w:rPr>
      </w:pPr>
      <w:r w:rsidRPr="00295E71">
        <w:rPr>
          <w:b/>
          <w:bCs/>
          <w:sz w:val="22"/>
          <w:szCs w:val="22"/>
        </w:rPr>
        <w:t>6.5</w:t>
      </w:r>
      <w:r w:rsidRPr="00295E71">
        <w:rPr>
          <w:b/>
          <w:bCs/>
          <w:sz w:val="22"/>
          <w:szCs w:val="22"/>
        </w:rPr>
        <w:tab/>
        <w:t>Natura e contenuto del contenitore</w:t>
      </w:r>
    </w:p>
    <w:p w:rsidR="006224C2" w:rsidRPr="00295E71" w14:paraId="2F5C76CC" w14:textId="77777777">
      <w:pPr>
        <w:tabs>
          <w:tab w:val="left" w:pos="567"/>
        </w:tabs>
        <w:jc w:val="both"/>
        <w:rPr>
          <w:sz w:val="22"/>
          <w:szCs w:val="22"/>
        </w:rPr>
      </w:pPr>
    </w:p>
    <w:p w:rsidR="006224C2" w:rsidRPr="00295E71" w14:paraId="094630A0" w14:textId="77777777">
      <w:pPr>
        <w:keepNext/>
        <w:rPr>
          <w:sz w:val="22"/>
          <w:szCs w:val="22"/>
          <w:u w:val="single"/>
        </w:rPr>
      </w:pPr>
      <w:r w:rsidRPr="00295E71">
        <w:rPr>
          <w:sz w:val="22"/>
          <w:szCs w:val="22"/>
          <w:u w:val="single"/>
        </w:rPr>
        <w:t>Humira 40 mg soluzione iniettabile in siringa pre-riempita</w:t>
      </w:r>
    </w:p>
    <w:p w:rsidR="006224C2" w:rsidRPr="00295E71" w14:paraId="64C42CA9" w14:textId="77777777">
      <w:pPr>
        <w:tabs>
          <w:tab w:val="left" w:pos="567"/>
        </w:tabs>
        <w:jc w:val="both"/>
        <w:rPr>
          <w:sz w:val="22"/>
          <w:szCs w:val="22"/>
        </w:rPr>
      </w:pPr>
      <w:r w:rsidRPr="00295E71">
        <w:rPr>
          <w:sz w:val="22"/>
          <w:szCs w:val="22"/>
        </w:rPr>
        <w:t>Humira 40 mg soluzione iniettabile è contenuta in siringhe pre-riempite monouso (vetro tipo I) con uno stantuffo (gomma bromobutilica) e un ago con cappuccio (elastomero termoplastico).</w:t>
      </w:r>
    </w:p>
    <w:p w:rsidR="006224C2" w:rsidRPr="00295E71" w14:paraId="54F2349F" w14:textId="77777777">
      <w:pPr>
        <w:tabs>
          <w:tab w:val="left" w:pos="567"/>
        </w:tabs>
        <w:jc w:val="both"/>
        <w:rPr>
          <w:sz w:val="22"/>
          <w:szCs w:val="22"/>
        </w:rPr>
      </w:pPr>
    </w:p>
    <w:p w:rsidR="006224C2" w:rsidRPr="00295E71" w:rsidP="005D5C2F" w14:paraId="6AD9A0CF" w14:textId="77777777">
      <w:pPr>
        <w:keepNext/>
        <w:keepLines/>
        <w:tabs>
          <w:tab w:val="left" w:pos="567"/>
        </w:tabs>
        <w:jc w:val="both"/>
        <w:rPr>
          <w:sz w:val="22"/>
          <w:szCs w:val="22"/>
        </w:rPr>
      </w:pPr>
      <w:r w:rsidRPr="00295E71">
        <w:rPr>
          <w:sz w:val="22"/>
          <w:szCs w:val="22"/>
        </w:rPr>
        <w:t>Confezioni:</w:t>
      </w:r>
    </w:p>
    <w:p w:rsidR="006224C2" w:rsidRPr="00295E71" w:rsidP="005D5C2F" w14:paraId="39FB185D" w14:textId="77777777">
      <w:pPr>
        <w:keepNext/>
        <w:keepLines/>
        <w:numPr>
          <w:ilvl w:val="0"/>
          <w:numId w:val="11"/>
        </w:numPr>
        <w:tabs>
          <w:tab w:val="clear" w:pos="720"/>
        </w:tabs>
        <w:ind w:left="540" w:hanging="540"/>
        <w:jc w:val="both"/>
        <w:rPr>
          <w:sz w:val="22"/>
          <w:szCs w:val="22"/>
        </w:rPr>
      </w:pPr>
      <w:r w:rsidRPr="00295E71">
        <w:rPr>
          <w:sz w:val="22"/>
          <w:szCs w:val="22"/>
        </w:rPr>
        <w:t>1 siringa pre-riempita (0,4 ml di soluzione sterile) e 1 tampone imbevuto di alcool in un blister.</w:t>
      </w:r>
    </w:p>
    <w:p w:rsidR="006224C2" w:rsidRPr="00295E71" w:rsidP="005D5C2F" w14:paraId="70E288AA" w14:textId="77777777">
      <w:pPr>
        <w:keepNext/>
        <w:keepLines/>
        <w:numPr>
          <w:ilvl w:val="0"/>
          <w:numId w:val="11"/>
        </w:numPr>
        <w:tabs>
          <w:tab w:val="clear" w:pos="720"/>
        </w:tabs>
        <w:ind w:left="540" w:hanging="540"/>
        <w:jc w:val="both"/>
        <w:rPr>
          <w:sz w:val="22"/>
          <w:szCs w:val="22"/>
        </w:rPr>
      </w:pPr>
      <w:r w:rsidRPr="00295E71">
        <w:rPr>
          <w:sz w:val="22"/>
          <w:szCs w:val="22"/>
        </w:rPr>
        <w:t>2 siringhe pre-riempite (0,4 ml di soluzione sterile) e 1 tampone imbevuto di alcool per ogni siringa, in un blister.</w:t>
      </w:r>
    </w:p>
    <w:p w:rsidR="006224C2" w:rsidRPr="00295E71" w:rsidP="005D5C2F" w14:paraId="3DA1DCA4" w14:textId="77777777">
      <w:pPr>
        <w:keepNext/>
        <w:keepLines/>
        <w:numPr>
          <w:ilvl w:val="0"/>
          <w:numId w:val="11"/>
        </w:numPr>
        <w:tabs>
          <w:tab w:val="clear" w:pos="720"/>
        </w:tabs>
        <w:ind w:left="540" w:hanging="540"/>
        <w:jc w:val="both"/>
        <w:rPr>
          <w:sz w:val="22"/>
          <w:szCs w:val="22"/>
        </w:rPr>
      </w:pPr>
      <w:r w:rsidRPr="00295E71">
        <w:rPr>
          <w:sz w:val="22"/>
          <w:szCs w:val="22"/>
        </w:rPr>
        <w:t>4 siringhe pre-riempite (0,4 ml di soluzione sterile) e 1 tampone imbevuto di alcool per ogni siringa, in un blister.</w:t>
      </w:r>
    </w:p>
    <w:p w:rsidR="006224C2" w:rsidRPr="00295E71" w14:paraId="059A553A" w14:textId="77777777">
      <w:pPr>
        <w:numPr>
          <w:ilvl w:val="0"/>
          <w:numId w:val="11"/>
        </w:numPr>
        <w:tabs>
          <w:tab w:val="clear" w:pos="720"/>
        </w:tabs>
        <w:ind w:left="540" w:hanging="540"/>
        <w:jc w:val="both"/>
        <w:rPr>
          <w:sz w:val="22"/>
          <w:szCs w:val="22"/>
        </w:rPr>
      </w:pPr>
      <w:r w:rsidRPr="00295E71">
        <w:rPr>
          <w:sz w:val="22"/>
          <w:szCs w:val="22"/>
        </w:rPr>
        <w:t>6 siringhe pre-riempite (0,4 ml di soluzione sterile) e 1 tampone imbevuto di alcool per ogni siringa, in un blister.</w:t>
      </w:r>
    </w:p>
    <w:p w:rsidR="00B27268" w:rsidP="00B27268" w14:paraId="0CC436CA" w14:textId="77777777">
      <w:pPr>
        <w:keepNext/>
        <w:rPr>
          <w:sz w:val="22"/>
          <w:szCs w:val="22"/>
          <w:u w:val="single"/>
        </w:rPr>
      </w:pPr>
    </w:p>
    <w:p w:rsidR="006224C2" w:rsidRPr="00295E71" w14:paraId="5E769702" w14:textId="77777777">
      <w:pPr>
        <w:keepNext/>
        <w:rPr>
          <w:sz w:val="22"/>
          <w:szCs w:val="22"/>
          <w:u w:val="single"/>
        </w:rPr>
      </w:pPr>
      <w:r w:rsidRPr="00295E71">
        <w:rPr>
          <w:sz w:val="22"/>
          <w:szCs w:val="22"/>
          <w:u w:val="single"/>
        </w:rPr>
        <w:t>Humira 40 mg soluzione iniettabile in penna pre-riempita</w:t>
      </w:r>
    </w:p>
    <w:p w:rsidR="006224C2" w:rsidRPr="00295E71" w14:paraId="068C0757" w14:textId="77777777">
      <w:pPr>
        <w:keepNext/>
        <w:rPr>
          <w:sz w:val="22"/>
          <w:szCs w:val="22"/>
        </w:rPr>
      </w:pPr>
      <w:r w:rsidRPr="00295E71">
        <w:rPr>
          <w:sz w:val="22"/>
          <w:szCs w:val="22"/>
        </w:rPr>
        <w:t>Humira 40 mg soluzione iniettabile in penna pre-riempita monouso</w:t>
      </w:r>
      <w:r w:rsidRPr="00295E71" w:rsidR="00B2003C">
        <w:rPr>
          <w:sz w:val="22"/>
          <w:szCs w:val="22"/>
        </w:rPr>
        <w:t xml:space="preserve"> </w:t>
      </w:r>
      <w:r w:rsidRPr="00295E71">
        <w:rPr>
          <w:sz w:val="22"/>
          <w:szCs w:val="22"/>
        </w:rPr>
        <w:t>pronta per l’utilizzo da parte dei pazienti, contenente una siringa pre-riempita. La siringa all’interno della penna è di vetro tipo I con uno stantuffo (gomma bromobutilica) e un ago con cappuccio (elastomero termoplastico).</w:t>
      </w:r>
    </w:p>
    <w:p w:rsidR="006224C2" w:rsidRPr="00295E71" w14:paraId="45023F64" w14:textId="77777777">
      <w:pPr>
        <w:rPr>
          <w:sz w:val="22"/>
          <w:szCs w:val="22"/>
        </w:rPr>
      </w:pPr>
    </w:p>
    <w:p w:rsidR="006224C2" w:rsidRPr="00295E71" w14:paraId="0246AE4E" w14:textId="77777777">
      <w:pPr>
        <w:rPr>
          <w:sz w:val="22"/>
          <w:szCs w:val="22"/>
        </w:rPr>
      </w:pPr>
      <w:r w:rsidRPr="00295E71">
        <w:rPr>
          <w:sz w:val="22"/>
          <w:szCs w:val="22"/>
        </w:rPr>
        <w:t>Confezioni:</w:t>
      </w:r>
    </w:p>
    <w:p w:rsidR="006224C2" w:rsidRPr="00295E71" w14:paraId="6C99AB0B" w14:textId="77777777">
      <w:pPr>
        <w:numPr>
          <w:ilvl w:val="0"/>
          <w:numId w:val="113"/>
        </w:numPr>
        <w:suppressAutoHyphens/>
        <w:rPr>
          <w:sz w:val="22"/>
          <w:szCs w:val="22"/>
        </w:rPr>
      </w:pPr>
      <w:r w:rsidRPr="00295E71">
        <w:rPr>
          <w:sz w:val="22"/>
          <w:szCs w:val="22"/>
        </w:rPr>
        <w:t xml:space="preserve">1 penna pre-riempita (0,4 ml soluzione sterile), con 2 tamponi imbevuti di alcol in un blister. </w:t>
      </w:r>
    </w:p>
    <w:p w:rsidR="006224C2" w:rsidRPr="00295E71" w14:paraId="5E43B47D" w14:textId="77777777">
      <w:pPr>
        <w:numPr>
          <w:ilvl w:val="0"/>
          <w:numId w:val="113"/>
        </w:numPr>
        <w:suppressAutoHyphens/>
        <w:rPr>
          <w:sz w:val="22"/>
          <w:szCs w:val="22"/>
        </w:rPr>
      </w:pPr>
      <w:r w:rsidRPr="00295E71">
        <w:rPr>
          <w:sz w:val="22"/>
          <w:szCs w:val="22"/>
        </w:rPr>
        <w:t xml:space="preserve">2 penne pre-riempite (0,4 ml soluzione sterile), ciascuna con 1 tampone imbevuto di alcol, in un blister. </w:t>
      </w:r>
    </w:p>
    <w:p w:rsidR="006224C2" w:rsidRPr="00295E71" w14:paraId="66701B1D" w14:textId="77777777">
      <w:pPr>
        <w:numPr>
          <w:ilvl w:val="0"/>
          <w:numId w:val="113"/>
        </w:numPr>
        <w:suppressAutoHyphens/>
        <w:rPr>
          <w:sz w:val="22"/>
          <w:szCs w:val="22"/>
        </w:rPr>
      </w:pPr>
      <w:r w:rsidRPr="00295E71">
        <w:rPr>
          <w:sz w:val="22"/>
          <w:szCs w:val="22"/>
        </w:rPr>
        <w:t xml:space="preserve">4 penne pre-riempite (0,4 ml soluzione sterile), ciascuna con 1 tampone imbevuto di alcol, in un blister. </w:t>
      </w:r>
    </w:p>
    <w:p w:rsidR="006224C2" w:rsidRPr="00295E71" w14:paraId="75CD2377" w14:textId="77777777">
      <w:pPr>
        <w:numPr>
          <w:ilvl w:val="0"/>
          <w:numId w:val="113"/>
        </w:numPr>
        <w:suppressAutoHyphens/>
        <w:rPr>
          <w:sz w:val="22"/>
          <w:szCs w:val="22"/>
        </w:rPr>
      </w:pPr>
      <w:r w:rsidRPr="00295E71">
        <w:rPr>
          <w:sz w:val="22"/>
          <w:szCs w:val="22"/>
        </w:rPr>
        <w:t>6 penne pre-riempite (0,4 ml soluzione sterile), ciascuna con 1 tampone imbevuto di alcol, in un blister.</w:t>
      </w:r>
    </w:p>
    <w:p w:rsidR="006224C2" w:rsidRPr="00295E71" w14:paraId="59D676B4" w14:textId="77777777">
      <w:pPr>
        <w:tabs>
          <w:tab w:val="left" w:pos="567"/>
        </w:tabs>
        <w:jc w:val="both"/>
        <w:rPr>
          <w:sz w:val="22"/>
          <w:szCs w:val="22"/>
        </w:rPr>
      </w:pPr>
    </w:p>
    <w:p w:rsidR="006224C2" w:rsidRPr="00295E71" w14:paraId="1394B594" w14:textId="77777777">
      <w:pPr>
        <w:tabs>
          <w:tab w:val="left" w:pos="567"/>
        </w:tabs>
        <w:jc w:val="both"/>
        <w:rPr>
          <w:sz w:val="22"/>
          <w:szCs w:val="22"/>
        </w:rPr>
      </w:pPr>
      <w:r w:rsidRPr="00295E71">
        <w:rPr>
          <w:sz w:val="22"/>
          <w:szCs w:val="22"/>
        </w:rPr>
        <w:t>È possibile che non tutte le confezioni siano commercializzate.</w:t>
      </w:r>
    </w:p>
    <w:p w:rsidR="006224C2" w:rsidRPr="00295E71" w14:paraId="4B06AE9B" w14:textId="77777777">
      <w:pPr>
        <w:tabs>
          <w:tab w:val="left" w:pos="567"/>
        </w:tabs>
        <w:jc w:val="both"/>
        <w:rPr>
          <w:sz w:val="22"/>
          <w:szCs w:val="22"/>
        </w:rPr>
      </w:pPr>
    </w:p>
    <w:p w:rsidR="006224C2" w:rsidRPr="00295E71" w:rsidP="001E366F" w14:paraId="5A6540DB" w14:textId="77777777">
      <w:pPr>
        <w:keepNext/>
        <w:tabs>
          <w:tab w:val="left" w:pos="567"/>
        </w:tabs>
        <w:ind w:left="567" w:hanging="567"/>
        <w:jc w:val="both"/>
        <w:rPr>
          <w:b/>
          <w:bCs/>
          <w:sz w:val="22"/>
          <w:szCs w:val="22"/>
        </w:rPr>
      </w:pPr>
      <w:r w:rsidRPr="00295E71">
        <w:rPr>
          <w:b/>
          <w:bCs/>
          <w:sz w:val="22"/>
          <w:szCs w:val="22"/>
        </w:rPr>
        <w:t>6.6</w:t>
      </w:r>
      <w:r w:rsidRPr="00295E71">
        <w:rPr>
          <w:b/>
          <w:bCs/>
          <w:sz w:val="22"/>
          <w:szCs w:val="22"/>
        </w:rPr>
        <w:tab/>
        <w:t>Precauzioni particolari per lo smaltimento</w:t>
      </w:r>
    </w:p>
    <w:p w:rsidR="006224C2" w:rsidRPr="00295E71" w:rsidP="001E366F" w14:paraId="7975F582" w14:textId="77777777">
      <w:pPr>
        <w:keepNext/>
        <w:tabs>
          <w:tab w:val="left" w:pos="567"/>
        </w:tabs>
        <w:jc w:val="both"/>
        <w:rPr>
          <w:sz w:val="22"/>
          <w:szCs w:val="22"/>
        </w:rPr>
      </w:pPr>
    </w:p>
    <w:p w:rsidR="006224C2" w:rsidRPr="00295E71" w:rsidP="001E366F" w14:paraId="3D588845" w14:textId="77777777">
      <w:pPr>
        <w:keepNext/>
        <w:tabs>
          <w:tab w:val="left" w:pos="567"/>
        </w:tabs>
        <w:jc w:val="both"/>
        <w:rPr>
          <w:sz w:val="22"/>
          <w:szCs w:val="22"/>
        </w:rPr>
      </w:pPr>
      <w:r w:rsidRPr="00295E71">
        <w:rPr>
          <w:sz w:val="22"/>
          <w:szCs w:val="22"/>
        </w:rPr>
        <w:t>Il medicinale non utilizzato e i rifiuti derivati da tale medicinale devono essere smaltiti in conformità alla normativa locale vigente.</w:t>
      </w:r>
    </w:p>
    <w:p w:rsidR="006224C2" w:rsidRPr="00295E71" w14:paraId="08708547" w14:textId="77777777">
      <w:pPr>
        <w:tabs>
          <w:tab w:val="left" w:pos="567"/>
        </w:tabs>
        <w:jc w:val="both"/>
        <w:rPr>
          <w:sz w:val="22"/>
          <w:szCs w:val="22"/>
        </w:rPr>
      </w:pPr>
    </w:p>
    <w:p w:rsidR="006224C2" w:rsidRPr="00295E71" w14:paraId="5FB5AFD6" w14:textId="77777777">
      <w:pPr>
        <w:rPr>
          <w:sz w:val="22"/>
          <w:szCs w:val="22"/>
        </w:rPr>
      </w:pPr>
    </w:p>
    <w:p w:rsidR="006224C2" w:rsidRPr="00295E71" w14:paraId="582783AD" w14:textId="77777777">
      <w:pPr>
        <w:rPr>
          <w:b/>
          <w:bCs/>
          <w:sz w:val="22"/>
          <w:szCs w:val="22"/>
        </w:rPr>
      </w:pPr>
      <w:r w:rsidRPr="00295E71">
        <w:rPr>
          <w:b/>
          <w:bCs/>
          <w:sz w:val="22"/>
          <w:szCs w:val="22"/>
        </w:rPr>
        <w:t>7.</w:t>
      </w:r>
      <w:r w:rsidRPr="00295E71">
        <w:rPr>
          <w:b/>
          <w:bCs/>
          <w:sz w:val="22"/>
          <w:szCs w:val="22"/>
        </w:rPr>
        <w:tab/>
        <w:t xml:space="preserve">TITOLARE DELL’AUTORIZZAZIONE ALL’IMMISSIONE IN COMMERCIO </w:t>
      </w:r>
    </w:p>
    <w:p w:rsidR="006224C2" w:rsidRPr="00295E71" w14:paraId="7EF36301" w14:textId="77777777">
      <w:pPr>
        <w:tabs>
          <w:tab w:val="left" w:pos="567"/>
        </w:tabs>
        <w:jc w:val="both"/>
        <w:rPr>
          <w:sz w:val="22"/>
          <w:szCs w:val="22"/>
        </w:rPr>
      </w:pPr>
    </w:p>
    <w:p w:rsidR="00CD0A92" w:rsidRPr="00295E71" w:rsidP="00CD0A92" w14:paraId="5A2A116D" w14:textId="77777777">
      <w:pPr>
        <w:tabs>
          <w:tab w:val="left" w:pos="567"/>
        </w:tabs>
        <w:jc w:val="both"/>
        <w:rPr>
          <w:sz w:val="22"/>
          <w:szCs w:val="22"/>
        </w:rPr>
      </w:pPr>
      <w:r w:rsidRPr="00295E71">
        <w:rPr>
          <w:sz w:val="22"/>
          <w:szCs w:val="22"/>
        </w:rPr>
        <w:t>AbbVie Deutschland GmbH &amp; Co. KG</w:t>
      </w:r>
    </w:p>
    <w:p w:rsidR="00CD0A92" w:rsidRPr="00295E71" w:rsidP="00CD0A92" w14:paraId="1AEB6A60" w14:textId="77777777">
      <w:pPr>
        <w:tabs>
          <w:tab w:val="left" w:pos="567"/>
        </w:tabs>
        <w:jc w:val="both"/>
        <w:rPr>
          <w:sz w:val="22"/>
          <w:szCs w:val="22"/>
        </w:rPr>
      </w:pPr>
      <w:r w:rsidRPr="00295E71">
        <w:rPr>
          <w:sz w:val="22"/>
          <w:szCs w:val="22"/>
        </w:rPr>
        <w:t>Knollstrasse</w:t>
      </w:r>
    </w:p>
    <w:p w:rsidR="00CD0A92" w:rsidRPr="00295E71" w:rsidP="00CD0A92" w14:paraId="545CAE4E" w14:textId="77777777">
      <w:pPr>
        <w:tabs>
          <w:tab w:val="left" w:pos="567"/>
        </w:tabs>
        <w:jc w:val="both"/>
        <w:rPr>
          <w:sz w:val="22"/>
          <w:szCs w:val="22"/>
        </w:rPr>
      </w:pPr>
      <w:r w:rsidRPr="00295E71">
        <w:rPr>
          <w:sz w:val="22"/>
          <w:szCs w:val="22"/>
        </w:rPr>
        <w:t>67061 Ludwigshafen</w:t>
      </w:r>
    </w:p>
    <w:p w:rsidR="00CD0A92" w:rsidRPr="00295E71" w:rsidP="00CD0A92" w14:paraId="0297C07B" w14:textId="77777777">
      <w:pPr>
        <w:tabs>
          <w:tab w:val="left" w:pos="567"/>
        </w:tabs>
        <w:jc w:val="both"/>
        <w:rPr>
          <w:sz w:val="22"/>
          <w:szCs w:val="22"/>
        </w:rPr>
      </w:pPr>
      <w:r w:rsidRPr="00295E71">
        <w:rPr>
          <w:sz w:val="22"/>
          <w:szCs w:val="22"/>
        </w:rPr>
        <w:t>Germania</w:t>
      </w:r>
    </w:p>
    <w:p w:rsidR="006224C2" w:rsidRPr="00295E71" w14:paraId="12BFCF81" w14:textId="77777777">
      <w:pPr>
        <w:tabs>
          <w:tab w:val="left" w:pos="567"/>
        </w:tabs>
        <w:jc w:val="both"/>
        <w:rPr>
          <w:sz w:val="22"/>
          <w:szCs w:val="22"/>
        </w:rPr>
      </w:pPr>
    </w:p>
    <w:p w:rsidR="006224C2" w:rsidRPr="00295E71" w14:paraId="638850C5" w14:textId="77777777">
      <w:pPr>
        <w:tabs>
          <w:tab w:val="left" w:pos="567"/>
        </w:tabs>
        <w:jc w:val="both"/>
        <w:rPr>
          <w:bCs/>
          <w:sz w:val="22"/>
          <w:szCs w:val="22"/>
        </w:rPr>
      </w:pPr>
    </w:p>
    <w:p w:rsidR="006224C2" w:rsidRPr="00295E71" w14:paraId="7F8F7C4A" w14:textId="77777777">
      <w:pPr>
        <w:keepNext/>
        <w:keepLines/>
        <w:rPr>
          <w:b/>
          <w:bCs/>
          <w:sz w:val="22"/>
          <w:szCs w:val="22"/>
        </w:rPr>
      </w:pPr>
      <w:r w:rsidRPr="00295E71">
        <w:rPr>
          <w:b/>
          <w:bCs/>
          <w:sz w:val="22"/>
          <w:szCs w:val="22"/>
        </w:rPr>
        <w:t>8.</w:t>
      </w:r>
      <w:r w:rsidRPr="00295E71">
        <w:rPr>
          <w:b/>
          <w:bCs/>
          <w:sz w:val="22"/>
          <w:szCs w:val="22"/>
        </w:rPr>
        <w:tab/>
        <w:t>NUMER</w:t>
      </w:r>
      <w:r w:rsidR="004C4E1E">
        <w:rPr>
          <w:b/>
          <w:bCs/>
          <w:sz w:val="22"/>
          <w:szCs w:val="22"/>
        </w:rPr>
        <w:t>O(</w:t>
      </w:r>
      <w:r w:rsidRPr="00295E71">
        <w:rPr>
          <w:b/>
          <w:bCs/>
          <w:sz w:val="22"/>
          <w:szCs w:val="22"/>
        </w:rPr>
        <w:t>I</w:t>
      </w:r>
      <w:r w:rsidR="004C4E1E">
        <w:rPr>
          <w:b/>
          <w:bCs/>
          <w:sz w:val="22"/>
          <w:szCs w:val="22"/>
        </w:rPr>
        <w:t>)</w:t>
      </w:r>
      <w:r w:rsidRPr="00295E71">
        <w:rPr>
          <w:b/>
          <w:bCs/>
          <w:sz w:val="22"/>
          <w:szCs w:val="22"/>
        </w:rPr>
        <w:t xml:space="preserve"> DELL’AUTORIZZAZIONE ALL’IMMISSIONE IN COMMERCIO</w:t>
      </w:r>
    </w:p>
    <w:p w:rsidR="006224C2" w:rsidRPr="00295E71" w14:paraId="3EA02436" w14:textId="77777777">
      <w:pPr>
        <w:keepNext/>
        <w:keepLines/>
        <w:tabs>
          <w:tab w:val="left" w:pos="567"/>
        </w:tabs>
        <w:jc w:val="both"/>
        <w:rPr>
          <w:b/>
          <w:bCs/>
          <w:sz w:val="22"/>
          <w:szCs w:val="22"/>
        </w:rPr>
      </w:pPr>
    </w:p>
    <w:p w:rsidR="006224C2" w:rsidRPr="00295E71" w14:paraId="2099F2E0" w14:textId="77777777">
      <w:pPr>
        <w:keepNext/>
        <w:keepLines/>
        <w:tabs>
          <w:tab w:val="left" w:pos="567"/>
        </w:tabs>
        <w:jc w:val="both"/>
        <w:rPr>
          <w:sz w:val="22"/>
          <w:szCs w:val="22"/>
        </w:rPr>
      </w:pPr>
      <w:r w:rsidRPr="00295E71">
        <w:rPr>
          <w:sz w:val="22"/>
          <w:szCs w:val="22"/>
          <w:u w:val="single"/>
        </w:rPr>
        <w:t>Humira 40 mg soluzione iniettabile in siringa pre-riempita</w:t>
      </w:r>
    </w:p>
    <w:p w:rsidR="006224C2" w:rsidRPr="00295E71" w14:paraId="4D074B40" w14:textId="77777777">
      <w:pPr>
        <w:keepNext/>
        <w:keepLines/>
        <w:tabs>
          <w:tab w:val="left" w:pos="567"/>
        </w:tabs>
        <w:jc w:val="both"/>
        <w:rPr>
          <w:sz w:val="22"/>
          <w:szCs w:val="22"/>
        </w:rPr>
      </w:pPr>
      <w:r w:rsidRPr="00295E71">
        <w:rPr>
          <w:sz w:val="22"/>
          <w:szCs w:val="22"/>
        </w:rPr>
        <w:t>EU/1/03/256/012</w:t>
      </w:r>
    </w:p>
    <w:p w:rsidR="006224C2" w:rsidRPr="00295E71" w14:paraId="2BDEA1DB" w14:textId="77777777">
      <w:pPr>
        <w:keepNext/>
        <w:keepLines/>
        <w:tabs>
          <w:tab w:val="left" w:pos="567"/>
        </w:tabs>
        <w:jc w:val="both"/>
        <w:rPr>
          <w:sz w:val="22"/>
          <w:szCs w:val="22"/>
        </w:rPr>
      </w:pPr>
      <w:r w:rsidRPr="00295E71">
        <w:rPr>
          <w:sz w:val="22"/>
          <w:szCs w:val="22"/>
        </w:rPr>
        <w:t>EU/1/03/256/013</w:t>
      </w:r>
    </w:p>
    <w:p w:rsidR="006224C2" w:rsidRPr="00295E71" w14:paraId="16F40C9A" w14:textId="77777777">
      <w:pPr>
        <w:keepNext/>
        <w:keepLines/>
        <w:tabs>
          <w:tab w:val="left" w:pos="567"/>
        </w:tabs>
        <w:jc w:val="both"/>
        <w:rPr>
          <w:sz w:val="22"/>
          <w:szCs w:val="22"/>
        </w:rPr>
      </w:pPr>
      <w:r w:rsidRPr="00295E71">
        <w:rPr>
          <w:sz w:val="22"/>
          <w:szCs w:val="22"/>
        </w:rPr>
        <w:t>EU/1/03/256/014</w:t>
      </w:r>
    </w:p>
    <w:p w:rsidR="006224C2" w:rsidRPr="00295E71" w14:paraId="2B9432B5" w14:textId="77777777">
      <w:pPr>
        <w:keepNext/>
        <w:keepLines/>
        <w:tabs>
          <w:tab w:val="left" w:pos="567"/>
        </w:tabs>
        <w:jc w:val="both"/>
        <w:rPr>
          <w:sz w:val="22"/>
          <w:szCs w:val="22"/>
        </w:rPr>
      </w:pPr>
      <w:r w:rsidRPr="00295E71">
        <w:rPr>
          <w:sz w:val="22"/>
          <w:szCs w:val="22"/>
        </w:rPr>
        <w:t>EU/1/03/256/015</w:t>
      </w:r>
    </w:p>
    <w:p w:rsidR="006224C2" w14:paraId="6F6A1D85" w14:textId="77777777">
      <w:pPr>
        <w:keepNext/>
        <w:keepLines/>
        <w:tabs>
          <w:tab w:val="left" w:pos="567"/>
        </w:tabs>
        <w:jc w:val="both"/>
        <w:rPr>
          <w:sz w:val="22"/>
          <w:szCs w:val="22"/>
        </w:rPr>
      </w:pPr>
    </w:p>
    <w:p w:rsidR="006224C2" w:rsidRPr="00295E71" w14:paraId="54FB7A5D" w14:textId="77777777">
      <w:pPr>
        <w:keepNext/>
        <w:keepLines/>
        <w:tabs>
          <w:tab w:val="left" w:pos="567"/>
        </w:tabs>
        <w:jc w:val="both"/>
        <w:rPr>
          <w:sz w:val="22"/>
          <w:szCs w:val="22"/>
        </w:rPr>
      </w:pPr>
      <w:r w:rsidRPr="00295E71">
        <w:rPr>
          <w:sz w:val="22"/>
          <w:szCs w:val="22"/>
          <w:u w:val="single"/>
        </w:rPr>
        <w:t>Humira 40 mg soluzione iniettabile in penna pre-riempita</w:t>
      </w:r>
    </w:p>
    <w:p w:rsidR="006224C2" w:rsidRPr="00295E71" w14:paraId="4E923626" w14:textId="77777777">
      <w:pPr>
        <w:pStyle w:val="EMEANormal"/>
        <w:rPr>
          <w:lang w:val="it-IT"/>
        </w:rPr>
      </w:pPr>
      <w:r w:rsidRPr="00295E71">
        <w:rPr>
          <w:lang w:val="it-IT"/>
        </w:rPr>
        <w:t>EU/1/03/256/016</w:t>
      </w:r>
    </w:p>
    <w:p w:rsidR="006224C2" w:rsidRPr="00295E71" w14:paraId="5A342D04" w14:textId="77777777">
      <w:pPr>
        <w:pStyle w:val="EMEANormal"/>
        <w:rPr>
          <w:lang w:val="it-IT"/>
        </w:rPr>
      </w:pPr>
      <w:r w:rsidRPr="00295E71">
        <w:rPr>
          <w:lang w:val="it-IT"/>
        </w:rPr>
        <w:t>EU/1/03/256/017</w:t>
      </w:r>
    </w:p>
    <w:p w:rsidR="006224C2" w:rsidRPr="00295E71" w14:paraId="1EAFCACC" w14:textId="77777777">
      <w:pPr>
        <w:pStyle w:val="EMEANormal"/>
        <w:rPr>
          <w:lang w:val="it-IT"/>
        </w:rPr>
      </w:pPr>
      <w:r w:rsidRPr="00295E71">
        <w:rPr>
          <w:lang w:val="it-IT"/>
        </w:rPr>
        <w:t>EU/1/03/256/018</w:t>
      </w:r>
    </w:p>
    <w:p w:rsidR="006224C2" w:rsidRPr="00295E71" w14:paraId="5903AD81" w14:textId="77777777">
      <w:pPr>
        <w:tabs>
          <w:tab w:val="left" w:pos="567"/>
        </w:tabs>
        <w:jc w:val="both"/>
        <w:rPr>
          <w:sz w:val="22"/>
          <w:szCs w:val="22"/>
          <w:lang w:eastAsia="en-US"/>
        </w:rPr>
      </w:pPr>
      <w:r w:rsidRPr="00295E71">
        <w:rPr>
          <w:sz w:val="22"/>
          <w:szCs w:val="22"/>
          <w:lang w:eastAsia="en-US"/>
        </w:rPr>
        <w:t>EU/1/03/256/019</w:t>
      </w:r>
    </w:p>
    <w:p w:rsidR="006224C2" w:rsidRPr="00295E71" w14:paraId="7D240CF2" w14:textId="77777777">
      <w:pPr>
        <w:tabs>
          <w:tab w:val="left" w:pos="567"/>
        </w:tabs>
        <w:jc w:val="both"/>
        <w:rPr>
          <w:sz w:val="22"/>
          <w:szCs w:val="22"/>
        </w:rPr>
      </w:pPr>
    </w:p>
    <w:p w:rsidR="006224C2" w:rsidRPr="00295E71" w14:paraId="6B118D02" w14:textId="77777777">
      <w:pPr>
        <w:tabs>
          <w:tab w:val="left" w:pos="567"/>
        </w:tabs>
        <w:jc w:val="both"/>
        <w:rPr>
          <w:sz w:val="22"/>
          <w:szCs w:val="22"/>
        </w:rPr>
      </w:pPr>
    </w:p>
    <w:p w:rsidR="006224C2" w:rsidRPr="00295E71" w14:paraId="1B5B718D" w14:textId="77777777">
      <w:pPr>
        <w:tabs>
          <w:tab w:val="left" w:pos="567"/>
        </w:tabs>
        <w:ind w:left="567" w:hanging="567"/>
        <w:jc w:val="both"/>
        <w:rPr>
          <w:b/>
          <w:bCs/>
          <w:sz w:val="22"/>
          <w:szCs w:val="22"/>
        </w:rPr>
      </w:pPr>
      <w:r w:rsidRPr="00295E71">
        <w:rPr>
          <w:b/>
          <w:bCs/>
          <w:sz w:val="22"/>
          <w:szCs w:val="22"/>
        </w:rPr>
        <w:t>9.</w:t>
      </w:r>
      <w:r w:rsidRPr="00295E71">
        <w:rPr>
          <w:b/>
          <w:bCs/>
          <w:sz w:val="22"/>
          <w:szCs w:val="22"/>
        </w:rPr>
        <w:tab/>
        <w:t>DATA DELLA PRIMA AUTORIZZAZIONE/RINNOVO DELL’AUTORIZZAZIONE</w:t>
      </w:r>
    </w:p>
    <w:p w:rsidR="006224C2" w:rsidRPr="00295E71" w14:paraId="1E1FF063" w14:textId="77777777">
      <w:pPr>
        <w:tabs>
          <w:tab w:val="left" w:pos="567"/>
        </w:tabs>
        <w:jc w:val="both"/>
        <w:rPr>
          <w:sz w:val="22"/>
          <w:szCs w:val="22"/>
        </w:rPr>
      </w:pPr>
    </w:p>
    <w:p w:rsidR="006224C2" w:rsidRPr="00295E71" w14:paraId="4A55C85A" w14:textId="77777777">
      <w:pPr>
        <w:tabs>
          <w:tab w:val="left" w:pos="567"/>
        </w:tabs>
        <w:ind w:left="567" w:hanging="567"/>
        <w:jc w:val="both"/>
        <w:rPr>
          <w:rStyle w:val="hps"/>
          <w:color w:val="000000"/>
          <w:sz w:val="22"/>
          <w:szCs w:val="22"/>
        </w:rPr>
      </w:pPr>
      <w:r w:rsidRPr="00295E71">
        <w:rPr>
          <w:sz w:val="22"/>
          <w:szCs w:val="22"/>
        </w:rPr>
        <w:t xml:space="preserve">Data della prima autorizzazione: 08 </w:t>
      </w:r>
      <w:r w:rsidRPr="00295E71">
        <w:rPr>
          <w:rStyle w:val="hps"/>
          <w:color w:val="000000"/>
          <w:sz w:val="22"/>
          <w:szCs w:val="22"/>
        </w:rPr>
        <w:t>settembre 2003</w:t>
      </w:r>
    </w:p>
    <w:p w:rsidR="006224C2" w:rsidRPr="00295E71" w14:paraId="57F3FBFC" w14:textId="77777777">
      <w:pPr>
        <w:tabs>
          <w:tab w:val="left" w:pos="567"/>
        </w:tabs>
        <w:ind w:left="567" w:hanging="567"/>
        <w:jc w:val="both"/>
        <w:rPr>
          <w:sz w:val="22"/>
          <w:szCs w:val="22"/>
        </w:rPr>
      </w:pPr>
      <w:r w:rsidRPr="00295E71">
        <w:rPr>
          <w:sz w:val="22"/>
          <w:szCs w:val="22"/>
        </w:rPr>
        <w:t xml:space="preserve">Data del rinnovo più recente: 08 </w:t>
      </w:r>
      <w:r w:rsidRPr="00295E71">
        <w:rPr>
          <w:rStyle w:val="hps"/>
          <w:color w:val="000000"/>
          <w:sz w:val="22"/>
          <w:szCs w:val="22"/>
        </w:rPr>
        <w:t>settembre 2008</w:t>
      </w:r>
    </w:p>
    <w:p w:rsidR="006224C2" w:rsidRPr="00295E71" w14:paraId="4616E3D7" w14:textId="77777777">
      <w:pPr>
        <w:tabs>
          <w:tab w:val="left" w:pos="567"/>
        </w:tabs>
        <w:ind w:left="567" w:hanging="567"/>
        <w:jc w:val="both"/>
        <w:rPr>
          <w:sz w:val="22"/>
          <w:szCs w:val="22"/>
        </w:rPr>
      </w:pPr>
    </w:p>
    <w:p w:rsidR="006224C2" w:rsidRPr="00295E71" w14:paraId="772F7B28" w14:textId="77777777">
      <w:pPr>
        <w:tabs>
          <w:tab w:val="left" w:pos="567"/>
        </w:tabs>
        <w:ind w:left="567" w:hanging="567"/>
        <w:jc w:val="both"/>
        <w:rPr>
          <w:sz w:val="22"/>
          <w:szCs w:val="22"/>
        </w:rPr>
      </w:pPr>
    </w:p>
    <w:p w:rsidR="006224C2" w:rsidRPr="00295E71" w14:paraId="73949561" w14:textId="77777777">
      <w:pPr>
        <w:tabs>
          <w:tab w:val="left" w:pos="567"/>
        </w:tabs>
        <w:ind w:left="567" w:hanging="567"/>
        <w:jc w:val="both"/>
        <w:rPr>
          <w:b/>
          <w:bCs/>
          <w:sz w:val="22"/>
          <w:szCs w:val="22"/>
        </w:rPr>
      </w:pPr>
      <w:r w:rsidRPr="00295E71">
        <w:rPr>
          <w:b/>
          <w:bCs/>
          <w:sz w:val="22"/>
          <w:szCs w:val="22"/>
        </w:rPr>
        <w:t>10.</w:t>
      </w:r>
      <w:r w:rsidRPr="00295E71">
        <w:rPr>
          <w:b/>
          <w:bCs/>
          <w:sz w:val="22"/>
          <w:szCs w:val="22"/>
        </w:rPr>
        <w:tab/>
        <w:t>DATA DI REVISIONE DEL TESTO</w:t>
      </w:r>
    </w:p>
    <w:p w:rsidR="006224C2" w:rsidRPr="00295E71" w14:paraId="2633A127" w14:textId="77777777">
      <w:pPr>
        <w:tabs>
          <w:tab w:val="left" w:pos="567"/>
        </w:tabs>
        <w:jc w:val="both"/>
        <w:rPr>
          <w:sz w:val="22"/>
          <w:szCs w:val="22"/>
        </w:rPr>
      </w:pPr>
    </w:p>
    <w:p w:rsidR="006224C2" w:rsidRPr="00295E71" w14:paraId="25BA12D6" w14:textId="77777777">
      <w:pPr>
        <w:tabs>
          <w:tab w:val="left" w:pos="567"/>
        </w:tabs>
        <w:jc w:val="both"/>
        <w:rPr>
          <w:rStyle w:val="Hyperlink"/>
          <w:sz w:val="22"/>
          <w:szCs w:val="22"/>
        </w:rPr>
      </w:pPr>
      <w:r w:rsidRPr="00295E71">
        <w:rPr>
          <w:sz w:val="22"/>
          <w:szCs w:val="22"/>
        </w:rPr>
        <w:t>Informazioni più dettagliate su questo medicinale sono disponibili sul sito web dell’Agenzia europea dei medicinali</w:t>
      </w:r>
      <w:r w:rsidR="004C4E1E">
        <w:rPr>
          <w:sz w:val="22"/>
          <w:szCs w:val="22"/>
        </w:rPr>
        <w:t>,</w:t>
      </w:r>
      <w:r w:rsidRPr="00295E71">
        <w:rPr>
          <w:sz w:val="22"/>
          <w:szCs w:val="22"/>
        </w:rPr>
        <w:t xml:space="preserve"> </w:t>
      </w:r>
      <w:ins w:id="13137" w:author="AbbVie14" w:date="2025-05-09T10:45:00Z">
        <w:r w:rsidR="00872D1F">
          <w:rPr>
            <w:sz w:val="22"/>
            <w:szCs w:val="22"/>
          </w:rPr>
          <w:fldChar w:fldCharType="begin"/>
        </w:r>
      </w:ins>
      <w:ins w:id="13138" w:author="AbbVie14" w:date="2025-05-09T10:45:00Z">
        <w:r w:rsidR="00872D1F">
          <w:rPr>
            <w:sz w:val="22"/>
            <w:szCs w:val="22"/>
          </w:rPr>
          <w:instrText>HYPERLINK "</w:instrText>
        </w:r>
      </w:ins>
      <w:r w:rsidRPr="00872D1F" w:rsidR="00872D1F">
        <w:rPr>
          <w:rStyle w:val="Hyperlink"/>
          <w:sz w:val="22"/>
          <w:szCs w:val="22"/>
        </w:rPr>
        <w:instrText>http</w:instrText>
      </w:r>
      <w:ins w:id="13139" w:author="AbbVie14" w:date="2025-05-09T10:45:00Z">
        <w:r w:rsidRPr="00872D1F" w:rsidR="00872D1F">
          <w:rPr>
            <w:rStyle w:val="Hyperlink"/>
            <w:sz w:val="22"/>
            <w:szCs w:val="22"/>
          </w:rPr>
          <w:instrText>s</w:instrText>
        </w:r>
      </w:ins>
      <w:r w:rsidRPr="00872D1F" w:rsidR="00872D1F">
        <w:rPr>
          <w:rStyle w:val="Hyperlink"/>
          <w:sz w:val="22"/>
          <w:szCs w:val="22"/>
        </w:rPr>
        <w:instrText>://www.ema.europa.eu</w:instrText>
      </w:r>
      <w:ins w:id="13140" w:author="AbbVie14" w:date="2025-05-09T10:45:00Z">
        <w:r w:rsidR="00872D1F">
          <w:rPr>
            <w:sz w:val="22"/>
            <w:szCs w:val="22"/>
          </w:rPr>
          <w:instrText>"</w:instrText>
        </w:r>
      </w:ins>
      <w:ins w:id="13141" w:author="AbbVie14" w:date="2025-05-09T10:45:00Z">
        <w:r w:rsidR="00872D1F">
          <w:rPr>
            <w:sz w:val="22"/>
            <w:szCs w:val="22"/>
          </w:rPr>
          <w:fldChar w:fldCharType="separate"/>
        </w:r>
      </w:ins>
      <w:r w:rsidRPr="00872D1F" w:rsidR="00872D1F">
        <w:rPr>
          <w:rStyle w:val="Hyperlink"/>
          <w:sz w:val="22"/>
          <w:szCs w:val="22"/>
        </w:rPr>
        <w:t>http</w:t>
      </w:r>
      <w:ins w:id="13142" w:author="AbbVie14" w:date="2025-05-09T10:45:00Z">
        <w:r w:rsidRPr="00872D1F" w:rsidR="00872D1F">
          <w:rPr>
            <w:rStyle w:val="Hyperlink"/>
            <w:sz w:val="22"/>
            <w:szCs w:val="22"/>
          </w:rPr>
          <w:t>s</w:t>
        </w:r>
      </w:ins>
      <w:r w:rsidRPr="00872D1F" w:rsidR="00872D1F">
        <w:rPr>
          <w:rStyle w:val="Hyperlink"/>
          <w:sz w:val="22"/>
          <w:szCs w:val="22"/>
        </w:rPr>
        <w:t>://www.ema.europa.eu</w:t>
      </w:r>
      <w:ins w:id="13143" w:author="AbbVie14" w:date="2025-05-09T10:45:00Z">
        <w:r w:rsidR="00872D1F">
          <w:rPr>
            <w:sz w:val="22"/>
            <w:szCs w:val="22"/>
          </w:rPr>
          <w:fldChar w:fldCharType="end"/>
        </w:r>
      </w:ins>
    </w:p>
    <w:p w:rsidR="006224C2" w:rsidRPr="00295E71" w14:paraId="6E716206" w14:textId="77777777">
      <w:pPr>
        <w:rPr>
          <w:sz w:val="22"/>
          <w:szCs w:val="22"/>
        </w:rPr>
      </w:pPr>
      <w:r w:rsidRPr="00295E71">
        <w:rPr>
          <w:sz w:val="22"/>
          <w:szCs w:val="22"/>
        </w:rPr>
        <w:br w:type="page"/>
      </w:r>
    </w:p>
    <w:p w:rsidR="006224C2" w:rsidRPr="00295E71" w14:paraId="0ECA688F" w14:textId="77777777">
      <w:pPr>
        <w:pStyle w:val="Heading2"/>
        <w:keepNext w:val="0"/>
        <w:spacing w:before="0" w:after="0" w:line="240" w:lineRule="auto"/>
        <w:jc w:val="both"/>
        <w:rPr>
          <w:rFonts w:ascii="Times New Roman" w:hAnsi="Times New Roman" w:cs="Times New Roman"/>
          <w:i w:val="0"/>
          <w:iCs w:val="0"/>
          <w:sz w:val="22"/>
          <w:szCs w:val="22"/>
          <w:lang w:val="it-IT"/>
        </w:rPr>
      </w:pPr>
      <w:r w:rsidRPr="00295E71">
        <w:rPr>
          <w:rFonts w:ascii="Times New Roman" w:hAnsi="Times New Roman" w:cs="Times New Roman"/>
          <w:i w:val="0"/>
          <w:iCs w:val="0"/>
          <w:sz w:val="22"/>
          <w:szCs w:val="22"/>
          <w:lang w:val="it-IT"/>
        </w:rPr>
        <w:t>1.</w:t>
      </w:r>
      <w:r w:rsidRPr="00295E71">
        <w:rPr>
          <w:rFonts w:ascii="Times New Roman" w:hAnsi="Times New Roman" w:cs="Times New Roman"/>
          <w:i w:val="0"/>
          <w:iCs w:val="0"/>
          <w:sz w:val="22"/>
          <w:szCs w:val="22"/>
          <w:lang w:val="it-IT"/>
        </w:rPr>
        <w:tab/>
      </w:r>
      <w:r w:rsidRPr="00295E71">
        <w:rPr>
          <w:rFonts w:ascii="Times New Roman" w:hAnsi="Times New Roman" w:cs="Times New Roman"/>
          <w:i w:val="0"/>
          <w:iCs w:val="0"/>
          <w:caps/>
          <w:sz w:val="22"/>
          <w:szCs w:val="22"/>
          <w:lang w:val="it-IT"/>
        </w:rPr>
        <w:t>Denominazione del medicinale</w:t>
      </w:r>
    </w:p>
    <w:p w:rsidR="006224C2" w:rsidRPr="00295E71" w14:paraId="0619EA7A" w14:textId="77777777">
      <w:pPr>
        <w:tabs>
          <w:tab w:val="left" w:pos="567"/>
        </w:tabs>
        <w:jc w:val="both"/>
        <w:rPr>
          <w:sz w:val="22"/>
          <w:szCs w:val="22"/>
        </w:rPr>
      </w:pPr>
    </w:p>
    <w:p w:rsidR="006224C2" w:rsidRPr="00295E71" w14:paraId="2B450A76" w14:textId="77777777">
      <w:pPr>
        <w:tabs>
          <w:tab w:val="left" w:pos="567"/>
        </w:tabs>
        <w:jc w:val="both"/>
        <w:rPr>
          <w:sz w:val="22"/>
          <w:szCs w:val="22"/>
        </w:rPr>
      </w:pPr>
      <w:r w:rsidRPr="00295E71">
        <w:rPr>
          <w:sz w:val="22"/>
          <w:szCs w:val="22"/>
        </w:rPr>
        <w:t>Humira 80 mg soluzione iniettabile in siringa pre-riempita</w:t>
      </w:r>
    </w:p>
    <w:p w:rsidR="006224C2" w:rsidRPr="00295E71" w14:paraId="12AF16EE" w14:textId="77777777">
      <w:pPr>
        <w:tabs>
          <w:tab w:val="left" w:pos="567"/>
        </w:tabs>
        <w:jc w:val="both"/>
        <w:rPr>
          <w:sz w:val="22"/>
          <w:szCs w:val="22"/>
        </w:rPr>
      </w:pPr>
      <w:r w:rsidRPr="00295E71">
        <w:rPr>
          <w:sz w:val="22"/>
          <w:szCs w:val="22"/>
        </w:rPr>
        <w:t>Humira 80 mg soluzione iniettabile in penna pre-riempita</w:t>
      </w:r>
    </w:p>
    <w:p w:rsidR="006224C2" w:rsidRPr="00295E71" w14:paraId="620F5591" w14:textId="77777777">
      <w:pPr>
        <w:pStyle w:val="Heading2"/>
        <w:keepNext w:val="0"/>
        <w:spacing w:before="0" w:after="0" w:line="240" w:lineRule="auto"/>
        <w:jc w:val="both"/>
        <w:rPr>
          <w:rFonts w:ascii="Times New Roman" w:hAnsi="Times New Roman" w:cs="Times New Roman"/>
          <w:i w:val="0"/>
          <w:iCs w:val="0"/>
          <w:sz w:val="22"/>
          <w:szCs w:val="22"/>
          <w:lang w:val="it-IT"/>
        </w:rPr>
      </w:pPr>
    </w:p>
    <w:p w:rsidR="006224C2" w:rsidRPr="00295E71" w14:paraId="015282DB" w14:textId="77777777">
      <w:pPr>
        <w:pStyle w:val="Heading2"/>
        <w:keepNext w:val="0"/>
        <w:spacing w:before="0" w:after="0" w:line="240" w:lineRule="auto"/>
        <w:jc w:val="both"/>
        <w:rPr>
          <w:rFonts w:ascii="Times New Roman" w:hAnsi="Times New Roman" w:cs="Times New Roman"/>
          <w:i w:val="0"/>
          <w:iCs w:val="0"/>
          <w:sz w:val="22"/>
          <w:szCs w:val="22"/>
          <w:lang w:val="it-IT"/>
        </w:rPr>
      </w:pPr>
    </w:p>
    <w:p w:rsidR="006224C2" w:rsidRPr="00295E71" w14:paraId="5572C39B" w14:textId="77777777">
      <w:pPr>
        <w:pStyle w:val="Heading2"/>
        <w:keepNext w:val="0"/>
        <w:spacing w:before="0" w:after="0" w:line="240" w:lineRule="auto"/>
        <w:jc w:val="both"/>
        <w:rPr>
          <w:rFonts w:ascii="Times New Roman" w:hAnsi="Times New Roman" w:cs="Times New Roman"/>
          <w:i w:val="0"/>
          <w:iCs w:val="0"/>
          <w:sz w:val="22"/>
          <w:szCs w:val="22"/>
          <w:lang w:val="it-IT"/>
        </w:rPr>
      </w:pPr>
      <w:r w:rsidRPr="00295E71">
        <w:rPr>
          <w:rFonts w:ascii="Times New Roman" w:hAnsi="Times New Roman" w:cs="Times New Roman"/>
          <w:i w:val="0"/>
          <w:iCs w:val="0"/>
          <w:sz w:val="22"/>
          <w:szCs w:val="22"/>
          <w:lang w:val="it-IT"/>
        </w:rPr>
        <w:t>2.</w:t>
      </w:r>
      <w:r w:rsidRPr="00295E71">
        <w:rPr>
          <w:rFonts w:ascii="Times New Roman" w:hAnsi="Times New Roman" w:cs="Times New Roman"/>
          <w:i w:val="0"/>
          <w:iCs w:val="0"/>
          <w:sz w:val="22"/>
          <w:szCs w:val="22"/>
          <w:lang w:val="it-IT"/>
        </w:rPr>
        <w:tab/>
      </w:r>
      <w:r w:rsidRPr="00295E71">
        <w:rPr>
          <w:rFonts w:ascii="Times New Roman" w:hAnsi="Times New Roman" w:cs="Times New Roman"/>
          <w:i w:val="0"/>
          <w:iCs w:val="0"/>
          <w:caps/>
          <w:sz w:val="22"/>
          <w:szCs w:val="22"/>
          <w:lang w:val="it-IT"/>
        </w:rPr>
        <w:t>Composizione qualitativa e quantitativa</w:t>
      </w:r>
    </w:p>
    <w:p w:rsidR="006224C2" w:rsidRPr="00295E71" w14:paraId="2EC6E60E" w14:textId="77777777">
      <w:pPr>
        <w:tabs>
          <w:tab w:val="left" w:pos="567"/>
        </w:tabs>
        <w:ind w:left="567" w:hanging="567"/>
        <w:jc w:val="both"/>
        <w:rPr>
          <w:sz w:val="22"/>
          <w:szCs w:val="22"/>
        </w:rPr>
      </w:pPr>
    </w:p>
    <w:p w:rsidR="006224C2" w:rsidRPr="00295E71" w14:paraId="1F7476BD" w14:textId="77777777">
      <w:pPr>
        <w:tabs>
          <w:tab w:val="left" w:pos="567"/>
        </w:tabs>
        <w:jc w:val="both"/>
        <w:rPr>
          <w:sz w:val="22"/>
          <w:szCs w:val="22"/>
          <w:u w:val="single"/>
        </w:rPr>
      </w:pPr>
      <w:r w:rsidRPr="00295E71">
        <w:rPr>
          <w:sz w:val="22"/>
          <w:szCs w:val="22"/>
          <w:u w:val="single"/>
        </w:rPr>
        <w:t>Humira 80 mg soluzione iniettabile in siringa pre-riempita</w:t>
      </w:r>
    </w:p>
    <w:p w:rsidR="006224C2" w:rsidRPr="00295E71" w14:paraId="51FBE75B" w14:textId="77777777">
      <w:pPr>
        <w:tabs>
          <w:tab w:val="left" w:pos="567"/>
        </w:tabs>
        <w:autoSpaceDE w:val="0"/>
        <w:autoSpaceDN w:val="0"/>
        <w:adjustRightInd w:val="0"/>
        <w:jc w:val="both"/>
        <w:rPr>
          <w:sz w:val="22"/>
          <w:szCs w:val="22"/>
        </w:rPr>
      </w:pPr>
      <w:r w:rsidRPr="00295E71">
        <w:rPr>
          <w:sz w:val="22"/>
          <w:szCs w:val="22"/>
        </w:rPr>
        <w:t>Ciascuna siringa pre-riempita monodose da 0,8 ml contiene 80 mg di adalimumab.</w:t>
      </w:r>
    </w:p>
    <w:p w:rsidR="006224C2" w14:paraId="47E77ED3" w14:textId="77777777">
      <w:pPr>
        <w:tabs>
          <w:tab w:val="left" w:pos="567"/>
        </w:tabs>
        <w:autoSpaceDE w:val="0"/>
        <w:autoSpaceDN w:val="0"/>
        <w:adjustRightInd w:val="0"/>
        <w:jc w:val="both"/>
        <w:rPr>
          <w:sz w:val="22"/>
          <w:szCs w:val="22"/>
        </w:rPr>
      </w:pPr>
    </w:p>
    <w:p w:rsidR="006224C2" w:rsidRPr="00295E71" w14:paraId="16F94CA8" w14:textId="77777777">
      <w:pPr>
        <w:tabs>
          <w:tab w:val="left" w:pos="567"/>
        </w:tabs>
        <w:jc w:val="both"/>
        <w:rPr>
          <w:sz w:val="22"/>
          <w:szCs w:val="22"/>
          <w:u w:val="single"/>
        </w:rPr>
      </w:pPr>
      <w:r w:rsidRPr="00295E71">
        <w:rPr>
          <w:sz w:val="22"/>
          <w:szCs w:val="22"/>
          <w:u w:val="single"/>
        </w:rPr>
        <w:t>Humira 80 mg soluzione iniettabile in penna pre-riempita</w:t>
      </w:r>
    </w:p>
    <w:p w:rsidR="006224C2" w:rsidRPr="00295E71" w14:paraId="74FE8100" w14:textId="77777777">
      <w:pPr>
        <w:tabs>
          <w:tab w:val="left" w:pos="567"/>
        </w:tabs>
        <w:autoSpaceDE w:val="0"/>
        <w:autoSpaceDN w:val="0"/>
        <w:adjustRightInd w:val="0"/>
        <w:jc w:val="both"/>
        <w:rPr>
          <w:sz w:val="22"/>
          <w:szCs w:val="22"/>
        </w:rPr>
      </w:pPr>
      <w:r w:rsidRPr="00295E71">
        <w:rPr>
          <w:sz w:val="22"/>
          <w:szCs w:val="22"/>
        </w:rPr>
        <w:t>Ciascuna penna pre-riempita monodose da 0,8 ml contiene 80 mg di adalimumab.</w:t>
      </w:r>
    </w:p>
    <w:p w:rsidR="006224C2" w:rsidRPr="00295E71" w14:paraId="62A7D123" w14:textId="77777777">
      <w:pPr>
        <w:tabs>
          <w:tab w:val="left" w:pos="567"/>
        </w:tabs>
        <w:autoSpaceDE w:val="0"/>
        <w:autoSpaceDN w:val="0"/>
        <w:adjustRightInd w:val="0"/>
        <w:jc w:val="both"/>
        <w:rPr>
          <w:sz w:val="22"/>
          <w:szCs w:val="22"/>
        </w:rPr>
      </w:pPr>
    </w:p>
    <w:p w:rsidR="006224C2" w14:paraId="5B0F1A88" w14:textId="77777777">
      <w:pPr>
        <w:tabs>
          <w:tab w:val="left" w:pos="567"/>
        </w:tabs>
        <w:autoSpaceDE w:val="0"/>
        <w:autoSpaceDN w:val="0"/>
        <w:adjustRightInd w:val="0"/>
        <w:jc w:val="both"/>
        <w:rPr>
          <w:ins w:id="13144" w:author="AbbVie14" w:date="2025-05-09T10:45:00Z"/>
          <w:sz w:val="22"/>
          <w:szCs w:val="22"/>
        </w:rPr>
      </w:pPr>
      <w:r w:rsidRPr="00295E71">
        <w:rPr>
          <w:sz w:val="22"/>
          <w:szCs w:val="22"/>
        </w:rPr>
        <w:t xml:space="preserve">Adalimumab è un anticorpo monoclonale umano ricombinante </w:t>
      </w:r>
      <w:r w:rsidRPr="00295E71" w:rsidR="00F50C11">
        <w:rPr>
          <w:sz w:val="22"/>
          <w:szCs w:val="22"/>
        </w:rPr>
        <w:t xml:space="preserve">prodotto </w:t>
      </w:r>
      <w:r w:rsidRPr="00295E71">
        <w:rPr>
          <w:sz w:val="22"/>
          <w:szCs w:val="22"/>
        </w:rPr>
        <w:t>in cellule ovariche di criceto</w:t>
      </w:r>
      <w:r w:rsidRPr="00295E71" w:rsidR="00FA1EC9">
        <w:rPr>
          <w:sz w:val="22"/>
          <w:szCs w:val="22"/>
        </w:rPr>
        <w:t xml:space="preserve"> cinese</w:t>
      </w:r>
      <w:r w:rsidRPr="00295E71">
        <w:rPr>
          <w:sz w:val="22"/>
          <w:szCs w:val="22"/>
        </w:rPr>
        <w:t xml:space="preserve"> (Chinese Hamster Ovary).</w:t>
      </w:r>
    </w:p>
    <w:p w:rsidR="00872D1F" w14:paraId="6D79C60B" w14:textId="77777777">
      <w:pPr>
        <w:tabs>
          <w:tab w:val="left" w:pos="567"/>
        </w:tabs>
        <w:autoSpaceDE w:val="0"/>
        <w:autoSpaceDN w:val="0"/>
        <w:adjustRightInd w:val="0"/>
        <w:jc w:val="both"/>
        <w:rPr>
          <w:ins w:id="13145" w:author="AbbVie14" w:date="2025-05-09T10:45:00Z"/>
          <w:sz w:val="22"/>
          <w:szCs w:val="22"/>
        </w:rPr>
      </w:pPr>
    </w:p>
    <w:p w:rsidR="00872D1F" w:rsidRPr="00EE7BD0" w:rsidP="00872D1F" w14:paraId="73AF90C0" w14:textId="77777777">
      <w:pPr>
        <w:tabs>
          <w:tab w:val="left" w:pos="567"/>
        </w:tabs>
        <w:autoSpaceDE w:val="0"/>
        <w:autoSpaceDN w:val="0"/>
        <w:adjustRightInd w:val="0"/>
        <w:jc w:val="both"/>
        <w:rPr>
          <w:ins w:id="13146" w:author="AbbVie14" w:date="2025-05-09T10:45:00Z"/>
          <w:color w:val="000000"/>
          <w:sz w:val="22"/>
          <w:szCs w:val="22"/>
          <w:u w:val="single"/>
          <w:rPrChange w:id="13147" w:author="AbbVie14" w:date="2025-05-15T08:37:00Z">
            <w:rPr>
              <w:color w:val="000000"/>
              <w:sz w:val="22"/>
              <w:szCs w:val="22"/>
            </w:rPr>
          </w:rPrChange>
        </w:rPr>
      </w:pPr>
      <w:ins w:id="13148" w:author="AbbVie14" w:date="2025-05-09T10:45:00Z">
        <w:r w:rsidRPr="00EE7BD0">
          <w:rPr>
            <w:color w:val="000000"/>
            <w:sz w:val="22"/>
            <w:szCs w:val="22"/>
            <w:highlight w:val="none"/>
            <w:u w:val="single"/>
            <w:rPrChange w:id="13149" w:author="AbbVie14" w:date="2025-05-15T08:37:00Z">
              <w:rPr>
                <w:color w:val="000000"/>
                <w:sz w:val="22"/>
                <w:szCs w:val="22"/>
                <w:highlight w:val="yellow"/>
              </w:rPr>
            </w:rPrChange>
          </w:rPr>
          <w:t>Eccipienti con effett</w:t>
        </w:r>
      </w:ins>
      <w:ins w:id="13150" w:author="AbbVie14" w:date="2025-05-13T14:39:00Z">
        <w:r w:rsidRPr="00EE7BD0" w:rsidR="006B7DEC">
          <w:rPr>
            <w:color w:val="000000"/>
            <w:sz w:val="22"/>
            <w:szCs w:val="22"/>
            <w:u w:val="single"/>
            <w:rPrChange w:id="13151" w:author="AbbVie14" w:date="2025-05-15T08:37:00Z">
              <w:rPr>
                <w:color w:val="000000"/>
                <w:sz w:val="22"/>
                <w:szCs w:val="22"/>
              </w:rPr>
            </w:rPrChange>
          </w:rPr>
          <w:t>i</w:t>
        </w:r>
      </w:ins>
      <w:ins w:id="13152" w:author="AbbVie14" w:date="2025-05-09T10:45:00Z">
        <w:r w:rsidRPr="00EE7BD0">
          <w:rPr>
            <w:color w:val="000000"/>
            <w:sz w:val="22"/>
            <w:szCs w:val="22"/>
            <w:highlight w:val="none"/>
            <w:u w:val="single"/>
            <w:rPrChange w:id="13153" w:author="AbbVie14" w:date="2025-05-15T08:37:00Z">
              <w:rPr>
                <w:color w:val="000000"/>
                <w:sz w:val="22"/>
                <w:szCs w:val="22"/>
                <w:highlight w:val="yellow"/>
              </w:rPr>
            </w:rPrChange>
          </w:rPr>
          <w:t xml:space="preserve"> not</w:t>
        </w:r>
      </w:ins>
      <w:ins w:id="13154" w:author="AbbVie14" w:date="2025-05-13T14:39:00Z">
        <w:r w:rsidRPr="00EE7BD0" w:rsidR="006B7DEC">
          <w:rPr>
            <w:color w:val="000000"/>
            <w:sz w:val="22"/>
            <w:szCs w:val="22"/>
            <w:u w:val="single"/>
            <w:rPrChange w:id="13155" w:author="AbbVie14" w:date="2025-05-15T08:37:00Z">
              <w:rPr>
                <w:color w:val="000000"/>
                <w:sz w:val="22"/>
                <w:szCs w:val="22"/>
              </w:rPr>
            </w:rPrChange>
          </w:rPr>
          <w:t>i</w:t>
        </w:r>
      </w:ins>
    </w:p>
    <w:p w:rsidR="00872D1F" w:rsidRPr="00BE2419" w:rsidP="00872D1F" w14:paraId="31510039" w14:textId="77777777">
      <w:pPr>
        <w:tabs>
          <w:tab w:val="left" w:pos="567"/>
        </w:tabs>
        <w:autoSpaceDE w:val="0"/>
        <w:autoSpaceDN w:val="0"/>
        <w:adjustRightInd w:val="0"/>
        <w:jc w:val="both"/>
        <w:rPr>
          <w:ins w:id="13156" w:author="AbbVie14" w:date="2025-05-09T10:45:00Z"/>
          <w:color w:val="000000"/>
          <w:sz w:val="22"/>
          <w:szCs w:val="22"/>
        </w:rPr>
      </w:pPr>
    </w:p>
    <w:p w:rsidR="00872D1F" w:rsidRPr="00295E71" w14:paraId="0B8268E5" w14:textId="77777777">
      <w:pPr>
        <w:tabs>
          <w:tab w:val="left" w:pos="567"/>
        </w:tabs>
        <w:autoSpaceDE w:val="0"/>
        <w:autoSpaceDN w:val="0"/>
        <w:adjustRightInd w:val="0"/>
        <w:jc w:val="both"/>
        <w:rPr>
          <w:color w:val="000000"/>
          <w:sz w:val="22"/>
          <w:szCs w:val="22"/>
        </w:rPr>
      </w:pPr>
      <w:ins w:id="13157" w:author="AbbVie14" w:date="2025-05-09T10:45:00Z">
        <w:r w:rsidRPr="00BE2419">
          <w:rPr>
            <w:color w:val="000000"/>
            <w:sz w:val="22"/>
            <w:szCs w:val="22"/>
            <w:highlight w:val="none"/>
            <w:rPrChange w:id="13158" w:author="AbbVie14" w:date="2025-05-09T11:40:00Z">
              <w:rPr>
                <w:color w:val="000000"/>
                <w:sz w:val="22"/>
                <w:szCs w:val="22"/>
                <w:highlight w:val="yellow"/>
              </w:rPr>
            </w:rPrChange>
          </w:rPr>
          <w:t xml:space="preserve">Questo medicinale contiene 0,8 mg di polisorbato 80 per ogni dose </w:t>
        </w:r>
      </w:ins>
      <w:ins w:id="13159" w:author="AbbVie14" w:date="2025-05-09T11:40:00Z">
        <w:r w:rsidR="00BE2419">
          <w:rPr>
            <w:color w:val="000000"/>
            <w:sz w:val="22"/>
            <w:szCs w:val="22"/>
          </w:rPr>
          <w:t>d</w:t>
        </w:r>
      </w:ins>
      <w:ins w:id="13160" w:author="AbbVie14" w:date="2025-05-09T10:45:00Z">
        <w:r w:rsidRPr="00BE2419">
          <w:rPr>
            <w:color w:val="000000"/>
            <w:sz w:val="22"/>
            <w:szCs w:val="22"/>
            <w:highlight w:val="none"/>
            <w:rPrChange w:id="13161" w:author="AbbVie14" w:date="2025-05-09T11:40:00Z">
              <w:rPr>
                <w:color w:val="000000"/>
                <w:sz w:val="22"/>
                <w:szCs w:val="22"/>
                <w:highlight w:val="yellow"/>
              </w:rPr>
            </w:rPrChange>
          </w:rPr>
          <w:t>a 80 mg.</w:t>
        </w:r>
      </w:ins>
    </w:p>
    <w:p w:rsidR="006224C2" w14:paraId="24FED908" w14:textId="77777777">
      <w:pPr>
        <w:tabs>
          <w:tab w:val="left" w:pos="567"/>
        </w:tabs>
        <w:autoSpaceDE w:val="0"/>
        <w:autoSpaceDN w:val="0"/>
        <w:adjustRightInd w:val="0"/>
        <w:jc w:val="both"/>
        <w:rPr>
          <w:ins w:id="13162" w:author="AbbVie14" w:date="2025-09-08T09:16:00Z"/>
          <w:color w:val="000000"/>
          <w:sz w:val="22"/>
          <w:szCs w:val="22"/>
        </w:rPr>
      </w:pPr>
    </w:p>
    <w:p w:rsidR="00E6608E" w:rsidRPr="00295E71" w14:paraId="1A608E06" w14:textId="77777777">
      <w:pPr>
        <w:tabs>
          <w:tab w:val="left" w:pos="567"/>
        </w:tabs>
        <w:autoSpaceDE w:val="0"/>
        <w:autoSpaceDN w:val="0"/>
        <w:adjustRightInd w:val="0"/>
        <w:jc w:val="both"/>
        <w:rPr>
          <w:color w:val="000000"/>
          <w:sz w:val="22"/>
          <w:szCs w:val="22"/>
        </w:rPr>
      </w:pPr>
    </w:p>
    <w:p w:rsidR="006224C2" w:rsidRPr="00295E71" w14:paraId="5FD8D874" w14:textId="77777777">
      <w:pPr>
        <w:tabs>
          <w:tab w:val="left" w:pos="567"/>
        </w:tabs>
        <w:jc w:val="both"/>
        <w:rPr>
          <w:sz w:val="22"/>
          <w:szCs w:val="22"/>
        </w:rPr>
      </w:pPr>
      <w:r w:rsidRPr="00295E71">
        <w:rPr>
          <w:sz w:val="22"/>
          <w:szCs w:val="22"/>
        </w:rPr>
        <w:t>Per l’elenco completo degli eccipienti, vedere paragrafo 6.1.</w:t>
      </w:r>
    </w:p>
    <w:p w:rsidR="006224C2" w:rsidRPr="00295E71" w14:paraId="1CF4BE19" w14:textId="77777777">
      <w:pPr>
        <w:pStyle w:val="EndnoteText"/>
        <w:jc w:val="both"/>
        <w:rPr>
          <w:lang w:val="it-IT"/>
        </w:rPr>
      </w:pPr>
    </w:p>
    <w:p w:rsidR="006224C2" w:rsidRPr="00295E71" w14:paraId="742D8465" w14:textId="77777777">
      <w:pPr>
        <w:tabs>
          <w:tab w:val="left" w:pos="567"/>
        </w:tabs>
        <w:jc w:val="both"/>
        <w:rPr>
          <w:sz w:val="22"/>
          <w:szCs w:val="22"/>
        </w:rPr>
      </w:pPr>
    </w:p>
    <w:p w:rsidR="006224C2" w:rsidRPr="00295E71" w14:paraId="113D0331" w14:textId="77777777">
      <w:pPr>
        <w:tabs>
          <w:tab w:val="left" w:pos="567"/>
        </w:tabs>
        <w:jc w:val="both"/>
        <w:rPr>
          <w:b/>
          <w:bCs/>
          <w:caps/>
          <w:sz w:val="22"/>
          <w:szCs w:val="22"/>
        </w:rPr>
      </w:pPr>
      <w:r w:rsidRPr="00295E71">
        <w:rPr>
          <w:b/>
          <w:bCs/>
          <w:sz w:val="22"/>
          <w:szCs w:val="22"/>
        </w:rPr>
        <w:t>3.</w:t>
      </w:r>
      <w:r w:rsidRPr="00295E71">
        <w:rPr>
          <w:b/>
          <w:bCs/>
          <w:sz w:val="22"/>
          <w:szCs w:val="22"/>
        </w:rPr>
        <w:tab/>
        <w:t>FORMA FARMACEUTICA</w:t>
      </w:r>
    </w:p>
    <w:p w:rsidR="006224C2" w:rsidRPr="00295E71" w14:paraId="6CB022E0" w14:textId="77777777">
      <w:pPr>
        <w:tabs>
          <w:tab w:val="left" w:pos="567"/>
        </w:tabs>
        <w:jc w:val="both"/>
        <w:rPr>
          <w:caps/>
          <w:sz w:val="22"/>
          <w:szCs w:val="22"/>
        </w:rPr>
      </w:pPr>
    </w:p>
    <w:p w:rsidR="006224C2" w:rsidRPr="00295E71" w14:paraId="3C36CE6E" w14:textId="77777777">
      <w:pPr>
        <w:tabs>
          <w:tab w:val="left" w:pos="567"/>
        </w:tabs>
        <w:jc w:val="both"/>
        <w:rPr>
          <w:sz w:val="22"/>
          <w:szCs w:val="22"/>
        </w:rPr>
      </w:pPr>
      <w:r w:rsidRPr="00295E71">
        <w:rPr>
          <w:sz w:val="22"/>
          <w:szCs w:val="22"/>
        </w:rPr>
        <w:t>Soluzione iniettabile.</w:t>
      </w:r>
      <w:r w:rsidRPr="00295E71" w:rsidR="00F50C11">
        <w:rPr>
          <w:sz w:val="22"/>
          <w:szCs w:val="22"/>
        </w:rPr>
        <w:t xml:space="preserve"> (iniettabile)</w:t>
      </w:r>
    </w:p>
    <w:p w:rsidR="006224C2" w:rsidRPr="00295E71" w14:paraId="1D9A30E6" w14:textId="77777777">
      <w:pPr>
        <w:tabs>
          <w:tab w:val="left" w:pos="567"/>
        </w:tabs>
        <w:jc w:val="both"/>
        <w:rPr>
          <w:sz w:val="22"/>
          <w:szCs w:val="22"/>
        </w:rPr>
      </w:pPr>
    </w:p>
    <w:p w:rsidR="006224C2" w:rsidRPr="00295E71" w14:paraId="3F52A05A" w14:textId="77777777">
      <w:pPr>
        <w:tabs>
          <w:tab w:val="left" w:pos="567"/>
        </w:tabs>
        <w:jc w:val="both"/>
        <w:rPr>
          <w:sz w:val="22"/>
          <w:szCs w:val="22"/>
        </w:rPr>
      </w:pPr>
      <w:r w:rsidRPr="00295E71">
        <w:rPr>
          <w:sz w:val="22"/>
          <w:szCs w:val="22"/>
        </w:rPr>
        <w:t>Soluzione limpida e incolore.</w:t>
      </w:r>
    </w:p>
    <w:p w:rsidR="006224C2" w:rsidRPr="00295E71" w14:paraId="5FDE6A65" w14:textId="77777777">
      <w:pPr>
        <w:tabs>
          <w:tab w:val="left" w:pos="567"/>
        </w:tabs>
        <w:jc w:val="both"/>
        <w:rPr>
          <w:sz w:val="22"/>
          <w:szCs w:val="22"/>
        </w:rPr>
      </w:pPr>
    </w:p>
    <w:p w:rsidR="006224C2" w:rsidRPr="00295E71" w14:paraId="72A48C64" w14:textId="77777777">
      <w:pPr>
        <w:tabs>
          <w:tab w:val="left" w:pos="567"/>
        </w:tabs>
        <w:jc w:val="both"/>
        <w:rPr>
          <w:sz w:val="22"/>
          <w:szCs w:val="22"/>
        </w:rPr>
      </w:pPr>
    </w:p>
    <w:p w:rsidR="006224C2" w:rsidRPr="00295E71" w14:paraId="2DAAC127" w14:textId="77777777">
      <w:pPr>
        <w:tabs>
          <w:tab w:val="left" w:pos="567"/>
        </w:tabs>
        <w:ind w:left="567" w:hanging="567"/>
        <w:jc w:val="both"/>
        <w:rPr>
          <w:b/>
          <w:bCs/>
          <w:caps/>
          <w:sz w:val="22"/>
          <w:szCs w:val="22"/>
        </w:rPr>
      </w:pPr>
      <w:r w:rsidRPr="00295E71">
        <w:rPr>
          <w:b/>
          <w:bCs/>
          <w:caps/>
          <w:sz w:val="22"/>
          <w:szCs w:val="22"/>
        </w:rPr>
        <w:t>4.</w:t>
      </w:r>
      <w:r w:rsidRPr="00295E71">
        <w:rPr>
          <w:b/>
          <w:bCs/>
          <w:caps/>
          <w:sz w:val="22"/>
          <w:szCs w:val="22"/>
        </w:rPr>
        <w:tab/>
        <w:t>INFORMAZIONI CLINICHE</w:t>
      </w:r>
    </w:p>
    <w:p w:rsidR="006224C2" w:rsidRPr="00295E71" w14:paraId="0AC0D382" w14:textId="77777777">
      <w:pPr>
        <w:tabs>
          <w:tab w:val="left" w:pos="567"/>
        </w:tabs>
        <w:jc w:val="both"/>
        <w:rPr>
          <w:sz w:val="22"/>
          <w:szCs w:val="22"/>
        </w:rPr>
      </w:pPr>
    </w:p>
    <w:p w:rsidR="006224C2" w:rsidRPr="00295E71" w14:paraId="227EC9A4" w14:textId="77777777">
      <w:pPr>
        <w:tabs>
          <w:tab w:val="left" w:pos="567"/>
        </w:tabs>
        <w:ind w:left="567" w:hanging="567"/>
        <w:jc w:val="both"/>
        <w:rPr>
          <w:b/>
          <w:bCs/>
          <w:sz w:val="22"/>
          <w:szCs w:val="22"/>
        </w:rPr>
      </w:pPr>
      <w:r w:rsidRPr="00295E71">
        <w:rPr>
          <w:b/>
          <w:bCs/>
          <w:sz w:val="22"/>
          <w:szCs w:val="22"/>
        </w:rPr>
        <w:t>4.1</w:t>
      </w:r>
      <w:r w:rsidRPr="00295E71">
        <w:rPr>
          <w:b/>
          <w:bCs/>
          <w:sz w:val="22"/>
          <w:szCs w:val="22"/>
        </w:rPr>
        <w:tab/>
        <w:t>Indicazioni terapeutiche</w:t>
      </w:r>
    </w:p>
    <w:p w:rsidR="006224C2" w:rsidRPr="00295E71" w14:paraId="750A60E2" w14:textId="77777777">
      <w:pPr>
        <w:pStyle w:val="EndnoteText"/>
        <w:jc w:val="both"/>
        <w:rPr>
          <w:lang w:val="it-IT"/>
        </w:rPr>
      </w:pPr>
    </w:p>
    <w:p w:rsidR="000569FB" w:rsidRPr="00295E71" w:rsidP="000569FB" w14:paraId="2A33A2CF" w14:textId="77777777">
      <w:pPr>
        <w:jc w:val="both"/>
        <w:rPr>
          <w:sz w:val="22"/>
          <w:szCs w:val="22"/>
          <w:u w:val="single"/>
        </w:rPr>
      </w:pPr>
      <w:r w:rsidRPr="00295E71">
        <w:rPr>
          <w:sz w:val="22"/>
          <w:szCs w:val="22"/>
          <w:u w:val="single"/>
        </w:rPr>
        <w:t>Artrite reumatoide</w:t>
      </w:r>
    </w:p>
    <w:p w:rsidR="000569FB" w:rsidRPr="00295E71" w:rsidP="000569FB" w14:paraId="19F99779" w14:textId="77777777">
      <w:pPr>
        <w:jc w:val="both"/>
        <w:rPr>
          <w:sz w:val="22"/>
          <w:szCs w:val="22"/>
        </w:rPr>
      </w:pPr>
    </w:p>
    <w:p w:rsidR="000569FB" w:rsidRPr="00295E71" w:rsidP="000569FB" w14:paraId="1734C03F" w14:textId="77777777">
      <w:pPr>
        <w:pStyle w:val="EMEAFigureTitle"/>
        <w:tabs>
          <w:tab w:val="clear" w:pos="562"/>
        </w:tabs>
        <w:suppressAutoHyphens w:val="0"/>
        <w:jc w:val="both"/>
        <w:rPr>
          <w:lang w:val="it-IT" w:eastAsia="it-IT"/>
        </w:rPr>
      </w:pPr>
      <w:r w:rsidRPr="00295E71">
        <w:rPr>
          <w:lang w:val="it-IT" w:eastAsia="it-IT"/>
        </w:rPr>
        <w:t>Humira, in combinazione con metotressato, è indicato per:</w:t>
      </w:r>
    </w:p>
    <w:p w:rsidR="000569FB" w:rsidRPr="00295E71" w:rsidP="000569FB" w14:paraId="5DBFE8B5" w14:textId="77777777">
      <w:pPr>
        <w:pStyle w:val="EMEANormal"/>
        <w:rPr>
          <w:lang w:val="it-IT" w:eastAsia="it-IT"/>
        </w:rPr>
      </w:pPr>
    </w:p>
    <w:p w:rsidR="000569FB" w:rsidRPr="00295E71" w:rsidP="000569FB" w14:paraId="264F4DF5" w14:textId="77777777">
      <w:pPr>
        <w:numPr>
          <w:ilvl w:val="0"/>
          <w:numId w:val="22"/>
        </w:numPr>
        <w:tabs>
          <w:tab w:val="num" w:pos="540"/>
          <w:tab w:val="left" w:pos="567"/>
          <w:tab w:val="clear" w:pos="720"/>
        </w:tabs>
        <w:spacing w:line="276" w:lineRule="auto"/>
        <w:ind w:left="540" w:hanging="540"/>
        <w:jc w:val="both"/>
        <w:rPr>
          <w:sz w:val="22"/>
          <w:szCs w:val="22"/>
        </w:rPr>
      </w:pPr>
      <w:r w:rsidRPr="00295E71">
        <w:rPr>
          <w:sz w:val="22"/>
          <w:szCs w:val="22"/>
        </w:rPr>
        <w:t>il trattamento di pazienti adulti affetti da artrite reumatoide attiva di grado da moderato a severo quando la risposta ai farmaci anti-reumatici modificanti la malattia (DMARD), compreso il metotressato, risulta inadeguata.</w:t>
      </w:r>
    </w:p>
    <w:p w:rsidR="000569FB" w:rsidRPr="00295E71" w:rsidP="000569FB" w14:paraId="4B6E808D" w14:textId="77777777">
      <w:pPr>
        <w:numPr>
          <w:ilvl w:val="0"/>
          <w:numId w:val="22"/>
        </w:numPr>
        <w:tabs>
          <w:tab w:val="num" w:pos="540"/>
          <w:tab w:val="left" w:pos="567"/>
          <w:tab w:val="clear" w:pos="720"/>
        </w:tabs>
        <w:spacing w:after="200" w:line="276" w:lineRule="auto"/>
        <w:ind w:left="540" w:hanging="540"/>
        <w:jc w:val="both"/>
        <w:rPr>
          <w:sz w:val="22"/>
          <w:szCs w:val="22"/>
        </w:rPr>
      </w:pPr>
      <w:r w:rsidRPr="00295E71">
        <w:rPr>
          <w:sz w:val="22"/>
          <w:szCs w:val="22"/>
        </w:rPr>
        <w:t>il trattamento dell’artrite reumatoide grave, attiva e progressiva in adulti non precedentemente trattati con metotressato.</w:t>
      </w:r>
    </w:p>
    <w:p w:rsidR="000569FB" w:rsidRPr="00295E71" w:rsidP="000569FB" w14:paraId="6946852D" w14:textId="77777777">
      <w:pPr>
        <w:pStyle w:val="EMEAFigureTitle"/>
        <w:suppressAutoHyphens w:val="0"/>
        <w:jc w:val="both"/>
        <w:rPr>
          <w:lang w:val="it-IT" w:eastAsia="it-IT"/>
        </w:rPr>
      </w:pPr>
      <w:r w:rsidRPr="00295E71">
        <w:rPr>
          <w:lang w:val="it-IT" w:eastAsia="it-IT"/>
        </w:rPr>
        <w:t>Humira può essere somministrato come monoterapia in caso di intolleranza al metotressato o quando il trattamento continuato con metotressato non è appropriato.</w:t>
      </w:r>
    </w:p>
    <w:p w:rsidR="000569FB" w:rsidRPr="00295E71" w:rsidP="000569FB" w14:paraId="516FF506" w14:textId="77777777">
      <w:pPr>
        <w:pStyle w:val="EMEANormal"/>
        <w:rPr>
          <w:lang w:val="it-IT" w:eastAsia="it-IT"/>
        </w:rPr>
      </w:pPr>
    </w:p>
    <w:p w:rsidR="000569FB" w:rsidRPr="00295E71" w:rsidP="000569FB" w14:paraId="4F17D3AD" w14:textId="77777777">
      <w:pPr>
        <w:pStyle w:val="EMEAFigureTitle"/>
        <w:suppressAutoHyphens w:val="0"/>
        <w:jc w:val="both"/>
        <w:rPr>
          <w:lang w:val="it-IT" w:eastAsia="it-IT"/>
        </w:rPr>
      </w:pPr>
      <w:r w:rsidRPr="00295E71">
        <w:rPr>
          <w:lang w:val="it-IT" w:eastAsia="it-IT"/>
        </w:rPr>
        <w:t>Humira, in combinazione con metotressato, inibisce la progressione del danno strutturale, valutata radiograficamente, e migliora la funzionalità fisica, in questa popolazione di pazienti.</w:t>
      </w:r>
    </w:p>
    <w:p w:rsidR="000569FB" w:rsidRPr="00295E71" w14:paraId="60206E49" w14:textId="77777777">
      <w:pPr>
        <w:tabs>
          <w:tab w:val="left" w:pos="567"/>
        </w:tabs>
        <w:jc w:val="both"/>
        <w:rPr>
          <w:sz w:val="22"/>
          <w:szCs w:val="22"/>
          <w:u w:val="single"/>
        </w:rPr>
      </w:pPr>
    </w:p>
    <w:p w:rsidR="006224C2" w:rsidRPr="00295E71" w14:paraId="5733C993" w14:textId="77777777">
      <w:pPr>
        <w:tabs>
          <w:tab w:val="left" w:pos="567"/>
        </w:tabs>
        <w:jc w:val="both"/>
        <w:rPr>
          <w:sz w:val="22"/>
          <w:szCs w:val="22"/>
          <w:u w:val="single"/>
        </w:rPr>
      </w:pPr>
      <w:r w:rsidRPr="00295E71">
        <w:rPr>
          <w:sz w:val="22"/>
          <w:szCs w:val="22"/>
          <w:u w:val="single"/>
        </w:rPr>
        <w:t>Psoriasi</w:t>
      </w:r>
    </w:p>
    <w:p w:rsidR="006224C2" w:rsidRPr="00295E71" w14:paraId="78C8EB2F" w14:textId="77777777">
      <w:pPr>
        <w:pStyle w:val="EMEAFigureTitle"/>
        <w:suppressAutoHyphens w:val="0"/>
        <w:jc w:val="both"/>
        <w:rPr>
          <w:lang w:val="it-IT" w:eastAsia="it-IT"/>
        </w:rPr>
      </w:pPr>
    </w:p>
    <w:p w:rsidR="006224C2" w:rsidRPr="00295E71" w14:paraId="4EF361A9" w14:textId="77777777">
      <w:pPr>
        <w:pStyle w:val="EMEAFigureTitle"/>
        <w:suppressAutoHyphens w:val="0"/>
        <w:jc w:val="both"/>
        <w:rPr>
          <w:lang w:val="it-IT" w:eastAsia="it-IT"/>
        </w:rPr>
      </w:pPr>
      <w:r w:rsidRPr="00295E71">
        <w:rPr>
          <w:lang w:val="it-IT" w:eastAsia="it-IT"/>
        </w:rPr>
        <w:t xml:space="preserve">Humira è indicato per il trattamento della psoriasi cronica a placche, di grado da moderato a severo, in pazienti adulti candidati alla terapia sistemica. </w:t>
      </w:r>
    </w:p>
    <w:p w:rsidR="006224C2" w:rsidRPr="00295E71" w14:paraId="69F66656" w14:textId="77777777">
      <w:pPr>
        <w:pStyle w:val="EMEANormal"/>
        <w:rPr>
          <w:lang w:val="it-IT" w:eastAsia="it-IT"/>
        </w:rPr>
      </w:pPr>
    </w:p>
    <w:p w:rsidR="006224C2" w:rsidRPr="00295E71" w:rsidP="00986889" w14:paraId="2CC0D832" w14:textId="77777777">
      <w:pPr>
        <w:pStyle w:val="EMEANormal"/>
        <w:keepNext/>
        <w:rPr>
          <w:rFonts w:eastAsia="Arial"/>
          <w:iCs/>
          <w:u w:val="single"/>
          <w:lang w:val="it-IT" w:bidi="it-IT"/>
        </w:rPr>
      </w:pPr>
      <w:r w:rsidRPr="00295E71">
        <w:rPr>
          <w:rFonts w:eastAsia="Arial"/>
          <w:iCs/>
          <w:u w:val="single"/>
          <w:lang w:val="it-IT" w:bidi="it-IT"/>
        </w:rPr>
        <w:t>Idrosadenite Suppurativa (HS)</w:t>
      </w:r>
    </w:p>
    <w:p w:rsidR="006224C2" w:rsidRPr="00295E71" w14:paraId="7D32BFAA" w14:textId="77777777">
      <w:pPr>
        <w:pStyle w:val="EMEANormal"/>
        <w:rPr>
          <w:rFonts w:eastAsia="Arial"/>
          <w:lang w:val="it-IT"/>
        </w:rPr>
      </w:pPr>
    </w:p>
    <w:p w:rsidR="006224C2" w:rsidRPr="00295E71" w14:paraId="1EEFE43B" w14:textId="77777777">
      <w:pPr>
        <w:pStyle w:val="EMEANormal"/>
        <w:rPr>
          <w:lang w:val="it-IT" w:eastAsia="it-IT"/>
        </w:rPr>
      </w:pPr>
      <w:r w:rsidRPr="00295E71">
        <w:rPr>
          <w:rFonts w:eastAsia="Arial"/>
          <w:lang w:val="it-IT"/>
        </w:rPr>
        <w:t xml:space="preserve">Humira è indicato per il trattamento </w:t>
      </w:r>
      <w:r w:rsidRPr="00295E71">
        <w:rPr>
          <w:rFonts w:eastAsia="Arial"/>
          <w:iCs/>
          <w:lang w:val="it-IT" w:bidi="it-IT"/>
        </w:rPr>
        <w:t xml:space="preserve">dell’Idrosadenite Suppurativa (acne inversa) attiva di grado da moderato a severo in adulti e adolescenti dai 12 anni di età con una risposta inadeguata alla terapia sistemica convenzionale per l’HS </w:t>
      </w:r>
      <w:r w:rsidRPr="00295E71">
        <w:rPr>
          <w:lang w:val="it-IT"/>
        </w:rPr>
        <w:t>(vedere paragrafi 5.1 e 5.2).</w:t>
      </w:r>
    </w:p>
    <w:p w:rsidR="006224C2" w:rsidRPr="00295E71" w14:paraId="74136E7E" w14:textId="77777777">
      <w:pPr>
        <w:tabs>
          <w:tab w:val="left" w:pos="567"/>
        </w:tabs>
        <w:jc w:val="both"/>
        <w:rPr>
          <w:sz w:val="22"/>
          <w:szCs w:val="22"/>
          <w:u w:val="single"/>
        </w:rPr>
      </w:pPr>
    </w:p>
    <w:p w:rsidR="006224C2" w:rsidRPr="00295E71" w14:paraId="2882C76B" w14:textId="77777777">
      <w:pPr>
        <w:tabs>
          <w:tab w:val="left" w:pos="567"/>
        </w:tabs>
        <w:jc w:val="both"/>
        <w:rPr>
          <w:sz w:val="22"/>
          <w:szCs w:val="22"/>
        </w:rPr>
      </w:pPr>
      <w:r w:rsidRPr="00295E71">
        <w:rPr>
          <w:sz w:val="22"/>
          <w:szCs w:val="22"/>
          <w:u w:val="single"/>
        </w:rPr>
        <w:t>Malattia di Crohn</w:t>
      </w:r>
    </w:p>
    <w:p w:rsidR="006224C2" w:rsidRPr="00295E71" w14:paraId="3C292039" w14:textId="77777777">
      <w:pPr>
        <w:tabs>
          <w:tab w:val="left" w:pos="567"/>
        </w:tabs>
        <w:jc w:val="both"/>
        <w:rPr>
          <w:sz w:val="22"/>
          <w:szCs w:val="22"/>
        </w:rPr>
      </w:pPr>
    </w:p>
    <w:p w:rsidR="006224C2" w:rsidRPr="00295E71" w14:paraId="10C60812" w14:textId="77777777">
      <w:pPr>
        <w:tabs>
          <w:tab w:val="left" w:pos="567"/>
        </w:tabs>
        <w:jc w:val="both"/>
        <w:rPr>
          <w:sz w:val="22"/>
          <w:szCs w:val="22"/>
        </w:rPr>
      </w:pPr>
      <w:r w:rsidRPr="00295E71">
        <w:rPr>
          <w:sz w:val="22"/>
          <w:szCs w:val="22"/>
        </w:rPr>
        <w:t>Humira è indicato nel trattamento della malattia di Crohn attiva di grado da moderato a severo in pazienti adulti che non hanno risposto ad un ciclo terapeutico completo ed adeguato a base di corticosteroidi e/o di un immunosoppressore, o nei pazienti intolleranti a tali terapie o che presentino controindicazioni mediche ad esse.</w:t>
      </w:r>
    </w:p>
    <w:p w:rsidR="006224C2" w:rsidRPr="00295E71" w14:paraId="18305A75" w14:textId="77777777">
      <w:pPr>
        <w:pStyle w:val="EMEANormal"/>
        <w:jc w:val="both"/>
        <w:rPr>
          <w:lang w:val="it-IT" w:eastAsia="it-IT"/>
        </w:rPr>
      </w:pPr>
    </w:p>
    <w:p w:rsidR="006224C2" w:rsidRPr="00295E71" w14:paraId="120AEBA9" w14:textId="77777777">
      <w:pPr>
        <w:rPr>
          <w:sz w:val="22"/>
          <w:szCs w:val="22"/>
          <w:u w:val="single"/>
        </w:rPr>
      </w:pPr>
      <w:r w:rsidRPr="00295E71">
        <w:rPr>
          <w:sz w:val="22"/>
          <w:szCs w:val="22"/>
          <w:u w:val="single"/>
        </w:rPr>
        <w:t>Malattia di Crohn in pazienti pediatrici</w:t>
      </w:r>
    </w:p>
    <w:p w:rsidR="006224C2" w:rsidRPr="00295E71" w14:paraId="47FF6BDD" w14:textId="77777777">
      <w:pPr>
        <w:pStyle w:val="EMEANormal"/>
        <w:jc w:val="both"/>
        <w:rPr>
          <w:lang w:val="it-IT" w:eastAsia="it-IT"/>
        </w:rPr>
      </w:pPr>
    </w:p>
    <w:p w:rsidR="006224C2" w:rsidRPr="00295E71" w14:paraId="2CD9E357" w14:textId="77777777">
      <w:pPr>
        <w:pStyle w:val="EMEANormal"/>
        <w:jc w:val="both"/>
        <w:rPr>
          <w:lang w:val="it-IT"/>
        </w:rPr>
      </w:pPr>
      <w:r w:rsidRPr="00295E71">
        <w:rPr>
          <w:lang w:val="it-IT"/>
        </w:rPr>
        <w:t>Humira è indicato nel trattamento della malattia di Crohn attiva di grado da moderato a severo</w:t>
      </w:r>
      <w:r w:rsidRPr="00295E71" w:rsidR="003063DA">
        <w:rPr>
          <w:lang w:val="it-IT"/>
        </w:rPr>
        <w:t xml:space="preserve"> </w:t>
      </w:r>
      <w:r w:rsidRPr="00295E71">
        <w:rPr>
          <w:lang w:val="it-IT"/>
        </w:rPr>
        <w:t>nei pazienti pediatrici (dai 6anni di età) che hanno avuto una risposta inadeguata alla terapia convenzionale, inclusa la terapia nutrizionale primaria e a una terapia a base di un corticosteroide e/o ad un immunomodulatore, o che sono intolleranti o hanno controindicazioni a tali terapie.</w:t>
      </w:r>
    </w:p>
    <w:p w:rsidR="006224C2" w:rsidRPr="00295E71" w14:paraId="3DF34338" w14:textId="77777777">
      <w:pPr>
        <w:tabs>
          <w:tab w:val="left" w:pos="567"/>
        </w:tabs>
        <w:jc w:val="both"/>
        <w:rPr>
          <w:sz w:val="22"/>
          <w:szCs w:val="22"/>
        </w:rPr>
      </w:pPr>
    </w:p>
    <w:p w:rsidR="006224C2" w:rsidRPr="00295E71" w14:paraId="3866812D" w14:textId="77777777">
      <w:pPr>
        <w:keepNext/>
        <w:rPr>
          <w:sz w:val="22"/>
          <w:szCs w:val="22"/>
          <w:u w:val="single"/>
        </w:rPr>
      </w:pPr>
      <w:r w:rsidRPr="00295E71">
        <w:rPr>
          <w:sz w:val="22"/>
          <w:szCs w:val="22"/>
          <w:u w:val="single"/>
        </w:rPr>
        <w:t>Colite Ulcerosa</w:t>
      </w:r>
    </w:p>
    <w:p w:rsidR="006224C2" w:rsidRPr="00295E71" w14:paraId="4F768047" w14:textId="77777777">
      <w:pPr>
        <w:keepNext/>
        <w:tabs>
          <w:tab w:val="left" w:pos="567"/>
        </w:tabs>
        <w:jc w:val="both"/>
        <w:rPr>
          <w:sz w:val="22"/>
          <w:szCs w:val="22"/>
        </w:rPr>
      </w:pPr>
    </w:p>
    <w:p w:rsidR="006224C2" w:rsidRPr="00295E71" w14:paraId="1023F0F9" w14:textId="77777777">
      <w:pPr>
        <w:keepNext/>
        <w:tabs>
          <w:tab w:val="left" w:pos="567"/>
        </w:tabs>
        <w:jc w:val="both"/>
        <w:rPr>
          <w:sz w:val="22"/>
          <w:szCs w:val="22"/>
        </w:rPr>
      </w:pPr>
      <w:r w:rsidRPr="00295E71">
        <w:rPr>
          <w:sz w:val="22"/>
          <w:szCs w:val="22"/>
        </w:rPr>
        <w:t xml:space="preserve">Humira è indicato nel trattamento della colite ulcerosa attiva di grado da moderato a severo in pazienti adulti che hanno manifestato una risposta inadeguata alla terapia convenzionale inclusi i corticosteroidi e la 6-mercaptopurina (6-MP) o l’azatioprina (AZA) o che sono intolleranti o presentano controindicazioni a tali terapie. </w:t>
      </w:r>
    </w:p>
    <w:p w:rsidR="006224C2" w:rsidRPr="00295E71" w14:paraId="4DE03761" w14:textId="77777777">
      <w:pPr>
        <w:rPr>
          <w:b/>
          <w:bCs/>
          <w:sz w:val="22"/>
          <w:szCs w:val="22"/>
        </w:rPr>
      </w:pPr>
    </w:p>
    <w:p w:rsidR="003605E0" w:rsidRPr="00612824" w:rsidP="003605E0" w14:paraId="2DB9638C" w14:textId="77777777">
      <w:pPr>
        <w:rPr>
          <w:sz w:val="22"/>
          <w:szCs w:val="22"/>
          <w:u w:val="single"/>
        </w:rPr>
      </w:pPr>
      <w:r w:rsidRPr="00612824">
        <w:rPr>
          <w:sz w:val="22"/>
          <w:szCs w:val="22"/>
          <w:u w:val="single"/>
        </w:rPr>
        <w:t>Colite ulcerosa pediatrica</w:t>
      </w:r>
    </w:p>
    <w:p w:rsidR="003605E0" w:rsidRPr="00612824" w:rsidP="003605E0" w14:paraId="3C2CCD7F" w14:textId="77777777">
      <w:pPr>
        <w:rPr>
          <w:sz w:val="22"/>
          <w:szCs w:val="22"/>
        </w:rPr>
      </w:pPr>
    </w:p>
    <w:p w:rsidR="003605E0" w:rsidRPr="00612824" w:rsidP="003605E0" w14:paraId="1DD46099" w14:textId="77777777">
      <w:pPr>
        <w:rPr>
          <w:sz w:val="22"/>
          <w:szCs w:val="22"/>
        </w:rPr>
      </w:pPr>
      <w:r w:rsidRPr="00612824">
        <w:rPr>
          <w:sz w:val="22"/>
          <w:szCs w:val="22"/>
        </w:rPr>
        <w:t xml:space="preserve">Humira è indicato per il trattamento della colite ulcerosa </w:t>
      </w:r>
      <w:r w:rsidR="004F397C">
        <w:rPr>
          <w:sz w:val="22"/>
          <w:szCs w:val="22"/>
        </w:rPr>
        <w:t>attiva di grado da moderato a severo</w:t>
      </w:r>
      <w:r w:rsidRPr="00612824">
        <w:rPr>
          <w:sz w:val="22"/>
          <w:szCs w:val="22"/>
        </w:rPr>
        <w:t xml:space="preserve"> in pazienti pediatrici (dai 6 anni di età) che hanno avuto una risposta inadeguata alla terapia convenzionale, inclusi corticosteroidi e/o 6-mercaptopurina (6-MP) o azatioprina (AZA), o che sono intolleranti o presentano controindicazioni per tali terapie.</w:t>
      </w:r>
    </w:p>
    <w:p w:rsidR="003605E0" w:rsidRPr="00612824" w:rsidP="003605E0" w14:paraId="778A90CA" w14:textId="77777777">
      <w:pPr>
        <w:rPr>
          <w:i/>
          <w:sz w:val="22"/>
          <w:szCs w:val="22"/>
        </w:rPr>
      </w:pPr>
    </w:p>
    <w:p w:rsidR="006224C2" w:rsidRPr="00295E71" w14:paraId="19E192F7" w14:textId="77777777">
      <w:pPr>
        <w:tabs>
          <w:tab w:val="left" w:pos="567"/>
        </w:tabs>
        <w:rPr>
          <w:sz w:val="22"/>
          <w:szCs w:val="22"/>
          <w:u w:val="single"/>
        </w:rPr>
      </w:pPr>
      <w:r w:rsidRPr="00295E71">
        <w:rPr>
          <w:sz w:val="22"/>
          <w:szCs w:val="22"/>
          <w:u w:val="single"/>
        </w:rPr>
        <w:t>Uveite</w:t>
      </w:r>
    </w:p>
    <w:p w:rsidR="006224C2" w:rsidRPr="00295E71" w14:paraId="7DCFD1B0" w14:textId="77777777">
      <w:pPr>
        <w:tabs>
          <w:tab w:val="left" w:pos="567"/>
        </w:tabs>
        <w:rPr>
          <w:sz w:val="22"/>
          <w:szCs w:val="22"/>
        </w:rPr>
      </w:pPr>
    </w:p>
    <w:p w:rsidR="006224C2" w:rsidRPr="00295E71" w14:paraId="28AC437A" w14:textId="77777777">
      <w:pPr>
        <w:tabs>
          <w:tab w:val="left" w:pos="567"/>
        </w:tabs>
        <w:rPr>
          <w:sz w:val="22"/>
          <w:szCs w:val="22"/>
        </w:rPr>
      </w:pPr>
      <w:r w:rsidRPr="00295E71">
        <w:rPr>
          <w:sz w:val="22"/>
          <w:szCs w:val="22"/>
        </w:rPr>
        <w:t>Humira è indicato per il trattamento dell’uveite non-infettiva intermedia, posteriore e panuveite in pazienti adulti che hanno avuto una risposta inadeguata ai corticosteroidi, in pazienti che necessitano di farmaci risparmiatori di corticosteroidi o nei quali il trattamento con corticosteroidi è inappropriato.</w:t>
      </w:r>
    </w:p>
    <w:p w:rsidR="006224C2" w:rsidRPr="00295E71" w14:paraId="73A56094" w14:textId="77777777">
      <w:pPr>
        <w:tabs>
          <w:tab w:val="left" w:pos="567"/>
        </w:tabs>
        <w:rPr>
          <w:sz w:val="22"/>
          <w:szCs w:val="22"/>
        </w:rPr>
      </w:pPr>
    </w:p>
    <w:p w:rsidR="006224C2" w:rsidRPr="00295E71" w14:paraId="2A7715FD" w14:textId="77777777">
      <w:pPr>
        <w:rPr>
          <w:iCs/>
          <w:sz w:val="22"/>
          <w:szCs w:val="22"/>
          <w:u w:val="single"/>
        </w:rPr>
      </w:pPr>
      <w:r w:rsidRPr="00295E71">
        <w:rPr>
          <w:iCs/>
          <w:sz w:val="22"/>
          <w:szCs w:val="22"/>
          <w:u w:val="single"/>
        </w:rPr>
        <w:t>Uveite pediatrica</w:t>
      </w:r>
    </w:p>
    <w:p w:rsidR="006224C2" w:rsidRPr="00295E71" w14:paraId="35934714" w14:textId="77777777">
      <w:pPr>
        <w:rPr>
          <w:iCs/>
          <w:sz w:val="22"/>
          <w:szCs w:val="22"/>
        </w:rPr>
      </w:pPr>
    </w:p>
    <w:p w:rsidR="006224C2" w:rsidRPr="00295E71" w14:paraId="6E1A9EA2" w14:textId="77777777">
      <w:pPr>
        <w:tabs>
          <w:tab w:val="left" w:pos="567"/>
        </w:tabs>
        <w:rPr>
          <w:sz w:val="22"/>
          <w:szCs w:val="22"/>
        </w:rPr>
      </w:pPr>
      <w:r w:rsidRPr="00295E71">
        <w:rPr>
          <w:iCs/>
          <w:sz w:val="22"/>
          <w:szCs w:val="22"/>
        </w:rPr>
        <w:t xml:space="preserve">Humira è indicato per il trattamento dell’uveite anteriore </w:t>
      </w:r>
      <w:r w:rsidRPr="00295E71" w:rsidR="00E37F6A">
        <w:rPr>
          <w:iCs/>
          <w:sz w:val="22"/>
          <w:szCs w:val="22"/>
        </w:rPr>
        <w:t xml:space="preserve">pediatrica </w:t>
      </w:r>
      <w:r w:rsidRPr="00295E71">
        <w:rPr>
          <w:iCs/>
          <w:sz w:val="22"/>
          <w:szCs w:val="22"/>
        </w:rPr>
        <w:t>cronica non infettiva nei pazienti dai 2 anni di età che hanno avuto una risposta inadeguata o sono intolleranti alla terapia convenzionale o per i quali la terapia convenzionale non è appropriata.</w:t>
      </w:r>
    </w:p>
    <w:p w:rsidR="006224C2" w:rsidRPr="00295E71" w14:paraId="0E449AED" w14:textId="77777777">
      <w:pPr>
        <w:rPr>
          <w:b/>
          <w:bCs/>
          <w:sz w:val="22"/>
          <w:szCs w:val="22"/>
        </w:rPr>
      </w:pPr>
    </w:p>
    <w:p w:rsidR="006224C2" w:rsidRPr="00295E71" w14:paraId="78F82320" w14:textId="77777777">
      <w:pPr>
        <w:rPr>
          <w:b/>
          <w:bCs/>
          <w:sz w:val="22"/>
          <w:szCs w:val="22"/>
        </w:rPr>
      </w:pPr>
      <w:r w:rsidRPr="00295E71">
        <w:rPr>
          <w:b/>
          <w:bCs/>
          <w:sz w:val="22"/>
          <w:szCs w:val="22"/>
        </w:rPr>
        <w:t>4.2   Posologia e modo di somministrazione</w:t>
      </w:r>
    </w:p>
    <w:p w:rsidR="006224C2" w:rsidRPr="00295E71" w14:paraId="62688932" w14:textId="77777777">
      <w:pPr>
        <w:tabs>
          <w:tab w:val="left" w:pos="567"/>
        </w:tabs>
        <w:jc w:val="both"/>
        <w:rPr>
          <w:sz w:val="22"/>
          <w:szCs w:val="22"/>
          <w:u w:val="single"/>
        </w:rPr>
      </w:pPr>
    </w:p>
    <w:p w:rsidR="006224C2" w:rsidRPr="00295E71" w14:paraId="5F6425B1" w14:textId="77777777">
      <w:pPr>
        <w:pStyle w:val="EndnoteText"/>
        <w:jc w:val="both"/>
        <w:rPr>
          <w:lang w:val="it-IT"/>
        </w:rPr>
      </w:pPr>
      <w:r w:rsidRPr="00295E71">
        <w:rPr>
          <w:lang w:val="it-IT"/>
        </w:rPr>
        <w:t xml:space="preserve">La terapia con Humira deve essere iniziata e monitorata da medici specialisti con esperienza nella diagnosi e nel trattamento delle patologie per cui Humira è indicato. Gli oculisti sono invitati a consultare uno specialista appropriato prima di iniziare il trattamento con Humira (vedere paragrafo 4.4). Ai pazienti trattati con Humira deve essere consegnata una </w:t>
      </w:r>
      <w:r w:rsidRPr="004D7963" w:rsidR="00345505">
        <w:rPr>
          <w:lang w:val="it-IT"/>
        </w:rPr>
        <w:t>Scheda Promemoria per il Paziente</w:t>
      </w:r>
      <w:r w:rsidRPr="00295E71">
        <w:rPr>
          <w:lang w:val="it-IT"/>
        </w:rPr>
        <w:t>.</w:t>
      </w:r>
    </w:p>
    <w:p w:rsidR="006224C2" w:rsidRPr="00295E71" w14:paraId="2006F209" w14:textId="77777777">
      <w:pPr>
        <w:pStyle w:val="EndnoteText"/>
        <w:jc w:val="both"/>
        <w:rPr>
          <w:lang w:val="it-IT"/>
        </w:rPr>
      </w:pPr>
    </w:p>
    <w:p w:rsidR="006224C2" w:rsidRPr="00295E71" w14:paraId="45800AFA" w14:textId="77777777">
      <w:pPr>
        <w:pStyle w:val="EndnoteText"/>
        <w:jc w:val="both"/>
        <w:rPr>
          <w:lang w:val="it-IT"/>
        </w:rPr>
      </w:pPr>
      <w:r w:rsidRPr="00295E71">
        <w:rPr>
          <w:lang w:val="it-IT"/>
        </w:rPr>
        <w:t>Dopo adeguate istruzioni sulla tecnica di iniezione di Humira, i pazienti possono eseguire da soli l’iniezione, se il medico lo ritiene opportuno, e con controlli medici periodici, secondo necessità.</w:t>
      </w:r>
    </w:p>
    <w:p w:rsidR="006224C2" w:rsidRPr="00295E71" w14:paraId="5C31EC24" w14:textId="77777777">
      <w:pPr>
        <w:tabs>
          <w:tab w:val="left" w:pos="567"/>
        </w:tabs>
        <w:jc w:val="both"/>
        <w:rPr>
          <w:sz w:val="22"/>
          <w:szCs w:val="22"/>
        </w:rPr>
      </w:pPr>
    </w:p>
    <w:p w:rsidR="006224C2" w:rsidRPr="00295E71" w14:paraId="023CFA52" w14:textId="77777777">
      <w:pPr>
        <w:tabs>
          <w:tab w:val="left" w:pos="567"/>
        </w:tabs>
        <w:jc w:val="both"/>
        <w:rPr>
          <w:sz w:val="22"/>
          <w:szCs w:val="22"/>
        </w:rPr>
      </w:pPr>
      <w:r w:rsidRPr="00295E71">
        <w:rPr>
          <w:sz w:val="22"/>
          <w:szCs w:val="22"/>
        </w:rPr>
        <w:t>Durante il trattamento con Humira, le altre terapie concomitanti (per esempio, i corticosteroidi e/o gli agenti immunomodulatori) devono essere ottimizzate.</w:t>
      </w:r>
    </w:p>
    <w:p w:rsidR="006224C2" w:rsidRPr="00295E71" w14:paraId="785BDC13" w14:textId="77777777">
      <w:pPr>
        <w:pStyle w:val="EndnoteText"/>
        <w:tabs>
          <w:tab w:val="clear" w:pos="567"/>
        </w:tabs>
        <w:jc w:val="both"/>
        <w:rPr>
          <w:u w:val="single"/>
          <w:lang w:val="it-IT"/>
        </w:rPr>
      </w:pPr>
    </w:p>
    <w:p w:rsidR="006224C2" w:rsidRPr="00295E71" w14:paraId="7716BF42" w14:textId="77777777">
      <w:pPr>
        <w:pStyle w:val="EndnoteText"/>
        <w:tabs>
          <w:tab w:val="clear" w:pos="567"/>
        </w:tabs>
        <w:jc w:val="both"/>
        <w:rPr>
          <w:u w:val="single"/>
          <w:lang w:val="it-IT"/>
        </w:rPr>
      </w:pPr>
      <w:r w:rsidRPr="00295E71">
        <w:rPr>
          <w:u w:val="single"/>
          <w:lang w:val="it-IT"/>
        </w:rPr>
        <w:t>Posologia</w:t>
      </w:r>
    </w:p>
    <w:p w:rsidR="00312A5A" w:rsidRPr="00295E71" w:rsidP="00312A5A" w14:paraId="3EB44F92" w14:textId="77777777">
      <w:pPr>
        <w:rPr>
          <w:lang w:eastAsia="en-US"/>
        </w:rPr>
      </w:pPr>
    </w:p>
    <w:p w:rsidR="00312A5A" w:rsidRPr="00295E71" w:rsidP="00312A5A" w14:paraId="265D72FA" w14:textId="77777777">
      <w:pPr>
        <w:pStyle w:val="EMEAFigureTitle"/>
        <w:suppressAutoHyphens w:val="0"/>
        <w:jc w:val="both"/>
        <w:rPr>
          <w:i/>
          <w:lang w:val="it-IT" w:eastAsia="it-IT"/>
        </w:rPr>
      </w:pPr>
      <w:r w:rsidRPr="00295E71">
        <w:rPr>
          <w:i/>
          <w:lang w:val="it-IT" w:eastAsia="it-IT"/>
        </w:rPr>
        <w:t>Artrite reumatoide</w:t>
      </w:r>
    </w:p>
    <w:p w:rsidR="00312A5A" w:rsidRPr="00295E71" w:rsidP="00312A5A" w14:paraId="6A10999D" w14:textId="77777777">
      <w:pPr>
        <w:rPr>
          <w:sz w:val="22"/>
          <w:szCs w:val="22"/>
          <w:u w:val="single"/>
        </w:rPr>
      </w:pPr>
    </w:p>
    <w:p w:rsidR="00312A5A" w:rsidRPr="00295E71" w:rsidP="00312A5A" w14:paraId="19E2101A" w14:textId="77777777">
      <w:pPr>
        <w:tabs>
          <w:tab w:val="left" w:pos="567"/>
        </w:tabs>
        <w:jc w:val="both"/>
        <w:rPr>
          <w:sz w:val="22"/>
          <w:szCs w:val="22"/>
        </w:rPr>
      </w:pPr>
      <w:r w:rsidRPr="00295E71">
        <w:rPr>
          <w:sz w:val="22"/>
          <w:szCs w:val="22"/>
        </w:rPr>
        <w:t>La dose di Humira indicata per i pazienti adulti con artrite reumatoide è di 40 mg di adalimumab in un’unica somministrazione ogni due settimane per via sottocutanea. Il metotressato deve essere continuato durante il trattamento con Humira.</w:t>
      </w:r>
    </w:p>
    <w:p w:rsidR="00312A5A" w:rsidRPr="00295E71" w:rsidP="00312A5A" w14:paraId="109076C9" w14:textId="77777777">
      <w:pPr>
        <w:tabs>
          <w:tab w:val="left" w:pos="567"/>
        </w:tabs>
        <w:jc w:val="both"/>
        <w:rPr>
          <w:sz w:val="22"/>
          <w:szCs w:val="22"/>
        </w:rPr>
      </w:pPr>
    </w:p>
    <w:p w:rsidR="00312A5A" w:rsidRPr="00295E71" w:rsidP="00312A5A" w14:paraId="1129BF7C" w14:textId="77777777">
      <w:pPr>
        <w:tabs>
          <w:tab w:val="left" w:pos="567"/>
        </w:tabs>
        <w:jc w:val="both"/>
        <w:rPr>
          <w:sz w:val="22"/>
          <w:szCs w:val="22"/>
        </w:rPr>
      </w:pPr>
      <w:r w:rsidRPr="00295E71">
        <w:rPr>
          <w:sz w:val="22"/>
          <w:szCs w:val="22"/>
        </w:rPr>
        <w:t xml:space="preserve">Glucocorticoidi, salicilati, farmaci anti-infiammatori non-steroidei </w:t>
      </w:r>
      <w:r w:rsidR="00B02776">
        <w:rPr>
          <w:sz w:val="22"/>
          <w:szCs w:val="22"/>
        </w:rPr>
        <w:t xml:space="preserve">(FANS) </w:t>
      </w:r>
      <w:r w:rsidRPr="00295E71">
        <w:rPr>
          <w:sz w:val="22"/>
          <w:szCs w:val="22"/>
        </w:rPr>
        <w:t>o analgesici possono essere continuati in corso di terapia con Humira. Per quanto riguarda la combinazione con altri DMARD diversi dal metotressato vedere paragrafi 4.4 e 5.1.</w:t>
      </w:r>
    </w:p>
    <w:p w:rsidR="00312A5A" w:rsidRPr="00295E71" w:rsidP="00312A5A" w14:paraId="09A3AFF2" w14:textId="77777777">
      <w:pPr>
        <w:tabs>
          <w:tab w:val="left" w:pos="567"/>
        </w:tabs>
        <w:jc w:val="both"/>
        <w:rPr>
          <w:sz w:val="22"/>
          <w:szCs w:val="22"/>
        </w:rPr>
      </w:pPr>
    </w:p>
    <w:p w:rsidR="00312A5A" w:rsidRPr="00295E71" w:rsidP="00312A5A" w14:paraId="67A19DB8" w14:textId="77777777">
      <w:pPr>
        <w:pStyle w:val="BodyText"/>
        <w:tabs>
          <w:tab w:val="left" w:pos="567"/>
        </w:tabs>
      </w:pPr>
      <w:r w:rsidRPr="00295E71">
        <w:t>Alcuni pazienti che in monoterapia mostrano una riduzione nella risposta a 40 mg di Humira a settimane alterne possono beneficiare di un aumento del dosaggio a 40 mg di adalimumab ogni settimana o 80 mg a settimane alterne.</w:t>
      </w:r>
    </w:p>
    <w:p w:rsidR="00312A5A" w:rsidRPr="00295E71" w:rsidP="00312A5A" w14:paraId="3E2C8EA2" w14:textId="77777777">
      <w:pPr>
        <w:pStyle w:val="BodyText"/>
        <w:tabs>
          <w:tab w:val="left" w:pos="567"/>
        </w:tabs>
      </w:pPr>
    </w:p>
    <w:p w:rsidR="00312A5A" w:rsidRPr="00295E71" w:rsidP="00312A5A" w14:paraId="4E68C12E" w14:textId="77777777">
      <w:pPr>
        <w:pStyle w:val="BodyText"/>
        <w:tabs>
          <w:tab w:val="left" w:pos="567"/>
        </w:tabs>
      </w:pPr>
      <w:r w:rsidRPr="00295E71">
        <w:t>I dati disponibili suggeriscono che la risposta clinica viene di solito ottenuta entro 12 settimane di trattamento. In un paziente che non risponde entro questo periodo di tempo, la continuazione della terapia deve essere riconsiderata.</w:t>
      </w:r>
    </w:p>
    <w:p w:rsidR="00312A5A" w:rsidRPr="00295E71" w:rsidP="00312A5A" w14:paraId="23C7E3DE" w14:textId="77777777">
      <w:pPr>
        <w:pStyle w:val="BodyText"/>
        <w:tabs>
          <w:tab w:val="left" w:pos="567"/>
        </w:tabs>
      </w:pPr>
    </w:p>
    <w:p w:rsidR="006224C2" w:rsidRPr="00295E71" w14:paraId="467D938A" w14:textId="77777777">
      <w:pPr>
        <w:pStyle w:val="EMEAFigureTitle"/>
        <w:suppressAutoHyphens w:val="0"/>
        <w:jc w:val="both"/>
        <w:rPr>
          <w:u w:val="single"/>
          <w:lang w:val="it-IT" w:eastAsia="it-IT"/>
        </w:rPr>
      </w:pPr>
      <w:r w:rsidRPr="00295E71">
        <w:rPr>
          <w:lang w:val="it-IT"/>
        </w:rPr>
        <w:t>Humira può essere disponibile in altre concentrazioni e/o presentazioni a seconda delle necessità individuali di trattamento.</w:t>
      </w:r>
    </w:p>
    <w:p w:rsidR="00241DF9" w14:paraId="5A91F171" w14:textId="77777777">
      <w:pPr>
        <w:keepNext/>
        <w:rPr>
          <w:i/>
          <w:sz w:val="22"/>
          <w:szCs w:val="22"/>
        </w:rPr>
      </w:pPr>
    </w:p>
    <w:p w:rsidR="006224C2" w:rsidRPr="00295E71" w14:paraId="2BE873DD" w14:textId="77777777">
      <w:pPr>
        <w:keepNext/>
        <w:rPr>
          <w:i/>
          <w:sz w:val="22"/>
          <w:szCs w:val="22"/>
        </w:rPr>
      </w:pPr>
      <w:r w:rsidRPr="00295E71">
        <w:rPr>
          <w:i/>
          <w:sz w:val="22"/>
          <w:szCs w:val="22"/>
        </w:rPr>
        <w:t>Psoriasi</w:t>
      </w:r>
    </w:p>
    <w:p w:rsidR="006224C2" w:rsidRPr="00295E71" w14:paraId="0FB1A9C6" w14:textId="77777777">
      <w:pPr>
        <w:keepNext/>
        <w:rPr>
          <w:sz w:val="22"/>
          <w:szCs w:val="22"/>
          <w:u w:val="single"/>
        </w:rPr>
      </w:pPr>
    </w:p>
    <w:p w:rsidR="006224C2" w:rsidRPr="00295E71" w14:paraId="2DCAC528" w14:textId="77777777">
      <w:pPr>
        <w:keepNext/>
        <w:tabs>
          <w:tab w:val="left" w:pos="567"/>
        </w:tabs>
        <w:jc w:val="both"/>
        <w:rPr>
          <w:sz w:val="22"/>
          <w:szCs w:val="22"/>
        </w:rPr>
      </w:pPr>
      <w:r w:rsidRPr="00295E71">
        <w:rPr>
          <w:sz w:val="22"/>
          <w:szCs w:val="22"/>
        </w:rPr>
        <w:t>La dose raccomandata di Humira per i pazienti adulti è costituita da una dose iniziale pari a 80 mg, somministrati per via sottocutanea, seguita da una dose pari a 40 mg, per via sottocutanea, somministrati a settimane alterne, ad iniziare dalla settimana successiva all’assunzione della dose iniziale. Humira 40 mg soluzione iniettabile in siringa pre-riempita e/o penna pre-riempita è disponibile per la dose di mantenimento.</w:t>
      </w:r>
    </w:p>
    <w:p w:rsidR="006224C2" w:rsidRPr="00295E71" w14:paraId="56FA5A29" w14:textId="77777777">
      <w:pPr>
        <w:tabs>
          <w:tab w:val="left" w:pos="567"/>
        </w:tabs>
        <w:jc w:val="both"/>
        <w:rPr>
          <w:sz w:val="22"/>
          <w:szCs w:val="22"/>
        </w:rPr>
      </w:pPr>
    </w:p>
    <w:p w:rsidR="006224C2" w:rsidRPr="00295E71" w14:paraId="5D61AD6F" w14:textId="77777777">
      <w:pPr>
        <w:tabs>
          <w:tab w:val="left" w:pos="567"/>
        </w:tabs>
        <w:jc w:val="both"/>
        <w:rPr>
          <w:sz w:val="22"/>
          <w:szCs w:val="22"/>
        </w:rPr>
      </w:pPr>
      <w:r w:rsidRPr="00295E71">
        <w:rPr>
          <w:sz w:val="22"/>
          <w:szCs w:val="22"/>
        </w:rPr>
        <w:t>Sarebbe opportuno valutare attentamente se sia il caso di proseguire la terapia oltre le 16 settimane qualora i pazienti non abbiano sviluppato una risposta soddisfacente entro tale periodo.</w:t>
      </w:r>
    </w:p>
    <w:p w:rsidR="006224C2" w:rsidRPr="00295E71" w14:paraId="074773AA" w14:textId="77777777">
      <w:pPr>
        <w:tabs>
          <w:tab w:val="left" w:pos="567"/>
        </w:tabs>
        <w:jc w:val="both"/>
        <w:rPr>
          <w:sz w:val="22"/>
          <w:szCs w:val="22"/>
        </w:rPr>
      </w:pPr>
    </w:p>
    <w:p w:rsidR="006224C2" w:rsidRPr="00295E71" w14:paraId="5B2CE94B" w14:textId="77777777">
      <w:pPr>
        <w:tabs>
          <w:tab w:val="left" w:pos="567"/>
        </w:tabs>
        <w:jc w:val="both"/>
        <w:rPr>
          <w:sz w:val="22"/>
          <w:szCs w:val="22"/>
        </w:rPr>
      </w:pPr>
      <w:r w:rsidRPr="00295E71">
        <w:rPr>
          <w:sz w:val="22"/>
          <w:szCs w:val="22"/>
        </w:rPr>
        <w:t xml:space="preserve">Dopo 16 settimane, i pazienti con una risposta inadeguata </w:t>
      </w:r>
      <w:r w:rsidRPr="00295E71" w:rsidR="006514C0">
        <w:rPr>
          <w:sz w:val="22"/>
          <w:szCs w:val="22"/>
        </w:rPr>
        <w:t xml:space="preserve">a 40 mg di Humira a settimane alterne </w:t>
      </w:r>
      <w:r w:rsidRPr="00295E71">
        <w:rPr>
          <w:sz w:val="22"/>
          <w:szCs w:val="22"/>
        </w:rPr>
        <w:t>possono beneficiare di un incremento del dos</w:t>
      </w:r>
      <w:r w:rsidRPr="00295E71" w:rsidR="006514C0">
        <w:rPr>
          <w:sz w:val="22"/>
          <w:szCs w:val="22"/>
        </w:rPr>
        <w:t>aggio</w:t>
      </w:r>
      <w:r w:rsidRPr="00295E71">
        <w:rPr>
          <w:sz w:val="22"/>
          <w:szCs w:val="22"/>
        </w:rPr>
        <w:t xml:space="preserve"> a 40 mg ogni settimana</w:t>
      </w:r>
      <w:r w:rsidRPr="00295E71" w:rsidR="006514C0">
        <w:rPr>
          <w:sz w:val="22"/>
          <w:szCs w:val="22"/>
        </w:rPr>
        <w:t xml:space="preserve"> o 80 mg a settimane alterne</w:t>
      </w:r>
      <w:r w:rsidRPr="00295E71">
        <w:rPr>
          <w:sz w:val="22"/>
          <w:szCs w:val="22"/>
        </w:rPr>
        <w:t xml:space="preserve">. Devono essere attentamente riconsiderati i benefici e i rischi della terapia settimanale continuativa con </w:t>
      </w:r>
      <w:r w:rsidRPr="00295E71" w:rsidR="006514C0">
        <w:rPr>
          <w:sz w:val="22"/>
          <w:szCs w:val="22"/>
        </w:rPr>
        <w:t>40 mg o 80 mg a settimane alterne</w:t>
      </w:r>
      <w:r w:rsidRPr="00295E71">
        <w:rPr>
          <w:sz w:val="22"/>
          <w:szCs w:val="22"/>
        </w:rPr>
        <w:t xml:space="preserve"> in pazienti con una risposta inadeguata dopo l’aumento del dos</w:t>
      </w:r>
      <w:r w:rsidRPr="00295E71" w:rsidR="006514C0">
        <w:rPr>
          <w:sz w:val="22"/>
          <w:szCs w:val="22"/>
        </w:rPr>
        <w:t>aggio (vedere paragrafo 5.1)</w:t>
      </w:r>
      <w:r w:rsidRPr="00295E71">
        <w:rPr>
          <w:sz w:val="22"/>
          <w:szCs w:val="22"/>
        </w:rPr>
        <w:t xml:space="preserve">. Se si ottiene una risposta adeguata </w:t>
      </w:r>
      <w:r w:rsidRPr="00295E71" w:rsidR="006C088F">
        <w:rPr>
          <w:sz w:val="22"/>
          <w:szCs w:val="22"/>
        </w:rPr>
        <w:t>con 40 mg ogni settima</w:t>
      </w:r>
      <w:r w:rsidR="00667318">
        <w:rPr>
          <w:sz w:val="22"/>
          <w:szCs w:val="22"/>
        </w:rPr>
        <w:t>n</w:t>
      </w:r>
      <w:r w:rsidRPr="00295E71" w:rsidR="006C088F">
        <w:rPr>
          <w:sz w:val="22"/>
          <w:szCs w:val="22"/>
        </w:rPr>
        <w:t>a o 80 mg a settimane alterne</w:t>
      </w:r>
      <w:r w:rsidRPr="00295E71">
        <w:rPr>
          <w:sz w:val="22"/>
          <w:szCs w:val="22"/>
        </w:rPr>
        <w:t xml:space="preserve">, </w:t>
      </w:r>
      <w:r w:rsidRPr="00295E71" w:rsidR="006C088F">
        <w:rPr>
          <w:sz w:val="22"/>
          <w:szCs w:val="22"/>
        </w:rPr>
        <w:t>i</w:t>
      </w:r>
      <w:r w:rsidRPr="00295E71">
        <w:rPr>
          <w:sz w:val="22"/>
          <w:szCs w:val="22"/>
        </w:rPr>
        <w:t>l dos</w:t>
      </w:r>
      <w:r w:rsidRPr="00295E71" w:rsidR="006C088F">
        <w:rPr>
          <w:sz w:val="22"/>
          <w:szCs w:val="22"/>
        </w:rPr>
        <w:t>aggio</w:t>
      </w:r>
      <w:r w:rsidRPr="00295E71">
        <w:rPr>
          <w:sz w:val="22"/>
          <w:szCs w:val="22"/>
        </w:rPr>
        <w:t xml:space="preserve"> può essere successivamente ridott</w:t>
      </w:r>
      <w:r w:rsidRPr="00295E71" w:rsidR="006C088F">
        <w:rPr>
          <w:sz w:val="22"/>
          <w:szCs w:val="22"/>
        </w:rPr>
        <w:t>o</w:t>
      </w:r>
      <w:r w:rsidRPr="00295E71">
        <w:rPr>
          <w:sz w:val="22"/>
          <w:szCs w:val="22"/>
        </w:rPr>
        <w:t xml:space="preserve"> a 40 mg a settimane alterne.</w:t>
      </w:r>
    </w:p>
    <w:p w:rsidR="006C088F" w:rsidRPr="00295E71" w14:paraId="64FEC659" w14:textId="77777777">
      <w:pPr>
        <w:tabs>
          <w:tab w:val="left" w:pos="567"/>
        </w:tabs>
        <w:jc w:val="both"/>
        <w:rPr>
          <w:sz w:val="22"/>
          <w:szCs w:val="22"/>
        </w:rPr>
      </w:pPr>
    </w:p>
    <w:p w:rsidR="006C088F" w:rsidRPr="00295E71" w14:paraId="1D0C37F3"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6224C2" w:rsidRPr="00295E71" w14:paraId="78CB232A" w14:textId="77777777">
      <w:pPr>
        <w:rPr>
          <w:sz w:val="22"/>
          <w:szCs w:val="22"/>
        </w:rPr>
      </w:pPr>
    </w:p>
    <w:p w:rsidR="006224C2" w:rsidRPr="00295E71" w14:paraId="241103D0" w14:textId="77777777">
      <w:pPr>
        <w:rPr>
          <w:i/>
          <w:sz w:val="22"/>
          <w:szCs w:val="22"/>
        </w:rPr>
      </w:pPr>
      <w:r w:rsidRPr="00295E71">
        <w:rPr>
          <w:i/>
          <w:sz w:val="22"/>
          <w:szCs w:val="22"/>
        </w:rPr>
        <w:t>Idrosadenite Suppurativa</w:t>
      </w:r>
    </w:p>
    <w:p w:rsidR="006224C2" w:rsidRPr="00295E71" w14:paraId="3BCBF849" w14:textId="77777777">
      <w:pPr>
        <w:rPr>
          <w:sz w:val="22"/>
          <w:szCs w:val="22"/>
          <w:u w:val="single"/>
        </w:rPr>
      </w:pPr>
    </w:p>
    <w:p w:rsidR="006224C2" w:rsidRPr="00295E71" w14:paraId="1B00EB6D" w14:textId="77777777">
      <w:pPr>
        <w:rPr>
          <w:sz w:val="22"/>
          <w:szCs w:val="22"/>
        </w:rPr>
      </w:pPr>
      <w:r w:rsidRPr="00295E71">
        <w:rPr>
          <w:sz w:val="22"/>
          <w:szCs w:val="22"/>
        </w:rPr>
        <w:t>La dose raccomandata di Humira per i pazienti adulti con idrosadenite suppurativa (HS) è inizialmente di 160 mg al giorno 1 (somministrata in due iniezioni da 80 mg in un giorno o in un’iniezione da 80 mg al giorno per due giorni consecutivi), seguita da 80 mg due settimane dopo (giorno 15). Due settimane dopo (giorno 29) continuare con una dose di 40 mg a settimana</w:t>
      </w:r>
      <w:r w:rsidRPr="00295E71" w:rsidR="006C088F">
        <w:rPr>
          <w:sz w:val="22"/>
          <w:szCs w:val="22"/>
        </w:rPr>
        <w:t xml:space="preserve"> o 80 mg a settimane alterne</w:t>
      </w:r>
      <w:r w:rsidRPr="00295E71">
        <w:rPr>
          <w:sz w:val="22"/>
          <w:szCs w:val="22"/>
        </w:rPr>
        <w:t>. Se necessario, è possibile continuare la terapia antibiotica durante il trattamento con Humira. Durante il trattamento con Humira si raccomanda ai pazienti di usare tutti i giorni una soluzione di lavaggio antisettica</w:t>
      </w:r>
      <w:r w:rsidRPr="00667318" w:rsidR="00667318">
        <w:rPr>
          <w:sz w:val="22"/>
          <w:szCs w:val="22"/>
        </w:rPr>
        <w:t xml:space="preserve"> </w:t>
      </w:r>
      <w:r w:rsidRPr="00020442" w:rsidR="00667318">
        <w:rPr>
          <w:sz w:val="22"/>
          <w:szCs w:val="22"/>
        </w:rPr>
        <w:t>topica</w:t>
      </w:r>
      <w:r w:rsidRPr="00295E71">
        <w:rPr>
          <w:sz w:val="22"/>
          <w:szCs w:val="22"/>
        </w:rPr>
        <w:t xml:space="preserve"> sulle lesioni correlate all’idrosadenite suppurativa (HS).</w:t>
      </w:r>
    </w:p>
    <w:p w:rsidR="006224C2" w:rsidRPr="00295E71" w14:paraId="0D548573" w14:textId="77777777">
      <w:pPr>
        <w:rPr>
          <w:sz w:val="22"/>
          <w:szCs w:val="22"/>
        </w:rPr>
      </w:pPr>
    </w:p>
    <w:p w:rsidR="006224C2" w:rsidRPr="00295E71" w14:paraId="7E903FE0" w14:textId="77777777">
      <w:pPr>
        <w:tabs>
          <w:tab w:val="left" w:pos="567"/>
        </w:tabs>
        <w:jc w:val="both"/>
        <w:rPr>
          <w:sz w:val="22"/>
          <w:szCs w:val="22"/>
        </w:rPr>
      </w:pPr>
      <w:r w:rsidRPr="00295E71">
        <w:rPr>
          <w:sz w:val="22"/>
          <w:szCs w:val="22"/>
        </w:rPr>
        <w:t xml:space="preserve">La prosecuzione della terapia oltre 12 settimane di trattamento deve essere valutata attentamente se i pazienti non sono migliorati in tale periodo. </w:t>
      </w:r>
    </w:p>
    <w:p w:rsidR="006224C2" w:rsidRPr="00295E71" w14:paraId="7EEF6FEE" w14:textId="77777777">
      <w:pPr>
        <w:tabs>
          <w:tab w:val="left" w:pos="567"/>
        </w:tabs>
        <w:jc w:val="both"/>
        <w:rPr>
          <w:sz w:val="22"/>
          <w:szCs w:val="22"/>
        </w:rPr>
      </w:pPr>
    </w:p>
    <w:p w:rsidR="006224C2" w:rsidRPr="00295E71" w14:paraId="42A5EB88" w14:textId="77777777">
      <w:pPr>
        <w:tabs>
          <w:tab w:val="left" w:pos="567"/>
        </w:tabs>
        <w:jc w:val="both"/>
        <w:rPr>
          <w:sz w:val="22"/>
          <w:szCs w:val="22"/>
        </w:rPr>
      </w:pPr>
      <w:r w:rsidRPr="00295E71">
        <w:rPr>
          <w:sz w:val="22"/>
          <w:szCs w:val="22"/>
        </w:rPr>
        <w:t>Laddove fosse necessario interrompere il trattamento, è possibile riprendere la terapia con Humira 40 mg ogni settimana</w:t>
      </w:r>
      <w:r w:rsidRPr="00295E71" w:rsidR="00F31303">
        <w:rPr>
          <w:sz w:val="22"/>
          <w:szCs w:val="22"/>
        </w:rPr>
        <w:t xml:space="preserve"> o 80 mg a settimane alterne</w:t>
      </w:r>
      <w:r w:rsidRPr="00295E71">
        <w:rPr>
          <w:sz w:val="22"/>
          <w:szCs w:val="22"/>
        </w:rPr>
        <w:t xml:space="preserve"> (vedere paragrafo 5.1). </w:t>
      </w:r>
    </w:p>
    <w:p w:rsidR="006224C2" w:rsidRPr="00295E71" w14:paraId="724993CC" w14:textId="77777777">
      <w:pPr>
        <w:tabs>
          <w:tab w:val="left" w:pos="567"/>
        </w:tabs>
        <w:jc w:val="both"/>
        <w:rPr>
          <w:sz w:val="22"/>
          <w:szCs w:val="22"/>
        </w:rPr>
      </w:pPr>
    </w:p>
    <w:p w:rsidR="006224C2" w:rsidRPr="00295E71" w14:paraId="0BB7FFAF" w14:textId="77777777">
      <w:pPr>
        <w:keepNext/>
        <w:rPr>
          <w:sz w:val="22"/>
          <w:szCs w:val="22"/>
        </w:rPr>
      </w:pPr>
      <w:r w:rsidRPr="00295E71">
        <w:rPr>
          <w:sz w:val="22"/>
          <w:szCs w:val="22"/>
        </w:rPr>
        <w:t>La valutazione dei benefici e dei rischi del trattamento continuato a lungo termine deve essere effettuata periodicamente (vedere paragrafo 5.1).</w:t>
      </w:r>
    </w:p>
    <w:p w:rsidR="00606EC1" w:rsidRPr="00295E71" w14:paraId="2CD898BE" w14:textId="77777777">
      <w:pPr>
        <w:keepNext/>
        <w:rPr>
          <w:sz w:val="22"/>
          <w:szCs w:val="22"/>
        </w:rPr>
      </w:pPr>
    </w:p>
    <w:p w:rsidR="00606EC1" w:rsidRPr="00295E71" w14:paraId="0C688565" w14:textId="77777777">
      <w:pPr>
        <w:keepNext/>
        <w:rPr>
          <w:sz w:val="22"/>
          <w:szCs w:val="22"/>
        </w:rPr>
      </w:pPr>
      <w:r w:rsidRPr="00295E71">
        <w:rPr>
          <w:sz w:val="22"/>
          <w:szCs w:val="22"/>
        </w:rPr>
        <w:t>Humira può essere disponibile in altre concentrazioni e/o presentazioni a seconda delle necessità individuali di trattamento.</w:t>
      </w:r>
    </w:p>
    <w:p w:rsidR="006224C2" w:rsidRPr="00295E71" w14:paraId="20D23B66" w14:textId="77777777">
      <w:pPr>
        <w:rPr>
          <w:i/>
          <w:sz w:val="22"/>
          <w:szCs w:val="22"/>
        </w:rPr>
      </w:pPr>
    </w:p>
    <w:p w:rsidR="006224C2" w:rsidRPr="00295E71" w:rsidP="00F57FE5" w14:paraId="3C3D8B60" w14:textId="77777777">
      <w:pPr>
        <w:keepNext/>
        <w:keepLines/>
        <w:rPr>
          <w:i/>
          <w:sz w:val="22"/>
          <w:szCs w:val="22"/>
        </w:rPr>
      </w:pPr>
      <w:r w:rsidRPr="00295E71">
        <w:rPr>
          <w:i/>
          <w:sz w:val="22"/>
          <w:szCs w:val="22"/>
        </w:rPr>
        <w:t>Malattia di Crohn</w:t>
      </w:r>
    </w:p>
    <w:p w:rsidR="006224C2" w:rsidRPr="00295E71" w:rsidP="00F57FE5" w14:paraId="2018BB1E" w14:textId="77777777">
      <w:pPr>
        <w:keepNext/>
        <w:keepLines/>
        <w:rPr>
          <w:sz w:val="22"/>
          <w:szCs w:val="22"/>
        </w:rPr>
      </w:pPr>
    </w:p>
    <w:p w:rsidR="006224C2" w:rsidRPr="00295E71" w:rsidP="00F57FE5" w14:paraId="6FCF2E2F" w14:textId="77777777">
      <w:pPr>
        <w:keepNext/>
        <w:keepLines/>
        <w:tabs>
          <w:tab w:val="left" w:pos="567"/>
        </w:tabs>
        <w:jc w:val="both"/>
        <w:rPr>
          <w:sz w:val="22"/>
          <w:szCs w:val="22"/>
        </w:rPr>
      </w:pPr>
      <w:r w:rsidRPr="00295E71">
        <w:rPr>
          <w:sz w:val="22"/>
          <w:szCs w:val="22"/>
        </w:rPr>
        <w:t>La dose di Humira indicata in caso di terapia di induzione è pari a 80 mg alla settimana 0 per i pazienti adulti affetti da malattia di Crohn attiva di grado da moderato a severo, seguita da una dose di 40 mg alla settimana 2. Nel caso in cui sia necessario indurre una risposta più rapida alla terapia, può essere somministrata una dose pari a 160 mg alla settimana 0 (somministrata praticando due iniezioni da 80 mg nel corso di un giorno oppure un’iniezione da 80 mg al giorno per due giorni consecutivi), seguita da 80 mg alla settimana 2, tenendo presente che il rischio di eventi avversi risulta maggiore durante l’induzione.</w:t>
      </w:r>
    </w:p>
    <w:p w:rsidR="006224C2" w:rsidRPr="00295E71" w14:paraId="7A2BBB6E" w14:textId="77777777">
      <w:pPr>
        <w:tabs>
          <w:tab w:val="left" w:pos="567"/>
        </w:tabs>
        <w:jc w:val="both"/>
        <w:rPr>
          <w:sz w:val="22"/>
          <w:szCs w:val="22"/>
        </w:rPr>
      </w:pPr>
    </w:p>
    <w:p w:rsidR="006224C2" w:rsidRPr="00295E71" w14:paraId="7AC25CA0" w14:textId="77777777">
      <w:pPr>
        <w:rPr>
          <w:sz w:val="22"/>
          <w:szCs w:val="22"/>
        </w:rPr>
      </w:pPr>
      <w:r w:rsidRPr="00295E71">
        <w:rPr>
          <w:sz w:val="22"/>
          <w:szCs w:val="22"/>
        </w:rPr>
        <w:t xml:space="preserve">Dopo il trattamento di induzione, la dose indicata è pari a 40 mg a settimane alterne, somministrata per via sottocutanea. In alternativa, nel caso in cui un paziente abbia interrotto il trattamento con Humira e qualora dovesse ricorrere la sintomatologia tipica della malattia, la terapia con Humira può essere somministrata nuovamente. Esistono pochi dati sulla risomministrazione di Humira qualora sia trascorso un periodo </w:t>
      </w:r>
      <w:r w:rsidRPr="00020442" w:rsidR="008A4D5A">
        <w:rPr>
          <w:sz w:val="22"/>
          <w:szCs w:val="22"/>
        </w:rPr>
        <w:t>superiore a</w:t>
      </w:r>
      <w:r w:rsidRPr="00295E71">
        <w:rPr>
          <w:sz w:val="22"/>
          <w:szCs w:val="22"/>
        </w:rPr>
        <w:t xml:space="preserve"> 8 settimane dalla somministrazione della dose precedente. </w:t>
      </w:r>
    </w:p>
    <w:p w:rsidR="006224C2" w:rsidRPr="00295E71" w14:paraId="0D685519" w14:textId="77777777">
      <w:pPr>
        <w:tabs>
          <w:tab w:val="left" w:pos="567"/>
        </w:tabs>
        <w:jc w:val="both"/>
        <w:rPr>
          <w:sz w:val="22"/>
          <w:szCs w:val="22"/>
        </w:rPr>
      </w:pPr>
    </w:p>
    <w:p w:rsidR="006224C2" w:rsidRPr="00295E71" w14:paraId="76955401" w14:textId="77777777">
      <w:pPr>
        <w:tabs>
          <w:tab w:val="left" w:pos="567"/>
        </w:tabs>
        <w:jc w:val="both"/>
        <w:rPr>
          <w:sz w:val="22"/>
          <w:szCs w:val="22"/>
        </w:rPr>
      </w:pPr>
      <w:r w:rsidRPr="00295E71">
        <w:rPr>
          <w:sz w:val="22"/>
          <w:szCs w:val="22"/>
        </w:rPr>
        <w:t>Nel corso della terapia di mantenimento, il dosaggio di corticosteroidi può essere gradatamente ridotto in base alle linee guida elaborate per la gestione clinica della malattia.</w:t>
      </w:r>
    </w:p>
    <w:p w:rsidR="006224C2" w:rsidRPr="00295E71" w14:paraId="59C4A5D8" w14:textId="77777777">
      <w:pPr>
        <w:tabs>
          <w:tab w:val="left" w:pos="567"/>
        </w:tabs>
        <w:jc w:val="both"/>
        <w:rPr>
          <w:sz w:val="22"/>
          <w:szCs w:val="22"/>
        </w:rPr>
      </w:pPr>
    </w:p>
    <w:p w:rsidR="006224C2" w:rsidRPr="00295E71" w14:paraId="681B367E" w14:textId="77777777">
      <w:pPr>
        <w:tabs>
          <w:tab w:val="left" w:pos="567"/>
        </w:tabs>
        <w:jc w:val="both"/>
        <w:rPr>
          <w:sz w:val="22"/>
          <w:szCs w:val="22"/>
        </w:rPr>
      </w:pPr>
      <w:r w:rsidRPr="00295E71">
        <w:rPr>
          <w:sz w:val="22"/>
          <w:szCs w:val="22"/>
        </w:rPr>
        <w:t xml:space="preserve">Alcuni pazienti </w:t>
      </w:r>
      <w:r w:rsidRPr="00295E71" w:rsidR="00606EC1">
        <w:rPr>
          <w:sz w:val="22"/>
          <w:szCs w:val="22"/>
        </w:rPr>
        <w:t>che mostrano una riduzione nella</w:t>
      </w:r>
      <w:r w:rsidRPr="00295E71">
        <w:rPr>
          <w:sz w:val="22"/>
          <w:szCs w:val="22"/>
        </w:rPr>
        <w:t xml:space="preserve"> risposta </w:t>
      </w:r>
      <w:r w:rsidRPr="00295E71" w:rsidR="00606EC1">
        <w:rPr>
          <w:sz w:val="22"/>
          <w:szCs w:val="22"/>
        </w:rPr>
        <w:t>a 40 mg di Humira a settimane alterne</w:t>
      </w:r>
      <w:r w:rsidRPr="00295E71">
        <w:rPr>
          <w:sz w:val="22"/>
          <w:szCs w:val="22"/>
        </w:rPr>
        <w:t xml:space="preserve"> possono trarre giovamento da un aumento del</w:t>
      </w:r>
      <w:r w:rsidRPr="00295E71" w:rsidR="00606EC1">
        <w:rPr>
          <w:sz w:val="22"/>
          <w:szCs w:val="22"/>
        </w:rPr>
        <w:t xml:space="preserve"> dosaggio</w:t>
      </w:r>
      <w:r w:rsidRPr="00295E71">
        <w:rPr>
          <w:sz w:val="22"/>
          <w:szCs w:val="22"/>
        </w:rPr>
        <w:t xml:space="preserve"> a 40 mg di Humira ogni settimana</w:t>
      </w:r>
      <w:r w:rsidRPr="00295E71" w:rsidR="00606EC1">
        <w:t xml:space="preserve"> </w:t>
      </w:r>
      <w:r w:rsidRPr="00295E71" w:rsidR="00606EC1">
        <w:rPr>
          <w:sz w:val="22"/>
          <w:szCs w:val="22"/>
        </w:rPr>
        <w:t>o 80 mg a settimane alterne</w:t>
      </w:r>
      <w:r w:rsidRPr="00295E71">
        <w:rPr>
          <w:sz w:val="22"/>
          <w:szCs w:val="22"/>
        </w:rPr>
        <w:t>.</w:t>
      </w:r>
    </w:p>
    <w:p w:rsidR="006224C2" w:rsidRPr="00295E71" w14:paraId="7706769B" w14:textId="77777777">
      <w:pPr>
        <w:tabs>
          <w:tab w:val="left" w:pos="567"/>
        </w:tabs>
        <w:jc w:val="both"/>
        <w:rPr>
          <w:sz w:val="22"/>
          <w:szCs w:val="22"/>
        </w:rPr>
      </w:pPr>
    </w:p>
    <w:p w:rsidR="006224C2" w:rsidRPr="00295E71" w14:paraId="4E011BA8" w14:textId="77777777">
      <w:pPr>
        <w:tabs>
          <w:tab w:val="left" w:pos="567"/>
        </w:tabs>
        <w:jc w:val="both"/>
        <w:rPr>
          <w:sz w:val="22"/>
          <w:szCs w:val="22"/>
        </w:rPr>
      </w:pPr>
      <w:r>
        <w:rPr>
          <w:sz w:val="22"/>
          <w:szCs w:val="22"/>
        </w:rPr>
        <w:t>Alcuni</w:t>
      </w:r>
      <w:r w:rsidRPr="00295E71" w:rsidR="00226BC4">
        <w:rPr>
          <w:sz w:val="22"/>
          <w:szCs w:val="22"/>
        </w:rPr>
        <w:t xml:space="preserve"> pazienti che non hanno manifestato una risposta adeguata alla terapia entro la quarta settimana potrebbero trarre giovamento dall’istituzione di una terapia di mantenimento continuata fino alla dodicesima settimana. Nei pazienti in cui la risposta alla terapia risulti inadeguata entro questo periodo di tempo, deve essere attentamente valutata la necessità di istituire una terapia continuata.</w:t>
      </w:r>
    </w:p>
    <w:p w:rsidR="00606EC1" w:rsidRPr="00295E71" w14:paraId="1B8EE5E8" w14:textId="77777777">
      <w:pPr>
        <w:tabs>
          <w:tab w:val="left" w:pos="567"/>
        </w:tabs>
        <w:jc w:val="both"/>
        <w:rPr>
          <w:sz w:val="22"/>
          <w:szCs w:val="22"/>
        </w:rPr>
      </w:pPr>
    </w:p>
    <w:p w:rsidR="00606EC1" w:rsidRPr="00295E71" w:rsidP="00606EC1" w14:paraId="5416C202" w14:textId="77777777">
      <w:pPr>
        <w:keepNext/>
        <w:jc w:val="both"/>
        <w:rPr>
          <w:sz w:val="22"/>
          <w:szCs w:val="22"/>
        </w:rPr>
      </w:pPr>
      <w:r w:rsidRPr="00295E71">
        <w:rPr>
          <w:sz w:val="22"/>
          <w:szCs w:val="22"/>
        </w:rPr>
        <w:t>Humira può essere disponibile in altre concentrazioni e/o presentazioni a seconda delle necessità individuali di trattamento.</w:t>
      </w:r>
    </w:p>
    <w:p w:rsidR="006224C2" w:rsidRPr="00295E71" w14:paraId="081DA092" w14:textId="77777777">
      <w:pPr>
        <w:tabs>
          <w:tab w:val="left" w:pos="567"/>
        </w:tabs>
        <w:jc w:val="both"/>
        <w:rPr>
          <w:sz w:val="22"/>
          <w:szCs w:val="22"/>
        </w:rPr>
      </w:pPr>
    </w:p>
    <w:p w:rsidR="006224C2" w:rsidRPr="00295E71" w14:paraId="73A5AC58" w14:textId="77777777">
      <w:pPr>
        <w:rPr>
          <w:i/>
          <w:sz w:val="22"/>
          <w:szCs w:val="22"/>
        </w:rPr>
      </w:pPr>
      <w:r w:rsidRPr="00295E71">
        <w:rPr>
          <w:i/>
          <w:sz w:val="22"/>
          <w:szCs w:val="22"/>
        </w:rPr>
        <w:t>Colite Ulcerosa</w:t>
      </w:r>
    </w:p>
    <w:p w:rsidR="006224C2" w:rsidRPr="00295E71" w14:paraId="35D1ABB9" w14:textId="77777777">
      <w:pPr>
        <w:tabs>
          <w:tab w:val="left" w:pos="567"/>
        </w:tabs>
        <w:jc w:val="both"/>
        <w:rPr>
          <w:sz w:val="22"/>
          <w:szCs w:val="22"/>
        </w:rPr>
      </w:pPr>
    </w:p>
    <w:p w:rsidR="006224C2" w:rsidRPr="00295E71" w14:paraId="47B5A682" w14:textId="77777777">
      <w:pPr>
        <w:tabs>
          <w:tab w:val="left" w:pos="567"/>
        </w:tabs>
        <w:jc w:val="both"/>
        <w:rPr>
          <w:sz w:val="22"/>
          <w:szCs w:val="22"/>
        </w:rPr>
      </w:pPr>
      <w:r w:rsidRPr="00295E71">
        <w:rPr>
          <w:sz w:val="22"/>
          <w:szCs w:val="22"/>
        </w:rPr>
        <w:t>Il regime posologico di induzione raccomandato per Humira per pazienti adulti affetti da colite ulcerosa di grado da moderato a severo è di 160 mg alla settimana 0 (somministrata attraverso due iniezioni da 80 mg in un giorno o come un’iniezione da 80 mg al giorno, per due giorni consecutivi) e 80 mg alla settimana 2. Dopo il trattamento di induzione, la dose raccomandata è di 40 mg a settimane alterne per via sottocutanea.</w:t>
      </w:r>
    </w:p>
    <w:p w:rsidR="006224C2" w:rsidRPr="00295E71" w14:paraId="1EC19BF3" w14:textId="77777777">
      <w:pPr>
        <w:tabs>
          <w:tab w:val="left" w:pos="567"/>
        </w:tabs>
        <w:jc w:val="both"/>
        <w:rPr>
          <w:sz w:val="22"/>
          <w:szCs w:val="22"/>
        </w:rPr>
      </w:pPr>
    </w:p>
    <w:p w:rsidR="006224C2" w:rsidRPr="00295E71" w14:paraId="04888123" w14:textId="77777777">
      <w:pPr>
        <w:tabs>
          <w:tab w:val="left" w:pos="567"/>
        </w:tabs>
        <w:jc w:val="both"/>
        <w:rPr>
          <w:sz w:val="22"/>
          <w:szCs w:val="22"/>
        </w:rPr>
      </w:pPr>
      <w:r w:rsidRPr="00295E71">
        <w:rPr>
          <w:sz w:val="22"/>
          <w:szCs w:val="22"/>
        </w:rPr>
        <w:t>Durante il trattamento di mantenimento, i corticosteroidi possono essere ridotti progressivamente in accordo alle linee</w:t>
      </w:r>
      <w:r w:rsidR="008A4D5A">
        <w:rPr>
          <w:sz w:val="22"/>
          <w:szCs w:val="22"/>
        </w:rPr>
        <w:t xml:space="preserve"> </w:t>
      </w:r>
      <w:r w:rsidRPr="00295E71">
        <w:rPr>
          <w:sz w:val="22"/>
          <w:szCs w:val="22"/>
        </w:rPr>
        <w:t>guida di pratica clinica.</w:t>
      </w:r>
    </w:p>
    <w:p w:rsidR="006224C2" w:rsidRPr="00295E71" w14:paraId="03CED69D" w14:textId="77777777">
      <w:pPr>
        <w:tabs>
          <w:tab w:val="left" w:pos="567"/>
        </w:tabs>
        <w:jc w:val="both"/>
        <w:rPr>
          <w:sz w:val="22"/>
          <w:szCs w:val="22"/>
        </w:rPr>
      </w:pPr>
    </w:p>
    <w:p w:rsidR="006224C2" w:rsidRPr="00295E71" w14:paraId="310BEFAC" w14:textId="77777777">
      <w:pPr>
        <w:tabs>
          <w:tab w:val="left" w:pos="567"/>
        </w:tabs>
        <w:jc w:val="both"/>
        <w:rPr>
          <w:sz w:val="22"/>
          <w:szCs w:val="22"/>
        </w:rPr>
      </w:pPr>
      <w:r w:rsidRPr="00295E71">
        <w:rPr>
          <w:sz w:val="22"/>
          <w:szCs w:val="22"/>
        </w:rPr>
        <w:t>Alcuni</w:t>
      </w:r>
      <w:r w:rsidRPr="00295E71" w:rsidR="00226BC4">
        <w:rPr>
          <w:sz w:val="22"/>
          <w:szCs w:val="22"/>
        </w:rPr>
        <w:t xml:space="preserve"> pazienti in cui si documenta una riduzione della risposta</w:t>
      </w:r>
      <w:r w:rsidRPr="00295E71">
        <w:rPr>
          <w:sz w:val="22"/>
          <w:szCs w:val="22"/>
        </w:rPr>
        <w:t xml:space="preserve"> a 40 mg di Humira a settimane alterne</w:t>
      </w:r>
      <w:r w:rsidRPr="00295E71" w:rsidR="00226BC4">
        <w:rPr>
          <w:sz w:val="22"/>
          <w:szCs w:val="22"/>
        </w:rPr>
        <w:t xml:space="preserve"> possono trarre giovamento da un aumento del </w:t>
      </w:r>
      <w:r w:rsidRPr="00295E71">
        <w:rPr>
          <w:sz w:val="22"/>
          <w:szCs w:val="22"/>
        </w:rPr>
        <w:t xml:space="preserve">dosaggio </w:t>
      </w:r>
      <w:r w:rsidRPr="00295E71" w:rsidR="00226BC4">
        <w:rPr>
          <w:sz w:val="22"/>
          <w:szCs w:val="22"/>
        </w:rPr>
        <w:t>a 40 mg di Humira ogni settimana</w:t>
      </w:r>
      <w:r w:rsidRPr="00295E71">
        <w:rPr>
          <w:sz w:val="22"/>
          <w:szCs w:val="22"/>
        </w:rPr>
        <w:t xml:space="preserve"> o 80 mg a settimane alterne</w:t>
      </w:r>
      <w:r w:rsidRPr="00295E71" w:rsidR="00226BC4">
        <w:rPr>
          <w:sz w:val="22"/>
          <w:szCs w:val="22"/>
        </w:rPr>
        <w:t>.</w:t>
      </w:r>
    </w:p>
    <w:p w:rsidR="006224C2" w:rsidRPr="00295E71" w14:paraId="31F65A86" w14:textId="77777777">
      <w:pPr>
        <w:tabs>
          <w:tab w:val="left" w:pos="567"/>
        </w:tabs>
        <w:jc w:val="both"/>
        <w:rPr>
          <w:sz w:val="22"/>
          <w:szCs w:val="22"/>
        </w:rPr>
      </w:pPr>
    </w:p>
    <w:p w:rsidR="006224C2" w:rsidRPr="00295E71" w14:paraId="52FB93A1" w14:textId="77777777">
      <w:pPr>
        <w:tabs>
          <w:tab w:val="left" w:pos="567"/>
        </w:tabs>
        <w:jc w:val="both"/>
        <w:rPr>
          <w:sz w:val="22"/>
          <w:szCs w:val="22"/>
        </w:rPr>
      </w:pPr>
      <w:r w:rsidRPr="00295E71">
        <w:rPr>
          <w:sz w:val="22"/>
          <w:szCs w:val="22"/>
        </w:rPr>
        <w:t>I dati disponibili suggeriscono che la risposta clinica si raggiunge di solito entro le 2-8 settimane di trattamento.</w:t>
      </w:r>
    </w:p>
    <w:p w:rsidR="006224C2" w:rsidRPr="00295E71" w14:paraId="185B763C" w14:textId="77777777">
      <w:pPr>
        <w:tabs>
          <w:tab w:val="left" w:pos="567"/>
        </w:tabs>
        <w:jc w:val="both"/>
        <w:rPr>
          <w:sz w:val="22"/>
          <w:szCs w:val="22"/>
        </w:rPr>
      </w:pPr>
    </w:p>
    <w:p w:rsidR="006224C2" w:rsidRPr="00295E71" w14:paraId="07D3A11C" w14:textId="77777777">
      <w:pPr>
        <w:tabs>
          <w:tab w:val="left" w:pos="567"/>
        </w:tabs>
        <w:jc w:val="both"/>
        <w:rPr>
          <w:sz w:val="22"/>
          <w:szCs w:val="22"/>
        </w:rPr>
      </w:pPr>
      <w:r w:rsidRPr="00295E71">
        <w:rPr>
          <w:sz w:val="22"/>
          <w:szCs w:val="22"/>
        </w:rPr>
        <w:t>La terapia con Humira non deve essere continuata in pazienti che non hanno risposto durante questo periodo di tempo.</w:t>
      </w:r>
    </w:p>
    <w:p w:rsidR="00606EC1" w:rsidRPr="00295E71" w14:paraId="5CD86352" w14:textId="77777777">
      <w:pPr>
        <w:tabs>
          <w:tab w:val="left" w:pos="567"/>
        </w:tabs>
        <w:jc w:val="both"/>
        <w:rPr>
          <w:sz w:val="22"/>
          <w:szCs w:val="22"/>
        </w:rPr>
      </w:pPr>
    </w:p>
    <w:p w:rsidR="00606EC1" w:rsidRPr="00295E71" w14:paraId="74672ACF"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6224C2" w:rsidRPr="00295E71" w14:paraId="34E2483A" w14:textId="77777777">
      <w:pPr>
        <w:tabs>
          <w:tab w:val="left" w:pos="567"/>
        </w:tabs>
        <w:jc w:val="both"/>
        <w:rPr>
          <w:sz w:val="22"/>
          <w:szCs w:val="22"/>
        </w:rPr>
      </w:pPr>
    </w:p>
    <w:p w:rsidR="006224C2" w:rsidRPr="00295E71" w:rsidP="00F57FE5" w14:paraId="67F9AAD1" w14:textId="77777777">
      <w:pPr>
        <w:keepNext/>
        <w:keepLines/>
        <w:tabs>
          <w:tab w:val="left" w:pos="567"/>
        </w:tabs>
        <w:jc w:val="both"/>
        <w:rPr>
          <w:i/>
          <w:sz w:val="22"/>
          <w:szCs w:val="22"/>
        </w:rPr>
      </w:pPr>
      <w:r w:rsidRPr="00295E71">
        <w:rPr>
          <w:i/>
          <w:sz w:val="22"/>
          <w:szCs w:val="22"/>
        </w:rPr>
        <w:t>Uveite</w:t>
      </w:r>
    </w:p>
    <w:p w:rsidR="006224C2" w:rsidRPr="00295E71" w:rsidP="00F57FE5" w14:paraId="701AF448" w14:textId="77777777">
      <w:pPr>
        <w:keepNext/>
        <w:keepLines/>
        <w:tabs>
          <w:tab w:val="left" w:pos="567"/>
        </w:tabs>
        <w:jc w:val="both"/>
        <w:rPr>
          <w:i/>
          <w:sz w:val="22"/>
          <w:szCs w:val="22"/>
        </w:rPr>
      </w:pPr>
    </w:p>
    <w:p w:rsidR="006224C2" w:rsidRPr="00295E71" w:rsidP="00F57FE5" w14:paraId="551A5E9F" w14:textId="77777777">
      <w:pPr>
        <w:keepNext/>
        <w:keepLines/>
        <w:tabs>
          <w:tab w:val="left" w:pos="567"/>
        </w:tabs>
        <w:jc w:val="both"/>
        <w:rPr>
          <w:sz w:val="22"/>
          <w:szCs w:val="22"/>
        </w:rPr>
      </w:pPr>
      <w:r w:rsidRPr="00295E71">
        <w:rPr>
          <w:sz w:val="22"/>
          <w:szCs w:val="22"/>
        </w:rPr>
        <w:t>La dose raccomandata di Humira per i pazienti adulti affetti da uveite è una dose iniziale di 80 mg, seguita da 40 mg somministrati a settimane alterne a partire da una settimana dopo la dose iniziale. Humira 40 mg soluzione iniettabile in siringa pre-riempita e/o penna pre-riempita è disponibile per la dose di mantenimento.Vi è un’esperienza limitata nell’inizio del trattamento con Humira in monoterapia. Il trattamento con Humira può essere iniziato in combinazione con corticosteroidi e/o con altri agenti immunomodulatori non biologici. I corticosteroidi concomitanti possono essere ridotti in accordo con la pratica clinica a partire da due settimane dopo l’inizio del trattamento con Humira.</w:t>
      </w:r>
    </w:p>
    <w:p w:rsidR="006224C2" w:rsidRPr="00295E71" w14:paraId="6FACEC53" w14:textId="77777777">
      <w:pPr>
        <w:tabs>
          <w:tab w:val="left" w:pos="567"/>
        </w:tabs>
        <w:jc w:val="both"/>
        <w:rPr>
          <w:sz w:val="22"/>
          <w:szCs w:val="22"/>
        </w:rPr>
      </w:pPr>
    </w:p>
    <w:p w:rsidR="006224C2" w:rsidRPr="00295E71" w14:paraId="57F321F0" w14:textId="77777777">
      <w:pPr>
        <w:tabs>
          <w:tab w:val="left" w:pos="567"/>
        </w:tabs>
        <w:jc w:val="both"/>
        <w:rPr>
          <w:sz w:val="22"/>
          <w:szCs w:val="22"/>
        </w:rPr>
      </w:pPr>
      <w:r w:rsidRPr="00295E71">
        <w:rPr>
          <w:sz w:val="22"/>
          <w:szCs w:val="22"/>
        </w:rPr>
        <w:t>Si raccomanda che i benefici e i rischi del trattamento continuato a lungo termine siano valutati su base annua (vedere paragrafo 5.1).</w:t>
      </w:r>
    </w:p>
    <w:p w:rsidR="00606EC1" w:rsidRPr="00295E71" w14:paraId="2569E2B5" w14:textId="77777777">
      <w:pPr>
        <w:tabs>
          <w:tab w:val="left" w:pos="567"/>
        </w:tabs>
        <w:jc w:val="both"/>
        <w:rPr>
          <w:sz w:val="22"/>
          <w:szCs w:val="22"/>
        </w:rPr>
      </w:pPr>
    </w:p>
    <w:p w:rsidR="00606EC1" w:rsidRPr="00295E71" w14:paraId="6A2B1085"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6224C2" w:rsidRPr="00295E71" w14:paraId="1125A532" w14:textId="77777777">
      <w:pPr>
        <w:tabs>
          <w:tab w:val="left" w:pos="567"/>
        </w:tabs>
        <w:jc w:val="both"/>
        <w:rPr>
          <w:sz w:val="22"/>
          <w:szCs w:val="22"/>
        </w:rPr>
      </w:pPr>
    </w:p>
    <w:p w:rsidR="00A500D2" w:rsidRPr="00295E71" w14:paraId="6C3F31B3" w14:textId="77777777">
      <w:pPr>
        <w:tabs>
          <w:tab w:val="left" w:pos="567"/>
        </w:tabs>
        <w:jc w:val="both"/>
        <w:rPr>
          <w:sz w:val="22"/>
          <w:szCs w:val="22"/>
          <w:u w:val="single"/>
        </w:rPr>
      </w:pPr>
      <w:r w:rsidRPr="00295E71">
        <w:rPr>
          <w:sz w:val="22"/>
          <w:szCs w:val="22"/>
          <w:u w:val="single"/>
        </w:rPr>
        <w:t>Popolazioni speciali</w:t>
      </w:r>
    </w:p>
    <w:p w:rsidR="00A500D2" w:rsidRPr="00295E71" w14:paraId="4F628541" w14:textId="77777777">
      <w:pPr>
        <w:tabs>
          <w:tab w:val="left" w:pos="567"/>
        </w:tabs>
        <w:jc w:val="both"/>
        <w:rPr>
          <w:sz w:val="22"/>
          <w:szCs w:val="22"/>
        </w:rPr>
      </w:pPr>
    </w:p>
    <w:p w:rsidR="006224C2" w:rsidRPr="00295E71" w14:paraId="119EF7BE" w14:textId="77777777">
      <w:pPr>
        <w:keepNext/>
        <w:tabs>
          <w:tab w:val="left" w:pos="567"/>
        </w:tabs>
        <w:jc w:val="both"/>
        <w:rPr>
          <w:sz w:val="22"/>
          <w:szCs w:val="22"/>
        </w:rPr>
      </w:pPr>
      <w:r w:rsidRPr="00295E71">
        <w:rPr>
          <w:sz w:val="22"/>
          <w:szCs w:val="22"/>
        </w:rPr>
        <w:t>Anziani</w:t>
      </w:r>
    </w:p>
    <w:p w:rsidR="006224C2" w:rsidRPr="00295E71" w14:paraId="1A92E16F" w14:textId="77777777">
      <w:pPr>
        <w:keepNext/>
        <w:tabs>
          <w:tab w:val="left" w:pos="567"/>
        </w:tabs>
        <w:jc w:val="both"/>
        <w:rPr>
          <w:sz w:val="22"/>
          <w:szCs w:val="22"/>
          <w:u w:val="single"/>
        </w:rPr>
      </w:pPr>
    </w:p>
    <w:p w:rsidR="006224C2" w:rsidRPr="00295E71" w14:paraId="0FDF15A7" w14:textId="77777777">
      <w:pPr>
        <w:keepNext/>
        <w:tabs>
          <w:tab w:val="left" w:pos="567"/>
        </w:tabs>
        <w:jc w:val="both"/>
        <w:rPr>
          <w:color w:val="000000"/>
          <w:sz w:val="22"/>
          <w:szCs w:val="22"/>
        </w:rPr>
      </w:pPr>
      <w:r w:rsidRPr="00295E71">
        <w:rPr>
          <w:color w:val="000000"/>
          <w:sz w:val="22"/>
          <w:szCs w:val="22"/>
        </w:rPr>
        <w:t>Non sono richieste modifiche del dosaggio.</w:t>
      </w:r>
    </w:p>
    <w:p w:rsidR="006224C2" w:rsidRPr="00295E71" w14:paraId="7C4E4F3A" w14:textId="77777777">
      <w:pPr>
        <w:tabs>
          <w:tab w:val="left" w:pos="567"/>
        </w:tabs>
        <w:jc w:val="both"/>
        <w:rPr>
          <w:color w:val="000000"/>
          <w:sz w:val="22"/>
          <w:szCs w:val="22"/>
        </w:rPr>
      </w:pPr>
    </w:p>
    <w:p w:rsidR="006224C2" w:rsidRPr="00295E71" w14:paraId="634260AD" w14:textId="77777777">
      <w:pPr>
        <w:tabs>
          <w:tab w:val="left" w:pos="567"/>
        </w:tabs>
        <w:jc w:val="both"/>
        <w:rPr>
          <w:color w:val="000000"/>
          <w:sz w:val="22"/>
          <w:szCs w:val="22"/>
        </w:rPr>
      </w:pPr>
      <w:r w:rsidRPr="00295E71">
        <w:rPr>
          <w:color w:val="000000"/>
          <w:sz w:val="22"/>
          <w:szCs w:val="22"/>
        </w:rPr>
        <w:t>Insufficienza epatica e/o renale</w:t>
      </w:r>
    </w:p>
    <w:p w:rsidR="006224C2" w:rsidRPr="00295E71" w14:paraId="0483A963" w14:textId="77777777">
      <w:pPr>
        <w:tabs>
          <w:tab w:val="left" w:pos="567"/>
        </w:tabs>
        <w:jc w:val="both"/>
        <w:rPr>
          <w:color w:val="000000"/>
          <w:sz w:val="22"/>
          <w:szCs w:val="22"/>
        </w:rPr>
      </w:pPr>
    </w:p>
    <w:p w:rsidR="006224C2" w:rsidRPr="00295E71" w14:paraId="4A05FAF4" w14:textId="77777777">
      <w:pPr>
        <w:tabs>
          <w:tab w:val="left" w:pos="567"/>
        </w:tabs>
        <w:jc w:val="both"/>
        <w:rPr>
          <w:color w:val="000000"/>
          <w:sz w:val="22"/>
          <w:szCs w:val="22"/>
        </w:rPr>
      </w:pPr>
      <w:r w:rsidRPr="00295E71">
        <w:rPr>
          <w:color w:val="000000"/>
          <w:sz w:val="22"/>
          <w:szCs w:val="22"/>
        </w:rPr>
        <w:t>Humira non è stato studiato in queste popolazioni di pazienti. Non possono essere fornite raccomandazioni posologiche.</w:t>
      </w:r>
    </w:p>
    <w:p w:rsidR="006224C2" w:rsidRPr="00295E71" w14:paraId="62794120" w14:textId="77777777">
      <w:pPr>
        <w:tabs>
          <w:tab w:val="left" w:pos="567"/>
        </w:tabs>
        <w:jc w:val="both"/>
        <w:rPr>
          <w:color w:val="000000"/>
          <w:sz w:val="22"/>
          <w:szCs w:val="22"/>
        </w:rPr>
      </w:pPr>
    </w:p>
    <w:p w:rsidR="006224C2" w:rsidRPr="00295E71" w14:paraId="60C44456" w14:textId="77777777">
      <w:pPr>
        <w:keepNext/>
        <w:rPr>
          <w:color w:val="000000"/>
          <w:sz w:val="22"/>
          <w:szCs w:val="22"/>
        </w:rPr>
      </w:pPr>
      <w:r w:rsidRPr="00295E71">
        <w:rPr>
          <w:color w:val="000000"/>
          <w:sz w:val="22"/>
          <w:szCs w:val="22"/>
        </w:rPr>
        <w:t xml:space="preserve">Popolazione </w:t>
      </w:r>
      <w:r w:rsidRPr="00295E71" w:rsidR="00A500D2">
        <w:rPr>
          <w:color w:val="000000"/>
          <w:sz w:val="22"/>
          <w:szCs w:val="22"/>
        </w:rPr>
        <w:t>p</w:t>
      </w:r>
      <w:r w:rsidRPr="00295E71">
        <w:rPr>
          <w:color w:val="000000"/>
          <w:sz w:val="22"/>
          <w:szCs w:val="22"/>
        </w:rPr>
        <w:t>ediatrica</w:t>
      </w:r>
    </w:p>
    <w:p w:rsidR="006224C2" w:rsidRPr="00295E71" w14:paraId="647E7DAB" w14:textId="77777777">
      <w:pPr>
        <w:keepNext/>
        <w:tabs>
          <w:tab w:val="left" w:pos="567"/>
        </w:tabs>
        <w:jc w:val="both"/>
        <w:rPr>
          <w:color w:val="000000"/>
          <w:sz w:val="22"/>
          <w:szCs w:val="22"/>
          <w:u w:val="single"/>
        </w:rPr>
      </w:pPr>
    </w:p>
    <w:p w:rsidR="003605E0" w:rsidRPr="00295E71" w:rsidP="003605E0" w14:paraId="63A7EE92" w14:textId="77777777">
      <w:pPr>
        <w:tabs>
          <w:tab w:val="left" w:pos="567"/>
        </w:tabs>
        <w:jc w:val="both"/>
        <w:rPr>
          <w:i/>
          <w:sz w:val="22"/>
          <w:szCs w:val="22"/>
        </w:rPr>
      </w:pPr>
      <w:r w:rsidRPr="00295E71">
        <w:rPr>
          <w:i/>
          <w:sz w:val="22"/>
          <w:szCs w:val="22"/>
        </w:rPr>
        <w:t>Psoriasi pediatrica a placche</w:t>
      </w:r>
    </w:p>
    <w:p w:rsidR="003605E0" w:rsidRPr="00295E71" w:rsidP="003605E0" w14:paraId="3C7854FE" w14:textId="77777777">
      <w:pPr>
        <w:tabs>
          <w:tab w:val="left" w:pos="567"/>
        </w:tabs>
        <w:jc w:val="both"/>
        <w:rPr>
          <w:sz w:val="22"/>
          <w:szCs w:val="22"/>
        </w:rPr>
      </w:pPr>
    </w:p>
    <w:p w:rsidR="003605E0" w:rsidRPr="00295E71" w:rsidP="003605E0" w14:paraId="6F617B13" w14:textId="77777777">
      <w:pPr>
        <w:tabs>
          <w:tab w:val="left" w:pos="567"/>
        </w:tabs>
        <w:jc w:val="both"/>
        <w:rPr>
          <w:sz w:val="22"/>
          <w:szCs w:val="22"/>
        </w:rPr>
      </w:pPr>
      <w:r w:rsidRPr="00295E71">
        <w:rPr>
          <w:sz w:val="22"/>
          <w:szCs w:val="22"/>
        </w:rPr>
        <w:t xml:space="preserve">La sicurezza e l’efficacia di Humira nei bambini di 4-17 anni di età </w:t>
      </w:r>
      <w:r>
        <w:rPr>
          <w:sz w:val="22"/>
          <w:szCs w:val="22"/>
        </w:rPr>
        <w:t>sono state</w:t>
      </w:r>
      <w:r w:rsidRPr="00295E71">
        <w:rPr>
          <w:sz w:val="22"/>
          <w:szCs w:val="22"/>
        </w:rPr>
        <w:t xml:space="preserve"> stabilit</w:t>
      </w:r>
      <w:r>
        <w:rPr>
          <w:sz w:val="22"/>
          <w:szCs w:val="22"/>
        </w:rPr>
        <w:t>e</w:t>
      </w:r>
      <w:r w:rsidRPr="00295E71">
        <w:rPr>
          <w:sz w:val="22"/>
          <w:szCs w:val="22"/>
        </w:rPr>
        <w:t xml:space="preserve"> per la psoriasi a placche. La dose consigliata di Humira è fino a un massimo di 40 mg per dose. </w:t>
      </w:r>
    </w:p>
    <w:p w:rsidR="003605E0" w:rsidRPr="00295E71" w:rsidP="003605E0" w14:paraId="09BB69D6" w14:textId="77777777">
      <w:pPr>
        <w:tabs>
          <w:tab w:val="left" w:pos="567"/>
        </w:tabs>
        <w:jc w:val="both"/>
        <w:rPr>
          <w:sz w:val="22"/>
          <w:szCs w:val="22"/>
        </w:rPr>
      </w:pPr>
    </w:p>
    <w:p w:rsidR="006224C2" w:rsidRPr="00295E71" w14:paraId="75D7F9CD" w14:textId="77777777">
      <w:pPr>
        <w:tabs>
          <w:tab w:val="left" w:pos="567"/>
        </w:tabs>
        <w:jc w:val="both"/>
        <w:rPr>
          <w:i/>
          <w:sz w:val="22"/>
          <w:szCs w:val="22"/>
        </w:rPr>
      </w:pPr>
      <w:r w:rsidRPr="00295E71">
        <w:rPr>
          <w:i/>
          <w:sz w:val="22"/>
          <w:szCs w:val="22"/>
        </w:rPr>
        <w:t>Idrosadenite suppurativa negli adolescenti (dai 12</w:t>
      </w:r>
      <w:r w:rsidRPr="00295E71">
        <w:rPr>
          <w:sz w:val="22"/>
          <w:szCs w:val="22"/>
        </w:rPr>
        <w:t> </w:t>
      </w:r>
      <w:r w:rsidRPr="00295E71">
        <w:rPr>
          <w:i/>
          <w:sz w:val="22"/>
          <w:szCs w:val="22"/>
        </w:rPr>
        <w:t>anni d’età, di almeno 30</w:t>
      </w:r>
      <w:r w:rsidRPr="00295E71">
        <w:rPr>
          <w:sz w:val="22"/>
          <w:szCs w:val="22"/>
        </w:rPr>
        <w:t> </w:t>
      </w:r>
      <w:r w:rsidRPr="00295E71">
        <w:rPr>
          <w:i/>
          <w:sz w:val="22"/>
          <w:szCs w:val="22"/>
        </w:rPr>
        <w:t>kg di peso)</w:t>
      </w:r>
    </w:p>
    <w:p w:rsidR="006224C2" w:rsidRPr="00295E71" w14:paraId="79971D1D" w14:textId="77777777">
      <w:pPr>
        <w:tabs>
          <w:tab w:val="left" w:pos="567"/>
        </w:tabs>
        <w:jc w:val="both"/>
        <w:rPr>
          <w:i/>
          <w:sz w:val="22"/>
          <w:szCs w:val="22"/>
        </w:rPr>
      </w:pPr>
    </w:p>
    <w:p w:rsidR="006224C2" w:rsidRPr="00295E71" w14:paraId="3544D440" w14:textId="77777777">
      <w:pPr>
        <w:tabs>
          <w:tab w:val="left" w:pos="567"/>
        </w:tabs>
        <w:jc w:val="both"/>
        <w:rPr>
          <w:sz w:val="22"/>
          <w:szCs w:val="22"/>
        </w:rPr>
      </w:pPr>
      <w:r w:rsidRPr="00295E71">
        <w:rPr>
          <w:sz w:val="22"/>
          <w:szCs w:val="22"/>
        </w:rPr>
        <w:t>Non ci sono studi clinici con Humira in pazienti adolescenti con HS. La posologia di Humira in questi pazienti è stata determinata sulla base di modelli e simulazione farmacocinetica (vedere paragrafo 5.2).</w:t>
      </w:r>
    </w:p>
    <w:p w:rsidR="006224C2" w:rsidRPr="00295E71" w14:paraId="2C8F78B0" w14:textId="77777777">
      <w:pPr>
        <w:tabs>
          <w:tab w:val="left" w:pos="567"/>
        </w:tabs>
        <w:jc w:val="both"/>
        <w:rPr>
          <w:sz w:val="22"/>
          <w:szCs w:val="22"/>
        </w:rPr>
      </w:pPr>
    </w:p>
    <w:p w:rsidR="006224C2" w:rsidRPr="00295E71" w14:paraId="1715BED3" w14:textId="77777777">
      <w:pPr>
        <w:tabs>
          <w:tab w:val="left" w:pos="567"/>
        </w:tabs>
        <w:jc w:val="both"/>
        <w:rPr>
          <w:sz w:val="22"/>
          <w:szCs w:val="22"/>
        </w:rPr>
      </w:pPr>
      <w:r w:rsidRPr="00295E71">
        <w:rPr>
          <w:sz w:val="22"/>
          <w:szCs w:val="22"/>
        </w:rPr>
        <w:t xml:space="preserve">La dose raccomandata di Humira è di 80 mg alla settimana 0 seguiti da 40 mg a settimane alterne a partire dalla settimana 1 per via sottocutanea. </w:t>
      </w:r>
    </w:p>
    <w:p w:rsidR="006224C2" w:rsidRPr="00295E71" w14:paraId="384651AF" w14:textId="77777777">
      <w:pPr>
        <w:tabs>
          <w:tab w:val="left" w:pos="567"/>
        </w:tabs>
        <w:jc w:val="both"/>
        <w:rPr>
          <w:sz w:val="22"/>
          <w:szCs w:val="22"/>
        </w:rPr>
      </w:pPr>
    </w:p>
    <w:p w:rsidR="006224C2" w:rsidRPr="00295E71" w14:paraId="7CB886C7" w14:textId="77777777">
      <w:pPr>
        <w:tabs>
          <w:tab w:val="left" w:pos="567"/>
        </w:tabs>
        <w:jc w:val="both"/>
        <w:rPr>
          <w:sz w:val="22"/>
          <w:szCs w:val="22"/>
        </w:rPr>
      </w:pPr>
      <w:r w:rsidRPr="00295E71">
        <w:rPr>
          <w:sz w:val="22"/>
          <w:szCs w:val="22"/>
        </w:rPr>
        <w:t>In pazienti adolescenti con una risposta inadeguata a 40 mg</w:t>
      </w:r>
      <w:r w:rsidRPr="00295E71" w:rsidR="000B1EFB">
        <w:rPr>
          <w:sz w:val="22"/>
          <w:szCs w:val="22"/>
        </w:rPr>
        <w:t xml:space="preserve"> di Humira</w:t>
      </w:r>
      <w:r w:rsidRPr="00295E71">
        <w:rPr>
          <w:sz w:val="22"/>
          <w:szCs w:val="22"/>
        </w:rPr>
        <w:t xml:space="preserve"> a settimane alterne, può essere preso in considerazione un incremento del dos</w:t>
      </w:r>
      <w:r w:rsidRPr="00295E71" w:rsidR="000B1EFB">
        <w:rPr>
          <w:sz w:val="22"/>
          <w:szCs w:val="22"/>
        </w:rPr>
        <w:t>aggio</w:t>
      </w:r>
      <w:r w:rsidRPr="00295E71">
        <w:rPr>
          <w:sz w:val="22"/>
          <w:szCs w:val="22"/>
        </w:rPr>
        <w:t xml:space="preserve"> a 40 mg ogni settimana</w:t>
      </w:r>
      <w:r w:rsidRPr="00295E71" w:rsidR="000B1EFB">
        <w:rPr>
          <w:sz w:val="22"/>
          <w:szCs w:val="22"/>
        </w:rPr>
        <w:t xml:space="preserve"> o 80 mg a settimane alterne</w:t>
      </w:r>
      <w:r w:rsidRPr="00295E71">
        <w:rPr>
          <w:sz w:val="22"/>
          <w:szCs w:val="22"/>
        </w:rPr>
        <w:t>.</w:t>
      </w:r>
    </w:p>
    <w:p w:rsidR="006224C2" w:rsidRPr="00295E71" w14:paraId="4E178930" w14:textId="77777777">
      <w:pPr>
        <w:tabs>
          <w:tab w:val="left" w:pos="567"/>
        </w:tabs>
        <w:jc w:val="both"/>
        <w:rPr>
          <w:sz w:val="22"/>
          <w:szCs w:val="22"/>
        </w:rPr>
      </w:pPr>
    </w:p>
    <w:p w:rsidR="006224C2" w:rsidRPr="00295E71" w14:paraId="77F6CAE1" w14:textId="77777777">
      <w:pPr>
        <w:tabs>
          <w:tab w:val="left" w:pos="567"/>
        </w:tabs>
        <w:jc w:val="both"/>
        <w:rPr>
          <w:sz w:val="22"/>
          <w:szCs w:val="22"/>
        </w:rPr>
      </w:pPr>
      <w:r w:rsidRPr="00295E71">
        <w:rPr>
          <w:sz w:val="22"/>
          <w:szCs w:val="22"/>
        </w:rPr>
        <w:t xml:space="preserve">Se necessario, è possibile continuare la terapia antibiotica durante il trattamento con Humira. Durante il trattamento con Humira si raccomanda ai pazienti di usare tutti i giorni una soluzione di lavaggio antisettica </w:t>
      </w:r>
      <w:r w:rsidR="008A4D5A">
        <w:rPr>
          <w:sz w:val="22"/>
          <w:szCs w:val="22"/>
        </w:rPr>
        <w:t xml:space="preserve">topica </w:t>
      </w:r>
      <w:r w:rsidRPr="00295E71">
        <w:rPr>
          <w:sz w:val="22"/>
          <w:szCs w:val="22"/>
        </w:rPr>
        <w:t>sulle lesioni correlate all’HS.</w:t>
      </w:r>
    </w:p>
    <w:p w:rsidR="006224C2" w:rsidRPr="00295E71" w14:paraId="51D20EC7" w14:textId="77777777">
      <w:pPr>
        <w:tabs>
          <w:tab w:val="left" w:pos="567"/>
        </w:tabs>
        <w:jc w:val="both"/>
        <w:rPr>
          <w:sz w:val="22"/>
          <w:szCs w:val="22"/>
        </w:rPr>
      </w:pPr>
    </w:p>
    <w:p w:rsidR="006224C2" w:rsidRPr="00295E71" w14:paraId="028DB7A5" w14:textId="77777777">
      <w:pPr>
        <w:tabs>
          <w:tab w:val="left" w:pos="567"/>
        </w:tabs>
        <w:jc w:val="both"/>
        <w:rPr>
          <w:sz w:val="22"/>
          <w:szCs w:val="22"/>
        </w:rPr>
      </w:pPr>
      <w:r w:rsidRPr="00295E71">
        <w:rPr>
          <w:sz w:val="22"/>
          <w:szCs w:val="22"/>
        </w:rPr>
        <w:t>La prosecuzione della terapia oltre 12 settimane di trattamento deve essere valutata attentamente se i pazienti non sono migliorati in tale periodo.</w:t>
      </w:r>
    </w:p>
    <w:p w:rsidR="006224C2" w:rsidRPr="00295E71" w14:paraId="11CAF622" w14:textId="77777777">
      <w:pPr>
        <w:tabs>
          <w:tab w:val="left" w:pos="567"/>
        </w:tabs>
        <w:jc w:val="both"/>
        <w:rPr>
          <w:sz w:val="22"/>
          <w:szCs w:val="22"/>
        </w:rPr>
      </w:pPr>
    </w:p>
    <w:p w:rsidR="006224C2" w:rsidRPr="00295E71" w14:paraId="32512AE1" w14:textId="77777777">
      <w:pPr>
        <w:tabs>
          <w:tab w:val="left" w:pos="567"/>
        </w:tabs>
        <w:jc w:val="both"/>
        <w:rPr>
          <w:sz w:val="22"/>
          <w:szCs w:val="22"/>
        </w:rPr>
      </w:pPr>
      <w:r w:rsidRPr="00295E71">
        <w:rPr>
          <w:sz w:val="22"/>
          <w:szCs w:val="22"/>
        </w:rPr>
        <w:t>Laddove fosse necessario interrompere il trattamento, è possibile riprendere la terapia con Humira.</w:t>
      </w:r>
    </w:p>
    <w:p w:rsidR="006224C2" w:rsidRPr="00295E71" w14:paraId="6EE6D0E1" w14:textId="77777777">
      <w:pPr>
        <w:tabs>
          <w:tab w:val="left" w:pos="567"/>
        </w:tabs>
        <w:jc w:val="both"/>
        <w:rPr>
          <w:sz w:val="22"/>
          <w:szCs w:val="22"/>
        </w:rPr>
      </w:pPr>
    </w:p>
    <w:p w:rsidR="006224C2" w:rsidRPr="00295E71" w14:paraId="27E82B18" w14:textId="77777777">
      <w:pPr>
        <w:tabs>
          <w:tab w:val="left" w:pos="567"/>
        </w:tabs>
        <w:jc w:val="both"/>
        <w:rPr>
          <w:sz w:val="22"/>
          <w:szCs w:val="22"/>
        </w:rPr>
      </w:pPr>
      <w:r w:rsidRPr="00295E71">
        <w:rPr>
          <w:sz w:val="22"/>
          <w:szCs w:val="22"/>
        </w:rPr>
        <w:t>La valutazione dei benefici e dei rischi del trattamento continuato a lungo termine deve essere effettuata periodicamente (vedere i dati relativi agli adulti nel paragrafo 5.1).</w:t>
      </w:r>
    </w:p>
    <w:p w:rsidR="006224C2" w:rsidRPr="00295E71" w14:paraId="10CA0C2B" w14:textId="77777777">
      <w:pPr>
        <w:tabs>
          <w:tab w:val="left" w:pos="567"/>
        </w:tabs>
        <w:jc w:val="both"/>
        <w:rPr>
          <w:sz w:val="22"/>
          <w:szCs w:val="22"/>
        </w:rPr>
      </w:pPr>
    </w:p>
    <w:p w:rsidR="006224C2" w:rsidRPr="00295E71" w14:paraId="324175EF" w14:textId="77777777">
      <w:pPr>
        <w:tabs>
          <w:tab w:val="left" w:pos="567"/>
        </w:tabs>
        <w:jc w:val="both"/>
        <w:rPr>
          <w:sz w:val="22"/>
          <w:szCs w:val="22"/>
        </w:rPr>
      </w:pPr>
      <w:r w:rsidRPr="00295E71">
        <w:rPr>
          <w:sz w:val="22"/>
          <w:szCs w:val="22"/>
        </w:rPr>
        <w:t>Non c’è un uso rilevante di Humira nei bambini di età inferiore ai 12 anni in questa indicazione.</w:t>
      </w:r>
    </w:p>
    <w:p w:rsidR="000B1EFB" w:rsidRPr="00295E71" w14:paraId="14562107" w14:textId="77777777">
      <w:pPr>
        <w:tabs>
          <w:tab w:val="left" w:pos="567"/>
        </w:tabs>
        <w:jc w:val="both"/>
        <w:rPr>
          <w:sz w:val="22"/>
          <w:szCs w:val="22"/>
        </w:rPr>
      </w:pPr>
    </w:p>
    <w:p w:rsidR="000B1EFB" w:rsidRPr="00295E71" w14:paraId="473DBCCB"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6224C2" w:rsidRPr="00295E71" w14:paraId="26809AE1" w14:textId="77777777">
      <w:pPr>
        <w:tabs>
          <w:tab w:val="left" w:pos="567"/>
        </w:tabs>
        <w:jc w:val="both"/>
        <w:rPr>
          <w:i/>
          <w:sz w:val="22"/>
          <w:szCs w:val="22"/>
        </w:rPr>
      </w:pPr>
    </w:p>
    <w:p w:rsidR="006224C2" w:rsidRPr="00295E71" w:rsidP="005D5C2F" w14:paraId="2EC26921" w14:textId="77777777">
      <w:pPr>
        <w:keepNext/>
        <w:keepLines/>
        <w:tabs>
          <w:tab w:val="left" w:pos="567"/>
        </w:tabs>
        <w:jc w:val="both"/>
        <w:rPr>
          <w:i/>
          <w:sz w:val="22"/>
          <w:szCs w:val="22"/>
        </w:rPr>
      </w:pPr>
      <w:r w:rsidRPr="00295E71">
        <w:rPr>
          <w:i/>
          <w:sz w:val="22"/>
          <w:szCs w:val="22"/>
        </w:rPr>
        <w:t>Malattia di Crohn in pazienti pediatrici</w:t>
      </w:r>
    </w:p>
    <w:p w:rsidR="000B1EFB" w:rsidRPr="00295E71" w:rsidP="005D5C2F" w14:paraId="7347E416" w14:textId="77777777">
      <w:pPr>
        <w:keepNext/>
        <w:keepLines/>
        <w:tabs>
          <w:tab w:val="left" w:pos="567"/>
        </w:tabs>
        <w:jc w:val="both"/>
        <w:rPr>
          <w:i/>
          <w:sz w:val="22"/>
          <w:szCs w:val="22"/>
        </w:rPr>
      </w:pPr>
    </w:p>
    <w:p w:rsidR="00F50C11" w:rsidRPr="00295E71" w:rsidP="00F50C11" w14:paraId="28061CAD" w14:textId="77777777">
      <w:pPr>
        <w:pStyle w:val="gtcbodytext"/>
        <w:spacing w:before="0" w:after="0" w:line="240" w:lineRule="auto"/>
        <w:jc w:val="both"/>
        <w:rPr>
          <w:sz w:val="22"/>
          <w:szCs w:val="22"/>
          <w:lang w:val="it-IT"/>
        </w:rPr>
      </w:pPr>
      <w:r w:rsidRPr="00295E71">
        <w:rPr>
          <w:sz w:val="22"/>
          <w:szCs w:val="22"/>
          <w:lang w:val="it-IT"/>
        </w:rPr>
        <w:t>La dose raccomandata di Humira per pazienti con malattia di Crohn di età compresa tra 6 e 17 anni è basata sul peso corporeo (Tabella 1). Humira è somministrato attraverso iniezione sottocutanea.</w:t>
      </w:r>
    </w:p>
    <w:p w:rsidR="00F50C11" w:rsidRPr="00295E71" w:rsidP="00F50C11" w14:paraId="0D86D5EB" w14:textId="77777777">
      <w:pPr>
        <w:pStyle w:val="gtcbodytext"/>
        <w:spacing w:before="0" w:after="0" w:line="240" w:lineRule="auto"/>
        <w:jc w:val="both"/>
        <w:rPr>
          <w:sz w:val="22"/>
          <w:szCs w:val="22"/>
          <w:lang w:val="it-IT"/>
        </w:rPr>
      </w:pPr>
    </w:p>
    <w:p w:rsidR="00F50C11" w:rsidRPr="00295E71" w:rsidP="00F50C11" w14:paraId="08C94D46" w14:textId="77777777">
      <w:pPr>
        <w:jc w:val="center"/>
        <w:rPr>
          <w:b/>
          <w:sz w:val="22"/>
          <w:szCs w:val="22"/>
        </w:rPr>
      </w:pPr>
      <w:r w:rsidRPr="00295E71">
        <w:rPr>
          <w:b/>
          <w:sz w:val="22"/>
          <w:szCs w:val="22"/>
        </w:rPr>
        <w:t>Tabella 1. Dose di Humira per Pazienti Pediatrici con malattia di Crohn</w:t>
      </w:r>
    </w:p>
    <w:p w:rsidR="00F50C11" w:rsidRPr="00295E71" w:rsidP="00F50C11" w14:paraId="2DA6330C" w14:textId="77777777">
      <w:pPr>
        <w:rPr>
          <w:sz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21"/>
        <w:gridCol w:w="5839"/>
        <w:gridCol w:w="2194"/>
      </w:tblGrid>
      <w:tr w14:paraId="597F801F" w14:textId="77777777" w:rsidTr="003415FD">
        <w:tblPrEx>
          <w:tblW w:w="5000" w:type="pct"/>
          <w:tblLook w:val="04A0"/>
        </w:tblPrEx>
        <w:trPr>
          <w:tblHeader/>
        </w:trPr>
        <w:tc>
          <w:tcPr>
            <w:tcW w:w="0" w:type="auto"/>
            <w:tcBorders>
              <w:top w:val="single" w:sz="6" w:space="0" w:color="000000"/>
              <w:left w:val="single" w:sz="6" w:space="0" w:color="000000"/>
              <w:bottom w:val="single" w:sz="6" w:space="0" w:color="000000"/>
              <w:right w:val="single" w:sz="6" w:space="0" w:color="000000"/>
            </w:tcBorders>
            <w:hideMark/>
          </w:tcPr>
          <w:p w:rsidR="00F50C11" w:rsidRPr="00295E71" w:rsidP="003415FD" w14:paraId="5C012B2D" w14:textId="77777777">
            <w:pPr>
              <w:jc w:val="center"/>
              <w:rPr>
                <w:sz w:val="22"/>
              </w:rPr>
            </w:pPr>
            <w:r w:rsidRPr="00295E71">
              <w:rPr>
                <w:b/>
                <w:sz w:val="22"/>
              </w:rPr>
              <w:t>Peso del Paziente</w:t>
            </w:r>
          </w:p>
        </w:tc>
        <w:tc>
          <w:tcPr>
            <w:tcW w:w="0" w:type="auto"/>
            <w:tcBorders>
              <w:top w:val="single" w:sz="6" w:space="0" w:color="000000"/>
              <w:left w:val="single" w:sz="6" w:space="0" w:color="000000"/>
              <w:bottom w:val="single" w:sz="6" w:space="0" w:color="000000"/>
              <w:right w:val="single" w:sz="6" w:space="0" w:color="000000"/>
            </w:tcBorders>
            <w:hideMark/>
          </w:tcPr>
          <w:p w:rsidR="00F50C11" w:rsidRPr="00295E71" w:rsidP="003415FD" w14:paraId="33E232B1" w14:textId="77777777">
            <w:pPr>
              <w:jc w:val="center"/>
              <w:rPr>
                <w:sz w:val="22"/>
              </w:rPr>
            </w:pPr>
            <w:r w:rsidRPr="00295E71">
              <w:rPr>
                <w:b/>
                <w:sz w:val="22"/>
              </w:rPr>
              <w:t>Dose di Induzione</w:t>
            </w:r>
          </w:p>
        </w:tc>
        <w:tc>
          <w:tcPr>
            <w:tcW w:w="0" w:type="auto"/>
            <w:tcBorders>
              <w:top w:val="single" w:sz="6" w:space="0" w:color="000000"/>
              <w:left w:val="single" w:sz="6" w:space="0" w:color="000000"/>
              <w:bottom w:val="single" w:sz="6" w:space="0" w:color="000000"/>
              <w:right w:val="single" w:sz="6" w:space="0" w:color="000000"/>
            </w:tcBorders>
            <w:hideMark/>
          </w:tcPr>
          <w:p w:rsidR="00F50C11" w:rsidRPr="00295E71" w:rsidP="003415FD" w14:paraId="07BF85DF" w14:textId="77777777">
            <w:pPr>
              <w:jc w:val="center"/>
              <w:rPr>
                <w:sz w:val="22"/>
              </w:rPr>
            </w:pPr>
            <w:r w:rsidRPr="00295E71">
              <w:rPr>
                <w:b/>
                <w:sz w:val="22"/>
              </w:rPr>
              <w:t>Dose di Mantenimento a partire dalla settimana 4</w:t>
            </w:r>
          </w:p>
        </w:tc>
      </w:tr>
      <w:tr w14:paraId="667C7AFE" w14:textId="77777777" w:rsidTr="003415FD">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F50C11" w:rsidRPr="00295E71" w:rsidP="003415FD" w14:paraId="0B630360" w14:textId="77777777">
            <w:pPr>
              <w:jc w:val="center"/>
              <w:rPr>
                <w:sz w:val="22"/>
              </w:rPr>
            </w:pPr>
            <w:r w:rsidRPr="00295E71">
              <w:rPr>
                <w:sz w:val="22"/>
              </w:rPr>
              <w:t>&lt; 40 kg</w:t>
            </w:r>
          </w:p>
        </w:tc>
        <w:tc>
          <w:tcPr>
            <w:tcW w:w="0" w:type="auto"/>
            <w:tcBorders>
              <w:top w:val="single" w:sz="6" w:space="0" w:color="000000"/>
              <w:left w:val="single" w:sz="6" w:space="0" w:color="000000"/>
              <w:bottom w:val="single" w:sz="6" w:space="0" w:color="000000"/>
              <w:right w:val="single" w:sz="6" w:space="0" w:color="000000"/>
            </w:tcBorders>
            <w:hideMark/>
          </w:tcPr>
          <w:p w:rsidR="00F50C11" w:rsidRPr="00295E71" w:rsidP="003415FD" w14:paraId="708532BE" w14:textId="77777777">
            <w:pPr>
              <w:numPr>
                <w:ilvl w:val="0"/>
                <w:numId w:val="128"/>
              </w:numPr>
              <w:ind w:left="307" w:hanging="180"/>
              <w:rPr>
                <w:sz w:val="22"/>
                <w:szCs w:val="22"/>
              </w:rPr>
            </w:pPr>
            <w:r w:rsidRPr="00295E71">
              <w:rPr>
                <w:sz w:val="22"/>
                <w:szCs w:val="22"/>
              </w:rPr>
              <w:t xml:space="preserve">40 mg alla </w:t>
            </w:r>
            <w:r w:rsidRPr="00295E71" w:rsidR="00075CD9">
              <w:rPr>
                <w:sz w:val="22"/>
                <w:szCs w:val="22"/>
              </w:rPr>
              <w:t>s</w:t>
            </w:r>
            <w:r w:rsidRPr="00295E71">
              <w:rPr>
                <w:sz w:val="22"/>
                <w:szCs w:val="22"/>
              </w:rPr>
              <w:t xml:space="preserve">ettimana 0 e 20 mg alla </w:t>
            </w:r>
            <w:r w:rsidRPr="00295E71" w:rsidR="00075CD9">
              <w:rPr>
                <w:sz w:val="22"/>
                <w:szCs w:val="22"/>
              </w:rPr>
              <w:t>s</w:t>
            </w:r>
            <w:r w:rsidRPr="00295E71">
              <w:rPr>
                <w:sz w:val="22"/>
                <w:szCs w:val="22"/>
              </w:rPr>
              <w:t>ettimana 2</w:t>
            </w:r>
          </w:p>
          <w:p w:rsidR="00F50C11" w:rsidRPr="00295E71" w:rsidP="003415FD" w14:paraId="40F89E0E" w14:textId="77777777">
            <w:pPr>
              <w:ind w:left="337"/>
              <w:rPr>
                <w:sz w:val="22"/>
                <w:szCs w:val="22"/>
              </w:rPr>
            </w:pPr>
          </w:p>
          <w:p w:rsidR="00F50C11" w:rsidRPr="00295E71" w:rsidP="003415FD" w14:paraId="1CD462D1" w14:textId="77777777">
            <w:pPr>
              <w:ind w:left="150"/>
              <w:rPr>
                <w:sz w:val="22"/>
                <w:szCs w:val="22"/>
              </w:rPr>
            </w:pPr>
            <w:r w:rsidRPr="00295E71">
              <w:rPr>
                <w:sz w:val="22"/>
                <w:szCs w:val="22"/>
              </w:rPr>
              <w:t>Nel caso sia necessaria una risposta più rapida alla terapia, con la consapevolezza che il rischio di eventi avversi possa aumentare con l’utilizzo della dose di induzione più alta, può essere somministrata la seguente dose:</w:t>
            </w:r>
          </w:p>
          <w:p w:rsidR="00F50C11" w:rsidRPr="00295E71" w:rsidP="00075CD9" w14:paraId="1ADFBCB3" w14:textId="77777777">
            <w:pPr>
              <w:numPr>
                <w:ilvl w:val="0"/>
                <w:numId w:val="130"/>
              </w:numPr>
              <w:ind w:left="307" w:hanging="180"/>
              <w:rPr>
                <w:iCs/>
                <w:sz w:val="22"/>
                <w:szCs w:val="22"/>
              </w:rPr>
            </w:pPr>
            <w:r w:rsidRPr="00295E71">
              <w:rPr>
                <w:sz w:val="22"/>
                <w:szCs w:val="22"/>
              </w:rPr>
              <w:t xml:space="preserve">80 mg alla </w:t>
            </w:r>
            <w:r w:rsidRPr="00295E71" w:rsidR="00075CD9">
              <w:rPr>
                <w:sz w:val="22"/>
                <w:szCs w:val="22"/>
              </w:rPr>
              <w:t>s</w:t>
            </w:r>
            <w:r w:rsidRPr="00295E71">
              <w:rPr>
                <w:sz w:val="22"/>
                <w:szCs w:val="22"/>
              </w:rPr>
              <w:t xml:space="preserve">ettimana 0 e 40 mg alla </w:t>
            </w:r>
            <w:r w:rsidRPr="00295E71" w:rsidR="00075CD9">
              <w:rPr>
                <w:sz w:val="22"/>
                <w:szCs w:val="22"/>
              </w:rPr>
              <w:t>s</w:t>
            </w:r>
            <w:r w:rsidRPr="00295E71">
              <w:rPr>
                <w:sz w:val="22"/>
                <w:szCs w:val="22"/>
              </w:rPr>
              <w:t>ettimana 2</w:t>
            </w:r>
          </w:p>
        </w:tc>
        <w:tc>
          <w:tcPr>
            <w:tcW w:w="0" w:type="auto"/>
            <w:tcBorders>
              <w:top w:val="single" w:sz="6" w:space="0" w:color="000000"/>
              <w:left w:val="single" w:sz="6" w:space="0" w:color="000000"/>
              <w:bottom w:val="single" w:sz="6" w:space="0" w:color="000000"/>
              <w:right w:val="single" w:sz="6" w:space="0" w:color="000000"/>
            </w:tcBorders>
            <w:hideMark/>
          </w:tcPr>
          <w:p w:rsidR="00F50C11" w:rsidRPr="00295E71" w:rsidP="003415FD" w14:paraId="1456F187" w14:textId="77777777">
            <w:pPr>
              <w:ind w:left="16"/>
              <w:jc w:val="center"/>
              <w:rPr>
                <w:sz w:val="22"/>
              </w:rPr>
            </w:pPr>
            <w:r w:rsidRPr="00295E71">
              <w:rPr>
                <w:sz w:val="22"/>
              </w:rPr>
              <w:t>20 mg a settimane alterne</w:t>
            </w:r>
          </w:p>
        </w:tc>
      </w:tr>
      <w:tr w14:paraId="31A2F00F" w14:textId="77777777" w:rsidTr="003415FD">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F50C11" w:rsidRPr="00295E71" w:rsidP="003415FD" w14:paraId="50874FE5" w14:textId="77777777">
            <w:pPr>
              <w:jc w:val="center"/>
              <w:rPr>
                <w:sz w:val="22"/>
              </w:rPr>
            </w:pPr>
            <w:r w:rsidRPr="00295E71">
              <w:rPr>
                <w:sz w:val="22"/>
              </w:rPr>
              <w:t>≥ 40 kg</w:t>
            </w:r>
          </w:p>
        </w:tc>
        <w:tc>
          <w:tcPr>
            <w:tcW w:w="0" w:type="auto"/>
            <w:tcBorders>
              <w:top w:val="single" w:sz="6" w:space="0" w:color="000000"/>
              <w:left w:val="single" w:sz="6" w:space="0" w:color="000000"/>
              <w:bottom w:val="single" w:sz="6" w:space="0" w:color="000000"/>
              <w:right w:val="single" w:sz="6" w:space="0" w:color="000000"/>
            </w:tcBorders>
            <w:hideMark/>
          </w:tcPr>
          <w:p w:rsidR="00F50C11" w:rsidRPr="00295E71" w:rsidP="003415FD" w14:paraId="7210D410" w14:textId="77777777">
            <w:pPr>
              <w:numPr>
                <w:ilvl w:val="0"/>
                <w:numId w:val="131"/>
              </w:numPr>
              <w:ind w:left="307" w:hanging="175"/>
              <w:rPr>
                <w:sz w:val="22"/>
                <w:szCs w:val="22"/>
              </w:rPr>
            </w:pPr>
            <w:r w:rsidRPr="00295E71">
              <w:rPr>
                <w:sz w:val="22"/>
                <w:szCs w:val="22"/>
              </w:rPr>
              <w:t>80 mg alla settimana 0 e 40 mg alla settimana 2</w:t>
            </w:r>
          </w:p>
          <w:p w:rsidR="00F50C11" w:rsidRPr="00295E71" w:rsidP="003415FD" w14:paraId="0AA45BC8" w14:textId="77777777">
            <w:pPr>
              <w:rPr>
                <w:sz w:val="22"/>
                <w:szCs w:val="22"/>
              </w:rPr>
            </w:pPr>
          </w:p>
          <w:p w:rsidR="00F50C11" w:rsidRPr="00295E71" w:rsidP="003415FD" w14:paraId="5E61C5C5" w14:textId="77777777">
            <w:pPr>
              <w:ind w:left="150"/>
              <w:rPr>
                <w:sz w:val="22"/>
                <w:szCs w:val="22"/>
              </w:rPr>
            </w:pPr>
            <w:r w:rsidRPr="00295E71">
              <w:rPr>
                <w:sz w:val="22"/>
                <w:szCs w:val="22"/>
              </w:rPr>
              <w:t>Nel caso sia necessaria una risposta più rapida alla terapia, con la consapevolezza che il rischio di eventi avversi possa aumentare con l’utilizzo della dose di induzione più alta, può essere somministrata la seguente dose:</w:t>
            </w:r>
          </w:p>
          <w:p w:rsidR="00F50C11" w:rsidRPr="00295E71" w:rsidP="00075CD9" w14:paraId="67ED06A8" w14:textId="77777777">
            <w:pPr>
              <w:numPr>
                <w:ilvl w:val="0"/>
                <w:numId w:val="129"/>
              </w:numPr>
              <w:ind w:left="314" w:hanging="187"/>
              <w:rPr>
                <w:sz w:val="22"/>
                <w:szCs w:val="22"/>
              </w:rPr>
            </w:pPr>
            <w:r w:rsidRPr="00295E71">
              <w:rPr>
                <w:sz w:val="22"/>
                <w:szCs w:val="22"/>
              </w:rPr>
              <w:t xml:space="preserve">160 mg alla </w:t>
            </w:r>
            <w:r w:rsidRPr="00295E71" w:rsidR="00075CD9">
              <w:rPr>
                <w:sz w:val="22"/>
                <w:szCs w:val="22"/>
              </w:rPr>
              <w:t>s</w:t>
            </w:r>
            <w:r w:rsidRPr="00295E71">
              <w:rPr>
                <w:sz w:val="22"/>
                <w:szCs w:val="22"/>
              </w:rPr>
              <w:t xml:space="preserve">ettimana 0 e 80 mg alla </w:t>
            </w:r>
            <w:r w:rsidRPr="00295E71" w:rsidR="00075CD9">
              <w:rPr>
                <w:sz w:val="22"/>
                <w:szCs w:val="22"/>
              </w:rPr>
              <w:t>s</w:t>
            </w:r>
            <w:r w:rsidRPr="00295E71">
              <w:rPr>
                <w:sz w:val="22"/>
                <w:szCs w:val="22"/>
              </w:rPr>
              <w:t>ettimana 2</w:t>
            </w:r>
          </w:p>
        </w:tc>
        <w:tc>
          <w:tcPr>
            <w:tcW w:w="0" w:type="auto"/>
            <w:tcBorders>
              <w:top w:val="single" w:sz="6" w:space="0" w:color="000000"/>
              <w:left w:val="single" w:sz="6" w:space="0" w:color="000000"/>
              <w:bottom w:val="single" w:sz="6" w:space="0" w:color="000000"/>
              <w:right w:val="single" w:sz="6" w:space="0" w:color="000000"/>
            </w:tcBorders>
            <w:hideMark/>
          </w:tcPr>
          <w:p w:rsidR="00F50C11" w:rsidRPr="00295E71" w:rsidP="003415FD" w14:paraId="0B25510C" w14:textId="77777777">
            <w:pPr>
              <w:ind w:left="16"/>
              <w:jc w:val="center"/>
              <w:rPr>
                <w:sz w:val="22"/>
              </w:rPr>
            </w:pPr>
            <w:r w:rsidRPr="00295E71">
              <w:rPr>
                <w:sz w:val="22"/>
              </w:rPr>
              <w:t>40 mg a settimane alterne</w:t>
            </w:r>
          </w:p>
        </w:tc>
      </w:tr>
    </w:tbl>
    <w:p w:rsidR="00F50C11" w:rsidRPr="00295E71" w:rsidP="00F50C11" w14:paraId="52E039DA" w14:textId="77777777">
      <w:pPr>
        <w:keepNext/>
        <w:rPr>
          <w:sz w:val="22"/>
        </w:rPr>
      </w:pPr>
    </w:p>
    <w:p w:rsidR="00F50C11" w:rsidRPr="00295E71" w:rsidP="00F50C11" w14:paraId="7F184831" w14:textId="77777777">
      <w:pPr>
        <w:keepNext/>
        <w:rPr>
          <w:sz w:val="22"/>
        </w:rPr>
      </w:pPr>
      <w:r w:rsidRPr="00295E71">
        <w:rPr>
          <w:sz w:val="22"/>
        </w:rPr>
        <w:t>Pazienti che manifestano una risposta insufficiente possono beneficiare di un incremento del dos</w:t>
      </w:r>
      <w:r w:rsidRPr="00295E71" w:rsidR="00181515">
        <w:rPr>
          <w:sz w:val="22"/>
        </w:rPr>
        <w:t>aggio</w:t>
      </w:r>
      <w:r w:rsidRPr="00295E71">
        <w:rPr>
          <w:sz w:val="22"/>
        </w:rPr>
        <w:t>:</w:t>
      </w:r>
    </w:p>
    <w:p w:rsidR="00F50C11" w:rsidRPr="00295E71" w:rsidP="00F50C11" w14:paraId="6196847F" w14:textId="77777777">
      <w:pPr>
        <w:keepNext/>
        <w:numPr>
          <w:ilvl w:val="0"/>
          <w:numId w:val="129"/>
        </w:numPr>
        <w:tabs>
          <w:tab w:val="left" w:pos="540"/>
        </w:tabs>
        <w:suppressAutoHyphens/>
        <w:ind w:left="540" w:hanging="540"/>
        <w:rPr>
          <w:sz w:val="22"/>
        </w:rPr>
      </w:pPr>
      <w:r w:rsidRPr="00295E71">
        <w:rPr>
          <w:sz w:val="22"/>
        </w:rPr>
        <w:t>&lt; 40 kg: 20 mg ogni settimana</w:t>
      </w:r>
    </w:p>
    <w:p w:rsidR="00F50C11" w:rsidRPr="00295E71" w:rsidP="00F50C11" w14:paraId="6665F059" w14:textId="77777777">
      <w:pPr>
        <w:keepNext/>
        <w:numPr>
          <w:ilvl w:val="0"/>
          <w:numId w:val="129"/>
        </w:numPr>
        <w:tabs>
          <w:tab w:val="left" w:pos="540"/>
        </w:tabs>
        <w:suppressAutoHyphens/>
        <w:ind w:left="540" w:hanging="540"/>
        <w:rPr>
          <w:sz w:val="22"/>
        </w:rPr>
      </w:pPr>
      <w:r w:rsidRPr="00295E71">
        <w:rPr>
          <w:sz w:val="22"/>
        </w:rPr>
        <w:t>≥ 40 kg: 40 mg ogni settimana</w:t>
      </w:r>
      <w:r w:rsidRPr="00295E71" w:rsidR="00181515">
        <w:rPr>
          <w:sz w:val="22"/>
        </w:rPr>
        <w:t xml:space="preserve"> </w:t>
      </w:r>
      <w:r w:rsidRPr="00295E71" w:rsidR="00181515">
        <w:rPr>
          <w:sz w:val="22"/>
          <w:szCs w:val="22"/>
        </w:rPr>
        <w:t>o 80 mg a settimane alterne</w:t>
      </w:r>
    </w:p>
    <w:p w:rsidR="006224C2" w:rsidRPr="00295E71" w14:paraId="6FC27BF8" w14:textId="77777777">
      <w:pPr>
        <w:tabs>
          <w:tab w:val="left" w:pos="567"/>
        </w:tabs>
        <w:jc w:val="both"/>
        <w:rPr>
          <w:sz w:val="22"/>
          <w:szCs w:val="22"/>
        </w:rPr>
      </w:pPr>
    </w:p>
    <w:p w:rsidR="006224C2" w14:paraId="131AB9AE" w14:textId="77777777">
      <w:pPr>
        <w:tabs>
          <w:tab w:val="left" w:pos="567"/>
        </w:tabs>
        <w:jc w:val="both"/>
        <w:rPr>
          <w:sz w:val="22"/>
          <w:szCs w:val="22"/>
        </w:rPr>
      </w:pPr>
      <w:r w:rsidRPr="00295E71">
        <w:rPr>
          <w:sz w:val="22"/>
          <w:szCs w:val="22"/>
        </w:rPr>
        <w:t>La</w:t>
      </w:r>
      <w:r w:rsidRPr="00295E71" w:rsidR="003A68D3">
        <w:rPr>
          <w:sz w:val="22"/>
          <w:szCs w:val="22"/>
        </w:rPr>
        <w:t xml:space="preserve"> continuazione della</w:t>
      </w:r>
      <w:r w:rsidRPr="00295E71">
        <w:rPr>
          <w:sz w:val="22"/>
          <w:szCs w:val="22"/>
        </w:rPr>
        <w:t xml:space="preserve"> terapia deve essere attentamente considerata in un soggetto che non risponde alla settimana 12.</w:t>
      </w:r>
    </w:p>
    <w:p w:rsidR="008A4D5A" w:rsidRPr="00020442" w:rsidP="008A4D5A" w14:paraId="035200F0" w14:textId="77777777">
      <w:pPr>
        <w:tabs>
          <w:tab w:val="left" w:pos="567"/>
        </w:tabs>
        <w:jc w:val="both"/>
        <w:rPr>
          <w:sz w:val="22"/>
          <w:szCs w:val="22"/>
        </w:rPr>
      </w:pPr>
    </w:p>
    <w:p w:rsidR="008A4D5A" w:rsidRPr="00295E71" w:rsidP="008A4D5A" w14:paraId="7BFA978E" w14:textId="77777777">
      <w:pPr>
        <w:tabs>
          <w:tab w:val="left" w:pos="567"/>
        </w:tabs>
        <w:jc w:val="both"/>
        <w:rPr>
          <w:sz w:val="22"/>
          <w:szCs w:val="22"/>
        </w:rPr>
      </w:pPr>
      <w:r w:rsidRPr="00020442">
        <w:rPr>
          <w:sz w:val="22"/>
          <w:szCs w:val="22"/>
        </w:rPr>
        <w:t>Humira può essere disponibile in altre concentrazioni e/o presentazioni a seconda delle necessità individuali di trattamento.</w:t>
      </w:r>
    </w:p>
    <w:p w:rsidR="006224C2" w:rsidRPr="00295E71" w14:paraId="57950E69" w14:textId="77777777">
      <w:pPr>
        <w:tabs>
          <w:tab w:val="left" w:pos="567"/>
        </w:tabs>
        <w:jc w:val="both"/>
        <w:rPr>
          <w:sz w:val="22"/>
          <w:szCs w:val="22"/>
        </w:rPr>
      </w:pPr>
    </w:p>
    <w:p w:rsidR="006224C2" w:rsidRPr="00295E71" w14:paraId="0C56AB3D" w14:textId="77777777">
      <w:pPr>
        <w:tabs>
          <w:tab w:val="left" w:pos="567"/>
        </w:tabs>
        <w:jc w:val="both"/>
        <w:rPr>
          <w:sz w:val="22"/>
          <w:szCs w:val="22"/>
        </w:rPr>
      </w:pPr>
      <w:r w:rsidRPr="00295E71">
        <w:rPr>
          <w:sz w:val="22"/>
          <w:szCs w:val="22"/>
        </w:rPr>
        <w:t xml:space="preserve">Non c’è un uso rilevante di Humira nei bambini di </w:t>
      </w:r>
      <w:r w:rsidRPr="00295E71" w:rsidR="00F50C11">
        <w:rPr>
          <w:sz w:val="22"/>
          <w:szCs w:val="22"/>
        </w:rPr>
        <w:t xml:space="preserve">età inferiore ai </w:t>
      </w:r>
      <w:r w:rsidRPr="00295E71">
        <w:rPr>
          <w:sz w:val="22"/>
          <w:szCs w:val="22"/>
        </w:rPr>
        <w:t>6 anni per questa indicazione.</w:t>
      </w:r>
    </w:p>
    <w:p w:rsidR="006224C2" w:rsidRPr="00295E71" w14:paraId="73F3F582" w14:textId="77777777">
      <w:pPr>
        <w:tabs>
          <w:tab w:val="left" w:pos="567"/>
        </w:tabs>
        <w:jc w:val="both"/>
        <w:rPr>
          <w:sz w:val="22"/>
          <w:szCs w:val="22"/>
        </w:rPr>
      </w:pPr>
    </w:p>
    <w:p w:rsidR="00800CE0" w:rsidRPr="00612824" w:rsidP="00800CE0" w14:paraId="711E7ED3" w14:textId="77777777">
      <w:pPr>
        <w:rPr>
          <w:b/>
          <w:bCs/>
          <w:iCs/>
          <w:sz w:val="22"/>
          <w:szCs w:val="22"/>
        </w:rPr>
      </w:pPr>
      <w:r w:rsidRPr="00612824">
        <w:rPr>
          <w:i/>
          <w:sz w:val="22"/>
          <w:szCs w:val="22"/>
        </w:rPr>
        <w:t>Colite ulcerosa pediatrica</w:t>
      </w:r>
      <w:r w:rsidRPr="00612824">
        <w:rPr>
          <w:b/>
          <w:sz w:val="22"/>
          <w:szCs w:val="22"/>
        </w:rPr>
        <w:t xml:space="preserve"> </w:t>
      </w:r>
    </w:p>
    <w:p w:rsidR="00800CE0" w:rsidRPr="00612824" w:rsidP="00800CE0" w14:paraId="39F45592" w14:textId="77777777">
      <w:pPr>
        <w:rPr>
          <w:sz w:val="22"/>
          <w:szCs w:val="22"/>
        </w:rPr>
      </w:pPr>
    </w:p>
    <w:p w:rsidR="00800CE0" w:rsidRPr="00612824" w:rsidP="00800CE0" w14:paraId="6D8391AF" w14:textId="77777777">
      <w:pPr>
        <w:rPr>
          <w:sz w:val="22"/>
          <w:szCs w:val="22"/>
        </w:rPr>
      </w:pPr>
      <w:r w:rsidRPr="00612824">
        <w:rPr>
          <w:sz w:val="22"/>
          <w:szCs w:val="22"/>
        </w:rPr>
        <w:t xml:space="preserve">La dose raccomandata di Humira per i pazienti di età compresa tra 6 e 17 anni </w:t>
      </w:r>
      <w:r w:rsidR="00284D9A">
        <w:rPr>
          <w:sz w:val="22"/>
          <w:szCs w:val="22"/>
        </w:rPr>
        <w:t>affetti da</w:t>
      </w:r>
      <w:r w:rsidRPr="00612824">
        <w:rPr>
          <w:sz w:val="22"/>
          <w:szCs w:val="22"/>
        </w:rPr>
        <w:t xml:space="preserve"> colite ulcerosa </w:t>
      </w:r>
      <w:r w:rsidR="003E0627">
        <w:rPr>
          <w:sz w:val="22"/>
          <w:szCs w:val="22"/>
        </w:rPr>
        <w:t>è basata</w:t>
      </w:r>
      <w:r w:rsidRPr="00612824">
        <w:rPr>
          <w:sz w:val="22"/>
          <w:szCs w:val="22"/>
        </w:rPr>
        <w:t xml:space="preserve"> sul peso corporeo (Tabella </w:t>
      </w:r>
      <w:r w:rsidR="00F51FBC">
        <w:rPr>
          <w:sz w:val="22"/>
          <w:szCs w:val="22"/>
        </w:rPr>
        <w:t>2</w:t>
      </w:r>
      <w:r w:rsidRPr="00612824">
        <w:rPr>
          <w:sz w:val="22"/>
          <w:szCs w:val="22"/>
        </w:rPr>
        <w:t xml:space="preserve">). Humira </w:t>
      </w:r>
      <w:r w:rsidR="003E0627">
        <w:rPr>
          <w:sz w:val="22"/>
          <w:szCs w:val="22"/>
        </w:rPr>
        <w:t xml:space="preserve">è </w:t>
      </w:r>
      <w:r w:rsidRPr="00612824">
        <w:rPr>
          <w:sz w:val="22"/>
          <w:szCs w:val="22"/>
        </w:rPr>
        <w:t xml:space="preserve">somministrato mediante iniezione sottocutanea. </w:t>
      </w:r>
    </w:p>
    <w:p w:rsidR="00800CE0" w:rsidRPr="00612824" w:rsidP="00800CE0" w14:paraId="6B78E9FF" w14:textId="77777777">
      <w:pPr>
        <w:rPr>
          <w:sz w:val="22"/>
          <w:szCs w:val="22"/>
        </w:rPr>
      </w:pPr>
    </w:p>
    <w:p w:rsidR="00800CE0" w:rsidRPr="00612824" w:rsidP="00296E2B" w14:paraId="18B5CC8E" w14:textId="77777777">
      <w:pPr>
        <w:keepNext/>
        <w:jc w:val="center"/>
        <w:rPr>
          <w:sz w:val="22"/>
          <w:szCs w:val="22"/>
        </w:rPr>
      </w:pPr>
      <w:r w:rsidRPr="00612824">
        <w:rPr>
          <w:b/>
          <w:sz w:val="22"/>
          <w:szCs w:val="22"/>
        </w:rPr>
        <w:t xml:space="preserve">Tabella </w:t>
      </w:r>
      <w:r w:rsidR="00F51FBC">
        <w:rPr>
          <w:b/>
          <w:sz w:val="22"/>
          <w:szCs w:val="22"/>
        </w:rPr>
        <w:t>2</w:t>
      </w:r>
      <w:r w:rsidRPr="00612824">
        <w:rPr>
          <w:b/>
          <w:sz w:val="22"/>
          <w:szCs w:val="22"/>
        </w:rPr>
        <w:t xml:space="preserve">. Dose di </w:t>
      </w:r>
      <w:r w:rsidR="003E0627">
        <w:rPr>
          <w:b/>
          <w:sz w:val="22"/>
          <w:szCs w:val="22"/>
        </w:rPr>
        <w:t>H</w:t>
      </w:r>
      <w:r w:rsidRPr="00612824">
        <w:rPr>
          <w:b/>
          <w:sz w:val="22"/>
          <w:szCs w:val="22"/>
        </w:rPr>
        <w:t xml:space="preserve">umira per </w:t>
      </w:r>
      <w:r w:rsidR="003E0627">
        <w:rPr>
          <w:b/>
          <w:sz w:val="22"/>
          <w:szCs w:val="22"/>
        </w:rPr>
        <w:t>P</w:t>
      </w:r>
      <w:r w:rsidRPr="00612824">
        <w:rPr>
          <w:b/>
          <w:sz w:val="22"/>
          <w:szCs w:val="22"/>
        </w:rPr>
        <w:t xml:space="preserve">azienti </w:t>
      </w:r>
      <w:r w:rsidR="003E0627">
        <w:rPr>
          <w:b/>
          <w:sz w:val="22"/>
          <w:szCs w:val="22"/>
        </w:rPr>
        <w:t>P</w:t>
      </w:r>
      <w:r w:rsidRPr="00612824">
        <w:rPr>
          <w:b/>
          <w:sz w:val="22"/>
          <w:szCs w:val="22"/>
        </w:rPr>
        <w:t xml:space="preserve">ediatrici con </w:t>
      </w:r>
      <w:r w:rsidR="003E0627">
        <w:rPr>
          <w:b/>
          <w:sz w:val="22"/>
          <w:szCs w:val="22"/>
        </w:rPr>
        <w:t>C</w:t>
      </w:r>
      <w:r w:rsidRPr="00612824">
        <w:rPr>
          <w:b/>
          <w:sz w:val="22"/>
          <w:szCs w:val="22"/>
        </w:rPr>
        <w:t xml:space="preserve">olite </w:t>
      </w:r>
      <w:r w:rsidR="003E0627">
        <w:rPr>
          <w:b/>
          <w:sz w:val="22"/>
          <w:szCs w:val="22"/>
        </w:rPr>
        <w:t>U</w:t>
      </w:r>
      <w:r w:rsidRPr="00612824">
        <w:rPr>
          <w:b/>
          <w:sz w:val="22"/>
          <w:szCs w:val="22"/>
        </w:rPr>
        <w:t xml:space="preserve">lcerosa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05"/>
        <w:gridCol w:w="3321"/>
        <w:gridCol w:w="3157"/>
      </w:tblGrid>
      <w:tr w14:paraId="41C0FB27" w14:textId="77777777" w:rsidTr="004E19B6">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vAlign w:val="center"/>
            <w:hideMark/>
          </w:tcPr>
          <w:p w:rsidR="00800CE0" w:rsidRPr="00612824" w:rsidP="00612824" w14:paraId="1175333D" w14:textId="77777777">
            <w:pPr>
              <w:keepNext/>
              <w:jc w:val="center"/>
              <w:rPr>
                <w:b/>
                <w:sz w:val="22"/>
                <w:szCs w:val="22"/>
              </w:rPr>
            </w:pPr>
            <w:r w:rsidRPr="00612824">
              <w:rPr>
                <w:b/>
                <w:sz w:val="22"/>
                <w:szCs w:val="22"/>
              </w:rPr>
              <w:t>Peso del paziente</w:t>
            </w:r>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800CE0" w:rsidRPr="00612824" w:rsidP="00612824" w14:paraId="583B61DB" w14:textId="77777777">
            <w:pPr>
              <w:keepNext/>
              <w:jc w:val="center"/>
              <w:rPr>
                <w:b/>
                <w:sz w:val="22"/>
                <w:szCs w:val="22"/>
              </w:rPr>
            </w:pPr>
            <w:r w:rsidRPr="00612824">
              <w:rPr>
                <w:b/>
                <w:sz w:val="22"/>
                <w:szCs w:val="22"/>
              </w:rPr>
              <w:t xml:space="preserve">Dose di </w:t>
            </w:r>
            <w:r w:rsidR="003E0627">
              <w:rPr>
                <w:b/>
                <w:sz w:val="22"/>
                <w:szCs w:val="22"/>
              </w:rPr>
              <w:t>I</w:t>
            </w:r>
            <w:r w:rsidRPr="00612824">
              <w:rPr>
                <w:b/>
                <w:sz w:val="22"/>
                <w:szCs w:val="22"/>
              </w:rPr>
              <w:t>nduzione</w:t>
            </w:r>
          </w:p>
        </w:tc>
        <w:tc>
          <w:tcPr>
            <w:tcW w:w="1906" w:type="pct"/>
            <w:tcBorders>
              <w:top w:val="single" w:sz="6" w:space="0" w:color="000000"/>
              <w:left w:val="single" w:sz="6" w:space="0" w:color="000000"/>
              <w:bottom w:val="single" w:sz="6" w:space="0" w:color="000000"/>
              <w:right w:val="single" w:sz="6" w:space="0" w:color="000000"/>
            </w:tcBorders>
            <w:hideMark/>
          </w:tcPr>
          <w:p w:rsidR="00800CE0" w:rsidRPr="00612824" w:rsidP="00612824" w14:paraId="7925FF53" w14:textId="77777777">
            <w:pPr>
              <w:keepNext/>
              <w:jc w:val="center"/>
              <w:rPr>
                <w:b/>
                <w:sz w:val="22"/>
                <w:szCs w:val="22"/>
              </w:rPr>
            </w:pPr>
            <w:r w:rsidRPr="00612824">
              <w:rPr>
                <w:b/>
                <w:sz w:val="22"/>
                <w:szCs w:val="22"/>
              </w:rPr>
              <w:t xml:space="preserve">Dose di </w:t>
            </w:r>
            <w:r w:rsidR="003E0627">
              <w:rPr>
                <w:b/>
                <w:sz w:val="22"/>
                <w:szCs w:val="22"/>
              </w:rPr>
              <w:t>M</w:t>
            </w:r>
            <w:r w:rsidRPr="00612824">
              <w:rPr>
                <w:b/>
                <w:sz w:val="22"/>
                <w:szCs w:val="22"/>
              </w:rPr>
              <w:t>antenimento</w:t>
            </w:r>
            <w:r w:rsidRPr="00612824">
              <w:rPr>
                <w:b/>
                <w:sz w:val="22"/>
                <w:szCs w:val="22"/>
              </w:rPr>
              <w:br/>
              <w:t xml:space="preserve">a partire dalla </w:t>
            </w:r>
            <w:r w:rsidR="003E0627">
              <w:rPr>
                <w:b/>
                <w:sz w:val="22"/>
                <w:szCs w:val="22"/>
              </w:rPr>
              <w:t>S</w:t>
            </w:r>
            <w:r w:rsidRPr="00612824">
              <w:rPr>
                <w:b/>
                <w:sz w:val="22"/>
                <w:szCs w:val="22"/>
              </w:rPr>
              <w:t>ettimana 4*</w:t>
            </w:r>
          </w:p>
        </w:tc>
      </w:tr>
      <w:tr w14:paraId="71254978" w14:textId="77777777" w:rsidTr="004E19B6">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800CE0" w:rsidRPr="00612824" w:rsidP="004E19B6" w14:paraId="236FE581" w14:textId="77777777">
            <w:pPr>
              <w:jc w:val="center"/>
              <w:rPr>
                <w:sz w:val="22"/>
                <w:szCs w:val="22"/>
              </w:rPr>
            </w:pPr>
            <w:r w:rsidRPr="00612824">
              <w:rPr>
                <w:sz w:val="22"/>
                <w:szCs w:val="22"/>
              </w:rPr>
              <w:t>&lt;40 kg</w:t>
            </w:r>
          </w:p>
        </w:tc>
        <w:tc>
          <w:tcPr>
            <w:tcW w:w="2005" w:type="pct"/>
            <w:tcBorders>
              <w:top w:val="single" w:sz="6" w:space="0" w:color="000000"/>
              <w:left w:val="single" w:sz="6" w:space="0" w:color="000000"/>
              <w:bottom w:val="single" w:sz="6" w:space="0" w:color="000000"/>
              <w:right w:val="single" w:sz="6" w:space="0" w:color="000000"/>
            </w:tcBorders>
            <w:hideMark/>
          </w:tcPr>
          <w:p w:rsidR="00800CE0" w:rsidRPr="00612824" w:rsidP="00800CE0" w14:paraId="16C453A4" w14:textId="77777777">
            <w:pPr>
              <w:numPr>
                <w:ilvl w:val="0"/>
                <w:numId w:val="154"/>
              </w:numPr>
              <w:ind w:left="360" w:hanging="210"/>
              <w:rPr>
                <w:sz w:val="22"/>
                <w:szCs w:val="22"/>
              </w:rPr>
            </w:pPr>
            <w:r w:rsidRPr="00612824">
              <w:rPr>
                <w:sz w:val="22"/>
                <w:szCs w:val="22"/>
              </w:rPr>
              <w:t>80 mg alla Settimana 0 (somministrati con una sola iniezione da 80 mg) e</w:t>
            </w:r>
          </w:p>
          <w:p w:rsidR="00800CE0" w:rsidRPr="00612824" w:rsidP="00800CE0" w14:paraId="04C982E3" w14:textId="77777777">
            <w:pPr>
              <w:numPr>
                <w:ilvl w:val="0"/>
                <w:numId w:val="154"/>
              </w:numPr>
              <w:ind w:left="360" w:hanging="210"/>
              <w:rPr>
                <w:sz w:val="22"/>
                <w:szCs w:val="22"/>
              </w:rPr>
            </w:pPr>
            <w:r w:rsidRPr="00612824">
              <w:rPr>
                <w:sz w:val="22"/>
                <w:szCs w:val="22"/>
              </w:rPr>
              <w:t>40 mg alla Settimana 2 (somministrati con una sola iniezione da 40 mg)</w:t>
            </w:r>
          </w:p>
        </w:tc>
        <w:tc>
          <w:tcPr>
            <w:tcW w:w="1906" w:type="pct"/>
            <w:tcBorders>
              <w:top w:val="single" w:sz="6" w:space="0" w:color="000000"/>
              <w:left w:val="single" w:sz="6" w:space="0" w:color="000000"/>
              <w:bottom w:val="single" w:sz="6" w:space="0" w:color="000000"/>
              <w:right w:val="single" w:sz="6" w:space="0" w:color="000000"/>
            </w:tcBorders>
            <w:hideMark/>
          </w:tcPr>
          <w:p w:rsidR="00800CE0" w:rsidRPr="00612824" w:rsidP="00800CE0" w14:paraId="41AEFCCE" w14:textId="77777777">
            <w:pPr>
              <w:numPr>
                <w:ilvl w:val="0"/>
                <w:numId w:val="154"/>
              </w:numPr>
              <w:ind w:left="360" w:hanging="210"/>
              <w:rPr>
                <w:sz w:val="22"/>
                <w:szCs w:val="22"/>
              </w:rPr>
            </w:pPr>
            <w:r w:rsidRPr="00612824">
              <w:rPr>
                <w:sz w:val="22"/>
                <w:szCs w:val="22"/>
              </w:rPr>
              <w:t xml:space="preserve">40 mg </w:t>
            </w:r>
            <w:r w:rsidRPr="00612824" w:rsidR="00E54E1B">
              <w:rPr>
                <w:sz w:val="22"/>
                <w:szCs w:val="22"/>
              </w:rPr>
              <w:t>a settimane alterne</w:t>
            </w:r>
          </w:p>
        </w:tc>
      </w:tr>
      <w:tr w14:paraId="360AEF95" w14:textId="77777777" w:rsidTr="004E19B6">
        <w:tblPrEx>
          <w:tblW w:w="4574" w:type="pct"/>
          <w:tblLook w:val="04A0"/>
        </w:tblPrEx>
        <w:tc>
          <w:tcPr>
            <w:tcW w:w="0" w:type="auto"/>
            <w:tcBorders>
              <w:top w:val="single" w:sz="6" w:space="0" w:color="000000"/>
              <w:left w:val="single" w:sz="6" w:space="0" w:color="000000"/>
              <w:bottom w:val="single" w:sz="4" w:space="0" w:color="auto"/>
              <w:right w:val="single" w:sz="6" w:space="0" w:color="000000"/>
            </w:tcBorders>
            <w:hideMark/>
          </w:tcPr>
          <w:p w:rsidR="00800CE0" w:rsidRPr="00612824" w:rsidP="004E19B6" w14:paraId="3E806A3E" w14:textId="77777777">
            <w:pPr>
              <w:jc w:val="center"/>
              <w:rPr>
                <w:sz w:val="22"/>
                <w:szCs w:val="22"/>
              </w:rPr>
            </w:pPr>
            <w:r w:rsidRPr="00612824">
              <w:rPr>
                <w:sz w:val="22"/>
                <w:szCs w:val="22"/>
              </w:rPr>
              <w:t>≥40 kg</w:t>
            </w:r>
          </w:p>
        </w:tc>
        <w:tc>
          <w:tcPr>
            <w:tcW w:w="2005" w:type="pct"/>
            <w:tcBorders>
              <w:top w:val="single" w:sz="6" w:space="0" w:color="000000"/>
              <w:left w:val="single" w:sz="6" w:space="0" w:color="000000"/>
              <w:bottom w:val="single" w:sz="4" w:space="0" w:color="auto"/>
              <w:right w:val="single" w:sz="6" w:space="0" w:color="000000"/>
            </w:tcBorders>
            <w:hideMark/>
          </w:tcPr>
          <w:p w:rsidR="00800CE0" w:rsidRPr="00612824" w:rsidP="00800CE0" w14:paraId="5F78AADB" w14:textId="77777777">
            <w:pPr>
              <w:numPr>
                <w:ilvl w:val="0"/>
                <w:numId w:val="155"/>
              </w:numPr>
              <w:ind w:left="360" w:hanging="210"/>
              <w:rPr>
                <w:sz w:val="22"/>
                <w:szCs w:val="22"/>
              </w:rPr>
            </w:pPr>
            <w:r w:rsidRPr="00612824">
              <w:rPr>
                <w:sz w:val="22"/>
                <w:szCs w:val="22"/>
              </w:rPr>
              <w:t>160 mg alla Settimana 0 (somministrati con due iniezioni da 80 mg in un giorno o una iniezione da 80 mg al giorno per due giorni consecutivi) e</w:t>
            </w:r>
          </w:p>
          <w:p w:rsidR="00800CE0" w:rsidRPr="00612824" w:rsidP="00800CE0" w14:paraId="333F87B3" w14:textId="77777777">
            <w:pPr>
              <w:numPr>
                <w:ilvl w:val="0"/>
                <w:numId w:val="155"/>
              </w:numPr>
              <w:ind w:left="360" w:hanging="210"/>
              <w:rPr>
                <w:sz w:val="22"/>
                <w:szCs w:val="22"/>
              </w:rPr>
            </w:pPr>
            <w:r w:rsidRPr="00612824">
              <w:rPr>
                <w:sz w:val="22"/>
                <w:szCs w:val="22"/>
              </w:rPr>
              <w:t>80 mg alla Settimana 2 (somministrati con una sola iniezione da 80 mg)</w:t>
            </w:r>
          </w:p>
        </w:tc>
        <w:tc>
          <w:tcPr>
            <w:tcW w:w="1906" w:type="pct"/>
            <w:tcBorders>
              <w:top w:val="single" w:sz="6" w:space="0" w:color="000000"/>
              <w:left w:val="single" w:sz="6" w:space="0" w:color="000000"/>
              <w:bottom w:val="single" w:sz="4" w:space="0" w:color="auto"/>
              <w:right w:val="single" w:sz="6" w:space="0" w:color="000000"/>
            </w:tcBorders>
            <w:hideMark/>
          </w:tcPr>
          <w:p w:rsidR="00800CE0" w:rsidRPr="00612824" w:rsidP="00800CE0" w14:paraId="2745A656" w14:textId="77777777">
            <w:pPr>
              <w:numPr>
                <w:ilvl w:val="0"/>
                <w:numId w:val="154"/>
              </w:numPr>
              <w:ind w:left="360" w:hanging="210"/>
              <w:rPr>
                <w:sz w:val="22"/>
                <w:szCs w:val="22"/>
              </w:rPr>
            </w:pPr>
            <w:r w:rsidRPr="00612824">
              <w:rPr>
                <w:sz w:val="22"/>
                <w:szCs w:val="22"/>
              </w:rPr>
              <w:t xml:space="preserve">80 mg </w:t>
            </w:r>
            <w:r w:rsidRPr="00612824" w:rsidR="00E54E1B">
              <w:rPr>
                <w:sz w:val="22"/>
                <w:szCs w:val="22"/>
              </w:rPr>
              <w:t>a settimane alterne</w:t>
            </w:r>
          </w:p>
        </w:tc>
      </w:tr>
      <w:tr w14:paraId="0267F37E" w14:textId="77777777" w:rsidTr="004E19B6">
        <w:tblPrEx>
          <w:tblW w:w="4574" w:type="pct"/>
          <w:tblLook w:val="04A0"/>
        </w:tblPrEx>
        <w:tc>
          <w:tcPr>
            <w:tcW w:w="5000" w:type="pct"/>
            <w:gridSpan w:val="3"/>
            <w:tcBorders>
              <w:top w:val="single" w:sz="4" w:space="0" w:color="auto"/>
              <w:left w:val="nil"/>
              <w:bottom w:val="nil"/>
              <w:right w:val="nil"/>
            </w:tcBorders>
          </w:tcPr>
          <w:p w:rsidR="00800CE0" w:rsidRPr="00612824" w:rsidP="004E19B6" w14:paraId="5C9605C3" w14:textId="77777777">
            <w:pPr>
              <w:rPr>
                <w:sz w:val="22"/>
                <w:szCs w:val="22"/>
              </w:rPr>
            </w:pPr>
            <w:r w:rsidRPr="00612824">
              <w:rPr>
                <w:sz w:val="22"/>
                <w:szCs w:val="22"/>
                <w:vertAlign w:val="superscript"/>
              </w:rPr>
              <w:t xml:space="preserve">* </w:t>
            </w:r>
            <w:r w:rsidRPr="00612824">
              <w:rPr>
                <w:sz w:val="22"/>
                <w:szCs w:val="22"/>
              </w:rPr>
              <w:t>I pazienti pediatrici che compiono 18 anni di età durante il trattamento con Humira devono continuare la dose di mantenimento prescritta.</w:t>
            </w:r>
          </w:p>
        </w:tc>
      </w:tr>
    </w:tbl>
    <w:p w:rsidR="00800CE0" w:rsidRPr="00612824" w:rsidP="00800CE0" w14:paraId="68F4E098" w14:textId="77777777">
      <w:pPr>
        <w:pStyle w:val="gtctablespaceafter"/>
        <w:numPr>
          <w:ilvl w:val="0"/>
          <w:numId w:val="156"/>
        </w:numPr>
        <w:spacing w:after="0"/>
        <w:rPr>
          <w:sz w:val="22"/>
          <w:szCs w:val="22"/>
          <w:lang w:val="it-IT"/>
        </w:rPr>
      </w:pPr>
    </w:p>
    <w:p w:rsidR="00800CE0" w:rsidRPr="00612824" w:rsidP="00800CE0" w14:paraId="15590D6D" w14:textId="77777777">
      <w:pPr>
        <w:rPr>
          <w:sz w:val="22"/>
          <w:szCs w:val="22"/>
        </w:rPr>
      </w:pPr>
      <w:r w:rsidRPr="00612824">
        <w:rPr>
          <w:sz w:val="22"/>
          <w:szCs w:val="22"/>
        </w:rPr>
        <w:t>La continuazione della terapia oltre le 8 settimane deve essere attentamente considerata nei pazienti che non mostrano segni di risposta entro questo periodo di tempo.</w:t>
      </w:r>
    </w:p>
    <w:p w:rsidR="00800CE0" w:rsidRPr="00612824" w:rsidP="00800CE0" w14:paraId="1464CFCA" w14:textId="77777777">
      <w:pPr>
        <w:rPr>
          <w:sz w:val="22"/>
          <w:szCs w:val="22"/>
        </w:rPr>
      </w:pPr>
    </w:p>
    <w:p w:rsidR="003E0627" w:rsidP="003E0627" w14:paraId="7A842CE8" w14:textId="77777777">
      <w:pPr>
        <w:tabs>
          <w:tab w:val="left" w:pos="567"/>
          <w:tab w:val="right" w:pos="9070"/>
        </w:tabs>
        <w:jc w:val="both"/>
        <w:rPr>
          <w:sz w:val="22"/>
          <w:szCs w:val="22"/>
        </w:rPr>
      </w:pPr>
      <w:r>
        <w:rPr>
          <w:sz w:val="22"/>
          <w:szCs w:val="22"/>
        </w:rPr>
        <w:t>Non c’è un uso rilevante di Humira nei bambini di età inferiore a 6 anni per questa indicazione.</w:t>
      </w:r>
    </w:p>
    <w:p w:rsidR="00800CE0" w:rsidRPr="00612824" w:rsidP="00800CE0" w14:paraId="3BBBA6C9" w14:textId="77777777">
      <w:pPr>
        <w:rPr>
          <w:sz w:val="22"/>
          <w:szCs w:val="22"/>
        </w:rPr>
      </w:pPr>
    </w:p>
    <w:p w:rsidR="00800CE0" w:rsidRPr="00293FFC" w:rsidP="00800CE0" w14:paraId="28FA3314" w14:textId="77777777">
      <w:pPr>
        <w:rPr>
          <w:sz w:val="22"/>
          <w:szCs w:val="22"/>
        </w:rPr>
      </w:pPr>
      <w:r w:rsidRPr="00293FFC">
        <w:rPr>
          <w:sz w:val="22"/>
          <w:szCs w:val="22"/>
        </w:rPr>
        <w:t>Humira può essere disponibile in diverse concentrazioni e/o presentazioni a seconda delle necessità individuali di trattamento. </w:t>
      </w:r>
    </w:p>
    <w:p w:rsidR="00800CE0" w:rsidRPr="00293FFC" w14:paraId="218659BD" w14:textId="77777777">
      <w:pPr>
        <w:tabs>
          <w:tab w:val="left" w:pos="567"/>
          <w:tab w:val="right" w:pos="9070"/>
        </w:tabs>
        <w:jc w:val="both"/>
        <w:rPr>
          <w:i/>
          <w:sz w:val="22"/>
          <w:szCs w:val="22"/>
        </w:rPr>
      </w:pPr>
    </w:p>
    <w:p w:rsidR="006224C2" w:rsidRPr="00293FFC" w14:paraId="3A2D6879" w14:textId="77777777">
      <w:pPr>
        <w:tabs>
          <w:tab w:val="left" w:pos="567"/>
          <w:tab w:val="right" w:pos="9070"/>
        </w:tabs>
        <w:jc w:val="both"/>
        <w:rPr>
          <w:i/>
          <w:sz w:val="22"/>
          <w:szCs w:val="22"/>
        </w:rPr>
      </w:pPr>
      <w:r w:rsidRPr="00293FFC">
        <w:rPr>
          <w:i/>
          <w:sz w:val="22"/>
          <w:szCs w:val="22"/>
        </w:rPr>
        <w:t>Uveite pediatrica</w:t>
      </w:r>
    </w:p>
    <w:p w:rsidR="006224C2" w:rsidRPr="00293FFC" w14:paraId="7B0DC85D" w14:textId="77777777">
      <w:pPr>
        <w:tabs>
          <w:tab w:val="left" w:pos="567"/>
          <w:tab w:val="right" w:pos="9070"/>
        </w:tabs>
        <w:jc w:val="both"/>
        <w:rPr>
          <w:sz w:val="22"/>
          <w:szCs w:val="22"/>
        </w:rPr>
      </w:pPr>
    </w:p>
    <w:p w:rsidR="00F50C11" w:rsidRPr="00293FFC" w:rsidP="00F50C11" w14:paraId="5ACC92E4" w14:textId="77777777">
      <w:pPr>
        <w:pStyle w:val="gtcbodytext"/>
        <w:spacing w:before="0" w:after="0" w:line="240" w:lineRule="auto"/>
        <w:jc w:val="both"/>
        <w:rPr>
          <w:sz w:val="22"/>
          <w:szCs w:val="22"/>
          <w:lang w:val="it-IT"/>
        </w:rPr>
      </w:pPr>
      <w:r w:rsidRPr="00293FFC">
        <w:rPr>
          <w:sz w:val="22"/>
          <w:szCs w:val="22"/>
          <w:lang w:val="it-IT"/>
        </w:rPr>
        <w:t xml:space="preserve">La dose raccomandata di Humira nei pazienti pediatrici con uveite dai 2 anni di età è basata sul peso corporeo (Tabella </w:t>
      </w:r>
      <w:r w:rsidRPr="00293FFC" w:rsidR="00900CB9">
        <w:rPr>
          <w:sz w:val="22"/>
          <w:szCs w:val="22"/>
          <w:lang w:val="it-IT"/>
        </w:rPr>
        <w:t>3</w:t>
      </w:r>
      <w:r w:rsidRPr="00293FFC">
        <w:rPr>
          <w:sz w:val="22"/>
          <w:szCs w:val="22"/>
          <w:lang w:val="it-IT"/>
        </w:rPr>
        <w:t>). Humira è somministrato attraverso iniezione sottocutanea.</w:t>
      </w:r>
    </w:p>
    <w:p w:rsidR="00F50C11" w:rsidRPr="00293FFC" w14:paraId="752C1F73" w14:textId="77777777">
      <w:pPr>
        <w:tabs>
          <w:tab w:val="left" w:pos="567"/>
          <w:tab w:val="right" w:pos="9070"/>
        </w:tabs>
        <w:jc w:val="both"/>
        <w:rPr>
          <w:sz w:val="22"/>
          <w:szCs w:val="22"/>
        </w:rPr>
      </w:pPr>
    </w:p>
    <w:p w:rsidR="006224C2" w:rsidRPr="00293FFC" w14:paraId="38BF6AD3" w14:textId="77777777">
      <w:pPr>
        <w:tabs>
          <w:tab w:val="left" w:pos="567"/>
          <w:tab w:val="right" w:pos="9070"/>
        </w:tabs>
        <w:jc w:val="both"/>
        <w:rPr>
          <w:sz w:val="22"/>
          <w:szCs w:val="22"/>
        </w:rPr>
      </w:pPr>
      <w:r w:rsidRPr="00293FFC">
        <w:rPr>
          <w:sz w:val="22"/>
          <w:szCs w:val="22"/>
        </w:rPr>
        <w:t>Nell’uveite pediatrica, non</w:t>
      </w:r>
      <w:r w:rsidRPr="00293FFC" w:rsidR="00E37F6A">
        <w:rPr>
          <w:sz w:val="22"/>
          <w:szCs w:val="22"/>
        </w:rPr>
        <w:t xml:space="preserve"> c’è </w:t>
      </w:r>
      <w:r w:rsidRPr="00293FFC">
        <w:rPr>
          <w:sz w:val="22"/>
          <w:szCs w:val="22"/>
        </w:rPr>
        <w:t>esperienz</w:t>
      </w:r>
      <w:r w:rsidRPr="00293FFC" w:rsidR="00E37F6A">
        <w:rPr>
          <w:sz w:val="22"/>
          <w:szCs w:val="22"/>
        </w:rPr>
        <w:t>a</w:t>
      </w:r>
      <w:r w:rsidRPr="00293FFC">
        <w:rPr>
          <w:sz w:val="22"/>
          <w:szCs w:val="22"/>
        </w:rPr>
        <w:t xml:space="preserve"> </w:t>
      </w:r>
      <w:r w:rsidRPr="00293FFC" w:rsidR="00E37F6A">
        <w:rPr>
          <w:sz w:val="22"/>
          <w:szCs w:val="22"/>
        </w:rPr>
        <w:t>ne</w:t>
      </w:r>
      <w:r w:rsidRPr="00293FFC">
        <w:rPr>
          <w:sz w:val="22"/>
          <w:szCs w:val="22"/>
        </w:rPr>
        <w:t>l trattamento con Humira senza terapia concomitante con metotressato.</w:t>
      </w:r>
    </w:p>
    <w:p w:rsidR="00F50C11" w:rsidRPr="00293FFC" w:rsidP="00F50C11" w14:paraId="2271F7CC" w14:textId="77777777">
      <w:pPr>
        <w:tabs>
          <w:tab w:val="left" w:pos="567"/>
          <w:tab w:val="right" w:pos="9070"/>
        </w:tabs>
        <w:jc w:val="both"/>
        <w:rPr>
          <w:sz w:val="22"/>
          <w:szCs w:val="22"/>
        </w:rPr>
      </w:pPr>
    </w:p>
    <w:p w:rsidR="00F50C11" w:rsidRPr="00295E71" w:rsidP="00F50C11" w14:paraId="093C0A1B" w14:textId="77777777">
      <w:pPr>
        <w:tabs>
          <w:tab w:val="left" w:pos="562"/>
        </w:tabs>
        <w:jc w:val="center"/>
        <w:rPr>
          <w:b/>
          <w:color w:val="000000"/>
          <w:sz w:val="22"/>
          <w:szCs w:val="22"/>
        </w:rPr>
      </w:pPr>
      <w:r w:rsidRPr="00293FFC">
        <w:rPr>
          <w:b/>
          <w:color w:val="000000"/>
          <w:sz w:val="22"/>
          <w:szCs w:val="22"/>
        </w:rPr>
        <w:t xml:space="preserve">Tabella </w:t>
      </w:r>
      <w:r w:rsidRPr="00293FFC" w:rsidR="00900CB9">
        <w:rPr>
          <w:b/>
          <w:color w:val="000000"/>
          <w:sz w:val="22"/>
          <w:szCs w:val="22"/>
        </w:rPr>
        <w:t>3</w:t>
      </w:r>
      <w:r w:rsidRPr="00293FFC">
        <w:rPr>
          <w:b/>
          <w:color w:val="000000"/>
          <w:sz w:val="22"/>
          <w:szCs w:val="22"/>
        </w:rPr>
        <w:t>. Dose di Humira per Pazienti Pediatrici con Uveite</w:t>
      </w:r>
    </w:p>
    <w:p w:rsidR="00F50C11" w:rsidRPr="00295E71" w:rsidP="00F50C11" w14:paraId="5F5C5BBD" w14:textId="77777777">
      <w:pPr>
        <w:tabs>
          <w:tab w:val="left" w:pos="562"/>
        </w:tabs>
        <w:jc w:val="both"/>
        <w:rPr>
          <w:color w:val="000000"/>
          <w:sz w:val="22"/>
          <w:szCs w:val="22"/>
        </w:rPr>
      </w:pPr>
    </w:p>
    <w:tbl>
      <w:tblPr>
        <w:tblW w:w="6795" w:type="dxa"/>
        <w:jc w:val="center"/>
        <w:tblLayout w:type="fixed"/>
        <w:tblLook w:val="0000"/>
      </w:tblPr>
      <w:tblGrid>
        <w:gridCol w:w="3401"/>
        <w:gridCol w:w="3394"/>
      </w:tblGrid>
      <w:tr w14:paraId="0617FB1A" w14:textId="77777777" w:rsidTr="003415FD">
        <w:tblPrEx>
          <w:tblW w:w="6795" w:type="dxa"/>
          <w:tblLayout w:type="fixed"/>
          <w:tblLook w:val="0000"/>
        </w:tblPrEx>
        <w:trPr>
          <w:tblHeader/>
        </w:trPr>
        <w:tc>
          <w:tcPr>
            <w:tcW w:w="3401" w:type="dxa"/>
            <w:tcBorders>
              <w:top w:val="single" w:sz="4" w:space="0" w:color="auto"/>
              <w:bottom w:val="single" w:sz="4" w:space="0" w:color="auto"/>
            </w:tcBorders>
          </w:tcPr>
          <w:p w:rsidR="00F50C11" w:rsidRPr="00295E71" w:rsidP="003415FD" w14:paraId="753848C2" w14:textId="77777777">
            <w:pPr>
              <w:tabs>
                <w:tab w:val="left" w:pos="567"/>
              </w:tabs>
              <w:jc w:val="center"/>
              <w:rPr>
                <w:b/>
                <w:color w:val="000000"/>
                <w:sz w:val="22"/>
                <w:szCs w:val="22"/>
              </w:rPr>
            </w:pPr>
            <w:r w:rsidRPr="00295E71">
              <w:rPr>
                <w:b/>
                <w:color w:val="000000"/>
                <w:sz w:val="22"/>
                <w:szCs w:val="22"/>
              </w:rPr>
              <w:t>Peso del Paziente</w:t>
            </w:r>
          </w:p>
        </w:tc>
        <w:tc>
          <w:tcPr>
            <w:tcW w:w="3394" w:type="dxa"/>
            <w:tcBorders>
              <w:top w:val="single" w:sz="4" w:space="0" w:color="auto"/>
              <w:bottom w:val="single" w:sz="4" w:space="0" w:color="auto"/>
            </w:tcBorders>
          </w:tcPr>
          <w:p w:rsidR="00F50C11" w:rsidRPr="00295E71" w:rsidP="003415FD" w14:paraId="0B4C3849" w14:textId="77777777">
            <w:pPr>
              <w:tabs>
                <w:tab w:val="left" w:pos="567"/>
              </w:tabs>
              <w:jc w:val="center"/>
              <w:rPr>
                <w:b/>
                <w:color w:val="000000"/>
                <w:sz w:val="22"/>
                <w:szCs w:val="22"/>
              </w:rPr>
            </w:pPr>
            <w:r w:rsidRPr="00295E71">
              <w:rPr>
                <w:b/>
                <w:color w:val="000000"/>
                <w:sz w:val="22"/>
                <w:szCs w:val="22"/>
              </w:rPr>
              <w:t>Schema Posologico</w:t>
            </w:r>
          </w:p>
        </w:tc>
      </w:tr>
      <w:tr w14:paraId="311D9D26" w14:textId="77777777" w:rsidTr="003415FD">
        <w:tblPrEx>
          <w:tblW w:w="6795" w:type="dxa"/>
          <w:tblLayout w:type="fixed"/>
          <w:tblLook w:val="0000"/>
        </w:tblPrEx>
        <w:trPr>
          <w:tblHeader/>
        </w:trPr>
        <w:tc>
          <w:tcPr>
            <w:tcW w:w="3401" w:type="dxa"/>
            <w:tcBorders>
              <w:top w:val="single" w:sz="4" w:space="0" w:color="auto"/>
              <w:bottom w:val="single" w:sz="4" w:space="0" w:color="auto"/>
            </w:tcBorders>
          </w:tcPr>
          <w:p w:rsidR="00F50C11" w:rsidRPr="00295E71" w:rsidP="003415FD" w14:paraId="6108B8DC" w14:textId="77777777">
            <w:pPr>
              <w:tabs>
                <w:tab w:val="left" w:pos="567"/>
              </w:tabs>
              <w:jc w:val="center"/>
              <w:rPr>
                <w:b/>
                <w:color w:val="000000"/>
                <w:sz w:val="22"/>
                <w:szCs w:val="22"/>
              </w:rPr>
            </w:pPr>
            <w:r w:rsidRPr="00295E71">
              <w:rPr>
                <w:color w:val="000000"/>
                <w:sz w:val="22"/>
                <w:szCs w:val="22"/>
              </w:rPr>
              <w:t>&lt; 30 kg</w:t>
            </w:r>
          </w:p>
        </w:tc>
        <w:tc>
          <w:tcPr>
            <w:tcW w:w="3394" w:type="dxa"/>
            <w:tcBorders>
              <w:top w:val="single" w:sz="4" w:space="0" w:color="auto"/>
              <w:bottom w:val="single" w:sz="4" w:space="0" w:color="auto"/>
            </w:tcBorders>
          </w:tcPr>
          <w:p w:rsidR="00F50C11" w:rsidRPr="00295E71" w:rsidP="003415FD" w14:paraId="26A8B467" w14:textId="77777777">
            <w:pPr>
              <w:tabs>
                <w:tab w:val="left" w:pos="567"/>
              </w:tabs>
              <w:jc w:val="center"/>
              <w:rPr>
                <w:b/>
                <w:color w:val="000000"/>
                <w:sz w:val="22"/>
                <w:szCs w:val="22"/>
              </w:rPr>
            </w:pPr>
            <w:r w:rsidRPr="00295E71">
              <w:rPr>
                <w:color w:val="000000"/>
                <w:sz w:val="22"/>
                <w:szCs w:val="22"/>
              </w:rPr>
              <w:t>20 mg a settimane alterne in associazione con metotressato</w:t>
            </w:r>
          </w:p>
        </w:tc>
      </w:tr>
      <w:tr w14:paraId="1B6BD24C" w14:textId="77777777" w:rsidTr="003415FD">
        <w:tblPrEx>
          <w:tblW w:w="6795" w:type="dxa"/>
          <w:tblLayout w:type="fixed"/>
          <w:tblLook w:val="0000"/>
        </w:tblPrEx>
        <w:trPr>
          <w:tblHeader/>
        </w:trPr>
        <w:tc>
          <w:tcPr>
            <w:tcW w:w="3401" w:type="dxa"/>
            <w:tcBorders>
              <w:top w:val="single" w:sz="4" w:space="0" w:color="auto"/>
              <w:bottom w:val="single" w:sz="4" w:space="0" w:color="auto"/>
            </w:tcBorders>
          </w:tcPr>
          <w:p w:rsidR="00F50C11" w:rsidRPr="00295E71" w:rsidP="003415FD" w14:paraId="58228A74" w14:textId="77777777">
            <w:pPr>
              <w:tabs>
                <w:tab w:val="left" w:pos="567"/>
              </w:tabs>
              <w:jc w:val="center"/>
              <w:rPr>
                <w:b/>
                <w:color w:val="000000"/>
                <w:sz w:val="22"/>
                <w:szCs w:val="22"/>
              </w:rPr>
            </w:pPr>
            <w:r w:rsidRPr="00295E71">
              <w:rPr>
                <w:color w:val="000000"/>
                <w:sz w:val="22"/>
                <w:szCs w:val="22"/>
              </w:rPr>
              <w:t>≥ 30 kg</w:t>
            </w:r>
          </w:p>
        </w:tc>
        <w:tc>
          <w:tcPr>
            <w:tcW w:w="3394" w:type="dxa"/>
            <w:tcBorders>
              <w:top w:val="single" w:sz="4" w:space="0" w:color="auto"/>
              <w:bottom w:val="single" w:sz="4" w:space="0" w:color="auto"/>
            </w:tcBorders>
          </w:tcPr>
          <w:p w:rsidR="00F50C11" w:rsidRPr="00295E71" w:rsidP="003415FD" w14:paraId="40266134" w14:textId="77777777">
            <w:pPr>
              <w:tabs>
                <w:tab w:val="left" w:pos="567"/>
              </w:tabs>
              <w:jc w:val="center"/>
              <w:rPr>
                <w:b/>
                <w:color w:val="000000"/>
                <w:sz w:val="22"/>
                <w:szCs w:val="22"/>
              </w:rPr>
            </w:pPr>
            <w:r w:rsidRPr="00295E71">
              <w:rPr>
                <w:color w:val="000000"/>
                <w:sz w:val="22"/>
                <w:szCs w:val="22"/>
              </w:rPr>
              <w:t>40 mg a settimane alterne in associazione con metotressato</w:t>
            </w:r>
          </w:p>
        </w:tc>
      </w:tr>
    </w:tbl>
    <w:p w:rsidR="006224C2" w:rsidRPr="00295E71" w14:paraId="126F6F40" w14:textId="77777777">
      <w:pPr>
        <w:tabs>
          <w:tab w:val="left" w:pos="567"/>
          <w:tab w:val="right" w:pos="9070"/>
        </w:tabs>
        <w:jc w:val="both"/>
        <w:rPr>
          <w:sz w:val="22"/>
          <w:szCs w:val="22"/>
        </w:rPr>
      </w:pPr>
    </w:p>
    <w:p w:rsidR="006224C2" w:rsidRPr="00295E71" w14:paraId="580BA238" w14:textId="77777777">
      <w:pPr>
        <w:tabs>
          <w:tab w:val="left" w:pos="567"/>
          <w:tab w:val="right" w:pos="9070"/>
        </w:tabs>
        <w:jc w:val="both"/>
        <w:rPr>
          <w:sz w:val="22"/>
          <w:szCs w:val="22"/>
        </w:rPr>
      </w:pPr>
      <w:r w:rsidRPr="00295E71">
        <w:rPr>
          <w:sz w:val="22"/>
          <w:szCs w:val="22"/>
        </w:rPr>
        <w:t xml:space="preserve">Quando si inizia la terapia con Humira, è possibile somministrare una dose di carico da 40 mg </w:t>
      </w:r>
      <w:r w:rsidRPr="00295E71" w:rsidR="00F50C11">
        <w:rPr>
          <w:sz w:val="22"/>
          <w:szCs w:val="22"/>
        </w:rPr>
        <w:t xml:space="preserve">per i pazienti con peso &lt; 30 kg o 80 mg per i pazienti con peso ≥ 30 kg </w:t>
      </w:r>
      <w:r w:rsidRPr="00295E71">
        <w:rPr>
          <w:sz w:val="22"/>
          <w:szCs w:val="22"/>
        </w:rPr>
        <w:t>una settimana prima dell’inizio della terapia di mantenimento. Non sono disponibili dati clinici sull’uso della dose di carico di Humira nei bambini di età inferiore ai 6 anni (vedere paragrafo 5.2).</w:t>
      </w:r>
    </w:p>
    <w:p w:rsidR="006224C2" w:rsidRPr="00295E71" w14:paraId="515B327B" w14:textId="77777777">
      <w:pPr>
        <w:tabs>
          <w:tab w:val="left" w:pos="567"/>
          <w:tab w:val="right" w:pos="9070"/>
        </w:tabs>
        <w:jc w:val="both"/>
        <w:rPr>
          <w:sz w:val="22"/>
          <w:szCs w:val="22"/>
        </w:rPr>
      </w:pPr>
    </w:p>
    <w:p w:rsidR="006224C2" w:rsidRPr="00295E71" w14:paraId="32AC875B" w14:textId="77777777">
      <w:pPr>
        <w:pStyle w:val="gtcbodytext"/>
        <w:spacing w:before="0" w:after="0" w:line="240" w:lineRule="auto"/>
        <w:jc w:val="both"/>
        <w:rPr>
          <w:sz w:val="22"/>
          <w:szCs w:val="22"/>
          <w:lang w:val="it-IT"/>
        </w:rPr>
      </w:pPr>
      <w:r w:rsidRPr="00295E71">
        <w:rPr>
          <w:sz w:val="22"/>
          <w:szCs w:val="22"/>
          <w:lang w:val="it-IT"/>
        </w:rPr>
        <w:t>Non c’è un uso rilevante di Humira nei bambini di età inferiore ai 2 anni per questa indicazione.</w:t>
      </w:r>
    </w:p>
    <w:p w:rsidR="006224C2" w:rsidRPr="00295E71" w14:paraId="1FD16C67" w14:textId="77777777">
      <w:pPr>
        <w:pStyle w:val="gtcbodytext"/>
        <w:spacing w:before="0" w:after="0" w:line="240" w:lineRule="auto"/>
        <w:jc w:val="both"/>
        <w:rPr>
          <w:sz w:val="22"/>
          <w:szCs w:val="22"/>
          <w:lang w:val="it-IT"/>
        </w:rPr>
      </w:pPr>
    </w:p>
    <w:p w:rsidR="006224C2" w:rsidRPr="00295E71" w14:paraId="403863B0" w14:textId="77777777">
      <w:pPr>
        <w:tabs>
          <w:tab w:val="left" w:pos="567"/>
        </w:tabs>
        <w:jc w:val="both"/>
        <w:rPr>
          <w:sz w:val="22"/>
          <w:szCs w:val="22"/>
        </w:rPr>
      </w:pPr>
      <w:r w:rsidRPr="00295E71">
        <w:rPr>
          <w:sz w:val="22"/>
          <w:szCs w:val="22"/>
        </w:rPr>
        <w:t>Si raccomanda che i benefici e i rischi del trattamento continuato a lungo termine siano valutati su base annua (vedere paragrafo 5.1).</w:t>
      </w:r>
    </w:p>
    <w:p w:rsidR="00181515" w:rsidRPr="00295E71" w14:paraId="4E554096" w14:textId="77777777">
      <w:pPr>
        <w:tabs>
          <w:tab w:val="left" w:pos="567"/>
        </w:tabs>
        <w:jc w:val="both"/>
        <w:rPr>
          <w:sz w:val="22"/>
          <w:szCs w:val="22"/>
        </w:rPr>
      </w:pPr>
    </w:p>
    <w:p w:rsidR="00181515" w:rsidRPr="00295E71" w14:paraId="379B98AE" w14:textId="77777777">
      <w:pPr>
        <w:tabs>
          <w:tab w:val="left" w:pos="567"/>
        </w:tabs>
        <w:jc w:val="both"/>
        <w:rPr>
          <w:sz w:val="22"/>
          <w:szCs w:val="22"/>
        </w:rPr>
      </w:pPr>
      <w:r w:rsidRPr="00295E71">
        <w:rPr>
          <w:sz w:val="22"/>
          <w:szCs w:val="22"/>
        </w:rPr>
        <w:t>Humira può essere disponibile in altre concentrazioni e/o presentazioni a seconda delle necessità individuali di trattamento.</w:t>
      </w:r>
    </w:p>
    <w:p w:rsidR="006224C2" w:rsidRPr="00295E71" w14:paraId="673D0B0C" w14:textId="77777777">
      <w:pPr>
        <w:tabs>
          <w:tab w:val="left" w:pos="567"/>
        </w:tabs>
        <w:jc w:val="both"/>
        <w:rPr>
          <w:sz w:val="22"/>
          <w:szCs w:val="22"/>
        </w:rPr>
      </w:pPr>
    </w:p>
    <w:p w:rsidR="006224C2" w:rsidRPr="00295E71" w14:paraId="2BDDC246" w14:textId="77777777">
      <w:pPr>
        <w:tabs>
          <w:tab w:val="left" w:pos="567"/>
        </w:tabs>
        <w:jc w:val="both"/>
        <w:rPr>
          <w:sz w:val="22"/>
          <w:szCs w:val="22"/>
          <w:u w:val="single"/>
        </w:rPr>
      </w:pPr>
      <w:r w:rsidRPr="00295E71">
        <w:rPr>
          <w:sz w:val="22"/>
          <w:szCs w:val="22"/>
          <w:u w:val="single"/>
        </w:rPr>
        <w:t>Modo di somministrazione</w:t>
      </w:r>
    </w:p>
    <w:p w:rsidR="006224C2" w:rsidRPr="00295E71" w14:paraId="7572B505" w14:textId="77777777">
      <w:pPr>
        <w:tabs>
          <w:tab w:val="left" w:pos="567"/>
        </w:tabs>
        <w:jc w:val="both"/>
        <w:rPr>
          <w:sz w:val="22"/>
          <w:szCs w:val="22"/>
        </w:rPr>
      </w:pPr>
    </w:p>
    <w:p w:rsidR="006224C2" w:rsidRPr="00295E71" w14:paraId="4C97667E" w14:textId="77777777">
      <w:pPr>
        <w:tabs>
          <w:tab w:val="left" w:pos="567"/>
        </w:tabs>
        <w:jc w:val="both"/>
        <w:rPr>
          <w:sz w:val="22"/>
          <w:szCs w:val="22"/>
        </w:rPr>
      </w:pPr>
      <w:r w:rsidRPr="00295E71">
        <w:rPr>
          <w:sz w:val="22"/>
          <w:szCs w:val="22"/>
        </w:rPr>
        <w:t>Humira è somministrato per iniezione sottocutanea. Istruzioni complete per l’uso sono fornite nel foglio illustrativo.</w:t>
      </w:r>
    </w:p>
    <w:p w:rsidR="006224C2" w:rsidRPr="00295E71" w14:paraId="6743DC58" w14:textId="77777777">
      <w:pPr>
        <w:tabs>
          <w:tab w:val="left" w:pos="567"/>
        </w:tabs>
        <w:jc w:val="both"/>
        <w:rPr>
          <w:sz w:val="22"/>
          <w:szCs w:val="22"/>
        </w:rPr>
      </w:pPr>
    </w:p>
    <w:p w:rsidR="00F50C11" w:rsidRPr="00295E71" w14:paraId="3168FD60" w14:textId="77777777">
      <w:pPr>
        <w:tabs>
          <w:tab w:val="left" w:pos="567"/>
        </w:tabs>
        <w:jc w:val="both"/>
        <w:rPr>
          <w:sz w:val="22"/>
          <w:szCs w:val="22"/>
        </w:rPr>
      </w:pPr>
      <w:r w:rsidRPr="00295E71">
        <w:rPr>
          <w:sz w:val="22"/>
          <w:szCs w:val="22"/>
        </w:rPr>
        <w:t>Humira è disponibile in altre concentrazioni e presentazioni.</w:t>
      </w:r>
    </w:p>
    <w:p w:rsidR="00F50C11" w:rsidRPr="00295E71" w14:paraId="23CD2AD0" w14:textId="77777777">
      <w:pPr>
        <w:tabs>
          <w:tab w:val="left" w:pos="567"/>
        </w:tabs>
        <w:jc w:val="both"/>
        <w:rPr>
          <w:sz w:val="22"/>
          <w:szCs w:val="22"/>
        </w:rPr>
      </w:pPr>
    </w:p>
    <w:p w:rsidR="006224C2" w:rsidRPr="00295E71" w14:paraId="10F0265D" w14:textId="77777777">
      <w:pPr>
        <w:tabs>
          <w:tab w:val="left" w:pos="567"/>
        </w:tabs>
        <w:ind w:left="567" w:hanging="567"/>
        <w:jc w:val="both"/>
        <w:rPr>
          <w:b/>
          <w:bCs/>
          <w:sz w:val="22"/>
          <w:szCs w:val="22"/>
        </w:rPr>
      </w:pPr>
      <w:r w:rsidRPr="00295E71">
        <w:rPr>
          <w:b/>
          <w:bCs/>
          <w:sz w:val="22"/>
          <w:szCs w:val="22"/>
        </w:rPr>
        <w:t>4.3</w:t>
      </w:r>
      <w:r w:rsidRPr="00295E71">
        <w:rPr>
          <w:b/>
          <w:bCs/>
          <w:sz w:val="22"/>
          <w:szCs w:val="22"/>
        </w:rPr>
        <w:tab/>
        <w:t>Controindicazioni</w:t>
      </w:r>
    </w:p>
    <w:p w:rsidR="006224C2" w:rsidRPr="00295E71" w14:paraId="67FC651F" w14:textId="77777777">
      <w:pPr>
        <w:pStyle w:val="EndnoteText"/>
        <w:jc w:val="both"/>
        <w:rPr>
          <w:lang w:val="it-IT"/>
        </w:rPr>
      </w:pPr>
    </w:p>
    <w:p w:rsidR="006224C2" w:rsidRPr="00295E71" w14:paraId="58C03DF6" w14:textId="77777777">
      <w:pPr>
        <w:tabs>
          <w:tab w:val="left" w:pos="567"/>
        </w:tabs>
        <w:jc w:val="both"/>
        <w:rPr>
          <w:sz w:val="22"/>
          <w:szCs w:val="22"/>
        </w:rPr>
      </w:pPr>
      <w:r w:rsidRPr="00295E71">
        <w:rPr>
          <w:sz w:val="22"/>
          <w:szCs w:val="22"/>
        </w:rPr>
        <w:t>Ipersensibilità al principio attivo o ad uno qualsiasi degli eccipienti elencati al paragrafo 6.1.</w:t>
      </w:r>
    </w:p>
    <w:p w:rsidR="006224C2" w:rsidRPr="00295E71" w14:paraId="6215EF31" w14:textId="77777777">
      <w:pPr>
        <w:tabs>
          <w:tab w:val="left" w:pos="567"/>
        </w:tabs>
        <w:jc w:val="both"/>
        <w:rPr>
          <w:sz w:val="22"/>
          <w:szCs w:val="22"/>
        </w:rPr>
      </w:pPr>
    </w:p>
    <w:p w:rsidR="006224C2" w:rsidRPr="00295E71" w14:paraId="7E86090F" w14:textId="77777777">
      <w:pPr>
        <w:tabs>
          <w:tab w:val="left" w:pos="567"/>
        </w:tabs>
        <w:jc w:val="both"/>
        <w:rPr>
          <w:sz w:val="22"/>
          <w:szCs w:val="22"/>
        </w:rPr>
      </w:pPr>
      <w:r w:rsidRPr="00295E71">
        <w:rPr>
          <w:sz w:val="22"/>
          <w:szCs w:val="22"/>
        </w:rPr>
        <w:t xml:space="preserve">Tubercolosi attiva o altre gravi infezioni come sepsi e infezioni opportunistiche (vedere paragrafo 4.4). </w:t>
      </w:r>
    </w:p>
    <w:p w:rsidR="006224C2" w:rsidRPr="00295E71" w14:paraId="7716719E" w14:textId="77777777">
      <w:pPr>
        <w:tabs>
          <w:tab w:val="left" w:pos="567"/>
        </w:tabs>
        <w:jc w:val="both"/>
        <w:rPr>
          <w:sz w:val="22"/>
          <w:szCs w:val="22"/>
        </w:rPr>
      </w:pPr>
    </w:p>
    <w:p w:rsidR="006224C2" w:rsidRPr="00295E71" w14:paraId="3311AD44" w14:textId="77777777">
      <w:pPr>
        <w:tabs>
          <w:tab w:val="left" w:pos="567"/>
        </w:tabs>
        <w:jc w:val="both"/>
        <w:rPr>
          <w:sz w:val="22"/>
          <w:szCs w:val="22"/>
        </w:rPr>
      </w:pPr>
      <w:r w:rsidRPr="00295E71">
        <w:rPr>
          <w:sz w:val="22"/>
          <w:szCs w:val="22"/>
        </w:rPr>
        <w:t>Insufficienza cardiaca da moderata a grave (classe III/IV NYHA) (vedere paragrafo 4.4).</w:t>
      </w:r>
    </w:p>
    <w:p w:rsidR="006224C2" w:rsidRPr="00295E71" w14:paraId="4830CEB6" w14:textId="77777777">
      <w:pPr>
        <w:tabs>
          <w:tab w:val="left" w:pos="567"/>
        </w:tabs>
        <w:jc w:val="both"/>
        <w:rPr>
          <w:sz w:val="22"/>
          <w:szCs w:val="22"/>
        </w:rPr>
      </w:pPr>
    </w:p>
    <w:p w:rsidR="006224C2" w:rsidRPr="00295E71" w14:paraId="13770120" w14:textId="77777777">
      <w:pPr>
        <w:keepNext/>
        <w:tabs>
          <w:tab w:val="left" w:pos="567"/>
        </w:tabs>
        <w:jc w:val="both"/>
        <w:rPr>
          <w:b/>
          <w:bCs/>
          <w:sz w:val="22"/>
          <w:szCs w:val="22"/>
        </w:rPr>
      </w:pPr>
      <w:r w:rsidRPr="00295E71">
        <w:rPr>
          <w:b/>
          <w:bCs/>
          <w:sz w:val="22"/>
          <w:szCs w:val="22"/>
        </w:rPr>
        <w:t>4.4</w:t>
      </w:r>
      <w:r w:rsidRPr="00295E71">
        <w:rPr>
          <w:b/>
          <w:bCs/>
          <w:sz w:val="22"/>
          <w:szCs w:val="22"/>
        </w:rPr>
        <w:tab/>
        <w:t xml:space="preserve">Avvertenze speciali e precauzioni d’impiego </w:t>
      </w:r>
    </w:p>
    <w:p w:rsidR="006224C2" w:rsidRPr="00295E71" w14:paraId="5772D668" w14:textId="77777777">
      <w:pPr>
        <w:keepNext/>
        <w:tabs>
          <w:tab w:val="left" w:pos="567"/>
        </w:tabs>
        <w:jc w:val="both"/>
        <w:rPr>
          <w:sz w:val="22"/>
          <w:szCs w:val="22"/>
        </w:rPr>
      </w:pPr>
    </w:p>
    <w:p w:rsidR="00F50C11" w:rsidRPr="00295E71" w14:paraId="6B982CF2" w14:textId="77777777">
      <w:pPr>
        <w:keepNext/>
        <w:tabs>
          <w:tab w:val="left" w:pos="567"/>
        </w:tabs>
        <w:jc w:val="both"/>
        <w:rPr>
          <w:sz w:val="22"/>
          <w:szCs w:val="22"/>
          <w:u w:val="single"/>
        </w:rPr>
      </w:pPr>
      <w:r w:rsidRPr="00295E71">
        <w:rPr>
          <w:sz w:val="22"/>
          <w:szCs w:val="22"/>
          <w:u w:val="single"/>
        </w:rPr>
        <w:t>Tracciabilità</w:t>
      </w:r>
    </w:p>
    <w:p w:rsidR="00F50C11" w:rsidRPr="00295E71" w14:paraId="48011F99" w14:textId="77777777">
      <w:pPr>
        <w:keepNext/>
        <w:tabs>
          <w:tab w:val="left" w:pos="567"/>
        </w:tabs>
        <w:jc w:val="both"/>
        <w:rPr>
          <w:sz w:val="22"/>
          <w:szCs w:val="22"/>
        </w:rPr>
      </w:pPr>
    </w:p>
    <w:p w:rsidR="006224C2" w:rsidRPr="00295E71" w14:paraId="6E2608C5" w14:textId="77777777">
      <w:pPr>
        <w:pStyle w:val="Heading4"/>
        <w:autoSpaceDE w:val="0"/>
        <w:autoSpaceDN w:val="0"/>
        <w:adjustRightInd w:val="0"/>
        <w:rPr>
          <w:b w:val="0"/>
          <w:bCs w:val="0"/>
          <w:noProof w:val="0"/>
          <w:lang w:val="it-IT"/>
        </w:rPr>
      </w:pPr>
      <w:r w:rsidRPr="00295E71">
        <w:rPr>
          <w:b w:val="0"/>
          <w:bCs w:val="0"/>
          <w:noProof w:val="0"/>
          <w:lang w:val="it-IT"/>
        </w:rPr>
        <w:t xml:space="preserve">Al fine di migliorare la tracciabilità dei medicinali biologici, il </w:t>
      </w:r>
      <w:r w:rsidRPr="00295E71" w:rsidR="00075CD9">
        <w:rPr>
          <w:b w:val="0"/>
          <w:bCs w:val="0"/>
          <w:noProof w:val="0"/>
          <w:lang w:val="it-IT"/>
        </w:rPr>
        <w:t>nome</w:t>
      </w:r>
      <w:r w:rsidRPr="00295E71">
        <w:rPr>
          <w:b w:val="0"/>
          <w:bCs w:val="0"/>
          <w:noProof w:val="0"/>
          <w:lang w:val="it-IT"/>
        </w:rPr>
        <w:t xml:space="preserve"> e</w:t>
      </w:r>
      <w:r w:rsidRPr="00295E71" w:rsidR="00075CD9">
        <w:rPr>
          <w:b w:val="0"/>
          <w:bCs w:val="0"/>
          <w:noProof w:val="0"/>
          <w:lang w:val="it-IT"/>
        </w:rPr>
        <w:t>d</w:t>
      </w:r>
      <w:r w:rsidRPr="00295E71">
        <w:rPr>
          <w:b w:val="0"/>
          <w:bCs w:val="0"/>
          <w:noProof w:val="0"/>
          <w:lang w:val="it-IT"/>
        </w:rPr>
        <w:t xml:space="preserve"> il numero di</w:t>
      </w:r>
      <w:r w:rsidRPr="00295E71" w:rsidR="00F50C11">
        <w:rPr>
          <w:b w:val="0"/>
          <w:bCs w:val="0"/>
          <w:noProof w:val="0"/>
          <w:lang w:val="it-IT"/>
        </w:rPr>
        <w:t xml:space="preserve"> </w:t>
      </w:r>
      <w:r w:rsidRPr="00295E71">
        <w:rPr>
          <w:b w:val="0"/>
          <w:bCs w:val="0"/>
          <w:noProof w:val="0"/>
          <w:lang w:val="it-IT"/>
        </w:rPr>
        <w:t>lotto del prodotto somministrato devono essere chiaramente registrati.</w:t>
      </w:r>
    </w:p>
    <w:p w:rsidR="006224C2" w:rsidRPr="00295E71" w14:paraId="442B65C0" w14:textId="77777777">
      <w:pPr>
        <w:pStyle w:val="Heading4"/>
        <w:keepNext w:val="0"/>
        <w:autoSpaceDE w:val="0"/>
        <w:autoSpaceDN w:val="0"/>
        <w:adjustRightInd w:val="0"/>
        <w:spacing w:line="240" w:lineRule="auto"/>
        <w:rPr>
          <w:b w:val="0"/>
          <w:bCs w:val="0"/>
          <w:noProof w:val="0"/>
          <w:u w:val="single"/>
          <w:lang w:val="it-IT"/>
        </w:rPr>
      </w:pPr>
    </w:p>
    <w:p w:rsidR="006224C2" w:rsidRPr="00295E71" w14:paraId="4FEB5E13" w14:textId="77777777">
      <w:pPr>
        <w:pStyle w:val="Heading4"/>
        <w:keepNext w:val="0"/>
        <w:autoSpaceDE w:val="0"/>
        <w:autoSpaceDN w:val="0"/>
        <w:adjustRightInd w:val="0"/>
        <w:spacing w:line="240" w:lineRule="auto"/>
        <w:rPr>
          <w:b w:val="0"/>
          <w:bCs w:val="0"/>
          <w:noProof w:val="0"/>
          <w:u w:val="single"/>
          <w:lang w:val="it-IT"/>
        </w:rPr>
      </w:pPr>
      <w:r w:rsidRPr="00295E71">
        <w:rPr>
          <w:b w:val="0"/>
          <w:bCs w:val="0"/>
          <w:noProof w:val="0"/>
          <w:u w:val="single"/>
          <w:lang w:val="it-IT"/>
        </w:rPr>
        <w:t>Infezioni</w:t>
      </w:r>
    </w:p>
    <w:p w:rsidR="006224C2" w:rsidRPr="00295E71" w14:paraId="1384EB40" w14:textId="77777777">
      <w:pPr>
        <w:tabs>
          <w:tab w:val="left" w:pos="567"/>
        </w:tabs>
        <w:jc w:val="both"/>
        <w:rPr>
          <w:sz w:val="22"/>
          <w:szCs w:val="22"/>
        </w:rPr>
      </w:pPr>
    </w:p>
    <w:p w:rsidR="006224C2" w:rsidRPr="00295E71" w14:paraId="6D41C2C0" w14:textId="77777777">
      <w:pPr>
        <w:tabs>
          <w:tab w:val="left" w:pos="567"/>
        </w:tabs>
        <w:autoSpaceDE w:val="0"/>
        <w:autoSpaceDN w:val="0"/>
        <w:adjustRightInd w:val="0"/>
        <w:jc w:val="both"/>
        <w:rPr>
          <w:color w:val="000000"/>
          <w:sz w:val="22"/>
          <w:szCs w:val="22"/>
        </w:rPr>
      </w:pPr>
      <w:r w:rsidRPr="00295E71">
        <w:rPr>
          <w:color w:val="000000"/>
          <w:sz w:val="22"/>
          <w:szCs w:val="22"/>
        </w:rPr>
        <w:t>I pazienti in trattamento con antagonisti del TNF sono più suscettibili alle infezioni gravi. Una funzione polmonare compromessa può aumentare il rischio di sviluppare infezioni.</w:t>
      </w:r>
    </w:p>
    <w:p w:rsidR="006224C2" w:rsidRPr="00295E71" w14:paraId="0ED92B0D" w14:textId="77777777">
      <w:pPr>
        <w:tabs>
          <w:tab w:val="left" w:pos="567"/>
        </w:tabs>
        <w:autoSpaceDE w:val="0"/>
        <w:autoSpaceDN w:val="0"/>
        <w:adjustRightInd w:val="0"/>
        <w:jc w:val="both"/>
        <w:rPr>
          <w:color w:val="000000"/>
          <w:sz w:val="22"/>
          <w:szCs w:val="22"/>
        </w:rPr>
      </w:pPr>
      <w:r w:rsidRPr="00295E71">
        <w:rPr>
          <w:color w:val="000000"/>
          <w:sz w:val="22"/>
          <w:szCs w:val="22"/>
        </w:rPr>
        <w:t>I pazienti devono pertanto essere attentamente esaminati per la valutazione di infezioni, compresa la tubercolosi, prima, durante e dopo il trattamento con Humira. Poichè l’eliminazione di adalimumab può richiedere fino a quattro mesi, il controllo deve essere continuato durante tale periodo.</w:t>
      </w:r>
    </w:p>
    <w:p w:rsidR="006224C2" w:rsidRPr="00295E71" w14:paraId="3C554965" w14:textId="77777777">
      <w:pPr>
        <w:tabs>
          <w:tab w:val="left" w:pos="567"/>
        </w:tabs>
        <w:autoSpaceDE w:val="0"/>
        <w:autoSpaceDN w:val="0"/>
        <w:adjustRightInd w:val="0"/>
        <w:jc w:val="both"/>
        <w:rPr>
          <w:color w:val="000000"/>
          <w:sz w:val="22"/>
          <w:szCs w:val="22"/>
        </w:rPr>
      </w:pPr>
    </w:p>
    <w:p w:rsidR="006224C2" w:rsidRPr="00295E71" w14:paraId="2EED7FF5" w14:textId="77777777">
      <w:pPr>
        <w:tabs>
          <w:tab w:val="left" w:pos="567"/>
        </w:tabs>
        <w:autoSpaceDE w:val="0"/>
        <w:autoSpaceDN w:val="0"/>
        <w:adjustRightInd w:val="0"/>
        <w:jc w:val="both"/>
        <w:rPr>
          <w:color w:val="000000"/>
          <w:sz w:val="22"/>
          <w:szCs w:val="22"/>
        </w:rPr>
      </w:pPr>
      <w:r w:rsidRPr="00295E71">
        <w:rPr>
          <w:color w:val="000000"/>
          <w:sz w:val="22"/>
          <w:szCs w:val="22"/>
        </w:rPr>
        <w:t xml:space="preserve">La terapia con Humira non va iniziata in pazienti con infezioni attive, incluse le infezioni croniche o localizzate, fino a che queste non siano sotto controllo. In pazienti che sono stati esposti alla tubercolosi ed in pazienti che hanno viaggiato in aree ad alto rischio di tubercolosi o di micosi endemiche, quali istoplasmosi, coccidioidomicosi o blastomicosi, il rischio ed i benefici del trattamento con Humira devono essere considerati prima di iniziare la terapia (vedere </w:t>
      </w:r>
      <w:r w:rsidRPr="00295E71">
        <w:rPr>
          <w:i/>
          <w:color w:val="000000"/>
          <w:sz w:val="22"/>
          <w:szCs w:val="22"/>
        </w:rPr>
        <w:t xml:space="preserve">Altre </w:t>
      </w:r>
      <w:r w:rsidRPr="00295E71">
        <w:rPr>
          <w:i/>
          <w:iCs/>
          <w:color w:val="000000"/>
          <w:sz w:val="22"/>
          <w:szCs w:val="22"/>
        </w:rPr>
        <w:t>infezioni opportunistiche</w:t>
      </w:r>
      <w:r w:rsidRPr="00295E71">
        <w:rPr>
          <w:color w:val="000000"/>
          <w:sz w:val="22"/>
          <w:szCs w:val="22"/>
        </w:rPr>
        <w:t>).</w:t>
      </w:r>
    </w:p>
    <w:p w:rsidR="006224C2" w:rsidRPr="00295E71" w14:paraId="6852B2CB" w14:textId="77777777">
      <w:pPr>
        <w:rPr>
          <w:sz w:val="22"/>
          <w:szCs w:val="22"/>
        </w:rPr>
      </w:pPr>
    </w:p>
    <w:p w:rsidR="006224C2" w:rsidRPr="00295E71" w:rsidP="00F57FE5" w14:paraId="47A1F8F3" w14:textId="77777777">
      <w:pPr>
        <w:keepNext/>
        <w:keepLines/>
        <w:tabs>
          <w:tab w:val="left" w:pos="567"/>
        </w:tabs>
        <w:autoSpaceDE w:val="0"/>
        <w:autoSpaceDN w:val="0"/>
        <w:adjustRightInd w:val="0"/>
        <w:jc w:val="both"/>
        <w:rPr>
          <w:color w:val="000000"/>
          <w:sz w:val="22"/>
          <w:szCs w:val="22"/>
        </w:rPr>
      </w:pPr>
      <w:r w:rsidRPr="00295E71">
        <w:rPr>
          <w:sz w:val="22"/>
          <w:szCs w:val="22"/>
        </w:rPr>
        <w:t xml:space="preserve">I pazienti che </w:t>
      </w:r>
      <w:r w:rsidRPr="00295E71">
        <w:rPr>
          <w:color w:val="000000"/>
          <w:sz w:val="22"/>
          <w:szCs w:val="22"/>
        </w:rPr>
        <w:t>sviluppano una nuova infezione durante la terapia con Humira devono essere attentamente seguiti ed essere sottoposti ad una completa valutazione diagnostica. In caso di insorgenza di una nuova infezione grave o di sepsi, la somministrazione di Humira deve essere interrotta e deve essere istituita una idonea terapia antimicrobica o antifungina fino a quando l’infezione non sia sotto controllo. I medici devono porre cautela nell’usare Humira in pazienti con storia di infezioni recidivanti o con patologie concomitanti che possano predisporre i pazienti alle infezioni, incluso l’uso concomitante di farmaci immunosoppressivi.</w:t>
      </w:r>
    </w:p>
    <w:p w:rsidR="006224C2" w:rsidRPr="00295E71" w14:paraId="2BD86F00" w14:textId="77777777">
      <w:pPr>
        <w:tabs>
          <w:tab w:val="left" w:pos="567"/>
        </w:tabs>
        <w:autoSpaceDE w:val="0"/>
        <w:autoSpaceDN w:val="0"/>
        <w:adjustRightInd w:val="0"/>
        <w:jc w:val="both"/>
        <w:rPr>
          <w:color w:val="000000"/>
          <w:sz w:val="22"/>
          <w:szCs w:val="22"/>
        </w:rPr>
      </w:pPr>
    </w:p>
    <w:p w:rsidR="006224C2" w:rsidRPr="00295E71" w:rsidP="005D5C2F" w14:paraId="29271BFB" w14:textId="77777777">
      <w:pPr>
        <w:keepNext/>
        <w:keepLines/>
        <w:tabs>
          <w:tab w:val="left" w:pos="567"/>
        </w:tabs>
        <w:autoSpaceDE w:val="0"/>
        <w:autoSpaceDN w:val="0"/>
        <w:adjustRightInd w:val="0"/>
        <w:jc w:val="both"/>
        <w:rPr>
          <w:color w:val="000000"/>
          <w:sz w:val="22"/>
          <w:szCs w:val="22"/>
        </w:rPr>
      </w:pPr>
      <w:r w:rsidRPr="00295E71">
        <w:rPr>
          <w:i/>
          <w:iCs/>
          <w:color w:val="000000"/>
          <w:sz w:val="22"/>
          <w:szCs w:val="22"/>
        </w:rPr>
        <w:t>Gravi infezioni</w:t>
      </w:r>
    </w:p>
    <w:p w:rsidR="006224C2" w:rsidRPr="00295E71" w:rsidP="005D5C2F" w14:paraId="5C6942E0" w14:textId="77777777">
      <w:pPr>
        <w:keepNext/>
        <w:keepLines/>
        <w:tabs>
          <w:tab w:val="left" w:pos="567"/>
        </w:tabs>
        <w:autoSpaceDE w:val="0"/>
        <w:autoSpaceDN w:val="0"/>
        <w:adjustRightInd w:val="0"/>
        <w:jc w:val="both"/>
        <w:rPr>
          <w:color w:val="000000"/>
          <w:sz w:val="22"/>
          <w:szCs w:val="22"/>
        </w:rPr>
      </w:pPr>
    </w:p>
    <w:p w:rsidR="006224C2" w:rsidRPr="00295E71" w:rsidP="005D5C2F" w14:paraId="4D376B48"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Sono stati riportati casi di infezioni gravi, inclusa sepsi, causat</w:t>
      </w:r>
      <w:r w:rsidR="00660603">
        <w:rPr>
          <w:color w:val="000000"/>
          <w:sz w:val="22"/>
          <w:szCs w:val="22"/>
        </w:rPr>
        <w:t>e</w:t>
      </w:r>
      <w:r w:rsidRPr="00295E71">
        <w:rPr>
          <w:color w:val="000000"/>
          <w:sz w:val="22"/>
          <w:szCs w:val="22"/>
        </w:rPr>
        <w:t xml:space="preserve"> da batteri, micobatteri, funghi invasivi,</w:t>
      </w:r>
      <w:r w:rsidR="00660603">
        <w:rPr>
          <w:color w:val="000000"/>
          <w:sz w:val="22"/>
          <w:szCs w:val="22"/>
        </w:rPr>
        <w:t xml:space="preserve"> </w:t>
      </w:r>
      <w:r w:rsidRPr="00295E71">
        <w:rPr>
          <w:color w:val="000000"/>
          <w:sz w:val="22"/>
          <w:szCs w:val="22"/>
        </w:rPr>
        <w:t>parassiti, virus o altre infezioni opportunistiche, quali listeriosi, legionellosi e pneumocistosi in pazienti trattati con Humira.</w:t>
      </w:r>
    </w:p>
    <w:p w:rsidR="006224C2" w:rsidRPr="00295E71" w14:paraId="621B962D" w14:textId="77777777">
      <w:pPr>
        <w:tabs>
          <w:tab w:val="left" w:pos="567"/>
        </w:tabs>
        <w:autoSpaceDE w:val="0"/>
        <w:autoSpaceDN w:val="0"/>
        <w:adjustRightInd w:val="0"/>
        <w:jc w:val="both"/>
        <w:rPr>
          <w:color w:val="000000"/>
          <w:sz w:val="22"/>
          <w:szCs w:val="22"/>
        </w:rPr>
      </w:pPr>
    </w:p>
    <w:p w:rsidR="006224C2" w:rsidRPr="00295E71" w14:paraId="575D2133" w14:textId="77777777">
      <w:pPr>
        <w:tabs>
          <w:tab w:val="left" w:pos="567"/>
        </w:tabs>
        <w:autoSpaceDE w:val="0"/>
        <w:autoSpaceDN w:val="0"/>
        <w:adjustRightInd w:val="0"/>
        <w:jc w:val="both"/>
        <w:rPr>
          <w:color w:val="000000"/>
          <w:sz w:val="22"/>
          <w:szCs w:val="22"/>
        </w:rPr>
      </w:pPr>
      <w:r w:rsidRPr="00295E71">
        <w:rPr>
          <w:color w:val="000000"/>
          <w:sz w:val="22"/>
          <w:szCs w:val="22"/>
        </w:rPr>
        <w:t>Altre infezioni gravi osservate nel corso di studi clinici includono polmonite, pielonefrite, artrite settica e setticemia. Sono stati riportati casi di ospedalizzazione o di eventi fatali associati alle infezioni.</w:t>
      </w:r>
    </w:p>
    <w:p w:rsidR="006224C2" w:rsidRPr="00295E71" w14:paraId="2ACF8E1A" w14:textId="77777777">
      <w:pPr>
        <w:tabs>
          <w:tab w:val="left" w:pos="567"/>
        </w:tabs>
        <w:autoSpaceDE w:val="0"/>
        <w:autoSpaceDN w:val="0"/>
        <w:adjustRightInd w:val="0"/>
        <w:jc w:val="both"/>
        <w:rPr>
          <w:color w:val="000000"/>
          <w:sz w:val="22"/>
          <w:szCs w:val="22"/>
        </w:rPr>
      </w:pPr>
    </w:p>
    <w:p w:rsidR="006224C2" w:rsidRPr="00295E71" w14:paraId="778B367C" w14:textId="77777777">
      <w:pPr>
        <w:keepNext/>
        <w:tabs>
          <w:tab w:val="left" w:pos="567"/>
        </w:tabs>
        <w:autoSpaceDE w:val="0"/>
        <w:autoSpaceDN w:val="0"/>
        <w:adjustRightInd w:val="0"/>
        <w:jc w:val="both"/>
        <w:rPr>
          <w:i/>
          <w:iCs/>
          <w:color w:val="000000"/>
          <w:sz w:val="22"/>
          <w:szCs w:val="22"/>
        </w:rPr>
      </w:pPr>
      <w:r w:rsidRPr="00295E71">
        <w:rPr>
          <w:i/>
          <w:iCs/>
          <w:color w:val="000000"/>
          <w:sz w:val="22"/>
          <w:szCs w:val="22"/>
        </w:rPr>
        <w:t>Tubercolosi</w:t>
      </w:r>
    </w:p>
    <w:p w:rsidR="006224C2" w:rsidRPr="00295E71" w14:paraId="32B63858" w14:textId="77777777">
      <w:pPr>
        <w:keepNext/>
        <w:tabs>
          <w:tab w:val="left" w:pos="567"/>
        </w:tabs>
        <w:autoSpaceDE w:val="0"/>
        <w:autoSpaceDN w:val="0"/>
        <w:adjustRightInd w:val="0"/>
        <w:jc w:val="both"/>
        <w:rPr>
          <w:color w:val="000000"/>
          <w:sz w:val="22"/>
          <w:szCs w:val="22"/>
        </w:rPr>
      </w:pPr>
    </w:p>
    <w:p w:rsidR="006224C2" w:rsidRPr="00295E71" w14:paraId="139C6735" w14:textId="77777777">
      <w:pPr>
        <w:keepNext/>
        <w:tabs>
          <w:tab w:val="left" w:pos="567"/>
        </w:tabs>
        <w:autoSpaceDE w:val="0"/>
        <w:autoSpaceDN w:val="0"/>
        <w:adjustRightInd w:val="0"/>
        <w:jc w:val="both"/>
        <w:rPr>
          <w:color w:val="000000"/>
          <w:sz w:val="22"/>
          <w:szCs w:val="22"/>
        </w:rPr>
      </w:pPr>
      <w:r w:rsidRPr="00295E71">
        <w:rPr>
          <w:color w:val="000000"/>
          <w:sz w:val="22"/>
          <w:szCs w:val="22"/>
        </w:rPr>
        <w:t>È stata riportata tubercolosi, inclusa riattivazione e nuova manifestazione di tubercolosi, in pazienti che utilizzano Humira. Sono stati riportati casi di tubercolosi polmonare ed extra-polmonare (ovvero disseminata).</w:t>
      </w:r>
    </w:p>
    <w:p w:rsidR="006224C2" w:rsidRPr="00295E71" w14:paraId="72300A8F" w14:textId="77777777">
      <w:pPr>
        <w:tabs>
          <w:tab w:val="left" w:pos="567"/>
        </w:tabs>
        <w:autoSpaceDE w:val="0"/>
        <w:autoSpaceDN w:val="0"/>
        <w:adjustRightInd w:val="0"/>
        <w:jc w:val="both"/>
        <w:rPr>
          <w:color w:val="000000"/>
          <w:sz w:val="22"/>
          <w:szCs w:val="22"/>
        </w:rPr>
      </w:pPr>
    </w:p>
    <w:p w:rsidR="006224C2" w:rsidRPr="00295E71" w14:paraId="3811F388" w14:textId="77777777">
      <w:pPr>
        <w:tabs>
          <w:tab w:val="left" w:pos="567"/>
        </w:tabs>
        <w:autoSpaceDE w:val="0"/>
        <w:autoSpaceDN w:val="0"/>
        <w:adjustRightInd w:val="0"/>
        <w:jc w:val="both"/>
        <w:rPr>
          <w:color w:val="000000"/>
          <w:sz w:val="22"/>
          <w:szCs w:val="22"/>
        </w:rPr>
      </w:pPr>
      <w:r w:rsidRPr="00295E71">
        <w:rPr>
          <w:color w:val="000000"/>
          <w:sz w:val="22"/>
          <w:szCs w:val="22"/>
        </w:rPr>
        <w:t xml:space="preserve">Prima di iniziare la terapia con Humira, tutti i pazienti devono essere esaminati per valutare la presenza di tubercolosi attiva o inattiva (“latente”). Tale valutazione deve includere un’anamnesi clinica dettagliata dei pazienti con una storia pregressa di tubercolosi o eventuali contatti con persone affette da tubercolosi attiva, e con precedenti e/o concomitanti terapie immunosoppressive. Devono essere eseguiti appropriati esami di screening (ovvero il test cutaneo alla tubercolina e la radiografia toracica) in tutti i pazienti (possono essere seguite le linee guida locali). Si raccomanda che l’esecuzione e i risultati di tali test vengano registrati nella </w:t>
      </w:r>
      <w:r w:rsidRPr="00345505" w:rsidR="00345505">
        <w:rPr>
          <w:color w:val="000000"/>
          <w:sz w:val="22"/>
          <w:szCs w:val="22"/>
        </w:rPr>
        <w:t>Scheda Promemoria per il Paziente</w:t>
      </w:r>
      <w:r w:rsidRPr="00295E71">
        <w:rPr>
          <w:color w:val="000000"/>
          <w:sz w:val="22"/>
          <w:szCs w:val="22"/>
        </w:rPr>
        <w:t>. I medici devono porre attenzione al rischio di falsi negativi al test cutaneo alla tubercolina, soprattutto in pazienti gravemente ammalati o immunocompromessi.</w:t>
      </w:r>
    </w:p>
    <w:p w:rsidR="006224C2" w:rsidRPr="00295E71" w14:paraId="23B86B52" w14:textId="77777777">
      <w:pPr>
        <w:tabs>
          <w:tab w:val="left" w:pos="567"/>
        </w:tabs>
        <w:autoSpaceDE w:val="0"/>
        <w:autoSpaceDN w:val="0"/>
        <w:adjustRightInd w:val="0"/>
        <w:jc w:val="both"/>
        <w:rPr>
          <w:color w:val="000000"/>
          <w:sz w:val="22"/>
          <w:szCs w:val="22"/>
        </w:rPr>
      </w:pPr>
    </w:p>
    <w:p w:rsidR="006224C2" w:rsidRPr="00295E71" w14:paraId="74F9E421" w14:textId="77777777">
      <w:pPr>
        <w:tabs>
          <w:tab w:val="left" w:pos="567"/>
        </w:tabs>
        <w:autoSpaceDE w:val="0"/>
        <w:autoSpaceDN w:val="0"/>
        <w:adjustRightInd w:val="0"/>
        <w:jc w:val="both"/>
        <w:rPr>
          <w:sz w:val="22"/>
          <w:szCs w:val="22"/>
        </w:rPr>
      </w:pPr>
      <w:r w:rsidRPr="00295E71">
        <w:rPr>
          <w:sz w:val="22"/>
          <w:szCs w:val="22"/>
        </w:rPr>
        <w:t>Se si diagnostica una tubercolosi attiva, la terapia con Humira non deve essere iniziata (vedere paragrafo 4.3).</w:t>
      </w:r>
    </w:p>
    <w:p w:rsidR="006224C2" w:rsidRPr="00295E71" w14:paraId="31B1C0CC" w14:textId="77777777">
      <w:pPr>
        <w:tabs>
          <w:tab w:val="left" w:pos="567"/>
        </w:tabs>
        <w:autoSpaceDE w:val="0"/>
        <w:autoSpaceDN w:val="0"/>
        <w:adjustRightInd w:val="0"/>
        <w:jc w:val="both"/>
        <w:rPr>
          <w:sz w:val="22"/>
          <w:szCs w:val="22"/>
        </w:rPr>
      </w:pPr>
    </w:p>
    <w:p w:rsidR="006224C2" w:rsidRPr="00295E71" w14:paraId="0B3E20DD" w14:textId="77777777">
      <w:pPr>
        <w:tabs>
          <w:tab w:val="left" w:pos="567"/>
        </w:tabs>
        <w:autoSpaceDE w:val="0"/>
        <w:autoSpaceDN w:val="0"/>
        <w:adjustRightInd w:val="0"/>
        <w:jc w:val="both"/>
        <w:rPr>
          <w:sz w:val="22"/>
          <w:szCs w:val="22"/>
        </w:rPr>
      </w:pPr>
      <w:r w:rsidRPr="00295E71">
        <w:rPr>
          <w:sz w:val="22"/>
          <w:szCs w:val="22"/>
        </w:rPr>
        <w:t>In tutte le situazioni di seguito descritte è opportuno effettuare un’attenta valutazione del rapporto beneficio/rischio della terapia.</w:t>
      </w:r>
    </w:p>
    <w:p w:rsidR="006224C2" w:rsidRPr="00295E71" w14:paraId="697F6E16" w14:textId="77777777">
      <w:pPr>
        <w:tabs>
          <w:tab w:val="left" w:pos="567"/>
        </w:tabs>
        <w:autoSpaceDE w:val="0"/>
        <w:autoSpaceDN w:val="0"/>
        <w:adjustRightInd w:val="0"/>
        <w:jc w:val="both"/>
        <w:rPr>
          <w:sz w:val="22"/>
          <w:szCs w:val="22"/>
        </w:rPr>
      </w:pPr>
    </w:p>
    <w:p w:rsidR="006224C2" w:rsidRPr="00295E71" w14:paraId="58AF3DD9" w14:textId="77777777">
      <w:pPr>
        <w:tabs>
          <w:tab w:val="left" w:pos="567"/>
        </w:tabs>
        <w:autoSpaceDE w:val="0"/>
        <w:autoSpaceDN w:val="0"/>
        <w:adjustRightInd w:val="0"/>
        <w:jc w:val="both"/>
        <w:rPr>
          <w:sz w:val="22"/>
          <w:szCs w:val="22"/>
        </w:rPr>
      </w:pPr>
      <w:r w:rsidRPr="00295E71">
        <w:rPr>
          <w:sz w:val="22"/>
          <w:szCs w:val="22"/>
        </w:rPr>
        <w:t>Se si sospetta una tubercolosi latente, è consigliabile consultare un medico specializzato nel trattamento della tubercolosi.</w:t>
      </w:r>
    </w:p>
    <w:p w:rsidR="006224C2" w:rsidRPr="00295E71" w14:paraId="55E49156" w14:textId="77777777">
      <w:pPr>
        <w:tabs>
          <w:tab w:val="left" w:pos="567"/>
        </w:tabs>
        <w:autoSpaceDE w:val="0"/>
        <w:autoSpaceDN w:val="0"/>
        <w:adjustRightInd w:val="0"/>
        <w:jc w:val="both"/>
        <w:rPr>
          <w:sz w:val="22"/>
          <w:szCs w:val="22"/>
        </w:rPr>
      </w:pPr>
    </w:p>
    <w:p w:rsidR="006224C2" w:rsidRPr="00295E71" w14:paraId="3CA87279" w14:textId="77777777">
      <w:pPr>
        <w:tabs>
          <w:tab w:val="left" w:pos="567"/>
        </w:tabs>
        <w:jc w:val="both"/>
        <w:rPr>
          <w:color w:val="000000"/>
          <w:sz w:val="22"/>
          <w:szCs w:val="22"/>
        </w:rPr>
      </w:pPr>
      <w:r w:rsidRPr="00295E71">
        <w:rPr>
          <w:color w:val="000000"/>
          <w:sz w:val="22"/>
          <w:szCs w:val="22"/>
        </w:rPr>
        <w:t>In caso di diagnosi positiva di tubercolosi latente, prima di iniziare la terapia con Humira deve essere istituito il trattamento di profilassi anti-tubercolare in accordo alle raccomandazioni locali.</w:t>
      </w:r>
    </w:p>
    <w:p w:rsidR="006224C2" w:rsidRPr="00295E71" w14:paraId="253C6AD1" w14:textId="77777777">
      <w:pPr>
        <w:tabs>
          <w:tab w:val="left" w:pos="567"/>
        </w:tabs>
        <w:jc w:val="both"/>
        <w:rPr>
          <w:color w:val="000000"/>
          <w:sz w:val="22"/>
          <w:szCs w:val="22"/>
        </w:rPr>
      </w:pPr>
    </w:p>
    <w:p w:rsidR="006224C2" w:rsidRPr="00295E71" w14:paraId="19DAAC1E" w14:textId="77777777">
      <w:pPr>
        <w:tabs>
          <w:tab w:val="left" w:pos="567"/>
        </w:tabs>
        <w:jc w:val="both"/>
        <w:rPr>
          <w:color w:val="000000"/>
          <w:sz w:val="22"/>
          <w:szCs w:val="22"/>
        </w:rPr>
      </w:pPr>
      <w:r w:rsidRPr="00295E71">
        <w:rPr>
          <w:color w:val="000000"/>
          <w:sz w:val="22"/>
          <w:szCs w:val="22"/>
        </w:rPr>
        <w:t xml:space="preserve">L’istituzione di un trattamento di profilassi anti-tubercolare deve essere presa in considerazione anche prima di iniziare il trattamento a base di Humira in pazienti con diversi o significativi fattori di rischio per la tubercolosi nonostante un test negativo per la tubercolosi e in quei pazienti che all’anamnesi presentano una storia personale di tubercolosi latente o attiva nei quali non sia possibile confermare se il ciclo di trattamento cui sono stati sottoposti sia risultato adeguato. </w:t>
      </w:r>
    </w:p>
    <w:p w:rsidR="006224C2" w:rsidRPr="00295E71" w14:paraId="7509CCB8" w14:textId="77777777">
      <w:pPr>
        <w:tabs>
          <w:tab w:val="left" w:pos="567"/>
        </w:tabs>
        <w:jc w:val="both"/>
        <w:rPr>
          <w:color w:val="000000"/>
          <w:sz w:val="22"/>
          <w:szCs w:val="22"/>
        </w:rPr>
      </w:pPr>
    </w:p>
    <w:p w:rsidR="006224C2" w:rsidRPr="00295E71" w14:paraId="13FF962C" w14:textId="77777777">
      <w:pPr>
        <w:tabs>
          <w:tab w:val="left" w:pos="567"/>
        </w:tabs>
        <w:jc w:val="both"/>
        <w:rPr>
          <w:color w:val="000000"/>
          <w:sz w:val="22"/>
          <w:szCs w:val="22"/>
        </w:rPr>
      </w:pPr>
      <w:r w:rsidRPr="00295E71">
        <w:rPr>
          <w:color w:val="000000"/>
          <w:sz w:val="22"/>
          <w:szCs w:val="22"/>
        </w:rPr>
        <w:t>Nonostante il trattamento di profilassi per la tubercolosi, si sono verificati casi di riattivazione di tubercolosi in pazienti trattati con Humira. Nel corso del trattamento con Humira, alcuni pazienti trattati con successo per la tubercolosi attiva hanno manifestato nuovamente la comparsa di tubercolosi.</w:t>
      </w:r>
    </w:p>
    <w:p w:rsidR="006224C2" w:rsidRPr="00295E71" w14:paraId="4F30DC0B" w14:textId="77777777">
      <w:pPr>
        <w:tabs>
          <w:tab w:val="left" w:pos="567"/>
        </w:tabs>
        <w:autoSpaceDE w:val="0"/>
        <w:autoSpaceDN w:val="0"/>
        <w:adjustRightInd w:val="0"/>
        <w:jc w:val="both"/>
        <w:rPr>
          <w:color w:val="000000"/>
          <w:sz w:val="22"/>
          <w:szCs w:val="22"/>
        </w:rPr>
      </w:pPr>
    </w:p>
    <w:p w:rsidR="006224C2" w:rsidRPr="00295E71" w14:paraId="20766578" w14:textId="77777777">
      <w:pPr>
        <w:tabs>
          <w:tab w:val="left" w:pos="567"/>
        </w:tabs>
        <w:autoSpaceDE w:val="0"/>
        <w:autoSpaceDN w:val="0"/>
        <w:adjustRightInd w:val="0"/>
        <w:jc w:val="both"/>
        <w:rPr>
          <w:color w:val="000000"/>
          <w:sz w:val="22"/>
          <w:szCs w:val="22"/>
        </w:rPr>
      </w:pPr>
      <w:r w:rsidRPr="00295E71">
        <w:rPr>
          <w:color w:val="000000"/>
          <w:sz w:val="22"/>
          <w:szCs w:val="22"/>
        </w:rPr>
        <w:t>I pazienti devono essere avvisati di</w:t>
      </w:r>
      <w:r w:rsidRPr="00295E71" w:rsidR="003063DA">
        <w:rPr>
          <w:color w:val="000000"/>
          <w:sz w:val="22"/>
          <w:szCs w:val="22"/>
        </w:rPr>
        <w:t xml:space="preserve"> </w:t>
      </w:r>
      <w:r w:rsidRPr="00295E71">
        <w:rPr>
          <w:color w:val="000000"/>
          <w:sz w:val="22"/>
          <w:szCs w:val="22"/>
        </w:rPr>
        <w:t>rivolgersi al medico se, durante o dopo la terapia con Humira, si manifestano segni/sintomi indicativi di possibile infezione tubercolare (per es. tosse persistente, deperimento, perdita di peso, febbre moderata, svogliatezza).</w:t>
      </w:r>
    </w:p>
    <w:p w:rsidR="006224C2" w:rsidRPr="00295E71" w14:paraId="791F6D67" w14:textId="77777777">
      <w:pPr>
        <w:tabs>
          <w:tab w:val="left" w:pos="567"/>
        </w:tabs>
        <w:autoSpaceDE w:val="0"/>
        <w:autoSpaceDN w:val="0"/>
        <w:adjustRightInd w:val="0"/>
        <w:jc w:val="both"/>
        <w:rPr>
          <w:color w:val="000000"/>
          <w:sz w:val="22"/>
          <w:szCs w:val="22"/>
        </w:rPr>
      </w:pPr>
    </w:p>
    <w:p w:rsidR="006224C2" w:rsidRPr="00295E71" w14:paraId="45B50D31" w14:textId="77777777">
      <w:pPr>
        <w:rPr>
          <w:color w:val="000000"/>
          <w:sz w:val="22"/>
          <w:szCs w:val="22"/>
        </w:rPr>
      </w:pPr>
      <w:r w:rsidRPr="00295E71">
        <w:rPr>
          <w:i/>
          <w:iCs/>
          <w:color w:val="000000"/>
          <w:sz w:val="22"/>
          <w:szCs w:val="22"/>
        </w:rPr>
        <w:t>Altre infezioni opportunistiche</w:t>
      </w:r>
    </w:p>
    <w:p w:rsidR="006224C2" w:rsidRPr="00295E71" w14:paraId="4DC7E58B" w14:textId="77777777">
      <w:pPr>
        <w:tabs>
          <w:tab w:val="left" w:pos="567"/>
        </w:tabs>
        <w:autoSpaceDE w:val="0"/>
        <w:autoSpaceDN w:val="0"/>
        <w:adjustRightInd w:val="0"/>
        <w:jc w:val="both"/>
        <w:rPr>
          <w:color w:val="000000"/>
          <w:sz w:val="22"/>
          <w:szCs w:val="22"/>
        </w:rPr>
      </w:pPr>
    </w:p>
    <w:p w:rsidR="006224C2" w:rsidRPr="00295E71" w14:paraId="08BDF00C" w14:textId="77777777">
      <w:pPr>
        <w:tabs>
          <w:tab w:val="left" w:pos="567"/>
        </w:tabs>
        <w:autoSpaceDE w:val="0"/>
        <w:autoSpaceDN w:val="0"/>
        <w:adjustRightInd w:val="0"/>
        <w:jc w:val="both"/>
        <w:rPr>
          <w:color w:val="000000"/>
          <w:sz w:val="22"/>
          <w:szCs w:val="22"/>
        </w:rPr>
      </w:pPr>
      <w:r w:rsidRPr="00295E71">
        <w:rPr>
          <w:color w:val="000000"/>
          <w:sz w:val="22"/>
          <w:szCs w:val="22"/>
        </w:rPr>
        <w:t>In pazienti che hanno assunto Humira sono stati osservati casi di infezioni opportunistiche, incluse infezioni fungine invasive. Queste infezioni non sono state correttamente diagnosticate in pazienti che assumevano antagonisti del TNF e ciò ha comportato un ritardo nel trattamento appropriato, talvolta con esito fatale.</w:t>
      </w:r>
    </w:p>
    <w:p w:rsidR="006224C2" w:rsidRPr="00295E71" w14:paraId="79AEBB12" w14:textId="77777777">
      <w:pPr>
        <w:tabs>
          <w:tab w:val="left" w:pos="567"/>
        </w:tabs>
        <w:autoSpaceDE w:val="0"/>
        <w:autoSpaceDN w:val="0"/>
        <w:adjustRightInd w:val="0"/>
        <w:jc w:val="both"/>
        <w:rPr>
          <w:color w:val="000000"/>
          <w:sz w:val="22"/>
          <w:szCs w:val="22"/>
        </w:rPr>
      </w:pPr>
    </w:p>
    <w:p w:rsidR="006224C2" w:rsidRPr="00295E71" w14:paraId="3F4BA304" w14:textId="77777777">
      <w:pPr>
        <w:tabs>
          <w:tab w:val="left" w:pos="567"/>
        </w:tabs>
        <w:autoSpaceDE w:val="0"/>
        <w:autoSpaceDN w:val="0"/>
        <w:adjustRightInd w:val="0"/>
        <w:jc w:val="both"/>
        <w:rPr>
          <w:color w:val="000000"/>
          <w:sz w:val="22"/>
          <w:szCs w:val="22"/>
        </w:rPr>
      </w:pPr>
      <w:r w:rsidRPr="00295E71">
        <w:rPr>
          <w:color w:val="000000"/>
          <w:sz w:val="22"/>
          <w:szCs w:val="22"/>
        </w:rPr>
        <w:t>In pazienti che sviluppano segni e sintomi quali febbre, malessere, perdita di peso, sudorazione, tosse, dispnea e/o infiltrato polmonare o altre malattie sistemiche gravi con o senza shock concomitante si deve sospettare un’infezione fungina invasiva e deve essere prontamente interrotta la somministrazione di Humira. La diagnosi e la somministrazione di terapia antifungina empirica in questi pazienti dovrebbero essere effettuate consultando un medico specializzato nella cura di pazienti con infezioni fungine invasive.</w:t>
      </w:r>
    </w:p>
    <w:p w:rsidR="006224C2" w:rsidRPr="00295E71" w14:paraId="53B9A57F" w14:textId="77777777">
      <w:pPr>
        <w:tabs>
          <w:tab w:val="left" w:pos="567"/>
        </w:tabs>
        <w:autoSpaceDE w:val="0"/>
        <w:autoSpaceDN w:val="0"/>
        <w:adjustRightInd w:val="0"/>
        <w:jc w:val="both"/>
        <w:rPr>
          <w:color w:val="000000"/>
          <w:sz w:val="22"/>
          <w:szCs w:val="22"/>
        </w:rPr>
      </w:pPr>
    </w:p>
    <w:p w:rsidR="006224C2" w:rsidRPr="00295E71" w14:paraId="140ED933" w14:textId="77777777">
      <w:pPr>
        <w:keepNext/>
        <w:tabs>
          <w:tab w:val="left" w:pos="567"/>
        </w:tabs>
        <w:autoSpaceDE w:val="0"/>
        <w:autoSpaceDN w:val="0"/>
        <w:adjustRightInd w:val="0"/>
        <w:jc w:val="both"/>
        <w:rPr>
          <w:color w:val="000000"/>
          <w:sz w:val="22"/>
          <w:szCs w:val="22"/>
        </w:rPr>
      </w:pPr>
      <w:r w:rsidRPr="00295E71">
        <w:rPr>
          <w:color w:val="000000"/>
          <w:sz w:val="22"/>
          <w:szCs w:val="22"/>
          <w:u w:val="single"/>
        </w:rPr>
        <w:t>Riattivazione dell’Epatite B</w:t>
      </w:r>
    </w:p>
    <w:p w:rsidR="006224C2" w:rsidRPr="00295E71" w14:paraId="18AF27C3" w14:textId="77777777">
      <w:pPr>
        <w:keepNext/>
        <w:tabs>
          <w:tab w:val="left" w:pos="567"/>
        </w:tabs>
        <w:autoSpaceDE w:val="0"/>
        <w:autoSpaceDN w:val="0"/>
        <w:adjustRightInd w:val="0"/>
        <w:jc w:val="both"/>
        <w:rPr>
          <w:color w:val="000000"/>
          <w:sz w:val="22"/>
          <w:szCs w:val="22"/>
        </w:rPr>
      </w:pPr>
    </w:p>
    <w:p w:rsidR="006224C2" w:rsidRPr="00295E71" w14:paraId="12951A17" w14:textId="77777777">
      <w:pPr>
        <w:keepNext/>
        <w:tabs>
          <w:tab w:val="left" w:pos="567"/>
        </w:tabs>
        <w:autoSpaceDE w:val="0"/>
        <w:autoSpaceDN w:val="0"/>
        <w:adjustRightInd w:val="0"/>
        <w:jc w:val="both"/>
        <w:rPr>
          <w:color w:val="000000"/>
          <w:sz w:val="22"/>
          <w:szCs w:val="22"/>
        </w:rPr>
      </w:pPr>
      <w:r w:rsidRPr="00295E71">
        <w:rPr>
          <w:color w:val="000000"/>
          <w:sz w:val="22"/>
          <w:szCs w:val="22"/>
        </w:rPr>
        <w:t>In pazienti portatori cronici del virus dell’epatite B sottoposti a trattamento con antagonisti del TNF incluso Humira, si è verificata una riattivazione dell’epatite B (ad es. antigene di superficie positivo). Alcuni casi hanno avuto un esito fatale. Prima di iniziare il trattamento con Humira, i pazienti devono essere testati per l’infezione da virus dell’epatite B. Si raccomanda la consultazione di un medico con esperienza nel trattamento dell’epatite B per quei pazienti che risultano positivi al test per l’epatite B.</w:t>
      </w:r>
    </w:p>
    <w:p w:rsidR="006224C2" w:rsidRPr="00295E71" w14:paraId="7D16AB4F" w14:textId="77777777">
      <w:pPr>
        <w:tabs>
          <w:tab w:val="left" w:pos="567"/>
        </w:tabs>
        <w:autoSpaceDE w:val="0"/>
        <w:autoSpaceDN w:val="0"/>
        <w:adjustRightInd w:val="0"/>
        <w:jc w:val="both"/>
        <w:rPr>
          <w:color w:val="000000"/>
          <w:sz w:val="22"/>
          <w:szCs w:val="22"/>
        </w:rPr>
      </w:pPr>
    </w:p>
    <w:p w:rsidR="006224C2" w:rsidRPr="00295E71" w14:paraId="69B6F66C" w14:textId="77777777">
      <w:pPr>
        <w:tabs>
          <w:tab w:val="left" w:pos="567"/>
        </w:tabs>
        <w:autoSpaceDE w:val="0"/>
        <w:autoSpaceDN w:val="0"/>
        <w:adjustRightInd w:val="0"/>
        <w:jc w:val="both"/>
        <w:rPr>
          <w:color w:val="000000"/>
          <w:sz w:val="22"/>
          <w:szCs w:val="22"/>
        </w:rPr>
      </w:pPr>
      <w:r w:rsidRPr="00295E71">
        <w:rPr>
          <w:color w:val="000000"/>
          <w:sz w:val="22"/>
          <w:szCs w:val="22"/>
        </w:rPr>
        <w:t>I portatori del virus dell’epatite B che necessitano di un trattamento con Humira devono essere attentamente monitorati allo scopo di rilevare la comparsa dei segni e sintomi dell’infezione attiva da virus dell’epatite B non solo nel corso di tutta la terapia, ma anche durante i mesi successivi alla sospensione della terapia. Non sono disponibili dati adeguati derivanti dal trattamento di pazienti portatori del virus dell’epatite B, sottoposti a terapia anti-virale al fine di evitare la riattivazione del virus dell’epatite B, in concomitanza con la terapia con antagonisti del TNF. Nei pazienti che sviluppano una riattivazione del virus dell’epatite B, la somministrazione di Humira deve essere interrotta e deve essere istituita un’efficace terapia anti-virale accompagnata da un adeguato trattamento di supporto.</w:t>
      </w:r>
    </w:p>
    <w:p w:rsidR="006224C2" w:rsidRPr="00295E71" w14:paraId="2B188FD6" w14:textId="77777777">
      <w:pPr>
        <w:tabs>
          <w:tab w:val="left" w:pos="567"/>
        </w:tabs>
        <w:autoSpaceDE w:val="0"/>
        <w:autoSpaceDN w:val="0"/>
        <w:adjustRightInd w:val="0"/>
        <w:jc w:val="both"/>
        <w:rPr>
          <w:color w:val="000000"/>
          <w:sz w:val="22"/>
          <w:szCs w:val="22"/>
        </w:rPr>
      </w:pPr>
    </w:p>
    <w:p w:rsidR="006224C2" w:rsidRPr="00295E71" w14:paraId="6852CF38" w14:textId="77777777">
      <w:pPr>
        <w:keepNext/>
        <w:rPr>
          <w:color w:val="000000"/>
          <w:sz w:val="22"/>
          <w:szCs w:val="22"/>
          <w:u w:val="single"/>
        </w:rPr>
      </w:pPr>
      <w:r w:rsidRPr="00295E71">
        <w:rPr>
          <w:color w:val="000000"/>
          <w:sz w:val="22"/>
          <w:szCs w:val="22"/>
          <w:u w:val="single"/>
        </w:rPr>
        <w:t>Eventi neurologici</w:t>
      </w:r>
    </w:p>
    <w:p w:rsidR="006224C2" w:rsidRPr="00295E71" w14:paraId="4BE48650" w14:textId="77777777">
      <w:pPr>
        <w:keepNext/>
        <w:tabs>
          <w:tab w:val="left" w:pos="567"/>
        </w:tabs>
        <w:autoSpaceDE w:val="0"/>
        <w:autoSpaceDN w:val="0"/>
        <w:adjustRightInd w:val="0"/>
        <w:jc w:val="both"/>
        <w:rPr>
          <w:color w:val="000000"/>
          <w:sz w:val="22"/>
          <w:szCs w:val="22"/>
          <w:u w:val="single"/>
        </w:rPr>
      </w:pPr>
    </w:p>
    <w:p w:rsidR="006224C2" w:rsidRPr="00295E71" w14:paraId="19018547" w14:textId="77777777">
      <w:pPr>
        <w:keepNext/>
        <w:tabs>
          <w:tab w:val="left" w:pos="567"/>
        </w:tabs>
        <w:autoSpaceDE w:val="0"/>
        <w:autoSpaceDN w:val="0"/>
        <w:adjustRightInd w:val="0"/>
        <w:jc w:val="both"/>
        <w:rPr>
          <w:color w:val="000000"/>
          <w:sz w:val="22"/>
          <w:szCs w:val="22"/>
        </w:rPr>
      </w:pPr>
      <w:r w:rsidRPr="00295E71">
        <w:rPr>
          <w:color w:val="000000"/>
          <w:sz w:val="22"/>
          <w:szCs w:val="22"/>
        </w:rPr>
        <w:t>I farmaci anti-TNF, compreso Humira, sono stati correlati, in rari casi, con la nuova insorgenza o con l’esacerbazione di sintomi clinici e/o evidenze radiografiche di malattie demielinizzanti del sistema nervoso centrale, inclusa la sclerosi multipla, la neurite ottica e le malattie demielinizzanti periferiche, compresa la sindrome di Guillain-Barrè. Deve essere usata cautela nell’uso di Humira in quei pazienti con patologie demielinizzanti del sistema nervoso centrale o periferico pregresse o di recente insorgenza; l’interruzione di Humira deve essere presa in considerazione nel caso in cui si sviluppi una qualsiasi di queste patologie. Sussiste una nota associazione tra l’uveite intermedia e le patologie demielinizzanti del sistema nervoso centrale. La valutazione neurologica deve essere effettuata sui pazienti con uveite intermedia non infettiva prima di iniziare la terapia con Humira e a intervalli regolari durante il trattamento al fine di valutare le patologie demielinizzanti del sistema nervoso centrale</w:t>
      </w:r>
      <w:r w:rsidRPr="00295E71" w:rsidR="003063DA">
        <w:rPr>
          <w:color w:val="000000"/>
          <w:sz w:val="22"/>
          <w:szCs w:val="22"/>
        </w:rPr>
        <w:t xml:space="preserve"> </w:t>
      </w:r>
      <w:r w:rsidRPr="00295E71">
        <w:rPr>
          <w:color w:val="000000"/>
          <w:sz w:val="22"/>
          <w:szCs w:val="22"/>
        </w:rPr>
        <w:t>pregresse o in fase di sviluppo.</w:t>
      </w:r>
    </w:p>
    <w:p w:rsidR="006224C2" w:rsidRPr="00295E71" w14:paraId="6A62C2F1" w14:textId="77777777">
      <w:pPr>
        <w:tabs>
          <w:tab w:val="left" w:pos="567"/>
        </w:tabs>
        <w:autoSpaceDE w:val="0"/>
        <w:autoSpaceDN w:val="0"/>
        <w:adjustRightInd w:val="0"/>
        <w:jc w:val="both"/>
        <w:rPr>
          <w:color w:val="000000"/>
          <w:sz w:val="22"/>
          <w:szCs w:val="22"/>
          <w:u w:val="single"/>
        </w:rPr>
      </w:pPr>
    </w:p>
    <w:p w:rsidR="006224C2" w:rsidRPr="00295E71" w14:paraId="69DD82B2" w14:textId="77777777">
      <w:pPr>
        <w:tabs>
          <w:tab w:val="left" w:pos="567"/>
        </w:tabs>
        <w:jc w:val="both"/>
        <w:rPr>
          <w:color w:val="000000"/>
          <w:sz w:val="22"/>
          <w:szCs w:val="22"/>
          <w:u w:val="single"/>
        </w:rPr>
      </w:pPr>
      <w:r w:rsidRPr="00295E71">
        <w:rPr>
          <w:color w:val="000000"/>
          <w:sz w:val="22"/>
          <w:szCs w:val="22"/>
          <w:u w:val="single"/>
        </w:rPr>
        <w:t>Reazioni allergiche</w:t>
      </w:r>
    </w:p>
    <w:p w:rsidR="006224C2" w:rsidRPr="00295E71" w14:paraId="71EBDD1F" w14:textId="77777777">
      <w:pPr>
        <w:tabs>
          <w:tab w:val="left" w:pos="567"/>
        </w:tabs>
        <w:jc w:val="both"/>
        <w:rPr>
          <w:color w:val="000000"/>
          <w:sz w:val="22"/>
          <w:szCs w:val="22"/>
          <w:u w:val="single"/>
        </w:rPr>
      </w:pPr>
    </w:p>
    <w:p w:rsidR="006224C2" w:rsidRPr="00295E71" w14:paraId="008EF523" w14:textId="77777777">
      <w:pPr>
        <w:tabs>
          <w:tab w:val="left" w:pos="567"/>
        </w:tabs>
        <w:autoSpaceDE w:val="0"/>
        <w:autoSpaceDN w:val="0"/>
        <w:adjustRightInd w:val="0"/>
        <w:jc w:val="both"/>
        <w:rPr>
          <w:color w:val="000000"/>
          <w:sz w:val="22"/>
          <w:szCs w:val="22"/>
        </w:rPr>
      </w:pPr>
      <w:r w:rsidRPr="00295E71">
        <w:rPr>
          <w:color w:val="000000"/>
          <w:sz w:val="22"/>
          <w:szCs w:val="22"/>
        </w:rPr>
        <w:t>Nel corso degli studi clinici, reazioni allergiche gravi associate con Humira sono state rare. Le reazioni allergiche non gravi associate con Humira durante gli studi clinici sono state non comuni. Sono state ricevute segnalazioni di reazioni allergiche gravi inclusa l’anafilassi a seguito della somministrazione di Humira. Se si verificano reazioni anafilattiche o altre gravi manifestazioni allergiche, la somministrazione di Humira deve essere immediatamente interrotta e deve essere iniziata una terapia appropriata.</w:t>
      </w:r>
    </w:p>
    <w:p w:rsidR="006224C2" w:rsidRPr="00295E71" w14:paraId="075EF165" w14:textId="77777777">
      <w:pPr>
        <w:tabs>
          <w:tab w:val="left" w:pos="567"/>
        </w:tabs>
        <w:autoSpaceDE w:val="0"/>
        <w:autoSpaceDN w:val="0"/>
        <w:adjustRightInd w:val="0"/>
        <w:jc w:val="both"/>
        <w:rPr>
          <w:color w:val="000000"/>
          <w:sz w:val="22"/>
          <w:szCs w:val="22"/>
        </w:rPr>
      </w:pPr>
    </w:p>
    <w:p w:rsidR="006224C2" w:rsidRPr="00295E71" w14:paraId="605F7393" w14:textId="77777777">
      <w:pPr>
        <w:keepNext/>
        <w:rPr>
          <w:color w:val="000000"/>
          <w:sz w:val="22"/>
          <w:szCs w:val="22"/>
          <w:u w:val="single"/>
        </w:rPr>
      </w:pPr>
      <w:r w:rsidRPr="00295E71">
        <w:rPr>
          <w:color w:val="000000"/>
          <w:sz w:val="22"/>
          <w:szCs w:val="22"/>
          <w:u w:val="single"/>
        </w:rPr>
        <w:t>Immunosoppressione</w:t>
      </w:r>
    </w:p>
    <w:p w:rsidR="006224C2" w:rsidRPr="00295E71" w14:paraId="48E1C979" w14:textId="77777777">
      <w:pPr>
        <w:keepNext/>
        <w:tabs>
          <w:tab w:val="left" w:pos="567"/>
        </w:tabs>
        <w:autoSpaceDE w:val="0"/>
        <w:autoSpaceDN w:val="0"/>
        <w:adjustRightInd w:val="0"/>
        <w:jc w:val="both"/>
        <w:rPr>
          <w:color w:val="000000"/>
          <w:sz w:val="22"/>
          <w:szCs w:val="22"/>
          <w:u w:val="single"/>
        </w:rPr>
      </w:pPr>
    </w:p>
    <w:p w:rsidR="006224C2" w:rsidRPr="00295E71" w14:paraId="18FAFAE1" w14:textId="77777777">
      <w:pPr>
        <w:keepNext/>
        <w:tabs>
          <w:tab w:val="left" w:pos="567"/>
        </w:tabs>
        <w:jc w:val="both"/>
        <w:rPr>
          <w:color w:val="000000"/>
          <w:sz w:val="22"/>
          <w:szCs w:val="22"/>
        </w:rPr>
      </w:pPr>
      <w:r w:rsidRPr="00295E71">
        <w:rPr>
          <w:color w:val="000000"/>
          <w:sz w:val="22"/>
          <w:szCs w:val="22"/>
        </w:rPr>
        <w:t>In uno studio su 64 pazienti con artrite reumatoide, sottoposti a trattamento con Humira, non è stata evidenziata alcuna inibizione dell’ipersensibilità ritardata, nè riduzione dei livelli delle immunoglobuline o cambiamenti nel numero dei linfociti T, B, delle cellule NK, dei monociti/macrofagi e dei neutrofili.</w:t>
      </w:r>
    </w:p>
    <w:p w:rsidR="006224C2" w:rsidRPr="00295E71" w14:paraId="6F774DFF" w14:textId="77777777">
      <w:pPr>
        <w:tabs>
          <w:tab w:val="left" w:pos="567"/>
        </w:tabs>
        <w:jc w:val="both"/>
        <w:rPr>
          <w:sz w:val="22"/>
          <w:szCs w:val="22"/>
        </w:rPr>
      </w:pPr>
    </w:p>
    <w:p w:rsidR="006224C2" w:rsidRPr="00295E71" w14:paraId="4EF81BAF" w14:textId="77777777">
      <w:pPr>
        <w:tabs>
          <w:tab w:val="left" w:pos="567"/>
        </w:tabs>
        <w:jc w:val="both"/>
        <w:rPr>
          <w:color w:val="000000"/>
          <w:sz w:val="22"/>
          <w:szCs w:val="22"/>
          <w:u w:val="single"/>
        </w:rPr>
      </w:pPr>
      <w:r w:rsidRPr="00295E71">
        <w:rPr>
          <w:color w:val="000000"/>
          <w:sz w:val="22"/>
          <w:szCs w:val="22"/>
          <w:u w:val="single"/>
        </w:rPr>
        <w:t>Neoplasie e malattie linfoproliferative</w:t>
      </w:r>
    </w:p>
    <w:p w:rsidR="006224C2" w:rsidRPr="00295E71" w14:paraId="1F4ADFB8" w14:textId="77777777">
      <w:pPr>
        <w:tabs>
          <w:tab w:val="left" w:pos="567"/>
        </w:tabs>
        <w:jc w:val="both"/>
        <w:rPr>
          <w:color w:val="000000"/>
          <w:sz w:val="22"/>
          <w:szCs w:val="22"/>
        </w:rPr>
      </w:pPr>
    </w:p>
    <w:p w:rsidR="006224C2" w:rsidRPr="00295E71" w14:paraId="167552D7" w14:textId="77777777">
      <w:pPr>
        <w:tabs>
          <w:tab w:val="left" w:pos="567"/>
        </w:tabs>
        <w:jc w:val="both"/>
        <w:rPr>
          <w:color w:val="000000"/>
          <w:sz w:val="22"/>
          <w:szCs w:val="22"/>
        </w:rPr>
      </w:pPr>
      <w:r w:rsidRPr="00295E71">
        <w:rPr>
          <w:color w:val="000000"/>
          <w:sz w:val="22"/>
          <w:szCs w:val="22"/>
        </w:rPr>
        <w:t>Nelle sezioni controllate degli studi clinici con farmaci anti-TNF, sono stati osservati più casi di neoplasie, incluso linfoma, nei pazienti riceventi un anti-TNF rispetto al gruppo di controllo. Tuttavia, i casi sono stati rari. In studi postmarketing, sono stati riportati casi di leucemia in pazienti trattati con un antagonista-TNF. C’è un maggiore aumento del rischio di sviluppare linfomi e leucemia per i pazienti con artrite reumatoide gravemente attiva e di lunga durata, una patologia infiammatoria che complica la valutazione del rischio. Con le attuali conoscenze, non è possibile escludere lo sviluppo di linfomi, leucemia e altre neoplasie in pazienti trattati con farmaci anti-TNF.</w:t>
      </w:r>
    </w:p>
    <w:p w:rsidR="006224C2" w:rsidRPr="00295E71" w14:paraId="2DF7B00A" w14:textId="77777777">
      <w:pPr>
        <w:tabs>
          <w:tab w:val="left" w:pos="567"/>
        </w:tabs>
        <w:jc w:val="both"/>
        <w:rPr>
          <w:color w:val="000000"/>
          <w:sz w:val="22"/>
          <w:szCs w:val="22"/>
        </w:rPr>
      </w:pPr>
    </w:p>
    <w:p w:rsidR="006224C2" w:rsidRPr="00295E71" w14:paraId="12293060" w14:textId="77777777">
      <w:pPr>
        <w:tabs>
          <w:tab w:val="left" w:pos="567"/>
        </w:tabs>
        <w:jc w:val="both"/>
        <w:rPr>
          <w:color w:val="000000"/>
          <w:sz w:val="22"/>
          <w:szCs w:val="22"/>
        </w:rPr>
      </w:pPr>
      <w:r w:rsidRPr="00295E71">
        <w:rPr>
          <w:color w:val="000000"/>
          <w:sz w:val="22"/>
          <w:szCs w:val="22"/>
        </w:rPr>
        <w:t>Casi di tumori, alcuni fatali, sono stati riportati in bambini, adolescenti e adulti di giovane età (fino all’età di 22 anni) trattati con agenti antagonisti del TNF (inizio della terapia ≤18 anni), compreso l’adalimumab, negli studi postmarketing.</w:t>
      </w:r>
    </w:p>
    <w:p w:rsidR="006224C2" w:rsidRPr="00295E71" w14:paraId="513183F4" w14:textId="77777777">
      <w:pPr>
        <w:tabs>
          <w:tab w:val="left" w:pos="567"/>
        </w:tabs>
        <w:jc w:val="both"/>
        <w:rPr>
          <w:color w:val="000000"/>
          <w:sz w:val="22"/>
          <w:szCs w:val="22"/>
        </w:rPr>
      </w:pPr>
      <w:r w:rsidRPr="00295E71">
        <w:rPr>
          <w:color w:val="000000"/>
          <w:sz w:val="22"/>
          <w:szCs w:val="22"/>
        </w:rPr>
        <w:t>Circa metà dei casi sono stati linfomi. Gli altri casi hanno rappresentato una molteplicità di differenti tumori e hanno incluso rari tumori solitamente associati con immunosoppressione. Non può essere escluso un rischio per lo sviluppo di tumori in bambini ed adolescenti trattati con antagonisti del TNF.</w:t>
      </w:r>
    </w:p>
    <w:p w:rsidR="006224C2" w:rsidRPr="00295E71" w14:paraId="73A00081" w14:textId="77777777">
      <w:pPr>
        <w:tabs>
          <w:tab w:val="left" w:pos="567"/>
          <w:tab w:val="left" w:pos="1294"/>
        </w:tabs>
        <w:autoSpaceDE w:val="0"/>
        <w:autoSpaceDN w:val="0"/>
        <w:adjustRightInd w:val="0"/>
        <w:jc w:val="both"/>
        <w:rPr>
          <w:color w:val="000000"/>
          <w:sz w:val="22"/>
          <w:szCs w:val="22"/>
        </w:rPr>
      </w:pPr>
    </w:p>
    <w:p w:rsidR="006224C2" w:rsidRPr="00295E71" w14:paraId="5C403F09" w14:textId="77777777">
      <w:pPr>
        <w:tabs>
          <w:tab w:val="left" w:pos="567"/>
        </w:tabs>
        <w:jc w:val="both"/>
        <w:rPr>
          <w:color w:val="000000"/>
          <w:sz w:val="22"/>
          <w:szCs w:val="22"/>
        </w:rPr>
      </w:pPr>
      <w:r w:rsidRPr="00295E71">
        <w:rPr>
          <w:color w:val="000000"/>
          <w:sz w:val="22"/>
          <w:szCs w:val="22"/>
        </w:rPr>
        <w:t>Nei pazienti trattati con adalimumab sono stati osservati rari casi postmarketing di linfoma epatosplenico a cellule T. Questo raro tipo di linfoma a cellule T ha un decorso clinico molto aggressivo ed è spesso fatale. Alcuni di questi casi di linfoma epatosplenico a cellule T si sono manifestati in giovani pazienti adulti trattati con Humira e sottoposti a terapia concomitante con azatioprina o 6-mercaptopurina, farmaci utilizzati per il trattamento delle malattie infiammatorie intestinali. Deve essere attentamente considerato il rischio potenziale derivante dalla combinazione di azatioprina o 6-mercaptopurina e Humira. Nei pazienti trattati con Humira non può essere escluso il rischio di sviluppo del linfoma epatosplenico a cellule T (vedere paragrafo 4.8).</w:t>
      </w:r>
    </w:p>
    <w:p w:rsidR="006224C2" w:rsidRPr="00295E71" w14:paraId="27BF24F2" w14:textId="77777777">
      <w:pPr>
        <w:tabs>
          <w:tab w:val="left" w:pos="567"/>
        </w:tabs>
        <w:jc w:val="both"/>
        <w:rPr>
          <w:color w:val="000000"/>
          <w:sz w:val="22"/>
          <w:szCs w:val="22"/>
        </w:rPr>
      </w:pPr>
    </w:p>
    <w:p w:rsidR="006224C2" w:rsidRPr="00295E71" w14:paraId="6AF9283C" w14:textId="77777777">
      <w:pPr>
        <w:tabs>
          <w:tab w:val="left" w:pos="567"/>
        </w:tabs>
        <w:jc w:val="both"/>
        <w:rPr>
          <w:color w:val="000000"/>
          <w:sz w:val="22"/>
          <w:szCs w:val="22"/>
        </w:rPr>
      </w:pPr>
      <w:r w:rsidRPr="00295E71">
        <w:rPr>
          <w:color w:val="000000"/>
          <w:sz w:val="22"/>
          <w:szCs w:val="22"/>
        </w:rPr>
        <w:t>Non sono stati condotti studi clinici su pazienti con anamnesi positiva per neoplasie o su pazienti nei quali il trattamento con Humira è continuato dopo lo sviluppo di neoplasia. Pertanto, il trattamento con Humira in questa tipologia di pazienti deve essere considerato con ulteriore cautela (vedere paragrafo 4.8).</w:t>
      </w:r>
    </w:p>
    <w:p w:rsidR="006224C2" w:rsidRPr="00295E71" w14:paraId="73897B35" w14:textId="77777777">
      <w:pPr>
        <w:rPr>
          <w:color w:val="000000"/>
          <w:sz w:val="22"/>
          <w:szCs w:val="22"/>
        </w:rPr>
      </w:pPr>
    </w:p>
    <w:p w:rsidR="006224C2" w:rsidRPr="00295E71" w14:paraId="7C48925E" w14:textId="77777777">
      <w:pPr>
        <w:tabs>
          <w:tab w:val="left" w:pos="567"/>
        </w:tabs>
        <w:jc w:val="both"/>
        <w:rPr>
          <w:color w:val="000000"/>
          <w:sz w:val="22"/>
          <w:szCs w:val="22"/>
        </w:rPr>
      </w:pPr>
      <w:r w:rsidRPr="00295E71">
        <w:rPr>
          <w:color w:val="000000"/>
          <w:sz w:val="22"/>
          <w:szCs w:val="22"/>
        </w:rPr>
        <w:t>Prima e durante il trattamento con Humira, tutti i pazienti, in particolare i soggetti che presentano una storia clinica da cui risultino massicce terapie immunosoppressive o soggetti affetti da psoriasi che presentano storia clinica di trattamento con PUVA, devono essere esaminati per valutare la presenza di un eventuale tumore della pelle non melanotico. Nei pazienti trattati con antagonisti del TNF, incluso adalimumab, sono stati anche riportati melanoma e carcinoma a cellule di Merkel (vedere paragrafo 4.8).</w:t>
      </w:r>
    </w:p>
    <w:p w:rsidR="006224C2" w:rsidRPr="00295E71" w14:paraId="07241291" w14:textId="77777777">
      <w:pPr>
        <w:tabs>
          <w:tab w:val="left" w:pos="567"/>
        </w:tabs>
        <w:jc w:val="both"/>
        <w:rPr>
          <w:color w:val="000000"/>
          <w:sz w:val="22"/>
          <w:szCs w:val="22"/>
        </w:rPr>
      </w:pPr>
    </w:p>
    <w:p w:rsidR="006224C2" w:rsidRPr="00295E71" w14:paraId="0DE9063E" w14:textId="77777777">
      <w:pPr>
        <w:tabs>
          <w:tab w:val="left" w:pos="567"/>
        </w:tabs>
        <w:jc w:val="both"/>
        <w:rPr>
          <w:color w:val="000000"/>
          <w:sz w:val="22"/>
          <w:szCs w:val="22"/>
        </w:rPr>
      </w:pPr>
      <w:r w:rsidRPr="00295E71">
        <w:rPr>
          <w:color w:val="000000"/>
          <w:sz w:val="22"/>
          <w:szCs w:val="22"/>
        </w:rPr>
        <w:t>In uno studio clinico esplorativo sulla valutazione dell’uso di un altro agente antagonista del TNF, infliximab, in pazienti con malattia polmonare cronica ostruttiva (COPD) da moderata a grave, furono riportate, nei pazienti trattati con infliximab rispetto ai pazienti controllo, più neoplasie, soprattutto al polmone o alla testa ed al collo. Tutti i pazienti avevano una storia di grandi fumatori.</w:t>
      </w:r>
    </w:p>
    <w:p w:rsidR="006224C2" w:rsidRPr="00295E71" w14:paraId="3FA12987" w14:textId="77777777">
      <w:pPr>
        <w:tabs>
          <w:tab w:val="left" w:pos="567"/>
        </w:tabs>
        <w:jc w:val="both"/>
        <w:rPr>
          <w:color w:val="000000"/>
          <w:sz w:val="22"/>
          <w:szCs w:val="22"/>
        </w:rPr>
      </w:pPr>
      <w:r w:rsidRPr="00295E71">
        <w:rPr>
          <w:color w:val="000000"/>
          <w:sz w:val="22"/>
          <w:szCs w:val="22"/>
        </w:rPr>
        <w:t>Pertanto, deve essere usata cautela quando si utilizza qualsiasi antagonista-TNF in pazienti affetti da COPD, così come in pazienti con aumentato rischio di neoplasia dovut</w:t>
      </w:r>
      <w:r w:rsidR="00660603">
        <w:rPr>
          <w:color w:val="000000"/>
          <w:sz w:val="22"/>
          <w:szCs w:val="22"/>
        </w:rPr>
        <w:t>o</w:t>
      </w:r>
      <w:r w:rsidRPr="00295E71">
        <w:rPr>
          <w:color w:val="000000"/>
          <w:sz w:val="22"/>
          <w:szCs w:val="22"/>
        </w:rPr>
        <w:t xml:space="preserve"> al fumo eccessivo.</w:t>
      </w:r>
    </w:p>
    <w:p w:rsidR="006224C2" w:rsidRPr="00295E71" w14:paraId="24C2F1F1" w14:textId="77777777">
      <w:pPr>
        <w:tabs>
          <w:tab w:val="left" w:pos="567"/>
        </w:tabs>
        <w:jc w:val="both"/>
        <w:rPr>
          <w:color w:val="000000"/>
          <w:sz w:val="22"/>
          <w:szCs w:val="22"/>
        </w:rPr>
      </w:pPr>
    </w:p>
    <w:p w:rsidR="006224C2" w:rsidRPr="00295E71" w:rsidP="00F57FE5" w14:paraId="65C8727B" w14:textId="77777777">
      <w:pPr>
        <w:keepNext/>
        <w:keepLines/>
        <w:rPr>
          <w:color w:val="000000"/>
          <w:sz w:val="22"/>
          <w:szCs w:val="22"/>
        </w:rPr>
      </w:pPr>
      <w:r w:rsidRPr="00295E71">
        <w:rPr>
          <w:color w:val="000000"/>
          <w:sz w:val="22"/>
          <w:szCs w:val="22"/>
        </w:rPr>
        <w:t xml:space="preserve">In base ai dati attuali non è noto se il trattamento con adalimumab influenzi il rischio di sviluppare displasia o cancro del colon. Tutti i pazienti affetti da colite ulcerosa che sono ad aumentato rischio di displasia o carcinoma del colon (per esempio, pazienti affetti da colite ulcerosa da lunga data o da colangite sclerosante primaria), o che hanno avuto una precedente anamnesi di displasia o di carcinoma al colon devono essere sottoposti a screening regolari per displasia </w:t>
      </w:r>
      <w:r w:rsidRPr="00295E71" w:rsidR="00522EA6">
        <w:rPr>
          <w:color w:val="000000"/>
          <w:sz w:val="22"/>
          <w:szCs w:val="22"/>
        </w:rPr>
        <w:t xml:space="preserve">prima della terapia e </w:t>
      </w:r>
      <w:r w:rsidRPr="00295E71">
        <w:rPr>
          <w:color w:val="000000"/>
          <w:sz w:val="22"/>
          <w:szCs w:val="22"/>
        </w:rPr>
        <w:t>durante tutto il corso della malattia. Questa valutazione deve includere colonscopie e biopsie in base a</w:t>
      </w:r>
      <w:r w:rsidR="00660603">
        <w:rPr>
          <w:color w:val="000000"/>
          <w:sz w:val="22"/>
          <w:szCs w:val="22"/>
        </w:rPr>
        <w:t>lle</w:t>
      </w:r>
      <w:r w:rsidRPr="00295E71">
        <w:rPr>
          <w:color w:val="000000"/>
          <w:sz w:val="22"/>
          <w:szCs w:val="22"/>
        </w:rPr>
        <w:t xml:space="preserve"> raccomandazioni locali. </w:t>
      </w:r>
    </w:p>
    <w:p w:rsidR="006224C2" w:rsidRPr="00295E71" w14:paraId="55DCC0E8" w14:textId="77777777">
      <w:pPr>
        <w:tabs>
          <w:tab w:val="left" w:pos="567"/>
        </w:tabs>
        <w:jc w:val="both"/>
        <w:rPr>
          <w:color w:val="000000"/>
          <w:sz w:val="22"/>
          <w:szCs w:val="22"/>
          <w:u w:val="single"/>
        </w:rPr>
      </w:pPr>
    </w:p>
    <w:p w:rsidR="006224C2" w:rsidRPr="00295E71" w14:paraId="10E17786" w14:textId="77777777">
      <w:pPr>
        <w:keepNext/>
        <w:tabs>
          <w:tab w:val="left" w:pos="567"/>
        </w:tabs>
        <w:jc w:val="both"/>
        <w:rPr>
          <w:color w:val="000000"/>
          <w:sz w:val="22"/>
          <w:szCs w:val="22"/>
          <w:u w:val="single"/>
        </w:rPr>
      </w:pPr>
      <w:r w:rsidRPr="00295E71">
        <w:rPr>
          <w:color w:val="000000"/>
          <w:sz w:val="22"/>
          <w:szCs w:val="22"/>
          <w:u w:val="single"/>
        </w:rPr>
        <w:t>Reazioni a carico del sistema emopoietico</w:t>
      </w:r>
    </w:p>
    <w:p w:rsidR="006224C2" w:rsidRPr="00295E71" w14:paraId="34B31118" w14:textId="77777777">
      <w:pPr>
        <w:keepNext/>
        <w:tabs>
          <w:tab w:val="left" w:pos="567"/>
        </w:tabs>
        <w:jc w:val="both"/>
        <w:rPr>
          <w:color w:val="000000"/>
          <w:sz w:val="22"/>
          <w:szCs w:val="22"/>
          <w:u w:val="single"/>
        </w:rPr>
      </w:pPr>
    </w:p>
    <w:p w:rsidR="006224C2" w:rsidRPr="00295E71" w14:paraId="54A38F26" w14:textId="77777777">
      <w:pPr>
        <w:keepNext/>
        <w:tabs>
          <w:tab w:val="left" w:pos="567"/>
        </w:tabs>
        <w:jc w:val="both"/>
        <w:rPr>
          <w:color w:val="000000"/>
          <w:sz w:val="22"/>
          <w:szCs w:val="22"/>
        </w:rPr>
      </w:pPr>
      <w:r w:rsidRPr="00295E71">
        <w:rPr>
          <w:color w:val="000000"/>
          <w:sz w:val="22"/>
          <w:szCs w:val="22"/>
        </w:rPr>
        <w:t>In seguito all’uso di farmaci anti-TNF, sono stati segnalati rari casi di pancitopenia, tra cui la comparsa di anemia aplastica. Nei pazienti sottoposti a trattamento con Humira, sono stati segnalati eventi avversi a carico del sistema emopoietico, tra cui citopenie significative dal punto di vista medico (per esempio, trombocitopenia, leucopenia). Durante il trattamento con Humira tutti i pazienti devono essere avvisati della necessità di consultare immediatamente un medico per ottenere adeguata assistenza nel caso in cui si manifestino segni e sintomi che suggeriscano la presenza di discrasia ematica (per esempio, febbre persistente, ecchimosi, emorragia, pallore). Nel caso di pazienti che presentino confermate significative alterazioni a carico del sistema emopoietico, si deve prendere in considerazione la necessità di interrompere la terapia a base di Humira.</w:t>
      </w:r>
    </w:p>
    <w:p w:rsidR="006224C2" w:rsidRPr="00295E71" w14:paraId="21B77EF2" w14:textId="77777777">
      <w:pPr>
        <w:tabs>
          <w:tab w:val="left" w:pos="567"/>
        </w:tabs>
        <w:autoSpaceDE w:val="0"/>
        <w:autoSpaceDN w:val="0"/>
        <w:adjustRightInd w:val="0"/>
        <w:jc w:val="both"/>
        <w:rPr>
          <w:sz w:val="22"/>
          <w:szCs w:val="22"/>
          <w:u w:val="single"/>
        </w:rPr>
      </w:pPr>
    </w:p>
    <w:p w:rsidR="006224C2" w:rsidRPr="00295E71" w14:paraId="178DD119" w14:textId="77777777">
      <w:pPr>
        <w:keepNext/>
        <w:rPr>
          <w:sz w:val="22"/>
          <w:szCs w:val="22"/>
          <w:u w:val="single"/>
        </w:rPr>
      </w:pPr>
      <w:r w:rsidRPr="00295E71">
        <w:rPr>
          <w:sz w:val="22"/>
          <w:szCs w:val="22"/>
          <w:u w:val="single"/>
        </w:rPr>
        <w:t>Vaccinazioni</w:t>
      </w:r>
    </w:p>
    <w:p w:rsidR="006224C2" w:rsidRPr="00295E71" w14:paraId="369B74FD" w14:textId="77777777">
      <w:pPr>
        <w:keepNext/>
        <w:tabs>
          <w:tab w:val="left" w:pos="567"/>
        </w:tabs>
        <w:autoSpaceDE w:val="0"/>
        <w:autoSpaceDN w:val="0"/>
        <w:adjustRightInd w:val="0"/>
        <w:jc w:val="both"/>
        <w:rPr>
          <w:sz w:val="22"/>
          <w:szCs w:val="22"/>
          <w:u w:val="single"/>
        </w:rPr>
      </w:pPr>
    </w:p>
    <w:p w:rsidR="006224C2" w:rsidRPr="00295E71" w14:paraId="04E3DDA3" w14:textId="77777777">
      <w:pPr>
        <w:keepNext/>
        <w:tabs>
          <w:tab w:val="left" w:pos="567"/>
        </w:tabs>
        <w:autoSpaceDE w:val="0"/>
        <w:autoSpaceDN w:val="0"/>
        <w:adjustRightInd w:val="0"/>
        <w:jc w:val="both"/>
        <w:rPr>
          <w:sz w:val="22"/>
          <w:szCs w:val="22"/>
        </w:rPr>
      </w:pPr>
      <w:r w:rsidRPr="00295E71">
        <w:rPr>
          <w:sz w:val="22"/>
          <w:szCs w:val="22"/>
        </w:rPr>
        <w:t xml:space="preserve">Risposte anticorpali simili al vaccino standard 23-valente pneumococcico ed al vaccino trivalente per il virus dell’influenza sono state osservate in uno studio condotto su 226 soggetti adulti affetti da artrite reumatoide che sono stati trattati con adalimumab o con placebo. Non ci sono dati disponibili sulla trasmissione secondaria di infezione da vaccini vivi in pazienti che stanno assumendo Humira. </w:t>
      </w:r>
    </w:p>
    <w:p w:rsidR="006224C2" w:rsidRPr="00295E71" w14:paraId="34BA73E2" w14:textId="77777777">
      <w:pPr>
        <w:tabs>
          <w:tab w:val="left" w:pos="567"/>
        </w:tabs>
        <w:autoSpaceDE w:val="0"/>
        <w:autoSpaceDN w:val="0"/>
        <w:adjustRightInd w:val="0"/>
        <w:jc w:val="both"/>
        <w:rPr>
          <w:sz w:val="22"/>
          <w:szCs w:val="22"/>
        </w:rPr>
      </w:pPr>
    </w:p>
    <w:p w:rsidR="006224C2" w:rsidRPr="00295E71" w14:paraId="6FFC6B62" w14:textId="77777777">
      <w:pPr>
        <w:tabs>
          <w:tab w:val="left" w:pos="567"/>
        </w:tabs>
        <w:autoSpaceDE w:val="0"/>
        <w:autoSpaceDN w:val="0"/>
        <w:adjustRightInd w:val="0"/>
        <w:jc w:val="both"/>
        <w:rPr>
          <w:sz w:val="22"/>
          <w:szCs w:val="22"/>
        </w:rPr>
      </w:pPr>
      <w:r w:rsidRPr="00295E71">
        <w:rPr>
          <w:sz w:val="22"/>
          <w:szCs w:val="22"/>
        </w:rPr>
        <w:t>Nei pazienti pediatrici, prima di iniziare la terapia a base di Humira si raccomanda, se possibile, di attuare il programma di vaccinazioni previsto, in ottemperanza alle linee guida in vigore sulle vaccinazioni.</w:t>
      </w:r>
    </w:p>
    <w:p w:rsidR="006224C2" w:rsidRPr="00295E71" w14:paraId="41B076FA" w14:textId="77777777">
      <w:pPr>
        <w:tabs>
          <w:tab w:val="left" w:pos="567"/>
        </w:tabs>
        <w:autoSpaceDE w:val="0"/>
        <w:autoSpaceDN w:val="0"/>
        <w:adjustRightInd w:val="0"/>
        <w:jc w:val="both"/>
        <w:rPr>
          <w:sz w:val="22"/>
          <w:szCs w:val="22"/>
        </w:rPr>
      </w:pPr>
    </w:p>
    <w:p w:rsidR="006224C2" w:rsidRPr="00295E71" w14:paraId="29D12FB6" w14:textId="77777777">
      <w:pPr>
        <w:tabs>
          <w:tab w:val="left" w:pos="567"/>
        </w:tabs>
        <w:autoSpaceDE w:val="0"/>
        <w:autoSpaceDN w:val="0"/>
        <w:adjustRightInd w:val="0"/>
        <w:jc w:val="both"/>
        <w:rPr>
          <w:sz w:val="22"/>
          <w:szCs w:val="22"/>
        </w:rPr>
      </w:pPr>
      <w:r w:rsidRPr="00295E71">
        <w:rPr>
          <w:sz w:val="22"/>
          <w:szCs w:val="22"/>
        </w:rPr>
        <w:t>Pazienti trattati con Humira possono ricevere vaccinazioni simultanee, ad eccezione dei vaccini vivi.</w:t>
      </w:r>
    </w:p>
    <w:p w:rsidR="006224C2" w:rsidRPr="00295E71" w14:paraId="59201941" w14:textId="77777777">
      <w:pPr>
        <w:tabs>
          <w:tab w:val="left" w:pos="567"/>
        </w:tabs>
        <w:autoSpaceDE w:val="0"/>
        <w:autoSpaceDN w:val="0"/>
        <w:adjustRightInd w:val="0"/>
        <w:jc w:val="both"/>
        <w:rPr>
          <w:sz w:val="22"/>
          <w:szCs w:val="22"/>
        </w:rPr>
      </w:pPr>
      <w:r w:rsidRPr="00295E71">
        <w:rPr>
          <w:sz w:val="22"/>
          <w:szCs w:val="22"/>
        </w:rPr>
        <w:t xml:space="preserve">La somministrazione di vaccini vivi </w:t>
      </w:r>
      <w:r w:rsidR="00284FF4">
        <w:rPr>
          <w:sz w:val="22"/>
          <w:szCs w:val="22"/>
        </w:rPr>
        <w:t xml:space="preserve">(ad es. vaccino BCG) </w:t>
      </w:r>
      <w:r w:rsidRPr="00295E71">
        <w:rPr>
          <w:sz w:val="22"/>
          <w:szCs w:val="22"/>
        </w:rPr>
        <w:t xml:space="preserve">a bambini esposti ad adalimumab nell’utero non è raccomandata </w:t>
      </w:r>
      <w:r w:rsidR="008C57BD">
        <w:rPr>
          <w:sz w:val="22"/>
          <w:szCs w:val="22"/>
        </w:rPr>
        <w:t>fino a</w:t>
      </w:r>
      <w:r w:rsidRPr="00295E71" w:rsidR="008C57BD">
        <w:rPr>
          <w:sz w:val="22"/>
          <w:szCs w:val="22"/>
        </w:rPr>
        <w:t xml:space="preserve"> </w:t>
      </w:r>
      <w:r w:rsidRPr="00295E71">
        <w:rPr>
          <w:sz w:val="22"/>
          <w:szCs w:val="22"/>
        </w:rPr>
        <w:t>5 mesi dall’ultima somministrazione di adalimumab alla madre durante la gravidanza.</w:t>
      </w:r>
    </w:p>
    <w:p w:rsidR="006224C2" w:rsidRPr="00295E71" w14:paraId="3F75BF09" w14:textId="77777777">
      <w:pPr>
        <w:tabs>
          <w:tab w:val="left" w:pos="567"/>
        </w:tabs>
        <w:autoSpaceDE w:val="0"/>
        <w:autoSpaceDN w:val="0"/>
        <w:adjustRightInd w:val="0"/>
        <w:jc w:val="both"/>
        <w:rPr>
          <w:sz w:val="22"/>
          <w:szCs w:val="22"/>
        </w:rPr>
      </w:pPr>
    </w:p>
    <w:p w:rsidR="006224C2" w:rsidRPr="00295E71" w14:paraId="232E8FBE" w14:textId="77777777">
      <w:pPr>
        <w:keepNext/>
        <w:keepLines/>
        <w:tabs>
          <w:tab w:val="left" w:pos="567"/>
        </w:tabs>
        <w:autoSpaceDE w:val="0"/>
        <w:autoSpaceDN w:val="0"/>
        <w:adjustRightInd w:val="0"/>
        <w:spacing w:line="240" w:lineRule="atLeast"/>
        <w:jc w:val="both"/>
        <w:rPr>
          <w:sz w:val="22"/>
          <w:szCs w:val="22"/>
          <w:u w:val="single"/>
        </w:rPr>
      </w:pPr>
      <w:r w:rsidRPr="00295E71">
        <w:rPr>
          <w:sz w:val="22"/>
          <w:szCs w:val="22"/>
          <w:u w:val="single"/>
        </w:rPr>
        <w:t>Insufficienza cardiaca congestizia</w:t>
      </w:r>
    </w:p>
    <w:p w:rsidR="006224C2" w:rsidRPr="00295E71" w14:paraId="4C4D2CD6" w14:textId="77777777">
      <w:pPr>
        <w:keepNext/>
        <w:keepLines/>
        <w:tabs>
          <w:tab w:val="left" w:pos="567"/>
        </w:tabs>
        <w:autoSpaceDE w:val="0"/>
        <w:autoSpaceDN w:val="0"/>
        <w:adjustRightInd w:val="0"/>
        <w:spacing w:line="240" w:lineRule="atLeast"/>
        <w:jc w:val="both"/>
        <w:rPr>
          <w:color w:val="000000"/>
          <w:sz w:val="22"/>
          <w:szCs w:val="22"/>
          <w:u w:val="single"/>
        </w:rPr>
      </w:pPr>
    </w:p>
    <w:p w:rsidR="006224C2" w:rsidRPr="00295E71" w14:paraId="47BDEC27" w14:textId="77777777">
      <w:pPr>
        <w:keepNext/>
        <w:keepLines/>
        <w:tabs>
          <w:tab w:val="left" w:pos="567"/>
        </w:tabs>
        <w:autoSpaceDE w:val="0"/>
        <w:autoSpaceDN w:val="0"/>
        <w:adjustRightInd w:val="0"/>
        <w:spacing w:line="240" w:lineRule="atLeast"/>
        <w:jc w:val="both"/>
        <w:rPr>
          <w:color w:val="000000"/>
          <w:sz w:val="22"/>
          <w:szCs w:val="22"/>
        </w:rPr>
      </w:pPr>
      <w:r w:rsidRPr="00295E71">
        <w:rPr>
          <w:color w:val="000000"/>
          <w:sz w:val="22"/>
          <w:szCs w:val="22"/>
        </w:rPr>
        <w:t>In uno studio clinico con un altro farmaco anti-TNF sono stati osservati il peggioramento dell’insufficienza cardiaca congestizia e l’aumento di mortalità ad essa correlata. Anche in pazienti trattati con Humira sono stati osservati casi di peggioramento di insufficienza cardiaca congestizia. Humira deve essere usato con cautela in pazienti con lieve insufficienza cardiaca (classe I/II NYHA). Humira è controindicato nell’insufficienza cardiaca moderata o severa (vedere paragrafo 4.3). Il trattamento con Humira deve essere interrotto nei pazienti che presentino peggioramento o insorgenza di nuovi sintomi dell’insufficienza cardiaca congestizia.</w:t>
      </w:r>
    </w:p>
    <w:p w:rsidR="006224C2" w:rsidRPr="00295E71" w14:paraId="5C1968E9" w14:textId="77777777">
      <w:pPr>
        <w:tabs>
          <w:tab w:val="left" w:pos="567"/>
        </w:tabs>
        <w:jc w:val="both"/>
        <w:rPr>
          <w:sz w:val="22"/>
          <w:szCs w:val="22"/>
          <w:u w:val="single"/>
        </w:rPr>
      </w:pPr>
    </w:p>
    <w:p w:rsidR="006224C2" w:rsidRPr="00295E71" w14:paraId="55DA9D31" w14:textId="77777777">
      <w:pPr>
        <w:tabs>
          <w:tab w:val="left" w:pos="567"/>
        </w:tabs>
        <w:jc w:val="both"/>
        <w:rPr>
          <w:sz w:val="22"/>
          <w:szCs w:val="22"/>
          <w:u w:val="single"/>
        </w:rPr>
      </w:pPr>
      <w:r w:rsidRPr="00295E71">
        <w:rPr>
          <w:sz w:val="22"/>
          <w:szCs w:val="22"/>
          <w:u w:val="single"/>
        </w:rPr>
        <w:t>Processi autoimmuni</w:t>
      </w:r>
    </w:p>
    <w:p w:rsidR="006224C2" w:rsidRPr="00295E71" w14:paraId="3ECD45E1" w14:textId="77777777">
      <w:pPr>
        <w:tabs>
          <w:tab w:val="left" w:pos="567"/>
        </w:tabs>
        <w:jc w:val="both"/>
        <w:rPr>
          <w:color w:val="000000"/>
          <w:sz w:val="22"/>
          <w:szCs w:val="22"/>
        </w:rPr>
      </w:pPr>
    </w:p>
    <w:p w:rsidR="006224C2" w:rsidRPr="00295E71" w14:paraId="63FEA3D9" w14:textId="77777777">
      <w:pPr>
        <w:pStyle w:val="BodyText"/>
        <w:tabs>
          <w:tab w:val="left" w:pos="567"/>
        </w:tabs>
        <w:rPr>
          <w:lang w:eastAsia="en-US"/>
        </w:rPr>
      </w:pPr>
      <w:r w:rsidRPr="00295E71">
        <w:t xml:space="preserve">Il trattamento con Humira </w:t>
      </w:r>
      <w:r w:rsidRPr="00295E71">
        <w:rPr>
          <w:lang w:eastAsia="en-US"/>
        </w:rPr>
        <w:t>può indurre la formazione di anticorpi autoimmuni. Non è noto l’impatto del trattamento a lungo termine con Humira sullo sviluppo di malattie autoimmuni. Se un paziente sviluppa sintomi indicativi di sindrome simile al lupus a seguito di trattamento con Humira e risulta positivo per gli anticorpi contro il DNA a doppia catena, non deve essere somministrato un ulteriore trattamento con Humira (vedere paragrafo 4.8).</w:t>
      </w:r>
    </w:p>
    <w:p w:rsidR="006224C2" w:rsidRPr="00295E71" w14:paraId="3AE0B73D" w14:textId="77777777">
      <w:pPr>
        <w:tabs>
          <w:tab w:val="left" w:pos="567"/>
        </w:tabs>
        <w:jc w:val="both"/>
        <w:rPr>
          <w:sz w:val="22"/>
          <w:szCs w:val="22"/>
        </w:rPr>
      </w:pPr>
    </w:p>
    <w:p w:rsidR="006224C2" w:rsidRPr="00295E71" w:rsidP="00F57FE5" w14:paraId="59E27F38" w14:textId="77777777">
      <w:pPr>
        <w:keepNext/>
        <w:keepLines/>
        <w:rPr>
          <w:sz w:val="22"/>
          <w:szCs w:val="22"/>
        </w:rPr>
      </w:pPr>
      <w:r w:rsidRPr="00295E71">
        <w:rPr>
          <w:sz w:val="22"/>
          <w:szCs w:val="22"/>
        </w:rPr>
        <w:t xml:space="preserve">Somministrazione concomitante di DMARD biologici o antagonisti del TNF </w:t>
      </w:r>
    </w:p>
    <w:p w:rsidR="006224C2" w:rsidRPr="00295E71" w:rsidP="00F57FE5" w14:paraId="61375BF0" w14:textId="77777777">
      <w:pPr>
        <w:keepNext/>
        <w:keepLines/>
        <w:tabs>
          <w:tab w:val="left" w:pos="567"/>
        </w:tabs>
        <w:jc w:val="both"/>
        <w:rPr>
          <w:sz w:val="22"/>
          <w:szCs w:val="22"/>
        </w:rPr>
      </w:pPr>
    </w:p>
    <w:p w:rsidR="006224C2" w:rsidRPr="00295E71" w:rsidP="00F57FE5" w14:paraId="23CEE2CD" w14:textId="77777777">
      <w:pPr>
        <w:keepNext/>
        <w:keepLines/>
        <w:rPr>
          <w:sz w:val="22"/>
          <w:szCs w:val="22"/>
        </w:rPr>
      </w:pPr>
      <w:r w:rsidRPr="00295E71">
        <w:rPr>
          <w:sz w:val="22"/>
          <w:szCs w:val="22"/>
        </w:rPr>
        <w:t>Nel corso di studi clinici condotti sulla terapia combinata con anakinra ed un altro farmaco anti-TNF, etanercept, sono state osservate infezioni gravi senza alcun beneficio clinico rispetto ad etanercept in monoterapia. Considerata la tipologia degli eventi avversi osservati con la combinazione di anakinra ed etanercept, potrebbero manifestarsi effetti indesiderati simili in seguito alla combinazione di anakinra ed un altro farmaco anti-TNF. Pertanto, la combinazione di adalimumab con anakinra non è raccomandata (vedere paragrafo 4.5).</w:t>
      </w:r>
    </w:p>
    <w:p w:rsidR="006224C2" w:rsidRPr="00295E71" w14:paraId="52DF996E" w14:textId="77777777">
      <w:pPr>
        <w:numPr>
          <w:ilvl w:val="12"/>
          <w:numId w:val="0"/>
        </w:numPr>
        <w:tabs>
          <w:tab w:val="left" w:pos="567"/>
        </w:tabs>
        <w:ind w:right="-2"/>
        <w:jc w:val="both"/>
        <w:rPr>
          <w:sz w:val="22"/>
          <w:szCs w:val="22"/>
          <w:u w:val="single"/>
        </w:rPr>
      </w:pPr>
    </w:p>
    <w:p w:rsidR="006224C2" w:rsidRPr="00295E71" w14:paraId="670DEB53" w14:textId="77777777">
      <w:pPr>
        <w:tabs>
          <w:tab w:val="left" w:pos="567"/>
        </w:tabs>
        <w:jc w:val="both"/>
        <w:rPr>
          <w:sz w:val="22"/>
          <w:szCs w:val="22"/>
        </w:rPr>
      </w:pPr>
      <w:r w:rsidRPr="00295E71">
        <w:rPr>
          <w:sz w:val="22"/>
          <w:szCs w:val="22"/>
        </w:rPr>
        <w:t>La somministrazione concomitante di adalimumab con altri DMARD biologici (per es. anakinra e abatacept) o altri antagonisti del TNF non è raccomandata sulla base di un possibile aumento del rischio di infezioni, incluse infezioni gravi e altre potenziali interazioni farmacologiche (vedere paragrafo 4.5).</w:t>
      </w:r>
    </w:p>
    <w:p w:rsidR="006224C2" w:rsidRPr="00295E71" w14:paraId="1C09AB3E" w14:textId="77777777">
      <w:pPr>
        <w:tabs>
          <w:tab w:val="left" w:pos="567"/>
        </w:tabs>
        <w:jc w:val="both"/>
        <w:rPr>
          <w:sz w:val="22"/>
          <w:szCs w:val="22"/>
        </w:rPr>
      </w:pPr>
    </w:p>
    <w:p w:rsidR="006224C2" w:rsidRPr="00295E71" w14:paraId="39FB2611" w14:textId="77777777">
      <w:pPr>
        <w:rPr>
          <w:sz w:val="22"/>
          <w:szCs w:val="22"/>
          <w:u w:val="single"/>
        </w:rPr>
      </w:pPr>
      <w:r w:rsidRPr="00295E71">
        <w:rPr>
          <w:sz w:val="22"/>
          <w:szCs w:val="22"/>
          <w:u w:val="single"/>
        </w:rPr>
        <w:t>Interventi chirurgici</w:t>
      </w:r>
    </w:p>
    <w:p w:rsidR="006224C2" w:rsidRPr="00295E71" w14:paraId="72F02B05" w14:textId="77777777">
      <w:pPr>
        <w:tabs>
          <w:tab w:val="left" w:pos="567"/>
        </w:tabs>
        <w:jc w:val="both"/>
        <w:rPr>
          <w:sz w:val="22"/>
          <w:szCs w:val="22"/>
        </w:rPr>
      </w:pPr>
    </w:p>
    <w:p w:rsidR="006224C2" w:rsidRPr="00295E71" w14:paraId="02AF5EA6" w14:textId="77777777">
      <w:pPr>
        <w:tabs>
          <w:tab w:val="left" w:pos="567"/>
        </w:tabs>
        <w:jc w:val="both"/>
        <w:rPr>
          <w:sz w:val="22"/>
          <w:szCs w:val="22"/>
        </w:rPr>
      </w:pPr>
      <w:r w:rsidRPr="00295E71">
        <w:rPr>
          <w:sz w:val="22"/>
          <w:szCs w:val="22"/>
        </w:rPr>
        <w:t>Nei pazienti trattati con Humira c’è un’esperienza limitata, relativa alla sicurezza di procedure chirurgiche. Nel caso in cui si pianifichi un intervento chirurgico si deve considerare la lunga emivita di adalimumab. Un paziente che dovesse essere sottoposto ad intervento chirurgico, durante il trattamento con Humira, deve essere attentamente seguito per lo sviluppo di infezioni, nel qual caso andrebbero intraprese opportune azioni. C’è un’esperienza limitata per quanto riguarda la sicurezza in pazienti sottoposti ad interventi di artroplastica in corso di trattamento con Humira.</w:t>
      </w:r>
    </w:p>
    <w:p w:rsidR="006224C2" w:rsidRPr="00295E71" w14:paraId="1CCEB54A" w14:textId="77777777">
      <w:pPr>
        <w:tabs>
          <w:tab w:val="left" w:pos="567"/>
        </w:tabs>
        <w:jc w:val="both"/>
        <w:rPr>
          <w:sz w:val="22"/>
          <w:szCs w:val="22"/>
          <w:u w:val="single"/>
        </w:rPr>
      </w:pPr>
    </w:p>
    <w:p w:rsidR="006224C2" w:rsidRPr="00295E71" w14:paraId="410D8717" w14:textId="77777777">
      <w:pPr>
        <w:keepNext/>
        <w:rPr>
          <w:sz w:val="22"/>
          <w:szCs w:val="22"/>
          <w:u w:val="single"/>
        </w:rPr>
      </w:pPr>
      <w:r w:rsidRPr="00295E71">
        <w:rPr>
          <w:sz w:val="22"/>
          <w:szCs w:val="22"/>
          <w:u w:val="single"/>
        </w:rPr>
        <w:t>Ostruzione dell’intestino tenue</w:t>
      </w:r>
    </w:p>
    <w:p w:rsidR="006224C2" w:rsidRPr="00295E71" w14:paraId="3F045878" w14:textId="77777777">
      <w:pPr>
        <w:keepNext/>
        <w:tabs>
          <w:tab w:val="left" w:pos="567"/>
        </w:tabs>
        <w:jc w:val="both"/>
        <w:rPr>
          <w:sz w:val="22"/>
          <w:szCs w:val="22"/>
          <w:u w:val="single"/>
        </w:rPr>
      </w:pPr>
    </w:p>
    <w:p w:rsidR="006224C2" w:rsidRPr="00295E71" w14:paraId="24C2C8A4" w14:textId="77777777">
      <w:pPr>
        <w:keepNext/>
        <w:tabs>
          <w:tab w:val="left" w:pos="567"/>
        </w:tabs>
        <w:jc w:val="both"/>
        <w:rPr>
          <w:sz w:val="22"/>
          <w:szCs w:val="22"/>
        </w:rPr>
      </w:pPr>
      <w:r w:rsidRPr="00295E71">
        <w:rPr>
          <w:sz w:val="22"/>
          <w:szCs w:val="22"/>
        </w:rPr>
        <w:t>La mancata risposta al trattamento per la malattia di Crohn può indicare la presenza di stenosi rigida fibrotica che può richiedere un intervento chirurgico. I dati disponibili suggeriscono che Humira non peggiora o causa stenosi.</w:t>
      </w:r>
    </w:p>
    <w:p w:rsidR="006224C2" w:rsidRPr="00295E71" w14:paraId="5F97F545" w14:textId="77777777">
      <w:pPr>
        <w:tabs>
          <w:tab w:val="left" w:pos="567"/>
        </w:tabs>
        <w:jc w:val="both"/>
        <w:rPr>
          <w:sz w:val="22"/>
          <w:szCs w:val="22"/>
        </w:rPr>
      </w:pPr>
    </w:p>
    <w:p w:rsidR="006224C2" w:rsidRPr="00295E71" w14:paraId="63A95306" w14:textId="77777777">
      <w:pPr>
        <w:keepNext/>
        <w:tabs>
          <w:tab w:val="left" w:pos="567"/>
        </w:tabs>
        <w:jc w:val="both"/>
        <w:rPr>
          <w:sz w:val="22"/>
          <w:szCs w:val="22"/>
          <w:u w:val="single"/>
        </w:rPr>
      </w:pPr>
      <w:r w:rsidRPr="00295E71">
        <w:rPr>
          <w:sz w:val="22"/>
          <w:szCs w:val="22"/>
          <w:u w:val="single"/>
        </w:rPr>
        <w:t>Anziani</w:t>
      </w:r>
    </w:p>
    <w:p w:rsidR="006224C2" w:rsidRPr="00295E71" w14:paraId="71E2E9CA" w14:textId="77777777">
      <w:pPr>
        <w:keepNext/>
        <w:tabs>
          <w:tab w:val="left" w:pos="567"/>
        </w:tabs>
        <w:jc w:val="both"/>
        <w:rPr>
          <w:sz w:val="22"/>
          <w:szCs w:val="22"/>
          <w:u w:val="single"/>
        </w:rPr>
      </w:pPr>
    </w:p>
    <w:p w:rsidR="006224C2" w:rsidRPr="00295E71" w14:paraId="292FD7B4" w14:textId="77777777">
      <w:pPr>
        <w:keepNext/>
        <w:tabs>
          <w:tab w:val="left" w:pos="567"/>
        </w:tabs>
        <w:jc w:val="both"/>
        <w:rPr>
          <w:sz w:val="22"/>
          <w:szCs w:val="22"/>
        </w:rPr>
      </w:pPr>
      <w:r w:rsidRPr="00295E71">
        <w:rPr>
          <w:sz w:val="22"/>
          <w:szCs w:val="22"/>
        </w:rPr>
        <w:t>La frequenza di infezioni gravi tra i pazienti di età superiore ai 65 anni (3,7%) trattati con Humira è stata superiore rispetto a quelli di età inferiore ai 65 anni (1,5%). Alcuni di questi hanno avuto un esito fatale. Particolare attenzione per quanto riguarda il rischio di infezione deve essere prestata nel trattamento dei pazienti anziani.</w:t>
      </w:r>
    </w:p>
    <w:p w:rsidR="006224C2" w:rsidRPr="00295E71" w14:paraId="2B72EED5" w14:textId="77777777">
      <w:pPr>
        <w:tabs>
          <w:tab w:val="left" w:pos="567"/>
        </w:tabs>
        <w:jc w:val="both"/>
        <w:rPr>
          <w:sz w:val="22"/>
          <w:szCs w:val="22"/>
        </w:rPr>
      </w:pPr>
    </w:p>
    <w:p w:rsidR="006224C2" w:rsidRPr="00295E71" w14:paraId="73411E11" w14:textId="77777777">
      <w:pPr>
        <w:tabs>
          <w:tab w:val="left" w:pos="567"/>
        </w:tabs>
        <w:jc w:val="both"/>
        <w:rPr>
          <w:sz w:val="22"/>
          <w:szCs w:val="22"/>
          <w:u w:val="single"/>
        </w:rPr>
      </w:pPr>
      <w:r w:rsidRPr="00295E71">
        <w:rPr>
          <w:sz w:val="22"/>
          <w:szCs w:val="22"/>
          <w:u w:val="single"/>
        </w:rPr>
        <w:t>Popolazione pediatrica</w:t>
      </w:r>
    </w:p>
    <w:p w:rsidR="006224C2" w:rsidRPr="00295E71" w14:paraId="242B7753" w14:textId="77777777">
      <w:pPr>
        <w:tabs>
          <w:tab w:val="left" w:pos="567"/>
        </w:tabs>
        <w:jc w:val="both"/>
        <w:rPr>
          <w:sz w:val="22"/>
          <w:szCs w:val="22"/>
        </w:rPr>
      </w:pPr>
    </w:p>
    <w:p w:rsidR="006224C2" w14:paraId="328D7C73" w14:textId="77777777">
      <w:pPr>
        <w:tabs>
          <w:tab w:val="left" w:pos="567"/>
        </w:tabs>
        <w:jc w:val="both"/>
        <w:rPr>
          <w:ins w:id="13163" w:author="AbbVie14" w:date="2025-05-09T10:45:00Z"/>
          <w:sz w:val="22"/>
          <w:szCs w:val="22"/>
        </w:rPr>
      </w:pPr>
      <w:r w:rsidRPr="00295E71">
        <w:rPr>
          <w:sz w:val="22"/>
          <w:szCs w:val="22"/>
        </w:rPr>
        <w:t>Vedere Vaccinazioni sopra.</w:t>
      </w:r>
    </w:p>
    <w:p w:rsidR="00872D1F" w14:paraId="78EC24AF" w14:textId="77777777">
      <w:pPr>
        <w:tabs>
          <w:tab w:val="left" w:pos="567"/>
        </w:tabs>
        <w:jc w:val="both"/>
        <w:rPr>
          <w:ins w:id="13164" w:author="AbbVie14" w:date="2025-05-09T10:45:00Z"/>
          <w:sz w:val="22"/>
          <w:szCs w:val="22"/>
        </w:rPr>
      </w:pPr>
    </w:p>
    <w:p w:rsidR="00872D1F" w:rsidRPr="00E4527F" w:rsidP="00872D1F" w14:paraId="164856C5" w14:textId="77777777">
      <w:pPr>
        <w:tabs>
          <w:tab w:val="left" w:pos="567"/>
        </w:tabs>
        <w:autoSpaceDE w:val="0"/>
        <w:autoSpaceDN w:val="0"/>
        <w:adjustRightInd w:val="0"/>
        <w:jc w:val="both"/>
        <w:rPr>
          <w:ins w:id="13165" w:author="AbbVie14" w:date="2025-05-09T10:45:00Z"/>
          <w:color w:val="000000"/>
          <w:sz w:val="22"/>
          <w:szCs w:val="22"/>
          <w:u w:val="single"/>
          <w:rPrChange w:id="13166" w:author="AbbVie14" w:date="2025-05-15T08:41:00Z">
            <w:rPr>
              <w:color w:val="000000"/>
              <w:sz w:val="22"/>
              <w:szCs w:val="22"/>
            </w:rPr>
          </w:rPrChange>
        </w:rPr>
      </w:pPr>
      <w:ins w:id="13167" w:author="AbbVie14" w:date="2025-05-09T10:45:00Z">
        <w:r w:rsidRPr="00E4527F">
          <w:rPr>
            <w:color w:val="000000"/>
            <w:sz w:val="22"/>
            <w:szCs w:val="22"/>
            <w:highlight w:val="none"/>
            <w:u w:val="single"/>
            <w:rPrChange w:id="13168" w:author="AbbVie14" w:date="2025-05-15T08:41:00Z">
              <w:rPr>
                <w:color w:val="000000"/>
                <w:sz w:val="22"/>
                <w:szCs w:val="22"/>
                <w:highlight w:val="yellow"/>
              </w:rPr>
            </w:rPrChange>
          </w:rPr>
          <w:t>Eccipienti con effett</w:t>
        </w:r>
      </w:ins>
      <w:ins w:id="13169" w:author="AbbVie14" w:date="2025-05-13T14:40:00Z">
        <w:r w:rsidRPr="00E4527F" w:rsidR="006B7DEC">
          <w:rPr>
            <w:color w:val="000000"/>
            <w:sz w:val="22"/>
            <w:szCs w:val="22"/>
            <w:u w:val="single"/>
            <w:rPrChange w:id="13170" w:author="AbbVie14" w:date="2025-05-15T08:41:00Z">
              <w:rPr>
                <w:color w:val="000000"/>
                <w:sz w:val="22"/>
                <w:szCs w:val="22"/>
              </w:rPr>
            </w:rPrChange>
          </w:rPr>
          <w:t>i</w:t>
        </w:r>
      </w:ins>
      <w:ins w:id="13171" w:author="AbbVie14" w:date="2025-05-09T10:45:00Z">
        <w:r w:rsidRPr="00E4527F">
          <w:rPr>
            <w:color w:val="000000"/>
            <w:sz w:val="22"/>
            <w:szCs w:val="22"/>
            <w:highlight w:val="none"/>
            <w:u w:val="single"/>
            <w:rPrChange w:id="13172" w:author="AbbVie14" w:date="2025-05-15T08:41:00Z">
              <w:rPr>
                <w:color w:val="000000"/>
                <w:sz w:val="22"/>
                <w:szCs w:val="22"/>
                <w:highlight w:val="yellow"/>
              </w:rPr>
            </w:rPrChange>
          </w:rPr>
          <w:t xml:space="preserve"> not</w:t>
        </w:r>
      </w:ins>
      <w:ins w:id="13173" w:author="AbbVie14" w:date="2025-05-13T14:40:00Z">
        <w:r w:rsidRPr="00E4527F" w:rsidR="006B7DEC">
          <w:rPr>
            <w:color w:val="000000"/>
            <w:sz w:val="22"/>
            <w:szCs w:val="22"/>
            <w:u w:val="single"/>
            <w:rPrChange w:id="13174" w:author="AbbVie14" w:date="2025-05-15T08:41:00Z">
              <w:rPr>
                <w:color w:val="000000"/>
                <w:sz w:val="22"/>
                <w:szCs w:val="22"/>
              </w:rPr>
            </w:rPrChange>
          </w:rPr>
          <w:t>i</w:t>
        </w:r>
      </w:ins>
    </w:p>
    <w:p w:rsidR="00872D1F" w:rsidRPr="00BE2419" w:rsidP="00872D1F" w14:paraId="70358D85" w14:textId="77777777">
      <w:pPr>
        <w:tabs>
          <w:tab w:val="left" w:pos="567"/>
        </w:tabs>
        <w:autoSpaceDE w:val="0"/>
        <w:autoSpaceDN w:val="0"/>
        <w:adjustRightInd w:val="0"/>
        <w:jc w:val="both"/>
        <w:rPr>
          <w:ins w:id="13175" w:author="AbbVie14" w:date="2025-05-09T10:45:00Z"/>
          <w:color w:val="000000"/>
          <w:sz w:val="22"/>
          <w:szCs w:val="22"/>
        </w:rPr>
      </w:pPr>
    </w:p>
    <w:p w:rsidR="00872D1F" w:rsidRPr="00295E71" w:rsidP="00872D1F" w14:paraId="51830BDF" w14:textId="2422A257">
      <w:pPr>
        <w:tabs>
          <w:tab w:val="left" w:pos="567"/>
        </w:tabs>
        <w:autoSpaceDE w:val="0"/>
        <w:autoSpaceDN w:val="0"/>
        <w:adjustRightInd w:val="0"/>
        <w:jc w:val="both"/>
        <w:rPr>
          <w:ins w:id="13176" w:author="AbbVie14" w:date="2025-05-09T10:45:00Z"/>
          <w:color w:val="000000"/>
          <w:sz w:val="22"/>
          <w:szCs w:val="22"/>
        </w:rPr>
      </w:pPr>
      <w:ins w:id="13177" w:author="AbbVie14" w:date="2025-05-09T10:45:00Z">
        <w:r w:rsidRPr="00BE2419">
          <w:rPr>
            <w:color w:val="000000"/>
            <w:sz w:val="22"/>
            <w:szCs w:val="22"/>
            <w:highlight w:val="none"/>
            <w:rPrChange w:id="13178" w:author="AbbVie14" w:date="2025-05-09T11:40:00Z">
              <w:rPr>
                <w:color w:val="000000"/>
                <w:sz w:val="22"/>
                <w:szCs w:val="22"/>
                <w:highlight w:val="yellow"/>
              </w:rPr>
            </w:rPrChange>
          </w:rPr>
          <w:t xml:space="preserve">Questo medicinale contiene 0,8 mg di polisorbato 80 per ogni dose </w:t>
        </w:r>
      </w:ins>
      <w:ins w:id="13179" w:author="AbbVie14" w:date="2025-05-09T11:40:00Z">
        <w:r w:rsidR="00BE2419">
          <w:rPr>
            <w:color w:val="000000"/>
            <w:sz w:val="22"/>
            <w:szCs w:val="22"/>
          </w:rPr>
          <w:t>d</w:t>
        </w:r>
      </w:ins>
      <w:ins w:id="13180" w:author="AbbVie14" w:date="2025-05-09T10:45:00Z">
        <w:r w:rsidRPr="00BE2419">
          <w:rPr>
            <w:color w:val="000000"/>
            <w:sz w:val="22"/>
            <w:szCs w:val="22"/>
            <w:highlight w:val="none"/>
            <w:rPrChange w:id="13181" w:author="AbbVie14" w:date="2025-05-09T11:40:00Z">
              <w:rPr>
                <w:color w:val="000000"/>
                <w:sz w:val="22"/>
                <w:szCs w:val="22"/>
                <w:highlight w:val="yellow"/>
              </w:rPr>
            </w:rPrChange>
          </w:rPr>
          <w:t xml:space="preserve">a </w:t>
        </w:r>
      </w:ins>
      <w:ins w:id="13182" w:author="AbbVie14" w:date="2025-05-09T10:46:00Z">
        <w:r w:rsidRPr="00BE2419">
          <w:rPr>
            <w:color w:val="000000"/>
            <w:sz w:val="22"/>
            <w:szCs w:val="22"/>
            <w:highlight w:val="none"/>
            <w:rPrChange w:id="13183" w:author="AbbVie14" w:date="2025-05-09T11:40:00Z">
              <w:rPr>
                <w:color w:val="000000"/>
                <w:sz w:val="22"/>
                <w:szCs w:val="22"/>
                <w:highlight w:val="yellow"/>
              </w:rPr>
            </w:rPrChange>
          </w:rPr>
          <w:t>8</w:t>
        </w:r>
      </w:ins>
      <w:ins w:id="13184" w:author="AbbVie14" w:date="2025-05-09T10:45:00Z">
        <w:r w:rsidRPr="00BE2419">
          <w:rPr>
            <w:color w:val="000000"/>
            <w:sz w:val="22"/>
            <w:szCs w:val="22"/>
            <w:highlight w:val="none"/>
            <w:rPrChange w:id="13185" w:author="AbbVie14" w:date="2025-05-09T11:40:00Z">
              <w:rPr>
                <w:color w:val="000000"/>
                <w:sz w:val="22"/>
                <w:szCs w:val="22"/>
                <w:highlight w:val="yellow"/>
              </w:rPr>
            </w:rPrChange>
          </w:rPr>
          <w:t>0 mg.</w:t>
        </w:r>
      </w:ins>
      <w:ins w:id="13186" w:author="AbbVie14" w:date="2025-09-08T09:17:00Z">
        <w:r w:rsidR="00E6608E">
          <w:rPr>
            <w:color w:val="000000"/>
            <w:sz w:val="22"/>
            <w:szCs w:val="22"/>
          </w:rPr>
          <w:t xml:space="preserve"> </w:t>
        </w:r>
      </w:ins>
      <w:ins w:id="13187" w:author="AbbVie14" w:date="2025-09-08T09:17:00Z">
        <w:r w:rsidRPr="00E6608E" w:rsidR="00E6608E">
          <w:rPr>
            <w:color w:val="000000"/>
            <w:sz w:val="22"/>
            <w:szCs w:val="22"/>
          </w:rPr>
          <w:t>I polisorbati possono provocare reazioni allergiche.</w:t>
        </w:r>
      </w:ins>
    </w:p>
    <w:p w:rsidR="00872D1F" w:rsidRPr="00295E71" w14:paraId="2B6B3ADC" w14:textId="6FD59F78">
      <w:pPr>
        <w:tabs>
          <w:tab w:val="left" w:pos="567"/>
        </w:tabs>
        <w:jc w:val="both"/>
        <w:rPr>
          <w:del w:id="13188" w:author="AbbVie14" w:date="2025-09-08T09:17:00Z"/>
          <w:sz w:val="22"/>
          <w:szCs w:val="22"/>
        </w:rPr>
      </w:pPr>
    </w:p>
    <w:p w:rsidR="006224C2" w:rsidRPr="00295E71" w14:paraId="4BBDE363" w14:textId="77777777">
      <w:pPr>
        <w:tabs>
          <w:tab w:val="left" w:pos="567"/>
        </w:tabs>
        <w:jc w:val="both"/>
        <w:rPr>
          <w:sz w:val="22"/>
          <w:szCs w:val="22"/>
        </w:rPr>
      </w:pPr>
    </w:p>
    <w:p w:rsidR="006224C2" w:rsidRPr="00295E71" w14:paraId="4EC92228" w14:textId="77777777">
      <w:pPr>
        <w:tabs>
          <w:tab w:val="left" w:pos="567"/>
        </w:tabs>
        <w:autoSpaceDE w:val="0"/>
        <w:autoSpaceDN w:val="0"/>
        <w:adjustRightInd w:val="0"/>
        <w:jc w:val="both"/>
        <w:rPr>
          <w:b/>
          <w:bCs/>
          <w:sz w:val="22"/>
          <w:szCs w:val="22"/>
        </w:rPr>
      </w:pPr>
      <w:r w:rsidRPr="00295E71">
        <w:rPr>
          <w:b/>
          <w:bCs/>
          <w:color w:val="000000"/>
          <w:sz w:val="22"/>
          <w:szCs w:val="22"/>
        </w:rPr>
        <w:t>4.5</w:t>
      </w:r>
      <w:r w:rsidRPr="00295E71">
        <w:rPr>
          <w:b/>
          <w:bCs/>
          <w:color w:val="000000"/>
          <w:sz w:val="22"/>
          <w:szCs w:val="22"/>
        </w:rPr>
        <w:tab/>
      </w:r>
      <w:r w:rsidRPr="00295E71">
        <w:rPr>
          <w:b/>
          <w:bCs/>
          <w:sz w:val="22"/>
          <w:szCs w:val="22"/>
        </w:rPr>
        <w:t xml:space="preserve">Interazioni con altri medicinali ed altre forme d’interazione </w:t>
      </w:r>
    </w:p>
    <w:p w:rsidR="006224C2" w:rsidRPr="00295E71" w14:paraId="15304687" w14:textId="77777777">
      <w:pPr>
        <w:pStyle w:val="EndnoteText"/>
        <w:jc w:val="both"/>
        <w:rPr>
          <w:lang w:val="it-IT"/>
        </w:rPr>
      </w:pPr>
    </w:p>
    <w:p w:rsidR="006224C2" w:rsidRPr="00295E71" w14:paraId="780E7564" w14:textId="77777777">
      <w:pPr>
        <w:tabs>
          <w:tab w:val="left" w:pos="567"/>
        </w:tabs>
        <w:autoSpaceDE w:val="0"/>
        <w:autoSpaceDN w:val="0"/>
        <w:adjustRightInd w:val="0"/>
        <w:jc w:val="both"/>
        <w:rPr>
          <w:color w:val="000000"/>
          <w:sz w:val="22"/>
          <w:szCs w:val="22"/>
        </w:rPr>
      </w:pPr>
      <w:r w:rsidRPr="00295E71">
        <w:rPr>
          <w:color w:val="000000"/>
          <w:sz w:val="22"/>
          <w:szCs w:val="22"/>
        </w:rPr>
        <w:t>La terapia con Humira è stata studiata in monoterapia e in combinazione con metotressato in pazienti affetti da artrite reumatoide, artrite idiopatica giovanile poliarticolare e artrite psoriasica. Quando Humira è stato somministrato in combinazione con metotressato la formazione di anticorpi è stata inferiore rispetto alla monoterapia. La somministrazione di Humira senza il metotressato ha determinato un aumento della formazione di anticorpi, un aumento della clearance ed una riduzione dell’efficacia di adalimumab (vedere paragrafo 5.1).</w:t>
      </w:r>
    </w:p>
    <w:p w:rsidR="006224C2" w:rsidRPr="00295E71" w14:paraId="5DBA810D" w14:textId="77777777">
      <w:pPr>
        <w:tabs>
          <w:tab w:val="left" w:pos="567"/>
        </w:tabs>
        <w:autoSpaceDE w:val="0"/>
        <w:autoSpaceDN w:val="0"/>
        <w:adjustRightInd w:val="0"/>
        <w:jc w:val="both"/>
        <w:rPr>
          <w:color w:val="000000"/>
          <w:sz w:val="22"/>
          <w:szCs w:val="22"/>
        </w:rPr>
      </w:pPr>
    </w:p>
    <w:p w:rsidR="006224C2" w:rsidRPr="00295E71" w14:paraId="56F5B626" w14:textId="77777777">
      <w:pPr>
        <w:tabs>
          <w:tab w:val="left" w:pos="567"/>
        </w:tabs>
        <w:autoSpaceDE w:val="0"/>
        <w:autoSpaceDN w:val="0"/>
        <w:adjustRightInd w:val="0"/>
        <w:jc w:val="both"/>
        <w:rPr>
          <w:color w:val="000000"/>
          <w:sz w:val="22"/>
          <w:szCs w:val="22"/>
        </w:rPr>
      </w:pPr>
      <w:r w:rsidRPr="00295E71">
        <w:rPr>
          <w:color w:val="000000"/>
          <w:sz w:val="22"/>
          <w:szCs w:val="22"/>
        </w:rPr>
        <w:t>La combinazione di Humira e anakinra non è raccomandata (vedere paragrafo 4.4 “Somministrazione concomitante di DMARD biologici o antagonisti del TNF”).</w:t>
      </w:r>
    </w:p>
    <w:p w:rsidR="006224C2" w:rsidRPr="00295E71" w14:paraId="2B59B542" w14:textId="77777777">
      <w:pPr>
        <w:tabs>
          <w:tab w:val="left" w:pos="567"/>
        </w:tabs>
        <w:autoSpaceDE w:val="0"/>
        <w:autoSpaceDN w:val="0"/>
        <w:adjustRightInd w:val="0"/>
        <w:jc w:val="both"/>
        <w:rPr>
          <w:color w:val="000000"/>
          <w:sz w:val="22"/>
          <w:szCs w:val="22"/>
        </w:rPr>
      </w:pPr>
    </w:p>
    <w:p w:rsidR="006224C2" w:rsidRPr="00295E71" w14:paraId="2B8B7C92"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La combinazione di Humira e abatacept non è raccomandata (vedere paragrafo 4.4 “Somministrazione concomitante di DMARD biologici o antagonisti del TNF”).</w:t>
      </w:r>
    </w:p>
    <w:p w:rsidR="006224C2" w:rsidRPr="00295E71" w14:paraId="2136AD7B" w14:textId="77777777">
      <w:pPr>
        <w:rPr>
          <w:color w:val="000000"/>
          <w:sz w:val="22"/>
          <w:szCs w:val="22"/>
        </w:rPr>
      </w:pPr>
    </w:p>
    <w:p w:rsidR="006224C2" w:rsidRPr="00295E71" w:rsidP="00B42A42" w14:paraId="49AA0340" w14:textId="77777777">
      <w:pPr>
        <w:keepNext/>
        <w:keepLines/>
        <w:tabs>
          <w:tab w:val="left" w:pos="0"/>
        </w:tabs>
        <w:autoSpaceDE w:val="0"/>
        <w:autoSpaceDN w:val="0"/>
        <w:adjustRightInd w:val="0"/>
        <w:jc w:val="both"/>
        <w:rPr>
          <w:b/>
          <w:bCs/>
          <w:sz w:val="22"/>
          <w:szCs w:val="22"/>
        </w:rPr>
      </w:pPr>
      <w:r w:rsidRPr="00295E71">
        <w:rPr>
          <w:b/>
          <w:bCs/>
          <w:sz w:val="22"/>
          <w:szCs w:val="22"/>
        </w:rPr>
        <w:t>4.6 Fertilità, gravidanza e allattamento</w:t>
      </w:r>
    </w:p>
    <w:p w:rsidR="006224C2" w:rsidRPr="00295E71" w:rsidP="00F57FE5" w14:paraId="1A4B979A" w14:textId="77777777">
      <w:pPr>
        <w:keepNext/>
        <w:keepLines/>
        <w:tabs>
          <w:tab w:val="left" w:pos="567"/>
        </w:tabs>
        <w:autoSpaceDE w:val="0"/>
        <w:autoSpaceDN w:val="0"/>
        <w:adjustRightInd w:val="0"/>
        <w:jc w:val="both"/>
        <w:rPr>
          <w:color w:val="000000"/>
          <w:sz w:val="22"/>
          <w:szCs w:val="22"/>
        </w:rPr>
      </w:pPr>
    </w:p>
    <w:p w:rsidR="006224C2" w:rsidRPr="00295E71" w:rsidP="00F57FE5" w14:paraId="6103B141" w14:textId="77777777">
      <w:pPr>
        <w:keepNext/>
        <w:keepLines/>
        <w:tabs>
          <w:tab w:val="left" w:pos="567"/>
        </w:tabs>
        <w:jc w:val="both"/>
        <w:rPr>
          <w:sz w:val="22"/>
          <w:szCs w:val="22"/>
          <w:u w:val="single"/>
        </w:rPr>
      </w:pPr>
      <w:r w:rsidRPr="00295E71">
        <w:rPr>
          <w:sz w:val="22"/>
          <w:szCs w:val="22"/>
          <w:u w:val="single"/>
        </w:rPr>
        <w:t>Donne in età fertile</w:t>
      </w:r>
    </w:p>
    <w:p w:rsidR="006224C2" w:rsidRPr="00295E71" w:rsidP="00F57FE5" w14:paraId="65B4014C" w14:textId="77777777">
      <w:pPr>
        <w:keepNext/>
        <w:keepLines/>
        <w:tabs>
          <w:tab w:val="left" w:pos="567"/>
        </w:tabs>
        <w:jc w:val="both"/>
        <w:rPr>
          <w:sz w:val="22"/>
          <w:szCs w:val="22"/>
          <w:u w:val="single"/>
        </w:rPr>
      </w:pPr>
    </w:p>
    <w:p w:rsidR="006224C2" w:rsidRPr="00295E71" w:rsidP="00F57FE5" w14:paraId="45A2B606" w14:textId="77777777">
      <w:pPr>
        <w:keepNext/>
        <w:keepLines/>
        <w:tabs>
          <w:tab w:val="left" w:pos="567"/>
        </w:tabs>
        <w:jc w:val="both"/>
        <w:rPr>
          <w:sz w:val="22"/>
          <w:szCs w:val="22"/>
        </w:rPr>
      </w:pPr>
      <w:r w:rsidRPr="00295E71">
        <w:rPr>
          <w:sz w:val="22"/>
          <w:szCs w:val="22"/>
        </w:rPr>
        <w:t xml:space="preserve">Le donne in età fertile devono </w:t>
      </w:r>
      <w:r w:rsidRPr="007D6163" w:rsidR="007D6163">
        <w:rPr>
          <w:sz w:val="22"/>
          <w:szCs w:val="22"/>
        </w:rPr>
        <w:t>considerare l’utilizzo di</w:t>
      </w:r>
      <w:r w:rsidR="007D6163">
        <w:rPr>
          <w:sz w:val="22"/>
          <w:szCs w:val="22"/>
        </w:rPr>
        <w:t xml:space="preserve"> </w:t>
      </w:r>
      <w:r w:rsidRPr="00295E71">
        <w:rPr>
          <w:sz w:val="22"/>
          <w:szCs w:val="22"/>
        </w:rPr>
        <w:t>un adeguato metodo contraccettivo per prevenire una gravidanza e l’uso di tale metodo deve proseguire per almeno cinque mesi dopo l’ultimo trattamento con Humira.</w:t>
      </w:r>
    </w:p>
    <w:p w:rsidR="006224C2" w:rsidRPr="00295E71" w14:paraId="0E2DCFDC" w14:textId="77777777">
      <w:pPr>
        <w:tabs>
          <w:tab w:val="left" w:pos="567"/>
        </w:tabs>
        <w:jc w:val="both"/>
        <w:rPr>
          <w:sz w:val="22"/>
          <w:szCs w:val="22"/>
        </w:rPr>
      </w:pPr>
    </w:p>
    <w:p w:rsidR="006224C2" w:rsidRPr="00295E71" w14:paraId="0E8BEFEF" w14:textId="77777777">
      <w:pPr>
        <w:tabs>
          <w:tab w:val="left" w:pos="567"/>
        </w:tabs>
        <w:autoSpaceDE w:val="0"/>
        <w:autoSpaceDN w:val="0"/>
        <w:adjustRightInd w:val="0"/>
        <w:jc w:val="both"/>
        <w:rPr>
          <w:sz w:val="22"/>
          <w:szCs w:val="22"/>
          <w:u w:val="single"/>
        </w:rPr>
      </w:pPr>
      <w:r w:rsidRPr="00295E71">
        <w:rPr>
          <w:sz w:val="22"/>
          <w:szCs w:val="22"/>
          <w:u w:val="single"/>
        </w:rPr>
        <w:t>Gravidanza</w:t>
      </w:r>
    </w:p>
    <w:p w:rsidR="006224C2" w:rsidRPr="00295E71" w14:paraId="29806277" w14:textId="77777777">
      <w:pPr>
        <w:tabs>
          <w:tab w:val="left" w:pos="567"/>
        </w:tabs>
        <w:autoSpaceDE w:val="0"/>
        <w:autoSpaceDN w:val="0"/>
        <w:adjustRightInd w:val="0"/>
        <w:jc w:val="both"/>
        <w:rPr>
          <w:sz w:val="22"/>
          <w:szCs w:val="22"/>
        </w:rPr>
      </w:pPr>
    </w:p>
    <w:p w:rsidR="003E4EE2" w:rsidP="003E4EE2" w14:paraId="3D4E4360" w14:textId="77777777">
      <w:pPr>
        <w:tabs>
          <w:tab w:val="left" w:pos="567"/>
        </w:tabs>
        <w:autoSpaceDE w:val="0"/>
        <w:autoSpaceDN w:val="0"/>
        <w:adjustRightInd w:val="0"/>
        <w:jc w:val="both"/>
        <w:rPr>
          <w:sz w:val="22"/>
          <w:szCs w:val="22"/>
        </w:rPr>
      </w:pPr>
      <w:r>
        <w:rPr>
          <w:sz w:val="22"/>
          <w:szCs w:val="22"/>
        </w:rPr>
        <w:t xml:space="preserve">Un numero elevato (circa 2100) di gravidanze esposte ad adalimumab, </w:t>
      </w:r>
      <w:r w:rsidRPr="003F31B0">
        <w:rPr>
          <w:sz w:val="22"/>
          <w:szCs w:val="22"/>
        </w:rPr>
        <w:t>raccolte</w:t>
      </w:r>
      <w:r>
        <w:rPr>
          <w:sz w:val="22"/>
          <w:szCs w:val="22"/>
        </w:rPr>
        <w:t xml:space="preserve"> in modo prospettico, </w:t>
      </w:r>
      <w:r w:rsidRPr="003F31B0">
        <w:rPr>
          <w:sz w:val="22"/>
          <w:szCs w:val="22"/>
        </w:rPr>
        <w:t xml:space="preserve">che hanno portato </w:t>
      </w:r>
      <w:r w:rsidRPr="00F7229B">
        <w:rPr>
          <w:sz w:val="22"/>
          <w:szCs w:val="22"/>
        </w:rPr>
        <w:t>a nati</w:t>
      </w:r>
      <w:r>
        <w:rPr>
          <w:sz w:val="22"/>
          <w:szCs w:val="22"/>
        </w:rPr>
        <w:t xml:space="preserve"> </w:t>
      </w:r>
      <w:r w:rsidRPr="00400881">
        <w:rPr>
          <w:sz w:val="22"/>
          <w:szCs w:val="22"/>
        </w:rPr>
        <w:t xml:space="preserve">vivi </w:t>
      </w:r>
      <w:r w:rsidRPr="003F31B0">
        <w:rPr>
          <w:sz w:val="22"/>
          <w:szCs w:val="22"/>
        </w:rPr>
        <w:t>con esiti noti</w:t>
      </w:r>
      <w:r>
        <w:rPr>
          <w:sz w:val="22"/>
          <w:szCs w:val="22"/>
        </w:rPr>
        <w:t xml:space="preserve"> e che includevano più di 1500 gravidanze esposte durante il primo trimestre, non ha indicato un aumento del tasso di malformazione nel neonato.</w:t>
      </w:r>
    </w:p>
    <w:p w:rsidR="003E4EE2" w:rsidRPr="00295E71" w:rsidP="003E4EE2" w14:paraId="7E7B9309" w14:textId="77777777">
      <w:pPr>
        <w:tabs>
          <w:tab w:val="left" w:pos="567"/>
        </w:tabs>
        <w:autoSpaceDE w:val="0"/>
        <w:autoSpaceDN w:val="0"/>
        <w:adjustRightInd w:val="0"/>
        <w:jc w:val="both"/>
        <w:rPr>
          <w:sz w:val="22"/>
          <w:szCs w:val="22"/>
        </w:rPr>
      </w:pPr>
      <w:r>
        <w:rPr>
          <w:sz w:val="22"/>
          <w:szCs w:val="22"/>
        </w:rPr>
        <w:t xml:space="preserve">   </w:t>
      </w:r>
    </w:p>
    <w:p w:rsidR="006224C2" w:rsidRPr="00295E71" w:rsidP="003E4EE2" w14:paraId="65C4C650" w14:textId="77777777">
      <w:pPr>
        <w:tabs>
          <w:tab w:val="left" w:pos="567"/>
        </w:tabs>
        <w:autoSpaceDE w:val="0"/>
        <w:autoSpaceDN w:val="0"/>
        <w:adjustRightInd w:val="0"/>
        <w:jc w:val="both"/>
        <w:rPr>
          <w:sz w:val="22"/>
          <w:szCs w:val="22"/>
        </w:rPr>
      </w:pPr>
      <w:r>
        <w:rPr>
          <w:color w:val="000000"/>
          <w:sz w:val="22"/>
          <w:szCs w:val="22"/>
        </w:rPr>
        <w:t xml:space="preserve">In </w:t>
      </w:r>
      <w:r w:rsidRPr="00C1727B">
        <w:rPr>
          <w:color w:val="000000"/>
          <w:sz w:val="22"/>
          <w:szCs w:val="22"/>
        </w:rPr>
        <w:t xml:space="preserve">un registro </w:t>
      </w:r>
      <w:r>
        <w:rPr>
          <w:color w:val="000000"/>
          <w:sz w:val="22"/>
          <w:szCs w:val="22"/>
        </w:rPr>
        <w:t xml:space="preserve">di coorte </w:t>
      </w:r>
      <w:r w:rsidRPr="00C1727B">
        <w:rPr>
          <w:color w:val="000000"/>
          <w:sz w:val="22"/>
          <w:szCs w:val="22"/>
        </w:rPr>
        <w:t>prospettico,</w:t>
      </w:r>
      <w:r>
        <w:rPr>
          <w:color w:val="000000"/>
          <w:sz w:val="22"/>
          <w:szCs w:val="22"/>
        </w:rPr>
        <w:t xml:space="preserve"> sono state arruolate 257 donne con artrite reumatoide (AR) o malattia di Crohn (MC) trattate con adalimumab almeno durante il primo trimestre di gravidanza e 120 donne con AR o MC non trattate con adalimumab. L’endpoint primario è stato la prevalenza di gravi difetti alla nascita. Il tasso delle gravidanze che si sono concluse con la nascita di almeno un neonato vivo con un grave difetto alla nascita è stato 6/69 (8,7%) nelle donne con AR trattate con adalimumab e 5/74 (6,8%) nelle donne con AR non trattate (</w:t>
      </w:r>
      <w:r w:rsidRPr="00400881">
        <w:rPr>
          <w:color w:val="000000"/>
          <w:sz w:val="22"/>
          <w:szCs w:val="22"/>
        </w:rPr>
        <w:t xml:space="preserve">OR </w:t>
      </w:r>
      <w:r w:rsidRPr="004C4F83">
        <w:t>non aggiustato</w:t>
      </w:r>
      <w:r>
        <w:t xml:space="preserve"> </w:t>
      </w:r>
      <w:r>
        <w:rPr>
          <w:color w:val="000000"/>
          <w:sz w:val="22"/>
          <w:szCs w:val="22"/>
        </w:rPr>
        <w:t>1,31; 95% IC 0,38-4,52) e 16/152 (10,5%) nelle donne con MC trattate con adalimumab e 3/32 (9,4%) nelle donne con MC non trattate (</w:t>
      </w:r>
      <w:r w:rsidRPr="00400881">
        <w:rPr>
          <w:color w:val="000000"/>
          <w:sz w:val="22"/>
          <w:szCs w:val="22"/>
        </w:rPr>
        <w:t xml:space="preserve">OR </w:t>
      </w:r>
      <w:r w:rsidRPr="004C4F83">
        <w:t xml:space="preserve">non </w:t>
      </w:r>
      <w:r w:rsidRPr="004C4F83">
        <w:t>aggiustato</w:t>
      </w:r>
      <w:r>
        <w:t xml:space="preserve"> </w:t>
      </w:r>
      <w:r>
        <w:rPr>
          <w:color w:val="000000"/>
          <w:sz w:val="22"/>
          <w:szCs w:val="22"/>
        </w:rPr>
        <w:t xml:space="preserve">1,14, 95% IC 0,31-4,16). </w:t>
      </w:r>
      <w:r w:rsidRPr="00400881">
        <w:rPr>
          <w:color w:val="000000"/>
          <w:sz w:val="22"/>
          <w:szCs w:val="22"/>
        </w:rPr>
        <w:t xml:space="preserve">L’OR </w:t>
      </w:r>
      <w:r>
        <w:rPr>
          <w:color w:val="000000"/>
          <w:sz w:val="22"/>
          <w:szCs w:val="22"/>
        </w:rPr>
        <w:t xml:space="preserve">aggiustato (che considera le differenze rispetto al baseline) era 1,10 (95% IC 0,45-2,73) per AR e MC combinate. Tra le donne trattate con adalimumab e quelle non trattate </w:t>
      </w:r>
      <w:r w:rsidRPr="008C57BD">
        <w:rPr>
          <w:color w:val="000000"/>
          <w:sz w:val="22"/>
          <w:szCs w:val="22"/>
        </w:rPr>
        <w:t>non ci sono state evidenti differenze</w:t>
      </w:r>
      <w:r>
        <w:rPr>
          <w:color w:val="000000"/>
          <w:sz w:val="22"/>
          <w:szCs w:val="22"/>
        </w:rPr>
        <w:t xml:space="preserve"> negli endpoint secondari come aborti spontanei, difetti minori alla nascita, parto pretermine, dimensione del neonato e infezioni gravi o opportunistiche e non sono stati riportati casi di nati morti o tumori maligni. L’interpretazione dei dati può essere influenzata dalle limitazioni metodologiche dello studio, compresi la piccola dimensione del campione e il disegno non randomizzato.</w:t>
      </w:r>
    </w:p>
    <w:p w:rsidR="006224C2" w:rsidRPr="00295E71" w14:paraId="48F8E99E" w14:textId="77777777">
      <w:pPr>
        <w:tabs>
          <w:tab w:val="left" w:pos="567"/>
        </w:tabs>
        <w:autoSpaceDE w:val="0"/>
        <w:autoSpaceDN w:val="0"/>
        <w:adjustRightInd w:val="0"/>
        <w:jc w:val="both"/>
        <w:rPr>
          <w:color w:val="000000"/>
          <w:sz w:val="22"/>
          <w:szCs w:val="22"/>
        </w:rPr>
      </w:pPr>
    </w:p>
    <w:p w:rsidR="006224C2" w:rsidRPr="00295E71" w14:paraId="10272439" w14:textId="77777777">
      <w:pPr>
        <w:tabs>
          <w:tab w:val="left" w:pos="567"/>
        </w:tabs>
        <w:autoSpaceDE w:val="0"/>
        <w:autoSpaceDN w:val="0"/>
        <w:adjustRightInd w:val="0"/>
        <w:jc w:val="both"/>
        <w:rPr>
          <w:color w:val="000000"/>
          <w:sz w:val="22"/>
          <w:szCs w:val="22"/>
        </w:rPr>
      </w:pPr>
      <w:r w:rsidRPr="00295E71">
        <w:rPr>
          <w:color w:val="000000"/>
          <w:sz w:val="22"/>
          <w:szCs w:val="22"/>
        </w:rPr>
        <w:t>In uno studio di tossicologia dello sviluppo condotto su scimmie, non è stata riscontrata tossicità nella madre, nè embriotossicità o teratogenicità. Non sono disponibili dati preclinici sulla tossicità postnatale di adalimumab (vedere paragrafo 5.3).</w:t>
      </w:r>
    </w:p>
    <w:p w:rsidR="006224C2" w:rsidRPr="00295E71" w14:paraId="48A55FAB" w14:textId="77777777">
      <w:pPr>
        <w:tabs>
          <w:tab w:val="left" w:pos="567"/>
        </w:tabs>
        <w:autoSpaceDE w:val="0"/>
        <w:autoSpaceDN w:val="0"/>
        <w:adjustRightInd w:val="0"/>
        <w:jc w:val="both"/>
        <w:rPr>
          <w:color w:val="000000"/>
          <w:sz w:val="22"/>
          <w:szCs w:val="22"/>
        </w:rPr>
      </w:pPr>
    </w:p>
    <w:p w:rsidR="006224C2" w:rsidRPr="00295E71" w14:paraId="0B540F79" w14:textId="77777777">
      <w:pPr>
        <w:tabs>
          <w:tab w:val="left" w:pos="567"/>
        </w:tabs>
        <w:autoSpaceDE w:val="0"/>
        <w:autoSpaceDN w:val="0"/>
        <w:adjustRightInd w:val="0"/>
        <w:jc w:val="both"/>
        <w:rPr>
          <w:color w:val="000000"/>
          <w:sz w:val="22"/>
          <w:szCs w:val="22"/>
        </w:rPr>
      </w:pPr>
      <w:r w:rsidRPr="00295E71">
        <w:rPr>
          <w:color w:val="000000"/>
          <w:sz w:val="22"/>
          <w:szCs w:val="22"/>
        </w:rPr>
        <w:t>A causa dell’inibizione del TNF</w:t>
      </w:r>
      <w:r w:rsidRPr="00295E71">
        <w:rPr>
          <w:rFonts w:ascii="Symbol" w:hAnsi="Symbol"/>
          <w:color w:val="000000"/>
          <w:sz w:val="22"/>
          <w:szCs w:val="22"/>
        </w:rPr>
        <w:sym w:font="Symbol" w:char="F061"/>
      </w:r>
      <w:r w:rsidRPr="00295E71">
        <w:rPr>
          <w:color w:val="000000"/>
          <w:sz w:val="22"/>
          <w:szCs w:val="22"/>
        </w:rPr>
        <w:t xml:space="preserve">, la somministrazione di adalimumab durante la gravidanza potrebbe interferire con la normale risposta immunitaria del neonato. </w:t>
      </w:r>
      <w:r w:rsidRPr="007D6163" w:rsidR="007D6163">
        <w:rPr>
          <w:color w:val="000000"/>
          <w:sz w:val="22"/>
          <w:szCs w:val="22"/>
        </w:rPr>
        <w:t>Adalimumab deve essere utilizzato in gravidanza soltanto se strettamente necessario.</w:t>
      </w:r>
      <w:r w:rsidRPr="00295E71">
        <w:rPr>
          <w:color w:val="000000"/>
          <w:sz w:val="22"/>
          <w:szCs w:val="22"/>
        </w:rPr>
        <w:t xml:space="preserve"> </w:t>
      </w:r>
    </w:p>
    <w:p w:rsidR="006224C2" w:rsidRPr="00295E71" w14:paraId="32E23B19" w14:textId="77777777">
      <w:pPr>
        <w:tabs>
          <w:tab w:val="left" w:pos="567"/>
        </w:tabs>
        <w:autoSpaceDE w:val="0"/>
        <w:autoSpaceDN w:val="0"/>
        <w:adjustRightInd w:val="0"/>
        <w:jc w:val="both"/>
        <w:rPr>
          <w:color w:val="000000"/>
          <w:sz w:val="22"/>
          <w:szCs w:val="22"/>
        </w:rPr>
      </w:pPr>
    </w:p>
    <w:p w:rsidR="006224C2" w:rsidRPr="00295E71" w14:paraId="2C01F305" w14:textId="77777777">
      <w:pPr>
        <w:tabs>
          <w:tab w:val="left" w:pos="567"/>
        </w:tabs>
        <w:autoSpaceDE w:val="0"/>
        <w:autoSpaceDN w:val="0"/>
        <w:adjustRightInd w:val="0"/>
        <w:jc w:val="both"/>
        <w:rPr>
          <w:color w:val="000000"/>
          <w:sz w:val="22"/>
          <w:szCs w:val="22"/>
        </w:rPr>
      </w:pPr>
      <w:r w:rsidRPr="00295E71">
        <w:rPr>
          <w:color w:val="000000"/>
          <w:sz w:val="22"/>
          <w:szCs w:val="22"/>
        </w:rPr>
        <w:t xml:space="preserve">Adalimumab può attraversare la placenta e raggiungere il siero dei bambini nati da madri trattate con adalimumab durante la gravidanza. Di conseguenza, questi bambini sono soggetti ad un maggior rischio di infezione. La somministrazione di vaccini vivi </w:t>
      </w:r>
      <w:r w:rsidRPr="007D6163" w:rsidR="007D6163">
        <w:rPr>
          <w:color w:val="000000"/>
          <w:sz w:val="22"/>
          <w:szCs w:val="22"/>
        </w:rPr>
        <w:t>(ad es. vaccino BCG)</w:t>
      </w:r>
      <w:r w:rsidR="007D6163">
        <w:rPr>
          <w:color w:val="000000"/>
          <w:sz w:val="22"/>
          <w:szCs w:val="22"/>
        </w:rPr>
        <w:t xml:space="preserve"> </w:t>
      </w:r>
      <w:r w:rsidRPr="00295E71">
        <w:rPr>
          <w:color w:val="000000"/>
          <w:sz w:val="22"/>
          <w:szCs w:val="22"/>
        </w:rPr>
        <w:t xml:space="preserve">a bambini esposti ad adalimumab nell’utero non è raccomandata </w:t>
      </w:r>
      <w:r w:rsidR="008C57BD">
        <w:rPr>
          <w:sz w:val="22"/>
          <w:szCs w:val="22"/>
        </w:rPr>
        <w:t>fino a</w:t>
      </w:r>
      <w:r w:rsidRPr="00295E71" w:rsidR="008C57BD">
        <w:rPr>
          <w:color w:val="000000"/>
          <w:sz w:val="22"/>
          <w:szCs w:val="22"/>
        </w:rPr>
        <w:t xml:space="preserve"> </w:t>
      </w:r>
      <w:r w:rsidRPr="00295E71">
        <w:rPr>
          <w:color w:val="000000"/>
          <w:sz w:val="22"/>
          <w:szCs w:val="22"/>
        </w:rPr>
        <w:t>5 mesi dall’ultima somministrazione di adalimumab alla madre durante la gravidanza.</w:t>
      </w:r>
    </w:p>
    <w:p w:rsidR="006224C2" w:rsidRPr="00295E71" w14:paraId="61D4BE7D" w14:textId="77777777">
      <w:pPr>
        <w:tabs>
          <w:tab w:val="left" w:pos="567"/>
        </w:tabs>
        <w:autoSpaceDE w:val="0"/>
        <w:autoSpaceDN w:val="0"/>
        <w:adjustRightInd w:val="0"/>
        <w:jc w:val="both"/>
        <w:rPr>
          <w:color w:val="000000"/>
          <w:sz w:val="22"/>
          <w:szCs w:val="22"/>
        </w:rPr>
      </w:pPr>
    </w:p>
    <w:p w:rsidR="006224C2" w:rsidRPr="00295E71" w14:paraId="399C99AD" w14:textId="77777777">
      <w:pPr>
        <w:tabs>
          <w:tab w:val="left" w:pos="567"/>
        </w:tabs>
        <w:jc w:val="both"/>
        <w:rPr>
          <w:color w:val="000000"/>
          <w:sz w:val="22"/>
          <w:szCs w:val="22"/>
        </w:rPr>
      </w:pPr>
      <w:r w:rsidRPr="00295E71">
        <w:rPr>
          <w:color w:val="000000"/>
          <w:sz w:val="22"/>
          <w:szCs w:val="22"/>
          <w:u w:val="single"/>
        </w:rPr>
        <w:t>Allattamento</w:t>
      </w:r>
    </w:p>
    <w:p w:rsidR="006224C2" w:rsidRPr="00295E71" w14:paraId="47C05AA3" w14:textId="77777777">
      <w:pPr>
        <w:tabs>
          <w:tab w:val="left" w:pos="567"/>
        </w:tabs>
        <w:jc w:val="both"/>
        <w:rPr>
          <w:color w:val="000000"/>
          <w:sz w:val="22"/>
          <w:szCs w:val="22"/>
        </w:rPr>
      </w:pPr>
    </w:p>
    <w:p w:rsidR="006224C2" w:rsidRPr="00295E71" w14:paraId="3962026C" w14:textId="77777777">
      <w:pPr>
        <w:tabs>
          <w:tab w:val="left" w:pos="567"/>
        </w:tabs>
        <w:jc w:val="both"/>
        <w:rPr>
          <w:sz w:val="22"/>
          <w:szCs w:val="22"/>
        </w:rPr>
      </w:pPr>
      <w:r>
        <w:rPr>
          <w:sz w:val="22"/>
          <w:szCs w:val="22"/>
        </w:rPr>
        <w:t xml:space="preserve">Le limitate informazioni dalla letteratura pubblicata indicano che adalimumab è escreto nel latte materno in concentrazioni molto basse e che la concentrazione di adalimumab nel latte umano è pari allo 0,1% - 1% </w:t>
      </w:r>
      <w:r w:rsidRPr="00AB1F1C">
        <w:rPr>
          <w:sz w:val="22"/>
          <w:szCs w:val="22"/>
        </w:rPr>
        <w:t>del livello</w:t>
      </w:r>
      <w:r w:rsidRPr="00C53732">
        <w:rPr>
          <w:sz w:val="22"/>
          <w:szCs w:val="22"/>
        </w:rPr>
        <w:t xml:space="preserve"> </w:t>
      </w:r>
      <w:r w:rsidRPr="00B902E6">
        <w:rPr>
          <w:sz w:val="22"/>
          <w:szCs w:val="22"/>
        </w:rPr>
        <w:t>sierico</w:t>
      </w:r>
      <w:r>
        <w:rPr>
          <w:sz w:val="22"/>
          <w:szCs w:val="22"/>
        </w:rPr>
        <w:t xml:space="preserve"> della madre. Somministrate per via orale, le immunoglobuline G sono sottoposte a proteolisi intestinale ed hanno una scarsa biodisponibilità. </w:t>
      </w:r>
      <w:r w:rsidRPr="001113B9">
        <w:rPr>
          <w:sz w:val="22"/>
          <w:szCs w:val="22"/>
        </w:rPr>
        <w:t xml:space="preserve">Non si ritiene che possa </w:t>
      </w:r>
      <w:r>
        <w:rPr>
          <w:sz w:val="22"/>
          <w:szCs w:val="22"/>
        </w:rPr>
        <w:t xml:space="preserve">avere </w:t>
      </w:r>
      <w:r w:rsidRPr="001113B9">
        <w:rPr>
          <w:sz w:val="22"/>
          <w:szCs w:val="22"/>
        </w:rPr>
        <w:t>effetti su neonati/lattanti</w:t>
      </w:r>
      <w:r>
        <w:rPr>
          <w:sz w:val="22"/>
          <w:szCs w:val="22"/>
        </w:rPr>
        <w:t>. Conseguentemente, Humira può essere utilizzato durante l’allat</w:t>
      </w:r>
      <w:r w:rsidR="00660603">
        <w:rPr>
          <w:sz w:val="22"/>
          <w:szCs w:val="22"/>
        </w:rPr>
        <w:t>t</w:t>
      </w:r>
      <w:r>
        <w:rPr>
          <w:sz w:val="22"/>
          <w:szCs w:val="22"/>
        </w:rPr>
        <w:t>amento.</w:t>
      </w:r>
    </w:p>
    <w:p w:rsidR="009857CC" w14:paraId="0003AF99" w14:textId="77777777">
      <w:pPr>
        <w:tabs>
          <w:tab w:val="left" w:pos="567"/>
        </w:tabs>
        <w:jc w:val="both"/>
        <w:rPr>
          <w:sz w:val="22"/>
          <w:szCs w:val="22"/>
          <w:u w:val="single"/>
        </w:rPr>
      </w:pPr>
    </w:p>
    <w:p w:rsidR="006224C2" w:rsidRPr="00295E71" w14:paraId="28742333" w14:textId="77777777">
      <w:pPr>
        <w:tabs>
          <w:tab w:val="left" w:pos="567"/>
        </w:tabs>
        <w:jc w:val="both"/>
        <w:rPr>
          <w:sz w:val="22"/>
          <w:szCs w:val="22"/>
          <w:u w:val="single"/>
        </w:rPr>
      </w:pPr>
      <w:r w:rsidRPr="00295E71">
        <w:rPr>
          <w:sz w:val="22"/>
          <w:szCs w:val="22"/>
          <w:u w:val="single"/>
        </w:rPr>
        <w:t>Fertilità</w:t>
      </w:r>
    </w:p>
    <w:p w:rsidR="006224C2" w:rsidRPr="00295E71" w14:paraId="0A773239" w14:textId="77777777">
      <w:pPr>
        <w:tabs>
          <w:tab w:val="left" w:pos="567"/>
        </w:tabs>
        <w:jc w:val="both"/>
        <w:rPr>
          <w:sz w:val="22"/>
          <w:szCs w:val="22"/>
        </w:rPr>
      </w:pPr>
    </w:p>
    <w:p w:rsidR="006224C2" w:rsidRPr="00295E71" w14:paraId="19CE7C14" w14:textId="77777777">
      <w:pPr>
        <w:tabs>
          <w:tab w:val="left" w:pos="567"/>
        </w:tabs>
        <w:jc w:val="both"/>
        <w:rPr>
          <w:sz w:val="22"/>
          <w:szCs w:val="22"/>
        </w:rPr>
      </w:pPr>
      <w:r w:rsidRPr="00295E71">
        <w:rPr>
          <w:sz w:val="22"/>
          <w:szCs w:val="22"/>
        </w:rPr>
        <w:t>Non sono disponibili dati preclinici sugli effetti di adalimumab sulla fertilità.</w:t>
      </w:r>
    </w:p>
    <w:p w:rsidR="006224C2" w:rsidRPr="00295E71" w14:paraId="217AD26A" w14:textId="77777777">
      <w:pPr>
        <w:tabs>
          <w:tab w:val="left" w:pos="567"/>
        </w:tabs>
        <w:jc w:val="both"/>
        <w:rPr>
          <w:sz w:val="22"/>
          <w:szCs w:val="22"/>
        </w:rPr>
      </w:pPr>
    </w:p>
    <w:p w:rsidR="006224C2" w:rsidRPr="00295E71" w:rsidP="007E6E3E" w14:paraId="7FE6DEBE" w14:textId="77777777">
      <w:pPr>
        <w:keepNext/>
        <w:tabs>
          <w:tab w:val="left" w:pos="567"/>
        </w:tabs>
        <w:ind w:left="567" w:hanging="567"/>
        <w:jc w:val="both"/>
        <w:rPr>
          <w:b/>
          <w:bCs/>
          <w:sz w:val="22"/>
          <w:szCs w:val="22"/>
        </w:rPr>
      </w:pPr>
      <w:r w:rsidRPr="00295E71">
        <w:rPr>
          <w:b/>
          <w:bCs/>
          <w:sz w:val="22"/>
          <w:szCs w:val="22"/>
        </w:rPr>
        <w:t>4.7</w:t>
      </w:r>
      <w:r w:rsidRPr="00295E71">
        <w:rPr>
          <w:b/>
          <w:bCs/>
          <w:sz w:val="22"/>
          <w:szCs w:val="22"/>
        </w:rPr>
        <w:tab/>
        <w:t>Effetti sulla capacità di guidare veicoli e sull’uso di macchinari</w:t>
      </w:r>
    </w:p>
    <w:p w:rsidR="006224C2" w:rsidRPr="00295E71" w:rsidP="007E6E3E" w14:paraId="56FC2A5A" w14:textId="77777777">
      <w:pPr>
        <w:keepNext/>
        <w:tabs>
          <w:tab w:val="left" w:pos="567"/>
        </w:tabs>
        <w:jc w:val="both"/>
        <w:rPr>
          <w:sz w:val="22"/>
          <w:szCs w:val="22"/>
        </w:rPr>
      </w:pPr>
    </w:p>
    <w:p w:rsidR="006224C2" w:rsidRPr="00295E71" w:rsidP="007E6E3E" w14:paraId="22F1A294" w14:textId="77777777">
      <w:pPr>
        <w:keepNext/>
        <w:tabs>
          <w:tab w:val="left" w:pos="567"/>
        </w:tabs>
        <w:jc w:val="both"/>
        <w:rPr>
          <w:sz w:val="22"/>
          <w:szCs w:val="22"/>
        </w:rPr>
      </w:pPr>
      <w:r w:rsidRPr="00295E71">
        <w:rPr>
          <w:sz w:val="22"/>
          <w:szCs w:val="22"/>
        </w:rPr>
        <w:t>Humira altera lievemente la capacità di guidare veicoli e di usare macchinari. Dopo la somministrazione di Humira si possono verificare vertigini e disturbi della vista (vedere paragrafo 4.8).</w:t>
      </w:r>
    </w:p>
    <w:p w:rsidR="006224C2" w:rsidRPr="00295E71" w14:paraId="2AF6C01D" w14:textId="77777777">
      <w:pPr>
        <w:tabs>
          <w:tab w:val="left" w:pos="567"/>
        </w:tabs>
        <w:jc w:val="both"/>
        <w:rPr>
          <w:sz w:val="22"/>
          <w:szCs w:val="22"/>
        </w:rPr>
      </w:pPr>
    </w:p>
    <w:p w:rsidR="006224C2" w:rsidRPr="00295E71" w:rsidP="00FB547E" w14:paraId="5734E2CA" w14:textId="77777777">
      <w:pPr>
        <w:ind w:left="567" w:hanging="567"/>
        <w:jc w:val="both"/>
        <w:rPr>
          <w:b/>
          <w:bCs/>
          <w:sz w:val="22"/>
          <w:szCs w:val="22"/>
        </w:rPr>
      </w:pPr>
      <w:r w:rsidRPr="00295E71">
        <w:rPr>
          <w:b/>
          <w:bCs/>
          <w:sz w:val="22"/>
          <w:szCs w:val="22"/>
        </w:rPr>
        <w:t>4.8</w:t>
      </w:r>
      <w:r w:rsidRPr="00295E71" w:rsidR="00F50C11">
        <w:rPr>
          <w:b/>
          <w:bCs/>
          <w:sz w:val="22"/>
          <w:szCs w:val="22"/>
        </w:rPr>
        <w:tab/>
      </w:r>
      <w:r w:rsidRPr="00295E71">
        <w:rPr>
          <w:b/>
          <w:bCs/>
          <w:sz w:val="22"/>
          <w:szCs w:val="22"/>
        </w:rPr>
        <w:t>Effetti indesiderati</w:t>
      </w:r>
    </w:p>
    <w:p w:rsidR="006224C2" w:rsidRPr="00295E71" w14:paraId="22ED3973" w14:textId="77777777">
      <w:pPr>
        <w:tabs>
          <w:tab w:val="left" w:pos="567"/>
        </w:tabs>
        <w:jc w:val="both"/>
        <w:rPr>
          <w:sz w:val="22"/>
          <w:szCs w:val="22"/>
        </w:rPr>
      </w:pPr>
    </w:p>
    <w:p w:rsidR="006224C2" w:rsidRPr="00295E71" w14:paraId="01C1B0FF" w14:textId="77777777">
      <w:pPr>
        <w:pStyle w:val="BodyTextIndent"/>
        <w:tabs>
          <w:tab w:val="left" w:pos="567"/>
        </w:tabs>
        <w:rPr>
          <w:u w:val="single"/>
        </w:rPr>
      </w:pPr>
      <w:r w:rsidRPr="00295E71">
        <w:rPr>
          <w:u w:val="single"/>
        </w:rPr>
        <w:t>Riassunto del profilo di sicurezza</w:t>
      </w:r>
    </w:p>
    <w:p w:rsidR="006224C2" w:rsidRPr="00295E71" w14:paraId="7EAFCD4C" w14:textId="77777777">
      <w:pPr>
        <w:pStyle w:val="BodyTextIndent"/>
        <w:tabs>
          <w:tab w:val="left" w:pos="567"/>
        </w:tabs>
      </w:pPr>
    </w:p>
    <w:p w:rsidR="006224C2" w:rsidRPr="00295E71" w14:paraId="3963D253" w14:textId="77777777">
      <w:pPr>
        <w:tabs>
          <w:tab w:val="left" w:pos="567"/>
        </w:tabs>
        <w:autoSpaceDE w:val="0"/>
        <w:autoSpaceDN w:val="0"/>
        <w:adjustRightInd w:val="0"/>
        <w:jc w:val="both"/>
        <w:rPr>
          <w:color w:val="000000"/>
          <w:sz w:val="22"/>
          <w:szCs w:val="22"/>
        </w:rPr>
      </w:pPr>
      <w:r w:rsidRPr="00295E71">
        <w:rPr>
          <w:color w:val="000000"/>
          <w:sz w:val="22"/>
          <w:szCs w:val="22"/>
        </w:rPr>
        <w:t xml:space="preserve">Humira è stato studiato in 9.506 pazienti nel corso di studi clinici </w:t>
      </w:r>
      <w:r w:rsidRPr="00020442" w:rsidR="00660603">
        <w:rPr>
          <w:color w:val="000000"/>
          <w:sz w:val="22"/>
          <w:szCs w:val="22"/>
        </w:rPr>
        <w:t>registrativi</w:t>
      </w:r>
      <w:r w:rsidRPr="00295E71">
        <w:rPr>
          <w:color w:val="000000"/>
          <w:sz w:val="22"/>
          <w:szCs w:val="22"/>
        </w:rPr>
        <w:t xml:space="preserve"> controllati e in aperto per un periodo fino a 60 mesi o superiore. Tali studi sono stati effettuati su pazienti affetti da artrite reumatoide ad insorgenza precoce e di lunga durata, artrite idiopatica giovanile (artrite idiopatica giovanile poliarticolare e artrite associata ad entesite), così come su pazienti affetti da spondiloartrite assiale (spondilite anchilosante e spondiloartrite assiale senza evidenza radiografica di SA), artrite psoriasica, malattia di Crohn, colite ulcerosa, psoriasi, idrosadenite suppurativa e uveite. Gli studi registrativi controllati sono stati condotti su 6.089 pazienti sottoposti a trattamento con Humira e su 3.801 pazienti cui è stato somministrato placebo o un comparatore attivo durante il periodo di controllo.</w:t>
      </w:r>
    </w:p>
    <w:p w:rsidR="006224C2" w:rsidRPr="00295E71" w14:paraId="45889258" w14:textId="77777777">
      <w:pPr>
        <w:tabs>
          <w:tab w:val="left" w:pos="567"/>
        </w:tabs>
        <w:autoSpaceDE w:val="0"/>
        <w:autoSpaceDN w:val="0"/>
        <w:adjustRightInd w:val="0"/>
        <w:jc w:val="both"/>
        <w:rPr>
          <w:color w:val="000000"/>
          <w:sz w:val="22"/>
          <w:szCs w:val="22"/>
        </w:rPr>
      </w:pPr>
    </w:p>
    <w:p w:rsidR="006224C2" w:rsidRPr="00295E71" w14:paraId="23630BCB" w14:textId="77777777">
      <w:pPr>
        <w:pStyle w:val="BodyTextIndent"/>
        <w:tabs>
          <w:tab w:val="left" w:pos="567"/>
        </w:tabs>
      </w:pPr>
      <w:r w:rsidRPr="00295E71">
        <w:t>La percentuale di pazienti che hanno interrotto il trattamento a causa di eventi avversi durante la fase in doppio cieco, controllata, degli studi registrativi è stata del 5,9% per i pazienti che hanno assunto Humira e del 5,4% per i pazienti trattati con il controllo.</w:t>
      </w:r>
    </w:p>
    <w:p w:rsidR="006224C2" w:rsidRPr="00295E71" w14:paraId="29C82BB6" w14:textId="77777777">
      <w:pPr>
        <w:pStyle w:val="BodyTextIndent"/>
        <w:tabs>
          <w:tab w:val="left" w:pos="567"/>
        </w:tabs>
        <w:rPr>
          <w:u w:val="single"/>
        </w:rPr>
      </w:pPr>
    </w:p>
    <w:p w:rsidR="006224C2" w:rsidRPr="00295E71" w14:paraId="7F41AB19" w14:textId="77777777">
      <w:pPr>
        <w:pStyle w:val="BodyTextIndent"/>
        <w:tabs>
          <w:tab w:val="left" w:pos="567"/>
        </w:tabs>
      </w:pPr>
      <w:r w:rsidRPr="00295E71">
        <w:t>Le reazioni avverse più comunemente riportate sono infezioni (quali rinofaringiti, infezione delle alte vie respiratorie e sinusite), reazioni al sito di somministrazione (eritema, prurito, emorragia, dolore o tumefazione), cefalea e dolore muscoloscheletrico.</w:t>
      </w:r>
    </w:p>
    <w:p w:rsidR="006224C2" w:rsidRPr="00295E71" w14:paraId="154DD0F3" w14:textId="77777777">
      <w:pPr>
        <w:pStyle w:val="BodyTextIndent"/>
        <w:tabs>
          <w:tab w:val="left" w:pos="567"/>
        </w:tabs>
      </w:pPr>
    </w:p>
    <w:p w:rsidR="006224C2" w:rsidRPr="00295E71" w14:paraId="6555BF49" w14:textId="77777777">
      <w:pPr>
        <w:pStyle w:val="BodyTextIndent"/>
        <w:tabs>
          <w:tab w:val="left" w:pos="567"/>
        </w:tabs>
      </w:pPr>
      <w:r w:rsidRPr="00295E71">
        <w:t xml:space="preserve">Sono state riportate reazioni avverse gravi per Humira. I farmaci anti-TNF, come Humira, influenzano il sistema immunitario e il loro uso può influenzare le difese dell’organismo contro infezioni e cancro. </w:t>
      </w:r>
    </w:p>
    <w:p w:rsidR="006224C2" w:rsidRPr="00295E71" w14:paraId="25983886" w14:textId="77777777">
      <w:pPr>
        <w:pStyle w:val="BodyTextIndent"/>
        <w:tabs>
          <w:tab w:val="left" w:pos="567"/>
        </w:tabs>
      </w:pPr>
      <w:r w:rsidRPr="00295E71">
        <w:t xml:space="preserve">A seguito della somministrazione di Humira, sono stati riportati anche casi di infezioni fatali </w:t>
      </w:r>
      <w:r w:rsidRPr="00020442" w:rsidR="00660603">
        <w:t xml:space="preserve">e potenzialmente fatali </w:t>
      </w:r>
      <w:r w:rsidRPr="00295E71">
        <w:t>(inclusi casi di sepsi, infezioni opportunistiche e TBC), riattivazione dell’infezione da HBV e vari tipi di tumori maligni (inclusi casi di leucemia, linfomi e linfoma epato-splenico a cellule T-HSTCL).</w:t>
      </w:r>
    </w:p>
    <w:p w:rsidR="006224C2" w:rsidRPr="00295E71" w14:paraId="5BBD40D3" w14:textId="77777777">
      <w:pPr>
        <w:pStyle w:val="BodyTextIndent"/>
        <w:tabs>
          <w:tab w:val="left" w:pos="567"/>
        </w:tabs>
      </w:pPr>
    </w:p>
    <w:p w:rsidR="006224C2" w:rsidRPr="00295E71" w14:paraId="066CB7D2" w14:textId="77777777">
      <w:pPr>
        <w:pStyle w:val="BodyTextIndent"/>
        <w:tabs>
          <w:tab w:val="left" w:pos="567"/>
        </w:tabs>
      </w:pPr>
      <w:r w:rsidRPr="00295E71">
        <w:t xml:space="preserve">Sono state inoltre riportate gravi reazioni ematologiche, neurologiche e autoimmuni. Queste ultime includono rari casi di pancitopenia, anemia aplastica, eventi di demielinizzazione centrale e periferica e casi di lupus, condizioni lupus-correlate e sindrome di Stevens-Johnson. </w:t>
      </w:r>
    </w:p>
    <w:p w:rsidR="006224C2" w:rsidRPr="00295E71" w14:paraId="13D4AC9D" w14:textId="77777777">
      <w:pPr>
        <w:tabs>
          <w:tab w:val="left" w:pos="567"/>
        </w:tabs>
        <w:autoSpaceDE w:val="0"/>
        <w:autoSpaceDN w:val="0"/>
        <w:adjustRightInd w:val="0"/>
        <w:jc w:val="both"/>
        <w:rPr>
          <w:color w:val="000000"/>
          <w:sz w:val="22"/>
          <w:szCs w:val="22"/>
        </w:rPr>
      </w:pPr>
    </w:p>
    <w:p w:rsidR="006224C2" w:rsidRPr="00295E71" w:rsidP="005D5C2F" w14:paraId="60EEB4C9" w14:textId="77777777">
      <w:pPr>
        <w:keepNext/>
        <w:keepLines/>
        <w:tabs>
          <w:tab w:val="left" w:pos="567"/>
        </w:tabs>
        <w:autoSpaceDE w:val="0"/>
        <w:autoSpaceDN w:val="0"/>
        <w:adjustRightInd w:val="0"/>
        <w:jc w:val="both"/>
        <w:rPr>
          <w:color w:val="000000"/>
          <w:sz w:val="22"/>
          <w:szCs w:val="22"/>
          <w:u w:val="single"/>
        </w:rPr>
      </w:pPr>
      <w:r w:rsidRPr="00295E71">
        <w:rPr>
          <w:color w:val="000000"/>
          <w:sz w:val="22"/>
          <w:szCs w:val="22"/>
          <w:u w:val="single"/>
        </w:rPr>
        <w:t>Popolazione pediatrica</w:t>
      </w:r>
    </w:p>
    <w:p w:rsidR="006224C2" w:rsidRPr="00295E71" w:rsidP="005D5C2F" w14:paraId="409A743D" w14:textId="77777777">
      <w:pPr>
        <w:keepNext/>
        <w:keepLines/>
        <w:tabs>
          <w:tab w:val="left" w:pos="567"/>
        </w:tabs>
        <w:autoSpaceDE w:val="0"/>
        <w:autoSpaceDN w:val="0"/>
        <w:adjustRightInd w:val="0"/>
        <w:jc w:val="both"/>
        <w:rPr>
          <w:color w:val="000000"/>
          <w:sz w:val="22"/>
          <w:szCs w:val="22"/>
        </w:rPr>
      </w:pPr>
    </w:p>
    <w:p w:rsidR="006224C2" w:rsidRPr="00295E71" w:rsidP="005D5C2F" w14:paraId="006A0D40" w14:textId="77777777">
      <w:pPr>
        <w:pStyle w:val="BodyTextIndent"/>
        <w:keepNext/>
        <w:keepLines/>
        <w:tabs>
          <w:tab w:val="left" w:pos="567"/>
        </w:tabs>
      </w:pPr>
      <w:r w:rsidRPr="00295E71">
        <w:t>In generale, gli eventi avversi nei pazienti pediatrici sono risultati simili a quelli riscontrati nei pazienti adulti sia in termini di frequenza che di tipologia.</w:t>
      </w:r>
    </w:p>
    <w:p w:rsidR="006224C2" w:rsidRPr="00295E71" w14:paraId="7F8AEF7E" w14:textId="77777777">
      <w:pPr>
        <w:pStyle w:val="BodyTextIndent"/>
        <w:tabs>
          <w:tab w:val="left" w:pos="567"/>
        </w:tabs>
      </w:pPr>
    </w:p>
    <w:p w:rsidR="006224C2" w:rsidRPr="00295E71" w14:paraId="1012AB2A" w14:textId="77777777">
      <w:pPr>
        <w:rPr>
          <w:sz w:val="22"/>
          <w:szCs w:val="22"/>
          <w:u w:val="single"/>
        </w:rPr>
      </w:pPr>
      <w:r w:rsidRPr="00295E71">
        <w:rPr>
          <w:sz w:val="22"/>
          <w:szCs w:val="22"/>
          <w:u w:val="single"/>
        </w:rPr>
        <w:t>Tabella dell’elenco delle reazioni avverse</w:t>
      </w:r>
    </w:p>
    <w:p w:rsidR="006224C2" w:rsidRPr="00295E71" w14:paraId="373D2BD2" w14:textId="77777777">
      <w:pPr>
        <w:pStyle w:val="BodyTextIndent"/>
        <w:tabs>
          <w:tab w:val="left" w:pos="567"/>
        </w:tabs>
      </w:pPr>
    </w:p>
    <w:p w:rsidR="006224C2" w:rsidRPr="00295E71" w14:paraId="40C6EEA8" w14:textId="77777777">
      <w:pPr>
        <w:tabs>
          <w:tab w:val="left" w:pos="567"/>
        </w:tabs>
        <w:jc w:val="both"/>
        <w:rPr>
          <w:sz w:val="22"/>
          <w:szCs w:val="22"/>
        </w:rPr>
      </w:pPr>
      <w:r w:rsidRPr="00295E71">
        <w:rPr>
          <w:sz w:val="22"/>
          <w:szCs w:val="22"/>
        </w:rPr>
        <w:t xml:space="preserve">La seguente lista di reazioni avverse è basata su esperienza proveniente da studi clinici ed esperienze post marketing </w:t>
      </w:r>
      <w:r w:rsidR="00660603">
        <w:rPr>
          <w:sz w:val="22"/>
          <w:szCs w:val="22"/>
        </w:rPr>
        <w:t xml:space="preserve">ed è </w:t>
      </w:r>
      <w:r w:rsidRPr="00295E71">
        <w:rPr>
          <w:sz w:val="22"/>
          <w:szCs w:val="22"/>
        </w:rPr>
        <w:t>riportat</w:t>
      </w:r>
      <w:r w:rsidR="00660603">
        <w:rPr>
          <w:sz w:val="22"/>
          <w:szCs w:val="22"/>
        </w:rPr>
        <w:t>a</w:t>
      </w:r>
      <w:r w:rsidRPr="00295E71">
        <w:rPr>
          <w:sz w:val="22"/>
          <w:szCs w:val="22"/>
        </w:rPr>
        <w:t xml:space="preserve"> nella Tabella </w:t>
      </w:r>
      <w:r w:rsidR="00800CE0">
        <w:rPr>
          <w:sz w:val="22"/>
          <w:szCs w:val="22"/>
        </w:rPr>
        <w:t>4</w:t>
      </w:r>
      <w:r w:rsidRPr="00295E71">
        <w:rPr>
          <w:sz w:val="22"/>
          <w:szCs w:val="22"/>
        </w:rPr>
        <w:t xml:space="preserve"> classificata in base al sistema/organo coinvolto e alla frequenza (molto comune </w:t>
      </w:r>
      <w:r w:rsidRPr="00295E71">
        <w:rPr>
          <w:sz w:val="22"/>
          <w:szCs w:val="22"/>
          <w:u w:val="single"/>
        </w:rPr>
        <w:t>&gt;</w:t>
      </w:r>
      <w:r w:rsidRPr="00295E71">
        <w:rPr>
          <w:sz w:val="22"/>
          <w:szCs w:val="22"/>
        </w:rPr>
        <w:t xml:space="preserve">1/10; </w:t>
      </w:r>
      <w:r w:rsidRPr="00295E71">
        <w:rPr>
          <w:color w:val="000000"/>
          <w:sz w:val="22"/>
          <w:szCs w:val="22"/>
        </w:rPr>
        <w:t>comune ≥1/100</w:t>
      </w:r>
      <w:r w:rsidR="00660603">
        <w:rPr>
          <w:color w:val="000000"/>
          <w:sz w:val="22"/>
          <w:szCs w:val="22"/>
        </w:rPr>
        <w:t>,</w:t>
      </w:r>
      <w:r w:rsidRPr="00295E71">
        <w:rPr>
          <w:color w:val="000000"/>
          <w:sz w:val="22"/>
          <w:szCs w:val="22"/>
        </w:rPr>
        <w:t xml:space="preserve"> &lt;1/10; non comune ≥1/1.000</w:t>
      </w:r>
      <w:r w:rsidR="00660603">
        <w:rPr>
          <w:color w:val="000000"/>
          <w:sz w:val="22"/>
          <w:szCs w:val="22"/>
        </w:rPr>
        <w:t>,</w:t>
      </w:r>
      <w:r w:rsidRPr="00295E71">
        <w:rPr>
          <w:color w:val="000000"/>
          <w:sz w:val="22"/>
          <w:szCs w:val="22"/>
        </w:rPr>
        <w:t xml:space="preserve"> &lt;1/100,</w:t>
      </w:r>
      <w:r w:rsidRPr="00295E71">
        <w:rPr>
          <w:sz w:val="22"/>
          <w:szCs w:val="22"/>
        </w:rPr>
        <w:t xml:space="preserve"> raro ≥1/10.000</w:t>
      </w:r>
      <w:r w:rsidR="00660603">
        <w:rPr>
          <w:sz w:val="22"/>
          <w:szCs w:val="22"/>
        </w:rPr>
        <w:t>,</w:t>
      </w:r>
      <w:r w:rsidRPr="00295E71">
        <w:rPr>
          <w:sz w:val="22"/>
          <w:szCs w:val="22"/>
        </w:rPr>
        <w:t xml:space="preserve"> &lt;1/1.000 e non nota – la frequenza non può essere definita sulla base dei dati disponibili). All’interno di ogni gruppo di frequenza, gli effetti indesiderati sono riportati in ordine decrescente di gravità. È stata inclusa la frequenza più elevata osservata tra le varie indicazioni. Nella colonna Classificazione per sistemi ed organi compare un asterisco (*) nel caso in cui siano presenti ulteriori informazioni contenute nei paragrafi 4.3, 4.4 e 4.8.</w:t>
      </w:r>
    </w:p>
    <w:p w:rsidR="006224C2" w:rsidRPr="00295E71" w14:paraId="2ABE74EE" w14:textId="77777777">
      <w:pPr>
        <w:keepNext/>
        <w:rPr>
          <w:b/>
          <w:bCs/>
          <w:sz w:val="22"/>
          <w:szCs w:val="22"/>
        </w:rPr>
      </w:pPr>
    </w:p>
    <w:p w:rsidR="006224C2" w:rsidRPr="00295E71" w:rsidP="00C04163" w14:paraId="67989664" w14:textId="77777777">
      <w:pPr>
        <w:jc w:val="center"/>
        <w:rPr>
          <w:b/>
          <w:bCs/>
          <w:sz w:val="22"/>
          <w:szCs w:val="22"/>
        </w:rPr>
      </w:pPr>
      <w:r w:rsidRPr="00295E71">
        <w:rPr>
          <w:b/>
          <w:bCs/>
          <w:sz w:val="22"/>
          <w:szCs w:val="22"/>
        </w:rPr>
        <w:t xml:space="preserve">Tabella </w:t>
      </w:r>
      <w:r w:rsidR="00800CE0">
        <w:rPr>
          <w:b/>
          <w:bCs/>
          <w:sz w:val="22"/>
          <w:szCs w:val="22"/>
        </w:rPr>
        <w:t>4</w:t>
      </w:r>
    </w:p>
    <w:p w:rsidR="006224C2" w:rsidRPr="00295E71" w:rsidP="00C04163" w14:paraId="63CE628D" w14:textId="77777777">
      <w:pPr>
        <w:tabs>
          <w:tab w:val="left" w:pos="567"/>
        </w:tabs>
        <w:jc w:val="center"/>
        <w:rPr>
          <w:b/>
          <w:bCs/>
          <w:sz w:val="22"/>
          <w:szCs w:val="22"/>
        </w:rPr>
      </w:pPr>
      <w:r w:rsidRPr="00295E71">
        <w:rPr>
          <w:b/>
          <w:bCs/>
          <w:sz w:val="22"/>
          <w:szCs w:val="22"/>
        </w:rPr>
        <w:t xml:space="preserve">Effetti indesiderati </w:t>
      </w:r>
    </w:p>
    <w:p w:rsidR="006224C2" w:rsidRPr="00295E71" w:rsidP="00C04163" w14:paraId="7FA7AE75" w14:textId="77777777">
      <w:pPr>
        <w:tabs>
          <w:tab w:val="left" w:pos="567"/>
        </w:tabs>
        <w:autoSpaceDE w:val="0"/>
        <w:autoSpaceDN w:val="0"/>
        <w:adjustRightInd w:val="0"/>
        <w:rPr>
          <w:color w:val="00000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8"/>
        <w:gridCol w:w="2036"/>
        <w:gridCol w:w="4456"/>
      </w:tblGrid>
      <w:tr w14:paraId="24620CBE" w14:textId="77777777" w:rsidTr="00910CE7">
        <w:tblPrEx>
          <w:tblW w:w="0" w:type="auto"/>
          <w:tblLook w:val="01E0"/>
        </w:tblPrEx>
        <w:trPr>
          <w:tblHeader/>
        </w:trPr>
        <w:tc>
          <w:tcPr>
            <w:tcW w:w="2568" w:type="dxa"/>
            <w:tcBorders>
              <w:bottom w:val="single" w:sz="4" w:space="0" w:color="auto"/>
            </w:tcBorders>
          </w:tcPr>
          <w:p w:rsidR="006224C2" w:rsidRPr="00295E71" w:rsidP="00C04163" w14:paraId="5EDCCCA4" w14:textId="77777777">
            <w:pPr>
              <w:pStyle w:val="IndexHeading"/>
              <w:widowControl w:val="0"/>
              <w:tabs>
                <w:tab w:val="clear" w:pos="567"/>
              </w:tabs>
              <w:spacing w:before="120" w:after="120" w:line="240" w:lineRule="auto"/>
              <w:jc w:val="center"/>
              <w:rPr>
                <w:rFonts w:ascii="Times New Roman" w:hAnsi="Times New Roman" w:cs="Times New Roman"/>
                <w:lang w:val="it-IT" w:eastAsia="it-IT"/>
              </w:rPr>
            </w:pPr>
            <w:r w:rsidRPr="00295E71">
              <w:rPr>
                <w:rFonts w:ascii="Times New Roman" w:hAnsi="Times New Roman" w:cs="Times New Roman"/>
                <w:lang w:val="it-IT" w:eastAsia="it-IT"/>
              </w:rPr>
              <w:t>Classificazione per sistemi e organi</w:t>
            </w:r>
          </w:p>
        </w:tc>
        <w:tc>
          <w:tcPr>
            <w:tcW w:w="2036" w:type="dxa"/>
            <w:tcBorders>
              <w:bottom w:val="single" w:sz="4" w:space="0" w:color="auto"/>
            </w:tcBorders>
          </w:tcPr>
          <w:p w:rsidR="006224C2" w:rsidRPr="00295E71" w:rsidP="00C04163" w14:paraId="57A39F72" w14:textId="77777777">
            <w:pPr>
              <w:pStyle w:val="EMEATitle"/>
              <w:widowControl w:val="0"/>
              <w:tabs>
                <w:tab w:val="clear" w:pos="562"/>
              </w:tabs>
              <w:suppressAutoHyphens w:val="0"/>
              <w:spacing w:before="120" w:after="120"/>
              <w:rPr>
                <w:rFonts w:ascii="Times New Roman" w:hAnsi="Times New Roman"/>
                <w:caps w:val="0"/>
                <w:lang w:val="it-IT"/>
              </w:rPr>
            </w:pPr>
            <w:r w:rsidRPr="00295E71">
              <w:rPr>
                <w:rFonts w:ascii="Times New Roman" w:hAnsi="Times New Roman"/>
                <w:caps w:val="0"/>
                <w:lang w:val="it-IT"/>
              </w:rPr>
              <w:t>Frequenza</w:t>
            </w:r>
          </w:p>
        </w:tc>
        <w:tc>
          <w:tcPr>
            <w:tcW w:w="4456" w:type="dxa"/>
            <w:tcBorders>
              <w:bottom w:val="single" w:sz="4" w:space="0" w:color="auto"/>
            </w:tcBorders>
          </w:tcPr>
          <w:p w:rsidR="006224C2" w:rsidRPr="00295E71" w:rsidP="00C04163" w14:paraId="3B28B986" w14:textId="77777777">
            <w:pPr>
              <w:pStyle w:val="EMEATitle"/>
              <w:widowControl w:val="0"/>
              <w:tabs>
                <w:tab w:val="clear" w:pos="562"/>
              </w:tabs>
              <w:suppressAutoHyphens w:val="0"/>
              <w:spacing w:before="120" w:after="120"/>
              <w:rPr>
                <w:rFonts w:ascii="Times New Roman" w:hAnsi="Times New Roman"/>
                <w:caps w:val="0"/>
                <w:lang w:val="it-IT"/>
              </w:rPr>
            </w:pPr>
            <w:r w:rsidRPr="00295E71">
              <w:rPr>
                <w:rFonts w:ascii="Times New Roman" w:hAnsi="Times New Roman"/>
                <w:caps w:val="0"/>
                <w:lang w:val="it-IT"/>
              </w:rPr>
              <w:t>Reazione avversa</w:t>
            </w:r>
          </w:p>
        </w:tc>
      </w:tr>
      <w:tr w14:paraId="3F712D7E" w14:textId="77777777" w:rsidTr="00910CE7">
        <w:tblPrEx>
          <w:tblW w:w="0" w:type="auto"/>
          <w:tblLook w:val="01E0"/>
        </w:tblPrEx>
        <w:trPr>
          <w:cantSplit/>
        </w:trPr>
        <w:tc>
          <w:tcPr>
            <w:tcW w:w="2568" w:type="dxa"/>
            <w:vMerge w:val="restart"/>
            <w:tcBorders>
              <w:right w:val="single" w:sz="4" w:space="0" w:color="auto"/>
            </w:tcBorders>
          </w:tcPr>
          <w:p w:rsidR="006224C2" w:rsidRPr="00295E71" w:rsidP="00C04163" w14:paraId="608F9E4D" w14:textId="77777777">
            <w:pPr>
              <w:pStyle w:val="EMEANormal"/>
              <w:widowControl w:val="0"/>
              <w:spacing w:before="60"/>
              <w:rPr>
                <w:lang w:val="it-IT"/>
              </w:rPr>
            </w:pPr>
            <w:r w:rsidRPr="00295E71">
              <w:rPr>
                <w:lang w:val="it-IT"/>
              </w:rPr>
              <w:t>Infezioni ed infestazioni*</w:t>
            </w:r>
          </w:p>
          <w:p w:rsidR="006224C2" w:rsidRPr="00295E71" w:rsidP="00C04163" w14:paraId="00B8E28B" w14:textId="77777777">
            <w:pPr>
              <w:widowControl w:val="0"/>
              <w:spacing w:before="60"/>
              <w:jc w:val="center"/>
              <w:rPr>
                <w:sz w:val="22"/>
                <w:szCs w:val="22"/>
              </w:rPr>
            </w:pPr>
          </w:p>
        </w:tc>
        <w:tc>
          <w:tcPr>
            <w:tcW w:w="2036" w:type="dxa"/>
            <w:tcBorders>
              <w:left w:val="single" w:sz="4" w:space="0" w:color="auto"/>
              <w:bottom w:val="single" w:sz="4" w:space="0" w:color="auto"/>
              <w:right w:val="single" w:sz="4" w:space="0" w:color="auto"/>
            </w:tcBorders>
          </w:tcPr>
          <w:p w:rsidR="006224C2" w:rsidRPr="00295E71" w:rsidP="00C04163" w14:paraId="4FD7978E" w14:textId="77777777">
            <w:pPr>
              <w:pStyle w:val="EMEANormal"/>
              <w:widowControl w:val="0"/>
              <w:spacing w:before="60"/>
              <w:rPr>
                <w:lang w:val="it-IT"/>
              </w:rPr>
            </w:pPr>
            <w:r w:rsidRPr="00295E71">
              <w:rPr>
                <w:lang w:val="it-IT"/>
              </w:rPr>
              <w:t>Molto comune</w:t>
            </w:r>
          </w:p>
        </w:tc>
        <w:tc>
          <w:tcPr>
            <w:tcW w:w="4456" w:type="dxa"/>
            <w:tcBorders>
              <w:left w:val="single" w:sz="4" w:space="0" w:color="auto"/>
              <w:bottom w:val="single" w:sz="4" w:space="0" w:color="auto"/>
            </w:tcBorders>
          </w:tcPr>
          <w:p w:rsidR="006224C2" w:rsidRPr="00295E71" w:rsidP="00C04163" w14:paraId="1CDE111C" w14:textId="77777777">
            <w:pPr>
              <w:pStyle w:val="EMEANormal"/>
              <w:widowControl w:val="0"/>
              <w:spacing w:before="60"/>
              <w:rPr>
                <w:lang w:val="it-IT"/>
              </w:rPr>
            </w:pPr>
            <w:r w:rsidRPr="00295E71">
              <w:rPr>
                <w:lang w:val="it-IT"/>
              </w:rPr>
              <w:t>I</w:t>
            </w:r>
            <w:r w:rsidRPr="00295E71" w:rsidR="00226BC4">
              <w:rPr>
                <w:lang w:val="it-IT"/>
              </w:rPr>
              <w:t>nfezioni delle vie respiratorie (tra cui infezioni delle vie respiratorie superiori ed inferiori, polmonite, sinusite, faringite, rinofaringite e polmonite da herpes virus)</w:t>
            </w:r>
          </w:p>
          <w:p w:rsidR="006224C2" w:rsidRPr="00295E71" w:rsidP="00C04163" w14:paraId="0E431B0B" w14:textId="77777777">
            <w:pPr>
              <w:pStyle w:val="EMEANormal"/>
              <w:widowControl w:val="0"/>
              <w:spacing w:before="60"/>
              <w:rPr>
                <w:lang w:val="it-IT"/>
              </w:rPr>
            </w:pPr>
          </w:p>
        </w:tc>
      </w:tr>
      <w:tr w14:paraId="46A1A14C" w14:textId="77777777" w:rsidTr="00910CE7">
        <w:tblPrEx>
          <w:tblW w:w="0" w:type="auto"/>
          <w:tblLook w:val="01E0"/>
        </w:tblPrEx>
        <w:trPr>
          <w:cantSplit/>
        </w:trPr>
        <w:tc>
          <w:tcPr>
            <w:tcW w:w="2568" w:type="dxa"/>
            <w:vMerge/>
            <w:tcBorders>
              <w:bottom w:val="single" w:sz="4" w:space="0" w:color="auto"/>
            </w:tcBorders>
          </w:tcPr>
          <w:p w:rsidR="006224C2" w:rsidRPr="00295E71" w:rsidP="00C04163" w14:paraId="73EB12F6"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1C435F8E" w14:textId="77777777">
            <w:pPr>
              <w:pStyle w:val="EMEANormal"/>
              <w:widowControl w:val="0"/>
              <w:spacing w:before="60"/>
              <w:rPr>
                <w:lang w:val="it-IT"/>
              </w:rPr>
            </w:pPr>
            <w:r w:rsidRPr="00295E71">
              <w:rPr>
                <w:lang w:val="it-IT"/>
              </w:rPr>
              <w:t>Comune</w:t>
            </w:r>
          </w:p>
          <w:p w:rsidR="006224C2" w:rsidRPr="00295E71" w:rsidP="00C04163" w14:paraId="5FB58B8C" w14:textId="77777777">
            <w:pPr>
              <w:pStyle w:val="EMEANormal"/>
              <w:widowControl w:val="0"/>
              <w:spacing w:before="60"/>
              <w:rPr>
                <w:lang w:val="it-IT"/>
              </w:rPr>
            </w:pPr>
          </w:p>
        </w:tc>
        <w:tc>
          <w:tcPr>
            <w:tcW w:w="4456" w:type="dxa"/>
            <w:tcBorders>
              <w:top w:val="single" w:sz="4" w:space="0" w:color="auto"/>
              <w:bottom w:val="single" w:sz="4" w:space="0" w:color="auto"/>
            </w:tcBorders>
          </w:tcPr>
          <w:p w:rsidR="006224C2" w:rsidRPr="00295E71" w:rsidP="00C04163" w14:paraId="52B76634" w14:textId="77777777">
            <w:pPr>
              <w:widowControl w:val="0"/>
              <w:rPr>
                <w:sz w:val="22"/>
                <w:szCs w:val="22"/>
              </w:rPr>
            </w:pPr>
            <w:r w:rsidRPr="00295E71">
              <w:rPr>
                <w:sz w:val="22"/>
                <w:szCs w:val="22"/>
              </w:rPr>
              <w:t>I</w:t>
            </w:r>
            <w:r w:rsidRPr="00295E71" w:rsidR="00226BC4">
              <w:rPr>
                <w:sz w:val="22"/>
                <w:szCs w:val="22"/>
              </w:rPr>
              <w:t xml:space="preserve">nfezioni sistemiche (tra cui sepsi, candidosi ed influenza), </w:t>
            </w:r>
          </w:p>
          <w:p w:rsidR="006224C2" w:rsidRPr="00295E71" w:rsidP="00C04163" w14:paraId="60D8CBC1" w14:textId="77777777">
            <w:pPr>
              <w:widowControl w:val="0"/>
              <w:rPr>
                <w:sz w:val="22"/>
                <w:szCs w:val="22"/>
              </w:rPr>
            </w:pPr>
            <w:r w:rsidRPr="00295E71">
              <w:rPr>
                <w:sz w:val="22"/>
                <w:szCs w:val="22"/>
              </w:rPr>
              <w:t xml:space="preserve">infezioni intestinali (tra cui gastroenterite virale), </w:t>
            </w:r>
          </w:p>
          <w:p w:rsidR="006224C2" w:rsidRPr="00295E71" w:rsidP="00C04163" w14:paraId="780D9668" w14:textId="77777777">
            <w:pPr>
              <w:widowControl w:val="0"/>
              <w:rPr>
                <w:sz w:val="22"/>
                <w:szCs w:val="22"/>
              </w:rPr>
            </w:pPr>
            <w:r w:rsidRPr="00295E71">
              <w:rPr>
                <w:sz w:val="22"/>
                <w:szCs w:val="22"/>
              </w:rPr>
              <w:t>infezioni della pelle e dei tessuti molli (tra cui paronichia, cellulite, impetigine, fascite necrotizzante ed herpes zoster),</w:t>
            </w:r>
          </w:p>
          <w:p w:rsidR="006224C2" w:rsidRPr="00295E71" w:rsidP="00C04163" w14:paraId="3C50182E" w14:textId="77777777">
            <w:pPr>
              <w:pStyle w:val="EndnoteText"/>
              <w:widowControl w:val="0"/>
              <w:tabs>
                <w:tab w:val="clear" w:pos="567"/>
              </w:tabs>
              <w:rPr>
                <w:lang w:val="it-IT" w:eastAsia="it-IT"/>
              </w:rPr>
            </w:pPr>
            <w:r w:rsidRPr="00295E71">
              <w:rPr>
                <w:lang w:val="it-IT" w:eastAsia="it-IT"/>
              </w:rPr>
              <w:t>infezioni dell’orecchio,</w:t>
            </w:r>
          </w:p>
          <w:p w:rsidR="006224C2" w:rsidRPr="00295E71" w:rsidP="00C04163" w14:paraId="67BC750D" w14:textId="77777777">
            <w:pPr>
              <w:rPr>
                <w:sz w:val="22"/>
                <w:szCs w:val="22"/>
              </w:rPr>
            </w:pPr>
            <w:r w:rsidRPr="00295E71">
              <w:rPr>
                <w:sz w:val="22"/>
                <w:szCs w:val="22"/>
              </w:rPr>
              <w:t>infezioni del cavo orale (tra cui herpes simplex, herpes orale ed infezioni dentali),</w:t>
            </w:r>
          </w:p>
          <w:p w:rsidR="006224C2" w:rsidRPr="00295E71" w:rsidP="00C04163" w14:paraId="43E3537B" w14:textId="77777777">
            <w:pPr>
              <w:rPr>
                <w:sz w:val="22"/>
                <w:szCs w:val="22"/>
              </w:rPr>
            </w:pPr>
            <w:r w:rsidRPr="00295E71">
              <w:rPr>
                <w:sz w:val="22"/>
                <w:szCs w:val="22"/>
              </w:rPr>
              <w:t>infezioni dell’apparato riproduttivo (tra cui infezione vulvovaginale micotica),</w:t>
            </w:r>
          </w:p>
          <w:p w:rsidR="006224C2" w:rsidRPr="00295E71" w:rsidP="00C04163" w14:paraId="030674C6" w14:textId="77777777">
            <w:pPr>
              <w:pStyle w:val="EndnoteText"/>
              <w:tabs>
                <w:tab w:val="clear" w:pos="567"/>
              </w:tabs>
              <w:rPr>
                <w:lang w:val="it-IT" w:eastAsia="it-IT"/>
              </w:rPr>
            </w:pPr>
            <w:r w:rsidRPr="00295E71">
              <w:rPr>
                <w:lang w:val="it-IT" w:eastAsia="it-IT"/>
              </w:rPr>
              <w:t>infezioni delle vie urinarie (tra cui pielonefriti),</w:t>
            </w:r>
          </w:p>
          <w:p w:rsidR="006224C2" w:rsidRPr="00295E71" w:rsidP="00C04163" w14:paraId="29BA704D" w14:textId="77777777">
            <w:pPr>
              <w:pStyle w:val="EMEANormal"/>
              <w:widowControl w:val="0"/>
              <w:spacing w:before="60"/>
              <w:rPr>
                <w:lang w:val="it-IT"/>
              </w:rPr>
            </w:pPr>
            <w:r w:rsidRPr="00295E71">
              <w:rPr>
                <w:lang w:val="it-IT"/>
              </w:rPr>
              <w:t>infezioni fungine,</w:t>
            </w:r>
          </w:p>
          <w:p w:rsidR="006224C2" w:rsidRPr="00295E71" w:rsidP="00C04163" w14:paraId="7072FF6E" w14:textId="77777777">
            <w:pPr>
              <w:pStyle w:val="EMEANormal"/>
              <w:widowControl w:val="0"/>
              <w:spacing w:before="60"/>
              <w:rPr>
                <w:lang w:val="it-IT"/>
              </w:rPr>
            </w:pPr>
            <w:r w:rsidRPr="00295E71">
              <w:rPr>
                <w:lang w:val="it-IT"/>
              </w:rPr>
              <w:t>infezioni articolari</w:t>
            </w:r>
          </w:p>
          <w:p w:rsidR="006224C2" w:rsidRPr="00295E71" w:rsidP="00C04163" w14:paraId="06BE1E6B" w14:textId="77777777">
            <w:pPr>
              <w:pStyle w:val="EMEANormal"/>
              <w:widowControl w:val="0"/>
              <w:spacing w:before="60"/>
              <w:rPr>
                <w:lang w:val="it-IT"/>
              </w:rPr>
            </w:pPr>
          </w:p>
        </w:tc>
      </w:tr>
      <w:tr w14:paraId="1A884EC5" w14:textId="77777777" w:rsidTr="00910CE7">
        <w:tblPrEx>
          <w:tblW w:w="0" w:type="auto"/>
          <w:tblLook w:val="01E0"/>
        </w:tblPrEx>
        <w:trPr>
          <w:cantSplit/>
        </w:trPr>
        <w:tc>
          <w:tcPr>
            <w:tcW w:w="2568" w:type="dxa"/>
            <w:vMerge/>
            <w:tcBorders>
              <w:top w:val="single" w:sz="4" w:space="0" w:color="auto"/>
            </w:tcBorders>
          </w:tcPr>
          <w:p w:rsidR="006224C2" w:rsidRPr="00295E71" w:rsidP="00C04163" w14:paraId="41B5C3D1"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7525EF48" w14:textId="77777777">
            <w:pPr>
              <w:pStyle w:val="EMEANormal"/>
              <w:widowControl w:val="0"/>
              <w:rPr>
                <w:lang w:val="it-IT"/>
              </w:rPr>
            </w:pPr>
            <w:r w:rsidRPr="00295E71">
              <w:rPr>
                <w:lang w:val="it-IT"/>
              </w:rPr>
              <w:t>Non comune</w:t>
            </w:r>
          </w:p>
          <w:p w:rsidR="006224C2" w:rsidRPr="00295E71" w:rsidP="00C04163" w14:paraId="4B598C80"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456FE158" w14:textId="77777777">
            <w:pPr>
              <w:pStyle w:val="EMEANormal"/>
              <w:widowControl w:val="0"/>
              <w:rPr>
                <w:lang w:val="it-IT"/>
              </w:rPr>
            </w:pPr>
            <w:r w:rsidRPr="00295E71">
              <w:rPr>
                <w:lang w:val="it-IT"/>
              </w:rPr>
              <w:t>I</w:t>
            </w:r>
            <w:r w:rsidRPr="00295E71" w:rsidR="00226BC4">
              <w:rPr>
                <w:lang w:val="it-IT"/>
              </w:rPr>
              <w:t xml:space="preserve">nfezioni neurologiche (tra cui meningite virale), </w:t>
            </w:r>
          </w:p>
          <w:p w:rsidR="006224C2" w:rsidRPr="00295E71" w:rsidP="00C04163" w14:paraId="7024B473" w14:textId="77777777">
            <w:pPr>
              <w:pStyle w:val="EMEANormal"/>
              <w:widowControl w:val="0"/>
              <w:rPr>
                <w:lang w:val="it-IT"/>
              </w:rPr>
            </w:pPr>
            <w:r w:rsidRPr="00295E71">
              <w:rPr>
                <w:lang w:val="it-IT"/>
              </w:rPr>
              <w:t>infezioni opportunistiche e tubercolosi (tra cui coccidioidomicosi, istoplasmosi e infezioni da mycobacterium avium complex),</w:t>
            </w:r>
          </w:p>
          <w:p w:rsidR="006224C2" w:rsidRPr="00295E71" w:rsidP="00C04163" w14:paraId="4B2B848E" w14:textId="77777777">
            <w:pPr>
              <w:pStyle w:val="EMEANormal"/>
              <w:widowControl w:val="0"/>
              <w:rPr>
                <w:lang w:val="it-IT"/>
              </w:rPr>
            </w:pPr>
            <w:r w:rsidRPr="00295E71">
              <w:rPr>
                <w:lang w:val="it-IT"/>
              </w:rPr>
              <w:t>infezioni batteriche,</w:t>
            </w:r>
          </w:p>
          <w:p w:rsidR="006224C2" w:rsidRPr="00295E71" w:rsidP="00C04163" w14:paraId="5F892143" w14:textId="77777777">
            <w:pPr>
              <w:pStyle w:val="EMEANormal"/>
              <w:widowControl w:val="0"/>
              <w:rPr>
                <w:lang w:val="it-IT"/>
              </w:rPr>
            </w:pPr>
            <w:r w:rsidRPr="00295E71">
              <w:rPr>
                <w:lang w:val="it-IT"/>
              </w:rPr>
              <w:t>infezioni oculari,</w:t>
            </w:r>
          </w:p>
          <w:p w:rsidR="006224C2" w:rsidRPr="00295E71" w:rsidP="00C04163" w14:paraId="2ACDF3D6" w14:textId="77777777">
            <w:pPr>
              <w:pStyle w:val="EMEANormal"/>
              <w:widowControl w:val="0"/>
              <w:rPr>
                <w:vertAlign w:val="superscript"/>
                <w:lang w:val="it-IT"/>
              </w:rPr>
            </w:pPr>
            <w:r w:rsidRPr="00295E71">
              <w:rPr>
                <w:lang w:val="it-IT"/>
              </w:rPr>
              <w:t>diverticolite</w:t>
            </w:r>
            <w:r w:rsidRPr="00295E71">
              <w:rPr>
                <w:vertAlign w:val="superscript"/>
                <w:lang w:val="it-IT"/>
              </w:rPr>
              <w:t>1)</w:t>
            </w:r>
          </w:p>
          <w:p w:rsidR="006224C2" w:rsidRPr="00295E71" w:rsidP="00C04163" w14:paraId="3A10332E" w14:textId="77777777">
            <w:pPr>
              <w:pStyle w:val="EMEANormal"/>
              <w:widowControl w:val="0"/>
              <w:rPr>
                <w:lang w:val="it-IT"/>
              </w:rPr>
            </w:pPr>
          </w:p>
        </w:tc>
      </w:tr>
      <w:tr w14:paraId="009F5A64" w14:textId="77777777" w:rsidTr="00910CE7">
        <w:tblPrEx>
          <w:tblW w:w="0" w:type="auto"/>
          <w:tblLook w:val="01E0"/>
        </w:tblPrEx>
        <w:trPr>
          <w:cantSplit/>
        </w:trPr>
        <w:tc>
          <w:tcPr>
            <w:tcW w:w="2568" w:type="dxa"/>
            <w:vMerge w:val="restart"/>
          </w:tcPr>
          <w:p w:rsidR="006224C2" w:rsidRPr="00295E71" w:rsidP="00C04163" w14:paraId="7A4293FC" w14:textId="77777777">
            <w:pPr>
              <w:pStyle w:val="EndnoteText"/>
              <w:widowControl w:val="0"/>
              <w:tabs>
                <w:tab w:val="clear" w:pos="567"/>
              </w:tabs>
              <w:spacing w:before="60"/>
              <w:rPr>
                <w:b/>
                <w:lang w:val="it-IT" w:eastAsia="it-IT"/>
              </w:rPr>
            </w:pPr>
            <w:r w:rsidRPr="00295E71">
              <w:rPr>
                <w:lang w:val="it-IT" w:eastAsia="it-IT"/>
              </w:rPr>
              <w:t>Tumori benigni, maligni e non specificati (cisti e polipi compresi)*</w:t>
            </w:r>
          </w:p>
        </w:tc>
        <w:tc>
          <w:tcPr>
            <w:tcW w:w="2036" w:type="dxa"/>
            <w:tcBorders>
              <w:top w:val="single" w:sz="4" w:space="0" w:color="auto"/>
              <w:bottom w:val="single" w:sz="4" w:space="0" w:color="auto"/>
            </w:tcBorders>
          </w:tcPr>
          <w:p w:rsidR="006224C2" w:rsidRPr="00295E71" w:rsidP="00C04163" w14:paraId="67342221" w14:textId="77777777">
            <w:pPr>
              <w:pStyle w:val="EMEANormal"/>
              <w:widowControl w:val="0"/>
              <w:spacing w:before="60"/>
              <w:rPr>
                <w:lang w:val="it-IT"/>
              </w:rPr>
            </w:pPr>
            <w:r w:rsidRPr="00295E71">
              <w:rPr>
                <w:lang w:val="it-IT"/>
              </w:rPr>
              <w:t>Comune</w:t>
            </w:r>
          </w:p>
          <w:p w:rsidR="006224C2" w:rsidRPr="00295E71" w:rsidP="00C04163" w14:paraId="560E484B" w14:textId="77777777">
            <w:pPr>
              <w:pStyle w:val="EMEANormal"/>
              <w:widowControl w:val="0"/>
              <w:spacing w:before="60"/>
              <w:rPr>
                <w:lang w:val="it-IT"/>
              </w:rPr>
            </w:pPr>
          </w:p>
        </w:tc>
        <w:tc>
          <w:tcPr>
            <w:tcW w:w="4456" w:type="dxa"/>
            <w:tcBorders>
              <w:top w:val="single" w:sz="4" w:space="0" w:color="auto"/>
              <w:bottom w:val="single" w:sz="4" w:space="0" w:color="auto"/>
            </w:tcBorders>
          </w:tcPr>
          <w:p w:rsidR="006224C2" w:rsidRPr="00295E71" w:rsidP="00C04163" w14:paraId="7CF84C32" w14:textId="77777777">
            <w:pPr>
              <w:pStyle w:val="EMEANormal"/>
              <w:widowControl w:val="0"/>
              <w:spacing w:before="60"/>
              <w:rPr>
                <w:lang w:val="it-IT"/>
              </w:rPr>
            </w:pPr>
            <w:r w:rsidRPr="00295E71">
              <w:rPr>
                <w:lang w:val="it-IT"/>
              </w:rPr>
              <w:t>T</w:t>
            </w:r>
            <w:r w:rsidRPr="00295E71" w:rsidR="00226BC4">
              <w:rPr>
                <w:lang w:val="it-IT"/>
              </w:rPr>
              <w:t>umore cutaneo escluso il melanoma (tra cui carcinoma basocellulare e carcinoma a cellule squamose),</w:t>
            </w:r>
          </w:p>
          <w:p w:rsidR="006224C2" w:rsidRPr="00295E71" w:rsidP="00C04163" w14:paraId="5C900A08" w14:textId="77777777">
            <w:pPr>
              <w:pStyle w:val="EMEANormal"/>
              <w:widowControl w:val="0"/>
              <w:spacing w:before="60"/>
              <w:rPr>
                <w:lang w:val="it-IT"/>
              </w:rPr>
            </w:pPr>
            <w:r w:rsidRPr="00295E71">
              <w:rPr>
                <w:lang w:val="it-IT"/>
              </w:rPr>
              <w:t>neoplasia benigna,</w:t>
            </w:r>
          </w:p>
          <w:p w:rsidR="006224C2" w:rsidRPr="00295E71" w:rsidP="00C04163" w14:paraId="1CDDB617" w14:textId="77777777">
            <w:pPr>
              <w:pStyle w:val="EMEANormal"/>
              <w:widowControl w:val="0"/>
              <w:spacing w:before="60"/>
              <w:rPr>
                <w:lang w:val="it-IT"/>
              </w:rPr>
            </w:pPr>
          </w:p>
        </w:tc>
      </w:tr>
      <w:tr w14:paraId="463B961F" w14:textId="77777777" w:rsidTr="00910CE7">
        <w:tblPrEx>
          <w:tblW w:w="0" w:type="auto"/>
          <w:tblLook w:val="01E0"/>
        </w:tblPrEx>
        <w:trPr>
          <w:cantSplit/>
        </w:trPr>
        <w:tc>
          <w:tcPr>
            <w:tcW w:w="2568" w:type="dxa"/>
            <w:vMerge/>
          </w:tcPr>
          <w:p w:rsidR="006224C2" w:rsidRPr="00295E71" w:rsidP="00C04163" w14:paraId="7C5B4D1F"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55AA9134" w14:textId="77777777">
            <w:pPr>
              <w:pStyle w:val="EMEANormal"/>
              <w:widowControl w:val="0"/>
              <w:rPr>
                <w:lang w:val="it-IT"/>
              </w:rPr>
            </w:pPr>
            <w:r w:rsidRPr="00295E71">
              <w:rPr>
                <w:lang w:val="it-IT"/>
              </w:rPr>
              <w:t>Non comune</w:t>
            </w:r>
          </w:p>
          <w:p w:rsidR="006224C2" w:rsidRPr="00295E71" w:rsidP="00C04163" w14:paraId="0B914F56"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609D48BE" w14:textId="77777777">
            <w:pPr>
              <w:pStyle w:val="EMEANormal"/>
              <w:widowControl w:val="0"/>
              <w:rPr>
                <w:lang w:val="it-IT"/>
              </w:rPr>
            </w:pPr>
            <w:r w:rsidRPr="00295E71">
              <w:rPr>
                <w:lang w:val="it-IT"/>
              </w:rPr>
              <w:t>L</w:t>
            </w:r>
            <w:r w:rsidRPr="00295E71" w:rsidR="00226BC4">
              <w:rPr>
                <w:lang w:val="it-IT"/>
              </w:rPr>
              <w:t>infoma**,</w:t>
            </w:r>
          </w:p>
          <w:p w:rsidR="006224C2" w:rsidRPr="00295E71" w:rsidP="00C04163" w14:paraId="0CFC8B33" w14:textId="77777777">
            <w:pPr>
              <w:pStyle w:val="EMEANormal"/>
              <w:widowControl w:val="0"/>
              <w:rPr>
                <w:lang w:val="it-IT"/>
              </w:rPr>
            </w:pPr>
            <w:r w:rsidRPr="00295E71">
              <w:rPr>
                <w:lang w:val="it-IT"/>
              </w:rPr>
              <w:t>tumori solidi (tra cui carcinoma mammario, neoplasia polmonare e neoplasia tiroidea),</w:t>
            </w:r>
          </w:p>
          <w:p w:rsidR="006224C2" w:rsidRPr="00295E71" w:rsidP="00C04163" w14:paraId="4F74E5C3" w14:textId="77777777">
            <w:pPr>
              <w:pStyle w:val="EMEANormal"/>
              <w:widowControl w:val="0"/>
              <w:rPr>
                <w:lang w:val="it-IT"/>
              </w:rPr>
            </w:pPr>
            <w:r w:rsidRPr="00295E71">
              <w:rPr>
                <w:lang w:val="it-IT"/>
              </w:rPr>
              <w:t>melanoma**</w:t>
            </w:r>
          </w:p>
          <w:p w:rsidR="006224C2" w:rsidRPr="00295E71" w:rsidP="00C04163" w14:paraId="529F598F" w14:textId="77777777">
            <w:pPr>
              <w:pStyle w:val="EMEANormal"/>
              <w:widowControl w:val="0"/>
              <w:rPr>
                <w:lang w:val="it-IT"/>
              </w:rPr>
            </w:pPr>
          </w:p>
        </w:tc>
      </w:tr>
      <w:tr w14:paraId="596F3157" w14:textId="77777777" w:rsidTr="00910CE7">
        <w:tblPrEx>
          <w:tblW w:w="0" w:type="auto"/>
          <w:tblLook w:val="01E0"/>
        </w:tblPrEx>
        <w:trPr>
          <w:cantSplit/>
        </w:trPr>
        <w:tc>
          <w:tcPr>
            <w:tcW w:w="2568" w:type="dxa"/>
            <w:vMerge/>
          </w:tcPr>
          <w:p w:rsidR="006224C2" w:rsidRPr="00295E71" w:rsidP="00C04163" w14:paraId="76FAEE90"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139EF936" w14:textId="77777777">
            <w:pPr>
              <w:pStyle w:val="EMEANormal"/>
              <w:widowControl w:val="0"/>
              <w:rPr>
                <w:lang w:val="it-IT"/>
              </w:rPr>
            </w:pPr>
            <w:r w:rsidRPr="00295E71">
              <w:rPr>
                <w:lang w:val="it-IT"/>
              </w:rPr>
              <w:t>Raro</w:t>
            </w:r>
          </w:p>
        </w:tc>
        <w:tc>
          <w:tcPr>
            <w:tcW w:w="4456" w:type="dxa"/>
            <w:tcBorders>
              <w:top w:val="single" w:sz="4" w:space="0" w:color="auto"/>
              <w:bottom w:val="single" w:sz="4" w:space="0" w:color="auto"/>
            </w:tcBorders>
          </w:tcPr>
          <w:p w:rsidR="006224C2" w:rsidRPr="00295E71" w:rsidP="00C04163" w14:paraId="54CB3980" w14:textId="77777777">
            <w:pPr>
              <w:pStyle w:val="EMEANormal"/>
              <w:widowControl w:val="0"/>
              <w:rPr>
                <w:vertAlign w:val="superscript"/>
                <w:lang w:val="it-IT"/>
              </w:rPr>
            </w:pPr>
            <w:r w:rsidRPr="00295E71">
              <w:rPr>
                <w:lang w:val="it-IT"/>
              </w:rPr>
              <w:t>L</w:t>
            </w:r>
            <w:r w:rsidRPr="00295E71" w:rsidR="00226BC4">
              <w:rPr>
                <w:lang w:val="it-IT"/>
              </w:rPr>
              <w:t>eucemia</w:t>
            </w:r>
            <w:r w:rsidRPr="00295E71" w:rsidR="00226BC4">
              <w:rPr>
                <w:vertAlign w:val="superscript"/>
                <w:lang w:val="it-IT"/>
              </w:rPr>
              <w:t>1)</w:t>
            </w:r>
          </w:p>
          <w:p w:rsidR="006224C2" w:rsidRPr="00295E71" w:rsidP="00C04163" w14:paraId="1369B5C6" w14:textId="77777777">
            <w:pPr>
              <w:pStyle w:val="EMEANormal"/>
              <w:widowControl w:val="0"/>
              <w:rPr>
                <w:lang w:val="it-IT"/>
              </w:rPr>
            </w:pPr>
          </w:p>
        </w:tc>
      </w:tr>
      <w:tr w14:paraId="1AE49690" w14:textId="77777777" w:rsidTr="00910CE7">
        <w:tblPrEx>
          <w:tblW w:w="0" w:type="auto"/>
          <w:tblLook w:val="01E0"/>
        </w:tblPrEx>
        <w:trPr>
          <w:cantSplit/>
        </w:trPr>
        <w:tc>
          <w:tcPr>
            <w:tcW w:w="2568" w:type="dxa"/>
            <w:vMerge/>
          </w:tcPr>
          <w:p w:rsidR="006224C2" w:rsidRPr="00295E71" w:rsidP="00C04163" w14:paraId="19C4AA3A"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28C341D2" w14:textId="77777777">
            <w:pPr>
              <w:pStyle w:val="EMEANormal"/>
              <w:widowControl w:val="0"/>
              <w:rPr>
                <w:lang w:val="it-IT"/>
              </w:rPr>
            </w:pPr>
            <w:r w:rsidRPr="00295E71">
              <w:rPr>
                <w:lang w:val="it-IT"/>
              </w:rPr>
              <w:t>Non nota</w:t>
            </w:r>
          </w:p>
        </w:tc>
        <w:tc>
          <w:tcPr>
            <w:tcW w:w="4456" w:type="dxa"/>
            <w:tcBorders>
              <w:top w:val="single" w:sz="4" w:space="0" w:color="auto"/>
              <w:bottom w:val="single" w:sz="4" w:space="0" w:color="auto"/>
            </w:tcBorders>
          </w:tcPr>
          <w:p w:rsidR="006224C2" w:rsidRPr="0002593D" w:rsidP="00C04163" w14:paraId="65C0EB74" w14:textId="77777777">
            <w:pPr>
              <w:pStyle w:val="EMEANormal"/>
              <w:widowControl w:val="0"/>
              <w:rPr>
                <w:lang w:val="it-IT"/>
              </w:rPr>
            </w:pPr>
            <w:r w:rsidRPr="00295E71">
              <w:rPr>
                <w:lang w:val="it-IT"/>
              </w:rPr>
              <w:t>L</w:t>
            </w:r>
            <w:r w:rsidRPr="00295E71" w:rsidR="00226BC4">
              <w:rPr>
                <w:lang w:val="it-IT"/>
              </w:rPr>
              <w:t xml:space="preserve">infoma epato-splenico a cellule T </w:t>
            </w:r>
            <w:r w:rsidRPr="00295E71" w:rsidR="00226BC4">
              <w:rPr>
                <w:vertAlign w:val="superscript"/>
                <w:lang w:val="it-IT"/>
              </w:rPr>
              <w:t>1)</w:t>
            </w:r>
            <w:r w:rsidR="00660603">
              <w:rPr>
                <w:lang w:val="it-IT"/>
              </w:rPr>
              <w:t>,</w:t>
            </w:r>
          </w:p>
          <w:p w:rsidR="000B3DBE" w:rsidP="00C04163" w14:paraId="3515BD00" w14:textId="77777777">
            <w:pPr>
              <w:pStyle w:val="EMEANormal"/>
              <w:widowControl w:val="0"/>
              <w:jc w:val="both"/>
              <w:rPr>
                <w:lang w:val="it-IT"/>
              </w:rPr>
            </w:pPr>
            <w:r>
              <w:rPr>
                <w:lang w:val="it-IT"/>
              </w:rPr>
              <w:t>c</w:t>
            </w:r>
            <w:r w:rsidRPr="00295E71" w:rsidR="00226BC4">
              <w:rPr>
                <w:lang w:val="it-IT"/>
              </w:rPr>
              <w:t>arcinoma a cellule di Merkel (carcinoma neuroendocrino della pelle)</w:t>
            </w:r>
            <w:r w:rsidRPr="00295E71" w:rsidR="00226BC4">
              <w:rPr>
                <w:vertAlign w:val="superscript"/>
                <w:lang w:val="it-IT"/>
              </w:rPr>
              <w:t>1)</w:t>
            </w:r>
            <w:r>
              <w:rPr>
                <w:lang w:val="it-IT"/>
              </w:rPr>
              <w:t xml:space="preserve"> ,</w:t>
            </w:r>
          </w:p>
          <w:p w:rsidR="000B3DBE" w:rsidP="00C04163" w14:paraId="1E006625" w14:textId="77777777">
            <w:pPr>
              <w:pStyle w:val="EMEANormal"/>
              <w:widowControl w:val="0"/>
              <w:jc w:val="both"/>
              <w:rPr>
                <w:lang w:val="it-IT"/>
              </w:rPr>
            </w:pPr>
            <w:r w:rsidRPr="000B3DBE">
              <w:rPr>
                <w:lang w:val="it-IT"/>
              </w:rPr>
              <w:t>sarcoma di Kaposi</w:t>
            </w:r>
          </w:p>
          <w:p w:rsidR="006224C2" w:rsidRPr="00295E71" w:rsidP="00C04163" w14:paraId="105B5550" w14:textId="77777777">
            <w:pPr>
              <w:pStyle w:val="EMEANormal"/>
              <w:widowControl w:val="0"/>
              <w:rPr>
                <w:lang w:val="it-IT"/>
              </w:rPr>
            </w:pPr>
          </w:p>
        </w:tc>
      </w:tr>
      <w:tr w14:paraId="1BB3F594" w14:textId="77777777" w:rsidTr="00910CE7">
        <w:tblPrEx>
          <w:tblW w:w="0" w:type="auto"/>
          <w:tblLook w:val="01E0"/>
        </w:tblPrEx>
        <w:trPr>
          <w:cantSplit/>
        </w:trPr>
        <w:tc>
          <w:tcPr>
            <w:tcW w:w="2568" w:type="dxa"/>
            <w:vMerge w:val="restart"/>
          </w:tcPr>
          <w:p w:rsidR="006224C2" w:rsidRPr="00295E71" w:rsidP="00C04163" w14:paraId="4E70C424" w14:textId="77777777">
            <w:pPr>
              <w:pStyle w:val="EndnoteText"/>
              <w:widowControl w:val="0"/>
              <w:tabs>
                <w:tab w:val="clear" w:pos="567"/>
              </w:tabs>
              <w:spacing w:before="60"/>
              <w:rPr>
                <w:b/>
                <w:lang w:val="it-IT" w:eastAsia="it-IT"/>
              </w:rPr>
            </w:pPr>
            <w:r w:rsidRPr="00295E71">
              <w:rPr>
                <w:lang w:val="it-IT" w:eastAsia="it-IT"/>
              </w:rPr>
              <w:t>Patologie del sistema emolinfopoietico*</w:t>
            </w:r>
          </w:p>
        </w:tc>
        <w:tc>
          <w:tcPr>
            <w:tcW w:w="2036" w:type="dxa"/>
            <w:tcBorders>
              <w:bottom w:val="single" w:sz="4" w:space="0" w:color="auto"/>
            </w:tcBorders>
          </w:tcPr>
          <w:p w:rsidR="006224C2" w:rsidRPr="00295E71" w:rsidP="00C04163" w14:paraId="57216AE6" w14:textId="77777777">
            <w:pPr>
              <w:pStyle w:val="EMEANormal"/>
              <w:widowControl w:val="0"/>
              <w:spacing w:before="60"/>
              <w:jc w:val="both"/>
              <w:rPr>
                <w:lang w:val="it-IT"/>
              </w:rPr>
            </w:pPr>
            <w:r w:rsidRPr="00295E71">
              <w:rPr>
                <w:lang w:val="it-IT"/>
              </w:rPr>
              <w:t>Molto comune</w:t>
            </w:r>
          </w:p>
          <w:p w:rsidR="006224C2" w:rsidRPr="00295E71" w:rsidP="00C04163" w14:paraId="380EE0E2" w14:textId="77777777">
            <w:pPr>
              <w:pStyle w:val="EMEANormal"/>
              <w:widowControl w:val="0"/>
              <w:spacing w:before="60"/>
              <w:jc w:val="both"/>
              <w:rPr>
                <w:lang w:val="it-IT"/>
              </w:rPr>
            </w:pPr>
          </w:p>
        </w:tc>
        <w:tc>
          <w:tcPr>
            <w:tcW w:w="4456" w:type="dxa"/>
            <w:tcBorders>
              <w:bottom w:val="single" w:sz="4" w:space="0" w:color="auto"/>
            </w:tcBorders>
          </w:tcPr>
          <w:p w:rsidR="006224C2" w:rsidRPr="00295E71" w:rsidP="00C04163" w14:paraId="2DD60416" w14:textId="77777777">
            <w:pPr>
              <w:pStyle w:val="EMEAFigureTitle"/>
              <w:widowControl w:val="0"/>
              <w:tabs>
                <w:tab w:val="clear" w:pos="562"/>
              </w:tabs>
              <w:suppressAutoHyphens w:val="0"/>
              <w:spacing w:before="60"/>
              <w:rPr>
                <w:lang w:val="it-IT" w:eastAsia="it-IT"/>
              </w:rPr>
            </w:pPr>
            <w:r w:rsidRPr="00295E71">
              <w:rPr>
                <w:lang w:val="it-IT" w:eastAsia="it-IT"/>
              </w:rPr>
              <w:t>L</w:t>
            </w:r>
            <w:r w:rsidRPr="00295E71" w:rsidR="00226BC4">
              <w:rPr>
                <w:lang w:val="it-IT" w:eastAsia="it-IT"/>
              </w:rPr>
              <w:t>eucopenia (tra cui neutropenia e agranulocitosi),</w:t>
            </w:r>
          </w:p>
          <w:p w:rsidR="006224C2" w:rsidRPr="00295E71" w:rsidP="00C04163" w14:paraId="06678C7F" w14:textId="77777777">
            <w:pPr>
              <w:widowControl w:val="0"/>
              <w:spacing w:before="60"/>
              <w:rPr>
                <w:sz w:val="22"/>
                <w:szCs w:val="22"/>
              </w:rPr>
            </w:pPr>
            <w:r w:rsidRPr="00295E71">
              <w:rPr>
                <w:sz w:val="22"/>
                <w:szCs w:val="22"/>
              </w:rPr>
              <w:t>anemia</w:t>
            </w:r>
          </w:p>
          <w:p w:rsidR="006224C2" w:rsidRPr="00295E71" w:rsidP="00C04163" w14:paraId="4D85A912" w14:textId="77777777">
            <w:pPr>
              <w:widowControl w:val="0"/>
              <w:spacing w:before="60"/>
              <w:rPr>
                <w:b/>
                <w:sz w:val="22"/>
                <w:szCs w:val="22"/>
              </w:rPr>
            </w:pPr>
          </w:p>
        </w:tc>
      </w:tr>
      <w:tr w14:paraId="3473735E" w14:textId="77777777" w:rsidTr="00910CE7">
        <w:tblPrEx>
          <w:tblW w:w="0" w:type="auto"/>
          <w:tblLook w:val="01E0"/>
        </w:tblPrEx>
        <w:trPr>
          <w:cantSplit/>
        </w:trPr>
        <w:tc>
          <w:tcPr>
            <w:tcW w:w="2568" w:type="dxa"/>
            <w:vMerge/>
          </w:tcPr>
          <w:p w:rsidR="006224C2" w:rsidRPr="00295E71" w:rsidP="00C04163" w14:paraId="61E0E0AB" w14:textId="77777777">
            <w:pPr>
              <w:widowControl w:val="0"/>
              <w:spacing w:before="144" w:beforeLines="60"/>
              <w:jc w:val="center"/>
              <w:rPr>
                <w:b/>
                <w:sz w:val="22"/>
                <w:szCs w:val="22"/>
              </w:rPr>
            </w:pPr>
          </w:p>
        </w:tc>
        <w:tc>
          <w:tcPr>
            <w:tcW w:w="2036" w:type="dxa"/>
            <w:tcBorders>
              <w:top w:val="single" w:sz="4" w:space="0" w:color="auto"/>
              <w:bottom w:val="single" w:sz="4" w:space="0" w:color="auto"/>
            </w:tcBorders>
          </w:tcPr>
          <w:p w:rsidR="006224C2" w:rsidRPr="00295E71" w:rsidP="00C04163" w14:paraId="0B17D8EA" w14:textId="77777777">
            <w:pPr>
              <w:pStyle w:val="EMEANormal"/>
              <w:widowControl w:val="0"/>
              <w:jc w:val="both"/>
              <w:rPr>
                <w:lang w:val="it-IT"/>
              </w:rPr>
            </w:pPr>
            <w:r w:rsidRPr="00295E71">
              <w:rPr>
                <w:lang w:val="it-IT"/>
              </w:rPr>
              <w:t>Comune</w:t>
            </w:r>
          </w:p>
        </w:tc>
        <w:tc>
          <w:tcPr>
            <w:tcW w:w="4456" w:type="dxa"/>
            <w:tcBorders>
              <w:top w:val="single" w:sz="4" w:space="0" w:color="auto"/>
              <w:bottom w:val="single" w:sz="4" w:space="0" w:color="auto"/>
            </w:tcBorders>
          </w:tcPr>
          <w:p w:rsidR="006224C2" w:rsidRPr="00295E71" w:rsidP="00C04163" w14:paraId="2CE945DA" w14:textId="77777777">
            <w:pPr>
              <w:widowControl w:val="0"/>
              <w:rPr>
                <w:sz w:val="22"/>
                <w:szCs w:val="22"/>
              </w:rPr>
            </w:pPr>
            <w:r w:rsidRPr="00295E71">
              <w:rPr>
                <w:sz w:val="22"/>
                <w:szCs w:val="22"/>
              </w:rPr>
              <w:t>L</w:t>
            </w:r>
            <w:r w:rsidRPr="00295E71" w:rsidR="00226BC4">
              <w:rPr>
                <w:sz w:val="22"/>
                <w:szCs w:val="22"/>
              </w:rPr>
              <w:t>eucocitosi,</w:t>
            </w:r>
          </w:p>
          <w:p w:rsidR="006224C2" w:rsidRPr="00295E71" w:rsidP="00C04163" w14:paraId="0C29828E" w14:textId="77777777">
            <w:pPr>
              <w:pStyle w:val="EndnoteText"/>
              <w:widowControl w:val="0"/>
              <w:tabs>
                <w:tab w:val="clear" w:pos="567"/>
              </w:tabs>
              <w:rPr>
                <w:lang w:val="it-IT"/>
              </w:rPr>
            </w:pPr>
            <w:r w:rsidRPr="00295E71">
              <w:rPr>
                <w:lang w:val="it-IT"/>
              </w:rPr>
              <w:t>trombocitopenia</w:t>
            </w:r>
          </w:p>
          <w:p w:rsidR="006224C2" w:rsidRPr="00295E71" w:rsidP="00C04163" w14:paraId="2F824A91" w14:textId="77777777">
            <w:pPr>
              <w:widowControl w:val="0"/>
              <w:rPr>
                <w:sz w:val="22"/>
                <w:szCs w:val="22"/>
              </w:rPr>
            </w:pPr>
          </w:p>
        </w:tc>
      </w:tr>
      <w:tr w14:paraId="683AA323" w14:textId="77777777" w:rsidTr="00910CE7">
        <w:tblPrEx>
          <w:tblW w:w="0" w:type="auto"/>
          <w:tblLook w:val="01E0"/>
        </w:tblPrEx>
        <w:trPr>
          <w:cantSplit/>
        </w:trPr>
        <w:tc>
          <w:tcPr>
            <w:tcW w:w="2568" w:type="dxa"/>
            <w:vMerge/>
          </w:tcPr>
          <w:p w:rsidR="006224C2" w:rsidRPr="00295E71" w:rsidP="00C04163" w14:paraId="4C1DBD0E" w14:textId="77777777">
            <w:pPr>
              <w:widowControl w:val="0"/>
              <w:spacing w:before="144" w:beforeLines="60"/>
              <w:jc w:val="center"/>
              <w:rPr>
                <w:b/>
                <w:sz w:val="22"/>
                <w:szCs w:val="22"/>
              </w:rPr>
            </w:pPr>
          </w:p>
        </w:tc>
        <w:tc>
          <w:tcPr>
            <w:tcW w:w="2036" w:type="dxa"/>
            <w:tcBorders>
              <w:top w:val="single" w:sz="4" w:space="0" w:color="auto"/>
              <w:bottom w:val="single" w:sz="4" w:space="0" w:color="auto"/>
            </w:tcBorders>
          </w:tcPr>
          <w:p w:rsidR="006224C2" w:rsidRPr="00295E71" w:rsidP="00C04163" w14:paraId="2BEAAF1C" w14:textId="77777777">
            <w:pPr>
              <w:pStyle w:val="EMEANormal"/>
              <w:widowControl w:val="0"/>
              <w:jc w:val="both"/>
              <w:rPr>
                <w:lang w:val="it-IT"/>
              </w:rPr>
            </w:pPr>
            <w:r w:rsidRPr="00295E71">
              <w:rPr>
                <w:lang w:val="it-IT"/>
              </w:rPr>
              <w:t>Non comune</w:t>
            </w:r>
          </w:p>
        </w:tc>
        <w:tc>
          <w:tcPr>
            <w:tcW w:w="4456" w:type="dxa"/>
            <w:tcBorders>
              <w:top w:val="single" w:sz="4" w:space="0" w:color="auto"/>
              <w:bottom w:val="single" w:sz="4" w:space="0" w:color="auto"/>
            </w:tcBorders>
          </w:tcPr>
          <w:p w:rsidR="006224C2" w:rsidRPr="00295E71" w:rsidP="00C04163" w14:paraId="654C83A9" w14:textId="77777777">
            <w:pPr>
              <w:pStyle w:val="EMEAFigureTitle"/>
              <w:widowControl w:val="0"/>
              <w:tabs>
                <w:tab w:val="clear" w:pos="562"/>
              </w:tabs>
              <w:suppressAutoHyphens w:val="0"/>
              <w:rPr>
                <w:lang w:val="it-IT"/>
              </w:rPr>
            </w:pPr>
            <w:r w:rsidRPr="00295E71">
              <w:rPr>
                <w:lang w:val="it-IT"/>
              </w:rPr>
              <w:t>P</w:t>
            </w:r>
            <w:r w:rsidRPr="00295E71" w:rsidR="00226BC4">
              <w:rPr>
                <w:lang w:val="it-IT"/>
              </w:rPr>
              <w:t>orpora trombocitopenica idiopatica</w:t>
            </w:r>
          </w:p>
          <w:p w:rsidR="006224C2" w:rsidRPr="00295E71" w:rsidP="00C04163" w14:paraId="4363D6F7" w14:textId="77777777">
            <w:pPr>
              <w:pStyle w:val="EMEANormal"/>
              <w:rPr>
                <w:lang w:val="it-IT"/>
              </w:rPr>
            </w:pPr>
          </w:p>
        </w:tc>
      </w:tr>
      <w:tr w14:paraId="457198B8" w14:textId="77777777" w:rsidTr="00910CE7">
        <w:tblPrEx>
          <w:tblW w:w="0" w:type="auto"/>
          <w:tblLook w:val="01E0"/>
        </w:tblPrEx>
        <w:trPr>
          <w:cantSplit/>
        </w:trPr>
        <w:tc>
          <w:tcPr>
            <w:tcW w:w="2568" w:type="dxa"/>
            <w:vMerge/>
          </w:tcPr>
          <w:p w:rsidR="006224C2" w:rsidRPr="00295E71" w:rsidP="00C04163" w14:paraId="2C9154A7" w14:textId="77777777">
            <w:pPr>
              <w:widowControl w:val="0"/>
              <w:spacing w:before="144" w:beforeLines="60"/>
              <w:jc w:val="center"/>
              <w:rPr>
                <w:b/>
                <w:sz w:val="22"/>
                <w:szCs w:val="22"/>
              </w:rPr>
            </w:pPr>
          </w:p>
        </w:tc>
        <w:tc>
          <w:tcPr>
            <w:tcW w:w="2036" w:type="dxa"/>
            <w:tcBorders>
              <w:top w:val="single" w:sz="4" w:space="0" w:color="auto"/>
              <w:bottom w:val="single" w:sz="4" w:space="0" w:color="auto"/>
            </w:tcBorders>
          </w:tcPr>
          <w:p w:rsidR="006224C2" w:rsidRPr="00295E71" w:rsidP="00C04163" w14:paraId="5E694376" w14:textId="77777777">
            <w:pPr>
              <w:pStyle w:val="EMEANormal"/>
              <w:widowControl w:val="0"/>
              <w:jc w:val="both"/>
              <w:rPr>
                <w:lang w:val="it-IT"/>
              </w:rPr>
            </w:pPr>
            <w:r w:rsidRPr="00295E71">
              <w:rPr>
                <w:lang w:val="it-IT"/>
              </w:rPr>
              <w:t>Raro</w:t>
            </w:r>
          </w:p>
          <w:p w:rsidR="006224C2" w:rsidRPr="00295E71" w:rsidP="00C04163" w14:paraId="074DF9EF" w14:textId="77777777">
            <w:pPr>
              <w:pStyle w:val="EMEANormal"/>
              <w:widowControl w:val="0"/>
              <w:jc w:val="both"/>
              <w:rPr>
                <w:lang w:val="it-IT"/>
              </w:rPr>
            </w:pPr>
          </w:p>
        </w:tc>
        <w:tc>
          <w:tcPr>
            <w:tcW w:w="4456" w:type="dxa"/>
            <w:tcBorders>
              <w:top w:val="single" w:sz="4" w:space="0" w:color="auto"/>
              <w:bottom w:val="single" w:sz="4" w:space="0" w:color="auto"/>
            </w:tcBorders>
          </w:tcPr>
          <w:p w:rsidR="006224C2" w:rsidRPr="00295E71" w:rsidP="00C04163" w14:paraId="557A0729" w14:textId="77777777">
            <w:pPr>
              <w:pStyle w:val="EndnoteText"/>
              <w:widowControl w:val="0"/>
              <w:tabs>
                <w:tab w:val="clear" w:pos="567"/>
              </w:tabs>
              <w:rPr>
                <w:b/>
                <w:lang w:val="it-IT"/>
              </w:rPr>
            </w:pPr>
            <w:r w:rsidRPr="00295E71">
              <w:rPr>
                <w:lang w:val="it-IT"/>
              </w:rPr>
              <w:t>P</w:t>
            </w:r>
            <w:r w:rsidRPr="00295E71" w:rsidR="00226BC4">
              <w:rPr>
                <w:lang w:val="it-IT"/>
              </w:rPr>
              <w:t>ancitopenia</w:t>
            </w:r>
          </w:p>
        </w:tc>
      </w:tr>
      <w:tr w14:paraId="3AB45A7F" w14:textId="77777777" w:rsidTr="00910CE7">
        <w:tblPrEx>
          <w:tblW w:w="0" w:type="auto"/>
          <w:tblLook w:val="01E0"/>
        </w:tblPrEx>
        <w:tc>
          <w:tcPr>
            <w:tcW w:w="2568" w:type="dxa"/>
            <w:vMerge w:val="restart"/>
          </w:tcPr>
          <w:p w:rsidR="006224C2" w:rsidRPr="00295E71" w:rsidP="00C04163" w14:paraId="31FCA91B" w14:textId="77777777">
            <w:pPr>
              <w:pStyle w:val="EMEANormal"/>
              <w:widowControl w:val="0"/>
              <w:spacing w:before="60"/>
              <w:rPr>
                <w:lang w:val="it-IT"/>
              </w:rPr>
            </w:pPr>
            <w:r w:rsidRPr="00295E71">
              <w:rPr>
                <w:lang w:val="it-IT"/>
              </w:rPr>
              <w:t>Disturbi del sistema immunitario*</w:t>
            </w:r>
          </w:p>
        </w:tc>
        <w:tc>
          <w:tcPr>
            <w:tcW w:w="2036" w:type="dxa"/>
            <w:tcBorders>
              <w:bottom w:val="single" w:sz="4" w:space="0" w:color="auto"/>
            </w:tcBorders>
          </w:tcPr>
          <w:p w:rsidR="006224C2" w:rsidRPr="00295E71" w:rsidP="00C04163" w14:paraId="44F0379E" w14:textId="77777777">
            <w:pPr>
              <w:pStyle w:val="EMEANormal"/>
              <w:widowControl w:val="0"/>
              <w:spacing w:before="60"/>
              <w:rPr>
                <w:lang w:val="it-IT"/>
              </w:rPr>
            </w:pPr>
            <w:r w:rsidRPr="00295E71">
              <w:rPr>
                <w:lang w:val="it-IT"/>
              </w:rPr>
              <w:t>Comune</w:t>
            </w:r>
          </w:p>
          <w:p w:rsidR="006224C2" w:rsidRPr="00295E71" w:rsidP="00C04163" w14:paraId="4E9274D3"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6398A6FB" w14:textId="77777777">
            <w:pPr>
              <w:pStyle w:val="EMEANormal"/>
              <w:widowControl w:val="0"/>
              <w:spacing w:before="60"/>
              <w:rPr>
                <w:lang w:val="it-IT"/>
              </w:rPr>
            </w:pPr>
            <w:r w:rsidRPr="00295E71">
              <w:rPr>
                <w:lang w:val="it-IT"/>
              </w:rPr>
              <w:t>I</w:t>
            </w:r>
            <w:r w:rsidRPr="00295E71" w:rsidR="00226BC4">
              <w:rPr>
                <w:lang w:val="it-IT"/>
              </w:rPr>
              <w:t>persensibilità,</w:t>
            </w:r>
          </w:p>
          <w:p w:rsidR="006224C2" w:rsidRPr="00295E71" w:rsidP="00C04163" w14:paraId="724ACD56" w14:textId="77777777">
            <w:pPr>
              <w:pStyle w:val="EMEANormal"/>
              <w:widowControl w:val="0"/>
              <w:spacing w:before="60"/>
              <w:rPr>
                <w:lang w:val="it-IT"/>
              </w:rPr>
            </w:pPr>
            <w:r w:rsidRPr="00295E71">
              <w:rPr>
                <w:lang w:val="it-IT"/>
              </w:rPr>
              <w:t>allergie (tra cui allergia stagionale)</w:t>
            </w:r>
          </w:p>
        </w:tc>
      </w:tr>
      <w:tr w14:paraId="3901D831" w14:textId="77777777" w:rsidTr="00910CE7">
        <w:tblPrEx>
          <w:tblW w:w="0" w:type="auto"/>
          <w:tblLook w:val="01E0"/>
        </w:tblPrEx>
        <w:tc>
          <w:tcPr>
            <w:tcW w:w="2568" w:type="dxa"/>
            <w:vMerge/>
            <w:tcBorders>
              <w:right w:val="single" w:sz="4" w:space="0" w:color="auto"/>
            </w:tcBorders>
          </w:tcPr>
          <w:p w:rsidR="006224C2" w:rsidRPr="00295E71" w:rsidP="00C04163" w14:paraId="34009686" w14:textId="77777777">
            <w:pPr>
              <w:pStyle w:val="EMEANormal"/>
              <w:widowControl w:val="0"/>
              <w:spacing w:before="60"/>
              <w:rPr>
                <w:lang w:val="it-IT"/>
              </w:rPr>
            </w:pPr>
          </w:p>
        </w:tc>
        <w:tc>
          <w:tcPr>
            <w:tcW w:w="2036" w:type="dxa"/>
            <w:tcBorders>
              <w:top w:val="single" w:sz="4" w:space="0" w:color="auto"/>
              <w:left w:val="single" w:sz="4" w:space="0" w:color="auto"/>
              <w:bottom w:val="single" w:sz="4" w:space="0" w:color="auto"/>
            </w:tcBorders>
          </w:tcPr>
          <w:p w:rsidR="006224C2" w:rsidRPr="00295E71" w:rsidP="00C04163" w14:paraId="159B6B19" w14:textId="77777777">
            <w:pPr>
              <w:pStyle w:val="EMEANormal"/>
              <w:widowControl w:val="0"/>
              <w:spacing w:before="60"/>
              <w:rPr>
                <w:lang w:val="it-IT"/>
              </w:rPr>
            </w:pPr>
          </w:p>
          <w:p w:rsidR="006224C2" w:rsidRPr="00295E71" w:rsidP="00C04163" w14:paraId="06685E73" w14:textId="77777777">
            <w:pPr>
              <w:pStyle w:val="EMEANormal"/>
              <w:widowControl w:val="0"/>
              <w:spacing w:before="60"/>
              <w:rPr>
                <w:lang w:val="it-IT"/>
              </w:rPr>
            </w:pPr>
            <w:r w:rsidRPr="00295E71">
              <w:rPr>
                <w:lang w:val="it-IT"/>
              </w:rPr>
              <w:t>Non comune</w:t>
            </w:r>
          </w:p>
        </w:tc>
        <w:tc>
          <w:tcPr>
            <w:tcW w:w="4456" w:type="dxa"/>
            <w:tcBorders>
              <w:top w:val="single" w:sz="4" w:space="0" w:color="auto"/>
              <w:bottom w:val="single" w:sz="4" w:space="0" w:color="auto"/>
            </w:tcBorders>
          </w:tcPr>
          <w:p w:rsidR="006224C2" w:rsidRPr="00295E71" w:rsidP="00C04163" w14:paraId="6CFC1660" w14:textId="77777777">
            <w:pPr>
              <w:pStyle w:val="EMEANormal"/>
              <w:widowControl w:val="0"/>
              <w:rPr>
                <w:lang w:val="it-IT"/>
              </w:rPr>
            </w:pPr>
          </w:p>
          <w:p w:rsidR="006224C2" w:rsidRPr="00295E71" w:rsidP="00C04163" w14:paraId="1DF34E59" w14:textId="77777777">
            <w:pPr>
              <w:pStyle w:val="EMEANormal"/>
              <w:widowControl w:val="0"/>
              <w:rPr>
                <w:lang w:val="it-IT"/>
              </w:rPr>
            </w:pPr>
            <w:r w:rsidRPr="00295E71">
              <w:rPr>
                <w:lang w:val="it-IT"/>
              </w:rPr>
              <w:t>S</w:t>
            </w:r>
            <w:r w:rsidRPr="00295E71" w:rsidR="00226BC4">
              <w:rPr>
                <w:lang w:val="it-IT"/>
              </w:rPr>
              <w:t>arcoidosi</w:t>
            </w:r>
            <w:r w:rsidRPr="00295E71" w:rsidR="00226BC4">
              <w:rPr>
                <w:vertAlign w:val="superscript"/>
                <w:lang w:val="it-IT"/>
              </w:rPr>
              <w:t>1)</w:t>
            </w:r>
            <w:r w:rsidRPr="00295E71" w:rsidR="00226BC4">
              <w:rPr>
                <w:lang w:val="it-IT"/>
              </w:rPr>
              <w:t>,</w:t>
            </w:r>
          </w:p>
          <w:p w:rsidR="006224C2" w:rsidRPr="00295E71" w:rsidP="00C04163" w14:paraId="1A116E59" w14:textId="77777777">
            <w:pPr>
              <w:pStyle w:val="EMEANormal"/>
              <w:widowControl w:val="0"/>
              <w:rPr>
                <w:lang w:val="it-IT"/>
              </w:rPr>
            </w:pPr>
            <w:r w:rsidRPr="00295E71">
              <w:rPr>
                <w:lang w:val="it-IT"/>
              </w:rPr>
              <w:t>vasculite</w:t>
            </w:r>
          </w:p>
          <w:p w:rsidR="006224C2" w:rsidRPr="00295E71" w:rsidP="00C04163" w14:paraId="29C300C9" w14:textId="77777777">
            <w:pPr>
              <w:pStyle w:val="EMEANormal"/>
              <w:widowControl w:val="0"/>
              <w:spacing w:before="60"/>
              <w:rPr>
                <w:lang w:val="it-IT"/>
              </w:rPr>
            </w:pPr>
          </w:p>
        </w:tc>
      </w:tr>
      <w:tr w14:paraId="4A4EF578" w14:textId="77777777" w:rsidTr="00910CE7">
        <w:tblPrEx>
          <w:tblW w:w="0" w:type="auto"/>
          <w:tblLook w:val="01E0"/>
        </w:tblPrEx>
        <w:tc>
          <w:tcPr>
            <w:tcW w:w="2568" w:type="dxa"/>
            <w:vMerge/>
            <w:tcBorders>
              <w:bottom w:val="single" w:sz="4" w:space="0" w:color="auto"/>
            </w:tcBorders>
          </w:tcPr>
          <w:p w:rsidR="006224C2" w:rsidRPr="00295E71" w:rsidP="00C04163" w14:paraId="16CF99FC" w14:textId="77777777">
            <w:pPr>
              <w:pStyle w:val="EMEANormal"/>
              <w:widowControl w:val="0"/>
              <w:spacing w:before="60"/>
              <w:rPr>
                <w:lang w:val="it-IT"/>
              </w:rPr>
            </w:pPr>
          </w:p>
        </w:tc>
        <w:tc>
          <w:tcPr>
            <w:tcW w:w="2036" w:type="dxa"/>
            <w:tcBorders>
              <w:top w:val="single" w:sz="4" w:space="0" w:color="auto"/>
              <w:bottom w:val="single" w:sz="4" w:space="0" w:color="auto"/>
            </w:tcBorders>
          </w:tcPr>
          <w:p w:rsidR="006224C2" w:rsidRPr="00295E71" w:rsidP="00C04163" w14:paraId="35530548" w14:textId="77777777">
            <w:pPr>
              <w:pStyle w:val="EMEANormal"/>
              <w:widowControl w:val="0"/>
              <w:spacing w:before="60"/>
              <w:rPr>
                <w:lang w:val="it-IT"/>
              </w:rPr>
            </w:pPr>
            <w:r w:rsidRPr="00295E71">
              <w:rPr>
                <w:lang w:val="it-IT"/>
              </w:rPr>
              <w:t>Raro</w:t>
            </w:r>
          </w:p>
        </w:tc>
        <w:tc>
          <w:tcPr>
            <w:tcW w:w="4456" w:type="dxa"/>
            <w:tcBorders>
              <w:top w:val="single" w:sz="4" w:space="0" w:color="auto"/>
              <w:bottom w:val="single" w:sz="4" w:space="0" w:color="auto"/>
            </w:tcBorders>
          </w:tcPr>
          <w:p w:rsidR="006224C2" w:rsidRPr="00295E71" w:rsidP="00C04163" w14:paraId="4CFE5F7E" w14:textId="77777777">
            <w:pPr>
              <w:pStyle w:val="EMEANormal"/>
              <w:widowControl w:val="0"/>
              <w:rPr>
                <w:vertAlign w:val="superscript"/>
                <w:lang w:val="it-IT"/>
              </w:rPr>
            </w:pPr>
            <w:r w:rsidRPr="00295E71">
              <w:rPr>
                <w:lang w:val="it-IT"/>
              </w:rPr>
              <w:t>A</w:t>
            </w:r>
            <w:r w:rsidRPr="00295E71" w:rsidR="00226BC4">
              <w:rPr>
                <w:lang w:val="it-IT"/>
              </w:rPr>
              <w:t>nafilassi</w:t>
            </w:r>
            <w:r w:rsidRPr="00295E71" w:rsidR="00226BC4">
              <w:rPr>
                <w:vertAlign w:val="superscript"/>
                <w:lang w:val="it-IT"/>
              </w:rPr>
              <w:t>1)</w:t>
            </w:r>
          </w:p>
          <w:p w:rsidR="006224C2" w:rsidRPr="00295E71" w:rsidP="00C04163" w14:paraId="55A2316D" w14:textId="77777777">
            <w:pPr>
              <w:pStyle w:val="EMEANormal"/>
              <w:widowControl w:val="0"/>
              <w:spacing w:before="60"/>
              <w:rPr>
                <w:lang w:val="it-IT"/>
              </w:rPr>
            </w:pPr>
          </w:p>
        </w:tc>
      </w:tr>
      <w:tr w14:paraId="60DA7A43" w14:textId="77777777" w:rsidTr="00910CE7">
        <w:tblPrEx>
          <w:tblW w:w="0" w:type="auto"/>
          <w:tblLook w:val="01E0"/>
        </w:tblPrEx>
        <w:trPr>
          <w:cantSplit/>
        </w:trPr>
        <w:tc>
          <w:tcPr>
            <w:tcW w:w="2568" w:type="dxa"/>
            <w:vMerge w:val="restart"/>
            <w:tcBorders>
              <w:bottom w:val="single" w:sz="4" w:space="0" w:color="auto"/>
            </w:tcBorders>
          </w:tcPr>
          <w:p w:rsidR="006224C2" w:rsidRPr="00295E71" w:rsidP="00C04163" w14:paraId="522BD263" w14:textId="77777777">
            <w:pPr>
              <w:pStyle w:val="EMEANormal"/>
              <w:widowControl w:val="0"/>
              <w:spacing w:before="60"/>
              <w:rPr>
                <w:lang w:val="it-IT"/>
              </w:rPr>
            </w:pPr>
            <w:r w:rsidRPr="00295E71">
              <w:rPr>
                <w:lang w:val="it-IT"/>
              </w:rPr>
              <w:t>Disturbi del metabolismo e della nutrizione</w:t>
            </w:r>
          </w:p>
        </w:tc>
        <w:tc>
          <w:tcPr>
            <w:tcW w:w="2036" w:type="dxa"/>
            <w:tcBorders>
              <w:bottom w:val="single" w:sz="4" w:space="0" w:color="auto"/>
            </w:tcBorders>
          </w:tcPr>
          <w:p w:rsidR="006224C2" w:rsidRPr="00295E71" w:rsidP="00C04163" w14:paraId="7632F8FA" w14:textId="77777777">
            <w:pPr>
              <w:pStyle w:val="EMEANormal"/>
              <w:widowControl w:val="0"/>
              <w:spacing w:before="60"/>
              <w:rPr>
                <w:lang w:val="it-IT"/>
              </w:rPr>
            </w:pPr>
            <w:r w:rsidRPr="00295E71">
              <w:rPr>
                <w:lang w:val="it-IT"/>
              </w:rPr>
              <w:t>Molto comune</w:t>
            </w:r>
          </w:p>
          <w:p w:rsidR="006224C2" w:rsidRPr="00295E71" w:rsidP="00C04163" w14:paraId="1C8686EF"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6FF338E4" w14:textId="77777777">
            <w:pPr>
              <w:pStyle w:val="EMEANormal"/>
              <w:widowControl w:val="0"/>
              <w:spacing w:before="60"/>
              <w:rPr>
                <w:lang w:val="it-IT"/>
              </w:rPr>
            </w:pPr>
            <w:r w:rsidRPr="00295E71">
              <w:rPr>
                <w:lang w:val="it-IT"/>
              </w:rPr>
              <w:t>I</w:t>
            </w:r>
            <w:r w:rsidRPr="00295E71" w:rsidR="00226BC4">
              <w:rPr>
                <w:lang w:val="it-IT"/>
              </w:rPr>
              <w:t>perlipidemia</w:t>
            </w:r>
          </w:p>
        </w:tc>
      </w:tr>
      <w:tr w14:paraId="0597B4F0" w14:textId="77777777" w:rsidTr="00910CE7">
        <w:tblPrEx>
          <w:tblW w:w="0" w:type="auto"/>
          <w:tblLook w:val="01E0"/>
        </w:tblPrEx>
        <w:trPr>
          <w:cantSplit/>
          <w:trHeight w:val="2393"/>
        </w:trPr>
        <w:tc>
          <w:tcPr>
            <w:tcW w:w="2568" w:type="dxa"/>
            <w:vMerge/>
            <w:tcBorders>
              <w:top w:val="single" w:sz="4" w:space="0" w:color="auto"/>
            </w:tcBorders>
          </w:tcPr>
          <w:p w:rsidR="006224C2" w:rsidRPr="00295E71" w:rsidP="00C04163" w14:paraId="38914ADC" w14:textId="77777777">
            <w:pPr>
              <w:pStyle w:val="EMEANormal"/>
              <w:widowControl w:val="0"/>
              <w:spacing w:before="60"/>
              <w:rPr>
                <w:lang w:val="it-IT"/>
              </w:rPr>
            </w:pPr>
          </w:p>
        </w:tc>
        <w:tc>
          <w:tcPr>
            <w:tcW w:w="2036" w:type="dxa"/>
            <w:tcBorders>
              <w:top w:val="single" w:sz="4" w:space="0" w:color="auto"/>
            </w:tcBorders>
          </w:tcPr>
          <w:p w:rsidR="006224C2" w:rsidRPr="00295E71" w:rsidP="00C04163" w14:paraId="38F1B0B1" w14:textId="77777777">
            <w:pPr>
              <w:pStyle w:val="EMEANormal"/>
              <w:widowControl w:val="0"/>
              <w:spacing w:before="60"/>
              <w:rPr>
                <w:lang w:val="it-IT"/>
              </w:rPr>
            </w:pPr>
            <w:r w:rsidRPr="00295E71">
              <w:rPr>
                <w:lang w:val="it-IT"/>
              </w:rPr>
              <w:t>Comune</w:t>
            </w:r>
          </w:p>
          <w:p w:rsidR="006224C2" w:rsidRPr="00295E71" w:rsidP="00C04163" w14:paraId="2B1436D1" w14:textId="77777777">
            <w:pPr>
              <w:pStyle w:val="EMEANormal"/>
              <w:widowControl w:val="0"/>
              <w:spacing w:before="60"/>
              <w:rPr>
                <w:lang w:val="it-IT"/>
              </w:rPr>
            </w:pPr>
          </w:p>
        </w:tc>
        <w:tc>
          <w:tcPr>
            <w:tcW w:w="4456" w:type="dxa"/>
            <w:tcBorders>
              <w:top w:val="single" w:sz="4" w:space="0" w:color="auto"/>
            </w:tcBorders>
          </w:tcPr>
          <w:p w:rsidR="006224C2" w:rsidRPr="00295E71" w:rsidP="00C04163" w14:paraId="4187B276" w14:textId="77777777">
            <w:pPr>
              <w:pStyle w:val="EMEANormal"/>
              <w:widowControl w:val="0"/>
              <w:spacing w:before="60"/>
              <w:rPr>
                <w:lang w:val="it-IT"/>
              </w:rPr>
            </w:pPr>
            <w:r w:rsidRPr="00295E71">
              <w:rPr>
                <w:lang w:val="it-IT"/>
              </w:rPr>
              <w:t>I</w:t>
            </w:r>
            <w:r w:rsidRPr="00295E71" w:rsidR="00226BC4">
              <w:rPr>
                <w:lang w:val="it-IT"/>
              </w:rPr>
              <w:t xml:space="preserve">pokaliemia, </w:t>
            </w:r>
          </w:p>
          <w:p w:rsidR="006224C2" w:rsidRPr="00295E71" w:rsidP="00C04163" w14:paraId="0DD63E19" w14:textId="77777777">
            <w:pPr>
              <w:pStyle w:val="EMEANormal"/>
              <w:widowControl w:val="0"/>
              <w:spacing w:before="60"/>
              <w:rPr>
                <w:lang w:val="it-IT"/>
              </w:rPr>
            </w:pPr>
            <w:r w:rsidRPr="00295E71">
              <w:rPr>
                <w:lang w:val="it-IT"/>
              </w:rPr>
              <w:t xml:space="preserve">iperuricemia, </w:t>
            </w:r>
          </w:p>
          <w:p w:rsidR="006224C2" w:rsidRPr="00295E71" w:rsidP="00C04163" w14:paraId="6F1907C4" w14:textId="77777777">
            <w:pPr>
              <w:pStyle w:val="EMEANormal"/>
              <w:widowControl w:val="0"/>
              <w:spacing w:before="60"/>
              <w:rPr>
                <w:lang w:val="it-IT"/>
              </w:rPr>
            </w:pPr>
            <w:r w:rsidRPr="00295E71">
              <w:rPr>
                <w:lang w:val="it-IT"/>
              </w:rPr>
              <w:t>alterazione della sodiemia,</w:t>
            </w:r>
          </w:p>
          <w:p w:rsidR="006224C2" w:rsidRPr="00295E71" w:rsidP="00C04163" w14:paraId="2E4BDD5F" w14:textId="77777777">
            <w:pPr>
              <w:pStyle w:val="EMEANormal"/>
              <w:widowControl w:val="0"/>
              <w:spacing w:before="60"/>
              <w:rPr>
                <w:lang w:val="it-IT"/>
              </w:rPr>
            </w:pPr>
            <w:r w:rsidRPr="00295E71">
              <w:rPr>
                <w:lang w:val="it-IT"/>
              </w:rPr>
              <w:t>ipocalcemia</w:t>
            </w:r>
          </w:p>
          <w:p w:rsidR="006224C2" w:rsidRPr="00295E71" w:rsidP="00C04163" w14:paraId="2F784008" w14:textId="77777777">
            <w:pPr>
              <w:pStyle w:val="EMEANormal"/>
              <w:widowControl w:val="0"/>
              <w:spacing w:before="60"/>
              <w:rPr>
                <w:lang w:val="it-IT"/>
              </w:rPr>
            </w:pPr>
            <w:r w:rsidRPr="00295E71">
              <w:rPr>
                <w:lang w:val="it-IT"/>
              </w:rPr>
              <w:t>iperglicemia,</w:t>
            </w:r>
          </w:p>
          <w:p w:rsidR="006224C2" w:rsidRPr="00295E71" w:rsidP="00C04163" w14:paraId="333D476D" w14:textId="77777777">
            <w:pPr>
              <w:pStyle w:val="EMEANormal"/>
              <w:widowControl w:val="0"/>
              <w:spacing w:before="60"/>
              <w:rPr>
                <w:lang w:val="it-IT"/>
              </w:rPr>
            </w:pPr>
            <w:r w:rsidRPr="00295E71">
              <w:rPr>
                <w:lang w:val="it-IT"/>
              </w:rPr>
              <w:t>ipofosfatemia,</w:t>
            </w:r>
          </w:p>
          <w:p w:rsidR="006224C2" w:rsidRPr="00295E71" w:rsidP="00C04163" w14:paraId="50E9F63D" w14:textId="77777777">
            <w:pPr>
              <w:pStyle w:val="EMEANormal"/>
              <w:widowControl w:val="0"/>
              <w:spacing w:before="60"/>
              <w:rPr>
                <w:lang w:val="it-IT"/>
              </w:rPr>
            </w:pPr>
            <w:r w:rsidRPr="00295E71">
              <w:rPr>
                <w:lang w:val="it-IT"/>
              </w:rPr>
              <w:t>disidratazione</w:t>
            </w:r>
          </w:p>
          <w:p w:rsidR="006224C2" w:rsidRPr="00295E71" w:rsidP="00C04163" w14:paraId="3A98739A" w14:textId="77777777">
            <w:pPr>
              <w:pStyle w:val="EMEANormal"/>
              <w:widowControl w:val="0"/>
              <w:spacing w:before="60"/>
              <w:rPr>
                <w:lang w:val="it-IT"/>
              </w:rPr>
            </w:pPr>
          </w:p>
        </w:tc>
      </w:tr>
      <w:tr w14:paraId="57E42AA2" w14:textId="77777777" w:rsidTr="00910CE7">
        <w:tblPrEx>
          <w:tblW w:w="0" w:type="auto"/>
          <w:tblLook w:val="01E0"/>
        </w:tblPrEx>
        <w:tc>
          <w:tcPr>
            <w:tcW w:w="2568" w:type="dxa"/>
          </w:tcPr>
          <w:p w:rsidR="006224C2" w:rsidRPr="00295E71" w:rsidP="00C04163" w14:paraId="2805146F" w14:textId="77777777">
            <w:pPr>
              <w:pStyle w:val="EMEANormal"/>
              <w:widowControl w:val="0"/>
              <w:spacing w:before="60"/>
              <w:rPr>
                <w:lang w:val="it-IT"/>
              </w:rPr>
            </w:pPr>
            <w:r w:rsidRPr="00295E71">
              <w:rPr>
                <w:lang w:val="it-IT"/>
              </w:rPr>
              <w:t>Disturbi psichiatrici</w:t>
            </w:r>
          </w:p>
        </w:tc>
        <w:tc>
          <w:tcPr>
            <w:tcW w:w="2036" w:type="dxa"/>
            <w:tcBorders>
              <w:bottom w:val="single" w:sz="4" w:space="0" w:color="auto"/>
            </w:tcBorders>
          </w:tcPr>
          <w:p w:rsidR="006224C2" w:rsidRPr="00295E71" w:rsidP="00C04163" w14:paraId="65EDB778" w14:textId="77777777">
            <w:pPr>
              <w:pStyle w:val="EMEANormal"/>
              <w:widowControl w:val="0"/>
              <w:spacing w:before="60"/>
              <w:rPr>
                <w:lang w:val="it-IT"/>
              </w:rPr>
            </w:pPr>
            <w:r w:rsidRPr="00295E71">
              <w:rPr>
                <w:lang w:val="it-IT"/>
              </w:rPr>
              <w:t>Comune</w:t>
            </w:r>
          </w:p>
          <w:p w:rsidR="006224C2" w:rsidRPr="00295E71" w:rsidP="00C04163" w14:paraId="6BA46BEE"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1DCD7489" w14:textId="77777777">
            <w:pPr>
              <w:pStyle w:val="EMEANormal"/>
              <w:widowControl w:val="0"/>
              <w:spacing w:before="60"/>
              <w:rPr>
                <w:lang w:val="it-IT"/>
              </w:rPr>
            </w:pPr>
            <w:r w:rsidRPr="00295E71">
              <w:rPr>
                <w:lang w:val="it-IT"/>
              </w:rPr>
              <w:t>D</w:t>
            </w:r>
            <w:r w:rsidRPr="00295E71" w:rsidR="00226BC4">
              <w:rPr>
                <w:lang w:val="it-IT"/>
              </w:rPr>
              <w:t>isturbi dell’umore (tra cui depressione),</w:t>
            </w:r>
          </w:p>
          <w:p w:rsidR="006224C2" w:rsidRPr="00295E71" w:rsidP="00C04163" w14:paraId="6DFC74F9" w14:textId="77777777">
            <w:pPr>
              <w:pStyle w:val="EMEANormal"/>
              <w:widowControl w:val="0"/>
              <w:spacing w:before="60"/>
              <w:rPr>
                <w:lang w:val="it-IT"/>
              </w:rPr>
            </w:pPr>
            <w:r w:rsidRPr="00295E71">
              <w:rPr>
                <w:lang w:val="it-IT"/>
              </w:rPr>
              <w:t>ansia,</w:t>
            </w:r>
          </w:p>
          <w:p w:rsidR="006224C2" w:rsidRPr="00295E71" w:rsidP="00C04163" w14:paraId="0920600F" w14:textId="77777777">
            <w:pPr>
              <w:pStyle w:val="EMEANormal"/>
              <w:widowControl w:val="0"/>
              <w:spacing w:before="60"/>
              <w:rPr>
                <w:lang w:val="it-IT"/>
              </w:rPr>
            </w:pPr>
            <w:r w:rsidRPr="00295E71">
              <w:rPr>
                <w:lang w:val="it-IT"/>
              </w:rPr>
              <w:t>insonnia</w:t>
            </w:r>
          </w:p>
          <w:p w:rsidR="006224C2" w:rsidRPr="00295E71" w:rsidP="00C04163" w14:paraId="3A11CCA2" w14:textId="77777777">
            <w:pPr>
              <w:pStyle w:val="EMEANormal"/>
              <w:widowControl w:val="0"/>
              <w:spacing w:before="60"/>
              <w:rPr>
                <w:lang w:val="it-IT"/>
              </w:rPr>
            </w:pPr>
          </w:p>
        </w:tc>
      </w:tr>
      <w:tr w14:paraId="6143246A" w14:textId="77777777" w:rsidTr="00910CE7">
        <w:tblPrEx>
          <w:tblW w:w="0" w:type="auto"/>
          <w:tblLook w:val="01E0"/>
        </w:tblPrEx>
        <w:trPr>
          <w:cantSplit/>
        </w:trPr>
        <w:tc>
          <w:tcPr>
            <w:tcW w:w="2568" w:type="dxa"/>
            <w:vMerge w:val="restart"/>
          </w:tcPr>
          <w:p w:rsidR="006224C2" w:rsidRPr="00295E71" w:rsidP="00C04163" w14:paraId="67446323" w14:textId="77777777">
            <w:pPr>
              <w:pStyle w:val="EMEANormal"/>
              <w:widowControl w:val="0"/>
              <w:spacing w:before="60"/>
              <w:rPr>
                <w:lang w:val="it-IT"/>
              </w:rPr>
            </w:pPr>
            <w:r w:rsidRPr="00295E71">
              <w:rPr>
                <w:lang w:val="it-IT"/>
              </w:rPr>
              <w:t>Patologie del sistema nervoso*</w:t>
            </w:r>
          </w:p>
        </w:tc>
        <w:tc>
          <w:tcPr>
            <w:tcW w:w="2036" w:type="dxa"/>
            <w:tcBorders>
              <w:bottom w:val="single" w:sz="4" w:space="0" w:color="auto"/>
            </w:tcBorders>
          </w:tcPr>
          <w:p w:rsidR="006224C2" w:rsidRPr="00295E71" w:rsidP="00C04163" w14:paraId="459C3132" w14:textId="77777777">
            <w:pPr>
              <w:pStyle w:val="EMEANormal"/>
              <w:widowControl w:val="0"/>
              <w:spacing w:before="60"/>
              <w:rPr>
                <w:lang w:val="it-IT"/>
              </w:rPr>
            </w:pPr>
            <w:r w:rsidRPr="00295E71">
              <w:rPr>
                <w:lang w:val="it-IT"/>
              </w:rPr>
              <w:t>Molto comune</w:t>
            </w:r>
          </w:p>
          <w:p w:rsidR="006224C2" w:rsidRPr="00295E71" w:rsidP="00C04163" w14:paraId="14183232"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7F4A5245" w14:textId="77777777">
            <w:pPr>
              <w:pStyle w:val="EMEANormal"/>
              <w:widowControl w:val="0"/>
              <w:spacing w:before="60"/>
              <w:rPr>
                <w:lang w:val="it-IT"/>
              </w:rPr>
            </w:pPr>
            <w:r w:rsidRPr="00295E71">
              <w:rPr>
                <w:lang w:val="it-IT"/>
              </w:rPr>
              <w:t>C</w:t>
            </w:r>
            <w:r w:rsidRPr="00295E71" w:rsidR="00226BC4">
              <w:rPr>
                <w:lang w:val="it-IT"/>
              </w:rPr>
              <w:t>efalea</w:t>
            </w:r>
          </w:p>
        </w:tc>
      </w:tr>
      <w:tr w14:paraId="739F4953" w14:textId="77777777" w:rsidTr="00910CE7">
        <w:tblPrEx>
          <w:tblW w:w="0" w:type="auto"/>
          <w:tblLook w:val="01E0"/>
        </w:tblPrEx>
        <w:trPr>
          <w:cantSplit/>
        </w:trPr>
        <w:tc>
          <w:tcPr>
            <w:tcW w:w="2568" w:type="dxa"/>
            <w:vMerge/>
          </w:tcPr>
          <w:p w:rsidR="006224C2" w:rsidRPr="00295E71" w:rsidP="00C04163" w14:paraId="67D8E061" w14:textId="77777777">
            <w:pPr>
              <w:pStyle w:val="EMEANormal"/>
              <w:widowControl w:val="0"/>
              <w:spacing w:before="60"/>
              <w:rPr>
                <w:lang w:val="it-IT"/>
              </w:rPr>
            </w:pPr>
          </w:p>
        </w:tc>
        <w:tc>
          <w:tcPr>
            <w:tcW w:w="2036" w:type="dxa"/>
            <w:tcBorders>
              <w:top w:val="single" w:sz="4" w:space="0" w:color="auto"/>
              <w:bottom w:val="single" w:sz="4" w:space="0" w:color="auto"/>
            </w:tcBorders>
          </w:tcPr>
          <w:p w:rsidR="006224C2" w:rsidRPr="00295E71" w:rsidP="00C04163" w14:paraId="0624DC55" w14:textId="77777777">
            <w:pPr>
              <w:pStyle w:val="EMEANormal"/>
              <w:widowControl w:val="0"/>
              <w:spacing w:before="60"/>
              <w:rPr>
                <w:lang w:val="it-IT"/>
              </w:rPr>
            </w:pPr>
            <w:r w:rsidRPr="00295E71">
              <w:rPr>
                <w:lang w:val="it-IT"/>
              </w:rPr>
              <w:t>Comune</w:t>
            </w:r>
          </w:p>
          <w:p w:rsidR="006224C2" w:rsidRPr="00295E71" w:rsidP="00C04163" w14:paraId="4F255C5B" w14:textId="77777777">
            <w:pPr>
              <w:pStyle w:val="EMEANormal"/>
              <w:widowControl w:val="0"/>
              <w:spacing w:before="60"/>
              <w:rPr>
                <w:lang w:val="it-IT"/>
              </w:rPr>
            </w:pPr>
          </w:p>
        </w:tc>
        <w:tc>
          <w:tcPr>
            <w:tcW w:w="4456" w:type="dxa"/>
            <w:tcBorders>
              <w:top w:val="single" w:sz="4" w:space="0" w:color="auto"/>
              <w:bottom w:val="single" w:sz="4" w:space="0" w:color="auto"/>
            </w:tcBorders>
          </w:tcPr>
          <w:p w:rsidR="006224C2" w:rsidRPr="00295E71" w:rsidP="00C04163" w14:paraId="6754E0BA" w14:textId="77777777">
            <w:pPr>
              <w:pStyle w:val="EMEANormal"/>
              <w:widowControl w:val="0"/>
              <w:spacing w:before="60"/>
              <w:rPr>
                <w:lang w:val="it-IT"/>
              </w:rPr>
            </w:pPr>
            <w:r w:rsidRPr="00295E71">
              <w:rPr>
                <w:lang w:val="it-IT"/>
              </w:rPr>
              <w:t>P</w:t>
            </w:r>
            <w:r w:rsidRPr="00295E71" w:rsidR="00226BC4">
              <w:rPr>
                <w:lang w:val="it-IT"/>
              </w:rPr>
              <w:t>arestesia (tra cui ipoestesia),</w:t>
            </w:r>
          </w:p>
          <w:p w:rsidR="006224C2" w:rsidRPr="00295E71" w:rsidP="00C04163" w14:paraId="3E3E3F53" w14:textId="77777777">
            <w:pPr>
              <w:pStyle w:val="EMEANormal"/>
              <w:widowControl w:val="0"/>
              <w:spacing w:before="60"/>
              <w:rPr>
                <w:lang w:val="it-IT"/>
              </w:rPr>
            </w:pPr>
            <w:r w:rsidRPr="00295E71">
              <w:rPr>
                <w:lang w:val="it-IT"/>
              </w:rPr>
              <w:t>emicrania,</w:t>
            </w:r>
          </w:p>
          <w:p w:rsidR="006224C2" w:rsidRPr="00295E71" w:rsidP="00C04163" w14:paraId="75102160" w14:textId="77777777">
            <w:pPr>
              <w:pStyle w:val="EMEANormal"/>
              <w:widowControl w:val="0"/>
              <w:spacing w:before="60"/>
              <w:rPr>
                <w:lang w:val="it-IT"/>
              </w:rPr>
            </w:pPr>
            <w:r w:rsidRPr="00295E71">
              <w:rPr>
                <w:lang w:val="it-IT"/>
              </w:rPr>
              <w:t>compressione di radice nervosa</w:t>
            </w:r>
          </w:p>
          <w:p w:rsidR="006224C2" w:rsidRPr="00295E71" w:rsidP="00C04163" w14:paraId="06DD51FF" w14:textId="77777777">
            <w:pPr>
              <w:pStyle w:val="EMEANormal"/>
              <w:widowControl w:val="0"/>
              <w:spacing w:before="60"/>
              <w:rPr>
                <w:lang w:val="it-IT"/>
              </w:rPr>
            </w:pPr>
          </w:p>
        </w:tc>
      </w:tr>
      <w:tr w14:paraId="563D3B0A" w14:textId="77777777" w:rsidTr="00910CE7">
        <w:tblPrEx>
          <w:tblW w:w="0" w:type="auto"/>
          <w:tblLook w:val="01E0"/>
        </w:tblPrEx>
        <w:trPr>
          <w:cantSplit/>
        </w:trPr>
        <w:tc>
          <w:tcPr>
            <w:tcW w:w="2568" w:type="dxa"/>
            <w:vMerge/>
          </w:tcPr>
          <w:p w:rsidR="006224C2" w:rsidRPr="00295E71" w:rsidP="00C04163" w14:paraId="40CCDD01"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0E473FEA" w14:textId="77777777">
            <w:pPr>
              <w:pStyle w:val="EMEANormal"/>
              <w:widowControl w:val="0"/>
              <w:rPr>
                <w:lang w:val="it-IT"/>
              </w:rPr>
            </w:pPr>
            <w:r w:rsidRPr="00295E71">
              <w:rPr>
                <w:lang w:val="it-IT"/>
              </w:rPr>
              <w:t>Non comune</w:t>
            </w:r>
          </w:p>
          <w:p w:rsidR="006224C2" w:rsidRPr="00295E71" w:rsidP="00C04163" w14:paraId="5E6BB199"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64892042" w14:textId="77777777">
            <w:pPr>
              <w:pStyle w:val="EMEANormal"/>
              <w:widowControl w:val="0"/>
              <w:rPr>
                <w:lang w:val="it-IT"/>
              </w:rPr>
            </w:pPr>
            <w:r w:rsidRPr="00295E71">
              <w:rPr>
                <w:lang w:val="it-IT"/>
              </w:rPr>
              <w:t>A</w:t>
            </w:r>
            <w:r w:rsidRPr="00295E71" w:rsidR="00226BC4">
              <w:rPr>
                <w:lang w:val="it-IT"/>
              </w:rPr>
              <w:t>ccidente cerebrovascolare</w:t>
            </w:r>
            <w:r w:rsidRPr="00295E71" w:rsidR="00226BC4">
              <w:rPr>
                <w:vertAlign w:val="superscript"/>
                <w:lang w:val="it-IT"/>
              </w:rPr>
              <w:t>1)</w:t>
            </w:r>
            <w:r w:rsidRPr="00295E71" w:rsidR="00226BC4">
              <w:rPr>
                <w:lang w:val="it-IT"/>
              </w:rPr>
              <w:t xml:space="preserve">, </w:t>
            </w:r>
          </w:p>
          <w:p w:rsidR="006224C2" w:rsidRPr="00295E71" w:rsidP="00C04163" w14:paraId="7BA77078" w14:textId="77777777">
            <w:pPr>
              <w:pStyle w:val="EMEANormal"/>
              <w:widowControl w:val="0"/>
              <w:rPr>
                <w:lang w:val="it-IT"/>
              </w:rPr>
            </w:pPr>
            <w:r w:rsidRPr="00295E71">
              <w:rPr>
                <w:lang w:val="it-IT"/>
              </w:rPr>
              <w:t>tremore,</w:t>
            </w:r>
          </w:p>
          <w:p w:rsidR="006224C2" w:rsidRPr="00295E71" w:rsidP="00C04163" w14:paraId="6192AC65" w14:textId="77777777">
            <w:pPr>
              <w:pStyle w:val="EMEANormal"/>
              <w:widowControl w:val="0"/>
              <w:rPr>
                <w:lang w:val="it-IT"/>
              </w:rPr>
            </w:pPr>
            <w:r w:rsidRPr="00295E71">
              <w:rPr>
                <w:lang w:val="it-IT"/>
              </w:rPr>
              <w:t xml:space="preserve">neuropatia </w:t>
            </w:r>
          </w:p>
          <w:p w:rsidR="006224C2" w:rsidRPr="00295E71" w:rsidP="00C04163" w14:paraId="52EC81D2" w14:textId="77777777">
            <w:pPr>
              <w:pStyle w:val="EMEANormal"/>
              <w:widowControl w:val="0"/>
              <w:rPr>
                <w:lang w:val="it-IT"/>
              </w:rPr>
            </w:pPr>
          </w:p>
        </w:tc>
      </w:tr>
      <w:tr w14:paraId="46BCA0E3" w14:textId="77777777" w:rsidTr="00910CE7">
        <w:tblPrEx>
          <w:tblW w:w="0" w:type="auto"/>
          <w:tblLook w:val="01E0"/>
        </w:tblPrEx>
        <w:trPr>
          <w:cantSplit/>
        </w:trPr>
        <w:tc>
          <w:tcPr>
            <w:tcW w:w="2568" w:type="dxa"/>
            <w:vMerge/>
          </w:tcPr>
          <w:p w:rsidR="006224C2" w:rsidRPr="00295E71" w:rsidP="00C04163" w14:paraId="060EE21A"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0404AF67" w14:textId="77777777">
            <w:pPr>
              <w:pStyle w:val="EMEANormal"/>
              <w:widowControl w:val="0"/>
              <w:rPr>
                <w:lang w:val="it-IT"/>
              </w:rPr>
            </w:pPr>
            <w:r w:rsidRPr="00295E71">
              <w:rPr>
                <w:lang w:val="it-IT"/>
              </w:rPr>
              <w:t>Raro</w:t>
            </w:r>
          </w:p>
          <w:p w:rsidR="006224C2" w:rsidRPr="00295E71" w:rsidP="00C04163" w14:paraId="42C9BF7C"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50C3D34F" w14:textId="77777777">
            <w:pPr>
              <w:pStyle w:val="EMEANormal"/>
              <w:widowControl w:val="0"/>
              <w:rPr>
                <w:lang w:val="it-IT"/>
              </w:rPr>
            </w:pPr>
            <w:r w:rsidRPr="00295E71">
              <w:rPr>
                <w:lang w:val="it-IT"/>
              </w:rPr>
              <w:t>S</w:t>
            </w:r>
            <w:r w:rsidRPr="00295E71" w:rsidR="00226BC4">
              <w:rPr>
                <w:lang w:val="it-IT"/>
              </w:rPr>
              <w:t>clerosi multipla,</w:t>
            </w:r>
          </w:p>
          <w:p w:rsidR="006224C2" w:rsidRPr="00295E71" w:rsidP="00C04163" w14:paraId="038E60AF" w14:textId="77777777">
            <w:pPr>
              <w:pStyle w:val="EMEANormal"/>
              <w:widowControl w:val="0"/>
              <w:rPr>
                <w:vertAlign w:val="superscript"/>
                <w:lang w:val="it-IT"/>
              </w:rPr>
            </w:pPr>
            <w:r w:rsidRPr="00295E71">
              <w:rPr>
                <w:lang w:val="it-IT"/>
              </w:rPr>
              <w:t>disturbi demielinizzanti (ad es. neurite ottica, sindrome di Guillain-Barré)</w:t>
            </w:r>
            <w:r w:rsidRPr="00295E71">
              <w:rPr>
                <w:vertAlign w:val="superscript"/>
                <w:lang w:val="it-IT"/>
              </w:rPr>
              <w:t xml:space="preserve"> 1)</w:t>
            </w:r>
          </w:p>
          <w:p w:rsidR="006224C2" w:rsidRPr="00295E71" w:rsidP="00C04163" w14:paraId="081FCB08" w14:textId="77777777">
            <w:pPr>
              <w:pStyle w:val="EMEANormal"/>
              <w:widowControl w:val="0"/>
              <w:rPr>
                <w:lang w:val="it-IT"/>
              </w:rPr>
            </w:pPr>
          </w:p>
        </w:tc>
      </w:tr>
      <w:tr w14:paraId="499F5901" w14:textId="77777777" w:rsidTr="00910CE7">
        <w:tblPrEx>
          <w:tblW w:w="0" w:type="auto"/>
          <w:tblLook w:val="01E0"/>
        </w:tblPrEx>
        <w:trPr>
          <w:cantSplit/>
        </w:trPr>
        <w:tc>
          <w:tcPr>
            <w:tcW w:w="2568" w:type="dxa"/>
            <w:vMerge w:val="restart"/>
          </w:tcPr>
          <w:p w:rsidR="006224C2" w:rsidRPr="00295E71" w:rsidP="00C04163" w14:paraId="4D74FA08" w14:textId="77777777">
            <w:pPr>
              <w:pStyle w:val="EMEANormal"/>
              <w:widowControl w:val="0"/>
              <w:spacing w:before="60"/>
              <w:rPr>
                <w:lang w:val="it-IT"/>
              </w:rPr>
            </w:pPr>
            <w:r w:rsidRPr="00295E71">
              <w:rPr>
                <w:lang w:val="it-IT"/>
              </w:rPr>
              <w:t>Patologie dell’occhio</w:t>
            </w:r>
          </w:p>
        </w:tc>
        <w:tc>
          <w:tcPr>
            <w:tcW w:w="2036" w:type="dxa"/>
            <w:tcBorders>
              <w:bottom w:val="single" w:sz="4" w:space="0" w:color="auto"/>
            </w:tcBorders>
          </w:tcPr>
          <w:p w:rsidR="006224C2" w:rsidRPr="00295E71" w:rsidP="00C04163" w14:paraId="1BA8EF62" w14:textId="77777777">
            <w:pPr>
              <w:pStyle w:val="EMEANormal"/>
              <w:widowControl w:val="0"/>
              <w:spacing w:before="60"/>
              <w:rPr>
                <w:lang w:val="it-IT"/>
              </w:rPr>
            </w:pPr>
            <w:r w:rsidRPr="00295E71">
              <w:rPr>
                <w:lang w:val="it-IT"/>
              </w:rPr>
              <w:t>Comune</w:t>
            </w:r>
          </w:p>
          <w:p w:rsidR="006224C2" w:rsidRPr="00295E71" w:rsidP="00C04163" w14:paraId="3AF43A59"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466F4791" w14:textId="77777777">
            <w:pPr>
              <w:pStyle w:val="EMEANormal"/>
              <w:widowControl w:val="0"/>
              <w:spacing w:before="60"/>
              <w:rPr>
                <w:lang w:val="it-IT"/>
              </w:rPr>
            </w:pPr>
            <w:r w:rsidRPr="00295E71">
              <w:rPr>
                <w:lang w:val="it-IT"/>
              </w:rPr>
              <w:t>D</w:t>
            </w:r>
            <w:r w:rsidRPr="00295E71" w:rsidR="00226BC4">
              <w:rPr>
                <w:lang w:val="it-IT"/>
              </w:rPr>
              <w:t>isturbi visivi,</w:t>
            </w:r>
          </w:p>
          <w:p w:rsidR="006224C2" w:rsidRPr="00295E71" w:rsidP="00C04163" w14:paraId="36195A58" w14:textId="77777777">
            <w:pPr>
              <w:pStyle w:val="EMEANormal"/>
              <w:widowControl w:val="0"/>
              <w:spacing w:before="60"/>
              <w:rPr>
                <w:lang w:val="it-IT"/>
              </w:rPr>
            </w:pPr>
            <w:r w:rsidRPr="00295E71">
              <w:rPr>
                <w:lang w:val="it-IT"/>
              </w:rPr>
              <w:t>congiuntivit</w:t>
            </w:r>
            <w:r w:rsidR="00660603">
              <w:rPr>
                <w:lang w:val="it-IT"/>
              </w:rPr>
              <w:t>e</w:t>
            </w:r>
            <w:r w:rsidRPr="00295E71">
              <w:rPr>
                <w:lang w:val="it-IT"/>
              </w:rPr>
              <w:t>,</w:t>
            </w:r>
          </w:p>
          <w:p w:rsidR="006224C2" w:rsidRPr="00295E71" w:rsidP="00C04163" w14:paraId="05ABC58D" w14:textId="77777777">
            <w:pPr>
              <w:pStyle w:val="EMEANormal"/>
              <w:widowControl w:val="0"/>
              <w:spacing w:before="60"/>
              <w:rPr>
                <w:lang w:val="it-IT"/>
              </w:rPr>
            </w:pPr>
            <w:r w:rsidRPr="00295E71">
              <w:rPr>
                <w:lang w:val="it-IT"/>
              </w:rPr>
              <w:t>blefarite,</w:t>
            </w:r>
          </w:p>
          <w:p w:rsidR="006224C2" w:rsidRPr="00295E71" w:rsidP="00C04163" w14:paraId="29C6750F" w14:textId="77777777">
            <w:pPr>
              <w:pStyle w:val="EMEANormal"/>
              <w:widowControl w:val="0"/>
              <w:spacing w:before="60"/>
              <w:rPr>
                <w:lang w:val="it-IT"/>
              </w:rPr>
            </w:pPr>
            <w:r w:rsidRPr="00295E71">
              <w:rPr>
                <w:lang w:val="it-IT"/>
              </w:rPr>
              <w:t>edema periorbitale</w:t>
            </w:r>
          </w:p>
          <w:p w:rsidR="006224C2" w:rsidRPr="00295E71" w:rsidP="00C04163" w14:paraId="3D859B30" w14:textId="77777777">
            <w:pPr>
              <w:pStyle w:val="EMEANormal"/>
              <w:widowControl w:val="0"/>
              <w:spacing w:before="60"/>
              <w:rPr>
                <w:lang w:val="it-IT"/>
              </w:rPr>
            </w:pPr>
          </w:p>
        </w:tc>
      </w:tr>
      <w:tr w14:paraId="225F7770" w14:textId="77777777" w:rsidTr="00910CE7">
        <w:tblPrEx>
          <w:tblW w:w="0" w:type="auto"/>
          <w:tblLook w:val="01E0"/>
        </w:tblPrEx>
        <w:trPr>
          <w:cantSplit/>
        </w:trPr>
        <w:tc>
          <w:tcPr>
            <w:tcW w:w="2568" w:type="dxa"/>
            <w:vMerge/>
          </w:tcPr>
          <w:p w:rsidR="006224C2" w:rsidRPr="00295E71" w:rsidP="00C04163" w14:paraId="012649AB"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34E4D17B" w14:textId="77777777">
            <w:pPr>
              <w:pStyle w:val="EMEANormal"/>
              <w:widowControl w:val="0"/>
              <w:rPr>
                <w:lang w:val="it-IT"/>
              </w:rPr>
            </w:pPr>
            <w:r w:rsidRPr="00295E71">
              <w:rPr>
                <w:lang w:val="it-IT"/>
              </w:rPr>
              <w:t>Non comune</w:t>
            </w:r>
          </w:p>
        </w:tc>
        <w:tc>
          <w:tcPr>
            <w:tcW w:w="4456" w:type="dxa"/>
            <w:tcBorders>
              <w:top w:val="single" w:sz="4" w:space="0" w:color="auto"/>
              <w:bottom w:val="single" w:sz="4" w:space="0" w:color="auto"/>
            </w:tcBorders>
          </w:tcPr>
          <w:p w:rsidR="006224C2" w:rsidRPr="00295E71" w:rsidP="00C04163" w14:paraId="4945238A" w14:textId="77777777">
            <w:pPr>
              <w:pStyle w:val="EMEANormal"/>
              <w:widowControl w:val="0"/>
              <w:rPr>
                <w:lang w:val="it-IT"/>
              </w:rPr>
            </w:pPr>
            <w:r w:rsidRPr="00295E71">
              <w:rPr>
                <w:lang w:val="it-IT"/>
              </w:rPr>
              <w:t>D</w:t>
            </w:r>
            <w:r w:rsidRPr="00295E71" w:rsidR="00226BC4">
              <w:rPr>
                <w:lang w:val="it-IT"/>
              </w:rPr>
              <w:t>iplopia</w:t>
            </w:r>
          </w:p>
          <w:p w:rsidR="006224C2" w:rsidRPr="00295E71" w:rsidP="00C04163" w14:paraId="7C7151E3" w14:textId="77777777">
            <w:pPr>
              <w:pStyle w:val="EMEANormal"/>
              <w:widowControl w:val="0"/>
              <w:rPr>
                <w:lang w:val="it-IT"/>
              </w:rPr>
            </w:pPr>
          </w:p>
        </w:tc>
      </w:tr>
      <w:tr w14:paraId="6C0F4883" w14:textId="77777777" w:rsidTr="00910CE7">
        <w:tblPrEx>
          <w:tblW w:w="0" w:type="auto"/>
          <w:tblLook w:val="01E0"/>
        </w:tblPrEx>
        <w:trPr>
          <w:cantSplit/>
        </w:trPr>
        <w:tc>
          <w:tcPr>
            <w:tcW w:w="2568" w:type="dxa"/>
            <w:vMerge w:val="restart"/>
          </w:tcPr>
          <w:p w:rsidR="006224C2" w:rsidRPr="00295E71" w:rsidP="00C04163" w14:paraId="4375D4D6" w14:textId="77777777">
            <w:pPr>
              <w:pStyle w:val="EMEANormal"/>
              <w:widowControl w:val="0"/>
              <w:spacing w:before="60"/>
              <w:rPr>
                <w:lang w:val="it-IT"/>
              </w:rPr>
            </w:pPr>
            <w:r w:rsidRPr="00295E71">
              <w:rPr>
                <w:lang w:val="it-IT"/>
              </w:rPr>
              <w:t xml:space="preserve">Patologie dell’orecchio e del labirinto </w:t>
            </w:r>
          </w:p>
          <w:p w:rsidR="006224C2" w:rsidRPr="00295E71" w:rsidP="00C04163" w14:paraId="1A72E4B8" w14:textId="77777777">
            <w:pPr>
              <w:pStyle w:val="EMEANormal"/>
              <w:widowControl w:val="0"/>
              <w:spacing w:before="60"/>
              <w:rPr>
                <w:lang w:val="it-IT"/>
              </w:rPr>
            </w:pPr>
          </w:p>
        </w:tc>
        <w:tc>
          <w:tcPr>
            <w:tcW w:w="2036" w:type="dxa"/>
            <w:tcBorders>
              <w:bottom w:val="single" w:sz="4" w:space="0" w:color="auto"/>
            </w:tcBorders>
          </w:tcPr>
          <w:p w:rsidR="006224C2" w:rsidRPr="00295E71" w:rsidP="00C04163" w14:paraId="44BD2B8E" w14:textId="77777777">
            <w:pPr>
              <w:pStyle w:val="EMEANormal"/>
              <w:widowControl w:val="0"/>
              <w:spacing w:before="60"/>
              <w:rPr>
                <w:lang w:val="it-IT"/>
              </w:rPr>
            </w:pPr>
            <w:r w:rsidRPr="00295E71">
              <w:rPr>
                <w:lang w:val="it-IT"/>
              </w:rPr>
              <w:t>Comune</w:t>
            </w:r>
          </w:p>
          <w:p w:rsidR="006224C2" w:rsidRPr="00295E71" w:rsidP="00C04163" w14:paraId="283CAFB8"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3B2DE41C" w14:textId="77777777">
            <w:pPr>
              <w:pStyle w:val="EMEANormal"/>
              <w:widowControl w:val="0"/>
              <w:spacing w:before="60"/>
              <w:rPr>
                <w:lang w:val="it-IT"/>
              </w:rPr>
            </w:pPr>
            <w:r w:rsidRPr="00295E71">
              <w:rPr>
                <w:lang w:val="it-IT"/>
              </w:rPr>
              <w:t>V</w:t>
            </w:r>
            <w:r w:rsidRPr="00295E71" w:rsidR="00226BC4">
              <w:rPr>
                <w:lang w:val="it-IT"/>
              </w:rPr>
              <w:t>ertigini</w:t>
            </w:r>
          </w:p>
          <w:p w:rsidR="006224C2" w:rsidRPr="00295E71" w:rsidP="00C04163" w14:paraId="6A94DDD6" w14:textId="77777777">
            <w:pPr>
              <w:pStyle w:val="EMEANormal"/>
              <w:widowControl w:val="0"/>
              <w:spacing w:before="60"/>
              <w:rPr>
                <w:lang w:val="it-IT"/>
              </w:rPr>
            </w:pPr>
          </w:p>
        </w:tc>
      </w:tr>
      <w:tr w14:paraId="0E33262D" w14:textId="77777777" w:rsidTr="00910CE7">
        <w:tblPrEx>
          <w:tblW w:w="0" w:type="auto"/>
          <w:tblLook w:val="01E0"/>
        </w:tblPrEx>
        <w:trPr>
          <w:cantSplit/>
        </w:trPr>
        <w:tc>
          <w:tcPr>
            <w:tcW w:w="2568" w:type="dxa"/>
            <w:vMerge/>
          </w:tcPr>
          <w:p w:rsidR="006224C2" w:rsidRPr="00295E71" w:rsidP="00C04163" w14:paraId="215DA767"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20EBDDC8" w14:textId="77777777">
            <w:pPr>
              <w:pStyle w:val="EMEANormal"/>
              <w:widowControl w:val="0"/>
              <w:rPr>
                <w:lang w:val="it-IT"/>
              </w:rPr>
            </w:pPr>
            <w:r w:rsidRPr="00295E71">
              <w:rPr>
                <w:lang w:val="it-IT"/>
              </w:rPr>
              <w:t>Non comune</w:t>
            </w:r>
          </w:p>
          <w:p w:rsidR="006224C2" w:rsidRPr="00295E71" w:rsidP="00C04163" w14:paraId="13A80073"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2F25F77F" w14:textId="77777777">
            <w:pPr>
              <w:pStyle w:val="EMEANormal"/>
              <w:widowControl w:val="0"/>
              <w:rPr>
                <w:lang w:val="it-IT"/>
              </w:rPr>
            </w:pPr>
            <w:r w:rsidRPr="00295E71">
              <w:rPr>
                <w:lang w:val="it-IT"/>
              </w:rPr>
              <w:t>P</w:t>
            </w:r>
            <w:r w:rsidRPr="00295E71" w:rsidR="00226BC4">
              <w:rPr>
                <w:lang w:val="it-IT"/>
              </w:rPr>
              <w:t xml:space="preserve">erdita dell’udito, </w:t>
            </w:r>
          </w:p>
          <w:p w:rsidR="006224C2" w:rsidRPr="00295E71" w:rsidP="00C04163" w14:paraId="5E94940F" w14:textId="77777777">
            <w:pPr>
              <w:pStyle w:val="EMEANormal"/>
              <w:widowControl w:val="0"/>
              <w:rPr>
                <w:lang w:val="it-IT"/>
              </w:rPr>
            </w:pPr>
            <w:r w:rsidRPr="00295E71">
              <w:rPr>
                <w:lang w:val="it-IT"/>
              </w:rPr>
              <w:t>tinnito</w:t>
            </w:r>
          </w:p>
          <w:p w:rsidR="006224C2" w:rsidRPr="00295E71" w:rsidP="00C04163" w14:paraId="0500E3E3" w14:textId="77777777">
            <w:pPr>
              <w:pStyle w:val="EMEANormal"/>
              <w:widowControl w:val="0"/>
              <w:rPr>
                <w:lang w:val="it-IT"/>
              </w:rPr>
            </w:pPr>
          </w:p>
        </w:tc>
      </w:tr>
      <w:tr w14:paraId="1B48D211" w14:textId="77777777" w:rsidTr="00910CE7">
        <w:tblPrEx>
          <w:tblW w:w="0" w:type="auto"/>
          <w:tblLook w:val="01E0"/>
        </w:tblPrEx>
        <w:trPr>
          <w:cantSplit/>
        </w:trPr>
        <w:tc>
          <w:tcPr>
            <w:tcW w:w="2568" w:type="dxa"/>
            <w:vMerge w:val="restart"/>
          </w:tcPr>
          <w:p w:rsidR="006224C2" w:rsidRPr="00295E71" w:rsidP="00C04163" w14:paraId="5B4C545A" w14:textId="77777777">
            <w:pPr>
              <w:pStyle w:val="EMEANormal"/>
              <w:widowControl w:val="0"/>
              <w:spacing w:before="60"/>
              <w:rPr>
                <w:lang w:val="it-IT"/>
              </w:rPr>
            </w:pPr>
            <w:r w:rsidRPr="00295E71">
              <w:rPr>
                <w:lang w:val="it-IT"/>
              </w:rPr>
              <w:t xml:space="preserve">Patologie cardiache* </w:t>
            </w:r>
          </w:p>
        </w:tc>
        <w:tc>
          <w:tcPr>
            <w:tcW w:w="2036" w:type="dxa"/>
            <w:tcBorders>
              <w:bottom w:val="single" w:sz="4" w:space="0" w:color="auto"/>
            </w:tcBorders>
          </w:tcPr>
          <w:p w:rsidR="006224C2" w:rsidRPr="00295E71" w:rsidP="00C04163" w14:paraId="1A4CEFE4" w14:textId="77777777">
            <w:pPr>
              <w:pStyle w:val="EMEANormal"/>
              <w:widowControl w:val="0"/>
              <w:spacing w:before="60"/>
              <w:rPr>
                <w:lang w:val="it-IT"/>
              </w:rPr>
            </w:pPr>
            <w:r w:rsidRPr="00295E71">
              <w:rPr>
                <w:lang w:val="it-IT"/>
              </w:rPr>
              <w:t>Comune</w:t>
            </w:r>
          </w:p>
        </w:tc>
        <w:tc>
          <w:tcPr>
            <w:tcW w:w="4456" w:type="dxa"/>
            <w:tcBorders>
              <w:bottom w:val="single" w:sz="4" w:space="0" w:color="auto"/>
            </w:tcBorders>
          </w:tcPr>
          <w:p w:rsidR="006224C2" w:rsidRPr="00295E71" w:rsidP="00C04163" w14:paraId="149BC696" w14:textId="77777777">
            <w:pPr>
              <w:pStyle w:val="EMEANormal"/>
              <w:widowControl w:val="0"/>
              <w:spacing w:before="60"/>
              <w:rPr>
                <w:lang w:val="it-IT"/>
              </w:rPr>
            </w:pPr>
            <w:r w:rsidRPr="00295E71">
              <w:rPr>
                <w:lang w:val="it-IT"/>
              </w:rPr>
              <w:t>T</w:t>
            </w:r>
            <w:r w:rsidRPr="00295E71" w:rsidR="00226BC4">
              <w:rPr>
                <w:lang w:val="it-IT"/>
              </w:rPr>
              <w:t>achicardia</w:t>
            </w:r>
          </w:p>
          <w:p w:rsidR="006224C2" w:rsidRPr="00295E71" w:rsidP="00C04163" w14:paraId="371E2A48" w14:textId="77777777">
            <w:pPr>
              <w:pStyle w:val="EMEANormal"/>
              <w:widowControl w:val="0"/>
              <w:spacing w:before="60"/>
              <w:rPr>
                <w:lang w:val="it-IT"/>
              </w:rPr>
            </w:pPr>
          </w:p>
        </w:tc>
      </w:tr>
      <w:tr w14:paraId="1F12D70A" w14:textId="77777777" w:rsidTr="00910CE7">
        <w:tblPrEx>
          <w:tblW w:w="0" w:type="auto"/>
          <w:tblLook w:val="01E0"/>
        </w:tblPrEx>
        <w:trPr>
          <w:cantSplit/>
        </w:trPr>
        <w:tc>
          <w:tcPr>
            <w:tcW w:w="2568" w:type="dxa"/>
            <w:vMerge/>
          </w:tcPr>
          <w:p w:rsidR="006224C2" w:rsidRPr="00295E71" w:rsidP="00C04163" w14:paraId="53AF9BB5" w14:textId="77777777">
            <w:pPr>
              <w:pStyle w:val="EMEANormal"/>
              <w:widowControl w:val="0"/>
              <w:spacing w:before="60"/>
              <w:rPr>
                <w:lang w:val="it-IT"/>
              </w:rPr>
            </w:pPr>
          </w:p>
        </w:tc>
        <w:tc>
          <w:tcPr>
            <w:tcW w:w="2036" w:type="dxa"/>
            <w:tcBorders>
              <w:top w:val="single" w:sz="4" w:space="0" w:color="auto"/>
              <w:bottom w:val="single" w:sz="4" w:space="0" w:color="auto"/>
            </w:tcBorders>
          </w:tcPr>
          <w:p w:rsidR="006224C2" w:rsidRPr="00295E71" w:rsidP="00C04163" w14:paraId="12F55E2D" w14:textId="77777777">
            <w:pPr>
              <w:pStyle w:val="EMEANormal"/>
              <w:widowControl w:val="0"/>
              <w:spacing w:before="60"/>
              <w:rPr>
                <w:lang w:val="it-IT"/>
              </w:rPr>
            </w:pPr>
            <w:r w:rsidRPr="00295E71">
              <w:rPr>
                <w:lang w:val="it-IT"/>
              </w:rPr>
              <w:t>Non comune</w:t>
            </w:r>
          </w:p>
          <w:p w:rsidR="006224C2" w:rsidRPr="00295E71" w:rsidP="00C04163" w14:paraId="6A2A9BA4" w14:textId="77777777">
            <w:pPr>
              <w:pStyle w:val="EMEANormal"/>
              <w:widowControl w:val="0"/>
              <w:spacing w:before="60"/>
              <w:rPr>
                <w:lang w:val="it-IT"/>
              </w:rPr>
            </w:pPr>
          </w:p>
        </w:tc>
        <w:tc>
          <w:tcPr>
            <w:tcW w:w="4456" w:type="dxa"/>
            <w:tcBorders>
              <w:top w:val="single" w:sz="4" w:space="0" w:color="auto"/>
              <w:bottom w:val="single" w:sz="4" w:space="0" w:color="auto"/>
            </w:tcBorders>
          </w:tcPr>
          <w:p w:rsidR="006224C2" w:rsidRPr="00295E71" w:rsidP="00C04163" w14:paraId="7FA1E4BA" w14:textId="77777777">
            <w:pPr>
              <w:pStyle w:val="EMEANormal"/>
              <w:widowControl w:val="0"/>
              <w:rPr>
                <w:lang w:val="it-IT"/>
              </w:rPr>
            </w:pPr>
            <w:r w:rsidRPr="00295E71">
              <w:rPr>
                <w:lang w:val="it-IT"/>
              </w:rPr>
              <w:t>I</w:t>
            </w:r>
            <w:r w:rsidRPr="00295E71" w:rsidR="00226BC4">
              <w:rPr>
                <w:lang w:val="it-IT"/>
              </w:rPr>
              <w:t>nfarto del miocardio</w:t>
            </w:r>
            <w:r w:rsidRPr="00295E71" w:rsidR="00226BC4">
              <w:rPr>
                <w:vertAlign w:val="superscript"/>
                <w:lang w:val="it-IT"/>
              </w:rPr>
              <w:t>1)</w:t>
            </w:r>
            <w:r w:rsidRPr="00295E71" w:rsidR="00226BC4">
              <w:rPr>
                <w:lang w:val="it-IT"/>
              </w:rPr>
              <w:t>,</w:t>
            </w:r>
          </w:p>
          <w:p w:rsidR="006224C2" w:rsidRPr="00295E71" w:rsidP="00C04163" w14:paraId="00D0A0F8" w14:textId="77777777">
            <w:pPr>
              <w:pStyle w:val="EMEANormal"/>
              <w:widowControl w:val="0"/>
              <w:spacing w:before="60"/>
              <w:rPr>
                <w:lang w:val="it-IT"/>
              </w:rPr>
            </w:pPr>
            <w:r w:rsidRPr="00295E71">
              <w:rPr>
                <w:lang w:val="it-IT"/>
              </w:rPr>
              <w:t>aritmia,</w:t>
            </w:r>
          </w:p>
          <w:p w:rsidR="006224C2" w:rsidRPr="00295E71" w:rsidP="00C04163" w14:paraId="5EBC0510" w14:textId="77777777">
            <w:pPr>
              <w:pStyle w:val="EMEANormal"/>
              <w:widowControl w:val="0"/>
              <w:spacing w:before="60"/>
              <w:rPr>
                <w:lang w:val="it-IT"/>
              </w:rPr>
            </w:pPr>
            <w:r w:rsidRPr="00295E71">
              <w:rPr>
                <w:lang w:val="it-IT"/>
              </w:rPr>
              <w:t>insufficienza cardiaca congestizia</w:t>
            </w:r>
          </w:p>
          <w:p w:rsidR="006224C2" w:rsidRPr="00295E71" w:rsidP="00C04163" w14:paraId="6E1B0EC7" w14:textId="77777777">
            <w:pPr>
              <w:pStyle w:val="EMEANormal"/>
              <w:widowControl w:val="0"/>
              <w:spacing w:before="60"/>
              <w:rPr>
                <w:lang w:val="it-IT"/>
              </w:rPr>
            </w:pPr>
          </w:p>
        </w:tc>
      </w:tr>
      <w:tr w14:paraId="1A778E7A" w14:textId="77777777" w:rsidTr="00910CE7">
        <w:tblPrEx>
          <w:tblW w:w="0" w:type="auto"/>
          <w:tblLook w:val="01E0"/>
        </w:tblPrEx>
        <w:trPr>
          <w:cantSplit/>
        </w:trPr>
        <w:tc>
          <w:tcPr>
            <w:tcW w:w="2568" w:type="dxa"/>
            <w:vMerge/>
          </w:tcPr>
          <w:p w:rsidR="006224C2" w:rsidRPr="00295E71" w:rsidP="00C04163" w14:paraId="30D06018"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45033ACE" w14:textId="77777777">
            <w:pPr>
              <w:pStyle w:val="EMEANormal"/>
              <w:widowControl w:val="0"/>
              <w:rPr>
                <w:lang w:val="it-IT"/>
              </w:rPr>
            </w:pPr>
            <w:r w:rsidRPr="00295E71">
              <w:rPr>
                <w:lang w:val="it-IT"/>
              </w:rPr>
              <w:t>Raro</w:t>
            </w:r>
          </w:p>
          <w:p w:rsidR="006224C2" w:rsidRPr="00295E71" w:rsidP="00C04163" w14:paraId="27F3D29F"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4FE3D2CF" w14:textId="77777777">
            <w:pPr>
              <w:pStyle w:val="EMEANormal"/>
              <w:widowControl w:val="0"/>
              <w:rPr>
                <w:lang w:val="it-IT"/>
              </w:rPr>
            </w:pPr>
            <w:r w:rsidRPr="00295E71">
              <w:rPr>
                <w:lang w:val="it-IT"/>
              </w:rPr>
              <w:t>A</w:t>
            </w:r>
            <w:r w:rsidRPr="00295E71" w:rsidR="00226BC4">
              <w:rPr>
                <w:lang w:val="it-IT"/>
              </w:rPr>
              <w:t>rresto cardiaco</w:t>
            </w:r>
          </w:p>
          <w:p w:rsidR="006224C2" w:rsidRPr="00295E71" w:rsidP="00C04163" w14:paraId="721B401D" w14:textId="77777777">
            <w:pPr>
              <w:pStyle w:val="EMEANormal"/>
              <w:widowControl w:val="0"/>
              <w:rPr>
                <w:lang w:val="it-IT"/>
              </w:rPr>
            </w:pPr>
          </w:p>
        </w:tc>
      </w:tr>
      <w:tr w14:paraId="197DA8F2" w14:textId="77777777" w:rsidTr="00910CE7">
        <w:tblPrEx>
          <w:tblW w:w="0" w:type="auto"/>
          <w:tblLook w:val="01E0"/>
        </w:tblPrEx>
        <w:trPr>
          <w:cantSplit/>
        </w:trPr>
        <w:tc>
          <w:tcPr>
            <w:tcW w:w="2568" w:type="dxa"/>
            <w:vMerge w:val="restart"/>
          </w:tcPr>
          <w:p w:rsidR="006224C2" w:rsidRPr="00295E71" w:rsidP="00C04163" w14:paraId="77A18E32" w14:textId="77777777">
            <w:pPr>
              <w:pStyle w:val="EMEANormal"/>
              <w:widowControl w:val="0"/>
              <w:spacing w:before="60"/>
              <w:rPr>
                <w:lang w:val="it-IT"/>
              </w:rPr>
            </w:pPr>
            <w:r w:rsidRPr="00295E71">
              <w:rPr>
                <w:lang w:val="it-IT"/>
              </w:rPr>
              <w:t>Patologie vascolari</w:t>
            </w:r>
          </w:p>
        </w:tc>
        <w:tc>
          <w:tcPr>
            <w:tcW w:w="2036" w:type="dxa"/>
            <w:tcBorders>
              <w:bottom w:val="single" w:sz="4" w:space="0" w:color="auto"/>
            </w:tcBorders>
          </w:tcPr>
          <w:p w:rsidR="006224C2" w:rsidRPr="00295E71" w:rsidP="00C04163" w14:paraId="0BD916FE" w14:textId="77777777">
            <w:pPr>
              <w:pStyle w:val="EMEANormal"/>
              <w:widowControl w:val="0"/>
              <w:spacing w:before="60"/>
              <w:rPr>
                <w:lang w:val="it-IT"/>
              </w:rPr>
            </w:pPr>
            <w:r w:rsidRPr="00295E71">
              <w:rPr>
                <w:lang w:val="it-IT"/>
              </w:rPr>
              <w:t>Comune</w:t>
            </w:r>
          </w:p>
          <w:p w:rsidR="006224C2" w:rsidRPr="00295E71" w:rsidP="00C04163" w14:paraId="2253C772"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03172A99" w14:textId="77777777">
            <w:pPr>
              <w:pStyle w:val="EMEANormal"/>
              <w:widowControl w:val="0"/>
              <w:spacing w:before="60"/>
              <w:rPr>
                <w:lang w:val="it-IT"/>
              </w:rPr>
            </w:pPr>
            <w:r w:rsidRPr="00295E71">
              <w:rPr>
                <w:lang w:val="it-IT"/>
              </w:rPr>
              <w:t>I</w:t>
            </w:r>
            <w:r w:rsidRPr="00295E71" w:rsidR="00226BC4">
              <w:rPr>
                <w:lang w:val="it-IT"/>
              </w:rPr>
              <w:t xml:space="preserve">pertensione, </w:t>
            </w:r>
          </w:p>
          <w:p w:rsidR="006224C2" w:rsidRPr="00295E71" w:rsidP="00C04163" w14:paraId="2AC9DC51" w14:textId="77777777">
            <w:pPr>
              <w:pStyle w:val="EMEANormal"/>
              <w:widowControl w:val="0"/>
              <w:spacing w:before="60"/>
              <w:rPr>
                <w:lang w:val="it-IT"/>
              </w:rPr>
            </w:pPr>
            <w:r w:rsidRPr="00295E71">
              <w:rPr>
                <w:lang w:val="it-IT"/>
              </w:rPr>
              <w:t xml:space="preserve">vampate, </w:t>
            </w:r>
          </w:p>
          <w:p w:rsidR="006224C2" w:rsidRPr="00295E71" w:rsidP="00C04163" w14:paraId="1D15D3C4" w14:textId="77777777">
            <w:pPr>
              <w:pStyle w:val="EMEANormal"/>
              <w:widowControl w:val="0"/>
              <w:spacing w:before="60"/>
              <w:rPr>
                <w:lang w:val="it-IT"/>
              </w:rPr>
            </w:pPr>
            <w:r w:rsidRPr="00295E71">
              <w:rPr>
                <w:lang w:val="it-IT"/>
              </w:rPr>
              <w:t>ematoma</w:t>
            </w:r>
          </w:p>
          <w:p w:rsidR="006224C2" w:rsidRPr="00295E71" w:rsidP="00C04163" w14:paraId="6969C37E" w14:textId="77777777">
            <w:pPr>
              <w:pStyle w:val="EMEANormal"/>
              <w:widowControl w:val="0"/>
              <w:spacing w:before="60"/>
              <w:rPr>
                <w:lang w:val="it-IT"/>
              </w:rPr>
            </w:pPr>
          </w:p>
        </w:tc>
      </w:tr>
      <w:tr w14:paraId="73815C42" w14:textId="77777777" w:rsidTr="00910CE7">
        <w:tblPrEx>
          <w:tblW w:w="0" w:type="auto"/>
          <w:tblLook w:val="01E0"/>
        </w:tblPrEx>
        <w:trPr>
          <w:cantSplit/>
        </w:trPr>
        <w:tc>
          <w:tcPr>
            <w:tcW w:w="2568" w:type="dxa"/>
            <w:vMerge/>
          </w:tcPr>
          <w:p w:rsidR="006224C2" w:rsidRPr="00295E71" w:rsidP="00C04163" w14:paraId="04C6FC2C" w14:textId="77777777">
            <w:pPr>
              <w:pStyle w:val="EMEANormal"/>
              <w:widowControl w:val="0"/>
              <w:spacing w:before="60"/>
              <w:rPr>
                <w:lang w:val="it-IT"/>
              </w:rPr>
            </w:pPr>
          </w:p>
        </w:tc>
        <w:tc>
          <w:tcPr>
            <w:tcW w:w="2036" w:type="dxa"/>
            <w:tcBorders>
              <w:top w:val="single" w:sz="4" w:space="0" w:color="auto"/>
              <w:bottom w:val="single" w:sz="4" w:space="0" w:color="auto"/>
            </w:tcBorders>
          </w:tcPr>
          <w:p w:rsidR="006224C2" w:rsidRPr="00295E71" w:rsidP="00C04163" w14:paraId="60C4D68F" w14:textId="77777777">
            <w:pPr>
              <w:pStyle w:val="EMEANormal"/>
              <w:widowControl w:val="0"/>
              <w:rPr>
                <w:lang w:val="it-IT"/>
              </w:rPr>
            </w:pPr>
            <w:r w:rsidRPr="00295E71">
              <w:rPr>
                <w:lang w:val="it-IT"/>
              </w:rPr>
              <w:t>Non Comune</w:t>
            </w:r>
          </w:p>
        </w:tc>
        <w:tc>
          <w:tcPr>
            <w:tcW w:w="4456" w:type="dxa"/>
            <w:tcBorders>
              <w:top w:val="single" w:sz="4" w:space="0" w:color="auto"/>
              <w:bottom w:val="single" w:sz="4" w:space="0" w:color="auto"/>
            </w:tcBorders>
          </w:tcPr>
          <w:p w:rsidR="006224C2" w:rsidRPr="00295E71" w:rsidP="00C04163" w14:paraId="7A681D16" w14:textId="77777777">
            <w:pPr>
              <w:pStyle w:val="EMEANormal"/>
              <w:widowControl w:val="0"/>
              <w:rPr>
                <w:lang w:val="it-IT"/>
              </w:rPr>
            </w:pPr>
            <w:r w:rsidRPr="00295E71">
              <w:rPr>
                <w:lang w:val="it-IT"/>
              </w:rPr>
              <w:t>A</w:t>
            </w:r>
            <w:r w:rsidRPr="00295E71" w:rsidR="00226BC4">
              <w:rPr>
                <w:lang w:val="it-IT"/>
              </w:rPr>
              <w:t>neurisma dell’aorta,</w:t>
            </w:r>
          </w:p>
          <w:p w:rsidR="006224C2" w:rsidRPr="00295E71" w:rsidP="00C04163" w14:paraId="0730DFD7" w14:textId="77777777">
            <w:pPr>
              <w:pStyle w:val="EMEANormal"/>
              <w:widowControl w:val="0"/>
              <w:rPr>
                <w:lang w:val="it-IT"/>
              </w:rPr>
            </w:pPr>
            <w:r w:rsidRPr="00295E71">
              <w:rPr>
                <w:lang w:val="it-IT"/>
              </w:rPr>
              <w:t>occlusione vascolare arteriosa,</w:t>
            </w:r>
          </w:p>
          <w:p w:rsidR="006224C2" w:rsidRPr="00295E71" w:rsidP="00C04163" w14:paraId="7907DE8B" w14:textId="77777777">
            <w:pPr>
              <w:pStyle w:val="EMEANormal"/>
              <w:widowControl w:val="0"/>
              <w:rPr>
                <w:lang w:val="it-IT"/>
              </w:rPr>
            </w:pPr>
            <w:r w:rsidRPr="00295E71">
              <w:rPr>
                <w:lang w:val="it-IT"/>
              </w:rPr>
              <w:t xml:space="preserve">tromboflebite </w:t>
            </w:r>
          </w:p>
          <w:p w:rsidR="006224C2" w:rsidRPr="00295E71" w:rsidP="00C04163" w14:paraId="3DF1777A" w14:textId="77777777">
            <w:pPr>
              <w:pStyle w:val="EMEANormal"/>
              <w:widowControl w:val="0"/>
              <w:rPr>
                <w:lang w:val="it-IT"/>
              </w:rPr>
            </w:pPr>
          </w:p>
        </w:tc>
      </w:tr>
      <w:tr w14:paraId="6510ADF1" w14:textId="77777777" w:rsidTr="00910CE7">
        <w:tblPrEx>
          <w:tblW w:w="0" w:type="auto"/>
          <w:tblLook w:val="01E0"/>
        </w:tblPrEx>
        <w:trPr>
          <w:cantSplit/>
        </w:trPr>
        <w:tc>
          <w:tcPr>
            <w:tcW w:w="2568" w:type="dxa"/>
            <w:vMerge w:val="restart"/>
          </w:tcPr>
          <w:p w:rsidR="006224C2" w:rsidRPr="00295E71" w:rsidP="00C04163" w14:paraId="44BD411E" w14:textId="77777777">
            <w:pPr>
              <w:pStyle w:val="EMEANormal"/>
              <w:widowControl w:val="0"/>
              <w:spacing w:before="60"/>
              <w:rPr>
                <w:lang w:val="it-IT"/>
              </w:rPr>
            </w:pPr>
            <w:r w:rsidRPr="00295E71">
              <w:rPr>
                <w:lang w:val="it-IT"/>
              </w:rPr>
              <w:t>Patologie respiratorie, toraciche e mediastiniche*</w:t>
            </w:r>
          </w:p>
        </w:tc>
        <w:tc>
          <w:tcPr>
            <w:tcW w:w="2036" w:type="dxa"/>
            <w:tcBorders>
              <w:bottom w:val="single" w:sz="4" w:space="0" w:color="auto"/>
            </w:tcBorders>
          </w:tcPr>
          <w:p w:rsidR="006224C2" w:rsidRPr="00295E71" w:rsidP="00C04163" w14:paraId="2B780087" w14:textId="77777777">
            <w:pPr>
              <w:pStyle w:val="EMEANormal"/>
              <w:widowControl w:val="0"/>
              <w:spacing w:before="60"/>
              <w:rPr>
                <w:lang w:val="it-IT"/>
              </w:rPr>
            </w:pPr>
            <w:r w:rsidRPr="00295E71">
              <w:rPr>
                <w:lang w:val="it-IT"/>
              </w:rPr>
              <w:t>Comune</w:t>
            </w:r>
          </w:p>
          <w:p w:rsidR="006224C2" w:rsidRPr="00295E71" w:rsidP="00C04163" w14:paraId="35B912B6"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180F9787" w14:textId="77777777">
            <w:pPr>
              <w:pStyle w:val="EMEANormal"/>
              <w:widowControl w:val="0"/>
              <w:spacing w:before="60"/>
              <w:rPr>
                <w:lang w:val="it-IT"/>
              </w:rPr>
            </w:pPr>
            <w:r w:rsidRPr="00295E71">
              <w:rPr>
                <w:lang w:val="it-IT"/>
              </w:rPr>
              <w:t>A</w:t>
            </w:r>
            <w:r w:rsidRPr="00295E71" w:rsidR="00226BC4">
              <w:rPr>
                <w:lang w:val="it-IT"/>
              </w:rPr>
              <w:t xml:space="preserve">sma, </w:t>
            </w:r>
          </w:p>
          <w:p w:rsidR="006224C2" w:rsidRPr="00295E71" w:rsidP="00C04163" w14:paraId="2934CD7E" w14:textId="77777777">
            <w:pPr>
              <w:pStyle w:val="EMEANormal"/>
              <w:widowControl w:val="0"/>
              <w:spacing w:before="60"/>
              <w:rPr>
                <w:lang w:val="it-IT"/>
              </w:rPr>
            </w:pPr>
            <w:r w:rsidRPr="00295E71">
              <w:rPr>
                <w:lang w:val="it-IT"/>
              </w:rPr>
              <w:t>dispnea,</w:t>
            </w:r>
          </w:p>
          <w:p w:rsidR="006224C2" w:rsidRPr="00295E71" w:rsidP="00C04163" w14:paraId="69BC1E22" w14:textId="77777777">
            <w:pPr>
              <w:pStyle w:val="EMEANormal"/>
              <w:widowControl w:val="0"/>
              <w:spacing w:before="60"/>
              <w:rPr>
                <w:lang w:val="it-IT"/>
              </w:rPr>
            </w:pPr>
            <w:r w:rsidRPr="00295E71">
              <w:rPr>
                <w:lang w:val="it-IT"/>
              </w:rPr>
              <w:t>tosse</w:t>
            </w:r>
          </w:p>
          <w:p w:rsidR="006224C2" w:rsidRPr="00295E71" w:rsidP="00C04163" w14:paraId="70DCE381" w14:textId="77777777">
            <w:pPr>
              <w:pStyle w:val="EMEANormal"/>
              <w:widowControl w:val="0"/>
              <w:spacing w:before="60"/>
              <w:rPr>
                <w:lang w:val="it-IT"/>
              </w:rPr>
            </w:pPr>
          </w:p>
        </w:tc>
      </w:tr>
      <w:tr w14:paraId="7B3244F6" w14:textId="77777777" w:rsidTr="00910CE7">
        <w:tblPrEx>
          <w:tblW w:w="0" w:type="auto"/>
          <w:tblLook w:val="01E0"/>
        </w:tblPrEx>
        <w:trPr>
          <w:cantSplit/>
        </w:trPr>
        <w:tc>
          <w:tcPr>
            <w:tcW w:w="2568" w:type="dxa"/>
            <w:vMerge/>
          </w:tcPr>
          <w:p w:rsidR="006224C2" w:rsidRPr="00295E71" w:rsidP="00C04163" w14:paraId="4BEDEDE9"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01CCEB0D" w14:textId="77777777">
            <w:pPr>
              <w:pStyle w:val="EMEANormal"/>
              <w:widowControl w:val="0"/>
              <w:rPr>
                <w:lang w:val="it-IT"/>
              </w:rPr>
            </w:pPr>
            <w:r w:rsidRPr="00295E71">
              <w:rPr>
                <w:lang w:val="it-IT"/>
              </w:rPr>
              <w:t>Non comune</w:t>
            </w:r>
          </w:p>
          <w:p w:rsidR="006224C2" w:rsidRPr="00295E71" w:rsidP="00C04163" w14:paraId="2D61F850"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227FDD73" w14:textId="77777777">
            <w:pPr>
              <w:pStyle w:val="EMEANormal"/>
              <w:widowControl w:val="0"/>
              <w:rPr>
                <w:lang w:val="it-IT"/>
              </w:rPr>
            </w:pPr>
            <w:r w:rsidRPr="00295E71">
              <w:rPr>
                <w:lang w:val="it-IT"/>
              </w:rPr>
              <w:t>E</w:t>
            </w:r>
            <w:r w:rsidRPr="00295E71" w:rsidR="00226BC4">
              <w:rPr>
                <w:lang w:val="it-IT"/>
              </w:rPr>
              <w:t>mbolia polmonare</w:t>
            </w:r>
            <w:r w:rsidRPr="00295E71" w:rsidR="00226BC4">
              <w:rPr>
                <w:vertAlign w:val="superscript"/>
                <w:lang w:val="it-IT"/>
              </w:rPr>
              <w:t>1)</w:t>
            </w:r>
            <w:r w:rsidRPr="00295E71" w:rsidR="00226BC4">
              <w:rPr>
                <w:lang w:val="it-IT"/>
              </w:rPr>
              <w:t>,</w:t>
            </w:r>
          </w:p>
          <w:p w:rsidR="006224C2" w:rsidRPr="00295E71" w:rsidP="00C04163" w14:paraId="1E5F3ABA" w14:textId="77777777">
            <w:pPr>
              <w:pStyle w:val="EMEANormal"/>
              <w:widowControl w:val="0"/>
              <w:rPr>
                <w:lang w:val="it-IT"/>
              </w:rPr>
            </w:pPr>
            <w:r w:rsidRPr="00295E71">
              <w:rPr>
                <w:lang w:val="it-IT"/>
              </w:rPr>
              <w:t>interstiziopatia polmonare,</w:t>
            </w:r>
          </w:p>
          <w:p w:rsidR="006224C2" w:rsidRPr="00295E71" w:rsidP="00C04163" w14:paraId="465CC304" w14:textId="77777777">
            <w:pPr>
              <w:pStyle w:val="EMEANormal"/>
              <w:widowControl w:val="0"/>
              <w:rPr>
                <w:lang w:val="it-IT"/>
              </w:rPr>
            </w:pPr>
            <w:r w:rsidRPr="00295E71">
              <w:rPr>
                <w:lang w:val="it-IT"/>
              </w:rPr>
              <w:t>malattia polmonare cronica ostruttiva,</w:t>
            </w:r>
          </w:p>
          <w:p w:rsidR="006224C2" w:rsidRPr="00295E71" w:rsidP="00C04163" w14:paraId="6FB25B4C" w14:textId="77777777">
            <w:pPr>
              <w:pStyle w:val="EMEANormal"/>
              <w:widowControl w:val="0"/>
              <w:rPr>
                <w:lang w:val="it-IT"/>
              </w:rPr>
            </w:pPr>
            <w:r w:rsidRPr="00295E71">
              <w:rPr>
                <w:lang w:val="it-IT"/>
              </w:rPr>
              <w:t>polmonite,</w:t>
            </w:r>
          </w:p>
          <w:p w:rsidR="006224C2" w:rsidRPr="00295E71" w:rsidP="00C04163" w14:paraId="28657390" w14:textId="77777777">
            <w:pPr>
              <w:pStyle w:val="EMEANormal"/>
              <w:widowControl w:val="0"/>
              <w:rPr>
                <w:lang w:val="it-IT"/>
              </w:rPr>
            </w:pPr>
            <w:r w:rsidRPr="00295E71">
              <w:rPr>
                <w:lang w:val="it-IT"/>
              </w:rPr>
              <w:t>effusione pleurica</w:t>
            </w:r>
            <w:r w:rsidRPr="00295E71">
              <w:rPr>
                <w:vertAlign w:val="superscript"/>
                <w:lang w:val="it-IT"/>
              </w:rPr>
              <w:t>1)</w:t>
            </w:r>
          </w:p>
          <w:p w:rsidR="006224C2" w:rsidRPr="00295E71" w:rsidP="00C04163" w14:paraId="570F2604" w14:textId="77777777">
            <w:pPr>
              <w:pStyle w:val="EMEANormal"/>
              <w:widowControl w:val="0"/>
              <w:rPr>
                <w:lang w:val="it-IT"/>
              </w:rPr>
            </w:pPr>
          </w:p>
        </w:tc>
      </w:tr>
      <w:tr w14:paraId="1DB459E0" w14:textId="77777777" w:rsidTr="00910CE7">
        <w:tblPrEx>
          <w:tblW w:w="0" w:type="auto"/>
          <w:tblLook w:val="01E0"/>
        </w:tblPrEx>
        <w:trPr>
          <w:cantSplit/>
        </w:trPr>
        <w:tc>
          <w:tcPr>
            <w:tcW w:w="2568" w:type="dxa"/>
            <w:vMerge/>
          </w:tcPr>
          <w:p w:rsidR="006224C2" w:rsidRPr="00295E71" w:rsidP="00C04163" w14:paraId="528C8595"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73ED747A" w14:textId="77777777">
            <w:pPr>
              <w:pStyle w:val="EMEANormal"/>
              <w:widowControl w:val="0"/>
              <w:rPr>
                <w:lang w:val="it-IT"/>
              </w:rPr>
            </w:pPr>
            <w:r w:rsidRPr="00295E71">
              <w:rPr>
                <w:lang w:val="it-IT"/>
              </w:rPr>
              <w:t>Raro</w:t>
            </w:r>
          </w:p>
        </w:tc>
        <w:tc>
          <w:tcPr>
            <w:tcW w:w="4456" w:type="dxa"/>
            <w:tcBorders>
              <w:top w:val="single" w:sz="4" w:space="0" w:color="auto"/>
              <w:bottom w:val="single" w:sz="4" w:space="0" w:color="auto"/>
            </w:tcBorders>
          </w:tcPr>
          <w:p w:rsidR="006224C2" w:rsidRPr="00295E71" w:rsidP="00C04163" w14:paraId="779A53DE" w14:textId="77777777">
            <w:pPr>
              <w:pStyle w:val="EMEANormal"/>
              <w:widowControl w:val="0"/>
              <w:rPr>
                <w:vertAlign w:val="superscript"/>
                <w:lang w:val="it-IT"/>
              </w:rPr>
            </w:pPr>
            <w:r w:rsidRPr="00295E71">
              <w:rPr>
                <w:lang w:val="it-IT"/>
              </w:rPr>
              <w:t>F</w:t>
            </w:r>
            <w:r w:rsidRPr="00295E71" w:rsidR="00226BC4">
              <w:rPr>
                <w:lang w:val="it-IT"/>
              </w:rPr>
              <w:t>ibrosi polmonare</w:t>
            </w:r>
            <w:r w:rsidRPr="00295E71" w:rsidR="00226BC4">
              <w:rPr>
                <w:vertAlign w:val="superscript"/>
                <w:lang w:val="it-IT"/>
              </w:rPr>
              <w:t>1)</w:t>
            </w:r>
          </w:p>
          <w:p w:rsidR="006224C2" w:rsidRPr="00295E71" w:rsidP="00C04163" w14:paraId="76906D0C" w14:textId="77777777">
            <w:pPr>
              <w:pStyle w:val="EMEANormal"/>
              <w:widowControl w:val="0"/>
              <w:rPr>
                <w:lang w:val="it-IT"/>
              </w:rPr>
            </w:pPr>
          </w:p>
        </w:tc>
      </w:tr>
      <w:tr w14:paraId="0A9B525F" w14:textId="77777777" w:rsidTr="00910CE7">
        <w:tblPrEx>
          <w:tblW w:w="0" w:type="auto"/>
          <w:tblLook w:val="01E0"/>
        </w:tblPrEx>
        <w:trPr>
          <w:cantSplit/>
        </w:trPr>
        <w:tc>
          <w:tcPr>
            <w:tcW w:w="2568" w:type="dxa"/>
            <w:vMerge w:val="restart"/>
          </w:tcPr>
          <w:p w:rsidR="006224C2" w:rsidRPr="00295E71" w:rsidP="00C04163" w14:paraId="2AE8AB3C" w14:textId="77777777">
            <w:pPr>
              <w:pStyle w:val="EMEANormal"/>
              <w:widowControl w:val="0"/>
              <w:spacing w:before="60"/>
              <w:rPr>
                <w:lang w:val="it-IT"/>
              </w:rPr>
            </w:pPr>
            <w:r w:rsidRPr="00295E71">
              <w:rPr>
                <w:lang w:val="it-IT"/>
              </w:rPr>
              <w:t>Patologie gastrointestinali</w:t>
            </w:r>
          </w:p>
        </w:tc>
        <w:tc>
          <w:tcPr>
            <w:tcW w:w="2036" w:type="dxa"/>
            <w:tcBorders>
              <w:bottom w:val="single" w:sz="4" w:space="0" w:color="auto"/>
            </w:tcBorders>
          </w:tcPr>
          <w:p w:rsidR="006224C2" w:rsidRPr="00295E71" w:rsidP="00C04163" w14:paraId="3AFDF3DD" w14:textId="77777777">
            <w:pPr>
              <w:pStyle w:val="EMEANormal"/>
              <w:widowControl w:val="0"/>
              <w:spacing w:before="60"/>
              <w:rPr>
                <w:lang w:val="it-IT"/>
              </w:rPr>
            </w:pPr>
            <w:r w:rsidRPr="00295E71">
              <w:rPr>
                <w:lang w:val="it-IT"/>
              </w:rPr>
              <w:t>Molto comune</w:t>
            </w:r>
          </w:p>
          <w:p w:rsidR="006224C2" w:rsidRPr="00295E71" w:rsidP="00C04163" w14:paraId="3B8141AC"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68C13BE6" w14:textId="77777777">
            <w:pPr>
              <w:pStyle w:val="EMEANormal"/>
              <w:widowControl w:val="0"/>
              <w:spacing w:before="60"/>
              <w:rPr>
                <w:lang w:val="it-IT"/>
              </w:rPr>
            </w:pPr>
            <w:r w:rsidRPr="00295E71">
              <w:rPr>
                <w:lang w:val="it-IT"/>
              </w:rPr>
              <w:t>D</w:t>
            </w:r>
            <w:r w:rsidRPr="00295E71" w:rsidR="00226BC4">
              <w:rPr>
                <w:lang w:val="it-IT"/>
              </w:rPr>
              <w:t xml:space="preserve">olore addominale, </w:t>
            </w:r>
          </w:p>
          <w:p w:rsidR="006224C2" w:rsidRPr="00295E71" w:rsidP="00C04163" w14:paraId="5823CD48" w14:textId="77777777">
            <w:pPr>
              <w:pStyle w:val="EMEANormal"/>
              <w:widowControl w:val="0"/>
              <w:spacing w:before="60"/>
              <w:rPr>
                <w:lang w:val="it-IT"/>
              </w:rPr>
            </w:pPr>
            <w:r w:rsidRPr="00295E71">
              <w:rPr>
                <w:lang w:val="it-IT"/>
              </w:rPr>
              <w:t>nausea e vomito</w:t>
            </w:r>
          </w:p>
          <w:p w:rsidR="006224C2" w:rsidRPr="00295E71" w:rsidP="00C04163" w14:paraId="70871E1E" w14:textId="77777777">
            <w:pPr>
              <w:pStyle w:val="EMEANormal"/>
              <w:widowControl w:val="0"/>
              <w:spacing w:before="60"/>
              <w:rPr>
                <w:lang w:val="it-IT"/>
              </w:rPr>
            </w:pPr>
          </w:p>
        </w:tc>
      </w:tr>
      <w:tr w14:paraId="1AEE136A" w14:textId="77777777" w:rsidTr="00910CE7">
        <w:tblPrEx>
          <w:tblW w:w="0" w:type="auto"/>
          <w:tblLook w:val="01E0"/>
        </w:tblPrEx>
        <w:trPr>
          <w:cantSplit/>
        </w:trPr>
        <w:tc>
          <w:tcPr>
            <w:tcW w:w="2568" w:type="dxa"/>
            <w:vMerge/>
          </w:tcPr>
          <w:p w:rsidR="006224C2" w:rsidRPr="00295E71" w:rsidP="00C04163" w14:paraId="03B3C887"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2320977F" w14:textId="77777777">
            <w:pPr>
              <w:pStyle w:val="EMEANormal"/>
              <w:widowControl w:val="0"/>
              <w:rPr>
                <w:lang w:val="it-IT"/>
              </w:rPr>
            </w:pPr>
            <w:r w:rsidRPr="00295E71">
              <w:rPr>
                <w:lang w:val="it-IT"/>
              </w:rPr>
              <w:t>Comune</w:t>
            </w:r>
          </w:p>
          <w:p w:rsidR="006224C2" w:rsidRPr="00295E71" w:rsidP="00C04163" w14:paraId="34609C4F"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79594CE0" w14:textId="77777777">
            <w:pPr>
              <w:pStyle w:val="EMEANormal"/>
              <w:widowControl w:val="0"/>
              <w:rPr>
                <w:lang w:val="it-IT"/>
              </w:rPr>
            </w:pPr>
            <w:r w:rsidRPr="00295E71">
              <w:rPr>
                <w:lang w:val="it-IT"/>
              </w:rPr>
              <w:t>E</w:t>
            </w:r>
            <w:r w:rsidRPr="00295E71" w:rsidR="00226BC4">
              <w:rPr>
                <w:lang w:val="it-IT"/>
              </w:rPr>
              <w:t xml:space="preserve">morragia gastrointestinale, </w:t>
            </w:r>
          </w:p>
          <w:p w:rsidR="006224C2" w:rsidRPr="00295E71" w:rsidP="00C04163" w14:paraId="71E726D5" w14:textId="77777777">
            <w:pPr>
              <w:pStyle w:val="EMEANormal"/>
              <w:widowControl w:val="0"/>
              <w:rPr>
                <w:lang w:val="it-IT"/>
              </w:rPr>
            </w:pPr>
            <w:r w:rsidRPr="00295E71">
              <w:rPr>
                <w:lang w:val="it-IT"/>
              </w:rPr>
              <w:t>dispepsia,</w:t>
            </w:r>
          </w:p>
          <w:p w:rsidR="006224C2" w:rsidRPr="00295E71" w:rsidP="00C04163" w14:paraId="4BC9A427" w14:textId="77777777">
            <w:pPr>
              <w:pStyle w:val="EMEANormal"/>
              <w:widowControl w:val="0"/>
              <w:rPr>
                <w:lang w:val="it-IT"/>
              </w:rPr>
            </w:pPr>
            <w:r w:rsidRPr="00295E71">
              <w:rPr>
                <w:lang w:val="it-IT"/>
              </w:rPr>
              <w:t>malattia da reflusso gastroesofageo,</w:t>
            </w:r>
          </w:p>
          <w:p w:rsidR="006224C2" w:rsidRPr="00295E71" w:rsidP="00C04163" w14:paraId="11AB3FDE" w14:textId="77777777">
            <w:pPr>
              <w:pStyle w:val="EMEANormal"/>
              <w:widowControl w:val="0"/>
              <w:rPr>
                <w:lang w:val="it-IT"/>
              </w:rPr>
            </w:pPr>
            <w:r w:rsidRPr="00295E71">
              <w:rPr>
                <w:lang w:val="it-IT"/>
              </w:rPr>
              <w:t>sindrome sicca</w:t>
            </w:r>
          </w:p>
          <w:p w:rsidR="006224C2" w:rsidRPr="00295E71" w:rsidP="00C04163" w14:paraId="71BDD700" w14:textId="77777777">
            <w:pPr>
              <w:pStyle w:val="EMEANormal"/>
              <w:widowControl w:val="0"/>
              <w:rPr>
                <w:lang w:val="it-IT"/>
              </w:rPr>
            </w:pPr>
          </w:p>
        </w:tc>
      </w:tr>
      <w:tr w14:paraId="6B29D1D1" w14:textId="77777777" w:rsidTr="00910CE7">
        <w:tblPrEx>
          <w:tblW w:w="0" w:type="auto"/>
          <w:tblLook w:val="01E0"/>
        </w:tblPrEx>
        <w:trPr>
          <w:cantSplit/>
        </w:trPr>
        <w:tc>
          <w:tcPr>
            <w:tcW w:w="2568" w:type="dxa"/>
            <w:vMerge/>
          </w:tcPr>
          <w:p w:rsidR="006224C2" w:rsidRPr="00295E71" w:rsidP="00C04163" w14:paraId="3A6B7917"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481127F2" w14:textId="77777777">
            <w:pPr>
              <w:pStyle w:val="EMEANormal"/>
              <w:widowControl w:val="0"/>
              <w:rPr>
                <w:lang w:val="it-IT"/>
              </w:rPr>
            </w:pPr>
            <w:r w:rsidRPr="00295E71">
              <w:rPr>
                <w:lang w:val="it-IT"/>
              </w:rPr>
              <w:t>Non comune</w:t>
            </w:r>
          </w:p>
          <w:p w:rsidR="006224C2" w:rsidRPr="00295E71" w:rsidP="00C04163" w14:paraId="5536386B"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1C1F41FB" w14:textId="77777777">
            <w:pPr>
              <w:pStyle w:val="EMEANormal"/>
              <w:widowControl w:val="0"/>
              <w:rPr>
                <w:lang w:val="it-IT"/>
              </w:rPr>
            </w:pPr>
            <w:r w:rsidRPr="00295E71">
              <w:rPr>
                <w:lang w:val="it-IT"/>
              </w:rPr>
              <w:t>P</w:t>
            </w:r>
            <w:r w:rsidRPr="00295E71" w:rsidR="00226BC4">
              <w:rPr>
                <w:lang w:val="it-IT"/>
              </w:rPr>
              <w:t xml:space="preserve">ancreatite, </w:t>
            </w:r>
          </w:p>
          <w:p w:rsidR="006224C2" w:rsidRPr="00295E71" w:rsidP="00C04163" w14:paraId="7632FD3E" w14:textId="77777777">
            <w:pPr>
              <w:pStyle w:val="EMEANormal"/>
              <w:widowControl w:val="0"/>
              <w:rPr>
                <w:lang w:val="it-IT"/>
              </w:rPr>
            </w:pPr>
            <w:r w:rsidRPr="00295E71">
              <w:rPr>
                <w:lang w:val="it-IT"/>
              </w:rPr>
              <w:t>disfagia</w:t>
            </w:r>
          </w:p>
          <w:p w:rsidR="006224C2" w:rsidRPr="00295E71" w:rsidP="00C04163" w14:paraId="1D2A232B" w14:textId="77777777">
            <w:pPr>
              <w:pStyle w:val="EMEANormal"/>
              <w:widowControl w:val="0"/>
              <w:rPr>
                <w:lang w:val="it-IT"/>
              </w:rPr>
            </w:pPr>
            <w:r w:rsidRPr="00295E71">
              <w:rPr>
                <w:lang w:val="it-IT"/>
              </w:rPr>
              <w:t>edema facciale</w:t>
            </w:r>
          </w:p>
          <w:p w:rsidR="006224C2" w:rsidRPr="00295E71" w:rsidP="00C04163" w14:paraId="7493F4F8" w14:textId="77777777">
            <w:pPr>
              <w:pStyle w:val="EMEANormal"/>
              <w:widowControl w:val="0"/>
              <w:rPr>
                <w:lang w:val="it-IT"/>
              </w:rPr>
            </w:pPr>
          </w:p>
        </w:tc>
      </w:tr>
      <w:tr w14:paraId="2591C8A7" w14:textId="77777777" w:rsidTr="00910CE7">
        <w:tblPrEx>
          <w:tblW w:w="0" w:type="auto"/>
          <w:tblLook w:val="01E0"/>
        </w:tblPrEx>
        <w:trPr>
          <w:cantSplit/>
        </w:trPr>
        <w:tc>
          <w:tcPr>
            <w:tcW w:w="2568" w:type="dxa"/>
            <w:vMerge/>
          </w:tcPr>
          <w:p w:rsidR="006224C2" w:rsidRPr="00295E71" w:rsidP="00C04163" w14:paraId="3E63255A"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7C9CD338" w14:textId="77777777">
            <w:pPr>
              <w:pStyle w:val="EMEANormal"/>
              <w:widowControl w:val="0"/>
              <w:rPr>
                <w:lang w:val="it-IT"/>
              </w:rPr>
            </w:pPr>
            <w:r w:rsidRPr="00295E71">
              <w:rPr>
                <w:lang w:val="it-IT"/>
              </w:rPr>
              <w:t>Raro</w:t>
            </w:r>
          </w:p>
        </w:tc>
        <w:tc>
          <w:tcPr>
            <w:tcW w:w="4456" w:type="dxa"/>
            <w:tcBorders>
              <w:top w:val="single" w:sz="4" w:space="0" w:color="auto"/>
              <w:bottom w:val="single" w:sz="4" w:space="0" w:color="auto"/>
            </w:tcBorders>
          </w:tcPr>
          <w:p w:rsidR="006224C2" w:rsidRPr="00295E71" w:rsidP="00C04163" w14:paraId="27601045" w14:textId="77777777">
            <w:pPr>
              <w:pStyle w:val="EMEANormal"/>
              <w:widowControl w:val="0"/>
              <w:rPr>
                <w:vertAlign w:val="superscript"/>
                <w:lang w:val="it-IT"/>
              </w:rPr>
            </w:pPr>
            <w:r w:rsidRPr="00295E71">
              <w:rPr>
                <w:lang w:val="it-IT"/>
              </w:rPr>
              <w:t>P</w:t>
            </w:r>
            <w:r w:rsidRPr="00295E71" w:rsidR="00226BC4">
              <w:rPr>
                <w:lang w:val="it-IT"/>
              </w:rPr>
              <w:t>erforazione intestinale</w:t>
            </w:r>
            <w:r w:rsidRPr="00295E71" w:rsidR="00226BC4">
              <w:rPr>
                <w:vertAlign w:val="superscript"/>
                <w:lang w:val="it-IT"/>
              </w:rPr>
              <w:t>1)</w:t>
            </w:r>
          </w:p>
          <w:p w:rsidR="006224C2" w:rsidRPr="00295E71" w:rsidP="00C04163" w14:paraId="2B5CE389" w14:textId="77777777">
            <w:pPr>
              <w:pStyle w:val="EMEANormal"/>
              <w:widowControl w:val="0"/>
              <w:rPr>
                <w:lang w:val="it-IT"/>
              </w:rPr>
            </w:pPr>
          </w:p>
        </w:tc>
      </w:tr>
      <w:tr w14:paraId="47D80EA8" w14:textId="77777777" w:rsidTr="00910CE7">
        <w:tblPrEx>
          <w:tblW w:w="0" w:type="auto"/>
          <w:tblLook w:val="01E0"/>
        </w:tblPrEx>
        <w:trPr>
          <w:cantSplit/>
        </w:trPr>
        <w:tc>
          <w:tcPr>
            <w:tcW w:w="2568" w:type="dxa"/>
            <w:vMerge w:val="restart"/>
          </w:tcPr>
          <w:p w:rsidR="006224C2" w:rsidRPr="00295E71" w:rsidP="00C04163" w14:paraId="64CB65E3" w14:textId="77777777">
            <w:pPr>
              <w:pStyle w:val="EMEANormal"/>
              <w:widowControl w:val="0"/>
              <w:spacing w:before="60"/>
              <w:rPr>
                <w:lang w:val="it-IT"/>
              </w:rPr>
            </w:pPr>
            <w:r w:rsidRPr="00295E71">
              <w:rPr>
                <w:lang w:val="it-IT"/>
              </w:rPr>
              <w:t>Patologie epatobiliari*</w:t>
            </w:r>
          </w:p>
        </w:tc>
        <w:tc>
          <w:tcPr>
            <w:tcW w:w="2036" w:type="dxa"/>
            <w:tcBorders>
              <w:bottom w:val="single" w:sz="4" w:space="0" w:color="auto"/>
            </w:tcBorders>
          </w:tcPr>
          <w:p w:rsidR="006224C2" w:rsidRPr="00295E71" w:rsidP="00C04163" w14:paraId="6A10B0A5" w14:textId="77777777">
            <w:pPr>
              <w:pStyle w:val="EMEANormal"/>
              <w:widowControl w:val="0"/>
              <w:spacing w:before="60"/>
              <w:rPr>
                <w:lang w:val="it-IT"/>
              </w:rPr>
            </w:pPr>
            <w:r w:rsidRPr="00295E71">
              <w:rPr>
                <w:lang w:val="it-IT"/>
              </w:rPr>
              <w:t>Molto comune</w:t>
            </w:r>
          </w:p>
          <w:p w:rsidR="006224C2" w:rsidRPr="00295E71" w:rsidP="00C04163" w14:paraId="1D559B76"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7839B875" w14:textId="77777777">
            <w:pPr>
              <w:pStyle w:val="EMEANormal"/>
              <w:widowControl w:val="0"/>
              <w:spacing w:before="60"/>
              <w:rPr>
                <w:lang w:val="it-IT"/>
              </w:rPr>
            </w:pPr>
            <w:r w:rsidRPr="00295E71">
              <w:rPr>
                <w:lang w:val="it-IT"/>
              </w:rPr>
              <w:t>A</w:t>
            </w:r>
            <w:r w:rsidRPr="00295E71" w:rsidR="00226BC4">
              <w:rPr>
                <w:lang w:val="it-IT"/>
              </w:rPr>
              <w:t>umento degli enzimi epatici</w:t>
            </w:r>
          </w:p>
          <w:p w:rsidR="006224C2" w:rsidRPr="00295E71" w:rsidP="00C04163" w14:paraId="5966625A" w14:textId="77777777">
            <w:pPr>
              <w:pStyle w:val="EMEANormal"/>
              <w:widowControl w:val="0"/>
              <w:spacing w:before="60"/>
              <w:rPr>
                <w:lang w:val="it-IT"/>
              </w:rPr>
            </w:pPr>
          </w:p>
        </w:tc>
      </w:tr>
      <w:tr w14:paraId="7C975B35" w14:textId="77777777" w:rsidTr="00910CE7">
        <w:tblPrEx>
          <w:tblW w:w="0" w:type="auto"/>
          <w:tblLook w:val="01E0"/>
        </w:tblPrEx>
        <w:trPr>
          <w:cantSplit/>
        </w:trPr>
        <w:tc>
          <w:tcPr>
            <w:tcW w:w="2568" w:type="dxa"/>
            <w:vMerge/>
          </w:tcPr>
          <w:p w:rsidR="006224C2" w:rsidRPr="00295E71" w:rsidP="00C04163" w14:paraId="46B71574" w14:textId="77777777">
            <w:pPr>
              <w:pStyle w:val="EMEANormal"/>
              <w:widowControl w:val="0"/>
              <w:spacing w:before="60"/>
              <w:rPr>
                <w:lang w:val="it-IT"/>
              </w:rPr>
            </w:pPr>
          </w:p>
        </w:tc>
        <w:tc>
          <w:tcPr>
            <w:tcW w:w="2036" w:type="dxa"/>
            <w:tcBorders>
              <w:top w:val="single" w:sz="4" w:space="0" w:color="auto"/>
              <w:bottom w:val="single" w:sz="4" w:space="0" w:color="auto"/>
            </w:tcBorders>
          </w:tcPr>
          <w:p w:rsidR="006224C2" w:rsidRPr="00295E71" w:rsidP="00C04163" w14:paraId="78BED57C" w14:textId="77777777">
            <w:pPr>
              <w:pStyle w:val="EMEANormal"/>
              <w:widowControl w:val="0"/>
              <w:rPr>
                <w:lang w:val="it-IT"/>
              </w:rPr>
            </w:pPr>
            <w:r w:rsidRPr="00295E71">
              <w:rPr>
                <w:lang w:val="it-IT"/>
              </w:rPr>
              <w:t>Non comune</w:t>
            </w:r>
          </w:p>
          <w:p w:rsidR="006224C2" w:rsidRPr="00295E71" w:rsidP="00C04163" w14:paraId="4C10E7CA"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3F990008" w14:textId="77777777">
            <w:pPr>
              <w:pStyle w:val="EMEANormal"/>
              <w:widowControl w:val="0"/>
              <w:rPr>
                <w:lang w:val="it-IT"/>
              </w:rPr>
            </w:pPr>
            <w:r w:rsidRPr="00295E71">
              <w:rPr>
                <w:lang w:val="it-IT"/>
              </w:rPr>
              <w:t>C</w:t>
            </w:r>
            <w:r w:rsidRPr="00295E71" w:rsidR="00226BC4">
              <w:rPr>
                <w:lang w:val="it-IT"/>
              </w:rPr>
              <w:t xml:space="preserve">olecistite e colelitiasi, </w:t>
            </w:r>
          </w:p>
          <w:p w:rsidR="006224C2" w:rsidRPr="00295E71" w:rsidP="00C04163" w14:paraId="6BA30FF7" w14:textId="77777777">
            <w:pPr>
              <w:pStyle w:val="EMEANormal"/>
              <w:widowControl w:val="0"/>
              <w:rPr>
                <w:lang w:val="it-IT"/>
              </w:rPr>
            </w:pPr>
            <w:r w:rsidRPr="00295E71">
              <w:rPr>
                <w:lang w:val="it-IT"/>
              </w:rPr>
              <w:t>steatosi epatica,</w:t>
            </w:r>
            <w:r w:rsidR="00660603">
              <w:rPr>
                <w:lang w:val="it-IT"/>
              </w:rPr>
              <w:t xml:space="preserve"> </w:t>
            </w:r>
            <w:r w:rsidRPr="00295E71">
              <w:rPr>
                <w:lang w:val="it-IT"/>
              </w:rPr>
              <w:t>aumento della bilirubina,</w:t>
            </w:r>
          </w:p>
          <w:p w:rsidR="006224C2" w:rsidRPr="00295E71" w:rsidP="00C04163" w14:paraId="69A8677F" w14:textId="77777777">
            <w:pPr>
              <w:pStyle w:val="EMEANormal"/>
              <w:widowControl w:val="0"/>
              <w:rPr>
                <w:lang w:val="it-IT"/>
              </w:rPr>
            </w:pPr>
          </w:p>
        </w:tc>
      </w:tr>
      <w:tr w14:paraId="7FBCFB4D" w14:textId="77777777" w:rsidTr="00910CE7">
        <w:tblPrEx>
          <w:tblW w:w="0" w:type="auto"/>
          <w:tblLook w:val="01E0"/>
        </w:tblPrEx>
        <w:trPr>
          <w:cantSplit/>
        </w:trPr>
        <w:tc>
          <w:tcPr>
            <w:tcW w:w="2568" w:type="dxa"/>
            <w:vMerge/>
          </w:tcPr>
          <w:p w:rsidR="006224C2" w:rsidRPr="00295E71" w:rsidP="00C04163" w14:paraId="55930BEB" w14:textId="77777777">
            <w:pPr>
              <w:pStyle w:val="EMEANormal"/>
              <w:widowControl w:val="0"/>
              <w:spacing w:before="60"/>
              <w:rPr>
                <w:lang w:val="it-IT"/>
              </w:rPr>
            </w:pPr>
          </w:p>
        </w:tc>
        <w:tc>
          <w:tcPr>
            <w:tcW w:w="2036" w:type="dxa"/>
            <w:tcBorders>
              <w:top w:val="single" w:sz="4" w:space="0" w:color="auto"/>
              <w:bottom w:val="single" w:sz="4" w:space="0" w:color="auto"/>
            </w:tcBorders>
          </w:tcPr>
          <w:p w:rsidR="006224C2" w:rsidRPr="00295E71" w:rsidP="00C04163" w14:paraId="053D2665" w14:textId="77777777">
            <w:pPr>
              <w:pStyle w:val="EMEANormal"/>
              <w:widowControl w:val="0"/>
              <w:rPr>
                <w:lang w:val="it-IT"/>
              </w:rPr>
            </w:pPr>
            <w:r w:rsidRPr="00295E71">
              <w:rPr>
                <w:lang w:val="it-IT"/>
              </w:rPr>
              <w:t>Raro</w:t>
            </w:r>
          </w:p>
        </w:tc>
        <w:tc>
          <w:tcPr>
            <w:tcW w:w="4456" w:type="dxa"/>
            <w:tcBorders>
              <w:top w:val="single" w:sz="4" w:space="0" w:color="auto"/>
              <w:bottom w:val="single" w:sz="4" w:space="0" w:color="auto"/>
            </w:tcBorders>
          </w:tcPr>
          <w:p w:rsidR="006224C2" w:rsidRPr="00295E71" w:rsidP="00C04163" w14:paraId="15F69303" w14:textId="77777777">
            <w:pPr>
              <w:pStyle w:val="EMEANormal"/>
              <w:widowControl w:val="0"/>
              <w:rPr>
                <w:lang w:val="it-IT"/>
              </w:rPr>
            </w:pPr>
            <w:r w:rsidRPr="00295E71">
              <w:rPr>
                <w:lang w:val="it-IT"/>
              </w:rPr>
              <w:t>E</w:t>
            </w:r>
            <w:r w:rsidRPr="00295E71" w:rsidR="00226BC4">
              <w:rPr>
                <w:lang w:val="it-IT"/>
              </w:rPr>
              <w:t>patite</w:t>
            </w:r>
          </w:p>
          <w:p w:rsidR="006224C2" w:rsidRPr="00295E71" w:rsidP="00C04163" w14:paraId="2F7294E9" w14:textId="77777777">
            <w:pPr>
              <w:pStyle w:val="EMEANormal"/>
              <w:widowControl w:val="0"/>
              <w:rPr>
                <w:vertAlign w:val="superscript"/>
                <w:lang w:val="it-IT"/>
              </w:rPr>
            </w:pPr>
            <w:r w:rsidRPr="00295E71">
              <w:rPr>
                <w:lang w:val="it-IT"/>
              </w:rPr>
              <w:t>R</w:t>
            </w:r>
            <w:r w:rsidRPr="00295E71" w:rsidR="00226BC4">
              <w:rPr>
                <w:lang w:val="it-IT"/>
              </w:rPr>
              <w:t>iattivazione</w:t>
            </w:r>
            <w:r>
              <w:rPr>
                <w:lang w:val="it-IT"/>
              </w:rPr>
              <w:t xml:space="preserve"> dell’</w:t>
            </w:r>
            <w:r w:rsidRPr="00295E71" w:rsidR="00226BC4">
              <w:rPr>
                <w:lang w:val="it-IT"/>
              </w:rPr>
              <w:t xml:space="preserve">epatite B </w:t>
            </w:r>
            <w:r w:rsidRPr="00295E71" w:rsidR="00226BC4">
              <w:rPr>
                <w:vertAlign w:val="superscript"/>
                <w:lang w:val="it-IT"/>
              </w:rPr>
              <w:t>1)</w:t>
            </w:r>
            <w:r w:rsidRPr="00295E71" w:rsidR="00226BC4">
              <w:rPr>
                <w:lang w:val="it-IT"/>
              </w:rPr>
              <w:t>,</w:t>
            </w:r>
          </w:p>
          <w:p w:rsidR="006224C2" w:rsidRPr="00295E71" w:rsidP="00C04163" w14:paraId="59C778AC" w14:textId="77777777">
            <w:pPr>
              <w:pStyle w:val="EMEANormal"/>
              <w:widowControl w:val="0"/>
              <w:rPr>
                <w:vertAlign w:val="superscript"/>
                <w:lang w:val="it-IT"/>
              </w:rPr>
            </w:pPr>
            <w:r w:rsidRPr="00295E71">
              <w:rPr>
                <w:lang w:val="it-IT"/>
              </w:rPr>
              <w:t xml:space="preserve">epatite autoimmune </w:t>
            </w:r>
            <w:r w:rsidRPr="00295E71">
              <w:rPr>
                <w:vertAlign w:val="superscript"/>
                <w:lang w:val="it-IT"/>
              </w:rPr>
              <w:t>1)</w:t>
            </w:r>
          </w:p>
          <w:p w:rsidR="006224C2" w:rsidRPr="00295E71" w:rsidP="00C04163" w14:paraId="546D4A01" w14:textId="77777777">
            <w:pPr>
              <w:pStyle w:val="EMEANormal"/>
              <w:widowControl w:val="0"/>
              <w:rPr>
                <w:lang w:val="it-IT"/>
              </w:rPr>
            </w:pPr>
          </w:p>
        </w:tc>
      </w:tr>
      <w:tr w14:paraId="09CD6D02" w14:textId="77777777" w:rsidTr="00910CE7">
        <w:tblPrEx>
          <w:tblW w:w="0" w:type="auto"/>
          <w:tblLook w:val="01E0"/>
        </w:tblPrEx>
        <w:trPr>
          <w:cantSplit/>
        </w:trPr>
        <w:tc>
          <w:tcPr>
            <w:tcW w:w="2568" w:type="dxa"/>
            <w:vMerge/>
            <w:tcBorders>
              <w:bottom w:val="single" w:sz="4" w:space="0" w:color="auto"/>
            </w:tcBorders>
          </w:tcPr>
          <w:p w:rsidR="006224C2" w:rsidRPr="00295E71" w:rsidP="00C04163" w14:paraId="1001AB3E" w14:textId="77777777">
            <w:pPr>
              <w:pStyle w:val="EMEANormal"/>
              <w:widowControl w:val="0"/>
              <w:spacing w:before="60"/>
              <w:rPr>
                <w:lang w:val="it-IT"/>
              </w:rPr>
            </w:pPr>
          </w:p>
        </w:tc>
        <w:tc>
          <w:tcPr>
            <w:tcW w:w="2036" w:type="dxa"/>
            <w:tcBorders>
              <w:top w:val="single" w:sz="4" w:space="0" w:color="auto"/>
              <w:bottom w:val="single" w:sz="4" w:space="0" w:color="auto"/>
            </w:tcBorders>
          </w:tcPr>
          <w:p w:rsidR="006224C2" w:rsidRPr="00295E71" w:rsidP="00C04163" w14:paraId="2B131D27" w14:textId="77777777">
            <w:pPr>
              <w:pStyle w:val="EMEANormal"/>
              <w:widowControl w:val="0"/>
              <w:spacing w:before="60"/>
              <w:rPr>
                <w:lang w:val="it-IT"/>
              </w:rPr>
            </w:pPr>
            <w:r w:rsidRPr="00295E71">
              <w:rPr>
                <w:lang w:val="it-IT"/>
              </w:rPr>
              <w:t>Non not</w:t>
            </w:r>
            <w:r w:rsidR="00660603">
              <w:rPr>
                <w:lang w:val="it-IT"/>
              </w:rPr>
              <w:t>a</w:t>
            </w:r>
          </w:p>
        </w:tc>
        <w:tc>
          <w:tcPr>
            <w:tcW w:w="4456" w:type="dxa"/>
            <w:tcBorders>
              <w:top w:val="single" w:sz="4" w:space="0" w:color="auto"/>
              <w:bottom w:val="single" w:sz="4" w:space="0" w:color="auto"/>
            </w:tcBorders>
          </w:tcPr>
          <w:p w:rsidR="006224C2" w:rsidRPr="00295E71" w:rsidP="00C04163" w14:paraId="17521A6A" w14:textId="77777777">
            <w:pPr>
              <w:pStyle w:val="EMEANormal"/>
              <w:widowControl w:val="0"/>
              <w:spacing w:before="60"/>
              <w:rPr>
                <w:lang w:val="it-IT"/>
              </w:rPr>
            </w:pPr>
            <w:r w:rsidRPr="00295E71">
              <w:rPr>
                <w:lang w:val="it-IT"/>
              </w:rPr>
              <w:t>I</w:t>
            </w:r>
            <w:r w:rsidRPr="00295E71" w:rsidR="00226BC4">
              <w:rPr>
                <w:lang w:val="it-IT"/>
              </w:rPr>
              <w:t xml:space="preserve">nsufficienza epatica </w:t>
            </w:r>
            <w:r w:rsidRPr="00295E71" w:rsidR="00226BC4">
              <w:rPr>
                <w:vertAlign w:val="superscript"/>
                <w:lang w:val="it-IT"/>
              </w:rPr>
              <w:t>1)</w:t>
            </w:r>
          </w:p>
          <w:p w:rsidR="006224C2" w:rsidRPr="00295E71" w:rsidP="00C04163" w14:paraId="43CC25A8" w14:textId="77777777">
            <w:pPr>
              <w:pStyle w:val="EMEANormal"/>
              <w:widowControl w:val="0"/>
              <w:spacing w:before="60"/>
              <w:rPr>
                <w:lang w:val="it-IT"/>
              </w:rPr>
            </w:pPr>
          </w:p>
        </w:tc>
      </w:tr>
      <w:tr w14:paraId="5668D65E" w14:textId="77777777" w:rsidTr="00910CE7">
        <w:tblPrEx>
          <w:tblW w:w="0" w:type="auto"/>
          <w:tblLook w:val="01E0"/>
        </w:tblPrEx>
        <w:trPr>
          <w:cantSplit/>
        </w:trPr>
        <w:tc>
          <w:tcPr>
            <w:tcW w:w="2568" w:type="dxa"/>
            <w:vMerge w:val="restart"/>
            <w:tcBorders>
              <w:bottom w:val="single" w:sz="4" w:space="0" w:color="auto"/>
            </w:tcBorders>
          </w:tcPr>
          <w:p w:rsidR="006224C2" w:rsidRPr="00295E71" w:rsidP="00C04163" w14:paraId="28DBAA70" w14:textId="77777777">
            <w:pPr>
              <w:pStyle w:val="EMEANormal"/>
              <w:widowControl w:val="0"/>
              <w:spacing w:before="60"/>
              <w:rPr>
                <w:lang w:val="it-IT"/>
              </w:rPr>
            </w:pPr>
            <w:r w:rsidRPr="00295E71">
              <w:rPr>
                <w:lang w:val="it-IT"/>
              </w:rPr>
              <w:t>Patologie della cute e del tessuto sottocutaneo</w:t>
            </w:r>
          </w:p>
        </w:tc>
        <w:tc>
          <w:tcPr>
            <w:tcW w:w="2036" w:type="dxa"/>
            <w:tcBorders>
              <w:bottom w:val="single" w:sz="4" w:space="0" w:color="auto"/>
            </w:tcBorders>
          </w:tcPr>
          <w:p w:rsidR="006224C2" w:rsidRPr="00295E71" w:rsidP="00C04163" w14:paraId="0E2653D2" w14:textId="77777777">
            <w:pPr>
              <w:pStyle w:val="EMEANormal"/>
              <w:widowControl w:val="0"/>
              <w:spacing w:before="60"/>
              <w:rPr>
                <w:lang w:val="it-IT"/>
              </w:rPr>
            </w:pPr>
            <w:r w:rsidRPr="00295E71">
              <w:rPr>
                <w:lang w:val="it-IT"/>
              </w:rPr>
              <w:t>Molto comune</w:t>
            </w:r>
          </w:p>
          <w:p w:rsidR="006224C2" w:rsidRPr="00295E71" w:rsidP="00C04163" w14:paraId="6F6A5D8D"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5E93E840" w14:textId="77777777">
            <w:pPr>
              <w:pStyle w:val="EMEANormal"/>
              <w:widowControl w:val="0"/>
              <w:spacing w:before="60"/>
              <w:rPr>
                <w:lang w:val="it-IT"/>
              </w:rPr>
            </w:pPr>
            <w:r w:rsidRPr="00295E71">
              <w:rPr>
                <w:lang w:val="it-IT"/>
              </w:rPr>
              <w:t>R</w:t>
            </w:r>
            <w:r w:rsidRPr="00295E71" w:rsidR="00226BC4">
              <w:rPr>
                <w:lang w:val="it-IT"/>
              </w:rPr>
              <w:t>ash (tra cui rash esfoliativo),</w:t>
            </w:r>
          </w:p>
          <w:p w:rsidR="006224C2" w:rsidRPr="00295E71" w:rsidP="00C04163" w14:paraId="6B41CD2B" w14:textId="77777777">
            <w:pPr>
              <w:pStyle w:val="EMEANormal"/>
              <w:widowControl w:val="0"/>
              <w:spacing w:before="60"/>
              <w:rPr>
                <w:lang w:val="it-IT"/>
              </w:rPr>
            </w:pPr>
          </w:p>
        </w:tc>
      </w:tr>
      <w:tr w14:paraId="0A9B2768" w14:textId="77777777" w:rsidTr="00910CE7">
        <w:tblPrEx>
          <w:tblW w:w="0" w:type="auto"/>
          <w:tblLook w:val="01E0"/>
        </w:tblPrEx>
        <w:trPr>
          <w:cantSplit/>
        </w:trPr>
        <w:tc>
          <w:tcPr>
            <w:tcW w:w="2568" w:type="dxa"/>
            <w:vMerge/>
            <w:tcBorders>
              <w:top w:val="single" w:sz="4" w:space="0" w:color="auto"/>
            </w:tcBorders>
          </w:tcPr>
          <w:p w:rsidR="006224C2" w:rsidRPr="00295E71" w:rsidP="00C04163" w14:paraId="0EF4B5C9"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5CEE8721" w14:textId="77777777">
            <w:pPr>
              <w:pStyle w:val="EMEANormal"/>
              <w:widowControl w:val="0"/>
              <w:rPr>
                <w:lang w:val="it-IT"/>
              </w:rPr>
            </w:pPr>
            <w:r w:rsidRPr="00295E71">
              <w:rPr>
                <w:lang w:val="it-IT"/>
              </w:rPr>
              <w:t>Comune</w:t>
            </w:r>
          </w:p>
          <w:p w:rsidR="006224C2" w:rsidRPr="00295E71" w:rsidP="00C04163" w14:paraId="45C2F626"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6369DEA1" w14:textId="77777777">
            <w:pPr>
              <w:pStyle w:val="EMEANormal"/>
              <w:widowControl w:val="0"/>
              <w:rPr>
                <w:lang w:val="it-IT"/>
              </w:rPr>
            </w:pPr>
            <w:r w:rsidRPr="00295E71">
              <w:rPr>
                <w:lang w:val="it-IT"/>
              </w:rPr>
              <w:t>P</w:t>
            </w:r>
            <w:r w:rsidRPr="00295E71" w:rsidR="00226BC4">
              <w:rPr>
                <w:lang w:val="it-IT"/>
              </w:rPr>
              <w:t>eggioramento o insorgenza di psoriasi (tra cui psoriasi pustol</w:t>
            </w:r>
            <w:r w:rsidR="00660603">
              <w:rPr>
                <w:lang w:val="it-IT"/>
              </w:rPr>
              <w:t>osa</w:t>
            </w:r>
            <w:r w:rsidRPr="00295E71" w:rsidR="00226BC4">
              <w:rPr>
                <w:lang w:val="it-IT"/>
              </w:rPr>
              <w:t xml:space="preserve"> palmoplantare)</w:t>
            </w:r>
            <w:r w:rsidRPr="00295E71" w:rsidR="00226BC4">
              <w:rPr>
                <w:vertAlign w:val="superscript"/>
                <w:lang w:val="it-IT"/>
              </w:rPr>
              <w:t xml:space="preserve"> 1)</w:t>
            </w:r>
            <w:r w:rsidRPr="00295E71" w:rsidR="00226BC4">
              <w:rPr>
                <w:lang w:val="it-IT"/>
              </w:rPr>
              <w:t>,</w:t>
            </w:r>
          </w:p>
          <w:p w:rsidR="006224C2" w:rsidRPr="00295E71" w:rsidP="00C04163" w14:paraId="6F8EA39F" w14:textId="77777777">
            <w:pPr>
              <w:pStyle w:val="EMEANormal"/>
              <w:widowControl w:val="0"/>
              <w:rPr>
                <w:lang w:val="it-IT"/>
              </w:rPr>
            </w:pPr>
            <w:r w:rsidRPr="00295E71">
              <w:rPr>
                <w:lang w:val="it-IT"/>
              </w:rPr>
              <w:t>orticaria,</w:t>
            </w:r>
          </w:p>
          <w:p w:rsidR="006224C2" w:rsidRPr="00295E71" w:rsidP="00C04163" w14:paraId="4E28027F" w14:textId="77777777">
            <w:pPr>
              <w:pStyle w:val="EMEANormal"/>
              <w:widowControl w:val="0"/>
              <w:rPr>
                <w:lang w:val="it-IT"/>
              </w:rPr>
            </w:pPr>
            <w:r w:rsidRPr="00295E71">
              <w:rPr>
                <w:lang w:val="it-IT"/>
              </w:rPr>
              <w:t xml:space="preserve">ecchimosi (tra cui porpora), </w:t>
            </w:r>
          </w:p>
          <w:p w:rsidR="006224C2" w:rsidRPr="00295E71" w:rsidP="00C04163" w14:paraId="6FF4A62A" w14:textId="77777777">
            <w:pPr>
              <w:pStyle w:val="EMEANormal"/>
              <w:widowControl w:val="0"/>
              <w:rPr>
                <w:lang w:val="it-IT"/>
              </w:rPr>
            </w:pPr>
            <w:r w:rsidRPr="00295E71">
              <w:rPr>
                <w:lang w:val="it-IT"/>
              </w:rPr>
              <w:t>dermatite (tra cui eczema),</w:t>
            </w:r>
          </w:p>
          <w:p w:rsidR="006224C2" w:rsidRPr="00295E71" w:rsidP="00C04163" w14:paraId="179785E8" w14:textId="77777777">
            <w:pPr>
              <w:pStyle w:val="EMEANormal"/>
              <w:widowControl w:val="0"/>
              <w:rPr>
                <w:lang w:val="it-IT"/>
              </w:rPr>
            </w:pPr>
            <w:r w:rsidRPr="00295E71">
              <w:rPr>
                <w:lang w:val="it-IT"/>
              </w:rPr>
              <w:t xml:space="preserve">onicoclasia, </w:t>
            </w:r>
          </w:p>
          <w:p w:rsidR="006224C2" w:rsidRPr="00295E71" w:rsidP="00C04163" w14:paraId="2AF8D772" w14:textId="77777777">
            <w:pPr>
              <w:pStyle w:val="EMEANormal"/>
              <w:widowControl w:val="0"/>
              <w:rPr>
                <w:lang w:val="it-IT"/>
              </w:rPr>
            </w:pPr>
            <w:r w:rsidRPr="00295E71">
              <w:rPr>
                <w:lang w:val="it-IT"/>
              </w:rPr>
              <w:t>iperidrosi,</w:t>
            </w:r>
          </w:p>
          <w:p w:rsidR="006224C2" w:rsidRPr="00295E71" w:rsidP="00C04163" w14:paraId="276DF2CD" w14:textId="77777777">
            <w:pPr>
              <w:pStyle w:val="EMEANormal"/>
              <w:widowControl w:val="0"/>
              <w:rPr>
                <w:lang w:val="it-IT"/>
              </w:rPr>
            </w:pPr>
            <w:r w:rsidRPr="00295E71">
              <w:rPr>
                <w:lang w:val="it-IT"/>
              </w:rPr>
              <w:t>alopecia</w:t>
            </w:r>
            <w:r w:rsidRPr="00295E71">
              <w:rPr>
                <w:vertAlign w:val="superscript"/>
                <w:lang w:val="it-IT"/>
              </w:rPr>
              <w:t>1)</w:t>
            </w:r>
            <w:r w:rsidRPr="00295E71">
              <w:rPr>
                <w:lang w:val="it-IT"/>
              </w:rPr>
              <w:t>,</w:t>
            </w:r>
          </w:p>
          <w:p w:rsidR="006224C2" w:rsidRPr="00295E71" w:rsidP="00C04163" w14:paraId="400879C4" w14:textId="77777777">
            <w:pPr>
              <w:pStyle w:val="EMEANormal"/>
              <w:widowControl w:val="0"/>
              <w:rPr>
                <w:lang w:val="it-IT"/>
              </w:rPr>
            </w:pPr>
            <w:r w:rsidRPr="00295E71">
              <w:rPr>
                <w:lang w:val="it-IT"/>
              </w:rPr>
              <w:t>prurito</w:t>
            </w:r>
          </w:p>
          <w:p w:rsidR="006224C2" w:rsidRPr="00295E71" w:rsidP="00C04163" w14:paraId="20341F22" w14:textId="77777777">
            <w:pPr>
              <w:pStyle w:val="EMEANormal"/>
              <w:widowControl w:val="0"/>
              <w:rPr>
                <w:lang w:val="it-IT"/>
              </w:rPr>
            </w:pPr>
          </w:p>
        </w:tc>
      </w:tr>
      <w:tr w14:paraId="22F236F2" w14:textId="77777777" w:rsidTr="00910CE7">
        <w:tblPrEx>
          <w:tblW w:w="0" w:type="auto"/>
          <w:tblLook w:val="01E0"/>
        </w:tblPrEx>
        <w:trPr>
          <w:cantSplit/>
        </w:trPr>
        <w:tc>
          <w:tcPr>
            <w:tcW w:w="2568" w:type="dxa"/>
            <w:vMerge/>
          </w:tcPr>
          <w:p w:rsidR="006224C2" w:rsidRPr="00295E71" w:rsidP="00C04163" w14:paraId="7D438244"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21E96177" w14:textId="77777777">
            <w:pPr>
              <w:pStyle w:val="EMEANormal"/>
              <w:widowControl w:val="0"/>
              <w:rPr>
                <w:lang w:val="it-IT"/>
              </w:rPr>
            </w:pPr>
            <w:r w:rsidRPr="00295E71">
              <w:rPr>
                <w:lang w:val="it-IT"/>
              </w:rPr>
              <w:t>Non comune</w:t>
            </w:r>
          </w:p>
          <w:p w:rsidR="006224C2" w:rsidRPr="00295E71" w:rsidP="00C04163" w14:paraId="114CE854"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4E7986AD" w14:textId="77777777">
            <w:pPr>
              <w:pStyle w:val="EMEANormal"/>
              <w:widowControl w:val="0"/>
              <w:rPr>
                <w:lang w:val="it-IT"/>
              </w:rPr>
            </w:pPr>
            <w:r w:rsidRPr="00295E71">
              <w:rPr>
                <w:lang w:val="it-IT"/>
              </w:rPr>
              <w:t>S</w:t>
            </w:r>
            <w:r w:rsidRPr="00295E71" w:rsidR="00226BC4">
              <w:rPr>
                <w:lang w:val="it-IT"/>
              </w:rPr>
              <w:t>udorazione notturna,</w:t>
            </w:r>
          </w:p>
          <w:p w:rsidR="006224C2" w:rsidRPr="00295E71" w:rsidP="00C04163" w14:paraId="2730827A" w14:textId="77777777">
            <w:pPr>
              <w:pStyle w:val="EMEANormal"/>
              <w:widowControl w:val="0"/>
              <w:rPr>
                <w:lang w:val="it-IT"/>
              </w:rPr>
            </w:pPr>
            <w:r w:rsidRPr="00295E71">
              <w:rPr>
                <w:lang w:val="it-IT"/>
              </w:rPr>
              <w:t>cicatrice</w:t>
            </w:r>
          </w:p>
          <w:p w:rsidR="006224C2" w:rsidRPr="00295E71" w:rsidP="00C04163" w14:paraId="0B0A3DD1" w14:textId="77777777">
            <w:pPr>
              <w:pStyle w:val="EMEANormal"/>
              <w:widowControl w:val="0"/>
              <w:rPr>
                <w:lang w:val="it-IT"/>
              </w:rPr>
            </w:pPr>
          </w:p>
        </w:tc>
      </w:tr>
      <w:tr w14:paraId="3EA21A56" w14:textId="77777777" w:rsidTr="00910CE7">
        <w:tblPrEx>
          <w:tblW w:w="0" w:type="auto"/>
          <w:tblLook w:val="01E0"/>
        </w:tblPrEx>
        <w:trPr>
          <w:cantSplit/>
        </w:trPr>
        <w:tc>
          <w:tcPr>
            <w:tcW w:w="2568" w:type="dxa"/>
            <w:vMerge/>
          </w:tcPr>
          <w:p w:rsidR="006224C2" w:rsidRPr="00295E71" w:rsidP="00C04163" w14:paraId="4132A859"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4F712E48" w14:textId="77777777">
            <w:pPr>
              <w:pStyle w:val="EMEANormal"/>
              <w:widowControl w:val="0"/>
              <w:rPr>
                <w:lang w:val="it-IT"/>
              </w:rPr>
            </w:pPr>
            <w:r w:rsidRPr="00295E71">
              <w:rPr>
                <w:lang w:val="it-IT"/>
              </w:rPr>
              <w:t>Raro</w:t>
            </w:r>
          </w:p>
        </w:tc>
        <w:tc>
          <w:tcPr>
            <w:tcW w:w="4456" w:type="dxa"/>
            <w:tcBorders>
              <w:top w:val="single" w:sz="4" w:space="0" w:color="auto"/>
              <w:bottom w:val="single" w:sz="4" w:space="0" w:color="auto"/>
            </w:tcBorders>
          </w:tcPr>
          <w:p w:rsidR="006224C2" w:rsidRPr="00295E71" w:rsidP="00C04163" w14:paraId="440952BA" w14:textId="77777777">
            <w:pPr>
              <w:pStyle w:val="EMEANormal"/>
              <w:widowControl w:val="0"/>
              <w:rPr>
                <w:lang w:val="it-IT"/>
              </w:rPr>
            </w:pPr>
            <w:r w:rsidRPr="00295E71">
              <w:rPr>
                <w:lang w:val="it-IT"/>
              </w:rPr>
              <w:t>E</w:t>
            </w:r>
            <w:r w:rsidRPr="00295E71" w:rsidR="00226BC4">
              <w:rPr>
                <w:lang w:val="it-IT"/>
              </w:rPr>
              <w:t>ritema multiforme</w:t>
            </w:r>
            <w:r w:rsidRPr="00295E71" w:rsidR="00226BC4">
              <w:rPr>
                <w:vertAlign w:val="superscript"/>
                <w:lang w:val="it-IT"/>
              </w:rPr>
              <w:t>1)</w:t>
            </w:r>
            <w:r w:rsidRPr="00295E71" w:rsidR="00226BC4">
              <w:rPr>
                <w:lang w:val="it-IT"/>
              </w:rPr>
              <w:t>,</w:t>
            </w:r>
          </w:p>
          <w:p w:rsidR="006224C2" w:rsidRPr="00295E71" w:rsidP="00C04163" w14:paraId="34B789DB" w14:textId="77777777">
            <w:pPr>
              <w:pStyle w:val="EMEANormal"/>
              <w:widowControl w:val="0"/>
              <w:rPr>
                <w:lang w:val="it-IT"/>
              </w:rPr>
            </w:pPr>
            <w:r w:rsidRPr="00295E71">
              <w:rPr>
                <w:lang w:val="it-IT"/>
              </w:rPr>
              <w:t>sindrome di Stevens-Johnson</w:t>
            </w:r>
            <w:r w:rsidRPr="00295E71">
              <w:rPr>
                <w:vertAlign w:val="superscript"/>
                <w:lang w:val="it-IT"/>
              </w:rPr>
              <w:t>1)</w:t>
            </w:r>
            <w:r w:rsidRPr="00295E71">
              <w:rPr>
                <w:lang w:val="it-IT"/>
              </w:rPr>
              <w:t>,</w:t>
            </w:r>
          </w:p>
          <w:p w:rsidR="006224C2" w:rsidRPr="00295E71" w:rsidP="00C04163" w14:paraId="003059B3" w14:textId="77777777">
            <w:pPr>
              <w:pStyle w:val="EMEANormal"/>
              <w:widowControl w:val="0"/>
              <w:rPr>
                <w:lang w:val="it-IT"/>
              </w:rPr>
            </w:pPr>
            <w:r w:rsidRPr="00295E71">
              <w:rPr>
                <w:lang w:val="it-IT"/>
              </w:rPr>
              <w:t>angioedema</w:t>
            </w:r>
            <w:r w:rsidRPr="00295E71">
              <w:rPr>
                <w:vertAlign w:val="superscript"/>
                <w:lang w:val="it-IT"/>
              </w:rPr>
              <w:t>1)</w:t>
            </w:r>
            <w:r w:rsidRPr="00295E71">
              <w:rPr>
                <w:lang w:val="it-IT"/>
              </w:rPr>
              <w:t>,</w:t>
            </w:r>
          </w:p>
          <w:p w:rsidR="006224C2" w:rsidP="00C04163" w14:paraId="59EDD1E9" w14:textId="77777777">
            <w:pPr>
              <w:pStyle w:val="EMEANormal"/>
              <w:widowControl w:val="0"/>
              <w:rPr>
                <w:vertAlign w:val="superscript"/>
                <w:lang w:val="it-IT"/>
              </w:rPr>
            </w:pPr>
            <w:r w:rsidRPr="00295E71">
              <w:rPr>
                <w:lang w:val="it-IT"/>
              </w:rPr>
              <w:t>vasculite cutanea</w:t>
            </w:r>
            <w:r w:rsidRPr="00295E71">
              <w:rPr>
                <w:vertAlign w:val="superscript"/>
                <w:lang w:val="it-IT"/>
              </w:rPr>
              <w:t>1)</w:t>
            </w:r>
          </w:p>
          <w:p w:rsidR="00BB4440" w:rsidP="00C04163" w14:paraId="139AC618" w14:textId="77777777">
            <w:pPr>
              <w:pStyle w:val="EMEANormal"/>
              <w:widowControl w:val="0"/>
              <w:jc w:val="both"/>
              <w:rPr>
                <w:vertAlign w:val="superscript"/>
                <w:lang w:val="it-IT"/>
              </w:rPr>
            </w:pPr>
            <w:r>
              <w:rPr>
                <w:lang w:val="it-IT"/>
              </w:rPr>
              <w:t>reazione cutanea lichenoide</w:t>
            </w:r>
            <w:r w:rsidRPr="00670F91">
              <w:rPr>
                <w:vertAlign w:val="superscript"/>
                <w:lang w:val="it-IT"/>
              </w:rPr>
              <w:t>1)</w:t>
            </w:r>
          </w:p>
          <w:p w:rsidR="006224C2" w:rsidRPr="00295E71" w:rsidP="00C04163" w14:paraId="33AE3E8B" w14:textId="77777777">
            <w:pPr>
              <w:pStyle w:val="EMEANormal"/>
              <w:widowControl w:val="0"/>
              <w:rPr>
                <w:lang w:val="it-IT"/>
              </w:rPr>
            </w:pPr>
          </w:p>
        </w:tc>
      </w:tr>
      <w:tr w14:paraId="4F91759C" w14:textId="77777777" w:rsidTr="00910CE7">
        <w:tblPrEx>
          <w:tblW w:w="0" w:type="auto"/>
          <w:tblLook w:val="01E0"/>
        </w:tblPrEx>
        <w:trPr>
          <w:cantSplit/>
        </w:trPr>
        <w:tc>
          <w:tcPr>
            <w:tcW w:w="2568" w:type="dxa"/>
            <w:vMerge/>
          </w:tcPr>
          <w:p w:rsidR="006224C2" w:rsidRPr="00295E71" w:rsidP="00C04163" w14:paraId="6BD925CA"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048B9A57" w14:textId="77777777">
            <w:pPr>
              <w:pStyle w:val="EMEANormal"/>
              <w:widowControl w:val="0"/>
              <w:rPr>
                <w:lang w:val="it-IT"/>
              </w:rPr>
            </w:pPr>
            <w:r w:rsidRPr="00295E71">
              <w:rPr>
                <w:lang w:val="it-IT"/>
              </w:rPr>
              <w:t>Non nota</w:t>
            </w:r>
          </w:p>
        </w:tc>
        <w:tc>
          <w:tcPr>
            <w:tcW w:w="4456" w:type="dxa"/>
            <w:tcBorders>
              <w:top w:val="single" w:sz="4" w:space="0" w:color="auto"/>
              <w:bottom w:val="single" w:sz="4" w:space="0" w:color="auto"/>
            </w:tcBorders>
          </w:tcPr>
          <w:p w:rsidR="006224C2" w:rsidRPr="00295E71" w:rsidP="00C04163" w14:paraId="7AACBB11" w14:textId="77777777">
            <w:pPr>
              <w:pStyle w:val="EMEANormal"/>
              <w:widowControl w:val="0"/>
              <w:rPr>
                <w:lang w:val="it-IT"/>
              </w:rPr>
            </w:pPr>
            <w:r w:rsidRPr="00295E71">
              <w:rPr>
                <w:lang w:val="it-IT"/>
              </w:rPr>
              <w:t>P</w:t>
            </w:r>
            <w:r w:rsidRPr="00295E71" w:rsidR="00226BC4">
              <w:rPr>
                <w:lang w:val="it-IT"/>
              </w:rPr>
              <w:t>eggioramento dei sintomi di dermatomiosite</w:t>
            </w:r>
            <w:r w:rsidRPr="00295E71" w:rsidR="00226BC4">
              <w:rPr>
                <w:vertAlign w:val="superscript"/>
                <w:lang w:val="it-IT"/>
              </w:rPr>
              <w:t>1)</w:t>
            </w:r>
          </w:p>
        </w:tc>
      </w:tr>
      <w:tr w14:paraId="04810888" w14:textId="77777777" w:rsidTr="00910CE7">
        <w:tblPrEx>
          <w:tblW w:w="0" w:type="auto"/>
          <w:tblLook w:val="01E0"/>
        </w:tblPrEx>
        <w:trPr>
          <w:cantSplit/>
        </w:trPr>
        <w:tc>
          <w:tcPr>
            <w:tcW w:w="2568" w:type="dxa"/>
            <w:vMerge w:val="restart"/>
          </w:tcPr>
          <w:p w:rsidR="006224C2" w:rsidRPr="00295E71" w:rsidP="00C04163" w14:paraId="1A59B405" w14:textId="77777777">
            <w:pPr>
              <w:pStyle w:val="EMEANormal"/>
              <w:widowControl w:val="0"/>
              <w:spacing w:before="60"/>
              <w:rPr>
                <w:lang w:val="it-IT"/>
              </w:rPr>
            </w:pPr>
            <w:r w:rsidRPr="00295E71">
              <w:rPr>
                <w:lang w:val="it-IT"/>
              </w:rPr>
              <w:t>Patologie del sistema muscolo-scheletrico e del tessuto connettivo</w:t>
            </w:r>
          </w:p>
        </w:tc>
        <w:tc>
          <w:tcPr>
            <w:tcW w:w="2036" w:type="dxa"/>
            <w:tcBorders>
              <w:bottom w:val="single" w:sz="4" w:space="0" w:color="auto"/>
            </w:tcBorders>
          </w:tcPr>
          <w:p w:rsidR="006224C2" w:rsidRPr="00295E71" w:rsidP="00C04163" w14:paraId="7E5BEF31" w14:textId="77777777">
            <w:pPr>
              <w:pStyle w:val="EMEANormal"/>
              <w:widowControl w:val="0"/>
              <w:spacing w:before="60"/>
              <w:rPr>
                <w:lang w:val="it-IT"/>
              </w:rPr>
            </w:pPr>
            <w:r w:rsidRPr="00295E71">
              <w:rPr>
                <w:lang w:val="it-IT"/>
              </w:rPr>
              <w:t>Molto comune</w:t>
            </w:r>
          </w:p>
          <w:p w:rsidR="006224C2" w:rsidRPr="00295E71" w:rsidP="00C04163" w14:paraId="27F420AA"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5B95E8F5" w14:textId="77777777">
            <w:pPr>
              <w:pStyle w:val="EMEANormal"/>
              <w:widowControl w:val="0"/>
              <w:spacing w:before="60"/>
              <w:rPr>
                <w:lang w:val="it-IT"/>
              </w:rPr>
            </w:pPr>
            <w:r w:rsidRPr="00295E71">
              <w:rPr>
                <w:lang w:val="it-IT"/>
              </w:rPr>
              <w:t>D</w:t>
            </w:r>
            <w:r w:rsidRPr="00295E71" w:rsidR="00226BC4">
              <w:rPr>
                <w:lang w:val="it-IT"/>
              </w:rPr>
              <w:t>olore muscoloscheletrico</w:t>
            </w:r>
          </w:p>
          <w:p w:rsidR="006224C2" w:rsidRPr="00295E71" w:rsidP="00C04163" w14:paraId="2116D89F" w14:textId="77777777">
            <w:pPr>
              <w:pStyle w:val="EMEANormal"/>
              <w:widowControl w:val="0"/>
              <w:spacing w:before="60"/>
              <w:rPr>
                <w:lang w:val="it-IT"/>
              </w:rPr>
            </w:pPr>
          </w:p>
        </w:tc>
      </w:tr>
      <w:tr w14:paraId="4E3774E0" w14:textId="77777777" w:rsidTr="00910CE7">
        <w:tblPrEx>
          <w:tblW w:w="0" w:type="auto"/>
          <w:tblLook w:val="01E0"/>
        </w:tblPrEx>
        <w:trPr>
          <w:cantSplit/>
        </w:trPr>
        <w:tc>
          <w:tcPr>
            <w:tcW w:w="2568" w:type="dxa"/>
            <w:vMerge/>
          </w:tcPr>
          <w:p w:rsidR="006224C2" w:rsidRPr="00295E71" w:rsidP="00C04163" w14:paraId="653108CB" w14:textId="77777777">
            <w:pPr>
              <w:pStyle w:val="EMEANormal"/>
              <w:widowControl w:val="0"/>
              <w:spacing w:before="60"/>
              <w:rPr>
                <w:lang w:val="it-IT"/>
              </w:rPr>
            </w:pPr>
          </w:p>
        </w:tc>
        <w:tc>
          <w:tcPr>
            <w:tcW w:w="2036" w:type="dxa"/>
            <w:tcBorders>
              <w:top w:val="single" w:sz="4" w:space="0" w:color="auto"/>
              <w:bottom w:val="single" w:sz="4" w:space="0" w:color="auto"/>
            </w:tcBorders>
          </w:tcPr>
          <w:p w:rsidR="006224C2" w:rsidRPr="00295E71" w:rsidP="00C04163" w14:paraId="252B4736" w14:textId="77777777">
            <w:pPr>
              <w:pStyle w:val="EMEANormal"/>
              <w:widowControl w:val="0"/>
              <w:spacing w:before="60"/>
              <w:rPr>
                <w:lang w:val="it-IT"/>
              </w:rPr>
            </w:pPr>
            <w:r w:rsidRPr="00295E71">
              <w:rPr>
                <w:lang w:val="it-IT"/>
              </w:rPr>
              <w:t>Comune</w:t>
            </w:r>
          </w:p>
        </w:tc>
        <w:tc>
          <w:tcPr>
            <w:tcW w:w="4456" w:type="dxa"/>
            <w:tcBorders>
              <w:top w:val="single" w:sz="4" w:space="0" w:color="auto"/>
              <w:bottom w:val="single" w:sz="4" w:space="0" w:color="auto"/>
            </w:tcBorders>
          </w:tcPr>
          <w:p w:rsidR="006224C2" w:rsidRPr="00295E71" w:rsidP="00C04163" w14:paraId="0857B8F0" w14:textId="77777777">
            <w:pPr>
              <w:pStyle w:val="EMEANormal"/>
              <w:widowControl w:val="0"/>
              <w:spacing w:before="60"/>
              <w:rPr>
                <w:lang w:val="it-IT"/>
              </w:rPr>
            </w:pPr>
            <w:r w:rsidRPr="00295E71">
              <w:rPr>
                <w:lang w:val="it-IT"/>
              </w:rPr>
              <w:t>S</w:t>
            </w:r>
            <w:r w:rsidRPr="00295E71" w:rsidR="00226BC4">
              <w:rPr>
                <w:lang w:val="it-IT"/>
              </w:rPr>
              <w:t>pasmi muscolari (tra cui aumento della creatinfosfochinasi ematica)</w:t>
            </w:r>
          </w:p>
          <w:p w:rsidR="006224C2" w:rsidRPr="00295E71" w:rsidP="00C04163" w14:paraId="285E8C41" w14:textId="77777777">
            <w:pPr>
              <w:pStyle w:val="EMEANormal"/>
              <w:widowControl w:val="0"/>
              <w:spacing w:before="60"/>
              <w:rPr>
                <w:lang w:val="it-IT"/>
              </w:rPr>
            </w:pPr>
          </w:p>
        </w:tc>
      </w:tr>
      <w:tr w14:paraId="6AD9D182" w14:textId="77777777" w:rsidTr="00910CE7">
        <w:tblPrEx>
          <w:tblW w:w="0" w:type="auto"/>
          <w:tblLook w:val="01E0"/>
        </w:tblPrEx>
        <w:trPr>
          <w:cantSplit/>
        </w:trPr>
        <w:tc>
          <w:tcPr>
            <w:tcW w:w="2568" w:type="dxa"/>
            <w:vMerge/>
          </w:tcPr>
          <w:p w:rsidR="006224C2" w:rsidRPr="00295E71" w:rsidP="00C04163" w14:paraId="408B985B"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4660B2E0" w14:textId="77777777">
            <w:pPr>
              <w:pStyle w:val="EMEANormal"/>
              <w:widowControl w:val="0"/>
              <w:rPr>
                <w:lang w:val="it-IT"/>
              </w:rPr>
            </w:pPr>
            <w:r w:rsidRPr="00295E71">
              <w:rPr>
                <w:lang w:val="it-IT"/>
              </w:rPr>
              <w:t>Non comune</w:t>
            </w:r>
          </w:p>
        </w:tc>
        <w:tc>
          <w:tcPr>
            <w:tcW w:w="4456" w:type="dxa"/>
            <w:tcBorders>
              <w:top w:val="single" w:sz="4" w:space="0" w:color="auto"/>
              <w:bottom w:val="single" w:sz="4" w:space="0" w:color="auto"/>
            </w:tcBorders>
          </w:tcPr>
          <w:p w:rsidR="006224C2" w:rsidRPr="00295E71" w:rsidP="00C04163" w14:paraId="06BB10B9" w14:textId="77777777">
            <w:pPr>
              <w:pStyle w:val="EMEANormal"/>
              <w:widowControl w:val="0"/>
              <w:rPr>
                <w:lang w:val="it-IT"/>
              </w:rPr>
            </w:pPr>
            <w:r w:rsidRPr="00295E71">
              <w:rPr>
                <w:lang w:val="it-IT"/>
              </w:rPr>
              <w:t>Rabdomiolisi</w:t>
            </w:r>
          </w:p>
          <w:p w:rsidR="006224C2" w:rsidRPr="00295E71" w:rsidP="00C04163" w14:paraId="517D3869" w14:textId="77777777">
            <w:pPr>
              <w:pStyle w:val="EMEANormal"/>
              <w:widowControl w:val="0"/>
              <w:rPr>
                <w:lang w:val="it-IT"/>
              </w:rPr>
            </w:pPr>
            <w:r w:rsidRPr="00295E71">
              <w:rPr>
                <w:lang w:val="it-IT"/>
              </w:rPr>
              <w:t>lupus eritematoso sistemico</w:t>
            </w:r>
          </w:p>
          <w:p w:rsidR="006224C2" w:rsidRPr="00295E71" w:rsidP="00C04163" w14:paraId="4BE9FE9E" w14:textId="77777777">
            <w:pPr>
              <w:pStyle w:val="EMEANormal"/>
              <w:widowControl w:val="0"/>
              <w:rPr>
                <w:lang w:val="it-IT"/>
              </w:rPr>
            </w:pPr>
          </w:p>
        </w:tc>
      </w:tr>
      <w:tr w14:paraId="368799EF" w14:textId="77777777" w:rsidTr="00910CE7">
        <w:tblPrEx>
          <w:tblW w:w="0" w:type="auto"/>
          <w:tblLook w:val="01E0"/>
        </w:tblPrEx>
        <w:trPr>
          <w:cantSplit/>
        </w:trPr>
        <w:tc>
          <w:tcPr>
            <w:tcW w:w="2568" w:type="dxa"/>
            <w:vMerge/>
          </w:tcPr>
          <w:p w:rsidR="006224C2" w:rsidRPr="00295E71" w:rsidP="00C04163" w14:paraId="41474776"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668D4E9C" w14:textId="77777777">
            <w:pPr>
              <w:pStyle w:val="EMEANormal"/>
              <w:widowControl w:val="0"/>
              <w:rPr>
                <w:lang w:val="it-IT"/>
              </w:rPr>
            </w:pPr>
            <w:r w:rsidRPr="00295E71">
              <w:rPr>
                <w:lang w:val="it-IT"/>
              </w:rPr>
              <w:t>Raro</w:t>
            </w:r>
          </w:p>
          <w:p w:rsidR="006224C2" w:rsidRPr="00295E71" w:rsidP="00C04163" w14:paraId="560DA138"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63EEC66C" w14:textId="77777777">
            <w:pPr>
              <w:pStyle w:val="EMEANormal"/>
              <w:widowControl w:val="0"/>
              <w:rPr>
                <w:lang w:val="it-IT"/>
              </w:rPr>
            </w:pPr>
            <w:r w:rsidRPr="00295E71">
              <w:rPr>
                <w:lang w:val="it-IT"/>
              </w:rPr>
              <w:t>S</w:t>
            </w:r>
            <w:r w:rsidRPr="00295E71" w:rsidR="00226BC4">
              <w:rPr>
                <w:lang w:val="it-IT"/>
              </w:rPr>
              <w:t>indrome simile al lupus</w:t>
            </w:r>
            <w:r w:rsidRPr="00295E71" w:rsidR="00226BC4">
              <w:rPr>
                <w:vertAlign w:val="superscript"/>
                <w:lang w:val="it-IT"/>
              </w:rPr>
              <w:t>1)</w:t>
            </w:r>
          </w:p>
          <w:p w:rsidR="006224C2" w:rsidRPr="00295E71" w:rsidP="00C04163" w14:paraId="5A3EF859" w14:textId="77777777">
            <w:pPr>
              <w:pStyle w:val="EMEANormal"/>
              <w:widowControl w:val="0"/>
              <w:rPr>
                <w:lang w:val="it-IT"/>
              </w:rPr>
            </w:pPr>
          </w:p>
          <w:p w:rsidR="006224C2" w:rsidRPr="00295E71" w:rsidP="00C04163" w14:paraId="3CCA4360" w14:textId="77777777">
            <w:pPr>
              <w:pStyle w:val="EMEANormal"/>
              <w:widowControl w:val="0"/>
              <w:rPr>
                <w:lang w:val="it-IT"/>
              </w:rPr>
            </w:pPr>
          </w:p>
        </w:tc>
      </w:tr>
      <w:tr w14:paraId="2A39D509" w14:textId="77777777" w:rsidTr="00910CE7">
        <w:tblPrEx>
          <w:tblW w:w="0" w:type="auto"/>
          <w:tblLook w:val="01E0"/>
        </w:tblPrEx>
        <w:trPr>
          <w:cantSplit/>
        </w:trPr>
        <w:tc>
          <w:tcPr>
            <w:tcW w:w="2568" w:type="dxa"/>
            <w:vMerge w:val="restart"/>
          </w:tcPr>
          <w:p w:rsidR="006224C2" w:rsidRPr="00295E71" w:rsidP="00C04163" w14:paraId="0B293A6C" w14:textId="77777777">
            <w:pPr>
              <w:pStyle w:val="EMEANormal"/>
              <w:widowControl w:val="0"/>
              <w:spacing w:before="60"/>
              <w:rPr>
                <w:lang w:val="it-IT"/>
              </w:rPr>
            </w:pPr>
            <w:r w:rsidRPr="00295E71">
              <w:rPr>
                <w:lang w:val="it-IT"/>
              </w:rPr>
              <w:t xml:space="preserve">Patologie renali e urinarie </w:t>
            </w:r>
          </w:p>
        </w:tc>
        <w:tc>
          <w:tcPr>
            <w:tcW w:w="2036" w:type="dxa"/>
            <w:tcBorders>
              <w:bottom w:val="single" w:sz="4" w:space="0" w:color="auto"/>
            </w:tcBorders>
          </w:tcPr>
          <w:p w:rsidR="006224C2" w:rsidRPr="00295E71" w:rsidP="00C04163" w14:paraId="47B2F77B" w14:textId="77777777">
            <w:pPr>
              <w:pStyle w:val="EMEANormal"/>
              <w:widowControl w:val="0"/>
              <w:spacing w:before="60"/>
              <w:rPr>
                <w:lang w:val="it-IT"/>
              </w:rPr>
            </w:pPr>
            <w:r w:rsidRPr="00295E71">
              <w:rPr>
                <w:lang w:val="it-IT"/>
              </w:rPr>
              <w:t>Comune</w:t>
            </w:r>
          </w:p>
          <w:p w:rsidR="006224C2" w:rsidRPr="00295E71" w:rsidP="00C04163" w14:paraId="37CD1701"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51F85BBA" w14:textId="77777777">
            <w:pPr>
              <w:pStyle w:val="EMEANormal"/>
              <w:widowControl w:val="0"/>
              <w:spacing w:before="60"/>
              <w:rPr>
                <w:lang w:val="it-IT"/>
              </w:rPr>
            </w:pPr>
            <w:r w:rsidRPr="00295E71">
              <w:rPr>
                <w:lang w:val="it-IT"/>
              </w:rPr>
              <w:t>I</w:t>
            </w:r>
            <w:r w:rsidRPr="00295E71" w:rsidR="00226BC4">
              <w:rPr>
                <w:lang w:val="it-IT"/>
              </w:rPr>
              <w:t>nsufficienza renale,</w:t>
            </w:r>
          </w:p>
          <w:p w:rsidR="006224C2" w:rsidRPr="00295E71" w:rsidP="00C04163" w14:paraId="3FE3CAA8" w14:textId="77777777">
            <w:pPr>
              <w:pStyle w:val="EMEANormal"/>
              <w:widowControl w:val="0"/>
              <w:spacing w:before="60"/>
              <w:rPr>
                <w:lang w:val="it-IT"/>
              </w:rPr>
            </w:pPr>
            <w:r w:rsidRPr="00295E71">
              <w:rPr>
                <w:lang w:val="it-IT"/>
              </w:rPr>
              <w:t>ematuria</w:t>
            </w:r>
          </w:p>
          <w:p w:rsidR="006224C2" w:rsidRPr="00295E71" w:rsidP="00C04163" w14:paraId="20E271F0" w14:textId="77777777">
            <w:pPr>
              <w:pStyle w:val="EMEANormal"/>
              <w:widowControl w:val="0"/>
              <w:spacing w:before="60"/>
              <w:rPr>
                <w:lang w:val="it-IT"/>
              </w:rPr>
            </w:pPr>
          </w:p>
        </w:tc>
      </w:tr>
      <w:tr w14:paraId="0BC85466" w14:textId="77777777" w:rsidTr="00910CE7">
        <w:tblPrEx>
          <w:tblW w:w="0" w:type="auto"/>
          <w:tblLook w:val="01E0"/>
        </w:tblPrEx>
        <w:trPr>
          <w:cantSplit/>
        </w:trPr>
        <w:tc>
          <w:tcPr>
            <w:tcW w:w="2568" w:type="dxa"/>
            <w:vMerge/>
          </w:tcPr>
          <w:p w:rsidR="006224C2" w:rsidRPr="00295E71" w:rsidP="00C04163" w14:paraId="07AE93BD" w14:textId="77777777">
            <w:pPr>
              <w:widowControl w:val="0"/>
              <w:spacing w:before="60"/>
              <w:jc w:val="center"/>
              <w:rPr>
                <w:b/>
                <w:sz w:val="22"/>
                <w:szCs w:val="22"/>
              </w:rPr>
            </w:pPr>
          </w:p>
        </w:tc>
        <w:tc>
          <w:tcPr>
            <w:tcW w:w="2036" w:type="dxa"/>
            <w:tcBorders>
              <w:top w:val="single" w:sz="4" w:space="0" w:color="auto"/>
            </w:tcBorders>
          </w:tcPr>
          <w:p w:rsidR="006224C2" w:rsidRPr="00295E71" w:rsidP="00C04163" w14:paraId="4F66687D" w14:textId="77777777">
            <w:pPr>
              <w:pStyle w:val="EMEANormal"/>
              <w:widowControl w:val="0"/>
              <w:rPr>
                <w:lang w:val="it-IT"/>
              </w:rPr>
            </w:pPr>
            <w:r w:rsidRPr="00295E71">
              <w:rPr>
                <w:lang w:val="it-IT"/>
              </w:rPr>
              <w:t>Non comune</w:t>
            </w:r>
          </w:p>
          <w:p w:rsidR="006224C2" w:rsidRPr="00295E71" w:rsidP="00C04163" w14:paraId="26C37168" w14:textId="77777777">
            <w:pPr>
              <w:pStyle w:val="EMEANormal"/>
              <w:widowControl w:val="0"/>
              <w:rPr>
                <w:lang w:val="it-IT"/>
              </w:rPr>
            </w:pPr>
          </w:p>
        </w:tc>
        <w:tc>
          <w:tcPr>
            <w:tcW w:w="4456" w:type="dxa"/>
            <w:tcBorders>
              <w:top w:val="single" w:sz="4" w:space="0" w:color="auto"/>
            </w:tcBorders>
          </w:tcPr>
          <w:p w:rsidR="006224C2" w:rsidRPr="00295E71" w:rsidP="00C04163" w14:paraId="32E26F22" w14:textId="77777777">
            <w:pPr>
              <w:pStyle w:val="EMEANormal"/>
              <w:widowControl w:val="0"/>
              <w:rPr>
                <w:lang w:val="it-IT"/>
              </w:rPr>
            </w:pPr>
            <w:r w:rsidRPr="00295E71">
              <w:rPr>
                <w:lang w:val="it-IT"/>
              </w:rPr>
              <w:t>N</w:t>
            </w:r>
            <w:r w:rsidRPr="00295E71" w:rsidR="00226BC4">
              <w:rPr>
                <w:lang w:val="it-IT"/>
              </w:rPr>
              <w:t>icturia</w:t>
            </w:r>
          </w:p>
          <w:p w:rsidR="006224C2" w:rsidRPr="00295E71" w:rsidP="00C04163" w14:paraId="33CE48B7" w14:textId="77777777">
            <w:pPr>
              <w:pStyle w:val="EMEANormal"/>
              <w:widowControl w:val="0"/>
              <w:rPr>
                <w:lang w:val="it-IT"/>
              </w:rPr>
            </w:pPr>
          </w:p>
        </w:tc>
      </w:tr>
      <w:tr w14:paraId="6A79A11B" w14:textId="77777777" w:rsidTr="00910CE7">
        <w:tblPrEx>
          <w:tblW w:w="0" w:type="auto"/>
          <w:tblLook w:val="01E0"/>
        </w:tblPrEx>
        <w:tc>
          <w:tcPr>
            <w:tcW w:w="2568" w:type="dxa"/>
          </w:tcPr>
          <w:p w:rsidR="006224C2" w:rsidRPr="00295E71" w:rsidP="00C04163" w14:paraId="1F5A7E36" w14:textId="77777777">
            <w:pPr>
              <w:pStyle w:val="EMEANormal"/>
              <w:widowControl w:val="0"/>
              <w:spacing w:before="60"/>
              <w:rPr>
                <w:lang w:val="it-IT"/>
              </w:rPr>
            </w:pPr>
            <w:r w:rsidRPr="00295E71">
              <w:rPr>
                <w:lang w:val="it-IT"/>
              </w:rPr>
              <w:t>Patologie dell’apparato riproduttivo e della mammella</w:t>
            </w:r>
          </w:p>
        </w:tc>
        <w:tc>
          <w:tcPr>
            <w:tcW w:w="2036" w:type="dxa"/>
            <w:tcBorders>
              <w:bottom w:val="single" w:sz="4" w:space="0" w:color="auto"/>
            </w:tcBorders>
          </w:tcPr>
          <w:p w:rsidR="006224C2" w:rsidRPr="00295E71" w:rsidP="00C04163" w14:paraId="6DA89716" w14:textId="77777777">
            <w:pPr>
              <w:pStyle w:val="EMEANormal"/>
              <w:widowControl w:val="0"/>
              <w:spacing w:before="60"/>
              <w:rPr>
                <w:lang w:val="it-IT"/>
              </w:rPr>
            </w:pPr>
            <w:r w:rsidRPr="00295E71">
              <w:rPr>
                <w:lang w:val="it-IT"/>
              </w:rPr>
              <w:t>Non comune</w:t>
            </w:r>
          </w:p>
        </w:tc>
        <w:tc>
          <w:tcPr>
            <w:tcW w:w="4456" w:type="dxa"/>
            <w:tcBorders>
              <w:bottom w:val="single" w:sz="4" w:space="0" w:color="auto"/>
            </w:tcBorders>
          </w:tcPr>
          <w:p w:rsidR="006224C2" w:rsidRPr="00295E71" w:rsidP="00C04163" w14:paraId="77B90D0B" w14:textId="77777777">
            <w:pPr>
              <w:pStyle w:val="EMEANormal"/>
              <w:widowControl w:val="0"/>
              <w:spacing w:before="60"/>
              <w:rPr>
                <w:lang w:val="it-IT"/>
              </w:rPr>
            </w:pPr>
            <w:r w:rsidRPr="00295E71">
              <w:rPr>
                <w:lang w:val="it-IT"/>
              </w:rPr>
              <w:t>D</w:t>
            </w:r>
            <w:r w:rsidRPr="00295E71" w:rsidR="00226BC4">
              <w:rPr>
                <w:lang w:val="it-IT"/>
              </w:rPr>
              <w:t>isfunzione erettile</w:t>
            </w:r>
          </w:p>
          <w:p w:rsidR="006224C2" w:rsidRPr="00295E71" w:rsidP="00C04163" w14:paraId="11364820" w14:textId="77777777">
            <w:pPr>
              <w:pStyle w:val="EMEANormal"/>
              <w:widowControl w:val="0"/>
              <w:spacing w:before="60"/>
              <w:rPr>
                <w:lang w:val="it-IT"/>
              </w:rPr>
            </w:pPr>
          </w:p>
        </w:tc>
      </w:tr>
      <w:tr w14:paraId="7B7F6D6D" w14:textId="77777777" w:rsidTr="00910CE7">
        <w:tblPrEx>
          <w:tblW w:w="0" w:type="auto"/>
          <w:tblLook w:val="01E0"/>
        </w:tblPrEx>
        <w:trPr>
          <w:cantSplit/>
        </w:trPr>
        <w:tc>
          <w:tcPr>
            <w:tcW w:w="2568" w:type="dxa"/>
            <w:vMerge w:val="restart"/>
          </w:tcPr>
          <w:p w:rsidR="006224C2" w:rsidRPr="00295E71" w:rsidP="00C04163" w14:paraId="57266C76" w14:textId="77777777">
            <w:pPr>
              <w:pStyle w:val="EMEANormal"/>
              <w:widowControl w:val="0"/>
              <w:spacing w:before="60"/>
              <w:rPr>
                <w:lang w:val="it-IT"/>
              </w:rPr>
            </w:pPr>
            <w:r w:rsidRPr="00295E71">
              <w:rPr>
                <w:lang w:val="it-IT"/>
              </w:rPr>
              <w:t>Patologie sistemiche e condizioni relative alla sede di somministrazione*</w:t>
            </w:r>
          </w:p>
        </w:tc>
        <w:tc>
          <w:tcPr>
            <w:tcW w:w="2036" w:type="dxa"/>
            <w:tcBorders>
              <w:bottom w:val="single" w:sz="4" w:space="0" w:color="auto"/>
            </w:tcBorders>
          </w:tcPr>
          <w:p w:rsidR="006224C2" w:rsidRPr="00295E71" w:rsidP="00C04163" w14:paraId="781BDB08" w14:textId="77777777">
            <w:pPr>
              <w:pStyle w:val="EMEANormal"/>
              <w:widowControl w:val="0"/>
              <w:spacing w:before="60"/>
              <w:rPr>
                <w:lang w:val="it-IT"/>
              </w:rPr>
            </w:pPr>
            <w:r w:rsidRPr="00295E71">
              <w:rPr>
                <w:lang w:val="it-IT"/>
              </w:rPr>
              <w:t>Molto comune</w:t>
            </w:r>
          </w:p>
          <w:p w:rsidR="006224C2" w:rsidRPr="00295E71" w:rsidP="00C04163" w14:paraId="5FAEBEE3" w14:textId="77777777">
            <w:pPr>
              <w:pStyle w:val="EMEANormal"/>
              <w:widowControl w:val="0"/>
              <w:spacing w:before="60"/>
              <w:rPr>
                <w:lang w:val="it-IT"/>
              </w:rPr>
            </w:pPr>
          </w:p>
        </w:tc>
        <w:tc>
          <w:tcPr>
            <w:tcW w:w="4456" w:type="dxa"/>
            <w:tcBorders>
              <w:bottom w:val="single" w:sz="4" w:space="0" w:color="auto"/>
            </w:tcBorders>
          </w:tcPr>
          <w:p w:rsidR="006224C2" w:rsidRPr="00295E71" w:rsidP="00C04163" w14:paraId="4DDDE367" w14:textId="77777777">
            <w:pPr>
              <w:pStyle w:val="EMEANormal"/>
              <w:widowControl w:val="0"/>
              <w:spacing w:before="60"/>
              <w:rPr>
                <w:lang w:val="it-IT"/>
              </w:rPr>
            </w:pPr>
            <w:r w:rsidRPr="00295E71">
              <w:rPr>
                <w:lang w:val="it-IT"/>
              </w:rPr>
              <w:t>R</w:t>
            </w:r>
            <w:r w:rsidRPr="00295E71" w:rsidR="00226BC4">
              <w:rPr>
                <w:lang w:val="it-IT"/>
              </w:rPr>
              <w:t>eazione al sito di iniezione (tra cui eritema al sito di iniezione)</w:t>
            </w:r>
          </w:p>
          <w:p w:rsidR="006224C2" w:rsidRPr="00295E71" w:rsidP="00C04163" w14:paraId="5469D78F" w14:textId="77777777">
            <w:pPr>
              <w:pStyle w:val="EMEANormal"/>
              <w:widowControl w:val="0"/>
              <w:spacing w:before="60"/>
              <w:rPr>
                <w:lang w:val="it-IT"/>
              </w:rPr>
            </w:pPr>
          </w:p>
        </w:tc>
      </w:tr>
      <w:tr w14:paraId="69901CF5" w14:textId="77777777" w:rsidTr="00910CE7">
        <w:tblPrEx>
          <w:tblW w:w="0" w:type="auto"/>
          <w:tblLook w:val="01E0"/>
        </w:tblPrEx>
        <w:trPr>
          <w:cantSplit/>
        </w:trPr>
        <w:tc>
          <w:tcPr>
            <w:tcW w:w="2568" w:type="dxa"/>
            <w:vMerge/>
          </w:tcPr>
          <w:p w:rsidR="006224C2" w:rsidRPr="00295E71" w:rsidP="00C04163" w14:paraId="6295DEB0" w14:textId="77777777">
            <w:pPr>
              <w:widowControl w:val="0"/>
              <w:spacing w:before="60"/>
              <w:jc w:val="center"/>
              <w:rPr>
                <w:b/>
                <w:sz w:val="22"/>
                <w:szCs w:val="22"/>
              </w:rPr>
            </w:pPr>
          </w:p>
        </w:tc>
        <w:tc>
          <w:tcPr>
            <w:tcW w:w="2036" w:type="dxa"/>
            <w:tcBorders>
              <w:top w:val="single" w:sz="4" w:space="0" w:color="auto"/>
              <w:bottom w:val="single" w:sz="4" w:space="0" w:color="auto"/>
            </w:tcBorders>
          </w:tcPr>
          <w:p w:rsidR="006224C2" w:rsidRPr="00295E71" w:rsidP="00C04163" w14:paraId="2A8CFBF4" w14:textId="77777777">
            <w:pPr>
              <w:pStyle w:val="EMEANormal"/>
              <w:widowControl w:val="0"/>
              <w:rPr>
                <w:lang w:val="it-IT"/>
              </w:rPr>
            </w:pPr>
            <w:r w:rsidRPr="00295E71">
              <w:rPr>
                <w:lang w:val="it-IT"/>
              </w:rPr>
              <w:t>Comune</w:t>
            </w:r>
          </w:p>
          <w:p w:rsidR="006224C2" w:rsidRPr="00295E71" w:rsidP="00C04163" w14:paraId="7DAA7656" w14:textId="77777777">
            <w:pPr>
              <w:pStyle w:val="EMEANormal"/>
              <w:widowControl w:val="0"/>
              <w:rPr>
                <w:lang w:val="it-IT"/>
              </w:rPr>
            </w:pPr>
          </w:p>
        </w:tc>
        <w:tc>
          <w:tcPr>
            <w:tcW w:w="4456" w:type="dxa"/>
            <w:tcBorders>
              <w:top w:val="single" w:sz="4" w:space="0" w:color="auto"/>
              <w:bottom w:val="single" w:sz="4" w:space="0" w:color="auto"/>
            </w:tcBorders>
          </w:tcPr>
          <w:p w:rsidR="006224C2" w:rsidRPr="00295E71" w:rsidP="00C04163" w14:paraId="0F8AB203" w14:textId="77777777">
            <w:pPr>
              <w:pStyle w:val="EMEANormal"/>
              <w:widowControl w:val="0"/>
              <w:rPr>
                <w:lang w:val="it-IT"/>
              </w:rPr>
            </w:pPr>
            <w:r w:rsidRPr="00295E71">
              <w:rPr>
                <w:lang w:val="it-IT"/>
              </w:rPr>
              <w:t>D</w:t>
            </w:r>
            <w:r w:rsidRPr="00295E71" w:rsidR="00226BC4">
              <w:rPr>
                <w:lang w:val="it-IT"/>
              </w:rPr>
              <w:t xml:space="preserve">olore toracico, </w:t>
            </w:r>
          </w:p>
          <w:p w:rsidR="006224C2" w:rsidRPr="00295E71" w:rsidP="00C04163" w14:paraId="56DBDECD" w14:textId="77777777">
            <w:pPr>
              <w:pStyle w:val="EMEANormal"/>
              <w:widowControl w:val="0"/>
              <w:rPr>
                <w:lang w:val="it-IT"/>
              </w:rPr>
            </w:pPr>
            <w:r w:rsidRPr="00295E71">
              <w:rPr>
                <w:lang w:val="it-IT"/>
              </w:rPr>
              <w:t>edema,</w:t>
            </w:r>
          </w:p>
          <w:p w:rsidR="006224C2" w:rsidRPr="00295E71" w:rsidP="00C04163" w14:paraId="4BFF43C6" w14:textId="77777777">
            <w:pPr>
              <w:pStyle w:val="EMEANormal"/>
              <w:widowControl w:val="0"/>
              <w:rPr>
                <w:lang w:val="it-IT"/>
              </w:rPr>
            </w:pPr>
            <w:r w:rsidRPr="00295E71">
              <w:rPr>
                <w:lang w:val="it-IT"/>
              </w:rPr>
              <w:t>piressia</w:t>
            </w:r>
            <w:r w:rsidRPr="00295E71">
              <w:rPr>
                <w:vertAlign w:val="superscript"/>
                <w:lang w:val="it-IT"/>
              </w:rPr>
              <w:t>1)</w:t>
            </w:r>
          </w:p>
          <w:p w:rsidR="006224C2" w:rsidRPr="00295E71" w:rsidP="00C04163" w14:paraId="1AD7F2F3" w14:textId="77777777">
            <w:pPr>
              <w:pStyle w:val="EMEANormal"/>
              <w:widowControl w:val="0"/>
              <w:rPr>
                <w:lang w:val="it-IT"/>
              </w:rPr>
            </w:pPr>
          </w:p>
        </w:tc>
      </w:tr>
      <w:tr w14:paraId="2C9ED535" w14:textId="77777777" w:rsidTr="00910CE7">
        <w:tblPrEx>
          <w:tblW w:w="0" w:type="auto"/>
          <w:tblLook w:val="01E0"/>
        </w:tblPrEx>
        <w:trPr>
          <w:cantSplit/>
        </w:trPr>
        <w:tc>
          <w:tcPr>
            <w:tcW w:w="2568" w:type="dxa"/>
            <w:vMerge/>
          </w:tcPr>
          <w:p w:rsidR="006224C2" w:rsidRPr="00295E71" w:rsidP="00C04163" w14:paraId="58B3C42F" w14:textId="77777777">
            <w:pPr>
              <w:widowControl w:val="0"/>
              <w:spacing w:before="60"/>
              <w:jc w:val="center"/>
              <w:rPr>
                <w:b/>
                <w:sz w:val="22"/>
                <w:szCs w:val="22"/>
              </w:rPr>
            </w:pPr>
          </w:p>
        </w:tc>
        <w:tc>
          <w:tcPr>
            <w:tcW w:w="2036" w:type="dxa"/>
            <w:tcBorders>
              <w:top w:val="single" w:sz="4" w:space="0" w:color="auto"/>
            </w:tcBorders>
          </w:tcPr>
          <w:p w:rsidR="006224C2" w:rsidRPr="00295E71" w:rsidP="00C04163" w14:paraId="037A2F78" w14:textId="77777777">
            <w:pPr>
              <w:pStyle w:val="EMEANormal"/>
              <w:widowControl w:val="0"/>
              <w:rPr>
                <w:lang w:val="it-IT"/>
              </w:rPr>
            </w:pPr>
            <w:r w:rsidRPr="00295E71">
              <w:rPr>
                <w:lang w:val="it-IT"/>
              </w:rPr>
              <w:t>Non comune</w:t>
            </w:r>
          </w:p>
          <w:p w:rsidR="006224C2" w:rsidRPr="00295E71" w:rsidP="00C04163" w14:paraId="017BD3C2" w14:textId="77777777">
            <w:pPr>
              <w:pStyle w:val="EMEANormal"/>
              <w:widowControl w:val="0"/>
              <w:rPr>
                <w:lang w:val="it-IT"/>
              </w:rPr>
            </w:pPr>
          </w:p>
        </w:tc>
        <w:tc>
          <w:tcPr>
            <w:tcW w:w="4456" w:type="dxa"/>
            <w:tcBorders>
              <w:top w:val="single" w:sz="4" w:space="0" w:color="auto"/>
            </w:tcBorders>
          </w:tcPr>
          <w:p w:rsidR="006224C2" w:rsidRPr="00295E71" w:rsidP="00C04163" w14:paraId="06775FB2" w14:textId="77777777">
            <w:pPr>
              <w:pStyle w:val="EMEANormal"/>
              <w:widowControl w:val="0"/>
              <w:rPr>
                <w:lang w:val="it-IT"/>
              </w:rPr>
            </w:pPr>
            <w:r w:rsidRPr="00295E71">
              <w:rPr>
                <w:lang w:val="it-IT"/>
              </w:rPr>
              <w:t>I</w:t>
            </w:r>
            <w:r w:rsidRPr="00295E71" w:rsidR="00226BC4">
              <w:rPr>
                <w:lang w:val="it-IT"/>
              </w:rPr>
              <w:t>nfiammazione</w:t>
            </w:r>
          </w:p>
        </w:tc>
      </w:tr>
      <w:tr w14:paraId="70F0DC64" w14:textId="77777777" w:rsidTr="00910CE7">
        <w:tblPrEx>
          <w:tblW w:w="0" w:type="auto"/>
          <w:tblLook w:val="01E0"/>
        </w:tblPrEx>
        <w:tc>
          <w:tcPr>
            <w:tcW w:w="2568" w:type="dxa"/>
            <w:vMerge w:val="restart"/>
          </w:tcPr>
          <w:p w:rsidR="00822954" w:rsidRPr="00295E71" w:rsidP="00C04163" w14:paraId="6466114D" w14:textId="77777777">
            <w:pPr>
              <w:pStyle w:val="EMEANormal"/>
              <w:widowControl w:val="0"/>
              <w:spacing w:before="60"/>
              <w:rPr>
                <w:lang w:val="it-IT"/>
              </w:rPr>
            </w:pPr>
            <w:r w:rsidRPr="00295E71">
              <w:rPr>
                <w:lang w:val="it-IT"/>
              </w:rPr>
              <w:t>Esami diagnostici*</w:t>
            </w:r>
          </w:p>
        </w:tc>
        <w:tc>
          <w:tcPr>
            <w:tcW w:w="2036" w:type="dxa"/>
          </w:tcPr>
          <w:p w:rsidR="00822954" w:rsidRPr="00295E71" w:rsidP="00C04163" w14:paraId="3AB2969F" w14:textId="77777777">
            <w:pPr>
              <w:pStyle w:val="EMEANormal"/>
              <w:widowControl w:val="0"/>
              <w:spacing w:before="60"/>
              <w:rPr>
                <w:lang w:val="it-IT"/>
              </w:rPr>
            </w:pPr>
            <w:r w:rsidRPr="00295E71">
              <w:rPr>
                <w:lang w:val="it-IT"/>
              </w:rPr>
              <w:t>Comune</w:t>
            </w:r>
          </w:p>
        </w:tc>
        <w:tc>
          <w:tcPr>
            <w:tcW w:w="4456" w:type="dxa"/>
          </w:tcPr>
          <w:p w:rsidR="00822954" w:rsidRPr="00295E71" w:rsidP="00C04163" w14:paraId="7049133F" w14:textId="77777777">
            <w:pPr>
              <w:pStyle w:val="EMEANormal"/>
              <w:widowControl w:val="0"/>
              <w:spacing w:before="60"/>
              <w:rPr>
                <w:lang w:val="it-IT"/>
              </w:rPr>
            </w:pPr>
            <w:r w:rsidRPr="00295E71">
              <w:rPr>
                <w:lang w:val="it-IT"/>
              </w:rPr>
              <w:t xml:space="preserve">Disturbi della coagulazione </w:t>
            </w:r>
            <w:r>
              <w:rPr>
                <w:lang w:val="it-IT"/>
              </w:rPr>
              <w:t xml:space="preserve">e disturbi emorragici </w:t>
            </w:r>
            <w:r w:rsidRPr="00295E71">
              <w:rPr>
                <w:lang w:val="it-IT"/>
              </w:rPr>
              <w:t xml:space="preserve">(tra cui prolungamento del tempo di tromboplastina parziale attivata), </w:t>
            </w:r>
          </w:p>
          <w:p w:rsidR="00822954" w:rsidRPr="00295E71" w:rsidP="00C04163" w14:paraId="3E744EA6" w14:textId="77777777">
            <w:pPr>
              <w:pStyle w:val="EMEANormal"/>
              <w:widowControl w:val="0"/>
              <w:spacing w:before="60"/>
              <w:rPr>
                <w:lang w:val="it-IT"/>
              </w:rPr>
            </w:pPr>
            <w:r w:rsidRPr="00295E71">
              <w:rPr>
                <w:lang w:val="it-IT"/>
              </w:rPr>
              <w:t>positività ai test per autoanticorpi (tra cui anticorpi anti</w:t>
            </w:r>
            <w:r>
              <w:rPr>
                <w:lang w:val="it-IT"/>
              </w:rPr>
              <w:t>-</w:t>
            </w:r>
            <w:r w:rsidRPr="00295E71">
              <w:rPr>
                <w:lang w:val="it-IT"/>
              </w:rPr>
              <w:t xml:space="preserve">DNA a doppia catena), </w:t>
            </w:r>
          </w:p>
          <w:p w:rsidR="00822954" w:rsidRPr="00295E71" w:rsidP="00C04163" w14:paraId="0EFA0C67" w14:textId="77777777">
            <w:pPr>
              <w:pStyle w:val="EMEANormal"/>
              <w:widowControl w:val="0"/>
              <w:spacing w:before="60"/>
              <w:rPr>
                <w:lang w:val="it-IT"/>
              </w:rPr>
            </w:pPr>
            <w:r w:rsidRPr="00295E71">
              <w:rPr>
                <w:lang w:val="it-IT"/>
              </w:rPr>
              <w:t>aumento della lattato deidrogenasi ematica</w:t>
            </w:r>
          </w:p>
          <w:p w:rsidR="00822954" w:rsidRPr="00295E71" w:rsidP="00C04163" w14:paraId="29BA7395" w14:textId="77777777">
            <w:pPr>
              <w:pStyle w:val="EMEANormal"/>
              <w:widowControl w:val="0"/>
              <w:spacing w:before="60"/>
              <w:rPr>
                <w:lang w:val="it-IT"/>
              </w:rPr>
            </w:pPr>
          </w:p>
        </w:tc>
      </w:tr>
      <w:tr w14:paraId="0114F7EC" w14:textId="77777777" w:rsidTr="00822954">
        <w:tblPrEx>
          <w:tblW w:w="0" w:type="auto"/>
          <w:tblLook w:val="01E0"/>
        </w:tblPrEx>
        <w:tc>
          <w:tcPr>
            <w:tcW w:w="2568" w:type="dxa"/>
            <w:vMerge/>
          </w:tcPr>
          <w:p w:rsidR="00822954" w:rsidRPr="00295E71" w:rsidP="00C04163" w14:paraId="6343CA2F" w14:textId="77777777">
            <w:pPr>
              <w:pStyle w:val="EMEANormal"/>
              <w:widowControl w:val="0"/>
              <w:spacing w:before="60"/>
              <w:rPr>
                <w:lang w:val="it-IT"/>
              </w:rPr>
            </w:pPr>
          </w:p>
        </w:tc>
        <w:tc>
          <w:tcPr>
            <w:tcW w:w="2036" w:type="dxa"/>
          </w:tcPr>
          <w:p w:rsidR="00822954" w:rsidRPr="00295E71" w:rsidP="00C04163" w14:paraId="3AB04F9B" w14:textId="77777777">
            <w:pPr>
              <w:pStyle w:val="EMEANormal"/>
              <w:widowControl w:val="0"/>
              <w:spacing w:before="60"/>
              <w:rPr>
                <w:lang w:val="it-IT"/>
              </w:rPr>
            </w:pPr>
            <w:r>
              <w:rPr>
                <w:lang w:val="it-IT"/>
              </w:rPr>
              <w:t>Non nota</w:t>
            </w:r>
          </w:p>
        </w:tc>
        <w:tc>
          <w:tcPr>
            <w:tcW w:w="4456" w:type="dxa"/>
          </w:tcPr>
          <w:p w:rsidR="00822954" w:rsidRPr="00FD1D51" w:rsidP="00C04163" w14:paraId="18EAC1AE" w14:textId="77777777">
            <w:pPr>
              <w:pStyle w:val="EMEANormal"/>
              <w:widowControl w:val="0"/>
              <w:spacing w:before="60"/>
              <w:rPr>
                <w:vertAlign w:val="superscript"/>
                <w:lang w:val="it-IT"/>
              </w:rPr>
            </w:pPr>
            <w:r>
              <w:rPr>
                <w:lang w:val="it-IT"/>
              </w:rPr>
              <w:t>Aumento di peso</w:t>
            </w:r>
            <w:r>
              <w:rPr>
                <w:vertAlign w:val="superscript"/>
                <w:lang w:val="it-IT"/>
              </w:rPr>
              <w:t>2)</w:t>
            </w:r>
          </w:p>
        </w:tc>
      </w:tr>
      <w:tr w14:paraId="21999DF7" w14:textId="77777777" w:rsidTr="00910CE7">
        <w:tblPrEx>
          <w:tblW w:w="0" w:type="auto"/>
          <w:tblLook w:val="01E0"/>
        </w:tblPrEx>
        <w:tc>
          <w:tcPr>
            <w:tcW w:w="2568" w:type="dxa"/>
          </w:tcPr>
          <w:p w:rsidR="006224C2" w:rsidRPr="00295E71" w:rsidP="00C04163" w14:paraId="1C77C5B2" w14:textId="77777777">
            <w:pPr>
              <w:pStyle w:val="EMEANormal"/>
              <w:widowControl w:val="0"/>
              <w:spacing w:before="60"/>
              <w:rPr>
                <w:lang w:val="it-IT"/>
              </w:rPr>
            </w:pPr>
            <w:r w:rsidRPr="00295E71">
              <w:rPr>
                <w:lang w:val="it-IT"/>
              </w:rPr>
              <w:t>Traumatismo, avvelenamento e complicazioni da procedura</w:t>
            </w:r>
          </w:p>
        </w:tc>
        <w:tc>
          <w:tcPr>
            <w:tcW w:w="2036" w:type="dxa"/>
          </w:tcPr>
          <w:p w:rsidR="006224C2" w:rsidRPr="00295E71" w:rsidP="00C04163" w14:paraId="39E7F08B" w14:textId="77777777">
            <w:pPr>
              <w:pStyle w:val="EMEANormal"/>
              <w:widowControl w:val="0"/>
              <w:spacing w:before="60"/>
              <w:rPr>
                <w:lang w:val="it-IT"/>
              </w:rPr>
            </w:pPr>
            <w:r w:rsidRPr="00295E71">
              <w:rPr>
                <w:lang w:val="it-IT"/>
              </w:rPr>
              <w:t>Comune</w:t>
            </w:r>
          </w:p>
        </w:tc>
        <w:tc>
          <w:tcPr>
            <w:tcW w:w="4456" w:type="dxa"/>
          </w:tcPr>
          <w:p w:rsidR="006224C2" w:rsidRPr="00295E71" w:rsidP="00C04163" w14:paraId="1203D04A" w14:textId="77777777">
            <w:pPr>
              <w:pStyle w:val="EMEANormal"/>
              <w:widowControl w:val="0"/>
              <w:spacing w:before="60"/>
              <w:rPr>
                <w:lang w:val="it-IT"/>
              </w:rPr>
            </w:pPr>
            <w:r w:rsidRPr="00295E71">
              <w:rPr>
                <w:lang w:val="it-IT"/>
              </w:rPr>
              <w:t>D</w:t>
            </w:r>
            <w:r w:rsidRPr="00295E71" w:rsidR="00226BC4">
              <w:rPr>
                <w:lang w:val="it-IT"/>
              </w:rPr>
              <w:t>ifficoltà di cicatrizzazione</w:t>
            </w:r>
          </w:p>
          <w:p w:rsidR="006224C2" w:rsidRPr="00295E71" w:rsidP="00C04163" w14:paraId="375A6320" w14:textId="77777777">
            <w:pPr>
              <w:pStyle w:val="EMEANormal"/>
              <w:widowControl w:val="0"/>
              <w:spacing w:before="60"/>
              <w:rPr>
                <w:lang w:val="it-IT"/>
              </w:rPr>
            </w:pPr>
          </w:p>
        </w:tc>
      </w:tr>
    </w:tbl>
    <w:p w:rsidR="006224C2" w:rsidRPr="00295E71" w:rsidP="00C04163" w14:paraId="1D4DD051" w14:textId="77777777">
      <w:pPr>
        <w:tabs>
          <w:tab w:val="left" w:pos="567"/>
        </w:tabs>
        <w:autoSpaceDE w:val="0"/>
        <w:autoSpaceDN w:val="0"/>
        <w:adjustRightInd w:val="0"/>
        <w:jc w:val="both"/>
        <w:rPr>
          <w:color w:val="000000"/>
          <w:sz w:val="22"/>
          <w:szCs w:val="22"/>
        </w:rPr>
      </w:pPr>
      <w:r w:rsidRPr="00295E71">
        <w:rPr>
          <w:color w:val="000000"/>
          <w:sz w:val="22"/>
          <w:szCs w:val="22"/>
        </w:rPr>
        <w:t>* sono presenti ulteriori informazioni contenute nei paragrafi 4.3, 4.4 e 4.8</w:t>
      </w:r>
    </w:p>
    <w:p w:rsidR="006224C2" w:rsidRPr="00295E71" w:rsidP="00C04163" w14:paraId="4D3D871F" w14:textId="77777777">
      <w:pPr>
        <w:tabs>
          <w:tab w:val="left" w:pos="567"/>
        </w:tabs>
        <w:autoSpaceDE w:val="0"/>
        <w:autoSpaceDN w:val="0"/>
        <w:adjustRightInd w:val="0"/>
        <w:jc w:val="both"/>
        <w:rPr>
          <w:color w:val="000000"/>
          <w:sz w:val="22"/>
          <w:szCs w:val="22"/>
        </w:rPr>
      </w:pPr>
      <w:r w:rsidRPr="00295E71">
        <w:rPr>
          <w:color w:val="000000"/>
          <w:sz w:val="22"/>
          <w:szCs w:val="22"/>
        </w:rPr>
        <w:t>** tra cui studi di estensione in aperto</w:t>
      </w:r>
    </w:p>
    <w:p w:rsidR="006224C2" w:rsidRPr="002538BF" w:rsidP="00910CE7" w14:paraId="4C7585FB" w14:textId="77777777">
      <w:pPr>
        <w:pStyle w:val="ListParagraph"/>
        <w:numPr>
          <w:ilvl w:val="0"/>
          <w:numId w:val="165"/>
        </w:numPr>
        <w:tabs>
          <w:tab w:val="left" w:pos="567"/>
        </w:tabs>
        <w:autoSpaceDE w:val="0"/>
        <w:autoSpaceDN w:val="0"/>
        <w:adjustRightInd w:val="0"/>
        <w:jc w:val="both"/>
        <w:rPr>
          <w:color w:val="000000"/>
          <w:sz w:val="22"/>
          <w:szCs w:val="22"/>
        </w:rPr>
      </w:pPr>
      <w:r w:rsidRPr="002538BF">
        <w:rPr>
          <w:color w:val="000000"/>
          <w:sz w:val="22"/>
          <w:szCs w:val="22"/>
        </w:rPr>
        <w:t>tra cui dati provenienti da segnalazioni spontanee</w:t>
      </w:r>
    </w:p>
    <w:p w:rsidR="00822954" w:rsidRPr="0087691F" w:rsidP="002538BF" w14:paraId="53A1C03B" w14:textId="77777777">
      <w:pPr>
        <w:pStyle w:val="EMEANormal"/>
        <w:widowControl w:val="0"/>
        <w:numPr>
          <w:ilvl w:val="0"/>
          <w:numId w:val="165"/>
        </w:numPr>
        <w:rPr>
          <w:lang w:val="it-IT"/>
        </w:rPr>
      </w:pPr>
      <w:r w:rsidRPr="0025081D">
        <w:rPr>
          <w:lang w:val="it-IT"/>
        </w:rPr>
        <w:t>La variazione ponderale media rispetto al basale per adalimumab era compresa tra 0,3 kg e 1,0 kg per le indicazioni per adulti rispetto a (meno) - 0,4 kg e 0,4 kg per il placebo nell’arco di un periodo di trattamento di 4-6 mesi. È stato osservato anche un aumento di peso di 5-6 kg in studi di estensione a lungo termine con esposizioni medie di circa 1-2 anni in assenza di un gruppo di controllo, in particolare nei pazienti affetti da morbo di Crohn e colite ulcerosa. Il meccanismo alla base di questo effetto non è chiaro, ma potrebbe essere associato all’effetto antinfiammatorio di adalimumab.</w:t>
      </w:r>
    </w:p>
    <w:p w:rsidR="006224C2" w:rsidRPr="00295E71" w:rsidP="00C04163" w14:paraId="7F586D4C" w14:textId="77777777">
      <w:pPr>
        <w:tabs>
          <w:tab w:val="left" w:pos="567"/>
        </w:tabs>
        <w:autoSpaceDE w:val="0"/>
        <w:autoSpaceDN w:val="0"/>
        <w:adjustRightInd w:val="0"/>
        <w:rPr>
          <w:color w:val="000000"/>
          <w:sz w:val="22"/>
          <w:szCs w:val="22"/>
          <w:u w:val="single"/>
        </w:rPr>
      </w:pPr>
    </w:p>
    <w:p w:rsidR="006224C2" w:rsidRPr="00295E71" w14:paraId="7E6602F4" w14:textId="77777777">
      <w:pPr>
        <w:keepNext/>
        <w:rPr>
          <w:color w:val="000000"/>
          <w:sz w:val="22"/>
          <w:szCs w:val="22"/>
          <w:u w:val="single"/>
        </w:rPr>
      </w:pPr>
      <w:r w:rsidRPr="00295E71">
        <w:rPr>
          <w:color w:val="000000"/>
          <w:sz w:val="22"/>
          <w:szCs w:val="22"/>
          <w:u w:val="single"/>
        </w:rPr>
        <w:t>Idrosadenite Suppurativa</w:t>
      </w:r>
    </w:p>
    <w:p w:rsidR="006224C2" w:rsidRPr="00295E71" w14:paraId="2A8C3EB5" w14:textId="77777777">
      <w:pPr>
        <w:keepNext/>
        <w:tabs>
          <w:tab w:val="left" w:pos="567"/>
        </w:tabs>
        <w:autoSpaceDE w:val="0"/>
        <w:autoSpaceDN w:val="0"/>
        <w:adjustRightInd w:val="0"/>
        <w:jc w:val="both"/>
        <w:rPr>
          <w:color w:val="000000"/>
          <w:sz w:val="22"/>
          <w:szCs w:val="22"/>
        </w:rPr>
      </w:pPr>
    </w:p>
    <w:p w:rsidR="006224C2" w:rsidRPr="00295E71" w14:paraId="614E672A" w14:textId="77777777">
      <w:pPr>
        <w:keepNext/>
        <w:tabs>
          <w:tab w:val="left" w:pos="567"/>
        </w:tabs>
        <w:autoSpaceDE w:val="0"/>
        <w:autoSpaceDN w:val="0"/>
        <w:adjustRightInd w:val="0"/>
        <w:jc w:val="both"/>
        <w:rPr>
          <w:color w:val="000000"/>
          <w:sz w:val="22"/>
          <w:szCs w:val="22"/>
        </w:rPr>
      </w:pPr>
      <w:r w:rsidRPr="00295E71">
        <w:rPr>
          <w:color w:val="000000"/>
          <w:sz w:val="22"/>
          <w:szCs w:val="22"/>
        </w:rPr>
        <w:t xml:space="preserve">Il profilo di sicurezza di Humira utilizzato ogni settimana nei pazienti con Idrosadenite Suppurativa (HS) è </w:t>
      </w:r>
      <w:r w:rsidR="00660603">
        <w:rPr>
          <w:color w:val="000000"/>
          <w:sz w:val="22"/>
          <w:szCs w:val="22"/>
        </w:rPr>
        <w:t>stato coerente con il</w:t>
      </w:r>
      <w:r w:rsidRPr="00295E71">
        <w:rPr>
          <w:color w:val="000000"/>
          <w:sz w:val="22"/>
          <w:szCs w:val="22"/>
        </w:rPr>
        <w:t xml:space="preserve"> profilo di sicurezza noto di Humira.</w:t>
      </w:r>
    </w:p>
    <w:p w:rsidR="006224C2" w:rsidRPr="00295E71" w14:paraId="17D8A60E" w14:textId="77777777">
      <w:pPr>
        <w:tabs>
          <w:tab w:val="left" w:pos="567"/>
        </w:tabs>
        <w:autoSpaceDE w:val="0"/>
        <w:autoSpaceDN w:val="0"/>
        <w:adjustRightInd w:val="0"/>
        <w:jc w:val="both"/>
        <w:rPr>
          <w:color w:val="000000"/>
          <w:sz w:val="22"/>
          <w:szCs w:val="22"/>
          <w:u w:val="single"/>
        </w:rPr>
      </w:pPr>
    </w:p>
    <w:p w:rsidR="006224C2" w:rsidRPr="00295E71" w14:paraId="6D671ADC" w14:textId="77777777">
      <w:pPr>
        <w:keepNext/>
        <w:tabs>
          <w:tab w:val="left" w:pos="567"/>
        </w:tabs>
        <w:autoSpaceDE w:val="0"/>
        <w:autoSpaceDN w:val="0"/>
        <w:adjustRightInd w:val="0"/>
        <w:jc w:val="both"/>
        <w:rPr>
          <w:color w:val="000000"/>
          <w:sz w:val="22"/>
          <w:szCs w:val="22"/>
          <w:u w:val="single"/>
        </w:rPr>
      </w:pPr>
      <w:r w:rsidRPr="00295E71">
        <w:rPr>
          <w:color w:val="000000"/>
          <w:sz w:val="22"/>
          <w:szCs w:val="22"/>
          <w:u w:val="single"/>
        </w:rPr>
        <w:t>Uveite</w:t>
      </w:r>
    </w:p>
    <w:p w:rsidR="006224C2" w:rsidRPr="00295E71" w14:paraId="277E5778" w14:textId="77777777">
      <w:pPr>
        <w:keepNext/>
        <w:tabs>
          <w:tab w:val="left" w:pos="567"/>
        </w:tabs>
        <w:autoSpaceDE w:val="0"/>
        <w:autoSpaceDN w:val="0"/>
        <w:adjustRightInd w:val="0"/>
        <w:jc w:val="both"/>
        <w:rPr>
          <w:color w:val="000000"/>
          <w:sz w:val="22"/>
          <w:szCs w:val="22"/>
        </w:rPr>
      </w:pPr>
    </w:p>
    <w:p w:rsidR="006224C2" w:rsidRPr="00295E71" w14:paraId="34EE5FA6" w14:textId="77777777">
      <w:pPr>
        <w:keepNext/>
        <w:tabs>
          <w:tab w:val="left" w:pos="567"/>
        </w:tabs>
        <w:autoSpaceDE w:val="0"/>
        <w:autoSpaceDN w:val="0"/>
        <w:adjustRightInd w:val="0"/>
        <w:jc w:val="both"/>
        <w:rPr>
          <w:color w:val="000000"/>
          <w:sz w:val="22"/>
          <w:szCs w:val="22"/>
          <w:u w:val="single"/>
        </w:rPr>
      </w:pPr>
      <w:r w:rsidRPr="00295E71">
        <w:rPr>
          <w:color w:val="000000"/>
          <w:sz w:val="22"/>
          <w:szCs w:val="22"/>
        </w:rPr>
        <w:t xml:space="preserve">Il profilo di sicurezza nei pazienti affetti da uveite trattati con Humira a settimane alterne è </w:t>
      </w:r>
      <w:r w:rsidR="00660603">
        <w:rPr>
          <w:color w:val="000000"/>
          <w:sz w:val="22"/>
          <w:szCs w:val="22"/>
        </w:rPr>
        <w:t xml:space="preserve">stato </w:t>
      </w:r>
      <w:r w:rsidRPr="00295E71">
        <w:rPr>
          <w:color w:val="000000"/>
          <w:sz w:val="22"/>
          <w:szCs w:val="22"/>
        </w:rPr>
        <w:t>coerente con il profilo di sicurezza noto di Humira.</w:t>
      </w:r>
    </w:p>
    <w:p w:rsidR="006224C2" w:rsidRPr="00295E71" w14:paraId="37D840F7" w14:textId="77777777">
      <w:pPr>
        <w:tabs>
          <w:tab w:val="left" w:pos="567"/>
        </w:tabs>
        <w:autoSpaceDE w:val="0"/>
        <w:autoSpaceDN w:val="0"/>
        <w:adjustRightInd w:val="0"/>
        <w:jc w:val="both"/>
        <w:rPr>
          <w:color w:val="000000"/>
          <w:sz w:val="22"/>
          <w:szCs w:val="22"/>
          <w:u w:val="single"/>
        </w:rPr>
      </w:pPr>
    </w:p>
    <w:p w:rsidR="006224C2" w:rsidRPr="00295E71" w14:paraId="7E411F84" w14:textId="77777777">
      <w:pPr>
        <w:tabs>
          <w:tab w:val="left" w:pos="567"/>
        </w:tabs>
        <w:autoSpaceDE w:val="0"/>
        <w:autoSpaceDN w:val="0"/>
        <w:adjustRightInd w:val="0"/>
        <w:jc w:val="both"/>
        <w:rPr>
          <w:color w:val="000000"/>
          <w:sz w:val="22"/>
          <w:szCs w:val="22"/>
          <w:u w:val="single"/>
        </w:rPr>
      </w:pPr>
      <w:r w:rsidRPr="00295E71">
        <w:rPr>
          <w:color w:val="000000"/>
          <w:sz w:val="22"/>
          <w:szCs w:val="22"/>
          <w:u w:val="single"/>
        </w:rPr>
        <w:t>Descrizione delle reazioni avverse selezionate</w:t>
      </w:r>
    </w:p>
    <w:p w:rsidR="006224C2" w:rsidRPr="00295E71" w14:paraId="2362F85A" w14:textId="77777777">
      <w:pPr>
        <w:tabs>
          <w:tab w:val="left" w:pos="567"/>
        </w:tabs>
        <w:autoSpaceDE w:val="0"/>
        <w:autoSpaceDN w:val="0"/>
        <w:adjustRightInd w:val="0"/>
        <w:jc w:val="both"/>
        <w:rPr>
          <w:color w:val="000000"/>
          <w:sz w:val="22"/>
          <w:szCs w:val="22"/>
          <w:u w:val="single"/>
        </w:rPr>
      </w:pPr>
    </w:p>
    <w:p w:rsidR="006224C2" w:rsidRPr="00295E71" w14:paraId="26DE4FAA" w14:textId="77777777">
      <w:pPr>
        <w:tabs>
          <w:tab w:val="left" w:pos="567"/>
        </w:tabs>
        <w:autoSpaceDE w:val="0"/>
        <w:autoSpaceDN w:val="0"/>
        <w:adjustRightInd w:val="0"/>
        <w:jc w:val="both"/>
        <w:rPr>
          <w:i/>
          <w:color w:val="000000"/>
          <w:sz w:val="22"/>
          <w:szCs w:val="22"/>
        </w:rPr>
      </w:pPr>
      <w:r w:rsidRPr="00295E71">
        <w:rPr>
          <w:i/>
          <w:color w:val="000000"/>
          <w:sz w:val="22"/>
          <w:szCs w:val="22"/>
        </w:rPr>
        <w:t>Reazioni nel sito di iniezione</w:t>
      </w:r>
    </w:p>
    <w:p w:rsidR="006224C2" w:rsidRPr="00295E71" w14:paraId="39A304B9" w14:textId="77777777">
      <w:pPr>
        <w:tabs>
          <w:tab w:val="left" w:pos="567"/>
        </w:tabs>
        <w:autoSpaceDE w:val="0"/>
        <w:autoSpaceDN w:val="0"/>
        <w:adjustRightInd w:val="0"/>
        <w:jc w:val="both"/>
        <w:rPr>
          <w:sz w:val="22"/>
          <w:szCs w:val="22"/>
        </w:rPr>
      </w:pPr>
    </w:p>
    <w:p w:rsidR="006224C2" w:rsidRPr="00295E71" w14:paraId="3DF9107D" w14:textId="77777777">
      <w:pPr>
        <w:tabs>
          <w:tab w:val="left" w:pos="567"/>
        </w:tabs>
        <w:jc w:val="both"/>
        <w:rPr>
          <w:color w:val="000000"/>
          <w:sz w:val="22"/>
          <w:szCs w:val="22"/>
        </w:rPr>
      </w:pPr>
      <w:r w:rsidRPr="00295E71">
        <w:rPr>
          <w:color w:val="000000"/>
          <w:sz w:val="22"/>
          <w:szCs w:val="22"/>
        </w:rPr>
        <w:t xml:space="preserve">Negli studi clinici registrativi controllati su adulti e bambini, il 12,9% dei pazienti trattati con Humira ha manifestato reazioni nel sito d’iniezione (eritema e/o prurito, emorragia, dolore o edema), contro il 7,2% dei pazienti trattati con placebo o con controllo attivo. Le reazioni nel sito d’iniezione non hanno richiesto generalmente la sospensione del </w:t>
      </w:r>
      <w:r w:rsidRPr="00020442" w:rsidR="00660603">
        <w:rPr>
          <w:color w:val="000000"/>
          <w:sz w:val="22"/>
          <w:szCs w:val="22"/>
        </w:rPr>
        <w:t>medicinale</w:t>
      </w:r>
      <w:r w:rsidRPr="00295E71">
        <w:rPr>
          <w:color w:val="000000"/>
          <w:sz w:val="22"/>
          <w:szCs w:val="22"/>
        </w:rPr>
        <w:t>.</w:t>
      </w:r>
    </w:p>
    <w:p w:rsidR="006224C2" w:rsidRPr="00295E71" w14:paraId="16FA58BD" w14:textId="77777777">
      <w:pPr>
        <w:tabs>
          <w:tab w:val="left" w:pos="567"/>
        </w:tabs>
        <w:autoSpaceDE w:val="0"/>
        <w:autoSpaceDN w:val="0"/>
        <w:adjustRightInd w:val="0"/>
        <w:jc w:val="both"/>
        <w:rPr>
          <w:color w:val="000000"/>
          <w:sz w:val="22"/>
          <w:szCs w:val="22"/>
        </w:rPr>
      </w:pPr>
    </w:p>
    <w:p w:rsidR="006224C2" w:rsidRPr="00295E71" w:rsidP="00F57FE5" w14:paraId="1D2B0F86" w14:textId="77777777">
      <w:pPr>
        <w:keepNext/>
        <w:keepLines/>
        <w:tabs>
          <w:tab w:val="left" w:pos="567"/>
        </w:tabs>
        <w:autoSpaceDE w:val="0"/>
        <w:autoSpaceDN w:val="0"/>
        <w:adjustRightInd w:val="0"/>
        <w:jc w:val="both"/>
        <w:rPr>
          <w:i/>
          <w:color w:val="000000"/>
          <w:sz w:val="22"/>
          <w:szCs w:val="22"/>
        </w:rPr>
      </w:pPr>
      <w:r w:rsidRPr="00295E71">
        <w:rPr>
          <w:i/>
          <w:color w:val="000000"/>
          <w:sz w:val="22"/>
          <w:szCs w:val="22"/>
        </w:rPr>
        <w:t>Infezioni</w:t>
      </w:r>
    </w:p>
    <w:p w:rsidR="006224C2" w:rsidRPr="00295E71" w:rsidP="00F57FE5" w14:paraId="17FF3863" w14:textId="77777777">
      <w:pPr>
        <w:keepNext/>
        <w:keepLines/>
        <w:tabs>
          <w:tab w:val="left" w:pos="567"/>
        </w:tabs>
        <w:autoSpaceDE w:val="0"/>
        <w:autoSpaceDN w:val="0"/>
        <w:adjustRightInd w:val="0"/>
        <w:jc w:val="both"/>
        <w:rPr>
          <w:color w:val="000000"/>
          <w:sz w:val="22"/>
          <w:szCs w:val="22"/>
        </w:rPr>
      </w:pPr>
    </w:p>
    <w:p w:rsidR="006224C2" w:rsidRPr="00295E71" w:rsidP="00F57FE5" w14:paraId="3522E3FD" w14:textId="77777777">
      <w:pPr>
        <w:pStyle w:val="BodyText"/>
        <w:keepNext/>
        <w:keepLines/>
        <w:tabs>
          <w:tab w:val="left" w:pos="567"/>
        </w:tabs>
      </w:pPr>
      <w:r w:rsidRPr="00295E71">
        <w:t>Negli studi clinici registrativi controllati su adulti e bambini, il tasso d’infezione è stato di 1,51 per paziente/anno nel gruppo trattato con Humira e di 1,46 per paziente/anno nel gruppo trattato con placebo e con controllo attivo. Le infezioni sono state rappresentate principalmente da rinofaringiti, infezioni delle vie respiratorie superiori e sinusite. La maggior parte dei pazienti ha continuato ad assumere Humira dopo la remissione dell’infezione.</w:t>
      </w:r>
    </w:p>
    <w:p w:rsidR="006224C2" w:rsidRPr="00295E71" w14:paraId="16913954" w14:textId="77777777">
      <w:pPr>
        <w:pStyle w:val="BodyText"/>
        <w:tabs>
          <w:tab w:val="left" w:pos="567"/>
        </w:tabs>
      </w:pPr>
    </w:p>
    <w:p w:rsidR="006224C2" w:rsidRPr="00295E71" w14:paraId="5C510BE1" w14:textId="77777777">
      <w:pPr>
        <w:pStyle w:val="BodyText"/>
        <w:tabs>
          <w:tab w:val="left" w:pos="567"/>
        </w:tabs>
      </w:pPr>
      <w:r w:rsidRPr="00295E71">
        <w:t>L’incidenza di infezioni gravi è stata di 0,04 per paziente/anno nel gruppo trattato con Humira e di 0,03 per paziente/anno in quello trattato con placebo e con controllo attivo.</w:t>
      </w:r>
    </w:p>
    <w:p w:rsidR="006224C2" w:rsidRPr="00295E71" w14:paraId="2C4191B4" w14:textId="77777777">
      <w:pPr>
        <w:pStyle w:val="BodyText"/>
        <w:tabs>
          <w:tab w:val="left" w:pos="567"/>
        </w:tabs>
      </w:pPr>
    </w:p>
    <w:p w:rsidR="006224C2" w:rsidRPr="00295E71" w14:paraId="6A7F6D7F" w14:textId="77777777">
      <w:pPr>
        <w:pStyle w:val="BodyText"/>
        <w:tabs>
          <w:tab w:val="left" w:pos="567"/>
        </w:tabs>
      </w:pPr>
      <w:r w:rsidRPr="00295E71">
        <w:t>Nel corso degli studi controllati e in aperto condotti con Humira su adulti e bambini, sono state segnalate infezioni di grave entità (anche infezioni fatali, verificatesi solo raramente), che hanno incluso segnalazioni di casi di tubercolosi (anche con localizzazioni miliari ed extra-polmonari) e infezioni opportunistiche invasive (ad es., da istoplasmosi disseminata o extrapolmonare, blastomicosi, coccidioidomicosi, pneumocistosi, candidosi, aspergillosi e listeriosi). La maggior parte dei casi di tubercolosi si è verificata nel corso dei primi otto mesi dall’inizio della terapia e possono essere interpretati come una recrudescenza della malattia latente.</w:t>
      </w:r>
    </w:p>
    <w:p w:rsidR="006224C2" w:rsidRPr="00295E71" w14:paraId="35988970" w14:textId="77777777">
      <w:pPr>
        <w:pStyle w:val="BodyText"/>
        <w:tabs>
          <w:tab w:val="left" w:pos="567"/>
        </w:tabs>
        <w:rPr>
          <w:i/>
          <w:color w:val="000000"/>
        </w:rPr>
      </w:pPr>
    </w:p>
    <w:p w:rsidR="006224C2" w:rsidRPr="00295E71" w14:paraId="37DD6188" w14:textId="77777777">
      <w:pPr>
        <w:tabs>
          <w:tab w:val="left" w:pos="567"/>
        </w:tabs>
        <w:autoSpaceDE w:val="0"/>
        <w:autoSpaceDN w:val="0"/>
        <w:adjustRightInd w:val="0"/>
        <w:jc w:val="both"/>
        <w:rPr>
          <w:i/>
          <w:color w:val="000000"/>
          <w:sz w:val="22"/>
          <w:szCs w:val="22"/>
        </w:rPr>
      </w:pPr>
      <w:r w:rsidRPr="00295E71">
        <w:rPr>
          <w:i/>
          <w:color w:val="000000"/>
          <w:sz w:val="22"/>
          <w:szCs w:val="22"/>
        </w:rPr>
        <w:t>Neoplasie e malattie linfoproliferative</w:t>
      </w:r>
    </w:p>
    <w:p w:rsidR="006224C2" w:rsidRPr="00295E71" w14:paraId="42F38210" w14:textId="77777777">
      <w:pPr>
        <w:tabs>
          <w:tab w:val="left" w:pos="567"/>
        </w:tabs>
        <w:autoSpaceDE w:val="0"/>
        <w:autoSpaceDN w:val="0"/>
        <w:adjustRightInd w:val="0"/>
        <w:jc w:val="both"/>
        <w:rPr>
          <w:color w:val="000000"/>
          <w:sz w:val="22"/>
          <w:szCs w:val="22"/>
          <w:u w:val="single"/>
        </w:rPr>
      </w:pPr>
    </w:p>
    <w:p w:rsidR="006224C2" w:rsidRPr="00612824" w:rsidP="00612824" w14:paraId="12D1699F" w14:textId="77777777">
      <w:r w:rsidRPr="00295E71">
        <w:rPr>
          <w:color w:val="000000"/>
          <w:sz w:val="22"/>
          <w:szCs w:val="22"/>
        </w:rPr>
        <w:t>Nel corso di studi eseguiti somministrando Humira ai pazienti affetti da artrite idiopatica giovanile (artrite idiopatica giovanile poliarticolare e artrite associata ad entesite), non sono state osservate neoplasie maligne nei 249 pazienti pediatrici</w:t>
      </w:r>
      <w:r w:rsidRPr="00295E71" w:rsidR="003063DA">
        <w:rPr>
          <w:color w:val="000000"/>
          <w:sz w:val="22"/>
          <w:szCs w:val="22"/>
        </w:rPr>
        <w:t xml:space="preserve"> </w:t>
      </w:r>
      <w:r w:rsidRPr="00295E71">
        <w:rPr>
          <w:color w:val="000000"/>
          <w:sz w:val="22"/>
          <w:szCs w:val="22"/>
        </w:rPr>
        <w:t xml:space="preserve">con un’esposizione di 655,6 </w:t>
      </w:r>
      <w:r w:rsidRPr="00020442" w:rsidR="00660603">
        <w:rPr>
          <w:color w:val="000000"/>
          <w:sz w:val="22"/>
          <w:szCs w:val="22"/>
        </w:rPr>
        <w:t>anni-paziente</w:t>
      </w:r>
      <w:r w:rsidRPr="00295E71">
        <w:rPr>
          <w:color w:val="000000"/>
          <w:sz w:val="22"/>
          <w:szCs w:val="22"/>
        </w:rPr>
        <w:t xml:space="preserve">. In aggiunta non sono state osservate neoplasie maligne nei 192 pazienti pediatrici con una esposizione di 498,1 </w:t>
      </w:r>
      <w:r w:rsidRPr="00020442" w:rsidR="00660603">
        <w:rPr>
          <w:color w:val="000000"/>
          <w:sz w:val="22"/>
          <w:szCs w:val="22"/>
        </w:rPr>
        <w:t>anni-paziente</w:t>
      </w:r>
      <w:r w:rsidRPr="00295E71">
        <w:rPr>
          <w:color w:val="000000"/>
          <w:sz w:val="22"/>
          <w:szCs w:val="22"/>
        </w:rPr>
        <w:t xml:space="preserve"> durante studi eseguiti somministrando Humira ai pazienti pediatrici affetti da Malattia di Crohn. </w:t>
      </w:r>
      <w:r w:rsidRPr="00295E71">
        <w:rPr>
          <w:rFonts w:eastAsia="Arial"/>
          <w:sz w:val="22"/>
          <w:szCs w:val="22"/>
          <w:lang w:bidi="it-IT"/>
        </w:rPr>
        <w:t xml:space="preserve">Nel corso di uno studio in cui è stato somministrato Humira a pazienti pediatrici con psoriasi cronica a placche, non è stata osservata alcuna neoplasia maligna in 77 pazienti con un’esposizione di 80,0 </w:t>
      </w:r>
      <w:r w:rsidRPr="00020442" w:rsidR="00660603">
        <w:rPr>
          <w:color w:val="000000"/>
          <w:sz w:val="22"/>
          <w:szCs w:val="22"/>
        </w:rPr>
        <w:t>anni-paziente</w:t>
      </w:r>
      <w:r w:rsidRPr="00295E71">
        <w:rPr>
          <w:rFonts w:eastAsia="Arial"/>
          <w:sz w:val="22"/>
          <w:szCs w:val="22"/>
          <w:lang w:bidi="it-IT"/>
        </w:rPr>
        <w:t xml:space="preserve">. </w:t>
      </w:r>
      <w:r w:rsidRPr="00284D9A" w:rsidR="00284D9A">
        <w:rPr>
          <w:rStyle w:val="normaltextrun"/>
          <w:sz w:val="22"/>
          <w:szCs w:val="22"/>
          <w:shd w:val="clear" w:color="auto" w:fill="FFFFFF"/>
        </w:rPr>
        <w:t>Durante uno studio su Humira in pazienti pediatrici affetti da colite ulcerosa, in 93 pazienti pediatrici con un'esposizione di 65,3 anni-paziente non sono state osservate neoplasie maligne.</w:t>
      </w:r>
      <w:r w:rsidRPr="00612824" w:rsidR="00800CE0">
        <w:rPr>
          <w:sz w:val="22"/>
          <w:szCs w:val="22"/>
        </w:rPr>
        <w:t xml:space="preserve"> </w:t>
      </w:r>
      <w:r w:rsidRPr="00295E71">
        <w:rPr>
          <w:rFonts w:eastAsia="Arial"/>
          <w:sz w:val="22"/>
          <w:szCs w:val="22"/>
          <w:lang w:bidi="it-IT"/>
        </w:rPr>
        <w:t>Nel corso di uno studio in cui è stato somministrato Humira a pazienti pediatrici con uveite, non è stata osservata alcuna neoplasia maligna in 60 pazienti pediatrici con un’esposizione di 58,4 </w:t>
      </w:r>
      <w:r w:rsidRPr="00020442" w:rsidR="00660603">
        <w:rPr>
          <w:color w:val="000000"/>
          <w:sz w:val="22"/>
          <w:szCs w:val="22"/>
        </w:rPr>
        <w:t>anni-paziente</w:t>
      </w:r>
      <w:r w:rsidRPr="00295E71">
        <w:rPr>
          <w:rFonts w:eastAsia="Arial"/>
          <w:sz w:val="22"/>
          <w:szCs w:val="22"/>
          <w:lang w:bidi="it-IT"/>
        </w:rPr>
        <w:t>.</w:t>
      </w:r>
    </w:p>
    <w:p w:rsidR="006224C2" w:rsidRPr="00295E71" w14:paraId="06CDA905" w14:textId="77777777">
      <w:pPr>
        <w:tabs>
          <w:tab w:val="left" w:pos="567"/>
        </w:tabs>
        <w:autoSpaceDE w:val="0"/>
        <w:autoSpaceDN w:val="0"/>
        <w:adjustRightInd w:val="0"/>
        <w:jc w:val="both"/>
        <w:rPr>
          <w:color w:val="000000"/>
          <w:sz w:val="22"/>
          <w:szCs w:val="22"/>
        </w:rPr>
      </w:pPr>
    </w:p>
    <w:p w:rsidR="006224C2" w:rsidRPr="00295E71" w14:paraId="1AD9D765" w14:textId="77777777">
      <w:pPr>
        <w:tabs>
          <w:tab w:val="left" w:pos="567"/>
        </w:tabs>
        <w:autoSpaceDE w:val="0"/>
        <w:autoSpaceDN w:val="0"/>
        <w:adjustRightInd w:val="0"/>
        <w:jc w:val="both"/>
        <w:rPr>
          <w:color w:val="000000"/>
          <w:sz w:val="22"/>
          <w:szCs w:val="22"/>
        </w:rPr>
      </w:pPr>
      <w:r w:rsidRPr="00295E71">
        <w:rPr>
          <w:color w:val="000000"/>
          <w:sz w:val="22"/>
          <w:szCs w:val="22"/>
        </w:rPr>
        <w:t xml:space="preserve">Nelle sezioni controllate di studi registrativi su adulti con Humira della durata di almeno 12 settimane in pazienti con artrite reumatoide </w:t>
      </w:r>
      <w:r w:rsidRPr="00295E71">
        <w:rPr>
          <w:sz w:val="22"/>
          <w:szCs w:val="22"/>
        </w:rPr>
        <w:t>attiva di grado da moderato a severo</w:t>
      </w:r>
      <w:r w:rsidRPr="00295E71">
        <w:rPr>
          <w:color w:val="000000"/>
          <w:sz w:val="22"/>
          <w:szCs w:val="22"/>
        </w:rPr>
        <w:t>, spondilite anchilosante, spondiloart</w:t>
      </w:r>
      <w:r w:rsidRPr="00295E71" w:rsidR="003063DA">
        <w:rPr>
          <w:color w:val="000000"/>
          <w:sz w:val="22"/>
          <w:szCs w:val="22"/>
        </w:rPr>
        <w:t>r</w:t>
      </w:r>
      <w:r w:rsidRPr="00295E71">
        <w:rPr>
          <w:color w:val="000000"/>
          <w:sz w:val="22"/>
          <w:szCs w:val="22"/>
        </w:rPr>
        <w:t>ite assiale senza evidenza radiografica di SA, artrite psoriasica, psoriasi, idrosadenite suppurativa, malattia di Crohn, colite ulcerosa e uveite, neoplasie, oltre a linfoma e carcinoma cutaneo non melanotico sono stat</w:t>
      </w:r>
      <w:r w:rsidR="00660603">
        <w:rPr>
          <w:color w:val="000000"/>
          <w:sz w:val="22"/>
          <w:szCs w:val="22"/>
        </w:rPr>
        <w:t>e</w:t>
      </w:r>
      <w:r w:rsidRPr="00295E71">
        <w:rPr>
          <w:color w:val="000000"/>
          <w:sz w:val="22"/>
          <w:szCs w:val="22"/>
        </w:rPr>
        <w:t xml:space="preserve"> osservat</w:t>
      </w:r>
      <w:r w:rsidR="00660603">
        <w:rPr>
          <w:color w:val="000000"/>
          <w:sz w:val="22"/>
          <w:szCs w:val="22"/>
        </w:rPr>
        <w:t>e</w:t>
      </w:r>
      <w:r w:rsidRPr="00295E71">
        <w:rPr>
          <w:color w:val="000000"/>
          <w:sz w:val="22"/>
          <w:szCs w:val="22"/>
        </w:rPr>
        <w:t xml:space="preserve"> con un tasso (95% di intervallo di confidenza) di 6,8 (4,4; 10,5) per 1.000 </w:t>
      </w:r>
      <w:r w:rsidRPr="00020442" w:rsidR="00660603">
        <w:rPr>
          <w:color w:val="000000"/>
          <w:sz w:val="22"/>
          <w:szCs w:val="22"/>
        </w:rPr>
        <w:t>anni-paziente</w:t>
      </w:r>
      <w:r w:rsidR="00660603">
        <w:rPr>
          <w:color w:val="000000"/>
          <w:sz w:val="22"/>
          <w:szCs w:val="22"/>
        </w:rPr>
        <w:t xml:space="preserve"> in</w:t>
      </w:r>
      <w:r w:rsidRPr="00295E71">
        <w:rPr>
          <w:color w:val="000000"/>
          <w:sz w:val="22"/>
          <w:szCs w:val="22"/>
        </w:rPr>
        <w:t xml:space="preserve"> 5.291 pazienti trattati con Humira verso un tasso di 6,3 (3,4; 11,8) per 1.000 </w:t>
      </w:r>
      <w:r w:rsidRPr="00020442" w:rsidR="00660603">
        <w:rPr>
          <w:color w:val="000000"/>
          <w:sz w:val="22"/>
          <w:szCs w:val="22"/>
        </w:rPr>
        <w:t>anni-paziente</w:t>
      </w:r>
      <w:r w:rsidR="00660603">
        <w:rPr>
          <w:color w:val="000000"/>
          <w:sz w:val="22"/>
          <w:szCs w:val="22"/>
        </w:rPr>
        <w:t xml:space="preserve"> in</w:t>
      </w:r>
      <w:r w:rsidRPr="00295E71">
        <w:rPr>
          <w:color w:val="000000"/>
          <w:sz w:val="22"/>
          <w:szCs w:val="22"/>
        </w:rPr>
        <w:t xml:space="preserve"> 3.444 pazienti controllo (la durata mediana del trattamento è stata 4,0 mesi per i pazienti trattati con Humira e 3,8 mesi per i pazienti controllo). Il tasso (95% di intervallo di confidenza) dei carcinomi cutanei non melanotici è stato di 8,8 (6,0; 13,0) per 1.000 </w:t>
      </w:r>
      <w:r w:rsidRPr="00295E71" w:rsidR="00660603">
        <w:rPr>
          <w:color w:val="000000"/>
          <w:sz w:val="22"/>
          <w:szCs w:val="22"/>
        </w:rPr>
        <w:t>anni/paziente</w:t>
      </w:r>
      <w:r w:rsidRPr="00295E71">
        <w:rPr>
          <w:color w:val="000000"/>
          <w:sz w:val="22"/>
          <w:szCs w:val="22"/>
        </w:rPr>
        <w:t xml:space="preserve"> nei pazienti trattati con Humira e 3,2 (1,3; 7,6) per 1.000 </w:t>
      </w:r>
      <w:r w:rsidRPr="00295E71" w:rsidR="00660603">
        <w:rPr>
          <w:color w:val="000000"/>
          <w:sz w:val="22"/>
          <w:szCs w:val="22"/>
        </w:rPr>
        <w:t>anni/paziente</w:t>
      </w:r>
      <w:r w:rsidRPr="00295E71">
        <w:rPr>
          <w:color w:val="000000"/>
          <w:sz w:val="22"/>
          <w:szCs w:val="22"/>
        </w:rPr>
        <w:t xml:space="preserve"> nei pazienti controllo. </w:t>
      </w:r>
    </w:p>
    <w:p w:rsidR="006224C2" w:rsidRPr="00295E71" w14:paraId="32290879" w14:textId="77777777">
      <w:pPr>
        <w:tabs>
          <w:tab w:val="left" w:pos="567"/>
        </w:tabs>
        <w:autoSpaceDE w:val="0"/>
        <w:autoSpaceDN w:val="0"/>
        <w:adjustRightInd w:val="0"/>
        <w:jc w:val="both"/>
        <w:rPr>
          <w:color w:val="000000"/>
          <w:sz w:val="22"/>
          <w:szCs w:val="22"/>
        </w:rPr>
      </w:pPr>
    </w:p>
    <w:p w:rsidR="006224C2" w:rsidRPr="00295E71" w14:paraId="6B36C812" w14:textId="77777777">
      <w:pPr>
        <w:rPr>
          <w:color w:val="000000"/>
          <w:sz w:val="22"/>
          <w:szCs w:val="22"/>
        </w:rPr>
      </w:pPr>
      <w:r w:rsidRPr="00295E71">
        <w:rPr>
          <w:color w:val="000000"/>
          <w:sz w:val="22"/>
          <w:szCs w:val="22"/>
        </w:rPr>
        <w:t xml:space="preserve">Di questi carcinomi cutanei, carcinomi a cellule squamose si sono verificati con tassi (95% di intervallo di confidenza) di 2,7 (1,4; 5,4) per 1.000 </w:t>
      </w:r>
      <w:r w:rsidRPr="00295E71" w:rsidR="00660603">
        <w:rPr>
          <w:color w:val="000000"/>
          <w:sz w:val="22"/>
          <w:szCs w:val="22"/>
        </w:rPr>
        <w:t>anni/paziente</w:t>
      </w:r>
      <w:r w:rsidRPr="00295E71">
        <w:rPr>
          <w:color w:val="000000"/>
          <w:sz w:val="22"/>
          <w:szCs w:val="22"/>
        </w:rPr>
        <w:t xml:space="preserve"> nei pazienti trattati con Humira e 0,6 (0,1; 4,5) per 1.000 </w:t>
      </w:r>
      <w:r w:rsidRPr="00295E71" w:rsidR="00660603">
        <w:rPr>
          <w:color w:val="000000"/>
          <w:sz w:val="22"/>
          <w:szCs w:val="22"/>
        </w:rPr>
        <w:t xml:space="preserve">anni/paziente </w:t>
      </w:r>
      <w:r w:rsidRPr="00295E71">
        <w:rPr>
          <w:color w:val="000000"/>
          <w:sz w:val="22"/>
          <w:szCs w:val="22"/>
        </w:rPr>
        <w:t xml:space="preserve">nei pazienti controllo. Il tasso (95% di intervallo di confidenza) di linfomi è stato di 0,7 (0,2; 2,7) per 1.000 </w:t>
      </w:r>
      <w:r w:rsidRPr="00295E71" w:rsidR="00660603">
        <w:rPr>
          <w:color w:val="000000"/>
          <w:sz w:val="22"/>
          <w:szCs w:val="22"/>
        </w:rPr>
        <w:t>anni/paziente</w:t>
      </w:r>
      <w:r w:rsidRPr="00295E71">
        <w:rPr>
          <w:color w:val="000000"/>
          <w:sz w:val="22"/>
          <w:szCs w:val="22"/>
        </w:rPr>
        <w:t xml:space="preserve"> nei pazienti trattati con Humira e 0,6 (0,1; 4,5) per 1.000 </w:t>
      </w:r>
      <w:r w:rsidRPr="00295E71" w:rsidR="00660603">
        <w:rPr>
          <w:color w:val="000000"/>
          <w:sz w:val="22"/>
          <w:szCs w:val="22"/>
        </w:rPr>
        <w:t>anni/paziente</w:t>
      </w:r>
      <w:r w:rsidRPr="00295E71">
        <w:rPr>
          <w:color w:val="000000"/>
          <w:sz w:val="22"/>
          <w:szCs w:val="22"/>
        </w:rPr>
        <w:t xml:space="preserve"> nei pazienti controllo.</w:t>
      </w:r>
    </w:p>
    <w:p w:rsidR="006224C2" w:rsidRPr="00295E71" w14:paraId="2FA64AA2" w14:textId="77777777">
      <w:pPr>
        <w:tabs>
          <w:tab w:val="left" w:pos="567"/>
        </w:tabs>
        <w:autoSpaceDE w:val="0"/>
        <w:autoSpaceDN w:val="0"/>
        <w:adjustRightInd w:val="0"/>
        <w:jc w:val="both"/>
        <w:rPr>
          <w:color w:val="000000"/>
          <w:sz w:val="22"/>
          <w:szCs w:val="22"/>
        </w:rPr>
      </w:pPr>
    </w:p>
    <w:p w:rsidR="006224C2" w:rsidRPr="00295E71" w14:paraId="1989F881" w14:textId="77777777">
      <w:pPr>
        <w:tabs>
          <w:tab w:val="left" w:pos="567"/>
        </w:tabs>
        <w:autoSpaceDE w:val="0"/>
        <w:autoSpaceDN w:val="0"/>
        <w:adjustRightInd w:val="0"/>
        <w:jc w:val="both"/>
        <w:rPr>
          <w:color w:val="000000"/>
          <w:sz w:val="22"/>
          <w:szCs w:val="22"/>
        </w:rPr>
      </w:pPr>
      <w:r w:rsidRPr="00295E71">
        <w:rPr>
          <w:color w:val="000000"/>
          <w:sz w:val="22"/>
          <w:szCs w:val="22"/>
        </w:rPr>
        <w:t>Quando vengono combinat</w:t>
      </w:r>
      <w:r w:rsidR="00660603">
        <w:rPr>
          <w:color w:val="000000"/>
          <w:sz w:val="22"/>
          <w:szCs w:val="22"/>
        </w:rPr>
        <w:t>e</w:t>
      </w:r>
      <w:r w:rsidRPr="00295E71">
        <w:rPr>
          <w:color w:val="000000"/>
          <w:sz w:val="22"/>
          <w:szCs w:val="22"/>
        </w:rPr>
        <w:t xml:space="preserve"> parti </w:t>
      </w:r>
      <w:r w:rsidR="00660603">
        <w:rPr>
          <w:color w:val="000000"/>
          <w:sz w:val="22"/>
          <w:szCs w:val="22"/>
        </w:rPr>
        <w:t xml:space="preserve">controllate </w:t>
      </w:r>
      <w:r w:rsidRPr="00295E71">
        <w:rPr>
          <w:color w:val="000000"/>
          <w:sz w:val="22"/>
          <w:szCs w:val="22"/>
        </w:rPr>
        <w:t xml:space="preserve">di questi studi e studi di estensione in aperto sia in corso che completati con una durata media di circa 3,3 anni includendo 6.427 pazienti e più di 26.439 </w:t>
      </w:r>
      <w:r w:rsidRPr="00295E71" w:rsidR="00660603">
        <w:rPr>
          <w:color w:val="000000"/>
          <w:sz w:val="22"/>
          <w:szCs w:val="22"/>
        </w:rPr>
        <w:t>anni/paziente</w:t>
      </w:r>
      <w:r w:rsidRPr="00295E71">
        <w:rPr>
          <w:color w:val="000000"/>
          <w:sz w:val="22"/>
          <w:szCs w:val="22"/>
        </w:rPr>
        <w:t xml:space="preserve"> di terapia, il tasso di neoplasie osservate, a parte linfoma e carcinoma cutaneo non melanotico, è circa 8,5 per 1.000 </w:t>
      </w:r>
      <w:r w:rsidRPr="00295E71" w:rsidR="00660603">
        <w:rPr>
          <w:color w:val="000000"/>
          <w:sz w:val="22"/>
          <w:szCs w:val="22"/>
        </w:rPr>
        <w:t>anni/paziente</w:t>
      </w:r>
      <w:r w:rsidRPr="00295E71">
        <w:rPr>
          <w:color w:val="000000"/>
          <w:sz w:val="22"/>
          <w:szCs w:val="22"/>
        </w:rPr>
        <w:t xml:space="preserve">. Il tasso osservato di carcinoma cutaneo non melanotico è circa 9,6 per 1.000 </w:t>
      </w:r>
      <w:r w:rsidRPr="00295E71" w:rsidR="00660603">
        <w:rPr>
          <w:color w:val="000000"/>
          <w:sz w:val="22"/>
          <w:szCs w:val="22"/>
        </w:rPr>
        <w:t>anni/paziente</w:t>
      </w:r>
      <w:r w:rsidRPr="00295E71">
        <w:rPr>
          <w:color w:val="000000"/>
          <w:sz w:val="22"/>
          <w:szCs w:val="22"/>
        </w:rPr>
        <w:t xml:space="preserve"> e il tasso osservato di linfomi è circa 1,3 per 1.000 </w:t>
      </w:r>
      <w:r w:rsidRPr="00295E71" w:rsidR="00660603">
        <w:rPr>
          <w:color w:val="000000"/>
          <w:sz w:val="22"/>
          <w:szCs w:val="22"/>
        </w:rPr>
        <w:t>anni/paziente</w:t>
      </w:r>
      <w:r w:rsidRPr="00295E71">
        <w:rPr>
          <w:color w:val="000000"/>
          <w:sz w:val="22"/>
          <w:szCs w:val="22"/>
        </w:rPr>
        <w:t>.</w:t>
      </w:r>
    </w:p>
    <w:p w:rsidR="006224C2" w:rsidRPr="00295E71" w14:paraId="5D0F238F" w14:textId="77777777">
      <w:pPr>
        <w:tabs>
          <w:tab w:val="left" w:pos="567"/>
        </w:tabs>
        <w:autoSpaceDE w:val="0"/>
        <w:autoSpaceDN w:val="0"/>
        <w:adjustRightInd w:val="0"/>
        <w:jc w:val="both"/>
        <w:rPr>
          <w:color w:val="000000"/>
          <w:sz w:val="22"/>
          <w:szCs w:val="22"/>
        </w:rPr>
      </w:pPr>
    </w:p>
    <w:p w:rsidR="006224C2" w:rsidRPr="00295E71" w:rsidP="00F57FE5" w14:paraId="28D415B8"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 xml:space="preserve">In una esperienza post-marketing dal gennaio 2003 a dicembre 2010, principalmente in pazienti affetti da artrite reumatoide, il tasso di neoplasie </w:t>
      </w:r>
      <w:r w:rsidRPr="00295E71" w:rsidR="0026134F">
        <w:rPr>
          <w:color w:val="000000"/>
          <w:sz w:val="22"/>
          <w:szCs w:val="22"/>
        </w:rPr>
        <w:t>riportat</w:t>
      </w:r>
      <w:r w:rsidR="00306285">
        <w:rPr>
          <w:color w:val="000000"/>
          <w:sz w:val="22"/>
          <w:szCs w:val="22"/>
        </w:rPr>
        <w:t>o</w:t>
      </w:r>
      <w:r w:rsidRPr="00295E71" w:rsidR="0026134F">
        <w:rPr>
          <w:color w:val="000000"/>
          <w:sz w:val="22"/>
          <w:szCs w:val="22"/>
        </w:rPr>
        <w:t xml:space="preserve"> </w:t>
      </w:r>
      <w:r w:rsidR="0026134F">
        <w:rPr>
          <w:color w:val="000000"/>
          <w:sz w:val="22"/>
          <w:szCs w:val="22"/>
        </w:rPr>
        <w:t xml:space="preserve">spontaneamente </w:t>
      </w:r>
      <w:r w:rsidRPr="00295E71">
        <w:rPr>
          <w:color w:val="000000"/>
          <w:sz w:val="22"/>
          <w:szCs w:val="22"/>
        </w:rPr>
        <w:t xml:space="preserve">è di circa 2,7 per 1.000 anni trattamento/paziente. I tassi riportati </w:t>
      </w:r>
      <w:r w:rsidR="0026134F">
        <w:rPr>
          <w:color w:val="000000"/>
          <w:sz w:val="22"/>
          <w:szCs w:val="22"/>
        </w:rPr>
        <w:t xml:space="preserve">spontaneamente </w:t>
      </w:r>
      <w:r w:rsidRPr="00295E71">
        <w:rPr>
          <w:color w:val="000000"/>
          <w:sz w:val="22"/>
          <w:szCs w:val="22"/>
        </w:rPr>
        <w:t>rispettivamente per carcinomi cutanei non melanotici e linfomi sono di circa 0,2 e 0,3 per 1.000 anni trattamento/paziente (vedere paragrafo 4.4).</w:t>
      </w:r>
    </w:p>
    <w:p w:rsidR="006224C2" w:rsidRPr="00295E71" w:rsidP="00F57FE5" w14:paraId="6B51F57B" w14:textId="77777777">
      <w:pPr>
        <w:keepNext/>
        <w:keepLines/>
        <w:tabs>
          <w:tab w:val="left" w:pos="567"/>
        </w:tabs>
        <w:autoSpaceDE w:val="0"/>
        <w:autoSpaceDN w:val="0"/>
        <w:adjustRightInd w:val="0"/>
        <w:jc w:val="both"/>
        <w:rPr>
          <w:color w:val="000000"/>
          <w:sz w:val="22"/>
          <w:szCs w:val="22"/>
        </w:rPr>
      </w:pPr>
    </w:p>
    <w:p w:rsidR="006224C2" w:rsidRPr="00295E71" w14:paraId="42434E05" w14:textId="77777777">
      <w:pPr>
        <w:tabs>
          <w:tab w:val="left" w:pos="567"/>
        </w:tabs>
        <w:autoSpaceDE w:val="0"/>
        <w:autoSpaceDN w:val="0"/>
        <w:adjustRightInd w:val="0"/>
        <w:jc w:val="both"/>
        <w:rPr>
          <w:color w:val="000000"/>
          <w:sz w:val="22"/>
          <w:szCs w:val="22"/>
        </w:rPr>
      </w:pPr>
      <w:r w:rsidRPr="00295E71">
        <w:rPr>
          <w:color w:val="000000"/>
          <w:sz w:val="22"/>
          <w:szCs w:val="22"/>
        </w:rPr>
        <w:t>Nell’esperienza post-marketing sono stati segnalati rari casi di linfoma epatosplenico a cellule T nei pazienti trattati con adalimumab (vedere paragrafo 4.4).</w:t>
      </w:r>
    </w:p>
    <w:p w:rsidR="006224C2" w:rsidRPr="00295E71" w14:paraId="2B14E3AB" w14:textId="77777777">
      <w:pPr>
        <w:tabs>
          <w:tab w:val="left" w:pos="567"/>
        </w:tabs>
        <w:autoSpaceDE w:val="0"/>
        <w:autoSpaceDN w:val="0"/>
        <w:adjustRightInd w:val="0"/>
        <w:jc w:val="both"/>
        <w:rPr>
          <w:color w:val="000000"/>
          <w:sz w:val="22"/>
          <w:szCs w:val="22"/>
          <w:u w:val="single"/>
        </w:rPr>
      </w:pPr>
    </w:p>
    <w:p w:rsidR="006224C2" w:rsidRPr="00295E71" w14:paraId="5B6EE665" w14:textId="77777777">
      <w:pPr>
        <w:tabs>
          <w:tab w:val="left" w:pos="567"/>
        </w:tabs>
        <w:autoSpaceDE w:val="0"/>
        <w:autoSpaceDN w:val="0"/>
        <w:adjustRightInd w:val="0"/>
        <w:jc w:val="both"/>
        <w:rPr>
          <w:i/>
          <w:color w:val="000000"/>
          <w:sz w:val="22"/>
          <w:szCs w:val="22"/>
        </w:rPr>
      </w:pPr>
      <w:r w:rsidRPr="00295E71">
        <w:rPr>
          <w:i/>
          <w:color w:val="000000"/>
          <w:sz w:val="22"/>
          <w:szCs w:val="22"/>
        </w:rPr>
        <w:t>Autoanticorpi</w:t>
      </w:r>
    </w:p>
    <w:p w:rsidR="006224C2" w:rsidRPr="00295E71" w14:paraId="48899146" w14:textId="77777777">
      <w:pPr>
        <w:tabs>
          <w:tab w:val="left" w:pos="567"/>
        </w:tabs>
        <w:autoSpaceDE w:val="0"/>
        <w:autoSpaceDN w:val="0"/>
        <w:adjustRightInd w:val="0"/>
        <w:jc w:val="both"/>
        <w:rPr>
          <w:color w:val="000000"/>
          <w:sz w:val="22"/>
          <w:szCs w:val="22"/>
        </w:rPr>
      </w:pPr>
    </w:p>
    <w:p w:rsidR="006224C2" w:rsidRPr="00295E71" w14:paraId="60970970" w14:textId="77777777">
      <w:pPr>
        <w:tabs>
          <w:tab w:val="left" w:pos="567"/>
        </w:tabs>
        <w:autoSpaceDE w:val="0"/>
        <w:autoSpaceDN w:val="0"/>
        <w:adjustRightInd w:val="0"/>
        <w:jc w:val="both"/>
        <w:rPr>
          <w:color w:val="000000"/>
          <w:sz w:val="22"/>
          <w:szCs w:val="22"/>
        </w:rPr>
      </w:pPr>
      <w:r w:rsidRPr="00295E71">
        <w:rPr>
          <w:color w:val="000000"/>
          <w:sz w:val="22"/>
          <w:szCs w:val="22"/>
        </w:rPr>
        <w:t>Nel corso d</w:t>
      </w:r>
      <w:r w:rsidR="00660603">
        <w:rPr>
          <w:color w:val="000000"/>
          <w:sz w:val="22"/>
          <w:szCs w:val="22"/>
        </w:rPr>
        <w:t>egl</w:t>
      </w:r>
      <w:r w:rsidRPr="00295E71">
        <w:rPr>
          <w:color w:val="000000"/>
          <w:sz w:val="22"/>
          <w:szCs w:val="22"/>
        </w:rPr>
        <w:t xml:space="preserve">i studi I-V condotti sull’artrite reumatoide, sono stati analizzati, </w:t>
      </w:r>
      <w:r w:rsidRPr="00020442" w:rsidR="00660603">
        <w:rPr>
          <w:color w:val="000000"/>
          <w:sz w:val="22"/>
          <w:szCs w:val="22"/>
        </w:rPr>
        <w:t>a vari intervalli temporali</w:t>
      </w:r>
      <w:r w:rsidRPr="00295E71">
        <w:rPr>
          <w:color w:val="000000"/>
          <w:sz w:val="22"/>
          <w:szCs w:val="22"/>
        </w:rPr>
        <w:t xml:space="preserve">, i campioni sierici dei pazienti per la valutazione degli autoanticorpi. In questi studi, l’11,9% dei pazienti trattati con Humira e l’8,1% dei pazienti trattati con placebo e con controllo attivo, che presentavano valori negativi di anticorpi antinucleo </w:t>
      </w:r>
      <w:r w:rsidR="00660603">
        <w:rPr>
          <w:color w:val="000000"/>
          <w:sz w:val="22"/>
          <w:szCs w:val="22"/>
        </w:rPr>
        <w:t>al basale</w:t>
      </w:r>
      <w:r w:rsidRPr="00295E71">
        <w:rPr>
          <w:color w:val="000000"/>
          <w:sz w:val="22"/>
          <w:szCs w:val="22"/>
        </w:rPr>
        <w:t>, ha presentato valori positivi alla ventiquattresima settimana. Due pazienti su 3.441 trattati con Humira nel corso di tutti gli studi condotti sull’artrite reumatoide e sull’artrite psoriasica hanno manifestato segni clinici che indicavano l’inizio di una sindrome simile al lupus. I pazienti sono migliorati dopo la sospensione della terapia. Nessun paziente ha sviluppato una nefrite da lupus o sintomi a carico del sistema nervoso centrale.</w:t>
      </w:r>
    </w:p>
    <w:p w:rsidR="006224C2" w:rsidRPr="00295E71" w14:paraId="1D51F3D1" w14:textId="77777777">
      <w:pPr>
        <w:tabs>
          <w:tab w:val="left" w:pos="567"/>
        </w:tabs>
        <w:autoSpaceDE w:val="0"/>
        <w:autoSpaceDN w:val="0"/>
        <w:adjustRightInd w:val="0"/>
        <w:jc w:val="both"/>
        <w:rPr>
          <w:color w:val="000000"/>
          <w:sz w:val="22"/>
          <w:szCs w:val="22"/>
        </w:rPr>
      </w:pPr>
    </w:p>
    <w:p w:rsidR="006224C2" w:rsidRPr="00295E71" w14:paraId="6C036281" w14:textId="77777777">
      <w:pPr>
        <w:tabs>
          <w:tab w:val="left" w:pos="567"/>
        </w:tabs>
        <w:ind w:left="567" w:hanging="567"/>
        <w:jc w:val="both"/>
        <w:rPr>
          <w:i/>
          <w:sz w:val="22"/>
          <w:szCs w:val="22"/>
        </w:rPr>
      </w:pPr>
      <w:r w:rsidRPr="00295E71">
        <w:rPr>
          <w:i/>
          <w:sz w:val="22"/>
          <w:szCs w:val="22"/>
        </w:rPr>
        <w:t>Eventi epato-biliari</w:t>
      </w:r>
    </w:p>
    <w:p w:rsidR="006224C2" w:rsidRPr="00295E71" w14:paraId="58E6D6F0" w14:textId="77777777">
      <w:pPr>
        <w:tabs>
          <w:tab w:val="left" w:pos="567"/>
        </w:tabs>
        <w:ind w:left="567" w:hanging="567"/>
        <w:jc w:val="both"/>
        <w:rPr>
          <w:sz w:val="22"/>
          <w:szCs w:val="22"/>
        </w:rPr>
      </w:pPr>
    </w:p>
    <w:p w:rsidR="006224C2" w:rsidRPr="00295E71" w14:paraId="2AD09A91" w14:textId="77777777">
      <w:pPr>
        <w:tabs>
          <w:tab w:val="left" w:pos="180"/>
          <w:tab w:val="left" w:pos="360"/>
        </w:tabs>
        <w:jc w:val="both"/>
        <w:rPr>
          <w:sz w:val="22"/>
          <w:szCs w:val="22"/>
        </w:rPr>
      </w:pPr>
      <w:r w:rsidRPr="00295E71">
        <w:rPr>
          <w:sz w:val="22"/>
          <w:szCs w:val="22"/>
        </w:rPr>
        <w:t>Negli studi clinici controllati di Fase 3 di Humira in pazienti con artrite reumatoide e artrite psoriasica con una durata del periodo di controllo che va da 4 a 104 settimane, gli aumenti delle transaminasi ALT superiori o uguali a tre volte il limite superiore di normalità si sono verificati nel 3,7% dei pazienti trattati con Humira e nell’1,6% dei pazienti trattati con il controllo.</w:t>
      </w:r>
    </w:p>
    <w:p w:rsidR="006224C2" w:rsidRPr="00295E71" w14:paraId="1FC67D4D" w14:textId="77777777">
      <w:pPr>
        <w:tabs>
          <w:tab w:val="left" w:pos="180"/>
          <w:tab w:val="left" w:pos="360"/>
        </w:tabs>
        <w:jc w:val="both"/>
        <w:rPr>
          <w:sz w:val="22"/>
          <w:szCs w:val="22"/>
        </w:rPr>
      </w:pPr>
    </w:p>
    <w:p w:rsidR="006224C2" w:rsidRPr="00295E71" w14:paraId="1CC1B789" w14:textId="77777777">
      <w:pPr>
        <w:tabs>
          <w:tab w:val="left" w:pos="180"/>
          <w:tab w:val="left" w:pos="360"/>
        </w:tabs>
        <w:jc w:val="both"/>
        <w:rPr>
          <w:iCs/>
          <w:sz w:val="22"/>
          <w:szCs w:val="22"/>
          <w:lang w:eastAsia="en-US"/>
        </w:rPr>
      </w:pPr>
      <w:r w:rsidRPr="00295E71">
        <w:rPr>
          <w:sz w:val="22"/>
          <w:szCs w:val="22"/>
        </w:rPr>
        <w:t xml:space="preserve">Negli studi clinici controllati di </w:t>
      </w:r>
      <w:r w:rsidRPr="00295E71">
        <w:rPr>
          <w:iCs/>
          <w:sz w:val="22"/>
          <w:szCs w:val="22"/>
          <w:lang w:eastAsia="en-US"/>
        </w:rPr>
        <w:t>Fase 3 di Humira in pazienti con artrite idiopatica giovanile poliarticolare che avevano da 4 a 17 anni di età e in pazienti con artrite associata ad entesite, dai 6 ai 17 anni di età, gli aumenti delle transaminasi ALT superiori o uguali a tre volte il limite superiore di normalità ULN si sono verificati nel 6,1% dei pazienti trattati con Humira e nel 1,3% dei pazienti trattati con il farmaco di controllo. La maggior parte degli aumenti delle transaminasi ALT si sono verificati con l’uso concomitante di metotressato. Non si sono verificati aumenti delle transaminasi ALT superior</w:t>
      </w:r>
      <w:r w:rsidR="00660603">
        <w:rPr>
          <w:iCs/>
          <w:sz w:val="22"/>
          <w:szCs w:val="22"/>
          <w:lang w:eastAsia="en-US"/>
        </w:rPr>
        <w:t>i</w:t>
      </w:r>
      <w:r w:rsidRPr="00295E71">
        <w:rPr>
          <w:iCs/>
          <w:sz w:val="22"/>
          <w:szCs w:val="22"/>
          <w:lang w:eastAsia="en-US"/>
        </w:rPr>
        <w:t xml:space="preserve"> o ugual</w:t>
      </w:r>
      <w:r w:rsidR="00660603">
        <w:rPr>
          <w:iCs/>
          <w:sz w:val="22"/>
          <w:szCs w:val="22"/>
          <w:lang w:eastAsia="en-US"/>
        </w:rPr>
        <w:t>i</w:t>
      </w:r>
      <w:r w:rsidRPr="00295E71">
        <w:rPr>
          <w:iCs/>
          <w:sz w:val="22"/>
          <w:szCs w:val="22"/>
          <w:lang w:eastAsia="en-US"/>
        </w:rPr>
        <w:t xml:space="preserve"> a tre volte il limite superiore di normalità nello studio clinico di Fase 3 con Humira in pazienti con artrite idiopatica giovanile poliarticolare di età compresa tra 2 e &lt;4 anni.</w:t>
      </w:r>
    </w:p>
    <w:p w:rsidR="006224C2" w:rsidRPr="00295E71" w14:paraId="4EAABDF6" w14:textId="77777777">
      <w:pPr>
        <w:tabs>
          <w:tab w:val="left" w:pos="180"/>
          <w:tab w:val="left" w:pos="360"/>
        </w:tabs>
        <w:jc w:val="both"/>
        <w:rPr>
          <w:sz w:val="22"/>
          <w:szCs w:val="22"/>
        </w:rPr>
      </w:pPr>
    </w:p>
    <w:p w:rsidR="006224C2" w:rsidRPr="00295E71" w14:paraId="0746733E" w14:textId="77777777">
      <w:pPr>
        <w:rPr>
          <w:iCs/>
          <w:sz w:val="22"/>
          <w:szCs w:val="22"/>
          <w:lang w:eastAsia="en-US"/>
        </w:rPr>
      </w:pPr>
      <w:r w:rsidRPr="00295E71">
        <w:rPr>
          <w:iCs/>
          <w:sz w:val="22"/>
          <w:szCs w:val="22"/>
          <w:lang w:eastAsia="en-US"/>
        </w:rPr>
        <w:t>Negli studi clinici controllati di Fase 3 di Humira in pazienti con malattia di Crohn e colite ulcerosa con un periodo di controllo che va da 4 a 52 settimane, gli aumenti delle transaminasi ALT superiori o uguali a tre volte il limite superiore di normalità si sono verificati nello 0,9% dei pazienti trattati con Humira e nello 0,9% dei pazienti trattati con il controllo.</w:t>
      </w:r>
    </w:p>
    <w:p w:rsidR="006224C2" w:rsidRPr="00295E71" w14:paraId="34BFC214" w14:textId="77777777">
      <w:pPr>
        <w:pStyle w:val="EMEANormal"/>
        <w:jc w:val="both"/>
        <w:rPr>
          <w:iCs/>
          <w:lang w:val="it-IT"/>
        </w:rPr>
      </w:pPr>
    </w:p>
    <w:p w:rsidR="006224C2" w:rsidRPr="00295E71" w14:paraId="3B8547B7" w14:textId="77777777">
      <w:pPr>
        <w:pStyle w:val="EMEANormal"/>
        <w:jc w:val="both"/>
        <w:rPr>
          <w:lang w:val="it-IT"/>
        </w:rPr>
      </w:pPr>
      <w:r w:rsidRPr="00295E71">
        <w:rPr>
          <w:lang w:val="it-IT"/>
        </w:rPr>
        <w:t>Nello studio di fase 3 di Humira, in pazienti con malattia di Cro</w:t>
      </w:r>
      <w:r w:rsidR="007409F8">
        <w:rPr>
          <w:lang w:val="it-IT"/>
        </w:rPr>
        <w:t>h</w:t>
      </w:r>
      <w:r w:rsidRPr="00295E71">
        <w:rPr>
          <w:lang w:val="it-IT"/>
        </w:rPr>
        <w:t>n in età pediatrica, che ha valutato la sicurezza e l’efficacia dei due regimi posologici aggiustati per il peso corporeo per la terapia di mantenimento che segue la terapia di induzione aggiustata per il peso fino a 52 settimane, sono stati trovati livelli di ALT superior</w:t>
      </w:r>
      <w:r w:rsidR="007409F8">
        <w:rPr>
          <w:lang w:val="it-IT"/>
        </w:rPr>
        <w:t>i</w:t>
      </w:r>
      <w:r w:rsidRPr="00295E71">
        <w:rPr>
          <w:lang w:val="it-IT"/>
        </w:rPr>
        <w:t xml:space="preserve"> o ugual</w:t>
      </w:r>
      <w:r w:rsidR="007409F8">
        <w:rPr>
          <w:lang w:val="it-IT"/>
        </w:rPr>
        <w:t>i</w:t>
      </w:r>
      <w:r w:rsidRPr="00295E71">
        <w:rPr>
          <w:lang w:val="it-IT"/>
        </w:rPr>
        <w:t xml:space="preserve"> a tre volte il limite superiore di normalità nel 2,6% (5/192) dei pazienti di cui 4 ricevevano un trattamento concomitante con immunosoppressori </w:t>
      </w:r>
      <w:r w:rsidR="007409F8">
        <w:rPr>
          <w:lang w:val="it-IT"/>
        </w:rPr>
        <w:t xml:space="preserve">al </w:t>
      </w:r>
      <w:r w:rsidRPr="00295E71">
        <w:rPr>
          <w:lang w:val="it-IT"/>
        </w:rPr>
        <w:t>basal</w:t>
      </w:r>
      <w:r w:rsidR="007409F8">
        <w:rPr>
          <w:lang w:val="it-IT"/>
        </w:rPr>
        <w:t>e</w:t>
      </w:r>
      <w:r w:rsidRPr="00295E71">
        <w:rPr>
          <w:lang w:val="it-IT"/>
        </w:rPr>
        <w:t xml:space="preserve">. </w:t>
      </w:r>
    </w:p>
    <w:p w:rsidR="006224C2" w:rsidRPr="00295E71" w14:paraId="031D1824" w14:textId="77777777">
      <w:pPr>
        <w:tabs>
          <w:tab w:val="left" w:pos="180"/>
          <w:tab w:val="left" w:pos="360"/>
        </w:tabs>
        <w:jc w:val="both"/>
        <w:rPr>
          <w:sz w:val="22"/>
          <w:szCs w:val="22"/>
        </w:rPr>
      </w:pPr>
    </w:p>
    <w:p w:rsidR="006224C2" w14:paraId="0E33DCB2" w14:textId="77777777">
      <w:pPr>
        <w:pStyle w:val="EMEANormal"/>
        <w:jc w:val="both"/>
        <w:rPr>
          <w:lang w:val="it-IT"/>
        </w:rPr>
      </w:pPr>
      <w:r w:rsidRPr="00295E71">
        <w:rPr>
          <w:iCs/>
          <w:lang w:val="it-IT"/>
        </w:rPr>
        <w:t>Negli</w:t>
      </w:r>
      <w:r w:rsidRPr="00295E71">
        <w:rPr>
          <w:lang w:val="it-IT"/>
        </w:rPr>
        <w:t xml:space="preserve"> studi clinici controllati di Fase 3 di Humira in pazienti con </w:t>
      </w:r>
      <w:r w:rsidRPr="00295E71" w:rsidR="004559C0">
        <w:rPr>
          <w:lang w:val="it-IT"/>
        </w:rPr>
        <w:t>p</w:t>
      </w:r>
      <w:r w:rsidRPr="00295E71">
        <w:rPr>
          <w:lang w:val="it-IT"/>
        </w:rPr>
        <w:t>soriasi a placche con una durata del periodo di controllo che va da 12 a 24 settimane, gli aumenti delle transaminasi ALT superiori o uguali a tre volte il limite superiore di normalità si sono verificati nell’1,8% dei pazienti trattati con Humira e nell’1,8% dei pazienti trattati con il controllo.</w:t>
      </w:r>
    </w:p>
    <w:p w:rsidR="007409F8" w:rsidRPr="00295E71" w14:paraId="76A6544E" w14:textId="77777777">
      <w:pPr>
        <w:pStyle w:val="EMEANormal"/>
        <w:jc w:val="both"/>
        <w:rPr>
          <w:lang w:val="it-IT"/>
        </w:rPr>
      </w:pPr>
    </w:p>
    <w:p w:rsidR="006224C2" w:rsidRPr="00295E71" w14:paraId="65FD3BA8" w14:textId="77777777">
      <w:pPr>
        <w:pStyle w:val="EMEANormal"/>
        <w:jc w:val="both"/>
        <w:rPr>
          <w:lang w:val="it-IT"/>
        </w:rPr>
      </w:pPr>
      <w:r w:rsidRPr="00295E71">
        <w:rPr>
          <w:lang w:val="it-IT"/>
        </w:rPr>
        <w:t>Nello studio di fase 3 di Humira in pazienti pediatrici con psoriasi a placche non si è verificato alcun aumento dei livelli di ALT superiore o uguale a tre volte il limite superiore di normalità.</w:t>
      </w:r>
    </w:p>
    <w:p w:rsidR="006224C2" w:rsidRPr="00295E71" w14:paraId="3EE677AB" w14:textId="77777777">
      <w:pPr>
        <w:pStyle w:val="EMEANormal"/>
        <w:jc w:val="both"/>
        <w:rPr>
          <w:lang w:val="it-IT"/>
        </w:rPr>
      </w:pPr>
    </w:p>
    <w:p w:rsidR="006224C2" w:rsidRPr="00295E71" w14:paraId="2A89BA95" w14:textId="77777777">
      <w:pPr>
        <w:pStyle w:val="EMEANormal"/>
        <w:jc w:val="both"/>
        <w:rPr>
          <w:lang w:val="it-IT"/>
        </w:rPr>
      </w:pPr>
      <w:r w:rsidRPr="00295E71">
        <w:rPr>
          <w:lang w:val="it-IT"/>
        </w:rPr>
        <w:t xml:space="preserve">Negli studi clinici controllati di Humira (dosi iniziali di 160 mg alla settimana 0 e 80 mg alla settimana 2, seguiti da 40 mg ogni settimana a partire dalla settimana 4) in pazienti con Idrosadenite Suppurativa, con una durata del periodo di controllo tra 12 e 16 settimane, aumenti dei livelli di ALT superiori o </w:t>
      </w:r>
      <w:r w:rsidRPr="00295E71">
        <w:rPr>
          <w:lang w:val="it-IT"/>
        </w:rPr>
        <w:t xml:space="preserve">uguali a tre volte il limite superiore di normalità si sono verificati nello 0,3% dei pazienti trattati con Humira e nello 0,6% dei pazienti trattati con il controllo.  </w:t>
      </w:r>
    </w:p>
    <w:p w:rsidR="006224C2" w:rsidRPr="00295E71" w14:paraId="00C7A958" w14:textId="77777777">
      <w:pPr>
        <w:pStyle w:val="EMEANormal"/>
        <w:jc w:val="both"/>
        <w:rPr>
          <w:lang w:val="it-IT"/>
        </w:rPr>
      </w:pPr>
    </w:p>
    <w:p w:rsidR="006224C2" w:rsidRPr="00295E71" w14:paraId="06B845D3" w14:textId="77777777">
      <w:pPr>
        <w:pStyle w:val="EMEANormal"/>
        <w:jc w:val="both"/>
        <w:rPr>
          <w:lang w:val="it-IT"/>
        </w:rPr>
      </w:pPr>
      <w:r w:rsidRPr="00295E71">
        <w:rPr>
          <w:lang w:val="it-IT"/>
        </w:rPr>
        <w:t xml:space="preserve">Negli studi clinici controllati di Humira (dosi iniziali di 80 mg alla settimana 0 seguiti da 40 mg a settimane alterne a partire dalla settimana 1) in pazienti </w:t>
      </w:r>
      <w:r w:rsidRPr="00295E71" w:rsidR="004559C0">
        <w:rPr>
          <w:lang w:val="it-IT"/>
        </w:rPr>
        <w:t xml:space="preserve">adulti </w:t>
      </w:r>
      <w:r w:rsidRPr="00295E71">
        <w:rPr>
          <w:lang w:val="it-IT"/>
        </w:rPr>
        <w:t>con uveite fino a 80 settimane con un’esposizione mediana rispettivamente di 166,5 giorni nei pazienti trattati con Humira e di 105,0 giorni nei pazienti trattati con il controllo, aumenti dei livelli di ALT superiori o uguali a tre volte il limite superiore di normalità ULN si sono verificati nel 2,4% dei pazienti trattati con Humira e nel 2,4% dei pazienti trattati con il controllo.</w:t>
      </w:r>
    </w:p>
    <w:p w:rsidR="006224C2" w:rsidRPr="00800CE0" w14:paraId="665B739D" w14:textId="77777777">
      <w:pPr>
        <w:pStyle w:val="EMEANormal"/>
        <w:jc w:val="both"/>
        <w:rPr>
          <w:lang w:val="it-IT"/>
        </w:rPr>
      </w:pPr>
    </w:p>
    <w:p w:rsidR="00800CE0" w14:paraId="5D6F29B5" w14:textId="77777777">
      <w:pPr>
        <w:pStyle w:val="EMEANormal"/>
        <w:jc w:val="both"/>
        <w:rPr>
          <w:lang w:val="it-IT"/>
        </w:rPr>
      </w:pPr>
      <w:r w:rsidRPr="00284D9A">
        <w:rPr>
          <w:lang w:val="it-IT"/>
        </w:rPr>
        <w:t>Uno studio controllato di fase 3 su Humira in pazienti affetti da colite ulcerosa pediatrica (N=93) ha valutato l'efficacia e la sicurezza di una dose di induzione aggiustata per il peso corporeo di 2,4 mg/kg (massimo 160 mg) alla Settimana 0 e alla Settimana 1 e di 1,2 mg/kg (massimo 80 mg) alla Settimana 2 (N=63), oppure di una dose di induzione di 2,4 mg/kg (massimo 160 mg) alla Settimana 0, placebo alla Settimana 1, e 1,2 mg/kg (massimo 80 mg) alla Settimana 2 (N=30) e, a seguire, di una dose di mantenimento di 0,6 mg/kg (massimo 40 mg) a settimane alterne (N=31) o di una dose di mantenimento di 0,6 mg/kg (massimo 40 mg) ogni settimana (N=32). In tale studio sono stati riscontrati aumenti delle ALT ≥ 3 volte il limite superiore di normalità (ULN) nell'1,1% (1/93) dei pazienti.</w:t>
      </w:r>
    </w:p>
    <w:p w:rsidR="00284D9A" w:rsidRPr="00800CE0" w14:paraId="0C9FFAD8" w14:textId="77777777">
      <w:pPr>
        <w:pStyle w:val="EMEANormal"/>
        <w:jc w:val="both"/>
        <w:rPr>
          <w:lang w:val="it-IT"/>
        </w:rPr>
      </w:pPr>
    </w:p>
    <w:p w:rsidR="006224C2" w:rsidRPr="00295E71" w14:paraId="7066EE22" w14:textId="77777777">
      <w:pPr>
        <w:pStyle w:val="EMEANormal"/>
        <w:jc w:val="both"/>
        <w:rPr>
          <w:lang w:val="it-IT"/>
        </w:rPr>
      </w:pPr>
      <w:r w:rsidRPr="00800CE0">
        <w:rPr>
          <w:lang w:val="it-IT"/>
        </w:rPr>
        <w:t>Negli studi clinici</w:t>
      </w:r>
      <w:r w:rsidRPr="00295E71">
        <w:rPr>
          <w:lang w:val="it-IT"/>
        </w:rPr>
        <w:t xml:space="preserve">, in tutte le indicazioni, i pazienti con livelli aumentati di transaminasi </w:t>
      </w:r>
      <w:r w:rsidR="007409F8">
        <w:rPr>
          <w:lang w:val="it-IT"/>
        </w:rPr>
        <w:t xml:space="preserve">ALT </w:t>
      </w:r>
      <w:r w:rsidRPr="00295E71">
        <w:rPr>
          <w:lang w:val="it-IT"/>
        </w:rPr>
        <w:t>erano asintomatici e nella maggior parte dei casi gli innalzamenti erano transitori e si sono risolti nel corso del trattamento. Tuttavia, in pazienti trattati con adalimumab, sono stati riportati anche casi post-marketing di insufficienza epatica come pure di disordini epatici meno gravi che possono precedere l’insufficienza epatica, come l’epatite, inclusa l’epatite autoimmune.</w:t>
      </w:r>
    </w:p>
    <w:p w:rsidR="006224C2" w:rsidRPr="00295E71" w14:paraId="37CA7B00" w14:textId="77777777">
      <w:pPr>
        <w:pStyle w:val="EMEANormal"/>
        <w:jc w:val="both"/>
        <w:rPr>
          <w:lang w:val="it-IT"/>
        </w:rPr>
      </w:pPr>
    </w:p>
    <w:p w:rsidR="006224C2" w:rsidRPr="00295E71" w14:paraId="6DDD7129" w14:textId="77777777">
      <w:pPr>
        <w:tabs>
          <w:tab w:val="left" w:pos="0"/>
        </w:tabs>
        <w:jc w:val="both"/>
        <w:rPr>
          <w:sz w:val="22"/>
          <w:szCs w:val="22"/>
          <w:u w:val="single"/>
        </w:rPr>
      </w:pPr>
      <w:r w:rsidRPr="00295E71">
        <w:rPr>
          <w:sz w:val="22"/>
          <w:szCs w:val="22"/>
          <w:u w:val="single"/>
        </w:rPr>
        <w:t>Trattamento concomitante con azatioprina/6-mercaptopurina</w:t>
      </w:r>
    </w:p>
    <w:p w:rsidR="006224C2" w:rsidRPr="00295E71" w14:paraId="634B1AA4" w14:textId="77777777">
      <w:pPr>
        <w:tabs>
          <w:tab w:val="left" w:pos="0"/>
        </w:tabs>
        <w:jc w:val="both"/>
        <w:rPr>
          <w:sz w:val="22"/>
          <w:szCs w:val="22"/>
        </w:rPr>
      </w:pPr>
    </w:p>
    <w:p w:rsidR="006224C2" w:rsidRPr="00295E71" w14:paraId="534A0362" w14:textId="77777777">
      <w:pPr>
        <w:tabs>
          <w:tab w:val="left" w:pos="0"/>
        </w:tabs>
        <w:jc w:val="both"/>
        <w:rPr>
          <w:sz w:val="22"/>
          <w:szCs w:val="22"/>
        </w:rPr>
      </w:pPr>
      <w:r w:rsidRPr="00295E71">
        <w:rPr>
          <w:sz w:val="22"/>
          <w:szCs w:val="22"/>
        </w:rPr>
        <w:t>Negli studi sulla malattia di Crohn negli adulti, con la combinazione di Humira e azatioprina/6-mercaptopurina sono state osservate incidenze più elevate di eventi avversi correlati a infezioni gravi e a tumori maligni rispetto a Humira da solo.</w:t>
      </w:r>
    </w:p>
    <w:p w:rsidR="006224C2" w:rsidRPr="00295E71" w14:paraId="59709F77" w14:textId="77777777">
      <w:pPr>
        <w:pStyle w:val="EMEANormal"/>
        <w:jc w:val="both"/>
        <w:rPr>
          <w:lang w:val="it-IT"/>
        </w:rPr>
      </w:pPr>
    </w:p>
    <w:p w:rsidR="006224C2" w:rsidRPr="00295E71" w14:paraId="50A28267" w14:textId="77777777">
      <w:pPr>
        <w:tabs>
          <w:tab w:val="left" w:pos="0"/>
        </w:tabs>
        <w:jc w:val="both"/>
        <w:rPr>
          <w:sz w:val="22"/>
          <w:szCs w:val="22"/>
          <w:u w:val="single"/>
        </w:rPr>
      </w:pPr>
      <w:r w:rsidRPr="00295E71">
        <w:rPr>
          <w:sz w:val="22"/>
          <w:szCs w:val="22"/>
          <w:u w:val="single"/>
        </w:rPr>
        <w:t>Segnalazione delle reazioni avverse sospette</w:t>
      </w:r>
    </w:p>
    <w:p w:rsidR="006224C2" w:rsidRPr="00295E71" w14:paraId="05719206" w14:textId="77777777">
      <w:pPr>
        <w:tabs>
          <w:tab w:val="left" w:pos="0"/>
        </w:tabs>
        <w:jc w:val="both"/>
        <w:rPr>
          <w:sz w:val="22"/>
          <w:szCs w:val="22"/>
        </w:rPr>
      </w:pPr>
      <w:r w:rsidRPr="00295E71">
        <w:rPr>
          <w:sz w:val="22"/>
          <w:szCs w:val="22"/>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il </w:t>
      </w:r>
      <w:r w:rsidRPr="00295E71">
        <w:rPr>
          <w:sz w:val="22"/>
          <w:szCs w:val="22"/>
          <w:highlight w:val="lightGray"/>
        </w:rPr>
        <w:t>sistema nazionale di segnalazione riportato nell’</w:t>
      </w:r>
      <w:hyperlink r:id="rId28" w:history="1">
        <w:r w:rsidRPr="00295E71">
          <w:rPr>
            <w:rStyle w:val="Hyperlink"/>
            <w:sz w:val="22"/>
            <w:szCs w:val="22"/>
            <w:highlight w:val="lightGray"/>
          </w:rPr>
          <w:t>allegato V</w:t>
        </w:r>
      </w:hyperlink>
      <w:r w:rsidRPr="00295E71">
        <w:rPr>
          <w:sz w:val="22"/>
          <w:szCs w:val="22"/>
          <w:highlight w:val="lightGray"/>
        </w:rPr>
        <w:t>.</w:t>
      </w:r>
    </w:p>
    <w:p w:rsidR="006224C2" w:rsidRPr="00295E71" w14:paraId="70FB932B" w14:textId="77777777">
      <w:pPr>
        <w:pStyle w:val="EMEANormal"/>
        <w:jc w:val="both"/>
        <w:rPr>
          <w:lang w:val="it-IT"/>
        </w:rPr>
      </w:pPr>
    </w:p>
    <w:p w:rsidR="006224C2" w:rsidRPr="00295E71" w14:paraId="7E49D227" w14:textId="77777777">
      <w:pPr>
        <w:tabs>
          <w:tab w:val="left" w:pos="567"/>
        </w:tabs>
        <w:ind w:left="567" w:hanging="567"/>
        <w:jc w:val="both"/>
        <w:rPr>
          <w:b/>
          <w:bCs/>
          <w:sz w:val="22"/>
          <w:szCs w:val="22"/>
        </w:rPr>
      </w:pPr>
      <w:r w:rsidRPr="00295E71">
        <w:rPr>
          <w:b/>
          <w:bCs/>
          <w:sz w:val="22"/>
          <w:szCs w:val="22"/>
        </w:rPr>
        <w:t>4.9</w:t>
      </w:r>
      <w:r w:rsidRPr="00295E71">
        <w:rPr>
          <w:b/>
          <w:bCs/>
          <w:sz w:val="22"/>
          <w:szCs w:val="22"/>
        </w:rPr>
        <w:tab/>
        <w:t xml:space="preserve">Sovradosaggio </w:t>
      </w:r>
    </w:p>
    <w:p w:rsidR="006224C2" w:rsidRPr="00295E71" w14:paraId="711013FB" w14:textId="77777777">
      <w:pPr>
        <w:tabs>
          <w:tab w:val="left" w:pos="567"/>
        </w:tabs>
        <w:jc w:val="both"/>
        <w:rPr>
          <w:sz w:val="22"/>
          <w:szCs w:val="22"/>
        </w:rPr>
      </w:pPr>
    </w:p>
    <w:p w:rsidR="006224C2" w:rsidRPr="00295E71" w14:paraId="10DB8118" w14:textId="77777777">
      <w:pPr>
        <w:tabs>
          <w:tab w:val="left" w:pos="567"/>
        </w:tabs>
        <w:jc w:val="both"/>
        <w:rPr>
          <w:color w:val="000000"/>
          <w:sz w:val="22"/>
          <w:szCs w:val="22"/>
        </w:rPr>
      </w:pPr>
      <w:r w:rsidRPr="00295E71">
        <w:rPr>
          <w:color w:val="000000"/>
          <w:sz w:val="22"/>
          <w:szCs w:val="22"/>
        </w:rPr>
        <w:t xml:space="preserve">Non è stata osservata tossicità </w:t>
      </w:r>
      <w:r w:rsidR="007409F8">
        <w:rPr>
          <w:color w:val="000000"/>
          <w:sz w:val="22"/>
          <w:szCs w:val="22"/>
        </w:rPr>
        <w:t xml:space="preserve">dose-limitante </w:t>
      </w:r>
      <w:r w:rsidRPr="00295E71">
        <w:rPr>
          <w:color w:val="000000"/>
          <w:sz w:val="22"/>
          <w:szCs w:val="22"/>
        </w:rPr>
        <w:t>durante gli studi clinici. La dose più elevata valutata è stata quella costituita da dosi multiple di 10 mg/kg per via endovenosa; tale dose risulta equivalente a circa 15 volte la dose raccomandata.</w:t>
      </w:r>
    </w:p>
    <w:p w:rsidR="006224C2" w:rsidRPr="00295E71" w14:paraId="4FF42167" w14:textId="77777777">
      <w:pPr>
        <w:pStyle w:val="EndnoteText"/>
        <w:jc w:val="both"/>
        <w:rPr>
          <w:lang w:val="it-IT" w:eastAsia="it-IT"/>
        </w:rPr>
      </w:pPr>
    </w:p>
    <w:p w:rsidR="006224C2" w:rsidRPr="00295E71" w14:paraId="63B24249" w14:textId="77777777">
      <w:pPr>
        <w:tabs>
          <w:tab w:val="left" w:pos="567"/>
        </w:tabs>
        <w:jc w:val="both"/>
        <w:rPr>
          <w:sz w:val="22"/>
          <w:szCs w:val="22"/>
        </w:rPr>
      </w:pPr>
    </w:p>
    <w:p w:rsidR="006224C2" w:rsidRPr="00295E71" w14:paraId="48A5CA81" w14:textId="77777777">
      <w:pPr>
        <w:tabs>
          <w:tab w:val="left" w:pos="567"/>
        </w:tabs>
        <w:ind w:left="567" w:hanging="567"/>
        <w:jc w:val="both"/>
        <w:rPr>
          <w:b/>
          <w:bCs/>
          <w:sz w:val="22"/>
          <w:szCs w:val="22"/>
        </w:rPr>
      </w:pPr>
      <w:r w:rsidRPr="00295E71">
        <w:rPr>
          <w:b/>
          <w:bCs/>
          <w:sz w:val="22"/>
          <w:szCs w:val="22"/>
        </w:rPr>
        <w:t>5.</w:t>
      </w:r>
      <w:r w:rsidRPr="00295E71">
        <w:rPr>
          <w:b/>
          <w:bCs/>
          <w:sz w:val="22"/>
          <w:szCs w:val="22"/>
        </w:rPr>
        <w:tab/>
        <w:t>PROPRIETÀ FARMACOLOGICHE</w:t>
      </w:r>
    </w:p>
    <w:p w:rsidR="006224C2" w:rsidRPr="00295E71" w14:paraId="1B56847E" w14:textId="77777777">
      <w:pPr>
        <w:tabs>
          <w:tab w:val="left" w:pos="567"/>
        </w:tabs>
        <w:jc w:val="both"/>
        <w:rPr>
          <w:b/>
          <w:bCs/>
          <w:sz w:val="22"/>
          <w:szCs w:val="22"/>
        </w:rPr>
      </w:pPr>
    </w:p>
    <w:p w:rsidR="006224C2" w:rsidRPr="00295E71" w14:paraId="61259024" w14:textId="77777777">
      <w:pPr>
        <w:tabs>
          <w:tab w:val="left" w:pos="567"/>
        </w:tabs>
        <w:ind w:left="567" w:hanging="567"/>
        <w:jc w:val="both"/>
        <w:rPr>
          <w:b/>
          <w:bCs/>
          <w:sz w:val="22"/>
          <w:szCs w:val="22"/>
        </w:rPr>
      </w:pPr>
      <w:r w:rsidRPr="00295E71">
        <w:rPr>
          <w:b/>
          <w:bCs/>
          <w:sz w:val="22"/>
          <w:szCs w:val="22"/>
        </w:rPr>
        <w:t xml:space="preserve">5.1 </w:t>
      </w:r>
      <w:r w:rsidRPr="00295E71">
        <w:rPr>
          <w:b/>
          <w:bCs/>
          <w:sz w:val="22"/>
          <w:szCs w:val="22"/>
        </w:rPr>
        <w:tab/>
        <w:t>Proprietà farmacodinamiche</w:t>
      </w:r>
    </w:p>
    <w:p w:rsidR="006224C2" w:rsidRPr="00295E71" w14:paraId="7917A205" w14:textId="77777777">
      <w:pPr>
        <w:tabs>
          <w:tab w:val="left" w:pos="567"/>
        </w:tabs>
        <w:jc w:val="both"/>
        <w:rPr>
          <w:sz w:val="22"/>
          <w:szCs w:val="22"/>
        </w:rPr>
      </w:pPr>
    </w:p>
    <w:p w:rsidR="006224C2" w:rsidRPr="00295E71" w14:paraId="1AAF9E11" w14:textId="77777777">
      <w:pPr>
        <w:tabs>
          <w:tab w:val="left" w:pos="567"/>
        </w:tabs>
        <w:jc w:val="both"/>
        <w:rPr>
          <w:sz w:val="22"/>
          <w:szCs w:val="22"/>
        </w:rPr>
      </w:pPr>
      <w:r w:rsidRPr="00295E71">
        <w:rPr>
          <w:sz w:val="22"/>
          <w:szCs w:val="22"/>
        </w:rPr>
        <w:t>Categoria farmacoterapeutica: Immunosoppressori, inibitori del Fattore di Necrosi Tumorale alfa (TNF</w:t>
      </w:r>
      <w:r w:rsidRPr="00295E71">
        <w:rPr>
          <w:sz w:val="22"/>
          <w:szCs w:val="22"/>
        </w:rPr>
        <w:noBreakHyphen/>
        <w:t>α). Codice ATC: L04AB04</w:t>
      </w:r>
    </w:p>
    <w:p w:rsidR="006224C2" w:rsidRPr="00295E71" w14:paraId="5E4FBC94" w14:textId="77777777">
      <w:pPr>
        <w:tabs>
          <w:tab w:val="left" w:pos="567"/>
        </w:tabs>
        <w:jc w:val="both"/>
        <w:rPr>
          <w:sz w:val="22"/>
          <w:szCs w:val="22"/>
        </w:rPr>
      </w:pPr>
    </w:p>
    <w:p w:rsidR="006224C2" w:rsidRPr="00295E71" w14:paraId="340261C4" w14:textId="77777777">
      <w:pPr>
        <w:rPr>
          <w:sz w:val="22"/>
          <w:szCs w:val="22"/>
          <w:u w:val="single"/>
        </w:rPr>
      </w:pPr>
      <w:r w:rsidRPr="00295E71">
        <w:rPr>
          <w:sz w:val="22"/>
          <w:szCs w:val="22"/>
          <w:u w:val="single"/>
        </w:rPr>
        <w:t>Meccanismo d’azione</w:t>
      </w:r>
    </w:p>
    <w:p w:rsidR="006224C2" w:rsidRPr="00295E71" w14:paraId="5A6D7A89" w14:textId="77777777">
      <w:pPr>
        <w:tabs>
          <w:tab w:val="left" w:pos="567"/>
        </w:tabs>
        <w:jc w:val="both"/>
        <w:rPr>
          <w:sz w:val="22"/>
          <w:szCs w:val="22"/>
        </w:rPr>
      </w:pPr>
    </w:p>
    <w:p w:rsidR="006224C2" w:rsidRPr="00295E71" w14:paraId="3502CDE9" w14:textId="77777777">
      <w:pPr>
        <w:pStyle w:val="BodyText"/>
        <w:tabs>
          <w:tab w:val="left" w:pos="567"/>
        </w:tabs>
      </w:pPr>
      <w:r w:rsidRPr="00295E71">
        <w:t>Adalimumab si lega selettivamente al TNF e ne neutralizza la funzione biologica bloccando la sua interazione con i recettori del TNF di membrana cellulare, p55 e p75.</w:t>
      </w:r>
    </w:p>
    <w:p w:rsidR="006224C2" w:rsidRPr="00295E71" w14:paraId="47A22BF3" w14:textId="77777777">
      <w:pPr>
        <w:tabs>
          <w:tab w:val="left" w:pos="567"/>
        </w:tabs>
        <w:jc w:val="both"/>
        <w:rPr>
          <w:sz w:val="22"/>
          <w:szCs w:val="22"/>
        </w:rPr>
      </w:pPr>
    </w:p>
    <w:p w:rsidR="006224C2" w:rsidRPr="00295E71" w14:paraId="337CEDFB" w14:textId="77777777">
      <w:pPr>
        <w:tabs>
          <w:tab w:val="left" w:pos="567"/>
        </w:tabs>
        <w:jc w:val="both"/>
        <w:rPr>
          <w:sz w:val="22"/>
          <w:szCs w:val="22"/>
        </w:rPr>
      </w:pPr>
      <w:r w:rsidRPr="00295E71">
        <w:rPr>
          <w:sz w:val="22"/>
          <w:szCs w:val="22"/>
        </w:rPr>
        <w:t>Adalimumab modula anche le risposte biologiche che sono indotte o regolate dal TNF, inclusi i cambiamenti dei livelli delle molecole di adesione responsabili della migrazione dei leucociti (ELAM-1, VCAM-1 e ICAM-1 con un IC</w:t>
      </w:r>
      <w:r w:rsidRPr="00295E71">
        <w:rPr>
          <w:sz w:val="22"/>
          <w:szCs w:val="22"/>
          <w:vertAlign w:val="subscript"/>
        </w:rPr>
        <w:t>50</w:t>
      </w:r>
      <w:r w:rsidRPr="00295E71">
        <w:rPr>
          <w:sz w:val="22"/>
          <w:szCs w:val="22"/>
        </w:rPr>
        <w:t xml:space="preserve"> di 0,1-0,2 nM).</w:t>
      </w:r>
    </w:p>
    <w:p w:rsidR="006224C2" w:rsidRPr="00295E71" w14:paraId="5AC294D1" w14:textId="77777777">
      <w:pPr>
        <w:tabs>
          <w:tab w:val="left" w:pos="567"/>
        </w:tabs>
        <w:jc w:val="both"/>
        <w:rPr>
          <w:sz w:val="22"/>
          <w:szCs w:val="22"/>
        </w:rPr>
      </w:pPr>
    </w:p>
    <w:p w:rsidR="006224C2" w:rsidRPr="00295E71" w14:paraId="75D3FF92" w14:textId="77777777">
      <w:pPr>
        <w:rPr>
          <w:color w:val="000000"/>
          <w:sz w:val="22"/>
          <w:szCs w:val="22"/>
          <w:u w:val="single"/>
        </w:rPr>
      </w:pPr>
      <w:r w:rsidRPr="00295E71">
        <w:rPr>
          <w:color w:val="000000"/>
          <w:sz w:val="22"/>
          <w:szCs w:val="22"/>
          <w:u w:val="single"/>
        </w:rPr>
        <w:t>Effetti farmacodinamici</w:t>
      </w:r>
    </w:p>
    <w:p w:rsidR="006224C2" w:rsidRPr="00295E71" w14:paraId="61008896" w14:textId="77777777">
      <w:pPr>
        <w:tabs>
          <w:tab w:val="left" w:pos="567"/>
        </w:tabs>
        <w:autoSpaceDE w:val="0"/>
        <w:autoSpaceDN w:val="0"/>
        <w:adjustRightInd w:val="0"/>
        <w:jc w:val="both"/>
        <w:rPr>
          <w:color w:val="000000"/>
          <w:sz w:val="22"/>
          <w:szCs w:val="22"/>
          <w:u w:val="single"/>
        </w:rPr>
      </w:pPr>
    </w:p>
    <w:p w:rsidR="006224C2" w:rsidRPr="00295E71" w14:paraId="6C84C8C4" w14:textId="77777777">
      <w:pPr>
        <w:tabs>
          <w:tab w:val="left" w:pos="567"/>
        </w:tabs>
        <w:jc w:val="both"/>
        <w:rPr>
          <w:color w:val="000000"/>
          <w:sz w:val="22"/>
          <w:szCs w:val="22"/>
        </w:rPr>
      </w:pPr>
      <w:r w:rsidRPr="00295E71">
        <w:rPr>
          <w:color w:val="000000"/>
          <w:sz w:val="22"/>
          <w:szCs w:val="22"/>
        </w:rPr>
        <w:t>Dopo trattamento con Humira, si è osservata una rapida diminuzione delle proteine di fase acuta, indici di infiammazione (proteina C reattiva-PCR, velocità di eritrosedimentazione -VES) e delle citochine sieriche (IL-6) nei pazienti con artrite reumatoide rispetto al valore basale. Anche i livelli sierici delle metalloproteinasi della matrice (MMP-1 e MMP-3), coinvolte nel rimodellamento tissutale responsabile della distruzione della cartilagine, erano diminuiti in seguito alla somministrazione di Humira. I pazienti trattati con Humira hanno generalmente mostrato un miglioramento dei segni emato</w:t>
      </w:r>
      <w:r w:rsidR="007409F8">
        <w:rPr>
          <w:color w:val="000000"/>
          <w:sz w:val="22"/>
          <w:szCs w:val="22"/>
        </w:rPr>
        <w:t>logici</w:t>
      </w:r>
      <w:r w:rsidRPr="00295E71">
        <w:rPr>
          <w:color w:val="000000"/>
          <w:sz w:val="22"/>
          <w:szCs w:val="22"/>
        </w:rPr>
        <w:t xml:space="preserve"> dell’infiammazione cronica.</w:t>
      </w:r>
    </w:p>
    <w:p w:rsidR="006224C2" w:rsidRPr="00295E71" w14:paraId="3D170515" w14:textId="77777777">
      <w:pPr>
        <w:tabs>
          <w:tab w:val="left" w:pos="567"/>
        </w:tabs>
        <w:jc w:val="both"/>
        <w:rPr>
          <w:sz w:val="22"/>
          <w:szCs w:val="22"/>
        </w:rPr>
      </w:pPr>
    </w:p>
    <w:p w:rsidR="006224C2" w:rsidRPr="00295E71" w14:paraId="372AD677" w14:textId="77777777">
      <w:pPr>
        <w:tabs>
          <w:tab w:val="left" w:pos="567"/>
        </w:tabs>
        <w:jc w:val="both"/>
        <w:rPr>
          <w:sz w:val="22"/>
          <w:szCs w:val="22"/>
        </w:rPr>
      </w:pPr>
      <w:r w:rsidRPr="00295E71">
        <w:rPr>
          <w:sz w:val="22"/>
          <w:szCs w:val="22"/>
        </w:rPr>
        <w:t xml:space="preserve">Dopo trattamento con Humira, </w:t>
      </w:r>
      <w:r w:rsidR="007409F8">
        <w:rPr>
          <w:sz w:val="22"/>
          <w:szCs w:val="22"/>
        </w:rPr>
        <w:t>anche nei</w:t>
      </w:r>
      <w:r w:rsidRPr="00295E71">
        <w:rPr>
          <w:sz w:val="22"/>
          <w:szCs w:val="22"/>
        </w:rPr>
        <w:t xml:space="preserve"> pazienti affetti da Artrite Idiopatica Giovanile Poliarticolare, malattia di Crohn, colite ulcerosa e Idrosadenite Suppurativa è stata osservata una rapida diminuzione dei livelli di PCR (proteina C reattiva). Nei pazienti affetti dalla malattia di Crohn, è stata osservata una riduzione del numero di cellule che esprimono i marcatori infiammatori nel colon compresa una significativa riduzione dell’espressione del TNFα. Studi endoscopici della mucosa intestinale hanno evidenziato la guarigione mucosale nei pazienti trattati con adalimumab.</w:t>
      </w:r>
    </w:p>
    <w:p w:rsidR="006224C2" w:rsidRPr="00295E71" w14:paraId="017252EC" w14:textId="77777777">
      <w:pPr>
        <w:tabs>
          <w:tab w:val="left" w:pos="567"/>
        </w:tabs>
        <w:jc w:val="both"/>
        <w:rPr>
          <w:color w:val="000000"/>
          <w:sz w:val="22"/>
          <w:szCs w:val="22"/>
        </w:rPr>
      </w:pPr>
    </w:p>
    <w:p w:rsidR="006224C2" w:rsidRPr="00295E71" w:rsidP="00986889" w14:paraId="19E3EA59" w14:textId="77777777">
      <w:pPr>
        <w:keepNext/>
        <w:tabs>
          <w:tab w:val="left" w:pos="567"/>
        </w:tabs>
        <w:jc w:val="both"/>
        <w:rPr>
          <w:color w:val="000000"/>
          <w:sz w:val="22"/>
          <w:szCs w:val="22"/>
          <w:u w:val="single"/>
        </w:rPr>
      </w:pPr>
      <w:r w:rsidRPr="00295E71">
        <w:rPr>
          <w:color w:val="000000"/>
          <w:sz w:val="22"/>
          <w:szCs w:val="22"/>
          <w:u w:val="single"/>
        </w:rPr>
        <w:t>Efficacia e sicurezza clinica</w:t>
      </w:r>
    </w:p>
    <w:p w:rsidR="006224C2" w:rsidRPr="00295E71" w:rsidP="00986889" w14:paraId="57A21E2A" w14:textId="77777777">
      <w:pPr>
        <w:keepNext/>
        <w:tabs>
          <w:tab w:val="left" w:pos="567"/>
          <w:tab w:val="left" w:pos="1294"/>
        </w:tabs>
        <w:autoSpaceDE w:val="0"/>
        <w:autoSpaceDN w:val="0"/>
        <w:adjustRightInd w:val="0"/>
        <w:jc w:val="both"/>
        <w:rPr>
          <w:color w:val="000000"/>
          <w:sz w:val="22"/>
          <w:szCs w:val="22"/>
        </w:rPr>
      </w:pPr>
    </w:p>
    <w:p w:rsidR="003D5842" w:rsidRPr="00295E71" w:rsidP="00986889" w14:paraId="016C21B1" w14:textId="77777777">
      <w:pPr>
        <w:keepNext/>
        <w:tabs>
          <w:tab w:val="left" w:pos="567"/>
        </w:tabs>
        <w:jc w:val="both"/>
        <w:rPr>
          <w:i/>
          <w:sz w:val="22"/>
          <w:szCs w:val="22"/>
        </w:rPr>
      </w:pPr>
      <w:r w:rsidRPr="00295E71">
        <w:rPr>
          <w:i/>
          <w:sz w:val="22"/>
          <w:szCs w:val="22"/>
        </w:rPr>
        <w:t>Artrite reumatoide</w:t>
      </w:r>
    </w:p>
    <w:p w:rsidR="003D5842" w:rsidRPr="00295E71" w:rsidP="00986889" w14:paraId="2C5538CD" w14:textId="77777777">
      <w:pPr>
        <w:keepNext/>
        <w:tabs>
          <w:tab w:val="left" w:pos="567"/>
        </w:tabs>
        <w:jc w:val="both"/>
        <w:rPr>
          <w:sz w:val="22"/>
          <w:szCs w:val="22"/>
        </w:rPr>
      </w:pPr>
    </w:p>
    <w:p w:rsidR="003D5842" w:rsidRPr="00295E71" w:rsidP="003D5842" w14:paraId="5C70DE79" w14:textId="77777777">
      <w:pPr>
        <w:jc w:val="both"/>
        <w:rPr>
          <w:sz w:val="22"/>
          <w:szCs w:val="22"/>
        </w:rPr>
      </w:pPr>
      <w:r w:rsidRPr="00295E71">
        <w:rPr>
          <w:sz w:val="22"/>
          <w:szCs w:val="22"/>
        </w:rPr>
        <w:t>Humira è stato valutato su oltre 3.000 pazienti in tutti gli studi clinici sull’artrite reumatoide. L’efficacia e la sicurezza di Humira sono state valutate in cinque studi randomizzati, in doppio cieco e ben controllati. Alcuni pazienti sono stati sottoposti a trattamento per un periodo fino a 120 mesi. Il dolore nel sito di iniezione di Humira 40 mg/0,4 ml è stato valutato in due studi randomizzati, con controllo attivo, in singolo cieco, con due periodi di crossover.</w:t>
      </w:r>
    </w:p>
    <w:p w:rsidR="003D5842" w:rsidRPr="00295E71" w:rsidP="003D5842" w14:paraId="7113B0AB" w14:textId="77777777">
      <w:pPr>
        <w:rPr>
          <w:sz w:val="22"/>
          <w:szCs w:val="22"/>
        </w:rPr>
      </w:pPr>
    </w:p>
    <w:p w:rsidR="003D5842" w:rsidRPr="00295E71" w:rsidP="003D5842" w14:paraId="1B6D7713" w14:textId="77777777">
      <w:pPr>
        <w:pStyle w:val="BodyText"/>
        <w:tabs>
          <w:tab w:val="left" w:pos="567"/>
        </w:tabs>
      </w:pPr>
      <w:r w:rsidRPr="00295E71">
        <w:t xml:space="preserve">Lo studio AR I è stato condotto su 271 pazienti di età </w:t>
      </w:r>
      <w:r w:rsidRPr="00295E71">
        <w:rPr>
          <w:rFonts w:ascii="Symbol" w:hAnsi="Symbol"/>
        </w:rPr>
        <w:sym w:font="Symbol" w:char="F0B3"/>
      </w:r>
      <w:r w:rsidRPr="00295E71">
        <w:t xml:space="preserve"> 18 anni, affetti da artrite reumatoide attiva di grado da moderato a severo, refrattari ad almeno un farmaco DMARD </w:t>
      </w:r>
      <w:r w:rsidR="007409F8">
        <w:t>e con risposta inadeguata al</w:t>
      </w:r>
      <w:r w:rsidRPr="00295E71" w:rsidR="007409F8">
        <w:t xml:space="preserve"> </w:t>
      </w:r>
      <w:r w:rsidRPr="00295E71">
        <w:t>metotressato a dosaggi compresi tra 12,5 e 25 mg (10 mg se intolleranti al metotressato) a settimana e la cui dose di metotressato è rimasta costante a 10-25 mg a settimana. Humira 20, 40 o 80 mg o placebo sono stati somministrati a settimane alterne per 24 settimane.</w:t>
      </w:r>
    </w:p>
    <w:p w:rsidR="003D5842" w:rsidRPr="00295E71" w:rsidP="003D5842" w14:paraId="517DDD8E" w14:textId="77777777">
      <w:pPr>
        <w:tabs>
          <w:tab w:val="left" w:pos="567"/>
        </w:tabs>
        <w:jc w:val="both"/>
        <w:rPr>
          <w:sz w:val="22"/>
          <w:szCs w:val="22"/>
        </w:rPr>
      </w:pPr>
    </w:p>
    <w:p w:rsidR="003D5842" w:rsidRPr="00295E71" w:rsidP="003D5842" w14:paraId="64A97FA1" w14:textId="77777777">
      <w:pPr>
        <w:tabs>
          <w:tab w:val="left" w:pos="567"/>
        </w:tabs>
        <w:jc w:val="both"/>
        <w:rPr>
          <w:sz w:val="22"/>
          <w:szCs w:val="22"/>
        </w:rPr>
      </w:pPr>
      <w:r w:rsidRPr="00295E71">
        <w:rPr>
          <w:sz w:val="22"/>
          <w:szCs w:val="22"/>
        </w:rPr>
        <w:t xml:space="preserve">Nello studio AR II sono stati studiati 544 pazienti di età </w:t>
      </w:r>
      <w:r w:rsidRPr="00295E71">
        <w:rPr>
          <w:rFonts w:ascii="Symbol" w:hAnsi="Symbol"/>
          <w:sz w:val="22"/>
          <w:szCs w:val="22"/>
        </w:rPr>
        <w:sym w:font="Symbol" w:char="F0B3"/>
      </w:r>
      <w:r w:rsidRPr="00295E71">
        <w:rPr>
          <w:sz w:val="22"/>
          <w:szCs w:val="22"/>
        </w:rPr>
        <w:t xml:space="preserve"> 18 anni, affetti da artrite reumatoide attiva di grado da moderato a severo, con insufficiente risposta ad almeno un farmaco DMARD. Sono state somministrate dosi di 20 o 40 mg di Humira attraverso iniezione sottocutanea ogni due settimane con placebo a settimane alterne, o ogni settimana per 26 settimane; il placebo è stato somministrato ogni settimana per la stessa durata. Non è stato consentito l’uso di altri DMARD.</w:t>
      </w:r>
    </w:p>
    <w:p w:rsidR="003D5842" w:rsidRPr="00295E71" w:rsidP="003D5842" w14:paraId="559224AB" w14:textId="77777777">
      <w:pPr>
        <w:tabs>
          <w:tab w:val="left" w:pos="567"/>
        </w:tabs>
        <w:jc w:val="both"/>
        <w:rPr>
          <w:sz w:val="22"/>
          <w:szCs w:val="22"/>
        </w:rPr>
      </w:pPr>
    </w:p>
    <w:p w:rsidR="003D5842" w:rsidRPr="00295E71" w:rsidP="003D5842" w14:paraId="6295A483" w14:textId="77777777">
      <w:pPr>
        <w:rPr>
          <w:sz w:val="22"/>
          <w:szCs w:val="22"/>
        </w:rPr>
      </w:pPr>
      <w:r w:rsidRPr="00295E71">
        <w:rPr>
          <w:sz w:val="22"/>
          <w:szCs w:val="22"/>
        </w:rPr>
        <w:t xml:space="preserve">Allo studio AR III hanno partecipato 619 pazienti, di età </w:t>
      </w:r>
      <w:r w:rsidRPr="00295E71">
        <w:rPr>
          <w:rFonts w:ascii="Symbol" w:hAnsi="Symbol"/>
          <w:sz w:val="22"/>
          <w:szCs w:val="22"/>
        </w:rPr>
        <w:sym w:font="Symbol" w:char="F0B3"/>
      </w:r>
      <w:r w:rsidRPr="00295E71">
        <w:rPr>
          <w:sz w:val="22"/>
          <w:szCs w:val="22"/>
        </w:rPr>
        <w:t xml:space="preserve"> 18 anni, con artrite reumatoide attiva di grado da moderato a severo con inadeguata risposta alla terapia con metotressato a dosaggi compresi tra 12,5 e 25 mg, o intolleranti a 10 mg di metotressato ogni settimana. In questo studio sono stati costituiti 3 gruppi. Il primo ha ricevuto iniezioni di placebo ogni settimana per 52 settimane. Il secondo ha ricevuto 20 mg di Humira a settimana per 52 settimane, mentre il terzo ha ricevuto 40 mg di Humira ogni due settimane e iniezioni di placebo a settimane alterne. Al completamento delle prime 52 settimane, 457 pazienti sono stati arruolati in una fase di estensione in aperto in cui Humira/MTX è stato somministrato alla dose di 40 mg a settimane alterne fino a 10 anni</w:t>
      </w:r>
      <w:r w:rsidRPr="00295E71">
        <w:rPr>
          <w:sz w:val="22"/>
          <w:szCs w:val="22"/>
          <w:lang w:eastAsia="en-US"/>
        </w:rPr>
        <w:t>.</w:t>
      </w:r>
    </w:p>
    <w:p w:rsidR="003D5842" w:rsidRPr="00295E71" w:rsidP="003D5842" w14:paraId="21D5211D" w14:textId="77777777">
      <w:pPr>
        <w:rPr>
          <w:sz w:val="22"/>
          <w:szCs w:val="22"/>
        </w:rPr>
      </w:pPr>
    </w:p>
    <w:p w:rsidR="003D5842" w:rsidRPr="00295E71" w:rsidP="003D5842" w14:paraId="0864221E" w14:textId="77777777">
      <w:pPr>
        <w:rPr>
          <w:sz w:val="22"/>
          <w:szCs w:val="22"/>
        </w:rPr>
      </w:pPr>
      <w:r w:rsidRPr="00295E71">
        <w:rPr>
          <w:sz w:val="22"/>
          <w:szCs w:val="22"/>
          <w:lang w:eastAsia="en-US"/>
        </w:rPr>
        <w:t xml:space="preserve">Lo </w:t>
      </w:r>
      <w:r w:rsidRPr="00295E71">
        <w:rPr>
          <w:sz w:val="22"/>
          <w:szCs w:val="22"/>
        </w:rPr>
        <w:t xml:space="preserve">studio AR IV ha valutato in primo luogo la sicurezza di Humira in 636 pazienti con artrite reumatoide attiva di grado da moderato a severo e con età </w:t>
      </w:r>
      <w:r w:rsidRPr="00295E71">
        <w:rPr>
          <w:rFonts w:ascii="Symbol" w:hAnsi="Symbol"/>
          <w:sz w:val="22"/>
          <w:szCs w:val="22"/>
        </w:rPr>
        <w:sym w:font="Symbol" w:char="F0B3"/>
      </w:r>
      <w:r w:rsidRPr="00295E71">
        <w:rPr>
          <w:sz w:val="22"/>
          <w:szCs w:val="22"/>
        </w:rPr>
        <w:t xml:space="preserve"> 18 anni. La popolazione studiata era costituita sia da pazienti mai trattati con DMARD, sia da pazienti che avevano continuato la terapia anti-reumatica preesistente a condizione che questa fosse stabile da un minimo di 28 giorni. </w:t>
      </w:r>
    </w:p>
    <w:p w:rsidR="003D5842" w:rsidRPr="00295E71" w:rsidP="003D5842" w14:paraId="047D7E71" w14:textId="77777777">
      <w:pPr>
        <w:rPr>
          <w:sz w:val="22"/>
          <w:szCs w:val="22"/>
        </w:rPr>
      </w:pPr>
      <w:r w:rsidRPr="00295E71">
        <w:rPr>
          <w:sz w:val="22"/>
          <w:szCs w:val="22"/>
        </w:rPr>
        <w:t>Queste terapie includono metotressato, leflunomide, idrossiclorochina, sulfasalazina e/o sali d’oro. I pazienti sono stati randomizzati per ricevere 40 mg di Humira o placebo ogni due settimane per 24 settimane</w:t>
      </w:r>
      <w:r w:rsidRPr="00295E71">
        <w:rPr>
          <w:sz w:val="22"/>
          <w:szCs w:val="22"/>
          <w:lang w:eastAsia="en-US"/>
        </w:rPr>
        <w:t>.</w:t>
      </w:r>
    </w:p>
    <w:p w:rsidR="003D5842" w:rsidRPr="00295E71" w:rsidP="003D5842" w14:paraId="5D68689A" w14:textId="77777777">
      <w:pPr>
        <w:rPr>
          <w:sz w:val="22"/>
          <w:szCs w:val="22"/>
        </w:rPr>
      </w:pPr>
    </w:p>
    <w:p w:rsidR="003D5842" w:rsidRPr="00295E71" w:rsidP="003D5842" w14:paraId="0981B497" w14:textId="77777777">
      <w:pPr>
        <w:rPr>
          <w:sz w:val="22"/>
          <w:szCs w:val="22"/>
        </w:rPr>
      </w:pPr>
      <w:r w:rsidRPr="00295E71">
        <w:rPr>
          <w:sz w:val="22"/>
          <w:szCs w:val="22"/>
          <w:lang w:eastAsia="en-US"/>
        </w:rPr>
        <w:t xml:space="preserve">Lo </w:t>
      </w:r>
      <w:r w:rsidRPr="00295E71">
        <w:rPr>
          <w:sz w:val="22"/>
          <w:szCs w:val="22"/>
        </w:rPr>
        <w:t>studio AR V ha valutato 799 pazienti adulti mai trattati in precedenza con metotressato ed affetti da artrite reumatoide precoce attiva di grado moderato-grave (durata media della malattia inferiore a 9 mesi). Questo studio ha valutato l’efficacia di 40 mg di Humira somministrato a settimane alterne in terapia associata con il metotressato, di 40 mg di Humira somministrato in monoterapia a settimane alterne e di metotressato in monoterapia nella riduzione dei segni e sintomi di malattia e dell’indice di progressione del danno articolare causato dall’artrite reumatoide per 104 settimane. Al completamento delle prime 104 settimane, 497 pazienti sono stati arruolati in una fase di estensione in aperto in cui Humira è stato somministrato alla dose di 40 mg a settimane alterne fino a 10 anni.</w:t>
      </w:r>
    </w:p>
    <w:p w:rsidR="003D5842" w:rsidRPr="00295E71" w:rsidP="003D5842" w14:paraId="4FF9B3C3" w14:textId="77777777">
      <w:pPr>
        <w:tabs>
          <w:tab w:val="left" w:pos="567"/>
        </w:tabs>
        <w:jc w:val="both"/>
        <w:rPr>
          <w:sz w:val="22"/>
          <w:szCs w:val="22"/>
        </w:rPr>
      </w:pPr>
    </w:p>
    <w:p w:rsidR="003D5842" w:rsidRPr="00295E71" w:rsidP="00F57FE5" w14:paraId="39720E71" w14:textId="77777777">
      <w:pPr>
        <w:keepNext/>
        <w:keepLines/>
        <w:tabs>
          <w:tab w:val="left" w:pos="567"/>
        </w:tabs>
        <w:jc w:val="both"/>
        <w:rPr>
          <w:sz w:val="22"/>
          <w:szCs w:val="22"/>
        </w:rPr>
      </w:pPr>
      <w:r w:rsidRPr="00295E71">
        <w:rPr>
          <w:sz w:val="22"/>
          <w:szCs w:val="22"/>
        </w:rPr>
        <w:t>Gli studi AR VI e VII hanno valutato ciascuno 60 pazienti con artrite reumatoide attiva di grado da moderato a grave con età ≥ 18 anni. I pazienti arruolati utilizzavano sia Humira 40 mg/0,8 ml e valutarono il dolore medio al sito di iniezione come una superficie di almeno 3 cm (su una scala VAS da 0-10 cm) oppure erano soggetti naive al trattamento con farmaco biologico che stavano iniziando il trattamento con Humira 40 mg/0,8 ml. I pazienti erano randomizzati a ricevere una singola dose di Humira 40 mg/0,8 ml oppure di Humira 40 mg/0,4 ml, seguita da una singola iniezione del trattamento alternativo alla dose successiva.</w:t>
      </w:r>
    </w:p>
    <w:p w:rsidR="003D5842" w:rsidRPr="00295E71" w:rsidP="003D5842" w14:paraId="67A0CD48" w14:textId="77777777">
      <w:pPr>
        <w:tabs>
          <w:tab w:val="left" w:pos="567"/>
        </w:tabs>
        <w:jc w:val="both"/>
        <w:rPr>
          <w:sz w:val="22"/>
          <w:szCs w:val="22"/>
        </w:rPr>
      </w:pPr>
    </w:p>
    <w:p w:rsidR="003D5842" w:rsidRPr="00295E71" w:rsidP="003D5842" w14:paraId="1EF020E5" w14:textId="77777777">
      <w:pPr>
        <w:jc w:val="both"/>
        <w:rPr>
          <w:sz w:val="22"/>
          <w:szCs w:val="22"/>
        </w:rPr>
      </w:pPr>
      <w:r w:rsidRPr="00295E71">
        <w:rPr>
          <w:sz w:val="22"/>
          <w:szCs w:val="22"/>
        </w:rPr>
        <w:t>L’</w:t>
      </w:r>
      <w:r w:rsidRPr="00020442" w:rsidR="007409F8">
        <w:rPr>
          <w:sz w:val="22"/>
          <w:szCs w:val="22"/>
        </w:rPr>
        <w:t>endpoint</w:t>
      </w:r>
      <w:r w:rsidRPr="00295E71">
        <w:rPr>
          <w:sz w:val="22"/>
          <w:szCs w:val="22"/>
        </w:rPr>
        <w:t xml:space="preserve"> primario degli studi AR I, II, III, e secondario dello studio AR IV, era la valutazione della percentuale di pazienti che raggiungeva una risposta ACR 20 alla settimana 24 o 26. L’</w:t>
      </w:r>
      <w:r w:rsidRPr="00020442" w:rsidR="007409F8">
        <w:rPr>
          <w:sz w:val="22"/>
          <w:szCs w:val="22"/>
        </w:rPr>
        <w:t>endpoint</w:t>
      </w:r>
      <w:r w:rsidRPr="00295E71">
        <w:rPr>
          <w:sz w:val="22"/>
          <w:szCs w:val="22"/>
        </w:rPr>
        <w:t xml:space="preserve"> primario dello studio AR V era la valutazione della percentuale di pazienti che raggiungeva una risposta ACR 50 alla settimana 52. Inoltre, gli studi AR III e V avevano </w:t>
      </w:r>
      <w:r w:rsidRPr="00020442" w:rsidR="007409F8">
        <w:rPr>
          <w:sz w:val="22"/>
          <w:szCs w:val="22"/>
        </w:rPr>
        <w:t>un ulteriore endpoint primario rappresentato dal ritardo</w:t>
      </w:r>
      <w:r w:rsidR="007409F8">
        <w:rPr>
          <w:sz w:val="22"/>
          <w:szCs w:val="22"/>
        </w:rPr>
        <w:t xml:space="preserve"> </w:t>
      </w:r>
      <w:r w:rsidRPr="00295E71">
        <w:rPr>
          <w:sz w:val="22"/>
          <w:szCs w:val="22"/>
        </w:rPr>
        <w:t xml:space="preserve"> della progressione di malattia (attraverso gli esami radiografici) alla settimana 52. Lo studio AR III aveva anche </w:t>
      </w:r>
      <w:r w:rsidRPr="00295E71" w:rsidR="007409F8">
        <w:rPr>
          <w:sz w:val="22"/>
          <w:szCs w:val="22"/>
        </w:rPr>
        <w:t>l’</w:t>
      </w:r>
      <w:r w:rsidR="007409F8">
        <w:rPr>
          <w:sz w:val="22"/>
          <w:szCs w:val="22"/>
        </w:rPr>
        <w:t>endpoint</w:t>
      </w:r>
      <w:r w:rsidRPr="00295E71" w:rsidR="007409F8">
        <w:rPr>
          <w:sz w:val="22"/>
          <w:szCs w:val="22"/>
        </w:rPr>
        <w:t xml:space="preserve"> </w:t>
      </w:r>
      <w:r w:rsidRPr="00295E71">
        <w:rPr>
          <w:sz w:val="22"/>
          <w:szCs w:val="22"/>
        </w:rPr>
        <w:t xml:space="preserve">primario di </w:t>
      </w:r>
      <w:r w:rsidR="007409F8">
        <w:rPr>
          <w:sz w:val="22"/>
          <w:szCs w:val="22"/>
        </w:rPr>
        <w:t>variazione</w:t>
      </w:r>
      <w:r w:rsidRPr="00295E71">
        <w:rPr>
          <w:sz w:val="22"/>
          <w:szCs w:val="22"/>
        </w:rPr>
        <w:t xml:space="preserve"> della qualità di vita. L’endpoint primario negli studi RA VI e VII era rappresentato dal dolore al sito di iniezione immediatamente dopo l’iniezione misurato dalla scala VAS da 0-10 cm</w:t>
      </w:r>
      <w:r w:rsidRPr="00295E71">
        <w:rPr>
          <w:sz w:val="22"/>
          <w:szCs w:val="22"/>
          <w:lang w:eastAsia="en-US"/>
        </w:rPr>
        <w:t>.</w:t>
      </w:r>
    </w:p>
    <w:p w:rsidR="003D5842" w:rsidRPr="00295E71" w:rsidP="003D5842" w14:paraId="7D2AAD95" w14:textId="77777777">
      <w:pPr>
        <w:rPr>
          <w:sz w:val="22"/>
          <w:szCs w:val="22"/>
        </w:rPr>
      </w:pPr>
    </w:p>
    <w:p w:rsidR="003D5842" w:rsidRPr="00295E71" w:rsidP="003D5842" w14:paraId="69521667" w14:textId="77777777">
      <w:pPr>
        <w:pStyle w:val="Heading7"/>
        <w:keepNext w:val="0"/>
        <w:spacing w:line="240" w:lineRule="auto"/>
        <w:rPr>
          <w:iCs w:val="0"/>
          <w:u w:val="single"/>
          <w:lang w:val="it-IT"/>
        </w:rPr>
      </w:pPr>
      <w:r w:rsidRPr="00295E71">
        <w:rPr>
          <w:u w:val="single"/>
          <w:lang w:val="it-IT"/>
        </w:rPr>
        <w:t xml:space="preserve">Risposta </w:t>
      </w:r>
      <w:r w:rsidRPr="00295E71">
        <w:rPr>
          <w:iCs w:val="0"/>
          <w:u w:val="single"/>
          <w:lang w:val="it-IT"/>
        </w:rPr>
        <w:t>ACR</w:t>
      </w:r>
    </w:p>
    <w:p w:rsidR="003D5842" w:rsidRPr="00295E71" w:rsidP="003D5842" w14:paraId="0D324F34" w14:textId="77777777">
      <w:pPr>
        <w:tabs>
          <w:tab w:val="left" w:pos="567"/>
        </w:tabs>
        <w:jc w:val="both"/>
        <w:rPr>
          <w:sz w:val="22"/>
          <w:szCs w:val="22"/>
        </w:rPr>
      </w:pPr>
    </w:p>
    <w:p w:rsidR="003D5842" w:rsidRPr="00295E71" w:rsidP="003D5842" w14:paraId="5E1532F0" w14:textId="77777777">
      <w:pPr>
        <w:tabs>
          <w:tab w:val="left" w:pos="567"/>
        </w:tabs>
        <w:jc w:val="both"/>
        <w:rPr>
          <w:sz w:val="22"/>
          <w:szCs w:val="22"/>
        </w:rPr>
      </w:pPr>
      <w:r w:rsidRPr="00295E71">
        <w:rPr>
          <w:sz w:val="22"/>
          <w:szCs w:val="22"/>
        </w:rPr>
        <w:t xml:space="preserve">Le percentuali di pazienti trattati con Humira che hanno raggiunto risposte ACR 20, 50 e 70 erano sovrapponibili negli studi AR I, II e III. I risultati relativi al trattamento con 40 mg ogni due settimane sono riassunti nella Tabella </w:t>
      </w:r>
      <w:r w:rsidR="00800CE0">
        <w:rPr>
          <w:sz w:val="22"/>
          <w:szCs w:val="22"/>
        </w:rPr>
        <w:t>5</w:t>
      </w:r>
      <w:r w:rsidRPr="00295E71">
        <w:rPr>
          <w:sz w:val="22"/>
          <w:szCs w:val="22"/>
        </w:rPr>
        <w:t>.</w:t>
      </w:r>
    </w:p>
    <w:p w:rsidR="003D5842" w:rsidRPr="00295E71" w:rsidP="003D5842" w14:paraId="6E50121A" w14:textId="77777777">
      <w:pPr>
        <w:tabs>
          <w:tab w:val="left" w:pos="567"/>
        </w:tabs>
        <w:jc w:val="both"/>
        <w:rPr>
          <w:sz w:val="22"/>
          <w:szCs w:val="22"/>
        </w:rPr>
      </w:pPr>
    </w:p>
    <w:tbl>
      <w:tblPr>
        <w:tblW w:w="9549" w:type="dxa"/>
        <w:tblInd w:w="98" w:type="dxa"/>
        <w:tblLayout w:type="fixed"/>
        <w:tblCellMar>
          <w:left w:w="0" w:type="dxa"/>
          <w:right w:w="0" w:type="dxa"/>
        </w:tblCellMar>
        <w:tblLook w:val="0000"/>
      </w:tblPr>
      <w:tblGrid>
        <w:gridCol w:w="1046"/>
        <w:gridCol w:w="1363"/>
        <w:gridCol w:w="1387"/>
        <w:gridCol w:w="1049"/>
        <w:gridCol w:w="1172"/>
        <w:gridCol w:w="1388"/>
        <w:gridCol w:w="1942"/>
        <w:gridCol w:w="202"/>
      </w:tblGrid>
      <w:tr w14:paraId="41239E13" w14:textId="77777777" w:rsidTr="003D5842">
        <w:tblPrEx>
          <w:tblW w:w="9549" w:type="dxa"/>
          <w:tblInd w:w="98" w:type="dxa"/>
          <w:tblLayout w:type="fixed"/>
          <w:tblLook w:val="0000"/>
        </w:tblPrEx>
        <w:tc>
          <w:tcPr>
            <w:tcW w:w="9549" w:type="dxa"/>
            <w:gridSpan w:val="8"/>
          </w:tcPr>
          <w:p w:rsidR="003D5842" w:rsidRPr="00295E71" w:rsidP="003D5842" w14:paraId="10D36563" w14:textId="77777777">
            <w:pPr>
              <w:pStyle w:val="BodyText1"/>
              <w:tabs>
                <w:tab w:val="left" w:pos="567"/>
                <w:tab w:val="clear" w:pos="1152"/>
                <w:tab w:val="clear" w:pos="1872"/>
              </w:tabs>
              <w:spacing w:after="0" w:line="240" w:lineRule="auto"/>
              <w:ind w:left="0"/>
              <w:jc w:val="center"/>
              <w:rPr>
                <w:b/>
                <w:bCs/>
                <w:sz w:val="22"/>
                <w:szCs w:val="22"/>
                <w:lang w:val="it-IT"/>
              </w:rPr>
            </w:pPr>
            <w:r w:rsidRPr="00295E71">
              <w:rPr>
                <w:sz w:val="22"/>
                <w:szCs w:val="22"/>
                <w:lang w:val="it-IT"/>
              </w:rPr>
              <w:br w:type="page"/>
            </w:r>
            <w:r w:rsidRPr="00295E71">
              <w:rPr>
                <w:b/>
                <w:bCs/>
                <w:sz w:val="22"/>
                <w:szCs w:val="22"/>
                <w:lang w:val="it-IT"/>
              </w:rPr>
              <w:t xml:space="preserve">Tabella </w:t>
            </w:r>
            <w:r w:rsidR="00800CE0">
              <w:rPr>
                <w:b/>
                <w:bCs/>
                <w:sz w:val="22"/>
                <w:szCs w:val="22"/>
                <w:lang w:val="it-IT"/>
              </w:rPr>
              <w:t>5</w:t>
            </w:r>
          </w:p>
          <w:p w:rsidR="003D5842" w:rsidRPr="00295E71" w:rsidP="003D5842" w14:paraId="18E536D9" w14:textId="77777777">
            <w:pPr>
              <w:pStyle w:val="BodyText1"/>
              <w:tabs>
                <w:tab w:val="left" w:pos="567"/>
                <w:tab w:val="clear" w:pos="1152"/>
                <w:tab w:val="clear" w:pos="1872"/>
              </w:tabs>
              <w:spacing w:after="0" w:line="240" w:lineRule="auto"/>
              <w:ind w:left="0"/>
              <w:jc w:val="center"/>
              <w:rPr>
                <w:b/>
                <w:bCs/>
                <w:sz w:val="22"/>
                <w:szCs w:val="22"/>
                <w:lang w:val="it-IT"/>
              </w:rPr>
            </w:pPr>
            <w:r w:rsidRPr="00295E71">
              <w:rPr>
                <w:b/>
                <w:bCs/>
                <w:sz w:val="22"/>
                <w:szCs w:val="22"/>
                <w:lang w:val="it-IT"/>
              </w:rPr>
              <w:t>Risposte ACR negli studi clinici controllati con placebo</w:t>
            </w:r>
          </w:p>
          <w:p w:rsidR="003D5842" w:rsidRPr="00295E71" w:rsidP="003D5842" w14:paraId="2C75D8EF" w14:textId="77777777">
            <w:pPr>
              <w:pStyle w:val="BodyText1"/>
              <w:tabs>
                <w:tab w:val="left" w:pos="567"/>
                <w:tab w:val="clear" w:pos="1152"/>
                <w:tab w:val="clear" w:pos="1872"/>
              </w:tabs>
              <w:spacing w:after="0" w:line="240" w:lineRule="auto"/>
              <w:ind w:left="0"/>
              <w:jc w:val="center"/>
              <w:rPr>
                <w:b/>
                <w:bCs/>
                <w:sz w:val="22"/>
                <w:szCs w:val="22"/>
                <w:lang w:val="it-IT"/>
              </w:rPr>
            </w:pPr>
            <w:r w:rsidRPr="00295E71">
              <w:rPr>
                <w:b/>
                <w:bCs/>
                <w:sz w:val="22"/>
                <w:szCs w:val="22"/>
                <w:lang w:val="it-IT"/>
              </w:rPr>
              <w:t>(percentuale di pazienti)</w:t>
            </w:r>
          </w:p>
          <w:p w:rsidR="003D5842" w:rsidRPr="00295E71" w:rsidP="003D5842" w14:paraId="401001D8" w14:textId="77777777">
            <w:pPr>
              <w:pStyle w:val="BodyText1"/>
              <w:tabs>
                <w:tab w:val="left" w:pos="567"/>
                <w:tab w:val="clear" w:pos="1152"/>
                <w:tab w:val="clear" w:pos="1872"/>
              </w:tabs>
              <w:spacing w:after="0" w:line="240" w:lineRule="auto"/>
              <w:ind w:left="0"/>
              <w:jc w:val="center"/>
              <w:rPr>
                <w:sz w:val="22"/>
                <w:szCs w:val="22"/>
                <w:lang w:val="it-IT"/>
              </w:rPr>
            </w:pPr>
          </w:p>
        </w:tc>
      </w:tr>
      <w:tr w14:paraId="38239F08" w14:textId="77777777" w:rsidTr="003D5842">
        <w:tblPrEx>
          <w:tblW w:w="9549" w:type="dxa"/>
          <w:tblInd w:w="98" w:type="dxa"/>
          <w:tblLayout w:type="fixed"/>
          <w:tblLook w:val="0000"/>
        </w:tblPrEx>
        <w:trPr>
          <w:cantSplit/>
        </w:trPr>
        <w:tc>
          <w:tcPr>
            <w:tcW w:w="1046" w:type="dxa"/>
            <w:tcBorders>
              <w:top w:val="single" w:sz="6" w:space="0" w:color="auto"/>
              <w:right w:val="single" w:sz="6" w:space="0" w:color="auto"/>
            </w:tcBorders>
          </w:tcPr>
          <w:p w:rsidR="003D5842" w:rsidRPr="00295E71" w:rsidP="003D5842" w14:paraId="0E741A3E" w14:textId="77777777">
            <w:pPr>
              <w:pStyle w:val="In-texttable"/>
              <w:keepNext w:val="0"/>
              <w:tabs>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Risposta</w:t>
            </w:r>
          </w:p>
        </w:tc>
        <w:tc>
          <w:tcPr>
            <w:tcW w:w="2750" w:type="dxa"/>
            <w:gridSpan w:val="2"/>
            <w:tcBorders>
              <w:top w:val="single" w:sz="6" w:space="0" w:color="auto"/>
              <w:left w:val="single" w:sz="6" w:space="0" w:color="auto"/>
              <w:bottom w:val="single" w:sz="6" w:space="0" w:color="auto"/>
              <w:right w:val="single" w:sz="6" w:space="0" w:color="auto"/>
            </w:tcBorders>
          </w:tcPr>
          <w:p w:rsidR="003D5842" w:rsidRPr="00295E71" w:rsidP="003D5842" w14:paraId="171F801D"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studio AR I</w:t>
            </w: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w:t>
            </w:r>
          </w:p>
        </w:tc>
        <w:tc>
          <w:tcPr>
            <w:tcW w:w="2221" w:type="dxa"/>
            <w:gridSpan w:val="2"/>
            <w:tcBorders>
              <w:top w:val="single" w:sz="6" w:space="0" w:color="auto"/>
              <w:left w:val="single" w:sz="6" w:space="0" w:color="auto"/>
              <w:bottom w:val="single" w:sz="6" w:space="0" w:color="auto"/>
              <w:right w:val="single" w:sz="6" w:space="0" w:color="auto"/>
            </w:tcBorders>
          </w:tcPr>
          <w:p w:rsidR="003D5842" w:rsidRPr="00295E71" w:rsidP="003D5842" w14:paraId="2E8285DE"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studio AR II</w:t>
            </w: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w:t>
            </w:r>
          </w:p>
        </w:tc>
        <w:tc>
          <w:tcPr>
            <w:tcW w:w="3532" w:type="dxa"/>
            <w:gridSpan w:val="3"/>
            <w:tcBorders>
              <w:top w:val="single" w:sz="6" w:space="0" w:color="auto"/>
              <w:left w:val="single" w:sz="6" w:space="0" w:color="auto"/>
              <w:bottom w:val="single" w:sz="6" w:space="0" w:color="auto"/>
            </w:tcBorders>
          </w:tcPr>
          <w:p w:rsidR="003D5842" w:rsidRPr="00295E71" w:rsidP="003D5842" w14:paraId="60566B5D"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studio AR III</w:t>
            </w: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w:t>
            </w:r>
          </w:p>
          <w:p w:rsidR="003D5842" w:rsidRPr="00295E71" w:rsidP="003D5842" w14:paraId="6E61C731" w14:textId="77777777">
            <w:pPr>
              <w:pStyle w:val="In-texttable"/>
              <w:keepNext w:val="0"/>
              <w:tabs>
                <w:tab w:val="left" w:pos="567"/>
              </w:tabs>
              <w:spacing w:line="240" w:lineRule="auto"/>
              <w:jc w:val="center"/>
              <w:rPr>
                <w:rFonts w:ascii="Times New Roman" w:hAnsi="Times New Roman" w:cs="Times New Roman"/>
                <w:sz w:val="22"/>
                <w:szCs w:val="22"/>
                <w:lang w:val="it-IT"/>
              </w:rPr>
            </w:pPr>
          </w:p>
        </w:tc>
      </w:tr>
      <w:tr w14:paraId="10384ED1" w14:textId="77777777" w:rsidTr="003D5842">
        <w:tblPrEx>
          <w:tblW w:w="9549" w:type="dxa"/>
          <w:tblInd w:w="98" w:type="dxa"/>
          <w:tblLayout w:type="fixed"/>
          <w:tblLook w:val="0000"/>
        </w:tblPrEx>
        <w:trPr>
          <w:cantSplit/>
        </w:trPr>
        <w:tc>
          <w:tcPr>
            <w:tcW w:w="1046" w:type="dxa"/>
            <w:tcBorders>
              <w:bottom w:val="single" w:sz="6" w:space="0" w:color="auto"/>
              <w:right w:val="single" w:sz="6" w:space="0" w:color="auto"/>
            </w:tcBorders>
          </w:tcPr>
          <w:p w:rsidR="003D5842" w:rsidRPr="00295E71" w:rsidP="003D5842" w14:paraId="4998D60A" w14:textId="77777777">
            <w:pPr>
              <w:pStyle w:val="In-texttable"/>
              <w:keepNext w:val="0"/>
              <w:tabs>
                <w:tab w:val="left" w:pos="567"/>
              </w:tabs>
              <w:spacing w:line="240" w:lineRule="auto"/>
              <w:rPr>
                <w:rFonts w:ascii="Times New Roman" w:hAnsi="Times New Roman" w:cs="Times New Roman"/>
                <w:sz w:val="22"/>
                <w:szCs w:val="22"/>
                <w:lang w:val="it-IT"/>
              </w:rPr>
            </w:pPr>
          </w:p>
        </w:tc>
        <w:tc>
          <w:tcPr>
            <w:tcW w:w="1363" w:type="dxa"/>
            <w:tcBorders>
              <w:top w:val="single" w:sz="6" w:space="0" w:color="auto"/>
              <w:left w:val="single" w:sz="6" w:space="0" w:color="auto"/>
              <w:bottom w:val="single" w:sz="6" w:space="0" w:color="auto"/>
            </w:tcBorders>
          </w:tcPr>
          <w:p w:rsidR="003D5842" w:rsidRPr="00295E71" w:rsidP="003D5842" w14:paraId="07581933"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Placebo/</w:t>
            </w:r>
          </w:p>
          <w:p w:rsidR="003D5842" w:rsidRPr="00295E71" w:rsidP="003D5842" w14:paraId="59CB6BA7"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 xml:space="preserve"> MTX</w:t>
            </w:r>
            <w:r w:rsidRPr="00295E71">
              <w:rPr>
                <w:rFonts w:ascii="Times New Roman" w:hAnsi="Times New Roman" w:cs="Times New Roman"/>
                <w:sz w:val="22"/>
                <w:szCs w:val="22"/>
                <w:vertAlign w:val="superscript"/>
                <w:lang w:val="it-IT"/>
              </w:rPr>
              <w:t>c</w:t>
            </w:r>
          </w:p>
          <w:p w:rsidR="003D5842" w:rsidRPr="00295E71" w:rsidP="003D5842" w14:paraId="6BEDD35C"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n=60</w:t>
            </w:r>
          </w:p>
        </w:tc>
        <w:tc>
          <w:tcPr>
            <w:tcW w:w="1387" w:type="dxa"/>
            <w:tcBorders>
              <w:top w:val="single" w:sz="6" w:space="0" w:color="auto"/>
              <w:bottom w:val="single" w:sz="6" w:space="0" w:color="auto"/>
              <w:right w:val="single" w:sz="6" w:space="0" w:color="auto"/>
            </w:tcBorders>
          </w:tcPr>
          <w:p w:rsidR="003D5842" w:rsidRPr="00295E71" w:rsidP="003D5842" w14:paraId="1DD26DA1"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 MTX</w:t>
            </w:r>
            <w:r w:rsidRPr="00295E71">
              <w:rPr>
                <w:rFonts w:ascii="Times New Roman" w:hAnsi="Times New Roman" w:cs="Times New Roman"/>
                <w:sz w:val="22"/>
                <w:szCs w:val="22"/>
                <w:vertAlign w:val="superscript"/>
                <w:lang w:val="it-IT"/>
              </w:rPr>
              <w:t>c</w:t>
            </w:r>
          </w:p>
          <w:p w:rsidR="003D5842" w:rsidRPr="00295E71" w:rsidP="003D5842" w14:paraId="2CC4810C"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n=63</w:t>
            </w:r>
          </w:p>
        </w:tc>
        <w:tc>
          <w:tcPr>
            <w:tcW w:w="1049" w:type="dxa"/>
            <w:tcBorders>
              <w:top w:val="single" w:sz="6" w:space="0" w:color="auto"/>
              <w:left w:val="single" w:sz="6" w:space="0" w:color="auto"/>
              <w:bottom w:val="single" w:sz="6" w:space="0" w:color="auto"/>
            </w:tcBorders>
          </w:tcPr>
          <w:p w:rsidR="003D5842" w:rsidRPr="00295E71" w:rsidP="003D5842" w14:paraId="09976EBF"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Placebo</w:t>
            </w:r>
          </w:p>
          <w:p w:rsidR="003D5842" w:rsidRPr="00295E71" w:rsidP="003D5842" w14:paraId="11805082"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n=110</w:t>
            </w:r>
          </w:p>
        </w:tc>
        <w:tc>
          <w:tcPr>
            <w:tcW w:w="1172" w:type="dxa"/>
            <w:tcBorders>
              <w:top w:val="single" w:sz="6" w:space="0" w:color="auto"/>
              <w:bottom w:val="single" w:sz="6" w:space="0" w:color="auto"/>
              <w:right w:val="single" w:sz="6" w:space="0" w:color="auto"/>
            </w:tcBorders>
          </w:tcPr>
          <w:p w:rsidR="003D5842" w:rsidRPr="00295E71" w:rsidP="003D5842" w14:paraId="029D4AC5"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r w:rsidRPr="00295E71">
              <w:rPr>
                <w:rFonts w:ascii="Times New Roman" w:hAnsi="Times New Roman" w:cs="Times New Roman"/>
                <w:sz w:val="22"/>
                <w:szCs w:val="22"/>
                <w:vertAlign w:val="superscript"/>
                <w:lang w:val="it-IT"/>
              </w:rPr>
              <w:t>b</w:t>
            </w:r>
          </w:p>
          <w:p w:rsidR="003D5842" w:rsidRPr="00295E71" w:rsidP="003D5842" w14:paraId="674A1C3D"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n=113</w:t>
            </w:r>
          </w:p>
        </w:tc>
        <w:tc>
          <w:tcPr>
            <w:tcW w:w="1388" w:type="dxa"/>
            <w:tcBorders>
              <w:top w:val="single" w:sz="6" w:space="0" w:color="auto"/>
              <w:left w:val="single" w:sz="6" w:space="0" w:color="auto"/>
              <w:bottom w:val="single" w:sz="6" w:space="0" w:color="auto"/>
            </w:tcBorders>
          </w:tcPr>
          <w:p w:rsidR="003D5842" w:rsidRPr="00295E71" w:rsidP="003D5842" w14:paraId="212A449A"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Placebo/ MTX</w:t>
            </w:r>
            <w:r w:rsidRPr="00295E71">
              <w:rPr>
                <w:rFonts w:ascii="Times New Roman" w:hAnsi="Times New Roman" w:cs="Times New Roman"/>
                <w:sz w:val="22"/>
                <w:szCs w:val="22"/>
                <w:vertAlign w:val="superscript"/>
                <w:lang w:val="it-IT"/>
              </w:rPr>
              <w:t>c</w:t>
            </w:r>
          </w:p>
          <w:p w:rsidR="003D5842" w:rsidRPr="00295E71" w:rsidP="003D5842" w14:paraId="6D969CC3"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n=200</w:t>
            </w:r>
          </w:p>
        </w:tc>
        <w:tc>
          <w:tcPr>
            <w:tcW w:w="2144" w:type="dxa"/>
            <w:gridSpan w:val="2"/>
            <w:tcBorders>
              <w:top w:val="single" w:sz="6" w:space="0" w:color="auto"/>
              <w:bottom w:val="single" w:sz="6" w:space="0" w:color="auto"/>
            </w:tcBorders>
          </w:tcPr>
          <w:p w:rsidR="003D5842" w:rsidRPr="00295E71" w:rsidP="003D5842" w14:paraId="4608D65B"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 MTX</w:t>
            </w:r>
            <w:r w:rsidRPr="00295E71">
              <w:rPr>
                <w:rFonts w:ascii="Times New Roman" w:hAnsi="Times New Roman" w:cs="Times New Roman"/>
                <w:sz w:val="22"/>
                <w:szCs w:val="22"/>
                <w:vertAlign w:val="superscript"/>
                <w:lang w:val="it-IT"/>
              </w:rPr>
              <w:t>c</w:t>
            </w:r>
          </w:p>
          <w:p w:rsidR="003D5842" w:rsidRPr="00295E71" w:rsidP="003D5842" w14:paraId="5C144217"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n=207</w:t>
            </w:r>
          </w:p>
        </w:tc>
      </w:tr>
      <w:tr w14:paraId="7C6243A4" w14:textId="77777777" w:rsidTr="003D5842">
        <w:tblPrEx>
          <w:tblW w:w="9549" w:type="dxa"/>
          <w:tblInd w:w="98" w:type="dxa"/>
          <w:tblLayout w:type="fixed"/>
          <w:tblLook w:val="0000"/>
        </w:tblPrEx>
        <w:trPr>
          <w:cantSplit/>
        </w:trPr>
        <w:tc>
          <w:tcPr>
            <w:tcW w:w="1046" w:type="dxa"/>
            <w:tcBorders>
              <w:right w:val="single" w:sz="6" w:space="0" w:color="auto"/>
            </w:tcBorders>
          </w:tcPr>
          <w:p w:rsidR="003D5842" w:rsidRPr="00295E71" w:rsidP="003D5842" w14:paraId="5B344EF6"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ACR 20</w:t>
            </w:r>
          </w:p>
        </w:tc>
        <w:tc>
          <w:tcPr>
            <w:tcW w:w="1363" w:type="dxa"/>
            <w:tcBorders>
              <w:left w:val="single" w:sz="6" w:space="0" w:color="auto"/>
            </w:tcBorders>
          </w:tcPr>
          <w:p w:rsidR="003D5842" w:rsidRPr="00295E71" w:rsidP="003D5842" w14:paraId="00C62590"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387" w:type="dxa"/>
            <w:tcBorders>
              <w:right w:val="single" w:sz="6" w:space="0" w:color="auto"/>
            </w:tcBorders>
          </w:tcPr>
          <w:p w:rsidR="003D5842" w:rsidRPr="00295E71" w:rsidP="003D5842" w14:paraId="4C9BB1E5"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049" w:type="dxa"/>
            <w:tcBorders>
              <w:left w:val="single" w:sz="6" w:space="0" w:color="auto"/>
            </w:tcBorders>
          </w:tcPr>
          <w:p w:rsidR="003D5842" w:rsidRPr="00295E71" w:rsidP="003D5842" w14:paraId="0C047AF5"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172" w:type="dxa"/>
            <w:tcBorders>
              <w:right w:val="single" w:sz="6" w:space="0" w:color="auto"/>
            </w:tcBorders>
          </w:tcPr>
          <w:p w:rsidR="003D5842" w:rsidRPr="00295E71" w:rsidP="003D5842" w14:paraId="22EDC300"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388" w:type="dxa"/>
            <w:tcBorders>
              <w:top w:val="single" w:sz="6" w:space="0" w:color="auto"/>
              <w:left w:val="single" w:sz="6" w:space="0" w:color="auto"/>
            </w:tcBorders>
          </w:tcPr>
          <w:p w:rsidR="003D5842" w:rsidRPr="00295E71" w:rsidP="003D5842" w14:paraId="165EA11B"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2144" w:type="dxa"/>
            <w:gridSpan w:val="2"/>
            <w:tcBorders>
              <w:top w:val="single" w:sz="6" w:space="0" w:color="auto"/>
            </w:tcBorders>
          </w:tcPr>
          <w:p w:rsidR="003D5842" w:rsidRPr="00295E71" w:rsidP="003D5842" w14:paraId="475754F0" w14:textId="77777777">
            <w:pPr>
              <w:pStyle w:val="In-texttable"/>
              <w:keepNext w:val="0"/>
              <w:tabs>
                <w:tab w:val="left" w:pos="567"/>
              </w:tabs>
              <w:spacing w:line="240" w:lineRule="auto"/>
              <w:jc w:val="center"/>
              <w:rPr>
                <w:rFonts w:ascii="Times New Roman" w:hAnsi="Times New Roman" w:cs="Times New Roman"/>
                <w:sz w:val="22"/>
                <w:szCs w:val="22"/>
                <w:lang w:val="it-IT"/>
              </w:rPr>
            </w:pPr>
          </w:p>
        </w:tc>
      </w:tr>
      <w:tr w14:paraId="2879618D" w14:textId="77777777" w:rsidTr="003D5842">
        <w:tblPrEx>
          <w:tblW w:w="9549" w:type="dxa"/>
          <w:tblInd w:w="98" w:type="dxa"/>
          <w:tblLayout w:type="fixed"/>
          <w:tblLook w:val="0000"/>
        </w:tblPrEx>
        <w:trPr>
          <w:cantSplit/>
        </w:trPr>
        <w:tc>
          <w:tcPr>
            <w:tcW w:w="1046" w:type="dxa"/>
            <w:tcBorders>
              <w:right w:val="single" w:sz="6" w:space="0" w:color="auto"/>
            </w:tcBorders>
          </w:tcPr>
          <w:p w:rsidR="003D5842" w:rsidRPr="00295E71" w:rsidP="003D5842" w14:paraId="60C9DD37"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6 mesi</w:t>
            </w:r>
          </w:p>
        </w:tc>
        <w:tc>
          <w:tcPr>
            <w:tcW w:w="1363" w:type="dxa"/>
            <w:tcBorders>
              <w:left w:val="single" w:sz="6" w:space="0" w:color="auto"/>
            </w:tcBorders>
          </w:tcPr>
          <w:p w:rsidR="003D5842" w:rsidRPr="00295E71" w:rsidP="003D5842" w14:paraId="3B3883E3"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13,3%</w:t>
            </w:r>
          </w:p>
        </w:tc>
        <w:tc>
          <w:tcPr>
            <w:tcW w:w="1387" w:type="dxa"/>
            <w:tcBorders>
              <w:right w:val="single" w:sz="6" w:space="0" w:color="auto"/>
            </w:tcBorders>
          </w:tcPr>
          <w:p w:rsidR="003D5842" w:rsidRPr="00295E71" w:rsidP="003D5842" w14:paraId="02286D71"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65,1%</w:t>
            </w:r>
          </w:p>
        </w:tc>
        <w:tc>
          <w:tcPr>
            <w:tcW w:w="1049" w:type="dxa"/>
            <w:tcBorders>
              <w:left w:val="single" w:sz="6" w:space="0" w:color="auto"/>
            </w:tcBorders>
          </w:tcPr>
          <w:p w:rsidR="003D5842" w:rsidRPr="00295E71" w:rsidP="003D5842" w14:paraId="63FB3096"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19,1%</w:t>
            </w:r>
          </w:p>
        </w:tc>
        <w:tc>
          <w:tcPr>
            <w:tcW w:w="1172" w:type="dxa"/>
            <w:tcBorders>
              <w:right w:val="single" w:sz="6" w:space="0" w:color="auto"/>
            </w:tcBorders>
          </w:tcPr>
          <w:p w:rsidR="003D5842" w:rsidRPr="00295E71" w:rsidP="003D5842" w14:paraId="3683CE9A" w14:textId="77777777">
            <w:pPr>
              <w:pStyle w:val="In-texttable"/>
              <w:keepNext w:val="0"/>
              <w:tabs>
                <w:tab w:val="decimal" w:pos="20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46,0%</w:t>
            </w:r>
          </w:p>
        </w:tc>
        <w:tc>
          <w:tcPr>
            <w:tcW w:w="1388" w:type="dxa"/>
            <w:tcBorders>
              <w:left w:val="single" w:sz="6" w:space="0" w:color="auto"/>
            </w:tcBorders>
          </w:tcPr>
          <w:p w:rsidR="003D5842" w:rsidRPr="00295E71" w:rsidP="003D5842" w14:paraId="7999A7D5"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29,5%</w:t>
            </w:r>
          </w:p>
        </w:tc>
        <w:tc>
          <w:tcPr>
            <w:tcW w:w="2144" w:type="dxa"/>
            <w:gridSpan w:val="2"/>
          </w:tcPr>
          <w:p w:rsidR="003D5842" w:rsidRPr="00295E71" w:rsidP="003D5842" w14:paraId="16C897EF"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63,3%</w:t>
            </w:r>
          </w:p>
        </w:tc>
      </w:tr>
      <w:tr w14:paraId="1DBCE9FD" w14:textId="77777777" w:rsidTr="003D5842">
        <w:tblPrEx>
          <w:tblW w:w="9549" w:type="dxa"/>
          <w:tblInd w:w="98" w:type="dxa"/>
          <w:tblLayout w:type="fixed"/>
          <w:tblLook w:val="0000"/>
        </w:tblPrEx>
        <w:trPr>
          <w:cantSplit/>
        </w:trPr>
        <w:tc>
          <w:tcPr>
            <w:tcW w:w="1046" w:type="dxa"/>
            <w:tcBorders>
              <w:right w:val="single" w:sz="6" w:space="0" w:color="auto"/>
            </w:tcBorders>
          </w:tcPr>
          <w:p w:rsidR="003D5842" w:rsidRPr="00295E71" w:rsidP="003D5842" w14:paraId="53A01AC4"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12 mesi</w:t>
            </w:r>
          </w:p>
        </w:tc>
        <w:tc>
          <w:tcPr>
            <w:tcW w:w="1363" w:type="dxa"/>
            <w:tcBorders>
              <w:left w:val="single" w:sz="6" w:space="0" w:color="auto"/>
            </w:tcBorders>
          </w:tcPr>
          <w:p w:rsidR="003D5842" w:rsidRPr="00295E71" w:rsidP="003D5842" w14:paraId="402FA20D"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7" w:type="dxa"/>
            <w:tcBorders>
              <w:right w:val="single" w:sz="6" w:space="0" w:color="auto"/>
            </w:tcBorders>
          </w:tcPr>
          <w:p w:rsidR="003D5842" w:rsidRPr="00295E71" w:rsidP="003D5842" w14:paraId="7E68A62F"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049" w:type="dxa"/>
            <w:tcBorders>
              <w:left w:val="single" w:sz="6" w:space="0" w:color="auto"/>
            </w:tcBorders>
          </w:tcPr>
          <w:p w:rsidR="003D5842" w:rsidRPr="00295E71" w:rsidP="003D5842" w14:paraId="0FBC54A2"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172" w:type="dxa"/>
            <w:tcBorders>
              <w:right w:val="single" w:sz="6" w:space="0" w:color="auto"/>
            </w:tcBorders>
          </w:tcPr>
          <w:p w:rsidR="003D5842" w:rsidRPr="00295E71" w:rsidP="003D5842" w14:paraId="4707928F"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8" w:type="dxa"/>
            <w:tcBorders>
              <w:left w:val="single" w:sz="6" w:space="0" w:color="auto"/>
            </w:tcBorders>
          </w:tcPr>
          <w:p w:rsidR="003D5842" w:rsidRPr="00295E71" w:rsidP="003D5842" w14:paraId="088E4B46"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24,0%</w:t>
            </w:r>
          </w:p>
        </w:tc>
        <w:tc>
          <w:tcPr>
            <w:tcW w:w="2144" w:type="dxa"/>
            <w:gridSpan w:val="2"/>
          </w:tcPr>
          <w:p w:rsidR="003D5842" w:rsidRPr="00295E71" w:rsidP="003D5842" w14:paraId="55EA6F4E"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58,9%</w:t>
            </w:r>
          </w:p>
        </w:tc>
      </w:tr>
      <w:tr w14:paraId="1A225529" w14:textId="77777777" w:rsidTr="003D5842">
        <w:tblPrEx>
          <w:tblW w:w="9549" w:type="dxa"/>
          <w:tblInd w:w="98" w:type="dxa"/>
          <w:tblLayout w:type="fixed"/>
          <w:tblLook w:val="0000"/>
        </w:tblPrEx>
        <w:trPr>
          <w:cantSplit/>
        </w:trPr>
        <w:tc>
          <w:tcPr>
            <w:tcW w:w="1046" w:type="dxa"/>
            <w:tcBorders>
              <w:right w:val="single" w:sz="6" w:space="0" w:color="auto"/>
            </w:tcBorders>
          </w:tcPr>
          <w:p w:rsidR="003D5842" w:rsidRPr="00295E71" w:rsidP="003D5842" w14:paraId="736962E7"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ACR 50</w:t>
            </w:r>
          </w:p>
        </w:tc>
        <w:tc>
          <w:tcPr>
            <w:tcW w:w="1363" w:type="dxa"/>
            <w:tcBorders>
              <w:left w:val="single" w:sz="6" w:space="0" w:color="auto"/>
            </w:tcBorders>
          </w:tcPr>
          <w:p w:rsidR="003D5842" w:rsidRPr="00295E71" w:rsidP="003D5842" w14:paraId="2D042983"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p>
        </w:tc>
        <w:tc>
          <w:tcPr>
            <w:tcW w:w="1387" w:type="dxa"/>
            <w:tcBorders>
              <w:right w:val="single" w:sz="6" w:space="0" w:color="auto"/>
            </w:tcBorders>
          </w:tcPr>
          <w:p w:rsidR="003D5842" w:rsidRPr="00295E71" w:rsidP="003D5842" w14:paraId="13B94828"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p>
        </w:tc>
        <w:tc>
          <w:tcPr>
            <w:tcW w:w="1049" w:type="dxa"/>
            <w:tcBorders>
              <w:left w:val="single" w:sz="6" w:space="0" w:color="auto"/>
            </w:tcBorders>
          </w:tcPr>
          <w:p w:rsidR="003D5842" w:rsidRPr="00295E71" w:rsidP="003D5842" w14:paraId="4611D789"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172" w:type="dxa"/>
            <w:tcBorders>
              <w:right w:val="single" w:sz="6" w:space="0" w:color="auto"/>
            </w:tcBorders>
          </w:tcPr>
          <w:p w:rsidR="003D5842" w:rsidRPr="00295E71" w:rsidP="003D5842" w14:paraId="358674AB" w14:textId="77777777">
            <w:pPr>
              <w:pStyle w:val="In-texttable"/>
              <w:keepNext w:val="0"/>
              <w:tabs>
                <w:tab w:val="decimal" w:pos="205"/>
                <w:tab w:val="left" w:pos="567"/>
              </w:tabs>
              <w:spacing w:line="240" w:lineRule="auto"/>
              <w:jc w:val="center"/>
              <w:rPr>
                <w:rFonts w:ascii="Times New Roman" w:hAnsi="Times New Roman" w:cs="Times New Roman"/>
                <w:sz w:val="22"/>
                <w:szCs w:val="22"/>
                <w:lang w:val="it-IT"/>
              </w:rPr>
            </w:pPr>
          </w:p>
        </w:tc>
        <w:tc>
          <w:tcPr>
            <w:tcW w:w="1388" w:type="dxa"/>
            <w:tcBorders>
              <w:left w:val="single" w:sz="6" w:space="0" w:color="auto"/>
            </w:tcBorders>
          </w:tcPr>
          <w:p w:rsidR="003D5842" w:rsidRPr="00295E71" w:rsidP="003D5842" w14:paraId="02368C0E"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p>
        </w:tc>
        <w:tc>
          <w:tcPr>
            <w:tcW w:w="2144" w:type="dxa"/>
            <w:gridSpan w:val="2"/>
          </w:tcPr>
          <w:p w:rsidR="003D5842" w:rsidRPr="00295E71" w:rsidP="003D5842" w14:paraId="01A7B6F4"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p>
        </w:tc>
      </w:tr>
      <w:tr w14:paraId="1F5BD816" w14:textId="77777777" w:rsidTr="003D5842">
        <w:tblPrEx>
          <w:tblW w:w="9549" w:type="dxa"/>
          <w:tblInd w:w="98" w:type="dxa"/>
          <w:tblLayout w:type="fixed"/>
          <w:tblLook w:val="0000"/>
        </w:tblPrEx>
        <w:trPr>
          <w:cantSplit/>
        </w:trPr>
        <w:tc>
          <w:tcPr>
            <w:tcW w:w="1046" w:type="dxa"/>
            <w:tcBorders>
              <w:right w:val="single" w:sz="6" w:space="0" w:color="auto"/>
            </w:tcBorders>
          </w:tcPr>
          <w:p w:rsidR="003D5842" w:rsidRPr="00295E71" w:rsidP="003D5842" w14:paraId="3229B7F1"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6 mesi</w:t>
            </w:r>
          </w:p>
        </w:tc>
        <w:tc>
          <w:tcPr>
            <w:tcW w:w="1363" w:type="dxa"/>
            <w:tcBorders>
              <w:left w:val="single" w:sz="6" w:space="0" w:color="auto"/>
            </w:tcBorders>
          </w:tcPr>
          <w:p w:rsidR="003D5842" w:rsidRPr="00295E71" w:rsidP="003D5842" w14:paraId="05826C28"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6,7%</w:t>
            </w:r>
          </w:p>
        </w:tc>
        <w:tc>
          <w:tcPr>
            <w:tcW w:w="1387" w:type="dxa"/>
            <w:tcBorders>
              <w:right w:val="single" w:sz="6" w:space="0" w:color="auto"/>
            </w:tcBorders>
          </w:tcPr>
          <w:p w:rsidR="003D5842" w:rsidRPr="00295E71" w:rsidP="003D5842" w14:paraId="777BEAC8"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52,4%</w:t>
            </w:r>
          </w:p>
        </w:tc>
        <w:tc>
          <w:tcPr>
            <w:tcW w:w="1049" w:type="dxa"/>
            <w:tcBorders>
              <w:left w:val="single" w:sz="6" w:space="0" w:color="auto"/>
            </w:tcBorders>
          </w:tcPr>
          <w:p w:rsidR="003D5842" w:rsidRPr="00295E71" w:rsidP="003D5842" w14:paraId="67EAF9F5"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8,2%</w:t>
            </w:r>
          </w:p>
        </w:tc>
        <w:tc>
          <w:tcPr>
            <w:tcW w:w="1172" w:type="dxa"/>
            <w:tcBorders>
              <w:right w:val="single" w:sz="6" w:space="0" w:color="auto"/>
            </w:tcBorders>
          </w:tcPr>
          <w:p w:rsidR="003D5842" w:rsidRPr="00295E71" w:rsidP="003D5842" w14:paraId="3C841D39" w14:textId="77777777">
            <w:pPr>
              <w:pStyle w:val="In-texttable"/>
              <w:keepNext w:val="0"/>
              <w:tabs>
                <w:tab w:val="decimal" w:pos="20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22,1%</w:t>
            </w:r>
          </w:p>
        </w:tc>
        <w:tc>
          <w:tcPr>
            <w:tcW w:w="1388" w:type="dxa"/>
            <w:tcBorders>
              <w:left w:val="single" w:sz="6" w:space="0" w:color="auto"/>
            </w:tcBorders>
          </w:tcPr>
          <w:p w:rsidR="003D5842" w:rsidRPr="00295E71" w:rsidP="003D5842" w14:paraId="3361D8CB"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9,5%</w:t>
            </w:r>
          </w:p>
        </w:tc>
        <w:tc>
          <w:tcPr>
            <w:tcW w:w="2144" w:type="dxa"/>
            <w:gridSpan w:val="2"/>
          </w:tcPr>
          <w:p w:rsidR="003D5842" w:rsidRPr="00295E71" w:rsidP="003D5842" w14:paraId="4BC6A95B"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39,1%</w:t>
            </w:r>
          </w:p>
        </w:tc>
      </w:tr>
      <w:tr w14:paraId="18DA4E8F" w14:textId="77777777" w:rsidTr="003D5842">
        <w:tblPrEx>
          <w:tblW w:w="9549" w:type="dxa"/>
          <w:tblInd w:w="98" w:type="dxa"/>
          <w:tblLayout w:type="fixed"/>
          <w:tblLook w:val="0000"/>
        </w:tblPrEx>
        <w:trPr>
          <w:cantSplit/>
        </w:trPr>
        <w:tc>
          <w:tcPr>
            <w:tcW w:w="1046" w:type="dxa"/>
            <w:tcBorders>
              <w:right w:val="single" w:sz="6" w:space="0" w:color="auto"/>
            </w:tcBorders>
          </w:tcPr>
          <w:p w:rsidR="003D5842" w:rsidRPr="00295E71" w:rsidP="003D5842" w14:paraId="217D772C"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12 mesi</w:t>
            </w:r>
          </w:p>
        </w:tc>
        <w:tc>
          <w:tcPr>
            <w:tcW w:w="1363" w:type="dxa"/>
            <w:tcBorders>
              <w:left w:val="single" w:sz="6" w:space="0" w:color="auto"/>
            </w:tcBorders>
          </w:tcPr>
          <w:p w:rsidR="003D5842" w:rsidRPr="00295E71" w:rsidP="003D5842" w14:paraId="655188C8"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7" w:type="dxa"/>
            <w:tcBorders>
              <w:right w:val="single" w:sz="6" w:space="0" w:color="auto"/>
            </w:tcBorders>
          </w:tcPr>
          <w:p w:rsidR="003D5842" w:rsidRPr="00295E71" w:rsidP="003D5842" w14:paraId="03F94A89"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049" w:type="dxa"/>
            <w:tcBorders>
              <w:left w:val="single" w:sz="6" w:space="0" w:color="auto"/>
            </w:tcBorders>
          </w:tcPr>
          <w:p w:rsidR="003D5842" w:rsidRPr="00295E71" w:rsidP="003D5842" w14:paraId="0DAD1023"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172" w:type="dxa"/>
            <w:tcBorders>
              <w:right w:val="single" w:sz="6" w:space="0" w:color="auto"/>
            </w:tcBorders>
          </w:tcPr>
          <w:p w:rsidR="003D5842" w:rsidRPr="00295E71" w:rsidP="003D5842" w14:paraId="4350C231"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8" w:type="dxa"/>
            <w:tcBorders>
              <w:left w:val="single" w:sz="6" w:space="0" w:color="auto"/>
            </w:tcBorders>
          </w:tcPr>
          <w:p w:rsidR="003D5842" w:rsidRPr="00295E71" w:rsidP="003D5842" w14:paraId="0C36A37A"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9,5%</w:t>
            </w:r>
          </w:p>
        </w:tc>
        <w:tc>
          <w:tcPr>
            <w:tcW w:w="2144" w:type="dxa"/>
            <w:gridSpan w:val="2"/>
          </w:tcPr>
          <w:p w:rsidR="003D5842" w:rsidRPr="00295E71" w:rsidP="003D5842" w14:paraId="272A3259"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41,5%</w:t>
            </w:r>
          </w:p>
        </w:tc>
      </w:tr>
      <w:tr w14:paraId="3F204ECD" w14:textId="77777777" w:rsidTr="003D5842">
        <w:tblPrEx>
          <w:tblW w:w="9549" w:type="dxa"/>
          <w:tblInd w:w="98" w:type="dxa"/>
          <w:tblLayout w:type="fixed"/>
          <w:tblLook w:val="0000"/>
        </w:tblPrEx>
        <w:trPr>
          <w:cantSplit/>
        </w:trPr>
        <w:tc>
          <w:tcPr>
            <w:tcW w:w="1046" w:type="dxa"/>
            <w:tcBorders>
              <w:right w:val="single" w:sz="6" w:space="0" w:color="auto"/>
            </w:tcBorders>
          </w:tcPr>
          <w:p w:rsidR="003D5842" w:rsidRPr="00295E71" w:rsidP="003D5842" w14:paraId="0A048FB5"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910CE7">
              <w:rPr>
                <w:rFonts w:ascii="Times New Roman" w:hAnsi="Times New Roman"/>
                <w:noProof/>
                <w:sz w:val="22"/>
                <w:lang w:val="en-GB"/>
              </w:rPr>
              <mc:AlternateContent>
                <mc:Choice Requires="wps">
                  <w:drawing>
                    <wp:anchor distT="0" distB="0" distL="114300" distR="114300" simplePos="0" relativeHeight="251666432" behindDoc="0" locked="0" layoutInCell="0" allowOverlap="1">
                      <wp:simplePos x="0" y="0"/>
                      <wp:positionH relativeFrom="column">
                        <wp:posOffset>-4972050</wp:posOffset>
                      </wp:positionH>
                      <wp:positionV relativeFrom="paragraph">
                        <wp:posOffset>38735</wp:posOffset>
                      </wp:positionV>
                      <wp:extent cx="3543300" cy="342900"/>
                      <wp:effectExtent l="0" t="0" r="0" b="0"/>
                      <wp:wrapNone/>
                      <wp:docPr id="21"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43300" cy="342900"/>
                              </a:xfrm>
                              <a:prstGeom prst="rect">
                                <a:avLst/>
                              </a:prstGeom>
                              <a:solidFill>
                                <a:srgbClr val="FFFFFF"/>
                              </a:solidFill>
                              <a:ln>
                                <a:noFill/>
                              </a:ln>
                            </wps:spPr>
                            <wps:txbx>
                              <w:txbxContent>
                                <w:p w:rsidR="003B3A5A" w:rsidP="003D5842" w14:textId="77777777">
                                  <w:pPr>
                                    <w:rPr>
                                      <w:sz w:val="20"/>
                                      <w:szCs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4" type="#_x0000_t202" style="width:279pt;height:27pt;margin-top:3.05pt;margin-left:-391.5pt;mso-height-percent:0;mso-height-relative:page;mso-width-percent:0;mso-width-relative:page;mso-wrap-distance-bottom:0;mso-wrap-distance-left:9pt;mso-wrap-distance-right:9pt;mso-wrap-distance-top:0;mso-wrap-style:square;position:absolute;visibility:visible;v-text-anchor:top;z-index:251667456" o:allowincell="f" stroked="f">
                      <v:textbox>
                        <w:txbxContent>
                          <w:p w:rsidR="003B3A5A" w:rsidP="003D5842" w14:paraId="7AB19887" w14:textId="77777777">
                            <w:pPr>
                              <w:rPr>
                                <w:sz w:val="20"/>
                                <w:szCs w:val="20"/>
                              </w:rPr>
                            </w:pPr>
                          </w:p>
                        </w:txbxContent>
                      </v:textbox>
                    </v:shape>
                  </w:pict>
                </mc:Fallback>
              </mc:AlternateContent>
            </w:r>
            <w:r w:rsidRPr="00295E71" w:rsidR="003D5842">
              <w:rPr>
                <w:rFonts w:ascii="Times New Roman" w:hAnsi="Times New Roman" w:cs="Times New Roman"/>
                <w:sz w:val="22"/>
                <w:szCs w:val="22"/>
                <w:lang w:val="it-IT"/>
              </w:rPr>
              <w:t>ACR 70</w:t>
            </w:r>
          </w:p>
        </w:tc>
        <w:tc>
          <w:tcPr>
            <w:tcW w:w="1363" w:type="dxa"/>
            <w:tcBorders>
              <w:left w:val="single" w:sz="6" w:space="0" w:color="auto"/>
            </w:tcBorders>
          </w:tcPr>
          <w:p w:rsidR="003D5842" w:rsidRPr="00295E71" w:rsidP="003D5842" w14:paraId="6C09B85E"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p>
        </w:tc>
        <w:tc>
          <w:tcPr>
            <w:tcW w:w="1387" w:type="dxa"/>
            <w:tcBorders>
              <w:right w:val="single" w:sz="6" w:space="0" w:color="auto"/>
            </w:tcBorders>
          </w:tcPr>
          <w:p w:rsidR="003D5842" w:rsidRPr="00295E71" w:rsidP="003D5842" w14:paraId="4BF2CF08"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p>
        </w:tc>
        <w:tc>
          <w:tcPr>
            <w:tcW w:w="1049" w:type="dxa"/>
            <w:tcBorders>
              <w:left w:val="single" w:sz="6" w:space="0" w:color="auto"/>
            </w:tcBorders>
          </w:tcPr>
          <w:p w:rsidR="003D5842" w:rsidRPr="00295E71" w:rsidP="003D5842" w14:paraId="3CFD3A80" w14:textId="77777777">
            <w:pPr>
              <w:pStyle w:val="In-texttable"/>
              <w:keepNext w:val="0"/>
              <w:tabs>
                <w:tab w:val="left" w:pos="567"/>
              </w:tabs>
              <w:spacing w:line="240" w:lineRule="auto"/>
              <w:jc w:val="center"/>
              <w:rPr>
                <w:rFonts w:ascii="Times New Roman" w:hAnsi="Times New Roman" w:cs="Times New Roman"/>
                <w:sz w:val="22"/>
                <w:szCs w:val="22"/>
                <w:lang w:val="it-IT"/>
              </w:rPr>
            </w:pPr>
          </w:p>
        </w:tc>
        <w:tc>
          <w:tcPr>
            <w:tcW w:w="1172" w:type="dxa"/>
            <w:tcBorders>
              <w:right w:val="single" w:sz="6" w:space="0" w:color="auto"/>
            </w:tcBorders>
          </w:tcPr>
          <w:p w:rsidR="003D5842" w:rsidRPr="00295E71" w:rsidP="003D5842" w14:paraId="59BA1D1C" w14:textId="77777777">
            <w:pPr>
              <w:pStyle w:val="In-texttable"/>
              <w:keepNext w:val="0"/>
              <w:tabs>
                <w:tab w:val="decimal" w:pos="205"/>
                <w:tab w:val="left" w:pos="567"/>
              </w:tabs>
              <w:spacing w:line="240" w:lineRule="auto"/>
              <w:jc w:val="center"/>
              <w:rPr>
                <w:rFonts w:ascii="Times New Roman" w:hAnsi="Times New Roman" w:cs="Times New Roman"/>
                <w:sz w:val="22"/>
                <w:szCs w:val="22"/>
                <w:lang w:val="it-IT"/>
              </w:rPr>
            </w:pPr>
          </w:p>
        </w:tc>
        <w:tc>
          <w:tcPr>
            <w:tcW w:w="1388" w:type="dxa"/>
            <w:tcBorders>
              <w:left w:val="single" w:sz="6" w:space="0" w:color="auto"/>
            </w:tcBorders>
          </w:tcPr>
          <w:p w:rsidR="003D5842" w:rsidRPr="00295E71" w:rsidP="003D5842" w14:paraId="53FBA87E"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p>
        </w:tc>
        <w:tc>
          <w:tcPr>
            <w:tcW w:w="2144" w:type="dxa"/>
            <w:gridSpan w:val="2"/>
          </w:tcPr>
          <w:p w:rsidR="003D5842" w:rsidRPr="00295E71" w:rsidP="003D5842" w14:paraId="787BC422"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p>
        </w:tc>
      </w:tr>
      <w:tr w14:paraId="57435496" w14:textId="77777777" w:rsidTr="003D5842">
        <w:tblPrEx>
          <w:tblW w:w="9549" w:type="dxa"/>
          <w:tblInd w:w="98" w:type="dxa"/>
          <w:tblLayout w:type="fixed"/>
          <w:tblLook w:val="0000"/>
        </w:tblPrEx>
        <w:trPr>
          <w:cantSplit/>
        </w:trPr>
        <w:tc>
          <w:tcPr>
            <w:tcW w:w="1046" w:type="dxa"/>
            <w:tcBorders>
              <w:right w:val="single" w:sz="6" w:space="0" w:color="auto"/>
            </w:tcBorders>
          </w:tcPr>
          <w:p w:rsidR="003D5842" w:rsidRPr="00295E71" w:rsidP="003D5842" w14:paraId="557BF174"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6 mesi</w:t>
            </w:r>
          </w:p>
        </w:tc>
        <w:tc>
          <w:tcPr>
            <w:tcW w:w="1363" w:type="dxa"/>
            <w:tcBorders>
              <w:left w:val="single" w:sz="6" w:space="0" w:color="auto"/>
            </w:tcBorders>
          </w:tcPr>
          <w:p w:rsidR="003D5842" w:rsidRPr="00295E71" w:rsidP="003D5842" w14:paraId="0EEAC6F6"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3,3%</w:t>
            </w:r>
          </w:p>
        </w:tc>
        <w:tc>
          <w:tcPr>
            <w:tcW w:w="1387" w:type="dxa"/>
            <w:tcBorders>
              <w:right w:val="single" w:sz="6" w:space="0" w:color="auto"/>
            </w:tcBorders>
          </w:tcPr>
          <w:p w:rsidR="003D5842" w:rsidRPr="00295E71" w:rsidP="003D5842" w14:paraId="5FDF7A58"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23,8%</w:t>
            </w:r>
          </w:p>
        </w:tc>
        <w:tc>
          <w:tcPr>
            <w:tcW w:w="1049" w:type="dxa"/>
            <w:tcBorders>
              <w:left w:val="single" w:sz="6" w:space="0" w:color="auto"/>
            </w:tcBorders>
          </w:tcPr>
          <w:p w:rsidR="003D5842" w:rsidRPr="00295E71" w:rsidP="003D5842" w14:paraId="1B657DE7" w14:textId="77777777">
            <w:pPr>
              <w:pStyle w:val="In-texttable"/>
              <w:keepNext w:val="0"/>
              <w:tabs>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1,8%</w:t>
            </w:r>
          </w:p>
        </w:tc>
        <w:tc>
          <w:tcPr>
            <w:tcW w:w="1172" w:type="dxa"/>
            <w:tcBorders>
              <w:right w:val="single" w:sz="6" w:space="0" w:color="auto"/>
            </w:tcBorders>
          </w:tcPr>
          <w:p w:rsidR="003D5842" w:rsidRPr="00295E71" w:rsidP="003D5842" w14:paraId="1F9BCB08" w14:textId="77777777">
            <w:pPr>
              <w:pStyle w:val="In-texttable"/>
              <w:keepNext w:val="0"/>
              <w:tabs>
                <w:tab w:val="decimal" w:pos="20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12,4%</w:t>
            </w:r>
          </w:p>
        </w:tc>
        <w:tc>
          <w:tcPr>
            <w:tcW w:w="1388" w:type="dxa"/>
            <w:tcBorders>
              <w:left w:val="single" w:sz="6" w:space="0" w:color="auto"/>
            </w:tcBorders>
          </w:tcPr>
          <w:p w:rsidR="003D5842" w:rsidRPr="00295E71" w:rsidP="003D5842" w14:paraId="36C8A9A7"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2,5%</w:t>
            </w:r>
          </w:p>
        </w:tc>
        <w:tc>
          <w:tcPr>
            <w:tcW w:w="2144" w:type="dxa"/>
            <w:gridSpan w:val="2"/>
          </w:tcPr>
          <w:p w:rsidR="003D5842" w:rsidRPr="00295E71" w:rsidP="003D5842" w14:paraId="4B214AE7"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20,8%</w:t>
            </w:r>
          </w:p>
        </w:tc>
      </w:tr>
      <w:tr w14:paraId="32D06146" w14:textId="77777777" w:rsidTr="003D5842">
        <w:tblPrEx>
          <w:tblW w:w="9549" w:type="dxa"/>
          <w:tblInd w:w="98" w:type="dxa"/>
          <w:tblLayout w:type="fixed"/>
          <w:tblLook w:val="0000"/>
        </w:tblPrEx>
        <w:trPr>
          <w:cantSplit/>
        </w:trPr>
        <w:tc>
          <w:tcPr>
            <w:tcW w:w="1046" w:type="dxa"/>
            <w:tcBorders>
              <w:bottom w:val="single" w:sz="6" w:space="0" w:color="auto"/>
              <w:right w:val="single" w:sz="6" w:space="0" w:color="auto"/>
            </w:tcBorders>
          </w:tcPr>
          <w:p w:rsidR="003D5842" w:rsidRPr="00295E71" w:rsidP="003D5842" w14:paraId="4D10E212" w14:textId="77777777">
            <w:pPr>
              <w:pStyle w:val="In-texttable"/>
              <w:keepNext w:val="0"/>
              <w:tabs>
                <w:tab w:val="left" w:pos="144"/>
                <w:tab w:val="left" w:pos="567"/>
              </w:tabs>
              <w:spacing w:line="240" w:lineRule="auto"/>
              <w:rPr>
                <w:rFonts w:ascii="Times New Roman" w:hAnsi="Times New Roman" w:cs="Times New Roman"/>
                <w:sz w:val="22"/>
                <w:szCs w:val="22"/>
                <w:lang w:val="it-IT"/>
              </w:rPr>
            </w:pPr>
            <w:r w:rsidRPr="00295E71">
              <w:rPr>
                <w:rFonts w:ascii="Times New Roman" w:hAnsi="Times New Roman" w:cs="Times New Roman"/>
                <w:sz w:val="22"/>
                <w:szCs w:val="22"/>
                <w:lang w:val="it-IT"/>
              </w:rPr>
              <w:tab/>
              <w:t>12 mesi</w:t>
            </w:r>
          </w:p>
        </w:tc>
        <w:tc>
          <w:tcPr>
            <w:tcW w:w="1363" w:type="dxa"/>
            <w:tcBorders>
              <w:left w:val="single" w:sz="6" w:space="0" w:color="auto"/>
              <w:bottom w:val="single" w:sz="6" w:space="0" w:color="auto"/>
            </w:tcBorders>
          </w:tcPr>
          <w:p w:rsidR="003D5842" w:rsidRPr="00295E71" w:rsidP="003D5842" w14:paraId="1BBDB5BE"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7" w:type="dxa"/>
            <w:tcBorders>
              <w:bottom w:val="single" w:sz="6" w:space="0" w:color="auto"/>
              <w:right w:val="single" w:sz="6" w:space="0" w:color="auto"/>
            </w:tcBorders>
          </w:tcPr>
          <w:p w:rsidR="003D5842" w:rsidRPr="00295E71" w:rsidP="003D5842" w14:paraId="57F1EE66"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049" w:type="dxa"/>
            <w:tcBorders>
              <w:left w:val="single" w:sz="6" w:space="0" w:color="auto"/>
              <w:bottom w:val="single" w:sz="6" w:space="0" w:color="auto"/>
            </w:tcBorders>
          </w:tcPr>
          <w:p w:rsidR="003D5842" w:rsidRPr="00295E71" w:rsidP="003D5842" w14:paraId="7753979E" w14:textId="77777777">
            <w:pPr>
              <w:pStyle w:val="In-texttable"/>
              <w:keepNext w:val="0"/>
              <w:tabs>
                <w:tab w:val="decimal" w:pos="259"/>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172" w:type="dxa"/>
            <w:tcBorders>
              <w:bottom w:val="single" w:sz="6" w:space="0" w:color="auto"/>
              <w:right w:val="single" w:sz="6" w:space="0" w:color="auto"/>
            </w:tcBorders>
          </w:tcPr>
          <w:p w:rsidR="003D5842" w:rsidRPr="00295E71" w:rsidP="003D5842" w14:paraId="5CEC7D0F" w14:textId="77777777">
            <w:pPr>
              <w:pStyle w:val="In-texttable"/>
              <w:keepNext w:val="0"/>
              <w:tabs>
                <w:tab w:val="decimal" w:pos="250"/>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ND</w:t>
            </w:r>
          </w:p>
        </w:tc>
        <w:tc>
          <w:tcPr>
            <w:tcW w:w="1388" w:type="dxa"/>
            <w:tcBorders>
              <w:left w:val="single" w:sz="6" w:space="0" w:color="auto"/>
              <w:bottom w:val="single" w:sz="6" w:space="0" w:color="auto"/>
            </w:tcBorders>
          </w:tcPr>
          <w:p w:rsidR="003D5842" w:rsidRPr="00295E71" w:rsidP="003D5842" w14:paraId="7786A19B" w14:textId="77777777">
            <w:pPr>
              <w:pStyle w:val="In-texttable"/>
              <w:keepNext w:val="0"/>
              <w:tabs>
                <w:tab w:val="decimal" w:pos="144"/>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4,5%</w:t>
            </w:r>
          </w:p>
        </w:tc>
        <w:tc>
          <w:tcPr>
            <w:tcW w:w="2144" w:type="dxa"/>
            <w:gridSpan w:val="2"/>
            <w:tcBorders>
              <w:bottom w:val="single" w:sz="6" w:space="0" w:color="auto"/>
            </w:tcBorders>
          </w:tcPr>
          <w:p w:rsidR="003D5842" w:rsidRPr="00295E71" w:rsidP="003D5842" w14:paraId="02F2AC80" w14:textId="77777777">
            <w:pPr>
              <w:pStyle w:val="In-texttable"/>
              <w:keepNext w:val="0"/>
              <w:tabs>
                <w:tab w:val="decimal" w:pos="95"/>
                <w:tab w:val="left" w:pos="567"/>
              </w:tabs>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23,2%</w:t>
            </w:r>
          </w:p>
        </w:tc>
      </w:tr>
      <w:tr w14:paraId="2D4A3B96" w14:textId="77777777" w:rsidTr="003D5842">
        <w:tblPrEx>
          <w:tblW w:w="9549" w:type="dxa"/>
          <w:tblInd w:w="98" w:type="dxa"/>
          <w:tblLayout w:type="fixed"/>
          <w:tblLook w:val="0000"/>
        </w:tblPrEx>
        <w:trPr>
          <w:gridAfter w:val="1"/>
          <w:wAfter w:w="202" w:type="dxa"/>
          <w:cantSplit/>
        </w:trPr>
        <w:tc>
          <w:tcPr>
            <w:tcW w:w="9347" w:type="dxa"/>
            <w:gridSpan w:val="7"/>
          </w:tcPr>
          <w:p w:rsidR="003D5842" w:rsidRPr="00295E71" w:rsidP="003D5842" w14:paraId="7F308BCD" w14:textId="77777777">
            <w:pPr>
              <w:pStyle w:val="In-textfootnote"/>
              <w:keepNext w:val="0"/>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a</w:t>
            </w:r>
            <w:r w:rsidRPr="00295E71">
              <w:rPr>
                <w:rFonts w:ascii="Times New Roman" w:hAnsi="Times New Roman" w:cs="Times New Roman"/>
                <w:sz w:val="22"/>
                <w:szCs w:val="22"/>
                <w:lang w:val="it-IT"/>
              </w:rPr>
              <w:tab/>
              <w:t>studio AR I a 24 settimane, studio AR II a 26 settimane, e studio AR III a 24 e 52 settimane</w:t>
            </w:r>
          </w:p>
          <w:p w:rsidR="003D5842" w:rsidRPr="00295E71" w:rsidP="003D5842" w14:paraId="0470325C" w14:textId="77777777">
            <w:pPr>
              <w:pStyle w:val="In-textfootnote"/>
              <w:keepNext w:val="0"/>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ab/>
              <w:t>40 mg di Humira somministrato ogni due settimane</w:t>
            </w:r>
          </w:p>
          <w:p w:rsidR="003D5842" w:rsidRPr="00295E71" w:rsidP="003D5842" w14:paraId="5F48A2B3" w14:textId="77777777">
            <w:pPr>
              <w:pStyle w:val="In-textfootnote"/>
              <w:keepNext w:val="0"/>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c</w:t>
            </w:r>
            <w:r w:rsidRPr="00295E71">
              <w:rPr>
                <w:rFonts w:ascii="Times New Roman" w:hAnsi="Times New Roman" w:cs="Times New Roman"/>
                <w:sz w:val="22"/>
                <w:szCs w:val="22"/>
                <w:lang w:val="it-IT"/>
              </w:rPr>
              <w:t xml:space="preserve"> MTX = metotressato</w:t>
            </w:r>
          </w:p>
          <w:p w:rsidR="003D5842" w:rsidRPr="00295E71" w:rsidP="003D5842" w14:paraId="00969E79" w14:textId="77777777">
            <w:pPr>
              <w:pStyle w:val="In-textfootnote"/>
              <w:keepNext w:val="0"/>
              <w:tabs>
                <w:tab w:val="left" w:pos="567"/>
              </w:tabs>
              <w:spacing w:before="0" w:line="240" w:lineRule="auto"/>
              <w:ind w:left="144" w:hanging="144"/>
              <w:rPr>
                <w:rFonts w:ascii="Times New Roman" w:hAnsi="Times New Roman" w:cs="Times New Roman"/>
                <w:sz w:val="22"/>
                <w:szCs w:val="22"/>
                <w:lang w:val="it-IT"/>
              </w:rPr>
            </w:pPr>
            <w:r w:rsidRPr="00295E71">
              <w:rPr>
                <w:rFonts w:ascii="Times New Roman" w:hAnsi="Times New Roman" w:cs="Times New Roman"/>
                <w:sz w:val="22"/>
                <w:szCs w:val="22"/>
                <w:lang w:val="it-IT"/>
              </w:rPr>
              <w:t xml:space="preserve">**p&lt;0,01, Humira </w:t>
            </w:r>
            <w:r w:rsidRPr="00295E71">
              <w:rPr>
                <w:rFonts w:ascii="Times New Roman" w:hAnsi="Times New Roman" w:cs="Times New Roman"/>
                <w:i/>
                <w:sz w:val="22"/>
                <w:szCs w:val="22"/>
                <w:lang w:val="it-IT"/>
              </w:rPr>
              <w:t>versus</w:t>
            </w:r>
            <w:r w:rsidRPr="00295E71">
              <w:rPr>
                <w:rFonts w:ascii="Times New Roman" w:hAnsi="Times New Roman" w:cs="Times New Roman"/>
                <w:sz w:val="22"/>
                <w:szCs w:val="22"/>
                <w:lang w:val="it-IT"/>
              </w:rPr>
              <w:t xml:space="preserve"> placebo</w:t>
            </w:r>
          </w:p>
        </w:tc>
      </w:tr>
    </w:tbl>
    <w:p w:rsidR="003D5842" w:rsidRPr="00295E71" w:rsidP="003D5842" w14:paraId="13DCA2BE" w14:textId="77777777">
      <w:pPr>
        <w:tabs>
          <w:tab w:val="left" w:pos="567"/>
        </w:tabs>
        <w:rPr>
          <w:sz w:val="22"/>
          <w:szCs w:val="22"/>
        </w:rPr>
      </w:pPr>
    </w:p>
    <w:p w:rsidR="003D5842" w:rsidRPr="00295E71" w:rsidP="003D5842" w14:paraId="125C0950" w14:textId="77777777">
      <w:pPr>
        <w:tabs>
          <w:tab w:val="left" w:pos="567"/>
        </w:tabs>
        <w:jc w:val="both"/>
        <w:rPr>
          <w:sz w:val="22"/>
          <w:szCs w:val="22"/>
        </w:rPr>
      </w:pPr>
      <w:r w:rsidRPr="00295E71">
        <w:rPr>
          <w:sz w:val="22"/>
          <w:szCs w:val="22"/>
        </w:rPr>
        <w:t xml:space="preserve">Negli studi AR I-IV, tutti i parametri valutati per la definizione della risposta ACR (numero di articolazioni dolenti e tumefatte, valutazione dell’attività di malattia da parte del medico e del paziente, valutazione del dolore da parte del paziente, indice di disabilità - HAQ) e i valori di PCR (mg/dl) sono migliorati a 24 o 26 settimane rispetto al placebo. Nello studio AR III, tali miglioramenti si sono mantenuti nell’arco di 52 settimane. </w:t>
      </w:r>
    </w:p>
    <w:p w:rsidR="003D5842" w:rsidRPr="00295E71" w:rsidP="003D5842" w14:paraId="6FDDF952" w14:textId="77777777">
      <w:pPr>
        <w:tabs>
          <w:tab w:val="left" w:pos="567"/>
        </w:tabs>
        <w:jc w:val="both"/>
        <w:rPr>
          <w:sz w:val="22"/>
          <w:szCs w:val="22"/>
        </w:rPr>
      </w:pPr>
    </w:p>
    <w:p w:rsidR="003D5842" w:rsidRPr="00295E71" w:rsidP="003D5842" w14:paraId="31B2AA46" w14:textId="77777777">
      <w:pPr>
        <w:tabs>
          <w:tab w:val="left" w:pos="567"/>
        </w:tabs>
        <w:jc w:val="both"/>
        <w:rPr>
          <w:sz w:val="22"/>
          <w:szCs w:val="22"/>
        </w:rPr>
      </w:pPr>
      <w:r w:rsidRPr="00295E71">
        <w:rPr>
          <w:sz w:val="22"/>
          <w:szCs w:val="22"/>
        </w:rPr>
        <w:t xml:space="preserve">Nella fase di estensione in aperto dello studio AR III, la maggior parte dei pazienti che hanno avuto una risposta ACR hanno mantenuto la risposta quando </w:t>
      </w:r>
      <w:r w:rsidRPr="00020442" w:rsidR="007409F8">
        <w:rPr>
          <w:sz w:val="22"/>
          <w:szCs w:val="22"/>
        </w:rPr>
        <w:t>sono stati seguiti</w:t>
      </w:r>
      <w:r w:rsidR="007409F8">
        <w:rPr>
          <w:sz w:val="22"/>
          <w:szCs w:val="22"/>
        </w:rPr>
        <w:t xml:space="preserve"> fino a </w:t>
      </w:r>
      <w:r w:rsidRPr="00295E71">
        <w:rPr>
          <w:sz w:val="22"/>
          <w:szCs w:val="22"/>
        </w:rPr>
        <w:t xml:space="preserve">10 anni. Su un totale di 207 pazienti che sono stati randomizzati a Humira 40 mg a settimane alterne, 114 hanno continuato il trattamento con Humira 40 mg a settimane alterne per 5 anni. Di questi, 86 pazienti (75,4%) hanno avuto risposte ACR 20; 72 pazienti (63,2%) hanno avuto risposte ACR 50; e 41 pazienti (36%) hanno avuto risposte ACR 70. </w:t>
      </w:r>
    </w:p>
    <w:p w:rsidR="003D5842" w:rsidRPr="00295E71" w:rsidP="003D5842" w14:paraId="2E3B1BD1" w14:textId="77777777">
      <w:pPr>
        <w:tabs>
          <w:tab w:val="left" w:pos="567"/>
        </w:tabs>
        <w:jc w:val="both"/>
        <w:rPr>
          <w:sz w:val="22"/>
          <w:szCs w:val="22"/>
        </w:rPr>
      </w:pPr>
      <w:r w:rsidRPr="00295E71">
        <w:rPr>
          <w:sz w:val="22"/>
          <w:szCs w:val="22"/>
        </w:rPr>
        <w:t>Su un totale di 207 pazienti, 81 hanno continuato il trattamento con Humira 40 mg a settimane alterne per 10 anni. Di questi, 64 pazienti (79,0%) hanno avuto risposte ACR 20; 56 pazienti (69,1%) hanno avuto risposte ACR 50; e 43 pazienti (53,1%) hanno avuto risposte ACR 70.</w:t>
      </w:r>
    </w:p>
    <w:p w:rsidR="003D5842" w:rsidRPr="00295E71" w:rsidP="003D5842" w14:paraId="2CA6F958" w14:textId="77777777">
      <w:pPr>
        <w:tabs>
          <w:tab w:val="left" w:pos="567"/>
        </w:tabs>
        <w:jc w:val="both"/>
        <w:rPr>
          <w:sz w:val="22"/>
          <w:szCs w:val="22"/>
        </w:rPr>
      </w:pPr>
    </w:p>
    <w:p w:rsidR="003D5842" w:rsidRPr="00295E71" w:rsidP="003D5842" w14:paraId="1CB86556" w14:textId="77777777">
      <w:pPr>
        <w:tabs>
          <w:tab w:val="left" w:pos="567"/>
        </w:tabs>
        <w:jc w:val="both"/>
        <w:rPr>
          <w:sz w:val="22"/>
          <w:szCs w:val="22"/>
        </w:rPr>
      </w:pPr>
      <w:r w:rsidRPr="00295E71">
        <w:rPr>
          <w:sz w:val="22"/>
          <w:szCs w:val="22"/>
        </w:rPr>
        <w:t xml:space="preserve">Nello studio AR IV, la risposta ACR 20 di pazienti trattati con Humira, in combinazione con la terapia convenzionale, è stata </w:t>
      </w:r>
      <w:r w:rsidRPr="00020442" w:rsidR="007409F8">
        <w:rPr>
          <w:sz w:val="22"/>
          <w:szCs w:val="22"/>
        </w:rPr>
        <w:t xml:space="preserve">migliore in misura statisticamente </w:t>
      </w:r>
      <w:r w:rsidRPr="00295E71">
        <w:rPr>
          <w:sz w:val="22"/>
          <w:szCs w:val="22"/>
        </w:rPr>
        <w:t xml:space="preserve">significativa rispetto ai pazienti trattati con placebo associato a </w:t>
      </w:r>
      <w:r w:rsidRPr="00020442" w:rsidR="007409F8">
        <w:rPr>
          <w:sz w:val="22"/>
          <w:szCs w:val="22"/>
        </w:rPr>
        <w:t>terapia convenzionale</w:t>
      </w:r>
      <w:r w:rsidRPr="00295E71">
        <w:rPr>
          <w:sz w:val="22"/>
          <w:szCs w:val="22"/>
        </w:rPr>
        <w:t xml:space="preserve"> (p&lt;0,001).</w:t>
      </w:r>
    </w:p>
    <w:p w:rsidR="003D5842" w:rsidRPr="00295E71" w:rsidP="003D5842" w14:paraId="691448D7" w14:textId="77777777">
      <w:pPr>
        <w:pStyle w:val="BodyText1"/>
        <w:tabs>
          <w:tab w:val="left" w:pos="567"/>
          <w:tab w:val="clear" w:pos="1152"/>
          <w:tab w:val="clear" w:pos="1872"/>
        </w:tabs>
        <w:spacing w:after="0" w:line="240" w:lineRule="auto"/>
        <w:ind w:left="0"/>
        <w:rPr>
          <w:sz w:val="22"/>
          <w:szCs w:val="22"/>
          <w:lang w:val="it-IT"/>
        </w:rPr>
      </w:pPr>
    </w:p>
    <w:p w:rsidR="003D5842" w:rsidRPr="00295E71" w:rsidP="003D5842" w14:paraId="4A3B4D93" w14:textId="77777777">
      <w:pPr>
        <w:tabs>
          <w:tab w:val="left" w:pos="567"/>
        </w:tabs>
        <w:jc w:val="both"/>
        <w:rPr>
          <w:sz w:val="22"/>
          <w:szCs w:val="22"/>
        </w:rPr>
      </w:pPr>
      <w:r w:rsidRPr="00295E71">
        <w:rPr>
          <w:sz w:val="22"/>
          <w:szCs w:val="22"/>
        </w:rPr>
        <w:t xml:space="preserve">Negli studi AR I-IV, i pazienti trattati con Humira hanno raggiunto risposte ACR 20 e 50 </w:t>
      </w:r>
      <w:r w:rsidRPr="00020442" w:rsidR="007409F8">
        <w:rPr>
          <w:sz w:val="22"/>
          <w:szCs w:val="22"/>
        </w:rPr>
        <w:t xml:space="preserve">statisticamente significative </w:t>
      </w:r>
      <w:r w:rsidRPr="00295E71">
        <w:rPr>
          <w:sz w:val="22"/>
          <w:szCs w:val="22"/>
        </w:rPr>
        <w:t xml:space="preserve"> rispetto al placebo già entro una-due settimane dall’inizio del trattamento.</w:t>
      </w:r>
    </w:p>
    <w:p w:rsidR="003D5842" w:rsidRPr="00295E71" w:rsidP="003D5842" w14:paraId="601BE8B3" w14:textId="77777777">
      <w:pPr>
        <w:rPr>
          <w:sz w:val="22"/>
          <w:szCs w:val="22"/>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
        <w:gridCol w:w="1718"/>
        <w:gridCol w:w="1320"/>
        <w:gridCol w:w="1320"/>
        <w:gridCol w:w="1576"/>
        <w:gridCol w:w="1100"/>
        <w:gridCol w:w="1173"/>
        <w:gridCol w:w="1210"/>
        <w:gridCol w:w="12"/>
      </w:tblGrid>
      <w:tr w14:paraId="22BFEC91" w14:textId="77777777" w:rsidTr="003D5842">
        <w:tblPrEx>
          <w:tblW w:w="9435" w:type="dxa"/>
          <w:tblLayout w:type="fixed"/>
          <w:tblLook w:val="0000"/>
        </w:tblPrEx>
        <w:trPr>
          <w:gridBefore w:val="1"/>
          <w:wBefore w:w="6" w:type="dxa"/>
          <w:cantSplit/>
        </w:trPr>
        <w:tc>
          <w:tcPr>
            <w:tcW w:w="9429" w:type="dxa"/>
            <w:gridSpan w:val="8"/>
            <w:tcBorders>
              <w:top w:val="nil"/>
              <w:left w:val="nil"/>
              <w:bottom w:val="nil"/>
              <w:right w:val="nil"/>
            </w:tcBorders>
            <w:vAlign w:val="center"/>
          </w:tcPr>
          <w:p w:rsidR="003D5842" w:rsidRPr="00295E71" w:rsidP="003D5842" w14:paraId="29BB153D" w14:textId="77777777">
            <w:pPr>
              <w:pStyle w:val="BodyText"/>
              <w:tabs>
                <w:tab w:val="left" w:pos="3600"/>
                <w:tab w:val="center" w:pos="5760"/>
              </w:tabs>
              <w:jc w:val="left"/>
            </w:pPr>
            <w:r w:rsidRPr="00295E71">
              <w:t xml:space="preserve">Nello studio AR V, nei pazienti affetti da artrite reumatoide precoce che non erano mai stati precedentemente trattati con metotressato, la terapia associata Humira/metotressato ha determinato risposte ACR più rapide e significativamente superiori rispetto alla monoterapia con metotressato ed alla monoterapia con Humira alla settimana 52 e tali risposte si sono mantenute nell’arco di 104 settimane (vedere Tabella </w:t>
            </w:r>
            <w:r w:rsidR="00800CE0">
              <w:t>6</w:t>
            </w:r>
            <w:r w:rsidRPr="00295E71">
              <w:t>).</w:t>
            </w:r>
            <w:r w:rsidRPr="00295E71">
              <w:br w:type="page"/>
            </w:r>
          </w:p>
          <w:p w:rsidR="003D5842" w:rsidRPr="00295E71" w:rsidP="003D5842" w14:paraId="092A8275" w14:textId="77777777">
            <w:pPr>
              <w:pStyle w:val="BodyText"/>
              <w:tabs>
                <w:tab w:val="left" w:pos="3600"/>
                <w:tab w:val="center" w:pos="5760"/>
              </w:tabs>
              <w:jc w:val="left"/>
            </w:pPr>
          </w:p>
          <w:p w:rsidR="003D5842" w:rsidRPr="00295E71" w:rsidP="003D5842" w14:paraId="3EDB65F2" w14:textId="77777777">
            <w:pPr>
              <w:pStyle w:val="BodyText"/>
              <w:tabs>
                <w:tab w:val="left" w:pos="3600"/>
                <w:tab w:val="center" w:pos="5760"/>
              </w:tabs>
              <w:jc w:val="center"/>
            </w:pPr>
          </w:p>
          <w:p w:rsidR="003D5842" w:rsidRPr="00295E71" w:rsidP="003D5842" w14:paraId="01E2CB89" w14:textId="77777777">
            <w:pPr>
              <w:pStyle w:val="BodyText"/>
              <w:tabs>
                <w:tab w:val="left" w:pos="3600"/>
                <w:tab w:val="center" w:pos="5760"/>
              </w:tabs>
              <w:jc w:val="center"/>
              <w:rPr>
                <w:b/>
                <w:bCs/>
              </w:rPr>
            </w:pPr>
            <w:r w:rsidRPr="00295E71">
              <w:rPr>
                <w:b/>
                <w:bCs/>
              </w:rPr>
              <w:t xml:space="preserve">Tabella </w:t>
            </w:r>
            <w:r w:rsidR="00800CE0">
              <w:rPr>
                <w:b/>
                <w:bCs/>
              </w:rPr>
              <w:t>6</w:t>
            </w:r>
          </w:p>
          <w:p w:rsidR="003D5842" w:rsidRPr="00295E71" w:rsidP="003D5842" w14:paraId="74A6F958" w14:textId="77777777">
            <w:pPr>
              <w:pStyle w:val="BodyText"/>
              <w:tabs>
                <w:tab w:val="left" w:pos="3600"/>
                <w:tab w:val="center" w:pos="5760"/>
              </w:tabs>
              <w:jc w:val="center"/>
              <w:rPr>
                <w:b/>
                <w:bCs/>
              </w:rPr>
            </w:pPr>
            <w:r w:rsidRPr="00295E71">
              <w:rPr>
                <w:b/>
                <w:bCs/>
              </w:rPr>
              <w:t>Risposte ACR nello studio AR V</w:t>
            </w:r>
          </w:p>
          <w:p w:rsidR="003D5842" w:rsidRPr="00295E71" w:rsidP="003D5842" w14:paraId="44B8961D" w14:textId="77777777">
            <w:pPr>
              <w:pStyle w:val="BodyText"/>
              <w:tabs>
                <w:tab w:val="left" w:pos="3600"/>
                <w:tab w:val="center" w:pos="5760"/>
              </w:tabs>
              <w:jc w:val="center"/>
              <w:rPr>
                <w:b/>
                <w:bCs/>
                <w:caps/>
              </w:rPr>
            </w:pPr>
            <w:r w:rsidRPr="00295E71">
              <w:rPr>
                <w:b/>
                <w:bCs/>
              </w:rPr>
              <w:t>(percentuale di pazienti</w:t>
            </w:r>
            <w:r w:rsidRPr="00295E71">
              <w:rPr>
                <w:b/>
                <w:bCs/>
                <w:caps/>
              </w:rPr>
              <w:t>)</w:t>
            </w:r>
          </w:p>
          <w:p w:rsidR="003D5842" w:rsidRPr="00295E71" w:rsidP="003D5842" w14:paraId="7863ABBA" w14:textId="77777777">
            <w:pPr>
              <w:pStyle w:val="BodyText"/>
              <w:tabs>
                <w:tab w:val="left" w:pos="3600"/>
                <w:tab w:val="center" w:pos="5760"/>
              </w:tabs>
              <w:jc w:val="center"/>
              <w:rPr>
                <w:i/>
                <w:iCs/>
              </w:rPr>
            </w:pPr>
          </w:p>
        </w:tc>
      </w:tr>
      <w:tr w14:paraId="289207E0" w14:textId="77777777" w:rsidTr="003D5842">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vAlign w:val="center"/>
          </w:tcPr>
          <w:p w:rsidR="003D5842" w:rsidRPr="00295E71" w:rsidP="003D5842" w14:paraId="37E34307" w14:textId="77777777">
            <w:pPr>
              <w:pStyle w:val="Heading6"/>
              <w:keepNext w:val="0"/>
              <w:rPr>
                <w:lang w:val="it-IT"/>
              </w:rPr>
            </w:pPr>
            <w:r w:rsidRPr="00295E71">
              <w:rPr>
                <w:lang w:val="it-IT"/>
              </w:rPr>
              <w:t>Risposta</w:t>
            </w:r>
          </w:p>
        </w:tc>
        <w:tc>
          <w:tcPr>
            <w:tcW w:w="1320" w:type="dxa"/>
            <w:tcBorders>
              <w:top w:val="single" w:sz="4" w:space="0" w:color="auto"/>
              <w:left w:val="single" w:sz="4" w:space="0" w:color="auto"/>
              <w:bottom w:val="single" w:sz="4" w:space="0" w:color="auto"/>
              <w:right w:val="single" w:sz="4" w:space="0" w:color="auto"/>
            </w:tcBorders>
            <w:vAlign w:val="center"/>
          </w:tcPr>
          <w:p w:rsidR="003D5842" w:rsidRPr="00295E71" w:rsidP="003D5842" w14:paraId="248F40E8" w14:textId="77777777">
            <w:pPr>
              <w:jc w:val="center"/>
              <w:rPr>
                <w:b/>
                <w:sz w:val="22"/>
                <w:szCs w:val="22"/>
              </w:rPr>
            </w:pPr>
            <w:r w:rsidRPr="00295E71">
              <w:rPr>
                <w:b/>
                <w:sz w:val="22"/>
                <w:szCs w:val="22"/>
              </w:rPr>
              <w:t>MTX</w:t>
            </w:r>
          </w:p>
          <w:p w:rsidR="003D5842" w:rsidRPr="00295E71" w:rsidP="003D5842" w14:paraId="26B9C432" w14:textId="77777777">
            <w:pPr>
              <w:pStyle w:val="EndnoteText"/>
              <w:jc w:val="center"/>
              <w:rPr>
                <w:b/>
                <w:lang w:val="it-IT"/>
              </w:rPr>
            </w:pPr>
            <w:r w:rsidRPr="00295E71">
              <w:rPr>
                <w:b/>
                <w:lang w:val="it-IT"/>
              </w:rPr>
              <w:t>n=257</w:t>
            </w:r>
          </w:p>
        </w:tc>
        <w:tc>
          <w:tcPr>
            <w:tcW w:w="1320" w:type="dxa"/>
            <w:tcBorders>
              <w:top w:val="single" w:sz="4" w:space="0" w:color="auto"/>
              <w:left w:val="single" w:sz="4" w:space="0" w:color="auto"/>
              <w:bottom w:val="single" w:sz="4" w:space="0" w:color="auto"/>
              <w:right w:val="single" w:sz="4" w:space="0" w:color="auto"/>
            </w:tcBorders>
            <w:vAlign w:val="center"/>
          </w:tcPr>
          <w:p w:rsidR="003D5842" w:rsidRPr="00295E71" w:rsidP="003D5842" w14:paraId="3FA889AE" w14:textId="77777777">
            <w:pPr>
              <w:jc w:val="center"/>
              <w:rPr>
                <w:b/>
                <w:sz w:val="22"/>
                <w:szCs w:val="22"/>
              </w:rPr>
            </w:pPr>
            <w:r w:rsidRPr="00295E71">
              <w:rPr>
                <w:b/>
                <w:sz w:val="22"/>
                <w:szCs w:val="22"/>
              </w:rPr>
              <w:t>Humira</w:t>
            </w:r>
          </w:p>
          <w:p w:rsidR="003D5842" w:rsidRPr="00295E71" w:rsidP="003D5842" w14:paraId="3FB6B80B" w14:textId="77777777">
            <w:pPr>
              <w:jc w:val="center"/>
              <w:rPr>
                <w:b/>
                <w:sz w:val="22"/>
                <w:szCs w:val="22"/>
              </w:rPr>
            </w:pPr>
            <w:r w:rsidRPr="00295E71">
              <w:rPr>
                <w:b/>
                <w:sz w:val="22"/>
                <w:szCs w:val="22"/>
              </w:rPr>
              <w:t>n=274</w:t>
            </w:r>
          </w:p>
        </w:tc>
        <w:tc>
          <w:tcPr>
            <w:tcW w:w="1576" w:type="dxa"/>
            <w:tcBorders>
              <w:top w:val="single" w:sz="4" w:space="0" w:color="auto"/>
              <w:left w:val="single" w:sz="4" w:space="0" w:color="auto"/>
              <w:bottom w:val="single" w:sz="4" w:space="0" w:color="auto"/>
              <w:right w:val="single" w:sz="4" w:space="0" w:color="auto"/>
            </w:tcBorders>
            <w:vAlign w:val="center"/>
          </w:tcPr>
          <w:p w:rsidR="003D5842" w:rsidRPr="00295E71" w:rsidP="003D5842" w14:paraId="5FBF640C" w14:textId="77777777">
            <w:pPr>
              <w:jc w:val="center"/>
              <w:rPr>
                <w:b/>
                <w:sz w:val="22"/>
                <w:szCs w:val="22"/>
              </w:rPr>
            </w:pPr>
            <w:r w:rsidRPr="00295E71">
              <w:rPr>
                <w:b/>
                <w:sz w:val="22"/>
                <w:szCs w:val="22"/>
              </w:rPr>
              <w:t>Humira/MTX</w:t>
            </w:r>
          </w:p>
          <w:p w:rsidR="003D5842" w:rsidRPr="00295E71" w:rsidP="003D5842" w14:paraId="4C6E0955" w14:textId="77777777">
            <w:pPr>
              <w:jc w:val="center"/>
              <w:rPr>
                <w:b/>
                <w:sz w:val="22"/>
                <w:szCs w:val="22"/>
              </w:rPr>
            </w:pPr>
            <w:r w:rsidRPr="00295E71">
              <w:rPr>
                <w:b/>
                <w:sz w:val="22"/>
                <w:szCs w:val="22"/>
              </w:rPr>
              <w:t>n=268</w:t>
            </w:r>
          </w:p>
        </w:tc>
        <w:tc>
          <w:tcPr>
            <w:tcW w:w="1100" w:type="dxa"/>
            <w:tcBorders>
              <w:top w:val="single" w:sz="4" w:space="0" w:color="auto"/>
              <w:left w:val="single" w:sz="4" w:space="0" w:color="auto"/>
              <w:bottom w:val="single" w:sz="4" w:space="0" w:color="auto"/>
              <w:right w:val="single" w:sz="4" w:space="0" w:color="auto"/>
            </w:tcBorders>
            <w:vAlign w:val="center"/>
          </w:tcPr>
          <w:p w:rsidR="003D5842" w:rsidRPr="00295E71" w:rsidP="003D5842" w14:paraId="3468EE14" w14:textId="77777777">
            <w:pPr>
              <w:pStyle w:val="EndnoteText"/>
              <w:jc w:val="center"/>
              <w:rPr>
                <w:b/>
                <w:lang w:val="it-IT"/>
              </w:rPr>
            </w:pPr>
            <w:r w:rsidRPr="00295E71">
              <w:rPr>
                <w:b/>
                <w:lang w:val="it-IT"/>
              </w:rPr>
              <w:t>Valore p</w:t>
            </w:r>
            <w:r w:rsidRPr="00295E71">
              <w:rPr>
                <w:b/>
                <w:vertAlign w:val="superscript"/>
                <w:lang w:val="it-IT"/>
              </w:rPr>
              <w:t>a</w:t>
            </w:r>
          </w:p>
        </w:tc>
        <w:tc>
          <w:tcPr>
            <w:tcW w:w="1173" w:type="dxa"/>
            <w:tcBorders>
              <w:top w:val="single" w:sz="4" w:space="0" w:color="auto"/>
              <w:left w:val="single" w:sz="4" w:space="0" w:color="auto"/>
              <w:bottom w:val="single" w:sz="4" w:space="0" w:color="auto"/>
              <w:right w:val="single" w:sz="4" w:space="0" w:color="auto"/>
            </w:tcBorders>
            <w:vAlign w:val="center"/>
          </w:tcPr>
          <w:p w:rsidR="003D5842" w:rsidRPr="00295E71" w:rsidP="003D5842" w14:paraId="388233D5" w14:textId="77777777">
            <w:pPr>
              <w:jc w:val="center"/>
              <w:rPr>
                <w:b/>
                <w:sz w:val="22"/>
                <w:szCs w:val="22"/>
              </w:rPr>
            </w:pPr>
            <w:r w:rsidRPr="00295E71">
              <w:rPr>
                <w:b/>
                <w:sz w:val="22"/>
                <w:szCs w:val="22"/>
              </w:rPr>
              <w:t>Valore p</w:t>
            </w:r>
            <w:r w:rsidRPr="00295E71">
              <w:rPr>
                <w:b/>
                <w:sz w:val="22"/>
                <w:szCs w:val="22"/>
                <w:vertAlign w:val="superscript"/>
              </w:rPr>
              <w:t>b</w:t>
            </w:r>
          </w:p>
        </w:tc>
        <w:tc>
          <w:tcPr>
            <w:tcW w:w="1210" w:type="dxa"/>
            <w:tcBorders>
              <w:top w:val="single" w:sz="4" w:space="0" w:color="auto"/>
              <w:left w:val="single" w:sz="4" w:space="0" w:color="auto"/>
              <w:bottom w:val="single" w:sz="4" w:space="0" w:color="auto"/>
              <w:right w:val="single" w:sz="4" w:space="0" w:color="auto"/>
            </w:tcBorders>
            <w:vAlign w:val="center"/>
          </w:tcPr>
          <w:p w:rsidR="003D5842" w:rsidRPr="00295E71" w:rsidP="003D5842" w14:paraId="760B3F8D" w14:textId="77777777">
            <w:pPr>
              <w:jc w:val="center"/>
              <w:rPr>
                <w:sz w:val="22"/>
                <w:szCs w:val="22"/>
              </w:rPr>
            </w:pPr>
            <w:r w:rsidRPr="00295E71">
              <w:rPr>
                <w:b/>
                <w:sz w:val="22"/>
                <w:szCs w:val="22"/>
              </w:rPr>
              <w:t>Valore p</w:t>
            </w:r>
            <w:r w:rsidRPr="00295E71">
              <w:rPr>
                <w:b/>
                <w:sz w:val="22"/>
                <w:szCs w:val="22"/>
                <w:vertAlign w:val="superscript"/>
              </w:rPr>
              <w:t>c</w:t>
            </w:r>
          </w:p>
        </w:tc>
      </w:tr>
      <w:tr w14:paraId="14DA1D02" w14:textId="77777777" w:rsidTr="003D5842">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3D5842" w:rsidRPr="00295E71" w:rsidP="003D5842" w14:paraId="0544D566" w14:textId="77777777">
            <w:pPr>
              <w:rPr>
                <w:sz w:val="22"/>
                <w:szCs w:val="22"/>
              </w:rPr>
            </w:pPr>
            <w:r w:rsidRPr="00295E71">
              <w:rPr>
                <w:sz w:val="22"/>
                <w:szCs w:val="22"/>
              </w:rPr>
              <w:t>ACR 20</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3CBB664C" w14:textId="77777777">
            <w:pPr>
              <w:jc w:val="center"/>
              <w:rPr>
                <w:sz w:val="22"/>
                <w:szCs w:val="22"/>
              </w:rPr>
            </w:pP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7C504CF2" w14:textId="77777777">
            <w:pPr>
              <w:jc w:val="center"/>
              <w:rPr>
                <w:sz w:val="22"/>
                <w:szCs w:val="22"/>
              </w:rPr>
            </w:pPr>
          </w:p>
        </w:tc>
        <w:tc>
          <w:tcPr>
            <w:tcW w:w="1576" w:type="dxa"/>
            <w:tcBorders>
              <w:top w:val="single" w:sz="4" w:space="0" w:color="auto"/>
              <w:left w:val="single" w:sz="4" w:space="0" w:color="auto"/>
              <w:bottom w:val="single" w:sz="4" w:space="0" w:color="auto"/>
              <w:right w:val="single" w:sz="4" w:space="0" w:color="auto"/>
            </w:tcBorders>
          </w:tcPr>
          <w:p w:rsidR="003D5842" w:rsidRPr="00295E71" w:rsidP="003D5842" w14:paraId="2FA4C9DD" w14:textId="77777777">
            <w:pPr>
              <w:jc w:val="center"/>
              <w:rPr>
                <w:sz w:val="22"/>
                <w:szCs w:val="22"/>
              </w:rPr>
            </w:pPr>
          </w:p>
        </w:tc>
        <w:tc>
          <w:tcPr>
            <w:tcW w:w="1100" w:type="dxa"/>
            <w:tcBorders>
              <w:top w:val="single" w:sz="4" w:space="0" w:color="auto"/>
              <w:left w:val="single" w:sz="4" w:space="0" w:color="auto"/>
              <w:bottom w:val="single" w:sz="4" w:space="0" w:color="auto"/>
              <w:right w:val="single" w:sz="4" w:space="0" w:color="auto"/>
            </w:tcBorders>
          </w:tcPr>
          <w:p w:rsidR="003D5842" w:rsidRPr="00295E71" w:rsidP="003D5842" w14:paraId="5FE0F721" w14:textId="77777777">
            <w:pPr>
              <w:jc w:val="center"/>
              <w:rPr>
                <w:sz w:val="22"/>
                <w:szCs w:val="22"/>
              </w:rPr>
            </w:pPr>
          </w:p>
        </w:tc>
        <w:tc>
          <w:tcPr>
            <w:tcW w:w="1173" w:type="dxa"/>
            <w:tcBorders>
              <w:top w:val="single" w:sz="4" w:space="0" w:color="auto"/>
              <w:left w:val="single" w:sz="4" w:space="0" w:color="auto"/>
              <w:bottom w:val="single" w:sz="4" w:space="0" w:color="auto"/>
              <w:right w:val="single" w:sz="4" w:space="0" w:color="auto"/>
            </w:tcBorders>
          </w:tcPr>
          <w:p w:rsidR="003D5842" w:rsidRPr="00295E71" w:rsidP="003D5842" w14:paraId="547590A4" w14:textId="77777777">
            <w:pPr>
              <w:jc w:val="center"/>
              <w:rPr>
                <w:sz w:val="22"/>
                <w:szCs w:val="22"/>
              </w:rPr>
            </w:pPr>
          </w:p>
        </w:tc>
        <w:tc>
          <w:tcPr>
            <w:tcW w:w="1210" w:type="dxa"/>
            <w:tcBorders>
              <w:top w:val="single" w:sz="4" w:space="0" w:color="auto"/>
              <w:left w:val="single" w:sz="4" w:space="0" w:color="auto"/>
              <w:bottom w:val="single" w:sz="4" w:space="0" w:color="auto"/>
              <w:right w:val="single" w:sz="4" w:space="0" w:color="auto"/>
            </w:tcBorders>
          </w:tcPr>
          <w:p w:rsidR="003D5842" w:rsidRPr="00295E71" w:rsidP="003D5842" w14:paraId="3D3AD3BF" w14:textId="77777777">
            <w:pPr>
              <w:jc w:val="center"/>
              <w:rPr>
                <w:sz w:val="22"/>
                <w:szCs w:val="22"/>
              </w:rPr>
            </w:pPr>
          </w:p>
        </w:tc>
      </w:tr>
      <w:tr w14:paraId="38F95F98" w14:textId="77777777" w:rsidTr="003D5842">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3D5842" w:rsidRPr="00295E71" w:rsidP="003D5842" w14:paraId="0E97884E" w14:textId="77777777">
            <w:pPr>
              <w:rPr>
                <w:sz w:val="22"/>
                <w:szCs w:val="22"/>
              </w:rPr>
            </w:pPr>
            <w:r w:rsidRPr="00295E71">
              <w:rPr>
                <w:sz w:val="22"/>
                <w:szCs w:val="22"/>
              </w:rPr>
              <w:t>Settimana 52</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6654E31D" w14:textId="77777777">
            <w:pPr>
              <w:jc w:val="center"/>
              <w:rPr>
                <w:sz w:val="22"/>
                <w:szCs w:val="22"/>
              </w:rPr>
            </w:pPr>
            <w:r w:rsidRPr="00295E71">
              <w:rPr>
                <w:sz w:val="22"/>
                <w:szCs w:val="22"/>
              </w:rPr>
              <w:t>62,6%</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6199B403" w14:textId="77777777">
            <w:pPr>
              <w:jc w:val="center"/>
              <w:rPr>
                <w:sz w:val="22"/>
                <w:szCs w:val="22"/>
              </w:rPr>
            </w:pPr>
            <w:r w:rsidRPr="00295E71">
              <w:rPr>
                <w:sz w:val="22"/>
                <w:szCs w:val="22"/>
              </w:rPr>
              <w:t>54,4%</w:t>
            </w:r>
          </w:p>
        </w:tc>
        <w:tc>
          <w:tcPr>
            <w:tcW w:w="1576" w:type="dxa"/>
            <w:tcBorders>
              <w:top w:val="single" w:sz="4" w:space="0" w:color="auto"/>
              <w:left w:val="single" w:sz="4" w:space="0" w:color="auto"/>
              <w:bottom w:val="single" w:sz="4" w:space="0" w:color="auto"/>
              <w:right w:val="single" w:sz="4" w:space="0" w:color="auto"/>
            </w:tcBorders>
          </w:tcPr>
          <w:p w:rsidR="003D5842" w:rsidRPr="00295E71" w:rsidP="003D5842" w14:paraId="609BC72E" w14:textId="77777777">
            <w:pPr>
              <w:jc w:val="center"/>
              <w:rPr>
                <w:sz w:val="22"/>
                <w:szCs w:val="22"/>
              </w:rPr>
            </w:pPr>
            <w:r w:rsidRPr="00295E71">
              <w:rPr>
                <w:sz w:val="22"/>
                <w:szCs w:val="22"/>
              </w:rPr>
              <w:t>72,8%</w:t>
            </w:r>
          </w:p>
        </w:tc>
        <w:tc>
          <w:tcPr>
            <w:tcW w:w="1100" w:type="dxa"/>
            <w:tcBorders>
              <w:top w:val="single" w:sz="4" w:space="0" w:color="auto"/>
              <w:left w:val="single" w:sz="4" w:space="0" w:color="auto"/>
              <w:bottom w:val="single" w:sz="4" w:space="0" w:color="auto"/>
              <w:right w:val="single" w:sz="4" w:space="0" w:color="auto"/>
            </w:tcBorders>
          </w:tcPr>
          <w:p w:rsidR="003D5842" w:rsidRPr="00295E71" w:rsidP="003D5842" w14:paraId="533525B9" w14:textId="77777777">
            <w:pPr>
              <w:jc w:val="center"/>
              <w:rPr>
                <w:sz w:val="22"/>
                <w:szCs w:val="22"/>
              </w:rPr>
            </w:pPr>
            <w:r w:rsidRPr="00295E71">
              <w:rPr>
                <w:sz w:val="22"/>
                <w:szCs w:val="22"/>
              </w:rPr>
              <w:t>0,013</w:t>
            </w:r>
          </w:p>
        </w:tc>
        <w:tc>
          <w:tcPr>
            <w:tcW w:w="1173" w:type="dxa"/>
            <w:tcBorders>
              <w:top w:val="single" w:sz="4" w:space="0" w:color="auto"/>
              <w:left w:val="single" w:sz="4" w:space="0" w:color="auto"/>
              <w:bottom w:val="single" w:sz="4" w:space="0" w:color="auto"/>
              <w:right w:val="single" w:sz="4" w:space="0" w:color="auto"/>
            </w:tcBorders>
          </w:tcPr>
          <w:p w:rsidR="003D5842" w:rsidRPr="00295E71" w:rsidP="003D5842" w14:paraId="38F50745" w14:textId="77777777">
            <w:pPr>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3D5842" w:rsidRPr="00295E71" w:rsidP="003D5842" w14:paraId="2B24AC79" w14:textId="77777777">
            <w:pPr>
              <w:jc w:val="center"/>
              <w:rPr>
                <w:sz w:val="22"/>
                <w:szCs w:val="22"/>
              </w:rPr>
            </w:pPr>
            <w:r w:rsidRPr="00295E71">
              <w:rPr>
                <w:sz w:val="22"/>
                <w:szCs w:val="22"/>
              </w:rPr>
              <w:t>0,043</w:t>
            </w:r>
          </w:p>
        </w:tc>
      </w:tr>
      <w:tr w14:paraId="66A67298" w14:textId="77777777" w:rsidTr="003D5842">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3D5842" w:rsidRPr="00295E71" w:rsidP="003D5842" w14:paraId="51D5288D" w14:textId="77777777">
            <w:pPr>
              <w:rPr>
                <w:sz w:val="22"/>
                <w:szCs w:val="22"/>
              </w:rPr>
            </w:pPr>
            <w:r w:rsidRPr="00295E71">
              <w:rPr>
                <w:sz w:val="22"/>
                <w:szCs w:val="22"/>
              </w:rPr>
              <w:t>Settimana 104</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79819D5C" w14:textId="77777777">
            <w:pPr>
              <w:jc w:val="center"/>
              <w:rPr>
                <w:sz w:val="22"/>
                <w:szCs w:val="22"/>
              </w:rPr>
            </w:pPr>
            <w:r w:rsidRPr="00295E71">
              <w:rPr>
                <w:sz w:val="22"/>
                <w:szCs w:val="22"/>
              </w:rPr>
              <w:t>56,0%</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7C7EC116" w14:textId="77777777">
            <w:pPr>
              <w:jc w:val="center"/>
              <w:rPr>
                <w:sz w:val="22"/>
                <w:szCs w:val="22"/>
              </w:rPr>
            </w:pPr>
            <w:r w:rsidRPr="00295E71">
              <w:rPr>
                <w:sz w:val="22"/>
                <w:szCs w:val="22"/>
              </w:rPr>
              <w:t>49,3%</w:t>
            </w:r>
          </w:p>
        </w:tc>
        <w:tc>
          <w:tcPr>
            <w:tcW w:w="1576" w:type="dxa"/>
            <w:tcBorders>
              <w:top w:val="single" w:sz="4" w:space="0" w:color="auto"/>
              <w:left w:val="single" w:sz="4" w:space="0" w:color="auto"/>
              <w:bottom w:val="single" w:sz="4" w:space="0" w:color="auto"/>
              <w:right w:val="single" w:sz="4" w:space="0" w:color="auto"/>
            </w:tcBorders>
          </w:tcPr>
          <w:p w:rsidR="003D5842" w:rsidRPr="00295E71" w:rsidP="003D5842" w14:paraId="25C27423" w14:textId="77777777">
            <w:pPr>
              <w:jc w:val="center"/>
              <w:rPr>
                <w:sz w:val="22"/>
                <w:szCs w:val="22"/>
              </w:rPr>
            </w:pPr>
            <w:r w:rsidRPr="00295E71">
              <w:rPr>
                <w:sz w:val="22"/>
                <w:szCs w:val="22"/>
              </w:rPr>
              <w:t>69,4%</w:t>
            </w:r>
          </w:p>
        </w:tc>
        <w:tc>
          <w:tcPr>
            <w:tcW w:w="1100" w:type="dxa"/>
            <w:tcBorders>
              <w:top w:val="single" w:sz="4" w:space="0" w:color="auto"/>
              <w:left w:val="single" w:sz="4" w:space="0" w:color="auto"/>
              <w:bottom w:val="single" w:sz="4" w:space="0" w:color="auto"/>
              <w:right w:val="single" w:sz="4" w:space="0" w:color="auto"/>
            </w:tcBorders>
          </w:tcPr>
          <w:p w:rsidR="003D5842" w:rsidRPr="00295E71" w:rsidP="003D5842" w14:paraId="2FEE2208" w14:textId="77777777">
            <w:pPr>
              <w:jc w:val="center"/>
              <w:rPr>
                <w:sz w:val="22"/>
                <w:szCs w:val="22"/>
              </w:rPr>
            </w:pPr>
            <w:r w:rsidRPr="00295E71">
              <w:rPr>
                <w:sz w:val="22"/>
                <w:szCs w:val="22"/>
              </w:rPr>
              <w:t>0,002</w:t>
            </w:r>
          </w:p>
        </w:tc>
        <w:tc>
          <w:tcPr>
            <w:tcW w:w="1173" w:type="dxa"/>
            <w:tcBorders>
              <w:top w:val="single" w:sz="4" w:space="0" w:color="auto"/>
              <w:left w:val="single" w:sz="4" w:space="0" w:color="auto"/>
              <w:bottom w:val="single" w:sz="4" w:space="0" w:color="auto"/>
              <w:right w:val="single" w:sz="4" w:space="0" w:color="auto"/>
            </w:tcBorders>
          </w:tcPr>
          <w:p w:rsidR="003D5842" w:rsidRPr="00295E71" w:rsidP="003D5842" w14:paraId="5D9C530A" w14:textId="77777777">
            <w:pPr>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3D5842" w:rsidRPr="00295E71" w:rsidP="003D5842" w14:paraId="512A8112" w14:textId="77777777">
            <w:pPr>
              <w:jc w:val="center"/>
              <w:rPr>
                <w:sz w:val="22"/>
                <w:szCs w:val="22"/>
              </w:rPr>
            </w:pPr>
            <w:r w:rsidRPr="00295E71">
              <w:rPr>
                <w:sz w:val="22"/>
                <w:szCs w:val="22"/>
              </w:rPr>
              <w:t>0,140</w:t>
            </w:r>
          </w:p>
        </w:tc>
      </w:tr>
      <w:tr w14:paraId="7BF84B8F" w14:textId="77777777" w:rsidTr="003D5842">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3D5842" w:rsidRPr="00295E71" w:rsidP="003D5842" w14:paraId="1A871001" w14:textId="77777777">
            <w:pPr>
              <w:rPr>
                <w:sz w:val="22"/>
                <w:szCs w:val="22"/>
              </w:rPr>
            </w:pPr>
            <w:r w:rsidRPr="00295E71">
              <w:rPr>
                <w:sz w:val="22"/>
                <w:szCs w:val="22"/>
              </w:rPr>
              <w:t>ACR 50</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4A7DC796" w14:textId="77777777">
            <w:pPr>
              <w:jc w:val="center"/>
              <w:rPr>
                <w:sz w:val="22"/>
                <w:szCs w:val="22"/>
              </w:rPr>
            </w:pP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565E9B6F" w14:textId="77777777">
            <w:pPr>
              <w:jc w:val="center"/>
              <w:rPr>
                <w:sz w:val="22"/>
                <w:szCs w:val="22"/>
              </w:rPr>
            </w:pPr>
          </w:p>
        </w:tc>
        <w:tc>
          <w:tcPr>
            <w:tcW w:w="1576" w:type="dxa"/>
            <w:tcBorders>
              <w:top w:val="single" w:sz="4" w:space="0" w:color="auto"/>
              <w:left w:val="single" w:sz="4" w:space="0" w:color="auto"/>
              <w:bottom w:val="single" w:sz="4" w:space="0" w:color="auto"/>
              <w:right w:val="single" w:sz="4" w:space="0" w:color="auto"/>
            </w:tcBorders>
          </w:tcPr>
          <w:p w:rsidR="003D5842" w:rsidRPr="00295E71" w:rsidP="003D5842" w14:paraId="067DD848" w14:textId="77777777">
            <w:pPr>
              <w:jc w:val="center"/>
              <w:rPr>
                <w:sz w:val="22"/>
                <w:szCs w:val="22"/>
              </w:rPr>
            </w:pPr>
          </w:p>
        </w:tc>
        <w:tc>
          <w:tcPr>
            <w:tcW w:w="1100" w:type="dxa"/>
            <w:tcBorders>
              <w:top w:val="single" w:sz="4" w:space="0" w:color="auto"/>
              <w:left w:val="single" w:sz="4" w:space="0" w:color="auto"/>
              <w:bottom w:val="single" w:sz="4" w:space="0" w:color="auto"/>
              <w:right w:val="single" w:sz="4" w:space="0" w:color="auto"/>
            </w:tcBorders>
          </w:tcPr>
          <w:p w:rsidR="003D5842" w:rsidRPr="00295E71" w:rsidP="003D5842" w14:paraId="24DEE54D" w14:textId="77777777">
            <w:pPr>
              <w:jc w:val="center"/>
              <w:rPr>
                <w:sz w:val="22"/>
                <w:szCs w:val="22"/>
              </w:rPr>
            </w:pPr>
          </w:p>
        </w:tc>
        <w:tc>
          <w:tcPr>
            <w:tcW w:w="1173" w:type="dxa"/>
            <w:tcBorders>
              <w:top w:val="single" w:sz="4" w:space="0" w:color="auto"/>
              <w:left w:val="single" w:sz="4" w:space="0" w:color="auto"/>
              <w:bottom w:val="single" w:sz="4" w:space="0" w:color="auto"/>
              <w:right w:val="single" w:sz="4" w:space="0" w:color="auto"/>
            </w:tcBorders>
          </w:tcPr>
          <w:p w:rsidR="003D5842" w:rsidRPr="00295E71" w:rsidP="003D5842" w14:paraId="160F75B8" w14:textId="77777777">
            <w:pPr>
              <w:jc w:val="center"/>
              <w:rPr>
                <w:sz w:val="22"/>
                <w:szCs w:val="22"/>
              </w:rPr>
            </w:pPr>
          </w:p>
        </w:tc>
        <w:tc>
          <w:tcPr>
            <w:tcW w:w="1210" w:type="dxa"/>
            <w:tcBorders>
              <w:top w:val="single" w:sz="4" w:space="0" w:color="auto"/>
              <w:left w:val="single" w:sz="4" w:space="0" w:color="auto"/>
              <w:bottom w:val="single" w:sz="4" w:space="0" w:color="auto"/>
              <w:right w:val="single" w:sz="4" w:space="0" w:color="auto"/>
            </w:tcBorders>
          </w:tcPr>
          <w:p w:rsidR="003D5842" w:rsidRPr="00295E71" w:rsidP="003D5842" w14:paraId="6A23D6E7" w14:textId="77777777">
            <w:pPr>
              <w:jc w:val="center"/>
              <w:rPr>
                <w:sz w:val="22"/>
                <w:szCs w:val="22"/>
              </w:rPr>
            </w:pPr>
          </w:p>
        </w:tc>
      </w:tr>
      <w:tr w14:paraId="644FC77F" w14:textId="77777777" w:rsidTr="003D5842">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3D5842" w:rsidRPr="00295E71" w:rsidP="003D5842" w14:paraId="7F779F83" w14:textId="77777777">
            <w:pPr>
              <w:rPr>
                <w:sz w:val="22"/>
                <w:szCs w:val="22"/>
              </w:rPr>
            </w:pPr>
            <w:r w:rsidRPr="00295E71">
              <w:rPr>
                <w:sz w:val="22"/>
                <w:szCs w:val="22"/>
              </w:rPr>
              <w:t>Settimana 52</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2B2F5A74" w14:textId="77777777">
            <w:pPr>
              <w:jc w:val="center"/>
              <w:rPr>
                <w:sz w:val="22"/>
                <w:szCs w:val="22"/>
              </w:rPr>
            </w:pPr>
            <w:r w:rsidRPr="00295E71">
              <w:rPr>
                <w:sz w:val="22"/>
                <w:szCs w:val="22"/>
              </w:rPr>
              <w:t>45,9%</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52ADE357" w14:textId="77777777">
            <w:pPr>
              <w:jc w:val="center"/>
              <w:rPr>
                <w:sz w:val="22"/>
                <w:szCs w:val="22"/>
              </w:rPr>
            </w:pPr>
            <w:r w:rsidRPr="00295E71">
              <w:rPr>
                <w:sz w:val="22"/>
                <w:szCs w:val="22"/>
              </w:rPr>
              <w:t>41,2%</w:t>
            </w:r>
          </w:p>
        </w:tc>
        <w:tc>
          <w:tcPr>
            <w:tcW w:w="1576" w:type="dxa"/>
            <w:tcBorders>
              <w:top w:val="single" w:sz="4" w:space="0" w:color="auto"/>
              <w:left w:val="single" w:sz="4" w:space="0" w:color="auto"/>
              <w:bottom w:val="single" w:sz="4" w:space="0" w:color="auto"/>
              <w:right w:val="single" w:sz="4" w:space="0" w:color="auto"/>
            </w:tcBorders>
          </w:tcPr>
          <w:p w:rsidR="003D5842" w:rsidRPr="00295E71" w:rsidP="003D5842" w14:paraId="73F75A38" w14:textId="77777777">
            <w:pPr>
              <w:jc w:val="center"/>
              <w:rPr>
                <w:sz w:val="22"/>
                <w:szCs w:val="22"/>
              </w:rPr>
            </w:pPr>
            <w:r w:rsidRPr="00295E71">
              <w:rPr>
                <w:sz w:val="22"/>
                <w:szCs w:val="22"/>
              </w:rPr>
              <w:t>61,6%</w:t>
            </w:r>
          </w:p>
        </w:tc>
        <w:tc>
          <w:tcPr>
            <w:tcW w:w="1100" w:type="dxa"/>
            <w:tcBorders>
              <w:top w:val="single" w:sz="4" w:space="0" w:color="auto"/>
              <w:left w:val="single" w:sz="4" w:space="0" w:color="auto"/>
              <w:bottom w:val="single" w:sz="4" w:space="0" w:color="auto"/>
              <w:right w:val="single" w:sz="4" w:space="0" w:color="auto"/>
            </w:tcBorders>
          </w:tcPr>
          <w:p w:rsidR="003D5842" w:rsidRPr="00295E71" w:rsidP="003D5842" w14:paraId="734CF979" w14:textId="77777777">
            <w:pPr>
              <w:jc w:val="center"/>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3D5842" w:rsidRPr="00295E71" w:rsidP="003D5842" w14:paraId="6B0B7CC8" w14:textId="77777777">
            <w:pPr>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3D5842" w:rsidRPr="00295E71" w:rsidP="003D5842" w14:paraId="32BEFF2A" w14:textId="77777777">
            <w:pPr>
              <w:jc w:val="center"/>
              <w:rPr>
                <w:sz w:val="22"/>
                <w:szCs w:val="22"/>
              </w:rPr>
            </w:pPr>
            <w:r w:rsidRPr="00295E71">
              <w:rPr>
                <w:sz w:val="22"/>
                <w:szCs w:val="22"/>
              </w:rPr>
              <w:t>0,317</w:t>
            </w:r>
          </w:p>
        </w:tc>
      </w:tr>
      <w:tr w14:paraId="29D685C4" w14:textId="77777777" w:rsidTr="003D5842">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3D5842" w:rsidRPr="00295E71" w:rsidP="003D5842" w14:paraId="63A539C9" w14:textId="77777777">
            <w:pPr>
              <w:rPr>
                <w:sz w:val="22"/>
                <w:szCs w:val="22"/>
              </w:rPr>
            </w:pPr>
            <w:r w:rsidRPr="00295E71">
              <w:rPr>
                <w:sz w:val="22"/>
                <w:szCs w:val="22"/>
              </w:rPr>
              <w:t>Settimana 104</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54A6CE60" w14:textId="77777777">
            <w:pPr>
              <w:jc w:val="center"/>
              <w:rPr>
                <w:sz w:val="22"/>
                <w:szCs w:val="22"/>
              </w:rPr>
            </w:pPr>
            <w:r w:rsidRPr="00295E71">
              <w:rPr>
                <w:sz w:val="22"/>
                <w:szCs w:val="22"/>
              </w:rPr>
              <w:t>42,8%</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1E482A78" w14:textId="77777777">
            <w:pPr>
              <w:jc w:val="center"/>
              <w:rPr>
                <w:sz w:val="22"/>
                <w:szCs w:val="22"/>
              </w:rPr>
            </w:pPr>
            <w:r w:rsidRPr="00295E71">
              <w:rPr>
                <w:sz w:val="22"/>
                <w:szCs w:val="22"/>
              </w:rPr>
              <w:t>36,9%</w:t>
            </w:r>
          </w:p>
        </w:tc>
        <w:tc>
          <w:tcPr>
            <w:tcW w:w="1576" w:type="dxa"/>
            <w:tcBorders>
              <w:top w:val="single" w:sz="4" w:space="0" w:color="auto"/>
              <w:left w:val="single" w:sz="4" w:space="0" w:color="auto"/>
              <w:bottom w:val="single" w:sz="4" w:space="0" w:color="auto"/>
              <w:right w:val="single" w:sz="4" w:space="0" w:color="auto"/>
            </w:tcBorders>
          </w:tcPr>
          <w:p w:rsidR="003D5842" w:rsidRPr="00295E71" w:rsidP="003D5842" w14:paraId="5191FF28" w14:textId="77777777">
            <w:pPr>
              <w:jc w:val="center"/>
              <w:rPr>
                <w:sz w:val="22"/>
                <w:szCs w:val="22"/>
              </w:rPr>
            </w:pPr>
            <w:r w:rsidRPr="00295E71">
              <w:rPr>
                <w:sz w:val="22"/>
                <w:szCs w:val="22"/>
              </w:rPr>
              <w:t>59,0%</w:t>
            </w:r>
          </w:p>
        </w:tc>
        <w:tc>
          <w:tcPr>
            <w:tcW w:w="1100" w:type="dxa"/>
            <w:tcBorders>
              <w:top w:val="single" w:sz="4" w:space="0" w:color="auto"/>
              <w:left w:val="single" w:sz="4" w:space="0" w:color="auto"/>
              <w:bottom w:val="single" w:sz="4" w:space="0" w:color="auto"/>
              <w:right w:val="single" w:sz="4" w:space="0" w:color="auto"/>
            </w:tcBorders>
          </w:tcPr>
          <w:p w:rsidR="003D5842" w:rsidRPr="00295E71" w:rsidP="003D5842" w14:paraId="68F678E5" w14:textId="77777777">
            <w:pPr>
              <w:jc w:val="center"/>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3D5842" w:rsidRPr="00295E71" w:rsidP="003D5842" w14:paraId="5288E173" w14:textId="77777777">
            <w:pPr>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3D5842" w:rsidRPr="00295E71" w:rsidP="003D5842" w14:paraId="683DE712" w14:textId="77777777">
            <w:pPr>
              <w:jc w:val="center"/>
              <w:rPr>
                <w:sz w:val="22"/>
                <w:szCs w:val="22"/>
              </w:rPr>
            </w:pPr>
            <w:r w:rsidRPr="00295E71">
              <w:rPr>
                <w:sz w:val="22"/>
                <w:szCs w:val="22"/>
              </w:rPr>
              <w:t>0,162</w:t>
            </w:r>
          </w:p>
        </w:tc>
      </w:tr>
      <w:tr w14:paraId="380B099D" w14:textId="77777777" w:rsidTr="003D5842">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3D5842" w:rsidRPr="00295E71" w:rsidP="003D5842" w14:paraId="25D67D15" w14:textId="77777777">
            <w:pPr>
              <w:rPr>
                <w:sz w:val="22"/>
                <w:szCs w:val="22"/>
              </w:rPr>
            </w:pPr>
            <w:r w:rsidRPr="00295E71">
              <w:rPr>
                <w:sz w:val="22"/>
                <w:szCs w:val="22"/>
              </w:rPr>
              <w:t>ACR 70</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3089500B" w14:textId="77777777">
            <w:pPr>
              <w:jc w:val="center"/>
              <w:rPr>
                <w:sz w:val="22"/>
                <w:szCs w:val="22"/>
              </w:rPr>
            </w:pP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1ED07F6E" w14:textId="77777777">
            <w:pPr>
              <w:jc w:val="center"/>
              <w:rPr>
                <w:sz w:val="22"/>
                <w:szCs w:val="22"/>
              </w:rPr>
            </w:pPr>
          </w:p>
        </w:tc>
        <w:tc>
          <w:tcPr>
            <w:tcW w:w="1576" w:type="dxa"/>
            <w:tcBorders>
              <w:top w:val="single" w:sz="4" w:space="0" w:color="auto"/>
              <w:left w:val="single" w:sz="4" w:space="0" w:color="auto"/>
              <w:bottom w:val="single" w:sz="4" w:space="0" w:color="auto"/>
              <w:right w:val="single" w:sz="4" w:space="0" w:color="auto"/>
            </w:tcBorders>
          </w:tcPr>
          <w:p w:rsidR="003D5842" w:rsidRPr="00295E71" w:rsidP="003D5842" w14:paraId="3FB552BD" w14:textId="77777777">
            <w:pPr>
              <w:jc w:val="center"/>
              <w:rPr>
                <w:sz w:val="22"/>
                <w:szCs w:val="22"/>
              </w:rPr>
            </w:pPr>
          </w:p>
        </w:tc>
        <w:tc>
          <w:tcPr>
            <w:tcW w:w="1100" w:type="dxa"/>
            <w:tcBorders>
              <w:top w:val="single" w:sz="4" w:space="0" w:color="auto"/>
              <w:left w:val="single" w:sz="4" w:space="0" w:color="auto"/>
              <w:bottom w:val="single" w:sz="4" w:space="0" w:color="auto"/>
              <w:right w:val="single" w:sz="4" w:space="0" w:color="auto"/>
            </w:tcBorders>
          </w:tcPr>
          <w:p w:rsidR="003D5842" w:rsidRPr="00295E71" w:rsidP="003D5842" w14:paraId="2A33E3D8" w14:textId="77777777">
            <w:pPr>
              <w:jc w:val="center"/>
              <w:rPr>
                <w:sz w:val="22"/>
                <w:szCs w:val="22"/>
              </w:rPr>
            </w:pPr>
          </w:p>
        </w:tc>
        <w:tc>
          <w:tcPr>
            <w:tcW w:w="1173" w:type="dxa"/>
            <w:tcBorders>
              <w:top w:val="single" w:sz="4" w:space="0" w:color="auto"/>
              <w:left w:val="single" w:sz="4" w:space="0" w:color="auto"/>
              <w:bottom w:val="single" w:sz="4" w:space="0" w:color="auto"/>
              <w:right w:val="single" w:sz="4" w:space="0" w:color="auto"/>
            </w:tcBorders>
          </w:tcPr>
          <w:p w:rsidR="003D5842" w:rsidRPr="00295E71" w:rsidP="003D5842" w14:paraId="23B89E60" w14:textId="77777777">
            <w:pPr>
              <w:jc w:val="center"/>
              <w:rPr>
                <w:sz w:val="22"/>
                <w:szCs w:val="22"/>
              </w:rPr>
            </w:pPr>
          </w:p>
        </w:tc>
        <w:tc>
          <w:tcPr>
            <w:tcW w:w="1210" w:type="dxa"/>
            <w:tcBorders>
              <w:top w:val="single" w:sz="4" w:space="0" w:color="auto"/>
              <w:left w:val="single" w:sz="4" w:space="0" w:color="auto"/>
              <w:bottom w:val="single" w:sz="4" w:space="0" w:color="auto"/>
              <w:right w:val="single" w:sz="4" w:space="0" w:color="auto"/>
            </w:tcBorders>
          </w:tcPr>
          <w:p w:rsidR="003D5842" w:rsidRPr="00295E71" w:rsidP="003D5842" w14:paraId="7CA09898" w14:textId="77777777">
            <w:pPr>
              <w:jc w:val="center"/>
              <w:rPr>
                <w:sz w:val="22"/>
                <w:szCs w:val="22"/>
              </w:rPr>
            </w:pPr>
          </w:p>
        </w:tc>
      </w:tr>
      <w:tr w14:paraId="116E48C8" w14:textId="77777777" w:rsidTr="003D5842">
        <w:tblPrEx>
          <w:tblW w:w="9435" w:type="dxa"/>
          <w:tblLayout w:type="fixed"/>
          <w:tblLook w:val="0000"/>
        </w:tblPrEx>
        <w:trPr>
          <w:gridAfter w:val="1"/>
          <w:wAfter w:w="12" w:type="dxa"/>
          <w:cantSplit/>
          <w:trHeight w:val="70"/>
        </w:trPr>
        <w:tc>
          <w:tcPr>
            <w:tcW w:w="1724" w:type="dxa"/>
            <w:gridSpan w:val="2"/>
            <w:tcBorders>
              <w:top w:val="single" w:sz="4" w:space="0" w:color="auto"/>
              <w:left w:val="single" w:sz="4" w:space="0" w:color="auto"/>
              <w:bottom w:val="single" w:sz="4" w:space="0" w:color="auto"/>
              <w:right w:val="single" w:sz="4" w:space="0" w:color="auto"/>
            </w:tcBorders>
          </w:tcPr>
          <w:p w:rsidR="003D5842" w:rsidRPr="00295E71" w:rsidP="003D5842" w14:paraId="1A7C9265" w14:textId="77777777">
            <w:pPr>
              <w:rPr>
                <w:sz w:val="22"/>
                <w:szCs w:val="22"/>
              </w:rPr>
            </w:pPr>
            <w:r w:rsidRPr="00295E71">
              <w:rPr>
                <w:sz w:val="22"/>
                <w:szCs w:val="22"/>
              </w:rPr>
              <w:t>Settimana 52</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3808F5AC" w14:textId="77777777">
            <w:pPr>
              <w:jc w:val="center"/>
              <w:rPr>
                <w:sz w:val="22"/>
                <w:szCs w:val="22"/>
              </w:rPr>
            </w:pPr>
            <w:r w:rsidRPr="00295E71">
              <w:rPr>
                <w:sz w:val="22"/>
                <w:szCs w:val="22"/>
              </w:rPr>
              <w:t>27,2%</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4AC59E2D" w14:textId="77777777">
            <w:pPr>
              <w:jc w:val="center"/>
              <w:rPr>
                <w:sz w:val="22"/>
                <w:szCs w:val="22"/>
              </w:rPr>
            </w:pPr>
            <w:r w:rsidRPr="00295E71">
              <w:rPr>
                <w:sz w:val="22"/>
                <w:szCs w:val="22"/>
              </w:rPr>
              <w:t>25,9%</w:t>
            </w:r>
          </w:p>
        </w:tc>
        <w:tc>
          <w:tcPr>
            <w:tcW w:w="1576" w:type="dxa"/>
            <w:tcBorders>
              <w:top w:val="single" w:sz="4" w:space="0" w:color="auto"/>
              <w:left w:val="single" w:sz="4" w:space="0" w:color="auto"/>
              <w:bottom w:val="single" w:sz="4" w:space="0" w:color="auto"/>
              <w:right w:val="single" w:sz="4" w:space="0" w:color="auto"/>
            </w:tcBorders>
          </w:tcPr>
          <w:p w:rsidR="003D5842" w:rsidRPr="00295E71" w:rsidP="003D5842" w14:paraId="1A520442" w14:textId="77777777">
            <w:pPr>
              <w:jc w:val="center"/>
              <w:rPr>
                <w:sz w:val="22"/>
                <w:szCs w:val="22"/>
              </w:rPr>
            </w:pPr>
            <w:r w:rsidRPr="00295E71">
              <w:rPr>
                <w:sz w:val="22"/>
                <w:szCs w:val="22"/>
              </w:rPr>
              <w:t>45,5%</w:t>
            </w:r>
          </w:p>
        </w:tc>
        <w:tc>
          <w:tcPr>
            <w:tcW w:w="1100" w:type="dxa"/>
            <w:tcBorders>
              <w:top w:val="single" w:sz="4" w:space="0" w:color="auto"/>
              <w:left w:val="single" w:sz="4" w:space="0" w:color="auto"/>
              <w:bottom w:val="single" w:sz="4" w:space="0" w:color="auto"/>
              <w:right w:val="single" w:sz="4" w:space="0" w:color="auto"/>
            </w:tcBorders>
          </w:tcPr>
          <w:p w:rsidR="003D5842" w:rsidRPr="00295E71" w:rsidP="003D5842" w14:paraId="577A1EA2" w14:textId="77777777">
            <w:pPr>
              <w:jc w:val="center"/>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3D5842" w:rsidRPr="00295E71" w:rsidP="003D5842" w14:paraId="02F611B6" w14:textId="77777777">
            <w:pPr>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3D5842" w:rsidRPr="00295E71" w:rsidP="003D5842" w14:paraId="351212F6" w14:textId="77777777">
            <w:pPr>
              <w:jc w:val="center"/>
              <w:rPr>
                <w:sz w:val="22"/>
                <w:szCs w:val="22"/>
              </w:rPr>
            </w:pPr>
            <w:r w:rsidRPr="00295E71">
              <w:rPr>
                <w:sz w:val="22"/>
                <w:szCs w:val="22"/>
              </w:rPr>
              <w:t>0,656</w:t>
            </w:r>
          </w:p>
        </w:tc>
      </w:tr>
      <w:tr w14:paraId="25B9001B" w14:textId="77777777" w:rsidTr="003D5842">
        <w:tblPrEx>
          <w:tblW w:w="9435" w:type="dxa"/>
          <w:tblLayout w:type="fixed"/>
          <w:tblLook w:val="0000"/>
        </w:tblPrEx>
        <w:trPr>
          <w:gridAfter w:val="1"/>
          <w:wAfter w:w="12" w:type="dxa"/>
          <w:cantSplit/>
        </w:trPr>
        <w:tc>
          <w:tcPr>
            <w:tcW w:w="1724" w:type="dxa"/>
            <w:gridSpan w:val="2"/>
            <w:tcBorders>
              <w:top w:val="single" w:sz="4" w:space="0" w:color="auto"/>
              <w:left w:val="single" w:sz="4" w:space="0" w:color="auto"/>
              <w:bottom w:val="single" w:sz="4" w:space="0" w:color="auto"/>
              <w:right w:val="single" w:sz="4" w:space="0" w:color="auto"/>
            </w:tcBorders>
          </w:tcPr>
          <w:p w:rsidR="003D5842" w:rsidRPr="00295E71" w:rsidP="003D5842" w14:paraId="4EEAC9DE" w14:textId="77777777">
            <w:pPr>
              <w:rPr>
                <w:sz w:val="22"/>
                <w:szCs w:val="22"/>
              </w:rPr>
            </w:pPr>
            <w:r w:rsidRPr="00295E71">
              <w:rPr>
                <w:sz w:val="22"/>
                <w:szCs w:val="22"/>
              </w:rPr>
              <w:t>Settimana 104</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204F1FBE" w14:textId="77777777">
            <w:pPr>
              <w:jc w:val="center"/>
              <w:rPr>
                <w:sz w:val="22"/>
                <w:szCs w:val="22"/>
              </w:rPr>
            </w:pPr>
            <w:r w:rsidRPr="00295E71">
              <w:rPr>
                <w:sz w:val="22"/>
                <w:szCs w:val="22"/>
              </w:rPr>
              <w:t>28,4%</w:t>
            </w:r>
          </w:p>
        </w:tc>
        <w:tc>
          <w:tcPr>
            <w:tcW w:w="1320" w:type="dxa"/>
            <w:tcBorders>
              <w:top w:val="single" w:sz="4" w:space="0" w:color="auto"/>
              <w:left w:val="single" w:sz="4" w:space="0" w:color="auto"/>
              <w:bottom w:val="single" w:sz="4" w:space="0" w:color="auto"/>
              <w:right w:val="single" w:sz="4" w:space="0" w:color="auto"/>
            </w:tcBorders>
          </w:tcPr>
          <w:p w:rsidR="003D5842" w:rsidRPr="00295E71" w:rsidP="003D5842" w14:paraId="16818A8D" w14:textId="77777777">
            <w:pPr>
              <w:jc w:val="center"/>
              <w:rPr>
                <w:sz w:val="22"/>
                <w:szCs w:val="22"/>
              </w:rPr>
            </w:pPr>
            <w:r w:rsidRPr="00295E71">
              <w:rPr>
                <w:sz w:val="22"/>
                <w:szCs w:val="22"/>
              </w:rPr>
              <w:t>28,1%</w:t>
            </w:r>
          </w:p>
        </w:tc>
        <w:tc>
          <w:tcPr>
            <w:tcW w:w="1576" w:type="dxa"/>
            <w:tcBorders>
              <w:top w:val="single" w:sz="4" w:space="0" w:color="auto"/>
              <w:left w:val="single" w:sz="4" w:space="0" w:color="auto"/>
              <w:bottom w:val="single" w:sz="4" w:space="0" w:color="auto"/>
              <w:right w:val="single" w:sz="4" w:space="0" w:color="auto"/>
            </w:tcBorders>
          </w:tcPr>
          <w:p w:rsidR="003D5842" w:rsidRPr="00295E71" w:rsidP="003D5842" w14:paraId="02AD047D" w14:textId="77777777">
            <w:pPr>
              <w:jc w:val="center"/>
              <w:rPr>
                <w:sz w:val="22"/>
                <w:szCs w:val="22"/>
              </w:rPr>
            </w:pPr>
            <w:r w:rsidRPr="00295E71">
              <w:rPr>
                <w:sz w:val="22"/>
                <w:szCs w:val="22"/>
              </w:rPr>
              <w:t>46,6%</w:t>
            </w:r>
          </w:p>
        </w:tc>
        <w:tc>
          <w:tcPr>
            <w:tcW w:w="1100" w:type="dxa"/>
            <w:tcBorders>
              <w:top w:val="single" w:sz="4" w:space="0" w:color="auto"/>
              <w:left w:val="single" w:sz="4" w:space="0" w:color="auto"/>
              <w:bottom w:val="single" w:sz="4" w:space="0" w:color="auto"/>
              <w:right w:val="single" w:sz="4" w:space="0" w:color="auto"/>
            </w:tcBorders>
          </w:tcPr>
          <w:p w:rsidR="003D5842" w:rsidRPr="00295E71" w:rsidP="003D5842" w14:paraId="4291EAE7" w14:textId="77777777">
            <w:pPr>
              <w:jc w:val="center"/>
              <w:rPr>
                <w:sz w:val="22"/>
                <w:szCs w:val="22"/>
              </w:rPr>
            </w:pPr>
            <w:r w:rsidRPr="00295E71">
              <w:rPr>
                <w:sz w:val="22"/>
                <w:szCs w:val="22"/>
              </w:rPr>
              <w:t>&lt;0,001</w:t>
            </w:r>
          </w:p>
        </w:tc>
        <w:tc>
          <w:tcPr>
            <w:tcW w:w="1173" w:type="dxa"/>
            <w:tcBorders>
              <w:top w:val="single" w:sz="4" w:space="0" w:color="auto"/>
              <w:left w:val="single" w:sz="4" w:space="0" w:color="auto"/>
              <w:bottom w:val="single" w:sz="4" w:space="0" w:color="auto"/>
              <w:right w:val="single" w:sz="4" w:space="0" w:color="auto"/>
            </w:tcBorders>
          </w:tcPr>
          <w:p w:rsidR="003D5842" w:rsidRPr="00295E71" w:rsidP="003D5842" w14:paraId="72ED824C" w14:textId="77777777">
            <w:pPr>
              <w:jc w:val="center"/>
              <w:rPr>
                <w:sz w:val="22"/>
                <w:szCs w:val="22"/>
              </w:rPr>
            </w:pPr>
            <w:r w:rsidRPr="00295E71">
              <w:rPr>
                <w:sz w:val="22"/>
                <w:szCs w:val="22"/>
              </w:rPr>
              <w:t>&lt;0,001</w:t>
            </w:r>
          </w:p>
        </w:tc>
        <w:tc>
          <w:tcPr>
            <w:tcW w:w="1210" w:type="dxa"/>
            <w:tcBorders>
              <w:top w:val="single" w:sz="4" w:space="0" w:color="auto"/>
              <w:left w:val="single" w:sz="4" w:space="0" w:color="auto"/>
              <w:bottom w:val="single" w:sz="4" w:space="0" w:color="auto"/>
              <w:right w:val="single" w:sz="4" w:space="0" w:color="auto"/>
            </w:tcBorders>
          </w:tcPr>
          <w:p w:rsidR="003D5842" w:rsidRPr="00295E71" w:rsidP="003D5842" w14:paraId="1CACA169" w14:textId="77777777">
            <w:pPr>
              <w:jc w:val="center"/>
              <w:rPr>
                <w:sz w:val="22"/>
                <w:szCs w:val="22"/>
              </w:rPr>
            </w:pPr>
            <w:r w:rsidRPr="00295E71">
              <w:rPr>
                <w:sz w:val="22"/>
                <w:szCs w:val="22"/>
              </w:rPr>
              <w:t>0,864</w:t>
            </w:r>
          </w:p>
        </w:tc>
      </w:tr>
      <w:tr w14:paraId="5A3C3172" w14:textId="77777777" w:rsidTr="003D5842">
        <w:tblPrEx>
          <w:tblW w:w="9435" w:type="dxa"/>
          <w:tblLayout w:type="fixed"/>
          <w:tblLook w:val="0000"/>
        </w:tblPrEx>
        <w:trPr>
          <w:gridBefore w:val="1"/>
          <w:wBefore w:w="6" w:type="dxa"/>
          <w:cantSplit/>
        </w:trPr>
        <w:tc>
          <w:tcPr>
            <w:tcW w:w="9429" w:type="dxa"/>
            <w:gridSpan w:val="8"/>
            <w:tcBorders>
              <w:top w:val="single" w:sz="4" w:space="0" w:color="auto"/>
              <w:left w:val="single" w:sz="4" w:space="0" w:color="auto"/>
              <w:bottom w:val="single" w:sz="4" w:space="0" w:color="auto"/>
              <w:right w:val="single" w:sz="4" w:space="0" w:color="auto"/>
            </w:tcBorders>
          </w:tcPr>
          <w:p w:rsidR="003D5842" w:rsidRPr="00295E71" w:rsidP="003D5842" w14:paraId="4545BFCF" w14:textId="77777777">
            <w:pPr>
              <w:tabs>
                <w:tab w:val="left" w:pos="330"/>
                <w:tab w:val="left" w:pos="10728"/>
              </w:tabs>
              <w:ind w:left="360" w:hanging="360"/>
              <w:rPr>
                <w:sz w:val="22"/>
                <w:szCs w:val="22"/>
              </w:rPr>
            </w:pPr>
            <w:r w:rsidRPr="00295E71">
              <w:rPr>
                <w:sz w:val="22"/>
                <w:szCs w:val="22"/>
                <w:vertAlign w:val="superscript"/>
              </w:rPr>
              <w:t>a</w:t>
            </w:r>
            <w:r w:rsidRPr="00295E71">
              <w:rPr>
                <w:sz w:val="22"/>
                <w:szCs w:val="22"/>
              </w:rPr>
              <w:tab/>
              <w:t xml:space="preserve">il valore p è stato ottenuto confrontando a due a due la </w:t>
            </w:r>
            <w:r w:rsidRPr="00020442" w:rsidR="007409F8">
              <w:rPr>
                <w:sz w:val="22"/>
                <w:szCs w:val="22"/>
              </w:rPr>
              <w:t>mono</w:t>
            </w:r>
            <w:r w:rsidRPr="00295E71">
              <w:rPr>
                <w:sz w:val="22"/>
                <w:szCs w:val="22"/>
              </w:rPr>
              <w:t>terapia con metotressato e la terapia associata Humira/metotressato utilizzando il test U Mann-Whitney.</w:t>
            </w:r>
          </w:p>
          <w:p w:rsidR="003D5842" w:rsidRPr="00295E71" w:rsidP="003D5842" w14:paraId="1FDC444A" w14:textId="77777777">
            <w:pPr>
              <w:pStyle w:val="BodyTextIndent"/>
              <w:autoSpaceDE/>
              <w:autoSpaceDN/>
              <w:adjustRightInd/>
              <w:ind w:left="330" w:hanging="330"/>
              <w:jc w:val="left"/>
              <w:rPr>
                <w:color w:val="auto"/>
              </w:rPr>
            </w:pPr>
            <w:r w:rsidRPr="00295E71">
              <w:rPr>
                <w:vertAlign w:val="superscript"/>
              </w:rPr>
              <w:t>b</w:t>
            </w:r>
            <w:r w:rsidRPr="00295E71">
              <w:rPr>
                <w:color w:val="auto"/>
              </w:rPr>
              <w:tab/>
              <w:t xml:space="preserve">il valore p è stato ottenuto confrontando a due a due la </w:t>
            </w:r>
            <w:r w:rsidRPr="00020442" w:rsidR="007409F8">
              <w:t>mono</w:t>
            </w:r>
            <w:r w:rsidRPr="00295E71">
              <w:rPr>
                <w:color w:val="auto"/>
              </w:rPr>
              <w:t>terapia con Humira e la terapia associata Humira/metotressato utilizzando il test U Mann-Whitney</w:t>
            </w:r>
          </w:p>
          <w:p w:rsidR="003D5842" w:rsidRPr="00295E71" w:rsidP="003D5842" w14:paraId="6034876C" w14:textId="77777777">
            <w:pPr>
              <w:pStyle w:val="BodyTextIndent"/>
              <w:autoSpaceDE/>
              <w:autoSpaceDN/>
              <w:adjustRightInd/>
              <w:ind w:left="330" w:hanging="330"/>
              <w:jc w:val="left"/>
              <w:rPr>
                <w:color w:val="auto"/>
              </w:rPr>
            </w:pPr>
            <w:r w:rsidRPr="00295E71">
              <w:rPr>
                <w:vertAlign w:val="superscript"/>
              </w:rPr>
              <w:t>c</w:t>
            </w:r>
            <w:r w:rsidRPr="00295E71" w:rsidR="006142E9">
              <w:rPr>
                <w:color w:val="auto"/>
              </w:rPr>
              <w:tab/>
            </w:r>
            <w:r w:rsidRPr="00295E71">
              <w:rPr>
                <w:color w:val="auto"/>
              </w:rPr>
              <w:t xml:space="preserve">il valore p è stato ottenuto confrontando a due a due la </w:t>
            </w:r>
            <w:r w:rsidRPr="00020442" w:rsidR="007409F8">
              <w:t>mono</w:t>
            </w:r>
            <w:r w:rsidRPr="00295E71">
              <w:rPr>
                <w:color w:val="auto"/>
              </w:rPr>
              <w:t xml:space="preserve">terapia con Humira e la </w:t>
            </w:r>
            <w:r w:rsidRPr="00020442" w:rsidR="007409F8">
              <w:t>mono</w:t>
            </w:r>
            <w:r w:rsidRPr="00295E71">
              <w:rPr>
                <w:color w:val="auto"/>
              </w:rPr>
              <w:t>terapia con metotressato utilizzando il test U Mann-Whitney</w:t>
            </w:r>
          </w:p>
        </w:tc>
      </w:tr>
    </w:tbl>
    <w:p w:rsidR="003D5842" w:rsidRPr="00295E71" w:rsidP="003D5842" w14:paraId="5241BBE1" w14:textId="77777777">
      <w:pPr>
        <w:rPr>
          <w:sz w:val="22"/>
          <w:szCs w:val="22"/>
        </w:rPr>
      </w:pPr>
    </w:p>
    <w:p w:rsidR="003D5842" w:rsidRPr="00295E71" w:rsidP="003D5842" w14:paraId="3ED17BEF" w14:textId="77777777">
      <w:pPr>
        <w:pStyle w:val="EMEAFigureTitle"/>
        <w:suppressAutoHyphens w:val="0"/>
        <w:jc w:val="both"/>
        <w:rPr>
          <w:lang w:val="it-IT"/>
        </w:rPr>
      </w:pPr>
      <w:r w:rsidRPr="00295E71">
        <w:rPr>
          <w:lang w:val="it-IT"/>
        </w:rPr>
        <w:t xml:space="preserve">Nella fase di estensione in aperto dello studio AR V, il tasso di risposta ACR è stato mantenuto </w:t>
      </w:r>
      <w:r w:rsidRPr="00020442" w:rsidR="007409F8">
        <w:rPr>
          <w:lang w:val="it-IT"/>
        </w:rPr>
        <w:t>nei pazienti seguiti</w:t>
      </w:r>
      <w:r w:rsidR="007409F8">
        <w:rPr>
          <w:lang w:val="it-IT"/>
        </w:rPr>
        <w:t xml:space="preserve"> </w:t>
      </w:r>
      <w:r w:rsidRPr="00295E71">
        <w:rPr>
          <w:lang w:val="it-IT"/>
        </w:rPr>
        <w:t xml:space="preserve">fino a 10 anni. Dei 542 pazienti che erano stati randomizzati alla somministrazione di 40 mg di Humira a settimane alterne, 170 pazienti hanno continuato il trattamento con Humira 40 mg a </w:t>
      </w:r>
      <w:r w:rsidRPr="00295E71">
        <w:rPr>
          <w:lang w:val="it-IT"/>
        </w:rPr>
        <w:t>settimane alterne per 10 anni. Di questi, 154 pazienti (90,6%) hanno avuto risposte ACR 20; 127 pazienti (74,7%) hanno avuto risposte ACR 50; e 102 pazienti (60,0%) hanno avuto risposte ACR 70.</w:t>
      </w:r>
    </w:p>
    <w:p w:rsidR="003D5842" w:rsidRPr="00295E71" w:rsidP="003D5842" w14:paraId="058C4776" w14:textId="77777777">
      <w:pPr>
        <w:pStyle w:val="EMEAFigureTitle"/>
        <w:suppressAutoHyphens w:val="0"/>
        <w:jc w:val="both"/>
        <w:rPr>
          <w:lang w:val="it-IT"/>
        </w:rPr>
      </w:pPr>
    </w:p>
    <w:p w:rsidR="003D5842" w:rsidRPr="00295E71" w:rsidP="00F57FE5" w14:paraId="719E1FDA" w14:textId="77777777">
      <w:pPr>
        <w:keepNext/>
        <w:keepLines/>
        <w:rPr>
          <w:sz w:val="22"/>
          <w:szCs w:val="22"/>
        </w:rPr>
      </w:pPr>
      <w:r w:rsidRPr="00295E71">
        <w:rPr>
          <w:sz w:val="22"/>
          <w:szCs w:val="22"/>
        </w:rPr>
        <w:t>Alla settimana 52, il 42,9% dei pazienti che era stato sottoposto a terapia associata con Humira/metotressato ha raggiunto remissione clinica (DAS28 (PCR) &lt; 2,6) rispetto al 20,6% dei pazienti trattato con metotressato in monoterapia ed al 23,4% dei pazienti che aveva ricevuto Humira in monoterapia. La terapia associata Humira/metotressato si è rivelata superiore dal punto di vista clinico e statistico alle monoterapie con metotressato (p&lt;0,001) e Humira (p&lt;0,001) nel determinare una riduzione dell’attività di malattia in pazienti in cui era stata di recente diagnosticata artrite reumatoide di grado da moderato a severo. La risposta ottenuta nei due gruppi in monoterapia è stata simile (p=0,447). Dei 342 pazienti che erano stati inizialmente randomizzati alla somministrazione di Humira in monoterapia o alla terapia associata Humira/metotressato e che erano stati arruolati nella fase di estensione in aperto dello studio, 171 hanno completato i 10 anni di trattamento con Humira. Di questi, è stato riportato che 109 pazienti (63,7%) erano in remissione a 10 anni.</w:t>
      </w:r>
    </w:p>
    <w:p w:rsidR="003D5842" w:rsidRPr="00295E71" w:rsidP="003D5842" w14:paraId="5A38F1EB" w14:textId="77777777">
      <w:pPr>
        <w:pStyle w:val="EMEAFigureTitle"/>
        <w:suppressAutoHyphens w:val="0"/>
        <w:jc w:val="both"/>
        <w:rPr>
          <w:lang w:val="it-IT" w:eastAsia="it-IT"/>
        </w:rPr>
      </w:pPr>
    </w:p>
    <w:p w:rsidR="003D5842" w:rsidRPr="00295E71" w:rsidP="003D5842" w14:paraId="55A5AACC" w14:textId="77777777">
      <w:pPr>
        <w:keepNext/>
        <w:rPr>
          <w:i/>
          <w:sz w:val="22"/>
          <w:szCs w:val="22"/>
          <w:u w:val="single"/>
        </w:rPr>
      </w:pPr>
      <w:r w:rsidRPr="00295E71">
        <w:rPr>
          <w:i/>
          <w:sz w:val="22"/>
          <w:szCs w:val="22"/>
          <w:u w:val="single"/>
        </w:rPr>
        <w:t>Risposta radiologica</w:t>
      </w:r>
    </w:p>
    <w:p w:rsidR="003D5842" w:rsidRPr="00295E71" w:rsidP="003D5842" w14:paraId="4F963990" w14:textId="77777777">
      <w:pPr>
        <w:keepNext/>
        <w:tabs>
          <w:tab w:val="left" w:pos="567"/>
        </w:tabs>
        <w:jc w:val="both"/>
        <w:rPr>
          <w:sz w:val="22"/>
          <w:szCs w:val="22"/>
        </w:rPr>
      </w:pPr>
    </w:p>
    <w:p w:rsidR="003D5842" w:rsidRPr="00295E71" w:rsidP="003D5842" w14:paraId="512B20E7" w14:textId="77777777">
      <w:pPr>
        <w:pStyle w:val="BodyText"/>
        <w:keepNext/>
        <w:tabs>
          <w:tab w:val="left" w:pos="567"/>
        </w:tabs>
      </w:pPr>
      <w:r w:rsidRPr="00295E71">
        <w:t xml:space="preserve">Nello studio AR III, in cui i pazienti trattati con Humira avevano una durata media di malattia di circa 11 anni, il danno strutturale è stato valutato radiograficamente ed espresso come variazione dell’Indice Totale di Sharp modificato (Total Sharp Score TSS) e dei relativi componenti, gli indici di erosione e di riduzione della rima articolare (Joint Space Narrowing, JSN). I pazienti trattati con Humira/MTX hanno mostrato una progressione radiologica significativamente inferiore ai pazienti che hanno ricevuto solo MTX, a 6 e 12 mesi (vedere Tabella </w:t>
      </w:r>
      <w:r w:rsidR="00800CE0">
        <w:t>7</w:t>
      </w:r>
      <w:r w:rsidRPr="00295E71">
        <w:t xml:space="preserve">). </w:t>
      </w:r>
    </w:p>
    <w:p w:rsidR="003D5842" w:rsidRPr="00295E71" w:rsidP="003D5842" w14:paraId="7E9A24B7" w14:textId="77777777">
      <w:pPr>
        <w:pStyle w:val="BodyText"/>
        <w:tabs>
          <w:tab w:val="left" w:pos="567"/>
        </w:tabs>
      </w:pPr>
    </w:p>
    <w:p w:rsidR="003D5842" w:rsidRPr="00295E71" w:rsidP="003D5842" w14:paraId="7A7F88C6" w14:textId="77777777">
      <w:pPr>
        <w:pStyle w:val="BodyText"/>
        <w:tabs>
          <w:tab w:val="left" w:pos="567"/>
        </w:tabs>
      </w:pPr>
      <w:r w:rsidRPr="00295E71">
        <w:t xml:space="preserve">Nell’estensione in aperto dello studio AR III,la riduzione del tasso di progressione del danno strutturale </w:t>
      </w:r>
      <w:r w:rsidRPr="00020442" w:rsidR="007409F8">
        <w:t>è stata mantenuta</w:t>
      </w:r>
      <w:r w:rsidRPr="00295E71">
        <w:t xml:space="preserve"> per 8 e 10 anni in un sottogruppo di pazienti. A 8 anni, 81 pazienti su 207 originariamente trattati con Humira 40 mg a settimane alterne sono stati valutati radiologicamente. Tra questi, 48 pazienti non hanno mostrato progressione del danno strutturale definita attraverso una modifica del mTSS di 0,5 o meno rispetto al valore basale. A 10 anni, 79 pazienti su 207 originariamente trattati con Humira 40 mg a settimane alterne sono stati valutati radiologicamente. Di questi, 40 pazienti non hanno dimostrato una progressione del danno strutturale definito da un cambiamento del mTSS di 0,5 o minore dal valore basale.</w:t>
      </w:r>
    </w:p>
    <w:p w:rsidR="003D5842" w:rsidRPr="00295E71" w:rsidP="003D5842" w14:paraId="09AEFD5C" w14:textId="77777777">
      <w:pPr>
        <w:keepNext/>
        <w:keepLines/>
        <w:jc w:val="center"/>
        <w:rPr>
          <w:b/>
          <w:sz w:val="22"/>
          <w:szCs w:val="22"/>
        </w:rPr>
      </w:pPr>
    </w:p>
    <w:p w:rsidR="003D5842" w:rsidRPr="00295E71" w:rsidP="003D5842" w14:paraId="193A556B" w14:textId="77777777">
      <w:pPr>
        <w:keepNext/>
        <w:keepLines/>
        <w:jc w:val="center"/>
        <w:rPr>
          <w:b/>
          <w:sz w:val="22"/>
          <w:szCs w:val="22"/>
        </w:rPr>
      </w:pPr>
      <w:r w:rsidRPr="00295E71">
        <w:rPr>
          <w:b/>
          <w:sz w:val="22"/>
          <w:szCs w:val="22"/>
        </w:rPr>
        <w:t xml:space="preserve">Tabella </w:t>
      </w:r>
      <w:r w:rsidR="00800CE0">
        <w:rPr>
          <w:b/>
          <w:sz w:val="22"/>
          <w:szCs w:val="22"/>
        </w:rPr>
        <w:t>7</w:t>
      </w:r>
    </w:p>
    <w:p w:rsidR="003D5842" w:rsidRPr="00295E71" w:rsidP="003D5842" w14:paraId="6DEB96AD" w14:textId="77777777">
      <w:pPr>
        <w:pStyle w:val="Heading9"/>
        <w:keepLines/>
        <w:jc w:val="center"/>
        <w:rPr>
          <w:sz w:val="22"/>
          <w:szCs w:val="22"/>
          <w:lang w:val="it-IT"/>
        </w:rPr>
      </w:pPr>
      <w:r w:rsidRPr="00295E71">
        <w:rPr>
          <w:sz w:val="22"/>
          <w:szCs w:val="22"/>
          <w:lang w:val="it-IT"/>
        </w:rPr>
        <w:t>Variazione radiografica media dopo 12 mesi nello studio AR III</w:t>
      </w:r>
    </w:p>
    <w:p w:rsidR="003D5842" w:rsidRPr="00295E71" w:rsidP="003D5842" w14:paraId="02005C85" w14:textId="77777777">
      <w:pPr>
        <w:keepNext/>
        <w:keepLines/>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8"/>
        <w:gridCol w:w="1430"/>
        <w:gridCol w:w="1790"/>
        <w:gridCol w:w="2000"/>
        <w:gridCol w:w="1548"/>
      </w:tblGrid>
      <w:tr w14:paraId="7FBE2439" w14:textId="77777777" w:rsidTr="003D5842">
        <w:tblPrEx>
          <w:tblW w:w="0" w:type="auto"/>
          <w:tblLook w:val="0000"/>
        </w:tblPrEx>
        <w:tc>
          <w:tcPr>
            <w:tcW w:w="2088" w:type="dxa"/>
            <w:tcBorders>
              <w:top w:val="single" w:sz="4" w:space="0" w:color="auto"/>
              <w:left w:val="single" w:sz="4" w:space="0" w:color="auto"/>
              <w:bottom w:val="single" w:sz="4" w:space="0" w:color="auto"/>
              <w:right w:val="single" w:sz="4" w:space="0" w:color="auto"/>
            </w:tcBorders>
          </w:tcPr>
          <w:p w:rsidR="003D5842" w:rsidRPr="00295E71" w:rsidP="003D5842" w14:paraId="62E9FC8F" w14:textId="77777777">
            <w:pPr>
              <w:keepNext/>
              <w:keepLines/>
              <w:jc w:val="center"/>
              <w:rPr>
                <w:sz w:val="22"/>
                <w:szCs w:val="22"/>
              </w:rPr>
            </w:pPr>
          </w:p>
        </w:tc>
        <w:tc>
          <w:tcPr>
            <w:tcW w:w="1430" w:type="dxa"/>
            <w:tcBorders>
              <w:top w:val="single" w:sz="4" w:space="0" w:color="auto"/>
              <w:left w:val="single" w:sz="4" w:space="0" w:color="auto"/>
              <w:bottom w:val="single" w:sz="4" w:space="0" w:color="auto"/>
              <w:right w:val="single" w:sz="4" w:space="0" w:color="auto"/>
            </w:tcBorders>
          </w:tcPr>
          <w:p w:rsidR="003D5842" w:rsidRPr="00295E71" w:rsidP="003D5842" w14:paraId="458AD42A" w14:textId="77777777">
            <w:pPr>
              <w:keepNext/>
              <w:keepLines/>
              <w:rPr>
                <w:sz w:val="22"/>
                <w:szCs w:val="22"/>
              </w:rPr>
            </w:pPr>
            <w:r w:rsidRPr="00295E71">
              <w:rPr>
                <w:sz w:val="22"/>
                <w:szCs w:val="22"/>
              </w:rPr>
              <w:t>Placebo/</w:t>
            </w:r>
          </w:p>
          <w:p w:rsidR="003D5842" w:rsidRPr="00295E71" w:rsidP="003D5842" w14:paraId="79FA3468" w14:textId="77777777">
            <w:pPr>
              <w:keepNext/>
              <w:keepLines/>
              <w:rPr>
                <w:sz w:val="22"/>
                <w:szCs w:val="22"/>
                <w:vertAlign w:val="superscript"/>
              </w:rPr>
            </w:pPr>
            <w:r w:rsidRPr="00295E71">
              <w:rPr>
                <w:sz w:val="22"/>
                <w:szCs w:val="22"/>
              </w:rPr>
              <w:t>MTX</w:t>
            </w:r>
            <w:r w:rsidRPr="00295E71">
              <w:rPr>
                <w:sz w:val="22"/>
                <w:szCs w:val="22"/>
                <w:vertAlign w:val="superscript"/>
              </w:rPr>
              <w:t>a</w:t>
            </w:r>
          </w:p>
        </w:tc>
        <w:tc>
          <w:tcPr>
            <w:tcW w:w="1790" w:type="dxa"/>
            <w:tcBorders>
              <w:top w:val="single" w:sz="4" w:space="0" w:color="auto"/>
              <w:left w:val="single" w:sz="4" w:space="0" w:color="auto"/>
              <w:bottom w:val="single" w:sz="4" w:space="0" w:color="auto"/>
              <w:right w:val="single" w:sz="4" w:space="0" w:color="auto"/>
            </w:tcBorders>
          </w:tcPr>
          <w:p w:rsidR="003D5842" w:rsidRPr="00295E71" w:rsidP="003D5842" w14:paraId="0EB9823B" w14:textId="77777777">
            <w:pPr>
              <w:keepNext/>
              <w:keepLines/>
              <w:jc w:val="center"/>
              <w:rPr>
                <w:sz w:val="22"/>
                <w:szCs w:val="22"/>
              </w:rPr>
            </w:pPr>
            <w:r w:rsidRPr="00295E71">
              <w:rPr>
                <w:sz w:val="22"/>
                <w:szCs w:val="22"/>
              </w:rPr>
              <w:t>Humira/MTX</w:t>
            </w:r>
          </w:p>
          <w:p w:rsidR="003D5842" w:rsidRPr="00295E71" w:rsidP="003D5842" w14:paraId="7DC5BC10" w14:textId="77777777">
            <w:pPr>
              <w:keepNext/>
              <w:keepLines/>
              <w:jc w:val="center"/>
              <w:rPr>
                <w:sz w:val="22"/>
                <w:szCs w:val="22"/>
              </w:rPr>
            </w:pPr>
            <w:r w:rsidRPr="00295E71">
              <w:rPr>
                <w:sz w:val="22"/>
                <w:szCs w:val="22"/>
              </w:rPr>
              <w:t>40 mg a settimane alterne</w:t>
            </w:r>
          </w:p>
        </w:tc>
        <w:tc>
          <w:tcPr>
            <w:tcW w:w="2000" w:type="dxa"/>
            <w:tcBorders>
              <w:top w:val="single" w:sz="4" w:space="0" w:color="auto"/>
              <w:left w:val="single" w:sz="4" w:space="0" w:color="auto"/>
              <w:bottom w:val="single" w:sz="4" w:space="0" w:color="auto"/>
              <w:right w:val="single" w:sz="4" w:space="0" w:color="auto"/>
            </w:tcBorders>
          </w:tcPr>
          <w:p w:rsidR="003D5842" w:rsidRPr="00295E71" w:rsidP="003D5842" w14:paraId="25CCBF94" w14:textId="77777777">
            <w:pPr>
              <w:keepNext/>
              <w:keepLines/>
              <w:jc w:val="center"/>
              <w:rPr>
                <w:sz w:val="22"/>
                <w:szCs w:val="22"/>
              </w:rPr>
            </w:pPr>
            <w:r w:rsidRPr="00295E71">
              <w:rPr>
                <w:sz w:val="22"/>
                <w:szCs w:val="22"/>
              </w:rPr>
              <w:t>Placebo/MTX-Humira/MTX (intervallo di confidenza 95%</w:t>
            </w:r>
            <w:r w:rsidRPr="00295E71">
              <w:rPr>
                <w:sz w:val="22"/>
                <w:szCs w:val="22"/>
                <w:vertAlign w:val="superscript"/>
              </w:rPr>
              <w:t>b</w:t>
            </w:r>
            <w:r w:rsidRPr="00295E71">
              <w:rPr>
                <w:sz w:val="22"/>
                <w:szCs w:val="22"/>
              </w:rPr>
              <w:t>)</w:t>
            </w:r>
          </w:p>
        </w:tc>
        <w:tc>
          <w:tcPr>
            <w:tcW w:w="1548" w:type="dxa"/>
            <w:tcBorders>
              <w:top w:val="single" w:sz="4" w:space="0" w:color="auto"/>
              <w:left w:val="single" w:sz="4" w:space="0" w:color="auto"/>
              <w:bottom w:val="single" w:sz="4" w:space="0" w:color="auto"/>
              <w:right w:val="single" w:sz="4" w:space="0" w:color="auto"/>
            </w:tcBorders>
          </w:tcPr>
          <w:p w:rsidR="003D5842" w:rsidRPr="00295E71" w:rsidP="003D5842" w14:paraId="3ADE5DB8" w14:textId="77777777">
            <w:pPr>
              <w:keepNext/>
              <w:keepLines/>
              <w:jc w:val="center"/>
              <w:rPr>
                <w:sz w:val="22"/>
                <w:szCs w:val="22"/>
              </w:rPr>
            </w:pPr>
            <w:r w:rsidRPr="00295E71">
              <w:rPr>
                <w:sz w:val="22"/>
                <w:szCs w:val="22"/>
              </w:rPr>
              <w:t>Valore di p</w:t>
            </w:r>
          </w:p>
        </w:tc>
      </w:tr>
      <w:tr w14:paraId="09AD69B8" w14:textId="77777777" w:rsidTr="003D5842">
        <w:tblPrEx>
          <w:tblW w:w="0" w:type="auto"/>
          <w:tblLook w:val="0000"/>
        </w:tblPrEx>
        <w:tc>
          <w:tcPr>
            <w:tcW w:w="2088" w:type="dxa"/>
            <w:tcBorders>
              <w:top w:val="single" w:sz="4" w:space="0" w:color="auto"/>
              <w:left w:val="single" w:sz="4" w:space="0" w:color="auto"/>
              <w:bottom w:val="single" w:sz="4" w:space="0" w:color="auto"/>
              <w:right w:val="single" w:sz="4" w:space="0" w:color="auto"/>
            </w:tcBorders>
          </w:tcPr>
          <w:p w:rsidR="003D5842" w:rsidRPr="00295E71" w:rsidP="003D5842" w14:paraId="3C808A61" w14:textId="77777777">
            <w:pPr>
              <w:jc w:val="center"/>
              <w:rPr>
                <w:sz w:val="22"/>
                <w:szCs w:val="22"/>
              </w:rPr>
            </w:pPr>
            <w:r w:rsidRPr="00295E71">
              <w:rPr>
                <w:sz w:val="22"/>
                <w:szCs w:val="22"/>
              </w:rPr>
              <w:t>Indice Totale di Sharp</w:t>
            </w:r>
          </w:p>
        </w:tc>
        <w:tc>
          <w:tcPr>
            <w:tcW w:w="1430" w:type="dxa"/>
            <w:tcBorders>
              <w:top w:val="single" w:sz="4" w:space="0" w:color="auto"/>
              <w:left w:val="single" w:sz="4" w:space="0" w:color="auto"/>
              <w:bottom w:val="single" w:sz="4" w:space="0" w:color="auto"/>
              <w:right w:val="single" w:sz="4" w:space="0" w:color="auto"/>
            </w:tcBorders>
          </w:tcPr>
          <w:p w:rsidR="003D5842" w:rsidRPr="00295E71" w:rsidP="003D5842" w14:paraId="2A4985D4" w14:textId="77777777">
            <w:pPr>
              <w:jc w:val="center"/>
              <w:rPr>
                <w:sz w:val="22"/>
                <w:szCs w:val="22"/>
              </w:rPr>
            </w:pPr>
            <w:r w:rsidRPr="00295E71">
              <w:rPr>
                <w:sz w:val="22"/>
                <w:szCs w:val="22"/>
              </w:rPr>
              <w:t>2,7</w:t>
            </w:r>
          </w:p>
        </w:tc>
        <w:tc>
          <w:tcPr>
            <w:tcW w:w="1790" w:type="dxa"/>
            <w:tcBorders>
              <w:top w:val="single" w:sz="4" w:space="0" w:color="auto"/>
              <w:left w:val="single" w:sz="4" w:space="0" w:color="auto"/>
              <w:bottom w:val="single" w:sz="4" w:space="0" w:color="auto"/>
              <w:right w:val="single" w:sz="4" w:space="0" w:color="auto"/>
            </w:tcBorders>
          </w:tcPr>
          <w:p w:rsidR="003D5842" w:rsidRPr="00295E71" w:rsidP="003D5842" w14:paraId="619FE0A4" w14:textId="77777777">
            <w:pPr>
              <w:jc w:val="center"/>
              <w:rPr>
                <w:sz w:val="22"/>
                <w:szCs w:val="22"/>
              </w:rPr>
            </w:pPr>
            <w:r w:rsidRPr="00295E71">
              <w:rPr>
                <w:sz w:val="22"/>
                <w:szCs w:val="22"/>
              </w:rPr>
              <w:t>0,1</w:t>
            </w:r>
          </w:p>
        </w:tc>
        <w:tc>
          <w:tcPr>
            <w:tcW w:w="2000" w:type="dxa"/>
            <w:tcBorders>
              <w:top w:val="single" w:sz="4" w:space="0" w:color="auto"/>
              <w:left w:val="single" w:sz="4" w:space="0" w:color="auto"/>
              <w:bottom w:val="single" w:sz="4" w:space="0" w:color="auto"/>
              <w:right w:val="single" w:sz="4" w:space="0" w:color="auto"/>
            </w:tcBorders>
          </w:tcPr>
          <w:p w:rsidR="003D5842" w:rsidRPr="00295E71" w:rsidP="003D5842" w14:paraId="4D79F07C" w14:textId="77777777">
            <w:pPr>
              <w:jc w:val="center"/>
              <w:rPr>
                <w:sz w:val="22"/>
                <w:szCs w:val="22"/>
              </w:rPr>
            </w:pPr>
            <w:r w:rsidRPr="00295E71">
              <w:rPr>
                <w:sz w:val="22"/>
                <w:szCs w:val="22"/>
              </w:rPr>
              <w:t xml:space="preserve">2,6 (1,4-3,8) </w:t>
            </w:r>
          </w:p>
        </w:tc>
        <w:tc>
          <w:tcPr>
            <w:tcW w:w="1548" w:type="dxa"/>
            <w:tcBorders>
              <w:top w:val="single" w:sz="4" w:space="0" w:color="auto"/>
              <w:left w:val="single" w:sz="4" w:space="0" w:color="auto"/>
              <w:bottom w:val="single" w:sz="4" w:space="0" w:color="auto"/>
              <w:right w:val="single" w:sz="4" w:space="0" w:color="auto"/>
            </w:tcBorders>
          </w:tcPr>
          <w:p w:rsidR="003D5842" w:rsidRPr="00295E71" w:rsidP="003D5842" w14:paraId="5A0B9704" w14:textId="77777777">
            <w:pPr>
              <w:jc w:val="center"/>
              <w:rPr>
                <w:sz w:val="22"/>
                <w:szCs w:val="22"/>
                <w:vertAlign w:val="superscript"/>
              </w:rPr>
            </w:pPr>
            <w:r w:rsidRPr="00295E71">
              <w:rPr>
                <w:sz w:val="22"/>
                <w:szCs w:val="22"/>
              </w:rPr>
              <w:t>&lt;0,001</w:t>
            </w:r>
            <w:r w:rsidRPr="00295E71">
              <w:rPr>
                <w:sz w:val="22"/>
                <w:szCs w:val="22"/>
                <w:vertAlign w:val="superscript"/>
              </w:rPr>
              <w:t>c</w:t>
            </w:r>
          </w:p>
        </w:tc>
      </w:tr>
      <w:tr w14:paraId="328B29E2" w14:textId="77777777" w:rsidTr="003D5842">
        <w:tblPrEx>
          <w:tblW w:w="0" w:type="auto"/>
          <w:tblLook w:val="0000"/>
        </w:tblPrEx>
        <w:tc>
          <w:tcPr>
            <w:tcW w:w="2088" w:type="dxa"/>
            <w:tcBorders>
              <w:top w:val="single" w:sz="4" w:space="0" w:color="auto"/>
              <w:left w:val="single" w:sz="4" w:space="0" w:color="auto"/>
              <w:bottom w:val="single" w:sz="4" w:space="0" w:color="auto"/>
              <w:right w:val="single" w:sz="4" w:space="0" w:color="auto"/>
            </w:tcBorders>
          </w:tcPr>
          <w:p w:rsidR="003D5842" w:rsidRPr="00295E71" w:rsidP="003D5842" w14:paraId="5CBD7595" w14:textId="77777777">
            <w:pPr>
              <w:jc w:val="center"/>
              <w:rPr>
                <w:sz w:val="22"/>
                <w:szCs w:val="22"/>
              </w:rPr>
            </w:pPr>
            <w:r w:rsidRPr="00295E71">
              <w:rPr>
                <w:sz w:val="22"/>
                <w:szCs w:val="22"/>
              </w:rPr>
              <w:t>Indice di erosione</w:t>
            </w:r>
          </w:p>
        </w:tc>
        <w:tc>
          <w:tcPr>
            <w:tcW w:w="1430" w:type="dxa"/>
            <w:tcBorders>
              <w:top w:val="single" w:sz="4" w:space="0" w:color="auto"/>
              <w:left w:val="single" w:sz="4" w:space="0" w:color="auto"/>
              <w:bottom w:val="single" w:sz="4" w:space="0" w:color="auto"/>
              <w:right w:val="single" w:sz="4" w:space="0" w:color="auto"/>
            </w:tcBorders>
          </w:tcPr>
          <w:p w:rsidR="003D5842" w:rsidRPr="00295E71" w:rsidP="003D5842" w14:paraId="6B54C8BE" w14:textId="77777777">
            <w:pPr>
              <w:jc w:val="center"/>
              <w:rPr>
                <w:sz w:val="22"/>
                <w:szCs w:val="22"/>
              </w:rPr>
            </w:pPr>
            <w:r w:rsidRPr="00295E71">
              <w:rPr>
                <w:sz w:val="22"/>
                <w:szCs w:val="22"/>
              </w:rPr>
              <w:t>1,6</w:t>
            </w:r>
          </w:p>
        </w:tc>
        <w:tc>
          <w:tcPr>
            <w:tcW w:w="1790" w:type="dxa"/>
            <w:tcBorders>
              <w:top w:val="single" w:sz="4" w:space="0" w:color="auto"/>
              <w:left w:val="single" w:sz="4" w:space="0" w:color="auto"/>
              <w:bottom w:val="single" w:sz="4" w:space="0" w:color="auto"/>
              <w:right w:val="single" w:sz="4" w:space="0" w:color="auto"/>
            </w:tcBorders>
          </w:tcPr>
          <w:p w:rsidR="003D5842" w:rsidRPr="00295E71" w:rsidP="003D5842" w14:paraId="2EA60547" w14:textId="77777777">
            <w:pPr>
              <w:jc w:val="center"/>
              <w:rPr>
                <w:sz w:val="22"/>
                <w:szCs w:val="22"/>
              </w:rPr>
            </w:pPr>
            <w:r w:rsidRPr="00295E71">
              <w:rPr>
                <w:sz w:val="22"/>
                <w:szCs w:val="22"/>
              </w:rPr>
              <w:t>0,0</w:t>
            </w:r>
          </w:p>
        </w:tc>
        <w:tc>
          <w:tcPr>
            <w:tcW w:w="2000" w:type="dxa"/>
            <w:tcBorders>
              <w:top w:val="single" w:sz="4" w:space="0" w:color="auto"/>
              <w:left w:val="single" w:sz="4" w:space="0" w:color="auto"/>
              <w:bottom w:val="single" w:sz="4" w:space="0" w:color="auto"/>
              <w:right w:val="single" w:sz="4" w:space="0" w:color="auto"/>
            </w:tcBorders>
          </w:tcPr>
          <w:p w:rsidR="003D5842" w:rsidRPr="00295E71" w:rsidP="003D5842" w14:paraId="32255022" w14:textId="77777777">
            <w:pPr>
              <w:jc w:val="center"/>
              <w:rPr>
                <w:sz w:val="22"/>
                <w:szCs w:val="22"/>
              </w:rPr>
            </w:pPr>
            <w:r w:rsidRPr="00295E71">
              <w:rPr>
                <w:sz w:val="22"/>
                <w:szCs w:val="22"/>
              </w:rPr>
              <w:t>1,6 (0,9-2,2)</w:t>
            </w:r>
          </w:p>
        </w:tc>
        <w:tc>
          <w:tcPr>
            <w:tcW w:w="1548" w:type="dxa"/>
            <w:tcBorders>
              <w:top w:val="single" w:sz="4" w:space="0" w:color="auto"/>
              <w:left w:val="single" w:sz="4" w:space="0" w:color="auto"/>
              <w:bottom w:val="single" w:sz="4" w:space="0" w:color="auto"/>
              <w:right w:val="single" w:sz="4" w:space="0" w:color="auto"/>
            </w:tcBorders>
          </w:tcPr>
          <w:p w:rsidR="003D5842" w:rsidRPr="00295E71" w:rsidP="003D5842" w14:paraId="5C7FEBEF" w14:textId="77777777">
            <w:pPr>
              <w:jc w:val="center"/>
              <w:rPr>
                <w:sz w:val="22"/>
                <w:szCs w:val="22"/>
              </w:rPr>
            </w:pPr>
            <w:r w:rsidRPr="00295E71">
              <w:rPr>
                <w:sz w:val="22"/>
                <w:szCs w:val="22"/>
              </w:rPr>
              <w:t>&lt;0,001</w:t>
            </w:r>
          </w:p>
        </w:tc>
      </w:tr>
      <w:tr w14:paraId="29FD8FFE" w14:textId="77777777" w:rsidTr="003D5842">
        <w:tblPrEx>
          <w:tblW w:w="0" w:type="auto"/>
          <w:tblLook w:val="0000"/>
        </w:tblPrEx>
        <w:tc>
          <w:tcPr>
            <w:tcW w:w="2088" w:type="dxa"/>
            <w:tcBorders>
              <w:top w:val="single" w:sz="4" w:space="0" w:color="auto"/>
              <w:left w:val="single" w:sz="4" w:space="0" w:color="auto"/>
              <w:bottom w:val="single" w:sz="4" w:space="0" w:color="auto"/>
              <w:right w:val="single" w:sz="4" w:space="0" w:color="auto"/>
            </w:tcBorders>
          </w:tcPr>
          <w:p w:rsidR="003D5842" w:rsidRPr="00295E71" w:rsidP="003D5842" w14:paraId="1FD298D2" w14:textId="77777777">
            <w:pPr>
              <w:jc w:val="center"/>
              <w:rPr>
                <w:sz w:val="22"/>
                <w:szCs w:val="22"/>
              </w:rPr>
            </w:pPr>
            <w:r w:rsidRPr="00295E71">
              <w:rPr>
                <w:sz w:val="22"/>
                <w:szCs w:val="22"/>
              </w:rPr>
              <w:t>Indice JSN</w:t>
            </w:r>
            <w:r w:rsidRPr="00295E71">
              <w:rPr>
                <w:sz w:val="22"/>
                <w:szCs w:val="22"/>
                <w:vertAlign w:val="superscript"/>
              </w:rPr>
              <w:t>d</w:t>
            </w:r>
          </w:p>
        </w:tc>
        <w:tc>
          <w:tcPr>
            <w:tcW w:w="1430" w:type="dxa"/>
            <w:tcBorders>
              <w:top w:val="single" w:sz="4" w:space="0" w:color="auto"/>
              <w:left w:val="single" w:sz="4" w:space="0" w:color="auto"/>
              <w:bottom w:val="single" w:sz="4" w:space="0" w:color="auto"/>
              <w:right w:val="single" w:sz="4" w:space="0" w:color="auto"/>
            </w:tcBorders>
          </w:tcPr>
          <w:p w:rsidR="003D5842" w:rsidRPr="00295E71" w:rsidP="003D5842" w14:paraId="6D3D8255" w14:textId="77777777">
            <w:pPr>
              <w:jc w:val="center"/>
              <w:rPr>
                <w:sz w:val="22"/>
                <w:szCs w:val="22"/>
              </w:rPr>
            </w:pPr>
            <w:r w:rsidRPr="00295E71">
              <w:rPr>
                <w:sz w:val="22"/>
                <w:szCs w:val="22"/>
              </w:rPr>
              <w:t>1,0</w:t>
            </w:r>
          </w:p>
        </w:tc>
        <w:tc>
          <w:tcPr>
            <w:tcW w:w="1790" w:type="dxa"/>
            <w:tcBorders>
              <w:top w:val="single" w:sz="4" w:space="0" w:color="auto"/>
              <w:left w:val="single" w:sz="4" w:space="0" w:color="auto"/>
              <w:bottom w:val="single" w:sz="4" w:space="0" w:color="auto"/>
              <w:right w:val="single" w:sz="4" w:space="0" w:color="auto"/>
            </w:tcBorders>
          </w:tcPr>
          <w:p w:rsidR="003D5842" w:rsidRPr="00295E71" w:rsidP="003D5842" w14:paraId="6BBDF31C" w14:textId="77777777">
            <w:pPr>
              <w:jc w:val="center"/>
              <w:rPr>
                <w:sz w:val="22"/>
                <w:szCs w:val="22"/>
              </w:rPr>
            </w:pPr>
            <w:r w:rsidRPr="00295E71">
              <w:rPr>
                <w:sz w:val="22"/>
                <w:szCs w:val="22"/>
              </w:rPr>
              <w:t>0,1</w:t>
            </w:r>
          </w:p>
        </w:tc>
        <w:tc>
          <w:tcPr>
            <w:tcW w:w="2000" w:type="dxa"/>
            <w:tcBorders>
              <w:top w:val="single" w:sz="4" w:space="0" w:color="auto"/>
              <w:left w:val="single" w:sz="4" w:space="0" w:color="auto"/>
              <w:bottom w:val="single" w:sz="4" w:space="0" w:color="auto"/>
              <w:right w:val="single" w:sz="4" w:space="0" w:color="auto"/>
            </w:tcBorders>
          </w:tcPr>
          <w:p w:rsidR="003D5842" w:rsidRPr="00295E71" w:rsidP="003D5842" w14:paraId="7124594D" w14:textId="77777777">
            <w:pPr>
              <w:jc w:val="center"/>
              <w:rPr>
                <w:sz w:val="22"/>
                <w:szCs w:val="22"/>
              </w:rPr>
            </w:pPr>
            <w:r w:rsidRPr="00295E71">
              <w:rPr>
                <w:sz w:val="22"/>
                <w:szCs w:val="22"/>
              </w:rPr>
              <w:t>0,9 (0,3-1,4)</w:t>
            </w:r>
          </w:p>
        </w:tc>
        <w:tc>
          <w:tcPr>
            <w:tcW w:w="1548" w:type="dxa"/>
            <w:tcBorders>
              <w:top w:val="single" w:sz="4" w:space="0" w:color="auto"/>
              <w:left w:val="single" w:sz="4" w:space="0" w:color="auto"/>
              <w:bottom w:val="single" w:sz="4" w:space="0" w:color="auto"/>
              <w:right w:val="single" w:sz="4" w:space="0" w:color="auto"/>
            </w:tcBorders>
          </w:tcPr>
          <w:p w:rsidR="003D5842" w:rsidRPr="00295E71" w:rsidP="003D5842" w14:paraId="1A82E0FA" w14:textId="77777777">
            <w:pPr>
              <w:jc w:val="center"/>
              <w:rPr>
                <w:sz w:val="22"/>
                <w:szCs w:val="22"/>
              </w:rPr>
            </w:pPr>
            <w:r w:rsidRPr="00295E71">
              <w:rPr>
                <w:sz w:val="22"/>
                <w:szCs w:val="22"/>
              </w:rPr>
              <w:t xml:space="preserve">  0,002</w:t>
            </w:r>
          </w:p>
        </w:tc>
      </w:tr>
    </w:tbl>
    <w:p w:rsidR="003D5842" w:rsidRPr="00295E71" w:rsidP="003D5842" w14:paraId="7F89CD73"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b/>
          <w:bCs/>
          <w:sz w:val="22"/>
          <w:szCs w:val="22"/>
          <w:vertAlign w:val="superscript"/>
          <w:lang w:val="it-IT"/>
        </w:rPr>
        <w:t>a</w:t>
      </w:r>
      <w:r w:rsidRPr="00295E71">
        <w:rPr>
          <w:rFonts w:ascii="Times New Roman" w:hAnsi="Times New Roman" w:cs="Times New Roman"/>
          <w:sz w:val="22"/>
          <w:szCs w:val="22"/>
          <w:lang w:val="it-IT"/>
        </w:rPr>
        <w:t>metotressato</w:t>
      </w:r>
    </w:p>
    <w:p w:rsidR="003D5842" w:rsidRPr="00295E71" w:rsidP="003D5842" w14:paraId="649BAE3C"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b</w:t>
      </w:r>
      <w:r w:rsidRPr="00295E71">
        <w:rPr>
          <w:rFonts w:ascii="Times New Roman" w:hAnsi="Times New Roman" w:cs="Times New Roman"/>
          <w:sz w:val="22"/>
          <w:szCs w:val="22"/>
          <w:lang w:val="it-IT"/>
        </w:rPr>
        <w:t>Intervallo di confidenza del 95% per le differenze nelle variazioni degli indici tra metotressato e Humira.</w:t>
      </w:r>
    </w:p>
    <w:p w:rsidR="003D5842" w:rsidRPr="00295E71" w:rsidP="003D5842" w14:paraId="43781E92"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c</w:t>
      </w:r>
      <w:r w:rsidRPr="00295E71">
        <w:rPr>
          <w:rFonts w:ascii="Times New Roman" w:hAnsi="Times New Roman" w:cs="Times New Roman"/>
          <w:sz w:val="22"/>
          <w:szCs w:val="22"/>
          <w:lang w:val="it-IT"/>
        </w:rPr>
        <w:t>Basato sull’analisi a ranghi</w:t>
      </w:r>
    </w:p>
    <w:p w:rsidR="003D5842" w:rsidRPr="00295E71" w:rsidP="003D5842" w14:paraId="72399AA8" w14:textId="77777777">
      <w:pPr>
        <w:pStyle w:val="In-textfootnote"/>
        <w:keepNext w:val="0"/>
        <w:spacing w:line="240" w:lineRule="auto"/>
        <w:jc w:val="both"/>
        <w:rPr>
          <w:rFonts w:ascii="Times New Roman" w:hAnsi="Times New Roman" w:cs="Times New Roman"/>
          <w:sz w:val="22"/>
          <w:szCs w:val="22"/>
          <w:lang w:val="it-IT"/>
        </w:rPr>
      </w:pPr>
      <w:r w:rsidRPr="00295E71">
        <w:rPr>
          <w:rFonts w:ascii="Times New Roman" w:hAnsi="Times New Roman" w:cs="Times New Roman"/>
          <w:sz w:val="22"/>
          <w:szCs w:val="22"/>
          <w:vertAlign w:val="superscript"/>
          <w:lang w:val="it-IT"/>
        </w:rPr>
        <w:t>d</w:t>
      </w:r>
      <w:r w:rsidRPr="00295E71">
        <w:rPr>
          <w:rFonts w:ascii="Times New Roman" w:hAnsi="Times New Roman" w:cs="Times New Roman"/>
          <w:sz w:val="22"/>
          <w:szCs w:val="22"/>
          <w:lang w:val="it-IT"/>
        </w:rPr>
        <w:t>Joint Space Narrowing (riduzione della rima articolare)</w:t>
      </w:r>
    </w:p>
    <w:p w:rsidR="003D5842" w:rsidRPr="00295E71" w:rsidP="003D5842" w14:paraId="26EF1425" w14:textId="77777777">
      <w:pPr>
        <w:tabs>
          <w:tab w:val="left" w:pos="567"/>
        </w:tabs>
        <w:jc w:val="both"/>
        <w:rPr>
          <w:sz w:val="22"/>
          <w:szCs w:val="22"/>
        </w:rPr>
      </w:pPr>
    </w:p>
    <w:p w:rsidR="003D5842" w:rsidRPr="00295E71" w:rsidP="003D5842" w14:paraId="3CE4A5AF" w14:textId="77777777">
      <w:pPr>
        <w:tabs>
          <w:tab w:val="left" w:pos="567"/>
        </w:tabs>
        <w:jc w:val="both"/>
        <w:rPr>
          <w:sz w:val="22"/>
          <w:szCs w:val="22"/>
        </w:rPr>
      </w:pPr>
      <w:r w:rsidRPr="00295E71">
        <w:rPr>
          <w:sz w:val="22"/>
          <w:szCs w:val="22"/>
        </w:rPr>
        <w:t xml:space="preserve">Nello studio AR V, il danno articolare strutturale è stato valutato radiograficamente ed è espresso in termini di variazione dell’Indice Totale di Sharp modificato (vedere Tabella </w:t>
      </w:r>
      <w:r w:rsidR="00800CE0">
        <w:rPr>
          <w:sz w:val="22"/>
          <w:szCs w:val="22"/>
        </w:rPr>
        <w:t>8</w:t>
      </w:r>
      <w:r w:rsidRPr="00295E71">
        <w:rPr>
          <w:sz w:val="22"/>
          <w:szCs w:val="22"/>
        </w:rPr>
        <w:t>).</w:t>
      </w:r>
    </w:p>
    <w:p w:rsidR="003D5842" w:rsidRPr="00295E71" w:rsidP="003D5842" w14:paraId="2AB5070A" w14:textId="77777777">
      <w:pPr>
        <w:tabs>
          <w:tab w:val="left" w:pos="567"/>
        </w:tabs>
        <w:jc w:val="both"/>
        <w:rPr>
          <w:sz w:val="22"/>
          <w:szCs w:val="22"/>
        </w:rPr>
      </w:pPr>
    </w:p>
    <w:tbl>
      <w:tblPr>
        <w:tblW w:w="8910" w:type="dxa"/>
        <w:tblInd w:w="108" w:type="dxa"/>
        <w:tblLayout w:type="fixed"/>
        <w:tblLook w:val="0000"/>
      </w:tblPr>
      <w:tblGrid>
        <w:gridCol w:w="1430"/>
        <w:gridCol w:w="1540"/>
        <w:gridCol w:w="1482"/>
        <w:gridCol w:w="1488"/>
        <w:gridCol w:w="990"/>
        <w:gridCol w:w="990"/>
        <w:gridCol w:w="990"/>
      </w:tblGrid>
      <w:tr w14:paraId="6D210139" w14:textId="77777777" w:rsidTr="003D5842">
        <w:tblPrEx>
          <w:tblW w:w="8910" w:type="dxa"/>
          <w:tblInd w:w="108" w:type="dxa"/>
          <w:tblLayout w:type="fixed"/>
          <w:tblLook w:val="0000"/>
        </w:tblPrEx>
        <w:trPr>
          <w:cantSplit/>
        </w:trPr>
        <w:tc>
          <w:tcPr>
            <w:tcW w:w="8910" w:type="dxa"/>
            <w:gridSpan w:val="7"/>
            <w:tcBorders>
              <w:bottom w:val="single" w:sz="4" w:space="0" w:color="auto"/>
            </w:tcBorders>
          </w:tcPr>
          <w:p w:rsidR="003D5842" w:rsidRPr="00295E71" w:rsidP="00F57FE5" w14:paraId="7DDBC3A6" w14:textId="77777777">
            <w:pPr>
              <w:pStyle w:val="Heading5"/>
              <w:keepLines/>
              <w:rPr>
                <w:lang w:val="it-IT"/>
              </w:rPr>
            </w:pPr>
            <w:r w:rsidRPr="00295E71">
              <w:rPr>
                <w:lang w:val="it-IT"/>
              </w:rPr>
              <w:br w:type="page"/>
              <w:t xml:space="preserve">Tabella </w:t>
            </w:r>
            <w:r w:rsidR="00800CE0">
              <w:rPr>
                <w:lang w:val="it-IT"/>
              </w:rPr>
              <w:t>8</w:t>
            </w:r>
          </w:p>
          <w:p w:rsidR="003D5842" w:rsidRPr="00295E71" w:rsidP="00F57FE5" w14:paraId="72EDC045" w14:textId="77777777">
            <w:pPr>
              <w:pStyle w:val="Heading5"/>
              <w:keepLines/>
              <w:rPr>
                <w:lang w:val="it-IT"/>
              </w:rPr>
            </w:pPr>
            <w:r w:rsidRPr="00295E71">
              <w:rPr>
                <w:lang w:val="it-IT"/>
              </w:rPr>
              <w:t>Variazioni radiografiche medie alla settimana 52 nello studio AR V</w:t>
            </w:r>
          </w:p>
          <w:p w:rsidR="003D5842" w:rsidRPr="00295E71" w:rsidP="00F57FE5" w14:paraId="25F618C5" w14:textId="77777777">
            <w:pPr>
              <w:keepNext/>
              <w:keepLines/>
              <w:rPr>
                <w:sz w:val="22"/>
                <w:szCs w:val="22"/>
              </w:rPr>
            </w:pPr>
          </w:p>
        </w:tc>
      </w:tr>
      <w:tr w14:paraId="4971C9E5" w14:textId="77777777" w:rsidTr="003D5842">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vAlign w:val="center"/>
          </w:tcPr>
          <w:p w:rsidR="003D5842" w:rsidRPr="00295E71" w:rsidP="00F57FE5" w14:paraId="2638E8BC" w14:textId="77777777">
            <w:pPr>
              <w:pStyle w:val="EndnoteText"/>
              <w:keepNext/>
              <w:keepLines/>
              <w:tabs>
                <w:tab w:val="clear" w:pos="567"/>
              </w:tabs>
              <w:rPr>
                <w:lang w:val="it-IT" w:eastAsia="it-IT"/>
              </w:rPr>
            </w:pPr>
          </w:p>
        </w:tc>
        <w:tc>
          <w:tcPr>
            <w:tcW w:w="1540" w:type="dxa"/>
            <w:tcBorders>
              <w:top w:val="single" w:sz="4" w:space="0" w:color="auto"/>
              <w:left w:val="single" w:sz="4" w:space="0" w:color="auto"/>
              <w:bottom w:val="single" w:sz="4" w:space="0" w:color="auto"/>
              <w:right w:val="single" w:sz="4" w:space="0" w:color="auto"/>
            </w:tcBorders>
            <w:vAlign w:val="center"/>
          </w:tcPr>
          <w:p w:rsidR="003D5842" w:rsidRPr="00295E71" w:rsidP="00F57FE5" w14:paraId="7045460B" w14:textId="77777777">
            <w:pPr>
              <w:keepNext/>
              <w:keepLines/>
              <w:jc w:val="center"/>
              <w:rPr>
                <w:sz w:val="22"/>
                <w:szCs w:val="22"/>
              </w:rPr>
            </w:pPr>
            <w:r w:rsidRPr="00295E71">
              <w:rPr>
                <w:sz w:val="22"/>
                <w:szCs w:val="22"/>
              </w:rPr>
              <w:t>MTX</w:t>
            </w:r>
          </w:p>
          <w:p w:rsidR="003D5842" w:rsidRPr="00295E71" w:rsidP="00F57FE5" w14:paraId="2C9CF45B" w14:textId="77777777">
            <w:pPr>
              <w:keepNext/>
              <w:keepLines/>
              <w:jc w:val="center"/>
              <w:rPr>
                <w:sz w:val="22"/>
                <w:szCs w:val="22"/>
              </w:rPr>
            </w:pPr>
            <w:r w:rsidRPr="00295E71">
              <w:rPr>
                <w:sz w:val="22"/>
                <w:szCs w:val="22"/>
              </w:rPr>
              <w:t>n=257</w:t>
            </w:r>
          </w:p>
          <w:p w:rsidR="003D5842" w:rsidRPr="00295E71" w:rsidP="00F57FE5" w14:paraId="1C571151" w14:textId="77777777">
            <w:pPr>
              <w:keepNext/>
              <w:keepLines/>
              <w:jc w:val="center"/>
              <w:rPr>
                <w:sz w:val="22"/>
                <w:szCs w:val="22"/>
              </w:rPr>
            </w:pPr>
            <w:r w:rsidRPr="00295E71">
              <w:rPr>
                <w:sz w:val="22"/>
                <w:szCs w:val="22"/>
              </w:rPr>
              <w:t>(95% intervallo di confidenza)</w:t>
            </w:r>
          </w:p>
        </w:tc>
        <w:tc>
          <w:tcPr>
            <w:tcW w:w="1482" w:type="dxa"/>
            <w:tcBorders>
              <w:top w:val="single" w:sz="4" w:space="0" w:color="auto"/>
              <w:left w:val="single" w:sz="4" w:space="0" w:color="auto"/>
              <w:bottom w:val="single" w:sz="4" w:space="0" w:color="auto"/>
              <w:right w:val="single" w:sz="4" w:space="0" w:color="auto"/>
            </w:tcBorders>
            <w:vAlign w:val="center"/>
          </w:tcPr>
          <w:p w:rsidR="003D5842" w:rsidRPr="00295E71" w:rsidP="00F57FE5" w14:paraId="53400420" w14:textId="77777777">
            <w:pPr>
              <w:keepNext/>
              <w:keepLines/>
              <w:jc w:val="center"/>
              <w:rPr>
                <w:sz w:val="22"/>
                <w:szCs w:val="22"/>
              </w:rPr>
            </w:pPr>
            <w:r w:rsidRPr="00295E71">
              <w:rPr>
                <w:sz w:val="22"/>
                <w:szCs w:val="22"/>
              </w:rPr>
              <w:t>Humira</w:t>
            </w:r>
          </w:p>
          <w:p w:rsidR="003D5842" w:rsidRPr="00295E71" w:rsidP="00F57FE5" w14:paraId="59EB2633" w14:textId="77777777">
            <w:pPr>
              <w:pStyle w:val="EMEAFigureTitle"/>
              <w:keepNext/>
              <w:keepLines/>
              <w:jc w:val="center"/>
              <w:rPr>
                <w:lang w:val="it-IT"/>
              </w:rPr>
            </w:pPr>
            <w:r w:rsidRPr="00295E71">
              <w:rPr>
                <w:lang w:val="it-IT"/>
              </w:rPr>
              <w:t>n=274</w:t>
            </w:r>
          </w:p>
          <w:p w:rsidR="003D5842" w:rsidRPr="00295E71" w:rsidP="00F57FE5" w14:paraId="2D2565EB" w14:textId="77777777">
            <w:pPr>
              <w:keepNext/>
              <w:keepLines/>
              <w:jc w:val="center"/>
              <w:rPr>
                <w:sz w:val="22"/>
                <w:szCs w:val="22"/>
              </w:rPr>
            </w:pPr>
            <w:r w:rsidRPr="00295E71">
              <w:rPr>
                <w:sz w:val="22"/>
                <w:szCs w:val="22"/>
              </w:rPr>
              <w:t>(95% intervallo di confidenza)</w:t>
            </w:r>
          </w:p>
        </w:tc>
        <w:tc>
          <w:tcPr>
            <w:tcW w:w="1488" w:type="dxa"/>
            <w:tcBorders>
              <w:top w:val="single" w:sz="4" w:space="0" w:color="auto"/>
              <w:left w:val="single" w:sz="4" w:space="0" w:color="auto"/>
              <w:bottom w:val="single" w:sz="4" w:space="0" w:color="auto"/>
              <w:right w:val="single" w:sz="4" w:space="0" w:color="auto"/>
            </w:tcBorders>
            <w:vAlign w:val="center"/>
          </w:tcPr>
          <w:p w:rsidR="003D5842" w:rsidRPr="00295E71" w:rsidP="00F57FE5" w14:paraId="0EC3B7B9" w14:textId="77777777">
            <w:pPr>
              <w:keepNext/>
              <w:keepLines/>
              <w:jc w:val="center"/>
              <w:rPr>
                <w:sz w:val="22"/>
                <w:szCs w:val="22"/>
              </w:rPr>
            </w:pPr>
            <w:r w:rsidRPr="00295E71">
              <w:rPr>
                <w:sz w:val="22"/>
                <w:szCs w:val="22"/>
              </w:rPr>
              <w:t>Humira/MTX</w:t>
            </w:r>
          </w:p>
          <w:p w:rsidR="003D5842" w:rsidRPr="00295E71" w:rsidP="00F57FE5" w14:paraId="056BF566" w14:textId="77777777">
            <w:pPr>
              <w:pStyle w:val="EMEAFigureTitle"/>
              <w:keepNext/>
              <w:keepLines/>
              <w:jc w:val="center"/>
              <w:rPr>
                <w:lang w:val="it-IT"/>
              </w:rPr>
            </w:pPr>
            <w:r w:rsidRPr="00295E71">
              <w:rPr>
                <w:lang w:val="it-IT"/>
              </w:rPr>
              <w:t>n=268</w:t>
            </w:r>
          </w:p>
          <w:p w:rsidR="003D5842" w:rsidRPr="00295E71" w:rsidP="00F57FE5" w14:paraId="19B1FE95" w14:textId="77777777">
            <w:pPr>
              <w:pStyle w:val="EMEANormal"/>
              <w:keepNext/>
              <w:keepLines/>
              <w:jc w:val="center"/>
              <w:rPr>
                <w:lang w:val="it-IT"/>
              </w:rPr>
            </w:pPr>
            <w:r w:rsidRPr="00295E71">
              <w:rPr>
                <w:lang w:val="it-IT"/>
              </w:rPr>
              <w:t>(95% intervallo di confidenza)</w:t>
            </w:r>
          </w:p>
        </w:tc>
        <w:tc>
          <w:tcPr>
            <w:tcW w:w="990" w:type="dxa"/>
            <w:tcBorders>
              <w:top w:val="single" w:sz="4" w:space="0" w:color="auto"/>
              <w:left w:val="single" w:sz="4" w:space="0" w:color="auto"/>
              <w:bottom w:val="single" w:sz="4" w:space="0" w:color="auto"/>
              <w:right w:val="single" w:sz="4" w:space="0" w:color="auto"/>
            </w:tcBorders>
            <w:vAlign w:val="center"/>
          </w:tcPr>
          <w:p w:rsidR="003D5842" w:rsidRPr="00295E71" w:rsidP="00F57FE5" w14:paraId="5C805A44" w14:textId="77777777">
            <w:pPr>
              <w:pStyle w:val="EMEANormal"/>
              <w:keepNext/>
              <w:keepLines/>
              <w:jc w:val="center"/>
              <w:rPr>
                <w:lang w:val="it-IT"/>
              </w:rPr>
            </w:pPr>
            <w:r w:rsidRPr="00295E71">
              <w:rPr>
                <w:lang w:val="it-IT"/>
              </w:rPr>
              <w:t>Valore p</w:t>
            </w:r>
            <w:r w:rsidRPr="00295E71">
              <w:rPr>
                <w:vertAlign w:val="superscript"/>
                <w:lang w:val="it-IT"/>
              </w:rPr>
              <w:t>a</w:t>
            </w:r>
          </w:p>
        </w:tc>
        <w:tc>
          <w:tcPr>
            <w:tcW w:w="990" w:type="dxa"/>
            <w:tcBorders>
              <w:top w:val="single" w:sz="4" w:space="0" w:color="auto"/>
              <w:left w:val="single" w:sz="4" w:space="0" w:color="auto"/>
              <w:bottom w:val="single" w:sz="4" w:space="0" w:color="auto"/>
              <w:right w:val="single" w:sz="4" w:space="0" w:color="auto"/>
            </w:tcBorders>
            <w:vAlign w:val="center"/>
          </w:tcPr>
          <w:p w:rsidR="003D5842" w:rsidRPr="00295E71" w:rsidP="00F57FE5" w14:paraId="4313CF20" w14:textId="77777777">
            <w:pPr>
              <w:keepNext/>
              <w:keepLines/>
              <w:jc w:val="center"/>
              <w:rPr>
                <w:sz w:val="22"/>
                <w:szCs w:val="22"/>
              </w:rPr>
            </w:pPr>
            <w:r w:rsidRPr="00295E71">
              <w:rPr>
                <w:sz w:val="22"/>
                <w:szCs w:val="22"/>
              </w:rPr>
              <w:t>Valore p</w:t>
            </w:r>
            <w:r w:rsidRPr="00295E71">
              <w:rPr>
                <w:sz w:val="22"/>
                <w:szCs w:val="22"/>
                <w:vertAlign w:val="superscript"/>
              </w:rPr>
              <w:t>b</w:t>
            </w:r>
          </w:p>
        </w:tc>
        <w:tc>
          <w:tcPr>
            <w:tcW w:w="990" w:type="dxa"/>
            <w:tcBorders>
              <w:top w:val="single" w:sz="4" w:space="0" w:color="auto"/>
              <w:left w:val="single" w:sz="4" w:space="0" w:color="auto"/>
              <w:bottom w:val="single" w:sz="4" w:space="0" w:color="auto"/>
              <w:right w:val="single" w:sz="4" w:space="0" w:color="auto"/>
            </w:tcBorders>
            <w:vAlign w:val="center"/>
          </w:tcPr>
          <w:p w:rsidR="003D5842" w:rsidRPr="00295E71" w:rsidP="00F57FE5" w14:paraId="69FDD218" w14:textId="77777777">
            <w:pPr>
              <w:keepNext/>
              <w:keepLines/>
              <w:jc w:val="center"/>
              <w:rPr>
                <w:sz w:val="22"/>
                <w:szCs w:val="22"/>
              </w:rPr>
            </w:pPr>
            <w:r w:rsidRPr="00295E71">
              <w:rPr>
                <w:sz w:val="22"/>
                <w:szCs w:val="22"/>
              </w:rPr>
              <w:t>Valore p</w:t>
            </w:r>
            <w:r w:rsidRPr="00295E71">
              <w:rPr>
                <w:sz w:val="22"/>
                <w:szCs w:val="22"/>
                <w:vertAlign w:val="superscript"/>
              </w:rPr>
              <w:t>c</w:t>
            </w:r>
          </w:p>
        </w:tc>
      </w:tr>
      <w:tr w14:paraId="64F9CA5F" w14:textId="77777777" w:rsidTr="003D5842">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tcPr>
          <w:p w:rsidR="003D5842" w:rsidRPr="00295E71" w:rsidP="00F57FE5" w14:paraId="2D5B349A" w14:textId="77777777">
            <w:pPr>
              <w:pStyle w:val="EMEAFigureTitle"/>
              <w:keepNext/>
              <w:keepLines/>
              <w:jc w:val="center"/>
              <w:rPr>
                <w:lang w:val="it-IT"/>
              </w:rPr>
            </w:pPr>
            <w:r w:rsidRPr="00295E71">
              <w:rPr>
                <w:lang w:val="it-IT"/>
              </w:rPr>
              <w:t>Indice Totale di Sharp</w:t>
            </w:r>
          </w:p>
        </w:tc>
        <w:tc>
          <w:tcPr>
            <w:tcW w:w="1540" w:type="dxa"/>
            <w:tcBorders>
              <w:top w:val="single" w:sz="4" w:space="0" w:color="auto"/>
              <w:left w:val="single" w:sz="4" w:space="0" w:color="auto"/>
              <w:bottom w:val="single" w:sz="4" w:space="0" w:color="auto"/>
              <w:right w:val="single" w:sz="4" w:space="0" w:color="auto"/>
            </w:tcBorders>
          </w:tcPr>
          <w:p w:rsidR="003D5842" w:rsidRPr="00295E71" w:rsidP="00F57FE5" w14:paraId="1EFDCCB1" w14:textId="77777777">
            <w:pPr>
              <w:keepNext/>
              <w:keepLines/>
              <w:jc w:val="center"/>
              <w:rPr>
                <w:sz w:val="22"/>
                <w:szCs w:val="22"/>
              </w:rPr>
            </w:pPr>
            <w:r w:rsidRPr="00295E71">
              <w:rPr>
                <w:sz w:val="22"/>
                <w:szCs w:val="22"/>
              </w:rPr>
              <w:t>5,7 (4,2-7,3)</w:t>
            </w:r>
          </w:p>
        </w:tc>
        <w:tc>
          <w:tcPr>
            <w:tcW w:w="1482" w:type="dxa"/>
            <w:tcBorders>
              <w:top w:val="single" w:sz="4" w:space="0" w:color="auto"/>
              <w:left w:val="single" w:sz="4" w:space="0" w:color="auto"/>
              <w:bottom w:val="single" w:sz="4" w:space="0" w:color="auto"/>
              <w:right w:val="single" w:sz="4" w:space="0" w:color="auto"/>
            </w:tcBorders>
          </w:tcPr>
          <w:p w:rsidR="003D5842" w:rsidRPr="00295E71" w:rsidP="00F57FE5" w14:paraId="09A2667D" w14:textId="77777777">
            <w:pPr>
              <w:pStyle w:val="EndnoteText"/>
              <w:keepNext/>
              <w:keepLines/>
              <w:jc w:val="center"/>
              <w:rPr>
                <w:lang w:val="it-IT"/>
              </w:rPr>
            </w:pPr>
            <w:r w:rsidRPr="00295E71">
              <w:rPr>
                <w:lang w:val="it-IT"/>
              </w:rPr>
              <w:t>3,0 (1,7-4,3)</w:t>
            </w:r>
          </w:p>
        </w:tc>
        <w:tc>
          <w:tcPr>
            <w:tcW w:w="1488" w:type="dxa"/>
            <w:tcBorders>
              <w:top w:val="single" w:sz="4" w:space="0" w:color="auto"/>
              <w:left w:val="single" w:sz="4" w:space="0" w:color="auto"/>
              <w:bottom w:val="single" w:sz="4" w:space="0" w:color="auto"/>
              <w:right w:val="single" w:sz="4" w:space="0" w:color="auto"/>
            </w:tcBorders>
          </w:tcPr>
          <w:p w:rsidR="003D5842" w:rsidRPr="00295E71" w:rsidP="00F57FE5" w14:paraId="36428820" w14:textId="77777777">
            <w:pPr>
              <w:pStyle w:val="EndnoteText"/>
              <w:keepNext/>
              <w:keepLines/>
              <w:jc w:val="center"/>
              <w:rPr>
                <w:lang w:val="it-IT"/>
              </w:rPr>
            </w:pPr>
            <w:r w:rsidRPr="00295E71">
              <w:rPr>
                <w:lang w:val="it-IT"/>
              </w:rPr>
              <w:t>1,3 (0,5-2,1)</w:t>
            </w:r>
          </w:p>
        </w:tc>
        <w:tc>
          <w:tcPr>
            <w:tcW w:w="990" w:type="dxa"/>
            <w:tcBorders>
              <w:top w:val="single" w:sz="4" w:space="0" w:color="auto"/>
              <w:left w:val="single" w:sz="4" w:space="0" w:color="auto"/>
              <w:bottom w:val="single" w:sz="4" w:space="0" w:color="auto"/>
              <w:right w:val="single" w:sz="4" w:space="0" w:color="auto"/>
            </w:tcBorders>
          </w:tcPr>
          <w:p w:rsidR="003D5842" w:rsidRPr="00295E71" w:rsidP="00F57FE5" w14:paraId="316D0EBD" w14:textId="77777777">
            <w:pPr>
              <w:pStyle w:val="EndnoteText"/>
              <w:keepNext/>
              <w:keepLines/>
              <w:jc w:val="center"/>
              <w:rPr>
                <w:lang w:val="it-IT"/>
              </w:rPr>
            </w:pPr>
            <w:r w:rsidRPr="00295E71">
              <w:rPr>
                <w:lang w:val="it-IT"/>
              </w:rPr>
              <w:t>&lt;0,001</w:t>
            </w:r>
          </w:p>
        </w:tc>
        <w:tc>
          <w:tcPr>
            <w:tcW w:w="990" w:type="dxa"/>
            <w:tcBorders>
              <w:top w:val="single" w:sz="4" w:space="0" w:color="auto"/>
              <w:left w:val="single" w:sz="4" w:space="0" w:color="auto"/>
              <w:bottom w:val="single" w:sz="4" w:space="0" w:color="auto"/>
              <w:right w:val="single" w:sz="4" w:space="0" w:color="auto"/>
            </w:tcBorders>
          </w:tcPr>
          <w:p w:rsidR="003D5842" w:rsidRPr="00295E71" w:rsidP="00F57FE5" w14:paraId="3FDB3DB4" w14:textId="77777777">
            <w:pPr>
              <w:keepNext/>
              <w:keepLines/>
              <w:jc w:val="center"/>
              <w:rPr>
                <w:sz w:val="22"/>
                <w:szCs w:val="22"/>
              </w:rPr>
            </w:pPr>
            <w:r w:rsidRPr="00295E71">
              <w:rPr>
                <w:sz w:val="22"/>
                <w:szCs w:val="22"/>
              </w:rPr>
              <w:t>0,0020</w:t>
            </w:r>
          </w:p>
        </w:tc>
        <w:tc>
          <w:tcPr>
            <w:tcW w:w="990" w:type="dxa"/>
            <w:tcBorders>
              <w:top w:val="single" w:sz="4" w:space="0" w:color="auto"/>
              <w:left w:val="single" w:sz="4" w:space="0" w:color="auto"/>
              <w:bottom w:val="single" w:sz="4" w:space="0" w:color="auto"/>
              <w:right w:val="single" w:sz="4" w:space="0" w:color="auto"/>
            </w:tcBorders>
          </w:tcPr>
          <w:p w:rsidR="003D5842" w:rsidRPr="00295E71" w:rsidP="00F57FE5" w14:paraId="58DB0273" w14:textId="77777777">
            <w:pPr>
              <w:keepNext/>
              <w:keepLines/>
              <w:jc w:val="center"/>
              <w:rPr>
                <w:sz w:val="22"/>
                <w:szCs w:val="22"/>
              </w:rPr>
            </w:pPr>
            <w:r w:rsidRPr="00295E71">
              <w:rPr>
                <w:sz w:val="22"/>
                <w:szCs w:val="22"/>
              </w:rPr>
              <w:t>&lt;0,001</w:t>
            </w:r>
          </w:p>
        </w:tc>
      </w:tr>
      <w:tr w14:paraId="5CDAD0F1" w14:textId="77777777" w:rsidTr="003D5842">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tcPr>
          <w:p w:rsidR="003D5842" w:rsidRPr="00295E71" w:rsidP="00F57FE5" w14:paraId="5DD57B1F" w14:textId="77777777">
            <w:pPr>
              <w:keepNext/>
              <w:keepLines/>
              <w:jc w:val="center"/>
              <w:rPr>
                <w:sz w:val="22"/>
                <w:szCs w:val="22"/>
              </w:rPr>
            </w:pPr>
            <w:r w:rsidRPr="00295E71">
              <w:rPr>
                <w:sz w:val="22"/>
                <w:szCs w:val="22"/>
              </w:rPr>
              <w:t>Indice di erosione</w:t>
            </w:r>
          </w:p>
        </w:tc>
        <w:tc>
          <w:tcPr>
            <w:tcW w:w="1540" w:type="dxa"/>
            <w:tcBorders>
              <w:top w:val="single" w:sz="4" w:space="0" w:color="auto"/>
              <w:left w:val="single" w:sz="4" w:space="0" w:color="auto"/>
              <w:bottom w:val="single" w:sz="4" w:space="0" w:color="auto"/>
              <w:right w:val="single" w:sz="4" w:space="0" w:color="auto"/>
            </w:tcBorders>
          </w:tcPr>
          <w:p w:rsidR="003D5842" w:rsidRPr="00295E71" w:rsidP="00F57FE5" w14:paraId="61E14195" w14:textId="77777777">
            <w:pPr>
              <w:keepNext/>
              <w:keepLines/>
              <w:jc w:val="center"/>
              <w:rPr>
                <w:sz w:val="22"/>
                <w:szCs w:val="22"/>
              </w:rPr>
            </w:pPr>
            <w:r w:rsidRPr="00295E71">
              <w:rPr>
                <w:sz w:val="22"/>
                <w:szCs w:val="22"/>
              </w:rPr>
              <w:t>3,7 (2,7-4,7)</w:t>
            </w:r>
          </w:p>
        </w:tc>
        <w:tc>
          <w:tcPr>
            <w:tcW w:w="1482" w:type="dxa"/>
            <w:tcBorders>
              <w:top w:val="single" w:sz="4" w:space="0" w:color="auto"/>
              <w:left w:val="single" w:sz="4" w:space="0" w:color="auto"/>
              <w:bottom w:val="single" w:sz="4" w:space="0" w:color="auto"/>
              <w:right w:val="single" w:sz="4" w:space="0" w:color="auto"/>
            </w:tcBorders>
          </w:tcPr>
          <w:p w:rsidR="003D5842" w:rsidRPr="00295E71" w:rsidP="00F57FE5" w14:paraId="199DCB7F" w14:textId="77777777">
            <w:pPr>
              <w:keepNext/>
              <w:keepLines/>
              <w:jc w:val="center"/>
              <w:rPr>
                <w:sz w:val="22"/>
                <w:szCs w:val="22"/>
              </w:rPr>
            </w:pPr>
            <w:r w:rsidRPr="00295E71">
              <w:rPr>
                <w:sz w:val="22"/>
                <w:szCs w:val="22"/>
              </w:rPr>
              <w:t>1,7 (1,0-2,4)</w:t>
            </w:r>
          </w:p>
        </w:tc>
        <w:tc>
          <w:tcPr>
            <w:tcW w:w="1488" w:type="dxa"/>
            <w:tcBorders>
              <w:top w:val="single" w:sz="4" w:space="0" w:color="auto"/>
              <w:left w:val="single" w:sz="4" w:space="0" w:color="auto"/>
              <w:bottom w:val="single" w:sz="4" w:space="0" w:color="auto"/>
              <w:right w:val="single" w:sz="4" w:space="0" w:color="auto"/>
            </w:tcBorders>
          </w:tcPr>
          <w:p w:rsidR="003D5842" w:rsidRPr="00295E71" w:rsidP="00F57FE5" w14:paraId="55947CDC" w14:textId="77777777">
            <w:pPr>
              <w:keepNext/>
              <w:keepLines/>
              <w:jc w:val="center"/>
              <w:rPr>
                <w:sz w:val="22"/>
                <w:szCs w:val="22"/>
              </w:rPr>
            </w:pPr>
            <w:r w:rsidRPr="00295E71">
              <w:rPr>
                <w:sz w:val="22"/>
                <w:szCs w:val="22"/>
              </w:rPr>
              <w:t>0,8 (0,4-1,2)</w:t>
            </w:r>
          </w:p>
        </w:tc>
        <w:tc>
          <w:tcPr>
            <w:tcW w:w="990" w:type="dxa"/>
            <w:tcBorders>
              <w:top w:val="single" w:sz="4" w:space="0" w:color="auto"/>
              <w:left w:val="single" w:sz="4" w:space="0" w:color="auto"/>
              <w:bottom w:val="single" w:sz="4" w:space="0" w:color="auto"/>
              <w:right w:val="single" w:sz="4" w:space="0" w:color="auto"/>
            </w:tcBorders>
          </w:tcPr>
          <w:p w:rsidR="003D5842" w:rsidRPr="00295E71" w:rsidP="00F57FE5" w14:paraId="3C86E6D4" w14:textId="77777777">
            <w:pPr>
              <w:keepNext/>
              <w:keepLines/>
              <w:jc w:val="center"/>
              <w:rPr>
                <w:sz w:val="22"/>
                <w:szCs w:val="22"/>
              </w:rPr>
            </w:pPr>
            <w:r w:rsidRPr="00295E71">
              <w:rPr>
                <w:sz w:val="22"/>
                <w:szCs w:val="22"/>
              </w:rPr>
              <w:t>&lt;0,001</w:t>
            </w:r>
          </w:p>
        </w:tc>
        <w:tc>
          <w:tcPr>
            <w:tcW w:w="990" w:type="dxa"/>
            <w:tcBorders>
              <w:top w:val="single" w:sz="4" w:space="0" w:color="auto"/>
              <w:left w:val="single" w:sz="4" w:space="0" w:color="auto"/>
              <w:bottom w:val="single" w:sz="4" w:space="0" w:color="auto"/>
              <w:right w:val="single" w:sz="4" w:space="0" w:color="auto"/>
            </w:tcBorders>
          </w:tcPr>
          <w:p w:rsidR="003D5842" w:rsidRPr="00295E71" w:rsidP="00F57FE5" w14:paraId="1E5223DE" w14:textId="77777777">
            <w:pPr>
              <w:keepNext/>
              <w:keepLines/>
              <w:jc w:val="center"/>
              <w:rPr>
                <w:sz w:val="22"/>
                <w:szCs w:val="22"/>
              </w:rPr>
            </w:pPr>
            <w:r w:rsidRPr="00295E71">
              <w:rPr>
                <w:sz w:val="22"/>
                <w:szCs w:val="22"/>
              </w:rPr>
              <w:t>0,0082</w:t>
            </w:r>
          </w:p>
        </w:tc>
        <w:tc>
          <w:tcPr>
            <w:tcW w:w="990" w:type="dxa"/>
            <w:tcBorders>
              <w:top w:val="single" w:sz="4" w:space="0" w:color="auto"/>
              <w:left w:val="single" w:sz="4" w:space="0" w:color="auto"/>
              <w:bottom w:val="single" w:sz="4" w:space="0" w:color="auto"/>
              <w:right w:val="single" w:sz="4" w:space="0" w:color="auto"/>
            </w:tcBorders>
          </w:tcPr>
          <w:p w:rsidR="003D5842" w:rsidRPr="00295E71" w:rsidP="00F57FE5" w14:paraId="5036AEC0" w14:textId="77777777">
            <w:pPr>
              <w:keepNext/>
              <w:keepLines/>
              <w:jc w:val="center"/>
              <w:rPr>
                <w:sz w:val="22"/>
                <w:szCs w:val="22"/>
              </w:rPr>
            </w:pPr>
            <w:r w:rsidRPr="00295E71">
              <w:rPr>
                <w:sz w:val="22"/>
                <w:szCs w:val="22"/>
              </w:rPr>
              <w:t>&lt;0,001</w:t>
            </w:r>
          </w:p>
        </w:tc>
      </w:tr>
      <w:tr w14:paraId="1F2E2921" w14:textId="77777777" w:rsidTr="003D5842">
        <w:tblPrEx>
          <w:tblW w:w="8910" w:type="dxa"/>
          <w:tblInd w:w="108" w:type="dxa"/>
          <w:tblLayout w:type="fixed"/>
          <w:tblLook w:val="0000"/>
        </w:tblPrEx>
        <w:tc>
          <w:tcPr>
            <w:tcW w:w="1430" w:type="dxa"/>
            <w:tcBorders>
              <w:top w:val="single" w:sz="4" w:space="0" w:color="auto"/>
              <w:left w:val="single" w:sz="4" w:space="0" w:color="auto"/>
              <w:bottom w:val="single" w:sz="4" w:space="0" w:color="auto"/>
              <w:right w:val="single" w:sz="4" w:space="0" w:color="auto"/>
            </w:tcBorders>
          </w:tcPr>
          <w:p w:rsidR="003D5842" w:rsidRPr="00295E71" w:rsidP="00F57FE5" w14:paraId="518E9B8B" w14:textId="77777777">
            <w:pPr>
              <w:keepNext/>
              <w:keepLines/>
              <w:jc w:val="center"/>
              <w:rPr>
                <w:sz w:val="22"/>
                <w:szCs w:val="22"/>
              </w:rPr>
            </w:pPr>
            <w:r w:rsidRPr="00295E71">
              <w:rPr>
                <w:sz w:val="22"/>
                <w:szCs w:val="22"/>
              </w:rPr>
              <w:t>Indice JSN</w:t>
            </w:r>
          </w:p>
        </w:tc>
        <w:tc>
          <w:tcPr>
            <w:tcW w:w="1540" w:type="dxa"/>
            <w:tcBorders>
              <w:top w:val="single" w:sz="4" w:space="0" w:color="auto"/>
              <w:left w:val="single" w:sz="4" w:space="0" w:color="auto"/>
              <w:bottom w:val="single" w:sz="4" w:space="0" w:color="auto"/>
              <w:right w:val="single" w:sz="4" w:space="0" w:color="auto"/>
            </w:tcBorders>
          </w:tcPr>
          <w:p w:rsidR="003D5842" w:rsidRPr="00295E71" w:rsidP="00F57FE5" w14:paraId="66F21636" w14:textId="77777777">
            <w:pPr>
              <w:keepNext/>
              <w:keepLines/>
              <w:jc w:val="center"/>
              <w:rPr>
                <w:sz w:val="22"/>
                <w:szCs w:val="22"/>
              </w:rPr>
            </w:pPr>
            <w:r w:rsidRPr="00295E71">
              <w:rPr>
                <w:sz w:val="22"/>
                <w:szCs w:val="22"/>
              </w:rPr>
              <w:t>2,0 (1,2-2,8)</w:t>
            </w:r>
          </w:p>
        </w:tc>
        <w:tc>
          <w:tcPr>
            <w:tcW w:w="1482" w:type="dxa"/>
            <w:tcBorders>
              <w:top w:val="single" w:sz="4" w:space="0" w:color="auto"/>
              <w:left w:val="single" w:sz="4" w:space="0" w:color="auto"/>
              <w:bottom w:val="single" w:sz="4" w:space="0" w:color="auto"/>
              <w:right w:val="single" w:sz="4" w:space="0" w:color="auto"/>
            </w:tcBorders>
          </w:tcPr>
          <w:p w:rsidR="003D5842" w:rsidRPr="00295E71" w:rsidP="00F57FE5" w14:paraId="704AF2FA" w14:textId="77777777">
            <w:pPr>
              <w:keepNext/>
              <w:keepLines/>
              <w:jc w:val="center"/>
              <w:rPr>
                <w:sz w:val="22"/>
                <w:szCs w:val="22"/>
              </w:rPr>
            </w:pPr>
            <w:r w:rsidRPr="00295E71">
              <w:rPr>
                <w:sz w:val="22"/>
                <w:szCs w:val="22"/>
              </w:rPr>
              <w:t>1,3 (0,5-2,1)</w:t>
            </w:r>
          </w:p>
        </w:tc>
        <w:tc>
          <w:tcPr>
            <w:tcW w:w="1488" w:type="dxa"/>
            <w:tcBorders>
              <w:top w:val="single" w:sz="4" w:space="0" w:color="auto"/>
              <w:left w:val="single" w:sz="4" w:space="0" w:color="auto"/>
              <w:bottom w:val="single" w:sz="4" w:space="0" w:color="auto"/>
              <w:right w:val="single" w:sz="4" w:space="0" w:color="auto"/>
            </w:tcBorders>
          </w:tcPr>
          <w:p w:rsidR="003D5842" w:rsidRPr="00295E71" w:rsidP="00F57FE5" w14:paraId="0658471A" w14:textId="77777777">
            <w:pPr>
              <w:keepNext/>
              <w:keepLines/>
              <w:jc w:val="center"/>
              <w:rPr>
                <w:sz w:val="22"/>
                <w:szCs w:val="22"/>
              </w:rPr>
            </w:pPr>
            <w:r w:rsidRPr="00295E71">
              <w:rPr>
                <w:sz w:val="22"/>
                <w:szCs w:val="22"/>
              </w:rPr>
              <w:t>0,5 (0-1,0)</w:t>
            </w:r>
          </w:p>
        </w:tc>
        <w:tc>
          <w:tcPr>
            <w:tcW w:w="990" w:type="dxa"/>
            <w:tcBorders>
              <w:top w:val="single" w:sz="4" w:space="0" w:color="auto"/>
              <w:left w:val="single" w:sz="4" w:space="0" w:color="auto"/>
              <w:bottom w:val="single" w:sz="4" w:space="0" w:color="auto"/>
              <w:right w:val="single" w:sz="4" w:space="0" w:color="auto"/>
            </w:tcBorders>
          </w:tcPr>
          <w:p w:rsidR="003D5842" w:rsidRPr="00295E71" w:rsidP="00F57FE5" w14:paraId="03AC61AD" w14:textId="77777777">
            <w:pPr>
              <w:keepNext/>
              <w:keepLines/>
              <w:jc w:val="center"/>
              <w:rPr>
                <w:sz w:val="22"/>
                <w:szCs w:val="22"/>
              </w:rPr>
            </w:pPr>
            <w:r w:rsidRPr="00295E71">
              <w:rPr>
                <w:sz w:val="22"/>
                <w:szCs w:val="22"/>
              </w:rPr>
              <w:t>&lt;0,001</w:t>
            </w:r>
          </w:p>
        </w:tc>
        <w:tc>
          <w:tcPr>
            <w:tcW w:w="990" w:type="dxa"/>
            <w:tcBorders>
              <w:top w:val="single" w:sz="4" w:space="0" w:color="auto"/>
              <w:left w:val="single" w:sz="4" w:space="0" w:color="auto"/>
              <w:bottom w:val="single" w:sz="4" w:space="0" w:color="auto"/>
              <w:right w:val="single" w:sz="4" w:space="0" w:color="auto"/>
            </w:tcBorders>
          </w:tcPr>
          <w:p w:rsidR="003D5842" w:rsidRPr="00295E71" w:rsidP="00F57FE5" w14:paraId="072BEA4A" w14:textId="77777777">
            <w:pPr>
              <w:keepNext/>
              <w:keepLines/>
              <w:jc w:val="center"/>
              <w:rPr>
                <w:sz w:val="22"/>
                <w:szCs w:val="22"/>
              </w:rPr>
            </w:pPr>
            <w:r w:rsidRPr="00295E71">
              <w:rPr>
                <w:sz w:val="22"/>
                <w:szCs w:val="22"/>
              </w:rPr>
              <w:t>0,0037</w:t>
            </w:r>
          </w:p>
        </w:tc>
        <w:tc>
          <w:tcPr>
            <w:tcW w:w="990" w:type="dxa"/>
            <w:tcBorders>
              <w:top w:val="single" w:sz="4" w:space="0" w:color="auto"/>
              <w:left w:val="single" w:sz="4" w:space="0" w:color="auto"/>
              <w:bottom w:val="single" w:sz="4" w:space="0" w:color="auto"/>
              <w:right w:val="single" w:sz="4" w:space="0" w:color="auto"/>
            </w:tcBorders>
          </w:tcPr>
          <w:p w:rsidR="003D5842" w:rsidRPr="00295E71" w:rsidP="00F57FE5" w14:paraId="3AC7D474" w14:textId="77777777">
            <w:pPr>
              <w:keepNext/>
              <w:keepLines/>
              <w:jc w:val="center"/>
              <w:rPr>
                <w:sz w:val="22"/>
                <w:szCs w:val="22"/>
              </w:rPr>
            </w:pPr>
            <w:r w:rsidRPr="00295E71">
              <w:rPr>
                <w:sz w:val="22"/>
                <w:szCs w:val="22"/>
              </w:rPr>
              <w:t>0,151</w:t>
            </w:r>
          </w:p>
        </w:tc>
      </w:tr>
      <w:tr w14:paraId="5013F012" w14:textId="77777777" w:rsidTr="003D5842">
        <w:tblPrEx>
          <w:tblW w:w="8910" w:type="dxa"/>
          <w:tblInd w:w="108" w:type="dxa"/>
          <w:tblLayout w:type="fixed"/>
          <w:tblLook w:val="0000"/>
        </w:tblPrEx>
        <w:trPr>
          <w:cantSplit/>
        </w:trPr>
        <w:tc>
          <w:tcPr>
            <w:tcW w:w="8910" w:type="dxa"/>
            <w:gridSpan w:val="7"/>
            <w:tcBorders>
              <w:top w:val="single" w:sz="4" w:space="0" w:color="auto"/>
            </w:tcBorders>
          </w:tcPr>
          <w:p w:rsidR="003D5842" w:rsidRPr="00295E71" w:rsidP="00F57FE5" w14:paraId="48EC994D" w14:textId="77777777">
            <w:pPr>
              <w:keepNext/>
              <w:keepLines/>
              <w:tabs>
                <w:tab w:val="left" w:pos="330"/>
                <w:tab w:val="left" w:pos="10728"/>
              </w:tabs>
              <w:ind w:left="360" w:hanging="360"/>
              <w:rPr>
                <w:sz w:val="22"/>
                <w:szCs w:val="22"/>
              </w:rPr>
            </w:pPr>
            <w:r w:rsidRPr="00295E71">
              <w:rPr>
                <w:sz w:val="22"/>
                <w:szCs w:val="22"/>
                <w:vertAlign w:val="superscript"/>
              </w:rPr>
              <w:t>a</w:t>
            </w:r>
            <w:r w:rsidRPr="00295E71">
              <w:rPr>
                <w:sz w:val="22"/>
                <w:szCs w:val="22"/>
              </w:rPr>
              <w:tab/>
              <w:t xml:space="preserve">il valore p è stato ottenuto confrontando a due a due la </w:t>
            </w:r>
            <w:r w:rsidRPr="00020442" w:rsidR="007409F8">
              <w:rPr>
                <w:sz w:val="22"/>
                <w:szCs w:val="22"/>
              </w:rPr>
              <w:t>mono</w:t>
            </w:r>
            <w:r w:rsidRPr="00295E71">
              <w:rPr>
                <w:sz w:val="22"/>
                <w:szCs w:val="22"/>
              </w:rPr>
              <w:t>terapia con metotressato e la terapia associata Humira/metotressato utilizzando il test U Mann-Whitney.</w:t>
            </w:r>
          </w:p>
          <w:p w:rsidR="003D5842" w:rsidRPr="00295E71" w:rsidP="00F57FE5" w14:paraId="37C1EF4C" w14:textId="77777777">
            <w:pPr>
              <w:pStyle w:val="BodyTextIndent"/>
              <w:keepNext/>
              <w:keepLines/>
              <w:autoSpaceDE/>
              <w:autoSpaceDN/>
              <w:adjustRightInd/>
              <w:ind w:left="330" w:hanging="330"/>
              <w:jc w:val="left"/>
              <w:rPr>
                <w:color w:val="auto"/>
              </w:rPr>
            </w:pPr>
            <w:r w:rsidRPr="00295E71">
              <w:rPr>
                <w:vertAlign w:val="superscript"/>
              </w:rPr>
              <w:t>b</w:t>
            </w:r>
            <w:r w:rsidRPr="00295E71">
              <w:rPr>
                <w:color w:val="auto"/>
              </w:rPr>
              <w:tab/>
              <w:t xml:space="preserve">il valore p è stato ottenuto confrontando a due a due la </w:t>
            </w:r>
            <w:r w:rsidRPr="00020442" w:rsidR="007409F8">
              <w:t>mono</w:t>
            </w:r>
            <w:r w:rsidRPr="00295E71">
              <w:rPr>
                <w:color w:val="auto"/>
              </w:rPr>
              <w:t>terapia con Humira e la terapia associata Humira/metotressato utilizzando il test U Mann-Whitney</w:t>
            </w:r>
          </w:p>
          <w:p w:rsidR="003D5842" w:rsidRPr="00295E71" w:rsidP="00F57FE5" w14:paraId="260605A9" w14:textId="77777777">
            <w:pPr>
              <w:keepNext/>
              <w:keepLines/>
              <w:tabs>
                <w:tab w:val="left" w:pos="330"/>
              </w:tabs>
              <w:ind w:left="360" w:hanging="360"/>
              <w:rPr>
                <w:sz w:val="22"/>
                <w:szCs w:val="22"/>
              </w:rPr>
            </w:pPr>
            <w:r w:rsidRPr="00295E71">
              <w:rPr>
                <w:sz w:val="22"/>
                <w:szCs w:val="22"/>
                <w:vertAlign w:val="superscript"/>
              </w:rPr>
              <w:t>c</w:t>
            </w:r>
            <w:r w:rsidRPr="00295E71" w:rsidR="006142E9">
              <w:tab/>
            </w:r>
            <w:r w:rsidRPr="00295E71">
              <w:rPr>
                <w:sz w:val="22"/>
                <w:szCs w:val="22"/>
              </w:rPr>
              <w:t xml:space="preserve">il valore p è stato ottenuto confrontando a due a due la </w:t>
            </w:r>
            <w:r w:rsidRPr="00020442" w:rsidR="007409F8">
              <w:rPr>
                <w:sz w:val="22"/>
                <w:szCs w:val="22"/>
              </w:rPr>
              <w:t>mono</w:t>
            </w:r>
            <w:r w:rsidRPr="00295E71">
              <w:rPr>
                <w:sz w:val="22"/>
                <w:szCs w:val="22"/>
              </w:rPr>
              <w:t xml:space="preserve">terapia con Humira e la </w:t>
            </w:r>
            <w:r w:rsidRPr="00020442" w:rsidR="007409F8">
              <w:rPr>
                <w:sz w:val="22"/>
                <w:szCs w:val="22"/>
              </w:rPr>
              <w:t>mono</w:t>
            </w:r>
            <w:r w:rsidRPr="00295E71">
              <w:rPr>
                <w:sz w:val="22"/>
                <w:szCs w:val="22"/>
              </w:rPr>
              <w:t>terapia con metotressato utilizzando il test U Mann-Whitney</w:t>
            </w:r>
          </w:p>
        </w:tc>
      </w:tr>
    </w:tbl>
    <w:p w:rsidR="003D5842" w:rsidRPr="00295E71" w:rsidP="003D5842" w14:paraId="27EDCDEA" w14:textId="77777777">
      <w:pPr>
        <w:tabs>
          <w:tab w:val="left" w:pos="567"/>
        </w:tabs>
        <w:rPr>
          <w:sz w:val="22"/>
          <w:szCs w:val="22"/>
        </w:rPr>
      </w:pPr>
    </w:p>
    <w:p w:rsidR="003D5842" w:rsidRPr="00295E71" w:rsidP="003D5842" w14:paraId="690148A5" w14:textId="77777777">
      <w:pPr>
        <w:pStyle w:val="Heading7"/>
        <w:keepNext w:val="0"/>
        <w:spacing w:line="240" w:lineRule="auto"/>
        <w:rPr>
          <w:i w:val="0"/>
          <w:iCs w:val="0"/>
          <w:lang w:val="it-IT"/>
        </w:rPr>
      </w:pPr>
      <w:r w:rsidRPr="00295E71">
        <w:rPr>
          <w:i w:val="0"/>
          <w:iCs w:val="0"/>
          <w:lang w:val="it-IT"/>
        </w:rPr>
        <w:t xml:space="preserve">Dopo 52 settimane e 104 settimane di trattamento, la percentuale di pazienti in cui non si è avuta progressione (variazione rispetto al valore basale dell’Indice Totale di Sharp modificato </w:t>
      </w:r>
      <w:r w:rsidRPr="00295E71">
        <w:rPr>
          <w:rFonts w:ascii="Symbol" w:hAnsi="Symbol"/>
          <w:i w:val="0"/>
          <w:lang w:val="it-IT"/>
        </w:rPr>
        <w:sym w:font="Symbol" w:char="F0A3"/>
      </w:r>
      <w:r w:rsidRPr="00295E71">
        <w:rPr>
          <w:i w:val="0"/>
          <w:iCs w:val="0"/>
          <w:lang w:val="it-IT"/>
        </w:rPr>
        <w:t xml:space="preserve"> 0,5) è stata significativamente maggiore con la terapia associata Humira/metotressato (rispettivamente 63,8% e 61,2%) rispetto alla monoterapia con metotressato (rispettivamente 37,4% e 33,5%, p&lt;0,001) ed alla monoterapia con Humira (rispettivamente 50,7%, p&lt;0,002 e 44,5%, p&lt;0,001).</w:t>
      </w:r>
    </w:p>
    <w:p w:rsidR="003D5842" w:rsidRPr="00295E71" w:rsidP="003D5842" w14:paraId="714CDC72" w14:textId="77777777">
      <w:pPr>
        <w:rPr>
          <w:sz w:val="22"/>
          <w:szCs w:val="22"/>
          <w:u w:val="single"/>
        </w:rPr>
      </w:pPr>
    </w:p>
    <w:p w:rsidR="003D5842" w:rsidRPr="00295E71" w:rsidP="003D5842" w14:paraId="2CB200F2" w14:textId="77777777">
      <w:pPr>
        <w:rPr>
          <w:sz w:val="22"/>
          <w:szCs w:val="22"/>
          <w:u w:val="single"/>
        </w:rPr>
      </w:pPr>
      <w:r w:rsidRPr="00295E71">
        <w:rPr>
          <w:sz w:val="22"/>
          <w:szCs w:val="22"/>
        </w:rPr>
        <w:t>Nella fase di estensione in aperto dello studio AR V, la variazione media rispetto al valore basale all’Anno 10 dell’Indice Totale di Sharp modificato è stata, rispettivamente, di 10,8; 9,2 e 3,9 nei pazienti che erano stati inizialmente randomizzati alla somministrazione di metotressato in monoterapia, di Humira in monoterapia e della terapia associata Humira/metotressato. Le corrispondenti percentuali di pazienti senza progressione radiologica sono state, rispettivamente, 31,3%, 23,7% e 36,7%.</w:t>
      </w:r>
    </w:p>
    <w:p w:rsidR="003D5842" w:rsidRPr="00295E71" w:rsidP="003D5842" w14:paraId="43DAFD62" w14:textId="77777777">
      <w:pPr>
        <w:rPr>
          <w:sz w:val="22"/>
          <w:szCs w:val="22"/>
          <w:u w:val="single"/>
        </w:rPr>
      </w:pPr>
    </w:p>
    <w:p w:rsidR="003D5842" w:rsidRPr="00295E71" w:rsidP="003D5842" w14:paraId="43377EA7" w14:textId="77777777">
      <w:pPr>
        <w:keepNext/>
        <w:rPr>
          <w:i/>
          <w:iCs/>
          <w:sz w:val="22"/>
          <w:szCs w:val="22"/>
          <w:u w:val="single"/>
        </w:rPr>
      </w:pPr>
      <w:r w:rsidRPr="00295E71">
        <w:rPr>
          <w:i/>
          <w:sz w:val="22"/>
          <w:szCs w:val="22"/>
          <w:u w:val="single"/>
        </w:rPr>
        <w:t>Qualità della vita e funzionalità fisica</w:t>
      </w:r>
    </w:p>
    <w:p w:rsidR="003D5842" w:rsidRPr="00295E71" w:rsidP="003D5842" w14:paraId="4302B5A5" w14:textId="77777777">
      <w:pPr>
        <w:keepNext/>
        <w:tabs>
          <w:tab w:val="left" w:pos="567"/>
        </w:tabs>
        <w:jc w:val="both"/>
        <w:rPr>
          <w:sz w:val="22"/>
          <w:szCs w:val="22"/>
        </w:rPr>
      </w:pPr>
    </w:p>
    <w:p w:rsidR="003D5842" w:rsidRPr="00295E71" w:rsidP="003D5842" w14:paraId="59FF40C6" w14:textId="77777777">
      <w:pPr>
        <w:keepNext/>
        <w:tabs>
          <w:tab w:val="left" w:pos="567"/>
        </w:tabs>
        <w:jc w:val="both"/>
        <w:rPr>
          <w:sz w:val="22"/>
          <w:szCs w:val="22"/>
        </w:rPr>
      </w:pPr>
      <w:r w:rsidRPr="00295E71">
        <w:rPr>
          <w:sz w:val="22"/>
          <w:szCs w:val="22"/>
        </w:rPr>
        <w:t>La qualità di vita</w:t>
      </w:r>
      <w:r w:rsidR="007409F8">
        <w:rPr>
          <w:sz w:val="22"/>
          <w:szCs w:val="22"/>
        </w:rPr>
        <w:t xml:space="preserve"> </w:t>
      </w:r>
      <w:r w:rsidRPr="00020442" w:rsidR="007409F8">
        <w:rPr>
          <w:sz w:val="22"/>
          <w:szCs w:val="22"/>
        </w:rPr>
        <w:t>correlata allo stato di salute</w:t>
      </w:r>
      <w:r w:rsidRPr="00295E71">
        <w:rPr>
          <w:sz w:val="22"/>
          <w:szCs w:val="22"/>
        </w:rPr>
        <w:t xml:space="preserve"> e la funzionalità fisica sono state valutate con l’indice di disabilità ottenuto attraverso il questionario di valutazione dello stato di salute (Health Assessment Questionnaire - HAQ), in quattro studi originali, adeguati e ben controllati, </w:t>
      </w:r>
      <w:r w:rsidR="007409F8">
        <w:rPr>
          <w:sz w:val="22"/>
          <w:szCs w:val="22"/>
        </w:rPr>
        <w:t>che</w:t>
      </w:r>
      <w:r w:rsidRPr="00295E71">
        <w:rPr>
          <w:sz w:val="22"/>
          <w:szCs w:val="22"/>
        </w:rPr>
        <w:t xml:space="preserve"> è stato un</w:t>
      </w:r>
      <w:r w:rsidR="007409F8">
        <w:rPr>
          <w:sz w:val="22"/>
          <w:szCs w:val="22"/>
        </w:rPr>
        <w:t xml:space="preserve"> endopoint</w:t>
      </w:r>
      <w:r w:rsidRPr="00295E71">
        <w:rPr>
          <w:sz w:val="22"/>
          <w:szCs w:val="22"/>
        </w:rPr>
        <w:t xml:space="preserve"> primar</w:t>
      </w:r>
      <w:r w:rsidRPr="00295E71" w:rsidR="00DE0578">
        <w:rPr>
          <w:sz w:val="22"/>
          <w:szCs w:val="22"/>
        </w:rPr>
        <w:t>i</w:t>
      </w:r>
      <w:r w:rsidR="007409F8">
        <w:rPr>
          <w:sz w:val="22"/>
          <w:szCs w:val="22"/>
        </w:rPr>
        <w:t>o prespecificato</w:t>
      </w:r>
      <w:r w:rsidRPr="00295E71" w:rsidR="00DE0578">
        <w:rPr>
          <w:sz w:val="22"/>
          <w:szCs w:val="22"/>
        </w:rPr>
        <w:t xml:space="preserve"> dello studio AR III alla </w:t>
      </w:r>
      <w:r w:rsidRPr="00295E71">
        <w:rPr>
          <w:sz w:val="22"/>
          <w:szCs w:val="22"/>
        </w:rPr>
        <w:t>settimana</w:t>
      </w:r>
      <w:r w:rsidRPr="00295E71" w:rsidR="00DE0578">
        <w:rPr>
          <w:sz w:val="22"/>
          <w:szCs w:val="22"/>
        </w:rPr>
        <w:t xml:space="preserve"> 52</w:t>
      </w:r>
      <w:r w:rsidRPr="00295E71">
        <w:rPr>
          <w:sz w:val="22"/>
          <w:szCs w:val="22"/>
        </w:rPr>
        <w:t xml:space="preserve">. Tutti gli schemi terapeutici con Humira nei quattro studi hanno evidenziato miglioramenti </w:t>
      </w:r>
      <w:r w:rsidRPr="00020442" w:rsidR="007409F8">
        <w:rPr>
          <w:sz w:val="22"/>
          <w:szCs w:val="22"/>
        </w:rPr>
        <w:t xml:space="preserve">maggiori in misura </w:t>
      </w:r>
      <w:r w:rsidRPr="00295E71">
        <w:rPr>
          <w:sz w:val="22"/>
          <w:szCs w:val="22"/>
        </w:rPr>
        <w:t>statisticamente significativ</w:t>
      </w:r>
      <w:r w:rsidR="007409F8">
        <w:rPr>
          <w:sz w:val="22"/>
          <w:szCs w:val="22"/>
        </w:rPr>
        <w:t>a</w:t>
      </w:r>
      <w:r w:rsidRPr="00295E71">
        <w:rPr>
          <w:sz w:val="22"/>
          <w:szCs w:val="22"/>
        </w:rPr>
        <w:t xml:space="preserve"> dell’indice di disabilità dell’HAQ tra il valore basale e il 6° mese rispetto al placebo e nello studio AR III il medesimo risultato è stato osservato alla settimana 52. </w:t>
      </w:r>
    </w:p>
    <w:p w:rsidR="003D5842" w:rsidRPr="00295E71" w:rsidP="003D5842" w14:paraId="3064D0DC" w14:textId="77777777">
      <w:pPr>
        <w:tabs>
          <w:tab w:val="left" w:pos="567"/>
        </w:tabs>
        <w:jc w:val="both"/>
        <w:rPr>
          <w:sz w:val="22"/>
          <w:szCs w:val="22"/>
        </w:rPr>
      </w:pPr>
      <w:r w:rsidRPr="00295E71">
        <w:rPr>
          <w:sz w:val="22"/>
          <w:szCs w:val="22"/>
        </w:rPr>
        <w:t>L’analisi dello stato generale di salute, valutato attraverso lo Short Form Health Survey (SF-36) nei quattro studi, supporta queste conclusioni per tutti gli schemi di somministrazione di Humira con risultati statisticamente significativi per quanto riguarda gli indici di attività fisica, di dolore e dello stato di benessere, registrati con Humira 40 mg a settimane alterne. Una diminuzione statisticamente significativa del senso di affaticamento così come risulta dagli indici della valutazione funzionale relativa al trattamento della patologia cronica (FACIT) è stata riscontrata in tutti i tre studi in cui è stata valutata (studi AR I, III, IV).</w:t>
      </w:r>
    </w:p>
    <w:p w:rsidR="003D5842" w:rsidRPr="00295E71" w:rsidP="003D5842" w14:paraId="26AD551A" w14:textId="77777777">
      <w:pPr>
        <w:tabs>
          <w:tab w:val="left" w:pos="567"/>
        </w:tabs>
        <w:jc w:val="both"/>
        <w:rPr>
          <w:sz w:val="22"/>
          <w:szCs w:val="22"/>
        </w:rPr>
      </w:pPr>
    </w:p>
    <w:p w:rsidR="003D5842" w:rsidRPr="00295E71" w:rsidP="003D5842" w14:paraId="62A67D5E" w14:textId="77777777">
      <w:pPr>
        <w:tabs>
          <w:tab w:val="left" w:pos="567"/>
        </w:tabs>
        <w:jc w:val="both"/>
        <w:rPr>
          <w:sz w:val="22"/>
          <w:szCs w:val="22"/>
        </w:rPr>
      </w:pPr>
      <w:r w:rsidRPr="00295E71">
        <w:rPr>
          <w:sz w:val="22"/>
          <w:szCs w:val="22"/>
        </w:rPr>
        <w:t>Nello studio AR III, la maggioranza dei soggetti che hanno raggiunto il miglioramento della funzionalità fisica e che hanno continuato il trattamento hanno mantenuto il miglioramento per 520 settimane (120 mesi) di trattamento in aperto. Il miglioramento della qualità di vita è stato misurato fino alla settimana 156 (36 mesi) ed il miglioramento è stato mantenuto nel tempo.</w:t>
      </w:r>
    </w:p>
    <w:p w:rsidR="003D5842" w:rsidRPr="00295E71" w:rsidP="003D5842" w14:paraId="28245E76" w14:textId="77777777">
      <w:pPr>
        <w:tabs>
          <w:tab w:val="left" w:pos="567"/>
        </w:tabs>
        <w:jc w:val="both"/>
        <w:rPr>
          <w:sz w:val="22"/>
          <w:szCs w:val="22"/>
        </w:rPr>
      </w:pPr>
    </w:p>
    <w:p w:rsidR="003D5842" w:rsidRPr="00295E71" w:rsidP="00F57FE5" w14:paraId="16488A25" w14:textId="77777777">
      <w:pPr>
        <w:keepNext/>
        <w:keepLines/>
        <w:tabs>
          <w:tab w:val="left" w:pos="567"/>
        </w:tabs>
        <w:jc w:val="both"/>
        <w:rPr>
          <w:sz w:val="22"/>
          <w:szCs w:val="22"/>
        </w:rPr>
      </w:pPr>
      <w:r w:rsidRPr="00295E71">
        <w:rPr>
          <w:sz w:val="22"/>
          <w:szCs w:val="22"/>
        </w:rPr>
        <w:t>Nello studio AR V, l’indice di disabilità valutato in base all’HAQ e la componente fisica dell’SF-36 hanno dimostrato un miglioramento superiore (p&lt;0,001) quando è stata effettuata terapia associata Humira/metotressato rispetto alla monoterapia con metotressato ed a quella con Humira alla settimana 52, e questo miglioramento si è mantenuto nell’arco di 104 settimane.</w:t>
      </w:r>
      <w:r w:rsidR="007409F8">
        <w:rPr>
          <w:sz w:val="22"/>
          <w:szCs w:val="22"/>
        </w:rPr>
        <w:t xml:space="preserve"> </w:t>
      </w:r>
      <w:r w:rsidRPr="00295E71">
        <w:rPr>
          <w:sz w:val="22"/>
          <w:szCs w:val="22"/>
        </w:rPr>
        <w:t>Nei 250 pazienti che hanno completato la fase di estensione in aperto dello studio, i miglioramenti nella funzionalità fisica sono stati mantenuti nell’arco dei 10 anni di trattamento.</w:t>
      </w:r>
    </w:p>
    <w:p w:rsidR="003D5842" w:rsidRPr="00295E71" w:rsidP="00F57FE5" w14:paraId="77E86689" w14:textId="77777777">
      <w:pPr>
        <w:keepNext/>
        <w:keepLines/>
        <w:tabs>
          <w:tab w:val="left" w:pos="567"/>
        </w:tabs>
        <w:jc w:val="both"/>
        <w:rPr>
          <w:sz w:val="22"/>
          <w:szCs w:val="22"/>
        </w:rPr>
      </w:pPr>
    </w:p>
    <w:p w:rsidR="003D5842" w:rsidRPr="00295E71" w:rsidP="003D5842" w14:paraId="29B27F58" w14:textId="77777777">
      <w:pPr>
        <w:rPr>
          <w:i/>
          <w:color w:val="000000"/>
          <w:sz w:val="22"/>
          <w:szCs w:val="22"/>
          <w:u w:val="single"/>
        </w:rPr>
      </w:pPr>
      <w:r w:rsidRPr="00295E71">
        <w:rPr>
          <w:i/>
          <w:color w:val="000000"/>
          <w:sz w:val="22"/>
          <w:szCs w:val="22"/>
          <w:u w:val="single"/>
        </w:rPr>
        <w:t>Dolore al sito di iniezione</w:t>
      </w:r>
    </w:p>
    <w:p w:rsidR="003D5842" w:rsidRPr="00295E71" w:rsidP="003D5842" w14:paraId="3FCC2A43" w14:textId="77777777">
      <w:pPr>
        <w:tabs>
          <w:tab w:val="left" w:pos="567"/>
        </w:tabs>
        <w:jc w:val="both"/>
        <w:rPr>
          <w:color w:val="000000"/>
          <w:sz w:val="22"/>
          <w:szCs w:val="22"/>
          <w:u w:val="single"/>
        </w:rPr>
      </w:pPr>
    </w:p>
    <w:p w:rsidR="003D5842" w:rsidRPr="00295E71" w:rsidP="003D5842" w14:paraId="167E1745" w14:textId="77777777">
      <w:pPr>
        <w:tabs>
          <w:tab w:val="left" w:pos="567"/>
        </w:tabs>
        <w:jc w:val="both"/>
        <w:rPr>
          <w:color w:val="000000"/>
          <w:sz w:val="22"/>
          <w:szCs w:val="22"/>
        </w:rPr>
      </w:pPr>
      <w:r w:rsidRPr="00295E71">
        <w:rPr>
          <w:color w:val="000000"/>
          <w:sz w:val="22"/>
          <w:szCs w:val="22"/>
        </w:rPr>
        <w:t xml:space="preserve">Per gli studi crossover raggruppati RA VI e VII, è stata osservata una differenza statisticamente significativa per il dolore al sito di iniezione subito dopo la somministrazione tra Humira 40 mg/0,8 ml e Humira 40 mg/0,4 ml (valore medio di VAS di 3,7 </w:t>
      </w:r>
      <w:r w:rsidR="007409F8">
        <w:rPr>
          <w:color w:val="000000"/>
          <w:sz w:val="22"/>
          <w:szCs w:val="22"/>
        </w:rPr>
        <w:t xml:space="preserve">cm </w:t>
      </w:r>
      <w:r w:rsidRPr="00295E71">
        <w:rPr>
          <w:color w:val="000000"/>
          <w:sz w:val="22"/>
          <w:szCs w:val="22"/>
        </w:rPr>
        <w:t>contro un valore di 1,2 cm, scala 0-10 cm, P&lt;0,001). Questo rappresenta una riduzione media</w:t>
      </w:r>
      <w:r w:rsidR="00A4533F">
        <w:rPr>
          <w:color w:val="000000"/>
          <w:sz w:val="22"/>
          <w:szCs w:val="22"/>
        </w:rPr>
        <w:t>na</w:t>
      </w:r>
      <w:r w:rsidRPr="00295E71">
        <w:rPr>
          <w:color w:val="000000"/>
          <w:sz w:val="22"/>
          <w:szCs w:val="22"/>
        </w:rPr>
        <w:t xml:space="preserve"> del dolore al sito di iniezione pari all’84%.</w:t>
      </w:r>
    </w:p>
    <w:p w:rsidR="003D5842" w:rsidRPr="00295E71" w14:paraId="7E4F7E1D" w14:textId="77777777">
      <w:pPr>
        <w:tabs>
          <w:tab w:val="left" w:pos="567"/>
          <w:tab w:val="left" w:pos="1294"/>
        </w:tabs>
        <w:autoSpaceDE w:val="0"/>
        <w:autoSpaceDN w:val="0"/>
        <w:adjustRightInd w:val="0"/>
        <w:jc w:val="both"/>
        <w:rPr>
          <w:i/>
          <w:color w:val="000000"/>
          <w:sz w:val="22"/>
          <w:szCs w:val="22"/>
        </w:rPr>
      </w:pPr>
    </w:p>
    <w:p w:rsidR="006224C2" w:rsidRPr="00295E71" w14:paraId="4AA62CC0" w14:textId="77777777">
      <w:pPr>
        <w:tabs>
          <w:tab w:val="left" w:pos="567"/>
          <w:tab w:val="left" w:pos="1294"/>
        </w:tabs>
        <w:autoSpaceDE w:val="0"/>
        <w:autoSpaceDN w:val="0"/>
        <w:adjustRightInd w:val="0"/>
        <w:jc w:val="both"/>
        <w:rPr>
          <w:i/>
          <w:color w:val="000000"/>
          <w:sz w:val="22"/>
          <w:szCs w:val="22"/>
        </w:rPr>
      </w:pPr>
      <w:r w:rsidRPr="00295E71">
        <w:rPr>
          <w:i/>
          <w:color w:val="000000"/>
          <w:sz w:val="22"/>
          <w:szCs w:val="22"/>
        </w:rPr>
        <w:t>Psoriasi</w:t>
      </w:r>
    </w:p>
    <w:p w:rsidR="006224C2" w:rsidRPr="00295E71" w14:paraId="640F924C" w14:textId="77777777">
      <w:pPr>
        <w:tabs>
          <w:tab w:val="left" w:pos="567"/>
          <w:tab w:val="left" w:pos="1294"/>
        </w:tabs>
        <w:autoSpaceDE w:val="0"/>
        <w:autoSpaceDN w:val="0"/>
        <w:adjustRightInd w:val="0"/>
        <w:jc w:val="both"/>
        <w:rPr>
          <w:color w:val="000000"/>
          <w:sz w:val="22"/>
          <w:szCs w:val="22"/>
        </w:rPr>
      </w:pPr>
    </w:p>
    <w:p w:rsidR="006224C2" w:rsidRPr="00295E71" w14:paraId="446C5190"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La sicurezza e l’efficacia di Humira sono state studiate nei pazienti adulti affetti da psoriasi cronica a placche (BSA ≥10% e Psoriasis Area and Severity Index (PASI) ≥12 o ≥10), i quali erano candidati alla terapia sistemica o alla fototerapia, durante gli studi randomizzati in doppio cieco. Il 73% dei pazienti </w:t>
      </w:r>
      <w:r w:rsidRPr="00020442" w:rsidR="007409F8">
        <w:rPr>
          <w:color w:val="000000"/>
          <w:sz w:val="22"/>
          <w:szCs w:val="22"/>
        </w:rPr>
        <w:t>arruolati negli</w:t>
      </w:r>
      <w:r w:rsidRPr="00295E71">
        <w:rPr>
          <w:color w:val="000000"/>
          <w:sz w:val="22"/>
          <w:szCs w:val="22"/>
        </w:rPr>
        <w:t xml:space="preserve"> studi I e II sulla psoriasi erano stati precedentemente sottoposti a terapia sistemica o fototerapica. </w:t>
      </w:r>
    </w:p>
    <w:p w:rsidR="006224C2" w:rsidRPr="00295E71" w14:paraId="0A81E6FE" w14:textId="77777777">
      <w:pPr>
        <w:rPr>
          <w:sz w:val="22"/>
          <w:szCs w:val="22"/>
        </w:rPr>
      </w:pPr>
    </w:p>
    <w:p w:rsidR="006224C2" w:rsidRPr="00295E71" w14:paraId="34876468"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La sicurezza e l’efficacia di Humira sono state studiate anche nei pazienti adulti affetti da psoriasi cronica a placche da moderata a severa con concomitante psoriasi localizzata alla mano e/o al piede, i quali erano candidati alla terapia sistemica in uno studio randomizzato in doppio cieco (studio di fase III sulla psoriasi).</w:t>
      </w:r>
    </w:p>
    <w:p w:rsidR="006224C2" w:rsidRPr="00295E71" w14:paraId="4923C438" w14:textId="77777777">
      <w:pPr>
        <w:rPr>
          <w:sz w:val="22"/>
          <w:szCs w:val="22"/>
        </w:rPr>
      </w:pPr>
    </w:p>
    <w:p w:rsidR="006224C2" w:rsidRPr="00295E71" w14:paraId="7C2B7B65" w14:textId="77777777">
      <w:pPr>
        <w:tabs>
          <w:tab w:val="left" w:pos="567"/>
          <w:tab w:val="left" w:pos="1294"/>
        </w:tabs>
        <w:autoSpaceDE w:val="0"/>
        <w:autoSpaceDN w:val="0"/>
        <w:adjustRightInd w:val="0"/>
        <w:jc w:val="both"/>
        <w:rPr>
          <w:color w:val="000000"/>
          <w:sz w:val="22"/>
          <w:szCs w:val="22"/>
        </w:rPr>
      </w:pPr>
      <w:r w:rsidRPr="00295E71">
        <w:rPr>
          <w:sz w:val="22"/>
          <w:szCs w:val="22"/>
        </w:rPr>
        <w:t xml:space="preserve">Lo </w:t>
      </w:r>
      <w:r w:rsidRPr="00295E71">
        <w:rPr>
          <w:color w:val="000000"/>
          <w:sz w:val="22"/>
          <w:szCs w:val="22"/>
        </w:rPr>
        <w:t>studio I sulla psoriasi (REVEAL) ha valutato 1.212 pazienti entro tre periodi di trattamento. Nel corso del periodo A, ai pazienti è stato somministrato placebo o Humira ad una dose iniziale pari a 80 mg, seguita da una dose pari a 40 mg, a settimane alterne, somministrata ad iniziare dalla settimana successiva all’assunzione della dose iniziale. Dopo 16 settimane di terapia, i pazienti che hanno ottenuto almeno una risposta PASI 75 (in cui il punteggio PASI ha registrato un miglioramento pari ad almeno il 75% del valore al basale) sono stati ammessi al periodo B ed hanno ricevuto una dose di Humira pari a 40 mg, a settimane alterne, in aperto. I pazienti che hanno mantenuto una risposta ≥PASI 75 alla settimana 33 e che erano stati inizialmente randomizzati per la terapia attiva nel corso del periodo A sono stati nuovamente randomizzati nel periodo C a ricevere 40 mg di Humira, a settimane alterne, o placebo, per un ulteriore periodo di 19 settimane. In tutti i gruppi di trattamento, il punteggio PASI medio al basale è risultato pari a 18,9 ed il punteggio relativo al Physician’s Global Assessment (PGA) è risultato di grado “moderato” nel 53% dei soggetti inclusi, “severo” nel 41% e “molto severo” nel 6%.</w:t>
      </w:r>
    </w:p>
    <w:p w:rsidR="006224C2" w:rsidRPr="00295E71" w14:paraId="2B29D6D7" w14:textId="77777777">
      <w:pPr>
        <w:rPr>
          <w:sz w:val="22"/>
          <w:szCs w:val="22"/>
        </w:rPr>
      </w:pPr>
    </w:p>
    <w:p w:rsidR="006224C2" w:rsidRPr="00295E71" w14:paraId="7F23C766" w14:textId="77777777">
      <w:pPr>
        <w:tabs>
          <w:tab w:val="left" w:pos="567"/>
          <w:tab w:val="left" w:pos="1294"/>
        </w:tabs>
        <w:autoSpaceDE w:val="0"/>
        <w:autoSpaceDN w:val="0"/>
        <w:adjustRightInd w:val="0"/>
        <w:jc w:val="both"/>
        <w:rPr>
          <w:color w:val="000000"/>
          <w:sz w:val="22"/>
          <w:szCs w:val="22"/>
        </w:rPr>
      </w:pPr>
      <w:r w:rsidRPr="00295E71">
        <w:rPr>
          <w:sz w:val="22"/>
          <w:szCs w:val="22"/>
        </w:rPr>
        <w:t xml:space="preserve">Lo </w:t>
      </w:r>
      <w:r w:rsidRPr="00295E71">
        <w:rPr>
          <w:color w:val="000000"/>
          <w:sz w:val="22"/>
          <w:szCs w:val="22"/>
        </w:rPr>
        <w:t>studio II sulla psoriasi (CHAMPION) ha paragonato l’efficacia e la sicurezza di Humira rispetto al metotressato ed al placebo in 271 pazienti. Per un periodo di 16 settimane, i pazienti hanno ricevuto placebo, o metotressato con una dose iniziale pari a 7,5 mg successivamente elevata fino alla settimana 12 e con un massimo di 25 mg, o Humira alla dose iniziale di 80 mg seguita dalla dose di 40 mg somministrata a settimane alterne (a iniziare dalla settimana successiva all’assunzione della dose iniziale).</w:t>
      </w:r>
    </w:p>
    <w:p w:rsidR="006224C2" w:rsidRPr="00295E71" w14:paraId="1AA59755" w14:textId="77777777">
      <w:pPr>
        <w:tabs>
          <w:tab w:val="left" w:pos="567"/>
          <w:tab w:val="left" w:pos="1294"/>
        </w:tabs>
        <w:autoSpaceDE w:val="0"/>
        <w:autoSpaceDN w:val="0"/>
        <w:adjustRightInd w:val="0"/>
        <w:jc w:val="both"/>
        <w:rPr>
          <w:color w:val="000000"/>
          <w:sz w:val="22"/>
          <w:szCs w:val="22"/>
        </w:rPr>
      </w:pPr>
    </w:p>
    <w:p w:rsidR="006224C2" w:rsidRPr="00295E71" w14:paraId="5DAB5458" w14:textId="77777777">
      <w:pPr>
        <w:rPr>
          <w:color w:val="000000"/>
          <w:sz w:val="22"/>
          <w:szCs w:val="22"/>
        </w:rPr>
      </w:pPr>
      <w:r w:rsidRPr="00295E71">
        <w:rPr>
          <w:color w:val="000000"/>
          <w:sz w:val="22"/>
          <w:szCs w:val="22"/>
        </w:rPr>
        <w:t>Non sono disponibili dati che mettano a confronto Humira e metotressato oltre le 16 settimane di terapia. Nei pazienti trattati con metotressato che hanno raggiunto una risposta ≥PASI 50 alla settimana 8 e/o alla settimana 12, non sono stati effettuati incrementi della dose. In tutti i gruppi di trattamento, il punteggio PASI al basale medio è risultato pari a 19,7 ed il punteggio PGA al basale è risultato da “lieve” (&lt;1%) a “moderato” (48%) a “severo” (46%) a “molto severo” (6%).</w:t>
      </w:r>
    </w:p>
    <w:p w:rsidR="006224C2" w:rsidRPr="00295E71" w14:paraId="10CFA437" w14:textId="77777777">
      <w:pPr>
        <w:tabs>
          <w:tab w:val="left" w:pos="567"/>
          <w:tab w:val="left" w:pos="1294"/>
        </w:tabs>
        <w:autoSpaceDE w:val="0"/>
        <w:autoSpaceDN w:val="0"/>
        <w:adjustRightInd w:val="0"/>
        <w:jc w:val="both"/>
        <w:rPr>
          <w:color w:val="000000"/>
          <w:sz w:val="22"/>
          <w:szCs w:val="22"/>
        </w:rPr>
      </w:pPr>
    </w:p>
    <w:p w:rsidR="006224C2" w:rsidRPr="00295E71" w14:paraId="08DB8935"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I pazienti che hanno partecipato a tutti gli studi di Fase 2 e Fase 3 sulla psoriasi sono stati considerati idonei ad essere arruolati in uno studio di estensione in aperto, dove Humira è stato somministrato per un periodo aggiuntivo di almeno 108 settimane. </w:t>
      </w:r>
    </w:p>
    <w:p w:rsidR="006224C2" w:rsidRPr="00295E71" w14:paraId="692B64B5" w14:textId="77777777">
      <w:pPr>
        <w:tabs>
          <w:tab w:val="left" w:pos="567"/>
          <w:tab w:val="left" w:pos="1294"/>
        </w:tabs>
        <w:autoSpaceDE w:val="0"/>
        <w:autoSpaceDN w:val="0"/>
        <w:adjustRightInd w:val="0"/>
        <w:jc w:val="both"/>
        <w:rPr>
          <w:color w:val="000000"/>
          <w:sz w:val="22"/>
          <w:szCs w:val="22"/>
        </w:rPr>
      </w:pPr>
    </w:p>
    <w:p w:rsidR="006224C2" w:rsidRPr="00295E71" w14:paraId="40C36545"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Negli studi I e II sulla psoriasi, l’endpoint primario è stato rappresentato dalla percentuale di pazienti che ha ottenuto una risposta PASI 75 rispetto al valore basale alla settimana 16 (vedere Tabelle </w:t>
      </w:r>
      <w:r w:rsidR="00800CE0">
        <w:rPr>
          <w:color w:val="000000"/>
          <w:sz w:val="22"/>
          <w:szCs w:val="22"/>
        </w:rPr>
        <w:t>9</w:t>
      </w:r>
      <w:r w:rsidRPr="00295E71">
        <w:rPr>
          <w:color w:val="000000"/>
          <w:sz w:val="22"/>
          <w:szCs w:val="22"/>
        </w:rPr>
        <w:t xml:space="preserve"> e </w:t>
      </w:r>
      <w:r w:rsidR="00800CE0">
        <w:rPr>
          <w:color w:val="000000"/>
          <w:sz w:val="22"/>
          <w:szCs w:val="22"/>
        </w:rPr>
        <w:t>10</w:t>
      </w:r>
      <w:r w:rsidRPr="00295E71">
        <w:rPr>
          <w:color w:val="000000"/>
          <w:sz w:val="22"/>
          <w:szCs w:val="22"/>
        </w:rPr>
        <w:t>)</w:t>
      </w:r>
      <w:r w:rsidR="001871C5">
        <w:rPr>
          <w:color w:val="000000"/>
          <w:sz w:val="22"/>
          <w:szCs w:val="22"/>
        </w:rPr>
        <w:t>.</w:t>
      </w:r>
    </w:p>
    <w:p w:rsidR="006224C2" w:rsidRPr="00295E71" w14:paraId="2310E907" w14:textId="77777777">
      <w:pPr>
        <w:keepNext/>
        <w:tabs>
          <w:tab w:val="left" w:pos="567"/>
          <w:tab w:val="left" w:pos="1294"/>
        </w:tabs>
        <w:autoSpaceDE w:val="0"/>
        <w:autoSpaceDN w:val="0"/>
        <w:adjustRightInd w:val="0"/>
        <w:rPr>
          <w:color w:val="000000"/>
          <w:sz w:val="22"/>
          <w:szCs w:val="22"/>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77"/>
        <w:gridCol w:w="1620"/>
        <w:gridCol w:w="2352"/>
      </w:tblGrid>
      <w:tr w14:paraId="72B10128" w14:textId="77777777">
        <w:tblPrEx>
          <w:tblW w:w="6949" w:type="dxa"/>
          <w:tblLook w:val="0000"/>
        </w:tblPrEx>
        <w:trPr>
          <w:cantSplit/>
        </w:trPr>
        <w:tc>
          <w:tcPr>
            <w:tcW w:w="6949" w:type="dxa"/>
            <w:gridSpan w:val="3"/>
            <w:tcBorders>
              <w:top w:val="nil"/>
              <w:left w:val="nil"/>
              <w:bottom w:val="single" w:sz="4" w:space="0" w:color="auto"/>
              <w:right w:val="nil"/>
            </w:tcBorders>
          </w:tcPr>
          <w:p w:rsidR="006224C2" w:rsidRPr="00295E71" w14:paraId="5AC866AA"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 xml:space="preserve">Tabella </w:t>
            </w:r>
            <w:r w:rsidR="00800CE0">
              <w:rPr>
                <w:rFonts w:ascii="Times New Roman" w:hAnsi="Times New Roman" w:cs="Times New Roman"/>
                <w:b/>
                <w:bCs/>
                <w:lang w:val="it-IT"/>
              </w:rPr>
              <w:t>9</w:t>
            </w:r>
          </w:p>
          <w:p w:rsidR="006224C2" w:rsidRPr="00295E71" w14:paraId="55177FA4"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Studio I sulla psoriasi (REVEAL)</w:t>
            </w:r>
          </w:p>
          <w:p w:rsidR="006224C2" w:rsidRPr="00295E71" w14:paraId="0188A866" w14:textId="77777777">
            <w:pPr>
              <w:pStyle w:val="DefaultText"/>
              <w:keepNext/>
              <w:jc w:val="center"/>
              <w:rPr>
                <w:rFonts w:ascii="Times New Roman" w:hAnsi="Times New Roman" w:cs="Times New Roman"/>
                <w:b/>
                <w:bCs/>
                <w:u w:val="single"/>
                <w:lang w:val="it-IT"/>
              </w:rPr>
            </w:pPr>
            <w:r w:rsidRPr="00295E71">
              <w:rPr>
                <w:rFonts w:ascii="Times New Roman" w:hAnsi="Times New Roman" w:cs="Times New Roman"/>
                <w:b/>
                <w:bCs/>
                <w:lang w:val="it-IT"/>
              </w:rPr>
              <w:t xml:space="preserve">Risultati relativi all’efficacia alla settimana 16 </w:t>
            </w:r>
          </w:p>
        </w:tc>
      </w:tr>
      <w:tr w14:paraId="33B830DE" w14:textId="77777777">
        <w:tblPrEx>
          <w:tblW w:w="6949" w:type="dxa"/>
          <w:tblLook w:val="0000"/>
        </w:tblPrEx>
        <w:trPr>
          <w:cantSplit/>
        </w:trPr>
        <w:tc>
          <w:tcPr>
            <w:tcW w:w="2977" w:type="dxa"/>
            <w:tcBorders>
              <w:top w:val="single" w:sz="4" w:space="0" w:color="auto"/>
              <w:left w:val="single" w:sz="4" w:space="0" w:color="auto"/>
              <w:bottom w:val="single" w:sz="4" w:space="0" w:color="auto"/>
              <w:right w:val="single" w:sz="4" w:space="0" w:color="auto"/>
            </w:tcBorders>
            <w:vAlign w:val="center"/>
          </w:tcPr>
          <w:p w:rsidR="006224C2" w:rsidRPr="00295E71" w14:paraId="0B864CE7" w14:textId="77777777">
            <w:pPr>
              <w:pStyle w:val="DefaultText"/>
              <w:keepNext/>
              <w:rPr>
                <w:rFonts w:ascii="Times New Roman" w:hAnsi="Times New Roman" w:cs="Times New Roman"/>
                <w:b/>
                <w:bCs/>
                <w:lang w:val="it-IT"/>
              </w:rPr>
            </w:pPr>
          </w:p>
        </w:tc>
        <w:tc>
          <w:tcPr>
            <w:tcW w:w="1620" w:type="dxa"/>
            <w:tcBorders>
              <w:top w:val="single" w:sz="4" w:space="0" w:color="auto"/>
              <w:left w:val="single" w:sz="4" w:space="0" w:color="auto"/>
              <w:bottom w:val="single" w:sz="4" w:space="0" w:color="auto"/>
              <w:right w:val="single" w:sz="4" w:space="0" w:color="auto"/>
            </w:tcBorders>
            <w:vAlign w:val="center"/>
          </w:tcPr>
          <w:p w:rsidR="006224C2" w:rsidRPr="00295E71" w14:paraId="3A40F231"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Placebo</w:t>
            </w:r>
          </w:p>
          <w:p w:rsidR="006224C2" w:rsidRPr="00295E71" w14:paraId="68980516"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N=398</w:t>
            </w:r>
          </w:p>
          <w:p w:rsidR="006224C2" w:rsidRPr="00295E71" w14:paraId="2B07FB2E" w14:textId="77777777">
            <w:pPr>
              <w:pStyle w:val="DefaultText"/>
              <w:keepNext/>
              <w:jc w:val="center"/>
              <w:rPr>
                <w:rFonts w:ascii="Times New Roman" w:hAnsi="Times New Roman" w:cs="Times New Roman"/>
                <w:b/>
                <w:lang w:val="it-IT"/>
              </w:rPr>
            </w:pPr>
            <w:r w:rsidRPr="00295E71">
              <w:rPr>
                <w:rFonts w:ascii="Times New Roman" w:hAnsi="Times New Roman" w:cs="Times New Roman"/>
                <w:b/>
                <w:lang w:val="it-IT"/>
              </w:rPr>
              <w:t>n (%)</w:t>
            </w:r>
          </w:p>
        </w:tc>
        <w:tc>
          <w:tcPr>
            <w:tcW w:w="2352" w:type="dxa"/>
            <w:tcBorders>
              <w:top w:val="single" w:sz="4" w:space="0" w:color="auto"/>
              <w:left w:val="single" w:sz="4" w:space="0" w:color="auto"/>
              <w:bottom w:val="single" w:sz="4" w:space="0" w:color="auto"/>
              <w:right w:val="single" w:sz="4" w:space="0" w:color="auto"/>
            </w:tcBorders>
            <w:vAlign w:val="center"/>
          </w:tcPr>
          <w:p w:rsidR="006224C2" w:rsidRPr="00295E71" w14:paraId="6C3BD38C"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Humira 40 mg a settimane alterne</w:t>
            </w:r>
          </w:p>
          <w:p w:rsidR="006224C2" w:rsidRPr="00295E71" w14:paraId="4E2F98C5"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N=814</w:t>
            </w:r>
          </w:p>
          <w:p w:rsidR="006224C2" w:rsidRPr="00295E71" w14:paraId="1304A199" w14:textId="77777777">
            <w:pPr>
              <w:pStyle w:val="DefaultText"/>
              <w:keepNext/>
              <w:jc w:val="center"/>
              <w:rPr>
                <w:rFonts w:ascii="Times New Roman" w:hAnsi="Times New Roman" w:cs="Times New Roman"/>
                <w:b/>
                <w:bCs/>
                <w:lang w:val="it-IT"/>
              </w:rPr>
            </w:pPr>
            <w:r w:rsidRPr="00295E71">
              <w:rPr>
                <w:rFonts w:ascii="Times New Roman" w:hAnsi="Times New Roman" w:cs="Times New Roman"/>
                <w:b/>
                <w:bCs/>
                <w:lang w:val="it-IT"/>
              </w:rPr>
              <w:t>n (%)</w:t>
            </w:r>
          </w:p>
        </w:tc>
      </w:tr>
      <w:tr w14:paraId="1ED00B90" w14:textId="77777777">
        <w:tblPrEx>
          <w:tblW w:w="6949" w:type="dxa"/>
          <w:tblLook w:val="0000"/>
        </w:tblPrEx>
        <w:trPr>
          <w:cantSplit/>
        </w:trPr>
        <w:tc>
          <w:tcPr>
            <w:tcW w:w="2977" w:type="dxa"/>
            <w:tcBorders>
              <w:top w:val="single" w:sz="4" w:space="0" w:color="auto"/>
              <w:left w:val="single" w:sz="4" w:space="0" w:color="auto"/>
              <w:bottom w:val="single" w:sz="4" w:space="0" w:color="auto"/>
              <w:right w:val="single" w:sz="4" w:space="0" w:color="auto"/>
            </w:tcBorders>
          </w:tcPr>
          <w:p w:rsidR="006224C2" w:rsidRPr="00295E71" w14:paraId="3C3776A9" w14:textId="77777777">
            <w:pPr>
              <w:pStyle w:val="DefaultText"/>
              <w:keepNext/>
              <w:rPr>
                <w:rFonts w:ascii="Times New Roman" w:hAnsi="Times New Roman" w:cs="Times New Roman"/>
                <w:b/>
                <w:bCs/>
                <w:lang w:val="it-IT"/>
              </w:rPr>
            </w:pPr>
            <w:r w:rsidRPr="00295E71">
              <w:rPr>
                <w:rFonts w:ascii="Symbol" w:hAnsi="Symbol" w:cs="Times New Roman"/>
                <w:b/>
                <w:lang w:val="it-IT"/>
              </w:rPr>
              <w:sym w:font="Symbol" w:char="F0B3"/>
            </w:r>
            <w:r w:rsidRPr="00295E71">
              <w:rPr>
                <w:rFonts w:ascii="Times New Roman" w:hAnsi="Times New Roman" w:cs="Times New Roman"/>
                <w:b/>
                <w:bCs/>
                <w:lang w:val="it-IT"/>
              </w:rPr>
              <w:t>PASI 75</w:t>
            </w:r>
            <w:r w:rsidRPr="00295E71">
              <w:rPr>
                <w:rFonts w:ascii="Times New Roman" w:hAnsi="Times New Roman" w:cs="Times New Roman"/>
                <w:b/>
                <w:bCs/>
                <w:vertAlign w:val="superscript"/>
                <w:lang w:val="it-IT"/>
              </w:rPr>
              <w:t>a</w:t>
            </w:r>
          </w:p>
        </w:tc>
        <w:tc>
          <w:tcPr>
            <w:tcW w:w="1620" w:type="dxa"/>
            <w:tcBorders>
              <w:top w:val="single" w:sz="4" w:space="0" w:color="auto"/>
              <w:left w:val="single" w:sz="4" w:space="0" w:color="auto"/>
              <w:bottom w:val="single" w:sz="4" w:space="0" w:color="auto"/>
              <w:right w:val="single" w:sz="4" w:space="0" w:color="auto"/>
            </w:tcBorders>
          </w:tcPr>
          <w:p w:rsidR="006224C2" w:rsidRPr="00295E71" w14:paraId="36D00C35"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26 (6,5)</w:t>
            </w:r>
          </w:p>
        </w:tc>
        <w:tc>
          <w:tcPr>
            <w:tcW w:w="2352" w:type="dxa"/>
            <w:tcBorders>
              <w:top w:val="single" w:sz="4" w:space="0" w:color="auto"/>
              <w:left w:val="single" w:sz="4" w:space="0" w:color="auto"/>
              <w:bottom w:val="single" w:sz="4" w:space="0" w:color="auto"/>
              <w:right w:val="single" w:sz="4" w:space="0" w:color="auto"/>
            </w:tcBorders>
          </w:tcPr>
          <w:p w:rsidR="006224C2" w:rsidRPr="00295E71" w14:paraId="66712CC9"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578 (70,9)</w:t>
            </w:r>
            <w:r w:rsidRPr="00295E71">
              <w:rPr>
                <w:rFonts w:ascii="Times New Roman" w:hAnsi="Times New Roman" w:cs="Times New Roman"/>
                <w:vertAlign w:val="superscript"/>
                <w:lang w:val="it-IT"/>
              </w:rPr>
              <w:t>b</w:t>
            </w:r>
          </w:p>
        </w:tc>
      </w:tr>
      <w:tr w14:paraId="757EA31C" w14:textId="77777777">
        <w:tblPrEx>
          <w:tblW w:w="6949" w:type="dxa"/>
          <w:tblLook w:val="0000"/>
        </w:tblPrEx>
        <w:trPr>
          <w:cantSplit/>
          <w:trHeight w:val="70"/>
        </w:trPr>
        <w:tc>
          <w:tcPr>
            <w:tcW w:w="2977" w:type="dxa"/>
            <w:tcBorders>
              <w:top w:val="single" w:sz="4" w:space="0" w:color="auto"/>
              <w:left w:val="single" w:sz="4" w:space="0" w:color="auto"/>
              <w:bottom w:val="single" w:sz="4" w:space="0" w:color="auto"/>
              <w:right w:val="single" w:sz="4" w:space="0" w:color="auto"/>
            </w:tcBorders>
          </w:tcPr>
          <w:p w:rsidR="006224C2" w:rsidRPr="00295E71" w14:paraId="2E586669" w14:textId="77777777">
            <w:pPr>
              <w:pStyle w:val="DefaultText"/>
              <w:keepNext/>
              <w:rPr>
                <w:rFonts w:ascii="Times New Roman" w:hAnsi="Times New Roman" w:cs="Times New Roman"/>
                <w:b/>
                <w:bCs/>
                <w:lang w:val="it-IT"/>
              </w:rPr>
            </w:pPr>
            <w:r w:rsidRPr="00295E71">
              <w:rPr>
                <w:rFonts w:ascii="Times New Roman" w:hAnsi="Times New Roman" w:cs="Times New Roman"/>
                <w:b/>
                <w:bCs/>
                <w:lang w:val="it-IT"/>
              </w:rPr>
              <w:t xml:space="preserve">    PASI 100</w:t>
            </w:r>
          </w:p>
        </w:tc>
        <w:tc>
          <w:tcPr>
            <w:tcW w:w="1620" w:type="dxa"/>
            <w:tcBorders>
              <w:top w:val="single" w:sz="4" w:space="0" w:color="auto"/>
              <w:left w:val="single" w:sz="4" w:space="0" w:color="auto"/>
              <w:bottom w:val="single" w:sz="4" w:space="0" w:color="auto"/>
              <w:right w:val="single" w:sz="4" w:space="0" w:color="auto"/>
            </w:tcBorders>
          </w:tcPr>
          <w:p w:rsidR="006224C2" w:rsidRPr="00295E71" w14:paraId="105D8E7B"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3 (0,8)</w:t>
            </w:r>
          </w:p>
        </w:tc>
        <w:tc>
          <w:tcPr>
            <w:tcW w:w="2352" w:type="dxa"/>
            <w:tcBorders>
              <w:top w:val="single" w:sz="4" w:space="0" w:color="auto"/>
              <w:left w:val="single" w:sz="4" w:space="0" w:color="auto"/>
              <w:bottom w:val="single" w:sz="4" w:space="0" w:color="auto"/>
              <w:right w:val="single" w:sz="4" w:space="0" w:color="auto"/>
            </w:tcBorders>
          </w:tcPr>
          <w:p w:rsidR="006224C2" w:rsidRPr="00295E71" w14:paraId="702FD155"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163 (20,0)</w:t>
            </w:r>
            <w:r w:rsidRPr="00295E71">
              <w:rPr>
                <w:rFonts w:ascii="Times New Roman" w:hAnsi="Times New Roman" w:cs="Times New Roman"/>
                <w:vertAlign w:val="superscript"/>
                <w:lang w:val="it-IT"/>
              </w:rPr>
              <w:t>b</w:t>
            </w:r>
          </w:p>
        </w:tc>
      </w:tr>
      <w:tr w14:paraId="54BC69D2" w14:textId="77777777">
        <w:tblPrEx>
          <w:tblW w:w="6949" w:type="dxa"/>
          <w:tblLook w:val="0000"/>
        </w:tblPrEx>
        <w:trPr>
          <w:cantSplit/>
        </w:trPr>
        <w:tc>
          <w:tcPr>
            <w:tcW w:w="2977" w:type="dxa"/>
            <w:tcBorders>
              <w:top w:val="single" w:sz="4" w:space="0" w:color="auto"/>
              <w:left w:val="single" w:sz="4" w:space="0" w:color="auto"/>
              <w:bottom w:val="single" w:sz="4" w:space="0" w:color="auto"/>
              <w:right w:val="single" w:sz="4" w:space="0" w:color="auto"/>
            </w:tcBorders>
          </w:tcPr>
          <w:p w:rsidR="006224C2" w:rsidRPr="00295E71" w14:paraId="1644657B" w14:textId="77777777">
            <w:pPr>
              <w:pStyle w:val="DefaultText"/>
              <w:keepNext/>
              <w:rPr>
                <w:rFonts w:ascii="Times New Roman" w:hAnsi="Times New Roman" w:cs="Times New Roman"/>
                <w:b/>
                <w:bCs/>
                <w:lang w:val="it-IT"/>
              </w:rPr>
            </w:pPr>
            <w:r w:rsidRPr="00295E71">
              <w:rPr>
                <w:rFonts w:ascii="Times New Roman" w:hAnsi="Times New Roman" w:cs="Times New Roman"/>
                <w:b/>
                <w:bCs/>
                <w:lang w:val="it-IT"/>
              </w:rPr>
              <w:t xml:space="preserve">    PGA: Guarigione/Marcato miglioramento</w:t>
            </w:r>
          </w:p>
        </w:tc>
        <w:tc>
          <w:tcPr>
            <w:tcW w:w="1620" w:type="dxa"/>
            <w:tcBorders>
              <w:top w:val="single" w:sz="4" w:space="0" w:color="auto"/>
              <w:left w:val="single" w:sz="4" w:space="0" w:color="auto"/>
              <w:bottom w:val="single" w:sz="4" w:space="0" w:color="auto"/>
              <w:right w:val="single" w:sz="4" w:space="0" w:color="auto"/>
            </w:tcBorders>
          </w:tcPr>
          <w:p w:rsidR="006224C2" w:rsidRPr="00295E71" w14:paraId="58F5E058"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17 (4,3)</w:t>
            </w:r>
          </w:p>
        </w:tc>
        <w:tc>
          <w:tcPr>
            <w:tcW w:w="2352" w:type="dxa"/>
            <w:tcBorders>
              <w:top w:val="single" w:sz="4" w:space="0" w:color="auto"/>
              <w:left w:val="single" w:sz="4" w:space="0" w:color="auto"/>
              <w:bottom w:val="single" w:sz="4" w:space="0" w:color="auto"/>
              <w:right w:val="single" w:sz="4" w:space="0" w:color="auto"/>
            </w:tcBorders>
          </w:tcPr>
          <w:p w:rsidR="006224C2" w:rsidRPr="00295E71" w14:paraId="6BAC86CD" w14:textId="77777777">
            <w:pPr>
              <w:pStyle w:val="DefaultText"/>
              <w:keepNext/>
              <w:jc w:val="center"/>
              <w:rPr>
                <w:rFonts w:ascii="Times New Roman" w:hAnsi="Times New Roman" w:cs="Times New Roman"/>
                <w:lang w:val="it-IT"/>
              </w:rPr>
            </w:pPr>
            <w:r w:rsidRPr="00295E71">
              <w:rPr>
                <w:rFonts w:ascii="Times New Roman" w:hAnsi="Times New Roman" w:cs="Times New Roman"/>
                <w:lang w:val="it-IT"/>
              </w:rPr>
              <w:t>506 (62,2)</w:t>
            </w:r>
            <w:r w:rsidRPr="00295E71">
              <w:rPr>
                <w:rFonts w:ascii="Times New Roman" w:hAnsi="Times New Roman" w:cs="Times New Roman"/>
                <w:vertAlign w:val="superscript"/>
                <w:lang w:val="it-IT"/>
              </w:rPr>
              <w:t>b</w:t>
            </w:r>
          </w:p>
        </w:tc>
      </w:tr>
      <w:tr w14:paraId="6374F762" w14:textId="77777777">
        <w:tblPrEx>
          <w:tblW w:w="6949" w:type="dxa"/>
          <w:tblLook w:val="0000"/>
        </w:tblPrEx>
        <w:trPr>
          <w:cantSplit/>
        </w:trPr>
        <w:tc>
          <w:tcPr>
            <w:tcW w:w="6949" w:type="dxa"/>
            <w:gridSpan w:val="3"/>
            <w:tcBorders>
              <w:top w:val="single" w:sz="4" w:space="0" w:color="auto"/>
              <w:left w:val="single" w:sz="4" w:space="0" w:color="auto"/>
              <w:bottom w:val="single" w:sz="4" w:space="0" w:color="auto"/>
              <w:right w:val="single" w:sz="4" w:space="0" w:color="auto"/>
            </w:tcBorders>
          </w:tcPr>
          <w:p w:rsidR="006224C2" w:rsidRPr="00DA456F" w14:paraId="5B348729" w14:textId="77777777">
            <w:pPr>
              <w:pStyle w:val="DefaultText"/>
              <w:keepNext/>
              <w:rPr>
                <w:rFonts w:ascii="Times New Roman" w:hAnsi="Times New Roman" w:cs="Times New Roman"/>
                <w:lang w:val="it-IT"/>
              </w:rPr>
            </w:pPr>
            <w:r w:rsidRPr="00DA456F">
              <w:rPr>
                <w:rFonts w:ascii="Times New Roman" w:hAnsi="Times New Roman" w:cs="Times New Roman"/>
                <w:vertAlign w:val="superscript"/>
                <w:lang w:val="it-IT"/>
              </w:rPr>
              <w:t>a</w:t>
            </w:r>
            <w:r w:rsidRPr="00DA456F">
              <w:rPr>
                <w:rFonts w:ascii="Times New Roman" w:hAnsi="Times New Roman" w:cs="Times New Roman"/>
                <w:lang w:val="it-IT"/>
              </w:rPr>
              <w:t xml:space="preserve"> La percentuale di pazienti che ha ottenuto una risposta PASI 75 è stata calcolata sotto forma di centre-adjusted rate</w:t>
            </w:r>
          </w:p>
          <w:p w:rsidR="006224C2" w:rsidRPr="00C04163" w14:paraId="093222FD" w14:textId="77777777">
            <w:pPr>
              <w:pStyle w:val="DefaultText"/>
              <w:keepNext/>
              <w:ind w:left="849" w:hanging="283"/>
              <w:outlineLvl w:val="4"/>
              <w:rPr>
                <w:rFonts w:ascii="Times New Roman" w:hAnsi="Times New Roman" w:cs="Times New Roman"/>
                <w:b/>
                <w:lang w:val="pt-PT"/>
              </w:rPr>
            </w:pPr>
            <w:r w:rsidRPr="00C04163">
              <w:rPr>
                <w:rFonts w:ascii="Times New Roman" w:hAnsi="Times New Roman" w:cs="Times New Roman"/>
                <w:vertAlign w:val="superscript"/>
                <w:lang w:val="pt-PT"/>
              </w:rPr>
              <w:t>b</w:t>
            </w:r>
            <w:r w:rsidRPr="00C04163">
              <w:rPr>
                <w:rFonts w:ascii="Times New Roman" w:hAnsi="Times New Roman" w:cs="Times New Roman"/>
                <w:lang w:val="pt-PT"/>
              </w:rPr>
              <w:t xml:space="preserve"> p&lt;0,001, Humira vs. Placebo</w:t>
            </w:r>
          </w:p>
        </w:tc>
      </w:tr>
    </w:tbl>
    <w:p w:rsidR="006224C2" w:rsidRPr="00C04163" w14:paraId="194362A4" w14:textId="77777777">
      <w:pPr>
        <w:rPr>
          <w:sz w:val="22"/>
          <w:szCs w:val="22"/>
          <w:lang w:val="pt-PT"/>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3"/>
        <w:gridCol w:w="1528"/>
        <w:gridCol w:w="1246"/>
        <w:gridCol w:w="2149"/>
      </w:tblGrid>
      <w:tr w14:paraId="1E9BAFA9" w14:textId="77777777">
        <w:tblPrEx>
          <w:tblW w:w="7046" w:type="dxa"/>
          <w:tblLook w:val="0000"/>
        </w:tblPrEx>
        <w:trPr>
          <w:cantSplit/>
        </w:trPr>
        <w:tc>
          <w:tcPr>
            <w:tcW w:w="7046" w:type="dxa"/>
            <w:gridSpan w:val="4"/>
            <w:tcBorders>
              <w:top w:val="nil"/>
              <w:left w:val="nil"/>
              <w:bottom w:val="single" w:sz="4" w:space="0" w:color="auto"/>
              <w:right w:val="nil"/>
            </w:tcBorders>
          </w:tcPr>
          <w:p w:rsidR="006224C2" w:rsidRPr="00295E71" w14:paraId="492BE09B" w14:textId="77777777">
            <w:pPr>
              <w:pStyle w:val="DefaultText"/>
              <w:keepNext/>
              <w:keepLines/>
              <w:jc w:val="center"/>
              <w:rPr>
                <w:rFonts w:ascii="Times New Roman" w:hAnsi="Times New Roman" w:cs="Times New Roman"/>
                <w:b/>
                <w:bCs/>
                <w:lang w:val="it-IT"/>
              </w:rPr>
            </w:pPr>
            <w:r w:rsidRPr="003E732F">
              <w:rPr>
                <w:rFonts w:ascii="Times New Roman" w:hAnsi="Times New Roman" w:cs="Times New Roman"/>
                <w:lang w:val="it-IT"/>
              </w:rPr>
              <w:br w:type="page"/>
            </w:r>
            <w:r w:rsidRPr="00295E71" w:rsidR="00226BC4">
              <w:rPr>
                <w:rFonts w:ascii="Times New Roman" w:hAnsi="Times New Roman" w:cs="Times New Roman"/>
                <w:b/>
                <w:bCs/>
                <w:lang w:val="it-IT"/>
              </w:rPr>
              <w:t xml:space="preserve">Tabella </w:t>
            </w:r>
            <w:r w:rsidR="00800CE0">
              <w:rPr>
                <w:rFonts w:ascii="Times New Roman" w:hAnsi="Times New Roman" w:cs="Times New Roman"/>
                <w:b/>
                <w:bCs/>
                <w:lang w:val="it-IT"/>
              </w:rPr>
              <w:t>10</w:t>
            </w:r>
          </w:p>
          <w:p w:rsidR="006224C2" w:rsidRPr="00295E71" w14:paraId="33546889"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Studio II sulla psoriasi (CHAMPION)</w:t>
            </w:r>
          </w:p>
          <w:p w:rsidR="006224C2" w:rsidRPr="00295E71" w14:paraId="483B1B86" w14:textId="77777777">
            <w:pPr>
              <w:pStyle w:val="DefaultText"/>
              <w:keepNext/>
              <w:keepLines/>
              <w:jc w:val="center"/>
              <w:rPr>
                <w:rFonts w:ascii="Times New Roman" w:hAnsi="Times New Roman" w:cs="Times New Roman"/>
                <w:u w:val="single"/>
                <w:lang w:val="it-IT"/>
              </w:rPr>
            </w:pPr>
            <w:r w:rsidRPr="00295E71">
              <w:rPr>
                <w:rFonts w:ascii="Times New Roman" w:hAnsi="Times New Roman" w:cs="Times New Roman"/>
                <w:b/>
                <w:bCs/>
                <w:lang w:val="it-IT"/>
              </w:rPr>
              <w:t>Risultati relativi all’efficacia alla settimana 16</w:t>
            </w:r>
          </w:p>
        </w:tc>
      </w:tr>
      <w:tr w14:paraId="6794A2BF" w14:textId="77777777" w:rsidTr="0002593D">
        <w:tblPrEx>
          <w:tblW w:w="7046" w:type="dxa"/>
          <w:tblLook w:val="0000"/>
        </w:tblPrEx>
        <w:trPr>
          <w:cantSplit/>
          <w:trHeight w:val="63"/>
        </w:trPr>
        <w:tc>
          <w:tcPr>
            <w:tcW w:w="2123" w:type="dxa"/>
            <w:tcBorders>
              <w:top w:val="single" w:sz="4" w:space="0" w:color="auto"/>
              <w:left w:val="single" w:sz="4" w:space="0" w:color="auto"/>
              <w:bottom w:val="single" w:sz="4" w:space="0" w:color="auto"/>
              <w:right w:val="single" w:sz="4" w:space="0" w:color="auto"/>
            </w:tcBorders>
          </w:tcPr>
          <w:p w:rsidR="006224C2" w:rsidRPr="00295E71" w14:paraId="55AEA0EA" w14:textId="77777777">
            <w:pPr>
              <w:pStyle w:val="DefaultText"/>
              <w:keepNext/>
              <w:keepLines/>
              <w:jc w:val="center"/>
              <w:rPr>
                <w:rFonts w:ascii="Times New Roman" w:hAnsi="Times New Roman" w:cs="Times New Roman"/>
                <w:b/>
                <w:bCs/>
                <w:lang w:val="it-IT"/>
              </w:rPr>
            </w:pPr>
          </w:p>
        </w:tc>
        <w:tc>
          <w:tcPr>
            <w:tcW w:w="1528" w:type="dxa"/>
            <w:tcBorders>
              <w:top w:val="single" w:sz="4" w:space="0" w:color="auto"/>
              <w:left w:val="single" w:sz="4" w:space="0" w:color="auto"/>
              <w:bottom w:val="single" w:sz="4" w:space="0" w:color="auto"/>
              <w:right w:val="single" w:sz="4" w:space="0" w:color="auto"/>
            </w:tcBorders>
            <w:vAlign w:val="center"/>
          </w:tcPr>
          <w:p w:rsidR="006224C2" w:rsidRPr="00295E71" w14:paraId="27600587" w14:textId="77777777">
            <w:pPr>
              <w:pStyle w:val="DefaultText"/>
              <w:keepNext/>
              <w:keepLines/>
              <w:jc w:val="center"/>
              <w:rPr>
                <w:rFonts w:ascii="Times New Roman" w:hAnsi="Times New Roman" w:cs="Times New Roman"/>
                <w:b/>
                <w:lang w:val="it-IT"/>
              </w:rPr>
            </w:pPr>
            <w:r w:rsidRPr="00295E71">
              <w:rPr>
                <w:rFonts w:ascii="Times New Roman" w:hAnsi="Times New Roman" w:cs="Times New Roman"/>
                <w:b/>
                <w:lang w:val="it-IT"/>
              </w:rPr>
              <w:t>Placebo</w:t>
            </w:r>
          </w:p>
          <w:p w:rsidR="006224C2" w:rsidRPr="00295E71" w14:paraId="29C0E1B0" w14:textId="77777777">
            <w:pPr>
              <w:pStyle w:val="DefaultText"/>
              <w:keepNext/>
              <w:keepLines/>
              <w:jc w:val="center"/>
              <w:rPr>
                <w:rFonts w:ascii="Times New Roman" w:hAnsi="Times New Roman" w:cs="Times New Roman"/>
                <w:b/>
                <w:lang w:val="it-IT"/>
              </w:rPr>
            </w:pPr>
            <w:r w:rsidRPr="00295E71">
              <w:rPr>
                <w:rFonts w:ascii="Times New Roman" w:hAnsi="Times New Roman" w:cs="Times New Roman"/>
                <w:b/>
                <w:lang w:val="it-IT"/>
              </w:rPr>
              <w:t>N=53</w:t>
            </w:r>
          </w:p>
          <w:p w:rsidR="006224C2" w:rsidRPr="00295E71" w14:paraId="679EE803" w14:textId="77777777">
            <w:pPr>
              <w:pStyle w:val="DefaultText"/>
              <w:keepNext/>
              <w:keepLines/>
              <w:jc w:val="center"/>
              <w:rPr>
                <w:rFonts w:ascii="Times New Roman" w:hAnsi="Times New Roman" w:cs="Times New Roman"/>
                <w:b/>
                <w:lang w:val="it-IT"/>
              </w:rPr>
            </w:pPr>
            <w:r w:rsidRPr="00295E71">
              <w:rPr>
                <w:rFonts w:ascii="Times New Roman" w:hAnsi="Times New Roman" w:cs="Times New Roman"/>
                <w:b/>
                <w:lang w:val="it-IT"/>
              </w:rPr>
              <w:t>n (%)</w:t>
            </w:r>
          </w:p>
        </w:tc>
        <w:tc>
          <w:tcPr>
            <w:tcW w:w="1246" w:type="dxa"/>
            <w:tcBorders>
              <w:top w:val="single" w:sz="4" w:space="0" w:color="auto"/>
              <w:left w:val="single" w:sz="4" w:space="0" w:color="auto"/>
              <w:bottom w:val="single" w:sz="4" w:space="0" w:color="auto"/>
              <w:right w:val="single" w:sz="4" w:space="0" w:color="auto"/>
            </w:tcBorders>
            <w:vAlign w:val="center"/>
          </w:tcPr>
          <w:p w:rsidR="006224C2" w:rsidRPr="00295E71" w14:paraId="5637BB71"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MTX</w:t>
            </w:r>
          </w:p>
          <w:p w:rsidR="006224C2" w:rsidRPr="00295E71" w14:paraId="331EBDA9"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N=110</w:t>
            </w:r>
          </w:p>
          <w:p w:rsidR="006224C2" w:rsidRPr="00295E71" w14:paraId="3D5ECD8B"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n (%)</w:t>
            </w:r>
          </w:p>
        </w:tc>
        <w:tc>
          <w:tcPr>
            <w:tcW w:w="2149" w:type="dxa"/>
            <w:tcBorders>
              <w:top w:val="single" w:sz="4" w:space="0" w:color="auto"/>
              <w:left w:val="single" w:sz="4" w:space="0" w:color="auto"/>
              <w:bottom w:val="single" w:sz="4" w:space="0" w:color="auto"/>
              <w:right w:val="single" w:sz="4" w:space="0" w:color="auto"/>
            </w:tcBorders>
            <w:vAlign w:val="center"/>
          </w:tcPr>
          <w:p w:rsidR="006224C2" w:rsidRPr="00295E71" w14:paraId="79001C78"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Humira 40 mg a settimane alterne</w:t>
            </w:r>
          </w:p>
          <w:p w:rsidR="006224C2" w:rsidRPr="00295E71" w14:paraId="145112AB"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N=108</w:t>
            </w:r>
          </w:p>
          <w:p w:rsidR="006224C2" w:rsidRPr="00295E71" w14:paraId="0545F354" w14:textId="77777777">
            <w:pPr>
              <w:pStyle w:val="DefaultText"/>
              <w:keepNext/>
              <w:keepLines/>
              <w:jc w:val="center"/>
              <w:rPr>
                <w:rFonts w:ascii="Times New Roman" w:hAnsi="Times New Roman" w:cs="Times New Roman"/>
                <w:b/>
                <w:bCs/>
                <w:lang w:val="it-IT"/>
              </w:rPr>
            </w:pPr>
            <w:r w:rsidRPr="00295E71">
              <w:rPr>
                <w:rFonts w:ascii="Times New Roman" w:hAnsi="Times New Roman" w:cs="Times New Roman"/>
                <w:b/>
                <w:bCs/>
                <w:lang w:val="it-IT"/>
              </w:rPr>
              <w:t>n (%)</w:t>
            </w:r>
          </w:p>
        </w:tc>
      </w:tr>
      <w:tr w14:paraId="6DB0A8FA" w14:textId="77777777">
        <w:tblPrEx>
          <w:tblW w:w="7046" w:type="dxa"/>
          <w:tblLook w:val="0000"/>
        </w:tblPrEx>
        <w:trPr>
          <w:cantSplit/>
        </w:trPr>
        <w:tc>
          <w:tcPr>
            <w:tcW w:w="2123" w:type="dxa"/>
            <w:tcBorders>
              <w:top w:val="single" w:sz="4" w:space="0" w:color="auto"/>
              <w:left w:val="single" w:sz="4" w:space="0" w:color="auto"/>
              <w:bottom w:val="single" w:sz="4" w:space="0" w:color="auto"/>
              <w:right w:val="single" w:sz="4" w:space="0" w:color="auto"/>
            </w:tcBorders>
          </w:tcPr>
          <w:p w:rsidR="006224C2" w:rsidRPr="00295E71" w14:paraId="4C34734B" w14:textId="77777777">
            <w:pPr>
              <w:pStyle w:val="DefaultText"/>
              <w:keepNext/>
              <w:keepLines/>
              <w:rPr>
                <w:rFonts w:ascii="Times New Roman" w:hAnsi="Times New Roman" w:cs="Times New Roman"/>
                <w:b/>
                <w:bCs/>
                <w:lang w:val="it-IT"/>
              </w:rPr>
            </w:pPr>
            <w:r w:rsidRPr="00295E71">
              <w:rPr>
                <w:rFonts w:ascii="Symbol" w:hAnsi="Symbol" w:cs="Times New Roman"/>
                <w:b/>
                <w:lang w:val="it-IT"/>
              </w:rPr>
              <w:sym w:font="Symbol" w:char="F0B3"/>
            </w:r>
            <w:r w:rsidRPr="00295E71">
              <w:rPr>
                <w:rFonts w:ascii="Times New Roman" w:hAnsi="Times New Roman" w:cs="Times New Roman"/>
                <w:b/>
                <w:bCs/>
                <w:lang w:val="it-IT"/>
              </w:rPr>
              <w:t>PASI 75</w:t>
            </w:r>
          </w:p>
        </w:tc>
        <w:tc>
          <w:tcPr>
            <w:tcW w:w="1528" w:type="dxa"/>
            <w:tcBorders>
              <w:top w:val="single" w:sz="4" w:space="0" w:color="auto"/>
              <w:left w:val="single" w:sz="4" w:space="0" w:color="auto"/>
              <w:bottom w:val="single" w:sz="4" w:space="0" w:color="auto"/>
              <w:right w:val="single" w:sz="4" w:space="0" w:color="auto"/>
            </w:tcBorders>
          </w:tcPr>
          <w:p w:rsidR="006224C2" w:rsidRPr="00295E71" w14:paraId="1337F265"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10 (18,9)</w:t>
            </w:r>
          </w:p>
        </w:tc>
        <w:tc>
          <w:tcPr>
            <w:tcW w:w="1246" w:type="dxa"/>
            <w:tcBorders>
              <w:top w:val="single" w:sz="4" w:space="0" w:color="auto"/>
              <w:left w:val="single" w:sz="4" w:space="0" w:color="auto"/>
              <w:bottom w:val="single" w:sz="4" w:space="0" w:color="auto"/>
              <w:right w:val="single" w:sz="4" w:space="0" w:color="auto"/>
            </w:tcBorders>
          </w:tcPr>
          <w:p w:rsidR="006224C2" w:rsidRPr="00295E71" w14:paraId="645AC09D"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39 (35,5)</w:t>
            </w:r>
          </w:p>
        </w:tc>
        <w:tc>
          <w:tcPr>
            <w:tcW w:w="2149" w:type="dxa"/>
            <w:tcBorders>
              <w:top w:val="single" w:sz="4" w:space="0" w:color="auto"/>
              <w:left w:val="single" w:sz="4" w:space="0" w:color="auto"/>
              <w:bottom w:val="single" w:sz="4" w:space="0" w:color="auto"/>
              <w:right w:val="single" w:sz="4" w:space="0" w:color="auto"/>
            </w:tcBorders>
          </w:tcPr>
          <w:p w:rsidR="006224C2" w:rsidRPr="00295E71" w14:paraId="089C4285"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86 (79,6)</w:t>
            </w:r>
            <w:r w:rsidRPr="00295E71">
              <w:rPr>
                <w:rFonts w:ascii="Times New Roman" w:hAnsi="Times New Roman" w:cs="Times New Roman"/>
                <w:vertAlign w:val="superscript"/>
                <w:lang w:val="it-IT"/>
              </w:rPr>
              <w:t xml:space="preserve"> a, b</w:t>
            </w:r>
          </w:p>
        </w:tc>
      </w:tr>
      <w:tr w14:paraId="5825E3E0" w14:textId="77777777">
        <w:tblPrEx>
          <w:tblW w:w="7046" w:type="dxa"/>
          <w:tblLook w:val="0000"/>
        </w:tblPrEx>
        <w:trPr>
          <w:cantSplit/>
        </w:trPr>
        <w:tc>
          <w:tcPr>
            <w:tcW w:w="2123" w:type="dxa"/>
            <w:tcBorders>
              <w:top w:val="single" w:sz="4" w:space="0" w:color="auto"/>
              <w:left w:val="single" w:sz="4" w:space="0" w:color="auto"/>
              <w:bottom w:val="single" w:sz="4" w:space="0" w:color="auto"/>
              <w:right w:val="single" w:sz="4" w:space="0" w:color="auto"/>
            </w:tcBorders>
          </w:tcPr>
          <w:p w:rsidR="006224C2" w:rsidRPr="00295E71" w14:paraId="2D4F75A8" w14:textId="77777777">
            <w:pPr>
              <w:pStyle w:val="DefaultText"/>
              <w:keepNext/>
              <w:keepLines/>
              <w:rPr>
                <w:rFonts w:ascii="Times New Roman" w:hAnsi="Times New Roman" w:cs="Times New Roman"/>
                <w:b/>
                <w:bCs/>
                <w:lang w:val="it-IT"/>
              </w:rPr>
            </w:pPr>
            <w:r w:rsidRPr="00295E71">
              <w:rPr>
                <w:rFonts w:ascii="Times New Roman" w:hAnsi="Times New Roman" w:cs="Times New Roman"/>
                <w:b/>
                <w:bCs/>
                <w:lang w:val="it-IT"/>
              </w:rPr>
              <w:t xml:space="preserve">    PASI 100</w:t>
            </w:r>
          </w:p>
        </w:tc>
        <w:tc>
          <w:tcPr>
            <w:tcW w:w="1528" w:type="dxa"/>
            <w:tcBorders>
              <w:top w:val="single" w:sz="4" w:space="0" w:color="auto"/>
              <w:left w:val="single" w:sz="4" w:space="0" w:color="auto"/>
              <w:bottom w:val="single" w:sz="4" w:space="0" w:color="auto"/>
              <w:right w:val="single" w:sz="4" w:space="0" w:color="auto"/>
            </w:tcBorders>
          </w:tcPr>
          <w:p w:rsidR="006224C2" w:rsidRPr="00295E71" w14:paraId="5C618B2A"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1 (1,9)</w:t>
            </w:r>
          </w:p>
        </w:tc>
        <w:tc>
          <w:tcPr>
            <w:tcW w:w="1246" w:type="dxa"/>
            <w:tcBorders>
              <w:top w:val="single" w:sz="4" w:space="0" w:color="auto"/>
              <w:left w:val="single" w:sz="4" w:space="0" w:color="auto"/>
              <w:bottom w:val="single" w:sz="4" w:space="0" w:color="auto"/>
              <w:right w:val="single" w:sz="4" w:space="0" w:color="auto"/>
            </w:tcBorders>
          </w:tcPr>
          <w:p w:rsidR="006224C2" w:rsidRPr="00295E71" w14:paraId="2524C1FF"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8 (7,3)</w:t>
            </w:r>
          </w:p>
        </w:tc>
        <w:tc>
          <w:tcPr>
            <w:tcW w:w="2149" w:type="dxa"/>
            <w:tcBorders>
              <w:top w:val="single" w:sz="4" w:space="0" w:color="auto"/>
              <w:left w:val="single" w:sz="4" w:space="0" w:color="auto"/>
              <w:bottom w:val="single" w:sz="4" w:space="0" w:color="auto"/>
              <w:right w:val="single" w:sz="4" w:space="0" w:color="auto"/>
            </w:tcBorders>
          </w:tcPr>
          <w:p w:rsidR="006224C2" w:rsidRPr="00295E71" w14:paraId="0E331128"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18 (16,7)</w:t>
            </w:r>
            <w:r w:rsidRPr="00295E71">
              <w:rPr>
                <w:rFonts w:ascii="Times New Roman" w:hAnsi="Times New Roman" w:cs="Times New Roman"/>
                <w:vertAlign w:val="superscript"/>
                <w:lang w:val="it-IT"/>
              </w:rPr>
              <w:t xml:space="preserve"> c, d</w:t>
            </w:r>
          </w:p>
        </w:tc>
      </w:tr>
      <w:tr w14:paraId="3F86BEA5" w14:textId="77777777">
        <w:tblPrEx>
          <w:tblW w:w="7046" w:type="dxa"/>
          <w:tblLook w:val="0000"/>
        </w:tblPrEx>
        <w:trPr>
          <w:cantSplit/>
        </w:trPr>
        <w:tc>
          <w:tcPr>
            <w:tcW w:w="2123" w:type="dxa"/>
            <w:tcBorders>
              <w:top w:val="single" w:sz="4" w:space="0" w:color="auto"/>
              <w:left w:val="single" w:sz="4" w:space="0" w:color="auto"/>
              <w:bottom w:val="single" w:sz="4" w:space="0" w:color="auto"/>
              <w:right w:val="single" w:sz="4" w:space="0" w:color="auto"/>
            </w:tcBorders>
          </w:tcPr>
          <w:p w:rsidR="006224C2" w:rsidRPr="00295E71" w14:paraId="40A3F8FE" w14:textId="77777777">
            <w:pPr>
              <w:pStyle w:val="DefaultText"/>
              <w:keepNext/>
              <w:keepLines/>
              <w:rPr>
                <w:rFonts w:ascii="Times New Roman" w:hAnsi="Times New Roman" w:cs="Times New Roman"/>
                <w:b/>
                <w:bCs/>
                <w:lang w:val="it-IT"/>
              </w:rPr>
            </w:pPr>
            <w:r w:rsidRPr="00295E71">
              <w:rPr>
                <w:rFonts w:ascii="Times New Roman" w:hAnsi="Times New Roman" w:cs="Times New Roman"/>
                <w:b/>
                <w:bCs/>
                <w:lang w:val="it-IT"/>
              </w:rPr>
              <w:t xml:space="preserve">    PGA: Guarigione/marcato miglioramento</w:t>
            </w:r>
          </w:p>
        </w:tc>
        <w:tc>
          <w:tcPr>
            <w:tcW w:w="1528" w:type="dxa"/>
            <w:tcBorders>
              <w:top w:val="single" w:sz="4" w:space="0" w:color="auto"/>
              <w:left w:val="single" w:sz="4" w:space="0" w:color="auto"/>
              <w:bottom w:val="single" w:sz="4" w:space="0" w:color="auto"/>
              <w:right w:val="single" w:sz="4" w:space="0" w:color="auto"/>
            </w:tcBorders>
          </w:tcPr>
          <w:p w:rsidR="006224C2" w:rsidRPr="00295E71" w14:paraId="6D940256"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6 (11,3)</w:t>
            </w:r>
          </w:p>
        </w:tc>
        <w:tc>
          <w:tcPr>
            <w:tcW w:w="1246" w:type="dxa"/>
            <w:tcBorders>
              <w:top w:val="single" w:sz="4" w:space="0" w:color="auto"/>
              <w:left w:val="single" w:sz="4" w:space="0" w:color="auto"/>
              <w:bottom w:val="single" w:sz="4" w:space="0" w:color="auto"/>
              <w:right w:val="single" w:sz="4" w:space="0" w:color="auto"/>
            </w:tcBorders>
          </w:tcPr>
          <w:p w:rsidR="006224C2" w:rsidRPr="00295E71" w14:paraId="622A83D1"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33 (30,0)</w:t>
            </w:r>
          </w:p>
        </w:tc>
        <w:tc>
          <w:tcPr>
            <w:tcW w:w="2149" w:type="dxa"/>
            <w:tcBorders>
              <w:top w:val="single" w:sz="4" w:space="0" w:color="auto"/>
              <w:left w:val="single" w:sz="4" w:space="0" w:color="auto"/>
              <w:bottom w:val="single" w:sz="4" w:space="0" w:color="auto"/>
              <w:right w:val="single" w:sz="4" w:space="0" w:color="auto"/>
            </w:tcBorders>
          </w:tcPr>
          <w:p w:rsidR="006224C2" w:rsidRPr="00295E71" w14:paraId="140FDC65" w14:textId="77777777">
            <w:pPr>
              <w:pStyle w:val="DefaultText"/>
              <w:keepNext/>
              <w:keepLines/>
              <w:jc w:val="center"/>
              <w:rPr>
                <w:rFonts w:ascii="Times New Roman" w:hAnsi="Times New Roman" w:cs="Times New Roman"/>
                <w:lang w:val="it-IT"/>
              </w:rPr>
            </w:pPr>
            <w:r w:rsidRPr="00295E71">
              <w:rPr>
                <w:rFonts w:ascii="Times New Roman" w:hAnsi="Times New Roman" w:cs="Times New Roman"/>
                <w:lang w:val="it-IT"/>
              </w:rPr>
              <w:t>79 (73,1)</w:t>
            </w:r>
            <w:r w:rsidRPr="00295E71">
              <w:rPr>
                <w:rFonts w:ascii="Times New Roman" w:hAnsi="Times New Roman" w:cs="Times New Roman"/>
                <w:vertAlign w:val="superscript"/>
                <w:lang w:val="it-IT"/>
              </w:rPr>
              <w:t xml:space="preserve"> a, b</w:t>
            </w:r>
          </w:p>
        </w:tc>
      </w:tr>
      <w:tr w14:paraId="3D290236" w14:textId="77777777">
        <w:tblPrEx>
          <w:tblW w:w="7046" w:type="dxa"/>
          <w:tblLook w:val="0000"/>
        </w:tblPrEx>
        <w:trPr>
          <w:cantSplit/>
        </w:trPr>
        <w:tc>
          <w:tcPr>
            <w:tcW w:w="7046" w:type="dxa"/>
            <w:gridSpan w:val="4"/>
            <w:tcBorders>
              <w:top w:val="single" w:sz="4" w:space="0" w:color="auto"/>
              <w:left w:val="single" w:sz="4" w:space="0" w:color="auto"/>
              <w:bottom w:val="single" w:sz="4" w:space="0" w:color="auto"/>
              <w:right w:val="single" w:sz="4" w:space="0" w:color="auto"/>
            </w:tcBorders>
          </w:tcPr>
          <w:p w:rsidR="006224C2" w:rsidRPr="00295E71" w14:paraId="2F4CA35F" w14:textId="77777777">
            <w:pPr>
              <w:pStyle w:val="DefaultText"/>
              <w:keepNext/>
              <w:keepLines/>
              <w:rPr>
                <w:rFonts w:ascii="Times New Roman" w:hAnsi="Times New Roman" w:cs="Times New Roman"/>
                <w:lang w:val="it-IT"/>
              </w:rPr>
            </w:pPr>
            <w:r w:rsidRPr="00295E71">
              <w:rPr>
                <w:rFonts w:ascii="Times New Roman" w:hAnsi="Times New Roman" w:cs="Times New Roman"/>
                <w:vertAlign w:val="superscript"/>
                <w:lang w:val="it-IT"/>
              </w:rPr>
              <w:t>a</w:t>
            </w:r>
            <w:r w:rsidRPr="00295E71">
              <w:rPr>
                <w:rFonts w:ascii="Times New Roman" w:hAnsi="Times New Roman" w:cs="Times New Roman"/>
                <w:lang w:val="it-IT"/>
              </w:rPr>
              <w:t xml:space="preserve"> p&lt;0,001 Humira vs. placebo</w:t>
            </w:r>
          </w:p>
          <w:p w:rsidR="006224C2" w:rsidRPr="00295E71" w14:paraId="2A244EC7" w14:textId="77777777">
            <w:pPr>
              <w:pStyle w:val="DefaultText"/>
              <w:keepNext/>
              <w:keepLines/>
              <w:rPr>
                <w:rFonts w:ascii="Times New Roman" w:hAnsi="Times New Roman" w:cs="Times New Roman"/>
                <w:lang w:val="it-IT"/>
              </w:rPr>
            </w:pPr>
            <w:r w:rsidRPr="00295E71">
              <w:rPr>
                <w:rFonts w:ascii="Times New Roman" w:hAnsi="Times New Roman" w:cs="Times New Roman"/>
                <w:vertAlign w:val="superscript"/>
                <w:lang w:val="it-IT"/>
              </w:rPr>
              <w:t>b</w:t>
            </w:r>
            <w:r w:rsidRPr="00295E71">
              <w:rPr>
                <w:rFonts w:ascii="Times New Roman" w:hAnsi="Times New Roman" w:cs="Times New Roman"/>
                <w:lang w:val="it-IT"/>
              </w:rPr>
              <w:t xml:space="preserve"> p&lt;0,001 Humira vs. metotressato</w:t>
            </w:r>
          </w:p>
          <w:p w:rsidR="006224C2" w:rsidRPr="00295E71" w14:paraId="4DEEE4E9" w14:textId="77777777">
            <w:pPr>
              <w:pStyle w:val="DefaultText"/>
              <w:keepNext/>
              <w:keepLines/>
              <w:rPr>
                <w:rFonts w:ascii="Times New Roman" w:hAnsi="Times New Roman" w:cs="Times New Roman"/>
                <w:lang w:val="it-IT"/>
              </w:rPr>
            </w:pPr>
            <w:r w:rsidRPr="00295E71">
              <w:rPr>
                <w:rFonts w:ascii="Times New Roman" w:hAnsi="Times New Roman" w:cs="Times New Roman"/>
                <w:vertAlign w:val="superscript"/>
                <w:lang w:val="it-IT"/>
              </w:rPr>
              <w:t>c</w:t>
            </w:r>
            <w:r w:rsidRPr="00295E71">
              <w:rPr>
                <w:rFonts w:ascii="Times New Roman" w:hAnsi="Times New Roman" w:cs="Times New Roman"/>
                <w:lang w:val="it-IT"/>
              </w:rPr>
              <w:t xml:space="preserve"> p&lt;0,01 Humira vs. placebo</w:t>
            </w:r>
          </w:p>
          <w:p w:rsidR="006224C2" w:rsidRPr="00295E71" w14:paraId="60D09675" w14:textId="77777777">
            <w:pPr>
              <w:pStyle w:val="DefaultText"/>
              <w:keepNext/>
              <w:keepLines/>
              <w:rPr>
                <w:rFonts w:ascii="Times New Roman" w:hAnsi="Times New Roman" w:cs="Times New Roman"/>
                <w:lang w:val="it-IT"/>
              </w:rPr>
            </w:pPr>
            <w:r w:rsidRPr="00295E71">
              <w:rPr>
                <w:rFonts w:ascii="Times New Roman" w:hAnsi="Times New Roman" w:cs="Times New Roman"/>
                <w:vertAlign w:val="superscript"/>
                <w:lang w:val="it-IT"/>
              </w:rPr>
              <w:t>d</w:t>
            </w:r>
            <w:r w:rsidRPr="00295E71">
              <w:rPr>
                <w:rFonts w:ascii="Times New Roman" w:hAnsi="Times New Roman" w:cs="Times New Roman"/>
                <w:lang w:val="it-IT"/>
              </w:rPr>
              <w:t xml:space="preserve"> p&lt;0,05 Humira vs. metotressato</w:t>
            </w:r>
          </w:p>
        </w:tc>
      </w:tr>
    </w:tbl>
    <w:p w:rsidR="006224C2" w:rsidRPr="00295E71" w14:paraId="6946A72F" w14:textId="77777777">
      <w:pPr>
        <w:tabs>
          <w:tab w:val="left" w:pos="567"/>
          <w:tab w:val="left" w:pos="1294"/>
        </w:tabs>
        <w:autoSpaceDE w:val="0"/>
        <w:autoSpaceDN w:val="0"/>
        <w:adjustRightInd w:val="0"/>
        <w:rPr>
          <w:color w:val="000000"/>
          <w:sz w:val="22"/>
          <w:szCs w:val="22"/>
        </w:rPr>
      </w:pPr>
    </w:p>
    <w:p w:rsidR="006224C2" w:rsidRPr="00295E71" w14:paraId="5688A08C"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Nel corso dello studio I sulla psoriasi, </w:t>
      </w:r>
      <w:r w:rsidR="007409F8">
        <w:rPr>
          <w:color w:val="000000"/>
          <w:sz w:val="22"/>
          <w:szCs w:val="22"/>
        </w:rPr>
        <w:t>nel</w:t>
      </w:r>
      <w:r w:rsidRPr="00295E71">
        <w:rPr>
          <w:color w:val="000000"/>
          <w:sz w:val="22"/>
          <w:szCs w:val="22"/>
        </w:rPr>
        <w:t xml:space="preserve"> 28% dei pazienti randomizzati a placebo alla settimana 33 dopo aver ottenuto una risposta PASI 75 rispetto al 5% di pazienti che ha proseguito la terapia con Humira, p&lt;0,001, si è verificata una “perdita di risposta adeguata” (definita da un punteggio PASI che dopo la settimana 33 e prima</w:t>
      </w:r>
      <w:r w:rsidR="007409F8">
        <w:rPr>
          <w:color w:val="000000"/>
          <w:sz w:val="22"/>
          <w:szCs w:val="22"/>
        </w:rPr>
        <w:t xml:space="preserve"> o a</w:t>
      </w:r>
      <w:r w:rsidRPr="00295E71">
        <w:rPr>
          <w:color w:val="000000"/>
          <w:sz w:val="22"/>
          <w:szCs w:val="22"/>
        </w:rPr>
        <w:t xml:space="preserve">lla scadenza della settimana 52 sia risultato &lt;PASI 50 rispetto al valore basale con un aumento minimo di 6 punti del punteggio PASI relativo alla settimana 33). Tra i pazienti in cui si è verificata la “perdita di risposta adeguata” dopo la ri-randomizzazione per ricevere placebo, e che sono stati successivamente </w:t>
      </w:r>
      <w:r w:rsidRPr="00020442" w:rsidR="007409F8">
        <w:rPr>
          <w:color w:val="000000"/>
          <w:sz w:val="22"/>
          <w:szCs w:val="22"/>
        </w:rPr>
        <w:t>arruolati nello</w:t>
      </w:r>
      <w:r w:rsidRPr="00295E71">
        <w:rPr>
          <w:color w:val="000000"/>
          <w:sz w:val="22"/>
          <w:szCs w:val="22"/>
        </w:rPr>
        <w:t xml:space="preserve"> studio d’estensione in aperto, il 38% (25/66) ed il 55% (36/66) sono riusciti ad ottenere una risposta PASI 75 rispettivamente dopo 12 e 24 settimane di ri-trattamento.</w:t>
      </w:r>
    </w:p>
    <w:p w:rsidR="006224C2" w:rsidRPr="00295E71" w14:paraId="5283F8F8" w14:textId="77777777">
      <w:pPr>
        <w:tabs>
          <w:tab w:val="left" w:pos="567"/>
          <w:tab w:val="left" w:pos="1294"/>
        </w:tabs>
        <w:autoSpaceDE w:val="0"/>
        <w:autoSpaceDN w:val="0"/>
        <w:adjustRightInd w:val="0"/>
        <w:jc w:val="both"/>
        <w:rPr>
          <w:color w:val="000000"/>
          <w:sz w:val="22"/>
          <w:szCs w:val="22"/>
        </w:rPr>
      </w:pPr>
    </w:p>
    <w:p w:rsidR="006224C2" w:rsidRPr="00295E71" w14:paraId="2BF32154" w14:textId="77777777">
      <w:pPr>
        <w:rPr>
          <w:color w:val="000000"/>
          <w:sz w:val="22"/>
          <w:szCs w:val="22"/>
        </w:rPr>
      </w:pPr>
      <w:r w:rsidRPr="00295E71">
        <w:rPr>
          <w:color w:val="000000"/>
          <w:sz w:val="22"/>
          <w:szCs w:val="22"/>
        </w:rPr>
        <w:t xml:space="preserve">Durante lo studio I sulla psoriasi, un totale di 233 pazienti tra coloro i quali avevano ottenuto una risposta PASI 75 alla sedicesima settimana e alla trentatreesima settimana e che avevano continuato la terapia con Humira fino alla cinquantaduesima settimana hanno continuato la somministrazione di Humira nello studio di estensione in aperto. In questi pazienti, le percentuali di risposta PASI 75 e PGA corrispondente a remissione totale della malattia o a persistenza di malattia minima sono state rispettivamente 74,7% e 59,0%, dopo un ulteriore periodo di 108 settimane di terapia somministrata in aperto (per un totale di terapia continuativa di 160 settimane). </w:t>
      </w:r>
    </w:p>
    <w:p w:rsidR="006224C2" w:rsidRPr="00295E71" w:rsidP="00F57FE5" w14:paraId="29526830" w14:textId="77777777">
      <w:pPr>
        <w:keepNext/>
        <w:keepLines/>
        <w:tabs>
          <w:tab w:val="left" w:pos="567"/>
          <w:tab w:val="left" w:pos="1294"/>
        </w:tabs>
        <w:autoSpaceDE w:val="0"/>
        <w:autoSpaceDN w:val="0"/>
        <w:adjustRightInd w:val="0"/>
        <w:jc w:val="both"/>
        <w:rPr>
          <w:color w:val="000000"/>
          <w:sz w:val="22"/>
          <w:szCs w:val="22"/>
        </w:rPr>
      </w:pPr>
      <w:r w:rsidRPr="00295E71">
        <w:rPr>
          <w:color w:val="000000"/>
          <w:sz w:val="22"/>
          <w:szCs w:val="22"/>
        </w:rPr>
        <w:t>In un’analisi effettuata su tutti i pazienti che avevano interrotto lo studio per eventi avversi o per mancanza di efficacia, o che avevano aumentato la posologia e che per tali motivi erano stati considerati come non rispondenti alla terapia, analogamente le percentuali di risposta PASI 75 e PGA corrispondente a remissione totale della malattia o a persistenza di malattia minima, sono state rispettivamente del 69,6% e del 55,7%, dopo un ulteriore periodo di 108 settimane di terapia somministrata in aperto (per un totale di terapia continuativa di 160 settimane).</w:t>
      </w:r>
    </w:p>
    <w:p w:rsidR="006224C2" w:rsidRPr="00295E71" w:rsidP="00F57FE5" w14:paraId="5973B6A7" w14:textId="77777777">
      <w:pPr>
        <w:keepNext/>
        <w:keepLines/>
        <w:tabs>
          <w:tab w:val="left" w:pos="567"/>
          <w:tab w:val="left" w:pos="1294"/>
        </w:tabs>
        <w:autoSpaceDE w:val="0"/>
        <w:autoSpaceDN w:val="0"/>
        <w:adjustRightInd w:val="0"/>
        <w:jc w:val="both"/>
        <w:rPr>
          <w:color w:val="000000"/>
          <w:sz w:val="22"/>
          <w:szCs w:val="22"/>
        </w:rPr>
      </w:pPr>
    </w:p>
    <w:p w:rsidR="006224C2" w:rsidRPr="00295E71" w14:paraId="47330DDE"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Un totale di 347 pazienti, caratterizzati da una risposta stabile alla terapia, ha preso parte ad uno studio di estensione in aperto per la valutazione degli effetti della sospensione e della ripresa del trattamento. Durante il periodo di sospensione della terapia, i sintomi della psoriasi si sono ripresentati in maniera progressiva con un tempo medi</w:t>
      </w:r>
      <w:r w:rsidR="007409F8">
        <w:rPr>
          <w:color w:val="000000"/>
          <w:sz w:val="22"/>
          <w:szCs w:val="22"/>
        </w:rPr>
        <w:t>an</w:t>
      </w:r>
      <w:r w:rsidRPr="00295E71">
        <w:rPr>
          <w:color w:val="000000"/>
          <w:sz w:val="22"/>
          <w:szCs w:val="22"/>
        </w:rPr>
        <w:t xml:space="preserve">o </w:t>
      </w:r>
      <w:r w:rsidR="007409F8">
        <w:rPr>
          <w:color w:val="000000"/>
          <w:sz w:val="22"/>
          <w:szCs w:val="22"/>
        </w:rPr>
        <w:t>alla</w:t>
      </w:r>
      <w:r w:rsidRPr="00295E71">
        <w:rPr>
          <w:color w:val="000000"/>
          <w:sz w:val="22"/>
          <w:szCs w:val="22"/>
        </w:rPr>
        <w:t xml:space="preserve"> recidiva (progredendo fino ad uno stadio PGA “moderato” o peggiore) di circa 5 mesi. Nessuno di questi pazienti ha manifestato fenomeni di rebound durante il periodo di sospensione del trattamento. Complessivamente, il 76,5% dei pazienti (218/285) che erano entrati nella fase di ri-trattamento aveva ottenuto una risposta PGA corrispondente a </w:t>
      </w:r>
      <w:r w:rsidR="007409F8">
        <w:rPr>
          <w:color w:val="000000"/>
          <w:sz w:val="22"/>
          <w:szCs w:val="22"/>
        </w:rPr>
        <w:t>“</w:t>
      </w:r>
      <w:r w:rsidRPr="00295E71">
        <w:rPr>
          <w:color w:val="000000"/>
          <w:sz w:val="22"/>
          <w:szCs w:val="22"/>
        </w:rPr>
        <w:t>remissione totale della malattia</w:t>
      </w:r>
      <w:r w:rsidR="007409F8">
        <w:rPr>
          <w:color w:val="000000"/>
          <w:sz w:val="22"/>
          <w:szCs w:val="22"/>
        </w:rPr>
        <w:t>”</w:t>
      </w:r>
      <w:r w:rsidRPr="00295E71">
        <w:rPr>
          <w:color w:val="000000"/>
          <w:sz w:val="22"/>
          <w:szCs w:val="22"/>
        </w:rPr>
        <w:t xml:space="preserve"> o a </w:t>
      </w:r>
      <w:r w:rsidR="007409F8">
        <w:rPr>
          <w:color w:val="000000"/>
          <w:sz w:val="22"/>
          <w:szCs w:val="22"/>
        </w:rPr>
        <w:t>“</w:t>
      </w:r>
      <w:r w:rsidRPr="00295E71">
        <w:rPr>
          <w:color w:val="000000"/>
          <w:sz w:val="22"/>
          <w:szCs w:val="22"/>
        </w:rPr>
        <w:t>malattia minima</w:t>
      </w:r>
      <w:r w:rsidR="007409F8">
        <w:rPr>
          <w:color w:val="000000"/>
          <w:sz w:val="22"/>
          <w:szCs w:val="22"/>
        </w:rPr>
        <w:t>”</w:t>
      </w:r>
      <w:r w:rsidRPr="00295E71">
        <w:rPr>
          <w:color w:val="000000"/>
          <w:sz w:val="22"/>
          <w:szCs w:val="22"/>
        </w:rPr>
        <w:t xml:space="preserve"> dopo sedici settimane di terapia, indipendentemente dal fatto di aver avuto o meno riacutizzazione della malattia durante il periodo di sospensione d</w:t>
      </w:r>
      <w:r w:rsidR="007409F8">
        <w:rPr>
          <w:color w:val="000000"/>
          <w:sz w:val="22"/>
          <w:szCs w:val="22"/>
        </w:rPr>
        <w:t>e</w:t>
      </w:r>
      <w:r w:rsidRPr="00295E71">
        <w:rPr>
          <w:color w:val="000000"/>
          <w:sz w:val="22"/>
          <w:szCs w:val="22"/>
        </w:rPr>
        <w:t xml:space="preserve">l farmaco (rispettivamente il </w:t>
      </w:r>
      <w:r w:rsidRPr="00295E71">
        <w:rPr>
          <w:sz w:val="22"/>
          <w:szCs w:val="22"/>
        </w:rPr>
        <w:t>69,1%[123/178] e 88,8%[95/107]</w:t>
      </w:r>
      <w:r w:rsidRPr="00295E71">
        <w:rPr>
          <w:rFonts w:eastAsia="MS Mincho"/>
          <w:color w:val="000000"/>
          <w:sz w:val="22"/>
          <w:szCs w:val="22"/>
          <w:lang w:eastAsia="ja-JP"/>
        </w:rPr>
        <w:t>dei pazienti che avevano avuto o meno una riacutizzazione della malattia durante il periodo di sospensione)</w:t>
      </w:r>
      <w:r w:rsidRPr="00295E71">
        <w:rPr>
          <w:color w:val="000000"/>
          <w:sz w:val="22"/>
          <w:szCs w:val="22"/>
        </w:rPr>
        <w:t>.</w:t>
      </w:r>
      <w:r w:rsidRPr="00295E71">
        <w:rPr>
          <w:sz w:val="22"/>
          <w:szCs w:val="22"/>
        </w:rPr>
        <w:t xml:space="preserve"> Durante la ripresa del trattamento è stato osservato u</w:t>
      </w:r>
      <w:r w:rsidRPr="00295E71">
        <w:rPr>
          <w:color w:val="000000"/>
          <w:sz w:val="22"/>
          <w:szCs w:val="22"/>
        </w:rPr>
        <w:t>n profilo di sicurezza del tutto simile a quello osservato durante il periodo precedente alla sospensione della terapia.</w:t>
      </w:r>
    </w:p>
    <w:p w:rsidR="006224C2" w:rsidRPr="00295E71" w14:paraId="0CA7D864" w14:textId="77777777">
      <w:pPr>
        <w:tabs>
          <w:tab w:val="left" w:pos="567"/>
          <w:tab w:val="left" w:pos="1294"/>
        </w:tabs>
        <w:autoSpaceDE w:val="0"/>
        <w:autoSpaceDN w:val="0"/>
        <w:adjustRightInd w:val="0"/>
        <w:jc w:val="both"/>
        <w:rPr>
          <w:sz w:val="22"/>
          <w:szCs w:val="22"/>
        </w:rPr>
      </w:pPr>
    </w:p>
    <w:p w:rsidR="006224C2" w:rsidRPr="00295E71" w14:paraId="1E252688" w14:textId="77777777">
      <w:pPr>
        <w:rPr>
          <w:color w:val="000000"/>
          <w:sz w:val="22"/>
          <w:szCs w:val="22"/>
        </w:rPr>
      </w:pPr>
      <w:r w:rsidRPr="00295E71">
        <w:rPr>
          <w:color w:val="000000"/>
          <w:sz w:val="22"/>
          <w:szCs w:val="22"/>
        </w:rPr>
        <w:t>Miglioramenti significativi del DLQI (Dermatology Life Quality Index) sono stati dimostrati alla settimana 16 a partire dal valore basale rispetto al placebo (studi I e II) ed al metotressato (studio II). Nel corso dello studio I, anche i miglioramenti relativi ai punteggi complessivi delle componenti fisiche e mentali del SF-36 sono risultati significativi rispetto al placebo.</w:t>
      </w:r>
    </w:p>
    <w:p w:rsidR="006224C2" w:rsidRPr="00295E71" w14:paraId="1243FDB6" w14:textId="77777777">
      <w:pPr>
        <w:tabs>
          <w:tab w:val="left" w:pos="567"/>
          <w:tab w:val="left" w:pos="1294"/>
        </w:tabs>
        <w:autoSpaceDE w:val="0"/>
        <w:autoSpaceDN w:val="0"/>
        <w:adjustRightInd w:val="0"/>
        <w:jc w:val="both"/>
        <w:rPr>
          <w:color w:val="000000"/>
          <w:sz w:val="22"/>
          <w:szCs w:val="22"/>
        </w:rPr>
      </w:pPr>
    </w:p>
    <w:p w:rsidR="006224C2" w:rsidRPr="00295E71" w14:paraId="5568DB79"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In uno studio d’estensione in aperto, tra i pazienti che a causa di risposta PASI inferiore al 50% avevano ricevuto incrementi della dose da 40 mg a settimane alterne alla dose di 40 mg ogni settimana, il 26,4% (92/349) e il 37,8% (132/349) ha ottenuto una risposta PASI 75 alla settimana 12 e 24, rispettivamente.</w:t>
      </w:r>
    </w:p>
    <w:p w:rsidR="006224C2" w:rsidRPr="00295E71" w14:paraId="32B89F2D" w14:textId="77777777">
      <w:pPr>
        <w:tabs>
          <w:tab w:val="left" w:pos="567"/>
          <w:tab w:val="left" w:pos="1294"/>
        </w:tabs>
        <w:autoSpaceDE w:val="0"/>
        <w:autoSpaceDN w:val="0"/>
        <w:adjustRightInd w:val="0"/>
        <w:jc w:val="both"/>
        <w:rPr>
          <w:color w:val="000000"/>
          <w:sz w:val="22"/>
          <w:szCs w:val="22"/>
        </w:rPr>
      </w:pPr>
    </w:p>
    <w:p w:rsidR="006224C2" w:rsidRPr="00295E71" w14:paraId="6FBF629A"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Lo studio di fase III sulla psoriasi (REACH) ha paragonato l’efficacia e la sicurezza di Humira rispetto al placebo in 72 pazienti affetti da psoriasi cronica a placche da moderata a severa e psoriasi localizzata alla mano e/o al piede. I pazienti hanno ricevuto una dose iniziale di 80 mg di Humira seguita dalla dose di 40 mg somministrata a settimane alterne (a iniziare dalla settimana successiva all’assunzione della dose iniziale) o placebo per 16 settimane. Alla settimana 16, una percentuale maggiore </w:t>
      </w:r>
      <w:r w:rsidRPr="00020442" w:rsidR="00E04499">
        <w:rPr>
          <w:color w:val="000000"/>
          <w:sz w:val="22"/>
          <w:szCs w:val="22"/>
        </w:rPr>
        <w:t xml:space="preserve">in misura statisticamente significativa </w:t>
      </w:r>
      <w:r w:rsidRPr="00295E71">
        <w:rPr>
          <w:color w:val="000000"/>
          <w:sz w:val="22"/>
          <w:szCs w:val="22"/>
        </w:rPr>
        <w:t>di pazienti che aveva ricevuto Humira, ha ottenuto una risposta PGA corrispondente a remissione totale o pressochè totale della malattia alle mani e/o ai piedi rispetto ai pazienti che avevano ricevuto il placebo (rispettivamente 30,6% vs 4,3%, [P = 0,014]).</w:t>
      </w:r>
    </w:p>
    <w:p w:rsidR="006224C2" w:rsidRPr="00295E71" w14:paraId="1C36A54F" w14:textId="77777777">
      <w:pPr>
        <w:pStyle w:val="gtcbodytext"/>
        <w:spacing w:before="0" w:after="0" w:line="240" w:lineRule="auto"/>
        <w:jc w:val="both"/>
        <w:rPr>
          <w:sz w:val="22"/>
          <w:szCs w:val="22"/>
          <w:lang w:val="it-IT"/>
        </w:rPr>
      </w:pPr>
    </w:p>
    <w:p w:rsidR="006224C2" w:rsidRPr="00295E71" w14:paraId="777088CF" w14:textId="77777777">
      <w:pPr>
        <w:pStyle w:val="gtcbodytext"/>
        <w:spacing w:before="0" w:after="0" w:line="240" w:lineRule="auto"/>
        <w:jc w:val="both"/>
        <w:rPr>
          <w:sz w:val="22"/>
          <w:szCs w:val="22"/>
          <w:lang w:val="it-IT"/>
        </w:rPr>
      </w:pPr>
      <w:r w:rsidRPr="00295E71">
        <w:rPr>
          <w:sz w:val="22"/>
          <w:szCs w:val="22"/>
          <w:lang w:val="it-IT"/>
        </w:rPr>
        <w:t>Lo studio IV sulla psoriasi ha paragonato l’efficacia e la sicurezza di Humira rispetto al placebo in 217 pazienti adulti affetti da psoriasi ungueale da moderata a severa. I pazienti hanno ricevuto una dose iniziale di 80 mg di Humira seguita da 40 mg a settimane alterne (a partire da una settimana dopo la dose iniziale) o di placebo per 26 settimane seguita da un trattamento in aperto con Humira per altre 26 settimane.</w:t>
      </w:r>
      <w:r w:rsidR="00E04499">
        <w:rPr>
          <w:sz w:val="22"/>
          <w:szCs w:val="22"/>
          <w:lang w:val="it-IT"/>
        </w:rPr>
        <w:t xml:space="preserve"> </w:t>
      </w:r>
      <w:r w:rsidRPr="00295E71">
        <w:rPr>
          <w:sz w:val="22"/>
          <w:szCs w:val="22"/>
          <w:lang w:val="it-IT"/>
        </w:rPr>
        <w:t xml:space="preserve">Le valutazioni della psoriasi ungueale comprendevano il Modified Nail Psoriasis Severity Index (mNAPSI), il Physician’s Global Assessment of Fingernail Psoriasis (PGA-F) e il Nail Psoriasis Severity Index (NAPSI) (vedere Tabella </w:t>
      </w:r>
      <w:r w:rsidRPr="00295E71" w:rsidR="00DE0578">
        <w:rPr>
          <w:sz w:val="22"/>
          <w:szCs w:val="22"/>
          <w:lang w:val="it-IT"/>
        </w:rPr>
        <w:t>1</w:t>
      </w:r>
      <w:r w:rsidR="00800CE0">
        <w:rPr>
          <w:sz w:val="22"/>
          <w:szCs w:val="22"/>
          <w:lang w:val="it-IT"/>
        </w:rPr>
        <w:t>1</w:t>
      </w:r>
      <w:r w:rsidRPr="00295E71">
        <w:rPr>
          <w:sz w:val="22"/>
          <w:szCs w:val="22"/>
          <w:lang w:val="it-IT"/>
        </w:rPr>
        <w:t>). Il trattamento con Humira ha dimostrato un beneficio terapeutico nei pazienti affetti da psoriasi ungueale con coinvolgimento cutaneo di grado variabile (BSA≥10% (60% dei pazienti) e BSA&lt;10% e ≥5% (40% dei pazienti)).</w:t>
      </w:r>
    </w:p>
    <w:p w:rsidR="006224C2" w:rsidRPr="00295E71" w14:paraId="333D677C" w14:textId="77777777">
      <w:pPr>
        <w:tabs>
          <w:tab w:val="left" w:pos="567"/>
          <w:tab w:val="left" w:pos="1294"/>
        </w:tabs>
        <w:autoSpaceDE w:val="0"/>
        <w:autoSpaceDN w:val="0"/>
        <w:adjustRightInd w:val="0"/>
        <w:jc w:val="both"/>
        <w:rPr>
          <w:color w:val="000000"/>
          <w:sz w:val="22"/>
          <w:szCs w:val="22"/>
        </w:rPr>
      </w:pPr>
    </w:p>
    <w:p w:rsidR="006224C2" w:rsidRPr="00295E71" w14:paraId="55B7C44E" w14:textId="77777777">
      <w:pPr>
        <w:pStyle w:val="gtctabletitleotherwise"/>
        <w:keepNext/>
        <w:spacing w:before="0"/>
        <w:rPr>
          <w:bCs w:val="0"/>
          <w:sz w:val="22"/>
          <w:szCs w:val="22"/>
          <w:lang w:val="it-IT"/>
        </w:rPr>
      </w:pPr>
      <w:r w:rsidRPr="00295E71">
        <w:rPr>
          <w:bCs w:val="0"/>
          <w:sz w:val="22"/>
          <w:szCs w:val="22"/>
          <w:lang w:val="it-IT"/>
        </w:rPr>
        <w:t xml:space="preserve">Tabella </w:t>
      </w:r>
      <w:r w:rsidRPr="00295E71" w:rsidR="00DE0578">
        <w:rPr>
          <w:bCs w:val="0"/>
          <w:sz w:val="22"/>
          <w:szCs w:val="22"/>
          <w:lang w:val="it-IT"/>
        </w:rPr>
        <w:t>1</w:t>
      </w:r>
      <w:r w:rsidR="00800CE0">
        <w:rPr>
          <w:bCs w:val="0"/>
          <w:sz w:val="22"/>
          <w:szCs w:val="22"/>
          <w:lang w:val="it-IT"/>
        </w:rPr>
        <w:t>1</w:t>
      </w:r>
    </w:p>
    <w:p w:rsidR="006224C2" w:rsidRPr="00295E71" w14:paraId="05F2D063" w14:textId="77777777">
      <w:pPr>
        <w:pStyle w:val="gtctabletitleotherwise"/>
        <w:keepNext/>
        <w:spacing w:before="0"/>
        <w:rPr>
          <w:sz w:val="22"/>
          <w:szCs w:val="22"/>
          <w:lang w:val="it-IT"/>
        </w:rPr>
      </w:pPr>
      <w:r w:rsidRPr="00295E71">
        <w:rPr>
          <w:bCs w:val="0"/>
          <w:sz w:val="22"/>
          <w:szCs w:val="22"/>
          <w:lang w:val="it-IT"/>
        </w:rPr>
        <w:t>Risultati di efficacia dello Studio Ps IV alle settimane 16, 26 e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2CFD77AD" w14:textId="77777777">
        <w:tblPrEx>
          <w:tblW w:w="0" w:type="auto"/>
          <w:tblLayout w:type="fixed"/>
          <w:tblLook w:val="04A0"/>
        </w:tblPrEx>
        <w:tc>
          <w:tcPr>
            <w:tcW w:w="2718" w:type="dxa"/>
            <w:vMerge w:val="restart"/>
          </w:tcPr>
          <w:p w:rsidR="006224C2" w:rsidRPr="00295E71" w14:paraId="4F311698" w14:textId="77777777">
            <w:pPr>
              <w:pStyle w:val="gtctablespaceafter"/>
              <w:keepNext/>
              <w:spacing w:after="0"/>
              <w:rPr>
                <w:sz w:val="22"/>
                <w:szCs w:val="22"/>
                <w:lang w:val="it-IT"/>
              </w:rPr>
            </w:pPr>
            <w:r w:rsidRPr="00295E71">
              <w:rPr>
                <w:sz w:val="22"/>
                <w:szCs w:val="22"/>
                <w:lang w:val="it-IT"/>
              </w:rPr>
              <w:t>Endpoint</w:t>
            </w:r>
          </w:p>
        </w:tc>
        <w:tc>
          <w:tcPr>
            <w:tcW w:w="2340" w:type="dxa"/>
            <w:gridSpan w:val="2"/>
          </w:tcPr>
          <w:p w:rsidR="006224C2" w:rsidRPr="00295E71" w14:paraId="293C9AA4" w14:textId="77777777">
            <w:pPr>
              <w:pStyle w:val="gtctablespaceafter"/>
              <w:keepNext/>
              <w:spacing w:after="0"/>
              <w:jc w:val="center"/>
              <w:rPr>
                <w:sz w:val="22"/>
                <w:szCs w:val="22"/>
                <w:lang w:val="it-IT"/>
              </w:rPr>
            </w:pPr>
            <w:r w:rsidRPr="00295E71">
              <w:rPr>
                <w:sz w:val="22"/>
                <w:szCs w:val="22"/>
                <w:lang w:val="it-IT"/>
              </w:rPr>
              <w:t>Settimana 16</w:t>
            </w:r>
          </w:p>
          <w:p w:rsidR="006224C2" w:rsidRPr="00295E71" w14:paraId="15053BC1" w14:textId="77777777">
            <w:pPr>
              <w:pStyle w:val="gtctablespaceafter"/>
              <w:keepNext/>
              <w:spacing w:after="0"/>
              <w:jc w:val="center"/>
              <w:rPr>
                <w:sz w:val="22"/>
                <w:szCs w:val="22"/>
                <w:lang w:val="it-IT"/>
              </w:rPr>
            </w:pPr>
            <w:r w:rsidRPr="00295E71">
              <w:rPr>
                <w:sz w:val="22"/>
                <w:szCs w:val="22"/>
                <w:lang w:val="it-IT"/>
              </w:rPr>
              <w:t>Controllato verso placebo</w:t>
            </w:r>
          </w:p>
        </w:tc>
        <w:tc>
          <w:tcPr>
            <w:tcW w:w="2250" w:type="dxa"/>
            <w:gridSpan w:val="2"/>
          </w:tcPr>
          <w:p w:rsidR="006224C2" w:rsidRPr="00295E71" w14:paraId="04D21B1B" w14:textId="77777777">
            <w:pPr>
              <w:pStyle w:val="gtctablespaceafter"/>
              <w:keepNext/>
              <w:spacing w:after="0"/>
              <w:jc w:val="center"/>
              <w:rPr>
                <w:sz w:val="22"/>
                <w:szCs w:val="22"/>
                <w:lang w:val="it-IT"/>
              </w:rPr>
            </w:pPr>
            <w:r w:rsidRPr="00295E71">
              <w:rPr>
                <w:sz w:val="22"/>
                <w:szCs w:val="22"/>
                <w:lang w:val="it-IT"/>
              </w:rPr>
              <w:t>Settimana 26</w:t>
            </w:r>
          </w:p>
          <w:p w:rsidR="006224C2" w:rsidRPr="00295E71" w14:paraId="0B6692EF" w14:textId="77777777">
            <w:pPr>
              <w:pStyle w:val="gtctablespaceafter"/>
              <w:keepNext/>
              <w:spacing w:after="0"/>
              <w:jc w:val="center"/>
              <w:rPr>
                <w:sz w:val="22"/>
                <w:szCs w:val="22"/>
                <w:lang w:val="it-IT"/>
              </w:rPr>
            </w:pPr>
            <w:r w:rsidRPr="00295E71">
              <w:rPr>
                <w:sz w:val="22"/>
                <w:szCs w:val="22"/>
                <w:lang w:val="it-IT"/>
              </w:rPr>
              <w:t>Controllato verso placebo</w:t>
            </w:r>
          </w:p>
        </w:tc>
        <w:tc>
          <w:tcPr>
            <w:tcW w:w="2268" w:type="dxa"/>
            <w:vAlign w:val="center"/>
          </w:tcPr>
          <w:p w:rsidR="006224C2" w:rsidRPr="00295E71" w14:paraId="791F902C" w14:textId="77777777">
            <w:pPr>
              <w:pStyle w:val="gtctablespaceafter"/>
              <w:keepNext/>
              <w:spacing w:after="0"/>
              <w:jc w:val="center"/>
              <w:rPr>
                <w:sz w:val="22"/>
                <w:szCs w:val="22"/>
                <w:lang w:val="it-IT"/>
              </w:rPr>
            </w:pPr>
            <w:r w:rsidRPr="00295E71">
              <w:rPr>
                <w:sz w:val="22"/>
                <w:szCs w:val="22"/>
                <w:lang w:val="it-IT"/>
              </w:rPr>
              <w:t>Settimana 52</w:t>
            </w:r>
          </w:p>
          <w:p w:rsidR="006224C2" w:rsidRPr="00295E71" w14:paraId="4AEACE69" w14:textId="77777777">
            <w:pPr>
              <w:pStyle w:val="gtctablespaceafter"/>
              <w:keepNext/>
              <w:spacing w:after="0"/>
              <w:jc w:val="center"/>
              <w:rPr>
                <w:sz w:val="22"/>
                <w:szCs w:val="22"/>
                <w:lang w:val="it-IT"/>
              </w:rPr>
            </w:pPr>
            <w:r w:rsidRPr="00295E71">
              <w:rPr>
                <w:sz w:val="22"/>
                <w:szCs w:val="22"/>
                <w:lang w:val="it-IT"/>
              </w:rPr>
              <w:t>In aperto</w:t>
            </w:r>
          </w:p>
        </w:tc>
      </w:tr>
      <w:tr w14:paraId="1040B4E5" w14:textId="77777777">
        <w:tblPrEx>
          <w:tblW w:w="0" w:type="auto"/>
          <w:tblLayout w:type="fixed"/>
          <w:tblLook w:val="04A0"/>
        </w:tblPrEx>
        <w:tc>
          <w:tcPr>
            <w:tcW w:w="2718" w:type="dxa"/>
            <w:vMerge/>
          </w:tcPr>
          <w:p w:rsidR="006224C2" w:rsidRPr="00295E71" w14:paraId="12E4E00C" w14:textId="77777777">
            <w:pPr>
              <w:pStyle w:val="gtctablespaceafter"/>
              <w:keepNext/>
              <w:spacing w:after="0"/>
              <w:rPr>
                <w:sz w:val="22"/>
                <w:szCs w:val="22"/>
                <w:lang w:val="it-IT"/>
              </w:rPr>
            </w:pPr>
          </w:p>
        </w:tc>
        <w:tc>
          <w:tcPr>
            <w:tcW w:w="1080" w:type="dxa"/>
          </w:tcPr>
          <w:p w:rsidR="006224C2" w:rsidRPr="00295E71" w14:paraId="7173E8AD" w14:textId="77777777">
            <w:pPr>
              <w:pStyle w:val="gtctablespaceafter"/>
              <w:keepNext/>
              <w:spacing w:after="0"/>
              <w:jc w:val="center"/>
              <w:rPr>
                <w:sz w:val="22"/>
                <w:szCs w:val="22"/>
                <w:lang w:val="it-IT"/>
              </w:rPr>
            </w:pPr>
            <w:r w:rsidRPr="00295E71">
              <w:rPr>
                <w:sz w:val="22"/>
                <w:szCs w:val="22"/>
                <w:lang w:val="it-IT"/>
              </w:rPr>
              <w:t>Placebo</w:t>
            </w:r>
            <w:r w:rsidRPr="00295E71">
              <w:rPr>
                <w:sz w:val="22"/>
                <w:szCs w:val="22"/>
                <w:lang w:val="it-IT"/>
              </w:rPr>
              <w:br/>
              <w:t>N=108</w:t>
            </w:r>
          </w:p>
        </w:tc>
        <w:tc>
          <w:tcPr>
            <w:tcW w:w="1260" w:type="dxa"/>
          </w:tcPr>
          <w:p w:rsidR="006224C2" w:rsidRPr="00295E71" w14:paraId="06B21728" w14:textId="77777777">
            <w:pPr>
              <w:pStyle w:val="In-texttable"/>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p>
          <w:p w:rsidR="006224C2" w:rsidRPr="00295E71" w14:paraId="792F18FE" w14:textId="77777777">
            <w:pPr>
              <w:pStyle w:val="gtctablespaceafter"/>
              <w:keepNext/>
              <w:spacing w:after="0"/>
              <w:jc w:val="center"/>
              <w:rPr>
                <w:sz w:val="22"/>
                <w:szCs w:val="22"/>
                <w:lang w:val="it-IT"/>
              </w:rPr>
            </w:pPr>
            <w:r w:rsidRPr="00295E71">
              <w:rPr>
                <w:sz w:val="22"/>
                <w:szCs w:val="22"/>
                <w:lang w:val="it-IT"/>
              </w:rPr>
              <w:t xml:space="preserve">40 mg a settimane alterne </w:t>
            </w:r>
            <w:r w:rsidRPr="00295E71">
              <w:rPr>
                <w:sz w:val="22"/>
                <w:szCs w:val="22"/>
                <w:lang w:val="it-IT"/>
              </w:rPr>
              <w:br/>
              <w:t>N=109</w:t>
            </w:r>
          </w:p>
        </w:tc>
        <w:tc>
          <w:tcPr>
            <w:tcW w:w="990" w:type="dxa"/>
          </w:tcPr>
          <w:p w:rsidR="006224C2" w:rsidRPr="00295E71" w14:paraId="1EDEC2B5" w14:textId="77777777">
            <w:pPr>
              <w:pStyle w:val="gtctablespaceafter"/>
              <w:keepNext/>
              <w:spacing w:after="0"/>
              <w:jc w:val="center"/>
              <w:rPr>
                <w:sz w:val="22"/>
                <w:szCs w:val="22"/>
                <w:lang w:val="it-IT"/>
              </w:rPr>
            </w:pPr>
            <w:r w:rsidRPr="00295E71">
              <w:rPr>
                <w:sz w:val="22"/>
                <w:szCs w:val="22"/>
                <w:lang w:val="it-IT"/>
              </w:rPr>
              <w:t>Placebo</w:t>
            </w:r>
            <w:r w:rsidRPr="00295E71">
              <w:rPr>
                <w:sz w:val="22"/>
                <w:szCs w:val="22"/>
                <w:lang w:val="it-IT"/>
              </w:rPr>
              <w:br/>
              <w:t>N=108</w:t>
            </w:r>
          </w:p>
        </w:tc>
        <w:tc>
          <w:tcPr>
            <w:tcW w:w="1260" w:type="dxa"/>
          </w:tcPr>
          <w:p w:rsidR="006224C2" w:rsidRPr="00295E71" w14:paraId="62E06C19" w14:textId="77777777">
            <w:pPr>
              <w:pStyle w:val="In-texttable"/>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p>
          <w:p w:rsidR="006224C2" w:rsidRPr="00295E71" w14:paraId="569FECD2" w14:textId="77777777">
            <w:pPr>
              <w:pStyle w:val="gtctablespaceafter"/>
              <w:keepNext/>
              <w:spacing w:after="0"/>
              <w:jc w:val="center"/>
              <w:rPr>
                <w:sz w:val="22"/>
                <w:szCs w:val="22"/>
                <w:lang w:val="it-IT"/>
              </w:rPr>
            </w:pPr>
            <w:r w:rsidRPr="00295E71">
              <w:rPr>
                <w:sz w:val="22"/>
                <w:szCs w:val="22"/>
                <w:lang w:val="it-IT"/>
              </w:rPr>
              <w:t>40 mg a settimane alterne</w:t>
            </w:r>
            <w:r w:rsidRPr="00295E71">
              <w:rPr>
                <w:sz w:val="22"/>
                <w:szCs w:val="22"/>
                <w:lang w:val="it-IT"/>
              </w:rPr>
              <w:br/>
              <w:t>N=109</w:t>
            </w:r>
          </w:p>
        </w:tc>
        <w:tc>
          <w:tcPr>
            <w:tcW w:w="2268" w:type="dxa"/>
          </w:tcPr>
          <w:p w:rsidR="006224C2" w:rsidRPr="00295E71" w14:paraId="504D2A27" w14:textId="77777777">
            <w:pPr>
              <w:pStyle w:val="In-texttable"/>
              <w:spacing w:line="240" w:lineRule="auto"/>
              <w:jc w:val="center"/>
              <w:rPr>
                <w:rFonts w:ascii="Times New Roman" w:hAnsi="Times New Roman" w:cs="Times New Roman"/>
                <w:sz w:val="22"/>
                <w:szCs w:val="22"/>
                <w:lang w:val="it-IT"/>
              </w:rPr>
            </w:pPr>
            <w:r w:rsidRPr="00295E71">
              <w:rPr>
                <w:rFonts w:ascii="Times New Roman" w:hAnsi="Times New Roman" w:cs="Times New Roman"/>
                <w:sz w:val="22"/>
                <w:szCs w:val="22"/>
                <w:lang w:val="it-IT"/>
              </w:rPr>
              <w:t>Humira</w:t>
            </w:r>
          </w:p>
          <w:p w:rsidR="006224C2" w:rsidRPr="00295E71" w14:paraId="3B56E94B" w14:textId="77777777">
            <w:pPr>
              <w:pStyle w:val="gtctablespaceafter"/>
              <w:keepNext/>
              <w:spacing w:after="0"/>
              <w:jc w:val="center"/>
              <w:rPr>
                <w:sz w:val="22"/>
                <w:szCs w:val="22"/>
                <w:lang w:val="it-IT"/>
              </w:rPr>
            </w:pPr>
            <w:r w:rsidRPr="00295E71">
              <w:rPr>
                <w:sz w:val="22"/>
                <w:szCs w:val="22"/>
                <w:lang w:val="it-IT"/>
              </w:rPr>
              <w:t>40 mg a settimane alterne</w:t>
            </w:r>
            <w:r w:rsidRPr="00295E71">
              <w:rPr>
                <w:sz w:val="22"/>
                <w:szCs w:val="22"/>
                <w:lang w:val="it-IT"/>
              </w:rPr>
              <w:br/>
              <w:t>N=80</w:t>
            </w:r>
          </w:p>
        </w:tc>
      </w:tr>
      <w:tr w14:paraId="14698C98" w14:textId="77777777">
        <w:tblPrEx>
          <w:tblW w:w="0" w:type="auto"/>
          <w:tblLayout w:type="fixed"/>
          <w:tblLook w:val="04A0"/>
        </w:tblPrEx>
        <w:tc>
          <w:tcPr>
            <w:tcW w:w="2718" w:type="dxa"/>
          </w:tcPr>
          <w:p w:rsidR="006224C2" w:rsidRPr="00295E71" w14:paraId="1D687615" w14:textId="77777777">
            <w:pPr>
              <w:pStyle w:val="gtctablespaceafter"/>
              <w:keepNext/>
              <w:spacing w:after="0"/>
              <w:rPr>
                <w:sz w:val="22"/>
                <w:szCs w:val="22"/>
                <w:lang w:val="it-IT"/>
              </w:rPr>
            </w:pPr>
            <w:r w:rsidRPr="00295E71">
              <w:rPr>
                <w:sz w:val="22"/>
                <w:szCs w:val="22"/>
                <w:lang w:val="it-IT"/>
              </w:rPr>
              <w:t>≥ mNAPSI 75 (%)</w:t>
            </w:r>
          </w:p>
        </w:tc>
        <w:tc>
          <w:tcPr>
            <w:tcW w:w="1080" w:type="dxa"/>
          </w:tcPr>
          <w:p w:rsidR="006224C2" w:rsidRPr="00295E71" w14:paraId="4B86C2A5" w14:textId="77777777">
            <w:pPr>
              <w:pStyle w:val="gtctablespaceafter"/>
              <w:keepNext/>
              <w:spacing w:after="0"/>
              <w:jc w:val="center"/>
              <w:rPr>
                <w:sz w:val="22"/>
                <w:szCs w:val="22"/>
                <w:lang w:val="it-IT"/>
              </w:rPr>
            </w:pPr>
            <w:r w:rsidRPr="00295E71">
              <w:rPr>
                <w:sz w:val="22"/>
                <w:szCs w:val="22"/>
                <w:lang w:val="it-IT"/>
              </w:rPr>
              <w:t>2,9</w:t>
            </w:r>
          </w:p>
        </w:tc>
        <w:tc>
          <w:tcPr>
            <w:tcW w:w="1260" w:type="dxa"/>
          </w:tcPr>
          <w:p w:rsidR="006224C2" w:rsidRPr="00295E71" w14:paraId="0BE60491" w14:textId="77777777">
            <w:pPr>
              <w:pStyle w:val="gtctablespaceafter"/>
              <w:keepNext/>
              <w:spacing w:after="0"/>
              <w:jc w:val="center"/>
              <w:rPr>
                <w:sz w:val="22"/>
                <w:szCs w:val="22"/>
                <w:lang w:val="it-IT"/>
              </w:rPr>
            </w:pPr>
            <w:r w:rsidRPr="00295E71">
              <w:rPr>
                <w:sz w:val="22"/>
                <w:szCs w:val="22"/>
                <w:lang w:val="it-IT"/>
              </w:rPr>
              <w:t>26,0</w:t>
            </w:r>
            <w:r w:rsidRPr="00295E71">
              <w:rPr>
                <w:sz w:val="22"/>
                <w:szCs w:val="22"/>
                <w:vertAlign w:val="superscript"/>
                <w:lang w:val="it-IT"/>
              </w:rPr>
              <w:t>a</w:t>
            </w:r>
          </w:p>
        </w:tc>
        <w:tc>
          <w:tcPr>
            <w:tcW w:w="990" w:type="dxa"/>
          </w:tcPr>
          <w:p w:rsidR="006224C2" w:rsidRPr="00295E71" w14:paraId="1249F33D" w14:textId="77777777">
            <w:pPr>
              <w:keepNext/>
              <w:jc w:val="center"/>
              <w:rPr>
                <w:sz w:val="22"/>
                <w:szCs w:val="22"/>
              </w:rPr>
            </w:pPr>
            <w:r w:rsidRPr="00295E71">
              <w:rPr>
                <w:sz w:val="22"/>
                <w:szCs w:val="22"/>
              </w:rPr>
              <w:t>3,4</w:t>
            </w:r>
          </w:p>
        </w:tc>
        <w:tc>
          <w:tcPr>
            <w:tcW w:w="1260" w:type="dxa"/>
          </w:tcPr>
          <w:p w:rsidR="006224C2" w:rsidRPr="00295E71" w14:paraId="3A05265B" w14:textId="77777777">
            <w:pPr>
              <w:keepNext/>
              <w:jc w:val="center"/>
              <w:rPr>
                <w:sz w:val="22"/>
                <w:szCs w:val="22"/>
              </w:rPr>
            </w:pPr>
            <w:r w:rsidRPr="00295E71">
              <w:rPr>
                <w:sz w:val="22"/>
                <w:szCs w:val="22"/>
              </w:rPr>
              <w:t>46,6</w:t>
            </w:r>
            <w:r w:rsidRPr="00295E71">
              <w:rPr>
                <w:sz w:val="22"/>
                <w:szCs w:val="22"/>
                <w:vertAlign w:val="superscript"/>
              </w:rPr>
              <w:t>a</w:t>
            </w:r>
          </w:p>
        </w:tc>
        <w:tc>
          <w:tcPr>
            <w:tcW w:w="2268" w:type="dxa"/>
          </w:tcPr>
          <w:p w:rsidR="006224C2" w:rsidRPr="00295E71" w14:paraId="729D3790" w14:textId="77777777">
            <w:pPr>
              <w:pStyle w:val="gtctablespaceafter"/>
              <w:keepNext/>
              <w:spacing w:after="0"/>
              <w:jc w:val="center"/>
              <w:rPr>
                <w:sz w:val="22"/>
                <w:szCs w:val="22"/>
                <w:lang w:val="it-IT"/>
              </w:rPr>
            </w:pPr>
            <w:r w:rsidRPr="00295E71">
              <w:rPr>
                <w:sz w:val="22"/>
                <w:szCs w:val="22"/>
                <w:lang w:val="it-IT"/>
              </w:rPr>
              <w:t>65,0</w:t>
            </w:r>
          </w:p>
        </w:tc>
      </w:tr>
      <w:tr w14:paraId="107F573C" w14:textId="77777777">
        <w:tblPrEx>
          <w:tblW w:w="0" w:type="auto"/>
          <w:tblLayout w:type="fixed"/>
          <w:tblLook w:val="04A0"/>
        </w:tblPrEx>
        <w:tc>
          <w:tcPr>
            <w:tcW w:w="2718" w:type="dxa"/>
          </w:tcPr>
          <w:p w:rsidR="006224C2" w:rsidRPr="00295E71" w14:paraId="304371AC" w14:textId="77777777">
            <w:pPr>
              <w:pStyle w:val="gtctablespaceafter"/>
              <w:keepNext/>
              <w:spacing w:after="0"/>
              <w:rPr>
                <w:sz w:val="22"/>
                <w:szCs w:val="22"/>
                <w:lang w:val="it-IT"/>
              </w:rPr>
            </w:pPr>
            <w:r w:rsidRPr="00295E71">
              <w:rPr>
                <w:sz w:val="22"/>
                <w:szCs w:val="22"/>
                <w:lang w:val="it-IT"/>
              </w:rPr>
              <w:t>PGA-F guarigione/marcato miglioramento e miglioramento di grado ≥2(%)</w:t>
            </w:r>
          </w:p>
        </w:tc>
        <w:tc>
          <w:tcPr>
            <w:tcW w:w="1080" w:type="dxa"/>
          </w:tcPr>
          <w:p w:rsidR="006224C2" w:rsidRPr="00295E71" w14:paraId="266C8DC8" w14:textId="77777777">
            <w:pPr>
              <w:pStyle w:val="gtctablespaceafter"/>
              <w:keepNext/>
              <w:spacing w:after="0"/>
              <w:jc w:val="center"/>
              <w:rPr>
                <w:sz w:val="22"/>
                <w:szCs w:val="22"/>
                <w:lang w:val="it-IT"/>
              </w:rPr>
            </w:pPr>
            <w:r w:rsidRPr="00295E71">
              <w:rPr>
                <w:sz w:val="22"/>
                <w:szCs w:val="22"/>
                <w:lang w:val="it-IT"/>
              </w:rPr>
              <w:t>2,9</w:t>
            </w:r>
          </w:p>
        </w:tc>
        <w:tc>
          <w:tcPr>
            <w:tcW w:w="1260" w:type="dxa"/>
          </w:tcPr>
          <w:p w:rsidR="006224C2" w:rsidRPr="00295E71" w14:paraId="2D87F146" w14:textId="77777777">
            <w:pPr>
              <w:pStyle w:val="gtctablespaceafter"/>
              <w:keepNext/>
              <w:spacing w:after="0"/>
              <w:jc w:val="center"/>
              <w:rPr>
                <w:sz w:val="22"/>
                <w:szCs w:val="22"/>
                <w:lang w:val="it-IT"/>
              </w:rPr>
            </w:pPr>
            <w:r w:rsidRPr="00295E71">
              <w:rPr>
                <w:sz w:val="22"/>
                <w:szCs w:val="22"/>
                <w:lang w:val="it-IT"/>
              </w:rPr>
              <w:t>29,7</w:t>
            </w:r>
            <w:r w:rsidRPr="00295E71">
              <w:rPr>
                <w:sz w:val="22"/>
                <w:szCs w:val="22"/>
                <w:vertAlign w:val="superscript"/>
                <w:lang w:val="it-IT"/>
              </w:rPr>
              <w:t>a</w:t>
            </w:r>
          </w:p>
        </w:tc>
        <w:tc>
          <w:tcPr>
            <w:tcW w:w="990" w:type="dxa"/>
          </w:tcPr>
          <w:p w:rsidR="006224C2" w:rsidRPr="00295E71" w14:paraId="533FC612" w14:textId="77777777">
            <w:pPr>
              <w:keepNext/>
              <w:jc w:val="center"/>
              <w:rPr>
                <w:sz w:val="22"/>
                <w:szCs w:val="22"/>
              </w:rPr>
            </w:pPr>
            <w:r w:rsidRPr="00295E71">
              <w:rPr>
                <w:sz w:val="22"/>
                <w:szCs w:val="22"/>
              </w:rPr>
              <w:t>6,9</w:t>
            </w:r>
          </w:p>
        </w:tc>
        <w:tc>
          <w:tcPr>
            <w:tcW w:w="1260" w:type="dxa"/>
          </w:tcPr>
          <w:p w:rsidR="006224C2" w:rsidRPr="00295E71" w14:paraId="509E90DB" w14:textId="77777777">
            <w:pPr>
              <w:keepNext/>
              <w:jc w:val="center"/>
              <w:rPr>
                <w:sz w:val="22"/>
                <w:szCs w:val="22"/>
              </w:rPr>
            </w:pPr>
            <w:r w:rsidRPr="00295E71">
              <w:rPr>
                <w:sz w:val="22"/>
                <w:szCs w:val="22"/>
              </w:rPr>
              <w:t>48,9</w:t>
            </w:r>
            <w:r w:rsidRPr="00295E71">
              <w:rPr>
                <w:sz w:val="22"/>
                <w:szCs w:val="22"/>
                <w:vertAlign w:val="superscript"/>
              </w:rPr>
              <w:t>a</w:t>
            </w:r>
          </w:p>
        </w:tc>
        <w:tc>
          <w:tcPr>
            <w:tcW w:w="2268" w:type="dxa"/>
          </w:tcPr>
          <w:p w:rsidR="006224C2" w:rsidRPr="00295E71" w14:paraId="6E28061C" w14:textId="77777777">
            <w:pPr>
              <w:pStyle w:val="gtctablespaceafter"/>
              <w:keepNext/>
              <w:spacing w:after="0"/>
              <w:jc w:val="center"/>
              <w:rPr>
                <w:sz w:val="22"/>
                <w:szCs w:val="22"/>
                <w:lang w:val="it-IT"/>
              </w:rPr>
            </w:pPr>
            <w:r w:rsidRPr="00295E71">
              <w:rPr>
                <w:sz w:val="22"/>
                <w:szCs w:val="22"/>
                <w:lang w:val="it-IT"/>
              </w:rPr>
              <w:t>61,3</w:t>
            </w:r>
          </w:p>
        </w:tc>
      </w:tr>
      <w:tr w14:paraId="2B0103EF" w14:textId="77777777">
        <w:tblPrEx>
          <w:tblW w:w="0" w:type="auto"/>
          <w:tblLayout w:type="fixed"/>
          <w:tblLook w:val="04A0"/>
        </w:tblPrEx>
        <w:tc>
          <w:tcPr>
            <w:tcW w:w="2718" w:type="dxa"/>
          </w:tcPr>
          <w:p w:rsidR="006224C2" w:rsidRPr="00295E71" w14:paraId="00426467" w14:textId="77777777">
            <w:pPr>
              <w:pStyle w:val="gtctablespaceafter"/>
              <w:keepNext/>
              <w:spacing w:after="0"/>
              <w:rPr>
                <w:sz w:val="22"/>
                <w:szCs w:val="22"/>
                <w:lang w:val="it-IT"/>
              </w:rPr>
            </w:pPr>
            <w:r w:rsidRPr="00295E71">
              <w:rPr>
                <w:sz w:val="22"/>
                <w:szCs w:val="22"/>
                <w:lang w:val="it-IT"/>
              </w:rPr>
              <w:t>Variazione percentuale nel punteggio NAPSI totale (%)</w:t>
            </w:r>
          </w:p>
        </w:tc>
        <w:tc>
          <w:tcPr>
            <w:tcW w:w="1080" w:type="dxa"/>
          </w:tcPr>
          <w:p w:rsidR="006224C2" w:rsidRPr="00295E71" w14:paraId="0E128176" w14:textId="77777777">
            <w:pPr>
              <w:pStyle w:val="gtctablespaceafter"/>
              <w:keepNext/>
              <w:spacing w:after="0"/>
              <w:jc w:val="center"/>
              <w:rPr>
                <w:sz w:val="22"/>
                <w:szCs w:val="22"/>
                <w:lang w:val="it-IT"/>
              </w:rPr>
            </w:pPr>
            <w:r w:rsidRPr="00295E71">
              <w:rPr>
                <w:sz w:val="22"/>
                <w:szCs w:val="22"/>
                <w:lang w:val="it-IT"/>
              </w:rPr>
              <w:t>-7,8</w:t>
            </w:r>
          </w:p>
        </w:tc>
        <w:tc>
          <w:tcPr>
            <w:tcW w:w="1260" w:type="dxa"/>
          </w:tcPr>
          <w:p w:rsidR="006224C2" w:rsidRPr="00295E71" w14:paraId="76FD4EA0" w14:textId="77777777">
            <w:pPr>
              <w:pStyle w:val="gtctablespaceafter"/>
              <w:keepNext/>
              <w:spacing w:after="0"/>
              <w:jc w:val="center"/>
              <w:rPr>
                <w:sz w:val="22"/>
                <w:szCs w:val="22"/>
                <w:lang w:val="it-IT"/>
              </w:rPr>
            </w:pPr>
            <w:r w:rsidRPr="00295E71">
              <w:rPr>
                <w:sz w:val="22"/>
                <w:szCs w:val="22"/>
                <w:lang w:val="it-IT"/>
              </w:rPr>
              <w:t>-44,2</w:t>
            </w:r>
            <w:r w:rsidRPr="00295E71">
              <w:rPr>
                <w:sz w:val="22"/>
                <w:szCs w:val="22"/>
                <w:vertAlign w:val="superscript"/>
                <w:lang w:val="it-IT"/>
              </w:rPr>
              <w:t>a</w:t>
            </w:r>
          </w:p>
        </w:tc>
        <w:tc>
          <w:tcPr>
            <w:tcW w:w="990" w:type="dxa"/>
          </w:tcPr>
          <w:p w:rsidR="006224C2" w:rsidRPr="00295E71" w14:paraId="6EBE58A0" w14:textId="77777777">
            <w:pPr>
              <w:keepNext/>
              <w:jc w:val="center"/>
              <w:rPr>
                <w:sz w:val="22"/>
                <w:szCs w:val="22"/>
              </w:rPr>
            </w:pPr>
            <w:r w:rsidRPr="00295E71">
              <w:rPr>
                <w:sz w:val="22"/>
                <w:szCs w:val="22"/>
              </w:rPr>
              <w:t>-11,5</w:t>
            </w:r>
          </w:p>
        </w:tc>
        <w:tc>
          <w:tcPr>
            <w:tcW w:w="1260" w:type="dxa"/>
          </w:tcPr>
          <w:p w:rsidR="006224C2" w:rsidRPr="00295E71" w14:paraId="175AD1F6" w14:textId="77777777">
            <w:pPr>
              <w:keepNext/>
              <w:jc w:val="center"/>
              <w:rPr>
                <w:sz w:val="22"/>
                <w:szCs w:val="22"/>
              </w:rPr>
            </w:pPr>
            <w:r w:rsidRPr="00295E71">
              <w:rPr>
                <w:sz w:val="22"/>
                <w:szCs w:val="22"/>
              </w:rPr>
              <w:t>-56,2</w:t>
            </w:r>
            <w:r w:rsidRPr="00295E71">
              <w:rPr>
                <w:sz w:val="22"/>
                <w:szCs w:val="22"/>
                <w:vertAlign w:val="superscript"/>
              </w:rPr>
              <w:t>a</w:t>
            </w:r>
          </w:p>
        </w:tc>
        <w:tc>
          <w:tcPr>
            <w:tcW w:w="2268" w:type="dxa"/>
          </w:tcPr>
          <w:p w:rsidR="006224C2" w:rsidRPr="00295E71" w14:paraId="12358A22" w14:textId="77777777">
            <w:pPr>
              <w:pStyle w:val="gtctablespaceafter"/>
              <w:keepNext/>
              <w:spacing w:after="0"/>
              <w:jc w:val="center"/>
              <w:rPr>
                <w:sz w:val="22"/>
                <w:szCs w:val="22"/>
                <w:lang w:val="it-IT"/>
              </w:rPr>
            </w:pPr>
            <w:r w:rsidRPr="00295E71">
              <w:rPr>
                <w:sz w:val="22"/>
                <w:szCs w:val="22"/>
                <w:lang w:val="it-IT"/>
              </w:rPr>
              <w:t>-72,2</w:t>
            </w:r>
          </w:p>
        </w:tc>
      </w:tr>
      <w:tr w14:paraId="7174D212" w14:textId="77777777">
        <w:tblPrEx>
          <w:tblW w:w="0" w:type="auto"/>
          <w:tblLayout w:type="fixed"/>
          <w:tblLook w:val="04A0"/>
        </w:tblPrEx>
        <w:tc>
          <w:tcPr>
            <w:tcW w:w="9576" w:type="dxa"/>
            <w:gridSpan w:val="6"/>
          </w:tcPr>
          <w:p w:rsidR="006224C2" w:rsidRPr="00295E71" w14:paraId="6100A989" w14:textId="77777777">
            <w:pPr>
              <w:pStyle w:val="gtctablespaceafter"/>
              <w:keepNext/>
              <w:spacing w:after="0"/>
              <w:rPr>
                <w:sz w:val="22"/>
                <w:szCs w:val="22"/>
                <w:lang w:val="it-IT"/>
              </w:rPr>
            </w:pPr>
            <w:r w:rsidRPr="00295E71">
              <w:rPr>
                <w:sz w:val="22"/>
                <w:szCs w:val="22"/>
                <w:vertAlign w:val="superscript"/>
                <w:lang w:val="it-IT"/>
              </w:rPr>
              <w:t>a</w:t>
            </w:r>
            <w:r w:rsidRPr="00295E71">
              <w:rPr>
                <w:sz w:val="22"/>
                <w:szCs w:val="22"/>
                <w:lang w:val="it-IT"/>
              </w:rPr>
              <w:t xml:space="preserve"> p&lt;0,001, Humira </w:t>
            </w:r>
            <w:r w:rsidRPr="00295E71">
              <w:rPr>
                <w:i/>
                <w:sz w:val="22"/>
                <w:szCs w:val="22"/>
                <w:lang w:val="it-IT"/>
              </w:rPr>
              <w:t>vs.</w:t>
            </w:r>
            <w:r w:rsidRPr="00295E71">
              <w:rPr>
                <w:sz w:val="22"/>
                <w:szCs w:val="22"/>
                <w:lang w:val="it-IT"/>
              </w:rPr>
              <w:t xml:space="preserve"> placebo </w:t>
            </w:r>
          </w:p>
        </w:tc>
      </w:tr>
    </w:tbl>
    <w:p w:rsidR="006224C2" w:rsidRPr="00295E71" w14:paraId="29ABEC8F" w14:textId="77777777">
      <w:pPr>
        <w:pStyle w:val="gtctablespaceafter"/>
        <w:spacing w:after="0"/>
        <w:jc w:val="both"/>
        <w:rPr>
          <w:sz w:val="22"/>
          <w:szCs w:val="22"/>
          <w:lang w:val="it-IT"/>
        </w:rPr>
      </w:pPr>
    </w:p>
    <w:p w:rsidR="006224C2" w:rsidRPr="00295E71" w14:paraId="439EF2B4" w14:textId="77777777">
      <w:pPr>
        <w:tabs>
          <w:tab w:val="left" w:pos="567"/>
        </w:tabs>
        <w:jc w:val="both"/>
        <w:rPr>
          <w:sz w:val="22"/>
          <w:szCs w:val="22"/>
          <w:lang w:eastAsia="en-US"/>
        </w:rPr>
      </w:pPr>
      <w:r w:rsidRPr="00295E71">
        <w:rPr>
          <w:sz w:val="22"/>
          <w:szCs w:val="22"/>
          <w:lang w:eastAsia="en-US"/>
        </w:rPr>
        <w:t>I pazienti trattati con Humira hanno mostrato miglioramenti statisticamente significativi alla settimana 26 rispetto al placebo nel DLQI.</w:t>
      </w:r>
    </w:p>
    <w:p w:rsidR="006224C2" w:rsidRPr="00295E71" w14:paraId="43D1CB8B" w14:textId="77777777">
      <w:pPr>
        <w:tabs>
          <w:tab w:val="left" w:pos="567"/>
          <w:tab w:val="left" w:pos="1294"/>
        </w:tabs>
        <w:autoSpaceDE w:val="0"/>
        <w:autoSpaceDN w:val="0"/>
        <w:adjustRightInd w:val="0"/>
        <w:jc w:val="both"/>
        <w:rPr>
          <w:color w:val="000000"/>
          <w:sz w:val="22"/>
          <w:szCs w:val="22"/>
        </w:rPr>
      </w:pPr>
    </w:p>
    <w:p w:rsidR="006224C2" w:rsidRPr="00295E71" w14:paraId="627A5967" w14:textId="77777777">
      <w:pPr>
        <w:keepNext/>
        <w:rPr>
          <w:i/>
          <w:color w:val="000000"/>
          <w:sz w:val="22"/>
          <w:szCs w:val="22"/>
        </w:rPr>
      </w:pPr>
      <w:r w:rsidRPr="00295E71">
        <w:rPr>
          <w:i/>
          <w:color w:val="000000"/>
          <w:sz w:val="22"/>
          <w:szCs w:val="22"/>
        </w:rPr>
        <w:t>Idrosadenite Suppurativa</w:t>
      </w:r>
    </w:p>
    <w:p w:rsidR="006224C2" w:rsidRPr="00295E71" w14:paraId="0AC4B051" w14:textId="77777777">
      <w:pPr>
        <w:pStyle w:val="EMEAHeadingUnderline"/>
        <w:keepNext/>
        <w:spacing w:beforeLines="0" w:afterLines="0"/>
        <w:jc w:val="both"/>
        <w:rPr>
          <w:lang w:val="it-IT"/>
        </w:rPr>
      </w:pPr>
    </w:p>
    <w:p w:rsidR="006224C2" w:rsidRPr="00295E71" w14:paraId="36ACDC7B" w14:textId="77777777">
      <w:pPr>
        <w:keepNext/>
        <w:rPr>
          <w:sz w:val="22"/>
          <w:szCs w:val="22"/>
        </w:rPr>
      </w:pPr>
      <w:r w:rsidRPr="00295E71">
        <w:rPr>
          <w:sz w:val="22"/>
          <w:szCs w:val="22"/>
        </w:rPr>
        <w:t xml:space="preserve">La sicurezza e l’efficacia di Humira sono state valutate in </w:t>
      </w:r>
      <w:r w:rsidRPr="00295E71">
        <w:rPr>
          <w:sz w:val="22"/>
          <w:szCs w:val="22"/>
          <w:lang w:eastAsia="en-US"/>
        </w:rPr>
        <w:t>studi randomizzati, in doppio cieco, controllati con placebo e in uno studio di estensione in aperto, in pazienti adulti affetti da Idrosadenite Suppurativa (HS) di grado da moderato a severo, che erano intolleranti, presentavano una controindicazione o una risposta inadeguata ad almeno 3 mesi di terapia antibiotica sistemica. I pazienti in HS-I e HS-II avevano uno Stadio Hurley II o III della malattia con almeno 3 ascessi o noduli infiammatori.</w:t>
      </w:r>
    </w:p>
    <w:p w:rsidR="006224C2" w:rsidRPr="00295E71" w14:paraId="20933859" w14:textId="77777777">
      <w:pPr>
        <w:rPr>
          <w:sz w:val="22"/>
          <w:szCs w:val="22"/>
        </w:rPr>
      </w:pPr>
    </w:p>
    <w:p w:rsidR="006224C2" w:rsidRPr="00295E71" w14:paraId="4AE563C1" w14:textId="77777777">
      <w:pPr>
        <w:rPr>
          <w:sz w:val="22"/>
          <w:szCs w:val="22"/>
        </w:rPr>
      </w:pPr>
      <w:r w:rsidRPr="00295E71">
        <w:rPr>
          <w:sz w:val="22"/>
          <w:szCs w:val="22"/>
        </w:rPr>
        <w:t xml:space="preserve">Lo </w:t>
      </w:r>
      <w:r w:rsidRPr="00295E71">
        <w:rPr>
          <w:sz w:val="22"/>
          <w:szCs w:val="22"/>
          <w:lang w:eastAsia="en-US"/>
        </w:rPr>
        <w:t>Studio HS-I (PIONEER I) ha valutato 307 pazienti con 2 periodi di trattamento. Nel Periodo A, i pazienti hanno ricevuto placebo o Humira ad una dose iniziale di 160 mg alla settimana 0,80 mg alla settimana 2 e 40 mg ogni settimana a partire dalla settimana 4 fino alla settimana 11. Durante lo studio non era consentito l’uso concomitante di antibiotici. Dopo 12 settimane di trattamento, i pazienti che avevano ricevuto Humira nel Periodo A sono stati randomizzati nel Periodo B ad 1 dei 3 gruppi di trattamento (Humira 40 mg ogni settimana, Humira 40 mg a settimane alterne o placebo dalla settimana 12 alla settimana 35). I pazienti che erano stati randomizzati al placebo nel Periodo A, sono stati assegnati a ricevere Humira 40 mg ogni settimana nel Periodo B.</w:t>
      </w:r>
    </w:p>
    <w:p w:rsidR="006224C2" w:rsidRPr="00295E71" w14:paraId="5D30D082" w14:textId="77777777">
      <w:pPr>
        <w:rPr>
          <w:sz w:val="22"/>
          <w:szCs w:val="22"/>
        </w:rPr>
      </w:pPr>
    </w:p>
    <w:p w:rsidR="006224C2" w:rsidRPr="00295E71" w14:paraId="34BBEC8F" w14:textId="77777777">
      <w:pPr>
        <w:rPr>
          <w:sz w:val="22"/>
          <w:szCs w:val="22"/>
        </w:rPr>
      </w:pPr>
      <w:r w:rsidRPr="00295E71">
        <w:rPr>
          <w:sz w:val="22"/>
          <w:szCs w:val="22"/>
        </w:rPr>
        <w:t xml:space="preserve">Lo </w:t>
      </w:r>
      <w:r w:rsidRPr="00295E71">
        <w:rPr>
          <w:sz w:val="22"/>
          <w:szCs w:val="22"/>
          <w:lang w:eastAsia="en-US"/>
        </w:rPr>
        <w:t>Studio HS-II (PIONEER II) ha valutato 326 pazienti con 2 periodi di trattamento. Nel Periodo A, i pazienti hanno ricevuto placebo o Humira ad una dose iniziale di 160 mg alla settimana 0, 80 mg alla settimana 2 e 40 mg ogni settimana a partire dalla settimana 4 fino alla settimana 11. Durante lo studio il 19,3% dei pazienti ha continuato la terapia antibiotica orale che faceva all’inizio dello studio. Dopo 12 settimane di trattamento, i pazienti che avevano ricevuto Humira nel Periodo A sono stati randomizzati nel Periodo B ad 1 dei 3 gruppi di trattamento (Humira 40 mg ogni settimana, Humira 40 mg a settimane alterne o placebo dalla settimana 12 alla settimana 35). I pazienti che erano stati randomizzati al placebo nel Periodo A, sono stati assegnati a ricevere placebo nel Periodo B.</w:t>
      </w:r>
    </w:p>
    <w:p w:rsidR="006224C2" w:rsidRPr="00295E71" w14:paraId="286F01EB" w14:textId="77777777">
      <w:pPr>
        <w:rPr>
          <w:sz w:val="22"/>
          <w:szCs w:val="22"/>
        </w:rPr>
      </w:pPr>
    </w:p>
    <w:p w:rsidR="006224C2" w:rsidRPr="00295E71" w14:paraId="45A9514A" w14:textId="77777777">
      <w:pPr>
        <w:rPr>
          <w:sz w:val="22"/>
          <w:szCs w:val="22"/>
        </w:rPr>
      </w:pPr>
      <w:r w:rsidRPr="00295E71">
        <w:rPr>
          <w:sz w:val="22"/>
          <w:szCs w:val="22"/>
          <w:lang w:eastAsia="en-US"/>
        </w:rPr>
        <w:t>I pazienti che avevano preso parte agli Studi HS-I e HS-II erano idonei a partecipare ad uno studio di estensione in aperto in cui ogni settimana veniva somministrato Humira 40 mg.</w:t>
      </w:r>
      <w:r w:rsidRPr="00295E71" w:rsidR="00176CDB">
        <w:rPr>
          <w:sz w:val="22"/>
          <w:szCs w:val="22"/>
          <w:lang w:eastAsia="en-US"/>
        </w:rPr>
        <w:t xml:space="preserve"> L’esposizione media in tutta la popolazione trattata con adalimumab è stata di 762 giorni.</w:t>
      </w:r>
      <w:r w:rsidRPr="00295E71">
        <w:rPr>
          <w:sz w:val="22"/>
          <w:szCs w:val="22"/>
          <w:lang w:eastAsia="en-US"/>
        </w:rPr>
        <w:t xml:space="preserve"> Durante tutti e 3 gli studi, i pazienti hanno usato tutti i giorni una soluzione di lavaggio antisettica topica.</w:t>
      </w:r>
    </w:p>
    <w:p w:rsidR="006224C2" w:rsidRPr="00295E71" w14:paraId="0BA05136" w14:textId="77777777">
      <w:pPr>
        <w:rPr>
          <w:sz w:val="22"/>
          <w:szCs w:val="22"/>
        </w:rPr>
      </w:pPr>
    </w:p>
    <w:p w:rsidR="006224C2" w:rsidRPr="00295E71" w14:paraId="2058497B" w14:textId="77777777">
      <w:pPr>
        <w:keepNext/>
        <w:rPr>
          <w:i/>
          <w:sz w:val="22"/>
          <w:szCs w:val="22"/>
          <w:u w:val="single"/>
          <w:lang w:eastAsia="en-US"/>
        </w:rPr>
      </w:pPr>
    </w:p>
    <w:p w:rsidR="006224C2" w:rsidRPr="00295E71" w14:paraId="7607A462" w14:textId="77777777">
      <w:pPr>
        <w:keepNext/>
        <w:rPr>
          <w:i/>
          <w:sz w:val="22"/>
          <w:szCs w:val="22"/>
          <w:u w:val="single"/>
        </w:rPr>
      </w:pPr>
      <w:r w:rsidRPr="00295E71">
        <w:rPr>
          <w:i/>
          <w:sz w:val="22"/>
          <w:szCs w:val="22"/>
          <w:u w:val="single"/>
          <w:lang w:eastAsia="en-US"/>
        </w:rPr>
        <w:t>Risposta Clinica</w:t>
      </w:r>
    </w:p>
    <w:p w:rsidR="006224C2" w:rsidRPr="00295E71" w14:paraId="1E3A465B" w14:textId="77777777">
      <w:pPr>
        <w:keepNext/>
        <w:rPr>
          <w:sz w:val="22"/>
          <w:szCs w:val="22"/>
        </w:rPr>
      </w:pPr>
    </w:p>
    <w:p w:rsidR="006224C2" w:rsidRPr="00295E71" w14:paraId="3CA9C330" w14:textId="77777777">
      <w:pPr>
        <w:keepNext/>
        <w:rPr>
          <w:sz w:val="22"/>
          <w:szCs w:val="22"/>
        </w:rPr>
      </w:pPr>
      <w:r w:rsidRPr="00295E71">
        <w:rPr>
          <w:sz w:val="22"/>
          <w:szCs w:val="22"/>
        </w:rPr>
        <w:t xml:space="preserve">La </w:t>
      </w:r>
      <w:r w:rsidRPr="00295E71">
        <w:rPr>
          <w:sz w:val="22"/>
          <w:szCs w:val="22"/>
          <w:lang w:eastAsia="en-US"/>
        </w:rPr>
        <w:t>riduzione delle lesioni infiammatorie e la prevenzione del peggioramento degli ascessi e delle fistole drenanti sono state valutate utilizzando l’Hidradenitis Suppurativa Clinical Response (HiSCR; una riduzione di almeno il 50% nella conta totale di ascessi e noduli infiammatori senza aumento nella conta degli ascessi né di fistole drenanti rispetto al valore basale). La riduzione del dolore cutaneo riferito all’idrosadenite suppurativa (HS) è stata valutata utilizzando la Scala di Valutazione Numerica (Numeric Rating Scale) nei pazienti che erano entrati nello studio con un punteggio basale iniziale pari a 3 o superiore su una scala di 11 punti.</w:t>
      </w:r>
    </w:p>
    <w:p w:rsidR="006224C2" w:rsidRPr="00295E71" w14:paraId="57B1CFC5" w14:textId="77777777">
      <w:pPr>
        <w:rPr>
          <w:sz w:val="22"/>
          <w:szCs w:val="22"/>
        </w:rPr>
      </w:pPr>
    </w:p>
    <w:p w:rsidR="006224C2" w:rsidRPr="00295E71" w14:paraId="5B7C8F68" w14:textId="77777777">
      <w:pPr>
        <w:rPr>
          <w:sz w:val="22"/>
          <w:szCs w:val="22"/>
        </w:rPr>
      </w:pPr>
      <w:r w:rsidRPr="00295E71">
        <w:rPr>
          <w:sz w:val="22"/>
          <w:szCs w:val="22"/>
          <w:lang w:eastAsia="en-US"/>
        </w:rPr>
        <w:t xml:space="preserve">Alla settimana 12, una percentuale significativamente maggiore di pazienti trattati con Humira </w:t>
      </w:r>
      <w:r w:rsidRPr="00295E71">
        <w:rPr>
          <w:i/>
          <w:sz w:val="22"/>
          <w:szCs w:val="22"/>
          <w:lang w:eastAsia="en-US"/>
        </w:rPr>
        <w:t xml:space="preserve">verso </w:t>
      </w:r>
      <w:r w:rsidRPr="00295E71">
        <w:rPr>
          <w:sz w:val="22"/>
          <w:szCs w:val="22"/>
          <w:lang w:eastAsia="en-US"/>
        </w:rPr>
        <w:t xml:space="preserve">placebo ha raggiunto HiSCR. Alla settimana 12, una percentuale significativamente superiore di pazienti nello Studio HS-II ha mostrato una diminuzione clinicamente rilevante del dolore cutaneo riferito all’Idrosadenite Suppurativa (HS) (vedere Tabella </w:t>
      </w:r>
      <w:r w:rsidRPr="00295E71" w:rsidR="00DE0578">
        <w:rPr>
          <w:sz w:val="22"/>
          <w:szCs w:val="22"/>
          <w:lang w:eastAsia="en-US"/>
        </w:rPr>
        <w:t>1</w:t>
      </w:r>
      <w:r w:rsidR="00800CE0">
        <w:rPr>
          <w:sz w:val="22"/>
          <w:szCs w:val="22"/>
          <w:lang w:eastAsia="en-US"/>
        </w:rPr>
        <w:t>2</w:t>
      </w:r>
      <w:r w:rsidRPr="00295E71">
        <w:rPr>
          <w:sz w:val="22"/>
          <w:szCs w:val="22"/>
          <w:lang w:eastAsia="en-US"/>
        </w:rPr>
        <w:t>). I pazienti trattati con Humira presentavano un rischio significativamente ridotto di riacutizzazione della malattia durante le 12 settimane iniziali di trattamento.</w:t>
      </w:r>
    </w:p>
    <w:p w:rsidR="006224C2" w:rsidRPr="00295E71" w14:paraId="549676A0" w14:textId="77777777">
      <w:pPr>
        <w:rPr>
          <w:b/>
          <w:sz w:val="22"/>
          <w:szCs w:val="22"/>
          <w:lang w:eastAsia="en-US"/>
        </w:rPr>
      </w:pPr>
    </w:p>
    <w:p w:rsidR="006224C2" w:rsidRPr="00295E71" w14:paraId="2B51BCE8" w14:textId="77777777">
      <w:pPr>
        <w:keepNext/>
        <w:keepLines/>
        <w:jc w:val="center"/>
        <w:rPr>
          <w:b/>
          <w:sz w:val="22"/>
          <w:szCs w:val="22"/>
        </w:rPr>
      </w:pPr>
      <w:r w:rsidRPr="00295E71">
        <w:rPr>
          <w:b/>
          <w:sz w:val="22"/>
          <w:szCs w:val="22"/>
          <w:lang w:eastAsia="en-US"/>
        </w:rPr>
        <w:t xml:space="preserve">Tabella </w:t>
      </w:r>
      <w:r w:rsidRPr="00295E71" w:rsidR="00DE0578">
        <w:rPr>
          <w:b/>
          <w:sz w:val="22"/>
          <w:szCs w:val="22"/>
          <w:lang w:eastAsia="en-US"/>
        </w:rPr>
        <w:t>1</w:t>
      </w:r>
      <w:r w:rsidR="00800CE0">
        <w:rPr>
          <w:b/>
          <w:sz w:val="22"/>
          <w:szCs w:val="22"/>
          <w:lang w:eastAsia="en-US"/>
        </w:rPr>
        <w:t>2</w:t>
      </w:r>
      <w:r w:rsidRPr="00295E71">
        <w:rPr>
          <w:b/>
          <w:sz w:val="22"/>
          <w:szCs w:val="22"/>
          <w:lang w:eastAsia="en-US"/>
        </w:rPr>
        <w:t>: Risultati di efficacia a 12 settimane, Studi HS I e II</w:t>
      </w:r>
    </w:p>
    <w:p w:rsidR="006224C2" w:rsidRPr="00295E71" w14:paraId="79C8CF84" w14:textId="77777777">
      <w:pPr>
        <w:keepNext/>
        <w:keepLines/>
        <w:rPr>
          <w:sz w:val="22"/>
          <w:szCs w:val="22"/>
          <w:lang w:eastAsia="en-US"/>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2847"/>
        <w:gridCol w:w="1440"/>
        <w:gridCol w:w="1746"/>
        <w:gridCol w:w="1404"/>
        <w:gridCol w:w="1856"/>
      </w:tblGrid>
      <w:tr w14:paraId="5C29ACE7" w14:textId="77777777">
        <w:tblPrEx>
          <w:tblW w:w="9293" w:type="dxa"/>
          <w:tblLook w:val="04A0"/>
        </w:tblPrEx>
        <w:tc>
          <w:tcPr>
            <w:tcW w:w="2847" w:type="dxa"/>
            <w:vMerge w:val="restart"/>
            <w:tcMar>
              <w:top w:w="0" w:type="dxa"/>
              <w:left w:w="115" w:type="dxa"/>
              <w:bottom w:w="0" w:type="dxa"/>
              <w:right w:w="115" w:type="dxa"/>
            </w:tcMar>
            <w:vAlign w:val="bottom"/>
          </w:tcPr>
          <w:p w:rsidR="006224C2" w:rsidRPr="00295E71" w14:paraId="27CE06D9" w14:textId="77777777">
            <w:pPr>
              <w:keepNext/>
              <w:keepLines/>
              <w:rPr>
                <w:b/>
                <w:sz w:val="22"/>
                <w:szCs w:val="22"/>
              </w:rPr>
            </w:pPr>
          </w:p>
        </w:tc>
        <w:tc>
          <w:tcPr>
            <w:tcW w:w="3186" w:type="dxa"/>
            <w:gridSpan w:val="2"/>
            <w:tcMar>
              <w:top w:w="0" w:type="dxa"/>
              <w:left w:w="115" w:type="dxa"/>
              <w:bottom w:w="0" w:type="dxa"/>
              <w:right w:w="115" w:type="dxa"/>
            </w:tcMar>
            <w:vAlign w:val="bottom"/>
          </w:tcPr>
          <w:p w:rsidR="006224C2" w:rsidRPr="00295E71" w14:paraId="25E96B1B" w14:textId="77777777">
            <w:pPr>
              <w:keepNext/>
              <w:keepLines/>
              <w:jc w:val="center"/>
              <w:rPr>
                <w:b/>
                <w:bCs/>
                <w:sz w:val="22"/>
                <w:szCs w:val="22"/>
              </w:rPr>
            </w:pPr>
            <w:r w:rsidRPr="00295E71">
              <w:rPr>
                <w:b/>
                <w:bCs/>
                <w:sz w:val="22"/>
                <w:szCs w:val="22"/>
              </w:rPr>
              <w:t>Studio HS I</w:t>
            </w:r>
          </w:p>
        </w:tc>
        <w:tc>
          <w:tcPr>
            <w:tcW w:w="3260" w:type="dxa"/>
            <w:gridSpan w:val="2"/>
            <w:tcMar>
              <w:top w:w="0" w:type="dxa"/>
              <w:left w:w="115" w:type="dxa"/>
              <w:bottom w:w="0" w:type="dxa"/>
              <w:right w:w="115" w:type="dxa"/>
            </w:tcMar>
            <w:vAlign w:val="bottom"/>
          </w:tcPr>
          <w:p w:rsidR="006224C2" w:rsidRPr="00295E71" w14:paraId="06BEAE19" w14:textId="77777777">
            <w:pPr>
              <w:keepNext/>
              <w:keepLines/>
              <w:jc w:val="center"/>
              <w:rPr>
                <w:b/>
                <w:bCs/>
                <w:sz w:val="22"/>
                <w:szCs w:val="22"/>
              </w:rPr>
            </w:pPr>
            <w:r w:rsidRPr="00295E71">
              <w:rPr>
                <w:b/>
                <w:bCs/>
                <w:sz w:val="22"/>
                <w:szCs w:val="22"/>
              </w:rPr>
              <w:t>Studio HS II</w:t>
            </w:r>
          </w:p>
        </w:tc>
      </w:tr>
      <w:tr w14:paraId="4A640AF3" w14:textId="77777777">
        <w:tblPrEx>
          <w:tblW w:w="9293" w:type="dxa"/>
          <w:tblLook w:val="04A0"/>
        </w:tblPrEx>
        <w:tc>
          <w:tcPr>
            <w:tcW w:w="2847" w:type="dxa"/>
            <w:vMerge/>
            <w:tcMar>
              <w:top w:w="0" w:type="dxa"/>
              <w:left w:w="115" w:type="dxa"/>
              <w:bottom w:w="0" w:type="dxa"/>
              <w:right w:w="115" w:type="dxa"/>
            </w:tcMar>
            <w:vAlign w:val="center"/>
            <w:hideMark/>
          </w:tcPr>
          <w:p w:rsidR="006224C2" w:rsidRPr="00295E71" w14:paraId="45DB001F" w14:textId="77777777">
            <w:pPr>
              <w:keepNext/>
              <w:keepLines/>
              <w:rPr>
                <w:sz w:val="22"/>
                <w:szCs w:val="22"/>
              </w:rPr>
            </w:pPr>
          </w:p>
        </w:tc>
        <w:tc>
          <w:tcPr>
            <w:tcW w:w="1440" w:type="dxa"/>
            <w:tcMar>
              <w:top w:w="0" w:type="dxa"/>
              <w:left w:w="115" w:type="dxa"/>
              <w:bottom w:w="0" w:type="dxa"/>
              <w:right w:w="115" w:type="dxa"/>
            </w:tcMar>
            <w:vAlign w:val="bottom"/>
            <w:hideMark/>
          </w:tcPr>
          <w:p w:rsidR="006224C2" w:rsidRPr="00295E71" w14:paraId="7DA075CE" w14:textId="77777777">
            <w:pPr>
              <w:keepNext/>
              <w:keepLines/>
              <w:jc w:val="center"/>
              <w:rPr>
                <w:sz w:val="22"/>
                <w:szCs w:val="22"/>
              </w:rPr>
            </w:pPr>
            <w:r w:rsidRPr="00295E71">
              <w:rPr>
                <w:b/>
                <w:bCs/>
                <w:sz w:val="22"/>
                <w:szCs w:val="22"/>
              </w:rPr>
              <w:t>Placebo</w:t>
            </w:r>
          </w:p>
        </w:tc>
        <w:tc>
          <w:tcPr>
            <w:tcW w:w="1746" w:type="dxa"/>
            <w:tcMar>
              <w:top w:w="0" w:type="dxa"/>
              <w:left w:w="115" w:type="dxa"/>
              <w:bottom w:w="0" w:type="dxa"/>
              <w:right w:w="115" w:type="dxa"/>
            </w:tcMar>
            <w:vAlign w:val="bottom"/>
            <w:hideMark/>
          </w:tcPr>
          <w:p w:rsidR="006224C2" w:rsidRPr="00295E71" w14:paraId="0FD46A28" w14:textId="77777777">
            <w:pPr>
              <w:keepNext/>
              <w:keepLines/>
              <w:jc w:val="center"/>
              <w:rPr>
                <w:b/>
                <w:bCs/>
                <w:sz w:val="22"/>
                <w:szCs w:val="22"/>
              </w:rPr>
            </w:pPr>
            <w:r w:rsidRPr="00295E71">
              <w:rPr>
                <w:b/>
                <w:bCs/>
                <w:sz w:val="22"/>
                <w:szCs w:val="22"/>
              </w:rPr>
              <w:t>Humira 40 mg a settimana</w:t>
            </w:r>
          </w:p>
        </w:tc>
        <w:tc>
          <w:tcPr>
            <w:tcW w:w="1404" w:type="dxa"/>
            <w:tcMar>
              <w:top w:w="0" w:type="dxa"/>
              <w:left w:w="115" w:type="dxa"/>
              <w:bottom w:w="0" w:type="dxa"/>
              <w:right w:w="115" w:type="dxa"/>
            </w:tcMar>
            <w:vAlign w:val="bottom"/>
            <w:hideMark/>
          </w:tcPr>
          <w:p w:rsidR="006224C2" w:rsidRPr="00295E71" w14:paraId="62F93FFE" w14:textId="77777777">
            <w:pPr>
              <w:keepNext/>
              <w:keepLines/>
              <w:jc w:val="center"/>
              <w:rPr>
                <w:b/>
                <w:bCs/>
                <w:sz w:val="22"/>
                <w:szCs w:val="22"/>
              </w:rPr>
            </w:pPr>
            <w:r w:rsidRPr="00295E71">
              <w:rPr>
                <w:b/>
                <w:bCs/>
                <w:sz w:val="22"/>
                <w:szCs w:val="22"/>
              </w:rPr>
              <w:t xml:space="preserve">Placebo </w:t>
            </w:r>
          </w:p>
        </w:tc>
        <w:tc>
          <w:tcPr>
            <w:tcW w:w="1856" w:type="dxa"/>
            <w:tcMar>
              <w:top w:w="0" w:type="dxa"/>
              <w:left w:w="115" w:type="dxa"/>
              <w:bottom w:w="0" w:type="dxa"/>
              <w:right w:w="115" w:type="dxa"/>
            </w:tcMar>
            <w:vAlign w:val="bottom"/>
            <w:hideMark/>
          </w:tcPr>
          <w:p w:rsidR="006224C2" w:rsidRPr="00295E71" w14:paraId="0F18EDB6" w14:textId="77777777">
            <w:pPr>
              <w:keepNext/>
              <w:keepLines/>
              <w:jc w:val="center"/>
              <w:rPr>
                <w:b/>
                <w:bCs/>
                <w:sz w:val="22"/>
                <w:szCs w:val="22"/>
              </w:rPr>
            </w:pPr>
            <w:r w:rsidRPr="00295E71">
              <w:rPr>
                <w:b/>
                <w:bCs/>
                <w:sz w:val="22"/>
                <w:szCs w:val="22"/>
              </w:rPr>
              <w:t>Humira 40 mg a settimana</w:t>
            </w:r>
          </w:p>
        </w:tc>
      </w:tr>
      <w:tr w14:paraId="340EFC0F" w14:textId="77777777">
        <w:tblPrEx>
          <w:tblW w:w="9293" w:type="dxa"/>
          <w:tblLook w:val="04A0"/>
        </w:tblPrEx>
        <w:trPr>
          <w:trHeight w:val="755"/>
        </w:trPr>
        <w:tc>
          <w:tcPr>
            <w:tcW w:w="2847" w:type="dxa"/>
            <w:tcMar>
              <w:top w:w="0" w:type="dxa"/>
              <w:left w:w="115" w:type="dxa"/>
              <w:bottom w:w="0" w:type="dxa"/>
              <w:right w:w="115" w:type="dxa"/>
            </w:tcMar>
            <w:vAlign w:val="center"/>
            <w:hideMark/>
          </w:tcPr>
          <w:p w:rsidR="006224C2" w:rsidRPr="00295E71" w14:paraId="7B04F014" w14:textId="77777777">
            <w:pPr>
              <w:keepNext/>
              <w:keepLines/>
              <w:rPr>
                <w:sz w:val="22"/>
                <w:szCs w:val="22"/>
              </w:rPr>
            </w:pPr>
            <w:r w:rsidRPr="00295E71">
              <w:rPr>
                <w:sz w:val="22"/>
                <w:szCs w:val="22"/>
              </w:rPr>
              <w:t>Hidradenitis Suppurativa Clinical Response (HiSCR)</w:t>
            </w:r>
            <w:r w:rsidRPr="00295E71">
              <w:rPr>
                <w:sz w:val="22"/>
                <w:szCs w:val="22"/>
                <w:vertAlign w:val="superscript"/>
              </w:rPr>
              <w:t>a</w:t>
            </w:r>
          </w:p>
          <w:p w:rsidR="006224C2" w:rsidRPr="00295E71" w14:paraId="077B2D60" w14:textId="77777777">
            <w:pPr>
              <w:keepNext/>
              <w:keepLines/>
              <w:rPr>
                <w:sz w:val="22"/>
                <w:szCs w:val="22"/>
              </w:rPr>
            </w:pPr>
          </w:p>
        </w:tc>
        <w:tc>
          <w:tcPr>
            <w:tcW w:w="1440" w:type="dxa"/>
            <w:tcMar>
              <w:top w:w="0" w:type="dxa"/>
              <w:left w:w="115" w:type="dxa"/>
              <w:bottom w:w="0" w:type="dxa"/>
              <w:right w:w="115" w:type="dxa"/>
            </w:tcMar>
            <w:hideMark/>
          </w:tcPr>
          <w:p w:rsidR="006224C2" w:rsidRPr="00295E71" w14:paraId="1B8863F7" w14:textId="77777777">
            <w:pPr>
              <w:keepNext/>
              <w:keepLines/>
              <w:jc w:val="center"/>
              <w:rPr>
                <w:sz w:val="22"/>
                <w:szCs w:val="22"/>
              </w:rPr>
            </w:pPr>
            <w:r w:rsidRPr="00295E71">
              <w:rPr>
                <w:sz w:val="22"/>
                <w:szCs w:val="22"/>
              </w:rPr>
              <w:t>N = 154</w:t>
            </w:r>
            <w:r w:rsidRPr="00295E71">
              <w:rPr>
                <w:sz w:val="22"/>
                <w:szCs w:val="22"/>
              </w:rPr>
              <w:br/>
              <w:t>40 (26,0%)</w:t>
            </w:r>
          </w:p>
        </w:tc>
        <w:tc>
          <w:tcPr>
            <w:tcW w:w="1746" w:type="dxa"/>
            <w:tcMar>
              <w:top w:w="0" w:type="dxa"/>
              <w:left w:w="115" w:type="dxa"/>
              <w:bottom w:w="0" w:type="dxa"/>
              <w:right w:w="115" w:type="dxa"/>
            </w:tcMar>
            <w:hideMark/>
          </w:tcPr>
          <w:p w:rsidR="006224C2" w:rsidRPr="00295E71" w14:paraId="5A6FB506" w14:textId="77777777">
            <w:pPr>
              <w:keepNext/>
              <w:keepLines/>
              <w:jc w:val="center"/>
              <w:rPr>
                <w:sz w:val="22"/>
                <w:szCs w:val="22"/>
              </w:rPr>
            </w:pPr>
            <w:r w:rsidRPr="00295E71">
              <w:rPr>
                <w:sz w:val="22"/>
                <w:szCs w:val="22"/>
              </w:rPr>
              <w:t>N = 153</w:t>
            </w:r>
            <w:r w:rsidRPr="00295E71">
              <w:rPr>
                <w:sz w:val="22"/>
                <w:szCs w:val="22"/>
              </w:rPr>
              <w:br/>
              <w:t xml:space="preserve">64 (41,8%) </w:t>
            </w:r>
            <w:r w:rsidRPr="00295E71">
              <w:rPr>
                <w:sz w:val="22"/>
                <w:szCs w:val="22"/>
                <w:vertAlign w:val="superscript"/>
              </w:rPr>
              <w:t>*</w:t>
            </w:r>
          </w:p>
        </w:tc>
        <w:tc>
          <w:tcPr>
            <w:tcW w:w="1404" w:type="dxa"/>
            <w:tcMar>
              <w:top w:w="0" w:type="dxa"/>
              <w:left w:w="115" w:type="dxa"/>
              <w:bottom w:w="0" w:type="dxa"/>
              <w:right w:w="115" w:type="dxa"/>
            </w:tcMar>
          </w:tcPr>
          <w:p w:rsidR="006224C2" w:rsidRPr="00295E71" w14:paraId="0A808D29" w14:textId="77777777">
            <w:pPr>
              <w:keepNext/>
              <w:keepLines/>
              <w:jc w:val="center"/>
              <w:rPr>
                <w:sz w:val="22"/>
                <w:szCs w:val="22"/>
              </w:rPr>
            </w:pPr>
            <w:r w:rsidRPr="00295E71">
              <w:rPr>
                <w:sz w:val="22"/>
                <w:szCs w:val="22"/>
              </w:rPr>
              <w:t>N=163</w:t>
            </w:r>
          </w:p>
          <w:p w:rsidR="006224C2" w:rsidRPr="00295E71" w14:paraId="00B4198B" w14:textId="77777777">
            <w:pPr>
              <w:keepNext/>
              <w:keepLines/>
              <w:jc w:val="center"/>
              <w:rPr>
                <w:sz w:val="22"/>
                <w:szCs w:val="22"/>
              </w:rPr>
            </w:pPr>
            <w:r w:rsidRPr="00295E71">
              <w:rPr>
                <w:sz w:val="22"/>
                <w:szCs w:val="22"/>
              </w:rPr>
              <w:t>45 (27,6%)</w:t>
            </w:r>
          </w:p>
        </w:tc>
        <w:tc>
          <w:tcPr>
            <w:tcW w:w="1856" w:type="dxa"/>
            <w:tcMar>
              <w:top w:w="0" w:type="dxa"/>
              <w:left w:w="115" w:type="dxa"/>
              <w:bottom w:w="0" w:type="dxa"/>
              <w:right w:w="115" w:type="dxa"/>
            </w:tcMar>
          </w:tcPr>
          <w:p w:rsidR="006224C2" w:rsidRPr="00295E71" w14:paraId="18448D17" w14:textId="77777777">
            <w:pPr>
              <w:keepNext/>
              <w:keepLines/>
              <w:jc w:val="center"/>
              <w:rPr>
                <w:sz w:val="22"/>
                <w:szCs w:val="22"/>
              </w:rPr>
            </w:pPr>
            <w:r w:rsidRPr="00295E71">
              <w:rPr>
                <w:sz w:val="22"/>
                <w:szCs w:val="22"/>
              </w:rPr>
              <w:t>N=163</w:t>
            </w:r>
          </w:p>
          <w:p w:rsidR="006224C2" w:rsidRPr="00295E71" w14:paraId="18E5698D" w14:textId="77777777">
            <w:pPr>
              <w:keepNext/>
              <w:keepLines/>
              <w:jc w:val="center"/>
              <w:rPr>
                <w:sz w:val="22"/>
                <w:szCs w:val="22"/>
              </w:rPr>
            </w:pPr>
            <w:r w:rsidRPr="00295E71">
              <w:rPr>
                <w:sz w:val="22"/>
                <w:szCs w:val="22"/>
              </w:rPr>
              <w:t xml:space="preserve">96 (58,9%) </w:t>
            </w:r>
            <w:r w:rsidRPr="00295E71">
              <w:rPr>
                <w:sz w:val="22"/>
                <w:szCs w:val="22"/>
                <w:vertAlign w:val="superscript"/>
              </w:rPr>
              <w:t>***</w:t>
            </w:r>
          </w:p>
        </w:tc>
      </w:tr>
      <w:tr w14:paraId="6E013E15" w14:textId="77777777">
        <w:tblPrEx>
          <w:tblW w:w="9293" w:type="dxa"/>
          <w:tblLook w:val="04A0"/>
        </w:tblPrEx>
        <w:tc>
          <w:tcPr>
            <w:tcW w:w="2847" w:type="dxa"/>
            <w:tcMar>
              <w:top w:w="0" w:type="dxa"/>
              <w:left w:w="115" w:type="dxa"/>
              <w:bottom w:w="0" w:type="dxa"/>
              <w:right w:w="115" w:type="dxa"/>
            </w:tcMar>
            <w:vAlign w:val="center"/>
            <w:hideMark/>
          </w:tcPr>
          <w:p w:rsidR="006224C2" w:rsidRPr="00295E71" w14:paraId="3DE8A5A0" w14:textId="77777777">
            <w:pPr>
              <w:keepNext/>
              <w:keepLines/>
              <w:rPr>
                <w:sz w:val="22"/>
                <w:szCs w:val="22"/>
              </w:rPr>
            </w:pPr>
            <w:r w:rsidRPr="00295E71">
              <w:rPr>
                <w:sz w:val="22"/>
                <w:szCs w:val="22"/>
              </w:rPr>
              <w:t>≥30% Riduzione di Dolore cutaneo</w:t>
            </w:r>
            <w:r w:rsidRPr="00295E71">
              <w:rPr>
                <w:sz w:val="22"/>
                <w:szCs w:val="22"/>
                <w:vertAlign w:val="superscript"/>
              </w:rPr>
              <w:t>b</w:t>
            </w:r>
          </w:p>
        </w:tc>
        <w:tc>
          <w:tcPr>
            <w:tcW w:w="1440" w:type="dxa"/>
            <w:tcMar>
              <w:top w:w="0" w:type="dxa"/>
              <w:left w:w="115" w:type="dxa"/>
              <w:bottom w:w="0" w:type="dxa"/>
              <w:right w:w="115" w:type="dxa"/>
            </w:tcMar>
            <w:hideMark/>
          </w:tcPr>
          <w:p w:rsidR="006224C2" w:rsidRPr="00295E71" w14:paraId="2126C8FA" w14:textId="77777777">
            <w:pPr>
              <w:keepNext/>
              <w:keepLines/>
              <w:jc w:val="center"/>
              <w:rPr>
                <w:sz w:val="22"/>
                <w:szCs w:val="22"/>
              </w:rPr>
            </w:pPr>
            <w:r w:rsidRPr="00295E71">
              <w:rPr>
                <w:sz w:val="22"/>
                <w:szCs w:val="22"/>
              </w:rPr>
              <w:t>N = 109</w:t>
            </w:r>
            <w:r w:rsidRPr="00295E71">
              <w:rPr>
                <w:sz w:val="22"/>
                <w:szCs w:val="22"/>
              </w:rPr>
              <w:br/>
              <w:t>27 (24,8%)</w:t>
            </w:r>
          </w:p>
        </w:tc>
        <w:tc>
          <w:tcPr>
            <w:tcW w:w="1746" w:type="dxa"/>
            <w:tcMar>
              <w:top w:w="0" w:type="dxa"/>
              <w:left w:w="115" w:type="dxa"/>
              <w:bottom w:w="0" w:type="dxa"/>
              <w:right w:w="115" w:type="dxa"/>
            </w:tcMar>
            <w:hideMark/>
          </w:tcPr>
          <w:p w:rsidR="006224C2" w:rsidRPr="00295E71" w14:paraId="67F8D285" w14:textId="77777777">
            <w:pPr>
              <w:keepNext/>
              <w:keepLines/>
              <w:jc w:val="center"/>
              <w:rPr>
                <w:sz w:val="22"/>
                <w:szCs w:val="22"/>
              </w:rPr>
            </w:pPr>
            <w:r w:rsidRPr="00295E71">
              <w:rPr>
                <w:sz w:val="22"/>
                <w:szCs w:val="22"/>
              </w:rPr>
              <w:t>N = 122</w:t>
            </w:r>
            <w:r w:rsidRPr="00295E71">
              <w:rPr>
                <w:sz w:val="22"/>
                <w:szCs w:val="22"/>
              </w:rPr>
              <w:br/>
              <w:t>34 (27,9%)</w:t>
            </w:r>
          </w:p>
        </w:tc>
        <w:tc>
          <w:tcPr>
            <w:tcW w:w="1404" w:type="dxa"/>
            <w:tcMar>
              <w:top w:w="0" w:type="dxa"/>
              <w:left w:w="115" w:type="dxa"/>
              <w:bottom w:w="0" w:type="dxa"/>
              <w:right w:w="115" w:type="dxa"/>
            </w:tcMar>
          </w:tcPr>
          <w:p w:rsidR="006224C2" w:rsidRPr="00295E71" w14:paraId="4FB11EE5" w14:textId="77777777">
            <w:pPr>
              <w:keepNext/>
              <w:keepLines/>
              <w:jc w:val="center"/>
              <w:rPr>
                <w:sz w:val="22"/>
                <w:szCs w:val="22"/>
              </w:rPr>
            </w:pPr>
            <w:r w:rsidRPr="00295E71">
              <w:rPr>
                <w:sz w:val="22"/>
                <w:szCs w:val="22"/>
              </w:rPr>
              <w:t>N=111</w:t>
            </w:r>
          </w:p>
          <w:p w:rsidR="006224C2" w:rsidRPr="00295E71" w14:paraId="58FB0437" w14:textId="77777777">
            <w:pPr>
              <w:keepNext/>
              <w:keepLines/>
              <w:jc w:val="center"/>
              <w:rPr>
                <w:sz w:val="22"/>
                <w:szCs w:val="22"/>
              </w:rPr>
            </w:pPr>
            <w:r w:rsidRPr="00295E71">
              <w:rPr>
                <w:sz w:val="22"/>
                <w:szCs w:val="22"/>
              </w:rPr>
              <w:t>23 (20,7%)</w:t>
            </w:r>
          </w:p>
        </w:tc>
        <w:tc>
          <w:tcPr>
            <w:tcW w:w="1856" w:type="dxa"/>
            <w:tcMar>
              <w:top w:w="0" w:type="dxa"/>
              <w:left w:w="115" w:type="dxa"/>
              <w:bottom w:w="0" w:type="dxa"/>
              <w:right w:w="115" w:type="dxa"/>
            </w:tcMar>
          </w:tcPr>
          <w:p w:rsidR="006224C2" w:rsidRPr="00295E71" w14:paraId="30DDA7B2" w14:textId="77777777">
            <w:pPr>
              <w:keepNext/>
              <w:keepLines/>
              <w:jc w:val="center"/>
              <w:rPr>
                <w:sz w:val="22"/>
                <w:szCs w:val="22"/>
              </w:rPr>
            </w:pPr>
            <w:r w:rsidRPr="00295E71">
              <w:rPr>
                <w:sz w:val="22"/>
                <w:szCs w:val="22"/>
              </w:rPr>
              <w:t>N=105</w:t>
            </w:r>
          </w:p>
          <w:p w:rsidR="006224C2" w:rsidRPr="00295E71" w14:paraId="427718DA" w14:textId="77777777">
            <w:pPr>
              <w:keepNext/>
              <w:keepLines/>
              <w:jc w:val="center"/>
              <w:rPr>
                <w:sz w:val="22"/>
                <w:szCs w:val="22"/>
              </w:rPr>
            </w:pPr>
            <w:r w:rsidRPr="00295E71">
              <w:rPr>
                <w:sz w:val="22"/>
                <w:szCs w:val="22"/>
              </w:rPr>
              <w:t xml:space="preserve">48 (45,7%) </w:t>
            </w:r>
            <w:r w:rsidRPr="00295E71">
              <w:rPr>
                <w:sz w:val="22"/>
                <w:szCs w:val="22"/>
                <w:vertAlign w:val="superscript"/>
              </w:rPr>
              <w:t>***</w:t>
            </w:r>
          </w:p>
        </w:tc>
      </w:tr>
      <w:tr w14:paraId="49518936" w14:textId="77777777">
        <w:tblPrEx>
          <w:tblW w:w="9293" w:type="dxa"/>
          <w:tblLook w:val="04A0"/>
        </w:tblPrEx>
        <w:tc>
          <w:tcPr>
            <w:tcW w:w="9293" w:type="dxa"/>
            <w:gridSpan w:val="5"/>
            <w:tcMar>
              <w:top w:w="0" w:type="dxa"/>
              <w:left w:w="115" w:type="dxa"/>
              <w:bottom w:w="0" w:type="dxa"/>
              <w:right w:w="115" w:type="dxa"/>
            </w:tcMar>
            <w:vAlign w:val="center"/>
          </w:tcPr>
          <w:p w:rsidR="006224C2" w:rsidRPr="00295E71" w14:paraId="40B79222" w14:textId="77777777">
            <w:pPr>
              <w:keepNext/>
              <w:keepLines/>
              <w:ind w:left="360"/>
              <w:rPr>
                <w:sz w:val="22"/>
                <w:szCs w:val="22"/>
              </w:rPr>
            </w:pPr>
            <w:r w:rsidRPr="00295E71">
              <w:rPr>
                <w:sz w:val="22"/>
                <w:szCs w:val="22"/>
              </w:rPr>
              <w:t xml:space="preserve">* </w:t>
            </w:r>
            <w:r w:rsidRPr="00295E71">
              <w:rPr>
                <w:i/>
                <w:sz w:val="22"/>
                <w:szCs w:val="22"/>
              </w:rPr>
              <w:t>P</w:t>
            </w:r>
            <w:r w:rsidRPr="00295E71">
              <w:rPr>
                <w:sz w:val="22"/>
                <w:szCs w:val="22"/>
              </w:rPr>
              <w:t>&lt; 0,05, ***</w:t>
            </w:r>
            <w:r w:rsidRPr="00295E71">
              <w:rPr>
                <w:i/>
                <w:sz w:val="22"/>
                <w:szCs w:val="22"/>
              </w:rPr>
              <w:t xml:space="preserve">P </w:t>
            </w:r>
            <w:r w:rsidRPr="00295E71">
              <w:rPr>
                <w:sz w:val="22"/>
                <w:szCs w:val="22"/>
              </w:rPr>
              <w:t xml:space="preserve">&lt; 0,001, Humira </w:t>
            </w:r>
            <w:r w:rsidRPr="00295E71">
              <w:rPr>
                <w:i/>
                <w:sz w:val="22"/>
                <w:szCs w:val="22"/>
              </w:rPr>
              <w:t>versus</w:t>
            </w:r>
            <w:r w:rsidRPr="00295E71">
              <w:rPr>
                <w:sz w:val="22"/>
                <w:szCs w:val="22"/>
              </w:rPr>
              <w:t xml:space="preserve"> placebo </w:t>
            </w:r>
          </w:p>
          <w:p w:rsidR="006224C2" w:rsidRPr="00295E71" w14:paraId="5D6DE868" w14:textId="77777777">
            <w:pPr>
              <w:keepNext/>
              <w:keepLines/>
              <w:numPr>
                <w:ilvl w:val="0"/>
                <w:numId w:val="83"/>
              </w:numPr>
              <w:spacing w:before="40" w:line="240" w:lineRule="exact"/>
              <w:rPr>
                <w:sz w:val="22"/>
                <w:szCs w:val="22"/>
              </w:rPr>
            </w:pPr>
            <w:r w:rsidRPr="00295E71">
              <w:rPr>
                <w:sz w:val="22"/>
                <w:szCs w:val="22"/>
              </w:rPr>
              <w:t>Tra tutti i pazienti randomizzati.</w:t>
            </w:r>
          </w:p>
          <w:p w:rsidR="006224C2" w:rsidRPr="00295E71" w14:paraId="5C79D79D" w14:textId="77777777">
            <w:pPr>
              <w:keepNext/>
              <w:keepLines/>
              <w:numPr>
                <w:ilvl w:val="0"/>
                <w:numId w:val="83"/>
              </w:numPr>
              <w:spacing w:before="40" w:line="240" w:lineRule="exact"/>
              <w:rPr>
                <w:sz w:val="22"/>
                <w:szCs w:val="22"/>
              </w:rPr>
            </w:pPr>
            <w:r w:rsidRPr="00295E71">
              <w:rPr>
                <w:sz w:val="22"/>
                <w:szCs w:val="22"/>
              </w:rPr>
              <w:t>Tra i pazienti con una valutazione di dolore cutaneo legato all’Idrosadenite Suppurativa (HS) ≥ 3, in base alla Scala di Valutazione Numerica 0 – 10; 0 = nessun dolore cutaneo, 10 = dolore cutaneo più forte che si possa immaginare.</w:t>
            </w:r>
          </w:p>
        </w:tc>
      </w:tr>
    </w:tbl>
    <w:p w:rsidR="006224C2" w:rsidRPr="00295E71" w14:paraId="5809BB07" w14:textId="77777777">
      <w:pPr>
        <w:rPr>
          <w:sz w:val="22"/>
          <w:szCs w:val="22"/>
          <w:lang w:eastAsia="en-US"/>
        </w:rPr>
      </w:pPr>
    </w:p>
    <w:p w:rsidR="006224C2" w:rsidRPr="00295E71" w14:paraId="0858D04A" w14:textId="77777777">
      <w:pPr>
        <w:rPr>
          <w:sz w:val="22"/>
          <w:szCs w:val="22"/>
        </w:rPr>
      </w:pPr>
      <w:r w:rsidRPr="00295E71">
        <w:rPr>
          <w:sz w:val="22"/>
          <w:szCs w:val="22"/>
        </w:rPr>
        <w:t xml:space="preserve">Il trattamento con Humira 40 mg ogni settimana ha ridotto in maniera significativa il rischio di peggioramento di ascessi e fistole drenanti. Nelle prime 12 settimane degli Studi HS-I e HS-II, nel gruppo con placebo circa il doppio della percentuale dei pazienti ha avuto un peggioramento degli ascessi (23,0% vs 11,4%, rispettivamente) e delle fistole drenanti (30,0% vs 13,9%, rispettivamente) rispetto ai pazienti nel gruppo con Humira. </w:t>
      </w:r>
    </w:p>
    <w:p w:rsidR="006224C2" w:rsidRPr="00295E71" w14:paraId="523B6B11" w14:textId="77777777">
      <w:pPr>
        <w:rPr>
          <w:sz w:val="22"/>
          <w:szCs w:val="22"/>
        </w:rPr>
      </w:pPr>
    </w:p>
    <w:p w:rsidR="006224C2" w:rsidRPr="00295E71" w14:paraId="4C875041"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Miglioramenti maggiori della qualità della vita, definita come stato di salute generale correlato alla patologia cutanea e misurato attraverso il Dermatology Life Quality Index (DLQI; Studi HS-I e HS-II),sono stati dimostrati alla settimana 12 a partire dal valore basale rispetto al placebo, la soddisfazione globale dei pazienti in trattamento con il medicinale, misurata con il questionario Treatment Satisfaction Questionnaire - medication (TSQM; Studi HS-I e HS-II), e salute fisica misurata attraverso il Physical Component Summary Score del SF-36 (Studio HS-I).</w:t>
      </w:r>
    </w:p>
    <w:p w:rsidR="006224C2" w:rsidRPr="00295E71" w14:paraId="7E1EA8B9" w14:textId="77777777">
      <w:pPr>
        <w:tabs>
          <w:tab w:val="left" w:pos="567"/>
          <w:tab w:val="left" w:pos="1294"/>
        </w:tabs>
        <w:autoSpaceDE w:val="0"/>
        <w:autoSpaceDN w:val="0"/>
        <w:adjustRightInd w:val="0"/>
        <w:jc w:val="both"/>
        <w:rPr>
          <w:color w:val="000000"/>
          <w:sz w:val="22"/>
          <w:szCs w:val="22"/>
        </w:rPr>
      </w:pPr>
    </w:p>
    <w:p w:rsidR="006224C2" w:rsidRPr="00295E71" w14:paraId="793BBC9C"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Nei pazienti che alla settimana 12 avevano una risposta almeno parziale ad Humira 40 mg somministrato ogni settimana, la percentuale di HiSCR alla settimana 36 era superiore nei pazienti che avevano continuato Humira ogni settimana rispetto ai pazienti in cui la frequenza di somministrazione era stata ridotta a settimane alterne, o nei quali era stato sospeso il trattamento (vedere Tabella </w:t>
      </w:r>
      <w:r w:rsidRPr="00295E71" w:rsidR="00DE0578">
        <w:rPr>
          <w:color w:val="000000"/>
          <w:sz w:val="22"/>
          <w:szCs w:val="22"/>
        </w:rPr>
        <w:t>1</w:t>
      </w:r>
      <w:r w:rsidR="00800CE0">
        <w:rPr>
          <w:color w:val="000000"/>
          <w:sz w:val="22"/>
          <w:szCs w:val="22"/>
        </w:rPr>
        <w:t>3</w:t>
      </w:r>
      <w:r w:rsidRPr="00295E71">
        <w:rPr>
          <w:color w:val="000000"/>
          <w:sz w:val="22"/>
          <w:szCs w:val="22"/>
        </w:rPr>
        <w:t>).</w:t>
      </w:r>
    </w:p>
    <w:p w:rsidR="006224C2" w:rsidRPr="00295E71" w14:paraId="03BFB32C" w14:textId="77777777">
      <w:pPr>
        <w:tabs>
          <w:tab w:val="left" w:pos="567"/>
          <w:tab w:val="left" w:pos="1294"/>
        </w:tabs>
        <w:autoSpaceDE w:val="0"/>
        <w:autoSpaceDN w:val="0"/>
        <w:adjustRightInd w:val="0"/>
        <w:jc w:val="both"/>
        <w:rPr>
          <w:color w:val="000000"/>
          <w:sz w:val="22"/>
          <w:szCs w:val="22"/>
        </w:rPr>
      </w:pPr>
    </w:p>
    <w:p w:rsidR="006224C2" w:rsidRPr="00295E71" w14:paraId="6C495442" w14:textId="77777777">
      <w:pPr>
        <w:keepNext/>
        <w:rPr>
          <w:b/>
          <w:color w:val="000000"/>
          <w:sz w:val="22"/>
          <w:szCs w:val="22"/>
        </w:rPr>
      </w:pPr>
      <w:r w:rsidRPr="00295E71">
        <w:rPr>
          <w:b/>
          <w:color w:val="000000"/>
          <w:sz w:val="22"/>
          <w:szCs w:val="22"/>
        </w:rPr>
        <w:t xml:space="preserve">Tabella </w:t>
      </w:r>
      <w:r w:rsidRPr="00295E71" w:rsidR="00DE0578">
        <w:rPr>
          <w:b/>
          <w:color w:val="000000"/>
          <w:sz w:val="22"/>
          <w:szCs w:val="22"/>
        </w:rPr>
        <w:t>1</w:t>
      </w:r>
      <w:r w:rsidR="00800CE0">
        <w:rPr>
          <w:b/>
          <w:color w:val="000000"/>
          <w:sz w:val="22"/>
          <w:szCs w:val="22"/>
        </w:rPr>
        <w:t>3</w:t>
      </w:r>
      <w:r w:rsidRPr="00295E71">
        <w:rPr>
          <w:b/>
          <w:color w:val="000000"/>
          <w:sz w:val="22"/>
          <w:szCs w:val="22"/>
        </w:rPr>
        <w:t>: Percentuale di Pazienti</w:t>
      </w:r>
      <w:r w:rsidRPr="00295E71">
        <w:rPr>
          <w:b/>
          <w:color w:val="000000"/>
          <w:sz w:val="22"/>
          <w:szCs w:val="22"/>
          <w:vertAlign w:val="superscript"/>
        </w:rPr>
        <w:t>a</w:t>
      </w:r>
      <w:r w:rsidRPr="00295E71">
        <w:rPr>
          <w:b/>
          <w:color w:val="000000"/>
          <w:sz w:val="22"/>
          <w:szCs w:val="22"/>
        </w:rPr>
        <w:t xml:space="preserve"> che hanno ottenuto HiSCR</w:t>
      </w:r>
      <w:r w:rsidRPr="00295E71">
        <w:rPr>
          <w:b/>
          <w:color w:val="000000"/>
          <w:sz w:val="22"/>
          <w:szCs w:val="22"/>
          <w:vertAlign w:val="superscript"/>
        </w:rPr>
        <w:t xml:space="preserve">b </w:t>
      </w:r>
      <w:r w:rsidRPr="00295E71">
        <w:rPr>
          <w:b/>
          <w:color w:val="000000"/>
          <w:sz w:val="22"/>
          <w:szCs w:val="22"/>
        </w:rPr>
        <w:t xml:space="preserve">alle settimane 24 e 36 dopo il Riassegnamento del Trattamento alla settimana 12 da Humira ogni settimana </w:t>
      </w:r>
    </w:p>
    <w:p w:rsidR="006224C2" w:rsidRPr="00295E71" w14:paraId="5432476F" w14:textId="77777777">
      <w:pPr>
        <w:keepNext/>
        <w:tabs>
          <w:tab w:val="left" w:pos="567"/>
          <w:tab w:val="left" w:pos="1294"/>
        </w:tabs>
        <w:autoSpaceDE w:val="0"/>
        <w:autoSpaceDN w:val="0"/>
        <w:adjustRightInd w:val="0"/>
        <w:jc w:val="center"/>
        <w:rPr>
          <w:b/>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7"/>
        <w:gridCol w:w="1980"/>
        <w:gridCol w:w="1980"/>
        <w:gridCol w:w="1855"/>
      </w:tblGrid>
      <w:tr w14:paraId="487DA837" w14:textId="77777777">
        <w:tblPrEx>
          <w:tblW w:w="0" w:type="auto"/>
          <w:tblLayout w:type="fixed"/>
          <w:tblLook w:val="0000"/>
        </w:tblPrEx>
        <w:trPr>
          <w:tblHeader/>
        </w:trPr>
        <w:tc>
          <w:tcPr>
            <w:tcW w:w="1437" w:type="dxa"/>
            <w:vAlign w:val="bottom"/>
          </w:tcPr>
          <w:p w:rsidR="006224C2" w:rsidRPr="00295E71" w14:paraId="27EB570D" w14:textId="77777777">
            <w:pPr>
              <w:pStyle w:val="TableLeft"/>
              <w:rPr>
                <w:b/>
                <w:sz w:val="22"/>
                <w:szCs w:val="22"/>
                <w:lang w:val="it-IT"/>
              </w:rPr>
            </w:pPr>
          </w:p>
        </w:tc>
        <w:tc>
          <w:tcPr>
            <w:tcW w:w="1980" w:type="dxa"/>
            <w:vAlign w:val="bottom"/>
          </w:tcPr>
          <w:p w:rsidR="006224C2" w:rsidRPr="00295E71" w14:paraId="0A774C84" w14:textId="77777777">
            <w:pPr>
              <w:pStyle w:val="TableLeft"/>
              <w:jc w:val="center"/>
              <w:rPr>
                <w:b/>
                <w:sz w:val="22"/>
                <w:szCs w:val="22"/>
                <w:lang w:val="it-IT"/>
              </w:rPr>
            </w:pPr>
            <w:r w:rsidRPr="00295E71">
              <w:rPr>
                <w:b/>
                <w:sz w:val="22"/>
                <w:szCs w:val="22"/>
                <w:lang w:val="it-IT"/>
              </w:rPr>
              <w:t>Placebo</w:t>
            </w:r>
            <w:r w:rsidRPr="00295E71">
              <w:rPr>
                <w:b/>
                <w:sz w:val="22"/>
                <w:szCs w:val="22"/>
                <w:lang w:val="it-IT"/>
              </w:rPr>
              <w:br/>
              <w:t>(trattamento sospeso)</w:t>
            </w:r>
            <w:r w:rsidRPr="00295E71">
              <w:rPr>
                <w:b/>
                <w:sz w:val="22"/>
                <w:szCs w:val="22"/>
                <w:lang w:val="it-IT"/>
              </w:rPr>
              <w:br/>
              <w:t>N = 73</w:t>
            </w:r>
          </w:p>
        </w:tc>
        <w:tc>
          <w:tcPr>
            <w:tcW w:w="1980" w:type="dxa"/>
            <w:vAlign w:val="bottom"/>
          </w:tcPr>
          <w:p w:rsidR="006224C2" w:rsidRPr="00295E71" w14:paraId="1DBF1FAC" w14:textId="77777777">
            <w:pPr>
              <w:pStyle w:val="TableLeft"/>
              <w:jc w:val="center"/>
              <w:rPr>
                <w:b/>
                <w:sz w:val="22"/>
                <w:szCs w:val="22"/>
                <w:lang w:val="it-IT"/>
              </w:rPr>
            </w:pPr>
            <w:r w:rsidRPr="00295E71">
              <w:rPr>
                <w:b/>
                <w:sz w:val="22"/>
                <w:szCs w:val="22"/>
                <w:lang w:val="it-IT"/>
              </w:rPr>
              <w:t>Humira 40 mg</w:t>
            </w:r>
            <w:r w:rsidRPr="00295E71">
              <w:rPr>
                <w:b/>
                <w:sz w:val="22"/>
                <w:szCs w:val="22"/>
                <w:lang w:val="it-IT"/>
              </w:rPr>
              <w:br/>
              <w:t>a settimane alterne</w:t>
            </w:r>
            <w:r w:rsidRPr="00295E71">
              <w:rPr>
                <w:b/>
                <w:sz w:val="22"/>
                <w:szCs w:val="22"/>
                <w:lang w:val="it-IT"/>
              </w:rPr>
              <w:br/>
              <w:t>N = 70</w:t>
            </w:r>
          </w:p>
        </w:tc>
        <w:tc>
          <w:tcPr>
            <w:tcW w:w="1855" w:type="dxa"/>
            <w:vAlign w:val="bottom"/>
          </w:tcPr>
          <w:p w:rsidR="006224C2" w:rsidRPr="00295E71" w14:paraId="482EDA68" w14:textId="77777777">
            <w:pPr>
              <w:pStyle w:val="TableLeft"/>
              <w:jc w:val="center"/>
              <w:rPr>
                <w:b/>
                <w:sz w:val="22"/>
                <w:szCs w:val="22"/>
                <w:lang w:val="it-IT"/>
              </w:rPr>
            </w:pPr>
            <w:r w:rsidRPr="00295E71">
              <w:rPr>
                <w:b/>
                <w:sz w:val="22"/>
                <w:szCs w:val="22"/>
                <w:lang w:val="it-IT"/>
              </w:rPr>
              <w:t>Humira 40 mg</w:t>
            </w:r>
            <w:r w:rsidRPr="00295E71">
              <w:rPr>
                <w:b/>
                <w:sz w:val="22"/>
                <w:szCs w:val="22"/>
                <w:lang w:val="it-IT"/>
              </w:rPr>
              <w:br/>
              <w:t>ogni settimana</w:t>
            </w:r>
            <w:r w:rsidRPr="00295E71">
              <w:rPr>
                <w:b/>
                <w:sz w:val="22"/>
                <w:szCs w:val="22"/>
                <w:lang w:val="it-IT"/>
              </w:rPr>
              <w:br/>
              <w:t>N = 70</w:t>
            </w:r>
          </w:p>
        </w:tc>
      </w:tr>
      <w:tr w14:paraId="589458F8" w14:textId="77777777">
        <w:tblPrEx>
          <w:tblW w:w="0" w:type="auto"/>
          <w:tblLayout w:type="fixed"/>
          <w:tblLook w:val="0000"/>
        </w:tblPrEx>
        <w:tc>
          <w:tcPr>
            <w:tcW w:w="1437" w:type="dxa"/>
          </w:tcPr>
          <w:p w:rsidR="006224C2" w:rsidRPr="00295E71" w14:paraId="17AB170E" w14:textId="77777777">
            <w:pPr>
              <w:pStyle w:val="TableLeft"/>
              <w:rPr>
                <w:sz w:val="22"/>
                <w:szCs w:val="22"/>
                <w:lang w:val="it-IT"/>
              </w:rPr>
            </w:pPr>
            <w:r w:rsidRPr="00295E71">
              <w:rPr>
                <w:sz w:val="22"/>
                <w:szCs w:val="22"/>
                <w:lang w:val="it-IT"/>
              </w:rPr>
              <w:t>Settimana 24</w:t>
            </w:r>
          </w:p>
        </w:tc>
        <w:tc>
          <w:tcPr>
            <w:tcW w:w="1980" w:type="dxa"/>
          </w:tcPr>
          <w:p w:rsidR="006224C2" w:rsidRPr="00295E71" w14:paraId="19A03C18" w14:textId="77777777">
            <w:pPr>
              <w:pStyle w:val="TableLeft"/>
              <w:jc w:val="center"/>
              <w:rPr>
                <w:sz w:val="22"/>
                <w:szCs w:val="22"/>
                <w:lang w:val="it-IT"/>
              </w:rPr>
            </w:pPr>
            <w:r w:rsidRPr="00295E71">
              <w:rPr>
                <w:sz w:val="22"/>
                <w:szCs w:val="22"/>
                <w:lang w:val="it-IT"/>
              </w:rPr>
              <w:t>24 (32,9%)</w:t>
            </w:r>
          </w:p>
        </w:tc>
        <w:tc>
          <w:tcPr>
            <w:tcW w:w="1980" w:type="dxa"/>
          </w:tcPr>
          <w:p w:rsidR="006224C2" w:rsidRPr="00295E71" w14:paraId="332E2D8D" w14:textId="77777777">
            <w:pPr>
              <w:pStyle w:val="TableLeft"/>
              <w:jc w:val="center"/>
              <w:rPr>
                <w:sz w:val="22"/>
                <w:szCs w:val="22"/>
                <w:lang w:val="it-IT"/>
              </w:rPr>
            </w:pPr>
            <w:r w:rsidRPr="00295E71">
              <w:rPr>
                <w:sz w:val="22"/>
                <w:szCs w:val="22"/>
                <w:lang w:val="it-IT"/>
              </w:rPr>
              <w:t>36 (51,4%)</w:t>
            </w:r>
          </w:p>
        </w:tc>
        <w:tc>
          <w:tcPr>
            <w:tcW w:w="1855" w:type="dxa"/>
          </w:tcPr>
          <w:p w:rsidR="006224C2" w:rsidRPr="00295E71" w14:paraId="0D9642FB" w14:textId="77777777">
            <w:pPr>
              <w:pStyle w:val="TableLeft"/>
              <w:jc w:val="center"/>
              <w:rPr>
                <w:sz w:val="22"/>
                <w:szCs w:val="22"/>
                <w:lang w:val="it-IT"/>
              </w:rPr>
            </w:pPr>
            <w:r w:rsidRPr="00295E71">
              <w:rPr>
                <w:sz w:val="22"/>
                <w:szCs w:val="22"/>
                <w:lang w:val="it-IT"/>
              </w:rPr>
              <w:t>40 (57,1%)</w:t>
            </w:r>
          </w:p>
        </w:tc>
      </w:tr>
      <w:tr w14:paraId="71A31A97" w14:textId="77777777">
        <w:tblPrEx>
          <w:tblW w:w="0" w:type="auto"/>
          <w:tblLayout w:type="fixed"/>
          <w:tblLook w:val="0000"/>
        </w:tblPrEx>
        <w:tc>
          <w:tcPr>
            <w:tcW w:w="1437" w:type="dxa"/>
          </w:tcPr>
          <w:p w:rsidR="006224C2" w:rsidRPr="00295E71" w14:paraId="4E260E5D" w14:textId="77777777">
            <w:pPr>
              <w:pStyle w:val="TableLeft"/>
              <w:rPr>
                <w:sz w:val="22"/>
                <w:szCs w:val="22"/>
                <w:lang w:val="it-IT"/>
              </w:rPr>
            </w:pPr>
            <w:r w:rsidRPr="00295E71">
              <w:rPr>
                <w:sz w:val="22"/>
                <w:szCs w:val="22"/>
                <w:lang w:val="it-IT"/>
              </w:rPr>
              <w:t>Settimana 36</w:t>
            </w:r>
          </w:p>
        </w:tc>
        <w:tc>
          <w:tcPr>
            <w:tcW w:w="1980" w:type="dxa"/>
          </w:tcPr>
          <w:p w:rsidR="006224C2" w:rsidRPr="00295E71" w14:paraId="2501F1AF" w14:textId="77777777">
            <w:pPr>
              <w:pStyle w:val="TableLeft"/>
              <w:jc w:val="center"/>
              <w:rPr>
                <w:sz w:val="22"/>
                <w:szCs w:val="22"/>
                <w:lang w:val="it-IT"/>
              </w:rPr>
            </w:pPr>
            <w:r w:rsidRPr="00295E71">
              <w:rPr>
                <w:sz w:val="22"/>
                <w:szCs w:val="22"/>
                <w:lang w:val="it-IT"/>
              </w:rPr>
              <w:t>22 (30,1%)</w:t>
            </w:r>
          </w:p>
        </w:tc>
        <w:tc>
          <w:tcPr>
            <w:tcW w:w="1980" w:type="dxa"/>
          </w:tcPr>
          <w:p w:rsidR="006224C2" w:rsidRPr="00295E71" w14:paraId="56A18FA1" w14:textId="77777777">
            <w:pPr>
              <w:pStyle w:val="TableLeft"/>
              <w:jc w:val="center"/>
              <w:rPr>
                <w:sz w:val="22"/>
                <w:szCs w:val="22"/>
                <w:lang w:val="it-IT"/>
              </w:rPr>
            </w:pPr>
            <w:r w:rsidRPr="00295E71">
              <w:rPr>
                <w:sz w:val="22"/>
                <w:szCs w:val="22"/>
                <w:lang w:val="it-IT"/>
              </w:rPr>
              <w:t>28 (40,0%)</w:t>
            </w:r>
          </w:p>
        </w:tc>
        <w:tc>
          <w:tcPr>
            <w:tcW w:w="1855" w:type="dxa"/>
          </w:tcPr>
          <w:p w:rsidR="006224C2" w:rsidRPr="00295E71" w14:paraId="0F0FF127" w14:textId="77777777">
            <w:pPr>
              <w:pStyle w:val="TableLeft"/>
              <w:jc w:val="center"/>
              <w:rPr>
                <w:sz w:val="22"/>
                <w:szCs w:val="22"/>
                <w:lang w:val="it-IT"/>
              </w:rPr>
            </w:pPr>
            <w:r w:rsidRPr="00295E71">
              <w:rPr>
                <w:sz w:val="22"/>
                <w:szCs w:val="22"/>
                <w:lang w:val="it-IT"/>
              </w:rPr>
              <w:t>39 (55,7%)</w:t>
            </w:r>
          </w:p>
        </w:tc>
      </w:tr>
      <w:tr w14:paraId="5B5CC418" w14:textId="77777777">
        <w:tblPrEx>
          <w:tblW w:w="0" w:type="auto"/>
          <w:tblLayout w:type="fixed"/>
          <w:tblLook w:val="0000"/>
        </w:tblPrEx>
        <w:tc>
          <w:tcPr>
            <w:tcW w:w="7252" w:type="dxa"/>
            <w:gridSpan w:val="4"/>
          </w:tcPr>
          <w:p w:rsidR="006224C2" w:rsidRPr="00295E71" w14:paraId="19400041" w14:textId="77777777">
            <w:pPr>
              <w:pStyle w:val="TableFootnoteLetter"/>
              <w:keepNext/>
              <w:numPr>
                <w:ilvl w:val="0"/>
                <w:numId w:val="84"/>
              </w:numPr>
              <w:ind w:left="288" w:hanging="284"/>
              <w:rPr>
                <w:rFonts w:ascii="Times New Roman" w:hAnsi="Times New Roman"/>
                <w:sz w:val="22"/>
                <w:szCs w:val="22"/>
                <w:lang w:val="it-IT"/>
              </w:rPr>
            </w:pPr>
            <w:r w:rsidRPr="00295E71">
              <w:rPr>
                <w:rFonts w:ascii="Times New Roman" w:hAnsi="Times New Roman"/>
                <w:sz w:val="22"/>
                <w:szCs w:val="22"/>
                <w:lang w:val="it-IT"/>
              </w:rPr>
              <w:t>Pazienti con almeno una risposta parziale ad Humira 40 mg ogni settimana dopo 12 settimane di trattamento.</w:t>
            </w:r>
          </w:p>
          <w:p w:rsidR="006224C2" w:rsidRPr="00295E71" w14:paraId="47567895" w14:textId="77777777">
            <w:pPr>
              <w:pStyle w:val="TableFootnoteLetter"/>
              <w:keepNext/>
              <w:numPr>
                <w:ilvl w:val="0"/>
                <w:numId w:val="84"/>
              </w:numPr>
              <w:ind w:left="288" w:hanging="270"/>
              <w:rPr>
                <w:rFonts w:ascii="Times New Roman" w:hAnsi="Times New Roman"/>
                <w:sz w:val="22"/>
                <w:szCs w:val="22"/>
                <w:lang w:val="it-IT"/>
              </w:rPr>
            </w:pPr>
            <w:r w:rsidRPr="00295E71">
              <w:rPr>
                <w:rFonts w:ascii="Times New Roman" w:hAnsi="Times New Roman"/>
                <w:sz w:val="22"/>
                <w:szCs w:val="22"/>
                <w:lang w:val="it-IT"/>
              </w:rPr>
              <w:t>Pazienti che rispettavano i criteri specificati nel protocollo per la perdita di risposta o per la mancanza di miglioramento ai quali è stato richiesto di interrompere gli studi ed erano stati considerati come non-responder.</w:t>
            </w:r>
          </w:p>
        </w:tc>
      </w:tr>
    </w:tbl>
    <w:p w:rsidR="006224C2" w:rsidRPr="00295E71" w14:paraId="10DBB000" w14:textId="77777777">
      <w:pPr>
        <w:rPr>
          <w:sz w:val="22"/>
          <w:szCs w:val="22"/>
          <w:lang w:eastAsia="en-US"/>
        </w:rPr>
      </w:pPr>
    </w:p>
    <w:p w:rsidR="006224C2" w:rsidRPr="00295E71" w14:paraId="56FBBD53" w14:textId="77777777">
      <w:pPr>
        <w:rPr>
          <w:sz w:val="22"/>
          <w:szCs w:val="22"/>
        </w:rPr>
      </w:pPr>
      <w:r w:rsidRPr="00295E71">
        <w:rPr>
          <w:sz w:val="22"/>
          <w:szCs w:val="22"/>
          <w:lang w:eastAsia="en-US"/>
        </w:rPr>
        <w:t xml:space="preserve">Tra i pazienti con una risposta parziale alla settimana 12 e che hanno ricevuto una terapia settimanale senza interruzione con Humira, la percentuale di HiSCR alla settimana 48 era del </w:t>
      </w:r>
      <w:r w:rsidRPr="00295E71" w:rsidR="00176CDB">
        <w:rPr>
          <w:sz w:val="22"/>
          <w:szCs w:val="22"/>
          <w:lang w:eastAsia="en-US"/>
        </w:rPr>
        <w:t xml:space="preserve">68,3% ed alla settimana 96 era del 65,1%. Nel trattamento a lungo termine con Humira 40 mg </w:t>
      </w:r>
      <w:r w:rsidRPr="00295E71" w:rsidR="009F5745">
        <w:rPr>
          <w:sz w:val="22"/>
          <w:szCs w:val="22"/>
          <w:lang w:eastAsia="en-US"/>
        </w:rPr>
        <w:t xml:space="preserve">a settimana </w:t>
      </w:r>
      <w:r w:rsidRPr="00295E71" w:rsidR="00176CDB">
        <w:rPr>
          <w:sz w:val="22"/>
          <w:szCs w:val="22"/>
          <w:lang w:eastAsia="en-US"/>
        </w:rPr>
        <w:t>per 96 settimane non sono emerse nuove problematiche di sicurezza.</w:t>
      </w:r>
    </w:p>
    <w:p w:rsidR="006224C2" w:rsidRPr="00295E71" w14:paraId="129B0461" w14:textId="77777777">
      <w:pPr>
        <w:rPr>
          <w:sz w:val="22"/>
          <w:szCs w:val="22"/>
        </w:rPr>
      </w:pPr>
    </w:p>
    <w:p w:rsidR="006224C2" w:rsidRPr="00F83E38" w14:paraId="6003ADF1" w14:textId="77777777">
      <w:pPr>
        <w:rPr>
          <w:sz w:val="22"/>
          <w:szCs w:val="22"/>
        </w:rPr>
      </w:pPr>
      <w:r w:rsidRPr="00295E71">
        <w:rPr>
          <w:sz w:val="22"/>
          <w:szCs w:val="22"/>
          <w:lang w:eastAsia="en-US"/>
        </w:rPr>
        <w:t xml:space="preserve">Tra i pazienti negli Studi HS-I e HS-II che avevano interrotto il trattamento con Humira alla settimana 12, la </w:t>
      </w:r>
      <w:r w:rsidRPr="00F83E38">
        <w:rPr>
          <w:sz w:val="22"/>
          <w:szCs w:val="22"/>
          <w:lang w:eastAsia="en-US"/>
        </w:rPr>
        <w:t>percentuale di HiSCR 12 settimane dopo la ripresa di Humira 40 mg ogni settimana, sono ritornati ai livelli simili a quelli osservati prima della sospensione (56,0%).</w:t>
      </w:r>
    </w:p>
    <w:p w:rsidR="006224C2" w:rsidRPr="00F83E38" w14:paraId="0834D2F1" w14:textId="77777777">
      <w:pPr>
        <w:pStyle w:val="EMEAHeadingUnderline"/>
        <w:spacing w:beforeLines="0" w:afterLines="0"/>
        <w:jc w:val="both"/>
        <w:rPr>
          <w:i/>
          <w:u w:val="none"/>
          <w:lang w:val="it-IT"/>
        </w:rPr>
      </w:pPr>
      <w:bookmarkStart w:id="13189" w:name="_Hlk52789083"/>
    </w:p>
    <w:bookmarkEnd w:id="13189"/>
    <w:p w:rsidR="006224C2" w:rsidRPr="00295E71" w14:paraId="6D8D199A" w14:textId="77777777">
      <w:pPr>
        <w:pStyle w:val="EMEAHeadingUnderline"/>
        <w:spacing w:beforeLines="0" w:afterLines="0"/>
        <w:jc w:val="both"/>
        <w:rPr>
          <w:i/>
          <w:u w:val="none"/>
          <w:lang w:val="it-IT"/>
        </w:rPr>
      </w:pPr>
      <w:r w:rsidRPr="00F83E38">
        <w:rPr>
          <w:i/>
          <w:u w:val="none"/>
          <w:lang w:val="it-IT"/>
        </w:rPr>
        <w:t>Mal</w:t>
      </w:r>
      <w:r w:rsidRPr="00295E71">
        <w:rPr>
          <w:i/>
          <w:u w:val="none"/>
          <w:lang w:val="it-IT"/>
        </w:rPr>
        <w:t>attia di Crohn</w:t>
      </w:r>
    </w:p>
    <w:p w:rsidR="006224C2" w:rsidRPr="00295E71" w14:paraId="591C0FAC" w14:textId="77777777">
      <w:pPr>
        <w:rPr>
          <w:sz w:val="22"/>
          <w:szCs w:val="22"/>
          <w:lang w:eastAsia="en-US"/>
        </w:rPr>
      </w:pPr>
    </w:p>
    <w:p w:rsidR="006224C2" w:rsidRPr="00295E71" w14:paraId="24921486" w14:textId="77777777">
      <w:pPr>
        <w:pStyle w:val="EMEANormal"/>
        <w:jc w:val="both"/>
        <w:rPr>
          <w:lang w:val="it-IT"/>
        </w:rPr>
      </w:pPr>
      <w:r w:rsidRPr="00295E71">
        <w:rPr>
          <w:lang w:val="it-IT"/>
        </w:rPr>
        <w:t xml:space="preserve">La sicurezza e l’efficacia di Humira sono state valutate in oltre 1.500 pazienti affetti da malattia di Crohn, da moderatamente a gravemente attiva (Crohn’s Disease Activity Index = indice di attività della malattia di Crohn (CDAI)) </w:t>
      </w:r>
      <w:r w:rsidRPr="00295E71">
        <w:rPr>
          <w:rFonts w:ascii="Symbol" w:hAnsi="Symbol"/>
          <w:lang w:val="it-IT"/>
        </w:rPr>
        <w:sym w:font="Symbol" w:char="F0B3"/>
      </w:r>
      <w:r w:rsidRPr="00295E71">
        <w:rPr>
          <w:lang w:val="it-IT"/>
        </w:rPr>
        <w:t xml:space="preserve"> 220 e </w:t>
      </w:r>
      <w:r w:rsidRPr="00295E71">
        <w:rPr>
          <w:rFonts w:ascii="Symbol" w:hAnsi="Symbol"/>
          <w:lang w:val="it-IT"/>
        </w:rPr>
        <w:sym w:font="Symbol" w:char="F0A3"/>
      </w:r>
      <w:r w:rsidRPr="00295E71">
        <w:rPr>
          <w:lang w:val="it-IT"/>
        </w:rPr>
        <w:t xml:space="preserve"> 450) in studi randomizzati, in doppio cieco, controllati con placebo. È stata consentita la somministrazione concomitante di dosi costanti di aminosalicilati, di corticosteroidi, e/o di agenti immunomodulatori ed il 80% dei pazienti ha continuato ad assumere almeno uno di questi farmaci. </w:t>
      </w:r>
    </w:p>
    <w:p w:rsidR="006224C2" w:rsidRPr="00295E71" w14:paraId="132A26C2" w14:textId="77777777">
      <w:pPr>
        <w:pStyle w:val="EMEANormal"/>
        <w:jc w:val="both"/>
        <w:rPr>
          <w:lang w:val="it-IT"/>
        </w:rPr>
      </w:pPr>
    </w:p>
    <w:p w:rsidR="006224C2" w:rsidRPr="00295E71" w14:paraId="531D9E4B" w14:textId="77777777">
      <w:pPr>
        <w:pStyle w:val="EMEANormal"/>
        <w:jc w:val="both"/>
        <w:rPr>
          <w:lang w:val="it-IT"/>
        </w:rPr>
      </w:pPr>
      <w:r w:rsidRPr="00295E71">
        <w:rPr>
          <w:lang w:val="it-IT"/>
        </w:rPr>
        <w:t>L’induzione della remissione clinica (definita come CDAI &lt; 150) è stata valutata in due studi, studio CD I (CLASSIC I) e studio CD II (GAIN). Nello studio CD I, 299 pazienti mai trattati con anti-TNF sono stati randomizzati ad uno dei quattro gruppi di trattamento; il gruppo trattato con placebo alla settimana 0 e 2, il gruppo trattato con 160 mg di Humira alla settimana 0 e con 80 mg alla settimana 2, il gruppo trattato con 80 mg alla settimana 0 e 40 mg alla settimana 2, ed il gruppo trattato con 40 mg alla settimana 0 e 20 mg alla settimana 2. Nello studio CD II, 325 dei pazienti che avevano perso la risposta o si sono rivelati intolleranti ad infliximab sono stati randomizzati per ricevere160 mg di Humira alla settimana 0 ed 80 mg di Humira alla settimana 2 oppure placebo alla settimana 0 ed alla settimana 2. I non-responders primari sono stati esclusi dagli studi e, di conseguenza, questi pazienti non sono stati sottoposti ad ulteriori valutazioni.</w:t>
      </w:r>
    </w:p>
    <w:p w:rsidR="006224C2" w:rsidRPr="00295E71" w14:paraId="324E7777" w14:textId="77777777">
      <w:pPr>
        <w:pStyle w:val="EMEANormal"/>
        <w:jc w:val="both"/>
        <w:rPr>
          <w:lang w:val="it-IT"/>
        </w:rPr>
      </w:pPr>
    </w:p>
    <w:p w:rsidR="006224C2" w:rsidRPr="00295E71" w:rsidP="00F57FE5" w14:paraId="0749F05E" w14:textId="77777777">
      <w:pPr>
        <w:keepNext/>
        <w:keepLines/>
        <w:rPr>
          <w:sz w:val="22"/>
          <w:szCs w:val="22"/>
        </w:rPr>
      </w:pPr>
      <w:r w:rsidRPr="00295E71">
        <w:rPr>
          <w:sz w:val="22"/>
          <w:szCs w:val="22"/>
        </w:rPr>
        <w:t xml:space="preserve">Il mantenimento della remissione clinica è stato valutato nello studio CD III (CHARM). Nello studio CD III, 854 pazienti hanno ricevuto in aperto 80 mg di Humira alla settimana 0 e 40 mg alla settimana 2. Alla settimana 4, i pazienti sono stati randomizzati per ricevere 40 mg a settimane alterne, 40 mg ogni settimana, oppure il placebo; la durata totale dello studio è stata pari a 56 settimane. I pazienti che hanno manifestato una risposta clinica (diminuzione dell’indice CDAI ≥ 70) alla settimana 4 sono stati stratificati ed analizzati separatamente da coloro che non hanno manifestato una risposta clinica alla settimana 4. È stata consentita una riduzione graduale della dose di corticosteroidi dopo la settimana 8. </w:t>
      </w:r>
    </w:p>
    <w:p w:rsidR="006224C2" w:rsidRPr="00295E71" w14:paraId="3A96FB59" w14:textId="77777777">
      <w:pPr>
        <w:pStyle w:val="EMEANormal"/>
        <w:jc w:val="both"/>
        <w:rPr>
          <w:lang w:val="it-IT"/>
        </w:rPr>
      </w:pPr>
    </w:p>
    <w:p w:rsidR="006224C2" w:rsidRPr="00295E71" w14:paraId="4D355DD2" w14:textId="77777777">
      <w:pPr>
        <w:pStyle w:val="EMEANormal"/>
        <w:jc w:val="both"/>
        <w:rPr>
          <w:lang w:val="it-IT"/>
        </w:rPr>
      </w:pPr>
      <w:r w:rsidRPr="00295E71">
        <w:rPr>
          <w:lang w:val="it-IT"/>
        </w:rPr>
        <w:t xml:space="preserve">Le percentuali relative all’induzione della remissione e della risposta clinica dello studio CD I e dello studio CD II sono riportate nella Tabella </w:t>
      </w:r>
      <w:r w:rsidRPr="00295E71" w:rsidR="00DE0578">
        <w:rPr>
          <w:lang w:val="it-IT"/>
        </w:rPr>
        <w:t>1</w:t>
      </w:r>
      <w:r w:rsidR="00800CE0">
        <w:rPr>
          <w:lang w:val="it-IT"/>
        </w:rPr>
        <w:t>4</w:t>
      </w:r>
      <w:r w:rsidRPr="00295E71">
        <w:rPr>
          <w:lang w:val="it-IT"/>
        </w:rPr>
        <w:t>.</w:t>
      </w:r>
    </w:p>
    <w:p w:rsidR="006224C2" w:rsidRPr="00295E71" w14:paraId="135D2EFD" w14:textId="77777777">
      <w:pPr>
        <w:keepNext/>
        <w:rPr>
          <w:sz w:val="22"/>
          <w:szCs w:val="22"/>
        </w:rPr>
      </w:pPr>
    </w:p>
    <w:tbl>
      <w:tblPr>
        <w:tblW w:w="9238" w:type="dxa"/>
        <w:tblBorders>
          <w:top w:val="single" w:sz="4" w:space="0" w:color="auto"/>
          <w:left w:val="single" w:sz="4" w:space="0" w:color="auto"/>
          <w:bottom w:val="single" w:sz="4" w:space="0" w:color="auto"/>
          <w:right w:val="single" w:sz="4" w:space="0" w:color="auto"/>
        </w:tblBorders>
        <w:tblLook w:val="0000"/>
      </w:tblPr>
      <w:tblGrid>
        <w:gridCol w:w="2406"/>
        <w:gridCol w:w="1210"/>
        <w:gridCol w:w="1262"/>
        <w:gridCol w:w="962"/>
        <w:gridCol w:w="1535"/>
        <w:gridCol w:w="1863"/>
      </w:tblGrid>
      <w:tr w14:paraId="4A50648B" w14:textId="77777777">
        <w:tblPrEx>
          <w:tblW w:w="9238" w:type="dxa"/>
          <w:tblLook w:val="0000"/>
        </w:tblPrEx>
        <w:tc>
          <w:tcPr>
            <w:tcW w:w="9238" w:type="dxa"/>
            <w:gridSpan w:val="6"/>
            <w:tcBorders>
              <w:top w:val="nil"/>
              <w:left w:val="nil"/>
              <w:bottom w:val="single" w:sz="4" w:space="0" w:color="auto"/>
              <w:right w:val="nil"/>
            </w:tcBorders>
          </w:tcPr>
          <w:p w:rsidR="006224C2" w:rsidRPr="00295E71" w14:paraId="78E05063" w14:textId="77777777">
            <w:pPr>
              <w:pStyle w:val="TableText"/>
              <w:spacing w:line="240" w:lineRule="exact"/>
              <w:jc w:val="center"/>
              <w:rPr>
                <w:b/>
                <w:bCs/>
                <w:sz w:val="22"/>
                <w:szCs w:val="22"/>
                <w:lang w:val="it-IT"/>
              </w:rPr>
            </w:pPr>
            <w:r w:rsidRPr="00295E71">
              <w:rPr>
                <w:sz w:val="22"/>
                <w:szCs w:val="22"/>
                <w:lang w:val="it-IT"/>
              </w:rPr>
              <w:br w:type="page"/>
            </w:r>
            <w:r w:rsidRPr="00295E71">
              <w:rPr>
                <w:b/>
                <w:bCs/>
                <w:sz w:val="22"/>
                <w:szCs w:val="22"/>
                <w:lang w:val="it-IT"/>
              </w:rPr>
              <w:t xml:space="preserve">Tabella </w:t>
            </w:r>
            <w:r w:rsidRPr="00295E71" w:rsidR="00DE0578">
              <w:rPr>
                <w:b/>
                <w:bCs/>
                <w:sz w:val="22"/>
                <w:szCs w:val="22"/>
                <w:lang w:val="it-IT"/>
              </w:rPr>
              <w:t>1</w:t>
            </w:r>
            <w:r w:rsidR="00800CE0">
              <w:rPr>
                <w:b/>
                <w:bCs/>
                <w:sz w:val="22"/>
                <w:szCs w:val="22"/>
                <w:lang w:val="it-IT"/>
              </w:rPr>
              <w:t>4</w:t>
            </w:r>
          </w:p>
          <w:p w:rsidR="006224C2" w:rsidRPr="00295E71" w14:paraId="5078D3CF" w14:textId="77777777">
            <w:pPr>
              <w:pStyle w:val="TableText"/>
              <w:spacing w:line="240" w:lineRule="exact"/>
              <w:jc w:val="center"/>
              <w:rPr>
                <w:b/>
                <w:bCs/>
                <w:sz w:val="22"/>
                <w:szCs w:val="22"/>
                <w:lang w:val="it-IT"/>
              </w:rPr>
            </w:pPr>
            <w:r w:rsidRPr="00295E71">
              <w:rPr>
                <w:b/>
                <w:bCs/>
                <w:sz w:val="22"/>
                <w:szCs w:val="22"/>
                <w:lang w:val="it-IT"/>
              </w:rPr>
              <w:t>Induzione della remissione e della risposta clinica</w:t>
            </w:r>
          </w:p>
          <w:p w:rsidR="006224C2" w:rsidRPr="00295E71" w14:paraId="46629121" w14:textId="77777777">
            <w:pPr>
              <w:pStyle w:val="TableText"/>
              <w:spacing w:line="240" w:lineRule="exact"/>
              <w:jc w:val="center"/>
              <w:rPr>
                <w:b/>
                <w:bCs/>
                <w:sz w:val="22"/>
                <w:szCs w:val="22"/>
                <w:lang w:val="it-IT"/>
              </w:rPr>
            </w:pPr>
            <w:r w:rsidRPr="00295E71">
              <w:rPr>
                <w:b/>
                <w:bCs/>
                <w:sz w:val="22"/>
                <w:szCs w:val="22"/>
                <w:lang w:val="it-IT"/>
              </w:rPr>
              <w:t>(percentuale di pazienti)</w:t>
            </w:r>
          </w:p>
          <w:p w:rsidR="006224C2" w:rsidRPr="00295E71" w14:paraId="4E666C2A" w14:textId="77777777">
            <w:pPr>
              <w:pStyle w:val="TableText"/>
              <w:spacing w:line="240" w:lineRule="exact"/>
              <w:jc w:val="center"/>
              <w:rPr>
                <w:sz w:val="22"/>
                <w:szCs w:val="22"/>
                <w:lang w:val="it-IT"/>
              </w:rPr>
            </w:pPr>
          </w:p>
        </w:tc>
      </w:tr>
      <w:tr w14:paraId="5B8B5615" w14:textId="77777777">
        <w:tblPrEx>
          <w:tblW w:w="9238" w:type="dxa"/>
          <w:tblLook w:val="0000"/>
        </w:tblPrEx>
        <w:tc>
          <w:tcPr>
            <w:tcW w:w="2406" w:type="dxa"/>
            <w:tcBorders>
              <w:top w:val="single" w:sz="4" w:space="0" w:color="auto"/>
              <w:left w:val="single" w:sz="4" w:space="0" w:color="auto"/>
              <w:bottom w:val="single" w:sz="4" w:space="0" w:color="auto"/>
              <w:right w:val="single" w:sz="4" w:space="0" w:color="auto"/>
            </w:tcBorders>
          </w:tcPr>
          <w:p w:rsidR="006224C2" w:rsidRPr="00295E71" w14:paraId="092E07CF" w14:textId="77777777">
            <w:pPr>
              <w:pStyle w:val="TableText"/>
              <w:spacing w:line="240" w:lineRule="exact"/>
              <w:rPr>
                <w:sz w:val="22"/>
                <w:szCs w:val="22"/>
                <w:lang w:val="it-IT"/>
              </w:rPr>
            </w:pPr>
          </w:p>
        </w:tc>
        <w:tc>
          <w:tcPr>
            <w:tcW w:w="3434" w:type="dxa"/>
            <w:gridSpan w:val="3"/>
            <w:tcBorders>
              <w:top w:val="single" w:sz="4" w:space="0" w:color="auto"/>
              <w:left w:val="single" w:sz="4" w:space="0" w:color="auto"/>
              <w:bottom w:val="single" w:sz="4" w:space="0" w:color="auto"/>
              <w:right w:val="single" w:sz="4" w:space="0" w:color="auto"/>
            </w:tcBorders>
          </w:tcPr>
          <w:p w:rsidR="006224C2" w:rsidRPr="00295E71" w14:paraId="45EE4579" w14:textId="77777777">
            <w:pPr>
              <w:pStyle w:val="TableText"/>
              <w:spacing w:line="240" w:lineRule="exact"/>
              <w:rPr>
                <w:b/>
                <w:bCs/>
                <w:sz w:val="22"/>
                <w:szCs w:val="22"/>
                <w:lang w:val="it-IT"/>
              </w:rPr>
            </w:pPr>
            <w:r w:rsidRPr="00295E71">
              <w:rPr>
                <w:b/>
                <w:bCs/>
                <w:sz w:val="22"/>
                <w:szCs w:val="22"/>
                <w:lang w:val="it-IT"/>
              </w:rPr>
              <w:t>Studio CD I: Pazienti mai trattati con Infliximab</w:t>
            </w:r>
          </w:p>
        </w:tc>
        <w:tc>
          <w:tcPr>
            <w:tcW w:w="3398" w:type="dxa"/>
            <w:gridSpan w:val="2"/>
            <w:tcBorders>
              <w:top w:val="single" w:sz="4" w:space="0" w:color="auto"/>
              <w:left w:val="single" w:sz="4" w:space="0" w:color="auto"/>
              <w:bottom w:val="single" w:sz="4" w:space="0" w:color="auto"/>
              <w:right w:val="single" w:sz="4" w:space="0" w:color="auto"/>
            </w:tcBorders>
          </w:tcPr>
          <w:p w:rsidR="006224C2" w:rsidRPr="00295E71" w14:paraId="60EC126A" w14:textId="77777777">
            <w:pPr>
              <w:pStyle w:val="TableText"/>
              <w:spacing w:line="240" w:lineRule="exact"/>
              <w:rPr>
                <w:b/>
                <w:bCs/>
                <w:sz w:val="22"/>
                <w:szCs w:val="22"/>
                <w:lang w:val="it-IT"/>
              </w:rPr>
            </w:pPr>
            <w:r w:rsidRPr="00295E71">
              <w:rPr>
                <w:b/>
                <w:bCs/>
                <w:sz w:val="22"/>
                <w:szCs w:val="22"/>
                <w:lang w:val="it-IT"/>
              </w:rPr>
              <w:t>Studio CD II: Pazienti precedentemente trattati con Infliximab</w:t>
            </w:r>
          </w:p>
        </w:tc>
      </w:tr>
      <w:tr w14:paraId="5E16241A" w14:textId="77777777">
        <w:tblPrEx>
          <w:tblW w:w="9238" w:type="dxa"/>
          <w:tblLook w:val="0000"/>
        </w:tblPrEx>
        <w:tc>
          <w:tcPr>
            <w:tcW w:w="2406" w:type="dxa"/>
            <w:tcBorders>
              <w:top w:val="single" w:sz="4" w:space="0" w:color="auto"/>
              <w:left w:val="single" w:sz="4" w:space="0" w:color="auto"/>
              <w:bottom w:val="single" w:sz="4" w:space="0" w:color="auto"/>
              <w:right w:val="single" w:sz="4" w:space="0" w:color="auto"/>
            </w:tcBorders>
          </w:tcPr>
          <w:p w:rsidR="006224C2" w:rsidRPr="00295E71" w14:paraId="0B723AD9" w14:textId="77777777">
            <w:pPr>
              <w:pStyle w:val="TableText"/>
              <w:spacing w:line="240" w:lineRule="exact"/>
              <w:jc w:val="center"/>
              <w:rPr>
                <w:sz w:val="22"/>
                <w:szCs w:val="22"/>
                <w:lang w:val="it-IT"/>
              </w:rPr>
            </w:pPr>
          </w:p>
        </w:tc>
        <w:tc>
          <w:tcPr>
            <w:tcW w:w="1210" w:type="dxa"/>
            <w:tcBorders>
              <w:top w:val="single" w:sz="4" w:space="0" w:color="auto"/>
              <w:left w:val="single" w:sz="4" w:space="0" w:color="auto"/>
              <w:bottom w:val="single" w:sz="4" w:space="0" w:color="auto"/>
              <w:right w:val="single" w:sz="4" w:space="0" w:color="auto"/>
            </w:tcBorders>
          </w:tcPr>
          <w:p w:rsidR="006224C2" w:rsidRPr="00295E71" w14:paraId="38485ACB" w14:textId="77777777">
            <w:pPr>
              <w:pStyle w:val="TableText"/>
              <w:spacing w:line="240" w:lineRule="exact"/>
              <w:jc w:val="center"/>
              <w:rPr>
                <w:b/>
                <w:sz w:val="22"/>
                <w:szCs w:val="22"/>
                <w:lang w:val="it-IT"/>
              </w:rPr>
            </w:pPr>
            <w:r w:rsidRPr="00295E71">
              <w:rPr>
                <w:b/>
                <w:sz w:val="22"/>
                <w:szCs w:val="22"/>
                <w:lang w:val="it-IT"/>
              </w:rPr>
              <w:t>Placebo</w:t>
            </w:r>
          </w:p>
          <w:p w:rsidR="006224C2" w:rsidRPr="00295E71" w14:paraId="4ACFEDEB" w14:textId="77777777">
            <w:pPr>
              <w:pStyle w:val="TableText"/>
              <w:spacing w:line="240" w:lineRule="exact"/>
              <w:jc w:val="center"/>
              <w:rPr>
                <w:b/>
                <w:sz w:val="22"/>
                <w:szCs w:val="22"/>
                <w:lang w:val="it-IT"/>
              </w:rPr>
            </w:pPr>
            <w:r w:rsidRPr="00295E71">
              <w:rPr>
                <w:b/>
                <w:sz w:val="22"/>
                <w:szCs w:val="22"/>
                <w:lang w:val="it-IT"/>
              </w:rPr>
              <w:t>N=74</w:t>
            </w:r>
          </w:p>
        </w:tc>
        <w:tc>
          <w:tcPr>
            <w:tcW w:w="1262" w:type="dxa"/>
            <w:tcBorders>
              <w:top w:val="single" w:sz="4" w:space="0" w:color="auto"/>
              <w:left w:val="single" w:sz="4" w:space="0" w:color="auto"/>
              <w:bottom w:val="single" w:sz="4" w:space="0" w:color="auto"/>
              <w:right w:val="single" w:sz="4" w:space="0" w:color="auto"/>
            </w:tcBorders>
          </w:tcPr>
          <w:p w:rsidR="006224C2" w:rsidRPr="00295E71" w14:paraId="25E737D9" w14:textId="77777777">
            <w:pPr>
              <w:pStyle w:val="TableText"/>
              <w:spacing w:line="240" w:lineRule="exact"/>
              <w:jc w:val="center"/>
              <w:rPr>
                <w:b/>
                <w:sz w:val="22"/>
                <w:szCs w:val="22"/>
                <w:lang w:val="it-IT"/>
              </w:rPr>
            </w:pPr>
            <w:r w:rsidRPr="00295E71">
              <w:rPr>
                <w:b/>
                <w:sz w:val="22"/>
                <w:szCs w:val="22"/>
                <w:lang w:val="it-IT"/>
              </w:rPr>
              <w:t>Humira</w:t>
            </w:r>
          </w:p>
          <w:p w:rsidR="006224C2" w:rsidRPr="00295E71" w14:paraId="325653C1" w14:textId="77777777">
            <w:pPr>
              <w:pStyle w:val="TableText"/>
              <w:spacing w:line="240" w:lineRule="exact"/>
              <w:jc w:val="center"/>
              <w:rPr>
                <w:b/>
                <w:sz w:val="22"/>
                <w:szCs w:val="22"/>
                <w:lang w:val="it-IT"/>
              </w:rPr>
            </w:pPr>
            <w:r w:rsidRPr="00295E71">
              <w:rPr>
                <w:b/>
                <w:sz w:val="22"/>
                <w:szCs w:val="22"/>
                <w:lang w:val="it-IT"/>
              </w:rPr>
              <w:t>80/40 mg</w:t>
            </w:r>
          </w:p>
          <w:p w:rsidR="006224C2" w:rsidRPr="00295E71" w14:paraId="34D7D760" w14:textId="77777777">
            <w:pPr>
              <w:pStyle w:val="TableText"/>
              <w:spacing w:line="240" w:lineRule="exact"/>
              <w:jc w:val="center"/>
              <w:rPr>
                <w:b/>
                <w:sz w:val="22"/>
                <w:szCs w:val="22"/>
                <w:lang w:val="it-IT"/>
              </w:rPr>
            </w:pPr>
            <w:r w:rsidRPr="00295E71">
              <w:rPr>
                <w:b/>
                <w:sz w:val="22"/>
                <w:szCs w:val="22"/>
                <w:lang w:val="it-IT"/>
              </w:rPr>
              <w:t>N = 75</w:t>
            </w:r>
          </w:p>
        </w:tc>
        <w:tc>
          <w:tcPr>
            <w:tcW w:w="962" w:type="dxa"/>
            <w:tcBorders>
              <w:top w:val="single" w:sz="4" w:space="0" w:color="auto"/>
              <w:left w:val="single" w:sz="4" w:space="0" w:color="auto"/>
              <w:bottom w:val="single" w:sz="4" w:space="0" w:color="auto"/>
              <w:right w:val="single" w:sz="4" w:space="0" w:color="auto"/>
            </w:tcBorders>
          </w:tcPr>
          <w:p w:rsidR="006224C2" w:rsidRPr="00295E71" w14:paraId="576E438F" w14:textId="77777777">
            <w:pPr>
              <w:pStyle w:val="TableText"/>
              <w:spacing w:line="240" w:lineRule="exact"/>
              <w:jc w:val="center"/>
              <w:rPr>
                <w:b/>
                <w:sz w:val="22"/>
                <w:szCs w:val="22"/>
                <w:lang w:val="it-IT"/>
              </w:rPr>
            </w:pPr>
            <w:r w:rsidRPr="00295E71">
              <w:rPr>
                <w:b/>
                <w:sz w:val="22"/>
                <w:szCs w:val="22"/>
                <w:lang w:val="it-IT"/>
              </w:rPr>
              <w:t xml:space="preserve">Humira </w:t>
            </w:r>
          </w:p>
          <w:p w:rsidR="006224C2" w:rsidRPr="00295E71" w14:paraId="3C229BF1" w14:textId="77777777">
            <w:pPr>
              <w:pStyle w:val="TableText"/>
              <w:spacing w:line="240" w:lineRule="exact"/>
              <w:jc w:val="center"/>
              <w:rPr>
                <w:b/>
                <w:sz w:val="22"/>
                <w:szCs w:val="22"/>
                <w:lang w:val="it-IT"/>
              </w:rPr>
            </w:pPr>
            <w:r w:rsidRPr="00295E71">
              <w:rPr>
                <w:b/>
                <w:sz w:val="22"/>
                <w:szCs w:val="22"/>
                <w:lang w:val="it-IT"/>
              </w:rPr>
              <w:t>160/80 mg N=76</w:t>
            </w:r>
          </w:p>
        </w:tc>
        <w:tc>
          <w:tcPr>
            <w:tcW w:w="1535" w:type="dxa"/>
            <w:tcBorders>
              <w:top w:val="single" w:sz="4" w:space="0" w:color="auto"/>
              <w:left w:val="single" w:sz="4" w:space="0" w:color="auto"/>
              <w:bottom w:val="single" w:sz="4" w:space="0" w:color="auto"/>
              <w:right w:val="single" w:sz="4" w:space="0" w:color="auto"/>
            </w:tcBorders>
          </w:tcPr>
          <w:p w:rsidR="006224C2" w:rsidRPr="00295E71" w14:paraId="16C541F9" w14:textId="77777777">
            <w:pPr>
              <w:pStyle w:val="TableText"/>
              <w:spacing w:line="240" w:lineRule="exact"/>
              <w:jc w:val="center"/>
              <w:rPr>
                <w:b/>
                <w:sz w:val="22"/>
                <w:szCs w:val="22"/>
                <w:lang w:val="it-IT"/>
              </w:rPr>
            </w:pPr>
            <w:r w:rsidRPr="00295E71">
              <w:rPr>
                <w:b/>
                <w:sz w:val="22"/>
                <w:szCs w:val="22"/>
                <w:lang w:val="it-IT"/>
              </w:rPr>
              <w:t>Placebo</w:t>
            </w:r>
          </w:p>
          <w:p w:rsidR="006224C2" w:rsidRPr="00295E71" w14:paraId="2880A3A2" w14:textId="77777777">
            <w:pPr>
              <w:pStyle w:val="TableText"/>
              <w:spacing w:line="240" w:lineRule="exact"/>
              <w:jc w:val="center"/>
              <w:rPr>
                <w:b/>
                <w:sz w:val="22"/>
                <w:szCs w:val="22"/>
                <w:lang w:val="it-IT"/>
              </w:rPr>
            </w:pPr>
            <w:r w:rsidRPr="00295E71">
              <w:rPr>
                <w:b/>
                <w:sz w:val="22"/>
                <w:szCs w:val="22"/>
                <w:lang w:val="it-IT"/>
              </w:rPr>
              <w:t>N=166</w:t>
            </w:r>
          </w:p>
        </w:tc>
        <w:tc>
          <w:tcPr>
            <w:tcW w:w="1863" w:type="dxa"/>
            <w:tcBorders>
              <w:top w:val="single" w:sz="4" w:space="0" w:color="auto"/>
              <w:left w:val="single" w:sz="4" w:space="0" w:color="auto"/>
              <w:bottom w:val="single" w:sz="4" w:space="0" w:color="auto"/>
              <w:right w:val="single" w:sz="4" w:space="0" w:color="auto"/>
            </w:tcBorders>
          </w:tcPr>
          <w:p w:rsidR="006224C2" w:rsidRPr="00295E71" w14:paraId="6A123DD7" w14:textId="77777777">
            <w:pPr>
              <w:pStyle w:val="TableText"/>
              <w:spacing w:line="240" w:lineRule="exact"/>
              <w:jc w:val="center"/>
              <w:rPr>
                <w:b/>
                <w:sz w:val="22"/>
                <w:szCs w:val="22"/>
                <w:lang w:val="it-IT"/>
              </w:rPr>
            </w:pPr>
            <w:r w:rsidRPr="00295E71">
              <w:rPr>
                <w:b/>
                <w:sz w:val="22"/>
                <w:szCs w:val="22"/>
                <w:lang w:val="it-IT"/>
              </w:rPr>
              <w:t xml:space="preserve">Humira </w:t>
            </w:r>
          </w:p>
          <w:p w:rsidR="006224C2" w:rsidRPr="00295E71" w14:paraId="58DB3F97" w14:textId="77777777">
            <w:pPr>
              <w:pStyle w:val="TableText"/>
              <w:spacing w:line="240" w:lineRule="exact"/>
              <w:jc w:val="center"/>
              <w:rPr>
                <w:b/>
                <w:sz w:val="22"/>
                <w:szCs w:val="22"/>
                <w:lang w:val="it-IT"/>
              </w:rPr>
            </w:pPr>
            <w:r w:rsidRPr="00295E71">
              <w:rPr>
                <w:b/>
                <w:sz w:val="22"/>
                <w:szCs w:val="22"/>
                <w:lang w:val="it-IT"/>
              </w:rPr>
              <w:t>160/80 mg</w:t>
            </w:r>
          </w:p>
          <w:p w:rsidR="006224C2" w:rsidRPr="00295E71" w14:paraId="6E235F91" w14:textId="77777777">
            <w:pPr>
              <w:pStyle w:val="TableText"/>
              <w:spacing w:line="240" w:lineRule="exact"/>
              <w:jc w:val="center"/>
              <w:rPr>
                <w:b/>
                <w:sz w:val="22"/>
                <w:szCs w:val="22"/>
                <w:lang w:val="it-IT"/>
              </w:rPr>
            </w:pPr>
            <w:r w:rsidRPr="00295E71">
              <w:rPr>
                <w:b/>
                <w:sz w:val="22"/>
                <w:szCs w:val="22"/>
                <w:lang w:val="it-IT"/>
              </w:rPr>
              <w:t>N=159</w:t>
            </w:r>
          </w:p>
        </w:tc>
      </w:tr>
      <w:tr w14:paraId="44D10EE7" w14:textId="77777777">
        <w:tblPrEx>
          <w:tblW w:w="9238" w:type="dxa"/>
          <w:tblLook w:val="0000"/>
        </w:tblPrEx>
        <w:tc>
          <w:tcPr>
            <w:tcW w:w="2406" w:type="dxa"/>
            <w:tcBorders>
              <w:top w:val="single" w:sz="4" w:space="0" w:color="auto"/>
              <w:left w:val="single" w:sz="4" w:space="0" w:color="auto"/>
              <w:bottom w:val="single" w:sz="4" w:space="0" w:color="auto"/>
              <w:right w:val="single" w:sz="4" w:space="0" w:color="auto"/>
            </w:tcBorders>
            <w:vAlign w:val="bottom"/>
          </w:tcPr>
          <w:p w:rsidR="006224C2" w:rsidRPr="00295E71" w14:paraId="1273DEFA" w14:textId="77777777">
            <w:pPr>
              <w:pStyle w:val="TableText"/>
              <w:spacing w:line="240" w:lineRule="exact"/>
              <w:rPr>
                <w:sz w:val="22"/>
                <w:szCs w:val="22"/>
                <w:lang w:val="it-IT"/>
              </w:rPr>
            </w:pPr>
            <w:r w:rsidRPr="00295E71">
              <w:rPr>
                <w:sz w:val="22"/>
                <w:szCs w:val="22"/>
                <w:lang w:val="it-IT"/>
              </w:rPr>
              <w:t>Settimana 4</w:t>
            </w:r>
          </w:p>
        </w:tc>
        <w:tc>
          <w:tcPr>
            <w:tcW w:w="1210" w:type="dxa"/>
            <w:tcBorders>
              <w:top w:val="single" w:sz="4" w:space="0" w:color="auto"/>
              <w:left w:val="single" w:sz="4" w:space="0" w:color="auto"/>
              <w:bottom w:val="single" w:sz="4" w:space="0" w:color="auto"/>
              <w:right w:val="single" w:sz="4" w:space="0" w:color="auto"/>
            </w:tcBorders>
            <w:vAlign w:val="bottom"/>
          </w:tcPr>
          <w:p w:rsidR="006224C2" w:rsidRPr="00295E71" w14:paraId="023DD505" w14:textId="77777777">
            <w:pPr>
              <w:pStyle w:val="TableText"/>
              <w:spacing w:line="240" w:lineRule="exact"/>
              <w:rPr>
                <w:sz w:val="22"/>
                <w:szCs w:val="22"/>
                <w:lang w:val="it-IT"/>
              </w:rPr>
            </w:pPr>
          </w:p>
        </w:tc>
        <w:tc>
          <w:tcPr>
            <w:tcW w:w="1262" w:type="dxa"/>
            <w:tcBorders>
              <w:top w:val="single" w:sz="4" w:space="0" w:color="auto"/>
              <w:left w:val="single" w:sz="4" w:space="0" w:color="auto"/>
              <w:bottom w:val="single" w:sz="4" w:space="0" w:color="auto"/>
              <w:right w:val="single" w:sz="4" w:space="0" w:color="auto"/>
            </w:tcBorders>
            <w:vAlign w:val="bottom"/>
          </w:tcPr>
          <w:p w:rsidR="006224C2" w:rsidRPr="00295E71" w14:paraId="1921DD23" w14:textId="77777777">
            <w:pPr>
              <w:pStyle w:val="TableText"/>
              <w:spacing w:line="240" w:lineRule="exact"/>
              <w:rPr>
                <w:sz w:val="22"/>
                <w:szCs w:val="22"/>
                <w:lang w:val="it-IT"/>
              </w:rPr>
            </w:pPr>
          </w:p>
        </w:tc>
        <w:tc>
          <w:tcPr>
            <w:tcW w:w="962" w:type="dxa"/>
            <w:tcBorders>
              <w:top w:val="single" w:sz="4" w:space="0" w:color="auto"/>
              <w:left w:val="single" w:sz="4" w:space="0" w:color="auto"/>
              <w:bottom w:val="single" w:sz="4" w:space="0" w:color="auto"/>
              <w:right w:val="single" w:sz="4" w:space="0" w:color="auto"/>
            </w:tcBorders>
            <w:vAlign w:val="bottom"/>
          </w:tcPr>
          <w:p w:rsidR="006224C2" w:rsidRPr="00295E71" w14:paraId="432D43A9" w14:textId="77777777">
            <w:pPr>
              <w:pStyle w:val="TableText"/>
              <w:spacing w:line="240" w:lineRule="exact"/>
              <w:rPr>
                <w:sz w:val="22"/>
                <w:szCs w:val="22"/>
                <w:lang w:val="it-IT"/>
              </w:rPr>
            </w:pPr>
          </w:p>
        </w:tc>
        <w:tc>
          <w:tcPr>
            <w:tcW w:w="1535" w:type="dxa"/>
            <w:tcBorders>
              <w:top w:val="single" w:sz="4" w:space="0" w:color="auto"/>
              <w:left w:val="single" w:sz="4" w:space="0" w:color="auto"/>
              <w:bottom w:val="single" w:sz="4" w:space="0" w:color="auto"/>
              <w:right w:val="single" w:sz="4" w:space="0" w:color="auto"/>
            </w:tcBorders>
            <w:vAlign w:val="bottom"/>
          </w:tcPr>
          <w:p w:rsidR="006224C2" w:rsidRPr="00295E71" w14:paraId="3A8980DD" w14:textId="77777777">
            <w:pPr>
              <w:pStyle w:val="TableText"/>
              <w:spacing w:line="240" w:lineRule="exact"/>
              <w:rPr>
                <w:sz w:val="22"/>
                <w:szCs w:val="22"/>
                <w:lang w:val="it-IT"/>
              </w:rPr>
            </w:pPr>
          </w:p>
        </w:tc>
        <w:tc>
          <w:tcPr>
            <w:tcW w:w="1863" w:type="dxa"/>
            <w:tcBorders>
              <w:top w:val="single" w:sz="4" w:space="0" w:color="auto"/>
              <w:left w:val="single" w:sz="4" w:space="0" w:color="auto"/>
              <w:bottom w:val="single" w:sz="4" w:space="0" w:color="auto"/>
              <w:right w:val="single" w:sz="4" w:space="0" w:color="auto"/>
            </w:tcBorders>
            <w:vAlign w:val="bottom"/>
          </w:tcPr>
          <w:p w:rsidR="006224C2" w:rsidRPr="00295E71" w14:paraId="4821694A" w14:textId="77777777">
            <w:pPr>
              <w:pStyle w:val="TableText"/>
              <w:spacing w:line="240" w:lineRule="exact"/>
              <w:rPr>
                <w:sz w:val="22"/>
                <w:szCs w:val="22"/>
                <w:lang w:val="it-IT"/>
              </w:rPr>
            </w:pPr>
          </w:p>
        </w:tc>
      </w:tr>
      <w:tr w14:paraId="53BB7473" w14:textId="77777777">
        <w:tblPrEx>
          <w:tblW w:w="9238" w:type="dxa"/>
          <w:tblLook w:val="0000"/>
        </w:tblPrEx>
        <w:tc>
          <w:tcPr>
            <w:tcW w:w="2406" w:type="dxa"/>
            <w:tcBorders>
              <w:top w:val="single" w:sz="4" w:space="0" w:color="auto"/>
              <w:left w:val="single" w:sz="4" w:space="0" w:color="auto"/>
              <w:bottom w:val="single" w:sz="4" w:space="0" w:color="auto"/>
              <w:right w:val="single" w:sz="4" w:space="0" w:color="auto"/>
            </w:tcBorders>
            <w:vAlign w:val="bottom"/>
          </w:tcPr>
          <w:p w:rsidR="006224C2" w:rsidRPr="00295E71" w14:paraId="233597A6" w14:textId="77777777">
            <w:pPr>
              <w:pStyle w:val="TableText"/>
              <w:spacing w:line="240" w:lineRule="exact"/>
              <w:rPr>
                <w:sz w:val="22"/>
                <w:szCs w:val="22"/>
                <w:lang w:val="it-IT"/>
              </w:rPr>
            </w:pPr>
            <w:r w:rsidRPr="00295E71">
              <w:rPr>
                <w:sz w:val="22"/>
                <w:szCs w:val="22"/>
                <w:lang w:val="it-IT"/>
              </w:rPr>
              <w:t>Remissione clinica</w:t>
            </w:r>
          </w:p>
        </w:tc>
        <w:tc>
          <w:tcPr>
            <w:tcW w:w="1210" w:type="dxa"/>
            <w:tcBorders>
              <w:top w:val="single" w:sz="4" w:space="0" w:color="auto"/>
              <w:left w:val="single" w:sz="4" w:space="0" w:color="auto"/>
              <w:bottom w:val="single" w:sz="4" w:space="0" w:color="auto"/>
              <w:right w:val="single" w:sz="4" w:space="0" w:color="auto"/>
            </w:tcBorders>
            <w:vAlign w:val="bottom"/>
          </w:tcPr>
          <w:p w:rsidR="006224C2" w:rsidRPr="00295E71" w14:paraId="5A078C13" w14:textId="77777777">
            <w:pPr>
              <w:pStyle w:val="TableText"/>
              <w:spacing w:line="240" w:lineRule="exact"/>
              <w:jc w:val="center"/>
              <w:rPr>
                <w:sz w:val="22"/>
                <w:szCs w:val="22"/>
                <w:lang w:val="it-IT"/>
              </w:rPr>
            </w:pPr>
            <w:r w:rsidRPr="00295E71">
              <w:rPr>
                <w:sz w:val="22"/>
                <w:szCs w:val="22"/>
                <w:lang w:val="it-IT"/>
              </w:rPr>
              <w:t>12%</w:t>
            </w:r>
          </w:p>
        </w:tc>
        <w:tc>
          <w:tcPr>
            <w:tcW w:w="1262" w:type="dxa"/>
            <w:tcBorders>
              <w:top w:val="single" w:sz="4" w:space="0" w:color="auto"/>
              <w:left w:val="single" w:sz="4" w:space="0" w:color="auto"/>
              <w:bottom w:val="single" w:sz="4" w:space="0" w:color="auto"/>
              <w:right w:val="single" w:sz="4" w:space="0" w:color="auto"/>
            </w:tcBorders>
            <w:vAlign w:val="bottom"/>
          </w:tcPr>
          <w:p w:rsidR="006224C2" w:rsidRPr="00295E71" w14:paraId="6E95ADC2" w14:textId="77777777">
            <w:pPr>
              <w:pStyle w:val="TableText"/>
              <w:spacing w:line="240" w:lineRule="exact"/>
              <w:jc w:val="center"/>
              <w:rPr>
                <w:sz w:val="22"/>
                <w:szCs w:val="22"/>
                <w:lang w:val="it-IT"/>
              </w:rPr>
            </w:pPr>
            <w:r w:rsidRPr="00295E71">
              <w:rPr>
                <w:sz w:val="22"/>
                <w:szCs w:val="22"/>
                <w:lang w:val="it-IT"/>
              </w:rPr>
              <w:t>24%</w:t>
            </w:r>
          </w:p>
        </w:tc>
        <w:tc>
          <w:tcPr>
            <w:tcW w:w="962" w:type="dxa"/>
            <w:tcBorders>
              <w:top w:val="single" w:sz="4" w:space="0" w:color="auto"/>
              <w:left w:val="single" w:sz="4" w:space="0" w:color="auto"/>
              <w:bottom w:val="single" w:sz="4" w:space="0" w:color="auto"/>
              <w:right w:val="single" w:sz="4" w:space="0" w:color="auto"/>
            </w:tcBorders>
            <w:vAlign w:val="bottom"/>
          </w:tcPr>
          <w:p w:rsidR="006224C2" w:rsidRPr="00295E71" w14:paraId="7F37EB27" w14:textId="77777777">
            <w:pPr>
              <w:pStyle w:val="TableText"/>
              <w:spacing w:line="240" w:lineRule="exact"/>
              <w:jc w:val="center"/>
              <w:rPr>
                <w:sz w:val="22"/>
                <w:szCs w:val="22"/>
                <w:lang w:val="it-IT"/>
              </w:rPr>
            </w:pPr>
            <w:r w:rsidRPr="00295E71">
              <w:rPr>
                <w:sz w:val="22"/>
                <w:szCs w:val="22"/>
                <w:lang w:val="it-IT"/>
              </w:rPr>
              <w:t>36%</w:t>
            </w:r>
            <w:r w:rsidRPr="00295E71">
              <w:rPr>
                <w:sz w:val="22"/>
                <w:szCs w:val="22"/>
                <w:vertAlign w:val="superscript"/>
                <w:lang w:val="it-IT"/>
              </w:rPr>
              <w:t>*</w:t>
            </w:r>
          </w:p>
        </w:tc>
        <w:tc>
          <w:tcPr>
            <w:tcW w:w="1535" w:type="dxa"/>
            <w:tcBorders>
              <w:top w:val="single" w:sz="4" w:space="0" w:color="auto"/>
              <w:left w:val="single" w:sz="4" w:space="0" w:color="auto"/>
              <w:bottom w:val="single" w:sz="4" w:space="0" w:color="auto"/>
              <w:right w:val="single" w:sz="4" w:space="0" w:color="auto"/>
            </w:tcBorders>
            <w:vAlign w:val="bottom"/>
          </w:tcPr>
          <w:p w:rsidR="006224C2" w:rsidRPr="00295E71" w14:paraId="1F4524CA" w14:textId="77777777">
            <w:pPr>
              <w:pStyle w:val="TableText"/>
              <w:spacing w:line="240" w:lineRule="exact"/>
              <w:jc w:val="center"/>
              <w:rPr>
                <w:sz w:val="22"/>
                <w:szCs w:val="22"/>
                <w:lang w:val="it-IT"/>
              </w:rPr>
            </w:pPr>
            <w:r w:rsidRPr="00295E71">
              <w:rPr>
                <w:sz w:val="22"/>
                <w:szCs w:val="22"/>
                <w:lang w:val="it-IT"/>
              </w:rPr>
              <w:t>7%</w:t>
            </w:r>
          </w:p>
        </w:tc>
        <w:tc>
          <w:tcPr>
            <w:tcW w:w="1863" w:type="dxa"/>
            <w:tcBorders>
              <w:top w:val="single" w:sz="4" w:space="0" w:color="auto"/>
              <w:left w:val="single" w:sz="4" w:space="0" w:color="auto"/>
              <w:bottom w:val="single" w:sz="4" w:space="0" w:color="auto"/>
              <w:right w:val="single" w:sz="4" w:space="0" w:color="auto"/>
            </w:tcBorders>
            <w:vAlign w:val="bottom"/>
          </w:tcPr>
          <w:p w:rsidR="006224C2" w:rsidRPr="00295E71" w14:paraId="3AA12955" w14:textId="77777777">
            <w:pPr>
              <w:pStyle w:val="TableText"/>
              <w:spacing w:line="240" w:lineRule="exact"/>
              <w:jc w:val="center"/>
              <w:rPr>
                <w:sz w:val="22"/>
                <w:szCs w:val="22"/>
                <w:lang w:val="it-IT"/>
              </w:rPr>
            </w:pPr>
            <w:r w:rsidRPr="00295E71">
              <w:rPr>
                <w:sz w:val="22"/>
                <w:szCs w:val="22"/>
                <w:lang w:val="it-IT"/>
              </w:rPr>
              <w:t>21%</w:t>
            </w:r>
            <w:r w:rsidRPr="00295E71">
              <w:rPr>
                <w:sz w:val="22"/>
                <w:szCs w:val="22"/>
                <w:vertAlign w:val="superscript"/>
                <w:lang w:val="it-IT"/>
              </w:rPr>
              <w:t>*</w:t>
            </w:r>
          </w:p>
        </w:tc>
      </w:tr>
      <w:tr w14:paraId="769175E7" w14:textId="77777777">
        <w:tblPrEx>
          <w:tblW w:w="9238" w:type="dxa"/>
          <w:tblLook w:val="0000"/>
        </w:tblPrEx>
        <w:tc>
          <w:tcPr>
            <w:tcW w:w="2406" w:type="dxa"/>
            <w:tcBorders>
              <w:top w:val="single" w:sz="4" w:space="0" w:color="auto"/>
              <w:left w:val="single" w:sz="4" w:space="0" w:color="auto"/>
              <w:bottom w:val="single" w:sz="4" w:space="0" w:color="auto"/>
              <w:right w:val="single" w:sz="4" w:space="0" w:color="auto"/>
            </w:tcBorders>
          </w:tcPr>
          <w:p w:rsidR="006224C2" w:rsidRPr="00295E71" w14:paraId="596F400F" w14:textId="77777777">
            <w:pPr>
              <w:pStyle w:val="TableText"/>
              <w:spacing w:line="240" w:lineRule="exact"/>
              <w:rPr>
                <w:sz w:val="22"/>
                <w:szCs w:val="22"/>
                <w:lang w:val="it-IT"/>
              </w:rPr>
            </w:pPr>
            <w:r w:rsidRPr="00295E71">
              <w:rPr>
                <w:sz w:val="22"/>
                <w:szCs w:val="22"/>
                <w:lang w:val="it-IT"/>
              </w:rPr>
              <w:t>Risposta clinica (CR-100)</w:t>
            </w:r>
          </w:p>
        </w:tc>
        <w:tc>
          <w:tcPr>
            <w:tcW w:w="1210" w:type="dxa"/>
            <w:tcBorders>
              <w:top w:val="single" w:sz="4" w:space="0" w:color="auto"/>
              <w:left w:val="single" w:sz="4" w:space="0" w:color="auto"/>
              <w:bottom w:val="single" w:sz="4" w:space="0" w:color="auto"/>
              <w:right w:val="single" w:sz="4" w:space="0" w:color="auto"/>
            </w:tcBorders>
          </w:tcPr>
          <w:p w:rsidR="006224C2" w:rsidRPr="00295E71" w14:paraId="1BF968F3" w14:textId="77777777">
            <w:pPr>
              <w:pStyle w:val="TableText"/>
              <w:spacing w:line="240" w:lineRule="exact"/>
              <w:jc w:val="center"/>
              <w:rPr>
                <w:sz w:val="22"/>
                <w:szCs w:val="22"/>
                <w:lang w:val="it-IT"/>
              </w:rPr>
            </w:pPr>
            <w:r w:rsidRPr="00295E71">
              <w:rPr>
                <w:sz w:val="22"/>
                <w:szCs w:val="22"/>
                <w:lang w:val="it-IT"/>
              </w:rPr>
              <w:t>24%</w:t>
            </w:r>
          </w:p>
        </w:tc>
        <w:tc>
          <w:tcPr>
            <w:tcW w:w="1262" w:type="dxa"/>
            <w:tcBorders>
              <w:top w:val="single" w:sz="4" w:space="0" w:color="auto"/>
              <w:left w:val="single" w:sz="4" w:space="0" w:color="auto"/>
              <w:bottom w:val="single" w:sz="4" w:space="0" w:color="auto"/>
              <w:right w:val="single" w:sz="4" w:space="0" w:color="auto"/>
            </w:tcBorders>
          </w:tcPr>
          <w:p w:rsidR="006224C2" w:rsidRPr="00295E71" w14:paraId="4A3C0286" w14:textId="77777777">
            <w:pPr>
              <w:pStyle w:val="TableText"/>
              <w:spacing w:line="240" w:lineRule="exact"/>
              <w:jc w:val="center"/>
              <w:rPr>
                <w:sz w:val="22"/>
                <w:szCs w:val="22"/>
                <w:lang w:val="it-IT"/>
              </w:rPr>
            </w:pPr>
            <w:r w:rsidRPr="00295E71">
              <w:rPr>
                <w:sz w:val="22"/>
                <w:szCs w:val="22"/>
                <w:lang w:val="it-IT"/>
              </w:rPr>
              <w:t>37%</w:t>
            </w:r>
          </w:p>
        </w:tc>
        <w:tc>
          <w:tcPr>
            <w:tcW w:w="962" w:type="dxa"/>
            <w:tcBorders>
              <w:top w:val="single" w:sz="4" w:space="0" w:color="auto"/>
              <w:left w:val="single" w:sz="4" w:space="0" w:color="auto"/>
              <w:bottom w:val="single" w:sz="4" w:space="0" w:color="auto"/>
              <w:right w:val="single" w:sz="4" w:space="0" w:color="auto"/>
            </w:tcBorders>
          </w:tcPr>
          <w:p w:rsidR="006224C2" w:rsidRPr="00295E71" w14:paraId="7B39BD1F" w14:textId="77777777">
            <w:pPr>
              <w:pStyle w:val="TableText"/>
              <w:spacing w:line="240" w:lineRule="exact"/>
              <w:jc w:val="center"/>
              <w:rPr>
                <w:sz w:val="22"/>
                <w:szCs w:val="22"/>
                <w:lang w:val="it-IT"/>
              </w:rPr>
            </w:pPr>
            <w:r w:rsidRPr="00295E71">
              <w:rPr>
                <w:sz w:val="22"/>
                <w:szCs w:val="22"/>
                <w:lang w:val="it-IT"/>
              </w:rPr>
              <w:t>49%</w:t>
            </w:r>
            <w:r w:rsidRPr="00295E71">
              <w:rPr>
                <w:sz w:val="22"/>
                <w:szCs w:val="22"/>
                <w:vertAlign w:val="superscript"/>
                <w:lang w:val="it-IT"/>
              </w:rPr>
              <w:t>**</w:t>
            </w:r>
          </w:p>
        </w:tc>
        <w:tc>
          <w:tcPr>
            <w:tcW w:w="1535" w:type="dxa"/>
            <w:tcBorders>
              <w:top w:val="single" w:sz="4" w:space="0" w:color="auto"/>
              <w:left w:val="single" w:sz="4" w:space="0" w:color="auto"/>
              <w:bottom w:val="single" w:sz="4" w:space="0" w:color="auto"/>
              <w:right w:val="single" w:sz="4" w:space="0" w:color="auto"/>
            </w:tcBorders>
          </w:tcPr>
          <w:p w:rsidR="006224C2" w:rsidRPr="00295E71" w14:paraId="7119446C" w14:textId="77777777">
            <w:pPr>
              <w:pStyle w:val="TableText"/>
              <w:spacing w:line="240" w:lineRule="exact"/>
              <w:jc w:val="center"/>
              <w:rPr>
                <w:sz w:val="22"/>
                <w:szCs w:val="22"/>
                <w:lang w:val="it-IT"/>
              </w:rPr>
            </w:pPr>
            <w:r w:rsidRPr="00295E71">
              <w:rPr>
                <w:sz w:val="22"/>
                <w:szCs w:val="22"/>
                <w:lang w:val="it-IT"/>
              </w:rPr>
              <w:t>25%</w:t>
            </w:r>
          </w:p>
        </w:tc>
        <w:tc>
          <w:tcPr>
            <w:tcW w:w="1863" w:type="dxa"/>
            <w:tcBorders>
              <w:top w:val="single" w:sz="4" w:space="0" w:color="auto"/>
              <w:left w:val="single" w:sz="4" w:space="0" w:color="auto"/>
              <w:bottom w:val="single" w:sz="4" w:space="0" w:color="auto"/>
              <w:right w:val="single" w:sz="4" w:space="0" w:color="auto"/>
            </w:tcBorders>
          </w:tcPr>
          <w:p w:rsidR="006224C2" w:rsidRPr="00295E71" w14:paraId="7162CE4E" w14:textId="77777777">
            <w:pPr>
              <w:pStyle w:val="TableText"/>
              <w:spacing w:line="240" w:lineRule="exact"/>
              <w:jc w:val="center"/>
              <w:rPr>
                <w:sz w:val="22"/>
                <w:szCs w:val="22"/>
                <w:lang w:val="it-IT"/>
              </w:rPr>
            </w:pPr>
            <w:r w:rsidRPr="00295E71">
              <w:rPr>
                <w:sz w:val="22"/>
                <w:szCs w:val="22"/>
                <w:lang w:val="it-IT"/>
              </w:rPr>
              <w:t>38%</w:t>
            </w:r>
            <w:r w:rsidRPr="00295E71">
              <w:rPr>
                <w:sz w:val="22"/>
                <w:szCs w:val="22"/>
                <w:vertAlign w:val="superscript"/>
                <w:lang w:val="it-IT"/>
              </w:rPr>
              <w:t>**</w:t>
            </w:r>
          </w:p>
        </w:tc>
      </w:tr>
      <w:tr w14:paraId="329CA18A" w14:textId="77777777">
        <w:tblPrEx>
          <w:tblW w:w="9238" w:type="dxa"/>
          <w:tblLook w:val="0000"/>
        </w:tblPrEx>
        <w:tc>
          <w:tcPr>
            <w:tcW w:w="9238" w:type="dxa"/>
            <w:gridSpan w:val="6"/>
            <w:tcBorders>
              <w:top w:val="single" w:sz="4" w:space="0" w:color="auto"/>
              <w:left w:val="nil"/>
              <w:bottom w:val="nil"/>
              <w:right w:val="nil"/>
            </w:tcBorders>
          </w:tcPr>
          <w:p w:rsidR="006224C2" w:rsidRPr="00295E71" w14:paraId="45650A97" w14:textId="77777777">
            <w:pPr>
              <w:pStyle w:val="TableText"/>
              <w:spacing w:line="240" w:lineRule="exact"/>
              <w:rPr>
                <w:sz w:val="22"/>
                <w:szCs w:val="22"/>
                <w:lang w:val="it-IT"/>
              </w:rPr>
            </w:pPr>
            <w:r w:rsidRPr="00295E71">
              <w:rPr>
                <w:sz w:val="22"/>
                <w:szCs w:val="22"/>
                <w:lang w:val="it-IT"/>
              </w:rPr>
              <w:t>Tutti i valori p rappresentano i confronti a coppie delle percentuali di Humira verso placebo</w:t>
            </w:r>
          </w:p>
          <w:p w:rsidR="006224C2" w:rsidRPr="00295E71" w14:paraId="50541D71" w14:textId="77777777">
            <w:pPr>
              <w:pStyle w:val="TableText"/>
              <w:spacing w:line="240" w:lineRule="exact"/>
              <w:rPr>
                <w:sz w:val="22"/>
                <w:szCs w:val="22"/>
                <w:lang w:val="it-IT"/>
              </w:rPr>
            </w:pPr>
            <w:r w:rsidRPr="00295E71">
              <w:rPr>
                <w:sz w:val="22"/>
                <w:szCs w:val="22"/>
                <w:vertAlign w:val="superscript"/>
                <w:lang w:val="it-IT"/>
              </w:rPr>
              <w:t>*</w:t>
            </w:r>
            <w:r w:rsidRPr="00295E71">
              <w:rPr>
                <w:sz w:val="22"/>
                <w:szCs w:val="22"/>
                <w:lang w:val="it-IT"/>
              </w:rPr>
              <w:tab/>
              <w:t>p&lt;0,001</w:t>
            </w:r>
          </w:p>
          <w:p w:rsidR="006224C2" w:rsidRPr="00295E71" w14:paraId="45FA690B" w14:textId="77777777">
            <w:pPr>
              <w:pStyle w:val="TableText"/>
              <w:spacing w:line="240" w:lineRule="exact"/>
              <w:rPr>
                <w:sz w:val="22"/>
                <w:szCs w:val="22"/>
                <w:lang w:val="it-IT"/>
              </w:rPr>
            </w:pPr>
            <w:r w:rsidRPr="00295E71">
              <w:rPr>
                <w:sz w:val="22"/>
                <w:szCs w:val="22"/>
                <w:vertAlign w:val="superscript"/>
                <w:lang w:val="it-IT"/>
              </w:rPr>
              <w:t>**</w:t>
            </w:r>
            <w:r w:rsidRPr="00295E71">
              <w:rPr>
                <w:sz w:val="22"/>
                <w:szCs w:val="22"/>
                <w:lang w:val="it-IT"/>
              </w:rPr>
              <w:tab/>
              <w:t>p&lt;0,01</w:t>
            </w:r>
          </w:p>
        </w:tc>
      </w:tr>
    </w:tbl>
    <w:p w:rsidR="006224C2" w:rsidRPr="00295E71" w14:paraId="3DEDFD1B" w14:textId="77777777">
      <w:pPr>
        <w:pStyle w:val="EMEANormal"/>
        <w:rPr>
          <w:lang w:val="it-IT"/>
        </w:rPr>
      </w:pPr>
    </w:p>
    <w:p w:rsidR="006224C2" w:rsidRPr="00295E71" w14:paraId="6E13C3B5" w14:textId="77777777">
      <w:pPr>
        <w:pStyle w:val="EMEANormal"/>
        <w:jc w:val="both"/>
        <w:rPr>
          <w:lang w:val="it-IT"/>
        </w:rPr>
      </w:pPr>
      <w:r w:rsidRPr="00295E71">
        <w:rPr>
          <w:lang w:val="it-IT"/>
        </w:rPr>
        <w:t>Percentuali di remissione simili sono state osservate nel gruppo trattato con la dose di induzione pari a 160/80 mg ed a 80/40 mg entro la settimana 8 e gli eventi avversi si sono manifestati più frequentemente nel gruppo trattato con il dosaggio pari a 160/80 mg.</w:t>
      </w:r>
    </w:p>
    <w:p w:rsidR="006224C2" w:rsidRPr="00295E71" w14:paraId="0747DADD" w14:textId="77777777">
      <w:pPr>
        <w:pStyle w:val="EMEANormal"/>
        <w:jc w:val="both"/>
        <w:rPr>
          <w:lang w:val="it-IT"/>
        </w:rPr>
      </w:pPr>
    </w:p>
    <w:p w:rsidR="006224C2" w:rsidRPr="00295E71" w14:paraId="6AA3F72C" w14:textId="77777777">
      <w:pPr>
        <w:rPr>
          <w:sz w:val="22"/>
          <w:szCs w:val="22"/>
        </w:rPr>
      </w:pPr>
      <w:r w:rsidRPr="00295E71">
        <w:rPr>
          <w:sz w:val="22"/>
          <w:szCs w:val="22"/>
        </w:rPr>
        <w:t xml:space="preserve">Nello studio CD III, alla settimana 4, il 58% (499/854) dei pazienti ha manifestato una risposta clinica ed è stato valutato nell’analisi primaria. Tra i pazienti che hanno manifestato una risposta clinica alla settimana 4, il 48% era stato esposto precedentemente a terapia con altri farmaci antagonisti del TNF. Le percentuali relative al mantenimento della remissione e della risposta clinica sono riportate nella Tabella </w:t>
      </w:r>
      <w:r w:rsidRPr="00295E71" w:rsidR="00DE0578">
        <w:rPr>
          <w:sz w:val="22"/>
          <w:szCs w:val="22"/>
        </w:rPr>
        <w:t>1</w:t>
      </w:r>
      <w:r w:rsidR="00800CE0">
        <w:rPr>
          <w:sz w:val="22"/>
          <w:szCs w:val="22"/>
        </w:rPr>
        <w:t>5</w:t>
      </w:r>
      <w:r w:rsidRPr="00295E71">
        <w:rPr>
          <w:sz w:val="22"/>
          <w:szCs w:val="22"/>
        </w:rPr>
        <w:t>. I risultati relativi alla remissione clinica sono rimasti relativamente costanti a prescindere dall’esposizione precedente a farmaci anti-TNF.</w:t>
      </w:r>
    </w:p>
    <w:p w:rsidR="006224C2" w:rsidRPr="00295E71" w14:paraId="2F4E373D" w14:textId="77777777">
      <w:pPr>
        <w:pStyle w:val="EMEANormal"/>
        <w:jc w:val="both"/>
        <w:rPr>
          <w:lang w:val="it-IT"/>
        </w:rPr>
      </w:pPr>
    </w:p>
    <w:p w:rsidR="006224C2" w:rsidRPr="00295E71" w14:paraId="66A9FA59" w14:textId="77777777">
      <w:pPr>
        <w:pStyle w:val="EMEANormal"/>
        <w:jc w:val="both"/>
        <w:rPr>
          <w:lang w:val="it-IT"/>
        </w:rPr>
      </w:pPr>
      <w:r w:rsidRPr="00295E71">
        <w:rPr>
          <w:lang w:val="it-IT"/>
        </w:rPr>
        <w:t>Alla settimana 56 il ricovero ospedaliero correlato alla malattia e gli interventi chirurgici erano statisticamente significativamente ridotti con adalimumab rispetto al placebo.</w:t>
      </w:r>
    </w:p>
    <w:p w:rsidR="006224C2" w:rsidRPr="00295E71" w14:paraId="21F60459" w14:textId="77777777">
      <w:pPr>
        <w:keepNext/>
        <w:rPr>
          <w:sz w:val="22"/>
          <w:szCs w:val="22"/>
        </w:rPr>
      </w:pPr>
    </w:p>
    <w:tbl>
      <w:tblPr>
        <w:tblW w:w="0" w:type="auto"/>
        <w:tblLook w:val="0000"/>
      </w:tblPr>
      <w:tblGrid>
        <w:gridCol w:w="3644"/>
        <w:gridCol w:w="1713"/>
        <w:gridCol w:w="1889"/>
        <w:gridCol w:w="1824"/>
      </w:tblGrid>
      <w:tr w14:paraId="2DBEAFF5" w14:textId="77777777" w:rsidTr="00F57FE5">
        <w:tblPrEx>
          <w:tblW w:w="0" w:type="auto"/>
          <w:tblLook w:val="0000"/>
        </w:tblPrEx>
        <w:tc>
          <w:tcPr>
            <w:tcW w:w="9286" w:type="dxa"/>
            <w:gridSpan w:val="4"/>
            <w:tcBorders>
              <w:bottom w:val="single" w:sz="4" w:space="0" w:color="auto"/>
            </w:tcBorders>
          </w:tcPr>
          <w:p w:rsidR="006224C2" w:rsidRPr="00295E71" w14:paraId="76117FE7" w14:textId="77777777">
            <w:pPr>
              <w:pStyle w:val="TableText"/>
              <w:spacing w:line="240" w:lineRule="exact"/>
              <w:jc w:val="center"/>
              <w:rPr>
                <w:b/>
                <w:bCs/>
                <w:sz w:val="22"/>
                <w:szCs w:val="22"/>
                <w:lang w:val="it-IT"/>
              </w:rPr>
            </w:pPr>
            <w:r w:rsidRPr="00295E71">
              <w:rPr>
                <w:sz w:val="22"/>
                <w:szCs w:val="22"/>
                <w:lang w:val="it-IT"/>
              </w:rPr>
              <w:br w:type="page"/>
            </w:r>
            <w:r w:rsidRPr="00295E71">
              <w:rPr>
                <w:b/>
                <w:bCs/>
                <w:sz w:val="22"/>
                <w:szCs w:val="22"/>
                <w:lang w:val="it-IT"/>
              </w:rPr>
              <w:t xml:space="preserve">Tabella </w:t>
            </w:r>
            <w:r w:rsidRPr="00295E71" w:rsidR="00DE0578">
              <w:rPr>
                <w:b/>
                <w:bCs/>
                <w:sz w:val="22"/>
                <w:szCs w:val="22"/>
                <w:lang w:val="it-IT"/>
              </w:rPr>
              <w:t>1</w:t>
            </w:r>
            <w:r w:rsidR="00800CE0">
              <w:rPr>
                <w:b/>
                <w:bCs/>
                <w:sz w:val="22"/>
                <w:szCs w:val="22"/>
                <w:lang w:val="it-IT"/>
              </w:rPr>
              <w:t>5</w:t>
            </w:r>
          </w:p>
          <w:p w:rsidR="006224C2" w:rsidRPr="00295E71" w14:paraId="1864BC41" w14:textId="77777777">
            <w:pPr>
              <w:pStyle w:val="TableText"/>
              <w:spacing w:line="240" w:lineRule="exact"/>
              <w:jc w:val="center"/>
              <w:rPr>
                <w:b/>
                <w:bCs/>
                <w:sz w:val="22"/>
                <w:szCs w:val="22"/>
                <w:lang w:val="it-IT"/>
              </w:rPr>
            </w:pPr>
            <w:r w:rsidRPr="00295E71">
              <w:rPr>
                <w:b/>
                <w:bCs/>
                <w:sz w:val="22"/>
                <w:szCs w:val="22"/>
                <w:lang w:val="it-IT"/>
              </w:rPr>
              <w:t>Mantenimento della remissione e della risposta clinica</w:t>
            </w:r>
          </w:p>
          <w:p w:rsidR="006224C2" w:rsidRPr="00295E71" w14:paraId="6B96BC7D" w14:textId="77777777">
            <w:pPr>
              <w:pStyle w:val="TableText"/>
              <w:spacing w:line="240" w:lineRule="exact"/>
              <w:jc w:val="center"/>
              <w:rPr>
                <w:b/>
                <w:bCs/>
                <w:sz w:val="22"/>
                <w:szCs w:val="22"/>
                <w:lang w:val="it-IT"/>
              </w:rPr>
            </w:pPr>
            <w:r w:rsidRPr="00295E71">
              <w:rPr>
                <w:b/>
                <w:bCs/>
                <w:sz w:val="22"/>
                <w:szCs w:val="22"/>
                <w:lang w:val="it-IT"/>
              </w:rPr>
              <w:t>(percentuale di pazienti)</w:t>
            </w:r>
          </w:p>
          <w:p w:rsidR="006224C2" w:rsidRPr="00295E71" w14:paraId="10C9EE11" w14:textId="77777777">
            <w:pPr>
              <w:pStyle w:val="TableText"/>
              <w:spacing w:line="240" w:lineRule="exact"/>
              <w:jc w:val="center"/>
              <w:rPr>
                <w:sz w:val="22"/>
                <w:szCs w:val="22"/>
                <w:lang w:val="it-IT"/>
              </w:rPr>
            </w:pPr>
          </w:p>
        </w:tc>
      </w:tr>
      <w:tr w14:paraId="2476E7B9" w14:textId="77777777" w:rsidTr="00F57FE5">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0771232C" w14:textId="77777777">
            <w:pPr>
              <w:pStyle w:val="TableText"/>
              <w:spacing w:line="240" w:lineRule="exact"/>
              <w:rPr>
                <w:b/>
                <w:bCs/>
                <w:sz w:val="22"/>
                <w:szCs w:val="22"/>
                <w:lang w:val="it-IT"/>
              </w:rPr>
            </w:pPr>
          </w:p>
        </w:tc>
        <w:tc>
          <w:tcPr>
            <w:tcW w:w="1751" w:type="dxa"/>
            <w:tcBorders>
              <w:top w:val="single" w:sz="4" w:space="0" w:color="auto"/>
              <w:left w:val="single" w:sz="4" w:space="0" w:color="auto"/>
              <w:bottom w:val="single" w:sz="4" w:space="0" w:color="auto"/>
              <w:right w:val="single" w:sz="4" w:space="0" w:color="auto"/>
            </w:tcBorders>
          </w:tcPr>
          <w:p w:rsidR="006224C2" w:rsidRPr="00295E71" w14:paraId="1A5F084F" w14:textId="77777777">
            <w:pPr>
              <w:pStyle w:val="TableText"/>
              <w:spacing w:line="240" w:lineRule="exact"/>
              <w:jc w:val="center"/>
              <w:rPr>
                <w:b/>
                <w:bCs/>
                <w:sz w:val="22"/>
                <w:szCs w:val="22"/>
                <w:lang w:val="it-IT"/>
              </w:rPr>
            </w:pPr>
            <w:r w:rsidRPr="00295E71">
              <w:rPr>
                <w:b/>
                <w:bCs/>
                <w:sz w:val="22"/>
                <w:szCs w:val="22"/>
                <w:lang w:val="it-IT"/>
              </w:rPr>
              <w:t>Placebo</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4ACE7074" w14:textId="77777777">
            <w:pPr>
              <w:pStyle w:val="TableText"/>
              <w:spacing w:line="240" w:lineRule="exact"/>
              <w:jc w:val="center"/>
              <w:rPr>
                <w:b/>
                <w:bCs/>
                <w:sz w:val="22"/>
                <w:szCs w:val="22"/>
                <w:lang w:val="it-IT"/>
              </w:rPr>
            </w:pPr>
            <w:r w:rsidRPr="00295E71">
              <w:rPr>
                <w:b/>
                <w:bCs/>
                <w:sz w:val="22"/>
                <w:szCs w:val="22"/>
                <w:lang w:val="it-IT"/>
              </w:rPr>
              <w:t>40 mg Humira</w:t>
            </w:r>
            <w:r w:rsidRPr="00295E71">
              <w:rPr>
                <w:b/>
                <w:bCs/>
                <w:sz w:val="22"/>
                <w:szCs w:val="22"/>
                <w:lang w:val="it-IT"/>
              </w:rPr>
              <w:br/>
              <w:t>a settimane alterne</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6CBCDCFE" w14:textId="77777777">
            <w:pPr>
              <w:pStyle w:val="TableText"/>
              <w:spacing w:line="240" w:lineRule="exact"/>
              <w:jc w:val="center"/>
              <w:rPr>
                <w:b/>
                <w:bCs/>
                <w:sz w:val="22"/>
                <w:szCs w:val="22"/>
                <w:lang w:val="it-IT"/>
              </w:rPr>
            </w:pPr>
            <w:r w:rsidRPr="00295E71">
              <w:rPr>
                <w:b/>
                <w:bCs/>
                <w:sz w:val="22"/>
                <w:szCs w:val="22"/>
                <w:lang w:val="it-IT"/>
              </w:rPr>
              <w:t>40 mg Humira</w:t>
            </w:r>
            <w:r w:rsidRPr="00295E71">
              <w:rPr>
                <w:b/>
                <w:bCs/>
                <w:sz w:val="22"/>
                <w:szCs w:val="22"/>
                <w:lang w:val="it-IT"/>
              </w:rPr>
              <w:br/>
              <w:t>ogni settimana</w:t>
            </w:r>
          </w:p>
        </w:tc>
      </w:tr>
      <w:tr w14:paraId="4E2C5FD1" w14:textId="77777777" w:rsidTr="00F57FE5">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00A469F8" w14:textId="77777777">
            <w:pPr>
              <w:pStyle w:val="TableText"/>
              <w:spacing w:line="240" w:lineRule="exact"/>
              <w:rPr>
                <w:b/>
                <w:bCs/>
                <w:sz w:val="22"/>
                <w:szCs w:val="22"/>
                <w:lang w:val="it-IT"/>
              </w:rPr>
            </w:pPr>
            <w:r w:rsidRPr="00295E71">
              <w:rPr>
                <w:b/>
                <w:bCs/>
                <w:sz w:val="22"/>
                <w:szCs w:val="22"/>
                <w:lang w:val="it-IT"/>
              </w:rPr>
              <w:t>Settimana 26</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3E8206B1" w14:textId="77777777">
            <w:pPr>
              <w:pStyle w:val="TableText"/>
              <w:spacing w:line="240" w:lineRule="exact"/>
              <w:jc w:val="center"/>
              <w:rPr>
                <w:b/>
                <w:bCs/>
                <w:sz w:val="22"/>
                <w:szCs w:val="22"/>
                <w:lang w:val="it-IT"/>
              </w:rPr>
            </w:pPr>
            <w:r w:rsidRPr="00295E71">
              <w:rPr>
                <w:b/>
                <w:bCs/>
                <w:sz w:val="22"/>
                <w:szCs w:val="22"/>
                <w:lang w:val="it-IT"/>
              </w:rPr>
              <w:t>N=170</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1D47859A" w14:textId="77777777">
            <w:pPr>
              <w:pStyle w:val="TableText"/>
              <w:spacing w:line="240" w:lineRule="exact"/>
              <w:jc w:val="center"/>
              <w:rPr>
                <w:b/>
                <w:bCs/>
                <w:sz w:val="22"/>
                <w:szCs w:val="22"/>
                <w:lang w:val="it-IT"/>
              </w:rPr>
            </w:pPr>
            <w:r w:rsidRPr="00295E71">
              <w:rPr>
                <w:b/>
                <w:bCs/>
                <w:sz w:val="22"/>
                <w:szCs w:val="22"/>
                <w:lang w:val="it-IT"/>
              </w:rPr>
              <w:t>N=172</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5BDD26F5" w14:textId="77777777">
            <w:pPr>
              <w:pStyle w:val="TableText"/>
              <w:spacing w:line="240" w:lineRule="exact"/>
              <w:jc w:val="center"/>
              <w:rPr>
                <w:b/>
                <w:bCs/>
                <w:sz w:val="22"/>
                <w:szCs w:val="22"/>
                <w:lang w:val="it-IT"/>
              </w:rPr>
            </w:pPr>
            <w:r w:rsidRPr="00295E71">
              <w:rPr>
                <w:b/>
                <w:bCs/>
                <w:sz w:val="22"/>
                <w:szCs w:val="22"/>
                <w:lang w:val="it-IT"/>
              </w:rPr>
              <w:t>N=157</w:t>
            </w:r>
          </w:p>
        </w:tc>
      </w:tr>
      <w:tr w14:paraId="4E17C8C2" w14:textId="77777777" w:rsidTr="00F57FE5">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1764B476" w14:textId="77777777">
            <w:pPr>
              <w:pStyle w:val="TableText"/>
              <w:spacing w:line="240" w:lineRule="exact"/>
              <w:rPr>
                <w:sz w:val="22"/>
                <w:szCs w:val="22"/>
                <w:lang w:val="it-IT"/>
              </w:rPr>
            </w:pPr>
            <w:r w:rsidRPr="00295E71">
              <w:rPr>
                <w:sz w:val="22"/>
                <w:szCs w:val="22"/>
                <w:lang w:val="it-IT"/>
              </w:rPr>
              <w:t>Remissione clinica</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0D6BDD0D" w14:textId="77777777">
            <w:pPr>
              <w:pStyle w:val="TableText"/>
              <w:spacing w:line="240" w:lineRule="exact"/>
              <w:jc w:val="center"/>
              <w:rPr>
                <w:sz w:val="22"/>
                <w:szCs w:val="22"/>
                <w:lang w:val="it-IT"/>
              </w:rPr>
            </w:pPr>
            <w:r w:rsidRPr="00295E71">
              <w:rPr>
                <w:sz w:val="22"/>
                <w:szCs w:val="22"/>
                <w:lang w:val="it-IT"/>
              </w:rPr>
              <w:t>17%</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7E0BE874" w14:textId="77777777">
            <w:pPr>
              <w:pStyle w:val="TableText"/>
              <w:spacing w:line="240" w:lineRule="exact"/>
              <w:jc w:val="center"/>
              <w:rPr>
                <w:sz w:val="22"/>
                <w:szCs w:val="22"/>
                <w:lang w:val="it-IT"/>
              </w:rPr>
            </w:pPr>
            <w:r w:rsidRPr="00295E71">
              <w:rPr>
                <w:sz w:val="22"/>
                <w:szCs w:val="22"/>
                <w:lang w:val="it-IT"/>
              </w:rPr>
              <w:t>40%*</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29E194D7" w14:textId="77777777">
            <w:pPr>
              <w:pStyle w:val="TableText"/>
              <w:spacing w:line="240" w:lineRule="exact"/>
              <w:jc w:val="center"/>
              <w:rPr>
                <w:sz w:val="22"/>
                <w:szCs w:val="22"/>
                <w:lang w:val="it-IT"/>
              </w:rPr>
            </w:pPr>
            <w:r w:rsidRPr="00295E71">
              <w:rPr>
                <w:sz w:val="22"/>
                <w:szCs w:val="22"/>
                <w:lang w:val="it-IT"/>
              </w:rPr>
              <w:t>47%*</w:t>
            </w:r>
          </w:p>
        </w:tc>
      </w:tr>
      <w:tr w14:paraId="42708AB9" w14:textId="77777777" w:rsidTr="00F57FE5">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017D8D5A" w14:textId="77777777">
            <w:pPr>
              <w:pStyle w:val="TableText"/>
              <w:spacing w:line="240" w:lineRule="exact"/>
              <w:rPr>
                <w:sz w:val="22"/>
                <w:szCs w:val="22"/>
                <w:lang w:val="it-IT"/>
              </w:rPr>
            </w:pPr>
            <w:r w:rsidRPr="00295E71">
              <w:rPr>
                <w:sz w:val="22"/>
                <w:szCs w:val="22"/>
                <w:lang w:val="it-IT"/>
              </w:rPr>
              <w:t>Risposta clinica (CR-100)</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48A46520" w14:textId="77777777">
            <w:pPr>
              <w:pStyle w:val="TableText"/>
              <w:spacing w:line="240" w:lineRule="exact"/>
              <w:jc w:val="center"/>
              <w:rPr>
                <w:sz w:val="22"/>
                <w:szCs w:val="22"/>
                <w:lang w:val="it-IT"/>
              </w:rPr>
            </w:pPr>
            <w:r w:rsidRPr="00295E71">
              <w:rPr>
                <w:sz w:val="22"/>
                <w:szCs w:val="22"/>
                <w:lang w:val="it-IT"/>
              </w:rPr>
              <w:t>27%</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65C855A4" w14:textId="77777777">
            <w:pPr>
              <w:pStyle w:val="TableText"/>
              <w:spacing w:line="240" w:lineRule="exact"/>
              <w:jc w:val="center"/>
              <w:rPr>
                <w:sz w:val="22"/>
                <w:szCs w:val="22"/>
                <w:lang w:val="it-IT"/>
              </w:rPr>
            </w:pPr>
            <w:r w:rsidRPr="00295E71">
              <w:rPr>
                <w:sz w:val="22"/>
                <w:szCs w:val="22"/>
                <w:lang w:val="it-IT"/>
              </w:rPr>
              <w:t>52%*</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518A51CA" w14:textId="77777777">
            <w:pPr>
              <w:pStyle w:val="TableText"/>
              <w:spacing w:line="240" w:lineRule="exact"/>
              <w:jc w:val="center"/>
              <w:rPr>
                <w:sz w:val="22"/>
                <w:szCs w:val="22"/>
                <w:lang w:val="it-IT"/>
              </w:rPr>
            </w:pPr>
            <w:r w:rsidRPr="00295E71">
              <w:rPr>
                <w:sz w:val="22"/>
                <w:szCs w:val="22"/>
                <w:lang w:val="it-IT"/>
              </w:rPr>
              <w:t>52%*</w:t>
            </w:r>
          </w:p>
        </w:tc>
      </w:tr>
      <w:tr w14:paraId="148ED18A" w14:textId="77777777" w:rsidTr="00F57FE5">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7286BAF6" w14:textId="77777777">
            <w:pPr>
              <w:pStyle w:val="TableText"/>
              <w:spacing w:line="240" w:lineRule="exact"/>
              <w:ind w:left="360"/>
              <w:rPr>
                <w:sz w:val="22"/>
                <w:szCs w:val="22"/>
                <w:lang w:val="it-IT"/>
              </w:rPr>
            </w:pPr>
            <w:r w:rsidRPr="00295E71">
              <w:rPr>
                <w:sz w:val="22"/>
                <w:szCs w:val="22"/>
                <w:lang w:val="it-IT"/>
              </w:rPr>
              <w:t xml:space="preserve">Pazienti in remissione senza trattamento steroideo </w:t>
            </w:r>
            <w:r w:rsidRPr="00295E71">
              <w:rPr>
                <w:sz w:val="22"/>
                <w:szCs w:val="22"/>
                <w:lang w:val="it-IT"/>
              </w:rPr>
              <w:br/>
              <w:t>per &gt;=90 giorni</w:t>
            </w:r>
            <w:r w:rsidRPr="00295E71">
              <w:rPr>
                <w:sz w:val="22"/>
                <w:szCs w:val="22"/>
                <w:vertAlign w:val="superscript"/>
                <w:lang w:val="it-IT"/>
              </w:rPr>
              <w:t>a</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35BF74D1" w14:textId="77777777">
            <w:pPr>
              <w:pStyle w:val="TableText"/>
              <w:spacing w:line="240" w:lineRule="exact"/>
              <w:jc w:val="center"/>
              <w:rPr>
                <w:sz w:val="22"/>
                <w:szCs w:val="22"/>
                <w:lang w:val="it-IT"/>
              </w:rPr>
            </w:pPr>
            <w:r w:rsidRPr="00295E71">
              <w:rPr>
                <w:sz w:val="22"/>
                <w:szCs w:val="22"/>
                <w:lang w:val="it-IT"/>
              </w:rPr>
              <w:t>3% (2/66)</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0CF13CBD" w14:textId="77777777">
            <w:pPr>
              <w:pStyle w:val="TableText"/>
              <w:spacing w:line="240" w:lineRule="exact"/>
              <w:jc w:val="center"/>
              <w:rPr>
                <w:sz w:val="22"/>
                <w:szCs w:val="22"/>
                <w:lang w:val="it-IT"/>
              </w:rPr>
            </w:pPr>
            <w:r w:rsidRPr="00295E71">
              <w:rPr>
                <w:sz w:val="22"/>
                <w:szCs w:val="22"/>
                <w:lang w:val="it-IT"/>
              </w:rPr>
              <w:t>19% (11/58)**</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1DB3C4BA" w14:textId="77777777">
            <w:pPr>
              <w:pStyle w:val="TableText"/>
              <w:spacing w:line="240" w:lineRule="exact"/>
              <w:jc w:val="center"/>
              <w:rPr>
                <w:sz w:val="22"/>
                <w:szCs w:val="22"/>
                <w:lang w:val="it-IT"/>
              </w:rPr>
            </w:pPr>
            <w:r w:rsidRPr="00295E71">
              <w:rPr>
                <w:sz w:val="22"/>
                <w:szCs w:val="22"/>
                <w:lang w:val="it-IT"/>
              </w:rPr>
              <w:t>15% (11/74)**</w:t>
            </w:r>
          </w:p>
        </w:tc>
      </w:tr>
      <w:tr w14:paraId="2DCBA204" w14:textId="77777777" w:rsidTr="00F57FE5">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460956ED" w14:textId="77777777">
            <w:pPr>
              <w:pStyle w:val="TableText"/>
              <w:spacing w:line="240" w:lineRule="exact"/>
              <w:rPr>
                <w:b/>
                <w:bCs/>
                <w:sz w:val="22"/>
                <w:szCs w:val="22"/>
                <w:lang w:val="it-IT"/>
              </w:rPr>
            </w:pPr>
            <w:r w:rsidRPr="00295E71">
              <w:rPr>
                <w:b/>
                <w:bCs/>
                <w:sz w:val="22"/>
                <w:szCs w:val="22"/>
                <w:lang w:val="it-IT"/>
              </w:rPr>
              <w:t>Settimana 56</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6F5899FC" w14:textId="77777777">
            <w:pPr>
              <w:pStyle w:val="TableText"/>
              <w:spacing w:line="240" w:lineRule="exact"/>
              <w:jc w:val="center"/>
              <w:rPr>
                <w:b/>
                <w:bCs/>
                <w:sz w:val="22"/>
                <w:szCs w:val="22"/>
                <w:lang w:val="it-IT"/>
              </w:rPr>
            </w:pPr>
            <w:r w:rsidRPr="00295E71">
              <w:rPr>
                <w:b/>
                <w:bCs/>
                <w:sz w:val="22"/>
                <w:szCs w:val="22"/>
                <w:lang w:val="it-IT"/>
              </w:rPr>
              <w:t>N=170</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35185B39" w14:textId="77777777">
            <w:pPr>
              <w:pStyle w:val="TableText"/>
              <w:spacing w:line="240" w:lineRule="exact"/>
              <w:jc w:val="center"/>
              <w:rPr>
                <w:b/>
                <w:bCs/>
                <w:sz w:val="22"/>
                <w:szCs w:val="22"/>
                <w:lang w:val="it-IT"/>
              </w:rPr>
            </w:pPr>
            <w:r w:rsidRPr="00295E71">
              <w:rPr>
                <w:b/>
                <w:bCs/>
                <w:sz w:val="22"/>
                <w:szCs w:val="22"/>
                <w:lang w:val="it-IT"/>
              </w:rPr>
              <w:t>N=172</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02706B28" w14:textId="77777777">
            <w:pPr>
              <w:pStyle w:val="TableText"/>
              <w:spacing w:line="240" w:lineRule="exact"/>
              <w:jc w:val="center"/>
              <w:rPr>
                <w:b/>
                <w:bCs/>
                <w:sz w:val="22"/>
                <w:szCs w:val="22"/>
                <w:lang w:val="it-IT"/>
              </w:rPr>
            </w:pPr>
            <w:r w:rsidRPr="00295E71">
              <w:rPr>
                <w:b/>
                <w:bCs/>
                <w:sz w:val="22"/>
                <w:szCs w:val="22"/>
                <w:lang w:val="it-IT"/>
              </w:rPr>
              <w:t>N=157</w:t>
            </w:r>
          </w:p>
        </w:tc>
      </w:tr>
      <w:tr w14:paraId="682297C2" w14:textId="77777777" w:rsidTr="00F57FE5">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78134E0A" w14:textId="77777777">
            <w:pPr>
              <w:pStyle w:val="TableText"/>
              <w:spacing w:line="240" w:lineRule="exact"/>
              <w:rPr>
                <w:sz w:val="22"/>
                <w:szCs w:val="22"/>
                <w:lang w:val="it-IT"/>
              </w:rPr>
            </w:pPr>
            <w:r w:rsidRPr="00295E71">
              <w:rPr>
                <w:sz w:val="22"/>
                <w:szCs w:val="22"/>
                <w:lang w:val="it-IT"/>
              </w:rPr>
              <w:t xml:space="preserve">Remissione clinica </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17A5DDA1" w14:textId="77777777">
            <w:pPr>
              <w:pStyle w:val="TableText"/>
              <w:spacing w:line="240" w:lineRule="exact"/>
              <w:jc w:val="center"/>
              <w:rPr>
                <w:sz w:val="22"/>
                <w:szCs w:val="22"/>
                <w:lang w:val="it-IT"/>
              </w:rPr>
            </w:pPr>
            <w:r w:rsidRPr="00295E71">
              <w:rPr>
                <w:sz w:val="22"/>
                <w:szCs w:val="22"/>
                <w:lang w:val="it-IT"/>
              </w:rPr>
              <w:t>12%</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5134370A" w14:textId="77777777">
            <w:pPr>
              <w:pStyle w:val="TableText"/>
              <w:spacing w:line="240" w:lineRule="exact"/>
              <w:jc w:val="center"/>
              <w:rPr>
                <w:sz w:val="22"/>
                <w:szCs w:val="22"/>
                <w:lang w:val="it-IT"/>
              </w:rPr>
            </w:pPr>
            <w:r w:rsidRPr="00295E71">
              <w:rPr>
                <w:sz w:val="22"/>
                <w:szCs w:val="22"/>
                <w:lang w:val="it-IT"/>
              </w:rPr>
              <w:t>36%*</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5B305465" w14:textId="77777777">
            <w:pPr>
              <w:pStyle w:val="TableText"/>
              <w:spacing w:line="240" w:lineRule="exact"/>
              <w:jc w:val="center"/>
              <w:rPr>
                <w:sz w:val="22"/>
                <w:szCs w:val="22"/>
                <w:lang w:val="it-IT"/>
              </w:rPr>
            </w:pPr>
            <w:r w:rsidRPr="00295E71">
              <w:rPr>
                <w:sz w:val="22"/>
                <w:szCs w:val="22"/>
                <w:lang w:val="it-IT"/>
              </w:rPr>
              <w:t>41%*</w:t>
            </w:r>
          </w:p>
        </w:tc>
      </w:tr>
      <w:tr w14:paraId="2BF5D7E9" w14:textId="77777777" w:rsidTr="00F57FE5">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14:paraId="1224CAFD" w14:textId="77777777">
            <w:pPr>
              <w:pStyle w:val="TableText"/>
              <w:spacing w:line="240" w:lineRule="exact"/>
              <w:rPr>
                <w:sz w:val="22"/>
                <w:szCs w:val="22"/>
                <w:lang w:val="it-IT"/>
              </w:rPr>
            </w:pPr>
            <w:r w:rsidRPr="00295E71">
              <w:rPr>
                <w:sz w:val="22"/>
                <w:szCs w:val="22"/>
                <w:lang w:val="it-IT"/>
              </w:rPr>
              <w:t>Risposta clinica (CR-100)</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288C19C3" w14:textId="77777777">
            <w:pPr>
              <w:pStyle w:val="TableText"/>
              <w:spacing w:line="240" w:lineRule="exact"/>
              <w:jc w:val="center"/>
              <w:rPr>
                <w:sz w:val="22"/>
                <w:szCs w:val="22"/>
                <w:lang w:val="it-IT"/>
              </w:rPr>
            </w:pPr>
            <w:r w:rsidRPr="00295E71">
              <w:rPr>
                <w:sz w:val="22"/>
                <w:szCs w:val="22"/>
                <w:lang w:val="it-IT"/>
              </w:rPr>
              <w:t>17%</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21C51D1E" w14:textId="77777777">
            <w:pPr>
              <w:pStyle w:val="TableText"/>
              <w:spacing w:line="240" w:lineRule="exact"/>
              <w:jc w:val="center"/>
              <w:rPr>
                <w:sz w:val="22"/>
                <w:szCs w:val="22"/>
                <w:lang w:val="it-IT"/>
              </w:rPr>
            </w:pPr>
            <w:r w:rsidRPr="00295E71">
              <w:rPr>
                <w:sz w:val="22"/>
                <w:szCs w:val="22"/>
                <w:lang w:val="it-IT"/>
              </w:rPr>
              <w:t>41%*</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21FAC21F" w14:textId="77777777">
            <w:pPr>
              <w:pStyle w:val="TableText"/>
              <w:spacing w:line="240" w:lineRule="exact"/>
              <w:jc w:val="center"/>
              <w:rPr>
                <w:sz w:val="22"/>
                <w:szCs w:val="22"/>
                <w:lang w:val="it-IT"/>
              </w:rPr>
            </w:pPr>
            <w:r w:rsidRPr="00295E71">
              <w:rPr>
                <w:sz w:val="22"/>
                <w:szCs w:val="22"/>
                <w:lang w:val="it-IT"/>
              </w:rPr>
              <w:t>48%*</w:t>
            </w:r>
          </w:p>
        </w:tc>
      </w:tr>
      <w:tr w14:paraId="53BBC264" w14:textId="77777777" w:rsidTr="00F57FE5">
        <w:tblPrEx>
          <w:tblW w:w="0" w:type="auto"/>
          <w:tblLook w:val="0000"/>
        </w:tblPrEx>
        <w:tc>
          <w:tcPr>
            <w:tcW w:w="3748" w:type="dxa"/>
            <w:tcBorders>
              <w:top w:val="single" w:sz="4" w:space="0" w:color="auto"/>
              <w:left w:val="single" w:sz="4" w:space="0" w:color="auto"/>
              <w:bottom w:val="single" w:sz="4" w:space="0" w:color="auto"/>
              <w:right w:val="single" w:sz="4" w:space="0" w:color="auto"/>
            </w:tcBorders>
          </w:tcPr>
          <w:p w:rsidR="006224C2" w:rsidRPr="00295E71" w:rsidP="000B152B" w14:paraId="1168C569" w14:textId="77777777">
            <w:pPr>
              <w:pStyle w:val="TableText"/>
              <w:spacing w:line="240" w:lineRule="exact"/>
              <w:ind w:left="360"/>
              <w:rPr>
                <w:sz w:val="22"/>
                <w:szCs w:val="22"/>
                <w:lang w:val="it-IT"/>
              </w:rPr>
            </w:pPr>
            <w:r w:rsidRPr="00295E71">
              <w:rPr>
                <w:sz w:val="22"/>
                <w:szCs w:val="22"/>
                <w:lang w:val="it-IT"/>
              </w:rPr>
              <w:t xml:space="preserve">Pazienti in remissione senza trattamento steroideo </w:t>
            </w:r>
            <w:r w:rsidRPr="00295E71">
              <w:rPr>
                <w:sz w:val="22"/>
                <w:szCs w:val="22"/>
                <w:lang w:val="it-IT"/>
              </w:rPr>
              <w:br/>
            </w:r>
            <w:r w:rsidRPr="00295E71" w:rsidR="000B152B">
              <w:rPr>
                <w:sz w:val="22"/>
                <w:szCs w:val="22"/>
                <w:lang w:val="it-IT"/>
              </w:rPr>
              <w:t xml:space="preserve">per </w:t>
            </w:r>
            <w:r w:rsidRPr="00295E71">
              <w:rPr>
                <w:sz w:val="22"/>
                <w:szCs w:val="22"/>
                <w:lang w:val="it-IT"/>
              </w:rPr>
              <w:t>&gt;=90 giorni</w:t>
            </w:r>
            <w:r w:rsidRPr="00295E71">
              <w:rPr>
                <w:sz w:val="22"/>
                <w:szCs w:val="22"/>
                <w:vertAlign w:val="superscript"/>
                <w:lang w:val="it-IT"/>
              </w:rPr>
              <w:t>a</w:t>
            </w:r>
          </w:p>
        </w:tc>
        <w:tc>
          <w:tcPr>
            <w:tcW w:w="1751" w:type="dxa"/>
            <w:tcBorders>
              <w:top w:val="single" w:sz="4" w:space="0" w:color="auto"/>
              <w:left w:val="single" w:sz="4" w:space="0" w:color="auto"/>
              <w:bottom w:val="single" w:sz="4" w:space="0" w:color="auto"/>
              <w:right w:val="single" w:sz="4" w:space="0" w:color="auto"/>
            </w:tcBorders>
          </w:tcPr>
          <w:p w:rsidR="006224C2" w:rsidRPr="00295E71" w14:paraId="7B6A16B9" w14:textId="77777777">
            <w:pPr>
              <w:pStyle w:val="TableText"/>
              <w:spacing w:line="240" w:lineRule="exact"/>
              <w:jc w:val="center"/>
              <w:rPr>
                <w:sz w:val="22"/>
                <w:szCs w:val="22"/>
                <w:lang w:val="it-IT"/>
              </w:rPr>
            </w:pPr>
            <w:r w:rsidRPr="00295E71">
              <w:rPr>
                <w:sz w:val="22"/>
                <w:szCs w:val="22"/>
                <w:lang w:val="it-IT"/>
              </w:rPr>
              <w:t>5% (3/66)</w:t>
            </w:r>
          </w:p>
        </w:tc>
        <w:tc>
          <w:tcPr>
            <w:tcW w:w="1928" w:type="dxa"/>
            <w:tcBorders>
              <w:top w:val="single" w:sz="4" w:space="0" w:color="auto"/>
              <w:left w:val="single" w:sz="4" w:space="0" w:color="auto"/>
              <w:bottom w:val="single" w:sz="4" w:space="0" w:color="auto"/>
              <w:right w:val="single" w:sz="4" w:space="0" w:color="auto"/>
            </w:tcBorders>
          </w:tcPr>
          <w:p w:rsidR="006224C2" w:rsidRPr="00295E71" w14:paraId="2FF69F49" w14:textId="77777777">
            <w:pPr>
              <w:pStyle w:val="TableText"/>
              <w:spacing w:line="240" w:lineRule="exact"/>
              <w:jc w:val="center"/>
              <w:rPr>
                <w:sz w:val="22"/>
                <w:szCs w:val="22"/>
                <w:lang w:val="it-IT"/>
              </w:rPr>
            </w:pPr>
            <w:r w:rsidRPr="00295E71">
              <w:rPr>
                <w:sz w:val="22"/>
                <w:szCs w:val="22"/>
                <w:lang w:val="it-IT"/>
              </w:rPr>
              <w:t>29% (17/58)*</w:t>
            </w:r>
          </w:p>
        </w:tc>
        <w:tc>
          <w:tcPr>
            <w:tcW w:w="1859" w:type="dxa"/>
            <w:tcBorders>
              <w:top w:val="single" w:sz="4" w:space="0" w:color="auto"/>
              <w:left w:val="single" w:sz="4" w:space="0" w:color="auto"/>
              <w:bottom w:val="single" w:sz="4" w:space="0" w:color="auto"/>
              <w:right w:val="single" w:sz="4" w:space="0" w:color="auto"/>
            </w:tcBorders>
          </w:tcPr>
          <w:p w:rsidR="006224C2" w:rsidRPr="00295E71" w14:paraId="23497289" w14:textId="77777777">
            <w:pPr>
              <w:pStyle w:val="TableText"/>
              <w:spacing w:line="240" w:lineRule="exact"/>
              <w:jc w:val="center"/>
              <w:rPr>
                <w:sz w:val="22"/>
                <w:szCs w:val="22"/>
                <w:lang w:val="it-IT"/>
              </w:rPr>
            </w:pPr>
            <w:r w:rsidRPr="00295E71">
              <w:rPr>
                <w:sz w:val="22"/>
                <w:szCs w:val="22"/>
                <w:lang w:val="it-IT"/>
              </w:rPr>
              <w:t>20% (15/74)**</w:t>
            </w:r>
          </w:p>
        </w:tc>
      </w:tr>
      <w:tr w14:paraId="3DC9D2AC" w14:textId="77777777" w:rsidTr="00F57FE5">
        <w:tblPrEx>
          <w:tblW w:w="0" w:type="auto"/>
          <w:tblLook w:val="0000"/>
        </w:tblPrEx>
        <w:tc>
          <w:tcPr>
            <w:tcW w:w="9286" w:type="dxa"/>
            <w:gridSpan w:val="4"/>
            <w:tcBorders>
              <w:top w:val="single" w:sz="4" w:space="0" w:color="auto"/>
            </w:tcBorders>
          </w:tcPr>
          <w:p w:rsidR="006224C2" w:rsidRPr="00295E71" w14:paraId="651D6140" w14:textId="77777777">
            <w:pPr>
              <w:pStyle w:val="TableText"/>
              <w:spacing w:line="240" w:lineRule="exact"/>
              <w:rPr>
                <w:sz w:val="22"/>
                <w:szCs w:val="22"/>
                <w:lang w:val="it-IT"/>
              </w:rPr>
            </w:pPr>
            <w:r w:rsidRPr="00295E71">
              <w:rPr>
                <w:sz w:val="22"/>
                <w:szCs w:val="22"/>
                <w:lang w:val="it-IT"/>
              </w:rPr>
              <w:t>*</w:t>
            </w:r>
            <w:r w:rsidRPr="00295E71">
              <w:rPr>
                <w:sz w:val="22"/>
                <w:szCs w:val="22"/>
                <w:lang w:val="it-IT"/>
              </w:rPr>
              <w:tab/>
              <w:t xml:space="preserve">p&lt;0,001 per confronti a coppie delle percentuali Humira verso placebo </w:t>
            </w:r>
          </w:p>
          <w:p w:rsidR="006224C2" w:rsidRPr="00295E71" w14:paraId="3328B5CF" w14:textId="77777777">
            <w:pPr>
              <w:pStyle w:val="TableText"/>
              <w:spacing w:line="240" w:lineRule="exact"/>
              <w:rPr>
                <w:sz w:val="22"/>
                <w:szCs w:val="22"/>
                <w:lang w:val="it-IT"/>
              </w:rPr>
            </w:pPr>
            <w:r w:rsidRPr="00295E71">
              <w:rPr>
                <w:sz w:val="22"/>
                <w:szCs w:val="22"/>
                <w:lang w:val="it-IT"/>
              </w:rPr>
              <w:t>**</w:t>
            </w:r>
            <w:r w:rsidRPr="00295E71">
              <w:rPr>
                <w:sz w:val="22"/>
                <w:szCs w:val="22"/>
                <w:lang w:val="it-IT"/>
              </w:rPr>
              <w:tab/>
              <w:t xml:space="preserve">p&lt;0,02 per confronti a coppie delle percentuali Humira verso placebo </w:t>
            </w:r>
          </w:p>
          <w:p w:rsidR="006224C2" w:rsidRPr="00295E71" w14:paraId="3BD38CB5" w14:textId="77777777">
            <w:pPr>
              <w:pStyle w:val="TableText"/>
              <w:spacing w:line="240" w:lineRule="exact"/>
              <w:rPr>
                <w:sz w:val="22"/>
                <w:szCs w:val="22"/>
                <w:lang w:val="it-IT"/>
              </w:rPr>
            </w:pPr>
            <w:r w:rsidRPr="00295E71">
              <w:rPr>
                <w:sz w:val="22"/>
                <w:szCs w:val="22"/>
                <w:vertAlign w:val="superscript"/>
                <w:lang w:val="it-IT"/>
              </w:rPr>
              <w:t>a</w:t>
            </w:r>
            <w:r w:rsidRPr="00295E71">
              <w:rPr>
                <w:sz w:val="22"/>
                <w:szCs w:val="22"/>
                <w:vertAlign w:val="superscript"/>
                <w:lang w:val="it-IT"/>
              </w:rPr>
              <w:tab/>
            </w:r>
            <w:r w:rsidRPr="00295E71">
              <w:rPr>
                <w:sz w:val="22"/>
                <w:szCs w:val="22"/>
                <w:lang w:val="it-IT"/>
              </w:rPr>
              <w:t>di coloro che sono stati trattati con corticosteroidi al basale</w:t>
            </w:r>
          </w:p>
        </w:tc>
      </w:tr>
    </w:tbl>
    <w:p w:rsidR="006224C2" w:rsidRPr="00295E71" w14:paraId="02A3DEF0" w14:textId="77777777">
      <w:pPr>
        <w:pStyle w:val="EMEANormal"/>
        <w:keepNext/>
        <w:rPr>
          <w:lang w:val="it-IT"/>
        </w:rPr>
      </w:pPr>
    </w:p>
    <w:p w:rsidR="006224C2" w:rsidRPr="00295E71" w14:paraId="63AC577B" w14:textId="77777777">
      <w:pPr>
        <w:pStyle w:val="EMEAFigureTitle"/>
        <w:jc w:val="both"/>
        <w:rPr>
          <w:lang w:val="it-IT" w:eastAsia="it-IT"/>
        </w:rPr>
      </w:pPr>
      <w:r w:rsidRPr="00295E71">
        <w:rPr>
          <w:lang w:val="it-IT" w:eastAsia="it-IT"/>
        </w:rPr>
        <w:t>Tra i pazienti che non hanno evidenziato una risposta alla settimana 4, il 43% dei pazienti trattati con terapia di mantenimento a base di Humira ha manifestato una risposta entro la settimana 12 rispetto al 30% dei pazienti trattati con placebo. Tali risultati suggeriscono che alcuni pazienti che non hanno manifestato una risposta alla settimana 4 traggono giovamento dalla terapia di mantenimento continuata fino alla settimana 12. La terapia proseguita oltre le 12 settimane non ha portato ad un numero significativamente più elevato di risposte (vedere paragrafo 4.2).</w:t>
      </w:r>
    </w:p>
    <w:p w:rsidR="006224C2" w:rsidRPr="00295E71" w14:paraId="65A4EFA9" w14:textId="77777777">
      <w:pPr>
        <w:pStyle w:val="EMEAFigureTitle"/>
        <w:jc w:val="both"/>
        <w:rPr>
          <w:lang w:val="it-IT" w:eastAsia="it-IT"/>
        </w:rPr>
      </w:pPr>
    </w:p>
    <w:p w:rsidR="006224C2" w:rsidRPr="00295E71" w14:paraId="038B1F68" w14:textId="77777777">
      <w:pPr>
        <w:pStyle w:val="EMEAFigureTitle"/>
        <w:jc w:val="both"/>
        <w:rPr>
          <w:lang w:val="it-IT" w:eastAsia="it-IT"/>
        </w:rPr>
      </w:pPr>
      <w:r w:rsidRPr="00295E71">
        <w:rPr>
          <w:lang w:val="it-IT" w:eastAsia="it-IT"/>
        </w:rPr>
        <w:t>117/276 pazienti dallo studio CD I e 272/777 pazienti provenienti da</w:t>
      </w:r>
      <w:r w:rsidR="00E04499">
        <w:rPr>
          <w:lang w:val="it-IT" w:eastAsia="it-IT"/>
        </w:rPr>
        <w:t>gli</w:t>
      </w:r>
      <w:r w:rsidRPr="00295E71">
        <w:rPr>
          <w:lang w:val="it-IT" w:eastAsia="it-IT"/>
        </w:rPr>
        <w:t xml:space="preserve"> studi CD II e III sono stati seguiti per almeno 3 anni di terapia con adalimumab in aperto. Rispettivamente 88 e 189 pazienti hanno continuato a mantenere la remissione clinica. La risposta clinica (CR-100) è stata mantenuta rispettivamente in 102 e 233 pazienti.</w:t>
      </w:r>
    </w:p>
    <w:p w:rsidR="006224C2" w:rsidRPr="00295E71" w14:paraId="0B4099AC" w14:textId="77777777">
      <w:pPr>
        <w:pStyle w:val="EMEAHeadingUnderline"/>
        <w:spacing w:beforeLines="0" w:afterLines="0"/>
        <w:jc w:val="both"/>
        <w:rPr>
          <w:lang w:val="it-IT"/>
        </w:rPr>
      </w:pPr>
    </w:p>
    <w:p w:rsidR="006224C2" w:rsidRPr="00295E71" w14:paraId="48541A80" w14:textId="77777777">
      <w:pPr>
        <w:pStyle w:val="EMEAHeadingUnderline"/>
        <w:spacing w:beforeLines="0" w:afterLines="0"/>
        <w:jc w:val="both"/>
        <w:rPr>
          <w:i/>
          <w:lang w:val="it-IT"/>
        </w:rPr>
      </w:pPr>
      <w:r w:rsidRPr="00295E71">
        <w:rPr>
          <w:i/>
          <w:lang w:val="it-IT"/>
        </w:rPr>
        <w:t>Qualità della vita</w:t>
      </w:r>
    </w:p>
    <w:p w:rsidR="006224C2" w:rsidRPr="00295E71" w14:paraId="5D89711F" w14:textId="77777777">
      <w:pPr>
        <w:rPr>
          <w:sz w:val="22"/>
          <w:szCs w:val="22"/>
          <w:lang w:eastAsia="en-US"/>
        </w:rPr>
      </w:pPr>
    </w:p>
    <w:p w:rsidR="006224C2" w:rsidRPr="00F83E38" w14:paraId="7CC59D2E" w14:textId="77777777">
      <w:pPr>
        <w:tabs>
          <w:tab w:val="left" w:pos="567"/>
          <w:tab w:val="left" w:pos="1294"/>
        </w:tabs>
        <w:autoSpaceDE w:val="0"/>
        <w:autoSpaceDN w:val="0"/>
        <w:adjustRightInd w:val="0"/>
        <w:jc w:val="both"/>
        <w:rPr>
          <w:sz w:val="22"/>
          <w:szCs w:val="22"/>
        </w:rPr>
      </w:pPr>
      <w:r w:rsidRPr="00295E71">
        <w:rPr>
          <w:sz w:val="22"/>
          <w:szCs w:val="22"/>
        </w:rPr>
        <w:t xml:space="preserve">Negli studi CD I e CD II, alla settimana 4 era raggiunto un miglioramento statisticamente significativo del punteggio totale del questionario IBDQ (inflammatory bowel disease questionnaire) nei pazienti </w:t>
      </w:r>
      <w:r w:rsidRPr="00F83E38">
        <w:rPr>
          <w:sz w:val="22"/>
          <w:szCs w:val="22"/>
        </w:rPr>
        <w:t>randomizzati a Humira 80/40 mg e 160/80 mg rispetto al placebo ed era visto alle settimane 26 e 56 nello studio CD III come pure tra i gruppi trattati con adalimumab rispetto al gruppo trattato con placebo.</w:t>
      </w:r>
    </w:p>
    <w:p w:rsidR="006224C2" w:rsidRPr="00F83E38" w14:paraId="442BF5A2" w14:textId="77777777">
      <w:pPr>
        <w:pStyle w:val="EMEAHeadingUnderline"/>
        <w:spacing w:beforeLines="0" w:afterLines="0"/>
        <w:jc w:val="both"/>
        <w:rPr>
          <w:i/>
          <w:u w:val="none"/>
          <w:lang w:val="it-IT"/>
        </w:rPr>
      </w:pPr>
      <w:bookmarkStart w:id="13190" w:name="_Hlk52789128"/>
    </w:p>
    <w:bookmarkEnd w:id="13190"/>
    <w:p w:rsidR="006224C2" w:rsidRPr="00295E71" w14:paraId="657B0E82" w14:textId="77777777">
      <w:pPr>
        <w:pStyle w:val="EMEAHeadingUnderline"/>
        <w:spacing w:beforeLines="0" w:afterLines="0"/>
        <w:jc w:val="both"/>
        <w:rPr>
          <w:i/>
          <w:u w:val="none"/>
          <w:lang w:val="it-IT"/>
        </w:rPr>
      </w:pPr>
      <w:r w:rsidRPr="00F83E38">
        <w:rPr>
          <w:i/>
          <w:u w:val="none"/>
          <w:lang w:val="it-IT"/>
        </w:rPr>
        <w:t>Colite Ulcerosa</w:t>
      </w:r>
    </w:p>
    <w:p w:rsidR="006224C2" w:rsidRPr="00295E71" w14:paraId="3CE87615" w14:textId="77777777">
      <w:pPr>
        <w:rPr>
          <w:sz w:val="22"/>
          <w:szCs w:val="22"/>
        </w:rPr>
      </w:pPr>
    </w:p>
    <w:p w:rsidR="006224C2" w:rsidRPr="00295E71" w14:paraId="3D06C9D6"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La sicurezza e l’efficacia di dosi multiple di Humira sono state valutate in pazienti adulti affetti da colite ulcerosa attiva di grado da moderato a severo (punteggio Mayo da 6 a 12 con un sottopunteggio endoscopico da 2 a 3) in studi randomizzati, in doppio cieco, controllati con placebo.</w:t>
      </w:r>
    </w:p>
    <w:p w:rsidR="006224C2" w:rsidRPr="00295E71" w14:paraId="4879F826" w14:textId="77777777">
      <w:pPr>
        <w:tabs>
          <w:tab w:val="left" w:pos="567"/>
          <w:tab w:val="left" w:pos="1294"/>
        </w:tabs>
        <w:autoSpaceDE w:val="0"/>
        <w:autoSpaceDN w:val="0"/>
        <w:adjustRightInd w:val="0"/>
        <w:jc w:val="both"/>
        <w:rPr>
          <w:color w:val="000000"/>
          <w:sz w:val="22"/>
          <w:szCs w:val="22"/>
        </w:rPr>
      </w:pPr>
    </w:p>
    <w:p w:rsidR="006224C2" w:rsidRPr="00295E71" w14:paraId="0A31A8BE"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Nello studio UC-I, 390 pazienti non precedentemente trattati con antagonisti del TNF sono stati randomizzati in modo da assumere placebo alla settimana 0 e 2, 160 mg di Humira alla settimana 0 seguiti da 80 mg alla settimana 2 oppure 80 mg </w:t>
      </w:r>
      <w:r w:rsidRPr="00020442" w:rsidR="00E04499">
        <w:rPr>
          <w:color w:val="000000"/>
          <w:sz w:val="22"/>
          <w:szCs w:val="22"/>
        </w:rPr>
        <w:t xml:space="preserve">di Humira </w:t>
      </w:r>
      <w:r w:rsidRPr="00295E71">
        <w:rPr>
          <w:color w:val="000000"/>
          <w:sz w:val="22"/>
          <w:szCs w:val="22"/>
        </w:rPr>
        <w:t xml:space="preserve">alla settimana 0 seguiti da 40 mg alla settimana 2. Dopo la settimana 2, i pazienti arruolati in entrambi i bracci con adalimumab hanno assunto </w:t>
      </w:r>
      <w:r w:rsidRPr="00295E71">
        <w:rPr>
          <w:color w:val="000000"/>
          <w:sz w:val="22"/>
          <w:szCs w:val="22"/>
        </w:rPr>
        <w:t>40 mg a settimane alterne. La remissione clinica (definita come punteggio di Mayo ≤ 2 con nessun sotto punteggio &gt; 1) è stata valutata alla settimana 8.</w:t>
      </w:r>
    </w:p>
    <w:p w:rsidR="006224C2" w:rsidRPr="00295E71" w14:paraId="2E2339D2" w14:textId="77777777">
      <w:pPr>
        <w:tabs>
          <w:tab w:val="left" w:pos="567"/>
          <w:tab w:val="left" w:pos="1294"/>
        </w:tabs>
        <w:autoSpaceDE w:val="0"/>
        <w:autoSpaceDN w:val="0"/>
        <w:adjustRightInd w:val="0"/>
        <w:jc w:val="both"/>
        <w:rPr>
          <w:color w:val="000000"/>
          <w:sz w:val="22"/>
          <w:szCs w:val="22"/>
        </w:rPr>
      </w:pPr>
    </w:p>
    <w:p w:rsidR="006224C2" w:rsidRPr="00295E71" w14:paraId="186DFAFE"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Nello studio UC-II, 248 pazienti hanno assunto 160 mg di Humira alla settimana 0,80 mg alla settimana 2 e </w:t>
      </w:r>
      <w:r w:rsidRPr="00020442" w:rsidR="00E04499">
        <w:rPr>
          <w:color w:val="000000"/>
          <w:sz w:val="22"/>
          <w:szCs w:val="22"/>
        </w:rPr>
        <w:t xml:space="preserve">successivamente </w:t>
      </w:r>
      <w:r w:rsidRPr="00295E71">
        <w:rPr>
          <w:color w:val="000000"/>
          <w:sz w:val="22"/>
          <w:szCs w:val="22"/>
        </w:rPr>
        <w:t>40 mg a settimane alterne, e 246 pazienti hanno assunto placebo. L’induzione della remissione è stata valutata alla settimana 8 mentre il mantenimento della remissione alla settimana 52.</w:t>
      </w:r>
    </w:p>
    <w:p w:rsidR="006224C2" w:rsidRPr="00295E71" w14:paraId="4E42A39C" w14:textId="77777777">
      <w:pPr>
        <w:tabs>
          <w:tab w:val="left" w:pos="567"/>
          <w:tab w:val="left" w:pos="1294"/>
        </w:tabs>
        <w:autoSpaceDE w:val="0"/>
        <w:autoSpaceDN w:val="0"/>
        <w:adjustRightInd w:val="0"/>
        <w:jc w:val="both"/>
        <w:rPr>
          <w:color w:val="000000"/>
          <w:sz w:val="22"/>
          <w:szCs w:val="22"/>
        </w:rPr>
      </w:pPr>
    </w:p>
    <w:p w:rsidR="006224C2" w:rsidRPr="00295E71" w14:paraId="6D8B807E"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Nello studio UC-I ( rispettivamente 18% vs 9%, p=0,031) e nello studio UC-II (rispettivamente 17% vs 9%, p=0,019) i pazienti indotti con 160/80 mg di Humira hanno raggiunto la remissione clinica rispetto al placebo alla settimana 8 in percentuali superiori in modo statisticamente significativo. Nello studio UC-II, tra i pazienti trattati con Humira in remissione alla settimana 8, 21/41 (51%) erano in remissione alla settimana 52.</w:t>
      </w:r>
    </w:p>
    <w:p w:rsidR="006224C2" w:rsidRPr="00295E71" w14:paraId="1BCD6666" w14:textId="77777777">
      <w:pPr>
        <w:tabs>
          <w:tab w:val="left" w:pos="567"/>
          <w:tab w:val="left" w:pos="1294"/>
        </w:tabs>
        <w:autoSpaceDE w:val="0"/>
        <w:autoSpaceDN w:val="0"/>
        <w:adjustRightInd w:val="0"/>
        <w:jc w:val="both"/>
        <w:rPr>
          <w:color w:val="000000"/>
          <w:sz w:val="22"/>
          <w:szCs w:val="22"/>
        </w:rPr>
      </w:pPr>
    </w:p>
    <w:p w:rsidR="006224C2" w:rsidRPr="00295E71" w14:paraId="31DE1E03"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I risultati </w:t>
      </w:r>
      <w:r w:rsidR="00E04499">
        <w:rPr>
          <w:color w:val="000000"/>
          <w:sz w:val="22"/>
          <w:szCs w:val="22"/>
        </w:rPr>
        <w:t>per la</w:t>
      </w:r>
      <w:r w:rsidRPr="00295E71">
        <w:rPr>
          <w:color w:val="000000"/>
          <w:sz w:val="22"/>
          <w:szCs w:val="22"/>
        </w:rPr>
        <w:t xml:space="preserve"> popolazione </w:t>
      </w:r>
      <w:r w:rsidR="00E04499">
        <w:rPr>
          <w:color w:val="000000"/>
          <w:sz w:val="22"/>
          <w:szCs w:val="22"/>
        </w:rPr>
        <w:t xml:space="preserve">totale dello studio </w:t>
      </w:r>
      <w:r w:rsidRPr="00295E71">
        <w:rPr>
          <w:color w:val="000000"/>
          <w:sz w:val="22"/>
          <w:szCs w:val="22"/>
        </w:rPr>
        <w:t xml:space="preserve">UC-II sono mostrati nella Tabella </w:t>
      </w:r>
      <w:r w:rsidRPr="00295E71" w:rsidR="0004229E">
        <w:rPr>
          <w:color w:val="000000"/>
          <w:sz w:val="22"/>
          <w:szCs w:val="22"/>
        </w:rPr>
        <w:t>1</w:t>
      </w:r>
      <w:r w:rsidR="00800CE0">
        <w:rPr>
          <w:color w:val="000000"/>
          <w:sz w:val="22"/>
          <w:szCs w:val="22"/>
        </w:rPr>
        <w:t>6</w:t>
      </w:r>
      <w:r w:rsidRPr="00295E71">
        <w:rPr>
          <w:color w:val="000000"/>
          <w:sz w:val="22"/>
          <w:szCs w:val="22"/>
        </w:rPr>
        <w:t>.</w:t>
      </w:r>
    </w:p>
    <w:p w:rsidR="006224C2" w:rsidRPr="00295E71" w14:paraId="31323374" w14:textId="77777777">
      <w:pPr>
        <w:rPr>
          <w:sz w:val="22"/>
          <w:szCs w:val="22"/>
        </w:rPr>
      </w:pPr>
    </w:p>
    <w:p w:rsidR="006224C2" w:rsidRPr="00295E71" w14:paraId="6DECC53A" w14:textId="77777777">
      <w:pPr>
        <w:keepNext/>
        <w:jc w:val="center"/>
        <w:rPr>
          <w:rFonts w:eastAsia="Arial Unicode MS"/>
          <w:b/>
          <w:bCs/>
          <w:sz w:val="22"/>
          <w:szCs w:val="22"/>
        </w:rPr>
      </w:pPr>
      <w:r w:rsidRPr="00295E71">
        <w:rPr>
          <w:rFonts w:eastAsia="Arial Unicode MS"/>
          <w:b/>
          <w:bCs/>
          <w:sz w:val="22"/>
          <w:szCs w:val="22"/>
        </w:rPr>
        <w:t xml:space="preserve">Tabella </w:t>
      </w:r>
      <w:r w:rsidRPr="00295E71" w:rsidR="0004229E">
        <w:rPr>
          <w:rFonts w:eastAsia="Arial Unicode MS"/>
          <w:b/>
          <w:bCs/>
          <w:sz w:val="22"/>
          <w:szCs w:val="22"/>
        </w:rPr>
        <w:t>1</w:t>
      </w:r>
      <w:r w:rsidR="00800CE0">
        <w:rPr>
          <w:rFonts w:eastAsia="Arial Unicode MS"/>
          <w:b/>
          <w:bCs/>
          <w:sz w:val="22"/>
          <w:szCs w:val="22"/>
        </w:rPr>
        <w:t>6</w:t>
      </w:r>
    </w:p>
    <w:p w:rsidR="006224C2" w:rsidRPr="00295E71" w14:paraId="2F5724FA" w14:textId="77777777">
      <w:pPr>
        <w:pStyle w:val="EMEANormal"/>
        <w:keepNext/>
        <w:jc w:val="center"/>
        <w:rPr>
          <w:rFonts w:eastAsia="Arial Unicode MS"/>
          <w:b/>
          <w:bCs/>
          <w:lang w:val="it-IT"/>
        </w:rPr>
      </w:pPr>
      <w:r w:rsidRPr="00295E71">
        <w:rPr>
          <w:rFonts w:eastAsia="Arial Unicode MS"/>
          <w:b/>
          <w:bCs/>
          <w:lang w:val="it-IT"/>
        </w:rPr>
        <w:t xml:space="preserve">Risposta, </w:t>
      </w:r>
      <w:r w:rsidR="00E04499">
        <w:rPr>
          <w:rFonts w:eastAsia="Arial Unicode MS"/>
          <w:b/>
          <w:bCs/>
          <w:lang w:val="it-IT"/>
        </w:rPr>
        <w:t>r</w:t>
      </w:r>
      <w:r w:rsidRPr="00295E71">
        <w:rPr>
          <w:rFonts w:eastAsia="Arial Unicode MS"/>
          <w:b/>
          <w:bCs/>
          <w:lang w:val="it-IT"/>
        </w:rPr>
        <w:t>emissione e guarigione della mucosa nello Studio UC-II</w:t>
      </w:r>
    </w:p>
    <w:p w:rsidR="006224C2" w:rsidRPr="00295E71" w14:paraId="3D325BAB" w14:textId="77777777">
      <w:pPr>
        <w:pStyle w:val="EMEANormal"/>
        <w:keepNext/>
        <w:jc w:val="center"/>
        <w:rPr>
          <w:rFonts w:eastAsia="Arial Unicode MS"/>
          <w:b/>
          <w:lang w:val="it-IT"/>
        </w:rPr>
      </w:pPr>
      <w:r w:rsidRPr="00295E71">
        <w:rPr>
          <w:rFonts w:eastAsia="Arial Unicode MS"/>
          <w:b/>
          <w:lang w:val="it-IT"/>
        </w:rPr>
        <w:t>(Percentuale di pazienti)</w:t>
      </w:r>
    </w:p>
    <w:p w:rsidR="006224C2" w:rsidRPr="00295E71" w14:paraId="4FF38896" w14:textId="77777777">
      <w:pPr>
        <w:pStyle w:val="EMEANormal"/>
        <w:keepNext/>
        <w:spacing w:before="144"/>
        <w:jc w:val="center"/>
        <w:rPr>
          <w:rFonts w:eastAsia="Arial Unicode MS"/>
          <w:b/>
          <w:lang w:val="it-IT"/>
        </w:rPr>
      </w:pPr>
    </w:p>
    <w:tbl>
      <w:tblPr>
        <w:tblW w:w="4375" w:type="pct"/>
        <w:tblInd w:w="-105" w:type="dxa"/>
        <w:tblCellMar>
          <w:top w:w="15" w:type="dxa"/>
          <w:left w:w="15" w:type="dxa"/>
          <w:bottom w:w="15" w:type="dxa"/>
          <w:right w:w="15" w:type="dxa"/>
        </w:tblCellMar>
        <w:tblLook w:val="0000"/>
      </w:tblPr>
      <w:tblGrid>
        <w:gridCol w:w="4724"/>
        <w:gridCol w:w="1006"/>
        <w:gridCol w:w="2206"/>
      </w:tblGrid>
      <w:tr w14:paraId="5D9B1A37" w14:textId="77777777">
        <w:tblPrEx>
          <w:tblW w:w="4375" w:type="pct"/>
          <w:tblInd w:w="-105" w:type="dxa"/>
          <w:tblLook w:val="0000"/>
        </w:tblPrEx>
        <w:tc>
          <w:tcPr>
            <w:tcW w:w="2976" w:type="pct"/>
            <w:tcBorders>
              <w:top w:val="single" w:sz="6" w:space="0" w:color="000000"/>
              <w:left w:val="nil"/>
              <w:bottom w:val="single" w:sz="6" w:space="0" w:color="000000"/>
              <w:right w:val="nil"/>
            </w:tcBorders>
          </w:tcPr>
          <w:p w:rsidR="006224C2" w:rsidRPr="00295E71" w14:paraId="4CCBB7AF" w14:textId="77777777">
            <w:pPr>
              <w:keepNext/>
              <w:jc w:val="center"/>
              <w:rPr>
                <w:rFonts w:eastAsia="Arial Unicode MS"/>
                <w:sz w:val="22"/>
                <w:szCs w:val="22"/>
              </w:rPr>
            </w:pPr>
          </w:p>
        </w:tc>
        <w:tc>
          <w:tcPr>
            <w:tcW w:w="634" w:type="pct"/>
            <w:tcBorders>
              <w:top w:val="single" w:sz="6" w:space="0" w:color="000000"/>
              <w:left w:val="nil"/>
              <w:bottom w:val="single" w:sz="6" w:space="0" w:color="000000"/>
              <w:right w:val="nil"/>
            </w:tcBorders>
          </w:tcPr>
          <w:p w:rsidR="006224C2" w:rsidRPr="00295E71" w14:paraId="3E52A292" w14:textId="77777777">
            <w:pPr>
              <w:keepNext/>
              <w:jc w:val="center"/>
              <w:rPr>
                <w:rFonts w:eastAsia="Arial Unicode MS"/>
                <w:sz w:val="22"/>
                <w:szCs w:val="22"/>
              </w:rPr>
            </w:pPr>
            <w:r w:rsidRPr="00295E71">
              <w:rPr>
                <w:rStyle w:val="bold4"/>
                <w:rFonts w:eastAsia="Arial Unicode MS"/>
                <w:sz w:val="22"/>
                <w:szCs w:val="22"/>
              </w:rPr>
              <w:t>Placebo</w:t>
            </w:r>
            <w:r w:rsidRPr="00295E71">
              <w:rPr>
                <w:rFonts w:eastAsia="Arial Unicode MS"/>
                <w:sz w:val="22"/>
                <w:szCs w:val="22"/>
              </w:rPr>
              <w:br/>
            </w:r>
          </w:p>
        </w:tc>
        <w:tc>
          <w:tcPr>
            <w:tcW w:w="1391" w:type="pct"/>
            <w:tcBorders>
              <w:top w:val="single" w:sz="6" w:space="0" w:color="000000"/>
              <w:left w:val="nil"/>
              <w:bottom w:val="single" w:sz="6" w:space="0" w:color="000000"/>
              <w:right w:val="nil"/>
            </w:tcBorders>
          </w:tcPr>
          <w:p w:rsidR="006224C2" w:rsidRPr="00295E71" w14:paraId="03338765" w14:textId="77777777">
            <w:pPr>
              <w:keepNext/>
              <w:jc w:val="center"/>
              <w:rPr>
                <w:rStyle w:val="bold4"/>
                <w:rFonts w:eastAsia="Arial Unicode MS"/>
                <w:sz w:val="22"/>
                <w:szCs w:val="22"/>
              </w:rPr>
            </w:pPr>
            <w:r w:rsidRPr="00295E71">
              <w:rPr>
                <w:rStyle w:val="bold4"/>
                <w:rFonts w:eastAsia="Arial Unicode MS"/>
                <w:sz w:val="22"/>
                <w:szCs w:val="22"/>
              </w:rPr>
              <w:t xml:space="preserve">Humira 40 mg </w:t>
            </w:r>
          </w:p>
          <w:p w:rsidR="006224C2" w:rsidRPr="00295E71" w14:paraId="6ADDE4B0" w14:textId="77777777">
            <w:pPr>
              <w:keepNext/>
              <w:jc w:val="center"/>
              <w:rPr>
                <w:rFonts w:eastAsia="Arial Unicode MS"/>
                <w:sz w:val="22"/>
                <w:szCs w:val="22"/>
              </w:rPr>
            </w:pPr>
            <w:r w:rsidRPr="00295E71">
              <w:rPr>
                <w:rStyle w:val="bold4"/>
                <w:rFonts w:eastAsia="Arial Unicode MS"/>
                <w:sz w:val="22"/>
                <w:szCs w:val="22"/>
              </w:rPr>
              <w:t>a settimane alterne</w:t>
            </w:r>
          </w:p>
        </w:tc>
      </w:tr>
      <w:tr w14:paraId="73A574BD" w14:textId="77777777">
        <w:tblPrEx>
          <w:tblW w:w="4375" w:type="pct"/>
          <w:tblInd w:w="-105" w:type="dxa"/>
          <w:tblLook w:val="0000"/>
        </w:tblPrEx>
        <w:tc>
          <w:tcPr>
            <w:tcW w:w="2976" w:type="pct"/>
            <w:tcBorders>
              <w:top w:val="single" w:sz="6" w:space="0" w:color="000000"/>
              <w:left w:val="nil"/>
              <w:bottom w:val="single" w:sz="6" w:space="0" w:color="000000"/>
              <w:right w:val="nil"/>
            </w:tcBorders>
          </w:tcPr>
          <w:p w:rsidR="006224C2" w:rsidRPr="00295E71" w14:paraId="22499E80" w14:textId="77777777">
            <w:pPr>
              <w:keepNext/>
              <w:rPr>
                <w:rFonts w:eastAsia="Arial Unicode MS"/>
                <w:sz w:val="22"/>
                <w:szCs w:val="22"/>
              </w:rPr>
            </w:pPr>
            <w:r w:rsidRPr="00295E71">
              <w:rPr>
                <w:rFonts w:eastAsia="Arial Unicode MS"/>
                <w:sz w:val="22"/>
                <w:szCs w:val="22"/>
              </w:rPr>
              <w:t>Settimana 52</w:t>
            </w:r>
          </w:p>
        </w:tc>
        <w:tc>
          <w:tcPr>
            <w:tcW w:w="634" w:type="pct"/>
            <w:tcBorders>
              <w:top w:val="single" w:sz="6" w:space="0" w:color="000000"/>
              <w:left w:val="nil"/>
              <w:bottom w:val="single" w:sz="6" w:space="0" w:color="000000"/>
              <w:right w:val="nil"/>
            </w:tcBorders>
          </w:tcPr>
          <w:p w:rsidR="006224C2" w:rsidRPr="00295E71" w14:paraId="7D526B43" w14:textId="77777777">
            <w:pPr>
              <w:keepNext/>
              <w:jc w:val="center"/>
              <w:rPr>
                <w:rStyle w:val="bold4"/>
                <w:rFonts w:eastAsia="Arial Unicode MS"/>
                <w:sz w:val="22"/>
                <w:szCs w:val="22"/>
              </w:rPr>
            </w:pPr>
            <w:r w:rsidRPr="00295E71">
              <w:rPr>
                <w:rStyle w:val="bold4"/>
                <w:rFonts w:eastAsia="Arial Unicode MS"/>
                <w:sz w:val="22"/>
                <w:szCs w:val="22"/>
              </w:rPr>
              <w:t>N=246</w:t>
            </w:r>
          </w:p>
        </w:tc>
        <w:tc>
          <w:tcPr>
            <w:tcW w:w="1391" w:type="pct"/>
            <w:tcBorders>
              <w:top w:val="single" w:sz="6" w:space="0" w:color="000000"/>
              <w:left w:val="nil"/>
              <w:bottom w:val="single" w:sz="6" w:space="0" w:color="000000"/>
              <w:right w:val="nil"/>
            </w:tcBorders>
          </w:tcPr>
          <w:p w:rsidR="006224C2" w:rsidRPr="00295E71" w14:paraId="5DE9F694" w14:textId="77777777">
            <w:pPr>
              <w:keepNext/>
              <w:jc w:val="center"/>
              <w:rPr>
                <w:rStyle w:val="bold4"/>
                <w:rFonts w:eastAsia="Arial Unicode MS"/>
                <w:sz w:val="22"/>
                <w:szCs w:val="22"/>
              </w:rPr>
            </w:pPr>
            <w:r w:rsidRPr="00295E71">
              <w:rPr>
                <w:rStyle w:val="bold4"/>
                <w:rFonts w:eastAsia="Arial Unicode MS"/>
                <w:sz w:val="22"/>
                <w:szCs w:val="22"/>
              </w:rPr>
              <w:t>N=248</w:t>
            </w:r>
          </w:p>
        </w:tc>
      </w:tr>
      <w:tr w14:paraId="5A078FC7" w14:textId="77777777">
        <w:tblPrEx>
          <w:tblW w:w="4375" w:type="pct"/>
          <w:tblInd w:w="-105" w:type="dxa"/>
          <w:tblLook w:val="0000"/>
        </w:tblPrEx>
        <w:tc>
          <w:tcPr>
            <w:tcW w:w="2976" w:type="pct"/>
            <w:tcBorders>
              <w:top w:val="nil"/>
              <w:left w:val="nil"/>
              <w:right w:val="nil"/>
            </w:tcBorders>
          </w:tcPr>
          <w:p w:rsidR="006224C2" w:rsidRPr="00295E71" w14:paraId="2D7C62DC" w14:textId="77777777">
            <w:pPr>
              <w:keepNext/>
              <w:rPr>
                <w:rFonts w:eastAsia="Arial Unicode MS"/>
                <w:sz w:val="22"/>
                <w:szCs w:val="22"/>
              </w:rPr>
            </w:pPr>
            <w:r w:rsidRPr="00295E71">
              <w:rPr>
                <w:rFonts w:eastAsia="Arial Unicode MS"/>
                <w:sz w:val="22"/>
                <w:szCs w:val="22"/>
              </w:rPr>
              <w:t xml:space="preserve">  Risposta clinica </w:t>
            </w:r>
          </w:p>
        </w:tc>
        <w:tc>
          <w:tcPr>
            <w:tcW w:w="634" w:type="pct"/>
            <w:tcBorders>
              <w:top w:val="nil"/>
              <w:left w:val="nil"/>
              <w:right w:val="nil"/>
            </w:tcBorders>
          </w:tcPr>
          <w:p w:rsidR="006224C2" w:rsidRPr="00295E71" w14:paraId="17E9507D" w14:textId="77777777">
            <w:pPr>
              <w:keepNext/>
              <w:jc w:val="center"/>
              <w:rPr>
                <w:rFonts w:eastAsia="Arial Unicode MS"/>
                <w:sz w:val="22"/>
                <w:szCs w:val="22"/>
              </w:rPr>
            </w:pPr>
            <w:r w:rsidRPr="00295E71">
              <w:rPr>
                <w:rFonts w:eastAsia="Arial Unicode MS"/>
                <w:sz w:val="22"/>
                <w:szCs w:val="22"/>
              </w:rPr>
              <w:t xml:space="preserve">18% </w:t>
            </w:r>
          </w:p>
        </w:tc>
        <w:tc>
          <w:tcPr>
            <w:tcW w:w="1391" w:type="pct"/>
            <w:tcBorders>
              <w:top w:val="nil"/>
              <w:left w:val="nil"/>
              <w:right w:val="nil"/>
            </w:tcBorders>
          </w:tcPr>
          <w:p w:rsidR="006224C2" w:rsidRPr="00295E71" w14:paraId="6CC19895" w14:textId="77777777">
            <w:pPr>
              <w:keepNext/>
              <w:jc w:val="center"/>
              <w:rPr>
                <w:rFonts w:eastAsia="Arial Unicode MS"/>
                <w:sz w:val="22"/>
                <w:szCs w:val="22"/>
              </w:rPr>
            </w:pPr>
            <w:r w:rsidRPr="00295E71">
              <w:rPr>
                <w:rFonts w:eastAsia="Arial Unicode MS"/>
                <w:sz w:val="22"/>
                <w:szCs w:val="22"/>
              </w:rPr>
              <w:t xml:space="preserve">   30%*</w:t>
            </w:r>
          </w:p>
        </w:tc>
      </w:tr>
      <w:tr w14:paraId="0B471646" w14:textId="77777777">
        <w:tblPrEx>
          <w:tblW w:w="4375" w:type="pct"/>
          <w:tblInd w:w="-105" w:type="dxa"/>
          <w:tblLook w:val="0000"/>
        </w:tblPrEx>
        <w:tc>
          <w:tcPr>
            <w:tcW w:w="2976" w:type="pct"/>
            <w:tcBorders>
              <w:top w:val="nil"/>
              <w:left w:val="nil"/>
              <w:right w:val="nil"/>
            </w:tcBorders>
          </w:tcPr>
          <w:p w:rsidR="006224C2" w:rsidRPr="00295E71" w14:paraId="6F23A4AD" w14:textId="77777777">
            <w:pPr>
              <w:keepNext/>
              <w:rPr>
                <w:rFonts w:eastAsia="Arial Unicode MS"/>
                <w:sz w:val="22"/>
                <w:szCs w:val="22"/>
              </w:rPr>
            </w:pPr>
            <w:r w:rsidRPr="00295E71">
              <w:rPr>
                <w:rFonts w:eastAsia="Arial Unicode MS"/>
                <w:sz w:val="22"/>
                <w:szCs w:val="22"/>
              </w:rPr>
              <w:t xml:space="preserve">  Remissione clinica </w:t>
            </w:r>
          </w:p>
        </w:tc>
        <w:tc>
          <w:tcPr>
            <w:tcW w:w="634" w:type="pct"/>
            <w:tcBorders>
              <w:top w:val="nil"/>
              <w:left w:val="nil"/>
              <w:right w:val="nil"/>
            </w:tcBorders>
          </w:tcPr>
          <w:p w:rsidR="006224C2" w:rsidRPr="00295E71" w14:paraId="45716374" w14:textId="77777777">
            <w:pPr>
              <w:keepNext/>
              <w:jc w:val="center"/>
              <w:rPr>
                <w:rFonts w:eastAsia="Arial Unicode MS"/>
                <w:sz w:val="22"/>
                <w:szCs w:val="22"/>
              </w:rPr>
            </w:pPr>
            <w:r w:rsidRPr="00295E71">
              <w:rPr>
                <w:rFonts w:eastAsia="Arial Unicode MS"/>
                <w:sz w:val="22"/>
                <w:szCs w:val="22"/>
              </w:rPr>
              <w:t>9%</w:t>
            </w:r>
          </w:p>
        </w:tc>
        <w:tc>
          <w:tcPr>
            <w:tcW w:w="1391" w:type="pct"/>
            <w:tcBorders>
              <w:top w:val="nil"/>
              <w:left w:val="nil"/>
              <w:right w:val="nil"/>
            </w:tcBorders>
          </w:tcPr>
          <w:p w:rsidR="006224C2" w:rsidRPr="00295E71" w14:paraId="2A01347B" w14:textId="77777777">
            <w:pPr>
              <w:keepNext/>
              <w:jc w:val="center"/>
              <w:rPr>
                <w:rFonts w:eastAsia="Arial Unicode MS"/>
                <w:sz w:val="22"/>
                <w:szCs w:val="22"/>
              </w:rPr>
            </w:pPr>
            <w:r w:rsidRPr="00295E71">
              <w:rPr>
                <w:rFonts w:eastAsia="Arial Unicode MS"/>
                <w:sz w:val="22"/>
                <w:szCs w:val="22"/>
              </w:rPr>
              <w:t xml:space="preserve">   17%*</w:t>
            </w:r>
          </w:p>
        </w:tc>
      </w:tr>
      <w:tr w14:paraId="2B7FB582" w14:textId="77777777">
        <w:tblPrEx>
          <w:tblW w:w="4375" w:type="pct"/>
          <w:tblInd w:w="-105" w:type="dxa"/>
          <w:tblLook w:val="0000"/>
        </w:tblPrEx>
        <w:tc>
          <w:tcPr>
            <w:tcW w:w="2976" w:type="pct"/>
            <w:tcBorders>
              <w:top w:val="nil"/>
              <w:left w:val="nil"/>
              <w:right w:val="nil"/>
            </w:tcBorders>
          </w:tcPr>
          <w:p w:rsidR="006224C2" w:rsidRPr="00295E71" w14:paraId="412E28C3" w14:textId="77777777">
            <w:pPr>
              <w:keepNext/>
              <w:rPr>
                <w:rFonts w:eastAsia="Arial Unicode MS"/>
                <w:sz w:val="22"/>
                <w:szCs w:val="22"/>
              </w:rPr>
            </w:pPr>
            <w:r w:rsidRPr="00295E71">
              <w:rPr>
                <w:rFonts w:eastAsia="Arial Unicode MS"/>
                <w:sz w:val="22"/>
                <w:szCs w:val="22"/>
              </w:rPr>
              <w:t xml:space="preserve">  Guarigione della mucosa  </w:t>
            </w:r>
          </w:p>
        </w:tc>
        <w:tc>
          <w:tcPr>
            <w:tcW w:w="634" w:type="pct"/>
            <w:tcBorders>
              <w:top w:val="nil"/>
              <w:left w:val="nil"/>
              <w:right w:val="nil"/>
            </w:tcBorders>
          </w:tcPr>
          <w:p w:rsidR="006224C2" w:rsidRPr="00295E71" w14:paraId="22DE968F" w14:textId="77777777">
            <w:pPr>
              <w:keepNext/>
              <w:jc w:val="center"/>
              <w:rPr>
                <w:rFonts w:eastAsia="Arial Unicode MS"/>
                <w:sz w:val="22"/>
                <w:szCs w:val="22"/>
              </w:rPr>
            </w:pPr>
            <w:r w:rsidRPr="00295E71">
              <w:rPr>
                <w:rFonts w:eastAsia="Arial Unicode MS"/>
                <w:sz w:val="22"/>
                <w:szCs w:val="22"/>
              </w:rPr>
              <w:t>15%</w:t>
            </w:r>
          </w:p>
        </w:tc>
        <w:tc>
          <w:tcPr>
            <w:tcW w:w="1391" w:type="pct"/>
            <w:tcBorders>
              <w:top w:val="nil"/>
              <w:left w:val="nil"/>
              <w:right w:val="nil"/>
            </w:tcBorders>
          </w:tcPr>
          <w:p w:rsidR="006224C2" w:rsidRPr="00295E71" w14:paraId="5042BDFF" w14:textId="77777777">
            <w:pPr>
              <w:keepNext/>
              <w:jc w:val="center"/>
              <w:rPr>
                <w:rFonts w:eastAsia="Arial Unicode MS"/>
                <w:sz w:val="22"/>
                <w:szCs w:val="22"/>
              </w:rPr>
            </w:pPr>
            <w:r w:rsidRPr="00295E71">
              <w:rPr>
                <w:rFonts w:eastAsia="Arial Unicode MS"/>
                <w:sz w:val="22"/>
                <w:szCs w:val="22"/>
              </w:rPr>
              <w:t xml:space="preserve">   25%*</w:t>
            </w:r>
          </w:p>
        </w:tc>
      </w:tr>
      <w:tr w14:paraId="12683D7E" w14:textId="77777777">
        <w:tblPrEx>
          <w:tblW w:w="4375" w:type="pct"/>
          <w:tblInd w:w="-105" w:type="dxa"/>
          <w:tblLook w:val="0000"/>
        </w:tblPrEx>
        <w:tc>
          <w:tcPr>
            <w:tcW w:w="2976" w:type="pct"/>
            <w:tcBorders>
              <w:top w:val="nil"/>
              <w:left w:val="nil"/>
              <w:right w:val="nil"/>
            </w:tcBorders>
          </w:tcPr>
          <w:p w:rsidR="006224C2" w:rsidRPr="00295E71" w14:paraId="5D62F5D8" w14:textId="77777777">
            <w:pPr>
              <w:keepNext/>
              <w:rPr>
                <w:rFonts w:eastAsia="Arial Unicode MS"/>
                <w:sz w:val="22"/>
                <w:szCs w:val="22"/>
              </w:rPr>
            </w:pPr>
            <w:r w:rsidRPr="00295E71">
              <w:rPr>
                <w:rFonts w:eastAsia="Arial Unicode MS"/>
                <w:sz w:val="22"/>
                <w:szCs w:val="22"/>
              </w:rPr>
              <w:t xml:space="preserve">  Remissione libera da Steroidi per un periodo ≥ 90 giorni</w:t>
            </w:r>
            <w:r w:rsidRPr="00295E71">
              <w:rPr>
                <w:sz w:val="22"/>
                <w:szCs w:val="22"/>
                <w:vertAlign w:val="superscript"/>
              </w:rPr>
              <w:t xml:space="preserve"> a</w:t>
            </w:r>
          </w:p>
        </w:tc>
        <w:tc>
          <w:tcPr>
            <w:tcW w:w="634" w:type="pct"/>
            <w:tcBorders>
              <w:top w:val="nil"/>
              <w:left w:val="nil"/>
              <w:right w:val="nil"/>
            </w:tcBorders>
          </w:tcPr>
          <w:p w:rsidR="006224C2" w:rsidRPr="00295E71" w14:paraId="387E5375" w14:textId="77777777">
            <w:pPr>
              <w:keepNext/>
              <w:jc w:val="center"/>
              <w:rPr>
                <w:rFonts w:eastAsia="Arial Unicode MS"/>
                <w:sz w:val="22"/>
                <w:szCs w:val="22"/>
              </w:rPr>
            </w:pPr>
            <w:r w:rsidRPr="00295E71">
              <w:rPr>
                <w:rFonts w:eastAsia="Arial Unicode MS"/>
                <w:sz w:val="22"/>
                <w:szCs w:val="22"/>
              </w:rPr>
              <w:t xml:space="preserve">6% </w:t>
            </w:r>
          </w:p>
          <w:p w:rsidR="006224C2" w:rsidRPr="00295E71" w14:paraId="6154903C" w14:textId="77777777">
            <w:pPr>
              <w:keepNext/>
              <w:jc w:val="center"/>
              <w:rPr>
                <w:rFonts w:eastAsia="Arial Unicode MS"/>
                <w:sz w:val="22"/>
                <w:szCs w:val="22"/>
              </w:rPr>
            </w:pPr>
            <w:r w:rsidRPr="00295E71">
              <w:rPr>
                <w:rFonts w:eastAsia="Arial Unicode MS"/>
                <w:sz w:val="22"/>
                <w:szCs w:val="22"/>
              </w:rPr>
              <w:t>(N=140)</w:t>
            </w:r>
          </w:p>
        </w:tc>
        <w:tc>
          <w:tcPr>
            <w:tcW w:w="1391" w:type="pct"/>
            <w:tcBorders>
              <w:top w:val="nil"/>
              <w:left w:val="nil"/>
              <w:right w:val="nil"/>
            </w:tcBorders>
          </w:tcPr>
          <w:p w:rsidR="006224C2" w:rsidRPr="00295E71" w14:paraId="042E3ABF" w14:textId="77777777">
            <w:pPr>
              <w:keepNext/>
              <w:jc w:val="center"/>
              <w:rPr>
                <w:rFonts w:eastAsia="Arial Unicode MS"/>
                <w:sz w:val="22"/>
                <w:szCs w:val="22"/>
              </w:rPr>
            </w:pPr>
            <w:r w:rsidRPr="00295E71">
              <w:rPr>
                <w:rFonts w:eastAsia="Arial Unicode MS"/>
                <w:sz w:val="22"/>
                <w:szCs w:val="22"/>
              </w:rPr>
              <w:t xml:space="preserve">     13% *</w:t>
            </w:r>
          </w:p>
          <w:p w:rsidR="006224C2" w:rsidRPr="00295E71" w14:paraId="7C9068E8" w14:textId="77777777">
            <w:pPr>
              <w:keepNext/>
              <w:jc w:val="center"/>
              <w:rPr>
                <w:rFonts w:eastAsia="Arial Unicode MS"/>
                <w:sz w:val="22"/>
                <w:szCs w:val="22"/>
              </w:rPr>
            </w:pPr>
            <w:r w:rsidRPr="00295E71">
              <w:rPr>
                <w:rFonts w:eastAsia="Arial Unicode MS"/>
                <w:sz w:val="22"/>
                <w:szCs w:val="22"/>
              </w:rPr>
              <w:t>(N=150)</w:t>
            </w:r>
          </w:p>
          <w:p w:rsidR="006224C2" w:rsidRPr="00295E71" w14:paraId="4B157CF9" w14:textId="77777777">
            <w:pPr>
              <w:keepNext/>
              <w:rPr>
                <w:rFonts w:eastAsia="Arial Unicode MS"/>
                <w:sz w:val="22"/>
                <w:szCs w:val="22"/>
              </w:rPr>
            </w:pPr>
          </w:p>
        </w:tc>
      </w:tr>
      <w:tr w14:paraId="2111FA2C" w14:textId="77777777">
        <w:tblPrEx>
          <w:tblW w:w="4375" w:type="pct"/>
          <w:tblInd w:w="-105" w:type="dxa"/>
          <w:tblLook w:val="0000"/>
        </w:tblPrEx>
        <w:tc>
          <w:tcPr>
            <w:tcW w:w="2976" w:type="pct"/>
            <w:tcBorders>
              <w:top w:val="nil"/>
              <w:left w:val="nil"/>
              <w:right w:val="nil"/>
            </w:tcBorders>
          </w:tcPr>
          <w:p w:rsidR="006224C2" w:rsidRPr="00295E71" w14:paraId="440BC6DE" w14:textId="77777777">
            <w:pPr>
              <w:keepNext/>
              <w:rPr>
                <w:rFonts w:eastAsia="Arial Unicode MS"/>
                <w:sz w:val="22"/>
                <w:szCs w:val="22"/>
              </w:rPr>
            </w:pPr>
            <w:r w:rsidRPr="00295E71">
              <w:rPr>
                <w:rFonts w:eastAsia="Arial Unicode MS"/>
                <w:sz w:val="22"/>
                <w:szCs w:val="22"/>
              </w:rPr>
              <w:t>Settimana 8 e 52</w:t>
            </w:r>
          </w:p>
        </w:tc>
        <w:tc>
          <w:tcPr>
            <w:tcW w:w="634" w:type="pct"/>
            <w:tcBorders>
              <w:top w:val="nil"/>
              <w:left w:val="nil"/>
              <w:right w:val="nil"/>
            </w:tcBorders>
          </w:tcPr>
          <w:p w:rsidR="006224C2" w:rsidRPr="00295E71" w14:paraId="12D9000D" w14:textId="77777777">
            <w:pPr>
              <w:keepNext/>
              <w:jc w:val="center"/>
              <w:rPr>
                <w:rFonts w:eastAsia="Arial Unicode MS"/>
                <w:sz w:val="22"/>
                <w:szCs w:val="22"/>
              </w:rPr>
            </w:pPr>
          </w:p>
        </w:tc>
        <w:tc>
          <w:tcPr>
            <w:tcW w:w="1391" w:type="pct"/>
            <w:tcBorders>
              <w:top w:val="nil"/>
              <w:left w:val="nil"/>
              <w:right w:val="nil"/>
            </w:tcBorders>
          </w:tcPr>
          <w:p w:rsidR="006224C2" w:rsidRPr="00295E71" w14:paraId="29E3BE8D" w14:textId="77777777">
            <w:pPr>
              <w:keepNext/>
              <w:jc w:val="center"/>
              <w:rPr>
                <w:rFonts w:eastAsia="Arial Unicode MS"/>
                <w:sz w:val="22"/>
                <w:szCs w:val="22"/>
              </w:rPr>
            </w:pPr>
          </w:p>
        </w:tc>
      </w:tr>
      <w:tr w14:paraId="26A736D1" w14:textId="77777777">
        <w:tblPrEx>
          <w:tblW w:w="4375" w:type="pct"/>
          <w:tblInd w:w="-105" w:type="dxa"/>
          <w:tblLook w:val="0000"/>
        </w:tblPrEx>
        <w:tc>
          <w:tcPr>
            <w:tcW w:w="2976" w:type="pct"/>
            <w:tcBorders>
              <w:top w:val="nil"/>
              <w:left w:val="nil"/>
              <w:right w:val="nil"/>
            </w:tcBorders>
          </w:tcPr>
          <w:p w:rsidR="006224C2" w:rsidRPr="00295E71" w14:paraId="49B72062" w14:textId="77777777">
            <w:pPr>
              <w:keepNext/>
              <w:rPr>
                <w:rFonts w:eastAsia="Arial Unicode MS"/>
                <w:sz w:val="22"/>
                <w:szCs w:val="22"/>
              </w:rPr>
            </w:pPr>
            <w:r w:rsidRPr="00295E71">
              <w:rPr>
                <w:rFonts w:eastAsia="Arial Unicode MS"/>
                <w:sz w:val="22"/>
                <w:szCs w:val="22"/>
              </w:rPr>
              <w:t xml:space="preserve">  Risposta prolungata</w:t>
            </w:r>
          </w:p>
        </w:tc>
        <w:tc>
          <w:tcPr>
            <w:tcW w:w="634" w:type="pct"/>
            <w:tcBorders>
              <w:top w:val="nil"/>
              <w:left w:val="nil"/>
              <w:right w:val="nil"/>
            </w:tcBorders>
          </w:tcPr>
          <w:p w:rsidR="006224C2" w:rsidRPr="00295E71" w14:paraId="11622480" w14:textId="77777777">
            <w:pPr>
              <w:keepNext/>
              <w:jc w:val="center"/>
              <w:rPr>
                <w:rFonts w:eastAsia="Arial Unicode MS"/>
                <w:sz w:val="22"/>
                <w:szCs w:val="22"/>
              </w:rPr>
            </w:pPr>
            <w:r w:rsidRPr="00295E71">
              <w:rPr>
                <w:rFonts w:eastAsia="Arial Unicode MS"/>
                <w:sz w:val="22"/>
                <w:szCs w:val="22"/>
              </w:rPr>
              <w:t>12%</w:t>
            </w:r>
          </w:p>
        </w:tc>
        <w:tc>
          <w:tcPr>
            <w:tcW w:w="1391" w:type="pct"/>
            <w:tcBorders>
              <w:top w:val="nil"/>
              <w:left w:val="nil"/>
              <w:right w:val="nil"/>
            </w:tcBorders>
          </w:tcPr>
          <w:p w:rsidR="006224C2" w:rsidRPr="00295E71" w14:paraId="7D1EEE41" w14:textId="77777777">
            <w:pPr>
              <w:keepNext/>
              <w:jc w:val="center"/>
              <w:rPr>
                <w:rFonts w:eastAsia="Arial Unicode MS"/>
                <w:sz w:val="22"/>
                <w:szCs w:val="22"/>
              </w:rPr>
            </w:pPr>
            <w:r w:rsidRPr="00295E71">
              <w:rPr>
                <w:rFonts w:eastAsia="Arial Unicode MS"/>
                <w:sz w:val="22"/>
                <w:szCs w:val="22"/>
              </w:rPr>
              <w:t xml:space="preserve">   24%**</w:t>
            </w:r>
          </w:p>
        </w:tc>
      </w:tr>
      <w:tr w14:paraId="7BC26A07" w14:textId="77777777">
        <w:tblPrEx>
          <w:tblW w:w="4375" w:type="pct"/>
          <w:tblInd w:w="-105" w:type="dxa"/>
          <w:tblLook w:val="0000"/>
        </w:tblPrEx>
        <w:tc>
          <w:tcPr>
            <w:tcW w:w="2976" w:type="pct"/>
            <w:tcBorders>
              <w:top w:val="nil"/>
              <w:left w:val="nil"/>
              <w:right w:val="nil"/>
            </w:tcBorders>
          </w:tcPr>
          <w:p w:rsidR="006224C2" w:rsidRPr="00295E71" w14:paraId="77EEA57F" w14:textId="77777777">
            <w:pPr>
              <w:keepNext/>
              <w:rPr>
                <w:rFonts w:eastAsia="Arial Unicode MS"/>
                <w:sz w:val="22"/>
                <w:szCs w:val="22"/>
              </w:rPr>
            </w:pPr>
            <w:r w:rsidRPr="00295E71">
              <w:rPr>
                <w:rFonts w:eastAsia="Arial Unicode MS"/>
                <w:sz w:val="22"/>
                <w:szCs w:val="22"/>
              </w:rPr>
              <w:t xml:space="preserve"> Remissione prolungata </w:t>
            </w:r>
          </w:p>
        </w:tc>
        <w:tc>
          <w:tcPr>
            <w:tcW w:w="634" w:type="pct"/>
            <w:tcBorders>
              <w:top w:val="nil"/>
              <w:left w:val="nil"/>
              <w:right w:val="nil"/>
            </w:tcBorders>
          </w:tcPr>
          <w:p w:rsidR="006224C2" w:rsidRPr="00295E71" w14:paraId="194FF479" w14:textId="77777777">
            <w:pPr>
              <w:keepNext/>
              <w:jc w:val="center"/>
              <w:rPr>
                <w:rFonts w:eastAsia="Arial Unicode MS"/>
                <w:sz w:val="22"/>
                <w:szCs w:val="22"/>
              </w:rPr>
            </w:pPr>
            <w:r w:rsidRPr="00295E71">
              <w:rPr>
                <w:rFonts w:eastAsia="Arial Unicode MS"/>
                <w:sz w:val="22"/>
                <w:szCs w:val="22"/>
              </w:rPr>
              <w:t>4%</w:t>
            </w:r>
          </w:p>
        </w:tc>
        <w:tc>
          <w:tcPr>
            <w:tcW w:w="1391" w:type="pct"/>
            <w:tcBorders>
              <w:top w:val="nil"/>
              <w:left w:val="nil"/>
              <w:right w:val="nil"/>
            </w:tcBorders>
          </w:tcPr>
          <w:p w:rsidR="006224C2" w:rsidRPr="00295E71" w14:paraId="2B6278D6" w14:textId="77777777">
            <w:pPr>
              <w:keepNext/>
              <w:jc w:val="center"/>
              <w:rPr>
                <w:rFonts w:eastAsia="Arial Unicode MS"/>
                <w:sz w:val="22"/>
                <w:szCs w:val="22"/>
              </w:rPr>
            </w:pPr>
            <w:r w:rsidRPr="00295E71">
              <w:rPr>
                <w:rFonts w:eastAsia="Arial Unicode MS"/>
                <w:sz w:val="22"/>
                <w:szCs w:val="22"/>
              </w:rPr>
              <w:t xml:space="preserve">   8%*</w:t>
            </w:r>
          </w:p>
        </w:tc>
      </w:tr>
      <w:tr w14:paraId="3C3D1747" w14:textId="77777777">
        <w:tblPrEx>
          <w:tblW w:w="4375" w:type="pct"/>
          <w:tblInd w:w="-105" w:type="dxa"/>
          <w:tblLook w:val="0000"/>
        </w:tblPrEx>
        <w:tc>
          <w:tcPr>
            <w:tcW w:w="2976" w:type="pct"/>
            <w:tcBorders>
              <w:top w:val="nil"/>
              <w:left w:val="nil"/>
              <w:bottom w:val="single" w:sz="6" w:space="0" w:color="000000"/>
              <w:right w:val="nil"/>
            </w:tcBorders>
          </w:tcPr>
          <w:p w:rsidR="006224C2" w:rsidRPr="00295E71" w14:paraId="6C6A88E6" w14:textId="77777777">
            <w:pPr>
              <w:keepNext/>
              <w:rPr>
                <w:rFonts w:eastAsia="Arial Unicode MS"/>
                <w:sz w:val="22"/>
                <w:szCs w:val="22"/>
              </w:rPr>
            </w:pPr>
            <w:r w:rsidRPr="00295E71">
              <w:rPr>
                <w:rFonts w:eastAsia="Arial Unicode MS"/>
                <w:sz w:val="22"/>
                <w:szCs w:val="22"/>
              </w:rPr>
              <w:t xml:space="preserve">  </w:t>
            </w:r>
            <w:r w:rsidRPr="006207CB" w:rsidR="00E04499">
              <w:rPr>
                <w:rFonts w:eastAsia="Arial Unicode MS"/>
                <w:sz w:val="22"/>
                <w:szCs w:val="22"/>
              </w:rPr>
              <w:t>Guarigione</w:t>
            </w:r>
            <w:r w:rsidRPr="00295E71">
              <w:rPr>
                <w:rFonts w:eastAsia="Arial Unicode MS"/>
                <w:sz w:val="22"/>
                <w:szCs w:val="22"/>
              </w:rPr>
              <w:t xml:space="preserve"> prolungata della mucosa</w:t>
            </w:r>
          </w:p>
        </w:tc>
        <w:tc>
          <w:tcPr>
            <w:tcW w:w="634" w:type="pct"/>
            <w:tcBorders>
              <w:top w:val="nil"/>
              <w:left w:val="nil"/>
              <w:bottom w:val="single" w:sz="6" w:space="0" w:color="000000"/>
              <w:right w:val="nil"/>
            </w:tcBorders>
          </w:tcPr>
          <w:p w:rsidR="006224C2" w:rsidRPr="00295E71" w14:paraId="4E12D138" w14:textId="77777777">
            <w:pPr>
              <w:keepNext/>
              <w:jc w:val="center"/>
              <w:rPr>
                <w:rFonts w:eastAsia="Arial Unicode MS"/>
                <w:sz w:val="22"/>
                <w:szCs w:val="22"/>
              </w:rPr>
            </w:pPr>
            <w:r w:rsidRPr="00295E71">
              <w:rPr>
                <w:rFonts w:eastAsia="Arial Unicode MS"/>
                <w:sz w:val="22"/>
                <w:szCs w:val="22"/>
              </w:rPr>
              <w:t>11%</w:t>
            </w:r>
          </w:p>
        </w:tc>
        <w:tc>
          <w:tcPr>
            <w:tcW w:w="1391" w:type="pct"/>
            <w:tcBorders>
              <w:top w:val="nil"/>
              <w:left w:val="nil"/>
              <w:bottom w:val="single" w:sz="6" w:space="0" w:color="000000"/>
              <w:right w:val="nil"/>
            </w:tcBorders>
          </w:tcPr>
          <w:p w:rsidR="006224C2" w:rsidRPr="00295E71" w14:paraId="42F14050" w14:textId="77777777">
            <w:pPr>
              <w:keepNext/>
              <w:jc w:val="center"/>
              <w:rPr>
                <w:rFonts w:eastAsia="Arial Unicode MS"/>
                <w:sz w:val="22"/>
                <w:szCs w:val="22"/>
              </w:rPr>
            </w:pPr>
            <w:r w:rsidRPr="00295E71">
              <w:rPr>
                <w:rFonts w:eastAsia="Arial Unicode MS"/>
                <w:sz w:val="22"/>
                <w:szCs w:val="22"/>
              </w:rPr>
              <w:t xml:space="preserve">  19%*</w:t>
            </w:r>
          </w:p>
        </w:tc>
      </w:tr>
      <w:tr w14:paraId="0017368D" w14:textId="77777777">
        <w:tblPrEx>
          <w:tblW w:w="4375" w:type="pct"/>
          <w:tblInd w:w="-105" w:type="dxa"/>
          <w:tblLook w:val="0000"/>
        </w:tblPrEx>
        <w:trPr>
          <w:trHeight w:val="65"/>
        </w:trPr>
        <w:tc>
          <w:tcPr>
            <w:tcW w:w="5000" w:type="pct"/>
            <w:gridSpan w:val="3"/>
            <w:tcBorders>
              <w:top w:val="nil"/>
              <w:left w:val="nil"/>
              <w:bottom w:val="nil"/>
              <w:right w:val="nil"/>
            </w:tcBorders>
          </w:tcPr>
          <w:p w:rsidR="006224C2" w:rsidRPr="00295E71" w14:paraId="0EB2CCF2" w14:textId="77777777">
            <w:pPr>
              <w:keepNext/>
              <w:spacing w:line="264" w:lineRule="atLeast"/>
              <w:jc w:val="both"/>
              <w:rPr>
                <w:rFonts w:eastAsia="Arial Unicode MS"/>
                <w:sz w:val="22"/>
                <w:szCs w:val="22"/>
              </w:rPr>
            </w:pPr>
            <w:r w:rsidRPr="00295E71">
              <w:rPr>
                <w:rFonts w:eastAsia="Arial Unicode MS"/>
                <w:sz w:val="22"/>
                <w:szCs w:val="22"/>
              </w:rPr>
              <w:t>La remissione clinica è definita da un punteggio di Mayo ≤ 2 con nessun sottopunteggio &gt; 1;</w:t>
            </w:r>
          </w:p>
          <w:p w:rsidR="006224C2" w:rsidRPr="00295E71" w14:paraId="7C6D24B2" w14:textId="77777777">
            <w:pPr>
              <w:keepNext/>
              <w:spacing w:line="264" w:lineRule="atLeast"/>
              <w:jc w:val="both"/>
              <w:rPr>
                <w:rFonts w:eastAsia="Arial Unicode MS"/>
                <w:sz w:val="22"/>
                <w:szCs w:val="22"/>
              </w:rPr>
            </w:pPr>
            <w:r w:rsidRPr="00295E71">
              <w:rPr>
                <w:rFonts w:eastAsia="Arial Unicode MS"/>
                <w:sz w:val="22"/>
                <w:szCs w:val="22"/>
              </w:rPr>
              <w:t xml:space="preserve">La risposta clinica è definita come una riduzione </w:t>
            </w:r>
            <w:r w:rsidRPr="00B0616E" w:rsidR="00E04499">
              <w:rPr>
                <w:rFonts w:eastAsia="Arial Unicode MS"/>
                <w:sz w:val="22"/>
                <w:szCs w:val="22"/>
              </w:rPr>
              <w:t xml:space="preserve">rispetto al basale </w:t>
            </w:r>
            <w:r w:rsidRPr="00295E71">
              <w:rPr>
                <w:rFonts w:eastAsia="Arial Unicode MS"/>
                <w:sz w:val="22"/>
                <w:szCs w:val="22"/>
              </w:rPr>
              <w:t>del punteggio Mayo ≥3</w:t>
            </w:r>
            <w:r w:rsidR="00E04499">
              <w:rPr>
                <w:rFonts w:eastAsia="Arial Unicode MS"/>
                <w:sz w:val="22"/>
                <w:szCs w:val="22"/>
              </w:rPr>
              <w:t xml:space="preserve"> punti</w:t>
            </w:r>
            <w:r w:rsidRPr="00295E71">
              <w:rPr>
                <w:rFonts w:eastAsia="Arial Unicode MS"/>
                <w:sz w:val="22"/>
                <w:szCs w:val="22"/>
              </w:rPr>
              <w:t xml:space="preserve"> e </w:t>
            </w:r>
            <w:r w:rsidRPr="00B0616E" w:rsidR="00E04499">
              <w:rPr>
                <w:rFonts w:eastAsia="Arial Unicode MS"/>
                <w:sz w:val="22"/>
                <w:szCs w:val="22"/>
              </w:rPr>
              <w:t>≥</w:t>
            </w:r>
            <w:r w:rsidRPr="00295E71">
              <w:rPr>
                <w:rFonts w:eastAsia="Arial Unicode MS"/>
                <w:sz w:val="22"/>
                <w:szCs w:val="22"/>
              </w:rPr>
              <w:t>30%, oltre ad una diminuzione del sottopunteggio sanguinamento rettale</w:t>
            </w:r>
            <w:r w:rsidRPr="00B0616E" w:rsidR="00E04499">
              <w:rPr>
                <w:rFonts w:eastAsia="Arial Unicode MS"/>
                <w:sz w:val="22"/>
                <w:szCs w:val="22"/>
              </w:rPr>
              <w:t xml:space="preserve"> [RBS] </w:t>
            </w:r>
            <w:r w:rsidRPr="00295E71">
              <w:rPr>
                <w:rFonts w:eastAsia="Arial Unicode MS"/>
                <w:sz w:val="22"/>
                <w:szCs w:val="22"/>
              </w:rPr>
              <w:t>≥1 o un</w:t>
            </w:r>
            <w:r w:rsidR="00E04499">
              <w:rPr>
                <w:rFonts w:eastAsia="Arial Unicode MS"/>
                <w:sz w:val="22"/>
                <w:szCs w:val="22"/>
              </w:rPr>
              <w:t xml:space="preserve"> RBS</w:t>
            </w:r>
            <w:r w:rsidRPr="00295E71">
              <w:rPr>
                <w:rFonts w:eastAsia="Arial Unicode MS"/>
                <w:sz w:val="22"/>
                <w:szCs w:val="22"/>
              </w:rPr>
              <w:t xml:space="preserve"> di 0 o 1 in valore assoluto;</w:t>
            </w:r>
          </w:p>
          <w:p w:rsidR="006224C2" w:rsidRPr="00295E71" w14:paraId="0225B721" w14:textId="77777777">
            <w:pPr>
              <w:keepNext/>
              <w:spacing w:line="264" w:lineRule="atLeast"/>
              <w:jc w:val="both"/>
              <w:rPr>
                <w:rFonts w:eastAsia="Arial Unicode MS"/>
                <w:sz w:val="22"/>
                <w:szCs w:val="22"/>
              </w:rPr>
            </w:pPr>
            <w:r w:rsidRPr="00295E71">
              <w:rPr>
                <w:rStyle w:val="sup1"/>
                <w:rFonts w:eastAsia="Arial Unicode MS"/>
                <w:sz w:val="22"/>
                <w:szCs w:val="22"/>
                <w:vertAlign w:val="superscript"/>
              </w:rPr>
              <w:t>*</w:t>
            </w:r>
            <w:r w:rsidRPr="00295E71">
              <w:rPr>
                <w:rFonts w:eastAsia="Arial Unicode MS"/>
                <w:sz w:val="22"/>
                <w:szCs w:val="22"/>
              </w:rPr>
              <w:t xml:space="preserve">p&lt;0,05 per Humira </w:t>
            </w:r>
            <w:r w:rsidRPr="00295E71">
              <w:rPr>
                <w:rStyle w:val="italics5"/>
                <w:rFonts w:eastAsia="Arial Unicode MS"/>
                <w:sz w:val="22"/>
                <w:szCs w:val="22"/>
              </w:rPr>
              <w:t>vs.</w:t>
            </w:r>
            <w:r w:rsidRPr="00295E71">
              <w:rPr>
                <w:rFonts w:eastAsia="Arial Unicode MS"/>
                <w:sz w:val="22"/>
                <w:szCs w:val="22"/>
              </w:rPr>
              <w:t xml:space="preserve"> placebo alla comparazione appaiata </w:t>
            </w:r>
            <w:r w:rsidRPr="00B0616E" w:rsidR="00E04499">
              <w:rPr>
                <w:rFonts w:eastAsia="Arial Unicode MS"/>
                <w:sz w:val="22"/>
                <w:szCs w:val="22"/>
              </w:rPr>
              <w:t>delle percentuali</w:t>
            </w:r>
          </w:p>
          <w:p w:rsidR="006224C2" w:rsidRPr="00295E71" w14:paraId="7BEF2734" w14:textId="77777777">
            <w:pPr>
              <w:keepNext/>
              <w:spacing w:line="264" w:lineRule="atLeast"/>
              <w:jc w:val="both"/>
              <w:rPr>
                <w:rFonts w:eastAsia="Arial Unicode MS"/>
                <w:sz w:val="22"/>
                <w:szCs w:val="22"/>
              </w:rPr>
            </w:pPr>
            <w:r w:rsidRPr="00295E71">
              <w:rPr>
                <w:rFonts w:eastAsia="Arial Unicode MS"/>
                <w:sz w:val="22"/>
                <w:szCs w:val="22"/>
              </w:rPr>
              <w:t xml:space="preserve">**p&lt;0,001 per Humira </w:t>
            </w:r>
            <w:r w:rsidRPr="00295E71">
              <w:rPr>
                <w:rFonts w:eastAsia="Arial Unicode MS"/>
                <w:i/>
                <w:sz w:val="22"/>
                <w:szCs w:val="22"/>
              </w:rPr>
              <w:t>vs.</w:t>
            </w:r>
            <w:r w:rsidRPr="00295E71">
              <w:rPr>
                <w:rFonts w:eastAsia="Arial Unicode MS"/>
                <w:sz w:val="22"/>
                <w:szCs w:val="22"/>
              </w:rPr>
              <w:t xml:space="preserve"> placebo alla comparazione appaiata</w:t>
            </w:r>
            <w:r w:rsidRPr="00B0616E" w:rsidR="00E04499">
              <w:rPr>
                <w:rFonts w:eastAsia="Arial Unicode MS"/>
                <w:sz w:val="22"/>
                <w:szCs w:val="22"/>
              </w:rPr>
              <w:t xml:space="preserve"> delle percentuali</w:t>
            </w:r>
          </w:p>
          <w:p w:rsidR="006224C2" w:rsidRPr="00295E71" w14:paraId="20BFFB44" w14:textId="77777777">
            <w:pPr>
              <w:keepNext/>
              <w:spacing w:line="264" w:lineRule="atLeast"/>
              <w:jc w:val="both"/>
              <w:rPr>
                <w:rFonts w:eastAsia="Arial Unicode MS"/>
                <w:b/>
                <w:sz w:val="22"/>
                <w:szCs w:val="22"/>
              </w:rPr>
            </w:pPr>
            <w:r w:rsidRPr="00295E71">
              <w:rPr>
                <w:sz w:val="22"/>
                <w:szCs w:val="22"/>
                <w:vertAlign w:val="superscript"/>
              </w:rPr>
              <w:t xml:space="preserve">a </w:t>
            </w:r>
            <w:r w:rsidRPr="00295E71">
              <w:rPr>
                <w:sz w:val="22"/>
                <w:szCs w:val="22"/>
              </w:rPr>
              <w:t xml:space="preserve">  Di coloro che hanno assunto corticosteroidi </w:t>
            </w:r>
            <w:r w:rsidRPr="00B0616E" w:rsidR="00E04499">
              <w:rPr>
                <w:sz w:val="22"/>
                <w:szCs w:val="22"/>
              </w:rPr>
              <w:t>al basale</w:t>
            </w:r>
            <w:r w:rsidRPr="00295E71">
              <w:rPr>
                <w:sz w:val="22"/>
                <w:szCs w:val="22"/>
              </w:rPr>
              <w:t>.</w:t>
            </w:r>
          </w:p>
        </w:tc>
      </w:tr>
    </w:tbl>
    <w:p w:rsidR="006224C2" w:rsidRPr="00295E71" w14:paraId="15946058" w14:textId="77777777">
      <w:pPr>
        <w:tabs>
          <w:tab w:val="left" w:pos="567"/>
          <w:tab w:val="left" w:pos="1294"/>
        </w:tabs>
        <w:autoSpaceDE w:val="0"/>
        <w:autoSpaceDN w:val="0"/>
        <w:adjustRightInd w:val="0"/>
        <w:rPr>
          <w:color w:val="000000"/>
          <w:sz w:val="22"/>
          <w:szCs w:val="22"/>
        </w:rPr>
      </w:pPr>
    </w:p>
    <w:p w:rsidR="006224C2" w:rsidRPr="00295E71" w14:paraId="7840CE62"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Dei pazienti che hanno risposto alla settimana 8, il 47% mostrava una risposta, il 29% era in remissione, il 41% ha manifestato guarigione della mucosa e il 20% era in remissione senza uso di steroidi per un periodo ≥ 90 giorni alla settimana 52. </w:t>
      </w:r>
    </w:p>
    <w:p w:rsidR="006224C2" w:rsidRPr="00295E71" w14:paraId="693A78DC" w14:textId="77777777">
      <w:pPr>
        <w:tabs>
          <w:tab w:val="left" w:pos="567"/>
          <w:tab w:val="left" w:pos="1294"/>
        </w:tabs>
        <w:autoSpaceDE w:val="0"/>
        <w:autoSpaceDN w:val="0"/>
        <w:adjustRightInd w:val="0"/>
        <w:jc w:val="both"/>
        <w:rPr>
          <w:color w:val="000000"/>
          <w:sz w:val="22"/>
          <w:szCs w:val="22"/>
        </w:rPr>
      </w:pPr>
    </w:p>
    <w:p w:rsidR="006224C2" w:rsidRPr="00295E71" w14:paraId="033B6FE9"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Circa il 40% di pazienti arruolati nello studio UC-II aveva fallito il precedente trattamento a base di anti-TNF con infliximab. L’efficacia di adalimumab in quei pazienti si è dimostrata ridotta in confronto a quanto mostrato in pazienti non precedentemente trattati con anti TNF. Tra i pazienti che avevano fallito il precedente trattamento con anti TNF, il 3% del braccio placebo e il 10% del braccio adalimumab ha raggiunto la remissione alla settimana 52.</w:t>
      </w:r>
    </w:p>
    <w:p w:rsidR="006224C2" w:rsidRPr="00295E71" w14:paraId="1A40E4E9" w14:textId="77777777">
      <w:pPr>
        <w:tabs>
          <w:tab w:val="left" w:pos="567"/>
          <w:tab w:val="left" w:pos="1294"/>
        </w:tabs>
        <w:autoSpaceDE w:val="0"/>
        <w:autoSpaceDN w:val="0"/>
        <w:adjustRightInd w:val="0"/>
        <w:jc w:val="both"/>
        <w:rPr>
          <w:color w:val="000000"/>
          <w:sz w:val="22"/>
          <w:szCs w:val="22"/>
        </w:rPr>
      </w:pPr>
    </w:p>
    <w:p w:rsidR="006224C2" w:rsidRPr="00295E71" w14:paraId="469A7904"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 pazienti arruolati negli studi UC-I e UC-II</w:t>
      </w:r>
      <w:r w:rsidR="00E04499">
        <w:rPr>
          <w:color w:val="000000"/>
          <w:sz w:val="22"/>
          <w:szCs w:val="22"/>
        </w:rPr>
        <w:t xml:space="preserve"> </w:t>
      </w:r>
      <w:r w:rsidRPr="00295E71">
        <w:rPr>
          <w:color w:val="000000"/>
          <w:sz w:val="22"/>
          <w:szCs w:val="22"/>
        </w:rPr>
        <w:t xml:space="preserve">hanno avuto la possibilità di entrare in uno studio </w:t>
      </w:r>
      <w:r w:rsidRPr="00020442" w:rsidR="00E04499">
        <w:rPr>
          <w:color w:val="000000"/>
          <w:sz w:val="22"/>
          <w:szCs w:val="22"/>
        </w:rPr>
        <w:t xml:space="preserve">di estensione in </w:t>
      </w:r>
      <w:r w:rsidRPr="00295E71">
        <w:rPr>
          <w:color w:val="000000"/>
          <w:sz w:val="22"/>
          <w:szCs w:val="22"/>
        </w:rPr>
        <w:t xml:space="preserve">aperto a lungo termine  (UC-III). Dopo tre anni di terapia a base di adalimumab, il 75% (301/402) ha continuato ad essere in remissione clinica in accordo al punteggio Mayo parziale. </w:t>
      </w:r>
    </w:p>
    <w:p w:rsidR="006224C2" w:rsidRPr="00295E71" w14:paraId="2F216C0A" w14:textId="77777777">
      <w:pPr>
        <w:tabs>
          <w:tab w:val="left" w:pos="567"/>
          <w:tab w:val="left" w:pos="1294"/>
        </w:tabs>
        <w:autoSpaceDE w:val="0"/>
        <w:autoSpaceDN w:val="0"/>
        <w:adjustRightInd w:val="0"/>
        <w:jc w:val="both"/>
        <w:rPr>
          <w:color w:val="000000"/>
          <w:sz w:val="22"/>
          <w:szCs w:val="22"/>
        </w:rPr>
      </w:pPr>
    </w:p>
    <w:p w:rsidR="006224C2" w:rsidRPr="00295E71" w:rsidP="00986889" w14:paraId="303A9074" w14:textId="77777777">
      <w:pPr>
        <w:keepNext/>
        <w:tabs>
          <w:tab w:val="left" w:pos="567"/>
          <w:tab w:val="left" w:pos="1294"/>
        </w:tabs>
        <w:autoSpaceDE w:val="0"/>
        <w:autoSpaceDN w:val="0"/>
        <w:adjustRightInd w:val="0"/>
        <w:jc w:val="both"/>
        <w:rPr>
          <w:i/>
          <w:color w:val="000000"/>
          <w:sz w:val="22"/>
          <w:szCs w:val="22"/>
          <w:u w:val="single"/>
        </w:rPr>
      </w:pPr>
      <w:r w:rsidRPr="00295E71">
        <w:rPr>
          <w:i/>
          <w:color w:val="000000"/>
          <w:sz w:val="22"/>
          <w:szCs w:val="22"/>
          <w:u w:val="single"/>
        </w:rPr>
        <w:t>Tassi di ospedalizzazione</w:t>
      </w:r>
    </w:p>
    <w:p w:rsidR="006224C2" w:rsidRPr="00295E71" w14:paraId="51C47D4B" w14:textId="77777777">
      <w:pPr>
        <w:tabs>
          <w:tab w:val="left" w:pos="567"/>
          <w:tab w:val="left" w:pos="1294"/>
        </w:tabs>
        <w:autoSpaceDE w:val="0"/>
        <w:autoSpaceDN w:val="0"/>
        <w:adjustRightInd w:val="0"/>
        <w:jc w:val="both"/>
        <w:rPr>
          <w:color w:val="000000"/>
          <w:sz w:val="22"/>
          <w:szCs w:val="22"/>
          <w:u w:val="single"/>
        </w:rPr>
      </w:pPr>
    </w:p>
    <w:p w:rsidR="006224C2" w:rsidRPr="00295E71" w14:paraId="7A078733"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Durante le 52 settimane degli studi UC-I e UC-II, è stata osservata una diminuzione delle ospedalizzazioni per tutte le cause e delle ospedalizzazioni correlate alla colite ulcerosa nel gruppo trattato con adalimumab rispetto al gruppo trattato con placebo. Il numero delle ospedalizzazioni per tutte le cause era di 0,18 soggetti per anno nel gruppo di trattamento con adalimumab rispetto al gruppo in trattamento con placebo (0,26 soggetti per anno) ed i corrispondenti dati relativi alle ospedalizzazioni correlate alla colite ulcerosa erano di 0,12 soggetti per anno rispetto a 0,22 soggetti per anno.</w:t>
      </w:r>
    </w:p>
    <w:p w:rsidR="006224C2" w:rsidRPr="00295E71" w14:paraId="0DDAB162" w14:textId="77777777">
      <w:pPr>
        <w:tabs>
          <w:tab w:val="left" w:pos="567"/>
          <w:tab w:val="left" w:pos="1294"/>
        </w:tabs>
        <w:autoSpaceDE w:val="0"/>
        <w:autoSpaceDN w:val="0"/>
        <w:adjustRightInd w:val="0"/>
        <w:jc w:val="both"/>
        <w:rPr>
          <w:color w:val="000000"/>
          <w:sz w:val="22"/>
          <w:szCs w:val="22"/>
          <w:u w:val="single"/>
        </w:rPr>
      </w:pPr>
    </w:p>
    <w:p w:rsidR="006224C2" w:rsidRPr="00295E71" w14:paraId="19D3A7D6" w14:textId="77777777">
      <w:pPr>
        <w:keepNext/>
        <w:rPr>
          <w:i/>
          <w:color w:val="000000"/>
          <w:sz w:val="22"/>
          <w:szCs w:val="22"/>
          <w:u w:val="single"/>
        </w:rPr>
      </w:pPr>
      <w:r w:rsidRPr="00295E71">
        <w:rPr>
          <w:i/>
          <w:color w:val="000000"/>
          <w:sz w:val="22"/>
          <w:szCs w:val="22"/>
          <w:u w:val="single"/>
        </w:rPr>
        <w:t>Qualità della vita</w:t>
      </w:r>
    </w:p>
    <w:p w:rsidR="006224C2" w:rsidRPr="00295E71" w14:paraId="67DA8F29" w14:textId="77777777">
      <w:pPr>
        <w:keepNext/>
        <w:tabs>
          <w:tab w:val="left" w:pos="567"/>
          <w:tab w:val="left" w:pos="1294"/>
        </w:tabs>
        <w:autoSpaceDE w:val="0"/>
        <w:autoSpaceDN w:val="0"/>
        <w:adjustRightInd w:val="0"/>
        <w:jc w:val="both"/>
        <w:rPr>
          <w:color w:val="000000"/>
          <w:sz w:val="22"/>
          <w:szCs w:val="22"/>
        </w:rPr>
      </w:pPr>
    </w:p>
    <w:p w:rsidR="006224C2" w:rsidRPr="00295E71" w14:paraId="46B3109B" w14:textId="77777777">
      <w:pPr>
        <w:keepNext/>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Nello studio UC-II, il trattamento con adalimumab ha portato ad un miglioramento del punteggio del questionario </w:t>
      </w:r>
      <w:r w:rsidRPr="00020442" w:rsidR="00E04499">
        <w:rPr>
          <w:color w:val="000000"/>
          <w:sz w:val="22"/>
          <w:szCs w:val="22"/>
        </w:rPr>
        <w:t>Inflammatory Bowel Disease Questionnaire</w:t>
      </w:r>
      <w:r w:rsidRPr="00295E71">
        <w:rPr>
          <w:color w:val="000000"/>
          <w:sz w:val="22"/>
          <w:szCs w:val="22"/>
        </w:rPr>
        <w:t xml:space="preserve"> (IBDQ).</w:t>
      </w:r>
    </w:p>
    <w:p w:rsidR="006224C2" w:rsidRPr="00295E71" w14:paraId="5E90D5AF" w14:textId="77777777">
      <w:pPr>
        <w:tabs>
          <w:tab w:val="left" w:pos="567"/>
          <w:tab w:val="left" w:pos="1294"/>
        </w:tabs>
        <w:autoSpaceDE w:val="0"/>
        <w:autoSpaceDN w:val="0"/>
        <w:adjustRightInd w:val="0"/>
        <w:jc w:val="both"/>
        <w:rPr>
          <w:color w:val="000000"/>
          <w:sz w:val="22"/>
          <w:szCs w:val="22"/>
          <w:u w:val="single"/>
        </w:rPr>
      </w:pPr>
    </w:p>
    <w:p w:rsidR="006224C2" w:rsidRPr="00295E71" w14:paraId="7562906F" w14:textId="77777777">
      <w:pPr>
        <w:tabs>
          <w:tab w:val="left" w:pos="567"/>
          <w:tab w:val="left" w:pos="1294"/>
        </w:tabs>
        <w:autoSpaceDE w:val="0"/>
        <w:autoSpaceDN w:val="0"/>
        <w:adjustRightInd w:val="0"/>
        <w:jc w:val="both"/>
        <w:rPr>
          <w:i/>
          <w:color w:val="000000"/>
          <w:sz w:val="22"/>
          <w:szCs w:val="22"/>
        </w:rPr>
      </w:pPr>
      <w:r w:rsidRPr="00295E71">
        <w:rPr>
          <w:i/>
          <w:color w:val="000000"/>
          <w:sz w:val="22"/>
          <w:szCs w:val="22"/>
        </w:rPr>
        <w:t>Uveite</w:t>
      </w:r>
    </w:p>
    <w:p w:rsidR="006224C2" w:rsidRPr="00295E71" w14:paraId="614BE7CF" w14:textId="77777777">
      <w:pPr>
        <w:tabs>
          <w:tab w:val="left" w:pos="567"/>
          <w:tab w:val="left" w:pos="1294"/>
        </w:tabs>
        <w:autoSpaceDE w:val="0"/>
        <w:autoSpaceDN w:val="0"/>
        <w:adjustRightInd w:val="0"/>
        <w:jc w:val="both"/>
        <w:rPr>
          <w:color w:val="000000"/>
          <w:sz w:val="22"/>
          <w:szCs w:val="22"/>
        </w:rPr>
      </w:pPr>
    </w:p>
    <w:p w:rsidR="006224C2" w:rsidRPr="00295E71" w14:paraId="3808E936"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La sicurezza e l'efficacia di Humira sono state valutate in pazienti adulti con uveite non-infettiva intermedia, posteriore e panuveite, escludendo i pazienti con uveite anteriore isolata, in due studi randomizzati, in doppio cieco, controllati con placebo (UV I e II). I pazienti hanno ricevuto placebo o Humira a una dose iniziale di 80 mg seguita da 40 mg a settimane alterne a partire da una settimana dopo la dose iniziale. Erano consentite dosi stabili concomitanti di un immunosoppressore non biologico.</w:t>
      </w:r>
    </w:p>
    <w:p w:rsidR="006224C2" w:rsidRPr="00295E71" w14:paraId="48E77D81" w14:textId="77777777">
      <w:pPr>
        <w:tabs>
          <w:tab w:val="left" w:pos="567"/>
          <w:tab w:val="left" w:pos="1294"/>
        </w:tabs>
        <w:autoSpaceDE w:val="0"/>
        <w:autoSpaceDN w:val="0"/>
        <w:adjustRightInd w:val="0"/>
        <w:jc w:val="both"/>
        <w:rPr>
          <w:color w:val="000000"/>
          <w:sz w:val="22"/>
          <w:szCs w:val="22"/>
        </w:rPr>
      </w:pPr>
    </w:p>
    <w:p w:rsidR="006224C2" w:rsidRPr="00295E71" w14:paraId="73C6A33D"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Lo Studio UV I ha valutato 217 pazienti con uveite attiva nonostante il trattamento con corticosteroidi (prednisone orale a una dose di 10-60 mg/die). Tutti i pazienti hanno ricevuto una dose standardizzata di prednisone pari a 60 mg/die all’ingresso nello studio per 2 settimane seguita da un programma obbligatorio di riduzione del dosaggio, fino alla sospensione totale del corticosteroide alla settimana 15.</w:t>
      </w:r>
    </w:p>
    <w:p w:rsidR="006224C2" w:rsidRPr="00295E71" w14:paraId="26715226" w14:textId="77777777">
      <w:pPr>
        <w:tabs>
          <w:tab w:val="left" w:pos="567"/>
          <w:tab w:val="left" w:pos="1294"/>
        </w:tabs>
        <w:autoSpaceDE w:val="0"/>
        <w:autoSpaceDN w:val="0"/>
        <w:adjustRightInd w:val="0"/>
        <w:jc w:val="both"/>
        <w:rPr>
          <w:color w:val="000000"/>
          <w:sz w:val="22"/>
          <w:szCs w:val="22"/>
        </w:rPr>
      </w:pPr>
    </w:p>
    <w:p w:rsidR="006224C2" w:rsidRPr="00295E71" w14:paraId="6469405D"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Lo Studio UV II ha valutato 226 pazienti con uveite inattiva che al basale necessitavano di trattamento cronico con corticosteroide (prednisone orale da 10 a 35 mg/die) per controllare la loro malattia. I pazienti sono stati sottoposti successivamente a un programma obbligatorio di riduzione del dosaggio, fino alla sospensione totale del corticosteroide alla settimana 19.</w:t>
      </w:r>
    </w:p>
    <w:p w:rsidR="006224C2" w:rsidRPr="00295E71" w14:paraId="34D71158" w14:textId="77777777">
      <w:pPr>
        <w:tabs>
          <w:tab w:val="left" w:pos="567"/>
          <w:tab w:val="left" w:pos="1294"/>
        </w:tabs>
        <w:autoSpaceDE w:val="0"/>
        <w:autoSpaceDN w:val="0"/>
        <w:adjustRightInd w:val="0"/>
        <w:jc w:val="both"/>
        <w:rPr>
          <w:color w:val="000000"/>
          <w:sz w:val="22"/>
          <w:szCs w:val="22"/>
        </w:rPr>
      </w:pPr>
    </w:p>
    <w:p w:rsidR="006224C2" w:rsidRPr="00295E71" w14:paraId="39C1237A"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L'endpoint primario di efficacia in entrambi gli studi era il “tempo al fallimento del trattamento”. Il fallimento del trattamento è stato definito attraverso un parametro a più componenti basato su lesioni vascolari infiammatorie corioretiniche e/o retiniche, numero di cellule in camera anteriore (anterior chamber, AC), grado di opacità del vitreo (vitreous haze, VH) e migliore acuità visiva corretta (best corrected visual acuity, BCVA).</w:t>
      </w:r>
    </w:p>
    <w:p w:rsidR="006224C2" w:rsidRPr="00295E71" w14:paraId="417AD63D" w14:textId="77777777">
      <w:pPr>
        <w:tabs>
          <w:tab w:val="left" w:pos="567"/>
          <w:tab w:val="left" w:pos="1294"/>
        </w:tabs>
        <w:autoSpaceDE w:val="0"/>
        <w:autoSpaceDN w:val="0"/>
        <w:adjustRightInd w:val="0"/>
        <w:jc w:val="both"/>
        <w:rPr>
          <w:color w:val="000000"/>
          <w:sz w:val="22"/>
          <w:szCs w:val="22"/>
        </w:rPr>
      </w:pPr>
    </w:p>
    <w:p w:rsidR="00BA6375" w:rsidP="00BA6375" w14:paraId="2079B09D" w14:textId="77777777">
      <w:pPr>
        <w:pStyle w:val="EMEANormal"/>
        <w:jc w:val="both"/>
        <w:rPr>
          <w:color w:val="000000"/>
          <w:lang w:val="it-IT" w:eastAsia="it-IT"/>
        </w:rPr>
      </w:pPr>
      <w:r w:rsidRPr="00004788">
        <w:rPr>
          <w:color w:val="000000"/>
          <w:lang w:val="it-IT" w:eastAsia="it-IT"/>
        </w:rPr>
        <w:t xml:space="preserve">I pazienti che hanno completato gli Studi UV I e UV II erano eleggibili per </w:t>
      </w:r>
      <w:r>
        <w:rPr>
          <w:color w:val="000000"/>
          <w:lang w:val="it-IT" w:eastAsia="it-IT"/>
        </w:rPr>
        <w:t xml:space="preserve">essere arruolati in uno </w:t>
      </w:r>
      <w:r w:rsidRPr="00004788">
        <w:rPr>
          <w:color w:val="000000"/>
          <w:lang w:val="it-IT" w:eastAsia="it-IT"/>
        </w:rPr>
        <w:t xml:space="preserve">studio di estensione a lungo termine </w:t>
      </w:r>
      <w:r>
        <w:rPr>
          <w:color w:val="000000"/>
          <w:lang w:val="it-IT" w:eastAsia="it-IT"/>
        </w:rPr>
        <w:t xml:space="preserve">non </w:t>
      </w:r>
      <w:r w:rsidRPr="00004788">
        <w:rPr>
          <w:color w:val="000000"/>
          <w:lang w:val="it-IT" w:eastAsia="it-IT"/>
        </w:rPr>
        <w:t>controllato</w:t>
      </w:r>
      <w:r>
        <w:rPr>
          <w:color w:val="000000"/>
          <w:lang w:val="it-IT" w:eastAsia="it-IT"/>
        </w:rPr>
        <w:t xml:space="preserve"> della </w:t>
      </w:r>
      <w:r w:rsidRPr="00004788">
        <w:rPr>
          <w:color w:val="000000"/>
          <w:lang w:val="it-IT" w:eastAsia="it-IT"/>
        </w:rPr>
        <w:t xml:space="preserve">durata originariamente programmata di 78 settimane. I pazienti sono stati autorizzati a continuare </w:t>
      </w:r>
      <w:r>
        <w:rPr>
          <w:color w:val="000000"/>
          <w:lang w:val="it-IT" w:eastAsia="it-IT"/>
        </w:rPr>
        <w:t xml:space="preserve">il medicinale in studio </w:t>
      </w:r>
      <w:r w:rsidRPr="00004788">
        <w:rPr>
          <w:color w:val="000000"/>
          <w:lang w:val="it-IT" w:eastAsia="it-IT"/>
        </w:rPr>
        <w:t xml:space="preserve">oltre la </w:t>
      </w:r>
      <w:r>
        <w:rPr>
          <w:color w:val="000000"/>
          <w:lang w:val="it-IT" w:eastAsia="it-IT"/>
        </w:rPr>
        <w:t>S</w:t>
      </w:r>
      <w:r w:rsidRPr="00004788">
        <w:rPr>
          <w:color w:val="000000"/>
          <w:lang w:val="it-IT" w:eastAsia="it-IT"/>
        </w:rPr>
        <w:t>ettimana 78 fino a quando</w:t>
      </w:r>
      <w:r w:rsidR="00FF189C">
        <w:rPr>
          <w:color w:val="000000"/>
          <w:lang w:val="it-IT" w:eastAsia="it-IT"/>
        </w:rPr>
        <w:t xml:space="preserve"> hanno avuto</w:t>
      </w:r>
      <w:r w:rsidRPr="00004788">
        <w:rPr>
          <w:color w:val="000000"/>
          <w:lang w:val="it-IT" w:eastAsia="it-IT"/>
        </w:rPr>
        <w:t xml:space="preserve"> accesso a</w:t>
      </w:r>
      <w:r>
        <w:rPr>
          <w:color w:val="000000"/>
          <w:lang w:val="it-IT" w:eastAsia="it-IT"/>
        </w:rPr>
        <w:t>d</w:t>
      </w:r>
      <w:r w:rsidRPr="00004788">
        <w:rPr>
          <w:color w:val="000000"/>
          <w:lang w:val="it-IT" w:eastAsia="it-IT"/>
        </w:rPr>
        <w:t xml:space="preserve"> Humira.</w:t>
      </w:r>
    </w:p>
    <w:p w:rsidR="00BA6375" w14:paraId="77793154" w14:textId="77777777">
      <w:pPr>
        <w:tabs>
          <w:tab w:val="left" w:pos="567"/>
          <w:tab w:val="left" w:pos="1294"/>
        </w:tabs>
        <w:autoSpaceDE w:val="0"/>
        <w:autoSpaceDN w:val="0"/>
        <w:adjustRightInd w:val="0"/>
        <w:jc w:val="both"/>
        <w:rPr>
          <w:i/>
          <w:color w:val="000000"/>
          <w:sz w:val="22"/>
          <w:szCs w:val="22"/>
          <w:u w:val="single"/>
        </w:rPr>
      </w:pPr>
    </w:p>
    <w:p w:rsidR="006224C2" w:rsidRPr="00295E71" w14:paraId="7F66497D" w14:textId="77777777">
      <w:pPr>
        <w:tabs>
          <w:tab w:val="left" w:pos="567"/>
          <w:tab w:val="left" w:pos="1294"/>
        </w:tabs>
        <w:autoSpaceDE w:val="0"/>
        <w:autoSpaceDN w:val="0"/>
        <w:adjustRightInd w:val="0"/>
        <w:jc w:val="both"/>
        <w:rPr>
          <w:i/>
          <w:color w:val="000000"/>
          <w:sz w:val="22"/>
          <w:szCs w:val="22"/>
          <w:u w:val="single"/>
        </w:rPr>
      </w:pPr>
      <w:r w:rsidRPr="00295E71">
        <w:rPr>
          <w:i/>
          <w:color w:val="000000"/>
          <w:sz w:val="22"/>
          <w:szCs w:val="22"/>
          <w:u w:val="single"/>
        </w:rPr>
        <w:t>Risposta clinica</w:t>
      </w:r>
    </w:p>
    <w:p w:rsidR="006224C2" w:rsidRPr="00295E71" w14:paraId="121E48DC" w14:textId="77777777">
      <w:pPr>
        <w:tabs>
          <w:tab w:val="left" w:pos="567"/>
          <w:tab w:val="left" w:pos="1294"/>
        </w:tabs>
        <w:autoSpaceDE w:val="0"/>
        <w:autoSpaceDN w:val="0"/>
        <w:adjustRightInd w:val="0"/>
        <w:jc w:val="both"/>
        <w:rPr>
          <w:color w:val="000000"/>
          <w:sz w:val="22"/>
          <w:szCs w:val="22"/>
        </w:rPr>
      </w:pPr>
    </w:p>
    <w:p w:rsidR="006224C2" w:rsidRPr="00295E71" w14:paraId="2EDDCA8F"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I risultati di entrambi gli studi hanno dimostrato la riduzione statisticamente significativa del rischio di fallimento del trattamento nei pazienti trattati con Humira rispetto ai pazienti trattati con placebo (vedere Tabella </w:t>
      </w:r>
      <w:r w:rsidRPr="00295E71" w:rsidR="0004229E">
        <w:rPr>
          <w:color w:val="000000"/>
          <w:sz w:val="22"/>
          <w:szCs w:val="22"/>
        </w:rPr>
        <w:t>1</w:t>
      </w:r>
      <w:r w:rsidR="00800CE0">
        <w:rPr>
          <w:color w:val="000000"/>
          <w:sz w:val="22"/>
          <w:szCs w:val="22"/>
        </w:rPr>
        <w:t>7</w:t>
      </w:r>
      <w:r w:rsidRPr="00295E71">
        <w:rPr>
          <w:color w:val="000000"/>
          <w:sz w:val="22"/>
          <w:szCs w:val="22"/>
        </w:rPr>
        <w:t>). Entrambi gli studi hanno dimostrato un effetto precoce e prolungato di Humira sul tasso di fallimento del trattamento rispetto al placebo (vedere Figura 1).</w:t>
      </w:r>
    </w:p>
    <w:p w:rsidR="006224C2" w:rsidRPr="00295E71" w14:paraId="0DB090FE" w14:textId="77777777">
      <w:pPr>
        <w:tabs>
          <w:tab w:val="left" w:pos="567"/>
          <w:tab w:val="left" w:pos="1294"/>
        </w:tabs>
        <w:autoSpaceDE w:val="0"/>
        <w:autoSpaceDN w:val="0"/>
        <w:adjustRightInd w:val="0"/>
        <w:jc w:val="both"/>
        <w:rPr>
          <w:color w:val="000000"/>
          <w:sz w:val="22"/>
          <w:szCs w:val="22"/>
        </w:rPr>
      </w:pPr>
    </w:p>
    <w:p w:rsidR="006224C2" w:rsidRPr="00295E71" w:rsidP="00F57FE5" w14:paraId="49B706DC" w14:textId="77777777">
      <w:pPr>
        <w:keepNext/>
        <w:keepLines/>
        <w:jc w:val="center"/>
        <w:rPr>
          <w:b/>
          <w:color w:val="000000"/>
          <w:sz w:val="22"/>
          <w:szCs w:val="22"/>
        </w:rPr>
      </w:pPr>
      <w:r w:rsidRPr="00295E71">
        <w:rPr>
          <w:b/>
          <w:color w:val="000000"/>
          <w:sz w:val="22"/>
          <w:szCs w:val="22"/>
        </w:rPr>
        <w:t xml:space="preserve">Tabella </w:t>
      </w:r>
      <w:r w:rsidRPr="00295E71" w:rsidR="0004229E">
        <w:rPr>
          <w:b/>
          <w:color w:val="000000"/>
          <w:sz w:val="22"/>
          <w:szCs w:val="22"/>
        </w:rPr>
        <w:t>1</w:t>
      </w:r>
      <w:r w:rsidR="00800CE0">
        <w:rPr>
          <w:b/>
          <w:color w:val="000000"/>
          <w:sz w:val="22"/>
          <w:szCs w:val="22"/>
        </w:rPr>
        <w:t>7</w:t>
      </w:r>
    </w:p>
    <w:p w:rsidR="006224C2" w:rsidRPr="00295E71" w:rsidP="00F57FE5" w14:paraId="0D8F14AB" w14:textId="77777777">
      <w:pPr>
        <w:keepNext/>
        <w:keepLines/>
        <w:tabs>
          <w:tab w:val="left" w:pos="567"/>
          <w:tab w:val="left" w:pos="1294"/>
        </w:tabs>
        <w:autoSpaceDE w:val="0"/>
        <w:autoSpaceDN w:val="0"/>
        <w:adjustRightInd w:val="0"/>
        <w:jc w:val="center"/>
        <w:rPr>
          <w:b/>
          <w:color w:val="000000"/>
          <w:sz w:val="22"/>
          <w:szCs w:val="22"/>
        </w:rPr>
      </w:pPr>
      <w:r w:rsidRPr="00295E71">
        <w:rPr>
          <w:b/>
          <w:color w:val="000000"/>
          <w:sz w:val="22"/>
          <w:szCs w:val="22"/>
        </w:rPr>
        <w:t>Tempo al fallimento del trattamento negli Studi UV I e UV II</w:t>
      </w:r>
    </w:p>
    <w:p w:rsidR="006224C2" w:rsidRPr="00295E71" w:rsidP="00F57FE5" w14:paraId="4518A96E" w14:textId="77777777">
      <w:pPr>
        <w:keepNext/>
        <w:keepLines/>
        <w:tabs>
          <w:tab w:val="left" w:pos="567"/>
          <w:tab w:val="left" w:pos="1294"/>
        </w:tabs>
        <w:autoSpaceDE w:val="0"/>
        <w:autoSpaceDN w:val="0"/>
        <w:adjustRightInd w:val="0"/>
        <w:jc w:val="both"/>
        <w:rPr>
          <w:color w:val="000000"/>
          <w:sz w:val="22"/>
          <w:szCs w:val="22"/>
        </w:rPr>
      </w:pPr>
    </w:p>
    <w:tbl>
      <w:tblPr>
        <w:tblW w:w="0" w:type="auto"/>
        <w:tblBorders>
          <w:top w:val="single" w:sz="4" w:space="0" w:color="auto"/>
          <w:bottom w:val="single" w:sz="4" w:space="0" w:color="auto"/>
        </w:tblBorders>
        <w:tblLook w:val="04A0"/>
      </w:tblPr>
      <w:tblGrid>
        <w:gridCol w:w="2266"/>
        <w:gridCol w:w="719"/>
        <w:gridCol w:w="1231"/>
        <w:gridCol w:w="1887"/>
        <w:gridCol w:w="720"/>
        <w:gridCol w:w="1107"/>
        <w:gridCol w:w="1140"/>
      </w:tblGrid>
      <w:tr w14:paraId="22CE6289" w14:textId="77777777">
        <w:tblPrEx>
          <w:tblW w:w="0" w:type="auto"/>
          <w:tblLook w:val="04A0"/>
        </w:tblPrEx>
        <w:tc>
          <w:tcPr>
            <w:tcW w:w="2268" w:type="dxa"/>
            <w:tcBorders>
              <w:top w:val="single" w:sz="4" w:space="0" w:color="auto"/>
              <w:bottom w:val="single" w:sz="4" w:space="0" w:color="auto"/>
            </w:tcBorders>
          </w:tcPr>
          <w:p w:rsidR="006224C2" w:rsidRPr="00295E71" w:rsidP="00F57FE5" w14:paraId="5E28BB79" w14:textId="77777777">
            <w:pPr>
              <w:keepNext/>
              <w:keepLines/>
              <w:tabs>
                <w:tab w:val="left" w:pos="562"/>
              </w:tabs>
              <w:rPr>
                <w:b/>
                <w:sz w:val="22"/>
                <w:szCs w:val="22"/>
              </w:rPr>
            </w:pPr>
            <w:r w:rsidRPr="00295E71">
              <w:rPr>
                <w:b/>
                <w:sz w:val="22"/>
                <w:szCs w:val="22"/>
              </w:rPr>
              <w:t>Analisi</w:t>
            </w:r>
          </w:p>
          <w:p w:rsidR="006224C2" w:rsidRPr="00295E71" w:rsidP="00F57FE5" w14:paraId="5BACFAFB" w14:textId="77777777">
            <w:pPr>
              <w:keepNext/>
              <w:keepLines/>
              <w:tabs>
                <w:tab w:val="left" w:pos="562"/>
              </w:tabs>
              <w:rPr>
                <w:b/>
                <w:sz w:val="22"/>
                <w:szCs w:val="22"/>
              </w:rPr>
            </w:pPr>
            <w:r w:rsidRPr="00295E71">
              <w:rPr>
                <w:b/>
                <w:sz w:val="22"/>
                <w:szCs w:val="22"/>
              </w:rPr>
              <w:tab/>
              <w:t>Trattamento</w:t>
            </w:r>
          </w:p>
        </w:tc>
        <w:tc>
          <w:tcPr>
            <w:tcW w:w="720" w:type="dxa"/>
            <w:tcBorders>
              <w:top w:val="single" w:sz="4" w:space="0" w:color="auto"/>
              <w:bottom w:val="single" w:sz="4" w:space="0" w:color="auto"/>
            </w:tcBorders>
          </w:tcPr>
          <w:p w:rsidR="006224C2" w:rsidRPr="00295E71" w:rsidP="00F57FE5" w14:paraId="162549DA" w14:textId="77777777">
            <w:pPr>
              <w:keepNext/>
              <w:keepLines/>
              <w:tabs>
                <w:tab w:val="left" w:pos="562"/>
              </w:tabs>
              <w:rPr>
                <w:b/>
                <w:sz w:val="22"/>
                <w:szCs w:val="22"/>
              </w:rPr>
            </w:pPr>
            <w:r w:rsidRPr="00295E71">
              <w:rPr>
                <w:b/>
                <w:sz w:val="22"/>
                <w:szCs w:val="22"/>
              </w:rPr>
              <w:t>N</w:t>
            </w:r>
          </w:p>
        </w:tc>
        <w:tc>
          <w:tcPr>
            <w:tcW w:w="1231" w:type="dxa"/>
            <w:tcBorders>
              <w:top w:val="single" w:sz="4" w:space="0" w:color="auto"/>
              <w:bottom w:val="single" w:sz="4" w:space="0" w:color="auto"/>
            </w:tcBorders>
          </w:tcPr>
          <w:p w:rsidR="006224C2" w:rsidRPr="00295E71" w:rsidP="00F57FE5" w14:paraId="2F8EDB6E" w14:textId="77777777">
            <w:pPr>
              <w:keepNext/>
              <w:keepLines/>
              <w:tabs>
                <w:tab w:val="left" w:pos="562"/>
              </w:tabs>
              <w:rPr>
                <w:b/>
                <w:sz w:val="22"/>
                <w:szCs w:val="22"/>
              </w:rPr>
            </w:pPr>
            <w:r w:rsidRPr="00295E71">
              <w:rPr>
                <w:b/>
                <w:sz w:val="22"/>
                <w:szCs w:val="22"/>
              </w:rPr>
              <w:t>Fallimento</w:t>
            </w:r>
            <w:r w:rsidRPr="00295E71">
              <w:rPr>
                <w:b/>
                <w:sz w:val="22"/>
                <w:szCs w:val="22"/>
              </w:rPr>
              <w:br/>
              <w:t>N (%)</w:t>
            </w:r>
          </w:p>
        </w:tc>
        <w:tc>
          <w:tcPr>
            <w:tcW w:w="1890" w:type="dxa"/>
            <w:tcBorders>
              <w:top w:val="single" w:sz="4" w:space="0" w:color="auto"/>
              <w:bottom w:val="single" w:sz="4" w:space="0" w:color="auto"/>
            </w:tcBorders>
          </w:tcPr>
          <w:p w:rsidR="006224C2" w:rsidRPr="00295E71" w:rsidP="00F57FE5" w14:paraId="1684DD63" w14:textId="77777777">
            <w:pPr>
              <w:keepNext/>
              <w:keepLines/>
              <w:tabs>
                <w:tab w:val="left" w:pos="562"/>
              </w:tabs>
              <w:rPr>
                <w:b/>
                <w:sz w:val="22"/>
                <w:szCs w:val="22"/>
                <w:lang w:eastAsia="en-US"/>
              </w:rPr>
            </w:pPr>
            <w:r w:rsidRPr="00295E71">
              <w:rPr>
                <w:b/>
                <w:sz w:val="22"/>
                <w:szCs w:val="22"/>
                <w:lang w:eastAsia="en-US"/>
              </w:rPr>
              <w:t>Mediana del tempo</w:t>
            </w:r>
            <w:r w:rsidRPr="00295E71" w:rsidR="00226BC4">
              <w:rPr>
                <w:b/>
                <w:sz w:val="22"/>
                <w:szCs w:val="22"/>
                <w:lang w:eastAsia="en-US"/>
              </w:rPr>
              <w:t xml:space="preserve"> al fallimento (mesi)</w:t>
            </w:r>
          </w:p>
        </w:tc>
        <w:tc>
          <w:tcPr>
            <w:tcW w:w="720" w:type="dxa"/>
            <w:tcBorders>
              <w:top w:val="single" w:sz="4" w:space="0" w:color="auto"/>
              <w:bottom w:val="single" w:sz="4" w:space="0" w:color="auto"/>
            </w:tcBorders>
          </w:tcPr>
          <w:p w:rsidR="006224C2" w:rsidRPr="00295E71" w:rsidP="00F57FE5" w14:paraId="022DCAF4" w14:textId="77777777">
            <w:pPr>
              <w:keepNext/>
              <w:keepLines/>
              <w:tabs>
                <w:tab w:val="left" w:pos="562"/>
              </w:tabs>
              <w:rPr>
                <w:b/>
                <w:sz w:val="22"/>
                <w:szCs w:val="22"/>
              </w:rPr>
            </w:pPr>
            <w:r w:rsidRPr="00295E71">
              <w:rPr>
                <w:b/>
                <w:sz w:val="22"/>
                <w:szCs w:val="22"/>
              </w:rPr>
              <w:t>HR</w:t>
            </w:r>
            <w:r w:rsidRPr="00295E71">
              <w:rPr>
                <w:b/>
                <w:sz w:val="22"/>
                <w:szCs w:val="22"/>
                <w:vertAlign w:val="superscript"/>
              </w:rPr>
              <w:t>a</w:t>
            </w:r>
          </w:p>
        </w:tc>
        <w:tc>
          <w:tcPr>
            <w:tcW w:w="1109" w:type="dxa"/>
            <w:tcBorders>
              <w:top w:val="single" w:sz="4" w:space="0" w:color="auto"/>
              <w:bottom w:val="single" w:sz="4" w:space="0" w:color="auto"/>
            </w:tcBorders>
          </w:tcPr>
          <w:p w:rsidR="006224C2" w:rsidRPr="00295E71" w:rsidP="00F57FE5" w14:paraId="31CF97A8" w14:textId="77777777">
            <w:pPr>
              <w:keepNext/>
              <w:keepLines/>
              <w:tabs>
                <w:tab w:val="left" w:pos="562"/>
              </w:tabs>
              <w:rPr>
                <w:b/>
                <w:sz w:val="22"/>
                <w:szCs w:val="22"/>
              </w:rPr>
            </w:pPr>
            <w:r w:rsidRPr="00295E71">
              <w:rPr>
                <w:b/>
                <w:sz w:val="22"/>
                <w:szCs w:val="22"/>
              </w:rPr>
              <w:t>IC al 95% per l’HR</w:t>
            </w:r>
            <w:r w:rsidRPr="00295E71">
              <w:rPr>
                <w:b/>
                <w:sz w:val="22"/>
                <w:szCs w:val="22"/>
                <w:vertAlign w:val="superscript"/>
              </w:rPr>
              <w:t>a</w:t>
            </w:r>
          </w:p>
        </w:tc>
        <w:tc>
          <w:tcPr>
            <w:tcW w:w="1141" w:type="dxa"/>
            <w:tcBorders>
              <w:top w:val="single" w:sz="4" w:space="0" w:color="auto"/>
              <w:bottom w:val="single" w:sz="4" w:space="0" w:color="auto"/>
            </w:tcBorders>
          </w:tcPr>
          <w:p w:rsidR="006224C2" w:rsidRPr="00295E71" w:rsidP="00F57FE5" w14:paraId="03F9D789" w14:textId="77777777">
            <w:pPr>
              <w:keepNext/>
              <w:keepLines/>
              <w:tabs>
                <w:tab w:val="left" w:pos="562"/>
              </w:tabs>
              <w:rPr>
                <w:b/>
                <w:sz w:val="22"/>
                <w:szCs w:val="22"/>
              </w:rPr>
            </w:pPr>
            <w:r w:rsidRPr="00295E71">
              <w:rPr>
                <w:b/>
                <w:sz w:val="22"/>
                <w:szCs w:val="22"/>
              </w:rPr>
              <w:t xml:space="preserve">Valore </w:t>
            </w:r>
            <w:r w:rsidRPr="00295E71">
              <w:rPr>
                <w:b/>
                <w:i/>
                <w:sz w:val="22"/>
                <w:szCs w:val="22"/>
              </w:rPr>
              <w:t>P</w:t>
            </w:r>
            <w:r w:rsidRPr="00295E71">
              <w:rPr>
                <w:sz w:val="22"/>
                <w:szCs w:val="22"/>
                <w:vertAlign w:val="superscript"/>
              </w:rPr>
              <w:t>b</w:t>
            </w:r>
          </w:p>
        </w:tc>
      </w:tr>
      <w:tr w14:paraId="389F9D69" w14:textId="77777777">
        <w:tblPrEx>
          <w:tblW w:w="0" w:type="auto"/>
          <w:tblLook w:val="04A0"/>
        </w:tblPrEx>
        <w:tc>
          <w:tcPr>
            <w:tcW w:w="9079" w:type="dxa"/>
            <w:gridSpan w:val="7"/>
            <w:tcBorders>
              <w:top w:val="single" w:sz="4" w:space="0" w:color="auto"/>
              <w:bottom w:val="nil"/>
            </w:tcBorders>
          </w:tcPr>
          <w:p w:rsidR="006224C2" w:rsidRPr="00295E71" w:rsidP="00F57FE5" w14:paraId="62A6EB59" w14:textId="77777777">
            <w:pPr>
              <w:keepNext/>
              <w:keepLines/>
              <w:tabs>
                <w:tab w:val="left" w:pos="562"/>
              </w:tabs>
              <w:rPr>
                <w:b/>
                <w:sz w:val="22"/>
                <w:szCs w:val="22"/>
                <w:lang w:eastAsia="en-US"/>
              </w:rPr>
            </w:pPr>
            <w:r w:rsidRPr="00295E71">
              <w:rPr>
                <w:b/>
                <w:sz w:val="22"/>
                <w:szCs w:val="22"/>
                <w:lang w:eastAsia="en-US"/>
              </w:rPr>
              <w:t>Tempo al fallimento del trattamento alla o dopo la settimana 6 nello Studio UV I</w:t>
            </w:r>
          </w:p>
        </w:tc>
      </w:tr>
      <w:tr w14:paraId="13D7D768" w14:textId="77777777">
        <w:tblPrEx>
          <w:tblW w:w="0" w:type="auto"/>
          <w:tblLook w:val="04A0"/>
        </w:tblPrEx>
        <w:tc>
          <w:tcPr>
            <w:tcW w:w="2988" w:type="dxa"/>
            <w:gridSpan w:val="2"/>
            <w:tcBorders>
              <w:top w:val="nil"/>
              <w:bottom w:val="nil"/>
            </w:tcBorders>
          </w:tcPr>
          <w:p w:rsidR="006224C2" w:rsidRPr="00295E71" w:rsidP="00F57FE5" w14:paraId="5E668415" w14:textId="77777777">
            <w:pPr>
              <w:keepNext/>
              <w:keepLines/>
              <w:tabs>
                <w:tab w:val="left" w:pos="562"/>
              </w:tabs>
              <w:rPr>
                <w:sz w:val="22"/>
                <w:szCs w:val="22"/>
              </w:rPr>
            </w:pPr>
            <w:r w:rsidRPr="00295E71">
              <w:rPr>
                <w:sz w:val="22"/>
                <w:szCs w:val="22"/>
              </w:rPr>
              <w:t>Analisi primaria (ITT)</w:t>
            </w:r>
          </w:p>
        </w:tc>
        <w:tc>
          <w:tcPr>
            <w:tcW w:w="1231" w:type="dxa"/>
            <w:tcBorders>
              <w:top w:val="nil"/>
              <w:bottom w:val="nil"/>
            </w:tcBorders>
          </w:tcPr>
          <w:p w:rsidR="006224C2" w:rsidRPr="00295E71" w:rsidP="00F57FE5" w14:paraId="1DE609A6" w14:textId="77777777">
            <w:pPr>
              <w:keepNext/>
              <w:keepLines/>
              <w:tabs>
                <w:tab w:val="left" w:pos="562"/>
              </w:tabs>
              <w:rPr>
                <w:sz w:val="22"/>
                <w:szCs w:val="22"/>
              </w:rPr>
            </w:pPr>
          </w:p>
        </w:tc>
        <w:tc>
          <w:tcPr>
            <w:tcW w:w="1890" w:type="dxa"/>
            <w:tcBorders>
              <w:top w:val="nil"/>
              <w:bottom w:val="nil"/>
            </w:tcBorders>
          </w:tcPr>
          <w:p w:rsidR="006224C2" w:rsidRPr="00295E71" w:rsidP="00F57FE5" w14:paraId="1D0CEDFD" w14:textId="77777777">
            <w:pPr>
              <w:keepNext/>
              <w:keepLines/>
              <w:tabs>
                <w:tab w:val="left" w:pos="562"/>
              </w:tabs>
              <w:rPr>
                <w:sz w:val="22"/>
                <w:szCs w:val="22"/>
              </w:rPr>
            </w:pPr>
          </w:p>
        </w:tc>
        <w:tc>
          <w:tcPr>
            <w:tcW w:w="720" w:type="dxa"/>
            <w:tcBorders>
              <w:top w:val="nil"/>
              <w:bottom w:val="nil"/>
            </w:tcBorders>
          </w:tcPr>
          <w:p w:rsidR="006224C2" w:rsidRPr="00295E71" w:rsidP="00F57FE5" w14:paraId="1412BDBB" w14:textId="77777777">
            <w:pPr>
              <w:keepNext/>
              <w:keepLines/>
              <w:tabs>
                <w:tab w:val="left" w:pos="562"/>
              </w:tabs>
              <w:rPr>
                <w:sz w:val="22"/>
                <w:szCs w:val="22"/>
              </w:rPr>
            </w:pPr>
          </w:p>
        </w:tc>
        <w:tc>
          <w:tcPr>
            <w:tcW w:w="1109" w:type="dxa"/>
            <w:tcBorders>
              <w:top w:val="nil"/>
              <w:bottom w:val="nil"/>
            </w:tcBorders>
          </w:tcPr>
          <w:p w:rsidR="006224C2" w:rsidRPr="00295E71" w:rsidP="00F57FE5" w14:paraId="2E0578F7" w14:textId="77777777">
            <w:pPr>
              <w:keepNext/>
              <w:keepLines/>
              <w:tabs>
                <w:tab w:val="left" w:pos="562"/>
              </w:tabs>
              <w:rPr>
                <w:sz w:val="22"/>
                <w:szCs w:val="22"/>
              </w:rPr>
            </w:pPr>
          </w:p>
        </w:tc>
        <w:tc>
          <w:tcPr>
            <w:tcW w:w="1141" w:type="dxa"/>
            <w:tcBorders>
              <w:top w:val="nil"/>
              <w:bottom w:val="nil"/>
            </w:tcBorders>
          </w:tcPr>
          <w:p w:rsidR="006224C2" w:rsidRPr="00295E71" w:rsidP="00F57FE5" w14:paraId="22FE60E4" w14:textId="77777777">
            <w:pPr>
              <w:keepNext/>
              <w:keepLines/>
              <w:tabs>
                <w:tab w:val="left" w:pos="562"/>
              </w:tabs>
              <w:rPr>
                <w:sz w:val="22"/>
                <w:szCs w:val="22"/>
              </w:rPr>
            </w:pPr>
          </w:p>
        </w:tc>
      </w:tr>
      <w:tr w14:paraId="627E2800" w14:textId="77777777">
        <w:tblPrEx>
          <w:tblW w:w="0" w:type="auto"/>
          <w:tblLook w:val="04A0"/>
        </w:tblPrEx>
        <w:tc>
          <w:tcPr>
            <w:tcW w:w="2268" w:type="dxa"/>
            <w:tcBorders>
              <w:top w:val="nil"/>
              <w:bottom w:val="nil"/>
            </w:tcBorders>
          </w:tcPr>
          <w:p w:rsidR="006224C2" w:rsidRPr="00295E71" w:rsidP="00F57FE5" w14:paraId="5A6F7CAF" w14:textId="77777777">
            <w:pPr>
              <w:keepNext/>
              <w:keepLines/>
              <w:tabs>
                <w:tab w:val="left" w:pos="562"/>
              </w:tabs>
              <w:rPr>
                <w:sz w:val="22"/>
                <w:szCs w:val="22"/>
              </w:rPr>
            </w:pPr>
            <w:r w:rsidRPr="00295E71">
              <w:rPr>
                <w:sz w:val="22"/>
                <w:szCs w:val="22"/>
              </w:rPr>
              <w:tab/>
              <w:t>Placebo</w:t>
            </w:r>
          </w:p>
        </w:tc>
        <w:tc>
          <w:tcPr>
            <w:tcW w:w="720" w:type="dxa"/>
            <w:tcBorders>
              <w:top w:val="nil"/>
              <w:bottom w:val="nil"/>
            </w:tcBorders>
          </w:tcPr>
          <w:p w:rsidR="006224C2" w:rsidRPr="00295E71" w:rsidP="00F57FE5" w14:paraId="020F1F7E" w14:textId="77777777">
            <w:pPr>
              <w:keepNext/>
              <w:keepLines/>
              <w:tabs>
                <w:tab w:val="left" w:pos="562"/>
              </w:tabs>
              <w:rPr>
                <w:sz w:val="22"/>
                <w:szCs w:val="22"/>
              </w:rPr>
            </w:pPr>
            <w:r w:rsidRPr="00295E71">
              <w:rPr>
                <w:sz w:val="22"/>
                <w:szCs w:val="22"/>
              </w:rPr>
              <w:t>107</w:t>
            </w:r>
          </w:p>
        </w:tc>
        <w:tc>
          <w:tcPr>
            <w:tcW w:w="1231" w:type="dxa"/>
            <w:tcBorders>
              <w:top w:val="nil"/>
              <w:bottom w:val="nil"/>
            </w:tcBorders>
          </w:tcPr>
          <w:p w:rsidR="006224C2" w:rsidRPr="00295E71" w:rsidP="00F57FE5" w14:paraId="1937D70E" w14:textId="77777777">
            <w:pPr>
              <w:keepNext/>
              <w:keepLines/>
              <w:tabs>
                <w:tab w:val="left" w:pos="562"/>
              </w:tabs>
              <w:rPr>
                <w:sz w:val="22"/>
                <w:szCs w:val="22"/>
              </w:rPr>
            </w:pPr>
            <w:r w:rsidRPr="00295E71">
              <w:rPr>
                <w:sz w:val="22"/>
                <w:szCs w:val="22"/>
              </w:rPr>
              <w:t>84 (78,5)</w:t>
            </w:r>
          </w:p>
        </w:tc>
        <w:tc>
          <w:tcPr>
            <w:tcW w:w="1890" w:type="dxa"/>
            <w:tcBorders>
              <w:top w:val="nil"/>
              <w:bottom w:val="nil"/>
            </w:tcBorders>
          </w:tcPr>
          <w:p w:rsidR="006224C2" w:rsidRPr="00295E71" w:rsidP="00F57FE5" w14:paraId="0E41E2FF" w14:textId="77777777">
            <w:pPr>
              <w:keepNext/>
              <w:keepLines/>
              <w:tabs>
                <w:tab w:val="left" w:pos="562"/>
              </w:tabs>
              <w:rPr>
                <w:sz w:val="22"/>
                <w:szCs w:val="22"/>
              </w:rPr>
            </w:pPr>
            <w:r w:rsidRPr="00295E71">
              <w:rPr>
                <w:sz w:val="22"/>
                <w:szCs w:val="22"/>
              </w:rPr>
              <w:t>3,0</w:t>
            </w:r>
          </w:p>
        </w:tc>
        <w:tc>
          <w:tcPr>
            <w:tcW w:w="720" w:type="dxa"/>
            <w:tcBorders>
              <w:top w:val="nil"/>
              <w:bottom w:val="nil"/>
            </w:tcBorders>
          </w:tcPr>
          <w:p w:rsidR="006224C2" w:rsidRPr="00295E71" w:rsidP="00F57FE5" w14:paraId="10AE0FE1" w14:textId="77777777">
            <w:pPr>
              <w:keepNext/>
              <w:keepLines/>
              <w:tabs>
                <w:tab w:val="left" w:pos="562"/>
              </w:tabs>
              <w:rPr>
                <w:sz w:val="22"/>
                <w:szCs w:val="22"/>
              </w:rPr>
            </w:pPr>
            <w:r w:rsidRPr="00295E71">
              <w:rPr>
                <w:sz w:val="22"/>
                <w:szCs w:val="22"/>
              </w:rPr>
              <w:t>--</w:t>
            </w:r>
          </w:p>
        </w:tc>
        <w:tc>
          <w:tcPr>
            <w:tcW w:w="1109" w:type="dxa"/>
            <w:tcBorders>
              <w:top w:val="nil"/>
              <w:bottom w:val="nil"/>
            </w:tcBorders>
          </w:tcPr>
          <w:p w:rsidR="006224C2" w:rsidRPr="00295E71" w:rsidP="00F57FE5" w14:paraId="00A3E9E8" w14:textId="77777777">
            <w:pPr>
              <w:keepNext/>
              <w:keepLines/>
              <w:tabs>
                <w:tab w:val="left" w:pos="562"/>
              </w:tabs>
              <w:rPr>
                <w:sz w:val="22"/>
                <w:szCs w:val="22"/>
              </w:rPr>
            </w:pPr>
            <w:r w:rsidRPr="00295E71">
              <w:rPr>
                <w:sz w:val="22"/>
                <w:szCs w:val="22"/>
              </w:rPr>
              <w:t>--</w:t>
            </w:r>
          </w:p>
        </w:tc>
        <w:tc>
          <w:tcPr>
            <w:tcW w:w="1141" w:type="dxa"/>
            <w:tcBorders>
              <w:top w:val="nil"/>
              <w:bottom w:val="nil"/>
            </w:tcBorders>
          </w:tcPr>
          <w:p w:rsidR="006224C2" w:rsidRPr="00295E71" w:rsidP="00F57FE5" w14:paraId="2B51217B" w14:textId="77777777">
            <w:pPr>
              <w:keepNext/>
              <w:keepLines/>
              <w:tabs>
                <w:tab w:val="left" w:pos="562"/>
              </w:tabs>
              <w:rPr>
                <w:sz w:val="22"/>
                <w:szCs w:val="22"/>
              </w:rPr>
            </w:pPr>
            <w:r w:rsidRPr="00295E71">
              <w:rPr>
                <w:sz w:val="22"/>
                <w:szCs w:val="22"/>
              </w:rPr>
              <w:t>--</w:t>
            </w:r>
          </w:p>
        </w:tc>
      </w:tr>
      <w:tr w14:paraId="5515B0F9" w14:textId="77777777">
        <w:tblPrEx>
          <w:tblW w:w="0" w:type="auto"/>
          <w:tblLook w:val="04A0"/>
        </w:tblPrEx>
        <w:tc>
          <w:tcPr>
            <w:tcW w:w="2268" w:type="dxa"/>
            <w:tcBorders>
              <w:top w:val="nil"/>
              <w:bottom w:val="single" w:sz="4" w:space="0" w:color="auto"/>
            </w:tcBorders>
          </w:tcPr>
          <w:p w:rsidR="006224C2" w:rsidRPr="00295E71" w:rsidP="00F57FE5" w14:paraId="1CD175CF" w14:textId="77777777">
            <w:pPr>
              <w:keepNext/>
              <w:keepLines/>
              <w:tabs>
                <w:tab w:val="left" w:pos="562"/>
              </w:tabs>
              <w:rPr>
                <w:sz w:val="22"/>
                <w:szCs w:val="22"/>
              </w:rPr>
            </w:pPr>
            <w:r w:rsidRPr="00295E71">
              <w:rPr>
                <w:sz w:val="22"/>
                <w:szCs w:val="22"/>
              </w:rPr>
              <w:tab/>
              <w:t>Adalimumab</w:t>
            </w:r>
          </w:p>
        </w:tc>
        <w:tc>
          <w:tcPr>
            <w:tcW w:w="720" w:type="dxa"/>
            <w:tcBorders>
              <w:top w:val="nil"/>
              <w:bottom w:val="single" w:sz="4" w:space="0" w:color="auto"/>
            </w:tcBorders>
          </w:tcPr>
          <w:p w:rsidR="006224C2" w:rsidRPr="00295E71" w:rsidP="00F57FE5" w14:paraId="2AA15447" w14:textId="77777777">
            <w:pPr>
              <w:keepNext/>
              <w:keepLines/>
              <w:tabs>
                <w:tab w:val="left" w:pos="562"/>
              </w:tabs>
              <w:rPr>
                <w:sz w:val="22"/>
                <w:szCs w:val="22"/>
              </w:rPr>
            </w:pPr>
            <w:r w:rsidRPr="00295E71">
              <w:rPr>
                <w:sz w:val="22"/>
                <w:szCs w:val="22"/>
              </w:rPr>
              <w:t>110</w:t>
            </w:r>
          </w:p>
        </w:tc>
        <w:tc>
          <w:tcPr>
            <w:tcW w:w="1231" w:type="dxa"/>
            <w:tcBorders>
              <w:top w:val="nil"/>
              <w:bottom w:val="single" w:sz="4" w:space="0" w:color="auto"/>
            </w:tcBorders>
          </w:tcPr>
          <w:p w:rsidR="006224C2" w:rsidRPr="00295E71" w:rsidP="00F57FE5" w14:paraId="0A2AE59D" w14:textId="77777777">
            <w:pPr>
              <w:keepNext/>
              <w:keepLines/>
              <w:tabs>
                <w:tab w:val="left" w:pos="562"/>
              </w:tabs>
              <w:rPr>
                <w:sz w:val="22"/>
                <w:szCs w:val="22"/>
              </w:rPr>
            </w:pPr>
            <w:r w:rsidRPr="00295E71">
              <w:rPr>
                <w:sz w:val="22"/>
                <w:szCs w:val="22"/>
              </w:rPr>
              <w:t>60 (54,5)</w:t>
            </w:r>
          </w:p>
        </w:tc>
        <w:tc>
          <w:tcPr>
            <w:tcW w:w="1890" w:type="dxa"/>
            <w:tcBorders>
              <w:top w:val="nil"/>
              <w:bottom w:val="single" w:sz="4" w:space="0" w:color="auto"/>
            </w:tcBorders>
          </w:tcPr>
          <w:p w:rsidR="006224C2" w:rsidRPr="00295E71" w:rsidP="00F57FE5" w14:paraId="2AB765E5" w14:textId="77777777">
            <w:pPr>
              <w:keepNext/>
              <w:keepLines/>
              <w:tabs>
                <w:tab w:val="left" w:pos="562"/>
              </w:tabs>
              <w:rPr>
                <w:sz w:val="22"/>
                <w:szCs w:val="22"/>
              </w:rPr>
            </w:pPr>
            <w:r w:rsidRPr="00295E71">
              <w:rPr>
                <w:sz w:val="22"/>
                <w:szCs w:val="22"/>
              </w:rPr>
              <w:t>5,6</w:t>
            </w:r>
          </w:p>
        </w:tc>
        <w:tc>
          <w:tcPr>
            <w:tcW w:w="720" w:type="dxa"/>
            <w:tcBorders>
              <w:top w:val="nil"/>
              <w:bottom w:val="single" w:sz="4" w:space="0" w:color="auto"/>
            </w:tcBorders>
          </w:tcPr>
          <w:p w:rsidR="006224C2" w:rsidRPr="00295E71" w:rsidP="00F57FE5" w14:paraId="58CCBBF6" w14:textId="77777777">
            <w:pPr>
              <w:keepNext/>
              <w:keepLines/>
              <w:tabs>
                <w:tab w:val="left" w:pos="562"/>
              </w:tabs>
              <w:rPr>
                <w:sz w:val="22"/>
                <w:szCs w:val="22"/>
              </w:rPr>
            </w:pPr>
            <w:r w:rsidRPr="00295E71">
              <w:rPr>
                <w:sz w:val="22"/>
                <w:szCs w:val="22"/>
              </w:rPr>
              <w:t>0,50</w:t>
            </w:r>
          </w:p>
        </w:tc>
        <w:tc>
          <w:tcPr>
            <w:tcW w:w="1109" w:type="dxa"/>
            <w:tcBorders>
              <w:top w:val="nil"/>
              <w:bottom w:val="single" w:sz="4" w:space="0" w:color="auto"/>
            </w:tcBorders>
          </w:tcPr>
          <w:p w:rsidR="006224C2" w:rsidRPr="00295E71" w:rsidP="00F57FE5" w14:paraId="4153A7EE" w14:textId="77777777">
            <w:pPr>
              <w:keepNext/>
              <w:keepLines/>
              <w:tabs>
                <w:tab w:val="left" w:pos="562"/>
              </w:tabs>
              <w:rPr>
                <w:sz w:val="22"/>
                <w:szCs w:val="22"/>
              </w:rPr>
            </w:pPr>
            <w:r w:rsidRPr="00295E71">
              <w:rPr>
                <w:sz w:val="22"/>
                <w:szCs w:val="22"/>
              </w:rPr>
              <w:t>0,36; 0,70</w:t>
            </w:r>
          </w:p>
        </w:tc>
        <w:tc>
          <w:tcPr>
            <w:tcW w:w="1141" w:type="dxa"/>
            <w:tcBorders>
              <w:top w:val="nil"/>
              <w:bottom w:val="single" w:sz="4" w:space="0" w:color="auto"/>
            </w:tcBorders>
          </w:tcPr>
          <w:p w:rsidR="006224C2" w:rsidRPr="00295E71" w:rsidP="00F57FE5" w14:paraId="415E2DF4" w14:textId="77777777">
            <w:pPr>
              <w:keepNext/>
              <w:keepLines/>
              <w:tabs>
                <w:tab w:val="left" w:pos="562"/>
              </w:tabs>
              <w:rPr>
                <w:sz w:val="22"/>
                <w:szCs w:val="22"/>
              </w:rPr>
            </w:pPr>
            <w:r w:rsidRPr="00295E71">
              <w:rPr>
                <w:sz w:val="22"/>
                <w:szCs w:val="22"/>
              </w:rPr>
              <w:t>&lt; 0,001</w:t>
            </w:r>
          </w:p>
        </w:tc>
      </w:tr>
      <w:tr w14:paraId="0F11AC75"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9079" w:type="dxa"/>
            <w:gridSpan w:val="7"/>
            <w:tcBorders>
              <w:left w:val="nil"/>
              <w:bottom w:val="nil"/>
              <w:right w:val="nil"/>
            </w:tcBorders>
          </w:tcPr>
          <w:p w:rsidR="006224C2" w:rsidRPr="00295E71" w:rsidP="00F57FE5" w14:paraId="3C33174D" w14:textId="77777777">
            <w:pPr>
              <w:keepNext/>
              <w:keepLines/>
              <w:tabs>
                <w:tab w:val="left" w:pos="562"/>
              </w:tabs>
              <w:rPr>
                <w:b/>
                <w:sz w:val="22"/>
                <w:szCs w:val="22"/>
                <w:lang w:eastAsia="en-US"/>
              </w:rPr>
            </w:pPr>
            <w:r w:rsidRPr="00295E71">
              <w:rPr>
                <w:b/>
                <w:sz w:val="22"/>
                <w:szCs w:val="22"/>
                <w:lang w:eastAsia="en-US"/>
              </w:rPr>
              <w:t>Tempo al fallimento del trattamento alla o dopo la settimana 2 nello Studio UV II</w:t>
            </w:r>
          </w:p>
        </w:tc>
      </w:tr>
      <w:tr w14:paraId="7249662D"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988" w:type="dxa"/>
            <w:gridSpan w:val="2"/>
            <w:tcBorders>
              <w:top w:val="nil"/>
              <w:left w:val="nil"/>
              <w:bottom w:val="nil"/>
              <w:right w:val="nil"/>
            </w:tcBorders>
          </w:tcPr>
          <w:p w:rsidR="006224C2" w:rsidRPr="00295E71" w:rsidP="00F57FE5" w14:paraId="3411C2EC" w14:textId="77777777">
            <w:pPr>
              <w:keepNext/>
              <w:keepLines/>
              <w:tabs>
                <w:tab w:val="left" w:pos="562"/>
              </w:tabs>
              <w:rPr>
                <w:sz w:val="22"/>
                <w:szCs w:val="22"/>
              </w:rPr>
            </w:pPr>
            <w:r w:rsidRPr="00295E71">
              <w:rPr>
                <w:sz w:val="22"/>
                <w:szCs w:val="22"/>
              </w:rPr>
              <w:t>Analisi primaria (ITT)</w:t>
            </w:r>
          </w:p>
        </w:tc>
        <w:tc>
          <w:tcPr>
            <w:tcW w:w="1231" w:type="dxa"/>
            <w:tcBorders>
              <w:top w:val="nil"/>
              <w:left w:val="nil"/>
              <w:bottom w:val="nil"/>
              <w:right w:val="nil"/>
            </w:tcBorders>
          </w:tcPr>
          <w:p w:rsidR="006224C2" w:rsidRPr="00295E71" w:rsidP="00F57FE5" w14:paraId="286F96FA" w14:textId="77777777">
            <w:pPr>
              <w:keepNext/>
              <w:keepLines/>
              <w:tabs>
                <w:tab w:val="left" w:pos="562"/>
              </w:tabs>
              <w:rPr>
                <w:sz w:val="22"/>
                <w:szCs w:val="22"/>
              </w:rPr>
            </w:pPr>
          </w:p>
        </w:tc>
        <w:tc>
          <w:tcPr>
            <w:tcW w:w="1890" w:type="dxa"/>
            <w:tcBorders>
              <w:top w:val="nil"/>
              <w:left w:val="nil"/>
              <w:bottom w:val="nil"/>
              <w:right w:val="nil"/>
            </w:tcBorders>
          </w:tcPr>
          <w:p w:rsidR="006224C2" w:rsidRPr="00295E71" w:rsidP="00F57FE5" w14:paraId="5BFFB3FC" w14:textId="77777777">
            <w:pPr>
              <w:keepNext/>
              <w:keepLines/>
              <w:tabs>
                <w:tab w:val="left" w:pos="562"/>
              </w:tabs>
              <w:rPr>
                <w:sz w:val="22"/>
                <w:szCs w:val="22"/>
              </w:rPr>
            </w:pPr>
          </w:p>
        </w:tc>
        <w:tc>
          <w:tcPr>
            <w:tcW w:w="720" w:type="dxa"/>
            <w:tcBorders>
              <w:top w:val="nil"/>
              <w:left w:val="nil"/>
              <w:bottom w:val="nil"/>
              <w:right w:val="nil"/>
            </w:tcBorders>
          </w:tcPr>
          <w:p w:rsidR="006224C2" w:rsidRPr="00295E71" w:rsidP="00F57FE5" w14:paraId="7BA8A91A" w14:textId="77777777">
            <w:pPr>
              <w:keepNext/>
              <w:keepLines/>
              <w:tabs>
                <w:tab w:val="left" w:pos="562"/>
              </w:tabs>
              <w:rPr>
                <w:sz w:val="22"/>
                <w:szCs w:val="22"/>
              </w:rPr>
            </w:pPr>
          </w:p>
        </w:tc>
        <w:tc>
          <w:tcPr>
            <w:tcW w:w="1109" w:type="dxa"/>
            <w:tcBorders>
              <w:top w:val="nil"/>
              <w:left w:val="nil"/>
              <w:bottom w:val="nil"/>
              <w:right w:val="nil"/>
            </w:tcBorders>
          </w:tcPr>
          <w:p w:rsidR="006224C2" w:rsidRPr="00295E71" w:rsidP="00F57FE5" w14:paraId="106C537E" w14:textId="77777777">
            <w:pPr>
              <w:keepNext/>
              <w:keepLines/>
              <w:tabs>
                <w:tab w:val="left" w:pos="562"/>
              </w:tabs>
              <w:rPr>
                <w:sz w:val="22"/>
                <w:szCs w:val="22"/>
              </w:rPr>
            </w:pPr>
          </w:p>
        </w:tc>
        <w:tc>
          <w:tcPr>
            <w:tcW w:w="1141" w:type="dxa"/>
            <w:tcBorders>
              <w:top w:val="nil"/>
              <w:left w:val="nil"/>
              <w:bottom w:val="nil"/>
              <w:right w:val="nil"/>
            </w:tcBorders>
          </w:tcPr>
          <w:p w:rsidR="006224C2" w:rsidRPr="00295E71" w:rsidP="00F57FE5" w14:paraId="26CBC4CB" w14:textId="77777777">
            <w:pPr>
              <w:keepNext/>
              <w:keepLines/>
              <w:tabs>
                <w:tab w:val="left" w:pos="562"/>
              </w:tabs>
              <w:rPr>
                <w:sz w:val="22"/>
                <w:szCs w:val="22"/>
              </w:rPr>
            </w:pPr>
          </w:p>
        </w:tc>
      </w:tr>
      <w:tr w14:paraId="11150E48"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nil"/>
              <w:right w:val="nil"/>
            </w:tcBorders>
          </w:tcPr>
          <w:p w:rsidR="006224C2" w:rsidRPr="00295E71" w:rsidP="00F57FE5" w14:paraId="04E1C2AA" w14:textId="77777777">
            <w:pPr>
              <w:keepNext/>
              <w:keepLines/>
              <w:tabs>
                <w:tab w:val="left" w:pos="562"/>
              </w:tabs>
              <w:rPr>
                <w:sz w:val="22"/>
                <w:szCs w:val="22"/>
              </w:rPr>
            </w:pPr>
            <w:r w:rsidRPr="00295E71">
              <w:rPr>
                <w:sz w:val="22"/>
                <w:szCs w:val="22"/>
              </w:rPr>
              <w:tab/>
              <w:t>Placebo</w:t>
            </w:r>
          </w:p>
        </w:tc>
        <w:tc>
          <w:tcPr>
            <w:tcW w:w="720" w:type="dxa"/>
            <w:tcBorders>
              <w:top w:val="nil"/>
              <w:left w:val="nil"/>
              <w:bottom w:val="nil"/>
              <w:right w:val="nil"/>
            </w:tcBorders>
          </w:tcPr>
          <w:p w:rsidR="006224C2" w:rsidRPr="00295E71" w:rsidP="00F57FE5" w14:paraId="63F5A00A" w14:textId="77777777">
            <w:pPr>
              <w:keepNext/>
              <w:keepLines/>
              <w:tabs>
                <w:tab w:val="left" w:pos="562"/>
              </w:tabs>
              <w:rPr>
                <w:sz w:val="22"/>
                <w:szCs w:val="22"/>
              </w:rPr>
            </w:pPr>
            <w:r w:rsidRPr="00295E71">
              <w:rPr>
                <w:sz w:val="22"/>
                <w:szCs w:val="22"/>
              </w:rPr>
              <w:t>111</w:t>
            </w:r>
          </w:p>
        </w:tc>
        <w:tc>
          <w:tcPr>
            <w:tcW w:w="1231" w:type="dxa"/>
            <w:tcBorders>
              <w:top w:val="nil"/>
              <w:left w:val="nil"/>
              <w:bottom w:val="nil"/>
              <w:right w:val="nil"/>
            </w:tcBorders>
          </w:tcPr>
          <w:p w:rsidR="006224C2" w:rsidRPr="00295E71" w:rsidP="00F57FE5" w14:paraId="610986E2" w14:textId="77777777">
            <w:pPr>
              <w:keepNext/>
              <w:keepLines/>
              <w:tabs>
                <w:tab w:val="left" w:pos="562"/>
              </w:tabs>
              <w:rPr>
                <w:sz w:val="22"/>
                <w:szCs w:val="22"/>
              </w:rPr>
            </w:pPr>
            <w:r w:rsidRPr="00295E71">
              <w:rPr>
                <w:sz w:val="22"/>
                <w:szCs w:val="22"/>
              </w:rPr>
              <w:t>61 (55,0)</w:t>
            </w:r>
          </w:p>
        </w:tc>
        <w:tc>
          <w:tcPr>
            <w:tcW w:w="1890" w:type="dxa"/>
            <w:tcBorders>
              <w:top w:val="nil"/>
              <w:left w:val="nil"/>
              <w:bottom w:val="nil"/>
              <w:right w:val="nil"/>
            </w:tcBorders>
          </w:tcPr>
          <w:p w:rsidR="006224C2" w:rsidRPr="00295E71" w:rsidP="00F57FE5" w14:paraId="4588717B" w14:textId="77777777">
            <w:pPr>
              <w:keepNext/>
              <w:keepLines/>
              <w:tabs>
                <w:tab w:val="left" w:pos="562"/>
              </w:tabs>
              <w:rPr>
                <w:sz w:val="22"/>
                <w:szCs w:val="22"/>
              </w:rPr>
            </w:pPr>
            <w:r w:rsidRPr="00295E71">
              <w:rPr>
                <w:sz w:val="22"/>
                <w:szCs w:val="22"/>
              </w:rPr>
              <w:t>8,3</w:t>
            </w:r>
          </w:p>
        </w:tc>
        <w:tc>
          <w:tcPr>
            <w:tcW w:w="720" w:type="dxa"/>
            <w:tcBorders>
              <w:top w:val="nil"/>
              <w:left w:val="nil"/>
              <w:bottom w:val="nil"/>
              <w:right w:val="nil"/>
            </w:tcBorders>
          </w:tcPr>
          <w:p w:rsidR="006224C2" w:rsidRPr="00295E71" w:rsidP="00F57FE5" w14:paraId="1E764C4F" w14:textId="77777777">
            <w:pPr>
              <w:keepNext/>
              <w:keepLines/>
              <w:tabs>
                <w:tab w:val="left" w:pos="562"/>
              </w:tabs>
              <w:rPr>
                <w:sz w:val="22"/>
                <w:szCs w:val="22"/>
              </w:rPr>
            </w:pPr>
            <w:r w:rsidRPr="00295E71">
              <w:rPr>
                <w:sz w:val="22"/>
                <w:szCs w:val="22"/>
              </w:rPr>
              <w:t>--</w:t>
            </w:r>
          </w:p>
        </w:tc>
        <w:tc>
          <w:tcPr>
            <w:tcW w:w="1109" w:type="dxa"/>
            <w:tcBorders>
              <w:top w:val="nil"/>
              <w:left w:val="nil"/>
              <w:bottom w:val="nil"/>
              <w:right w:val="nil"/>
            </w:tcBorders>
          </w:tcPr>
          <w:p w:rsidR="006224C2" w:rsidRPr="00295E71" w:rsidP="00F57FE5" w14:paraId="3B5A3742" w14:textId="77777777">
            <w:pPr>
              <w:keepNext/>
              <w:keepLines/>
              <w:tabs>
                <w:tab w:val="left" w:pos="562"/>
              </w:tabs>
              <w:rPr>
                <w:sz w:val="22"/>
                <w:szCs w:val="22"/>
              </w:rPr>
            </w:pPr>
            <w:r w:rsidRPr="00295E71">
              <w:rPr>
                <w:sz w:val="22"/>
                <w:szCs w:val="22"/>
              </w:rPr>
              <w:t>--</w:t>
            </w:r>
          </w:p>
        </w:tc>
        <w:tc>
          <w:tcPr>
            <w:tcW w:w="1141" w:type="dxa"/>
            <w:tcBorders>
              <w:top w:val="nil"/>
              <w:left w:val="nil"/>
              <w:bottom w:val="nil"/>
              <w:right w:val="nil"/>
            </w:tcBorders>
          </w:tcPr>
          <w:p w:rsidR="006224C2" w:rsidRPr="00295E71" w:rsidP="00F57FE5" w14:paraId="0F06C089" w14:textId="77777777">
            <w:pPr>
              <w:keepNext/>
              <w:keepLines/>
              <w:tabs>
                <w:tab w:val="left" w:pos="562"/>
              </w:tabs>
              <w:rPr>
                <w:sz w:val="22"/>
                <w:szCs w:val="22"/>
              </w:rPr>
            </w:pPr>
            <w:r w:rsidRPr="00295E71">
              <w:rPr>
                <w:sz w:val="22"/>
                <w:szCs w:val="22"/>
              </w:rPr>
              <w:t>--</w:t>
            </w:r>
          </w:p>
        </w:tc>
      </w:tr>
      <w:tr w14:paraId="4EB3329A"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single" w:sz="4" w:space="0" w:color="auto"/>
              <w:right w:val="nil"/>
            </w:tcBorders>
          </w:tcPr>
          <w:p w:rsidR="006224C2" w:rsidRPr="00295E71" w:rsidP="00F57FE5" w14:paraId="6FD190B5" w14:textId="77777777">
            <w:pPr>
              <w:keepNext/>
              <w:keepLines/>
              <w:tabs>
                <w:tab w:val="left" w:pos="562"/>
              </w:tabs>
              <w:rPr>
                <w:sz w:val="22"/>
                <w:szCs w:val="22"/>
              </w:rPr>
            </w:pPr>
            <w:r w:rsidRPr="00295E71">
              <w:rPr>
                <w:sz w:val="22"/>
                <w:szCs w:val="22"/>
              </w:rPr>
              <w:tab/>
              <w:t>Adalimumab</w:t>
            </w:r>
          </w:p>
        </w:tc>
        <w:tc>
          <w:tcPr>
            <w:tcW w:w="720" w:type="dxa"/>
            <w:tcBorders>
              <w:top w:val="nil"/>
              <w:left w:val="nil"/>
              <w:bottom w:val="single" w:sz="4" w:space="0" w:color="auto"/>
              <w:right w:val="nil"/>
            </w:tcBorders>
          </w:tcPr>
          <w:p w:rsidR="006224C2" w:rsidRPr="00295E71" w:rsidP="00F57FE5" w14:paraId="55A96491" w14:textId="77777777">
            <w:pPr>
              <w:keepNext/>
              <w:keepLines/>
              <w:tabs>
                <w:tab w:val="left" w:pos="562"/>
              </w:tabs>
              <w:rPr>
                <w:sz w:val="22"/>
                <w:szCs w:val="22"/>
              </w:rPr>
            </w:pPr>
            <w:r w:rsidRPr="00295E71">
              <w:rPr>
                <w:sz w:val="22"/>
                <w:szCs w:val="22"/>
              </w:rPr>
              <w:t>115</w:t>
            </w:r>
          </w:p>
        </w:tc>
        <w:tc>
          <w:tcPr>
            <w:tcW w:w="1231" w:type="dxa"/>
            <w:tcBorders>
              <w:top w:val="nil"/>
              <w:left w:val="nil"/>
              <w:bottom w:val="single" w:sz="4" w:space="0" w:color="auto"/>
              <w:right w:val="nil"/>
            </w:tcBorders>
          </w:tcPr>
          <w:p w:rsidR="006224C2" w:rsidRPr="00295E71" w:rsidP="00F57FE5" w14:paraId="5E83EF68" w14:textId="77777777">
            <w:pPr>
              <w:keepNext/>
              <w:keepLines/>
              <w:tabs>
                <w:tab w:val="left" w:pos="562"/>
              </w:tabs>
              <w:rPr>
                <w:sz w:val="22"/>
                <w:szCs w:val="22"/>
              </w:rPr>
            </w:pPr>
            <w:r w:rsidRPr="00295E71">
              <w:rPr>
                <w:sz w:val="22"/>
                <w:szCs w:val="22"/>
              </w:rPr>
              <w:t>45 (39,1)</w:t>
            </w:r>
          </w:p>
        </w:tc>
        <w:tc>
          <w:tcPr>
            <w:tcW w:w="1890" w:type="dxa"/>
            <w:tcBorders>
              <w:top w:val="nil"/>
              <w:left w:val="nil"/>
              <w:bottom w:val="single" w:sz="4" w:space="0" w:color="auto"/>
              <w:right w:val="nil"/>
            </w:tcBorders>
          </w:tcPr>
          <w:p w:rsidR="006224C2" w:rsidRPr="00295E71" w:rsidP="00F57FE5" w14:paraId="068455BB" w14:textId="77777777">
            <w:pPr>
              <w:keepNext/>
              <w:keepLines/>
              <w:tabs>
                <w:tab w:val="left" w:pos="562"/>
              </w:tabs>
              <w:rPr>
                <w:sz w:val="22"/>
                <w:szCs w:val="22"/>
              </w:rPr>
            </w:pPr>
            <w:r w:rsidRPr="00295E71">
              <w:rPr>
                <w:sz w:val="22"/>
                <w:szCs w:val="22"/>
              </w:rPr>
              <w:t>NV</w:t>
            </w:r>
            <w:r w:rsidRPr="00295E71">
              <w:rPr>
                <w:sz w:val="22"/>
                <w:szCs w:val="22"/>
                <w:vertAlign w:val="superscript"/>
              </w:rPr>
              <w:t>c</w:t>
            </w:r>
          </w:p>
        </w:tc>
        <w:tc>
          <w:tcPr>
            <w:tcW w:w="720" w:type="dxa"/>
            <w:tcBorders>
              <w:top w:val="nil"/>
              <w:left w:val="nil"/>
              <w:bottom w:val="single" w:sz="4" w:space="0" w:color="auto"/>
              <w:right w:val="nil"/>
            </w:tcBorders>
          </w:tcPr>
          <w:p w:rsidR="006224C2" w:rsidRPr="00295E71" w:rsidP="00F57FE5" w14:paraId="1DD99E75" w14:textId="77777777">
            <w:pPr>
              <w:keepNext/>
              <w:keepLines/>
              <w:tabs>
                <w:tab w:val="left" w:pos="562"/>
              </w:tabs>
              <w:rPr>
                <w:sz w:val="22"/>
                <w:szCs w:val="22"/>
              </w:rPr>
            </w:pPr>
            <w:r w:rsidRPr="00295E71">
              <w:rPr>
                <w:sz w:val="22"/>
                <w:szCs w:val="22"/>
              </w:rPr>
              <w:t>0,57</w:t>
            </w:r>
          </w:p>
        </w:tc>
        <w:tc>
          <w:tcPr>
            <w:tcW w:w="1109" w:type="dxa"/>
            <w:tcBorders>
              <w:top w:val="nil"/>
              <w:left w:val="nil"/>
              <w:bottom w:val="single" w:sz="4" w:space="0" w:color="auto"/>
              <w:right w:val="nil"/>
            </w:tcBorders>
          </w:tcPr>
          <w:p w:rsidR="006224C2" w:rsidRPr="00295E71" w:rsidP="00F57FE5" w14:paraId="40A0B8D5" w14:textId="77777777">
            <w:pPr>
              <w:keepNext/>
              <w:keepLines/>
              <w:tabs>
                <w:tab w:val="left" w:pos="562"/>
              </w:tabs>
              <w:rPr>
                <w:sz w:val="22"/>
                <w:szCs w:val="22"/>
              </w:rPr>
            </w:pPr>
            <w:r w:rsidRPr="00295E71">
              <w:rPr>
                <w:sz w:val="22"/>
                <w:szCs w:val="22"/>
              </w:rPr>
              <w:t>0,39; 0,84</w:t>
            </w:r>
          </w:p>
        </w:tc>
        <w:tc>
          <w:tcPr>
            <w:tcW w:w="1141" w:type="dxa"/>
            <w:tcBorders>
              <w:top w:val="nil"/>
              <w:left w:val="nil"/>
              <w:bottom w:val="single" w:sz="4" w:space="0" w:color="auto"/>
              <w:right w:val="nil"/>
            </w:tcBorders>
          </w:tcPr>
          <w:p w:rsidR="006224C2" w:rsidRPr="00295E71" w:rsidP="00F57FE5" w14:paraId="70DFA469" w14:textId="77777777">
            <w:pPr>
              <w:keepNext/>
              <w:keepLines/>
              <w:tabs>
                <w:tab w:val="left" w:pos="562"/>
              </w:tabs>
              <w:rPr>
                <w:sz w:val="22"/>
                <w:szCs w:val="22"/>
              </w:rPr>
            </w:pPr>
            <w:r w:rsidRPr="00295E71">
              <w:rPr>
                <w:sz w:val="22"/>
                <w:szCs w:val="22"/>
              </w:rPr>
              <w:t>0,004</w:t>
            </w:r>
          </w:p>
        </w:tc>
      </w:tr>
    </w:tbl>
    <w:p w:rsidR="006224C2" w:rsidRPr="00295E71" w:rsidP="00F57FE5" w14:paraId="4BA90B7F" w14:textId="77777777">
      <w:pPr>
        <w:keepNext/>
        <w:keepLines/>
        <w:tabs>
          <w:tab w:val="left" w:pos="567"/>
          <w:tab w:val="left" w:pos="1294"/>
        </w:tabs>
        <w:autoSpaceDE w:val="0"/>
        <w:autoSpaceDN w:val="0"/>
        <w:adjustRightInd w:val="0"/>
        <w:jc w:val="both"/>
        <w:rPr>
          <w:color w:val="000000"/>
          <w:sz w:val="22"/>
          <w:szCs w:val="22"/>
        </w:rPr>
      </w:pPr>
      <w:r w:rsidRPr="00295E71">
        <w:rPr>
          <w:color w:val="000000"/>
          <w:sz w:val="22"/>
          <w:szCs w:val="22"/>
        </w:rPr>
        <w:t>Nota: il fallimento del trattamento alla o dopo la settimana 6 (Studio UV I) oppure alla o dopo la settimana 2 (Studio UV II) è stato contato come evento. Gli abbandoni a causa di motivi diversi dal fallimento del trattamento sono stati censurati al momento dell’abbandono.</w:t>
      </w:r>
    </w:p>
    <w:p w:rsidR="006224C2" w:rsidRPr="00295E71" w:rsidP="00F57FE5" w14:paraId="2F2AE0E7" w14:textId="77777777">
      <w:pPr>
        <w:keepNext/>
        <w:keepLines/>
        <w:tabs>
          <w:tab w:val="left" w:pos="567"/>
          <w:tab w:val="left" w:pos="1294"/>
        </w:tabs>
        <w:autoSpaceDE w:val="0"/>
        <w:autoSpaceDN w:val="0"/>
        <w:adjustRightInd w:val="0"/>
        <w:jc w:val="both"/>
        <w:rPr>
          <w:color w:val="000000"/>
          <w:sz w:val="22"/>
          <w:szCs w:val="22"/>
        </w:rPr>
      </w:pPr>
      <w:r w:rsidRPr="00295E71">
        <w:rPr>
          <w:color w:val="000000"/>
          <w:sz w:val="22"/>
          <w:szCs w:val="22"/>
          <w:vertAlign w:val="superscript"/>
        </w:rPr>
        <w:t>a</w:t>
      </w:r>
      <w:r w:rsidRPr="00295E71">
        <w:rPr>
          <w:color w:val="000000"/>
          <w:sz w:val="22"/>
          <w:szCs w:val="22"/>
        </w:rPr>
        <w:tab/>
        <w:t>HR di adalimumab rispetto al placebo dalla regressione proporzionale dei rischi con il trattamento come fattore.</w:t>
      </w:r>
    </w:p>
    <w:p w:rsidR="006224C2" w:rsidRPr="00295E71" w:rsidP="00F57FE5" w14:paraId="1B02C8A0" w14:textId="77777777">
      <w:pPr>
        <w:keepNext/>
        <w:keepLines/>
        <w:tabs>
          <w:tab w:val="left" w:pos="567"/>
          <w:tab w:val="left" w:pos="1294"/>
        </w:tabs>
        <w:autoSpaceDE w:val="0"/>
        <w:autoSpaceDN w:val="0"/>
        <w:adjustRightInd w:val="0"/>
        <w:jc w:val="both"/>
        <w:rPr>
          <w:color w:val="000000"/>
          <w:sz w:val="22"/>
          <w:szCs w:val="22"/>
        </w:rPr>
      </w:pPr>
      <w:r w:rsidRPr="00295E71">
        <w:rPr>
          <w:color w:val="000000"/>
          <w:sz w:val="22"/>
          <w:szCs w:val="22"/>
          <w:vertAlign w:val="superscript"/>
        </w:rPr>
        <w:t>b</w:t>
      </w:r>
      <w:r w:rsidRPr="00295E71">
        <w:rPr>
          <w:color w:val="000000"/>
          <w:sz w:val="22"/>
          <w:szCs w:val="22"/>
        </w:rPr>
        <w:tab/>
        <w:t xml:space="preserve">Valore </w:t>
      </w:r>
      <w:r w:rsidRPr="00295E71">
        <w:rPr>
          <w:i/>
          <w:color w:val="000000"/>
          <w:sz w:val="22"/>
          <w:szCs w:val="22"/>
        </w:rPr>
        <w:t>P</w:t>
      </w:r>
      <w:r w:rsidRPr="00295E71">
        <w:rPr>
          <w:color w:val="000000"/>
          <w:sz w:val="22"/>
          <w:szCs w:val="22"/>
        </w:rPr>
        <w:t xml:space="preserve"> bilaterale dal test dei ranghi logaritmici.</w:t>
      </w:r>
    </w:p>
    <w:p w:rsidR="006224C2" w:rsidRPr="00295E71" w:rsidP="00F57FE5" w14:paraId="54D75945" w14:textId="77777777">
      <w:pPr>
        <w:keepNext/>
        <w:keepLines/>
        <w:tabs>
          <w:tab w:val="left" w:pos="567"/>
          <w:tab w:val="left" w:pos="1294"/>
        </w:tabs>
        <w:autoSpaceDE w:val="0"/>
        <w:autoSpaceDN w:val="0"/>
        <w:adjustRightInd w:val="0"/>
        <w:jc w:val="both"/>
        <w:rPr>
          <w:color w:val="000000"/>
          <w:sz w:val="22"/>
          <w:szCs w:val="22"/>
        </w:rPr>
      </w:pPr>
      <w:r w:rsidRPr="00295E71">
        <w:rPr>
          <w:color w:val="000000"/>
          <w:sz w:val="22"/>
          <w:szCs w:val="22"/>
          <w:vertAlign w:val="superscript"/>
        </w:rPr>
        <w:t>c</w:t>
      </w:r>
      <w:r w:rsidRPr="00295E71">
        <w:rPr>
          <w:color w:val="000000"/>
          <w:sz w:val="22"/>
          <w:szCs w:val="22"/>
        </w:rPr>
        <w:tab/>
        <w:t>NV = non valutabile. Meno della metà dei soggetti a rischio ha avuto un evento.</w:t>
      </w:r>
    </w:p>
    <w:p w:rsidR="006224C2" w:rsidRPr="00295E71" w:rsidP="00483A0B" w14:paraId="6488A047" w14:textId="77777777">
      <w:pPr>
        <w:tabs>
          <w:tab w:val="left" w:pos="567"/>
          <w:tab w:val="left" w:pos="1294"/>
        </w:tabs>
        <w:autoSpaceDE w:val="0"/>
        <w:autoSpaceDN w:val="0"/>
        <w:adjustRightInd w:val="0"/>
        <w:jc w:val="both"/>
        <w:rPr>
          <w:color w:val="000000"/>
          <w:sz w:val="22"/>
          <w:szCs w:val="22"/>
        </w:rPr>
      </w:pPr>
    </w:p>
    <w:p w:rsidR="006224C2" w:rsidRPr="00295E71" w:rsidP="00C04163" w14:paraId="6879B96E" w14:textId="77777777">
      <w:pPr>
        <w:rPr>
          <w:b/>
          <w:sz w:val="22"/>
          <w:szCs w:val="22"/>
          <w:lang w:eastAsia="en-US"/>
        </w:rPr>
      </w:pPr>
      <w:r w:rsidRPr="00295E71">
        <w:rPr>
          <w:b/>
          <w:sz w:val="22"/>
          <w:szCs w:val="22"/>
          <w:lang w:eastAsia="en-US"/>
        </w:rPr>
        <w:t xml:space="preserve">Figura 1: curve di Kaplan-Meier del tempo al fallimento del trattamento alla o dopo la settimana 6 (Studio UV I) o la settimana 2 (Studio UV II) </w:t>
      </w:r>
    </w:p>
    <w:p w:rsidR="006224C2" w:rsidRPr="00295E71" w:rsidP="00C04163" w14:paraId="20CB918C" w14:textId="77777777">
      <w:pPr>
        <w:tabs>
          <w:tab w:val="left" w:pos="562"/>
        </w:tabs>
        <w:suppressAutoHyphens/>
        <w:jc w:val="center"/>
        <w:rPr>
          <w:b/>
          <w:sz w:val="22"/>
          <w:szCs w:val="22"/>
          <w:lang w:eastAsia="en-US"/>
        </w:rPr>
      </w:pPr>
    </w:p>
    <w:tbl>
      <w:tblPr>
        <w:tblW w:w="9481" w:type="dxa"/>
        <w:tblLayout w:type="fixed"/>
        <w:tblLook w:val="04A0"/>
      </w:tblPr>
      <w:tblGrid>
        <w:gridCol w:w="675"/>
        <w:gridCol w:w="3496"/>
        <w:gridCol w:w="1170"/>
        <w:gridCol w:w="1350"/>
        <w:gridCol w:w="900"/>
        <w:gridCol w:w="1890"/>
      </w:tblGrid>
      <w:tr w14:paraId="2A624BDB" w14:textId="77777777">
        <w:tblPrEx>
          <w:tblW w:w="9481" w:type="dxa"/>
          <w:tblLayout w:type="fixed"/>
          <w:tblLook w:val="04A0"/>
        </w:tblPrEx>
        <w:trPr>
          <w:cantSplit/>
          <w:trHeight w:val="3806"/>
        </w:trPr>
        <w:tc>
          <w:tcPr>
            <w:tcW w:w="675" w:type="dxa"/>
            <w:textDirection w:val="btLr"/>
            <w:vAlign w:val="bottom"/>
          </w:tcPr>
          <w:p w:rsidR="006224C2" w:rsidRPr="00295E71" w:rsidP="00C04163" w14:paraId="3C9B6081" w14:textId="77777777">
            <w:pPr>
              <w:tabs>
                <w:tab w:val="left" w:pos="562"/>
              </w:tabs>
              <w:suppressAutoHyphens/>
              <w:ind w:left="113" w:right="113"/>
              <w:jc w:val="center"/>
              <w:rPr>
                <w:b/>
                <w:sz w:val="22"/>
                <w:szCs w:val="22"/>
                <w:lang w:eastAsia="en-US"/>
              </w:rPr>
            </w:pPr>
            <w:r w:rsidRPr="00295E71">
              <w:rPr>
                <w:b/>
                <w:sz w:val="22"/>
                <w:szCs w:val="22"/>
                <w:lang w:eastAsia="en-US"/>
              </w:rPr>
              <w:t>TASSO DI FALLIMENTO DEL TRATTAMENTO (%)</w:t>
            </w:r>
          </w:p>
        </w:tc>
        <w:tc>
          <w:tcPr>
            <w:tcW w:w="8806" w:type="dxa"/>
            <w:gridSpan w:val="5"/>
            <w:vAlign w:val="bottom"/>
          </w:tcPr>
          <w:p w:rsidR="006224C2" w:rsidRPr="00295E71" w:rsidP="00C04163" w14:paraId="2FD21AFE" w14:textId="77777777">
            <w:pPr>
              <w:tabs>
                <w:tab w:val="left" w:pos="562"/>
              </w:tabs>
              <w:suppressAutoHyphens/>
              <w:rPr>
                <w:sz w:val="22"/>
                <w:szCs w:val="22"/>
              </w:rPr>
            </w:pPr>
            <w:r w:rsidRPr="00910CE7">
              <w:rPr>
                <w:noProof/>
                <w:sz w:val="22"/>
                <w:lang w:val="en-GB"/>
              </w:rPr>
              <w:drawing>
                <wp:inline distT="0" distB="0" distL="0" distR="0">
                  <wp:extent cx="5422789" cy="2210435"/>
                  <wp:effectExtent l="0" t="0" r="6985" b="0"/>
                  <wp:docPr id="91" name="Picture 61"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10" descr="Humira Uveitis Figure 5_6"/>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22789" cy="2210435"/>
                          </a:xfrm>
                          <a:prstGeom prst="rect">
                            <a:avLst/>
                          </a:prstGeom>
                          <a:noFill/>
                          <a:ln>
                            <a:noFill/>
                          </a:ln>
                        </pic:spPr>
                      </pic:pic>
                    </a:graphicData>
                  </a:graphic>
                </wp:inline>
              </w:drawing>
            </w:r>
          </w:p>
        </w:tc>
      </w:tr>
      <w:tr w14:paraId="7E46B42A" w14:textId="77777777">
        <w:tblPrEx>
          <w:tblW w:w="9481" w:type="dxa"/>
          <w:tblLayout w:type="fixed"/>
          <w:tblLook w:val="04A0"/>
        </w:tblPrEx>
        <w:tc>
          <w:tcPr>
            <w:tcW w:w="675" w:type="dxa"/>
          </w:tcPr>
          <w:p w:rsidR="006224C2" w:rsidRPr="00295E71" w:rsidP="00C04163" w14:paraId="1804D246" w14:textId="77777777">
            <w:pPr>
              <w:tabs>
                <w:tab w:val="left" w:pos="562"/>
              </w:tabs>
              <w:suppressAutoHyphens/>
              <w:rPr>
                <w:sz w:val="22"/>
                <w:szCs w:val="22"/>
              </w:rPr>
            </w:pPr>
          </w:p>
        </w:tc>
        <w:tc>
          <w:tcPr>
            <w:tcW w:w="8806" w:type="dxa"/>
            <w:gridSpan w:val="5"/>
          </w:tcPr>
          <w:p w:rsidR="006224C2" w:rsidRPr="00295E71" w:rsidP="00C04163" w14:paraId="0C03865F" w14:textId="77777777">
            <w:pPr>
              <w:tabs>
                <w:tab w:val="left" w:pos="562"/>
              </w:tabs>
              <w:suppressAutoHyphens/>
              <w:jc w:val="center"/>
              <w:rPr>
                <w:b/>
                <w:sz w:val="22"/>
                <w:szCs w:val="22"/>
              </w:rPr>
            </w:pPr>
            <w:r w:rsidRPr="00295E71">
              <w:rPr>
                <w:b/>
                <w:sz w:val="22"/>
                <w:szCs w:val="22"/>
              </w:rPr>
              <w:t>TEMPO (MESI)</w:t>
            </w:r>
          </w:p>
        </w:tc>
      </w:tr>
      <w:tr w14:paraId="68D5D4DB" w14:textId="77777777">
        <w:tblPrEx>
          <w:tblW w:w="9481" w:type="dxa"/>
          <w:tblLayout w:type="fixed"/>
          <w:tblLook w:val="04A0"/>
        </w:tblPrEx>
        <w:tc>
          <w:tcPr>
            <w:tcW w:w="675" w:type="dxa"/>
          </w:tcPr>
          <w:p w:rsidR="006224C2" w:rsidRPr="00295E71" w:rsidP="00C04163" w14:paraId="797A9E4C" w14:textId="77777777">
            <w:pPr>
              <w:tabs>
                <w:tab w:val="left" w:pos="562"/>
              </w:tabs>
              <w:suppressAutoHyphens/>
              <w:rPr>
                <w:sz w:val="22"/>
                <w:szCs w:val="22"/>
              </w:rPr>
            </w:pPr>
          </w:p>
        </w:tc>
        <w:tc>
          <w:tcPr>
            <w:tcW w:w="3496" w:type="dxa"/>
          </w:tcPr>
          <w:p w:rsidR="006224C2" w:rsidRPr="00295E71" w:rsidP="00C04163" w14:paraId="7017D14D" w14:textId="77777777">
            <w:pPr>
              <w:tabs>
                <w:tab w:val="left" w:pos="562"/>
              </w:tabs>
              <w:suppressAutoHyphens/>
              <w:rPr>
                <w:sz w:val="22"/>
                <w:szCs w:val="22"/>
              </w:rPr>
            </w:pPr>
            <w:r w:rsidRPr="00295E71">
              <w:rPr>
                <w:sz w:val="22"/>
                <w:szCs w:val="22"/>
              </w:rPr>
              <w:t>Studio UV I                    Trattamento</w:t>
            </w:r>
          </w:p>
        </w:tc>
        <w:tc>
          <w:tcPr>
            <w:tcW w:w="1170" w:type="dxa"/>
          </w:tcPr>
          <w:p w:rsidR="006224C2" w:rsidRPr="00295E71" w:rsidP="00C04163" w14:paraId="5CC57560" w14:textId="77777777">
            <w:pPr>
              <w:tabs>
                <w:tab w:val="left" w:pos="562"/>
              </w:tabs>
              <w:suppressAutoHyphens/>
              <w:jc w:val="right"/>
              <w:rPr>
                <w:sz w:val="22"/>
                <w:szCs w:val="22"/>
              </w:rPr>
            </w:pPr>
            <w:r w:rsidRPr="00910CE7">
              <w:rPr>
                <w:noProof/>
                <w:sz w:val="22"/>
                <w:lang w:val="en-GB"/>
              </w:rPr>
              <w:drawing>
                <wp:inline distT="0" distB="0" distL="0" distR="0">
                  <wp:extent cx="394970" cy="180340"/>
                  <wp:effectExtent l="0" t="0" r="0" b="0"/>
                  <wp:docPr id="92" name="Immagine 6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2" descr="Humira Uveitis Figure 5_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970" cy="180340"/>
                          </a:xfrm>
                          <a:prstGeom prst="rect">
                            <a:avLst/>
                          </a:prstGeom>
                          <a:noFill/>
                          <a:ln>
                            <a:noFill/>
                          </a:ln>
                        </pic:spPr>
                      </pic:pic>
                    </a:graphicData>
                  </a:graphic>
                </wp:inline>
              </w:drawing>
            </w:r>
          </w:p>
        </w:tc>
        <w:tc>
          <w:tcPr>
            <w:tcW w:w="1350" w:type="dxa"/>
          </w:tcPr>
          <w:p w:rsidR="006224C2" w:rsidRPr="00295E71" w:rsidP="00C04163" w14:paraId="1E34CE33" w14:textId="77777777">
            <w:pPr>
              <w:tabs>
                <w:tab w:val="left" w:pos="562"/>
              </w:tabs>
              <w:suppressAutoHyphens/>
              <w:rPr>
                <w:sz w:val="22"/>
                <w:szCs w:val="22"/>
              </w:rPr>
            </w:pPr>
            <w:r w:rsidRPr="00295E71">
              <w:rPr>
                <w:sz w:val="22"/>
                <w:szCs w:val="22"/>
              </w:rPr>
              <w:t>Placebo</w:t>
            </w:r>
          </w:p>
        </w:tc>
        <w:tc>
          <w:tcPr>
            <w:tcW w:w="900" w:type="dxa"/>
          </w:tcPr>
          <w:p w:rsidR="006224C2" w:rsidRPr="00295E71" w:rsidP="00C04163" w14:paraId="6AD74AB3" w14:textId="77777777">
            <w:pPr>
              <w:tabs>
                <w:tab w:val="left" w:pos="562"/>
              </w:tabs>
              <w:suppressAutoHyphens/>
              <w:jc w:val="right"/>
              <w:rPr>
                <w:sz w:val="22"/>
                <w:szCs w:val="22"/>
              </w:rPr>
            </w:pPr>
            <w:r w:rsidRPr="00910CE7">
              <w:rPr>
                <w:noProof/>
                <w:sz w:val="22"/>
                <w:lang w:val="en-GB"/>
              </w:rPr>
              <w:drawing>
                <wp:inline distT="0" distB="0" distL="0" distR="0">
                  <wp:extent cx="561340" cy="180340"/>
                  <wp:effectExtent l="0" t="0" r="0" b="0"/>
                  <wp:docPr id="93" name="Immagine 6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3" descr="Humira Uveitis Figure 5_2"/>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340" cy="180340"/>
                          </a:xfrm>
                          <a:prstGeom prst="rect">
                            <a:avLst/>
                          </a:prstGeom>
                          <a:noFill/>
                          <a:ln>
                            <a:noFill/>
                          </a:ln>
                        </pic:spPr>
                      </pic:pic>
                    </a:graphicData>
                  </a:graphic>
                </wp:inline>
              </w:drawing>
            </w:r>
          </w:p>
        </w:tc>
        <w:tc>
          <w:tcPr>
            <w:tcW w:w="1890" w:type="dxa"/>
          </w:tcPr>
          <w:p w:rsidR="006224C2" w:rsidRPr="00295E71" w:rsidP="00C04163" w14:paraId="60599C80" w14:textId="77777777">
            <w:pPr>
              <w:tabs>
                <w:tab w:val="left" w:pos="562"/>
              </w:tabs>
              <w:suppressAutoHyphens/>
              <w:rPr>
                <w:sz w:val="22"/>
                <w:szCs w:val="22"/>
              </w:rPr>
            </w:pPr>
            <w:r w:rsidRPr="00295E71">
              <w:rPr>
                <w:sz w:val="22"/>
                <w:szCs w:val="22"/>
              </w:rPr>
              <w:t>Adalimumab</w:t>
            </w:r>
          </w:p>
        </w:tc>
      </w:tr>
      <w:tr w14:paraId="2652B160" w14:textId="77777777">
        <w:tblPrEx>
          <w:tblW w:w="9481" w:type="dxa"/>
          <w:tblLayout w:type="fixed"/>
          <w:tblLook w:val="04A0"/>
        </w:tblPrEx>
        <w:trPr>
          <w:trHeight w:val="3869"/>
        </w:trPr>
        <w:tc>
          <w:tcPr>
            <w:tcW w:w="675" w:type="dxa"/>
            <w:textDirection w:val="btLr"/>
            <w:vAlign w:val="bottom"/>
          </w:tcPr>
          <w:p w:rsidR="006224C2" w:rsidRPr="00295E71" w:rsidP="00910CE7" w14:paraId="6E53C726" w14:textId="77777777">
            <w:pPr>
              <w:keepNext/>
              <w:tabs>
                <w:tab w:val="left" w:pos="562"/>
              </w:tabs>
              <w:suppressAutoHyphens/>
              <w:jc w:val="center"/>
              <w:rPr>
                <w:sz w:val="22"/>
                <w:szCs w:val="22"/>
                <w:lang w:eastAsia="en-US"/>
              </w:rPr>
            </w:pPr>
            <w:r w:rsidRPr="00295E71">
              <w:rPr>
                <w:b/>
                <w:sz w:val="22"/>
                <w:szCs w:val="22"/>
                <w:lang w:eastAsia="en-US"/>
              </w:rPr>
              <w:t>TASSO DI FALLIMENTO DEL TRATTAMENTO (%)</w:t>
            </w:r>
          </w:p>
        </w:tc>
        <w:tc>
          <w:tcPr>
            <w:tcW w:w="8806" w:type="dxa"/>
            <w:gridSpan w:val="5"/>
            <w:vAlign w:val="bottom"/>
          </w:tcPr>
          <w:p w:rsidR="006224C2" w:rsidRPr="00295E71" w:rsidP="00910CE7" w14:paraId="1F0BE4BC" w14:textId="77777777">
            <w:pPr>
              <w:keepNext/>
              <w:tabs>
                <w:tab w:val="left" w:pos="562"/>
              </w:tabs>
              <w:suppressAutoHyphens/>
              <w:rPr>
                <w:sz w:val="22"/>
                <w:szCs w:val="22"/>
                <w:lang w:eastAsia="en-US"/>
              </w:rPr>
            </w:pPr>
            <w:r w:rsidRPr="00910CE7">
              <w:rPr>
                <w:noProof/>
                <w:sz w:val="22"/>
                <w:lang w:val="en-GB"/>
              </w:rPr>
              <w:drawing>
                <wp:inline distT="0" distB="0" distL="0" distR="0">
                  <wp:extent cx="5486400" cy="2182495"/>
                  <wp:effectExtent l="0" t="0" r="0" b="8255"/>
                  <wp:docPr id="94" name="Picture 39"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17" descr="Humira Uveitis Figure 5_7"/>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182495"/>
                          </a:xfrm>
                          <a:prstGeom prst="rect">
                            <a:avLst/>
                          </a:prstGeom>
                          <a:noFill/>
                          <a:ln>
                            <a:noFill/>
                          </a:ln>
                        </pic:spPr>
                      </pic:pic>
                    </a:graphicData>
                  </a:graphic>
                </wp:inline>
              </w:drawing>
            </w:r>
          </w:p>
        </w:tc>
      </w:tr>
      <w:tr w14:paraId="3CE567FB" w14:textId="77777777">
        <w:tblPrEx>
          <w:tblW w:w="9481" w:type="dxa"/>
          <w:tblLayout w:type="fixed"/>
          <w:tblLook w:val="04A0"/>
        </w:tblPrEx>
        <w:tc>
          <w:tcPr>
            <w:tcW w:w="675" w:type="dxa"/>
          </w:tcPr>
          <w:p w:rsidR="006224C2" w:rsidRPr="00295E71" w:rsidP="00910CE7" w14:paraId="4D6B88BD" w14:textId="77777777">
            <w:pPr>
              <w:keepNext/>
              <w:tabs>
                <w:tab w:val="left" w:pos="562"/>
              </w:tabs>
              <w:suppressAutoHyphens/>
              <w:rPr>
                <w:sz w:val="22"/>
                <w:szCs w:val="22"/>
                <w:lang w:eastAsia="en-US"/>
              </w:rPr>
            </w:pPr>
          </w:p>
        </w:tc>
        <w:tc>
          <w:tcPr>
            <w:tcW w:w="8806" w:type="dxa"/>
            <w:gridSpan w:val="5"/>
          </w:tcPr>
          <w:p w:rsidR="006224C2" w:rsidRPr="00295E71" w:rsidP="00910CE7" w14:paraId="3169A4D6" w14:textId="77777777">
            <w:pPr>
              <w:keepNext/>
              <w:tabs>
                <w:tab w:val="left" w:pos="562"/>
              </w:tabs>
              <w:suppressAutoHyphens/>
              <w:jc w:val="center"/>
              <w:rPr>
                <w:b/>
                <w:sz w:val="22"/>
                <w:szCs w:val="22"/>
              </w:rPr>
            </w:pPr>
            <w:r w:rsidRPr="00295E71">
              <w:rPr>
                <w:b/>
                <w:sz w:val="22"/>
                <w:szCs w:val="22"/>
              </w:rPr>
              <w:t>TEMPO (MESI)</w:t>
            </w:r>
          </w:p>
        </w:tc>
      </w:tr>
      <w:tr w14:paraId="79A5290D" w14:textId="77777777">
        <w:tblPrEx>
          <w:tblW w:w="9481" w:type="dxa"/>
          <w:tblLayout w:type="fixed"/>
          <w:tblLook w:val="04A0"/>
        </w:tblPrEx>
        <w:trPr>
          <w:trHeight w:val="369"/>
        </w:trPr>
        <w:tc>
          <w:tcPr>
            <w:tcW w:w="675" w:type="dxa"/>
          </w:tcPr>
          <w:p w:rsidR="006224C2" w:rsidRPr="00295E71" w:rsidP="00910CE7" w14:paraId="47D2D18A" w14:textId="77777777">
            <w:pPr>
              <w:keepNext/>
              <w:tabs>
                <w:tab w:val="left" w:pos="562"/>
              </w:tabs>
              <w:suppressAutoHyphens/>
              <w:rPr>
                <w:sz w:val="22"/>
                <w:szCs w:val="22"/>
              </w:rPr>
            </w:pPr>
          </w:p>
        </w:tc>
        <w:tc>
          <w:tcPr>
            <w:tcW w:w="3496" w:type="dxa"/>
          </w:tcPr>
          <w:p w:rsidR="006224C2" w:rsidRPr="00295E71" w:rsidP="00910CE7" w14:paraId="7DBD6E4D" w14:textId="77777777">
            <w:pPr>
              <w:keepNext/>
              <w:tabs>
                <w:tab w:val="left" w:pos="562"/>
              </w:tabs>
              <w:suppressAutoHyphens/>
              <w:rPr>
                <w:sz w:val="22"/>
                <w:szCs w:val="22"/>
              </w:rPr>
            </w:pPr>
            <w:r w:rsidRPr="00295E71">
              <w:rPr>
                <w:sz w:val="22"/>
                <w:szCs w:val="22"/>
              </w:rPr>
              <w:t>Studio UV II                   Trattamento</w:t>
            </w:r>
          </w:p>
        </w:tc>
        <w:tc>
          <w:tcPr>
            <w:tcW w:w="1170" w:type="dxa"/>
          </w:tcPr>
          <w:p w:rsidR="006224C2" w:rsidRPr="00295E71" w:rsidP="00910CE7" w14:paraId="673D71A3" w14:textId="77777777">
            <w:pPr>
              <w:keepNext/>
              <w:tabs>
                <w:tab w:val="left" w:pos="562"/>
              </w:tabs>
              <w:suppressAutoHyphens/>
              <w:jc w:val="right"/>
              <w:rPr>
                <w:sz w:val="22"/>
                <w:szCs w:val="22"/>
              </w:rPr>
            </w:pPr>
            <w:r w:rsidRPr="00910CE7">
              <w:rPr>
                <w:noProof/>
                <w:sz w:val="22"/>
                <w:lang w:val="en-GB"/>
              </w:rPr>
              <w:drawing>
                <wp:inline distT="0" distB="0" distL="0" distR="0">
                  <wp:extent cx="394970" cy="180340"/>
                  <wp:effectExtent l="0" t="0" r="0" b="0"/>
                  <wp:docPr id="95" name="Immagine 6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5" descr="Humira Uveitis Figure 5_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970" cy="180340"/>
                          </a:xfrm>
                          <a:prstGeom prst="rect">
                            <a:avLst/>
                          </a:prstGeom>
                          <a:noFill/>
                          <a:ln>
                            <a:noFill/>
                          </a:ln>
                        </pic:spPr>
                      </pic:pic>
                    </a:graphicData>
                  </a:graphic>
                </wp:inline>
              </w:drawing>
            </w:r>
          </w:p>
        </w:tc>
        <w:tc>
          <w:tcPr>
            <w:tcW w:w="1350" w:type="dxa"/>
          </w:tcPr>
          <w:p w:rsidR="006224C2" w:rsidRPr="00295E71" w:rsidP="00910CE7" w14:paraId="3B3D692F" w14:textId="77777777">
            <w:pPr>
              <w:keepNext/>
              <w:tabs>
                <w:tab w:val="left" w:pos="562"/>
              </w:tabs>
              <w:suppressAutoHyphens/>
              <w:rPr>
                <w:sz w:val="22"/>
                <w:szCs w:val="22"/>
              </w:rPr>
            </w:pPr>
            <w:r w:rsidRPr="00295E71">
              <w:rPr>
                <w:sz w:val="22"/>
                <w:szCs w:val="22"/>
              </w:rPr>
              <w:t>Placebo</w:t>
            </w:r>
          </w:p>
        </w:tc>
        <w:tc>
          <w:tcPr>
            <w:tcW w:w="900" w:type="dxa"/>
          </w:tcPr>
          <w:p w:rsidR="006224C2" w:rsidRPr="00295E71" w:rsidP="00910CE7" w14:paraId="3DF90A4A" w14:textId="77777777">
            <w:pPr>
              <w:keepNext/>
              <w:tabs>
                <w:tab w:val="left" w:pos="562"/>
              </w:tabs>
              <w:suppressAutoHyphens/>
              <w:jc w:val="right"/>
              <w:rPr>
                <w:sz w:val="22"/>
                <w:szCs w:val="22"/>
              </w:rPr>
            </w:pPr>
            <w:r w:rsidRPr="00910CE7">
              <w:rPr>
                <w:noProof/>
                <w:sz w:val="22"/>
                <w:lang w:val="en-GB"/>
              </w:rPr>
              <w:drawing>
                <wp:inline distT="0" distB="0" distL="0" distR="0">
                  <wp:extent cx="561340" cy="180340"/>
                  <wp:effectExtent l="0" t="0" r="0" b="0"/>
                  <wp:docPr id="96" name="Immagine 6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6" descr="Humira Uveitis Figure 5_2"/>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340" cy="180340"/>
                          </a:xfrm>
                          <a:prstGeom prst="rect">
                            <a:avLst/>
                          </a:prstGeom>
                          <a:noFill/>
                          <a:ln>
                            <a:noFill/>
                          </a:ln>
                        </pic:spPr>
                      </pic:pic>
                    </a:graphicData>
                  </a:graphic>
                </wp:inline>
              </w:drawing>
            </w:r>
          </w:p>
        </w:tc>
        <w:tc>
          <w:tcPr>
            <w:tcW w:w="1890" w:type="dxa"/>
          </w:tcPr>
          <w:p w:rsidR="006224C2" w:rsidRPr="00295E71" w:rsidP="00910CE7" w14:paraId="160C8709" w14:textId="77777777">
            <w:pPr>
              <w:keepNext/>
              <w:tabs>
                <w:tab w:val="left" w:pos="562"/>
              </w:tabs>
              <w:suppressAutoHyphens/>
              <w:rPr>
                <w:sz w:val="22"/>
                <w:szCs w:val="22"/>
              </w:rPr>
            </w:pPr>
            <w:r w:rsidRPr="00295E71">
              <w:rPr>
                <w:sz w:val="22"/>
                <w:szCs w:val="22"/>
              </w:rPr>
              <w:t>Adalimumab</w:t>
            </w:r>
          </w:p>
        </w:tc>
      </w:tr>
      <w:tr w14:paraId="3140290B" w14:textId="77777777">
        <w:tblPrEx>
          <w:tblW w:w="9481" w:type="dxa"/>
          <w:tblLayout w:type="fixed"/>
          <w:tblLook w:val="04A0"/>
        </w:tblPrEx>
        <w:trPr>
          <w:trHeight w:val="629"/>
        </w:trPr>
        <w:tc>
          <w:tcPr>
            <w:tcW w:w="9481" w:type="dxa"/>
            <w:gridSpan w:val="6"/>
            <w:vAlign w:val="center"/>
          </w:tcPr>
          <w:p w:rsidR="006224C2" w:rsidRPr="00295E71" w:rsidP="00910CE7" w14:paraId="5024CE2F" w14:textId="77777777">
            <w:pPr>
              <w:keepNext/>
              <w:tabs>
                <w:tab w:val="left" w:pos="562"/>
              </w:tabs>
              <w:suppressAutoHyphens/>
              <w:rPr>
                <w:sz w:val="22"/>
                <w:szCs w:val="22"/>
                <w:lang w:eastAsia="en-US"/>
              </w:rPr>
            </w:pPr>
            <w:r w:rsidRPr="00295E71">
              <w:rPr>
                <w:sz w:val="22"/>
                <w:szCs w:val="22"/>
                <w:lang w:eastAsia="en-US"/>
              </w:rPr>
              <w:t>Nota: P = Placebo (Numero di eventi/Numero a rischio); A = HUMIRA (Numero di</w:t>
            </w:r>
          </w:p>
          <w:p w:rsidR="006224C2" w:rsidRPr="00295E71" w:rsidP="00910CE7" w14:paraId="2F06C1A8" w14:textId="77777777">
            <w:pPr>
              <w:keepNext/>
              <w:tabs>
                <w:tab w:val="left" w:pos="562"/>
              </w:tabs>
              <w:suppressAutoHyphens/>
              <w:rPr>
                <w:sz w:val="22"/>
                <w:szCs w:val="22"/>
              </w:rPr>
            </w:pPr>
            <w:r w:rsidRPr="00295E71">
              <w:rPr>
                <w:sz w:val="22"/>
                <w:szCs w:val="22"/>
              </w:rPr>
              <w:t>eventi/Numero a rischio).</w:t>
            </w:r>
          </w:p>
        </w:tc>
      </w:tr>
    </w:tbl>
    <w:p w:rsidR="006224C2" w:rsidRPr="00295E71" w14:paraId="05734AC4" w14:textId="77777777">
      <w:pPr>
        <w:tabs>
          <w:tab w:val="left" w:pos="562"/>
        </w:tabs>
        <w:suppressAutoHyphens/>
        <w:rPr>
          <w:sz w:val="22"/>
          <w:szCs w:val="22"/>
        </w:rPr>
      </w:pPr>
    </w:p>
    <w:p w:rsidR="006224C2" w:rsidRPr="00295E71" w14:paraId="3307E46C" w14:textId="77777777">
      <w:pPr>
        <w:tabs>
          <w:tab w:val="left" w:pos="562"/>
        </w:tabs>
        <w:suppressAutoHyphens/>
        <w:rPr>
          <w:sz w:val="22"/>
          <w:szCs w:val="22"/>
          <w:lang w:eastAsia="en-US"/>
        </w:rPr>
      </w:pPr>
      <w:r w:rsidRPr="00295E71">
        <w:rPr>
          <w:sz w:val="22"/>
          <w:szCs w:val="22"/>
          <w:lang w:eastAsia="en-US"/>
        </w:rPr>
        <w:t>Nello Studio UV I sono state osservate differenze statisticamente significative a favore di adalimumab rispetto al placebo per ogni componente del fallimento del trattamento. Nello Studio UV II sono state osservate differenze statisticamente significative solo per l’acuità visiva, mentre gli altri componenti erano numericamente a favore di adalimumab.</w:t>
      </w:r>
    </w:p>
    <w:p w:rsidR="006224C2" w:rsidRPr="00295E71" w14:paraId="50D2C4F2" w14:textId="77777777">
      <w:pPr>
        <w:tabs>
          <w:tab w:val="left" w:pos="562"/>
        </w:tabs>
        <w:suppressAutoHyphens/>
        <w:rPr>
          <w:sz w:val="22"/>
          <w:szCs w:val="22"/>
          <w:lang w:eastAsia="en-US"/>
        </w:rPr>
      </w:pPr>
    </w:p>
    <w:p w:rsidR="00A65016" w:rsidP="003915EA" w14:paraId="40DA5D38" w14:textId="77777777">
      <w:pPr>
        <w:rPr>
          <w:sz w:val="22"/>
          <w:szCs w:val="22"/>
          <w:lang w:eastAsia="en-US"/>
        </w:rPr>
      </w:pPr>
      <w:r w:rsidRPr="00295E71">
        <w:rPr>
          <w:sz w:val="22"/>
          <w:szCs w:val="22"/>
          <w:lang w:eastAsia="en-US"/>
        </w:rPr>
        <w:t xml:space="preserve">Dei </w:t>
      </w:r>
      <w:r w:rsidR="00BA6375">
        <w:rPr>
          <w:sz w:val="22"/>
          <w:szCs w:val="22"/>
          <w:lang w:eastAsia="en-US"/>
        </w:rPr>
        <w:t>424</w:t>
      </w:r>
      <w:r w:rsidRPr="00295E71">
        <w:rPr>
          <w:sz w:val="22"/>
          <w:szCs w:val="22"/>
          <w:lang w:eastAsia="en-US"/>
        </w:rPr>
        <w:t xml:space="preserve"> soggetti inclusi nell’estensione a lungo termine non controllata degli Studi UV I ed UV II, </w:t>
      </w:r>
      <w:r w:rsidR="00512453">
        <w:rPr>
          <w:sz w:val="22"/>
          <w:szCs w:val="22"/>
          <w:lang w:eastAsia="en-US"/>
        </w:rPr>
        <w:t>60</w:t>
      </w:r>
      <w:r w:rsidRPr="00295E71">
        <w:rPr>
          <w:sz w:val="22"/>
          <w:szCs w:val="22"/>
          <w:lang w:eastAsia="en-US"/>
        </w:rPr>
        <w:t xml:space="preserve"> soggetti sono stati considerati non eleggibili (ad es. </w:t>
      </w:r>
      <w:r w:rsidR="00512453">
        <w:rPr>
          <w:sz w:val="22"/>
          <w:szCs w:val="22"/>
          <w:lang w:eastAsia="en-US"/>
        </w:rPr>
        <w:t xml:space="preserve">a causa di deviazioni o per </w:t>
      </w:r>
      <w:r w:rsidRPr="00295E71">
        <w:rPr>
          <w:sz w:val="22"/>
          <w:szCs w:val="22"/>
          <w:lang w:eastAsia="en-US"/>
        </w:rPr>
        <w:t xml:space="preserve">complicazioni secondarie alla retinopatia diabetica, a causa di intervento chirurgico di cataratta o vitrectomia) e sono stati esclusi dall’analisi primaria di efficacia. Dei </w:t>
      </w:r>
      <w:r w:rsidR="00512453">
        <w:rPr>
          <w:sz w:val="22"/>
          <w:szCs w:val="22"/>
          <w:lang w:eastAsia="en-US"/>
        </w:rPr>
        <w:t>364</w:t>
      </w:r>
      <w:r w:rsidRPr="00295E71">
        <w:rPr>
          <w:sz w:val="22"/>
          <w:szCs w:val="22"/>
          <w:lang w:eastAsia="en-US"/>
        </w:rPr>
        <w:t xml:space="preserve"> pazienti rimanenti, </w:t>
      </w:r>
      <w:r w:rsidR="00512453">
        <w:rPr>
          <w:sz w:val="22"/>
          <w:szCs w:val="22"/>
          <w:lang w:eastAsia="en-US"/>
        </w:rPr>
        <w:t>269</w:t>
      </w:r>
      <w:r w:rsidRPr="00295E71">
        <w:rPr>
          <w:sz w:val="22"/>
          <w:szCs w:val="22"/>
          <w:lang w:eastAsia="en-US"/>
        </w:rPr>
        <w:t xml:space="preserve"> pazienti </w:t>
      </w:r>
      <w:r w:rsidRPr="005641FA">
        <w:rPr>
          <w:sz w:val="22"/>
          <w:szCs w:val="22"/>
          <w:lang w:eastAsia="en-US"/>
        </w:rPr>
        <w:t>valutabili</w:t>
      </w:r>
      <w:r w:rsidRPr="00295E71">
        <w:rPr>
          <w:sz w:val="22"/>
          <w:szCs w:val="22"/>
          <w:lang w:eastAsia="en-US"/>
        </w:rPr>
        <w:t xml:space="preserve"> </w:t>
      </w:r>
      <w:r w:rsidR="00512453">
        <w:rPr>
          <w:sz w:val="22"/>
          <w:szCs w:val="22"/>
          <w:lang w:eastAsia="en-US"/>
        </w:rPr>
        <w:t xml:space="preserve">(74%) </w:t>
      </w:r>
      <w:r w:rsidRPr="00295E71">
        <w:rPr>
          <w:sz w:val="22"/>
          <w:szCs w:val="22"/>
          <w:lang w:eastAsia="en-US"/>
        </w:rPr>
        <w:t xml:space="preserve">hanno raggiunto 78 settimane di trattamento in aperto con adalimumab. In base all’approccio utilizzato per l’osservazione dei dati, </w:t>
      </w:r>
      <w:r w:rsidR="00512453">
        <w:rPr>
          <w:sz w:val="22"/>
          <w:szCs w:val="22"/>
          <w:lang w:eastAsia="en-US"/>
        </w:rPr>
        <w:t>216</w:t>
      </w:r>
      <w:r w:rsidRPr="00295E71">
        <w:rPr>
          <w:sz w:val="22"/>
          <w:szCs w:val="22"/>
          <w:lang w:eastAsia="en-US"/>
        </w:rPr>
        <w:t xml:space="preserve"> (80,</w:t>
      </w:r>
      <w:r w:rsidR="00512453">
        <w:rPr>
          <w:sz w:val="22"/>
          <w:szCs w:val="22"/>
          <w:lang w:eastAsia="en-US"/>
        </w:rPr>
        <w:t>3</w:t>
      </w:r>
      <w:r w:rsidRPr="00295E71">
        <w:rPr>
          <w:sz w:val="22"/>
          <w:szCs w:val="22"/>
          <w:lang w:eastAsia="en-US"/>
        </w:rPr>
        <w:t xml:space="preserve">%) sono stati in quiescenza (nessuna lesione infiammatoria attiva, grado di cellule AC ≤ 0,5+, grado VH ≤ 0,5+) con una dose concomitante di steroidi ≤ 7,5 mg al giorno, e </w:t>
      </w:r>
      <w:r w:rsidR="00512453">
        <w:rPr>
          <w:sz w:val="22"/>
          <w:szCs w:val="22"/>
          <w:lang w:eastAsia="en-US"/>
        </w:rPr>
        <w:t>178</w:t>
      </w:r>
      <w:r w:rsidRPr="00295E71">
        <w:rPr>
          <w:sz w:val="22"/>
          <w:szCs w:val="22"/>
          <w:lang w:eastAsia="en-US"/>
        </w:rPr>
        <w:t xml:space="preserve"> (66,</w:t>
      </w:r>
      <w:r w:rsidR="00512453">
        <w:rPr>
          <w:sz w:val="22"/>
          <w:szCs w:val="22"/>
          <w:lang w:eastAsia="en-US"/>
        </w:rPr>
        <w:t>2</w:t>
      </w:r>
      <w:r w:rsidRPr="00295E71">
        <w:rPr>
          <w:sz w:val="22"/>
          <w:szCs w:val="22"/>
          <w:lang w:eastAsia="en-US"/>
        </w:rPr>
        <w:t>%) sono stati in quiescenza senza trattamento steroideo. BCVA era migliorat</w:t>
      </w:r>
      <w:r w:rsidR="00E04499">
        <w:rPr>
          <w:sz w:val="22"/>
          <w:szCs w:val="22"/>
          <w:lang w:eastAsia="en-US"/>
        </w:rPr>
        <w:t>a</w:t>
      </w:r>
      <w:r w:rsidRPr="00295E71">
        <w:rPr>
          <w:sz w:val="22"/>
          <w:szCs w:val="22"/>
          <w:lang w:eastAsia="en-US"/>
        </w:rPr>
        <w:t xml:space="preserve"> o mantenut</w:t>
      </w:r>
      <w:r w:rsidR="00E04499">
        <w:rPr>
          <w:sz w:val="22"/>
          <w:szCs w:val="22"/>
          <w:lang w:eastAsia="en-US"/>
        </w:rPr>
        <w:t>a</w:t>
      </w:r>
      <w:r w:rsidRPr="00295E71">
        <w:rPr>
          <w:sz w:val="22"/>
          <w:szCs w:val="22"/>
          <w:lang w:eastAsia="en-US"/>
        </w:rPr>
        <w:t xml:space="preserve"> (deteriorazione &lt; 5 lettere) nell’88,</w:t>
      </w:r>
      <w:r w:rsidR="00512453">
        <w:rPr>
          <w:sz w:val="22"/>
          <w:szCs w:val="22"/>
          <w:lang w:eastAsia="en-US"/>
        </w:rPr>
        <w:t>6</w:t>
      </w:r>
      <w:r w:rsidRPr="00295E71">
        <w:rPr>
          <w:sz w:val="22"/>
          <w:szCs w:val="22"/>
          <w:lang w:eastAsia="en-US"/>
        </w:rPr>
        <w:t xml:space="preserve">% degli occhi alla settimana 78. </w:t>
      </w:r>
      <w:r w:rsidRPr="00004788" w:rsidR="00512453">
        <w:rPr>
          <w:sz w:val="22"/>
          <w:szCs w:val="22"/>
          <w:lang w:eastAsia="en-US"/>
        </w:rPr>
        <w:t xml:space="preserve">I dati oltre la settimana 78 </w:t>
      </w:r>
      <w:r w:rsidR="00512453">
        <w:rPr>
          <w:sz w:val="22"/>
          <w:szCs w:val="22"/>
          <w:lang w:eastAsia="en-US"/>
        </w:rPr>
        <w:t>sono stati</w:t>
      </w:r>
      <w:r w:rsidRPr="00004788" w:rsidR="00512453">
        <w:rPr>
          <w:sz w:val="22"/>
          <w:szCs w:val="22"/>
          <w:lang w:eastAsia="en-US"/>
        </w:rPr>
        <w:t xml:space="preserve"> generalmente coerenti con questi risultati, ma il numero di soggetti arruolati è diminuito dopo questo periodo</w:t>
      </w:r>
      <w:r w:rsidR="00512453">
        <w:rPr>
          <w:sz w:val="22"/>
          <w:szCs w:val="22"/>
          <w:lang w:eastAsia="en-US"/>
        </w:rPr>
        <w:t>.</w:t>
      </w:r>
      <w:r w:rsidRPr="00004788" w:rsidR="00512453">
        <w:rPr>
          <w:sz w:val="22"/>
          <w:szCs w:val="22"/>
          <w:lang w:eastAsia="en-US"/>
        </w:rPr>
        <w:t xml:space="preserve"> </w:t>
      </w:r>
      <w:r w:rsidR="00512453">
        <w:rPr>
          <w:sz w:val="22"/>
          <w:szCs w:val="22"/>
          <w:lang w:eastAsia="en-US"/>
        </w:rPr>
        <w:t>Complessivamente, t</w:t>
      </w:r>
      <w:r w:rsidRPr="00295E71">
        <w:rPr>
          <w:sz w:val="22"/>
          <w:szCs w:val="22"/>
          <w:lang w:eastAsia="en-US"/>
        </w:rPr>
        <w:t xml:space="preserve">ra i pazienti che hanno interrotto lo studio, </w:t>
      </w:r>
      <w:r w:rsidR="00512453">
        <w:rPr>
          <w:sz w:val="22"/>
          <w:szCs w:val="22"/>
          <w:lang w:eastAsia="en-US"/>
        </w:rPr>
        <w:t>il 18</w:t>
      </w:r>
      <w:r w:rsidRPr="00295E71">
        <w:rPr>
          <w:sz w:val="22"/>
          <w:szCs w:val="22"/>
          <w:lang w:eastAsia="en-US"/>
        </w:rPr>
        <w:t>% ha interrotto a causa di eventi avversi, e</w:t>
      </w:r>
      <w:r w:rsidR="00512453">
        <w:rPr>
          <w:sz w:val="22"/>
          <w:szCs w:val="22"/>
          <w:lang w:eastAsia="en-US"/>
        </w:rPr>
        <w:t xml:space="preserve"> l’8</w:t>
      </w:r>
      <w:r w:rsidRPr="00295E71">
        <w:rPr>
          <w:sz w:val="22"/>
          <w:szCs w:val="22"/>
          <w:lang w:eastAsia="en-US"/>
        </w:rPr>
        <w:t>% a causa di risposta insufficiente al trattamento con adalimumab.</w:t>
      </w:r>
    </w:p>
    <w:p w:rsidR="004559C0" w:rsidRPr="00295E71" w14:paraId="1436F700" w14:textId="77777777">
      <w:pPr>
        <w:tabs>
          <w:tab w:val="left" w:pos="562"/>
        </w:tabs>
        <w:suppressAutoHyphens/>
        <w:rPr>
          <w:sz w:val="22"/>
          <w:szCs w:val="22"/>
          <w:lang w:eastAsia="en-US"/>
        </w:rPr>
      </w:pPr>
    </w:p>
    <w:p w:rsidR="006224C2" w:rsidRPr="00295E71" w14:paraId="1BAE83AF" w14:textId="77777777">
      <w:pPr>
        <w:tabs>
          <w:tab w:val="left" w:pos="562"/>
        </w:tabs>
        <w:suppressAutoHyphens/>
        <w:rPr>
          <w:i/>
          <w:sz w:val="22"/>
          <w:szCs w:val="22"/>
          <w:u w:val="single"/>
          <w:lang w:eastAsia="en-US"/>
        </w:rPr>
      </w:pPr>
      <w:r w:rsidRPr="00295E71">
        <w:rPr>
          <w:i/>
          <w:sz w:val="22"/>
          <w:szCs w:val="22"/>
          <w:u w:val="single"/>
          <w:lang w:eastAsia="en-US"/>
        </w:rPr>
        <w:t>Qualità della vita</w:t>
      </w:r>
    </w:p>
    <w:p w:rsidR="006224C2" w:rsidRPr="00295E71" w14:paraId="10FE8B65" w14:textId="77777777">
      <w:pPr>
        <w:tabs>
          <w:tab w:val="left" w:pos="562"/>
        </w:tabs>
        <w:suppressAutoHyphens/>
        <w:rPr>
          <w:i/>
          <w:sz w:val="22"/>
          <w:szCs w:val="22"/>
          <w:u w:val="single"/>
          <w:lang w:eastAsia="en-US"/>
        </w:rPr>
      </w:pPr>
    </w:p>
    <w:p w:rsidR="006224C2" w:rsidRPr="00F83E38" w14:paraId="10366BB9" w14:textId="77777777">
      <w:pPr>
        <w:tabs>
          <w:tab w:val="left" w:pos="567"/>
          <w:tab w:val="left" w:pos="1294"/>
        </w:tabs>
        <w:autoSpaceDE w:val="0"/>
        <w:autoSpaceDN w:val="0"/>
        <w:adjustRightInd w:val="0"/>
        <w:jc w:val="both"/>
        <w:rPr>
          <w:color w:val="000000"/>
          <w:sz w:val="22"/>
          <w:szCs w:val="22"/>
          <w:u w:val="single"/>
        </w:rPr>
      </w:pPr>
      <w:r w:rsidRPr="00295E71">
        <w:rPr>
          <w:sz w:val="22"/>
          <w:szCs w:val="22"/>
          <w:lang w:eastAsia="en-US"/>
        </w:rPr>
        <w:t xml:space="preserve">Gli esiti riferiti dal paziente per quanto riguarda la funzione visiva sono stati misurati in entrambi gli studi clinici, utilizzando la scala NEI VFQ-25. Humira è stato numericamente favorito per la maggior parte dei punteggi parziali con differenze medie statisticamente significative per la visione generale, il dolore oculare, la visione da vicino, la salute mentale e il punteggio totale nello Studio UV I e per la visione generale e la salute mentale nello Studio UV II. Gli effetti legati alla visione non erano numericamente a favore di </w:t>
      </w:r>
      <w:r w:rsidRPr="00F83E38">
        <w:rPr>
          <w:sz w:val="22"/>
          <w:szCs w:val="22"/>
          <w:lang w:eastAsia="en-US"/>
        </w:rPr>
        <w:t>Humira per la visione del colore nello Studio UV I e per la visione del colore, la visione periferica e la visione da vicino nello Studio UV II.</w:t>
      </w:r>
    </w:p>
    <w:p w:rsidR="006224C2" w:rsidRPr="00F83E38" w14:paraId="12CF5D5E" w14:textId="77777777">
      <w:pPr>
        <w:keepNext/>
        <w:rPr>
          <w:color w:val="000000"/>
          <w:sz w:val="22"/>
          <w:szCs w:val="22"/>
          <w:u w:val="single"/>
        </w:rPr>
      </w:pPr>
    </w:p>
    <w:p w:rsidR="006224C2" w:rsidRPr="00F83E38" w14:paraId="383DABBA" w14:textId="77777777">
      <w:pPr>
        <w:keepNext/>
        <w:rPr>
          <w:color w:val="000000"/>
          <w:sz w:val="22"/>
          <w:szCs w:val="22"/>
          <w:u w:val="single"/>
        </w:rPr>
      </w:pPr>
      <w:r w:rsidRPr="00F83E38">
        <w:rPr>
          <w:color w:val="000000"/>
          <w:sz w:val="22"/>
          <w:szCs w:val="22"/>
          <w:u w:val="single"/>
        </w:rPr>
        <w:t>Immunogenicità</w:t>
      </w:r>
    </w:p>
    <w:p w:rsidR="006224C2" w:rsidRPr="00F83E38" w14:paraId="30F1CA79" w14:textId="77777777">
      <w:pPr>
        <w:keepNext/>
        <w:tabs>
          <w:tab w:val="left" w:pos="567"/>
          <w:tab w:val="left" w:pos="1294"/>
        </w:tabs>
        <w:autoSpaceDE w:val="0"/>
        <w:autoSpaceDN w:val="0"/>
        <w:adjustRightInd w:val="0"/>
        <w:jc w:val="both"/>
        <w:rPr>
          <w:color w:val="000000"/>
          <w:sz w:val="22"/>
          <w:szCs w:val="22"/>
          <w:u w:val="single"/>
        </w:rPr>
      </w:pPr>
    </w:p>
    <w:p w:rsidR="006224C2" w:rsidRPr="00295E71" w14:paraId="46F15DDF" w14:textId="77777777">
      <w:pPr>
        <w:keepNext/>
        <w:tabs>
          <w:tab w:val="left" w:pos="567"/>
          <w:tab w:val="left" w:pos="1294"/>
        </w:tabs>
        <w:autoSpaceDE w:val="0"/>
        <w:autoSpaceDN w:val="0"/>
        <w:adjustRightInd w:val="0"/>
        <w:jc w:val="both"/>
        <w:rPr>
          <w:color w:val="000000"/>
          <w:sz w:val="22"/>
          <w:szCs w:val="22"/>
        </w:rPr>
      </w:pPr>
      <w:r w:rsidRPr="00F83E38">
        <w:rPr>
          <w:color w:val="000000"/>
          <w:sz w:val="22"/>
          <w:szCs w:val="22"/>
        </w:rPr>
        <w:t>La formazione di anticorpi anti-adalimumab è associata all’aumento della clearance ed alla riduzione dell’efficacia di adalimumab. Non</w:t>
      </w:r>
      <w:r w:rsidRPr="00295E71">
        <w:rPr>
          <w:color w:val="000000"/>
          <w:sz w:val="22"/>
          <w:szCs w:val="22"/>
        </w:rPr>
        <w:t xml:space="preserve"> esiste una correlazione evidente tra la presenza di anticorpi anti-adalimumab e l’insorgenza di eventi avversi.</w:t>
      </w:r>
    </w:p>
    <w:p w:rsidR="006224C2" w:rsidRPr="00295E71" w14:paraId="34AB0CA7" w14:textId="77777777">
      <w:pPr>
        <w:keepNext/>
        <w:tabs>
          <w:tab w:val="left" w:pos="567"/>
          <w:tab w:val="left" w:pos="1294"/>
        </w:tabs>
        <w:autoSpaceDE w:val="0"/>
        <w:autoSpaceDN w:val="0"/>
        <w:adjustRightInd w:val="0"/>
        <w:jc w:val="both"/>
        <w:rPr>
          <w:color w:val="000000"/>
          <w:sz w:val="22"/>
          <w:szCs w:val="22"/>
          <w:u w:val="single"/>
        </w:rPr>
      </w:pPr>
    </w:p>
    <w:p w:rsidR="002A7381" w:rsidRPr="00295E71" w14:paraId="211137F0" w14:textId="77777777">
      <w:pPr>
        <w:keepNext/>
        <w:tabs>
          <w:tab w:val="left" w:pos="567"/>
          <w:tab w:val="left" w:pos="1294"/>
        </w:tabs>
        <w:autoSpaceDE w:val="0"/>
        <w:autoSpaceDN w:val="0"/>
        <w:adjustRightInd w:val="0"/>
        <w:jc w:val="both"/>
        <w:rPr>
          <w:color w:val="000000"/>
          <w:sz w:val="22"/>
          <w:szCs w:val="22"/>
        </w:rPr>
      </w:pPr>
      <w:r w:rsidRPr="00295E71">
        <w:rPr>
          <w:color w:val="000000"/>
          <w:sz w:val="22"/>
          <w:szCs w:val="22"/>
        </w:rPr>
        <w:t xml:space="preserve">I pazienti degli studi I, II e III sull’artrite reumatoide sono stati esaminati a vari intervalli di tempo per valutare gli anticorpi anti-adalimumab durante il periodo da 6 a 12 mesi. Negli studi clinici </w:t>
      </w:r>
      <w:r w:rsidRPr="00020442" w:rsidR="00E04499">
        <w:rPr>
          <w:color w:val="000000"/>
          <w:sz w:val="22"/>
          <w:szCs w:val="22"/>
        </w:rPr>
        <w:t>registrativi</w:t>
      </w:r>
      <w:r w:rsidRPr="00295E71">
        <w:rPr>
          <w:color w:val="000000"/>
          <w:sz w:val="22"/>
          <w:szCs w:val="22"/>
        </w:rPr>
        <w:t xml:space="preserve">, </w:t>
      </w:r>
      <w:r w:rsidRPr="00295E71">
        <w:rPr>
          <w:color w:val="000000"/>
          <w:sz w:val="22"/>
          <w:szCs w:val="22"/>
        </w:rPr>
        <w:t>gli anticorpi anti-adalimumab sono stati riscontrati nel 5,5% (58/1053) dei pazienti trattati con adalimumab, rispetto allo 0,5% (2/370) dei pazienti trattati con placebo. Nei pazienti a cui non è stato somministrato contemporaneamente il metotressato, l’incidenza è stata del 12,4%, rispetto allo 0,6% quando adalimumab è stato usato in combinazione con metotressato.</w:t>
      </w:r>
    </w:p>
    <w:p w:rsidR="002A7381" w:rsidRPr="00295E71" w14:paraId="2C9BC0CA" w14:textId="77777777">
      <w:pPr>
        <w:keepNext/>
        <w:tabs>
          <w:tab w:val="left" w:pos="567"/>
          <w:tab w:val="left" w:pos="1294"/>
        </w:tabs>
        <w:autoSpaceDE w:val="0"/>
        <w:autoSpaceDN w:val="0"/>
        <w:adjustRightInd w:val="0"/>
        <w:jc w:val="both"/>
        <w:rPr>
          <w:color w:val="000000"/>
          <w:sz w:val="22"/>
          <w:szCs w:val="22"/>
          <w:u w:val="single"/>
        </w:rPr>
      </w:pPr>
    </w:p>
    <w:p w:rsidR="006224C2" w:rsidRPr="00295E71" w14:paraId="6E3FCD9C"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con malattia di Crohn, anticorpi anti-adalimumab sono stati identificati in 7/269 soggetti (2,6%) e in 19/487 soggetti (3,9%) in pazienti affetti da colite ulcerosa.</w:t>
      </w:r>
    </w:p>
    <w:p w:rsidR="006224C2" w:rsidRPr="00295E71" w14:paraId="20BFDDC6" w14:textId="77777777">
      <w:pPr>
        <w:tabs>
          <w:tab w:val="left" w:pos="567"/>
          <w:tab w:val="left" w:pos="1294"/>
        </w:tabs>
        <w:autoSpaceDE w:val="0"/>
        <w:autoSpaceDN w:val="0"/>
        <w:adjustRightInd w:val="0"/>
        <w:jc w:val="both"/>
        <w:rPr>
          <w:color w:val="000000"/>
          <w:sz w:val="22"/>
          <w:szCs w:val="22"/>
        </w:rPr>
      </w:pPr>
    </w:p>
    <w:p w:rsidR="006224C2" w:rsidRPr="00295E71" w14:paraId="7BABB165"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adulti affetti da psoriasi, sono stati identificati anticorpi anti-adalimumab in 77/920 (8,4%) soggetti trattati con adalimuma</w:t>
      </w:r>
      <w:r w:rsidR="00E04499">
        <w:rPr>
          <w:color w:val="000000"/>
          <w:sz w:val="22"/>
          <w:szCs w:val="22"/>
        </w:rPr>
        <w:t>b</w:t>
      </w:r>
      <w:r w:rsidRPr="00295E71">
        <w:rPr>
          <w:color w:val="000000"/>
          <w:sz w:val="22"/>
          <w:szCs w:val="22"/>
        </w:rPr>
        <w:t xml:space="preserve"> in monoterapia.</w:t>
      </w:r>
    </w:p>
    <w:p w:rsidR="006224C2" w:rsidRPr="00295E71" w14:paraId="04C15FF0" w14:textId="77777777">
      <w:pPr>
        <w:tabs>
          <w:tab w:val="left" w:pos="567"/>
          <w:tab w:val="left" w:pos="1294"/>
        </w:tabs>
        <w:autoSpaceDE w:val="0"/>
        <w:autoSpaceDN w:val="0"/>
        <w:adjustRightInd w:val="0"/>
        <w:jc w:val="both"/>
        <w:rPr>
          <w:color w:val="000000"/>
          <w:sz w:val="22"/>
          <w:szCs w:val="22"/>
        </w:rPr>
      </w:pPr>
    </w:p>
    <w:p w:rsidR="006224C2" w:rsidRPr="00295E71" w14:paraId="098A3190"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In pazienti adulti affetti da psoriasi a placche trattati a lungo termine in monoterapia con adalimumab che hanno partecipato ad uno studio di sospensione e di ri-trattamento, la percentuale di positività per anticorpi anti</w:t>
      </w:r>
      <w:r w:rsidR="00E04499">
        <w:rPr>
          <w:color w:val="000000"/>
          <w:sz w:val="22"/>
          <w:szCs w:val="22"/>
        </w:rPr>
        <w:t>-</w:t>
      </w:r>
      <w:r w:rsidRPr="00295E71">
        <w:rPr>
          <w:color w:val="000000"/>
          <w:sz w:val="22"/>
          <w:szCs w:val="22"/>
        </w:rPr>
        <w:t xml:space="preserve">adalimumab dopo la ripresa del trattamento (11 casi su 482 soggetti, 2,3%) si è mostrata simile a quella osservata prima della sospensione del farmaco (11 casi su 590 soggetti, 1,9%).  </w:t>
      </w:r>
    </w:p>
    <w:p w:rsidR="006224C2" w:rsidRPr="00295E71" w14:paraId="159C1DB5" w14:textId="77777777">
      <w:pPr>
        <w:tabs>
          <w:tab w:val="left" w:pos="567"/>
          <w:tab w:val="left" w:pos="1294"/>
        </w:tabs>
        <w:autoSpaceDE w:val="0"/>
        <w:autoSpaceDN w:val="0"/>
        <w:adjustRightInd w:val="0"/>
        <w:jc w:val="both"/>
        <w:rPr>
          <w:color w:val="000000"/>
          <w:sz w:val="22"/>
          <w:szCs w:val="22"/>
        </w:rPr>
      </w:pPr>
    </w:p>
    <w:p w:rsidR="006224C2" w:rsidRPr="00295E71" w14:paraId="212C6BAB"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In pazienti con Idrosadenite Suppurativa di grado da moderato a severo, sono stati identificati anticorpi anti-adalimumab in 10/99 soggetti (10,1%) trattati con adalimumab.</w:t>
      </w:r>
    </w:p>
    <w:p w:rsidR="006224C2" w:rsidRPr="00295E71" w14:paraId="402B3A77" w14:textId="77777777">
      <w:pPr>
        <w:tabs>
          <w:tab w:val="left" w:pos="567"/>
          <w:tab w:val="left" w:pos="1294"/>
        </w:tabs>
        <w:autoSpaceDE w:val="0"/>
        <w:autoSpaceDN w:val="0"/>
        <w:adjustRightInd w:val="0"/>
        <w:jc w:val="both"/>
        <w:rPr>
          <w:color w:val="000000"/>
          <w:sz w:val="22"/>
          <w:szCs w:val="22"/>
        </w:rPr>
      </w:pPr>
    </w:p>
    <w:p w:rsidR="006224C2" w:rsidRPr="00295E71" w14:paraId="556EBBAC"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Nei pazienti in età pediatrica con malattia di Crohn attiva di grado da moderato a severo, il tasso di sviluppo di anticorpi anti-adalimumab è stato del 3,3% nei pazienti in trattamento con adalimumab.</w:t>
      </w:r>
    </w:p>
    <w:p w:rsidR="006224C2" w:rsidRPr="00295E71" w14:paraId="1422AA86" w14:textId="77777777">
      <w:pPr>
        <w:tabs>
          <w:tab w:val="left" w:pos="567"/>
          <w:tab w:val="left" w:pos="1294"/>
        </w:tabs>
        <w:autoSpaceDE w:val="0"/>
        <w:autoSpaceDN w:val="0"/>
        <w:adjustRightInd w:val="0"/>
        <w:jc w:val="both"/>
        <w:rPr>
          <w:color w:val="000000"/>
          <w:sz w:val="22"/>
          <w:szCs w:val="22"/>
        </w:rPr>
      </w:pPr>
    </w:p>
    <w:p w:rsidR="006224C2" w:rsidRPr="00295E71" w14:paraId="10F4A5E2"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Nei pazienti </w:t>
      </w:r>
      <w:r w:rsidRPr="00295E71" w:rsidR="004559C0">
        <w:rPr>
          <w:color w:val="000000"/>
          <w:sz w:val="22"/>
          <w:szCs w:val="22"/>
        </w:rPr>
        <w:t xml:space="preserve">adulti </w:t>
      </w:r>
      <w:r w:rsidRPr="00295E71">
        <w:rPr>
          <w:color w:val="000000"/>
          <w:sz w:val="22"/>
          <w:szCs w:val="22"/>
        </w:rPr>
        <w:t>con uveite non infettiva, sono stati identificati anticorpi anti-adalimumab nel 4,8% (12/249) dei pazienti trattati con adalimumab.</w:t>
      </w:r>
    </w:p>
    <w:p w:rsidR="006224C2" w:rsidRPr="00295E71" w14:paraId="148C825B" w14:textId="77777777">
      <w:pPr>
        <w:tabs>
          <w:tab w:val="left" w:pos="567"/>
          <w:tab w:val="left" w:pos="1294"/>
        </w:tabs>
        <w:autoSpaceDE w:val="0"/>
        <w:autoSpaceDN w:val="0"/>
        <w:adjustRightInd w:val="0"/>
        <w:jc w:val="both"/>
        <w:rPr>
          <w:color w:val="000000"/>
          <w:sz w:val="22"/>
          <w:szCs w:val="22"/>
        </w:rPr>
      </w:pPr>
    </w:p>
    <w:p w:rsidR="00800CE0" w:rsidRPr="00612824" w:rsidP="00800CE0" w14:paraId="6D7199D3" w14:textId="77777777">
      <w:pPr>
        <w:rPr>
          <w:sz w:val="22"/>
          <w:szCs w:val="22"/>
        </w:rPr>
      </w:pPr>
      <w:r w:rsidRPr="00612824">
        <w:rPr>
          <w:sz w:val="22"/>
          <w:szCs w:val="22"/>
        </w:rPr>
        <w:t xml:space="preserve">Nei pazienti con colite ulcerosa pediatrica </w:t>
      </w:r>
      <w:r w:rsidR="00454888">
        <w:rPr>
          <w:sz w:val="22"/>
          <w:szCs w:val="22"/>
        </w:rPr>
        <w:t>attiva di grado da moderato a severo</w:t>
      </w:r>
      <w:r w:rsidRPr="00612824">
        <w:rPr>
          <w:sz w:val="22"/>
          <w:szCs w:val="22"/>
        </w:rPr>
        <w:t>, il tasso di sviluppo di anticorpi anti-adalimumab nei pazienti trattati con adalimumab è stato del 3%.</w:t>
      </w:r>
    </w:p>
    <w:p w:rsidR="00800CE0" w:rsidRPr="00800CE0" w14:paraId="3A271968" w14:textId="77777777">
      <w:pPr>
        <w:tabs>
          <w:tab w:val="left" w:pos="567"/>
          <w:tab w:val="left" w:pos="1294"/>
        </w:tabs>
        <w:autoSpaceDE w:val="0"/>
        <w:autoSpaceDN w:val="0"/>
        <w:adjustRightInd w:val="0"/>
        <w:jc w:val="both"/>
        <w:rPr>
          <w:color w:val="000000"/>
          <w:sz w:val="22"/>
          <w:szCs w:val="22"/>
        </w:rPr>
      </w:pPr>
    </w:p>
    <w:p w:rsidR="006224C2" w:rsidRPr="00295E71" w14:paraId="09067809" w14:textId="77777777">
      <w:pPr>
        <w:tabs>
          <w:tab w:val="left" w:pos="567"/>
          <w:tab w:val="left" w:pos="1294"/>
        </w:tabs>
        <w:autoSpaceDE w:val="0"/>
        <w:autoSpaceDN w:val="0"/>
        <w:adjustRightInd w:val="0"/>
        <w:jc w:val="both"/>
        <w:rPr>
          <w:color w:val="000000"/>
          <w:sz w:val="22"/>
          <w:szCs w:val="22"/>
        </w:rPr>
      </w:pPr>
      <w:r w:rsidRPr="00295E71">
        <w:rPr>
          <w:color w:val="000000"/>
          <w:sz w:val="22"/>
          <w:szCs w:val="22"/>
        </w:rPr>
        <w:t xml:space="preserve">Poiché le analisi di immunogenicità sono specifiche del prodotto, il confronto fra le quantità di anticorpi con </w:t>
      </w:r>
      <w:r w:rsidRPr="00020442" w:rsidR="00E04499">
        <w:rPr>
          <w:color w:val="000000"/>
          <w:sz w:val="22"/>
          <w:szCs w:val="22"/>
        </w:rPr>
        <w:t xml:space="preserve">quelle di </w:t>
      </w:r>
      <w:r w:rsidRPr="00295E71">
        <w:rPr>
          <w:color w:val="000000"/>
          <w:sz w:val="22"/>
          <w:szCs w:val="22"/>
        </w:rPr>
        <w:t>altri prodotti non è appropriato.</w:t>
      </w:r>
    </w:p>
    <w:p w:rsidR="006224C2" w:rsidRPr="00295E71" w14:paraId="5837AF29" w14:textId="77777777">
      <w:pPr>
        <w:rPr>
          <w:color w:val="000000"/>
          <w:sz w:val="22"/>
          <w:szCs w:val="22"/>
          <w:u w:val="single"/>
        </w:rPr>
      </w:pPr>
    </w:p>
    <w:p w:rsidR="006224C2" w:rsidRPr="00F83E38" w:rsidP="00F83E38" w14:paraId="6B479314" w14:textId="77777777">
      <w:pPr>
        <w:keepNext/>
        <w:keepLines/>
        <w:rPr>
          <w:color w:val="000000"/>
          <w:sz w:val="22"/>
          <w:szCs w:val="22"/>
          <w:u w:val="single"/>
        </w:rPr>
      </w:pPr>
      <w:r w:rsidRPr="00F83E38">
        <w:rPr>
          <w:color w:val="000000"/>
          <w:sz w:val="22"/>
          <w:szCs w:val="22"/>
          <w:u w:val="single"/>
        </w:rPr>
        <w:t>Popolazione pediatrica</w:t>
      </w:r>
    </w:p>
    <w:p w:rsidR="00F83E38" w:rsidRPr="00F83E38" w:rsidP="00612824" w14:paraId="33E268A4" w14:textId="77777777">
      <w:pPr>
        <w:keepNext/>
        <w:rPr>
          <w:sz w:val="22"/>
          <w:szCs w:val="22"/>
        </w:rPr>
      </w:pPr>
    </w:p>
    <w:p w:rsidR="00F83E38" w:rsidRPr="00612824" w:rsidP="00F83E38" w14:paraId="0FD53785" w14:textId="77777777">
      <w:pPr>
        <w:pStyle w:val="EMEANormal"/>
        <w:keepNext/>
        <w:rPr>
          <w:i/>
          <w:lang w:val="it-IT"/>
        </w:rPr>
      </w:pPr>
      <w:r w:rsidRPr="00612824">
        <w:rPr>
          <w:i/>
          <w:lang w:val="it-IT"/>
        </w:rPr>
        <w:t>Idrosadenite suppurativa negli adolescenti</w:t>
      </w:r>
    </w:p>
    <w:p w:rsidR="00F83E38" w:rsidRPr="00612824" w:rsidP="00F83E38" w14:paraId="01BF97ED" w14:textId="77777777">
      <w:pPr>
        <w:pStyle w:val="EMEANormal"/>
        <w:keepNext/>
        <w:rPr>
          <w:i/>
          <w:lang w:val="it-IT"/>
        </w:rPr>
      </w:pPr>
    </w:p>
    <w:p w:rsidR="00F83E38" w:rsidRPr="00612824" w:rsidP="00F83E38" w14:paraId="2E3411D3" w14:textId="77777777">
      <w:pPr>
        <w:pStyle w:val="EMEANormal"/>
        <w:keepNext/>
        <w:jc w:val="both"/>
        <w:rPr>
          <w:lang w:val="it-IT"/>
        </w:rPr>
      </w:pPr>
      <w:r w:rsidRPr="00612824">
        <w:rPr>
          <w:lang w:val="it-IT"/>
        </w:rPr>
        <w:t>Non sono stati condotti studi clinici con Humira in pazienti adolescenti con HS. L’efficacia di</w:t>
      </w:r>
      <w:r w:rsidRPr="00612824">
        <w:rPr>
          <w:iCs/>
          <w:lang w:val="it-IT"/>
        </w:rPr>
        <w:t xml:space="preserve"> adalimumab nel trattamento di pazienti adolescenti con HS è stata predetta in base all’efficacia dimostrata e al rapporto esposizione-risposta in pazienti adulti con HS ed alla plausibilità che il decorso di malattia, la patofisiologia e gli effetti del medicinale siano sostanzialmente simili a quelli degli adulti agli stessi livelli di esposizione. La sicurezza della dose raccomandata di adalimumab nella popolazione adolescente con HS si basa sul profilo di sicurezza cross-indicazione di adalimumab sia nei pazienti adulti che nei pazienti pediatrici a dosi simili o più frequenti </w:t>
      </w:r>
      <w:r w:rsidRPr="00612824">
        <w:rPr>
          <w:lang w:val="it-IT"/>
        </w:rPr>
        <w:t>(vedere paragrafo 5.2).</w:t>
      </w:r>
    </w:p>
    <w:p w:rsidR="00F83E38" w:rsidRPr="00F83E38" w:rsidP="00F83E38" w14:paraId="1E9CA45F" w14:textId="77777777">
      <w:pPr>
        <w:tabs>
          <w:tab w:val="left" w:pos="567"/>
          <w:tab w:val="left" w:pos="1294"/>
        </w:tabs>
        <w:autoSpaceDE w:val="0"/>
        <w:autoSpaceDN w:val="0"/>
        <w:adjustRightInd w:val="0"/>
        <w:jc w:val="both"/>
        <w:rPr>
          <w:sz w:val="22"/>
          <w:szCs w:val="22"/>
        </w:rPr>
      </w:pPr>
    </w:p>
    <w:p w:rsidR="00F83E38" w:rsidRPr="00612824" w:rsidP="00F83E38" w14:paraId="7A5A9D63" w14:textId="77777777">
      <w:pPr>
        <w:rPr>
          <w:i/>
          <w:sz w:val="22"/>
          <w:szCs w:val="22"/>
        </w:rPr>
      </w:pPr>
      <w:r w:rsidRPr="00612824">
        <w:rPr>
          <w:i/>
          <w:sz w:val="22"/>
          <w:szCs w:val="22"/>
        </w:rPr>
        <w:t>Malattia di Crohn in pazienti pediatrici</w:t>
      </w:r>
    </w:p>
    <w:p w:rsidR="00F83E38" w:rsidRPr="00612824" w:rsidP="00F83E38" w14:paraId="0154C6BF" w14:textId="77777777">
      <w:pPr>
        <w:keepNext/>
        <w:tabs>
          <w:tab w:val="left" w:pos="567"/>
        </w:tabs>
        <w:jc w:val="both"/>
        <w:rPr>
          <w:sz w:val="22"/>
          <w:szCs w:val="22"/>
        </w:rPr>
      </w:pPr>
    </w:p>
    <w:p w:rsidR="00F83E38" w:rsidRPr="00612824" w:rsidP="00C04163" w14:paraId="2C593088" w14:textId="77777777">
      <w:pPr>
        <w:keepNext/>
        <w:tabs>
          <w:tab w:val="left" w:pos="567"/>
        </w:tabs>
        <w:jc w:val="both"/>
        <w:rPr>
          <w:sz w:val="22"/>
          <w:szCs w:val="22"/>
        </w:rPr>
      </w:pPr>
      <w:r w:rsidRPr="00612824">
        <w:rPr>
          <w:sz w:val="22"/>
          <w:szCs w:val="22"/>
        </w:rPr>
        <w:t xml:space="preserve">Humira è stato testato in uno studio clinico multicentrico, randomizzato, in doppio cieco disegnato per valutare l’efficacia e la sicurezza del trattamento di induzione e di mantenimento con dosi dipendenti dal peso corporeo (&lt;40 kg o ≥ 40 kg) in 192 soggetti pediatrici di età compresa tra 6 e 17 anni (inclusi), con la Malattia di Crohn (MC) di grado da moderato a severo definita da un punteggio dell’Indice di Attività della Malattia di Crohn Pediatrica (Paediatric Crohn's Disease Activity Index - PCDAI) &gt; 30. </w:t>
      </w:r>
    </w:p>
    <w:p w:rsidR="00F83E38" w:rsidRPr="00612824" w:rsidP="00F83E38" w14:paraId="74A78C26" w14:textId="77777777">
      <w:pPr>
        <w:jc w:val="both"/>
        <w:rPr>
          <w:sz w:val="22"/>
          <w:szCs w:val="22"/>
        </w:rPr>
      </w:pPr>
      <w:r w:rsidRPr="00612824">
        <w:rPr>
          <w:sz w:val="22"/>
          <w:szCs w:val="22"/>
        </w:rPr>
        <w:t>I soggetti dovevano aver fallito la terapia convenzionale (incluso un corticosteroide e/o un immunomodulatore) per MC. I soggetti, inoltre, potevano aver precedentemente perso la risposta o essere stati intolleranti ad infliximab.</w:t>
      </w:r>
    </w:p>
    <w:p w:rsidR="00F83E38" w:rsidRPr="00612824" w:rsidP="00F83E38" w14:paraId="5AB882BB" w14:textId="77777777">
      <w:pPr>
        <w:tabs>
          <w:tab w:val="left" w:pos="567"/>
        </w:tabs>
        <w:jc w:val="both"/>
        <w:rPr>
          <w:sz w:val="22"/>
          <w:szCs w:val="22"/>
        </w:rPr>
      </w:pPr>
    </w:p>
    <w:p w:rsidR="00F83E38" w:rsidRPr="00612824" w:rsidP="00F83E38" w14:paraId="737C17F9" w14:textId="77777777">
      <w:pPr>
        <w:tabs>
          <w:tab w:val="left" w:pos="567"/>
        </w:tabs>
        <w:jc w:val="both"/>
        <w:rPr>
          <w:sz w:val="22"/>
          <w:szCs w:val="22"/>
        </w:rPr>
      </w:pPr>
      <w:r w:rsidRPr="00612824">
        <w:rPr>
          <w:sz w:val="22"/>
          <w:szCs w:val="22"/>
        </w:rPr>
        <w:t>Tutti i soggetti hanno ricevuto una terapia di induzione in aperto con una dose basata sul loro peso corporeo al basale: 160 mg alla settimana 0 e 80 mg alla settimana 2 per i soggetti con peso ≥ 40 kg, e rispettivamente, 80 mg e 40 mg per i soggetti con peso &lt; 40 kg.</w:t>
      </w:r>
    </w:p>
    <w:p w:rsidR="00F83E38" w:rsidRPr="00612824" w:rsidP="00F83E38" w14:paraId="7AB095B4" w14:textId="77777777">
      <w:pPr>
        <w:tabs>
          <w:tab w:val="left" w:pos="567"/>
        </w:tabs>
        <w:jc w:val="both"/>
        <w:rPr>
          <w:sz w:val="22"/>
          <w:szCs w:val="22"/>
        </w:rPr>
      </w:pPr>
    </w:p>
    <w:p w:rsidR="00F83E38" w:rsidRPr="00612824" w:rsidP="00F83E38" w14:paraId="636C0A1B" w14:textId="77777777">
      <w:pPr>
        <w:tabs>
          <w:tab w:val="left" w:pos="567"/>
        </w:tabs>
        <w:jc w:val="both"/>
        <w:rPr>
          <w:sz w:val="22"/>
          <w:szCs w:val="22"/>
        </w:rPr>
      </w:pPr>
      <w:r w:rsidRPr="00612824">
        <w:rPr>
          <w:sz w:val="22"/>
          <w:szCs w:val="22"/>
        </w:rPr>
        <w:t>Alla settimana 4, in base al loro peso corporeo i soggetti sono stati randomizzati 1:1 o nel regime di mantenimento a Bassa Dose o in quello a Dose Standard, come mostrato nella Tabella 18.</w:t>
      </w:r>
    </w:p>
    <w:p w:rsidR="00F83E38" w:rsidRPr="00612824" w:rsidP="00F83E38" w14:paraId="42CCA76B" w14:textId="77777777">
      <w:pPr>
        <w:tabs>
          <w:tab w:val="left" w:pos="567"/>
        </w:tabs>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9"/>
        <w:gridCol w:w="1210"/>
        <w:gridCol w:w="1210"/>
      </w:tblGrid>
      <w:tr w14:paraId="7A5C67D0" w14:textId="77777777" w:rsidTr="00F83E38">
        <w:tblPrEx>
          <w:tblW w:w="0" w:type="auto"/>
          <w:tblLook w:val="01E0"/>
        </w:tblPrEx>
        <w:trPr>
          <w:trHeight w:val="263"/>
        </w:trPr>
        <w:tc>
          <w:tcPr>
            <w:tcW w:w="3408" w:type="dxa"/>
            <w:gridSpan w:val="3"/>
            <w:tcBorders>
              <w:top w:val="nil"/>
              <w:left w:val="nil"/>
              <w:right w:val="nil"/>
            </w:tcBorders>
          </w:tcPr>
          <w:p w:rsidR="00F83E38" w:rsidRPr="00612824" w:rsidP="00F83E38" w14:paraId="403F8625" w14:textId="77777777">
            <w:pPr>
              <w:pStyle w:val="EMEANormal"/>
              <w:jc w:val="center"/>
              <w:rPr>
                <w:b/>
                <w:lang w:val="it-IT"/>
              </w:rPr>
            </w:pPr>
            <w:r w:rsidRPr="00612824">
              <w:rPr>
                <w:b/>
                <w:lang w:val="it-IT"/>
              </w:rPr>
              <w:t>Tabella 18</w:t>
            </w:r>
          </w:p>
          <w:p w:rsidR="00F83E38" w:rsidRPr="00612824" w:rsidP="00F83E38" w14:paraId="6009FDD9" w14:textId="77777777">
            <w:pPr>
              <w:pStyle w:val="EMEANormal"/>
              <w:jc w:val="center"/>
              <w:rPr>
                <w:lang w:val="it-IT"/>
              </w:rPr>
            </w:pPr>
            <w:r w:rsidRPr="00612824">
              <w:rPr>
                <w:b/>
                <w:lang w:val="it-IT"/>
              </w:rPr>
              <w:t>Regime di mantenimento</w:t>
            </w:r>
          </w:p>
        </w:tc>
      </w:tr>
      <w:tr w14:paraId="1BD05950" w14:textId="77777777" w:rsidTr="00F83E38">
        <w:tblPrEx>
          <w:tblW w:w="0" w:type="auto"/>
          <w:tblLook w:val="01E0"/>
        </w:tblPrEx>
        <w:tc>
          <w:tcPr>
            <w:tcW w:w="988" w:type="dxa"/>
          </w:tcPr>
          <w:p w:rsidR="00F83E38" w:rsidRPr="00612824" w:rsidP="00F83E38" w14:paraId="46078BAD" w14:textId="77777777">
            <w:pPr>
              <w:pStyle w:val="EMEANormal"/>
              <w:rPr>
                <w:b/>
                <w:lang w:val="it-IT"/>
              </w:rPr>
            </w:pPr>
            <w:r w:rsidRPr="00612824">
              <w:rPr>
                <w:b/>
                <w:lang w:val="it-IT"/>
              </w:rPr>
              <w:t>Peso del paziente</w:t>
            </w:r>
          </w:p>
        </w:tc>
        <w:tc>
          <w:tcPr>
            <w:tcW w:w="1210" w:type="dxa"/>
          </w:tcPr>
          <w:p w:rsidR="00F83E38" w:rsidRPr="00612824" w:rsidP="00F83E38" w14:paraId="2A864217" w14:textId="77777777">
            <w:pPr>
              <w:pStyle w:val="EMEANormal"/>
              <w:rPr>
                <w:b/>
                <w:lang w:val="it-IT"/>
              </w:rPr>
            </w:pPr>
            <w:r w:rsidRPr="00612824">
              <w:rPr>
                <w:b/>
                <w:lang w:val="it-IT"/>
              </w:rPr>
              <w:t xml:space="preserve">Bassa dose </w:t>
            </w:r>
          </w:p>
        </w:tc>
        <w:tc>
          <w:tcPr>
            <w:tcW w:w="1210" w:type="dxa"/>
          </w:tcPr>
          <w:p w:rsidR="00F83E38" w:rsidRPr="00612824" w:rsidP="00F83E38" w14:paraId="7BA248D0" w14:textId="77777777">
            <w:pPr>
              <w:pStyle w:val="EMEANormal"/>
              <w:rPr>
                <w:b/>
                <w:lang w:val="it-IT"/>
              </w:rPr>
            </w:pPr>
            <w:r w:rsidRPr="00612824">
              <w:rPr>
                <w:b/>
                <w:lang w:val="it-IT"/>
              </w:rPr>
              <w:t>Dose standard</w:t>
            </w:r>
          </w:p>
        </w:tc>
      </w:tr>
      <w:tr w14:paraId="4F671F39" w14:textId="77777777" w:rsidTr="00F83E38">
        <w:tblPrEx>
          <w:tblW w:w="0" w:type="auto"/>
          <w:tblLook w:val="01E0"/>
        </w:tblPrEx>
        <w:tc>
          <w:tcPr>
            <w:tcW w:w="988" w:type="dxa"/>
          </w:tcPr>
          <w:p w:rsidR="00F83E38" w:rsidRPr="00612824" w:rsidP="00F83E38" w14:paraId="22FF0E62" w14:textId="77777777">
            <w:pPr>
              <w:pStyle w:val="EMEANormal"/>
              <w:rPr>
                <w:lang w:val="it-IT"/>
              </w:rPr>
            </w:pPr>
            <w:r w:rsidRPr="00612824">
              <w:rPr>
                <w:lang w:val="it-IT"/>
              </w:rPr>
              <w:t>&lt; 40 kg</w:t>
            </w:r>
          </w:p>
        </w:tc>
        <w:tc>
          <w:tcPr>
            <w:tcW w:w="1210" w:type="dxa"/>
          </w:tcPr>
          <w:p w:rsidR="00F83E38" w:rsidRPr="00612824" w:rsidP="00F83E38" w14:paraId="2DD7818C" w14:textId="77777777">
            <w:pPr>
              <w:pStyle w:val="EMEANormal"/>
              <w:rPr>
                <w:lang w:val="it-IT"/>
              </w:rPr>
            </w:pPr>
            <w:r w:rsidRPr="00612824">
              <w:rPr>
                <w:lang w:val="it-IT"/>
              </w:rPr>
              <w:t>10 mg a settimane alterne</w:t>
            </w:r>
          </w:p>
        </w:tc>
        <w:tc>
          <w:tcPr>
            <w:tcW w:w="1210" w:type="dxa"/>
          </w:tcPr>
          <w:p w:rsidR="00F83E38" w:rsidRPr="00612824" w:rsidP="00F83E38" w14:paraId="3F919753" w14:textId="77777777">
            <w:pPr>
              <w:pStyle w:val="EMEANormal"/>
              <w:rPr>
                <w:lang w:val="it-IT"/>
              </w:rPr>
            </w:pPr>
            <w:r w:rsidRPr="00612824">
              <w:rPr>
                <w:lang w:val="it-IT"/>
              </w:rPr>
              <w:t>20 mg a settimane alterne</w:t>
            </w:r>
          </w:p>
        </w:tc>
      </w:tr>
      <w:tr w14:paraId="63CAECA7" w14:textId="77777777" w:rsidTr="00F83E38">
        <w:tblPrEx>
          <w:tblW w:w="0" w:type="auto"/>
          <w:tblLook w:val="01E0"/>
        </w:tblPrEx>
        <w:tc>
          <w:tcPr>
            <w:tcW w:w="988" w:type="dxa"/>
          </w:tcPr>
          <w:p w:rsidR="00F83E38" w:rsidRPr="00612824" w:rsidP="00F83E38" w14:paraId="42259FE7" w14:textId="77777777">
            <w:pPr>
              <w:pStyle w:val="EMEANormal"/>
              <w:rPr>
                <w:lang w:val="it-IT"/>
              </w:rPr>
            </w:pPr>
            <w:r w:rsidRPr="00612824">
              <w:rPr>
                <w:lang w:val="it-IT"/>
              </w:rPr>
              <w:t>≥ 40 kg</w:t>
            </w:r>
          </w:p>
        </w:tc>
        <w:tc>
          <w:tcPr>
            <w:tcW w:w="1210" w:type="dxa"/>
          </w:tcPr>
          <w:p w:rsidR="00F83E38" w:rsidRPr="00612824" w:rsidP="00F83E38" w14:paraId="387444B9" w14:textId="77777777">
            <w:pPr>
              <w:pStyle w:val="EMEANormal"/>
              <w:rPr>
                <w:lang w:val="it-IT"/>
              </w:rPr>
            </w:pPr>
            <w:r w:rsidRPr="00612824">
              <w:rPr>
                <w:lang w:val="it-IT"/>
              </w:rPr>
              <w:t>20 mg a settimane alterne</w:t>
            </w:r>
          </w:p>
        </w:tc>
        <w:tc>
          <w:tcPr>
            <w:tcW w:w="1210" w:type="dxa"/>
          </w:tcPr>
          <w:p w:rsidR="00F83E38" w:rsidRPr="00612824" w:rsidP="00F83E38" w14:paraId="5F7D44F2" w14:textId="77777777">
            <w:pPr>
              <w:pStyle w:val="EMEANormal"/>
              <w:rPr>
                <w:lang w:val="it-IT"/>
              </w:rPr>
            </w:pPr>
            <w:r w:rsidRPr="00612824">
              <w:rPr>
                <w:lang w:val="it-IT"/>
              </w:rPr>
              <w:t>40 mg a settimane alterne</w:t>
            </w:r>
          </w:p>
        </w:tc>
      </w:tr>
    </w:tbl>
    <w:p w:rsidR="00F83E38" w:rsidRPr="00612824" w:rsidP="00F83E38" w14:paraId="7AE59C5B" w14:textId="77777777">
      <w:pPr>
        <w:tabs>
          <w:tab w:val="left" w:pos="567"/>
        </w:tabs>
        <w:jc w:val="both"/>
        <w:rPr>
          <w:i/>
          <w:sz w:val="22"/>
          <w:szCs w:val="22"/>
        </w:rPr>
      </w:pPr>
    </w:p>
    <w:p w:rsidR="00F83E38" w:rsidRPr="00612824" w:rsidP="00986889" w14:paraId="55AC3928" w14:textId="77777777">
      <w:pPr>
        <w:keepNext/>
        <w:tabs>
          <w:tab w:val="left" w:pos="567"/>
        </w:tabs>
        <w:jc w:val="both"/>
        <w:rPr>
          <w:i/>
          <w:sz w:val="22"/>
          <w:szCs w:val="22"/>
          <w:u w:val="single"/>
        </w:rPr>
      </w:pPr>
      <w:r w:rsidRPr="00612824">
        <w:rPr>
          <w:i/>
          <w:sz w:val="22"/>
          <w:szCs w:val="22"/>
          <w:u w:val="single"/>
        </w:rPr>
        <w:t>Risultati di efficacia</w:t>
      </w:r>
    </w:p>
    <w:p w:rsidR="00F83E38" w:rsidRPr="00612824" w:rsidP="00F83E38" w14:paraId="4B19952A" w14:textId="77777777">
      <w:pPr>
        <w:tabs>
          <w:tab w:val="left" w:pos="567"/>
        </w:tabs>
        <w:jc w:val="both"/>
        <w:rPr>
          <w:sz w:val="22"/>
          <w:szCs w:val="22"/>
        </w:rPr>
      </w:pPr>
    </w:p>
    <w:p w:rsidR="00F83E38" w:rsidRPr="00612824" w:rsidP="00F83E38" w14:paraId="2F7C39BC" w14:textId="77777777">
      <w:pPr>
        <w:tabs>
          <w:tab w:val="left" w:pos="567"/>
        </w:tabs>
        <w:jc w:val="both"/>
        <w:rPr>
          <w:sz w:val="22"/>
          <w:szCs w:val="22"/>
        </w:rPr>
      </w:pPr>
      <w:r w:rsidRPr="00612824">
        <w:rPr>
          <w:sz w:val="22"/>
          <w:szCs w:val="22"/>
        </w:rPr>
        <w:t xml:space="preserve">L’endpoint primario dello studio è stato la remissione clinica alla settimana 26, definita da un punteggio PCDAI </w:t>
      </w:r>
      <w:r w:rsidRPr="00612824">
        <w:rPr>
          <w:rFonts w:ascii="Symbol" w:hAnsi="Symbol"/>
        </w:rPr>
        <w:sym w:font="Symbol" w:char="F0A3"/>
      </w:r>
      <w:r w:rsidRPr="00612824">
        <w:rPr>
          <w:sz w:val="22"/>
          <w:szCs w:val="22"/>
        </w:rPr>
        <w:t xml:space="preserve"> 10.</w:t>
      </w:r>
    </w:p>
    <w:p w:rsidR="00F83E38" w:rsidRPr="00612824" w:rsidP="00F83E38" w14:paraId="4BBFB418" w14:textId="77777777">
      <w:pPr>
        <w:tabs>
          <w:tab w:val="left" w:pos="567"/>
        </w:tabs>
        <w:jc w:val="both"/>
        <w:rPr>
          <w:sz w:val="22"/>
          <w:szCs w:val="22"/>
        </w:rPr>
      </w:pPr>
    </w:p>
    <w:p w:rsidR="00F83E38" w:rsidRPr="00612824" w:rsidP="00F83E38" w14:paraId="146CCB8C" w14:textId="77777777">
      <w:pPr>
        <w:tabs>
          <w:tab w:val="left" w:pos="567"/>
        </w:tabs>
        <w:jc w:val="both"/>
        <w:rPr>
          <w:sz w:val="22"/>
          <w:szCs w:val="22"/>
        </w:rPr>
      </w:pPr>
      <w:r w:rsidRPr="00612824">
        <w:rPr>
          <w:sz w:val="22"/>
          <w:szCs w:val="22"/>
        </w:rPr>
        <w:t>Le percentuali di remissione clinica e di risposta clinica (definite come riduzione del punteggio PCDAI di almeno 15 punti dal basale) sono riportate nella Tabella 19 Le percentuali di interruzione dei corticosteroidi o degli immunomodulatori sono riportate nella Tabella 20.</w:t>
      </w:r>
    </w:p>
    <w:p w:rsidR="00F83E38" w:rsidRPr="00612824" w:rsidP="00F83E38" w14:paraId="2CC970A2" w14:textId="77777777">
      <w:pPr>
        <w:tabs>
          <w:tab w:val="left" w:pos="567"/>
        </w:tabs>
        <w:rPr>
          <w:sz w:val="22"/>
          <w:szCs w:val="22"/>
        </w:rPr>
      </w:pPr>
    </w:p>
    <w:tbl>
      <w:tblPr>
        <w:tblW w:w="0" w:type="auto"/>
        <w:jc w:val="center"/>
        <w:tblCellMar>
          <w:left w:w="0" w:type="dxa"/>
          <w:right w:w="0" w:type="dxa"/>
        </w:tblCellMar>
        <w:tblLook w:val="00A0"/>
      </w:tblPr>
      <w:tblGrid>
        <w:gridCol w:w="2321"/>
        <w:gridCol w:w="1614"/>
        <w:gridCol w:w="1591"/>
        <w:gridCol w:w="1147"/>
      </w:tblGrid>
      <w:tr w14:paraId="45293025" w14:textId="77777777" w:rsidTr="00F83E38">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F83E38" w:rsidRPr="00612824" w:rsidP="00F83E38" w14:paraId="46F2C839" w14:textId="77777777">
            <w:pPr>
              <w:tabs>
                <w:tab w:val="left" w:pos="-878"/>
              </w:tabs>
              <w:autoSpaceDE w:val="0"/>
              <w:autoSpaceDN w:val="0"/>
              <w:adjustRightInd w:val="0"/>
              <w:ind w:left="15"/>
              <w:jc w:val="center"/>
              <w:rPr>
                <w:b/>
                <w:bCs/>
                <w:sz w:val="22"/>
                <w:szCs w:val="22"/>
              </w:rPr>
            </w:pPr>
            <w:r w:rsidRPr="00612824">
              <w:rPr>
                <w:b/>
                <w:bCs/>
                <w:sz w:val="22"/>
                <w:szCs w:val="22"/>
              </w:rPr>
              <w:t>Tabella 19</w:t>
            </w:r>
          </w:p>
          <w:p w:rsidR="00F83E38" w:rsidRPr="00612824" w:rsidP="00F83E38" w14:paraId="6AF81696" w14:textId="77777777">
            <w:pPr>
              <w:tabs>
                <w:tab w:val="left" w:pos="-878"/>
              </w:tabs>
              <w:autoSpaceDE w:val="0"/>
              <w:autoSpaceDN w:val="0"/>
              <w:adjustRightInd w:val="0"/>
              <w:ind w:left="15"/>
              <w:jc w:val="center"/>
              <w:rPr>
                <w:b/>
                <w:bCs/>
                <w:sz w:val="22"/>
                <w:szCs w:val="22"/>
              </w:rPr>
            </w:pPr>
            <w:r w:rsidRPr="00612824">
              <w:rPr>
                <w:b/>
                <w:bCs/>
                <w:sz w:val="22"/>
                <w:szCs w:val="22"/>
              </w:rPr>
              <w:t>Studio della Malattia di Crohn Pediatrica</w:t>
            </w:r>
          </w:p>
          <w:p w:rsidR="00F83E38" w:rsidRPr="00612824" w:rsidP="00F83E38" w14:paraId="4A875734" w14:textId="77777777">
            <w:pPr>
              <w:tabs>
                <w:tab w:val="left" w:pos="-878"/>
              </w:tabs>
              <w:autoSpaceDE w:val="0"/>
              <w:autoSpaceDN w:val="0"/>
              <w:adjustRightInd w:val="0"/>
              <w:ind w:left="15"/>
              <w:jc w:val="center"/>
              <w:rPr>
                <w:b/>
                <w:bCs/>
                <w:sz w:val="22"/>
                <w:szCs w:val="22"/>
              </w:rPr>
            </w:pPr>
            <w:r w:rsidRPr="00612824">
              <w:rPr>
                <w:b/>
                <w:bCs/>
                <w:sz w:val="22"/>
                <w:szCs w:val="22"/>
              </w:rPr>
              <w:t>PCDAI di Remissione Clinica e di Risposta</w:t>
            </w:r>
          </w:p>
        </w:tc>
      </w:tr>
      <w:tr w14:paraId="7ACC5819"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F83E38" w:rsidRPr="00612824" w:rsidP="00F83E38" w14:paraId="5828D581" w14:textId="77777777">
            <w:pPr>
              <w:keepLines/>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rsidR="00F83E38" w:rsidRPr="00612824" w:rsidP="00F83E38" w14:paraId="31939C71" w14:textId="77777777">
            <w:pPr>
              <w:keepLines/>
              <w:tabs>
                <w:tab w:val="left" w:pos="-1080"/>
              </w:tabs>
              <w:autoSpaceDE w:val="0"/>
              <w:autoSpaceDN w:val="0"/>
              <w:adjustRightInd w:val="0"/>
              <w:ind w:left="15"/>
              <w:jc w:val="center"/>
              <w:rPr>
                <w:b/>
                <w:bCs/>
                <w:sz w:val="22"/>
                <w:szCs w:val="22"/>
              </w:rPr>
            </w:pPr>
            <w:r w:rsidRPr="00612824">
              <w:rPr>
                <w:b/>
                <w:bCs/>
                <w:sz w:val="22"/>
                <w:szCs w:val="22"/>
              </w:rPr>
              <w:t xml:space="preserve">Dose standard </w:t>
            </w:r>
          </w:p>
          <w:p w:rsidR="00F83E38" w:rsidRPr="00612824" w:rsidP="00F83E38" w14:paraId="06E56815" w14:textId="77777777">
            <w:pPr>
              <w:keepLines/>
              <w:tabs>
                <w:tab w:val="left" w:pos="-1080"/>
              </w:tabs>
              <w:autoSpaceDE w:val="0"/>
              <w:autoSpaceDN w:val="0"/>
              <w:adjustRightInd w:val="0"/>
              <w:ind w:left="15"/>
              <w:jc w:val="center"/>
              <w:rPr>
                <w:b/>
                <w:bCs/>
                <w:sz w:val="22"/>
                <w:szCs w:val="22"/>
              </w:rPr>
            </w:pPr>
            <w:r w:rsidRPr="00612824">
              <w:rPr>
                <w:b/>
                <w:bCs/>
                <w:sz w:val="22"/>
                <w:szCs w:val="22"/>
              </w:rPr>
              <w:t xml:space="preserve">40/20 mg a settimane alterne </w:t>
            </w:r>
          </w:p>
          <w:p w:rsidR="00F83E38" w:rsidRPr="00612824" w:rsidP="00F83E38" w14:paraId="29D6969E" w14:textId="77777777">
            <w:pPr>
              <w:keepLines/>
              <w:tabs>
                <w:tab w:val="left" w:pos="-1080"/>
              </w:tabs>
              <w:autoSpaceDE w:val="0"/>
              <w:autoSpaceDN w:val="0"/>
              <w:adjustRightInd w:val="0"/>
              <w:ind w:left="15"/>
              <w:jc w:val="center"/>
              <w:rPr>
                <w:b/>
                <w:sz w:val="22"/>
                <w:szCs w:val="22"/>
              </w:rPr>
            </w:pPr>
            <w:r w:rsidRPr="00612824">
              <w:rPr>
                <w:b/>
                <w:sz w:val="22"/>
                <w:szCs w:val="22"/>
              </w:rPr>
              <w:t>N = 93</w:t>
            </w:r>
          </w:p>
        </w:tc>
        <w:tc>
          <w:tcPr>
            <w:tcW w:w="1591" w:type="dxa"/>
            <w:tcBorders>
              <w:top w:val="single" w:sz="6" w:space="0" w:color="000000"/>
              <w:left w:val="single" w:sz="6" w:space="0" w:color="000000"/>
              <w:bottom w:val="single" w:sz="6" w:space="0" w:color="000000"/>
              <w:right w:val="single" w:sz="6" w:space="0" w:color="000000"/>
            </w:tcBorders>
          </w:tcPr>
          <w:p w:rsidR="00F83E38" w:rsidRPr="00612824" w:rsidP="00F83E38" w14:paraId="285CEC96" w14:textId="77777777">
            <w:pPr>
              <w:keepLines/>
              <w:tabs>
                <w:tab w:val="left" w:pos="-1080"/>
              </w:tabs>
              <w:autoSpaceDE w:val="0"/>
              <w:autoSpaceDN w:val="0"/>
              <w:adjustRightInd w:val="0"/>
              <w:ind w:left="15"/>
              <w:jc w:val="center"/>
              <w:rPr>
                <w:b/>
                <w:bCs/>
                <w:sz w:val="22"/>
                <w:szCs w:val="22"/>
              </w:rPr>
            </w:pPr>
            <w:r w:rsidRPr="00612824">
              <w:rPr>
                <w:b/>
                <w:bCs/>
                <w:sz w:val="22"/>
                <w:szCs w:val="22"/>
              </w:rPr>
              <w:t xml:space="preserve">Bassa dose </w:t>
            </w:r>
          </w:p>
          <w:p w:rsidR="00F83E38" w:rsidRPr="00612824" w:rsidP="00F83E38" w14:paraId="0FED1162" w14:textId="77777777">
            <w:pPr>
              <w:keepLines/>
              <w:tabs>
                <w:tab w:val="left" w:pos="-1080"/>
              </w:tabs>
              <w:autoSpaceDE w:val="0"/>
              <w:autoSpaceDN w:val="0"/>
              <w:adjustRightInd w:val="0"/>
              <w:ind w:left="15"/>
              <w:jc w:val="center"/>
              <w:rPr>
                <w:b/>
                <w:bCs/>
                <w:sz w:val="22"/>
                <w:szCs w:val="22"/>
              </w:rPr>
            </w:pPr>
            <w:r w:rsidRPr="00612824">
              <w:rPr>
                <w:b/>
                <w:bCs/>
                <w:sz w:val="22"/>
                <w:szCs w:val="22"/>
              </w:rPr>
              <w:t>20/10 mg a settimane alterne</w:t>
            </w:r>
          </w:p>
          <w:p w:rsidR="00F83E38" w:rsidRPr="00612824" w:rsidP="00F83E38" w14:paraId="14C09CBE" w14:textId="77777777">
            <w:pPr>
              <w:keepLines/>
              <w:tabs>
                <w:tab w:val="left" w:pos="-1080"/>
              </w:tabs>
              <w:autoSpaceDE w:val="0"/>
              <w:autoSpaceDN w:val="0"/>
              <w:adjustRightInd w:val="0"/>
              <w:ind w:left="15"/>
              <w:jc w:val="center"/>
              <w:rPr>
                <w:b/>
                <w:sz w:val="22"/>
                <w:szCs w:val="22"/>
              </w:rPr>
            </w:pPr>
            <w:r w:rsidRPr="00612824">
              <w:rPr>
                <w:b/>
                <w:sz w:val="22"/>
                <w:szCs w:val="22"/>
              </w:rPr>
              <w:t>N = 95</w:t>
            </w:r>
          </w:p>
        </w:tc>
        <w:tc>
          <w:tcPr>
            <w:tcW w:w="1147" w:type="dxa"/>
            <w:tcBorders>
              <w:top w:val="single" w:sz="6" w:space="0" w:color="000000"/>
              <w:left w:val="single" w:sz="6" w:space="0" w:color="000000"/>
              <w:bottom w:val="single" w:sz="6" w:space="0" w:color="000000"/>
              <w:right w:val="single" w:sz="6" w:space="0" w:color="000000"/>
            </w:tcBorders>
          </w:tcPr>
          <w:p w:rsidR="00F83E38" w:rsidRPr="00612824" w:rsidP="00F83E38" w14:paraId="3C49EB15" w14:textId="77777777">
            <w:pPr>
              <w:keepLines/>
              <w:tabs>
                <w:tab w:val="left" w:pos="-1080"/>
              </w:tabs>
              <w:autoSpaceDE w:val="0"/>
              <w:autoSpaceDN w:val="0"/>
              <w:adjustRightInd w:val="0"/>
              <w:ind w:left="15"/>
              <w:jc w:val="center"/>
              <w:rPr>
                <w:sz w:val="22"/>
                <w:szCs w:val="22"/>
              </w:rPr>
            </w:pPr>
            <w:r w:rsidRPr="00612824">
              <w:rPr>
                <w:b/>
                <w:bCs/>
                <w:sz w:val="22"/>
                <w:szCs w:val="22"/>
              </w:rPr>
              <w:t xml:space="preserve">valore P </w:t>
            </w:r>
            <w:r w:rsidRPr="00612824">
              <w:rPr>
                <w:sz w:val="22"/>
                <w:szCs w:val="22"/>
              </w:rPr>
              <w:t>*</w:t>
            </w:r>
          </w:p>
        </w:tc>
      </w:tr>
      <w:tr w14:paraId="48D7A341"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0C5C9E43" w14:textId="77777777">
            <w:pPr>
              <w:keepLines/>
              <w:tabs>
                <w:tab w:val="left" w:pos="-1080"/>
              </w:tabs>
              <w:autoSpaceDE w:val="0"/>
              <w:autoSpaceDN w:val="0"/>
              <w:adjustRightInd w:val="0"/>
              <w:ind w:left="15"/>
              <w:rPr>
                <w:b/>
                <w:bCs/>
                <w:sz w:val="22"/>
                <w:szCs w:val="22"/>
              </w:rPr>
            </w:pPr>
            <w:r w:rsidRPr="00612824">
              <w:rPr>
                <w:b/>
                <w:bCs/>
                <w:sz w:val="22"/>
                <w:szCs w:val="22"/>
              </w:rPr>
              <w:t>Settimana 26</w:t>
            </w:r>
          </w:p>
        </w:tc>
        <w:tc>
          <w:tcPr>
            <w:tcW w:w="1614"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58302876" w14:textId="77777777">
            <w:pPr>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4A8D1294" w14:textId="77777777">
            <w:pPr>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210E9E32" w14:textId="77777777">
            <w:pPr>
              <w:autoSpaceDE w:val="0"/>
              <w:autoSpaceDN w:val="0"/>
              <w:adjustRightInd w:val="0"/>
              <w:ind w:left="15"/>
              <w:rPr>
                <w:b/>
                <w:bCs/>
                <w:sz w:val="22"/>
                <w:szCs w:val="22"/>
              </w:rPr>
            </w:pPr>
          </w:p>
        </w:tc>
      </w:tr>
      <w:tr w14:paraId="2BB24A55"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139ECC35" w14:textId="77777777">
            <w:pPr>
              <w:keepLines/>
              <w:tabs>
                <w:tab w:val="left" w:pos="-1080"/>
              </w:tabs>
              <w:autoSpaceDE w:val="0"/>
              <w:autoSpaceDN w:val="0"/>
              <w:adjustRightInd w:val="0"/>
              <w:ind w:left="15"/>
              <w:rPr>
                <w:sz w:val="22"/>
                <w:szCs w:val="22"/>
              </w:rPr>
            </w:pPr>
            <w:r w:rsidRPr="00612824">
              <w:rPr>
                <w:sz w:val="22"/>
                <w:szCs w:val="22"/>
              </w:rPr>
              <w:t xml:space="preserve">   Remissione clinica </w:t>
            </w:r>
          </w:p>
        </w:tc>
        <w:tc>
          <w:tcPr>
            <w:tcW w:w="1614"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4E0CCDB1" w14:textId="77777777">
            <w:pPr>
              <w:keepLines/>
              <w:tabs>
                <w:tab w:val="left" w:pos="-1080"/>
              </w:tabs>
              <w:autoSpaceDE w:val="0"/>
              <w:autoSpaceDN w:val="0"/>
              <w:adjustRightInd w:val="0"/>
              <w:ind w:left="15"/>
              <w:jc w:val="center"/>
              <w:rPr>
                <w:sz w:val="22"/>
                <w:szCs w:val="22"/>
              </w:rPr>
            </w:pPr>
            <w:r w:rsidRPr="00612824">
              <w:rPr>
                <w:sz w:val="22"/>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5C3BE13B" w14:textId="77777777">
            <w:pPr>
              <w:keepLines/>
              <w:tabs>
                <w:tab w:val="left" w:pos="-1080"/>
              </w:tabs>
              <w:autoSpaceDE w:val="0"/>
              <w:autoSpaceDN w:val="0"/>
              <w:adjustRightInd w:val="0"/>
              <w:ind w:left="15"/>
              <w:jc w:val="center"/>
              <w:rPr>
                <w:sz w:val="22"/>
                <w:szCs w:val="22"/>
              </w:rPr>
            </w:pPr>
            <w:r w:rsidRPr="00612824">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003C7DC9" w14:textId="77777777">
            <w:pPr>
              <w:keepLines/>
              <w:tabs>
                <w:tab w:val="left" w:pos="-1080"/>
              </w:tabs>
              <w:autoSpaceDE w:val="0"/>
              <w:autoSpaceDN w:val="0"/>
              <w:adjustRightInd w:val="0"/>
              <w:ind w:left="15"/>
              <w:jc w:val="center"/>
              <w:rPr>
                <w:sz w:val="22"/>
                <w:szCs w:val="22"/>
              </w:rPr>
            </w:pPr>
            <w:r w:rsidRPr="00612824">
              <w:rPr>
                <w:sz w:val="22"/>
                <w:szCs w:val="22"/>
              </w:rPr>
              <w:t>0,075</w:t>
            </w:r>
          </w:p>
        </w:tc>
      </w:tr>
      <w:tr w14:paraId="4AFA9E07"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F83E38" w:rsidRPr="00612824" w:rsidP="00F83E38" w14:paraId="71DA6F33" w14:textId="77777777">
            <w:pPr>
              <w:keepLines/>
              <w:tabs>
                <w:tab w:val="left" w:pos="-1080"/>
              </w:tabs>
              <w:autoSpaceDE w:val="0"/>
              <w:autoSpaceDN w:val="0"/>
              <w:adjustRightInd w:val="0"/>
              <w:ind w:left="15"/>
              <w:rPr>
                <w:sz w:val="22"/>
                <w:szCs w:val="22"/>
              </w:rPr>
            </w:pPr>
            <w:r w:rsidRPr="00612824">
              <w:rPr>
                <w:sz w:val="22"/>
                <w:szCs w:val="22"/>
              </w:rPr>
              <w:t xml:space="preserve">   Risposta clinica</w:t>
            </w:r>
          </w:p>
        </w:tc>
        <w:tc>
          <w:tcPr>
            <w:tcW w:w="1614" w:type="dxa"/>
            <w:tcBorders>
              <w:top w:val="single" w:sz="6" w:space="0" w:color="000000"/>
              <w:left w:val="single" w:sz="6" w:space="0" w:color="000000"/>
              <w:bottom w:val="single" w:sz="6" w:space="0" w:color="000000"/>
              <w:right w:val="single" w:sz="6" w:space="0" w:color="000000"/>
            </w:tcBorders>
          </w:tcPr>
          <w:p w:rsidR="00F83E38" w:rsidRPr="00612824" w:rsidP="00F83E38" w14:paraId="63E8FB53" w14:textId="77777777">
            <w:pPr>
              <w:keepLines/>
              <w:tabs>
                <w:tab w:val="left" w:pos="-1080"/>
              </w:tabs>
              <w:autoSpaceDE w:val="0"/>
              <w:autoSpaceDN w:val="0"/>
              <w:adjustRightInd w:val="0"/>
              <w:ind w:left="15"/>
              <w:jc w:val="center"/>
              <w:rPr>
                <w:sz w:val="22"/>
                <w:szCs w:val="22"/>
              </w:rPr>
            </w:pPr>
            <w:r w:rsidRPr="00612824">
              <w:rPr>
                <w:sz w:val="22"/>
                <w:szCs w:val="22"/>
              </w:rPr>
              <w:t>59,1%</w:t>
            </w:r>
          </w:p>
        </w:tc>
        <w:tc>
          <w:tcPr>
            <w:tcW w:w="1591" w:type="dxa"/>
            <w:tcBorders>
              <w:top w:val="single" w:sz="6" w:space="0" w:color="000000"/>
              <w:left w:val="single" w:sz="6" w:space="0" w:color="000000"/>
              <w:bottom w:val="single" w:sz="6" w:space="0" w:color="000000"/>
              <w:right w:val="single" w:sz="6" w:space="0" w:color="000000"/>
            </w:tcBorders>
          </w:tcPr>
          <w:p w:rsidR="00F83E38" w:rsidRPr="00612824" w:rsidP="00F83E38" w14:paraId="7BFE8C78" w14:textId="77777777">
            <w:pPr>
              <w:keepLines/>
              <w:tabs>
                <w:tab w:val="left" w:pos="-1080"/>
              </w:tabs>
              <w:autoSpaceDE w:val="0"/>
              <w:autoSpaceDN w:val="0"/>
              <w:adjustRightInd w:val="0"/>
              <w:ind w:left="15"/>
              <w:jc w:val="center"/>
              <w:rPr>
                <w:sz w:val="22"/>
                <w:szCs w:val="22"/>
              </w:rPr>
            </w:pPr>
            <w:r w:rsidRPr="00612824">
              <w:rPr>
                <w:sz w:val="22"/>
                <w:szCs w:val="22"/>
              </w:rPr>
              <w:t>48,4%</w:t>
            </w:r>
          </w:p>
        </w:tc>
        <w:tc>
          <w:tcPr>
            <w:tcW w:w="1147" w:type="dxa"/>
            <w:tcBorders>
              <w:top w:val="single" w:sz="6" w:space="0" w:color="000000"/>
              <w:left w:val="single" w:sz="6" w:space="0" w:color="000000"/>
              <w:bottom w:val="single" w:sz="6" w:space="0" w:color="000000"/>
              <w:right w:val="single" w:sz="6" w:space="0" w:color="000000"/>
            </w:tcBorders>
          </w:tcPr>
          <w:p w:rsidR="00F83E38" w:rsidRPr="00612824" w:rsidP="00F83E38" w14:paraId="6F5FD851" w14:textId="77777777">
            <w:pPr>
              <w:keepLines/>
              <w:tabs>
                <w:tab w:val="left" w:pos="-1080"/>
              </w:tabs>
              <w:autoSpaceDE w:val="0"/>
              <w:autoSpaceDN w:val="0"/>
              <w:adjustRightInd w:val="0"/>
              <w:ind w:left="15"/>
              <w:jc w:val="center"/>
              <w:rPr>
                <w:sz w:val="22"/>
                <w:szCs w:val="22"/>
              </w:rPr>
            </w:pPr>
            <w:r w:rsidRPr="00612824">
              <w:rPr>
                <w:sz w:val="22"/>
                <w:szCs w:val="22"/>
              </w:rPr>
              <w:t>0,073</w:t>
            </w:r>
          </w:p>
        </w:tc>
      </w:tr>
      <w:tr w14:paraId="0D7F796F"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0B8D3D1A" w14:textId="77777777">
            <w:pPr>
              <w:keepLines/>
              <w:tabs>
                <w:tab w:val="left" w:pos="-1080"/>
              </w:tabs>
              <w:autoSpaceDE w:val="0"/>
              <w:autoSpaceDN w:val="0"/>
              <w:adjustRightInd w:val="0"/>
              <w:ind w:left="15"/>
              <w:rPr>
                <w:b/>
                <w:bCs/>
                <w:sz w:val="22"/>
                <w:szCs w:val="22"/>
              </w:rPr>
            </w:pPr>
            <w:r w:rsidRPr="00612824">
              <w:rPr>
                <w:b/>
                <w:bCs/>
                <w:sz w:val="22"/>
                <w:szCs w:val="22"/>
              </w:rPr>
              <w:t>Settimana 52</w:t>
            </w:r>
          </w:p>
        </w:tc>
        <w:tc>
          <w:tcPr>
            <w:tcW w:w="1614"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446DB7A8" w14:textId="77777777">
            <w:pPr>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402B7E20" w14:textId="77777777">
            <w:pPr>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5F926026" w14:textId="77777777">
            <w:pPr>
              <w:autoSpaceDE w:val="0"/>
              <w:autoSpaceDN w:val="0"/>
              <w:adjustRightInd w:val="0"/>
              <w:ind w:left="15"/>
              <w:rPr>
                <w:b/>
                <w:bCs/>
                <w:sz w:val="22"/>
                <w:szCs w:val="22"/>
              </w:rPr>
            </w:pPr>
          </w:p>
        </w:tc>
      </w:tr>
      <w:tr w14:paraId="764C496E"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6E6252D1" w14:textId="77777777">
            <w:pPr>
              <w:keepLines/>
              <w:tabs>
                <w:tab w:val="left" w:pos="-1080"/>
              </w:tabs>
              <w:autoSpaceDE w:val="0"/>
              <w:autoSpaceDN w:val="0"/>
              <w:adjustRightInd w:val="0"/>
              <w:ind w:left="15"/>
              <w:rPr>
                <w:sz w:val="22"/>
                <w:szCs w:val="22"/>
              </w:rPr>
            </w:pPr>
            <w:r w:rsidRPr="00612824">
              <w:rPr>
                <w:sz w:val="22"/>
                <w:szCs w:val="22"/>
              </w:rPr>
              <w:t xml:space="preserve">   Remissione clinica </w:t>
            </w:r>
          </w:p>
        </w:tc>
        <w:tc>
          <w:tcPr>
            <w:tcW w:w="1614"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4D0FFE4E" w14:textId="77777777">
            <w:pPr>
              <w:keepLines/>
              <w:tabs>
                <w:tab w:val="left" w:pos="-1080"/>
              </w:tabs>
              <w:autoSpaceDE w:val="0"/>
              <w:autoSpaceDN w:val="0"/>
              <w:adjustRightInd w:val="0"/>
              <w:ind w:left="15"/>
              <w:jc w:val="center"/>
              <w:rPr>
                <w:sz w:val="22"/>
                <w:szCs w:val="22"/>
              </w:rPr>
            </w:pPr>
            <w:r w:rsidRPr="00612824">
              <w:rPr>
                <w:sz w:val="22"/>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799BE334" w14:textId="77777777">
            <w:pPr>
              <w:keepLines/>
              <w:tabs>
                <w:tab w:val="left" w:pos="-1080"/>
              </w:tabs>
              <w:autoSpaceDE w:val="0"/>
              <w:autoSpaceDN w:val="0"/>
              <w:adjustRightInd w:val="0"/>
              <w:ind w:left="15"/>
              <w:jc w:val="center"/>
              <w:rPr>
                <w:sz w:val="22"/>
                <w:szCs w:val="22"/>
              </w:rPr>
            </w:pPr>
            <w:r w:rsidRPr="00612824">
              <w:rPr>
                <w:sz w:val="22"/>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6C683F2B" w14:textId="77777777">
            <w:pPr>
              <w:keepLines/>
              <w:tabs>
                <w:tab w:val="left" w:pos="-1080"/>
              </w:tabs>
              <w:autoSpaceDE w:val="0"/>
              <w:autoSpaceDN w:val="0"/>
              <w:adjustRightInd w:val="0"/>
              <w:ind w:left="15"/>
              <w:jc w:val="center"/>
              <w:rPr>
                <w:sz w:val="22"/>
                <w:szCs w:val="22"/>
              </w:rPr>
            </w:pPr>
            <w:r w:rsidRPr="00612824">
              <w:rPr>
                <w:sz w:val="22"/>
                <w:szCs w:val="22"/>
              </w:rPr>
              <w:t>0,100</w:t>
            </w:r>
          </w:p>
        </w:tc>
      </w:tr>
      <w:tr w14:paraId="37F0E9A4" w14:textId="77777777" w:rsidTr="00F83E38">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F83E38" w:rsidRPr="00612824" w:rsidP="00F83E38" w14:paraId="67AA080E" w14:textId="77777777">
            <w:pPr>
              <w:keepLines/>
              <w:tabs>
                <w:tab w:val="left" w:pos="-1080"/>
              </w:tabs>
              <w:autoSpaceDE w:val="0"/>
              <w:autoSpaceDN w:val="0"/>
              <w:adjustRightInd w:val="0"/>
              <w:ind w:left="15"/>
              <w:rPr>
                <w:sz w:val="22"/>
                <w:szCs w:val="22"/>
              </w:rPr>
            </w:pPr>
            <w:r w:rsidRPr="00612824">
              <w:rPr>
                <w:sz w:val="22"/>
                <w:szCs w:val="22"/>
              </w:rPr>
              <w:t xml:space="preserve">   Risposta clinica</w:t>
            </w:r>
          </w:p>
        </w:tc>
        <w:tc>
          <w:tcPr>
            <w:tcW w:w="1614" w:type="dxa"/>
            <w:tcBorders>
              <w:top w:val="single" w:sz="6" w:space="0" w:color="000000"/>
              <w:left w:val="single" w:sz="6" w:space="0" w:color="000000"/>
              <w:bottom w:val="single" w:sz="6" w:space="0" w:color="000000"/>
              <w:right w:val="single" w:sz="6" w:space="0" w:color="000000"/>
            </w:tcBorders>
          </w:tcPr>
          <w:p w:rsidR="00F83E38" w:rsidRPr="00612824" w:rsidP="00F83E38" w14:paraId="0103EE1C" w14:textId="77777777">
            <w:pPr>
              <w:keepLines/>
              <w:tabs>
                <w:tab w:val="left" w:pos="-1080"/>
              </w:tabs>
              <w:autoSpaceDE w:val="0"/>
              <w:autoSpaceDN w:val="0"/>
              <w:adjustRightInd w:val="0"/>
              <w:ind w:left="15"/>
              <w:jc w:val="center"/>
              <w:rPr>
                <w:sz w:val="22"/>
                <w:szCs w:val="22"/>
              </w:rPr>
            </w:pPr>
            <w:r w:rsidRPr="00612824">
              <w:rPr>
                <w:sz w:val="22"/>
                <w:szCs w:val="22"/>
              </w:rPr>
              <w:t>41,9%</w:t>
            </w:r>
          </w:p>
        </w:tc>
        <w:tc>
          <w:tcPr>
            <w:tcW w:w="1591" w:type="dxa"/>
            <w:tcBorders>
              <w:top w:val="single" w:sz="6" w:space="0" w:color="000000"/>
              <w:left w:val="single" w:sz="6" w:space="0" w:color="000000"/>
              <w:bottom w:val="single" w:sz="6" w:space="0" w:color="000000"/>
              <w:right w:val="single" w:sz="6" w:space="0" w:color="000000"/>
            </w:tcBorders>
          </w:tcPr>
          <w:p w:rsidR="00F83E38" w:rsidRPr="00612824" w:rsidP="00F83E38" w14:paraId="0ED266AA" w14:textId="77777777">
            <w:pPr>
              <w:keepLines/>
              <w:tabs>
                <w:tab w:val="left" w:pos="-1080"/>
              </w:tabs>
              <w:autoSpaceDE w:val="0"/>
              <w:autoSpaceDN w:val="0"/>
              <w:adjustRightInd w:val="0"/>
              <w:ind w:left="15"/>
              <w:jc w:val="center"/>
              <w:rPr>
                <w:sz w:val="22"/>
                <w:szCs w:val="22"/>
              </w:rPr>
            </w:pPr>
            <w:r w:rsidRPr="00612824">
              <w:rPr>
                <w:sz w:val="22"/>
                <w:szCs w:val="22"/>
              </w:rPr>
              <w:t>28,4%</w:t>
            </w:r>
          </w:p>
        </w:tc>
        <w:tc>
          <w:tcPr>
            <w:tcW w:w="1147" w:type="dxa"/>
            <w:tcBorders>
              <w:top w:val="single" w:sz="6" w:space="0" w:color="000000"/>
              <w:left w:val="single" w:sz="6" w:space="0" w:color="000000"/>
              <w:bottom w:val="single" w:sz="6" w:space="0" w:color="000000"/>
              <w:right w:val="single" w:sz="6" w:space="0" w:color="000000"/>
            </w:tcBorders>
          </w:tcPr>
          <w:p w:rsidR="00F83E38" w:rsidRPr="00612824" w:rsidP="00F83E38" w14:paraId="38B94DF8" w14:textId="77777777">
            <w:pPr>
              <w:keepLines/>
              <w:tabs>
                <w:tab w:val="left" w:pos="-1080"/>
              </w:tabs>
              <w:autoSpaceDE w:val="0"/>
              <w:autoSpaceDN w:val="0"/>
              <w:adjustRightInd w:val="0"/>
              <w:ind w:left="15"/>
              <w:jc w:val="center"/>
              <w:rPr>
                <w:sz w:val="22"/>
                <w:szCs w:val="22"/>
              </w:rPr>
            </w:pPr>
            <w:r w:rsidRPr="00612824">
              <w:rPr>
                <w:sz w:val="22"/>
                <w:szCs w:val="22"/>
              </w:rPr>
              <w:t>0,038</w:t>
            </w:r>
          </w:p>
        </w:tc>
      </w:tr>
      <w:tr w14:paraId="2243A4BF" w14:textId="77777777" w:rsidTr="00F83E38">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F83E38" w:rsidRPr="00612824" w:rsidP="00F83E38" w14:paraId="303FFFC3" w14:textId="77777777">
            <w:pPr>
              <w:keepLines/>
              <w:tabs>
                <w:tab w:val="left" w:pos="-1080"/>
              </w:tabs>
              <w:autoSpaceDE w:val="0"/>
              <w:autoSpaceDN w:val="0"/>
              <w:adjustRightInd w:val="0"/>
              <w:ind w:left="15"/>
              <w:rPr>
                <w:sz w:val="22"/>
                <w:szCs w:val="22"/>
              </w:rPr>
            </w:pPr>
            <w:r w:rsidRPr="00612824">
              <w:rPr>
                <w:sz w:val="22"/>
                <w:szCs w:val="22"/>
              </w:rPr>
              <w:t xml:space="preserve">* confronto valore P per Dose Standard </w:t>
            </w:r>
            <w:r w:rsidRPr="00612824">
              <w:rPr>
                <w:i/>
                <w:iCs/>
                <w:sz w:val="22"/>
                <w:szCs w:val="22"/>
              </w:rPr>
              <w:t>versus</w:t>
            </w:r>
            <w:r w:rsidRPr="00612824">
              <w:rPr>
                <w:sz w:val="22"/>
                <w:szCs w:val="22"/>
              </w:rPr>
              <w:t xml:space="preserve"> Bassa Dose.</w:t>
            </w:r>
          </w:p>
        </w:tc>
      </w:tr>
    </w:tbl>
    <w:p w:rsidR="00F83E38" w:rsidRPr="00612824" w:rsidP="00F83E38" w14:paraId="1814031D" w14:textId="77777777">
      <w:pPr>
        <w:keepNext/>
        <w:rPr>
          <w:sz w:val="22"/>
          <w:szCs w:val="22"/>
        </w:rPr>
      </w:pPr>
    </w:p>
    <w:tbl>
      <w:tblPr>
        <w:tblW w:w="0" w:type="auto"/>
        <w:jc w:val="center"/>
        <w:tblCellMar>
          <w:left w:w="0" w:type="dxa"/>
          <w:right w:w="0" w:type="dxa"/>
        </w:tblCellMar>
        <w:tblLook w:val="00A0"/>
      </w:tblPr>
      <w:tblGrid>
        <w:gridCol w:w="4025"/>
        <w:gridCol w:w="1656"/>
        <w:gridCol w:w="1619"/>
        <w:gridCol w:w="1140"/>
      </w:tblGrid>
      <w:tr w14:paraId="0F73DE3D" w14:textId="77777777" w:rsidTr="00F83E38">
        <w:tblPrEx>
          <w:tblW w:w="0" w:type="auto"/>
          <w:tblLook w:val="00A0"/>
        </w:tblPrEx>
        <w:tc>
          <w:tcPr>
            <w:tcW w:w="8440" w:type="dxa"/>
            <w:gridSpan w:val="4"/>
            <w:tcBorders>
              <w:top w:val="single" w:sz="6" w:space="0" w:color="000000"/>
              <w:left w:val="single" w:sz="6" w:space="0" w:color="000000"/>
              <w:bottom w:val="single" w:sz="6" w:space="0" w:color="000000"/>
              <w:right w:val="single" w:sz="6" w:space="0" w:color="000000"/>
            </w:tcBorders>
          </w:tcPr>
          <w:p w:rsidR="00F83E38" w:rsidRPr="00612824" w:rsidP="00F83E38" w14:paraId="52C82D33" w14:textId="77777777">
            <w:pPr>
              <w:keepNext/>
              <w:tabs>
                <w:tab w:val="left" w:pos="-878"/>
              </w:tabs>
              <w:autoSpaceDE w:val="0"/>
              <w:autoSpaceDN w:val="0"/>
              <w:adjustRightInd w:val="0"/>
              <w:jc w:val="center"/>
              <w:rPr>
                <w:b/>
                <w:bCs/>
                <w:sz w:val="22"/>
                <w:szCs w:val="22"/>
              </w:rPr>
            </w:pPr>
            <w:r w:rsidRPr="00612824">
              <w:rPr>
                <w:sz w:val="22"/>
                <w:szCs w:val="22"/>
              </w:rPr>
              <w:br w:type="page"/>
            </w:r>
            <w:r w:rsidRPr="00612824">
              <w:rPr>
                <w:b/>
                <w:bCs/>
                <w:sz w:val="22"/>
                <w:szCs w:val="22"/>
              </w:rPr>
              <w:t>Tabella 20</w:t>
            </w:r>
          </w:p>
          <w:p w:rsidR="00F83E38" w:rsidRPr="00612824" w:rsidP="00F83E38" w14:paraId="647AEA2C" w14:textId="77777777">
            <w:pPr>
              <w:keepNext/>
              <w:tabs>
                <w:tab w:val="left" w:pos="-878"/>
              </w:tabs>
              <w:autoSpaceDE w:val="0"/>
              <w:autoSpaceDN w:val="0"/>
              <w:adjustRightInd w:val="0"/>
              <w:jc w:val="center"/>
              <w:rPr>
                <w:b/>
                <w:bCs/>
                <w:sz w:val="22"/>
                <w:szCs w:val="22"/>
              </w:rPr>
            </w:pPr>
            <w:r w:rsidRPr="00612824">
              <w:rPr>
                <w:b/>
                <w:bCs/>
                <w:sz w:val="22"/>
                <w:szCs w:val="22"/>
              </w:rPr>
              <w:t>Studio della Malattia di Crohn Pediatrica</w:t>
            </w:r>
          </w:p>
          <w:p w:rsidR="00F83E38" w:rsidRPr="00612824" w:rsidP="00F83E38" w14:paraId="5A76825C" w14:textId="77777777">
            <w:pPr>
              <w:keepNext/>
              <w:tabs>
                <w:tab w:val="left" w:pos="-878"/>
              </w:tabs>
              <w:autoSpaceDE w:val="0"/>
              <w:autoSpaceDN w:val="0"/>
              <w:adjustRightInd w:val="0"/>
              <w:jc w:val="center"/>
              <w:rPr>
                <w:b/>
                <w:bCs/>
                <w:sz w:val="22"/>
                <w:szCs w:val="22"/>
              </w:rPr>
            </w:pPr>
            <w:r w:rsidRPr="00612824">
              <w:rPr>
                <w:b/>
                <w:bCs/>
                <w:sz w:val="22"/>
                <w:szCs w:val="22"/>
              </w:rPr>
              <w:t>Discontinuazione dei Corticosteroidi o Immunomodulatori e Remissione della Fistola</w:t>
            </w:r>
          </w:p>
        </w:tc>
      </w:tr>
      <w:tr w14:paraId="1C92C7D8"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F83E38" w:rsidRPr="00612824" w:rsidP="00F83E38" w14:paraId="6B218354" w14:textId="77777777">
            <w:pPr>
              <w:keepNext/>
              <w:keepLines/>
              <w:tabs>
                <w:tab w:val="left" w:pos="-1080"/>
              </w:tabs>
              <w:autoSpaceDE w:val="0"/>
              <w:autoSpaceDN w:val="0"/>
              <w:adjustRightInd w:val="0"/>
              <w:jc w:val="center"/>
              <w:rPr>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rsidR="00F83E38" w:rsidRPr="00612824" w:rsidP="00F83E38" w14:paraId="7FB81E0E" w14:textId="77777777">
            <w:pPr>
              <w:keepNext/>
              <w:keepLines/>
              <w:tabs>
                <w:tab w:val="left" w:pos="-1080"/>
              </w:tabs>
              <w:autoSpaceDE w:val="0"/>
              <w:autoSpaceDN w:val="0"/>
              <w:adjustRightInd w:val="0"/>
              <w:ind w:left="15"/>
              <w:jc w:val="center"/>
              <w:rPr>
                <w:b/>
                <w:bCs/>
                <w:sz w:val="22"/>
                <w:szCs w:val="22"/>
              </w:rPr>
            </w:pPr>
            <w:r w:rsidRPr="00612824">
              <w:rPr>
                <w:b/>
                <w:bCs/>
                <w:sz w:val="22"/>
                <w:szCs w:val="22"/>
              </w:rPr>
              <w:t xml:space="preserve">Dose standard </w:t>
            </w:r>
          </w:p>
          <w:p w:rsidR="00F83E38" w:rsidRPr="00612824" w:rsidP="00F83E38" w14:paraId="5565F8B2" w14:textId="77777777">
            <w:pPr>
              <w:keepNext/>
              <w:keepLines/>
              <w:tabs>
                <w:tab w:val="left" w:pos="-1080"/>
              </w:tabs>
              <w:autoSpaceDE w:val="0"/>
              <w:autoSpaceDN w:val="0"/>
              <w:adjustRightInd w:val="0"/>
              <w:ind w:left="15"/>
              <w:jc w:val="center"/>
              <w:rPr>
                <w:b/>
                <w:bCs/>
                <w:sz w:val="22"/>
                <w:szCs w:val="22"/>
              </w:rPr>
            </w:pPr>
            <w:r w:rsidRPr="00612824">
              <w:rPr>
                <w:b/>
                <w:bCs/>
                <w:sz w:val="22"/>
                <w:szCs w:val="22"/>
              </w:rPr>
              <w:t>40/20 mg a settimane alterne</w:t>
            </w:r>
          </w:p>
        </w:tc>
        <w:tc>
          <w:tcPr>
            <w:tcW w:w="1619" w:type="dxa"/>
            <w:tcBorders>
              <w:top w:val="single" w:sz="6" w:space="0" w:color="000000"/>
              <w:left w:val="single" w:sz="6" w:space="0" w:color="000000"/>
              <w:bottom w:val="single" w:sz="6" w:space="0" w:color="000000"/>
              <w:right w:val="single" w:sz="6" w:space="0" w:color="000000"/>
            </w:tcBorders>
          </w:tcPr>
          <w:p w:rsidR="00F83E38" w:rsidRPr="00612824" w:rsidP="00F83E38" w14:paraId="44029703" w14:textId="77777777">
            <w:pPr>
              <w:keepNext/>
              <w:keepLines/>
              <w:tabs>
                <w:tab w:val="left" w:pos="-1080"/>
              </w:tabs>
              <w:autoSpaceDE w:val="0"/>
              <w:autoSpaceDN w:val="0"/>
              <w:adjustRightInd w:val="0"/>
              <w:ind w:left="15"/>
              <w:jc w:val="center"/>
              <w:rPr>
                <w:b/>
                <w:bCs/>
                <w:sz w:val="22"/>
                <w:szCs w:val="22"/>
              </w:rPr>
            </w:pPr>
            <w:r w:rsidRPr="00612824">
              <w:rPr>
                <w:b/>
                <w:bCs/>
                <w:sz w:val="22"/>
                <w:szCs w:val="22"/>
              </w:rPr>
              <w:t>Dose Bassa</w:t>
            </w:r>
          </w:p>
          <w:p w:rsidR="00F83E38" w:rsidRPr="00612824" w:rsidP="00F83E38" w14:paraId="32681978" w14:textId="77777777">
            <w:pPr>
              <w:keepNext/>
              <w:keepLines/>
              <w:tabs>
                <w:tab w:val="left" w:pos="-1080"/>
              </w:tabs>
              <w:autoSpaceDE w:val="0"/>
              <w:autoSpaceDN w:val="0"/>
              <w:adjustRightInd w:val="0"/>
              <w:ind w:left="15"/>
              <w:jc w:val="center"/>
              <w:rPr>
                <w:b/>
                <w:bCs/>
                <w:sz w:val="22"/>
                <w:szCs w:val="22"/>
              </w:rPr>
            </w:pPr>
            <w:r w:rsidRPr="00612824">
              <w:rPr>
                <w:b/>
                <w:bCs/>
                <w:sz w:val="22"/>
                <w:szCs w:val="22"/>
              </w:rPr>
              <w:t xml:space="preserve">20/10 mg a settimane alterne </w:t>
            </w:r>
          </w:p>
        </w:tc>
        <w:tc>
          <w:tcPr>
            <w:tcW w:w="1140" w:type="dxa"/>
            <w:tcBorders>
              <w:top w:val="single" w:sz="6" w:space="0" w:color="000000"/>
              <w:left w:val="single" w:sz="6" w:space="0" w:color="000000"/>
              <w:bottom w:val="single" w:sz="6" w:space="0" w:color="000000"/>
              <w:right w:val="single" w:sz="6" w:space="0" w:color="000000"/>
            </w:tcBorders>
          </w:tcPr>
          <w:p w:rsidR="00F83E38" w:rsidRPr="00612824" w:rsidP="00F83E38" w14:paraId="5EA5E017" w14:textId="77777777">
            <w:pPr>
              <w:keepNext/>
              <w:keepLines/>
              <w:tabs>
                <w:tab w:val="left" w:pos="-1080"/>
              </w:tabs>
              <w:autoSpaceDE w:val="0"/>
              <w:autoSpaceDN w:val="0"/>
              <w:adjustRightInd w:val="0"/>
              <w:ind w:left="15"/>
              <w:jc w:val="center"/>
              <w:rPr>
                <w:b/>
                <w:bCs/>
                <w:sz w:val="22"/>
                <w:szCs w:val="22"/>
              </w:rPr>
            </w:pPr>
            <w:r w:rsidRPr="00612824">
              <w:rPr>
                <w:b/>
                <w:bCs/>
                <w:sz w:val="22"/>
                <w:szCs w:val="22"/>
              </w:rPr>
              <w:t xml:space="preserve">Valore P </w:t>
            </w:r>
            <w:r w:rsidRPr="00612824">
              <w:rPr>
                <w:b/>
                <w:bCs/>
                <w:sz w:val="22"/>
                <w:szCs w:val="22"/>
                <w:vertAlign w:val="superscript"/>
              </w:rPr>
              <w:t>1</w:t>
            </w:r>
          </w:p>
        </w:tc>
      </w:tr>
      <w:tr w14:paraId="1EFF67A5"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46097C1D" w14:textId="77777777">
            <w:pPr>
              <w:keepNext/>
              <w:keepLines/>
              <w:tabs>
                <w:tab w:val="left" w:pos="-1080"/>
              </w:tabs>
              <w:autoSpaceDE w:val="0"/>
              <w:autoSpaceDN w:val="0"/>
              <w:adjustRightInd w:val="0"/>
              <w:rPr>
                <w:b/>
                <w:sz w:val="22"/>
                <w:szCs w:val="22"/>
              </w:rPr>
            </w:pPr>
            <w:r w:rsidRPr="00612824">
              <w:rPr>
                <w:b/>
                <w:sz w:val="22"/>
                <w:szCs w:val="22"/>
              </w:rPr>
              <w:t>Corticosteroidi discontinuati</w:t>
            </w:r>
          </w:p>
        </w:tc>
        <w:tc>
          <w:tcPr>
            <w:tcW w:w="1656"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74EB4BC9" w14:textId="77777777">
            <w:pPr>
              <w:keepNext/>
              <w:keepLines/>
              <w:tabs>
                <w:tab w:val="left" w:pos="-1080"/>
              </w:tabs>
              <w:autoSpaceDE w:val="0"/>
              <w:autoSpaceDN w:val="0"/>
              <w:adjustRightInd w:val="0"/>
              <w:ind w:left="15"/>
              <w:jc w:val="center"/>
              <w:rPr>
                <w:b/>
                <w:sz w:val="22"/>
                <w:szCs w:val="22"/>
              </w:rPr>
            </w:pPr>
            <w:r w:rsidRPr="00612824">
              <w:rPr>
                <w:b/>
                <w:sz w:val="22"/>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01C74367" w14:textId="77777777">
            <w:pPr>
              <w:keepNext/>
              <w:keepLines/>
              <w:tabs>
                <w:tab w:val="left" w:pos="-1080"/>
              </w:tabs>
              <w:autoSpaceDE w:val="0"/>
              <w:autoSpaceDN w:val="0"/>
              <w:adjustRightInd w:val="0"/>
              <w:ind w:left="15"/>
              <w:jc w:val="center"/>
              <w:rPr>
                <w:b/>
                <w:sz w:val="22"/>
                <w:szCs w:val="22"/>
              </w:rPr>
            </w:pPr>
            <w:r w:rsidRPr="00612824">
              <w:rPr>
                <w:b/>
                <w:sz w:val="22"/>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547170C0" w14:textId="77777777">
            <w:pPr>
              <w:keepNext/>
              <w:autoSpaceDE w:val="0"/>
              <w:autoSpaceDN w:val="0"/>
              <w:adjustRightInd w:val="0"/>
              <w:ind w:left="15"/>
              <w:rPr>
                <w:b/>
                <w:sz w:val="22"/>
                <w:szCs w:val="22"/>
              </w:rPr>
            </w:pPr>
          </w:p>
        </w:tc>
      </w:tr>
      <w:tr w14:paraId="38E9B31F"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4737F304" w14:textId="77777777">
            <w:pPr>
              <w:keepNext/>
              <w:keepLines/>
              <w:tabs>
                <w:tab w:val="left" w:pos="-1080"/>
              </w:tabs>
              <w:autoSpaceDE w:val="0"/>
              <w:autoSpaceDN w:val="0"/>
              <w:adjustRightInd w:val="0"/>
              <w:rPr>
                <w:bCs/>
                <w:sz w:val="22"/>
                <w:szCs w:val="22"/>
              </w:rPr>
            </w:pPr>
            <w:r w:rsidRPr="00612824">
              <w:rPr>
                <w:bCs/>
                <w:sz w:val="22"/>
                <w:szCs w:val="22"/>
              </w:rPr>
              <w:t>Settimana 26</w:t>
            </w:r>
          </w:p>
        </w:tc>
        <w:tc>
          <w:tcPr>
            <w:tcW w:w="1656"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4872C4A2" w14:textId="77777777">
            <w:pPr>
              <w:keepNext/>
              <w:keepLines/>
              <w:tabs>
                <w:tab w:val="left" w:pos="-1080"/>
              </w:tabs>
              <w:autoSpaceDE w:val="0"/>
              <w:autoSpaceDN w:val="0"/>
              <w:adjustRightInd w:val="0"/>
              <w:ind w:left="15"/>
              <w:jc w:val="center"/>
              <w:rPr>
                <w:sz w:val="22"/>
                <w:szCs w:val="22"/>
              </w:rPr>
            </w:pPr>
            <w:r w:rsidRPr="00612824">
              <w:rPr>
                <w:sz w:val="22"/>
                <w:szCs w:val="22"/>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75EE4F11" w14:textId="77777777">
            <w:pPr>
              <w:keepNext/>
              <w:keepLines/>
              <w:tabs>
                <w:tab w:val="left" w:pos="-1080"/>
              </w:tabs>
              <w:autoSpaceDE w:val="0"/>
              <w:autoSpaceDN w:val="0"/>
              <w:adjustRightInd w:val="0"/>
              <w:ind w:left="15"/>
              <w:jc w:val="center"/>
              <w:rPr>
                <w:sz w:val="22"/>
                <w:szCs w:val="22"/>
              </w:rPr>
            </w:pPr>
            <w:r w:rsidRPr="00612824">
              <w:rPr>
                <w:sz w:val="22"/>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525C45AC" w14:textId="77777777">
            <w:pPr>
              <w:keepNext/>
              <w:keepLines/>
              <w:tabs>
                <w:tab w:val="left" w:pos="-1080"/>
              </w:tabs>
              <w:autoSpaceDE w:val="0"/>
              <w:autoSpaceDN w:val="0"/>
              <w:adjustRightInd w:val="0"/>
              <w:ind w:left="15"/>
              <w:jc w:val="center"/>
              <w:rPr>
                <w:sz w:val="22"/>
                <w:szCs w:val="22"/>
              </w:rPr>
            </w:pPr>
            <w:r w:rsidRPr="00612824">
              <w:rPr>
                <w:sz w:val="22"/>
                <w:szCs w:val="22"/>
              </w:rPr>
              <w:t>0,066</w:t>
            </w:r>
          </w:p>
        </w:tc>
      </w:tr>
      <w:tr w14:paraId="7D34C27C"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78898BB8" w14:textId="77777777">
            <w:pPr>
              <w:keepNext/>
              <w:keepLines/>
              <w:tabs>
                <w:tab w:val="left" w:pos="-1080"/>
              </w:tabs>
              <w:autoSpaceDE w:val="0"/>
              <w:autoSpaceDN w:val="0"/>
              <w:adjustRightInd w:val="0"/>
              <w:rPr>
                <w:bCs/>
                <w:sz w:val="22"/>
                <w:szCs w:val="22"/>
              </w:rPr>
            </w:pPr>
            <w:r w:rsidRPr="00612824">
              <w:rPr>
                <w:bCs/>
                <w:sz w:val="22"/>
                <w:szCs w:val="22"/>
              </w:rPr>
              <w:t>Settimana 52</w:t>
            </w:r>
          </w:p>
        </w:tc>
        <w:tc>
          <w:tcPr>
            <w:tcW w:w="1656" w:type="dxa"/>
            <w:tcBorders>
              <w:top w:val="single" w:sz="6" w:space="0" w:color="000000"/>
              <w:left w:val="single" w:sz="6" w:space="0" w:color="000000"/>
              <w:bottom w:val="single" w:sz="6" w:space="0" w:color="000000"/>
              <w:right w:val="single" w:sz="6" w:space="0" w:color="000000"/>
            </w:tcBorders>
          </w:tcPr>
          <w:p w:rsidR="00F83E38" w:rsidRPr="00612824" w:rsidP="00F83E38" w14:paraId="4FC1FB6B" w14:textId="77777777">
            <w:pPr>
              <w:keepNext/>
              <w:keepLines/>
              <w:tabs>
                <w:tab w:val="left" w:pos="-1080"/>
              </w:tabs>
              <w:autoSpaceDE w:val="0"/>
              <w:autoSpaceDN w:val="0"/>
              <w:adjustRightInd w:val="0"/>
              <w:ind w:left="15"/>
              <w:jc w:val="center"/>
              <w:rPr>
                <w:sz w:val="22"/>
                <w:szCs w:val="22"/>
              </w:rPr>
            </w:pPr>
            <w:r w:rsidRPr="00612824">
              <w:rPr>
                <w:sz w:val="22"/>
                <w:szCs w:val="22"/>
              </w:rPr>
              <w:t>69,7%</w:t>
            </w:r>
          </w:p>
        </w:tc>
        <w:tc>
          <w:tcPr>
            <w:tcW w:w="1619" w:type="dxa"/>
            <w:tcBorders>
              <w:top w:val="single" w:sz="6" w:space="0" w:color="000000"/>
              <w:left w:val="single" w:sz="6" w:space="0" w:color="000000"/>
              <w:bottom w:val="single" w:sz="6" w:space="0" w:color="000000"/>
              <w:right w:val="single" w:sz="6" w:space="0" w:color="000000"/>
            </w:tcBorders>
          </w:tcPr>
          <w:p w:rsidR="00F83E38" w:rsidRPr="00612824" w:rsidP="00F83E38" w14:paraId="5FD70F29" w14:textId="77777777">
            <w:pPr>
              <w:keepNext/>
              <w:keepLines/>
              <w:tabs>
                <w:tab w:val="left" w:pos="-1080"/>
              </w:tabs>
              <w:autoSpaceDE w:val="0"/>
              <w:autoSpaceDN w:val="0"/>
              <w:adjustRightInd w:val="0"/>
              <w:ind w:left="15"/>
              <w:jc w:val="center"/>
              <w:rPr>
                <w:sz w:val="22"/>
                <w:szCs w:val="22"/>
              </w:rPr>
            </w:pPr>
            <w:r w:rsidRPr="00612824">
              <w:rPr>
                <w:sz w:val="22"/>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586D892F" w14:textId="77777777">
            <w:pPr>
              <w:keepNext/>
              <w:keepLines/>
              <w:tabs>
                <w:tab w:val="left" w:pos="-1080"/>
              </w:tabs>
              <w:autoSpaceDE w:val="0"/>
              <w:autoSpaceDN w:val="0"/>
              <w:adjustRightInd w:val="0"/>
              <w:ind w:left="15"/>
              <w:jc w:val="center"/>
              <w:rPr>
                <w:sz w:val="22"/>
                <w:szCs w:val="22"/>
              </w:rPr>
            </w:pPr>
            <w:r w:rsidRPr="00612824">
              <w:rPr>
                <w:sz w:val="22"/>
                <w:szCs w:val="22"/>
              </w:rPr>
              <w:t>0,420</w:t>
            </w:r>
          </w:p>
        </w:tc>
      </w:tr>
      <w:tr w14:paraId="12D5DE40"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6C161D42" w14:textId="77777777">
            <w:pPr>
              <w:keepNext/>
              <w:keepLines/>
              <w:tabs>
                <w:tab w:val="left" w:pos="-1080"/>
              </w:tabs>
              <w:autoSpaceDE w:val="0"/>
              <w:autoSpaceDN w:val="0"/>
              <w:adjustRightInd w:val="0"/>
              <w:rPr>
                <w:b/>
                <w:sz w:val="22"/>
                <w:szCs w:val="22"/>
              </w:rPr>
            </w:pPr>
            <w:r w:rsidRPr="00612824">
              <w:rPr>
                <w:b/>
                <w:sz w:val="22"/>
                <w:szCs w:val="22"/>
              </w:rPr>
              <w:t>Discontinuazione di Immunomodulatori</w:t>
            </w:r>
            <w:r w:rsidRPr="00612824">
              <w:rPr>
                <w:b/>
                <w:sz w:val="22"/>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276D63E4" w14:textId="77777777">
            <w:pPr>
              <w:keepNext/>
              <w:keepLines/>
              <w:tabs>
                <w:tab w:val="left" w:pos="-1080"/>
              </w:tabs>
              <w:autoSpaceDE w:val="0"/>
              <w:autoSpaceDN w:val="0"/>
              <w:adjustRightInd w:val="0"/>
              <w:ind w:left="15"/>
              <w:jc w:val="center"/>
              <w:rPr>
                <w:b/>
                <w:sz w:val="22"/>
                <w:szCs w:val="22"/>
              </w:rPr>
            </w:pPr>
            <w:r w:rsidRPr="00612824">
              <w:rPr>
                <w:b/>
                <w:sz w:val="22"/>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2A9DDF7F" w14:textId="77777777">
            <w:pPr>
              <w:keepNext/>
              <w:keepLines/>
              <w:tabs>
                <w:tab w:val="left" w:pos="-1080"/>
              </w:tabs>
              <w:autoSpaceDE w:val="0"/>
              <w:autoSpaceDN w:val="0"/>
              <w:adjustRightInd w:val="0"/>
              <w:ind w:left="15"/>
              <w:jc w:val="center"/>
              <w:rPr>
                <w:b/>
                <w:sz w:val="22"/>
                <w:szCs w:val="22"/>
              </w:rPr>
            </w:pPr>
            <w:r w:rsidRPr="00612824">
              <w:rPr>
                <w:b/>
                <w:sz w:val="22"/>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rsidR="00F83E38" w:rsidRPr="00612824" w:rsidP="00F83E38" w14:paraId="0593D16C" w14:textId="77777777">
            <w:pPr>
              <w:keepNext/>
              <w:autoSpaceDE w:val="0"/>
              <w:autoSpaceDN w:val="0"/>
              <w:adjustRightInd w:val="0"/>
              <w:ind w:left="15"/>
              <w:rPr>
                <w:b/>
                <w:sz w:val="22"/>
                <w:szCs w:val="22"/>
              </w:rPr>
            </w:pPr>
          </w:p>
        </w:tc>
      </w:tr>
      <w:tr w14:paraId="13099C6D"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F83E38" w:rsidRPr="00612824" w:rsidP="00F83E38" w14:paraId="31BBF1B3" w14:textId="77777777">
            <w:pPr>
              <w:keepNext/>
              <w:keepLines/>
              <w:tabs>
                <w:tab w:val="left" w:pos="-1080"/>
              </w:tabs>
              <w:autoSpaceDE w:val="0"/>
              <w:autoSpaceDN w:val="0"/>
              <w:adjustRightInd w:val="0"/>
              <w:rPr>
                <w:bCs/>
                <w:sz w:val="22"/>
                <w:szCs w:val="22"/>
              </w:rPr>
            </w:pPr>
            <w:r w:rsidRPr="00612824">
              <w:rPr>
                <w:bCs/>
                <w:sz w:val="22"/>
                <w:szCs w:val="22"/>
              </w:rPr>
              <w:t>Settimana 52</w:t>
            </w:r>
          </w:p>
        </w:tc>
        <w:tc>
          <w:tcPr>
            <w:tcW w:w="1656" w:type="dxa"/>
            <w:tcBorders>
              <w:top w:val="single" w:sz="6" w:space="0" w:color="000000"/>
              <w:left w:val="single" w:sz="6" w:space="0" w:color="000000"/>
              <w:bottom w:val="single" w:sz="6" w:space="0" w:color="000000"/>
              <w:right w:val="single" w:sz="6" w:space="0" w:color="000000"/>
            </w:tcBorders>
          </w:tcPr>
          <w:p w:rsidR="00F83E38" w:rsidRPr="00612824" w:rsidP="00F83E38" w14:paraId="12343F90" w14:textId="77777777">
            <w:pPr>
              <w:keepNext/>
              <w:keepLines/>
              <w:tabs>
                <w:tab w:val="left" w:pos="-1080"/>
              </w:tabs>
              <w:autoSpaceDE w:val="0"/>
              <w:autoSpaceDN w:val="0"/>
              <w:adjustRightInd w:val="0"/>
              <w:ind w:left="15"/>
              <w:jc w:val="center"/>
              <w:rPr>
                <w:sz w:val="22"/>
                <w:szCs w:val="22"/>
              </w:rPr>
            </w:pPr>
            <w:r w:rsidRPr="00612824">
              <w:rPr>
                <w:sz w:val="22"/>
                <w:szCs w:val="22"/>
              </w:rPr>
              <w:t>30,0%</w:t>
            </w:r>
          </w:p>
        </w:tc>
        <w:tc>
          <w:tcPr>
            <w:tcW w:w="1619" w:type="dxa"/>
            <w:tcBorders>
              <w:top w:val="single" w:sz="6" w:space="0" w:color="000000"/>
              <w:left w:val="single" w:sz="6" w:space="0" w:color="000000"/>
              <w:bottom w:val="single" w:sz="6" w:space="0" w:color="000000"/>
              <w:right w:val="single" w:sz="6" w:space="0" w:color="000000"/>
            </w:tcBorders>
          </w:tcPr>
          <w:p w:rsidR="00F83E38" w:rsidRPr="00612824" w:rsidP="00F83E38" w14:paraId="7977417D" w14:textId="77777777">
            <w:pPr>
              <w:keepNext/>
              <w:keepLines/>
              <w:tabs>
                <w:tab w:val="left" w:pos="-1080"/>
              </w:tabs>
              <w:autoSpaceDE w:val="0"/>
              <w:autoSpaceDN w:val="0"/>
              <w:adjustRightInd w:val="0"/>
              <w:ind w:left="15"/>
              <w:jc w:val="center"/>
              <w:rPr>
                <w:sz w:val="22"/>
                <w:szCs w:val="22"/>
              </w:rPr>
            </w:pPr>
            <w:r w:rsidRPr="00612824">
              <w:rPr>
                <w:sz w:val="22"/>
                <w:szCs w:val="22"/>
              </w:rPr>
              <w:t>29,8%</w:t>
            </w:r>
          </w:p>
        </w:tc>
        <w:tc>
          <w:tcPr>
            <w:tcW w:w="1140" w:type="dxa"/>
            <w:tcBorders>
              <w:top w:val="single" w:sz="6" w:space="0" w:color="000000"/>
              <w:left w:val="single" w:sz="6" w:space="0" w:color="000000"/>
              <w:bottom w:val="single" w:sz="6" w:space="0" w:color="000000"/>
              <w:right w:val="single" w:sz="6" w:space="0" w:color="000000"/>
            </w:tcBorders>
          </w:tcPr>
          <w:p w:rsidR="00F83E38" w:rsidRPr="00612824" w:rsidP="00F83E38" w14:paraId="6F1851DE" w14:textId="77777777">
            <w:pPr>
              <w:keepNext/>
              <w:keepLines/>
              <w:tabs>
                <w:tab w:val="left" w:pos="-1080"/>
              </w:tabs>
              <w:autoSpaceDE w:val="0"/>
              <w:autoSpaceDN w:val="0"/>
              <w:adjustRightInd w:val="0"/>
              <w:ind w:left="15"/>
              <w:jc w:val="center"/>
              <w:rPr>
                <w:sz w:val="22"/>
                <w:szCs w:val="22"/>
              </w:rPr>
            </w:pPr>
            <w:r w:rsidRPr="00612824">
              <w:rPr>
                <w:sz w:val="22"/>
                <w:szCs w:val="22"/>
              </w:rPr>
              <w:t>0,983</w:t>
            </w:r>
          </w:p>
        </w:tc>
      </w:tr>
      <w:tr w14:paraId="7C7FCBF3"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F83E38" w:rsidRPr="00612824" w:rsidP="00F83E38" w14:paraId="72C2AEED" w14:textId="77777777">
            <w:pPr>
              <w:keepNext/>
              <w:keepLines/>
              <w:tabs>
                <w:tab w:val="left" w:pos="-1080"/>
              </w:tabs>
              <w:autoSpaceDE w:val="0"/>
              <w:autoSpaceDN w:val="0"/>
              <w:adjustRightInd w:val="0"/>
              <w:rPr>
                <w:b/>
                <w:bCs/>
                <w:sz w:val="22"/>
                <w:szCs w:val="22"/>
              </w:rPr>
            </w:pPr>
            <w:r w:rsidRPr="00612824">
              <w:rPr>
                <w:b/>
                <w:sz w:val="22"/>
                <w:szCs w:val="22"/>
              </w:rPr>
              <w:t>Remissione della Fistola</w:t>
            </w:r>
            <w:r w:rsidRPr="00612824">
              <w:rPr>
                <w:b/>
                <w:sz w:val="22"/>
                <w:szCs w:val="22"/>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rsidR="00F83E38" w:rsidRPr="00612824" w:rsidP="00F83E38" w14:paraId="31BDB62E" w14:textId="77777777">
            <w:pPr>
              <w:keepNext/>
              <w:keepLines/>
              <w:tabs>
                <w:tab w:val="left" w:pos="-1080"/>
              </w:tabs>
              <w:autoSpaceDE w:val="0"/>
              <w:autoSpaceDN w:val="0"/>
              <w:adjustRightInd w:val="0"/>
              <w:ind w:left="15"/>
              <w:jc w:val="center"/>
              <w:rPr>
                <w:b/>
                <w:sz w:val="22"/>
                <w:szCs w:val="22"/>
              </w:rPr>
            </w:pPr>
            <w:r w:rsidRPr="00612824">
              <w:rPr>
                <w:b/>
                <w:sz w:val="22"/>
                <w:szCs w:val="22"/>
              </w:rPr>
              <w:t>N=15</w:t>
            </w:r>
          </w:p>
        </w:tc>
        <w:tc>
          <w:tcPr>
            <w:tcW w:w="1619" w:type="dxa"/>
            <w:tcBorders>
              <w:top w:val="single" w:sz="6" w:space="0" w:color="000000"/>
              <w:left w:val="single" w:sz="6" w:space="0" w:color="000000"/>
              <w:bottom w:val="single" w:sz="6" w:space="0" w:color="000000"/>
              <w:right w:val="single" w:sz="6" w:space="0" w:color="000000"/>
            </w:tcBorders>
          </w:tcPr>
          <w:p w:rsidR="00F83E38" w:rsidRPr="00612824" w:rsidP="00F83E38" w14:paraId="5602D4C2" w14:textId="77777777">
            <w:pPr>
              <w:keepNext/>
              <w:keepLines/>
              <w:tabs>
                <w:tab w:val="left" w:pos="-1080"/>
              </w:tabs>
              <w:autoSpaceDE w:val="0"/>
              <w:autoSpaceDN w:val="0"/>
              <w:adjustRightInd w:val="0"/>
              <w:ind w:left="15"/>
              <w:jc w:val="center"/>
              <w:rPr>
                <w:b/>
                <w:sz w:val="22"/>
                <w:szCs w:val="22"/>
              </w:rPr>
            </w:pPr>
            <w:r w:rsidRPr="00612824">
              <w:rPr>
                <w:b/>
                <w:sz w:val="22"/>
                <w:szCs w:val="22"/>
              </w:rPr>
              <w:t>N=21</w:t>
            </w:r>
          </w:p>
        </w:tc>
        <w:tc>
          <w:tcPr>
            <w:tcW w:w="1140" w:type="dxa"/>
            <w:tcBorders>
              <w:top w:val="single" w:sz="6" w:space="0" w:color="000000"/>
              <w:left w:val="single" w:sz="6" w:space="0" w:color="000000"/>
              <w:bottom w:val="single" w:sz="6" w:space="0" w:color="000000"/>
              <w:right w:val="single" w:sz="6" w:space="0" w:color="000000"/>
            </w:tcBorders>
          </w:tcPr>
          <w:p w:rsidR="00F83E38" w:rsidRPr="00612824" w:rsidP="00F83E38" w14:paraId="45A8EC58" w14:textId="77777777">
            <w:pPr>
              <w:keepNext/>
              <w:keepLines/>
              <w:tabs>
                <w:tab w:val="left" w:pos="-1080"/>
              </w:tabs>
              <w:autoSpaceDE w:val="0"/>
              <w:autoSpaceDN w:val="0"/>
              <w:adjustRightInd w:val="0"/>
              <w:ind w:left="15"/>
              <w:jc w:val="center"/>
              <w:rPr>
                <w:sz w:val="22"/>
                <w:szCs w:val="22"/>
              </w:rPr>
            </w:pPr>
          </w:p>
        </w:tc>
      </w:tr>
      <w:tr w14:paraId="275D87F9" w14:textId="77777777" w:rsidTr="00F83E38">
        <w:tblPrEx>
          <w:tblW w:w="0" w:type="auto"/>
          <w:tblLook w:val="00A0"/>
        </w:tblPrEx>
        <w:tc>
          <w:tcPr>
            <w:tcW w:w="4025" w:type="dxa"/>
            <w:tcBorders>
              <w:top w:val="single" w:sz="6" w:space="0" w:color="000000"/>
              <w:left w:val="single" w:sz="6" w:space="0" w:color="000000"/>
              <w:bottom w:val="single" w:sz="6" w:space="0" w:color="000000"/>
              <w:right w:val="single" w:sz="6" w:space="0" w:color="000000"/>
            </w:tcBorders>
          </w:tcPr>
          <w:p w:rsidR="00F83E38" w:rsidRPr="00612824" w:rsidP="00F83E38" w14:paraId="4DC01D44" w14:textId="77777777">
            <w:pPr>
              <w:keepNext/>
              <w:keepLines/>
              <w:tabs>
                <w:tab w:val="left" w:pos="-1080"/>
              </w:tabs>
              <w:autoSpaceDE w:val="0"/>
              <w:autoSpaceDN w:val="0"/>
              <w:adjustRightInd w:val="0"/>
              <w:rPr>
                <w:bCs/>
                <w:sz w:val="22"/>
                <w:szCs w:val="22"/>
              </w:rPr>
            </w:pPr>
            <w:r w:rsidRPr="00612824">
              <w:rPr>
                <w:bCs/>
                <w:sz w:val="22"/>
                <w:szCs w:val="22"/>
              </w:rPr>
              <w:t>Settimana 26</w:t>
            </w:r>
          </w:p>
        </w:tc>
        <w:tc>
          <w:tcPr>
            <w:tcW w:w="1656" w:type="dxa"/>
            <w:tcBorders>
              <w:top w:val="single" w:sz="6" w:space="0" w:color="000000"/>
              <w:left w:val="single" w:sz="6" w:space="0" w:color="000000"/>
              <w:bottom w:val="single" w:sz="6" w:space="0" w:color="000000"/>
              <w:right w:val="single" w:sz="6" w:space="0" w:color="000000"/>
            </w:tcBorders>
          </w:tcPr>
          <w:p w:rsidR="00F83E38" w:rsidRPr="00612824" w:rsidP="00F83E38" w14:paraId="5E2F9A6F" w14:textId="77777777">
            <w:pPr>
              <w:keepNext/>
              <w:keepLines/>
              <w:tabs>
                <w:tab w:val="left" w:pos="-1080"/>
              </w:tabs>
              <w:autoSpaceDE w:val="0"/>
              <w:autoSpaceDN w:val="0"/>
              <w:adjustRightInd w:val="0"/>
              <w:ind w:left="15"/>
              <w:jc w:val="center"/>
              <w:rPr>
                <w:sz w:val="22"/>
                <w:szCs w:val="22"/>
              </w:rPr>
            </w:pPr>
            <w:r w:rsidRPr="00612824">
              <w:rPr>
                <w:sz w:val="22"/>
                <w:szCs w:val="22"/>
              </w:rPr>
              <w:t>46,7%</w:t>
            </w:r>
          </w:p>
        </w:tc>
        <w:tc>
          <w:tcPr>
            <w:tcW w:w="1619" w:type="dxa"/>
            <w:tcBorders>
              <w:top w:val="single" w:sz="6" w:space="0" w:color="000000"/>
              <w:left w:val="single" w:sz="6" w:space="0" w:color="000000"/>
              <w:bottom w:val="single" w:sz="6" w:space="0" w:color="000000"/>
              <w:right w:val="single" w:sz="6" w:space="0" w:color="000000"/>
            </w:tcBorders>
          </w:tcPr>
          <w:p w:rsidR="00F83E38" w:rsidRPr="00612824" w:rsidP="00F83E38" w14:paraId="63448145" w14:textId="77777777">
            <w:pPr>
              <w:keepNext/>
              <w:keepLines/>
              <w:tabs>
                <w:tab w:val="left" w:pos="-1080"/>
              </w:tabs>
              <w:autoSpaceDE w:val="0"/>
              <w:autoSpaceDN w:val="0"/>
              <w:adjustRightInd w:val="0"/>
              <w:ind w:left="15"/>
              <w:jc w:val="center"/>
              <w:rPr>
                <w:sz w:val="22"/>
                <w:szCs w:val="22"/>
              </w:rPr>
            </w:pPr>
            <w:r w:rsidRPr="00612824">
              <w:rPr>
                <w:sz w:val="22"/>
                <w:szCs w:val="22"/>
              </w:rPr>
              <w:t>38,1%</w:t>
            </w:r>
          </w:p>
        </w:tc>
        <w:tc>
          <w:tcPr>
            <w:tcW w:w="1140" w:type="dxa"/>
            <w:tcBorders>
              <w:top w:val="single" w:sz="6" w:space="0" w:color="000000"/>
              <w:left w:val="single" w:sz="6" w:space="0" w:color="000000"/>
              <w:bottom w:val="single" w:sz="6" w:space="0" w:color="000000"/>
              <w:right w:val="single" w:sz="6" w:space="0" w:color="000000"/>
            </w:tcBorders>
          </w:tcPr>
          <w:p w:rsidR="00F83E38" w:rsidRPr="00612824" w:rsidP="00F83E38" w14:paraId="562011F3" w14:textId="77777777">
            <w:pPr>
              <w:keepNext/>
              <w:keepLines/>
              <w:tabs>
                <w:tab w:val="left" w:pos="-1080"/>
              </w:tabs>
              <w:autoSpaceDE w:val="0"/>
              <w:autoSpaceDN w:val="0"/>
              <w:adjustRightInd w:val="0"/>
              <w:ind w:left="15"/>
              <w:jc w:val="center"/>
              <w:rPr>
                <w:sz w:val="22"/>
                <w:szCs w:val="22"/>
              </w:rPr>
            </w:pPr>
            <w:r w:rsidRPr="00612824">
              <w:rPr>
                <w:sz w:val="22"/>
                <w:szCs w:val="22"/>
              </w:rPr>
              <w:t>0,608</w:t>
            </w:r>
          </w:p>
        </w:tc>
      </w:tr>
      <w:tr w14:paraId="30296C3E" w14:textId="77777777" w:rsidTr="00F83E38">
        <w:tblPrEx>
          <w:tblW w:w="0" w:type="auto"/>
          <w:tblLook w:val="00A0"/>
        </w:tblPrEx>
        <w:tc>
          <w:tcPr>
            <w:tcW w:w="4025" w:type="dxa"/>
            <w:tcBorders>
              <w:top w:val="single" w:sz="6" w:space="0" w:color="000000"/>
              <w:left w:val="single" w:sz="6" w:space="0" w:color="000000"/>
              <w:bottom w:val="single" w:sz="4" w:space="0" w:color="auto"/>
              <w:right w:val="single" w:sz="6" w:space="0" w:color="000000"/>
            </w:tcBorders>
          </w:tcPr>
          <w:p w:rsidR="00F83E38" w:rsidRPr="00612824" w:rsidP="00F83E38" w14:paraId="4A361620" w14:textId="77777777">
            <w:pPr>
              <w:keepNext/>
              <w:keepLines/>
              <w:tabs>
                <w:tab w:val="left" w:pos="-1080"/>
              </w:tabs>
              <w:autoSpaceDE w:val="0"/>
              <w:autoSpaceDN w:val="0"/>
              <w:adjustRightInd w:val="0"/>
              <w:rPr>
                <w:bCs/>
                <w:sz w:val="22"/>
                <w:szCs w:val="22"/>
              </w:rPr>
            </w:pPr>
            <w:r w:rsidRPr="00612824">
              <w:rPr>
                <w:bCs/>
                <w:sz w:val="22"/>
                <w:szCs w:val="22"/>
              </w:rPr>
              <w:t>Settimana</w:t>
            </w:r>
            <w:r w:rsidRPr="00612824">
              <w:rPr>
                <w:sz w:val="22"/>
                <w:szCs w:val="22"/>
              </w:rPr>
              <w:t xml:space="preserve"> 52,</w:t>
            </w:r>
          </w:p>
        </w:tc>
        <w:tc>
          <w:tcPr>
            <w:tcW w:w="1656" w:type="dxa"/>
            <w:tcBorders>
              <w:top w:val="single" w:sz="6" w:space="0" w:color="000000"/>
              <w:left w:val="single" w:sz="6" w:space="0" w:color="000000"/>
              <w:bottom w:val="single" w:sz="4" w:space="0" w:color="auto"/>
              <w:right w:val="single" w:sz="6" w:space="0" w:color="000000"/>
            </w:tcBorders>
          </w:tcPr>
          <w:p w:rsidR="00F83E38" w:rsidRPr="00612824" w:rsidP="00F83E38" w14:paraId="17FBAC15" w14:textId="77777777">
            <w:pPr>
              <w:keepNext/>
              <w:keepLines/>
              <w:tabs>
                <w:tab w:val="left" w:pos="-1080"/>
              </w:tabs>
              <w:autoSpaceDE w:val="0"/>
              <w:autoSpaceDN w:val="0"/>
              <w:adjustRightInd w:val="0"/>
              <w:ind w:left="15"/>
              <w:jc w:val="center"/>
              <w:rPr>
                <w:sz w:val="22"/>
                <w:szCs w:val="22"/>
              </w:rPr>
            </w:pPr>
            <w:r w:rsidRPr="00612824">
              <w:rPr>
                <w:sz w:val="22"/>
                <w:szCs w:val="22"/>
              </w:rPr>
              <w:t>40,0%</w:t>
            </w:r>
          </w:p>
        </w:tc>
        <w:tc>
          <w:tcPr>
            <w:tcW w:w="1619" w:type="dxa"/>
            <w:tcBorders>
              <w:top w:val="single" w:sz="6" w:space="0" w:color="000000"/>
              <w:left w:val="single" w:sz="6" w:space="0" w:color="000000"/>
              <w:bottom w:val="single" w:sz="4" w:space="0" w:color="auto"/>
              <w:right w:val="single" w:sz="6" w:space="0" w:color="000000"/>
            </w:tcBorders>
          </w:tcPr>
          <w:p w:rsidR="00F83E38" w:rsidRPr="00612824" w:rsidP="00F83E38" w14:paraId="2D056F08" w14:textId="77777777">
            <w:pPr>
              <w:keepNext/>
              <w:keepLines/>
              <w:tabs>
                <w:tab w:val="left" w:pos="-1080"/>
              </w:tabs>
              <w:autoSpaceDE w:val="0"/>
              <w:autoSpaceDN w:val="0"/>
              <w:adjustRightInd w:val="0"/>
              <w:ind w:left="15"/>
              <w:jc w:val="center"/>
              <w:rPr>
                <w:sz w:val="22"/>
                <w:szCs w:val="22"/>
              </w:rPr>
            </w:pPr>
            <w:r w:rsidRPr="00612824">
              <w:rPr>
                <w:sz w:val="22"/>
                <w:szCs w:val="22"/>
              </w:rPr>
              <w:t>23,8%</w:t>
            </w:r>
          </w:p>
        </w:tc>
        <w:tc>
          <w:tcPr>
            <w:tcW w:w="1140" w:type="dxa"/>
            <w:tcBorders>
              <w:top w:val="single" w:sz="6" w:space="0" w:color="000000"/>
              <w:left w:val="single" w:sz="6" w:space="0" w:color="000000"/>
              <w:bottom w:val="single" w:sz="4" w:space="0" w:color="auto"/>
              <w:right w:val="single" w:sz="6" w:space="0" w:color="000000"/>
            </w:tcBorders>
          </w:tcPr>
          <w:p w:rsidR="00F83E38" w:rsidRPr="00612824" w:rsidP="00F83E38" w14:paraId="448151BC" w14:textId="77777777">
            <w:pPr>
              <w:keepNext/>
              <w:keepLines/>
              <w:tabs>
                <w:tab w:val="left" w:pos="-1080"/>
              </w:tabs>
              <w:autoSpaceDE w:val="0"/>
              <w:autoSpaceDN w:val="0"/>
              <w:adjustRightInd w:val="0"/>
              <w:ind w:left="15"/>
              <w:jc w:val="center"/>
              <w:rPr>
                <w:sz w:val="22"/>
                <w:szCs w:val="22"/>
              </w:rPr>
            </w:pPr>
            <w:r w:rsidRPr="00612824">
              <w:rPr>
                <w:sz w:val="22"/>
                <w:szCs w:val="22"/>
              </w:rPr>
              <w:t>0,303</w:t>
            </w:r>
          </w:p>
        </w:tc>
      </w:tr>
      <w:tr w14:paraId="7B90FD52" w14:textId="77777777" w:rsidTr="00F83E38">
        <w:tblPrEx>
          <w:tblW w:w="0" w:type="auto"/>
          <w:tblLook w:val="00A0"/>
        </w:tblPrEx>
        <w:trPr>
          <w:trHeight w:val="177"/>
        </w:trPr>
        <w:tc>
          <w:tcPr>
            <w:tcW w:w="8440" w:type="dxa"/>
            <w:gridSpan w:val="4"/>
            <w:tcBorders>
              <w:top w:val="single" w:sz="4" w:space="0" w:color="auto"/>
            </w:tcBorders>
          </w:tcPr>
          <w:p w:rsidR="00F83E38" w:rsidRPr="00612824" w:rsidP="00F83E38" w14:paraId="402A6349" w14:textId="77777777">
            <w:pPr>
              <w:keepNext/>
              <w:keepLines/>
              <w:tabs>
                <w:tab w:val="left" w:pos="-1080"/>
              </w:tabs>
              <w:autoSpaceDE w:val="0"/>
              <w:autoSpaceDN w:val="0"/>
              <w:adjustRightInd w:val="0"/>
              <w:rPr>
                <w:sz w:val="22"/>
                <w:szCs w:val="22"/>
              </w:rPr>
            </w:pPr>
            <w:r w:rsidRPr="00612824">
              <w:rPr>
                <w:sz w:val="22"/>
                <w:szCs w:val="22"/>
                <w:vertAlign w:val="superscript"/>
              </w:rPr>
              <w:t>1</w:t>
            </w:r>
            <w:r w:rsidRPr="00612824">
              <w:rPr>
                <w:sz w:val="22"/>
                <w:szCs w:val="22"/>
              </w:rPr>
              <w:t xml:space="preserve">  confronto valore P per Dose Standard </w:t>
            </w:r>
            <w:r w:rsidRPr="00612824">
              <w:rPr>
                <w:i/>
                <w:iCs/>
                <w:sz w:val="22"/>
                <w:szCs w:val="22"/>
              </w:rPr>
              <w:t>versus</w:t>
            </w:r>
            <w:r w:rsidRPr="00612824">
              <w:rPr>
                <w:sz w:val="22"/>
                <w:szCs w:val="22"/>
              </w:rPr>
              <w:t xml:space="preserve"> Dose Bassa.</w:t>
            </w:r>
          </w:p>
          <w:p w:rsidR="00F83E38" w:rsidRPr="00612824" w:rsidP="00F83E38" w14:paraId="352FBC6A" w14:textId="77777777">
            <w:pPr>
              <w:keepNext/>
              <w:keepLines/>
              <w:tabs>
                <w:tab w:val="left" w:pos="-1080"/>
              </w:tabs>
              <w:autoSpaceDE w:val="0"/>
              <w:autoSpaceDN w:val="0"/>
              <w:adjustRightInd w:val="0"/>
              <w:rPr>
                <w:sz w:val="22"/>
                <w:szCs w:val="22"/>
              </w:rPr>
            </w:pPr>
            <w:r w:rsidRPr="00612824">
              <w:rPr>
                <w:sz w:val="22"/>
                <w:szCs w:val="22"/>
                <w:vertAlign w:val="superscript"/>
              </w:rPr>
              <w:t xml:space="preserve"> 2</w:t>
            </w:r>
            <w:r w:rsidRPr="00612824">
              <w:rPr>
                <w:sz w:val="22"/>
                <w:szCs w:val="22"/>
              </w:rPr>
              <w:t xml:space="preserve">  la terapia immunosoppressiva poteva essere interrotta solo alla o dopo la Settimana 26 a discrezione dello sperimentatore se il soggetto aveva raggiunto il criterio della risposta clinica</w:t>
            </w:r>
          </w:p>
          <w:p w:rsidR="00F83E38" w:rsidRPr="00612824" w:rsidP="00F83E38" w14:paraId="035C00A2" w14:textId="77777777">
            <w:pPr>
              <w:keepNext/>
              <w:keepLines/>
              <w:tabs>
                <w:tab w:val="left" w:pos="-1080"/>
              </w:tabs>
              <w:autoSpaceDE w:val="0"/>
              <w:autoSpaceDN w:val="0"/>
              <w:adjustRightInd w:val="0"/>
              <w:rPr>
                <w:sz w:val="22"/>
                <w:szCs w:val="22"/>
              </w:rPr>
            </w:pPr>
            <w:r w:rsidRPr="00612824">
              <w:rPr>
                <w:sz w:val="22"/>
                <w:szCs w:val="22"/>
                <w:vertAlign w:val="superscript"/>
              </w:rPr>
              <w:t>3</w:t>
            </w:r>
            <w:r w:rsidRPr="00612824">
              <w:rPr>
                <w:sz w:val="22"/>
                <w:szCs w:val="22"/>
              </w:rPr>
              <w:t xml:space="preserve">  definito come chiusura di tutte le fistole che si stavano esaurendo al basale per almeno 2 visite consecutive post-basale</w:t>
            </w:r>
          </w:p>
        </w:tc>
      </w:tr>
    </w:tbl>
    <w:p w:rsidR="00F83E38" w:rsidRPr="00612824" w:rsidP="00F83E38" w14:paraId="04533505" w14:textId="77777777">
      <w:pPr>
        <w:keepNext/>
        <w:tabs>
          <w:tab w:val="left" w:pos="567"/>
        </w:tabs>
        <w:rPr>
          <w:sz w:val="22"/>
          <w:szCs w:val="22"/>
        </w:rPr>
      </w:pPr>
    </w:p>
    <w:p w:rsidR="00F83E38" w:rsidRPr="00612824" w:rsidP="00F83E38" w14:paraId="0725A89B" w14:textId="77777777">
      <w:pPr>
        <w:tabs>
          <w:tab w:val="left" w:pos="567"/>
        </w:tabs>
        <w:jc w:val="both"/>
        <w:rPr>
          <w:sz w:val="22"/>
          <w:szCs w:val="22"/>
        </w:rPr>
      </w:pPr>
      <w:r w:rsidRPr="00612824">
        <w:rPr>
          <w:sz w:val="22"/>
          <w:szCs w:val="22"/>
        </w:rPr>
        <w:t>Per entrambi i gruppi di trattamento sono stati osservati incrementi (miglioramenti) statisticamente significativi dell’Indice di Massa Corporea e della velocità di accrescimento staturale dal basale alla Settimana 26 e 52.</w:t>
      </w:r>
    </w:p>
    <w:p w:rsidR="00F83E38" w:rsidRPr="00612824" w:rsidP="00F83E38" w14:paraId="4AC20718" w14:textId="77777777">
      <w:pPr>
        <w:tabs>
          <w:tab w:val="left" w:pos="567"/>
        </w:tabs>
        <w:jc w:val="both"/>
        <w:rPr>
          <w:sz w:val="22"/>
          <w:szCs w:val="22"/>
        </w:rPr>
      </w:pPr>
    </w:p>
    <w:p w:rsidR="00F83E38" w:rsidRPr="00612824" w:rsidP="00F83E38" w14:paraId="1096F3D2" w14:textId="77777777">
      <w:pPr>
        <w:tabs>
          <w:tab w:val="left" w:pos="567"/>
        </w:tabs>
        <w:jc w:val="both"/>
        <w:rPr>
          <w:sz w:val="22"/>
          <w:szCs w:val="22"/>
        </w:rPr>
      </w:pPr>
      <w:r w:rsidRPr="00612824">
        <w:rPr>
          <w:sz w:val="22"/>
          <w:szCs w:val="22"/>
        </w:rPr>
        <w:t xml:space="preserve">In entrambi i gruppi di trattamento sono stati inoltre osservati miglioramenti statisticamente e clinicamente significativi rispetto al basale dei parametri di qualità di vita (incluso IMPACT III). </w:t>
      </w:r>
    </w:p>
    <w:p w:rsidR="00F83E38" w:rsidRPr="00612824" w:rsidP="00F83E38" w14:paraId="0A147970" w14:textId="77777777">
      <w:pPr>
        <w:tabs>
          <w:tab w:val="left" w:pos="567"/>
          <w:tab w:val="left" w:pos="1294"/>
        </w:tabs>
        <w:autoSpaceDE w:val="0"/>
        <w:autoSpaceDN w:val="0"/>
        <w:adjustRightInd w:val="0"/>
        <w:jc w:val="both"/>
        <w:rPr>
          <w:color w:val="000000"/>
          <w:sz w:val="22"/>
          <w:szCs w:val="22"/>
        </w:rPr>
      </w:pPr>
    </w:p>
    <w:p w:rsidR="00F83E38" w:rsidRPr="00612824" w:rsidP="00F83E38" w14:paraId="4E836F5D" w14:textId="77777777">
      <w:pPr>
        <w:rPr>
          <w:sz w:val="22"/>
          <w:szCs w:val="22"/>
        </w:rPr>
      </w:pPr>
      <w:r w:rsidRPr="00612824">
        <w:rPr>
          <w:sz w:val="22"/>
          <w:szCs w:val="22"/>
        </w:rPr>
        <w:t>Cento pazienti (n=100) dello Studio della Malattia di Crohn Pediatrica hanno continuato in uno studio di estensione in aperto a lungo termine. Dopo 5 anni di trattamento con adalimumab, il 74,0% (37/50) dei 50 pazienti rimasti nello studio ha continuato ad essere in remissione clinica e il 92,0% (46/50) dei pazienti ha continuato ad avere la risposta clinica per PCDAI.</w:t>
      </w:r>
    </w:p>
    <w:p w:rsidR="00F83E38" w:rsidP="00F83E38" w14:paraId="23542D09" w14:textId="77777777">
      <w:pPr>
        <w:rPr>
          <w:sz w:val="22"/>
          <w:szCs w:val="22"/>
          <w:highlight w:val="yellow"/>
        </w:rPr>
      </w:pPr>
    </w:p>
    <w:p w:rsidR="00F83E38" w:rsidRPr="00612824" w:rsidP="00F83E38" w14:paraId="6F507B79" w14:textId="77777777">
      <w:pPr>
        <w:keepNext/>
        <w:rPr>
          <w:bCs/>
          <w:i/>
          <w:sz w:val="22"/>
          <w:szCs w:val="22"/>
        </w:rPr>
      </w:pPr>
      <w:r w:rsidRPr="00612824">
        <w:rPr>
          <w:i/>
          <w:sz w:val="22"/>
          <w:szCs w:val="22"/>
        </w:rPr>
        <w:t>Colite ulcerosa pediatrica</w:t>
      </w:r>
    </w:p>
    <w:p w:rsidR="00F83E38" w:rsidRPr="00612824" w:rsidP="00F83E38" w14:paraId="7D9DBC8D" w14:textId="77777777">
      <w:pPr>
        <w:keepNext/>
        <w:rPr>
          <w:bCs/>
          <w:i/>
          <w:sz w:val="22"/>
          <w:szCs w:val="22"/>
        </w:rPr>
      </w:pPr>
    </w:p>
    <w:p w:rsidR="00F83E38" w:rsidRPr="00612824" w:rsidP="00F83E38" w14:paraId="27576722" w14:textId="77777777">
      <w:pPr>
        <w:rPr>
          <w:sz w:val="22"/>
          <w:szCs w:val="22"/>
        </w:rPr>
      </w:pPr>
      <w:r w:rsidRPr="00612824">
        <w:rPr>
          <w:sz w:val="22"/>
          <w:szCs w:val="22"/>
        </w:rPr>
        <w:t xml:space="preserve">La sicurezza e l'efficacia di Humira sono state valutate in uno studio multicentrico, randomizzato, in doppio cieco, condotto su 93 pazienti pediatrici di età compresa tra 5 e 17 anni </w:t>
      </w:r>
      <w:r w:rsidR="00284D9A">
        <w:rPr>
          <w:sz w:val="22"/>
          <w:szCs w:val="22"/>
        </w:rPr>
        <w:t>affetti da</w:t>
      </w:r>
      <w:r w:rsidRPr="00612824">
        <w:rPr>
          <w:sz w:val="22"/>
          <w:szCs w:val="22"/>
        </w:rPr>
        <w:t xml:space="preserve"> colite ulcerosa da moderata a </w:t>
      </w:r>
      <w:r w:rsidR="00284D9A">
        <w:rPr>
          <w:sz w:val="22"/>
          <w:szCs w:val="22"/>
        </w:rPr>
        <w:t>severa</w:t>
      </w:r>
      <w:r w:rsidRPr="00612824">
        <w:rPr>
          <w:sz w:val="22"/>
          <w:szCs w:val="22"/>
        </w:rPr>
        <w:t xml:space="preserve"> (Mayo Score da 6 a 12 con </w:t>
      </w:r>
      <w:r w:rsidR="004D484C">
        <w:rPr>
          <w:sz w:val="22"/>
          <w:szCs w:val="22"/>
        </w:rPr>
        <w:t>sottopunteggio</w:t>
      </w:r>
      <w:r w:rsidRPr="00612824">
        <w:rPr>
          <w:sz w:val="22"/>
          <w:szCs w:val="22"/>
        </w:rPr>
        <w:t xml:space="preserve"> endoscopico da 2 a 3 punti, confermato mediante endoscopia </w:t>
      </w:r>
      <w:r w:rsidR="00284D9A">
        <w:rPr>
          <w:sz w:val="22"/>
          <w:szCs w:val="22"/>
        </w:rPr>
        <w:t>refertata</w:t>
      </w:r>
      <w:r w:rsidRPr="00612824">
        <w:rPr>
          <w:sz w:val="22"/>
          <w:szCs w:val="22"/>
        </w:rPr>
        <w:t xml:space="preserve"> da un </w:t>
      </w:r>
      <w:r w:rsidR="00284D9A">
        <w:rPr>
          <w:sz w:val="22"/>
          <w:szCs w:val="22"/>
        </w:rPr>
        <w:t>operatore indipendente</w:t>
      </w:r>
      <w:r w:rsidRPr="00612824">
        <w:rPr>
          <w:sz w:val="22"/>
          <w:szCs w:val="22"/>
        </w:rPr>
        <w:t xml:space="preserve">) che hanno avuto una risposta inadeguata o intolleranza alla terapia convenzionale. Circa il 16% dei pazienti nello studio </w:t>
      </w:r>
      <w:r w:rsidR="00454888">
        <w:rPr>
          <w:sz w:val="22"/>
          <w:szCs w:val="22"/>
        </w:rPr>
        <w:t>aveva fallito</w:t>
      </w:r>
      <w:r w:rsidRPr="00612824">
        <w:rPr>
          <w:sz w:val="22"/>
          <w:szCs w:val="22"/>
        </w:rPr>
        <w:t xml:space="preserve"> </w:t>
      </w:r>
      <w:r w:rsidR="00284D9A">
        <w:rPr>
          <w:sz w:val="22"/>
          <w:szCs w:val="22"/>
        </w:rPr>
        <w:t>un</w:t>
      </w:r>
      <w:r w:rsidRPr="00612824">
        <w:rPr>
          <w:sz w:val="22"/>
          <w:szCs w:val="22"/>
        </w:rPr>
        <w:t xml:space="preserve"> precedente trattamento </w:t>
      </w:r>
      <w:r w:rsidR="00284D9A">
        <w:rPr>
          <w:sz w:val="22"/>
          <w:szCs w:val="22"/>
        </w:rPr>
        <w:t xml:space="preserve">con </w:t>
      </w:r>
      <w:r w:rsidRPr="00612824">
        <w:rPr>
          <w:sz w:val="22"/>
          <w:szCs w:val="22"/>
        </w:rPr>
        <w:t>anti-TNF. Ai pazienti che avevano ricevuto corticosteroidi all'arruolamento è stato consentito di ridurre la terapia con corticosteroidi dopo la Settimana 4.</w:t>
      </w:r>
    </w:p>
    <w:p w:rsidR="00F83E38" w:rsidRPr="00612824" w:rsidP="00F83E38" w14:paraId="5F1C4B35" w14:textId="77777777">
      <w:pPr>
        <w:rPr>
          <w:sz w:val="22"/>
          <w:szCs w:val="22"/>
        </w:rPr>
      </w:pPr>
    </w:p>
    <w:p w:rsidR="00F83E38" w:rsidRPr="00612824" w:rsidP="00F83E38" w14:paraId="5B7E1182" w14:textId="77777777">
      <w:pPr>
        <w:rPr>
          <w:sz w:val="22"/>
          <w:szCs w:val="22"/>
        </w:rPr>
      </w:pPr>
      <w:r w:rsidRPr="00612824">
        <w:rPr>
          <w:rStyle w:val="normaltextrun"/>
          <w:sz w:val="22"/>
          <w:szCs w:val="22"/>
          <w:shd w:val="clear" w:color="auto" w:fill="FFFFFF"/>
        </w:rPr>
        <w:t>Nel periodo di induzione dello studio, 77 pazienti sono stati randomizzati 3:2 per ricevere un trattamento in doppio cieco con Humira a una dose di induzione di 2,4 mg/kg (massimo 160 mg) alla Settimana 0 e alla Settimana 1 e di 1,2 mg/kg (massimo 80 mg) alla Settimana 2</w:t>
      </w:r>
      <w:r w:rsidR="00284D9A">
        <w:rPr>
          <w:rStyle w:val="normaltextrun"/>
          <w:sz w:val="22"/>
          <w:szCs w:val="22"/>
          <w:shd w:val="clear" w:color="auto" w:fill="FFFFFF"/>
        </w:rPr>
        <w:t>,</w:t>
      </w:r>
      <w:r w:rsidRPr="00612824">
        <w:rPr>
          <w:rStyle w:val="normaltextrun"/>
          <w:sz w:val="22"/>
          <w:szCs w:val="22"/>
          <w:shd w:val="clear" w:color="auto" w:fill="FFFFFF"/>
        </w:rPr>
        <w:t xml:space="preserve"> o</w:t>
      </w:r>
      <w:r w:rsidR="00284D9A">
        <w:rPr>
          <w:rStyle w:val="normaltextrun"/>
          <w:sz w:val="22"/>
          <w:szCs w:val="22"/>
          <w:shd w:val="clear" w:color="auto" w:fill="FFFFFF"/>
        </w:rPr>
        <w:t>ppure</w:t>
      </w:r>
      <w:r w:rsidRPr="00612824">
        <w:rPr>
          <w:rStyle w:val="normaltextrun"/>
          <w:sz w:val="22"/>
          <w:szCs w:val="22"/>
          <w:shd w:val="clear" w:color="auto" w:fill="FFFFFF"/>
        </w:rPr>
        <w:t xml:space="preserve"> una dose di induzione di 2,4 mg/kg (massimo 160 mg) alla Settimana 0, placebo alla Settimana 1 e 1,2 mg/kg (massimo 80 mg) alla Settimana 2. Entrambi i gruppi hanno ricevuto 0,6 mg/kg (massimo 40 mg) alla Settimana 4 e alla Settimana 6. A seguito di un emendamento al disegno dello studio, i restanti 16 pazienti arruolati</w:t>
      </w:r>
      <w:r w:rsidR="00B64C72">
        <w:rPr>
          <w:rStyle w:val="normaltextrun"/>
          <w:sz w:val="22"/>
          <w:szCs w:val="22"/>
          <w:shd w:val="clear" w:color="auto" w:fill="FFFFFF"/>
        </w:rPr>
        <w:t xml:space="preserve"> hanno ricevuto</w:t>
      </w:r>
      <w:r w:rsidRPr="00612824">
        <w:rPr>
          <w:rStyle w:val="normaltextrun"/>
          <w:sz w:val="22"/>
          <w:szCs w:val="22"/>
          <w:shd w:val="clear" w:color="auto" w:fill="FFFFFF"/>
        </w:rPr>
        <w:t xml:space="preserve"> nel periodo di induzione un trattamento in aperto con Humira alla dose di induzione di 2,4 mg/kg (massimo 160 mg) alla Settimana 0 e alla Settimana 1 e di 1,2 mg/kg (massimo 80 mg) alla Settimana 2.</w:t>
      </w:r>
      <w:r w:rsidRPr="00612824">
        <w:rPr>
          <w:rStyle w:val="eop"/>
          <w:sz w:val="22"/>
          <w:szCs w:val="22"/>
          <w:shd w:val="clear" w:color="auto" w:fill="FFFFFF"/>
        </w:rPr>
        <w:t> </w:t>
      </w:r>
    </w:p>
    <w:p w:rsidR="00F83E38" w:rsidRPr="00612824" w:rsidP="00F83E38" w14:paraId="0E729F97" w14:textId="77777777">
      <w:pPr>
        <w:rPr>
          <w:sz w:val="22"/>
          <w:szCs w:val="22"/>
        </w:rPr>
      </w:pPr>
    </w:p>
    <w:p w:rsidR="00F83E38" w:rsidRPr="00612824" w:rsidP="00F83E38" w14:paraId="5E6124E4" w14:textId="77777777">
      <w:pPr>
        <w:rPr>
          <w:rStyle w:val="eop"/>
          <w:sz w:val="22"/>
          <w:szCs w:val="22"/>
          <w:shd w:val="clear" w:color="auto" w:fill="FFFFFF"/>
        </w:rPr>
      </w:pPr>
      <w:r w:rsidRPr="00612824">
        <w:rPr>
          <w:rStyle w:val="normaltextrun"/>
          <w:sz w:val="22"/>
          <w:szCs w:val="22"/>
          <w:shd w:val="clear" w:color="auto" w:fill="FFFFFF"/>
        </w:rPr>
        <w:t xml:space="preserve">Alla Settimana 8, 62 pazienti che </w:t>
      </w:r>
      <w:r w:rsidR="00B64C72">
        <w:rPr>
          <w:rStyle w:val="normaltextrun"/>
          <w:sz w:val="22"/>
          <w:szCs w:val="22"/>
          <w:shd w:val="clear" w:color="auto" w:fill="FFFFFF"/>
        </w:rPr>
        <w:t>avevano</w:t>
      </w:r>
      <w:r w:rsidRPr="00612824">
        <w:rPr>
          <w:rStyle w:val="normaltextrun"/>
          <w:sz w:val="22"/>
          <w:szCs w:val="22"/>
          <w:shd w:val="clear" w:color="auto" w:fill="FFFFFF"/>
        </w:rPr>
        <w:t xml:space="preserve"> dimostrato una risposta clinica come indicato dal Partial Mayo Score (PMS; definito come una diminuzione del PMS ≥ 2 punti e ≥ 30% dal basale) sono stati randomizzati</w:t>
      </w:r>
      <w:r w:rsidR="00B64C72">
        <w:rPr>
          <w:rStyle w:val="normaltextrun"/>
          <w:sz w:val="22"/>
          <w:szCs w:val="22"/>
          <w:shd w:val="clear" w:color="auto" w:fill="FFFFFF"/>
        </w:rPr>
        <w:t xml:space="preserve"> 1:1</w:t>
      </w:r>
      <w:r w:rsidRPr="00612824">
        <w:rPr>
          <w:rStyle w:val="normaltextrun"/>
          <w:sz w:val="22"/>
          <w:szCs w:val="22"/>
          <w:shd w:val="clear" w:color="auto" w:fill="FFFFFF"/>
        </w:rPr>
        <w:t xml:space="preserve"> a ricevere un trattamento di mantenimento in doppio cieco con Humira ad una dose </w:t>
      </w:r>
      <w:r w:rsidRPr="00612824">
        <w:rPr>
          <w:rStyle w:val="normaltextrun"/>
          <w:sz w:val="22"/>
          <w:szCs w:val="22"/>
          <w:shd w:val="clear" w:color="auto" w:fill="FFFFFF"/>
        </w:rPr>
        <w:t xml:space="preserve">di 0,6 mg/kg (massimo 40 mg) ogni settimana o ad una dose di mantenimento di 0,6 mg/kg (massimo 40 mg) </w:t>
      </w:r>
      <w:r w:rsidR="00B64C72">
        <w:rPr>
          <w:rStyle w:val="normaltextrun"/>
          <w:sz w:val="22"/>
          <w:szCs w:val="22"/>
          <w:shd w:val="clear" w:color="auto" w:fill="FFFFFF"/>
        </w:rPr>
        <w:t>a settimane alterne</w:t>
      </w:r>
      <w:r w:rsidRPr="00612824">
        <w:rPr>
          <w:rStyle w:val="normaltextrun"/>
          <w:sz w:val="22"/>
          <w:szCs w:val="22"/>
          <w:shd w:val="clear" w:color="auto" w:fill="FFFFFF"/>
        </w:rPr>
        <w:t xml:space="preserve">. Prima di un emendamento al disegno dello studio, altri 12 pazienti che </w:t>
      </w:r>
      <w:r w:rsidR="005863FE">
        <w:rPr>
          <w:rStyle w:val="normaltextrun"/>
          <w:sz w:val="22"/>
          <w:szCs w:val="22"/>
          <w:shd w:val="clear" w:color="auto" w:fill="FFFFFF"/>
        </w:rPr>
        <w:t>avevano</w:t>
      </w:r>
      <w:r w:rsidRPr="00612824">
        <w:rPr>
          <w:rStyle w:val="normaltextrun"/>
          <w:sz w:val="22"/>
          <w:szCs w:val="22"/>
          <w:shd w:val="clear" w:color="auto" w:fill="FFFFFF"/>
        </w:rPr>
        <w:t xml:space="preserve"> dimostrato una risposta clinica come indicato dal PMS</w:t>
      </w:r>
      <w:r w:rsidR="005863FE">
        <w:rPr>
          <w:rStyle w:val="normaltextrun"/>
          <w:sz w:val="22"/>
          <w:szCs w:val="22"/>
          <w:shd w:val="clear" w:color="auto" w:fill="FFFFFF"/>
        </w:rPr>
        <w:t>,</w:t>
      </w:r>
      <w:r w:rsidRPr="00612824">
        <w:rPr>
          <w:rStyle w:val="normaltextrun"/>
          <w:sz w:val="22"/>
          <w:szCs w:val="22"/>
          <w:shd w:val="clear" w:color="auto" w:fill="FFFFFF"/>
        </w:rPr>
        <w:t xml:space="preserve"> sono stati randomizzati a ricevere placebo ma non sono stati inclusi nell'analisi di conferma dell'efficacia.</w:t>
      </w:r>
    </w:p>
    <w:p w:rsidR="00F83E38" w:rsidRPr="00612824" w:rsidP="00F83E38" w14:paraId="4FD13224" w14:textId="77777777">
      <w:pPr>
        <w:rPr>
          <w:sz w:val="22"/>
          <w:szCs w:val="22"/>
        </w:rPr>
      </w:pPr>
    </w:p>
    <w:p w:rsidR="00F83E38" w:rsidRPr="00612824" w:rsidP="00F83E38" w14:paraId="277D7DD3" w14:textId="77777777">
      <w:pPr>
        <w:rPr>
          <w:sz w:val="22"/>
          <w:szCs w:val="22"/>
        </w:rPr>
      </w:pPr>
      <w:r w:rsidRPr="00612824">
        <w:rPr>
          <w:sz w:val="22"/>
          <w:szCs w:val="22"/>
        </w:rPr>
        <w:t xml:space="preserve">La riacutizzazione della malattia è stata definita come un aumento del PMS di almeno 3 punti (per i pazienti con PMS da 0 a 2 alla Settimana 8), </w:t>
      </w:r>
      <w:r w:rsidR="005863FE">
        <w:rPr>
          <w:sz w:val="22"/>
          <w:szCs w:val="22"/>
        </w:rPr>
        <w:t xml:space="preserve">di </w:t>
      </w:r>
      <w:r w:rsidRPr="00612824">
        <w:rPr>
          <w:sz w:val="22"/>
          <w:szCs w:val="22"/>
        </w:rPr>
        <w:t xml:space="preserve">almeno 2 punti (per i pazienti con PMS da 3 a 4 alla Settimana 8) o almeno </w:t>
      </w:r>
      <w:r w:rsidR="005863FE">
        <w:rPr>
          <w:sz w:val="22"/>
          <w:szCs w:val="22"/>
        </w:rPr>
        <w:t xml:space="preserve">di </w:t>
      </w:r>
      <w:r w:rsidRPr="00612824">
        <w:rPr>
          <w:sz w:val="22"/>
          <w:szCs w:val="22"/>
        </w:rPr>
        <w:t>1 punto (per i pazienti con PMS da 5 a 6 alla Settimana 8). </w:t>
      </w:r>
    </w:p>
    <w:p w:rsidR="00F83E38" w:rsidRPr="00612824" w:rsidP="00F83E38" w14:paraId="1450CCF7" w14:textId="77777777">
      <w:pPr>
        <w:rPr>
          <w:sz w:val="22"/>
          <w:szCs w:val="22"/>
        </w:rPr>
      </w:pPr>
    </w:p>
    <w:p w:rsidR="00F83E38" w:rsidRPr="00612824" w:rsidP="00F83E38" w14:paraId="7AD3D3E1" w14:textId="77777777">
      <w:pPr>
        <w:rPr>
          <w:sz w:val="22"/>
          <w:szCs w:val="22"/>
        </w:rPr>
      </w:pPr>
      <w:r w:rsidRPr="00612824">
        <w:rPr>
          <w:sz w:val="22"/>
          <w:szCs w:val="22"/>
        </w:rPr>
        <w:t xml:space="preserve">I pazienti che </w:t>
      </w:r>
      <w:r w:rsidR="00B64C72">
        <w:rPr>
          <w:sz w:val="22"/>
          <w:szCs w:val="22"/>
        </w:rPr>
        <w:t>hanno presentato</w:t>
      </w:r>
      <w:r w:rsidRPr="00612824">
        <w:rPr>
          <w:sz w:val="22"/>
          <w:szCs w:val="22"/>
        </w:rPr>
        <w:t xml:space="preserve"> i criteri </w:t>
      </w:r>
      <w:r w:rsidR="00B64C72">
        <w:rPr>
          <w:sz w:val="22"/>
          <w:szCs w:val="22"/>
        </w:rPr>
        <w:t xml:space="preserve">di </w:t>
      </w:r>
      <w:r w:rsidRPr="00612824">
        <w:rPr>
          <w:sz w:val="22"/>
          <w:szCs w:val="22"/>
        </w:rPr>
        <w:t>riacutizzazione d</w:t>
      </w:r>
      <w:r w:rsidR="00B64C72">
        <w:rPr>
          <w:sz w:val="22"/>
          <w:szCs w:val="22"/>
        </w:rPr>
        <w:t>i</w:t>
      </w:r>
      <w:r w:rsidRPr="00612824">
        <w:rPr>
          <w:sz w:val="22"/>
          <w:szCs w:val="22"/>
        </w:rPr>
        <w:t xml:space="preserve"> malattia alla Settimana 12 o successivamente sono stati randomizzati a ricevere una dose di reinduzione di 2,4 mg/kg (massimo 160 mg) o una dose di 0,6 mg/kg (massimo 40 mg) e hanno continuato a ricevere successivamente il rispettivo regime di mantenimento. </w:t>
      </w:r>
    </w:p>
    <w:p w:rsidR="00F83E38" w:rsidRPr="00612824" w:rsidP="00F83E38" w14:paraId="2B7448C3" w14:textId="77777777">
      <w:pPr>
        <w:pStyle w:val="gtcbodytext"/>
        <w:spacing w:after="0" w:line="240" w:lineRule="auto"/>
        <w:rPr>
          <w:i/>
          <w:iCs/>
          <w:sz w:val="22"/>
          <w:szCs w:val="22"/>
          <w:lang w:val="it-IT"/>
        </w:rPr>
      </w:pPr>
      <w:r w:rsidRPr="00612824">
        <w:rPr>
          <w:i/>
          <w:sz w:val="22"/>
          <w:szCs w:val="22"/>
          <w:lang w:val="it-IT"/>
        </w:rPr>
        <w:t>Risultati di efficacia</w:t>
      </w:r>
    </w:p>
    <w:p w:rsidR="00F83E38" w:rsidRPr="00612824" w:rsidP="00F83E38" w14:paraId="27183B94" w14:textId="77777777">
      <w:pPr>
        <w:rPr>
          <w:sz w:val="22"/>
          <w:szCs w:val="22"/>
        </w:rPr>
      </w:pPr>
      <w:r w:rsidRPr="00612824">
        <w:rPr>
          <w:sz w:val="22"/>
          <w:szCs w:val="22"/>
        </w:rPr>
        <w:t xml:space="preserve">Gli endpoint co-primari dello studio sono stati la remissione clinica come indicato dal PMS (definita come PMS ≤ 2 e nessun </w:t>
      </w:r>
      <w:r w:rsidR="004D484C">
        <w:rPr>
          <w:sz w:val="22"/>
          <w:szCs w:val="22"/>
        </w:rPr>
        <w:t>sottopunteggio</w:t>
      </w:r>
      <w:r w:rsidRPr="00612824">
        <w:rPr>
          <w:sz w:val="22"/>
          <w:szCs w:val="22"/>
        </w:rPr>
        <w:t xml:space="preserve"> individuale &gt; 1) alla Settimana 8 e remissione clinica come indicato dal FMS (Full Mayo Score) (definito come Mayo Score ≤ 2 e nessun </w:t>
      </w:r>
      <w:r w:rsidR="004D484C">
        <w:rPr>
          <w:sz w:val="22"/>
          <w:szCs w:val="22"/>
        </w:rPr>
        <w:t>sottopunteggio</w:t>
      </w:r>
      <w:r w:rsidRPr="00612824">
        <w:rPr>
          <w:sz w:val="22"/>
          <w:szCs w:val="22"/>
        </w:rPr>
        <w:t xml:space="preserve"> individuale &gt; 1) alla Settimana 52</w:t>
      </w:r>
      <w:r w:rsidR="00B64C72">
        <w:rPr>
          <w:sz w:val="22"/>
          <w:szCs w:val="22"/>
        </w:rPr>
        <w:t>,</w:t>
      </w:r>
      <w:r w:rsidRPr="00612824">
        <w:rPr>
          <w:sz w:val="22"/>
          <w:szCs w:val="22"/>
        </w:rPr>
        <w:t xml:space="preserve"> </w:t>
      </w:r>
      <w:r w:rsidR="00B64C72">
        <w:rPr>
          <w:sz w:val="22"/>
          <w:szCs w:val="22"/>
        </w:rPr>
        <w:t>nei</w:t>
      </w:r>
      <w:r w:rsidRPr="00612824">
        <w:rPr>
          <w:sz w:val="22"/>
          <w:szCs w:val="22"/>
        </w:rPr>
        <w:t xml:space="preserve"> pazienti che </w:t>
      </w:r>
      <w:r w:rsidR="00B64C72">
        <w:rPr>
          <w:sz w:val="22"/>
          <w:szCs w:val="22"/>
        </w:rPr>
        <w:t>avevano</w:t>
      </w:r>
      <w:r w:rsidRPr="00612824">
        <w:rPr>
          <w:sz w:val="22"/>
          <w:szCs w:val="22"/>
        </w:rPr>
        <w:t xml:space="preserve"> ottenuto una risposta clinica come indicato dal PMS alla Settimana 8.</w:t>
      </w:r>
    </w:p>
    <w:p w:rsidR="00F83E38" w:rsidRPr="00612824" w:rsidP="00F83E38" w14:paraId="67B27554" w14:textId="77777777">
      <w:pPr>
        <w:textAlignment w:val="baseline"/>
        <w:rPr>
          <w:sz w:val="22"/>
          <w:szCs w:val="22"/>
          <w:lang w:eastAsia="en-GB"/>
        </w:rPr>
      </w:pPr>
    </w:p>
    <w:p w:rsidR="00F83E38" w:rsidRPr="00612824" w:rsidP="00F83E38" w14:paraId="444C0C2E" w14:textId="77777777">
      <w:pPr>
        <w:textAlignment w:val="baseline"/>
        <w:rPr>
          <w:sz w:val="22"/>
          <w:szCs w:val="22"/>
        </w:rPr>
      </w:pPr>
      <w:r w:rsidRPr="00612824">
        <w:rPr>
          <w:sz w:val="22"/>
          <w:szCs w:val="22"/>
        </w:rPr>
        <w:t xml:space="preserve">I tassi di remissione clinica come indicato dal PMS alla Settimana 8 per i pazienti in ciascuno dei gruppi di induzione in doppio cieco di Humira </w:t>
      </w:r>
      <w:r w:rsidR="00293FFC">
        <w:rPr>
          <w:sz w:val="22"/>
          <w:szCs w:val="22"/>
        </w:rPr>
        <w:t xml:space="preserve">sono mostrati nella </w:t>
      </w:r>
      <w:r w:rsidRPr="00612824">
        <w:rPr>
          <w:sz w:val="22"/>
          <w:szCs w:val="22"/>
        </w:rPr>
        <w:t>Tabella 21. </w:t>
      </w:r>
    </w:p>
    <w:p w:rsidR="00F83E38" w:rsidRPr="00612824" w:rsidP="00F83E38" w14:paraId="347C136F" w14:textId="77777777">
      <w:pPr>
        <w:rPr>
          <w:sz w:val="22"/>
          <w:szCs w:val="22"/>
        </w:rPr>
      </w:pPr>
    </w:p>
    <w:p w:rsidR="00F83E38" w:rsidRPr="00612824" w:rsidP="00986889" w14:paraId="1702512F" w14:textId="77777777">
      <w:pPr>
        <w:pStyle w:val="gtcbodytext"/>
        <w:keepNext/>
        <w:spacing w:after="0" w:line="240" w:lineRule="auto"/>
        <w:jc w:val="center"/>
        <w:rPr>
          <w:sz w:val="22"/>
          <w:szCs w:val="22"/>
          <w:lang w:val="it-IT"/>
        </w:rPr>
      </w:pPr>
      <w:r w:rsidRPr="00612824">
        <w:rPr>
          <w:b/>
          <w:sz w:val="22"/>
          <w:szCs w:val="22"/>
          <w:lang w:val="it-IT"/>
        </w:rPr>
        <w:t xml:space="preserve">Tabella 21: Remissione </w:t>
      </w:r>
      <w:r w:rsidR="005863FE">
        <w:rPr>
          <w:b/>
          <w:sz w:val="22"/>
          <w:szCs w:val="22"/>
          <w:lang w:val="it-IT"/>
        </w:rPr>
        <w:t>C</w:t>
      </w:r>
      <w:r w:rsidRPr="00612824">
        <w:rPr>
          <w:b/>
          <w:sz w:val="22"/>
          <w:szCs w:val="22"/>
          <w:lang w:val="it-IT"/>
        </w:rPr>
        <w:t xml:space="preserve">linica in base al PMS a 8 </w:t>
      </w:r>
      <w:r w:rsidR="005863FE">
        <w:rPr>
          <w:b/>
          <w:sz w:val="22"/>
          <w:szCs w:val="22"/>
          <w:lang w:val="it-IT"/>
        </w:rPr>
        <w:t>S</w:t>
      </w:r>
      <w:r w:rsidRPr="00612824">
        <w:rPr>
          <w:b/>
          <w:sz w:val="22"/>
          <w:szCs w:val="22"/>
          <w:lang w:val="it-IT"/>
        </w:rPr>
        <w:t xml:space="preserve">ettimane </w:t>
      </w:r>
    </w:p>
    <w:tbl>
      <w:tblPr>
        <w:tblW w:w="4246" w:type="pct"/>
        <w:jc w:val="center"/>
        <w:tblLook w:val="04A0"/>
      </w:tblPr>
      <w:tblGrid>
        <w:gridCol w:w="1904"/>
        <w:gridCol w:w="2866"/>
        <w:gridCol w:w="2919"/>
      </w:tblGrid>
      <w:tr w14:paraId="22B9225D" w14:textId="77777777" w:rsidTr="00F83E38">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83E38" w:rsidRPr="00612824" w:rsidP="00986889" w14:paraId="4EF132F8" w14:textId="77777777">
            <w:pPr>
              <w:keepNext/>
              <w:rPr>
                <w:sz w:val="22"/>
                <w:szCs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83E38" w:rsidRPr="00800CE0" w:rsidP="00986889" w14:paraId="163D2518" w14:textId="77777777">
            <w:pPr>
              <w:pStyle w:val="paragraph0"/>
              <w:keepNext/>
              <w:spacing w:before="0" w:beforeAutospacing="0" w:after="0" w:afterAutospacing="0"/>
              <w:jc w:val="center"/>
              <w:textAlignment w:val="baseline"/>
              <w:rPr>
                <w:b/>
                <w:bCs/>
                <w:sz w:val="22"/>
                <w:szCs w:val="22"/>
              </w:rPr>
            </w:pPr>
            <w:r w:rsidRPr="00863077">
              <w:rPr>
                <w:rStyle w:val="spellingerror"/>
                <w:b/>
                <w:sz w:val="22"/>
                <w:szCs w:val="22"/>
              </w:rPr>
              <w:t>Humira</w:t>
            </w:r>
            <w:r w:rsidRPr="00863077">
              <w:rPr>
                <w:rStyle w:val="spellingerror"/>
                <w:b/>
                <w:sz w:val="22"/>
                <w:szCs w:val="22"/>
                <w:vertAlign w:val="superscript"/>
              </w:rPr>
              <w:t>a</w:t>
            </w:r>
            <w:r w:rsidRPr="00872134">
              <w:rPr>
                <w:rStyle w:val="eop"/>
                <w:b/>
                <w:sz w:val="22"/>
                <w:szCs w:val="22"/>
              </w:rPr>
              <w:t> </w:t>
            </w:r>
          </w:p>
          <w:p w:rsidR="00F83E38" w:rsidRPr="00612824" w:rsidP="00986889" w14:paraId="42C4CAC2" w14:textId="77777777">
            <w:pPr>
              <w:keepNext/>
              <w:jc w:val="center"/>
              <w:rPr>
                <w:rStyle w:val="eop"/>
                <w:b/>
                <w:bCs/>
                <w:sz w:val="22"/>
                <w:szCs w:val="22"/>
              </w:rPr>
            </w:pPr>
            <w:r w:rsidRPr="00612824">
              <w:rPr>
                <w:rStyle w:val="normaltextrun"/>
                <w:b/>
                <w:sz w:val="22"/>
                <w:szCs w:val="22"/>
              </w:rPr>
              <w:t>Massimo 160 mg alla Settimana 0/</w:t>
            </w:r>
            <w:r w:rsidR="009913F6">
              <w:rPr>
                <w:rStyle w:val="normaltextrun"/>
                <w:b/>
                <w:sz w:val="22"/>
                <w:szCs w:val="22"/>
              </w:rPr>
              <w:t>P</w:t>
            </w:r>
            <w:r w:rsidRPr="00612824">
              <w:rPr>
                <w:rStyle w:val="normaltextrun"/>
                <w:b/>
                <w:sz w:val="22"/>
                <w:szCs w:val="22"/>
              </w:rPr>
              <w:t>lacebo alla Settimana 1</w:t>
            </w:r>
            <w:r w:rsidRPr="00612824">
              <w:rPr>
                <w:rStyle w:val="eop"/>
                <w:b/>
                <w:sz w:val="22"/>
                <w:szCs w:val="22"/>
              </w:rPr>
              <w:t> </w:t>
            </w:r>
          </w:p>
          <w:p w:rsidR="00F83E38" w:rsidRPr="00612824" w:rsidP="00986889" w14:paraId="12A3416E" w14:textId="77777777">
            <w:pPr>
              <w:keepNext/>
              <w:jc w:val="center"/>
              <w:rPr>
                <w:sz w:val="22"/>
                <w:szCs w:val="22"/>
              </w:rPr>
            </w:pPr>
            <w:r w:rsidRPr="00612824">
              <w:rPr>
                <w:rStyle w:val="eop"/>
                <w:sz w:val="22"/>
                <w:szCs w:val="22"/>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83E38" w:rsidRPr="00800CE0" w:rsidP="00986889" w14:paraId="1C11E158" w14:textId="77777777">
            <w:pPr>
              <w:pStyle w:val="paragraph0"/>
              <w:keepNext/>
              <w:spacing w:before="0" w:beforeAutospacing="0" w:after="0" w:afterAutospacing="0"/>
              <w:jc w:val="center"/>
              <w:textAlignment w:val="baseline"/>
              <w:rPr>
                <w:b/>
                <w:bCs/>
                <w:sz w:val="22"/>
                <w:szCs w:val="22"/>
              </w:rPr>
            </w:pPr>
            <w:r w:rsidRPr="00863077">
              <w:rPr>
                <w:rStyle w:val="spellingerror"/>
                <w:b/>
                <w:sz w:val="22"/>
                <w:szCs w:val="22"/>
              </w:rPr>
              <w:t>Humira</w:t>
            </w:r>
            <w:r w:rsidRPr="00863077">
              <w:rPr>
                <w:rStyle w:val="spellingerror"/>
                <w:b/>
                <w:sz w:val="22"/>
                <w:szCs w:val="22"/>
                <w:vertAlign w:val="superscript"/>
              </w:rPr>
              <w:t>b</w:t>
            </w:r>
            <w:r w:rsidRPr="00872134">
              <w:rPr>
                <w:rStyle w:val="normaltextrun"/>
                <w:b/>
                <w:sz w:val="22"/>
                <w:szCs w:val="22"/>
                <w:vertAlign w:val="superscript"/>
              </w:rPr>
              <w:t>, c</w:t>
            </w:r>
            <w:r w:rsidRPr="00F40167">
              <w:rPr>
                <w:rStyle w:val="eop"/>
                <w:b/>
                <w:sz w:val="22"/>
                <w:szCs w:val="22"/>
              </w:rPr>
              <w:t> </w:t>
            </w:r>
          </w:p>
          <w:p w:rsidR="00F83E38" w:rsidRPr="00612824" w:rsidP="00986889" w14:paraId="74FEB246" w14:textId="77777777">
            <w:pPr>
              <w:keepNext/>
              <w:jc w:val="center"/>
              <w:rPr>
                <w:rStyle w:val="eop"/>
                <w:b/>
                <w:bCs/>
                <w:sz w:val="22"/>
                <w:szCs w:val="22"/>
              </w:rPr>
            </w:pPr>
            <w:r w:rsidRPr="00612824">
              <w:rPr>
                <w:rStyle w:val="normaltextrun"/>
                <w:b/>
                <w:sz w:val="22"/>
                <w:szCs w:val="22"/>
              </w:rPr>
              <w:t>Massimo 160 mg alla Settimana 0 e alla Settimana 1</w:t>
            </w:r>
            <w:r w:rsidRPr="00612824">
              <w:rPr>
                <w:rStyle w:val="eop"/>
                <w:b/>
                <w:sz w:val="22"/>
                <w:szCs w:val="22"/>
              </w:rPr>
              <w:t> </w:t>
            </w:r>
          </w:p>
          <w:p w:rsidR="00F83E38" w:rsidRPr="00612824" w:rsidP="00986889" w14:paraId="6A0A284E" w14:textId="77777777">
            <w:pPr>
              <w:keepNext/>
              <w:jc w:val="center"/>
              <w:rPr>
                <w:sz w:val="22"/>
                <w:szCs w:val="22"/>
              </w:rPr>
            </w:pPr>
            <w:r w:rsidRPr="00612824">
              <w:rPr>
                <w:rStyle w:val="eop"/>
                <w:sz w:val="22"/>
                <w:szCs w:val="22"/>
              </w:rPr>
              <w:t>N=47</w:t>
            </w:r>
          </w:p>
        </w:tc>
      </w:tr>
      <w:tr w14:paraId="1B91F824" w14:textId="77777777" w:rsidTr="00F83E38">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83E38" w:rsidRPr="00612824" w:rsidP="00986889" w14:paraId="3367FE16" w14:textId="77777777">
            <w:pPr>
              <w:keepNext/>
              <w:rPr>
                <w:sz w:val="22"/>
                <w:szCs w:val="22"/>
              </w:rPr>
            </w:pPr>
            <w:r w:rsidRPr="00612824">
              <w:rPr>
                <w:sz w:val="22"/>
                <w:szCs w:val="22"/>
              </w:rPr>
              <w:t>Remissione clinica</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83E38" w:rsidRPr="00612824" w:rsidP="00986889" w14:paraId="378B6397" w14:textId="77777777">
            <w:pPr>
              <w:keepNext/>
              <w:jc w:val="center"/>
              <w:rPr>
                <w:sz w:val="22"/>
                <w:szCs w:val="22"/>
              </w:rPr>
            </w:pPr>
            <w:r w:rsidRPr="00612824">
              <w:rPr>
                <w:sz w:val="22"/>
                <w:szCs w:val="22"/>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83E38" w:rsidRPr="00612824" w:rsidP="00986889" w14:paraId="79786A46" w14:textId="77777777">
            <w:pPr>
              <w:keepNext/>
              <w:jc w:val="center"/>
              <w:rPr>
                <w:sz w:val="22"/>
                <w:szCs w:val="22"/>
                <w:vertAlign w:val="superscript"/>
              </w:rPr>
            </w:pPr>
            <w:r w:rsidRPr="00612824">
              <w:rPr>
                <w:sz w:val="22"/>
                <w:szCs w:val="22"/>
              </w:rPr>
              <w:t>28/47 (59,6%)</w:t>
            </w:r>
          </w:p>
        </w:tc>
      </w:tr>
      <w:tr w14:paraId="183DD288" w14:textId="77777777" w:rsidTr="00F83E38">
        <w:tblPrEx>
          <w:tblW w:w="4246" w:type="pct"/>
          <w:tblLook w:val="04A0"/>
        </w:tblPrEx>
        <w:trPr>
          <w:trHeight w:val="2517"/>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83E38" w:rsidRPr="00800CE0" w:rsidP="00F83E38" w14:paraId="49E94888" w14:textId="77777777">
            <w:pPr>
              <w:pStyle w:val="paragraph0"/>
              <w:spacing w:before="0" w:beforeAutospacing="0" w:after="0" w:afterAutospacing="0"/>
              <w:textAlignment w:val="baseline"/>
              <w:rPr>
                <w:sz w:val="22"/>
                <w:szCs w:val="22"/>
              </w:rPr>
            </w:pPr>
            <w:r w:rsidRPr="00863077">
              <w:rPr>
                <w:rStyle w:val="normaltextrun"/>
                <w:sz w:val="22"/>
                <w:szCs w:val="22"/>
                <w:vertAlign w:val="superscript"/>
              </w:rPr>
              <w:t>a</w:t>
            </w:r>
            <w:r w:rsidRPr="00872134">
              <w:rPr>
                <w:rStyle w:val="normaltextrun"/>
                <w:sz w:val="22"/>
                <w:szCs w:val="22"/>
              </w:rPr>
              <w:t>Humira</w:t>
            </w:r>
            <w:r w:rsidRPr="00F40167">
              <w:rPr>
                <w:rStyle w:val="normaltextrun"/>
                <w:sz w:val="22"/>
                <w:szCs w:val="22"/>
              </w:rPr>
              <w:t xml:space="preserve"> 2,4 mg/kg (massimo 160 mg) alla Settimana 0, placebo alla Settimana 1 e 1,2 mg/kg (massimo 80 mg) alla Settimana 2</w:t>
            </w:r>
            <w:r w:rsidRPr="00F40167">
              <w:rPr>
                <w:rStyle w:val="eop"/>
                <w:sz w:val="22"/>
                <w:szCs w:val="22"/>
              </w:rPr>
              <w:t> </w:t>
            </w:r>
          </w:p>
          <w:p w:rsidR="00F83E38" w:rsidRPr="00800CE0" w:rsidP="00F83E38" w14:paraId="15905FE0" w14:textId="77777777">
            <w:pPr>
              <w:pStyle w:val="paragraph0"/>
              <w:spacing w:before="0" w:beforeAutospacing="0" w:after="0" w:afterAutospacing="0"/>
              <w:textAlignment w:val="baseline"/>
              <w:rPr>
                <w:sz w:val="22"/>
                <w:szCs w:val="22"/>
              </w:rPr>
            </w:pPr>
            <w:r w:rsidRPr="00863077">
              <w:rPr>
                <w:rStyle w:val="normaltextrun"/>
                <w:sz w:val="22"/>
                <w:szCs w:val="22"/>
                <w:vertAlign w:val="superscript"/>
              </w:rPr>
              <w:t>b</w:t>
            </w:r>
            <w:r w:rsidRPr="00872134">
              <w:rPr>
                <w:rStyle w:val="normaltextrun"/>
                <w:sz w:val="22"/>
                <w:szCs w:val="22"/>
              </w:rPr>
              <w:t>Humira 2,4 mg/kg (massimo 160 mg) alla Settimana 0 e alla Settimana 1 e 1,2 mg/kg (massimo 80 mg) alla Settimana 2</w:t>
            </w:r>
            <w:r w:rsidRPr="00F40167">
              <w:rPr>
                <w:rStyle w:val="eop"/>
                <w:sz w:val="22"/>
                <w:szCs w:val="22"/>
              </w:rPr>
              <w:t> </w:t>
            </w:r>
          </w:p>
          <w:p w:rsidR="00F83E38" w:rsidRPr="00800CE0" w:rsidP="00F83E38" w14:paraId="5EBADF60" w14:textId="77777777">
            <w:pPr>
              <w:pStyle w:val="paragraph0"/>
              <w:spacing w:before="0" w:beforeAutospacing="0" w:after="0" w:afterAutospacing="0"/>
              <w:textAlignment w:val="baseline"/>
              <w:rPr>
                <w:sz w:val="22"/>
                <w:szCs w:val="22"/>
              </w:rPr>
            </w:pPr>
            <w:r w:rsidRPr="00863077">
              <w:rPr>
                <w:rStyle w:val="normaltextrun"/>
                <w:sz w:val="22"/>
                <w:szCs w:val="22"/>
                <w:vertAlign w:val="superscript"/>
              </w:rPr>
              <w:t>c</w:t>
            </w:r>
            <w:r w:rsidRPr="00872134">
              <w:rPr>
                <w:rStyle w:val="normaltextrun"/>
                <w:sz w:val="22"/>
                <w:szCs w:val="22"/>
              </w:rPr>
              <w:t>Senza includere la do</w:t>
            </w:r>
            <w:r w:rsidRPr="00F40167">
              <w:rPr>
                <w:rStyle w:val="normaltextrun"/>
                <w:sz w:val="22"/>
                <w:szCs w:val="22"/>
              </w:rPr>
              <w:t xml:space="preserve">se di </w:t>
            </w:r>
            <w:r w:rsidR="00081375">
              <w:rPr>
                <w:rStyle w:val="normaltextrun"/>
                <w:sz w:val="22"/>
                <w:szCs w:val="22"/>
              </w:rPr>
              <w:t>I</w:t>
            </w:r>
            <w:r w:rsidRPr="00F40167">
              <w:rPr>
                <w:rStyle w:val="normaltextrun"/>
                <w:sz w:val="22"/>
                <w:szCs w:val="22"/>
              </w:rPr>
              <w:t>nduzione in aperto di Humira 2,4 mg/kg (massimo 160 mg) alla Settimana 0 e alla Settimana 1 e 1,2 mg/kg (massimo 80 mg) alla Settimana 2</w:t>
            </w:r>
          </w:p>
          <w:p w:rsidR="00F83E38" w:rsidRPr="00800CE0" w:rsidP="00F83E38" w14:paraId="42185F42" w14:textId="77777777">
            <w:pPr>
              <w:pStyle w:val="paragraph0"/>
              <w:spacing w:before="0" w:beforeAutospacing="0" w:after="0" w:afterAutospacing="0"/>
              <w:textAlignment w:val="baseline"/>
              <w:rPr>
                <w:sz w:val="22"/>
                <w:szCs w:val="22"/>
              </w:rPr>
            </w:pPr>
            <w:r w:rsidRPr="00863077">
              <w:rPr>
                <w:rStyle w:val="normaltextrun"/>
                <w:sz w:val="22"/>
                <w:szCs w:val="22"/>
              </w:rPr>
              <w:t>Nota 1: entrambi i gruppi di induzione hanno ricevuto 0,6 mg/kg (massimo 40 mg) alla Settimana 4 e alla Settiman</w:t>
            </w:r>
            <w:r w:rsidRPr="00872134">
              <w:rPr>
                <w:rStyle w:val="normaltextrun"/>
                <w:sz w:val="22"/>
                <w:szCs w:val="22"/>
              </w:rPr>
              <w:t>a 6</w:t>
            </w:r>
            <w:r w:rsidRPr="00F40167">
              <w:rPr>
                <w:rStyle w:val="eop"/>
                <w:sz w:val="22"/>
                <w:szCs w:val="22"/>
              </w:rPr>
              <w:t> </w:t>
            </w:r>
          </w:p>
          <w:p w:rsidR="00F83E38" w:rsidRPr="00800CE0" w:rsidP="00F83E38" w14:paraId="3C0B4AB5" w14:textId="77777777">
            <w:pPr>
              <w:pStyle w:val="paragraph0"/>
              <w:spacing w:before="0" w:beforeAutospacing="0" w:after="0" w:afterAutospacing="0"/>
              <w:textAlignment w:val="baseline"/>
              <w:rPr>
                <w:sz w:val="22"/>
                <w:szCs w:val="22"/>
              </w:rPr>
            </w:pPr>
            <w:r w:rsidRPr="00863077">
              <w:rPr>
                <w:rStyle w:val="normaltextrun"/>
                <w:sz w:val="22"/>
                <w:szCs w:val="22"/>
              </w:rPr>
              <w:t xml:space="preserve">Nota 2: i pazienti con valori mancanti alla Settimana 8 sono stati considerati come non aver </w:t>
            </w:r>
            <w:r w:rsidR="005863FE">
              <w:rPr>
                <w:rStyle w:val="normaltextrun"/>
                <w:sz w:val="22"/>
                <w:szCs w:val="22"/>
              </w:rPr>
              <w:t>r</w:t>
            </w:r>
            <w:r w:rsidR="005863FE">
              <w:rPr>
                <w:rStyle w:val="normaltextrun"/>
              </w:rPr>
              <w:t>aggiunto</w:t>
            </w:r>
            <w:r w:rsidRPr="00863077">
              <w:rPr>
                <w:rStyle w:val="normaltextrun"/>
                <w:sz w:val="22"/>
                <w:szCs w:val="22"/>
              </w:rPr>
              <w:t xml:space="preserve"> l'endpoint</w:t>
            </w:r>
            <w:r w:rsidRPr="00872134">
              <w:rPr>
                <w:rStyle w:val="eop"/>
                <w:sz w:val="22"/>
                <w:szCs w:val="22"/>
              </w:rPr>
              <w:t> </w:t>
            </w:r>
          </w:p>
        </w:tc>
      </w:tr>
    </w:tbl>
    <w:p w:rsidR="00F83E38" w:rsidRPr="00612824" w:rsidP="00F83E38" w14:paraId="16C2578B" w14:textId="77777777">
      <w:pPr>
        <w:rPr>
          <w:sz w:val="22"/>
          <w:szCs w:val="22"/>
        </w:rPr>
      </w:pPr>
    </w:p>
    <w:p w:rsidR="00F83E38" w:rsidRPr="00612824" w:rsidP="00F83E38" w14:paraId="38A52273" w14:textId="77777777">
      <w:pPr>
        <w:rPr>
          <w:rStyle w:val="normaltextrun"/>
          <w:sz w:val="22"/>
          <w:szCs w:val="22"/>
          <w:shd w:val="clear" w:color="auto" w:fill="FFFFFF"/>
        </w:rPr>
      </w:pPr>
      <w:r w:rsidRPr="005E345C">
        <w:rPr>
          <w:rStyle w:val="normaltextrun"/>
          <w:sz w:val="22"/>
          <w:szCs w:val="22"/>
          <w:shd w:val="clear" w:color="auto" w:fill="FFFFFF"/>
        </w:rPr>
        <w:t xml:space="preserve">Alla Settimana 52, nei pazienti che </w:t>
      </w:r>
      <w:r>
        <w:rPr>
          <w:rStyle w:val="normaltextrun"/>
          <w:sz w:val="22"/>
          <w:szCs w:val="22"/>
          <w:shd w:val="clear" w:color="auto" w:fill="FFFFFF"/>
        </w:rPr>
        <w:t>avevano</w:t>
      </w:r>
      <w:r w:rsidRPr="005E345C">
        <w:rPr>
          <w:rStyle w:val="normaltextrun"/>
          <w:sz w:val="22"/>
          <w:szCs w:val="22"/>
          <w:shd w:val="clear" w:color="auto" w:fill="FFFFFF"/>
        </w:rPr>
        <w:t xml:space="preserve"> ricevuto Humira alle dosi di mantenimento massima in doppio cieco di 40 mg </w:t>
      </w:r>
      <w:r>
        <w:rPr>
          <w:rStyle w:val="spellingerror"/>
          <w:sz w:val="22"/>
          <w:szCs w:val="22"/>
          <w:shd w:val="clear" w:color="auto" w:fill="FFFFFF"/>
        </w:rPr>
        <w:t>a settimane alterne</w:t>
      </w:r>
      <w:r w:rsidRPr="005E345C">
        <w:rPr>
          <w:rStyle w:val="normaltextrun"/>
          <w:sz w:val="22"/>
          <w:szCs w:val="22"/>
          <w:shd w:val="clear" w:color="auto" w:fill="FFFFFF"/>
        </w:rPr>
        <w:t xml:space="preserve"> (0,6 mg/kg) e massima di 40 mg </w:t>
      </w:r>
      <w:r>
        <w:rPr>
          <w:rStyle w:val="spellingerror"/>
          <w:sz w:val="22"/>
          <w:szCs w:val="22"/>
          <w:shd w:val="clear" w:color="auto" w:fill="FFFFFF"/>
        </w:rPr>
        <w:t>a settimana</w:t>
      </w:r>
      <w:r w:rsidRPr="005E345C">
        <w:rPr>
          <w:rStyle w:val="normaltextrun"/>
          <w:sz w:val="22"/>
          <w:szCs w:val="22"/>
          <w:shd w:val="clear" w:color="auto" w:fill="FFFFFF"/>
        </w:rPr>
        <w:t xml:space="preserve"> (0,6 mg/kg)</w:t>
      </w:r>
      <w:r>
        <w:rPr>
          <w:rStyle w:val="normaltextrun"/>
          <w:sz w:val="22"/>
          <w:szCs w:val="22"/>
          <w:shd w:val="clear" w:color="auto" w:fill="FFFFFF"/>
        </w:rPr>
        <w:t xml:space="preserve">, sono state valutate </w:t>
      </w:r>
      <w:r w:rsidRPr="005E345C">
        <w:rPr>
          <w:rStyle w:val="normaltextrun"/>
          <w:sz w:val="22"/>
          <w:szCs w:val="22"/>
          <w:shd w:val="clear" w:color="auto" w:fill="FFFFFF"/>
        </w:rPr>
        <w:t>la remissione clinica come indicato dal FMS nei responder alla Settimana 8, la risposta clinica come indicato dal FMS (definita come una diminuzione del Mayo Score ≥ 3 punti e ≥ 30% dal basale) nei responder alla Settimana 8, la guarigione dell</w:t>
      </w:r>
      <w:r>
        <w:rPr>
          <w:rStyle w:val="normaltextrun"/>
          <w:sz w:val="22"/>
          <w:szCs w:val="22"/>
          <w:shd w:val="clear" w:color="auto" w:fill="FFFFFF"/>
        </w:rPr>
        <w:t>a</w:t>
      </w:r>
      <w:r w:rsidRPr="005E345C">
        <w:rPr>
          <w:rStyle w:val="normaltextrun"/>
          <w:sz w:val="22"/>
          <w:szCs w:val="22"/>
          <w:shd w:val="clear" w:color="auto" w:fill="FFFFFF"/>
        </w:rPr>
        <w:t xml:space="preserve"> mucos</w:t>
      </w:r>
      <w:r>
        <w:rPr>
          <w:rStyle w:val="normaltextrun"/>
          <w:sz w:val="22"/>
          <w:szCs w:val="22"/>
          <w:shd w:val="clear" w:color="auto" w:fill="FFFFFF"/>
        </w:rPr>
        <w:t>a</w:t>
      </w:r>
      <w:r w:rsidRPr="005E345C">
        <w:rPr>
          <w:rStyle w:val="normaltextrun"/>
          <w:sz w:val="22"/>
          <w:szCs w:val="22"/>
          <w:shd w:val="clear" w:color="auto" w:fill="FFFFFF"/>
        </w:rPr>
        <w:t xml:space="preserve"> (definita come Mayo </w:t>
      </w:r>
      <w:r w:rsidR="003649B7">
        <w:rPr>
          <w:rStyle w:val="normaltextrun"/>
          <w:sz w:val="22"/>
          <w:szCs w:val="22"/>
          <w:shd w:val="clear" w:color="auto" w:fill="FFFFFF"/>
        </w:rPr>
        <w:t>subs</w:t>
      </w:r>
      <w:r w:rsidRPr="005E345C">
        <w:rPr>
          <w:rStyle w:val="normaltextrun"/>
          <w:sz w:val="22"/>
          <w:szCs w:val="22"/>
          <w:shd w:val="clear" w:color="auto" w:fill="FFFFFF"/>
        </w:rPr>
        <w:t>core per endoscopia ≤ 1) nei responder alla Settimana 8, la remissione clinica come indicato dal FMS nei soggetti in remissione alla Settimana 8 e la proporzione di soggetti in remissione senza corticosteroidi come indicato dal FMS nei responder alla Settimana 8</w:t>
      </w:r>
      <w:r>
        <w:rPr>
          <w:rStyle w:val="normaltextrun"/>
          <w:shd w:val="clear" w:color="auto" w:fill="FFFFFF"/>
        </w:rPr>
        <w:t xml:space="preserve"> </w:t>
      </w:r>
      <w:r w:rsidRPr="00612824">
        <w:rPr>
          <w:rStyle w:val="normaltextrun"/>
          <w:sz w:val="22"/>
          <w:szCs w:val="22"/>
          <w:shd w:val="clear" w:color="auto" w:fill="FFFFFF"/>
        </w:rPr>
        <w:t>(Tabella 22).</w:t>
      </w:r>
    </w:p>
    <w:p w:rsidR="00F83E38" w:rsidRPr="00612824" w:rsidP="00F83E38" w14:paraId="32275D09" w14:textId="77777777">
      <w:pPr>
        <w:rPr>
          <w:sz w:val="22"/>
          <w:szCs w:val="22"/>
        </w:rPr>
      </w:pPr>
    </w:p>
    <w:p w:rsidR="00F83E38" w:rsidRPr="00612824" w:rsidP="00910CE7" w14:paraId="2B28F225" w14:textId="77777777">
      <w:pPr>
        <w:keepNext/>
        <w:jc w:val="center"/>
        <w:textAlignment w:val="baseline"/>
        <w:rPr>
          <w:sz w:val="22"/>
          <w:szCs w:val="22"/>
        </w:rPr>
      </w:pPr>
      <w:r w:rsidRPr="00612824">
        <w:rPr>
          <w:b/>
          <w:sz w:val="22"/>
          <w:szCs w:val="22"/>
        </w:rPr>
        <w:t xml:space="preserve">Tabella 22: Risultati di </w:t>
      </w:r>
      <w:r w:rsidR="003C2B9C">
        <w:rPr>
          <w:b/>
          <w:sz w:val="22"/>
          <w:szCs w:val="22"/>
        </w:rPr>
        <w:t>E</w:t>
      </w:r>
      <w:r w:rsidRPr="00612824">
        <w:rPr>
          <w:b/>
          <w:sz w:val="22"/>
          <w:szCs w:val="22"/>
        </w:rPr>
        <w:t xml:space="preserve">fficacia a 52 </w:t>
      </w:r>
      <w:r w:rsidR="003C2B9C">
        <w:rPr>
          <w:b/>
          <w:sz w:val="22"/>
          <w:szCs w:val="22"/>
        </w:rPr>
        <w:t>S</w:t>
      </w:r>
      <w:r w:rsidRPr="00612824">
        <w:rPr>
          <w:b/>
          <w:sz w:val="22"/>
          <w:szCs w:val="22"/>
        </w:rPr>
        <w:t>ettimane</w:t>
      </w:r>
      <w:r w:rsidRPr="00612824">
        <w:rPr>
          <w:sz w:val="22"/>
          <w:szCs w:val="22"/>
        </w:rPr>
        <w:t> </w:t>
      </w: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409"/>
        <w:gridCol w:w="2633"/>
      </w:tblGrid>
      <w:tr w14:paraId="09018EED" w14:textId="77777777" w:rsidTr="00F83E38">
        <w:tblPrEx>
          <w:tblW w:w="7568" w:type="dxa"/>
          <w:tblLook w:val="04A0"/>
        </w:tblPrEx>
        <w:trPr>
          <w:trHeight w:val="912"/>
        </w:trPr>
        <w:tc>
          <w:tcPr>
            <w:tcW w:w="2526" w:type="dxa"/>
            <w:tcBorders>
              <w:top w:val="single" w:sz="6" w:space="0" w:color="auto"/>
              <w:left w:val="single" w:sz="6" w:space="0" w:color="auto"/>
              <w:bottom w:val="single" w:sz="6" w:space="0" w:color="auto"/>
              <w:right w:val="single" w:sz="6" w:space="0" w:color="auto"/>
            </w:tcBorders>
            <w:hideMark/>
          </w:tcPr>
          <w:p w:rsidR="00F83E38" w:rsidRPr="00612824" w:rsidP="00910CE7" w14:paraId="5CDE410B" w14:textId="77777777">
            <w:pPr>
              <w:keepNext/>
              <w:textAlignment w:val="baseline"/>
              <w:rPr>
                <w:sz w:val="22"/>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rsidR="00F83E38" w:rsidRPr="00612824" w:rsidP="00910CE7" w14:paraId="55722766" w14:textId="77777777">
            <w:pPr>
              <w:keepNext/>
              <w:jc w:val="center"/>
              <w:textAlignment w:val="baseline"/>
              <w:rPr>
                <w:sz w:val="22"/>
                <w:szCs w:val="22"/>
              </w:rPr>
            </w:pPr>
            <w:r w:rsidRPr="00612824">
              <w:rPr>
                <w:b/>
                <w:sz w:val="22"/>
                <w:szCs w:val="22"/>
              </w:rPr>
              <w:t>Humira</w:t>
            </w:r>
            <w:r w:rsidRPr="00612824">
              <w:rPr>
                <w:b/>
                <w:sz w:val="22"/>
                <w:szCs w:val="22"/>
                <w:vertAlign w:val="superscript"/>
              </w:rPr>
              <w:t>a</w:t>
            </w:r>
            <w:r w:rsidRPr="00612824">
              <w:rPr>
                <w:b/>
                <w:sz w:val="22"/>
                <w:szCs w:val="22"/>
              </w:rPr>
              <w:t> </w:t>
            </w:r>
            <w:r w:rsidRPr="00612824">
              <w:rPr>
                <w:sz w:val="22"/>
                <w:szCs w:val="22"/>
              </w:rPr>
              <w:t> </w:t>
            </w:r>
          </w:p>
          <w:p w:rsidR="00F83E38" w:rsidRPr="00612824" w:rsidP="00910CE7" w14:paraId="175E5D2F" w14:textId="77777777">
            <w:pPr>
              <w:keepNext/>
              <w:jc w:val="center"/>
              <w:textAlignment w:val="baseline"/>
              <w:rPr>
                <w:sz w:val="22"/>
                <w:szCs w:val="22"/>
              </w:rPr>
            </w:pPr>
            <w:r w:rsidRPr="00612824">
              <w:rPr>
                <w:b/>
                <w:sz w:val="22"/>
                <w:szCs w:val="22"/>
              </w:rPr>
              <w:t xml:space="preserve">Massimo 40 mg </w:t>
            </w:r>
            <w:r w:rsidR="003C2B9C">
              <w:rPr>
                <w:b/>
                <w:sz w:val="22"/>
                <w:szCs w:val="22"/>
              </w:rPr>
              <w:t>a settimane alterne</w:t>
            </w:r>
            <w:r w:rsidRPr="00612824">
              <w:rPr>
                <w:sz w:val="22"/>
                <w:szCs w:val="22"/>
              </w:rPr>
              <w:t> </w:t>
            </w:r>
          </w:p>
          <w:p w:rsidR="00F83E38" w:rsidRPr="00612824" w:rsidP="00910CE7" w14:paraId="1A29817C" w14:textId="77777777">
            <w:pPr>
              <w:keepNext/>
              <w:jc w:val="center"/>
              <w:textAlignment w:val="baseline"/>
              <w:rPr>
                <w:sz w:val="22"/>
                <w:szCs w:val="22"/>
              </w:rPr>
            </w:pPr>
            <w:r w:rsidRPr="00612824">
              <w:rPr>
                <w:sz w:val="22"/>
                <w:szCs w:val="22"/>
              </w:rPr>
              <w:t>N=31</w:t>
            </w:r>
          </w:p>
        </w:tc>
        <w:tc>
          <w:tcPr>
            <w:tcW w:w="2633" w:type="dxa"/>
            <w:tcBorders>
              <w:top w:val="single" w:sz="6" w:space="0" w:color="auto"/>
              <w:left w:val="nil"/>
              <w:bottom w:val="single" w:sz="6" w:space="0" w:color="auto"/>
              <w:right w:val="single" w:sz="6" w:space="0" w:color="auto"/>
            </w:tcBorders>
            <w:vAlign w:val="center"/>
            <w:hideMark/>
          </w:tcPr>
          <w:p w:rsidR="00F83E38" w:rsidRPr="00612824" w:rsidP="00910CE7" w14:paraId="4559285F" w14:textId="77777777">
            <w:pPr>
              <w:keepNext/>
              <w:jc w:val="center"/>
              <w:textAlignment w:val="baseline"/>
              <w:rPr>
                <w:sz w:val="22"/>
                <w:szCs w:val="22"/>
              </w:rPr>
            </w:pPr>
            <w:r w:rsidRPr="00612824">
              <w:rPr>
                <w:b/>
                <w:sz w:val="22"/>
                <w:szCs w:val="22"/>
              </w:rPr>
              <w:t>Humira</w:t>
            </w:r>
            <w:r w:rsidRPr="00612824">
              <w:rPr>
                <w:b/>
                <w:sz w:val="22"/>
                <w:szCs w:val="22"/>
                <w:vertAlign w:val="superscript"/>
              </w:rPr>
              <w:t>b</w:t>
            </w:r>
            <w:r w:rsidRPr="00612824">
              <w:rPr>
                <w:b/>
                <w:sz w:val="22"/>
                <w:szCs w:val="22"/>
              </w:rPr>
              <w:t> </w:t>
            </w:r>
            <w:r w:rsidRPr="00612824">
              <w:rPr>
                <w:sz w:val="22"/>
                <w:szCs w:val="22"/>
              </w:rPr>
              <w:t> </w:t>
            </w:r>
          </w:p>
          <w:p w:rsidR="00F83E38" w:rsidRPr="00612824" w:rsidP="00910CE7" w14:paraId="086E9271" w14:textId="77777777">
            <w:pPr>
              <w:keepNext/>
              <w:jc w:val="center"/>
              <w:textAlignment w:val="baseline"/>
              <w:rPr>
                <w:sz w:val="22"/>
                <w:szCs w:val="22"/>
              </w:rPr>
            </w:pPr>
            <w:r w:rsidRPr="00612824">
              <w:rPr>
                <w:b/>
                <w:sz w:val="22"/>
                <w:szCs w:val="22"/>
              </w:rPr>
              <w:t>Massimo 40 mg </w:t>
            </w:r>
            <w:r w:rsidR="003C2B9C">
              <w:rPr>
                <w:b/>
                <w:sz w:val="22"/>
                <w:szCs w:val="22"/>
              </w:rPr>
              <w:t>a settimana</w:t>
            </w:r>
            <w:r w:rsidRPr="00612824">
              <w:rPr>
                <w:sz w:val="22"/>
                <w:szCs w:val="22"/>
              </w:rPr>
              <w:t> </w:t>
            </w:r>
          </w:p>
          <w:p w:rsidR="00F83E38" w:rsidRPr="00612824" w:rsidP="00910CE7" w14:paraId="14F4A8EF" w14:textId="77777777">
            <w:pPr>
              <w:keepNext/>
              <w:jc w:val="center"/>
              <w:textAlignment w:val="baseline"/>
              <w:rPr>
                <w:sz w:val="22"/>
                <w:szCs w:val="22"/>
              </w:rPr>
            </w:pPr>
            <w:r w:rsidRPr="00612824">
              <w:rPr>
                <w:sz w:val="22"/>
                <w:szCs w:val="22"/>
              </w:rPr>
              <w:t>N=31</w:t>
            </w:r>
          </w:p>
        </w:tc>
      </w:tr>
      <w:tr w14:paraId="6A284679" w14:textId="77777777" w:rsidTr="00F83E38">
        <w:tblPrEx>
          <w:tblW w:w="7568" w:type="dxa"/>
          <w:tblLook w:val="04A0"/>
        </w:tblPrEx>
        <w:trPr>
          <w:trHeight w:val="570"/>
        </w:trPr>
        <w:tc>
          <w:tcPr>
            <w:tcW w:w="2526" w:type="dxa"/>
            <w:tcBorders>
              <w:top w:val="nil"/>
              <w:left w:val="single" w:sz="6" w:space="0" w:color="auto"/>
              <w:bottom w:val="single" w:sz="6" w:space="0" w:color="auto"/>
              <w:right w:val="single" w:sz="6" w:space="0" w:color="auto"/>
            </w:tcBorders>
            <w:vAlign w:val="center"/>
            <w:hideMark/>
          </w:tcPr>
          <w:p w:rsidR="00F83E38" w:rsidRPr="00612824" w:rsidP="00910CE7" w14:paraId="1BD4D31F" w14:textId="77777777">
            <w:pPr>
              <w:keepNext/>
              <w:textAlignment w:val="baseline"/>
              <w:rPr>
                <w:sz w:val="22"/>
                <w:szCs w:val="22"/>
              </w:rPr>
            </w:pPr>
            <w:r w:rsidRPr="00612824">
              <w:rPr>
                <w:sz w:val="22"/>
                <w:szCs w:val="22"/>
              </w:rPr>
              <w:t>Remissione clinica nei responder PMS alla Settimana 8 </w:t>
            </w:r>
          </w:p>
        </w:tc>
        <w:tc>
          <w:tcPr>
            <w:tcW w:w="2409" w:type="dxa"/>
            <w:tcBorders>
              <w:top w:val="nil"/>
              <w:left w:val="nil"/>
              <w:bottom w:val="single" w:sz="6" w:space="0" w:color="auto"/>
              <w:right w:val="single" w:sz="6" w:space="0" w:color="auto"/>
            </w:tcBorders>
            <w:vAlign w:val="center"/>
            <w:hideMark/>
          </w:tcPr>
          <w:p w:rsidR="00F83E38" w:rsidRPr="00612824" w:rsidP="00910CE7" w14:paraId="4EB40881" w14:textId="77777777">
            <w:pPr>
              <w:keepNext/>
              <w:jc w:val="center"/>
              <w:textAlignment w:val="baseline"/>
              <w:rPr>
                <w:sz w:val="22"/>
                <w:szCs w:val="22"/>
              </w:rPr>
            </w:pPr>
            <w:r w:rsidRPr="00612824">
              <w:rPr>
                <w:sz w:val="22"/>
                <w:szCs w:val="22"/>
              </w:rPr>
              <w:t>9/31 (29,0%) </w:t>
            </w:r>
          </w:p>
        </w:tc>
        <w:tc>
          <w:tcPr>
            <w:tcW w:w="2633" w:type="dxa"/>
            <w:tcBorders>
              <w:top w:val="nil"/>
              <w:left w:val="nil"/>
              <w:bottom w:val="single" w:sz="6" w:space="0" w:color="auto"/>
              <w:right w:val="single" w:sz="6" w:space="0" w:color="auto"/>
            </w:tcBorders>
            <w:vAlign w:val="center"/>
            <w:hideMark/>
          </w:tcPr>
          <w:p w:rsidR="00F83E38" w:rsidRPr="00612824" w:rsidP="00910CE7" w14:paraId="6BB71833" w14:textId="77777777">
            <w:pPr>
              <w:keepNext/>
              <w:jc w:val="center"/>
              <w:textAlignment w:val="baseline"/>
              <w:rPr>
                <w:sz w:val="22"/>
                <w:szCs w:val="22"/>
              </w:rPr>
            </w:pPr>
            <w:r w:rsidRPr="00612824">
              <w:rPr>
                <w:sz w:val="22"/>
                <w:szCs w:val="22"/>
              </w:rPr>
              <w:t>14/31 (45,2%)</w:t>
            </w:r>
          </w:p>
        </w:tc>
      </w:tr>
      <w:tr w14:paraId="5B76042E" w14:textId="77777777" w:rsidTr="00F83E38">
        <w:tblPrEx>
          <w:tblW w:w="7568" w:type="dxa"/>
          <w:tblLook w:val="04A0"/>
        </w:tblPrEx>
        <w:trPr>
          <w:trHeight w:val="555"/>
        </w:trPr>
        <w:tc>
          <w:tcPr>
            <w:tcW w:w="2526" w:type="dxa"/>
            <w:tcBorders>
              <w:top w:val="nil"/>
              <w:left w:val="single" w:sz="6" w:space="0" w:color="auto"/>
              <w:bottom w:val="single" w:sz="6" w:space="0" w:color="auto"/>
              <w:right w:val="single" w:sz="6" w:space="0" w:color="auto"/>
            </w:tcBorders>
            <w:vAlign w:val="center"/>
            <w:hideMark/>
          </w:tcPr>
          <w:p w:rsidR="00F83E38" w:rsidRPr="00612824" w:rsidP="00910CE7" w14:paraId="26248A2B" w14:textId="77777777">
            <w:pPr>
              <w:keepNext/>
              <w:textAlignment w:val="baseline"/>
              <w:rPr>
                <w:sz w:val="22"/>
                <w:szCs w:val="22"/>
              </w:rPr>
            </w:pPr>
            <w:r w:rsidRPr="00612824">
              <w:rPr>
                <w:sz w:val="22"/>
                <w:szCs w:val="22"/>
              </w:rPr>
              <w:t>Risposta clinica nei responder PMS alla Settimana 8 </w:t>
            </w:r>
          </w:p>
        </w:tc>
        <w:tc>
          <w:tcPr>
            <w:tcW w:w="2409" w:type="dxa"/>
            <w:tcBorders>
              <w:top w:val="nil"/>
              <w:left w:val="nil"/>
              <w:bottom w:val="single" w:sz="6" w:space="0" w:color="auto"/>
              <w:right w:val="single" w:sz="6" w:space="0" w:color="auto"/>
            </w:tcBorders>
            <w:vAlign w:val="center"/>
            <w:hideMark/>
          </w:tcPr>
          <w:p w:rsidR="00F83E38" w:rsidRPr="00612824" w:rsidP="00910CE7" w14:paraId="62D550E9" w14:textId="77777777">
            <w:pPr>
              <w:keepNext/>
              <w:jc w:val="center"/>
              <w:textAlignment w:val="baseline"/>
              <w:rPr>
                <w:sz w:val="22"/>
                <w:szCs w:val="22"/>
              </w:rPr>
            </w:pPr>
            <w:r w:rsidRPr="00612824">
              <w:rPr>
                <w:sz w:val="22"/>
                <w:szCs w:val="22"/>
              </w:rPr>
              <w:t>19/31 (61,3%) </w:t>
            </w:r>
          </w:p>
        </w:tc>
        <w:tc>
          <w:tcPr>
            <w:tcW w:w="2633" w:type="dxa"/>
            <w:tcBorders>
              <w:top w:val="nil"/>
              <w:left w:val="nil"/>
              <w:bottom w:val="single" w:sz="6" w:space="0" w:color="auto"/>
              <w:right w:val="single" w:sz="6" w:space="0" w:color="auto"/>
            </w:tcBorders>
            <w:vAlign w:val="center"/>
            <w:hideMark/>
          </w:tcPr>
          <w:p w:rsidR="00F83E38" w:rsidRPr="00612824" w:rsidP="00910CE7" w14:paraId="2C8DEAD0" w14:textId="77777777">
            <w:pPr>
              <w:keepNext/>
              <w:jc w:val="center"/>
              <w:textAlignment w:val="baseline"/>
              <w:rPr>
                <w:sz w:val="22"/>
                <w:szCs w:val="22"/>
              </w:rPr>
            </w:pPr>
            <w:r w:rsidRPr="00612824">
              <w:rPr>
                <w:sz w:val="22"/>
                <w:szCs w:val="22"/>
              </w:rPr>
              <w:t>21/31 (67,7%) </w:t>
            </w:r>
          </w:p>
        </w:tc>
      </w:tr>
      <w:tr w14:paraId="74069DEB" w14:textId="77777777" w:rsidTr="00F83E38">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F83E38" w:rsidRPr="00612824" w:rsidP="00910CE7" w14:paraId="598B31A6" w14:textId="77777777">
            <w:pPr>
              <w:keepNext/>
              <w:textAlignment w:val="baseline"/>
              <w:rPr>
                <w:sz w:val="22"/>
                <w:szCs w:val="22"/>
              </w:rPr>
            </w:pPr>
            <w:r w:rsidRPr="00612824">
              <w:rPr>
                <w:sz w:val="22"/>
                <w:szCs w:val="22"/>
              </w:rPr>
              <w:t>Guarigione dell</w:t>
            </w:r>
            <w:r w:rsidR="00B64C72">
              <w:rPr>
                <w:sz w:val="22"/>
                <w:szCs w:val="22"/>
              </w:rPr>
              <w:t>a</w:t>
            </w:r>
            <w:r w:rsidRPr="00612824">
              <w:rPr>
                <w:sz w:val="22"/>
                <w:szCs w:val="22"/>
              </w:rPr>
              <w:t xml:space="preserve"> mucos</w:t>
            </w:r>
            <w:r w:rsidR="00B64C72">
              <w:rPr>
                <w:sz w:val="22"/>
                <w:szCs w:val="22"/>
              </w:rPr>
              <w:t>a</w:t>
            </w:r>
            <w:r w:rsidRPr="00612824">
              <w:rPr>
                <w:sz w:val="22"/>
                <w:szCs w:val="22"/>
              </w:rPr>
              <w:t xml:space="preserve"> nei responder PMS alla Settimana 8 </w:t>
            </w:r>
          </w:p>
        </w:tc>
        <w:tc>
          <w:tcPr>
            <w:tcW w:w="2409" w:type="dxa"/>
            <w:tcBorders>
              <w:top w:val="nil"/>
              <w:left w:val="nil"/>
              <w:bottom w:val="single" w:sz="6" w:space="0" w:color="auto"/>
              <w:right w:val="single" w:sz="6" w:space="0" w:color="auto"/>
            </w:tcBorders>
            <w:vAlign w:val="center"/>
            <w:hideMark/>
          </w:tcPr>
          <w:p w:rsidR="00F83E38" w:rsidRPr="00612824" w:rsidP="00910CE7" w14:paraId="4BFC9E72" w14:textId="77777777">
            <w:pPr>
              <w:keepNext/>
              <w:jc w:val="center"/>
              <w:textAlignment w:val="baseline"/>
              <w:rPr>
                <w:sz w:val="22"/>
                <w:szCs w:val="22"/>
              </w:rPr>
            </w:pPr>
            <w:r w:rsidRPr="00612824">
              <w:rPr>
                <w:sz w:val="22"/>
                <w:szCs w:val="22"/>
              </w:rPr>
              <w:t>12/31 (38,7%) </w:t>
            </w:r>
          </w:p>
        </w:tc>
        <w:tc>
          <w:tcPr>
            <w:tcW w:w="2633" w:type="dxa"/>
            <w:tcBorders>
              <w:top w:val="nil"/>
              <w:left w:val="nil"/>
              <w:bottom w:val="single" w:sz="6" w:space="0" w:color="auto"/>
              <w:right w:val="single" w:sz="6" w:space="0" w:color="auto"/>
            </w:tcBorders>
            <w:vAlign w:val="center"/>
            <w:hideMark/>
          </w:tcPr>
          <w:p w:rsidR="00F83E38" w:rsidRPr="00612824" w:rsidP="00910CE7" w14:paraId="35575FE5" w14:textId="77777777">
            <w:pPr>
              <w:keepNext/>
              <w:jc w:val="center"/>
              <w:textAlignment w:val="baseline"/>
              <w:rPr>
                <w:sz w:val="22"/>
                <w:szCs w:val="22"/>
              </w:rPr>
            </w:pPr>
            <w:r w:rsidRPr="00612824">
              <w:rPr>
                <w:sz w:val="22"/>
                <w:szCs w:val="22"/>
              </w:rPr>
              <w:t>16/31 (51,6%) </w:t>
            </w:r>
          </w:p>
        </w:tc>
      </w:tr>
      <w:tr w14:paraId="6BFF24C9" w14:textId="77777777" w:rsidTr="00F83E38">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F83E38" w:rsidRPr="00612824" w:rsidP="00F83E38" w14:paraId="3CE53662" w14:textId="77777777">
            <w:pPr>
              <w:textAlignment w:val="baseline"/>
              <w:rPr>
                <w:sz w:val="22"/>
                <w:szCs w:val="22"/>
              </w:rPr>
            </w:pPr>
            <w:r w:rsidRPr="00612824">
              <w:rPr>
                <w:sz w:val="22"/>
                <w:szCs w:val="22"/>
              </w:rPr>
              <w:t>Remissione clinica nei soggetti in remissione PMS alla Settimana 8 </w:t>
            </w:r>
          </w:p>
        </w:tc>
        <w:tc>
          <w:tcPr>
            <w:tcW w:w="2409" w:type="dxa"/>
            <w:tcBorders>
              <w:top w:val="nil"/>
              <w:left w:val="nil"/>
              <w:bottom w:val="single" w:sz="6" w:space="0" w:color="auto"/>
              <w:right w:val="single" w:sz="6" w:space="0" w:color="auto"/>
            </w:tcBorders>
            <w:vAlign w:val="center"/>
            <w:hideMark/>
          </w:tcPr>
          <w:p w:rsidR="00F83E38" w:rsidRPr="00612824" w:rsidP="00F83E38" w14:paraId="40642ABD" w14:textId="77777777">
            <w:pPr>
              <w:jc w:val="center"/>
              <w:textAlignment w:val="baseline"/>
              <w:rPr>
                <w:sz w:val="22"/>
                <w:szCs w:val="22"/>
              </w:rPr>
            </w:pPr>
            <w:r w:rsidRPr="00612824">
              <w:rPr>
                <w:sz w:val="22"/>
                <w:szCs w:val="22"/>
              </w:rPr>
              <w:t>9/21 (42,9%) </w:t>
            </w:r>
          </w:p>
        </w:tc>
        <w:tc>
          <w:tcPr>
            <w:tcW w:w="2633" w:type="dxa"/>
            <w:tcBorders>
              <w:top w:val="nil"/>
              <w:left w:val="nil"/>
              <w:bottom w:val="single" w:sz="6" w:space="0" w:color="auto"/>
              <w:right w:val="single" w:sz="6" w:space="0" w:color="auto"/>
            </w:tcBorders>
            <w:vAlign w:val="center"/>
            <w:hideMark/>
          </w:tcPr>
          <w:p w:rsidR="00F83E38" w:rsidRPr="00612824" w:rsidP="00F83E38" w14:paraId="5DC86608" w14:textId="77777777">
            <w:pPr>
              <w:jc w:val="center"/>
              <w:textAlignment w:val="baseline"/>
              <w:rPr>
                <w:sz w:val="22"/>
                <w:szCs w:val="22"/>
              </w:rPr>
            </w:pPr>
            <w:r w:rsidRPr="00612824">
              <w:rPr>
                <w:sz w:val="22"/>
                <w:szCs w:val="22"/>
              </w:rPr>
              <w:t>10/22 (45,5%) </w:t>
            </w:r>
          </w:p>
        </w:tc>
      </w:tr>
      <w:tr w14:paraId="06ECB915" w14:textId="77777777" w:rsidTr="00F83E38">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F83E38" w:rsidRPr="00612824" w:rsidP="00F83E38" w14:paraId="363311BB" w14:textId="77777777">
            <w:pPr>
              <w:textAlignment w:val="baseline"/>
              <w:rPr>
                <w:sz w:val="22"/>
                <w:szCs w:val="22"/>
              </w:rPr>
            </w:pPr>
            <w:r w:rsidRPr="00612824">
              <w:rPr>
                <w:sz w:val="22"/>
                <w:szCs w:val="22"/>
              </w:rPr>
              <w:t>Remissione senza corticosteroidi nei responder PMS alla Settimana 8</w:t>
            </w:r>
            <w:r w:rsidRPr="00612824">
              <w:rPr>
                <w:sz w:val="22"/>
                <w:szCs w:val="22"/>
                <w:vertAlign w:val="superscript"/>
              </w:rPr>
              <w:t>c</w:t>
            </w:r>
            <w:r w:rsidRPr="00612824">
              <w:rPr>
                <w:sz w:val="22"/>
                <w:szCs w:val="22"/>
              </w:rPr>
              <w:t> </w:t>
            </w:r>
          </w:p>
        </w:tc>
        <w:tc>
          <w:tcPr>
            <w:tcW w:w="2409" w:type="dxa"/>
            <w:tcBorders>
              <w:top w:val="nil"/>
              <w:left w:val="nil"/>
              <w:bottom w:val="single" w:sz="6" w:space="0" w:color="auto"/>
              <w:right w:val="single" w:sz="6" w:space="0" w:color="auto"/>
            </w:tcBorders>
            <w:vAlign w:val="center"/>
            <w:hideMark/>
          </w:tcPr>
          <w:p w:rsidR="00F83E38" w:rsidRPr="00612824" w:rsidP="00F83E38" w14:paraId="603BFD30" w14:textId="77777777">
            <w:pPr>
              <w:jc w:val="center"/>
              <w:textAlignment w:val="baseline"/>
              <w:rPr>
                <w:sz w:val="22"/>
                <w:szCs w:val="22"/>
              </w:rPr>
            </w:pPr>
            <w:r w:rsidRPr="00612824">
              <w:rPr>
                <w:sz w:val="22"/>
                <w:szCs w:val="22"/>
              </w:rPr>
              <w:t>4/13 (30,8%) </w:t>
            </w:r>
          </w:p>
        </w:tc>
        <w:tc>
          <w:tcPr>
            <w:tcW w:w="2633" w:type="dxa"/>
            <w:tcBorders>
              <w:top w:val="nil"/>
              <w:left w:val="nil"/>
              <w:bottom w:val="single" w:sz="6" w:space="0" w:color="auto"/>
              <w:right w:val="single" w:sz="6" w:space="0" w:color="auto"/>
            </w:tcBorders>
            <w:vAlign w:val="center"/>
            <w:hideMark/>
          </w:tcPr>
          <w:p w:rsidR="00F83E38" w:rsidRPr="00612824" w:rsidP="00F83E38" w14:paraId="786CF480" w14:textId="77777777">
            <w:pPr>
              <w:jc w:val="center"/>
              <w:textAlignment w:val="baseline"/>
              <w:rPr>
                <w:sz w:val="22"/>
                <w:szCs w:val="22"/>
              </w:rPr>
            </w:pPr>
            <w:r w:rsidRPr="00612824">
              <w:rPr>
                <w:sz w:val="22"/>
                <w:szCs w:val="22"/>
              </w:rPr>
              <w:t>5/16 (31,3%) </w:t>
            </w:r>
          </w:p>
        </w:tc>
      </w:tr>
      <w:tr w14:paraId="69B2AB02" w14:textId="77777777" w:rsidTr="00F83E38">
        <w:tblPrEx>
          <w:tblW w:w="7568" w:type="dxa"/>
          <w:tblLook w:val="04A0"/>
        </w:tblPrEx>
        <w:tc>
          <w:tcPr>
            <w:tcW w:w="7568" w:type="dxa"/>
            <w:gridSpan w:val="3"/>
            <w:tcBorders>
              <w:top w:val="nil"/>
              <w:left w:val="single" w:sz="6" w:space="0" w:color="auto"/>
              <w:bottom w:val="single" w:sz="6" w:space="0" w:color="auto"/>
              <w:right w:val="single" w:sz="6" w:space="0" w:color="auto"/>
            </w:tcBorders>
            <w:hideMark/>
          </w:tcPr>
          <w:p w:rsidR="00F83E38" w:rsidRPr="00612824" w:rsidP="00F83E38" w14:paraId="4285015E" w14:textId="77777777">
            <w:pPr>
              <w:textAlignment w:val="baseline"/>
              <w:rPr>
                <w:sz w:val="22"/>
                <w:szCs w:val="22"/>
              </w:rPr>
            </w:pPr>
            <w:r w:rsidRPr="00612824">
              <w:rPr>
                <w:sz w:val="22"/>
                <w:szCs w:val="22"/>
                <w:vertAlign w:val="superscript"/>
              </w:rPr>
              <w:t>a</w:t>
            </w:r>
            <w:r w:rsidRPr="00612824">
              <w:rPr>
                <w:sz w:val="22"/>
                <w:szCs w:val="22"/>
              </w:rPr>
              <w:t xml:space="preserve">Humira 0,6 mg/kg (massimo 40 mg) </w:t>
            </w:r>
            <w:r w:rsidR="003C2B9C">
              <w:rPr>
                <w:sz w:val="22"/>
                <w:szCs w:val="22"/>
              </w:rPr>
              <w:t>a settimane alterne</w:t>
            </w:r>
            <w:r w:rsidRPr="00612824">
              <w:rPr>
                <w:sz w:val="22"/>
                <w:szCs w:val="22"/>
              </w:rPr>
              <w:t> </w:t>
            </w:r>
          </w:p>
          <w:p w:rsidR="00F83E38" w:rsidRPr="00612824" w:rsidP="00F83E38" w14:paraId="03924978" w14:textId="77777777">
            <w:pPr>
              <w:textAlignment w:val="baseline"/>
              <w:rPr>
                <w:sz w:val="22"/>
                <w:szCs w:val="22"/>
              </w:rPr>
            </w:pPr>
            <w:r w:rsidRPr="00612824">
              <w:rPr>
                <w:sz w:val="22"/>
                <w:szCs w:val="22"/>
                <w:vertAlign w:val="superscript"/>
              </w:rPr>
              <w:t>b</w:t>
            </w:r>
            <w:r w:rsidRPr="00612824">
              <w:rPr>
                <w:sz w:val="22"/>
                <w:szCs w:val="22"/>
              </w:rPr>
              <w:t>Humira 0,6 mg/kg (massimo 40 mg) ogni settimana </w:t>
            </w:r>
          </w:p>
          <w:p w:rsidR="00F83E38" w:rsidRPr="00612824" w:rsidP="00F83E38" w14:paraId="1E193DAA" w14:textId="77777777">
            <w:pPr>
              <w:textAlignment w:val="baseline"/>
              <w:rPr>
                <w:sz w:val="22"/>
                <w:szCs w:val="22"/>
              </w:rPr>
            </w:pPr>
            <w:r w:rsidRPr="00612824">
              <w:rPr>
                <w:sz w:val="22"/>
                <w:szCs w:val="22"/>
                <w:vertAlign w:val="superscript"/>
              </w:rPr>
              <w:t>c</w:t>
            </w:r>
            <w:r w:rsidRPr="00612824">
              <w:rPr>
                <w:sz w:val="22"/>
                <w:szCs w:val="22"/>
              </w:rPr>
              <w:t>In pazienti che ricevono corticosteroidi concomitanti al basale </w:t>
            </w:r>
          </w:p>
          <w:p w:rsidR="00F83E38" w:rsidRPr="00612824" w:rsidP="00F83E38" w14:paraId="495F57A8" w14:textId="77777777">
            <w:pPr>
              <w:textAlignment w:val="baseline"/>
              <w:rPr>
                <w:sz w:val="22"/>
                <w:szCs w:val="22"/>
              </w:rPr>
            </w:pPr>
            <w:r w:rsidRPr="00612824">
              <w:rPr>
                <w:sz w:val="22"/>
                <w:szCs w:val="22"/>
              </w:rPr>
              <w:t>Nota: i pazienti con valori mancanti alla Settimana 52 o che sono stati randomizzati a ricevere un trattamento di reinduzione o mantenimento sono stati considerati non responder per gli endpoint della Settimana 52 </w:t>
            </w:r>
          </w:p>
        </w:tc>
      </w:tr>
    </w:tbl>
    <w:p w:rsidR="00F83E38" w:rsidRPr="00612824" w:rsidP="00F83E38" w14:paraId="065769E9" w14:textId="77777777">
      <w:pPr>
        <w:rPr>
          <w:sz w:val="22"/>
          <w:szCs w:val="22"/>
        </w:rPr>
      </w:pPr>
    </w:p>
    <w:p w:rsidR="00F83E38" w:rsidRPr="00612824" w:rsidP="00F83E38" w14:paraId="6286BE9F" w14:textId="77777777">
      <w:pPr>
        <w:rPr>
          <w:sz w:val="22"/>
          <w:szCs w:val="22"/>
        </w:rPr>
      </w:pPr>
      <w:r w:rsidRPr="00612824">
        <w:rPr>
          <w:sz w:val="22"/>
          <w:szCs w:val="22"/>
        </w:rPr>
        <w:t xml:space="preserve">Ulteriori endpoint di efficacia esplorativi includevano la risposta clinica secondo il PUCAI (Pediatric Ulcerative Colitis Activity Index) (definita come una diminuzione del PUCAI ≥ 20 punti dal basale) e la remissione clinica come indicato dal PUCAI (definita come PUCAI &lt; 10) alla Settimana 8 e alla Settimana 52 (Tabella 23). </w:t>
      </w:r>
    </w:p>
    <w:p w:rsidR="00F83E38" w:rsidRPr="00612824" w:rsidP="00F83E38" w14:paraId="664BD5B1" w14:textId="77777777">
      <w:pPr>
        <w:rPr>
          <w:sz w:val="22"/>
          <w:szCs w:val="22"/>
        </w:rPr>
      </w:pPr>
    </w:p>
    <w:tbl>
      <w:tblPr>
        <w:tblW w:w="8262" w:type="dxa"/>
        <w:jc w:val="center"/>
        <w:tblCellMar>
          <w:left w:w="0" w:type="dxa"/>
          <w:right w:w="0" w:type="dxa"/>
        </w:tblCellMar>
        <w:tblLook w:val="04A0"/>
      </w:tblPr>
      <w:tblGrid>
        <w:gridCol w:w="2934"/>
        <w:gridCol w:w="2898"/>
        <w:gridCol w:w="2430"/>
      </w:tblGrid>
      <w:tr w14:paraId="0BE9770B" w14:textId="77777777" w:rsidTr="00F83E38">
        <w:tblPrEx>
          <w:tblW w:w="8262" w:type="dxa"/>
          <w:tblLook w:val="04A0"/>
        </w:tblPrEx>
        <w:trPr>
          <w:trHeight w:val="60"/>
        </w:trPr>
        <w:tc>
          <w:tcPr>
            <w:tcW w:w="8262" w:type="dxa"/>
            <w:gridSpan w:val="3"/>
            <w:tcMar>
              <w:top w:w="0" w:type="dxa"/>
              <w:left w:w="108" w:type="dxa"/>
              <w:bottom w:w="0" w:type="dxa"/>
              <w:right w:w="108" w:type="dxa"/>
            </w:tcMar>
          </w:tcPr>
          <w:p w:rsidR="00F83E38" w:rsidRPr="00612824" w:rsidP="00F83E38" w14:paraId="0651D1C7" w14:textId="77777777">
            <w:pPr>
              <w:jc w:val="center"/>
              <w:rPr>
                <w:b/>
                <w:bCs/>
                <w:sz w:val="22"/>
                <w:szCs w:val="22"/>
              </w:rPr>
            </w:pPr>
            <w:r w:rsidRPr="00612824">
              <w:rPr>
                <w:b/>
                <w:sz w:val="22"/>
                <w:szCs w:val="22"/>
              </w:rPr>
              <w:t xml:space="preserve">Tabella 23: Risultati degli </w:t>
            </w:r>
            <w:r w:rsidR="003C2B9C">
              <w:rPr>
                <w:b/>
                <w:sz w:val="22"/>
                <w:szCs w:val="22"/>
              </w:rPr>
              <w:t>E</w:t>
            </w:r>
            <w:r w:rsidRPr="00612824">
              <w:rPr>
                <w:b/>
                <w:sz w:val="22"/>
                <w:szCs w:val="22"/>
              </w:rPr>
              <w:t xml:space="preserve">ndpoint </w:t>
            </w:r>
            <w:r w:rsidR="003C2B9C">
              <w:rPr>
                <w:b/>
                <w:sz w:val="22"/>
                <w:szCs w:val="22"/>
              </w:rPr>
              <w:t>E</w:t>
            </w:r>
            <w:r w:rsidRPr="00612824">
              <w:rPr>
                <w:b/>
                <w:sz w:val="22"/>
                <w:szCs w:val="22"/>
              </w:rPr>
              <w:t>splorativi in base al PUCAI</w:t>
            </w:r>
          </w:p>
        </w:tc>
      </w:tr>
      <w:tr w14:paraId="03C33D02" w14:textId="77777777" w:rsidTr="00F83E38">
        <w:tblPrEx>
          <w:tblW w:w="8262" w:type="dxa"/>
          <w:tblLook w:val="04A0"/>
        </w:tblPrEx>
        <w:trPr>
          <w:trHeight w:val="265"/>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rsidR="00F83E38" w:rsidRPr="00612824" w:rsidP="00F83E38" w14:paraId="168899DF" w14:textId="77777777">
            <w:pPr>
              <w:rPr>
                <w:sz w:val="22"/>
                <w:szCs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83E38" w:rsidRPr="00612824" w:rsidP="00F83E38" w14:paraId="1183AE52" w14:textId="77777777">
            <w:pPr>
              <w:jc w:val="center"/>
              <w:rPr>
                <w:b/>
                <w:bCs/>
                <w:sz w:val="22"/>
                <w:szCs w:val="22"/>
              </w:rPr>
            </w:pPr>
            <w:r w:rsidRPr="00612824">
              <w:rPr>
                <w:b/>
                <w:sz w:val="22"/>
                <w:szCs w:val="22"/>
              </w:rPr>
              <w:t>Settimana 8</w:t>
            </w:r>
          </w:p>
        </w:tc>
      </w:tr>
      <w:tr w14:paraId="3BE739A6" w14:textId="77777777" w:rsidTr="00F83E38">
        <w:tblPrEx>
          <w:tblW w:w="8262" w:type="dxa"/>
          <w:tblLook w:val="04A0"/>
        </w:tblPrEx>
        <w:trPr>
          <w:trHeight w:val="1042"/>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rsidR="00F83E38" w:rsidRPr="00612824" w:rsidP="00F83E38" w14:paraId="7408388F" w14:textId="77777777">
            <w:pPr>
              <w:rPr>
                <w:sz w:val="22"/>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3E38" w:rsidRPr="00612824" w:rsidP="00F83E38" w14:paraId="7A6EC70C" w14:textId="77777777">
            <w:pPr>
              <w:jc w:val="center"/>
              <w:rPr>
                <w:b/>
                <w:bCs/>
                <w:sz w:val="22"/>
                <w:szCs w:val="22"/>
                <w:vertAlign w:val="superscript"/>
              </w:rPr>
            </w:pPr>
            <w:r w:rsidRPr="00612824">
              <w:rPr>
                <w:b/>
                <w:sz w:val="22"/>
                <w:szCs w:val="22"/>
              </w:rPr>
              <w:t>Humira</w:t>
            </w:r>
            <w:r w:rsidRPr="00612824">
              <w:rPr>
                <w:b/>
                <w:sz w:val="22"/>
                <w:szCs w:val="22"/>
                <w:vertAlign w:val="superscript"/>
              </w:rPr>
              <w:t>a</w:t>
            </w:r>
          </w:p>
          <w:p w:rsidR="00F83E38" w:rsidRPr="00612824" w:rsidP="00F83E38" w14:paraId="06D7165E" w14:textId="77777777">
            <w:pPr>
              <w:jc w:val="center"/>
              <w:rPr>
                <w:b/>
                <w:bCs/>
                <w:sz w:val="22"/>
                <w:szCs w:val="22"/>
              </w:rPr>
            </w:pPr>
            <w:r w:rsidRPr="00612824">
              <w:rPr>
                <w:b/>
                <w:sz w:val="22"/>
                <w:szCs w:val="22"/>
              </w:rPr>
              <w:t>Massimo 160 mg alla Settimana 0/</w:t>
            </w:r>
            <w:r w:rsidR="003C2B9C">
              <w:rPr>
                <w:b/>
                <w:sz w:val="22"/>
                <w:szCs w:val="22"/>
              </w:rPr>
              <w:t>P</w:t>
            </w:r>
            <w:r w:rsidRPr="00612824">
              <w:rPr>
                <w:b/>
                <w:sz w:val="22"/>
                <w:szCs w:val="22"/>
              </w:rPr>
              <w:t>lacebo alla Settimana 1</w:t>
            </w:r>
          </w:p>
          <w:p w:rsidR="00F83E38" w:rsidRPr="00612824" w:rsidP="00F83E38" w14:paraId="0481C322" w14:textId="77777777">
            <w:pPr>
              <w:jc w:val="center"/>
              <w:rPr>
                <w:sz w:val="22"/>
                <w:szCs w:val="22"/>
              </w:rPr>
            </w:pPr>
            <w:r w:rsidRPr="00612824">
              <w:rPr>
                <w:sz w:val="22"/>
                <w:szCs w:val="22"/>
              </w:rPr>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3E38" w:rsidRPr="00612824" w:rsidP="00F83E38" w14:paraId="01279E90" w14:textId="77777777">
            <w:pPr>
              <w:jc w:val="center"/>
              <w:rPr>
                <w:b/>
                <w:bCs/>
                <w:sz w:val="22"/>
                <w:szCs w:val="22"/>
                <w:vertAlign w:val="superscript"/>
              </w:rPr>
            </w:pPr>
            <w:r w:rsidRPr="00612824">
              <w:rPr>
                <w:b/>
                <w:sz w:val="22"/>
                <w:szCs w:val="22"/>
              </w:rPr>
              <w:t>Humira</w:t>
            </w:r>
            <w:r w:rsidRPr="00612824">
              <w:rPr>
                <w:b/>
                <w:sz w:val="22"/>
                <w:szCs w:val="22"/>
                <w:vertAlign w:val="superscript"/>
              </w:rPr>
              <w:t>b,c</w:t>
            </w:r>
          </w:p>
          <w:p w:rsidR="00F83E38" w:rsidRPr="00612824" w:rsidP="00F83E38" w14:paraId="67FA980F" w14:textId="77777777">
            <w:pPr>
              <w:jc w:val="center"/>
              <w:rPr>
                <w:b/>
                <w:bCs/>
                <w:sz w:val="22"/>
                <w:szCs w:val="22"/>
              </w:rPr>
            </w:pPr>
            <w:r w:rsidRPr="00612824">
              <w:rPr>
                <w:b/>
                <w:sz w:val="22"/>
                <w:szCs w:val="22"/>
              </w:rPr>
              <w:t>Massimo 160 mg alla Settimana 0 e alla Settimana 1</w:t>
            </w:r>
          </w:p>
          <w:p w:rsidR="00F83E38" w:rsidRPr="00612824" w:rsidP="00F83E38" w14:paraId="13A85590" w14:textId="77777777">
            <w:pPr>
              <w:jc w:val="center"/>
              <w:rPr>
                <w:sz w:val="22"/>
                <w:szCs w:val="22"/>
              </w:rPr>
            </w:pPr>
            <w:r w:rsidRPr="00612824">
              <w:rPr>
                <w:sz w:val="22"/>
                <w:szCs w:val="22"/>
              </w:rPr>
              <w:t>N=47</w:t>
            </w:r>
          </w:p>
        </w:tc>
      </w:tr>
      <w:tr w14:paraId="4B132BA3" w14:textId="77777777" w:rsidTr="00F83E38">
        <w:tblPrEx>
          <w:tblW w:w="8262" w:type="dxa"/>
          <w:tblLook w:val="04A0"/>
        </w:tblPrEx>
        <w:trPr>
          <w:trHeight w:val="202"/>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3E38" w:rsidRPr="00612824" w:rsidP="00F83E38" w14:paraId="309B61F5" w14:textId="77777777">
            <w:pPr>
              <w:rPr>
                <w:sz w:val="22"/>
                <w:szCs w:val="22"/>
              </w:rPr>
            </w:pPr>
            <w:r w:rsidRPr="00612824">
              <w:rPr>
                <w:sz w:val="22"/>
                <w:szCs w:val="22"/>
              </w:rPr>
              <w:t>Remissione clinica in base al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F83E38" w:rsidRPr="00612824" w:rsidP="00F83E38" w14:paraId="5409C6E0" w14:textId="77777777">
            <w:pPr>
              <w:jc w:val="center"/>
              <w:rPr>
                <w:sz w:val="22"/>
                <w:szCs w:val="22"/>
              </w:rPr>
            </w:pPr>
            <w:r w:rsidRPr="00612824">
              <w:rPr>
                <w:sz w:val="22"/>
                <w:szCs w:val="22"/>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F83E38" w:rsidRPr="00612824" w:rsidP="00F83E38" w14:paraId="161F552C" w14:textId="77777777">
            <w:pPr>
              <w:jc w:val="center"/>
              <w:rPr>
                <w:sz w:val="22"/>
                <w:szCs w:val="22"/>
              </w:rPr>
            </w:pPr>
            <w:r w:rsidRPr="00612824">
              <w:rPr>
                <w:sz w:val="22"/>
                <w:szCs w:val="22"/>
              </w:rPr>
              <w:t>22/47 (46,8%)</w:t>
            </w:r>
          </w:p>
        </w:tc>
      </w:tr>
      <w:tr w14:paraId="32B5D3FA" w14:textId="77777777" w:rsidTr="00F83E38">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83E38" w:rsidRPr="00612824" w:rsidP="00F83E38" w14:paraId="397DDDF6" w14:textId="77777777">
            <w:pPr>
              <w:rPr>
                <w:sz w:val="22"/>
                <w:szCs w:val="22"/>
              </w:rPr>
            </w:pPr>
            <w:r w:rsidRPr="00612824">
              <w:rPr>
                <w:sz w:val="22"/>
                <w:szCs w:val="22"/>
              </w:rPr>
              <w:t>Risposta clinica in base al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F83E38" w:rsidRPr="00612824" w:rsidP="00F83E38" w14:paraId="2CB906BA" w14:textId="77777777">
            <w:pPr>
              <w:jc w:val="center"/>
              <w:rPr>
                <w:sz w:val="22"/>
                <w:szCs w:val="22"/>
              </w:rPr>
            </w:pPr>
            <w:r w:rsidRPr="00612824">
              <w:rPr>
                <w:sz w:val="22"/>
                <w:szCs w:val="22"/>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F83E38" w:rsidRPr="00612824" w:rsidP="00F83E38" w14:paraId="5143D7AC" w14:textId="77777777">
            <w:pPr>
              <w:jc w:val="center"/>
              <w:rPr>
                <w:sz w:val="22"/>
                <w:szCs w:val="22"/>
              </w:rPr>
            </w:pPr>
            <w:r w:rsidRPr="00612824">
              <w:rPr>
                <w:sz w:val="22"/>
                <w:szCs w:val="22"/>
              </w:rPr>
              <w:t>32/47 (68,1%)</w:t>
            </w:r>
          </w:p>
        </w:tc>
      </w:tr>
      <w:tr w14:paraId="548ECEEE" w14:textId="77777777" w:rsidTr="00F83E38">
        <w:tblPrEx>
          <w:tblW w:w="8262" w:type="dxa"/>
          <w:tblLook w:val="04A0"/>
        </w:tblPrEx>
        <w:trPr>
          <w:trHeight w:val="238"/>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rsidR="00F83E38" w:rsidRPr="00612824" w:rsidP="00F83E38" w14:paraId="0491E648" w14:textId="77777777">
            <w:pPr>
              <w:rPr>
                <w:sz w:val="22"/>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rsidR="00F83E38" w:rsidRPr="00612824" w:rsidP="00F83E38" w14:paraId="6C3BFE11" w14:textId="77777777">
            <w:pPr>
              <w:jc w:val="center"/>
              <w:rPr>
                <w:b/>
                <w:bCs/>
                <w:sz w:val="22"/>
                <w:szCs w:val="22"/>
              </w:rPr>
            </w:pPr>
            <w:r w:rsidRPr="00612824">
              <w:rPr>
                <w:b/>
                <w:sz w:val="22"/>
                <w:szCs w:val="22"/>
              </w:rPr>
              <w:t>Settimana 52</w:t>
            </w:r>
          </w:p>
        </w:tc>
      </w:tr>
      <w:tr w14:paraId="6A764DA6" w14:textId="77777777" w:rsidTr="00F83E38">
        <w:tblPrEx>
          <w:tblW w:w="8262" w:type="dxa"/>
          <w:tblLook w:val="04A0"/>
        </w:tblPrEx>
        <w:trPr>
          <w:trHeight w:val="238"/>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rsidR="00F83E38" w:rsidRPr="00612824" w:rsidP="00F83E38" w14:paraId="05A56AF0" w14:textId="77777777">
            <w:pPr>
              <w:rPr>
                <w:sz w:val="22"/>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F83E38" w:rsidRPr="00612824" w:rsidP="00F83E38" w14:paraId="360430EF" w14:textId="77777777">
            <w:pPr>
              <w:jc w:val="center"/>
              <w:rPr>
                <w:b/>
                <w:bCs/>
                <w:sz w:val="22"/>
                <w:szCs w:val="22"/>
                <w:vertAlign w:val="superscript"/>
              </w:rPr>
            </w:pPr>
            <w:r w:rsidRPr="00612824">
              <w:rPr>
                <w:b/>
                <w:sz w:val="22"/>
                <w:szCs w:val="22"/>
              </w:rPr>
              <w:t>Humira</w:t>
            </w:r>
            <w:r w:rsidRPr="00612824">
              <w:rPr>
                <w:b/>
                <w:sz w:val="22"/>
                <w:szCs w:val="22"/>
                <w:vertAlign w:val="superscript"/>
              </w:rPr>
              <w:t>d</w:t>
            </w:r>
          </w:p>
          <w:p w:rsidR="00F83E38" w:rsidRPr="00612824" w:rsidP="00F83E38" w14:paraId="59D6200F" w14:textId="77777777">
            <w:pPr>
              <w:jc w:val="center"/>
              <w:rPr>
                <w:b/>
                <w:bCs/>
                <w:sz w:val="22"/>
                <w:szCs w:val="22"/>
              </w:rPr>
            </w:pPr>
            <w:r w:rsidRPr="00612824">
              <w:rPr>
                <w:b/>
                <w:sz w:val="22"/>
                <w:szCs w:val="22"/>
              </w:rPr>
              <w:t xml:space="preserve">Massimo 40 mg </w:t>
            </w:r>
            <w:r w:rsidR="003C2B9C">
              <w:rPr>
                <w:b/>
                <w:sz w:val="22"/>
                <w:szCs w:val="22"/>
              </w:rPr>
              <w:t>a settimane alterne</w:t>
            </w:r>
          </w:p>
          <w:p w:rsidR="00F83E38" w:rsidRPr="00612824" w:rsidP="00F83E38" w14:paraId="0698B41F" w14:textId="77777777">
            <w:pPr>
              <w:jc w:val="center"/>
              <w:rPr>
                <w:sz w:val="22"/>
                <w:szCs w:val="22"/>
              </w:rPr>
            </w:pPr>
            <w:r w:rsidRPr="00612824">
              <w:rPr>
                <w:sz w:val="22"/>
                <w:szCs w:val="22"/>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F83E38" w:rsidRPr="00612824" w:rsidP="00F83E38" w14:paraId="2B42C67B" w14:textId="77777777">
            <w:pPr>
              <w:jc w:val="center"/>
              <w:rPr>
                <w:b/>
                <w:bCs/>
                <w:sz w:val="22"/>
                <w:szCs w:val="22"/>
                <w:vertAlign w:val="superscript"/>
              </w:rPr>
            </w:pPr>
            <w:r w:rsidRPr="00612824">
              <w:rPr>
                <w:b/>
                <w:sz w:val="22"/>
                <w:szCs w:val="22"/>
              </w:rPr>
              <w:t>Humira</w:t>
            </w:r>
            <w:r w:rsidRPr="00612824">
              <w:rPr>
                <w:b/>
                <w:sz w:val="22"/>
                <w:szCs w:val="22"/>
                <w:vertAlign w:val="superscript"/>
              </w:rPr>
              <w:t>e</w:t>
            </w:r>
          </w:p>
          <w:p w:rsidR="00F83E38" w:rsidRPr="00612824" w:rsidP="00F83E38" w14:paraId="3BC51F85" w14:textId="77777777">
            <w:pPr>
              <w:jc w:val="center"/>
              <w:rPr>
                <w:b/>
                <w:bCs/>
                <w:sz w:val="22"/>
                <w:szCs w:val="22"/>
              </w:rPr>
            </w:pPr>
            <w:r w:rsidRPr="00612824">
              <w:rPr>
                <w:b/>
                <w:sz w:val="22"/>
                <w:szCs w:val="22"/>
              </w:rPr>
              <w:t xml:space="preserve">Massimo 40 mg </w:t>
            </w:r>
            <w:r w:rsidR="00BB0B7B">
              <w:rPr>
                <w:b/>
                <w:sz w:val="22"/>
                <w:szCs w:val="22"/>
              </w:rPr>
              <w:t>a</w:t>
            </w:r>
            <w:r w:rsidR="003C2B9C">
              <w:rPr>
                <w:b/>
                <w:sz w:val="22"/>
                <w:szCs w:val="22"/>
              </w:rPr>
              <w:t xml:space="preserve"> settimana</w:t>
            </w:r>
          </w:p>
          <w:p w:rsidR="00F83E38" w:rsidRPr="00612824" w:rsidP="00F83E38" w14:paraId="14570C0F" w14:textId="77777777">
            <w:pPr>
              <w:jc w:val="center"/>
              <w:rPr>
                <w:sz w:val="22"/>
                <w:szCs w:val="22"/>
              </w:rPr>
            </w:pPr>
            <w:r w:rsidRPr="00612824">
              <w:rPr>
                <w:sz w:val="22"/>
                <w:szCs w:val="22"/>
              </w:rPr>
              <w:t>N=31</w:t>
            </w:r>
          </w:p>
        </w:tc>
      </w:tr>
      <w:tr w14:paraId="401DCBFD" w14:textId="77777777" w:rsidTr="00F83E38">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F83E38" w:rsidRPr="00612824" w:rsidP="00F83E38" w14:paraId="578DCDF8" w14:textId="77777777">
            <w:pPr>
              <w:rPr>
                <w:sz w:val="22"/>
                <w:szCs w:val="22"/>
              </w:rPr>
            </w:pPr>
            <w:r w:rsidRPr="00612824">
              <w:rPr>
                <w:sz w:val="22"/>
                <w:szCs w:val="22"/>
              </w:rPr>
              <w:t>Remissione clinica in base al PUCAI nei responder PMS alla Settimana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F83E38" w:rsidRPr="00612824" w:rsidP="00F83E38" w14:paraId="762375D0" w14:textId="77777777">
            <w:pPr>
              <w:jc w:val="center"/>
              <w:rPr>
                <w:sz w:val="22"/>
                <w:szCs w:val="22"/>
              </w:rPr>
            </w:pPr>
            <w:r w:rsidRPr="00612824">
              <w:rPr>
                <w:sz w:val="22"/>
                <w:szCs w:val="22"/>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F83E38" w:rsidRPr="00612824" w:rsidP="00F83E38" w14:paraId="496B9AC8" w14:textId="77777777">
            <w:pPr>
              <w:jc w:val="center"/>
              <w:rPr>
                <w:sz w:val="22"/>
                <w:szCs w:val="22"/>
              </w:rPr>
            </w:pPr>
            <w:r w:rsidRPr="00612824">
              <w:rPr>
                <w:sz w:val="22"/>
                <w:szCs w:val="22"/>
              </w:rPr>
              <w:t>18/31 (58,1%)</w:t>
            </w:r>
          </w:p>
        </w:tc>
      </w:tr>
      <w:tr w14:paraId="40E4F448" w14:textId="77777777" w:rsidTr="00F83E38">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F83E38" w:rsidRPr="00612824" w:rsidP="00F83E38" w14:paraId="522780E0" w14:textId="77777777">
            <w:pPr>
              <w:rPr>
                <w:sz w:val="22"/>
                <w:szCs w:val="22"/>
              </w:rPr>
            </w:pPr>
            <w:r w:rsidRPr="00612824">
              <w:rPr>
                <w:sz w:val="22"/>
                <w:szCs w:val="22"/>
              </w:rPr>
              <w:t>Risposta clinica in base al PUCAI nei responder PMS alla Settimana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F83E38" w:rsidRPr="00612824" w:rsidP="00F83E38" w14:paraId="5087F4A8" w14:textId="77777777">
            <w:pPr>
              <w:jc w:val="center"/>
              <w:rPr>
                <w:sz w:val="22"/>
                <w:szCs w:val="22"/>
              </w:rPr>
            </w:pPr>
            <w:r w:rsidRPr="00612824">
              <w:rPr>
                <w:sz w:val="22"/>
                <w:szCs w:val="22"/>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F83E38" w:rsidRPr="00612824" w:rsidP="00F83E38" w14:paraId="0AC19E5C" w14:textId="77777777">
            <w:pPr>
              <w:jc w:val="center"/>
              <w:rPr>
                <w:sz w:val="22"/>
                <w:szCs w:val="22"/>
              </w:rPr>
            </w:pPr>
            <w:r w:rsidRPr="00612824">
              <w:rPr>
                <w:sz w:val="22"/>
                <w:szCs w:val="22"/>
              </w:rPr>
              <w:t>16/31 (51,6%)</w:t>
            </w:r>
          </w:p>
        </w:tc>
      </w:tr>
      <w:tr w14:paraId="662CFD46" w14:textId="77777777" w:rsidTr="00F83E38">
        <w:tblPrEx>
          <w:tblW w:w="8262" w:type="dxa"/>
          <w:tblLook w:val="04A0"/>
        </w:tblPrEx>
        <w:trPr>
          <w:trHeight w:val="533"/>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rsidR="00F83E38" w:rsidRPr="00612824" w:rsidP="00F83E38" w14:paraId="2A7C4539" w14:textId="77777777">
            <w:pPr>
              <w:rPr>
                <w:rStyle w:val="eop"/>
                <w:sz w:val="22"/>
                <w:szCs w:val="22"/>
              </w:rPr>
            </w:pPr>
            <w:r w:rsidRPr="00612824">
              <w:rPr>
                <w:sz w:val="22"/>
                <w:szCs w:val="22"/>
                <w:vertAlign w:val="superscript"/>
              </w:rPr>
              <w:t>a</w:t>
            </w:r>
            <w:r w:rsidRPr="00612824">
              <w:rPr>
                <w:rStyle w:val="normaltextrun"/>
                <w:sz w:val="22"/>
                <w:szCs w:val="22"/>
              </w:rPr>
              <w:t>Humira 2,4 mg/kg (massimo 160 mg) alla Settimana 0, placebo alla Settimana 1 e 1,2 mg/kg (massimo 80 mg) alla Settimana 2</w:t>
            </w:r>
            <w:r w:rsidRPr="00612824">
              <w:rPr>
                <w:rStyle w:val="eop"/>
                <w:sz w:val="22"/>
                <w:szCs w:val="22"/>
              </w:rPr>
              <w:t> </w:t>
            </w:r>
          </w:p>
          <w:p w:rsidR="00F83E38" w:rsidRPr="00612824" w:rsidP="00F83E38" w14:paraId="7C787817" w14:textId="77777777">
            <w:pPr>
              <w:pStyle w:val="paragraph0"/>
              <w:spacing w:before="0" w:beforeAutospacing="0" w:after="0" w:afterAutospacing="0"/>
              <w:textAlignment w:val="baseline"/>
              <w:rPr>
                <w:rStyle w:val="eop"/>
                <w:sz w:val="22"/>
                <w:szCs w:val="22"/>
              </w:rPr>
            </w:pPr>
            <w:r w:rsidRPr="00863077">
              <w:rPr>
                <w:sz w:val="22"/>
                <w:szCs w:val="22"/>
                <w:vertAlign w:val="superscript"/>
              </w:rPr>
              <w:t>b</w:t>
            </w:r>
            <w:r w:rsidRPr="00872134">
              <w:rPr>
                <w:rStyle w:val="normaltextrun"/>
                <w:sz w:val="22"/>
                <w:szCs w:val="22"/>
              </w:rPr>
              <w:t>Humira</w:t>
            </w:r>
            <w:r w:rsidRPr="00F40167">
              <w:rPr>
                <w:rStyle w:val="normaltextrun"/>
                <w:sz w:val="22"/>
                <w:szCs w:val="22"/>
              </w:rPr>
              <w:t xml:space="preserve"> 2,4 mg/kg (massimo 160 mg) alla Settimana 0 e alla Settimana 1 e 1,2 mg/kg (massimo 80 mg) alla Settimana 2</w:t>
            </w:r>
            <w:r w:rsidRPr="00F40167">
              <w:rPr>
                <w:rStyle w:val="eop"/>
                <w:sz w:val="22"/>
                <w:szCs w:val="22"/>
              </w:rPr>
              <w:t> </w:t>
            </w:r>
          </w:p>
          <w:p w:rsidR="00F83E38" w:rsidRPr="00800CE0" w:rsidP="00F83E38" w14:paraId="34A40923" w14:textId="77777777">
            <w:pPr>
              <w:pStyle w:val="paragraph0"/>
              <w:spacing w:before="0" w:beforeAutospacing="0" w:after="0" w:afterAutospacing="0"/>
              <w:textAlignment w:val="baseline"/>
              <w:rPr>
                <w:rStyle w:val="normaltextrun"/>
                <w:sz w:val="22"/>
                <w:szCs w:val="22"/>
              </w:rPr>
            </w:pPr>
            <w:r w:rsidRPr="00F40167">
              <w:rPr>
                <w:rStyle w:val="normaltextrun"/>
                <w:sz w:val="22"/>
                <w:szCs w:val="22"/>
                <w:vertAlign w:val="superscript"/>
              </w:rPr>
              <w:t>c</w:t>
            </w:r>
            <w:r w:rsidRPr="00F40167">
              <w:rPr>
                <w:rStyle w:val="normaltextrun"/>
                <w:sz w:val="22"/>
                <w:szCs w:val="22"/>
              </w:rPr>
              <w:t xml:space="preserve">Senza includere la dose di </w:t>
            </w:r>
            <w:r w:rsidR="003C2B9C">
              <w:rPr>
                <w:rStyle w:val="normaltextrun"/>
                <w:sz w:val="22"/>
                <w:szCs w:val="22"/>
              </w:rPr>
              <w:t>I</w:t>
            </w:r>
            <w:r w:rsidRPr="00F40167">
              <w:rPr>
                <w:rStyle w:val="normaltextrun"/>
                <w:sz w:val="22"/>
                <w:szCs w:val="22"/>
              </w:rPr>
              <w:t>nduzione in aperto di Humira 2,4 mg/kg (massimo 160 mg) alla Settimana 0 e alla Settimana 1 e 1,2 mg/kg (massimo 80 mg) alla Settimana 2</w:t>
            </w:r>
          </w:p>
          <w:p w:rsidR="00F83E38" w:rsidRPr="00800CE0" w:rsidP="00F83E38" w14:paraId="13FF4415" w14:textId="77777777">
            <w:pPr>
              <w:pStyle w:val="paragraph0"/>
              <w:spacing w:before="0" w:beforeAutospacing="0" w:after="0" w:afterAutospacing="0"/>
              <w:textAlignment w:val="baseline"/>
              <w:rPr>
                <w:sz w:val="22"/>
                <w:szCs w:val="22"/>
              </w:rPr>
            </w:pPr>
            <w:r w:rsidRPr="00863077">
              <w:rPr>
                <w:rStyle w:val="normaltextrun"/>
                <w:sz w:val="22"/>
                <w:szCs w:val="22"/>
                <w:vertAlign w:val="superscript"/>
              </w:rPr>
              <w:t>d</w:t>
            </w:r>
            <w:r w:rsidRPr="00872134">
              <w:rPr>
                <w:sz w:val="22"/>
                <w:szCs w:val="22"/>
              </w:rPr>
              <w:t xml:space="preserve">Humira 0,6 mg/kg (massimo 40 mg) </w:t>
            </w:r>
            <w:r w:rsidRPr="00287663" w:rsidR="002C259C">
              <w:rPr>
                <w:sz w:val="22"/>
                <w:szCs w:val="22"/>
              </w:rPr>
              <w:t>a settimane alterne</w:t>
            </w:r>
          </w:p>
          <w:p w:rsidR="00F83E38" w:rsidRPr="00612824" w:rsidP="00F83E38" w14:paraId="42E38E3B" w14:textId="77777777">
            <w:pPr>
              <w:rPr>
                <w:sz w:val="22"/>
                <w:szCs w:val="22"/>
              </w:rPr>
            </w:pPr>
            <w:r w:rsidRPr="00612824">
              <w:rPr>
                <w:sz w:val="22"/>
                <w:szCs w:val="22"/>
                <w:vertAlign w:val="superscript"/>
              </w:rPr>
              <w:t>e</w:t>
            </w:r>
            <w:r w:rsidRPr="00612824">
              <w:rPr>
                <w:sz w:val="22"/>
                <w:szCs w:val="22"/>
              </w:rPr>
              <w:t>Humira 0,6 mg/kg (massimo 40 mg) ogni settimana</w:t>
            </w:r>
          </w:p>
          <w:p w:rsidR="00F83E38" w:rsidRPr="00800CE0" w:rsidP="00F83E38" w14:paraId="2ED4348B" w14:textId="77777777">
            <w:pPr>
              <w:pStyle w:val="paragraph0"/>
              <w:spacing w:before="0" w:beforeAutospacing="0" w:after="0" w:afterAutospacing="0"/>
              <w:textAlignment w:val="baseline"/>
              <w:rPr>
                <w:sz w:val="22"/>
                <w:szCs w:val="22"/>
              </w:rPr>
            </w:pPr>
            <w:r w:rsidRPr="00863077">
              <w:rPr>
                <w:rStyle w:val="normaltextrun"/>
                <w:sz w:val="22"/>
                <w:szCs w:val="22"/>
              </w:rPr>
              <w:t>Nota 1: entrambi i gruppi di induzione hanno ricevuto 0,6 mg/kg (massimo 40 mg) alla Settimana 4 e alla Settimana 6</w:t>
            </w:r>
            <w:r w:rsidRPr="00872134">
              <w:rPr>
                <w:rStyle w:val="eop"/>
                <w:sz w:val="22"/>
                <w:szCs w:val="22"/>
              </w:rPr>
              <w:t> </w:t>
            </w:r>
          </w:p>
          <w:p w:rsidR="00F83E38" w:rsidRPr="00800CE0" w:rsidP="00F83E38" w14:paraId="1DF07A6F" w14:textId="77777777">
            <w:pPr>
              <w:pStyle w:val="paragraph0"/>
              <w:spacing w:before="0" w:beforeAutospacing="0" w:after="0" w:afterAutospacing="0"/>
              <w:textAlignment w:val="baseline"/>
              <w:rPr>
                <w:rStyle w:val="eop"/>
                <w:sz w:val="22"/>
                <w:szCs w:val="22"/>
              </w:rPr>
            </w:pPr>
            <w:r w:rsidRPr="00863077">
              <w:rPr>
                <w:rStyle w:val="normaltextrun"/>
                <w:sz w:val="22"/>
                <w:szCs w:val="22"/>
              </w:rPr>
              <w:t xml:space="preserve">Nota 2: i </w:t>
            </w:r>
            <w:r w:rsidRPr="00872134">
              <w:rPr>
                <w:rStyle w:val="normaltextrun"/>
                <w:sz w:val="22"/>
                <w:szCs w:val="22"/>
              </w:rPr>
              <w:t xml:space="preserve">pazienti con valori mancanti alla Settimana 8 sono stati considerati come non aver </w:t>
            </w:r>
            <w:r w:rsidR="009913F6">
              <w:rPr>
                <w:rStyle w:val="normaltextrun"/>
                <w:sz w:val="22"/>
                <w:szCs w:val="22"/>
              </w:rPr>
              <w:t>raggiunto</w:t>
            </w:r>
            <w:r w:rsidRPr="00F40167">
              <w:rPr>
                <w:rStyle w:val="normaltextrun"/>
                <w:sz w:val="22"/>
                <w:szCs w:val="22"/>
              </w:rPr>
              <w:t xml:space="preserve"> gli endpoint</w:t>
            </w:r>
            <w:r w:rsidRPr="00F40167">
              <w:rPr>
                <w:rStyle w:val="eop"/>
                <w:sz w:val="22"/>
                <w:szCs w:val="22"/>
              </w:rPr>
              <w:t> </w:t>
            </w:r>
          </w:p>
          <w:p w:rsidR="00F83E38" w:rsidRPr="00800CE0" w:rsidP="00F83E38" w14:paraId="2D95C82C" w14:textId="77777777">
            <w:pPr>
              <w:pStyle w:val="paragraph0"/>
              <w:spacing w:before="0" w:beforeAutospacing="0" w:after="0" w:afterAutospacing="0"/>
              <w:textAlignment w:val="baseline"/>
              <w:rPr>
                <w:sz w:val="22"/>
                <w:szCs w:val="22"/>
              </w:rPr>
            </w:pPr>
            <w:r w:rsidRPr="00863077">
              <w:rPr>
                <w:rStyle w:val="eop"/>
                <w:sz w:val="22"/>
                <w:szCs w:val="22"/>
              </w:rPr>
              <w:t xml:space="preserve">Nota 3: </w:t>
            </w:r>
            <w:r w:rsidRPr="00872134">
              <w:rPr>
                <w:sz w:val="22"/>
                <w:szCs w:val="22"/>
              </w:rPr>
              <w:t>i pazienti con valori mancanti alla Settimana 52 o che sono stati randomizzati a ricevere un trattamento di reinduzione o mantenimento sono</w:t>
            </w:r>
            <w:r w:rsidRPr="00F40167">
              <w:rPr>
                <w:sz w:val="22"/>
                <w:szCs w:val="22"/>
              </w:rPr>
              <w:t xml:space="preserve"> stati considerati non responder per gli endpoint della Settimana 52</w:t>
            </w:r>
          </w:p>
        </w:tc>
      </w:tr>
    </w:tbl>
    <w:p w:rsidR="00F83E38" w:rsidRPr="00612824" w:rsidP="00F83E38" w14:paraId="66FD5698" w14:textId="77777777">
      <w:pPr>
        <w:rPr>
          <w:sz w:val="22"/>
          <w:szCs w:val="22"/>
        </w:rPr>
      </w:pPr>
    </w:p>
    <w:p w:rsidR="00F83E38" w:rsidRPr="00612824" w:rsidP="00F83E38" w14:paraId="1FF00234" w14:textId="77777777">
      <w:pPr>
        <w:rPr>
          <w:sz w:val="22"/>
          <w:szCs w:val="22"/>
        </w:rPr>
      </w:pPr>
      <w:r w:rsidRPr="00612824">
        <w:rPr>
          <w:sz w:val="22"/>
          <w:szCs w:val="22"/>
        </w:rPr>
        <w:t>Dei pazienti trattati con Humira che hanno ricevuto un trattamento di reinduzione durante il periodo di mantenimento, 2/6 (33%) hanno raggiunto una risposta clinica in base al FMS alla Settimana 52.</w:t>
      </w:r>
    </w:p>
    <w:p w:rsidR="00F83E38" w:rsidRPr="00612824" w:rsidP="00F83E38" w14:paraId="55913777" w14:textId="77777777">
      <w:pPr>
        <w:rPr>
          <w:sz w:val="22"/>
          <w:szCs w:val="22"/>
        </w:rPr>
      </w:pPr>
    </w:p>
    <w:p w:rsidR="00F83E38" w:rsidRPr="00612824" w:rsidP="00F83E38" w14:paraId="3F09C15F" w14:textId="77777777">
      <w:pPr>
        <w:keepNext/>
        <w:rPr>
          <w:bCs/>
          <w:i/>
          <w:sz w:val="22"/>
          <w:szCs w:val="22"/>
          <w:u w:val="single"/>
        </w:rPr>
      </w:pPr>
      <w:r w:rsidRPr="00612824">
        <w:rPr>
          <w:i/>
          <w:sz w:val="22"/>
          <w:szCs w:val="22"/>
          <w:u w:val="single"/>
        </w:rPr>
        <w:t>Qualità della vita</w:t>
      </w:r>
    </w:p>
    <w:p w:rsidR="00F83E38" w:rsidRPr="00612824" w:rsidP="00F83E38" w14:paraId="744C3DFD" w14:textId="77777777">
      <w:pPr>
        <w:keepNext/>
        <w:rPr>
          <w:bCs/>
          <w:i/>
          <w:sz w:val="22"/>
          <w:szCs w:val="22"/>
          <w:u w:val="single"/>
        </w:rPr>
      </w:pPr>
    </w:p>
    <w:p w:rsidR="00F83E38" w:rsidRPr="00612824" w:rsidP="00F83E38" w14:paraId="2BF30301" w14:textId="77777777">
      <w:pPr>
        <w:keepNext/>
        <w:rPr>
          <w:sz w:val="22"/>
          <w:szCs w:val="22"/>
        </w:rPr>
      </w:pPr>
      <w:r w:rsidRPr="00612824">
        <w:rPr>
          <w:sz w:val="22"/>
          <w:szCs w:val="22"/>
        </w:rPr>
        <w:t xml:space="preserve">Miglioramenti clinicamente significativi rispetto al basale sono stati osservati nei punteggi IMPACT III e WPAI (Work Productivity and Activity Impairment) dei caregiver per i gruppi trattati con Humira. </w:t>
      </w:r>
    </w:p>
    <w:p w:rsidR="00F83E38" w:rsidRPr="00612824" w:rsidP="00F83E38" w14:paraId="24C70D04" w14:textId="77777777">
      <w:pPr>
        <w:keepNext/>
        <w:rPr>
          <w:sz w:val="22"/>
          <w:szCs w:val="22"/>
        </w:rPr>
      </w:pPr>
    </w:p>
    <w:p w:rsidR="00F83E38" w:rsidRPr="00612824" w:rsidP="00F83E38" w14:paraId="034B0928" w14:textId="77777777">
      <w:pPr>
        <w:rPr>
          <w:sz w:val="22"/>
          <w:szCs w:val="22"/>
        </w:rPr>
      </w:pPr>
      <w:r w:rsidRPr="00612824">
        <w:rPr>
          <w:sz w:val="22"/>
          <w:szCs w:val="22"/>
        </w:rPr>
        <w:t>Aumenti clinicamente significativi (miglioramento) rispetto al basale della velocità d</w:t>
      </w:r>
      <w:r w:rsidR="00B64C72">
        <w:rPr>
          <w:sz w:val="22"/>
          <w:szCs w:val="22"/>
        </w:rPr>
        <w:t>i crescita in altezza</w:t>
      </w:r>
      <w:r w:rsidRPr="00612824">
        <w:rPr>
          <w:sz w:val="22"/>
          <w:szCs w:val="22"/>
        </w:rPr>
        <w:t xml:space="preserve"> sono stati osservati per i gruppi trattati con adalimumab e aumenti clinicamente significativi (miglioramento) rispetto al basale dell'indice di massa corporea sono stati osservati</w:t>
      </w:r>
      <w:r w:rsidR="00B64C72">
        <w:rPr>
          <w:sz w:val="22"/>
          <w:szCs w:val="22"/>
        </w:rPr>
        <w:t xml:space="preserve"> nei</w:t>
      </w:r>
      <w:r w:rsidRPr="00612824">
        <w:rPr>
          <w:sz w:val="22"/>
          <w:szCs w:val="22"/>
        </w:rPr>
        <w:t xml:space="preserve"> soggetti </w:t>
      </w:r>
      <w:r w:rsidR="00B64C72">
        <w:rPr>
          <w:sz w:val="22"/>
          <w:szCs w:val="22"/>
        </w:rPr>
        <w:t xml:space="preserve">trattati </w:t>
      </w:r>
      <w:r w:rsidRPr="00612824">
        <w:rPr>
          <w:sz w:val="22"/>
          <w:szCs w:val="22"/>
        </w:rPr>
        <w:t xml:space="preserve">con </w:t>
      </w:r>
      <w:r w:rsidR="00B64C72">
        <w:rPr>
          <w:sz w:val="22"/>
          <w:szCs w:val="22"/>
        </w:rPr>
        <w:t>la</w:t>
      </w:r>
      <w:r w:rsidRPr="00612824">
        <w:rPr>
          <w:sz w:val="22"/>
          <w:szCs w:val="22"/>
        </w:rPr>
        <w:t xml:space="preserve"> dose di mantenimento di massimo 40 mg (0,6 mg/kg)</w:t>
      </w:r>
      <w:r w:rsidR="003C2B9C">
        <w:rPr>
          <w:sz w:val="22"/>
          <w:szCs w:val="22"/>
        </w:rPr>
        <w:t xml:space="preserve"> ogni settimana</w:t>
      </w:r>
      <w:r w:rsidRPr="00612824">
        <w:rPr>
          <w:sz w:val="22"/>
          <w:szCs w:val="22"/>
        </w:rPr>
        <w:t>.</w:t>
      </w:r>
    </w:p>
    <w:p w:rsidR="00F83E38" w:rsidRPr="00612824" w:rsidP="00F83E38" w14:paraId="70AAE792" w14:textId="77777777">
      <w:pPr>
        <w:rPr>
          <w:sz w:val="22"/>
          <w:szCs w:val="22"/>
        </w:rPr>
      </w:pPr>
    </w:p>
    <w:p w:rsidR="00F83E38" w:rsidRPr="00612824" w:rsidP="00F83E38" w14:paraId="6782B40A" w14:textId="77777777">
      <w:pPr>
        <w:pStyle w:val="gtcbodytext"/>
        <w:keepNext/>
        <w:keepLines/>
        <w:spacing w:before="0" w:after="0" w:line="240" w:lineRule="auto"/>
        <w:rPr>
          <w:bCs/>
          <w:i/>
          <w:sz w:val="22"/>
          <w:szCs w:val="22"/>
          <w:lang w:val="it-IT"/>
        </w:rPr>
      </w:pPr>
      <w:r w:rsidRPr="00612824">
        <w:rPr>
          <w:bCs/>
          <w:i/>
          <w:sz w:val="22"/>
          <w:szCs w:val="22"/>
          <w:lang w:val="it-IT"/>
        </w:rPr>
        <w:t>Uveite pediatrica</w:t>
      </w:r>
    </w:p>
    <w:p w:rsidR="00F83E38" w:rsidRPr="00612824" w:rsidP="00F83E38" w14:paraId="1C41D90C" w14:textId="77777777">
      <w:pPr>
        <w:pStyle w:val="gtcbodytext"/>
        <w:keepNext/>
        <w:keepLines/>
        <w:spacing w:before="0" w:after="0" w:line="240" w:lineRule="auto"/>
        <w:rPr>
          <w:bCs/>
          <w:sz w:val="22"/>
          <w:szCs w:val="22"/>
          <w:lang w:val="it-IT"/>
        </w:rPr>
      </w:pPr>
    </w:p>
    <w:p w:rsidR="00F83E38" w:rsidRPr="00612824" w:rsidP="00F83E38" w14:paraId="25306D0A" w14:textId="77777777">
      <w:pPr>
        <w:pStyle w:val="gtcbodytext"/>
        <w:keepNext/>
        <w:keepLines/>
        <w:spacing w:before="0" w:after="0" w:line="240" w:lineRule="auto"/>
        <w:rPr>
          <w:bCs/>
          <w:sz w:val="22"/>
          <w:szCs w:val="22"/>
          <w:lang w:val="it-IT"/>
        </w:rPr>
      </w:pPr>
      <w:r w:rsidRPr="00612824">
        <w:rPr>
          <w:bCs/>
          <w:sz w:val="22"/>
          <w:szCs w:val="22"/>
          <w:lang w:val="it-IT"/>
        </w:rPr>
        <w:t>La sicurezza e l’efficacia di Humira sono state valutate in uno studio randomizzato, controllato, in doppio cieco su 90 pazienti pediatrici dai 2 ai &lt;18 anni di età con uveite anteriore non infettiva attiva associata ad artrite idiopatica giovanile (JIA) refrattari ad almeno 12 settimane di trattamento con metotressato. I pazienti hanno ricevuto placebo oppure 20 mg di adalimumab (se &lt;30 kg) o 40 mg di adalimumab (se ≥30 kg) a settimane alterne in combinazione con la loro dose basale di metotressato.</w:t>
      </w:r>
    </w:p>
    <w:p w:rsidR="00F83E38" w:rsidRPr="00612824" w:rsidP="00F83E38" w14:paraId="4DD3DDA4" w14:textId="77777777">
      <w:pPr>
        <w:pStyle w:val="gtcbodytext"/>
        <w:spacing w:before="0" w:after="0" w:line="240" w:lineRule="auto"/>
        <w:rPr>
          <w:bCs/>
          <w:sz w:val="22"/>
          <w:szCs w:val="22"/>
          <w:lang w:val="it-IT"/>
        </w:rPr>
      </w:pPr>
    </w:p>
    <w:p w:rsidR="00F83E38" w:rsidRPr="00612824" w:rsidP="00F83E38" w14:paraId="53EAC195" w14:textId="77777777">
      <w:pPr>
        <w:pStyle w:val="gtcbodytext"/>
        <w:keepNext/>
        <w:keepLines/>
        <w:spacing w:before="0" w:after="0" w:line="240" w:lineRule="auto"/>
        <w:rPr>
          <w:color w:val="000000"/>
          <w:sz w:val="22"/>
          <w:szCs w:val="22"/>
          <w:lang w:val="it-IT"/>
        </w:rPr>
      </w:pPr>
      <w:r w:rsidRPr="00612824">
        <w:rPr>
          <w:color w:val="000000"/>
          <w:sz w:val="22"/>
          <w:szCs w:val="22"/>
          <w:lang w:val="it-IT"/>
        </w:rPr>
        <w:t>L'endpoint primario di efficacia in entrambi gli studi era il “tempo al fallimento del trattamento”. I criteri che definivano il fallimento del trattamento erano il peggioramento o l’assenza prolungata di un miglioramento dell’infiammazione oculare, il miglioramento parziale con sviluppo di comorbidità oculari prolungate o peggioramento delle comorbidità oculari esistenti, l’uso non consentito di medicinali concomitanti e la sospensione del trattamento per un periodo di tempo prolungato.</w:t>
      </w:r>
    </w:p>
    <w:p w:rsidR="00F83E38" w:rsidRPr="00612824" w:rsidP="00612824" w14:paraId="70114545" w14:textId="77777777">
      <w:pPr>
        <w:pStyle w:val="gtcbodytext"/>
        <w:spacing w:before="0" w:after="0" w:line="240" w:lineRule="auto"/>
        <w:rPr>
          <w:bCs/>
          <w:sz w:val="22"/>
          <w:szCs w:val="22"/>
          <w:lang w:val="it-IT"/>
        </w:rPr>
      </w:pPr>
    </w:p>
    <w:p w:rsidR="00F83E38" w:rsidRPr="00612824" w:rsidP="00612824" w14:paraId="619B6798" w14:textId="77777777">
      <w:pPr>
        <w:pStyle w:val="EMEAHeadingUnderline"/>
        <w:keepNext/>
        <w:spacing w:beforeLines="0" w:afterLines="0"/>
        <w:rPr>
          <w:i/>
          <w:lang w:val="it-IT"/>
        </w:rPr>
      </w:pPr>
      <w:r w:rsidRPr="00612824">
        <w:rPr>
          <w:i/>
          <w:lang w:val="it-IT"/>
        </w:rPr>
        <w:t>Risposta clinica</w:t>
      </w:r>
    </w:p>
    <w:p w:rsidR="00F83E38" w:rsidRPr="00612824" w:rsidP="00612824" w14:paraId="21E2120E" w14:textId="77777777">
      <w:pPr>
        <w:pStyle w:val="gtcbodytext"/>
        <w:keepNext/>
        <w:spacing w:before="0" w:after="0" w:line="240" w:lineRule="auto"/>
        <w:rPr>
          <w:i/>
          <w:sz w:val="22"/>
          <w:szCs w:val="22"/>
          <w:u w:val="single"/>
          <w:lang w:val="it-IT"/>
        </w:rPr>
      </w:pPr>
    </w:p>
    <w:p w:rsidR="00F83E38" w:rsidRPr="00612824" w:rsidP="00F83E38" w14:paraId="78DB62C6" w14:textId="77777777">
      <w:pPr>
        <w:pStyle w:val="gtcbodytext"/>
        <w:spacing w:before="0" w:after="0" w:line="240" w:lineRule="auto"/>
        <w:rPr>
          <w:color w:val="000000"/>
          <w:sz w:val="22"/>
          <w:szCs w:val="22"/>
          <w:lang w:val="it-IT"/>
        </w:rPr>
      </w:pPr>
      <w:r w:rsidRPr="00612824">
        <w:rPr>
          <w:bCs/>
          <w:sz w:val="22"/>
          <w:szCs w:val="22"/>
          <w:lang w:val="it-IT"/>
        </w:rPr>
        <w:t>Adalimumab ha ritardato in misura significativa il tempo al fallimento del trattamento rispetto al placebo (vedere Figura 2, P &lt;0,0001</w:t>
      </w:r>
      <w:r w:rsidR="0016472B">
        <w:rPr>
          <w:bCs/>
          <w:sz w:val="22"/>
          <w:szCs w:val="22"/>
          <w:lang w:val="it-IT"/>
        </w:rPr>
        <w:t xml:space="preserve"> </w:t>
      </w:r>
      <w:r w:rsidRPr="00612824">
        <w:rPr>
          <w:color w:val="000000"/>
          <w:sz w:val="22"/>
          <w:szCs w:val="22"/>
          <w:lang w:val="it-IT"/>
        </w:rPr>
        <w:t>dal test dei ranghi logaritmici). La mediana del tempo al fallimento del trattamento è stata di 24,1 settimane per i soggetti trattati con placebo, mentre la mediana del tempo al fallimento del trattamento è risultata non valutabile per i soggetti trattati con adalimumab in quanto meno di metà di questi soggetti è andata incontro a fallimento del trattamento. Adalimumab ha ridotto in maniera significativa il rischio di fallimento del trattamento nella misura del 75% rispetto al placebo, come evidenziato dal rapporto di rischio (HR = 0,25 [IC al 95%: 0,12; 0,49]).</w:t>
      </w:r>
    </w:p>
    <w:p w:rsidR="00F83E38" w:rsidRPr="00612824" w:rsidP="00F83E38" w14:paraId="13692EE8" w14:textId="77777777">
      <w:pPr>
        <w:pStyle w:val="gtcbodytext"/>
        <w:spacing w:before="0" w:after="0" w:line="240" w:lineRule="auto"/>
        <w:rPr>
          <w:bCs/>
          <w:sz w:val="22"/>
          <w:szCs w:val="22"/>
          <w:lang w:val="it-IT"/>
        </w:rPr>
      </w:pPr>
    </w:p>
    <w:p w:rsidR="00F83E38" w:rsidRPr="00612824" w:rsidP="00F83E38" w14:paraId="45394030" w14:textId="77777777">
      <w:pPr>
        <w:keepNext/>
        <w:tabs>
          <w:tab w:val="left" w:pos="562"/>
        </w:tabs>
        <w:suppressAutoHyphens/>
        <w:jc w:val="center"/>
        <w:rPr>
          <w:b/>
          <w:sz w:val="22"/>
          <w:szCs w:val="22"/>
          <w:lang w:eastAsia="en-US"/>
        </w:rPr>
      </w:pPr>
      <w:r w:rsidRPr="00612824">
        <w:rPr>
          <w:b/>
          <w:sz w:val="22"/>
          <w:szCs w:val="22"/>
        </w:rPr>
        <w:t xml:space="preserve">Figura 2: </w:t>
      </w:r>
      <w:r w:rsidRPr="00612824">
        <w:rPr>
          <w:b/>
          <w:sz w:val="22"/>
          <w:szCs w:val="22"/>
          <w:lang w:eastAsia="en-US"/>
        </w:rPr>
        <w:t>curve di Kaplan-Meier del tempo al fallimento del trattamento nello studio sull’uveite pediatrica</w:t>
      </w:r>
    </w:p>
    <w:p w:rsidR="00F83E38" w:rsidRPr="00612824" w:rsidP="00F83E38" w14:paraId="40605D56" w14:textId="77777777">
      <w:pPr>
        <w:keepNext/>
        <w:tabs>
          <w:tab w:val="left" w:pos="562"/>
        </w:tabs>
        <w:suppressAutoHyphens/>
        <w:jc w:val="center"/>
        <w:rPr>
          <w:b/>
          <w:sz w:val="22"/>
          <w:szCs w:val="22"/>
          <w:lang w:eastAsia="en-US"/>
        </w:rPr>
      </w:pPr>
    </w:p>
    <w:tbl>
      <w:tblPr>
        <w:tblW w:w="9288" w:type="dxa"/>
        <w:tblLayout w:type="fixed"/>
        <w:tblLook w:val="04A0"/>
      </w:tblPr>
      <w:tblGrid>
        <w:gridCol w:w="468"/>
        <w:gridCol w:w="3510"/>
        <w:gridCol w:w="1170"/>
        <w:gridCol w:w="1350"/>
        <w:gridCol w:w="900"/>
        <w:gridCol w:w="1890"/>
      </w:tblGrid>
      <w:tr w14:paraId="4D3AACDA" w14:textId="77777777" w:rsidTr="00F83E38">
        <w:tblPrEx>
          <w:tblW w:w="9288" w:type="dxa"/>
          <w:tblLayout w:type="fixed"/>
          <w:tblLook w:val="04A0"/>
        </w:tblPrEx>
        <w:trPr>
          <w:cantSplit/>
          <w:trHeight w:val="3806"/>
        </w:trPr>
        <w:tc>
          <w:tcPr>
            <w:tcW w:w="468" w:type="dxa"/>
            <w:textDirection w:val="btLr"/>
            <w:vAlign w:val="bottom"/>
          </w:tcPr>
          <w:p w:rsidR="00F83E38" w:rsidRPr="00612824" w:rsidP="00F83E38" w14:paraId="4BE9754C" w14:textId="77777777">
            <w:pPr>
              <w:pStyle w:val="EMEANormal"/>
              <w:keepNext/>
              <w:ind w:left="113" w:right="113"/>
              <w:jc w:val="center"/>
              <w:rPr>
                <w:b/>
                <w:lang w:val="it-IT"/>
              </w:rPr>
            </w:pPr>
            <w:r w:rsidRPr="00612824">
              <w:rPr>
                <w:b/>
                <w:lang w:val="it-IT"/>
              </w:rPr>
              <w:t>P</w:t>
            </w:r>
            <w:r w:rsidRPr="00612824">
              <w:rPr>
                <w:b/>
                <w:caps/>
                <w:lang w:val="it-IT"/>
              </w:rPr>
              <w:t>ROBABILITà di fallimento del trattamento</w:t>
            </w:r>
          </w:p>
        </w:tc>
        <w:tc>
          <w:tcPr>
            <w:tcW w:w="8820" w:type="dxa"/>
            <w:gridSpan w:val="5"/>
            <w:vAlign w:val="bottom"/>
          </w:tcPr>
          <w:p w:rsidR="00F83E38" w:rsidRPr="00612824" w:rsidP="00F83E38" w14:paraId="5645C245" w14:textId="77777777">
            <w:pPr>
              <w:pStyle w:val="EMEANormal"/>
              <w:keepNext/>
              <w:rPr>
                <w:lang w:val="it-IT"/>
              </w:rPr>
            </w:pPr>
            <w:r w:rsidRPr="00910CE7">
              <w:rPr>
                <w:noProof/>
                <w:lang w:val="en-GB"/>
              </w:rPr>
              <w:drawing>
                <wp:inline distT="0" distB="0" distL="0" distR="0">
                  <wp:extent cx="5486400" cy="4552950"/>
                  <wp:effectExtent l="0" t="0" r="0" b="0"/>
                  <wp:docPr id="78" name="Immagine 98"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 descr="Humira PED UV KM Curve REVISED 3"/>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14:paraId="40CFF767" w14:textId="77777777" w:rsidTr="00F83E38">
        <w:tblPrEx>
          <w:tblW w:w="9288" w:type="dxa"/>
          <w:tblLayout w:type="fixed"/>
          <w:tblLook w:val="04A0"/>
        </w:tblPrEx>
        <w:tc>
          <w:tcPr>
            <w:tcW w:w="468" w:type="dxa"/>
          </w:tcPr>
          <w:p w:rsidR="00F83E38" w:rsidRPr="00612824" w:rsidP="00F83E38" w14:paraId="5F061497" w14:textId="77777777">
            <w:pPr>
              <w:pStyle w:val="EMEANormal"/>
              <w:keepNext/>
              <w:rPr>
                <w:lang w:val="it-IT"/>
              </w:rPr>
            </w:pPr>
          </w:p>
        </w:tc>
        <w:tc>
          <w:tcPr>
            <w:tcW w:w="8820" w:type="dxa"/>
            <w:gridSpan w:val="5"/>
          </w:tcPr>
          <w:p w:rsidR="00F83E38" w:rsidRPr="00612824" w:rsidP="00F83E38" w14:paraId="0750C631" w14:textId="77777777">
            <w:pPr>
              <w:pStyle w:val="EMEANormal"/>
              <w:keepNext/>
              <w:jc w:val="center"/>
              <w:rPr>
                <w:b/>
                <w:lang w:val="it-IT"/>
              </w:rPr>
            </w:pPr>
            <w:r w:rsidRPr="00612824">
              <w:rPr>
                <w:b/>
                <w:lang w:val="it-IT"/>
              </w:rPr>
              <w:t>TEMPO (SETTIMANE)</w:t>
            </w:r>
          </w:p>
        </w:tc>
      </w:tr>
      <w:tr w14:paraId="06E4A628" w14:textId="77777777" w:rsidTr="00F83E38">
        <w:tblPrEx>
          <w:tblW w:w="9288" w:type="dxa"/>
          <w:tblLayout w:type="fixed"/>
          <w:tblLook w:val="04A0"/>
        </w:tblPrEx>
        <w:tc>
          <w:tcPr>
            <w:tcW w:w="468" w:type="dxa"/>
          </w:tcPr>
          <w:p w:rsidR="00F83E38" w:rsidRPr="00612824" w:rsidP="00F83E38" w14:paraId="05530DB4" w14:textId="77777777">
            <w:pPr>
              <w:pStyle w:val="EMEANormal"/>
              <w:keepNext/>
              <w:rPr>
                <w:lang w:val="it-IT"/>
              </w:rPr>
            </w:pPr>
          </w:p>
        </w:tc>
        <w:tc>
          <w:tcPr>
            <w:tcW w:w="3510" w:type="dxa"/>
          </w:tcPr>
          <w:p w:rsidR="00F83E38" w:rsidRPr="00612824" w:rsidP="00F83E38" w14:paraId="5E41595A" w14:textId="77777777">
            <w:pPr>
              <w:pStyle w:val="EMEANormal"/>
              <w:keepNext/>
              <w:rPr>
                <w:lang w:val="it-IT"/>
              </w:rPr>
            </w:pPr>
            <w:r w:rsidRPr="00612824">
              <w:rPr>
                <w:lang w:val="it-IT"/>
              </w:rPr>
              <w:t>Trattamento</w:t>
            </w:r>
          </w:p>
        </w:tc>
        <w:tc>
          <w:tcPr>
            <w:tcW w:w="1170" w:type="dxa"/>
            <w:vAlign w:val="bottom"/>
          </w:tcPr>
          <w:p w:rsidR="00F83E38" w:rsidRPr="00612824" w:rsidP="00F83E38" w14:paraId="0C0DBCEC" w14:textId="77777777">
            <w:pPr>
              <w:pStyle w:val="EMEANormal"/>
              <w:keepNext/>
              <w:jc w:val="center"/>
              <w:rPr>
                <w:lang w:val="it-IT"/>
              </w:rPr>
            </w:pPr>
            <w:r w:rsidRPr="00910CE7">
              <w:rPr>
                <w:noProof/>
                <w:lang w:val="en-GB"/>
              </w:rPr>
              <w:drawing>
                <wp:inline distT="0" distB="0" distL="0" distR="0">
                  <wp:extent cx="457200" cy="123825"/>
                  <wp:effectExtent l="0" t="0" r="0" b="0"/>
                  <wp:docPr id="102" name="Immagine 9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2" descr="Humira PED UV KM Curve 11"/>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tcPr>
          <w:p w:rsidR="00F83E38" w:rsidRPr="00612824" w:rsidP="00F83E38" w14:paraId="06155A71" w14:textId="77777777">
            <w:pPr>
              <w:pStyle w:val="EMEANormal"/>
              <w:keepNext/>
              <w:rPr>
                <w:lang w:val="it-IT"/>
              </w:rPr>
            </w:pPr>
            <w:r w:rsidRPr="00612824">
              <w:rPr>
                <w:lang w:val="it-IT"/>
              </w:rPr>
              <w:t>Placebo</w:t>
            </w:r>
          </w:p>
        </w:tc>
        <w:tc>
          <w:tcPr>
            <w:tcW w:w="900" w:type="dxa"/>
            <w:vAlign w:val="center"/>
          </w:tcPr>
          <w:p w:rsidR="00F83E38" w:rsidRPr="00612824" w:rsidP="00F83E38" w14:paraId="7C3B5712" w14:textId="77777777">
            <w:pPr>
              <w:pStyle w:val="EMEANormal"/>
              <w:keepNext/>
              <w:rPr>
                <w:lang w:val="it-IT"/>
              </w:rPr>
            </w:pPr>
            <w:r w:rsidRPr="00910CE7">
              <w:rPr>
                <w:noProof/>
                <w:lang w:val="en-GB"/>
              </w:rPr>
              <w:drawing>
                <wp:inline distT="0" distB="0" distL="0" distR="0">
                  <wp:extent cx="457200" cy="85725"/>
                  <wp:effectExtent l="0" t="0" r="0" b="0"/>
                  <wp:docPr id="126" name="Immagine 10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3" descr="Humira PED UV KM Curve 11"/>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tcPr>
          <w:p w:rsidR="00F83E38" w:rsidRPr="00612824" w:rsidP="00F83E38" w14:paraId="0B884C52" w14:textId="77777777">
            <w:pPr>
              <w:pStyle w:val="EMEANormal"/>
              <w:keepNext/>
              <w:rPr>
                <w:lang w:val="it-IT"/>
              </w:rPr>
            </w:pPr>
            <w:r w:rsidRPr="00612824">
              <w:rPr>
                <w:lang w:val="it-IT"/>
              </w:rPr>
              <w:t>Adalimumab</w:t>
            </w:r>
          </w:p>
        </w:tc>
      </w:tr>
      <w:tr w14:paraId="4AB33CCE" w14:textId="77777777" w:rsidTr="00F83E38">
        <w:tblPrEx>
          <w:tblW w:w="9288" w:type="dxa"/>
          <w:tblLayout w:type="fixed"/>
          <w:tblLook w:val="04A0"/>
        </w:tblPrEx>
        <w:tc>
          <w:tcPr>
            <w:tcW w:w="468" w:type="dxa"/>
          </w:tcPr>
          <w:p w:rsidR="00F83E38" w:rsidRPr="00612824" w:rsidP="00F83E38" w14:paraId="0CC70122" w14:textId="77777777">
            <w:pPr>
              <w:pStyle w:val="EMEANormal"/>
              <w:rPr>
                <w:lang w:val="it-IT"/>
              </w:rPr>
            </w:pPr>
          </w:p>
        </w:tc>
        <w:tc>
          <w:tcPr>
            <w:tcW w:w="8820" w:type="dxa"/>
            <w:gridSpan w:val="5"/>
          </w:tcPr>
          <w:p w:rsidR="00F83E38" w:rsidRPr="00F83E38" w:rsidP="00F83E38" w14:paraId="49833C75" w14:textId="77777777">
            <w:pPr>
              <w:pStyle w:val="EMEANormal"/>
              <w:rPr>
                <w:lang w:val="it-IT"/>
              </w:rPr>
            </w:pPr>
            <w:r w:rsidRPr="00612824">
              <w:rPr>
                <w:lang w:val="it-IT"/>
              </w:rPr>
              <w:t>Nota: P = Placebo (Numero a rischio); H = HUMIRA (Numero a rischio).</w:t>
            </w:r>
          </w:p>
        </w:tc>
      </w:tr>
    </w:tbl>
    <w:p w:rsidR="006224C2" w:rsidRPr="00F83E38" w14:paraId="59307EAE" w14:textId="77777777">
      <w:pPr>
        <w:tabs>
          <w:tab w:val="left" w:pos="567"/>
          <w:tab w:val="left" w:pos="1294"/>
        </w:tabs>
        <w:autoSpaceDE w:val="0"/>
        <w:autoSpaceDN w:val="0"/>
        <w:adjustRightInd w:val="0"/>
        <w:jc w:val="both"/>
        <w:rPr>
          <w:color w:val="000000"/>
          <w:sz w:val="22"/>
          <w:szCs w:val="22"/>
        </w:rPr>
      </w:pPr>
    </w:p>
    <w:p w:rsidR="006224C2" w:rsidRPr="00295E71" w:rsidP="00003981" w14:paraId="3478BCDE" w14:textId="77777777">
      <w:pPr>
        <w:tabs>
          <w:tab w:val="left" w:pos="0"/>
          <w:tab w:val="center" w:pos="4535"/>
        </w:tabs>
        <w:jc w:val="both"/>
        <w:rPr>
          <w:b/>
          <w:bCs/>
          <w:sz w:val="22"/>
          <w:szCs w:val="22"/>
        </w:rPr>
      </w:pPr>
      <w:r w:rsidRPr="00F83E38">
        <w:rPr>
          <w:b/>
          <w:bCs/>
          <w:sz w:val="22"/>
          <w:szCs w:val="22"/>
        </w:rPr>
        <w:t>5.2 Proprietà farmacocinetiche</w:t>
      </w:r>
      <w:r w:rsidRPr="00295E71" w:rsidR="00EB5AB2">
        <w:rPr>
          <w:b/>
          <w:bCs/>
          <w:sz w:val="22"/>
          <w:szCs w:val="22"/>
        </w:rPr>
        <w:tab/>
      </w:r>
    </w:p>
    <w:p w:rsidR="006224C2" w:rsidRPr="00295E71" w14:paraId="16F25A75" w14:textId="77777777">
      <w:pPr>
        <w:tabs>
          <w:tab w:val="left" w:pos="567"/>
        </w:tabs>
        <w:jc w:val="both"/>
        <w:rPr>
          <w:sz w:val="22"/>
          <w:szCs w:val="22"/>
        </w:rPr>
      </w:pPr>
    </w:p>
    <w:p w:rsidR="006224C2" w:rsidRPr="00295E71" w14:paraId="6A84EAC1" w14:textId="77777777">
      <w:pPr>
        <w:tabs>
          <w:tab w:val="left" w:pos="567"/>
        </w:tabs>
        <w:autoSpaceDE w:val="0"/>
        <w:autoSpaceDN w:val="0"/>
        <w:adjustRightInd w:val="0"/>
        <w:jc w:val="both"/>
        <w:rPr>
          <w:color w:val="000000"/>
          <w:sz w:val="22"/>
          <w:szCs w:val="22"/>
          <w:u w:val="single"/>
        </w:rPr>
      </w:pPr>
      <w:r w:rsidRPr="00295E71">
        <w:rPr>
          <w:color w:val="000000"/>
          <w:sz w:val="22"/>
          <w:szCs w:val="22"/>
          <w:u w:val="single"/>
        </w:rPr>
        <w:t>Assorbimento e distribuzione</w:t>
      </w:r>
    </w:p>
    <w:p w:rsidR="006224C2" w:rsidRPr="00295E71" w14:paraId="082EED6C" w14:textId="77777777">
      <w:pPr>
        <w:tabs>
          <w:tab w:val="left" w:pos="567"/>
        </w:tabs>
        <w:autoSpaceDE w:val="0"/>
        <w:autoSpaceDN w:val="0"/>
        <w:adjustRightInd w:val="0"/>
        <w:jc w:val="both"/>
        <w:rPr>
          <w:color w:val="000000"/>
          <w:sz w:val="22"/>
          <w:szCs w:val="22"/>
        </w:rPr>
      </w:pPr>
    </w:p>
    <w:p w:rsidR="006224C2" w:rsidRPr="00295E71" w14:paraId="0B56ECA7" w14:textId="77777777">
      <w:pPr>
        <w:tabs>
          <w:tab w:val="left" w:pos="567"/>
        </w:tabs>
        <w:autoSpaceDE w:val="0"/>
        <w:autoSpaceDN w:val="0"/>
        <w:adjustRightInd w:val="0"/>
        <w:jc w:val="both"/>
        <w:rPr>
          <w:color w:val="000000"/>
          <w:sz w:val="22"/>
          <w:szCs w:val="22"/>
        </w:rPr>
      </w:pPr>
      <w:r w:rsidRPr="00295E71">
        <w:rPr>
          <w:color w:val="000000"/>
          <w:sz w:val="22"/>
          <w:szCs w:val="22"/>
        </w:rPr>
        <w:t>Dopo la somministrazione sottocutanea di una singola dose di 40 mg, l’assorbimento e la distribuzione di adalimumab sono stati lenti, con picchi di concentrazione sierica raggiunti circa 5 giorni dopo la somministrazione. La biodisponibilità media assoluta di adalimumab rilevata nei tre studi dopo una dose sottocutanea unica di 40 mg è stata del 64%. Dopo dosi endovenose singole da 0,25 a 10 mg/kg, le concentrazioni sono state proporzionali alla dose. Dopo dosi di 0,5 mg/kg (~40 mg), la clearance è variata da 11 a 15 ml/ora, il volume di distribuzione (V</w:t>
      </w:r>
      <w:r w:rsidRPr="00295E71">
        <w:rPr>
          <w:color w:val="000000"/>
          <w:sz w:val="22"/>
          <w:szCs w:val="22"/>
          <w:vertAlign w:val="subscript"/>
        </w:rPr>
        <w:t>ss</w:t>
      </w:r>
      <w:r w:rsidRPr="00295E71">
        <w:rPr>
          <w:color w:val="000000"/>
          <w:sz w:val="22"/>
          <w:szCs w:val="22"/>
        </w:rPr>
        <w:t xml:space="preserve">) è variato dai 5 ai 6 litri, e l’emivita media della fase finale è stata di circa due settimane. Le concentrazioni di adalimumab nel liquido sinoviale in diversi pazienti affetti da artrite reumatoide sono </w:t>
      </w:r>
      <w:r w:rsidRPr="00020442" w:rsidR="00E04499">
        <w:rPr>
          <w:color w:val="000000"/>
          <w:sz w:val="22"/>
          <w:szCs w:val="22"/>
        </w:rPr>
        <w:t>state</w:t>
      </w:r>
      <w:r w:rsidRPr="00295E71">
        <w:rPr>
          <w:color w:val="000000"/>
          <w:sz w:val="22"/>
          <w:szCs w:val="22"/>
        </w:rPr>
        <w:t xml:space="preserve"> del 31-96% rispetto a quelle sieriche.</w:t>
      </w:r>
    </w:p>
    <w:p w:rsidR="00540717" w:rsidRPr="00295E71" w14:paraId="20C180C9" w14:textId="77777777">
      <w:pPr>
        <w:tabs>
          <w:tab w:val="left" w:pos="567"/>
        </w:tabs>
        <w:autoSpaceDE w:val="0"/>
        <w:autoSpaceDN w:val="0"/>
        <w:adjustRightInd w:val="0"/>
        <w:jc w:val="both"/>
        <w:rPr>
          <w:color w:val="000000"/>
          <w:sz w:val="22"/>
          <w:szCs w:val="22"/>
        </w:rPr>
      </w:pPr>
    </w:p>
    <w:p w:rsidR="00540717" w:rsidRPr="00295E71" w:rsidP="00F57FE5" w14:paraId="3A7668C0"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 xml:space="preserve">In seguito a somministrazione sottocutanea di 40 mg di adalimumab ogni due settimane in pazienti adulti con artrite reumatoide (AR) le concentrazioni minime all’equilibrio sono state in media di circa 5 </w:t>
      </w:r>
      <w:r w:rsidRPr="00295E71">
        <w:rPr>
          <w:rFonts w:ascii="Symbol" w:hAnsi="Symbol"/>
          <w:color w:val="000000"/>
          <w:sz w:val="22"/>
          <w:szCs w:val="22"/>
        </w:rPr>
        <w:sym w:font="Symbol" w:char="F06D"/>
      </w:r>
      <w:r w:rsidRPr="00295E71">
        <w:rPr>
          <w:color w:val="000000"/>
          <w:sz w:val="22"/>
          <w:szCs w:val="22"/>
        </w:rPr>
        <w:t xml:space="preserve">g/ml (senza terapia concomitante con metotressato) e 8-9 </w:t>
      </w:r>
      <w:r w:rsidRPr="00295E71">
        <w:rPr>
          <w:rFonts w:ascii="Symbol" w:hAnsi="Symbol"/>
          <w:color w:val="000000"/>
          <w:sz w:val="22"/>
          <w:szCs w:val="22"/>
        </w:rPr>
        <w:sym w:font="Symbol" w:char="F06D"/>
      </w:r>
      <w:r w:rsidRPr="00295E71">
        <w:rPr>
          <w:color w:val="000000"/>
          <w:sz w:val="22"/>
          <w:szCs w:val="22"/>
        </w:rPr>
        <w:t xml:space="preserve">g/ml (in combinazione con metotressato). I livelli sierici minimi di adalimumab all’equilibrio a seguito di dosaggi sottocutanei da 20, 40 e 80 mg ogni 2 settimane o settimanalmente sono aumentati approssimativamente in maniera pressoché dose-dipendente. </w:t>
      </w:r>
    </w:p>
    <w:p w:rsidR="006224C2" w:rsidRPr="00295E71" w14:paraId="6B9D5D65" w14:textId="77777777">
      <w:pPr>
        <w:tabs>
          <w:tab w:val="left" w:pos="567"/>
        </w:tabs>
        <w:autoSpaceDE w:val="0"/>
        <w:autoSpaceDN w:val="0"/>
        <w:adjustRightInd w:val="0"/>
        <w:jc w:val="both"/>
        <w:rPr>
          <w:color w:val="000000"/>
          <w:sz w:val="22"/>
          <w:szCs w:val="22"/>
        </w:rPr>
      </w:pPr>
    </w:p>
    <w:p w:rsidR="006224C2" w:rsidRPr="00295E71" w14:paraId="0F14EF1E" w14:textId="77777777">
      <w:pPr>
        <w:tabs>
          <w:tab w:val="left" w:pos="567"/>
        </w:tabs>
        <w:autoSpaceDE w:val="0"/>
        <w:autoSpaceDN w:val="0"/>
        <w:adjustRightInd w:val="0"/>
        <w:jc w:val="both"/>
        <w:rPr>
          <w:color w:val="000000"/>
          <w:sz w:val="22"/>
          <w:szCs w:val="22"/>
        </w:rPr>
      </w:pPr>
      <w:r w:rsidRPr="00295E71">
        <w:rPr>
          <w:color w:val="000000"/>
          <w:sz w:val="22"/>
          <w:szCs w:val="22"/>
        </w:rPr>
        <w:t>Nei pazienti adulti affetti da psoriasi la concentrazione minima all’equilibrio è risultata essere in media di circa 5 μg/ml durante il trattamento con una dose di adalimumab pari a 40 mg, somministrata a settimane alterne, in monoterapia.</w:t>
      </w:r>
    </w:p>
    <w:p w:rsidR="006224C2" w:rsidRPr="00295E71" w14:paraId="31261C74" w14:textId="77777777">
      <w:pPr>
        <w:tabs>
          <w:tab w:val="left" w:pos="567"/>
        </w:tabs>
        <w:autoSpaceDE w:val="0"/>
        <w:autoSpaceDN w:val="0"/>
        <w:adjustRightInd w:val="0"/>
        <w:jc w:val="both"/>
        <w:rPr>
          <w:color w:val="000000"/>
          <w:sz w:val="22"/>
          <w:szCs w:val="22"/>
        </w:rPr>
      </w:pPr>
    </w:p>
    <w:p w:rsidR="006224C2" w:rsidRPr="00295E71" w14:paraId="1E1E5DB8" w14:textId="77777777">
      <w:pPr>
        <w:rPr>
          <w:color w:val="000000"/>
          <w:sz w:val="22"/>
          <w:szCs w:val="22"/>
        </w:rPr>
      </w:pPr>
      <w:r w:rsidRPr="00295E71">
        <w:rPr>
          <w:color w:val="000000"/>
          <w:sz w:val="22"/>
          <w:szCs w:val="22"/>
        </w:rPr>
        <w:t xml:space="preserve">Nei pazienti adulti con Idrosadenite Suppurativa, una dose pari a 160 mg di Humira alla settimana 0 seguita da 80 mg alla settimana 2 ha ottenuto concentrazioni sieriche minime di adalimumab di circa 7-8 </w:t>
      </w:r>
      <w:r w:rsidRPr="00295E71" w:rsidR="00C17FDA">
        <w:t>μ</w:t>
      </w:r>
      <w:r w:rsidRPr="00295E71">
        <w:rPr>
          <w:color w:val="000000"/>
          <w:sz w:val="22"/>
          <w:szCs w:val="22"/>
        </w:rPr>
        <w:t xml:space="preserve">g/ml alla settimana 2 e alla settimana 4. Le concentrazioni medie </w:t>
      </w:r>
      <w:r w:rsidRPr="00020442" w:rsidR="00E04499">
        <w:rPr>
          <w:color w:val="000000"/>
          <w:sz w:val="22"/>
          <w:szCs w:val="22"/>
        </w:rPr>
        <w:t xml:space="preserve">minime </w:t>
      </w:r>
      <w:r w:rsidRPr="00295E71">
        <w:rPr>
          <w:color w:val="000000"/>
          <w:sz w:val="22"/>
          <w:szCs w:val="22"/>
        </w:rPr>
        <w:t xml:space="preserve">all’equilibrio alla settimana 12 fino alla settimana 36 erano circa 8-10 </w:t>
      </w:r>
      <w:r w:rsidRPr="00295E71" w:rsidR="00C17FDA">
        <w:t>μ</w:t>
      </w:r>
      <w:r w:rsidRPr="00295E71">
        <w:rPr>
          <w:color w:val="000000"/>
          <w:sz w:val="22"/>
          <w:szCs w:val="22"/>
        </w:rPr>
        <w:t>g/ml durante il trattamento con adalimumab 40 mg a settimana.</w:t>
      </w:r>
    </w:p>
    <w:p w:rsidR="006224C2" w:rsidRPr="00295E71" w14:paraId="0DFE0B94" w14:textId="77777777">
      <w:pPr>
        <w:tabs>
          <w:tab w:val="left" w:pos="567"/>
        </w:tabs>
        <w:autoSpaceDE w:val="0"/>
        <w:autoSpaceDN w:val="0"/>
        <w:adjustRightInd w:val="0"/>
        <w:jc w:val="both"/>
        <w:rPr>
          <w:color w:val="000000"/>
          <w:sz w:val="22"/>
          <w:szCs w:val="22"/>
        </w:rPr>
      </w:pPr>
    </w:p>
    <w:p w:rsidR="006224C2" w:rsidRPr="00295E71" w14:paraId="660ED4ED" w14:textId="77777777">
      <w:pPr>
        <w:pStyle w:val="EMEANormal"/>
        <w:jc w:val="both"/>
        <w:rPr>
          <w:iCs/>
          <w:lang w:val="it-IT"/>
        </w:rPr>
      </w:pPr>
      <w:r w:rsidRPr="00295E71">
        <w:rPr>
          <w:iCs/>
          <w:lang w:val="it-IT"/>
        </w:rPr>
        <w:t>L’esposizione ad adalimumab nei pazienti adolescenti con HS è stata predetta usando modelli e simulazione farmacocinetica di popolazione basati sulla farmacocinetica cross-indicazione in altri pazienti pediatrici (psoriasi pediatrica, artrite idiopatica giovanile, malattia di Crohn pediatrica e artrite associata ad entesite). Lo schema posologico raccomandato per gli adolescenti con HS è di 40 mg a settimane alterne. Dato che l’esposizione ad adalimumab potrebbe essere influenzata dalla massa corporea, gli adolescenti che hanno un peso corporeo maggiore e una risposta inadeguata possono beneficiare della dose raccomandata per gli adulti di 40 mg ogni settimana.</w:t>
      </w:r>
    </w:p>
    <w:p w:rsidR="006224C2" w:rsidRPr="00295E71" w14:paraId="620B6FB9" w14:textId="77777777">
      <w:pPr>
        <w:tabs>
          <w:tab w:val="left" w:pos="567"/>
        </w:tabs>
        <w:autoSpaceDE w:val="0"/>
        <w:autoSpaceDN w:val="0"/>
        <w:adjustRightInd w:val="0"/>
        <w:jc w:val="both"/>
        <w:rPr>
          <w:color w:val="000000"/>
          <w:sz w:val="22"/>
          <w:szCs w:val="22"/>
        </w:rPr>
      </w:pPr>
    </w:p>
    <w:p w:rsidR="006224C2" w:rsidRPr="00295E71" w14:paraId="6BC9EE10" w14:textId="77777777">
      <w:pPr>
        <w:tabs>
          <w:tab w:val="left" w:pos="567"/>
        </w:tabs>
        <w:autoSpaceDE w:val="0"/>
        <w:autoSpaceDN w:val="0"/>
        <w:adjustRightInd w:val="0"/>
        <w:jc w:val="both"/>
        <w:rPr>
          <w:color w:val="000000"/>
          <w:sz w:val="22"/>
          <w:szCs w:val="22"/>
        </w:rPr>
      </w:pPr>
      <w:r w:rsidRPr="00295E71">
        <w:rPr>
          <w:color w:val="000000"/>
          <w:sz w:val="22"/>
          <w:szCs w:val="22"/>
        </w:rPr>
        <w:t xml:space="preserve">Nei pazienti con malattia di Crohn, la dose di carico con 80 mg di Humira alla settimana 0 seguita da 40 mg di Humira alla settimana 2 ha ottenuto concentrazioni sieriche minime di adalimumab di circa 5,5 </w:t>
      </w:r>
      <w:r w:rsidRPr="00295E71" w:rsidR="00BB4870">
        <w:t>μ</w:t>
      </w:r>
      <w:r w:rsidRPr="00295E71">
        <w:rPr>
          <w:color w:val="000000"/>
          <w:sz w:val="22"/>
          <w:szCs w:val="22"/>
        </w:rPr>
        <w:t xml:space="preserve">g/ml durante il periodo di induzione. Una dose di carico con 160 mg di Humira alla settimana 0 seguita da 80 mg di Humira alla settimana 2 ha ottenuto concentrazioni sieriche minime di adalimumab di circa 12 </w:t>
      </w:r>
      <w:r w:rsidRPr="00295E71" w:rsidR="00BB4870">
        <w:t>μ</w:t>
      </w:r>
      <w:r w:rsidRPr="00295E71">
        <w:rPr>
          <w:color w:val="000000"/>
          <w:sz w:val="22"/>
          <w:szCs w:val="22"/>
        </w:rPr>
        <w:t xml:space="preserve">g/ml durante il periodo di induzione. Sono stati osservati livelli medi </w:t>
      </w:r>
      <w:r w:rsidRPr="00020442" w:rsidR="00E04499">
        <w:rPr>
          <w:color w:val="000000"/>
          <w:sz w:val="22"/>
          <w:szCs w:val="22"/>
        </w:rPr>
        <w:t xml:space="preserve">minimi </w:t>
      </w:r>
      <w:r w:rsidRPr="00295E71">
        <w:rPr>
          <w:color w:val="000000"/>
          <w:sz w:val="22"/>
          <w:szCs w:val="22"/>
        </w:rPr>
        <w:t xml:space="preserve">all’equilibrio di circa 7 </w:t>
      </w:r>
      <w:r w:rsidRPr="00295E71" w:rsidR="00BB4870">
        <w:t>μ</w:t>
      </w:r>
      <w:r w:rsidRPr="00295E71">
        <w:rPr>
          <w:color w:val="000000"/>
          <w:sz w:val="22"/>
          <w:szCs w:val="22"/>
        </w:rPr>
        <w:t>g/ml nei pazienti con malattia di Crohn che hanno ricevuto una dose di mantenimento di 40 mg di Humira ogni due settimane.</w:t>
      </w:r>
    </w:p>
    <w:p w:rsidR="006224C2" w:rsidRPr="00295E71" w14:paraId="3CBEBE32" w14:textId="77777777">
      <w:pPr>
        <w:tabs>
          <w:tab w:val="left" w:pos="567"/>
        </w:tabs>
        <w:autoSpaceDE w:val="0"/>
        <w:autoSpaceDN w:val="0"/>
        <w:adjustRightInd w:val="0"/>
        <w:jc w:val="both"/>
        <w:rPr>
          <w:color w:val="000000"/>
          <w:sz w:val="22"/>
          <w:szCs w:val="22"/>
        </w:rPr>
      </w:pPr>
    </w:p>
    <w:p w:rsidR="006224C2" w:rsidRPr="00295E71" w14:paraId="7C934AAB" w14:textId="77777777">
      <w:pPr>
        <w:pStyle w:val="EMEANormal"/>
        <w:jc w:val="both"/>
        <w:rPr>
          <w:lang w:val="it-IT"/>
        </w:rPr>
      </w:pPr>
      <w:r w:rsidRPr="00295E71">
        <w:rPr>
          <w:lang w:val="it-IT" w:eastAsia="en-GB"/>
        </w:rPr>
        <w:t xml:space="preserve">Nei pazienti pediatrici con MC di grado da moderato a severo, la dose di induzione di adalimumab in aperto era 160/80 mg o 80/40 mg alle settimane 0 e 2, rispettivamente, a seconda del cut-off del peso corporeo a 40 kg. Alla settimana 4, i pazienti erano randomizzati </w:t>
      </w:r>
      <w:r w:rsidRPr="00295E71">
        <w:rPr>
          <w:lang w:val="it-IT"/>
        </w:rPr>
        <w:t xml:space="preserve">1:1 </w:t>
      </w:r>
      <w:r w:rsidRPr="00295E71">
        <w:rPr>
          <w:lang w:val="it-IT" w:eastAsia="en-GB"/>
        </w:rPr>
        <w:t>sulla base del peso corporeo</w:t>
      </w:r>
      <w:r w:rsidRPr="00295E71">
        <w:rPr>
          <w:lang w:val="it-IT"/>
        </w:rPr>
        <w:t xml:space="preserve"> nei gruppi del trattamento di mantenimento o alla Dose Standard (</w:t>
      </w:r>
      <w:r w:rsidRPr="00295E71">
        <w:rPr>
          <w:lang w:val="it-IT" w:eastAsia="en-GB"/>
        </w:rPr>
        <w:t xml:space="preserve">40/20 mg a settimane alterne) </w:t>
      </w:r>
      <w:r w:rsidRPr="00295E71">
        <w:rPr>
          <w:lang w:val="it-IT"/>
        </w:rPr>
        <w:t>o alla Dose Bassa (</w:t>
      </w:r>
      <w:r w:rsidRPr="00295E71">
        <w:rPr>
          <w:lang w:val="it-IT" w:eastAsia="en-GB"/>
        </w:rPr>
        <w:t>20/10 mg a settimane alterne). Le concentrazioni sieriche medie (</w:t>
      </w:r>
      <w:r w:rsidRPr="00295E71">
        <w:rPr>
          <w:rFonts w:eastAsia="Arial Unicode MS"/>
          <w:lang w:val="it-IT"/>
        </w:rPr>
        <w:t xml:space="preserve">±SD) dei livelli minimi di adalimumab </w:t>
      </w:r>
      <w:r w:rsidRPr="00295E71">
        <w:rPr>
          <w:lang w:val="it-IT" w:eastAsia="en-GB"/>
        </w:rPr>
        <w:t>raggiunte alla settimana 4 erano 15,7</w:t>
      </w:r>
      <w:r w:rsidRPr="00295E71">
        <w:rPr>
          <w:rFonts w:eastAsia="Arial Unicode MS"/>
          <w:lang w:val="it-IT"/>
        </w:rPr>
        <w:t xml:space="preserve">±6,6 </w:t>
      </w:r>
      <w:r w:rsidRPr="00295E71">
        <w:rPr>
          <w:rFonts w:ascii="Symbol" w:hAnsi="Symbol"/>
          <w:lang w:val="it-IT"/>
        </w:rPr>
        <w:sym w:font="Symbol" w:char="F06D"/>
      </w:r>
      <w:r w:rsidRPr="00295E71">
        <w:rPr>
          <w:lang w:val="it-IT"/>
        </w:rPr>
        <w:t xml:space="preserve">g/ml per i pazienti </w:t>
      </w:r>
      <w:r w:rsidRPr="00295E71" w:rsidR="004559C0">
        <w:rPr>
          <w:szCs w:val="20"/>
          <w:lang w:val="it-IT"/>
        </w:rPr>
        <w:t>≥</w:t>
      </w:r>
      <w:r w:rsidRPr="00295E71">
        <w:rPr>
          <w:lang w:val="it-IT"/>
        </w:rPr>
        <w:t xml:space="preserve"> 40 kg (160/80 mg) e </w:t>
      </w:r>
      <w:r w:rsidRPr="00295E71">
        <w:rPr>
          <w:lang w:val="it-IT" w:eastAsia="en-GB"/>
        </w:rPr>
        <w:t>10,6</w:t>
      </w:r>
      <w:r w:rsidRPr="00295E71">
        <w:rPr>
          <w:rFonts w:eastAsia="Arial Unicode MS"/>
          <w:lang w:val="it-IT"/>
        </w:rPr>
        <w:t xml:space="preserve">±6,1 </w:t>
      </w:r>
      <w:r w:rsidRPr="00295E71">
        <w:rPr>
          <w:rFonts w:ascii="Symbol" w:hAnsi="Symbol"/>
          <w:lang w:val="it-IT"/>
        </w:rPr>
        <w:sym w:font="Symbol" w:char="F06D"/>
      </w:r>
      <w:r w:rsidRPr="00295E71">
        <w:rPr>
          <w:lang w:val="it-IT"/>
        </w:rPr>
        <w:t>g/ml per i pazienti &lt; 40 kg (80/40 mg).</w:t>
      </w:r>
    </w:p>
    <w:p w:rsidR="006224C2" w:rsidRPr="00295E71" w14:paraId="39A47F67" w14:textId="77777777">
      <w:pPr>
        <w:pStyle w:val="EMEANormal"/>
        <w:jc w:val="both"/>
        <w:rPr>
          <w:lang w:val="it-IT" w:eastAsia="en-GB"/>
        </w:rPr>
      </w:pPr>
    </w:p>
    <w:p w:rsidR="006224C2" w:rsidRPr="00295E71" w14:paraId="76B860DD" w14:textId="77777777">
      <w:pPr>
        <w:pStyle w:val="EMEANormal"/>
        <w:jc w:val="both"/>
        <w:rPr>
          <w:color w:val="000000"/>
          <w:lang w:val="it-IT"/>
        </w:rPr>
      </w:pPr>
      <w:r w:rsidRPr="00295E71">
        <w:rPr>
          <w:rFonts w:eastAsia="Arial Unicode MS"/>
          <w:lang w:val="it-IT"/>
        </w:rPr>
        <w:t xml:space="preserve">Per i pazienti che rimanevano nella loro terapia randomizzata, le concentrazioni medie </w:t>
      </w:r>
      <w:r w:rsidRPr="00295E71">
        <w:rPr>
          <w:lang w:val="it-IT"/>
        </w:rPr>
        <w:t xml:space="preserve">dei livelli minimi </w:t>
      </w:r>
      <w:r w:rsidRPr="00295E71">
        <w:rPr>
          <w:lang w:val="it-IT" w:eastAsia="en-GB"/>
        </w:rPr>
        <w:t>(</w:t>
      </w:r>
      <w:r w:rsidRPr="00295E71">
        <w:rPr>
          <w:rFonts w:eastAsia="Arial Unicode MS"/>
          <w:lang w:val="it-IT"/>
        </w:rPr>
        <w:t xml:space="preserve">±SD) di </w:t>
      </w:r>
      <w:r w:rsidRPr="00295E71">
        <w:rPr>
          <w:lang w:val="it-IT"/>
        </w:rPr>
        <w:t xml:space="preserve">adalimumab alla settimana 52 erano </w:t>
      </w:r>
      <w:r w:rsidRPr="00295E71">
        <w:rPr>
          <w:rFonts w:eastAsia="Arial Unicode MS"/>
          <w:lang w:val="it-IT"/>
        </w:rPr>
        <w:t>9,5±5,6</w:t>
      </w:r>
      <w:r w:rsidRPr="00295E71">
        <w:rPr>
          <w:lang w:val="it-IT"/>
        </w:rPr>
        <w:t> </w:t>
      </w:r>
      <w:r w:rsidRPr="00295E71">
        <w:rPr>
          <w:rFonts w:ascii="Symbol" w:hAnsi="Symbol"/>
          <w:lang w:val="it-IT"/>
        </w:rPr>
        <w:sym w:font="Symbol" w:char="F06D"/>
      </w:r>
      <w:r w:rsidRPr="00295E71">
        <w:rPr>
          <w:lang w:val="it-IT"/>
        </w:rPr>
        <w:t xml:space="preserve">g/ml per il gruppo a Dose Standard e </w:t>
      </w:r>
      <w:r w:rsidRPr="00295E71">
        <w:rPr>
          <w:rFonts w:eastAsia="Arial Unicode MS"/>
          <w:lang w:val="it-IT"/>
        </w:rPr>
        <w:t>3,5±2,2</w:t>
      </w:r>
      <w:r w:rsidRPr="00295E71">
        <w:rPr>
          <w:lang w:val="it-IT"/>
        </w:rPr>
        <w:t> </w:t>
      </w:r>
      <w:r w:rsidRPr="00295E71">
        <w:rPr>
          <w:rFonts w:ascii="Symbol" w:hAnsi="Symbol"/>
          <w:lang w:val="it-IT"/>
        </w:rPr>
        <w:sym w:font="Symbol" w:char="F06D"/>
      </w:r>
      <w:r w:rsidRPr="00295E71">
        <w:rPr>
          <w:lang w:val="it-IT"/>
        </w:rPr>
        <w:t xml:space="preserve">g/ml per il gruppo a Bassa Dose. Le concentrazioni medie </w:t>
      </w:r>
      <w:r w:rsidRPr="00295E71">
        <w:rPr>
          <w:lang w:val="it-IT" w:eastAsia="en-GB"/>
        </w:rPr>
        <w:t xml:space="preserve">dei livelli minimi erano mantenute nei </w:t>
      </w:r>
      <w:r w:rsidRPr="00295E71">
        <w:rPr>
          <w:rFonts w:eastAsia="Arial Unicode MS"/>
          <w:lang w:val="it-IT"/>
        </w:rPr>
        <w:t>pazienti</w:t>
      </w:r>
      <w:r w:rsidRPr="00295E71">
        <w:rPr>
          <w:lang w:val="it-IT" w:eastAsia="en-GB"/>
        </w:rPr>
        <w:t xml:space="preserve"> che continuavano a ricevere il trattamento di adalimumab a settimane alterne per 52 settimane. Per i pazienti che aumentavano la dose da un regime a settimane alterne a uno settimanale</w:t>
      </w:r>
      <w:r w:rsidRPr="00295E71">
        <w:rPr>
          <w:lang w:val="it-IT"/>
        </w:rPr>
        <w:t xml:space="preserve">, le concentrazioni sieriche medie </w:t>
      </w:r>
      <w:r w:rsidRPr="00295E71">
        <w:rPr>
          <w:lang w:val="it-IT" w:eastAsia="en-GB"/>
        </w:rPr>
        <w:t>(</w:t>
      </w:r>
      <w:r w:rsidRPr="00295E71">
        <w:rPr>
          <w:rFonts w:eastAsia="Arial Unicode MS"/>
          <w:lang w:val="it-IT"/>
        </w:rPr>
        <w:t xml:space="preserve">±SD) di adalimumab alla settimana 52 erano </w:t>
      </w:r>
      <w:r w:rsidRPr="00295E71">
        <w:rPr>
          <w:lang w:val="it-IT"/>
        </w:rPr>
        <w:t>15,3</w:t>
      </w:r>
      <w:r w:rsidRPr="00295E71">
        <w:rPr>
          <w:rFonts w:eastAsia="Arial Unicode MS"/>
          <w:lang w:val="it-IT"/>
        </w:rPr>
        <w:t>±11,4</w:t>
      </w:r>
      <w:r w:rsidRPr="00295E71">
        <w:rPr>
          <w:lang w:val="it-IT"/>
        </w:rPr>
        <w:t xml:space="preserve"> μg/ml (40/20 mg, a settimana) and 6,7</w:t>
      </w:r>
      <w:r w:rsidRPr="00295E71">
        <w:rPr>
          <w:rFonts w:eastAsia="Arial Unicode MS"/>
          <w:lang w:val="it-IT"/>
        </w:rPr>
        <w:t xml:space="preserve">±3,5 </w:t>
      </w:r>
      <w:r w:rsidRPr="00295E71">
        <w:rPr>
          <w:lang w:val="it-IT"/>
        </w:rPr>
        <w:t>μg/ml (20/10 mg, a settimana).</w:t>
      </w:r>
    </w:p>
    <w:p w:rsidR="006224C2" w:rsidRPr="00295E71" w14:paraId="1A69054F" w14:textId="77777777">
      <w:pPr>
        <w:tabs>
          <w:tab w:val="left" w:pos="567"/>
        </w:tabs>
        <w:autoSpaceDE w:val="0"/>
        <w:autoSpaceDN w:val="0"/>
        <w:adjustRightInd w:val="0"/>
        <w:jc w:val="both"/>
        <w:rPr>
          <w:color w:val="000000"/>
          <w:sz w:val="22"/>
          <w:szCs w:val="22"/>
        </w:rPr>
      </w:pPr>
    </w:p>
    <w:p w:rsidR="006224C2" w:rsidRPr="00295E71" w14:paraId="49FD6777" w14:textId="77777777">
      <w:pPr>
        <w:tabs>
          <w:tab w:val="left" w:pos="567"/>
        </w:tabs>
        <w:autoSpaceDE w:val="0"/>
        <w:autoSpaceDN w:val="0"/>
        <w:adjustRightInd w:val="0"/>
        <w:jc w:val="both"/>
        <w:rPr>
          <w:color w:val="000000"/>
          <w:sz w:val="22"/>
          <w:szCs w:val="22"/>
        </w:rPr>
      </w:pPr>
      <w:r w:rsidRPr="00295E71">
        <w:rPr>
          <w:color w:val="000000"/>
          <w:sz w:val="22"/>
          <w:szCs w:val="22"/>
        </w:rPr>
        <w:t>Nei pazienti affetti da colite ulcerosa, una dose di carico di 160 mg di Humira alla settimana 0 seguita da 80mg di Humira alla settimana 2 ha ottenuto una concentrazione sierica minima di adalimumab di circa 12</w:t>
      </w:r>
      <w:r w:rsidRPr="00295E71" w:rsidR="004559C0">
        <w:t>μ</w:t>
      </w:r>
      <w:r w:rsidRPr="00295E71">
        <w:rPr>
          <w:color w:val="000000"/>
          <w:sz w:val="22"/>
          <w:szCs w:val="22"/>
        </w:rPr>
        <w:t xml:space="preserve">g/ml durante il periodo di induzione. Sono stati osservati livelli medi </w:t>
      </w:r>
      <w:r w:rsidRPr="00020442" w:rsidR="00E04499">
        <w:rPr>
          <w:color w:val="000000"/>
          <w:sz w:val="22"/>
          <w:szCs w:val="22"/>
        </w:rPr>
        <w:t xml:space="preserve">minimi </w:t>
      </w:r>
      <w:r w:rsidRPr="00295E71">
        <w:rPr>
          <w:color w:val="000000"/>
          <w:sz w:val="22"/>
          <w:szCs w:val="22"/>
        </w:rPr>
        <w:t xml:space="preserve">all’equilibrio di circa 8 </w:t>
      </w:r>
      <w:r w:rsidRPr="00295E71" w:rsidR="004559C0">
        <w:t>μ</w:t>
      </w:r>
      <w:r w:rsidRPr="00295E71">
        <w:rPr>
          <w:color w:val="000000"/>
          <w:sz w:val="22"/>
          <w:szCs w:val="22"/>
        </w:rPr>
        <w:t>g/ml nei pazienti con colite ulcerosa che hanno ricevuto una dose di mantenimento di 40 mg di Humira ogni due settimane.</w:t>
      </w:r>
    </w:p>
    <w:p w:rsidR="006224C2" w:rsidRPr="00295E71" w14:paraId="197709D0" w14:textId="77777777">
      <w:pPr>
        <w:tabs>
          <w:tab w:val="left" w:pos="567"/>
        </w:tabs>
        <w:autoSpaceDE w:val="0"/>
        <w:autoSpaceDN w:val="0"/>
        <w:adjustRightInd w:val="0"/>
        <w:jc w:val="both"/>
        <w:rPr>
          <w:color w:val="000000"/>
          <w:sz w:val="22"/>
          <w:szCs w:val="22"/>
        </w:rPr>
      </w:pPr>
    </w:p>
    <w:p w:rsidR="00127E4C" w:rsidRPr="00612824" w:rsidP="00127E4C" w14:paraId="06C03247" w14:textId="77777777">
      <w:pPr>
        <w:rPr>
          <w:rStyle w:val="normaltextrun"/>
          <w:sz w:val="22"/>
          <w:szCs w:val="22"/>
          <w:shd w:val="clear" w:color="auto" w:fill="FFFFFF"/>
        </w:rPr>
      </w:pPr>
      <w:r w:rsidRPr="00612824">
        <w:rPr>
          <w:rStyle w:val="normaltextrun"/>
          <w:sz w:val="22"/>
          <w:szCs w:val="22"/>
          <w:shd w:val="clear" w:color="auto" w:fill="FFFFFF"/>
        </w:rPr>
        <w:t>A seguito della somministrazione sottocutanea di una dose di 0,6 mg/kg (massimo 40 mg) ogni due settimane basata sul peso corporeo</w:t>
      </w:r>
      <w:r w:rsidR="00435218">
        <w:rPr>
          <w:rStyle w:val="normaltextrun"/>
          <w:sz w:val="22"/>
          <w:szCs w:val="22"/>
          <w:shd w:val="clear" w:color="auto" w:fill="FFFFFF"/>
        </w:rPr>
        <w:t>,</w:t>
      </w:r>
      <w:r w:rsidRPr="00612824">
        <w:rPr>
          <w:rStyle w:val="normaltextrun"/>
          <w:sz w:val="22"/>
          <w:szCs w:val="22"/>
          <w:shd w:val="clear" w:color="auto" w:fill="FFFFFF"/>
        </w:rPr>
        <w:t xml:space="preserve"> </w:t>
      </w:r>
      <w:r w:rsidR="00435218">
        <w:rPr>
          <w:rStyle w:val="normaltextrun"/>
          <w:sz w:val="22"/>
          <w:szCs w:val="22"/>
          <w:shd w:val="clear" w:color="auto" w:fill="FFFFFF"/>
        </w:rPr>
        <w:t xml:space="preserve">in </w:t>
      </w:r>
      <w:r w:rsidRPr="00612824">
        <w:rPr>
          <w:rStyle w:val="normaltextrun"/>
          <w:sz w:val="22"/>
          <w:szCs w:val="22"/>
          <w:shd w:val="clear" w:color="auto" w:fill="FFFFFF"/>
        </w:rPr>
        <w:t xml:space="preserve">pazienti pediatrici con colite ulcerosa, la concentrazione media </w:t>
      </w:r>
      <w:r w:rsidR="00435218">
        <w:rPr>
          <w:rStyle w:val="normaltextrun"/>
          <w:sz w:val="22"/>
          <w:szCs w:val="22"/>
          <w:shd w:val="clear" w:color="auto" w:fill="FFFFFF"/>
        </w:rPr>
        <w:t>minima</w:t>
      </w:r>
      <w:r w:rsidRPr="00612824">
        <w:rPr>
          <w:rStyle w:val="normaltextrun"/>
          <w:sz w:val="22"/>
          <w:szCs w:val="22"/>
          <w:shd w:val="clear" w:color="auto" w:fill="FFFFFF"/>
        </w:rPr>
        <w:t xml:space="preserve"> di adalimumab sierico all</w:t>
      </w:r>
      <w:r w:rsidR="00435218">
        <w:rPr>
          <w:rStyle w:val="normaltextrun"/>
          <w:sz w:val="22"/>
          <w:szCs w:val="22"/>
          <w:shd w:val="clear" w:color="auto" w:fill="FFFFFF"/>
        </w:rPr>
        <w:t>’equilibrio</w:t>
      </w:r>
      <w:r w:rsidR="00A51109">
        <w:rPr>
          <w:rStyle w:val="normaltextrun"/>
          <w:sz w:val="22"/>
          <w:szCs w:val="22"/>
          <w:shd w:val="clear" w:color="auto" w:fill="FFFFFF"/>
        </w:rPr>
        <w:t xml:space="preserve"> </w:t>
      </w:r>
      <w:r w:rsidRPr="00612824">
        <w:rPr>
          <w:rStyle w:val="normaltextrun"/>
          <w:sz w:val="22"/>
          <w:szCs w:val="22"/>
          <w:shd w:val="clear" w:color="auto" w:fill="FFFFFF"/>
        </w:rPr>
        <w:t>è stata di 5,01±3,28 µg/ml alla Settimana 52. Per i pazienti che hanno ricevuto 0,6 mg/kg (massimo 40 mg) ogni settimana, la concentrazione media</w:t>
      </w:r>
      <w:r w:rsidR="00435218">
        <w:rPr>
          <w:rStyle w:val="normaltextrun"/>
          <w:sz w:val="22"/>
          <w:szCs w:val="22"/>
          <w:shd w:val="clear" w:color="auto" w:fill="FFFFFF"/>
        </w:rPr>
        <w:t xml:space="preserve"> minima</w:t>
      </w:r>
      <w:r w:rsidRPr="00612824">
        <w:rPr>
          <w:rStyle w:val="normaltextrun"/>
          <w:sz w:val="22"/>
          <w:szCs w:val="22"/>
          <w:shd w:val="clear" w:color="auto" w:fill="FFFFFF"/>
        </w:rPr>
        <w:t xml:space="preserve"> (±DS) di adalimumab sierico all</w:t>
      </w:r>
      <w:r w:rsidR="00435218">
        <w:rPr>
          <w:rStyle w:val="normaltextrun"/>
          <w:sz w:val="22"/>
          <w:szCs w:val="22"/>
          <w:shd w:val="clear" w:color="auto" w:fill="FFFFFF"/>
        </w:rPr>
        <w:t>’equilibrio</w:t>
      </w:r>
      <w:r w:rsidRPr="00612824">
        <w:rPr>
          <w:rStyle w:val="normaltextrun"/>
          <w:sz w:val="22"/>
          <w:szCs w:val="22"/>
          <w:shd w:val="clear" w:color="auto" w:fill="FFFFFF"/>
        </w:rPr>
        <w:t xml:space="preserve"> è stata di 15,7±5,60</w:t>
      </w:r>
      <w:r w:rsidRPr="00612824">
        <w:rPr>
          <w:rStyle w:val="spellingerror"/>
          <w:sz w:val="22"/>
          <w:szCs w:val="22"/>
          <w:shd w:val="clear" w:color="auto" w:fill="FFFFFF"/>
        </w:rPr>
        <w:t>μg</w:t>
      </w:r>
      <w:r w:rsidRPr="00612824">
        <w:rPr>
          <w:rStyle w:val="normaltextrun"/>
          <w:sz w:val="22"/>
          <w:szCs w:val="22"/>
          <w:shd w:val="clear" w:color="auto" w:fill="FFFFFF"/>
        </w:rPr>
        <w:t>/ml alla Settimana 52.</w:t>
      </w:r>
    </w:p>
    <w:p w:rsidR="00127E4C" w:rsidRPr="00127E4C" w14:paraId="16558CBC" w14:textId="77777777">
      <w:pPr>
        <w:tabs>
          <w:tab w:val="left" w:pos="567"/>
        </w:tabs>
        <w:autoSpaceDE w:val="0"/>
        <w:autoSpaceDN w:val="0"/>
        <w:adjustRightInd w:val="0"/>
        <w:jc w:val="both"/>
        <w:rPr>
          <w:color w:val="000000"/>
          <w:sz w:val="22"/>
          <w:szCs w:val="22"/>
        </w:rPr>
      </w:pPr>
    </w:p>
    <w:p w:rsidR="006224C2" w:rsidRPr="00295E71" w14:paraId="6B04D1F3" w14:textId="77777777">
      <w:pPr>
        <w:tabs>
          <w:tab w:val="left" w:pos="567"/>
        </w:tabs>
        <w:autoSpaceDE w:val="0"/>
        <w:autoSpaceDN w:val="0"/>
        <w:adjustRightInd w:val="0"/>
        <w:jc w:val="both"/>
        <w:rPr>
          <w:color w:val="000000"/>
          <w:sz w:val="22"/>
          <w:szCs w:val="22"/>
        </w:rPr>
      </w:pPr>
      <w:r w:rsidRPr="00295E71">
        <w:rPr>
          <w:color w:val="000000"/>
          <w:sz w:val="22"/>
          <w:szCs w:val="22"/>
        </w:rPr>
        <w:t xml:space="preserve">Nei pazienti </w:t>
      </w:r>
      <w:r w:rsidRPr="00295E71" w:rsidR="004559C0">
        <w:rPr>
          <w:color w:val="000000"/>
          <w:sz w:val="22"/>
          <w:szCs w:val="22"/>
        </w:rPr>
        <w:t xml:space="preserve">adulti </w:t>
      </w:r>
      <w:r w:rsidRPr="00295E71">
        <w:rPr>
          <w:color w:val="000000"/>
          <w:sz w:val="22"/>
          <w:szCs w:val="22"/>
        </w:rPr>
        <w:t>affetti da uveite, una dose di carico di 80 mg di adalimumab alla settimana 0 seguita da 40 mg di adalimumab a settimane alterne a partire dalla settimana 1 ha determinato concentrazioni medie allo stato stazionario di circa 8-10 </w:t>
      </w:r>
      <w:r w:rsidRPr="00295E71">
        <w:rPr>
          <w:rFonts w:ascii="Symbol" w:hAnsi="Symbol"/>
          <w:color w:val="000000"/>
          <w:sz w:val="22"/>
          <w:szCs w:val="22"/>
        </w:rPr>
        <w:sym w:font="Symbol" w:char="F06D"/>
      </w:r>
      <w:r w:rsidRPr="00295E71">
        <w:rPr>
          <w:color w:val="000000"/>
          <w:sz w:val="22"/>
          <w:szCs w:val="22"/>
        </w:rPr>
        <w:t>g/ml.</w:t>
      </w:r>
    </w:p>
    <w:p w:rsidR="006224C2" w:rsidRPr="00295E71" w14:paraId="32F74652" w14:textId="77777777">
      <w:pPr>
        <w:tabs>
          <w:tab w:val="left" w:pos="567"/>
        </w:tabs>
        <w:autoSpaceDE w:val="0"/>
        <w:autoSpaceDN w:val="0"/>
        <w:adjustRightInd w:val="0"/>
        <w:jc w:val="both"/>
        <w:rPr>
          <w:color w:val="000000"/>
          <w:sz w:val="22"/>
          <w:szCs w:val="22"/>
        </w:rPr>
      </w:pPr>
    </w:p>
    <w:p w:rsidR="006224C2" w:rsidRPr="00295E71" w14:paraId="5351991F" w14:textId="77777777">
      <w:pPr>
        <w:tabs>
          <w:tab w:val="left" w:pos="567"/>
        </w:tabs>
        <w:autoSpaceDE w:val="0"/>
        <w:autoSpaceDN w:val="0"/>
        <w:adjustRightInd w:val="0"/>
        <w:jc w:val="both"/>
        <w:rPr>
          <w:color w:val="000000"/>
          <w:sz w:val="22"/>
          <w:szCs w:val="22"/>
        </w:rPr>
      </w:pPr>
      <w:r w:rsidRPr="00295E71">
        <w:rPr>
          <w:color w:val="000000"/>
          <w:sz w:val="22"/>
          <w:szCs w:val="22"/>
        </w:rPr>
        <w:t>L’esposizione ad adalimumab nei pazienti pediatrici con uveite è stata predetta usando modelli e simulazione farmacocinetica di popolazione basati sulla farmacocinetica cross-indicazione in altri pazienti pediatrici (psoriasi pediatrica, artrite idiopatica giovanile, malattia di Crohn pediatrica e artrite associata ad entesite). Non sono disponibili dati sull’esposizione clinica relativi all’uso di una dose di carico nei bambini di età inferiore ai 6 anni. Le esposizioni previste indicano che in assenza di metotressato una dose di carico potrebbe causare un aumento iniziale dell’esposizione sistemica.</w:t>
      </w:r>
    </w:p>
    <w:p w:rsidR="000F7EDA" w:rsidRPr="00295E71" w14:paraId="7C6C1239" w14:textId="77777777">
      <w:pPr>
        <w:tabs>
          <w:tab w:val="left" w:pos="567"/>
        </w:tabs>
        <w:autoSpaceDE w:val="0"/>
        <w:autoSpaceDN w:val="0"/>
        <w:adjustRightInd w:val="0"/>
        <w:jc w:val="both"/>
        <w:rPr>
          <w:color w:val="000000"/>
          <w:sz w:val="22"/>
          <w:szCs w:val="22"/>
          <w:u w:val="single"/>
        </w:rPr>
      </w:pPr>
    </w:p>
    <w:p w:rsidR="001E3F2D" w:rsidRPr="00295E71" w:rsidP="001E3F2D" w14:paraId="59041E59" w14:textId="77777777">
      <w:pPr>
        <w:tabs>
          <w:tab w:val="left" w:pos="567"/>
        </w:tabs>
        <w:autoSpaceDE w:val="0"/>
        <w:autoSpaceDN w:val="0"/>
        <w:adjustRightInd w:val="0"/>
        <w:jc w:val="both"/>
        <w:rPr>
          <w:color w:val="000000"/>
          <w:sz w:val="22"/>
          <w:szCs w:val="22"/>
        </w:rPr>
      </w:pPr>
      <w:r w:rsidRPr="00295E71">
        <w:rPr>
          <w:color w:val="000000"/>
          <w:sz w:val="22"/>
          <w:szCs w:val="22"/>
        </w:rPr>
        <w:t>Dal modello e dalla simulazione farmacocinetica e farmacocinetica/ farmacodinamica di popolazione è stato previsto che l’esposizione e l'efficacia di adalimumab sono paragonabili in pazienti trattati con 80 mg a settimane alterne e in quelli trattati con 40 mg ogni settimana (compresi i pazienti adulti con AR, HS, CU, MC o Ps, pazienti con HS negli adolescenti e nei pazienti pediatrici ≥ 40 kg con MC</w:t>
      </w:r>
      <w:r w:rsidR="00127E4C">
        <w:rPr>
          <w:color w:val="000000"/>
          <w:sz w:val="22"/>
          <w:szCs w:val="22"/>
        </w:rPr>
        <w:t xml:space="preserve"> e CU</w:t>
      </w:r>
      <w:r w:rsidRPr="00295E71">
        <w:rPr>
          <w:color w:val="000000"/>
          <w:sz w:val="22"/>
          <w:szCs w:val="22"/>
        </w:rPr>
        <w:t>).</w:t>
      </w:r>
    </w:p>
    <w:p w:rsidR="000F7EDA" w:rsidRPr="00295E71" w14:paraId="0E0D301A" w14:textId="77777777">
      <w:pPr>
        <w:tabs>
          <w:tab w:val="left" w:pos="567"/>
        </w:tabs>
        <w:autoSpaceDE w:val="0"/>
        <w:autoSpaceDN w:val="0"/>
        <w:adjustRightInd w:val="0"/>
        <w:jc w:val="both"/>
        <w:rPr>
          <w:color w:val="000000"/>
          <w:sz w:val="22"/>
          <w:szCs w:val="22"/>
          <w:u w:val="single"/>
        </w:rPr>
      </w:pPr>
    </w:p>
    <w:p w:rsidR="004559C0" w:rsidRPr="00295E71" w:rsidP="004559C0" w14:paraId="2AFAFAE9" w14:textId="77777777">
      <w:pPr>
        <w:tabs>
          <w:tab w:val="left" w:pos="567"/>
        </w:tabs>
        <w:autoSpaceDE w:val="0"/>
        <w:autoSpaceDN w:val="0"/>
        <w:adjustRightInd w:val="0"/>
        <w:jc w:val="both"/>
        <w:rPr>
          <w:color w:val="000000"/>
          <w:sz w:val="22"/>
          <w:szCs w:val="22"/>
          <w:u w:val="single"/>
        </w:rPr>
      </w:pPr>
      <w:r w:rsidRPr="00295E71">
        <w:rPr>
          <w:color w:val="000000"/>
          <w:sz w:val="22"/>
          <w:szCs w:val="22"/>
          <w:u w:val="single"/>
        </w:rPr>
        <w:t>Rapporto esposizione-risposta nella popolazione pediatrica</w:t>
      </w:r>
    </w:p>
    <w:p w:rsidR="004559C0" w:rsidRPr="00295E71" w:rsidP="004559C0" w14:paraId="79788F96" w14:textId="77777777">
      <w:pPr>
        <w:tabs>
          <w:tab w:val="left" w:pos="567"/>
        </w:tabs>
        <w:autoSpaceDE w:val="0"/>
        <w:autoSpaceDN w:val="0"/>
        <w:adjustRightInd w:val="0"/>
        <w:jc w:val="both"/>
        <w:rPr>
          <w:color w:val="000000"/>
          <w:sz w:val="22"/>
          <w:szCs w:val="22"/>
        </w:rPr>
      </w:pPr>
    </w:p>
    <w:p w:rsidR="004559C0" w:rsidRPr="00295E71" w:rsidP="004559C0" w14:paraId="2129709E" w14:textId="77777777">
      <w:pPr>
        <w:tabs>
          <w:tab w:val="left" w:pos="567"/>
        </w:tabs>
        <w:autoSpaceDE w:val="0"/>
        <w:autoSpaceDN w:val="0"/>
        <w:adjustRightInd w:val="0"/>
        <w:jc w:val="both"/>
        <w:rPr>
          <w:color w:val="000000"/>
          <w:sz w:val="22"/>
          <w:szCs w:val="22"/>
        </w:rPr>
      </w:pPr>
      <w:r w:rsidRPr="00295E71">
        <w:rPr>
          <w:color w:val="000000"/>
          <w:sz w:val="22"/>
          <w:szCs w:val="22"/>
        </w:rPr>
        <w:t xml:space="preserve">Sulla base dei risultati degli studi clinici in pazienti con JIA (pJIA e ERA), </w:t>
      </w:r>
      <w:r w:rsidRPr="00295E71" w:rsidR="00996365">
        <w:rPr>
          <w:color w:val="000000"/>
          <w:sz w:val="22"/>
          <w:szCs w:val="22"/>
        </w:rPr>
        <w:t xml:space="preserve">è stato stabilito </w:t>
      </w:r>
      <w:r w:rsidRPr="00295E71">
        <w:rPr>
          <w:color w:val="000000"/>
          <w:sz w:val="22"/>
          <w:szCs w:val="22"/>
        </w:rPr>
        <w:t>un rapporto esposizione-risposta tra le concentrazioni plasmatiche e la risposta PedACR 50. La concentrazione plasmatica apparente di adalimumab che produce metà della massima probabilità di risposta PedACR 50 (EC50) è stata 3 μg/ml (95% IC: 1-6 μg/ml).</w:t>
      </w:r>
    </w:p>
    <w:p w:rsidR="004559C0" w:rsidRPr="00295E71" w:rsidP="004559C0" w14:paraId="4DD23271" w14:textId="77777777">
      <w:pPr>
        <w:tabs>
          <w:tab w:val="left" w:pos="567"/>
        </w:tabs>
        <w:autoSpaceDE w:val="0"/>
        <w:autoSpaceDN w:val="0"/>
        <w:adjustRightInd w:val="0"/>
        <w:jc w:val="both"/>
        <w:rPr>
          <w:color w:val="000000"/>
          <w:sz w:val="22"/>
          <w:szCs w:val="22"/>
        </w:rPr>
      </w:pPr>
    </w:p>
    <w:p w:rsidR="004559C0" w:rsidRPr="00295E71" w:rsidP="00F57FE5" w14:paraId="13E5F91D" w14:textId="77777777">
      <w:pPr>
        <w:keepNext/>
        <w:keepLines/>
        <w:tabs>
          <w:tab w:val="left" w:pos="567"/>
        </w:tabs>
        <w:autoSpaceDE w:val="0"/>
        <w:autoSpaceDN w:val="0"/>
        <w:adjustRightInd w:val="0"/>
        <w:jc w:val="both"/>
        <w:rPr>
          <w:color w:val="000000"/>
          <w:sz w:val="22"/>
          <w:szCs w:val="22"/>
        </w:rPr>
      </w:pPr>
      <w:r w:rsidRPr="00295E71">
        <w:rPr>
          <w:color w:val="000000"/>
          <w:sz w:val="22"/>
          <w:szCs w:val="22"/>
        </w:rPr>
        <w:t>I rapporti esposizione-risposta tra la concentrazione di adalimumab e l’efficacia in pazienti pediatrici affetti da psoriasi cronica a placche di grado severo sono stati stabiliti per PASI 75 e PGA corrispondente a remissione totale della malattia o a persistenza di malattia minima rispettivamente. PASI 75 e PGA corrispondente a remissione totale della malattia o a persistenza di malattia minima sono aumentati all’aumentare delle concentrazioni di adalimumab, entrambi con una simile EC50 apparente di circa 4,5 μg/ml (95% IC 0,4-47,6 e 1,9-10,5, rispettivamente).</w:t>
      </w:r>
    </w:p>
    <w:p w:rsidR="004559C0" w:rsidRPr="00295E71" w:rsidP="00F57FE5" w14:paraId="78927BC3" w14:textId="77777777">
      <w:pPr>
        <w:keepNext/>
        <w:keepLines/>
        <w:tabs>
          <w:tab w:val="left" w:pos="567"/>
        </w:tabs>
        <w:autoSpaceDE w:val="0"/>
        <w:autoSpaceDN w:val="0"/>
        <w:adjustRightInd w:val="0"/>
        <w:jc w:val="both"/>
        <w:rPr>
          <w:color w:val="000000"/>
          <w:sz w:val="22"/>
          <w:szCs w:val="22"/>
          <w:u w:val="single"/>
        </w:rPr>
      </w:pPr>
    </w:p>
    <w:p w:rsidR="006224C2" w:rsidRPr="00295E71" w14:paraId="26A2EAD1" w14:textId="77777777">
      <w:pPr>
        <w:tabs>
          <w:tab w:val="left" w:pos="567"/>
        </w:tabs>
        <w:autoSpaceDE w:val="0"/>
        <w:autoSpaceDN w:val="0"/>
        <w:adjustRightInd w:val="0"/>
        <w:jc w:val="both"/>
        <w:rPr>
          <w:color w:val="000000"/>
          <w:sz w:val="22"/>
          <w:szCs w:val="22"/>
          <w:u w:val="single"/>
        </w:rPr>
      </w:pPr>
      <w:r w:rsidRPr="00295E71">
        <w:rPr>
          <w:color w:val="000000"/>
          <w:sz w:val="22"/>
          <w:szCs w:val="22"/>
          <w:u w:val="single"/>
        </w:rPr>
        <w:t>Eliminazione</w:t>
      </w:r>
    </w:p>
    <w:p w:rsidR="006224C2" w:rsidRPr="00295E71" w14:paraId="53171AE2" w14:textId="77777777">
      <w:pPr>
        <w:tabs>
          <w:tab w:val="left" w:pos="567"/>
        </w:tabs>
        <w:autoSpaceDE w:val="0"/>
        <w:autoSpaceDN w:val="0"/>
        <w:adjustRightInd w:val="0"/>
        <w:jc w:val="both"/>
        <w:rPr>
          <w:color w:val="000000"/>
          <w:sz w:val="22"/>
          <w:szCs w:val="22"/>
        </w:rPr>
      </w:pPr>
    </w:p>
    <w:p w:rsidR="006224C2" w:rsidRPr="00295E71" w14:paraId="386F2A77" w14:textId="77777777">
      <w:pPr>
        <w:tabs>
          <w:tab w:val="left" w:pos="567"/>
        </w:tabs>
        <w:autoSpaceDE w:val="0"/>
        <w:autoSpaceDN w:val="0"/>
        <w:adjustRightInd w:val="0"/>
        <w:jc w:val="both"/>
        <w:rPr>
          <w:color w:val="000000"/>
          <w:sz w:val="22"/>
          <w:szCs w:val="22"/>
        </w:rPr>
      </w:pPr>
      <w:r w:rsidRPr="00295E71">
        <w:rPr>
          <w:color w:val="000000"/>
          <w:sz w:val="22"/>
          <w:szCs w:val="22"/>
        </w:rPr>
        <w:t>Le analisi farmacocinetiche di popolazione, su un campione di più di 1.300 pazienti con AR, hanno evidenziato una tendenza ad un apparente aumento della clearance di adalimumab con l’aumentare del peso corporeo. Dopo correzione per le differenze di peso corporeo, sesso ed età sono risultati avere un effetto minimo sulla clearance di adalimumab. I livelli sierici di adalimumab libero (non legato agli anticorpi anti-adalimumab – AAA) sono stati più bassi nei pazienti con titoli misurabili di AAA.</w:t>
      </w:r>
    </w:p>
    <w:p w:rsidR="006224C2" w:rsidRPr="00295E71" w14:paraId="1BBCF352" w14:textId="77777777">
      <w:pPr>
        <w:tabs>
          <w:tab w:val="left" w:pos="567"/>
        </w:tabs>
        <w:autoSpaceDE w:val="0"/>
        <w:autoSpaceDN w:val="0"/>
        <w:adjustRightInd w:val="0"/>
        <w:jc w:val="both"/>
        <w:rPr>
          <w:color w:val="000000"/>
          <w:sz w:val="22"/>
          <w:szCs w:val="22"/>
        </w:rPr>
      </w:pPr>
    </w:p>
    <w:p w:rsidR="006224C2" w:rsidRPr="00295E71" w:rsidP="00986889" w14:paraId="3ACF4D55" w14:textId="77777777">
      <w:pPr>
        <w:keepNext/>
        <w:tabs>
          <w:tab w:val="left" w:pos="567"/>
        </w:tabs>
        <w:autoSpaceDE w:val="0"/>
        <w:autoSpaceDN w:val="0"/>
        <w:adjustRightInd w:val="0"/>
        <w:jc w:val="both"/>
        <w:rPr>
          <w:color w:val="000000"/>
          <w:sz w:val="22"/>
          <w:szCs w:val="22"/>
          <w:u w:val="single"/>
        </w:rPr>
      </w:pPr>
      <w:r w:rsidRPr="00295E71">
        <w:rPr>
          <w:color w:val="000000"/>
          <w:sz w:val="22"/>
          <w:szCs w:val="22"/>
          <w:u w:val="single"/>
        </w:rPr>
        <w:t>Insufficienza epatica o renale</w:t>
      </w:r>
    </w:p>
    <w:p w:rsidR="006224C2" w:rsidRPr="00295E71" w:rsidP="00986889" w14:paraId="3DD686BA" w14:textId="77777777">
      <w:pPr>
        <w:keepNext/>
        <w:tabs>
          <w:tab w:val="left" w:pos="567"/>
        </w:tabs>
        <w:autoSpaceDE w:val="0"/>
        <w:autoSpaceDN w:val="0"/>
        <w:adjustRightInd w:val="0"/>
        <w:jc w:val="both"/>
        <w:rPr>
          <w:color w:val="000000"/>
          <w:sz w:val="22"/>
          <w:szCs w:val="22"/>
        </w:rPr>
      </w:pPr>
    </w:p>
    <w:p w:rsidR="006224C2" w:rsidRPr="00295E71" w14:paraId="69FB6708" w14:textId="77777777">
      <w:pPr>
        <w:tabs>
          <w:tab w:val="left" w:pos="567"/>
        </w:tabs>
        <w:autoSpaceDE w:val="0"/>
        <w:autoSpaceDN w:val="0"/>
        <w:adjustRightInd w:val="0"/>
        <w:jc w:val="both"/>
        <w:rPr>
          <w:color w:val="000000"/>
          <w:sz w:val="22"/>
          <w:szCs w:val="22"/>
        </w:rPr>
      </w:pPr>
      <w:r w:rsidRPr="00295E71">
        <w:rPr>
          <w:color w:val="000000"/>
          <w:sz w:val="22"/>
          <w:szCs w:val="22"/>
        </w:rPr>
        <w:t xml:space="preserve">Humira non è stato studiato in pazienti con insufficienza </w:t>
      </w:r>
      <w:r w:rsidRPr="00020442" w:rsidR="00E04499">
        <w:rPr>
          <w:color w:val="000000"/>
          <w:sz w:val="22"/>
          <w:szCs w:val="22"/>
        </w:rPr>
        <w:t xml:space="preserve">epatica o </w:t>
      </w:r>
      <w:r w:rsidRPr="00295E71">
        <w:rPr>
          <w:color w:val="000000"/>
          <w:sz w:val="22"/>
          <w:szCs w:val="22"/>
        </w:rPr>
        <w:t>renale.</w:t>
      </w:r>
    </w:p>
    <w:p w:rsidR="006224C2" w:rsidRPr="00295E71" w14:paraId="6CAC9976" w14:textId="77777777">
      <w:pPr>
        <w:tabs>
          <w:tab w:val="left" w:pos="567"/>
          <w:tab w:val="left" w:pos="2304"/>
          <w:tab w:val="left" w:pos="3024"/>
        </w:tabs>
        <w:autoSpaceDE w:val="0"/>
        <w:autoSpaceDN w:val="0"/>
        <w:adjustRightInd w:val="0"/>
        <w:jc w:val="both"/>
        <w:rPr>
          <w:sz w:val="22"/>
          <w:szCs w:val="22"/>
        </w:rPr>
      </w:pPr>
    </w:p>
    <w:p w:rsidR="006224C2" w:rsidRPr="00295E71" w14:paraId="348831DD" w14:textId="77777777">
      <w:pPr>
        <w:keepNext/>
        <w:rPr>
          <w:b/>
          <w:sz w:val="22"/>
          <w:szCs w:val="22"/>
        </w:rPr>
      </w:pPr>
      <w:r w:rsidRPr="00295E71">
        <w:rPr>
          <w:b/>
          <w:sz w:val="22"/>
          <w:szCs w:val="22"/>
        </w:rPr>
        <w:t xml:space="preserve">5.3 </w:t>
      </w:r>
      <w:r w:rsidRPr="00295E71">
        <w:rPr>
          <w:b/>
          <w:sz w:val="22"/>
          <w:szCs w:val="22"/>
        </w:rPr>
        <w:tab/>
        <w:t>Dati preclinici di sicurezza</w:t>
      </w:r>
    </w:p>
    <w:p w:rsidR="006224C2" w:rsidRPr="00295E71" w14:paraId="67EDB7A3" w14:textId="77777777">
      <w:pPr>
        <w:pStyle w:val="EndnoteText"/>
        <w:keepNext/>
        <w:jc w:val="both"/>
        <w:rPr>
          <w:lang w:val="it-IT"/>
        </w:rPr>
      </w:pPr>
    </w:p>
    <w:p w:rsidR="006224C2" w:rsidRPr="00295E71" w14:paraId="25AAC594" w14:textId="77777777">
      <w:pPr>
        <w:tabs>
          <w:tab w:val="left" w:pos="567"/>
        </w:tabs>
        <w:autoSpaceDE w:val="0"/>
        <w:autoSpaceDN w:val="0"/>
        <w:adjustRightInd w:val="0"/>
        <w:jc w:val="both"/>
        <w:rPr>
          <w:color w:val="000000"/>
          <w:sz w:val="22"/>
          <w:szCs w:val="22"/>
        </w:rPr>
      </w:pPr>
      <w:r w:rsidRPr="00020442">
        <w:rPr>
          <w:color w:val="000000"/>
          <w:sz w:val="22"/>
          <w:szCs w:val="22"/>
        </w:rPr>
        <w:t>I dati preclinici non rivelano rischi particolari per l’uomo sulla base di studi di tossicità a dosi singole, tossicità a dosi ripetute e genotossicità</w:t>
      </w:r>
    </w:p>
    <w:p w:rsidR="006224C2" w:rsidRPr="00295E71" w14:paraId="236A7EAE" w14:textId="77777777">
      <w:pPr>
        <w:rPr>
          <w:sz w:val="22"/>
          <w:szCs w:val="22"/>
        </w:rPr>
      </w:pPr>
      <w:r w:rsidRPr="00295E71">
        <w:rPr>
          <w:sz w:val="22"/>
          <w:szCs w:val="22"/>
        </w:rPr>
        <w:t xml:space="preserve">È stato condotto uno studio sulla tossicità nello sviluppo embrio-fetale/sviluppo perinatale in scimmie cinomologhe con dosaggi di 0,30 e 100 mg/kg (9-17 scimmie/gruppo); tale studio non ha evidenziato danni fetali provocati da adalimumab. </w:t>
      </w:r>
      <w:r w:rsidRPr="00295E71" w:rsidR="0066449A">
        <w:rPr>
          <w:sz w:val="22"/>
          <w:szCs w:val="22"/>
        </w:rPr>
        <w:t>Sia l</w:t>
      </w:r>
      <w:r w:rsidRPr="00295E71">
        <w:rPr>
          <w:sz w:val="22"/>
          <w:szCs w:val="22"/>
        </w:rPr>
        <w:t xml:space="preserve">e prove di cancerogenesi </w:t>
      </w:r>
      <w:r w:rsidRPr="00295E71" w:rsidR="0066449A">
        <w:rPr>
          <w:sz w:val="22"/>
          <w:szCs w:val="22"/>
        </w:rPr>
        <w:t>ch</w:t>
      </w:r>
      <w:r w:rsidRPr="00295E71">
        <w:rPr>
          <w:sz w:val="22"/>
          <w:szCs w:val="22"/>
        </w:rPr>
        <w:t xml:space="preserve">e le valutazioni standard sulla fertilità e sulla tossicità postnatale non sono state condotte </w:t>
      </w:r>
      <w:r w:rsidRPr="00020442" w:rsidR="00E04499">
        <w:rPr>
          <w:sz w:val="22"/>
          <w:szCs w:val="22"/>
        </w:rPr>
        <w:t xml:space="preserve">con adalimumab </w:t>
      </w:r>
      <w:r w:rsidRPr="00295E71">
        <w:rPr>
          <w:sz w:val="22"/>
          <w:szCs w:val="22"/>
        </w:rPr>
        <w:t>a causa di mancanza di modelli appropriati per un anticorpo con limitata reattività crociata per il TNF nei roditori e lo sviluppo di anticorpi neutralizzanti nei roditori.</w:t>
      </w:r>
    </w:p>
    <w:p w:rsidR="006224C2" w:rsidRPr="00295E71" w14:paraId="478AB0BA" w14:textId="77777777">
      <w:pPr>
        <w:tabs>
          <w:tab w:val="left" w:pos="567"/>
        </w:tabs>
        <w:autoSpaceDE w:val="0"/>
        <w:autoSpaceDN w:val="0"/>
        <w:adjustRightInd w:val="0"/>
        <w:jc w:val="both"/>
        <w:rPr>
          <w:sz w:val="22"/>
          <w:szCs w:val="22"/>
        </w:rPr>
      </w:pPr>
    </w:p>
    <w:p w:rsidR="006224C2" w:rsidRPr="00295E71" w14:paraId="2EAAAF68" w14:textId="77777777">
      <w:pPr>
        <w:tabs>
          <w:tab w:val="left" w:pos="567"/>
        </w:tabs>
        <w:autoSpaceDE w:val="0"/>
        <w:autoSpaceDN w:val="0"/>
        <w:adjustRightInd w:val="0"/>
        <w:jc w:val="both"/>
        <w:rPr>
          <w:sz w:val="22"/>
          <w:szCs w:val="22"/>
        </w:rPr>
      </w:pPr>
    </w:p>
    <w:p w:rsidR="006224C2" w:rsidRPr="00BF509C" w:rsidP="00F57FE5" w14:paraId="6517E878" w14:textId="77777777">
      <w:pPr>
        <w:keepNext/>
        <w:keepLines/>
        <w:rPr>
          <w:bCs/>
          <w:sz w:val="22"/>
          <w:szCs w:val="22"/>
        </w:rPr>
      </w:pPr>
      <w:r w:rsidRPr="00295E71">
        <w:rPr>
          <w:b/>
          <w:bCs/>
          <w:sz w:val="22"/>
          <w:szCs w:val="22"/>
        </w:rPr>
        <w:t>6.</w:t>
      </w:r>
      <w:r w:rsidRPr="00295E71">
        <w:rPr>
          <w:b/>
          <w:bCs/>
          <w:sz w:val="22"/>
          <w:szCs w:val="22"/>
        </w:rPr>
        <w:tab/>
        <w:t>INFORMAZIONI FARMACEUTICHE</w:t>
      </w:r>
    </w:p>
    <w:p w:rsidR="006224C2" w:rsidRPr="00BF509C" w:rsidP="00F57FE5" w14:paraId="613E2C91" w14:textId="77777777">
      <w:pPr>
        <w:keepNext/>
        <w:keepLines/>
        <w:tabs>
          <w:tab w:val="left" w:pos="567"/>
        </w:tabs>
        <w:jc w:val="both"/>
        <w:rPr>
          <w:bCs/>
          <w:sz w:val="22"/>
          <w:szCs w:val="22"/>
        </w:rPr>
      </w:pPr>
    </w:p>
    <w:p w:rsidR="006224C2" w:rsidRPr="00BF509C" w:rsidP="00F57FE5" w14:paraId="2940A2E0" w14:textId="77777777">
      <w:pPr>
        <w:keepNext/>
        <w:keepLines/>
        <w:tabs>
          <w:tab w:val="left" w:pos="567"/>
        </w:tabs>
        <w:jc w:val="both"/>
        <w:rPr>
          <w:bCs/>
          <w:sz w:val="22"/>
          <w:szCs w:val="22"/>
        </w:rPr>
      </w:pPr>
      <w:r w:rsidRPr="00295E71">
        <w:rPr>
          <w:b/>
          <w:bCs/>
          <w:sz w:val="22"/>
          <w:szCs w:val="22"/>
        </w:rPr>
        <w:t>6.1</w:t>
      </w:r>
      <w:r w:rsidRPr="00295E71">
        <w:rPr>
          <w:b/>
          <w:bCs/>
          <w:sz w:val="22"/>
          <w:szCs w:val="22"/>
        </w:rPr>
        <w:tab/>
        <w:t>Elenco degli eccipienti</w:t>
      </w:r>
    </w:p>
    <w:p w:rsidR="006224C2" w:rsidRPr="00295E71" w:rsidP="00F57FE5" w14:paraId="2FB529F1" w14:textId="77777777">
      <w:pPr>
        <w:keepNext/>
        <w:keepLines/>
        <w:tabs>
          <w:tab w:val="left" w:pos="567"/>
        </w:tabs>
        <w:autoSpaceDE w:val="0"/>
        <w:autoSpaceDN w:val="0"/>
        <w:adjustRightInd w:val="0"/>
        <w:jc w:val="both"/>
        <w:rPr>
          <w:sz w:val="22"/>
          <w:szCs w:val="22"/>
        </w:rPr>
      </w:pPr>
    </w:p>
    <w:p w:rsidR="006224C2" w:rsidRPr="00295E71" w:rsidP="00F57FE5" w14:paraId="5416CFBA" w14:textId="77777777">
      <w:pPr>
        <w:keepNext/>
        <w:keepLines/>
        <w:tabs>
          <w:tab w:val="left" w:pos="567"/>
        </w:tabs>
        <w:autoSpaceDE w:val="0"/>
        <w:autoSpaceDN w:val="0"/>
        <w:adjustRightInd w:val="0"/>
        <w:ind w:left="567" w:hanging="567"/>
        <w:jc w:val="both"/>
        <w:rPr>
          <w:sz w:val="22"/>
          <w:szCs w:val="22"/>
        </w:rPr>
      </w:pPr>
      <w:r w:rsidRPr="00295E71">
        <w:rPr>
          <w:sz w:val="22"/>
          <w:szCs w:val="22"/>
        </w:rPr>
        <w:t>Mannitolo</w:t>
      </w:r>
    </w:p>
    <w:p w:rsidR="006224C2" w:rsidRPr="00295E71" w:rsidP="00F57FE5" w14:paraId="0A2BEFDC" w14:textId="77777777">
      <w:pPr>
        <w:keepNext/>
        <w:keepLines/>
        <w:tabs>
          <w:tab w:val="left" w:pos="567"/>
        </w:tabs>
        <w:autoSpaceDE w:val="0"/>
        <w:autoSpaceDN w:val="0"/>
        <w:adjustRightInd w:val="0"/>
        <w:ind w:left="567" w:hanging="567"/>
        <w:jc w:val="both"/>
        <w:rPr>
          <w:sz w:val="22"/>
          <w:szCs w:val="22"/>
        </w:rPr>
      </w:pPr>
      <w:r w:rsidRPr="00295E71">
        <w:rPr>
          <w:sz w:val="22"/>
          <w:szCs w:val="22"/>
        </w:rPr>
        <w:t>Polisorbato 80</w:t>
      </w:r>
    </w:p>
    <w:p w:rsidR="006224C2" w:rsidRPr="00295E71" w:rsidP="00F57FE5" w14:paraId="529D83DE" w14:textId="77777777">
      <w:pPr>
        <w:keepNext/>
        <w:keepLines/>
        <w:tabs>
          <w:tab w:val="left" w:pos="567"/>
        </w:tabs>
        <w:autoSpaceDE w:val="0"/>
        <w:autoSpaceDN w:val="0"/>
        <w:adjustRightInd w:val="0"/>
        <w:ind w:left="567" w:hanging="567"/>
        <w:jc w:val="both"/>
        <w:rPr>
          <w:sz w:val="22"/>
          <w:szCs w:val="22"/>
        </w:rPr>
      </w:pPr>
      <w:r w:rsidRPr="00295E71">
        <w:rPr>
          <w:sz w:val="22"/>
          <w:szCs w:val="22"/>
        </w:rPr>
        <w:t>Acqua per preparazioni iniettabili.</w:t>
      </w:r>
    </w:p>
    <w:p w:rsidR="006224C2" w:rsidRPr="00295E71" w14:paraId="7FD8B748" w14:textId="77777777">
      <w:pPr>
        <w:tabs>
          <w:tab w:val="left" w:pos="567"/>
        </w:tabs>
        <w:ind w:right="-2"/>
        <w:jc w:val="both"/>
        <w:rPr>
          <w:sz w:val="22"/>
          <w:szCs w:val="22"/>
        </w:rPr>
      </w:pPr>
    </w:p>
    <w:p w:rsidR="006224C2" w:rsidRPr="00BF509C" w14:paraId="37FC4AFB" w14:textId="77777777">
      <w:pPr>
        <w:tabs>
          <w:tab w:val="left" w:pos="567"/>
        </w:tabs>
        <w:ind w:left="567" w:hanging="567"/>
        <w:jc w:val="both"/>
        <w:rPr>
          <w:bCs/>
          <w:sz w:val="22"/>
          <w:szCs w:val="22"/>
        </w:rPr>
      </w:pPr>
      <w:r w:rsidRPr="00295E71">
        <w:rPr>
          <w:b/>
          <w:bCs/>
          <w:sz w:val="22"/>
          <w:szCs w:val="22"/>
        </w:rPr>
        <w:t>6.2</w:t>
      </w:r>
      <w:r w:rsidRPr="00295E71">
        <w:rPr>
          <w:b/>
          <w:bCs/>
          <w:sz w:val="22"/>
          <w:szCs w:val="22"/>
        </w:rPr>
        <w:tab/>
        <w:t>Incompatibilità</w:t>
      </w:r>
    </w:p>
    <w:p w:rsidR="006224C2" w:rsidRPr="00295E71" w14:paraId="64D5428B" w14:textId="77777777">
      <w:pPr>
        <w:tabs>
          <w:tab w:val="left" w:pos="567"/>
        </w:tabs>
        <w:jc w:val="both"/>
        <w:rPr>
          <w:sz w:val="22"/>
          <w:szCs w:val="22"/>
        </w:rPr>
      </w:pPr>
    </w:p>
    <w:p w:rsidR="006224C2" w:rsidRPr="00295E71" w14:paraId="6466B3A6" w14:textId="77777777">
      <w:pPr>
        <w:tabs>
          <w:tab w:val="left" w:pos="567"/>
        </w:tabs>
        <w:jc w:val="both"/>
        <w:rPr>
          <w:sz w:val="22"/>
          <w:szCs w:val="22"/>
        </w:rPr>
      </w:pPr>
      <w:r w:rsidRPr="00295E71">
        <w:rPr>
          <w:sz w:val="22"/>
          <w:szCs w:val="22"/>
        </w:rPr>
        <w:t>In assenza di studi di compatibilità, questo medicinale non deve essere miscelato con altri medicinali.</w:t>
      </w:r>
    </w:p>
    <w:p w:rsidR="006224C2" w:rsidRPr="00295E71" w14:paraId="5306C963" w14:textId="77777777">
      <w:pPr>
        <w:tabs>
          <w:tab w:val="left" w:pos="567"/>
        </w:tabs>
        <w:jc w:val="both"/>
        <w:rPr>
          <w:sz w:val="22"/>
          <w:szCs w:val="22"/>
        </w:rPr>
      </w:pPr>
    </w:p>
    <w:p w:rsidR="006224C2" w:rsidRPr="00BF509C" w14:paraId="4668ABE3" w14:textId="77777777">
      <w:pPr>
        <w:keepNext/>
        <w:tabs>
          <w:tab w:val="left" w:pos="567"/>
        </w:tabs>
        <w:ind w:left="567" w:hanging="567"/>
        <w:jc w:val="both"/>
        <w:rPr>
          <w:bCs/>
          <w:sz w:val="22"/>
          <w:szCs w:val="22"/>
        </w:rPr>
      </w:pPr>
      <w:r w:rsidRPr="00295E71">
        <w:rPr>
          <w:b/>
          <w:bCs/>
          <w:sz w:val="22"/>
          <w:szCs w:val="22"/>
        </w:rPr>
        <w:t>6.3</w:t>
      </w:r>
      <w:r w:rsidRPr="00295E71">
        <w:rPr>
          <w:b/>
          <w:bCs/>
          <w:sz w:val="22"/>
          <w:szCs w:val="22"/>
        </w:rPr>
        <w:tab/>
        <w:t>Periodo di validità</w:t>
      </w:r>
    </w:p>
    <w:p w:rsidR="006224C2" w:rsidRPr="00295E71" w14:paraId="389703E6" w14:textId="77777777">
      <w:pPr>
        <w:keepNext/>
        <w:tabs>
          <w:tab w:val="left" w:pos="567"/>
        </w:tabs>
        <w:jc w:val="both"/>
        <w:rPr>
          <w:sz w:val="22"/>
          <w:szCs w:val="22"/>
        </w:rPr>
      </w:pPr>
    </w:p>
    <w:p w:rsidR="006224C2" w:rsidRPr="00295E71" w14:paraId="147D5FA1" w14:textId="77777777">
      <w:pPr>
        <w:keepNext/>
        <w:tabs>
          <w:tab w:val="left" w:pos="567"/>
        </w:tabs>
        <w:jc w:val="both"/>
        <w:rPr>
          <w:sz w:val="22"/>
          <w:szCs w:val="22"/>
        </w:rPr>
      </w:pPr>
      <w:r w:rsidRPr="00295E71">
        <w:rPr>
          <w:sz w:val="22"/>
          <w:szCs w:val="22"/>
        </w:rPr>
        <w:t>2 anni</w:t>
      </w:r>
    </w:p>
    <w:p w:rsidR="006224C2" w:rsidRPr="00295E71" w14:paraId="28CA6B7F" w14:textId="77777777">
      <w:pPr>
        <w:keepNext/>
        <w:tabs>
          <w:tab w:val="left" w:pos="567"/>
        </w:tabs>
        <w:jc w:val="both"/>
        <w:rPr>
          <w:sz w:val="22"/>
          <w:szCs w:val="22"/>
        </w:rPr>
      </w:pPr>
    </w:p>
    <w:p w:rsidR="006224C2" w:rsidRPr="00BF509C" w:rsidP="00DA39F8" w14:paraId="788AAFF7" w14:textId="77777777">
      <w:pPr>
        <w:tabs>
          <w:tab w:val="left" w:pos="567"/>
        </w:tabs>
        <w:rPr>
          <w:bCs/>
          <w:sz w:val="22"/>
          <w:szCs w:val="22"/>
        </w:rPr>
      </w:pPr>
      <w:r w:rsidRPr="00295E71">
        <w:rPr>
          <w:b/>
          <w:bCs/>
          <w:sz w:val="22"/>
          <w:szCs w:val="22"/>
        </w:rPr>
        <w:t xml:space="preserve">6.4 </w:t>
      </w:r>
      <w:r w:rsidR="00DA39F8">
        <w:rPr>
          <w:b/>
          <w:bCs/>
          <w:sz w:val="22"/>
          <w:szCs w:val="22"/>
        </w:rPr>
        <w:tab/>
      </w:r>
      <w:r w:rsidRPr="00295E71">
        <w:rPr>
          <w:b/>
          <w:bCs/>
          <w:sz w:val="22"/>
          <w:szCs w:val="22"/>
        </w:rPr>
        <w:t>Precauzioni particolari per la conservazione</w:t>
      </w:r>
    </w:p>
    <w:p w:rsidR="006224C2" w:rsidRPr="00295E71" w14:paraId="7B8D85D9" w14:textId="77777777">
      <w:pPr>
        <w:tabs>
          <w:tab w:val="left" w:pos="567"/>
        </w:tabs>
        <w:jc w:val="both"/>
        <w:rPr>
          <w:sz w:val="22"/>
          <w:szCs w:val="22"/>
        </w:rPr>
      </w:pPr>
    </w:p>
    <w:p w:rsidR="006224C2" w:rsidRPr="00295E71" w14:paraId="7F54BE0E" w14:textId="77777777">
      <w:pPr>
        <w:tabs>
          <w:tab w:val="left" w:pos="567"/>
        </w:tabs>
        <w:jc w:val="both"/>
        <w:rPr>
          <w:sz w:val="22"/>
          <w:szCs w:val="22"/>
        </w:rPr>
      </w:pPr>
      <w:r w:rsidRPr="00295E71">
        <w:rPr>
          <w:sz w:val="22"/>
          <w:szCs w:val="22"/>
        </w:rPr>
        <w:t>Conservare in frigorifero (2</w:t>
      </w:r>
      <w:r w:rsidRPr="00295E71">
        <w:rPr>
          <w:rFonts w:ascii="Symbol" w:hAnsi="Symbol"/>
          <w:sz w:val="22"/>
          <w:szCs w:val="22"/>
        </w:rPr>
        <w:sym w:font="Symbol" w:char="F0B0"/>
      </w:r>
      <w:r w:rsidRPr="00295E71">
        <w:rPr>
          <w:sz w:val="22"/>
          <w:szCs w:val="22"/>
        </w:rPr>
        <w:t>C – 8</w:t>
      </w:r>
      <w:r w:rsidRPr="00295E71">
        <w:rPr>
          <w:rFonts w:ascii="Symbol" w:hAnsi="Symbol"/>
          <w:sz w:val="22"/>
          <w:szCs w:val="22"/>
        </w:rPr>
        <w:sym w:font="Symbol" w:char="F0B0"/>
      </w:r>
      <w:r w:rsidRPr="00295E71">
        <w:rPr>
          <w:sz w:val="22"/>
          <w:szCs w:val="22"/>
        </w:rPr>
        <w:t xml:space="preserve">C). Non congelare. </w:t>
      </w:r>
      <w:r w:rsidRPr="00295E71" w:rsidR="001013A9">
        <w:rPr>
          <w:sz w:val="22"/>
          <w:szCs w:val="22"/>
        </w:rPr>
        <w:t xml:space="preserve">Tenere </w:t>
      </w:r>
      <w:r w:rsidRPr="00295E71">
        <w:rPr>
          <w:sz w:val="22"/>
          <w:szCs w:val="22"/>
        </w:rPr>
        <w:t xml:space="preserve">la siringa pre-riempita o la penna pre-riempita </w:t>
      </w:r>
      <w:r w:rsidRPr="00295E71" w:rsidR="001013A9">
        <w:rPr>
          <w:sz w:val="22"/>
          <w:szCs w:val="22"/>
        </w:rPr>
        <w:t xml:space="preserve">nell’imballaggio esterno </w:t>
      </w:r>
      <w:r w:rsidRPr="00295E71">
        <w:rPr>
          <w:sz w:val="22"/>
          <w:szCs w:val="22"/>
        </w:rPr>
        <w:t>per proteggere il medicinale dalla luce.</w:t>
      </w:r>
    </w:p>
    <w:p w:rsidR="006224C2" w:rsidRPr="00295E71" w14:paraId="710C1266" w14:textId="77777777">
      <w:pPr>
        <w:tabs>
          <w:tab w:val="left" w:pos="567"/>
        </w:tabs>
        <w:jc w:val="both"/>
        <w:rPr>
          <w:sz w:val="22"/>
          <w:szCs w:val="22"/>
        </w:rPr>
      </w:pPr>
    </w:p>
    <w:p w:rsidR="006224C2" w:rsidRPr="00295E71" w14:paraId="772AC1DF" w14:textId="77777777">
      <w:pPr>
        <w:tabs>
          <w:tab w:val="left" w:pos="567"/>
        </w:tabs>
        <w:jc w:val="both"/>
        <w:rPr>
          <w:sz w:val="22"/>
          <w:szCs w:val="22"/>
        </w:rPr>
      </w:pPr>
      <w:r w:rsidRPr="00295E71">
        <w:rPr>
          <w:sz w:val="22"/>
          <w:szCs w:val="22"/>
        </w:rPr>
        <w:t>Una singola siringa pre-riempita o una penna pre-riempita di Humira può essere conservata a temperature fino a un massimo di 25°C per un periodo di non oltre 14 giorni. La siringa o la penna deve essere protetta dalla luce e gettata se non usata durante il periodo dei 14 giorni</w:t>
      </w:r>
      <w:r w:rsidRPr="00295E71" w:rsidR="00B510FF">
        <w:rPr>
          <w:sz w:val="22"/>
          <w:szCs w:val="22"/>
        </w:rPr>
        <w:t>.</w:t>
      </w:r>
    </w:p>
    <w:p w:rsidR="006224C2" w:rsidRPr="00295E71" w14:paraId="3E5C7ABA" w14:textId="77777777">
      <w:pPr>
        <w:tabs>
          <w:tab w:val="left" w:pos="567"/>
        </w:tabs>
        <w:jc w:val="both"/>
        <w:rPr>
          <w:sz w:val="22"/>
          <w:szCs w:val="22"/>
        </w:rPr>
      </w:pPr>
    </w:p>
    <w:p w:rsidR="006224C2" w:rsidRPr="00295E71" w:rsidP="00F57FE5" w14:paraId="7CDD0F01" w14:textId="77777777">
      <w:pPr>
        <w:keepNext/>
        <w:keepLines/>
        <w:tabs>
          <w:tab w:val="left" w:pos="567"/>
        </w:tabs>
        <w:ind w:left="567" w:hanging="567"/>
        <w:jc w:val="both"/>
        <w:rPr>
          <w:b/>
          <w:bCs/>
          <w:sz w:val="22"/>
          <w:szCs w:val="22"/>
        </w:rPr>
      </w:pPr>
      <w:r w:rsidRPr="00295E71">
        <w:rPr>
          <w:b/>
          <w:bCs/>
          <w:sz w:val="22"/>
          <w:szCs w:val="22"/>
        </w:rPr>
        <w:t>6.5</w:t>
      </w:r>
      <w:r w:rsidRPr="00295E71">
        <w:rPr>
          <w:b/>
          <w:bCs/>
          <w:sz w:val="22"/>
          <w:szCs w:val="22"/>
        </w:rPr>
        <w:tab/>
        <w:t>Natura e contenuto del contenitore</w:t>
      </w:r>
    </w:p>
    <w:p w:rsidR="006224C2" w:rsidRPr="00295E71" w:rsidP="00F57FE5" w14:paraId="4795869C" w14:textId="77777777">
      <w:pPr>
        <w:keepNext/>
        <w:keepLines/>
        <w:tabs>
          <w:tab w:val="left" w:pos="567"/>
        </w:tabs>
        <w:jc w:val="both"/>
        <w:rPr>
          <w:sz w:val="22"/>
          <w:szCs w:val="22"/>
        </w:rPr>
      </w:pPr>
    </w:p>
    <w:p w:rsidR="006224C2" w:rsidRPr="0020624D" w:rsidP="00F57FE5" w14:paraId="4E59E237" w14:textId="77777777">
      <w:pPr>
        <w:keepNext/>
        <w:keepLines/>
        <w:tabs>
          <w:tab w:val="left" w:pos="567"/>
        </w:tabs>
        <w:jc w:val="both"/>
        <w:rPr>
          <w:sz w:val="22"/>
          <w:szCs w:val="22"/>
          <w:u w:val="single"/>
        </w:rPr>
      </w:pPr>
      <w:r w:rsidRPr="0020624D">
        <w:rPr>
          <w:sz w:val="22"/>
          <w:szCs w:val="22"/>
          <w:u w:val="single"/>
        </w:rPr>
        <w:t>Humira 80 mg soluzione iniettabile in siringa pre-riempita</w:t>
      </w:r>
    </w:p>
    <w:p w:rsidR="006224C2" w:rsidRPr="00295E71" w:rsidP="00F57FE5" w14:paraId="6948461F" w14:textId="77777777">
      <w:pPr>
        <w:keepNext/>
        <w:keepLines/>
        <w:tabs>
          <w:tab w:val="left" w:pos="567"/>
        </w:tabs>
        <w:jc w:val="both"/>
        <w:rPr>
          <w:sz w:val="22"/>
          <w:szCs w:val="22"/>
        </w:rPr>
      </w:pPr>
      <w:r w:rsidRPr="00295E71">
        <w:rPr>
          <w:sz w:val="22"/>
          <w:szCs w:val="22"/>
        </w:rPr>
        <w:t>Humira 80 mg soluzione iniettabile è contenuta in una</w:t>
      </w:r>
      <w:r w:rsidRPr="00295E71" w:rsidR="0028452B">
        <w:rPr>
          <w:sz w:val="22"/>
          <w:szCs w:val="22"/>
        </w:rPr>
        <w:t xml:space="preserve"> </w:t>
      </w:r>
      <w:r w:rsidRPr="00295E71">
        <w:rPr>
          <w:sz w:val="22"/>
          <w:szCs w:val="22"/>
        </w:rPr>
        <w:t>siringa</w:t>
      </w:r>
      <w:r w:rsidRPr="00295E71" w:rsidR="0028452B">
        <w:rPr>
          <w:sz w:val="22"/>
          <w:szCs w:val="22"/>
        </w:rPr>
        <w:t xml:space="preserve"> </w:t>
      </w:r>
      <w:r w:rsidRPr="00295E71">
        <w:rPr>
          <w:sz w:val="22"/>
          <w:szCs w:val="22"/>
        </w:rPr>
        <w:t>pre-riempita</w:t>
      </w:r>
      <w:r w:rsidRPr="00295E71" w:rsidR="0028452B">
        <w:rPr>
          <w:sz w:val="22"/>
          <w:szCs w:val="22"/>
        </w:rPr>
        <w:t xml:space="preserve"> </w:t>
      </w:r>
      <w:r w:rsidRPr="00295E71">
        <w:rPr>
          <w:sz w:val="22"/>
          <w:szCs w:val="22"/>
        </w:rPr>
        <w:t>monouso (vetro tipo I) con uno stantuffo (gomma bromobutilica) e un ago con cappuccio (elastomero termoplastico).</w:t>
      </w:r>
    </w:p>
    <w:p w:rsidR="006224C2" w:rsidRPr="00295E71" w14:paraId="14B713EB" w14:textId="77777777">
      <w:pPr>
        <w:tabs>
          <w:tab w:val="left" w:pos="567"/>
        </w:tabs>
        <w:jc w:val="both"/>
        <w:rPr>
          <w:sz w:val="22"/>
          <w:szCs w:val="22"/>
        </w:rPr>
      </w:pPr>
    </w:p>
    <w:p w:rsidR="006224C2" w:rsidRPr="00295E71" w14:paraId="4E83CD20" w14:textId="77777777">
      <w:pPr>
        <w:tabs>
          <w:tab w:val="left" w:pos="567"/>
        </w:tabs>
        <w:jc w:val="both"/>
        <w:rPr>
          <w:sz w:val="22"/>
          <w:szCs w:val="22"/>
        </w:rPr>
      </w:pPr>
      <w:r w:rsidRPr="00295E71">
        <w:rPr>
          <w:sz w:val="22"/>
          <w:szCs w:val="22"/>
        </w:rPr>
        <w:t>Confezioni:</w:t>
      </w:r>
    </w:p>
    <w:p w:rsidR="006224C2" w:rsidRPr="00295E71" w14:paraId="31612BA7" w14:textId="77777777">
      <w:pPr>
        <w:numPr>
          <w:ilvl w:val="0"/>
          <w:numId w:val="11"/>
        </w:numPr>
        <w:tabs>
          <w:tab w:val="clear" w:pos="720"/>
        </w:tabs>
        <w:ind w:left="540" w:hanging="540"/>
        <w:jc w:val="both"/>
        <w:rPr>
          <w:sz w:val="22"/>
          <w:szCs w:val="22"/>
        </w:rPr>
      </w:pPr>
      <w:r w:rsidRPr="00295E71">
        <w:rPr>
          <w:sz w:val="22"/>
          <w:szCs w:val="22"/>
        </w:rPr>
        <w:t>1 siringa pre-riempita (0,8 ml di soluzione sterile) e 1 tampone imbevuto di alcool in un blister.</w:t>
      </w:r>
    </w:p>
    <w:p w:rsidR="006224C2" w:rsidRPr="00295E71" w14:paraId="77D47623" w14:textId="77777777">
      <w:pPr>
        <w:tabs>
          <w:tab w:val="left" w:pos="567"/>
        </w:tabs>
        <w:jc w:val="both"/>
        <w:rPr>
          <w:sz w:val="22"/>
          <w:szCs w:val="22"/>
        </w:rPr>
      </w:pPr>
    </w:p>
    <w:p w:rsidR="006224C2" w:rsidRPr="0020624D" w14:paraId="2CC52011" w14:textId="77777777">
      <w:pPr>
        <w:tabs>
          <w:tab w:val="left" w:pos="567"/>
        </w:tabs>
        <w:jc w:val="both"/>
        <w:rPr>
          <w:sz w:val="22"/>
          <w:szCs w:val="22"/>
          <w:u w:val="single"/>
        </w:rPr>
      </w:pPr>
      <w:r w:rsidRPr="0020624D">
        <w:rPr>
          <w:sz w:val="22"/>
          <w:szCs w:val="22"/>
          <w:u w:val="single"/>
        </w:rPr>
        <w:t>Humira 80 mg soluzione iniettabile in penna pre-riempita</w:t>
      </w:r>
    </w:p>
    <w:p w:rsidR="006224C2" w:rsidRPr="00295E71" w14:paraId="216BEFB0" w14:textId="77777777">
      <w:pPr>
        <w:keepNext/>
        <w:rPr>
          <w:sz w:val="22"/>
          <w:szCs w:val="22"/>
        </w:rPr>
      </w:pPr>
      <w:r w:rsidRPr="00295E71">
        <w:rPr>
          <w:sz w:val="22"/>
          <w:szCs w:val="22"/>
        </w:rPr>
        <w:t>Humira 80 mg soluzione iniettabile in penna pre-riempita</w:t>
      </w:r>
      <w:r w:rsidRPr="00295E71" w:rsidR="0028452B">
        <w:rPr>
          <w:sz w:val="22"/>
          <w:szCs w:val="22"/>
        </w:rPr>
        <w:t xml:space="preserve"> </w:t>
      </w:r>
      <w:r w:rsidRPr="00295E71">
        <w:rPr>
          <w:sz w:val="22"/>
          <w:szCs w:val="22"/>
        </w:rPr>
        <w:t>monouso pronta per l’utilizzo da parte dei pazienti, contenente una siringa pre-riempita. La siringa all’interno della penna è di vetro tipo I con uno stantuffo (gomma bromobutilica) e un ago con cappuccio (elastomero termoplastico).</w:t>
      </w:r>
    </w:p>
    <w:p w:rsidR="006224C2" w:rsidRPr="00295E71" w14:paraId="44D6FFAA" w14:textId="77777777">
      <w:pPr>
        <w:tabs>
          <w:tab w:val="left" w:pos="567"/>
        </w:tabs>
        <w:jc w:val="both"/>
        <w:rPr>
          <w:sz w:val="22"/>
          <w:szCs w:val="22"/>
        </w:rPr>
      </w:pPr>
    </w:p>
    <w:p w:rsidR="006224C2" w:rsidRPr="00295E71" w14:paraId="071AF69A" w14:textId="77777777">
      <w:pPr>
        <w:tabs>
          <w:tab w:val="left" w:pos="567"/>
        </w:tabs>
        <w:jc w:val="both"/>
        <w:rPr>
          <w:sz w:val="22"/>
          <w:szCs w:val="22"/>
        </w:rPr>
      </w:pPr>
      <w:r w:rsidRPr="00295E71">
        <w:rPr>
          <w:sz w:val="22"/>
          <w:szCs w:val="22"/>
        </w:rPr>
        <w:t>Confezioni:</w:t>
      </w:r>
    </w:p>
    <w:p w:rsidR="006224C2" w14:paraId="30731D41" w14:textId="77777777">
      <w:pPr>
        <w:numPr>
          <w:ilvl w:val="0"/>
          <w:numId w:val="11"/>
        </w:numPr>
        <w:tabs>
          <w:tab w:val="clear" w:pos="720"/>
        </w:tabs>
        <w:ind w:left="540" w:hanging="540"/>
        <w:jc w:val="both"/>
        <w:rPr>
          <w:sz w:val="22"/>
          <w:szCs w:val="22"/>
        </w:rPr>
      </w:pPr>
      <w:r w:rsidRPr="00295E71">
        <w:rPr>
          <w:sz w:val="22"/>
          <w:szCs w:val="22"/>
        </w:rPr>
        <w:t>1 penna pre-riempita (0,8 ml di soluzione sterile), con</w:t>
      </w:r>
      <w:r w:rsidR="00EC27AD">
        <w:rPr>
          <w:sz w:val="22"/>
          <w:szCs w:val="22"/>
        </w:rPr>
        <w:t xml:space="preserve"> </w:t>
      </w:r>
      <w:r w:rsidRPr="00295E71">
        <w:rPr>
          <w:sz w:val="22"/>
          <w:szCs w:val="22"/>
        </w:rPr>
        <w:t>2 tamponi imbevuti di alcool in un blister.</w:t>
      </w:r>
    </w:p>
    <w:p w:rsidR="004128A4" w:rsidRPr="004128A4" w:rsidP="004128A4" w14:paraId="4B362001" w14:textId="77777777">
      <w:pPr>
        <w:numPr>
          <w:ilvl w:val="0"/>
          <w:numId w:val="11"/>
        </w:numPr>
        <w:tabs>
          <w:tab w:val="clear" w:pos="720"/>
        </w:tabs>
        <w:ind w:left="540" w:hanging="540"/>
        <w:jc w:val="both"/>
        <w:rPr>
          <w:sz w:val="22"/>
          <w:szCs w:val="22"/>
        </w:rPr>
      </w:pPr>
      <w:r>
        <w:rPr>
          <w:sz w:val="22"/>
          <w:szCs w:val="22"/>
        </w:rPr>
        <w:t xml:space="preserve">3 penne pre-riempite </w:t>
      </w:r>
      <w:r w:rsidRPr="00295E71">
        <w:rPr>
          <w:sz w:val="22"/>
          <w:szCs w:val="22"/>
        </w:rPr>
        <w:t>(0,8 ml di soluzione sterile), con</w:t>
      </w:r>
      <w:r>
        <w:rPr>
          <w:sz w:val="22"/>
          <w:szCs w:val="22"/>
        </w:rPr>
        <w:t xml:space="preserve"> 4</w:t>
      </w:r>
      <w:r w:rsidRPr="00295E71">
        <w:rPr>
          <w:sz w:val="22"/>
          <w:szCs w:val="22"/>
        </w:rPr>
        <w:t xml:space="preserve"> tamponi imbevuti di alcool in un blister.</w:t>
      </w:r>
    </w:p>
    <w:p w:rsidR="006224C2" w:rsidRPr="00295E71" w14:paraId="76769496" w14:textId="77777777">
      <w:pPr>
        <w:tabs>
          <w:tab w:val="left" w:pos="567"/>
        </w:tabs>
        <w:jc w:val="both"/>
        <w:rPr>
          <w:sz w:val="22"/>
          <w:szCs w:val="22"/>
        </w:rPr>
      </w:pPr>
    </w:p>
    <w:p w:rsidR="006224C2" w:rsidRPr="00295E71" w14:paraId="3E2F309C" w14:textId="77777777">
      <w:pPr>
        <w:tabs>
          <w:tab w:val="left" w:pos="567"/>
        </w:tabs>
        <w:jc w:val="both"/>
        <w:rPr>
          <w:sz w:val="22"/>
          <w:szCs w:val="22"/>
        </w:rPr>
      </w:pPr>
      <w:r w:rsidRPr="00295E71">
        <w:rPr>
          <w:sz w:val="22"/>
          <w:szCs w:val="22"/>
        </w:rPr>
        <w:t>È possibile che non tutte le confezioni siano commercializzate.</w:t>
      </w:r>
    </w:p>
    <w:p w:rsidR="006224C2" w:rsidRPr="00295E71" w14:paraId="33689CBA" w14:textId="77777777">
      <w:pPr>
        <w:tabs>
          <w:tab w:val="left" w:pos="567"/>
        </w:tabs>
        <w:jc w:val="both"/>
        <w:rPr>
          <w:sz w:val="22"/>
          <w:szCs w:val="22"/>
        </w:rPr>
      </w:pPr>
    </w:p>
    <w:p w:rsidR="006224C2" w:rsidRPr="00295E71" w:rsidP="00483A0B" w14:paraId="4F514D0F" w14:textId="77777777">
      <w:pPr>
        <w:keepNext/>
        <w:tabs>
          <w:tab w:val="left" w:pos="567"/>
        </w:tabs>
        <w:ind w:left="567" w:hanging="567"/>
        <w:jc w:val="both"/>
        <w:rPr>
          <w:b/>
          <w:bCs/>
          <w:sz w:val="22"/>
          <w:szCs w:val="22"/>
        </w:rPr>
      </w:pPr>
      <w:r w:rsidRPr="00295E71">
        <w:rPr>
          <w:b/>
          <w:bCs/>
          <w:sz w:val="22"/>
          <w:szCs w:val="22"/>
        </w:rPr>
        <w:t>6.6</w:t>
      </w:r>
      <w:r w:rsidRPr="00295E71">
        <w:rPr>
          <w:b/>
          <w:bCs/>
          <w:sz w:val="22"/>
          <w:szCs w:val="22"/>
        </w:rPr>
        <w:tab/>
        <w:t>Precauzioni particolari per lo smaltimento</w:t>
      </w:r>
    </w:p>
    <w:p w:rsidR="006224C2" w:rsidRPr="00295E71" w:rsidP="00483A0B" w14:paraId="7D0608D8" w14:textId="77777777">
      <w:pPr>
        <w:keepNext/>
        <w:tabs>
          <w:tab w:val="left" w:pos="567"/>
        </w:tabs>
        <w:jc w:val="both"/>
        <w:rPr>
          <w:sz w:val="22"/>
          <w:szCs w:val="22"/>
        </w:rPr>
      </w:pPr>
    </w:p>
    <w:p w:rsidR="006224C2" w:rsidRPr="00295E71" w:rsidP="00483A0B" w14:paraId="6B8E42D9" w14:textId="77777777">
      <w:pPr>
        <w:keepNext/>
        <w:tabs>
          <w:tab w:val="left" w:pos="567"/>
        </w:tabs>
        <w:jc w:val="both"/>
        <w:rPr>
          <w:sz w:val="22"/>
          <w:szCs w:val="22"/>
        </w:rPr>
      </w:pPr>
      <w:r w:rsidRPr="00295E71">
        <w:rPr>
          <w:sz w:val="22"/>
          <w:szCs w:val="22"/>
        </w:rPr>
        <w:t>Il medicinale non utilizzato e i rifiuti derivati da tale medicinale devono essere smaltiti in conformità alla normativa locale vigente.</w:t>
      </w:r>
    </w:p>
    <w:p w:rsidR="006224C2" w:rsidRPr="00295E71" w14:paraId="4BA76CC0" w14:textId="77777777">
      <w:pPr>
        <w:tabs>
          <w:tab w:val="left" w:pos="567"/>
        </w:tabs>
        <w:jc w:val="both"/>
        <w:rPr>
          <w:sz w:val="22"/>
          <w:szCs w:val="22"/>
        </w:rPr>
      </w:pPr>
    </w:p>
    <w:p w:rsidR="006224C2" w:rsidRPr="00295E71" w14:paraId="7103ED92" w14:textId="77777777">
      <w:pPr>
        <w:rPr>
          <w:sz w:val="22"/>
          <w:szCs w:val="22"/>
        </w:rPr>
      </w:pPr>
    </w:p>
    <w:p w:rsidR="006224C2" w:rsidRPr="00295E71" w14:paraId="3EBDE27D" w14:textId="77777777">
      <w:pPr>
        <w:rPr>
          <w:b/>
          <w:bCs/>
          <w:sz w:val="22"/>
          <w:szCs w:val="22"/>
        </w:rPr>
      </w:pPr>
      <w:r w:rsidRPr="00295E71">
        <w:rPr>
          <w:b/>
          <w:bCs/>
          <w:sz w:val="22"/>
          <w:szCs w:val="22"/>
        </w:rPr>
        <w:t>7.</w:t>
      </w:r>
      <w:r w:rsidRPr="00295E71">
        <w:rPr>
          <w:b/>
          <w:bCs/>
          <w:sz w:val="22"/>
          <w:szCs w:val="22"/>
        </w:rPr>
        <w:tab/>
        <w:t xml:space="preserve">TITOLARE DELL’AUTORIZZAZIONE ALL’IMMISSIONE IN COMMERCIO </w:t>
      </w:r>
    </w:p>
    <w:p w:rsidR="006224C2" w:rsidRPr="00295E71" w14:paraId="15A6B758" w14:textId="77777777">
      <w:pPr>
        <w:tabs>
          <w:tab w:val="left" w:pos="567"/>
        </w:tabs>
        <w:jc w:val="both"/>
        <w:rPr>
          <w:sz w:val="22"/>
          <w:szCs w:val="22"/>
        </w:rPr>
      </w:pPr>
    </w:p>
    <w:p w:rsidR="0010427F" w:rsidRPr="00295E71" w:rsidP="0010427F" w14:paraId="37D46DF5" w14:textId="77777777">
      <w:pPr>
        <w:tabs>
          <w:tab w:val="left" w:pos="567"/>
        </w:tabs>
        <w:jc w:val="both"/>
        <w:rPr>
          <w:sz w:val="22"/>
          <w:szCs w:val="22"/>
        </w:rPr>
      </w:pPr>
      <w:r w:rsidRPr="00295E71">
        <w:rPr>
          <w:sz w:val="22"/>
          <w:szCs w:val="22"/>
        </w:rPr>
        <w:t>AbbVie Deutschland GmbH &amp; Co. KG</w:t>
      </w:r>
    </w:p>
    <w:p w:rsidR="0010427F" w:rsidRPr="00295E71" w:rsidP="0010427F" w14:paraId="6B8B1250" w14:textId="77777777">
      <w:pPr>
        <w:tabs>
          <w:tab w:val="left" w:pos="567"/>
        </w:tabs>
        <w:jc w:val="both"/>
        <w:rPr>
          <w:sz w:val="22"/>
          <w:szCs w:val="22"/>
        </w:rPr>
      </w:pPr>
      <w:r w:rsidRPr="00295E71">
        <w:rPr>
          <w:sz w:val="22"/>
          <w:szCs w:val="22"/>
        </w:rPr>
        <w:t>Knollstrasse</w:t>
      </w:r>
    </w:p>
    <w:p w:rsidR="0010427F" w:rsidRPr="00295E71" w:rsidP="0010427F" w14:paraId="514A7DC0" w14:textId="77777777">
      <w:pPr>
        <w:tabs>
          <w:tab w:val="left" w:pos="567"/>
        </w:tabs>
        <w:jc w:val="both"/>
        <w:rPr>
          <w:sz w:val="22"/>
          <w:szCs w:val="22"/>
        </w:rPr>
      </w:pPr>
      <w:r w:rsidRPr="00295E71">
        <w:rPr>
          <w:sz w:val="22"/>
          <w:szCs w:val="22"/>
        </w:rPr>
        <w:t>67061 Ludwigshafen</w:t>
      </w:r>
    </w:p>
    <w:p w:rsidR="0010427F" w:rsidRPr="00295E71" w:rsidP="0010427F" w14:paraId="31C6FDCD" w14:textId="77777777">
      <w:pPr>
        <w:tabs>
          <w:tab w:val="left" w:pos="567"/>
        </w:tabs>
        <w:jc w:val="both"/>
        <w:rPr>
          <w:sz w:val="22"/>
          <w:szCs w:val="22"/>
        </w:rPr>
      </w:pPr>
      <w:r w:rsidRPr="00295E71">
        <w:rPr>
          <w:sz w:val="22"/>
          <w:szCs w:val="22"/>
        </w:rPr>
        <w:t>Germania</w:t>
      </w:r>
    </w:p>
    <w:p w:rsidR="006224C2" w:rsidRPr="00295E71" w14:paraId="3A036D27" w14:textId="77777777">
      <w:pPr>
        <w:tabs>
          <w:tab w:val="left" w:pos="567"/>
        </w:tabs>
        <w:jc w:val="both"/>
        <w:rPr>
          <w:sz w:val="22"/>
          <w:szCs w:val="22"/>
        </w:rPr>
      </w:pPr>
    </w:p>
    <w:p w:rsidR="006224C2" w:rsidRPr="00295E71" w14:paraId="307F362E" w14:textId="77777777">
      <w:pPr>
        <w:tabs>
          <w:tab w:val="left" w:pos="567"/>
        </w:tabs>
        <w:jc w:val="both"/>
        <w:rPr>
          <w:bCs/>
          <w:sz w:val="22"/>
          <w:szCs w:val="22"/>
        </w:rPr>
      </w:pPr>
    </w:p>
    <w:p w:rsidR="006224C2" w:rsidRPr="00295E71" w14:paraId="1B4E415B" w14:textId="77777777">
      <w:pPr>
        <w:keepNext/>
        <w:keepLines/>
        <w:rPr>
          <w:b/>
          <w:bCs/>
          <w:sz w:val="22"/>
          <w:szCs w:val="22"/>
        </w:rPr>
      </w:pPr>
      <w:r w:rsidRPr="00295E71">
        <w:rPr>
          <w:b/>
          <w:bCs/>
          <w:sz w:val="22"/>
          <w:szCs w:val="22"/>
        </w:rPr>
        <w:t>8.</w:t>
      </w:r>
      <w:r w:rsidRPr="00295E71">
        <w:rPr>
          <w:b/>
          <w:bCs/>
          <w:sz w:val="22"/>
          <w:szCs w:val="22"/>
        </w:rPr>
        <w:tab/>
        <w:t>NUMERO</w:t>
      </w:r>
      <w:r w:rsidR="00E04499">
        <w:rPr>
          <w:b/>
          <w:bCs/>
          <w:sz w:val="22"/>
          <w:szCs w:val="22"/>
        </w:rPr>
        <w:t>(I)</w:t>
      </w:r>
      <w:r w:rsidRPr="00295E71">
        <w:rPr>
          <w:b/>
          <w:bCs/>
          <w:sz w:val="22"/>
          <w:szCs w:val="22"/>
        </w:rPr>
        <w:t xml:space="preserve"> DELL’AUTORIZZAZIONE ALL’IMMISSIONE IN COMMERCIO</w:t>
      </w:r>
    </w:p>
    <w:p w:rsidR="006224C2" w:rsidRPr="00295E71" w14:paraId="242DEDD8" w14:textId="77777777">
      <w:pPr>
        <w:keepNext/>
        <w:keepLines/>
        <w:tabs>
          <w:tab w:val="left" w:pos="567"/>
        </w:tabs>
        <w:jc w:val="both"/>
        <w:rPr>
          <w:bCs/>
          <w:sz w:val="22"/>
          <w:szCs w:val="22"/>
        </w:rPr>
      </w:pPr>
    </w:p>
    <w:p w:rsidR="006224C2" w:rsidRPr="0020624D" w14:paraId="110A2A46" w14:textId="77777777">
      <w:pPr>
        <w:tabs>
          <w:tab w:val="left" w:pos="567"/>
        </w:tabs>
        <w:jc w:val="both"/>
        <w:rPr>
          <w:sz w:val="22"/>
          <w:szCs w:val="22"/>
          <w:u w:val="single"/>
        </w:rPr>
      </w:pPr>
      <w:r w:rsidRPr="0020624D">
        <w:rPr>
          <w:sz w:val="22"/>
          <w:szCs w:val="22"/>
          <w:u w:val="single"/>
        </w:rPr>
        <w:t>Humira 80 mg soluzione iniettabile in siringa pre-riempita</w:t>
      </w:r>
    </w:p>
    <w:p w:rsidR="006224C2" w:rsidRPr="00295E71" w14:paraId="4E0478C0" w14:textId="77777777">
      <w:pPr>
        <w:keepNext/>
        <w:keepLines/>
        <w:tabs>
          <w:tab w:val="left" w:pos="567"/>
        </w:tabs>
        <w:jc w:val="both"/>
        <w:rPr>
          <w:sz w:val="22"/>
          <w:szCs w:val="22"/>
        </w:rPr>
      </w:pPr>
      <w:r w:rsidRPr="00295E71">
        <w:rPr>
          <w:sz w:val="22"/>
          <w:szCs w:val="22"/>
        </w:rPr>
        <w:t>EU/1/03/256/020</w:t>
      </w:r>
    </w:p>
    <w:p w:rsidR="006224C2" w14:paraId="1C9935DE" w14:textId="77777777">
      <w:pPr>
        <w:keepNext/>
        <w:keepLines/>
        <w:tabs>
          <w:tab w:val="left" w:pos="567"/>
        </w:tabs>
        <w:jc w:val="both"/>
        <w:rPr>
          <w:sz w:val="22"/>
          <w:szCs w:val="22"/>
        </w:rPr>
      </w:pPr>
    </w:p>
    <w:p w:rsidR="006224C2" w:rsidRPr="0020624D" w14:paraId="3CB45081" w14:textId="77777777">
      <w:pPr>
        <w:tabs>
          <w:tab w:val="left" w:pos="567"/>
        </w:tabs>
        <w:jc w:val="both"/>
        <w:rPr>
          <w:sz w:val="22"/>
          <w:szCs w:val="22"/>
          <w:u w:val="single"/>
        </w:rPr>
      </w:pPr>
      <w:r w:rsidRPr="0020624D">
        <w:rPr>
          <w:sz w:val="22"/>
          <w:szCs w:val="22"/>
          <w:u w:val="single"/>
        </w:rPr>
        <w:t>Humira 80 mg soluzione iniettabile in penna pre-riempita</w:t>
      </w:r>
    </w:p>
    <w:p w:rsidR="006224C2" w14:paraId="6C8129F2" w14:textId="77777777">
      <w:pPr>
        <w:keepNext/>
        <w:keepLines/>
        <w:tabs>
          <w:tab w:val="left" w:pos="567"/>
        </w:tabs>
        <w:jc w:val="both"/>
        <w:rPr>
          <w:sz w:val="22"/>
          <w:szCs w:val="22"/>
        </w:rPr>
      </w:pPr>
      <w:r w:rsidRPr="00295E71">
        <w:rPr>
          <w:sz w:val="22"/>
          <w:szCs w:val="22"/>
        </w:rPr>
        <w:t>EU/1/03/256/021</w:t>
      </w:r>
    </w:p>
    <w:p w:rsidR="004128A4" w:rsidRPr="00295E71" w14:paraId="323314E3" w14:textId="77777777">
      <w:pPr>
        <w:keepNext/>
        <w:keepLines/>
        <w:tabs>
          <w:tab w:val="left" w:pos="567"/>
        </w:tabs>
        <w:jc w:val="both"/>
        <w:rPr>
          <w:sz w:val="22"/>
          <w:szCs w:val="22"/>
        </w:rPr>
      </w:pPr>
      <w:r>
        <w:rPr>
          <w:sz w:val="22"/>
          <w:szCs w:val="22"/>
        </w:rPr>
        <w:t>EU/1/03/256/027</w:t>
      </w:r>
    </w:p>
    <w:p w:rsidR="006224C2" w:rsidRPr="00295E71" w14:paraId="6CB51890" w14:textId="77777777">
      <w:pPr>
        <w:tabs>
          <w:tab w:val="left" w:pos="567"/>
        </w:tabs>
        <w:jc w:val="both"/>
        <w:rPr>
          <w:sz w:val="22"/>
          <w:szCs w:val="22"/>
        </w:rPr>
      </w:pPr>
    </w:p>
    <w:p w:rsidR="006224C2" w:rsidRPr="00295E71" w14:paraId="7A7C2CD1" w14:textId="77777777">
      <w:pPr>
        <w:tabs>
          <w:tab w:val="left" w:pos="567"/>
        </w:tabs>
        <w:jc w:val="both"/>
        <w:rPr>
          <w:sz w:val="22"/>
          <w:szCs w:val="22"/>
        </w:rPr>
      </w:pPr>
    </w:p>
    <w:p w:rsidR="006224C2" w:rsidRPr="00295E71" w:rsidP="001E366F" w14:paraId="08D04C55" w14:textId="77777777">
      <w:pPr>
        <w:keepNext/>
        <w:tabs>
          <w:tab w:val="left" w:pos="567"/>
        </w:tabs>
        <w:ind w:left="567" w:hanging="567"/>
        <w:jc w:val="both"/>
        <w:rPr>
          <w:b/>
          <w:bCs/>
          <w:sz w:val="22"/>
          <w:szCs w:val="22"/>
        </w:rPr>
      </w:pPr>
      <w:r w:rsidRPr="00295E71">
        <w:rPr>
          <w:b/>
          <w:bCs/>
          <w:sz w:val="22"/>
          <w:szCs w:val="22"/>
        </w:rPr>
        <w:t>9.</w:t>
      </w:r>
      <w:r w:rsidRPr="00295E71">
        <w:rPr>
          <w:b/>
          <w:bCs/>
          <w:sz w:val="22"/>
          <w:szCs w:val="22"/>
        </w:rPr>
        <w:tab/>
        <w:t>DATA DELLA PRIMA AUTORIZZAZIONE/RINNOVO DELL’AUTORIZZAZIONE</w:t>
      </w:r>
    </w:p>
    <w:p w:rsidR="006224C2" w:rsidRPr="00295E71" w:rsidP="001E366F" w14:paraId="3A0D1CD7" w14:textId="77777777">
      <w:pPr>
        <w:keepNext/>
        <w:tabs>
          <w:tab w:val="left" w:pos="567"/>
        </w:tabs>
        <w:jc w:val="both"/>
        <w:rPr>
          <w:sz w:val="22"/>
          <w:szCs w:val="22"/>
        </w:rPr>
      </w:pPr>
    </w:p>
    <w:p w:rsidR="006224C2" w:rsidRPr="00295E71" w:rsidP="001E366F" w14:paraId="24183448" w14:textId="77777777">
      <w:pPr>
        <w:keepNext/>
        <w:tabs>
          <w:tab w:val="left" w:pos="567"/>
        </w:tabs>
        <w:ind w:left="567" w:hanging="567"/>
        <w:jc w:val="both"/>
        <w:rPr>
          <w:rStyle w:val="hps"/>
          <w:color w:val="000000"/>
          <w:sz w:val="22"/>
          <w:szCs w:val="22"/>
        </w:rPr>
      </w:pPr>
      <w:r w:rsidRPr="00295E71">
        <w:rPr>
          <w:sz w:val="22"/>
          <w:szCs w:val="22"/>
        </w:rPr>
        <w:t xml:space="preserve">Data della prima autorizzazione: 08 </w:t>
      </w:r>
      <w:r w:rsidRPr="00295E71">
        <w:rPr>
          <w:rStyle w:val="hps"/>
          <w:color w:val="000000"/>
          <w:sz w:val="22"/>
          <w:szCs w:val="22"/>
        </w:rPr>
        <w:t>settembre 2003</w:t>
      </w:r>
    </w:p>
    <w:p w:rsidR="006224C2" w:rsidRPr="00295E71" w:rsidP="001E366F" w14:paraId="4F9A6F45" w14:textId="77777777">
      <w:pPr>
        <w:keepNext/>
        <w:tabs>
          <w:tab w:val="left" w:pos="567"/>
        </w:tabs>
        <w:ind w:left="567" w:hanging="567"/>
        <w:jc w:val="both"/>
        <w:rPr>
          <w:sz w:val="22"/>
          <w:szCs w:val="22"/>
        </w:rPr>
      </w:pPr>
      <w:r w:rsidRPr="00295E71">
        <w:rPr>
          <w:sz w:val="22"/>
          <w:szCs w:val="22"/>
        </w:rPr>
        <w:t xml:space="preserve">Data del rinnovo più recente: 08 </w:t>
      </w:r>
      <w:r w:rsidRPr="00295E71">
        <w:rPr>
          <w:rStyle w:val="hps"/>
          <w:color w:val="000000"/>
          <w:sz w:val="22"/>
          <w:szCs w:val="22"/>
        </w:rPr>
        <w:t>settembre 2008</w:t>
      </w:r>
    </w:p>
    <w:p w:rsidR="006224C2" w:rsidRPr="00295E71" w14:paraId="72AB7DFC" w14:textId="77777777">
      <w:pPr>
        <w:tabs>
          <w:tab w:val="left" w:pos="567"/>
        </w:tabs>
        <w:ind w:left="567" w:hanging="567"/>
        <w:jc w:val="both"/>
        <w:rPr>
          <w:sz w:val="22"/>
          <w:szCs w:val="22"/>
        </w:rPr>
      </w:pPr>
    </w:p>
    <w:p w:rsidR="006224C2" w:rsidRPr="00295E71" w14:paraId="380D172C" w14:textId="77777777">
      <w:pPr>
        <w:tabs>
          <w:tab w:val="left" w:pos="567"/>
        </w:tabs>
        <w:ind w:left="567" w:hanging="567"/>
        <w:jc w:val="both"/>
        <w:rPr>
          <w:sz w:val="22"/>
          <w:szCs w:val="22"/>
        </w:rPr>
      </w:pPr>
    </w:p>
    <w:p w:rsidR="006224C2" w:rsidRPr="00295E71" w14:paraId="693EB8BE" w14:textId="77777777">
      <w:pPr>
        <w:tabs>
          <w:tab w:val="left" w:pos="567"/>
        </w:tabs>
        <w:ind w:left="567" w:hanging="567"/>
        <w:jc w:val="both"/>
        <w:rPr>
          <w:b/>
          <w:bCs/>
          <w:sz w:val="22"/>
          <w:szCs w:val="22"/>
        </w:rPr>
      </w:pPr>
      <w:r w:rsidRPr="00295E71">
        <w:rPr>
          <w:b/>
          <w:bCs/>
          <w:sz w:val="22"/>
          <w:szCs w:val="22"/>
        </w:rPr>
        <w:t>10.</w:t>
      </w:r>
      <w:r w:rsidRPr="00295E71">
        <w:rPr>
          <w:b/>
          <w:bCs/>
          <w:sz w:val="22"/>
          <w:szCs w:val="22"/>
        </w:rPr>
        <w:tab/>
        <w:t>DATA DI REVISIONE DEL TESTO</w:t>
      </w:r>
    </w:p>
    <w:p w:rsidR="006224C2" w:rsidRPr="00295E71" w14:paraId="26422EFC" w14:textId="77777777">
      <w:pPr>
        <w:tabs>
          <w:tab w:val="left" w:pos="567"/>
        </w:tabs>
        <w:jc w:val="both"/>
        <w:rPr>
          <w:sz w:val="22"/>
          <w:szCs w:val="22"/>
        </w:rPr>
      </w:pPr>
    </w:p>
    <w:p w:rsidR="006224C2" w:rsidRPr="00295E71" w14:paraId="54114AD8" w14:textId="77777777">
      <w:pPr>
        <w:tabs>
          <w:tab w:val="left" w:pos="567"/>
        </w:tabs>
        <w:jc w:val="both"/>
        <w:rPr>
          <w:sz w:val="22"/>
          <w:szCs w:val="22"/>
        </w:rPr>
      </w:pPr>
      <w:r w:rsidRPr="00295E71">
        <w:rPr>
          <w:sz w:val="22"/>
          <w:szCs w:val="22"/>
        </w:rPr>
        <w:t xml:space="preserve">Informazioni più dettagliate su questo medicinale sono disponibili sul sito web dell’Agenzia europea dei medicinali </w:t>
      </w:r>
      <w:ins w:id="13191" w:author="AbbVie14" w:date="2025-05-09T10:47:00Z">
        <w:r w:rsidR="00872D1F">
          <w:rPr>
            <w:sz w:val="22"/>
            <w:szCs w:val="22"/>
          </w:rPr>
          <w:fldChar w:fldCharType="begin"/>
        </w:r>
      </w:ins>
      <w:ins w:id="13192" w:author="AbbVie14" w:date="2025-05-09T10:47:00Z">
        <w:r w:rsidR="00872D1F">
          <w:rPr>
            <w:sz w:val="22"/>
            <w:szCs w:val="22"/>
          </w:rPr>
          <w:instrText>HYPERLINK "</w:instrText>
        </w:r>
      </w:ins>
      <w:r w:rsidRPr="00872D1F" w:rsidR="00872D1F">
        <w:rPr>
          <w:rStyle w:val="Hyperlink"/>
          <w:sz w:val="22"/>
          <w:szCs w:val="22"/>
        </w:rPr>
        <w:instrText>http</w:instrText>
      </w:r>
      <w:ins w:id="13193" w:author="AbbVie14" w:date="2025-05-09T10:46:00Z">
        <w:r w:rsidRPr="00872D1F" w:rsidR="00872D1F">
          <w:rPr>
            <w:rStyle w:val="Hyperlink"/>
            <w:sz w:val="22"/>
            <w:szCs w:val="22"/>
          </w:rPr>
          <w:instrText>s</w:instrText>
        </w:r>
      </w:ins>
      <w:r w:rsidRPr="00872D1F" w:rsidR="00872D1F">
        <w:rPr>
          <w:rStyle w:val="Hyperlink"/>
          <w:sz w:val="22"/>
          <w:szCs w:val="22"/>
        </w:rPr>
        <w:instrText>://www.ema.europa.eu</w:instrText>
      </w:r>
      <w:ins w:id="13194" w:author="AbbVie14" w:date="2025-05-09T10:47:00Z">
        <w:r w:rsidR="00872D1F">
          <w:rPr>
            <w:sz w:val="22"/>
            <w:szCs w:val="22"/>
          </w:rPr>
          <w:instrText>"</w:instrText>
        </w:r>
      </w:ins>
      <w:ins w:id="13195" w:author="AbbVie14" w:date="2025-05-09T10:47:00Z">
        <w:r w:rsidR="00872D1F">
          <w:rPr>
            <w:sz w:val="22"/>
            <w:szCs w:val="22"/>
          </w:rPr>
          <w:fldChar w:fldCharType="separate"/>
        </w:r>
      </w:ins>
      <w:r w:rsidRPr="00872D1F" w:rsidR="00872D1F">
        <w:rPr>
          <w:rStyle w:val="Hyperlink"/>
          <w:sz w:val="22"/>
          <w:szCs w:val="22"/>
        </w:rPr>
        <w:t>http</w:t>
      </w:r>
      <w:ins w:id="13196" w:author="AbbVie14" w:date="2025-05-09T10:46:00Z">
        <w:r w:rsidRPr="00872D1F" w:rsidR="00872D1F">
          <w:rPr>
            <w:rStyle w:val="Hyperlink"/>
            <w:sz w:val="22"/>
            <w:szCs w:val="22"/>
          </w:rPr>
          <w:t>s</w:t>
        </w:r>
      </w:ins>
      <w:r w:rsidRPr="00872D1F" w:rsidR="00872D1F">
        <w:rPr>
          <w:rStyle w:val="Hyperlink"/>
          <w:sz w:val="22"/>
          <w:szCs w:val="22"/>
        </w:rPr>
        <w:t>://www.ema.europa.eu</w:t>
      </w:r>
      <w:ins w:id="13197" w:author="AbbVie14" w:date="2025-05-09T10:47:00Z">
        <w:r w:rsidR="00872D1F">
          <w:rPr>
            <w:sz w:val="22"/>
            <w:szCs w:val="22"/>
          </w:rPr>
          <w:fldChar w:fldCharType="end"/>
        </w:r>
      </w:ins>
    </w:p>
    <w:p w:rsidR="006224C2" w:rsidRPr="00295E71" w14:paraId="36711D61" w14:textId="77777777">
      <w:pPr>
        <w:tabs>
          <w:tab w:val="left" w:pos="567"/>
        </w:tabs>
        <w:jc w:val="both"/>
        <w:rPr>
          <w:rStyle w:val="Hyperlink"/>
          <w:sz w:val="22"/>
          <w:szCs w:val="22"/>
        </w:rPr>
      </w:pPr>
    </w:p>
    <w:p w:rsidR="006224C2" w:rsidRPr="00295E71" w14:paraId="2C80F512" w14:textId="77777777">
      <w:pPr>
        <w:rPr>
          <w:rStyle w:val="Hyperlink"/>
          <w:sz w:val="22"/>
          <w:szCs w:val="22"/>
        </w:rPr>
      </w:pPr>
      <w:r w:rsidRPr="00295E71">
        <w:rPr>
          <w:rStyle w:val="Hyperlink"/>
          <w:sz w:val="22"/>
          <w:szCs w:val="22"/>
        </w:rPr>
        <w:br w:type="page"/>
      </w:r>
    </w:p>
    <w:p w:rsidR="006224C2" w:rsidRPr="00295E71" w14:paraId="6A467D6B" w14:textId="77777777">
      <w:pPr>
        <w:tabs>
          <w:tab w:val="left" w:pos="567"/>
        </w:tabs>
        <w:autoSpaceDE w:val="0"/>
        <w:autoSpaceDN w:val="0"/>
        <w:adjustRightInd w:val="0"/>
        <w:rPr>
          <w:sz w:val="22"/>
          <w:szCs w:val="22"/>
        </w:rPr>
      </w:pPr>
    </w:p>
    <w:p w:rsidR="006224C2" w:rsidRPr="00295E71" w14:paraId="2D464F75" w14:textId="77777777">
      <w:pPr>
        <w:pStyle w:val="Heading5"/>
        <w:keepNext w:val="0"/>
        <w:rPr>
          <w:lang w:val="it-IT"/>
        </w:rPr>
      </w:pPr>
    </w:p>
    <w:p w:rsidR="006224C2" w:rsidRPr="00295E71" w14:paraId="7D631052" w14:textId="77777777">
      <w:pPr>
        <w:pStyle w:val="Heading5"/>
        <w:keepNext w:val="0"/>
        <w:rPr>
          <w:lang w:val="it-IT"/>
        </w:rPr>
      </w:pPr>
    </w:p>
    <w:p w:rsidR="006224C2" w:rsidRPr="00295E71" w14:paraId="5C760B4E" w14:textId="77777777">
      <w:pPr>
        <w:pStyle w:val="Heading5"/>
        <w:keepNext w:val="0"/>
        <w:rPr>
          <w:lang w:val="it-IT"/>
        </w:rPr>
      </w:pPr>
    </w:p>
    <w:p w:rsidR="006224C2" w:rsidRPr="00295E71" w14:paraId="379C905E" w14:textId="77777777">
      <w:pPr>
        <w:rPr>
          <w:sz w:val="22"/>
          <w:szCs w:val="22"/>
        </w:rPr>
      </w:pPr>
    </w:p>
    <w:p w:rsidR="006224C2" w:rsidRPr="00295E71" w14:paraId="0C5B489C" w14:textId="77777777">
      <w:pPr>
        <w:pStyle w:val="Heading5"/>
        <w:keepNext w:val="0"/>
        <w:rPr>
          <w:lang w:val="it-IT"/>
        </w:rPr>
      </w:pPr>
    </w:p>
    <w:p w:rsidR="006224C2" w:rsidRPr="00295E71" w14:paraId="24FD2FB6" w14:textId="77777777">
      <w:pPr>
        <w:pStyle w:val="Heading5"/>
        <w:keepNext w:val="0"/>
        <w:rPr>
          <w:lang w:val="it-IT"/>
        </w:rPr>
      </w:pPr>
    </w:p>
    <w:p w:rsidR="006224C2" w:rsidRPr="00295E71" w14:paraId="201C24F2" w14:textId="77777777">
      <w:pPr>
        <w:pStyle w:val="Heading5"/>
        <w:keepNext w:val="0"/>
        <w:rPr>
          <w:lang w:val="it-IT"/>
        </w:rPr>
      </w:pPr>
    </w:p>
    <w:p w:rsidR="006224C2" w:rsidRPr="00295E71" w14:paraId="72C22ADB" w14:textId="77777777">
      <w:pPr>
        <w:pStyle w:val="Heading5"/>
        <w:keepNext w:val="0"/>
        <w:rPr>
          <w:lang w:val="it-IT"/>
        </w:rPr>
      </w:pPr>
    </w:p>
    <w:p w:rsidR="006224C2" w:rsidRPr="00295E71" w14:paraId="1DF316AF" w14:textId="77777777">
      <w:pPr>
        <w:pStyle w:val="Heading5"/>
        <w:keepNext w:val="0"/>
        <w:rPr>
          <w:lang w:val="it-IT"/>
        </w:rPr>
      </w:pPr>
    </w:p>
    <w:p w:rsidR="006224C2" w:rsidRPr="00295E71" w14:paraId="11BA0C9F" w14:textId="77777777">
      <w:pPr>
        <w:pStyle w:val="Heading5"/>
        <w:keepNext w:val="0"/>
        <w:rPr>
          <w:lang w:val="it-IT"/>
        </w:rPr>
      </w:pPr>
    </w:p>
    <w:p w:rsidR="006224C2" w:rsidRPr="00295E71" w14:paraId="2982E975" w14:textId="77777777">
      <w:pPr>
        <w:pStyle w:val="Heading5"/>
        <w:keepNext w:val="0"/>
        <w:rPr>
          <w:lang w:val="it-IT"/>
        </w:rPr>
      </w:pPr>
    </w:p>
    <w:p w:rsidR="006224C2" w:rsidRPr="00295E71" w14:paraId="1E43021A" w14:textId="77777777">
      <w:pPr>
        <w:pStyle w:val="Heading5"/>
        <w:keepNext w:val="0"/>
        <w:rPr>
          <w:lang w:val="it-IT"/>
        </w:rPr>
      </w:pPr>
    </w:p>
    <w:p w:rsidR="006224C2" w:rsidRPr="00295E71" w14:paraId="0BB455B2" w14:textId="77777777">
      <w:pPr>
        <w:pStyle w:val="Heading5"/>
        <w:keepNext w:val="0"/>
        <w:rPr>
          <w:lang w:val="it-IT"/>
        </w:rPr>
      </w:pPr>
    </w:p>
    <w:p w:rsidR="006224C2" w:rsidRPr="00295E71" w14:paraId="204854A0" w14:textId="77777777">
      <w:pPr>
        <w:pStyle w:val="Heading5"/>
        <w:keepNext w:val="0"/>
        <w:rPr>
          <w:lang w:val="it-IT"/>
        </w:rPr>
      </w:pPr>
    </w:p>
    <w:p w:rsidR="006224C2" w:rsidRPr="00295E71" w14:paraId="11E33221" w14:textId="77777777">
      <w:pPr>
        <w:pStyle w:val="Heading5"/>
        <w:keepNext w:val="0"/>
        <w:rPr>
          <w:lang w:val="it-IT"/>
        </w:rPr>
      </w:pPr>
    </w:p>
    <w:p w:rsidR="006224C2" w:rsidRPr="00295E71" w14:paraId="5406D1B6" w14:textId="77777777">
      <w:pPr>
        <w:pStyle w:val="Heading5"/>
        <w:keepNext w:val="0"/>
        <w:rPr>
          <w:lang w:val="it-IT"/>
        </w:rPr>
      </w:pPr>
    </w:p>
    <w:p w:rsidR="006224C2" w:rsidRPr="00295E71" w14:paraId="24A81606" w14:textId="77777777">
      <w:pPr>
        <w:pStyle w:val="Heading5"/>
        <w:keepNext w:val="0"/>
        <w:rPr>
          <w:lang w:val="it-IT"/>
        </w:rPr>
      </w:pPr>
    </w:p>
    <w:p w:rsidR="006224C2" w:rsidRPr="00295E71" w14:paraId="5F61B507" w14:textId="77777777">
      <w:pPr>
        <w:pStyle w:val="Heading5"/>
        <w:keepNext w:val="0"/>
        <w:rPr>
          <w:lang w:val="it-IT"/>
        </w:rPr>
      </w:pPr>
    </w:p>
    <w:p w:rsidR="006224C2" w:rsidRPr="00295E71" w14:paraId="426AA702" w14:textId="77777777">
      <w:pPr>
        <w:rPr>
          <w:sz w:val="22"/>
          <w:szCs w:val="22"/>
        </w:rPr>
      </w:pPr>
    </w:p>
    <w:p w:rsidR="006224C2" w:rsidRPr="00295E71" w14:paraId="1095CCEC" w14:textId="77777777">
      <w:pPr>
        <w:pStyle w:val="Heading5"/>
        <w:keepNext w:val="0"/>
        <w:rPr>
          <w:lang w:val="it-IT"/>
        </w:rPr>
      </w:pPr>
    </w:p>
    <w:p w:rsidR="006224C2" w:rsidRPr="00295E71" w14:paraId="5DE3415D" w14:textId="77777777">
      <w:pPr>
        <w:pStyle w:val="Heading5"/>
        <w:keepNext w:val="0"/>
        <w:rPr>
          <w:lang w:val="it-IT"/>
        </w:rPr>
      </w:pPr>
    </w:p>
    <w:p w:rsidR="006224C2" w:rsidRPr="00295E71" w14:paraId="724F7F7F" w14:textId="77777777">
      <w:pPr>
        <w:pStyle w:val="Heading5"/>
        <w:keepNext w:val="0"/>
        <w:rPr>
          <w:lang w:val="it-IT"/>
        </w:rPr>
      </w:pPr>
    </w:p>
    <w:p w:rsidR="006224C2" w:rsidRPr="00295E71" w:rsidP="00C12BE7" w14:paraId="6EDB2EDC" w14:textId="77777777">
      <w:pPr>
        <w:pStyle w:val="Style1"/>
      </w:pPr>
      <w:r w:rsidRPr="00295E71">
        <w:t>ALLEGATO II</w:t>
      </w:r>
    </w:p>
    <w:p w:rsidR="006224C2" w:rsidRPr="00295E71" w14:paraId="69A19459" w14:textId="77777777">
      <w:pPr>
        <w:jc w:val="center"/>
        <w:rPr>
          <w:b/>
          <w:bCs/>
          <w:sz w:val="22"/>
          <w:szCs w:val="22"/>
        </w:rPr>
      </w:pPr>
    </w:p>
    <w:p w:rsidR="006224C2" w:rsidRPr="00295E71" w14:paraId="76C4FFDB" w14:textId="77777777">
      <w:pPr>
        <w:pStyle w:val="BlockText"/>
        <w:numPr>
          <w:ilvl w:val="2"/>
          <w:numId w:val="9"/>
        </w:numPr>
      </w:pPr>
      <w:r w:rsidRPr="00295E71">
        <w:t>PRODUTTORI</w:t>
      </w:r>
      <w:r w:rsidR="00127E4C">
        <w:t xml:space="preserve"> </w:t>
      </w:r>
      <w:r w:rsidRPr="00295E71" w:rsidR="00127E4C">
        <w:t>DE</w:t>
      </w:r>
      <w:r w:rsidR="00127E4C">
        <w:t>L</w:t>
      </w:r>
      <w:r w:rsidRPr="00295E71" w:rsidR="00127E4C">
        <w:t xml:space="preserve"> </w:t>
      </w:r>
      <w:r w:rsidRPr="00295E71">
        <w:t>PRINCIPI</w:t>
      </w:r>
      <w:r w:rsidR="00127E4C">
        <w:t>O</w:t>
      </w:r>
      <w:r w:rsidRPr="00295E71">
        <w:t xml:space="preserve"> </w:t>
      </w:r>
      <w:r w:rsidRPr="00295E71" w:rsidR="00127E4C">
        <w:t>ATTIV</w:t>
      </w:r>
      <w:r w:rsidR="00127E4C">
        <w:t>O</w:t>
      </w:r>
      <w:r w:rsidRPr="00295E71" w:rsidR="00127E4C">
        <w:t xml:space="preserve"> BIOLOGIC</w:t>
      </w:r>
      <w:r w:rsidR="00127E4C">
        <w:t>O</w:t>
      </w:r>
      <w:r w:rsidRPr="00295E71" w:rsidR="00127E4C">
        <w:t xml:space="preserve"> </w:t>
      </w:r>
      <w:r w:rsidRPr="00295E71">
        <w:t>E</w:t>
      </w:r>
      <w:r w:rsidR="00127E4C">
        <w:t xml:space="preserve"> </w:t>
      </w:r>
      <w:r w:rsidRPr="00295E71">
        <w:t>PRODUTTORI</w:t>
      </w:r>
      <w:r w:rsidR="00127E4C">
        <w:t xml:space="preserve"> </w:t>
      </w:r>
      <w:r w:rsidRPr="00295E71">
        <w:t>RESPONSABILI DEL RILASCIO DEI LOTTI</w:t>
      </w:r>
    </w:p>
    <w:p w:rsidR="006224C2" w:rsidRPr="00295E71" w14:paraId="7E98797A" w14:textId="77777777">
      <w:pPr>
        <w:pStyle w:val="BlockText"/>
        <w:ind w:left="1980" w:firstLine="0"/>
      </w:pPr>
    </w:p>
    <w:p w:rsidR="006224C2" w:rsidRPr="00295E71" w14:paraId="3A794684" w14:textId="77777777">
      <w:pPr>
        <w:pStyle w:val="BlockText"/>
        <w:numPr>
          <w:ilvl w:val="2"/>
          <w:numId w:val="9"/>
        </w:numPr>
      </w:pPr>
      <w:r w:rsidRPr="00295E71">
        <w:t>CONDIZIONI O LIMITAZIONI DI FORNITURA E UTILIZZO</w:t>
      </w:r>
      <w:r w:rsidRPr="00295E71">
        <w:br/>
      </w:r>
    </w:p>
    <w:p w:rsidR="006224C2" w:rsidRPr="00295E71" w14:paraId="5992FFE8" w14:textId="77777777">
      <w:pPr>
        <w:numPr>
          <w:ilvl w:val="2"/>
          <w:numId w:val="9"/>
        </w:numPr>
        <w:ind w:right="1330"/>
        <w:rPr>
          <w:b/>
          <w:bCs/>
          <w:sz w:val="22"/>
          <w:szCs w:val="22"/>
        </w:rPr>
      </w:pPr>
      <w:r w:rsidRPr="00295E71">
        <w:rPr>
          <w:b/>
          <w:bCs/>
          <w:sz w:val="22"/>
          <w:szCs w:val="22"/>
        </w:rPr>
        <w:t xml:space="preserve">ALTRE CONDIZIONI </w:t>
      </w:r>
      <w:r w:rsidRPr="00295E71">
        <w:rPr>
          <w:b/>
          <w:sz w:val="22"/>
          <w:szCs w:val="22"/>
        </w:rPr>
        <w:t>E REQUISITI</w:t>
      </w:r>
      <w:r w:rsidR="00127E4C">
        <w:rPr>
          <w:b/>
          <w:sz w:val="22"/>
          <w:szCs w:val="22"/>
        </w:rPr>
        <w:t xml:space="preserve"> </w:t>
      </w:r>
      <w:r w:rsidRPr="00295E71">
        <w:rPr>
          <w:b/>
          <w:bCs/>
          <w:sz w:val="22"/>
          <w:szCs w:val="22"/>
        </w:rPr>
        <w:t>DELL’AUTORIZZAZIONE ALL’IMMISSIONE IN COMMERCIO</w:t>
      </w:r>
    </w:p>
    <w:p w:rsidR="006224C2" w:rsidRPr="00295E71" w14:paraId="77704BD5" w14:textId="77777777">
      <w:pPr>
        <w:ind w:left="1980" w:right="1330"/>
        <w:rPr>
          <w:b/>
          <w:bCs/>
          <w:sz w:val="22"/>
          <w:szCs w:val="22"/>
        </w:rPr>
      </w:pPr>
    </w:p>
    <w:p w:rsidR="006224C2" w:rsidRPr="00295E71" w14:paraId="2A1A2171" w14:textId="77777777">
      <w:pPr>
        <w:numPr>
          <w:ilvl w:val="2"/>
          <w:numId w:val="9"/>
        </w:numPr>
        <w:ind w:right="1330"/>
        <w:rPr>
          <w:b/>
          <w:bCs/>
          <w:sz w:val="22"/>
          <w:szCs w:val="22"/>
        </w:rPr>
      </w:pPr>
      <w:r w:rsidRPr="00295E71">
        <w:rPr>
          <w:b/>
          <w:sz w:val="22"/>
          <w:szCs w:val="22"/>
        </w:rPr>
        <w:t>CONDIZIONI O LIMITAZIONI PER QUANTO RIGUARDA L’USO SICURO ED EFFICACE DEL MEDICINALE</w:t>
      </w:r>
    </w:p>
    <w:p w:rsidR="006224C2" w:rsidRPr="00295E71" w14:paraId="4781B7A7" w14:textId="77777777">
      <w:pPr>
        <w:ind w:left="1080" w:right="1330"/>
        <w:rPr>
          <w:b/>
          <w:bCs/>
          <w:sz w:val="22"/>
          <w:szCs w:val="22"/>
        </w:rPr>
      </w:pPr>
    </w:p>
    <w:p w:rsidR="006224C2" w:rsidRPr="00295E71" w14:paraId="566F6612" w14:textId="77777777">
      <w:pPr>
        <w:pStyle w:val="BMLeftAligned"/>
        <w:ind w:left="720" w:hanging="720"/>
        <w:rPr>
          <w:sz w:val="22"/>
          <w:szCs w:val="22"/>
        </w:rPr>
      </w:pPr>
      <w:r w:rsidRPr="00295E71">
        <w:rPr>
          <w:sz w:val="22"/>
          <w:szCs w:val="22"/>
        </w:rPr>
        <w:br w:type="page"/>
      </w:r>
      <w:r w:rsidRPr="00295E71">
        <w:rPr>
          <w:sz w:val="22"/>
          <w:szCs w:val="22"/>
        </w:rPr>
        <w:t>A.</w:t>
      </w:r>
      <w:r w:rsidRPr="00295E71">
        <w:rPr>
          <w:sz w:val="22"/>
          <w:szCs w:val="22"/>
        </w:rPr>
        <w:tab/>
        <w:t>PRODUTTORI</w:t>
      </w:r>
      <w:r w:rsidR="00127E4C">
        <w:rPr>
          <w:sz w:val="22"/>
          <w:szCs w:val="22"/>
        </w:rPr>
        <w:t xml:space="preserve"> </w:t>
      </w:r>
      <w:r w:rsidRPr="00295E71" w:rsidR="00127E4C">
        <w:rPr>
          <w:sz w:val="22"/>
          <w:szCs w:val="22"/>
        </w:rPr>
        <w:t>DE</w:t>
      </w:r>
      <w:r w:rsidR="00127E4C">
        <w:rPr>
          <w:sz w:val="22"/>
          <w:szCs w:val="22"/>
        </w:rPr>
        <w:t>L</w:t>
      </w:r>
      <w:r w:rsidRPr="00295E71" w:rsidR="00127E4C">
        <w:rPr>
          <w:sz w:val="22"/>
          <w:szCs w:val="22"/>
        </w:rPr>
        <w:t xml:space="preserve"> </w:t>
      </w:r>
      <w:r w:rsidRPr="00295E71">
        <w:rPr>
          <w:sz w:val="22"/>
          <w:szCs w:val="22"/>
        </w:rPr>
        <w:t>PRINCIPI</w:t>
      </w:r>
      <w:r w:rsidR="00127E4C">
        <w:rPr>
          <w:sz w:val="22"/>
          <w:szCs w:val="22"/>
        </w:rPr>
        <w:t>O</w:t>
      </w:r>
      <w:r w:rsidRPr="00295E71">
        <w:rPr>
          <w:sz w:val="22"/>
          <w:szCs w:val="22"/>
        </w:rPr>
        <w:t xml:space="preserve"> </w:t>
      </w:r>
      <w:r w:rsidRPr="00295E71" w:rsidR="00127E4C">
        <w:rPr>
          <w:sz w:val="22"/>
          <w:szCs w:val="22"/>
        </w:rPr>
        <w:t>ATTIV</w:t>
      </w:r>
      <w:r w:rsidR="00127E4C">
        <w:rPr>
          <w:sz w:val="22"/>
          <w:szCs w:val="22"/>
        </w:rPr>
        <w:t>O</w:t>
      </w:r>
      <w:r w:rsidRPr="00295E71" w:rsidR="00127E4C">
        <w:rPr>
          <w:sz w:val="22"/>
          <w:szCs w:val="22"/>
        </w:rPr>
        <w:t xml:space="preserve"> BIOLOGIC</w:t>
      </w:r>
      <w:r w:rsidR="00127E4C">
        <w:rPr>
          <w:sz w:val="22"/>
          <w:szCs w:val="22"/>
        </w:rPr>
        <w:t>O</w:t>
      </w:r>
      <w:r w:rsidRPr="00295E71" w:rsidR="00127E4C">
        <w:rPr>
          <w:sz w:val="22"/>
          <w:szCs w:val="22"/>
        </w:rPr>
        <w:t xml:space="preserve"> </w:t>
      </w:r>
      <w:r w:rsidRPr="00295E71">
        <w:rPr>
          <w:sz w:val="22"/>
          <w:szCs w:val="22"/>
        </w:rPr>
        <w:t>E PRODUTTORI RESPONSABILI DELRILASCIO DEI LOTTI</w:t>
      </w:r>
    </w:p>
    <w:p w:rsidR="006224C2" w:rsidRPr="00295E71" w14:paraId="0AABA9AB" w14:textId="77777777">
      <w:pPr>
        <w:tabs>
          <w:tab w:val="left" w:pos="540"/>
        </w:tabs>
        <w:ind w:right="70"/>
        <w:rPr>
          <w:b/>
          <w:bCs/>
          <w:sz w:val="22"/>
          <w:szCs w:val="22"/>
        </w:rPr>
      </w:pPr>
    </w:p>
    <w:p w:rsidR="006224C2" w:rsidRPr="00295E71" w14:paraId="7698B286" w14:textId="77777777">
      <w:pPr>
        <w:rPr>
          <w:sz w:val="22"/>
          <w:szCs w:val="22"/>
          <w:u w:val="single"/>
        </w:rPr>
      </w:pPr>
      <w:r w:rsidRPr="00295E71">
        <w:rPr>
          <w:sz w:val="22"/>
          <w:szCs w:val="22"/>
          <w:u w:val="single"/>
        </w:rPr>
        <w:t>Nome e indirizzo dei produttori del principio attivo biologico</w:t>
      </w:r>
    </w:p>
    <w:p w:rsidR="006224C2" w:rsidRPr="00295E71" w14:paraId="5B05C1BA" w14:textId="77777777">
      <w:pPr>
        <w:rPr>
          <w:sz w:val="22"/>
          <w:szCs w:val="22"/>
        </w:rPr>
      </w:pPr>
    </w:p>
    <w:p w:rsidR="006224C2" w:rsidRPr="00357925" w14:paraId="06E5F0F0" w14:textId="77777777">
      <w:pPr>
        <w:jc w:val="both"/>
        <w:rPr>
          <w:sz w:val="22"/>
          <w:szCs w:val="22"/>
          <w:lang w:val="en-US"/>
        </w:rPr>
      </w:pPr>
      <w:r w:rsidRPr="00357925">
        <w:rPr>
          <w:sz w:val="22"/>
          <w:szCs w:val="22"/>
          <w:lang w:val="en-US"/>
        </w:rPr>
        <w:t>AbbVie Bioresearch Center</w:t>
      </w:r>
    </w:p>
    <w:p w:rsidR="006224C2" w:rsidRPr="00357925" w14:paraId="3E58DE09" w14:textId="77777777">
      <w:pPr>
        <w:jc w:val="both"/>
        <w:rPr>
          <w:sz w:val="22"/>
          <w:szCs w:val="22"/>
          <w:lang w:val="en-US"/>
        </w:rPr>
      </w:pPr>
      <w:r w:rsidRPr="00357925">
        <w:rPr>
          <w:sz w:val="22"/>
          <w:szCs w:val="22"/>
          <w:lang w:val="en-US"/>
        </w:rPr>
        <w:t>100 Research Drive</w:t>
      </w:r>
    </w:p>
    <w:p w:rsidR="006224C2" w:rsidRPr="00357925" w14:paraId="724AD79B" w14:textId="77777777">
      <w:pPr>
        <w:jc w:val="both"/>
        <w:rPr>
          <w:sz w:val="22"/>
          <w:szCs w:val="22"/>
          <w:lang w:val="en-US"/>
        </w:rPr>
      </w:pPr>
      <w:r w:rsidRPr="00357925">
        <w:rPr>
          <w:sz w:val="22"/>
          <w:szCs w:val="22"/>
          <w:lang w:val="en-US"/>
        </w:rPr>
        <w:t>Worcester</w:t>
      </w:r>
    </w:p>
    <w:p w:rsidR="006224C2" w:rsidRPr="00295E71" w14:paraId="3C3E5B6E" w14:textId="77777777">
      <w:pPr>
        <w:jc w:val="both"/>
        <w:rPr>
          <w:sz w:val="22"/>
          <w:szCs w:val="22"/>
        </w:rPr>
      </w:pPr>
      <w:r w:rsidRPr="00295E71">
        <w:rPr>
          <w:sz w:val="22"/>
          <w:szCs w:val="22"/>
        </w:rPr>
        <w:t>MA 01605</w:t>
      </w:r>
    </w:p>
    <w:p w:rsidR="006224C2" w:rsidRPr="00295E71" w14:paraId="3F466A32" w14:textId="77777777">
      <w:pPr>
        <w:jc w:val="both"/>
        <w:rPr>
          <w:sz w:val="22"/>
          <w:szCs w:val="22"/>
        </w:rPr>
      </w:pPr>
      <w:r w:rsidRPr="00295E71">
        <w:rPr>
          <w:sz w:val="22"/>
          <w:szCs w:val="22"/>
        </w:rPr>
        <w:t>USA</w:t>
      </w:r>
    </w:p>
    <w:p w:rsidR="006224C2" w:rsidRPr="00295E71" w14:paraId="0B64D4D6" w14:textId="77777777">
      <w:pPr>
        <w:jc w:val="both"/>
        <w:rPr>
          <w:sz w:val="22"/>
          <w:szCs w:val="22"/>
        </w:rPr>
      </w:pPr>
    </w:p>
    <w:p w:rsidR="006224C2" w:rsidRPr="00295E71" w14:paraId="3645D2F6" w14:textId="77777777">
      <w:pPr>
        <w:jc w:val="both"/>
        <w:rPr>
          <w:sz w:val="22"/>
          <w:szCs w:val="22"/>
        </w:rPr>
      </w:pPr>
      <w:r w:rsidRPr="00295E71">
        <w:rPr>
          <w:sz w:val="22"/>
          <w:szCs w:val="22"/>
        </w:rPr>
        <w:t>e</w:t>
      </w:r>
    </w:p>
    <w:p w:rsidR="006224C2" w:rsidRPr="00295E71" w14:paraId="2FBAEA34" w14:textId="77777777">
      <w:pPr>
        <w:jc w:val="both"/>
        <w:rPr>
          <w:sz w:val="22"/>
          <w:szCs w:val="22"/>
        </w:rPr>
      </w:pPr>
    </w:p>
    <w:p w:rsidR="006224C2" w:rsidRPr="007E6E3E" w14:paraId="30B7A7A1" w14:textId="77777777">
      <w:pPr>
        <w:jc w:val="both"/>
        <w:rPr>
          <w:sz w:val="22"/>
          <w:szCs w:val="22"/>
        </w:rPr>
      </w:pPr>
      <w:r w:rsidRPr="007E6E3E">
        <w:rPr>
          <w:sz w:val="22"/>
          <w:szCs w:val="22"/>
        </w:rPr>
        <w:t>AbbVie Biotechnology Ltd.</w:t>
      </w:r>
    </w:p>
    <w:p w:rsidR="006224C2" w:rsidRPr="00C04163" w14:paraId="10A6A40F" w14:textId="77777777">
      <w:pPr>
        <w:jc w:val="both"/>
        <w:rPr>
          <w:sz w:val="22"/>
          <w:szCs w:val="22"/>
          <w:lang w:val="pt-PT"/>
        </w:rPr>
      </w:pPr>
      <w:r w:rsidRPr="00C04163">
        <w:rPr>
          <w:sz w:val="22"/>
          <w:szCs w:val="22"/>
          <w:lang w:val="pt-PT"/>
        </w:rPr>
        <w:t>Road No. 2, Km. 59,2</w:t>
      </w:r>
    </w:p>
    <w:p w:rsidR="006224C2" w:rsidRPr="00C04163" w14:paraId="63F07B62" w14:textId="77777777">
      <w:pPr>
        <w:jc w:val="both"/>
        <w:rPr>
          <w:sz w:val="22"/>
          <w:szCs w:val="22"/>
          <w:lang w:val="pt-PT"/>
        </w:rPr>
      </w:pPr>
      <w:r w:rsidRPr="00C04163">
        <w:rPr>
          <w:sz w:val="22"/>
          <w:szCs w:val="22"/>
          <w:lang w:val="pt-PT"/>
        </w:rPr>
        <w:t>Barceloneta</w:t>
      </w:r>
    </w:p>
    <w:p w:rsidR="006224C2" w:rsidRPr="00C04163" w14:paraId="1BBA57B0" w14:textId="77777777">
      <w:pPr>
        <w:jc w:val="both"/>
        <w:rPr>
          <w:sz w:val="22"/>
          <w:szCs w:val="22"/>
          <w:lang w:val="pt-PT"/>
        </w:rPr>
      </w:pPr>
      <w:r w:rsidRPr="00C04163">
        <w:rPr>
          <w:sz w:val="22"/>
          <w:szCs w:val="22"/>
          <w:lang w:val="pt-PT"/>
        </w:rPr>
        <w:t>Porto Rico 00617</w:t>
      </w:r>
    </w:p>
    <w:p w:rsidR="006224C2" w:rsidRPr="00C04163" w14:paraId="56C2C2CB" w14:textId="77777777">
      <w:pPr>
        <w:jc w:val="both"/>
        <w:rPr>
          <w:sz w:val="22"/>
          <w:szCs w:val="22"/>
          <w:lang w:val="pt-PT"/>
        </w:rPr>
      </w:pPr>
    </w:p>
    <w:p w:rsidR="006224C2" w:rsidRPr="00295E71" w14:paraId="08B7C702" w14:textId="77777777">
      <w:pPr>
        <w:numPr>
          <w:ilvl w:val="12"/>
          <w:numId w:val="0"/>
        </w:numPr>
        <w:tabs>
          <w:tab w:val="left" w:pos="720"/>
        </w:tabs>
        <w:jc w:val="both"/>
        <w:rPr>
          <w:sz w:val="22"/>
          <w:szCs w:val="22"/>
        </w:rPr>
      </w:pPr>
      <w:r w:rsidRPr="00295E71">
        <w:rPr>
          <w:sz w:val="22"/>
          <w:szCs w:val="22"/>
        </w:rPr>
        <w:t>e</w:t>
      </w:r>
    </w:p>
    <w:p w:rsidR="006224C2" w:rsidRPr="00295E71" w14:paraId="0D5A425D" w14:textId="77777777">
      <w:pPr>
        <w:numPr>
          <w:ilvl w:val="12"/>
          <w:numId w:val="0"/>
        </w:numPr>
        <w:tabs>
          <w:tab w:val="left" w:pos="720"/>
        </w:tabs>
        <w:jc w:val="both"/>
        <w:rPr>
          <w:sz w:val="22"/>
          <w:szCs w:val="22"/>
        </w:rPr>
      </w:pPr>
    </w:p>
    <w:p w:rsidR="006224C2" w:rsidRPr="00295E71" w14:paraId="5AB0AAD2" w14:textId="77777777">
      <w:pPr>
        <w:autoSpaceDE w:val="0"/>
        <w:autoSpaceDN w:val="0"/>
        <w:adjustRightInd w:val="0"/>
        <w:jc w:val="both"/>
        <w:rPr>
          <w:bCs/>
          <w:sz w:val="22"/>
          <w:szCs w:val="22"/>
        </w:rPr>
      </w:pPr>
      <w:r w:rsidRPr="00295E71">
        <w:rPr>
          <w:bCs/>
          <w:sz w:val="22"/>
          <w:szCs w:val="22"/>
        </w:rPr>
        <w:t>Lonza Biologics Tuas PTE Ltd</w:t>
      </w:r>
    </w:p>
    <w:p w:rsidR="006224C2" w:rsidRPr="003915EA" w14:paraId="46962D9B" w14:textId="77777777">
      <w:pPr>
        <w:autoSpaceDE w:val="0"/>
        <w:autoSpaceDN w:val="0"/>
        <w:adjustRightInd w:val="0"/>
        <w:jc w:val="both"/>
        <w:rPr>
          <w:bCs/>
          <w:sz w:val="22"/>
          <w:szCs w:val="22"/>
          <w:lang w:val="en-US"/>
        </w:rPr>
      </w:pPr>
      <w:r w:rsidRPr="003915EA">
        <w:rPr>
          <w:bCs/>
          <w:sz w:val="22"/>
          <w:szCs w:val="22"/>
          <w:lang w:val="en-US"/>
        </w:rPr>
        <w:t>35 Tuas South Ave 6</w:t>
      </w:r>
    </w:p>
    <w:p w:rsidR="006224C2" w:rsidRPr="003915EA" w14:paraId="0A605BB1" w14:textId="77777777">
      <w:pPr>
        <w:jc w:val="both"/>
        <w:rPr>
          <w:bCs/>
          <w:sz w:val="22"/>
          <w:szCs w:val="22"/>
          <w:lang w:val="en-US"/>
        </w:rPr>
      </w:pPr>
      <w:r w:rsidRPr="003915EA">
        <w:rPr>
          <w:bCs/>
          <w:sz w:val="22"/>
          <w:szCs w:val="22"/>
          <w:lang w:val="en-US"/>
        </w:rPr>
        <w:t>Singapore 637377</w:t>
      </w:r>
    </w:p>
    <w:p w:rsidR="00123A2F" w:rsidRPr="003915EA" w14:paraId="2DAA5A9C" w14:textId="77777777">
      <w:pPr>
        <w:jc w:val="both"/>
        <w:rPr>
          <w:bCs/>
          <w:sz w:val="22"/>
          <w:szCs w:val="22"/>
          <w:lang w:val="en-US"/>
        </w:rPr>
      </w:pPr>
    </w:p>
    <w:p w:rsidR="00123A2F" w:rsidRPr="00660BA1" w14:paraId="7B62ED2F" w14:textId="77777777">
      <w:pPr>
        <w:jc w:val="both"/>
        <w:rPr>
          <w:bCs/>
          <w:sz w:val="22"/>
          <w:szCs w:val="22"/>
          <w:lang w:val="en-US"/>
        </w:rPr>
      </w:pPr>
      <w:r w:rsidRPr="00660BA1">
        <w:rPr>
          <w:bCs/>
          <w:sz w:val="22"/>
          <w:szCs w:val="22"/>
          <w:lang w:val="en-US"/>
        </w:rPr>
        <w:t>e</w:t>
      </w:r>
    </w:p>
    <w:p w:rsidR="00123A2F" w:rsidRPr="00660BA1" w14:paraId="1D320E1A" w14:textId="77777777">
      <w:pPr>
        <w:jc w:val="both"/>
        <w:rPr>
          <w:bCs/>
          <w:sz w:val="22"/>
          <w:szCs w:val="22"/>
          <w:lang w:val="en-US"/>
        </w:rPr>
      </w:pPr>
    </w:p>
    <w:p w:rsidR="00123A2F" w:rsidRPr="00660BA1" w:rsidP="00123A2F" w14:paraId="2453AFD2" w14:textId="77777777">
      <w:pPr>
        <w:rPr>
          <w:bCs/>
          <w:sz w:val="22"/>
          <w:szCs w:val="22"/>
          <w:lang w:val="en-US"/>
        </w:rPr>
      </w:pPr>
      <w:r w:rsidRPr="00660BA1">
        <w:rPr>
          <w:bCs/>
          <w:sz w:val="22"/>
          <w:szCs w:val="22"/>
          <w:lang w:val="en-US"/>
        </w:rPr>
        <w:t>AbbVie Operations Singapore PTE Ltd</w:t>
      </w:r>
    </w:p>
    <w:p w:rsidR="00123A2F" w:rsidRPr="00C04163" w:rsidP="00123A2F" w14:paraId="398CE3DB" w14:textId="77777777">
      <w:pPr>
        <w:rPr>
          <w:bCs/>
          <w:sz w:val="22"/>
          <w:szCs w:val="22"/>
          <w:lang w:val="pt-PT"/>
        </w:rPr>
      </w:pPr>
      <w:r w:rsidRPr="00C04163">
        <w:rPr>
          <w:bCs/>
          <w:sz w:val="22"/>
          <w:szCs w:val="22"/>
          <w:lang w:val="pt-PT"/>
        </w:rPr>
        <w:t>23 Tuas South Avenue 6</w:t>
      </w:r>
    </w:p>
    <w:p w:rsidR="00123A2F" w:rsidRPr="00123A2F" w:rsidP="00123A2F" w14:paraId="6D0E16DB" w14:textId="77777777">
      <w:pPr>
        <w:jc w:val="both"/>
        <w:rPr>
          <w:bCs/>
          <w:sz w:val="22"/>
          <w:szCs w:val="22"/>
        </w:rPr>
      </w:pPr>
      <w:r w:rsidRPr="00660BA1">
        <w:rPr>
          <w:bCs/>
          <w:sz w:val="22"/>
          <w:szCs w:val="22"/>
        </w:rPr>
        <w:t>Singapore 637022</w:t>
      </w:r>
    </w:p>
    <w:p w:rsidR="006224C2" w:rsidRPr="00295E71" w14:paraId="508FC8A4" w14:textId="77777777">
      <w:pPr>
        <w:rPr>
          <w:sz w:val="22"/>
          <w:szCs w:val="22"/>
          <w:u w:val="single"/>
        </w:rPr>
      </w:pPr>
    </w:p>
    <w:p w:rsidR="006224C2" w:rsidRPr="00295E71" w14:paraId="371129CC" w14:textId="77777777">
      <w:pPr>
        <w:rPr>
          <w:sz w:val="22"/>
          <w:szCs w:val="22"/>
          <w:u w:val="single"/>
        </w:rPr>
      </w:pPr>
      <w:r w:rsidRPr="00295E71">
        <w:rPr>
          <w:sz w:val="22"/>
          <w:szCs w:val="22"/>
          <w:u w:val="single"/>
        </w:rPr>
        <w:t>Nome e indirizzo de</w:t>
      </w:r>
      <w:r w:rsidR="003649B7">
        <w:rPr>
          <w:sz w:val="22"/>
          <w:szCs w:val="22"/>
          <w:u w:val="single"/>
        </w:rPr>
        <w:t>l</w:t>
      </w:r>
      <w:r w:rsidRPr="00295E71">
        <w:rPr>
          <w:sz w:val="22"/>
          <w:szCs w:val="22"/>
          <w:u w:val="single"/>
        </w:rPr>
        <w:t xml:space="preserve"> produttor</w:t>
      </w:r>
      <w:r w:rsidR="003649B7">
        <w:rPr>
          <w:sz w:val="22"/>
          <w:szCs w:val="22"/>
          <w:u w:val="single"/>
        </w:rPr>
        <w:t>e</w:t>
      </w:r>
      <w:r w:rsidRPr="00295E71">
        <w:rPr>
          <w:sz w:val="22"/>
          <w:szCs w:val="22"/>
          <w:u w:val="single"/>
        </w:rPr>
        <w:t xml:space="preserve"> responsabil</w:t>
      </w:r>
      <w:r w:rsidR="003649B7">
        <w:rPr>
          <w:sz w:val="22"/>
          <w:szCs w:val="22"/>
          <w:u w:val="single"/>
        </w:rPr>
        <w:t>e</w:t>
      </w:r>
      <w:r w:rsidRPr="00295E71">
        <w:rPr>
          <w:sz w:val="22"/>
          <w:szCs w:val="22"/>
          <w:u w:val="single"/>
        </w:rPr>
        <w:t xml:space="preserve"> del rilascio dei lotti</w:t>
      </w:r>
    </w:p>
    <w:p w:rsidR="006224C2" w:rsidRPr="00295E71" w14:paraId="287D585E" w14:textId="77777777">
      <w:pPr>
        <w:rPr>
          <w:sz w:val="22"/>
          <w:szCs w:val="22"/>
        </w:rPr>
      </w:pPr>
    </w:p>
    <w:p w:rsidR="006224C2" w:rsidRPr="00910CE7" w14:paraId="6BB3DF25" w14:textId="77777777">
      <w:pPr>
        <w:rPr>
          <w:sz w:val="22"/>
          <w:lang w:val="en-US"/>
        </w:rPr>
      </w:pPr>
      <w:r w:rsidRPr="00910CE7">
        <w:rPr>
          <w:sz w:val="22"/>
          <w:lang w:val="en-US"/>
        </w:rPr>
        <w:t>AbbVie Biotechnology GmbH</w:t>
      </w:r>
    </w:p>
    <w:p w:rsidR="006224C2" w:rsidRPr="00910CE7" w14:paraId="6E8475D7" w14:textId="77777777">
      <w:pPr>
        <w:numPr>
          <w:ilvl w:val="12"/>
          <w:numId w:val="0"/>
        </w:numPr>
        <w:tabs>
          <w:tab w:val="left" w:pos="720"/>
        </w:tabs>
        <w:rPr>
          <w:sz w:val="22"/>
          <w:lang w:val="en-US"/>
        </w:rPr>
      </w:pPr>
      <w:r w:rsidRPr="00910CE7">
        <w:rPr>
          <w:sz w:val="22"/>
          <w:lang w:val="en-US"/>
        </w:rPr>
        <w:t>Knollstrasse</w:t>
      </w:r>
    </w:p>
    <w:p w:rsidR="006224C2" w:rsidRPr="00910CE7" w14:paraId="6AA9AC6B" w14:textId="77777777">
      <w:pPr>
        <w:numPr>
          <w:ilvl w:val="12"/>
          <w:numId w:val="0"/>
        </w:numPr>
        <w:tabs>
          <w:tab w:val="left" w:pos="720"/>
        </w:tabs>
        <w:rPr>
          <w:sz w:val="22"/>
          <w:lang w:val="en-US"/>
        </w:rPr>
      </w:pPr>
      <w:r w:rsidRPr="00910CE7">
        <w:rPr>
          <w:sz w:val="22"/>
          <w:lang w:val="en-US"/>
        </w:rPr>
        <w:t>67061 Ludwigshafen</w:t>
      </w:r>
    </w:p>
    <w:p w:rsidR="006224C2" w:rsidRPr="00910CE7" w14:paraId="0A4873B2" w14:textId="77777777">
      <w:pPr>
        <w:numPr>
          <w:ilvl w:val="12"/>
          <w:numId w:val="0"/>
        </w:numPr>
        <w:tabs>
          <w:tab w:val="left" w:pos="720"/>
        </w:tabs>
        <w:rPr>
          <w:sz w:val="22"/>
          <w:lang w:val="en-US"/>
        </w:rPr>
      </w:pPr>
      <w:r w:rsidRPr="00910CE7">
        <w:rPr>
          <w:sz w:val="22"/>
          <w:lang w:val="en-US"/>
        </w:rPr>
        <w:t>Germania</w:t>
      </w:r>
    </w:p>
    <w:p w:rsidR="006224C2" w:rsidRPr="00910CE7" w:rsidP="00910CE7" w14:paraId="188B1995" w14:textId="77777777">
      <w:pPr>
        <w:pStyle w:val="Heading6"/>
        <w:keepNext w:val="0"/>
        <w:rPr>
          <w:b w:val="0"/>
          <w:lang w:val="en-US"/>
        </w:rPr>
      </w:pPr>
    </w:p>
    <w:p w:rsidR="006224C2" w:rsidRPr="00910CE7" w:rsidP="00910CE7" w14:paraId="2B611929" w14:textId="77777777">
      <w:pPr>
        <w:rPr>
          <w:sz w:val="22"/>
          <w:lang w:val="en-US"/>
        </w:rPr>
      </w:pPr>
    </w:p>
    <w:p w:rsidR="006224C2" w:rsidRPr="00295E71" w:rsidP="00660BA1" w14:paraId="470EFDEE" w14:textId="77777777">
      <w:pPr>
        <w:pStyle w:val="BMLeftAligned"/>
        <w:keepNext/>
        <w:rPr>
          <w:sz w:val="22"/>
          <w:szCs w:val="22"/>
        </w:rPr>
      </w:pPr>
      <w:r w:rsidRPr="00295E71">
        <w:rPr>
          <w:sz w:val="22"/>
          <w:szCs w:val="22"/>
        </w:rPr>
        <w:t>B.</w:t>
      </w:r>
      <w:r w:rsidRPr="00295E71">
        <w:rPr>
          <w:sz w:val="22"/>
          <w:szCs w:val="22"/>
        </w:rPr>
        <w:tab/>
        <w:t>CONDIZIONI O LIMITAZIONI DI FORNITURA E UTILIZZO</w:t>
      </w:r>
    </w:p>
    <w:p w:rsidR="006224C2" w:rsidRPr="00295E71" w:rsidP="00660BA1" w14:paraId="25306A9B" w14:textId="77777777">
      <w:pPr>
        <w:keepNext/>
        <w:tabs>
          <w:tab w:val="left" w:pos="540"/>
        </w:tabs>
        <w:rPr>
          <w:sz w:val="22"/>
          <w:szCs w:val="22"/>
        </w:rPr>
      </w:pPr>
    </w:p>
    <w:p w:rsidR="006224C2" w:rsidRPr="00295E71" w:rsidP="00660BA1" w14:paraId="4D76794D" w14:textId="77777777">
      <w:pPr>
        <w:keepNext/>
        <w:tabs>
          <w:tab w:val="left" w:pos="540"/>
        </w:tabs>
        <w:jc w:val="both"/>
        <w:rPr>
          <w:sz w:val="22"/>
          <w:szCs w:val="22"/>
          <w:lang w:eastAsia="en-US"/>
        </w:rPr>
      </w:pPr>
      <w:r w:rsidRPr="00295E71">
        <w:rPr>
          <w:sz w:val="22"/>
          <w:szCs w:val="22"/>
          <w:lang w:eastAsia="en-US"/>
        </w:rPr>
        <w:t>Medicinale soggetto a prescrizione medica limitativa (vedere allegato I: riassunto delle caratteristiche del prodotto, paragrafo 4.2).</w:t>
      </w:r>
    </w:p>
    <w:p w:rsidR="006224C2" w:rsidRPr="00295E71" w14:paraId="55185344" w14:textId="77777777">
      <w:pPr>
        <w:tabs>
          <w:tab w:val="left" w:pos="540"/>
        </w:tabs>
        <w:jc w:val="both"/>
        <w:rPr>
          <w:sz w:val="22"/>
          <w:szCs w:val="22"/>
          <w:lang w:eastAsia="en-US"/>
        </w:rPr>
      </w:pPr>
    </w:p>
    <w:p w:rsidR="006224C2" w:rsidRPr="00295E71" w14:paraId="213F3ECF" w14:textId="77777777">
      <w:pPr>
        <w:tabs>
          <w:tab w:val="left" w:pos="540"/>
        </w:tabs>
        <w:jc w:val="both"/>
        <w:rPr>
          <w:sz w:val="22"/>
          <w:szCs w:val="22"/>
          <w:lang w:eastAsia="en-US"/>
        </w:rPr>
      </w:pPr>
    </w:p>
    <w:p w:rsidR="006224C2" w:rsidRPr="00295E71" w14:paraId="12593C48" w14:textId="77777777">
      <w:pPr>
        <w:pStyle w:val="BMLeftAligned"/>
        <w:keepNext/>
        <w:rPr>
          <w:sz w:val="22"/>
          <w:szCs w:val="22"/>
          <w:lang w:eastAsia="en-US"/>
        </w:rPr>
      </w:pPr>
      <w:r w:rsidRPr="00295E71">
        <w:rPr>
          <w:sz w:val="22"/>
          <w:szCs w:val="22"/>
          <w:lang w:eastAsia="en-US"/>
        </w:rPr>
        <w:t>C.</w:t>
      </w:r>
      <w:r w:rsidRPr="00295E71">
        <w:rPr>
          <w:sz w:val="22"/>
          <w:szCs w:val="22"/>
          <w:lang w:eastAsia="en-US"/>
        </w:rPr>
        <w:tab/>
        <w:t xml:space="preserve">ALTRE CONDIZIONI E REQUISITI DELL’AUTORIZZAZIONE ALL’IMMISSIONE IN COMMERCIO </w:t>
      </w:r>
    </w:p>
    <w:p w:rsidR="006224C2" w:rsidRPr="00295E71" w14:paraId="046A48A9" w14:textId="77777777">
      <w:pPr>
        <w:pStyle w:val="BMLeftAligned"/>
        <w:keepNext/>
        <w:rPr>
          <w:sz w:val="22"/>
          <w:szCs w:val="22"/>
          <w:lang w:eastAsia="en-US"/>
        </w:rPr>
      </w:pPr>
    </w:p>
    <w:p w:rsidR="006224C2" w:rsidRPr="00295E71" w14:paraId="7C723F34" w14:textId="77777777">
      <w:pPr>
        <w:rPr>
          <w:b/>
          <w:sz w:val="22"/>
          <w:szCs w:val="22"/>
        </w:rPr>
      </w:pPr>
      <w:r w:rsidRPr="00295E71">
        <w:rPr>
          <w:b/>
          <w:sz w:val="22"/>
          <w:szCs w:val="22"/>
        </w:rPr>
        <w:t>Rapporti periodici di aggiornamento sulla sicurezza (PSUR)</w:t>
      </w:r>
      <w:r w:rsidRPr="00295E71">
        <w:rPr>
          <w:b/>
          <w:sz w:val="22"/>
          <w:szCs w:val="22"/>
        </w:rPr>
        <w:br/>
      </w:r>
    </w:p>
    <w:p w:rsidR="006224C2" w:rsidRPr="00295E71" w14:paraId="45EF967E" w14:textId="77777777">
      <w:pPr>
        <w:keepNext/>
        <w:tabs>
          <w:tab w:val="left" w:pos="540"/>
        </w:tabs>
        <w:jc w:val="both"/>
        <w:rPr>
          <w:sz w:val="22"/>
          <w:szCs w:val="22"/>
        </w:rPr>
      </w:pPr>
      <w:r w:rsidRPr="00295E71">
        <w:rPr>
          <w:sz w:val="22"/>
          <w:szCs w:val="22"/>
        </w:rPr>
        <w:t>I requisiti per la presentazione degli PSUR</w:t>
      </w:r>
      <w:r w:rsidRPr="00295E71" w:rsidR="00C838EB">
        <w:rPr>
          <w:sz w:val="22"/>
          <w:szCs w:val="22"/>
        </w:rPr>
        <w:t xml:space="preserve"> </w:t>
      </w:r>
      <w:r w:rsidRPr="00295E71">
        <w:rPr>
          <w:sz w:val="22"/>
          <w:szCs w:val="22"/>
        </w:rPr>
        <w:t xml:space="preserve">per questo medicinale sono definiti nell’elenco delle date di riferimento per l’Unione europea (elenco EURD) di cui all’articolo 107 </w:t>
      </w:r>
      <w:r w:rsidRPr="00295E71">
        <w:rPr>
          <w:i/>
          <w:sz w:val="22"/>
          <w:szCs w:val="22"/>
        </w:rPr>
        <w:t>quater</w:t>
      </w:r>
      <w:r w:rsidRPr="00295E71">
        <w:rPr>
          <w:sz w:val="22"/>
          <w:szCs w:val="22"/>
        </w:rPr>
        <w:t>, paragrafo 7, della Direttiva 2001/83/CE e successive</w:t>
      </w:r>
      <w:r w:rsidRPr="00295E71" w:rsidR="00C838EB">
        <w:rPr>
          <w:sz w:val="22"/>
          <w:szCs w:val="22"/>
        </w:rPr>
        <w:t xml:space="preserve"> </w:t>
      </w:r>
      <w:r w:rsidRPr="00295E71">
        <w:rPr>
          <w:sz w:val="22"/>
          <w:szCs w:val="22"/>
        </w:rPr>
        <w:t>modifiche,</w:t>
      </w:r>
      <w:r w:rsidR="00127E4C">
        <w:rPr>
          <w:sz w:val="22"/>
          <w:szCs w:val="22"/>
        </w:rPr>
        <w:t xml:space="preserve"> </w:t>
      </w:r>
      <w:r w:rsidRPr="00295E71">
        <w:rPr>
          <w:sz w:val="22"/>
          <w:szCs w:val="22"/>
        </w:rPr>
        <w:t>pubblicato sul sito web dell’Agenzia europea dei medicinali.</w:t>
      </w:r>
    </w:p>
    <w:p w:rsidR="006224C2" w:rsidRPr="00295E71" w14:paraId="136D2922" w14:textId="77777777">
      <w:pPr>
        <w:tabs>
          <w:tab w:val="left" w:pos="540"/>
        </w:tabs>
        <w:jc w:val="both"/>
        <w:rPr>
          <w:sz w:val="22"/>
          <w:szCs w:val="22"/>
        </w:rPr>
      </w:pPr>
    </w:p>
    <w:p w:rsidR="006224C2" w:rsidRPr="00295E71" w14:paraId="5DCFAA28" w14:textId="77777777">
      <w:pPr>
        <w:tabs>
          <w:tab w:val="left" w:pos="540"/>
        </w:tabs>
        <w:jc w:val="both"/>
        <w:rPr>
          <w:sz w:val="22"/>
          <w:szCs w:val="22"/>
        </w:rPr>
      </w:pPr>
    </w:p>
    <w:p w:rsidR="006224C2" w:rsidRPr="00295E71" w14:paraId="02BFB234" w14:textId="77777777">
      <w:pPr>
        <w:pStyle w:val="BMLeftAligned"/>
        <w:jc w:val="both"/>
        <w:rPr>
          <w:sz w:val="22"/>
          <w:szCs w:val="22"/>
        </w:rPr>
      </w:pPr>
      <w:r w:rsidRPr="00295E71">
        <w:rPr>
          <w:sz w:val="22"/>
          <w:szCs w:val="22"/>
        </w:rPr>
        <w:t>D.</w:t>
      </w:r>
      <w:r w:rsidRPr="00295E71">
        <w:rPr>
          <w:sz w:val="22"/>
          <w:szCs w:val="22"/>
        </w:rPr>
        <w:tab/>
        <w:t>CONDIZIONI O LIMITAZIONI PER QUANTO RIGUARDA L’USO SICURO ED EFFICACE DEL MEDICINALE</w:t>
      </w:r>
    </w:p>
    <w:p w:rsidR="006224C2" w:rsidRPr="00295E71" w14:paraId="0F241710" w14:textId="77777777">
      <w:pPr>
        <w:ind w:right="-1"/>
        <w:jc w:val="both"/>
        <w:rPr>
          <w:sz w:val="22"/>
          <w:szCs w:val="22"/>
        </w:rPr>
      </w:pPr>
    </w:p>
    <w:p w:rsidR="006224C2" w:rsidRPr="00295E71" w14:paraId="76956DB2" w14:textId="77777777">
      <w:pPr>
        <w:pStyle w:val="EMEABodyText"/>
        <w:numPr>
          <w:ilvl w:val="0"/>
          <w:numId w:val="54"/>
        </w:numPr>
        <w:tabs>
          <w:tab w:val="left" w:pos="567"/>
        </w:tabs>
        <w:ind w:left="0" w:firstLine="0"/>
        <w:jc w:val="both"/>
        <w:rPr>
          <w:b/>
          <w:i/>
          <w:szCs w:val="22"/>
          <w:lang w:val="it-IT"/>
        </w:rPr>
      </w:pPr>
      <w:r w:rsidRPr="00295E71">
        <w:rPr>
          <w:b/>
          <w:szCs w:val="22"/>
          <w:lang w:val="it-IT"/>
        </w:rPr>
        <w:t>Piano di gestione del rischio(RMP)</w:t>
      </w:r>
    </w:p>
    <w:p w:rsidR="006224C2" w:rsidRPr="00295E71" w14:paraId="5D9E2EF0" w14:textId="77777777">
      <w:pPr>
        <w:pStyle w:val="EMEABodyText"/>
        <w:jc w:val="both"/>
        <w:rPr>
          <w:szCs w:val="22"/>
          <w:lang w:val="it-IT"/>
        </w:rPr>
      </w:pPr>
    </w:p>
    <w:p w:rsidR="006224C2" w:rsidRPr="00295E71" w14:paraId="187B8EF9" w14:textId="77777777">
      <w:pPr>
        <w:pStyle w:val="EMEABodyText"/>
        <w:jc w:val="both"/>
        <w:rPr>
          <w:szCs w:val="22"/>
          <w:lang w:val="it-IT"/>
        </w:rPr>
      </w:pPr>
      <w:r w:rsidRPr="00295E71">
        <w:rPr>
          <w:szCs w:val="22"/>
          <w:lang w:val="it-IT"/>
        </w:rPr>
        <w:t xml:space="preserve">Il titolare dell’autorizzazione all'immissione in commercio </w:t>
      </w:r>
      <w:r w:rsidRPr="00295E71">
        <w:rPr>
          <w:szCs w:val="22"/>
          <w:lang w:val="it-IT" w:eastAsia="it-IT"/>
        </w:rPr>
        <w:t xml:space="preserve">deve effettuare </w:t>
      </w:r>
      <w:r w:rsidRPr="00295E71">
        <w:rPr>
          <w:szCs w:val="22"/>
          <w:lang w:val="it-IT"/>
        </w:rPr>
        <w:t>le attività e le azioni di farmacovigilanza richieste e dettagliate nel RMP approvato e presentato nel modulo 1.8.2 dell’autorizzazione all'immissione in commercio e in ogni successivo aggiornamento approvato del RMP.</w:t>
      </w:r>
    </w:p>
    <w:p w:rsidR="006224C2" w:rsidRPr="00295E71" w14:paraId="57289B81" w14:textId="77777777">
      <w:pPr>
        <w:ind w:right="-1"/>
        <w:jc w:val="both"/>
        <w:rPr>
          <w:i/>
          <w:sz w:val="22"/>
          <w:szCs w:val="22"/>
          <w:u w:val="single"/>
        </w:rPr>
      </w:pPr>
    </w:p>
    <w:p w:rsidR="006224C2" w:rsidRPr="00295E71" w14:paraId="4BE294C8" w14:textId="77777777">
      <w:pPr>
        <w:pStyle w:val="EMEABodyText"/>
        <w:jc w:val="both"/>
        <w:rPr>
          <w:szCs w:val="22"/>
          <w:lang w:val="it-IT"/>
        </w:rPr>
      </w:pPr>
      <w:r w:rsidRPr="00295E71">
        <w:rPr>
          <w:szCs w:val="22"/>
          <w:lang w:val="it-IT"/>
        </w:rPr>
        <w:t>Il RMP aggiornato deve essere presentato:</w:t>
      </w:r>
    </w:p>
    <w:p w:rsidR="006224C2" w:rsidRPr="00295E71" w14:paraId="4E728C3B" w14:textId="77777777">
      <w:pPr>
        <w:pStyle w:val="EMEABodyText"/>
        <w:jc w:val="both"/>
        <w:rPr>
          <w:szCs w:val="22"/>
          <w:lang w:val="it-IT"/>
        </w:rPr>
      </w:pPr>
    </w:p>
    <w:p w:rsidR="006224C2" w:rsidRPr="00295E71" w14:paraId="1B7A8987" w14:textId="77777777">
      <w:pPr>
        <w:numPr>
          <w:ilvl w:val="0"/>
          <w:numId w:val="53"/>
        </w:numPr>
        <w:suppressLineNumbers/>
        <w:tabs>
          <w:tab w:val="left" w:pos="567"/>
        </w:tabs>
        <w:spacing w:line="260" w:lineRule="exact"/>
        <w:ind w:right="-1"/>
        <w:jc w:val="both"/>
        <w:rPr>
          <w:iCs/>
          <w:sz w:val="22"/>
          <w:szCs w:val="22"/>
        </w:rPr>
      </w:pPr>
      <w:r w:rsidRPr="00295E71">
        <w:rPr>
          <w:iCs/>
          <w:sz w:val="22"/>
          <w:szCs w:val="22"/>
        </w:rPr>
        <w:t>su richiesta dell’Agenzia europea dei medicinali;</w:t>
      </w:r>
    </w:p>
    <w:p w:rsidR="006224C2" w:rsidRPr="00295E71" w14:paraId="46FACE91" w14:textId="77777777">
      <w:pPr>
        <w:numPr>
          <w:ilvl w:val="0"/>
          <w:numId w:val="53"/>
        </w:numPr>
        <w:suppressLineNumbers/>
        <w:tabs>
          <w:tab w:val="left" w:pos="567"/>
        </w:tabs>
        <w:spacing w:line="260" w:lineRule="exact"/>
        <w:ind w:right="-1"/>
        <w:jc w:val="both"/>
        <w:rPr>
          <w:sz w:val="22"/>
          <w:szCs w:val="22"/>
        </w:rPr>
      </w:pPr>
      <w:r w:rsidRPr="00295E71">
        <w:rPr>
          <w:iCs/>
          <w:sz w:val="22"/>
          <w:szCs w:val="22"/>
        </w:rPr>
        <w:t>ogni volta che il sistema di gestione del rischio è modificato, in particolare a seguito del ricevimento di nuove informazioni</w:t>
      </w:r>
      <w:r w:rsidRPr="00295E71">
        <w:rPr>
          <w:sz w:val="22"/>
          <w:szCs w:val="22"/>
        </w:rPr>
        <w:t xml:space="preserve"> che possono portare a un cambiamento significativo del profilo beneficio/rischio o a seguito del raggiungimento di un importante obiettivo (di farmacovigilanza o di minimizzazione del rischio).</w:t>
      </w:r>
    </w:p>
    <w:p w:rsidR="006224C2" w:rsidRPr="00295E71" w14:paraId="1ED3784E" w14:textId="77777777">
      <w:pPr>
        <w:tabs>
          <w:tab w:val="left" w:pos="540"/>
        </w:tabs>
        <w:jc w:val="both"/>
        <w:rPr>
          <w:sz w:val="22"/>
          <w:szCs w:val="22"/>
        </w:rPr>
      </w:pPr>
    </w:p>
    <w:p w:rsidR="006224C2" w:rsidRPr="00295E71" w14:paraId="31BB03D5" w14:textId="77777777">
      <w:pPr>
        <w:numPr>
          <w:ilvl w:val="0"/>
          <w:numId w:val="55"/>
        </w:numPr>
        <w:suppressLineNumbers/>
        <w:tabs>
          <w:tab w:val="left" w:pos="567"/>
          <w:tab w:val="clear" w:pos="720"/>
        </w:tabs>
        <w:spacing w:line="260" w:lineRule="exact"/>
        <w:ind w:left="567" w:right="-1" w:hanging="567"/>
        <w:jc w:val="both"/>
        <w:rPr>
          <w:b/>
          <w:sz w:val="22"/>
          <w:szCs w:val="22"/>
        </w:rPr>
      </w:pPr>
      <w:r w:rsidRPr="00295E71">
        <w:rPr>
          <w:b/>
          <w:sz w:val="22"/>
          <w:szCs w:val="22"/>
        </w:rPr>
        <w:t>Misure aggiuntive di minimizzazione del rischio</w:t>
      </w:r>
    </w:p>
    <w:p w:rsidR="006224C2" w:rsidRPr="00295E71" w14:paraId="6E8EBE65" w14:textId="77777777">
      <w:pPr>
        <w:tabs>
          <w:tab w:val="left" w:pos="540"/>
        </w:tabs>
        <w:jc w:val="both"/>
        <w:rPr>
          <w:sz w:val="22"/>
          <w:szCs w:val="22"/>
        </w:rPr>
      </w:pPr>
    </w:p>
    <w:p w:rsidR="006224C2" w:rsidRPr="00295E71" w14:paraId="752B157C" w14:textId="77777777">
      <w:pPr>
        <w:tabs>
          <w:tab w:val="left" w:pos="540"/>
        </w:tabs>
        <w:jc w:val="both"/>
        <w:rPr>
          <w:sz w:val="22"/>
          <w:szCs w:val="22"/>
          <w:lang w:eastAsia="en-US"/>
        </w:rPr>
      </w:pPr>
      <w:r>
        <w:rPr>
          <w:sz w:val="22"/>
          <w:szCs w:val="22"/>
          <w:lang w:eastAsia="en-US"/>
        </w:rPr>
        <w:t>Le Schede</w:t>
      </w:r>
      <w:r w:rsidRPr="00345505">
        <w:rPr>
          <w:sz w:val="22"/>
          <w:szCs w:val="22"/>
          <w:lang w:eastAsia="en-US"/>
        </w:rPr>
        <w:t xml:space="preserve"> Promemoria per il Paziente </w:t>
      </w:r>
      <w:r w:rsidR="000D0B9B">
        <w:rPr>
          <w:sz w:val="22"/>
          <w:szCs w:val="22"/>
          <w:lang w:eastAsia="en-US"/>
        </w:rPr>
        <w:t>(a</w:t>
      </w:r>
      <w:r w:rsidR="00F2740B">
        <w:rPr>
          <w:sz w:val="22"/>
          <w:szCs w:val="22"/>
          <w:lang w:eastAsia="en-US"/>
        </w:rPr>
        <w:t>dulti e pediatrica</w:t>
      </w:r>
      <w:r>
        <w:rPr>
          <w:sz w:val="22"/>
          <w:szCs w:val="22"/>
          <w:lang w:eastAsia="en-US"/>
        </w:rPr>
        <w:t>) contengono i seguenti elementi chiave</w:t>
      </w:r>
    </w:p>
    <w:p w:rsidR="006224C2" w:rsidRPr="00295E71" w14:paraId="10E42C5D" w14:textId="77777777">
      <w:pPr>
        <w:tabs>
          <w:tab w:val="left" w:pos="540"/>
        </w:tabs>
        <w:jc w:val="both"/>
        <w:rPr>
          <w:sz w:val="22"/>
          <w:szCs w:val="22"/>
          <w:lang w:eastAsia="en-US"/>
        </w:rPr>
      </w:pPr>
    </w:p>
    <w:p w:rsidR="00345505" w14:paraId="1C869812" w14:textId="77777777">
      <w:pPr>
        <w:numPr>
          <w:ilvl w:val="2"/>
          <w:numId w:val="21"/>
        </w:numPr>
        <w:tabs>
          <w:tab w:val="left" w:pos="720"/>
          <w:tab w:val="num" w:pos="1980"/>
          <w:tab w:val="clear" w:pos="2340"/>
        </w:tabs>
        <w:ind w:left="720" w:hanging="720"/>
        <w:jc w:val="both"/>
        <w:rPr>
          <w:sz w:val="22"/>
          <w:szCs w:val="22"/>
          <w:lang w:eastAsia="en-US"/>
        </w:rPr>
      </w:pPr>
      <w:r>
        <w:rPr>
          <w:sz w:val="22"/>
          <w:szCs w:val="22"/>
          <w:lang w:eastAsia="en-US"/>
        </w:rPr>
        <w:t>infezioni, compresa la tubercolosi</w:t>
      </w:r>
    </w:p>
    <w:p w:rsidR="00345505" w14:paraId="7284AB6D" w14:textId="77777777">
      <w:pPr>
        <w:numPr>
          <w:ilvl w:val="2"/>
          <w:numId w:val="21"/>
        </w:numPr>
        <w:tabs>
          <w:tab w:val="left" w:pos="720"/>
          <w:tab w:val="num" w:pos="1980"/>
          <w:tab w:val="clear" w:pos="2340"/>
        </w:tabs>
        <w:ind w:left="720" w:hanging="720"/>
        <w:jc w:val="both"/>
        <w:rPr>
          <w:sz w:val="22"/>
          <w:szCs w:val="22"/>
          <w:lang w:eastAsia="en-US"/>
        </w:rPr>
      </w:pPr>
      <w:r>
        <w:rPr>
          <w:sz w:val="22"/>
          <w:szCs w:val="22"/>
          <w:lang w:eastAsia="en-US"/>
        </w:rPr>
        <w:t>cancro</w:t>
      </w:r>
    </w:p>
    <w:p w:rsidR="00345505" w14:paraId="66B159F9" w14:textId="77777777">
      <w:pPr>
        <w:numPr>
          <w:ilvl w:val="2"/>
          <w:numId w:val="21"/>
        </w:numPr>
        <w:tabs>
          <w:tab w:val="left" w:pos="720"/>
          <w:tab w:val="num" w:pos="1980"/>
          <w:tab w:val="clear" w:pos="2340"/>
        </w:tabs>
        <w:ind w:left="720" w:hanging="720"/>
        <w:jc w:val="both"/>
        <w:rPr>
          <w:sz w:val="22"/>
          <w:szCs w:val="22"/>
          <w:lang w:eastAsia="en-US"/>
        </w:rPr>
      </w:pPr>
      <w:r>
        <w:rPr>
          <w:sz w:val="22"/>
          <w:szCs w:val="22"/>
          <w:lang w:eastAsia="en-US"/>
        </w:rPr>
        <w:t>problemi del sistema nervoso</w:t>
      </w:r>
    </w:p>
    <w:p w:rsidR="00345505" w14:paraId="3CD59C85" w14:textId="77777777">
      <w:pPr>
        <w:numPr>
          <w:ilvl w:val="2"/>
          <w:numId w:val="21"/>
        </w:numPr>
        <w:tabs>
          <w:tab w:val="left" w:pos="720"/>
          <w:tab w:val="num" w:pos="1980"/>
          <w:tab w:val="clear" w:pos="2340"/>
        </w:tabs>
        <w:ind w:left="720" w:hanging="720"/>
        <w:jc w:val="both"/>
        <w:rPr>
          <w:sz w:val="22"/>
          <w:szCs w:val="22"/>
          <w:lang w:eastAsia="en-US"/>
        </w:rPr>
      </w:pPr>
      <w:r>
        <w:rPr>
          <w:sz w:val="22"/>
          <w:szCs w:val="22"/>
          <w:lang w:eastAsia="en-US"/>
        </w:rPr>
        <w:t>vaccinazioni</w:t>
      </w:r>
    </w:p>
    <w:p w:rsidR="006224C2" w:rsidRPr="00295E71" w14:paraId="69E265D8" w14:textId="77777777">
      <w:pPr>
        <w:tabs>
          <w:tab w:val="left" w:pos="540"/>
        </w:tabs>
        <w:jc w:val="both"/>
        <w:rPr>
          <w:sz w:val="22"/>
          <w:szCs w:val="22"/>
        </w:rPr>
      </w:pPr>
      <w:r w:rsidRPr="00295E71">
        <w:rPr>
          <w:sz w:val="22"/>
          <w:szCs w:val="22"/>
        </w:rPr>
        <w:br w:type="page"/>
      </w:r>
    </w:p>
    <w:p w:rsidR="006224C2" w:rsidRPr="00295E71" w14:paraId="2D69ECE8" w14:textId="77777777">
      <w:pPr>
        <w:tabs>
          <w:tab w:val="left" w:pos="540"/>
        </w:tabs>
        <w:jc w:val="both"/>
        <w:rPr>
          <w:sz w:val="22"/>
          <w:szCs w:val="22"/>
        </w:rPr>
      </w:pPr>
    </w:p>
    <w:p w:rsidR="006224C2" w:rsidRPr="00295E71" w14:paraId="53B2472A" w14:textId="77777777">
      <w:pPr>
        <w:tabs>
          <w:tab w:val="left" w:pos="567"/>
        </w:tabs>
        <w:jc w:val="center"/>
        <w:rPr>
          <w:sz w:val="22"/>
          <w:szCs w:val="22"/>
        </w:rPr>
      </w:pPr>
    </w:p>
    <w:p w:rsidR="006224C2" w:rsidRPr="00295E71" w14:paraId="7960E9A6" w14:textId="77777777">
      <w:pPr>
        <w:tabs>
          <w:tab w:val="left" w:pos="567"/>
        </w:tabs>
        <w:jc w:val="center"/>
        <w:rPr>
          <w:sz w:val="22"/>
          <w:szCs w:val="22"/>
        </w:rPr>
      </w:pPr>
    </w:p>
    <w:p w:rsidR="006224C2" w:rsidRPr="00295E71" w14:paraId="15F08BE1" w14:textId="77777777">
      <w:pPr>
        <w:tabs>
          <w:tab w:val="left" w:pos="567"/>
        </w:tabs>
        <w:jc w:val="center"/>
        <w:rPr>
          <w:sz w:val="22"/>
          <w:szCs w:val="22"/>
        </w:rPr>
      </w:pPr>
    </w:p>
    <w:p w:rsidR="006224C2" w:rsidRPr="00295E71" w14:paraId="4832F2E8" w14:textId="77777777">
      <w:pPr>
        <w:tabs>
          <w:tab w:val="left" w:pos="567"/>
        </w:tabs>
        <w:jc w:val="center"/>
        <w:rPr>
          <w:sz w:val="22"/>
          <w:szCs w:val="22"/>
        </w:rPr>
      </w:pPr>
    </w:p>
    <w:p w:rsidR="006224C2" w:rsidRPr="00295E71" w14:paraId="659D82A6" w14:textId="77777777">
      <w:pPr>
        <w:tabs>
          <w:tab w:val="left" w:pos="567"/>
        </w:tabs>
        <w:jc w:val="center"/>
        <w:rPr>
          <w:sz w:val="22"/>
          <w:szCs w:val="22"/>
        </w:rPr>
      </w:pPr>
    </w:p>
    <w:p w:rsidR="006224C2" w:rsidRPr="00295E71" w14:paraId="66AA085F" w14:textId="77777777">
      <w:pPr>
        <w:tabs>
          <w:tab w:val="left" w:pos="567"/>
        </w:tabs>
        <w:jc w:val="center"/>
        <w:rPr>
          <w:sz w:val="22"/>
          <w:szCs w:val="22"/>
        </w:rPr>
      </w:pPr>
    </w:p>
    <w:p w:rsidR="006224C2" w:rsidRPr="00295E71" w14:paraId="24101E33" w14:textId="77777777">
      <w:pPr>
        <w:tabs>
          <w:tab w:val="left" w:pos="567"/>
        </w:tabs>
        <w:jc w:val="center"/>
        <w:rPr>
          <w:sz w:val="22"/>
          <w:szCs w:val="22"/>
        </w:rPr>
      </w:pPr>
    </w:p>
    <w:p w:rsidR="006224C2" w:rsidRPr="00295E71" w14:paraId="19633D68" w14:textId="77777777">
      <w:pPr>
        <w:tabs>
          <w:tab w:val="left" w:pos="567"/>
        </w:tabs>
        <w:jc w:val="center"/>
        <w:rPr>
          <w:sz w:val="22"/>
          <w:szCs w:val="22"/>
        </w:rPr>
      </w:pPr>
    </w:p>
    <w:p w:rsidR="006224C2" w:rsidRPr="00295E71" w14:paraId="0F377F13" w14:textId="77777777">
      <w:pPr>
        <w:tabs>
          <w:tab w:val="left" w:pos="567"/>
        </w:tabs>
        <w:jc w:val="center"/>
        <w:rPr>
          <w:sz w:val="22"/>
          <w:szCs w:val="22"/>
        </w:rPr>
      </w:pPr>
    </w:p>
    <w:p w:rsidR="006224C2" w:rsidRPr="00295E71" w14:paraId="5F12A988" w14:textId="77777777">
      <w:pPr>
        <w:tabs>
          <w:tab w:val="left" w:pos="567"/>
        </w:tabs>
        <w:jc w:val="center"/>
        <w:rPr>
          <w:sz w:val="22"/>
          <w:szCs w:val="22"/>
        </w:rPr>
      </w:pPr>
    </w:p>
    <w:p w:rsidR="006224C2" w:rsidRPr="00295E71" w14:paraId="69FEB7FF" w14:textId="77777777">
      <w:pPr>
        <w:tabs>
          <w:tab w:val="left" w:pos="567"/>
        </w:tabs>
        <w:jc w:val="center"/>
        <w:rPr>
          <w:sz w:val="22"/>
          <w:szCs w:val="22"/>
        </w:rPr>
      </w:pPr>
    </w:p>
    <w:p w:rsidR="006224C2" w:rsidRPr="00295E71" w14:paraId="6BE5998F" w14:textId="77777777">
      <w:pPr>
        <w:tabs>
          <w:tab w:val="left" w:pos="567"/>
        </w:tabs>
        <w:jc w:val="center"/>
        <w:rPr>
          <w:sz w:val="22"/>
          <w:szCs w:val="22"/>
        </w:rPr>
      </w:pPr>
    </w:p>
    <w:p w:rsidR="006224C2" w:rsidRPr="00295E71" w14:paraId="624100AD" w14:textId="77777777">
      <w:pPr>
        <w:tabs>
          <w:tab w:val="left" w:pos="567"/>
        </w:tabs>
        <w:jc w:val="center"/>
        <w:rPr>
          <w:sz w:val="22"/>
          <w:szCs w:val="22"/>
        </w:rPr>
      </w:pPr>
    </w:p>
    <w:p w:rsidR="006224C2" w:rsidRPr="00295E71" w14:paraId="72C3E541" w14:textId="77777777">
      <w:pPr>
        <w:tabs>
          <w:tab w:val="left" w:pos="567"/>
        </w:tabs>
        <w:jc w:val="center"/>
        <w:rPr>
          <w:sz w:val="22"/>
          <w:szCs w:val="22"/>
        </w:rPr>
      </w:pPr>
    </w:p>
    <w:p w:rsidR="006224C2" w:rsidRPr="00295E71" w14:paraId="603EEAD8" w14:textId="77777777">
      <w:pPr>
        <w:tabs>
          <w:tab w:val="left" w:pos="567"/>
        </w:tabs>
        <w:jc w:val="center"/>
        <w:rPr>
          <w:sz w:val="22"/>
          <w:szCs w:val="22"/>
        </w:rPr>
      </w:pPr>
    </w:p>
    <w:p w:rsidR="006224C2" w:rsidRPr="00295E71" w14:paraId="68C44099" w14:textId="77777777">
      <w:pPr>
        <w:tabs>
          <w:tab w:val="left" w:pos="567"/>
        </w:tabs>
        <w:jc w:val="center"/>
        <w:rPr>
          <w:sz w:val="22"/>
          <w:szCs w:val="22"/>
        </w:rPr>
      </w:pPr>
    </w:p>
    <w:p w:rsidR="006224C2" w:rsidRPr="00295E71" w14:paraId="4BEF2F82" w14:textId="77777777">
      <w:pPr>
        <w:tabs>
          <w:tab w:val="left" w:pos="567"/>
        </w:tabs>
        <w:jc w:val="center"/>
        <w:rPr>
          <w:sz w:val="22"/>
          <w:szCs w:val="22"/>
        </w:rPr>
      </w:pPr>
    </w:p>
    <w:p w:rsidR="006224C2" w:rsidRPr="00295E71" w14:paraId="31FE66B8" w14:textId="77777777">
      <w:pPr>
        <w:tabs>
          <w:tab w:val="left" w:pos="567"/>
        </w:tabs>
        <w:jc w:val="center"/>
        <w:rPr>
          <w:sz w:val="22"/>
          <w:szCs w:val="22"/>
        </w:rPr>
      </w:pPr>
    </w:p>
    <w:p w:rsidR="006224C2" w:rsidRPr="00295E71" w14:paraId="07B7682E" w14:textId="77777777">
      <w:pPr>
        <w:tabs>
          <w:tab w:val="left" w:pos="567"/>
        </w:tabs>
        <w:rPr>
          <w:sz w:val="22"/>
          <w:szCs w:val="22"/>
        </w:rPr>
      </w:pPr>
    </w:p>
    <w:p w:rsidR="006224C2" w:rsidRPr="00295E71" w14:paraId="22245D31" w14:textId="77777777">
      <w:pPr>
        <w:tabs>
          <w:tab w:val="left" w:pos="567"/>
        </w:tabs>
        <w:rPr>
          <w:sz w:val="22"/>
          <w:szCs w:val="22"/>
        </w:rPr>
      </w:pPr>
    </w:p>
    <w:p w:rsidR="006224C2" w:rsidRPr="00295E71" w14:paraId="6817E848" w14:textId="77777777">
      <w:pPr>
        <w:tabs>
          <w:tab w:val="left" w:pos="567"/>
        </w:tabs>
        <w:suppressAutoHyphens/>
        <w:jc w:val="center"/>
        <w:rPr>
          <w:b/>
          <w:bCs/>
          <w:sz w:val="22"/>
          <w:szCs w:val="22"/>
        </w:rPr>
      </w:pPr>
    </w:p>
    <w:p w:rsidR="006224C2" w:rsidRPr="00295E71" w14:paraId="7836F6EF" w14:textId="77777777">
      <w:pPr>
        <w:tabs>
          <w:tab w:val="left" w:pos="567"/>
        </w:tabs>
        <w:suppressAutoHyphens/>
        <w:jc w:val="center"/>
        <w:rPr>
          <w:b/>
          <w:bCs/>
          <w:sz w:val="22"/>
          <w:szCs w:val="22"/>
        </w:rPr>
      </w:pPr>
    </w:p>
    <w:p w:rsidR="006224C2" w:rsidRPr="00295E71" w14:paraId="6FAC146D" w14:textId="77777777">
      <w:pPr>
        <w:tabs>
          <w:tab w:val="left" w:pos="567"/>
        </w:tabs>
        <w:suppressAutoHyphens/>
        <w:jc w:val="center"/>
        <w:rPr>
          <w:b/>
          <w:bCs/>
          <w:sz w:val="22"/>
          <w:szCs w:val="22"/>
        </w:rPr>
      </w:pPr>
      <w:r w:rsidRPr="00295E71">
        <w:rPr>
          <w:b/>
          <w:bCs/>
          <w:sz w:val="22"/>
          <w:szCs w:val="22"/>
        </w:rPr>
        <w:t>ALLEGATO III</w:t>
      </w:r>
    </w:p>
    <w:p w:rsidR="006224C2" w:rsidRPr="00295E71" w14:paraId="37987F20" w14:textId="77777777">
      <w:pPr>
        <w:tabs>
          <w:tab w:val="left" w:pos="567"/>
        </w:tabs>
        <w:jc w:val="center"/>
        <w:rPr>
          <w:sz w:val="22"/>
          <w:szCs w:val="22"/>
        </w:rPr>
      </w:pPr>
    </w:p>
    <w:p w:rsidR="006224C2" w:rsidRPr="00295E71" w14:paraId="7051CD42" w14:textId="77777777">
      <w:pPr>
        <w:tabs>
          <w:tab w:val="left" w:pos="567"/>
        </w:tabs>
        <w:jc w:val="center"/>
        <w:rPr>
          <w:b/>
          <w:bCs/>
          <w:sz w:val="22"/>
          <w:szCs w:val="22"/>
        </w:rPr>
      </w:pPr>
      <w:r w:rsidRPr="00295E71">
        <w:rPr>
          <w:b/>
          <w:bCs/>
          <w:sz w:val="22"/>
          <w:szCs w:val="22"/>
        </w:rPr>
        <w:t>ETICHETTATURA E FOGLIO ILLUSTRATIVO</w:t>
      </w:r>
    </w:p>
    <w:p w:rsidR="006224C2" w:rsidRPr="00295E71" w14:paraId="0D3C46A1" w14:textId="77777777">
      <w:pPr>
        <w:pStyle w:val="IndexHeading"/>
        <w:spacing w:line="240" w:lineRule="auto"/>
        <w:rPr>
          <w:rFonts w:ascii="Times New Roman" w:hAnsi="Times New Roman" w:cs="Times New Roman"/>
          <w:lang w:val="it-IT" w:eastAsia="it-IT"/>
        </w:rPr>
      </w:pPr>
      <w:r w:rsidRPr="00295E71">
        <w:rPr>
          <w:rFonts w:ascii="Times New Roman" w:hAnsi="Times New Roman" w:cs="Times New Roman"/>
          <w:lang w:val="it-IT" w:eastAsia="it-IT"/>
        </w:rPr>
        <w:br w:type="page"/>
      </w:r>
    </w:p>
    <w:p w:rsidR="006224C2" w:rsidRPr="00295E71" w14:paraId="5C6E4675" w14:textId="77777777">
      <w:pPr>
        <w:tabs>
          <w:tab w:val="left" w:pos="567"/>
          <w:tab w:val="left" w:pos="720"/>
        </w:tabs>
        <w:jc w:val="both"/>
        <w:rPr>
          <w:sz w:val="22"/>
          <w:szCs w:val="22"/>
        </w:rPr>
      </w:pPr>
    </w:p>
    <w:p w:rsidR="006224C2" w:rsidRPr="00295E71" w14:paraId="0D91EAA5" w14:textId="77777777">
      <w:pPr>
        <w:tabs>
          <w:tab w:val="left" w:pos="567"/>
          <w:tab w:val="left" w:pos="720"/>
        </w:tabs>
        <w:jc w:val="both"/>
        <w:rPr>
          <w:sz w:val="22"/>
          <w:szCs w:val="22"/>
        </w:rPr>
      </w:pPr>
    </w:p>
    <w:p w:rsidR="006224C2" w:rsidRPr="00295E71" w14:paraId="31E38440" w14:textId="77777777">
      <w:pPr>
        <w:tabs>
          <w:tab w:val="left" w:pos="567"/>
          <w:tab w:val="left" w:pos="720"/>
        </w:tabs>
        <w:jc w:val="both"/>
        <w:rPr>
          <w:sz w:val="22"/>
          <w:szCs w:val="22"/>
        </w:rPr>
      </w:pPr>
    </w:p>
    <w:p w:rsidR="006224C2" w:rsidRPr="00295E71" w14:paraId="00554998" w14:textId="77777777">
      <w:pPr>
        <w:tabs>
          <w:tab w:val="left" w:pos="567"/>
          <w:tab w:val="left" w:pos="720"/>
        </w:tabs>
        <w:jc w:val="both"/>
        <w:rPr>
          <w:sz w:val="22"/>
          <w:szCs w:val="22"/>
        </w:rPr>
      </w:pPr>
    </w:p>
    <w:p w:rsidR="006224C2" w:rsidRPr="00295E71" w14:paraId="62F5047D" w14:textId="77777777">
      <w:pPr>
        <w:tabs>
          <w:tab w:val="left" w:pos="567"/>
          <w:tab w:val="left" w:pos="720"/>
        </w:tabs>
        <w:jc w:val="both"/>
        <w:rPr>
          <w:sz w:val="22"/>
          <w:szCs w:val="22"/>
        </w:rPr>
      </w:pPr>
    </w:p>
    <w:p w:rsidR="006224C2" w:rsidRPr="00295E71" w14:paraId="6CBA190F" w14:textId="77777777">
      <w:pPr>
        <w:tabs>
          <w:tab w:val="left" w:pos="567"/>
          <w:tab w:val="left" w:pos="720"/>
        </w:tabs>
        <w:jc w:val="both"/>
        <w:rPr>
          <w:sz w:val="22"/>
          <w:szCs w:val="22"/>
        </w:rPr>
      </w:pPr>
    </w:p>
    <w:p w:rsidR="006224C2" w:rsidRPr="00295E71" w14:paraId="3A604105" w14:textId="77777777">
      <w:pPr>
        <w:tabs>
          <w:tab w:val="left" w:pos="567"/>
          <w:tab w:val="left" w:pos="720"/>
        </w:tabs>
        <w:jc w:val="both"/>
        <w:rPr>
          <w:sz w:val="22"/>
          <w:szCs w:val="22"/>
        </w:rPr>
      </w:pPr>
    </w:p>
    <w:p w:rsidR="006224C2" w:rsidRPr="00295E71" w14:paraId="19AB3E4D" w14:textId="77777777">
      <w:pPr>
        <w:tabs>
          <w:tab w:val="left" w:pos="567"/>
          <w:tab w:val="left" w:pos="720"/>
        </w:tabs>
        <w:jc w:val="both"/>
        <w:rPr>
          <w:sz w:val="22"/>
          <w:szCs w:val="22"/>
        </w:rPr>
      </w:pPr>
    </w:p>
    <w:p w:rsidR="006224C2" w:rsidRPr="00295E71" w14:paraId="5981CF83" w14:textId="77777777">
      <w:pPr>
        <w:tabs>
          <w:tab w:val="left" w:pos="567"/>
          <w:tab w:val="left" w:pos="720"/>
        </w:tabs>
        <w:jc w:val="both"/>
        <w:rPr>
          <w:sz w:val="22"/>
          <w:szCs w:val="22"/>
        </w:rPr>
      </w:pPr>
    </w:p>
    <w:p w:rsidR="006224C2" w:rsidRPr="00295E71" w14:paraId="6402AFA0" w14:textId="77777777">
      <w:pPr>
        <w:tabs>
          <w:tab w:val="left" w:pos="567"/>
          <w:tab w:val="left" w:pos="720"/>
        </w:tabs>
        <w:jc w:val="both"/>
        <w:rPr>
          <w:sz w:val="22"/>
          <w:szCs w:val="22"/>
        </w:rPr>
      </w:pPr>
    </w:p>
    <w:p w:rsidR="006224C2" w:rsidRPr="00295E71" w14:paraId="56188190" w14:textId="77777777">
      <w:pPr>
        <w:tabs>
          <w:tab w:val="left" w:pos="567"/>
          <w:tab w:val="left" w:pos="720"/>
        </w:tabs>
        <w:jc w:val="both"/>
        <w:rPr>
          <w:sz w:val="22"/>
          <w:szCs w:val="22"/>
        </w:rPr>
      </w:pPr>
    </w:p>
    <w:p w:rsidR="006224C2" w:rsidRPr="00295E71" w14:paraId="052F557F" w14:textId="77777777">
      <w:pPr>
        <w:tabs>
          <w:tab w:val="left" w:pos="567"/>
          <w:tab w:val="left" w:pos="720"/>
        </w:tabs>
        <w:jc w:val="both"/>
        <w:rPr>
          <w:sz w:val="22"/>
          <w:szCs w:val="22"/>
        </w:rPr>
      </w:pPr>
    </w:p>
    <w:p w:rsidR="006224C2" w:rsidRPr="00295E71" w14:paraId="03EF96FF" w14:textId="77777777">
      <w:pPr>
        <w:tabs>
          <w:tab w:val="left" w:pos="567"/>
          <w:tab w:val="left" w:pos="720"/>
        </w:tabs>
        <w:jc w:val="both"/>
        <w:rPr>
          <w:sz w:val="22"/>
          <w:szCs w:val="22"/>
        </w:rPr>
      </w:pPr>
    </w:p>
    <w:p w:rsidR="006224C2" w:rsidRPr="00295E71" w14:paraId="19806E69" w14:textId="77777777">
      <w:pPr>
        <w:tabs>
          <w:tab w:val="left" w:pos="567"/>
          <w:tab w:val="left" w:pos="720"/>
        </w:tabs>
        <w:jc w:val="both"/>
        <w:rPr>
          <w:sz w:val="22"/>
          <w:szCs w:val="22"/>
        </w:rPr>
      </w:pPr>
    </w:p>
    <w:p w:rsidR="006224C2" w:rsidRPr="00295E71" w14:paraId="6F186757" w14:textId="77777777">
      <w:pPr>
        <w:tabs>
          <w:tab w:val="left" w:pos="567"/>
          <w:tab w:val="left" w:pos="720"/>
        </w:tabs>
        <w:jc w:val="both"/>
        <w:rPr>
          <w:sz w:val="22"/>
          <w:szCs w:val="22"/>
        </w:rPr>
      </w:pPr>
    </w:p>
    <w:p w:rsidR="006224C2" w:rsidRPr="00295E71" w14:paraId="16417376" w14:textId="77777777">
      <w:pPr>
        <w:tabs>
          <w:tab w:val="left" w:pos="567"/>
          <w:tab w:val="left" w:pos="720"/>
        </w:tabs>
        <w:jc w:val="both"/>
        <w:rPr>
          <w:sz w:val="22"/>
          <w:szCs w:val="22"/>
        </w:rPr>
      </w:pPr>
    </w:p>
    <w:p w:rsidR="006224C2" w:rsidRPr="00295E71" w14:paraId="67F73D46" w14:textId="77777777">
      <w:pPr>
        <w:tabs>
          <w:tab w:val="left" w:pos="567"/>
          <w:tab w:val="left" w:pos="720"/>
        </w:tabs>
        <w:jc w:val="both"/>
        <w:rPr>
          <w:sz w:val="22"/>
          <w:szCs w:val="22"/>
        </w:rPr>
      </w:pPr>
    </w:p>
    <w:p w:rsidR="006224C2" w:rsidRPr="00295E71" w14:paraId="12F6843E" w14:textId="77777777">
      <w:pPr>
        <w:tabs>
          <w:tab w:val="left" w:pos="567"/>
          <w:tab w:val="left" w:pos="720"/>
        </w:tabs>
        <w:jc w:val="both"/>
        <w:rPr>
          <w:sz w:val="22"/>
          <w:szCs w:val="22"/>
        </w:rPr>
      </w:pPr>
    </w:p>
    <w:p w:rsidR="006224C2" w:rsidRPr="00295E71" w14:paraId="163C01E3" w14:textId="77777777">
      <w:pPr>
        <w:tabs>
          <w:tab w:val="left" w:pos="567"/>
          <w:tab w:val="left" w:pos="720"/>
        </w:tabs>
        <w:jc w:val="both"/>
        <w:rPr>
          <w:sz w:val="22"/>
          <w:szCs w:val="22"/>
        </w:rPr>
      </w:pPr>
    </w:p>
    <w:p w:rsidR="006224C2" w:rsidRPr="00295E71" w14:paraId="17212042" w14:textId="77777777">
      <w:pPr>
        <w:tabs>
          <w:tab w:val="left" w:pos="567"/>
          <w:tab w:val="left" w:pos="720"/>
        </w:tabs>
        <w:jc w:val="both"/>
        <w:rPr>
          <w:sz w:val="22"/>
          <w:szCs w:val="22"/>
        </w:rPr>
      </w:pPr>
    </w:p>
    <w:p w:rsidR="006224C2" w:rsidRPr="00295E71" w14:paraId="6CDF3FB1" w14:textId="77777777">
      <w:pPr>
        <w:tabs>
          <w:tab w:val="left" w:pos="567"/>
          <w:tab w:val="left" w:pos="720"/>
        </w:tabs>
        <w:jc w:val="both"/>
        <w:rPr>
          <w:sz w:val="22"/>
          <w:szCs w:val="22"/>
        </w:rPr>
      </w:pPr>
    </w:p>
    <w:p w:rsidR="006224C2" w:rsidRPr="00295E71" w14:paraId="4B9B6096" w14:textId="77777777">
      <w:pPr>
        <w:tabs>
          <w:tab w:val="left" w:pos="567"/>
          <w:tab w:val="left" w:pos="720"/>
        </w:tabs>
        <w:jc w:val="both"/>
        <w:rPr>
          <w:sz w:val="22"/>
          <w:szCs w:val="22"/>
        </w:rPr>
      </w:pPr>
    </w:p>
    <w:p w:rsidR="006224C2" w:rsidRPr="00295E71" w14:paraId="22D53AED" w14:textId="77777777">
      <w:pPr>
        <w:pStyle w:val="Heading1"/>
        <w:spacing w:before="0" w:after="0" w:line="240" w:lineRule="auto"/>
        <w:jc w:val="both"/>
        <w:rPr>
          <w:sz w:val="22"/>
          <w:szCs w:val="22"/>
          <w:lang w:val="it-IT"/>
        </w:rPr>
      </w:pPr>
    </w:p>
    <w:p w:rsidR="006224C2" w:rsidRPr="00295E71" w14:paraId="6942672B" w14:textId="77777777">
      <w:pPr>
        <w:pStyle w:val="BMCENTRED"/>
        <w:keepNext w:val="0"/>
      </w:pPr>
      <w:r w:rsidRPr="00295E71">
        <w:t>A. ETICHETTATURA</w:t>
      </w:r>
    </w:p>
    <w:p w:rsidR="006224C2" w:rsidRPr="00295E71" w14:paraId="337CCAFE" w14:textId="77777777">
      <w:pPr>
        <w:tabs>
          <w:tab w:val="left" w:pos="567"/>
          <w:tab w:val="left" w:pos="720"/>
        </w:tabs>
        <w:rPr>
          <w:sz w:val="22"/>
          <w:szCs w:val="22"/>
        </w:rPr>
      </w:pPr>
    </w:p>
    <w:p w:rsidR="006224C2" w:rsidRPr="00295E71" w14:paraId="55843B1A" w14:textId="77777777">
      <w:pPr>
        <w:pStyle w:val="Heading3"/>
        <w:keepNext w:val="0"/>
        <w:tabs>
          <w:tab w:val="left" w:pos="567"/>
        </w:tabs>
        <w:rPr>
          <w:b/>
          <w:bCs/>
        </w:rPr>
      </w:pPr>
    </w:p>
    <w:p w:rsidR="006224C2" w:rsidRPr="00295E71" w14:paraId="4CDC4390" w14:textId="77777777">
      <w:pPr>
        <w:tabs>
          <w:tab w:val="left" w:pos="567"/>
        </w:tabs>
        <w:ind w:left="540" w:hanging="540"/>
        <w:jc w:val="both"/>
        <w:rPr>
          <w:b/>
          <w:bCs/>
          <w:sz w:val="22"/>
          <w:szCs w:val="22"/>
        </w:rPr>
      </w:pPr>
      <w:r w:rsidRPr="00295E71">
        <w:rPr>
          <w:b/>
          <w:bCs/>
          <w:sz w:val="22"/>
          <w:szCs w:val="22"/>
        </w:rPr>
        <w:br w:type="page"/>
      </w:r>
    </w:p>
    <w:p w:rsidR="001B6EFA" w:rsidRPr="00295E71" w:rsidP="001B6EFA" w14:paraId="3918D377" w14:textId="77777777">
      <w:pPr>
        <w:pBdr>
          <w:top w:val="single" w:sz="4" w:space="1" w:color="auto"/>
          <w:left w:val="single" w:sz="4" w:space="4" w:color="auto"/>
          <w:bottom w:val="single" w:sz="4" w:space="1" w:color="auto"/>
          <w:right w:val="single" w:sz="4" w:space="4" w:color="auto"/>
        </w:pBdr>
        <w:tabs>
          <w:tab w:val="left" w:pos="567"/>
        </w:tabs>
        <w:jc w:val="both"/>
        <w:rPr>
          <w:b/>
          <w:bCs/>
          <w:sz w:val="22"/>
          <w:szCs w:val="22"/>
        </w:rPr>
      </w:pPr>
      <w:r w:rsidRPr="00295E71">
        <w:rPr>
          <w:b/>
          <w:bCs/>
          <w:sz w:val="22"/>
          <w:szCs w:val="22"/>
        </w:rPr>
        <w:t>INFORMAZIONI DA APPORRE SUL</w:t>
      </w:r>
      <w:r w:rsidRPr="00295E71" w:rsidR="00207E2A">
        <w:rPr>
          <w:b/>
          <w:bCs/>
          <w:sz w:val="22"/>
          <w:szCs w:val="22"/>
        </w:rPr>
        <w:t xml:space="preserve"> </w:t>
      </w:r>
      <w:r w:rsidRPr="00295E71">
        <w:rPr>
          <w:b/>
          <w:bCs/>
          <w:sz w:val="22"/>
          <w:szCs w:val="22"/>
        </w:rPr>
        <w:t>CONFEZIONAMENTO SECONDARIO</w:t>
      </w:r>
    </w:p>
    <w:p w:rsidR="001B6EFA" w:rsidRPr="00295E71" w:rsidP="001B6EFA" w14:paraId="08754224" w14:textId="77777777">
      <w:pPr>
        <w:pBdr>
          <w:top w:val="single" w:sz="4" w:space="1" w:color="auto"/>
          <w:left w:val="single" w:sz="4" w:space="4" w:color="auto"/>
          <w:bottom w:val="single" w:sz="4" w:space="1" w:color="auto"/>
          <w:right w:val="single" w:sz="4" w:space="4" w:color="auto"/>
        </w:pBdr>
        <w:tabs>
          <w:tab w:val="left" w:pos="567"/>
        </w:tabs>
        <w:jc w:val="both"/>
        <w:rPr>
          <w:b/>
          <w:bCs/>
          <w:caps/>
          <w:sz w:val="22"/>
          <w:szCs w:val="22"/>
        </w:rPr>
      </w:pPr>
    </w:p>
    <w:p w:rsidR="001B6EFA" w:rsidRPr="00295E71" w:rsidP="001B6EFA" w14:paraId="1577249D" w14:textId="77777777">
      <w:pPr>
        <w:pBdr>
          <w:top w:val="single" w:sz="4" w:space="1" w:color="auto"/>
          <w:left w:val="single" w:sz="4" w:space="4" w:color="auto"/>
          <w:bottom w:val="single" w:sz="4" w:space="1" w:color="auto"/>
          <w:right w:val="single" w:sz="4" w:space="4" w:color="auto"/>
        </w:pBdr>
        <w:tabs>
          <w:tab w:val="left" w:pos="567"/>
        </w:tabs>
        <w:jc w:val="both"/>
        <w:rPr>
          <w:b/>
          <w:bCs/>
          <w:caps/>
          <w:sz w:val="22"/>
          <w:szCs w:val="22"/>
        </w:rPr>
      </w:pPr>
      <w:r w:rsidRPr="00295E71">
        <w:rPr>
          <w:b/>
          <w:bCs/>
          <w:caps/>
          <w:sz w:val="22"/>
          <w:szCs w:val="22"/>
        </w:rPr>
        <w:t>ASTUCCIO esternO</w:t>
      </w:r>
    </w:p>
    <w:p w:rsidR="001B6EFA" w:rsidRPr="00295E71" w:rsidP="001B6EFA" w14:paraId="16C46418" w14:textId="77777777">
      <w:pPr>
        <w:tabs>
          <w:tab w:val="left" w:pos="567"/>
        </w:tabs>
        <w:jc w:val="both"/>
        <w:rPr>
          <w:b/>
          <w:bCs/>
          <w:sz w:val="22"/>
          <w:szCs w:val="22"/>
        </w:rPr>
      </w:pPr>
    </w:p>
    <w:p w:rsidR="001B6EFA" w:rsidRPr="00295E71" w:rsidP="001B6EFA" w14:paraId="0740A405" w14:textId="77777777">
      <w:pPr>
        <w:tabs>
          <w:tab w:val="left" w:pos="567"/>
        </w:tabs>
        <w:jc w:val="both"/>
        <w:rPr>
          <w:b/>
          <w:bCs/>
          <w:sz w:val="22"/>
          <w:szCs w:val="22"/>
        </w:rPr>
      </w:pPr>
    </w:p>
    <w:p w:rsidR="001B6EFA" w:rsidRPr="00295E71" w:rsidP="001B6EFA" w14:paraId="55E1093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1. </w:t>
      </w:r>
      <w:r w:rsidRPr="00295E71">
        <w:rPr>
          <w:b/>
          <w:bCs/>
          <w:sz w:val="22"/>
          <w:szCs w:val="22"/>
        </w:rPr>
        <w:tab/>
        <w:t>DENOMINAZIONE DEL MEDICINALE</w:t>
      </w:r>
    </w:p>
    <w:p w:rsidR="001B6EFA" w:rsidRPr="00295E71" w:rsidP="001B6EFA" w14:paraId="352C568E" w14:textId="77777777">
      <w:pPr>
        <w:tabs>
          <w:tab w:val="left" w:pos="567"/>
        </w:tabs>
        <w:ind w:left="540" w:hanging="540"/>
        <w:rPr>
          <w:sz w:val="22"/>
          <w:szCs w:val="22"/>
        </w:rPr>
      </w:pPr>
    </w:p>
    <w:p w:rsidR="001B6EFA" w:rsidRPr="00295E71" w:rsidP="001B6EFA" w14:paraId="010166EC" w14:textId="77777777">
      <w:pPr>
        <w:tabs>
          <w:tab w:val="left" w:pos="567"/>
        </w:tabs>
        <w:ind w:left="540" w:hanging="540"/>
        <w:rPr>
          <w:sz w:val="22"/>
          <w:szCs w:val="22"/>
        </w:rPr>
      </w:pPr>
      <w:r w:rsidRPr="00295E71">
        <w:rPr>
          <w:sz w:val="22"/>
          <w:szCs w:val="22"/>
        </w:rPr>
        <w:t>Humira 20 mg soluzione iniettabile in siringa pre-riempita</w:t>
      </w:r>
    </w:p>
    <w:p w:rsidR="001B6EFA" w:rsidRPr="00295E71" w:rsidP="001B6EFA" w14:paraId="2DD61D57" w14:textId="77777777">
      <w:pPr>
        <w:pStyle w:val="EndnoteText"/>
        <w:ind w:left="540" w:hanging="540"/>
        <w:rPr>
          <w:lang w:val="it-IT"/>
        </w:rPr>
      </w:pPr>
      <w:r w:rsidRPr="00295E71">
        <w:rPr>
          <w:lang w:val="it-IT"/>
        </w:rPr>
        <w:t>adalimumab</w:t>
      </w:r>
    </w:p>
    <w:p w:rsidR="001B6EFA" w:rsidRPr="00295E71" w:rsidP="001B6EFA" w14:paraId="0A304F87" w14:textId="77777777">
      <w:pPr>
        <w:tabs>
          <w:tab w:val="left" w:pos="567"/>
        </w:tabs>
        <w:ind w:left="540" w:hanging="540"/>
        <w:rPr>
          <w:sz w:val="22"/>
          <w:szCs w:val="22"/>
        </w:rPr>
      </w:pPr>
    </w:p>
    <w:p w:rsidR="001B6EFA" w:rsidRPr="00295E71" w:rsidP="001B6EFA" w14:paraId="7A67A081" w14:textId="77777777">
      <w:pPr>
        <w:tabs>
          <w:tab w:val="left" w:pos="567"/>
        </w:tabs>
        <w:ind w:left="540" w:hanging="540"/>
        <w:rPr>
          <w:sz w:val="22"/>
          <w:szCs w:val="22"/>
        </w:rPr>
      </w:pPr>
    </w:p>
    <w:p w:rsidR="001B6EFA" w:rsidRPr="00295E71" w:rsidP="001B6EFA" w14:paraId="74856EB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2. </w:t>
      </w:r>
      <w:r w:rsidRPr="00295E71">
        <w:rPr>
          <w:b/>
          <w:bCs/>
          <w:sz w:val="22"/>
          <w:szCs w:val="22"/>
        </w:rPr>
        <w:tab/>
        <w:t>COMPOSIZIONE QUALITATIVA E QUANTITATIVA IN TERMINI DI PRINCIPIO ATTIVO</w:t>
      </w:r>
    </w:p>
    <w:p w:rsidR="001B6EFA" w:rsidRPr="00295E71" w:rsidP="001B6EFA" w14:paraId="3DF5F9E3" w14:textId="77777777">
      <w:pPr>
        <w:tabs>
          <w:tab w:val="left" w:pos="567"/>
        </w:tabs>
        <w:ind w:left="540" w:hanging="540"/>
        <w:rPr>
          <w:sz w:val="22"/>
          <w:szCs w:val="22"/>
        </w:rPr>
      </w:pPr>
    </w:p>
    <w:p w:rsidR="001B6EFA" w:rsidRPr="00295E71" w:rsidP="001B6EFA" w14:paraId="20806058" w14:textId="77777777">
      <w:pPr>
        <w:tabs>
          <w:tab w:val="left" w:pos="567"/>
        </w:tabs>
        <w:ind w:left="540" w:hanging="540"/>
        <w:rPr>
          <w:sz w:val="22"/>
          <w:szCs w:val="22"/>
        </w:rPr>
      </w:pPr>
      <w:r w:rsidRPr="00295E71">
        <w:rPr>
          <w:sz w:val="22"/>
          <w:szCs w:val="22"/>
        </w:rPr>
        <w:t>Una siringa pre-riempita da 0,2 ml contiene 20 mg di adalimumab</w:t>
      </w:r>
    </w:p>
    <w:p w:rsidR="001B6EFA" w:rsidRPr="00295E71" w:rsidP="001B6EFA" w14:paraId="77FCD281" w14:textId="77777777">
      <w:pPr>
        <w:tabs>
          <w:tab w:val="left" w:pos="567"/>
        </w:tabs>
        <w:ind w:left="540" w:hanging="540"/>
        <w:rPr>
          <w:sz w:val="22"/>
          <w:szCs w:val="22"/>
        </w:rPr>
      </w:pPr>
    </w:p>
    <w:p w:rsidR="001B6EFA" w:rsidRPr="00295E71" w:rsidP="001B6EFA" w14:paraId="39248418" w14:textId="77777777">
      <w:pPr>
        <w:tabs>
          <w:tab w:val="left" w:pos="567"/>
        </w:tabs>
        <w:ind w:left="540" w:hanging="540"/>
        <w:rPr>
          <w:sz w:val="22"/>
          <w:szCs w:val="22"/>
        </w:rPr>
      </w:pPr>
    </w:p>
    <w:p w:rsidR="001B6EFA" w:rsidRPr="00295E71" w:rsidP="001B6EFA" w14:paraId="48EC4F7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3. </w:t>
      </w:r>
      <w:r w:rsidRPr="00295E71">
        <w:rPr>
          <w:b/>
          <w:bCs/>
          <w:sz w:val="22"/>
          <w:szCs w:val="22"/>
        </w:rPr>
        <w:tab/>
        <w:t>ELENCO DEGLI ECCIPIENTI</w:t>
      </w:r>
    </w:p>
    <w:p w:rsidR="001B6EFA" w:rsidRPr="00295E71" w:rsidP="001B6EFA" w14:paraId="2CB1F574" w14:textId="77777777">
      <w:pPr>
        <w:tabs>
          <w:tab w:val="left" w:pos="567"/>
        </w:tabs>
        <w:rPr>
          <w:sz w:val="22"/>
          <w:szCs w:val="22"/>
        </w:rPr>
      </w:pPr>
    </w:p>
    <w:p w:rsidR="001B6EFA" w:rsidRPr="00295E71" w:rsidP="001B6EFA" w14:paraId="42223FD4" w14:textId="77777777">
      <w:pPr>
        <w:pStyle w:val="EMEAFigureTitle"/>
        <w:suppressAutoHyphens w:val="0"/>
        <w:autoSpaceDE w:val="0"/>
        <w:autoSpaceDN w:val="0"/>
        <w:adjustRightInd w:val="0"/>
        <w:rPr>
          <w:lang w:val="it-IT" w:eastAsia="it-IT"/>
        </w:rPr>
      </w:pPr>
      <w:r w:rsidRPr="00295E71">
        <w:rPr>
          <w:lang w:val="it-IT" w:eastAsia="it-IT"/>
        </w:rPr>
        <w:t>Eccipienti: mannitolo, polisorbato</w:t>
      </w:r>
      <w:r w:rsidRPr="00295E71">
        <w:rPr>
          <w:lang w:val="it-IT"/>
        </w:rPr>
        <w:t> </w:t>
      </w:r>
      <w:r w:rsidRPr="00295E71">
        <w:rPr>
          <w:lang w:val="it-IT" w:eastAsia="it-IT"/>
        </w:rPr>
        <w:t>80, e acqua per preparazioni iniettabili. Per ulteriori informazioni vedere il foglio illustrativo.</w:t>
      </w:r>
    </w:p>
    <w:p w:rsidR="001B6EFA" w:rsidRPr="00295E71" w:rsidP="001B6EFA" w14:paraId="36F775F1" w14:textId="77777777">
      <w:pPr>
        <w:tabs>
          <w:tab w:val="left" w:pos="567"/>
        </w:tabs>
        <w:ind w:left="540" w:hanging="540"/>
        <w:rPr>
          <w:sz w:val="22"/>
          <w:szCs w:val="22"/>
        </w:rPr>
      </w:pPr>
    </w:p>
    <w:p w:rsidR="001B6EFA" w:rsidRPr="00295E71" w:rsidP="001B6EFA" w14:paraId="4E7474CB" w14:textId="77777777">
      <w:pPr>
        <w:tabs>
          <w:tab w:val="left" w:pos="567"/>
        </w:tabs>
        <w:ind w:left="540" w:hanging="540"/>
        <w:rPr>
          <w:sz w:val="22"/>
          <w:szCs w:val="22"/>
        </w:rPr>
      </w:pPr>
    </w:p>
    <w:p w:rsidR="001B6EFA" w:rsidRPr="00295E71" w:rsidP="001B6EFA" w14:paraId="64B16C3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4. </w:t>
      </w:r>
      <w:r w:rsidRPr="00295E71">
        <w:rPr>
          <w:b/>
          <w:bCs/>
          <w:sz w:val="22"/>
          <w:szCs w:val="22"/>
        </w:rPr>
        <w:tab/>
        <w:t>FORMA FARMACEUTICA E CONTENUTO</w:t>
      </w:r>
      <w:r w:rsidRPr="00295E71">
        <w:rPr>
          <w:b/>
          <w:bCs/>
          <w:sz w:val="22"/>
          <w:szCs w:val="22"/>
        </w:rPr>
        <w:tab/>
      </w:r>
    </w:p>
    <w:p w:rsidR="001B6EFA" w:rsidRPr="00295E71" w:rsidP="001B6EFA" w14:paraId="05910CA4" w14:textId="77777777">
      <w:pPr>
        <w:tabs>
          <w:tab w:val="left" w:pos="567"/>
        </w:tabs>
        <w:ind w:left="540" w:hanging="540"/>
        <w:rPr>
          <w:sz w:val="22"/>
          <w:szCs w:val="22"/>
        </w:rPr>
      </w:pPr>
    </w:p>
    <w:p w:rsidR="001B6EFA" w:rsidRPr="00295E71" w:rsidP="001B6EFA" w14:paraId="289EABD2" w14:textId="77777777">
      <w:pPr>
        <w:pStyle w:val="EndnoteText"/>
        <w:tabs>
          <w:tab w:val="clear" w:pos="567"/>
          <w:tab w:val="left" w:pos="720"/>
        </w:tabs>
        <w:ind w:left="540" w:hanging="540"/>
        <w:rPr>
          <w:lang w:val="it-IT"/>
        </w:rPr>
      </w:pPr>
      <w:r w:rsidRPr="00295E71">
        <w:rPr>
          <w:highlight w:val="lightGray"/>
          <w:lang w:val="it-IT"/>
        </w:rPr>
        <w:t>Soluzione iniettabile</w:t>
      </w:r>
    </w:p>
    <w:p w:rsidR="001B6EFA" w:rsidRPr="00295E71" w:rsidP="001B6EFA" w14:paraId="6A3272A0" w14:textId="77777777">
      <w:pPr>
        <w:pStyle w:val="EndnoteText"/>
        <w:ind w:left="540" w:hanging="540"/>
        <w:rPr>
          <w:lang w:val="it-IT"/>
        </w:rPr>
      </w:pPr>
      <w:r w:rsidRPr="00295E71">
        <w:rPr>
          <w:lang w:val="it-IT"/>
        </w:rPr>
        <w:t>2 siringhe pre-riempite</w:t>
      </w:r>
    </w:p>
    <w:p w:rsidR="001B6EFA" w:rsidRPr="00295E71" w:rsidP="001B6EFA" w14:paraId="2C644E13" w14:textId="77777777">
      <w:pPr>
        <w:tabs>
          <w:tab w:val="left" w:pos="567"/>
        </w:tabs>
        <w:ind w:left="540" w:hanging="540"/>
        <w:rPr>
          <w:sz w:val="22"/>
          <w:szCs w:val="22"/>
        </w:rPr>
      </w:pPr>
      <w:r w:rsidRPr="00295E71">
        <w:rPr>
          <w:sz w:val="22"/>
          <w:szCs w:val="22"/>
        </w:rPr>
        <w:t>2 tamponi imbevuti di alcool</w:t>
      </w:r>
    </w:p>
    <w:p w:rsidR="001B6EFA" w:rsidRPr="00295E71" w:rsidP="001B6EFA" w14:paraId="1F140299" w14:textId="77777777">
      <w:pPr>
        <w:tabs>
          <w:tab w:val="left" w:pos="567"/>
        </w:tabs>
        <w:ind w:left="540" w:hanging="540"/>
        <w:rPr>
          <w:color w:val="000000"/>
          <w:sz w:val="22"/>
          <w:szCs w:val="22"/>
          <w:u w:val="single"/>
        </w:rPr>
      </w:pPr>
    </w:p>
    <w:p w:rsidR="001B6EFA" w:rsidRPr="00295E71" w:rsidP="001B6EFA" w14:paraId="5DB47D4C" w14:textId="77777777">
      <w:pPr>
        <w:tabs>
          <w:tab w:val="left" w:pos="567"/>
        </w:tabs>
        <w:ind w:left="540" w:hanging="540"/>
        <w:rPr>
          <w:color w:val="000000"/>
          <w:sz w:val="22"/>
          <w:szCs w:val="22"/>
          <w:u w:val="single"/>
        </w:rPr>
      </w:pPr>
    </w:p>
    <w:p w:rsidR="001B6EFA" w:rsidRPr="00295E71" w:rsidP="001B6EFA" w14:paraId="7037C50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5. </w:t>
      </w:r>
      <w:r w:rsidRPr="00295E71">
        <w:rPr>
          <w:b/>
          <w:bCs/>
          <w:sz w:val="22"/>
          <w:szCs w:val="22"/>
        </w:rPr>
        <w:tab/>
        <w:t>MODO E VIA DI SOMMINISTRAZIONE</w:t>
      </w:r>
    </w:p>
    <w:p w:rsidR="001B6EFA" w:rsidRPr="00295E71" w:rsidP="001B6EFA" w14:paraId="268E26B0" w14:textId="77777777">
      <w:pPr>
        <w:tabs>
          <w:tab w:val="left" w:pos="567"/>
        </w:tabs>
        <w:ind w:left="540" w:hanging="540"/>
        <w:rPr>
          <w:sz w:val="22"/>
          <w:szCs w:val="22"/>
        </w:rPr>
      </w:pPr>
    </w:p>
    <w:p w:rsidR="001B6EFA" w:rsidRPr="00295E71" w:rsidP="001B6EFA" w14:paraId="366EE7B5" w14:textId="77777777">
      <w:pPr>
        <w:tabs>
          <w:tab w:val="left" w:pos="567"/>
        </w:tabs>
        <w:ind w:left="540" w:hanging="540"/>
        <w:rPr>
          <w:sz w:val="22"/>
          <w:szCs w:val="22"/>
        </w:rPr>
      </w:pPr>
      <w:r w:rsidRPr="00295E71">
        <w:rPr>
          <w:sz w:val="22"/>
          <w:szCs w:val="22"/>
        </w:rPr>
        <w:t>Uso sottocutaneo</w:t>
      </w:r>
    </w:p>
    <w:p w:rsidR="001B6EFA" w:rsidRPr="00295E71" w:rsidP="001B6EFA" w14:paraId="57BBE651" w14:textId="77777777">
      <w:pPr>
        <w:tabs>
          <w:tab w:val="left" w:pos="567"/>
        </w:tabs>
        <w:ind w:left="540" w:hanging="540"/>
        <w:rPr>
          <w:sz w:val="22"/>
          <w:szCs w:val="22"/>
        </w:rPr>
      </w:pPr>
    </w:p>
    <w:p w:rsidR="001B6EFA" w:rsidRPr="00295E71" w:rsidP="001B6EFA" w14:paraId="5E7F89EA" w14:textId="77777777">
      <w:pPr>
        <w:tabs>
          <w:tab w:val="left" w:pos="567"/>
        </w:tabs>
        <w:ind w:left="540" w:hanging="540"/>
        <w:rPr>
          <w:sz w:val="22"/>
          <w:szCs w:val="22"/>
        </w:rPr>
      </w:pPr>
      <w:r w:rsidRPr="00295E71">
        <w:rPr>
          <w:sz w:val="22"/>
          <w:szCs w:val="22"/>
        </w:rPr>
        <w:t>Leggere il foglio illustrativo prima dell'uso.</w:t>
      </w:r>
    </w:p>
    <w:p w:rsidR="001B6EFA" w:rsidRPr="00295E71" w:rsidP="001B6EFA" w14:paraId="5DDAC3B4" w14:textId="77777777">
      <w:pPr>
        <w:tabs>
          <w:tab w:val="left" w:pos="567"/>
        </w:tabs>
        <w:ind w:left="540" w:hanging="540"/>
        <w:rPr>
          <w:sz w:val="22"/>
          <w:szCs w:val="22"/>
        </w:rPr>
      </w:pPr>
    </w:p>
    <w:p w:rsidR="001B6EFA" w:rsidRPr="00295E71" w:rsidP="001B6EFA" w14:paraId="2C92A73C" w14:textId="77777777">
      <w:pPr>
        <w:tabs>
          <w:tab w:val="left" w:pos="567"/>
        </w:tabs>
        <w:ind w:left="540" w:hanging="540"/>
        <w:rPr>
          <w:sz w:val="22"/>
          <w:szCs w:val="22"/>
        </w:rPr>
      </w:pPr>
      <w:r w:rsidRPr="00295E71">
        <w:rPr>
          <w:sz w:val="22"/>
          <w:szCs w:val="22"/>
        </w:rPr>
        <w:t>Esclusivamente monouso.</w:t>
      </w:r>
    </w:p>
    <w:p w:rsidR="001B6EFA" w:rsidRPr="00295E71" w:rsidP="001B6EFA" w14:paraId="11267048" w14:textId="77777777">
      <w:pPr>
        <w:tabs>
          <w:tab w:val="left" w:pos="567"/>
        </w:tabs>
        <w:ind w:left="540" w:hanging="540"/>
        <w:rPr>
          <w:sz w:val="22"/>
          <w:szCs w:val="22"/>
        </w:rPr>
      </w:pPr>
    </w:p>
    <w:p w:rsidR="001B6EFA" w:rsidRPr="00295E71" w:rsidP="001B6EFA" w14:paraId="0AAE3893" w14:textId="77777777">
      <w:pPr>
        <w:tabs>
          <w:tab w:val="left" w:pos="567"/>
        </w:tabs>
        <w:ind w:left="540" w:hanging="540"/>
        <w:rPr>
          <w:sz w:val="22"/>
          <w:szCs w:val="22"/>
        </w:rPr>
      </w:pPr>
      <w:r w:rsidRPr="00295E71">
        <w:rPr>
          <w:sz w:val="22"/>
          <w:szCs w:val="22"/>
        </w:rPr>
        <w:t>Per uso pediatrico</w:t>
      </w:r>
    </w:p>
    <w:p w:rsidR="001B6EFA" w:rsidRPr="00295E71" w:rsidP="001B6EFA" w14:paraId="58BD1EA4" w14:textId="77777777">
      <w:pPr>
        <w:tabs>
          <w:tab w:val="left" w:pos="567"/>
        </w:tabs>
        <w:ind w:left="540" w:hanging="540"/>
        <w:rPr>
          <w:sz w:val="22"/>
          <w:szCs w:val="22"/>
        </w:rPr>
      </w:pPr>
    </w:p>
    <w:p w:rsidR="001B6EFA" w:rsidRPr="00295E71" w:rsidP="001B6EFA" w14:paraId="6A4D5F1B" w14:textId="77777777">
      <w:pPr>
        <w:tabs>
          <w:tab w:val="left" w:pos="567"/>
        </w:tabs>
        <w:ind w:left="540" w:hanging="540"/>
        <w:rPr>
          <w:sz w:val="22"/>
          <w:szCs w:val="22"/>
        </w:rPr>
      </w:pPr>
    </w:p>
    <w:p w:rsidR="001B6EFA" w:rsidRPr="00295E71" w:rsidP="001B6EFA" w14:paraId="35466D5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6. </w:t>
      </w:r>
      <w:r w:rsidRPr="00295E71">
        <w:rPr>
          <w:b/>
          <w:bCs/>
          <w:sz w:val="22"/>
          <w:szCs w:val="22"/>
        </w:rPr>
        <w:tab/>
        <w:t>AVVERTENZA PARTICOLARE CHE PRESCRIVA DI TENERE IL MEDICINALE FUORI DALLA VISTA E DALLA PORTATA DEI BAMBINI</w:t>
      </w:r>
    </w:p>
    <w:p w:rsidR="001B6EFA" w:rsidRPr="00295E71" w:rsidP="001B6EFA" w14:paraId="69DE91D4" w14:textId="77777777">
      <w:pPr>
        <w:tabs>
          <w:tab w:val="left" w:pos="567"/>
        </w:tabs>
        <w:ind w:left="540" w:hanging="540"/>
        <w:rPr>
          <w:sz w:val="22"/>
          <w:szCs w:val="22"/>
        </w:rPr>
      </w:pPr>
    </w:p>
    <w:p w:rsidR="001B6EFA" w:rsidRPr="00295E71" w:rsidP="001B6EFA" w14:paraId="1A8D5453" w14:textId="77777777">
      <w:pPr>
        <w:tabs>
          <w:tab w:val="left" w:pos="567"/>
        </w:tabs>
        <w:ind w:left="540" w:hanging="540"/>
        <w:rPr>
          <w:sz w:val="22"/>
          <w:szCs w:val="22"/>
        </w:rPr>
      </w:pPr>
      <w:r w:rsidRPr="00295E71">
        <w:rPr>
          <w:sz w:val="22"/>
          <w:szCs w:val="22"/>
        </w:rPr>
        <w:t>Tenere fuori dalla vista e dalla portata dei bambini.</w:t>
      </w:r>
    </w:p>
    <w:p w:rsidR="001B6EFA" w:rsidRPr="00295E71" w:rsidP="001B6EFA" w14:paraId="3AE8B39E" w14:textId="77777777">
      <w:pPr>
        <w:tabs>
          <w:tab w:val="left" w:pos="567"/>
        </w:tabs>
        <w:ind w:left="540" w:hanging="540"/>
        <w:rPr>
          <w:sz w:val="22"/>
          <w:szCs w:val="22"/>
        </w:rPr>
      </w:pPr>
    </w:p>
    <w:p w:rsidR="001B6EFA" w:rsidRPr="00295E71" w:rsidP="001B6EFA" w14:paraId="0C3F8879" w14:textId="77777777">
      <w:pPr>
        <w:tabs>
          <w:tab w:val="left" w:pos="567"/>
        </w:tabs>
        <w:ind w:left="540" w:hanging="540"/>
        <w:rPr>
          <w:sz w:val="22"/>
          <w:szCs w:val="22"/>
        </w:rPr>
      </w:pPr>
    </w:p>
    <w:p w:rsidR="001B6EFA" w:rsidRPr="00295E71" w:rsidP="001B6EFA" w14:paraId="7C6335C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7. </w:t>
      </w:r>
      <w:r w:rsidRPr="00295E71">
        <w:rPr>
          <w:b/>
          <w:bCs/>
          <w:sz w:val="22"/>
          <w:szCs w:val="22"/>
        </w:rPr>
        <w:tab/>
        <w:t>ALTRA AVVERTENZA PARTICOLARE, SE NECESSARIO</w:t>
      </w:r>
    </w:p>
    <w:p w:rsidR="001B6EFA" w:rsidRPr="00295E71" w:rsidP="001B6EFA" w14:paraId="05136A31" w14:textId="77777777">
      <w:pPr>
        <w:tabs>
          <w:tab w:val="left" w:pos="567"/>
        </w:tabs>
        <w:ind w:left="540" w:hanging="540"/>
        <w:rPr>
          <w:sz w:val="22"/>
          <w:szCs w:val="22"/>
        </w:rPr>
      </w:pPr>
    </w:p>
    <w:p w:rsidR="001B6EFA" w:rsidRPr="00295E71" w:rsidP="001B6EFA" w14:paraId="54DD8B2D" w14:textId="77777777">
      <w:pPr>
        <w:tabs>
          <w:tab w:val="left" w:pos="567"/>
        </w:tabs>
        <w:ind w:left="540" w:hanging="540"/>
        <w:rPr>
          <w:sz w:val="22"/>
          <w:szCs w:val="22"/>
        </w:rPr>
      </w:pPr>
    </w:p>
    <w:p w:rsidR="001B6EFA" w:rsidRPr="00295E71" w:rsidP="001B6EFA" w14:paraId="5231321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8. </w:t>
      </w:r>
      <w:r w:rsidRPr="00295E71">
        <w:rPr>
          <w:b/>
          <w:bCs/>
          <w:sz w:val="22"/>
          <w:szCs w:val="22"/>
        </w:rPr>
        <w:tab/>
        <w:t>DATA DI SCADENZA</w:t>
      </w:r>
    </w:p>
    <w:p w:rsidR="001B6EFA" w:rsidRPr="00295E71" w:rsidP="001B6EFA" w14:paraId="445B4FAE" w14:textId="77777777">
      <w:pPr>
        <w:tabs>
          <w:tab w:val="left" w:pos="567"/>
        </w:tabs>
        <w:ind w:left="540" w:hanging="540"/>
        <w:rPr>
          <w:sz w:val="22"/>
          <w:szCs w:val="22"/>
        </w:rPr>
      </w:pPr>
    </w:p>
    <w:p w:rsidR="001B6EFA" w:rsidRPr="00295E71" w:rsidP="001B6EFA" w14:paraId="7E0CB04E" w14:textId="77777777">
      <w:pPr>
        <w:tabs>
          <w:tab w:val="left" w:pos="567"/>
        </w:tabs>
        <w:ind w:left="540" w:hanging="540"/>
        <w:rPr>
          <w:sz w:val="22"/>
          <w:szCs w:val="22"/>
        </w:rPr>
      </w:pPr>
      <w:r w:rsidRPr="00295E71">
        <w:rPr>
          <w:sz w:val="22"/>
          <w:szCs w:val="22"/>
        </w:rPr>
        <w:t xml:space="preserve">Scad. </w:t>
      </w:r>
    </w:p>
    <w:p w:rsidR="001B6EFA" w:rsidRPr="00295E71" w:rsidP="001B6EFA" w14:paraId="47D4A855" w14:textId="77777777">
      <w:pPr>
        <w:tabs>
          <w:tab w:val="left" w:pos="567"/>
        </w:tabs>
        <w:ind w:left="540" w:hanging="540"/>
        <w:rPr>
          <w:sz w:val="22"/>
          <w:szCs w:val="22"/>
        </w:rPr>
      </w:pPr>
    </w:p>
    <w:p w:rsidR="001B6EFA" w:rsidRPr="00295E71" w:rsidP="001B6EFA" w14:paraId="444A926E" w14:textId="77777777">
      <w:pPr>
        <w:tabs>
          <w:tab w:val="left" w:pos="567"/>
        </w:tabs>
        <w:ind w:left="540" w:hanging="540"/>
        <w:rPr>
          <w:sz w:val="22"/>
          <w:szCs w:val="22"/>
        </w:rPr>
      </w:pPr>
    </w:p>
    <w:p w:rsidR="001B6EFA" w:rsidRPr="00295E71" w:rsidP="001B6EFA" w14:paraId="7BE05FB9" w14:textId="77777777">
      <w:pPr>
        <w:keepNext/>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9. </w:t>
      </w:r>
      <w:r w:rsidRPr="00295E71">
        <w:rPr>
          <w:b/>
          <w:bCs/>
          <w:sz w:val="22"/>
          <w:szCs w:val="22"/>
        </w:rPr>
        <w:tab/>
        <w:t>PRECAUZIONI PARTICOLARI PER LA CONSERVAZIONE</w:t>
      </w:r>
    </w:p>
    <w:p w:rsidR="001B6EFA" w:rsidRPr="00295E71" w:rsidP="001B6EFA" w14:paraId="69C52D46" w14:textId="77777777">
      <w:pPr>
        <w:keepNext/>
        <w:tabs>
          <w:tab w:val="left" w:pos="567"/>
        </w:tabs>
        <w:ind w:left="540" w:hanging="540"/>
        <w:rPr>
          <w:sz w:val="22"/>
          <w:szCs w:val="22"/>
        </w:rPr>
      </w:pPr>
    </w:p>
    <w:p w:rsidR="001B6EFA" w:rsidRPr="00295E71" w:rsidP="001B6EFA" w14:paraId="4C66B404" w14:textId="77777777">
      <w:pPr>
        <w:keepNext/>
        <w:keepLines/>
        <w:tabs>
          <w:tab w:val="left" w:pos="567"/>
        </w:tabs>
        <w:ind w:left="540" w:hanging="540"/>
        <w:rPr>
          <w:sz w:val="22"/>
          <w:szCs w:val="22"/>
        </w:rPr>
      </w:pPr>
      <w:r w:rsidRPr="00295E71">
        <w:rPr>
          <w:sz w:val="22"/>
          <w:szCs w:val="22"/>
        </w:rPr>
        <w:t>Conservare in frigorifero. Non congelare.</w:t>
      </w:r>
    </w:p>
    <w:p w:rsidR="001B6EFA" w:rsidRPr="00295E71" w:rsidP="001B6EFA" w14:paraId="1B14D246" w14:textId="77777777">
      <w:pPr>
        <w:keepNext/>
        <w:keepLines/>
        <w:tabs>
          <w:tab w:val="left" w:pos="567"/>
        </w:tabs>
        <w:rPr>
          <w:sz w:val="22"/>
          <w:szCs w:val="22"/>
        </w:rPr>
      </w:pPr>
      <w:r w:rsidRPr="00295E71">
        <w:rPr>
          <w:sz w:val="22"/>
          <w:szCs w:val="22"/>
        </w:rPr>
        <w:t>Fare riferimento al foglio illustrativo per condizioni di conservazione alternative.</w:t>
      </w:r>
    </w:p>
    <w:p w:rsidR="001B6EFA" w:rsidRPr="00295E71" w:rsidP="001B6EFA" w14:paraId="08D39296" w14:textId="77777777">
      <w:pPr>
        <w:keepNext/>
        <w:keepLines/>
        <w:tabs>
          <w:tab w:val="left" w:pos="567"/>
        </w:tabs>
        <w:rPr>
          <w:sz w:val="22"/>
          <w:szCs w:val="22"/>
        </w:rPr>
      </w:pPr>
    </w:p>
    <w:p w:rsidR="001B6EFA" w:rsidRPr="00295E71" w:rsidP="002E048A" w14:paraId="37AB3F16" w14:textId="77777777">
      <w:pPr>
        <w:keepNext/>
        <w:keepLines/>
        <w:rPr>
          <w:sz w:val="22"/>
          <w:szCs w:val="22"/>
        </w:rPr>
      </w:pPr>
      <w:r w:rsidRPr="00295E71">
        <w:rPr>
          <w:sz w:val="22"/>
          <w:szCs w:val="22"/>
        </w:rPr>
        <w:t>Tenere la siringa nell’imballaggio esternoper proteggere il medicinale dalla luce.</w:t>
      </w:r>
    </w:p>
    <w:p w:rsidR="001B6EFA" w:rsidRPr="00295E71" w:rsidP="001B6EFA" w14:paraId="3FA00A7B" w14:textId="77777777">
      <w:pPr>
        <w:tabs>
          <w:tab w:val="left" w:pos="567"/>
        </w:tabs>
        <w:ind w:left="540" w:hanging="540"/>
        <w:rPr>
          <w:sz w:val="22"/>
          <w:szCs w:val="22"/>
        </w:rPr>
      </w:pPr>
    </w:p>
    <w:p w:rsidR="001B6EFA" w:rsidRPr="00295E71" w:rsidP="001B6EFA" w14:paraId="79BEE234" w14:textId="77777777">
      <w:pPr>
        <w:tabs>
          <w:tab w:val="left" w:pos="567"/>
        </w:tabs>
        <w:ind w:left="540" w:hanging="540"/>
        <w:rPr>
          <w:sz w:val="22"/>
          <w:szCs w:val="22"/>
        </w:rPr>
      </w:pPr>
    </w:p>
    <w:p w:rsidR="001B6EFA" w:rsidRPr="00295E71" w:rsidP="001B6EFA" w14:paraId="2AF8D6B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10.</w:t>
      </w:r>
      <w:r w:rsidRPr="00295E71">
        <w:rPr>
          <w:b/>
          <w:bCs/>
          <w:sz w:val="22"/>
          <w:szCs w:val="22"/>
        </w:rPr>
        <w:tab/>
        <w:t>PRECAUZIONI PARTICOLARI PER LO SMALTIMENTO DEL MEDICINALE NON UTILIZZATO O DEI RIFIUTI DERIVATI DA TALE MEDICINALE, SE NECESSARIO</w:t>
      </w:r>
    </w:p>
    <w:p w:rsidR="001B6EFA" w:rsidRPr="00295E71" w:rsidP="001B6EFA" w14:paraId="2751B44C" w14:textId="77777777">
      <w:pPr>
        <w:tabs>
          <w:tab w:val="left" w:pos="567"/>
        </w:tabs>
        <w:ind w:left="540" w:hanging="540"/>
        <w:rPr>
          <w:sz w:val="22"/>
          <w:szCs w:val="22"/>
        </w:rPr>
      </w:pPr>
    </w:p>
    <w:p w:rsidR="001B6EFA" w:rsidRPr="00295E71" w:rsidP="001B6EFA" w14:paraId="047E9996" w14:textId="77777777">
      <w:pPr>
        <w:tabs>
          <w:tab w:val="left" w:pos="567"/>
        </w:tabs>
        <w:ind w:left="540" w:hanging="540"/>
        <w:rPr>
          <w:sz w:val="22"/>
          <w:szCs w:val="22"/>
        </w:rPr>
      </w:pPr>
    </w:p>
    <w:p w:rsidR="001B6EFA" w:rsidRPr="00295E71" w:rsidP="001B6EFA" w14:paraId="07D6B80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11.</w:t>
      </w:r>
      <w:r w:rsidRPr="00295E71">
        <w:rPr>
          <w:b/>
          <w:bCs/>
          <w:sz w:val="22"/>
          <w:szCs w:val="22"/>
        </w:rPr>
        <w:tab/>
        <w:t>NOME E INDIRIZZO DEL TITOLARE DELL’AUTORIZZAZIONE ALL’IMMISSIONE IN COMMERCIO</w:t>
      </w:r>
    </w:p>
    <w:p w:rsidR="001B6EFA" w:rsidRPr="00295E71" w:rsidP="001B6EFA" w14:paraId="535EC8A5" w14:textId="77777777">
      <w:pPr>
        <w:tabs>
          <w:tab w:val="left" w:pos="567"/>
        </w:tabs>
        <w:ind w:left="540" w:hanging="540"/>
        <w:rPr>
          <w:sz w:val="22"/>
          <w:szCs w:val="22"/>
        </w:rPr>
      </w:pPr>
    </w:p>
    <w:p w:rsidR="00FE7D58" w:rsidRPr="00E6608E" w:rsidP="00FE7D58" w14:paraId="7644558E" w14:textId="77777777">
      <w:pPr>
        <w:tabs>
          <w:tab w:val="left" w:pos="567"/>
        </w:tabs>
        <w:jc w:val="both"/>
        <w:rPr>
          <w:sz w:val="22"/>
          <w:szCs w:val="22"/>
          <w:lang w:val="en-US"/>
          <w:rPrChange w:id="13198" w:author="AbbVie14" w:date="2025-09-08T09:11:00Z">
            <w:rPr>
              <w:sz w:val="22"/>
              <w:szCs w:val="22"/>
            </w:rPr>
          </w:rPrChange>
        </w:rPr>
      </w:pPr>
      <w:r w:rsidRPr="00E6608E">
        <w:rPr>
          <w:sz w:val="22"/>
          <w:szCs w:val="22"/>
          <w:lang w:val="en-US"/>
          <w:rPrChange w:id="13199" w:author="AbbVie14" w:date="2025-09-08T09:11:00Z">
            <w:rPr>
              <w:sz w:val="22"/>
              <w:szCs w:val="22"/>
            </w:rPr>
          </w:rPrChange>
        </w:rPr>
        <w:t>AbbVie Deutschland GmbH &amp; Co. KG</w:t>
      </w:r>
    </w:p>
    <w:p w:rsidR="00FE7D58" w:rsidRPr="00E6608E" w:rsidP="00FE7D58" w14:paraId="36930CD7" w14:textId="77777777">
      <w:pPr>
        <w:tabs>
          <w:tab w:val="left" w:pos="567"/>
        </w:tabs>
        <w:jc w:val="both"/>
        <w:rPr>
          <w:sz w:val="22"/>
          <w:szCs w:val="22"/>
          <w:lang w:val="en-US"/>
          <w:rPrChange w:id="13200" w:author="AbbVie14" w:date="2025-09-08T09:11:00Z">
            <w:rPr>
              <w:sz w:val="22"/>
              <w:szCs w:val="22"/>
            </w:rPr>
          </w:rPrChange>
        </w:rPr>
      </w:pPr>
      <w:r w:rsidRPr="00E6608E">
        <w:rPr>
          <w:sz w:val="22"/>
          <w:szCs w:val="22"/>
          <w:lang w:val="en-US"/>
          <w:rPrChange w:id="13201" w:author="AbbVie14" w:date="2025-09-08T09:11:00Z">
            <w:rPr>
              <w:sz w:val="22"/>
              <w:szCs w:val="22"/>
            </w:rPr>
          </w:rPrChange>
        </w:rPr>
        <w:t>Knollstrasse</w:t>
      </w:r>
    </w:p>
    <w:p w:rsidR="00FE7D58" w:rsidRPr="00295E71" w:rsidP="00FE7D58" w14:paraId="42606F71" w14:textId="77777777">
      <w:pPr>
        <w:tabs>
          <w:tab w:val="left" w:pos="567"/>
        </w:tabs>
        <w:jc w:val="both"/>
        <w:rPr>
          <w:sz w:val="22"/>
          <w:szCs w:val="22"/>
        </w:rPr>
      </w:pPr>
      <w:r w:rsidRPr="00295E71">
        <w:rPr>
          <w:sz w:val="22"/>
          <w:szCs w:val="22"/>
        </w:rPr>
        <w:t>67061 Ludwigshafen</w:t>
      </w:r>
    </w:p>
    <w:p w:rsidR="00FE7D58" w:rsidRPr="00295E71" w:rsidP="00FE7D58" w14:paraId="08A02C01" w14:textId="77777777">
      <w:pPr>
        <w:tabs>
          <w:tab w:val="left" w:pos="567"/>
        </w:tabs>
        <w:jc w:val="both"/>
        <w:rPr>
          <w:sz w:val="22"/>
          <w:szCs w:val="22"/>
        </w:rPr>
      </w:pPr>
      <w:r w:rsidRPr="00295E71">
        <w:rPr>
          <w:sz w:val="22"/>
          <w:szCs w:val="22"/>
        </w:rPr>
        <w:t>Germania</w:t>
      </w:r>
    </w:p>
    <w:p w:rsidR="001B6EFA" w:rsidRPr="00295E71" w:rsidP="001B6EFA" w14:paraId="03C4CFB3" w14:textId="77777777">
      <w:pPr>
        <w:tabs>
          <w:tab w:val="left" w:pos="567"/>
        </w:tabs>
        <w:ind w:left="540" w:hanging="540"/>
        <w:rPr>
          <w:sz w:val="22"/>
          <w:szCs w:val="22"/>
        </w:rPr>
      </w:pPr>
    </w:p>
    <w:p w:rsidR="001B6EFA" w:rsidRPr="00295E71" w:rsidP="001B6EFA" w14:paraId="3060B562" w14:textId="77777777">
      <w:pPr>
        <w:tabs>
          <w:tab w:val="left" w:pos="567"/>
        </w:tabs>
        <w:ind w:left="540" w:hanging="540"/>
        <w:rPr>
          <w:sz w:val="22"/>
          <w:szCs w:val="22"/>
        </w:rPr>
      </w:pPr>
    </w:p>
    <w:p w:rsidR="001B6EFA" w:rsidRPr="00295E71" w:rsidP="001B6EFA" w14:paraId="091B42A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12. </w:t>
      </w:r>
      <w:r w:rsidRPr="00295E71">
        <w:rPr>
          <w:b/>
          <w:bCs/>
          <w:sz w:val="22"/>
          <w:szCs w:val="22"/>
        </w:rPr>
        <w:tab/>
        <w:t>NUMERO DELL’AUTORIZZAZIONE ALL’IMMISSIONE IN COMMERCIO</w:t>
      </w:r>
    </w:p>
    <w:p w:rsidR="001B6EFA" w:rsidRPr="00295E71" w:rsidP="001B6EFA" w14:paraId="75D8B02B" w14:textId="77777777">
      <w:pPr>
        <w:tabs>
          <w:tab w:val="left" w:pos="567"/>
        </w:tabs>
        <w:ind w:left="540" w:hanging="540"/>
        <w:rPr>
          <w:sz w:val="22"/>
          <w:szCs w:val="22"/>
        </w:rPr>
      </w:pPr>
    </w:p>
    <w:p w:rsidR="001B6EFA" w:rsidRPr="00295E71" w:rsidP="001B6EFA" w14:paraId="14EB67F8" w14:textId="77777777">
      <w:pPr>
        <w:tabs>
          <w:tab w:val="left" w:pos="567"/>
        </w:tabs>
        <w:ind w:left="540" w:hanging="540"/>
        <w:rPr>
          <w:sz w:val="22"/>
          <w:szCs w:val="22"/>
        </w:rPr>
      </w:pPr>
      <w:r w:rsidRPr="00295E71">
        <w:rPr>
          <w:sz w:val="22"/>
          <w:szCs w:val="22"/>
        </w:rPr>
        <w:t>EU/1/03/256/0</w:t>
      </w:r>
      <w:r w:rsidRPr="00295E71" w:rsidR="00A500D2">
        <w:rPr>
          <w:sz w:val="22"/>
          <w:szCs w:val="22"/>
        </w:rPr>
        <w:t>22</w:t>
      </w:r>
    </w:p>
    <w:p w:rsidR="001B6EFA" w:rsidRPr="00295E71" w:rsidP="001B6EFA" w14:paraId="260062CC" w14:textId="77777777">
      <w:pPr>
        <w:tabs>
          <w:tab w:val="left" w:pos="567"/>
        </w:tabs>
        <w:ind w:left="540" w:hanging="540"/>
        <w:rPr>
          <w:sz w:val="22"/>
          <w:szCs w:val="22"/>
        </w:rPr>
      </w:pPr>
    </w:p>
    <w:p w:rsidR="001B6EFA" w:rsidRPr="00295E71" w:rsidP="001B6EFA" w14:paraId="77DAED72" w14:textId="77777777">
      <w:pPr>
        <w:tabs>
          <w:tab w:val="left" w:pos="567"/>
        </w:tabs>
        <w:ind w:left="540" w:hanging="540"/>
        <w:rPr>
          <w:sz w:val="22"/>
          <w:szCs w:val="22"/>
        </w:rPr>
      </w:pPr>
    </w:p>
    <w:p w:rsidR="001B6EFA" w:rsidRPr="00295E71" w:rsidP="001B6EFA" w14:paraId="24D4173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13.</w:t>
      </w:r>
      <w:r w:rsidRPr="00295E71">
        <w:rPr>
          <w:b/>
          <w:bCs/>
          <w:sz w:val="22"/>
          <w:szCs w:val="22"/>
        </w:rPr>
        <w:tab/>
        <w:t>NUMERO DI LOTTO</w:t>
      </w:r>
    </w:p>
    <w:p w:rsidR="001B6EFA" w:rsidRPr="00295E71" w:rsidP="001B6EFA" w14:paraId="778C5D7E" w14:textId="77777777">
      <w:pPr>
        <w:tabs>
          <w:tab w:val="left" w:pos="567"/>
        </w:tabs>
        <w:ind w:left="540" w:hanging="540"/>
        <w:rPr>
          <w:sz w:val="22"/>
          <w:szCs w:val="22"/>
        </w:rPr>
      </w:pPr>
    </w:p>
    <w:p w:rsidR="001B6EFA" w:rsidRPr="00295E71" w:rsidP="001B6EFA" w14:paraId="5EEB9EE9" w14:textId="77777777">
      <w:pPr>
        <w:tabs>
          <w:tab w:val="left" w:pos="567"/>
        </w:tabs>
        <w:ind w:left="540" w:hanging="540"/>
        <w:rPr>
          <w:sz w:val="22"/>
          <w:szCs w:val="22"/>
        </w:rPr>
      </w:pPr>
      <w:r w:rsidRPr="00295E71">
        <w:rPr>
          <w:sz w:val="22"/>
          <w:szCs w:val="22"/>
        </w:rPr>
        <w:t xml:space="preserve">Lotto </w:t>
      </w:r>
    </w:p>
    <w:p w:rsidR="001B6EFA" w:rsidRPr="00295E71" w:rsidP="001B6EFA" w14:paraId="103C3F77" w14:textId="77777777">
      <w:pPr>
        <w:tabs>
          <w:tab w:val="left" w:pos="567"/>
        </w:tabs>
        <w:ind w:left="540" w:hanging="540"/>
        <w:rPr>
          <w:sz w:val="22"/>
          <w:szCs w:val="22"/>
        </w:rPr>
      </w:pPr>
    </w:p>
    <w:p w:rsidR="001B6EFA" w:rsidRPr="00295E71" w:rsidP="001B6EFA" w14:paraId="725B8481" w14:textId="77777777">
      <w:pPr>
        <w:tabs>
          <w:tab w:val="left" w:pos="567"/>
        </w:tabs>
        <w:ind w:left="540" w:hanging="540"/>
        <w:rPr>
          <w:sz w:val="22"/>
          <w:szCs w:val="22"/>
        </w:rPr>
      </w:pPr>
    </w:p>
    <w:p w:rsidR="001B6EFA" w:rsidRPr="00295E71" w:rsidP="001B6EFA" w14:paraId="3BF7459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14.</w:t>
      </w:r>
      <w:r w:rsidRPr="00295E71">
        <w:rPr>
          <w:b/>
          <w:bCs/>
          <w:sz w:val="22"/>
          <w:szCs w:val="22"/>
        </w:rPr>
        <w:tab/>
        <w:t>CONDIZIONE GENERALE DI FORNITURA</w:t>
      </w:r>
    </w:p>
    <w:p w:rsidR="001B6EFA" w:rsidRPr="00295E71" w:rsidP="001B6EFA" w14:paraId="1836A8E0" w14:textId="77777777">
      <w:pPr>
        <w:tabs>
          <w:tab w:val="left" w:pos="567"/>
        </w:tabs>
        <w:ind w:left="540" w:hanging="540"/>
        <w:rPr>
          <w:sz w:val="22"/>
          <w:szCs w:val="22"/>
        </w:rPr>
      </w:pPr>
    </w:p>
    <w:p w:rsidR="001B6EFA" w:rsidRPr="00295E71" w:rsidP="001B6EFA" w14:paraId="03F95120" w14:textId="77777777">
      <w:pPr>
        <w:tabs>
          <w:tab w:val="left" w:pos="567"/>
        </w:tabs>
        <w:ind w:left="540" w:hanging="540"/>
        <w:rPr>
          <w:sz w:val="22"/>
          <w:szCs w:val="22"/>
        </w:rPr>
      </w:pPr>
    </w:p>
    <w:p w:rsidR="001B6EFA" w:rsidRPr="00295E71" w:rsidP="001B6EFA" w14:paraId="0EA9F18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15.</w:t>
      </w:r>
      <w:r w:rsidRPr="00295E71">
        <w:rPr>
          <w:b/>
          <w:bCs/>
          <w:sz w:val="22"/>
          <w:szCs w:val="22"/>
        </w:rPr>
        <w:tab/>
        <w:t>ISTRUZIONI PER L’USO</w:t>
      </w:r>
    </w:p>
    <w:p w:rsidR="001B6EFA" w:rsidRPr="00295E71" w:rsidP="001B6EFA" w14:paraId="28A269CF" w14:textId="77777777">
      <w:pPr>
        <w:tabs>
          <w:tab w:val="left" w:pos="567"/>
        </w:tabs>
        <w:ind w:left="540" w:hanging="540"/>
        <w:rPr>
          <w:bCs/>
          <w:sz w:val="22"/>
          <w:szCs w:val="22"/>
        </w:rPr>
      </w:pPr>
    </w:p>
    <w:p w:rsidR="001B6EFA" w:rsidRPr="00295E71" w:rsidP="001B6EFA" w14:paraId="79C1E76A" w14:textId="77777777">
      <w:pPr>
        <w:tabs>
          <w:tab w:val="left" w:pos="567"/>
        </w:tabs>
        <w:ind w:left="540" w:hanging="540"/>
        <w:rPr>
          <w:bCs/>
          <w:sz w:val="22"/>
          <w:szCs w:val="22"/>
        </w:rPr>
      </w:pPr>
    </w:p>
    <w:p w:rsidR="001B6EFA" w:rsidRPr="00295E71" w:rsidP="001B6EFA" w14:paraId="1ED7B6B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16.</w:t>
      </w:r>
      <w:r w:rsidRPr="00295E71">
        <w:rPr>
          <w:b/>
          <w:bCs/>
          <w:sz w:val="22"/>
          <w:szCs w:val="22"/>
        </w:rPr>
        <w:tab/>
        <w:t>INFORMAZIONI IN BRAILLE</w:t>
      </w:r>
    </w:p>
    <w:p w:rsidR="001B6EFA" w:rsidRPr="00295E71" w:rsidP="001B6EFA" w14:paraId="5489187E" w14:textId="77777777">
      <w:pPr>
        <w:tabs>
          <w:tab w:val="left" w:pos="567"/>
        </w:tabs>
        <w:ind w:left="540" w:hanging="540"/>
        <w:rPr>
          <w:bCs/>
          <w:sz w:val="22"/>
          <w:szCs w:val="22"/>
        </w:rPr>
      </w:pPr>
    </w:p>
    <w:p w:rsidR="001B6EFA" w:rsidRPr="00295E71" w:rsidP="001B6EFA" w14:paraId="2A7D7257" w14:textId="77777777">
      <w:pPr>
        <w:tabs>
          <w:tab w:val="left" w:pos="567"/>
        </w:tabs>
        <w:ind w:left="540" w:hanging="540"/>
        <w:rPr>
          <w:sz w:val="22"/>
          <w:szCs w:val="22"/>
        </w:rPr>
      </w:pPr>
      <w:r w:rsidRPr="00295E71">
        <w:rPr>
          <w:sz w:val="22"/>
          <w:szCs w:val="22"/>
        </w:rPr>
        <w:t>Humira 20 mg</w:t>
      </w:r>
    </w:p>
    <w:p w:rsidR="001B6EFA" w:rsidRPr="00295E71" w:rsidP="001B6EFA" w14:paraId="299841E8" w14:textId="77777777">
      <w:pPr>
        <w:tabs>
          <w:tab w:val="left" w:pos="567"/>
        </w:tabs>
        <w:rPr>
          <w:sz w:val="22"/>
          <w:szCs w:val="22"/>
        </w:rPr>
      </w:pPr>
    </w:p>
    <w:p w:rsidR="001B6EFA" w:rsidRPr="00295E71" w:rsidP="001B6EFA" w14:paraId="51253400" w14:textId="77777777">
      <w:pPr>
        <w:tabs>
          <w:tab w:val="left" w:pos="567"/>
        </w:tabs>
        <w:ind w:left="540" w:hanging="540"/>
        <w:rPr>
          <w:bCs/>
          <w:sz w:val="22"/>
          <w:szCs w:val="22"/>
        </w:rPr>
      </w:pPr>
    </w:p>
    <w:p w:rsidR="001B6EFA" w:rsidRPr="00295E71" w:rsidP="001B6EFA" w14:paraId="1B48D239" w14:textId="77777777">
      <w:pPr>
        <w:pStyle w:val="EMEAHeadingBoxedTitle"/>
        <w:ind w:left="0" w:firstLine="0"/>
        <w:rPr>
          <w:rFonts w:ascii="Times New Roman" w:hAnsi="Times New Roman"/>
          <w:b/>
          <w:bCs/>
          <w:szCs w:val="22"/>
          <w:lang w:val="it-IT"/>
        </w:rPr>
      </w:pPr>
      <w:r w:rsidRPr="00295E71">
        <w:rPr>
          <w:rFonts w:ascii="Times New Roman" w:hAnsi="Times New Roman"/>
          <w:b/>
          <w:bCs/>
          <w:szCs w:val="22"/>
          <w:lang w:val="it-IT"/>
        </w:rPr>
        <w:t xml:space="preserve">17. </w:t>
      </w:r>
      <w:r w:rsidRPr="00295E71">
        <w:rPr>
          <w:rFonts w:ascii="Times New Roman" w:hAnsi="Times New Roman"/>
          <w:b/>
          <w:bCs/>
          <w:szCs w:val="22"/>
          <w:lang w:val="it-IT"/>
        </w:rPr>
        <w:tab/>
        <w:t>IDENTIFICATIVO UNICO – CODICE A BARRE BIDIMENSIONALE</w:t>
      </w:r>
    </w:p>
    <w:p w:rsidR="001B6EFA" w:rsidRPr="00295E71" w:rsidP="001B6EFA" w14:paraId="53B58F9A" w14:textId="77777777">
      <w:pPr>
        <w:rPr>
          <w:sz w:val="22"/>
          <w:szCs w:val="22"/>
        </w:rPr>
      </w:pPr>
    </w:p>
    <w:p w:rsidR="001B6EFA" w:rsidRPr="00295E71" w:rsidP="001B6EFA" w14:paraId="7752D7F1" w14:textId="77777777">
      <w:pPr>
        <w:rPr>
          <w:sz w:val="22"/>
          <w:szCs w:val="22"/>
          <w:shd w:val="clear" w:color="auto" w:fill="BFBFBF"/>
        </w:rPr>
      </w:pPr>
      <w:r w:rsidRPr="00295E71">
        <w:rPr>
          <w:sz w:val="22"/>
          <w:szCs w:val="22"/>
          <w:shd w:val="clear" w:color="auto" w:fill="BFBFBF"/>
        </w:rPr>
        <w:t>Codice a barre bidimensionale con identificativo unico incluso.</w:t>
      </w:r>
    </w:p>
    <w:p w:rsidR="001B6EFA" w:rsidRPr="00295E71" w:rsidP="001B6EFA" w14:paraId="40331FF4" w14:textId="77777777">
      <w:pPr>
        <w:rPr>
          <w:sz w:val="22"/>
          <w:szCs w:val="22"/>
          <w:shd w:val="clear" w:color="auto" w:fill="BFBFBF"/>
        </w:rPr>
      </w:pPr>
    </w:p>
    <w:p w:rsidR="001B6EFA" w:rsidRPr="00295E71" w:rsidP="001B6EFA" w14:paraId="045DA099" w14:textId="77777777">
      <w:pPr>
        <w:rPr>
          <w:sz w:val="22"/>
          <w:szCs w:val="22"/>
          <w:shd w:val="clear" w:color="auto" w:fill="BFBFBF"/>
        </w:rPr>
      </w:pPr>
    </w:p>
    <w:p w:rsidR="001B6EFA" w:rsidRPr="00295E71" w:rsidP="001B6EFA" w14:paraId="16E6AF9A" w14:textId="77777777">
      <w:pPr>
        <w:pStyle w:val="EMEAHeadingBoxedTitle"/>
        <w:keepNext/>
        <w:ind w:left="0" w:firstLine="0"/>
        <w:rPr>
          <w:rFonts w:ascii="Times New Roman" w:hAnsi="Times New Roman"/>
          <w:szCs w:val="22"/>
          <w:lang w:val="it-IT"/>
        </w:rPr>
      </w:pPr>
      <w:r w:rsidRPr="00295E71">
        <w:rPr>
          <w:rFonts w:ascii="Times New Roman" w:hAnsi="Times New Roman"/>
          <w:b/>
          <w:bCs/>
          <w:szCs w:val="22"/>
          <w:lang w:val="it-IT"/>
        </w:rPr>
        <w:t xml:space="preserve">18. </w:t>
      </w:r>
      <w:r w:rsidRPr="00295E71">
        <w:rPr>
          <w:rFonts w:ascii="Times New Roman" w:hAnsi="Times New Roman"/>
          <w:b/>
          <w:bCs/>
          <w:szCs w:val="22"/>
          <w:lang w:val="it-IT"/>
        </w:rPr>
        <w:tab/>
        <w:t>IDENTIFICATIVO UNICO – dati leggibili</w:t>
      </w:r>
    </w:p>
    <w:p w:rsidR="001B6EFA" w:rsidRPr="00295E71" w:rsidP="001B6EFA" w14:paraId="2AEB6C41" w14:textId="77777777">
      <w:pPr>
        <w:keepNext/>
        <w:ind w:left="540" w:hanging="540"/>
        <w:rPr>
          <w:sz w:val="22"/>
          <w:szCs w:val="22"/>
        </w:rPr>
      </w:pPr>
    </w:p>
    <w:p w:rsidR="001B6EFA" w:rsidRPr="00295E71" w:rsidP="001B6EFA" w14:paraId="24A4D421" w14:textId="77777777">
      <w:pPr>
        <w:keepNext/>
        <w:ind w:left="540" w:hanging="540"/>
        <w:rPr>
          <w:sz w:val="22"/>
          <w:szCs w:val="22"/>
        </w:rPr>
      </w:pPr>
      <w:r w:rsidRPr="00295E71">
        <w:rPr>
          <w:sz w:val="22"/>
          <w:szCs w:val="22"/>
        </w:rPr>
        <w:t>PC</w:t>
      </w:r>
    </w:p>
    <w:p w:rsidR="001B6EFA" w:rsidRPr="00295E71" w:rsidP="001B6EFA" w14:paraId="626AB9A6" w14:textId="77777777">
      <w:pPr>
        <w:keepNext/>
        <w:ind w:left="540" w:hanging="540"/>
        <w:rPr>
          <w:sz w:val="22"/>
          <w:szCs w:val="22"/>
        </w:rPr>
      </w:pPr>
      <w:r w:rsidRPr="00295E71">
        <w:rPr>
          <w:sz w:val="22"/>
          <w:szCs w:val="22"/>
        </w:rPr>
        <w:t>SN</w:t>
      </w:r>
    </w:p>
    <w:p w:rsidR="001B6EFA" w:rsidRPr="00295E71" w:rsidP="001B6EFA" w14:paraId="3360EFF8" w14:textId="77777777">
      <w:pPr>
        <w:keepNext/>
        <w:ind w:left="540" w:hanging="540"/>
        <w:rPr>
          <w:sz w:val="22"/>
          <w:szCs w:val="22"/>
        </w:rPr>
      </w:pPr>
      <w:r w:rsidRPr="0020624D">
        <w:rPr>
          <w:sz w:val="22"/>
          <w:szCs w:val="22"/>
          <w:highlight w:val="lightGray"/>
        </w:rPr>
        <w:t>NN</w:t>
      </w:r>
    </w:p>
    <w:p w:rsidR="001B6EFA" w:rsidRPr="00295E71" w:rsidP="001B6EFA" w14:paraId="28E2CEB1" w14:textId="77777777">
      <w:pPr>
        <w:pStyle w:val="Heading3"/>
        <w:keepNext w:val="0"/>
        <w:tabs>
          <w:tab w:val="left" w:pos="567"/>
        </w:tabs>
        <w:ind w:left="540" w:hanging="540"/>
      </w:pPr>
      <w:r w:rsidRPr="00295E71">
        <w:rPr>
          <w:b/>
          <w:bCs/>
        </w:rPr>
        <w:br w:type="page"/>
      </w:r>
    </w:p>
    <w:p w:rsidR="001B6EFA" w:rsidRPr="00295E71" w:rsidP="001B6EFA" w14:paraId="20202EB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 xml:space="preserve">INFORMAZIONI MINIME DA APPORRE SU BLISTER O STRIP </w:t>
      </w:r>
    </w:p>
    <w:p w:rsidR="001B6EFA" w:rsidRPr="00295E71" w:rsidP="001B6EFA" w14:paraId="0DAD418E" w14:textId="77777777">
      <w:pPr>
        <w:pBdr>
          <w:top w:val="single" w:sz="4" w:space="1" w:color="auto"/>
          <w:left w:val="single" w:sz="4" w:space="4" w:color="auto"/>
          <w:bottom w:val="single" w:sz="4" w:space="1" w:color="auto"/>
          <w:right w:val="single" w:sz="4" w:space="4" w:color="auto"/>
        </w:pBdr>
        <w:tabs>
          <w:tab w:val="left" w:pos="567"/>
        </w:tabs>
        <w:ind w:left="540" w:hanging="540"/>
        <w:jc w:val="both"/>
        <w:rPr>
          <w:b/>
          <w:bCs/>
          <w:caps/>
          <w:sz w:val="22"/>
          <w:szCs w:val="22"/>
        </w:rPr>
      </w:pPr>
    </w:p>
    <w:p w:rsidR="001B6EFA" w:rsidRPr="00295E71" w:rsidP="001B6EFA" w14:paraId="4AB8AFF7" w14:textId="77777777">
      <w:pPr>
        <w:pStyle w:val="Heading3"/>
        <w:keepNext w:val="0"/>
        <w:pBdr>
          <w:top w:val="single" w:sz="4" w:space="1" w:color="auto"/>
          <w:left w:val="single" w:sz="4" w:space="4" w:color="auto"/>
          <w:bottom w:val="single" w:sz="4" w:space="1" w:color="auto"/>
          <w:right w:val="single" w:sz="4" w:space="4" w:color="auto"/>
        </w:pBdr>
        <w:tabs>
          <w:tab w:val="left" w:pos="567"/>
        </w:tabs>
        <w:ind w:left="540" w:hanging="540"/>
        <w:rPr>
          <w:b/>
          <w:bCs/>
          <w:u w:val="none"/>
        </w:rPr>
      </w:pPr>
      <w:r w:rsidRPr="00295E71">
        <w:rPr>
          <w:b/>
          <w:bCs/>
          <w:caps/>
          <w:u w:val="none"/>
        </w:rPr>
        <w:t>Testo da apporre sul retro della confezione</w:t>
      </w:r>
    </w:p>
    <w:p w:rsidR="001B6EFA" w:rsidRPr="00295E71" w:rsidP="001B6EFA" w14:paraId="2A43663B" w14:textId="77777777">
      <w:pPr>
        <w:tabs>
          <w:tab w:val="left" w:pos="567"/>
        </w:tabs>
        <w:ind w:left="540" w:hanging="540"/>
        <w:jc w:val="both"/>
        <w:rPr>
          <w:sz w:val="22"/>
          <w:szCs w:val="22"/>
        </w:rPr>
      </w:pPr>
    </w:p>
    <w:p w:rsidR="001B6EFA" w:rsidRPr="00295E71" w:rsidP="001B6EFA" w14:paraId="76B5B48E" w14:textId="77777777">
      <w:pPr>
        <w:tabs>
          <w:tab w:val="left" w:pos="567"/>
        </w:tabs>
        <w:ind w:left="540" w:hanging="540"/>
        <w:jc w:val="both"/>
        <w:rPr>
          <w:sz w:val="22"/>
          <w:szCs w:val="22"/>
        </w:rPr>
      </w:pPr>
    </w:p>
    <w:p w:rsidR="001B6EFA" w:rsidRPr="00295E71" w:rsidP="001B6EFA" w14:paraId="33DCA49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w:t>
      </w:r>
      <w:r w:rsidRPr="00295E71">
        <w:rPr>
          <w:b/>
          <w:bCs/>
          <w:sz w:val="22"/>
          <w:szCs w:val="22"/>
        </w:rPr>
        <w:tab/>
        <w:t>DENOMINAZIONE DEL MEDICINALE</w:t>
      </w:r>
    </w:p>
    <w:p w:rsidR="001B6EFA" w:rsidRPr="00295E71" w:rsidP="001B6EFA" w14:paraId="32A3428C" w14:textId="77777777">
      <w:pPr>
        <w:tabs>
          <w:tab w:val="left" w:pos="567"/>
        </w:tabs>
        <w:ind w:left="540" w:hanging="540"/>
        <w:jc w:val="both"/>
        <w:rPr>
          <w:sz w:val="22"/>
          <w:szCs w:val="22"/>
        </w:rPr>
      </w:pPr>
    </w:p>
    <w:p w:rsidR="001B6EFA" w:rsidRPr="00295E71" w:rsidP="001B6EFA" w14:paraId="3C3CBAD8" w14:textId="77777777">
      <w:pPr>
        <w:tabs>
          <w:tab w:val="left" w:pos="567"/>
        </w:tabs>
        <w:ind w:left="540" w:hanging="540"/>
        <w:jc w:val="both"/>
        <w:rPr>
          <w:sz w:val="22"/>
          <w:szCs w:val="22"/>
        </w:rPr>
      </w:pPr>
      <w:r w:rsidRPr="00295E71">
        <w:rPr>
          <w:sz w:val="22"/>
          <w:szCs w:val="22"/>
        </w:rPr>
        <w:t>Humira 20 mg soluzione iniettabile in siringa pre-riempita</w:t>
      </w:r>
    </w:p>
    <w:p w:rsidR="001B6EFA" w:rsidRPr="00295E71" w:rsidP="001B6EFA" w14:paraId="00D8BCFA" w14:textId="77777777">
      <w:pPr>
        <w:tabs>
          <w:tab w:val="left" w:pos="567"/>
        </w:tabs>
        <w:ind w:left="540" w:hanging="540"/>
        <w:jc w:val="both"/>
        <w:rPr>
          <w:sz w:val="22"/>
          <w:szCs w:val="22"/>
        </w:rPr>
      </w:pPr>
      <w:r w:rsidRPr="00295E71">
        <w:rPr>
          <w:sz w:val="22"/>
          <w:szCs w:val="22"/>
        </w:rPr>
        <w:t>adalimumab</w:t>
      </w:r>
    </w:p>
    <w:p w:rsidR="001B6EFA" w:rsidRPr="00295E71" w:rsidP="001B6EFA" w14:paraId="15D66165" w14:textId="77777777">
      <w:pPr>
        <w:tabs>
          <w:tab w:val="left" w:pos="567"/>
        </w:tabs>
        <w:ind w:left="540" w:hanging="540"/>
        <w:jc w:val="both"/>
        <w:rPr>
          <w:sz w:val="22"/>
          <w:szCs w:val="22"/>
        </w:rPr>
      </w:pPr>
    </w:p>
    <w:p w:rsidR="001B6EFA" w:rsidRPr="00295E71" w:rsidP="001B6EFA" w14:paraId="5C63175D" w14:textId="77777777">
      <w:pPr>
        <w:tabs>
          <w:tab w:val="left" w:pos="567"/>
        </w:tabs>
        <w:ind w:left="540" w:hanging="540"/>
        <w:jc w:val="both"/>
        <w:rPr>
          <w:sz w:val="22"/>
          <w:szCs w:val="22"/>
        </w:rPr>
      </w:pPr>
    </w:p>
    <w:p w:rsidR="001B6EFA" w:rsidRPr="00295E71" w:rsidP="001B6EFA" w14:paraId="60842E8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2.</w:t>
      </w:r>
      <w:r w:rsidRPr="00295E71">
        <w:rPr>
          <w:b/>
          <w:bCs/>
          <w:sz w:val="22"/>
          <w:szCs w:val="22"/>
        </w:rPr>
        <w:tab/>
        <w:t xml:space="preserve">NOME DEL TITOLARE DELL’AUTORIZZAZIONE ALL’IMMISSIONE IN COMMERCIO </w:t>
      </w:r>
    </w:p>
    <w:p w:rsidR="001B6EFA" w:rsidRPr="00295E71" w:rsidP="001B6EFA" w14:paraId="49FABEA0" w14:textId="77777777">
      <w:pPr>
        <w:tabs>
          <w:tab w:val="left" w:pos="567"/>
        </w:tabs>
        <w:ind w:left="540" w:hanging="540"/>
        <w:jc w:val="both"/>
        <w:rPr>
          <w:sz w:val="22"/>
          <w:szCs w:val="22"/>
        </w:rPr>
      </w:pPr>
    </w:p>
    <w:p w:rsidR="001B6EFA" w:rsidRPr="00295E71" w:rsidP="001B6EFA" w14:paraId="336FCD14" w14:textId="77777777">
      <w:pPr>
        <w:tabs>
          <w:tab w:val="left" w:pos="567"/>
        </w:tabs>
        <w:ind w:left="540" w:hanging="540"/>
        <w:jc w:val="both"/>
        <w:rPr>
          <w:sz w:val="22"/>
          <w:szCs w:val="22"/>
        </w:rPr>
      </w:pPr>
      <w:r w:rsidRPr="00295E71">
        <w:rPr>
          <w:sz w:val="22"/>
          <w:szCs w:val="22"/>
        </w:rPr>
        <w:t xml:space="preserve">AbbVie </w:t>
      </w:r>
      <w:r w:rsidRPr="00295E71" w:rsidR="00A433A1">
        <w:rPr>
          <w:sz w:val="22"/>
          <w:szCs w:val="22"/>
          <w:highlight w:val="lightGray"/>
        </w:rPr>
        <w:t>(logo)</w:t>
      </w:r>
    </w:p>
    <w:p w:rsidR="001B6EFA" w:rsidRPr="00295E71" w:rsidP="001B6EFA" w14:paraId="631B40A5" w14:textId="77777777">
      <w:pPr>
        <w:tabs>
          <w:tab w:val="left" w:pos="567"/>
        </w:tabs>
        <w:ind w:left="540" w:hanging="540"/>
        <w:jc w:val="both"/>
        <w:rPr>
          <w:sz w:val="22"/>
          <w:szCs w:val="22"/>
        </w:rPr>
      </w:pPr>
    </w:p>
    <w:p w:rsidR="001B6EFA" w:rsidRPr="00295E71" w:rsidP="001B6EFA" w14:paraId="278BE59D" w14:textId="77777777">
      <w:pPr>
        <w:pStyle w:val="EndnoteText"/>
        <w:ind w:left="540" w:hanging="540"/>
        <w:jc w:val="both"/>
        <w:rPr>
          <w:lang w:val="it-IT"/>
        </w:rPr>
      </w:pPr>
    </w:p>
    <w:p w:rsidR="001B6EFA" w:rsidRPr="00295E71" w:rsidP="001B6EFA" w14:paraId="3CF4928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3.</w:t>
      </w:r>
      <w:r w:rsidRPr="00295E71">
        <w:rPr>
          <w:b/>
          <w:bCs/>
          <w:sz w:val="22"/>
          <w:szCs w:val="22"/>
        </w:rPr>
        <w:tab/>
        <w:t>DATA DI SCADENZA</w:t>
      </w:r>
    </w:p>
    <w:p w:rsidR="001B6EFA" w:rsidRPr="00295E71" w:rsidP="001B6EFA" w14:paraId="0DA6EEE3" w14:textId="77777777">
      <w:pPr>
        <w:tabs>
          <w:tab w:val="left" w:pos="567"/>
        </w:tabs>
        <w:ind w:left="540" w:hanging="540"/>
        <w:jc w:val="both"/>
        <w:rPr>
          <w:sz w:val="22"/>
          <w:szCs w:val="22"/>
        </w:rPr>
      </w:pPr>
    </w:p>
    <w:p w:rsidR="001B6EFA" w:rsidRPr="00295E71" w:rsidP="001B6EFA" w14:paraId="58272EC3" w14:textId="77777777">
      <w:pPr>
        <w:tabs>
          <w:tab w:val="left" w:pos="567"/>
        </w:tabs>
        <w:ind w:left="540" w:hanging="540"/>
        <w:jc w:val="both"/>
        <w:rPr>
          <w:sz w:val="22"/>
          <w:szCs w:val="22"/>
        </w:rPr>
      </w:pPr>
      <w:r w:rsidRPr="00295E71">
        <w:rPr>
          <w:sz w:val="22"/>
          <w:szCs w:val="22"/>
        </w:rPr>
        <w:t xml:space="preserve">Scad. </w:t>
      </w:r>
    </w:p>
    <w:p w:rsidR="001B6EFA" w:rsidRPr="00295E71" w:rsidP="001B6EFA" w14:paraId="7239E6CC" w14:textId="77777777">
      <w:pPr>
        <w:tabs>
          <w:tab w:val="left" w:pos="567"/>
        </w:tabs>
        <w:ind w:left="540" w:hanging="540"/>
        <w:jc w:val="both"/>
        <w:rPr>
          <w:sz w:val="22"/>
          <w:szCs w:val="22"/>
        </w:rPr>
      </w:pPr>
    </w:p>
    <w:p w:rsidR="001B6EFA" w:rsidRPr="00295E71" w:rsidP="001B6EFA" w14:paraId="325818E5" w14:textId="77777777">
      <w:pPr>
        <w:tabs>
          <w:tab w:val="left" w:pos="567"/>
        </w:tabs>
        <w:ind w:left="540" w:hanging="540"/>
        <w:jc w:val="both"/>
        <w:rPr>
          <w:sz w:val="22"/>
          <w:szCs w:val="22"/>
        </w:rPr>
      </w:pPr>
    </w:p>
    <w:p w:rsidR="001B6EFA" w:rsidRPr="00295E71" w:rsidP="001B6EFA" w14:paraId="78BFDB8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4.</w:t>
      </w:r>
      <w:r w:rsidRPr="00295E71">
        <w:rPr>
          <w:b/>
          <w:bCs/>
          <w:sz w:val="22"/>
          <w:szCs w:val="22"/>
        </w:rPr>
        <w:tab/>
        <w:t>NUMERO DI LOTTO</w:t>
      </w:r>
    </w:p>
    <w:p w:rsidR="001B6EFA" w:rsidRPr="00295E71" w:rsidP="001B6EFA" w14:paraId="73560882" w14:textId="77777777">
      <w:pPr>
        <w:tabs>
          <w:tab w:val="left" w:pos="567"/>
        </w:tabs>
        <w:ind w:left="540" w:hanging="540"/>
        <w:jc w:val="both"/>
        <w:rPr>
          <w:sz w:val="22"/>
          <w:szCs w:val="22"/>
        </w:rPr>
      </w:pPr>
    </w:p>
    <w:p w:rsidR="001B6EFA" w:rsidRPr="00295E71" w:rsidP="001B6EFA" w14:paraId="4691593D" w14:textId="77777777">
      <w:pPr>
        <w:tabs>
          <w:tab w:val="left" w:pos="567"/>
        </w:tabs>
        <w:ind w:left="540" w:hanging="540"/>
        <w:jc w:val="both"/>
        <w:rPr>
          <w:sz w:val="22"/>
          <w:szCs w:val="22"/>
        </w:rPr>
      </w:pPr>
      <w:r w:rsidRPr="00295E71">
        <w:rPr>
          <w:sz w:val="22"/>
          <w:szCs w:val="22"/>
        </w:rPr>
        <w:t xml:space="preserve">Lotto </w:t>
      </w:r>
    </w:p>
    <w:p w:rsidR="001B6EFA" w:rsidRPr="00295E71" w:rsidP="001B6EFA" w14:paraId="5119564C" w14:textId="77777777">
      <w:pPr>
        <w:tabs>
          <w:tab w:val="left" w:pos="567"/>
        </w:tabs>
        <w:ind w:left="540" w:hanging="540"/>
        <w:rPr>
          <w:bCs/>
          <w:sz w:val="22"/>
          <w:szCs w:val="22"/>
        </w:rPr>
      </w:pPr>
    </w:p>
    <w:p w:rsidR="001B6EFA" w:rsidRPr="00295E71" w:rsidP="001B6EFA" w14:paraId="541072FB" w14:textId="77777777">
      <w:pPr>
        <w:tabs>
          <w:tab w:val="left" w:pos="567"/>
        </w:tabs>
        <w:ind w:left="540" w:hanging="540"/>
        <w:rPr>
          <w:bCs/>
          <w:sz w:val="22"/>
          <w:szCs w:val="22"/>
        </w:rPr>
      </w:pPr>
    </w:p>
    <w:p w:rsidR="001B6EFA" w:rsidRPr="00295E71" w:rsidP="001B6EFA" w14:paraId="1617EB1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5.</w:t>
      </w:r>
      <w:r w:rsidRPr="00295E71">
        <w:rPr>
          <w:b/>
          <w:bCs/>
          <w:sz w:val="22"/>
          <w:szCs w:val="22"/>
        </w:rPr>
        <w:tab/>
        <w:t>ALTRO</w:t>
      </w:r>
    </w:p>
    <w:p w:rsidR="001B6EFA" w:rsidRPr="00295E71" w:rsidP="001B6EFA" w14:paraId="2EA1A386" w14:textId="77777777">
      <w:pPr>
        <w:tabs>
          <w:tab w:val="left" w:pos="567"/>
        </w:tabs>
        <w:ind w:left="540" w:hanging="540"/>
        <w:rPr>
          <w:bCs/>
          <w:sz w:val="22"/>
          <w:szCs w:val="22"/>
        </w:rPr>
      </w:pPr>
    </w:p>
    <w:p w:rsidR="001B6EFA" w:rsidRPr="00295E71" w:rsidP="001B6EFA" w14:paraId="0A0B15F0" w14:textId="77777777">
      <w:pPr>
        <w:tabs>
          <w:tab w:val="left" w:pos="567"/>
        </w:tabs>
        <w:ind w:left="540" w:hanging="540"/>
        <w:jc w:val="both"/>
        <w:rPr>
          <w:sz w:val="22"/>
          <w:szCs w:val="22"/>
        </w:rPr>
      </w:pPr>
      <w:r w:rsidRPr="00295E71">
        <w:rPr>
          <w:sz w:val="22"/>
          <w:szCs w:val="22"/>
        </w:rPr>
        <w:t>Vedere il foglio illustrativo per le informazioni sulle condizioni di conservazione.</w:t>
      </w:r>
    </w:p>
    <w:p w:rsidR="001B6EFA" w:rsidRPr="00295E71" w:rsidP="001B6EFA" w14:paraId="66554BE3" w14:textId="77777777">
      <w:pPr>
        <w:tabs>
          <w:tab w:val="left" w:pos="567"/>
        </w:tabs>
        <w:ind w:left="540" w:hanging="540"/>
        <w:jc w:val="both"/>
        <w:rPr>
          <w:sz w:val="22"/>
          <w:szCs w:val="22"/>
        </w:rPr>
      </w:pPr>
    </w:p>
    <w:p w:rsidR="001B6EFA" w:rsidRPr="00295E71" w:rsidP="001B6EFA" w14:paraId="714D2A0A" w14:textId="77777777">
      <w:pPr>
        <w:tabs>
          <w:tab w:val="left" w:pos="567"/>
        </w:tabs>
        <w:ind w:left="540" w:hanging="540"/>
        <w:jc w:val="both"/>
        <w:rPr>
          <w:sz w:val="22"/>
          <w:szCs w:val="22"/>
        </w:rPr>
      </w:pPr>
      <w:r w:rsidRPr="00295E71">
        <w:rPr>
          <w:sz w:val="22"/>
          <w:szCs w:val="22"/>
        </w:rPr>
        <w:t>Esclusivamente monouso</w:t>
      </w:r>
      <w:r w:rsidRPr="00295E71" w:rsidR="005364A8">
        <w:rPr>
          <w:sz w:val="22"/>
          <w:szCs w:val="22"/>
        </w:rPr>
        <w:t>.</w:t>
      </w:r>
    </w:p>
    <w:p w:rsidR="001B6EFA" w:rsidRPr="00295E71" w:rsidP="001B6EFA" w14:paraId="3852B506" w14:textId="77777777">
      <w:pPr>
        <w:tabs>
          <w:tab w:val="left" w:pos="567"/>
        </w:tabs>
        <w:ind w:left="540" w:hanging="540"/>
        <w:jc w:val="both"/>
        <w:rPr>
          <w:sz w:val="22"/>
          <w:szCs w:val="22"/>
        </w:rPr>
      </w:pPr>
    </w:p>
    <w:p w:rsidR="001B6EFA" w:rsidRPr="00295E71" w:rsidP="001B6EFA" w14:paraId="57F77687" w14:textId="77777777">
      <w:pPr>
        <w:tabs>
          <w:tab w:val="left" w:pos="567"/>
        </w:tabs>
        <w:ind w:left="540" w:hanging="540"/>
        <w:jc w:val="both"/>
        <w:rPr>
          <w:sz w:val="22"/>
          <w:szCs w:val="22"/>
        </w:rPr>
      </w:pPr>
      <w:r w:rsidRPr="00295E71">
        <w:rPr>
          <w:sz w:val="22"/>
          <w:szCs w:val="22"/>
        </w:rPr>
        <w:t>Per uso pediatrico</w:t>
      </w:r>
    </w:p>
    <w:p w:rsidR="001B6EFA" w:rsidP="001B6EFA" w14:paraId="4B8B0098" w14:textId="77777777">
      <w:pPr>
        <w:tabs>
          <w:tab w:val="left" w:pos="567"/>
        </w:tabs>
        <w:ind w:left="540" w:hanging="540"/>
        <w:jc w:val="both"/>
        <w:rPr>
          <w:sz w:val="22"/>
          <w:szCs w:val="22"/>
        </w:rPr>
      </w:pPr>
    </w:p>
    <w:p w:rsidR="00DA39F8" w:rsidRPr="00295E71" w:rsidP="001B6EFA" w14:paraId="2EA2A21C" w14:textId="77777777">
      <w:pPr>
        <w:tabs>
          <w:tab w:val="left" w:pos="567"/>
        </w:tabs>
        <w:ind w:left="540" w:hanging="540"/>
        <w:jc w:val="both"/>
        <w:rPr>
          <w:sz w:val="22"/>
          <w:szCs w:val="22"/>
        </w:rPr>
      </w:pPr>
    </w:p>
    <w:p w:rsidR="001B6EFA" w:rsidRPr="00295E71" w:rsidP="001B6EFA" w14:paraId="3031CC50" w14:textId="77777777">
      <w:pPr>
        <w:pStyle w:val="EndnoteText"/>
        <w:ind w:left="540" w:hanging="540"/>
        <w:rPr>
          <w:lang w:val="it-IT"/>
        </w:rPr>
      </w:pPr>
      <w:r w:rsidRPr="00295E71">
        <w:rPr>
          <w:lang w:val="it-IT"/>
        </w:rPr>
        <w:br w:type="page"/>
      </w:r>
    </w:p>
    <w:p w:rsidR="001B6EFA" w:rsidRPr="00295E71" w:rsidP="001B6EFA" w14:paraId="0177DF20" w14:textId="77777777">
      <w:pPr>
        <w:pBdr>
          <w:top w:val="single" w:sz="4" w:space="1" w:color="auto"/>
          <w:left w:val="single" w:sz="4" w:space="1" w:color="auto"/>
          <w:bottom w:val="single" w:sz="4" w:space="1" w:color="auto"/>
          <w:right w:val="single" w:sz="4" w:space="1" w:color="auto"/>
        </w:pBdr>
        <w:tabs>
          <w:tab w:val="left" w:pos="180"/>
        </w:tabs>
        <w:rPr>
          <w:b/>
          <w:bCs/>
          <w:sz w:val="22"/>
          <w:szCs w:val="22"/>
        </w:rPr>
      </w:pPr>
      <w:r w:rsidRPr="00295E71">
        <w:rPr>
          <w:b/>
          <w:bCs/>
          <w:sz w:val="22"/>
          <w:szCs w:val="22"/>
        </w:rPr>
        <w:t>INFORMAZIONI MINIME DA APPORRE SUI CONFEZIONAMENTI PRIMARI DI PICCOLE DIMENSIONI</w:t>
      </w:r>
    </w:p>
    <w:p w:rsidR="001B6EFA" w:rsidRPr="00295E71" w:rsidP="001B6EFA" w14:paraId="6EB77BBB" w14:textId="77777777">
      <w:pPr>
        <w:pBdr>
          <w:top w:val="single" w:sz="4" w:space="1" w:color="auto"/>
          <w:left w:val="single" w:sz="4" w:space="1" w:color="auto"/>
          <w:bottom w:val="single" w:sz="4" w:space="1" w:color="auto"/>
          <w:right w:val="single" w:sz="4" w:space="1" w:color="auto"/>
        </w:pBdr>
        <w:tabs>
          <w:tab w:val="left" w:pos="180"/>
        </w:tabs>
        <w:rPr>
          <w:b/>
          <w:bCs/>
          <w:caps/>
          <w:sz w:val="22"/>
          <w:szCs w:val="22"/>
        </w:rPr>
      </w:pPr>
    </w:p>
    <w:p w:rsidR="001B6EFA" w:rsidRPr="00295E71" w:rsidP="001B6EFA" w14:paraId="10129C1D" w14:textId="77777777">
      <w:pPr>
        <w:pBdr>
          <w:top w:val="single" w:sz="4" w:space="1" w:color="auto"/>
          <w:left w:val="single" w:sz="4" w:space="1" w:color="auto"/>
          <w:bottom w:val="single" w:sz="4" w:space="1" w:color="auto"/>
          <w:right w:val="single" w:sz="4" w:space="1" w:color="auto"/>
        </w:pBdr>
        <w:tabs>
          <w:tab w:val="left" w:pos="567"/>
        </w:tabs>
        <w:ind w:left="540" w:hanging="540"/>
        <w:rPr>
          <w:b/>
          <w:bCs/>
          <w:sz w:val="22"/>
          <w:szCs w:val="22"/>
        </w:rPr>
      </w:pPr>
      <w:r w:rsidRPr="00295E71">
        <w:rPr>
          <w:b/>
          <w:bCs/>
          <w:caps/>
          <w:sz w:val="22"/>
          <w:szCs w:val="22"/>
        </w:rPr>
        <w:t>Etichetta da apporre sulla siringa</w:t>
      </w:r>
    </w:p>
    <w:p w:rsidR="001B6EFA" w:rsidRPr="00295E71" w:rsidP="001B6EFA" w14:paraId="34FBC832" w14:textId="77777777">
      <w:pPr>
        <w:pStyle w:val="Index1"/>
        <w:tabs>
          <w:tab w:val="left" w:pos="567"/>
        </w:tabs>
        <w:spacing w:line="260" w:lineRule="exact"/>
        <w:ind w:left="540" w:hanging="540"/>
        <w:rPr>
          <w:lang w:val="it-IT"/>
        </w:rPr>
      </w:pPr>
    </w:p>
    <w:p w:rsidR="001B6EFA" w:rsidRPr="00295E71" w:rsidP="001B6EFA" w14:paraId="3A3C00D4" w14:textId="77777777">
      <w:pPr>
        <w:tabs>
          <w:tab w:val="left" w:pos="567"/>
        </w:tabs>
        <w:ind w:left="540" w:hanging="540"/>
        <w:rPr>
          <w:b/>
          <w:bCs/>
          <w:sz w:val="22"/>
          <w:szCs w:val="22"/>
        </w:rPr>
      </w:pPr>
    </w:p>
    <w:p w:rsidR="001B6EFA" w:rsidRPr="00295E71" w:rsidP="001B6EFA" w14:paraId="2AF8969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w:t>
      </w:r>
      <w:r w:rsidRPr="00295E71">
        <w:rPr>
          <w:b/>
          <w:bCs/>
          <w:sz w:val="22"/>
          <w:szCs w:val="22"/>
        </w:rPr>
        <w:tab/>
        <w:t>DENOMINAZIONE DEL MEDICINALE E VIA DI SOMMINISTRAZIONE</w:t>
      </w:r>
    </w:p>
    <w:p w:rsidR="001B6EFA" w:rsidRPr="00295E71" w:rsidP="001B6EFA" w14:paraId="1DB6D775" w14:textId="77777777">
      <w:pPr>
        <w:tabs>
          <w:tab w:val="left" w:pos="567"/>
        </w:tabs>
        <w:ind w:left="540" w:hanging="540"/>
        <w:rPr>
          <w:sz w:val="22"/>
          <w:szCs w:val="22"/>
        </w:rPr>
      </w:pPr>
    </w:p>
    <w:p w:rsidR="001B6EFA" w:rsidRPr="00295E71" w:rsidP="001B6EFA" w14:paraId="0A7475DB" w14:textId="77777777">
      <w:pPr>
        <w:tabs>
          <w:tab w:val="left" w:pos="567"/>
        </w:tabs>
        <w:ind w:left="540" w:hanging="540"/>
        <w:rPr>
          <w:sz w:val="22"/>
          <w:szCs w:val="22"/>
        </w:rPr>
      </w:pPr>
      <w:r w:rsidRPr="00295E71">
        <w:rPr>
          <w:sz w:val="22"/>
          <w:szCs w:val="22"/>
        </w:rPr>
        <w:t>Humira 20 mg iniettabile</w:t>
      </w:r>
    </w:p>
    <w:p w:rsidR="001B6EFA" w:rsidRPr="00295E71" w:rsidP="001B6EFA" w14:paraId="30D9F793" w14:textId="77777777">
      <w:pPr>
        <w:tabs>
          <w:tab w:val="left" w:pos="567"/>
        </w:tabs>
        <w:ind w:left="540" w:hanging="540"/>
        <w:rPr>
          <w:sz w:val="22"/>
          <w:szCs w:val="22"/>
        </w:rPr>
      </w:pPr>
      <w:r w:rsidRPr="00295E71">
        <w:rPr>
          <w:sz w:val="22"/>
          <w:szCs w:val="22"/>
        </w:rPr>
        <w:t>adalimumab</w:t>
      </w:r>
    </w:p>
    <w:p w:rsidR="001B6EFA" w:rsidRPr="00295E71" w:rsidP="001B6EFA" w14:paraId="34FB91E7" w14:textId="77777777">
      <w:pPr>
        <w:pStyle w:val="EndnoteText"/>
        <w:ind w:left="540" w:hanging="540"/>
        <w:rPr>
          <w:lang w:val="it-IT"/>
        </w:rPr>
      </w:pPr>
      <w:r w:rsidRPr="00295E71">
        <w:rPr>
          <w:lang w:val="it-IT"/>
        </w:rPr>
        <w:t>s.c.</w:t>
      </w:r>
    </w:p>
    <w:p w:rsidR="001B6EFA" w:rsidRPr="00295E71" w:rsidP="001B6EFA" w14:paraId="32191A0B" w14:textId="77777777">
      <w:pPr>
        <w:tabs>
          <w:tab w:val="left" w:pos="567"/>
        </w:tabs>
        <w:ind w:left="540" w:hanging="540"/>
        <w:rPr>
          <w:b/>
          <w:bCs/>
          <w:sz w:val="22"/>
          <w:szCs w:val="22"/>
        </w:rPr>
      </w:pPr>
    </w:p>
    <w:p w:rsidR="001B6EFA" w:rsidRPr="00295E71" w:rsidP="001B6EFA" w14:paraId="0808EAA5" w14:textId="77777777">
      <w:pPr>
        <w:tabs>
          <w:tab w:val="left" w:pos="567"/>
        </w:tabs>
        <w:ind w:left="540" w:hanging="540"/>
        <w:rPr>
          <w:b/>
          <w:bCs/>
          <w:sz w:val="22"/>
          <w:szCs w:val="22"/>
        </w:rPr>
      </w:pPr>
    </w:p>
    <w:p w:rsidR="001B6EFA" w:rsidRPr="00295E71" w:rsidP="001B6EFA" w14:paraId="591E7CD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2.</w:t>
      </w:r>
      <w:r w:rsidRPr="00295E71">
        <w:rPr>
          <w:b/>
          <w:bCs/>
          <w:sz w:val="22"/>
          <w:szCs w:val="22"/>
        </w:rPr>
        <w:tab/>
        <w:t>MODO DI SOMMINISTRAZIONE</w:t>
      </w:r>
    </w:p>
    <w:p w:rsidR="001B6EFA" w:rsidRPr="00295E71" w:rsidP="001B6EFA" w14:paraId="01A7B666" w14:textId="77777777">
      <w:pPr>
        <w:pStyle w:val="IndexHeading"/>
        <w:spacing w:line="240" w:lineRule="auto"/>
        <w:ind w:left="540" w:hanging="540"/>
        <w:rPr>
          <w:rFonts w:ascii="Times New Roman" w:hAnsi="Times New Roman" w:cs="Times New Roman"/>
          <w:lang w:val="it-IT"/>
        </w:rPr>
      </w:pPr>
    </w:p>
    <w:p w:rsidR="001B6EFA" w:rsidRPr="00295E71" w:rsidP="001B6EFA" w14:paraId="1A0D1151" w14:textId="77777777">
      <w:pPr>
        <w:tabs>
          <w:tab w:val="left" w:pos="567"/>
        </w:tabs>
        <w:ind w:left="540" w:hanging="540"/>
        <w:rPr>
          <w:b/>
          <w:bCs/>
          <w:sz w:val="22"/>
          <w:szCs w:val="22"/>
        </w:rPr>
      </w:pPr>
    </w:p>
    <w:p w:rsidR="001B6EFA" w:rsidRPr="00295E71" w:rsidP="001B6EFA" w14:paraId="025E14F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3.</w:t>
      </w:r>
      <w:r w:rsidRPr="00295E71">
        <w:rPr>
          <w:b/>
          <w:bCs/>
          <w:sz w:val="22"/>
          <w:szCs w:val="22"/>
        </w:rPr>
        <w:tab/>
        <w:t>DATA DI SCADENZA</w:t>
      </w:r>
    </w:p>
    <w:p w:rsidR="001B6EFA" w:rsidRPr="00295E71" w:rsidP="001B6EFA" w14:paraId="6E57F49A" w14:textId="77777777">
      <w:pPr>
        <w:tabs>
          <w:tab w:val="left" w:pos="567"/>
        </w:tabs>
        <w:ind w:left="540" w:hanging="540"/>
        <w:rPr>
          <w:sz w:val="22"/>
          <w:szCs w:val="22"/>
        </w:rPr>
      </w:pPr>
    </w:p>
    <w:p w:rsidR="001B6EFA" w:rsidRPr="00295E71" w:rsidP="001B6EFA" w14:paraId="3F4FB378" w14:textId="77777777">
      <w:pPr>
        <w:tabs>
          <w:tab w:val="left" w:pos="567"/>
        </w:tabs>
        <w:ind w:left="540" w:hanging="540"/>
        <w:rPr>
          <w:sz w:val="22"/>
          <w:szCs w:val="22"/>
        </w:rPr>
      </w:pPr>
      <w:r w:rsidRPr="00295E71">
        <w:rPr>
          <w:sz w:val="22"/>
          <w:szCs w:val="22"/>
        </w:rPr>
        <w:t>EXP</w:t>
      </w:r>
    </w:p>
    <w:p w:rsidR="001B6EFA" w:rsidRPr="00295E71" w:rsidP="001B6EFA" w14:paraId="6FA4CA99" w14:textId="77777777">
      <w:pPr>
        <w:tabs>
          <w:tab w:val="left" w:pos="567"/>
        </w:tabs>
        <w:ind w:left="540" w:hanging="540"/>
        <w:rPr>
          <w:b/>
          <w:bCs/>
          <w:sz w:val="22"/>
          <w:szCs w:val="22"/>
        </w:rPr>
      </w:pPr>
    </w:p>
    <w:p w:rsidR="001B6EFA" w:rsidRPr="00295E71" w:rsidP="001B6EFA" w14:paraId="1FFD3EC7" w14:textId="77777777">
      <w:pPr>
        <w:tabs>
          <w:tab w:val="left" w:pos="567"/>
        </w:tabs>
        <w:ind w:left="540" w:hanging="540"/>
        <w:rPr>
          <w:sz w:val="22"/>
          <w:szCs w:val="22"/>
        </w:rPr>
      </w:pPr>
    </w:p>
    <w:p w:rsidR="001B6EFA" w:rsidRPr="00295E71" w:rsidP="001B6EFA" w14:paraId="515E210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4.</w:t>
      </w:r>
      <w:r w:rsidRPr="00295E71">
        <w:rPr>
          <w:b/>
          <w:bCs/>
          <w:sz w:val="22"/>
          <w:szCs w:val="22"/>
        </w:rPr>
        <w:tab/>
        <w:t>NUMERO DI LOTTO</w:t>
      </w:r>
    </w:p>
    <w:p w:rsidR="001B6EFA" w:rsidRPr="00295E71" w:rsidP="001B6EFA" w14:paraId="2326B183" w14:textId="77777777">
      <w:pPr>
        <w:tabs>
          <w:tab w:val="left" w:pos="567"/>
        </w:tabs>
        <w:ind w:left="540" w:hanging="540"/>
        <w:rPr>
          <w:sz w:val="22"/>
          <w:szCs w:val="22"/>
        </w:rPr>
      </w:pPr>
    </w:p>
    <w:p w:rsidR="001B6EFA" w:rsidRPr="00295E71" w:rsidP="001B6EFA" w14:paraId="1E74B480" w14:textId="77777777">
      <w:pPr>
        <w:tabs>
          <w:tab w:val="left" w:pos="567"/>
        </w:tabs>
        <w:ind w:left="540" w:hanging="540"/>
        <w:rPr>
          <w:sz w:val="22"/>
          <w:szCs w:val="22"/>
        </w:rPr>
      </w:pPr>
      <w:r w:rsidRPr="00295E71">
        <w:rPr>
          <w:sz w:val="22"/>
          <w:szCs w:val="22"/>
        </w:rPr>
        <w:t xml:space="preserve">Lot </w:t>
      </w:r>
    </w:p>
    <w:p w:rsidR="001B6EFA" w:rsidRPr="00295E71" w:rsidP="001B6EFA" w14:paraId="7E3D5808" w14:textId="77777777">
      <w:pPr>
        <w:tabs>
          <w:tab w:val="left" w:pos="567"/>
        </w:tabs>
        <w:ind w:left="540" w:right="113" w:hanging="540"/>
        <w:rPr>
          <w:sz w:val="22"/>
          <w:szCs w:val="22"/>
        </w:rPr>
      </w:pPr>
    </w:p>
    <w:p w:rsidR="001B6EFA" w:rsidRPr="00295E71" w:rsidP="001B6EFA" w14:paraId="12671A54" w14:textId="77777777">
      <w:pPr>
        <w:tabs>
          <w:tab w:val="left" w:pos="567"/>
        </w:tabs>
        <w:ind w:left="540" w:right="113" w:hanging="540"/>
        <w:rPr>
          <w:sz w:val="22"/>
          <w:szCs w:val="22"/>
        </w:rPr>
      </w:pPr>
    </w:p>
    <w:p w:rsidR="001B6EFA" w:rsidRPr="00295E71" w:rsidP="001B6EFA" w14:paraId="1869BFE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5.</w:t>
      </w:r>
      <w:r w:rsidRPr="00295E71">
        <w:rPr>
          <w:b/>
          <w:bCs/>
          <w:sz w:val="22"/>
          <w:szCs w:val="22"/>
        </w:rPr>
        <w:tab/>
        <w:t>CONTENUTO IN PESO, VOLUME O UNITA’</w:t>
      </w:r>
    </w:p>
    <w:p w:rsidR="001B6EFA" w:rsidRPr="00295E71" w:rsidP="001B6EFA" w14:paraId="2BF34A39" w14:textId="77777777">
      <w:pPr>
        <w:tabs>
          <w:tab w:val="left" w:pos="567"/>
        </w:tabs>
        <w:ind w:left="540" w:hanging="540"/>
        <w:rPr>
          <w:sz w:val="22"/>
          <w:szCs w:val="22"/>
        </w:rPr>
      </w:pPr>
    </w:p>
    <w:p w:rsidR="001B6EFA" w:rsidRPr="00295E71" w:rsidP="001B6EFA" w14:paraId="2F732F9F" w14:textId="77777777">
      <w:pPr>
        <w:tabs>
          <w:tab w:val="left" w:pos="567"/>
        </w:tabs>
        <w:ind w:left="540" w:hanging="540"/>
        <w:rPr>
          <w:sz w:val="22"/>
          <w:szCs w:val="22"/>
        </w:rPr>
      </w:pPr>
      <w:r w:rsidRPr="00295E71">
        <w:rPr>
          <w:sz w:val="22"/>
          <w:szCs w:val="22"/>
        </w:rPr>
        <w:t>20 mg</w:t>
      </w:r>
      <w:r w:rsidRPr="00295E71">
        <w:rPr>
          <w:sz w:val="22"/>
          <w:szCs w:val="22"/>
          <w:highlight w:val="lightGray"/>
        </w:rPr>
        <w:t>/0,2 ml</w:t>
      </w:r>
    </w:p>
    <w:p w:rsidR="001B6EFA" w:rsidRPr="00295E71" w:rsidP="001B6EFA" w14:paraId="70F6A21A" w14:textId="77777777">
      <w:pPr>
        <w:tabs>
          <w:tab w:val="left" w:pos="567"/>
        </w:tabs>
        <w:ind w:left="540" w:hanging="540"/>
        <w:rPr>
          <w:sz w:val="22"/>
          <w:szCs w:val="22"/>
        </w:rPr>
      </w:pPr>
    </w:p>
    <w:p w:rsidR="001B6EFA" w:rsidRPr="00295E71" w:rsidP="001B6EFA" w14:paraId="40B5BA41" w14:textId="77777777">
      <w:pPr>
        <w:tabs>
          <w:tab w:val="left" w:pos="567"/>
        </w:tabs>
        <w:ind w:left="540" w:hanging="540"/>
        <w:rPr>
          <w:b/>
          <w:bCs/>
          <w:sz w:val="22"/>
          <w:szCs w:val="22"/>
          <w:u w:val="single"/>
        </w:rPr>
      </w:pPr>
    </w:p>
    <w:p w:rsidR="001B6EFA" w:rsidRPr="00295E71" w:rsidP="001B6EFA" w14:paraId="16B71E5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6.</w:t>
      </w:r>
      <w:r w:rsidRPr="00295E71">
        <w:rPr>
          <w:b/>
          <w:bCs/>
          <w:sz w:val="22"/>
          <w:szCs w:val="22"/>
        </w:rPr>
        <w:tab/>
        <w:t>ALTRO</w:t>
      </w:r>
    </w:p>
    <w:p w:rsidR="001B6EFA" w:rsidRPr="00295E71" w14:paraId="0A14ABF5" w14:textId="77777777">
      <w:pPr>
        <w:rPr>
          <w:del w:id="13202" w:author="AbbVie14" w:date="2025-05-15T08:52:00Z"/>
          <w:b/>
          <w:bCs/>
          <w:sz w:val="22"/>
          <w:szCs w:val="22"/>
        </w:rPr>
      </w:pPr>
      <w:r w:rsidRPr="00295E71">
        <w:rPr>
          <w:b/>
          <w:bCs/>
          <w:sz w:val="22"/>
          <w:szCs w:val="22"/>
        </w:rPr>
        <w:br w:type="page"/>
      </w:r>
    </w:p>
    <w:p w:rsidR="006224C2" w:rsidRPr="00295E71" w14:paraId="56158522" w14:textId="77777777">
      <w:pPr>
        <w:pBdr>
          <w:top w:val="single" w:sz="4" w:space="1" w:color="auto"/>
          <w:left w:val="single" w:sz="4" w:space="4" w:color="auto"/>
          <w:bottom w:val="single" w:sz="4" w:space="1" w:color="auto"/>
          <w:right w:val="single" w:sz="4" w:space="4" w:color="auto"/>
        </w:pBdr>
        <w:tabs>
          <w:tab w:val="left" w:pos="567"/>
        </w:tabs>
        <w:jc w:val="both"/>
        <w:rPr>
          <w:del w:id="13203" w:author="AbbVie14" w:date="2025-05-09T10:48:00Z"/>
          <w:b/>
          <w:bCs/>
          <w:sz w:val="22"/>
          <w:szCs w:val="22"/>
        </w:rPr>
      </w:pPr>
      <w:del w:id="13204" w:author="AbbVie14" w:date="2025-05-09T10:48:00Z">
        <w:r w:rsidRPr="00295E71">
          <w:rPr>
            <w:b/>
            <w:bCs/>
            <w:sz w:val="22"/>
            <w:szCs w:val="22"/>
          </w:rPr>
          <w:delText>INFORMAZIONI DA APPORRE SUL CONFEZIONAMENTO SECONDARIO</w:delText>
        </w:r>
      </w:del>
    </w:p>
    <w:p w:rsidR="006224C2" w:rsidRPr="00295E71" w14:paraId="12A14CDC" w14:textId="77777777">
      <w:pPr>
        <w:pBdr>
          <w:top w:val="single" w:sz="4" w:space="1" w:color="auto"/>
          <w:left w:val="single" w:sz="4" w:space="4" w:color="auto"/>
          <w:bottom w:val="single" w:sz="4" w:space="1" w:color="auto"/>
          <w:right w:val="single" w:sz="4" w:space="4" w:color="auto"/>
        </w:pBdr>
        <w:tabs>
          <w:tab w:val="left" w:pos="567"/>
        </w:tabs>
        <w:jc w:val="both"/>
        <w:rPr>
          <w:del w:id="13205" w:author="AbbVie14" w:date="2025-05-09T10:48:00Z"/>
          <w:b/>
          <w:bCs/>
          <w:sz w:val="22"/>
          <w:szCs w:val="22"/>
        </w:rPr>
      </w:pPr>
    </w:p>
    <w:p w:rsidR="006224C2" w:rsidRPr="00295E71" w14:paraId="510E4FCA" w14:textId="77777777">
      <w:pPr>
        <w:pBdr>
          <w:top w:val="single" w:sz="4" w:space="1" w:color="auto"/>
          <w:left w:val="single" w:sz="4" w:space="4" w:color="auto"/>
          <w:bottom w:val="single" w:sz="4" w:space="1" w:color="auto"/>
          <w:right w:val="single" w:sz="4" w:space="4" w:color="auto"/>
        </w:pBdr>
        <w:tabs>
          <w:tab w:val="left" w:pos="567"/>
        </w:tabs>
        <w:jc w:val="both"/>
        <w:rPr>
          <w:del w:id="13206" w:author="AbbVie14" w:date="2025-05-09T10:48:00Z"/>
          <w:b/>
          <w:bCs/>
          <w:caps/>
          <w:sz w:val="22"/>
          <w:szCs w:val="22"/>
        </w:rPr>
      </w:pPr>
      <w:del w:id="13207" w:author="AbbVie14" w:date="2025-05-09T10:48:00Z">
        <w:r w:rsidRPr="00295E71">
          <w:rPr>
            <w:b/>
            <w:bCs/>
            <w:caps/>
            <w:sz w:val="22"/>
            <w:szCs w:val="22"/>
          </w:rPr>
          <w:delText>ASTUCCIO esternO</w:delText>
        </w:r>
      </w:del>
    </w:p>
    <w:p w:rsidR="006224C2" w:rsidRPr="00295E71" w14:paraId="2D17D73E" w14:textId="77777777">
      <w:pPr>
        <w:tabs>
          <w:tab w:val="left" w:pos="567"/>
        </w:tabs>
        <w:ind w:left="540" w:hanging="540"/>
        <w:rPr>
          <w:del w:id="13208" w:author="AbbVie14" w:date="2025-05-09T10:48:00Z"/>
          <w:sz w:val="22"/>
          <w:szCs w:val="22"/>
        </w:rPr>
      </w:pPr>
    </w:p>
    <w:p w:rsidR="006224C2" w:rsidRPr="00295E71" w14:paraId="06A93DB8" w14:textId="77777777">
      <w:pPr>
        <w:tabs>
          <w:tab w:val="left" w:pos="567"/>
        </w:tabs>
        <w:ind w:left="540" w:hanging="540"/>
        <w:rPr>
          <w:del w:id="13209" w:author="AbbVie14" w:date="2025-05-09T10:48:00Z"/>
          <w:sz w:val="22"/>
          <w:szCs w:val="22"/>
        </w:rPr>
      </w:pPr>
    </w:p>
    <w:p w:rsidR="006224C2" w:rsidRPr="00295E71" w14:paraId="25B1674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3210" w:author="AbbVie14" w:date="2025-05-09T10:48:00Z"/>
          <w:sz w:val="22"/>
          <w:szCs w:val="22"/>
        </w:rPr>
      </w:pPr>
      <w:del w:id="13211" w:author="AbbVie14" w:date="2025-05-09T10:48:00Z">
        <w:r w:rsidRPr="00295E71">
          <w:rPr>
            <w:b/>
            <w:bCs/>
            <w:sz w:val="22"/>
            <w:szCs w:val="22"/>
          </w:rPr>
          <w:delText>1.</w:delText>
        </w:r>
      </w:del>
      <w:del w:id="13212" w:author="AbbVie14" w:date="2025-05-09T10:48:00Z">
        <w:r w:rsidRPr="00295E71">
          <w:rPr>
            <w:b/>
            <w:bCs/>
            <w:sz w:val="22"/>
            <w:szCs w:val="22"/>
          </w:rPr>
          <w:tab/>
          <w:delText>DENOMINAZIONE DEL MEDICINALE</w:delText>
        </w:r>
      </w:del>
    </w:p>
    <w:p w:rsidR="006224C2" w:rsidRPr="00295E71" w14:paraId="21D4DC4D" w14:textId="77777777">
      <w:pPr>
        <w:tabs>
          <w:tab w:val="left" w:pos="567"/>
        </w:tabs>
        <w:ind w:left="540" w:hanging="540"/>
        <w:rPr>
          <w:del w:id="13213" w:author="AbbVie14" w:date="2025-05-09T10:48:00Z"/>
          <w:sz w:val="22"/>
          <w:szCs w:val="22"/>
        </w:rPr>
      </w:pPr>
    </w:p>
    <w:p w:rsidR="006224C2" w:rsidRPr="00295E71" w14:paraId="7E143BF4" w14:textId="77777777">
      <w:pPr>
        <w:tabs>
          <w:tab w:val="left" w:pos="567"/>
        </w:tabs>
        <w:ind w:left="540" w:hanging="540"/>
        <w:rPr>
          <w:del w:id="13214" w:author="AbbVie14" w:date="2025-05-09T10:48:00Z"/>
          <w:sz w:val="22"/>
          <w:szCs w:val="22"/>
        </w:rPr>
      </w:pPr>
      <w:del w:id="13215" w:author="AbbVie14" w:date="2025-05-09T10:48:00Z">
        <w:r w:rsidRPr="00295E71">
          <w:rPr>
            <w:sz w:val="22"/>
            <w:szCs w:val="22"/>
          </w:rPr>
          <w:delText>Humira 40 mg/0,8 ml soluzione iniettabile</w:delText>
        </w:r>
      </w:del>
    </w:p>
    <w:p w:rsidR="006224C2" w:rsidRPr="00295E71" w14:paraId="694CF281" w14:textId="77777777">
      <w:pPr>
        <w:tabs>
          <w:tab w:val="left" w:pos="567"/>
        </w:tabs>
        <w:ind w:left="540" w:hanging="540"/>
        <w:rPr>
          <w:del w:id="13216" w:author="AbbVie14" w:date="2025-05-09T10:48:00Z"/>
          <w:sz w:val="22"/>
          <w:szCs w:val="22"/>
        </w:rPr>
      </w:pPr>
      <w:del w:id="13217" w:author="AbbVie14" w:date="2025-05-09T10:48:00Z">
        <w:r w:rsidRPr="00295E71">
          <w:rPr>
            <w:sz w:val="22"/>
            <w:szCs w:val="22"/>
          </w:rPr>
          <w:delText>adalimumab</w:delText>
        </w:r>
      </w:del>
    </w:p>
    <w:p w:rsidR="006224C2" w:rsidRPr="00295E71" w14:paraId="48002A3C" w14:textId="77777777">
      <w:pPr>
        <w:tabs>
          <w:tab w:val="left" w:pos="567"/>
        </w:tabs>
        <w:ind w:left="540" w:hanging="540"/>
        <w:rPr>
          <w:del w:id="13218" w:author="AbbVie14" w:date="2025-05-09T10:48:00Z"/>
          <w:sz w:val="22"/>
          <w:szCs w:val="22"/>
        </w:rPr>
      </w:pPr>
    </w:p>
    <w:p w:rsidR="006224C2" w:rsidRPr="00295E71" w14:paraId="496124CD" w14:textId="77777777">
      <w:pPr>
        <w:tabs>
          <w:tab w:val="left" w:pos="567"/>
        </w:tabs>
        <w:ind w:left="540" w:hanging="540"/>
        <w:rPr>
          <w:del w:id="13219" w:author="AbbVie14" w:date="2025-05-09T10:48:00Z"/>
          <w:sz w:val="22"/>
          <w:szCs w:val="22"/>
        </w:rPr>
      </w:pPr>
    </w:p>
    <w:p w:rsidR="006224C2" w:rsidRPr="00295E71" w14:paraId="2ECDA09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220" w:author="AbbVie14" w:date="2025-05-09T10:48:00Z"/>
          <w:b/>
          <w:bCs/>
          <w:sz w:val="22"/>
          <w:szCs w:val="22"/>
        </w:rPr>
      </w:pPr>
      <w:del w:id="13221" w:author="AbbVie14" w:date="2025-05-09T10:48:00Z">
        <w:r w:rsidRPr="00295E71">
          <w:rPr>
            <w:b/>
            <w:bCs/>
            <w:sz w:val="22"/>
            <w:szCs w:val="22"/>
          </w:rPr>
          <w:delText>2.</w:delText>
        </w:r>
      </w:del>
      <w:del w:id="13222" w:author="AbbVie14" w:date="2025-05-09T10:48:00Z">
        <w:r w:rsidRPr="00295E71">
          <w:rPr>
            <w:b/>
            <w:bCs/>
            <w:sz w:val="22"/>
            <w:szCs w:val="22"/>
          </w:rPr>
          <w:tab/>
          <w:delText>COMPOSIZIONE QUALITATIVA E QUANTITATIVA IN TERMINI DI PRINCIPIO ATTIVO</w:delText>
        </w:r>
      </w:del>
    </w:p>
    <w:p w:rsidR="006224C2" w:rsidRPr="00295E71" w14:paraId="2197A691" w14:textId="77777777">
      <w:pPr>
        <w:tabs>
          <w:tab w:val="left" w:pos="567"/>
        </w:tabs>
        <w:ind w:left="540" w:hanging="540"/>
        <w:rPr>
          <w:del w:id="13223" w:author="AbbVie14" w:date="2025-05-09T10:48:00Z"/>
          <w:sz w:val="22"/>
          <w:szCs w:val="22"/>
        </w:rPr>
      </w:pPr>
    </w:p>
    <w:p w:rsidR="006224C2" w:rsidRPr="00295E71" w14:paraId="51DDC1FF" w14:textId="77777777">
      <w:pPr>
        <w:tabs>
          <w:tab w:val="left" w:pos="567"/>
        </w:tabs>
        <w:ind w:left="540" w:hanging="540"/>
        <w:rPr>
          <w:del w:id="13224" w:author="AbbVie14" w:date="2025-05-09T10:48:00Z"/>
          <w:sz w:val="22"/>
          <w:szCs w:val="22"/>
        </w:rPr>
      </w:pPr>
      <w:del w:id="13225" w:author="AbbVie14" w:date="2025-05-09T10:48:00Z">
        <w:r w:rsidRPr="00295E71">
          <w:rPr>
            <w:sz w:val="22"/>
            <w:szCs w:val="22"/>
          </w:rPr>
          <w:delText>Un flaconcino da 0,8 ml contiene 40 mg di adalimumab</w:delText>
        </w:r>
      </w:del>
    </w:p>
    <w:p w:rsidR="006224C2" w:rsidRPr="00295E71" w14:paraId="43682BC1" w14:textId="77777777">
      <w:pPr>
        <w:tabs>
          <w:tab w:val="left" w:pos="567"/>
        </w:tabs>
        <w:ind w:left="540" w:hanging="540"/>
        <w:rPr>
          <w:del w:id="13226" w:author="AbbVie14" w:date="2025-05-09T10:48:00Z"/>
          <w:sz w:val="22"/>
          <w:szCs w:val="22"/>
        </w:rPr>
      </w:pPr>
    </w:p>
    <w:p w:rsidR="006224C2" w:rsidRPr="00295E71" w14:paraId="0E6355F8" w14:textId="77777777">
      <w:pPr>
        <w:tabs>
          <w:tab w:val="left" w:pos="567"/>
        </w:tabs>
        <w:ind w:left="540" w:hanging="540"/>
        <w:rPr>
          <w:del w:id="13227" w:author="AbbVie14" w:date="2025-05-09T10:48:00Z"/>
          <w:sz w:val="22"/>
          <w:szCs w:val="22"/>
        </w:rPr>
      </w:pPr>
    </w:p>
    <w:p w:rsidR="006224C2" w:rsidRPr="00295E71" w14:paraId="13E5D02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228" w:author="AbbVie14" w:date="2025-05-09T10:48:00Z"/>
          <w:sz w:val="22"/>
          <w:szCs w:val="22"/>
        </w:rPr>
      </w:pPr>
      <w:del w:id="13229" w:author="AbbVie14" w:date="2025-05-09T10:48:00Z">
        <w:r w:rsidRPr="00295E71">
          <w:rPr>
            <w:b/>
            <w:bCs/>
            <w:sz w:val="22"/>
            <w:szCs w:val="22"/>
          </w:rPr>
          <w:delText xml:space="preserve">3. </w:delText>
        </w:r>
      </w:del>
      <w:del w:id="13230" w:author="AbbVie14" w:date="2025-05-09T10:48:00Z">
        <w:r w:rsidRPr="00295E71">
          <w:rPr>
            <w:b/>
            <w:bCs/>
            <w:sz w:val="22"/>
            <w:szCs w:val="22"/>
          </w:rPr>
          <w:tab/>
          <w:delText>ELENCO DEGLI ECCIPIENTI</w:delText>
        </w:r>
      </w:del>
    </w:p>
    <w:p w:rsidR="006224C2" w:rsidRPr="00295E71" w14:paraId="72703A51" w14:textId="77777777">
      <w:pPr>
        <w:tabs>
          <w:tab w:val="left" w:pos="567"/>
        </w:tabs>
        <w:rPr>
          <w:del w:id="13231" w:author="AbbVie14" w:date="2025-05-09T10:48:00Z"/>
          <w:sz w:val="22"/>
          <w:szCs w:val="22"/>
        </w:rPr>
      </w:pPr>
    </w:p>
    <w:p w:rsidR="006224C2" w:rsidRPr="00295E71" w14:paraId="567A2BD0" w14:textId="77777777">
      <w:pPr>
        <w:pStyle w:val="EMEAFigureTitle"/>
        <w:suppressAutoHyphens w:val="0"/>
        <w:autoSpaceDE w:val="0"/>
        <w:autoSpaceDN w:val="0"/>
        <w:adjustRightInd w:val="0"/>
        <w:rPr>
          <w:del w:id="13232" w:author="AbbVie14" w:date="2025-05-09T10:48:00Z"/>
          <w:lang w:val="it-IT" w:eastAsia="it-IT"/>
        </w:rPr>
      </w:pPr>
      <w:del w:id="13233" w:author="AbbVie14" w:date="2025-05-09T10:48:00Z">
        <w:r w:rsidRPr="00295E71">
          <w:rPr>
            <w:lang w:val="it-IT" w:eastAsia="it-IT"/>
          </w:rPr>
          <w:delText>Eccipienti: mannitolo, acido citrico monoidrato, sodio citrato, sodio fosfato monobasico diidrato, sodio fosfato dibasico diidrato, sodio cloruro, polisorbato 80, sodio idrossido e acqua per preparazioni iniettabili. Per ulteriori informazioni vedere il foglio illustrativo.</w:delText>
        </w:r>
      </w:del>
    </w:p>
    <w:p w:rsidR="006224C2" w:rsidRPr="00295E71" w14:paraId="27EFA41B" w14:textId="77777777">
      <w:pPr>
        <w:tabs>
          <w:tab w:val="left" w:pos="567"/>
        </w:tabs>
        <w:ind w:left="540" w:hanging="540"/>
        <w:rPr>
          <w:del w:id="13234" w:author="AbbVie14" w:date="2025-05-09T10:48:00Z"/>
          <w:sz w:val="22"/>
          <w:szCs w:val="22"/>
        </w:rPr>
      </w:pPr>
    </w:p>
    <w:p w:rsidR="006224C2" w:rsidRPr="00295E71" w14:paraId="2F77559C" w14:textId="77777777">
      <w:pPr>
        <w:tabs>
          <w:tab w:val="left" w:pos="567"/>
        </w:tabs>
        <w:ind w:left="540" w:hanging="540"/>
        <w:rPr>
          <w:del w:id="13235" w:author="AbbVie14" w:date="2025-05-09T10:48:00Z"/>
          <w:sz w:val="22"/>
          <w:szCs w:val="22"/>
        </w:rPr>
      </w:pPr>
    </w:p>
    <w:p w:rsidR="006224C2" w:rsidRPr="00295E71" w14:paraId="101C052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236" w:author="AbbVie14" w:date="2025-05-09T10:48:00Z"/>
          <w:sz w:val="22"/>
          <w:szCs w:val="22"/>
        </w:rPr>
      </w:pPr>
      <w:del w:id="13237" w:author="AbbVie14" w:date="2025-05-09T10:48:00Z">
        <w:r w:rsidRPr="00295E71">
          <w:rPr>
            <w:b/>
            <w:bCs/>
            <w:sz w:val="22"/>
            <w:szCs w:val="22"/>
          </w:rPr>
          <w:delText>4.</w:delText>
        </w:r>
      </w:del>
      <w:del w:id="13238" w:author="AbbVie14" w:date="2025-05-09T10:48:00Z">
        <w:r w:rsidRPr="00295E71">
          <w:rPr>
            <w:b/>
            <w:bCs/>
            <w:sz w:val="22"/>
            <w:szCs w:val="22"/>
          </w:rPr>
          <w:tab/>
          <w:delText>FORMA FARMACEUTICA E CONTENUTO</w:delText>
        </w:r>
      </w:del>
    </w:p>
    <w:p w:rsidR="006224C2" w:rsidRPr="00295E71" w14:paraId="1DFFA8CE" w14:textId="77777777">
      <w:pPr>
        <w:tabs>
          <w:tab w:val="left" w:pos="567"/>
        </w:tabs>
        <w:ind w:left="540" w:hanging="540"/>
        <w:rPr>
          <w:del w:id="13239" w:author="AbbVie14" w:date="2025-05-09T10:48:00Z"/>
          <w:sz w:val="22"/>
          <w:szCs w:val="22"/>
        </w:rPr>
      </w:pPr>
    </w:p>
    <w:p w:rsidR="004650FF" w:rsidRPr="00295E71" w:rsidP="004650FF" w14:paraId="73FB9A4F" w14:textId="77777777">
      <w:pPr>
        <w:autoSpaceDE w:val="0"/>
        <w:autoSpaceDN w:val="0"/>
        <w:adjustRightInd w:val="0"/>
        <w:rPr>
          <w:del w:id="13240" w:author="AbbVie14" w:date="2025-05-09T10:48:00Z"/>
          <w:sz w:val="22"/>
          <w:szCs w:val="22"/>
        </w:rPr>
      </w:pPr>
      <w:del w:id="13241" w:author="AbbVie14" w:date="2025-05-09T10:48:00Z">
        <w:r w:rsidRPr="00295E71">
          <w:rPr>
            <w:sz w:val="22"/>
            <w:szCs w:val="22"/>
            <w:highlight w:val="lightGray"/>
          </w:rPr>
          <w:delText>Soluzione iniettabile</w:delText>
        </w:r>
      </w:del>
    </w:p>
    <w:p w:rsidR="006224C2" w:rsidRPr="00295E71" w14:paraId="165BC0BD" w14:textId="77777777">
      <w:pPr>
        <w:tabs>
          <w:tab w:val="left" w:pos="567"/>
        </w:tabs>
        <w:ind w:left="540" w:hanging="540"/>
        <w:rPr>
          <w:del w:id="13242" w:author="AbbVie14" w:date="2025-05-09T10:48:00Z"/>
          <w:sz w:val="22"/>
          <w:szCs w:val="22"/>
        </w:rPr>
      </w:pPr>
      <w:del w:id="13243" w:author="AbbVie14" w:date="2025-05-09T10:48:00Z">
        <w:r w:rsidRPr="00295E71">
          <w:rPr>
            <w:sz w:val="22"/>
            <w:szCs w:val="22"/>
          </w:rPr>
          <w:delText>Contiene 2 astucci ciascuno per una singola somministrazione</w:delText>
        </w:r>
      </w:del>
    </w:p>
    <w:p w:rsidR="006224C2" w:rsidRPr="00295E71" w14:paraId="58FDC5D6" w14:textId="77777777">
      <w:pPr>
        <w:tabs>
          <w:tab w:val="left" w:pos="567"/>
        </w:tabs>
        <w:ind w:left="540" w:hanging="540"/>
        <w:rPr>
          <w:del w:id="13244" w:author="AbbVie14" w:date="2025-05-09T10:48:00Z"/>
          <w:b/>
          <w:sz w:val="22"/>
          <w:szCs w:val="22"/>
        </w:rPr>
      </w:pPr>
      <w:del w:id="13245" w:author="AbbVie14" w:date="2025-05-09T10:48:00Z">
        <w:r w:rsidRPr="00295E71">
          <w:rPr>
            <w:b/>
            <w:sz w:val="22"/>
            <w:szCs w:val="22"/>
          </w:rPr>
          <w:delText>Ciascun astuccio contiene:</w:delText>
        </w:r>
      </w:del>
    </w:p>
    <w:p w:rsidR="006224C2" w:rsidRPr="00295E71" w14:paraId="1A9B7EE8" w14:textId="77777777">
      <w:pPr>
        <w:tabs>
          <w:tab w:val="left" w:pos="567"/>
        </w:tabs>
        <w:ind w:left="540" w:hanging="540"/>
        <w:rPr>
          <w:del w:id="13246" w:author="AbbVie14" w:date="2025-05-09T10:48:00Z"/>
          <w:i/>
          <w:iCs/>
          <w:sz w:val="22"/>
          <w:szCs w:val="22"/>
        </w:rPr>
      </w:pPr>
      <w:del w:id="13247" w:author="AbbVie14" w:date="2025-05-09T10:48:00Z">
        <w:r w:rsidRPr="00295E71">
          <w:rPr>
            <w:sz w:val="22"/>
            <w:szCs w:val="22"/>
          </w:rPr>
          <w:delText>1 flaconcino</w:delText>
        </w:r>
      </w:del>
    </w:p>
    <w:p w:rsidR="006224C2" w:rsidRPr="00295E71" w14:paraId="5A604DCA" w14:textId="77777777">
      <w:pPr>
        <w:tabs>
          <w:tab w:val="left" w:pos="567"/>
        </w:tabs>
        <w:ind w:left="540" w:hanging="540"/>
        <w:rPr>
          <w:del w:id="13248" w:author="AbbVie14" w:date="2025-05-09T10:48:00Z"/>
          <w:sz w:val="22"/>
          <w:szCs w:val="22"/>
        </w:rPr>
      </w:pPr>
      <w:del w:id="13249" w:author="AbbVie14" w:date="2025-05-09T10:48:00Z">
        <w:r w:rsidRPr="00295E71">
          <w:rPr>
            <w:sz w:val="22"/>
            <w:szCs w:val="22"/>
          </w:rPr>
          <w:delText xml:space="preserve">1 siringa sterile per iniezione </w:delText>
        </w:r>
      </w:del>
    </w:p>
    <w:p w:rsidR="006224C2" w:rsidRPr="00295E71" w14:paraId="3B953179" w14:textId="77777777">
      <w:pPr>
        <w:tabs>
          <w:tab w:val="left" w:pos="567"/>
        </w:tabs>
        <w:ind w:left="540" w:hanging="540"/>
        <w:rPr>
          <w:del w:id="13250" w:author="AbbVie14" w:date="2025-05-09T10:48:00Z"/>
          <w:sz w:val="22"/>
          <w:szCs w:val="22"/>
        </w:rPr>
      </w:pPr>
      <w:del w:id="13251" w:author="AbbVie14" w:date="2025-05-09T10:48:00Z">
        <w:r w:rsidRPr="00295E71">
          <w:rPr>
            <w:sz w:val="22"/>
            <w:szCs w:val="22"/>
          </w:rPr>
          <w:delText>1 ago sterile</w:delText>
        </w:r>
      </w:del>
    </w:p>
    <w:p w:rsidR="006224C2" w:rsidRPr="00295E71" w14:paraId="6597C8CB" w14:textId="77777777">
      <w:pPr>
        <w:tabs>
          <w:tab w:val="left" w:pos="567"/>
        </w:tabs>
        <w:ind w:left="540" w:hanging="540"/>
        <w:rPr>
          <w:del w:id="13252" w:author="AbbVie14" w:date="2025-05-09T10:48:00Z"/>
          <w:sz w:val="22"/>
          <w:szCs w:val="22"/>
        </w:rPr>
      </w:pPr>
      <w:del w:id="13253" w:author="AbbVie14" w:date="2025-05-09T10:48:00Z">
        <w:r w:rsidRPr="00295E71">
          <w:rPr>
            <w:sz w:val="22"/>
            <w:szCs w:val="22"/>
          </w:rPr>
          <w:delText>1 adattatore sterile da flaconcino</w:delText>
        </w:r>
      </w:del>
    </w:p>
    <w:p w:rsidR="006224C2" w:rsidRPr="00295E71" w14:paraId="0AFF0BC9" w14:textId="77777777">
      <w:pPr>
        <w:tabs>
          <w:tab w:val="left" w:pos="567"/>
        </w:tabs>
        <w:ind w:left="540" w:hanging="540"/>
        <w:rPr>
          <w:del w:id="13254" w:author="AbbVie14" w:date="2025-05-09T10:48:00Z"/>
          <w:sz w:val="22"/>
          <w:szCs w:val="22"/>
        </w:rPr>
      </w:pPr>
      <w:del w:id="13255" w:author="AbbVie14" w:date="2025-05-09T10:48:00Z">
        <w:r w:rsidRPr="00295E71">
          <w:rPr>
            <w:sz w:val="22"/>
            <w:szCs w:val="22"/>
          </w:rPr>
          <w:delText>2 tamponi imbevuti di alcool</w:delText>
        </w:r>
      </w:del>
    </w:p>
    <w:p w:rsidR="006224C2" w:rsidRPr="00295E71" w14:paraId="7573D10B" w14:textId="77777777">
      <w:pPr>
        <w:tabs>
          <w:tab w:val="left" w:pos="567"/>
        </w:tabs>
        <w:ind w:left="540" w:hanging="540"/>
        <w:rPr>
          <w:del w:id="13256" w:author="AbbVie14" w:date="2025-05-09T10:48:00Z"/>
          <w:sz w:val="22"/>
          <w:szCs w:val="22"/>
        </w:rPr>
      </w:pPr>
    </w:p>
    <w:p w:rsidR="006224C2" w:rsidRPr="00295E71" w14:paraId="77278795" w14:textId="77777777">
      <w:pPr>
        <w:tabs>
          <w:tab w:val="left" w:pos="567"/>
        </w:tabs>
        <w:ind w:left="540" w:hanging="540"/>
        <w:rPr>
          <w:del w:id="13257" w:author="AbbVie14" w:date="2025-05-09T10:48:00Z"/>
          <w:sz w:val="22"/>
          <w:szCs w:val="22"/>
        </w:rPr>
      </w:pPr>
    </w:p>
    <w:p w:rsidR="006224C2" w:rsidRPr="00295E71" w14:paraId="4289513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258" w:author="AbbVie14" w:date="2025-05-09T10:48:00Z"/>
          <w:sz w:val="22"/>
          <w:szCs w:val="22"/>
        </w:rPr>
      </w:pPr>
      <w:del w:id="13259" w:author="AbbVie14" w:date="2025-05-09T10:48:00Z">
        <w:r w:rsidRPr="00295E71">
          <w:rPr>
            <w:b/>
            <w:bCs/>
            <w:sz w:val="22"/>
            <w:szCs w:val="22"/>
          </w:rPr>
          <w:delText>5.</w:delText>
        </w:r>
      </w:del>
      <w:del w:id="13260" w:author="AbbVie14" w:date="2025-05-09T10:48:00Z">
        <w:r w:rsidRPr="00295E71">
          <w:rPr>
            <w:b/>
            <w:bCs/>
            <w:sz w:val="22"/>
            <w:szCs w:val="22"/>
          </w:rPr>
          <w:tab/>
          <w:delText>MODO E VIA DI SOMMINISTRAZIONE</w:delText>
        </w:r>
      </w:del>
    </w:p>
    <w:p w:rsidR="006224C2" w:rsidRPr="00295E71" w14:paraId="28FEA9F1" w14:textId="77777777">
      <w:pPr>
        <w:tabs>
          <w:tab w:val="left" w:pos="567"/>
        </w:tabs>
        <w:ind w:left="540" w:hanging="540"/>
        <w:rPr>
          <w:del w:id="13261" w:author="AbbVie14" w:date="2025-05-09T10:48:00Z"/>
          <w:sz w:val="22"/>
          <w:szCs w:val="22"/>
        </w:rPr>
      </w:pPr>
    </w:p>
    <w:p w:rsidR="006224C2" w:rsidRPr="00295E71" w14:paraId="4CCA440A" w14:textId="77777777">
      <w:pPr>
        <w:tabs>
          <w:tab w:val="left" w:pos="567"/>
        </w:tabs>
        <w:ind w:left="540" w:hanging="540"/>
        <w:rPr>
          <w:del w:id="13262" w:author="AbbVie14" w:date="2025-05-09T10:48:00Z"/>
          <w:sz w:val="22"/>
          <w:szCs w:val="22"/>
        </w:rPr>
      </w:pPr>
      <w:del w:id="13263" w:author="AbbVie14" w:date="2025-05-09T10:48:00Z">
        <w:r w:rsidRPr="00295E71">
          <w:rPr>
            <w:sz w:val="22"/>
            <w:szCs w:val="22"/>
          </w:rPr>
          <w:delText>Uso sottocutaneo.</w:delText>
        </w:r>
      </w:del>
    </w:p>
    <w:p w:rsidR="006224C2" w:rsidRPr="00295E71" w14:paraId="06A10409" w14:textId="77777777">
      <w:pPr>
        <w:tabs>
          <w:tab w:val="left" w:pos="567"/>
        </w:tabs>
        <w:ind w:left="540" w:hanging="540"/>
        <w:rPr>
          <w:del w:id="13264" w:author="AbbVie14" w:date="2025-05-09T10:48:00Z"/>
          <w:sz w:val="22"/>
          <w:szCs w:val="22"/>
        </w:rPr>
      </w:pPr>
    </w:p>
    <w:p w:rsidR="006224C2" w:rsidRPr="00295E71" w14:paraId="6A247CEC" w14:textId="77777777">
      <w:pPr>
        <w:tabs>
          <w:tab w:val="left" w:pos="567"/>
        </w:tabs>
        <w:ind w:left="540" w:hanging="540"/>
        <w:rPr>
          <w:del w:id="13265" w:author="AbbVie14" w:date="2025-05-09T10:48:00Z"/>
          <w:sz w:val="22"/>
          <w:szCs w:val="22"/>
        </w:rPr>
      </w:pPr>
      <w:del w:id="13266" w:author="AbbVie14" w:date="2025-05-09T10:48:00Z">
        <w:r w:rsidRPr="00295E71">
          <w:rPr>
            <w:sz w:val="22"/>
            <w:szCs w:val="22"/>
          </w:rPr>
          <w:delText>Leggere il foglio illustrativo prima dell'uso.</w:delText>
        </w:r>
      </w:del>
    </w:p>
    <w:p w:rsidR="004650FF" w:rsidRPr="00295E71" w14:paraId="14D957A8" w14:textId="77777777">
      <w:pPr>
        <w:tabs>
          <w:tab w:val="left" w:pos="567"/>
        </w:tabs>
        <w:ind w:left="540" w:hanging="540"/>
        <w:rPr>
          <w:del w:id="13267" w:author="AbbVie14" w:date="2025-05-09T10:48:00Z"/>
          <w:sz w:val="22"/>
          <w:szCs w:val="22"/>
        </w:rPr>
      </w:pPr>
    </w:p>
    <w:p w:rsidR="004650FF" w:rsidRPr="00295E71" w14:paraId="71048D6A" w14:textId="77777777">
      <w:pPr>
        <w:tabs>
          <w:tab w:val="left" w:pos="567"/>
        </w:tabs>
        <w:ind w:left="540" w:hanging="540"/>
        <w:rPr>
          <w:del w:id="13268" w:author="AbbVie14" w:date="2025-05-09T10:48:00Z"/>
          <w:sz w:val="22"/>
          <w:szCs w:val="22"/>
        </w:rPr>
      </w:pPr>
      <w:del w:id="13269" w:author="AbbVie14" w:date="2025-05-09T10:48:00Z">
        <w:r w:rsidRPr="00295E71">
          <w:rPr>
            <w:sz w:val="22"/>
            <w:szCs w:val="22"/>
          </w:rPr>
          <w:delText>Per uso pediatrico</w:delText>
        </w:r>
      </w:del>
    </w:p>
    <w:p w:rsidR="006224C2" w:rsidRPr="00295E71" w14:paraId="56B1FCFD" w14:textId="77777777">
      <w:pPr>
        <w:tabs>
          <w:tab w:val="left" w:pos="567"/>
        </w:tabs>
        <w:ind w:left="540" w:hanging="540"/>
        <w:rPr>
          <w:del w:id="13270" w:author="AbbVie14" w:date="2025-05-09T10:48:00Z"/>
          <w:sz w:val="22"/>
          <w:szCs w:val="22"/>
        </w:rPr>
      </w:pPr>
    </w:p>
    <w:p w:rsidR="006224C2" w:rsidRPr="00295E71" w14:paraId="05435BE4" w14:textId="77777777">
      <w:pPr>
        <w:tabs>
          <w:tab w:val="left" w:pos="567"/>
        </w:tabs>
        <w:ind w:left="540" w:hanging="540"/>
        <w:rPr>
          <w:del w:id="13271" w:author="AbbVie14" w:date="2025-05-09T10:48:00Z"/>
          <w:sz w:val="22"/>
          <w:szCs w:val="22"/>
        </w:rPr>
      </w:pPr>
    </w:p>
    <w:p w:rsidR="006224C2" w:rsidRPr="00295E71" w14:paraId="0428F57A"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272" w:author="AbbVie14" w:date="2025-05-09T10:48:00Z"/>
          <w:sz w:val="22"/>
          <w:szCs w:val="22"/>
        </w:rPr>
      </w:pPr>
      <w:del w:id="13273" w:author="AbbVie14" w:date="2025-05-09T10:48:00Z">
        <w:r w:rsidRPr="00295E71">
          <w:rPr>
            <w:b/>
            <w:bCs/>
            <w:sz w:val="22"/>
            <w:szCs w:val="22"/>
          </w:rPr>
          <w:delText>6.</w:delText>
        </w:r>
      </w:del>
      <w:del w:id="13274" w:author="AbbVie14" w:date="2025-05-09T10:48:00Z">
        <w:r w:rsidRPr="00295E71">
          <w:rPr>
            <w:b/>
            <w:bCs/>
            <w:sz w:val="22"/>
            <w:szCs w:val="22"/>
          </w:rPr>
          <w:tab/>
          <w:delText>AVVERTENZA PARTICOLARE CHE PRESCRIVA DI TENERE IL MEDICINALE FUORI DALLA VISTA E DALLA PORTATA DEI BAMBINI</w:delText>
        </w:r>
      </w:del>
    </w:p>
    <w:p w:rsidR="006224C2" w:rsidRPr="00295E71" w14:paraId="325DECEA" w14:textId="77777777">
      <w:pPr>
        <w:tabs>
          <w:tab w:val="left" w:pos="567"/>
        </w:tabs>
        <w:ind w:left="540" w:hanging="540"/>
        <w:rPr>
          <w:del w:id="13275" w:author="AbbVie14" w:date="2025-05-09T10:48:00Z"/>
          <w:sz w:val="22"/>
          <w:szCs w:val="22"/>
        </w:rPr>
      </w:pPr>
    </w:p>
    <w:p w:rsidR="006224C2" w:rsidRPr="00295E71" w14:paraId="58568B32" w14:textId="77777777">
      <w:pPr>
        <w:tabs>
          <w:tab w:val="left" w:pos="567"/>
        </w:tabs>
        <w:ind w:left="540" w:hanging="540"/>
        <w:rPr>
          <w:del w:id="13276" w:author="AbbVie14" w:date="2025-05-09T10:48:00Z"/>
          <w:sz w:val="22"/>
          <w:szCs w:val="22"/>
        </w:rPr>
      </w:pPr>
      <w:del w:id="13277" w:author="AbbVie14" w:date="2025-05-09T10:48:00Z">
        <w:r w:rsidRPr="00295E71">
          <w:rPr>
            <w:sz w:val="22"/>
            <w:szCs w:val="22"/>
          </w:rPr>
          <w:delText>Tenere fuori dalla vista e dalla portata dei bambini.</w:delText>
        </w:r>
      </w:del>
    </w:p>
    <w:p w:rsidR="006224C2" w:rsidRPr="00295E71" w14:paraId="0B26F43B" w14:textId="77777777">
      <w:pPr>
        <w:tabs>
          <w:tab w:val="left" w:pos="567"/>
        </w:tabs>
        <w:ind w:left="540" w:hanging="540"/>
        <w:rPr>
          <w:del w:id="13278" w:author="AbbVie14" w:date="2025-05-09T10:48:00Z"/>
          <w:sz w:val="22"/>
          <w:szCs w:val="22"/>
        </w:rPr>
      </w:pPr>
    </w:p>
    <w:p w:rsidR="006224C2" w:rsidRPr="00295E71" w14:paraId="70742098" w14:textId="77777777">
      <w:pPr>
        <w:tabs>
          <w:tab w:val="left" w:pos="567"/>
        </w:tabs>
        <w:ind w:left="540" w:hanging="540"/>
        <w:rPr>
          <w:del w:id="13279" w:author="AbbVie14" w:date="2025-05-09T10:48:00Z"/>
          <w:sz w:val="22"/>
          <w:szCs w:val="22"/>
        </w:rPr>
      </w:pPr>
    </w:p>
    <w:p w:rsidR="006224C2" w:rsidRPr="00295E71" w14:paraId="32136B0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280" w:author="AbbVie14" w:date="2025-05-09T10:48:00Z"/>
          <w:sz w:val="22"/>
          <w:szCs w:val="22"/>
        </w:rPr>
      </w:pPr>
      <w:del w:id="13281" w:author="AbbVie14" w:date="2025-05-09T10:48:00Z">
        <w:r w:rsidRPr="00295E71">
          <w:rPr>
            <w:b/>
            <w:bCs/>
            <w:sz w:val="22"/>
            <w:szCs w:val="22"/>
          </w:rPr>
          <w:delText xml:space="preserve">7. </w:delText>
        </w:r>
      </w:del>
      <w:del w:id="13282" w:author="AbbVie14" w:date="2025-05-09T10:48:00Z">
        <w:r w:rsidRPr="00295E71">
          <w:rPr>
            <w:b/>
            <w:bCs/>
            <w:sz w:val="22"/>
            <w:szCs w:val="22"/>
          </w:rPr>
          <w:tab/>
          <w:delText>ALTRA AVVERTENZA PARTICOLARE, SE NECESSARIO</w:delText>
        </w:r>
      </w:del>
    </w:p>
    <w:p w:rsidR="006224C2" w:rsidRPr="00295E71" w14:paraId="2DFD65C6" w14:textId="77777777">
      <w:pPr>
        <w:tabs>
          <w:tab w:val="left" w:pos="567"/>
        </w:tabs>
        <w:ind w:left="540" w:hanging="540"/>
        <w:rPr>
          <w:del w:id="13283" w:author="AbbVie14" w:date="2025-05-09T10:48:00Z"/>
          <w:sz w:val="22"/>
          <w:szCs w:val="22"/>
        </w:rPr>
      </w:pPr>
    </w:p>
    <w:p w:rsidR="006224C2" w:rsidRPr="00295E71" w14:paraId="6D36374A" w14:textId="77777777">
      <w:pPr>
        <w:tabs>
          <w:tab w:val="left" w:pos="567"/>
        </w:tabs>
        <w:ind w:left="540" w:hanging="540"/>
        <w:rPr>
          <w:del w:id="13284" w:author="AbbVie14" w:date="2025-05-09T10:48:00Z"/>
          <w:sz w:val="22"/>
          <w:szCs w:val="22"/>
        </w:rPr>
      </w:pPr>
    </w:p>
    <w:p w:rsidR="006224C2" w:rsidRPr="00295E71" w14:paraId="53F41455" w14:textId="77777777">
      <w:pPr>
        <w:keepNext/>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285" w:author="AbbVie14" w:date="2025-05-09T10:48:00Z"/>
          <w:sz w:val="22"/>
          <w:szCs w:val="22"/>
        </w:rPr>
      </w:pPr>
      <w:del w:id="13286" w:author="AbbVie14" w:date="2025-05-09T10:48:00Z">
        <w:r w:rsidRPr="00295E71">
          <w:rPr>
            <w:b/>
            <w:bCs/>
            <w:sz w:val="22"/>
            <w:szCs w:val="22"/>
          </w:rPr>
          <w:delText xml:space="preserve">8. </w:delText>
        </w:r>
      </w:del>
      <w:del w:id="13287" w:author="AbbVie14" w:date="2025-05-09T10:48:00Z">
        <w:r w:rsidRPr="00295E71">
          <w:rPr>
            <w:b/>
            <w:bCs/>
            <w:sz w:val="22"/>
            <w:szCs w:val="22"/>
          </w:rPr>
          <w:tab/>
          <w:delText>DATA DI SCADENZA</w:delText>
        </w:r>
      </w:del>
    </w:p>
    <w:p w:rsidR="006224C2" w:rsidRPr="00295E71" w14:paraId="55BCE3DC" w14:textId="77777777">
      <w:pPr>
        <w:keepNext/>
        <w:tabs>
          <w:tab w:val="left" w:pos="567"/>
        </w:tabs>
        <w:ind w:left="540" w:hanging="540"/>
        <w:rPr>
          <w:del w:id="13288" w:author="AbbVie14" w:date="2025-05-09T10:48:00Z"/>
          <w:sz w:val="22"/>
          <w:szCs w:val="22"/>
        </w:rPr>
      </w:pPr>
    </w:p>
    <w:p w:rsidR="006224C2" w:rsidRPr="00295E71" w14:paraId="4A7E46BD" w14:textId="77777777">
      <w:pPr>
        <w:keepNext/>
        <w:tabs>
          <w:tab w:val="left" w:pos="567"/>
        </w:tabs>
        <w:ind w:left="540" w:hanging="540"/>
        <w:rPr>
          <w:del w:id="13289" w:author="AbbVie14" w:date="2025-05-09T10:48:00Z"/>
          <w:sz w:val="22"/>
          <w:szCs w:val="22"/>
        </w:rPr>
      </w:pPr>
      <w:del w:id="13290" w:author="AbbVie14" w:date="2025-05-09T10:48:00Z">
        <w:r w:rsidRPr="00295E71">
          <w:rPr>
            <w:sz w:val="22"/>
            <w:szCs w:val="22"/>
          </w:rPr>
          <w:delText xml:space="preserve">Scad. </w:delText>
        </w:r>
      </w:del>
    </w:p>
    <w:p w:rsidR="006224C2" w:rsidRPr="00295E71" w14:paraId="696C9600" w14:textId="77777777">
      <w:pPr>
        <w:keepNext/>
        <w:tabs>
          <w:tab w:val="left" w:pos="567"/>
        </w:tabs>
        <w:ind w:left="540" w:hanging="540"/>
        <w:rPr>
          <w:del w:id="13291" w:author="AbbVie14" w:date="2025-05-09T10:48:00Z"/>
          <w:sz w:val="22"/>
          <w:szCs w:val="22"/>
        </w:rPr>
      </w:pPr>
    </w:p>
    <w:p w:rsidR="006224C2" w:rsidRPr="00295E71" w14:paraId="05C379EF" w14:textId="77777777">
      <w:pPr>
        <w:tabs>
          <w:tab w:val="left" w:pos="567"/>
        </w:tabs>
        <w:ind w:left="540" w:hanging="540"/>
        <w:rPr>
          <w:del w:id="13292" w:author="AbbVie14" w:date="2025-05-09T10:48:00Z"/>
          <w:sz w:val="22"/>
          <w:szCs w:val="22"/>
        </w:rPr>
      </w:pPr>
    </w:p>
    <w:p w:rsidR="006224C2" w:rsidRPr="00295E71" w14:paraId="372989E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293" w:author="AbbVie14" w:date="2025-05-09T10:48:00Z"/>
          <w:sz w:val="22"/>
          <w:szCs w:val="22"/>
        </w:rPr>
      </w:pPr>
      <w:del w:id="13294" w:author="AbbVie14" w:date="2025-05-09T10:48:00Z">
        <w:r w:rsidRPr="00295E71">
          <w:rPr>
            <w:b/>
            <w:bCs/>
            <w:sz w:val="22"/>
            <w:szCs w:val="22"/>
          </w:rPr>
          <w:delText xml:space="preserve">9. </w:delText>
        </w:r>
      </w:del>
      <w:del w:id="13295" w:author="AbbVie14" w:date="2025-05-09T10:48:00Z">
        <w:r w:rsidRPr="00295E71">
          <w:rPr>
            <w:b/>
            <w:bCs/>
            <w:sz w:val="22"/>
            <w:szCs w:val="22"/>
          </w:rPr>
          <w:tab/>
          <w:delText>PRECAUZIONI PARTICOLARI PER LA CONSERVAZIONE</w:delText>
        </w:r>
      </w:del>
    </w:p>
    <w:p w:rsidR="006224C2" w:rsidRPr="00295E71" w14:paraId="4F9D73EF" w14:textId="77777777">
      <w:pPr>
        <w:tabs>
          <w:tab w:val="left" w:pos="567"/>
        </w:tabs>
        <w:ind w:left="540" w:hanging="540"/>
        <w:rPr>
          <w:del w:id="13296" w:author="AbbVie14" w:date="2025-05-09T10:48:00Z"/>
          <w:sz w:val="22"/>
          <w:szCs w:val="22"/>
        </w:rPr>
      </w:pPr>
    </w:p>
    <w:p w:rsidR="006224C2" w:rsidRPr="00295E71" w14:paraId="6675770E" w14:textId="77777777">
      <w:pPr>
        <w:tabs>
          <w:tab w:val="left" w:pos="567"/>
        </w:tabs>
        <w:ind w:left="540" w:hanging="540"/>
        <w:rPr>
          <w:del w:id="13297" w:author="AbbVie14" w:date="2025-05-09T10:48:00Z"/>
          <w:sz w:val="22"/>
          <w:szCs w:val="22"/>
        </w:rPr>
      </w:pPr>
      <w:del w:id="13298" w:author="AbbVie14" w:date="2025-05-09T10:48:00Z">
        <w:r w:rsidRPr="00295E71">
          <w:rPr>
            <w:sz w:val="22"/>
            <w:szCs w:val="22"/>
          </w:rPr>
          <w:delText>Conservare in frigorifero.Non congelare.</w:delText>
        </w:r>
      </w:del>
    </w:p>
    <w:p w:rsidR="006224C2" w:rsidRPr="00295E71" w14:paraId="43654F1E" w14:textId="77777777">
      <w:pPr>
        <w:tabs>
          <w:tab w:val="left" w:pos="567"/>
        </w:tabs>
        <w:rPr>
          <w:del w:id="13299" w:author="AbbVie14" w:date="2025-05-09T10:48:00Z"/>
          <w:sz w:val="22"/>
          <w:szCs w:val="22"/>
        </w:rPr>
      </w:pPr>
      <w:del w:id="13300" w:author="AbbVie14" w:date="2025-05-09T10:48:00Z">
        <w:r w:rsidRPr="00295E71">
          <w:rPr>
            <w:sz w:val="22"/>
            <w:szCs w:val="22"/>
          </w:rPr>
          <w:delText>Tenere</w:delText>
        </w:r>
      </w:del>
      <w:del w:id="13301" w:author="AbbVie14" w:date="2025-05-09T10:48:00Z">
        <w:r w:rsidRPr="00295E71" w:rsidR="00226BC4">
          <w:rPr>
            <w:sz w:val="22"/>
            <w:szCs w:val="22"/>
          </w:rPr>
          <w:delText xml:space="preserve"> il flaconcino </w:delText>
        </w:r>
      </w:del>
      <w:del w:id="13302" w:author="AbbVie14" w:date="2025-05-09T10:48:00Z">
        <w:r w:rsidRPr="00295E71">
          <w:rPr>
            <w:sz w:val="22"/>
            <w:szCs w:val="22"/>
          </w:rPr>
          <w:delText>nell’imballaggio esterno</w:delText>
        </w:r>
      </w:del>
      <w:del w:id="13303" w:author="AbbVie14" w:date="2025-05-09T10:48:00Z">
        <w:r w:rsidRPr="00295E71" w:rsidR="00226BC4">
          <w:rPr>
            <w:sz w:val="22"/>
            <w:szCs w:val="22"/>
          </w:rPr>
          <w:delText xml:space="preserve"> per proteggere il medicinale dalla luce.</w:delText>
        </w:r>
      </w:del>
    </w:p>
    <w:p w:rsidR="006224C2" w:rsidRPr="00295E71" w14:paraId="2099157B" w14:textId="77777777">
      <w:pPr>
        <w:tabs>
          <w:tab w:val="left" w:pos="567"/>
        </w:tabs>
        <w:ind w:left="540" w:hanging="540"/>
        <w:rPr>
          <w:del w:id="13304" w:author="AbbVie14" w:date="2025-05-09T10:48:00Z"/>
          <w:sz w:val="22"/>
          <w:szCs w:val="22"/>
        </w:rPr>
      </w:pPr>
    </w:p>
    <w:p w:rsidR="006224C2" w:rsidRPr="00295E71" w14:paraId="2BD9D285" w14:textId="77777777">
      <w:pPr>
        <w:tabs>
          <w:tab w:val="left" w:pos="567"/>
        </w:tabs>
        <w:ind w:left="540" w:hanging="540"/>
        <w:rPr>
          <w:del w:id="13305" w:author="AbbVie14" w:date="2025-05-09T10:48:00Z"/>
          <w:sz w:val="22"/>
          <w:szCs w:val="22"/>
        </w:rPr>
      </w:pPr>
    </w:p>
    <w:p w:rsidR="006224C2" w:rsidRPr="00295E71" w14:paraId="5E6E130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306" w:author="AbbVie14" w:date="2025-05-09T10:48:00Z"/>
          <w:b/>
          <w:bCs/>
          <w:sz w:val="22"/>
          <w:szCs w:val="22"/>
        </w:rPr>
      </w:pPr>
      <w:del w:id="13307" w:author="AbbVie14" w:date="2025-05-09T10:48:00Z">
        <w:r w:rsidRPr="00295E71">
          <w:rPr>
            <w:b/>
            <w:bCs/>
            <w:sz w:val="22"/>
            <w:szCs w:val="22"/>
          </w:rPr>
          <w:delText>10.</w:delText>
        </w:r>
      </w:del>
      <w:del w:id="13308" w:author="AbbVie14" w:date="2025-05-09T10:48:00Z">
        <w:r w:rsidRPr="00295E71">
          <w:rPr>
            <w:b/>
            <w:bCs/>
            <w:sz w:val="22"/>
            <w:szCs w:val="22"/>
          </w:rPr>
          <w:tab/>
          <w:delText>PRECAUZIONI PARTICOLARI PER LO SMALTIMENTO DEL MEDICINALE NON UTILIZZATO O DEI RIFIUTI DERIVATI DA TALE MEDICINALE, SE NECESSARIO</w:delText>
        </w:r>
      </w:del>
    </w:p>
    <w:p w:rsidR="006224C2" w:rsidRPr="00295E71" w14:paraId="3FDDD8A7" w14:textId="77777777">
      <w:pPr>
        <w:tabs>
          <w:tab w:val="left" w:pos="567"/>
        </w:tabs>
        <w:ind w:left="540" w:hanging="540"/>
        <w:rPr>
          <w:del w:id="13309" w:author="AbbVie14" w:date="2025-05-09T10:48:00Z"/>
          <w:sz w:val="22"/>
          <w:szCs w:val="22"/>
        </w:rPr>
      </w:pPr>
    </w:p>
    <w:p w:rsidR="006224C2" w:rsidRPr="00295E71" w14:paraId="3CCD4CF8" w14:textId="77777777">
      <w:pPr>
        <w:tabs>
          <w:tab w:val="left" w:pos="567"/>
        </w:tabs>
        <w:ind w:left="540" w:hanging="540"/>
        <w:rPr>
          <w:del w:id="13310" w:author="AbbVie14" w:date="2025-05-09T10:48:00Z"/>
          <w:sz w:val="22"/>
          <w:szCs w:val="22"/>
        </w:rPr>
      </w:pPr>
    </w:p>
    <w:p w:rsidR="006224C2" w:rsidRPr="00295E71" w14:paraId="2B0E98D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311" w:author="AbbVie14" w:date="2025-05-09T10:48:00Z"/>
          <w:b/>
          <w:bCs/>
          <w:sz w:val="22"/>
          <w:szCs w:val="22"/>
        </w:rPr>
      </w:pPr>
      <w:del w:id="13312" w:author="AbbVie14" w:date="2025-05-09T10:48:00Z">
        <w:r w:rsidRPr="00295E71">
          <w:rPr>
            <w:b/>
            <w:bCs/>
            <w:sz w:val="22"/>
            <w:szCs w:val="22"/>
          </w:rPr>
          <w:delText>11.</w:delText>
        </w:r>
      </w:del>
      <w:del w:id="13313" w:author="AbbVie14" w:date="2025-05-09T10:48:00Z">
        <w:r w:rsidRPr="00295E71">
          <w:rPr>
            <w:b/>
            <w:bCs/>
            <w:sz w:val="22"/>
            <w:szCs w:val="22"/>
          </w:rPr>
          <w:tab/>
          <w:delText>NOME E INDIRIZZO DEL TITOLARE DELL’AUTORIZZAZIONE ALL’IMMISSIONE IN COMMERCIO</w:delText>
        </w:r>
      </w:del>
    </w:p>
    <w:p w:rsidR="006224C2" w:rsidRPr="00295E71" w14:paraId="6A0951C8" w14:textId="77777777">
      <w:pPr>
        <w:tabs>
          <w:tab w:val="left" w:pos="567"/>
        </w:tabs>
        <w:rPr>
          <w:del w:id="13314" w:author="AbbVie14" w:date="2025-05-09T10:48:00Z"/>
          <w:sz w:val="22"/>
          <w:szCs w:val="22"/>
        </w:rPr>
      </w:pPr>
    </w:p>
    <w:p w:rsidR="0007213E" w:rsidRPr="00C04163" w:rsidP="0007213E" w14:paraId="029346EB" w14:textId="77777777">
      <w:pPr>
        <w:tabs>
          <w:tab w:val="left" w:pos="567"/>
        </w:tabs>
        <w:jc w:val="both"/>
        <w:rPr>
          <w:del w:id="13315" w:author="AbbVie14" w:date="2025-05-09T10:48:00Z"/>
          <w:sz w:val="22"/>
          <w:szCs w:val="22"/>
          <w:lang w:val="de-CH"/>
        </w:rPr>
      </w:pPr>
      <w:del w:id="13316" w:author="AbbVie14" w:date="2025-05-09T10:48:00Z">
        <w:r w:rsidRPr="00C04163">
          <w:rPr>
            <w:sz w:val="22"/>
            <w:szCs w:val="22"/>
            <w:lang w:val="de-CH"/>
          </w:rPr>
          <w:delText>AbbVie Deutschland GmbH &amp; Co. KG</w:delText>
        </w:r>
      </w:del>
    </w:p>
    <w:p w:rsidR="0007213E" w:rsidRPr="00C04163" w:rsidP="0007213E" w14:paraId="67145001" w14:textId="77777777">
      <w:pPr>
        <w:tabs>
          <w:tab w:val="left" w:pos="567"/>
        </w:tabs>
        <w:jc w:val="both"/>
        <w:rPr>
          <w:del w:id="13317" w:author="AbbVie14" w:date="2025-05-09T10:48:00Z"/>
          <w:sz w:val="22"/>
          <w:szCs w:val="22"/>
          <w:lang w:val="de-CH"/>
        </w:rPr>
      </w:pPr>
      <w:del w:id="13318" w:author="AbbVie14" w:date="2025-05-09T10:48:00Z">
        <w:r w:rsidRPr="00C04163">
          <w:rPr>
            <w:sz w:val="22"/>
            <w:szCs w:val="22"/>
            <w:lang w:val="de-CH"/>
          </w:rPr>
          <w:delText>Knollstrasse</w:delText>
        </w:r>
      </w:del>
    </w:p>
    <w:p w:rsidR="0007213E" w:rsidRPr="00295E71" w:rsidP="0007213E" w14:paraId="114E1DC5" w14:textId="77777777">
      <w:pPr>
        <w:tabs>
          <w:tab w:val="left" w:pos="567"/>
        </w:tabs>
        <w:jc w:val="both"/>
        <w:rPr>
          <w:del w:id="13319" w:author="AbbVie14" w:date="2025-05-09T10:48:00Z"/>
          <w:sz w:val="22"/>
          <w:szCs w:val="22"/>
        </w:rPr>
      </w:pPr>
      <w:del w:id="13320" w:author="AbbVie14" w:date="2025-05-09T10:48:00Z">
        <w:r w:rsidRPr="00295E71">
          <w:rPr>
            <w:sz w:val="22"/>
            <w:szCs w:val="22"/>
          </w:rPr>
          <w:delText>67061 Ludwigshafen</w:delText>
        </w:r>
      </w:del>
    </w:p>
    <w:p w:rsidR="0007213E" w:rsidRPr="00295E71" w:rsidP="0007213E" w14:paraId="7CD8CC27" w14:textId="77777777">
      <w:pPr>
        <w:tabs>
          <w:tab w:val="left" w:pos="567"/>
        </w:tabs>
        <w:jc w:val="both"/>
        <w:rPr>
          <w:del w:id="13321" w:author="AbbVie14" w:date="2025-05-09T10:48:00Z"/>
          <w:sz w:val="22"/>
          <w:szCs w:val="22"/>
        </w:rPr>
      </w:pPr>
      <w:del w:id="13322" w:author="AbbVie14" w:date="2025-05-09T10:48:00Z">
        <w:r w:rsidRPr="00295E71">
          <w:rPr>
            <w:sz w:val="22"/>
            <w:szCs w:val="22"/>
          </w:rPr>
          <w:delText>Germania</w:delText>
        </w:r>
      </w:del>
    </w:p>
    <w:p w:rsidR="006224C2" w:rsidRPr="00295E71" w14:paraId="241D0036" w14:textId="77777777">
      <w:pPr>
        <w:tabs>
          <w:tab w:val="left" w:pos="567"/>
        </w:tabs>
        <w:ind w:left="540" w:hanging="540"/>
        <w:rPr>
          <w:del w:id="13323" w:author="AbbVie14" w:date="2025-05-09T10:48:00Z"/>
          <w:sz w:val="22"/>
          <w:szCs w:val="22"/>
        </w:rPr>
      </w:pPr>
    </w:p>
    <w:p w:rsidR="006224C2" w:rsidRPr="00295E71" w14:paraId="079DDDD4" w14:textId="77777777">
      <w:pPr>
        <w:tabs>
          <w:tab w:val="left" w:pos="567"/>
        </w:tabs>
        <w:ind w:left="540" w:hanging="540"/>
        <w:rPr>
          <w:del w:id="13324" w:author="AbbVie14" w:date="2025-05-09T10:48:00Z"/>
          <w:sz w:val="22"/>
          <w:szCs w:val="22"/>
        </w:rPr>
      </w:pPr>
    </w:p>
    <w:p w:rsidR="006224C2" w:rsidRPr="00295E71" w14:paraId="4E53C90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325" w:author="AbbVie14" w:date="2025-05-09T10:48:00Z"/>
          <w:b/>
          <w:bCs/>
          <w:sz w:val="22"/>
          <w:szCs w:val="22"/>
        </w:rPr>
      </w:pPr>
      <w:del w:id="13326" w:author="AbbVie14" w:date="2025-05-09T10:48:00Z">
        <w:r w:rsidRPr="00295E71">
          <w:rPr>
            <w:b/>
            <w:bCs/>
            <w:sz w:val="22"/>
            <w:szCs w:val="22"/>
          </w:rPr>
          <w:delText xml:space="preserve">12. </w:delText>
        </w:r>
      </w:del>
      <w:del w:id="13327" w:author="AbbVie14" w:date="2025-05-09T10:48:00Z">
        <w:r w:rsidRPr="00295E71">
          <w:rPr>
            <w:b/>
            <w:bCs/>
            <w:sz w:val="22"/>
            <w:szCs w:val="22"/>
          </w:rPr>
          <w:tab/>
          <w:delText>NUMERODELL’AUTORIZZAZIONE ALL’IMMISSIONE IN COMMERCIO</w:delText>
        </w:r>
      </w:del>
    </w:p>
    <w:p w:rsidR="006224C2" w:rsidRPr="00295E71" w14:paraId="7F552361" w14:textId="77777777">
      <w:pPr>
        <w:tabs>
          <w:tab w:val="left" w:pos="567"/>
        </w:tabs>
        <w:ind w:left="540" w:hanging="540"/>
        <w:rPr>
          <w:del w:id="13328" w:author="AbbVie14" w:date="2025-05-09T10:48:00Z"/>
          <w:sz w:val="22"/>
          <w:szCs w:val="22"/>
        </w:rPr>
      </w:pPr>
    </w:p>
    <w:p w:rsidR="006224C2" w:rsidRPr="00295E71" w14:paraId="003B45C4" w14:textId="77777777">
      <w:pPr>
        <w:tabs>
          <w:tab w:val="left" w:pos="567"/>
        </w:tabs>
        <w:ind w:left="540" w:hanging="540"/>
        <w:rPr>
          <w:del w:id="13329" w:author="AbbVie14" w:date="2025-05-09T10:48:00Z"/>
          <w:sz w:val="22"/>
          <w:szCs w:val="22"/>
        </w:rPr>
      </w:pPr>
      <w:del w:id="13330" w:author="AbbVie14" w:date="2025-05-09T10:48:00Z">
        <w:r w:rsidRPr="00295E71">
          <w:rPr>
            <w:sz w:val="22"/>
            <w:szCs w:val="22"/>
          </w:rPr>
          <w:delText>EU/1/03/256/001</w:delText>
        </w:r>
      </w:del>
    </w:p>
    <w:p w:rsidR="006224C2" w:rsidRPr="00295E71" w14:paraId="7CF017B0" w14:textId="77777777">
      <w:pPr>
        <w:tabs>
          <w:tab w:val="left" w:pos="567"/>
        </w:tabs>
        <w:ind w:left="540" w:hanging="540"/>
        <w:rPr>
          <w:del w:id="13331" w:author="AbbVie14" w:date="2025-05-09T10:48:00Z"/>
          <w:sz w:val="22"/>
          <w:szCs w:val="22"/>
        </w:rPr>
      </w:pPr>
    </w:p>
    <w:p w:rsidR="006224C2" w:rsidRPr="00295E71" w14:paraId="21C9B094" w14:textId="77777777">
      <w:pPr>
        <w:tabs>
          <w:tab w:val="left" w:pos="567"/>
        </w:tabs>
        <w:ind w:left="540" w:hanging="540"/>
        <w:rPr>
          <w:del w:id="13332" w:author="AbbVie14" w:date="2025-05-09T10:48:00Z"/>
          <w:sz w:val="22"/>
          <w:szCs w:val="22"/>
        </w:rPr>
      </w:pPr>
    </w:p>
    <w:p w:rsidR="006224C2" w:rsidRPr="00295E71" w14:paraId="5187E65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333" w:author="AbbVie14" w:date="2025-05-09T10:48:00Z"/>
          <w:sz w:val="22"/>
          <w:szCs w:val="22"/>
        </w:rPr>
      </w:pPr>
      <w:del w:id="13334" w:author="AbbVie14" w:date="2025-05-09T10:48:00Z">
        <w:r w:rsidRPr="00295E71">
          <w:rPr>
            <w:b/>
            <w:bCs/>
            <w:sz w:val="22"/>
            <w:szCs w:val="22"/>
          </w:rPr>
          <w:delText>13.</w:delText>
        </w:r>
      </w:del>
      <w:del w:id="13335" w:author="AbbVie14" w:date="2025-05-09T10:48:00Z">
        <w:r w:rsidRPr="00295E71">
          <w:rPr>
            <w:b/>
            <w:bCs/>
            <w:sz w:val="22"/>
            <w:szCs w:val="22"/>
          </w:rPr>
          <w:tab/>
          <w:delText>NUMERO DI LOTTO</w:delText>
        </w:r>
      </w:del>
    </w:p>
    <w:p w:rsidR="006224C2" w:rsidRPr="00295E71" w14:paraId="659DA4B9" w14:textId="77777777">
      <w:pPr>
        <w:tabs>
          <w:tab w:val="left" w:pos="567"/>
        </w:tabs>
        <w:ind w:left="540" w:hanging="540"/>
        <w:rPr>
          <w:del w:id="13336" w:author="AbbVie14" w:date="2025-05-09T10:48:00Z"/>
          <w:sz w:val="22"/>
          <w:szCs w:val="22"/>
        </w:rPr>
      </w:pPr>
    </w:p>
    <w:p w:rsidR="006224C2" w:rsidRPr="00295E71" w14:paraId="6BC541B8" w14:textId="77777777">
      <w:pPr>
        <w:tabs>
          <w:tab w:val="left" w:pos="567"/>
        </w:tabs>
        <w:ind w:left="540" w:hanging="540"/>
        <w:rPr>
          <w:del w:id="13337" w:author="AbbVie14" w:date="2025-05-09T10:48:00Z"/>
          <w:sz w:val="22"/>
          <w:szCs w:val="22"/>
        </w:rPr>
      </w:pPr>
      <w:del w:id="13338" w:author="AbbVie14" w:date="2025-05-09T10:48:00Z">
        <w:r w:rsidRPr="00295E71">
          <w:rPr>
            <w:sz w:val="22"/>
            <w:szCs w:val="22"/>
          </w:rPr>
          <w:delText xml:space="preserve">Lotto </w:delText>
        </w:r>
      </w:del>
    </w:p>
    <w:p w:rsidR="006224C2" w:rsidRPr="00295E71" w14:paraId="09771AFF" w14:textId="77777777">
      <w:pPr>
        <w:tabs>
          <w:tab w:val="left" w:pos="567"/>
        </w:tabs>
        <w:ind w:left="540" w:hanging="540"/>
        <w:rPr>
          <w:del w:id="13339" w:author="AbbVie14" w:date="2025-05-09T10:48:00Z"/>
          <w:sz w:val="22"/>
          <w:szCs w:val="22"/>
        </w:rPr>
      </w:pPr>
    </w:p>
    <w:p w:rsidR="006224C2" w:rsidRPr="00295E71" w14:paraId="39535286" w14:textId="77777777">
      <w:pPr>
        <w:tabs>
          <w:tab w:val="left" w:pos="567"/>
        </w:tabs>
        <w:ind w:left="540" w:hanging="540"/>
        <w:rPr>
          <w:del w:id="13340" w:author="AbbVie14" w:date="2025-05-09T10:48:00Z"/>
          <w:sz w:val="22"/>
          <w:szCs w:val="22"/>
        </w:rPr>
      </w:pPr>
    </w:p>
    <w:p w:rsidR="006224C2" w:rsidRPr="00295E71" w14:paraId="4C91A6C3"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341" w:author="AbbVie14" w:date="2025-05-09T10:48:00Z"/>
          <w:sz w:val="22"/>
          <w:szCs w:val="22"/>
        </w:rPr>
      </w:pPr>
      <w:del w:id="13342" w:author="AbbVie14" w:date="2025-05-09T10:48:00Z">
        <w:r w:rsidRPr="00295E71">
          <w:rPr>
            <w:b/>
            <w:bCs/>
            <w:sz w:val="22"/>
            <w:szCs w:val="22"/>
          </w:rPr>
          <w:delText>14.</w:delText>
        </w:r>
      </w:del>
      <w:del w:id="13343" w:author="AbbVie14" w:date="2025-05-09T10:48:00Z">
        <w:r w:rsidRPr="00295E71">
          <w:rPr>
            <w:b/>
            <w:bCs/>
            <w:sz w:val="22"/>
            <w:szCs w:val="22"/>
          </w:rPr>
          <w:tab/>
          <w:delText>CONDIZIONE GENERALE DI FORNITURA</w:delText>
        </w:r>
      </w:del>
    </w:p>
    <w:p w:rsidR="006224C2" w:rsidRPr="00295E71" w14:paraId="0AB756A4" w14:textId="77777777">
      <w:pPr>
        <w:tabs>
          <w:tab w:val="left" w:pos="567"/>
        </w:tabs>
        <w:rPr>
          <w:del w:id="13344" w:author="AbbVie14" w:date="2025-05-09T10:48:00Z"/>
          <w:sz w:val="22"/>
          <w:szCs w:val="22"/>
        </w:rPr>
      </w:pPr>
    </w:p>
    <w:p w:rsidR="006224C2" w:rsidRPr="00295E71" w14:paraId="36839637" w14:textId="77777777">
      <w:pPr>
        <w:tabs>
          <w:tab w:val="left" w:pos="567"/>
        </w:tabs>
        <w:ind w:left="540" w:hanging="540"/>
        <w:rPr>
          <w:del w:id="13345" w:author="AbbVie14" w:date="2025-05-09T10:48:00Z"/>
          <w:sz w:val="22"/>
          <w:szCs w:val="22"/>
        </w:rPr>
      </w:pPr>
    </w:p>
    <w:p w:rsidR="006224C2" w:rsidRPr="00295E71" w14:paraId="71267E2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346" w:author="AbbVie14" w:date="2025-05-09T10:48:00Z"/>
          <w:b/>
          <w:bCs/>
          <w:sz w:val="22"/>
          <w:szCs w:val="22"/>
          <w:u w:val="single"/>
        </w:rPr>
      </w:pPr>
      <w:del w:id="13347" w:author="AbbVie14" w:date="2025-05-09T10:48:00Z">
        <w:r w:rsidRPr="00295E71">
          <w:rPr>
            <w:b/>
            <w:bCs/>
            <w:sz w:val="22"/>
            <w:szCs w:val="22"/>
          </w:rPr>
          <w:delText>15.</w:delText>
        </w:r>
      </w:del>
      <w:del w:id="13348" w:author="AbbVie14" w:date="2025-05-09T10:48:00Z">
        <w:r w:rsidRPr="00295E71">
          <w:rPr>
            <w:b/>
            <w:bCs/>
            <w:sz w:val="22"/>
            <w:szCs w:val="22"/>
          </w:rPr>
          <w:tab/>
          <w:delText>ISTRUZIONI PER L'USO</w:delText>
        </w:r>
      </w:del>
    </w:p>
    <w:p w:rsidR="006224C2" w:rsidRPr="00295E71" w14:paraId="6CC213D3" w14:textId="77777777">
      <w:pPr>
        <w:tabs>
          <w:tab w:val="left" w:pos="567"/>
        </w:tabs>
        <w:ind w:left="540" w:hanging="540"/>
        <w:rPr>
          <w:del w:id="13349" w:author="AbbVie14" w:date="2025-05-09T10:48:00Z"/>
          <w:bCs/>
          <w:sz w:val="22"/>
          <w:szCs w:val="22"/>
        </w:rPr>
      </w:pPr>
    </w:p>
    <w:p w:rsidR="006224C2" w:rsidRPr="00295E71" w14:paraId="6C7F8374" w14:textId="77777777">
      <w:pPr>
        <w:tabs>
          <w:tab w:val="left" w:pos="567"/>
        </w:tabs>
        <w:ind w:left="540" w:hanging="540"/>
        <w:rPr>
          <w:del w:id="13350" w:author="AbbVie14" w:date="2025-05-09T10:48:00Z"/>
          <w:bCs/>
          <w:sz w:val="22"/>
          <w:szCs w:val="22"/>
        </w:rPr>
      </w:pPr>
    </w:p>
    <w:p w:rsidR="006224C2" w:rsidRPr="00295E71" w14:paraId="72E2F87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351" w:author="AbbVie14" w:date="2025-05-09T10:48:00Z"/>
          <w:b/>
          <w:bCs/>
          <w:sz w:val="22"/>
          <w:szCs w:val="22"/>
          <w:u w:val="single"/>
        </w:rPr>
      </w:pPr>
      <w:del w:id="13352" w:author="AbbVie14" w:date="2025-05-09T10:48:00Z">
        <w:r w:rsidRPr="00295E71">
          <w:rPr>
            <w:b/>
            <w:bCs/>
            <w:sz w:val="22"/>
            <w:szCs w:val="22"/>
          </w:rPr>
          <w:delText>16.</w:delText>
        </w:r>
      </w:del>
      <w:del w:id="13353" w:author="AbbVie14" w:date="2025-05-09T10:48:00Z">
        <w:r w:rsidRPr="00295E71">
          <w:rPr>
            <w:b/>
            <w:bCs/>
            <w:sz w:val="22"/>
            <w:szCs w:val="22"/>
          </w:rPr>
          <w:tab/>
          <w:delText>INFORMAZIONI IN BRAILLE</w:delText>
        </w:r>
      </w:del>
    </w:p>
    <w:p w:rsidR="006224C2" w:rsidRPr="00295E71" w14:paraId="0861F845" w14:textId="77777777">
      <w:pPr>
        <w:tabs>
          <w:tab w:val="left" w:pos="567"/>
        </w:tabs>
        <w:ind w:left="540" w:hanging="540"/>
        <w:rPr>
          <w:del w:id="13354" w:author="AbbVie14" w:date="2025-05-09T10:48:00Z"/>
          <w:bCs/>
          <w:sz w:val="22"/>
          <w:szCs w:val="22"/>
        </w:rPr>
      </w:pPr>
    </w:p>
    <w:p w:rsidR="006224C2" w:rsidRPr="00295E71" w14:paraId="317E343A" w14:textId="77777777">
      <w:pPr>
        <w:tabs>
          <w:tab w:val="left" w:pos="567"/>
        </w:tabs>
        <w:ind w:left="540" w:hanging="540"/>
        <w:rPr>
          <w:del w:id="13355" w:author="AbbVie14" w:date="2025-05-09T10:48:00Z"/>
          <w:sz w:val="22"/>
          <w:szCs w:val="22"/>
        </w:rPr>
      </w:pPr>
      <w:del w:id="13356" w:author="AbbVie14" w:date="2025-05-09T10:48:00Z">
        <w:r w:rsidRPr="00295E71">
          <w:rPr>
            <w:sz w:val="22"/>
            <w:szCs w:val="22"/>
          </w:rPr>
          <w:delText>Humira 40 mg</w:delText>
        </w:r>
      </w:del>
    </w:p>
    <w:p w:rsidR="006224C2" w:rsidRPr="00295E71" w14:paraId="51A661A5" w14:textId="77777777">
      <w:pPr>
        <w:tabs>
          <w:tab w:val="left" w:pos="567"/>
        </w:tabs>
        <w:ind w:left="540" w:hanging="540"/>
        <w:rPr>
          <w:del w:id="13357" w:author="AbbVie14" w:date="2025-05-09T10:48:00Z"/>
          <w:bCs/>
          <w:sz w:val="22"/>
          <w:szCs w:val="22"/>
        </w:rPr>
      </w:pPr>
    </w:p>
    <w:p w:rsidR="006224C2" w:rsidRPr="00295E71" w14:paraId="76FCE934" w14:textId="77777777">
      <w:pPr>
        <w:tabs>
          <w:tab w:val="left" w:pos="567"/>
        </w:tabs>
        <w:ind w:left="540" w:hanging="540"/>
        <w:rPr>
          <w:del w:id="13358" w:author="AbbVie14" w:date="2025-05-09T10:48:00Z"/>
          <w:bCs/>
          <w:sz w:val="22"/>
          <w:szCs w:val="22"/>
        </w:rPr>
      </w:pPr>
    </w:p>
    <w:p w:rsidR="006224C2" w:rsidRPr="00295E71" w14:paraId="5F8B702B" w14:textId="77777777">
      <w:pPr>
        <w:pStyle w:val="EMEAHeadingBoxedTitle"/>
        <w:ind w:left="0" w:firstLine="0"/>
        <w:rPr>
          <w:del w:id="13359" w:author="AbbVie14" w:date="2025-05-09T10:48:00Z"/>
          <w:rFonts w:ascii="Times New Roman" w:hAnsi="Times New Roman"/>
          <w:b/>
          <w:bCs/>
          <w:szCs w:val="22"/>
          <w:lang w:val="it-IT"/>
        </w:rPr>
      </w:pPr>
      <w:del w:id="13360" w:author="AbbVie14" w:date="2025-05-09T10:48:00Z">
        <w:r w:rsidRPr="00295E71">
          <w:rPr>
            <w:rFonts w:ascii="Times New Roman" w:hAnsi="Times New Roman"/>
            <w:b/>
            <w:bCs/>
            <w:szCs w:val="22"/>
            <w:lang w:val="it-IT"/>
          </w:rPr>
          <w:delText xml:space="preserve">17. </w:delText>
        </w:r>
      </w:del>
      <w:del w:id="13361" w:author="AbbVie14" w:date="2025-05-09T10:48:00Z">
        <w:r w:rsidRPr="00295E71">
          <w:rPr>
            <w:rFonts w:ascii="Times New Roman" w:hAnsi="Times New Roman"/>
            <w:b/>
            <w:bCs/>
            <w:szCs w:val="22"/>
            <w:lang w:val="it-IT"/>
          </w:rPr>
          <w:tab/>
          <w:delText>IDENTIFICATIVO UNICO – CODICE A BARRE BIDIMENSIONALE</w:delText>
        </w:r>
      </w:del>
    </w:p>
    <w:p w:rsidR="006224C2" w:rsidRPr="00295E71" w14:paraId="035AFA44" w14:textId="77777777">
      <w:pPr>
        <w:rPr>
          <w:del w:id="13362" w:author="AbbVie14" w:date="2025-05-09T10:48:00Z"/>
          <w:sz w:val="22"/>
          <w:szCs w:val="22"/>
        </w:rPr>
      </w:pPr>
    </w:p>
    <w:p w:rsidR="006224C2" w:rsidRPr="00295E71" w14:paraId="543FB19B" w14:textId="77777777">
      <w:pPr>
        <w:rPr>
          <w:del w:id="13363" w:author="AbbVie14" w:date="2025-05-09T10:48:00Z"/>
          <w:sz w:val="22"/>
          <w:szCs w:val="22"/>
          <w:shd w:val="clear" w:color="auto" w:fill="BFBFBF"/>
        </w:rPr>
      </w:pPr>
      <w:del w:id="13364" w:author="AbbVie14" w:date="2025-05-09T10:48:00Z">
        <w:r w:rsidRPr="00295E71">
          <w:rPr>
            <w:sz w:val="22"/>
            <w:szCs w:val="22"/>
            <w:shd w:val="clear" w:color="auto" w:fill="BFBFBF"/>
          </w:rPr>
          <w:delText>Codice a barre bidimensionale con identificativo unico incluso.</w:delText>
        </w:r>
      </w:del>
    </w:p>
    <w:p w:rsidR="006224C2" w:rsidRPr="00295E71" w14:paraId="2A8D7C46" w14:textId="77777777">
      <w:pPr>
        <w:rPr>
          <w:del w:id="13365" w:author="AbbVie14" w:date="2025-05-09T10:48:00Z"/>
          <w:sz w:val="22"/>
          <w:szCs w:val="22"/>
          <w:shd w:val="clear" w:color="auto" w:fill="BFBFBF"/>
        </w:rPr>
      </w:pPr>
    </w:p>
    <w:p w:rsidR="006224C2" w:rsidRPr="00295E71" w14:paraId="10E551AA" w14:textId="77777777">
      <w:pPr>
        <w:rPr>
          <w:del w:id="13366" w:author="AbbVie14" w:date="2025-05-09T10:48:00Z"/>
          <w:sz w:val="22"/>
          <w:szCs w:val="22"/>
          <w:shd w:val="clear" w:color="auto" w:fill="BFBFBF"/>
        </w:rPr>
      </w:pPr>
    </w:p>
    <w:p w:rsidR="006224C2" w:rsidRPr="00295E71" w14:paraId="487A9E21" w14:textId="77777777">
      <w:pPr>
        <w:pStyle w:val="EMEAHeadingBoxedTitle"/>
        <w:keepNext/>
        <w:ind w:left="0" w:firstLine="0"/>
        <w:rPr>
          <w:del w:id="13367" w:author="AbbVie14" w:date="2025-05-09T10:48:00Z"/>
          <w:rFonts w:ascii="Times New Roman" w:hAnsi="Times New Roman"/>
          <w:szCs w:val="22"/>
          <w:lang w:val="it-IT"/>
        </w:rPr>
      </w:pPr>
      <w:del w:id="13368" w:author="AbbVie14" w:date="2025-05-09T10:48:00Z">
        <w:r w:rsidRPr="00295E71">
          <w:rPr>
            <w:rFonts w:ascii="Times New Roman" w:hAnsi="Times New Roman"/>
            <w:b/>
            <w:bCs/>
            <w:szCs w:val="22"/>
            <w:lang w:val="it-IT"/>
          </w:rPr>
          <w:delText xml:space="preserve">18. </w:delText>
        </w:r>
      </w:del>
      <w:del w:id="13369" w:author="AbbVie14" w:date="2025-05-09T10:48:00Z">
        <w:r w:rsidRPr="00295E71">
          <w:rPr>
            <w:rFonts w:ascii="Times New Roman" w:hAnsi="Times New Roman"/>
            <w:b/>
            <w:bCs/>
            <w:szCs w:val="22"/>
            <w:lang w:val="it-IT"/>
          </w:rPr>
          <w:tab/>
          <w:delText>IDENTIFICATivo UNICO – dati leggibili</w:delText>
        </w:r>
      </w:del>
    </w:p>
    <w:p w:rsidR="006224C2" w:rsidRPr="00295E71" w14:paraId="23113ABF" w14:textId="77777777">
      <w:pPr>
        <w:keepNext/>
        <w:ind w:left="540" w:hanging="540"/>
        <w:rPr>
          <w:del w:id="13370" w:author="AbbVie14" w:date="2025-05-09T10:48:00Z"/>
          <w:sz w:val="22"/>
          <w:szCs w:val="22"/>
        </w:rPr>
      </w:pPr>
    </w:p>
    <w:p w:rsidR="006224C2" w:rsidRPr="00295E71" w14:paraId="6707744C" w14:textId="77777777">
      <w:pPr>
        <w:keepNext/>
        <w:ind w:left="540" w:hanging="540"/>
        <w:rPr>
          <w:del w:id="13371" w:author="AbbVie14" w:date="2025-05-09T10:48:00Z"/>
          <w:sz w:val="22"/>
          <w:szCs w:val="22"/>
        </w:rPr>
      </w:pPr>
      <w:del w:id="13372" w:author="AbbVie14" w:date="2025-05-09T10:48:00Z">
        <w:r w:rsidRPr="00295E71">
          <w:rPr>
            <w:sz w:val="22"/>
            <w:szCs w:val="22"/>
          </w:rPr>
          <w:delText>PC</w:delText>
        </w:r>
      </w:del>
    </w:p>
    <w:p w:rsidR="006224C2" w:rsidRPr="00295E71" w14:paraId="24056951" w14:textId="77777777">
      <w:pPr>
        <w:keepNext/>
        <w:ind w:left="540" w:hanging="540"/>
        <w:rPr>
          <w:del w:id="13373" w:author="AbbVie14" w:date="2025-05-09T10:48:00Z"/>
          <w:sz w:val="22"/>
          <w:szCs w:val="22"/>
        </w:rPr>
      </w:pPr>
      <w:del w:id="13374" w:author="AbbVie14" w:date="2025-05-09T10:48:00Z">
        <w:r w:rsidRPr="00295E71">
          <w:rPr>
            <w:sz w:val="22"/>
            <w:szCs w:val="22"/>
          </w:rPr>
          <w:delText>SN</w:delText>
        </w:r>
      </w:del>
    </w:p>
    <w:p w:rsidR="006224C2" w:rsidRPr="00295E71" w14:paraId="7EA61CDE" w14:textId="77777777">
      <w:pPr>
        <w:keepNext/>
        <w:ind w:left="540" w:hanging="540"/>
        <w:rPr>
          <w:del w:id="13375" w:author="AbbVie14" w:date="2025-05-09T10:48:00Z"/>
          <w:sz w:val="22"/>
          <w:szCs w:val="22"/>
        </w:rPr>
      </w:pPr>
      <w:del w:id="13376" w:author="AbbVie14" w:date="2025-05-09T10:48:00Z">
        <w:r w:rsidRPr="0020624D">
          <w:rPr>
            <w:sz w:val="22"/>
            <w:szCs w:val="22"/>
            <w:highlight w:val="lightGray"/>
          </w:rPr>
          <w:delText>NN</w:delText>
        </w:r>
      </w:del>
    </w:p>
    <w:p w:rsidR="006224C2" w:rsidRPr="00295E71" w14:paraId="45AE65B0" w14:textId="77777777">
      <w:pPr>
        <w:tabs>
          <w:tab w:val="left" w:pos="567"/>
        </w:tabs>
        <w:ind w:left="540" w:hanging="540"/>
        <w:rPr>
          <w:del w:id="13377" w:author="AbbVie14" w:date="2025-05-09T10:48:00Z"/>
          <w:b/>
          <w:bCs/>
          <w:sz w:val="22"/>
          <w:szCs w:val="22"/>
          <w:u w:val="single"/>
        </w:rPr>
      </w:pPr>
    </w:p>
    <w:p w:rsidR="006224C2" w:rsidRPr="00295E71" w14:paraId="4E7FE049" w14:textId="77777777">
      <w:pPr>
        <w:ind w:left="540" w:hanging="540"/>
        <w:rPr>
          <w:del w:id="13378" w:author="AbbVie14" w:date="2025-05-09T10:48:00Z"/>
          <w:sz w:val="22"/>
          <w:szCs w:val="22"/>
        </w:rPr>
      </w:pPr>
    </w:p>
    <w:p w:rsidR="006224C2" w:rsidRPr="00295E71" w14:paraId="1ACC3813" w14:textId="77777777">
      <w:pPr>
        <w:ind w:left="540" w:hanging="540"/>
        <w:rPr>
          <w:del w:id="13379" w:author="AbbVie14" w:date="2025-05-09T10:48:00Z"/>
          <w:sz w:val="22"/>
          <w:szCs w:val="22"/>
        </w:rPr>
      </w:pPr>
      <w:del w:id="13380" w:author="AbbVie14" w:date="2025-05-09T10:48:00Z">
        <w:r w:rsidRPr="00295E71">
          <w:rPr>
            <w:sz w:val="22"/>
            <w:szCs w:val="22"/>
          </w:rPr>
          <w:br w:type="page"/>
        </w:r>
      </w:del>
    </w:p>
    <w:p w:rsidR="006224C2" w:rsidRPr="00295E71" w14:paraId="278FE56E" w14:textId="77777777">
      <w:pPr>
        <w:pBdr>
          <w:top w:val="single" w:sz="4" w:space="1" w:color="auto"/>
          <w:left w:val="single" w:sz="4" w:space="4" w:color="auto"/>
          <w:bottom w:val="single" w:sz="4" w:space="1" w:color="auto"/>
          <w:right w:val="single" w:sz="4" w:space="4" w:color="auto"/>
        </w:pBdr>
        <w:rPr>
          <w:del w:id="13381" w:author="AbbVie14" w:date="2025-05-09T10:48:00Z"/>
          <w:b/>
          <w:bCs/>
          <w:sz w:val="22"/>
          <w:szCs w:val="22"/>
        </w:rPr>
      </w:pPr>
      <w:del w:id="13382" w:author="AbbVie14" w:date="2025-05-09T10:48:00Z">
        <w:r w:rsidRPr="00295E71">
          <w:rPr>
            <w:b/>
            <w:bCs/>
            <w:sz w:val="22"/>
            <w:szCs w:val="22"/>
          </w:rPr>
          <w:delText>INFORMAZIONI MINIME DA APPORRE SUL CONFEZIONAMENTO SECONDARIO</w:delText>
        </w:r>
      </w:del>
    </w:p>
    <w:p w:rsidR="006224C2" w:rsidRPr="00295E71" w14:paraId="56616D19" w14:textId="77777777">
      <w:pPr>
        <w:pBdr>
          <w:top w:val="single" w:sz="4" w:space="1" w:color="auto"/>
          <w:left w:val="single" w:sz="4" w:space="4" w:color="auto"/>
          <w:bottom w:val="single" w:sz="4" w:space="1" w:color="auto"/>
          <w:right w:val="single" w:sz="4" w:space="4" w:color="auto"/>
        </w:pBdr>
        <w:rPr>
          <w:del w:id="13383" w:author="AbbVie14" w:date="2025-05-09T10:48:00Z"/>
          <w:b/>
          <w:bCs/>
          <w:sz w:val="22"/>
          <w:szCs w:val="22"/>
        </w:rPr>
      </w:pPr>
    </w:p>
    <w:p w:rsidR="006224C2" w:rsidRPr="00295E71" w14:paraId="72A34480" w14:textId="77777777">
      <w:pPr>
        <w:pStyle w:val="Heading3"/>
        <w:keepNext w:val="0"/>
        <w:pBdr>
          <w:top w:val="single" w:sz="4" w:space="1" w:color="auto"/>
          <w:left w:val="single" w:sz="4" w:space="4" w:color="auto"/>
          <w:bottom w:val="single" w:sz="4" w:space="1" w:color="auto"/>
          <w:right w:val="single" w:sz="4" w:space="4" w:color="auto"/>
        </w:pBdr>
        <w:ind w:left="540" w:hanging="540"/>
        <w:rPr>
          <w:del w:id="13384" w:author="AbbVie14" w:date="2025-05-09T10:48:00Z"/>
          <w:b/>
          <w:u w:val="none"/>
        </w:rPr>
      </w:pPr>
      <w:del w:id="13385" w:author="AbbVie14" w:date="2025-05-09T10:48:00Z">
        <w:r w:rsidRPr="00295E71">
          <w:rPr>
            <w:b/>
            <w:u w:val="none"/>
          </w:rPr>
          <w:delText>ASTUCCIO</w:delText>
        </w:r>
      </w:del>
      <w:del w:id="13386" w:author="AbbVie14" w:date="2025-05-09T10:48:00Z">
        <w:r w:rsidRPr="00295E71" w:rsidR="005364A8">
          <w:rPr>
            <w:b/>
            <w:u w:val="none"/>
          </w:rPr>
          <w:delText xml:space="preserve"> INTERNO</w:delText>
        </w:r>
      </w:del>
    </w:p>
    <w:p w:rsidR="006224C2" w:rsidRPr="00295E71" w14:paraId="7C87DC54" w14:textId="77777777">
      <w:pPr>
        <w:ind w:left="540" w:hanging="540"/>
        <w:rPr>
          <w:del w:id="13387" w:author="AbbVie14" w:date="2025-05-09T10:48:00Z"/>
          <w:sz w:val="22"/>
          <w:szCs w:val="22"/>
        </w:rPr>
      </w:pPr>
    </w:p>
    <w:p w:rsidR="006224C2" w:rsidRPr="00295E71" w14:paraId="031C9036" w14:textId="77777777">
      <w:pPr>
        <w:ind w:left="540" w:hanging="540"/>
        <w:rPr>
          <w:del w:id="13388" w:author="AbbVie14" w:date="2025-05-09T10:48:00Z"/>
          <w:sz w:val="22"/>
          <w:szCs w:val="22"/>
        </w:rPr>
      </w:pPr>
    </w:p>
    <w:p w:rsidR="006224C2" w:rsidRPr="00295E71" w:rsidP="005968CC" w14:paraId="79D5074F" w14:textId="77777777">
      <w:pPr>
        <w:pStyle w:val="EMEAHeadingBoxed1"/>
        <w:spacing w:beforeLines="0" w:afterLines="0"/>
        <w:rPr>
          <w:del w:id="13389" w:author="AbbVie14" w:date="2025-05-09T10:48:00Z"/>
          <w:rFonts w:ascii="Times New Roman" w:hAnsi="Times New Roman"/>
          <w:szCs w:val="22"/>
          <w:lang w:val="it-IT"/>
        </w:rPr>
      </w:pPr>
      <w:del w:id="13390" w:author="AbbVie14" w:date="2025-05-09T10:48:00Z">
        <w:r w:rsidRPr="00295E71">
          <w:rPr>
            <w:rFonts w:ascii="Times New Roman" w:hAnsi="Times New Roman"/>
            <w:szCs w:val="22"/>
            <w:lang w:val="it-IT"/>
          </w:rPr>
          <w:delText>1.</w:delText>
        </w:r>
      </w:del>
      <w:del w:id="13391" w:author="AbbVie14" w:date="2025-05-09T10:48:00Z">
        <w:r w:rsidRPr="00295E71">
          <w:rPr>
            <w:rFonts w:ascii="Times New Roman" w:hAnsi="Times New Roman"/>
            <w:szCs w:val="22"/>
            <w:lang w:val="it-IT"/>
          </w:rPr>
          <w:tab/>
          <w:delText xml:space="preserve">DENOMINAZIONE DEL MEDICINALE </w:delText>
        </w:r>
      </w:del>
    </w:p>
    <w:p w:rsidR="005968CC" w:rsidRPr="00295E71" w14:paraId="7C865B88" w14:textId="77777777">
      <w:pPr>
        <w:tabs>
          <w:tab w:val="left" w:pos="567"/>
        </w:tabs>
        <w:ind w:left="540" w:hanging="540"/>
        <w:rPr>
          <w:del w:id="13392" w:author="AbbVie14" w:date="2025-05-09T10:48:00Z"/>
          <w:sz w:val="22"/>
          <w:szCs w:val="22"/>
        </w:rPr>
      </w:pPr>
    </w:p>
    <w:p w:rsidR="006224C2" w:rsidRPr="00295E71" w14:paraId="49726EA9" w14:textId="77777777">
      <w:pPr>
        <w:tabs>
          <w:tab w:val="left" w:pos="567"/>
        </w:tabs>
        <w:ind w:left="540" w:hanging="540"/>
        <w:rPr>
          <w:del w:id="13393" w:author="AbbVie14" w:date="2025-05-09T10:48:00Z"/>
          <w:sz w:val="22"/>
          <w:szCs w:val="22"/>
        </w:rPr>
      </w:pPr>
      <w:del w:id="13394" w:author="AbbVie14" w:date="2025-05-09T10:48:00Z">
        <w:r w:rsidRPr="00295E71">
          <w:rPr>
            <w:sz w:val="22"/>
            <w:szCs w:val="22"/>
          </w:rPr>
          <w:delText>Humira 40 mg/0,8 ml</w:delText>
        </w:r>
      </w:del>
      <w:del w:id="13395" w:author="AbbVie14" w:date="2025-05-09T10:48:00Z">
        <w:r w:rsidRPr="00295E71" w:rsidR="00807252">
          <w:rPr>
            <w:sz w:val="22"/>
            <w:szCs w:val="22"/>
          </w:rPr>
          <w:delText xml:space="preserve"> </w:delText>
        </w:r>
      </w:del>
      <w:del w:id="13396" w:author="AbbVie14" w:date="2025-05-09T10:48:00Z">
        <w:r w:rsidRPr="00295E71">
          <w:rPr>
            <w:sz w:val="22"/>
            <w:szCs w:val="22"/>
          </w:rPr>
          <w:delText>soluzione iniettabile</w:delText>
        </w:r>
      </w:del>
    </w:p>
    <w:p w:rsidR="006224C2" w:rsidRPr="00295E71" w14:paraId="460C25C8" w14:textId="77777777">
      <w:pPr>
        <w:tabs>
          <w:tab w:val="left" w:pos="567"/>
        </w:tabs>
        <w:ind w:left="540" w:hanging="540"/>
        <w:rPr>
          <w:del w:id="13397" w:author="AbbVie14" w:date="2025-05-09T10:48:00Z"/>
          <w:sz w:val="22"/>
          <w:szCs w:val="22"/>
        </w:rPr>
      </w:pPr>
      <w:del w:id="13398" w:author="AbbVie14" w:date="2025-05-09T10:48:00Z">
        <w:r w:rsidRPr="00295E71">
          <w:rPr>
            <w:sz w:val="22"/>
            <w:szCs w:val="22"/>
          </w:rPr>
          <w:delText>adalimumab</w:delText>
        </w:r>
      </w:del>
    </w:p>
    <w:p w:rsidR="006224C2" w:rsidRPr="00295E71" w14:paraId="5B124212" w14:textId="77777777">
      <w:pPr>
        <w:tabs>
          <w:tab w:val="left" w:pos="567"/>
        </w:tabs>
        <w:ind w:left="540" w:hanging="540"/>
        <w:rPr>
          <w:del w:id="13399" w:author="AbbVie14" w:date="2025-05-09T10:48:00Z"/>
          <w:sz w:val="22"/>
          <w:szCs w:val="22"/>
        </w:rPr>
      </w:pPr>
    </w:p>
    <w:p w:rsidR="006224C2" w:rsidRPr="00295E71" w14:paraId="667D9344" w14:textId="77777777">
      <w:pPr>
        <w:tabs>
          <w:tab w:val="left" w:pos="567"/>
        </w:tabs>
        <w:ind w:left="540" w:hanging="540"/>
        <w:rPr>
          <w:del w:id="13400" w:author="AbbVie14" w:date="2025-05-09T10:48:00Z"/>
          <w:sz w:val="22"/>
          <w:szCs w:val="22"/>
        </w:rPr>
      </w:pPr>
    </w:p>
    <w:p w:rsidR="006224C2" w:rsidRPr="00295E71" w14:paraId="7A8772AA"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401" w:author="AbbVie14" w:date="2025-05-09T10:48:00Z"/>
          <w:b/>
          <w:bCs/>
          <w:sz w:val="22"/>
          <w:szCs w:val="22"/>
        </w:rPr>
      </w:pPr>
      <w:del w:id="13402" w:author="AbbVie14" w:date="2025-05-09T10:48:00Z">
        <w:r w:rsidRPr="00295E71">
          <w:rPr>
            <w:b/>
            <w:bCs/>
            <w:sz w:val="22"/>
            <w:szCs w:val="22"/>
          </w:rPr>
          <w:delText>2.</w:delText>
        </w:r>
      </w:del>
      <w:del w:id="13403" w:author="AbbVie14" w:date="2025-05-09T10:48:00Z">
        <w:r w:rsidRPr="00295E71">
          <w:rPr>
            <w:b/>
            <w:bCs/>
            <w:sz w:val="22"/>
            <w:szCs w:val="22"/>
          </w:rPr>
          <w:tab/>
          <w:delText>COMPOSIZIONE QUALITATIVA E QUANTITATIVA IN TERMINI DI PRINCIPIO ATTIVO</w:delText>
        </w:r>
      </w:del>
    </w:p>
    <w:p w:rsidR="006224C2" w:rsidRPr="00295E71" w14:paraId="3946D13B" w14:textId="77777777">
      <w:pPr>
        <w:tabs>
          <w:tab w:val="left" w:pos="567"/>
        </w:tabs>
        <w:ind w:left="540" w:hanging="540"/>
        <w:rPr>
          <w:del w:id="13404" w:author="AbbVie14" w:date="2025-05-09T10:48:00Z"/>
          <w:sz w:val="22"/>
          <w:szCs w:val="22"/>
        </w:rPr>
      </w:pPr>
    </w:p>
    <w:p w:rsidR="006224C2" w:rsidRPr="00295E71" w14:paraId="6CD58671" w14:textId="77777777">
      <w:pPr>
        <w:tabs>
          <w:tab w:val="left" w:pos="567"/>
        </w:tabs>
        <w:ind w:left="540" w:hanging="540"/>
        <w:rPr>
          <w:del w:id="13405" w:author="AbbVie14" w:date="2025-05-09T10:48:00Z"/>
          <w:sz w:val="22"/>
          <w:szCs w:val="22"/>
        </w:rPr>
      </w:pPr>
      <w:del w:id="13406" w:author="AbbVie14" w:date="2025-05-09T10:48:00Z">
        <w:r w:rsidRPr="00295E71">
          <w:rPr>
            <w:sz w:val="22"/>
            <w:szCs w:val="22"/>
          </w:rPr>
          <w:delText>Un flaconcino da 0, 8 ml contiene 40 mg di adalimumab</w:delText>
        </w:r>
      </w:del>
    </w:p>
    <w:p w:rsidR="006224C2" w:rsidRPr="00295E71" w14:paraId="56939E3A" w14:textId="77777777">
      <w:pPr>
        <w:tabs>
          <w:tab w:val="left" w:pos="567"/>
        </w:tabs>
        <w:ind w:left="540" w:hanging="540"/>
        <w:rPr>
          <w:del w:id="13407" w:author="AbbVie14" w:date="2025-05-09T10:48:00Z"/>
          <w:sz w:val="22"/>
          <w:szCs w:val="22"/>
        </w:rPr>
      </w:pPr>
    </w:p>
    <w:p w:rsidR="006224C2" w:rsidRPr="00295E71" w14:paraId="7829F69A" w14:textId="77777777">
      <w:pPr>
        <w:tabs>
          <w:tab w:val="left" w:pos="567"/>
        </w:tabs>
        <w:ind w:left="540" w:hanging="540"/>
        <w:rPr>
          <w:del w:id="13408" w:author="AbbVie14" w:date="2025-05-09T10:48:00Z"/>
          <w:sz w:val="22"/>
          <w:szCs w:val="22"/>
        </w:rPr>
      </w:pPr>
    </w:p>
    <w:p w:rsidR="006224C2" w:rsidRPr="00295E71" w14:paraId="7CE6627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409" w:author="AbbVie14" w:date="2025-05-09T10:48:00Z"/>
          <w:sz w:val="22"/>
          <w:szCs w:val="22"/>
        </w:rPr>
      </w:pPr>
      <w:del w:id="13410" w:author="AbbVie14" w:date="2025-05-09T10:48:00Z">
        <w:r w:rsidRPr="00295E71">
          <w:rPr>
            <w:b/>
            <w:bCs/>
            <w:sz w:val="22"/>
            <w:szCs w:val="22"/>
          </w:rPr>
          <w:delText xml:space="preserve">3. </w:delText>
        </w:r>
      </w:del>
      <w:del w:id="13411" w:author="AbbVie14" w:date="2025-05-09T10:48:00Z">
        <w:r w:rsidRPr="00295E71">
          <w:rPr>
            <w:b/>
            <w:bCs/>
            <w:sz w:val="22"/>
            <w:szCs w:val="22"/>
          </w:rPr>
          <w:tab/>
          <w:delText>ELENCO DEGLI ECCIPIENTI</w:delText>
        </w:r>
      </w:del>
    </w:p>
    <w:p w:rsidR="006224C2" w:rsidRPr="00295E71" w14:paraId="2D5D28A8" w14:textId="77777777">
      <w:pPr>
        <w:tabs>
          <w:tab w:val="left" w:pos="567"/>
        </w:tabs>
        <w:rPr>
          <w:del w:id="13412" w:author="AbbVie14" w:date="2025-05-09T10:48:00Z"/>
          <w:sz w:val="22"/>
          <w:szCs w:val="22"/>
        </w:rPr>
      </w:pPr>
    </w:p>
    <w:p w:rsidR="006224C2" w:rsidRPr="00295E71" w14:paraId="69ED8760" w14:textId="77777777">
      <w:pPr>
        <w:pStyle w:val="EMEAFigureTitle"/>
        <w:suppressAutoHyphens w:val="0"/>
        <w:autoSpaceDE w:val="0"/>
        <w:autoSpaceDN w:val="0"/>
        <w:adjustRightInd w:val="0"/>
        <w:rPr>
          <w:del w:id="13413" w:author="AbbVie14" w:date="2025-05-09T10:48:00Z"/>
          <w:lang w:val="it-IT" w:eastAsia="it-IT"/>
        </w:rPr>
      </w:pPr>
      <w:del w:id="13414" w:author="AbbVie14" w:date="2025-05-09T10:48:00Z">
        <w:r w:rsidRPr="00295E71">
          <w:rPr>
            <w:lang w:val="it-IT" w:eastAsia="it-IT"/>
          </w:rPr>
          <w:delText>Eccipienti: mannitolo, acido citrico monoidrato, sodio citrato, sodio fosfato monobasico diidrato, sodio fosfato dibasico diidrato, sodio cloruro, polisorbato 80, sodio idrossido e acqua per preparazioni iniettabili. Per ulteriori informazioni vedere il foglio illustrativo.</w:delText>
        </w:r>
      </w:del>
    </w:p>
    <w:p w:rsidR="006224C2" w:rsidRPr="00295E71" w14:paraId="586F5F9D" w14:textId="77777777">
      <w:pPr>
        <w:tabs>
          <w:tab w:val="left" w:pos="567"/>
        </w:tabs>
        <w:ind w:left="540" w:hanging="540"/>
        <w:rPr>
          <w:del w:id="13415" w:author="AbbVie14" w:date="2025-05-09T10:48:00Z"/>
          <w:sz w:val="22"/>
          <w:szCs w:val="22"/>
        </w:rPr>
      </w:pPr>
    </w:p>
    <w:p w:rsidR="006224C2" w:rsidRPr="00295E71" w14:paraId="43B3FFE6" w14:textId="77777777">
      <w:pPr>
        <w:tabs>
          <w:tab w:val="left" w:pos="567"/>
        </w:tabs>
        <w:ind w:left="540" w:hanging="540"/>
        <w:rPr>
          <w:del w:id="13416" w:author="AbbVie14" w:date="2025-05-09T10:48:00Z"/>
          <w:sz w:val="22"/>
          <w:szCs w:val="22"/>
        </w:rPr>
      </w:pPr>
    </w:p>
    <w:p w:rsidR="006224C2" w:rsidRPr="00295E71" w14:paraId="6B6CE9A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417" w:author="AbbVie14" w:date="2025-05-09T10:48:00Z"/>
          <w:sz w:val="22"/>
          <w:szCs w:val="22"/>
        </w:rPr>
      </w:pPr>
      <w:del w:id="13418" w:author="AbbVie14" w:date="2025-05-09T10:48:00Z">
        <w:r w:rsidRPr="00295E71">
          <w:rPr>
            <w:b/>
            <w:bCs/>
            <w:sz w:val="22"/>
            <w:szCs w:val="22"/>
          </w:rPr>
          <w:delText>4.</w:delText>
        </w:r>
      </w:del>
      <w:del w:id="13419" w:author="AbbVie14" w:date="2025-05-09T10:48:00Z">
        <w:r w:rsidRPr="00295E71">
          <w:rPr>
            <w:b/>
            <w:bCs/>
            <w:sz w:val="22"/>
            <w:szCs w:val="22"/>
          </w:rPr>
          <w:tab/>
          <w:delText>FORMA FARMACEUTICA E CONTENUTO</w:delText>
        </w:r>
      </w:del>
    </w:p>
    <w:p w:rsidR="006224C2" w:rsidRPr="00295E71" w14:paraId="4C4D8ADB" w14:textId="77777777">
      <w:pPr>
        <w:tabs>
          <w:tab w:val="left" w:pos="567"/>
        </w:tabs>
        <w:ind w:left="540" w:hanging="540"/>
        <w:rPr>
          <w:del w:id="13420" w:author="AbbVie14" w:date="2025-05-09T10:48:00Z"/>
          <w:sz w:val="22"/>
          <w:szCs w:val="22"/>
        </w:rPr>
      </w:pPr>
    </w:p>
    <w:p w:rsidR="004650FF" w:rsidRPr="00295E71" w14:paraId="55D4DAE2" w14:textId="77777777">
      <w:pPr>
        <w:tabs>
          <w:tab w:val="left" w:pos="567"/>
        </w:tabs>
        <w:ind w:left="540" w:hanging="540"/>
        <w:rPr>
          <w:del w:id="13421" w:author="AbbVie14" w:date="2025-05-09T10:48:00Z"/>
          <w:sz w:val="22"/>
          <w:szCs w:val="22"/>
        </w:rPr>
      </w:pPr>
      <w:del w:id="13422" w:author="AbbVie14" w:date="2025-05-09T10:48:00Z">
        <w:r w:rsidRPr="00295E71">
          <w:rPr>
            <w:sz w:val="22"/>
            <w:szCs w:val="22"/>
            <w:highlight w:val="lightGray"/>
          </w:rPr>
          <w:delText>Soluzione iniettabile</w:delText>
        </w:r>
      </w:del>
    </w:p>
    <w:p w:rsidR="006224C2" w:rsidRPr="00295E71" w14:paraId="61DDFC72" w14:textId="77777777">
      <w:pPr>
        <w:tabs>
          <w:tab w:val="left" w:pos="567"/>
        </w:tabs>
        <w:ind w:left="540" w:hanging="540"/>
        <w:rPr>
          <w:del w:id="13423" w:author="AbbVie14" w:date="2025-05-09T10:48:00Z"/>
          <w:i/>
          <w:iCs/>
          <w:sz w:val="22"/>
          <w:szCs w:val="22"/>
        </w:rPr>
      </w:pPr>
      <w:del w:id="13424" w:author="AbbVie14" w:date="2025-05-09T10:48:00Z">
        <w:r w:rsidRPr="00295E71">
          <w:rPr>
            <w:sz w:val="22"/>
            <w:szCs w:val="22"/>
          </w:rPr>
          <w:delText>1 flaconcino</w:delText>
        </w:r>
      </w:del>
    </w:p>
    <w:p w:rsidR="006224C2" w:rsidRPr="00295E71" w14:paraId="1C2A9448" w14:textId="77777777">
      <w:pPr>
        <w:tabs>
          <w:tab w:val="left" w:pos="567"/>
        </w:tabs>
        <w:ind w:left="540" w:hanging="540"/>
        <w:rPr>
          <w:del w:id="13425" w:author="AbbVie14" w:date="2025-05-09T10:48:00Z"/>
          <w:sz w:val="22"/>
          <w:szCs w:val="22"/>
        </w:rPr>
      </w:pPr>
      <w:del w:id="13426" w:author="AbbVie14" w:date="2025-05-09T10:48:00Z">
        <w:r w:rsidRPr="00295E71">
          <w:rPr>
            <w:sz w:val="22"/>
            <w:szCs w:val="22"/>
          </w:rPr>
          <w:delText xml:space="preserve">1 siringa sterile per iniezione </w:delText>
        </w:r>
      </w:del>
    </w:p>
    <w:p w:rsidR="006224C2" w:rsidRPr="00295E71" w14:paraId="28875318" w14:textId="77777777">
      <w:pPr>
        <w:tabs>
          <w:tab w:val="left" w:pos="567"/>
        </w:tabs>
        <w:ind w:left="540" w:hanging="540"/>
        <w:rPr>
          <w:del w:id="13427" w:author="AbbVie14" w:date="2025-05-09T10:48:00Z"/>
          <w:sz w:val="22"/>
          <w:szCs w:val="22"/>
        </w:rPr>
      </w:pPr>
      <w:del w:id="13428" w:author="AbbVie14" w:date="2025-05-09T10:48:00Z">
        <w:r w:rsidRPr="00295E71">
          <w:rPr>
            <w:sz w:val="22"/>
            <w:szCs w:val="22"/>
          </w:rPr>
          <w:delText>1 ago sterile</w:delText>
        </w:r>
      </w:del>
    </w:p>
    <w:p w:rsidR="006224C2" w:rsidRPr="00295E71" w14:paraId="6A8B7763" w14:textId="77777777">
      <w:pPr>
        <w:tabs>
          <w:tab w:val="left" w:pos="567"/>
        </w:tabs>
        <w:ind w:left="540" w:hanging="540"/>
        <w:rPr>
          <w:del w:id="13429" w:author="AbbVie14" w:date="2025-05-09T10:48:00Z"/>
          <w:sz w:val="22"/>
          <w:szCs w:val="22"/>
        </w:rPr>
      </w:pPr>
      <w:del w:id="13430" w:author="AbbVie14" w:date="2025-05-09T10:48:00Z">
        <w:r w:rsidRPr="00295E71">
          <w:rPr>
            <w:sz w:val="22"/>
            <w:szCs w:val="22"/>
          </w:rPr>
          <w:delText>1 adattatore sterile da flaconcino</w:delText>
        </w:r>
      </w:del>
    </w:p>
    <w:p w:rsidR="006224C2" w:rsidRPr="00295E71" w14:paraId="03700F99" w14:textId="77777777">
      <w:pPr>
        <w:tabs>
          <w:tab w:val="left" w:pos="567"/>
        </w:tabs>
        <w:ind w:left="540" w:hanging="540"/>
        <w:rPr>
          <w:del w:id="13431" w:author="AbbVie14" w:date="2025-05-09T10:48:00Z"/>
          <w:sz w:val="22"/>
          <w:szCs w:val="22"/>
        </w:rPr>
      </w:pPr>
      <w:del w:id="13432" w:author="AbbVie14" w:date="2025-05-09T10:48:00Z">
        <w:r w:rsidRPr="00295E71">
          <w:rPr>
            <w:sz w:val="22"/>
            <w:szCs w:val="22"/>
          </w:rPr>
          <w:delText>2 tamponi imbevuti di alcool</w:delText>
        </w:r>
      </w:del>
    </w:p>
    <w:p w:rsidR="006224C2" w:rsidRPr="00295E71" w14:paraId="7D131301" w14:textId="77777777">
      <w:pPr>
        <w:tabs>
          <w:tab w:val="left" w:pos="567"/>
        </w:tabs>
        <w:ind w:left="540" w:hanging="540"/>
        <w:rPr>
          <w:del w:id="13433" w:author="AbbVie14" w:date="2025-05-09T10:48:00Z"/>
          <w:sz w:val="22"/>
          <w:szCs w:val="22"/>
        </w:rPr>
      </w:pPr>
    </w:p>
    <w:p w:rsidR="006224C2" w:rsidRPr="00295E71" w14:paraId="5FCD16EE" w14:textId="77777777">
      <w:pPr>
        <w:tabs>
          <w:tab w:val="left" w:pos="567"/>
        </w:tabs>
        <w:ind w:left="540" w:hanging="540"/>
        <w:rPr>
          <w:del w:id="13434" w:author="AbbVie14" w:date="2025-05-09T10:48:00Z"/>
          <w:sz w:val="22"/>
          <w:szCs w:val="22"/>
        </w:rPr>
      </w:pPr>
    </w:p>
    <w:p w:rsidR="006224C2" w:rsidRPr="00295E71" w14:paraId="59F5952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435" w:author="AbbVie14" w:date="2025-05-09T10:48:00Z"/>
          <w:sz w:val="22"/>
          <w:szCs w:val="22"/>
        </w:rPr>
      </w:pPr>
      <w:del w:id="13436" w:author="AbbVie14" w:date="2025-05-09T10:48:00Z">
        <w:r w:rsidRPr="00295E71">
          <w:rPr>
            <w:b/>
            <w:bCs/>
            <w:sz w:val="22"/>
            <w:szCs w:val="22"/>
          </w:rPr>
          <w:delText>5.</w:delText>
        </w:r>
      </w:del>
      <w:del w:id="13437" w:author="AbbVie14" w:date="2025-05-09T10:48:00Z">
        <w:r w:rsidRPr="00295E71">
          <w:rPr>
            <w:b/>
            <w:bCs/>
            <w:sz w:val="22"/>
            <w:szCs w:val="22"/>
          </w:rPr>
          <w:tab/>
          <w:delText>MODO E VIA DI SOMMINISTRAZIONE</w:delText>
        </w:r>
      </w:del>
    </w:p>
    <w:p w:rsidR="006224C2" w:rsidRPr="00295E71" w14:paraId="3D68F50E" w14:textId="77777777">
      <w:pPr>
        <w:tabs>
          <w:tab w:val="left" w:pos="567"/>
        </w:tabs>
        <w:ind w:left="540" w:hanging="540"/>
        <w:rPr>
          <w:del w:id="13438" w:author="AbbVie14" w:date="2025-05-09T10:48:00Z"/>
          <w:sz w:val="22"/>
          <w:szCs w:val="22"/>
        </w:rPr>
      </w:pPr>
    </w:p>
    <w:p w:rsidR="006224C2" w:rsidRPr="00295E71" w14:paraId="7E8DF0C6" w14:textId="77777777">
      <w:pPr>
        <w:tabs>
          <w:tab w:val="left" w:pos="567"/>
        </w:tabs>
        <w:ind w:left="540" w:hanging="540"/>
        <w:rPr>
          <w:del w:id="13439" w:author="AbbVie14" w:date="2025-05-09T10:48:00Z"/>
          <w:sz w:val="22"/>
          <w:szCs w:val="22"/>
        </w:rPr>
      </w:pPr>
      <w:del w:id="13440" w:author="AbbVie14" w:date="2025-05-09T10:48:00Z">
        <w:r w:rsidRPr="00295E71">
          <w:rPr>
            <w:sz w:val="22"/>
            <w:szCs w:val="22"/>
          </w:rPr>
          <w:delText>Uso sottocutaneo.</w:delText>
        </w:r>
      </w:del>
    </w:p>
    <w:p w:rsidR="006224C2" w:rsidRPr="00295E71" w14:paraId="265AE234" w14:textId="77777777">
      <w:pPr>
        <w:tabs>
          <w:tab w:val="left" w:pos="567"/>
        </w:tabs>
        <w:ind w:left="540" w:hanging="540"/>
        <w:rPr>
          <w:del w:id="13441" w:author="AbbVie14" w:date="2025-05-09T10:48:00Z"/>
          <w:sz w:val="22"/>
          <w:szCs w:val="22"/>
        </w:rPr>
      </w:pPr>
    </w:p>
    <w:p w:rsidR="006224C2" w:rsidRPr="00295E71" w14:paraId="07A4AB8D" w14:textId="77777777">
      <w:pPr>
        <w:tabs>
          <w:tab w:val="left" w:pos="567"/>
        </w:tabs>
        <w:ind w:left="540" w:hanging="540"/>
        <w:rPr>
          <w:del w:id="13442" w:author="AbbVie14" w:date="2025-05-09T10:48:00Z"/>
          <w:sz w:val="22"/>
          <w:szCs w:val="22"/>
        </w:rPr>
      </w:pPr>
      <w:del w:id="13443" w:author="AbbVie14" w:date="2025-05-09T10:48:00Z">
        <w:r w:rsidRPr="00295E71">
          <w:rPr>
            <w:sz w:val="22"/>
            <w:szCs w:val="22"/>
          </w:rPr>
          <w:delText>Leggere il foglio illustrativo prima dell'uso.</w:delText>
        </w:r>
      </w:del>
    </w:p>
    <w:p w:rsidR="006224C2" w:rsidRPr="00295E71" w14:paraId="5355FEB6" w14:textId="77777777">
      <w:pPr>
        <w:tabs>
          <w:tab w:val="left" w:pos="567"/>
        </w:tabs>
        <w:ind w:left="540" w:hanging="540"/>
        <w:rPr>
          <w:del w:id="13444" w:author="AbbVie14" w:date="2025-05-09T10:48:00Z"/>
          <w:sz w:val="22"/>
          <w:szCs w:val="22"/>
        </w:rPr>
      </w:pPr>
    </w:p>
    <w:p w:rsidR="00807252" w:rsidRPr="00295E71" w:rsidP="00807252" w14:paraId="251978B1" w14:textId="77777777">
      <w:pPr>
        <w:tabs>
          <w:tab w:val="left" w:pos="567"/>
        </w:tabs>
        <w:ind w:left="540" w:hanging="540"/>
        <w:rPr>
          <w:del w:id="13445" w:author="AbbVie14" w:date="2025-05-09T10:48:00Z"/>
          <w:sz w:val="22"/>
          <w:szCs w:val="22"/>
        </w:rPr>
      </w:pPr>
      <w:del w:id="13446" w:author="AbbVie14" w:date="2025-05-09T10:48:00Z">
        <w:r w:rsidRPr="00295E71">
          <w:rPr>
            <w:sz w:val="22"/>
            <w:szCs w:val="22"/>
          </w:rPr>
          <w:delText xml:space="preserve"> Esclusivamente monouso.</w:delText>
        </w:r>
      </w:del>
    </w:p>
    <w:p w:rsidR="00A500D2" w:rsidRPr="00295E71" w:rsidP="00A500D2" w14:paraId="5D37D958" w14:textId="77777777">
      <w:pPr>
        <w:tabs>
          <w:tab w:val="left" w:pos="567"/>
        </w:tabs>
        <w:ind w:left="540" w:hanging="540"/>
        <w:rPr>
          <w:del w:id="13447" w:author="AbbVie14" w:date="2025-05-09T10:48:00Z"/>
          <w:sz w:val="22"/>
          <w:szCs w:val="22"/>
        </w:rPr>
      </w:pPr>
    </w:p>
    <w:p w:rsidR="00A500D2" w:rsidRPr="00295E71" w14:paraId="4299E3E7" w14:textId="77777777">
      <w:pPr>
        <w:tabs>
          <w:tab w:val="left" w:pos="567"/>
        </w:tabs>
        <w:ind w:left="540" w:hanging="540"/>
        <w:rPr>
          <w:del w:id="13448" w:author="AbbVie14" w:date="2025-05-09T10:48:00Z"/>
          <w:sz w:val="22"/>
          <w:szCs w:val="22"/>
        </w:rPr>
      </w:pPr>
    </w:p>
    <w:p w:rsidR="004650FF" w:rsidRPr="00295E71" w14:paraId="24C8F414" w14:textId="77777777">
      <w:pPr>
        <w:tabs>
          <w:tab w:val="left" w:pos="567"/>
        </w:tabs>
        <w:ind w:left="540" w:hanging="540"/>
        <w:rPr>
          <w:del w:id="13449" w:author="AbbVie14" w:date="2025-05-09T10:48:00Z"/>
          <w:sz w:val="22"/>
          <w:szCs w:val="22"/>
        </w:rPr>
      </w:pPr>
      <w:del w:id="13450" w:author="AbbVie14" w:date="2025-05-09T10:48:00Z">
        <w:r w:rsidRPr="00295E71">
          <w:rPr>
            <w:sz w:val="22"/>
            <w:szCs w:val="22"/>
          </w:rPr>
          <w:delText>Per uso pediatrico</w:delText>
        </w:r>
      </w:del>
    </w:p>
    <w:p w:rsidR="006224C2" w:rsidRPr="00295E71" w14:paraId="4C4870F7" w14:textId="77777777">
      <w:pPr>
        <w:tabs>
          <w:tab w:val="left" w:pos="567"/>
        </w:tabs>
        <w:ind w:left="540" w:hanging="540"/>
        <w:rPr>
          <w:del w:id="13451" w:author="AbbVie14" w:date="2025-05-09T10:48:00Z"/>
          <w:sz w:val="22"/>
          <w:szCs w:val="22"/>
        </w:rPr>
      </w:pPr>
    </w:p>
    <w:p w:rsidR="005968CC" w:rsidRPr="00295E71" w14:paraId="12229B6F" w14:textId="77777777">
      <w:pPr>
        <w:tabs>
          <w:tab w:val="left" w:pos="567"/>
        </w:tabs>
        <w:ind w:left="540" w:hanging="540"/>
        <w:rPr>
          <w:del w:id="13452" w:author="AbbVie14" w:date="2025-05-09T10:48:00Z"/>
          <w:sz w:val="22"/>
          <w:szCs w:val="22"/>
        </w:rPr>
      </w:pPr>
    </w:p>
    <w:p w:rsidR="006224C2" w:rsidRPr="00295E71" w14:paraId="54B1B3C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453" w:author="AbbVie14" w:date="2025-05-09T10:48:00Z"/>
          <w:sz w:val="22"/>
          <w:szCs w:val="22"/>
        </w:rPr>
      </w:pPr>
      <w:del w:id="13454" w:author="AbbVie14" w:date="2025-05-09T10:48:00Z">
        <w:r w:rsidRPr="00295E71">
          <w:rPr>
            <w:b/>
            <w:bCs/>
            <w:sz w:val="22"/>
            <w:szCs w:val="22"/>
          </w:rPr>
          <w:delText>6.</w:delText>
        </w:r>
      </w:del>
      <w:del w:id="13455" w:author="AbbVie14" w:date="2025-05-09T10:48:00Z">
        <w:r w:rsidRPr="00295E71">
          <w:rPr>
            <w:b/>
            <w:bCs/>
            <w:sz w:val="22"/>
            <w:szCs w:val="22"/>
          </w:rPr>
          <w:tab/>
          <w:delText>AVVERTENZA PARTICOLARE CHE PRESCRIVA DI TENERE IL MEDICINALE FUORI DALLA VISTA E DALLA PORTATA DEI BAMBINI</w:delText>
        </w:r>
      </w:del>
    </w:p>
    <w:p w:rsidR="006224C2" w:rsidRPr="00295E71" w14:paraId="404B0448" w14:textId="77777777">
      <w:pPr>
        <w:tabs>
          <w:tab w:val="left" w:pos="567"/>
        </w:tabs>
        <w:ind w:left="540" w:hanging="540"/>
        <w:rPr>
          <w:del w:id="13456" w:author="AbbVie14" w:date="2025-05-09T10:48:00Z"/>
          <w:sz w:val="22"/>
          <w:szCs w:val="22"/>
        </w:rPr>
      </w:pPr>
    </w:p>
    <w:p w:rsidR="006224C2" w:rsidRPr="00295E71" w14:paraId="18F004F7" w14:textId="77777777">
      <w:pPr>
        <w:tabs>
          <w:tab w:val="left" w:pos="567"/>
        </w:tabs>
        <w:ind w:left="540" w:hanging="540"/>
        <w:rPr>
          <w:del w:id="13457" w:author="AbbVie14" w:date="2025-05-09T10:48:00Z"/>
          <w:sz w:val="22"/>
          <w:szCs w:val="22"/>
        </w:rPr>
      </w:pPr>
      <w:del w:id="13458" w:author="AbbVie14" w:date="2025-05-09T10:48:00Z">
        <w:r w:rsidRPr="00295E71">
          <w:rPr>
            <w:sz w:val="22"/>
            <w:szCs w:val="22"/>
          </w:rPr>
          <w:delText>Tenere fuori dalla vista e dalla portata dei bambini.</w:delText>
        </w:r>
      </w:del>
    </w:p>
    <w:p w:rsidR="006224C2" w:rsidRPr="00295E71" w14:paraId="4AFB4428" w14:textId="77777777">
      <w:pPr>
        <w:tabs>
          <w:tab w:val="left" w:pos="567"/>
        </w:tabs>
        <w:ind w:left="540" w:hanging="540"/>
        <w:rPr>
          <w:del w:id="13459" w:author="AbbVie14" w:date="2025-05-09T10:48:00Z"/>
          <w:sz w:val="22"/>
          <w:szCs w:val="22"/>
        </w:rPr>
      </w:pPr>
    </w:p>
    <w:p w:rsidR="006224C2" w:rsidRPr="00295E71" w14:paraId="247296DD" w14:textId="77777777">
      <w:pPr>
        <w:tabs>
          <w:tab w:val="left" w:pos="567"/>
        </w:tabs>
        <w:ind w:left="540" w:hanging="540"/>
        <w:rPr>
          <w:del w:id="13460" w:author="AbbVie14" w:date="2025-05-09T10:48:00Z"/>
          <w:sz w:val="22"/>
          <w:szCs w:val="22"/>
        </w:rPr>
      </w:pPr>
    </w:p>
    <w:p w:rsidR="006224C2" w:rsidRPr="00295E71" w14:paraId="5B12581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461" w:author="AbbVie14" w:date="2025-05-09T10:48:00Z"/>
          <w:sz w:val="22"/>
          <w:szCs w:val="22"/>
        </w:rPr>
      </w:pPr>
      <w:del w:id="13462" w:author="AbbVie14" w:date="2025-05-09T10:48:00Z">
        <w:r w:rsidRPr="00295E71">
          <w:rPr>
            <w:b/>
            <w:bCs/>
            <w:sz w:val="22"/>
            <w:szCs w:val="22"/>
          </w:rPr>
          <w:delText xml:space="preserve">7. </w:delText>
        </w:r>
      </w:del>
      <w:del w:id="13463" w:author="AbbVie14" w:date="2025-05-09T10:48:00Z">
        <w:r w:rsidRPr="00295E71">
          <w:rPr>
            <w:b/>
            <w:bCs/>
            <w:sz w:val="22"/>
            <w:szCs w:val="22"/>
          </w:rPr>
          <w:tab/>
          <w:delText>ALTRA AVVERTENZA PARTICOLARE, SE NECESSARIO</w:delText>
        </w:r>
      </w:del>
    </w:p>
    <w:p w:rsidR="006224C2" w:rsidRPr="00295E71" w14:paraId="69C9CF27" w14:textId="77777777">
      <w:pPr>
        <w:tabs>
          <w:tab w:val="left" w:pos="567"/>
        </w:tabs>
        <w:ind w:left="540" w:hanging="540"/>
        <w:rPr>
          <w:del w:id="13464" w:author="AbbVie14" w:date="2025-05-09T10:48:00Z"/>
          <w:sz w:val="22"/>
          <w:szCs w:val="22"/>
        </w:rPr>
      </w:pPr>
    </w:p>
    <w:p w:rsidR="006224C2" w:rsidRPr="00295E71" w14:paraId="7E1D0DD7" w14:textId="77777777">
      <w:pPr>
        <w:tabs>
          <w:tab w:val="left" w:pos="567"/>
        </w:tabs>
        <w:ind w:left="540" w:hanging="540"/>
        <w:rPr>
          <w:del w:id="13465" w:author="AbbVie14" w:date="2025-05-09T10:48:00Z"/>
          <w:sz w:val="22"/>
          <w:szCs w:val="22"/>
        </w:rPr>
      </w:pPr>
    </w:p>
    <w:p w:rsidR="006224C2" w:rsidRPr="00295E71" w:rsidP="005968CC" w14:paraId="3BA8E8EB" w14:textId="77777777">
      <w:pPr>
        <w:keepNext/>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466" w:author="AbbVie14" w:date="2025-05-09T10:48:00Z"/>
          <w:sz w:val="22"/>
          <w:szCs w:val="22"/>
        </w:rPr>
      </w:pPr>
      <w:del w:id="13467" w:author="AbbVie14" w:date="2025-05-09T10:48:00Z">
        <w:r w:rsidRPr="00295E71">
          <w:rPr>
            <w:b/>
            <w:bCs/>
            <w:sz w:val="22"/>
            <w:szCs w:val="22"/>
          </w:rPr>
          <w:delText xml:space="preserve">8. </w:delText>
        </w:r>
      </w:del>
      <w:del w:id="13468" w:author="AbbVie14" w:date="2025-05-09T10:48:00Z">
        <w:r w:rsidRPr="00295E71">
          <w:rPr>
            <w:b/>
            <w:bCs/>
            <w:sz w:val="22"/>
            <w:szCs w:val="22"/>
          </w:rPr>
          <w:tab/>
          <w:delText>DATA DI SCADENZA</w:delText>
        </w:r>
      </w:del>
    </w:p>
    <w:p w:rsidR="006224C2" w:rsidRPr="00295E71" w:rsidP="005968CC" w14:paraId="59FC43EE" w14:textId="77777777">
      <w:pPr>
        <w:keepNext/>
        <w:tabs>
          <w:tab w:val="left" w:pos="567"/>
        </w:tabs>
        <w:ind w:left="540" w:hanging="540"/>
        <w:rPr>
          <w:del w:id="13469" w:author="AbbVie14" w:date="2025-05-09T10:48:00Z"/>
          <w:sz w:val="22"/>
          <w:szCs w:val="22"/>
        </w:rPr>
      </w:pPr>
    </w:p>
    <w:p w:rsidR="006224C2" w:rsidRPr="00295E71" w:rsidP="005968CC" w14:paraId="3DC6E305" w14:textId="77777777">
      <w:pPr>
        <w:keepNext/>
        <w:tabs>
          <w:tab w:val="left" w:pos="567"/>
        </w:tabs>
        <w:ind w:left="540" w:hanging="540"/>
        <w:rPr>
          <w:del w:id="13470" w:author="AbbVie14" w:date="2025-05-09T10:48:00Z"/>
          <w:sz w:val="22"/>
          <w:szCs w:val="22"/>
        </w:rPr>
      </w:pPr>
      <w:del w:id="13471" w:author="AbbVie14" w:date="2025-05-09T10:48:00Z">
        <w:r w:rsidRPr="00295E71">
          <w:rPr>
            <w:sz w:val="22"/>
            <w:szCs w:val="22"/>
          </w:rPr>
          <w:delText xml:space="preserve">Scad. </w:delText>
        </w:r>
      </w:del>
    </w:p>
    <w:p w:rsidR="006224C2" w:rsidRPr="00295E71" w14:paraId="11FFFD54" w14:textId="77777777">
      <w:pPr>
        <w:tabs>
          <w:tab w:val="left" w:pos="567"/>
        </w:tabs>
        <w:ind w:left="540" w:hanging="540"/>
        <w:rPr>
          <w:del w:id="13472" w:author="AbbVie14" w:date="2025-05-09T10:48:00Z"/>
          <w:sz w:val="22"/>
          <w:szCs w:val="22"/>
        </w:rPr>
      </w:pPr>
    </w:p>
    <w:p w:rsidR="006224C2" w:rsidRPr="00295E71" w14:paraId="24A63012" w14:textId="77777777">
      <w:pPr>
        <w:tabs>
          <w:tab w:val="left" w:pos="567"/>
        </w:tabs>
        <w:ind w:left="540" w:hanging="540"/>
        <w:rPr>
          <w:del w:id="13473" w:author="AbbVie14" w:date="2025-05-09T10:48:00Z"/>
          <w:sz w:val="22"/>
          <w:szCs w:val="22"/>
        </w:rPr>
      </w:pPr>
    </w:p>
    <w:p w:rsidR="006224C2" w:rsidRPr="00295E71" w14:paraId="168EF0F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474" w:author="AbbVie14" w:date="2025-05-09T10:48:00Z"/>
          <w:sz w:val="22"/>
          <w:szCs w:val="22"/>
        </w:rPr>
      </w:pPr>
      <w:del w:id="13475" w:author="AbbVie14" w:date="2025-05-09T10:48:00Z">
        <w:r w:rsidRPr="00295E71">
          <w:rPr>
            <w:b/>
            <w:bCs/>
            <w:sz w:val="22"/>
            <w:szCs w:val="22"/>
          </w:rPr>
          <w:delText xml:space="preserve">9. </w:delText>
        </w:r>
      </w:del>
      <w:del w:id="13476" w:author="AbbVie14" w:date="2025-05-09T10:48:00Z">
        <w:r w:rsidRPr="00295E71">
          <w:rPr>
            <w:b/>
            <w:bCs/>
            <w:sz w:val="22"/>
            <w:szCs w:val="22"/>
          </w:rPr>
          <w:tab/>
          <w:delText>PRECAUZIONI PARTICOLARI PER LA CONSERVAZIONE</w:delText>
        </w:r>
      </w:del>
    </w:p>
    <w:p w:rsidR="006224C2" w:rsidRPr="00295E71" w14:paraId="04BFFA92" w14:textId="77777777">
      <w:pPr>
        <w:tabs>
          <w:tab w:val="left" w:pos="567"/>
        </w:tabs>
        <w:ind w:left="540" w:hanging="540"/>
        <w:rPr>
          <w:del w:id="13477" w:author="AbbVie14" w:date="2025-05-09T10:48:00Z"/>
          <w:sz w:val="22"/>
          <w:szCs w:val="22"/>
        </w:rPr>
      </w:pPr>
    </w:p>
    <w:p w:rsidR="006224C2" w:rsidRPr="00295E71" w14:paraId="53FC72A7" w14:textId="77777777">
      <w:pPr>
        <w:tabs>
          <w:tab w:val="left" w:pos="567"/>
        </w:tabs>
        <w:ind w:left="540" w:hanging="540"/>
        <w:rPr>
          <w:del w:id="13478" w:author="AbbVie14" w:date="2025-05-09T10:48:00Z"/>
          <w:sz w:val="22"/>
          <w:szCs w:val="22"/>
        </w:rPr>
      </w:pPr>
      <w:del w:id="13479" w:author="AbbVie14" w:date="2025-05-09T10:48:00Z">
        <w:r w:rsidRPr="00295E71">
          <w:rPr>
            <w:sz w:val="22"/>
            <w:szCs w:val="22"/>
          </w:rPr>
          <w:delText>Conservare in frigorifero.</w:delText>
        </w:r>
      </w:del>
      <w:del w:id="13480" w:author="AbbVie14" w:date="2025-05-09T10:48:00Z">
        <w:r w:rsidRPr="00295E71" w:rsidR="005364A8">
          <w:rPr>
            <w:sz w:val="22"/>
            <w:szCs w:val="22"/>
          </w:rPr>
          <w:delText xml:space="preserve"> </w:delText>
        </w:r>
      </w:del>
      <w:del w:id="13481" w:author="AbbVie14" w:date="2025-05-09T10:48:00Z">
        <w:r w:rsidRPr="00295E71">
          <w:rPr>
            <w:sz w:val="22"/>
            <w:szCs w:val="22"/>
          </w:rPr>
          <w:delText>Non congelare.</w:delText>
        </w:r>
      </w:del>
    </w:p>
    <w:p w:rsidR="006224C2" w:rsidRPr="00295E71" w14:paraId="16C752AD" w14:textId="77777777">
      <w:pPr>
        <w:tabs>
          <w:tab w:val="left" w:pos="567"/>
        </w:tabs>
        <w:ind w:left="540" w:hanging="540"/>
        <w:rPr>
          <w:del w:id="13482" w:author="AbbVie14" w:date="2025-05-09T10:48:00Z"/>
          <w:sz w:val="22"/>
          <w:szCs w:val="22"/>
        </w:rPr>
      </w:pPr>
      <w:del w:id="13483" w:author="AbbVie14" w:date="2025-05-09T10:48:00Z">
        <w:r w:rsidRPr="00295E71">
          <w:rPr>
            <w:sz w:val="22"/>
            <w:szCs w:val="22"/>
          </w:rPr>
          <w:delText>Tenere</w:delText>
        </w:r>
      </w:del>
      <w:del w:id="13484" w:author="AbbVie14" w:date="2025-05-09T10:48:00Z">
        <w:r w:rsidRPr="00295E71" w:rsidR="00226BC4">
          <w:rPr>
            <w:sz w:val="22"/>
            <w:szCs w:val="22"/>
          </w:rPr>
          <w:delText xml:space="preserve"> il flaconcino </w:delText>
        </w:r>
      </w:del>
      <w:del w:id="13485" w:author="AbbVie14" w:date="2025-05-09T10:48:00Z">
        <w:r w:rsidRPr="00295E71">
          <w:rPr>
            <w:sz w:val="22"/>
            <w:szCs w:val="22"/>
          </w:rPr>
          <w:delText>nell’imballaggio esterno</w:delText>
        </w:r>
      </w:del>
      <w:del w:id="13486" w:author="AbbVie14" w:date="2025-05-09T10:48:00Z">
        <w:r w:rsidRPr="00295E71" w:rsidR="00226BC4">
          <w:rPr>
            <w:sz w:val="22"/>
            <w:szCs w:val="22"/>
          </w:rPr>
          <w:delText xml:space="preserve"> per proteggere il medicinale dalla luce.</w:delText>
        </w:r>
      </w:del>
    </w:p>
    <w:p w:rsidR="006224C2" w:rsidRPr="00295E71" w14:paraId="77BB80CC" w14:textId="77777777">
      <w:pPr>
        <w:tabs>
          <w:tab w:val="left" w:pos="567"/>
        </w:tabs>
        <w:ind w:left="540" w:hanging="540"/>
        <w:rPr>
          <w:del w:id="13487" w:author="AbbVie14" w:date="2025-05-09T10:48:00Z"/>
          <w:sz w:val="22"/>
          <w:szCs w:val="22"/>
        </w:rPr>
      </w:pPr>
    </w:p>
    <w:p w:rsidR="006224C2" w:rsidRPr="00295E71" w14:paraId="6F491D06" w14:textId="77777777">
      <w:pPr>
        <w:tabs>
          <w:tab w:val="left" w:pos="567"/>
        </w:tabs>
        <w:ind w:left="540" w:hanging="540"/>
        <w:rPr>
          <w:del w:id="13488" w:author="AbbVie14" w:date="2025-05-09T10:48:00Z"/>
          <w:sz w:val="22"/>
          <w:szCs w:val="22"/>
        </w:rPr>
      </w:pPr>
    </w:p>
    <w:p w:rsidR="006224C2" w:rsidRPr="00295E71" w14:paraId="62EB666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489" w:author="AbbVie14" w:date="2025-05-09T10:48:00Z"/>
          <w:b/>
          <w:bCs/>
          <w:sz w:val="22"/>
          <w:szCs w:val="22"/>
        </w:rPr>
      </w:pPr>
      <w:del w:id="13490" w:author="AbbVie14" w:date="2025-05-09T10:48:00Z">
        <w:r w:rsidRPr="00295E71">
          <w:rPr>
            <w:b/>
            <w:bCs/>
            <w:sz w:val="22"/>
            <w:szCs w:val="22"/>
          </w:rPr>
          <w:delText>10.</w:delText>
        </w:r>
      </w:del>
      <w:del w:id="13491" w:author="AbbVie14" w:date="2025-05-09T10:48:00Z">
        <w:r w:rsidRPr="00295E71">
          <w:rPr>
            <w:b/>
            <w:bCs/>
            <w:sz w:val="22"/>
            <w:szCs w:val="22"/>
          </w:rPr>
          <w:tab/>
          <w:delText>PRECAUZIONI PARTICOLARI PER LO SMALTIMENTO DEL MEDICINALE NON UTILIZZATO O DEI RIFIUTI DERIVATI DA TALE MEDICINALE, SE NECESSARIO</w:delText>
        </w:r>
      </w:del>
    </w:p>
    <w:p w:rsidR="006224C2" w:rsidRPr="00295E71" w14:paraId="7BC3E3DD" w14:textId="77777777">
      <w:pPr>
        <w:tabs>
          <w:tab w:val="left" w:pos="567"/>
        </w:tabs>
        <w:ind w:left="540" w:hanging="540"/>
        <w:rPr>
          <w:del w:id="13492" w:author="AbbVie14" w:date="2025-05-09T10:48:00Z"/>
          <w:sz w:val="22"/>
          <w:szCs w:val="22"/>
        </w:rPr>
      </w:pPr>
    </w:p>
    <w:p w:rsidR="006224C2" w:rsidRPr="00295E71" w14:paraId="250997D0" w14:textId="77777777">
      <w:pPr>
        <w:tabs>
          <w:tab w:val="left" w:pos="567"/>
        </w:tabs>
        <w:ind w:left="540" w:hanging="540"/>
        <w:rPr>
          <w:del w:id="13493" w:author="AbbVie14" w:date="2025-05-09T10:48:00Z"/>
          <w:sz w:val="22"/>
          <w:szCs w:val="22"/>
        </w:rPr>
      </w:pPr>
    </w:p>
    <w:p w:rsidR="006224C2" w:rsidRPr="00295E71" w14:paraId="7C11CA3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494" w:author="AbbVie14" w:date="2025-05-09T10:48:00Z"/>
          <w:b/>
          <w:bCs/>
          <w:sz w:val="22"/>
          <w:szCs w:val="22"/>
        </w:rPr>
      </w:pPr>
      <w:del w:id="13495" w:author="AbbVie14" w:date="2025-05-09T10:48:00Z">
        <w:r w:rsidRPr="00295E71">
          <w:rPr>
            <w:b/>
            <w:bCs/>
            <w:sz w:val="22"/>
            <w:szCs w:val="22"/>
          </w:rPr>
          <w:delText>11.</w:delText>
        </w:r>
      </w:del>
      <w:del w:id="13496" w:author="AbbVie14" w:date="2025-05-09T10:48:00Z">
        <w:r w:rsidRPr="00295E71">
          <w:rPr>
            <w:b/>
            <w:bCs/>
            <w:sz w:val="22"/>
            <w:szCs w:val="22"/>
          </w:rPr>
          <w:tab/>
          <w:delText>NOME E INDIRIZZO DEL TITOLARE DELL’AUTORIZZAZIONE ALL’IMMISSIONE IN COMMERCIO</w:delText>
        </w:r>
      </w:del>
    </w:p>
    <w:p w:rsidR="006224C2" w:rsidRPr="00295E71" w14:paraId="5187C75F" w14:textId="77777777">
      <w:pPr>
        <w:tabs>
          <w:tab w:val="left" w:pos="567"/>
        </w:tabs>
        <w:rPr>
          <w:del w:id="13497" w:author="AbbVie14" w:date="2025-05-09T10:48:00Z"/>
          <w:sz w:val="22"/>
          <w:szCs w:val="22"/>
        </w:rPr>
      </w:pPr>
    </w:p>
    <w:p w:rsidR="00776C1E" w:rsidRPr="00C04163" w:rsidP="00776C1E" w14:paraId="60F85942" w14:textId="77777777">
      <w:pPr>
        <w:tabs>
          <w:tab w:val="left" w:pos="567"/>
        </w:tabs>
        <w:jc w:val="both"/>
        <w:rPr>
          <w:del w:id="13498" w:author="AbbVie14" w:date="2025-05-09T10:48:00Z"/>
          <w:sz w:val="22"/>
          <w:szCs w:val="22"/>
          <w:lang w:val="de-CH"/>
        </w:rPr>
      </w:pPr>
      <w:del w:id="13499" w:author="AbbVie14" w:date="2025-05-09T10:48:00Z">
        <w:r w:rsidRPr="00C04163">
          <w:rPr>
            <w:sz w:val="22"/>
            <w:szCs w:val="22"/>
            <w:lang w:val="de-CH"/>
          </w:rPr>
          <w:delText>AbbVie Deutschland GmbH &amp; Co. KG</w:delText>
        </w:r>
      </w:del>
    </w:p>
    <w:p w:rsidR="00776C1E" w:rsidRPr="00C04163" w:rsidP="00776C1E" w14:paraId="32851956" w14:textId="77777777">
      <w:pPr>
        <w:tabs>
          <w:tab w:val="left" w:pos="567"/>
        </w:tabs>
        <w:jc w:val="both"/>
        <w:rPr>
          <w:del w:id="13500" w:author="AbbVie14" w:date="2025-05-09T10:48:00Z"/>
          <w:sz w:val="22"/>
          <w:szCs w:val="22"/>
          <w:lang w:val="de-CH"/>
        </w:rPr>
      </w:pPr>
      <w:del w:id="13501" w:author="AbbVie14" w:date="2025-05-09T10:48:00Z">
        <w:r w:rsidRPr="00C04163">
          <w:rPr>
            <w:sz w:val="22"/>
            <w:szCs w:val="22"/>
            <w:lang w:val="de-CH"/>
          </w:rPr>
          <w:delText>Knollstrasse</w:delText>
        </w:r>
      </w:del>
    </w:p>
    <w:p w:rsidR="00776C1E" w:rsidRPr="00295E71" w:rsidP="00776C1E" w14:paraId="3729C259" w14:textId="77777777">
      <w:pPr>
        <w:tabs>
          <w:tab w:val="left" w:pos="567"/>
        </w:tabs>
        <w:jc w:val="both"/>
        <w:rPr>
          <w:del w:id="13502" w:author="AbbVie14" w:date="2025-05-09T10:48:00Z"/>
          <w:sz w:val="22"/>
          <w:szCs w:val="22"/>
        </w:rPr>
      </w:pPr>
      <w:del w:id="13503" w:author="AbbVie14" w:date="2025-05-09T10:48:00Z">
        <w:r w:rsidRPr="00295E71">
          <w:rPr>
            <w:sz w:val="22"/>
            <w:szCs w:val="22"/>
          </w:rPr>
          <w:delText>67061 Ludwigshafen</w:delText>
        </w:r>
      </w:del>
    </w:p>
    <w:p w:rsidR="00776C1E" w:rsidRPr="00295E71" w:rsidP="00776C1E" w14:paraId="58119C75" w14:textId="77777777">
      <w:pPr>
        <w:tabs>
          <w:tab w:val="left" w:pos="567"/>
        </w:tabs>
        <w:jc w:val="both"/>
        <w:rPr>
          <w:del w:id="13504" w:author="AbbVie14" w:date="2025-05-09T10:48:00Z"/>
          <w:sz w:val="22"/>
          <w:szCs w:val="22"/>
        </w:rPr>
      </w:pPr>
      <w:del w:id="13505" w:author="AbbVie14" w:date="2025-05-09T10:48:00Z">
        <w:r w:rsidRPr="00295E71">
          <w:rPr>
            <w:sz w:val="22"/>
            <w:szCs w:val="22"/>
          </w:rPr>
          <w:delText>Germania</w:delText>
        </w:r>
      </w:del>
    </w:p>
    <w:p w:rsidR="006224C2" w:rsidRPr="00295E71" w14:paraId="36AC2353" w14:textId="77777777">
      <w:pPr>
        <w:tabs>
          <w:tab w:val="left" w:pos="567"/>
        </w:tabs>
        <w:ind w:left="540" w:hanging="540"/>
        <w:rPr>
          <w:del w:id="13506" w:author="AbbVie14" w:date="2025-05-09T10:48:00Z"/>
          <w:sz w:val="22"/>
          <w:szCs w:val="22"/>
        </w:rPr>
      </w:pPr>
    </w:p>
    <w:p w:rsidR="006224C2" w:rsidRPr="00295E71" w14:paraId="04D3F36F" w14:textId="77777777">
      <w:pPr>
        <w:tabs>
          <w:tab w:val="left" w:pos="567"/>
        </w:tabs>
        <w:ind w:left="540" w:hanging="540"/>
        <w:rPr>
          <w:del w:id="13507" w:author="AbbVie14" w:date="2025-05-09T10:48:00Z"/>
          <w:sz w:val="22"/>
          <w:szCs w:val="22"/>
        </w:rPr>
      </w:pPr>
    </w:p>
    <w:p w:rsidR="006224C2" w:rsidRPr="00295E71" w14:paraId="522E995A"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508" w:author="AbbVie14" w:date="2025-05-09T10:48:00Z"/>
          <w:b/>
          <w:bCs/>
          <w:sz w:val="22"/>
          <w:szCs w:val="22"/>
        </w:rPr>
      </w:pPr>
      <w:del w:id="13509" w:author="AbbVie14" w:date="2025-05-09T10:48:00Z">
        <w:r w:rsidRPr="00295E71">
          <w:rPr>
            <w:b/>
            <w:bCs/>
            <w:sz w:val="22"/>
            <w:szCs w:val="22"/>
          </w:rPr>
          <w:delText xml:space="preserve">12. </w:delText>
        </w:r>
      </w:del>
      <w:del w:id="13510" w:author="AbbVie14" w:date="2025-05-09T10:48:00Z">
        <w:r w:rsidRPr="00295E71">
          <w:rPr>
            <w:b/>
            <w:bCs/>
            <w:sz w:val="22"/>
            <w:szCs w:val="22"/>
          </w:rPr>
          <w:tab/>
          <w:delText>NUMERO DELL’AUTORIZZAZIONE ALL’IMMISSIONE IN COMMERCIO</w:delText>
        </w:r>
      </w:del>
    </w:p>
    <w:p w:rsidR="006224C2" w:rsidRPr="00295E71" w14:paraId="60BDFC18" w14:textId="77777777">
      <w:pPr>
        <w:tabs>
          <w:tab w:val="left" w:pos="567"/>
        </w:tabs>
        <w:ind w:left="540" w:hanging="540"/>
        <w:rPr>
          <w:del w:id="13511" w:author="AbbVie14" w:date="2025-05-09T10:48:00Z"/>
          <w:sz w:val="22"/>
          <w:szCs w:val="22"/>
        </w:rPr>
      </w:pPr>
    </w:p>
    <w:p w:rsidR="006224C2" w:rsidRPr="00295E71" w14:paraId="737CFBDC" w14:textId="77777777">
      <w:pPr>
        <w:tabs>
          <w:tab w:val="left" w:pos="567"/>
        </w:tabs>
        <w:ind w:left="540" w:hanging="540"/>
        <w:rPr>
          <w:del w:id="13512" w:author="AbbVie14" w:date="2025-05-09T10:48:00Z"/>
          <w:sz w:val="22"/>
          <w:szCs w:val="22"/>
        </w:rPr>
      </w:pPr>
      <w:del w:id="13513" w:author="AbbVie14" w:date="2025-05-09T10:48:00Z">
        <w:r w:rsidRPr="00295E71">
          <w:rPr>
            <w:sz w:val="22"/>
            <w:szCs w:val="22"/>
          </w:rPr>
          <w:delText>EU/1/03/256/001</w:delText>
        </w:r>
      </w:del>
    </w:p>
    <w:p w:rsidR="006224C2" w:rsidRPr="00295E71" w14:paraId="1CD70A47" w14:textId="77777777">
      <w:pPr>
        <w:tabs>
          <w:tab w:val="left" w:pos="567"/>
        </w:tabs>
        <w:ind w:left="540" w:hanging="540"/>
        <w:rPr>
          <w:del w:id="13514" w:author="AbbVie14" w:date="2025-05-09T10:48:00Z"/>
          <w:sz w:val="22"/>
          <w:szCs w:val="22"/>
        </w:rPr>
      </w:pPr>
    </w:p>
    <w:p w:rsidR="006224C2" w:rsidRPr="00295E71" w14:paraId="00B21A3E" w14:textId="77777777">
      <w:pPr>
        <w:tabs>
          <w:tab w:val="left" w:pos="567"/>
        </w:tabs>
        <w:ind w:left="540" w:hanging="540"/>
        <w:rPr>
          <w:del w:id="13515" w:author="AbbVie14" w:date="2025-05-09T10:48:00Z"/>
          <w:sz w:val="22"/>
          <w:szCs w:val="22"/>
        </w:rPr>
      </w:pPr>
    </w:p>
    <w:p w:rsidR="006224C2" w:rsidRPr="00295E71" w14:paraId="4BA564D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516" w:author="AbbVie14" w:date="2025-05-09T10:48:00Z"/>
          <w:sz w:val="22"/>
          <w:szCs w:val="22"/>
        </w:rPr>
      </w:pPr>
      <w:del w:id="13517" w:author="AbbVie14" w:date="2025-05-09T10:48:00Z">
        <w:r w:rsidRPr="00295E71">
          <w:rPr>
            <w:b/>
            <w:bCs/>
            <w:sz w:val="22"/>
            <w:szCs w:val="22"/>
          </w:rPr>
          <w:delText>13.</w:delText>
        </w:r>
      </w:del>
      <w:del w:id="13518" w:author="AbbVie14" w:date="2025-05-09T10:48:00Z">
        <w:r w:rsidRPr="00295E71">
          <w:rPr>
            <w:b/>
            <w:bCs/>
            <w:sz w:val="22"/>
            <w:szCs w:val="22"/>
          </w:rPr>
          <w:tab/>
          <w:delText>NUMERO DI LOTTO</w:delText>
        </w:r>
      </w:del>
    </w:p>
    <w:p w:rsidR="006224C2" w:rsidRPr="00295E71" w14:paraId="231A34F2" w14:textId="77777777">
      <w:pPr>
        <w:tabs>
          <w:tab w:val="left" w:pos="567"/>
        </w:tabs>
        <w:ind w:left="540" w:hanging="540"/>
        <w:rPr>
          <w:del w:id="13519" w:author="AbbVie14" w:date="2025-05-09T10:48:00Z"/>
          <w:sz w:val="22"/>
          <w:szCs w:val="22"/>
        </w:rPr>
      </w:pPr>
    </w:p>
    <w:p w:rsidR="006224C2" w:rsidRPr="00295E71" w14:paraId="3F6DE6A1" w14:textId="77777777">
      <w:pPr>
        <w:tabs>
          <w:tab w:val="left" w:pos="567"/>
        </w:tabs>
        <w:ind w:left="540" w:hanging="540"/>
        <w:rPr>
          <w:del w:id="13520" w:author="AbbVie14" w:date="2025-05-09T10:48:00Z"/>
          <w:sz w:val="22"/>
          <w:szCs w:val="22"/>
        </w:rPr>
      </w:pPr>
      <w:del w:id="13521" w:author="AbbVie14" w:date="2025-05-09T10:48:00Z">
        <w:r w:rsidRPr="00295E71">
          <w:rPr>
            <w:sz w:val="22"/>
            <w:szCs w:val="22"/>
          </w:rPr>
          <w:delText xml:space="preserve">Lotto </w:delText>
        </w:r>
      </w:del>
    </w:p>
    <w:p w:rsidR="006224C2" w:rsidRPr="00295E71" w14:paraId="76358999" w14:textId="77777777">
      <w:pPr>
        <w:tabs>
          <w:tab w:val="left" w:pos="567"/>
        </w:tabs>
        <w:ind w:left="540" w:hanging="540"/>
        <w:rPr>
          <w:del w:id="13522" w:author="AbbVie14" w:date="2025-05-09T10:48:00Z"/>
          <w:sz w:val="22"/>
          <w:szCs w:val="22"/>
        </w:rPr>
      </w:pPr>
    </w:p>
    <w:p w:rsidR="006224C2" w:rsidRPr="00295E71" w14:paraId="7EECADFC" w14:textId="77777777">
      <w:pPr>
        <w:tabs>
          <w:tab w:val="left" w:pos="567"/>
        </w:tabs>
        <w:ind w:left="540" w:hanging="540"/>
        <w:rPr>
          <w:del w:id="13523" w:author="AbbVie14" w:date="2025-05-09T10:48:00Z"/>
          <w:sz w:val="22"/>
          <w:szCs w:val="22"/>
        </w:rPr>
      </w:pPr>
    </w:p>
    <w:p w:rsidR="006224C2" w:rsidRPr="00295E71" w14:paraId="58DBA30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524" w:author="AbbVie14" w:date="2025-05-09T10:48:00Z"/>
          <w:sz w:val="22"/>
          <w:szCs w:val="22"/>
        </w:rPr>
      </w:pPr>
      <w:del w:id="13525" w:author="AbbVie14" w:date="2025-05-09T10:48:00Z">
        <w:r w:rsidRPr="00295E71">
          <w:rPr>
            <w:b/>
            <w:bCs/>
            <w:sz w:val="22"/>
            <w:szCs w:val="22"/>
          </w:rPr>
          <w:delText>14.</w:delText>
        </w:r>
      </w:del>
      <w:del w:id="13526" w:author="AbbVie14" w:date="2025-05-09T10:48:00Z">
        <w:r w:rsidRPr="00295E71">
          <w:rPr>
            <w:b/>
            <w:bCs/>
            <w:sz w:val="22"/>
            <w:szCs w:val="22"/>
          </w:rPr>
          <w:tab/>
          <w:delText>CONDIZIONE GENERALE DI FORNITURA</w:delText>
        </w:r>
      </w:del>
    </w:p>
    <w:p w:rsidR="006224C2" w:rsidRPr="00295E71" w14:paraId="7D0AB8A1" w14:textId="77777777">
      <w:pPr>
        <w:tabs>
          <w:tab w:val="left" w:pos="567"/>
        </w:tabs>
        <w:rPr>
          <w:del w:id="13527" w:author="AbbVie14" w:date="2025-05-09T10:48:00Z"/>
          <w:sz w:val="22"/>
          <w:szCs w:val="22"/>
        </w:rPr>
      </w:pPr>
    </w:p>
    <w:p w:rsidR="006224C2" w:rsidRPr="00295E71" w14:paraId="1F59FE50" w14:textId="77777777">
      <w:pPr>
        <w:tabs>
          <w:tab w:val="left" w:pos="567"/>
        </w:tabs>
        <w:ind w:left="540" w:hanging="540"/>
        <w:rPr>
          <w:del w:id="13528" w:author="AbbVie14" w:date="2025-05-09T10:48:00Z"/>
          <w:sz w:val="22"/>
          <w:szCs w:val="22"/>
        </w:rPr>
      </w:pPr>
    </w:p>
    <w:p w:rsidR="006224C2" w:rsidRPr="00295E71" w:rsidP="005968CC" w14:paraId="5A7E066C" w14:textId="77777777">
      <w:pPr>
        <w:pBdr>
          <w:top w:val="single" w:sz="4" w:space="2" w:color="auto"/>
          <w:left w:val="single" w:sz="4" w:space="4" w:color="auto"/>
          <w:bottom w:val="single" w:sz="4" w:space="1" w:color="auto"/>
          <w:right w:val="single" w:sz="4" w:space="4" w:color="auto"/>
        </w:pBdr>
        <w:shd w:val="clear" w:color="auto" w:fill="FFFFFF"/>
        <w:tabs>
          <w:tab w:val="left" w:pos="567"/>
        </w:tabs>
        <w:ind w:left="540" w:hanging="540"/>
        <w:rPr>
          <w:del w:id="13529" w:author="AbbVie14" w:date="2025-05-09T10:48:00Z"/>
          <w:b/>
          <w:bCs/>
          <w:sz w:val="22"/>
          <w:szCs w:val="22"/>
          <w:u w:val="single"/>
        </w:rPr>
      </w:pPr>
      <w:del w:id="13530" w:author="AbbVie14" w:date="2025-05-09T10:48:00Z">
        <w:r w:rsidRPr="00295E71">
          <w:rPr>
            <w:b/>
            <w:bCs/>
            <w:sz w:val="22"/>
            <w:szCs w:val="22"/>
          </w:rPr>
          <w:delText>15.</w:delText>
        </w:r>
      </w:del>
      <w:del w:id="13531" w:author="AbbVie14" w:date="2025-05-09T10:48:00Z">
        <w:r w:rsidRPr="00295E71">
          <w:rPr>
            <w:b/>
            <w:bCs/>
            <w:sz w:val="22"/>
            <w:szCs w:val="22"/>
          </w:rPr>
          <w:tab/>
          <w:delText>ISTRUZIONI PER L'USO</w:delText>
        </w:r>
      </w:del>
    </w:p>
    <w:p w:rsidR="006224C2" w:rsidRPr="00295E71" w14:paraId="2FC94264" w14:textId="77777777">
      <w:pPr>
        <w:tabs>
          <w:tab w:val="left" w:pos="567"/>
        </w:tabs>
        <w:ind w:left="540" w:hanging="540"/>
        <w:rPr>
          <w:del w:id="13532" w:author="AbbVie14" w:date="2025-05-09T10:48:00Z"/>
          <w:bCs/>
          <w:sz w:val="22"/>
          <w:szCs w:val="22"/>
          <w:u w:val="single"/>
        </w:rPr>
      </w:pPr>
    </w:p>
    <w:p w:rsidR="006224C2" w:rsidRPr="00295E71" w14:paraId="5704B20B" w14:textId="77777777">
      <w:pPr>
        <w:tabs>
          <w:tab w:val="left" w:pos="567"/>
        </w:tabs>
        <w:ind w:left="540" w:hanging="540"/>
        <w:rPr>
          <w:del w:id="13533" w:author="AbbVie14" w:date="2025-05-09T10:48:00Z"/>
          <w:bCs/>
          <w:sz w:val="22"/>
          <w:szCs w:val="22"/>
          <w:u w:val="single"/>
        </w:rPr>
      </w:pPr>
    </w:p>
    <w:p w:rsidR="006224C2" w:rsidRPr="00295E71" w14:paraId="6A2F474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534" w:author="AbbVie14" w:date="2025-05-09T10:48:00Z"/>
          <w:b/>
          <w:bCs/>
          <w:sz w:val="22"/>
          <w:szCs w:val="22"/>
          <w:u w:val="single"/>
        </w:rPr>
      </w:pPr>
      <w:del w:id="13535" w:author="AbbVie14" w:date="2025-05-09T10:48:00Z">
        <w:r w:rsidRPr="00295E71">
          <w:rPr>
            <w:b/>
            <w:bCs/>
            <w:sz w:val="22"/>
            <w:szCs w:val="22"/>
          </w:rPr>
          <w:delText>16.</w:delText>
        </w:r>
      </w:del>
      <w:del w:id="13536" w:author="AbbVie14" w:date="2025-05-09T10:48:00Z">
        <w:r w:rsidRPr="00295E71">
          <w:rPr>
            <w:b/>
            <w:bCs/>
            <w:sz w:val="22"/>
            <w:szCs w:val="22"/>
          </w:rPr>
          <w:tab/>
          <w:delText>INFORMAZIONI IN BRAILLE</w:delText>
        </w:r>
      </w:del>
    </w:p>
    <w:p w:rsidR="006224C2" w:rsidRPr="00295E71" w14:paraId="32CE7597" w14:textId="77777777">
      <w:pPr>
        <w:tabs>
          <w:tab w:val="left" w:pos="567"/>
        </w:tabs>
        <w:ind w:left="540" w:hanging="540"/>
        <w:rPr>
          <w:del w:id="13537" w:author="AbbVie14" w:date="2025-05-09T10:48:00Z"/>
          <w:bCs/>
          <w:sz w:val="22"/>
          <w:szCs w:val="22"/>
        </w:rPr>
      </w:pPr>
    </w:p>
    <w:p w:rsidR="006224C2" w:rsidRPr="00295E71" w14:paraId="3581F2EE" w14:textId="77777777">
      <w:pPr>
        <w:tabs>
          <w:tab w:val="left" w:pos="567"/>
        </w:tabs>
        <w:ind w:left="540" w:hanging="540"/>
        <w:rPr>
          <w:del w:id="13538" w:author="AbbVie14" w:date="2025-05-09T10:48:00Z"/>
          <w:sz w:val="22"/>
          <w:szCs w:val="22"/>
        </w:rPr>
      </w:pPr>
      <w:del w:id="13539" w:author="AbbVie14" w:date="2025-05-09T10:48:00Z">
        <w:r w:rsidRPr="00295E71">
          <w:rPr>
            <w:sz w:val="22"/>
            <w:szCs w:val="22"/>
          </w:rPr>
          <w:delText>Humira 40 mg</w:delText>
        </w:r>
      </w:del>
    </w:p>
    <w:p w:rsidR="006224C2" w:rsidRPr="00295E71" w14:paraId="55515C77" w14:textId="77777777">
      <w:pPr>
        <w:tabs>
          <w:tab w:val="left" w:pos="567"/>
        </w:tabs>
        <w:ind w:left="540" w:hanging="540"/>
        <w:rPr>
          <w:del w:id="13540" w:author="AbbVie14" w:date="2025-05-09T10:48:00Z"/>
          <w:sz w:val="22"/>
          <w:szCs w:val="22"/>
        </w:rPr>
      </w:pPr>
    </w:p>
    <w:p w:rsidR="006224C2" w:rsidRPr="00295E71" w14:paraId="2D55306D" w14:textId="77777777">
      <w:pPr>
        <w:tabs>
          <w:tab w:val="left" w:pos="567"/>
        </w:tabs>
        <w:ind w:left="540" w:hanging="540"/>
        <w:rPr>
          <w:del w:id="13541" w:author="AbbVie14" w:date="2025-05-09T10:48:00Z"/>
          <w:sz w:val="22"/>
          <w:szCs w:val="22"/>
        </w:rPr>
      </w:pPr>
    </w:p>
    <w:p w:rsidR="006224C2" w:rsidRPr="00295E71" w14:paraId="382F8E5B" w14:textId="77777777">
      <w:pPr>
        <w:pStyle w:val="EMEAHeadingBoxedTitle"/>
        <w:ind w:left="0" w:firstLine="0"/>
        <w:rPr>
          <w:del w:id="13542" w:author="AbbVie14" w:date="2025-05-09T10:48:00Z"/>
          <w:rFonts w:ascii="Times New Roman" w:hAnsi="Times New Roman"/>
          <w:b/>
          <w:bCs/>
          <w:szCs w:val="22"/>
          <w:lang w:val="it-IT"/>
        </w:rPr>
      </w:pPr>
      <w:del w:id="13543" w:author="AbbVie14" w:date="2025-05-09T10:48:00Z">
        <w:r w:rsidRPr="00295E71">
          <w:rPr>
            <w:rFonts w:ascii="Times New Roman" w:hAnsi="Times New Roman"/>
            <w:b/>
            <w:bCs/>
            <w:szCs w:val="22"/>
            <w:lang w:val="it-IT"/>
          </w:rPr>
          <w:delText xml:space="preserve">17. </w:delText>
        </w:r>
      </w:del>
      <w:del w:id="13544" w:author="AbbVie14" w:date="2025-05-09T10:48:00Z">
        <w:r w:rsidRPr="00295E71">
          <w:rPr>
            <w:rFonts w:ascii="Times New Roman" w:hAnsi="Times New Roman"/>
            <w:b/>
            <w:bCs/>
            <w:szCs w:val="22"/>
            <w:lang w:val="it-IT"/>
          </w:rPr>
          <w:tab/>
          <w:delText>IDENTIFICATivo UNICO – CODICE A BARRE bidimensionale</w:delText>
        </w:r>
      </w:del>
    </w:p>
    <w:p w:rsidR="006224C2" w:rsidRPr="00295E71" w14:paraId="1374FAD9" w14:textId="77777777">
      <w:pPr>
        <w:rPr>
          <w:del w:id="13545" w:author="AbbVie14" w:date="2025-05-09T10:48:00Z"/>
          <w:sz w:val="22"/>
          <w:szCs w:val="22"/>
        </w:rPr>
      </w:pPr>
    </w:p>
    <w:p w:rsidR="006224C2" w:rsidRPr="00295E71" w14:paraId="09C81CBE" w14:textId="77777777">
      <w:pPr>
        <w:rPr>
          <w:del w:id="13546" w:author="AbbVie14" w:date="2025-05-09T10:48:00Z"/>
          <w:sz w:val="22"/>
          <w:szCs w:val="22"/>
          <w:shd w:val="clear" w:color="auto" w:fill="BFBFBF"/>
        </w:rPr>
      </w:pPr>
    </w:p>
    <w:p w:rsidR="006224C2" w:rsidRPr="00295E71" w14:paraId="5D036A8E" w14:textId="77777777">
      <w:pPr>
        <w:pStyle w:val="EMEAHeadingBoxedTitle"/>
        <w:keepNext/>
        <w:ind w:left="0" w:firstLine="0"/>
        <w:rPr>
          <w:del w:id="13547" w:author="AbbVie14" w:date="2025-05-09T10:48:00Z"/>
          <w:rFonts w:ascii="Times New Roman" w:hAnsi="Times New Roman"/>
          <w:szCs w:val="22"/>
          <w:lang w:val="it-IT"/>
        </w:rPr>
      </w:pPr>
      <w:del w:id="13548" w:author="AbbVie14" w:date="2025-05-09T10:48:00Z">
        <w:r w:rsidRPr="00295E71">
          <w:rPr>
            <w:rFonts w:ascii="Times New Roman" w:hAnsi="Times New Roman"/>
            <w:b/>
            <w:bCs/>
            <w:szCs w:val="22"/>
            <w:lang w:val="it-IT"/>
          </w:rPr>
          <w:delText xml:space="preserve">18. </w:delText>
        </w:r>
      </w:del>
      <w:del w:id="13549" w:author="AbbVie14" w:date="2025-05-09T10:48:00Z">
        <w:r w:rsidRPr="00295E71">
          <w:rPr>
            <w:rFonts w:ascii="Times New Roman" w:hAnsi="Times New Roman"/>
            <w:b/>
            <w:bCs/>
            <w:szCs w:val="22"/>
            <w:lang w:val="it-IT"/>
          </w:rPr>
          <w:tab/>
          <w:delText>IDENTIFICATivo UNICO – dati leggibili</w:delText>
        </w:r>
      </w:del>
    </w:p>
    <w:p w:rsidR="006224C2" w:rsidRPr="00295E71" w14:paraId="671BB901" w14:textId="77777777">
      <w:pPr>
        <w:keepNext/>
        <w:ind w:left="540" w:hanging="540"/>
        <w:rPr>
          <w:del w:id="13550" w:author="AbbVie14" w:date="2025-05-09T10:48:00Z"/>
          <w:sz w:val="22"/>
          <w:szCs w:val="22"/>
        </w:rPr>
      </w:pPr>
    </w:p>
    <w:p w:rsidR="006224C2" w:rsidRPr="00295E71" w14:paraId="2D953906" w14:textId="77777777">
      <w:pPr>
        <w:keepNext/>
        <w:ind w:left="540" w:hanging="540"/>
        <w:rPr>
          <w:del w:id="13551" w:author="AbbVie14" w:date="2025-05-09T10:48:00Z"/>
          <w:sz w:val="22"/>
          <w:szCs w:val="22"/>
        </w:rPr>
      </w:pPr>
    </w:p>
    <w:p w:rsidR="006224C2" w:rsidRPr="00295E71" w14:paraId="50B976F7" w14:textId="77777777">
      <w:pPr>
        <w:pBdr>
          <w:top w:val="single" w:sz="4" w:space="1" w:color="auto"/>
          <w:left w:val="single" w:sz="4" w:space="1" w:color="auto"/>
          <w:bottom w:val="single" w:sz="4" w:space="1" w:color="auto"/>
          <w:right w:val="single" w:sz="4" w:space="1" w:color="auto"/>
        </w:pBdr>
        <w:tabs>
          <w:tab w:val="left" w:pos="180"/>
        </w:tabs>
        <w:rPr>
          <w:del w:id="13552" w:author="AbbVie14" w:date="2025-05-09T10:48:00Z"/>
          <w:b/>
          <w:bCs/>
          <w:sz w:val="22"/>
          <w:szCs w:val="22"/>
        </w:rPr>
      </w:pPr>
      <w:del w:id="13553" w:author="AbbVie14" w:date="2025-05-09T10:48:00Z">
        <w:r w:rsidRPr="00295E71">
          <w:rPr>
            <w:sz w:val="22"/>
            <w:szCs w:val="22"/>
          </w:rPr>
          <w:br w:type="page"/>
        </w:r>
      </w:del>
      <w:del w:id="13554" w:author="AbbVie14" w:date="2025-05-09T10:48:00Z">
        <w:r w:rsidRPr="00295E71">
          <w:rPr>
            <w:b/>
            <w:bCs/>
            <w:sz w:val="22"/>
            <w:szCs w:val="22"/>
          </w:rPr>
          <w:delText>INFORMAZIONI MINIME DA APPORRE SUI CONFEZIONAMENTI PRIMARI DI PICCOLE DIMENSIONI</w:delText>
        </w:r>
      </w:del>
    </w:p>
    <w:p w:rsidR="006224C2" w:rsidRPr="00295E71" w14:paraId="7615CF1F" w14:textId="77777777">
      <w:pPr>
        <w:pBdr>
          <w:top w:val="single" w:sz="4" w:space="1" w:color="auto"/>
          <w:left w:val="single" w:sz="4" w:space="1" w:color="auto"/>
          <w:bottom w:val="single" w:sz="4" w:space="1" w:color="auto"/>
          <w:right w:val="single" w:sz="4" w:space="1" w:color="auto"/>
        </w:pBdr>
        <w:tabs>
          <w:tab w:val="left" w:pos="180"/>
        </w:tabs>
        <w:rPr>
          <w:del w:id="13555" w:author="AbbVie14" w:date="2025-05-09T10:48:00Z"/>
          <w:b/>
          <w:bCs/>
          <w:sz w:val="22"/>
          <w:szCs w:val="22"/>
        </w:rPr>
      </w:pPr>
    </w:p>
    <w:p w:rsidR="006224C2" w:rsidRPr="00295E71" w14:paraId="3DB7DFF5" w14:textId="77777777">
      <w:pPr>
        <w:pBdr>
          <w:top w:val="single" w:sz="4" w:space="1" w:color="auto"/>
          <w:left w:val="single" w:sz="4" w:space="1" w:color="auto"/>
          <w:bottom w:val="single" w:sz="4" w:space="1" w:color="auto"/>
          <w:right w:val="single" w:sz="4" w:space="1" w:color="auto"/>
        </w:pBdr>
        <w:tabs>
          <w:tab w:val="left" w:pos="567"/>
        </w:tabs>
        <w:ind w:left="540" w:hanging="540"/>
        <w:rPr>
          <w:del w:id="13556" w:author="AbbVie14" w:date="2025-05-09T10:48:00Z"/>
          <w:b/>
          <w:bCs/>
          <w:caps/>
          <w:sz w:val="22"/>
          <w:szCs w:val="22"/>
        </w:rPr>
      </w:pPr>
      <w:del w:id="13557" w:author="AbbVie14" w:date="2025-05-09T10:48:00Z">
        <w:r w:rsidRPr="00295E71">
          <w:rPr>
            <w:b/>
            <w:bCs/>
            <w:caps/>
            <w:sz w:val="22"/>
            <w:szCs w:val="22"/>
          </w:rPr>
          <w:delText xml:space="preserve">Etichetta da apporre sul </w:delText>
        </w:r>
      </w:del>
      <w:del w:id="13558" w:author="AbbVie14" w:date="2025-05-09T10:48:00Z">
        <w:r w:rsidRPr="00295E71" w:rsidR="005364A8">
          <w:rPr>
            <w:b/>
            <w:bCs/>
            <w:caps/>
            <w:sz w:val="22"/>
            <w:szCs w:val="22"/>
          </w:rPr>
          <w:delText>flaconCINO</w:delText>
        </w:r>
      </w:del>
    </w:p>
    <w:p w:rsidR="006224C2" w:rsidRPr="00295E71" w14:paraId="5217920B" w14:textId="77777777">
      <w:pPr>
        <w:pStyle w:val="Index1"/>
        <w:tabs>
          <w:tab w:val="left" w:pos="567"/>
        </w:tabs>
        <w:spacing w:line="260" w:lineRule="exact"/>
        <w:ind w:left="540" w:hanging="540"/>
        <w:rPr>
          <w:del w:id="13559" w:author="AbbVie14" w:date="2025-05-09T10:48:00Z"/>
          <w:lang w:val="it-IT"/>
        </w:rPr>
      </w:pPr>
    </w:p>
    <w:p w:rsidR="006224C2" w:rsidRPr="00295E71" w14:paraId="6D4A9A3E" w14:textId="77777777">
      <w:pPr>
        <w:tabs>
          <w:tab w:val="left" w:pos="567"/>
        </w:tabs>
        <w:ind w:left="540" w:hanging="540"/>
        <w:rPr>
          <w:del w:id="13560" w:author="AbbVie14" w:date="2025-05-09T10:48:00Z"/>
          <w:b/>
          <w:bCs/>
          <w:sz w:val="22"/>
          <w:szCs w:val="22"/>
        </w:rPr>
      </w:pPr>
    </w:p>
    <w:p w:rsidR="006224C2" w:rsidRPr="00295E71" w14:paraId="620C2C1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561" w:author="AbbVie14" w:date="2025-05-09T10:48:00Z"/>
          <w:b/>
          <w:bCs/>
          <w:sz w:val="22"/>
          <w:szCs w:val="22"/>
        </w:rPr>
      </w:pPr>
      <w:del w:id="13562" w:author="AbbVie14" w:date="2025-05-09T10:48:00Z">
        <w:r w:rsidRPr="00295E71">
          <w:rPr>
            <w:b/>
            <w:bCs/>
            <w:sz w:val="22"/>
            <w:szCs w:val="22"/>
          </w:rPr>
          <w:delText>1.</w:delText>
        </w:r>
      </w:del>
      <w:del w:id="13563" w:author="AbbVie14" w:date="2025-05-09T10:48:00Z">
        <w:r w:rsidRPr="00295E71">
          <w:rPr>
            <w:b/>
            <w:bCs/>
            <w:sz w:val="22"/>
            <w:szCs w:val="22"/>
          </w:rPr>
          <w:tab/>
          <w:delText>DENOMINAZIONE DEL MEDICINALE E VIA DI SOMMINISTRAZIONE</w:delText>
        </w:r>
      </w:del>
    </w:p>
    <w:p w:rsidR="006224C2" w:rsidRPr="00295E71" w14:paraId="08045A08" w14:textId="77777777">
      <w:pPr>
        <w:tabs>
          <w:tab w:val="left" w:pos="567"/>
        </w:tabs>
        <w:rPr>
          <w:del w:id="13564" w:author="AbbVie14" w:date="2025-05-09T10:48:00Z"/>
          <w:sz w:val="22"/>
          <w:szCs w:val="22"/>
        </w:rPr>
      </w:pPr>
    </w:p>
    <w:p w:rsidR="006224C2" w:rsidRPr="00295E71" w14:paraId="29FE990F" w14:textId="77777777">
      <w:pPr>
        <w:tabs>
          <w:tab w:val="left" w:pos="567"/>
        </w:tabs>
        <w:ind w:left="540" w:hanging="540"/>
        <w:rPr>
          <w:del w:id="13565" w:author="AbbVie14" w:date="2025-05-09T10:48:00Z"/>
          <w:sz w:val="22"/>
          <w:szCs w:val="22"/>
        </w:rPr>
      </w:pPr>
      <w:del w:id="13566" w:author="AbbVie14" w:date="2025-05-09T10:48:00Z">
        <w:r w:rsidRPr="00295E71">
          <w:rPr>
            <w:sz w:val="22"/>
            <w:szCs w:val="22"/>
          </w:rPr>
          <w:delText>Humira 40 mg/0,8 ml iniettabile</w:delText>
        </w:r>
      </w:del>
    </w:p>
    <w:p w:rsidR="006224C2" w:rsidRPr="00295E71" w14:paraId="2742981C" w14:textId="77777777">
      <w:pPr>
        <w:tabs>
          <w:tab w:val="left" w:pos="567"/>
        </w:tabs>
        <w:ind w:left="540" w:hanging="540"/>
        <w:rPr>
          <w:del w:id="13567" w:author="AbbVie14" w:date="2025-05-09T10:48:00Z"/>
          <w:sz w:val="22"/>
          <w:szCs w:val="22"/>
        </w:rPr>
      </w:pPr>
      <w:del w:id="13568" w:author="AbbVie14" w:date="2025-05-09T10:48:00Z">
        <w:r w:rsidRPr="00295E71">
          <w:rPr>
            <w:sz w:val="22"/>
            <w:szCs w:val="22"/>
          </w:rPr>
          <w:delText>adalimumab</w:delText>
        </w:r>
      </w:del>
    </w:p>
    <w:p w:rsidR="00807252" w:rsidRPr="00295E71" w:rsidP="00807252" w14:paraId="40D244D6" w14:textId="77777777">
      <w:pPr>
        <w:pStyle w:val="EndnoteText"/>
        <w:ind w:left="540" w:hanging="540"/>
        <w:rPr>
          <w:del w:id="13569" w:author="AbbVie14" w:date="2025-05-09T10:48:00Z"/>
          <w:lang w:val="it-IT"/>
        </w:rPr>
      </w:pPr>
      <w:del w:id="13570" w:author="AbbVie14" w:date="2025-05-09T10:48:00Z">
        <w:r w:rsidRPr="00295E71">
          <w:rPr>
            <w:lang w:val="it-IT"/>
          </w:rPr>
          <w:delText>s.c.</w:delText>
        </w:r>
      </w:del>
    </w:p>
    <w:p w:rsidR="006224C2" w:rsidRPr="00295E71" w14:paraId="5DA79756" w14:textId="77777777">
      <w:pPr>
        <w:tabs>
          <w:tab w:val="left" w:pos="567"/>
        </w:tabs>
        <w:ind w:left="540" w:hanging="540"/>
        <w:rPr>
          <w:del w:id="13571" w:author="AbbVie14" w:date="2025-05-09T10:48:00Z"/>
          <w:bCs/>
          <w:sz w:val="22"/>
          <w:szCs w:val="22"/>
        </w:rPr>
      </w:pPr>
    </w:p>
    <w:p w:rsidR="005968CC" w:rsidRPr="00295E71" w14:paraId="0165B708" w14:textId="77777777">
      <w:pPr>
        <w:tabs>
          <w:tab w:val="left" w:pos="567"/>
        </w:tabs>
        <w:ind w:left="540" w:hanging="540"/>
        <w:rPr>
          <w:del w:id="13572" w:author="AbbVie14" w:date="2025-05-09T10:48:00Z"/>
          <w:bCs/>
          <w:sz w:val="22"/>
          <w:szCs w:val="22"/>
        </w:rPr>
      </w:pPr>
    </w:p>
    <w:p w:rsidR="006224C2" w:rsidRPr="00295E71" w14:paraId="362B59E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573" w:author="AbbVie14" w:date="2025-05-09T10:48:00Z"/>
          <w:b/>
          <w:bCs/>
          <w:sz w:val="22"/>
          <w:szCs w:val="22"/>
        </w:rPr>
      </w:pPr>
      <w:del w:id="13574" w:author="AbbVie14" w:date="2025-05-09T10:48:00Z">
        <w:r w:rsidRPr="00295E71">
          <w:rPr>
            <w:b/>
            <w:bCs/>
            <w:sz w:val="22"/>
            <w:szCs w:val="22"/>
          </w:rPr>
          <w:delText>2.</w:delText>
        </w:r>
      </w:del>
      <w:del w:id="13575" w:author="AbbVie14" w:date="2025-05-09T10:48:00Z">
        <w:r w:rsidRPr="00295E71">
          <w:rPr>
            <w:b/>
            <w:bCs/>
            <w:sz w:val="22"/>
            <w:szCs w:val="22"/>
          </w:rPr>
          <w:tab/>
          <w:delText>MODO DI SOMMINISTRAZIONE</w:delText>
        </w:r>
      </w:del>
    </w:p>
    <w:p w:rsidR="006224C2" w:rsidRPr="00295E71" w14:paraId="38244B35" w14:textId="77777777">
      <w:pPr>
        <w:tabs>
          <w:tab w:val="left" w:pos="567"/>
        </w:tabs>
        <w:ind w:left="540" w:hanging="540"/>
        <w:rPr>
          <w:del w:id="13576" w:author="AbbVie14" w:date="2025-05-09T10:48:00Z"/>
          <w:bCs/>
          <w:sz w:val="22"/>
          <w:szCs w:val="22"/>
        </w:rPr>
      </w:pPr>
    </w:p>
    <w:p w:rsidR="006224C2" w:rsidRPr="00295E71" w14:paraId="63660B37" w14:textId="77777777">
      <w:pPr>
        <w:tabs>
          <w:tab w:val="left" w:pos="567"/>
        </w:tabs>
        <w:ind w:left="540" w:hanging="540"/>
        <w:rPr>
          <w:del w:id="13577" w:author="AbbVie14" w:date="2025-05-09T10:48:00Z"/>
          <w:bCs/>
          <w:sz w:val="22"/>
          <w:szCs w:val="22"/>
        </w:rPr>
      </w:pPr>
    </w:p>
    <w:p w:rsidR="006224C2" w:rsidRPr="00295E71" w14:paraId="5CC92A73"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578" w:author="AbbVie14" w:date="2025-05-09T10:48:00Z"/>
          <w:b/>
          <w:bCs/>
          <w:sz w:val="22"/>
          <w:szCs w:val="22"/>
        </w:rPr>
      </w:pPr>
      <w:del w:id="13579" w:author="AbbVie14" w:date="2025-05-09T10:48:00Z">
        <w:r w:rsidRPr="00295E71">
          <w:rPr>
            <w:b/>
            <w:bCs/>
            <w:sz w:val="22"/>
            <w:szCs w:val="22"/>
          </w:rPr>
          <w:delText>3.</w:delText>
        </w:r>
      </w:del>
      <w:del w:id="13580" w:author="AbbVie14" w:date="2025-05-09T10:48:00Z">
        <w:r w:rsidRPr="00295E71">
          <w:rPr>
            <w:b/>
            <w:bCs/>
            <w:sz w:val="22"/>
            <w:szCs w:val="22"/>
          </w:rPr>
          <w:tab/>
          <w:delText>DATA DI SCADENZA</w:delText>
        </w:r>
      </w:del>
    </w:p>
    <w:p w:rsidR="006224C2" w:rsidRPr="00295E71" w14:paraId="2C6E6614" w14:textId="77777777">
      <w:pPr>
        <w:tabs>
          <w:tab w:val="left" w:pos="567"/>
        </w:tabs>
        <w:ind w:left="540" w:hanging="540"/>
        <w:rPr>
          <w:del w:id="13581" w:author="AbbVie14" w:date="2025-05-09T10:48:00Z"/>
          <w:sz w:val="22"/>
          <w:szCs w:val="22"/>
        </w:rPr>
      </w:pPr>
    </w:p>
    <w:p w:rsidR="006224C2" w:rsidRPr="00295E71" w14:paraId="224EE11D" w14:textId="77777777">
      <w:pPr>
        <w:tabs>
          <w:tab w:val="left" w:pos="567"/>
        </w:tabs>
        <w:ind w:left="540" w:hanging="540"/>
        <w:rPr>
          <w:del w:id="13582" w:author="AbbVie14" w:date="2025-05-09T10:48:00Z"/>
          <w:sz w:val="22"/>
          <w:szCs w:val="22"/>
        </w:rPr>
      </w:pPr>
      <w:del w:id="13583" w:author="AbbVie14" w:date="2025-05-09T10:48:00Z">
        <w:r w:rsidRPr="00295E71">
          <w:rPr>
            <w:sz w:val="22"/>
            <w:szCs w:val="22"/>
          </w:rPr>
          <w:delText xml:space="preserve">Scad. </w:delText>
        </w:r>
      </w:del>
    </w:p>
    <w:p w:rsidR="006224C2" w:rsidRPr="00295E71" w14:paraId="471ED2D4" w14:textId="77777777">
      <w:pPr>
        <w:tabs>
          <w:tab w:val="left" w:pos="567"/>
        </w:tabs>
        <w:ind w:left="540" w:hanging="540"/>
        <w:rPr>
          <w:del w:id="13584" w:author="AbbVie14" w:date="2025-05-09T10:48:00Z"/>
          <w:sz w:val="22"/>
          <w:szCs w:val="22"/>
        </w:rPr>
      </w:pPr>
    </w:p>
    <w:p w:rsidR="006224C2" w:rsidRPr="00295E71" w14:paraId="048AD8D3" w14:textId="77777777">
      <w:pPr>
        <w:tabs>
          <w:tab w:val="left" w:pos="567"/>
        </w:tabs>
        <w:ind w:left="540" w:hanging="540"/>
        <w:rPr>
          <w:del w:id="13585" w:author="AbbVie14" w:date="2025-05-09T10:48:00Z"/>
          <w:sz w:val="22"/>
          <w:szCs w:val="22"/>
        </w:rPr>
      </w:pPr>
    </w:p>
    <w:p w:rsidR="006224C2" w:rsidRPr="00295E71" w14:paraId="5DACC6E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586" w:author="AbbVie14" w:date="2025-05-09T10:48:00Z"/>
          <w:b/>
          <w:bCs/>
          <w:sz w:val="22"/>
          <w:szCs w:val="22"/>
        </w:rPr>
      </w:pPr>
      <w:del w:id="13587" w:author="AbbVie14" w:date="2025-05-09T10:48:00Z">
        <w:r w:rsidRPr="00295E71">
          <w:rPr>
            <w:b/>
            <w:bCs/>
            <w:sz w:val="22"/>
            <w:szCs w:val="22"/>
          </w:rPr>
          <w:delText>4.</w:delText>
        </w:r>
      </w:del>
      <w:del w:id="13588" w:author="AbbVie14" w:date="2025-05-09T10:48:00Z">
        <w:r w:rsidRPr="00295E71">
          <w:rPr>
            <w:b/>
            <w:bCs/>
            <w:sz w:val="22"/>
            <w:szCs w:val="22"/>
          </w:rPr>
          <w:tab/>
          <w:delText>NUMERO DI LOTTO</w:delText>
        </w:r>
      </w:del>
    </w:p>
    <w:p w:rsidR="006224C2" w:rsidRPr="00295E71" w14:paraId="48578B39" w14:textId="77777777">
      <w:pPr>
        <w:tabs>
          <w:tab w:val="left" w:pos="567"/>
        </w:tabs>
        <w:ind w:left="540" w:hanging="540"/>
        <w:rPr>
          <w:del w:id="13589" w:author="AbbVie14" w:date="2025-05-09T10:48:00Z"/>
          <w:sz w:val="22"/>
          <w:szCs w:val="22"/>
        </w:rPr>
      </w:pPr>
    </w:p>
    <w:p w:rsidR="006224C2" w:rsidRPr="00295E71" w14:paraId="6184D47C" w14:textId="77777777">
      <w:pPr>
        <w:tabs>
          <w:tab w:val="left" w:pos="567"/>
        </w:tabs>
        <w:ind w:left="540" w:hanging="540"/>
        <w:rPr>
          <w:del w:id="13590" w:author="AbbVie14" w:date="2025-05-09T10:48:00Z"/>
          <w:sz w:val="22"/>
          <w:szCs w:val="22"/>
        </w:rPr>
      </w:pPr>
      <w:del w:id="13591" w:author="AbbVie14" w:date="2025-05-09T10:48:00Z">
        <w:r w:rsidRPr="00295E71">
          <w:rPr>
            <w:sz w:val="22"/>
            <w:szCs w:val="22"/>
          </w:rPr>
          <w:delText xml:space="preserve">Lotto </w:delText>
        </w:r>
      </w:del>
    </w:p>
    <w:p w:rsidR="006224C2" w:rsidRPr="00295E71" w14:paraId="3FD87D87" w14:textId="77777777">
      <w:pPr>
        <w:tabs>
          <w:tab w:val="left" w:pos="567"/>
        </w:tabs>
        <w:ind w:left="540" w:right="113" w:hanging="540"/>
        <w:rPr>
          <w:del w:id="13592" w:author="AbbVie14" w:date="2025-05-09T10:48:00Z"/>
          <w:sz w:val="22"/>
          <w:szCs w:val="22"/>
        </w:rPr>
      </w:pPr>
    </w:p>
    <w:p w:rsidR="006224C2" w:rsidRPr="00295E71" w14:paraId="6F546DC5" w14:textId="77777777">
      <w:pPr>
        <w:tabs>
          <w:tab w:val="left" w:pos="567"/>
        </w:tabs>
        <w:ind w:left="540" w:right="113" w:hanging="540"/>
        <w:rPr>
          <w:del w:id="13593" w:author="AbbVie14" w:date="2025-05-09T10:48:00Z"/>
          <w:sz w:val="22"/>
          <w:szCs w:val="22"/>
        </w:rPr>
      </w:pPr>
    </w:p>
    <w:p w:rsidR="006224C2" w:rsidRPr="00295E71" w14:paraId="1504149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594" w:author="AbbVie14" w:date="2025-05-09T10:48:00Z"/>
          <w:b/>
          <w:bCs/>
          <w:sz w:val="22"/>
          <w:szCs w:val="22"/>
        </w:rPr>
      </w:pPr>
      <w:del w:id="13595" w:author="AbbVie14" w:date="2025-05-09T10:48:00Z">
        <w:r w:rsidRPr="00295E71">
          <w:rPr>
            <w:b/>
            <w:bCs/>
            <w:sz w:val="22"/>
            <w:szCs w:val="22"/>
          </w:rPr>
          <w:delText>5.</w:delText>
        </w:r>
      </w:del>
      <w:del w:id="13596" w:author="AbbVie14" w:date="2025-05-09T10:48:00Z">
        <w:r w:rsidRPr="00295E71">
          <w:rPr>
            <w:b/>
            <w:bCs/>
            <w:sz w:val="22"/>
            <w:szCs w:val="22"/>
          </w:rPr>
          <w:tab/>
          <w:delText xml:space="preserve">CONTENUTO IN PESO, VOLUME O UNITA' </w:delText>
        </w:r>
      </w:del>
    </w:p>
    <w:p w:rsidR="006224C2" w:rsidRPr="00295E71" w14:paraId="58964EE6" w14:textId="77777777">
      <w:pPr>
        <w:tabs>
          <w:tab w:val="left" w:pos="567"/>
        </w:tabs>
        <w:ind w:left="540" w:hanging="540"/>
        <w:rPr>
          <w:del w:id="13597" w:author="AbbVie14" w:date="2025-05-09T10:48:00Z"/>
          <w:sz w:val="22"/>
          <w:szCs w:val="22"/>
        </w:rPr>
      </w:pPr>
    </w:p>
    <w:p w:rsidR="006224C2" w:rsidRPr="00295E71" w14:paraId="195DC54B" w14:textId="77777777">
      <w:pPr>
        <w:pStyle w:val="EndnoteText"/>
        <w:ind w:left="540" w:hanging="540"/>
        <w:rPr>
          <w:del w:id="13598" w:author="AbbVie14" w:date="2025-05-09T10:48:00Z"/>
          <w:lang w:val="it-IT"/>
        </w:rPr>
      </w:pPr>
      <w:del w:id="13599" w:author="AbbVie14" w:date="2025-05-09T10:48:00Z">
        <w:r w:rsidRPr="00295E71">
          <w:rPr>
            <w:lang w:val="it-IT"/>
          </w:rPr>
          <w:delText>40 mg/0,8 ml</w:delText>
        </w:r>
      </w:del>
    </w:p>
    <w:p w:rsidR="006224C2" w:rsidRPr="00295E71" w14:paraId="3D668BC3" w14:textId="77777777">
      <w:pPr>
        <w:tabs>
          <w:tab w:val="left" w:pos="567"/>
        </w:tabs>
        <w:ind w:left="540" w:hanging="540"/>
        <w:rPr>
          <w:del w:id="13600" w:author="AbbVie14" w:date="2025-05-09T10:48:00Z"/>
          <w:sz w:val="22"/>
          <w:szCs w:val="22"/>
        </w:rPr>
      </w:pPr>
    </w:p>
    <w:p w:rsidR="006224C2" w:rsidRPr="00295E71" w14:paraId="220C968D" w14:textId="77777777">
      <w:pPr>
        <w:tabs>
          <w:tab w:val="left" w:pos="567"/>
        </w:tabs>
        <w:ind w:left="540" w:hanging="540"/>
        <w:rPr>
          <w:del w:id="13601" w:author="AbbVie14" w:date="2025-05-09T10:48:00Z"/>
          <w:b/>
          <w:bCs/>
          <w:sz w:val="22"/>
          <w:szCs w:val="22"/>
          <w:u w:val="single"/>
        </w:rPr>
      </w:pPr>
    </w:p>
    <w:p w:rsidR="006224C2" w:rsidRPr="00295E71" w14:paraId="57F8697A"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602" w:author="AbbVie14" w:date="2025-05-09T10:48:00Z"/>
          <w:b/>
          <w:bCs/>
          <w:sz w:val="22"/>
          <w:szCs w:val="22"/>
          <w:u w:val="single"/>
        </w:rPr>
      </w:pPr>
      <w:del w:id="13603" w:author="AbbVie14" w:date="2025-05-09T10:48:00Z">
        <w:r w:rsidRPr="00295E71">
          <w:rPr>
            <w:b/>
            <w:bCs/>
            <w:sz w:val="22"/>
            <w:szCs w:val="22"/>
          </w:rPr>
          <w:delText>6.</w:delText>
        </w:r>
      </w:del>
      <w:del w:id="13604" w:author="AbbVie14" w:date="2025-05-09T10:48:00Z">
        <w:r w:rsidRPr="00295E71">
          <w:rPr>
            <w:b/>
            <w:bCs/>
            <w:sz w:val="22"/>
            <w:szCs w:val="22"/>
          </w:rPr>
          <w:tab/>
          <w:delText>ALTRO</w:delText>
        </w:r>
      </w:del>
    </w:p>
    <w:p w:rsidR="006224C2" w:rsidRPr="00295E71" w14:paraId="6FF34762" w14:textId="77777777">
      <w:pPr>
        <w:tabs>
          <w:tab w:val="left" w:pos="567"/>
        </w:tabs>
        <w:ind w:left="540" w:hanging="540"/>
        <w:rPr>
          <w:del w:id="13605" w:author="AbbVie14" w:date="2025-05-09T10:48:00Z"/>
          <w:b/>
          <w:bCs/>
          <w:sz w:val="22"/>
          <w:szCs w:val="22"/>
          <w:u w:val="single"/>
        </w:rPr>
      </w:pPr>
    </w:p>
    <w:p w:rsidR="006224C2" w:rsidRPr="00295E71" w14:paraId="6306612D" w14:textId="77777777">
      <w:pPr>
        <w:tabs>
          <w:tab w:val="left" w:pos="567"/>
        </w:tabs>
        <w:ind w:left="540" w:hanging="540"/>
        <w:rPr>
          <w:del w:id="13606" w:author="AbbVie14" w:date="2025-05-09T10:48:00Z"/>
          <w:sz w:val="22"/>
          <w:szCs w:val="22"/>
        </w:rPr>
      </w:pPr>
      <w:del w:id="13607" w:author="AbbVie14" w:date="2025-05-09T10:48:00Z">
        <w:r w:rsidRPr="00295E71">
          <w:rPr>
            <w:sz w:val="22"/>
            <w:szCs w:val="22"/>
          </w:rPr>
          <w:delText>Esclusivamente monouso</w:delText>
        </w:r>
      </w:del>
    </w:p>
    <w:p w:rsidR="006224C2" w:rsidRPr="00295E71" w14:paraId="06CAEED1" w14:textId="77777777">
      <w:pPr>
        <w:tabs>
          <w:tab w:val="left" w:pos="567"/>
        </w:tabs>
        <w:ind w:left="540" w:hanging="540"/>
        <w:rPr>
          <w:del w:id="13608" w:author="AbbVie14" w:date="2025-05-09T10:48:00Z"/>
          <w:sz w:val="22"/>
          <w:szCs w:val="22"/>
        </w:rPr>
      </w:pPr>
    </w:p>
    <w:p w:rsidR="006224C2" w:rsidRPr="00295E71" w14:paraId="323877E2" w14:textId="77777777">
      <w:pPr>
        <w:pStyle w:val="Heading3"/>
        <w:keepNext w:val="0"/>
        <w:tabs>
          <w:tab w:val="left" w:pos="567"/>
        </w:tabs>
        <w:jc w:val="left"/>
        <w:rPr>
          <w:del w:id="13609" w:author="AbbVie14" w:date="2025-05-09T10:50:00Z"/>
        </w:rPr>
      </w:pPr>
      <w:del w:id="13610" w:author="AbbVie14" w:date="2025-05-09T10:50:00Z">
        <w:r w:rsidRPr="00295E71">
          <w:rPr>
            <w:b/>
            <w:bCs/>
          </w:rPr>
          <w:br w:type="page"/>
        </w:r>
      </w:del>
    </w:p>
    <w:p w:rsidR="006224C2" w:rsidRPr="00295E71" w14:paraId="3B5BD62B" w14:textId="77777777">
      <w:pPr>
        <w:pBdr>
          <w:top w:val="single" w:sz="4" w:space="1" w:color="auto"/>
          <w:left w:val="single" w:sz="4" w:space="4" w:color="auto"/>
          <w:bottom w:val="single" w:sz="4" w:space="1" w:color="auto"/>
          <w:right w:val="single" w:sz="4" w:space="4" w:color="auto"/>
        </w:pBdr>
        <w:tabs>
          <w:tab w:val="left" w:pos="567"/>
        </w:tabs>
        <w:jc w:val="both"/>
        <w:rPr>
          <w:del w:id="13611" w:author="AbbVie14" w:date="2025-05-09T10:50:00Z"/>
          <w:b/>
          <w:bCs/>
          <w:sz w:val="22"/>
          <w:szCs w:val="22"/>
        </w:rPr>
      </w:pPr>
      <w:del w:id="13612" w:author="AbbVie14" w:date="2025-05-09T10:50:00Z">
        <w:r w:rsidRPr="00295E71">
          <w:rPr>
            <w:b/>
            <w:bCs/>
            <w:sz w:val="22"/>
            <w:szCs w:val="22"/>
          </w:rPr>
          <w:delText>INFORMAZIONI DA APPORRE SUL CONFEZIONAMENTO SECONDARIO</w:delText>
        </w:r>
      </w:del>
    </w:p>
    <w:p w:rsidR="005364A8" w:rsidRPr="00295E71" w14:paraId="4D340AE2" w14:textId="77777777">
      <w:pPr>
        <w:pBdr>
          <w:top w:val="single" w:sz="4" w:space="1" w:color="auto"/>
          <w:left w:val="single" w:sz="4" w:space="4" w:color="auto"/>
          <w:bottom w:val="single" w:sz="4" w:space="1" w:color="auto"/>
          <w:right w:val="single" w:sz="4" w:space="4" w:color="auto"/>
        </w:pBdr>
        <w:tabs>
          <w:tab w:val="left" w:pos="567"/>
        </w:tabs>
        <w:jc w:val="both"/>
        <w:rPr>
          <w:del w:id="13613" w:author="AbbVie14" w:date="2025-05-09T10:50:00Z"/>
          <w:b/>
          <w:bCs/>
          <w:caps/>
          <w:sz w:val="22"/>
          <w:szCs w:val="22"/>
        </w:rPr>
      </w:pPr>
    </w:p>
    <w:p w:rsidR="006224C2" w:rsidRPr="00295E71" w14:paraId="60926315" w14:textId="77777777">
      <w:pPr>
        <w:pBdr>
          <w:top w:val="single" w:sz="4" w:space="1" w:color="auto"/>
          <w:left w:val="single" w:sz="4" w:space="4" w:color="auto"/>
          <w:bottom w:val="single" w:sz="4" w:space="1" w:color="auto"/>
          <w:right w:val="single" w:sz="4" w:space="4" w:color="auto"/>
        </w:pBdr>
        <w:tabs>
          <w:tab w:val="left" w:pos="567"/>
        </w:tabs>
        <w:jc w:val="both"/>
        <w:rPr>
          <w:del w:id="13614" w:author="AbbVie14" w:date="2025-05-09T10:50:00Z"/>
          <w:b/>
          <w:bCs/>
          <w:caps/>
          <w:sz w:val="22"/>
          <w:szCs w:val="22"/>
        </w:rPr>
      </w:pPr>
      <w:del w:id="13615" w:author="AbbVie14" w:date="2025-05-09T10:50:00Z">
        <w:r w:rsidRPr="00295E71">
          <w:rPr>
            <w:b/>
            <w:bCs/>
            <w:caps/>
            <w:sz w:val="22"/>
            <w:szCs w:val="22"/>
          </w:rPr>
          <w:delText>ASTUCCIO esternO</w:delText>
        </w:r>
      </w:del>
    </w:p>
    <w:p w:rsidR="006224C2" w:rsidRPr="00295E71" w14:paraId="6AEFF471" w14:textId="77777777">
      <w:pPr>
        <w:tabs>
          <w:tab w:val="left" w:pos="567"/>
        </w:tabs>
        <w:jc w:val="both"/>
        <w:rPr>
          <w:del w:id="13616" w:author="AbbVie14" w:date="2025-05-09T10:50:00Z"/>
          <w:b/>
          <w:bCs/>
          <w:sz w:val="22"/>
          <w:szCs w:val="22"/>
        </w:rPr>
      </w:pPr>
    </w:p>
    <w:p w:rsidR="006224C2" w:rsidRPr="00295E71" w14:paraId="12818EC3" w14:textId="77777777">
      <w:pPr>
        <w:tabs>
          <w:tab w:val="left" w:pos="567"/>
        </w:tabs>
        <w:jc w:val="both"/>
        <w:rPr>
          <w:del w:id="13617" w:author="AbbVie14" w:date="2025-05-09T10:50:00Z"/>
          <w:b/>
          <w:bCs/>
          <w:sz w:val="22"/>
          <w:szCs w:val="22"/>
        </w:rPr>
      </w:pPr>
    </w:p>
    <w:p w:rsidR="006224C2" w:rsidRPr="00295E71" w14:paraId="0F4E7E1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618" w:author="AbbVie14" w:date="2025-05-09T10:50:00Z"/>
          <w:b/>
          <w:bCs/>
          <w:sz w:val="22"/>
          <w:szCs w:val="22"/>
        </w:rPr>
      </w:pPr>
      <w:del w:id="13619" w:author="AbbVie14" w:date="2025-05-09T10:50:00Z">
        <w:r w:rsidRPr="00295E71">
          <w:rPr>
            <w:b/>
            <w:bCs/>
            <w:sz w:val="22"/>
            <w:szCs w:val="22"/>
          </w:rPr>
          <w:delText xml:space="preserve">1. </w:delText>
        </w:r>
      </w:del>
      <w:del w:id="13620" w:author="AbbVie14" w:date="2025-05-09T10:50:00Z">
        <w:r w:rsidRPr="00295E71">
          <w:rPr>
            <w:b/>
            <w:bCs/>
            <w:sz w:val="22"/>
            <w:szCs w:val="22"/>
          </w:rPr>
          <w:tab/>
          <w:delText>DENOMINAZIONE DEL MEDICINALE</w:delText>
        </w:r>
      </w:del>
    </w:p>
    <w:p w:rsidR="006224C2" w:rsidRPr="00295E71" w14:paraId="51493657" w14:textId="77777777">
      <w:pPr>
        <w:tabs>
          <w:tab w:val="left" w:pos="567"/>
        </w:tabs>
        <w:ind w:left="540" w:hanging="540"/>
        <w:rPr>
          <w:del w:id="13621" w:author="AbbVie14" w:date="2025-05-09T10:50:00Z"/>
          <w:sz w:val="22"/>
          <w:szCs w:val="22"/>
        </w:rPr>
      </w:pPr>
    </w:p>
    <w:p w:rsidR="006224C2" w:rsidRPr="00295E71" w14:paraId="00B68199" w14:textId="77777777">
      <w:pPr>
        <w:tabs>
          <w:tab w:val="left" w:pos="567"/>
        </w:tabs>
        <w:ind w:left="540" w:hanging="540"/>
        <w:rPr>
          <w:del w:id="13622" w:author="AbbVie14" w:date="2025-05-09T10:50:00Z"/>
          <w:sz w:val="22"/>
          <w:szCs w:val="22"/>
        </w:rPr>
      </w:pPr>
      <w:del w:id="13623" w:author="AbbVie14" w:date="2025-05-09T10:50:00Z">
        <w:r w:rsidRPr="00295E71">
          <w:rPr>
            <w:sz w:val="22"/>
            <w:szCs w:val="22"/>
          </w:rPr>
          <w:delText>Humira 40 mg soluzione iniettabile in siringa</w:delText>
        </w:r>
      </w:del>
      <w:del w:id="13624" w:author="AbbVie14" w:date="2025-05-09T10:50:00Z">
        <w:r w:rsidRPr="00295E71" w:rsidR="005364A8">
          <w:rPr>
            <w:sz w:val="22"/>
            <w:szCs w:val="22"/>
          </w:rPr>
          <w:delText xml:space="preserve"> </w:delText>
        </w:r>
      </w:del>
      <w:del w:id="13625" w:author="AbbVie14" w:date="2025-05-09T10:50:00Z">
        <w:r w:rsidRPr="00295E71">
          <w:rPr>
            <w:sz w:val="22"/>
            <w:szCs w:val="22"/>
          </w:rPr>
          <w:delText>pre-riempita</w:delText>
        </w:r>
      </w:del>
    </w:p>
    <w:p w:rsidR="006224C2" w:rsidRPr="00295E71" w14:paraId="749683D3" w14:textId="77777777">
      <w:pPr>
        <w:pStyle w:val="EndnoteText"/>
        <w:ind w:left="540" w:hanging="540"/>
        <w:rPr>
          <w:del w:id="13626" w:author="AbbVie14" w:date="2025-05-09T10:50:00Z"/>
          <w:lang w:val="it-IT"/>
        </w:rPr>
      </w:pPr>
      <w:del w:id="13627" w:author="AbbVie14" w:date="2025-05-09T10:50:00Z">
        <w:r w:rsidRPr="00295E71">
          <w:rPr>
            <w:lang w:val="it-IT"/>
          </w:rPr>
          <w:delText>adalimumab</w:delText>
        </w:r>
      </w:del>
    </w:p>
    <w:p w:rsidR="006224C2" w:rsidRPr="00295E71" w14:paraId="4D4C2D2A" w14:textId="77777777">
      <w:pPr>
        <w:tabs>
          <w:tab w:val="left" w:pos="567"/>
        </w:tabs>
        <w:ind w:left="540" w:hanging="540"/>
        <w:rPr>
          <w:del w:id="13628" w:author="AbbVie14" w:date="2025-05-09T10:50:00Z"/>
          <w:sz w:val="22"/>
          <w:szCs w:val="22"/>
        </w:rPr>
      </w:pPr>
    </w:p>
    <w:p w:rsidR="006224C2" w:rsidRPr="00295E71" w14:paraId="7E6D7ED8" w14:textId="77777777">
      <w:pPr>
        <w:tabs>
          <w:tab w:val="left" w:pos="567"/>
        </w:tabs>
        <w:ind w:left="540" w:hanging="540"/>
        <w:rPr>
          <w:del w:id="13629" w:author="AbbVie14" w:date="2025-05-09T10:50:00Z"/>
          <w:sz w:val="22"/>
          <w:szCs w:val="22"/>
        </w:rPr>
      </w:pPr>
    </w:p>
    <w:p w:rsidR="006224C2" w:rsidRPr="00295E71" w14:paraId="49A8157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630" w:author="AbbVie14" w:date="2025-05-09T10:50:00Z"/>
          <w:b/>
          <w:bCs/>
          <w:sz w:val="22"/>
          <w:szCs w:val="22"/>
        </w:rPr>
      </w:pPr>
      <w:del w:id="13631" w:author="AbbVie14" w:date="2025-05-09T10:50:00Z">
        <w:r w:rsidRPr="00295E71">
          <w:rPr>
            <w:b/>
            <w:bCs/>
            <w:sz w:val="22"/>
            <w:szCs w:val="22"/>
          </w:rPr>
          <w:delText xml:space="preserve">2. </w:delText>
        </w:r>
      </w:del>
      <w:del w:id="13632" w:author="AbbVie14" w:date="2025-05-09T10:50:00Z">
        <w:r w:rsidRPr="00295E71">
          <w:rPr>
            <w:b/>
            <w:bCs/>
            <w:sz w:val="22"/>
            <w:szCs w:val="22"/>
          </w:rPr>
          <w:tab/>
          <w:delText>COMPOSIZIONE QUALITATIVA E QUANTITATIVA IN TERMINI DI PRINCIPIO ATTIVO</w:delText>
        </w:r>
      </w:del>
    </w:p>
    <w:p w:rsidR="006224C2" w:rsidRPr="00295E71" w14:paraId="504C2669" w14:textId="77777777">
      <w:pPr>
        <w:tabs>
          <w:tab w:val="left" w:pos="567"/>
        </w:tabs>
        <w:ind w:left="540" w:hanging="540"/>
        <w:rPr>
          <w:del w:id="13633" w:author="AbbVie14" w:date="2025-05-09T10:50:00Z"/>
          <w:sz w:val="22"/>
          <w:szCs w:val="22"/>
        </w:rPr>
      </w:pPr>
    </w:p>
    <w:p w:rsidR="006224C2" w:rsidRPr="00295E71" w14:paraId="146A5C1E" w14:textId="77777777">
      <w:pPr>
        <w:tabs>
          <w:tab w:val="left" w:pos="567"/>
        </w:tabs>
        <w:ind w:left="540" w:hanging="540"/>
        <w:rPr>
          <w:del w:id="13634" w:author="AbbVie14" w:date="2025-05-09T10:50:00Z"/>
          <w:sz w:val="22"/>
          <w:szCs w:val="22"/>
        </w:rPr>
      </w:pPr>
      <w:del w:id="13635" w:author="AbbVie14" w:date="2025-05-09T10:50:00Z">
        <w:r w:rsidRPr="00295E71">
          <w:rPr>
            <w:sz w:val="22"/>
            <w:szCs w:val="22"/>
          </w:rPr>
          <w:delText>Una siringa pre-riempita da 0,8 ml contiene 40 mg di adalimumab</w:delText>
        </w:r>
      </w:del>
    </w:p>
    <w:p w:rsidR="006224C2" w:rsidRPr="00295E71" w14:paraId="4F5CB9CC" w14:textId="77777777">
      <w:pPr>
        <w:tabs>
          <w:tab w:val="left" w:pos="567"/>
        </w:tabs>
        <w:ind w:left="540" w:hanging="540"/>
        <w:rPr>
          <w:del w:id="13636" w:author="AbbVie14" w:date="2025-05-09T10:50:00Z"/>
          <w:sz w:val="22"/>
          <w:szCs w:val="22"/>
        </w:rPr>
      </w:pPr>
    </w:p>
    <w:p w:rsidR="006224C2" w:rsidRPr="00295E71" w14:paraId="3350AB37" w14:textId="77777777">
      <w:pPr>
        <w:tabs>
          <w:tab w:val="left" w:pos="567"/>
        </w:tabs>
        <w:ind w:left="540" w:hanging="540"/>
        <w:rPr>
          <w:del w:id="13637" w:author="AbbVie14" w:date="2025-05-09T10:50:00Z"/>
          <w:sz w:val="22"/>
          <w:szCs w:val="22"/>
        </w:rPr>
      </w:pPr>
    </w:p>
    <w:p w:rsidR="006224C2" w:rsidRPr="00295E71" w14:paraId="38C52A3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638" w:author="AbbVie14" w:date="2025-05-09T10:50:00Z"/>
          <w:sz w:val="22"/>
          <w:szCs w:val="22"/>
        </w:rPr>
      </w:pPr>
      <w:del w:id="13639" w:author="AbbVie14" w:date="2025-05-09T10:50:00Z">
        <w:r w:rsidRPr="00295E71">
          <w:rPr>
            <w:b/>
            <w:bCs/>
            <w:sz w:val="22"/>
            <w:szCs w:val="22"/>
          </w:rPr>
          <w:delText xml:space="preserve">3. </w:delText>
        </w:r>
      </w:del>
      <w:del w:id="13640" w:author="AbbVie14" w:date="2025-05-09T10:50:00Z">
        <w:r w:rsidRPr="00295E71">
          <w:rPr>
            <w:b/>
            <w:bCs/>
            <w:sz w:val="22"/>
            <w:szCs w:val="22"/>
          </w:rPr>
          <w:tab/>
          <w:delText>ELENCO DEGLI ECCIPIENTI</w:delText>
        </w:r>
      </w:del>
    </w:p>
    <w:p w:rsidR="006224C2" w:rsidRPr="00295E71" w14:paraId="7EF1FDAF" w14:textId="77777777">
      <w:pPr>
        <w:tabs>
          <w:tab w:val="left" w:pos="567"/>
        </w:tabs>
        <w:rPr>
          <w:del w:id="13641" w:author="AbbVie14" w:date="2025-05-09T10:50:00Z"/>
          <w:sz w:val="22"/>
          <w:szCs w:val="22"/>
        </w:rPr>
      </w:pPr>
    </w:p>
    <w:p w:rsidR="006224C2" w:rsidRPr="00295E71" w14:paraId="249E2421" w14:textId="77777777">
      <w:pPr>
        <w:pStyle w:val="EMEAFigureTitle"/>
        <w:suppressAutoHyphens w:val="0"/>
        <w:autoSpaceDE w:val="0"/>
        <w:autoSpaceDN w:val="0"/>
        <w:adjustRightInd w:val="0"/>
        <w:rPr>
          <w:del w:id="13642" w:author="AbbVie14" w:date="2025-05-09T10:50:00Z"/>
          <w:lang w:val="it-IT" w:eastAsia="it-IT"/>
        </w:rPr>
      </w:pPr>
      <w:del w:id="13643" w:author="AbbVie14" w:date="2025-05-09T10:50:00Z">
        <w:r w:rsidRPr="00295E71">
          <w:rPr>
            <w:lang w:val="it-IT" w:eastAsia="it-IT"/>
          </w:rPr>
          <w:delText>Eccipienti: mannitolo, acido citrico monoidrato, sodio citrato, sodio fosfato monobasico diidrato, sodio fosfato dibasico diidrato, sodio cloruro, polisorbato 80, sodio idrossido e acqua per preparazioni iniettabili. Per ulteriori informazioni vedere il foglio illustrativo.</w:delText>
        </w:r>
      </w:del>
    </w:p>
    <w:p w:rsidR="006224C2" w:rsidRPr="00295E71" w14:paraId="61DCBBB6" w14:textId="77777777">
      <w:pPr>
        <w:tabs>
          <w:tab w:val="left" w:pos="567"/>
        </w:tabs>
        <w:ind w:left="540" w:hanging="540"/>
        <w:rPr>
          <w:del w:id="13644" w:author="AbbVie14" w:date="2025-05-09T10:50:00Z"/>
          <w:sz w:val="22"/>
          <w:szCs w:val="22"/>
        </w:rPr>
      </w:pPr>
    </w:p>
    <w:p w:rsidR="006224C2" w:rsidRPr="00295E71" w14:paraId="6C1A1805" w14:textId="77777777">
      <w:pPr>
        <w:tabs>
          <w:tab w:val="left" w:pos="567"/>
        </w:tabs>
        <w:ind w:left="540" w:hanging="540"/>
        <w:rPr>
          <w:del w:id="13645" w:author="AbbVie14" w:date="2025-05-09T10:50:00Z"/>
          <w:sz w:val="22"/>
          <w:szCs w:val="22"/>
        </w:rPr>
      </w:pPr>
    </w:p>
    <w:p w:rsidR="006224C2" w:rsidRPr="00295E71" w14:paraId="40186F0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646" w:author="AbbVie14" w:date="2025-05-09T10:50:00Z"/>
          <w:sz w:val="22"/>
          <w:szCs w:val="22"/>
        </w:rPr>
      </w:pPr>
      <w:del w:id="13647" w:author="AbbVie14" w:date="2025-05-09T10:50:00Z">
        <w:r w:rsidRPr="00295E71">
          <w:rPr>
            <w:b/>
            <w:bCs/>
            <w:sz w:val="22"/>
            <w:szCs w:val="22"/>
          </w:rPr>
          <w:delText xml:space="preserve">4. </w:delText>
        </w:r>
      </w:del>
      <w:del w:id="13648" w:author="AbbVie14" w:date="2025-05-09T10:50:00Z">
        <w:r w:rsidRPr="00295E71">
          <w:rPr>
            <w:b/>
            <w:bCs/>
            <w:sz w:val="22"/>
            <w:szCs w:val="22"/>
          </w:rPr>
          <w:tab/>
          <w:delText>FORMA FARMACEUTICA E CONTENUTO</w:delText>
        </w:r>
      </w:del>
      <w:del w:id="13649" w:author="AbbVie14" w:date="2025-05-09T10:50:00Z">
        <w:r w:rsidRPr="00295E71">
          <w:rPr>
            <w:b/>
            <w:bCs/>
            <w:sz w:val="22"/>
            <w:szCs w:val="22"/>
          </w:rPr>
          <w:tab/>
        </w:r>
      </w:del>
    </w:p>
    <w:p w:rsidR="006224C2" w:rsidRPr="00295E71" w14:paraId="04683916" w14:textId="77777777">
      <w:pPr>
        <w:tabs>
          <w:tab w:val="left" w:pos="567"/>
        </w:tabs>
        <w:ind w:left="540" w:hanging="540"/>
        <w:rPr>
          <w:del w:id="13650" w:author="AbbVie14" w:date="2025-05-09T10:50:00Z"/>
          <w:sz w:val="22"/>
          <w:szCs w:val="22"/>
        </w:rPr>
      </w:pPr>
    </w:p>
    <w:p w:rsidR="004036EF" w:rsidRPr="00295E71" w14:paraId="2D62B6CB" w14:textId="77777777">
      <w:pPr>
        <w:tabs>
          <w:tab w:val="left" w:pos="567"/>
        </w:tabs>
        <w:ind w:left="540" w:hanging="540"/>
        <w:rPr>
          <w:del w:id="13651" w:author="AbbVie14" w:date="2025-05-09T10:50:00Z"/>
          <w:sz w:val="22"/>
          <w:szCs w:val="22"/>
        </w:rPr>
      </w:pPr>
      <w:del w:id="13652" w:author="AbbVie14" w:date="2025-05-09T10:50:00Z">
        <w:r w:rsidRPr="00295E71">
          <w:rPr>
            <w:sz w:val="22"/>
            <w:szCs w:val="22"/>
            <w:highlight w:val="lightGray"/>
          </w:rPr>
          <w:delText>Soluzione iniettabile</w:delText>
        </w:r>
      </w:del>
      <w:del w:id="13653" w:author="AbbVie14" w:date="2025-05-09T10:50:00Z">
        <w:r w:rsidRPr="00295E71">
          <w:rPr>
            <w:sz w:val="22"/>
            <w:szCs w:val="22"/>
          </w:rPr>
          <w:delText xml:space="preserve"> </w:delText>
        </w:r>
      </w:del>
    </w:p>
    <w:p w:rsidR="006224C2" w:rsidRPr="00295E71" w14:paraId="3F0B4D42" w14:textId="77777777">
      <w:pPr>
        <w:tabs>
          <w:tab w:val="left" w:pos="567"/>
        </w:tabs>
        <w:ind w:left="540" w:hanging="540"/>
        <w:rPr>
          <w:del w:id="13654" w:author="AbbVie14" w:date="2025-05-09T10:50:00Z"/>
          <w:sz w:val="22"/>
          <w:szCs w:val="22"/>
        </w:rPr>
      </w:pPr>
      <w:del w:id="13655" w:author="AbbVie14" w:date="2025-05-09T10:50:00Z">
        <w:r w:rsidRPr="00295E71">
          <w:rPr>
            <w:sz w:val="22"/>
            <w:szCs w:val="22"/>
          </w:rPr>
          <w:delText>1 siringa pre-riempita</w:delText>
        </w:r>
      </w:del>
    </w:p>
    <w:p w:rsidR="006224C2" w:rsidRPr="00295E71" w14:paraId="2F9FA9B4" w14:textId="77777777">
      <w:pPr>
        <w:tabs>
          <w:tab w:val="left" w:pos="567"/>
        </w:tabs>
        <w:ind w:left="540" w:hanging="540"/>
        <w:rPr>
          <w:del w:id="13656" w:author="AbbVie14" w:date="2025-05-09T10:50:00Z"/>
          <w:i/>
          <w:iCs/>
          <w:sz w:val="22"/>
          <w:szCs w:val="22"/>
        </w:rPr>
      </w:pPr>
      <w:del w:id="13657" w:author="AbbVie14" w:date="2025-05-09T10:50:00Z">
        <w:r w:rsidRPr="00295E71">
          <w:rPr>
            <w:sz w:val="22"/>
            <w:szCs w:val="22"/>
          </w:rPr>
          <w:delText>1 tampone imbevuto di alcool</w:delText>
        </w:r>
      </w:del>
    </w:p>
    <w:p w:rsidR="006224C2" w:rsidRPr="00295E71" w14:paraId="1B3E383B" w14:textId="77777777">
      <w:pPr>
        <w:tabs>
          <w:tab w:val="left" w:pos="567"/>
        </w:tabs>
        <w:ind w:left="540" w:hanging="540"/>
        <w:rPr>
          <w:del w:id="13658" w:author="AbbVie14" w:date="2025-05-09T10:50:00Z"/>
          <w:sz w:val="22"/>
          <w:szCs w:val="22"/>
        </w:rPr>
      </w:pPr>
    </w:p>
    <w:p w:rsidR="00807252" w:rsidRPr="00295E71" w:rsidP="00807252" w14:paraId="3D00011B" w14:textId="77777777">
      <w:pPr>
        <w:tabs>
          <w:tab w:val="left" w:pos="567"/>
        </w:tabs>
        <w:ind w:left="540" w:hanging="540"/>
        <w:rPr>
          <w:del w:id="13659" w:author="AbbVie14" w:date="2025-05-09T10:50:00Z"/>
          <w:sz w:val="22"/>
          <w:szCs w:val="22"/>
          <w:highlight w:val="lightGray"/>
        </w:rPr>
      </w:pPr>
      <w:del w:id="13660" w:author="AbbVie14" w:date="2025-05-09T10:50:00Z">
        <w:r w:rsidRPr="00295E71">
          <w:rPr>
            <w:sz w:val="22"/>
            <w:szCs w:val="22"/>
            <w:highlight w:val="lightGray"/>
          </w:rPr>
          <w:delText>2 siring</w:delText>
        </w:r>
      </w:del>
      <w:del w:id="13661" w:author="AbbVie14" w:date="2025-05-09T10:50:00Z">
        <w:r w:rsidRPr="00295E71" w:rsidR="003E36B3">
          <w:rPr>
            <w:sz w:val="22"/>
            <w:szCs w:val="22"/>
            <w:highlight w:val="lightGray"/>
          </w:rPr>
          <w:delText>he pre-riempite</w:delText>
        </w:r>
      </w:del>
    </w:p>
    <w:p w:rsidR="00807252" w:rsidRPr="00295E71" w:rsidP="00807252" w14:paraId="44374233" w14:textId="77777777">
      <w:pPr>
        <w:tabs>
          <w:tab w:val="left" w:pos="567"/>
        </w:tabs>
        <w:ind w:left="540" w:hanging="540"/>
        <w:rPr>
          <w:del w:id="13662" w:author="AbbVie14" w:date="2025-05-09T10:50:00Z"/>
          <w:i/>
          <w:iCs/>
          <w:sz w:val="22"/>
          <w:szCs w:val="22"/>
        </w:rPr>
      </w:pPr>
      <w:del w:id="13663" w:author="AbbVie14" w:date="2025-05-09T10:50:00Z">
        <w:r w:rsidRPr="00295E71">
          <w:rPr>
            <w:sz w:val="22"/>
            <w:szCs w:val="22"/>
            <w:highlight w:val="lightGray"/>
          </w:rPr>
          <w:delText>2 tampon</w:delText>
        </w:r>
      </w:del>
      <w:del w:id="13664" w:author="AbbVie14" w:date="2025-05-09T10:50:00Z">
        <w:r w:rsidRPr="00295E71" w:rsidR="003E36B3">
          <w:rPr>
            <w:sz w:val="22"/>
            <w:szCs w:val="22"/>
            <w:highlight w:val="lightGray"/>
          </w:rPr>
          <w:delText>i imbevuti</w:delText>
        </w:r>
      </w:del>
      <w:del w:id="13665" w:author="AbbVie14" w:date="2025-05-09T10:50:00Z">
        <w:r w:rsidRPr="00295E71">
          <w:rPr>
            <w:sz w:val="22"/>
            <w:szCs w:val="22"/>
            <w:highlight w:val="lightGray"/>
          </w:rPr>
          <w:delText xml:space="preserve"> di alcool</w:delText>
        </w:r>
      </w:del>
    </w:p>
    <w:p w:rsidR="00807252" w:rsidRPr="00295E71" w14:paraId="16F36CC1" w14:textId="77777777">
      <w:pPr>
        <w:tabs>
          <w:tab w:val="left" w:pos="567"/>
        </w:tabs>
        <w:ind w:left="540" w:hanging="540"/>
        <w:rPr>
          <w:del w:id="13666" w:author="AbbVie14" w:date="2025-05-09T10:50:00Z"/>
          <w:sz w:val="22"/>
          <w:szCs w:val="22"/>
        </w:rPr>
      </w:pPr>
    </w:p>
    <w:p w:rsidR="00807252" w:rsidRPr="00295E71" w:rsidP="00807252" w14:paraId="139FF3DE" w14:textId="77777777">
      <w:pPr>
        <w:tabs>
          <w:tab w:val="left" w:pos="567"/>
        </w:tabs>
        <w:ind w:left="540" w:hanging="540"/>
        <w:rPr>
          <w:del w:id="13667" w:author="AbbVie14" w:date="2025-05-09T10:50:00Z"/>
          <w:sz w:val="22"/>
          <w:szCs w:val="22"/>
          <w:highlight w:val="lightGray"/>
        </w:rPr>
      </w:pPr>
      <w:del w:id="13668" w:author="AbbVie14" w:date="2025-05-09T10:50:00Z">
        <w:r w:rsidRPr="00295E71">
          <w:rPr>
            <w:sz w:val="22"/>
            <w:szCs w:val="22"/>
            <w:highlight w:val="lightGray"/>
          </w:rPr>
          <w:delText>4</w:delText>
        </w:r>
      </w:del>
      <w:del w:id="13669" w:author="AbbVie14" w:date="2025-05-09T10:50:00Z">
        <w:r w:rsidRPr="00295E71" w:rsidR="003E36B3">
          <w:rPr>
            <w:sz w:val="22"/>
            <w:szCs w:val="22"/>
            <w:highlight w:val="lightGray"/>
          </w:rPr>
          <w:delText xml:space="preserve"> siringhe pre-riempite</w:delText>
        </w:r>
      </w:del>
    </w:p>
    <w:p w:rsidR="00807252" w:rsidRPr="00295E71" w:rsidP="00807252" w14:paraId="7A5B579F" w14:textId="77777777">
      <w:pPr>
        <w:tabs>
          <w:tab w:val="left" w:pos="567"/>
        </w:tabs>
        <w:ind w:left="540" w:hanging="540"/>
        <w:rPr>
          <w:del w:id="13670" w:author="AbbVie14" w:date="2025-05-09T10:50:00Z"/>
          <w:i/>
          <w:iCs/>
          <w:sz w:val="22"/>
          <w:szCs w:val="22"/>
        </w:rPr>
      </w:pPr>
      <w:del w:id="13671" w:author="AbbVie14" w:date="2025-05-09T10:50:00Z">
        <w:r w:rsidRPr="00295E71">
          <w:rPr>
            <w:sz w:val="22"/>
            <w:szCs w:val="22"/>
            <w:highlight w:val="lightGray"/>
          </w:rPr>
          <w:delText>4 tampon</w:delText>
        </w:r>
      </w:del>
      <w:del w:id="13672" w:author="AbbVie14" w:date="2025-05-09T10:50:00Z">
        <w:r w:rsidRPr="00295E71" w:rsidR="003E36B3">
          <w:rPr>
            <w:sz w:val="22"/>
            <w:szCs w:val="22"/>
            <w:highlight w:val="lightGray"/>
          </w:rPr>
          <w:delText>i</w:delText>
        </w:r>
      </w:del>
      <w:del w:id="13673" w:author="AbbVie14" w:date="2025-05-09T10:50:00Z">
        <w:r w:rsidRPr="00295E71">
          <w:rPr>
            <w:sz w:val="22"/>
            <w:szCs w:val="22"/>
            <w:highlight w:val="lightGray"/>
          </w:rPr>
          <w:delText xml:space="preserve"> imbevut</w:delText>
        </w:r>
      </w:del>
      <w:del w:id="13674" w:author="AbbVie14" w:date="2025-05-09T10:50:00Z">
        <w:r w:rsidRPr="00295E71" w:rsidR="003E36B3">
          <w:rPr>
            <w:sz w:val="22"/>
            <w:szCs w:val="22"/>
            <w:highlight w:val="lightGray"/>
          </w:rPr>
          <w:delText>i</w:delText>
        </w:r>
      </w:del>
      <w:del w:id="13675" w:author="AbbVie14" w:date="2025-05-09T10:50:00Z">
        <w:r w:rsidRPr="00295E71">
          <w:rPr>
            <w:sz w:val="22"/>
            <w:szCs w:val="22"/>
            <w:highlight w:val="lightGray"/>
          </w:rPr>
          <w:delText xml:space="preserve"> di alcool</w:delText>
        </w:r>
      </w:del>
    </w:p>
    <w:p w:rsidR="00807252" w:rsidRPr="00295E71" w14:paraId="1D3D7602" w14:textId="77777777">
      <w:pPr>
        <w:tabs>
          <w:tab w:val="left" w:pos="567"/>
        </w:tabs>
        <w:ind w:left="540" w:hanging="540"/>
        <w:rPr>
          <w:del w:id="13676" w:author="AbbVie14" w:date="2025-05-09T10:50:00Z"/>
          <w:sz w:val="22"/>
          <w:szCs w:val="22"/>
        </w:rPr>
      </w:pPr>
    </w:p>
    <w:p w:rsidR="00807252" w:rsidRPr="00295E71" w:rsidP="00807252" w14:paraId="59E4FF52" w14:textId="77777777">
      <w:pPr>
        <w:tabs>
          <w:tab w:val="left" w:pos="567"/>
        </w:tabs>
        <w:ind w:left="540" w:hanging="540"/>
        <w:rPr>
          <w:del w:id="13677" w:author="AbbVie14" w:date="2025-05-09T10:50:00Z"/>
          <w:sz w:val="22"/>
          <w:szCs w:val="22"/>
          <w:highlight w:val="lightGray"/>
        </w:rPr>
      </w:pPr>
      <w:del w:id="13678" w:author="AbbVie14" w:date="2025-05-09T10:50:00Z">
        <w:r w:rsidRPr="00295E71">
          <w:rPr>
            <w:sz w:val="22"/>
            <w:szCs w:val="22"/>
            <w:highlight w:val="lightGray"/>
          </w:rPr>
          <w:delText>6 siring</w:delText>
        </w:r>
      </w:del>
      <w:del w:id="13679" w:author="AbbVie14" w:date="2025-05-09T10:50:00Z">
        <w:r w:rsidRPr="00295E71" w:rsidR="003E36B3">
          <w:rPr>
            <w:sz w:val="22"/>
            <w:szCs w:val="22"/>
            <w:highlight w:val="lightGray"/>
          </w:rPr>
          <w:delText>he</w:delText>
        </w:r>
      </w:del>
      <w:del w:id="13680" w:author="AbbVie14" w:date="2025-05-09T10:50:00Z">
        <w:r w:rsidRPr="00295E71">
          <w:rPr>
            <w:sz w:val="22"/>
            <w:szCs w:val="22"/>
            <w:highlight w:val="lightGray"/>
          </w:rPr>
          <w:delText xml:space="preserve"> pre-riempit</w:delText>
        </w:r>
      </w:del>
      <w:del w:id="13681" w:author="AbbVie14" w:date="2025-05-09T10:50:00Z">
        <w:r w:rsidRPr="00295E71" w:rsidR="003E36B3">
          <w:rPr>
            <w:sz w:val="22"/>
            <w:szCs w:val="22"/>
            <w:highlight w:val="lightGray"/>
          </w:rPr>
          <w:delText>e</w:delText>
        </w:r>
      </w:del>
    </w:p>
    <w:p w:rsidR="00807252" w:rsidRPr="00295E71" w:rsidP="00807252" w14:paraId="4123C967" w14:textId="77777777">
      <w:pPr>
        <w:tabs>
          <w:tab w:val="left" w:pos="567"/>
        </w:tabs>
        <w:ind w:left="540" w:hanging="540"/>
        <w:rPr>
          <w:del w:id="13682" w:author="AbbVie14" w:date="2025-05-09T10:50:00Z"/>
          <w:i/>
          <w:iCs/>
          <w:sz w:val="22"/>
          <w:szCs w:val="22"/>
        </w:rPr>
      </w:pPr>
      <w:del w:id="13683" w:author="AbbVie14" w:date="2025-05-09T10:50:00Z">
        <w:r w:rsidRPr="00295E71">
          <w:rPr>
            <w:sz w:val="22"/>
            <w:szCs w:val="22"/>
            <w:highlight w:val="lightGray"/>
          </w:rPr>
          <w:delText>6 tampon</w:delText>
        </w:r>
      </w:del>
      <w:del w:id="13684" w:author="AbbVie14" w:date="2025-05-09T10:50:00Z">
        <w:r w:rsidRPr="00295E71" w:rsidR="003E36B3">
          <w:rPr>
            <w:sz w:val="22"/>
            <w:szCs w:val="22"/>
            <w:highlight w:val="lightGray"/>
          </w:rPr>
          <w:delText>i</w:delText>
        </w:r>
      </w:del>
      <w:del w:id="13685" w:author="AbbVie14" w:date="2025-05-09T10:50:00Z">
        <w:r w:rsidRPr="00295E71">
          <w:rPr>
            <w:sz w:val="22"/>
            <w:szCs w:val="22"/>
            <w:highlight w:val="lightGray"/>
          </w:rPr>
          <w:delText xml:space="preserve"> imbevut</w:delText>
        </w:r>
      </w:del>
      <w:del w:id="13686" w:author="AbbVie14" w:date="2025-05-09T10:50:00Z">
        <w:r w:rsidRPr="00295E71" w:rsidR="003E36B3">
          <w:rPr>
            <w:sz w:val="22"/>
            <w:szCs w:val="22"/>
            <w:highlight w:val="lightGray"/>
          </w:rPr>
          <w:delText>i</w:delText>
        </w:r>
      </w:del>
      <w:del w:id="13687" w:author="AbbVie14" w:date="2025-05-09T10:50:00Z">
        <w:r w:rsidRPr="00295E71">
          <w:rPr>
            <w:sz w:val="22"/>
            <w:szCs w:val="22"/>
            <w:highlight w:val="lightGray"/>
          </w:rPr>
          <w:delText xml:space="preserve"> di alcool</w:delText>
        </w:r>
      </w:del>
    </w:p>
    <w:p w:rsidR="00807252" w:rsidRPr="00295E71" w14:paraId="14F23B61" w14:textId="77777777">
      <w:pPr>
        <w:tabs>
          <w:tab w:val="left" w:pos="567"/>
        </w:tabs>
        <w:ind w:left="540" w:hanging="540"/>
        <w:rPr>
          <w:del w:id="13688" w:author="AbbVie14" w:date="2025-05-09T10:50:00Z"/>
          <w:sz w:val="22"/>
          <w:szCs w:val="22"/>
        </w:rPr>
      </w:pPr>
    </w:p>
    <w:p w:rsidR="006224C2" w:rsidRPr="00295E71" w14:paraId="2BDCAC3D" w14:textId="77777777">
      <w:pPr>
        <w:tabs>
          <w:tab w:val="left" w:pos="567"/>
        </w:tabs>
        <w:ind w:left="540" w:hanging="540"/>
        <w:rPr>
          <w:del w:id="13689" w:author="AbbVie14" w:date="2025-05-09T10:50:00Z"/>
          <w:color w:val="000000"/>
          <w:sz w:val="22"/>
          <w:szCs w:val="22"/>
          <w:u w:val="single"/>
        </w:rPr>
      </w:pPr>
    </w:p>
    <w:p w:rsidR="006224C2" w:rsidRPr="00295E71" w14:paraId="4BC87C3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690" w:author="AbbVie14" w:date="2025-05-09T10:50:00Z"/>
          <w:sz w:val="22"/>
          <w:szCs w:val="22"/>
        </w:rPr>
      </w:pPr>
      <w:del w:id="13691" w:author="AbbVie14" w:date="2025-05-09T10:50:00Z">
        <w:r w:rsidRPr="00295E71">
          <w:rPr>
            <w:b/>
            <w:bCs/>
            <w:sz w:val="22"/>
            <w:szCs w:val="22"/>
          </w:rPr>
          <w:delText xml:space="preserve">5. </w:delText>
        </w:r>
      </w:del>
      <w:del w:id="13692" w:author="AbbVie14" w:date="2025-05-09T10:50:00Z">
        <w:r w:rsidRPr="00295E71">
          <w:rPr>
            <w:b/>
            <w:bCs/>
            <w:sz w:val="22"/>
            <w:szCs w:val="22"/>
          </w:rPr>
          <w:tab/>
          <w:delText>MODO E VIA DI SOMMINISTRAZIONE</w:delText>
        </w:r>
      </w:del>
    </w:p>
    <w:p w:rsidR="006224C2" w:rsidRPr="00295E71" w14:paraId="65535FCA" w14:textId="77777777">
      <w:pPr>
        <w:tabs>
          <w:tab w:val="left" w:pos="567"/>
        </w:tabs>
        <w:ind w:left="540" w:hanging="540"/>
        <w:rPr>
          <w:del w:id="13693" w:author="AbbVie14" w:date="2025-05-09T10:50:00Z"/>
          <w:sz w:val="22"/>
          <w:szCs w:val="22"/>
        </w:rPr>
      </w:pPr>
    </w:p>
    <w:p w:rsidR="006224C2" w:rsidRPr="00295E71" w14:paraId="4A8EBF98" w14:textId="77777777">
      <w:pPr>
        <w:tabs>
          <w:tab w:val="left" w:pos="567"/>
        </w:tabs>
        <w:ind w:left="540" w:hanging="540"/>
        <w:rPr>
          <w:del w:id="13694" w:author="AbbVie14" w:date="2025-05-09T10:50:00Z"/>
          <w:sz w:val="22"/>
          <w:szCs w:val="22"/>
        </w:rPr>
      </w:pPr>
      <w:del w:id="13695" w:author="AbbVie14" w:date="2025-05-09T10:50:00Z">
        <w:r w:rsidRPr="00295E71">
          <w:rPr>
            <w:sz w:val="22"/>
            <w:szCs w:val="22"/>
          </w:rPr>
          <w:delText>Uso sottocutaneo</w:delText>
        </w:r>
      </w:del>
    </w:p>
    <w:p w:rsidR="006224C2" w:rsidRPr="00295E71" w14:paraId="615903AE" w14:textId="77777777">
      <w:pPr>
        <w:tabs>
          <w:tab w:val="left" w:pos="567"/>
        </w:tabs>
        <w:ind w:left="540" w:hanging="540"/>
        <w:rPr>
          <w:del w:id="13696" w:author="AbbVie14" w:date="2025-05-09T10:50:00Z"/>
          <w:sz w:val="22"/>
          <w:szCs w:val="22"/>
        </w:rPr>
      </w:pPr>
    </w:p>
    <w:p w:rsidR="006224C2" w:rsidRPr="00295E71" w14:paraId="2EEF25C5" w14:textId="77777777">
      <w:pPr>
        <w:tabs>
          <w:tab w:val="left" w:pos="567"/>
        </w:tabs>
        <w:ind w:left="540" w:hanging="540"/>
        <w:rPr>
          <w:del w:id="13697" w:author="AbbVie14" w:date="2025-05-09T10:50:00Z"/>
          <w:sz w:val="22"/>
          <w:szCs w:val="22"/>
        </w:rPr>
      </w:pPr>
      <w:del w:id="13698" w:author="AbbVie14" w:date="2025-05-09T10:50:00Z">
        <w:r w:rsidRPr="00295E71">
          <w:rPr>
            <w:sz w:val="22"/>
            <w:szCs w:val="22"/>
          </w:rPr>
          <w:delText>Leggere il foglio illustrativo prima dell'uso.</w:delText>
        </w:r>
      </w:del>
    </w:p>
    <w:p w:rsidR="006224C2" w:rsidRPr="00295E71" w14:paraId="2788BE33" w14:textId="77777777">
      <w:pPr>
        <w:tabs>
          <w:tab w:val="left" w:pos="567"/>
        </w:tabs>
        <w:ind w:left="540" w:hanging="540"/>
        <w:rPr>
          <w:del w:id="13699" w:author="AbbVie14" w:date="2025-05-09T10:50:00Z"/>
          <w:sz w:val="22"/>
          <w:szCs w:val="22"/>
        </w:rPr>
      </w:pPr>
    </w:p>
    <w:p w:rsidR="004036EF" w:rsidRPr="00295E71" w:rsidP="004036EF" w14:paraId="43F576E1" w14:textId="77777777">
      <w:pPr>
        <w:tabs>
          <w:tab w:val="left" w:pos="567"/>
        </w:tabs>
        <w:ind w:left="540" w:hanging="540"/>
        <w:rPr>
          <w:del w:id="13700" w:author="AbbVie14" w:date="2025-05-09T10:50:00Z"/>
          <w:sz w:val="22"/>
          <w:szCs w:val="22"/>
        </w:rPr>
      </w:pPr>
      <w:del w:id="13701" w:author="AbbVie14" w:date="2025-05-09T10:50:00Z">
        <w:r w:rsidRPr="00295E71">
          <w:rPr>
            <w:sz w:val="22"/>
            <w:szCs w:val="22"/>
          </w:rPr>
          <w:delText>Esclusivamente monouso.</w:delText>
        </w:r>
      </w:del>
    </w:p>
    <w:p w:rsidR="006224C2" w:rsidRPr="00295E71" w14:paraId="3ADE7319" w14:textId="77777777">
      <w:pPr>
        <w:tabs>
          <w:tab w:val="left" w:pos="567"/>
        </w:tabs>
        <w:ind w:left="540" w:hanging="540"/>
        <w:rPr>
          <w:del w:id="13702" w:author="AbbVie14" w:date="2025-05-09T10:50:00Z"/>
          <w:sz w:val="22"/>
          <w:szCs w:val="22"/>
        </w:rPr>
      </w:pPr>
    </w:p>
    <w:p w:rsidR="005968CC" w:rsidRPr="00295E71" w14:paraId="02F26C5D" w14:textId="77777777">
      <w:pPr>
        <w:tabs>
          <w:tab w:val="left" w:pos="567"/>
        </w:tabs>
        <w:ind w:left="540" w:hanging="540"/>
        <w:rPr>
          <w:del w:id="13703" w:author="AbbVie14" w:date="2025-05-09T10:50:00Z"/>
          <w:sz w:val="22"/>
          <w:szCs w:val="22"/>
        </w:rPr>
      </w:pPr>
    </w:p>
    <w:p w:rsidR="006224C2" w:rsidRPr="00295E71" w14:paraId="2933DCF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704" w:author="AbbVie14" w:date="2025-05-09T10:50:00Z"/>
          <w:sz w:val="22"/>
          <w:szCs w:val="22"/>
        </w:rPr>
      </w:pPr>
      <w:del w:id="13705" w:author="AbbVie14" w:date="2025-05-09T10:50:00Z">
        <w:r w:rsidRPr="00295E71">
          <w:rPr>
            <w:b/>
            <w:bCs/>
            <w:sz w:val="22"/>
            <w:szCs w:val="22"/>
          </w:rPr>
          <w:delText xml:space="preserve">6. </w:delText>
        </w:r>
      </w:del>
      <w:del w:id="13706" w:author="AbbVie14" w:date="2025-05-09T10:50:00Z">
        <w:r w:rsidRPr="00295E71">
          <w:rPr>
            <w:b/>
            <w:bCs/>
            <w:sz w:val="22"/>
            <w:szCs w:val="22"/>
          </w:rPr>
          <w:tab/>
          <w:delText>AVVERTENZA PARTICOLARE CHE PRESCRIVA DI TENERE IL MEDICINALE FUORI DALLA VISTA E DALLA PORTATA DEI BAMBINI</w:delText>
        </w:r>
      </w:del>
    </w:p>
    <w:p w:rsidR="006224C2" w:rsidRPr="00295E71" w14:paraId="45AFC306" w14:textId="77777777">
      <w:pPr>
        <w:tabs>
          <w:tab w:val="left" w:pos="567"/>
        </w:tabs>
        <w:ind w:left="540" w:hanging="540"/>
        <w:rPr>
          <w:del w:id="13707" w:author="AbbVie14" w:date="2025-05-09T10:50:00Z"/>
          <w:sz w:val="22"/>
          <w:szCs w:val="22"/>
        </w:rPr>
      </w:pPr>
    </w:p>
    <w:p w:rsidR="006224C2" w:rsidRPr="00295E71" w14:paraId="02D993E0" w14:textId="77777777">
      <w:pPr>
        <w:tabs>
          <w:tab w:val="left" w:pos="567"/>
        </w:tabs>
        <w:ind w:left="540" w:hanging="540"/>
        <w:rPr>
          <w:del w:id="13708" w:author="AbbVie14" w:date="2025-05-09T10:50:00Z"/>
          <w:sz w:val="22"/>
          <w:szCs w:val="22"/>
        </w:rPr>
      </w:pPr>
      <w:del w:id="13709" w:author="AbbVie14" w:date="2025-05-09T10:50:00Z">
        <w:r w:rsidRPr="00295E71">
          <w:rPr>
            <w:sz w:val="22"/>
            <w:szCs w:val="22"/>
          </w:rPr>
          <w:delText>Tenere fuori dalla vista e dalla portata dei bambini.</w:delText>
        </w:r>
      </w:del>
    </w:p>
    <w:p w:rsidR="006224C2" w:rsidRPr="00295E71" w14:paraId="700AB1EB" w14:textId="77777777">
      <w:pPr>
        <w:tabs>
          <w:tab w:val="left" w:pos="567"/>
        </w:tabs>
        <w:ind w:left="540" w:hanging="540"/>
        <w:rPr>
          <w:del w:id="13710" w:author="AbbVie14" w:date="2025-05-09T10:50:00Z"/>
          <w:sz w:val="22"/>
          <w:szCs w:val="22"/>
        </w:rPr>
      </w:pPr>
    </w:p>
    <w:p w:rsidR="006224C2" w:rsidRPr="00295E71" w14:paraId="65587164" w14:textId="77777777">
      <w:pPr>
        <w:tabs>
          <w:tab w:val="left" w:pos="567"/>
        </w:tabs>
        <w:ind w:left="540" w:hanging="540"/>
        <w:rPr>
          <w:del w:id="13711" w:author="AbbVie14" w:date="2025-05-09T10:50:00Z"/>
          <w:sz w:val="22"/>
          <w:szCs w:val="22"/>
        </w:rPr>
      </w:pPr>
    </w:p>
    <w:p w:rsidR="006224C2" w:rsidRPr="00295E71" w14:paraId="0D03053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712" w:author="AbbVie14" w:date="2025-05-09T10:50:00Z"/>
          <w:sz w:val="22"/>
          <w:szCs w:val="22"/>
        </w:rPr>
      </w:pPr>
      <w:del w:id="13713" w:author="AbbVie14" w:date="2025-05-09T10:50:00Z">
        <w:r w:rsidRPr="00295E71">
          <w:rPr>
            <w:b/>
            <w:bCs/>
            <w:sz w:val="22"/>
            <w:szCs w:val="22"/>
          </w:rPr>
          <w:delText xml:space="preserve">7. </w:delText>
        </w:r>
      </w:del>
      <w:del w:id="13714" w:author="AbbVie14" w:date="2025-05-09T10:50:00Z">
        <w:r w:rsidRPr="00295E71">
          <w:rPr>
            <w:b/>
            <w:bCs/>
            <w:sz w:val="22"/>
            <w:szCs w:val="22"/>
          </w:rPr>
          <w:tab/>
          <w:delText>ALTRA AVVERTENZA PARTICOLARE, SE NECESSARIO</w:delText>
        </w:r>
      </w:del>
    </w:p>
    <w:p w:rsidR="006224C2" w:rsidRPr="00295E71" w14:paraId="47EABF94" w14:textId="77777777">
      <w:pPr>
        <w:tabs>
          <w:tab w:val="left" w:pos="567"/>
        </w:tabs>
        <w:ind w:left="540" w:hanging="540"/>
        <w:rPr>
          <w:del w:id="13715" w:author="AbbVie14" w:date="2025-05-09T10:50:00Z"/>
          <w:sz w:val="22"/>
          <w:szCs w:val="22"/>
        </w:rPr>
      </w:pPr>
    </w:p>
    <w:p w:rsidR="006224C2" w:rsidRPr="00295E71" w14:paraId="13C47300" w14:textId="77777777">
      <w:pPr>
        <w:tabs>
          <w:tab w:val="left" w:pos="567"/>
        </w:tabs>
        <w:ind w:left="540" w:hanging="540"/>
        <w:rPr>
          <w:del w:id="13716" w:author="AbbVie14" w:date="2025-05-09T10:50:00Z"/>
          <w:sz w:val="22"/>
          <w:szCs w:val="22"/>
        </w:rPr>
      </w:pPr>
    </w:p>
    <w:p w:rsidR="006224C2" w:rsidRPr="00295E71" w14:paraId="727C7F7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717" w:author="AbbVie14" w:date="2025-05-09T10:50:00Z"/>
          <w:sz w:val="22"/>
          <w:szCs w:val="22"/>
        </w:rPr>
      </w:pPr>
      <w:del w:id="13718" w:author="AbbVie14" w:date="2025-05-09T10:50:00Z">
        <w:r w:rsidRPr="00295E71">
          <w:rPr>
            <w:b/>
            <w:bCs/>
            <w:sz w:val="22"/>
            <w:szCs w:val="22"/>
          </w:rPr>
          <w:delText xml:space="preserve">8. </w:delText>
        </w:r>
      </w:del>
      <w:del w:id="13719" w:author="AbbVie14" w:date="2025-05-09T10:50:00Z">
        <w:r w:rsidRPr="00295E71">
          <w:rPr>
            <w:b/>
            <w:bCs/>
            <w:sz w:val="22"/>
            <w:szCs w:val="22"/>
          </w:rPr>
          <w:tab/>
          <w:delText>DATA DI SCADENZA</w:delText>
        </w:r>
      </w:del>
    </w:p>
    <w:p w:rsidR="006224C2" w:rsidRPr="00295E71" w14:paraId="2D340354" w14:textId="77777777">
      <w:pPr>
        <w:tabs>
          <w:tab w:val="left" w:pos="567"/>
        </w:tabs>
        <w:ind w:left="540" w:hanging="540"/>
        <w:rPr>
          <w:del w:id="13720" w:author="AbbVie14" w:date="2025-05-09T10:50:00Z"/>
          <w:sz w:val="22"/>
          <w:szCs w:val="22"/>
        </w:rPr>
      </w:pPr>
    </w:p>
    <w:p w:rsidR="006224C2" w:rsidRPr="00295E71" w14:paraId="3F707F6A" w14:textId="77777777">
      <w:pPr>
        <w:tabs>
          <w:tab w:val="left" w:pos="567"/>
        </w:tabs>
        <w:ind w:left="540" w:hanging="540"/>
        <w:rPr>
          <w:del w:id="13721" w:author="AbbVie14" w:date="2025-05-09T10:50:00Z"/>
          <w:sz w:val="22"/>
          <w:szCs w:val="22"/>
        </w:rPr>
      </w:pPr>
      <w:del w:id="13722" w:author="AbbVie14" w:date="2025-05-09T10:50:00Z">
        <w:r w:rsidRPr="00295E71">
          <w:rPr>
            <w:sz w:val="22"/>
            <w:szCs w:val="22"/>
          </w:rPr>
          <w:delText xml:space="preserve">Scad. </w:delText>
        </w:r>
      </w:del>
    </w:p>
    <w:p w:rsidR="006224C2" w:rsidRPr="00295E71" w14:paraId="59D4CD70" w14:textId="77777777">
      <w:pPr>
        <w:tabs>
          <w:tab w:val="left" w:pos="567"/>
        </w:tabs>
        <w:ind w:left="540" w:hanging="540"/>
        <w:rPr>
          <w:del w:id="13723" w:author="AbbVie14" w:date="2025-05-09T10:50:00Z"/>
          <w:sz w:val="22"/>
          <w:szCs w:val="22"/>
        </w:rPr>
      </w:pPr>
    </w:p>
    <w:p w:rsidR="006224C2" w:rsidRPr="00295E71" w14:paraId="53DA29E9" w14:textId="77777777">
      <w:pPr>
        <w:tabs>
          <w:tab w:val="left" w:pos="567"/>
        </w:tabs>
        <w:ind w:left="540" w:hanging="540"/>
        <w:rPr>
          <w:del w:id="13724" w:author="AbbVie14" w:date="2025-05-09T10:50:00Z"/>
          <w:sz w:val="22"/>
          <w:szCs w:val="22"/>
        </w:rPr>
      </w:pPr>
    </w:p>
    <w:p w:rsidR="006224C2" w:rsidRPr="00295E71" w14:paraId="7386C2E2" w14:textId="77777777">
      <w:pPr>
        <w:keepNext/>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725" w:author="AbbVie14" w:date="2025-05-09T10:50:00Z"/>
          <w:sz w:val="22"/>
          <w:szCs w:val="22"/>
        </w:rPr>
      </w:pPr>
      <w:del w:id="13726" w:author="AbbVie14" w:date="2025-05-09T10:50:00Z">
        <w:r w:rsidRPr="00295E71">
          <w:rPr>
            <w:b/>
            <w:bCs/>
            <w:sz w:val="22"/>
            <w:szCs w:val="22"/>
          </w:rPr>
          <w:delText xml:space="preserve">9. </w:delText>
        </w:r>
      </w:del>
      <w:del w:id="13727" w:author="AbbVie14" w:date="2025-05-09T10:50:00Z">
        <w:r w:rsidRPr="00295E71">
          <w:rPr>
            <w:b/>
            <w:bCs/>
            <w:sz w:val="22"/>
            <w:szCs w:val="22"/>
          </w:rPr>
          <w:tab/>
          <w:delText>PRECAUZIONI PARTICOLARI PER LA CONSERVAZIONE</w:delText>
        </w:r>
      </w:del>
    </w:p>
    <w:p w:rsidR="006224C2" w:rsidRPr="00295E71" w14:paraId="13EF3FE1" w14:textId="77777777">
      <w:pPr>
        <w:keepNext/>
        <w:tabs>
          <w:tab w:val="left" w:pos="567"/>
        </w:tabs>
        <w:ind w:left="540" w:hanging="540"/>
        <w:rPr>
          <w:del w:id="13728" w:author="AbbVie14" w:date="2025-05-09T10:50:00Z"/>
          <w:sz w:val="22"/>
          <w:szCs w:val="22"/>
        </w:rPr>
      </w:pPr>
    </w:p>
    <w:p w:rsidR="006224C2" w:rsidRPr="00295E71" w14:paraId="5C72643E" w14:textId="77777777">
      <w:pPr>
        <w:keepNext/>
        <w:keepLines/>
        <w:tabs>
          <w:tab w:val="left" w:pos="567"/>
        </w:tabs>
        <w:ind w:left="540" w:hanging="540"/>
        <w:rPr>
          <w:del w:id="13729" w:author="AbbVie14" w:date="2025-05-09T10:50:00Z"/>
          <w:sz w:val="22"/>
          <w:szCs w:val="22"/>
        </w:rPr>
      </w:pPr>
      <w:del w:id="13730" w:author="AbbVie14" w:date="2025-05-09T10:50:00Z">
        <w:r w:rsidRPr="00295E71">
          <w:rPr>
            <w:sz w:val="22"/>
            <w:szCs w:val="22"/>
          </w:rPr>
          <w:delText>Conservare in frigorifero.</w:delText>
        </w:r>
      </w:del>
      <w:del w:id="13731" w:author="AbbVie14" w:date="2025-05-09T10:50:00Z">
        <w:r w:rsidRPr="00295E71" w:rsidR="004036EF">
          <w:rPr>
            <w:sz w:val="22"/>
            <w:szCs w:val="22"/>
          </w:rPr>
          <w:delText xml:space="preserve"> </w:delText>
        </w:r>
      </w:del>
      <w:del w:id="13732" w:author="AbbVie14" w:date="2025-05-09T10:50:00Z">
        <w:r w:rsidRPr="00295E71">
          <w:rPr>
            <w:sz w:val="22"/>
            <w:szCs w:val="22"/>
          </w:rPr>
          <w:delText>Non congelare.</w:delText>
        </w:r>
      </w:del>
    </w:p>
    <w:p w:rsidR="006224C2" w:rsidRPr="00295E71" w14:paraId="2B7C7FA2" w14:textId="77777777">
      <w:pPr>
        <w:keepNext/>
        <w:keepLines/>
        <w:tabs>
          <w:tab w:val="left" w:pos="567"/>
        </w:tabs>
        <w:rPr>
          <w:del w:id="13733" w:author="AbbVie14" w:date="2025-05-09T10:50:00Z"/>
          <w:sz w:val="22"/>
          <w:szCs w:val="22"/>
        </w:rPr>
      </w:pPr>
      <w:del w:id="13734" w:author="AbbVie14" w:date="2025-05-09T10:50:00Z">
        <w:r w:rsidRPr="00295E71">
          <w:rPr>
            <w:sz w:val="22"/>
            <w:szCs w:val="22"/>
          </w:rPr>
          <w:delText>Fare riferimento al foglio illustrativo per condizioni di conservazione alternative.</w:delText>
        </w:r>
      </w:del>
    </w:p>
    <w:p w:rsidR="006224C2" w:rsidRPr="00295E71" w14:paraId="62392CE9" w14:textId="77777777">
      <w:pPr>
        <w:keepNext/>
        <w:keepLines/>
        <w:tabs>
          <w:tab w:val="left" w:pos="567"/>
        </w:tabs>
        <w:ind w:left="540" w:hanging="540"/>
        <w:rPr>
          <w:del w:id="13735" w:author="AbbVie14" w:date="2025-05-09T10:50:00Z"/>
          <w:sz w:val="22"/>
          <w:szCs w:val="22"/>
        </w:rPr>
      </w:pPr>
    </w:p>
    <w:p w:rsidR="006224C2" w:rsidRPr="00295E71" w14:paraId="467CD64A" w14:textId="77777777">
      <w:pPr>
        <w:keepNext/>
        <w:keepLines/>
        <w:tabs>
          <w:tab w:val="left" w:pos="567"/>
        </w:tabs>
        <w:ind w:left="540" w:hanging="540"/>
        <w:rPr>
          <w:del w:id="13736" w:author="AbbVie14" w:date="2025-05-09T10:50:00Z"/>
          <w:sz w:val="22"/>
          <w:szCs w:val="22"/>
        </w:rPr>
      </w:pPr>
      <w:del w:id="13737" w:author="AbbVie14" w:date="2025-05-09T10:50:00Z">
        <w:r w:rsidRPr="00295E71">
          <w:rPr>
            <w:sz w:val="22"/>
            <w:szCs w:val="22"/>
          </w:rPr>
          <w:delText>Tenere</w:delText>
        </w:r>
      </w:del>
      <w:del w:id="13738" w:author="AbbVie14" w:date="2025-05-09T10:50:00Z">
        <w:r w:rsidRPr="00295E71" w:rsidR="00226BC4">
          <w:rPr>
            <w:sz w:val="22"/>
            <w:szCs w:val="22"/>
          </w:rPr>
          <w:delText xml:space="preserve"> la siringa </w:delText>
        </w:r>
      </w:del>
      <w:del w:id="13739" w:author="AbbVie14" w:date="2025-05-09T10:50:00Z">
        <w:r w:rsidRPr="00295E71">
          <w:rPr>
            <w:sz w:val="22"/>
            <w:szCs w:val="22"/>
          </w:rPr>
          <w:delText>nell’imballaggio esterno</w:delText>
        </w:r>
      </w:del>
      <w:del w:id="13740" w:author="AbbVie14" w:date="2025-05-09T10:50:00Z">
        <w:r w:rsidRPr="00295E71" w:rsidR="00226BC4">
          <w:rPr>
            <w:sz w:val="22"/>
            <w:szCs w:val="22"/>
          </w:rPr>
          <w:delText>per proteggere il medicinale dalla luce.</w:delText>
        </w:r>
      </w:del>
    </w:p>
    <w:p w:rsidR="006224C2" w:rsidRPr="00295E71" w14:paraId="3E35A116" w14:textId="77777777">
      <w:pPr>
        <w:tabs>
          <w:tab w:val="left" w:pos="567"/>
        </w:tabs>
        <w:ind w:left="540" w:hanging="540"/>
        <w:rPr>
          <w:del w:id="13741" w:author="AbbVie14" w:date="2025-05-09T10:50:00Z"/>
          <w:sz w:val="22"/>
          <w:szCs w:val="22"/>
        </w:rPr>
      </w:pPr>
    </w:p>
    <w:p w:rsidR="006224C2" w:rsidRPr="00295E71" w14:paraId="2A71986B" w14:textId="77777777">
      <w:pPr>
        <w:tabs>
          <w:tab w:val="left" w:pos="567"/>
        </w:tabs>
        <w:ind w:left="540" w:hanging="540"/>
        <w:rPr>
          <w:del w:id="13742" w:author="AbbVie14" w:date="2025-05-09T10:50:00Z"/>
          <w:sz w:val="22"/>
          <w:szCs w:val="22"/>
        </w:rPr>
      </w:pPr>
    </w:p>
    <w:p w:rsidR="006224C2" w:rsidRPr="00295E71" w14:paraId="62F1090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743" w:author="AbbVie14" w:date="2025-05-09T10:50:00Z"/>
          <w:b/>
          <w:bCs/>
          <w:sz w:val="22"/>
          <w:szCs w:val="22"/>
        </w:rPr>
      </w:pPr>
      <w:del w:id="13744" w:author="AbbVie14" w:date="2025-05-09T10:50:00Z">
        <w:r w:rsidRPr="00295E71">
          <w:rPr>
            <w:b/>
            <w:bCs/>
            <w:sz w:val="22"/>
            <w:szCs w:val="22"/>
          </w:rPr>
          <w:delText>10.</w:delText>
        </w:r>
      </w:del>
      <w:del w:id="13745" w:author="AbbVie14" w:date="2025-05-09T10:50:00Z">
        <w:r w:rsidRPr="00295E71">
          <w:rPr>
            <w:b/>
            <w:bCs/>
            <w:sz w:val="22"/>
            <w:szCs w:val="22"/>
          </w:rPr>
          <w:tab/>
          <w:delText>PRECAUZIONI PARTICOLARIPER LO SMALTIMENTO DEL MEDICINALE NON UTILIZZATO O DEI RIFIUTI DERIVATI DA TALE MEDICINALE, SE NECESSARIO</w:delText>
        </w:r>
      </w:del>
    </w:p>
    <w:p w:rsidR="006224C2" w:rsidRPr="00295E71" w14:paraId="53F4284F" w14:textId="77777777">
      <w:pPr>
        <w:tabs>
          <w:tab w:val="left" w:pos="567"/>
        </w:tabs>
        <w:ind w:left="540" w:hanging="540"/>
        <w:rPr>
          <w:del w:id="13746" w:author="AbbVie14" w:date="2025-05-09T10:50:00Z"/>
          <w:sz w:val="22"/>
          <w:szCs w:val="22"/>
        </w:rPr>
      </w:pPr>
    </w:p>
    <w:p w:rsidR="006224C2" w:rsidRPr="00295E71" w14:paraId="58BB4593" w14:textId="77777777">
      <w:pPr>
        <w:tabs>
          <w:tab w:val="left" w:pos="567"/>
        </w:tabs>
        <w:ind w:left="540" w:hanging="540"/>
        <w:rPr>
          <w:del w:id="13747" w:author="AbbVie14" w:date="2025-05-09T10:50:00Z"/>
          <w:sz w:val="22"/>
          <w:szCs w:val="22"/>
        </w:rPr>
      </w:pPr>
    </w:p>
    <w:p w:rsidR="006224C2" w:rsidRPr="00295E71" w14:paraId="2369014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748" w:author="AbbVie14" w:date="2025-05-09T10:50:00Z"/>
          <w:b/>
          <w:bCs/>
          <w:sz w:val="22"/>
          <w:szCs w:val="22"/>
        </w:rPr>
      </w:pPr>
      <w:del w:id="13749" w:author="AbbVie14" w:date="2025-05-09T10:50:00Z">
        <w:r w:rsidRPr="00295E71">
          <w:rPr>
            <w:b/>
            <w:bCs/>
            <w:sz w:val="22"/>
            <w:szCs w:val="22"/>
          </w:rPr>
          <w:delText>11.</w:delText>
        </w:r>
      </w:del>
      <w:del w:id="13750" w:author="AbbVie14" w:date="2025-05-09T10:50:00Z">
        <w:r w:rsidRPr="00295E71">
          <w:rPr>
            <w:b/>
            <w:bCs/>
            <w:sz w:val="22"/>
            <w:szCs w:val="22"/>
          </w:rPr>
          <w:tab/>
          <w:delText>NOME E INDIRIZZO DEL TITOLARE DELL’AUTORIZZAZIONE ALL’IMMISSIONE IN COMMERCIO</w:delText>
        </w:r>
      </w:del>
    </w:p>
    <w:p w:rsidR="006224C2" w:rsidRPr="00295E71" w14:paraId="0E63CC34" w14:textId="77777777">
      <w:pPr>
        <w:tabs>
          <w:tab w:val="left" w:pos="567"/>
        </w:tabs>
        <w:ind w:left="540" w:hanging="540"/>
        <w:rPr>
          <w:del w:id="13751" w:author="AbbVie14" w:date="2025-05-09T10:50:00Z"/>
          <w:sz w:val="22"/>
          <w:szCs w:val="22"/>
        </w:rPr>
      </w:pPr>
    </w:p>
    <w:p w:rsidR="003B320C" w:rsidRPr="008B6641" w:rsidP="003B320C" w14:paraId="259DA994" w14:textId="77777777">
      <w:pPr>
        <w:tabs>
          <w:tab w:val="left" w:pos="567"/>
        </w:tabs>
        <w:jc w:val="both"/>
        <w:rPr>
          <w:del w:id="13752" w:author="AbbVie14" w:date="2025-05-09T10:50:00Z"/>
          <w:sz w:val="22"/>
          <w:szCs w:val="22"/>
          <w:lang w:val="it-IT"/>
          <w:rPrChange w:id="13753" w:author="AbbVie14" w:date="2025-05-13T14:30:00Z">
            <w:rPr>
              <w:sz w:val="22"/>
              <w:szCs w:val="22"/>
              <w:lang w:val="en-US"/>
            </w:rPr>
          </w:rPrChange>
        </w:rPr>
      </w:pPr>
      <w:del w:id="13754" w:author="AbbVie14" w:date="2025-05-09T10:50:00Z">
        <w:r w:rsidRPr="008B6641">
          <w:rPr>
            <w:sz w:val="22"/>
            <w:szCs w:val="22"/>
            <w:lang w:val="it-IT"/>
            <w:rPrChange w:id="13755" w:author="AbbVie14" w:date="2025-05-13T14:30:00Z">
              <w:rPr>
                <w:sz w:val="22"/>
                <w:szCs w:val="22"/>
                <w:lang w:val="en-US"/>
              </w:rPr>
            </w:rPrChange>
          </w:rPr>
          <w:delText>AbbVie Deutschland GmbH &amp; Co. KG</w:delText>
        </w:r>
      </w:del>
    </w:p>
    <w:p w:rsidR="003B320C" w:rsidRPr="008B6641" w:rsidP="003B320C" w14:paraId="2C7F5F92" w14:textId="77777777">
      <w:pPr>
        <w:tabs>
          <w:tab w:val="left" w:pos="567"/>
        </w:tabs>
        <w:jc w:val="both"/>
        <w:rPr>
          <w:del w:id="13756" w:author="AbbVie14" w:date="2025-05-09T10:50:00Z"/>
          <w:sz w:val="22"/>
          <w:szCs w:val="22"/>
          <w:lang w:val="it-IT"/>
          <w:rPrChange w:id="13757" w:author="AbbVie14" w:date="2025-05-13T14:30:00Z">
            <w:rPr>
              <w:sz w:val="22"/>
              <w:szCs w:val="22"/>
              <w:lang w:val="en-US"/>
            </w:rPr>
          </w:rPrChange>
        </w:rPr>
      </w:pPr>
      <w:del w:id="13758" w:author="AbbVie14" w:date="2025-05-09T10:50:00Z">
        <w:r w:rsidRPr="008B6641">
          <w:rPr>
            <w:sz w:val="22"/>
            <w:szCs w:val="22"/>
            <w:lang w:val="it-IT"/>
            <w:rPrChange w:id="13759" w:author="AbbVie14" w:date="2025-05-13T14:30:00Z">
              <w:rPr>
                <w:sz w:val="22"/>
                <w:szCs w:val="22"/>
                <w:lang w:val="en-US"/>
              </w:rPr>
            </w:rPrChange>
          </w:rPr>
          <w:delText>Knollstrasse</w:delText>
        </w:r>
      </w:del>
    </w:p>
    <w:p w:rsidR="003B320C" w:rsidRPr="00295E71" w:rsidP="003B320C" w14:paraId="2D821E7C" w14:textId="77777777">
      <w:pPr>
        <w:tabs>
          <w:tab w:val="left" w:pos="567"/>
        </w:tabs>
        <w:jc w:val="both"/>
        <w:rPr>
          <w:del w:id="13760" w:author="AbbVie14" w:date="2025-05-09T10:50:00Z"/>
          <w:sz w:val="22"/>
          <w:szCs w:val="22"/>
        </w:rPr>
      </w:pPr>
      <w:del w:id="13761" w:author="AbbVie14" w:date="2025-05-09T10:50:00Z">
        <w:r w:rsidRPr="00295E71">
          <w:rPr>
            <w:sz w:val="22"/>
            <w:szCs w:val="22"/>
          </w:rPr>
          <w:delText>67061 Ludwigshafen</w:delText>
        </w:r>
      </w:del>
    </w:p>
    <w:p w:rsidR="003B320C" w:rsidRPr="00295E71" w:rsidP="003B320C" w14:paraId="73D84898" w14:textId="77777777">
      <w:pPr>
        <w:tabs>
          <w:tab w:val="left" w:pos="567"/>
        </w:tabs>
        <w:jc w:val="both"/>
        <w:rPr>
          <w:del w:id="13762" w:author="AbbVie14" w:date="2025-05-09T10:50:00Z"/>
          <w:sz w:val="22"/>
          <w:szCs w:val="22"/>
        </w:rPr>
      </w:pPr>
      <w:del w:id="13763" w:author="AbbVie14" w:date="2025-05-09T10:50:00Z">
        <w:r w:rsidRPr="00295E71">
          <w:rPr>
            <w:sz w:val="22"/>
            <w:szCs w:val="22"/>
          </w:rPr>
          <w:delText>Germania</w:delText>
        </w:r>
      </w:del>
    </w:p>
    <w:p w:rsidR="006224C2" w:rsidRPr="00295E71" w14:paraId="4B65EF59" w14:textId="77777777">
      <w:pPr>
        <w:tabs>
          <w:tab w:val="left" w:pos="567"/>
        </w:tabs>
        <w:ind w:left="540" w:hanging="540"/>
        <w:rPr>
          <w:del w:id="13764" w:author="AbbVie14" w:date="2025-05-09T10:50:00Z"/>
          <w:sz w:val="22"/>
          <w:szCs w:val="22"/>
        </w:rPr>
      </w:pPr>
    </w:p>
    <w:p w:rsidR="006224C2" w:rsidRPr="00295E71" w14:paraId="209BF430" w14:textId="77777777">
      <w:pPr>
        <w:tabs>
          <w:tab w:val="left" w:pos="567"/>
        </w:tabs>
        <w:ind w:left="540" w:hanging="540"/>
        <w:rPr>
          <w:del w:id="13765" w:author="AbbVie14" w:date="2025-05-09T10:50:00Z"/>
          <w:sz w:val="22"/>
          <w:szCs w:val="22"/>
        </w:rPr>
      </w:pPr>
    </w:p>
    <w:p w:rsidR="006224C2" w:rsidRPr="00295E71" w14:paraId="19F39A8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766" w:author="AbbVie14" w:date="2025-05-09T10:50:00Z"/>
          <w:b/>
          <w:bCs/>
          <w:sz w:val="22"/>
          <w:szCs w:val="22"/>
        </w:rPr>
      </w:pPr>
      <w:del w:id="13767" w:author="AbbVie14" w:date="2025-05-09T10:50:00Z">
        <w:r w:rsidRPr="00295E71">
          <w:rPr>
            <w:b/>
            <w:bCs/>
            <w:sz w:val="22"/>
            <w:szCs w:val="22"/>
          </w:rPr>
          <w:delText xml:space="preserve">12. </w:delText>
        </w:r>
      </w:del>
      <w:del w:id="13768" w:author="AbbVie14" w:date="2025-05-09T10:50:00Z">
        <w:r w:rsidRPr="00295E71">
          <w:rPr>
            <w:b/>
            <w:bCs/>
            <w:sz w:val="22"/>
            <w:szCs w:val="22"/>
          </w:rPr>
          <w:tab/>
          <w:delText>NUMERO DELL’AUTORIZZAZIONE ALL’IMMISSIONE IN COMMERCIO</w:delText>
        </w:r>
      </w:del>
    </w:p>
    <w:p w:rsidR="006224C2" w:rsidRPr="00295E71" w14:paraId="317BCC4A" w14:textId="77777777">
      <w:pPr>
        <w:tabs>
          <w:tab w:val="left" w:pos="567"/>
        </w:tabs>
        <w:ind w:left="540" w:hanging="540"/>
        <w:rPr>
          <w:del w:id="13769" w:author="AbbVie14" w:date="2025-05-09T10:50:00Z"/>
          <w:sz w:val="22"/>
          <w:szCs w:val="22"/>
        </w:rPr>
      </w:pPr>
    </w:p>
    <w:p w:rsidR="006224C2" w:rsidRPr="002172DD" w14:paraId="755902E7" w14:textId="77777777">
      <w:pPr>
        <w:tabs>
          <w:tab w:val="left" w:pos="567"/>
        </w:tabs>
        <w:ind w:left="540" w:hanging="540"/>
        <w:rPr>
          <w:del w:id="13770" w:author="AbbVie14" w:date="2025-05-09T10:50:00Z"/>
          <w:sz w:val="22"/>
          <w:szCs w:val="22"/>
        </w:rPr>
      </w:pPr>
      <w:del w:id="13771" w:author="AbbVie14" w:date="2025-05-09T10:50:00Z">
        <w:r w:rsidRPr="002172DD">
          <w:rPr>
            <w:sz w:val="22"/>
            <w:szCs w:val="22"/>
          </w:rPr>
          <w:delText>EU/1/03/256/002</w:delText>
        </w:r>
      </w:del>
    </w:p>
    <w:p w:rsidR="003E36B3" w:rsidRPr="002172DD" w:rsidP="003E36B3" w14:paraId="72D157D1" w14:textId="77777777">
      <w:pPr>
        <w:ind w:left="540" w:hanging="540"/>
        <w:rPr>
          <w:del w:id="13772" w:author="AbbVie14" w:date="2025-05-09T10:50:00Z"/>
          <w:sz w:val="22"/>
          <w:highlight w:val="lightGray"/>
        </w:rPr>
      </w:pPr>
      <w:del w:id="13773" w:author="AbbVie14" w:date="2025-05-09T10:50:00Z">
        <w:r w:rsidRPr="002172DD">
          <w:rPr>
            <w:sz w:val="22"/>
            <w:highlight w:val="lightGray"/>
          </w:rPr>
          <w:delText>EU/1/03/256/003</w:delText>
        </w:r>
      </w:del>
    </w:p>
    <w:p w:rsidR="003E36B3" w:rsidRPr="002172DD" w:rsidP="003E36B3" w14:paraId="6422EF86" w14:textId="77777777">
      <w:pPr>
        <w:ind w:left="540" w:hanging="540"/>
        <w:rPr>
          <w:del w:id="13774" w:author="AbbVie14" w:date="2025-05-09T10:50:00Z"/>
          <w:sz w:val="22"/>
          <w:highlight w:val="lightGray"/>
        </w:rPr>
      </w:pPr>
      <w:del w:id="13775" w:author="AbbVie14" w:date="2025-05-09T10:50:00Z">
        <w:r w:rsidRPr="002172DD">
          <w:rPr>
            <w:sz w:val="22"/>
            <w:highlight w:val="lightGray"/>
          </w:rPr>
          <w:delText>EU/1/03/256/004</w:delText>
        </w:r>
      </w:del>
    </w:p>
    <w:p w:rsidR="006224C2" w:rsidRPr="002172DD" w:rsidP="003E36B3" w14:paraId="2B4BD899" w14:textId="77777777">
      <w:pPr>
        <w:tabs>
          <w:tab w:val="left" w:pos="567"/>
        </w:tabs>
        <w:ind w:left="540" w:hanging="540"/>
        <w:rPr>
          <w:del w:id="13776" w:author="AbbVie14" w:date="2025-05-09T10:50:00Z"/>
          <w:sz w:val="22"/>
        </w:rPr>
      </w:pPr>
      <w:del w:id="13777" w:author="AbbVie14" w:date="2025-05-09T10:50:00Z">
        <w:r w:rsidRPr="002172DD">
          <w:rPr>
            <w:sz w:val="22"/>
            <w:highlight w:val="lightGray"/>
          </w:rPr>
          <w:delText>EU/1/03/256/005</w:delText>
        </w:r>
      </w:del>
    </w:p>
    <w:p w:rsidR="003E36B3" w:rsidRPr="002172DD" w:rsidP="003E36B3" w14:paraId="17C13529" w14:textId="77777777">
      <w:pPr>
        <w:tabs>
          <w:tab w:val="left" w:pos="567"/>
        </w:tabs>
        <w:ind w:left="540" w:hanging="540"/>
        <w:rPr>
          <w:del w:id="13778" w:author="AbbVie14" w:date="2025-05-09T10:50:00Z"/>
          <w:sz w:val="22"/>
          <w:szCs w:val="22"/>
        </w:rPr>
      </w:pPr>
    </w:p>
    <w:p w:rsidR="006224C2" w:rsidRPr="002172DD" w14:paraId="6A21159F" w14:textId="77777777">
      <w:pPr>
        <w:tabs>
          <w:tab w:val="left" w:pos="567"/>
        </w:tabs>
        <w:ind w:left="540" w:hanging="540"/>
        <w:rPr>
          <w:del w:id="13779" w:author="AbbVie14" w:date="2025-05-09T10:50:00Z"/>
          <w:sz w:val="22"/>
          <w:szCs w:val="22"/>
        </w:rPr>
      </w:pPr>
    </w:p>
    <w:p w:rsidR="006224C2" w:rsidRPr="002172DD" w14:paraId="124769A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780" w:author="AbbVie14" w:date="2025-05-09T10:50:00Z"/>
          <w:sz w:val="22"/>
          <w:szCs w:val="22"/>
        </w:rPr>
      </w:pPr>
      <w:del w:id="13781" w:author="AbbVie14" w:date="2025-05-09T10:50:00Z">
        <w:r w:rsidRPr="002172DD">
          <w:rPr>
            <w:b/>
            <w:bCs/>
            <w:sz w:val="22"/>
            <w:szCs w:val="22"/>
          </w:rPr>
          <w:delText>13.</w:delText>
        </w:r>
      </w:del>
      <w:del w:id="13782" w:author="AbbVie14" w:date="2025-05-09T10:50:00Z">
        <w:r w:rsidRPr="002172DD">
          <w:rPr>
            <w:b/>
            <w:bCs/>
            <w:sz w:val="22"/>
            <w:szCs w:val="22"/>
          </w:rPr>
          <w:tab/>
          <w:delText>NUMERO DI LOTTO</w:delText>
        </w:r>
      </w:del>
    </w:p>
    <w:p w:rsidR="006224C2" w:rsidRPr="002172DD" w14:paraId="58ACECEE" w14:textId="77777777">
      <w:pPr>
        <w:tabs>
          <w:tab w:val="left" w:pos="567"/>
        </w:tabs>
        <w:ind w:left="540" w:hanging="540"/>
        <w:rPr>
          <w:del w:id="13783" w:author="AbbVie14" w:date="2025-05-09T10:50:00Z"/>
          <w:sz w:val="22"/>
          <w:szCs w:val="22"/>
        </w:rPr>
      </w:pPr>
    </w:p>
    <w:p w:rsidR="006224C2" w:rsidRPr="00295E71" w14:paraId="7D0A4850" w14:textId="77777777">
      <w:pPr>
        <w:tabs>
          <w:tab w:val="left" w:pos="567"/>
        </w:tabs>
        <w:ind w:left="540" w:hanging="540"/>
        <w:rPr>
          <w:del w:id="13784" w:author="AbbVie14" w:date="2025-05-09T10:50:00Z"/>
          <w:sz w:val="22"/>
          <w:szCs w:val="22"/>
        </w:rPr>
      </w:pPr>
      <w:del w:id="13785" w:author="AbbVie14" w:date="2025-05-09T10:50:00Z">
        <w:r w:rsidRPr="00295E71">
          <w:rPr>
            <w:sz w:val="22"/>
            <w:szCs w:val="22"/>
          </w:rPr>
          <w:delText xml:space="preserve">Lotto </w:delText>
        </w:r>
      </w:del>
    </w:p>
    <w:p w:rsidR="006224C2" w:rsidRPr="00295E71" w14:paraId="0E852DCF" w14:textId="77777777">
      <w:pPr>
        <w:tabs>
          <w:tab w:val="left" w:pos="567"/>
        </w:tabs>
        <w:ind w:left="540" w:hanging="540"/>
        <w:rPr>
          <w:del w:id="13786" w:author="AbbVie14" w:date="2025-05-09T10:50:00Z"/>
          <w:sz w:val="22"/>
          <w:szCs w:val="22"/>
        </w:rPr>
      </w:pPr>
    </w:p>
    <w:p w:rsidR="006224C2" w:rsidRPr="00295E71" w14:paraId="263B24B5" w14:textId="77777777">
      <w:pPr>
        <w:tabs>
          <w:tab w:val="left" w:pos="567"/>
        </w:tabs>
        <w:ind w:left="540" w:hanging="540"/>
        <w:rPr>
          <w:del w:id="13787" w:author="AbbVie14" w:date="2025-05-09T10:50:00Z"/>
          <w:sz w:val="22"/>
          <w:szCs w:val="22"/>
        </w:rPr>
      </w:pPr>
    </w:p>
    <w:p w:rsidR="006224C2" w:rsidRPr="00295E71" w14:paraId="45FC0AA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788" w:author="AbbVie14" w:date="2025-05-09T10:50:00Z"/>
          <w:sz w:val="22"/>
          <w:szCs w:val="22"/>
        </w:rPr>
      </w:pPr>
      <w:del w:id="13789" w:author="AbbVie14" w:date="2025-05-09T10:50:00Z">
        <w:r w:rsidRPr="00295E71">
          <w:rPr>
            <w:b/>
            <w:bCs/>
            <w:sz w:val="22"/>
            <w:szCs w:val="22"/>
          </w:rPr>
          <w:delText>14.</w:delText>
        </w:r>
      </w:del>
      <w:del w:id="13790" w:author="AbbVie14" w:date="2025-05-09T10:50:00Z">
        <w:r w:rsidRPr="00295E71">
          <w:rPr>
            <w:b/>
            <w:bCs/>
            <w:sz w:val="22"/>
            <w:szCs w:val="22"/>
          </w:rPr>
          <w:tab/>
          <w:delText>CONDIZIONE GENERALE DI FORNITURA</w:delText>
        </w:r>
      </w:del>
    </w:p>
    <w:p w:rsidR="006224C2" w:rsidRPr="00295E71" w14:paraId="713236EE" w14:textId="77777777">
      <w:pPr>
        <w:tabs>
          <w:tab w:val="left" w:pos="567"/>
        </w:tabs>
        <w:ind w:left="540" w:hanging="540"/>
        <w:rPr>
          <w:del w:id="13791" w:author="AbbVie14" w:date="2025-05-09T10:50:00Z"/>
          <w:sz w:val="22"/>
          <w:szCs w:val="22"/>
        </w:rPr>
      </w:pPr>
    </w:p>
    <w:p w:rsidR="006224C2" w:rsidRPr="00295E71" w14:paraId="2E724F7C" w14:textId="77777777">
      <w:pPr>
        <w:tabs>
          <w:tab w:val="left" w:pos="567"/>
        </w:tabs>
        <w:ind w:left="540" w:hanging="540"/>
        <w:rPr>
          <w:del w:id="13792" w:author="AbbVie14" w:date="2025-05-09T10:50:00Z"/>
          <w:sz w:val="22"/>
          <w:szCs w:val="22"/>
        </w:rPr>
      </w:pPr>
    </w:p>
    <w:p w:rsidR="006224C2" w:rsidRPr="00295E71" w14:paraId="726007C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793" w:author="AbbVie14" w:date="2025-05-09T10:50:00Z"/>
          <w:b/>
          <w:bCs/>
          <w:sz w:val="22"/>
          <w:szCs w:val="22"/>
          <w:u w:val="single"/>
        </w:rPr>
      </w:pPr>
      <w:del w:id="13794" w:author="AbbVie14" w:date="2025-05-09T10:50:00Z">
        <w:r w:rsidRPr="00295E71">
          <w:rPr>
            <w:b/>
            <w:bCs/>
            <w:sz w:val="22"/>
            <w:szCs w:val="22"/>
          </w:rPr>
          <w:delText>15.</w:delText>
        </w:r>
      </w:del>
      <w:del w:id="13795" w:author="AbbVie14" w:date="2025-05-09T10:50:00Z">
        <w:r w:rsidRPr="00295E71">
          <w:rPr>
            <w:b/>
            <w:bCs/>
            <w:sz w:val="22"/>
            <w:szCs w:val="22"/>
          </w:rPr>
          <w:tab/>
          <w:delText>ISTRUZIONI PER L’USO</w:delText>
        </w:r>
      </w:del>
    </w:p>
    <w:p w:rsidR="006224C2" w:rsidRPr="00295E71" w14:paraId="69188024" w14:textId="77777777">
      <w:pPr>
        <w:tabs>
          <w:tab w:val="left" w:pos="567"/>
        </w:tabs>
        <w:ind w:left="540" w:hanging="540"/>
        <w:rPr>
          <w:del w:id="13796" w:author="AbbVie14" w:date="2025-05-09T10:50:00Z"/>
          <w:bCs/>
          <w:sz w:val="22"/>
          <w:szCs w:val="22"/>
        </w:rPr>
      </w:pPr>
    </w:p>
    <w:p w:rsidR="006224C2" w:rsidRPr="00295E71" w14:paraId="6BF8CD4D" w14:textId="77777777">
      <w:pPr>
        <w:tabs>
          <w:tab w:val="left" w:pos="567"/>
        </w:tabs>
        <w:ind w:left="540" w:hanging="540"/>
        <w:rPr>
          <w:del w:id="13797" w:author="AbbVie14" w:date="2025-05-09T10:50:00Z"/>
          <w:bCs/>
          <w:sz w:val="22"/>
          <w:szCs w:val="22"/>
        </w:rPr>
      </w:pPr>
    </w:p>
    <w:p w:rsidR="006224C2" w:rsidRPr="00295E71" w14:paraId="42E8F63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798" w:author="AbbVie14" w:date="2025-05-09T10:50:00Z"/>
          <w:b/>
          <w:bCs/>
          <w:sz w:val="22"/>
          <w:szCs w:val="22"/>
          <w:u w:val="single"/>
        </w:rPr>
      </w:pPr>
      <w:del w:id="13799" w:author="AbbVie14" w:date="2025-05-09T10:50:00Z">
        <w:r w:rsidRPr="00295E71">
          <w:rPr>
            <w:b/>
            <w:bCs/>
            <w:sz w:val="22"/>
            <w:szCs w:val="22"/>
          </w:rPr>
          <w:delText>16.</w:delText>
        </w:r>
      </w:del>
      <w:del w:id="13800" w:author="AbbVie14" w:date="2025-05-09T10:50:00Z">
        <w:r w:rsidRPr="00295E71">
          <w:rPr>
            <w:b/>
            <w:bCs/>
            <w:sz w:val="22"/>
            <w:szCs w:val="22"/>
          </w:rPr>
          <w:tab/>
          <w:delText>INFORMAZIONI IN BRAILLE</w:delText>
        </w:r>
      </w:del>
    </w:p>
    <w:p w:rsidR="006224C2" w:rsidRPr="00295E71" w14:paraId="7E3A5D8A" w14:textId="77777777">
      <w:pPr>
        <w:tabs>
          <w:tab w:val="left" w:pos="567"/>
        </w:tabs>
        <w:ind w:left="540" w:hanging="540"/>
        <w:rPr>
          <w:del w:id="13801" w:author="AbbVie14" w:date="2025-05-09T10:50:00Z"/>
          <w:bCs/>
          <w:sz w:val="22"/>
          <w:szCs w:val="22"/>
        </w:rPr>
      </w:pPr>
    </w:p>
    <w:p w:rsidR="006224C2" w:rsidRPr="00295E71" w14:paraId="202374DD" w14:textId="77777777">
      <w:pPr>
        <w:tabs>
          <w:tab w:val="left" w:pos="567"/>
        </w:tabs>
        <w:ind w:left="540" w:hanging="540"/>
        <w:rPr>
          <w:del w:id="13802" w:author="AbbVie14" w:date="2025-05-09T10:50:00Z"/>
          <w:sz w:val="22"/>
          <w:szCs w:val="22"/>
        </w:rPr>
      </w:pPr>
      <w:del w:id="13803" w:author="AbbVie14" w:date="2025-05-09T10:50:00Z">
        <w:r w:rsidRPr="00295E71">
          <w:rPr>
            <w:sz w:val="22"/>
            <w:szCs w:val="22"/>
          </w:rPr>
          <w:delText>Humira 40 mg</w:delText>
        </w:r>
      </w:del>
    </w:p>
    <w:p w:rsidR="006224C2" w:rsidRPr="00295E71" w14:paraId="0B471456" w14:textId="77777777">
      <w:pPr>
        <w:tabs>
          <w:tab w:val="left" w:pos="567"/>
        </w:tabs>
        <w:ind w:left="540" w:hanging="540"/>
        <w:rPr>
          <w:del w:id="13804" w:author="AbbVie14" w:date="2025-05-09T10:50:00Z"/>
          <w:sz w:val="22"/>
          <w:szCs w:val="22"/>
          <w:u w:val="single"/>
        </w:rPr>
      </w:pPr>
    </w:p>
    <w:p w:rsidR="006224C2" w:rsidRPr="00295E71" w14:paraId="40E3D6BF" w14:textId="77777777">
      <w:pPr>
        <w:tabs>
          <w:tab w:val="left" w:pos="567"/>
        </w:tabs>
        <w:ind w:left="540" w:hanging="540"/>
        <w:rPr>
          <w:del w:id="13805" w:author="AbbVie14" w:date="2025-05-09T10:50:00Z"/>
          <w:bCs/>
          <w:sz w:val="22"/>
          <w:szCs w:val="22"/>
        </w:rPr>
      </w:pPr>
    </w:p>
    <w:p w:rsidR="006224C2" w:rsidRPr="00295E71" w14:paraId="7FB23D5E" w14:textId="77777777">
      <w:pPr>
        <w:pStyle w:val="EMEAHeadingBoxedTitle"/>
        <w:ind w:left="0" w:firstLine="0"/>
        <w:rPr>
          <w:del w:id="13806" w:author="AbbVie14" w:date="2025-05-09T10:50:00Z"/>
          <w:rFonts w:ascii="Times New Roman" w:hAnsi="Times New Roman"/>
          <w:b/>
          <w:bCs/>
          <w:szCs w:val="22"/>
          <w:lang w:val="it-IT"/>
        </w:rPr>
      </w:pPr>
      <w:del w:id="13807" w:author="AbbVie14" w:date="2025-05-09T10:50:00Z">
        <w:r w:rsidRPr="00295E71">
          <w:rPr>
            <w:rFonts w:ascii="Times New Roman" w:hAnsi="Times New Roman"/>
            <w:b/>
            <w:bCs/>
            <w:szCs w:val="22"/>
            <w:lang w:val="it-IT"/>
          </w:rPr>
          <w:delText xml:space="preserve">17. </w:delText>
        </w:r>
      </w:del>
      <w:del w:id="13808" w:author="AbbVie14" w:date="2025-05-09T10:50:00Z">
        <w:r w:rsidRPr="00295E71">
          <w:rPr>
            <w:rFonts w:ascii="Times New Roman" w:hAnsi="Times New Roman"/>
            <w:b/>
            <w:bCs/>
            <w:szCs w:val="22"/>
            <w:lang w:val="it-IT"/>
          </w:rPr>
          <w:tab/>
          <w:delText>IDENTIFICATivo UNICO – CODICE A BARRE bidimensionale</w:delText>
        </w:r>
      </w:del>
    </w:p>
    <w:p w:rsidR="006224C2" w:rsidRPr="00295E71" w14:paraId="73E93322" w14:textId="77777777">
      <w:pPr>
        <w:rPr>
          <w:del w:id="13809" w:author="AbbVie14" w:date="2025-05-09T10:50:00Z"/>
          <w:sz w:val="22"/>
          <w:szCs w:val="22"/>
        </w:rPr>
      </w:pPr>
    </w:p>
    <w:p w:rsidR="006224C2" w:rsidRPr="00295E71" w14:paraId="545BA672" w14:textId="77777777">
      <w:pPr>
        <w:rPr>
          <w:del w:id="13810" w:author="AbbVie14" w:date="2025-05-09T10:50:00Z"/>
          <w:sz w:val="22"/>
          <w:szCs w:val="22"/>
          <w:shd w:val="clear" w:color="auto" w:fill="BFBFBF"/>
        </w:rPr>
      </w:pPr>
      <w:del w:id="13811" w:author="AbbVie14" w:date="2025-05-09T10:50:00Z">
        <w:r w:rsidRPr="00295E71">
          <w:rPr>
            <w:sz w:val="22"/>
            <w:szCs w:val="22"/>
            <w:shd w:val="clear" w:color="auto" w:fill="BFBFBF"/>
          </w:rPr>
          <w:delText>Codice a barre bidimensionale con identificativo unico incluso.</w:delText>
        </w:r>
      </w:del>
    </w:p>
    <w:p w:rsidR="006224C2" w:rsidRPr="00295E71" w14:paraId="5B0D506F" w14:textId="77777777">
      <w:pPr>
        <w:rPr>
          <w:del w:id="13812" w:author="AbbVie14" w:date="2025-05-09T10:50:00Z"/>
          <w:sz w:val="22"/>
          <w:szCs w:val="22"/>
          <w:shd w:val="clear" w:color="auto" w:fill="BFBFBF"/>
        </w:rPr>
      </w:pPr>
    </w:p>
    <w:p w:rsidR="006224C2" w:rsidRPr="00295E71" w14:paraId="28D3972E" w14:textId="77777777">
      <w:pPr>
        <w:rPr>
          <w:del w:id="13813" w:author="AbbVie14" w:date="2025-05-09T10:50:00Z"/>
          <w:sz w:val="22"/>
          <w:szCs w:val="22"/>
          <w:shd w:val="clear" w:color="auto" w:fill="BFBFBF"/>
        </w:rPr>
      </w:pPr>
    </w:p>
    <w:p w:rsidR="006224C2" w:rsidRPr="00295E71" w14:paraId="585B85EB" w14:textId="77777777">
      <w:pPr>
        <w:pStyle w:val="EMEAHeadingBoxedTitle"/>
        <w:keepNext/>
        <w:ind w:left="0" w:firstLine="0"/>
        <w:rPr>
          <w:del w:id="13814" w:author="AbbVie14" w:date="2025-05-09T10:50:00Z"/>
          <w:rFonts w:ascii="Times New Roman" w:hAnsi="Times New Roman"/>
          <w:szCs w:val="22"/>
          <w:lang w:val="it-IT"/>
        </w:rPr>
      </w:pPr>
      <w:del w:id="13815" w:author="AbbVie14" w:date="2025-05-09T10:50:00Z">
        <w:r w:rsidRPr="00295E71">
          <w:rPr>
            <w:rFonts w:ascii="Times New Roman" w:hAnsi="Times New Roman"/>
            <w:b/>
            <w:bCs/>
            <w:szCs w:val="22"/>
            <w:lang w:val="it-IT"/>
          </w:rPr>
          <w:delText xml:space="preserve">18. </w:delText>
        </w:r>
      </w:del>
      <w:del w:id="13816" w:author="AbbVie14" w:date="2025-05-09T10:50:00Z">
        <w:r w:rsidRPr="00295E71">
          <w:rPr>
            <w:rFonts w:ascii="Times New Roman" w:hAnsi="Times New Roman"/>
            <w:b/>
            <w:bCs/>
            <w:szCs w:val="22"/>
            <w:lang w:val="it-IT"/>
          </w:rPr>
          <w:tab/>
          <w:delText>IDENTIFICATIVO UNICO – dati leggibili</w:delText>
        </w:r>
      </w:del>
    </w:p>
    <w:p w:rsidR="006224C2" w:rsidRPr="00295E71" w14:paraId="4A2D69C7" w14:textId="77777777">
      <w:pPr>
        <w:keepNext/>
        <w:ind w:left="540" w:hanging="540"/>
        <w:rPr>
          <w:del w:id="13817" w:author="AbbVie14" w:date="2025-05-09T10:50:00Z"/>
          <w:sz w:val="22"/>
          <w:szCs w:val="22"/>
        </w:rPr>
      </w:pPr>
    </w:p>
    <w:p w:rsidR="006224C2" w:rsidRPr="00295E71" w14:paraId="4B3FD63A" w14:textId="77777777">
      <w:pPr>
        <w:keepNext/>
        <w:ind w:left="540" w:hanging="540"/>
        <w:rPr>
          <w:del w:id="13818" w:author="AbbVie14" w:date="2025-05-09T10:50:00Z"/>
          <w:sz w:val="22"/>
          <w:szCs w:val="22"/>
        </w:rPr>
      </w:pPr>
      <w:del w:id="13819" w:author="AbbVie14" w:date="2025-05-09T10:50:00Z">
        <w:r w:rsidRPr="00295E71">
          <w:rPr>
            <w:sz w:val="22"/>
            <w:szCs w:val="22"/>
          </w:rPr>
          <w:delText>PC</w:delText>
        </w:r>
      </w:del>
    </w:p>
    <w:p w:rsidR="006224C2" w:rsidRPr="00295E71" w14:paraId="6B0A4E3A" w14:textId="77777777">
      <w:pPr>
        <w:keepNext/>
        <w:ind w:left="540" w:hanging="540"/>
        <w:rPr>
          <w:del w:id="13820" w:author="AbbVie14" w:date="2025-05-09T10:50:00Z"/>
          <w:sz w:val="22"/>
          <w:szCs w:val="22"/>
        </w:rPr>
      </w:pPr>
      <w:del w:id="13821" w:author="AbbVie14" w:date="2025-05-09T10:50:00Z">
        <w:r w:rsidRPr="00295E71">
          <w:rPr>
            <w:sz w:val="22"/>
            <w:szCs w:val="22"/>
          </w:rPr>
          <w:delText>SN</w:delText>
        </w:r>
      </w:del>
    </w:p>
    <w:p w:rsidR="006224C2" w:rsidRPr="00295E71" w14:paraId="0567FB23" w14:textId="77777777">
      <w:pPr>
        <w:keepNext/>
        <w:ind w:left="540" w:hanging="540"/>
        <w:rPr>
          <w:del w:id="13822" w:author="AbbVie14" w:date="2025-05-09T10:50:00Z"/>
          <w:sz w:val="22"/>
          <w:szCs w:val="22"/>
        </w:rPr>
      </w:pPr>
      <w:del w:id="13823" w:author="AbbVie14" w:date="2025-05-09T10:50:00Z">
        <w:r w:rsidRPr="0020624D">
          <w:rPr>
            <w:sz w:val="22"/>
            <w:szCs w:val="22"/>
            <w:highlight w:val="lightGray"/>
          </w:rPr>
          <w:delText>NN</w:delText>
        </w:r>
      </w:del>
    </w:p>
    <w:p w:rsidR="006224C2" w:rsidRPr="00295E71" w14:paraId="011A2F22" w14:textId="77777777">
      <w:pPr>
        <w:tabs>
          <w:tab w:val="left" w:pos="567"/>
        </w:tabs>
        <w:ind w:left="540" w:hanging="540"/>
        <w:rPr>
          <w:del w:id="13824" w:author="AbbVie14" w:date="2025-05-09T10:50:00Z"/>
          <w:sz w:val="22"/>
          <w:szCs w:val="22"/>
          <w:u w:val="single"/>
        </w:rPr>
      </w:pPr>
    </w:p>
    <w:p w:rsidR="006224C2" w:rsidRPr="00295E71" w14:paraId="648ECE6B" w14:textId="77777777">
      <w:pPr>
        <w:pStyle w:val="Heading3"/>
        <w:keepNext w:val="0"/>
        <w:tabs>
          <w:tab w:val="left" w:pos="567"/>
        </w:tabs>
        <w:ind w:left="540" w:hanging="540"/>
        <w:rPr>
          <w:del w:id="13825" w:author="AbbVie14" w:date="2025-05-09T10:50:00Z"/>
        </w:rPr>
      </w:pPr>
      <w:del w:id="13826" w:author="AbbVie14" w:date="2025-05-09T10:50:00Z">
        <w:r w:rsidRPr="00295E71">
          <w:br w:type="page"/>
        </w:r>
      </w:del>
    </w:p>
    <w:p w:rsidR="006224C2" w:rsidRPr="00295E71" w14:paraId="5591B903" w14:textId="77777777">
      <w:pPr>
        <w:pStyle w:val="Heading3"/>
        <w:keepNext w:val="0"/>
        <w:tabs>
          <w:tab w:val="left" w:pos="567"/>
        </w:tabs>
        <w:ind w:left="540" w:hanging="540"/>
        <w:rPr>
          <w:del w:id="13827" w:author="AbbVie14" w:date="2025-05-09T10:50:00Z"/>
        </w:rPr>
      </w:pPr>
    </w:p>
    <w:p w:rsidR="006224C2" w:rsidRPr="00295E71" w14:paraId="52737AB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3828" w:author="AbbVie14" w:date="2025-05-09T10:50:00Z"/>
          <w:b/>
          <w:bCs/>
          <w:sz w:val="22"/>
          <w:szCs w:val="22"/>
        </w:rPr>
      </w:pPr>
      <w:del w:id="13829" w:author="AbbVie14" w:date="2025-05-09T10:50:00Z">
        <w:r w:rsidRPr="00295E71">
          <w:rPr>
            <w:b/>
            <w:bCs/>
            <w:sz w:val="22"/>
            <w:szCs w:val="22"/>
          </w:rPr>
          <w:delText xml:space="preserve">INFORMAZIONI MINIME DA APPORRE SU BLISTER O STRIP </w:delText>
        </w:r>
      </w:del>
    </w:p>
    <w:p w:rsidR="006224C2" w:rsidRPr="00295E71" w14:paraId="3338658D" w14:textId="77777777">
      <w:pPr>
        <w:pBdr>
          <w:top w:val="single" w:sz="4" w:space="1" w:color="auto"/>
          <w:left w:val="single" w:sz="4" w:space="4" w:color="auto"/>
          <w:bottom w:val="single" w:sz="4" w:space="1" w:color="auto"/>
          <w:right w:val="single" w:sz="4" w:space="4" w:color="auto"/>
        </w:pBdr>
        <w:tabs>
          <w:tab w:val="left" w:pos="567"/>
        </w:tabs>
        <w:ind w:left="540" w:hanging="540"/>
        <w:jc w:val="both"/>
        <w:rPr>
          <w:del w:id="13830" w:author="AbbVie14" w:date="2025-05-09T10:50:00Z"/>
          <w:b/>
          <w:bCs/>
          <w:caps/>
          <w:sz w:val="22"/>
          <w:szCs w:val="22"/>
        </w:rPr>
      </w:pPr>
    </w:p>
    <w:p w:rsidR="006224C2" w:rsidRPr="00295E71" w14:paraId="159C913E" w14:textId="77777777">
      <w:pPr>
        <w:pStyle w:val="Heading3"/>
        <w:keepNext w:val="0"/>
        <w:pBdr>
          <w:top w:val="single" w:sz="4" w:space="1" w:color="auto"/>
          <w:left w:val="single" w:sz="4" w:space="4" w:color="auto"/>
          <w:bottom w:val="single" w:sz="4" w:space="1" w:color="auto"/>
          <w:right w:val="single" w:sz="4" w:space="4" w:color="auto"/>
        </w:pBdr>
        <w:tabs>
          <w:tab w:val="left" w:pos="567"/>
        </w:tabs>
        <w:ind w:left="540" w:hanging="540"/>
        <w:rPr>
          <w:del w:id="13831" w:author="AbbVie14" w:date="2025-05-09T10:50:00Z"/>
          <w:b/>
          <w:bCs/>
          <w:u w:val="none"/>
        </w:rPr>
      </w:pPr>
      <w:del w:id="13832" w:author="AbbVie14" w:date="2025-05-09T10:50:00Z">
        <w:r w:rsidRPr="00295E71">
          <w:rPr>
            <w:b/>
            <w:bCs/>
            <w:caps/>
            <w:u w:val="none"/>
          </w:rPr>
          <w:delText>Testo da apporre sul retro della confezione</w:delText>
        </w:r>
      </w:del>
    </w:p>
    <w:p w:rsidR="006224C2" w:rsidRPr="00295E71" w14:paraId="327CA1C9" w14:textId="77777777">
      <w:pPr>
        <w:tabs>
          <w:tab w:val="left" w:pos="567"/>
        </w:tabs>
        <w:ind w:left="540" w:hanging="540"/>
        <w:jc w:val="both"/>
        <w:rPr>
          <w:del w:id="13833" w:author="AbbVie14" w:date="2025-05-09T10:50:00Z"/>
          <w:sz w:val="22"/>
          <w:szCs w:val="22"/>
        </w:rPr>
      </w:pPr>
    </w:p>
    <w:p w:rsidR="006224C2" w:rsidRPr="00295E71" w14:paraId="72576094" w14:textId="77777777">
      <w:pPr>
        <w:tabs>
          <w:tab w:val="left" w:pos="567"/>
        </w:tabs>
        <w:ind w:left="540" w:hanging="540"/>
        <w:jc w:val="both"/>
        <w:rPr>
          <w:del w:id="13834" w:author="AbbVie14" w:date="2025-05-09T10:50:00Z"/>
          <w:sz w:val="22"/>
          <w:szCs w:val="22"/>
        </w:rPr>
      </w:pPr>
    </w:p>
    <w:p w:rsidR="006224C2" w:rsidRPr="00295E71" w14:paraId="1D20EF53"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835" w:author="AbbVie14" w:date="2025-05-09T10:50:00Z"/>
          <w:sz w:val="22"/>
          <w:szCs w:val="22"/>
        </w:rPr>
      </w:pPr>
      <w:del w:id="13836" w:author="AbbVie14" w:date="2025-05-09T10:50:00Z">
        <w:r w:rsidRPr="00295E71">
          <w:rPr>
            <w:b/>
            <w:bCs/>
            <w:sz w:val="22"/>
            <w:szCs w:val="22"/>
          </w:rPr>
          <w:delText>1.</w:delText>
        </w:r>
      </w:del>
      <w:del w:id="13837" w:author="AbbVie14" w:date="2025-05-09T10:50:00Z">
        <w:r w:rsidRPr="00295E71">
          <w:rPr>
            <w:b/>
            <w:bCs/>
            <w:sz w:val="22"/>
            <w:szCs w:val="22"/>
          </w:rPr>
          <w:tab/>
          <w:delText>DENOMINAZIONE DEL MEDICINALE</w:delText>
        </w:r>
      </w:del>
    </w:p>
    <w:p w:rsidR="006224C2" w:rsidRPr="00295E71" w14:paraId="138A09D0" w14:textId="77777777">
      <w:pPr>
        <w:tabs>
          <w:tab w:val="left" w:pos="567"/>
        </w:tabs>
        <w:ind w:left="540" w:hanging="540"/>
        <w:jc w:val="both"/>
        <w:rPr>
          <w:del w:id="13838" w:author="AbbVie14" w:date="2025-05-09T10:50:00Z"/>
          <w:sz w:val="22"/>
          <w:szCs w:val="22"/>
        </w:rPr>
      </w:pPr>
    </w:p>
    <w:p w:rsidR="006224C2" w:rsidRPr="00295E71" w14:paraId="31A72F0E" w14:textId="77777777">
      <w:pPr>
        <w:tabs>
          <w:tab w:val="left" w:pos="567"/>
        </w:tabs>
        <w:ind w:left="540" w:hanging="540"/>
        <w:jc w:val="both"/>
        <w:rPr>
          <w:del w:id="13839" w:author="AbbVie14" w:date="2025-05-09T10:50:00Z"/>
          <w:sz w:val="22"/>
          <w:szCs w:val="22"/>
        </w:rPr>
      </w:pPr>
      <w:del w:id="13840" w:author="AbbVie14" w:date="2025-05-09T10:50:00Z">
        <w:r w:rsidRPr="00295E71">
          <w:rPr>
            <w:sz w:val="22"/>
            <w:szCs w:val="22"/>
          </w:rPr>
          <w:delText>Humira 40 mg soluzione iniettabile in siringa</w:delText>
        </w:r>
      </w:del>
      <w:del w:id="13841" w:author="AbbVie14" w:date="2025-05-09T10:50:00Z">
        <w:r w:rsidRPr="00295E71" w:rsidR="00943AE1">
          <w:rPr>
            <w:sz w:val="22"/>
            <w:szCs w:val="22"/>
          </w:rPr>
          <w:delText xml:space="preserve"> </w:delText>
        </w:r>
      </w:del>
      <w:del w:id="13842" w:author="AbbVie14" w:date="2025-05-09T10:50:00Z">
        <w:r w:rsidRPr="00295E71">
          <w:rPr>
            <w:sz w:val="22"/>
            <w:szCs w:val="22"/>
          </w:rPr>
          <w:delText>pre-riempita</w:delText>
        </w:r>
      </w:del>
    </w:p>
    <w:p w:rsidR="006224C2" w:rsidRPr="00295E71" w14:paraId="75C4F24A" w14:textId="77777777">
      <w:pPr>
        <w:tabs>
          <w:tab w:val="left" w:pos="567"/>
        </w:tabs>
        <w:ind w:left="540" w:hanging="540"/>
        <w:jc w:val="both"/>
        <w:rPr>
          <w:del w:id="13843" w:author="AbbVie14" w:date="2025-05-09T10:50:00Z"/>
          <w:sz w:val="22"/>
          <w:szCs w:val="22"/>
        </w:rPr>
      </w:pPr>
      <w:del w:id="13844" w:author="AbbVie14" w:date="2025-05-09T10:50:00Z">
        <w:r w:rsidRPr="00295E71">
          <w:rPr>
            <w:sz w:val="22"/>
            <w:szCs w:val="22"/>
          </w:rPr>
          <w:delText>adalimumab</w:delText>
        </w:r>
      </w:del>
    </w:p>
    <w:p w:rsidR="006224C2" w:rsidRPr="00295E71" w14:paraId="1F9008A8" w14:textId="77777777">
      <w:pPr>
        <w:tabs>
          <w:tab w:val="left" w:pos="567"/>
        </w:tabs>
        <w:ind w:left="540" w:hanging="540"/>
        <w:jc w:val="both"/>
        <w:rPr>
          <w:del w:id="13845" w:author="AbbVie14" w:date="2025-05-09T10:50:00Z"/>
          <w:sz w:val="22"/>
          <w:szCs w:val="22"/>
        </w:rPr>
      </w:pPr>
    </w:p>
    <w:p w:rsidR="006224C2" w:rsidRPr="00295E71" w14:paraId="73A8CD99" w14:textId="77777777">
      <w:pPr>
        <w:tabs>
          <w:tab w:val="left" w:pos="567"/>
        </w:tabs>
        <w:ind w:left="540" w:hanging="540"/>
        <w:jc w:val="both"/>
        <w:rPr>
          <w:del w:id="13846" w:author="AbbVie14" w:date="2025-05-09T10:50:00Z"/>
          <w:sz w:val="22"/>
          <w:szCs w:val="22"/>
        </w:rPr>
      </w:pPr>
    </w:p>
    <w:p w:rsidR="006224C2" w:rsidRPr="00295E71" w14:paraId="2DE46C1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3847" w:author="AbbVie14" w:date="2025-05-09T10:50:00Z"/>
          <w:b/>
          <w:bCs/>
          <w:sz w:val="22"/>
          <w:szCs w:val="22"/>
        </w:rPr>
      </w:pPr>
      <w:del w:id="13848" w:author="AbbVie14" w:date="2025-05-09T10:50:00Z">
        <w:r w:rsidRPr="00295E71">
          <w:rPr>
            <w:b/>
            <w:bCs/>
            <w:sz w:val="22"/>
            <w:szCs w:val="22"/>
          </w:rPr>
          <w:delText>2.</w:delText>
        </w:r>
      </w:del>
      <w:del w:id="13849" w:author="AbbVie14" w:date="2025-05-09T10:50:00Z">
        <w:r w:rsidRPr="00295E71">
          <w:rPr>
            <w:b/>
            <w:bCs/>
            <w:sz w:val="22"/>
            <w:szCs w:val="22"/>
          </w:rPr>
          <w:tab/>
          <w:delText xml:space="preserve">NOME DEL TITOLARE DELL’AUTORIZZAZIONE ALL’IMMISSIONE IN COMMERCIO </w:delText>
        </w:r>
      </w:del>
    </w:p>
    <w:p w:rsidR="006224C2" w:rsidRPr="00295E71" w14:paraId="2F1415A9" w14:textId="77777777">
      <w:pPr>
        <w:tabs>
          <w:tab w:val="left" w:pos="567"/>
        </w:tabs>
        <w:ind w:left="540" w:hanging="540"/>
        <w:jc w:val="both"/>
        <w:rPr>
          <w:del w:id="13850" w:author="AbbVie14" w:date="2025-05-09T10:50:00Z"/>
          <w:sz w:val="22"/>
          <w:szCs w:val="22"/>
        </w:rPr>
      </w:pPr>
    </w:p>
    <w:p w:rsidR="006224C2" w:rsidRPr="00295E71" w14:paraId="308FC3AC" w14:textId="77777777">
      <w:pPr>
        <w:tabs>
          <w:tab w:val="left" w:pos="567"/>
        </w:tabs>
        <w:ind w:left="540" w:hanging="540"/>
        <w:jc w:val="both"/>
        <w:rPr>
          <w:del w:id="13851" w:author="AbbVie14" w:date="2025-05-09T10:50:00Z"/>
          <w:sz w:val="22"/>
          <w:szCs w:val="22"/>
        </w:rPr>
      </w:pPr>
      <w:del w:id="13852" w:author="AbbVie14" w:date="2025-05-09T10:50:00Z">
        <w:r w:rsidRPr="00295E71">
          <w:rPr>
            <w:sz w:val="22"/>
            <w:szCs w:val="22"/>
          </w:rPr>
          <w:delText xml:space="preserve">AbbVie </w:delText>
        </w:r>
      </w:del>
      <w:del w:id="13853" w:author="AbbVie14" w:date="2025-05-09T10:50:00Z">
        <w:r w:rsidRPr="00295E71" w:rsidR="004871BE">
          <w:rPr>
            <w:sz w:val="22"/>
            <w:szCs w:val="22"/>
            <w:highlight w:val="lightGray"/>
          </w:rPr>
          <w:delText>(logo)</w:delText>
        </w:r>
      </w:del>
    </w:p>
    <w:p w:rsidR="006224C2" w:rsidRPr="00295E71" w14:paraId="165257B5" w14:textId="77777777">
      <w:pPr>
        <w:tabs>
          <w:tab w:val="left" w:pos="567"/>
        </w:tabs>
        <w:ind w:left="540" w:hanging="540"/>
        <w:jc w:val="both"/>
        <w:rPr>
          <w:del w:id="13854" w:author="AbbVie14" w:date="2025-05-09T10:50:00Z"/>
          <w:sz w:val="22"/>
          <w:szCs w:val="22"/>
        </w:rPr>
      </w:pPr>
    </w:p>
    <w:p w:rsidR="006224C2" w:rsidRPr="00295E71" w14:paraId="6FFB7366" w14:textId="77777777">
      <w:pPr>
        <w:pStyle w:val="EndnoteText"/>
        <w:ind w:left="540" w:hanging="540"/>
        <w:jc w:val="both"/>
        <w:rPr>
          <w:del w:id="13855" w:author="AbbVie14" w:date="2025-05-09T10:50:00Z"/>
          <w:lang w:val="it-IT"/>
        </w:rPr>
      </w:pPr>
    </w:p>
    <w:p w:rsidR="006224C2" w:rsidRPr="00295E71" w14:paraId="1C86F62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3856" w:author="AbbVie14" w:date="2025-05-09T10:50:00Z"/>
          <w:b/>
          <w:bCs/>
          <w:sz w:val="22"/>
          <w:szCs w:val="22"/>
        </w:rPr>
      </w:pPr>
      <w:del w:id="13857" w:author="AbbVie14" w:date="2025-05-09T10:50:00Z">
        <w:r w:rsidRPr="00295E71">
          <w:rPr>
            <w:b/>
            <w:bCs/>
            <w:sz w:val="22"/>
            <w:szCs w:val="22"/>
          </w:rPr>
          <w:delText>3.</w:delText>
        </w:r>
      </w:del>
      <w:del w:id="13858" w:author="AbbVie14" w:date="2025-05-09T10:50:00Z">
        <w:r w:rsidRPr="00295E71">
          <w:rPr>
            <w:b/>
            <w:bCs/>
            <w:sz w:val="22"/>
            <w:szCs w:val="22"/>
          </w:rPr>
          <w:tab/>
          <w:delText>DATA DI SCADENZA</w:delText>
        </w:r>
      </w:del>
    </w:p>
    <w:p w:rsidR="006224C2" w:rsidRPr="00295E71" w14:paraId="009F32BC" w14:textId="77777777">
      <w:pPr>
        <w:tabs>
          <w:tab w:val="left" w:pos="567"/>
        </w:tabs>
        <w:ind w:left="540" w:hanging="540"/>
        <w:jc w:val="both"/>
        <w:rPr>
          <w:del w:id="13859" w:author="AbbVie14" w:date="2025-05-09T10:50:00Z"/>
          <w:sz w:val="22"/>
          <w:szCs w:val="22"/>
        </w:rPr>
      </w:pPr>
    </w:p>
    <w:p w:rsidR="006224C2" w:rsidRPr="00295E71" w14:paraId="7669F89C" w14:textId="77777777">
      <w:pPr>
        <w:tabs>
          <w:tab w:val="left" w:pos="567"/>
        </w:tabs>
        <w:ind w:left="540" w:hanging="540"/>
        <w:jc w:val="both"/>
        <w:rPr>
          <w:del w:id="13860" w:author="AbbVie14" w:date="2025-05-09T10:50:00Z"/>
          <w:sz w:val="22"/>
          <w:szCs w:val="22"/>
        </w:rPr>
      </w:pPr>
      <w:del w:id="13861" w:author="AbbVie14" w:date="2025-05-09T10:50:00Z">
        <w:r w:rsidRPr="00295E71">
          <w:rPr>
            <w:sz w:val="22"/>
            <w:szCs w:val="22"/>
          </w:rPr>
          <w:delText xml:space="preserve">Scad. </w:delText>
        </w:r>
      </w:del>
    </w:p>
    <w:p w:rsidR="006224C2" w:rsidRPr="00295E71" w14:paraId="5A738038" w14:textId="77777777">
      <w:pPr>
        <w:tabs>
          <w:tab w:val="left" w:pos="567"/>
        </w:tabs>
        <w:ind w:left="540" w:hanging="540"/>
        <w:jc w:val="both"/>
        <w:rPr>
          <w:del w:id="13862" w:author="AbbVie14" w:date="2025-05-09T10:50:00Z"/>
          <w:sz w:val="22"/>
          <w:szCs w:val="22"/>
        </w:rPr>
      </w:pPr>
    </w:p>
    <w:p w:rsidR="006224C2" w:rsidRPr="00295E71" w14:paraId="1C0AB9FD" w14:textId="77777777">
      <w:pPr>
        <w:tabs>
          <w:tab w:val="left" w:pos="567"/>
        </w:tabs>
        <w:ind w:left="540" w:hanging="540"/>
        <w:jc w:val="both"/>
        <w:rPr>
          <w:del w:id="13863" w:author="AbbVie14" w:date="2025-05-09T10:50:00Z"/>
          <w:sz w:val="22"/>
          <w:szCs w:val="22"/>
        </w:rPr>
      </w:pPr>
    </w:p>
    <w:p w:rsidR="006224C2" w:rsidRPr="00295E71" w14:paraId="628DE9F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3864" w:author="AbbVie14" w:date="2025-05-09T10:50:00Z"/>
          <w:b/>
          <w:bCs/>
          <w:sz w:val="22"/>
          <w:szCs w:val="22"/>
        </w:rPr>
      </w:pPr>
      <w:del w:id="13865" w:author="AbbVie14" w:date="2025-05-09T10:50:00Z">
        <w:r w:rsidRPr="00295E71">
          <w:rPr>
            <w:b/>
            <w:bCs/>
            <w:sz w:val="22"/>
            <w:szCs w:val="22"/>
          </w:rPr>
          <w:delText>4.</w:delText>
        </w:r>
      </w:del>
      <w:del w:id="13866" w:author="AbbVie14" w:date="2025-05-09T10:50:00Z">
        <w:r w:rsidRPr="00295E71">
          <w:rPr>
            <w:b/>
            <w:bCs/>
            <w:sz w:val="22"/>
            <w:szCs w:val="22"/>
          </w:rPr>
          <w:tab/>
          <w:delText>NUMERO DI LOTTO</w:delText>
        </w:r>
      </w:del>
    </w:p>
    <w:p w:rsidR="006224C2" w:rsidRPr="00295E71" w14:paraId="795668E5" w14:textId="77777777">
      <w:pPr>
        <w:tabs>
          <w:tab w:val="left" w:pos="567"/>
        </w:tabs>
        <w:ind w:left="540" w:hanging="540"/>
        <w:jc w:val="both"/>
        <w:rPr>
          <w:del w:id="13867" w:author="AbbVie14" w:date="2025-05-09T10:50:00Z"/>
          <w:sz w:val="22"/>
          <w:szCs w:val="22"/>
        </w:rPr>
      </w:pPr>
    </w:p>
    <w:p w:rsidR="006224C2" w:rsidRPr="00295E71" w14:paraId="03031F2B" w14:textId="77777777">
      <w:pPr>
        <w:tabs>
          <w:tab w:val="left" w:pos="567"/>
        </w:tabs>
        <w:ind w:left="540" w:hanging="540"/>
        <w:jc w:val="both"/>
        <w:rPr>
          <w:del w:id="13868" w:author="AbbVie14" w:date="2025-05-09T10:50:00Z"/>
          <w:sz w:val="22"/>
          <w:szCs w:val="22"/>
        </w:rPr>
      </w:pPr>
      <w:del w:id="13869" w:author="AbbVie14" w:date="2025-05-09T10:50:00Z">
        <w:r w:rsidRPr="00295E71">
          <w:rPr>
            <w:sz w:val="22"/>
            <w:szCs w:val="22"/>
          </w:rPr>
          <w:delText xml:space="preserve">Lotto </w:delText>
        </w:r>
      </w:del>
    </w:p>
    <w:p w:rsidR="006224C2" w:rsidRPr="00295E71" w14:paraId="29CF5F68" w14:textId="77777777">
      <w:pPr>
        <w:tabs>
          <w:tab w:val="left" w:pos="567"/>
        </w:tabs>
        <w:ind w:left="540" w:hanging="540"/>
        <w:rPr>
          <w:del w:id="13870" w:author="AbbVie14" w:date="2025-05-09T10:50:00Z"/>
          <w:bCs/>
          <w:sz w:val="22"/>
          <w:szCs w:val="22"/>
        </w:rPr>
      </w:pPr>
    </w:p>
    <w:p w:rsidR="006224C2" w:rsidRPr="00295E71" w14:paraId="138BE7C3" w14:textId="77777777">
      <w:pPr>
        <w:tabs>
          <w:tab w:val="left" w:pos="567"/>
        </w:tabs>
        <w:ind w:left="540" w:hanging="540"/>
        <w:rPr>
          <w:del w:id="13871" w:author="AbbVie14" w:date="2025-05-09T10:50:00Z"/>
          <w:bCs/>
          <w:sz w:val="22"/>
          <w:szCs w:val="22"/>
        </w:rPr>
      </w:pPr>
    </w:p>
    <w:p w:rsidR="006224C2" w:rsidRPr="00295E71" w14:paraId="7946D93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872" w:author="AbbVie14" w:date="2025-05-09T10:50:00Z"/>
          <w:b/>
          <w:bCs/>
          <w:sz w:val="22"/>
          <w:szCs w:val="22"/>
          <w:u w:val="single"/>
        </w:rPr>
      </w:pPr>
      <w:del w:id="13873" w:author="AbbVie14" w:date="2025-05-09T10:50:00Z">
        <w:r w:rsidRPr="00295E71">
          <w:rPr>
            <w:b/>
            <w:bCs/>
            <w:sz w:val="22"/>
            <w:szCs w:val="22"/>
          </w:rPr>
          <w:delText>5.</w:delText>
        </w:r>
      </w:del>
      <w:del w:id="13874" w:author="AbbVie14" w:date="2025-05-09T10:50:00Z">
        <w:r w:rsidRPr="00295E71">
          <w:rPr>
            <w:b/>
            <w:bCs/>
            <w:sz w:val="22"/>
            <w:szCs w:val="22"/>
          </w:rPr>
          <w:tab/>
          <w:delText>ALTRO</w:delText>
        </w:r>
      </w:del>
    </w:p>
    <w:p w:rsidR="006224C2" w:rsidRPr="00295E71" w14:paraId="2E06ECDE" w14:textId="77777777">
      <w:pPr>
        <w:tabs>
          <w:tab w:val="left" w:pos="567"/>
        </w:tabs>
        <w:ind w:left="540" w:hanging="540"/>
        <w:rPr>
          <w:del w:id="13875" w:author="AbbVie14" w:date="2025-05-09T10:50:00Z"/>
          <w:bCs/>
          <w:sz w:val="22"/>
          <w:szCs w:val="22"/>
        </w:rPr>
      </w:pPr>
    </w:p>
    <w:p w:rsidR="006224C2" w:rsidRPr="00295E71" w14:paraId="5AB9BFD0" w14:textId="77777777">
      <w:pPr>
        <w:tabs>
          <w:tab w:val="left" w:pos="567"/>
        </w:tabs>
        <w:ind w:left="540" w:hanging="540"/>
        <w:jc w:val="both"/>
        <w:rPr>
          <w:del w:id="13876" w:author="AbbVie14" w:date="2025-05-09T10:50:00Z"/>
          <w:sz w:val="22"/>
          <w:szCs w:val="22"/>
        </w:rPr>
      </w:pPr>
      <w:del w:id="13877" w:author="AbbVie14" w:date="2025-05-09T10:50:00Z">
        <w:r w:rsidRPr="00295E71">
          <w:rPr>
            <w:sz w:val="22"/>
            <w:szCs w:val="22"/>
          </w:rPr>
          <w:delText>Vedere il foglio illustrativo per le informazioni sulle condizioni di conservazione.</w:delText>
        </w:r>
      </w:del>
    </w:p>
    <w:p w:rsidR="006224C2" w:rsidRPr="00295E71" w14:paraId="23006D20" w14:textId="77777777">
      <w:pPr>
        <w:tabs>
          <w:tab w:val="left" w:pos="567"/>
        </w:tabs>
        <w:ind w:left="540" w:hanging="540"/>
        <w:jc w:val="both"/>
        <w:rPr>
          <w:del w:id="13878" w:author="AbbVie14" w:date="2025-05-09T10:50:00Z"/>
          <w:sz w:val="22"/>
          <w:szCs w:val="22"/>
        </w:rPr>
      </w:pPr>
    </w:p>
    <w:p w:rsidR="006224C2" w:rsidRPr="00295E71" w14:paraId="626720F1" w14:textId="77777777">
      <w:pPr>
        <w:tabs>
          <w:tab w:val="left" w:pos="567"/>
        </w:tabs>
        <w:ind w:left="540" w:hanging="540"/>
        <w:jc w:val="both"/>
        <w:rPr>
          <w:del w:id="13879" w:author="AbbVie14" w:date="2025-05-09T10:50:00Z"/>
          <w:sz w:val="22"/>
          <w:szCs w:val="22"/>
        </w:rPr>
      </w:pPr>
      <w:del w:id="13880" w:author="AbbVie14" w:date="2025-05-09T10:50:00Z">
        <w:r w:rsidRPr="00295E71">
          <w:rPr>
            <w:sz w:val="22"/>
            <w:szCs w:val="22"/>
          </w:rPr>
          <w:delText>Esclusivamente monouso</w:delText>
        </w:r>
      </w:del>
      <w:del w:id="13881" w:author="AbbVie14" w:date="2025-05-09T10:50:00Z">
        <w:r w:rsidRPr="00295E71" w:rsidR="001A0443">
          <w:rPr>
            <w:sz w:val="22"/>
            <w:szCs w:val="22"/>
          </w:rPr>
          <w:delText>.</w:delText>
        </w:r>
      </w:del>
    </w:p>
    <w:p w:rsidR="006224C2" w:rsidRPr="00295E71" w14:paraId="29679FDC" w14:textId="77777777">
      <w:pPr>
        <w:tabs>
          <w:tab w:val="left" w:pos="567"/>
        </w:tabs>
        <w:ind w:left="540" w:hanging="540"/>
        <w:jc w:val="both"/>
        <w:rPr>
          <w:del w:id="13882" w:author="AbbVie14" w:date="2025-05-09T10:50:00Z"/>
          <w:sz w:val="22"/>
          <w:szCs w:val="22"/>
        </w:rPr>
      </w:pPr>
    </w:p>
    <w:p w:rsidR="006224C2" w:rsidRPr="00295E71" w14:paraId="076C7A64" w14:textId="77777777">
      <w:pPr>
        <w:pStyle w:val="EndnoteText"/>
        <w:ind w:left="540" w:hanging="540"/>
        <w:rPr>
          <w:del w:id="13883" w:author="AbbVie14" w:date="2025-05-09T10:50:00Z"/>
          <w:lang w:val="it-IT"/>
        </w:rPr>
      </w:pPr>
      <w:del w:id="13884" w:author="AbbVie14" w:date="2025-05-09T10:50:00Z">
        <w:r w:rsidRPr="00295E71">
          <w:rPr>
            <w:lang w:val="it-IT"/>
          </w:rPr>
          <w:br w:type="page"/>
        </w:r>
      </w:del>
    </w:p>
    <w:p w:rsidR="006224C2" w:rsidRPr="00295E71" w14:paraId="679FFC08" w14:textId="77777777">
      <w:pPr>
        <w:pBdr>
          <w:top w:val="single" w:sz="4" w:space="1" w:color="auto"/>
          <w:left w:val="single" w:sz="4" w:space="1" w:color="auto"/>
          <w:bottom w:val="single" w:sz="4" w:space="1" w:color="auto"/>
          <w:right w:val="single" w:sz="4" w:space="1" w:color="auto"/>
        </w:pBdr>
        <w:tabs>
          <w:tab w:val="left" w:pos="180"/>
        </w:tabs>
        <w:rPr>
          <w:del w:id="13885" w:author="AbbVie14" w:date="2025-05-09T10:50:00Z"/>
          <w:b/>
          <w:bCs/>
          <w:sz w:val="22"/>
          <w:szCs w:val="22"/>
        </w:rPr>
      </w:pPr>
      <w:del w:id="13886" w:author="AbbVie14" w:date="2025-05-09T10:50:00Z">
        <w:r w:rsidRPr="00295E71">
          <w:rPr>
            <w:b/>
            <w:bCs/>
            <w:sz w:val="22"/>
            <w:szCs w:val="22"/>
          </w:rPr>
          <w:delText>INFORMAZIONI MINIME DA APPORRE SUI CONFEZIONAMENTI PRIMARI DI PICCOLE DIMENSIONI</w:delText>
        </w:r>
      </w:del>
    </w:p>
    <w:p w:rsidR="006224C2" w:rsidRPr="00295E71" w14:paraId="7F94B776" w14:textId="77777777">
      <w:pPr>
        <w:pBdr>
          <w:top w:val="single" w:sz="4" w:space="1" w:color="auto"/>
          <w:left w:val="single" w:sz="4" w:space="1" w:color="auto"/>
          <w:bottom w:val="single" w:sz="4" w:space="1" w:color="auto"/>
          <w:right w:val="single" w:sz="4" w:space="1" w:color="auto"/>
        </w:pBdr>
        <w:tabs>
          <w:tab w:val="left" w:pos="180"/>
        </w:tabs>
        <w:rPr>
          <w:del w:id="13887" w:author="AbbVie14" w:date="2025-05-09T10:50:00Z"/>
          <w:b/>
          <w:bCs/>
          <w:caps/>
          <w:sz w:val="22"/>
          <w:szCs w:val="22"/>
        </w:rPr>
      </w:pPr>
    </w:p>
    <w:p w:rsidR="006224C2" w:rsidRPr="00295E71" w14:paraId="074F340A" w14:textId="77777777">
      <w:pPr>
        <w:pBdr>
          <w:top w:val="single" w:sz="4" w:space="1" w:color="auto"/>
          <w:left w:val="single" w:sz="4" w:space="1" w:color="auto"/>
          <w:bottom w:val="single" w:sz="4" w:space="1" w:color="auto"/>
          <w:right w:val="single" w:sz="4" w:space="1" w:color="auto"/>
        </w:pBdr>
        <w:tabs>
          <w:tab w:val="left" w:pos="567"/>
        </w:tabs>
        <w:ind w:left="540" w:hanging="540"/>
        <w:rPr>
          <w:del w:id="13888" w:author="AbbVie14" w:date="2025-05-09T10:50:00Z"/>
          <w:b/>
          <w:bCs/>
          <w:sz w:val="22"/>
          <w:szCs w:val="22"/>
        </w:rPr>
      </w:pPr>
      <w:del w:id="13889" w:author="AbbVie14" w:date="2025-05-09T10:50:00Z">
        <w:r w:rsidRPr="00295E71">
          <w:rPr>
            <w:b/>
            <w:bCs/>
            <w:caps/>
            <w:sz w:val="22"/>
            <w:szCs w:val="22"/>
          </w:rPr>
          <w:delText>Etichetta da apporre sulla siringa</w:delText>
        </w:r>
      </w:del>
    </w:p>
    <w:p w:rsidR="006224C2" w:rsidRPr="00295E71" w14:paraId="048C1504" w14:textId="77777777">
      <w:pPr>
        <w:pStyle w:val="Index1"/>
        <w:tabs>
          <w:tab w:val="left" w:pos="567"/>
        </w:tabs>
        <w:spacing w:line="260" w:lineRule="exact"/>
        <w:ind w:left="540" w:hanging="540"/>
        <w:rPr>
          <w:del w:id="13890" w:author="AbbVie14" w:date="2025-05-09T10:50:00Z"/>
          <w:lang w:val="it-IT"/>
        </w:rPr>
      </w:pPr>
    </w:p>
    <w:p w:rsidR="006224C2" w:rsidRPr="00295E71" w14:paraId="0D0EE278" w14:textId="77777777">
      <w:pPr>
        <w:tabs>
          <w:tab w:val="left" w:pos="567"/>
        </w:tabs>
        <w:ind w:left="540" w:hanging="540"/>
        <w:rPr>
          <w:del w:id="13891" w:author="AbbVie14" w:date="2025-05-09T10:50:00Z"/>
          <w:b/>
          <w:bCs/>
          <w:sz w:val="22"/>
          <w:szCs w:val="22"/>
        </w:rPr>
      </w:pPr>
    </w:p>
    <w:p w:rsidR="006224C2" w:rsidRPr="00295E71" w14:paraId="0F12C8E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892" w:author="AbbVie14" w:date="2025-05-09T10:50:00Z"/>
          <w:b/>
          <w:bCs/>
          <w:sz w:val="22"/>
          <w:szCs w:val="22"/>
        </w:rPr>
      </w:pPr>
      <w:del w:id="13893" w:author="AbbVie14" w:date="2025-05-09T10:50:00Z">
        <w:r w:rsidRPr="00295E71">
          <w:rPr>
            <w:b/>
            <w:bCs/>
            <w:sz w:val="22"/>
            <w:szCs w:val="22"/>
          </w:rPr>
          <w:delText>1.</w:delText>
        </w:r>
      </w:del>
      <w:del w:id="13894" w:author="AbbVie14" w:date="2025-05-09T10:50:00Z">
        <w:r w:rsidRPr="00295E71">
          <w:rPr>
            <w:b/>
            <w:bCs/>
            <w:sz w:val="22"/>
            <w:szCs w:val="22"/>
          </w:rPr>
          <w:tab/>
          <w:delText>DENOMINAZIONE DEL MEDICINALE E VIA DI SOMMINISTRAZIONE</w:delText>
        </w:r>
      </w:del>
    </w:p>
    <w:p w:rsidR="006224C2" w:rsidRPr="00295E71" w14:paraId="5EB2C978" w14:textId="77777777">
      <w:pPr>
        <w:tabs>
          <w:tab w:val="left" w:pos="567"/>
        </w:tabs>
        <w:ind w:left="540" w:hanging="540"/>
        <w:rPr>
          <w:del w:id="13895" w:author="AbbVie14" w:date="2025-05-09T10:50:00Z"/>
          <w:sz w:val="22"/>
          <w:szCs w:val="22"/>
        </w:rPr>
      </w:pPr>
    </w:p>
    <w:p w:rsidR="006224C2" w:rsidRPr="00295E71" w14:paraId="0BE7E23B" w14:textId="77777777">
      <w:pPr>
        <w:tabs>
          <w:tab w:val="left" w:pos="567"/>
        </w:tabs>
        <w:ind w:left="540" w:hanging="540"/>
        <w:rPr>
          <w:del w:id="13896" w:author="AbbVie14" w:date="2025-05-09T10:50:00Z"/>
          <w:sz w:val="22"/>
          <w:szCs w:val="22"/>
        </w:rPr>
      </w:pPr>
      <w:del w:id="13897" w:author="AbbVie14" w:date="2025-05-09T10:50:00Z">
        <w:r w:rsidRPr="00295E71">
          <w:rPr>
            <w:sz w:val="22"/>
            <w:szCs w:val="22"/>
          </w:rPr>
          <w:delText>Humira 40 mg iniettabile</w:delText>
        </w:r>
      </w:del>
    </w:p>
    <w:p w:rsidR="006224C2" w:rsidRPr="00295E71" w14:paraId="59DE988B" w14:textId="77777777">
      <w:pPr>
        <w:tabs>
          <w:tab w:val="left" w:pos="567"/>
        </w:tabs>
        <w:ind w:left="540" w:hanging="540"/>
        <w:rPr>
          <w:del w:id="13898" w:author="AbbVie14" w:date="2025-05-09T10:50:00Z"/>
          <w:sz w:val="22"/>
          <w:szCs w:val="22"/>
        </w:rPr>
      </w:pPr>
      <w:del w:id="13899" w:author="AbbVie14" w:date="2025-05-09T10:50:00Z">
        <w:r w:rsidRPr="00295E71">
          <w:rPr>
            <w:sz w:val="22"/>
            <w:szCs w:val="22"/>
          </w:rPr>
          <w:delText>adalimumab</w:delText>
        </w:r>
      </w:del>
    </w:p>
    <w:p w:rsidR="006224C2" w:rsidRPr="00295E71" w14:paraId="4B8F05A8" w14:textId="77777777">
      <w:pPr>
        <w:pStyle w:val="EndnoteText"/>
        <w:ind w:left="540" w:hanging="540"/>
        <w:rPr>
          <w:del w:id="13900" w:author="AbbVie14" w:date="2025-05-09T10:50:00Z"/>
          <w:lang w:val="it-IT"/>
        </w:rPr>
      </w:pPr>
      <w:del w:id="13901" w:author="AbbVie14" w:date="2025-05-09T10:50:00Z">
        <w:r w:rsidRPr="00295E71">
          <w:rPr>
            <w:lang w:val="it-IT"/>
          </w:rPr>
          <w:delText>s.c.</w:delText>
        </w:r>
      </w:del>
    </w:p>
    <w:p w:rsidR="006224C2" w:rsidRPr="00295E71" w14:paraId="48D8CCDB" w14:textId="77777777">
      <w:pPr>
        <w:tabs>
          <w:tab w:val="left" w:pos="567"/>
        </w:tabs>
        <w:ind w:left="540" w:hanging="540"/>
        <w:rPr>
          <w:del w:id="13902" w:author="AbbVie14" w:date="2025-05-09T10:50:00Z"/>
          <w:b/>
          <w:bCs/>
          <w:sz w:val="22"/>
          <w:szCs w:val="22"/>
        </w:rPr>
      </w:pPr>
    </w:p>
    <w:p w:rsidR="006224C2" w:rsidRPr="00295E71" w14:paraId="4037CAB2" w14:textId="77777777">
      <w:pPr>
        <w:tabs>
          <w:tab w:val="left" w:pos="567"/>
        </w:tabs>
        <w:ind w:left="540" w:hanging="540"/>
        <w:rPr>
          <w:del w:id="13903" w:author="AbbVie14" w:date="2025-05-09T10:50:00Z"/>
          <w:b/>
          <w:bCs/>
          <w:sz w:val="22"/>
          <w:szCs w:val="22"/>
        </w:rPr>
      </w:pPr>
    </w:p>
    <w:p w:rsidR="006224C2" w:rsidRPr="00295E71" w14:paraId="3767E00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904" w:author="AbbVie14" w:date="2025-05-09T10:50:00Z"/>
          <w:b/>
          <w:bCs/>
          <w:sz w:val="22"/>
          <w:szCs w:val="22"/>
        </w:rPr>
      </w:pPr>
      <w:del w:id="13905" w:author="AbbVie14" w:date="2025-05-09T10:50:00Z">
        <w:r w:rsidRPr="00295E71">
          <w:rPr>
            <w:b/>
            <w:bCs/>
            <w:sz w:val="22"/>
            <w:szCs w:val="22"/>
          </w:rPr>
          <w:delText>2.</w:delText>
        </w:r>
      </w:del>
      <w:del w:id="13906" w:author="AbbVie14" w:date="2025-05-09T10:50:00Z">
        <w:r w:rsidRPr="00295E71">
          <w:rPr>
            <w:b/>
            <w:bCs/>
            <w:sz w:val="22"/>
            <w:szCs w:val="22"/>
          </w:rPr>
          <w:tab/>
          <w:delText>MODO DI SOMMINISTRAZIONE</w:delText>
        </w:r>
      </w:del>
    </w:p>
    <w:p w:rsidR="006224C2" w:rsidRPr="00295E71" w14:paraId="270A9D27" w14:textId="77777777">
      <w:pPr>
        <w:pStyle w:val="IndexHeading"/>
        <w:spacing w:line="240" w:lineRule="auto"/>
        <w:ind w:left="540" w:hanging="540"/>
        <w:rPr>
          <w:del w:id="13907" w:author="AbbVie14" w:date="2025-05-09T10:50:00Z"/>
          <w:rFonts w:ascii="Times New Roman" w:hAnsi="Times New Roman" w:cs="Times New Roman"/>
          <w:lang w:val="it-IT"/>
        </w:rPr>
      </w:pPr>
    </w:p>
    <w:p w:rsidR="006224C2" w:rsidRPr="00295E71" w14:paraId="5D3B9983" w14:textId="77777777">
      <w:pPr>
        <w:tabs>
          <w:tab w:val="left" w:pos="567"/>
        </w:tabs>
        <w:ind w:left="540" w:hanging="540"/>
        <w:rPr>
          <w:del w:id="13908" w:author="AbbVie14" w:date="2025-05-09T10:50:00Z"/>
          <w:b/>
          <w:bCs/>
          <w:sz w:val="22"/>
          <w:szCs w:val="22"/>
        </w:rPr>
      </w:pPr>
    </w:p>
    <w:p w:rsidR="006224C2" w:rsidRPr="00295E71" w14:paraId="527D273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909" w:author="AbbVie14" w:date="2025-05-09T10:50:00Z"/>
          <w:b/>
          <w:bCs/>
          <w:sz w:val="22"/>
          <w:szCs w:val="22"/>
        </w:rPr>
      </w:pPr>
      <w:del w:id="13910" w:author="AbbVie14" w:date="2025-05-09T10:50:00Z">
        <w:r w:rsidRPr="00295E71">
          <w:rPr>
            <w:b/>
            <w:bCs/>
            <w:sz w:val="22"/>
            <w:szCs w:val="22"/>
          </w:rPr>
          <w:delText>3.</w:delText>
        </w:r>
      </w:del>
      <w:del w:id="13911" w:author="AbbVie14" w:date="2025-05-09T10:50:00Z">
        <w:r w:rsidRPr="00295E71">
          <w:rPr>
            <w:b/>
            <w:bCs/>
            <w:sz w:val="22"/>
            <w:szCs w:val="22"/>
          </w:rPr>
          <w:tab/>
          <w:delText>DATA DI SCADENZA</w:delText>
        </w:r>
      </w:del>
    </w:p>
    <w:p w:rsidR="006224C2" w:rsidRPr="00295E71" w14:paraId="2655F652" w14:textId="77777777">
      <w:pPr>
        <w:tabs>
          <w:tab w:val="left" w:pos="567"/>
        </w:tabs>
        <w:ind w:left="540" w:hanging="540"/>
        <w:rPr>
          <w:del w:id="13912" w:author="AbbVie14" w:date="2025-05-09T10:50:00Z"/>
          <w:sz w:val="22"/>
          <w:szCs w:val="22"/>
        </w:rPr>
      </w:pPr>
    </w:p>
    <w:p w:rsidR="006224C2" w:rsidRPr="00295E71" w14:paraId="4AD76801" w14:textId="77777777">
      <w:pPr>
        <w:tabs>
          <w:tab w:val="left" w:pos="567"/>
        </w:tabs>
        <w:ind w:left="540" w:hanging="540"/>
        <w:rPr>
          <w:del w:id="13913" w:author="AbbVie14" w:date="2025-05-09T10:50:00Z"/>
          <w:sz w:val="22"/>
          <w:szCs w:val="22"/>
        </w:rPr>
      </w:pPr>
      <w:del w:id="13914" w:author="AbbVie14" w:date="2025-05-09T10:50:00Z">
        <w:r w:rsidRPr="00295E71">
          <w:rPr>
            <w:sz w:val="22"/>
            <w:szCs w:val="22"/>
          </w:rPr>
          <w:delText xml:space="preserve">Scad. </w:delText>
        </w:r>
      </w:del>
    </w:p>
    <w:p w:rsidR="006224C2" w:rsidRPr="00295E71" w14:paraId="44BDBB64" w14:textId="77777777">
      <w:pPr>
        <w:tabs>
          <w:tab w:val="left" w:pos="567"/>
        </w:tabs>
        <w:ind w:left="540" w:hanging="540"/>
        <w:rPr>
          <w:del w:id="13915" w:author="AbbVie14" w:date="2025-05-09T10:50:00Z"/>
          <w:b/>
          <w:bCs/>
          <w:sz w:val="22"/>
          <w:szCs w:val="22"/>
        </w:rPr>
      </w:pPr>
    </w:p>
    <w:p w:rsidR="006224C2" w:rsidRPr="00295E71" w14:paraId="3DCABAAD" w14:textId="77777777">
      <w:pPr>
        <w:tabs>
          <w:tab w:val="left" w:pos="567"/>
        </w:tabs>
        <w:ind w:left="540" w:hanging="540"/>
        <w:rPr>
          <w:del w:id="13916" w:author="AbbVie14" w:date="2025-05-09T10:50:00Z"/>
          <w:sz w:val="22"/>
          <w:szCs w:val="22"/>
        </w:rPr>
      </w:pPr>
    </w:p>
    <w:p w:rsidR="006224C2" w:rsidRPr="00295E71" w14:paraId="2568666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917" w:author="AbbVie14" w:date="2025-05-09T10:50:00Z"/>
          <w:b/>
          <w:bCs/>
          <w:sz w:val="22"/>
          <w:szCs w:val="22"/>
        </w:rPr>
      </w:pPr>
      <w:del w:id="13918" w:author="AbbVie14" w:date="2025-05-09T10:50:00Z">
        <w:r w:rsidRPr="00295E71">
          <w:rPr>
            <w:b/>
            <w:bCs/>
            <w:sz w:val="22"/>
            <w:szCs w:val="22"/>
          </w:rPr>
          <w:delText>4.</w:delText>
        </w:r>
      </w:del>
      <w:del w:id="13919" w:author="AbbVie14" w:date="2025-05-09T10:50:00Z">
        <w:r w:rsidRPr="00295E71">
          <w:rPr>
            <w:b/>
            <w:bCs/>
            <w:sz w:val="22"/>
            <w:szCs w:val="22"/>
          </w:rPr>
          <w:tab/>
          <w:delText>NUMERO DI LOTTO</w:delText>
        </w:r>
      </w:del>
    </w:p>
    <w:p w:rsidR="006224C2" w:rsidRPr="00295E71" w14:paraId="312D31F2" w14:textId="77777777">
      <w:pPr>
        <w:tabs>
          <w:tab w:val="left" w:pos="567"/>
        </w:tabs>
        <w:ind w:left="540" w:hanging="540"/>
        <w:rPr>
          <w:del w:id="13920" w:author="AbbVie14" w:date="2025-05-09T10:50:00Z"/>
          <w:sz w:val="22"/>
          <w:szCs w:val="22"/>
        </w:rPr>
      </w:pPr>
    </w:p>
    <w:p w:rsidR="006224C2" w:rsidRPr="00295E71" w14:paraId="2DE1D10E" w14:textId="77777777">
      <w:pPr>
        <w:tabs>
          <w:tab w:val="left" w:pos="567"/>
        </w:tabs>
        <w:ind w:left="540" w:hanging="540"/>
        <w:rPr>
          <w:del w:id="13921" w:author="AbbVie14" w:date="2025-05-09T10:50:00Z"/>
          <w:sz w:val="22"/>
          <w:szCs w:val="22"/>
        </w:rPr>
      </w:pPr>
      <w:del w:id="13922" w:author="AbbVie14" w:date="2025-05-09T10:50:00Z">
        <w:r w:rsidRPr="00295E71">
          <w:rPr>
            <w:sz w:val="22"/>
            <w:szCs w:val="22"/>
          </w:rPr>
          <w:delText xml:space="preserve">Lotto </w:delText>
        </w:r>
      </w:del>
    </w:p>
    <w:p w:rsidR="006224C2" w:rsidRPr="00295E71" w14:paraId="4B1DCC25" w14:textId="77777777">
      <w:pPr>
        <w:tabs>
          <w:tab w:val="left" w:pos="567"/>
        </w:tabs>
        <w:ind w:left="540" w:right="113" w:hanging="540"/>
        <w:rPr>
          <w:del w:id="13923" w:author="AbbVie14" w:date="2025-05-09T10:50:00Z"/>
          <w:sz w:val="22"/>
          <w:szCs w:val="22"/>
        </w:rPr>
      </w:pPr>
    </w:p>
    <w:p w:rsidR="006224C2" w:rsidRPr="00295E71" w14:paraId="512D7AE9" w14:textId="77777777">
      <w:pPr>
        <w:tabs>
          <w:tab w:val="left" w:pos="567"/>
        </w:tabs>
        <w:ind w:left="540" w:right="113" w:hanging="540"/>
        <w:rPr>
          <w:del w:id="13924" w:author="AbbVie14" w:date="2025-05-09T10:50:00Z"/>
          <w:sz w:val="22"/>
          <w:szCs w:val="22"/>
        </w:rPr>
      </w:pPr>
    </w:p>
    <w:p w:rsidR="006224C2" w:rsidRPr="00295E71" w14:paraId="58D123D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925" w:author="AbbVie14" w:date="2025-05-09T10:50:00Z"/>
          <w:b/>
          <w:bCs/>
          <w:sz w:val="22"/>
          <w:szCs w:val="22"/>
        </w:rPr>
      </w:pPr>
      <w:del w:id="13926" w:author="AbbVie14" w:date="2025-05-09T10:50:00Z">
        <w:r w:rsidRPr="00295E71">
          <w:rPr>
            <w:b/>
            <w:bCs/>
            <w:sz w:val="22"/>
            <w:szCs w:val="22"/>
          </w:rPr>
          <w:delText>5.</w:delText>
        </w:r>
      </w:del>
      <w:del w:id="13927" w:author="AbbVie14" w:date="2025-05-09T10:50:00Z">
        <w:r w:rsidRPr="00295E71">
          <w:rPr>
            <w:b/>
            <w:bCs/>
            <w:sz w:val="22"/>
            <w:szCs w:val="22"/>
          </w:rPr>
          <w:tab/>
          <w:delText>CONTENUTO IN PESO, VOLUME O UNITA’</w:delText>
        </w:r>
      </w:del>
    </w:p>
    <w:p w:rsidR="006224C2" w:rsidRPr="00295E71" w14:paraId="6A580DB2" w14:textId="77777777">
      <w:pPr>
        <w:tabs>
          <w:tab w:val="left" w:pos="567"/>
        </w:tabs>
        <w:ind w:left="540" w:hanging="540"/>
        <w:rPr>
          <w:del w:id="13928" w:author="AbbVie14" w:date="2025-05-09T10:50:00Z"/>
          <w:sz w:val="22"/>
          <w:szCs w:val="22"/>
        </w:rPr>
      </w:pPr>
    </w:p>
    <w:p w:rsidR="006224C2" w:rsidRPr="00295E71" w14:paraId="4F1260C5" w14:textId="77777777">
      <w:pPr>
        <w:tabs>
          <w:tab w:val="left" w:pos="567"/>
        </w:tabs>
        <w:ind w:left="540" w:hanging="540"/>
        <w:rPr>
          <w:del w:id="13929" w:author="AbbVie14" w:date="2025-05-09T10:50:00Z"/>
          <w:sz w:val="22"/>
          <w:szCs w:val="22"/>
        </w:rPr>
      </w:pPr>
      <w:del w:id="13930" w:author="AbbVie14" w:date="2025-05-09T10:50:00Z">
        <w:r w:rsidRPr="00295E71">
          <w:rPr>
            <w:sz w:val="22"/>
            <w:szCs w:val="22"/>
          </w:rPr>
          <w:delText>40 mg/0,8 ml</w:delText>
        </w:r>
      </w:del>
    </w:p>
    <w:p w:rsidR="006224C2" w:rsidRPr="00295E71" w14:paraId="0F17501E" w14:textId="77777777">
      <w:pPr>
        <w:tabs>
          <w:tab w:val="left" w:pos="567"/>
        </w:tabs>
        <w:ind w:left="540" w:hanging="540"/>
        <w:rPr>
          <w:del w:id="13931" w:author="AbbVie14" w:date="2025-05-09T10:50:00Z"/>
          <w:sz w:val="22"/>
          <w:szCs w:val="22"/>
        </w:rPr>
      </w:pPr>
    </w:p>
    <w:p w:rsidR="006224C2" w:rsidRPr="00295E71" w14:paraId="0C694D9E" w14:textId="77777777">
      <w:pPr>
        <w:tabs>
          <w:tab w:val="left" w:pos="567"/>
        </w:tabs>
        <w:ind w:left="540" w:hanging="540"/>
        <w:rPr>
          <w:del w:id="13932" w:author="AbbVie14" w:date="2025-05-09T10:50:00Z"/>
          <w:b/>
          <w:bCs/>
          <w:sz w:val="22"/>
          <w:szCs w:val="22"/>
          <w:u w:val="single"/>
        </w:rPr>
      </w:pPr>
    </w:p>
    <w:p w:rsidR="006224C2" w:rsidRPr="00295E71" w14:paraId="3ED35B2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933" w:author="AbbVie14" w:date="2025-05-09T10:50:00Z"/>
          <w:b/>
          <w:bCs/>
          <w:sz w:val="22"/>
          <w:szCs w:val="22"/>
          <w:u w:val="single"/>
        </w:rPr>
      </w:pPr>
      <w:del w:id="13934" w:author="AbbVie14" w:date="2025-05-09T10:50:00Z">
        <w:r w:rsidRPr="00295E71">
          <w:rPr>
            <w:b/>
            <w:bCs/>
            <w:sz w:val="22"/>
            <w:szCs w:val="22"/>
          </w:rPr>
          <w:delText>6.</w:delText>
        </w:r>
      </w:del>
      <w:del w:id="13935" w:author="AbbVie14" w:date="2025-05-09T10:50:00Z">
        <w:r w:rsidRPr="00295E71">
          <w:rPr>
            <w:b/>
            <w:bCs/>
            <w:sz w:val="22"/>
            <w:szCs w:val="22"/>
          </w:rPr>
          <w:tab/>
          <w:delText>ALTRO</w:delText>
        </w:r>
      </w:del>
    </w:p>
    <w:p w:rsidR="006224C2" w:rsidRPr="00295E71" w14:paraId="4D5C95D9" w14:textId="77777777">
      <w:pPr>
        <w:tabs>
          <w:tab w:val="left" w:pos="567"/>
        </w:tabs>
        <w:ind w:left="540" w:hanging="540"/>
        <w:rPr>
          <w:del w:id="13936" w:author="AbbVie14" w:date="2025-05-09T10:50:00Z"/>
          <w:b/>
          <w:bCs/>
          <w:sz w:val="22"/>
          <w:szCs w:val="22"/>
          <w:u w:val="single"/>
        </w:rPr>
      </w:pPr>
    </w:p>
    <w:p w:rsidR="006224C2" w:rsidRPr="00295E71" w14:paraId="73ED85E3" w14:textId="77777777">
      <w:pPr>
        <w:tabs>
          <w:tab w:val="left" w:pos="567"/>
        </w:tabs>
        <w:ind w:left="540" w:hanging="540"/>
        <w:rPr>
          <w:del w:id="13937" w:author="AbbVie14" w:date="2025-05-09T10:50:00Z"/>
          <w:b/>
          <w:bCs/>
          <w:sz w:val="22"/>
          <w:szCs w:val="22"/>
          <w:u w:val="single"/>
        </w:rPr>
      </w:pPr>
    </w:p>
    <w:p w:rsidR="006224C2" w:rsidRPr="00295E71" w14:paraId="7A36506B" w14:textId="77777777">
      <w:pPr>
        <w:tabs>
          <w:tab w:val="left" w:pos="567"/>
        </w:tabs>
        <w:rPr>
          <w:del w:id="13938" w:author="AbbVie14" w:date="2025-05-09T10:50:00Z"/>
          <w:sz w:val="22"/>
          <w:szCs w:val="22"/>
        </w:rPr>
      </w:pPr>
      <w:del w:id="13939" w:author="AbbVie14" w:date="2025-05-09T10:50:00Z">
        <w:r w:rsidRPr="00295E71">
          <w:rPr>
            <w:sz w:val="22"/>
            <w:szCs w:val="22"/>
          </w:rPr>
          <w:br w:type="page"/>
        </w:r>
      </w:del>
    </w:p>
    <w:p w:rsidR="006224C2" w:rsidRPr="00295E71" w14:paraId="10B81BED" w14:textId="77777777">
      <w:pPr>
        <w:pBdr>
          <w:top w:val="single" w:sz="4" w:space="1" w:color="auto"/>
          <w:left w:val="single" w:sz="4" w:space="4" w:color="auto"/>
          <w:bottom w:val="single" w:sz="4" w:space="1" w:color="auto"/>
          <w:right w:val="single" w:sz="4" w:space="4" w:color="auto"/>
        </w:pBdr>
        <w:tabs>
          <w:tab w:val="left" w:pos="567"/>
        </w:tabs>
        <w:jc w:val="both"/>
        <w:rPr>
          <w:del w:id="13940" w:author="AbbVie14" w:date="2025-05-09T10:50:00Z"/>
          <w:b/>
          <w:bCs/>
          <w:sz w:val="22"/>
          <w:szCs w:val="22"/>
        </w:rPr>
      </w:pPr>
      <w:del w:id="13941" w:author="AbbVie14" w:date="2025-05-09T10:50:00Z">
        <w:r w:rsidRPr="00295E71">
          <w:rPr>
            <w:b/>
            <w:bCs/>
            <w:sz w:val="22"/>
            <w:szCs w:val="22"/>
          </w:rPr>
          <w:delText>INFORMAZIONI DA APPORRE SUL CONFEZIONAMENTO SECONDARIO O, IN SUA ASSENZA, SUL CONFEZIONAMENTO PRIMARIO</w:delText>
        </w:r>
      </w:del>
    </w:p>
    <w:p w:rsidR="006224C2" w:rsidRPr="00295E71" w14:paraId="0213FABD" w14:textId="77777777">
      <w:pPr>
        <w:pBdr>
          <w:top w:val="single" w:sz="4" w:space="1" w:color="auto"/>
          <w:left w:val="single" w:sz="4" w:space="4" w:color="auto"/>
          <w:bottom w:val="single" w:sz="4" w:space="1" w:color="auto"/>
          <w:right w:val="single" w:sz="4" w:space="4" w:color="auto"/>
        </w:pBdr>
        <w:tabs>
          <w:tab w:val="left" w:pos="567"/>
        </w:tabs>
        <w:jc w:val="both"/>
        <w:rPr>
          <w:del w:id="13942" w:author="AbbVie14" w:date="2025-05-09T10:50:00Z"/>
          <w:b/>
          <w:bCs/>
          <w:caps/>
          <w:sz w:val="22"/>
          <w:szCs w:val="22"/>
        </w:rPr>
      </w:pPr>
    </w:p>
    <w:p w:rsidR="006224C2" w:rsidRPr="00295E71" w14:paraId="5386DB82" w14:textId="77777777">
      <w:pPr>
        <w:pBdr>
          <w:top w:val="single" w:sz="4" w:space="1" w:color="auto"/>
          <w:left w:val="single" w:sz="4" w:space="4" w:color="auto"/>
          <w:bottom w:val="single" w:sz="4" w:space="1" w:color="auto"/>
          <w:right w:val="single" w:sz="4" w:space="4" w:color="auto"/>
        </w:pBdr>
        <w:tabs>
          <w:tab w:val="left" w:pos="567"/>
        </w:tabs>
        <w:jc w:val="both"/>
        <w:rPr>
          <w:del w:id="13943" w:author="AbbVie14" w:date="2025-05-09T10:50:00Z"/>
          <w:b/>
          <w:bCs/>
          <w:caps/>
          <w:sz w:val="22"/>
          <w:szCs w:val="22"/>
        </w:rPr>
      </w:pPr>
      <w:del w:id="13944" w:author="AbbVie14" w:date="2025-05-09T10:50:00Z">
        <w:r w:rsidRPr="00295E71">
          <w:rPr>
            <w:b/>
            <w:bCs/>
            <w:caps/>
            <w:sz w:val="22"/>
            <w:szCs w:val="22"/>
          </w:rPr>
          <w:delText>ASTUCCIO ESTERNO</w:delText>
        </w:r>
      </w:del>
    </w:p>
    <w:p w:rsidR="006224C2" w:rsidRPr="00295E71" w14:paraId="779FE291" w14:textId="77777777">
      <w:pPr>
        <w:tabs>
          <w:tab w:val="left" w:pos="567"/>
        </w:tabs>
        <w:jc w:val="both"/>
        <w:rPr>
          <w:del w:id="13945" w:author="AbbVie14" w:date="2025-05-09T10:50:00Z"/>
          <w:b/>
          <w:bCs/>
          <w:sz w:val="22"/>
          <w:szCs w:val="22"/>
        </w:rPr>
      </w:pPr>
    </w:p>
    <w:p w:rsidR="006224C2" w:rsidRPr="00295E71" w14:paraId="4BC3CB70" w14:textId="77777777">
      <w:pPr>
        <w:tabs>
          <w:tab w:val="left" w:pos="567"/>
        </w:tabs>
        <w:jc w:val="both"/>
        <w:rPr>
          <w:del w:id="13946" w:author="AbbVie14" w:date="2025-05-09T10:50:00Z"/>
          <w:b/>
          <w:bCs/>
          <w:sz w:val="22"/>
          <w:szCs w:val="22"/>
        </w:rPr>
      </w:pPr>
    </w:p>
    <w:p w:rsidR="006224C2" w:rsidRPr="00295E71" w14:paraId="31605DC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947" w:author="AbbVie14" w:date="2025-05-09T10:50:00Z"/>
          <w:b/>
          <w:bCs/>
          <w:sz w:val="22"/>
          <w:szCs w:val="22"/>
        </w:rPr>
      </w:pPr>
      <w:del w:id="13948" w:author="AbbVie14" w:date="2025-05-09T10:50:00Z">
        <w:r w:rsidRPr="00295E71">
          <w:rPr>
            <w:b/>
            <w:bCs/>
            <w:sz w:val="22"/>
            <w:szCs w:val="22"/>
          </w:rPr>
          <w:delText xml:space="preserve">1. </w:delText>
        </w:r>
      </w:del>
      <w:del w:id="13949" w:author="AbbVie14" w:date="2025-05-09T10:50:00Z">
        <w:r w:rsidRPr="00295E71">
          <w:rPr>
            <w:b/>
            <w:bCs/>
            <w:sz w:val="22"/>
            <w:szCs w:val="22"/>
          </w:rPr>
          <w:tab/>
          <w:delText>DENOMINAZIONE DEL MEDICINALE</w:delText>
        </w:r>
      </w:del>
    </w:p>
    <w:p w:rsidR="006224C2" w:rsidRPr="00295E71" w14:paraId="58FA902E" w14:textId="77777777">
      <w:pPr>
        <w:tabs>
          <w:tab w:val="left" w:pos="567"/>
        </w:tabs>
        <w:ind w:left="540" w:hanging="540"/>
        <w:rPr>
          <w:del w:id="13950" w:author="AbbVie14" w:date="2025-05-09T10:50:00Z"/>
          <w:sz w:val="22"/>
          <w:szCs w:val="22"/>
        </w:rPr>
      </w:pPr>
    </w:p>
    <w:p w:rsidR="006224C2" w:rsidRPr="00295E71" w14:paraId="1F7A1C57" w14:textId="77777777">
      <w:pPr>
        <w:pStyle w:val="EndnoteText"/>
        <w:rPr>
          <w:del w:id="13951" w:author="AbbVie14" w:date="2025-05-09T10:50:00Z"/>
          <w:lang w:val="it-IT" w:eastAsia="it-IT"/>
        </w:rPr>
      </w:pPr>
      <w:del w:id="13952" w:author="AbbVie14" w:date="2025-05-09T10:50:00Z">
        <w:r w:rsidRPr="00295E71">
          <w:rPr>
            <w:lang w:val="it-IT" w:eastAsia="it-IT"/>
          </w:rPr>
          <w:delText>Humira 40 mg soluzione iniettabile in siringa</w:delText>
        </w:r>
      </w:del>
      <w:del w:id="13953" w:author="AbbVie14" w:date="2025-05-09T10:50:00Z">
        <w:r w:rsidRPr="00295E71" w:rsidR="00943AE1">
          <w:rPr>
            <w:lang w:val="it-IT" w:eastAsia="it-IT"/>
          </w:rPr>
          <w:delText xml:space="preserve"> </w:delText>
        </w:r>
      </w:del>
      <w:del w:id="13954" w:author="AbbVie14" w:date="2025-05-09T10:50:00Z">
        <w:r w:rsidRPr="00295E71">
          <w:rPr>
            <w:lang w:val="it-IT" w:eastAsia="it-IT"/>
          </w:rPr>
          <w:delText>pre-riempita</w:delText>
        </w:r>
      </w:del>
    </w:p>
    <w:p w:rsidR="006224C2" w:rsidRPr="00295E71" w14:paraId="2A9DF11A" w14:textId="77777777">
      <w:pPr>
        <w:tabs>
          <w:tab w:val="left" w:pos="567"/>
        </w:tabs>
        <w:ind w:left="540" w:hanging="540"/>
        <w:rPr>
          <w:del w:id="13955" w:author="AbbVie14" w:date="2025-05-09T10:50:00Z"/>
          <w:sz w:val="22"/>
          <w:szCs w:val="22"/>
        </w:rPr>
      </w:pPr>
      <w:del w:id="13956" w:author="AbbVie14" w:date="2025-05-09T10:50:00Z">
        <w:r w:rsidRPr="00295E71">
          <w:rPr>
            <w:sz w:val="22"/>
            <w:szCs w:val="22"/>
          </w:rPr>
          <w:delText>adalimumab</w:delText>
        </w:r>
      </w:del>
    </w:p>
    <w:p w:rsidR="006224C2" w:rsidRPr="00295E71" w14:paraId="08372E77" w14:textId="77777777">
      <w:pPr>
        <w:tabs>
          <w:tab w:val="left" w:pos="567"/>
        </w:tabs>
        <w:ind w:left="540" w:hanging="540"/>
        <w:rPr>
          <w:del w:id="13957" w:author="AbbVie14" w:date="2025-05-09T10:50:00Z"/>
          <w:sz w:val="22"/>
          <w:szCs w:val="22"/>
        </w:rPr>
      </w:pPr>
    </w:p>
    <w:p w:rsidR="006224C2" w:rsidRPr="00295E71" w14:paraId="47FE51AA" w14:textId="77777777">
      <w:pPr>
        <w:tabs>
          <w:tab w:val="left" w:pos="567"/>
        </w:tabs>
        <w:ind w:left="540" w:hanging="540"/>
        <w:rPr>
          <w:del w:id="13958" w:author="AbbVie14" w:date="2025-05-09T10:50:00Z"/>
          <w:sz w:val="22"/>
          <w:szCs w:val="22"/>
        </w:rPr>
      </w:pPr>
    </w:p>
    <w:p w:rsidR="006224C2" w:rsidRPr="00295E71" w14:paraId="028FB6B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959" w:author="AbbVie14" w:date="2025-05-09T10:50:00Z"/>
          <w:b/>
          <w:bCs/>
          <w:sz w:val="22"/>
          <w:szCs w:val="22"/>
        </w:rPr>
      </w:pPr>
      <w:del w:id="13960" w:author="AbbVie14" w:date="2025-05-09T10:50:00Z">
        <w:r w:rsidRPr="00295E71">
          <w:rPr>
            <w:b/>
            <w:bCs/>
            <w:sz w:val="22"/>
            <w:szCs w:val="22"/>
          </w:rPr>
          <w:delText xml:space="preserve">2. </w:delText>
        </w:r>
      </w:del>
      <w:del w:id="13961" w:author="AbbVie14" w:date="2025-05-09T10:50:00Z">
        <w:r w:rsidRPr="00295E71">
          <w:rPr>
            <w:b/>
            <w:bCs/>
            <w:sz w:val="22"/>
            <w:szCs w:val="22"/>
          </w:rPr>
          <w:tab/>
          <w:delText>COMPOSIZIONE QUALITATIVA E QUANTITATIVA IN TERMINI DI PRINCIPIO ATTIVO</w:delText>
        </w:r>
      </w:del>
    </w:p>
    <w:p w:rsidR="006224C2" w:rsidRPr="00295E71" w14:paraId="5E611053" w14:textId="77777777">
      <w:pPr>
        <w:tabs>
          <w:tab w:val="left" w:pos="567"/>
        </w:tabs>
        <w:ind w:left="540" w:hanging="540"/>
        <w:rPr>
          <w:del w:id="13962" w:author="AbbVie14" w:date="2025-05-09T10:50:00Z"/>
          <w:sz w:val="22"/>
          <w:szCs w:val="22"/>
        </w:rPr>
      </w:pPr>
    </w:p>
    <w:p w:rsidR="006224C2" w:rsidRPr="00295E71" w14:paraId="4CBC2070" w14:textId="77777777">
      <w:pPr>
        <w:tabs>
          <w:tab w:val="left" w:pos="567"/>
        </w:tabs>
        <w:rPr>
          <w:del w:id="13963" w:author="AbbVie14" w:date="2025-05-09T10:50:00Z"/>
          <w:sz w:val="22"/>
          <w:szCs w:val="22"/>
        </w:rPr>
      </w:pPr>
      <w:del w:id="13964" w:author="AbbVie14" w:date="2025-05-09T10:50:00Z">
        <w:r w:rsidRPr="00295E71">
          <w:rPr>
            <w:sz w:val="22"/>
            <w:szCs w:val="22"/>
          </w:rPr>
          <w:delText>Una siringa pre-riempita da 0,8 ml con dispositivo di sicurezza per l’ago contiene 40 mg di adalimumab</w:delText>
        </w:r>
      </w:del>
    </w:p>
    <w:p w:rsidR="006224C2" w:rsidRPr="00295E71" w14:paraId="683542D3" w14:textId="77777777">
      <w:pPr>
        <w:tabs>
          <w:tab w:val="left" w:pos="567"/>
        </w:tabs>
        <w:ind w:left="540" w:hanging="540"/>
        <w:rPr>
          <w:del w:id="13965" w:author="AbbVie14" w:date="2025-05-09T10:50:00Z"/>
          <w:sz w:val="22"/>
          <w:szCs w:val="22"/>
        </w:rPr>
      </w:pPr>
    </w:p>
    <w:p w:rsidR="006224C2" w:rsidRPr="00295E71" w14:paraId="5E518632" w14:textId="77777777">
      <w:pPr>
        <w:tabs>
          <w:tab w:val="left" w:pos="567"/>
        </w:tabs>
        <w:ind w:left="540" w:hanging="540"/>
        <w:rPr>
          <w:del w:id="13966" w:author="AbbVie14" w:date="2025-05-09T10:50:00Z"/>
          <w:sz w:val="22"/>
          <w:szCs w:val="22"/>
        </w:rPr>
      </w:pPr>
    </w:p>
    <w:p w:rsidR="006224C2" w:rsidRPr="00295E71" w14:paraId="78961B6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967" w:author="AbbVie14" w:date="2025-05-09T10:50:00Z"/>
          <w:sz w:val="22"/>
          <w:szCs w:val="22"/>
        </w:rPr>
      </w:pPr>
      <w:del w:id="13968" w:author="AbbVie14" w:date="2025-05-09T10:50:00Z">
        <w:r w:rsidRPr="00295E71">
          <w:rPr>
            <w:b/>
            <w:bCs/>
            <w:sz w:val="22"/>
            <w:szCs w:val="22"/>
          </w:rPr>
          <w:delText xml:space="preserve">3. </w:delText>
        </w:r>
      </w:del>
      <w:del w:id="13969" w:author="AbbVie14" w:date="2025-05-09T10:50:00Z">
        <w:r w:rsidRPr="00295E71">
          <w:rPr>
            <w:b/>
            <w:bCs/>
            <w:sz w:val="22"/>
            <w:szCs w:val="22"/>
          </w:rPr>
          <w:tab/>
          <w:delText>ELENCO DEGLI ECCIPIENTI</w:delText>
        </w:r>
      </w:del>
    </w:p>
    <w:p w:rsidR="006224C2" w:rsidRPr="00295E71" w14:paraId="31A7410D" w14:textId="77777777">
      <w:pPr>
        <w:tabs>
          <w:tab w:val="left" w:pos="567"/>
        </w:tabs>
        <w:rPr>
          <w:del w:id="13970" w:author="AbbVie14" w:date="2025-05-09T10:50:00Z"/>
          <w:sz w:val="22"/>
          <w:szCs w:val="22"/>
        </w:rPr>
      </w:pPr>
    </w:p>
    <w:p w:rsidR="006224C2" w:rsidRPr="00295E71" w14:paraId="78774D63" w14:textId="77777777">
      <w:pPr>
        <w:pStyle w:val="EMEAFigureTitle"/>
        <w:suppressAutoHyphens w:val="0"/>
        <w:autoSpaceDE w:val="0"/>
        <w:autoSpaceDN w:val="0"/>
        <w:adjustRightInd w:val="0"/>
        <w:rPr>
          <w:del w:id="13971" w:author="AbbVie14" w:date="2025-05-09T10:50:00Z"/>
          <w:lang w:val="it-IT" w:eastAsia="it-IT"/>
        </w:rPr>
      </w:pPr>
      <w:del w:id="13972" w:author="AbbVie14" w:date="2025-05-09T10:50:00Z">
        <w:r w:rsidRPr="00295E71">
          <w:rPr>
            <w:lang w:val="it-IT" w:eastAsia="it-IT"/>
          </w:rPr>
          <w:delText>Eccipienti: mannitolo, acido citrico monoidrato, sodio citrato, sodio fosfato monobasico diidrato, sodio fosfato dibasico diidrato, sodio cloruro, polisorbato 80, sodio idrossido e acqua per preparazioni iniettabili. Per ulteriori informazioni vedere il foglio illustrativo.</w:delText>
        </w:r>
      </w:del>
    </w:p>
    <w:p w:rsidR="006224C2" w:rsidRPr="00295E71" w14:paraId="13E0BB9D" w14:textId="77777777">
      <w:pPr>
        <w:tabs>
          <w:tab w:val="left" w:pos="567"/>
        </w:tabs>
        <w:ind w:left="540" w:hanging="540"/>
        <w:rPr>
          <w:del w:id="13973" w:author="AbbVie14" w:date="2025-05-09T10:50:00Z"/>
          <w:sz w:val="22"/>
          <w:szCs w:val="22"/>
        </w:rPr>
      </w:pPr>
    </w:p>
    <w:p w:rsidR="006224C2" w:rsidRPr="00295E71" w14:paraId="2F8A3833" w14:textId="77777777">
      <w:pPr>
        <w:tabs>
          <w:tab w:val="left" w:pos="567"/>
        </w:tabs>
        <w:ind w:left="540" w:hanging="540"/>
        <w:rPr>
          <w:del w:id="13974" w:author="AbbVie14" w:date="2025-05-09T10:50:00Z"/>
          <w:sz w:val="22"/>
          <w:szCs w:val="22"/>
        </w:rPr>
      </w:pPr>
    </w:p>
    <w:p w:rsidR="006224C2" w:rsidRPr="00295E71" w14:paraId="649ABEE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975" w:author="AbbVie14" w:date="2025-05-09T10:50:00Z"/>
          <w:sz w:val="22"/>
          <w:szCs w:val="22"/>
        </w:rPr>
      </w:pPr>
      <w:del w:id="13976" w:author="AbbVie14" w:date="2025-05-09T10:50:00Z">
        <w:r w:rsidRPr="00295E71">
          <w:rPr>
            <w:b/>
            <w:bCs/>
            <w:sz w:val="22"/>
            <w:szCs w:val="22"/>
          </w:rPr>
          <w:delText xml:space="preserve">4. </w:delText>
        </w:r>
      </w:del>
      <w:del w:id="13977" w:author="AbbVie14" w:date="2025-05-09T10:50:00Z">
        <w:r w:rsidRPr="00295E71">
          <w:rPr>
            <w:b/>
            <w:bCs/>
            <w:sz w:val="22"/>
            <w:szCs w:val="22"/>
          </w:rPr>
          <w:tab/>
          <w:delText>FORMA FARMACEUTICA E CONTENUTO</w:delText>
        </w:r>
      </w:del>
      <w:del w:id="13978" w:author="AbbVie14" w:date="2025-05-09T10:50:00Z">
        <w:r w:rsidRPr="00295E71">
          <w:rPr>
            <w:b/>
            <w:bCs/>
            <w:sz w:val="22"/>
            <w:szCs w:val="22"/>
          </w:rPr>
          <w:tab/>
        </w:r>
      </w:del>
    </w:p>
    <w:p w:rsidR="006224C2" w:rsidRPr="00295E71" w14:paraId="1F9AEE4D" w14:textId="77777777">
      <w:pPr>
        <w:tabs>
          <w:tab w:val="left" w:pos="567"/>
        </w:tabs>
        <w:ind w:left="540" w:hanging="540"/>
        <w:rPr>
          <w:del w:id="13979" w:author="AbbVie14" w:date="2025-05-09T10:50:00Z"/>
          <w:sz w:val="22"/>
          <w:szCs w:val="22"/>
        </w:rPr>
      </w:pPr>
    </w:p>
    <w:p w:rsidR="001A0443" w:rsidRPr="00295E71" w14:paraId="15B4CAE7" w14:textId="77777777">
      <w:pPr>
        <w:tabs>
          <w:tab w:val="left" w:pos="567"/>
        </w:tabs>
        <w:ind w:left="540" w:hanging="540"/>
        <w:rPr>
          <w:del w:id="13980" w:author="AbbVie14" w:date="2025-05-09T10:50:00Z"/>
          <w:sz w:val="22"/>
          <w:szCs w:val="22"/>
        </w:rPr>
      </w:pPr>
      <w:del w:id="13981" w:author="AbbVie14" w:date="2025-05-09T10:50:00Z">
        <w:r w:rsidRPr="00295E71">
          <w:rPr>
            <w:sz w:val="22"/>
            <w:szCs w:val="22"/>
            <w:highlight w:val="lightGray"/>
          </w:rPr>
          <w:delText>Soluzione iniettabile</w:delText>
        </w:r>
      </w:del>
      <w:del w:id="13982" w:author="AbbVie14" w:date="2025-05-09T10:50:00Z">
        <w:r w:rsidRPr="00295E71">
          <w:rPr>
            <w:sz w:val="22"/>
            <w:szCs w:val="22"/>
          </w:rPr>
          <w:delText xml:space="preserve"> </w:delText>
        </w:r>
      </w:del>
    </w:p>
    <w:p w:rsidR="006224C2" w:rsidRPr="00295E71" w14:paraId="53D8CBF8" w14:textId="77777777">
      <w:pPr>
        <w:tabs>
          <w:tab w:val="left" w:pos="567"/>
        </w:tabs>
        <w:ind w:left="540" w:hanging="540"/>
        <w:rPr>
          <w:del w:id="13983" w:author="AbbVie14" w:date="2025-05-09T10:50:00Z"/>
          <w:sz w:val="22"/>
          <w:szCs w:val="22"/>
        </w:rPr>
      </w:pPr>
      <w:del w:id="13984" w:author="AbbVie14" w:date="2025-05-09T10:50:00Z">
        <w:r w:rsidRPr="00295E71">
          <w:rPr>
            <w:sz w:val="22"/>
            <w:szCs w:val="22"/>
          </w:rPr>
          <w:delText>1 siringa pre-riempita</w:delText>
        </w:r>
      </w:del>
    </w:p>
    <w:p w:rsidR="006224C2" w:rsidRPr="00295E71" w14:paraId="3F15D0F2" w14:textId="77777777">
      <w:pPr>
        <w:tabs>
          <w:tab w:val="left" w:pos="567"/>
        </w:tabs>
        <w:ind w:left="540" w:hanging="540"/>
        <w:rPr>
          <w:del w:id="13985" w:author="AbbVie14" w:date="2025-05-09T10:50:00Z"/>
          <w:i/>
          <w:iCs/>
          <w:sz w:val="22"/>
          <w:szCs w:val="22"/>
        </w:rPr>
      </w:pPr>
      <w:del w:id="13986" w:author="AbbVie14" w:date="2025-05-09T10:50:00Z">
        <w:r w:rsidRPr="00295E71">
          <w:rPr>
            <w:sz w:val="22"/>
            <w:szCs w:val="22"/>
          </w:rPr>
          <w:delText>1 tampone imbevuto di alcool</w:delText>
        </w:r>
      </w:del>
    </w:p>
    <w:p w:rsidR="006224C2" w:rsidRPr="00295E71" w14:paraId="42FDA450" w14:textId="77777777">
      <w:pPr>
        <w:tabs>
          <w:tab w:val="left" w:pos="567"/>
        </w:tabs>
        <w:rPr>
          <w:del w:id="13987" w:author="AbbVie14" w:date="2025-05-09T10:50:00Z"/>
          <w:color w:val="000000"/>
          <w:sz w:val="22"/>
          <w:szCs w:val="22"/>
          <w:u w:val="single"/>
        </w:rPr>
      </w:pPr>
    </w:p>
    <w:p w:rsidR="006224C2" w:rsidRPr="00295E71" w14:paraId="17956715" w14:textId="77777777">
      <w:pPr>
        <w:tabs>
          <w:tab w:val="left" w:pos="567"/>
        </w:tabs>
        <w:rPr>
          <w:del w:id="13988" w:author="AbbVie14" w:date="2025-05-09T10:50:00Z"/>
          <w:color w:val="000000"/>
          <w:sz w:val="22"/>
          <w:szCs w:val="22"/>
          <w:u w:val="single"/>
        </w:rPr>
      </w:pPr>
    </w:p>
    <w:p w:rsidR="006224C2" w:rsidRPr="00295E71" w14:paraId="59A0582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3989" w:author="AbbVie14" w:date="2025-05-09T10:50:00Z"/>
          <w:sz w:val="22"/>
          <w:szCs w:val="22"/>
        </w:rPr>
      </w:pPr>
      <w:del w:id="13990" w:author="AbbVie14" w:date="2025-05-09T10:50:00Z">
        <w:r w:rsidRPr="00295E71">
          <w:rPr>
            <w:b/>
            <w:bCs/>
            <w:sz w:val="22"/>
            <w:szCs w:val="22"/>
          </w:rPr>
          <w:delText xml:space="preserve">5. </w:delText>
        </w:r>
      </w:del>
      <w:del w:id="13991" w:author="AbbVie14" w:date="2025-05-09T10:50:00Z">
        <w:r w:rsidRPr="00295E71">
          <w:rPr>
            <w:b/>
            <w:bCs/>
            <w:sz w:val="22"/>
            <w:szCs w:val="22"/>
          </w:rPr>
          <w:tab/>
          <w:delText>MODO E VIA DI SOMMINISTRAZIONE</w:delText>
        </w:r>
      </w:del>
    </w:p>
    <w:p w:rsidR="006224C2" w:rsidRPr="00295E71" w14:paraId="7763EED1" w14:textId="77777777">
      <w:pPr>
        <w:tabs>
          <w:tab w:val="left" w:pos="567"/>
        </w:tabs>
        <w:ind w:left="540" w:hanging="540"/>
        <w:rPr>
          <w:del w:id="13992" w:author="AbbVie14" w:date="2025-05-09T10:50:00Z"/>
          <w:sz w:val="22"/>
          <w:szCs w:val="22"/>
        </w:rPr>
      </w:pPr>
    </w:p>
    <w:p w:rsidR="006224C2" w:rsidRPr="00295E71" w14:paraId="4FCDCFC5" w14:textId="77777777">
      <w:pPr>
        <w:tabs>
          <w:tab w:val="left" w:pos="567"/>
        </w:tabs>
        <w:ind w:left="540" w:hanging="540"/>
        <w:rPr>
          <w:del w:id="13993" w:author="AbbVie14" w:date="2025-05-09T10:50:00Z"/>
          <w:sz w:val="22"/>
          <w:szCs w:val="22"/>
        </w:rPr>
      </w:pPr>
      <w:del w:id="13994" w:author="AbbVie14" w:date="2025-05-09T10:50:00Z">
        <w:r w:rsidRPr="00295E71">
          <w:rPr>
            <w:sz w:val="22"/>
            <w:szCs w:val="22"/>
          </w:rPr>
          <w:delText>Uso sottocutaneo</w:delText>
        </w:r>
      </w:del>
    </w:p>
    <w:p w:rsidR="006224C2" w:rsidRPr="00295E71" w14:paraId="25A89E8C" w14:textId="77777777">
      <w:pPr>
        <w:tabs>
          <w:tab w:val="left" w:pos="567"/>
        </w:tabs>
        <w:ind w:left="540" w:hanging="540"/>
        <w:rPr>
          <w:del w:id="13995" w:author="AbbVie14" w:date="2025-05-09T10:50:00Z"/>
          <w:sz w:val="22"/>
          <w:szCs w:val="22"/>
        </w:rPr>
      </w:pPr>
    </w:p>
    <w:p w:rsidR="006224C2" w:rsidRPr="00295E71" w14:paraId="50D71C80" w14:textId="77777777">
      <w:pPr>
        <w:tabs>
          <w:tab w:val="left" w:pos="567"/>
        </w:tabs>
        <w:ind w:left="540" w:hanging="540"/>
        <w:rPr>
          <w:del w:id="13996" w:author="AbbVie14" w:date="2025-05-09T10:50:00Z"/>
          <w:sz w:val="22"/>
          <w:szCs w:val="22"/>
        </w:rPr>
      </w:pPr>
      <w:del w:id="13997" w:author="AbbVie14" w:date="2025-05-09T10:50:00Z">
        <w:r w:rsidRPr="00295E71">
          <w:rPr>
            <w:sz w:val="22"/>
            <w:szCs w:val="22"/>
          </w:rPr>
          <w:delText>Leggere il foglio illustrativo prima dell'uso.</w:delText>
        </w:r>
      </w:del>
    </w:p>
    <w:p w:rsidR="006224C2" w:rsidRPr="00295E71" w14:paraId="676D4AD1" w14:textId="77777777">
      <w:pPr>
        <w:tabs>
          <w:tab w:val="left" w:pos="567"/>
        </w:tabs>
        <w:ind w:left="540" w:hanging="540"/>
        <w:rPr>
          <w:del w:id="13998" w:author="AbbVie14" w:date="2025-05-09T10:50:00Z"/>
          <w:sz w:val="22"/>
          <w:szCs w:val="22"/>
        </w:rPr>
      </w:pPr>
    </w:p>
    <w:p w:rsidR="00051655" w:rsidRPr="00295E71" w14:paraId="66DC187A" w14:textId="77777777">
      <w:pPr>
        <w:tabs>
          <w:tab w:val="left" w:pos="567"/>
        </w:tabs>
        <w:ind w:left="540" w:hanging="540"/>
        <w:rPr>
          <w:del w:id="13999" w:author="AbbVie14" w:date="2025-05-09T10:50:00Z"/>
          <w:sz w:val="22"/>
          <w:szCs w:val="22"/>
        </w:rPr>
      </w:pPr>
      <w:del w:id="14000" w:author="AbbVie14" w:date="2025-05-09T10:50:00Z">
        <w:r w:rsidRPr="00295E71">
          <w:rPr>
            <w:sz w:val="22"/>
            <w:szCs w:val="22"/>
          </w:rPr>
          <w:delText>Esclusi</w:delText>
        </w:r>
      </w:del>
      <w:del w:id="14001" w:author="AbbVie14" w:date="2025-05-09T10:50:00Z">
        <w:r w:rsidRPr="00295E71" w:rsidR="00943AE1">
          <w:rPr>
            <w:sz w:val="22"/>
            <w:szCs w:val="22"/>
          </w:rPr>
          <w:delText>v</w:delText>
        </w:r>
      </w:del>
      <w:del w:id="14002" w:author="AbbVie14" w:date="2025-05-09T10:50:00Z">
        <w:r w:rsidRPr="00295E71">
          <w:rPr>
            <w:sz w:val="22"/>
            <w:szCs w:val="22"/>
          </w:rPr>
          <w:delText>amente monouso.</w:delText>
        </w:r>
      </w:del>
    </w:p>
    <w:p w:rsidR="00051655" w:rsidRPr="00295E71" w14:paraId="24A3F762" w14:textId="77777777">
      <w:pPr>
        <w:tabs>
          <w:tab w:val="left" w:pos="567"/>
        </w:tabs>
        <w:ind w:left="540" w:hanging="540"/>
        <w:rPr>
          <w:del w:id="14003" w:author="AbbVie14" w:date="2025-05-09T10:50:00Z"/>
          <w:sz w:val="22"/>
          <w:szCs w:val="22"/>
        </w:rPr>
      </w:pPr>
    </w:p>
    <w:p w:rsidR="00051655" w:rsidRPr="00295E71" w14:paraId="41563621" w14:textId="77777777">
      <w:pPr>
        <w:tabs>
          <w:tab w:val="left" w:pos="567"/>
        </w:tabs>
        <w:ind w:left="540" w:hanging="540"/>
        <w:rPr>
          <w:del w:id="14004" w:author="AbbVie14" w:date="2025-05-09T10:50:00Z"/>
          <w:sz w:val="22"/>
          <w:szCs w:val="22"/>
        </w:rPr>
      </w:pPr>
      <w:del w:id="14005" w:author="AbbVie14" w:date="2025-05-09T10:50:00Z">
        <w:r w:rsidRPr="00295E71">
          <w:rPr>
            <w:sz w:val="22"/>
            <w:szCs w:val="22"/>
          </w:rPr>
          <w:delText>Con dispositivo di sicurezza per l’ago</w:delText>
        </w:r>
      </w:del>
    </w:p>
    <w:p w:rsidR="006224C2" w:rsidRPr="00295E71" w14:paraId="23676D6D" w14:textId="77777777">
      <w:pPr>
        <w:tabs>
          <w:tab w:val="left" w:pos="567"/>
        </w:tabs>
        <w:ind w:left="540" w:hanging="540"/>
        <w:rPr>
          <w:del w:id="14006" w:author="AbbVie14" w:date="2025-05-09T10:50:00Z"/>
          <w:sz w:val="22"/>
          <w:szCs w:val="22"/>
        </w:rPr>
      </w:pPr>
    </w:p>
    <w:p w:rsidR="005968CC" w:rsidRPr="00295E71" w14:paraId="51DDB57B" w14:textId="77777777">
      <w:pPr>
        <w:tabs>
          <w:tab w:val="left" w:pos="567"/>
        </w:tabs>
        <w:ind w:left="540" w:hanging="540"/>
        <w:rPr>
          <w:del w:id="14007" w:author="AbbVie14" w:date="2025-05-09T10:50:00Z"/>
          <w:sz w:val="22"/>
          <w:szCs w:val="22"/>
        </w:rPr>
      </w:pPr>
    </w:p>
    <w:p w:rsidR="006224C2" w:rsidRPr="00295E71" w14:paraId="4188031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008" w:author="AbbVie14" w:date="2025-05-09T10:50:00Z"/>
          <w:sz w:val="22"/>
          <w:szCs w:val="22"/>
        </w:rPr>
      </w:pPr>
      <w:del w:id="14009" w:author="AbbVie14" w:date="2025-05-09T10:50:00Z">
        <w:r w:rsidRPr="00295E71">
          <w:rPr>
            <w:b/>
            <w:bCs/>
            <w:sz w:val="22"/>
            <w:szCs w:val="22"/>
          </w:rPr>
          <w:delText xml:space="preserve">6. </w:delText>
        </w:r>
      </w:del>
      <w:del w:id="14010" w:author="AbbVie14" w:date="2025-05-09T10:50:00Z">
        <w:r w:rsidRPr="00295E71">
          <w:rPr>
            <w:b/>
            <w:bCs/>
            <w:sz w:val="22"/>
            <w:szCs w:val="22"/>
          </w:rPr>
          <w:tab/>
          <w:delText>AVVERTENZA PARTICOLARE CHE PRESCRIVA DI TENERE IL MEDICINALE FUORI DALLA VISTA E DALLA PORTATA DEI BAMBINI</w:delText>
        </w:r>
      </w:del>
    </w:p>
    <w:p w:rsidR="006224C2" w:rsidRPr="00295E71" w14:paraId="19EAF67A" w14:textId="77777777">
      <w:pPr>
        <w:tabs>
          <w:tab w:val="left" w:pos="567"/>
        </w:tabs>
        <w:ind w:left="540" w:hanging="540"/>
        <w:rPr>
          <w:del w:id="14011" w:author="AbbVie14" w:date="2025-05-09T10:50:00Z"/>
          <w:sz w:val="22"/>
          <w:szCs w:val="22"/>
        </w:rPr>
      </w:pPr>
    </w:p>
    <w:p w:rsidR="006224C2" w:rsidRPr="00295E71" w14:paraId="65FE627C" w14:textId="77777777">
      <w:pPr>
        <w:tabs>
          <w:tab w:val="left" w:pos="567"/>
        </w:tabs>
        <w:ind w:left="540" w:hanging="540"/>
        <w:rPr>
          <w:del w:id="14012" w:author="AbbVie14" w:date="2025-05-09T10:50:00Z"/>
          <w:sz w:val="22"/>
          <w:szCs w:val="22"/>
        </w:rPr>
      </w:pPr>
      <w:del w:id="14013" w:author="AbbVie14" w:date="2025-05-09T10:50:00Z">
        <w:r w:rsidRPr="00295E71">
          <w:rPr>
            <w:sz w:val="22"/>
            <w:szCs w:val="22"/>
          </w:rPr>
          <w:delText>Tenere fuori dalla vista e dalla portata dei bambini.</w:delText>
        </w:r>
      </w:del>
    </w:p>
    <w:p w:rsidR="006224C2" w:rsidRPr="00295E71" w14:paraId="6B1529C7" w14:textId="77777777">
      <w:pPr>
        <w:tabs>
          <w:tab w:val="left" w:pos="567"/>
        </w:tabs>
        <w:ind w:left="540" w:hanging="540"/>
        <w:rPr>
          <w:del w:id="14014" w:author="AbbVie14" w:date="2025-05-09T10:50:00Z"/>
          <w:sz w:val="22"/>
          <w:szCs w:val="22"/>
        </w:rPr>
      </w:pPr>
    </w:p>
    <w:p w:rsidR="006224C2" w:rsidRPr="00295E71" w14:paraId="25F0A55D" w14:textId="77777777">
      <w:pPr>
        <w:tabs>
          <w:tab w:val="left" w:pos="567"/>
        </w:tabs>
        <w:ind w:left="540" w:hanging="540"/>
        <w:rPr>
          <w:del w:id="14015" w:author="AbbVie14" w:date="2025-05-09T10:50:00Z"/>
          <w:sz w:val="22"/>
          <w:szCs w:val="22"/>
        </w:rPr>
      </w:pPr>
    </w:p>
    <w:p w:rsidR="006224C2" w:rsidRPr="00295E71" w14:paraId="1C04B42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016" w:author="AbbVie14" w:date="2025-05-09T10:50:00Z"/>
          <w:sz w:val="22"/>
          <w:szCs w:val="22"/>
        </w:rPr>
      </w:pPr>
      <w:del w:id="14017" w:author="AbbVie14" w:date="2025-05-09T10:50:00Z">
        <w:r w:rsidRPr="00295E71">
          <w:rPr>
            <w:b/>
            <w:bCs/>
            <w:sz w:val="22"/>
            <w:szCs w:val="22"/>
          </w:rPr>
          <w:delText xml:space="preserve">7. </w:delText>
        </w:r>
      </w:del>
      <w:del w:id="14018" w:author="AbbVie14" w:date="2025-05-09T10:50:00Z">
        <w:r w:rsidRPr="00295E71">
          <w:rPr>
            <w:b/>
            <w:bCs/>
            <w:sz w:val="22"/>
            <w:szCs w:val="22"/>
          </w:rPr>
          <w:tab/>
          <w:delText>ALTRA AVVERTENZA PARTICOLARE, SE NECESSARIO</w:delText>
        </w:r>
      </w:del>
    </w:p>
    <w:p w:rsidR="006224C2" w:rsidRPr="00295E71" w14:paraId="7B8128EA" w14:textId="77777777">
      <w:pPr>
        <w:tabs>
          <w:tab w:val="left" w:pos="567"/>
        </w:tabs>
        <w:ind w:left="540" w:hanging="540"/>
        <w:rPr>
          <w:del w:id="14019" w:author="AbbVie14" w:date="2025-05-09T10:50:00Z"/>
          <w:sz w:val="22"/>
          <w:szCs w:val="22"/>
        </w:rPr>
      </w:pPr>
    </w:p>
    <w:p w:rsidR="006224C2" w:rsidRPr="00295E71" w14:paraId="250BA1E7" w14:textId="77777777">
      <w:pPr>
        <w:tabs>
          <w:tab w:val="left" w:pos="567"/>
        </w:tabs>
        <w:ind w:left="540" w:hanging="540"/>
        <w:rPr>
          <w:del w:id="14020" w:author="AbbVie14" w:date="2025-05-09T10:50:00Z"/>
          <w:sz w:val="22"/>
          <w:szCs w:val="22"/>
        </w:rPr>
      </w:pPr>
    </w:p>
    <w:p w:rsidR="006224C2" w:rsidRPr="00295E71" w14:paraId="4A4EEF5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021" w:author="AbbVie14" w:date="2025-05-09T10:50:00Z"/>
          <w:sz w:val="22"/>
          <w:szCs w:val="22"/>
        </w:rPr>
      </w:pPr>
      <w:del w:id="14022" w:author="AbbVie14" w:date="2025-05-09T10:50:00Z">
        <w:r w:rsidRPr="00295E71">
          <w:rPr>
            <w:b/>
            <w:bCs/>
            <w:sz w:val="22"/>
            <w:szCs w:val="22"/>
          </w:rPr>
          <w:delText xml:space="preserve">8. </w:delText>
        </w:r>
      </w:del>
      <w:del w:id="14023" w:author="AbbVie14" w:date="2025-05-09T10:50:00Z">
        <w:r w:rsidRPr="00295E71">
          <w:rPr>
            <w:b/>
            <w:bCs/>
            <w:sz w:val="22"/>
            <w:szCs w:val="22"/>
          </w:rPr>
          <w:tab/>
          <w:delText>DATA DI SCADENZA</w:delText>
        </w:r>
      </w:del>
    </w:p>
    <w:p w:rsidR="006224C2" w:rsidRPr="00295E71" w14:paraId="51419176" w14:textId="77777777">
      <w:pPr>
        <w:tabs>
          <w:tab w:val="left" w:pos="567"/>
        </w:tabs>
        <w:ind w:left="540" w:hanging="540"/>
        <w:rPr>
          <w:del w:id="14024" w:author="AbbVie14" w:date="2025-05-09T10:50:00Z"/>
          <w:sz w:val="22"/>
          <w:szCs w:val="22"/>
        </w:rPr>
      </w:pPr>
    </w:p>
    <w:p w:rsidR="006224C2" w:rsidRPr="00295E71" w14:paraId="5B762B11" w14:textId="77777777">
      <w:pPr>
        <w:tabs>
          <w:tab w:val="left" w:pos="567"/>
        </w:tabs>
        <w:ind w:left="540" w:hanging="540"/>
        <w:rPr>
          <w:del w:id="14025" w:author="AbbVie14" w:date="2025-05-09T10:50:00Z"/>
          <w:sz w:val="22"/>
          <w:szCs w:val="22"/>
        </w:rPr>
      </w:pPr>
      <w:del w:id="14026" w:author="AbbVie14" w:date="2025-05-09T10:50:00Z">
        <w:r w:rsidRPr="00295E71">
          <w:rPr>
            <w:sz w:val="22"/>
            <w:szCs w:val="22"/>
          </w:rPr>
          <w:delText xml:space="preserve">Scad. </w:delText>
        </w:r>
      </w:del>
    </w:p>
    <w:p w:rsidR="006224C2" w:rsidRPr="00295E71" w14:paraId="5F5F04CA" w14:textId="77777777">
      <w:pPr>
        <w:tabs>
          <w:tab w:val="left" w:pos="567"/>
        </w:tabs>
        <w:ind w:left="540" w:hanging="540"/>
        <w:rPr>
          <w:del w:id="14027" w:author="AbbVie14" w:date="2025-05-09T10:50:00Z"/>
          <w:sz w:val="22"/>
          <w:szCs w:val="22"/>
        </w:rPr>
      </w:pPr>
    </w:p>
    <w:p w:rsidR="006224C2" w:rsidRPr="00295E71" w14:paraId="5B479C83" w14:textId="77777777">
      <w:pPr>
        <w:tabs>
          <w:tab w:val="left" w:pos="567"/>
        </w:tabs>
        <w:ind w:left="540" w:hanging="540"/>
        <w:rPr>
          <w:del w:id="14028" w:author="AbbVie14" w:date="2025-05-09T10:50:00Z"/>
          <w:sz w:val="22"/>
          <w:szCs w:val="22"/>
        </w:rPr>
      </w:pPr>
    </w:p>
    <w:p w:rsidR="006224C2" w:rsidRPr="00295E71" w14:paraId="654C3357" w14:textId="77777777">
      <w:pPr>
        <w:keepNext/>
        <w:keepLines/>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029" w:author="AbbVie14" w:date="2025-05-09T10:50:00Z"/>
          <w:sz w:val="22"/>
          <w:szCs w:val="22"/>
        </w:rPr>
      </w:pPr>
      <w:del w:id="14030" w:author="AbbVie14" w:date="2025-05-09T10:50:00Z">
        <w:r w:rsidRPr="00295E71">
          <w:rPr>
            <w:b/>
            <w:bCs/>
            <w:sz w:val="22"/>
            <w:szCs w:val="22"/>
          </w:rPr>
          <w:delText xml:space="preserve">9. </w:delText>
        </w:r>
      </w:del>
      <w:del w:id="14031" w:author="AbbVie14" w:date="2025-05-09T10:50:00Z">
        <w:r w:rsidRPr="00295E71">
          <w:rPr>
            <w:b/>
            <w:bCs/>
            <w:sz w:val="22"/>
            <w:szCs w:val="22"/>
          </w:rPr>
          <w:tab/>
          <w:delText>PRECAUZIONI PARTICOLARI PER LA CONSERVAZIONE</w:delText>
        </w:r>
      </w:del>
    </w:p>
    <w:p w:rsidR="006224C2" w:rsidRPr="00295E71" w14:paraId="375A8412" w14:textId="77777777">
      <w:pPr>
        <w:keepNext/>
        <w:keepLines/>
        <w:tabs>
          <w:tab w:val="left" w:pos="567"/>
        </w:tabs>
        <w:ind w:left="540" w:hanging="540"/>
        <w:rPr>
          <w:del w:id="14032" w:author="AbbVie14" w:date="2025-05-09T10:50:00Z"/>
          <w:sz w:val="22"/>
          <w:szCs w:val="22"/>
        </w:rPr>
      </w:pPr>
    </w:p>
    <w:p w:rsidR="006224C2" w:rsidRPr="00295E71" w14:paraId="26897CDC" w14:textId="77777777">
      <w:pPr>
        <w:keepNext/>
        <w:keepLines/>
        <w:tabs>
          <w:tab w:val="left" w:pos="567"/>
        </w:tabs>
        <w:ind w:left="540" w:hanging="540"/>
        <w:rPr>
          <w:del w:id="14033" w:author="AbbVie14" w:date="2025-05-09T10:50:00Z"/>
          <w:sz w:val="22"/>
          <w:szCs w:val="22"/>
        </w:rPr>
      </w:pPr>
      <w:del w:id="14034" w:author="AbbVie14" w:date="2025-05-09T10:50:00Z">
        <w:r w:rsidRPr="00295E71">
          <w:rPr>
            <w:sz w:val="22"/>
            <w:szCs w:val="22"/>
          </w:rPr>
          <w:delText>Conservare in frigorifero.</w:delText>
        </w:r>
      </w:del>
      <w:del w:id="14035" w:author="AbbVie14" w:date="2025-05-09T10:50:00Z">
        <w:r w:rsidRPr="00295E71" w:rsidR="00051655">
          <w:rPr>
            <w:sz w:val="22"/>
            <w:szCs w:val="22"/>
          </w:rPr>
          <w:delText xml:space="preserve"> </w:delText>
        </w:r>
      </w:del>
      <w:del w:id="14036" w:author="AbbVie14" w:date="2025-05-09T10:50:00Z">
        <w:r w:rsidRPr="00295E71">
          <w:rPr>
            <w:sz w:val="22"/>
            <w:szCs w:val="22"/>
          </w:rPr>
          <w:delText>Non congelare.</w:delText>
        </w:r>
      </w:del>
    </w:p>
    <w:p w:rsidR="006224C2" w:rsidRPr="00295E71" w14:paraId="0387C0FE" w14:textId="77777777">
      <w:pPr>
        <w:tabs>
          <w:tab w:val="left" w:pos="567"/>
        </w:tabs>
        <w:rPr>
          <w:del w:id="14037" w:author="AbbVie14" w:date="2025-05-09T10:50:00Z"/>
          <w:sz w:val="22"/>
          <w:szCs w:val="22"/>
        </w:rPr>
      </w:pPr>
      <w:del w:id="14038" w:author="AbbVie14" w:date="2025-05-09T10:50:00Z">
        <w:r w:rsidRPr="00295E71">
          <w:rPr>
            <w:sz w:val="22"/>
            <w:szCs w:val="22"/>
          </w:rPr>
          <w:delText>Fare riferimento al foglio illustrativo per condizioni di conservazione alternative.</w:delText>
        </w:r>
      </w:del>
    </w:p>
    <w:p w:rsidR="00F740EA" w:rsidRPr="00295E71" w14:paraId="0A03852D" w14:textId="77777777">
      <w:pPr>
        <w:tabs>
          <w:tab w:val="left" w:pos="567"/>
        </w:tabs>
        <w:rPr>
          <w:del w:id="14039" w:author="AbbVie14" w:date="2025-05-09T10:50:00Z"/>
          <w:sz w:val="22"/>
          <w:szCs w:val="22"/>
        </w:rPr>
      </w:pPr>
    </w:p>
    <w:p w:rsidR="006224C2" w:rsidRPr="00295E71" w14:paraId="4418CBF7" w14:textId="77777777">
      <w:pPr>
        <w:tabs>
          <w:tab w:val="left" w:pos="567"/>
        </w:tabs>
        <w:ind w:left="540" w:hanging="540"/>
        <w:rPr>
          <w:del w:id="14040" w:author="AbbVie14" w:date="2025-05-09T10:50:00Z"/>
          <w:sz w:val="22"/>
          <w:szCs w:val="22"/>
        </w:rPr>
      </w:pPr>
      <w:del w:id="14041" w:author="AbbVie14" w:date="2025-05-09T10:50:00Z">
        <w:r w:rsidRPr="00295E71">
          <w:rPr>
            <w:sz w:val="22"/>
            <w:szCs w:val="22"/>
          </w:rPr>
          <w:delText xml:space="preserve">Tenere </w:delText>
        </w:r>
      </w:del>
      <w:del w:id="14042" w:author="AbbVie14" w:date="2025-05-09T10:50:00Z">
        <w:r w:rsidRPr="00295E71" w:rsidR="00226BC4">
          <w:rPr>
            <w:sz w:val="22"/>
            <w:szCs w:val="22"/>
          </w:rPr>
          <w:delText xml:space="preserve">la siringa </w:delText>
        </w:r>
      </w:del>
      <w:del w:id="14043" w:author="AbbVie14" w:date="2025-05-09T10:50:00Z">
        <w:r w:rsidRPr="00295E71">
          <w:rPr>
            <w:sz w:val="22"/>
            <w:szCs w:val="22"/>
          </w:rPr>
          <w:delText>nell’imballaggio esterno</w:delText>
        </w:r>
      </w:del>
      <w:del w:id="14044" w:author="AbbVie14" w:date="2025-05-09T10:50:00Z">
        <w:r w:rsidRPr="00295E71" w:rsidR="00226BC4">
          <w:rPr>
            <w:sz w:val="22"/>
            <w:szCs w:val="22"/>
          </w:rPr>
          <w:delText xml:space="preserve"> per proteggere il medicinale dalla luce.</w:delText>
        </w:r>
      </w:del>
    </w:p>
    <w:p w:rsidR="006224C2" w:rsidRPr="00295E71" w14:paraId="06559A8D" w14:textId="77777777">
      <w:pPr>
        <w:tabs>
          <w:tab w:val="left" w:pos="567"/>
        </w:tabs>
        <w:ind w:left="540" w:hanging="540"/>
        <w:rPr>
          <w:del w:id="14045" w:author="AbbVie14" w:date="2025-05-09T10:50:00Z"/>
          <w:sz w:val="22"/>
          <w:szCs w:val="22"/>
        </w:rPr>
      </w:pPr>
    </w:p>
    <w:p w:rsidR="006224C2" w:rsidRPr="00295E71" w14:paraId="1D16C235" w14:textId="77777777">
      <w:pPr>
        <w:tabs>
          <w:tab w:val="left" w:pos="567"/>
        </w:tabs>
        <w:ind w:left="540" w:hanging="540"/>
        <w:rPr>
          <w:del w:id="14046" w:author="AbbVie14" w:date="2025-05-09T10:50:00Z"/>
          <w:sz w:val="22"/>
          <w:szCs w:val="22"/>
        </w:rPr>
      </w:pPr>
    </w:p>
    <w:p w:rsidR="006224C2" w:rsidRPr="00295E71" w14:paraId="0D251A7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047" w:author="AbbVie14" w:date="2025-05-09T10:50:00Z"/>
          <w:b/>
          <w:bCs/>
          <w:sz w:val="22"/>
          <w:szCs w:val="22"/>
        </w:rPr>
      </w:pPr>
      <w:del w:id="14048" w:author="AbbVie14" w:date="2025-05-09T10:50:00Z">
        <w:r w:rsidRPr="00295E71">
          <w:rPr>
            <w:b/>
            <w:bCs/>
            <w:sz w:val="22"/>
            <w:szCs w:val="22"/>
          </w:rPr>
          <w:delText>10.</w:delText>
        </w:r>
      </w:del>
      <w:del w:id="14049" w:author="AbbVie14" w:date="2025-05-09T10:50:00Z">
        <w:r w:rsidRPr="00295E71">
          <w:rPr>
            <w:b/>
            <w:bCs/>
            <w:sz w:val="22"/>
            <w:szCs w:val="22"/>
          </w:rPr>
          <w:tab/>
          <w:delText>PRECAUZIONI PARTICOLARI PER LO SMALTIMENTO DEL MEDICINALE NON UTILIZZATO O DEI RIFIUTI DERIVATI DA TALE MEDICINALE, SE NECESSARIO</w:delText>
        </w:r>
      </w:del>
    </w:p>
    <w:p w:rsidR="006224C2" w:rsidRPr="00295E71" w14:paraId="6374E4FA" w14:textId="77777777">
      <w:pPr>
        <w:tabs>
          <w:tab w:val="left" w:pos="567"/>
        </w:tabs>
        <w:ind w:left="540" w:hanging="540"/>
        <w:rPr>
          <w:del w:id="14050" w:author="AbbVie14" w:date="2025-05-09T10:50:00Z"/>
          <w:sz w:val="22"/>
          <w:szCs w:val="22"/>
        </w:rPr>
      </w:pPr>
    </w:p>
    <w:p w:rsidR="006224C2" w:rsidRPr="00295E71" w14:paraId="168128EF" w14:textId="77777777">
      <w:pPr>
        <w:tabs>
          <w:tab w:val="left" w:pos="567"/>
        </w:tabs>
        <w:ind w:left="540" w:hanging="540"/>
        <w:rPr>
          <w:del w:id="14051" w:author="AbbVie14" w:date="2025-05-09T10:50:00Z"/>
          <w:sz w:val="22"/>
          <w:szCs w:val="22"/>
        </w:rPr>
      </w:pPr>
    </w:p>
    <w:p w:rsidR="006224C2" w:rsidRPr="00295E71" w14:paraId="740C11B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052" w:author="AbbVie14" w:date="2025-05-09T10:50:00Z"/>
          <w:b/>
          <w:bCs/>
          <w:sz w:val="22"/>
          <w:szCs w:val="22"/>
        </w:rPr>
      </w:pPr>
      <w:del w:id="14053" w:author="AbbVie14" w:date="2025-05-09T10:50:00Z">
        <w:r w:rsidRPr="00295E71">
          <w:rPr>
            <w:b/>
            <w:bCs/>
            <w:sz w:val="22"/>
            <w:szCs w:val="22"/>
          </w:rPr>
          <w:delText>11.</w:delText>
        </w:r>
      </w:del>
      <w:del w:id="14054" w:author="AbbVie14" w:date="2025-05-09T10:50:00Z">
        <w:r w:rsidRPr="00295E71">
          <w:rPr>
            <w:b/>
            <w:bCs/>
            <w:sz w:val="22"/>
            <w:szCs w:val="22"/>
          </w:rPr>
          <w:tab/>
          <w:delText>NOME E INDIRIZZO DEL TITOLARE DELL’AUTORIZZAZIONE ALL’IMMISSIONE IN COMMERCIO</w:delText>
        </w:r>
      </w:del>
    </w:p>
    <w:p w:rsidR="006224C2" w:rsidRPr="00295E71" w14:paraId="0E0FAE56" w14:textId="77777777">
      <w:pPr>
        <w:tabs>
          <w:tab w:val="left" w:pos="567"/>
        </w:tabs>
        <w:ind w:left="540" w:hanging="540"/>
        <w:rPr>
          <w:del w:id="14055" w:author="AbbVie14" w:date="2025-05-09T10:50:00Z"/>
          <w:sz w:val="22"/>
          <w:szCs w:val="22"/>
        </w:rPr>
      </w:pPr>
    </w:p>
    <w:p w:rsidR="00490B34" w:rsidRPr="008B6641" w:rsidP="00490B34" w14:paraId="0A9FD69D" w14:textId="77777777">
      <w:pPr>
        <w:tabs>
          <w:tab w:val="left" w:pos="567"/>
        </w:tabs>
        <w:jc w:val="both"/>
        <w:rPr>
          <w:del w:id="14056" w:author="AbbVie14" w:date="2025-05-09T10:50:00Z"/>
          <w:sz w:val="22"/>
          <w:szCs w:val="22"/>
          <w:lang w:val="it-IT"/>
          <w:rPrChange w:id="14057" w:author="AbbVie14" w:date="2025-05-13T14:30:00Z">
            <w:rPr>
              <w:sz w:val="22"/>
              <w:szCs w:val="22"/>
              <w:lang w:val="en-US"/>
            </w:rPr>
          </w:rPrChange>
        </w:rPr>
      </w:pPr>
      <w:del w:id="14058" w:author="AbbVie14" w:date="2025-05-09T10:50:00Z">
        <w:r w:rsidRPr="008B6641">
          <w:rPr>
            <w:sz w:val="22"/>
            <w:szCs w:val="22"/>
            <w:lang w:val="it-IT"/>
            <w:rPrChange w:id="14059" w:author="AbbVie14" w:date="2025-05-13T14:30:00Z">
              <w:rPr>
                <w:sz w:val="22"/>
                <w:szCs w:val="22"/>
                <w:lang w:val="en-US"/>
              </w:rPr>
            </w:rPrChange>
          </w:rPr>
          <w:delText>AbbVie Deutschland GmbH &amp; Co. KG</w:delText>
        </w:r>
      </w:del>
    </w:p>
    <w:p w:rsidR="00490B34" w:rsidRPr="008B6641" w:rsidP="00490B34" w14:paraId="30F8EF72" w14:textId="77777777">
      <w:pPr>
        <w:tabs>
          <w:tab w:val="left" w:pos="567"/>
        </w:tabs>
        <w:jc w:val="both"/>
        <w:rPr>
          <w:del w:id="14060" w:author="AbbVie14" w:date="2025-05-09T10:50:00Z"/>
          <w:sz w:val="22"/>
          <w:szCs w:val="22"/>
        </w:rPr>
      </w:pPr>
      <w:del w:id="14061" w:author="AbbVie14" w:date="2025-05-09T10:50:00Z">
        <w:r w:rsidRPr="008B6641">
          <w:rPr>
            <w:sz w:val="22"/>
            <w:szCs w:val="22"/>
          </w:rPr>
          <w:delText>Knollstrasse</w:delText>
        </w:r>
      </w:del>
    </w:p>
    <w:p w:rsidR="00490B34" w:rsidRPr="00295E71" w:rsidP="00490B34" w14:paraId="5906BAE9" w14:textId="77777777">
      <w:pPr>
        <w:tabs>
          <w:tab w:val="left" w:pos="567"/>
        </w:tabs>
        <w:jc w:val="both"/>
        <w:rPr>
          <w:del w:id="14062" w:author="AbbVie14" w:date="2025-05-09T10:50:00Z"/>
          <w:sz w:val="22"/>
          <w:szCs w:val="22"/>
        </w:rPr>
      </w:pPr>
      <w:del w:id="14063" w:author="AbbVie14" w:date="2025-05-09T10:50:00Z">
        <w:r w:rsidRPr="00295E71">
          <w:rPr>
            <w:sz w:val="22"/>
            <w:szCs w:val="22"/>
          </w:rPr>
          <w:delText>67061 Ludwigshafen</w:delText>
        </w:r>
      </w:del>
    </w:p>
    <w:p w:rsidR="00490B34" w:rsidRPr="00295E71" w:rsidP="00490B34" w14:paraId="723D55F5" w14:textId="77777777">
      <w:pPr>
        <w:tabs>
          <w:tab w:val="left" w:pos="567"/>
        </w:tabs>
        <w:jc w:val="both"/>
        <w:rPr>
          <w:del w:id="14064" w:author="AbbVie14" w:date="2025-05-09T10:50:00Z"/>
          <w:sz w:val="22"/>
          <w:szCs w:val="22"/>
        </w:rPr>
      </w:pPr>
      <w:del w:id="14065" w:author="AbbVie14" w:date="2025-05-09T10:50:00Z">
        <w:r w:rsidRPr="00295E71">
          <w:rPr>
            <w:sz w:val="22"/>
            <w:szCs w:val="22"/>
          </w:rPr>
          <w:delText>Germania</w:delText>
        </w:r>
      </w:del>
    </w:p>
    <w:p w:rsidR="006224C2" w:rsidRPr="00295E71" w14:paraId="361785A0" w14:textId="77777777">
      <w:pPr>
        <w:tabs>
          <w:tab w:val="left" w:pos="567"/>
        </w:tabs>
        <w:ind w:left="540" w:hanging="540"/>
        <w:rPr>
          <w:del w:id="14066" w:author="AbbVie14" w:date="2025-05-09T10:50:00Z"/>
          <w:sz w:val="22"/>
          <w:szCs w:val="22"/>
        </w:rPr>
      </w:pPr>
    </w:p>
    <w:p w:rsidR="006224C2" w:rsidRPr="00295E71" w14:paraId="3F6E1B13" w14:textId="77777777">
      <w:pPr>
        <w:tabs>
          <w:tab w:val="left" w:pos="567"/>
        </w:tabs>
        <w:ind w:left="540" w:hanging="540"/>
        <w:rPr>
          <w:del w:id="14067" w:author="AbbVie14" w:date="2025-05-09T10:50:00Z"/>
          <w:sz w:val="22"/>
          <w:szCs w:val="22"/>
        </w:rPr>
      </w:pPr>
    </w:p>
    <w:p w:rsidR="006224C2" w:rsidRPr="00295E71" w14:paraId="7E117A7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068" w:author="AbbVie14" w:date="2025-05-09T10:50:00Z"/>
          <w:b/>
          <w:bCs/>
          <w:sz w:val="22"/>
          <w:szCs w:val="22"/>
        </w:rPr>
      </w:pPr>
      <w:del w:id="14069" w:author="AbbVie14" w:date="2025-05-09T10:50:00Z">
        <w:r w:rsidRPr="00295E71">
          <w:rPr>
            <w:b/>
            <w:bCs/>
            <w:sz w:val="22"/>
            <w:szCs w:val="22"/>
          </w:rPr>
          <w:delText xml:space="preserve">12. </w:delText>
        </w:r>
      </w:del>
      <w:del w:id="14070" w:author="AbbVie14" w:date="2025-05-09T10:50:00Z">
        <w:r w:rsidRPr="00295E71">
          <w:rPr>
            <w:b/>
            <w:bCs/>
            <w:sz w:val="22"/>
            <w:szCs w:val="22"/>
          </w:rPr>
          <w:tab/>
          <w:delText>NUMERO DELL’AUTORIZZAZIONE ALL’IMMISSIONE IN COMMERCIO</w:delText>
        </w:r>
      </w:del>
    </w:p>
    <w:p w:rsidR="006224C2" w:rsidRPr="00295E71" w14:paraId="7F94543D" w14:textId="77777777">
      <w:pPr>
        <w:tabs>
          <w:tab w:val="left" w:pos="567"/>
        </w:tabs>
        <w:ind w:left="540" w:hanging="540"/>
        <w:rPr>
          <w:del w:id="14071" w:author="AbbVie14" w:date="2025-05-09T10:50:00Z"/>
          <w:sz w:val="22"/>
          <w:szCs w:val="22"/>
        </w:rPr>
      </w:pPr>
    </w:p>
    <w:p w:rsidR="006224C2" w:rsidRPr="00295E71" w14:paraId="787091BB" w14:textId="77777777">
      <w:pPr>
        <w:tabs>
          <w:tab w:val="left" w:pos="567"/>
        </w:tabs>
        <w:ind w:left="540" w:hanging="540"/>
        <w:rPr>
          <w:del w:id="14072" w:author="AbbVie14" w:date="2025-05-09T10:50:00Z"/>
          <w:sz w:val="22"/>
          <w:szCs w:val="22"/>
        </w:rPr>
      </w:pPr>
      <w:del w:id="14073" w:author="AbbVie14" w:date="2025-05-09T10:50:00Z">
        <w:r w:rsidRPr="00295E71">
          <w:rPr>
            <w:sz w:val="22"/>
            <w:szCs w:val="22"/>
          </w:rPr>
          <w:delText>EU/1/03/256/006</w:delText>
        </w:r>
      </w:del>
    </w:p>
    <w:p w:rsidR="006224C2" w:rsidRPr="00295E71" w14:paraId="1193B097" w14:textId="77777777">
      <w:pPr>
        <w:tabs>
          <w:tab w:val="left" w:pos="567"/>
        </w:tabs>
        <w:ind w:left="540" w:hanging="540"/>
        <w:rPr>
          <w:del w:id="14074" w:author="AbbVie14" w:date="2025-05-09T10:50:00Z"/>
          <w:sz w:val="22"/>
          <w:szCs w:val="22"/>
        </w:rPr>
      </w:pPr>
    </w:p>
    <w:p w:rsidR="006224C2" w:rsidRPr="00295E71" w14:paraId="69EA5BDB" w14:textId="77777777">
      <w:pPr>
        <w:tabs>
          <w:tab w:val="left" w:pos="567"/>
        </w:tabs>
        <w:ind w:left="540" w:hanging="540"/>
        <w:rPr>
          <w:del w:id="14075" w:author="AbbVie14" w:date="2025-05-09T10:50:00Z"/>
          <w:sz w:val="22"/>
          <w:szCs w:val="22"/>
        </w:rPr>
      </w:pPr>
    </w:p>
    <w:p w:rsidR="006224C2" w:rsidRPr="00295E71" w14:paraId="5ED2D9F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076" w:author="AbbVie14" w:date="2025-05-09T10:50:00Z"/>
          <w:sz w:val="22"/>
          <w:szCs w:val="22"/>
        </w:rPr>
      </w:pPr>
      <w:del w:id="14077" w:author="AbbVie14" w:date="2025-05-09T10:50:00Z">
        <w:r w:rsidRPr="00295E71">
          <w:rPr>
            <w:b/>
            <w:bCs/>
            <w:sz w:val="22"/>
            <w:szCs w:val="22"/>
          </w:rPr>
          <w:delText>13.</w:delText>
        </w:r>
      </w:del>
      <w:del w:id="14078" w:author="AbbVie14" w:date="2025-05-09T10:50:00Z">
        <w:r w:rsidRPr="00295E71">
          <w:rPr>
            <w:b/>
            <w:bCs/>
            <w:sz w:val="22"/>
            <w:szCs w:val="22"/>
          </w:rPr>
          <w:tab/>
          <w:delText>NUMERO DI LOTTO</w:delText>
        </w:r>
      </w:del>
    </w:p>
    <w:p w:rsidR="006224C2" w:rsidRPr="00295E71" w14:paraId="59FFD647" w14:textId="77777777">
      <w:pPr>
        <w:tabs>
          <w:tab w:val="left" w:pos="567"/>
        </w:tabs>
        <w:ind w:left="540" w:hanging="540"/>
        <w:rPr>
          <w:del w:id="14079" w:author="AbbVie14" w:date="2025-05-09T10:50:00Z"/>
          <w:sz w:val="22"/>
          <w:szCs w:val="22"/>
        </w:rPr>
      </w:pPr>
    </w:p>
    <w:p w:rsidR="006224C2" w:rsidRPr="00295E71" w14:paraId="46CC58EE" w14:textId="77777777">
      <w:pPr>
        <w:tabs>
          <w:tab w:val="left" w:pos="567"/>
        </w:tabs>
        <w:ind w:left="540" w:hanging="540"/>
        <w:rPr>
          <w:del w:id="14080" w:author="AbbVie14" w:date="2025-05-09T10:50:00Z"/>
          <w:sz w:val="22"/>
          <w:szCs w:val="22"/>
        </w:rPr>
      </w:pPr>
      <w:del w:id="14081" w:author="AbbVie14" w:date="2025-05-09T10:50:00Z">
        <w:r w:rsidRPr="00295E71">
          <w:rPr>
            <w:sz w:val="22"/>
            <w:szCs w:val="22"/>
          </w:rPr>
          <w:delText xml:space="preserve">Lotto </w:delText>
        </w:r>
      </w:del>
    </w:p>
    <w:p w:rsidR="006224C2" w:rsidRPr="00295E71" w14:paraId="287C74F5" w14:textId="77777777">
      <w:pPr>
        <w:tabs>
          <w:tab w:val="left" w:pos="567"/>
        </w:tabs>
        <w:ind w:left="540" w:hanging="540"/>
        <w:rPr>
          <w:del w:id="14082" w:author="AbbVie14" w:date="2025-05-09T10:50:00Z"/>
          <w:sz w:val="22"/>
          <w:szCs w:val="22"/>
        </w:rPr>
      </w:pPr>
    </w:p>
    <w:p w:rsidR="006224C2" w:rsidRPr="00295E71" w14:paraId="499FB451" w14:textId="77777777">
      <w:pPr>
        <w:tabs>
          <w:tab w:val="left" w:pos="567"/>
        </w:tabs>
        <w:ind w:left="540" w:hanging="540"/>
        <w:rPr>
          <w:del w:id="14083" w:author="AbbVie14" w:date="2025-05-09T10:50:00Z"/>
          <w:sz w:val="22"/>
          <w:szCs w:val="22"/>
        </w:rPr>
      </w:pPr>
    </w:p>
    <w:p w:rsidR="006224C2" w:rsidRPr="00295E71" w14:paraId="0ED5750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084" w:author="AbbVie14" w:date="2025-05-09T10:50:00Z"/>
          <w:sz w:val="22"/>
          <w:szCs w:val="22"/>
        </w:rPr>
      </w:pPr>
      <w:del w:id="14085" w:author="AbbVie14" w:date="2025-05-09T10:50:00Z">
        <w:r w:rsidRPr="00295E71">
          <w:rPr>
            <w:b/>
            <w:bCs/>
            <w:sz w:val="22"/>
            <w:szCs w:val="22"/>
          </w:rPr>
          <w:delText>14.</w:delText>
        </w:r>
      </w:del>
      <w:del w:id="14086" w:author="AbbVie14" w:date="2025-05-09T10:50:00Z">
        <w:r w:rsidRPr="00295E71">
          <w:rPr>
            <w:b/>
            <w:bCs/>
            <w:sz w:val="22"/>
            <w:szCs w:val="22"/>
          </w:rPr>
          <w:tab/>
          <w:delText>CONDIZIONE GENERALE DI FORNITURA</w:delText>
        </w:r>
      </w:del>
    </w:p>
    <w:p w:rsidR="006224C2" w:rsidRPr="00295E71" w14:paraId="2DF81D3C" w14:textId="77777777">
      <w:pPr>
        <w:tabs>
          <w:tab w:val="left" w:pos="567"/>
        </w:tabs>
        <w:ind w:left="540" w:hanging="540"/>
        <w:rPr>
          <w:del w:id="14087" w:author="AbbVie14" w:date="2025-05-09T10:50:00Z"/>
          <w:sz w:val="22"/>
          <w:szCs w:val="22"/>
        </w:rPr>
      </w:pPr>
    </w:p>
    <w:p w:rsidR="006224C2" w:rsidRPr="00295E71" w14:paraId="22865267" w14:textId="77777777">
      <w:pPr>
        <w:tabs>
          <w:tab w:val="left" w:pos="567"/>
        </w:tabs>
        <w:ind w:left="540" w:hanging="540"/>
        <w:rPr>
          <w:del w:id="14088" w:author="AbbVie14" w:date="2025-05-09T10:50:00Z"/>
          <w:sz w:val="22"/>
          <w:szCs w:val="22"/>
        </w:rPr>
      </w:pPr>
    </w:p>
    <w:p w:rsidR="006224C2" w:rsidRPr="00295E71" w14:paraId="1613F77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089" w:author="AbbVie14" w:date="2025-05-09T10:50:00Z"/>
          <w:b/>
          <w:bCs/>
          <w:sz w:val="22"/>
          <w:szCs w:val="22"/>
          <w:u w:val="single"/>
        </w:rPr>
      </w:pPr>
      <w:del w:id="14090" w:author="AbbVie14" w:date="2025-05-09T10:50:00Z">
        <w:r w:rsidRPr="00295E71">
          <w:rPr>
            <w:b/>
            <w:bCs/>
            <w:sz w:val="22"/>
            <w:szCs w:val="22"/>
          </w:rPr>
          <w:delText>15.</w:delText>
        </w:r>
      </w:del>
      <w:del w:id="14091" w:author="AbbVie14" w:date="2025-05-09T10:50:00Z">
        <w:r w:rsidRPr="00295E71">
          <w:rPr>
            <w:b/>
            <w:bCs/>
            <w:sz w:val="22"/>
            <w:szCs w:val="22"/>
          </w:rPr>
          <w:tab/>
          <w:delText>ISTRUZIONI PER L’USO</w:delText>
        </w:r>
      </w:del>
    </w:p>
    <w:p w:rsidR="006224C2" w:rsidRPr="00295E71" w14:paraId="17092CA2" w14:textId="77777777">
      <w:pPr>
        <w:tabs>
          <w:tab w:val="left" w:pos="567"/>
        </w:tabs>
        <w:ind w:left="540" w:hanging="540"/>
        <w:rPr>
          <w:del w:id="14092" w:author="AbbVie14" w:date="2025-05-09T10:50:00Z"/>
          <w:sz w:val="22"/>
          <w:szCs w:val="22"/>
        </w:rPr>
      </w:pPr>
    </w:p>
    <w:p w:rsidR="006224C2" w:rsidRPr="00295E71" w14:paraId="5601F042" w14:textId="77777777">
      <w:pPr>
        <w:tabs>
          <w:tab w:val="left" w:pos="567"/>
        </w:tabs>
        <w:ind w:left="540" w:hanging="540"/>
        <w:rPr>
          <w:del w:id="14093" w:author="AbbVie14" w:date="2025-05-09T10:50:00Z"/>
          <w:sz w:val="22"/>
          <w:szCs w:val="22"/>
        </w:rPr>
      </w:pPr>
    </w:p>
    <w:p w:rsidR="006224C2" w:rsidRPr="00295E71" w14:paraId="236AF0AA"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094" w:author="AbbVie14" w:date="2025-05-09T10:50:00Z"/>
          <w:b/>
          <w:bCs/>
          <w:sz w:val="22"/>
          <w:szCs w:val="22"/>
          <w:u w:val="single"/>
        </w:rPr>
      </w:pPr>
      <w:del w:id="14095" w:author="AbbVie14" w:date="2025-05-09T10:50:00Z">
        <w:r w:rsidRPr="00295E71">
          <w:rPr>
            <w:b/>
            <w:bCs/>
            <w:sz w:val="22"/>
            <w:szCs w:val="22"/>
          </w:rPr>
          <w:delText>16.</w:delText>
        </w:r>
      </w:del>
      <w:del w:id="14096" w:author="AbbVie14" w:date="2025-05-09T10:50:00Z">
        <w:r w:rsidRPr="00295E71">
          <w:rPr>
            <w:b/>
            <w:bCs/>
            <w:sz w:val="22"/>
            <w:szCs w:val="22"/>
          </w:rPr>
          <w:tab/>
          <w:delText>INFORMAZIONI IN BRAILLE</w:delText>
        </w:r>
      </w:del>
    </w:p>
    <w:p w:rsidR="006224C2" w:rsidRPr="00295E71" w14:paraId="589F77AF" w14:textId="77777777">
      <w:pPr>
        <w:tabs>
          <w:tab w:val="left" w:pos="567"/>
        </w:tabs>
        <w:ind w:left="540" w:hanging="540"/>
        <w:rPr>
          <w:del w:id="14097" w:author="AbbVie14" w:date="2025-05-09T10:50:00Z"/>
          <w:bCs/>
          <w:sz w:val="22"/>
          <w:szCs w:val="22"/>
        </w:rPr>
      </w:pPr>
    </w:p>
    <w:p w:rsidR="006224C2" w:rsidRPr="00295E71" w14:paraId="78BF4AD0" w14:textId="77777777">
      <w:pPr>
        <w:tabs>
          <w:tab w:val="left" w:pos="567"/>
        </w:tabs>
        <w:ind w:left="540" w:hanging="540"/>
        <w:rPr>
          <w:del w:id="14098" w:author="AbbVie14" w:date="2025-05-09T10:50:00Z"/>
          <w:sz w:val="22"/>
          <w:szCs w:val="22"/>
        </w:rPr>
      </w:pPr>
      <w:del w:id="14099" w:author="AbbVie14" w:date="2025-05-09T10:50:00Z">
        <w:r w:rsidRPr="00295E71">
          <w:rPr>
            <w:sz w:val="22"/>
            <w:szCs w:val="22"/>
          </w:rPr>
          <w:delText>Humira 40 mg</w:delText>
        </w:r>
      </w:del>
    </w:p>
    <w:p w:rsidR="006224C2" w:rsidRPr="00295E71" w14:paraId="5DA61063" w14:textId="77777777">
      <w:pPr>
        <w:tabs>
          <w:tab w:val="left" w:pos="567"/>
        </w:tabs>
        <w:ind w:left="540" w:hanging="540"/>
        <w:rPr>
          <w:del w:id="14100" w:author="AbbVie14" w:date="2025-05-09T10:50:00Z"/>
          <w:sz w:val="22"/>
          <w:szCs w:val="22"/>
        </w:rPr>
      </w:pPr>
    </w:p>
    <w:p w:rsidR="006224C2" w:rsidRPr="00295E71" w14:paraId="46CF8580" w14:textId="77777777">
      <w:pPr>
        <w:shd w:val="clear" w:color="auto" w:fill="FFFFFF"/>
        <w:tabs>
          <w:tab w:val="left" w:pos="567"/>
        </w:tabs>
        <w:ind w:left="540" w:hanging="540"/>
        <w:rPr>
          <w:del w:id="14101" w:author="AbbVie14" w:date="2025-05-09T10:50:00Z"/>
          <w:bCs/>
          <w:sz w:val="22"/>
          <w:szCs w:val="22"/>
        </w:rPr>
      </w:pPr>
    </w:p>
    <w:p w:rsidR="006224C2" w:rsidRPr="00295E71" w14:paraId="224149AE" w14:textId="77777777">
      <w:pPr>
        <w:pStyle w:val="EMEAHeadingBoxedTitle"/>
        <w:ind w:left="0" w:firstLine="0"/>
        <w:rPr>
          <w:del w:id="14102" w:author="AbbVie14" w:date="2025-05-09T10:50:00Z"/>
          <w:rFonts w:ascii="Times New Roman" w:hAnsi="Times New Roman"/>
          <w:b/>
          <w:bCs/>
          <w:szCs w:val="22"/>
          <w:lang w:val="it-IT"/>
        </w:rPr>
      </w:pPr>
      <w:del w:id="14103" w:author="AbbVie14" w:date="2025-05-09T10:50:00Z">
        <w:r w:rsidRPr="00295E71">
          <w:rPr>
            <w:rFonts w:ascii="Times New Roman" w:hAnsi="Times New Roman"/>
            <w:b/>
            <w:bCs/>
            <w:szCs w:val="22"/>
            <w:lang w:val="it-IT"/>
          </w:rPr>
          <w:delText xml:space="preserve">17. </w:delText>
        </w:r>
      </w:del>
      <w:del w:id="14104" w:author="AbbVie14" w:date="2025-05-09T10:50:00Z">
        <w:r w:rsidRPr="00295E71">
          <w:rPr>
            <w:rFonts w:ascii="Times New Roman" w:hAnsi="Times New Roman"/>
            <w:b/>
            <w:bCs/>
            <w:szCs w:val="22"/>
            <w:lang w:val="it-IT"/>
          </w:rPr>
          <w:tab/>
          <w:delText>IDENTIFICATORE UNICO – CODICE A BARRE A 2D</w:delText>
        </w:r>
      </w:del>
    </w:p>
    <w:p w:rsidR="006224C2" w:rsidRPr="00295E71" w14:paraId="3DB46B4F" w14:textId="77777777">
      <w:pPr>
        <w:rPr>
          <w:del w:id="14105" w:author="AbbVie14" w:date="2025-05-09T10:50:00Z"/>
          <w:sz w:val="22"/>
          <w:szCs w:val="22"/>
        </w:rPr>
      </w:pPr>
    </w:p>
    <w:p w:rsidR="006224C2" w:rsidRPr="00295E71" w14:paraId="4D857A09" w14:textId="77777777">
      <w:pPr>
        <w:rPr>
          <w:del w:id="14106" w:author="AbbVie14" w:date="2025-05-09T10:50:00Z"/>
          <w:sz w:val="22"/>
          <w:szCs w:val="22"/>
          <w:shd w:val="clear" w:color="auto" w:fill="BFBFBF"/>
        </w:rPr>
      </w:pPr>
      <w:del w:id="14107" w:author="AbbVie14" w:date="2025-05-09T10:50:00Z">
        <w:r w:rsidRPr="00295E71">
          <w:rPr>
            <w:sz w:val="22"/>
            <w:szCs w:val="22"/>
            <w:shd w:val="clear" w:color="auto" w:fill="BFBFBF"/>
          </w:rPr>
          <w:delText>Codice a barre bidimensionale con identificativo unico incluso.</w:delText>
        </w:r>
      </w:del>
    </w:p>
    <w:p w:rsidR="006224C2" w:rsidRPr="00295E71" w14:paraId="14A777ED" w14:textId="77777777">
      <w:pPr>
        <w:rPr>
          <w:del w:id="14108" w:author="AbbVie14" w:date="2025-05-09T10:50:00Z"/>
          <w:sz w:val="22"/>
          <w:szCs w:val="22"/>
          <w:shd w:val="clear" w:color="auto" w:fill="BFBFBF"/>
        </w:rPr>
      </w:pPr>
    </w:p>
    <w:p w:rsidR="006224C2" w:rsidRPr="00295E71" w14:paraId="77B06B9A" w14:textId="77777777">
      <w:pPr>
        <w:rPr>
          <w:del w:id="14109" w:author="AbbVie14" w:date="2025-05-09T10:50:00Z"/>
          <w:sz w:val="22"/>
          <w:szCs w:val="22"/>
          <w:shd w:val="clear" w:color="auto" w:fill="BFBFBF"/>
        </w:rPr>
      </w:pPr>
    </w:p>
    <w:p w:rsidR="006224C2" w:rsidRPr="00295E71" w14:paraId="461CEF1A" w14:textId="77777777">
      <w:pPr>
        <w:pStyle w:val="EMEAHeadingBoxedTitle"/>
        <w:keepNext/>
        <w:ind w:left="0" w:firstLine="0"/>
        <w:rPr>
          <w:del w:id="14110" w:author="AbbVie14" w:date="2025-05-09T10:50:00Z"/>
          <w:rFonts w:ascii="Times New Roman" w:hAnsi="Times New Roman"/>
          <w:szCs w:val="22"/>
          <w:lang w:val="it-IT"/>
        </w:rPr>
      </w:pPr>
      <w:del w:id="14111" w:author="AbbVie14" w:date="2025-05-09T10:50:00Z">
        <w:r w:rsidRPr="00295E71">
          <w:rPr>
            <w:rFonts w:ascii="Times New Roman" w:hAnsi="Times New Roman"/>
            <w:b/>
            <w:bCs/>
            <w:szCs w:val="22"/>
            <w:lang w:val="it-IT"/>
          </w:rPr>
          <w:delText xml:space="preserve">18. </w:delText>
        </w:r>
      </w:del>
      <w:del w:id="14112" w:author="AbbVie14" w:date="2025-05-09T10:50:00Z">
        <w:r w:rsidRPr="00295E71">
          <w:rPr>
            <w:rFonts w:ascii="Times New Roman" w:hAnsi="Times New Roman"/>
            <w:b/>
            <w:bCs/>
            <w:szCs w:val="22"/>
            <w:lang w:val="it-IT"/>
          </w:rPr>
          <w:tab/>
          <w:delText>IDENTIFICATIVO UNICO – dati leggibili</w:delText>
        </w:r>
      </w:del>
    </w:p>
    <w:p w:rsidR="006224C2" w:rsidRPr="00295E71" w14:paraId="5F0D9189" w14:textId="77777777">
      <w:pPr>
        <w:keepNext/>
        <w:ind w:left="540" w:hanging="540"/>
        <w:rPr>
          <w:del w:id="14113" w:author="AbbVie14" w:date="2025-05-09T10:50:00Z"/>
          <w:sz w:val="22"/>
          <w:szCs w:val="22"/>
        </w:rPr>
      </w:pPr>
    </w:p>
    <w:p w:rsidR="006224C2" w:rsidRPr="00295E71" w14:paraId="26950D7D" w14:textId="77777777">
      <w:pPr>
        <w:keepNext/>
        <w:ind w:left="540" w:hanging="540"/>
        <w:rPr>
          <w:del w:id="14114" w:author="AbbVie14" w:date="2025-05-09T10:50:00Z"/>
          <w:sz w:val="22"/>
          <w:szCs w:val="22"/>
        </w:rPr>
      </w:pPr>
      <w:del w:id="14115" w:author="AbbVie14" w:date="2025-05-09T10:50:00Z">
        <w:r w:rsidRPr="00295E71">
          <w:rPr>
            <w:sz w:val="22"/>
            <w:szCs w:val="22"/>
          </w:rPr>
          <w:delText>PC</w:delText>
        </w:r>
      </w:del>
    </w:p>
    <w:p w:rsidR="006224C2" w:rsidRPr="00295E71" w14:paraId="3F332A49" w14:textId="77777777">
      <w:pPr>
        <w:keepNext/>
        <w:ind w:left="540" w:hanging="540"/>
        <w:rPr>
          <w:del w:id="14116" w:author="AbbVie14" w:date="2025-05-09T10:50:00Z"/>
          <w:sz w:val="22"/>
          <w:szCs w:val="22"/>
        </w:rPr>
      </w:pPr>
      <w:del w:id="14117" w:author="AbbVie14" w:date="2025-05-09T10:50:00Z">
        <w:r w:rsidRPr="00295E71">
          <w:rPr>
            <w:sz w:val="22"/>
            <w:szCs w:val="22"/>
          </w:rPr>
          <w:delText>SN</w:delText>
        </w:r>
      </w:del>
    </w:p>
    <w:p w:rsidR="006224C2" w:rsidRPr="00295E71" w14:paraId="28E9FD00" w14:textId="77777777">
      <w:pPr>
        <w:keepNext/>
        <w:ind w:left="540" w:hanging="540"/>
        <w:rPr>
          <w:del w:id="14118" w:author="AbbVie14" w:date="2025-05-09T10:50:00Z"/>
          <w:sz w:val="22"/>
          <w:szCs w:val="22"/>
        </w:rPr>
      </w:pPr>
      <w:del w:id="14119" w:author="AbbVie14" w:date="2025-05-09T10:50:00Z">
        <w:r w:rsidRPr="0020624D">
          <w:rPr>
            <w:sz w:val="22"/>
            <w:szCs w:val="22"/>
            <w:highlight w:val="lightGray"/>
          </w:rPr>
          <w:delText>NN</w:delText>
        </w:r>
      </w:del>
    </w:p>
    <w:p w:rsidR="006224C2" w:rsidRPr="00295E71" w14:paraId="339BB19B" w14:textId="77777777">
      <w:pPr>
        <w:shd w:val="clear" w:color="auto" w:fill="FFFFFF"/>
        <w:tabs>
          <w:tab w:val="left" w:pos="567"/>
        </w:tabs>
        <w:ind w:left="540" w:hanging="540"/>
        <w:rPr>
          <w:del w:id="14120" w:author="AbbVie14" w:date="2025-05-09T10:50:00Z"/>
          <w:b/>
          <w:bCs/>
          <w:sz w:val="22"/>
          <w:szCs w:val="22"/>
          <w:u w:val="single"/>
        </w:rPr>
      </w:pPr>
    </w:p>
    <w:p w:rsidR="006224C2" w:rsidRPr="00295E71" w14:paraId="76F9618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4121" w:author="AbbVie14" w:date="2025-05-09T10:50:00Z"/>
          <w:b/>
          <w:bCs/>
          <w:sz w:val="22"/>
          <w:szCs w:val="22"/>
        </w:rPr>
      </w:pPr>
      <w:del w:id="14122" w:author="AbbVie14" w:date="2025-05-09T10:50:00Z">
        <w:r w:rsidRPr="00295E71">
          <w:rPr>
            <w:b/>
            <w:bCs/>
            <w:sz w:val="22"/>
            <w:szCs w:val="22"/>
            <w:u w:val="single"/>
          </w:rPr>
          <w:br w:type="page"/>
        </w:r>
      </w:del>
      <w:del w:id="14123" w:author="AbbVie14" w:date="2025-05-09T10:50:00Z">
        <w:r w:rsidRPr="00295E71">
          <w:rPr>
            <w:b/>
            <w:bCs/>
            <w:sz w:val="22"/>
            <w:szCs w:val="22"/>
          </w:rPr>
          <w:delText>INFORMAZIONI MINIME DA APPORRE SU BLISTER O STRIP</w:delText>
        </w:r>
      </w:del>
    </w:p>
    <w:p w:rsidR="006224C2" w:rsidRPr="00295E71" w14:paraId="581F1FD4" w14:textId="77777777">
      <w:pPr>
        <w:pBdr>
          <w:top w:val="single" w:sz="4" w:space="1" w:color="auto"/>
          <w:left w:val="single" w:sz="4" w:space="4" w:color="auto"/>
          <w:bottom w:val="single" w:sz="4" w:space="1" w:color="auto"/>
          <w:right w:val="single" w:sz="4" w:space="4" w:color="auto"/>
        </w:pBdr>
        <w:tabs>
          <w:tab w:val="left" w:pos="567"/>
        </w:tabs>
        <w:ind w:left="540" w:hanging="540"/>
        <w:jc w:val="both"/>
        <w:rPr>
          <w:del w:id="14124" w:author="AbbVie14" w:date="2025-05-09T10:50:00Z"/>
          <w:b/>
          <w:bCs/>
          <w:sz w:val="22"/>
          <w:szCs w:val="22"/>
        </w:rPr>
      </w:pPr>
    </w:p>
    <w:p w:rsidR="006224C2" w:rsidRPr="00295E71" w14:paraId="3D14F33D" w14:textId="77777777">
      <w:pPr>
        <w:pStyle w:val="Heading3"/>
        <w:keepNext w:val="0"/>
        <w:pBdr>
          <w:top w:val="single" w:sz="4" w:space="1" w:color="auto"/>
          <w:left w:val="single" w:sz="4" w:space="4" w:color="auto"/>
          <w:bottom w:val="single" w:sz="4" w:space="1" w:color="auto"/>
          <w:right w:val="single" w:sz="4" w:space="4" w:color="auto"/>
        </w:pBdr>
        <w:tabs>
          <w:tab w:val="left" w:pos="567"/>
        </w:tabs>
        <w:ind w:left="540" w:hanging="540"/>
        <w:rPr>
          <w:del w:id="14125" w:author="AbbVie14" w:date="2025-05-09T10:50:00Z"/>
          <w:b/>
          <w:bCs/>
          <w:caps/>
          <w:u w:val="none"/>
        </w:rPr>
      </w:pPr>
      <w:del w:id="14126" w:author="AbbVie14" w:date="2025-05-09T10:50:00Z">
        <w:r w:rsidRPr="00295E71">
          <w:rPr>
            <w:b/>
            <w:bCs/>
            <w:caps/>
            <w:u w:val="none"/>
          </w:rPr>
          <w:delText>Testo da apporre sul retro della confezione</w:delText>
        </w:r>
      </w:del>
    </w:p>
    <w:p w:rsidR="006224C2" w:rsidRPr="00295E71" w14:paraId="67C4423A" w14:textId="77777777">
      <w:pPr>
        <w:tabs>
          <w:tab w:val="left" w:pos="567"/>
        </w:tabs>
        <w:ind w:left="540" w:hanging="540"/>
        <w:jc w:val="both"/>
        <w:rPr>
          <w:del w:id="14127" w:author="AbbVie14" w:date="2025-05-09T10:50:00Z"/>
          <w:sz w:val="22"/>
          <w:szCs w:val="22"/>
        </w:rPr>
      </w:pPr>
    </w:p>
    <w:p w:rsidR="006224C2" w:rsidRPr="00295E71" w14:paraId="6F2D8774" w14:textId="77777777">
      <w:pPr>
        <w:tabs>
          <w:tab w:val="left" w:pos="567"/>
        </w:tabs>
        <w:ind w:left="540" w:hanging="540"/>
        <w:jc w:val="both"/>
        <w:rPr>
          <w:del w:id="14128" w:author="AbbVie14" w:date="2025-05-09T10:50:00Z"/>
          <w:sz w:val="22"/>
          <w:szCs w:val="22"/>
        </w:rPr>
      </w:pPr>
    </w:p>
    <w:p w:rsidR="006224C2" w:rsidRPr="00295E71" w14:paraId="40B26BE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129" w:author="AbbVie14" w:date="2025-05-09T10:50:00Z"/>
          <w:sz w:val="22"/>
          <w:szCs w:val="22"/>
        </w:rPr>
      </w:pPr>
      <w:del w:id="14130" w:author="AbbVie14" w:date="2025-05-09T10:50:00Z">
        <w:r w:rsidRPr="00295E71">
          <w:rPr>
            <w:b/>
            <w:bCs/>
            <w:sz w:val="22"/>
            <w:szCs w:val="22"/>
          </w:rPr>
          <w:delText>1.</w:delText>
        </w:r>
      </w:del>
      <w:del w:id="14131" w:author="AbbVie14" w:date="2025-05-09T10:50:00Z">
        <w:r w:rsidRPr="00295E71">
          <w:rPr>
            <w:b/>
            <w:bCs/>
            <w:sz w:val="22"/>
            <w:szCs w:val="22"/>
          </w:rPr>
          <w:tab/>
          <w:delText>DENOMINAZIONE DEL MEDICINALE</w:delText>
        </w:r>
      </w:del>
    </w:p>
    <w:p w:rsidR="006224C2" w:rsidRPr="00295E71" w14:paraId="17E2FD1A" w14:textId="77777777">
      <w:pPr>
        <w:tabs>
          <w:tab w:val="left" w:pos="567"/>
        </w:tabs>
        <w:ind w:left="540" w:hanging="540"/>
        <w:jc w:val="both"/>
        <w:rPr>
          <w:del w:id="14132" w:author="AbbVie14" w:date="2025-05-09T10:50:00Z"/>
          <w:sz w:val="22"/>
          <w:szCs w:val="22"/>
        </w:rPr>
      </w:pPr>
    </w:p>
    <w:p w:rsidR="006224C2" w:rsidRPr="00295E71" w14:paraId="7A14830B" w14:textId="77777777">
      <w:pPr>
        <w:pStyle w:val="BodyText"/>
        <w:tabs>
          <w:tab w:val="left" w:pos="567"/>
        </w:tabs>
        <w:rPr>
          <w:del w:id="14133" w:author="AbbVie14" w:date="2025-05-09T10:50:00Z"/>
        </w:rPr>
      </w:pPr>
      <w:del w:id="14134" w:author="AbbVie14" w:date="2025-05-09T10:50:00Z">
        <w:r w:rsidRPr="00295E71">
          <w:delText>Humira 40 mg soluzione iniettabile in siringa</w:delText>
        </w:r>
      </w:del>
      <w:del w:id="14135" w:author="AbbVie14" w:date="2025-05-09T10:50:00Z">
        <w:r w:rsidRPr="00295E71" w:rsidR="00F740EA">
          <w:delText xml:space="preserve"> </w:delText>
        </w:r>
      </w:del>
      <w:del w:id="14136" w:author="AbbVie14" w:date="2025-05-09T10:50:00Z">
        <w:r w:rsidRPr="00295E71">
          <w:delText>pre-riempita</w:delText>
        </w:r>
      </w:del>
    </w:p>
    <w:p w:rsidR="006224C2" w:rsidRPr="00295E71" w14:paraId="7FF42A76" w14:textId="77777777">
      <w:pPr>
        <w:tabs>
          <w:tab w:val="left" w:pos="567"/>
        </w:tabs>
        <w:rPr>
          <w:del w:id="14137" w:author="AbbVie14" w:date="2025-05-09T10:50:00Z"/>
          <w:sz w:val="22"/>
          <w:szCs w:val="22"/>
        </w:rPr>
      </w:pPr>
      <w:del w:id="14138" w:author="AbbVie14" w:date="2025-05-09T10:50:00Z">
        <w:r w:rsidRPr="00295E71">
          <w:rPr>
            <w:sz w:val="22"/>
            <w:szCs w:val="22"/>
          </w:rPr>
          <w:delText>adalimumab</w:delText>
        </w:r>
      </w:del>
    </w:p>
    <w:p w:rsidR="006224C2" w:rsidRPr="00295E71" w14:paraId="550DFF9B" w14:textId="77777777">
      <w:pPr>
        <w:tabs>
          <w:tab w:val="left" w:pos="567"/>
        </w:tabs>
        <w:ind w:left="540" w:hanging="540"/>
        <w:jc w:val="both"/>
        <w:rPr>
          <w:del w:id="14139" w:author="AbbVie14" w:date="2025-05-09T10:50:00Z"/>
          <w:sz w:val="22"/>
          <w:szCs w:val="22"/>
        </w:rPr>
      </w:pPr>
    </w:p>
    <w:p w:rsidR="006224C2" w:rsidRPr="00295E71" w14:paraId="1513B833" w14:textId="77777777">
      <w:pPr>
        <w:tabs>
          <w:tab w:val="left" w:pos="567"/>
        </w:tabs>
        <w:jc w:val="both"/>
        <w:rPr>
          <w:del w:id="14140" w:author="AbbVie14" w:date="2025-05-09T10:50:00Z"/>
          <w:sz w:val="22"/>
          <w:szCs w:val="22"/>
        </w:rPr>
      </w:pPr>
    </w:p>
    <w:p w:rsidR="006224C2" w:rsidRPr="00295E71" w14:paraId="308E3CA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4141" w:author="AbbVie14" w:date="2025-05-09T10:50:00Z"/>
          <w:b/>
          <w:bCs/>
          <w:sz w:val="22"/>
          <w:szCs w:val="22"/>
        </w:rPr>
      </w:pPr>
      <w:del w:id="14142" w:author="AbbVie14" w:date="2025-05-09T10:50:00Z">
        <w:r w:rsidRPr="00295E71">
          <w:rPr>
            <w:b/>
            <w:bCs/>
            <w:sz w:val="22"/>
            <w:szCs w:val="22"/>
          </w:rPr>
          <w:delText>2.</w:delText>
        </w:r>
      </w:del>
      <w:del w:id="14143" w:author="AbbVie14" w:date="2025-05-09T10:50:00Z">
        <w:r w:rsidRPr="00295E71">
          <w:rPr>
            <w:b/>
            <w:bCs/>
            <w:sz w:val="22"/>
            <w:szCs w:val="22"/>
          </w:rPr>
          <w:tab/>
          <w:delText>NOME DEL TITOLARE DELL’AUTORIZZAZIONE ALL’IMMISSIONE IN COMMERCIO</w:delText>
        </w:r>
      </w:del>
    </w:p>
    <w:p w:rsidR="006224C2" w:rsidRPr="00295E71" w14:paraId="5BBA322D" w14:textId="77777777">
      <w:pPr>
        <w:tabs>
          <w:tab w:val="left" w:pos="567"/>
        </w:tabs>
        <w:ind w:left="540" w:hanging="540"/>
        <w:jc w:val="both"/>
        <w:rPr>
          <w:del w:id="14144" w:author="AbbVie14" w:date="2025-05-09T10:50:00Z"/>
          <w:sz w:val="22"/>
          <w:szCs w:val="22"/>
        </w:rPr>
      </w:pPr>
    </w:p>
    <w:p w:rsidR="006224C2" w:rsidRPr="00295E71" w14:paraId="1123E22F" w14:textId="77777777">
      <w:pPr>
        <w:tabs>
          <w:tab w:val="left" w:pos="567"/>
        </w:tabs>
        <w:ind w:left="540" w:hanging="540"/>
        <w:jc w:val="both"/>
        <w:rPr>
          <w:del w:id="14145" w:author="AbbVie14" w:date="2025-05-09T10:50:00Z"/>
          <w:sz w:val="22"/>
          <w:szCs w:val="22"/>
        </w:rPr>
      </w:pPr>
      <w:del w:id="14146" w:author="AbbVie14" w:date="2025-05-09T10:50:00Z">
        <w:r w:rsidRPr="00295E71">
          <w:rPr>
            <w:sz w:val="22"/>
            <w:szCs w:val="22"/>
          </w:rPr>
          <w:delText xml:space="preserve">AbbVie </w:delText>
        </w:r>
      </w:del>
      <w:del w:id="14147" w:author="AbbVie14" w:date="2025-05-09T10:50:00Z">
        <w:r w:rsidRPr="00295E71" w:rsidR="00490B34">
          <w:rPr>
            <w:sz w:val="22"/>
            <w:szCs w:val="22"/>
            <w:highlight w:val="lightGray"/>
          </w:rPr>
          <w:delText>(logo)</w:delText>
        </w:r>
      </w:del>
    </w:p>
    <w:p w:rsidR="006224C2" w:rsidRPr="00295E71" w14:paraId="28A8E5E4" w14:textId="77777777">
      <w:pPr>
        <w:tabs>
          <w:tab w:val="left" w:pos="567"/>
        </w:tabs>
        <w:ind w:left="540" w:hanging="540"/>
        <w:jc w:val="both"/>
        <w:rPr>
          <w:del w:id="14148" w:author="AbbVie14" w:date="2025-05-09T10:50:00Z"/>
          <w:sz w:val="22"/>
          <w:szCs w:val="22"/>
        </w:rPr>
      </w:pPr>
    </w:p>
    <w:p w:rsidR="006224C2" w:rsidRPr="00295E71" w14:paraId="728813DF" w14:textId="77777777">
      <w:pPr>
        <w:pStyle w:val="EndnoteText"/>
        <w:ind w:left="540" w:hanging="540"/>
        <w:jc w:val="both"/>
        <w:rPr>
          <w:del w:id="14149" w:author="AbbVie14" w:date="2025-05-09T10:50:00Z"/>
          <w:lang w:val="it-IT"/>
        </w:rPr>
      </w:pPr>
    </w:p>
    <w:p w:rsidR="006224C2" w:rsidRPr="00295E71" w14:paraId="696F4D1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4150" w:author="AbbVie14" w:date="2025-05-09T10:50:00Z"/>
          <w:b/>
          <w:bCs/>
          <w:sz w:val="22"/>
          <w:szCs w:val="22"/>
        </w:rPr>
      </w:pPr>
      <w:del w:id="14151" w:author="AbbVie14" w:date="2025-05-09T10:50:00Z">
        <w:r w:rsidRPr="00295E71">
          <w:rPr>
            <w:b/>
            <w:bCs/>
            <w:sz w:val="22"/>
            <w:szCs w:val="22"/>
          </w:rPr>
          <w:delText>3.</w:delText>
        </w:r>
      </w:del>
      <w:del w:id="14152" w:author="AbbVie14" w:date="2025-05-09T10:50:00Z">
        <w:r w:rsidRPr="00295E71">
          <w:rPr>
            <w:b/>
            <w:bCs/>
            <w:sz w:val="22"/>
            <w:szCs w:val="22"/>
          </w:rPr>
          <w:tab/>
          <w:delText>DATA DI SCADENZA</w:delText>
        </w:r>
      </w:del>
    </w:p>
    <w:p w:rsidR="006224C2" w:rsidRPr="00295E71" w14:paraId="6DEE6285" w14:textId="77777777">
      <w:pPr>
        <w:tabs>
          <w:tab w:val="left" w:pos="567"/>
        </w:tabs>
        <w:ind w:left="540" w:hanging="540"/>
        <w:jc w:val="both"/>
        <w:rPr>
          <w:del w:id="14153" w:author="AbbVie14" w:date="2025-05-09T10:50:00Z"/>
          <w:sz w:val="22"/>
          <w:szCs w:val="22"/>
        </w:rPr>
      </w:pPr>
    </w:p>
    <w:p w:rsidR="006224C2" w:rsidRPr="00295E71" w14:paraId="6D46745C" w14:textId="77777777">
      <w:pPr>
        <w:tabs>
          <w:tab w:val="left" w:pos="567"/>
        </w:tabs>
        <w:ind w:left="540" w:hanging="540"/>
        <w:jc w:val="both"/>
        <w:rPr>
          <w:del w:id="14154" w:author="AbbVie14" w:date="2025-05-09T10:50:00Z"/>
          <w:sz w:val="22"/>
          <w:szCs w:val="22"/>
        </w:rPr>
      </w:pPr>
      <w:del w:id="14155" w:author="AbbVie14" w:date="2025-05-09T10:50:00Z">
        <w:r w:rsidRPr="00295E71">
          <w:rPr>
            <w:sz w:val="22"/>
            <w:szCs w:val="22"/>
          </w:rPr>
          <w:delText xml:space="preserve">Scad. </w:delText>
        </w:r>
      </w:del>
    </w:p>
    <w:p w:rsidR="006224C2" w:rsidRPr="00295E71" w14:paraId="42EAEAED" w14:textId="77777777">
      <w:pPr>
        <w:tabs>
          <w:tab w:val="left" w:pos="567"/>
        </w:tabs>
        <w:ind w:left="540" w:hanging="540"/>
        <w:jc w:val="both"/>
        <w:rPr>
          <w:del w:id="14156" w:author="AbbVie14" w:date="2025-05-09T10:50:00Z"/>
          <w:sz w:val="22"/>
          <w:szCs w:val="22"/>
        </w:rPr>
      </w:pPr>
    </w:p>
    <w:p w:rsidR="006224C2" w:rsidRPr="00295E71" w14:paraId="49436987" w14:textId="77777777">
      <w:pPr>
        <w:tabs>
          <w:tab w:val="left" w:pos="567"/>
        </w:tabs>
        <w:ind w:left="540" w:hanging="540"/>
        <w:jc w:val="both"/>
        <w:rPr>
          <w:del w:id="14157" w:author="AbbVie14" w:date="2025-05-09T10:50:00Z"/>
          <w:sz w:val="22"/>
          <w:szCs w:val="22"/>
        </w:rPr>
      </w:pPr>
    </w:p>
    <w:p w:rsidR="006224C2" w:rsidRPr="00295E71" w14:paraId="3A343B4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4158" w:author="AbbVie14" w:date="2025-05-09T10:50:00Z"/>
          <w:b/>
          <w:bCs/>
          <w:sz w:val="22"/>
          <w:szCs w:val="22"/>
        </w:rPr>
      </w:pPr>
      <w:del w:id="14159" w:author="AbbVie14" w:date="2025-05-09T10:50:00Z">
        <w:r w:rsidRPr="00295E71">
          <w:rPr>
            <w:b/>
            <w:bCs/>
            <w:sz w:val="22"/>
            <w:szCs w:val="22"/>
          </w:rPr>
          <w:delText>4.</w:delText>
        </w:r>
      </w:del>
      <w:del w:id="14160" w:author="AbbVie14" w:date="2025-05-09T10:50:00Z">
        <w:r w:rsidRPr="00295E71">
          <w:rPr>
            <w:b/>
            <w:bCs/>
            <w:sz w:val="22"/>
            <w:szCs w:val="22"/>
          </w:rPr>
          <w:tab/>
          <w:delText>NUMERO DI LOTTO</w:delText>
        </w:r>
      </w:del>
    </w:p>
    <w:p w:rsidR="006224C2" w:rsidRPr="00295E71" w14:paraId="00D40252" w14:textId="77777777">
      <w:pPr>
        <w:tabs>
          <w:tab w:val="left" w:pos="567"/>
        </w:tabs>
        <w:ind w:left="540" w:hanging="540"/>
        <w:jc w:val="both"/>
        <w:rPr>
          <w:del w:id="14161" w:author="AbbVie14" w:date="2025-05-09T10:50:00Z"/>
          <w:sz w:val="22"/>
          <w:szCs w:val="22"/>
        </w:rPr>
      </w:pPr>
    </w:p>
    <w:p w:rsidR="006224C2" w:rsidRPr="00295E71" w14:paraId="6069B53D" w14:textId="77777777">
      <w:pPr>
        <w:tabs>
          <w:tab w:val="left" w:pos="567"/>
        </w:tabs>
        <w:ind w:left="540" w:hanging="540"/>
        <w:jc w:val="both"/>
        <w:rPr>
          <w:del w:id="14162" w:author="AbbVie14" w:date="2025-05-09T10:50:00Z"/>
          <w:sz w:val="22"/>
          <w:szCs w:val="22"/>
        </w:rPr>
      </w:pPr>
      <w:del w:id="14163" w:author="AbbVie14" w:date="2025-05-09T10:50:00Z">
        <w:r w:rsidRPr="00295E71">
          <w:rPr>
            <w:sz w:val="22"/>
            <w:szCs w:val="22"/>
          </w:rPr>
          <w:delText xml:space="preserve">Lotto </w:delText>
        </w:r>
      </w:del>
    </w:p>
    <w:p w:rsidR="006224C2" w:rsidRPr="00295E71" w14:paraId="525AE0DE" w14:textId="77777777">
      <w:pPr>
        <w:shd w:val="clear" w:color="auto" w:fill="FFFFFF"/>
        <w:tabs>
          <w:tab w:val="left" w:pos="567"/>
        </w:tabs>
        <w:ind w:left="540" w:hanging="540"/>
        <w:rPr>
          <w:del w:id="14164" w:author="AbbVie14" w:date="2025-05-09T10:50:00Z"/>
          <w:bCs/>
          <w:sz w:val="22"/>
          <w:szCs w:val="22"/>
        </w:rPr>
      </w:pPr>
    </w:p>
    <w:p w:rsidR="006224C2" w:rsidRPr="00295E71" w14:paraId="037185AF" w14:textId="77777777">
      <w:pPr>
        <w:tabs>
          <w:tab w:val="left" w:pos="567"/>
        </w:tabs>
        <w:ind w:left="540" w:hanging="540"/>
        <w:rPr>
          <w:del w:id="14165" w:author="AbbVie14" w:date="2025-05-09T10:50:00Z"/>
          <w:bCs/>
          <w:sz w:val="22"/>
          <w:szCs w:val="22"/>
        </w:rPr>
      </w:pPr>
    </w:p>
    <w:p w:rsidR="006224C2" w:rsidRPr="00295E71" w14:paraId="352246A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166" w:author="AbbVie14" w:date="2025-05-09T10:50:00Z"/>
          <w:b/>
          <w:bCs/>
          <w:sz w:val="22"/>
          <w:szCs w:val="22"/>
          <w:u w:val="single"/>
        </w:rPr>
      </w:pPr>
      <w:del w:id="14167" w:author="AbbVie14" w:date="2025-05-09T10:50:00Z">
        <w:r w:rsidRPr="00295E71">
          <w:rPr>
            <w:b/>
            <w:bCs/>
            <w:sz w:val="22"/>
            <w:szCs w:val="22"/>
          </w:rPr>
          <w:delText>5.</w:delText>
        </w:r>
      </w:del>
      <w:del w:id="14168" w:author="AbbVie14" w:date="2025-05-09T10:50:00Z">
        <w:r w:rsidRPr="00295E71">
          <w:rPr>
            <w:b/>
            <w:bCs/>
            <w:sz w:val="22"/>
            <w:szCs w:val="22"/>
          </w:rPr>
          <w:tab/>
          <w:delText>ALTRO</w:delText>
        </w:r>
      </w:del>
    </w:p>
    <w:p w:rsidR="006224C2" w:rsidRPr="00295E71" w14:paraId="7EFDDB85" w14:textId="77777777">
      <w:pPr>
        <w:tabs>
          <w:tab w:val="left" w:pos="567"/>
        </w:tabs>
        <w:rPr>
          <w:del w:id="14169" w:author="AbbVie14" w:date="2025-05-09T10:50:00Z"/>
          <w:sz w:val="22"/>
          <w:szCs w:val="22"/>
        </w:rPr>
      </w:pPr>
    </w:p>
    <w:p w:rsidR="006224C2" w:rsidRPr="00295E71" w14:paraId="6BDB6F81" w14:textId="77777777">
      <w:pPr>
        <w:tabs>
          <w:tab w:val="left" w:pos="567"/>
        </w:tabs>
        <w:rPr>
          <w:del w:id="14170" w:author="AbbVie14" w:date="2025-05-09T10:50:00Z"/>
          <w:sz w:val="22"/>
          <w:szCs w:val="22"/>
        </w:rPr>
      </w:pPr>
      <w:del w:id="14171" w:author="AbbVie14" w:date="2025-05-09T10:50:00Z">
        <w:r w:rsidRPr="00295E71">
          <w:rPr>
            <w:sz w:val="22"/>
            <w:szCs w:val="22"/>
          </w:rPr>
          <w:delText>Vedere il foglio illustrativo per le informazioni sulle condizioni di conservazione.</w:delText>
        </w:r>
      </w:del>
    </w:p>
    <w:p w:rsidR="00051655" w:rsidRPr="00295E71" w14:paraId="5C51A12C" w14:textId="77777777">
      <w:pPr>
        <w:tabs>
          <w:tab w:val="left" w:pos="567"/>
        </w:tabs>
        <w:rPr>
          <w:del w:id="14172" w:author="AbbVie14" w:date="2025-05-09T10:50:00Z"/>
          <w:sz w:val="22"/>
          <w:szCs w:val="22"/>
        </w:rPr>
      </w:pPr>
    </w:p>
    <w:p w:rsidR="006224C2" w:rsidRPr="00295E71" w14:paraId="42A0F1D2" w14:textId="77777777">
      <w:pPr>
        <w:tabs>
          <w:tab w:val="left" w:pos="567"/>
        </w:tabs>
        <w:rPr>
          <w:del w:id="14173" w:author="AbbVie14" w:date="2025-05-09T10:50:00Z"/>
          <w:sz w:val="22"/>
          <w:szCs w:val="22"/>
        </w:rPr>
      </w:pPr>
      <w:del w:id="14174" w:author="AbbVie14" w:date="2025-05-09T10:50:00Z">
        <w:r w:rsidRPr="00295E71">
          <w:rPr>
            <w:sz w:val="22"/>
            <w:szCs w:val="22"/>
          </w:rPr>
          <w:delText>Esclusivamente monouso</w:delText>
        </w:r>
      </w:del>
      <w:del w:id="14175" w:author="AbbVie14" w:date="2025-05-09T10:50:00Z">
        <w:r w:rsidRPr="00295E71" w:rsidR="00051655">
          <w:rPr>
            <w:sz w:val="22"/>
            <w:szCs w:val="22"/>
          </w:rPr>
          <w:delText>.</w:delText>
        </w:r>
      </w:del>
    </w:p>
    <w:p w:rsidR="00051655" w:rsidRPr="00295E71" w14:paraId="3369E127" w14:textId="77777777">
      <w:pPr>
        <w:tabs>
          <w:tab w:val="left" w:pos="567"/>
        </w:tabs>
        <w:rPr>
          <w:del w:id="14176" w:author="AbbVie14" w:date="2025-05-09T10:50:00Z"/>
          <w:sz w:val="22"/>
          <w:szCs w:val="22"/>
        </w:rPr>
      </w:pPr>
    </w:p>
    <w:p w:rsidR="00051655" w:rsidRPr="00295E71" w14:paraId="7FEF632A" w14:textId="77777777">
      <w:pPr>
        <w:tabs>
          <w:tab w:val="left" w:pos="567"/>
        </w:tabs>
        <w:rPr>
          <w:del w:id="14177" w:author="AbbVie14" w:date="2025-05-09T10:50:00Z"/>
          <w:sz w:val="22"/>
          <w:szCs w:val="22"/>
        </w:rPr>
      </w:pPr>
      <w:del w:id="14178" w:author="AbbVie14" w:date="2025-05-09T10:50:00Z">
        <w:r w:rsidRPr="00295E71">
          <w:rPr>
            <w:sz w:val="22"/>
            <w:szCs w:val="22"/>
          </w:rPr>
          <w:delText>Con dispositivo di sicurezza per l’ago</w:delText>
        </w:r>
      </w:del>
    </w:p>
    <w:p w:rsidR="006224C2" w:rsidRPr="00295E71" w14:paraId="1DBC45D6" w14:textId="77777777">
      <w:pPr>
        <w:tabs>
          <w:tab w:val="left" w:pos="567"/>
        </w:tabs>
        <w:rPr>
          <w:del w:id="14179" w:author="AbbVie14" w:date="2025-05-09T10:50:00Z"/>
          <w:sz w:val="22"/>
          <w:szCs w:val="22"/>
        </w:rPr>
      </w:pPr>
    </w:p>
    <w:p w:rsidR="006224C2" w:rsidRPr="00295E71" w14:paraId="5ACFD4B8" w14:textId="77777777">
      <w:pPr>
        <w:tabs>
          <w:tab w:val="left" w:pos="567"/>
        </w:tabs>
        <w:rPr>
          <w:del w:id="14180" w:author="AbbVie14" w:date="2025-05-09T10:50:00Z"/>
          <w:sz w:val="22"/>
          <w:szCs w:val="22"/>
        </w:rPr>
      </w:pPr>
      <w:del w:id="14181" w:author="AbbVie14" w:date="2025-05-09T10:50:00Z">
        <w:r w:rsidRPr="00295E71">
          <w:rPr>
            <w:sz w:val="22"/>
            <w:szCs w:val="22"/>
          </w:rPr>
          <w:br w:type="page"/>
        </w:r>
      </w:del>
    </w:p>
    <w:p w:rsidR="006224C2" w:rsidRPr="00295E71" w14:paraId="72207699" w14:textId="77777777">
      <w:pPr>
        <w:pBdr>
          <w:top w:val="single" w:sz="4" w:space="1" w:color="auto"/>
          <w:left w:val="single" w:sz="4" w:space="1" w:color="auto"/>
          <w:bottom w:val="single" w:sz="4" w:space="1" w:color="auto"/>
          <w:right w:val="single" w:sz="4" w:space="1" w:color="auto"/>
        </w:pBdr>
        <w:rPr>
          <w:del w:id="14182" w:author="AbbVie14" w:date="2025-05-09T10:50:00Z"/>
          <w:b/>
          <w:bCs/>
          <w:sz w:val="22"/>
          <w:szCs w:val="22"/>
        </w:rPr>
      </w:pPr>
      <w:del w:id="14183" w:author="AbbVie14" w:date="2025-05-09T10:50:00Z">
        <w:r w:rsidRPr="00295E71">
          <w:rPr>
            <w:b/>
            <w:bCs/>
            <w:sz w:val="22"/>
            <w:szCs w:val="22"/>
          </w:rPr>
          <w:delText>INFORMAZIONI MINIME DA APPORRE SUI CONFEZIONAMENTI PRIMARI DIPICCOLE DIMENSIONI</w:delText>
        </w:r>
      </w:del>
    </w:p>
    <w:p w:rsidR="006224C2" w:rsidRPr="00295E71" w14:paraId="6272D107" w14:textId="77777777">
      <w:pPr>
        <w:pBdr>
          <w:top w:val="single" w:sz="4" w:space="1" w:color="auto"/>
          <w:left w:val="single" w:sz="4" w:space="1" w:color="auto"/>
          <w:bottom w:val="single" w:sz="4" w:space="1" w:color="auto"/>
          <w:right w:val="single" w:sz="4" w:space="1" w:color="auto"/>
        </w:pBdr>
        <w:rPr>
          <w:del w:id="14184" w:author="AbbVie14" w:date="2025-05-09T10:50:00Z"/>
          <w:b/>
          <w:bCs/>
          <w:sz w:val="22"/>
          <w:szCs w:val="22"/>
        </w:rPr>
      </w:pPr>
    </w:p>
    <w:p w:rsidR="006224C2" w:rsidRPr="00295E71" w14:paraId="69C9E6B6" w14:textId="77777777">
      <w:pPr>
        <w:pBdr>
          <w:top w:val="single" w:sz="4" w:space="1" w:color="auto"/>
          <w:left w:val="single" w:sz="4" w:space="1" w:color="auto"/>
          <w:bottom w:val="single" w:sz="4" w:space="1" w:color="auto"/>
          <w:right w:val="single" w:sz="4" w:space="1" w:color="auto"/>
        </w:pBdr>
        <w:tabs>
          <w:tab w:val="left" w:pos="567"/>
        </w:tabs>
        <w:ind w:left="540" w:hanging="540"/>
        <w:rPr>
          <w:del w:id="14185" w:author="AbbVie14" w:date="2025-05-09T10:50:00Z"/>
          <w:b/>
          <w:bCs/>
          <w:caps/>
          <w:sz w:val="22"/>
          <w:szCs w:val="22"/>
        </w:rPr>
      </w:pPr>
      <w:del w:id="14186" w:author="AbbVie14" w:date="2025-05-09T10:50:00Z">
        <w:r w:rsidRPr="00295E71">
          <w:rPr>
            <w:b/>
            <w:bCs/>
            <w:caps/>
            <w:sz w:val="22"/>
            <w:szCs w:val="22"/>
          </w:rPr>
          <w:delText>Etichetta da apporre sulla siringa</w:delText>
        </w:r>
      </w:del>
    </w:p>
    <w:p w:rsidR="006224C2" w:rsidRPr="00295E71" w14:paraId="01A4C6E9" w14:textId="77777777">
      <w:pPr>
        <w:pStyle w:val="Index1"/>
        <w:tabs>
          <w:tab w:val="left" w:pos="567"/>
        </w:tabs>
        <w:spacing w:line="260" w:lineRule="exact"/>
        <w:ind w:left="540" w:hanging="540"/>
        <w:rPr>
          <w:del w:id="14187" w:author="AbbVie14" w:date="2025-05-09T10:50:00Z"/>
          <w:lang w:val="it-IT"/>
        </w:rPr>
      </w:pPr>
    </w:p>
    <w:p w:rsidR="006224C2" w:rsidRPr="00295E71" w14:paraId="296F969D" w14:textId="77777777">
      <w:pPr>
        <w:tabs>
          <w:tab w:val="left" w:pos="567"/>
        </w:tabs>
        <w:ind w:left="540" w:hanging="540"/>
        <w:rPr>
          <w:del w:id="14188" w:author="AbbVie14" w:date="2025-05-09T10:50:00Z"/>
          <w:b/>
          <w:bCs/>
          <w:sz w:val="22"/>
          <w:szCs w:val="22"/>
        </w:rPr>
      </w:pPr>
    </w:p>
    <w:p w:rsidR="006224C2" w:rsidRPr="00295E71" w14:paraId="38F1C0D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189" w:author="AbbVie14" w:date="2025-05-09T10:50:00Z"/>
          <w:b/>
          <w:bCs/>
          <w:sz w:val="22"/>
          <w:szCs w:val="22"/>
        </w:rPr>
      </w:pPr>
      <w:del w:id="14190" w:author="AbbVie14" w:date="2025-05-09T10:50:00Z">
        <w:r w:rsidRPr="00295E71">
          <w:rPr>
            <w:b/>
            <w:bCs/>
            <w:sz w:val="22"/>
            <w:szCs w:val="22"/>
          </w:rPr>
          <w:delText>1.</w:delText>
        </w:r>
      </w:del>
      <w:del w:id="14191" w:author="AbbVie14" w:date="2025-05-09T10:50:00Z">
        <w:r w:rsidRPr="00295E71">
          <w:rPr>
            <w:b/>
            <w:bCs/>
            <w:sz w:val="22"/>
            <w:szCs w:val="22"/>
          </w:rPr>
          <w:tab/>
          <w:delText>DENOMINAZIONE DEL MEDICINALE E VIA DI SOMMINISTRAZIONE</w:delText>
        </w:r>
      </w:del>
    </w:p>
    <w:p w:rsidR="006224C2" w:rsidRPr="00295E71" w14:paraId="2D7F6869" w14:textId="77777777">
      <w:pPr>
        <w:tabs>
          <w:tab w:val="left" w:pos="567"/>
        </w:tabs>
        <w:ind w:left="540" w:hanging="540"/>
        <w:rPr>
          <w:del w:id="14192" w:author="AbbVie14" w:date="2025-05-09T10:50:00Z"/>
          <w:sz w:val="22"/>
          <w:szCs w:val="22"/>
        </w:rPr>
      </w:pPr>
    </w:p>
    <w:p w:rsidR="006224C2" w:rsidRPr="00295E71" w14:paraId="0BD548C8" w14:textId="77777777">
      <w:pPr>
        <w:tabs>
          <w:tab w:val="left" w:pos="567"/>
        </w:tabs>
        <w:ind w:left="540" w:hanging="540"/>
        <w:rPr>
          <w:del w:id="14193" w:author="AbbVie14" w:date="2025-05-09T10:50:00Z"/>
          <w:sz w:val="22"/>
          <w:szCs w:val="22"/>
        </w:rPr>
      </w:pPr>
      <w:del w:id="14194" w:author="AbbVie14" w:date="2025-05-09T10:50:00Z">
        <w:r w:rsidRPr="00295E71">
          <w:rPr>
            <w:sz w:val="22"/>
            <w:szCs w:val="22"/>
          </w:rPr>
          <w:delText>Humira 40 mg iniettabile</w:delText>
        </w:r>
      </w:del>
    </w:p>
    <w:p w:rsidR="006224C2" w:rsidRPr="00295E71" w14:paraId="1055E2D2" w14:textId="77777777">
      <w:pPr>
        <w:tabs>
          <w:tab w:val="left" w:pos="567"/>
        </w:tabs>
        <w:ind w:left="540" w:hanging="540"/>
        <w:rPr>
          <w:del w:id="14195" w:author="AbbVie14" w:date="2025-05-09T10:50:00Z"/>
          <w:sz w:val="22"/>
          <w:szCs w:val="22"/>
        </w:rPr>
      </w:pPr>
      <w:del w:id="14196" w:author="AbbVie14" w:date="2025-05-09T10:50:00Z">
        <w:r w:rsidRPr="00295E71">
          <w:rPr>
            <w:sz w:val="22"/>
            <w:szCs w:val="22"/>
          </w:rPr>
          <w:delText>adalimumab</w:delText>
        </w:r>
      </w:del>
    </w:p>
    <w:p w:rsidR="006224C2" w:rsidRPr="00295E71" w14:paraId="49EB54AD" w14:textId="77777777">
      <w:pPr>
        <w:pStyle w:val="EndnoteText"/>
        <w:ind w:left="540" w:hanging="540"/>
        <w:rPr>
          <w:del w:id="14197" w:author="AbbVie14" w:date="2025-05-09T10:50:00Z"/>
          <w:lang w:val="it-IT"/>
        </w:rPr>
      </w:pPr>
      <w:del w:id="14198" w:author="AbbVie14" w:date="2025-05-09T10:50:00Z">
        <w:r w:rsidRPr="00295E71">
          <w:rPr>
            <w:lang w:val="it-IT"/>
          </w:rPr>
          <w:delText>s.c.</w:delText>
        </w:r>
      </w:del>
    </w:p>
    <w:p w:rsidR="006224C2" w:rsidRPr="00295E71" w14:paraId="641C4823" w14:textId="77777777">
      <w:pPr>
        <w:tabs>
          <w:tab w:val="left" w:pos="567"/>
        </w:tabs>
        <w:ind w:left="540" w:hanging="540"/>
        <w:rPr>
          <w:del w:id="14199" w:author="AbbVie14" w:date="2025-05-09T10:50:00Z"/>
          <w:b/>
          <w:bCs/>
          <w:sz w:val="22"/>
          <w:szCs w:val="22"/>
        </w:rPr>
      </w:pPr>
    </w:p>
    <w:p w:rsidR="006224C2" w:rsidRPr="00295E71" w14:paraId="2C085802" w14:textId="77777777">
      <w:pPr>
        <w:tabs>
          <w:tab w:val="left" w:pos="567"/>
        </w:tabs>
        <w:ind w:left="540" w:hanging="540"/>
        <w:rPr>
          <w:del w:id="14200" w:author="AbbVie14" w:date="2025-05-09T10:50:00Z"/>
          <w:b/>
          <w:bCs/>
          <w:sz w:val="22"/>
          <w:szCs w:val="22"/>
        </w:rPr>
      </w:pPr>
    </w:p>
    <w:p w:rsidR="006224C2" w:rsidRPr="00295E71" w14:paraId="572510C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201" w:author="AbbVie14" w:date="2025-05-09T10:50:00Z"/>
          <w:b/>
          <w:bCs/>
          <w:sz w:val="22"/>
          <w:szCs w:val="22"/>
        </w:rPr>
      </w:pPr>
      <w:del w:id="14202" w:author="AbbVie14" w:date="2025-05-09T10:50:00Z">
        <w:r w:rsidRPr="00295E71">
          <w:rPr>
            <w:b/>
            <w:bCs/>
            <w:sz w:val="22"/>
            <w:szCs w:val="22"/>
          </w:rPr>
          <w:delText>2.</w:delText>
        </w:r>
      </w:del>
      <w:del w:id="14203" w:author="AbbVie14" w:date="2025-05-09T10:50:00Z">
        <w:r w:rsidRPr="00295E71">
          <w:rPr>
            <w:b/>
            <w:bCs/>
            <w:sz w:val="22"/>
            <w:szCs w:val="22"/>
          </w:rPr>
          <w:tab/>
          <w:delText>MODO DI SOMMINISTRAZIONE</w:delText>
        </w:r>
      </w:del>
    </w:p>
    <w:p w:rsidR="006224C2" w:rsidRPr="00295E71" w14:paraId="44018A25" w14:textId="77777777">
      <w:pPr>
        <w:pStyle w:val="IndexHeading"/>
        <w:spacing w:line="240" w:lineRule="auto"/>
        <w:ind w:left="540" w:hanging="540"/>
        <w:rPr>
          <w:del w:id="14204" w:author="AbbVie14" w:date="2025-05-09T10:50:00Z"/>
          <w:rFonts w:ascii="Times New Roman" w:hAnsi="Times New Roman" w:cs="Times New Roman"/>
          <w:lang w:val="it-IT"/>
        </w:rPr>
      </w:pPr>
    </w:p>
    <w:p w:rsidR="006224C2" w:rsidRPr="00295E71" w14:paraId="0A1D7DD8" w14:textId="77777777">
      <w:pPr>
        <w:tabs>
          <w:tab w:val="left" w:pos="567"/>
        </w:tabs>
        <w:ind w:left="540" w:hanging="540"/>
        <w:rPr>
          <w:del w:id="14205" w:author="AbbVie14" w:date="2025-05-09T10:50:00Z"/>
          <w:b/>
          <w:bCs/>
          <w:sz w:val="22"/>
          <w:szCs w:val="22"/>
        </w:rPr>
      </w:pPr>
    </w:p>
    <w:p w:rsidR="006224C2" w:rsidRPr="00295E71" w14:paraId="2871772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206" w:author="AbbVie14" w:date="2025-05-09T10:50:00Z"/>
          <w:b/>
          <w:bCs/>
          <w:sz w:val="22"/>
          <w:szCs w:val="22"/>
        </w:rPr>
      </w:pPr>
      <w:del w:id="14207" w:author="AbbVie14" w:date="2025-05-09T10:50:00Z">
        <w:r w:rsidRPr="00295E71">
          <w:rPr>
            <w:b/>
            <w:bCs/>
            <w:sz w:val="22"/>
            <w:szCs w:val="22"/>
          </w:rPr>
          <w:delText>3.</w:delText>
        </w:r>
      </w:del>
      <w:del w:id="14208" w:author="AbbVie14" w:date="2025-05-09T10:50:00Z">
        <w:r w:rsidRPr="00295E71">
          <w:rPr>
            <w:b/>
            <w:bCs/>
            <w:sz w:val="22"/>
            <w:szCs w:val="22"/>
          </w:rPr>
          <w:tab/>
          <w:delText>DATA DI SCADENZA</w:delText>
        </w:r>
      </w:del>
    </w:p>
    <w:p w:rsidR="006224C2" w:rsidRPr="00295E71" w14:paraId="23F3CE2F" w14:textId="77777777">
      <w:pPr>
        <w:tabs>
          <w:tab w:val="left" w:pos="567"/>
        </w:tabs>
        <w:ind w:left="540" w:hanging="540"/>
        <w:rPr>
          <w:del w:id="14209" w:author="AbbVie14" w:date="2025-05-09T10:50:00Z"/>
          <w:sz w:val="22"/>
          <w:szCs w:val="22"/>
        </w:rPr>
      </w:pPr>
    </w:p>
    <w:p w:rsidR="006224C2" w:rsidRPr="00295E71" w14:paraId="5B39A675" w14:textId="77777777">
      <w:pPr>
        <w:tabs>
          <w:tab w:val="left" w:pos="567"/>
        </w:tabs>
        <w:ind w:left="540" w:hanging="540"/>
        <w:rPr>
          <w:del w:id="14210" w:author="AbbVie14" w:date="2025-05-09T10:50:00Z"/>
          <w:sz w:val="22"/>
          <w:szCs w:val="22"/>
        </w:rPr>
      </w:pPr>
      <w:del w:id="14211" w:author="AbbVie14" w:date="2025-05-09T10:50:00Z">
        <w:r w:rsidRPr="00295E71">
          <w:rPr>
            <w:sz w:val="22"/>
            <w:szCs w:val="22"/>
          </w:rPr>
          <w:delText xml:space="preserve">Scad. </w:delText>
        </w:r>
      </w:del>
    </w:p>
    <w:p w:rsidR="006224C2" w:rsidRPr="00295E71" w14:paraId="4DB3B7FC" w14:textId="77777777">
      <w:pPr>
        <w:tabs>
          <w:tab w:val="left" w:pos="567"/>
        </w:tabs>
        <w:ind w:left="540" w:hanging="540"/>
        <w:rPr>
          <w:del w:id="14212" w:author="AbbVie14" w:date="2025-05-09T10:50:00Z"/>
          <w:b/>
          <w:bCs/>
          <w:sz w:val="22"/>
          <w:szCs w:val="22"/>
        </w:rPr>
      </w:pPr>
    </w:p>
    <w:p w:rsidR="006224C2" w:rsidRPr="00295E71" w14:paraId="02A62474" w14:textId="77777777">
      <w:pPr>
        <w:tabs>
          <w:tab w:val="left" w:pos="567"/>
        </w:tabs>
        <w:ind w:left="540" w:hanging="540"/>
        <w:rPr>
          <w:del w:id="14213" w:author="AbbVie14" w:date="2025-05-09T10:50:00Z"/>
          <w:sz w:val="22"/>
          <w:szCs w:val="22"/>
        </w:rPr>
      </w:pPr>
    </w:p>
    <w:p w:rsidR="006224C2" w:rsidRPr="00295E71" w14:paraId="3AD12AD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214" w:author="AbbVie14" w:date="2025-05-09T10:50:00Z"/>
          <w:b/>
          <w:bCs/>
          <w:sz w:val="22"/>
          <w:szCs w:val="22"/>
        </w:rPr>
      </w:pPr>
      <w:del w:id="14215" w:author="AbbVie14" w:date="2025-05-09T10:50:00Z">
        <w:r w:rsidRPr="00295E71">
          <w:rPr>
            <w:b/>
            <w:bCs/>
            <w:sz w:val="22"/>
            <w:szCs w:val="22"/>
          </w:rPr>
          <w:delText>4.</w:delText>
        </w:r>
      </w:del>
      <w:del w:id="14216" w:author="AbbVie14" w:date="2025-05-09T10:50:00Z">
        <w:r w:rsidRPr="00295E71">
          <w:rPr>
            <w:b/>
            <w:bCs/>
            <w:sz w:val="22"/>
            <w:szCs w:val="22"/>
          </w:rPr>
          <w:tab/>
          <w:delText>NUMERO DI LOTTO</w:delText>
        </w:r>
      </w:del>
    </w:p>
    <w:p w:rsidR="006224C2" w:rsidRPr="00295E71" w14:paraId="05646202" w14:textId="77777777">
      <w:pPr>
        <w:tabs>
          <w:tab w:val="left" w:pos="567"/>
        </w:tabs>
        <w:ind w:left="540" w:hanging="540"/>
        <w:rPr>
          <w:del w:id="14217" w:author="AbbVie14" w:date="2025-05-09T10:50:00Z"/>
          <w:sz w:val="22"/>
          <w:szCs w:val="22"/>
        </w:rPr>
      </w:pPr>
    </w:p>
    <w:p w:rsidR="006224C2" w:rsidRPr="00295E71" w14:paraId="7710952E" w14:textId="77777777">
      <w:pPr>
        <w:tabs>
          <w:tab w:val="left" w:pos="567"/>
        </w:tabs>
        <w:ind w:left="540" w:hanging="540"/>
        <w:rPr>
          <w:del w:id="14218" w:author="AbbVie14" w:date="2025-05-09T10:50:00Z"/>
          <w:sz w:val="22"/>
          <w:szCs w:val="22"/>
        </w:rPr>
      </w:pPr>
      <w:del w:id="14219" w:author="AbbVie14" w:date="2025-05-09T10:50:00Z">
        <w:r w:rsidRPr="00295E71">
          <w:rPr>
            <w:sz w:val="22"/>
            <w:szCs w:val="22"/>
          </w:rPr>
          <w:delText>Lotto</w:delText>
        </w:r>
      </w:del>
    </w:p>
    <w:p w:rsidR="006224C2" w:rsidRPr="00295E71" w14:paraId="5237F73A" w14:textId="77777777">
      <w:pPr>
        <w:tabs>
          <w:tab w:val="left" w:pos="567"/>
        </w:tabs>
        <w:ind w:left="540" w:right="113" w:hanging="540"/>
        <w:rPr>
          <w:del w:id="14220" w:author="AbbVie14" w:date="2025-05-09T10:50:00Z"/>
          <w:sz w:val="22"/>
          <w:szCs w:val="22"/>
        </w:rPr>
      </w:pPr>
    </w:p>
    <w:p w:rsidR="006224C2" w:rsidRPr="00295E71" w14:paraId="48144D1A" w14:textId="77777777">
      <w:pPr>
        <w:tabs>
          <w:tab w:val="left" w:pos="567"/>
        </w:tabs>
        <w:ind w:left="540" w:right="113" w:hanging="540"/>
        <w:rPr>
          <w:del w:id="14221" w:author="AbbVie14" w:date="2025-05-09T10:50:00Z"/>
          <w:sz w:val="22"/>
          <w:szCs w:val="22"/>
        </w:rPr>
      </w:pPr>
    </w:p>
    <w:p w:rsidR="006224C2" w:rsidRPr="00295E71" w14:paraId="4DDEC0E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222" w:author="AbbVie14" w:date="2025-05-09T10:50:00Z"/>
          <w:b/>
          <w:bCs/>
          <w:sz w:val="22"/>
          <w:szCs w:val="22"/>
        </w:rPr>
      </w:pPr>
      <w:del w:id="14223" w:author="AbbVie14" w:date="2025-05-09T10:50:00Z">
        <w:r w:rsidRPr="00295E71">
          <w:rPr>
            <w:b/>
            <w:bCs/>
            <w:sz w:val="22"/>
            <w:szCs w:val="22"/>
          </w:rPr>
          <w:delText>5.</w:delText>
        </w:r>
      </w:del>
      <w:del w:id="14224" w:author="AbbVie14" w:date="2025-05-09T10:50:00Z">
        <w:r w:rsidRPr="00295E71">
          <w:rPr>
            <w:b/>
            <w:bCs/>
            <w:sz w:val="22"/>
            <w:szCs w:val="22"/>
          </w:rPr>
          <w:tab/>
          <w:delText>CONTENUTO IN PESO, VOLUME O UNITA’</w:delText>
        </w:r>
      </w:del>
    </w:p>
    <w:p w:rsidR="006224C2" w:rsidRPr="00295E71" w14:paraId="759B2B51" w14:textId="77777777">
      <w:pPr>
        <w:tabs>
          <w:tab w:val="left" w:pos="567"/>
        </w:tabs>
        <w:ind w:left="540" w:hanging="540"/>
        <w:rPr>
          <w:del w:id="14225" w:author="AbbVie14" w:date="2025-05-09T10:50:00Z"/>
          <w:sz w:val="22"/>
          <w:szCs w:val="22"/>
        </w:rPr>
      </w:pPr>
    </w:p>
    <w:p w:rsidR="006224C2" w:rsidRPr="00295E71" w14:paraId="5CD9B49D" w14:textId="77777777">
      <w:pPr>
        <w:tabs>
          <w:tab w:val="left" w:pos="567"/>
        </w:tabs>
        <w:ind w:left="540" w:hanging="540"/>
        <w:rPr>
          <w:del w:id="14226" w:author="AbbVie14" w:date="2025-05-09T10:50:00Z"/>
          <w:sz w:val="22"/>
          <w:szCs w:val="22"/>
        </w:rPr>
      </w:pPr>
      <w:del w:id="14227" w:author="AbbVie14" w:date="2025-05-09T10:50:00Z">
        <w:r w:rsidRPr="00295E71">
          <w:rPr>
            <w:sz w:val="22"/>
            <w:szCs w:val="22"/>
          </w:rPr>
          <w:delText>40 mg/0,8 ml</w:delText>
        </w:r>
      </w:del>
    </w:p>
    <w:p w:rsidR="006224C2" w:rsidRPr="00295E71" w14:paraId="26F2E459" w14:textId="77777777">
      <w:pPr>
        <w:tabs>
          <w:tab w:val="left" w:pos="567"/>
        </w:tabs>
        <w:ind w:left="540" w:hanging="540"/>
        <w:rPr>
          <w:del w:id="14228" w:author="AbbVie14" w:date="2025-05-09T10:50:00Z"/>
          <w:sz w:val="22"/>
          <w:szCs w:val="22"/>
        </w:rPr>
      </w:pPr>
    </w:p>
    <w:p w:rsidR="006224C2" w:rsidRPr="00295E71" w14:paraId="4F2EE0BB" w14:textId="77777777">
      <w:pPr>
        <w:tabs>
          <w:tab w:val="left" w:pos="567"/>
        </w:tabs>
        <w:ind w:left="540" w:hanging="540"/>
        <w:rPr>
          <w:del w:id="14229" w:author="AbbVie14" w:date="2025-05-09T10:50:00Z"/>
          <w:b/>
          <w:bCs/>
          <w:sz w:val="22"/>
          <w:szCs w:val="22"/>
          <w:u w:val="single"/>
        </w:rPr>
      </w:pPr>
    </w:p>
    <w:p w:rsidR="006224C2" w:rsidRPr="00295E71" w14:paraId="54703AD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230" w:author="AbbVie14" w:date="2025-05-09T10:50:00Z"/>
          <w:b/>
          <w:bCs/>
          <w:sz w:val="22"/>
          <w:szCs w:val="22"/>
          <w:u w:val="single"/>
        </w:rPr>
      </w:pPr>
      <w:del w:id="14231" w:author="AbbVie14" w:date="2025-05-09T10:50:00Z">
        <w:r w:rsidRPr="00295E71">
          <w:rPr>
            <w:b/>
            <w:bCs/>
            <w:sz w:val="22"/>
            <w:szCs w:val="22"/>
          </w:rPr>
          <w:delText>6.</w:delText>
        </w:r>
      </w:del>
      <w:del w:id="14232" w:author="AbbVie14" w:date="2025-05-09T10:50:00Z">
        <w:r w:rsidRPr="00295E71">
          <w:rPr>
            <w:b/>
            <w:bCs/>
            <w:sz w:val="22"/>
            <w:szCs w:val="22"/>
          </w:rPr>
          <w:tab/>
          <w:delText>ALTRO</w:delText>
        </w:r>
      </w:del>
    </w:p>
    <w:p w:rsidR="006224C2" w:rsidRPr="00295E71" w14:paraId="708DA922" w14:textId="77777777">
      <w:pPr>
        <w:tabs>
          <w:tab w:val="left" w:pos="567"/>
        </w:tabs>
        <w:ind w:left="540" w:hanging="540"/>
        <w:jc w:val="both"/>
        <w:rPr>
          <w:del w:id="14233" w:author="AbbVie14" w:date="2025-05-09T10:50:00Z"/>
          <w:sz w:val="22"/>
          <w:szCs w:val="22"/>
        </w:rPr>
      </w:pPr>
    </w:p>
    <w:p w:rsidR="006224C2" w:rsidRPr="00295E71" w14:paraId="059E808E" w14:textId="77777777">
      <w:pPr>
        <w:pStyle w:val="EndnoteText"/>
        <w:ind w:left="540" w:hanging="540"/>
        <w:jc w:val="both"/>
        <w:rPr>
          <w:del w:id="14234" w:author="AbbVie14" w:date="2025-05-09T10:50:00Z"/>
          <w:lang w:val="it-IT"/>
        </w:rPr>
      </w:pPr>
    </w:p>
    <w:p w:rsidR="006224C2" w:rsidRPr="00295E71" w14:paraId="2CB67D29" w14:textId="77777777">
      <w:pPr>
        <w:pStyle w:val="Heading3"/>
        <w:keepNext w:val="0"/>
        <w:tabs>
          <w:tab w:val="left" w:pos="567"/>
        </w:tabs>
        <w:jc w:val="left"/>
        <w:rPr>
          <w:del w:id="14235" w:author="AbbVie14" w:date="2025-05-09T10:50:00Z"/>
        </w:rPr>
      </w:pPr>
      <w:del w:id="14236" w:author="AbbVie14" w:date="2025-05-09T10:50:00Z">
        <w:r w:rsidRPr="00295E71">
          <w:br w:type="page"/>
        </w:r>
      </w:del>
    </w:p>
    <w:p w:rsidR="006224C2" w:rsidRPr="00295E71" w14:paraId="6FEC62DC" w14:textId="77777777">
      <w:pPr>
        <w:pBdr>
          <w:top w:val="single" w:sz="4" w:space="1" w:color="auto"/>
          <w:left w:val="single" w:sz="4" w:space="4" w:color="auto"/>
          <w:bottom w:val="single" w:sz="4" w:space="1" w:color="auto"/>
          <w:right w:val="single" w:sz="4" w:space="4" w:color="auto"/>
        </w:pBdr>
        <w:tabs>
          <w:tab w:val="left" w:pos="567"/>
        </w:tabs>
        <w:jc w:val="both"/>
        <w:rPr>
          <w:del w:id="14237" w:author="AbbVie14" w:date="2025-05-09T10:50:00Z"/>
          <w:b/>
          <w:bCs/>
          <w:sz w:val="22"/>
          <w:szCs w:val="22"/>
        </w:rPr>
      </w:pPr>
      <w:del w:id="14238" w:author="AbbVie14" w:date="2025-05-09T10:50:00Z">
        <w:r w:rsidRPr="00295E71">
          <w:rPr>
            <w:b/>
            <w:bCs/>
            <w:sz w:val="22"/>
            <w:szCs w:val="22"/>
          </w:rPr>
          <w:delText>INFORMAZIONI DA APPORRE SUL CONFEZIONAMENTO SECONDARIO</w:delText>
        </w:r>
      </w:del>
    </w:p>
    <w:p w:rsidR="006224C2" w:rsidRPr="00295E71" w14:paraId="5A999160" w14:textId="77777777">
      <w:pPr>
        <w:pBdr>
          <w:top w:val="single" w:sz="4" w:space="1" w:color="auto"/>
          <w:left w:val="single" w:sz="4" w:space="4" w:color="auto"/>
          <w:bottom w:val="single" w:sz="4" w:space="1" w:color="auto"/>
          <w:right w:val="single" w:sz="4" w:space="4" w:color="auto"/>
        </w:pBdr>
        <w:tabs>
          <w:tab w:val="left" w:pos="567"/>
        </w:tabs>
        <w:jc w:val="both"/>
        <w:rPr>
          <w:del w:id="14239" w:author="AbbVie14" w:date="2025-05-09T10:50:00Z"/>
          <w:b/>
          <w:bCs/>
          <w:sz w:val="22"/>
          <w:szCs w:val="22"/>
        </w:rPr>
      </w:pPr>
    </w:p>
    <w:p w:rsidR="006224C2" w:rsidRPr="00295E71" w14:paraId="506AE8AA" w14:textId="77777777">
      <w:pPr>
        <w:pBdr>
          <w:top w:val="single" w:sz="4" w:space="1" w:color="auto"/>
          <w:left w:val="single" w:sz="4" w:space="4" w:color="auto"/>
          <w:bottom w:val="single" w:sz="4" w:space="1" w:color="auto"/>
          <w:right w:val="single" w:sz="4" w:space="4" w:color="auto"/>
        </w:pBdr>
        <w:tabs>
          <w:tab w:val="left" w:pos="567"/>
        </w:tabs>
        <w:jc w:val="both"/>
        <w:rPr>
          <w:del w:id="14240" w:author="AbbVie14" w:date="2025-05-09T10:50:00Z"/>
          <w:b/>
          <w:bCs/>
          <w:caps/>
          <w:sz w:val="22"/>
          <w:szCs w:val="22"/>
        </w:rPr>
      </w:pPr>
      <w:del w:id="14241" w:author="AbbVie14" w:date="2025-05-09T10:50:00Z">
        <w:r w:rsidRPr="00295E71">
          <w:rPr>
            <w:b/>
            <w:bCs/>
            <w:caps/>
            <w:sz w:val="22"/>
            <w:szCs w:val="22"/>
          </w:rPr>
          <w:delText>Confezione esterna</w:delText>
        </w:r>
      </w:del>
    </w:p>
    <w:p w:rsidR="006224C2" w:rsidRPr="00295E71" w14:paraId="306CA4F7" w14:textId="77777777">
      <w:pPr>
        <w:tabs>
          <w:tab w:val="left" w:pos="567"/>
        </w:tabs>
        <w:jc w:val="both"/>
        <w:rPr>
          <w:del w:id="14242" w:author="AbbVie14" w:date="2025-05-09T10:50:00Z"/>
          <w:b/>
          <w:bCs/>
          <w:sz w:val="22"/>
          <w:szCs w:val="22"/>
        </w:rPr>
      </w:pPr>
    </w:p>
    <w:p w:rsidR="006224C2" w:rsidRPr="00295E71" w14:paraId="53015E16" w14:textId="77777777">
      <w:pPr>
        <w:tabs>
          <w:tab w:val="left" w:pos="567"/>
        </w:tabs>
        <w:jc w:val="both"/>
        <w:rPr>
          <w:del w:id="14243" w:author="AbbVie14" w:date="2025-05-09T10:50:00Z"/>
          <w:b/>
          <w:bCs/>
          <w:sz w:val="22"/>
          <w:szCs w:val="22"/>
        </w:rPr>
      </w:pPr>
    </w:p>
    <w:p w:rsidR="006224C2" w:rsidRPr="00295E71" w14:paraId="7683615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244" w:author="AbbVie14" w:date="2025-05-09T10:50:00Z"/>
          <w:b/>
          <w:bCs/>
          <w:sz w:val="22"/>
          <w:szCs w:val="22"/>
        </w:rPr>
      </w:pPr>
      <w:del w:id="14245" w:author="AbbVie14" w:date="2025-05-09T10:50:00Z">
        <w:r w:rsidRPr="00295E71">
          <w:rPr>
            <w:b/>
            <w:bCs/>
            <w:sz w:val="22"/>
            <w:szCs w:val="22"/>
          </w:rPr>
          <w:delText xml:space="preserve">1. </w:delText>
        </w:r>
      </w:del>
      <w:del w:id="14246" w:author="AbbVie14" w:date="2025-05-09T10:50:00Z">
        <w:r w:rsidRPr="00295E71">
          <w:rPr>
            <w:b/>
            <w:bCs/>
            <w:sz w:val="22"/>
            <w:szCs w:val="22"/>
          </w:rPr>
          <w:tab/>
          <w:delText>DENOMINAZIONE DEL MEDICINALE</w:delText>
        </w:r>
      </w:del>
    </w:p>
    <w:p w:rsidR="006224C2" w:rsidRPr="00295E71" w14:paraId="2939F6F0" w14:textId="77777777">
      <w:pPr>
        <w:tabs>
          <w:tab w:val="left" w:pos="567"/>
        </w:tabs>
        <w:ind w:left="540" w:hanging="540"/>
        <w:rPr>
          <w:del w:id="14247" w:author="AbbVie14" w:date="2025-05-09T10:50:00Z"/>
          <w:sz w:val="22"/>
          <w:szCs w:val="22"/>
        </w:rPr>
      </w:pPr>
    </w:p>
    <w:p w:rsidR="006224C2" w:rsidRPr="00295E71" w14:paraId="2FC30ECF" w14:textId="77777777">
      <w:pPr>
        <w:tabs>
          <w:tab w:val="left" w:pos="567"/>
        </w:tabs>
        <w:ind w:left="540" w:hanging="540"/>
        <w:rPr>
          <w:del w:id="14248" w:author="AbbVie14" w:date="2025-05-09T10:50:00Z"/>
          <w:sz w:val="22"/>
          <w:szCs w:val="22"/>
        </w:rPr>
      </w:pPr>
      <w:del w:id="14249" w:author="AbbVie14" w:date="2025-05-09T10:50:00Z">
        <w:r w:rsidRPr="00295E71">
          <w:rPr>
            <w:sz w:val="22"/>
            <w:szCs w:val="22"/>
          </w:rPr>
          <w:delText>Humira 40 mg soluzione iniettabile in penna pre-riempita</w:delText>
        </w:r>
      </w:del>
    </w:p>
    <w:p w:rsidR="006224C2" w:rsidRPr="00295E71" w14:paraId="691BE8D3" w14:textId="77777777">
      <w:pPr>
        <w:pStyle w:val="EndnoteText"/>
        <w:ind w:left="540" w:hanging="540"/>
        <w:rPr>
          <w:del w:id="14250" w:author="AbbVie14" w:date="2025-05-09T10:50:00Z"/>
          <w:lang w:val="it-IT"/>
        </w:rPr>
      </w:pPr>
      <w:del w:id="14251" w:author="AbbVie14" w:date="2025-05-09T10:50:00Z">
        <w:r w:rsidRPr="00295E71">
          <w:rPr>
            <w:lang w:val="it-IT"/>
          </w:rPr>
          <w:delText>adalimumab</w:delText>
        </w:r>
      </w:del>
    </w:p>
    <w:p w:rsidR="006224C2" w:rsidRPr="00295E71" w14:paraId="6EBFC762" w14:textId="77777777">
      <w:pPr>
        <w:tabs>
          <w:tab w:val="left" w:pos="567"/>
        </w:tabs>
        <w:ind w:left="540" w:hanging="540"/>
        <w:rPr>
          <w:del w:id="14252" w:author="AbbVie14" w:date="2025-05-09T10:50:00Z"/>
          <w:sz w:val="22"/>
          <w:szCs w:val="22"/>
        </w:rPr>
      </w:pPr>
    </w:p>
    <w:p w:rsidR="006224C2" w:rsidRPr="00295E71" w14:paraId="4E50E78C" w14:textId="77777777">
      <w:pPr>
        <w:tabs>
          <w:tab w:val="left" w:pos="567"/>
        </w:tabs>
        <w:ind w:left="540" w:hanging="540"/>
        <w:rPr>
          <w:del w:id="14253" w:author="AbbVie14" w:date="2025-05-09T10:50:00Z"/>
          <w:sz w:val="22"/>
          <w:szCs w:val="22"/>
        </w:rPr>
      </w:pPr>
    </w:p>
    <w:p w:rsidR="006224C2" w:rsidRPr="00295E71" w14:paraId="10CFC3E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254" w:author="AbbVie14" w:date="2025-05-09T10:50:00Z"/>
          <w:b/>
          <w:bCs/>
          <w:sz w:val="22"/>
          <w:szCs w:val="22"/>
        </w:rPr>
      </w:pPr>
      <w:del w:id="14255" w:author="AbbVie14" w:date="2025-05-09T10:50:00Z">
        <w:r w:rsidRPr="00295E71">
          <w:rPr>
            <w:b/>
            <w:bCs/>
            <w:sz w:val="22"/>
            <w:szCs w:val="22"/>
          </w:rPr>
          <w:delText xml:space="preserve">2. </w:delText>
        </w:r>
      </w:del>
      <w:del w:id="14256" w:author="AbbVie14" w:date="2025-05-09T10:50:00Z">
        <w:r w:rsidRPr="00295E71">
          <w:rPr>
            <w:b/>
            <w:bCs/>
            <w:sz w:val="22"/>
            <w:szCs w:val="22"/>
          </w:rPr>
          <w:tab/>
          <w:delText>COMPOSIZIONE QUALITATIVA E QUANTITATIVA IN TERMINI DI PRINCIPIO ATTIVO</w:delText>
        </w:r>
      </w:del>
    </w:p>
    <w:p w:rsidR="006224C2" w:rsidRPr="00295E71" w14:paraId="0D9B0076" w14:textId="77777777">
      <w:pPr>
        <w:tabs>
          <w:tab w:val="left" w:pos="567"/>
        </w:tabs>
        <w:ind w:left="540" w:hanging="540"/>
        <w:rPr>
          <w:del w:id="14257" w:author="AbbVie14" w:date="2025-05-09T10:50:00Z"/>
          <w:sz w:val="22"/>
          <w:szCs w:val="22"/>
        </w:rPr>
      </w:pPr>
    </w:p>
    <w:p w:rsidR="006224C2" w:rsidRPr="00295E71" w14:paraId="0E6D614C" w14:textId="77777777">
      <w:pPr>
        <w:tabs>
          <w:tab w:val="left" w:pos="567"/>
        </w:tabs>
        <w:ind w:left="540" w:hanging="540"/>
        <w:rPr>
          <w:del w:id="14258" w:author="AbbVie14" w:date="2025-05-09T10:50:00Z"/>
          <w:sz w:val="22"/>
          <w:szCs w:val="22"/>
        </w:rPr>
      </w:pPr>
      <w:del w:id="14259" w:author="AbbVie14" w:date="2025-05-09T10:50:00Z">
        <w:r w:rsidRPr="00295E71">
          <w:rPr>
            <w:sz w:val="22"/>
            <w:szCs w:val="22"/>
          </w:rPr>
          <w:delText>Una penna pre-riempita da 0,8 ml contiene 40 mg di adalimumab</w:delText>
        </w:r>
      </w:del>
    </w:p>
    <w:p w:rsidR="006224C2" w:rsidRPr="00295E71" w14:paraId="153A5D74" w14:textId="77777777">
      <w:pPr>
        <w:tabs>
          <w:tab w:val="left" w:pos="567"/>
        </w:tabs>
        <w:ind w:left="540" w:hanging="540"/>
        <w:rPr>
          <w:del w:id="14260" w:author="AbbVie14" w:date="2025-05-09T10:50:00Z"/>
          <w:sz w:val="22"/>
          <w:szCs w:val="22"/>
        </w:rPr>
      </w:pPr>
    </w:p>
    <w:p w:rsidR="006224C2" w:rsidRPr="00295E71" w14:paraId="7B1FF17F" w14:textId="77777777">
      <w:pPr>
        <w:tabs>
          <w:tab w:val="left" w:pos="567"/>
        </w:tabs>
        <w:ind w:left="540" w:hanging="540"/>
        <w:rPr>
          <w:del w:id="14261" w:author="AbbVie14" w:date="2025-05-09T10:50:00Z"/>
          <w:sz w:val="22"/>
          <w:szCs w:val="22"/>
        </w:rPr>
      </w:pPr>
    </w:p>
    <w:p w:rsidR="006224C2" w:rsidRPr="00295E71" w14:paraId="1380847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262" w:author="AbbVie14" w:date="2025-05-09T10:50:00Z"/>
          <w:sz w:val="22"/>
          <w:szCs w:val="22"/>
        </w:rPr>
      </w:pPr>
      <w:del w:id="14263" w:author="AbbVie14" w:date="2025-05-09T10:50:00Z">
        <w:r w:rsidRPr="00295E71">
          <w:rPr>
            <w:b/>
            <w:bCs/>
            <w:sz w:val="22"/>
            <w:szCs w:val="22"/>
          </w:rPr>
          <w:delText xml:space="preserve">3. </w:delText>
        </w:r>
      </w:del>
      <w:del w:id="14264" w:author="AbbVie14" w:date="2025-05-09T10:50:00Z">
        <w:r w:rsidRPr="00295E71">
          <w:rPr>
            <w:b/>
            <w:bCs/>
            <w:sz w:val="22"/>
            <w:szCs w:val="22"/>
          </w:rPr>
          <w:tab/>
          <w:delText>ELENCO DEGLI ECCIPIENTI</w:delText>
        </w:r>
      </w:del>
    </w:p>
    <w:p w:rsidR="006224C2" w:rsidRPr="00295E71" w14:paraId="44673987" w14:textId="77777777">
      <w:pPr>
        <w:tabs>
          <w:tab w:val="left" w:pos="567"/>
        </w:tabs>
        <w:rPr>
          <w:del w:id="14265" w:author="AbbVie14" w:date="2025-05-09T10:50:00Z"/>
          <w:sz w:val="22"/>
          <w:szCs w:val="22"/>
        </w:rPr>
      </w:pPr>
    </w:p>
    <w:p w:rsidR="006224C2" w:rsidRPr="00295E71" w14:paraId="4716B786" w14:textId="77777777">
      <w:pPr>
        <w:pStyle w:val="EMEAFigureTitle"/>
        <w:suppressAutoHyphens w:val="0"/>
        <w:autoSpaceDE w:val="0"/>
        <w:autoSpaceDN w:val="0"/>
        <w:adjustRightInd w:val="0"/>
        <w:rPr>
          <w:del w:id="14266" w:author="AbbVie14" w:date="2025-05-09T10:50:00Z"/>
          <w:lang w:val="it-IT" w:eastAsia="it-IT"/>
        </w:rPr>
      </w:pPr>
      <w:del w:id="14267" w:author="AbbVie14" w:date="2025-05-09T10:50:00Z">
        <w:r w:rsidRPr="00295E71">
          <w:rPr>
            <w:lang w:val="it-IT" w:eastAsia="it-IT"/>
          </w:rPr>
          <w:delText>Eccipienti: mannitolo, acido citrico monoidrato, sodio citrato, sodio fosfato monobasico diidrato, sodio fosfato dibasico diidrato, sodio cloruro, polisorbato 80, sodio idrossido e acqua per preparazioni iniettabili. Per ulteriori informazioni vedere il foglio illustrativo.</w:delText>
        </w:r>
      </w:del>
    </w:p>
    <w:p w:rsidR="006224C2" w:rsidRPr="00295E71" w14:paraId="4D8B7475" w14:textId="77777777">
      <w:pPr>
        <w:tabs>
          <w:tab w:val="left" w:pos="567"/>
        </w:tabs>
        <w:ind w:left="540" w:hanging="540"/>
        <w:rPr>
          <w:del w:id="14268" w:author="AbbVie14" w:date="2025-05-09T10:50:00Z"/>
          <w:sz w:val="22"/>
          <w:szCs w:val="22"/>
        </w:rPr>
      </w:pPr>
    </w:p>
    <w:p w:rsidR="006224C2" w:rsidRPr="00295E71" w14:paraId="79FF921A" w14:textId="77777777">
      <w:pPr>
        <w:tabs>
          <w:tab w:val="left" w:pos="567"/>
        </w:tabs>
        <w:ind w:left="540" w:hanging="540"/>
        <w:rPr>
          <w:del w:id="14269" w:author="AbbVie14" w:date="2025-05-09T10:50:00Z"/>
          <w:sz w:val="22"/>
          <w:szCs w:val="22"/>
        </w:rPr>
      </w:pPr>
    </w:p>
    <w:p w:rsidR="006224C2" w:rsidRPr="00295E71" w14:paraId="5C94FB5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270" w:author="AbbVie14" w:date="2025-05-09T10:50:00Z"/>
          <w:sz w:val="22"/>
          <w:szCs w:val="22"/>
        </w:rPr>
      </w:pPr>
      <w:del w:id="14271" w:author="AbbVie14" w:date="2025-05-09T10:50:00Z">
        <w:r w:rsidRPr="00295E71">
          <w:rPr>
            <w:b/>
            <w:bCs/>
            <w:sz w:val="22"/>
            <w:szCs w:val="22"/>
          </w:rPr>
          <w:delText xml:space="preserve">4. </w:delText>
        </w:r>
      </w:del>
      <w:del w:id="14272" w:author="AbbVie14" w:date="2025-05-09T10:50:00Z">
        <w:r w:rsidRPr="00295E71">
          <w:rPr>
            <w:b/>
            <w:bCs/>
            <w:sz w:val="22"/>
            <w:szCs w:val="22"/>
          </w:rPr>
          <w:tab/>
          <w:delText>FORMA FARMACEUTICA E CONTENUTO</w:delText>
        </w:r>
      </w:del>
      <w:del w:id="14273" w:author="AbbVie14" w:date="2025-05-09T10:50:00Z">
        <w:r w:rsidRPr="00295E71">
          <w:rPr>
            <w:b/>
            <w:bCs/>
            <w:sz w:val="22"/>
            <w:szCs w:val="22"/>
          </w:rPr>
          <w:tab/>
        </w:r>
      </w:del>
    </w:p>
    <w:p w:rsidR="006224C2" w:rsidRPr="00295E71" w14:paraId="5A7AF0E0" w14:textId="77777777">
      <w:pPr>
        <w:tabs>
          <w:tab w:val="left" w:pos="567"/>
        </w:tabs>
        <w:ind w:left="540" w:hanging="540"/>
        <w:rPr>
          <w:del w:id="14274" w:author="AbbVie14" w:date="2025-05-09T10:50:00Z"/>
          <w:sz w:val="22"/>
          <w:szCs w:val="22"/>
        </w:rPr>
      </w:pPr>
    </w:p>
    <w:p w:rsidR="00E7140F" w:rsidRPr="00295E71" w14:paraId="3977AB06" w14:textId="77777777">
      <w:pPr>
        <w:tabs>
          <w:tab w:val="left" w:pos="567"/>
        </w:tabs>
        <w:ind w:left="540" w:hanging="540"/>
        <w:rPr>
          <w:del w:id="14275" w:author="AbbVie14" w:date="2025-05-09T10:50:00Z"/>
          <w:sz w:val="22"/>
          <w:szCs w:val="22"/>
        </w:rPr>
      </w:pPr>
      <w:del w:id="14276" w:author="AbbVie14" w:date="2025-05-09T10:50:00Z">
        <w:r w:rsidRPr="00295E71">
          <w:rPr>
            <w:sz w:val="22"/>
            <w:szCs w:val="22"/>
            <w:highlight w:val="lightGray"/>
          </w:rPr>
          <w:delText>Soluzione iniettabile</w:delText>
        </w:r>
      </w:del>
      <w:del w:id="14277" w:author="AbbVie14" w:date="2025-05-09T10:50:00Z">
        <w:r w:rsidRPr="00295E71">
          <w:rPr>
            <w:sz w:val="22"/>
            <w:szCs w:val="22"/>
          </w:rPr>
          <w:delText xml:space="preserve"> </w:delText>
        </w:r>
      </w:del>
    </w:p>
    <w:p w:rsidR="006224C2" w:rsidRPr="00295E71" w14:paraId="3EE8E35D" w14:textId="77777777">
      <w:pPr>
        <w:tabs>
          <w:tab w:val="left" w:pos="567"/>
        </w:tabs>
        <w:ind w:left="540" w:hanging="540"/>
        <w:rPr>
          <w:del w:id="14278" w:author="AbbVie14" w:date="2025-05-09T10:50:00Z"/>
          <w:sz w:val="22"/>
          <w:szCs w:val="22"/>
        </w:rPr>
      </w:pPr>
      <w:del w:id="14279" w:author="AbbVie14" w:date="2025-05-09T10:50:00Z">
        <w:r w:rsidRPr="00295E71">
          <w:rPr>
            <w:sz w:val="22"/>
            <w:szCs w:val="22"/>
          </w:rPr>
          <w:delText>1 penna pre-riempita</w:delText>
        </w:r>
      </w:del>
    </w:p>
    <w:p w:rsidR="006224C2" w:rsidRPr="00295E71" w14:paraId="07674CFE" w14:textId="77777777">
      <w:pPr>
        <w:tabs>
          <w:tab w:val="left" w:pos="567"/>
        </w:tabs>
        <w:ind w:left="540" w:hanging="540"/>
        <w:rPr>
          <w:del w:id="14280" w:author="AbbVie14" w:date="2025-05-09T10:50:00Z"/>
          <w:i/>
          <w:iCs/>
          <w:sz w:val="22"/>
          <w:szCs w:val="22"/>
        </w:rPr>
      </w:pPr>
      <w:del w:id="14281" w:author="AbbVie14" w:date="2025-05-09T10:50:00Z">
        <w:r w:rsidRPr="00295E71">
          <w:rPr>
            <w:sz w:val="22"/>
            <w:szCs w:val="22"/>
          </w:rPr>
          <w:delText>2 tamponi imbevuti di alcool</w:delText>
        </w:r>
      </w:del>
    </w:p>
    <w:p w:rsidR="006224C2" w:rsidRPr="00295E71" w14:paraId="21015676" w14:textId="77777777">
      <w:pPr>
        <w:tabs>
          <w:tab w:val="left" w:pos="567"/>
        </w:tabs>
        <w:ind w:left="540" w:hanging="540"/>
        <w:rPr>
          <w:del w:id="14282" w:author="AbbVie14" w:date="2025-05-09T10:50:00Z"/>
          <w:sz w:val="22"/>
          <w:szCs w:val="22"/>
        </w:rPr>
      </w:pPr>
    </w:p>
    <w:p w:rsidR="003E36B3" w:rsidRPr="00295E71" w:rsidP="003E36B3" w14:paraId="4B5EAA75" w14:textId="77777777">
      <w:pPr>
        <w:tabs>
          <w:tab w:val="left" w:pos="567"/>
        </w:tabs>
        <w:ind w:left="540" w:hanging="540"/>
        <w:rPr>
          <w:del w:id="14283" w:author="AbbVie14" w:date="2025-05-09T10:50:00Z"/>
          <w:sz w:val="22"/>
          <w:szCs w:val="22"/>
          <w:highlight w:val="lightGray"/>
        </w:rPr>
      </w:pPr>
      <w:del w:id="14284" w:author="AbbVie14" w:date="2025-05-09T10:50:00Z">
        <w:r w:rsidRPr="00295E71">
          <w:rPr>
            <w:sz w:val="22"/>
            <w:szCs w:val="22"/>
            <w:highlight w:val="lightGray"/>
          </w:rPr>
          <w:delText>2 penne pre-riempite</w:delText>
        </w:r>
      </w:del>
    </w:p>
    <w:p w:rsidR="003E36B3" w:rsidRPr="00295E71" w:rsidP="003E36B3" w14:paraId="09BE302F" w14:textId="77777777">
      <w:pPr>
        <w:tabs>
          <w:tab w:val="left" w:pos="567"/>
        </w:tabs>
        <w:ind w:left="540" w:hanging="540"/>
        <w:rPr>
          <w:del w:id="14285" w:author="AbbVie14" w:date="2025-05-09T10:50:00Z"/>
          <w:i/>
          <w:iCs/>
          <w:sz w:val="22"/>
          <w:szCs w:val="22"/>
          <w:highlight w:val="lightGray"/>
        </w:rPr>
      </w:pPr>
      <w:del w:id="14286" w:author="AbbVie14" w:date="2025-05-09T10:50:00Z">
        <w:r w:rsidRPr="00295E71">
          <w:rPr>
            <w:sz w:val="22"/>
            <w:szCs w:val="22"/>
            <w:highlight w:val="lightGray"/>
          </w:rPr>
          <w:delText>2 tamponi imbevuti di alcool</w:delText>
        </w:r>
      </w:del>
    </w:p>
    <w:p w:rsidR="003E36B3" w:rsidRPr="00295E71" w14:paraId="604B4135" w14:textId="77777777">
      <w:pPr>
        <w:tabs>
          <w:tab w:val="left" w:pos="567"/>
        </w:tabs>
        <w:ind w:left="540" w:hanging="540"/>
        <w:rPr>
          <w:del w:id="14287" w:author="AbbVie14" w:date="2025-05-09T10:50:00Z"/>
          <w:sz w:val="22"/>
          <w:szCs w:val="22"/>
          <w:highlight w:val="lightGray"/>
        </w:rPr>
      </w:pPr>
    </w:p>
    <w:p w:rsidR="003E36B3" w:rsidRPr="00295E71" w:rsidP="003E36B3" w14:paraId="421168B1" w14:textId="77777777">
      <w:pPr>
        <w:tabs>
          <w:tab w:val="left" w:pos="567"/>
        </w:tabs>
        <w:ind w:left="540" w:hanging="540"/>
        <w:rPr>
          <w:del w:id="14288" w:author="AbbVie14" w:date="2025-05-09T10:50:00Z"/>
          <w:sz w:val="22"/>
          <w:szCs w:val="22"/>
          <w:highlight w:val="lightGray"/>
        </w:rPr>
      </w:pPr>
      <w:del w:id="14289" w:author="AbbVie14" w:date="2025-05-09T10:50:00Z">
        <w:r w:rsidRPr="00295E71">
          <w:rPr>
            <w:sz w:val="22"/>
            <w:szCs w:val="22"/>
            <w:highlight w:val="lightGray"/>
          </w:rPr>
          <w:delText>4 penne pre-riempite</w:delText>
        </w:r>
      </w:del>
    </w:p>
    <w:p w:rsidR="003E36B3" w:rsidRPr="00295E71" w:rsidP="003E36B3" w14:paraId="30EA315B" w14:textId="77777777">
      <w:pPr>
        <w:tabs>
          <w:tab w:val="left" w:pos="567"/>
        </w:tabs>
        <w:ind w:left="540" w:hanging="540"/>
        <w:rPr>
          <w:del w:id="14290" w:author="AbbVie14" w:date="2025-05-09T10:50:00Z"/>
          <w:i/>
          <w:iCs/>
          <w:sz w:val="22"/>
          <w:szCs w:val="22"/>
          <w:highlight w:val="lightGray"/>
        </w:rPr>
      </w:pPr>
      <w:del w:id="14291" w:author="AbbVie14" w:date="2025-05-09T10:50:00Z">
        <w:r w:rsidRPr="00295E71">
          <w:rPr>
            <w:sz w:val="22"/>
            <w:szCs w:val="22"/>
            <w:highlight w:val="lightGray"/>
          </w:rPr>
          <w:delText>4 tamponi imbevuti di alcool</w:delText>
        </w:r>
      </w:del>
    </w:p>
    <w:p w:rsidR="003E36B3" w:rsidRPr="00295E71" w14:paraId="23744ED8" w14:textId="77777777">
      <w:pPr>
        <w:tabs>
          <w:tab w:val="left" w:pos="567"/>
        </w:tabs>
        <w:ind w:left="540" w:hanging="540"/>
        <w:rPr>
          <w:del w:id="14292" w:author="AbbVie14" w:date="2025-05-09T10:50:00Z"/>
          <w:sz w:val="22"/>
          <w:szCs w:val="22"/>
          <w:highlight w:val="lightGray"/>
        </w:rPr>
      </w:pPr>
    </w:p>
    <w:p w:rsidR="003E36B3" w:rsidRPr="00295E71" w:rsidP="003E36B3" w14:paraId="400185B1" w14:textId="77777777">
      <w:pPr>
        <w:tabs>
          <w:tab w:val="left" w:pos="567"/>
        </w:tabs>
        <w:ind w:left="540" w:hanging="540"/>
        <w:rPr>
          <w:del w:id="14293" w:author="AbbVie14" w:date="2025-05-09T10:50:00Z"/>
          <w:sz w:val="22"/>
          <w:szCs w:val="22"/>
          <w:highlight w:val="lightGray"/>
        </w:rPr>
      </w:pPr>
      <w:del w:id="14294" w:author="AbbVie14" w:date="2025-05-09T10:50:00Z">
        <w:r w:rsidRPr="00295E71">
          <w:rPr>
            <w:sz w:val="22"/>
            <w:szCs w:val="22"/>
            <w:highlight w:val="lightGray"/>
          </w:rPr>
          <w:delText>6 penne pre-riempite</w:delText>
        </w:r>
      </w:del>
    </w:p>
    <w:p w:rsidR="003E36B3" w:rsidRPr="00295E71" w:rsidP="003E36B3" w14:paraId="1572AD3F" w14:textId="77777777">
      <w:pPr>
        <w:tabs>
          <w:tab w:val="left" w:pos="567"/>
        </w:tabs>
        <w:ind w:left="540" w:hanging="540"/>
        <w:rPr>
          <w:del w:id="14295" w:author="AbbVie14" w:date="2025-05-09T10:50:00Z"/>
          <w:i/>
          <w:iCs/>
          <w:sz w:val="22"/>
          <w:szCs w:val="22"/>
        </w:rPr>
      </w:pPr>
      <w:del w:id="14296" w:author="AbbVie14" w:date="2025-05-09T10:50:00Z">
        <w:r w:rsidRPr="00295E71">
          <w:rPr>
            <w:sz w:val="22"/>
            <w:szCs w:val="22"/>
            <w:highlight w:val="lightGray"/>
          </w:rPr>
          <w:delText>6 tamponi imbevuti di alcool</w:delText>
        </w:r>
      </w:del>
    </w:p>
    <w:p w:rsidR="003E36B3" w:rsidRPr="00295E71" w14:paraId="6B6D0A79" w14:textId="77777777">
      <w:pPr>
        <w:tabs>
          <w:tab w:val="left" w:pos="567"/>
        </w:tabs>
        <w:ind w:left="540" w:hanging="540"/>
        <w:rPr>
          <w:del w:id="14297" w:author="AbbVie14" w:date="2025-05-09T10:50:00Z"/>
          <w:sz w:val="22"/>
          <w:szCs w:val="22"/>
        </w:rPr>
      </w:pPr>
    </w:p>
    <w:p w:rsidR="006224C2" w:rsidRPr="00295E71" w14:paraId="5137B3D3" w14:textId="77777777">
      <w:pPr>
        <w:tabs>
          <w:tab w:val="left" w:pos="567"/>
        </w:tabs>
        <w:ind w:left="540" w:hanging="540"/>
        <w:rPr>
          <w:del w:id="14298" w:author="AbbVie14" w:date="2025-05-09T10:50:00Z"/>
          <w:color w:val="000000"/>
          <w:sz w:val="22"/>
          <w:szCs w:val="22"/>
          <w:u w:val="single"/>
        </w:rPr>
      </w:pPr>
    </w:p>
    <w:p w:rsidR="006224C2" w:rsidRPr="00295E71" w14:paraId="60FA86D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299" w:author="AbbVie14" w:date="2025-05-09T10:50:00Z"/>
          <w:sz w:val="22"/>
          <w:szCs w:val="22"/>
        </w:rPr>
      </w:pPr>
      <w:del w:id="14300" w:author="AbbVie14" w:date="2025-05-09T10:50:00Z">
        <w:r w:rsidRPr="00295E71">
          <w:rPr>
            <w:b/>
            <w:bCs/>
            <w:sz w:val="22"/>
            <w:szCs w:val="22"/>
          </w:rPr>
          <w:delText xml:space="preserve">5. </w:delText>
        </w:r>
      </w:del>
      <w:del w:id="14301" w:author="AbbVie14" w:date="2025-05-09T10:50:00Z">
        <w:r w:rsidRPr="00295E71">
          <w:rPr>
            <w:b/>
            <w:bCs/>
            <w:sz w:val="22"/>
            <w:szCs w:val="22"/>
          </w:rPr>
          <w:tab/>
          <w:delText>MODO E VIA DI SOMMINISTRAZIONE</w:delText>
        </w:r>
      </w:del>
    </w:p>
    <w:p w:rsidR="006224C2" w:rsidRPr="00295E71" w14:paraId="061389C6" w14:textId="77777777">
      <w:pPr>
        <w:tabs>
          <w:tab w:val="left" w:pos="567"/>
        </w:tabs>
        <w:ind w:left="540" w:hanging="540"/>
        <w:rPr>
          <w:del w:id="14302" w:author="AbbVie14" w:date="2025-05-09T10:50:00Z"/>
          <w:sz w:val="22"/>
          <w:szCs w:val="22"/>
        </w:rPr>
      </w:pPr>
    </w:p>
    <w:p w:rsidR="006224C2" w:rsidRPr="00295E71" w14:paraId="36993617" w14:textId="77777777">
      <w:pPr>
        <w:tabs>
          <w:tab w:val="left" w:pos="567"/>
        </w:tabs>
        <w:ind w:left="540" w:hanging="540"/>
        <w:rPr>
          <w:del w:id="14303" w:author="AbbVie14" w:date="2025-05-09T10:50:00Z"/>
          <w:sz w:val="22"/>
          <w:szCs w:val="22"/>
        </w:rPr>
      </w:pPr>
      <w:del w:id="14304" w:author="AbbVie14" w:date="2025-05-09T10:50:00Z">
        <w:r w:rsidRPr="00295E71">
          <w:rPr>
            <w:sz w:val="22"/>
            <w:szCs w:val="22"/>
          </w:rPr>
          <w:delText>Uso sottocutaneo</w:delText>
        </w:r>
      </w:del>
    </w:p>
    <w:p w:rsidR="006224C2" w:rsidRPr="00295E71" w14:paraId="2EBCDCEF" w14:textId="77777777">
      <w:pPr>
        <w:tabs>
          <w:tab w:val="left" w:pos="567"/>
        </w:tabs>
        <w:ind w:left="540" w:hanging="540"/>
        <w:rPr>
          <w:del w:id="14305" w:author="AbbVie14" w:date="2025-05-09T10:50:00Z"/>
          <w:sz w:val="22"/>
          <w:szCs w:val="22"/>
        </w:rPr>
      </w:pPr>
    </w:p>
    <w:p w:rsidR="006224C2" w:rsidRPr="00295E71" w14:paraId="1E7488BB" w14:textId="77777777">
      <w:pPr>
        <w:tabs>
          <w:tab w:val="left" w:pos="567"/>
        </w:tabs>
        <w:ind w:left="540" w:hanging="540"/>
        <w:rPr>
          <w:del w:id="14306" w:author="AbbVie14" w:date="2025-05-09T10:50:00Z"/>
          <w:sz w:val="22"/>
          <w:szCs w:val="22"/>
        </w:rPr>
      </w:pPr>
      <w:del w:id="14307" w:author="AbbVie14" w:date="2025-05-09T10:50:00Z">
        <w:r w:rsidRPr="00295E71">
          <w:rPr>
            <w:sz w:val="22"/>
            <w:szCs w:val="22"/>
          </w:rPr>
          <w:delText>Leggere il foglio illustrativo prima dell'uso.</w:delText>
        </w:r>
      </w:del>
    </w:p>
    <w:p w:rsidR="006224C2" w:rsidRPr="00295E71" w14:paraId="77AE217B" w14:textId="77777777">
      <w:pPr>
        <w:tabs>
          <w:tab w:val="left" w:pos="567"/>
        </w:tabs>
        <w:ind w:left="540" w:hanging="540"/>
        <w:rPr>
          <w:del w:id="14308" w:author="AbbVie14" w:date="2025-05-09T10:50:00Z"/>
          <w:sz w:val="22"/>
          <w:szCs w:val="22"/>
        </w:rPr>
      </w:pPr>
    </w:p>
    <w:p w:rsidR="00E7140F" w:rsidRPr="00295E71" w14:paraId="6E476AAF" w14:textId="77777777">
      <w:pPr>
        <w:tabs>
          <w:tab w:val="left" w:pos="567"/>
        </w:tabs>
        <w:ind w:left="540" w:hanging="540"/>
        <w:rPr>
          <w:del w:id="14309" w:author="AbbVie14" w:date="2025-05-09T10:50:00Z"/>
          <w:sz w:val="22"/>
          <w:szCs w:val="22"/>
        </w:rPr>
      </w:pPr>
      <w:del w:id="14310" w:author="AbbVie14" w:date="2025-05-09T10:50:00Z">
        <w:r w:rsidRPr="00295E71">
          <w:rPr>
            <w:sz w:val="22"/>
            <w:szCs w:val="22"/>
          </w:rPr>
          <w:delText>Esclusivamente monouso,</w:delText>
        </w:r>
      </w:del>
    </w:p>
    <w:p w:rsidR="006224C2" w:rsidRPr="00295E71" w14:paraId="44D4B748" w14:textId="77777777">
      <w:pPr>
        <w:tabs>
          <w:tab w:val="left" w:pos="567"/>
        </w:tabs>
        <w:ind w:left="540" w:hanging="540"/>
        <w:rPr>
          <w:del w:id="14311" w:author="AbbVie14" w:date="2025-05-09T10:50:00Z"/>
          <w:sz w:val="22"/>
          <w:szCs w:val="22"/>
        </w:rPr>
      </w:pPr>
    </w:p>
    <w:p w:rsidR="005968CC" w:rsidRPr="00295E71" w14:paraId="2F881ACD" w14:textId="77777777">
      <w:pPr>
        <w:tabs>
          <w:tab w:val="left" w:pos="567"/>
        </w:tabs>
        <w:ind w:left="540" w:hanging="540"/>
        <w:rPr>
          <w:del w:id="14312" w:author="AbbVie14" w:date="2025-05-09T10:50:00Z"/>
          <w:sz w:val="22"/>
          <w:szCs w:val="22"/>
        </w:rPr>
      </w:pPr>
    </w:p>
    <w:p w:rsidR="006224C2" w:rsidRPr="00295E71" w14:paraId="1378F58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313" w:author="AbbVie14" w:date="2025-05-09T10:50:00Z"/>
          <w:sz w:val="22"/>
          <w:szCs w:val="22"/>
        </w:rPr>
      </w:pPr>
      <w:del w:id="14314" w:author="AbbVie14" w:date="2025-05-09T10:50:00Z">
        <w:r w:rsidRPr="00295E71">
          <w:rPr>
            <w:b/>
            <w:bCs/>
            <w:sz w:val="22"/>
            <w:szCs w:val="22"/>
          </w:rPr>
          <w:delText xml:space="preserve">6. </w:delText>
        </w:r>
      </w:del>
      <w:del w:id="14315" w:author="AbbVie14" w:date="2025-05-09T10:50:00Z">
        <w:r w:rsidRPr="00295E71">
          <w:rPr>
            <w:b/>
            <w:bCs/>
            <w:sz w:val="22"/>
            <w:szCs w:val="22"/>
          </w:rPr>
          <w:tab/>
          <w:delText>AVVERTENZA PARTICOLARE CHE PRESCRIVA DI TENERE IL MEDICINALE FUORI DALLA VISTA E DALLA PORTATA DEI BAMBINI</w:delText>
        </w:r>
      </w:del>
    </w:p>
    <w:p w:rsidR="006224C2" w:rsidRPr="00295E71" w14:paraId="2270FC37" w14:textId="77777777">
      <w:pPr>
        <w:tabs>
          <w:tab w:val="left" w:pos="567"/>
        </w:tabs>
        <w:ind w:left="540" w:hanging="540"/>
        <w:rPr>
          <w:del w:id="14316" w:author="AbbVie14" w:date="2025-05-09T10:50:00Z"/>
          <w:sz w:val="22"/>
          <w:szCs w:val="22"/>
        </w:rPr>
      </w:pPr>
    </w:p>
    <w:p w:rsidR="006224C2" w:rsidRPr="00295E71" w14:paraId="63888339" w14:textId="77777777">
      <w:pPr>
        <w:tabs>
          <w:tab w:val="left" w:pos="567"/>
        </w:tabs>
        <w:ind w:left="540" w:hanging="540"/>
        <w:rPr>
          <w:del w:id="14317" w:author="AbbVie14" w:date="2025-05-09T10:50:00Z"/>
          <w:sz w:val="22"/>
          <w:szCs w:val="22"/>
        </w:rPr>
      </w:pPr>
      <w:del w:id="14318" w:author="AbbVie14" w:date="2025-05-09T10:50:00Z">
        <w:r w:rsidRPr="00295E71">
          <w:rPr>
            <w:sz w:val="22"/>
            <w:szCs w:val="22"/>
          </w:rPr>
          <w:delText>Tenere fuori dalla vista e dalla portata dei bambini.</w:delText>
        </w:r>
      </w:del>
    </w:p>
    <w:p w:rsidR="006224C2" w:rsidRPr="00295E71" w14:paraId="071F1939" w14:textId="77777777">
      <w:pPr>
        <w:tabs>
          <w:tab w:val="left" w:pos="567"/>
        </w:tabs>
        <w:ind w:left="540" w:hanging="540"/>
        <w:rPr>
          <w:del w:id="14319" w:author="AbbVie14" w:date="2025-05-09T10:50:00Z"/>
          <w:sz w:val="22"/>
          <w:szCs w:val="22"/>
        </w:rPr>
      </w:pPr>
    </w:p>
    <w:p w:rsidR="006224C2" w:rsidRPr="00295E71" w14:paraId="4F174851" w14:textId="77777777">
      <w:pPr>
        <w:tabs>
          <w:tab w:val="left" w:pos="567"/>
        </w:tabs>
        <w:ind w:left="540" w:hanging="540"/>
        <w:rPr>
          <w:del w:id="14320" w:author="AbbVie14" w:date="2025-05-09T10:50:00Z"/>
          <w:sz w:val="22"/>
          <w:szCs w:val="22"/>
        </w:rPr>
      </w:pPr>
    </w:p>
    <w:p w:rsidR="006224C2" w:rsidRPr="00295E71" w14:paraId="4B3E367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321" w:author="AbbVie14" w:date="2025-05-09T10:50:00Z"/>
          <w:sz w:val="22"/>
          <w:szCs w:val="22"/>
        </w:rPr>
      </w:pPr>
      <w:del w:id="14322" w:author="AbbVie14" w:date="2025-05-09T10:50:00Z">
        <w:r w:rsidRPr="00295E71">
          <w:rPr>
            <w:b/>
            <w:bCs/>
            <w:sz w:val="22"/>
            <w:szCs w:val="22"/>
          </w:rPr>
          <w:delText xml:space="preserve">7. </w:delText>
        </w:r>
      </w:del>
      <w:del w:id="14323" w:author="AbbVie14" w:date="2025-05-09T10:50:00Z">
        <w:r w:rsidRPr="00295E71">
          <w:rPr>
            <w:b/>
            <w:bCs/>
            <w:sz w:val="22"/>
            <w:szCs w:val="22"/>
          </w:rPr>
          <w:tab/>
          <w:delText>ALTRA AVVERTENZA PARTICOLARE, SE NECESSARIO</w:delText>
        </w:r>
      </w:del>
    </w:p>
    <w:p w:rsidR="006224C2" w:rsidRPr="00295E71" w14:paraId="2CBD95A2" w14:textId="77777777">
      <w:pPr>
        <w:tabs>
          <w:tab w:val="left" w:pos="567"/>
        </w:tabs>
        <w:ind w:left="540" w:hanging="540"/>
        <w:rPr>
          <w:del w:id="14324" w:author="AbbVie14" w:date="2025-05-09T10:50:00Z"/>
          <w:sz w:val="22"/>
          <w:szCs w:val="22"/>
        </w:rPr>
      </w:pPr>
    </w:p>
    <w:p w:rsidR="006224C2" w:rsidRPr="00295E71" w14:paraId="0022261F" w14:textId="77777777">
      <w:pPr>
        <w:tabs>
          <w:tab w:val="left" w:pos="567"/>
        </w:tabs>
        <w:ind w:left="540" w:hanging="540"/>
        <w:rPr>
          <w:del w:id="14325" w:author="AbbVie14" w:date="2025-05-09T10:50:00Z"/>
          <w:sz w:val="22"/>
          <w:szCs w:val="22"/>
        </w:rPr>
      </w:pPr>
    </w:p>
    <w:p w:rsidR="006224C2" w:rsidRPr="00295E71" w14:paraId="391D249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326" w:author="AbbVie14" w:date="2025-05-09T10:50:00Z"/>
          <w:sz w:val="22"/>
          <w:szCs w:val="22"/>
        </w:rPr>
      </w:pPr>
      <w:del w:id="14327" w:author="AbbVie14" w:date="2025-05-09T10:50:00Z">
        <w:r w:rsidRPr="00295E71">
          <w:rPr>
            <w:b/>
            <w:bCs/>
            <w:sz w:val="22"/>
            <w:szCs w:val="22"/>
          </w:rPr>
          <w:delText xml:space="preserve">8. </w:delText>
        </w:r>
      </w:del>
      <w:del w:id="14328" w:author="AbbVie14" w:date="2025-05-09T10:50:00Z">
        <w:r w:rsidRPr="00295E71">
          <w:rPr>
            <w:b/>
            <w:bCs/>
            <w:sz w:val="22"/>
            <w:szCs w:val="22"/>
          </w:rPr>
          <w:tab/>
          <w:delText>DATA DI SCADENZA</w:delText>
        </w:r>
      </w:del>
    </w:p>
    <w:p w:rsidR="006224C2" w:rsidRPr="00295E71" w14:paraId="2E109616" w14:textId="77777777">
      <w:pPr>
        <w:tabs>
          <w:tab w:val="left" w:pos="567"/>
        </w:tabs>
        <w:ind w:left="540" w:hanging="540"/>
        <w:rPr>
          <w:del w:id="14329" w:author="AbbVie14" w:date="2025-05-09T10:50:00Z"/>
          <w:sz w:val="22"/>
          <w:szCs w:val="22"/>
        </w:rPr>
      </w:pPr>
    </w:p>
    <w:p w:rsidR="006224C2" w:rsidRPr="00295E71" w14:paraId="4D5A8FD3" w14:textId="77777777">
      <w:pPr>
        <w:tabs>
          <w:tab w:val="left" w:pos="567"/>
        </w:tabs>
        <w:ind w:left="540" w:hanging="540"/>
        <w:rPr>
          <w:del w:id="14330" w:author="AbbVie14" w:date="2025-05-09T10:50:00Z"/>
          <w:sz w:val="22"/>
          <w:szCs w:val="22"/>
        </w:rPr>
      </w:pPr>
      <w:del w:id="14331" w:author="AbbVie14" w:date="2025-05-09T10:50:00Z">
        <w:r w:rsidRPr="00295E71">
          <w:rPr>
            <w:sz w:val="22"/>
            <w:szCs w:val="22"/>
          </w:rPr>
          <w:delText xml:space="preserve">Scad. </w:delText>
        </w:r>
      </w:del>
    </w:p>
    <w:p w:rsidR="006224C2" w:rsidRPr="00295E71" w14:paraId="264C7695" w14:textId="77777777">
      <w:pPr>
        <w:tabs>
          <w:tab w:val="left" w:pos="567"/>
        </w:tabs>
        <w:ind w:left="540" w:hanging="540"/>
        <w:rPr>
          <w:del w:id="14332" w:author="AbbVie14" w:date="2025-05-09T10:50:00Z"/>
          <w:sz w:val="22"/>
          <w:szCs w:val="22"/>
        </w:rPr>
      </w:pPr>
    </w:p>
    <w:p w:rsidR="006224C2" w:rsidRPr="00295E71" w14:paraId="5E6DFF4E" w14:textId="77777777">
      <w:pPr>
        <w:tabs>
          <w:tab w:val="left" w:pos="567"/>
        </w:tabs>
        <w:ind w:left="540" w:hanging="540"/>
        <w:rPr>
          <w:del w:id="14333" w:author="AbbVie14" w:date="2025-05-09T10:50:00Z"/>
          <w:sz w:val="22"/>
          <w:szCs w:val="22"/>
        </w:rPr>
      </w:pPr>
    </w:p>
    <w:p w:rsidR="006224C2" w:rsidRPr="00295E71" w14:paraId="3CE8309F" w14:textId="77777777">
      <w:pPr>
        <w:keepNext/>
        <w:keepLines/>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334" w:author="AbbVie14" w:date="2025-05-09T10:50:00Z"/>
          <w:sz w:val="22"/>
          <w:szCs w:val="22"/>
        </w:rPr>
      </w:pPr>
      <w:del w:id="14335" w:author="AbbVie14" w:date="2025-05-09T10:50:00Z">
        <w:r w:rsidRPr="00295E71">
          <w:rPr>
            <w:b/>
            <w:bCs/>
            <w:sz w:val="22"/>
            <w:szCs w:val="22"/>
          </w:rPr>
          <w:delText xml:space="preserve">9. </w:delText>
        </w:r>
      </w:del>
      <w:del w:id="14336" w:author="AbbVie14" w:date="2025-05-09T10:50:00Z">
        <w:r w:rsidRPr="00295E71">
          <w:rPr>
            <w:b/>
            <w:bCs/>
            <w:sz w:val="22"/>
            <w:szCs w:val="22"/>
          </w:rPr>
          <w:tab/>
          <w:delText>PRECAUZIONI PARTICOLARI PER LA CONSERVAZIONE</w:delText>
        </w:r>
      </w:del>
    </w:p>
    <w:p w:rsidR="006224C2" w:rsidRPr="00295E71" w14:paraId="329E2312" w14:textId="77777777">
      <w:pPr>
        <w:keepNext/>
        <w:keepLines/>
        <w:tabs>
          <w:tab w:val="left" w:pos="567"/>
        </w:tabs>
        <w:ind w:left="540" w:hanging="540"/>
        <w:rPr>
          <w:del w:id="14337" w:author="AbbVie14" w:date="2025-05-09T10:50:00Z"/>
          <w:sz w:val="22"/>
          <w:szCs w:val="22"/>
        </w:rPr>
      </w:pPr>
    </w:p>
    <w:p w:rsidR="006224C2" w:rsidRPr="00295E71" w14:paraId="77B4452C" w14:textId="77777777">
      <w:pPr>
        <w:keepNext/>
        <w:keepLines/>
        <w:tabs>
          <w:tab w:val="left" w:pos="567"/>
        </w:tabs>
        <w:ind w:left="540" w:hanging="540"/>
        <w:rPr>
          <w:del w:id="14338" w:author="AbbVie14" w:date="2025-05-09T10:50:00Z"/>
          <w:sz w:val="22"/>
          <w:szCs w:val="22"/>
        </w:rPr>
      </w:pPr>
      <w:del w:id="14339" w:author="AbbVie14" w:date="2025-05-09T10:50:00Z">
        <w:r w:rsidRPr="00295E71">
          <w:rPr>
            <w:sz w:val="22"/>
            <w:szCs w:val="22"/>
          </w:rPr>
          <w:delText>Conservare in frigorifero.</w:delText>
        </w:r>
      </w:del>
      <w:del w:id="14340" w:author="AbbVie14" w:date="2025-05-09T10:50:00Z">
        <w:r w:rsidRPr="00295E71" w:rsidR="00E7140F">
          <w:rPr>
            <w:sz w:val="22"/>
            <w:szCs w:val="22"/>
          </w:rPr>
          <w:delText xml:space="preserve"> </w:delText>
        </w:r>
      </w:del>
      <w:del w:id="14341" w:author="AbbVie14" w:date="2025-05-09T10:50:00Z">
        <w:r w:rsidRPr="00295E71">
          <w:rPr>
            <w:sz w:val="22"/>
            <w:szCs w:val="22"/>
          </w:rPr>
          <w:delText>Non congelare.</w:delText>
        </w:r>
      </w:del>
    </w:p>
    <w:p w:rsidR="006224C2" w:rsidRPr="00295E71" w14:paraId="59CEAECE" w14:textId="77777777">
      <w:pPr>
        <w:keepNext/>
        <w:keepLines/>
        <w:tabs>
          <w:tab w:val="left" w:pos="567"/>
        </w:tabs>
        <w:rPr>
          <w:del w:id="14342" w:author="AbbVie14" w:date="2025-05-09T10:50:00Z"/>
          <w:sz w:val="22"/>
          <w:szCs w:val="22"/>
        </w:rPr>
      </w:pPr>
      <w:del w:id="14343" w:author="AbbVie14" w:date="2025-05-09T10:50:00Z">
        <w:r w:rsidRPr="00295E71">
          <w:rPr>
            <w:sz w:val="22"/>
            <w:szCs w:val="22"/>
          </w:rPr>
          <w:delText>Fare riferimento al foglio illustrativo per condizioni di conservazione alternative.</w:delText>
        </w:r>
      </w:del>
    </w:p>
    <w:p w:rsidR="00E7140F" w:rsidRPr="00295E71" w14:paraId="6914FE8F" w14:textId="77777777">
      <w:pPr>
        <w:keepNext/>
        <w:keepLines/>
        <w:tabs>
          <w:tab w:val="left" w:pos="567"/>
        </w:tabs>
        <w:rPr>
          <w:del w:id="14344" w:author="AbbVie14" w:date="2025-05-09T10:50:00Z"/>
          <w:sz w:val="22"/>
          <w:szCs w:val="22"/>
        </w:rPr>
      </w:pPr>
    </w:p>
    <w:p w:rsidR="006224C2" w:rsidRPr="00295E71" w14:paraId="6576991A" w14:textId="77777777">
      <w:pPr>
        <w:tabs>
          <w:tab w:val="left" w:pos="567"/>
        </w:tabs>
        <w:ind w:left="540" w:hanging="540"/>
        <w:rPr>
          <w:del w:id="14345" w:author="AbbVie14" w:date="2025-05-09T10:50:00Z"/>
          <w:sz w:val="22"/>
          <w:szCs w:val="22"/>
        </w:rPr>
      </w:pPr>
      <w:del w:id="14346" w:author="AbbVie14" w:date="2025-05-09T10:50:00Z">
        <w:r w:rsidRPr="00295E71">
          <w:rPr>
            <w:sz w:val="22"/>
            <w:szCs w:val="22"/>
          </w:rPr>
          <w:delText>Tenere</w:delText>
        </w:r>
      </w:del>
      <w:del w:id="14347" w:author="AbbVie14" w:date="2025-05-09T10:50:00Z">
        <w:r w:rsidRPr="00295E71" w:rsidR="00226BC4">
          <w:rPr>
            <w:sz w:val="22"/>
            <w:szCs w:val="22"/>
          </w:rPr>
          <w:delText xml:space="preserve"> la penna pre-riempita </w:delText>
        </w:r>
      </w:del>
      <w:del w:id="14348" w:author="AbbVie14" w:date="2025-05-09T10:50:00Z">
        <w:r w:rsidRPr="00295E71">
          <w:rPr>
            <w:sz w:val="22"/>
            <w:szCs w:val="22"/>
          </w:rPr>
          <w:delText>nell’imballaggio esterno</w:delText>
        </w:r>
      </w:del>
      <w:del w:id="14349" w:author="AbbVie14" w:date="2025-05-09T10:50:00Z">
        <w:r w:rsidRPr="00295E71" w:rsidR="00226BC4">
          <w:rPr>
            <w:sz w:val="22"/>
            <w:szCs w:val="22"/>
          </w:rPr>
          <w:delText xml:space="preserve"> per proteggere il medicinale dalla luce.</w:delText>
        </w:r>
      </w:del>
    </w:p>
    <w:p w:rsidR="006224C2" w:rsidRPr="00295E71" w14:paraId="11DC5C88" w14:textId="77777777">
      <w:pPr>
        <w:tabs>
          <w:tab w:val="left" w:pos="567"/>
        </w:tabs>
        <w:ind w:left="540" w:hanging="540"/>
        <w:rPr>
          <w:del w:id="14350" w:author="AbbVie14" w:date="2025-05-09T10:50:00Z"/>
          <w:sz w:val="22"/>
          <w:szCs w:val="22"/>
        </w:rPr>
      </w:pPr>
    </w:p>
    <w:p w:rsidR="006224C2" w:rsidRPr="00295E71" w14:paraId="4DD677F7" w14:textId="77777777">
      <w:pPr>
        <w:tabs>
          <w:tab w:val="left" w:pos="567"/>
        </w:tabs>
        <w:ind w:left="540" w:hanging="540"/>
        <w:rPr>
          <w:del w:id="14351" w:author="AbbVie14" w:date="2025-05-09T10:50:00Z"/>
          <w:sz w:val="22"/>
          <w:szCs w:val="22"/>
        </w:rPr>
      </w:pPr>
    </w:p>
    <w:p w:rsidR="006224C2" w:rsidRPr="00295E71" w14:paraId="37C51F2A"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352" w:author="AbbVie14" w:date="2025-05-09T10:50:00Z"/>
          <w:b/>
          <w:bCs/>
          <w:sz w:val="22"/>
          <w:szCs w:val="22"/>
        </w:rPr>
      </w:pPr>
      <w:del w:id="14353" w:author="AbbVie14" w:date="2025-05-09T10:50:00Z">
        <w:r w:rsidRPr="00295E71">
          <w:rPr>
            <w:b/>
            <w:bCs/>
            <w:sz w:val="22"/>
            <w:szCs w:val="22"/>
          </w:rPr>
          <w:delText>10.</w:delText>
        </w:r>
      </w:del>
      <w:del w:id="14354" w:author="AbbVie14" w:date="2025-05-09T10:50:00Z">
        <w:r w:rsidRPr="00295E71">
          <w:rPr>
            <w:b/>
            <w:bCs/>
            <w:sz w:val="22"/>
            <w:szCs w:val="22"/>
          </w:rPr>
          <w:tab/>
          <w:delText>PRECAUZIONI PARTICOLARI PER LO SMALTIMENTO DEL MEDICINALE NON UTILIZZATO O DEI RIFIUTI DERIVATI DA TALE MEDICINALE, SE NECESSARIO</w:delText>
        </w:r>
      </w:del>
    </w:p>
    <w:p w:rsidR="006224C2" w:rsidRPr="00295E71" w14:paraId="20495F55" w14:textId="77777777">
      <w:pPr>
        <w:tabs>
          <w:tab w:val="left" w:pos="567"/>
        </w:tabs>
        <w:ind w:left="540" w:hanging="540"/>
        <w:rPr>
          <w:del w:id="14355" w:author="AbbVie14" w:date="2025-05-09T10:50:00Z"/>
          <w:sz w:val="22"/>
          <w:szCs w:val="22"/>
        </w:rPr>
      </w:pPr>
    </w:p>
    <w:p w:rsidR="006224C2" w:rsidRPr="00295E71" w14:paraId="39DB07E3" w14:textId="77777777">
      <w:pPr>
        <w:tabs>
          <w:tab w:val="left" w:pos="567"/>
        </w:tabs>
        <w:ind w:left="540" w:hanging="540"/>
        <w:rPr>
          <w:del w:id="14356" w:author="AbbVie14" w:date="2025-05-09T10:50:00Z"/>
          <w:sz w:val="22"/>
          <w:szCs w:val="22"/>
        </w:rPr>
      </w:pPr>
    </w:p>
    <w:p w:rsidR="006224C2" w:rsidRPr="00295E71" w14:paraId="22CA584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357" w:author="AbbVie14" w:date="2025-05-09T10:50:00Z"/>
          <w:b/>
          <w:bCs/>
          <w:sz w:val="22"/>
          <w:szCs w:val="22"/>
        </w:rPr>
      </w:pPr>
      <w:del w:id="14358" w:author="AbbVie14" w:date="2025-05-09T10:50:00Z">
        <w:r w:rsidRPr="00295E71">
          <w:rPr>
            <w:b/>
            <w:bCs/>
            <w:sz w:val="22"/>
            <w:szCs w:val="22"/>
          </w:rPr>
          <w:delText>11.</w:delText>
        </w:r>
      </w:del>
      <w:del w:id="14359" w:author="AbbVie14" w:date="2025-05-09T10:50:00Z">
        <w:r w:rsidRPr="00295E71">
          <w:rPr>
            <w:b/>
            <w:bCs/>
            <w:sz w:val="22"/>
            <w:szCs w:val="22"/>
          </w:rPr>
          <w:tab/>
          <w:delText>NOME E INDIRIZZO DEL TITOLARE DELL’AUTORIZZAZIONE ALL’IMMISSIONE IN COMMERCIO</w:delText>
        </w:r>
      </w:del>
    </w:p>
    <w:p w:rsidR="006224C2" w:rsidRPr="00295E71" w14:paraId="47AA245D" w14:textId="77777777">
      <w:pPr>
        <w:tabs>
          <w:tab w:val="left" w:pos="567"/>
        </w:tabs>
        <w:ind w:left="540" w:hanging="540"/>
        <w:rPr>
          <w:del w:id="14360" w:author="AbbVie14" w:date="2025-05-09T10:50:00Z"/>
          <w:sz w:val="22"/>
          <w:szCs w:val="22"/>
        </w:rPr>
      </w:pPr>
    </w:p>
    <w:p w:rsidR="00490B34" w:rsidRPr="00C04163" w:rsidP="00490B34" w14:paraId="6541EBEF" w14:textId="77777777">
      <w:pPr>
        <w:tabs>
          <w:tab w:val="left" w:pos="567"/>
        </w:tabs>
        <w:jc w:val="both"/>
        <w:rPr>
          <w:del w:id="14361" w:author="AbbVie14" w:date="2025-05-09T10:50:00Z"/>
          <w:sz w:val="22"/>
          <w:szCs w:val="22"/>
          <w:lang w:val="de-CH"/>
        </w:rPr>
      </w:pPr>
      <w:del w:id="14362" w:author="AbbVie14" w:date="2025-05-09T10:50:00Z">
        <w:r w:rsidRPr="00C04163">
          <w:rPr>
            <w:sz w:val="22"/>
            <w:szCs w:val="22"/>
            <w:lang w:val="de-CH"/>
          </w:rPr>
          <w:delText>AbbVie Deutschland GmbH &amp; Co. KG</w:delText>
        </w:r>
      </w:del>
    </w:p>
    <w:p w:rsidR="00490B34" w:rsidRPr="00C04163" w:rsidP="00490B34" w14:paraId="2D051C19" w14:textId="77777777">
      <w:pPr>
        <w:tabs>
          <w:tab w:val="left" w:pos="567"/>
        </w:tabs>
        <w:jc w:val="both"/>
        <w:rPr>
          <w:del w:id="14363" w:author="AbbVie14" w:date="2025-05-09T10:50:00Z"/>
          <w:sz w:val="22"/>
          <w:szCs w:val="22"/>
          <w:lang w:val="de-CH"/>
        </w:rPr>
      </w:pPr>
      <w:del w:id="14364" w:author="AbbVie14" w:date="2025-05-09T10:50:00Z">
        <w:r w:rsidRPr="00C04163">
          <w:rPr>
            <w:sz w:val="22"/>
            <w:szCs w:val="22"/>
            <w:lang w:val="de-CH"/>
          </w:rPr>
          <w:delText>Knollstrasse</w:delText>
        </w:r>
      </w:del>
    </w:p>
    <w:p w:rsidR="00490B34" w:rsidRPr="00295E71" w:rsidP="00490B34" w14:paraId="3813B09E" w14:textId="77777777">
      <w:pPr>
        <w:tabs>
          <w:tab w:val="left" w:pos="567"/>
        </w:tabs>
        <w:jc w:val="both"/>
        <w:rPr>
          <w:del w:id="14365" w:author="AbbVie14" w:date="2025-05-09T10:50:00Z"/>
          <w:sz w:val="22"/>
          <w:szCs w:val="22"/>
        </w:rPr>
      </w:pPr>
      <w:del w:id="14366" w:author="AbbVie14" w:date="2025-05-09T10:50:00Z">
        <w:r w:rsidRPr="00295E71">
          <w:rPr>
            <w:sz w:val="22"/>
            <w:szCs w:val="22"/>
          </w:rPr>
          <w:delText>67061 Ludwigshafen</w:delText>
        </w:r>
      </w:del>
    </w:p>
    <w:p w:rsidR="00490B34" w:rsidRPr="00295E71" w:rsidP="00490B34" w14:paraId="666B6674" w14:textId="77777777">
      <w:pPr>
        <w:tabs>
          <w:tab w:val="left" w:pos="567"/>
        </w:tabs>
        <w:jc w:val="both"/>
        <w:rPr>
          <w:del w:id="14367" w:author="AbbVie14" w:date="2025-05-09T10:50:00Z"/>
          <w:sz w:val="22"/>
          <w:szCs w:val="22"/>
        </w:rPr>
      </w:pPr>
      <w:del w:id="14368" w:author="AbbVie14" w:date="2025-05-09T10:50:00Z">
        <w:r w:rsidRPr="00295E71">
          <w:rPr>
            <w:sz w:val="22"/>
            <w:szCs w:val="22"/>
          </w:rPr>
          <w:delText>Germania</w:delText>
        </w:r>
      </w:del>
    </w:p>
    <w:p w:rsidR="006224C2" w:rsidRPr="00295E71" w14:paraId="41464DCD" w14:textId="77777777">
      <w:pPr>
        <w:tabs>
          <w:tab w:val="left" w:pos="567"/>
        </w:tabs>
        <w:ind w:left="540" w:hanging="540"/>
        <w:rPr>
          <w:del w:id="14369" w:author="AbbVie14" w:date="2025-05-09T10:50:00Z"/>
          <w:sz w:val="22"/>
          <w:szCs w:val="22"/>
        </w:rPr>
      </w:pPr>
    </w:p>
    <w:p w:rsidR="006224C2" w:rsidRPr="00295E71" w14:paraId="41238D43" w14:textId="77777777">
      <w:pPr>
        <w:tabs>
          <w:tab w:val="left" w:pos="567"/>
        </w:tabs>
        <w:ind w:left="540" w:hanging="540"/>
        <w:rPr>
          <w:del w:id="14370" w:author="AbbVie14" w:date="2025-05-09T10:50:00Z"/>
          <w:sz w:val="22"/>
          <w:szCs w:val="22"/>
        </w:rPr>
      </w:pPr>
    </w:p>
    <w:p w:rsidR="006224C2" w:rsidRPr="00295E71" w14:paraId="0BEF0A6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371" w:author="AbbVie14" w:date="2025-05-09T10:50:00Z"/>
          <w:b/>
          <w:bCs/>
          <w:sz w:val="22"/>
          <w:szCs w:val="22"/>
        </w:rPr>
      </w:pPr>
      <w:del w:id="14372" w:author="AbbVie14" w:date="2025-05-09T10:50:00Z">
        <w:r w:rsidRPr="00295E71">
          <w:rPr>
            <w:b/>
            <w:bCs/>
            <w:sz w:val="22"/>
            <w:szCs w:val="22"/>
          </w:rPr>
          <w:delText xml:space="preserve">12. </w:delText>
        </w:r>
      </w:del>
      <w:del w:id="14373" w:author="AbbVie14" w:date="2025-05-09T10:50:00Z">
        <w:r w:rsidRPr="00295E71">
          <w:rPr>
            <w:b/>
            <w:bCs/>
            <w:sz w:val="22"/>
            <w:szCs w:val="22"/>
          </w:rPr>
          <w:tab/>
          <w:delText>NUMERO DELLA AUTORIZZAZIONE ALL’IMMISSIONE IN COMMERCIO</w:delText>
        </w:r>
      </w:del>
    </w:p>
    <w:p w:rsidR="006224C2" w:rsidRPr="00295E71" w14:paraId="6C6DBFD7" w14:textId="77777777">
      <w:pPr>
        <w:tabs>
          <w:tab w:val="left" w:pos="567"/>
        </w:tabs>
        <w:ind w:left="540" w:hanging="540"/>
        <w:rPr>
          <w:del w:id="14374" w:author="AbbVie14" w:date="2025-05-09T10:50:00Z"/>
          <w:sz w:val="22"/>
          <w:szCs w:val="22"/>
        </w:rPr>
      </w:pPr>
    </w:p>
    <w:p w:rsidR="006224C2" w:rsidRPr="002172DD" w14:paraId="4965996F" w14:textId="77777777">
      <w:pPr>
        <w:tabs>
          <w:tab w:val="left" w:pos="567"/>
        </w:tabs>
        <w:ind w:left="540" w:hanging="540"/>
        <w:rPr>
          <w:del w:id="14375" w:author="AbbVie14" w:date="2025-05-09T10:50:00Z"/>
          <w:sz w:val="22"/>
          <w:szCs w:val="22"/>
        </w:rPr>
      </w:pPr>
      <w:del w:id="14376" w:author="AbbVie14" w:date="2025-05-09T10:50:00Z">
        <w:r w:rsidRPr="002172DD">
          <w:rPr>
            <w:sz w:val="22"/>
            <w:szCs w:val="22"/>
          </w:rPr>
          <w:delText>EU/1/03/256/007</w:delText>
        </w:r>
      </w:del>
    </w:p>
    <w:p w:rsidR="00D74EFF" w:rsidRPr="002172DD" w:rsidP="00D74EFF" w14:paraId="59BC1AC1" w14:textId="77777777">
      <w:pPr>
        <w:tabs>
          <w:tab w:val="left" w:pos="562"/>
        </w:tabs>
        <w:ind w:left="540" w:hanging="540"/>
        <w:rPr>
          <w:del w:id="14377" w:author="AbbVie14" w:date="2025-05-09T10:50:00Z"/>
          <w:sz w:val="22"/>
          <w:szCs w:val="22"/>
          <w:highlight w:val="lightGray"/>
        </w:rPr>
      </w:pPr>
      <w:del w:id="14378" w:author="AbbVie14" w:date="2025-05-09T10:50:00Z">
        <w:r w:rsidRPr="002172DD">
          <w:rPr>
            <w:sz w:val="22"/>
            <w:szCs w:val="22"/>
            <w:highlight w:val="lightGray"/>
          </w:rPr>
          <w:delText>EU/1/03/256/008</w:delText>
        </w:r>
      </w:del>
    </w:p>
    <w:p w:rsidR="00D74EFF" w:rsidRPr="002172DD" w:rsidP="00D74EFF" w14:paraId="205B3961" w14:textId="77777777">
      <w:pPr>
        <w:tabs>
          <w:tab w:val="left" w:pos="562"/>
        </w:tabs>
        <w:ind w:left="540" w:hanging="540"/>
        <w:rPr>
          <w:del w:id="14379" w:author="AbbVie14" w:date="2025-05-09T10:50:00Z"/>
          <w:sz w:val="22"/>
          <w:szCs w:val="22"/>
          <w:highlight w:val="lightGray"/>
        </w:rPr>
      </w:pPr>
      <w:del w:id="14380" w:author="AbbVie14" w:date="2025-05-09T10:50:00Z">
        <w:r w:rsidRPr="002172DD">
          <w:rPr>
            <w:sz w:val="22"/>
            <w:szCs w:val="22"/>
            <w:highlight w:val="lightGray"/>
          </w:rPr>
          <w:delText>EU/1/03/256/009</w:delText>
        </w:r>
      </w:del>
    </w:p>
    <w:p w:rsidR="00D74EFF" w:rsidRPr="002172DD" w:rsidP="00D74EFF" w14:paraId="66B4FADA" w14:textId="77777777">
      <w:pPr>
        <w:tabs>
          <w:tab w:val="left" w:pos="562"/>
        </w:tabs>
        <w:ind w:left="540" w:hanging="540"/>
        <w:rPr>
          <w:del w:id="14381" w:author="AbbVie14" w:date="2025-05-09T10:50:00Z"/>
          <w:sz w:val="22"/>
          <w:szCs w:val="22"/>
        </w:rPr>
      </w:pPr>
      <w:del w:id="14382" w:author="AbbVie14" w:date="2025-05-09T10:50:00Z">
        <w:r w:rsidRPr="002172DD">
          <w:rPr>
            <w:sz w:val="22"/>
            <w:szCs w:val="22"/>
            <w:highlight w:val="lightGray"/>
          </w:rPr>
          <w:delText>EU/1/03/256/010</w:delText>
        </w:r>
      </w:del>
    </w:p>
    <w:p w:rsidR="006224C2" w:rsidRPr="002172DD" w14:paraId="48087B60" w14:textId="77777777">
      <w:pPr>
        <w:tabs>
          <w:tab w:val="left" w:pos="567"/>
        </w:tabs>
        <w:ind w:left="540" w:hanging="540"/>
        <w:rPr>
          <w:del w:id="14383" w:author="AbbVie14" w:date="2025-05-09T10:50:00Z"/>
          <w:sz w:val="22"/>
          <w:szCs w:val="22"/>
        </w:rPr>
      </w:pPr>
    </w:p>
    <w:p w:rsidR="006224C2" w:rsidRPr="002172DD" w14:paraId="0871E739" w14:textId="77777777">
      <w:pPr>
        <w:tabs>
          <w:tab w:val="left" w:pos="567"/>
        </w:tabs>
        <w:ind w:left="540" w:hanging="540"/>
        <w:rPr>
          <w:del w:id="14384" w:author="AbbVie14" w:date="2025-05-09T10:50:00Z"/>
          <w:sz w:val="22"/>
          <w:szCs w:val="22"/>
        </w:rPr>
      </w:pPr>
    </w:p>
    <w:p w:rsidR="006224C2" w:rsidRPr="002172DD" w14:paraId="14C024EA"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385" w:author="AbbVie14" w:date="2025-05-09T10:50:00Z"/>
          <w:sz w:val="22"/>
          <w:szCs w:val="22"/>
        </w:rPr>
      </w:pPr>
      <w:del w:id="14386" w:author="AbbVie14" w:date="2025-05-09T10:50:00Z">
        <w:r w:rsidRPr="002172DD">
          <w:rPr>
            <w:b/>
            <w:bCs/>
            <w:sz w:val="22"/>
            <w:szCs w:val="22"/>
          </w:rPr>
          <w:delText>13.</w:delText>
        </w:r>
      </w:del>
      <w:del w:id="14387" w:author="AbbVie14" w:date="2025-05-09T10:50:00Z">
        <w:r w:rsidRPr="002172DD">
          <w:rPr>
            <w:b/>
            <w:bCs/>
            <w:sz w:val="22"/>
            <w:szCs w:val="22"/>
          </w:rPr>
          <w:tab/>
          <w:delText>NUMERO DI LOTTO</w:delText>
        </w:r>
      </w:del>
    </w:p>
    <w:p w:rsidR="006224C2" w:rsidRPr="002172DD" w14:paraId="2A54E91F" w14:textId="77777777">
      <w:pPr>
        <w:tabs>
          <w:tab w:val="left" w:pos="567"/>
        </w:tabs>
        <w:ind w:left="540" w:hanging="540"/>
        <w:rPr>
          <w:del w:id="14388" w:author="AbbVie14" w:date="2025-05-09T10:50:00Z"/>
          <w:sz w:val="22"/>
          <w:szCs w:val="22"/>
        </w:rPr>
      </w:pPr>
    </w:p>
    <w:p w:rsidR="006224C2" w:rsidRPr="00295E71" w14:paraId="16800203" w14:textId="77777777">
      <w:pPr>
        <w:tabs>
          <w:tab w:val="left" w:pos="567"/>
        </w:tabs>
        <w:ind w:left="540" w:hanging="540"/>
        <w:rPr>
          <w:del w:id="14389" w:author="AbbVie14" w:date="2025-05-09T10:50:00Z"/>
          <w:sz w:val="22"/>
          <w:szCs w:val="22"/>
        </w:rPr>
      </w:pPr>
      <w:del w:id="14390" w:author="AbbVie14" w:date="2025-05-09T10:50:00Z">
        <w:r w:rsidRPr="00295E71">
          <w:rPr>
            <w:sz w:val="22"/>
            <w:szCs w:val="22"/>
          </w:rPr>
          <w:delText xml:space="preserve">Lotto </w:delText>
        </w:r>
      </w:del>
    </w:p>
    <w:p w:rsidR="006224C2" w:rsidRPr="00295E71" w14:paraId="47D9E5F6" w14:textId="77777777">
      <w:pPr>
        <w:tabs>
          <w:tab w:val="left" w:pos="567"/>
        </w:tabs>
        <w:ind w:left="540" w:hanging="540"/>
        <w:rPr>
          <w:del w:id="14391" w:author="AbbVie14" w:date="2025-05-09T10:50:00Z"/>
          <w:sz w:val="22"/>
          <w:szCs w:val="22"/>
        </w:rPr>
      </w:pPr>
    </w:p>
    <w:p w:rsidR="006224C2" w:rsidRPr="00295E71" w14:paraId="0D57E30A" w14:textId="77777777">
      <w:pPr>
        <w:tabs>
          <w:tab w:val="left" w:pos="567"/>
        </w:tabs>
        <w:ind w:left="540" w:hanging="540"/>
        <w:rPr>
          <w:del w:id="14392" w:author="AbbVie14" w:date="2025-05-09T10:50:00Z"/>
          <w:sz w:val="22"/>
          <w:szCs w:val="22"/>
        </w:rPr>
      </w:pPr>
    </w:p>
    <w:p w:rsidR="006224C2" w:rsidRPr="00295E71" w14:paraId="7FADB3D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393" w:author="AbbVie14" w:date="2025-05-09T10:50:00Z"/>
          <w:sz w:val="22"/>
          <w:szCs w:val="22"/>
        </w:rPr>
      </w:pPr>
      <w:del w:id="14394" w:author="AbbVie14" w:date="2025-05-09T10:50:00Z">
        <w:r w:rsidRPr="00295E71">
          <w:rPr>
            <w:b/>
            <w:bCs/>
            <w:sz w:val="22"/>
            <w:szCs w:val="22"/>
          </w:rPr>
          <w:delText>14.</w:delText>
        </w:r>
      </w:del>
      <w:del w:id="14395" w:author="AbbVie14" w:date="2025-05-09T10:50:00Z">
        <w:r w:rsidRPr="00295E71">
          <w:rPr>
            <w:b/>
            <w:bCs/>
            <w:sz w:val="22"/>
            <w:szCs w:val="22"/>
          </w:rPr>
          <w:tab/>
          <w:delText>CONDIZIONE GENERALE DI FORNITURA</w:delText>
        </w:r>
      </w:del>
    </w:p>
    <w:p w:rsidR="006224C2" w:rsidRPr="00295E71" w14:paraId="45D97508" w14:textId="77777777">
      <w:pPr>
        <w:tabs>
          <w:tab w:val="left" w:pos="567"/>
        </w:tabs>
        <w:ind w:left="540" w:hanging="540"/>
        <w:rPr>
          <w:del w:id="14396" w:author="AbbVie14" w:date="2025-05-09T10:50:00Z"/>
          <w:sz w:val="22"/>
          <w:szCs w:val="22"/>
        </w:rPr>
      </w:pPr>
    </w:p>
    <w:p w:rsidR="006224C2" w:rsidRPr="00295E71" w14:paraId="426B8EA5" w14:textId="77777777">
      <w:pPr>
        <w:tabs>
          <w:tab w:val="left" w:pos="567"/>
        </w:tabs>
        <w:ind w:left="540" w:hanging="540"/>
        <w:rPr>
          <w:del w:id="14397" w:author="AbbVie14" w:date="2025-05-09T10:50:00Z"/>
          <w:sz w:val="22"/>
          <w:szCs w:val="22"/>
        </w:rPr>
      </w:pPr>
    </w:p>
    <w:p w:rsidR="006224C2" w:rsidRPr="00295E71" w14:paraId="334C288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398" w:author="AbbVie14" w:date="2025-05-09T10:50:00Z"/>
          <w:b/>
          <w:bCs/>
          <w:sz w:val="22"/>
          <w:szCs w:val="22"/>
          <w:u w:val="single"/>
        </w:rPr>
      </w:pPr>
      <w:del w:id="14399" w:author="AbbVie14" w:date="2025-05-09T10:50:00Z">
        <w:r w:rsidRPr="00295E71">
          <w:rPr>
            <w:b/>
            <w:bCs/>
            <w:sz w:val="22"/>
            <w:szCs w:val="22"/>
          </w:rPr>
          <w:delText>15.</w:delText>
        </w:r>
      </w:del>
      <w:del w:id="14400" w:author="AbbVie14" w:date="2025-05-09T10:50:00Z">
        <w:r w:rsidRPr="00295E71">
          <w:rPr>
            <w:b/>
            <w:bCs/>
            <w:sz w:val="22"/>
            <w:szCs w:val="22"/>
          </w:rPr>
          <w:tab/>
          <w:delText>ISTRUZIONI PER L’USO</w:delText>
        </w:r>
      </w:del>
    </w:p>
    <w:p w:rsidR="006224C2" w:rsidRPr="00295E71" w14:paraId="0BBAD188" w14:textId="77777777">
      <w:pPr>
        <w:tabs>
          <w:tab w:val="left" w:pos="567"/>
        </w:tabs>
        <w:ind w:left="540" w:hanging="540"/>
        <w:rPr>
          <w:del w:id="14401" w:author="AbbVie14" w:date="2025-05-09T10:50:00Z"/>
          <w:bCs/>
          <w:sz w:val="22"/>
          <w:szCs w:val="22"/>
        </w:rPr>
      </w:pPr>
    </w:p>
    <w:p w:rsidR="006224C2" w:rsidRPr="00295E71" w14:paraId="1904FAC4" w14:textId="77777777">
      <w:pPr>
        <w:tabs>
          <w:tab w:val="left" w:pos="567"/>
        </w:tabs>
        <w:ind w:left="540" w:hanging="540"/>
        <w:rPr>
          <w:del w:id="14402" w:author="AbbVie14" w:date="2025-05-09T10:50:00Z"/>
          <w:bCs/>
          <w:sz w:val="22"/>
          <w:szCs w:val="22"/>
        </w:rPr>
      </w:pPr>
    </w:p>
    <w:p w:rsidR="006224C2" w:rsidRPr="00295E71" w14:paraId="6F14F90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403" w:author="AbbVie14" w:date="2025-05-09T10:50:00Z"/>
          <w:b/>
          <w:bCs/>
          <w:sz w:val="22"/>
          <w:szCs w:val="22"/>
          <w:u w:val="single"/>
        </w:rPr>
      </w:pPr>
      <w:del w:id="14404" w:author="AbbVie14" w:date="2025-05-09T10:50:00Z">
        <w:r w:rsidRPr="00295E71">
          <w:rPr>
            <w:b/>
            <w:bCs/>
            <w:sz w:val="22"/>
            <w:szCs w:val="22"/>
          </w:rPr>
          <w:delText>16.</w:delText>
        </w:r>
      </w:del>
      <w:del w:id="14405" w:author="AbbVie14" w:date="2025-05-09T10:50:00Z">
        <w:r w:rsidRPr="00295E71">
          <w:rPr>
            <w:b/>
            <w:bCs/>
            <w:sz w:val="22"/>
            <w:szCs w:val="22"/>
          </w:rPr>
          <w:tab/>
          <w:delText>INFORMAZIONI IN BRAILLE</w:delText>
        </w:r>
      </w:del>
    </w:p>
    <w:p w:rsidR="006224C2" w:rsidRPr="00295E71" w14:paraId="12A395B6" w14:textId="77777777">
      <w:pPr>
        <w:tabs>
          <w:tab w:val="left" w:pos="567"/>
        </w:tabs>
        <w:ind w:left="540" w:hanging="540"/>
        <w:rPr>
          <w:del w:id="14406" w:author="AbbVie14" w:date="2025-05-09T10:50:00Z"/>
          <w:bCs/>
          <w:sz w:val="22"/>
          <w:szCs w:val="22"/>
        </w:rPr>
      </w:pPr>
    </w:p>
    <w:p w:rsidR="006224C2" w:rsidRPr="00295E71" w14:paraId="28B311E7" w14:textId="77777777">
      <w:pPr>
        <w:tabs>
          <w:tab w:val="left" w:pos="567"/>
        </w:tabs>
        <w:ind w:left="540" w:hanging="540"/>
        <w:rPr>
          <w:del w:id="14407" w:author="AbbVie14" w:date="2025-05-09T10:50:00Z"/>
          <w:sz w:val="22"/>
          <w:szCs w:val="22"/>
        </w:rPr>
      </w:pPr>
      <w:del w:id="14408" w:author="AbbVie14" w:date="2025-05-09T10:50:00Z">
        <w:r w:rsidRPr="00295E71">
          <w:rPr>
            <w:sz w:val="22"/>
            <w:szCs w:val="22"/>
          </w:rPr>
          <w:delText>Humira 40 mg</w:delText>
        </w:r>
      </w:del>
    </w:p>
    <w:p w:rsidR="006224C2" w:rsidRPr="00295E71" w14:paraId="78C299E4" w14:textId="77777777">
      <w:pPr>
        <w:tabs>
          <w:tab w:val="left" w:pos="567"/>
        </w:tabs>
        <w:ind w:left="540" w:hanging="540"/>
        <w:rPr>
          <w:del w:id="14409" w:author="AbbVie14" w:date="2025-05-09T10:50:00Z"/>
          <w:sz w:val="22"/>
          <w:szCs w:val="22"/>
          <w:u w:val="single"/>
        </w:rPr>
      </w:pPr>
    </w:p>
    <w:p w:rsidR="006224C2" w:rsidRPr="00295E71" w14:paraId="5C96AAE6" w14:textId="77777777">
      <w:pPr>
        <w:tabs>
          <w:tab w:val="left" w:pos="567"/>
        </w:tabs>
        <w:ind w:left="540" w:hanging="540"/>
        <w:rPr>
          <w:del w:id="14410" w:author="AbbVie14" w:date="2025-05-09T10:50:00Z"/>
          <w:sz w:val="22"/>
          <w:szCs w:val="22"/>
          <w:u w:val="single"/>
        </w:rPr>
      </w:pPr>
    </w:p>
    <w:p w:rsidR="006224C2" w:rsidRPr="00295E71" w14:paraId="1B272920" w14:textId="77777777">
      <w:pPr>
        <w:pStyle w:val="EMEAHeadingBoxedTitle"/>
        <w:ind w:left="0" w:firstLine="0"/>
        <w:rPr>
          <w:del w:id="14411" w:author="AbbVie14" w:date="2025-05-09T10:50:00Z"/>
          <w:rFonts w:ascii="Times New Roman" w:hAnsi="Times New Roman"/>
          <w:b/>
          <w:bCs/>
          <w:szCs w:val="22"/>
          <w:lang w:val="it-IT"/>
        </w:rPr>
      </w:pPr>
      <w:del w:id="14412" w:author="AbbVie14" w:date="2025-05-09T10:50:00Z">
        <w:r w:rsidRPr="00295E71">
          <w:rPr>
            <w:rFonts w:ascii="Times New Roman" w:hAnsi="Times New Roman"/>
            <w:b/>
            <w:bCs/>
            <w:szCs w:val="22"/>
            <w:lang w:val="it-IT"/>
          </w:rPr>
          <w:delText xml:space="preserve">17. </w:delText>
        </w:r>
      </w:del>
      <w:del w:id="14413" w:author="AbbVie14" w:date="2025-05-09T10:50:00Z">
        <w:r w:rsidRPr="00295E71">
          <w:rPr>
            <w:rFonts w:ascii="Times New Roman" w:hAnsi="Times New Roman"/>
            <w:b/>
            <w:bCs/>
            <w:szCs w:val="22"/>
            <w:lang w:val="it-IT"/>
          </w:rPr>
          <w:tab/>
          <w:delText>IDENTIFICATIVO UNICO – CODICE A BARRE BIDIMENSIONALE</w:delText>
        </w:r>
      </w:del>
    </w:p>
    <w:p w:rsidR="006224C2" w:rsidRPr="00295E71" w14:paraId="486175DC" w14:textId="77777777">
      <w:pPr>
        <w:rPr>
          <w:del w:id="14414" w:author="AbbVie14" w:date="2025-05-09T10:50:00Z"/>
          <w:sz w:val="22"/>
          <w:szCs w:val="22"/>
        </w:rPr>
      </w:pPr>
    </w:p>
    <w:p w:rsidR="006224C2" w:rsidRPr="00295E71" w14:paraId="5DF34C77" w14:textId="77777777">
      <w:pPr>
        <w:rPr>
          <w:del w:id="14415" w:author="AbbVie14" w:date="2025-05-09T10:50:00Z"/>
          <w:sz w:val="22"/>
          <w:szCs w:val="22"/>
          <w:shd w:val="clear" w:color="auto" w:fill="BFBFBF"/>
        </w:rPr>
      </w:pPr>
      <w:del w:id="14416" w:author="AbbVie14" w:date="2025-05-09T10:50:00Z">
        <w:r w:rsidRPr="00295E71">
          <w:rPr>
            <w:sz w:val="22"/>
            <w:szCs w:val="22"/>
            <w:shd w:val="clear" w:color="auto" w:fill="BFBFBF"/>
          </w:rPr>
          <w:delText>Codice a barre bidimensionale con identificativo unico incluso.</w:delText>
        </w:r>
      </w:del>
    </w:p>
    <w:p w:rsidR="006224C2" w:rsidRPr="00295E71" w14:paraId="59C95F60" w14:textId="77777777">
      <w:pPr>
        <w:rPr>
          <w:del w:id="14417" w:author="AbbVie14" w:date="2025-05-09T10:50:00Z"/>
          <w:sz w:val="22"/>
          <w:szCs w:val="22"/>
          <w:shd w:val="clear" w:color="auto" w:fill="BFBFBF"/>
        </w:rPr>
      </w:pPr>
    </w:p>
    <w:p w:rsidR="006224C2" w:rsidRPr="00295E71" w14:paraId="1D5CC02B" w14:textId="77777777">
      <w:pPr>
        <w:rPr>
          <w:del w:id="14418" w:author="AbbVie14" w:date="2025-05-09T10:50:00Z"/>
          <w:sz w:val="22"/>
          <w:szCs w:val="22"/>
          <w:shd w:val="clear" w:color="auto" w:fill="BFBFBF"/>
        </w:rPr>
      </w:pPr>
    </w:p>
    <w:p w:rsidR="006224C2" w:rsidRPr="00295E71" w14:paraId="0A44E061" w14:textId="77777777">
      <w:pPr>
        <w:pStyle w:val="EMEAHeadingBoxedTitle"/>
        <w:keepNext/>
        <w:ind w:left="0" w:firstLine="0"/>
        <w:rPr>
          <w:del w:id="14419" w:author="AbbVie14" w:date="2025-05-09T10:50:00Z"/>
          <w:rFonts w:ascii="Times New Roman" w:hAnsi="Times New Roman"/>
          <w:szCs w:val="22"/>
          <w:lang w:val="it-IT"/>
        </w:rPr>
      </w:pPr>
      <w:del w:id="14420" w:author="AbbVie14" w:date="2025-05-09T10:50:00Z">
        <w:r w:rsidRPr="00295E71">
          <w:rPr>
            <w:rFonts w:ascii="Times New Roman" w:hAnsi="Times New Roman"/>
            <w:b/>
            <w:bCs/>
            <w:szCs w:val="22"/>
            <w:lang w:val="it-IT"/>
          </w:rPr>
          <w:delText xml:space="preserve">18. </w:delText>
        </w:r>
      </w:del>
      <w:del w:id="14421" w:author="AbbVie14" w:date="2025-05-09T10:50:00Z">
        <w:r w:rsidRPr="00295E71">
          <w:rPr>
            <w:rFonts w:ascii="Times New Roman" w:hAnsi="Times New Roman"/>
            <w:b/>
            <w:bCs/>
            <w:szCs w:val="22"/>
            <w:lang w:val="it-IT"/>
          </w:rPr>
          <w:tab/>
          <w:delText>IDENTIFICATIVO UNICO – dati leggibili</w:delText>
        </w:r>
      </w:del>
    </w:p>
    <w:p w:rsidR="006224C2" w:rsidRPr="00295E71" w14:paraId="0F60A9E8" w14:textId="77777777">
      <w:pPr>
        <w:keepNext/>
        <w:ind w:left="540" w:hanging="540"/>
        <w:rPr>
          <w:del w:id="14422" w:author="AbbVie14" w:date="2025-05-09T10:50:00Z"/>
          <w:sz w:val="22"/>
          <w:szCs w:val="22"/>
        </w:rPr>
      </w:pPr>
    </w:p>
    <w:p w:rsidR="006224C2" w:rsidRPr="00295E71" w14:paraId="0A62D365" w14:textId="77777777">
      <w:pPr>
        <w:keepNext/>
        <w:ind w:left="540" w:hanging="540"/>
        <w:rPr>
          <w:del w:id="14423" w:author="AbbVie14" w:date="2025-05-09T10:50:00Z"/>
          <w:sz w:val="22"/>
          <w:szCs w:val="22"/>
        </w:rPr>
      </w:pPr>
      <w:del w:id="14424" w:author="AbbVie14" w:date="2025-05-09T10:50:00Z">
        <w:r w:rsidRPr="00295E71">
          <w:rPr>
            <w:sz w:val="22"/>
            <w:szCs w:val="22"/>
          </w:rPr>
          <w:delText>PC</w:delText>
        </w:r>
      </w:del>
    </w:p>
    <w:p w:rsidR="006224C2" w:rsidRPr="00295E71" w14:paraId="0C548051" w14:textId="77777777">
      <w:pPr>
        <w:keepNext/>
        <w:ind w:left="540" w:hanging="540"/>
        <w:rPr>
          <w:del w:id="14425" w:author="AbbVie14" w:date="2025-05-09T10:50:00Z"/>
          <w:sz w:val="22"/>
          <w:szCs w:val="22"/>
        </w:rPr>
      </w:pPr>
      <w:del w:id="14426" w:author="AbbVie14" w:date="2025-05-09T10:50:00Z">
        <w:r w:rsidRPr="00295E71">
          <w:rPr>
            <w:sz w:val="22"/>
            <w:szCs w:val="22"/>
          </w:rPr>
          <w:delText>SN</w:delText>
        </w:r>
      </w:del>
    </w:p>
    <w:p w:rsidR="006224C2" w:rsidRPr="00295E71" w14:paraId="20CB66DD" w14:textId="77777777">
      <w:pPr>
        <w:keepNext/>
        <w:ind w:left="540" w:hanging="540"/>
        <w:rPr>
          <w:del w:id="14427" w:author="AbbVie14" w:date="2025-05-09T10:50:00Z"/>
          <w:sz w:val="22"/>
          <w:szCs w:val="22"/>
        </w:rPr>
      </w:pPr>
      <w:del w:id="14428" w:author="AbbVie14" w:date="2025-05-09T10:50:00Z">
        <w:r w:rsidRPr="0020624D">
          <w:rPr>
            <w:sz w:val="22"/>
            <w:szCs w:val="22"/>
            <w:highlight w:val="lightGray"/>
          </w:rPr>
          <w:delText>NN</w:delText>
        </w:r>
      </w:del>
    </w:p>
    <w:p w:rsidR="006224C2" w:rsidRPr="00295E71" w14:paraId="3635F20B" w14:textId="77777777">
      <w:pPr>
        <w:tabs>
          <w:tab w:val="left" w:pos="567"/>
        </w:tabs>
        <w:ind w:left="540" w:hanging="540"/>
        <w:rPr>
          <w:del w:id="14429" w:author="AbbVie14" w:date="2025-05-09T10:50:00Z"/>
          <w:sz w:val="22"/>
          <w:szCs w:val="22"/>
          <w:u w:val="single"/>
        </w:rPr>
      </w:pPr>
    </w:p>
    <w:p w:rsidR="006224C2" w:rsidRPr="00295E71" w14:paraId="4E936DF5" w14:textId="77777777">
      <w:pPr>
        <w:pStyle w:val="Heading3"/>
        <w:keepNext w:val="0"/>
        <w:tabs>
          <w:tab w:val="left" w:pos="567"/>
        </w:tabs>
        <w:rPr>
          <w:del w:id="14430" w:author="AbbVie14" w:date="2025-05-09T10:50:00Z"/>
        </w:rPr>
      </w:pPr>
    </w:p>
    <w:p w:rsidR="006224C2" w:rsidRPr="00295E71" w14:paraId="08EE214E" w14:textId="77777777">
      <w:pPr>
        <w:pStyle w:val="Heading3"/>
        <w:keepNext w:val="0"/>
        <w:tabs>
          <w:tab w:val="left" w:pos="567"/>
        </w:tabs>
        <w:rPr>
          <w:del w:id="14431" w:author="AbbVie14" w:date="2025-05-09T10:50:00Z"/>
        </w:rPr>
      </w:pPr>
      <w:del w:id="14432" w:author="AbbVie14" w:date="2025-05-09T10:50:00Z">
        <w:r w:rsidRPr="00295E71">
          <w:br w:type="page"/>
        </w:r>
      </w:del>
    </w:p>
    <w:p w:rsidR="006224C2" w:rsidRPr="00295E71" w:rsidP="005968CC" w14:paraId="328063E3" w14:textId="77777777">
      <w:pPr>
        <w:pBdr>
          <w:top w:val="single" w:sz="4" w:space="1" w:color="auto"/>
          <w:left w:val="single" w:sz="4" w:space="4" w:color="auto"/>
          <w:bottom w:val="single" w:sz="4" w:space="1" w:color="auto"/>
          <w:right w:val="single" w:sz="4" w:space="4" w:color="auto"/>
        </w:pBdr>
        <w:tabs>
          <w:tab w:val="left" w:pos="567"/>
        </w:tabs>
        <w:jc w:val="both"/>
        <w:rPr>
          <w:del w:id="14433" w:author="AbbVie14" w:date="2025-05-09T10:50:00Z"/>
          <w:b/>
          <w:bCs/>
          <w:sz w:val="22"/>
          <w:szCs w:val="22"/>
        </w:rPr>
      </w:pPr>
      <w:del w:id="14434" w:author="AbbVie14" w:date="2025-05-09T10:50:00Z">
        <w:r w:rsidRPr="00295E71">
          <w:rPr>
            <w:b/>
            <w:bCs/>
            <w:sz w:val="22"/>
            <w:szCs w:val="22"/>
          </w:rPr>
          <w:delText>INFORMAZIONI MINIME DA APPORRE SU BLISTER O STRIP</w:delText>
        </w:r>
      </w:del>
    </w:p>
    <w:p w:rsidR="006224C2" w:rsidRPr="00295E71" w14:paraId="0284B7F0" w14:textId="77777777">
      <w:pPr>
        <w:pBdr>
          <w:top w:val="single" w:sz="4" w:space="1" w:color="auto"/>
          <w:left w:val="single" w:sz="4" w:space="4" w:color="auto"/>
          <w:bottom w:val="single" w:sz="4" w:space="1" w:color="auto"/>
          <w:right w:val="single" w:sz="4" w:space="4" w:color="auto"/>
        </w:pBdr>
        <w:tabs>
          <w:tab w:val="left" w:pos="567"/>
        </w:tabs>
        <w:ind w:left="540" w:hanging="540"/>
        <w:jc w:val="both"/>
        <w:rPr>
          <w:del w:id="14435" w:author="AbbVie14" w:date="2025-05-09T10:50:00Z"/>
          <w:b/>
          <w:bCs/>
          <w:caps/>
          <w:sz w:val="22"/>
          <w:szCs w:val="22"/>
        </w:rPr>
      </w:pPr>
    </w:p>
    <w:p w:rsidR="006224C2" w:rsidRPr="00295E71" w14:paraId="389115B4" w14:textId="77777777">
      <w:pPr>
        <w:pStyle w:val="Heading3"/>
        <w:keepNext w:val="0"/>
        <w:pBdr>
          <w:top w:val="single" w:sz="4" w:space="1" w:color="auto"/>
          <w:left w:val="single" w:sz="4" w:space="4" w:color="auto"/>
          <w:bottom w:val="single" w:sz="4" w:space="1" w:color="auto"/>
          <w:right w:val="single" w:sz="4" w:space="4" w:color="auto"/>
        </w:pBdr>
        <w:tabs>
          <w:tab w:val="left" w:pos="567"/>
        </w:tabs>
        <w:ind w:left="540" w:hanging="540"/>
        <w:rPr>
          <w:del w:id="14436" w:author="AbbVie14" w:date="2025-05-09T10:50:00Z"/>
          <w:b/>
          <w:bCs/>
          <w:u w:val="none"/>
        </w:rPr>
      </w:pPr>
      <w:del w:id="14437" w:author="AbbVie14" w:date="2025-05-09T10:50:00Z">
        <w:r w:rsidRPr="00295E71">
          <w:rPr>
            <w:b/>
            <w:bCs/>
            <w:caps/>
            <w:u w:val="none"/>
          </w:rPr>
          <w:delText>Testo da apporre sul retro della confezione</w:delText>
        </w:r>
      </w:del>
    </w:p>
    <w:p w:rsidR="006224C2" w:rsidRPr="00295E71" w14:paraId="30FA77FB" w14:textId="77777777">
      <w:pPr>
        <w:tabs>
          <w:tab w:val="left" w:pos="567"/>
        </w:tabs>
        <w:ind w:left="540" w:hanging="540"/>
        <w:jc w:val="both"/>
        <w:rPr>
          <w:del w:id="14438" w:author="AbbVie14" w:date="2025-05-09T10:50:00Z"/>
          <w:sz w:val="22"/>
          <w:szCs w:val="22"/>
        </w:rPr>
      </w:pPr>
    </w:p>
    <w:p w:rsidR="006224C2" w:rsidRPr="00295E71" w14:paraId="13D99DA5" w14:textId="77777777">
      <w:pPr>
        <w:tabs>
          <w:tab w:val="left" w:pos="567"/>
        </w:tabs>
        <w:ind w:left="540" w:hanging="540"/>
        <w:jc w:val="both"/>
        <w:rPr>
          <w:del w:id="14439" w:author="AbbVie14" w:date="2025-05-09T10:50:00Z"/>
          <w:sz w:val="22"/>
          <w:szCs w:val="22"/>
        </w:rPr>
      </w:pPr>
    </w:p>
    <w:p w:rsidR="006224C2" w:rsidRPr="00295E71" w14:paraId="1E81850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440" w:author="AbbVie14" w:date="2025-05-09T10:50:00Z"/>
          <w:sz w:val="22"/>
          <w:szCs w:val="22"/>
        </w:rPr>
      </w:pPr>
      <w:del w:id="14441" w:author="AbbVie14" w:date="2025-05-09T10:50:00Z">
        <w:r w:rsidRPr="00295E71">
          <w:rPr>
            <w:b/>
            <w:bCs/>
            <w:sz w:val="22"/>
            <w:szCs w:val="22"/>
          </w:rPr>
          <w:delText>1.</w:delText>
        </w:r>
      </w:del>
      <w:del w:id="14442" w:author="AbbVie14" w:date="2025-05-09T10:50:00Z">
        <w:r w:rsidRPr="00295E71">
          <w:rPr>
            <w:b/>
            <w:bCs/>
            <w:sz w:val="22"/>
            <w:szCs w:val="22"/>
          </w:rPr>
          <w:tab/>
          <w:delText>DENOMINAZIONE DEL MEDICINALE</w:delText>
        </w:r>
      </w:del>
    </w:p>
    <w:p w:rsidR="006224C2" w:rsidRPr="00295E71" w14:paraId="69D93F52" w14:textId="77777777">
      <w:pPr>
        <w:tabs>
          <w:tab w:val="left" w:pos="567"/>
        </w:tabs>
        <w:ind w:left="540" w:hanging="540"/>
        <w:jc w:val="both"/>
        <w:rPr>
          <w:del w:id="14443" w:author="AbbVie14" w:date="2025-05-09T10:50:00Z"/>
          <w:sz w:val="22"/>
          <w:szCs w:val="22"/>
        </w:rPr>
      </w:pPr>
    </w:p>
    <w:p w:rsidR="006224C2" w:rsidRPr="00295E71" w14:paraId="4E5F2E90" w14:textId="77777777">
      <w:pPr>
        <w:tabs>
          <w:tab w:val="left" w:pos="567"/>
        </w:tabs>
        <w:ind w:left="540" w:hanging="540"/>
        <w:jc w:val="both"/>
        <w:rPr>
          <w:del w:id="14444" w:author="AbbVie14" w:date="2025-05-09T10:50:00Z"/>
          <w:sz w:val="22"/>
          <w:szCs w:val="22"/>
        </w:rPr>
      </w:pPr>
      <w:del w:id="14445" w:author="AbbVie14" w:date="2025-05-09T10:50:00Z">
        <w:r w:rsidRPr="00295E71">
          <w:rPr>
            <w:sz w:val="22"/>
            <w:szCs w:val="22"/>
          </w:rPr>
          <w:delText>Humira 40 mg soluzione iniettabile in penna pre-riempita</w:delText>
        </w:r>
      </w:del>
    </w:p>
    <w:p w:rsidR="006224C2" w:rsidRPr="00295E71" w14:paraId="348A3B3B" w14:textId="77777777">
      <w:pPr>
        <w:tabs>
          <w:tab w:val="left" w:pos="567"/>
        </w:tabs>
        <w:ind w:left="540" w:hanging="540"/>
        <w:jc w:val="both"/>
        <w:rPr>
          <w:del w:id="14446" w:author="AbbVie14" w:date="2025-05-09T10:50:00Z"/>
          <w:sz w:val="22"/>
          <w:szCs w:val="22"/>
        </w:rPr>
      </w:pPr>
      <w:del w:id="14447" w:author="AbbVie14" w:date="2025-05-09T10:50:00Z">
        <w:r w:rsidRPr="00295E71">
          <w:rPr>
            <w:sz w:val="22"/>
            <w:szCs w:val="22"/>
          </w:rPr>
          <w:delText>adalimumab</w:delText>
        </w:r>
      </w:del>
    </w:p>
    <w:p w:rsidR="006224C2" w:rsidRPr="00295E71" w14:paraId="360F1602" w14:textId="77777777">
      <w:pPr>
        <w:tabs>
          <w:tab w:val="left" w:pos="567"/>
        </w:tabs>
        <w:ind w:left="540" w:hanging="540"/>
        <w:jc w:val="both"/>
        <w:rPr>
          <w:del w:id="14448" w:author="AbbVie14" w:date="2025-05-09T10:50:00Z"/>
          <w:sz w:val="22"/>
          <w:szCs w:val="22"/>
        </w:rPr>
      </w:pPr>
    </w:p>
    <w:p w:rsidR="006224C2" w:rsidRPr="00295E71" w14:paraId="7BCC20D1" w14:textId="77777777">
      <w:pPr>
        <w:tabs>
          <w:tab w:val="left" w:pos="567"/>
        </w:tabs>
        <w:ind w:left="540" w:hanging="540"/>
        <w:jc w:val="both"/>
        <w:rPr>
          <w:del w:id="14449" w:author="AbbVie14" w:date="2025-05-09T10:50:00Z"/>
          <w:sz w:val="22"/>
          <w:szCs w:val="22"/>
        </w:rPr>
      </w:pPr>
    </w:p>
    <w:p w:rsidR="006224C2" w:rsidRPr="00295E71" w14:paraId="6113E6D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4450" w:author="AbbVie14" w:date="2025-05-09T10:50:00Z"/>
          <w:b/>
          <w:bCs/>
          <w:sz w:val="22"/>
          <w:szCs w:val="22"/>
        </w:rPr>
      </w:pPr>
      <w:del w:id="14451" w:author="AbbVie14" w:date="2025-05-09T10:50:00Z">
        <w:r w:rsidRPr="00295E71">
          <w:rPr>
            <w:b/>
            <w:bCs/>
            <w:sz w:val="22"/>
            <w:szCs w:val="22"/>
          </w:rPr>
          <w:delText>2.</w:delText>
        </w:r>
      </w:del>
      <w:del w:id="14452" w:author="AbbVie14" w:date="2025-05-09T10:50:00Z">
        <w:r w:rsidRPr="00295E71">
          <w:rPr>
            <w:b/>
            <w:bCs/>
            <w:sz w:val="22"/>
            <w:szCs w:val="22"/>
          </w:rPr>
          <w:tab/>
          <w:delText>NOME DEL TITOLARE DELL’AUTORIZZAZIONE ALL’IMMISSIONE IN COMMERCIO</w:delText>
        </w:r>
      </w:del>
    </w:p>
    <w:p w:rsidR="006224C2" w:rsidRPr="00295E71" w14:paraId="538AA130" w14:textId="77777777">
      <w:pPr>
        <w:tabs>
          <w:tab w:val="left" w:pos="567"/>
        </w:tabs>
        <w:ind w:left="540" w:hanging="540"/>
        <w:jc w:val="both"/>
        <w:rPr>
          <w:del w:id="14453" w:author="AbbVie14" w:date="2025-05-09T10:50:00Z"/>
          <w:sz w:val="22"/>
          <w:szCs w:val="22"/>
        </w:rPr>
      </w:pPr>
    </w:p>
    <w:p w:rsidR="006224C2" w:rsidRPr="00295E71" w14:paraId="0856904C" w14:textId="77777777">
      <w:pPr>
        <w:tabs>
          <w:tab w:val="left" w:pos="567"/>
        </w:tabs>
        <w:ind w:left="540" w:hanging="540"/>
        <w:jc w:val="both"/>
        <w:rPr>
          <w:del w:id="14454" w:author="AbbVie14" w:date="2025-05-09T10:50:00Z"/>
          <w:sz w:val="22"/>
          <w:szCs w:val="22"/>
        </w:rPr>
      </w:pPr>
      <w:del w:id="14455" w:author="AbbVie14" w:date="2025-05-09T10:50:00Z">
        <w:r w:rsidRPr="00295E71">
          <w:rPr>
            <w:sz w:val="22"/>
            <w:szCs w:val="22"/>
          </w:rPr>
          <w:delText xml:space="preserve">AbbVie </w:delText>
        </w:r>
      </w:del>
      <w:del w:id="14456" w:author="AbbVie14" w:date="2025-05-09T10:50:00Z">
        <w:r w:rsidRPr="00295E71" w:rsidR="00F95DEF">
          <w:rPr>
            <w:sz w:val="22"/>
            <w:szCs w:val="22"/>
            <w:highlight w:val="lightGray"/>
          </w:rPr>
          <w:delText>(logo)</w:delText>
        </w:r>
      </w:del>
    </w:p>
    <w:p w:rsidR="006224C2" w:rsidRPr="00295E71" w14:paraId="7BEA6FA0" w14:textId="77777777">
      <w:pPr>
        <w:tabs>
          <w:tab w:val="left" w:pos="567"/>
        </w:tabs>
        <w:ind w:left="540" w:hanging="540"/>
        <w:jc w:val="both"/>
        <w:rPr>
          <w:del w:id="14457" w:author="AbbVie14" w:date="2025-05-09T10:50:00Z"/>
          <w:sz w:val="22"/>
          <w:szCs w:val="22"/>
        </w:rPr>
      </w:pPr>
    </w:p>
    <w:p w:rsidR="006224C2" w:rsidRPr="00295E71" w14:paraId="6BC939EB" w14:textId="77777777">
      <w:pPr>
        <w:pStyle w:val="EndnoteText"/>
        <w:ind w:left="540" w:hanging="540"/>
        <w:jc w:val="both"/>
        <w:rPr>
          <w:del w:id="14458" w:author="AbbVie14" w:date="2025-05-09T10:50:00Z"/>
          <w:lang w:val="it-IT"/>
        </w:rPr>
      </w:pPr>
    </w:p>
    <w:p w:rsidR="006224C2" w:rsidRPr="00295E71" w14:paraId="21BFE2A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4459" w:author="AbbVie14" w:date="2025-05-09T10:50:00Z"/>
          <w:b/>
          <w:bCs/>
          <w:sz w:val="22"/>
          <w:szCs w:val="22"/>
        </w:rPr>
      </w:pPr>
      <w:del w:id="14460" w:author="AbbVie14" w:date="2025-05-09T10:50:00Z">
        <w:r w:rsidRPr="00295E71">
          <w:rPr>
            <w:b/>
            <w:bCs/>
            <w:sz w:val="22"/>
            <w:szCs w:val="22"/>
          </w:rPr>
          <w:delText>3.</w:delText>
        </w:r>
      </w:del>
      <w:del w:id="14461" w:author="AbbVie14" w:date="2025-05-09T10:50:00Z">
        <w:r w:rsidRPr="00295E71">
          <w:rPr>
            <w:b/>
            <w:bCs/>
            <w:sz w:val="22"/>
            <w:szCs w:val="22"/>
          </w:rPr>
          <w:tab/>
          <w:delText>DATA DI SCADENZA</w:delText>
        </w:r>
      </w:del>
    </w:p>
    <w:p w:rsidR="006224C2" w:rsidRPr="00295E71" w14:paraId="59682638" w14:textId="77777777">
      <w:pPr>
        <w:tabs>
          <w:tab w:val="left" w:pos="567"/>
        </w:tabs>
        <w:ind w:left="540" w:hanging="540"/>
        <w:jc w:val="both"/>
        <w:rPr>
          <w:del w:id="14462" w:author="AbbVie14" w:date="2025-05-09T10:50:00Z"/>
          <w:sz w:val="22"/>
          <w:szCs w:val="22"/>
        </w:rPr>
      </w:pPr>
    </w:p>
    <w:p w:rsidR="006224C2" w:rsidRPr="00295E71" w14:paraId="0B8F1999" w14:textId="77777777">
      <w:pPr>
        <w:tabs>
          <w:tab w:val="left" w:pos="567"/>
        </w:tabs>
        <w:ind w:left="540" w:hanging="540"/>
        <w:jc w:val="both"/>
        <w:rPr>
          <w:del w:id="14463" w:author="AbbVie14" w:date="2025-05-09T10:50:00Z"/>
          <w:sz w:val="22"/>
          <w:szCs w:val="22"/>
        </w:rPr>
      </w:pPr>
      <w:del w:id="14464" w:author="AbbVie14" w:date="2025-05-09T10:50:00Z">
        <w:r w:rsidRPr="00295E71">
          <w:rPr>
            <w:sz w:val="22"/>
            <w:szCs w:val="22"/>
          </w:rPr>
          <w:delText xml:space="preserve">Scad. </w:delText>
        </w:r>
      </w:del>
    </w:p>
    <w:p w:rsidR="006224C2" w:rsidRPr="00295E71" w14:paraId="0BD5C19A" w14:textId="77777777">
      <w:pPr>
        <w:tabs>
          <w:tab w:val="left" w:pos="567"/>
        </w:tabs>
        <w:ind w:left="540" w:hanging="540"/>
        <w:jc w:val="both"/>
        <w:rPr>
          <w:del w:id="14465" w:author="AbbVie14" w:date="2025-05-09T10:50:00Z"/>
          <w:sz w:val="22"/>
          <w:szCs w:val="22"/>
        </w:rPr>
      </w:pPr>
    </w:p>
    <w:p w:rsidR="006224C2" w:rsidRPr="00295E71" w14:paraId="2270DB35" w14:textId="77777777">
      <w:pPr>
        <w:tabs>
          <w:tab w:val="left" w:pos="567"/>
        </w:tabs>
        <w:ind w:left="540" w:hanging="540"/>
        <w:jc w:val="both"/>
        <w:rPr>
          <w:del w:id="14466" w:author="AbbVie14" w:date="2025-05-09T10:50:00Z"/>
          <w:sz w:val="22"/>
          <w:szCs w:val="22"/>
        </w:rPr>
      </w:pPr>
    </w:p>
    <w:p w:rsidR="006224C2" w:rsidRPr="00295E71" w14:paraId="5E9644D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del w:id="14467" w:author="AbbVie14" w:date="2025-05-09T10:50:00Z"/>
          <w:b/>
          <w:bCs/>
          <w:sz w:val="22"/>
          <w:szCs w:val="22"/>
        </w:rPr>
      </w:pPr>
      <w:del w:id="14468" w:author="AbbVie14" w:date="2025-05-09T10:50:00Z">
        <w:r w:rsidRPr="00295E71">
          <w:rPr>
            <w:b/>
            <w:bCs/>
            <w:sz w:val="22"/>
            <w:szCs w:val="22"/>
          </w:rPr>
          <w:delText>4.</w:delText>
        </w:r>
      </w:del>
      <w:del w:id="14469" w:author="AbbVie14" w:date="2025-05-09T10:50:00Z">
        <w:r w:rsidRPr="00295E71">
          <w:rPr>
            <w:b/>
            <w:bCs/>
            <w:sz w:val="22"/>
            <w:szCs w:val="22"/>
          </w:rPr>
          <w:tab/>
          <w:delText>NUMERO DI LOTTO</w:delText>
        </w:r>
      </w:del>
    </w:p>
    <w:p w:rsidR="006224C2" w:rsidRPr="00295E71" w14:paraId="45DAC11E" w14:textId="77777777">
      <w:pPr>
        <w:tabs>
          <w:tab w:val="left" w:pos="567"/>
        </w:tabs>
        <w:ind w:left="540" w:hanging="540"/>
        <w:jc w:val="both"/>
        <w:rPr>
          <w:del w:id="14470" w:author="AbbVie14" w:date="2025-05-09T10:50:00Z"/>
          <w:sz w:val="22"/>
          <w:szCs w:val="22"/>
        </w:rPr>
      </w:pPr>
    </w:p>
    <w:p w:rsidR="006224C2" w:rsidRPr="00295E71" w14:paraId="742F88C4" w14:textId="77777777">
      <w:pPr>
        <w:tabs>
          <w:tab w:val="left" w:pos="567"/>
        </w:tabs>
        <w:ind w:left="540" w:hanging="540"/>
        <w:jc w:val="both"/>
        <w:rPr>
          <w:del w:id="14471" w:author="AbbVie14" w:date="2025-05-09T10:50:00Z"/>
          <w:sz w:val="22"/>
          <w:szCs w:val="22"/>
        </w:rPr>
      </w:pPr>
      <w:del w:id="14472" w:author="AbbVie14" w:date="2025-05-09T10:50:00Z">
        <w:r w:rsidRPr="00295E71">
          <w:rPr>
            <w:sz w:val="22"/>
            <w:szCs w:val="22"/>
          </w:rPr>
          <w:delText xml:space="preserve">Lotto </w:delText>
        </w:r>
      </w:del>
    </w:p>
    <w:p w:rsidR="006224C2" w:rsidRPr="00295E71" w14:paraId="5E9EC47B" w14:textId="77777777">
      <w:pPr>
        <w:tabs>
          <w:tab w:val="left" w:pos="567"/>
        </w:tabs>
        <w:ind w:left="540" w:hanging="540"/>
        <w:rPr>
          <w:del w:id="14473" w:author="AbbVie14" w:date="2025-05-09T10:50:00Z"/>
          <w:bCs/>
          <w:sz w:val="22"/>
          <w:szCs w:val="22"/>
        </w:rPr>
      </w:pPr>
    </w:p>
    <w:p w:rsidR="006224C2" w:rsidRPr="00295E71" w14:paraId="0BE49780" w14:textId="77777777">
      <w:pPr>
        <w:tabs>
          <w:tab w:val="left" w:pos="567"/>
        </w:tabs>
        <w:ind w:left="540" w:hanging="540"/>
        <w:rPr>
          <w:del w:id="14474" w:author="AbbVie14" w:date="2025-05-09T10:50:00Z"/>
          <w:bCs/>
          <w:sz w:val="22"/>
          <w:szCs w:val="22"/>
        </w:rPr>
      </w:pPr>
    </w:p>
    <w:p w:rsidR="006224C2" w:rsidRPr="00295E71" w14:paraId="5B94C3C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475" w:author="AbbVie14" w:date="2025-05-09T10:50:00Z"/>
          <w:b/>
          <w:bCs/>
          <w:sz w:val="22"/>
          <w:szCs w:val="22"/>
          <w:u w:val="single"/>
        </w:rPr>
      </w:pPr>
      <w:del w:id="14476" w:author="AbbVie14" w:date="2025-05-09T10:50:00Z">
        <w:r w:rsidRPr="00295E71">
          <w:rPr>
            <w:b/>
            <w:bCs/>
            <w:sz w:val="22"/>
            <w:szCs w:val="22"/>
          </w:rPr>
          <w:delText>5.</w:delText>
        </w:r>
      </w:del>
      <w:del w:id="14477" w:author="AbbVie14" w:date="2025-05-09T10:50:00Z">
        <w:r w:rsidRPr="00295E71">
          <w:rPr>
            <w:b/>
            <w:bCs/>
            <w:sz w:val="22"/>
            <w:szCs w:val="22"/>
          </w:rPr>
          <w:tab/>
          <w:delText>ALTRO</w:delText>
        </w:r>
      </w:del>
    </w:p>
    <w:p w:rsidR="006224C2" w:rsidRPr="00295E71" w14:paraId="752828B8" w14:textId="77777777">
      <w:pPr>
        <w:tabs>
          <w:tab w:val="left" w:pos="567"/>
        </w:tabs>
        <w:ind w:left="540" w:hanging="540"/>
        <w:rPr>
          <w:del w:id="14478" w:author="AbbVie14" w:date="2025-05-09T10:50:00Z"/>
          <w:b/>
          <w:bCs/>
          <w:sz w:val="22"/>
          <w:szCs w:val="22"/>
          <w:u w:val="single"/>
        </w:rPr>
      </w:pPr>
    </w:p>
    <w:p w:rsidR="006224C2" w:rsidRPr="00295E71" w14:paraId="20AF2337" w14:textId="77777777">
      <w:pPr>
        <w:tabs>
          <w:tab w:val="left" w:pos="567"/>
        </w:tabs>
        <w:ind w:left="540" w:hanging="540"/>
        <w:jc w:val="both"/>
        <w:rPr>
          <w:del w:id="14479" w:author="AbbVie14" w:date="2025-05-09T10:50:00Z"/>
          <w:sz w:val="22"/>
          <w:szCs w:val="22"/>
        </w:rPr>
      </w:pPr>
      <w:del w:id="14480" w:author="AbbVie14" w:date="2025-05-09T10:50:00Z">
        <w:r w:rsidRPr="00295E71">
          <w:rPr>
            <w:sz w:val="22"/>
            <w:szCs w:val="22"/>
          </w:rPr>
          <w:delText>Vedere il foglio illustrativo per le informazioni sulle condizioni di conservazione.</w:delText>
        </w:r>
      </w:del>
    </w:p>
    <w:p w:rsidR="00F64B4A" w:rsidRPr="00295E71" w14:paraId="79E6BEEE" w14:textId="77777777">
      <w:pPr>
        <w:tabs>
          <w:tab w:val="left" w:pos="567"/>
        </w:tabs>
        <w:ind w:left="540" w:hanging="540"/>
        <w:jc w:val="both"/>
        <w:rPr>
          <w:del w:id="14481" w:author="AbbVie14" w:date="2025-05-09T10:50:00Z"/>
          <w:sz w:val="22"/>
          <w:szCs w:val="22"/>
        </w:rPr>
      </w:pPr>
    </w:p>
    <w:p w:rsidR="006224C2" w:rsidRPr="00295E71" w14:paraId="2437BB61" w14:textId="77777777">
      <w:pPr>
        <w:tabs>
          <w:tab w:val="left" w:pos="567"/>
        </w:tabs>
        <w:ind w:left="540" w:hanging="540"/>
        <w:jc w:val="both"/>
        <w:rPr>
          <w:del w:id="14482" w:author="AbbVie14" w:date="2025-05-09T10:50:00Z"/>
          <w:sz w:val="22"/>
          <w:szCs w:val="22"/>
        </w:rPr>
      </w:pPr>
      <w:del w:id="14483" w:author="AbbVie14" w:date="2025-05-09T10:50:00Z">
        <w:r w:rsidRPr="00295E71">
          <w:rPr>
            <w:sz w:val="22"/>
            <w:szCs w:val="22"/>
          </w:rPr>
          <w:delText>Esclusivamente monouso</w:delText>
        </w:r>
      </w:del>
      <w:del w:id="14484" w:author="AbbVie14" w:date="2025-05-09T10:50:00Z">
        <w:r w:rsidRPr="00295E71" w:rsidR="00F64B4A">
          <w:rPr>
            <w:sz w:val="22"/>
            <w:szCs w:val="22"/>
          </w:rPr>
          <w:delText>.</w:delText>
        </w:r>
      </w:del>
    </w:p>
    <w:p w:rsidR="006224C2" w:rsidRPr="00295E71" w14:paraId="091C4917" w14:textId="77777777">
      <w:pPr>
        <w:tabs>
          <w:tab w:val="left" w:pos="567"/>
        </w:tabs>
        <w:ind w:left="540" w:hanging="540"/>
        <w:jc w:val="both"/>
        <w:rPr>
          <w:del w:id="14485" w:author="AbbVie14" w:date="2025-05-09T10:50:00Z"/>
          <w:sz w:val="22"/>
          <w:szCs w:val="22"/>
        </w:rPr>
      </w:pPr>
    </w:p>
    <w:p w:rsidR="006224C2" w:rsidRPr="00295E71" w14:paraId="1D2CAA76" w14:textId="77777777">
      <w:pPr>
        <w:tabs>
          <w:tab w:val="left" w:pos="567"/>
        </w:tabs>
        <w:ind w:left="540" w:hanging="540"/>
        <w:jc w:val="both"/>
        <w:rPr>
          <w:del w:id="14486" w:author="AbbVie14" w:date="2025-05-09T10:50:00Z"/>
          <w:sz w:val="22"/>
          <w:szCs w:val="22"/>
        </w:rPr>
      </w:pPr>
    </w:p>
    <w:p w:rsidR="006224C2" w:rsidRPr="00295E71" w14:paraId="55941FB2" w14:textId="77777777">
      <w:pPr>
        <w:pStyle w:val="EndnoteText"/>
        <w:ind w:left="540" w:hanging="540"/>
        <w:rPr>
          <w:del w:id="14487" w:author="AbbVie14" w:date="2025-05-09T10:50:00Z"/>
          <w:lang w:val="it-IT"/>
        </w:rPr>
      </w:pPr>
      <w:del w:id="14488" w:author="AbbVie14" w:date="2025-05-09T10:50:00Z">
        <w:r w:rsidRPr="00295E71">
          <w:rPr>
            <w:lang w:val="it-IT"/>
          </w:rPr>
          <w:br w:type="page"/>
        </w:r>
      </w:del>
    </w:p>
    <w:p w:rsidR="006224C2" w:rsidRPr="00295E71" w14:paraId="2E90DDA9" w14:textId="77777777">
      <w:pPr>
        <w:pBdr>
          <w:top w:val="single" w:sz="4" w:space="1" w:color="auto"/>
          <w:left w:val="single" w:sz="4" w:space="1" w:color="auto"/>
          <w:bottom w:val="single" w:sz="4" w:space="1" w:color="auto"/>
          <w:right w:val="single" w:sz="4" w:space="1" w:color="auto"/>
        </w:pBdr>
        <w:tabs>
          <w:tab w:val="left" w:pos="180"/>
        </w:tabs>
        <w:rPr>
          <w:del w:id="14489" w:author="AbbVie14" w:date="2025-05-09T10:50:00Z"/>
          <w:b/>
          <w:bCs/>
          <w:sz w:val="22"/>
          <w:szCs w:val="22"/>
        </w:rPr>
      </w:pPr>
      <w:del w:id="14490" w:author="AbbVie14" w:date="2025-05-09T10:50:00Z">
        <w:r w:rsidRPr="00295E71">
          <w:rPr>
            <w:b/>
            <w:bCs/>
            <w:sz w:val="22"/>
            <w:szCs w:val="22"/>
          </w:rPr>
          <w:delText>INFORMAZIONI MINIME DA APPORRE SUI CONFEZIONAMENTI PRIMARI DI PICCOLE DIMENSIONI</w:delText>
        </w:r>
      </w:del>
    </w:p>
    <w:p w:rsidR="006224C2" w:rsidRPr="00295E71" w14:paraId="069468C0" w14:textId="77777777">
      <w:pPr>
        <w:pBdr>
          <w:top w:val="single" w:sz="4" w:space="1" w:color="auto"/>
          <w:left w:val="single" w:sz="4" w:space="1" w:color="auto"/>
          <w:bottom w:val="single" w:sz="4" w:space="1" w:color="auto"/>
          <w:right w:val="single" w:sz="4" w:space="1" w:color="auto"/>
        </w:pBdr>
        <w:tabs>
          <w:tab w:val="left" w:pos="180"/>
        </w:tabs>
        <w:rPr>
          <w:del w:id="14491" w:author="AbbVie14" w:date="2025-05-09T10:50:00Z"/>
          <w:b/>
          <w:bCs/>
          <w:caps/>
          <w:sz w:val="22"/>
          <w:szCs w:val="22"/>
        </w:rPr>
      </w:pPr>
    </w:p>
    <w:p w:rsidR="006224C2" w:rsidRPr="00295E71" w14:paraId="068344C0" w14:textId="77777777">
      <w:pPr>
        <w:pBdr>
          <w:top w:val="single" w:sz="4" w:space="1" w:color="auto"/>
          <w:left w:val="single" w:sz="4" w:space="1" w:color="auto"/>
          <w:bottom w:val="single" w:sz="4" w:space="1" w:color="auto"/>
          <w:right w:val="single" w:sz="4" w:space="1" w:color="auto"/>
        </w:pBdr>
        <w:tabs>
          <w:tab w:val="left" w:pos="567"/>
        </w:tabs>
        <w:ind w:left="540" w:hanging="540"/>
        <w:rPr>
          <w:del w:id="14492" w:author="AbbVie14" w:date="2025-05-09T10:50:00Z"/>
          <w:b/>
          <w:bCs/>
          <w:sz w:val="22"/>
          <w:szCs w:val="22"/>
        </w:rPr>
      </w:pPr>
      <w:del w:id="14493" w:author="AbbVie14" w:date="2025-05-09T10:50:00Z">
        <w:r w:rsidRPr="00295E71">
          <w:rPr>
            <w:b/>
            <w:bCs/>
            <w:caps/>
            <w:sz w:val="22"/>
            <w:szCs w:val="22"/>
          </w:rPr>
          <w:delText>Etichetta da apporre sulla PENNA</w:delText>
        </w:r>
      </w:del>
    </w:p>
    <w:p w:rsidR="006224C2" w:rsidRPr="00295E71" w14:paraId="74F139A9" w14:textId="77777777">
      <w:pPr>
        <w:pStyle w:val="Index1"/>
        <w:tabs>
          <w:tab w:val="left" w:pos="567"/>
        </w:tabs>
        <w:spacing w:line="260" w:lineRule="exact"/>
        <w:ind w:left="540" w:hanging="540"/>
        <w:rPr>
          <w:del w:id="14494" w:author="AbbVie14" w:date="2025-05-09T10:50:00Z"/>
          <w:lang w:val="it-IT"/>
        </w:rPr>
      </w:pPr>
    </w:p>
    <w:p w:rsidR="006224C2" w:rsidRPr="00295E71" w14:paraId="653E0646" w14:textId="77777777">
      <w:pPr>
        <w:tabs>
          <w:tab w:val="left" w:pos="567"/>
        </w:tabs>
        <w:ind w:left="540" w:hanging="540"/>
        <w:rPr>
          <w:del w:id="14495" w:author="AbbVie14" w:date="2025-05-09T10:50:00Z"/>
          <w:b/>
          <w:bCs/>
          <w:sz w:val="22"/>
          <w:szCs w:val="22"/>
        </w:rPr>
      </w:pPr>
    </w:p>
    <w:p w:rsidR="006224C2" w:rsidRPr="00295E71" w14:paraId="17838B4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496" w:author="AbbVie14" w:date="2025-05-09T10:50:00Z"/>
          <w:b/>
          <w:bCs/>
          <w:sz w:val="22"/>
          <w:szCs w:val="22"/>
        </w:rPr>
      </w:pPr>
      <w:del w:id="14497" w:author="AbbVie14" w:date="2025-05-09T10:50:00Z">
        <w:r w:rsidRPr="00295E71">
          <w:rPr>
            <w:b/>
            <w:bCs/>
            <w:sz w:val="22"/>
            <w:szCs w:val="22"/>
          </w:rPr>
          <w:delText>1.</w:delText>
        </w:r>
      </w:del>
      <w:del w:id="14498" w:author="AbbVie14" w:date="2025-05-09T10:50:00Z">
        <w:r w:rsidRPr="00295E71">
          <w:rPr>
            <w:b/>
            <w:bCs/>
            <w:sz w:val="22"/>
            <w:szCs w:val="22"/>
          </w:rPr>
          <w:tab/>
          <w:delText>DENOMINAZIONE DEL MEDICINALE E VIA DI SOMMINISTRAZIONE</w:delText>
        </w:r>
      </w:del>
    </w:p>
    <w:p w:rsidR="006224C2" w:rsidRPr="00295E71" w14:paraId="2C826F65" w14:textId="77777777">
      <w:pPr>
        <w:tabs>
          <w:tab w:val="left" w:pos="567"/>
        </w:tabs>
        <w:ind w:left="540" w:hanging="540"/>
        <w:rPr>
          <w:del w:id="14499" w:author="AbbVie14" w:date="2025-05-09T10:50:00Z"/>
          <w:sz w:val="22"/>
          <w:szCs w:val="22"/>
        </w:rPr>
      </w:pPr>
    </w:p>
    <w:p w:rsidR="006224C2" w:rsidRPr="00295E71" w14:paraId="22F8384E" w14:textId="77777777">
      <w:pPr>
        <w:tabs>
          <w:tab w:val="left" w:pos="567"/>
        </w:tabs>
        <w:ind w:left="540" w:hanging="540"/>
        <w:rPr>
          <w:del w:id="14500" w:author="AbbVie14" w:date="2025-05-09T10:50:00Z"/>
          <w:sz w:val="22"/>
          <w:szCs w:val="22"/>
        </w:rPr>
      </w:pPr>
      <w:del w:id="14501" w:author="AbbVie14" w:date="2025-05-09T10:50:00Z">
        <w:r w:rsidRPr="00295E71">
          <w:rPr>
            <w:sz w:val="22"/>
            <w:szCs w:val="22"/>
          </w:rPr>
          <w:delText>Humira 40 mg iniettabile</w:delText>
        </w:r>
      </w:del>
    </w:p>
    <w:p w:rsidR="006224C2" w:rsidRPr="00295E71" w14:paraId="2794CE2C" w14:textId="77777777">
      <w:pPr>
        <w:tabs>
          <w:tab w:val="left" w:pos="567"/>
        </w:tabs>
        <w:ind w:left="540" w:hanging="540"/>
        <w:rPr>
          <w:del w:id="14502" w:author="AbbVie14" w:date="2025-05-09T10:50:00Z"/>
          <w:sz w:val="22"/>
          <w:szCs w:val="22"/>
        </w:rPr>
      </w:pPr>
      <w:del w:id="14503" w:author="AbbVie14" w:date="2025-05-09T10:50:00Z">
        <w:r w:rsidRPr="00295E71">
          <w:rPr>
            <w:sz w:val="22"/>
            <w:szCs w:val="22"/>
          </w:rPr>
          <w:delText>adalimumab</w:delText>
        </w:r>
      </w:del>
    </w:p>
    <w:p w:rsidR="006224C2" w:rsidRPr="00295E71" w14:paraId="12B62C8D" w14:textId="77777777">
      <w:pPr>
        <w:pStyle w:val="EndnoteText"/>
        <w:ind w:left="540" w:hanging="540"/>
        <w:rPr>
          <w:del w:id="14504" w:author="AbbVie14" w:date="2025-05-09T10:50:00Z"/>
          <w:lang w:val="it-IT"/>
        </w:rPr>
      </w:pPr>
      <w:del w:id="14505" w:author="AbbVie14" w:date="2025-05-09T10:50:00Z">
        <w:r w:rsidRPr="00295E71">
          <w:rPr>
            <w:lang w:val="it-IT"/>
          </w:rPr>
          <w:delText>s.c.</w:delText>
        </w:r>
      </w:del>
    </w:p>
    <w:p w:rsidR="006224C2" w:rsidRPr="00295E71" w14:paraId="71D7EA65" w14:textId="77777777">
      <w:pPr>
        <w:tabs>
          <w:tab w:val="left" w:pos="567"/>
        </w:tabs>
        <w:ind w:left="540" w:hanging="540"/>
        <w:rPr>
          <w:del w:id="14506" w:author="AbbVie14" w:date="2025-05-09T10:50:00Z"/>
          <w:b/>
          <w:bCs/>
          <w:sz w:val="22"/>
          <w:szCs w:val="22"/>
        </w:rPr>
      </w:pPr>
    </w:p>
    <w:p w:rsidR="006224C2" w:rsidRPr="00295E71" w14:paraId="03482858" w14:textId="77777777">
      <w:pPr>
        <w:tabs>
          <w:tab w:val="left" w:pos="567"/>
        </w:tabs>
        <w:ind w:left="540" w:hanging="540"/>
        <w:rPr>
          <w:del w:id="14507" w:author="AbbVie14" w:date="2025-05-09T10:50:00Z"/>
          <w:b/>
          <w:bCs/>
          <w:sz w:val="22"/>
          <w:szCs w:val="22"/>
        </w:rPr>
      </w:pPr>
    </w:p>
    <w:p w:rsidR="006224C2" w:rsidRPr="00295E71" w14:paraId="024070F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508" w:author="AbbVie14" w:date="2025-05-09T10:50:00Z"/>
          <w:b/>
          <w:bCs/>
          <w:sz w:val="22"/>
          <w:szCs w:val="22"/>
        </w:rPr>
      </w:pPr>
      <w:del w:id="14509" w:author="AbbVie14" w:date="2025-05-09T10:50:00Z">
        <w:r w:rsidRPr="00295E71">
          <w:rPr>
            <w:b/>
            <w:bCs/>
            <w:sz w:val="22"/>
            <w:szCs w:val="22"/>
          </w:rPr>
          <w:delText>2.</w:delText>
        </w:r>
      </w:del>
      <w:del w:id="14510" w:author="AbbVie14" w:date="2025-05-09T10:50:00Z">
        <w:r w:rsidRPr="00295E71">
          <w:rPr>
            <w:b/>
            <w:bCs/>
            <w:sz w:val="22"/>
            <w:szCs w:val="22"/>
          </w:rPr>
          <w:tab/>
          <w:delText>MODO DI SOMMINISTRAZIONE</w:delText>
        </w:r>
      </w:del>
    </w:p>
    <w:p w:rsidR="006224C2" w:rsidRPr="00295E71" w14:paraId="7D3B7C84" w14:textId="77777777">
      <w:pPr>
        <w:pStyle w:val="IndexHeading"/>
        <w:spacing w:line="240" w:lineRule="auto"/>
        <w:ind w:left="540" w:hanging="540"/>
        <w:rPr>
          <w:del w:id="14511" w:author="AbbVie14" w:date="2025-05-09T10:50:00Z"/>
          <w:rFonts w:ascii="Times New Roman" w:hAnsi="Times New Roman" w:cs="Times New Roman"/>
          <w:lang w:val="it-IT"/>
        </w:rPr>
      </w:pPr>
    </w:p>
    <w:p w:rsidR="006224C2" w:rsidRPr="00295E71" w14:paraId="6E24C649" w14:textId="77777777">
      <w:pPr>
        <w:tabs>
          <w:tab w:val="left" w:pos="567"/>
        </w:tabs>
        <w:ind w:left="540" w:hanging="540"/>
        <w:rPr>
          <w:del w:id="14512" w:author="AbbVie14" w:date="2025-05-09T10:50:00Z"/>
          <w:b/>
          <w:bCs/>
          <w:sz w:val="22"/>
          <w:szCs w:val="22"/>
        </w:rPr>
      </w:pPr>
    </w:p>
    <w:p w:rsidR="006224C2" w:rsidRPr="00295E71" w14:paraId="13D7DE4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513" w:author="AbbVie14" w:date="2025-05-09T10:50:00Z"/>
          <w:b/>
          <w:bCs/>
          <w:sz w:val="22"/>
          <w:szCs w:val="22"/>
        </w:rPr>
      </w:pPr>
      <w:del w:id="14514" w:author="AbbVie14" w:date="2025-05-09T10:50:00Z">
        <w:r w:rsidRPr="00295E71">
          <w:rPr>
            <w:b/>
            <w:bCs/>
            <w:sz w:val="22"/>
            <w:szCs w:val="22"/>
          </w:rPr>
          <w:delText>3.</w:delText>
        </w:r>
      </w:del>
      <w:del w:id="14515" w:author="AbbVie14" w:date="2025-05-09T10:50:00Z">
        <w:r w:rsidRPr="00295E71">
          <w:rPr>
            <w:b/>
            <w:bCs/>
            <w:sz w:val="22"/>
            <w:szCs w:val="22"/>
          </w:rPr>
          <w:tab/>
          <w:delText>DATA DI SCADENZA</w:delText>
        </w:r>
      </w:del>
    </w:p>
    <w:p w:rsidR="006224C2" w:rsidRPr="00295E71" w14:paraId="5B76F1BA" w14:textId="77777777">
      <w:pPr>
        <w:tabs>
          <w:tab w:val="left" w:pos="567"/>
        </w:tabs>
        <w:ind w:left="540" w:hanging="540"/>
        <w:rPr>
          <w:del w:id="14516" w:author="AbbVie14" w:date="2025-05-09T10:50:00Z"/>
          <w:sz w:val="22"/>
          <w:szCs w:val="22"/>
        </w:rPr>
      </w:pPr>
    </w:p>
    <w:p w:rsidR="006224C2" w:rsidRPr="00295E71" w14:paraId="7D2465A7" w14:textId="77777777">
      <w:pPr>
        <w:tabs>
          <w:tab w:val="left" w:pos="567"/>
        </w:tabs>
        <w:ind w:left="540" w:hanging="540"/>
        <w:rPr>
          <w:del w:id="14517" w:author="AbbVie14" w:date="2025-05-09T10:50:00Z"/>
          <w:sz w:val="22"/>
          <w:szCs w:val="22"/>
        </w:rPr>
      </w:pPr>
      <w:del w:id="14518" w:author="AbbVie14" w:date="2025-05-09T10:50:00Z">
        <w:r w:rsidRPr="00295E71">
          <w:rPr>
            <w:sz w:val="22"/>
            <w:szCs w:val="22"/>
          </w:rPr>
          <w:delText xml:space="preserve">Scad. </w:delText>
        </w:r>
      </w:del>
    </w:p>
    <w:p w:rsidR="006224C2" w:rsidRPr="00295E71" w14:paraId="785CA5E2" w14:textId="77777777">
      <w:pPr>
        <w:tabs>
          <w:tab w:val="left" w:pos="567"/>
        </w:tabs>
        <w:ind w:left="540" w:hanging="540"/>
        <w:rPr>
          <w:del w:id="14519" w:author="AbbVie14" w:date="2025-05-09T10:50:00Z"/>
          <w:b/>
          <w:bCs/>
          <w:sz w:val="22"/>
          <w:szCs w:val="22"/>
        </w:rPr>
      </w:pPr>
    </w:p>
    <w:p w:rsidR="006224C2" w:rsidRPr="00295E71" w14:paraId="1554D6CD" w14:textId="77777777">
      <w:pPr>
        <w:tabs>
          <w:tab w:val="left" w:pos="567"/>
        </w:tabs>
        <w:ind w:left="540" w:hanging="540"/>
        <w:rPr>
          <w:del w:id="14520" w:author="AbbVie14" w:date="2025-05-09T10:50:00Z"/>
          <w:sz w:val="22"/>
          <w:szCs w:val="22"/>
        </w:rPr>
      </w:pPr>
    </w:p>
    <w:p w:rsidR="006224C2" w:rsidRPr="00295E71" w14:paraId="72C1282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521" w:author="AbbVie14" w:date="2025-05-09T10:50:00Z"/>
          <w:b/>
          <w:bCs/>
          <w:sz w:val="22"/>
          <w:szCs w:val="22"/>
        </w:rPr>
      </w:pPr>
      <w:del w:id="14522" w:author="AbbVie14" w:date="2025-05-09T10:50:00Z">
        <w:r w:rsidRPr="00295E71">
          <w:rPr>
            <w:b/>
            <w:bCs/>
            <w:sz w:val="22"/>
            <w:szCs w:val="22"/>
          </w:rPr>
          <w:delText>4.</w:delText>
        </w:r>
      </w:del>
      <w:del w:id="14523" w:author="AbbVie14" w:date="2025-05-09T10:50:00Z">
        <w:r w:rsidRPr="00295E71">
          <w:rPr>
            <w:b/>
            <w:bCs/>
            <w:sz w:val="22"/>
            <w:szCs w:val="22"/>
          </w:rPr>
          <w:tab/>
          <w:delText>NUMERO DI LOTTO</w:delText>
        </w:r>
      </w:del>
    </w:p>
    <w:p w:rsidR="006224C2" w:rsidRPr="00295E71" w14:paraId="772E240D" w14:textId="77777777">
      <w:pPr>
        <w:tabs>
          <w:tab w:val="left" w:pos="567"/>
        </w:tabs>
        <w:ind w:left="540" w:hanging="540"/>
        <w:rPr>
          <w:del w:id="14524" w:author="AbbVie14" w:date="2025-05-09T10:50:00Z"/>
          <w:sz w:val="22"/>
          <w:szCs w:val="22"/>
        </w:rPr>
      </w:pPr>
    </w:p>
    <w:p w:rsidR="006224C2" w:rsidRPr="00295E71" w14:paraId="4029F671" w14:textId="77777777">
      <w:pPr>
        <w:tabs>
          <w:tab w:val="left" w:pos="567"/>
        </w:tabs>
        <w:ind w:left="540" w:hanging="540"/>
        <w:rPr>
          <w:del w:id="14525" w:author="AbbVie14" w:date="2025-05-09T10:50:00Z"/>
          <w:sz w:val="22"/>
          <w:szCs w:val="22"/>
        </w:rPr>
      </w:pPr>
      <w:del w:id="14526" w:author="AbbVie14" w:date="2025-05-09T10:50:00Z">
        <w:r w:rsidRPr="00295E71">
          <w:rPr>
            <w:sz w:val="22"/>
            <w:szCs w:val="22"/>
          </w:rPr>
          <w:delText xml:space="preserve">Lotto </w:delText>
        </w:r>
      </w:del>
    </w:p>
    <w:p w:rsidR="006224C2" w:rsidRPr="00295E71" w14:paraId="24E0204C" w14:textId="77777777">
      <w:pPr>
        <w:tabs>
          <w:tab w:val="left" w:pos="567"/>
        </w:tabs>
        <w:ind w:left="540" w:right="113" w:hanging="540"/>
        <w:rPr>
          <w:del w:id="14527" w:author="AbbVie14" w:date="2025-05-09T10:50:00Z"/>
          <w:sz w:val="22"/>
          <w:szCs w:val="22"/>
        </w:rPr>
      </w:pPr>
    </w:p>
    <w:p w:rsidR="006224C2" w:rsidRPr="00295E71" w14:paraId="4543D5E1" w14:textId="77777777">
      <w:pPr>
        <w:tabs>
          <w:tab w:val="left" w:pos="567"/>
        </w:tabs>
        <w:ind w:left="540" w:right="113" w:hanging="540"/>
        <w:rPr>
          <w:del w:id="14528" w:author="AbbVie14" w:date="2025-05-09T10:50:00Z"/>
          <w:sz w:val="22"/>
          <w:szCs w:val="22"/>
        </w:rPr>
      </w:pPr>
    </w:p>
    <w:p w:rsidR="006224C2" w:rsidRPr="00295E71" w14:paraId="56710383"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529" w:author="AbbVie14" w:date="2025-05-09T10:50:00Z"/>
          <w:b/>
          <w:bCs/>
          <w:sz w:val="22"/>
          <w:szCs w:val="22"/>
        </w:rPr>
      </w:pPr>
      <w:del w:id="14530" w:author="AbbVie14" w:date="2025-05-09T10:50:00Z">
        <w:r w:rsidRPr="00295E71">
          <w:rPr>
            <w:b/>
            <w:bCs/>
            <w:sz w:val="22"/>
            <w:szCs w:val="22"/>
          </w:rPr>
          <w:delText>5.</w:delText>
        </w:r>
      </w:del>
      <w:del w:id="14531" w:author="AbbVie14" w:date="2025-05-09T10:50:00Z">
        <w:r w:rsidRPr="00295E71">
          <w:rPr>
            <w:b/>
            <w:bCs/>
            <w:sz w:val="22"/>
            <w:szCs w:val="22"/>
          </w:rPr>
          <w:tab/>
          <w:delText>CONTENUTO IN PESO, VOLUME O UNITA’</w:delText>
        </w:r>
      </w:del>
    </w:p>
    <w:p w:rsidR="006224C2" w:rsidRPr="00295E71" w14:paraId="48A08C36" w14:textId="77777777">
      <w:pPr>
        <w:tabs>
          <w:tab w:val="left" w:pos="567"/>
        </w:tabs>
        <w:ind w:left="540" w:hanging="540"/>
        <w:rPr>
          <w:del w:id="14532" w:author="AbbVie14" w:date="2025-05-09T10:50:00Z"/>
          <w:sz w:val="22"/>
          <w:szCs w:val="22"/>
        </w:rPr>
      </w:pPr>
    </w:p>
    <w:p w:rsidR="006224C2" w:rsidRPr="00295E71" w14:paraId="522FC25E" w14:textId="77777777">
      <w:pPr>
        <w:tabs>
          <w:tab w:val="left" w:pos="567"/>
        </w:tabs>
        <w:ind w:left="540" w:hanging="540"/>
        <w:rPr>
          <w:del w:id="14533" w:author="AbbVie14" w:date="2025-05-09T10:50:00Z"/>
          <w:sz w:val="22"/>
          <w:szCs w:val="22"/>
        </w:rPr>
      </w:pPr>
      <w:del w:id="14534" w:author="AbbVie14" w:date="2025-05-09T10:50:00Z">
        <w:r w:rsidRPr="00295E71">
          <w:rPr>
            <w:sz w:val="22"/>
            <w:szCs w:val="22"/>
          </w:rPr>
          <w:delText>40 mg/0,8 ml</w:delText>
        </w:r>
      </w:del>
    </w:p>
    <w:p w:rsidR="006224C2" w:rsidRPr="00295E71" w14:paraId="0D406652" w14:textId="77777777">
      <w:pPr>
        <w:tabs>
          <w:tab w:val="left" w:pos="567"/>
        </w:tabs>
        <w:ind w:left="540" w:hanging="540"/>
        <w:rPr>
          <w:del w:id="14535" w:author="AbbVie14" w:date="2025-05-09T10:50:00Z"/>
          <w:sz w:val="22"/>
          <w:szCs w:val="22"/>
        </w:rPr>
      </w:pPr>
    </w:p>
    <w:p w:rsidR="006224C2" w:rsidRPr="00295E71" w14:paraId="7AA206EA" w14:textId="77777777">
      <w:pPr>
        <w:tabs>
          <w:tab w:val="left" w:pos="567"/>
        </w:tabs>
        <w:ind w:left="540" w:hanging="540"/>
        <w:rPr>
          <w:del w:id="14536" w:author="AbbVie14" w:date="2025-05-09T10:50:00Z"/>
          <w:b/>
          <w:bCs/>
          <w:sz w:val="22"/>
          <w:szCs w:val="22"/>
          <w:u w:val="single"/>
        </w:rPr>
      </w:pPr>
    </w:p>
    <w:p w:rsidR="006224C2" w:rsidRPr="00295E71" w14:paraId="34F048E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del w:id="14537" w:author="AbbVie14" w:date="2025-05-09T10:50:00Z"/>
          <w:b/>
          <w:bCs/>
          <w:sz w:val="22"/>
          <w:szCs w:val="22"/>
          <w:u w:val="single"/>
        </w:rPr>
      </w:pPr>
      <w:del w:id="14538" w:author="AbbVie14" w:date="2025-05-09T10:50:00Z">
        <w:r w:rsidRPr="00295E71">
          <w:rPr>
            <w:b/>
            <w:bCs/>
            <w:sz w:val="22"/>
            <w:szCs w:val="22"/>
          </w:rPr>
          <w:delText>6.</w:delText>
        </w:r>
      </w:del>
      <w:del w:id="14539" w:author="AbbVie14" w:date="2025-05-09T10:50:00Z">
        <w:r w:rsidRPr="00295E71">
          <w:rPr>
            <w:b/>
            <w:bCs/>
            <w:sz w:val="22"/>
            <w:szCs w:val="22"/>
          </w:rPr>
          <w:tab/>
          <w:delText>ALTRO</w:delText>
        </w:r>
      </w:del>
    </w:p>
    <w:p w:rsidR="006224C2" w:rsidRPr="00295E71" w14:paraId="01289B9C" w14:textId="77777777">
      <w:pPr>
        <w:tabs>
          <w:tab w:val="left" w:pos="567"/>
        </w:tabs>
        <w:ind w:left="540" w:hanging="540"/>
        <w:jc w:val="both"/>
        <w:rPr>
          <w:del w:id="14540" w:author="AbbVie14" w:date="2025-05-09T10:50:00Z"/>
          <w:sz w:val="22"/>
          <w:szCs w:val="22"/>
        </w:rPr>
      </w:pPr>
    </w:p>
    <w:p w:rsidR="006224C2" w:rsidRPr="00295E71" w14:paraId="0DE6682C" w14:textId="77777777">
      <w:pPr>
        <w:tabs>
          <w:tab w:val="left" w:pos="567"/>
        </w:tabs>
        <w:ind w:left="540" w:hanging="540"/>
        <w:jc w:val="both"/>
        <w:rPr>
          <w:del w:id="14541" w:author="AbbVie14" w:date="2025-05-09T10:50:00Z"/>
          <w:sz w:val="22"/>
          <w:szCs w:val="22"/>
        </w:rPr>
      </w:pPr>
    </w:p>
    <w:p w:rsidR="006224C2" w:rsidRPr="00295E71" w14:paraId="5B3711D0" w14:textId="77777777">
      <w:pPr>
        <w:pPrChange w:id="14542" w:author="AbbVie14" w:date="2025-05-15T08:52:00Z">
          <w:pPr>
            <w:pStyle w:val="Heading3"/>
            <w:keepNext w:val="0"/>
            <w:tabs>
              <w:tab w:val="left" w:pos="567"/>
            </w:tabs>
            <w:jc w:val="left"/>
          </w:pPr>
        </w:pPrChange>
      </w:pPr>
      <w:del w:id="14543" w:author="AbbVie14" w:date="2025-05-15T08:51:00Z">
        <w:r w:rsidRPr="00295E71">
          <w:br w:type="page"/>
        </w:r>
      </w:del>
    </w:p>
    <w:p w:rsidR="006224C2" w:rsidRPr="00295E71" w14:paraId="6AB335E2" w14:textId="77777777">
      <w:pPr>
        <w:pBdr>
          <w:top w:val="single" w:sz="4" w:space="1" w:color="auto"/>
          <w:left w:val="single" w:sz="4" w:space="4" w:color="auto"/>
          <w:bottom w:val="single" w:sz="4" w:space="1" w:color="auto"/>
          <w:right w:val="single" w:sz="4" w:space="4" w:color="auto"/>
        </w:pBdr>
        <w:tabs>
          <w:tab w:val="left" w:pos="567"/>
        </w:tabs>
        <w:jc w:val="both"/>
        <w:rPr>
          <w:b/>
          <w:bCs/>
          <w:sz w:val="22"/>
          <w:szCs w:val="22"/>
        </w:rPr>
      </w:pPr>
      <w:r w:rsidRPr="00295E71">
        <w:rPr>
          <w:b/>
          <w:bCs/>
          <w:sz w:val="22"/>
          <w:szCs w:val="22"/>
        </w:rPr>
        <w:t>INFORMAZIONI DA APPORRE SUL CONFEZIONAMENTO SECONDARIO</w:t>
      </w:r>
    </w:p>
    <w:p w:rsidR="006224C2" w:rsidRPr="00295E71" w14:paraId="78271509" w14:textId="77777777">
      <w:pPr>
        <w:pBdr>
          <w:top w:val="single" w:sz="4" w:space="1" w:color="auto"/>
          <w:left w:val="single" w:sz="4" w:space="4" w:color="auto"/>
          <w:bottom w:val="single" w:sz="4" w:space="1" w:color="auto"/>
          <w:right w:val="single" w:sz="4" w:space="4" w:color="auto"/>
        </w:pBdr>
        <w:tabs>
          <w:tab w:val="left" w:pos="567"/>
        </w:tabs>
        <w:jc w:val="both"/>
        <w:rPr>
          <w:b/>
          <w:bCs/>
          <w:caps/>
          <w:sz w:val="22"/>
          <w:szCs w:val="22"/>
        </w:rPr>
      </w:pPr>
    </w:p>
    <w:p w:rsidR="006224C2" w:rsidRPr="00295E71" w14:paraId="0E5EF6BB" w14:textId="77777777">
      <w:pPr>
        <w:pBdr>
          <w:top w:val="single" w:sz="4" w:space="1" w:color="auto"/>
          <w:left w:val="single" w:sz="4" w:space="4" w:color="auto"/>
          <w:bottom w:val="single" w:sz="4" w:space="1" w:color="auto"/>
          <w:right w:val="single" w:sz="4" w:space="4" w:color="auto"/>
        </w:pBdr>
        <w:tabs>
          <w:tab w:val="left" w:pos="567"/>
        </w:tabs>
        <w:jc w:val="both"/>
        <w:rPr>
          <w:b/>
          <w:bCs/>
          <w:caps/>
          <w:sz w:val="22"/>
          <w:szCs w:val="22"/>
        </w:rPr>
      </w:pPr>
      <w:r w:rsidRPr="00295E71">
        <w:rPr>
          <w:b/>
          <w:bCs/>
          <w:caps/>
          <w:sz w:val="22"/>
          <w:szCs w:val="22"/>
        </w:rPr>
        <w:t>ASTUCCIO esterno</w:t>
      </w:r>
    </w:p>
    <w:p w:rsidR="006224C2" w:rsidRPr="00295E71" w14:paraId="6C2C0C2B" w14:textId="77777777">
      <w:pPr>
        <w:tabs>
          <w:tab w:val="left" w:pos="567"/>
        </w:tabs>
        <w:jc w:val="both"/>
        <w:rPr>
          <w:b/>
          <w:bCs/>
          <w:sz w:val="22"/>
          <w:szCs w:val="22"/>
        </w:rPr>
      </w:pPr>
    </w:p>
    <w:p w:rsidR="006224C2" w:rsidRPr="00295E71" w14:paraId="70DBBC36" w14:textId="77777777">
      <w:pPr>
        <w:tabs>
          <w:tab w:val="left" w:pos="567"/>
        </w:tabs>
        <w:jc w:val="both"/>
        <w:rPr>
          <w:b/>
          <w:bCs/>
          <w:sz w:val="22"/>
          <w:szCs w:val="22"/>
        </w:rPr>
      </w:pPr>
    </w:p>
    <w:p w:rsidR="006224C2" w:rsidRPr="00295E71" w14:paraId="38D067B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1. </w:t>
      </w:r>
      <w:r w:rsidRPr="00295E71">
        <w:rPr>
          <w:b/>
          <w:bCs/>
          <w:sz w:val="22"/>
          <w:szCs w:val="22"/>
        </w:rPr>
        <w:tab/>
        <w:t>DENOMINAZIONE DEL MEDICINALE</w:t>
      </w:r>
    </w:p>
    <w:p w:rsidR="006224C2" w:rsidRPr="00295E71" w14:paraId="2E27BA50" w14:textId="77777777">
      <w:pPr>
        <w:tabs>
          <w:tab w:val="left" w:pos="567"/>
        </w:tabs>
        <w:ind w:left="540" w:hanging="540"/>
        <w:rPr>
          <w:sz w:val="22"/>
          <w:szCs w:val="22"/>
        </w:rPr>
      </w:pPr>
    </w:p>
    <w:p w:rsidR="006224C2" w:rsidRPr="00295E71" w14:paraId="452358F1" w14:textId="77777777">
      <w:pPr>
        <w:tabs>
          <w:tab w:val="left" w:pos="567"/>
        </w:tabs>
        <w:ind w:left="540" w:hanging="540"/>
        <w:rPr>
          <w:sz w:val="22"/>
          <w:szCs w:val="22"/>
        </w:rPr>
      </w:pPr>
      <w:r w:rsidRPr="00295E71">
        <w:rPr>
          <w:sz w:val="22"/>
          <w:szCs w:val="22"/>
        </w:rPr>
        <w:t>Humira 40 mg soluzione iniettabile in siringa pre-riempita</w:t>
      </w:r>
    </w:p>
    <w:p w:rsidR="006224C2" w:rsidRPr="00295E71" w14:paraId="7817F322" w14:textId="77777777">
      <w:pPr>
        <w:pStyle w:val="EndnoteText"/>
        <w:ind w:left="540" w:hanging="540"/>
        <w:rPr>
          <w:lang w:val="it-IT"/>
        </w:rPr>
      </w:pPr>
      <w:r w:rsidRPr="00295E71">
        <w:rPr>
          <w:lang w:val="it-IT"/>
        </w:rPr>
        <w:t>adalimumab</w:t>
      </w:r>
    </w:p>
    <w:p w:rsidR="006224C2" w:rsidRPr="00295E71" w14:paraId="49D75A89" w14:textId="77777777">
      <w:pPr>
        <w:tabs>
          <w:tab w:val="left" w:pos="567"/>
        </w:tabs>
        <w:ind w:left="540" w:hanging="540"/>
        <w:rPr>
          <w:sz w:val="22"/>
          <w:szCs w:val="22"/>
        </w:rPr>
      </w:pPr>
    </w:p>
    <w:p w:rsidR="006224C2" w:rsidRPr="00295E71" w14:paraId="65B904EC" w14:textId="77777777">
      <w:pPr>
        <w:tabs>
          <w:tab w:val="left" w:pos="567"/>
        </w:tabs>
        <w:ind w:left="540" w:hanging="540"/>
        <w:rPr>
          <w:sz w:val="22"/>
          <w:szCs w:val="22"/>
        </w:rPr>
      </w:pPr>
    </w:p>
    <w:p w:rsidR="006224C2" w:rsidRPr="00295E71" w14:paraId="05FEB2B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2. </w:t>
      </w:r>
      <w:r w:rsidRPr="00295E71">
        <w:rPr>
          <w:b/>
          <w:bCs/>
          <w:sz w:val="22"/>
          <w:szCs w:val="22"/>
        </w:rPr>
        <w:tab/>
        <w:t>COMPOSIZIONE QUALITATIVA E QUANTITATIVA IN TERMINI DI PRINCIPIO ATTIVO</w:t>
      </w:r>
    </w:p>
    <w:p w:rsidR="006224C2" w:rsidRPr="00295E71" w14:paraId="171A0BCB" w14:textId="77777777">
      <w:pPr>
        <w:tabs>
          <w:tab w:val="left" w:pos="567"/>
        </w:tabs>
        <w:ind w:left="540" w:hanging="540"/>
        <w:rPr>
          <w:sz w:val="22"/>
          <w:szCs w:val="22"/>
        </w:rPr>
      </w:pPr>
    </w:p>
    <w:p w:rsidR="006224C2" w:rsidRPr="00295E71" w14:paraId="5D4315E7" w14:textId="77777777">
      <w:pPr>
        <w:tabs>
          <w:tab w:val="left" w:pos="567"/>
        </w:tabs>
        <w:ind w:left="540" w:hanging="540"/>
        <w:rPr>
          <w:sz w:val="22"/>
          <w:szCs w:val="22"/>
        </w:rPr>
      </w:pPr>
      <w:r w:rsidRPr="00295E71">
        <w:rPr>
          <w:sz w:val="22"/>
          <w:szCs w:val="22"/>
        </w:rPr>
        <w:t>Una siringa pre-riempita da 0,4 ml contiene 40 mg di adalimumab</w:t>
      </w:r>
    </w:p>
    <w:p w:rsidR="006224C2" w:rsidRPr="00295E71" w14:paraId="71AC30BB" w14:textId="77777777">
      <w:pPr>
        <w:tabs>
          <w:tab w:val="left" w:pos="567"/>
        </w:tabs>
        <w:ind w:left="540" w:hanging="540"/>
        <w:rPr>
          <w:sz w:val="22"/>
          <w:szCs w:val="22"/>
        </w:rPr>
      </w:pPr>
    </w:p>
    <w:p w:rsidR="006224C2" w:rsidRPr="00295E71" w14:paraId="75D672C3" w14:textId="77777777">
      <w:pPr>
        <w:tabs>
          <w:tab w:val="left" w:pos="567"/>
        </w:tabs>
        <w:ind w:left="540" w:hanging="540"/>
        <w:rPr>
          <w:sz w:val="22"/>
          <w:szCs w:val="22"/>
        </w:rPr>
      </w:pPr>
    </w:p>
    <w:p w:rsidR="006224C2" w:rsidRPr="00295E71" w14:paraId="3EFD945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3. </w:t>
      </w:r>
      <w:r w:rsidRPr="00295E71">
        <w:rPr>
          <w:b/>
          <w:bCs/>
          <w:sz w:val="22"/>
          <w:szCs w:val="22"/>
        </w:rPr>
        <w:tab/>
        <w:t>ELENCO DEGLI ECCIPIENTI</w:t>
      </w:r>
    </w:p>
    <w:p w:rsidR="006224C2" w:rsidRPr="00295E71" w14:paraId="21314818" w14:textId="77777777">
      <w:pPr>
        <w:tabs>
          <w:tab w:val="left" w:pos="567"/>
        </w:tabs>
        <w:rPr>
          <w:sz w:val="22"/>
          <w:szCs w:val="22"/>
        </w:rPr>
      </w:pPr>
    </w:p>
    <w:p w:rsidR="006224C2" w:rsidRPr="00295E71" w14:paraId="7AA77CCF" w14:textId="77777777">
      <w:pPr>
        <w:pStyle w:val="EMEAFigureTitle"/>
        <w:suppressAutoHyphens w:val="0"/>
        <w:autoSpaceDE w:val="0"/>
        <w:autoSpaceDN w:val="0"/>
        <w:adjustRightInd w:val="0"/>
        <w:rPr>
          <w:lang w:val="it-IT" w:eastAsia="it-IT"/>
        </w:rPr>
      </w:pPr>
      <w:r w:rsidRPr="00295E71">
        <w:rPr>
          <w:lang w:val="it-IT" w:eastAsia="it-IT"/>
        </w:rPr>
        <w:t>Eccipienti: mannitolo, polisorbato 80 e acqua per preparazioni iniettabili. Per ulteriori informazioni vedere il foglio illustrativo.</w:t>
      </w:r>
    </w:p>
    <w:p w:rsidR="006224C2" w:rsidRPr="00295E71" w14:paraId="066C04F8" w14:textId="77777777">
      <w:pPr>
        <w:tabs>
          <w:tab w:val="left" w:pos="567"/>
        </w:tabs>
        <w:ind w:left="540" w:hanging="540"/>
        <w:rPr>
          <w:sz w:val="22"/>
          <w:szCs w:val="22"/>
        </w:rPr>
      </w:pPr>
    </w:p>
    <w:p w:rsidR="006224C2" w:rsidRPr="00295E71" w14:paraId="790743A1" w14:textId="77777777">
      <w:pPr>
        <w:tabs>
          <w:tab w:val="left" w:pos="567"/>
        </w:tabs>
        <w:ind w:left="540" w:hanging="540"/>
        <w:rPr>
          <w:sz w:val="22"/>
          <w:szCs w:val="22"/>
        </w:rPr>
      </w:pPr>
    </w:p>
    <w:p w:rsidR="006224C2" w:rsidRPr="00295E71" w14:paraId="26BA77C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4. </w:t>
      </w:r>
      <w:r w:rsidRPr="00295E71">
        <w:rPr>
          <w:b/>
          <w:bCs/>
          <w:sz w:val="22"/>
          <w:szCs w:val="22"/>
        </w:rPr>
        <w:tab/>
        <w:t>FORMA FARMACEUTICA E CONTENUTO</w:t>
      </w:r>
      <w:r w:rsidRPr="00295E71">
        <w:rPr>
          <w:b/>
          <w:bCs/>
          <w:sz w:val="22"/>
          <w:szCs w:val="22"/>
        </w:rPr>
        <w:tab/>
      </w:r>
    </w:p>
    <w:p w:rsidR="006224C2" w:rsidRPr="00295E71" w14:paraId="5A9172D8" w14:textId="77777777">
      <w:pPr>
        <w:tabs>
          <w:tab w:val="left" w:pos="567"/>
        </w:tabs>
        <w:ind w:left="540" w:hanging="540"/>
        <w:rPr>
          <w:sz w:val="22"/>
          <w:szCs w:val="22"/>
        </w:rPr>
      </w:pPr>
    </w:p>
    <w:p w:rsidR="0083611B" w:rsidRPr="00295E71" w14:paraId="18EF9DBD" w14:textId="77777777">
      <w:pPr>
        <w:tabs>
          <w:tab w:val="left" w:pos="567"/>
        </w:tabs>
        <w:ind w:left="540" w:hanging="540"/>
        <w:rPr>
          <w:sz w:val="22"/>
          <w:szCs w:val="22"/>
          <w:highlight w:val="lightGray"/>
        </w:rPr>
      </w:pPr>
      <w:r w:rsidRPr="00295E71">
        <w:rPr>
          <w:sz w:val="22"/>
          <w:szCs w:val="22"/>
          <w:highlight w:val="lightGray"/>
        </w:rPr>
        <w:t>Soluzione iniettabile</w:t>
      </w:r>
    </w:p>
    <w:p w:rsidR="006224C2" w:rsidRPr="00295E71" w14:paraId="3B832A43" w14:textId="77777777">
      <w:pPr>
        <w:tabs>
          <w:tab w:val="left" w:pos="567"/>
        </w:tabs>
        <w:ind w:left="540" w:hanging="540"/>
        <w:rPr>
          <w:sz w:val="22"/>
          <w:szCs w:val="22"/>
        </w:rPr>
      </w:pPr>
      <w:r w:rsidRPr="00295E71">
        <w:rPr>
          <w:sz w:val="22"/>
          <w:szCs w:val="22"/>
        </w:rPr>
        <w:t>1 siringa pre-riempita</w:t>
      </w:r>
    </w:p>
    <w:p w:rsidR="006224C2" w:rsidRPr="00295E71" w14:paraId="31F91492" w14:textId="77777777">
      <w:pPr>
        <w:tabs>
          <w:tab w:val="left" w:pos="567"/>
        </w:tabs>
        <w:ind w:left="540" w:hanging="540"/>
        <w:rPr>
          <w:i/>
          <w:iCs/>
          <w:sz w:val="22"/>
          <w:szCs w:val="22"/>
        </w:rPr>
      </w:pPr>
      <w:r w:rsidRPr="00295E71">
        <w:rPr>
          <w:sz w:val="22"/>
          <w:szCs w:val="22"/>
        </w:rPr>
        <w:t>1 tampone imbevuto di alcool</w:t>
      </w:r>
    </w:p>
    <w:p w:rsidR="006224C2" w:rsidRPr="00295E71" w14:paraId="3B9702C6" w14:textId="77777777">
      <w:pPr>
        <w:tabs>
          <w:tab w:val="left" w:pos="567"/>
        </w:tabs>
        <w:ind w:left="540" w:hanging="540"/>
        <w:rPr>
          <w:sz w:val="22"/>
          <w:szCs w:val="22"/>
        </w:rPr>
      </w:pPr>
    </w:p>
    <w:p w:rsidR="0083611B" w:rsidRPr="00295E71" w:rsidP="0083611B" w14:paraId="2B5248B0" w14:textId="77777777">
      <w:pPr>
        <w:tabs>
          <w:tab w:val="left" w:pos="567"/>
        </w:tabs>
        <w:ind w:left="540" w:hanging="540"/>
        <w:rPr>
          <w:sz w:val="22"/>
          <w:szCs w:val="22"/>
          <w:highlight w:val="lightGray"/>
        </w:rPr>
      </w:pPr>
      <w:r w:rsidRPr="00295E71">
        <w:rPr>
          <w:sz w:val="22"/>
          <w:szCs w:val="22"/>
          <w:highlight w:val="lightGray"/>
        </w:rPr>
        <w:t>2 siringhe pre-riempite</w:t>
      </w:r>
    </w:p>
    <w:p w:rsidR="006224C2" w:rsidRPr="00295E71" w:rsidP="0083611B" w14:paraId="0EBB4ADA" w14:textId="77777777">
      <w:pPr>
        <w:tabs>
          <w:tab w:val="left" w:pos="567"/>
        </w:tabs>
        <w:ind w:left="540" w:hanging="540"/>
        <w:rPr>
          <w:sz w:val="22"/>
          <w:szCs w:val="22"/>
          <w:highlight w:val="lightGray"/>
        </w:rPr>
      </w:pPr>
      <w:r w:rsidRPr="00295E71">
        <w:rPr>
          <w:sz w:val="22"/>
          <w:szCs w:val="22"/>
          <w:highlight w:val="lightGray"/>
        </w:rPr>
        <w:t>2 tamponi imbevuti di alcool</w:t>
      </w:r>
    </w:p>
    <w:p w:rsidR="0083611B" w:rsidRPr="00295E71" w:rsidP="0083611B" w14:paraId="4233488A" w14:textId="77777777">
      <w:pPr>
        <w:tabs>
          <w:tab w:val="left" w:pos="567"/>
        </w:tabs>
        <w:ind w:left="540" w:hanging="540"/>
        <w:rPr>
          <w:sz w:val="22"/>
          <w:szCs w:val="22"/>
          <w:highlight w:val="lightGray"/>
        </w:rPr>
      </w:pPr>
    </w:p>
    <w:p w:rsidR="0083611B" w:rsidRPr="00295E71" w:rsidP="0083611B" w14:paraId="4472AA94" w14:textId="77777777">
      <w:pPr>
        <w:tabs>
          <w:tab w:val="left" w:pos="567"/>
        </w:tabs>
        <w:ind w:left="540" w:hanging="540"/>
        <w:rPr>
          <w:sz w:val="22"/>
          <w:szCs w:val="22"/>
          <w:highlight w:val="lightGray"/>
        </w:rPr>
      </w:pPr>
      <w:r w:rsidRPr="00295E71">
        <w:rPr>
          <w:sz w:val="22"/>
          <w:szCs w:val="22"/>
          <w:highlight w:val="lightGray"/>
        </w:rPr>
        <w:t>4 siringhe pre-riempite</w:t>
      </w:r>
    </w:p>
    <w:p w:rsidR="0083611B" w:rsidRPr="00295E71" w:rsidP="0083611B" w14:paraId="7E06BE70" w14:textId="77777777">
      <w:pPr>
        <w:tabs>
          <w:tab w:val="left" w:pos="567"/>
        </w:tabs>
        <w:ind w:left="540" w:hanging="540"/>
        <w:rPr>
          <w:sz w:val="22"/>
          <w:szCs w:val="22"/>
          <w:highlight w:val="lightGray"/>
        </w:rPr>
      </w:pPr>
      <w:r w:rsidRPr="00295E71">
        <w:rPr>
          <w:sz w:val="22"/>
          <w:szCs w:val="22"/>
          <w:highlight w:val="lightGray"/>
        </w:rPr>
        <w:t>4 tamponi imbevuti di alcool</w:t>
      </w:r>
    </w:p>
    <w:p w:rsidR="0083611B" w:rsidRPr="00295E71" w:rsidP="0083611B" w14:paraId="63C4C440" w14:textId="77777777">
      <w:pPr>
        <w:tabs>
          <w:tab w:val="left" w:pos="567"/>
        </w:tabs>
        <w:ind w:left="540" w:hanging="540"/>
        <w:rPr>
          <w:sz w:val="22"/>
          <w:szCs w:val="22"/>
          <w:highlight w:val="lightGray"/>
        </w:rPr>
      </w:pPr>
    </w:p>
    <w:p w:rsidR="0083611B" w:rsidRPr="00295E71" w:rsidP="0083611B" w14:paraId="0EA9A4F1" w14:textId="77777777">
      <w:pPr>
        <w:tabs>
          <w:tab w:val="left" w:pos="567"/>
        </w:tabs>
        <w:ind w:left="540" w:hanging="540"/>
        <w:rPr>
          <w:sz w:val="22"/>
          <w:szCs w:val="22"/>
          <w:highlight w:val="lightGray"/>
        </w:rPr>
      </w:pPr>
      <w:r w:rsidRPr="00295E71">
        <w:rPr>
          <w:sz w:val="22"/>
          <w:szCs w:val="22"/>
          <w:highlight w:val="lightGray"/>
        </w:rPr>
        <w:t>6 siringhe pre-riempite</w:t>
      </w:r>
    </w:p>
    <w:p w:rsidR="0083611B" w:rsidRPr="00295E71" w:rsidP="0083611B" w14:paraId="1D29754A" w14:textId="77777777">
      <w:pPr>
        <w:tabs>
          <w:tab w:val="left" w:pos="567"/>
        </w:tabs>
        <w:ind w:left="540" w:hanging="540"/>
        <w:rPr>
          <w:sz w:val="22"/>
          <w:szCs w:val="22"/>
        </w:rPr>
      </w:pPr>
      <w:r w:rsidRPr="00295E71">
        <w:rPr>
          <w:sz w:val="22"/>
          <w:szCs w:val="22"/>
          <w:highlight w:val="lightGray"/>
        </w:rPr>
        <w:t>6 tamponi imbevuti di alcool</w:t>
      </w:r>
    </w:p>
    <w:p w:rsidR="0083611B" w:rsidRPr="00295E71" w:rsidP="0083611B" w14:paraId="5A855326" w14:textId="77777777">
      <w:pPr>
        <w:tabs>
          <w:tab w:val="left" w:pos="567"/>
        </w:tabs>
        <w:ind w:left="540" w:hanging="540"/>
        <w:rPr>
          <w:sz w:val="22"/>
          <w:szCs w:val="22"/>
        </w:rPr>
      </w:pPr>
    </w:p>
    <w:p w:rsidR="0083611B" w:rsidRPr="00295E71" w:rsidP="0083611B" w14:paraId="47D3CCA5" w14:textId="77777777">
      <w:pPr>
        <w:tabs>
          <w:tab w:val="left" w:pos="567"/>
        </w:tabs>
        <w:ind w:left="540" w:hanging="540"/>
        <w:rPr>
          <w:color w:val="000000"/>
          <w:sz w:val="22"/>
          <w:szCs w:val="22"/>
          <w:u w:val="single"/>
        </w:rPr>
      </w:pPr>
    </w:p>
    <w:p w:rsidR="006224C2" w:rsidRPr="00295E71" w14:paraId="235EA8B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5. </w:t>
      </w:r>
      <w:r w:rsidRPr="00295E71">
        <w:rPr>
          <w:b/>
          <w:bCs/>
          <w:sz w:val="22"/>
          <w:szCs w:val="22"/>
        </w:rPr>
        <w:tab/>
        <w:t>MODO E VIA DI SOMMINISTRAZIONE</w:t>
      </w:r>
    </w:p>
    <w:p w:rsidR="006224C2" w:rsidRPr="00295E71" w14:paraId="017C297D" w14:textId="77777777">
      <w:pPr>
        <w:tabs>
          <w:tab w:val="left" w:pos="567"/>
        </w:tabs>
        <w:ind w:left="540" w:hanging="540"/>
        <w:rPr>
          <w:sz w:val="22"/>
          <w:szCs w:val="22"/>
        </w:rPr>
      </w:pPr>
    </w:p>
    <w:p w:rsidR="006224C2" w:rsidRPr="00295E71" w14:paraId="13505730" w14:textId="77777777">
      <w:pPr>
        <w:tabs>
          <w:tab w:val="left" w:pos="567"/>
        </w:tabs>
        <w:ind w:left="540" w:hanging="540"/>
        <w:rPr>
          <w:sz w:val="22"/>
          <w:szCs w:val="22"/>
        </w:rPr>
      </w:pPr>
      <w:r w:rsidRPr="00295E71">
        <w:rPr>
          <w:sz w:val="22"/>
          <w:szCs w:val="22"/>
        </w:rPr>
        <w:t>Uso sottocutaneo</w:t>
      </w:r>
    </w:p>
    <w:p w:rsidR="006224C2" w:rsidRPr="00295E71" w14:paraId="0C2D7773" w14:textId="77777777">
      <w:pPr>
        <w:tabs>
          <w:tab w:val="left" w:pos="567"/>
        </w:tabs>
        <w:ind w:left="540" w:hanging="540"/>
        <w:rPr>
          <w:sz w:val="22"/>
          <w:szCs w:val="22"/>
        </w:rPr>
      </w:pPr>
    </w:p>
    <w:p w:rsidR="006224C2" w:rsidRPr="00295E71" w14:paraId="474C3FCB" w14:textId="77777777">
      <w:pPr>
        <w:tabs>
          <w:tab w:val="left" w:pos="567"/>
        </w:tabs>
        <w:ind w:left="540" w:hanging="540"/>
        <w:rPr>
          <w:sz w:val="22"/>
          <w:szCs w:val="22"/>
        </w:rPr>
      </w:pPr>
      <w:r w:rsidRPr="00295E71">
        <w:rPr>
          <w:sz w:val="22"/>
          <w:szCs w:val="22"/>
        </w:rPr>
        <w:t>Leggere il foglio illustrativo prima dell'uso.</w:t>
      </w:r>
    </w:p>
    <w:p w:rsidR="00F64B4A" w:rsidRPr="00295E71" w14:paraId="53383C1A" w14:textId="77777777">
      <w:pPr>
        <w:tabs>
          <w:tab w:val="left" w:pos="567"/>
        </w:tabs>
        <w:ind w:left="540" w:hanging="540"/>
        <w:rPr>
          <w:sz w:val="22"/>
          <w:szCs w:val="22"/>
        </w:rPr>
      </w:pPr>
    </w:p>
    <w:p w:rsidR="00F64B4A" w:rsidRPr="00295E71" w14:paraId="2F66A270" w14:textId="77777777">
      <w:pPr>
        <w:tabs>
          <w:tab w:val="left" w:pos="567"/>
        </w:tabs>
        <w:ind w:left="540" w:hanging="540"/>
        <w:rPr>
          <w:sz w:val="22"/>
          <w:szCs w:val="22"/>
        </w:rPr>
      </w:pPr>
      <w:r w:rsidRPr="00295E71">
        <w:rPr>
          <w:sz w:val="22"/>
          <w:szCs w:val="22"/>
        </w:rPr>
        <w:t>Esclusivamente monouso.</w:t>
      </w:r>
    </w:p>
    <w:p w:rsidR="006224C2" w:rsidRPr="00295E71" w14:paraId="0F72793C" w14:textId="77777777">
      <w:pPr>
        <w:tabs>
          <w:tab w:val="left" w:pos="567"/>
        </w:tabs>
        <w:ind w:left="540" w:hanging="540"/>
        <w:rPr>
          <w:sz w:val="22"/>
          <w:szCs w:val="22"/>
        </w:rPr>
      </w:pPr>
    </w:p>
    <w:p w:rsidR="006224C2" w:rsidRPr="00295E71" w14:paraId="35A19E68" w14:textId="77777777">
      <w:pPr>
        <w:tabs>
          <w:tab w:val="left" w:pos="567"/>
        </w:tabs>
        <w:ind w:left="540" w:hanging="540"/>
        <w:rPr>
          <w:sz w:val="22"/>
          <w:szCs w:val="22"/>
        </w:rPr>
      </w:pPr>
    </w:p>
    <w:p w:rsidR="006224C2" w:rsidRPr="00295E71" w14:paraId="1446CAA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6. </w:t>
      </w:r>
      <w:r w:rsidRPr="00295E71">
        <w:rPr>
          <w:b/>
          <w:bCs/>
          <w:sz w:val="22"/>
          <w:szCs w:val="22"/>
        </w:rPr>
        <w:tab/>
        <w:t>AVVERTENZA PARTICOLARE CHE PRESCRIVA DI TENERE IL MEDICINALE FUORI DALLA VISTA E DALLA PORTATA DEI BAMBINI</w:t>
      </w:r>
    </w:p>
    <w:p w:rsidR="006224C2" w:rsidRPr="00295E71" w14:paraId="7ADA5950" w14:textId="77777777">
      <w:pPr>
        <w:tabs>
          <w:tab w:val="left" w:pos="567"/>
        </w:tabs>
        <w:ind w:left="540" w:hanging="540"/>
        <w:rPr>
          <w:sz w:val="22"/>
          <w:szCs w:val="22"/>
        </w:rPr>
      </w:pPr>
    </w:p>
    <w:p w:rsidR="006224C2" w:rsidRPr="00295E71" w14:paraId="25A145AE" w14:textId="77777777">
      <w:pPr>
        <w:tabs>
          <w:tab w:val="left" w:pos="567"/>
        </w:tabs>
        <w:ind w:left="540" w:hanging="540"/>
        <w:rPr>
          <w:sz w:val="22"/>
          <w:szCs w:val="22"/>
        </w:rPr>
      </w:pPr>
      <w:r w:rsidRPr="00295E71">
        <w:rPr>
          <w:sz w:val="22"/>
          <w:szCs w:val="22"/>
        </w:rPr>
        <w:t>Tenere fuori dalla vista e dalla portata dei bambini.</w:t>
      </w:r>
    </w:p>
    <w:p w:rsidR="006224C2" w:rsidRPr="00295E71" w14:paraId="36FAE22D" w14:textId="77777777">
      <w:pPr>
        <w:tabs>
          <w:tab w:val="left" w:pos="567"/>
        </w:tabs>
        <w:ind w:left="540" w:hanging="540"/>
        <w:rPr>
          <w:sz w:val="22"/>
          <w:szCs w:val="22"/>
        </w:rPr>
      </w:pPr>
    </w:p>
    <w:p w:rsidR="006224C2" w:rsidRPr="00295E71" w14:paraId="51C3BA81" w14:textId="77777777">
      <w:pPr>
        <w:tabs>
          <w:tab w:val="left" w:pos="567"/>
        </w:tabs>
        <w:ind w:left="540" w:hanging="540"/>
        <w:rPr>
          <w:sz w:val="22"/>
          <w:szCs w:val="22"/>
        </w:rPr>
      </w:pPr>
    </w:p>
    <w:p w:rsidR="006224C2" w:rsidRPr="00295E71" w14:paraId="5CD6BEC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7. </w:t>
      </w:r>
      <w:r w:rsidRPr="00295E71">
        <w:rPr>
          <w:b/>
          <w:bCs/>
          <w:sz w:val="22"/>
          <w:szCs w:val="22"/>
        </w:rPr>
        <w:tab/>
        <w:t>ALTRA AVVERTENZA PARTICOLARE, SE NECESSARIO</w:t>
      </w:r>
    </w:p>
    <w:p w:rsidR="006224C2" w:rsidRPr="00295E71" w14:paraId="3560CE6D" w14:textId="77777777">
      <w:pPr>
        <w:tabs>
          <w:tab w:val="left" w:pos="567"/>
        </w:tabs>
        <w:ind w:left="540" w:hanging="540"/>
        <w:rPr>
          <w:sz w:val="22"/>
          <w:szCs w:val="22"/>
        </w:rPr>
      </w:pPr>
    </w:p>
    <w:p w:rsidR="006224C2" w:rsidRPr="00295E71" w14:paraId="5DDBFD0B" w14:textId="77777777">
      <w:pPr>
        <w:tabs>
          <w:tab w:val="left" w:pos="567"/>
        </w:tabs>
        <w:ind w:left="540" w:hanging="540"/>
        <w:rPr>
          <w:sz w:val="22"/>
          <w:szCs w:val="22"/>
        </w:rPr>
      </w:pPr>
    </w:p>
    <w:p w:rsidR="006224C2" w:rsidRPr="00295E71" w14:paraId="5B8779D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8. </w:t>
      </w:r>
      <w:r w:rsidRPr="00295E71">
        <w:rPr>
          <w:b/>
          <w:bCs/>
          <w:sz w:val="22"/>
          <w:szCs w:val="22"/>
        </w:rPr>
        <w:tab/>
        <w:t>DATA DI SCADENZA</w:t>
      </w:r>
    </w:p>
    <w:p w:rsidR="006224C2" w:rsidRPr="00295E71" w14:paraId="775A2E0E" w14:textId="77777777">
      <w:pPr>
        <w:tabs>
          <w:tab w:val="left" w:pos="567"/>
        </w:tabs>
        <w:ind w:left="540" w:hanging="540"/>
        <w:rPr>
          <w:sz w:val="22"/>
          <w:szCs w:val="22"/>
        </w:rPr>
      </w:pPr>
    </w:p>
    <w:p w:rsidR="006224C2" w:rsidRPr="00295E71" w14:paraId="59A5C014" w14:textId="77777777">
      <w:pPr>
        <w:tabs>
          <w:tab w:val="left" w:pos="567"/>
        </w:tabs>
        <w:ind w:left="540" w:hanging="540"/>
        <w:rPr>
          <w:sz w:val="22"/>
          <w:szCs w:val="22"/>
        </w:rPr>
      </w:pPr>
      <w:r w:rsidRPr="00295E71">
        <w:rPr>
          <w:sz w:val="22"/>
          <w:szCs w:val="22"/>
        </w:rPr>
        <w:t xml:space="preserve">Scad. </w:t>
      </w:r>
    </w:p>
    <w:p w:rsidR="006224C2" w:rsidRPr="00295E71" w14:paraId="46C695CF" w14:textId="77777777">
      <w:pPr>
        <w:tabs>
          <w:tab w:val="left" w:pos="567"/>
        </w:tabs>
        <w:ind w:left="540" w:hanging="540"/>
        <w:rPr>
          <w:sz w:val="22"/>
          <w:szCs w:val="22"/>
        </w:rPr>
      </w:pPr>
    </w:p>
    <w:p w:rsidR="006224C2" w:rsidRPr="00295E71" w14:paraId="4B6DF82C" w14:textId="77777777">
      <w:pPr>
        <w:tabs>
          <w:tab w:val="left" w:pos="567"/>
        </w:tabs>
        <w:ind w:left="540" w:hanging="540"/>
        <w:rPr>
          <w:sz w:val="22"/>
          <w:szCs w:val="22"/>
        </w:rPr>
      </w:pPr>
    </w:p>
    <w:p w:rsidR="006224C2" w:rsidRPr="00295E71" w14:paraId="54D67EE2" w14:textId="77777777">
      <w:pPr>
        <w:keepNext/>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9. </w:t>
      </w:r>
      <w:r w:rsidRPr="00295E71">
        <w:rPr>
          <w:b/>
          <w:bCs/>
          <w:sz w:val="22"/>
          <w:szCs w:val="22"/>
        </w:rPr>
        <w:tab/>
        <w:t>PRECAUZIONI PARTICOLARI PER LA CONSERVAZIONE</w:t>
      </w:r>
    </w:p>
    <w:p w:rsidR="006224C2" w:rsidRPr="00295E71" w14:paraId="43CE8835" w14:textId="77777777">
      <w:pPr>
        <w:keepNext/>
        <w:tabs>
          <w:tab w:val="left" w:pos="567"/>
        </w:tabs>
        <w:ind w:left="540" w:hanging="540"/>
        <w:rPr>
          <w:sz w:val="22"/>
          <w:szCs w:val="22"/>
        </w:rPr>
      </w:pPr>
    </w:p>
    <w:p w:rsidR="006224C2" w:rsidRPr="00295E71" w14:paraId="654C2681" w14:textId="77777777">
      <w:pPr>
        <w:keepNext/>
        <w:tabs>
          <w:tab w:val="left" w:pos="567"/>
        </w:tabs>
        <w:ind w:left="540" w:hanging="540"/>
        <w:rPr>
          <w:sz w:val="22"/>
          <w:szCs w:val="22"/>
        </w:rPr>
      </w:pPr>
      <w:r w:rsidRPr="00295E71">
        <w:rPr>
          <w:sz w:val="22"/>
          <w:szCs w:val="22"/>
        </w:rPr>
        <w:t>Conservare in frigorifero. Non congelare.</w:t>
      </w:r>
    </w:p>
    <w:p w:rsidR="006224C2" w:rsidRPr="00295E71" w14:paraId="356E071E" w14:textId="77777777">
      <w:pPr>
        <w:keepNext/>
        <w:tabs>
          <w:tab w:val="left" w:pos="567"/>
        </w:tabs>
        <w:rPr>
          <w:sz w:val="22"/>
          <w:szCs w:val="22"/>
        </w:rPr>
      </w:pPr>
      <w:r w:rsidRPr="00295E71">
        <w:rPr>
          <w:sz w:val="22"/>
          <w:szCs w:val="22"/>
        </w:rPr>
        <w:t>Fare riferimento al foglio illustrativo per condizioni di conservazione alternative.</w:t>
      </w:r>
    </w:p>
    <w:p w:rsidR="006224C2" w:rsidRPr="00295E71" w14:paraId="5913E516" w14:textId="77777777">
      <w:pPr>
        <w:keepNext/>
        <w:tabs>
          <w:tab w:val="left" w:pos="567"/>
        </w:tabs>
        <w:ind w:left="540" w:hanging="540"/>
        <w:rPr>
          <w:sz w:val="22"/>
          <w:szCs w:val="22"/>
        </w:rPr>
      </w:pPr>
    </w:p>
    <w:p w:rsidR="006224C2" w:rsidRPr="00295E71" w14:paraId="6B485900" w14:textId="77777777">
      <w:pPr>
        <w:keepNext/>
        <w:tabs>
          <w:tab w:val="left" w:pos="567"/>
        </w:tabs>
        <w:ind w:left="540" w:hanging="540"/>
        <w:rPr>
          <w:sz w:val="22"/>
          <w:szCs w:val="22"/>
        </w:rPr>
      </w:pPr>
      <w:r w:rsidRPr="00295E71">
        <w:rPr>
          <w:sz w:val="22"/>
          <w:szCs w:val="22"/>
        </w:rPr>
        <w:t xml:space="preserve">Tenere </w:t>
      </w:r>
      <w:r w:rsidRPr="00295E71" w:rsidR="00226BC4">
        <w:rPr>
          <w:sz w:val="22"/>
          <w:szCs w:val="22"/>
        </w:rPr>
        <w:t xml:space="preserve">la siringa </w:t>
      </w:r>
      <w:r w:rsidRPr="00295E71">
        <w:rPr>
          <w:sz w:val="22"/>
          <w:szCs w:val="22"/>
        </w:rPr>
        <w:t>nell’imballaggio esterno</w:t>
      </w:r>
      <w:r w:rsidRPr="00295E71" w:rsidR="00226BC4">
        <w:rPr>
          <w:sz w:val="22"/>
          <w:szCs w:val="22"/>
        </w:rPr>
        <w:t xml:space="preserve"> per proteggere il medicinale dalla luce.</w:t>
      </w:r>
    </w:p>
    <w:p w:rsidR="006224C2" w:rsidRPr="00295E71" w14:paraId="518B574D" w14:textId="77777777">
      <w:pPr>
        <w:keepNext/>
        <w:tabs>
          <w:tab w:val="left" w:pos="567"/>
        </w:tabs>
        <w:ind w:left="540" w:hanging="540"/>
        <w:rPr>
          <w:sz w:val="22"/>
          <w:szCs w:val="22"/>
        </w:rPr>
      </w:pPr>
    </w:p>
    <w:p w:rsidR="006224C2" w:rsidRPr="00295E71" w14:paraId="69A0FA04" w14:textId="77777777">
      <w:pPr>
        <w:keepNext/>
        <w:tabs>
          <w:tab w:val="left" w:pos="567"/>
        </w:tabs>
        <w:ind w:left="540" w:hanging="540"/>
        <w:rPr>
          <w:sz w:val="22"/>
          <w:szCs w:val="22"/>
        </w:rPr>
      </w:pPr>
    </w:p>
    <w:p w:rsidR="006224C2" w:rsidRPr="00295E71" w14:paraId="5FA44B8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10.</w:t>
      </w:r>
      <w:r w:rsidRPr="00295E71">
        <w:rPr>
          <w:b/>
          <w:bCs/>
          <w:sz w:val="22"/>
          <w:szCs w:val="22"/>
        </w:rPr>
        <w:tab/>
        <w:t>PRECAUZIONI PARTICOLARIPER LO SMALTIMENTO DEL MEDICINALE NON UTILIZZATO O DEI RIFIUTI DERIVATI DA TALE MEDICINALE, SE NECESSARIO</w:t>
      </w:r>
    </w:p>
    <w:p w:rsidR="006224C2" w:rsidRPr="00295E71" w14:paraId="3CF1B52F" w14:textId="77777777">
      <w:pPr>
        <w:tabs>
          <w:tab w:val="left" w:pos="567"/>
        </w:tabs>
        <w:ind w:left="540" w:hanging="540"/>
        <w:rPr>
          <w:sz w:val="22"/>
          <w:szCs w:val="22"/>
        </w:rPr>
      </w:pPr>
    </w:p>
    <w:p w:rsidR="006224C2" w:rsidRPr="00295E71" w14:paraId="1FC0A8B0" w14:textId="77777777">
      <w:pPr>
        <w:tabs>
          <w:tab w:val="left" w:pos="567"/>
        </w:tabs>
        <w:ind w:left="540" w:hanging="540"/>
        <w:rPr>
          <w:sz w:val="22"/>
          <w:szCs w:val="22"/>
        </w:rPr>
      </w:pPr>
    </w:p>
    <w:p w:rsidR="006224C2" w:rsidRPr="00295E71" w14:paraId="3D142EE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11.</w:t>
      </w:r>
      <w:r w:rsidRPr="00295E71">
        <w:rPr>
          <w:b/>
          <w:bCs/>
          <w:sz w:val="22"/>
          <w:szCs w:val="22"/>
        </w:rPr>
        <w:tab/>
        <w:t>NOME E INDIRIZZO DEL TITOLARE DELL’AUTORIZZAZIONE ALL’IMMISSIONE IN COMMERCIO</w:t>
      </w:r>
    </w:p>
    <w:p w:rsidR="006224C2" w:rsidRPr="00295E71" w14:paraId="4A57E18E" w14:textId="77777777">
      <w:pPr>
        <w:tabs>
          <w:tab w:val="left" w:pos="567"/>
        </w:tabs>
        <w:ind w:left="540" w:hanging="540"/>
        <w:rPr>
          <w:sz w:val="22"/>
          <w:szCs w:val="22"/>
        </w:rPr>
      </w:pPr>
    </w:p>
    <w:p w:rsidR="00F95DEF" w:rsidRPr="00E6608E" w:rsidP="00F95DEF" w14:paraId="2874E0AD" w14:textId="77777777">
      <w:pPr>
        <w:tabs>
          <w:tab w:val="left" w:pos="567"/>
        </w:tabs>
        <w:jc w:val="both"/>
        <w:rPr>
          <w:sz w:val="22"/>
          <w:szCs w:val="22"/>
          <w:lang w:val="en-US"/>
          <w:rPrChange w:id="14544" w:author="AbbVie14" w:date="2025-09-08T09:11:00Z">
            <w:rPr>
              <w:sz w:val="22"/>
              <w:szCs w:val="22"/>
            </w:rPr>
          </w:rPrChange>
        </w:rPr>
      </w:pPr>
      <w:r w:rsidRPr="00E6608E">
        <w:rPr>
          <w:sz w:val="22"/>
          <w:szCs w:val="22"/>
          <w:lang w:val="en-US"/>
          <w:rPrChange w:id="14545" w:author="AbbVie14" w:date="2025-09-08T09:11:00Z">
            <w:rPr>
              <w:sz w:val="22"/>
              <w:szCs w:val="22"/>
            </w:rPr>
          </w:rPrChange>
        </w:rPr>
        <w:t>AbbVie Deutschland GmbH &amp; Co. KG</w:t>
      </w:r>
    </w:p>
    <w:p w:rsidR="00F95DEF" w:rsidRPr="00E6608E" w:rsidP="00F95DEF" w14:paraId="26DC0964" w14:textId="77777777">
      <w:pPr>
        <w:tabs>
          <w:tab w:val="left" w:pos="567"/>
        </w:tabs>
        <w:jc w:val="both"/>
        <w:rPr>
          <w:sz w:val="22"/>
          <w:szCs w:val="22"/>
          <w:lang w:val="en-US"/>
          <w:rPrChange w:id="14546" w:author="AbbVie14" w:date="2025-09-08T09:11:00Z">
            <w:rPr>
              <w:sz w:val="22"/>
              <w:szCs w:val="22"/>
            </w:rPr>
          </w:rPrChange>
        </w:rPr>
      </w:pPr>
      <w:r w:rsidRPr="00E6608E">
        <w:rPr>
          <w:sz w:val="22"/>
          <w:szCs w:val="22"/>
          <w:lang w:val="en-US"/>
          <w:rPrChange w:id="14547" w:author="AbbVie14" w:date="2025-09-08T09:11:00Z">
            <w:rPr>
              <w:sz w:val="22"/>
              <w:szCs w:val="22"/>
            </w:rPr>
          </w:rPrChange>
        </w:rPr>
        <w:t>Knollstrasse</w:t>
      </w:r>
    </w:p>
    <w:p w:rsidR="00F95DEF" w:rsidRPr="00295E71" w:rsidP="00F95DEF" w14:paraId="6261122D" w14:textId="77777777">
      <w:pPr>
        <w:tabs>
          <w:tab w:val="left" w:pos="567"/>
        </w:tabs>
        <w:jc w:val="both"/>
        <w:rPr>
          <w:sz w:val="22"/>
          <w:szCs w:val="22"/>
        </w:rPr>
      </w:pPr>
      <w:r w:rsidRPr="00295E71">
        <w:rPr>
          <w:sz w:val="22"/>
          <w:szCs w:val="22"/>
        </w:rPr>
        <w:t>67061 Ludwigshafen</w:t>
      </w:r>
    </w:p>
    <w:p w:rsidR="00F95DEF" w:rsidRPr="00295E71" w:rsidP="00F95DEF" w14:paraId="410321D0" w14:textId="77777777">
      <w:pPr>
        <w:tabs>
          <w:tab w:val="left" w:pos="567"/>
        </w:tabs>
        <w:jc w:val="both"/>
        <w:rPr>
          <w:sz w:val="22"/>
          <w:szCs w:val="22"/>
        </w:rPr>
      </w:pPr>
      <w:r w:rsidRPr="00295E71">
        <w:rPr>
          <w:sz w:val="22"/>
          <w:szCs w:val="22"/>
        </w:rPr>
        <w:t>Germania</w:t>
      </w:r>
    </w:p>
    <w:p w:rsidR="006224C2" w:rsidRPr="00295E71" w14:paraId="3034FDC2" w14:textId="77777777">
      <w:pPr>
        <w:tabs>
          <w:tab w:val="left" w:pos="567"/>
        </w:tabs>
        <w:ind w:left="540" w:hanging="540"/>
        <w:rPr>
          <w:sz w:val="22"/>
          <w:szCs w:val="22"/>
        </w:rPr>
      </w:pPr>
    </w:p>
    <w:p w:rsidR="006224C2" w:rsidRPr="00295E71" w14:paraId="7BF7C31B" w14:textId="77777777">
      <w:pPr>
        <w:tabs>
          <w:tab w:val="left" w:pos="567"/>
        </w:tabs>
        <w:ind w:left="540" w:hanging="540"/>
        <w:rPr>
          <w:sz w:val="22"/>
          <w:szCs w:val="22"/>
        </w:rPr>
      </w:pPr>
    </w:p>
    <w:p w:rsidR="006224C2" w:rsidRPr="00295E71" w14:paraId="6B04D58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12. </w:t>
      </w:r>
      <w:r w:rsidRPr="00295E71">
        <w:rPr>
          <w:b/>
          <w:bCs/>
          <w:sz w:val="22"/>
          <w:szCs w:val="22"/>
        </w:rPr>
        <w:tab/>
        <w:t>NUMERO DELL’AUTORIZZAZIONE ALL’IMMISSIONE IN COMMERCIO</w:t>
      </w:r>
    </w:p>
    <w:p w:rsidR="006224C2" w:rsidRPr="00295E71" w14:paraId="3380531E" w14:textId="77777777">
      <w:pPr>
        <w:tabs>
          <w:tab w:val="left" w:pos="567"/>
        </w:tabs>
        <w:ind w:left="540" w:hanging="540"/>
        <w:rPr>
          <w:sz w:val="22"/>
          <w:szCs w:val="22"/>
        </w:rPr>
      </w:pPr>
    </w:p>
    <w:p w:rsidR="006224C2" w:rsidRPr="002172DD" w14:paraId="5D016CDB" w14:textId="77777777">
      <w:pPr>
        <w:tabs>
          <w:tab w:val="left" w:pos="567"/>
        </w:tabs>
        <w:ind w:left="540" w:hanging="540"/>
        <w:rPr>
          <w:sz w:val="22"/>
          <w:szCs w:val="22"/>
        </w:rPr>
      </w:pPr>
      <w:r w:rsidRPr="002172DD">
        <w:rPr>
          <w:sz w:val="22"/>
          <w:szCs w:val="22"/>
        </w:rPr>
        <w:t>EU/1/03/256/012</w:t>
      </w:r>
    </w:p>
    <w:p w:rsidR="0083611B" w:rsidRPr="002172DD" w:rsidP="0083611B" w14:paraId="1AB9E7ED" w14:textId="77777777">
      <w:pPr>
        <w:ind w:left="540" w:hanging="540"/>
        <w:rPr>
          <w:sz w:val="22"/>
          <w:highlight w:val="lightGray"/>
        </w:rPr>
      </w:pPr>
      <w:r w:rsidRPr="002172DD">
        <w:rPr>
          <w:sz w:val="22"/>
          <w:highlight w:val="lightGray"/>
        </w:rPr>
        <w:t>EU/1/03/256/013</w:t>
      </w:r>
    </w:p>
    <w:p w:rsidR="0083611B" w:rsidRPr="002172DD" w:rsidP="0083611B" w14:paraId="690324D2" w14:textId="77777777">
      <w:pPr>
        <w:ind w:left="540" w:hanging="540"/>
        <w:rPr>
          <w:sz w:val="22"/>
          <w:highlight w:val="lightGray"/>
        </w:rPr>
      </w:pPr>
      <w:r w:rsidRPr="002172DD">
        <w:rPr>
          <w:sz w:val="22"/>
          <w:highlight w:val="lightGray"/>
        </w:rPr>
        <w:t>EU/1/03/256/014</w:t>
      </w:r>
    </w:p>
    <w:p w:rsidR="0083611B" w:rsidRPr="002172DD" w:rsidP="0083611B" w14:paraId="38A86F32" w14:textId="77777777">
      <w:pPr>
        <w:ind w:left="540" w:hanging="540"/>
        <w:rPr>
          <w:sz w:val="22"/>
        </w:rPr>
      </w:pPr>
      <w:r w:rsidRPr="002172DD">
        <w:rPr>
          <w:sz w:val="22"/>
          <w:highlight w:val="lightGray"/>
        </w:rPr>
        <w:t>EU/1/03/256/015</w:t>
      </w:r>
    </w:p>
    <w:p w:rsidR="006224C2" w:rsidRPr="002172DD" w14:paraId="30BEA203" w14:textId="77777777">
      <w:pPr>
        <w:tabs>
          <w:tab w:val="left" w:pos="567"/>
        </w:tabs>
        <w:ind w:left="540" w:hanging="540"/>
        <w:rPr>
          <w:sz w:val="22"/>
          <w:szCs w:val="22"/>
        </w:rPr>
      </w:pPr>
    </w:p>
    <w:p w:rsidR="006224C2" w:rsidRPr="002172DD" w14:paraId="1C5A268F" w14:textId="77777777">
      <w:pPr>
        <w:tabs>
          <w:tab w:val="left" w:pos="567"/>
        </w:tabs>
        <w:ind w:left="540" w:hanging="540"/>
        <w:rPr>
          <w:sz w:val="22"/>
          <w:szCs w:val="22"/>
        </w:rPr>
      </w:pPr>
    </w:p>
    <w:p w:rsidR="006224C2" w:rsidRPr="002172DD" w14:paraId="4985EAC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172DD">
        <w:rPr>
          <w:b/>
          <w:bCs/>
          <w:sz w:val="22"/>
          <w:szCs w:val="22"/>
        </w:rPr>
        <w:t>13.</w:t>
      </w:r>
      <w:r w:rsidRPr="002172DD">
        <w:rPr>
          <w:b/>
          <w:bCs/>
          <w:sz w:val="22"/>
          <w:szCs w:val="22"/>
        </w:rPr>
        <w:tab/>
        <w:t>NUMERO DI LOTTO</w:t>
      </w:r>
    </w:p>
    <w:p w:rsidR="006224C2" w:rsidRPr="002172DD" w14:paraId="318CC24A" w14:textId="77777777">
      <w:pPr>
        <w:tabs>
          <w:tab w:val="left" w:pos="567"/>
        </w:tabs>
        <w:ind w:left="540" w:hanging="540"/>
        <w:rPr>
          <w:sz w:val="22"/>
          <w:szCs w:val="22"/>
        </w:rPr>
      </w:pPr>
    </w:p>
    <w:p w:rsidR="006224C2" w:rsidRPr="00295E71" w14:paraId="00065D3D" w14:textId="77777777">
      <w:pPr>
        <w:tabs>
          <w:tab w:val="left" w:pos="567"/>
        </w:tabs>
        <w:ind w:left="540" w:hanging="540"/>
        <w:rPr>
          <w:sz w:val="22"/>
          <w:szCs w:val="22"/>
        </w:rPr>
      </w:pPr>
      <w:r w:rsidRPr="00295E71">
        <w:rPr>
          <w:sz w:val="22"/>
          <w:szCs w:val="22"/>
        </w:rPr>
        <w:t xml:space="preserve">Lotto </w:t>
      </w:r>
    </w:p>
    <w:p w:rsidR="006224C2" w:rsidRPr="00295E71" w14:paraId="0F33A429" w14:textId="77777777">
      <w:pPr>
        <w:tabs>
          <w:tab w:val="left" w:pos="567"/>
        </w:tabs>
        <w:ind w:left="540" w:hanging="540"/>
        <w:rPr>
          <w:sz w:val="22"/>
          <w:szCs w:val="22"/>
        </w:rPr>
      </w:pPr>
    </w:p>
    <w:p w:rsidR="006224C2" w:rsidRPr="00295E71" w14:paraId="4B2D78CF" w14:textId="77777777">
      <w:pPr>
        <w:tabs>
          <w:tab w:val="left" w:pos="567"/>
        </w:tabs>
        <w:ind w:left="540" w:hanging="540"/>
        <w:rPr>
          <w:sz w:val="22"/>
          <w:szCs w:val="22"/>
        </w:rPr>
      </w:pPr>
    </w:p>
    <w:p w:rsidR="006224C2" w:rsidRPr="00295E71" w14:paraId="2A80825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14.</w:t>
      </w:r>
      <w:r w:rsidRPr="00295E71">
        <w:rPr>
          <w:b/>
          <w:bCs/>
          <w:sz w:val="22"/>
          <w:szCs w:val="22"/>
        </w:rPr>
        <w:tab/>
        <w:t>CONDIZIONE GENERALE DI FORNITURA</w:t>
      </w:r>
    </w:p>
    <w:p w:rsidR="006224C2" w:rsidRPr="00295E71" w14:paraId="1F1650BA" w14:textId="77777777">
      <w:pPr>
        <w:tabs>
          <w:tab w:val="left" w:pos="567"/>
        </w:tabs>
        <w:ind w:left="540" w:hanging="540"/>
        <w:rPr>
          <w:sz w:val="22"/>
          <w:szCs w:val="22"/>
        </w:rPr>
      </w:pPr>
    </w:p>
    <w:p w:rsidR="006224C2" w:rsidRPr="00295E71" w14:paraId="3623BDB9" w14:textId="77777777">
      <w:pPr>
        <w:tabs>
          <w:tab w:val="left" w:pos="567"/>
        </w:tabs>
        <w:ind w:left="540" w:hanging="540"/>
        <w:rPr>
          <w:sz w:val="22"/>
          <w:szCs w:val="22"/>
        </w:rPr>
      </w:pPr>
    </w:p>
    <w:p w:rsidR="006224C2" w:rsidRPr="00295E71" w14:paraId="143226F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15.</w:t>
      </w:r>
      <w:r w:rsidRPr="00295E71">
        <w:rPr>
          <w:b/>
          <w:bCs/>
          <w:sz w:val="22"/>
          <w:szCs w:val="22"/>
        </w:rPr>
        <w:tab/>
        <w:t>ISTRUZIONI PER L’USO</w:t>
      </w:r>
    </w:p>
    <w:p w:rsidR="006224C2" w:rsidRPr="00295E71" w14:paraId="630EAE5F" w14:textId="77777777">
      <w:pPr>
        <w:tabs>
          <w:tab w:val="left" w:pos="567"/>
        </w:tabs>
        <w:ind w:left="540" w:hanging="540"/>
        <w:rPr>
          <w:bCs/>
          <w:sz w:val="22"/>
          <w:szCs w:val="22"/>
        </w:rPr>
      </w:pPr>
    </w:p>
    <w:p w:rsidR="006224C2" w:rsidRPr="00295E71" w14:paraId="45445305" w14:textId="77777777">
      <w:pPr>
        <w:tabs>
          <w:tab w:val="left" w:pos="567"/>
        </w:tabs>
        <w:ind w:left="540" w:hanging="540"/>
        <w:rPr>
          <w:bCs/>
          <w:sz w:val="22"/>
          <w:szCs w:val="22"/>
        </w:rPr>
      </w:pPr>
    </w:p>
    <w:p w:rsidR="006224C2" w:rsidRPr="00295E71" w14:paraId="6931BED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16.</w:t>
      </w:r>
      <w:r w:rsidRPr="00295E71">
        <w:rPr>
          <w:b/>
          <w:bCs/>
          <w:sz w:val="22"/>
          <w:szCs w:val="22"/>
        </w:rPr>
        <w:tab/>
        <w:t>INFORMAZIONI IN BRAILLE</w:t>
      </w:r>
    </w:p>
    <w:p w:rsidR="006224C2" w:rsidRPr="00295E71" w14:paraId="3473C1CF" w14:textId="77777777">
      <w:pPr>
        <w:tabs>
          <w:tab w:val="left" w:pos="567"/>
        </w:tabs>
        <w:ind w:left="540" w:hanging="540"/>
        <w:rPr>
          <w:bCs/>
          <w:sz w:val="22"/>
          <w:szCs w:val="22"/>
        </w:rPr>
      </w:pPr>
    </w:p>
    <w:p w:rsidR="006224C2" w:rsidRPr="00295E71" w14:paraId="57DEEB67" w14:textId="77777777">
      <w:pPr>
        <w:tabs>
          <w:tab w:val="left" w:pos="567"/>
        </w:tabs>
        <w:ind w:left="540" w:hanging="540"/>
        <w:rPr>
          <w:sz w:val="22"/>
          <w:szCs w:val="22"/>
        </w:rPr>
      </w:pPr>
      <w:r w:rsidRPr="00295E71">
        <w:rPr>
          <w:sz w:val="22"/>
          <w:szCs w:val="22"/>
        </w:rPr>
        <w:t>Humira 40 mg</w:t>
      </w:r>
    </w:p>
    <w:p w:rsidR="006224C2" w:rsidRPr="00295E71" w14:paraId="1DF9BA04" w14:textId="77777777">
      <w:pPr>
        <w:tabs>
          <w:tab w:val="left" w:pos="567"/>
        </w:tabs>
        <w:ind w:left="540" w:hanging="540"/>
        <w:rPr>
          <w:sz w:val="22"/>
          <w:szCs w:val="22"/>
          <w:u w:val="single"/>
        </w:rPr>
      </w:pPr>
    </w:p>
    <w:p w:rsidR="006224C2" w:rsidRPr="00295E71" w14:paraId="1061FF00" w14:textId="77777777">
      <w:pPr>
        <w:tabs>
          <w:tab w:val="left" w:pos="567"/>
        </w:tabs>
        <w:rPr>
          <w:sz w:val="22"/>
          <w:szCs w:val="22"/>
        </w:rPr>
      </w:pPr>
    </w:p>
    <w:p w:rsidR="006224C2" w:rsidRPr="00295E71" w14:paraId="1A806AC9" w14:textId="77777777">
      <w:pPr>
        <w:pStyle w:val="EMEAHeadingBoxedTitle"/>
        <w:ind w:left="0" w:firstLine="0"/>
        <w:rPr>
          <w:rFonts w:ascii="Times New Roman" w:hAnsi="Times New Roman"/>
          <w:b/>
          <w:bCs/>
          <w:szCs w:val="22"/>
          <w:lang w:val="it-IT"/>
        </w:rPr>
      </w:pPr>
      <w:r w:rsidRPr="00295E71">
        <w:rPr>
          <w:rFonts w:ascii="Times New Roman" w:hAnsi="Times New Roman"/>
          <w:b/>
          <w:bCs/>
          <w:szCs w:val="22"/>
          <w:lang w:val="it-IT"/>
        </w:rPr>
        <w:t xml:space="preserve">17. </w:t>
      </w:r>
      <w:r w:rsidRPr="00295E71">
        <w:rPr>
          <w:rFonts w:ascii="Times New Roman" w:hAnsi="Times New Roman"/>
          <w:b/>
          <w:bCs/>
          <w:szCs w:val="22"/>
          <w:lang w:val="it-IT"/>
        </w:rPr>
        <w:tab/>
        <w:t>IDENTIFICATivo UNICO – CODICE A BARRE bidimensionale</w:t>
      </w:r>
    </w:p>
    <w:p w:rsidR="006224C2" w:rsidRPr="00295E71" w14:paraId="4B8D54F2" w14:textId="77777777">
      <w:pPr>
        <w:rPr>
          <w:sz w:val="22"/>
          <w:szCs w:val="22"/>
        </w:rPr>
      </w:pPr>
    </w:p>
    <w:p w:rsidR="006224C2" w:rsidRPr="00295E71" w14:paraId="08009D09" w14:textId="77777777">
      <w:pPr>
        <w:rPr>
          <w:sz w:val="22"/>
          <w:szCs w:val="22"/>
          <w:shd w:val="clear" w:color="auto" w:fill="BFBFBF"/>
        </w:rPr>
      </w:pPr>
      <w:r w:rsidRPr="00295E71">
        <w:rPr>
          <w:sz w:val="22"/>
          <w:szCs w:val="22"/>
          <w:shd w:val="clear" w:color="auto" w:fill="BFBFBF"/>
        </w:rPr>
        <w:t>Codice a barre bidimensionale con identificativo unico incluso.</w:t>
      </w:r>
    </w:p>
    <w:p w:rsidR="006224C2" w:rsidRPr="00295E71" w14:paraId="1A9522EF" w14:textId="77777777">
      <w:pPr>
        <w:rPr>
          <w:sz w:val="22"/>
          <w:szCs w:val="22"/>
          <w:shd w:val="clear" w:color="auto" w:fill="BFBFBF"/>
        </w:rPr>
      </w:pPr>
    </w:p>
    <w:p w:rsidR="006224C2" w:rsidRPr="00295E71" w14:paraId="6669FB4C" w14:textId="77777777">
      <w:pPr>
        <w:rPr>
          <w:sz w:val="22"/>
          <w:szCs w:val="22"/>
          <w:shd w:val="clear" w:color="auto" w:fill="BFBFBF"/>
        </w:rPr>
      </w:pPr>
    </w:p>
    <w:p w:rsidR="006224C2" w:rsidRPr="00295E71" w14:paraId="0ADA6F99" w14:textId="77777777">
      <w:pPr>
        <w:pStyle w:val="EMEAHeadingBoxedTitle"/>
        <w:keepNext/>
        <w:ind w:left="0" w:firstLine="0"/>
        <w:rPr>
          <w:rFonts w:ascii="Times New Roman" w:hAnsi="Times New Roman"/>
          <w:szCs w:val="22"/>
          <w:lang w:val="it-IT"/>
        </w:rPr>
      </w:pPr>
      <w:r w:rsidRPr="00295E71">
        <w:rPr>
          <w:rFonts w:ascii="Times New Roman" w:hAnsi="Times New Roman"/>
          <w:b/>
          <w:bCs/>
          <w:szCs w:val="22"/>
          <w:lang w:val="it-IT"/>
        </w:rPr>
        <w:t xml:space="preserve">18. </w:t>
      </w:r>
      <w:r w:rsidRPr="00295E71">
        <w:rPr>
          <w:rFonts w:ascii="Times New Roman" w:hAnsi="Times New Roman"/>
          <w:b/>
          <w:bCs/>
          <w:szCs w:val="22"/>
          <w:lang w:val="it-IT"/>
        </w:rPr>
        <w:tab/>
        <w:t>IDENTIFICATivo UNICO – dati leggibili</w:t>
      </w:r>
    </w:p>
    <w:p w:rsidR="006224C2" w:rsidRPr="00295E71" w14:paraId="78F80404" w14:textId="77777777">
      <w:pPr>
        <w:keepNext/>
        <w:ind w:left="540" w:hanging="540"/>
        <w:rPr>
          <w:sz w:val="22"/>
          <w:szCs w:val="22"/>
        </w:rPr>
      </w:pPr>
    </w:p>
    <w:p w:rsidR="006224C2" w:rsidRPr="00295E71" w14:paraId="5DBEF993" w14:textId="77777777">
      <w:pPr>
        <w:keepNext/>
        <w:ind w:left="540" w:hanging="540"/>
        <w:rPr>
          <w:sz w:val="22"/>
          <w:szCs w:val="22"/>
        </w:rPr>
      </w:pPr>
      <w:r w:rsidRPr="00295E71">
        <w:rPr>
          <w:sz w:val="22"/>
          <w:szCs w:val="22"/>
        </w:rPr>
        <w:t>PC</w:t>
      </w:r>
    </w:p>
    <w:p w:rsidR="006224C2" w:rsidRPr="00295E71" w14:paraId="02795A71" w14:textId="77777777">
      <w:pPr>
        <w:keepNext/>
        <w:ind w:left="540" w:hanging="540"/>
        <w:rPr>
          <w:sz w:val="22"/>
          <w:szCs w:val="22"/>
        </w:rPr>
      </w:pPr>
      <w:r w:rsidRPr="00295E71">
        <w:rPr>
          <w:sz w:val="22"/>
          <w:szCs w:val="22"/>
        </w:rPr>
        <w:t>SN</w:t>
      </w:r>
    </w:p>
    <w:p w:rsidR="006224C2" w:rsidRPr="00295E71" w14:paraId="048F52F5" w14:textId="77777777">
      <w:pPr>
        <w:keepNext/>
        <w:ind w:left="540" w:hanging="540"/>
        <w:rPr>
          <w:sz w:val="22"/>
          <w:szCs w:val="22"/>
        </w:rPr>
      </w:pPr>
      <w:r w:rsidRPr="0020624D">
        <w:rPr>
          <w:sz w:val="22"/>
          <w:szCs w:val="22"/>
          <w:highlight w:val="lightGray"/>
        </w:rPr>
        <w:t>NN</w:t>
      </w:r>
    </w:p>
    <w:p w:rsidR="006224C2" w:rsidRPr="00295E71" w14:paraId="096E3370" w14:textId="77777777">
      <w:pPr>
        <w:pStyle w:val="Heading3"/>
        <w:keepNext w:val="0"/>
        <w:tabs>
          <w:tab w:val="left" w:pos="567"/>
        </w:tabs>
        <w:ind w:left="540" w:hanging="540"/>
      </w:pPr>
      <w:r w:rsidRPr="00295E71">
        <w:br w:type="page"/>
      </w:r>
    </w:p>
    <w:p w:rsidR="006224C2" w:rsidRPr="00295E71" w14:paraId="63B7FD28" w14:textId="77777777">
      <w:pPr>
        <w:pStyle w:val="Heading3"/>
        <w:keepNext w:val="0"/>
        <w:tabs>
          <w:tab w:val="left" w:pos="567"/>
        </w:tabs>
        <w:ind w:left="540" w:hanging="540"/>
      </w:pPr>
    </w:p>
    <w:p w:rsidR="006224C2" w:rsidRPr="00295E71" w14:paraId="2477E24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 xml:space="preserve">INFORMAZIONI MINIME DA APPORRE SU BLISTER O STRIP </w:t>
      </w:r>
    </w:p>
    <w:p w:rsidR="006224C2" w:rsidRPr="00295E71" w14:paraId="2631265F" w14:textId="77777777">
      <w:pPr>
        <w:pBdr>
          <w:top w:val="single" w:sz="4" w:space="1" w:color="auto"/>
          <w:left w:val="single" w:sz="4" w:space="4" w:color="auto"/>
          <w:bottom w:val="single" w:sz="4" w:space="1" w:color="auto"/>
          <w:right w:val="single" w:sz="4" w:space="4" w:color="auto"/>
        </w:pBdr>
        <w:tabs>
          <w:tab w:val="left" w:pos="567"/>
        </w:tabs>
        <w:ind w:left="540" w:hanging="540"/>
        <w:jc w:val="both"/>
        <w:rPr>
          <w:b/>
          <w:bCs/>
          <w:caps/>
          <w:sz w:val="22"/>
          <w:szCs w:val="22"/>
        </w:rPr>
      </w:pPr>
    </w:p>
    <w:p w:rsidR="006224C2" w:rsidRPr="00295E71" w14:paraId="4699DD28" w14:textId="77777777">
      <w:pPr>
        <w:pStyle w:val="Heading3"/>
        <w:keepNext w:val="0"/>
        <w:pBdr>
          <w:top w:val="single" w:sz="4" w:space="1" w:color="auto"/>
          <w:left w:val="single" w:sz="4" w:space="4" w:color="auto"/>
          <w:bottom w:val="single" w:sz="4" w:space="1" w:color="auto"/>
          <w:right w:val="single" w:sz="4" w:space="4" w:color="auto"/>
        </w:pBdr>
        <w:tabs>
          <w:tab w:val="left" w:pos="567"/>
        </w:tabs>
        <w:ind w:left="540" w:hanging="540"/>
        <w:rPr>
          <w:b/>
          <w:bCs/>
          <w:u w:val="none"/>
        </w:rPr>
      </w:pPr>
      <w:r w:rsidRPr="00295E71">
        <w:rPr>
          <w:b/>
          <w:bCs/>
          <w:caps/>
          <w:u w:val="none"/>
        </w:rPr>
        <w:t>Testo da apporre sul retro della confezione</w:t>
      </w:r>
    </w:p>
    <w:p w:rsidR="006224C2" w:rsidRPr="00295E71" w14:paraId="17C62EC9" w14:textId="77777777">
      <w:pPr>
        <w:tabs>
          <w:tab w:val="left" w:pos="567"/>
        </w:tabs>
        <w:ind w:left="540" w:hanging="540"/>
        <w:jc w:val="both"/>
        <w:rPr>
          <w:sz w:val="22"/>
          <w:szCs w:val="22"/>
        </w:rPr>
      </w:pPr>
    </w:p>
    <w:p w:rsidR="006224C2" w:rsidRPr="00295E71" w14:paraId="28FD9409" w14:textId="77777777">
      <w:pPr>
        <w:tabs>
          <w:tab w:val="left" w:pos="567"/>
        </w:tabs>
        <w:ind w:left="540" w:hanging="540"/>
        <w:jc w:val="both"/>
        <w:rPr>
          <w:sz w:val="22"/>
          <w:szCs w:val="22"/>
        </w:rPr>
      </w:pPr>
    </w:p>
    <w:p w:rsidR="006224C2" w:rsidRPr="00295E71" w14:paraId="2324EDE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w:t>
      </w:r>
      <w:r w:rsidRPr="00295E71">
        <w:rPr>
          <w:b/>
          <w:bCs/>
          <w:sz w:val="22"/>
          <w:szCs w:val="22"/>
        </w:rPr>
        <w:tab/>
        <w:t>DENOMINAZIONE DEL MEDICINALE</w:t>
      </w:r>
    </w:p>
    <w:p w:rsidR="006224C2" w:rsidRPr="00295E71" w14:paraId="5AC72EC0" w14:textId="77777777">
      <w:pPr>
        <w:tabs>
          <w:tab w:val="left" w:pos="567"/>
        </w:tabs>
        <w:ind w:left="540" w:hanging="540"/>
        <w:jc w:val="both"/>
        <w:rPr>
          <w:sz w:val="22"/>
          <w:szCs w:val="22"/>
        </w:rPr>
      </w:pPr>
    </w:p>
    <w:p w:rsidR="006224C2" w:rsidRPr="00295E71" w14:paraId="26595D4F" w14:textId="77777777">
      <w:pPr>
        <w:tabs>
          <w:tab w:val="left" w:pos="567"/>
        </w:tabs>
        <w:ind w:left="540" w:hanging="540"/>
        <w:jc w:val="both"/>
        <w:rPr>
          <w:sz w:val="22"/>
          <w:szCs w:val="22"/>
        </w:rPr>
      </w:pPr>
      <w:r w:rsidRPr="00295E71">
        <w:rPr>
          <w:sz w:val="22"/>
          <w:szCs w:val="22"/>
        </w:rPr>
        <w:t>Humira 40 mg soluzione iniettabile in siringa pre-riempita</w:t>
      </w:r>
    </w:p>
    <w:p w:rsidR="006224C2" w:rsidRPr="00295E71" w14:paraId="4D5D6635" w14:textId="77777777">
      <w:pPr>
        <w:tabs>
          <w:tab w:val="left" w:pos="567"/>
        </w:tabs>
        <w:ind w:left="540" w:hanging="540"/>
        <w:jc w:val="both"/>
        <w:rPr>
          <w:sz w:val="22"/>
          <w:szCs w:val="22"/>
        </w:rPr>
      </w:pPr>
      <w:r w:rsidRPr="00295E71">
        <w:rPr>
          <w:sz w:val="22"/>
          <w:szCs w:val="22"/>
        </w:rPr>
        <w:t>adalimumab</w:t>
      </w:r>
    </w:p>
    <w:p w:rsidR="006224C2" w:rsidRPr="00295E71" w14:paraId="1326D62C" w14:textId="77777777">
      <w:pPr>
        <w:tabs>
          <w:tab w:val="left" w:pos="567"/>
        </w:tabs>
        <w:ind w:left="540" w:hanging="540"/>
        <w:jc w:val="both"/>
        <w:rPr>
          <w:sz w:val="22"/>
          <w:szCs w:val="22"/>
        </w:rPr>
      </w:pPr>
    </w:p>
    <w:p w:rsidR="006224C2" w:rsidRPr="00295E71" w14:paraId="53F3246F" w14:textId="77777777">
      <w:pPr>
        <w:tabs>
          <w:tab w:val="left" w:pos="567"/>
        </w:tabs>
        <w:ind w:left="540" w:hanging="540"/>
        <w:jc w:val="both"/>
        <w:rPr>
          <w:sz w:val="22"/>
          <w:szCs w:val="22"/>
        </w:rPr>
      </w:pPr>
    </w:p>
    <w:p w:rsidR="006224C2" w:rsidRPr="00295E71" w14:paraId="31C996F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2.</w:t>
      </w:r>
      <w:r w:rsidRPr="00295E71">
        <w:rPr>
          <w:b/>
          <w:bCs/>
          <w:sz w:val="22"/>
          <w:szCs w:val="22"/>
        </w:rPr>
        <w:tab/>
        <w:t xml:space="preserve">NOME DEL TITOLARE DELL’AUTORIZZAZIONE ALL’IMMISSIONE IN COMMERCIO </w:t>
      </w:r>
    </w:p>
    <w:p w:rsidR="006224C2" w:rsidRPr="00295E71" w14:paraId="1DB2012A" w14:textId="77777777">
      <w:pPr>
        <w:tabs>
          <w:tab w:val="left" w:pos="567"/>
        </w:tabs>
        <w:ind w:left="540" w:hanging="540"/>
        <w:jc w:val="both"/>
        <w:rPr>
          <w:sz w:val="22"/>
          <w:szCs w:val="22"/>
        </w:rPr>
      </w:pPr>
    </w:p>
    <w:p w:rsidR="006224C2" w:rsidRPr="00295E71" w14:paraId="50E363E6" w14:textId="77777777">
      <w:pPr>
        <w:tabs>
          <w:tab w:val="left" w:pos="567"/>
        </w:tabs>
        <w:ind w:left="540" w:hanging="540"/>
        <w:jc w:val="both"/>
        <w:rPr>
          <w:sz w:val="22"/>
          <w:szCs w:val="22"/>
        </w:rPr>
      </w:pPr>
      <w:r w:rsidRPr="00295E71">
        <w:rPr>
          <w:sz w:val="22"/>
          <w:szCs w:val="22"/>
        </w:rPr>
        <w:t xml:space="preserve">AbbVie </w:t>
      </w:r>
      <w:r w:rsidRPr="00295E71" w:rsidR="002B142A">
        <w:rPr>
          <w:sz w:val="22"/>
          <w:szCs w:val="22"/>
          <w:highlight w:val="lightGray"/>
        </w:rPr>
        <w:t>(logo)</w:t>
      </w:r>
    </w:p>
    <w:p w:rsidR="006224C2" w:rsidRPr="00295E71" w14:paraId="3E7C5EDF" w14:textId="77777777">
      <w:pPr>
        <w:tabs>
          <w:tab w:val="left" w:pos="567"/>
        </w:tabs>
        <w:ind w:left="540" w:hanging="540"/>
        <w:jc w:val="both"/>
        <w:rPr>
          <w:sz w:val="22"/>
          <w:szCs w:val="22"/>
        </w:rPr>
      </w:pPr>
    </w:p>
    <w:p w:rsidR="006224C2" w:rsidRPr="00295E71" w14:paraId="44507591" w14:textId="77777777">
      <w:pPr>
        <w:pStyle w:val="EndnoteText"/>
        <w:ind w:left="540" w:hanging="540"/>
        <w:jc w:val="both"/>
        <w:rPr>
          <w:lang w:val="it-IT"/>
        </w:rPr>
      </w:pPr>
    </w:p>
    <w:p w:rsidR="006224C2" w:rsidRPr="00295E71" w14:paraId="5DBB0C5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3.</w:t>
      </w:r>
      <w:r w:rsidRPr="00295E71">
        <w:rPr>
          <w:b/>
          <w:bCs/>
          <w:sz w:val="22"/>
          <w:szCs w:val="22"/>
        </w:rPr>
        <w:tab/>
        <w:t>DATA DI SCADENZA</w:t>
      </w:r>
    </w:p>
    <w:p w:rsidR="006224C2" w:rsidRPr="00295E71" w14:paraId="6BD68A66" w14:textId="77777777">
      <w:pPr>
        <w:tabs>
          <w:tab w:val="left" w:pos="567"/>
        </w:tabs>
        <w:ind w:left="540" w:hanging="540"/>
        <w:jc w:val="both"/>
        <w:rPr>
          <w:sz w:val="22"/>
          <w:szCs w:val="22"/>
        </w:rPr>
      </w:pPr>
    </w:p>
    <w:p w:rsidR="006224C2" w:rsidRPr="00295E71" w14:paraId="20886EDB" w14:textId="77777777">
      <w:pPr>
        <w:tabs>
          <w:tab w:val="left" w:pos="567"/>
        </w:tabs>
        <w:ind w:left="540" w:hanging="540"/>
        <w:jc w:val="both"/>
        <w:rPr>
          <w:sz w:val="22"/>
          <w:szCs w:val="22"/>
        </w:rPr>
      </w:pPr>
      <w:r w:rsidRPr="00295E71">
        <w:rPr>
          <w:sz w:val="22"/>
          <w:szCs w:val="22"/>
        </w:rPr>
        <w:t xml:space="preserve">Scad. </w:t>
      </w:r>
    </w:p>
    <w:p w:rsidR="006224C2" w:rsidRPr="00295E71" w14:paraId="2D118E84" w14:textId="77777777">
      <w:pPr>
        <w:tabs>
          <w:tab w:val="left" w:pos="567"/>
        </w:tabs>
        <w:ind w:left="540" w:hanging="540"/>
        <w:jc w:val="both"/>
        <w:rPr>
          <w:sz w:val="22"/>
          <w:szCs w:val="22"/>
        </w:rPr>
      </w:pPr>
    </w:p>
    <w:p w:rsidR="006224C2" w:rsidRPr="00295E71" w14:paraId="15953852" w14:textId="77777777">
      <w:pPr>
        <w:tabs>
          <w:tab w:val="left" w:pos="567"/>
        </w:tabs>
        <w:ind w:left="540" w:hanging="540"/>
        <w:jc w:val="both"/>
        <w:rPr>
          <w:sz w:val="22"/>
          <w:szCs w:val="22"/>
        </w:rPr>
      </w:pPr>
    </w:p>
    <w:p w:rsidR="006224C2" w:rsidRPr="00295E71" w14:paraId="189E578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4.</w:t>
      </w:r>
      <w:r w:rsidRPr="00295E71">
        <w:rPr>
          <w:b/>
          <w:bCs/>
          <w:sz w:val="22"/>
          <w:szCs w:val="22"/>
        </w:rPr>
        <w:tab/>
        <w:t>NUMERO DI LOTTO</w:t>
      </w:r>
    </w:p>
    <w:p w:rsidR="006224C2" w:rsidRPr="00295E71" w14:paraId="0D901F80" w14:textId="77777777">
      <w:pPr>
        <w:tabs>
          <w:tab w:val="left" w:pos="567"/>
        </w:tabs>
        <w:ind w:left="540" w:hanging="540"/>
        <w:jc w:val="both"/>
        <w:rPr>
          <w:sz w:val="22"/>
          <w:szCs w:val="22"/>
        </w:rPr>
      </w:pPr>
    </w:p>
    <w:p w:rsidR="006224C2" w:rsidRPr="00295E71" w14:paraId="6D151BFB" w14:textId="77777777">
      <w:pPr>
        <w:tabs>
          <w:tab w:val="left" w:pos="567"/>
        </w:tabs>
        <w:ind w:left="540" w:hanging="540"/>
        <w:jc w:val="both"/>
        <w:rPr>
          <w:sz w:val="22"/>
          <w:szCs w:val="22"/>
        </w:rPr>
      </w:pPr>
      <w:r w:rsidRPr="00295E71">
        <w:rPr>
          <w:sz w:val="22"/>
          <w:szCs w:val="22"/>
        </w:rPr>
        <w:t xml:space="preserve">Lotto </w:t>
      </w:r>
    </w:p>
    <w:p w:rsidR="006224C2" w:rsidRPr="00295E71" w14:paraId="5DDF6C03" w14:textId="77777777">
      <w:pPr>
        <w:tabs>
          <w:tab w:val="left" w:pos="567"/>
        </w:tabs>
        <w:ind w:left="540" w:hanging="540"/>
        <w:rPr>
          <w:bCs/>
          <w:sz w:val="22"/>
          <w:szCs w:val="22"/>
        </w:rPr>
      </w:pPr>
    </w:p>
    <w:p w:rsidR="006224C2" w:rsidRPr="00295E71" w14:paraId="5F3F846E" w14:textId="77777777">
      <w:pPr>
        <w:tabs>
          <w:tab w:val="left" w:pos="567"/>
        </w:tabs>
        <w:ind w:left="540" w:hanging="540"/>
        <w:rPr>
          <w:bCs/>
          <w:sz w:val="22"/>
          <w:szCs w:val="22"/>
        </w:rPr>
      </w:pPr>
    </w:p>
    <w:p w:rsidR="006224C2" w:rsidRPr="00295E71" w14:paraId="22C86BE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5.</w:t>
      </w:r>
      <w:r w:rsidRPr="00295E71">
        <w:rPr>
          <w:b/>
          <w:bCs/>
          <w:sz w:val="22"/>
          <w:szCs w:val="22"/>
        </w:rPr>
        <w:tab/>
        <w:t>ALTRO</w:t>
      </w:r>
    </w:p>
    <w:p w:rsidR="006224C2" w:rsidRPr="00295E71" w14:paraId="7DDFF44C" w14:textId="77777777">
      <w:pPr>
        <w:tabs>
          <w:tab w:val="left" w:pos="567"/>
        </w:tabs>
        <w:ind w:left="540" w:hanging="540"/>
        <w:rPr>
          <w:bCs/>
          <w:sz w:val="22"/>
          <w:szCs w:val="22"/>
        </w:rPr>
      </w:pPr>
    </w:p>
    <w:p w:rsidR="006224C2" w:rsidRPr="00295E71" w14:paraId="13AC0C16" w14:textId="77777777">
      <w:pPr>
        <w:tabs>
          <w:tab w:val="left" w:pos="567"/>
        </w:tabs>
        <w:ind w:left="540" w:hanging="540"/>
        <w:jc w:val="both"/>
        <w:rPr>
          <w:sz w:val="22"/>
          <w:szCs w:val="22"/>
        </w:rPr>
      </w:pPr>
      <w:r w:rsidRPr="00295E71">
        <w:rPr>
          <w:sz w:val="22"/>
          <w:szCs w:val="22"/>
        </w:rPr>
        <w:t>Vedere il foglio illustrativo per le informazioni sulle condizioni di conservazione.</w:t>
      </w:r>
    </w:p>
    <w:p w:rsidR="006224C2" w:rsidRPr="00295E71" w14:paraId="4A5860DD" w14:textId="77777777">
      <w:pPr>
        <w:tabs>
          <w:tab w:val="left" w:pos="567"/>
        </w:tabs>
        <w:ind w:left="540" w:hanging="540"/>
        <w:jc w:val="both"/>
        <w:rPr>
          <w:sz w:val="22"/>
          <w:szCs w:val="22"/>
        </w:rPr>
      </w:pPr>
    </w:p>
    <w:p w:rsidR="006224C2" w:rsidRPr="00295E71" w14:paraId="3B88D2F4" w14:textId="77777777">
      <w:pPr>
        <w:tabs>
          <w:tab w:val="left" w:pos="567"/>
        </w:tabs>
        <w:ind w:left="540" w:hanging="540"/>
        <w:jc w:val="both"/>
        <w:rPr>
          <w:sz w:val="22"/>
          <w:szCs w:val="22"/>
        </w:rPr>
      </w:pPr>
      <w:r w:rsidRPr="00295E71">
        <w:rPr>
          <w:sz w:val="22"/>
          <w:szCs w:val="22"/>
        </w:rPr>
        <w:t>Esclusivamente monouso</w:t>
      </w:r>
      <w:r w:rsidRPr="00295E71" w:rsidR="00F64B4A">
        <w:rPr>
          <w:sz w:val="22"/>
          <w:szCs w:val="22"/>
        </w:rPr>
        <w:t>.</w:t>
      </w:r>
    </w:p>
    <w:p w:rsidR="0083611B" w:rsidRPr="00295E71" w14:paraId="0B11BE39" w14:textId="77777777">
      <w:pPr>
        <w:tabs>
          <w:tab w:val="left" w:pos="567"/>
        </w:tabs>
        <w:ind w:left="540" w:hanging="540"/>
        <w:jc w:val="both"/>
        <w:rPr>
          <w:sz w:val="22"/>
          <w:szCs w:val="22"/>
        </w:rPr>
      </w:pPr>
    </w:p>
    <w:p w:rsidR="0083611B" w14:paraId="42BB538B" w14:textId="77777777">
      <w:pPr>
        <w:tabs>
          <w:tab w:val="left" w:pos="567"/>
        </w:tabs>
        <w:ind w:left="540" w:hanging="540"/>
        <w:jc w:val="both"/>
        <w:rPr>
          <w:sz w:val="22"/>
          <w:szCs w:val="22"/>
        </w:rPr>
      </w:pPr>
      <w:r w:rsidRPr="00295E71">
        <w:rPr>
          <w:sz w:val="22"/>
          <w:szCs w:val="22"/>
        </w:rPr>
        <w:t>40 mg/0,4 ml</w:t>
      </w:r>
    </w:p>
    <w:p w:rsidR="00DA39F8" w14:paraId="2780D63C" w14:textId="77777777">
      <w:pPr>
        <w:tabs>
          <w:tab w:val="left" w:pos="567"/>
        </w:tabs>
        <w:ind w:left="540" w:hanging="540"/>
        <w:jc w:val="both"/>
        <w:rPr>
          <w:sz w:val="22"/>
          <w:szCs w:val="22"/>
        </w:rPr>
      </w:pPr>
    </w:p>
    <w:p w:rsidR="006224C2" w:rsidRPr="00295E71" w14:paraId="14A7945D" w14:textId="77777777">
      <w:pPr>
        <w:pStyle w:val="EndnoteText"/>
        <w:ind w:left="540" w:hanging="540"/>
        <w:rPr>
          <w:lang w:val="it-IT"/>
        </w:rPr>
      </w:pPr>
      <w:r w:rsidRPr="00295E71">
        <w:rPr>
          <w:lang w:val="it-IT"/>
        </w:rPr>
        <w:br w:type="page"/>
      </w:r>
    </w:p>
    <w:p w:rsidR="006224C2" w:rsidRPr="00295E71" w14:paraId="7BF38215" w14:textId="77777777">
      <w:pPr>
        <w:pBdr>
          <w:top w:val="single" w:sz="4" w:space="1" w:color="auto"/>
          <w:left w:val="single" w:sz="4" w:space="1" w:color="auto"/>
          <w:bottom w:val="single" w:sz="4" w:space="1" w:color="auto"/>
          <w:right w:val="single" w:sz="4" w:space="1" w:color="auto"/>
        </w:pBdr>
        <w:tabs>
          <w:tab w:val="left" w:pos="180"/>
        </w:tabs>
        <w:rPr>
          <w:b/>
          <w:bCs/>
          <w:sz w:val="22"/>
          <w:szCs w:val="22"/>
        </w:rPr>
      </w:pPr>
      <w:r w:rsidRPr="00295E71">
        <w:rPr>
          <w:b/>
          <w:bCs/>
          <w:sz w:val="22"/>
          <w:szCs w:val="22"/>
        </w:rPr>
        <w:t>INFORMAZIONI MINIME DA APPORRE SUI CONFEZIONAMENTI PRIMARI DI PICCOLE DIMENSIONI</w:t>
      </w:r>
    </w:p>
    <w:p w:rsidR="006224C2" w:rsidRPr="00295E71" w14:paraId="47D258B6" w14:textId="77777777">
      <w:pPr>
        <w:pBdr>
          <w:top w:val="single" w:sz="4" w:space="1" w:color="auto"/>
          <w:left w:val="single" w:sz="4" w:space="1" w:color="auto"/>
          <w:bottom w:val="single" w:sz="4" w:space="1" w:color="auto"/>
          <w:right w:val="single" w:sz="4" w:space="1" w:color="auto"/>
        </w:pBdr>
        <w:tabs>
          <w:tab w:val="left" w:pos="180"/>
        </w:tabs>
        <w:rPr>
          <w:b/>
          <w:bCs/>
          <w:caps/>
          <w:sz w:val="22"/>
          <w:szCs w:val="22"/>
        </w:rPr>
      </w:pPr>
    </w:p>
    <w:p w:rsidR="006224C2" w:rsidRPr="00295E71" w14:paraId="6BA22C56" w14:textId="77777777">
      <w:pPr>
        <w:pBdr>
          <w:top w:val="single" w:sz="4" w:space="1" w:color="auto"/>
          <w:left w:val="single" w:sz="4" w:space="1" w:color="auto"/>
          <w:bottom w:val="single" w:sz="4" w:space="1" w:color="auto"/>
          <w:right w:val="single" w:sz="4" w:space="1" w:color="auto"/>
        </w:pBdr>
        <w:tabs>
          <w:tab w:val="left" w:pos="567"/>
        </w:tabs>
        <w:ind w:left="540" w:hanging="540"/>
        <w:rPr>
          <w:b/>
          <w:bCs/>
          <w:sz w:val="22"/>
          <w:szCs w:val="22"/>
        </w:rPr>
      </w:pPr>
      <w:r w:rsidRPr="00295E71">
        <w:rPr>
          <w:b/>
          <w:bCs/>
          <w:caps/>
          <w:sz w:val="22"/>
          <w:szCs w:val="22"/>
        </w:rPr>
        <w:t>Etichetta da apporre sulla siringa</w:t>
      </w:r>
    </w:p>
    <w:p w:rsidR="006224C2" w:rsidRPr="00295E71" w14:paraId="478BC080" w14:textId="77777777">
      <w:pPr>
        <w:pStyle w:val="Index1"/>
        <w:tabs>
          <w:tab w:val="left" w:pos="567"/>
        </w:tabs>
        <w:spacing w:line="260" w:lineRule="exact"/>
        <w:ind w:left="540" w:hanging="540"/>
        <w:rPr>
          <w:lang w:val="it-IT"/>
        </w:rPr>
      </w:pPr>
    </w:p>
    <w:p w:rsidR="006224C2" w:rsidRPr="00295E71" w14:paraId="5764BFA5" w14:textId="77777777">
      <w:pPr>
        <w:tabs>
          <w:tab w:val="left" w:pos="567"/>
        </w:tabs>
        <w:ind w:left="540" w:hanging="540"/>
        <w:rPr>
          <w:b/>
          <w:bCs/>
          <w:sz w:val="22"/>
          <w:szCs w:val="22"/>
        </w:rPr>
      </w:pPr>
    </w:p>
    <w:p w:rsidR="006224C2" w:rsidRPr="00295E71" w14:paraId="4F19124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w:t>
      </w:r>
      <w:r w:rsidRPr="00295E71">
        <w:rPr>
          <w:b/>
          <w:bCs/>
          <w:sz w:val="22"/>
          <w:szCs w:val="22"/>
        </w:rPr>
        <w:tab/>
        <w:t>DENOMINAZIONE DEL MEDICINALE E VIA DI SOMMINISTRAZIONE</w:t>
      </w:r>
    </w:p>
    <w:p w:rsidR="006224C2" w:rsidRPr="00295E71" w14:paraId="0FDF18DE" w14:textId="77777777">
      <w:pPr>
        <w:tabs>
          <w:tab w:val="left" w:pos="567"/>
        </w:tabs>
        <w:ind w:left="540" w:hanging="540"/>
        <w:rPr>
          <w:sz w:val="22"/>
          <w:szCs w:val="22"/>
        </w:rPr>
      </w:pPr>
    </w:p>
    <w:p w:rsidR="006224C2" w:rsidRPr="00295E71" w14:paraId="7CC9C5C6" w14:textId="77777777">
      <w:pPr>
        <w:tabs>
          <w:tab w:val="left" w:pos="567"/>
        </w:tabs>
        <w:ind w:left="540" w:hanging="540"/>
        <w:rPr>
          <w:sz w:val="22"/>
          <w:szCs w:val="22"/>
        </w:rPr>
      </w:pPr>
      <w:r w:rsidRPr="00295E71">
        <w:rPr>
          <w:sz w:val="22"/>
          <w:szCs w:val="22"/>
        </w:rPr>
        <w:t>Humira 40 mg iniettabile</w:t>
      </w:r>
    </w:p>
    <w:p w:rsidR="006224C2" w:rsidRPr="00295E71" w14:paraId="63B547EB" w14:textId="77777777">
      <w:pPr>
        <w:tabs>
          <w:tab w:val="left" w:pos="567"/>
        </w:tabs>
        <w:ind w:left="540" w:hanging="540"/>
        <w:rPr>
          <w:sz w:val="22"/>
          <w:szCs w:val="22"/>
        </w:rPr>
      </w:pPr>
      <w:r w:rsidRPr="00295E71">
        <w:rPr>
          <w:sz w:val="22"/>
          <w:szCs w:val="22"/>
        </w:rPr>
        <w:t>adalimumab</w:t>
      </w:r>
    </w:p>
    <w:p w:rsidR="006224C2" w:rsidRPr="00295E71" w14:paraId="3C95007A" w14:textId="77777777">
      <w:pPr>
        <w:pStyle w:val="EndnoteText"/>
        <w:ind w:left="540" w:hanging="540"/>
        <w:rPr>
          <w:lang w:val="it-IT"/>
        </w:rPr>
      </w:pPr>
      <w:r w:rsidRPr="00295E71">
        <w:rPr>
          <w:lang w:val="it-IT"/>
        </w:rPr>
        <w:t>s.c.</w:t>
      </w:r>
    </w:p>
    <w:p w:rsidR="006224C2" w:rsidRPr="00295E71" w14:paraId="3B4016B2" w14:textId="77777777">
      <w:pPr>
        <w:tabs>
          <w:tab w:val="left" w:pos="567"/>
        </w:tabs>
        <w:ind w:left="540" w:hanging="540"/>
        <w:rPr>
          <w:b/>
          <w:bCs/>
          <w:sz w:val="22"/>
          <w:szCs w:val="22"/>
        </w:rPr>
      </w:pPr>
    </w:p>
    <w:p w:rsidR="006224C2" w:rsidRPr="00295E71" w14:paraId="24B3845B" w14:textId="77777777">
      <w:pPr>
        <w:tabs>
          <w:tab w:val="left" w:pos="567"/>
        </w:tabs>
        <w:ind w:left="540" w:hanging="540"/>
        <w:rPr>
          <w:b/>
          <w:bCs/>
          <w:sz w:val="22"/>
          <w:szCs w:val="22"/>
        </w:rPr>
      </w:pPr>
    </w:p>
    <w:p w:rsidR="006224C2" w:rsidRPr="00295E71" w14:paraId="15E95AC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2.</w:t>
      </w:r>
      <w:r w:rsidRPr="00295E71">
        <w:rPr>
          <w:b/>
          <w:bCs/>
          <w:sz w:val="22"/>
          <w:szCs w:val="22"/>
        </w:rPr>
        <w:tab/>
        <w:t>MODO DI SOMMINISTRAZIONE</w:t>
      </w:r>
    </w:p>
    <w:p w:rsidR="006224C2" w:rsidRPr="00295E71" w14:paraId="344CFF61" w14:textId="77777777">
      <w:pPr>
        <w:pStyle w:val="IndexHeading"/>
        <w:spacing w:line="240" w:lineRule="auto"/>
        <w:ind w:left="540" w:hanging="540"/>
        <w:rPr>
          <w:rFonts w:ascii="Times New Roman" w:hAnsi="Times New Roman" w:cs="Times New Roman"/>
          <w:lang w:val="it-IT"/>
        </w:rPr>
      </w:pPr>
    </w:p>
    <w:p w:rsidR="006224C2" w:rsidRPr="00295E71" w14:paraId="08EDF9B8" w14:textId="77777777">
      <w:pPr>
        <w:tabs>
          <w:tab w:val="left" w:pos="567"/>
        </w:tabs>
        <w:ind w:left="540" w:hanging="540"/>
        <w:rPr>
          <w:b/>
          <w:bCs/>
          <w:sz w:val="22"/>
          <w:szCs w:val="22"/>
        </w:rPr>
      </w:pPr>
    </w:p>
    <w:p w:rsidR="006224C2" w:rsidRPr="00295E71" w14:paraId="2C91B44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3.</w:t>
      </w:r>
      <w:r w:rsidRPr="00295E71">
        <w:rPr>
          <w:b/>
          <w:bCs/>
          <w:sz w:val="22"/>
          <w:szCs w:val="22"/>
        </w:rPr>
        <w:tab/>
        <w:t>DATA DI SCADENZA</w:t>
      </w:r>
    </w:p>
    <w:p w:rsidR="006224C2" w:rsidRPr="00295E71" w14:paraId="6CBDD69D" w14:textId="77777777">
      <w:pPr>
        <w:tabs>
          <w:tab w:val="left" w:pos="567"/>
        </w:tabs>
        <w:ind w:left="540" w:hanging="540"/>
        <w:rPr>
          <w:sz w:val="22"/>
          <w:szCs w:val="22"/>
        </w:rPr>
      </w:pPr>
    </w:p>
    <w:p w:rsidR="006224C2" w:rsidRPr="00295E71" w14:paraId="49DF4889" w14:textId="77777777">
      <w:pPr>
        <w:tabs>
          <w:tab w:val="left" w:pos="567"/>
        </w:tabs>
        <w:ind w:left="540" w:hanging="540"/>
        <w:rPr>
          <w:sz w:val="22"/>
          <w:szCs w:val="22"/>
        </w:rPr>
      </w:pPr>
      <w:r w:rsidRPr="00295E71">
        <w:rPr>
          <w:sz w:val="22"/>
          <w:szCs w:val="22"/>
        </w:rPr>
        <w:t>EXP</w:t>
      </w:r>
    </w:p>
    <w:p w:rsidR="006224C2" w:rsidRPr="00295E71" w14:paraId="15EE8138" w14:textId="77777777">
      <w:pPr>
        <w:tabs>
          <w:tab w:val="left" w:pos="567"/>
        </w:tabs>
        <w:ind w:left="540" w:hanging="540"/>
        <w:rPr>
          <w:b/>
          <w:bCs/>
          <w:sz w:val="22"/>
          <w:szCs w:val="22"/>
        </w:rPr>
      </w:pPr>
    </w:p>
    <w:p w:rsidR="006224C2" w:rsidRPr="00295E71" w14:paraId="79E005D3" w14:textId="77777777">
      <w:pPr>
        <w:tabs>
          <w:tab w:val="left" w:pos="567"/>
        </w:tabs>
        <w:ind w:left="540" w:hanging="540"/>
        <w:rPr>
          <w:sz w:val="22"/>
          <w:szCs w:val="22"/>
        </w:rPr>
      </w:pPr>
    </w:p>
    <w:p w:rsidR="006224C2" w:rsidRPr="00295E71" w14:paraId="224C709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4.</w:t>
      </w:r>
      <w:r w:rsidRPr="00295E71">
        <w:rPr>
          <w:b/>
          <w:bCs/>
          <w:sz w:val="22"/>
          <w:szCs w:val="22"/>
        </w:rPr>
        <w:tab/>
        <w:t>NUMERO DI LOTTO</w:t>
      </w:r>
    </w:p>
    <w:p w:rsidR="006224C2" w:rsidRPr="00295E71" w14:paraId="6988B503" w14:textId="77777777">
      <w:pPr>
        <w:tabs>
          <w:tab w:val="left" w:pos="567"/>
        </w:tabs>
        <w:ind w:left="540" w:hanging="540"/>
        <w:rPr>
          <w:sz w:val="22"/>
          <w:szCs w:val="22"/>
        </w:rPr>
      </w:pPr>
    </w:p>
    <w:p w:rsidR="006224C2" w:rsidRPr="00295E71" w14:paraId="3C95119A" w14:textId="77777777">
      <w:pPr>
        <w:tabs>
          <w:tab w:val="left" w:pos="567"/>
        </w:tabs>
        <w:ind w:left="540" w:hanging="540"/>
        <w:rPr>
          <w:sz w:val="22"/>
          <w:szCs w:val="22"/>
        </w:rPr>
      </w:pPr>
      <w:r w:rsidRPr="00295E71">
        <w:rPr>
          <w:sz w:val="22"/>
          <w:szCs w:val="22"/>
        </w:rPr>
        <w:t xml:space="preserve">Lot </w:t>
      </w:r>
    </w:p>
    <w:p w:rsidR="006224C2" w:rsidRPr="00295E71" w14:paraId="3DD10ECC" w14:textId="77777777">
      <w:pPr>
        <w:tabs>
          <w:tab w:val="left" w:pos="567"/>
        </w:tabs>
        <w:ind w:left="540" w:right="113" w:hanging="540"/>
        <w:rPr>
          <w:sz w:val="22"/>
          <w:szCs w:val="22"/>
        </w:rPr>
      </w:pPr>
    </w:p>
    <w:p w:rsidR="006224C2" w:rsidRPr="00295E71" w14:paraId="18317763" w14:textId="77777777">
      <w:pPr>
        <w:tabs>
          <w:tab w:val="left" w:pos="567"/>
        </w:tabs>
        <w:ind w:left="540" w:right="113" w:hanging="540"/>
        <w:rPr>
          <w:sz w:val="22"/>
          <w:szCs w:val="22"/>
        </w:rPr>
      </w:pPr>
    </w:p>
    <w:p w:rsidR="006224C2" w:rsidRPr="00295E71" w14:paraId="3CBDCB2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5.</w:t>
      </w:r>
      <w:r w:rsidRPr="00295E71">
        <w:rPr>
          <w:b/>
          <w:bCs/>
          <w:sz w:val="22"/>
          <w:szCs w:val="22"/>
        </w:rPr>
        <w:tab/>
        <w:t>CONTENUTO IN PESO, VOLUME O UNITA’</w:t>
      </w:r>
    </w:p>
    <w:p w:rsidR="006224C2" w:rsidRPr="00295E71" w14:paraId="5828A915" w14:textId="77777777">
      <w:pPr>
        <w:tabs>
          <w:tab w:val="left" w:pos="567"/>
        </w:tabs>
        <w:ind w:left="540" w:hanging="540"/>
        <w:rPr>
          <w:sz w:val="22"/>
          <w:szCs w:val="22"/>
        </w:rPr>
      </w:pPr>
    </w:p>
    <w:p w:rsidR="006224C2" w:rsidRPr="00295E71" w14:paraId="2AEB70C2" w14:textId="77777777">
      <w:pPr>
        <w:tabs>
          <w:tab w:val="left" w:pos="567"/>
        </w:tabs>
        <w:ind w:left="540" w:hanging="540"/>
        <w:rPr>
          <w:sz w:val="22"/>
          <w:szCs w:val="22"/>
        </w:rPr>
      </w:pPr>
      <w:r w:rsidRPr="00295E71">
        <w:rPr>
          <w:sz w:val="22"/>
          <w:szCs w:val="22"/>
        </w:rPr>
        <w:t>40 mg/0,4 ml</w:t>
      </w:r>
    </w:p>
    <w:p w:rsidR="006224C2" w:rsidRPr="00295E71" w14:paraId="25518C0F" w14:textId="77777777">
      <w:pPr>
        <w:tabs>
          <w:tab w:val="left" w:pos="567"/>
        </w:tabs>
        <w:ind w:left="540" w:hanging="540"/>
        <w:rPr>
          <w:sz w:val="22"/>
          <w:szCs w:val="22"/>
        </w:rPr>
      </w:pPr>
    </w:p>
    <w:p w:rsidR="006224C2" w:rsidRPr="00295E71" w14:paraId="4476DD29" w14:textId="77777777">
      <w:pPr>
        <w:tabs>
          <w:tab w:val="left" w:pos="567"/>
        </w:tabs>
        <w:ind w:left="540" w:hanging="540"/>
        <w:rPr>
          <w:b/>
          <w:bCs/>
          <w:sz w:val="22"/>
          <w:szCs w:val="22"/>
          <w:u w:val="single"/>
        </w:rPr>
      </w:pPr>
    </w:p>
    <w:p w:rsidR="006224C2" w:rsidRPr="00295E71" w14:paraId="1F0F5333"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6.</w:t>
      </w:r>
      <w:r w:rsidRPr="00295E71">
        <w:rPr>
          <w:b/>
          <w:bCs/>
          <w:sz w:val="22"/>
          <w:szCs w:val="22"/>
        </w:rPr>
        <w:tab/>
        <w:t>ALTRO</w:t>
      </w:r>
    </w:p>
    <w:p w:rsidR="006224C2" w:rsidRPr="00295E71" w14:paraId="29F7952F" w14:textId="77777777">
      <w:pPr>
        <w:tabs>
          <w:tab w:val="left" w:pos="567"/>
        </w:tabs>
        <w:ind w:left="540" w:hanging="540"/>
        <w:rPr>
          <w:b/>
          <w:bCs/>
          <w:sz w:val="22"/>
          <w:szCs w:val="22"/>
          <w:u w:val="single"/>
        </w:rPr>
      </w:pPr>
    </w:p>
    <w:p w:rsidR="006224C2" w:rsidRPr="00295E71" w14:paraId="1A22F4C2" w14:textId="77777777">
      <w:pPr>
        <w:tabs>
          <w:tab w:val="left" w:pos="567"/>
        </w:tabs>
        <w:ind w:left="540" w:hanging="540"/>
        <w:rPr>
          <w:sz w:val="22"/>
          <w:szCs w:val="22"/>
        </w:rPr>
      </w:pPr>
    </w:p>
    <w:p w:rsidR="00DA39F8" w:rsidP="00DA39F8" w14:paraId="4A14714C" w14:textId="77777777">
      <w:pPr>
        <w:tabs>
          <w:tab w:val="left" w:pos="567"/>
        </w:tabs>
        <w:ind w:right="-449"/>
        <w:rPr>
          <w:sz w:val="22"/>
          <w:szCs w:val="22"/>
        </w:rPr>
      </w:pPr>
      <w:r w:rsidRPr="00295E71">
        <w:rPr>
          <w:sz w:val="22"/>
          <w:szCs w:val="22"/>
        </w:rPr>
        <w:br w:type="page"/>
      </w:r>
    </w:p>
    <w:p w:rsidR="00DA39F8" w:rsidP="00DA39F8" w14:paraId="0D4B3AA4" w14:textId="77777777">
      <w:pPr>
        <w:tabs>
          <w:tab w:val="left" w:pos="567"/>
        </w:tabs>
        <w:ind w:left="475" w:hanging="540"/>
        <w:jc w:val="both"/>
      </w:pPr>
    </w:p>
    <w:p w:rsidR="006224C2" w:rsidRPr="00295E71" w14:paraId="1A156ABD" w14:textId="77777777">
      <w:pPr>
        <w:pBdr>
          <w:top w:val="single" w:sz="4" w:space="1" w:color="auto"/>
          <w:left w:val="single" w:sz="4" w:space="4" w:color="auto"/>
          <w:bottom w:val="single" w:sz="4" w:space="1" w:color="auto"/>
          <w:right w:val="single" w:sz="4" w:space="4" w:color="auto"/>
        </w:pBdr>
        <w:tabs>
          <w:tab w:val="left" w:pos="567"/>
        </w:tabs>
        <w:jc w:val="both"/>
        <w:rPr>
          <w:b/>
          <w:bCs/>
          <w:sz w:val="22"/>
          <w:szCs w:val="22"/>
        </w:rPr>
      </w:pPr>
      <w:r w:rsidRPr="00295E71">
        <w:rPr>
          <w:b/>
          <w:bCs/>
          <w:sz w:val="22"/>
          <w:szCs w:val="22"/>
        </w:rPr>
        <w:t>INFORMAZIONI DA APPORRE SUL CONFEZIONAMENTO SECONDARIO</w:t>
      </w:r>
    </w:p>
    <w:p w:rsidR="00F64B4A" w:rsidRPr="00295E71" w14:paraId="42ACA13D" w14:textId="77777777">
      <w:pPr>
        <w:pBdr>
          <w:top w:val="single" w:sz="4" w:space="1" w:color="auto"/>
          <w:left w:val="single" w:sz="4" w:space="4" w:color="auto"/>
          <w:bottom w:val="single" w:sz="4" w:space="1" w:color="auto"/>
          <w:right w:val="single" w:sz="4" w:space="4" w:color="auto"/>
        </w:pBdr>
        <w:tabs>
          <w:tab w:val="left" w:pos="567"/>
        </w:tabs>
        <w:jc w:val="both"/>
        <w:rPr>
          <w:b/>
          <w:bCs/>
          <w:caps/>
          <w:sz w:val="22"/>
          <w:szCs w:val="22"/>
        </w:rPr>
      </w:pPr>
    </w:p>
    <w:p w:rsidR="006224C2" w:rsidRPr="00295E71" w14:paraId="73B26D0F" w14:textId="77777777">
      <w:pPr>
        <w:pBdr>
          <w:top w:val="single" w:sz="4" w:space="1" w:color="auto"/>
          <w:left w:val="single" w:sz="4" w:space="4" w:color="auto"/>
          <w:bottom w:val="single" w:sz="4" w:space="1" w:color="auto"/>
          <w:right w:val="single" w:sz="4" w:space="4" w:color="auto"/>
        </w:pBdr>
        <w:tabs>
          <w:tab w:val="left" w:pos="567"/>
        </w:tabs>
        <w:jc w:val="both"/>
        <w:rPr>
          <w:b/>
          <w:bCs/>
          <w:caps/>
          <w:sz w:val="22"/>
          <w:szCs w:val="22"/>
        </w:rPr>
      </w:pPr>
      <w:r w:rsidRPr="00295E71">
        <w:rPr>
          <w:b/>
          <w:bCs/>
          <w:caps/>
          <w:sz w:val="22"/>
          <w:szCs w:val="22"/>
        </w:rPr>
        <w:t>ASTUCCIO ESTERNO</w:t>
      </w:r>
    </w:p>
    <w:p w:rsidR="006224C2" w:rsidRPr="00295E71" w14:paraId="1F0ED8BB" w14:textId="77777777">
      <w:pPr>
        <w:tabs>
          <w:tab w:val="left" w:pos="567"/>
        </w:tabs>
        <w:jc w:val="both"/>
        <w:rPr>
          <w:b/>
          <w:bCs/>
          <w:sz w:val="22"/>
          <w:szCs w:val="22"/>
        </w:rPr>
      </w:pPr>
    </w:p>
    <w:p w:rsidR="006224C2" w:rsidRPr="00295E71" w14:paraId="179D3037" w14:textId="77777777">
      <w:pPr>
        <w:tabs>
          <w:tab w:val="left" w:pos="567"/>
        </w:tabs>
        <w:jc w:val="both"/>
        <w:rPr>
          <w:b/>
          <w:bCs/>
          <w:sz w:val="22"/>
          <w:szCs w:val="22"/>
        </w:rPr>
      </w:pPr>
    </w:p>
    <w:p w:rsidR="006224C2" w:rsidRPr="00295E71" w14:paraId="044F5CE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1. </w:t>
      </w:r>
      <w:r w:rsidRPr="00295E71">
        <w:rPr>
          <w:b/>
          <w:bCs/>
          <w:sz w:val="22"/>
          <w:szCs w:val="22"/>
        </w:rPr>
        <w:tab/>
        <w:t>DENOMINAZIONE DEL MEDICINALE</w:t>
      </w:r>
    </w:p>
    <w:p w:rsidR="006224C2" w:rsidRPr="00295E71" w14:paraId="73AB3F10" w14:textId="77777777">
      <w:pPr>
        <w:tabs>
          <w:tab w:val="left" w:pos="567"/>
        </w:tabs>
        <w:ind w:left="540" w:hanging="540"/>
        <w:rPr>
          <w:sz w:val="22"/>
          <w:szCs w:val="22"/>
        </w:rPr>
      </w:pPr>
    </w:p>
    <w:p w:rsidR="006224C2" w:rsidRPr="00295E71" w14:paraId="0B9F3769" w14:textId="77777777">
      <w:pPr>
        <w:tabs>
          <w:tab w:val="left" w:pos="567"/>
        </w:tabs>
        <w:ind w:left="540" w:hanging="540"/>
        <w:rPr>
          <w:sz w:val="22"/>
          <w:szCs w:val="22"/>
        </w:rPr>
      </w:pPr>
      <w:r w:rsidRPr="00295E71">
        <w:rPr>
          <w:sz w:val="22"/>
          <w:szCs w:val="22"/>
        </w:rPr>
        <w:t>Humira 40 mg soluzione iniettabile in penna pre-riempita</w:t>
      </w:r>
    </w:p>
    <w:p w:rsidR="006224C2" w:rsidRPr="00295E71" w14:paraId="761D6E83" w14:textId="77777777">
      <w:pPr>
        <w:pStyle w:val="EndnoteText"/>
        <w:ind w:left="540" w:hanging="540"/>
        <w:rPr>
          <w:lang w:val="it-IT"/>
        </w:rPr>
      </w:pPr>
      <w:r w:rsidRPr="00295E71">
        <w:rPr>
          <w:lang w:val="it-IT"/>
        </w:rPr>
        <w:t>adalimumab</w:t>
      </w:r>
    </w:p>
    <w:p w:rsidR="006224C2" w:rsidRPr="00295E71" w14:paraId="6225A0B5" w14:textId="77777777">
      <w:pPr>
        <w:tabs>
          <w:tab w:val="left" w:pos="567"/>
        </w:tabs>
        <w:ind w:left="540" w:hanging="540"/>
        <w:rPr>
          <w:sz w:val="22"/>
          <w:szCs w:val="22"/>
        </w:rPr>
      </w:pPr>
    </w:p>
    <w:p w:rsidR="006224C2" w:rsidRPr="00295E71" w14:paraId="5893292D" w14:textId="77777777">
      <w:pPr>
        <w:tabs>
          <w:tab w:val="left" w:pos="567"/>
        </w:tabs>
        <w:ind w:left="540" w:hanging="540"/>
        <w:rPr>
          <w:sz w:val="22"/>
          <w:szCs w:val="22"/>
        </w:rPr>
      </w:pPr>
    </w:p>
    <w:p w:rsidR="006224C2" w:rsidRPr="00295E71" w14:paraId="209F92F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2. </w:t>
      </w:r>
      <w:r w:rsidRPr="00295E71">
        <w:rPr>
          <w:b/>
          <w:bCs/>
          <w:sz w:val="22"/>
          <w:szCs w:val="22"/>
        </w:rPr>
        <w:tab/>
        <w:t>COMPOSIZIONE QUALITATIVA E QUANTITATIVA IN TERMINI DI PRINCIPIO ATTIVO</w:t>
      </w:r>
    </w:p>
    <w:p w:rsidR="006224C2" w:rsidRPr="00295E71" w14:paraId="24D6E67A" w14:textId="77777777">
      <w:pPr>
        <w:tabs>
          <w:tab w:val="left" w:pos="567"/>
        </w:tabs>
        <w:ind w:left="540" w:hanging="540"/>
        <w:rPr>
          <w:sz w:val="22"/>
          <w:szCs w:val="22"/>
        </w:rPr>
      </w:pPr>
    </w:p>
    <w:p w:rsidR="006224C2" w:rsidRPr="00295E71" w14:paraId="6354A5BE" w14:textId="77777777">
      <w:pPr>
        <w:tabs>
          <w:tab w:val="left" w:pos="567"/>
        </w:tabs>
        <w:ind w:left="540" w:hanging="540"/>
        <w:rPr>
          <w:sz w:val="22"/>
          <w:szCs w:val="22"/>
        </w:rPr>
      </w:pPr>
      <w:r w:rsidRPr="00295E71">
        <w:rPr>
          <w:sz w:val="22"/>
          <w:szCs w:val="22"/>
        </w:rPr>
        <w:t>Una penna pre-riempita da 0,4 ml contiene 40 mg di adalimumab</w:t>
      </w:r>
    </w:p>
    <w:p w:rsidR="006224C2" w:rsidRPr="00295E71" w14:paraId="4167588B" w14:textId="77777777">
      <w:pPr>
        <w:tabs>
          <w:tab w:val="left" w:pos="567"/>
        </w:tabs>
        <w:ind w:left="540" w:hanging="540"/>
        <w:rPr>
          <w:sz w:val="22"/>
          <w:szCs w:val="22"/>
        </w:rPr>
      </w:pPr>
    </w:p>
    <w:p w:rsidR="006224C2" w:rsidRPr="00295E71" w14:paraId="34BCA344" w14:textId="77777777">
      <w:pPr>
        <w:tabs>
          <w:tab w:val="left" w:pos="567"/>
        </w:tabs>
        <w:ind w:left="540" w:hanging="540"/>
        <w:rPr>
          <w:sz w:val="22"/>
          <w:szCs w:val="22"/>
        </w:rPr>
      </w:pPr>
    </w:p>
    <w:p w:rsidR="006224C2" w:rsidRPr="00295E71" w14:paraId="43D0283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3. </w:t>
      </w:r>
      <w:r w:rsidRPr="00295E71">
        <w:rPr>
          <w:b/>
          <w:bCs/>
          <w:sz w:val="22"/>
          <w:szCs w:val="22"/>
        </w:rPr>
        <w:tab/>
        <w:t>ELENCO DEGLI ECCIPIENTI</w:t>
      </w:r>
    </w:p>
    <w:p w:rsidR="006224C2" w:rsidRPr="00295E71" w14:paraId="23A3AEE2" w14:textId="77777777">
      <w:pPr>
        <w:tabs>
          <w:tab w:val="left" w:pos="567"/>
        </w:tabs>
        <w:rPr>
          <w:sz w:val="22"/>
          <w:szCs w:val="22"/>
        </w:rPr>
      </w:pPr>
    </w:p>
    <w:p w:rsidR="006224C2" w:rsidRPr="00295E71" w14:paraId="5978D2F7" w14:textId="77777777">
      <w:pPr>
        <w:pStyle w:val="EMEAFigureTitle"/>
        <w:suppressAutoHyphens w:val="0"/>
        <w:autoSpaceDE w:val="0"/>
        <w:autoSpaceDN w:val="0"/>
        <w:adjustRightInd w:val="0"/>
        <w:rPr>
          <w:lang w:val="it-IT" w:eastAsia="it-IT"/>
        </w:rPr>
      </w:pPr>
      <w:r w:rsidRPr="00295E71">
        <w:rPr>
          <w:lang w:val="it-IT" w:eastAsia="it-IT"/>
        </w:rPr>
        <w:t>Eccipienti: mannitolo, polisorbato 80</w:t>
      </w:r>
      <w:r w:rsidRPr="00295E71" w:rsidR="006E1DDF">
        <w:rPr>
          <w:rStyle w:val="Strong"/>
          <w:lang w:val="it-IT"/>
        </w:rPr>
        <w:t xml:space="preserve"> </w:t>
      </w:r>
      <w:r w:rsidRPr="00295E71">
        <w:rPr>
          <w:lang w:val="it-IT" w:eastAsia="it-IT"/>
        </w:rPr>
        <w:t>e acqua per preparazioni iniettabili. Per ulteriori informazioni vedere il foglio illustrativo.</w:t>
      </w:r>
    </w:p>
    <w:p w:rsidR="006224C2" w:rsidRPr="00295E71" w14:paraId="0B4236C9" w14:textId="77777777">
      <w:pPr>
        <w:tabs>
          <w:tab w:val="left" w:pos="567"/>
        </w:tabs>
        <w:ind w:left="540" w:hanging="540"/>
        <w:rPr>
          <w:sz w:val="22"/>
          <w:szCs w:val="22"/>
        </w:rPr>
      </w:pPr>
    </w:p>
    <w:p w:rsidR="006224C2" w:rsidRPr="00295E71" w14:paraId="063C6376" w14:textId="77777777">
      <w:pPr>
        <w:tabs>
          <w:tab w:val="left" w:pos="567"/>
        </w:tabs>
        <w:ind w:left="540" w:hanging="540"/>
        <w:rPr>
          <w:sz w:val="22"/>
          <w:szCs w:val="22"/>
        </w:rPr>
      </w:pPr>
    </w:p>
    <w:p w:rsidR="006224C2" w:rsidRPr="00295E71" w14:paraId="55C0604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4. </w:t>
      </w:r>
      <w:r w:rsidRPr="00295E71">
        <w:rPr>
          <w:b/>
          <w:bCs/>
          <w:sz w:val="22"/>
          <w:szCs w:val="22"/>
        </w:rPr>
        <w:tab/>
        <w:t>FORMA FARMACEUTICA E CONTENUTO</w:t>
      </w:r>
      <w:r w:rsidRPr="00295E71">
        <w:rPr>
          <w:b/>
          <w:bCs/>
          <w:sz w:val="22"/>
          <w:szCs w:val="22"/>
        </w:rPr>
        <w:tab/>
      </w:r>
    </w:p>
    <w:p w:rsidR="006224C2" w:rsidRPr="00295E71" w14:paraId="503BAA9D" w14:textId="77777777">
      <w:pPr>
        <w:tabs>
          <w:tab w:val="left" w:pos="567"/>
        </w:tabs>
        <w:ind w:left="540" w:hanging="540"/>
        <w:rPr>
          <w:sz w:val="22"/>
          <w:szCs w:val="22"/>
        </w:rPr>
      </w:pPr>
    </w:p>
    <w:p w:rsidR="00F64B4A" w:rsidRPr="00295E71" w14:paraId="1C0D22CD" w14:textId="77777777">
      <w:pPr>
        <w:tabs>
          <w:tab w:val="left" w:pos="567"/>
        </w:tabs>
        <w:ind w:left="540" w:hanging="540"/>
        <w:rPr>
          <w:sz w:val="22"/>
          <w:szCs w:val="22"/>
        </w:rPr>
      </w:pPr>
      <w:r w:rsidRPr="00295E71">
        <w:rPr>
          <w:sz w:val="22"/>
          <w:szCs w:val="22"/>
          <w:highlight w:val="lightGray"/>
        </w:rPr>
        <w:t>Soluzione iniettabile</w:t>
      </w:r>
      <w:r w:rsidRPr="00295E71">
        <w:rPr>
          <w:sz w:val="22"/>
          <w:szCs w:val="22"/>
        </w:rPr>
        <w:t xml:space="preserve"> </w:t>
      </w:r>
    </w:p>
    <w:p w:rsidR="006224C2" w:rsidRPr="00295E71" w14:paraId="3EFCDD2D" w14:textId="77777777">
      <w:pPr>
        <w:tabs>
          <w:tab w:val="left" w:pos="567"/>
        </w:tabs>
        <w:ind w:left="540" w:hanging="540"/>
        <w:rPr>
          <w:sz w:val="22"/>
          <w:szCs w:val="22"/>
        </w:rPr>
      </w:pPr>
      <w:r w:rsidRPr="00295E71">
        <w:rPr>
          <w:sz w:val="22"/>
          <w:szCs w:val="22"/>
        </w:rPr>
        <w:t>1 penna pre-riempita</w:t>
      </w:r>
    </w:p>
    <w:p w:rsidR="006224C2" w:rsidRPr="00295E71" w14:paraId="05BDE4DD" w14:textId="77777777">
      <w:pPr>
        <w:tabs>
          <w:tab w:val="left" w:pos="567"/>
        </w:tabs>
        <w:ind w:left="540" w:hanging="540"/>
        <w:rPr>
          <w:i/>
          <w:iCs/>
          <w:sz w:val="22"/>
          <w:szCs w:val="22"/>
        </w:rPr>
      </w:pPr>
      <w:r w:rsidRPr="00295E71">
        <w:rPr>
          <w:sz w:val="22"/>
          <w:szCs w:val="22"/>
        </w:rPr>
        <w:t>2 tamponi imbevuti di alcool</w:t>
      </w:r>
    </w:p>
    <w:p w:rsidR="006224C2" w:rsidRPr="00295E71" w14:paraId="610199C5" w14:textId="77777777">
      <w:pPr>
        <w:tabs>
          <w:tab w:val="left" w:pos="567"/>
        </w:tabs>
        <w:ind w:left="540" w:hanging="540"/>
        <w:rPr>
          <w:sz w:val="22"/>
          <w:szCs w:val="22"/>
        </w:rPr>
      </w:pPr>
    </w:p>
    <w:p w:rsidR="0083611B" w:rsidRPr="00295E71" w:rsidP="0083611B" w14:paraId="15751035" w14:textId="77777777">
      <w:pPr>
        <w:tabs>
          <w:tab w:val="left" w:pos="567"/>
        </w:tabs>
        <w:ind w:left="540" w:hanging="540"/>
        <w:rPr>
          <w:sz w:val="22"/>
          <w:szCs w:val="22"/>
          <w:highlight w:val="lightGray"/>
        </w:rPr>
      </w:pPr>
      <w:r w:rsidRPr="00295E71">
        <w:rPr>
          <w:sz w:val="22"/>
          <w:szCs w:val="22"/>
          <w:highlight w:val="lightGray"/>
        </w:rPr>
        <w:t>2 penne pre-riempite</w:t>
      </w:r>
    </w:p>
    <w:p w:rsidR="0083611B" w:rsidRPr="00295E71" w:rsidP="0083611B" w14:paraId="46FB7B79" w14:textId="77777777">
      <w:pPr>
        <w:tabs>
          <w:tab w:val="left" w:pos="567"/>
        </w:tabs>
        <w:ind w:left="540" w:hanging="540"/>
        <w:rPr>
          <w:i/>
          <w:iCs/>
          <w:sz w:val="22"/>
          <w:szCs w:val="22"/>
        </w:rPr>
      </w:pPr>
      <w:r w:rsidRPr="00295E71">
        <w:rPr>
          <w:sz w:val="22"/>
          <w:szCs w:val="22"/>
          <w:highlight w:val="lightGray"/>
        </w:rPr>
        <w:t>2 tamponi imbevuti di alcool</w:t>
      </w:r>
    </w:p>
    <w:p w:rsidR="0083611B" w:rsidRPr="00295E71" w14:paraId="38BCAFF8" w14:textId="77777777">
      <w:pPr>
        <w:tabs>
          <w:tab w:val="left" w:pos="567"/>
        </w:tabs>
        <w:ind w:left="540" w:hanging="540"/>
        <w:rPr>
          <w:sz w:val="22"/>
          <w:szCs w:val="22"/>
        </w:rPr>
      </w:pPr>
    </w:p>
    <w:p w:rsidR="0083611B" w:rsidRPr="00295E71" w:rsidP="00FB547E" w14:paraId="39B77CDC" w14:textId="77777777">
      <w:pPr>
        <w:tabs>
          <w:tab w:val="left" w:pos="567"/>
        </w:tabs>
        <w:rPr>
          <w:sz w:val="22"/>
          <w:szCs w:val="22"/>
          <w:highlight w:val="lightGray"/>
        </w:rPr>
      </w:pPr>
      <w:r w:rsidRPr="00295E71">
        <w:rPr>
          <w:sz w:val="22"/>
          <w:szCs w:val="22"/>
          <w:highlight w:val="lightGray"/>
        </w:rPr>
        <w:t>4 penne pre-riempite</w:t>
      </w:r>
    </w:p>
    <w:p w:rsidR="0083611B" w:rsidRPr="00295E71" w:rsidP="0083611B" w14:paraId="4F3DCD80" w14:textId="77777777">
      <w:pPr>
        <w:tabs>
          <w:tab w:val="left" w:pos="567"/>
        </w:tabs>
        <w:ind w:left="540" w:hanging="540"/>
        <w:rPr>
          <w:i/>
          <w:iCs/>
          <w:sz w:val="22"/>
          <w:szCs w:val="22"/>
        </w:rPr>
      </w:pPr>
      <w:r w:rsidRPr="00295E71">
        <w:rPr>
          <w:sz w:val="22"/>
          <w:szCs w:val="22"/>
          <w:highlight w:val="lightGray"/>
        </w:rPr>
        <w:t>4 tamponi imbevuti di alcool</w:t>
      </w:r>
    </w:p>
    <w:p w:rsidR="0083611B" w:rsidRPr="00295E71" w14:paraId="11018F94" w14:textId="77777777">
      <w:pPr>
        <w:tabs>
          <w:tab w:val="left" w:pos="567"/>
        </w:tabs>
        <w:ind w:left="540" w:hanging="540"/>
        <w:rPr>
          <w:sz w:val="22"/>
          <w:szCs w:val="22"/>
        </w:rPr>
      </w:pPr>
    </w:p>
    <w:p w:rsidR="0083611B" w:rsidRPr="00295E71" w:rsidP="0083611B" w14:paraId="03EDDFB6" w14:textId="77777777">
      <w:pPr>
        <w:tabs>
          <w:tab w:val="left" w:pos="567"/>
        </w:tabs>
        <w:ind w:left="540" w:hanging="540"/>
        <w:rPr>
          <w:sz w:val="22"/>
          <w:szCs w:val="22"/>
          <w:highlight w:val="lightGray"/>
        </w:rPr>
      </w:pPr>
      <w:r w:rsidRPr="00295E71">
        <w:rPr>
          <w:sz w:val="22"/>
          <w:szCs w:val="22"/>
          <w:highlight w:val="lightGray"/>
        </w:rPr>
        <w:t>6 penne pre-riempite</w:t>
      </w:r>
    </w:p>
    <w:p w:rsidR="0083611B" w:rsidRPr="00295E71" w:rsidP="0083611B" w14:paraId="57ABEC68" w14:textId="77777777">
      <w:pPr>
        <w:tabs>
          <w:tab w:val="left" w:pos="567"/>
        </w:tabs>
        <w:ind w:left="540" w:hanging="540"/>
        <w:rPr>
          <w:i/>
          <w:iCs/>
          <w:sz w:val="22"/>
          <w:szCs w:val="22"/>
        </w:rPr>
      </w:pPr>
      <w:r w:rsidRPr="00295E71">
        <w:rPr>
          <w:sz w:val="22"/>
          <w:szCs w:val="22"/>
          <w:highlight w:val="lightGray"/>
        </w:rPr>
        <w:t>6 tamponi imbevuti di alcool</w:t>
      </w:r>
    </w:p>
    <w:p w:rsidR="0083611B" w:rsidRPr="00295E71" w14:paraId="799940D2" w14:textId="77777777">
      <w:pPr>
        <w:tabs>
          <w:tab w:val="left" w:pos="567"/>
        </w:tabs>
        <w:ind w:left="540" w:hanging="540"/>
        <w:rPr>
          <w:sz w:val="22"/>
          <w:szCs w:val="22"/>
        </w:rPr>
      </w:pPr>
    </w:p>
    <w:p w:rsidR="006224C2" w:rsidRPr="00295E71" w14:paraId="0758BFD7" w14:textId="77777777">
      <w:pPr>
        <w:tabs>
          <w:tab w:val="left" w:pos="567"/>
        </w:tabs>
        <w:ind w:left="540" w:hanging="540"/>
        <w:rPr>
          <w:color w:val="000000"/>
          <w:sz w:val="22"/>
          <w:szCs w:val="22"/>
          <w:u w:val="single"/>
        </w:rPr>
      </w:pPr>
    </w:p>
    <w:p w:rsidR="006224C2" w:rsidRPr="00295E71" w14:paraId="72C43ED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5. </w:t>
      </w:r>
      <w:r w:rsidRPr="00295E71">
        <w:rPr>
          <w:b/>
          <w:bCs/>
          <w:sz w:val="22"/>
          <w:szCs w:val="22"/>
        </w:rPr>
        <w:tab/>
        <w:t>MODO E VIA DI SOMMINISTRAZIONE</w:t>
      </w:r>
    </w:p>
    <w:p w:rsidR="006224C2" w:rsidRPr="00295E71" w14:paraId="6DABD6F5" w14:textId="77777777">
      <w:pPr>
        <w:tabs>
          <w:tab w:val="left" w:pos="567"/>
        </w:tabs>
        <w:ind w:left="540" w:hanging="540"/>
        <w:rPr>
          <w:sz w:val="22"/>
          <w:szCs w:val="22"/>
        </w:rPr>
      </w:pPr>
    </w:p>
    <w:p w:rsidR="006224C2" w:rsidRPr="00295E71" w14:paraId="746263D2" w14:textId="77777777">
      <w:pPr>
        <w:tabs>
          <w:tab w:val="left" w:pos="567"/>
        </w:tabs>
        <w:ind w:left="540" w:hanging="540"/>
        <w:rPr>
          <w:sz w:val="22"/>
          <w:szCs w:val="22"/>
        </w:rPr>
      </w:pPr>
      <w:r w:rsidRPr="00295E71">
        <w:rPr>
          <w:sz w:val="22"/>
          <w:szCs w:val="22"/>
        </w:rPr>
        <w:t>Uso sottocutaneo</w:t>
      </w:r>
    </w:p>
    <w:p w:rsidR="006224C2" w:rsidRPr="00295E71" w14:paraId="7D9C6200" w14:textId="77777777">
      <w:pPr>
        <w:tabs>
          <w:tab w:val="left" w:pos="567"/>
        </w:tabs>
        <w:ind w:left="540" w:hanging="540"/>
        <w:rPr>
          <w:sz w:val="22"/>
          <w:szCs w:val="22"/>
        </w:rPr>
      </w:pPr>
    </w:p>
    <w:p w:rsidR="006224C2" w:rsidRPr="00295E71" w14:paraId="73689DCC" w14:textId="77777777">
      <w:pPr>
        <w:tabs>
          <w:tab w:val="left" w:pos="567"/>
        </w:tabs>
        <w:ind w:left="540" w:hanging="540"/>
        <w:rPr>
          <w:sz w:val="22"/>
          <w:szCs w:val="22"/>
        </w:rPr>
      </w:pPr>
      <w:r w:rsidRPr="00295E71">
        <w:rPr>
          <w:sz w:val="22"/>
          <w:szCs w:val="22"/>
        </w:rPr>
        <w:t>Leggere il foglio illustrativo prima dell'uso.</w:t>
      </w:r>
    </w:p>
    <w:p w:rsidR="00F64B4A" w:rsidRPr="00295E71" w14:paraId="0F7A886F" w14:textId="77777777">
      <w:pPr>
        <w:tabs>
          <w:tab w:val="left" w:pos="567"/>
        </w:tabs>
        <w:ind w:left="540" w:hanging="540"/>
        <w:rPr>
          <w:sz w:val="22"/>
          <w:szCs w:val="22"/>
        </w:rPr>
      </w:pPr>
    </w:p>
    <w:p w:rsidR="00F64B4A" w:rsidRPr="00295E71" w14:paraId="6AD0BE66" w14:textId="77777777">
      <w:pPr>
        <w:tabs>
          <w:tab w:val="left" w:pos="567"/>
        </w:tabs>
        <w:ind w:left="540" w:hanging="540"/>
        <w:rPr>
          <w:sz w:val="22"/>
          <w:szCs w:val="22"/>
        </w:rPr>
      </w:pPr>
      <w:r w:rsidRPr="00295E71">
        <w:rPr>
          <w:sz w:val="22"/>
          <w:szCs w:val="22"/>
        </w:rPr>
        <w:t>Esclusivamente monouso.</w:t>
      </w:r>
    </w:p>
    <w:p w:rsidR="006224C2" w:rsidRPr="00295E71" w14:paraId="6525321C" w14:textId="77777777">
      <w:pPr>
        <w:tabs>
          <w:tab w:val="left" w:pos="567"/>
        </w:tabs>
        <w:ind w:left="540" w:hanging="540"/>
        <w:rPr>
          <w:sz w:val="22"/>
          <w:szCs w:val="22"/>
        </w:rPr>
      </w:pPr>
    </w:p>
    <w:p w:rsidR="006224C2" w:rsidRPr="00295E71" w14:paraId="5F003B1B" w14:textId="77777777">
      <w:pPr>
        <w:tabs>
          <w:tab w:val="left" w:pos="567"/>
        </w:tabs>
        <w:ind w:left="540" w:hanging="540"/>
        <w:rPr>
          <w:sz w:val="22"/>
          <w:szCs w:val="22"/>
        </w:rPr>
      </w:pPr>
    </w:p>
    <w:p w:rsidR="006224C2" w:rsidRPr="00295E71" w14:paraId="26E859F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6. </w:t>
      </w:r>
      <w:r w:rsidRPr="00295E71">
        <w:rPr>
          <w:b/>
          <w:bCs/>
          <w:sz w:val="22"/>
          <w:szCs w:val="22"/>
        </w:rPr>
        <w:tab/>
        <w:t>AVVERTENZA PARTICOLARE CHE PRESCRIVA DI TENERE IL MEDICINALE FUORI DALLA VISTA E DALLA PORTATA DEI BAMBINI</w:t>
      </w:r>
    </w:p>
    <w:p w:rsidR="006224C2" w:rsidRPr="00295E71" w14:paraId="3AD04CCC" w14:textId="77777777">
      <w:pPr>
        <w:tabs>
          <w:tab w:val="left" w:pos="567"/>
        </w:tabs>
        <w:ind w:left="540" w:hanging="540"/>
        <w:rPr>
          <w:sz w:val="22"/>
          <w:szCs w:val="22"/>
        </w:rPr>
      </w:pPr>
    </w:p>
    <w:p w:rsidR="006224C2" w:rsidRPr="00295E71" w14:paraId="641EEF72" w14:textId="77777777">
      <w:pPr>
        <w:tabs>
          <w:tab w:val="left" w:pos="567"/>
        </w:tabs>
        <w:ind w:left="540" w:hanging="540"/>
        <w:rPr>
          <w:sz w:val="22"/>
          <w:szCs w:val="22"/>
        </w:rPr>
      </w:pPr>
      <w:r w:rsidRPr="00295E71">
        <w:rPr>
          <w:sz w:val="22"/>
          <w:szCs w:val="22"/>
        </w:rPr>
        <w:t>Tenere fuori dalla vista e dalla portata dei bambini.</w:t>
      </w:r>
    </w:p>
    <w:p w:rsidR="006224C2" w:rsidRPr="00295E71" w14:paraId="11D4D13E" w14:textId="77777777">
      <w:pPr>
        <w:tabs>
          <w:tab w:val="left" w:pos="567"/>
        </w:tabs>
        <w:ind w:left="540" w:hanging="540"/>
        <w:rPr>
          <w:sz w:val="22"/>
          <w:szCs w:val="22"/>
        </w:rPr>
      </w:pPr>
    </w:p>
    <w:p w:rsidR="006224C2" w:rsidRPr="00295E71" w14:paraId="2C6BEF6C" w14:textId="77777777">
      <w:pPr>
        <w:tabs>
          <w:tab w:val="left" w:pos="567"/>
        </w:tabs>
        <w:ind w:left="540" w:hanging="540"/>
        <w:rPr>
          <w:sz w:val="22"/>
          <w:szCs w:val="22"/>
        </w:rPr>
      </w:pPr>
    </w:p>
    <w:p w:rsidR="006224C2" w:rsidRPr="00295E71" w14:paraId="43CCC90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7. </w:t>
      </w:r>
      <w:r w:rsidRPr="00295E71">
        <w:rPr>
          <w:b/>
          <w:bCs/>
          <w:sz w:val="22"/>
          <w:szCs w:val="22"/>
        </w:rPr>
        <w:tab/>
        <w:t>ALTRA AVVERTENZA PARTICOLARE, SE NECESSARIO</w:t>
      </w:r>
    </w:p>
    <w:p w:rsidR="006224C2" w:rsidRPr="00295E71" w14:paraId="2249776D" w14:textId="77777777">
      <w:pPr>
        <w:tabs>
          <w:tab w:val="left" w:pos="567"/>
        </w:tabs>
        <w:ind w:left="540" w:hanging="540"/>
        <w:rPr>
          <w:sz w:val="22"/>
          <w:szCs w:val="22"/>
        </w:rPr>
      </w:pPr>
    </w:p>
    <w:p w:rsidR="006224C2" w:rsidRPr="00295E71" w14:paraId="77774E8F" w14:textId="77777777">
      <w:pPr>
        <w:tabs>
          <w:tab w:val="left" w:pos="567"/>
        </w:tabs>
        <w:ind w:left="540" w:hanging="540"/>
        <w:rPr>
          <w:sz w:val="22"/>
          <w:szCs w:val="22"/>
        </w:rPr>
      </w:pPr>
    </w:p>
    <w:p w:rsidR="006224C2" w:rsidRPr="00295E71" w14:paraId="370DCC7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8. </w:t>
      </w:r>
      <w:r w:rsidRPr="00295E71">
        <w:rPr>
          <w:b/>
          <w:bCs/>
          <w:sz w:val="22"/>
          <w:szCs w:val="22"/>
        </w:rPr>
        <w:tab/>
        <w:t>DATA DI SCADENZA</w:t>
      </w:r>
    </w:p>
    <w:p w:rsidR="006224C2" w:rsidRPr="00295E71" w14:paraId="2769EFA3" w14:textId="77777777">
      <w:pPr>
        <w:tabs>
          <w:tab w:val="left" w:pos="567"/>
        </w:tabs>
        <w:ind w:left="540" w:hanging="540"/>
        <w:rPr>
          <w:sz w:val="22"/>
          <w:szCs w:val="22"/>
        </w:rPr>
      </w:pPr>
    </w:p>
    <w:p w:rsidR="006224C2" w:rsidRPr="00295E71" w14:paraId="261B041A" w14:textId="77777777">
      <w:pPr>
        <w:tabs>
          <w:tab w:val="left" w:pos="567"/>
        </w:tabs>
        <w:ind w:left="540" w:hanging="540"/>
        <w:rPr>
          <w:sz w:val="22"/>
          <w:szCs w:val="22"/>
        </w:rPr>
      </w:pPr>
      <w:r w:rsidRPr="00295E71">
        <w:rPr>
          <w:sz w:val="22"/>
          <w:szCs w:val="22"/>
        </w:rPr>
        <w:t xml:space="preserve">Scad. </w:t>
      </w:r>
    </w:p>
    <w:p w:rsidR="006224C2" w:rsidRPr="00295E71" w14:paraId="757922A6" w14:textId="77777777">
      <w:pPr>
        <w:tabs>
          <w:tab w:val="left" w:pos="567"/>
        </w:tabs>
        <w:ind w:left="540" w:hanging="540"/>
        <w:rPr>
          <w:sz w:val="22"/>
          <w:szCs w:val="22"/>
        </w:rPr>
      </w:pPr>
    </w:p>
    <w:p w:rsidR="006224C2" w:rsidRPr="00295E71" w14:paraId="433325E7" w14:textId="77777777">
      <w:pPr>
        <w:tabs>
          <w:tab w:val="left" w:pos="567"/>
        </w:tabs>
        <w:ind w:left="540" w:hanging="540"/>
        <w:rPr>
          <w:sz w:val="22"/>
          <w:szCs w:val="22"/>
        </w:rPr>
      </w:pPr>
    </w:p>
    <w:p w:rsidR="006224C2" w:rsidRPr="00295E71" w14:paraId="1C41E277" w14:textId="77777777">
      <w:pPr>
        <w:keepNext/>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9. </w:t>
      </w:r>
      <w:r w:rsidRPr="00295E71">
        <w:rPr>
          <w:b/>
          <w:bCs/>
          <w:sz w:val="22"/>
          <w:szCs w:val="22"/>
        </w:rPr>
        <w:tab/>
        <w:t>PRECAUZIONI PARTICOLARI PER LA CONSERVAZIONE</w:t>
      </w:r>
    </w:p>
    <w:p w:rsidR="006224C2" w:rsidRPr="00295E71" w14:paraId="2699B703" w14:textId="77777777">
      <w:pPr>
        <w:keepNext/>
        <w:tabs>
          <w:tab w:val="left" w:pos="567"/>
        </w:tabs>
        <w:ind w:left="540" w:hanging="540"/>
        <w:rPr>
          <w:sz w:val="22"/>
          <w:szCs w:val="22"/>
        </w:rPr>
      </w:pPr>
    </w:p>
    <w:p w:rsidR="006224C2" w:rsidRPr="00295E71" w14:paraId="720EC860" w14:textId="77777777">
      <w:pPr>
        <w:keepNext/>
        <w:keepLines/>
        <w:tabs>
          <w:tab w:val="left" w:pos="567"/>
        </w:tabs>
        <w:ind w:left="540" w:hanging="540"/>
        <w:rPr>
          <w:sz w:val="22"/>
          <w:szCs w:val="22"/>
        </w:rPr>
      </w:pPr>
      <w:r w:rsidRPr="00295E71">
        <w:rPr>
          <w:sz w:val="22"/>
          <w:szCs w:val="22"/>
        </w:rPr>
        <w:t>Conservare in frigorifero.</w:t>
      </w:r>
      <w:r w:rsidRPr="00295E71" w:rsidR="00F64B4A">
        <w:rPr>
          <w:sz w:val="22"/>
          <w:szCs w:val="22"/>
        </w:rPr>
        <w:t xml:space="preserve"> </w:t>
      </w:r>
      <w:r w:rsidRPr="00295E71">
        <w:rPr>
          <w:sz w:val="22"/>
          <w:szCs w:val="22"/>
        </w:rPr>
        <w:t>Non congelare.</w:t>
      </w:r>
    </w:p>
    <w:p w:rsidR="006224C2" w:rsidRPr="00295E71" w14:paraId="3C2A065B" w14:textId="77777777">
      <w:pPr>
        <w:keepNext/>
        <w:keepLines/>
        <w:tabs>
          <w:tab w:val="left" w:pos="567"/>
        </w:tabs>
        <w:rPr>
          <w:sz w:val="22"/>
          <w:szCs w:val="22"/>
        </w:rPr>
      </w:pPr>
      <w:r w:rsidRPr="00295E71">
        <w:rPr>
          <w:sz w:val="22"/>
          <w:szCs w:val="22"/>
        </w:rPr>
        <w:t>Fare riferimento al foglio illustrativo per condizioni di conservazione alternative.</w:t>
      </w:r>
    </w:p>
    <w:p w:rsidR="006224C2" w:rsidRPr="00295E71" w14:paraId="3342B816" w14:textId="77777777">
      <w:pPr>
        <w:keepNext/>
        <w:keepLines/>
        <w:tabs>
          <w:tab w:val="left" w:pos="567"/>
        </w:tabs>
        <w:ind w:left="540" w:hanging="540"/>
        <w:rPr>
          <w:sz w:val="22"/>
          <w:szCs w:val="22"/>
        </w:rPr>
      </w:pPr>
    </w:p>
    <w:p w:rsidR="006224C2" w:rsidRPr="00295E71" w14:paraId="219CF478" w14:textId="77777777">
      <w:pPr>
        <w:keepNext/>
        <w:keepLines/>
        <w:tabs>
          <w:tab w:val="left" w:pos="567"/>
        </w:tabs>
        <w:ind w:left="540" w:hanging="540"/>
        <w:rPr>
          <w:sz w:val="22"/>
          <w:szCs w:val="22"/>
        </w:rPr>
      </w:pPr>
      <w:r w:rsidRPr="00295E71">
        <w:rPr>
          <w:sz w:val="22"/>
          <w:szCs w:val="22"/>
        </w:rPr>
        <w:t>Tenere</w:t>
      </w:r>
      <w:r w:rsidRPr="00295E71" w:rsidR="00226BC4">
        <w:rPr>
          <w:sz w:val="22"/>
          <w:szCs w:val="22"/>
        </w:rPr>
        <w:t xml:space="preserve"> la penna</w:t>
      </w:r>
      <w:r w:rsidRPr="00295E71" w:rsidR="006E1DDF">
        <w:rPr>
          <w:sz w:val="22"/>
          <w:szCs w:val="22"/>
        </w:rPr>
        <w:t xml:space="preserve"> </w:t>
      </w:r>
      <w:r w:rsidRPr="00295E71" w:rsidR="00226BC4">
        <w:rPr>
          <w:sz w:val="22"/>
          <w:szCs w:val="22"/>
        </w:rPr>
        <w:t xml:space="preserve">pre-riempita </w:t>
      </w:r>
      <w:r w:rsidRPr="00295E71">
        <w:rPr>
          <w:sz w:val="22"/>
          <w:szCs w:val="22"/>
        </w:rPr>
        <w:t>nell’imballaggio esterno</w:t>
      </w:r>
      <w:r w:rsidRPr="00295E71" w:rsidR="00226BC4">
        <w:rPr>
          <w:sz w:val="22"/>
          <w:szCs w:val="22"/>
        </w:rPr>
        <w:t xml:space="preserve"> per proteggere il medicinale dalla luce.</w:t>
      </w:r>
    </w:p>
    <w:p w:rsidR="006224C2" w:rsidRPr="00295E71" w14:paraId="1D5B5638" w14:textId="77777777">
      <w:pPr>
        <w:keepNext/>
        <w:tabs>
          <w:tab w:val="left" w:pos="567"/>
        </w:tabs>
        <w:ind w:left="540" w:hanging="540"/>
        <w:rPr>
          <w:sz w:val="22"/>
          <w:szCs w:val="22"/>
        </w:rPr>
      </w:pPr>
    </w:p>
    <w:p w:rsidR="006224C2" w:rsidRPr="00295E71" w14:paraId="540765C7" w14:textId="77777777">
      <w:pPr>
        <w:tabs>
          <w:tab w:val="left" w:pos="567"/>
        </w:tabs>
        <w:ind w:left="540" w:hanging="540"/>
        <w:rPr>
          <w:sz w:val="22"/>
          <w:szCs w:val="22"/>
        </w:rPr>
      </w:pPr>
    </w:p>
    <w:p w:rsidR="006224C2" w:rsidRPr="00295E71" w14:paraId="3AD86F6A"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10.</w:t>
      </w:r>
      <w:r w:rsidRPr="00295E71">
        <w:rPr>
          <w:b/>
          <w:bCs/>
          <w:sz w:val="22"/>
          <w:szCs w:val="22"/>
        </w:rPr>
        <w:tab/>
        <w:t>PRECAUZIONI PARTICOLARIPER LO SMALTIMENTO DEL MEDICINALE NON UTILIZZATO O DEI RIFIUTI DERIVATI DA TALE MEDICINALE, SE NECESSARIO</w:t>
      </w:r>
    </w:p>
    <w:p w:rsidR="006224C2" w:rsidRPr="00295E71" w14:paraId="1C371378" w14:textId="77777777">
      <w:pPr>
        <w:tabs>
          <w:tab w:val="left" w:pos="567"/>
        </w:tabs>
        <w:ind w:left="540" w:hanging="540"/>
        <w:rPr>
          <w:sz w:val="22"/>
          <w:szCs w:val="22"/>
        </w:rPr>
      </w:pPr>
    </w:p>
    <w:p w:rsidR="006224C2" w:rsidRPr="00295E71" w14:paraId="07F2B3E5" w14:textId="77777777">
      <w:pPr>
        <w:tabs>
          <w:tab w:val="left" w:pos="567"/>
        </w:tabs>
        <w:ind w:left="540" w:hanging="540"/>
        <w:rPr>
          <w:sz w:val="22"/>
          <w:szCs w:val="22"/>
        </w:rPr>
      </w:pPr>
    </w:p>
    <w:p w:rsidR="006224C2" w:rsidRPr="00295E71" w14:paraId="04EC0EB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11.</w:t>
      </w:r>
      <w:r w:rsidRPr="00295E71">
        <w:rPr>
          <w:b/>
          <w:bCs/>
          <w:sz w:val="22"/>
          <w:szCs w:val="22"/>
        </w:rPr>
        <w:tab/>
        <w:t>NOME E INDIRIZZO DEL TITOLARE DELL’AUTORIZZAZIONE ALL’IMMISSIONE IN COMMERCIO</w:t>
      </w:r>
    </w:p>
    <w:p w:rsidR="006224C2" w:rsidRPr="00295E71" w14:paraId="6EFE4B7D" w14:textId="77777777">
      <w:pPr>
        <w:tabs>
          <w:tab w:val="left" w:pos="567"/>
        </w:tabs>
        <w:ind w:left="540" w:hanging="540"/>
        <w:rPr>
          <w:sz w:val="22"/>
          <w:szCs w:val="22"/>
        </w:rPr>
      </w:pPr>
    </w:p>
    <w:p w:rsidR="002B142A" w:rsidRPr="00C04163" w:rsidP="002B142A" w14:paraId="2CA2EAA7" w14:textId="77777777">
      <w:pPr>
        <w:tabs>
          <w:tab w:val="left" w:pos="567"/>
        </w:tabs>
        <w:jc w:val="both"/>
        <w:rPr>
          <w:sz w:val="22"/>
          <w:szCs w:val="22"/>
          <w:lang w:val="de-CH"/>
        </w:rPr>
      </w:pPr>
      <w:r w:rsidRPr="00C04163">
        <w:rPr>
          <w:sz w:val="22"/>
          <w:szCs w:val="22"/>
          <w:lang w:val="de-CH"/>
        </w:rPr>
        <w:t>AbbVie Deutschland GmbH &amp; Co. KG</w:t>
      </w:r>
    </w:p>
    <w:p w:rsidR="002B142A" w:rsidRPr="00C04163" w:rsidP="002B142A" w14:paraId="0110E668" w14:textId="77777777">
      <w:pPr>
        <w:tabs>
          <w:tab w:val="left" w:pos="567"/>
        </w:tabs>
        <w:jc w:val="both"/>
        <w:rPr>
          <w:sz w:val="22"/>
          <w:szCs w:val="22"/>
          <w:lang w:val="de-CH"/>
        </w:rPr>
      </w:pPr>
      <w:r w:rsidRPr="00C04163">
        <w:rPr>
          <w:sz w:val="22"/>
          <w:szCs w:val="22"/>
          <w:lang w:val="de-CH"/>
        </w:rPr>
        <w:t>Knollstrasse</w:t>
      </w:r>
    </w:p>
    <w:p w:rsidR="002B142A" w:rsidRPr="00295E71" w:rsidP="002B142A" w14:paraId="0063E02D" w14:textId="77777777">
      <w:pPr>
        <w:tabs>
          <w:tab w:val="left" w:pos="567"/>
        </w:tabs>
        <w:jc w:val="both"/>
        <w:rPr>
          <w:sz w:val="22"/>
          <w:szCs w:val="22"/>
        </w:rPr>
      </w:pPr>
      <w:r w:rsidRPr="00295E71">
        <w:rPr>
          <w:sz w:val="22"/>
          <w:szCs w:val="22"/>
        </w:rPr>
        <w:t>67061 Ludwigshafen</w:t>
      </w:r>
    </w:p>
    <w:p w:rsidR="002B142A" w:rsidRPr="00295E71" w:rsidP="002B142A" w14:paraId="129BE143" w14:textId="77777777">
      <w:pPr>
        <w:tabs>
          <w:tab w:val="left" w:pos="567"/>
        </w:tabs>
        <w:jc w:val="both"/>
        <w:rPr>
          <w:sz w:val="22"/>
          <w:szCs w:val="22"/>
        </w:rPr>
      </w:pPr>
      <w:r w:rsidRPr="00295E71">
        <w:rPr>
          <w:sz w:val="22"/>
          <w:szCs w:val="22"/>
        </w:rPr>
        <w:t>Germania</w:t>
      </w:r>
    </w:p>
    <w:p w:rsidR="006224C2" w:rsidRPr="00295E71" w14:paraId="011D8E30" w14:textId="77777777">
      <w:pPr>
        <w:tabs>
          <w:tab w:val="left" w:pos="567"/>
        </w:tabs>
        <w:ind w:left="540" w:hanging="540"/>
        <w:rPr>
          <w:sz w:val="22"/>
          <w:szCs w:val="22"/>
        </w:rPr>
      </w:pPr>
    </w:p>
    <w:p w:rsidR="006224C2" w:rsidRPr="00295E71" w14:paraId="65E4700C" w14:textId="77777777">
      <w:pPr>
        <w:tabs>
          <w:tab w:val="left" w:pos="567"/>
        </w:tabs>
        <w:ind w:left="540" w:hanging="540"/>
        <w:rPr>
          <w:sz w:val="22"/>
          <w:szCs w:val="22"/>
        </w:rPr>
      </w:pPr>
    </w:p>
    <w:p w:rsidR="006224C2" w:rsidRPr="00295E71" w14:paraId="07AB677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12. </w:t>
      </w:r>
      <w:r w:rsidRPr="00295E71">
        <w:rPr>
          <w:b/>
          <w:bCs/>
          <w:sz w:val="22"/>
          <w:szCs w:val="22"/>
        </w:rPr>
        <w:tab/>
        <w:t>NUMERO DELL’AUTORIZZAZIONE ALL’IMMISSIONE IN COMMERCIO</w:t>
      </w:r>
    </w:p>
    <w:p w:rsidR="006224C2" w:rsidRPr="00295E71" w14:paraId="55ABE1EB" w14:textId="77777777">
      <w:pPr>
        <w:tabs>
          <w:tab w:val="left" w:pos="567"/>
        </w:tabs>
        <w:ind w:left="540" w:hanging="540"/>
        <w:rPr>
          <w:sz w:val="22"/>
          <w:szCs w:val="22"/>
        </w:rPr>
      </w:pPr>
    </w:p>
    <w:p w:rsidR="006224C2" w:rsidRPr="002172DD" w14:paraId="3E06D0FC" w14:textId="77777777">
      <w:pPr>
        <w:tabs>
          <w:tab w:val="left" w:pos="567"/>
        </w:tabs>
        <w:ind w:left="540" w:hanging="540"/>
        <w:rPr>
          <w:sz w:val="22"/>
          <w:szCs w:val="22"/>
        </w:rPr>
      </w:pPr>
      <w:r w:rsidRPr="002172DD">
        <w:rPr>
          <w:sz w:val="22"/>
          <w:szCs w:val="22"/>
        </w:rPr>
        <w:t>EU/1/03/256/016</w:t>
      </w:r>
    </w:p>
    <w:p w:rsidR="0083611B" w:rsidRPr="002172DD" w:rsidP="0083611B" w14:paraId="268C1A81" w14:textId="77777777">
      <w:pPr>
        <w:ind w:left="540" w:hanging="540"/>
        <w:rPr>
          <w:sz w:val="22"/>
          <w:highlight w:val="lightGray"/>
        </w:rPr>
      </w:pPr>
      <w:r w:rsidRPr="002172DD">
        <w:rPr>
          <w:sz w:val="22"/>
          <w:highlight w:val="lightGray"/>
        </w:rPr>
        <w:t>EU/1/03/256/017</w:t>
      </w:r>
    </w:p>
    <w:p w:rsidR="0083611B" w:rsidRPr="002172DD" w:rsidP="0083611B" w14:paraId="67E1A13A" w14:textId="77777777">
      <w:pPr>
        <w:ind w:left="540" w:hanging="540"/>
        <w:rPr>
          <w:sz w:val="22"/>
          <w:highlight w:val="lightGray"/>
        </w:rPr>
      </w:pPr>
      <w:r w:rsidRPr="002172DD">
        <w:rPr>
          <w:sz w:val="22"/>
          <w:highlight w:val="lightGray"/>
        </w:rPr>
        <w:t>EU/1/03/256/018</w:t>
      </w:r>
    </w:p>
    <w:p w:rsidR="0083611B" w:rsidRPr="002172DD" w:rsidP="0083611B" w14:paraId="55F30A28" w14:textId="77777777">
      <w:pPr>
        <w:tabs>
          <w:tab w:val="left" w:pos="567"/>
        </w:tabs>
        <w:ind w:left="540" w:hanging="540"/>
        <w:rPr>
          <w:sz w:val="20"/>
          <w:szCs w:val="22"/>
        </w:rPr>
      </w:pPr>
      <w:r w:rsidRPr="002172DD">
        <w:rPr>
          <w:sz w:val="22"/>
          <w:highlight w:val="lightGray"/>
        </w:rPr>
        <w:t>EU/1/03/256/019</w:t>
      </w:r>
    </w:p>
    <w:p w:rsidR="006224C2" w:rsidRPr="002172DD" w14:paraId="67D9836F" w14:textId="77777777">
      <w:pPr>
        <w:tabs>
          <w:tab w:val="left" w:pos="567"/>
        </w:tabs>
        <w:ind w:left="540" w:hanging="540"/>
        <w:rPr>
          <w:sz w:val="22"/>
          <w:szCs w:val="22"/>
        </w:rPr>
      </w:pPr>
    </w:p>
    <w:p w:rsidR="006224C2" w:rsidRPr="002172DD" w14:paraId="1E94308A" w14:textId="77777777">
      <w:pPr>
        <w:tabs>
          <w:tab w:val="left" w:pos="567"/>
        </w:tabs>
        <w:ind w:left="540" w:hanging="540"/>
        <w:rPr>
          <w:sz w:val="22"/>
          <w:szCs w:val="22"/>
        </w:rPr>
      </w:pPr>
    </w:p>
    <w:p w:rsidR="006224C2" w:rsidRPr="002172DD" w14:paraId="3616D13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172DD">
        <w:rPr>
          <w:b/>
          <w:bCs/>
          <w:sz w:val="22"/>
          <w:szCs w:val="22"/>
        </w:rPr>
        <w:t>13.</w:t>
      </w:r>
      <w:r w:rsidRPr="002172DD">
        <w:rPr>
          <w:b/>
          <w:bCs/>
          <w:sz w:val="22"/>
          <w:szCs w:val="22"/>
        </w:rPr>
        <w:tab/>
        <w:t>NUMERO DI LOTTO</w:t>
      </w:r>
    </w:p>
    <w:p w:rsidR="006224C2" w:rsidRPr="002172DD" w14:paraId="2465BFFE" w14:textId="77777777">
      <w:pPr>
        <w:tabs>
          <w:tab w:val="left" w:pos="567"/>
        </w:tabs>
        <w:ind w:left="540" w:hanging="540"/>
        <w:rPr>
          <w:sz w:val="22"/>
          <w:szCs w:val="22"/>
        </w:rPr>
      </w:pPr>
    </w:p>
    <w:p w:rsidR="006224C2" w:rsidRPr="00295E71" w14:paraId="6E833AE7" w14:textId="77777777">
      <w:pPr>
        <w:tabs>
          <w:tab w:val="left" w:pos="567"/>
        </w:tabs>
        <w:ind w:left="540" w:hanging="540"/>
        <w:rPr>
          <w:sz w:val="22"/>
          <w:szCs w:val="22"/>
        </w:rPr>
      </w:pPr>
      <w:r w:rsidRPr="00295E71">
        <w:rPr>
          <w:sz w:val="22"/>
          <w:szCs w:val="22"/>
        </w:rPr>
        <w:t xml:space="preserve">Lotto </w:t>
      </w:r>
    </w:p>
    <w:p w:rsidR="006224C2" w:rsidRPr="00295E71" w14:paraId="3B77A2A2" w14:textId="77777777">
      <w:pPr>
        <w:tabs>
          <w:tab w:val="left" w:pos="567"/>
        </w:tabs>
        <w:ind w:left="540" w:hanging="540"/>
        <w:rPr>
          <w:sz w:val="22"/>
          <w:szCs w:val="22"/>
        </w:rPr>
      </w:pPr>
    </w:p>
    <w:p w:rsidR="006224C2" w:rsidRPr="00295E71" w14:paraId="77A6FE49" w14:textId="77777777">
      <w:pPr>
        <w:tabs>
          <w:tab w:val="left" w:pos="567"/>
        </w:tabs>
        <w:ind w:left="540" w:hanging="540"/>
        <w:rPr>
          <w:sz w:val="22"/>
          <w:szCs w:val="22"/>
        </w:rPr>
      </w:pPr>
    </w:p>
    <w:p w:rsidR="006224C2" w:rsidRPr="00295E71" w14:paraId="5C7623C3"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14.</w:t>
      </w:r>
      <w:r w:rsidRPr="00295E71">
        <w:rPr>
          <w:b/>
          <w:bCs/>
          <w:sz w:val="22"/>
          <w:szCs w:val="22"/>
        </w:rPr>
        <w:tab/>
        <w:t>CONDIZIONE GENERALE DI FORNITURA</w:t>
      </w:r>
    </w:p>
    <w:p w:rsidR="006224C2" w:rsidRPr="00295E71" w14:paraId="3B46E9C0" w14:textId="77777777">
      <w:pPr>
        <w:tabs>
          <w:tab w:val="left" w:pos="567"/>
        </w:tabs>
        <w:ind w:left="540" w:hanging="540"/>
        <w:rPr>
          <w:sz w:val="22"/>
          <w:szCs w:val="22"/>
        </w:rPr>
      </w:pPr>
    </w:p>
    <w:p w:rsidR="006224C2" w:rsidRPr="00295E71" w14:paraId="2A823288" w14:textId="77777777">
      <w:pPr>
        <w:tabs>
          <w:tab w:val="left" w:pos="567"/>
        </w:tabs>
        <w:ind w:left="540" w:hanging="540"/>
        <w:rPr>
          <w:sz w:val="22"/>
          <w:szCs w:val="22"/>
        </w:rPr>
      </w:pPr>
    </w:p>
    <w:p w:rsidR="006224C2" w:rsidRPr="00295E71" w14:paraId="5FD965B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15.</w:t>
      </w:r>
      <w:r w:rsidRPr="00295E71">
        <w:rPr>
          <w:b/>
          <w:bCs/>
          <w:sz w:val="22"/>
          <w:szCs w:val="22"/>
        </w:rPr>
        <w:tab/>
        <w:t>ISTRUZIONI PER L’USO</w:t>
      </w:r>
    </w:p>
    <w:p w:rsidR="006224C2" w:rsidRPr="00295E71" w14:paraId="321F32C9" w14:textId="77777777">
      <w:pPr>
        <w:tabs>
          <w:tab w:val="left" w:pos="567"/>
        </w:tabs>
        <w:ind w:left="540" w:hanging="540"/>
        <w:rPr>
          <w:bCs/>
          <w:sz w:val="22"/>
          <w:szCs w:val="22"/>
        </w:rPr>
      </w:pPr>
    </w:p>
    <w:p w:rsidR="006224C2" w:rsidRPr="00295E71" w14:paraId="71EC09AE" w14:textId="77777777">
      <w:pPr>
        <w:tabs>
          <w:tab w:val="left" w:pos="567"/>
        </w:tabs>
        <w:ind w:left="540" w:hanging="540"/>
        <w:rPr>
          <w:bCs/>
          <w:sz w:val="22"/>
          <w:szCs w:val="22"/>
        </w:rPr>
      </w:pPr>
    </w:p>
    <w:p w:rsidR="006224C2" w:rsidRPr="00295E71" w14:paraId="073C4F0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16.</w:t>
      </w:r>
      <w:r w:rsidRPr="00295E71">
        <w:rPr>
          <w:b/>
          <w:bCs/>
          <w:sz w:val="22"/>
          <w:szCs w:val="22"/>
        </w:rPr>
        <w:tab/>
        <w:t>INFORMAZIONI IN BRAILLE</w:t>
      </w:r>
    </w:p>
    <w:p w:rsidR="006224C2" w:rsidRPr="00295E71" w14:paraId="2FB15C7F" w14:textId="77777777">
      <w:pPr>
        <w:tabs>
          <w:tab w:val="left" w:pos="567"/>
        </w:tabs>
        <w:ind w:left="540" w:hanging="540"/>
        <w:rPr>
          <w:bCs/>
          <w:sz w:val="22"/>
          <w:szCs w:val="22"/>
        </w:rPr>
      </w:pPr>
    </w:p>
    <w:p w:rsidR="006224C2" w:rsidRPr="00295E71" w14:paraId="42364582" w14:textId="77777777">
      <w:pPr>
        <w:tabs>
          <w:tab w:val="left" w:pos="567"/>
        </w:tabs>
        <w:ind w:left="540" w:hanging="540"/>
        <w:rPr>
          <w:sz w:val="22"/>
          <w:szCs w:val="22"/>
        </w:rPr>
      </w:pPr>
      <w:r w:rsidRPr="00295E71">
        <w:rPr>
          <w:sz w:val="22"/>
          <w:szCs w:val="22"/>
        </w:rPr>
        <w:t>Humira 40 mg</w:t>
      </w:r>
    </w:p>
    <w:p w:rsidR="006224C2" w:rsidRPr="00295E71" w14:paraId="3715701B" w14:textId="77777777">
      <w:pPr>
        <w:tabs>
          <w:tab w:val="left" w:pos="567"/>
        </w:tabs>
        <w:ind w:left="540" w:hanging="540"/>
        <w:rPr>
          <w:sz w:val="22"/>
          <w:szCs w:val="22"/>
          <w:u w:val="single"/>
        </w:rPr>
      </w:pPr>
    </w:p>
    <w:p w:rsidR="006224C2" w:rsidRPr="00295E71" w14:paraId="4C7A9A84" w14:textId="77777777">
      <w:pPr>
        <w:tabs>
          <w:tab w:val="left" w:pos="567"/>
        </w:tabs>
        <w:ind w:left="540" w:hanging="540"/>
        <w:rPr>
          <w:sz w:val="22"/>
          <w:szCs w:val="22"/>
          <w:u w:val="single"/>
        </w:rPr>
      </w:pPr>
    </w:p>
    <w:p w:rsidR="006224C2" w:rsidRPr="00295E71" w14:paraId="1686AA93" w14:textId="77777777">
      <w:pPr>
        <w:pStyle w:val="EMEAHeadingBoxedTitle"/>
        <w:ind w:left="0" w:firstLine="0"/>
        <w:rPr>
          <w:rFonts w:ascii="Times New Roman" w:hAnsi="Times New Roman"/>
          <w:b/>
          <w:bCs/>
          <w:szCs w:val="22"/>
          <w:lang w:val="it-IT"/>
        </w:rPr>
      </w:pPr>
      <w:r w:rsidRPr="00295E71">
        <w:rPr>
          <w:rFonts w:ascii="Times New Roman" w:hAnsi="Times New Roman"/>
          <w:b/>
          <w:bCs/>
          <w:szCs w:val="22"/>
          <w:lang w:val="it-IT"/>
        </w:rPr>
        <w:t xml:space="preserve">17. </w:t>
      </w:r>
      <w:r w:rsidRPr="00295E71">
        <w:rPr>
          <w:rFonts w:ascii="Times New Roman" w:hAnsi="Times New Roman"/>
          <w:b/>
          <w:bCs/>
          <w:szCs w:val="22"/>
          <w:lang w:val="it-IT"/>
        </w:rPr>
        <w:tab/>
        <w:t>IDENTIFICATivO UNICO – CODICE A BARRE bidimensionale</w:t>
      </w:r>
    </w:p>
    <w:p w:rsidR="006224C2" w:rsidRPr="00295E71" w14:paraId="474A7D1A" w14:textId="77777777">
      <w:pPr>
        <w:rPr>
          <w:sz w:val="22"/>
          <w:szCs w:val="22"/>
        </w:rPr>
      </w:pPr>
    </w:p>
    <w:p w:rsidR="006224C2" w:rsidRPr="00295E71" w14:paraId="0FAE3507" w14:textId="77777777">
      <w:pPr>
        <w:rPr>
          <w:sz w:val="22"/>
          <w:szCs w:val="22"/>
          <w:shd w:val="clear" w:color="auto" w:fill="BFBFBF"/>
        </w:rPr>
      </w:pPr>
      <w:r w:rsidRPr="00295E71">
        <w:rPr>
          <w:sz w:val="22"/>
          <w:szCs w:val="22"/>
          <w:shd w:val="clear" w:color="auto" w:fill="BFBFBF"/>
        </w:rPr>
        <w:t>Codice a barre bidimensionale con identificativo unico incluso.</w:t>
      </w:r>
    </w:p>
    <w:p w:rsidR="006224C2" w:rsidRPr="00295E71" w14:paraId="2934F435" w14:textId="77777777">
      <w:pPr>
        <w:rPr>
          <w:sz w:val="22"/>
          <w:szCs w:val="22"/>
          <w:shd w:val="clear" w:color="auto" w:fill="BFBFBF"/>
        </w:rPr>
      </w:pPr>
    </w:p>
    <w:p w:rsidR="006224C2" w:rsidRPr="00295E71" w14:paraId="6F89649A" w14:textId="77777777">
      <w:pPr>
        <w:rPr>
          <w:sz w:val="22"/>
          <w:szCs w:val="22"/>
          <w:shd w:val="clear" w:color="auto" w:fill="BFBFBF"/>
        </w:rPr>
      </w:pPr>
    </w:p>
    <w:p w:rsidR="006224C2" w:rsidRPr="00295E71" w14:paraId="04E54F80" w14:textId="77777777">
      <w:pPr>
        <w:pStyle w:val="EMEAHeadingBoxedTitle"/>
        <w:keepNext/>
        <w:ind w:left="0" w:firstLine="0"/>
        <w:rPr>
          <w:rFonts w:ascii="Times New Roman" w:hAnsi="Times New Roman"/>
          <w:szCs w:val="22"/>
          <w:lang w:val="it-IT"/>
        </w:rPr>
      </w:pPr>
      <w:r w:rsidRPr="00295E71">
        <w:rPr>
          <w:rFonts w:ascii="Times New Roman" w:hAnsi="Times New Roman"/>
          <w:b/>
          <w:bCs/>
          <w:szCs w:val="22"/>
          <w:lang w:val="it-IT"/>
        </w:rPr>
        <w:t xml:space="preserve">18. </w:t>
      </w:r>
      <w:r w:rsidRPr="00295E71">
        <w:rPr>
          <w:rFonts w:ascii="Times New Roman" w:hAnsi="Times New Roman"/>
          <w:b/>
          <w:bCs/>
          <w:szCs w:val="22"/>
          <w:lang w:val="it-IT"/>
        </w:rPr>
        <w:tab/>
        <w:t>IDENTIFICATivO UNICO – dati leggibili</w:t>
      </w:r>
    </w:p>
    <w:p w:rsidR="006224C2" w:rsidRPr="00295E71" w14:paraId="6C27962C" w14:textId="77777777">
      <w:pPr>
        <w:keepNext/>
        <w:ind w:left="540" w:hanging="540"/>
        <w:rPr>
          <w:sz w:val="22"/>
          <w:szCs w:val="22"/>
        </w:rPr>
      </w:pPr>
    </w:p>
    <w:p w:rsidR="006224C2" w:rsidRPr="00295E71" w14:paraId="45B90A6C" w14:textId="77777777">
      <w:pPr>
        <w:keepNext/>
        <w:ind w:left="540" w:hanging="540"/>
        <w:rPr>
          <w:sz w:val="22"/>
          <w:szCs w:val="22"/>
        </w:rPr>
      </w:pPr>
      <w:r w:rsidRPr="00295E71">
        <w:rPr>
          <w:sz w:val="22"/>
          <w:szCs w:val="22"/>
        </w:rPr>
        <w:t>PC</w:t>
      </w:r>
    </w:p>
    <w:p w:rsidR="006224C2" w:rsidRPr="00295E71" w14:paraId="66D1B590" w14:textId="77777777">
      <w:pPr>
        <w:keepNext/>
        <w:ind w:left="540" w:hanging="540"/>
        <w:rPr>
          <w:sz w:val="22"/>
          <w:szCs w:val="22"/>
        </w:rPr>
      </w:pPr>
      <w:r w:rsidRPr="00295E71">
        <w:rPr>
          <w:sz w:val="22"/>
          <w:szCs w:val="22"/>
        </w:rPr>
        <w:t>SN</w:t>
      </w:r>
    </w:p>
    <w:p w:rsidR="006224C2" w:rsidRPr="00295E71" w14:paraId="162F3779" w14:textId="77777777">
      <w:pPr>
        <w:keepNext/>
        <w:ind w:left="540" w:hanging="540"/>
        <w:rPr>
          <w:sz w:val="22"/>
          <w:szCs w:val="22"/>
        </w:rPr>
      </w:pPr>
      <w:r w:rsidRPr="0020624D">
        <w:rPr>
          <w:sz w:val="22"/>
          <w:szCs w:val="22"/>
          <w:highlight w:val="lightGray"/>
        </w:rPr>
        <w:t>NN</w:t>
      </w:r>
    </w:p>
    <w:p w:rsidR="006224C2" w:rsidRPr="00295E71" w14:paraId="2C6FCE7C" w14:textId="77777777">
      <w:pPr>
        <w:pStyle w:val="Heading3"/>
        <w:keepNext w:val="0"/>
        <w:tabs>
          <w:tab w:val="left" w:pos="567"/>
        </w:tabs>
        <w:ind w:left="540" w:hanging="540"/>
      </w:pPr>
      <w:r w:rsidRPr="00295E71">
        <w:br w:type="page"/>
      </w:r>
    </w:p>
    <w:p w:rsidR="006224C2" w:rsidRPr="00295E71" w14:paraId="5851475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 xml:space="preserve">INFORMAZIONI MINIME DA APPORRE SU BLISTER O STRIP </w:t>
      </w:r>
    </w:p>
    <w:p w:rsidR="006224C2" w:rsidRPr="00295E71" w14:paraId="412B65DF" w14:textId="77777777">
      <w:pPr>
        <w:pBdr>
          <w:top w:val="single" w:sz="4" w:space="1" w:color="auto"/>
          <w:left w:val="single" w:sz="4" w:space="4" w:color="auto"/>
          <w:bottom w:val="single" w:sz="4" w:space="1" w:color="auto"/>
          <w:right w:val="single" w:sz="4" w:space="4" w:color="auto"/>
        </w:pBdr>
        <w:tabs>
          <w:tab w:val="left" w:pos="567"/>
        </w:tabs>
        <w:ind w:left="540" w:hanging="540"/>
        <w:jc w:val="both"/>
        <w:rPr>
          <w:b/>
          <w:bCs/>
          <w:caps/>
          <w:sz w:val="22"/>
          <w:szCs w:val="22"/>
        </w:rPr>
      </w:pPr>
    </w:p>
    <w:p w:rsidR="006224C2" w:rsidRPr="00295E71" w14:paraId="38EFE07F" w14:textId="77777777">
      <w:pPr>
        <w:pStyle w:val="Heading3"/>
        <w:keepNext w:val="0"/>
        <w:pBdr>
          <w:top w:val="single" w:sz="4" w:space="1" w:color="auto"/>
          <w:left w:val="single" w:sz="4" w:space="4" w:color="auto"/>
          <w:bottom w:val="single" w:sz="4" w:space="1" w:color="auto"/>
          <w:right w:val="single" w:sz="4" w:space="4" w:color="auto"/>
        </w:pBdr>
        <w:tabs>
          <w:tab w:val="left" w:pos="567"/>
        </w:tabs>
        <w:ind w:left="540" w:hanging="540"/>
        <w:rPr>
          <w:b/>
          <w:bCs/>
          <w:u w:val="none"/>
        </w:rPr>
      </w:pPr>
      <w:r w:rsidRPr="00295E71">
        <w:rPr>
          <w:b/>
          <w:bCs/>
          <w:caps/>
          <w:u w:val="none"/>
        </w:rPr>
        <w:t>Testo da apporre sul retro della confezione</w:t>
      </w:r>
    </w:p>
    <w:p w:rsidR="006224C2" w:rsidRPr="00295E71" w14:paraId="658442B9" w14:textId="77777777">
      <w:pPr>
        <w:tabs>
          <w:tab w:val="left" w:pos="567"/>
        </w:tabs>
        <w:ind w:left="540" w:hanging="540"/>
        <w:jc w:val="both"/>
        <w:rPr>
          <w:sz w:val="22"/>
          <w:szCs w:val="22"/>
        </w:rPr>
      </w:pPr>
    </w:p>
    <w:p w:rsidR="006224C2" w:rsidRPr="00295E71" w14:paraId="1E00A434" w14:textId="77777777">
      <w:pPr>
        <w:tabs>
          <w:tab w:val="left" w:pos="567"/>
        </w:tabs>
        <w:ind w:left="540" w:hanging="540"/>
        <w:jc w:val="both"/>
        <w:rPr>
          <w:sz w:val="22"/>
          <w:szCs w:val="22"/>
        </w:rPr>
      </w:pPr>
    </w:p>
    <w:p w:rsidR="006224C2" w:rsidRPr="00295E71" w14:paraId="19A80F1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w:t>
      </w:r>
      <w:r w:rsidRPr="00295E71">
        <w:rPr>
          <w:b/>
          <w:bCs/>
          <w:sz w:val="22"/>
          <w:szCs w:val="22"/>
        </w:rPr>
        <w:tab/>
        <w:t>DENOMINAZIONE DEL MEDICINALE</w:t>
      </w:r>
    </w:p>
    <w:p w:rsidR="006224C2" w:rsidRPr="00295E71" w14:paraId="5F56F782" w14:textId="77777777">
      <w:pPr>
        <w:tabs>
          <w:tab w:val="left" w:pos="567"/>
        </w:tabs>
        <w:ind w:left="540" w:hanging="540"/>
        <w:jc w:val="both"/>
        <w:rPr>
          <w:sz w:val="22"/>
          <w:szCs w:val="22"/>
        </w:rPr>
      </w:pPr>
    </w:p>
    <w:p w:rsidR="006224C2" w:rsidRPr="00295E71" w14:paraId="26622B7E" w14:textId="77777777">
      <w:pPr>
        <w:tabs>
          <w:tab w:val="left" w:pos="567"/>
        </w:tabs>
        <w:ind w:left="540" w:hanging="540"/>
        <w:jc w:val="both"/>
        <w:rPr>
          <w:sz w:val="22"/>
          <w:szCs w:val="22"/>
        </w:rPr>
      </w:pPr>
      <w:r w:rsidRPr="00295E71">
        <w:rPr>
          <w:sz w:val="22"/>
          <w:szCs w:val="22"/>
        </w:rPr>
        <w:t>Humira 40 mg soluzione iniettabile in penna pre-riempita</w:t>
      </w:r>
    </w:p>
    <w:p w:rsidR="006224C2" w:rsidRPr="00295E71" w14:paraId="1F2B3E84" w14:textId="77777777">
      <w:pPr>
        <w:tabs>
          <w:tab w:val="left" w:pos="567"/>
        </w:tabs>
        <w:ind w:left="540" w:hanging="540"/>
        <w:jc w:val="both"/>
        <w:rPr>
          <w:sz w:val="22"/>
          <w:szCs w:val="22"/>
        </w:rPr>
      </w:pPr>
      <w:r w:rsidRPr="00295E71">
        <w:rPr>
          <w:sz w:val="22"/>
          <w:szCs w:val="22"/>
        </w:rPr>
        <w:t>adalimumab</w:t>
      </w:r>
    </w:p>
    <w:p w:rsidR="006224C2" w:rsidRPr="00295E71" w14:paraId="590A1B34" w14:textId="77777777">
      <w:pPr>
        <w:tabs>
          <w:tab w:val="left" w:pos="567"/>
        </w:tabs>
        <w:ind w:left="540" w:hanging="540"/>
        <w:jc w:val="both"/>
        <w:rPr>
          <w:sz w:val="22"/>
          <w:szCs w:val="22"/>
        </w:rPr>
      </w:pPr>
    </w:p>
    <w:p w:rsidR="006224C2" w:rsidRPr="00295E71" w14:paraId="73C27E24" w14:textId="77777777">
      <w:pPr>
        <w:tabs>
          <w:tab w:val="left" w:pos="567"/>
        </w:tabs>
        <w:ind w:left="540" w:hanging="540"/>
        <w:jc w:val="both"/>
        <w:rPr>
          <w:sz w:val="22"/>
          <w:szCs w:val="22"/>
        </w:rPr>
      </w:pPr>
    </w:p>
    <w:p w:rsidR="006224C2" w:rsidRPr="00295E71" w14:paraId="076E2CA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2.</w:t>
      </w:r>
      <w:r w:rsidRPr="00295E71">
        <w:rPr>
          <w:b/>
          <w:bCs/>
          <w:sz w:val="22"/>
          <w:szCs w:val="22"/>
        </w:rPr>
        <w:tab/>
        <w:t xml:space="preserve">NOME DEL TITOLARE DELL’AUTORIZZAZIONE ALL’IMMISSIONE IN COMMERCIO </w:t>
      </w:r>
    </w:p>
    <w:p w:rsidR="006224C2" w:rsidRPr="00295E71" w14:paraId="28B2F894" w14:textId="77777777">
      <w:pPr>
        <w:tabs>
          <w:tab w:val="left" w:pos="567"/>
        </w:tabs>
        <w:ind w:left="540" w:hanging="540"/>
        <w:jc w:val="both"/>
        <w:rPr>
          <w:sz w:val="22"/>
          <w:szCs w:val="22"/>
        </w:rPr>
      </w:pPr>
    </w:p>
    <w:p w:rsidR="006224C2" w:rsidRPr="00295E71" w14:paraId="74F7024E" w14:textId="77777777">
      <w:pPr>
        <w:tabs>
          <w:tab w:val="left" w:pos="567"/>
        </w:tabs>
        <w:ind w:left="540" w:hanging="540"/>
        <w:jc w:val="both"/>
        <w:rPr>
          <w:sz w:val="22"/>
          <w:szCs w:val="22"/>
        </w:rPr>
      </w:pPr>
      <w:r w:rsidRPr="00295E71">
        <w:rPr>
          <w:sz w:val="22"/>
          <w:szCs w:val="22"/>
        </w:rPr>
        <w:t xml:space="preserve">AbbVie </w:t>
      </w:r>
      <w:r w:rsidRPr="00295E71" w:rsidR="002B142A">
        <w:rPr>
          <w:sz w:val="22"/>
          <w:szCs w:val="22"/>
          <w:highlight w:val="lightGray"/>
        </w:rPr>
        <w:t>(logo)</w:t>
      </w:r>
    </w:p>
    <w:p w:rsidR="006224C2" w:rsidRPr="00295E71" w14:paraId="4320618C" w14:textId="77777777">
      <w:pPr>
        <w:tabs>
          <w:tab w:val="left" w:pos="567"/>
        </w:tabs>
        <w:ind w:left="540" w:hanging="540"/>
        <w:jc w:val="both"/>
        <w:rPr>
          <w:sz w:val="22"/>
          <w:szCs w:val="22"/>
        </w:rPr>
      </w:pPr>
    </w:p>
    <w:p w:rsidR="006224C2" w:rsidRPr="00295E71" w14:paraId="4C4B1166" w14:textId="77777777">
      <w:pPr>
        <w:pStyle w:val="EndnoteText"/>
        <w:ind w:left="540" w:hanging="540"/>
        <w:jc w:val="both"/>
        <w:rPr>
          <w:lang w:val="it-IT"/>
        </w:rPr>
      </w:pPr>
    </w:p>
    <w:p w:rsidR="006224C2" w:rsidRPr="00295E71" w14:paraId="76E7523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3.</w:t>
      </w:r>
      <w:r w:rsidRPr="00295E71">
        <w:rPr>
          <w:b/>
          <w:bCs/>
          <w:sz w:val="22"/>
          <w:szCs w:val="22"/>
        </w:rPr>
        <w:tab/>
        <w:t>DATA DI SCADENZA</w:t>
      </w:r>
    </w:p>
    <w:p w:rsidR="006224C2" w:rsidRPr="00295E71" w14:paraId="2349F1DB" w14:textId="77777777">
      <w:pPr>
        <w:tabs>
          <w:tab w:val="left" w:pos="567"/>
        </w:tabs>
        <w:ind w:left="540" w:hanging="540"/>
        <w:jc w:val="both"/>
        <w:rPr>
          <w:sz w:val="22"/>
          <w:szCs w:val="22"/>
        </w:rPr>
      </w:pPr>
    </w:p>
    <w:p w:rsidR="006224C2" w:rsidRPr="00295E71" w14:paraId="66D02B5C" w14:textId="77777777">
      <w:pPr>
        <w:tabs>
          <w:tab w:val="left" w:pos="567"/>
        </w:tabs>
        <w:ind w:left="540" w:hanging="540"/>
        <w:jc w:val="both"/>
        <w:rPr>
          <w:sz w:val="22"/>
          <w:szCs w:val="22"/>
        </w:rPr>
      </w:pPr>
      <w:r w:rsidRPr="00295E71">
        <w:rPr>
          <w:sz w:val="22"/>
          <w:szCs w:val="22"/>
        </w:rPr>
        <w:t xml:space="preserve">Scad. </w:t>
      </w:r>
    </w:p>
    <w:p w:rsidR="006224C2" w:rsidRPr="00295E71" w14:paraId="5B1C493A" w14:textId="77777777">
      <w:pPr>
        <w:tabs>
          <w:tab w:val="left" w:pos="567"/>
        </w:tabs>
        <w:ind w:left="540" w:hanging="540"/>
        <w:jc w:val="both"/>
        <w:rPr>
          <w:sz w:val="22"/>
          <w:szCs w:val="22"/>
        </w:rPr>
      </w:pPr>
    </w:p>
    <w:p w:rsidR="006224C2" w:rsidRPr="00295E71" w14:paraId="673229FB" w14:textId="77777777">
      <w:pPr>
        <w:tabs>
          <w:tab w:val="left" w:pos="567"/>
        </w:tabs>
        <w:ind w:left="540" w:hanging="540"/>
        <w:jc w:val="both"/>
        <w:rPr>
          <w:sz w:val="22"/>
          <w:szCs w:val="22"/>
        </w:rPr>
      </w:pPr>
    </w:p>
    <w:p w:rsidR="006224C2" w:rsidRPr="00295E71" w14:paraId="0A81825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4.</w:t>
      </w:r>
      <w:r w:rsidRPr="00295E71">
        <w:rPr>
          <w:b/>
          <w:bCs/>
          <w:sz w:val="22"/>
          <w:szCs w:val="22"/>
        </w:rPr>
        <w:tab/>
        <w:t>NUMERO DI LOTTO</w:t>
      </w:r>
    </w:p>
    <w:p w:rsidR="006224C2" w:rsidRPr="00295E71" w14:paraId="257101C5" w14:textId="77777777">
      <w:pPr>
        <w:tabs>
          <w:tab w:val="left" w:pos="567"/>
        </w:tabs>
        <w:ind w:left="540" w:hanging="540"/>
        <w:jc w:val="both"/>
        <w:rPr>
          <w:sz w:val="22"/>
          <w:szCs w:val="22"/>
        </w:rPr>
      </w:pPr>
    </w:p>
    <w:p w:rsidR="006224C2" w:rsidRPr="00295E71" w14:paraId="7B5D99B6" w14:textId="77777777">
      <w:pPr>
        <w:tabs>
          <w:tab w:val="left" w:pos="567"/>
        </w:tabs>
        <w:ind w:left="540" w:hanging="540"/>
        <w:jc w:val="both"/>
        <w:rPr>
          <w:sz w:val="22"/>
          <w:szCs w:val="22"/>
        </w:rPr>
      </w:pPr>
      <w:r w:rsidRPr="00295E71">
        <w:rPr>
          <w:sz w:val="22"/>
          <w:szCs w:val="22"/>
        </w:rPr>
        <w:t xml:space="preserve">Lotto </w:t>
      </w:r>
    </w:p>
    <w:p w:rsidR="006224C2" w:rsidRPr="00295E71" w14:paraId="50DECF55" w14:textId="77777777">
      <w:pPr>
        <w:tabs>
          <w:tab w:val="left" w:pos="567"/>
        </w:tabs>
        <w:ind w:left="540" w:hanging="540"/>
        <w:rPr>
          <w:bCs/>
          <w:sz w:val="22"/>
          <w:szCs w:val="22"/>
        </w:rPr>
      </w:pPr>
    </w:p>
    <w:p w:rsidR="006224C2" w:rsidRPr="00295E71" w14:paraId="0EC4BF3B" w14:textId="77777777">
      <w:pPr>
        <w:tabs>
          <w:tab w:val="left" w:pos="567"/>
        </w:tabs>
        <w:ind w:left="540" w:hanging="540"/>
        <w:rPr>
          <w:bCs/>
          <w:sz w:val="22"/>
          <w:szCs w:val="22"/>
        </w:rPr>
      </w:pPr>
    </w:p>
    <w:p w:rsidR="006224C2" w:rsidRPr="00295E71" w14:paraId="2CE8FB9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5.</w:t>
      </w:r>
      <w:r w:rsidRPr="00295E71">
        <w:rPr>
          <w:b/>
          <w:bCs/>
          <w:sz w:val="22"/>
          <w:szCs w:val="22"/>
        </w:rPr>
        <w:tab/>
        <w:t>ALTRO</w:t>
      </w:r>
    </w:p>
    <w:p w:rsidR="006224C2" w:rsidRPr="00295E71" w14:paraId="0109DDA7" w14:textId="77777777">
      <w:pPr>
        <w:tabs>
          <w:tab w:val="left" w:pos="567"/>
        </w:tabs>
        <w:ind w:left="540" w:hanging="540"/>
        <w:rPr>
          <w:bCs/>
          <w:sz w:val="22"/>
          <w:szCs w:val="22"/>
        </w:rPr>
      </w:pPr>
    </w:p>
    <w:p w:rsidR="006224C2" w:rsidRPr="00295E71" w14:paraId="72890FCE" w14:textId="77777777">
      <w:pPr>
        <w:tabs>
          <w:tab w:val="left" w:pos="567"/>
        </w:tabs>
        <w:ind w:left="540" w:hanging="540"/>
        <w:jc w:val="both"/>
        <w:rPr>
          <w:sz w:val="22"/>
          <w:szCs w:val="22"/>
        </w:rPr>
      </w:pPr>
      <w:r w:rsidRPr="00295E71">
        <w:rPr>
          <w:sz w:val="22"/>
          <w:szCs w:val="22"/>
        </w:rPr>
        <w:t>Vedere il foglio illustrativo per le informazioni sulle condizioni di conservazione.</w:t>
      </w:r>
    </w:p>
    <w:p w:rsidR="006474FA" w:rsidRPr="00295E71" w14:paraId="0F303E43" w14:textId="77777777">
      <w:pPr>
        <w:tabs>
          <w:tab w:val="left" w:pos="567"/>
        </w:tabs>
        <w:ind w:left="540" w:hanging="540"/>
        <w:jc w:val="both"/>
        <w:rPr>
          <w:sz w:val="22"/>
          <w:szCs w:val="22"/>
        </w:rPr>
      </w:pPr>
    </w:p>
    <w:p w:rsidR="006224C2" w:rsidRPr="00295E71" w14:paraId="48D1490F" w14:textId="77777777">
      <w:pPr>
        <w:tabs>
          <w:tab w:val="left" w:pos="567"/>
        </w:tabs>
        <w:ind w:left="540" w:hanging="540"/>
        <w:jc w:val="both"/>
        <w:rPr>
          <w:sz w:val="22"/>
          <w:szCs w:val="22"/>
        </w:rPr>
      </w:pPr>
      <w:r w:rsidRPr="00295E71">
        <w:rPr>
          <w:sz w:val="22"/>
          <w:szCs w:val="22"/>
        </w:rPr>
        <w:t>Esclusivamente monouso</w:t>
      </w:r>
      <w:r w:rsidRPr="00295E71" w:rsidR="006474FA">
        <w:rPr>
          <w:sz w:val="22"/>
          <w:szCs w:val="22"/>
        </w:rPr>
        <w:t>.</w:t>
      </w:r>
    </w:p>
    <w:p w:rsidR="006474FA" w:rsidRPr="00295E71" w14:paraId="1FECB18C" w14:textId="77777777">
      <w:pPr>
        <w:ind w:left="540" w:hanging="540"/>
        <w:rPr>
          <w:sz w:val="22"/>
          <w:szCs w:val="22"/>
        </w:rPr>
      </w:pPr>
    </w:p>
    <w:p w:rsidR="006224C2" w14:paraId="56640D51" w14:textId="77777777">
      <w:pPr>
        <w:ind w:left="540" w:hanging="540"/>
        <w:rPr>
          <w:sz w:val="22"/>
          <w:szCs w:val="22"/>
        </w:rPr>
      </w:pPr>
      <w:r w:rsidRPr="00295E71">
        <w:rPr>
          <w:sz w:val="22"/>
          <w:szCs w:val="22"/>
        </w:rPr>
        <w:t>40 mg/0,4 ml</w:t>
      </w:r>
    </w:p>
    <w:p w:rsidR="00DA39F8" w14:paraId="575FC4E0" w14:textId="77777777">
      <w:pPr>
        <w:ind w:left="540" w:hanging="540"/>
        <w:rPr>
          <w:sz w:val="22"/>
          <w:szCs w:val="22"/>
        </w:rPr>
      </w:pPr>
    </w:p>
    <w:p w:rsidR="00DA39F8" w:rsidRPr="00295E71" w14:paraId="1010A729" w14:textId="77777777">
      <w:pPr>
        <w:ind w:left="540" w:hanging="540"/>
        <w:rPr>
          <w:sz w:val="22"/>
          <w:szCs w:val="22"/>
        </w:rPr>
      </w:pPr>
    </w:p>
    <w:p w:rsidR="006224C2" w:rsidRPr="00295E71" w14:paraId="69E984F1" w14:textId="77777777">
      <w:pPr>
        <w:pStyle w:val="EndnoteText"/>
        <w:ind w:left="540" w:hanging="540"/>
        <w:rPr>
          <w:lang w:val="it-IT"/>
        </w:rPr>
      </w:pPr>
      <w:r w:rsidRPr="00295E71">
        <w:rPr>
          <w:lang w:val="it-IT"/>
        </w:rPr>
        <w:br w:type="page"/>
      </w:r>
    </w:p>
    <w:p w:rsidR="006224C2" w:rsidRPr="00295E71" w14:paraId="3E9E0278" w14:textId="77777777">
      <w:pPr>
        <w:pBdr>
          <w:top w:val="single" w:sz="4" w:space="1" w:color="auto"/>
          <w:left w:val="single" w:sz="4" w:space="1" w:color="auto"/>
          <w:bottom w:val="single" w:sz="4" w:space="1" w:color="auto"/>
          <w:right w:val="single" w:sz="4" w:space="1" w:color="auto"/>
        </w:pBdr>
        <w:tabs>
          <w:tab w:val="left" w:pos="180"/>
        </w:tabs>
        <w:rPr>
          <w:b/>
          <w:bCs/>
          <w:sz w:val="22"/>
          <w:szCs w:val="22"/>
        </w:rPr>
      </w:pPr>
      <w:r w:rsidRPr="00295E71">
        <w:rPr>
          <w:b/>
          <w:bCs/>
          <w:sz w:val="22"/>
          <w:szCs w:val="22"/>
        </w:rPr>
        <w:t>INFORMAZIONI MINIME DA APPORRE SUI CONFEZIONAMENTI PRIMARI DI PICCOLE DIMENSIONI</w:t>
      </w:r>
    </w:p>
    <w:p w:rsidR="006224C2" w:rsidRPr="00295E71" w14:paraId="4ED1852B" w14:textId="77777777">
      <w:pPr>
        <w:pBdr>
          <w:top w:val="single" w:sz="4" w:space="1" w:color="auto"/>
          <w:left w:val="single" w:sz="4" w:space="1" w:color="auto"/>
          <w:bottom w:val="single" w:sz="4" w:space="1" w:color="auto"/>
          <w:right w:val="single" w:sz="4" w:space="1" w:color="auto"/>
        </w:pBdr>
        <w:tabs>
          <w:tab w:val="left" w:pos="180"/>
        </w:tabs>
        <w:rPr>
          <w:b/>
          <w:bCs/>
          <w:caps/>
          <w:sz w:val="22"/>
          <w:szCs w:val="22"/>
        </w:rPr>
      </w:pPr>
    </w:p>
    <w:p w:rsidR="006224C2" w:rsidRPr="00295E71" w14:paraId="56EE98B6" w14:textId="77777777">
      <w:pPr>
        <w:pBdr>
          <w:top w:val="single" w:sz="4" w:space="1" w:color="auto"/>
          <w:left w:val="single" w:sz="4" w:space="1" w:color="auto"/>
          <w:bottom w:val="single" w:sz="4" w:space="1" w:color="auto"/>
          <w:right w:val="single" w:sz="4" w:space="1" w:color="auto"/>
        </w:pBdr>
        <w:tabs>
          <w:tab w:val="left" w:pos="567"/>
        </w:tabs>
        <w:ind w:left="540" w:hanging="540"/>
        <w:rPr>
          <w:b/>
          <w:bCs/>
          <w:sz w:val="22"/>
          <w:szCs w:val="22"/>
        </w:rPr>
      </w:pPr>
      <w:r w:rsidRPr="00295E71">
        <w:rPr>
          <w:b/>
          <w:bCs/>
          <w:caps/>
          <w:sz w:val="22"/>
          <w:szCs w:val="22"/>
        </w:rPr>
        <w:t>Etichetta da apporre sulla PENNA</w:t>
      </w:r>
    </w:p>
    <w:p w:rsidR="006224C2" w:rsidRPr="00295E71" w14:paraId="1A657302" w14:textId="77777777">
      <w:pPr>
        <w:pStyle w:val="Index1"/>
        <w:tabs>
          <w:tab w:val="left" w:pos="567"/>
        </w:tabs>
        <w:spacing w:line="260" w:lineRule="exact"/>
        <w:ind w:left="540" w:hanging="540"/>
        <w:rPr>
          <w:lang w:val="it-IT"/>
        </w:rPr>
      </w:pPr>
    </w:p>
    <w:p w:rsidR="006224C2" w:rsidRPr="00295E71" w14:paraId="40F9D4FD" w14:textId="77777777">
      <w:pPr>
        <w:tabs>
          <w:tab w:val="left" w:pos="567"/>
        </w:tabs>
        <w:ind w:left="540" w:hanging="540"/>
        <w:rPr>
          <w:b/>
          <w:bCs/>
          <w:sz w:val="22"/>
          <w:szCs w:val="22"/>
        </w:rPr>
      </w:pPr>
    </w:p>
    <w:p w:rsidR="006224C2" w:rsidRPr="00295E71" w14:paraId="4B6CCFC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w:t>
      </w:r>
      <w:r w:rsidRPr="00295E71">
        <w:rPr>
          <w:b/>
          <w:bCs/>
          <w:sz w:val="22"/>
          <w:szCs w:val="22"/>
        </w:rPr>
        <w:tab/>
        <w:t>DENOMINAZIONE DEL MEDICINALE E VIA DI SOMMINISTRAZIONE</w:t>
      </w:r>
    </w:p>
    <w:p w:rsidR="006224C2" w:rsidRPr="00295E71" w14:paraId="286B7496" w14:textId="77777777">
      <w:pPr>
        <w:tabs>
          <w:tab w:val="left" w:pos="567"/>
        </w:tabs>
        <w:ind w:left="540" w:hanging="540"/>
        <w:rPr>
          <w:sz w:val="22"/>
          <w:szCs w:val="22"/>
        </w:rPr>
      </w:pPr>
    </w:p>
    <w:p w:rsidR="006224C2" w:rsidRPr="00295E71" w14:paraId="3D6464ED" w14:textId="77777777">
      <w:pPr>
        <w:tabs>
          <w:tab w:val="left" w:pos="567"/>
        </w:tabs>
        <w:ind w:left="540" w:hanging="540"/>
        <w:rPr>
          <w:sz w:val="22"/>
          <w:szCs w:val="22"/>
        </w:rPr>
      </w:pPr>
      <w:r w:rsidRPr="00295E71">
        <w:rPr>
          <w:sz w:val="22"/>
          <w:szCs w:val="22"/>
        </w:rPr>
        <w:t>Humira 40 mg iniettabile</w:t>
      </w:r>
    </w:p>
    <w:p w:rsidR="006224C2" w:rsidRPr="00295E71" w14:paraId="4F80A80C" w14:textId="77777777">
      <w:pPr>
        <w:tabs>
          <w:tab w:val="left" w:pos="567"/>
        </w:tabs>
        <w:ind w:left="540" w:hanging="540"/>
        <w:rPr>
          <w:sz w:val="22"/>
          <w:szCs w:val="22"/>
        </w:rPr>
      </w:pPr>
      <w:r w:rsidRPr="00295E71">
        <w:rPr>
          <w:sz w:val="22"/>
          <w:szCs w:val="22"/>
        </w:rPr>
        <w:t>adalimumab</w:t>
      </w:r>
    </w:p>
    <w:p w:rsidR="006224C2" w:rsidRPr="00295E71" w14:paraId="15BBA6EF" w14:textId="77777777">
      <w:pPr>
        <w:pStyle w:val="EndnoteText"/>
        <w:ind w:left="540" w:hanging="540"/>
        <w:rPr>
          <w:lang w:val="it-IT"/>
        </w:rPr>
      </w:pPr>
      <w:r w:rsidRPr="00295E71">
        <w:rPr>
          <w:lang w:val="it-IT"/>
        </w:rPr>
        <w:t>s.c.</w:t>
      </w:r>
    </w:p>
    <w:p w:rsidR="006224C2" w:rsidRPr="00295E71" w14:paraId="5AFFD8BE" w14:textId="77777777">
      <w:pPr>
        <w:tabs>
          <w:tab w:val="left" w:pos="567"/>
        </w:tabs>
        <w:ind w:left="540" w:hanging="540"/>
        <w:rPr>
          <w:b/>
          <w:bCs/>
          <w:sz w:val="22"/>
          <w:szCs w:val="22"/>
        </w:rPr>
      </w:pPr>
    </w:p>
    <w:p w:rsidR="006224C2" w:rsidRPr="00295E71" w14:paraId="242ADA86" w14:textId="77777777">
      <w:pPr>
        <w:tabs>
          <w:tab w:val="left" w:pos="567"/>
        </w:tabs>
        <w:ind w:left="540" w:hanging="540"/>
        <w:rPr>
          <w:b/>
          <w:bCs/>
          <w:sz w:val="22"/>
          <w:szCs w:val="22"/>
        </w:rPr>
      </w:pPr>
    </w:p>
    <w:p w:rsidR="006224C2" w:rsidRPr="00295E71" w14:paraId="1B0E16E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2.</w:t>
      </w:r>
      <w:r w:rsidRPr="00295E71">
        <w:rPr>
          <w:b/>
          <w:bCs/>
          <w:sz w:val="22"/>
          <w:szCs w:val="22"/>
        </w:rPr>
        <w:tab/>
        <w:t>MODO DI SOMMINISTRAZIONE</w:t>
      </w:r>
    </w:p>
    <w:p w:rsidR="006224C2" w:rsidRPr="00295E71" w14:paraId="0692708C" w14:textId="77777777">
      <w:pPr>
        <w:pStyle w:val="IndexHeading"/>
        <w:spacing w:line="240" w:lineRule="auto"/>
        <w:ind w:left="540" w:hanging="540"/>
        <w:rPr>
          <w:rFonts w:ascii="Times New Roman" w:hAnsi="Times New Roman" w:cs="Times New Roman"/>
          <w:lang w:val="it-IT"/>
        </w:rPr>
      </w:pPr>
    </w:p>
    <w:p w:rsidR="006224C2" w:rsidRPr="00295E71" w14:paraId="3AF4544C" w14:textId="77777777">
      <w:pPr>
        <w:tabs>
          <w:tab w:val="left" w:pos="567"/>
        </w:tabs>
        <w:ind w:left="540" w:hanging="540"/>
        <w:rPr>
          <w:b/>
          <w:bCs/>
          <w:sz w:val="22"/>
          <w:szCs w:val="22"/>
        </w:rPr>
      </w:pPr>
    </w:p>
    <w:p w:rsidR="006224C2" w:rsidRPr="00295E71" w14:paraId="4A52AC3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3.</w:t>
      </w:r>
      <w:r w:rsidRPr="00295E71">
        <w:rPr>
          <w:b/>
          <w:bCs/>
          <w:sz w:val="22"/>
          <w:szCs w:val="22"/>
        </w:rPr>
        <w:tab/>
        <w:t>DATA DI SCADENZA</w:t>
      </w:r>
    </w:p>
    <w:p w:rsidR="006224C2" w:rsidRPr="00295E71" w14:paraId="60A6AF0C" w14:textId="77777777">
      <w:pPr>
        <w:tabs>
          <w:tab w:val="left" w:pos="567"/>
        </w:tabs>
        <w:ind w:left="540" w:hanging="540"/>
        <w:rPr>
          <w:sz w:val="22"/>
          <w:szCs w:val="22"/>
        </w:rPr>
      </w:pPr>
    </w:p>
    <w:p w:rsidR="006224C2" w:rsidRPr="00295E71" w14:paraId="7596481B" w14:textId="77777777">
      <w:pPr>
        <w:tabs>
          <w:tab w:val="left" w:pos="567"/>
        </w:tabs>
        <w:ind w:left="540" w:hanging="540"/>
        <w:rPr>
          <w:sz w:val="22"/>
          <w:szCs w:val="22"/>
        </w:rPr>
      </w:pPr>
      <w:r w:rsidRPr="00295E71">
        <w:rPr>
          <w:sz w:val="22"/>
          <w:szCs w:val="22"/>
        </w:rPr>
        <w:t>EXP</w:t>
      </w:r>
    </w:p>
    <w:p w:rsidR="006224C2" w:rsidRPr="00295E71" w14:paraId="21593177" w14:textId="77777777">
      <w:pPr>
        <w:tabs>
          <w:tab w:val="left" w:pos="567"/>
        </w:tabs>
        <w:ind w:left="540" w:hanging="540"/>
        <w:rPr>
          <w:b/>
          <w:bCs/>
          <w:sz w:val="22"/>
          <w:szCs w:val="22"/>
        </w:rPr>
      </w:pPr>
    </w:p>
    <w:p w:rsidR="006224C2" w:rsidRPr="00295E71" w14:paraId="75CB6D3B" w14:textId="77777777">
      <w:pPr>
        <w:tabs>
          <w:tab w:val="left" w:pos="567"/>
        </w:tabs>
        <w:ind w:left="540" w:hanging="540"/>
        <w:rPr>
          <w:sz w:val="22"/>
          <w:szCs w:val="22"/>
        </w:rPr>
      </w:pPr>
    </w:p>
    <w:p w:rsidR="006224C2" w:rsidRPr="00295E71" w14:paraId="182A69D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4.</w:t>
      </w:r>
      <w:r w:rsidRPr="00295E71">
        <w:rPr>
          <w:b/>
          <w:bCs/>
          <w:sz w:val="22"/>
          <w:szCs w:val="22"/>
        </w:rPr>
        <w:tab/>
        <w:t>NUMERO DI LOTTO</w:t>
      </w:r>
    </w:p>
    <w:p w:rsidR="006224C2" w:rsidRPr="00295E71" w14:paraId="2E2A5AA8" w14:textId="77777777">
      <w:pPr>
        <w:tabs>
          <w:tab w:val="left" w:pos="567"/>
        </w:tabs>
        <w:ind w:left="540" w:hanging="540"/>
        <w:rPr>
          <w:sz w:val="22"/>
          <w:szCs w:val="22"/>
        </w:rPr>
      </w:pPr>
    </w:p>
    <w:p w:rsidR="006224C2" w:rsidRPr="00295E71" w14:paraId="29E4AFCE" w14:textId="77777777">
      <w:pPr>
        <w:tabs>
          <w:tab w:val="left" w:pos="567"/>
        </w:tabs>
        <w:ind w:left="540" w:hanging="540"/>
        <w:rPr>
          <w:sz w:val="22"/>
          <w:szCs w:val="22"/>
        </w:rPr>
      </w:pPr>
      <w:r w:rsidRPr="00295E71">
        <w:rPr>
          <w:sz w:val="22"/>
          <w:szCs w:val="22"/>
        </w:rPr>
        <w:t xml:space="preserve">Lot </w:t>
      </w:r>
    </w:p>
    <w:p w:rsidR="006224C2" w:rsidRPr="00295E71" w14:paraId="45394455" w14:textId="77777777">
      <w:pPr>
        <w:tabs>
          <w:tab w:val="left" w:pos="567"/>
        </w:tabs>
        <w:ind w:left="540" w:right="113" w:hanging="540"/>
        <w:rPr>
          <w:sz w:val="22"/>
          <w:szCs w:val="22"/>
        </w:rPr>
      </w:pPr>
    </w:p>
    <w:p w:rsidR="006224C2" w:rsidRPr="00295E71" w14:paraId="40FF4A32" w14:textId="77777777">
      <w:pPr>
        <w:tabs>
          <w:tab w:val="left" w:pos="567"/>
        </w:tabs>
        <w:ind w:left="540" w:right="113" w:hanging="540"/>
        <w:rPr>
          <w:sz w:val="22"/>
          <w:szCs w:val="22"/>
        </w:rPr>
      </w:pPr>
    </w:p>
    <w:p w:rsidR="006224C2" w:rsidRPr="00295E71" w14:paraId="1CCE276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5.</w:t>
      </w:r>
      <w:r w:rsidRPr="00295E71">
        <w:rPr>
          <w:b/>
          <w:bCs/>
          <w:sz w:val="22"/>
          <w:szCs w:val="22"/>
        </w:rPr>
        <w:tab/>
        <w:t>CONTENUTO IN PESO, VOLUME O UNITA’</w:t>
      </w:r>
    </w:p>
    <w:p w:rsidR="006224C2" w:rsidRPr="00295E71" w14:paraId="2BCB2A1C" w14:textId="77777777">
      <w:pPr>
        <w:tabs>
          <w:tab w:val="left" w:pos="567"/>
        </w:tabs>
        <w:ind w:left="540" w:hanging="540"/>
        <w:rPr>
          <w:sz w:val="22"/>
          <w:szCs w:val="22"/>
        </w:rPr>
      </w:pPr>
    </w:p>
    <w:p w:rsidR="006224C2" w:rsidRPr="00295E71" w14:paraId="2C1B3FC7" w14:textId="77777777">
      <w:pPr>
        <w:tabs>
          <w:tab w:val="left" w:pos="567"/>
        </w:tabs>
        <w:ind w:left="540" w:hanging="540"/>
        <w:rPr>
          <w:sz w:val="22"/>
          <w:szCs w:val="22"/>
        </w:rPr>
      </w:pPr>
      <w:r w:rsidRPr="00295E71">
        <w:rPr>
          <w:sz w:val="22"/>
          <w:szCs w:val="22"/>
        </w:rPr>
        <w:t>40 mg/0,4 ml</w:t>
      </w:r>
    </w:p>
    <w:p w:rsidR="006224C2" w:rsidRPr="00295E71" w14:paraId="2C6A7356" w14:textId="77777777">
      <w:pPr>
        <w:tabs>
          <w:tab w:val="left" w:pos="567"/>
        </w:tabs>
        <w:ind w:left="540" w:hanging="540"/>
        <w:rPr>
          <w:sz w:val="22"/>
          <w:szCs w:val="22"/>
        </w:rPr>
      </w:pPr>
    </w:p>
    <w:p w:rsidR="006224C2" w:rsidRPr="00295E71" w14:paraId="0AD76D02" w14:textId="77777777">
      <w:pPr>
        <w:tabs>
          <w:tab w:val="left" w:pos="567"/>
        </w:tabs>
        <w:ind w:left="540" w:hanging="540"/>
        <w:rPr>
          <w:b/>
          <w:bCs/>
          <w:sz w:val="22"/>
          <w:szCs w:val="22"/>
          <w:u w:val="single"/>
        </w:rPr>
      </w:pPr>
    </w:p>
    <w:p w:rsidR="006224C2" w:rsidRPr="00295E71" w14:paraId="057D9323"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6.</w:t>
      </w:r>
      <w:r w:rsidRPr="00295E71">
        <w:rPr>
          <w:b/>
          <w:bCs/>
          <w:sz w:val="22"/>
          <w:szCs w:val="22"/>
        </w:rPr>
        <w:tab/>
        <w:t>ALTRO</w:t>
      </w:r>
    </w:p>
    <w:p w:rsidR="006224C2" w:rsidRPr="00295E71" w14:paraId="3D825C0A" w14:textId="77777777">
      <w:pPr>
        <w:rPr>
          <w:b/>
          <w:bCs/>
          <w:sz w:val="22"/>
          <w:szCs w:val="22"/>
          <w:u w:val="single"/>
        </w:rPr>
      </w:pPr>
    </w:p>
    <w:p w:rsidR="006224C2" w:rsidRPr="00295E71" w14:paraId="4D11B98F" w14:textId="77777777">
      <w:pPr>
        <w:rPr>
          <w:b/>
          <w:bCs/>
          <w:sz w:val="22"/>
          <w:szCs w:val="22"/>
          <w:u w:val="single"/>
        </w:rPr>
      </w:pPr>
    </w:p>
    <w:p w:rsidR="006224C2" w:rsidRPr="00295E71" w14:paraId="3C087931" w14:textId="77777777">
      <w:pPr>
        <w:rPr>
          <w:b/>
          <w:bCs/>
          <w:sz w:val="22"/>
          <w:szCs w:val="22"/>
          <w:u w:val="single"/>
        </w:rPr>
      </w:pPr>
      <w:r w:rsidRPr="00295E71">
        <w:rPr>
          <w:b/>
          <w:bCs/>
          <w:sz w:val="22"/>
          <w:szCs w:val="22"/>
          <w:u w:val="single"/>
        </w:rPr>
        <w:br w:type="page"/>
      </w:r>
    </w:p>
    <w:p w:rsidR="006224C2" w:rsidRPr="00295E71" w14:paraId="2C1E2944" w14:textId="77777777">
      <w:pPr>
        <w:pBdr>
          <w:top w:val="single" w:sz="4" w:space="1" w:color="auto"/>
          <w:left w:val="single" w:sz="4" w:space="4" w:color="auto"/>
          <w:bottom w:val="single" w:sz="4" w:space="1" w:color="auto"/>
          <w:right w:val="single" w:sz="4" w:space="4" w:color="auto"/>
        </w:pBdr>
        <w:tabs>
          <w:tab w:val="left" w:pos="567"/>
        </w:tabs>
        <w:jc w:val="both"/>
        <w:rPr>
          <w:b/>
          <w:bCs/>
          <w:sz w:val="22"/>
          <w:szCs w:val="22"/>
        </w:rPr>
      </w:pPr>
      <w:r w:rsidRPr="00295E71">
        <w:rPr>
          <w:b/>
          <w:bCs/>
          <w:sz w:val="22"/>
          <w:szCs w:val="22"/>
        </w:rPr>
        <w:t>INFORMAZIONI DA APPORRE SUL CONFEZIONAMENTO SECONDARIO</w:t>
      </w:r>
    </w:p>
    <w:p w:rsidR="006224C2" w:rsidRPr="00295E71" w14:paraId="1C21CEBA" w14:textId="77777777">
      <w:pPr>
        <w:pBdr>
          <w:top w:val="single" w:sz="4" w:space="1" w:color="auto"/>
          <w:left w:val="single" w:sz="4" w:space="4" w:color="auto"/>
          <w:bottom w:val="single" w:sz="4" w:space="1" w:color="auto"/>
          <w:right w:val="single" w:sz="4" w:space="4" w:color="auto"/>
        </w:pBdr>
        <w:tabs>
          <w:tab w:val="left" w:pos="567"/>
        </w:tabs>
        <w:jc w:val="both"/>
        <w:rPr>
          <w:b/>
          <w:bCs/>
          <w:caps/>
          <w:sz w:val="22"/>
          <w:szCs w:val="22"/>
        </w:rPr>
      </w:pPr>
    </w:p>
    <w:p w:rsidR="006224C2" w:rsidRPr="00295E71" w14:paraId="580471D0" w14:textId="77777777">
      <w:pPr>
        <w:pBdr>
          <w:top w:val="single" w:sz="4" w:space="1" w:color="auto"/>
          <w:left w:val="single" w:sz="4" w:space="4" w:color="auto"/>
          <w:bottom w:val="single" w:sz="4" w:space="1" w:color="auto"/>
          <w:right w:val="single" w:sz="4" w:space="4" w:color="auto"/>
        </w:pBdr>
        <w:tabs>
          <w:tab w:val="left" w:pos="567"/>
        </w:tabs>
        <w:jc w:val="both"/>
        <w:rPr>
          <w:b/>
          <w:bCs/>
          <w:caps/>
          <w:sz w:val="22"/>
          <w:szCs w:val="22"/>
        </w:rPr>
      </w:pPr>
      <w:r w:rsidRPr="00295E71">
        <w:rPr>
          <w:b/>
          <w:bCs/>
          <w:caps/>
          <w:sz w:val="22"/>
          <w:szCs w:val="22"/>
        </w:rPr>
        <w:t>ASTUCCIO ESTERNO</w:t>
      </w:r>
    </w:p>
    <w:p w:rsidR="006224C2" w:rsidRPr="00295E71" w14:paraId="3D8F13E7" w14:textId="77777777">
      <w:pPr>
        <w:tabs>
          <w:tab w:val="left" w:pos="567"/>
        </w:tabs>
        <w:jc w:val="both"/>
        <w:rPr>
          <w:b/>
          <w:bCs/>
          <w:sz w:val="22"/>
          <w:szCs w:val="22"/>
        </w:rPr>
      </w:pPr>
    </w:p>
    <w:p w:rsidR="006224C2" w:rsidRPr="00295E71" w14:paraId="34FB4881" w14:textId="77777777">
      <w:pPr>
        <w:tabs>
          <w:tab w:val="left" w:pos="567"/>
        </w:tabs>
        <w:jc w:val="both"/>
        <w:rPr>
          <w:b/>
          <w:bCs/>
          <w:sz w:val="22"/>
          <w:szCs w:val="22"/>
        </w:rPr>
      </w:pPr>
    </w:p>
    <w:p w:rsidR="006224C2" w:rsidRPr="00295E71" w14:paraId="2719508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1. </w:t>
      </w:r>
      <w:r w:rsidRPr="00295E71">
        <w:rPr>
          <w:b/>
          <w:bCs/>
          <w:sz w:val="22"/>
          <w:szCs w:val="22"/>
        </w:rPr>
        <w:tab/>
        <w:t>DENOMINAZIONE DEL MEDICINALE</w:t>
      </w:r>
    </w:p>
    <w:p w:rsidR="006224C2" w:rsidRPr="00295E71" w14:paraId="113453AC" w14:textId="77777777">
      <w:pPr>
        <w:tabs>
          <w:tab w:val="left" w:pos="567"/>
        </w:tabs>
        <w:ind w:left="540" w:hanging="540"/>
        <w:rPr>
          <w:sz w:val="22"/>
          <w:szCs w:val="22"/>
        </w:rPr>
      </w:pPr>
    </w:p>
    <w:p w:rsidR="006224C2" w:rsidRPr="00295E71" w14:paraId="1F7A992B" w14:textId="77777777">
      <w:pPr>
        <w:tabs>
          <w:tab w:val="left" w:pos="567"/>
        </w:tabs>
        <w:ind w:left="540" w:hanging="540"/>
        <w:rPr>
          <w:sz w:val="22"/>
          <w:szCs w:val="22"/>
        </w:rPr>
      </w:pPr>
      <w:r w:rsidRPr="00295E71">
        <w:rPr>
          <w:sz w:val="22"/>
          <w:szCs w:val="22"/>
        </w:rPr>
        <w:t>Humira 80 mg soluzione iniettabile in siringa pre-riempita</w:t>
      </w:r>
    </w:p>
    <w:p w:rsidR="006224C2" w:rsidRPr="00295E71" w14:paraId="3D52DC7D" w14:textId="77777777">
      <w:pPr>
        <w:pStyle w:val="EndnoteText"/>
        <w:ind w:left="540" w:hanging="540"/>
        <w:rPr>
          <w:lang w:val="it-IT"/>
        </w:rPr>
      </w:pPr>
      <w:r w:rsidRPr="00295E71">
        <w:rPr>
          <w:lang w:val="it-IT"/>
        </w:rPr>
        <w:t>adalimumab</w:t>
      </w:r>
    </w:p>
    <w:p w:rsidR="006224C2" w:rsidRPr="00295E71" w14:paraId="2EE18765" w14:textId="77777777">
      <w:pPr>
        <w:tabs>
          <w:tab w:val="left" w:pos="567"/>
        </w:tabs>
        <w:ind w:left="540" w:hanging="540"/>
        <w:rPr>
          <w:sz w:val="22"/>
          <w:szCs w:val="22"/>
        </w:rPr>
      </w:pPr>
    </w:p>
    <w:p w:rsidR="006224C2" w:rsidRPr="00295E71" w14:paraId="1D13FB52" w14:textId="77777777">
      <w:pPr>
        <w:tabs>
          <w:tab w:val="left" w:pos="567"/>
        </w:tabs>
        <w:ind w:left="540" w:hanging="540"/>
        <w:rPr>
          <w:sz w:val="22"/>
          <w:szCs w:val="22"/>
        </w:rPr>
      </w:pPr>
    </w:p>
    <w:p w:rsidR="006224C2" w:rsidRPr="00295E71" w14:paraId="229D332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2. </w:t>
      </w:r>
      <w:r w:rsidRPr="00295E71">
        <w:rPr>
          <w:b/>
          <w:bCs/>
          <w:sz w:val="22"/>
          <w:szCs w:val="22"/>
        </w:rPr>
        <w:tab/>
        <w:t>COMPOSIZIONE QUALITATIVA E QUANTITATIVA IN TERMINI DI PRINCIPIO ATTIVO</w:t>
      </w:r>
    </w:p>
    <w:p w:rsidR="006224C2" w:rsidRPr="00295E71" w14:paraId="03C0727B" w14:textId="77777777">
      <w:pPr>
        <w:tabs>
          <w:tab w:val="left" w:pos="567"/>
        </w:tabs>
        <w:ind w:left="540" w:hanging="540"/>
        <w:rPr>
          <w:sz w:val="22"/>
          <w:szCs w:val="22"/>
        </w:rPr>
      </w:pPr>
    </w:p>
    <w:p w:rsidR="006224C2" w:rsidRPr="00295E71" w14:paraId="08F49036" w14:textId="77777777">
      <w:pPr>
        <w:tabs>
          <w:tab w:val="left" w:pos="567"/>
        </w:tabs>
        <w:ind w:left="540" w:hanging="540"/>
        <w:rPr>
          <w:sz w:val="22"/>
          <w:szCs w:val="22"/>
        </w:rPr>
      </w:pPr>
      <w:r w:rsidRPr="00295E71">
        <w:rPr>
          <w:sz w:val="22"/>
          <w:szCs w:val="22"/>
        </w:rPr>
        <w:t>Una siringa pre-riempita da 0,8 ml contiene 80 mg di adalimumab</w:t>
      </w:r>
    </w:p>
    <w:p w:rsidR="006224C2" w:rsidRPr="00295E71" w14:paraId="294D0B96" w14:textId="77777777">
      <w:pPr>
        <w:tabs>
          <w:tab w:val="left" w:pos="567"/>
        </w:tabs>
        <w:ind w:left="540" w:hanging="540"/>
        <w:rPr>
          <w:sz w:val="22"/>
          <w:szCs w:val="22"/>
        </w:rPr>
      </w:pPr>
    </w:p>
    <w:p w:rsidR="006224C2" w:rsidRPr="00295E71" w14:paraId="0BC2342A" w14:textId="77777777">
      <w:pPr>
        <w:tabs>
          <w:tab w:val="left" w:pos="567"/>
        </w:tabs>
        <w:ind w:left="540" w:hanging="540"/>
        <w:rPr>
          <w:sz w:val="22"/>
          <w:szCs w:val="22"/>
        </w:rPr>
      </w:pPr>
    </w:p>
    <w:p w:rsidR="006224C2" w:rsidRPr="00295E71" w14:paraId="3457EB5A"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3. </w:t>
      </w:r>
      <w:r w:rsidRPr="00295E71">
        <w:rPr>
          <w:b/>
          <w:bCs/>
          <w:sz w:val="22"/>
          <w:szCs w:val="22"/>
        </w:rPr>
        <w:tab/>
        <w:t>ELENCO DEGLI ECCIPIENTI</w:t>
      </w:r>
    </w:p>
    <w:p w:rsidR="006224C2" w:rsidRPr="00295E71" w14:paraId="2BECA919" w14:textId="77777777">
      <w:pPr>
        <w:tabs>
          <w:tab w:val="left" w:pos="567"/>
        </w:tabs>
        <w:rPr>
          <w:sz w:val="22"/>
          <w:szCs w:val="22"/>
        </w:rPr>
      </w:pPr>
    </w:p>
    <w:p w:rsidR="006224C2" w:rsidRPr="00295E71" w14:paraId="311FEFE9" w14:textId="77777777">
      <w:pPr>
        <w:pStyle w:val="EMEAFigureTitle"/>
        <w:suppressAutoHyphens w:val="0"/>
        <w:autoSpaceDE w:val="0"/>
        <w:autoSpaceDN w:val="0"/>
        <w:adjustRightInd w:val="0"/>
        <w:rPr>
          <w:lang w:val="it-IT" w:eastAsia="it-IT"/>
        </w:rPr>
      </w:pPr>
      <w:r w:rsidRPr="00295E71">
        <w:rPr>
          <w:lang w:val="it-IT" w:eastAsia="it-IT"/>
        </w:rPr>
        <w:t>Eccipienti: mannitolo, polisorbato 80 e acqua per preparazioni iniettabili. Per ulteriori informazioni vedere il foglio illustrativo.</w:t>
      </w:r>
    </w:p>
    <w:p w:rsidR="006224C2" w:rsidRPr="00295E71" w14:paraId="31439097" w14:textId="77777777">
      <w:pPr>
        <w:tabs>
          <w:tab w:val="left" w:pos="567"/>
        </w:tabs>
        <w:ind w:left="540" w:hanging="540"/>
        <w:rPr>
          <w:sz w:val="22"/>
          <w:szCs w:val="22"/>
        </w:rPr>
      </w:pPr>
    </w:p>
    <w:p w:rsidR="006224C2" w:rsidRPr="00295E71" w14:paraId="080ECD9F" w14:textId="77777777">
      <w:pPr>
        <w:tabs>
          <w:tab w:val="left" w:pos="567"/>
        </w:tabs>
        <w:ind w:left="540" w:hanging="540"/>
        <w:rPr>
          <w:sz w:val="22"/>
          <w:szCs w:val="22"/>
        </w:rPr>
      </w:pPr>
    </w:p>
    <w:p w:rsidR="006224C2" w:rsidRPr="00295E71" w14:paraId="3AF2FB4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4. </w:t>
      </w:r>
      <w:r w:rsidRPr="00295E71">
        <w:rPr>
          <w:b/>
          <w:bCs/>
          <w:sz w:val="22"/>
          <w:szCs w:val="22"/>
        </w:rPr>
        <w:tab/>
        <w:t>FORMA FARMACEUTICA E CONTENUTO</w:t>
      </w:r>
      <w:r w:rsidRPr="00295E71">
        <w:rPr>
          <w:b/>
          <w:bCs/>
          <w:sz w:val="22"/>
          <w:szCs w:val="22"/>
        </w:rPr>
        <w:tab/>
      </w:r>
    </w:p>
    <w:p w:rsidR="006224C2" w:rsidRPr="00295E71" w14:paraId="169F3E5F" w14:textId="77777777">
      <w:pPr>
        <w:tabs>
          <w:tab w:val="left" w:pos="567"/>
        </w:tabs>
        <w:ind w:left="540" w:hanging="540"/>
        <w:rPr>
          <w:sz w:val="22"/>
          <w:szCs w:val="22"/>
        </w:rPr>
      </w:pPr>
    </w:p>
    <w:p w:rsidR="006474FA" w:rsidRPr="00295E71" w14:paraId="762878FB" w14:textId="77777777">
      <w:pPr>
        <w:tabs>
          <w:tab w:val="left" w:pos="567"/>
        </w:tabs>
        <w:ind w:left="540" w:hanging="540"/>
        <w:rPr>
          <w:sz w:val="22"/>
          <w:szCs w:val="22"/>
        </w:rPr>
      </w:pPr>
      <w:r w:rsidRPr="00295E71">
        <w:rPr>
          <w:sz w:val="22"/>
          <w:szCs w:val="22"/>
          <w:highlight w:val="lightGray"/>
        </w:rPr>
        <w:t>Soluzione iniettabile</w:t>
      </w:r>
      <w:r w:rsidRPr="00295E71">
        <w:rPr>
          <w:sz w:val="22"/>
          <w:szCs w:val="22"/>
        </w:rPr>
        <w:t xml:space="preserve"> </w:t>
      </w:r>
    </w:p>
    <w:p w:rsidR="006224C2" w:rsidRPr="00295E71" w14:paraId="09B6376A" w14:textId="77777777">
      <w:pPr>
        <w:tabs>
          <w:tab w:val="left" w:pos="567"/>
        </w:tabs>
        <w:ind w:left="540" w:hanging="540"/>
        <w:rPr>
          <w:sz w:val="22"/>
          <w:szCs w:val="22"/>
        </w:rPr>
      </w:pPr>
      <w:r w:rsidRPr="00295E71">
        <w:rPr>
          <w:sz w:val="22"/>
          <w:szCs w:val="22"/>
        </w:rPr>
        <w:t>1 siringa pre-riempita</w:t>
      </w:r>
    </w:p>
    <w:p w:rsidR="006224C2" w:rsidRPr="00295E71" w14:paraId="2E78854C" w14:textId="77777777">
      <w:pPr>
        <w:tabs>
          <w:tab w:val="left" w:pos="567"/>
        </w:tabs>
        <w:ind w:left="540" w:hanging="540"/>
        <w:rPr>
          <w:i/>
          <w:iCs/>
          <w:sz w:val="22"/>
          <w:szCs w:val="22"/>
        </w:rPr>
      </w:pPr>
      <w:r w:rsidRPr="00295E71">
        <w:rPr>
          <w:sz w:val="22"/>
          <w:szCs w:val="22"/>
        </w:rPr>
        <w:t>1 tampone imbevuto di alcool</w:t>
      </w:r>
    </w:p>
    <w:p w:rsidR="006224C2" w:rsidRPr="00295E71" w14:paraId="609E7964" w14:textId="77777777">
      <w:pPr>
        <w:tabs>
          <w:tab w:val="left" w:pos="567"/>
        </w:tabs>
        <w:ind w:left="540" w:hanging="540"/>
        <w:rPr>
          <w:sz w:val="22"/>
          <w:szCs w:val="22"/>
        </w:rPr>
      </w:pPr>
    </w:p>
    <w:p w:rsidR="006224C2" w:rsidRPr="00295E71" w14:paraId="3AA3E7CA" w14:textId="77777777">
      <w:pPr>
        <w:tabs>
          <w:tab w:val="left" w:pos="567"/>
        </w:tabs>
        <w:ind w:left="540" w:hanging="540"/>
        <w:rPr>
          <w:color w:val="000000"/>
          <w:sz w:val="22"/>
          <w:szCs w:val="22"/>
          <w:u w:val="single"/>
        </w:rPr>
      </w:pPr>
    </w:p>
    <w:p w:rsidR="006224C2" w:rsidRPr="00295E71" w14:paraId="3D0010E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5. </w:t>
      </w:r>
      <w:r w:rsidRPr="00295E71">
        <w:rPr>
          <w:b/>
          <w:bCs/>
          <w:sz w:val="22"/>
          <w:szCs w:val="22"/>
        </w:rPr>
        <w:tab/>
        <w:t>MODO E VIA DI SOMMINISTRAZIONE</w:t>
      </w:r>
    </w:p>
    <w:p w:rsidR="006224C2" w:rsidRPr="00295E71" w14:paraId="4694D2DE" w14:textId="77777777">
      <w:pPr>
        <w:tabs>
          <w:tab w:val="left" w:pos="567"/>
        </w:tabs>
        <w:ind w:left="540" w:hanging="540"/>
        <w:rPr>
          <w:sz w:val="22"/>
          <w:szCs w:val="22"/>
        </w:rPr>
      </w:pPr>
    </w:p>
    <w:p w:rsidR="006224C2" w:rsidRPr="00295E71" w14:paraId="566A78E5" w14:textId="77777777">
      <w:pPr>
        <w:tabs>
          <w:tab w:val="left" w:pos="567"/>
        </w:tabs>
        <w:ind w:left="540" w:hanging="540"/>
        <w:rPr>
          <w:sz w:val="22"/>
          <w:szCs w:val="22"/>
        </w:rPr>
      </w:pPr>
      <w:r w:rsidRPr="00295E71">
        <w:rPr>
          <w:sz w:val="22"/>
          <w:szCs w:val="22"/>
        </w:rPr>
        <w:t>Uso sottocutaneo</w:t>
      </w:r>
    </w:p>
    <w:p w:rsidR="006224C2" w:rsidRPr="00295E71" w14:paraId="4DACD8C2" w14:textId="77777777">
      <w:pPr>
        <w:tabs>
          <w:tab w:val="left" w:pos="567"/>
        </w:tabs>
        <w:ind w:left="540" w:hanging="540"/>
        <w:rPr>
          <w:sz w:val="22"/>
          <w:szCs w:val="22"/>
        </w:rPr>
      </w:pPr>
    </w:p>
    <w:p w:rsidR="006224C2" w:rsidRPr="00295E71" w14:paraId="7B047612" w14:textId="77777777">
      <w:pPr>
        <w:tabs>
          <w:tab w:val="left" w:pos="567"/>
        </w:tabs>
        <w:ind w:left="540" w:hanging="540"/>
        <w:rPr>
          <w:sz w:val="22"/>
          <w:szCs w:val="22"/>
        </w:rPr>
      </w:pPr>
      <w:r w:rsidRPr="00295E71">
        <w:rPr>
          <w:sz w:val="22"/>
          <w:szCs w:val="22"/>
        </w:rPr>
        <w:t>Leggere il foglio illustrativo prima dell'uso.</w:t>
      </w:r>
    </w:p>
    <w:p w:rsidR="006474FA" w:rsidRPr="00295E71" w14:paraId="75328A72" w14:textId="77777777">
      <w:pPr>
        <w:tabs>
          <w:tab w:val="left" w:pos="567"/>
        </w:tabs>
        <w:ind w:left="540" w:hanging="540"/>
        <w:rPr>
          <w:sz w:val="22"/>
          <w:szCs w:val="22"/>
        </w:rPr>
      </w:pPr>
    </w:p>
    <w:p w:rsidR="006474FA" w:rsidRPr="00295E71" w14:paraId="2EF625A3" w14:textId="77777777">
      <w:pPr>
        <w:tabs>
          <w:tab w:val="left" w:pos="567"/>
        </w:tabs>
        <w:ind w:left="540" w:hanging="540"/>
        <w:rPr>
          <w:sz w:val="22"/>
          <w:szCs w:val="22"/>
        </w:rPr>
      </w:pPr>
      <w:r w:rsidRPr="00295E71">
        <w:rPr>
          <w:sz w:val="22"/>
          <w:szCs w:val="22"/>
        </w:rPr>
        <w:t>Esclusivamente monouso.</w:t>
      </w:r>
    </w:p>
    <w:p w:rsidR="006224C2" w:rsidRPr="00295E71" w14:paraId="340E992F" w14:textId="77777777">
      <w:pPr>
        <w:tabs>
          <w:tab w:val="left" w:pos="567"/>
        </w:tabs>
        <w:ind w:left="540" w:hanging="540"/>
        <w:rPr>
          <w:sz w:val="22"/>
          <w:szCs w:val="22"/>
        </w:rPr>
      </w:pPr>
    </w:p>
    <w:p w:rsidR="006224C2" w:rsidRPr="00295E71" w14:paraId="2F17780B" w14:textId="77777777">
      <w:pPr>
        <w:tabs>
          <w:tab w:val="left" w:pos="567"/>
        </w:tabs>
        <w:ind w:left="540" w:hanging="540"/>
        <w:rPr>
          <w:sz w:val="22"/>
          <w:szCs w:val="22"/>
        </w:rPr>
      </w:pPr>
    </w:p>
    <w:p w:rsidR="006224C2" w:rsidRPr="00295E71" w14:paraId="3264FAEA"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6. </w:t>
      </w:r>
      <w:r w:rsidRPr="00295E71">
        <w:rPr>
          <w:b/>
          <w:bCs/>
          <w:sz w:val="22"/>
          <w:szCs w:val="22"/>
        </w:rPr>
        <w:tab/>
        <w:t>AVVERTENZA PARTICOLARE CHE PRESCRIVA DI TENERE IL MEDICINALE FUORI DALLA VISTA E DALLA PORTATA DEI BAMBINI</w:t>
      </w:r>
    </w:p>
    <w:p w:rsidR="006224C2" w:rsidRPr="00295E71" w14:paraId="66FAB055" w14:textId="77777777">
      <w:pPr>
        <w:tabs>
          <w:tab w:val="left" w:pos="567"/>
        </w:tabs>
        <w:ind w:left="540" w:hanging="540"/>
        <w:rPr>
          <w:sz w:val="22"/>
          <w:szCs w:val="22"/>
        </w:rPr>
      </w:pPr>
    </w:p>
    <w:p w:rsidR="006224C2" w:rsidRPr="00295E71" w14:paraId="3A4B981A" w14:textId="77777777">
      <w:pPr>
        <w:tabs>
          <w:tab w:val="left" w:pos="567"/>
        </w:tabs>
        <w:ind w:left="540" w:hanging="540"/>
        <w:rPr>
          <w:sz w:val="22"/>
          <w:szCs w:val="22"/>
        </w:rPr>
      </w:pPr>
      <w:r w:rsidRPr="00295E71">
        <w:rPr>
          <w:sz w:val="22"/>
          <w:szCs w:val="22"/>
        </w:rPr>
        <w:t>Tenere fuori dalla vista e dalla portata dei bambini.</w:t>
      </w:r>
    </w:p>
    <w:p w:rsidR="006224C2" w:rsidRPr="00295E71" w14:paraId="0116F484" w14:textId="77777777">
      <w:pPr>
        <w:tabs>
          <w:tab w:val="left" w:pos="567"/>
        </w:tabs>
        <w:ind w:left="540" w:hanging="540"/>
        <w:rPr>
          <w:sz w:val="22"/>
          <w:szCs w:val="22"/>
        </w:rPr>
      </w:pPr>
    </w:p>
    <w:p w:rsidR="006224C2" w:rsidRPr="00295E71" w14:paraId="68AF21F9" w14:textId="77777777">
      <w:pPr>
        <w:tabs>
          <w:tab w:val="left" w:pos="567"/>
        </w:tabs>
        <w:ind w:left="540" w:hanging="540"/>
        <w:rPr>
          <w:sz w:val="22"/>
          <w:szCs w:val="22"/>
        </w:rPr>
      </w:pPr>
    </w:p>
    <w:p w:rsidR="006224C2" w:rsidRPr="00295E71" w14:paraId="21B74C3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7. </w:t>
      </w:r>
      <w:r w:rsidRPr="00295E71">
        <w:rPr>
          <w:b/>
          <w:bCs/>
          <w:sz w:val="22"/>
          <w:szCs w:val="22"/>
        </w:rPr>
        <w:tab/>
        <w:t>ALTRA AVVERTENZA PARTICOLARE, SE NECESSARIO</w:t>
      </w:r>
    </w:p>
    <w:p w:rsidR="006224C2" w:rsidRPr="00295E71" w14:paraId="0FF48BFE" w14:textId="77777777">
      <w:pPr>
        <w:tabs>
          <w:tab w:val="left" w:pos="567"/>
        </w:tabs>
        <w:ind w:left="540" w:hanging="540"/>
        <w:rPr>
          <w:sz w:val="22"/>
          <w:szCs w:val="22"/>
        </w:rPr>
      </w:pPr>
    </w:p>
    <w:p w:rsidR="006224C2" w:rsidRPr="00295E71" w14:paraId="33AB3BDB" w14:textId="77777777">
      <w:pPr>
        <w:tabs>
          <w:tab w:val="left" w:pos="567"/>
        </w:tabs>
        <w:ind w:left="540" w:hanging="540"/>
        <w:rPr>
          <w:sz w:val="22"/>
          <w:szCs w:val="22"/>
        </w:rPr>
      </w:pPr>
    </w:p>
    <w:p w:rsidR="006224C2" w:rsidRPr="00295E71" w14:paraId="4B241D5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8. </w:t>
      </w:r>
      <w:r w:rsidRPr="00295E71">
        <w:rPr>
          <w:b/>
          <w:bCs/>
          <w:sz w:val="22"/>
          <w:szCs w:val="22"/>
        </w:rPr>
        <w:tab/>
        <w:t>DATA DI SCADENZA</w:t>
      </w:r>
    </w:p>
    <w:p w:rsidR="006224C2" w:rsidRPr="00295E71" w14:paraId="4385A7AF" w14:textId="77777777">
      <w:pPr>
        <w:tabs>
          <w:tab w:val="left" w:pos="567"/>
        </w:tabs>
        <w:ind w:left="540" w:hanging="540"/>
        <w:rPr>
          <w:sz w:val="22"/>
          <w:szCs w:val="22"/>
        </w:rPr>
      </w:pPr>
    </w:p>
    <w:p w:rsidR="006224C2" w:rsidRPr="00295E71" w14:paraId="797EB6B1" w14:textId="77777777">
      <w:pPr>
        <w:tabs>
          <w:tab w:val="left" w:pos="567"/>
        </w:tabs>
        <w:ind w:left="540" w:hanging="540"/>
        <w:rPr>
          <w:sz w:val="22"/>
          <w:szCs w:val="22"/>
        </w:rPr>
      </w:pPr>
      <w:r w:rsidRPr="00295E71">
        <w:rPr>
          <w:sz w:val="22"/>
          <w:szCs w:val="22"/>
        </w:rPr>
        <w:t xml:space="preserve">Scad. </w:t>
      </w:r>
    </w:p>
    <w:p w:rsidR="006224C2" w:rsidRPr="00295E71" w14:paraId="0D33A781" w14:textId="77777777">
      <w:pPr>
        <w:tabs>
          <w:tab w:val="left" w:pos="567"/>
        </w:tabs>
        <w:ind w:left="540" w:hanging="540"/>
        <w:rPr>
          <w:sz w:val="22"/>
          <w:szCs w:val="22"/>
        </w:rPr>
      </w:pPr>
    </w:p>
    <w:p w:rsidR="006224C2" w:rsidRPr="00295E71" w14:paraId="11ADB571" w14:textId="77777777">
      <w:pPr>
        <w:tabs>
          <w:tab w:val="left" w:pos="567"/>
        </w:tabs>
        <w:ind w:left="540" w:hanging="540"/>
        <w:rPr>
          <w:sz w:val="22"/>
          <w:szCs w:val="22"/>
        </w:rPr>
      </w:pPr>
    </w:p>
    <w:p w:rsidR="006224C2" w:rsidRPr="00295E71" w14:paraId="50165EA8" w14:textId="77777777">
      <w:pPr>
        <w:keepNext/>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9. </w:t>
      </w:r>
      <w:r w:rsidRPr="00295E71">
        <w:rPr>
          <w:b/>
          <w:bCs/>
          <w:sz w:val="22"/>
          <w:szCs w:val="22"/>
        </w:rPr>
        <w:tab/>
        <w:t>PRECAUZIONI PARTICOLARI PER LA CONSERVAZIONE</w:t>
      </w:r>
    </w:p>
    <w:p w:rsidR="006224C2" w:rsidRPr="00295E71" w14:paraId="053A2C20" w14:textId="77777777">
      <w:pPr>
        <w:keepNext/>
        <w:tabs>
          <w:tab w:val="left" w:pos="567"/>
        </w:tabs>
        <w:ind w:left="540" w:hanging="540"/>
        <w:rPr>
          <w:sz w:val="22"/>
          <w:szCs w:val="22"/>
        </w:rPr>
      </w:pPr>
    </w:p>
    <w:p w:rsidR="006224C2" w:rsidRPr="00295E71" w14:paraId="23BB79FB" w14:textId="77777777">
      <w:pPr>
        <w:keepNext/>
        <w:tabs>
          <w:tab w:val="left" w:pos="567"/>
        </w:tabs>
        <w:ind w:left="540" w:hanging="540"/>
        <w:rPr>
          <w:sz w:val="22"/>
          <w:szCs w:val="22"/>
        </w:rPr>
      </w:pPr>
      <w:r w:rsidRPr="00295E71">
        <w:rPr>
          <w:sz w:val="22"/>
          <w:szCs w:val="22"/>
        </w:rPr>
        <w:t>Conservare in frigorifero. Non congelare.</w:t>
      </w:r>
    </w:p>
    <w:p w:rsidR="006224C2" w:rsidRPr="00295E71" w14:paraId="6A43480E" w14:textId="77777777">
      <w:pPr>
        <w:keepNext/>
        <w:tabs>
          <w:tab w:val="left" w:pos="567"/>
        </w:tabs>
        <w:rPr>
          <w:sz w:val="22"/>
          <w:szCs w:val="22"/>
        </w:rPr>
      </w:pPr>
      <w:r w:rsidRPr="00295E71">
        <w:rPr>
          <w:sz w:val="22"/>
          <w:szCs w:val="22"/>
        </w:rPr>
        <w:t>Fare riferimento al foglio illustrativo per condizioni di conservazione alternative.</w:t>
      </w:r>
    </w:p>
    <w:p w:rsidR="006224C2" w:rsidRPr="00295E71" w14:paraId="323031EE" w14:textId="77777777">
      <w:pPr>
        <w:keepNext/>
        <w:tabs>
          <w:tab w:val="left" w:pos="567"/>
        </w:tabs>
        <w:ind w:left="540" w:hanging="540"/>
        <w:rPr>
          <w:sz w:val="22"/>
          <w:szCs w:val="22"/>
        </w:rPr>
      </w:pPr>
    </w:p>
    <w:p w:rsidR="006224C2" w:rsidRPr="00295E71" w14:paraId="7DF84010" w14:textId="77777777">
      <w:pPr>
        <w:keepNext/>
        <w:tabs>
          <w:tab w:val="left" w:pos="567"/>
        </w:tabs>
        <w:ind w:left="540" w:hanging="540"/>
        <w:rPr>
          <w:sz w:val="22"/>
          <w:szCs w:val="22"/>
        </w:rPr>
      </w:pPr>
      <w:r w:rsidRPr="00295E71">
        <w:rPr>
          <w:sz w:val="22"/>
          <w:szCs w:val="22"/>
        </w:rPr>
        <w:t xml:space="preserve">Tenere </w:t>
      </w:r>
      <w:r w:rsidRPr="00295E71" w:rsidR="00226BC4">
        <w:rPr>
          <w:sz w:val="22"/>
          <w:szCs w:val="22"/>
        </w:rPr>
        <w:t xml:space="preserve">la siringa </w:t>
      </w:r>
      <w:r w:rsidRPr="00295E71">
        <w:rPr>
          <w:sz w:val="22"/>
          <w:szCs w:val="22"/>
        </w:rPr>
        <w:t>nell’imballaggio esterno</w:t>
      </w:r>
      <w:r w:rsidRPr="00295E71" w:rsidR="00226BC4">
        <w:rPr>
          <w:sz w:val="22"/>
          <w:szCs w:val="22"/>
        </w:rPr>
        <w:t xml:space="preserve"> per proteggere il medicinale dalla luce.</w:t>
      </w:r>
    </w:p>
    <w:p w:rsidR="006224C2" w:rsidRPr="00295E71" w14:paraId="37BEA664" w14:textId="77777777">
      <w:pPr>
        <w:keepNext/>
        <w:tabs>
          <w:tab w:val="left" w:pos="567"/>
        </w:tabs>
        <w:ind w:left="540" w:hanging="540"/>
        <w:rPr>
          <w:sz w:val="22"/>
          <w:szCs w:val="22"/>
        </w:rPr>
      </w:pPr>
    </w:p>
    <w:p w:rsidR="006224C2" w:rsidRPr="00295E71" w14:paraId="2802187B" w14:textId="77777777">
      <w:pPr>
        <w:keepNext/>
        <w:tabs>
          <w:tab w:val="left" w:pos="567"/>
        </w:tabs>
        <w:ind w:left="540" w:hanging="540"/>
        <w:rPr>
          <w:sz w:val="22"/>
          <w:szCs w:val="22"/>
        </w:rPr>
      </w:pPr>
    </w:p>
    <w:p w:rsidR="006224C2" w:rsidRPr="00295E71" w14:paraId="7371EB7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10.</w:t>
      </w:r>
      <w:r w:rsidRPr="00295E71">
        <w:rPr>
          <w:b/>
          <w:bCs/>
          <w:sz w:val="22"/>
          <w:szCs w:val="22"/>
        </w:rPr>
        <w:tab/>
        <w:t>PRECAUZIONI PARTICOLARIPER LO SMALTIMENTO DEL MEDICINALE NON UTILIZZATO O DEI RIFIUTI DERIVATI DA TALE MEDICINALE, SE NECESSARIO</w:t>
      </w:r>
    </w:p>
    <w:p w:rsidR="006224C2" w:rsidRPr="00295E71" w14:paraId="74632AB0" w14:textId="77777777">
      <w:pPr>
        <w:tabs>
          <w:tab w:val="left" w:pos="567"/>
        </w:tabs>
        <w:ind w:left="540" w:hanging="540"/>
        <w:rPr>
          <w:sz w:val="22"/>
          <w:szCs w:val="22"/>
        </w:rPr>
      </w:pPr>
    </w:p>
    <w:p w:rsidR="006224C2" w:rsidRPr="00295E71" w14:paraId="1B69A8E3" w14:textId="77777777">
      <w:pPr>
        <w:tabs>
          <w:tab w:val="left" w:pos="567"/>
        </w:tabs>
        <w:ind w:left="540" w:hanging="540"/>
        <w:rPr>
          <w:sz w:val="22"/>
          <w:szCs w:val="22"/>
        </w:rPr>
      </w:pPr>
    </w:p>
    <w:p w:rsidR="006224C2" w:rsidRPr="00295E71" w14:paraId="3F80C53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11.</w:t>
      </w:r>
      <w:r w:rsidRPr="00295E71">
        <w:rPr>
          <w:b/>
          <w:bCs/>
          <w:sz w:val="22"/>
          <w:szCs w:val="22"/>
        </w:rPr>
        <w:tab/>
        <w:t>NOME E INDIRIZZO DEL TITOLARE DELL’AUTORIZZAZIONE ALL’IMMISSIONE IN COMMERCIO</w:t>
      </w:r>
    </w:p>
    <w:p w:rsidR="006224C2" w:rsidRPr="00295E71" w14:paraId="4A19892B" w14:textId="77777777">
      <w:pPr>
        <w:tabs>
          <w:tab w:val="left" w:pos="567"/>
        </w:tabs>
        <w:ind w:left="540" w:hanging="540"/>
        <w:rPr>
          <w:sz w:val="22"/>
          <w:szCs w:val="22"/>
        </w:rPr>
      </w:pPr>
    </w:p>
    <w:p w:rsidR="002B142A" w:rsidRPr="00E6608E" w:rsidP="002B142A" w14:paraId="50B02271" w14:textId="77777777">
      <w:pPr>
        <w:tabs>
          <w:tab w:val="left" w:pos="567"/>
        </w:tabs>
        <w:jc w:val="both"/>
        <w:rPr>
          <w:sz w:val="22"/>
          <w:szCs w:val="22"/>
          <w:lang w:val="en-US"/>
          <w:rPrChange w:id="14548" w:author="AbbVie14" w:date="2025-09-08T09:11:00Z">
            <w:rPr>
              <w:sz w:val="22"/>
              <w:szCs w:val="22"/>
            </w:rPr>
          </w:rPrChange>
        </w:rPr>
      </w:pPr>
      <w:r w:rsidRPr="00E6608E">
        <w:rPr>
          <w:sz w:val="22"/>
          <w:szCs w:val="22"/>
          <w:lang w:val="en-US"/>
          <w:rPrChange w:id="14549" w:author="AbbVie14" w:date="2025-09-08T09:11:00Z">
            <w:rPr>
              <w:sz w:val="22"/>
              <w:szCs w:val="22"/>
            </w:rPr>
          </w:rPrChange>
        </w:rPr>
        <w:t>AbbVie Deutschland GmbH &amp; Co. KG</w:t>
      </w:r>
    </w:p>
    <w:p w:rsidR="002B142A" w:rsidRPr="00E6608E" w:rsidP="002B142A" w14:paraId="10263181" w14:textId="77777777">
      <w:pPr>
        <w:tabs>
          <w:tab w:val="left" w:pos="567"/>
        </w:tabs>
        <w:jc w:val="both"/>
        <w:rPr>
          <w:sz w:val="22"/>
          <w:szCs w:val="22"/>
          <w:lang w:val="en-US"/>
          <w:rPrChange w:id="14550" w:author="AbbVie14" w:date="2025-09-08T09:11:00Z">
            <w:rPr>
              <w:sz w:val="22"/>
              <w:szCs w:val="22"/>
            </w:rPr>
          </w:rPrChange>
        </w:rPr>
      </w:pPr>
      <w:r w:rsidRPr="00E6608E">
        <w:rPr>
          <w:sz w:val="22"/>
          <w:szCs w:val="22"/>
          <w:lang w:val="en-US"/>
          <w:rPrChange w:id="14551" w:author="AbbVie14" w:date="2025-09-08T09:11:00Z">
            <w:rPr>
              <w:sz w:val="22"/>
              <w:szCs w:val="22"/>
            </w:rPr>
          </w:rPrChange>
        </w:rPr>
        <w:t>Knollstrasse</w:t>
      </w:r>
    </w:p>
    <w:p w:rsidR="002B142A" w:rsidRPr="00295E71" w:rsidP="002B142A" w14:paraId="2445DD49" w14:textId="77777777">
      <w:pPr>
        <w:tabs>
          <w:tab w:val="left" w:pos="567"/>
        </w:tabs>
        <w:jc w:val="both"/>
        <w:rPr>
          <w:sz w:val="22"/>
          <w:szCs w:val="22"/>
        </w:rPr>
      </w:pPr>
      <w:r w:rsidRPr="00295E71">
        <w:rPr>
          <w:sz w:val="22"/>
          <w:szCs w:val="22"/>
        </w:rPr>
        <w:t>67061 Ludwigshafen</w:t>
      </w:r>
    </w:p>
    <w:p w:rsidR="002B142A" w:rsidRPr="00295E71" w:rsidP="002B142A" w14:paraId="2746EE92" w14:textId="77777777">
      <w:pPr>
        <w:tabs>
          <w:tab w:val="left" w:pos="567"/>
        </w:tabs>
        <w:jc w:val="both"/>
        <w:rPr>
          <w:sz w:val="22"/>
          <w:szCs w:val="22"/>
        </w:rPr>
      </w:pPr>
      <w:r w:rsidRPr="00295E71">
        <w:rPr>
          <w:sz w:val="22"/>
          <w:szCs w:val="22"/>
        </w:rPr>
        <w:t>Germania</w:t>
      </w:r>
    </w:p>
    <w:p w:rsidR="006224C2" w:rsidRPr="00295E71" w14:paraId="673B2197" w14:textId="77777777">
      <w:pPr>
        <w:tabs>
          <w:tab w:val="left" w:pos="567"/>
        </w:tabs>
        <w:ind w:left="540" w:hanging="540"/>
        <w:rPr>
          <w:sz w:val="22"/>
          <w:szCs w:val="22"/>
        </w:rPr>
      </w:pPr>
    </w:p>
    <w:p w:rsidR="006224C2" w:rsidRPr="00295E71" w14:paraId="628493CA" w14:textId="77777777">
      <w:pPr>
        <w:tabs>
          <w:tab w:val="left" w:pos="567"/>
        </w:tabs>
        <w:ind w:left="540" w:hanging="540"/>
        <w:rPr>
          <w:sz w:val="22"/>
          <w:szCs w:val="22"/>
        </w:rPr>
      </w:pPr>
    </w:p>
    <w:p w:rsidR="006224C2" w:rsidRPr="00295E71" w14:paraId="1326A8D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12. </w:t>
      </w:r>
      <w:r w:rsidRPr="00295E71">
        <w:rPr>
          <w:b/>
          <w:bCs/>
          <w:sz w:val="22"/>
          <w:szCs w:val="22"/>
        </w:rPr>
        <w:tab/>
        <w:t>NUMERO DELL’AUTORIZZAZIONE ALL’IMMISSIONE IN COMMERCIO</w:t>
      </w:r>
    </w:p>
    <w:p w:rsidR="006224C2" w:rsidRPr="00295E71" w14:paraId="4D280EA1" w14:textId="77777777">
      <w:pPr>
        <w:tabs>
          <w:tab w:val="left" w:pos="567"/>
        </w:tabs>
        <w:ind w:left="540" w:hanging="540"/>
        <w:rPr>
          <w:sz w:val="22"/>
          <w:szCs w:val="22"/>
        </w:rPr>
      </w:pPr>
    </w:p>
    <w:p w:rsidR="006224C2" w:rsidRPr="00295E71" w14:paraId="14C61E1E" w14:textId="77777777">
      <w:pPr>
        <w:tabs>
          <w:tab w:val="left" w:pos="567"/>
        </w:tabs>
        <w:ind w:left="540" w:hanging="540"/>
        <w:rPr>
          <w:sz w:val="22"/>
          <w:szCs w:val="22"/>
        </w:rPr>
      </w:pPr>
      <w:r w:rsidRPr="00295E71">
        <w:rPr>
          <w:sz w:val="22"/>
          <w:szCs w:val="22"/>
        </w:rPr>
        <w:t>EU/1/03/256/020</w:t>
      </w:r>
    </w:p>
    <w:p w:rsidR="006224C2" w:rsidRPr="00295E71" w14:paraId="0F7E2065" w14:textId="77777777">
      <w:pPr>
        <w:tabs>
          <w:tab w:val="left" w:pos="567"/>
        </w:tabs>
        <w:ind w:left="540" w:hanging="540"/>
        <w:rPr>
          <w:sz w:val="22"/>
          <w:szCs w:val="22"/>
        </w:rPr>
      </w:pPr>
    </w:p>
    <w:p w:rsidR="006224C2" w:rsidRPr="00295E71" w14:paraId="74AD7EB5" w14:textId="77777777">
      <w:pPr>
        <w:tabs>
          <w:tab w:val="left" w:pos="567"/>
        </w:tabs>
        <w:ind w:left="540" w:hanging="540"/>
        <w:rPr>
          <w:sz w:val="22"/>
          <w:szCs w:val="22"/>
        </w:rPr>
      </w:pPr>
    </w:p>
    <w:p w:rsidR="006224C2" w:rsidRPr="00295E71" w14:paraId="3EE2D28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13.</w:t>
      </w:r>
      <w:r w:rsidRPr="00295E71">
        <w:rPr>
          <w:b/>
          <w:bCs/>
          <w:sz w:val="22"/>
          <w:szCs w:val="22"/>
        </w:rPr>
        <w:tab/>
        <w:t>NUMERO DI LOTTO</w:t>
      </w:r>
    </w:p>
    <w:p w:rsidR="006224C2" w:rsidRPr="00295E71" w14:paraId="1EB43B2C" w14:textId="77777777">
      <w:pPr>
        <w:tabs>
          <w:tab w:val="left" w:pos="567"/>
        </w:tabs>
        <w:ind w:left="540" w:hanging="540"/>
        <w:rPr>
          <w:sz w:val="22"/>
          <w:szCs w:val="22"/>
        </w:rPr>
      </w:pPr>
    </w:p>
    <w:p w:rsidR="006224C2" w:rsidRPr="00295E71" w14:paraId="034ED98F" w14:textId="77777777">
      <w:pPr>
        <w:tabs>
          <w:tab w:val="left" w:pos="567"/>
        </w:tabs>
        <w:ind w:left="540" w:hanging="540"/>
        <w:rPr>
          <w:sz w:val="22"/>
          <w:szCs w:val="22"/>
        </w:rPr>
      </w:pPr>
      <w:r w:rsidRPr="00295E71">
        <w:rPr>
          <w:sz w:val="22"/>
          <w:szCs w:val="22"/>
        </w:rPr>
        <w:t xml:space="preserve">Lotto </w:t>
      </w:r>
    </w:p>
    <w:p w:rsidR="006224C2" w:rsidRPr="00295E71" w14:paraId="02FCFCDF" w14:textId="77777777">
      <w:pPr>
        <w:tabs>
          <w:tab w:val="left" w:pos="567"/>
        </w:tabs>
        <w:ind w:left="540" w:hanging="540"/>
        <w:rPr>
          <w:sz w:val="22"/>
          <w:szCs w:val="22"/>
        </w:rPr>
      </w:pPr>
    </w:p>
    <w:p w:rsidR="006224C2" w:rsidRPr="00295E71" w14:paraId="3E7DBA26" w14:textId="77777777">
      <w:pPr>
        <w:tabs>
          <w:tab w:val="left" w:pos="567"/>
        </w:tabs>
        <w:ind w:left="540" w:hanging="540"/>
        <w:rPr>
          <w:sz w:val="22"/>
          <w:szCs w:val="22"/>
        </w:rPr>
      </w:pPr>
    </w:p>
    <w:p w:rsidR="006224C2" w:rsidRPr="00295E71" w14:paraId="785B2B0C"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14.</w:t>
      </w:r>
      <w:r w:rsidRPr="00295E71">
        <w:rPr>
          <w:b/>
          <w:bCs/>
          <w:sz w:val="22"/>
          <w:szCs w:val="22"/>
        </w:rPr>
        <w:tab/>
        <w:t>CONDIZIONE GENERALE DI FORNITURA</w:t>
      </w:r>
    </w:p>
    <w:p w:rsidR="006224C2" w:rsidRPr="00295E71" w14:paraId="5C8F6F75" w14:textId="77777777">
      <w:pPr>
        <w:tabs>
          <w:tab w:val="left" w:pos="567"/>
        </w:tabs>
        <w:ind w:left="540" w:hanging="540"/>
        <w:rPr>
          <w:sz w:val="22"/>
          <w:szCs w:val="22"/>
        </w:rPr>
      </w:pPr>
    </w:p>
    <w:p w:rsidR="006224C2" w:rsidRPr="00295E71" w14:paraId="05B3BE57" w14:textId="77777777">
      <w:pPr>
        <w:tabs>
          <w:tab w:val="left" w:pos="567"/>
        </w:tabs>
        <w:ind w:left="540" w:hanging="540"/>
        <w:rPr>
          <w:sz w:val="22"/>
          <w:szCs w:val="22"/>
        </w:rPr>
      </w:pPr>
    </w:p>
    <w:p w:rsidR="006224C2" w:rsidRPr="00295E71" w14:paraId="5B99B31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15.</w:t>
      </w:r>
      <w:r w:rsidRPr="00295E71">
        <w:rPr>
          <w:b/>
          <w:bCs/>
          <w:sz w:val="22"/>
          <w:szCs w:val="22"/>
        </w:rPr>
        <w:tab/>
        <w:t>ISTRUZIONI PER L’USO</w:t>
      </w:r>
    </w:p>
    <w:p w:rsidR="006224C2" w:rsidRPr="00295E71" w14:paraId="327989D9" w14:textId="77777777">
      <w:pPr>
        <w:tabs>
          <w:tab w:val="left" w:pos="567"/>
        </w:tabs>
        <w:ind w:left="540" w:hanging="540"/>
        <w:rPr>
          <w:bCs/>
          <w:sz w:val="22"/>
          <w:szCs w:val="22"/>
        </w:rPr>
      </w:pPr>
    </w:p>
    <w:p w:rsidR="006224C2" w:rsidRPr="00295E71" w14:paraId="7BAA1EA6" w14:textId="77777777">
      <w:pPr>
        <w:tabs>
          <w:tab w:val="left" w:pos="567"/>
        </w:tabs>
        <w:ind w:left="540" w:hanging="540"/>
        <w:rPr>
          <w:bCs/>
          <w:sz w:val="22"/>
          <w:szCs w:val="22"/>
        </w:rPr>
      </w:pPr>
    </w:p>
    <w:p w:rsidR="006224C2" w:rsidRPr="00295E71" w14:paraId="4866B7D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16.</w:t>
      </w:r>
      <w:r w:rsidRPr="00295E71">
        <w:rPr>
          <w:b/>
          <w:bCs/>
          <w:sz w:val="22"/>
          <w:szCs w:val="22"/>
        </w:rPr>
        <w:tab/>
        <w:t>INFORMAZIONI IN BRAILLE</w:t>
      </w:r>
    </w:p>
    <w:p w:rsidR="006224C2" w:rsidRPr="00295E71" w14:paraId="27A6D453" w14:textId="77777777">
      <w:pPr>
        <w:tabs>
          <w:tab w:val="left" w:pos="567"/>
        </w:tabs>
        <w:ind w:left="540" w:hanging="540"/>
        <w:rPr>
          <w:bCs/>
          <w:sz w:val="22"/>
          <w:szCs w:val="22"/>
        </w:rPr>
      </w:pPr>
    </w:p>
    <w:p w:rsidR="006224C2" w:rsidRPr="00295E71" w14:paraId="462C303F" w14:textId="77777777">
      <w:pPr>
        <w:tabs>
          <w:tab w:val="left" w:pos="567"/>
        </w:tabs>
        <w:ind w:left="540" w:hanging="540"/>
        <w:rPr>
          <w:sz w:val="22"/>
          <w:szCs w:val="22"/>
        </w:rPr>
      </w:pPr>
      <w:r w:rsidRPr="00295E71">
        <w:rPr>
          <w:sz w:val="22"/>
          <w:szCs w:val="22"/>
        </w:rPr>
        <w:t>Humira 80 mg</w:t>
      </w:r>
    </w:p>
    <w:p w:rsidR="006224C2" w:rsidRPr="00295E71" w14:paraId="2843AE4A" w14:textId="77777777">
      <w:pPr>
        <w:tabs>
          <w:tab w:val="left" w:pos="567"/>
        </w:tabs>
        <w:ind w:left="540" w:hanging="540"/>
        <w:rPr>
          <w:sz w:val="22"/>
          <w:szCs w:val="22"/>
          <w:u w:val="single"/>
        </w:rPr>
      </w:pPr>
    </w:p>
    <w:p w:rsidR="006224C2" w:rsidRPr="00295E71" w14:paraId="478218B6" w14:textId="77777777">
      <w:pPr>
        <w:tabs>
          <w:tab w:val="left" w:pos="567"/>
        </w:tabs>
        <w:rPr>
          <w:sz w:val="22"/>
          <w:szCs w:val="22"/>
        </w:rPr>
      </w:pPr>
    </w:p>
    <w:p w:rsidR="006224C2" w:rsidRPr="00295E71" w14:paraId="64FAD110" w14:textId="77777777">
      <w:pPr>
        <w:pStyle w:val="EMEAHeadingBoxedTitle"/>
        <w:ind w:left="0" w:firstLine="0"/>
        <w:rPr>
          <w:rFonts w:ascii="Times New Roman" w:hAnsi="Times New Roman"/>
          <w:b/>
          <w:bCs/>
          <w:szCs w:val="22"/>
          <w:lang w:val="it-IT"/>
        </w:rPr>
      </w:pPr>
      <w:r w:rsidRPr="00295E71">
        <w:rPr>
          <w:rFonts w:ascii="Times New Roman" w:hAnsi="Times New Roman"/>
          <w:b/>
          <w:bCs/>
          <w:szCs w:val="22"/>
          <w:lang w:val="it-IT"/>
        </w:rPr>
        <w:t xml:space="preserve">17. </w:t>
      </w:r>
      <w:r w:rsidRPr="00295E71">
        <w:rPr>
          <w:rFonts w:ascii="Times New Roman" w:hAnsi="Times New Roman"/>
          <w:b/>
          <w:bCs/>
          <w:szCs w:val="22"/>
          <w:lang w:val="it-IT"/>
        </w:rPr>
        <w:tab/>
        <w:t>IDENTIFICATivo UNICO – CODICE A BARRE bidimensionale</w:t>
      </w:r>
    </w:p>
    <w:p w:rsidR="006224C2" w:rsidRPr="00295E71" w14:paraId="05332F94" w14:textId="77777777">
      <w:pPr>
        <w:rPr>
          <w:sz w:val="22"/>
          <w:szCs w:val="22"/>
        </w:rPr>
      </w:pPr>
    </w:p>
    <w:p w:rsidR="006224C2" w:rsidRPr="00295E71" w14:paraId="17B4EF4D" w14:textId="77777777">
      <w:pPr>
        <w:rPr>
          <w:sz w:val="22"/>
          <w:szCs w:val="22"/>
          <w:shd w:val="clear" w:color="auto" w:fill="BFBFBF"/>
        </w:rPr>
      </w:pPr>
      <w:r w:rsidRPr="00295E71">
        <w:rPr>
          <w:sz w:val="22"/>
          <w:szCs w:val="22"/>
          <w:shd w:val="clear" w:color="auto" w:fill="BFBFBF"/>
        </w:rPr>
        <w:t>Codice a barre bidimensionale con identificativo unico incluso.</w:t>
      </w:r>
    </w:p>
    <w:p w:rsidR="006224C2" w:rsidRPr="00295E71" w14:paraId="134D08BC" w14:textId="77777777">
      <w:pPr>
        <w:rPr>
          <w:sz w:val="22"/>
          <w:szCs w:val="22"/>
          <w:shd w:val="clear" w:color="auto" w:fill="BFBFBF"/>
        </w:rPr>
      </w:pPr>
    </w:p>
    <w:p w:rsidR="006224C2" w:rsidRPr="00295E71" w14:paraId="0D54CAC6" w14:textId="77777777">
      <w:pPr>
        <w:rPr>
          <w:sz w:val="22"/>
          <w:szCs w:val="22"/>
          <w:shd w:val="clear" w:color="auto" w:fill="BFBFBF"/>
        </w:rPr>
      </w:pPr>
    </w:p>
    <w:p w:rsidR="006224C2" w:rsidRPr="00295E71" w14:paraId="08F3C36F" w14:textId="77777777">
      <w:pPr>
        <w:pStyle w:val="EMEAHeadingBoxedTitle"/>
        <w:ind w:left="0" w:firstLine="0"/>
        <w:rPr>
          <w:rFonts w:ascii="Times New Roman" w:hAnsi="Times New Roman"/>
          <w:szCs w:val="22"/>
          <w:lang w:val="it-IT"/>
        </w:rPr>
      </w:pPr>
      <w:r w:rsidRPr="00295E71">
        <w:rPr>
          <w:rFonts w:ascii="Times New Roman" w:hAnsi="Times New Roman"/>
          <w:b/>
          <w:bCs/>
          <w:szCs w:val="22"/>
          <w:lang w:val="it-IT"/>
        </w:rPr>
        <w:t xml:space="preserve">18. </w:t>
      </w:r>
      <w:r w:rsidRPr="00295E71">
        <w:rPr>
          <w:rFonts w:ascii="Times New Roman" w:hAnsi="Times New Roman"/>
          <w:b/>
          <w:bCs/>
          <w:szCs w:val="22"/>
          <w:lang w:val="it-IT"/>
        </w:rPr>
        <w:tab/>
        <w:t>IDENTIFICATivo UNICO – dati leggibili</w:t>
      </w:r>
    </w:p>
    <w:p w:rsidR="006224C2" w:rsidRPr="00295E71" w14:paraId="0A9D20F7" w14:textId="77777777">
      <w:pPr>
        <w:ind w:left="540" w:hanging="540"/>
        <w:rPr>
          <w:sz w:val="22"/>
          <w:szCs w:val="22"/>
        </w:rPr>
      </w:pPr>
    </w:p>
    <w:p w:rsidR="006224C2" w:rsidRPr="00295E71" w14:paraId="49065A94" w14:textId="77777777">
      <w:pPr>
        <w:ind w:left="540" w:hanging="540"/>
        <w:rPr>
          <w:sz w:val="22"/>
          <w:szCs w:val="22"/>
        </w:rPr>
      </w:pPr>
      <w:r w:rsidRPr="00295E71">
        <w:rPr>
          <w:sz w:val="22"/>
          <w:szCs w:val="22"/>
        </w:rPr>
        <w:t>PC</w:t>
      </w:r>
    </w:p>
    <w:p w:rsidR="006224C2" w:rsidRPr="00295E71" w14:paraId="13CDB81C" w14:textId="77777777">
      <w:pPr>
        <w:ind w:left="540" w:hanging="540"/>
        <w:rPr>
          <w:sz w:val="22"/>
          <w:szCs w:val="22"/>
        </w:rPr>
      </w:pPr>
      <w:r w:rsidRPr="00295E71">
        <w:rPr>
          <w:sz w:val="22"/>
          <w:szCs w:val="22"/>
        </w:rPr>
        <w:t>SN</w:t>
      </w:r>
    </w:p>
    <w:p w:rsidR="006224C2" w:rsidRPr="00295E71" w14:paraId="561CC391" w14:textId="77777777">
      <w:pPr>
        <w:ind w:left="540" w:hanging="540"/>
        <w:rPr>
          <w:sz w:val="22"/>
          <w:szCs w:val="22"/>
        </w:rPr>
      </w:pPr>
      <w:r w:rsidRPr="0020624D">
        <w:rPr>
          <w:sz w:val="22"/>
          <w:szCs w:val="22"/>
          <w:highlight w:val="lightGray"/>
        </w:rPr>
        <w:t>NN</w:t>
      </w:r>
    </w:p>
    <w:p w:rsidR="006224C2" w:rsidRPr="00295E71" w14:paraId="288770C3" w14:textId="77777777">
      <w:pPr>
        <w:rPr>
          <w:sz w:val="22"/>
          <w:szCs w:val="22"/>
          <w:highlight w:val="darkGray"/>
        </w:rPr>
      </w:pPr>
      <w:r w:rsidRPr="00295E71">
        <w:rPr>
          <w:sz w:val="22"/>
          <w:szCs w:val="22"/>
          <w:highlight w:val="darkGray"/>
        </w:rPr>
        <w:br w:type="page"/>
      </w:r>
    </w:p>
    <w:p w:rsidR="006224C2" w:rsidRPr="00295E71" w14:paraId="6EFDAF9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 xml:space="preserve">INFORMAZIONI MINIME DA APPORRE SU BLISTER O STRIP </w:t>
      </w:r>
    </w:p>
    <w:p w:rsidR="006224C2" w:rsidRPr="00295E71" w14:paraId="15455FDD" w14:textId="77777777">
      <w:pPr>
        <w:pBdr>
          <w:top w:val="single" w:sz="4" w:space="1" w:color="auto"/>
          <w:left w:val="single" w:sz="4" w:space="4" w:color="auto"/>
          <w:bottom w:val="single" w:sz="4" w:space="1" w:color="auto"/>
          <w:right w:val="single" w:sz="4" w:space="4" w:color="auto"/>
        </w:pBdr>
        <w:tabs>
          <w:tab w:val="left" w:pos="567"/>
        </w:tabs>
        <w:ind w:left="540" w:hanging="540"/>
        <w:jc w:val="both"/>
        <w:rPr>
          <w:b/>
          <w:bCs/>
          <w:caps/>
          <w:sz w:val="22"/>
          <w:szCs w:val="22"/>
        </w:rPr>
      </w:pPr>
    </w:p>
    <w:p w:rsidR="006224C2" w:rsidRPr="00295E71" w14:paraId="217B6373" w14:textId="77777777">
      <w:pPr>
        <w:pStyle w:val="Heading3"/>
        <w:keepNext w:val="0"/>
        <w:pBdr>
          <w:top w:val="single" w:sz="4" w:space="1" w:color="auto"/>
          <w:left w:val="single" w:sz="4" w:space="4" w:color="auto"/>
          <w:bottom w:val="single" w:sz="4" w:space="1" w:color="auto"/>
          <w:right w:val="single" w:sz="4" w:space="4" w:color="auto"/>
        </w:pBdr>
        <w:tabs>
          <w:tab w:val="left" w:pos="567"/>
        </w:tabs>
        <w:ind w:left="540" w:hanging="540"/>
        <w:rPr>
          <w:b/>
          <w:bCs/>
          <w:u w:val="none"/>
        </w:rPr>
      </w:pPr>
      <w:r w:rsidRPr="00295E71">
        <w:rPr>
          <w:b/>
          <w:bCs/>
          <w:caps/>
          <w:u w:val="none"/>
        </w:rPr>
        <w:t>Testo da apporre sul retro della confezione</w:t>
      </w:r>
    </w:p>
    <w:p w:rsidR="006224C2" w:rsidRPr="00295E71" w14:paraId="15A2F52B" w14:textId="77777777">
      <w:pPr>
        <w:tabs>
          <w:tab w:val="left" w:pos="567"/>
        </w:tabs>
        <w:ind w:left="540" w:hanging="540"/>
        <w:jc w:val="both"/>
        <w:rPr>
          <w:sz w:val="22"/>
          <w:szCs w:val="22"/>
        </w:rPr>
      </w:pPr>
    </w:p>
    <w:p w:rsidR="006224C2" w:rsidRPr="00295E71" w14:paraId="27A4238D" w14:textId="77777777">
      <w:pPr>
        <w:tabs>
          <w:tab w:val="left" w:pos="567"/>
        </w:tabs>
        <w:ind w:left="540" w:hanging="540"/>
        <w:jc w:val="both"/>
        <w:rPr>
          <w:sz w:val="22"/>
          <w:szCs w:val="22"/>
        </w:rPr>
      </w:pPr>
    </w:p>
    <w:p w:rsidR="006224C2" w:rsidRPr="00295E71" w14:paraId="5EF4A32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w:t>
      </w:r>
      <w:r w:rsidRPr="00295E71">
        <w:rPr>
          <w:b/>
          <w:bCs/>
          <w:sz w:val="22"/>
          <w:szCs w:val="22"/>
        </w:rPr>
        <w:tab/>
        <w:t>DENOMINAZIONE DEL MEDICINALE</w:t>
      </w:r>
    </w:p>
    <w:p w:rsidR="006224C2" w:rsidRPr="00295E71" w14:paraId="6A23DB38" w14:textId="77777777">
      <w:pPr>
        <w:tabs>
          <w:tab w:val="left" w:pos="567"/>
        </w:tabs>
        <w:ind w:left="540" w:hanging="540"/>
        <w:jc w:val="both"/>
        <w:rPr>
          <w:sz w:val="22"/>
          <w:szCs w:val="22"/>
        </w:rPr>
      </w:pPr>
    </w:p>
    <w:p w:rsidR="006224C2" w:rsidRPr="00295E71" w14:paraId="7C9DDB31" w14:textId="77777777">
      <w:pPr>
        <w:tabs>
          <w:tab w:val="left" w:pos="567"/>
        </w:tabs>
        <w:ind w:left="540" w:hanging="540"/>
        <w:jc w:val="both"/>
        <w:rPr>
          <w:sz w:val="22"/>
          <w:szCs w:val="22"/>
        </w:rPr>
      </w:pPr>
      <w:r w:rsidRPr="00295E71">
        <w:rPr>
          <w:sz w:val="22"/>
          <w:szCs w:val="22"/>
        </w:rPr>
        <w:t>Humira 80 mg soluzione iniettabile in siringa pre-riempita</w:t>
      </w:r>
    </w:p>
    <w:p w:rsidR="006224C2" w:rsidRPr="00295E71" w14:paraId="4EEEDD90" w14:textId="77777777">
      <w:pPr>
        <w:tabs>
          <w:tab w:val="left" w:pos="567"/>
        </w:tabs>
        <w:ind w:left="540" w:hanging="540"/>
        <w:jc w:val="both"/>
        <w:rPr>
          <w:sz w:val="22"/>
          <w:szCs w:val="22"/>
        </w:rPr>
      </w:pPr>
      <w:r w:rsidRPr="00295E71">
        <w:rPr>
          <w:sz w:val="22"/>
          <w:szCs w:val="22"/>
        </w:rPr>
        <w:t>adalimumab</w:t>
      </w:r>
    </w:p>
    <w:p w:rsidR="006224C2" w:rsidRPr="00295E71" w14:paraId="3CB6B368" w14:textId="77777777">
      <w:pPr>
        <w:tabs>
          <w:tab w:val="left" w:pos="567"/>
        </w:tabs>
        <w:ind w:left="540" w:hanging="540"/>
        <w:jc w:val="both"/>
        <w:rPr>
          <w:sz w:val="22"/>
          <w:szCs w:val="22"/>
        </w:rPr>
      </w:pPr>
    </w:p>
    <w:p w:rsidR="006224C2" w:rsidRPr="00295E71" w14:paraId="480D6B4E" w14:textId="77777777">
      <w:pPr>
        <w:tabs>
          <w:tab w:val="left" w:pos="567"/>
        </w:tabs>
        <w:ind w:left="540" w:hanging="540"/>
        <w:jc w:val="both"/>
        <w:rPr>
          <w:sz w:val="22"/>
          <w:szCs w:val="22"/>
        </w:rPr>
      </w:pPr>
    </w:p>
    <w:p w:rsidR="006224C2" w:rsidRPr="00295E71" w14:paraId="45DA76F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2.</w:t>
      </w:r>
      <w:r w:rsidRPr="00295E71">
        <w:rPr>
          <w:b/>
          <w:bCs/>
          <w:sz w:val="22"/>
          <w:szCs w:val="22"/>
        </w:rPr>
        <w:tab/>
        <w:t xml:space="preserve">NOME DEL TITOLARE DELL’AUTORIZZAZIONE ALL’IMMISSIONE IN COMMERCIO </w:t>
      </w:r>
    </w:p>
    <w:p w:rsidR="006224C2" w:rsidRPr="00295E71" w14:paraId="69129D39" w14:textId="77777777">
      <w:pPr>
        <w:tabs>
          <w:tab w:val="left" w:pos="567"/>
        </w:tabs>
        <w:ind w:left="540" w:hanging="540"/>
        <w:jc w:val="both"/>
        <w:rPr>
          <w:sz w:val="22"/>
          <w:szCs w:val="22"/>
        </w:rPr>
      </w:pPr>
    </w:p>
    <w:p w:rsidR="006224C2" w:rsidRPr="00295E71" w14:paraId="0A267617" w14:textId="77777777">
      <w:pPr>
        <w:tabs>
          <w:tab w:val="left" w:pos="567"/>
        </w:tabs>
        <w:ind w:left="540" w:hanging="540"/>
        <w:jc w:val="both"/>
        <w:rPr>
          <w:sz w:val="22"/>
          <w:szCs w:val="22"/>
        </w:rPr>
      </w:pPr>
      <w:r w:rsidRPr="00295E71">
        <w:rPr>
          <w:sz w:val="22"/>
          <w:szCs w:val="22"/>
        </w:rPr>
        <w:t xml:space="preserve">AbbVie </w:t>
      </w:r>
      <w:r w:rsidRPr="00295E71" w:rsidR="00260D46">
        <w:rPr>
          <w:sz w:val="22"/>
          <w:szCs w:val="22"/>
          <w:highlight w:val="lightGray"/>
        </w:rPr>
        <w:t>(logo)</w:t>
      </w:r>
    </w:p>
    <w:p w:rsidR="006224C2" w:rsidRPr="00295E71" w14:paraId="008D16CB" w14:textId="77777777">
      <w:pPr>
        <w:tabs>
          <w:tab w:val="left" w:pos="567"/>
        </w:tabs>
        <w:ind w:left="540" w:hanging="540"/>
        <w:jc w:val="both"/>
        <w:rPr>
          <w:sz w:val="22"/>
          <w:szCs w:val="22"/>
        </w:rPr>
      </w:pPr>
    </w:p>
    <w:p w:rsidR="006224C2" w:rsidRPr="00295E71" w14:paraId="3FB01355" w14:textId="77777777">
      <w:pPr>
        <w:pStyle w:val="EndnoteText"/>
        <w:ind w:left="540" w:hanging="540"/>
        <w:jc w:val="both"/>
        <w:rPr>
          <w:lang w:val="it-IT"/>
        </w:rPr>
      </w:pPr>
    </w:p>
    <w:p w:rsidR="006224C2" w:rsidRPr="00295E71" w14:paraId="60E27673"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3.</w:t>
      </w:r>
      <w:r w:rsidRPr="00295E71">
        <w:rPr>
          <w:b/>
          <w:bCs/>
          <w:sz w:val="22"/>
          <w:szCs w:val="22"/>
        </w:rPr>
        <w:tab/>
        <w:t>DATA DI SCADENZA</w:t>
      </w:r>
    </w:p>
    <w:p w:rsidR="006224C2" w:rsidRPr="00295E71" w14:paraId="6AE70586" w14:textId="77777777">
      <w:pPr>
        <w:tabs>
          <w:tab w:val="left" w:pos="567"/>
        </w:tabs>
        <w:ind w:left="540" w:hanging="540"/>
        <w:jc w:val="both"/>
        <w:rPr>
          <w:sz w:val="22"/>
          <w:szCs w:val="22"/>
        </w:rPr>
      </w:pPr>
    </w:p>
    <w:p w:rsidR="006224C2" w:rsidRPr="00295E71" w14:paraId="3BCBC729" w14:textId="77777777">
      <w:pPr>
        <w:tabs>
          <w:tab w:val="left" w:pos="567"/>
        </w:tabs>
        <w:ind w:left="540" w:hanging="540"/>
        <w:jc w:val="both"/>
        <w:rPr>
          <w:sz w:val="22"/>
          <w:szCs w:val="22"/>
        </w:rPr>
      </w:pPr>
      <w:r w:rsidRPr="00295E71">
        <w:rPr>
          <w:sz w:val="22"/>
          <w:szCs w:val="22"/>
        </w:rPr>
        <w:t xml:space="preserve">Scad. </w:t>
      </w:r>
    </w:p>
    <w:p w:rsidR="006224C2" w:rsidRPr="00295E71" w14:paraId="13A455E0" w14:textId="77777777">
      <w:pPr>
        <w:tabs>
          <w:tab w:val="left" w:pos="567"/>
        </w:tabs>
        <w:ind w:left="540" w:hanging="540"/>
        <w:jc w:val="both"/>
        <w:rPr>
          <w:sz w:val="22"/>
          <w:szCs w:val="22"/>
        </w:rPr>
      </w:pPr>
    </w:p>
    <w:p w:rsidR="006224C2" w:rsidRPr="00295E71" w14:paraId="227F2E05" w14:textId="77777777">
      <w:pPr>
        <w:tabs>
          <w:tab w:val="left" w:pos="567"/>
        </w:tabs>
        <w:ind w:left="540" w:hanging="540"/>
        <w:jc w:val="both"/>
        <w:rPr>
          <w:sz w:val="22"/>
          <w:szCs w:val="22"/>
        </w:rPr>
      </w:pPr>
    </w:p>
    <w:p w:rsidR="006224C2" w:rsidRPr="00295E71" w14:paraId="04153FC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4.</w:t>
      </w:r>
      <w:r w:rsidRPr="00295E71">
        <w:rPr>
          <w:b/>
          <w:bCs/>
          <w:sz w:val="22"/>
          <w:szCs w:val="22"/>
        </w:rPr>
        <w:tab/>
        <w:t>NUMERO DI LOTTO</w:t>
      </w:r>
    </w:p>
    <w:p w:rsidR="006224C2" w:rsidRPr="00295E71" w14:paraId="3E3C4D1F" w14:textId="77777777">
      <w:pPr>
        <w:tabs>
          <w:tab w:val="left" w:pos="567"/>
        </w:tabs>
        <w:ind w:left="540" w:hanging="540"/>
        <w:jc w:val="both"/>
        <w:rPr>
          <w:sz w:val="22"/>
          <w:szCs w:val="22"/>
        </w:rPr>
      </w:pPr>
    </w:p>
    <w:p w:rsidR="006224C2" w:rsidRPr="00295E71" w14:paraId="2A676EF6" w14:textId="77777777">
      <w:pPr>
        <w:tabs>
          <w:tab w:val="left" w:pos="567"/>
        </w:tabs>
        <w:ind w:left="540" w:hanging="540"/>
        <w:jc w:val="both"/>
        <w:rPr>
          <w:sz w:val="22"/>
          <w:szCs w:val="22"/>
        </w:rPr>
      </w:pPr>
      <w:r w:rsidRPr="00295E71">
        <w:rPr>
          <w:sz w:val="22"/>
          <w:szCs w:val="22"/>
        </w:rPr>
        <w:t xml:space="preserve">Lotto </w:t>
      </w:r>
    </w:p>
    <w:p w:rsidR="006224C2" w:rsidRPr="00295E71" w14:paraId="5D189EE5" w14:textId="77777777">
      <w:pPr>
        <w:tabs>
          <w:tab w:val="left" w:pos="567"/>
        </w:tabs>
        <w:ind w:left="540" w:hanging="540"/>
        <w:rPr>
          <w:bCs/>
          <w:sz w:val="22"/>
          <w:szCs w:val="22"/>
        </w:rPr>
      </w:pPr>
    </w:p>
    <w:p w:rsidR="006224C2" w:rsidRPr="00295E71" w14:paraId="149494A1" w14:textId="77777777">
      <w:pPr>
        <w:tabs>
          <w:tab w:val="left" w:pos="567"/>
        </w:tabs>
        <w:ind w:left="540" w:hanging="540"/>
        <w:rPr>
          <w:bCs/>
          <w:sz w:val="22"/>
          <w:szCs w:val="22"/>
        </w:rPr>
      </w:pPr>
    </w:p>
    <w:p w:rsidR="006224C2" w:rsidRPr="00295E71" w14:paraId="2316AB5F"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5.</w:t>
      </w:r>
      <w:r w:rsidRPr="00295E71">
        <w:rPr>
          <w:b/>
          <w:bCs/>
          <w:sz w:val="22"/>
          <w:szCs w:val="22"/>
        </w:rPr>
        <w:tab/>
        <w:t>ALTRO</w:t>
      </w:r>
    </w:p>
    <w:p w:rsidR="006224C2" w:rsidRPr="00295E71" w14:paraId="37B92EE8" w14:textId="77777777">
      <w:pPr>
        <w:tabs>
          <w:tab w:val="left" w:pos="567"/>
        </w:tabs>
        <w:ind w:left="540" w:hanging="540"/>
        <w:rPr>
          <w:bCs/>
          <w:sz w:val="22"/>
          <w:szCs w:val="22"/>
        </w:rPr>
      </w:pPr>
    </w:p>
    <w:p w:rsidR="006224C2" w:rsidRPr="00295E71" w14:paraId="56495A7D" w14:textId="77777777">
      <w:pPr>
        <w:tabs>
          <w:tab w:val="left" w:pos="567"/>
        </w:tabs>
        <w:ind w:left="540" w:hanging="540"/>
        <w:jc w:val="both"/>
        <w:rPr>
          <w:sz w:val="22"/>
          <w:szCs w:val="22"/>
        </w:rPr>
      </w:pPr>
      <w:r w:rsidRPr="00295E71">
        <w:rPr>
          <w:sz w:val="22"/>
          <w:szCs w:val="22"/>
        </w:rPr>
        <w:t>Vedere il foglio illustrativo per le informazioni sulle condizioni di conservazione.</w:t>
      </w:r>
    </w:p>
    <w:p w:rsidR="006224C2" w:rsidRPr="00295E71" w14:paraId="57214FF1" w14:textId="77777777">
      <w:pPr>
        <w:tabs>
          <w:tab w:val="left" w:pos="567"/>
        </w:tabs>
        <w:ind w:left="540" w:hanging="540"/>
        <w:jc w:val="both"/>
        <w:rPr>
          <w:sz w:val="22"/>
          <w:szCs w:val="22"/>
        </w:rPr>
      </w:pPr>
    </w:p>
    <w:p w:rsidR="006224C2" w14:paraId="3404A4EC" w14:textId="77777777">
      <w:pPr>
        <w:tabs>
          <w:tab w:val="left" w:pos="567"/>
        </w:tabs>
        <w:ind w:left="540" w:hanging="540"/>
        <w:jc w:val="both"/>
        <w:rPr>
          <w:sz w:val="22"/>
          <w:szCs w:val="22"/>
        </w:rPr>
      </w:pPr>
      <w:r w:rsidRPr="00295E71">
        <w:rPr>
          <w:sz w:val="22"/>
          <w:szCs w:val="22"/>
        </w:rPr>
        <w:t>Esclusivamente monouso</w:t>
      </w:r>
      <w:r w:rsidRPr="00295E71" w:rsidR="006474FA">
        <w:rPr>
          <w:sz w:val="22"/>
          <w:szCs w:val="22"/>
        </w:rPr>
        <w:t>.</w:t>
      </w:r>
    </w:p>
    <w:p w:rsidR="00DA39F8" w14:paraId="3137B971" w14:textId="77777777">
      <w:pPr>
        <w:tabs>
          <w:tab w:val="left" w:pos="567"/>
        </w:tabs>
        <w:ind w:left="540" w:hanging="540"/>
        <w:jc w:val="both"/>
        <w:rPr>
          <w:sz w:val="22"/>
          <w:szCs w:val="22"/>
        </w:rPr>
      </w:pPr>
    </w:p>
    <w:p w:rsidR="00DA39F8" w:rsidRPr="00295E71" w14:paraId="41D1F75F" w14:textId="77777777">
      <w:pPr>
        <w:tabs>
          <w:tab w:val="left" w:pos="567"/>
        </w:tabs>
        <w:ind w:left="540" w:hanging="540"/>
        <w:jc w:val="both"/>
        <w:rPr>
          <w:sz w:val="22"/>
          <w:szCs w:val="22"/>
        </w:rPr>
      </w:pPr>
    </w:p>
    <w:p w:rsidR="006224C2" w:rsidRPr="00295E71" w14:paraId="2F0BD0C1" w14:textId="77777777">
      <w:pPr>
        <w:pStyle w:val="EndnoteText"/>
        <w:ind w:left="540" w:hanging="540"/>
        <w:rPr>
          <w:lang w:val="it-IT"/>
        </w:rPr>
      </w:pPr>
      <w:r w:rsidRPr="00295E71">
        <w:rPr>
          <w:lang w:val="it-IT"/>
        </w:rPr>
        <w:br w:type="page"/>
      </w:r>
    </w:p>
    <w:p w:rsidR="006224C2" w:rsidRPr="00295E71" w14:paraId="73543C66" w14:textId="77777777">
      <w:pPr>
        <w:pBdr>
          <w:top w:val="single" w:sz="4" w:space="1" w:color="auto"/>
          <w:left w:val="single" w:sz="4" w:space="1" w:color="auto"/>
          <w:bottom w:val="single" w:sz="4" w:space="1" w:color="auto"/>
          <w:right w:val="single" w:sz="4" w:space="1" w:color="auto"/>
        </w:pBdr>
        <w:tabs>
          <w:tab w:val="left" w:pos="180"/>
        </w:tabs>
        <w:rPr>
          <w:b/>
          <w:bCs/>
          <w:sz w:val="22"/>
          <w:szCs w:val="22"/>
        </w:rPr>
      </w:pPr>
      <w:r w:rsidRPr="00295E71">
        <w:rPr>
          <w:b/>
          <w:bCs/>
          <w:sz w:val="22"/>
          <w:szCs w:val="22"/>
        </w:rPr>
        <w:t>INFORMAZIONI MINIME DA APPORRE SUI CONFEZIONAMENTI PRIMARI DI PICCOLE DIMENSIONI</w:t>
      </w:r>
    </w:p>
    <w:p w:rsidR="006224C2" w:rsidRPr="00295E71" w14:paraId="019E0F6B" w14:textId="77777777">
      <w:pPr>
        <w:pBdr>
          <w:top w:val="single" w:sz="4" w:space="1" w:color="auto"/>
          <w:left w:val="single" w:sz="4" w:space="1" w:color="auto"/>
          <w:bottom w:val="single" w:sz="4" w:space="1" w:color="auto"/>
          <w:right w:val="single" w:sz="4" w:space="1" w:color="auto"/>
        </w:pBdr>
        <w:tabs>
          <w:tab w:val="left" w:pos="180"/>
        </w:tabs>
        <w:rPr>
          <w:b/>
          <w:bCs/>
          <w:caps/>
          <w:sz w:val="22"/>
          <w:szCs w:val="22"/>
        </w:rPr>
      </w:pPr>
    </w:p>
    <w:p w:rsidR="006224C2" w:rsidRPr="00295E71" w14:paraId="27C220D0" w14:textId="77777777">
      <w:pPr>
        <w:pBdr>
          <w:top w:val="single" w:sz="4" w:space="1" w:color="auto"/>
          <w:left w:val="single" w:sz="4" w:space="1" w:color="auto"/>
          <w:bottom w:val="single" w:sz="4" w:space="1" w:color="auto"/>
          <w:right w:val="single" w:sz="4" w:space="1" w:color="auto"/>
        </w:pBdr>
        <w:tabs>
          <w:tab w:val="left" w:pos="567"/>
        </w:tabs>
        <w:ind w:left="540" w:hanging="540"/>
        <w:rPr>
          <w:b/>
          <w:bCs/>
          <w:sz w:val="22"/>
          <w:szCs w:val="22"/>
        </w:rPr>
      </w:pPr>
      <w:r w:rsidRPr="00295E71">
        <w:rPr>
          <w:b/>
          <w:bCs/>
          <w:caps/>
          <w:sz w:val="22"/>
          <w:szCs w:val="22"/>
        </w:rPr>
        <w:t>Etichetta da apporre sulla siringa</w:t>
      </w:r>
    </w:p>
    <w:p w:rsidR="006224C2" w:rsidRPr="00295E71" w14:paraId="5D719418" w14:textId="77777777">
      <w:pPr>
        <w:pStyle w:val="Index1"/>
        <w:tabs>
          <w:tab w:val="left" w:pos="567"/>
        </w:tabs>
        <w:spacing w:line="260" w:lineRule="exact"/>
        <w:ind w:left="540" w:hanging="540"/>
        <w:rPr>
          <w:lang w:val="it-IT"/>
        </w:rPr>
      </w:pPr>
    </w:p>
    <w:p w:rsidR="006224C2" w:rsidRPr="00295E71" w14:paraId="694B3B77" w14:textId="77777777">
      <w:pPr>
        <w:tabs>
          <w:tab w:val="left" w:pos="567"/>
        </w:tabs>
        <w:ind w:left="540" w:hanging="540"/>
        <w:rPr>
          <w:b/>
          <w:bCs/>
          <w:sz w:val="22"/>
          <w:szCs w:val="22"/>
        </w:rPr>
      </w:pPr>
    </w:p>
    <w:p w:rsidR="006224C2" w:rsidRPr="00295E71" w14:paraId="0635253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w:t>
      </w:r>
      <w:r w:rsidRPr="00295E71">
        <w:rPr>
          <w:b/>
          <w:bCs/>
          <w:sz w:val="22"/>
          <w:szCs w:val="22"/>
        </w:rPr>
        <w:tab/>
        <w:t>DENOMINAZIONE DEL MEDICINALE E VIA DI SOMMINISTRAZIONE</w:t>
      </w:r>
    </w:p>
    <w:p w:rsidR="006224C2" w:rsidRPr="00295E71" w14:paraId="3FE07DED" w14:textId="77777777">
      <w:pPr>
        <w:tabs>
          <w:tab w:val="left" w:pos="567"/>
        </w:tabs>
        <w:ind w:left="540" w:hanging="540"/>
        <w:rPr>
          <w:sz w:val="22"/>
          <w:szCs w:val="22"/>
        </w:rPr>
      </w:pPr>
    </w:p>
    <w:p w:rsidR="006224C2" w:rsidRPr="00295E71" w14:paraId="224BBE9F" w14:textId="77777777">
      <w:pPr>
        <w:tabs>
          <w:tab w:val="left" w:pos="567"/>
        </w:tabs>
        <w:ind w:left="540" w:hanging="540"/>
        <w:rPr>
          <w:sz w:val="22"/>
          <w:szCs w:val="22"/>
        </w:rPr>
      </w:pPr>
      <w:r w:rsidRPr="00295E71">
        <w:rPr>
          <w:sz w:val="22"/>
          <w:szCs w:val="22"/>
        </w:rPr>
        <w:t>Humira 80 mg iniettabile</w:t>
      </w:r>
    </w:p>
    <w:p w:rsidR="006224C2" w:rsidRPr="00295E71" w14:paraId="4EDCA537" w14:textId="77777777">
      <w:pPr>
        <w:tabs>
          <w:tab w:val="left" w:pos="567"/>
        </w:tabs>
        <w:ind w:left="540" w:hanging="540"/>
        <w:rPr>
          <w:sz w:val="22"/>
          <w:szCs w:val="22"/>
        </w:rPr>
      </w:pPr>
      <w:r w:rsidRPr="00295E71">
        <w:rPr>
          <w:sz w:val="22"/>
          <w:szCs w:val="22"/>
        </w:rPr>
        <w:t>adalimumab</w:t>
      </w:r>
    </w:p>
    <w:p w:rsidR="006224C2" w:rsidRPr="00295E71" w14:paraId="01BB0574" w14:textId="77777777">
      <w:pPr>
        <w:pStyle w:val="EndnoteText"/>
        <w:ind w:left="540" w:hanging="540"/>
        <w:rPr>
          <w:lang w:val="it-IT"/>
        </w:rPr>
      </w:pPr>
      <w:r w:rsidRPr="00295E71">
        <w:rPr>
          <w:lang w:val="it-IT"/>
        </w:rPr>
        <w:t>s.c.</w:t>
      </w:r>
    </w:p>
    <w:p w:rsidR="006224C2" w:rsidRPr="00295E71" w14:paraId="7ECCD7C7" w14:textId="77777777">
      <w:pPr>
        <w:tabs>
          <w:tab w:val="left" w:pos="567"/>
        </w:tabs>
        <w:ind w:left="540" w:hanging="540"/>
        <w:rPr>
          <w:b/>
          <w:bCs/>
          <w:sz w:val="22"/>
          <w:szCs w:val="22"/>
        </w:rPr>
      </w:pPr>
    </w:p>
    <w:p w:rsidR="006224C2" w:rsidRPr="00295E71" w14:paraId="137EE6AF" w14:textId="77777777">
      <w:pPr>
        <w:tabs>
          <w:tab w:val="left" w:pos="567"/>
        </w:tabs>
        <w:ind w:left="540" w:hanging="540"/>
        <w:rPr>
          <w:b/>
          <w:bCs/>
          <w:sz w:val="22"/>
          <w:szCs w:val="22"/>
        </w:rPr>
      </w:pPr>
    </w:p>
    <w:p w:rsidR="006224C2" w:rsidRPr="00295E71" w14:paraId="066475A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2.</w:t>
      </w:r>
      <w:r w:rsidRPr="00295E71">
        <w:rPr>
          <w:b/>
          <w:bCs/>
          <w:sz w:val="22"/>
          <w:szCs w:val="22"/>
        </w:rPr>
        <w:tab/>
        <w:t>MODO DI SOMMINISTRAZIONE</w:t>
      </w:r>
    </w:p>
    <w:p w:rsidR="006224C2" w:rsidRPr="00295E71" w14:paraId="57027CB4" w14:textId="77777777">
      <w:pPr>
        <w:pStyle w:val="IndexHeading"/>
        <w:spacing w:line="240" w:lineRule="auto"/>
        <w:ind w:left="540" w:hanging="540"/>
        <w:rPr>
          <w:rFonts w:ascii="Times New Roman" w:hAnsi="Times New Roman" w:cs="Times New Roman"/>
          <w:lang w:val="it-IT"/>
        </w:rPr>
      </w:pPr>
    </w:p>
    <w:p w:rsidR="006224C2" w:rsidRPr="00295E71" w14:paraId="1576FAF5" w14:textId="77777777">
      <w:pPr>
        <w:tabs>
          <w:tab w:val="left" w:pos="567"/>
        </w:tabs>
        <w:ind w:left="540" w:hanging="540"/>
        <w:rPr>
          <w:b/>
          <w:bCs/>
          <w:sz w:val="22"/>
          <w:szCs w:val="22"/>
        </w:rPr>
      </w:pPr>
    </w:p>
    <w:p w:rsidR="006224C2" w:rsidRPr="00295E71" w14:paraId="10863C4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3.</w:t>
      </w:r>
      <w:r w:rsidRPr="00295E71">
        <w:rPr>
          <w:b/>
          <w:bCs/>
          <w:sz w:val="22"/>
          <w:szCs w:val="22"/>
        </w:rPr>
        <w:tab/>
        <w:t>DATA DI SCADENZA</w:t>
      </w:r>
    </w:p>
    <w:p w:rsidR="006224C2" w:rsidRPr="00295E71" w14:paraId="08C26CBF" w14:textId="77777777">
      <w:pPr>
        <w:tabs>
          <w:tab w:val="left" w:pos="567"/>
        </w:tabs>
        <w:ind w:left="540" w:hanging="540"/>
        <w:rPr>
          <w:sz w:val="22"/>
          <w:szCs w:val="22"/>
        </w:rPr>
      </w:pPr>
    </w:p>
    <w:p w:rsidR="006224C2" w:rsidRPr="00295E71" w14:paraId="25D29AC7" w14:textId="77777777">
      <w:pPr>
        <w:tabs>
          <w:tab w:val="left" w:pos="567"/>
        </w:tabs>
        <w:ind w:left="540" w:hanging="540"/>
        <w:rPr>
          <w:sz w:val="22"/>
          <w:szCs w:val="22"/>
        </w:rPr>
      </w:pPr>
      <w:r w:rsidRPr="00295E71">
        <w:rPr>
          <w:sz w:val="22"/>
          <w:szCs w:val="22"/>
        </w:rPr>
        <w:t xml:space="preserve">EXP </w:t>
      </w:r>
    </w:p>
    <w:p w:rsidR="006224C2" w:rsidRPr="00295E71" w14:paraId="1B889166" w14:textId="77777777">
      <w:pPr>
        <w:tabs>
          <w:tab w:val="left" w:pos="567"/>
        </w:tabs>
        <w:ind w:left="540" w:hanging="540"/>
        <w:rPr>
          <w:b/>
          <w:bCs/>
          <w:sz w:val="22"/>
          <w:szCs w:val="22"/>
        </w:rPr>
      </w:pPr>
    </w:p>
    <w:p w:rsidR="006224C2" w:rsidRPr="00295E71" w14:paraId="613EA602" w14:textId="77777777">
      <w:pPr>
        <w:tabs>
          <w:tab w:val="left" w:pos="567"/>
        </w:tabs>
        <w:ind w:left="540" w:hanging="540"/>
        <w:rPr>
          <w:sz w:val="22"/>
          <w:szCs w:val="22"/>
        </w:rPr>
      </w:pPr>
    </w:p>
    <w:p w:rsidR="006224C2" w:rsidRPr="00295E71" w14:paraId="3B737E28"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4.</w:t>
      </w:r>
      <w:r w:rsidRPr="00295E71">
        <w:rPr>
          <w:b/>
          <w:bCs/>
          <w:sz w:val="22"/>
          <w:szCs w:val="22"/>
        </w:rPr>
        <w:tab/>
        <w:t>NUMERO DI LOTTO</w:t>
      </w:r>
    </w:p>
    <w:p w:rsidR="006224C2" w:rsidRPr="00295E71" w14:paraId="58BB9FCB" w14:textId="77777777">
      <w:pPr>
        <w:tabs>
          <w:tab w:val="left" w:pos="567"/>
        </w:tabs>
        <w:ind w:left="540" w:hanging="540"/>
        <w:rPr>
          <w:sz w:val="22"/>
          <w:szCs w:val="22"/>
        </w:rPr>
      </w:pPr>
    </w:p>
    <w:p w:rsidR="006224C2" w:rsidRPr="00295E71" w14:paraId="30EE11BA" w14:textId="77777777">
      <w:pPr>
        <w:tabs>
          <w:tab w:val="left" w:pos="567"/>
        </w:tabs>
        <w:ind w:left="540" w:hanging="540"/>
        <w:rPr>
          <w:sz w:val="22"/>
          <w:szCs w:val="22"/>
        </w:rPr>
      </w:pPr>
      <w:r w:rsidRPr="00295E71">
        <w:rPr>
          <w:sz w:val="22"/>
          <w:szCs w:val="22"/>
        </w:rPr>
        <w:t xml:space="preserve">Lot </w:t>
      </w:r>
    </w:p>
    <w:p w:rsidR="006224C2" w:rsidRPr="00295E71" w14:paraId="382AE463" w14:textId="77777777">
      <w:pPr>
        <w:tabs>
          <w:tab w:val="left" w:pos="567"/>
        </w:tabs>
        <w:ind w:left="540" w:right="113" w:hanging="540"/>
        <w:rPr>
          <w:sz w:val="22"/>
          <w:szCs w:val="22"/>
        </w:rPr>
      </w:pPr>
    </w:p>
    <w:p w:rsidR="006224C2" w:rsidRPr="00295E71" w14:paraId="60887F4E" w14:textId="77777777">
      <w:pPr>
        <w:tabs>
          <w:tab w:val="left" w:pos="567"/>
        </w:tabs>
        <w:ind w:left="540" w:right="113" w:hanging="540"/>
        <w:rPr>
          <w:sz w:val="22"/>
          <w:szCs w:val="22"/>
        </w:rPr>
      </w:pPr>
    </w:p>
    <w:p w:rsidR="006224C2" w:rsidRPr="00295E71" w14:paraId="6F88CF4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5.</w:t>
      </w:r>
      <w:r w:rsidRPr="00295E71">
        <w:rPr>
          <w:b/>
          <w:bCs/>
          <w:sz w:val="22"/>
          <w:szCs w:val="22"/>
        </w:rPr>
        <w:tab/>
        <w:t>CONTENUTO IN PESO, VOLUME O UNITA’</w:t>
      </w:r>
    </w:p>
    <w:p w:rsidR="006224C2" w:rsidRPr="00295E71" w14:paraId="6E844E2C" w14:textId="77777777">
      <w:pPr>
        <w:tabs>
          <w:tab w:val="left" w:pos="567"/>
        </w:tabs>
        <w:ind w:left="540" w:hanging="540"/>
        <w:rPr>
          <w:sz w:val="22"/>
          <w:szCs w:val="22"/>
        </w:rPr>
      </w:pPr>
    </w:p>
    <w:p w:rsidR="006224C2" w:rsidRPr="00295E71" w14:paraId="64B7F288" w14:textId="77777777">
      <w:pPr>
        <w:tabs>
          <w:tab w:val="left" w:pos="567"/>
        </w:tabs>
        <w:ind w:left="540" w:hanging="540"/>
        <w:rPr>
          <w:sz w:val="22"/>
          <w:szCs w:val="22"/>
        </w:rPr>
      </w:pPr>
      <w:r w:rsidRPr="00295E71">
        <w:rPr>
          <w:sz w:val="22"/>
          <w:szCs w:val="22"/>
        </w:rPr>
        <w:t>80 mg</w:t>
      </w:r>
      <w:r w:rsidRPr="00295E71" w:rsidR="006474FA">
        <w:rPr>
          <w:sz w:val="22"/>
          <w:szCs w:val="22"/>
          <w:highlight w:val="lightGray"/>
        </w:rPr>
        <w:t>/0,8 ml</w:t>
      </w:r>
    </w:p>
    <w:p w:rsidR="006224C2" w:rsidRPr="00295E71" w14:paraId="7FE031AE" w14:textId="77777777">
      <w:pPr>
        <w:tabs>
          <w:tab w:val="left" w:pos="567"/>
        </w:tabs>
        <w:ind w:left="540" w:hanging="540"/>
        <w:rPr>
          <w:sz w:val="22"/>
          <w:szCs w:val="22"/>
        </w:rPr>
      </w:pPr>
    </w:p>
    <w:p w:rsidR="006224C2" w:rsidRPr="00295E71" w14:paraId="56DEDE17" w14:textId="77777777">
      <w:pPr>
        <w:tabs>
          <w:tab w:val="left" w:pos="567"/>
        </w:tabs>
        <w:ind w:left="540" w:hanging="540"/>
        <w:rPr>
          <w:b/>
          <w:bCs/>
          <w:sz w:val="22"/>
          <w:szCs w:val="22"/>
          <w:u w:val="single"/>
        </w:rPr>
      </w:pPr>
    </w:p>
    <w:p w:rsidR="006224C2" w:rsidRPr="00295E71" w14:paraId="3EFAF83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6.</w:t>
      </w:r>
      <w:r w:rsidRPr="00295E71">
        <w:rPr>
          <w:b/>
          <w:bCs/>
          <w:sz w:val="22"/>
          <w:szCs w:val="22"/>
        </w:rPr>
        <w:tab/>
        <w:t>ALTRO</w:t>
      </w:r>
    </w:p>
    <w:p w:rsidR="006224C2" w:rsidRPr="00295E71" w14:paraId="3D102F7E" w14:textId="77777777">
      <w:pPr>
        <w:tabs>
          <w:tab w:val="left" w:pos="567"/>
        </w:tabs>
        <w:ind w:left="540" w:hanging="540"/>
        <w:rPr>
          <w:b/>
          <w:bCs/>
          <w:sz w:val="22"/>
          <w:szCs w:val="22"/>
          <w:u w:val="single"/>
        </w:rPr>
      </w:pPr>
    </w:p>
    <w:p w:rsidR="006224C2" w:rsidRPr="00295E71" w14:paraId="30FAB763" w14:textId="77777777">
      <w:pPr>
        <w:tabs>
          <w:tab w:val="left" w:pos="567"/>
        </w:tabs>
        <w:ind w:right="-449"/>
        <w:rPr>
          <w:sz w:val="22"/>
          <w:szCs w:val="22"/>
        </w:rPr>
      </w:pPr>
    </w:p>
    <w:p w:rsidR="00DA39F8" w:rsidP="00DA39F8" w14:paraId="1D5A16CD" w14:textId="77777777">
      <w:pPr>
        <w:rPr>
          <w:b/>
          <w:bCs/>
          <w:sz w:val="22"/>
          <w:szCs w:val="22"/>
          <w:u w:val="single"/>
        </w:rPr>
      </w:pPr>
      <w:r>
        <w:rPr>
          <w:b/>
          <w:bCs/>
          <w:sz w:val="22"/>
          <w:szCs w:val="22"/>
          <w:u w:val="single"/>
        </w:rPr>
        <w:br w:type="page"/>
      </w:r>
    </w:p>
    <w:p w:rsidR="00DA39F8" w:rsidP="00DA39F8" w14:paraId="2429750A" w14:textId="77777777">
      <w:pPr>
        <w:ind w:left="475" w:hanging="540"/>
        <w:rPr>
          <w:sz w:val="22"/>
          <w:szCs w:val="22"/>
        </w:rPr>
      </w:pPr>
    </w:p>
    <w:p w:rsidR="006224C2" w:rsidRPr="00295E71" w14:paraId="657BCDCF" w14:textId="77777777">
      <w:pPr>
        <w:pBdr>
          <w:top w:val="single" w:sz="4" w:space="1" w:color="auto"/>
          <w:left w:val="single" w:sz="4" w:space="4" w:color="auto"/>
          <w:bottom w:val="single" w:sz="4" w:space="1" w:color="auto"/>
          <w:right w:val="single" w:sz="4" w:space="4" w:color="auto"/>
        </w:pBdr>
        <w:tabs>
          <w:tab w:val="left" w:pos="567"/>
        </w:tabs>
        <w:jc w:val="both"/>
        <w:rPr>
          <w:b/>
          <w:bCs/>
          <w:sz w:val="22"/>
          <w:szCs w:val="22"/>
        </w:rPr>
      </w:pPr>
      <w:r w:rsidRPr="00295E71">
        <w:rPr>
          <w:b/>
          <w:bCs/>
          <w:sz w:val="22"/>
          <w:szCs w:val="22"/>
        </w:rPr>
        <w:t>INFORMAZIONI DA APPORRE SUL CONFEZIONAMENTO SECONDARIO</w:t>
      </w:r>
    </w:p>
    <w:p w:rsidR="006224C2" w:rsidRPr="00295E71" w14:paraId="59935B7C" w14:textId="77777777">
      <w:pPr>
        <w:pBdr>
          <w:top w:val="single" w:sz="4" w:space="1" w:color="auto"/>
          <w:left w:val="single" w:sz="4" w:space="4" w:color="auto"/>
          <w:bottom w:val="single" w:sz="4" w:space="1" w:color="auto"/>
          <w:right w:val="single" w:sz="4" w:space="4" w:color="auto"/>
        </w:pBdr>
        <w:tabs>
          <w:tab w:val="left" w:pos="567"/>
        </w:tabs>
        <w:jc w:val="both"/>
        <w:rPr>
          <w:b/>
          <w:bCs/>
          <w:caps/>
          <w:sz w:val="22"/>
          <w:szCs w:val="22"/>
        </w:rPr>
      </w:pPr>
    </w:p>
    <w:p w:rsidR="006224C2" w:rsidRPr="00295E71" w14:paraId="0529835C" w14:textId="77777777">
      <w:pPr>
        <w:pBdr>
          <w:top w:val="single" w:sz="4" w:space="1" w:color="auto"/>
          <w:left w:val="single" w:sz="4" w:space="4" w:color="auto"/>
          <w:bottom w:val="single" w:sz="4" w:space="1" w:color="auto"/>
          <w:right w:val="single" w:sz="4" w:space="4" w:color="auto"/>
        </w:pBdr>
        <w:tabs>
          <w:tab w:val="left" w:pos="567"/>
        </w:tabs>
        <w:jc w:val="both"/>
        <w:rPr>
          <w:b/>
          <w:bCs/>
          <w:caps/>
          <w:sz w:val="22"/>
          <w:szCs w:val="22"/>
        </w:rPr>
      </w:pPr>
      <w:r w:rsidRPr="00295E71">
        <w:rPr>
          <w:b/>
          <w:bCs/>
          <w:caps/>
          <w:sz w:val="22"/>
          <w:szCs w:val="22"/>
        </w:rPr>
        <w:t>ASTUCCIO ESTERNO</w:t>
      </w:r>
    </w:p>
    <w:p w:rsidR="006224C2" w:rsidRPr="00295E71" w14:paraId="24A115B3" w14:textId="77777777">
      <w:pPr>
        <w:tabs>
          <w:tab w:val="left" w:pos="567"/>
        </w:tabs>
        <w:jc w:val="both"/>
        <w:rPr>
          <w:b/>
          <w:bCs/>
          <w:sz w:val="22"/>
          <w:szCs w:val="22"/>
        </w:rPr>
      </w:pPr>
    </w:p>
    <w:p w:rsidR="006224C2" w:rsidRPr="00295E71" w14:paraId="52CA2D1F" w14:textId="77777777">
      <w:pPr>
        <w:tabs>
          <w:tab w:val="left" w:pos="567"/>
        </w:tabs>
        <w:jc w:val="both"/>
        <w:rPr>
          <w:b/>
          <w:bCs/>
          <w:sz w:val="22"/>
          <w:szCs w:val="22"/>
        </w:rPr>
      </w:pPr>
    </w:p>
    <w:p w:rsidR="006224C2" w:rsidRPr="00295E71" w14:paraId="3131E7D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1. </w:t>
      </w:r>
      <w:r w:rsidRPr="00295E71">
        <w:rPr>
          <w:b/>
          <w:bCs/>
          <w:sz w:val="22"/>
          <w:szCs w:val="22"/>
        </w:rPr>
        <w:tab/>
        <w:t>DENOMINAZIONE DEL MEDICINALE</w:t>
      </w:r>
    </w:p>
    <w:p w:rsidR="006224C2" w:rsidRPr="00295E71" w14:paraId="6297D3F5" w14:textId="77777777">
      <w:pPr>
        <w:tabs>
          <w:tab w:val="left" w:pos="567"/>
        </w:tabs>
        <w:ind w:left="540" w:hanging="540"/>
        <w:rPr>
          <w:sz w:val="22"/>
          <w:szCs w:val="22"/>
        </w:rPr>
      </w:pPr>
    </w:p>
    <w:p w:rsidR="006224C2" w:rsidRPr="00295E71" w14:paraId="75AB4853" w14:textId="77777777">
      <w:pPr>
        <w:tabs>
          <w:tab w:val="left" w:pos="567"/>
        </w:tabs>
        <w:ind w:left="540" w:hanging="540"/>
        <w:rPr>
          <w:sz w:val="22"/>
          <w:szCs w:val="22"/>
        </w:rPr>
      </w:pPr>
      <w:r w:rsidRPr="00295E71">
        <w:rPr>
          <w:sz w:val="22"/>
          <w:szCs w:val="22"/>
        </w:rPr>
        <w:t>Humira 80 mg soluzione iniettabile in penna pre-riempita</w:t>
      </w:r>
    </w:p>
    <w:p w:rsidR="006224C2" w:rsidRPr="00295E71" w14:paraId="47028EB0" w14:textId="77777777">
      <w:pPr>
        <w:pStyle w:val="EndnoteText"/>
        <w:ind w:left="540" w:hanging="540"/>
        <w:rPr>
          <w:lang w:val="it-IT"/>
        </w:rPr>
      </w:pPr>
      <w:r w:rsidRPr="00295E71">
        <w:rPr>
          <w:lang w:val="it-IT"/>
        </w:rPr>
        <w:t>adalimumab</w:t>
      </w:r>
    </w:p>
    <w:p w:rsidR="006224C2" w:rsidRPr="00295E71" w14:paraId="4828DD90" w14:textId="77777777">
      <w:pPr>
        <w:tabs>
          <w:tab w:val="left" w:pos="567"/>
        </w:tabs>
        <w:ind w:left="540" w:hanging="540"/>
        <w:rPr>
          <w:sz w:val="22"/>
          <w:szCs w:val="22"/>
        </w:rPr>
      </w:pPr>
    </w:p>
    <w:p w:rsidR="006224C2" w:rsidRPr="00295E71" w14:paraId="62C8BF2B" w14:textId="77777777">
      <w:pPr>
        <w:tabs>
          <w:tab w:val="left" w:pos="567"/>
        </w:tabs>
        <w:ind w:left="540" w:hanging="540"/>
        <w:rPr>
          <w:sz w:val="22"/>
          <w:szCs w:val="22"/>
        </w:rPr>
      </w:pPr>
    </w:p>
    <w:p w:rsidR="006224C2" w:rsidRPr="00295E71" w14:paraId="4A5AB70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2. </w:t>
      </w:r>
      <w:r w:rsidRPr="00295E71">
        <w:rPr>
          <w:b/>
          <w:bCs/>
          <w:sz w:val="22"/>
          <w:szCs w:val="22"/>
        </w:rPr>
        <w:tab/>
        <w:t>COMPOSIZIONE QUALITATIVA E QUANTITATIVA IN TERMINI DI PRINCIPIO ATTIVO</w:t>
      </w:r>
    </w:p>
    <w:p w:rsidR="006224C2" w:rsidRPr="00295E71" w14:paraId="152B67CC" w14:textId="77777777">
      <w:pPr>
        <w:tabs>
          <w:tab w:val="left" w:pos="567"/>
        </w:tabs>
        <w:ind w:left="540" w:hanging="540"/>
        <w:rPr>
          <w:sz w:val="22"/>
          <w:szCs w:val="22"/>
        </w:rPr>
      </w:pPr>
    </w:p>
    <w:p w:rsidR="006224C2" w:rsidRPr="00295E71" w14:paraId="3D39CD0F" w14:textId="77777777">
      <w:pPr>
        <w:tabs>
          <w:tab w:val="left" w:pos="567"/>
        </w:tabs>
        <w:ind w:left="540" w:hanging="540"/>
        <w:rPr>
          <w:sz w:val="22"/>
          <w:szCs w:val="22"/>
        </w:rPr>
      </w:pPr>
      <w:r w:rsidRPr="00295E71">
        <w:rPr>
          <w:sz w:val="22"/>
          <w:szCs w:val="22"/>
        </w:rPr>
        <w:t>Una penna pre-riempita da 0,8 ml contiene 80 mg di adalimumab</w:t>
      </w:r>
    </w:p>
    <w:p w:rsidR="006224C2" w:rsidRPr="00295E71" w14:paraId="6D7C8B05" w14:textId="77777777">
      <w:pPr>
        <w:tabs>
          <w:tab w:val="left" w:pos="567"/>
        </w:tabs>
        <w:ind w:left="540" w:hanging="540"/>
        <w:rPr>
          <w:sz w:val="22"/>
          <w:szCs w:val="22"/>
        </w:rPr>
      </w:pPr>
    </w:p>
    <w:p w:rsidR="006224C2" w:rsidRPr="00295E71" w14:paraId="5DEE1F19" w14:textId="77777777">
      <w:pPr>
        <w:tabs>
          <w:tab w:val="left" w:pos="567"/>
        </w:tabs>
        <w:ind w:left="540" w:hanging="540"/>
        <w:rPr>
          <w:sz w:val="22"/>
          <w:szCs w:val="22"/>
        </w:rPr>
      </w:pPr>
    </w:p>
    <w:p w:rsidR="006224C2" w:rsidRPr="00295E71" w14:paraId="132BEBA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3. </w:t>
      </w:r>
      <w:r w:rsidRPr="00295E71">
        <w:rPr>
          <w:b/>
          <w:bCs/>
          <w:sz w:val="22"/>
          <w:szCs w:val="22"/>
        </w:rPr>
        <w:tab/>
        <w:t>ELENCO DEGLI ECCIPIENTI</w:t>
      </w:r>
    </w:p>
    <w:p w:rsidR="006224C2" w:rsidRPr="00295E71" w14:paraId="16FC6340" w14:textId="77777777">
      <w:pPr>
        <w:tabs>
          <w:tab w:val="left" w:pos="567"/>
        </w:tabs>
        <w:rPr>
          <w:sz w:val="22"/>
          <w:szCs w:val="22"/>
        </w:rPr>
      </w:pPr>
    </w:p>
    <w:p w:rsidR="006224C2" w:rsidRPr="00295E71" w14:paraId="6B785235" w14:textId="77777777">
      <w:pPr>
        <w:pStyle w:val="EMEAFigureTitle"/>
        <w:suppressAutoHyphens w:val="0"/>
        <w:autoSpaceDE w:val="0"/>
        <w:autoSpaceDN w:val="0"/>
        <w:adjustRightInd w:val="0"/>
        <w:rPr>
          <w:lang w:val="it-IT" w:eastAsia="it-IT"/>
        </w:rPr>
      </w:pPr>
      <w:r w:rsidRPr="00295E71">
        <w:rPr>
          <w:lang w:val="it-IT" w:eastAsia="it-IT"/>
        </w:rPr>
        <w:t>Eccipienti: mannitolo, polisorbato 80 e acqua per preparazioni iniettabili. Per ulteriori informazioni vedere il foglio illustrativo.</w:t>
      </w:r>
    </w:p>
    <w:p w:rsidR="006224C2" w:rsidRPr="00295E71" w14:paraId="01F6B1CB" w14:textId="77777777">
      <w:pPr>
        <w:tabs>
          <w:tab w:val="left" w:pos="567"/>
        </w:tabs>
        <w:ind w:left="540" w:hanging="540"/>
        <w:rPr>
          <w:sz w:val="22"/>
          <w:szCs w:val="22"/>
        </w:rPr>
      </w:pPr>
    </w:p>
    <w:p w:rsidR="006224C2" w:rsidRPr="00295E71" w14:paraId="700F7A02" w14:textId="77777777">
      <w:pPr>
        <w:tabs>
          <w:tab w:val="left" w:pos="567"/>
        </w:tabs>
        <w:ind w:left="540" w:hanging="540"/>
        <w:rPr>
          <w:sz w:val="22"/>
          <w:szCs w:val="22"/>
        </w:rPr>
      </w:pPr>
    </w:p>
    <w:p w:rsidR="006224C2" w:rsidRPr="00295E71" w14:paraId="1CC8809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4. </w:t>
      </w:r>
      <w:r w:rsidRPr="00295E71">
        <w:rPr>
          <w:b/>
          <w:bCs/>
          <w:sz w:val="22"/>
          <w:szCs w:val="22"/>
        </w:rPr>
        <w:tab/>
        <w:t>FORMA FARMACEUTICA E CONTENUTO</w:t>
      </w:r>
      <w:r w:rsidRPr="00295E71">
        <w:rPr>
          <w:b/>
          <w:bCs/>
          <w:sz w:val="22"/>
          <w:szCs w:val="22"/>
        </w:rPr>
        <w:tab/>
      </w:r>
    </w:p>
    <w:p w:rsidR="006224C2" w:rsidRPr="00295E71" w14:paraId="52F9CD96" w14:textId="77777777">
      <w:pPr>
        <w:tabs>
          <w:tab w:val="left" w:pos="567"/>
        </w:tabs>
        <w:ind w:left="540" w:hanging="540"/>
        <w:rPr>
          <w:sz w:val="22"/>
          <w:szCs w:val="22"/>
        </w:rPr>
      </w:pPr>
    </w:p>
    <w:p w:rsidR="006474FA" w:rsidRPr="00295E71" w14:paraId="5450DE30" w14:textId="77777777">
      <w:pPr>
        <w:tabs>
          <w:tab w:val="left" w:pos="567"/>
        </w:tabs>
        <w:ind w:left="540" w:hanging="540"/>
        <w:rPr>
          <w:sz w:val="22"/>
          <w:szCs w:val="22"/>
        </w:rPr>
      </w:pPr>
      <w:r w:rsidRPr="00295E71">
        <w:rPr>
          <w:sz w:val="22"/>
          <w:szCs w:val="22"/>
          <w:highlight w:val="lightGray"/>
        </w:rPr>
        <w:t>Soluzione iniettabile</w:t>
      </w:r>
      <w:r w:rsidRPr="00295E71">
        <w:rPr>
          <w:sz w:val="22"/>
          <w:szCs w:val="22"/>
        </w:rPr>
        <w:t xml:space="preserve"> </w:t>
      </w:r>
    </w:p>
    <w:p w:rsidR="006224C2" w:rsidRPr="00295E71" w14:paraId="3D68CA74" w14:textId="77777777">
      <w:pPr>
        <w:tabs>
          <w:tab w:val="left" w:pos="567"/>
        </w:tabs>
        <w:ind w:left="540" w:hanging="540"/>
        <w:rPr>
          <w:sz w:val="22"/>
          <w:szCs w:val="22"/>
        </w:rPr>
      </w:pPr>
      <w:r w:rsidRPr="00295E71">
        <w:rPr>
          <w:sz w:val="22"/>
          <w:szCs w:val="22"/>
        </w:rPr>
        <w:t>1 penna pre-riempita</w:t>
      </w:r>
    </w:p>
    <w:p w:rsidR="006224C2" w:rsidRPr="00295E71" w14:paraId="782B9702" w14:textId="77777777">
      <w:pPr>
        <w:tabs>
          <w:tab w:val="left" w:pos="567"/>
        </w:tabs>
        <w:ind w:left="540" w:hanging="540"/>
        <w:rPr>
          <w:i/>
          <w:iCs/>
          <w:sz w:val="22"/>
          <w:szCs w:val="22"/>
        </w:rPr>
      </w:pPr>
      <w:r w:rsidRPr="00295E71">
        <w:rPr>
          <w:sz w:val="22"/>
          <w:szCs w:val="22"/>
        </w:rPr>
        <w:t>2 tamponi imbevuti di alcool</w:t>
      </w:r>
    </w:p>
    <w:p w:rsidR="006224C2" w14:paraId="3B4D23E2" w14:textId="77777777">
      <w:pPr>
        <w:tabs>
          <w:tab w:val="left" w:pos="567"/>
        </w:tabs>
        <w:ind w:left="540" w:hanging="540"/>
        <w:rPr>
          <w:sz w:val="22"/>
          <w:szCs w:val="22"/>
        </w:rPr>
      </w:pPr>
    </w:p>
    <w:p w:rsidR="004128A4" w:rsidRPr="00A87B6A" w:rsidP="004128A4" w14:paraId="19666E32" w14:textId="77777777">
      <w:pPr>
        <w:tabs>
          <w:tab w:val="left" w:pos="567"/>
        </w:tabs>
        <w:ind w:left="540" w:hanging="540"/>
        <w:rPr>
          <w:sz w:val="22"/>
          <w:szCs w:val="22"/>
          <w:highlight w:val="lightGray"/>
        </w:rPr>
      </w:pPr>
      <w:r w:rsidRPr="00A87B6A">
        <w:rPr>
          <w:sz w:val="22"/>
          <w:szCs w:val="22"/>
          <w:highlight w:val="lightGray"/>
        </w:rPr>
        <w:t>3 penne pre-riempite</w:t>
      </w:r>
    </w:p>
    <w:p w:rsidR="004128A4" w:rsidP="004128A4" w14:paraId="099E2685" w14:textId="77777777">
      <w:pPr>
        <w:tabs>
          <w:tab w:val="left" w:pos="567"/>
        </w:tabs>
        <w:ind w:left="540" w:hanging="540"/>
        <w:rPr>
          <w:sz w:val="22"/>
          <w:szCs w:val="22"/>
          <w:highlight w:val="lightGray"/>
        </w:rPr>
      </w:pPr>
      <w:r w:rsidRPr="00A87B6A">
        <w:rPr>
          <w:sz w:val="22"/>
          <w:szCs w:val="22"/>
          <w:highlight w:val="lightGray"/>
        </w:rPr>
        <w:t>4 tamponi imbevuti di alcool</w:t>
      </w:r>
    </w:p>
    <w:p w:rsidR="004128A4" w:rsidRPr="004128A4" w:rsidP="004128A4" w14:paraId="13387231" w14:textId="77777777">
      <w:pPr>
        <w:tabs>
          <w:tab w:val="left" w:pos="567"/>
        </w:tabs>
        <w:ind w:left="540" w:hanging="540"/>
        <w:rPr>
          <w:sz w:val="22"/>
          <w:szCs w:val="22"/>
        </w:rPr>
      </w:pPr>
    </w:p>
    <w:p w:rsidR="006224C2" w:rsidRPr="00295E71" w14:paraId="77818C47" w14:textId="77777777">
      <w:pPr>
        <w:tabs>
          <w:tab w:val="left" w:pos="567"/>
        </w:tabs>
        <w:ind w:left="540" w:hanging="540"/>
        <w:rPr>
          <w:color w:val="000000"/>
          <w:sz w:val="22"/>
          <w:szCs w:val="22"/>
          <w:u w:val="single"/>
        </w:rPr>
      </w:pPr>
    </w:p>
    <w:p w:rsidR="006224C2" w:rsidRPr="00295E71" w14:paraId="3FEF6EC3"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5. </w:t>
      </w:r>
      <w:r w:rsidRPr="00295E71">
        <w:rPr>
          <w:b/>
          <w:bCs/>
          <w:sz w:val="22"/>
          <w:szCs w:val="22"/>
        </w:rPr>
        <w:tab/>
        <w:t>MODO E VIA DI SOMMINISTRAZIONE</w:t>
      </w:r>
    </w:p>
    <w:p w:rsidR="006224C2" w:rsidRPr="00295E71" w14:paraId="5F790920" w14:textId="77777777">
      <w:pPr>
        <w:tabs>
          <w:tab w:val="left" w:pos="567"/>
        </w:tabs>
        <w:ind w:left="540" w:hanging="540"/>
        <w:rPr>
          <w:sz w:val="22"/>
          <w:szCs w:val="22"/>
        </w:rPr>
      </w:pPr>
    </w:p>
    <w:p w:rsidR="006224C2" w:rsidRPr="00295E71" w14:paraId="41600C1B" w14:textId="77777777">
      <w:pPr>
        <w:tabs>
          <w:tab w:val="left" w:pos="567"/>
        </w:tabs>
        <w:ind w:left="540" w:hanging="540"/>
        <w:rPr>
          <w:sz w:val="22"/>
          <w:szCs w:val="22"/>
        </w:rPr>
      </w:pPr>
      <w:r w:rsidRPr="00295E71">
        <w:rPr>
          <w:sz w:val="22"/>
          <w:szCs w:val="22"/>
        </w:rPr>
        <w:t>Uso sottocutaneo</w:t>
      </w:r>
    </w:p>
    <w:p w:rsidR="006224C2" w:rsidRPr="00295E71" w14:paraId="1CBD4ED6" w14:textId="77777777">
      <w:pPr>
        <w:tabs>
          <w:tab w:val="left" w:pos="567"/>
        </w:tabs>
        <w:ind w:left="540" w:hanging="540"/>
        <w:rPr>
          <w:sz w:val="22"/>
          <w:szCs w:val="22"/>
        </w:rPr>
      </w:pPr>
    </w:p>
    <w:p w:rsidR="006224C2" w:rsidRPr="00295E71" w14:paraId="25863838" w14:textId="77777777">
      <w:pPr>
        <w:tabs>
          <w:tab w:val="left" w:pos="567"/>
        </w:tabs>
        <w:ind w:left="540" w:hanging="540"/>
        <w:rPr>
          <w:sz w:val="22"/>
          <w:szCs w:val="22"/>
        </w:rPr>
      </w:pPr>
      <w:r w:rsidRPr="00295E71">
        <w:rPr>
          <w:sz w:val="22"/>
          <w:szCs w:val="22"/>
        </w:rPr>
        <w:t>Leggere il foglio illustrativo prima dell'uso.</w:t>
      </w:r>
    </w:p>
    <w:p w:rsidR="006474FA" w:rsidRPr="00295E71" w14:paraId="292772F8" w14:textId="77777777">
      <w:pPr>
        <w:tabs>
          <w:tab w:val="left" w:pos="567"/>
        </w:tabs>
        <w:ind w:left="540" w:hanging="540"/>
        <w:rPr>
          <w:sz w:val="22"/>
          <w:szCs w:val="22"/>
        </w:rPr>
      </w:pPr>
    </w:p>
    <w:p w:rsidR="006474FA" w:rsidRPr="00295E71" w14:paraId="69725787" w14:textId="77777777">
      <w:pPr>
        <w:tabs>
          <w:tab w:val="left" w:pos="567"/>
        </w:tabs>
        <w:ind w:left="540" w:hanging="540"/>
        <w:rPr>
          <w:sz w:val="22"/>
          <w:szCs w:val="22"/>
        </w:rPr>
      </w:pPr>
      <w:r w:rsidRPr="00295E71">
        <w:rPr>
          <w:sz w:val="22"/>
          <w:szCs w:val="22"/>
        </w:rPr>
        <w:t>Esclusivamente monouso.</w:t>
      </w:r>
    </w:p>
    <w:p w:rsidR="006224C2" w:rsidRPr="00295E71" w14:paraId="6294C22A" w14:textId="77777777">
      <w:pPr>
        <w:tabs>
          <w:tab w:val="left" w:pos="567"/>
        </w:tabs>
        <w:ind w:left="540" w:hanging="540"/>
        <w:rPr>
          <w:sz w:val="22"/>
          <w:szCs w:val="22"/>
        </w:rPr>
      </w:pPr>
    </w:p>
    <w:p w:rsidR="006224C2" w:rsidRPr="00295E71" w14:paraId="7FE9A337" w14:textId="77777777">
      <w:pPr>
        <w:tabs>
          <w:tab w:val="left" w:pos="567"/>
        </w:tabs>
        <w:ind w:left="540" w:hanging="540"/>
        <w:rPr>
          <w:sz w:val="22"/>
          <w:szCs w:val="22"/>
        </w:rPr>
      </w:pPr>
    </w:p>
    <w:p w:rsidR="006224C2" w:rsidRPr="00295E71" w14:paraId="41276CA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6. </w:t>
      </w:r>
      <w:r w:rsidRPr="00295E71">
        <w:rPr>
          <w:b/>
          <w:bCs/>
          <w:sz w:val="22"/>
          <w:szCs w:val="22"/>
        </w:rPr>
        <w:tab/>
        <w:t>AVVERTENZA PARTICOLARE CHE PRESCRIVA DI TENERE IL MEDICINALE FUORI DALLA VISTA E DALLA PORTATA DEI BAMBINI</w:t>
      </w:r>
    </w:p>
    <w:p w:rsidR="006224C2" w:rsidRPr="00295E71" w14:paraId="207FAC91" w14:textId="77777777">
      <w:pPr>
        <w:tabs>
          <w:tab w:val="left" w:pos="567"/>
        </w:tabs>
        <w:ind w:left="540" w:hanging="540"/>
        <w:rPr>
          <w:sz w:val="22"/>
          <w:szCs w:val="22"/>
        </w:rPr>
      </w:pPr>
    </w:p>
    <w:p w:rsidR="006224C2" w:rsidRPr="00295E71" w14:paraId="5D0BFA1C" w14:textId="77777777">
      <w:pPr>
        <w:tabs>
          <w:tab w:val="left" w:pos="567"/>
        </w:tabs>
        <w:ind w:left="540" w:hanging="540"/>
        <w:rPr>
          <w:sz w:val="22"/>
          <w:szCs w:val="22"/>
        </w:rPr>
      </w:pPr>
      <w:r w:rsidRPr="00295E71">
        <w:rPr>
          <w:sz w:val="22"/>
          <w:szCs w:val="22"/>
        </w:rPr>
        <w:t>Tenere fuori dalla vista e dalla portata dei bambini.</w:t>
      </w:r>
    </w:p>
    <w:p w:rsidR="006224C2" w:rsidRPr="00295E71" w14:paraId="2F86F04B" w14:textId="77777777">
      <w:pPr>
        <w:tabs>
          <w:tab w:val="left" w:pos="567"/>
        </w:tabs>
        <w:ind w:left="540" w:hanging="540"/>
        <w:rPr>
          <w:sz w:val="22"/>
          <w:szCs w:val="22"/>
        </w:rPr>
      </w:pPr>
    </w:p>
    <w:p w:rsidR="006224C2" w:rsidRPr="00295E71" w14:paraId="66BD4B34" w14:textId="77777777">
      <w:pPr>
        <w:tabs>
          <w:tab w:val="left" w:pos="567"/>
        </w:tabs>
        <w:ind w:left="540" w:hanging="540"/>
        <w:rPr>
          <w:sz w:val="22"/>
          <w:szCs w:val="22"/>
        </w:rPr>
      </w:pPr>
    </w:p>
    <w:p w:rsidR="006224C2" w:rsidRPr="00295E71" w14:paraId="06FB018E"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7. </w:t>
      </w:r>
      <w:r w:rsidRPr="00295E71">
        <w:rPr>
          <w:b/>
          <w:bCs/>
          <w:sz w:val="22"/>
          <w:szCs w:val="22"/>
        </w:rPr>
        <w:tab/>
        <w:t>ALTRA AVVERTENZA PARTICOLARE, SE NECESSARIO</w:t>
      </w:r>
    </w:p>
    <w:p w:rsidR="006224C2" w:rsidRPr="00295E71" w14:paraId="66775B22" w14:textId="77777777">
      <w:pPr>
        <w:tabs>
          <w:tab w:val="left" w:pos="567"/>
        </w:tabs>
        <w:ind w:left="540" w:hanging="540"/>
        <w:rPr>
          <w:sz w:val="22"/>
          <w:szCs w:val="22"/>
        </w:rPr>
      </w:pPr>
    </w:p>
    <w:p w:rsidR="006224C2" w:rsidRPr="00295E71" w14:paraId="0BF00A2F" w14:textId="77777777">
      <w:pPr>
        <w:tabs>
          <w:tab w:val="left" w:pos="567"/>
        </w:tabs>
        <w:ind w:left="540" w:hanging="540"/>
        <w:rPr>
          <w:sz w:val="22"/>
          <w:szCs w:val="22"/>
        </w:rPr>
      </w:pPr>
    </w:p>
    <w:p w:rsidR="006224C2" w:rsidRPr="00295E71" w14:paraId="12C376F5"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8. </w:t>
      </w:r>
      <w:r w:rsidRPr="00295E71">
        <w:rPr>
          <w:b/>
          <w:bCs/>
          <w:sz w:val="22"/>
          <w:szCs w:val="22"/>
        </w:rPr>
        <w:tab/>
        <w:t>DATA DI SCADENZA</w:t>
      </w:r>
    </w:p>
    <w:p w:rsidR="006224C2" w:rsidRPr="00295E71" w14:paraId="6FB74C39" w14:textId="77777777">
      <w:pPr>
        <w:tabs>
          <w:tab w:val="left" w:pos="567"/>
        </w:tabs>
        <w:ind w:left="540" w:hanging="540"/>
        <w:rPr>
          <w:sz w:val="22"/>
          <w:szCs w:val="22"/>
        </w:rPr>
      </w:pPr>
    </w:p>
    <w:p w:rsidR="006224C2" w:rsidRPr="00295E71" w14:paraId="65F421E3" w14:textId="77777777">
      <w:pPr>
        <w:tabs>
          <w:tab w:val="left" w:pos="567"/>
        </w:tabs>
        <w:ind w:left="540" w:hanging="540"/>
        <w:rPr>
          <w:sz w:val="22"/>
          <w:szCs w:val="22"/>
        </w:rPr>
      </w:pPr>
      <w:r w:rsidRPr="00295E71">
        <w:rPr>
          <w:sz w:val="22"/>
          <w:szCs w:val="22"/>
        </w:rPr>
        <w:t xml:space="preserve">Scad. </w:t>
      </w:r>
    </w:p>
    <w:p w:rsidR="006224C2" w:rsidRPr="00295E71" w14:paraId="61C4F2FB" w14:textId="77777777">
      <w:pPr>
        <w:tabs>
          <w:tab w:val="left" w:pos="567"/>
        </w:tabs>
        <w:ind w:left="540" w:hanging="540"/>
        <w:rPr>
          <w:sz w:val="22"/>
          <w:szCs w:val="22"/>
        </w:rPr>
      </w:pPr>
    </w:p>
    <w:p w:rsidR="006224C2" w:rsidRPr="00295E71" w14:paraId="5BAA6824" w14:textId="77777777">
      <w:pPr>
        <w:tabs>
          <w:tab w:val="left" w:pos="567"/>
        </w:tabs>
        <w:ind w:left="540" w:hanging="540"/>
        <w:rPr>
          <w:sz w:val="22"/>
          <w:szCs w:val="22"/>
        </w:rPr>
      </w:pPr>
    </w:p>
    <w:p w:rsidR="006224C2" w:rsidRPr="00295E71" w14:paraId="336A0891" w14:textId="77777777">
      <w:pPr>
        <w:keepNext/>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 xml:space="preserve">9. </w:t>
      </w:r>
      <w:r w:rsidRPr="00295E71">
        <w:rPr>
          <w:b/>
          <w:bCs/>
          <w:sz w:val="22"/>
          <w:szCs w:val="22"/>
        </w:rPr>
        <w:tab/>
        <w:t>PRECAUZIONI PARTICOLARI PER LA CONSERVAZIONE</w:t>
      </w:r>
    </w:p>
    <w:p w:rsidR="006224C2" w:rsidRPr="00295E71" w14:paraId="05D77434" w14:textId="77777777">
      <w:pPr>
        <w:keepNext/>
        <w:tabs>
          <w:tab w:val="left" w:pos="567"/>
        </w:tabs>
        <w:ind w:left="540" w:hanging="540"/>
        <w:rPr>
          <w:sz w:val="22"/>
          <w:szCs w:val="22"/>
        </w:rPr>
      </w:pPr>
    </w:p>
    <w:p w:rsidR="006224C2" w:rsidRPr="00295E71" w14:paraId="359193FB" w14:textId="77777777">
      <w:pPr>
        <w:keepNext/>
        <w:tabs>
          <w:tab w:val="left" w:pos="567"/>
        </w:tabs>
        <w:ind w:left="540" w:hanging="540"/>
        <w:rPr>
          <w:sz w:val="22"/>
          <w:szCs w:val="22"/>
        </w:rPr>
      </w:pPr>
      <w:r w:rsidRPr="00295E71">
        <w:rPr>
          <w:sz w:val="22"/>
          <w:szCs w:val="22"/>
        </w:rPr>
        <w:t>Conservare in frigorifero. Non congelare.</w:t>
      </w:r>
    </w:p>
    <w:p w:rsidR="006224C2" w:rsidRPr="00295E71" w14:paraId="2CE6DAA7" w14:textId="77777777">
      <w:pPr>
        <w:keepNext/>
        <w:tabs>
          <w:tab w:val="left" w:pos="567"/>
        </w:tabs>
        <w:rPr>
          <w:sz w:val="22"/>
          <w:szCs w:val="22"/>
        </w:rPr>
      </w:pPr>
      <w:r w:rsidRPr="00295E71">
        <w:rPr>
          <w:sz w:val="22"/>
          <w:szCs w:val="22"/>
        </w:rPr>
        <w:t>Fare riferimento al foglio illustrativo per condizioni di conservazione alternative.</w:t>
      </w:r>
    </w:p>
    <w:p w:rsidR="006224C2" w:rsidRPr="00295E71" w14:paraId="2F5F03AC" w14:textId="77777777">
      <w:pPr>
        <w:keepNext/>
        <w:tabs>
          <w:tab w:val="left" w:pos="567"/>
        </w:tabs>
        <w:ind w:left="540" w:hanging="540"/>
        <w:rPr>
          <w:sz w:val="22"/>
          <w:szCs w:val="22"/>
        </w:rPr>
      </w:pPr>
    </w:p>
    <w:p w:rsidR="006224C2" w:rsidRPr="00295E71" w14:paraId="6B1CB081" w14:textId="77777777">
      <w:pPr>
        <w:keepNext/>
        <w:tabs>
          <w:tab w:val="left" w:pos="567"/>
        </w:tabs>
        <w:ind w:left="540" w:hanging="540"/>
        <w:rPr>
          <w:sz w:val="22"/>
          <w:szCs w:val="22"/>
        </w:rPr>
      </w:pPr>
      <w:r w:rsidRPr="00295E71">
        <w:rPr>
          <w:sz w:val="22"/>
          <w:szCs w:val="22"/>
        </w:rPr>
        <w:t xml:space="preserve">Tenere </w:t>
      </w:r>
      <w:r w:rsidRPr="00295E71" w:rsidR="00226BC4">
        <w:rPr>
          <w:sz w:val="22"/>
          <w:szCs w:val="22"/>
        </w:rPr>
        <w:t xml:space="preserve">la </w:t>
      </w:r>
      <w:r w:rsidRPr="00295E71" w:rsidR="00A54AF2">
        <w:rPr>
          <w:sz w:val="22"/>
          <w:szCs w:val="22"/>
        </w:rPr>
        <w:t xml:space="preserve">penna </w:t>
      </w:r>
      <w:r w:rsidRPr="00295E71">
        <w:rPr>
          <w:sz w:val="22"/>
          <w:szCs w:val="22"/>
        </w:rPr>
        <w:t>nell’imballaggio esterno</w:t>
      </w:r>
      <w:r w:rsidRPr="00295E71" w:rsidR="00226BC4">
        <w:rPr>
          <w:sz w:val="22"/>
          <w:szCs w:val="22"/>
        </w:rPr>
        <w:t xml:space="preserve"> per proteggere il medicinale dalla luce.</w:t>
      </w:r>
    </w:p>
    <w:p w:rsidR="006224C2" w:rsidRPr="00295E71" w14:paraId="46AC2898" w14:textId="77777777">
      <w:pPr>
        <w:keepNext/>
        <w:tabs>
          <w:tab w:val="left" w:pos="567"/>
        </w:tabs>
        <w:ind w:left="540" w:hanging="540"/>
        <w:rPr>
          <w:sz w:val="22"/>
          <w:szCs w:val="22"/>
        </w:rPr>
      </w:pPr>
    </w:p>
    <w:p w:rsidR="006224C2" w:rsidRPr="00295E71" w14:paraId="559E2011" w14:textId="77777777">
      <w:pPr>
        <w:keepNext/>
        <w:tabs>
          <w:tab w:val="left" w:pos="567"/>
        </w:tabs>
        <w:ind w:left="540" w:hanging="540"/>
        <w:rPr>
          <w:sz w:val="22"/>
          <w:szCs w:val="22"/>
        </w:rPr>
      </w:pPr>
    </w:p>
    <w:p w:rsidR="006224C2" w:rsidRPr="00295E71" w14:paraId="2E4105A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10.</w:t>
      </w:r>
      <w:r w:rsidRPr="00295E71">
        <w:rPr>
          <w:b/>
          <w:bCs/>
          <w:sz w:val="22"/>
          <w:szCs w:val="22"/>
        </w:rPr>
        <w:tab/>
        <w:t>PRECAUZIONI PARTICOLARIPER LO SMALTIMENTO DEL MEDICINALE NON UTILIZZATO O DEI RIFIUTI DERIVATI DA TALE MEDICINALE, SE NECESSARIO</w:t>
      </w:r>
    </w:p>
    <w:p w:rsidR="006224C2" w:rsidRPr="00295E71" w14:paraId="0F8239C6" w14:textId="77777777">
      <w:pPr>
        <w:tabs>
          <w:tab w:val="left" w:pos="567"/>
        </w:tabs>
        <w:ind w:left="540" w:hanging="540"/>
        <w:rPr>
          <w:sz w:val="22"/>
          <w:szCs w:val="22"/>
        </w:rPr>
      </w:pPr>
    </w:p>
    <w:p w:rsidR="006224C2" w:rsidRPr="00295E71" w14:paraId="11EF2890" w14:textId="77777777">
      <w:pPr>
        <w:tabs>
          <w:tab w:val="left" w:pos="567"/>
        </w:tabs>
        <w:ind w:left="540" w:hanging="540"/>
        <w:rPr>
          <w:sz w:val="22"/>
          <w:szCs w:val="22"/>
        </w:rPr>
      </w:pPr>
    </w:p>
    <w:p w:rsidR="006224C2" w:rsidRPr="00295E71" w14:paraId="1EF3E8A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11.</w:t>
      </w:r>
      <w:r w:rsidRPr="00295E71">
        <w:rPr>
          <w:b/>
          <w:bCs/>
          <w:sz w:val="22"/>
          <w:szCs w:val="22"/>
        </w:rPr>
        <w:tab/>
        <w:t>NOME E INDIRIZZO DEL TITOLARE DELL’AUTORIZZAZIONE ALL’IMMISSIONE IN COMMERCIO</w:t>
      </w:r>
    </w:p>
    <w:p w:rsidR="006224C2" w:rsidRPr="00295E71" w14:paraId="0E319F1F" w14:textId="77777777">
      <w:pPr>
        <w:tabs>
          <w:tab w:val="left" w:pos="567"/>
        </w:tabs>
        <w:ind w:left="540" w:hanging="540"/>
        <w:rPr>
          <w:sz w:val="22"/>
          <w:szCs w:val="22"/>
        </w:rPr>
      </w:pPr>
    </w:p>
    <w:p w:rsidR="008122F6" w:rsidRPr="00C04163" w:rsidP="008122F6" w14:paraId="20B2282E" w14:textId="77777777">
      <w:pPr>
        <w:tabs>
          <w:tab w:val="left" w:pos="567"/>
        </w:tabs>
        <w:jc w:val="both"/>
        <w:rPr>
          <w:sz w:val="22"/>
          <w:szCs w:val="22"/>
          <w:lang w:val="de-CH"/>
        </w:rPr>
      </w:pPr>
      <w:r w:rsidRPr="00C04163">
        <w:rPr>
          <w:sz w:val="22"/>
          <w:szCs w:val="22"/>
          <w:lang w:val="de-CH"/>
        </w:rPr>
        <w:t>AbbVie Deutschland GmbH &amp; Co. KG</w:t>
      </w:r>
    </w:p>
    <w:p w:rsidR="008122F6" w:rsidRPr="00C04163" w:rsidP="008122F6" w14:paraId="6DBC1DDD" w14:textId="77777777">
      <w:pPr>
        <w:tabs>
          <w:tab w:val="left" w:pos="567"/>
        </w:tabs>
        <w:jc w:val="both"/>
        <w:rPr>
          <w:sz w:val="22"/>
          <w:szCs w:val="22"/>
          <w:lang w:val="de-CH"/>
        </w:rPr>
      </w:pPr>
      <w:r w:rsidRPr="00C04163">
        <w:rPr>
          <w:sz w:val="22"/>
          <w:szCs w:val="22"/>
          <w:lang w:val="de-CH"/>
        </w:rPr>
        <w:t>Knollstrasse</w:t>
      </w:r>
    </w:p>
    <w:p w:rsidR="008122F6" w:rsidRPr="00295E71" w:rsidP="008122F6" w14:paraId="64D2871E" w14:textId="77777777">
      <w:pPr>
        <w:tabs>
          <w:tab w:val="left" w:pos="567"/>
        </w:tabs>
        <w:jc w:val="both"/>
        <w:rPr>
          <w:sz w:val="22"/>
          <w:szCs w:val="22"/>
        </w:rPr>
      </w:pPr>
      <w:r w:rsidRPr="00295E71">
        <w:rPr>
          <w:sz w:val="22"/>
          <w:szCs w:val="22"/>
        </w:rPr>
        <w:t>67061 Ludwigshafen</w:t>
      </w:r>
    </w:p>
    <w:p w:rsidR="008122F6" w:rsidRPr="00295E71" w:rsidP="008122F6" w14:paraId="7B967006" w14:textId="77777777">
      <w:pPr>
        <w:tabs>
          <w:tab w:val="left" w:pos="567"/>
        </w:tabs>
        <w:jc w:val="both"/>
        <w:rPr>
          <w:sz w:val="22"/>
          <w:szCs w:val="22"/>
        </w:rPr>
      </w:pPr>
      <w:r w:rsidRPr="00295E71">
        <w:rPr>
          <w:sz w:val="22"/>
          <w:szCs w:val="22"/>
        </w:rPr>
        <w:t>Germania</w:t>
      </w:r>
    </w:p>
    <w:p w:rsidR="006224C2" w:rsidRPr="00295E71" w14:paraId="5554861F" w14:textId="77777777">
      <w:pPr>
        <w:tabs>
          <w:tab w:val="left" w:pos="567"/>
        </w:tabs>
        <w:ind w:left="540" w:hanging="540"/>
        <w:rPr>
          <w:sz w:val="22"/>
          <w:szCs w:val="22"/>
        </w:rPr>
      </w:pPr>
    </w:p>
    <w:p w:rsidR="006224C2" w:rsidRPr="00295E71" w14:paraId="26AA3B7D" w14:textId="77777777">
      <w:pPr>
        <w:tabs>
          <w:tab w:val="left" w:pos="567"/>
        </w:tabs>
        <w:ind w:left="540" w:hanging="540"/>
        <w:rPr>
          <w:sz w:val="22"/>
          <w:szCs w:val="22"/>
        </w:rPr>
      </w:pPr>
    </w:p>
    <w:p w:rsidR="006224C2" w:rsidRPr="00295E71" w14:paraId="6BB8F74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 xml:space="preserve">12. </w:t>
      </w:r>
      <w:r w:rsidRPr="00295E71">
        <w:rPr>
          <w:b/>
          <w:bCs/>
          <w:sz w:val="22"/>
          <w:szCs w:val="22"/>
        </w:rPr>
        <w:tab/>
        <w:t>NUMERO DELL’AUTORIZZAZIONE ALL’IMMISSIONE IN COMMERCIO</w:t>
      </w:r>
    </w:p>
    <w:p w:rsidR="006224C2" w:rsidRPr="00295E71" w14:paraId="31F3934C" w14:textId="77777777">
      <w:pPr>
        <w:tabs>
          <w:tab w:val="left" w:pos="567"/>
        </w:tabs>
        <w:ind w:left="540" w:hanging="540"/>
        <w:rPr>
          <w:sz w:val="22"/>
          <w:szCs w:val="22"/>
        </w:rPr>
      </w:pPr>
    </w:p>
    <w:p w:rsidR="006224C2" w14:paraId="6866941D" w14:textId="77777777">
      <w:pPr>
        <w:tabs>
          <w:tab w:val="left" w:pos="567"/>
        </w:tabs>
        <w:ind w:left="540" w:hanging="540"/>
        <w:rPr>
          <w:sz w:val="22"/>
          <w:szCs w:val="22"/>
        </w:rPr>
      </w:pPr>
      <w:r w:rsidRPr="00295E71">
        <w:rPr>
          <w:sz w:val="22"/>
          <w:szCs w:val="22"/>
        </w:rPr>
        <w:t>EU/1/03/256/021</w:t>
      </w:r>
    </w:p>
    <w:p w:rsidR="006224C2" w:rsidP="007E6E3E" w14:paraId="424CFDA4" w14:textId="77777777">
      <w:pPr>
        <w:tabs>
          <w:tab w:val="left" w:pos="567"/>
        </w:tabs>
        <w:rPr>
          <w:sz w:val="22"/>
          <w:szCs w:val="22"/>
          <w:highlight w:val="lightGray"/>
        </w:rPr>
      </w:pPr>
      <w:r w:rsidRPr="00965240">
        <w:rPr>
          <w:sz w:val="22"/>
          <w:szCs w:val="22"/>
          <w:highlight w:val="lightGray"/>
        </w:rPr>
        <w:t>EU/1/03/256/027</w:t>
      </w:r>
    </w:p>
    <w:p w:rsidR="004128A4" w:rsidRPr="004128A4" w:rsidP="004128A4" w14:paraId="1EAB6601" w14:textId="77777777">
      <w:pPr>
        <w:tabs>
          <w:tab w:val="left" w:pos="567"/>
        </w:tabs>
        <w:rPr>
          <w:sz w:val="22"/>
          <w:szCs w:val="22"/>
          <w:highlight w:val="lightGray"/>
        </w:rPr>
      </w:pPr>
    </w:p>
    <w:p w:rsidR="006224C2" w:rsidRPr="00295E71" w14:paraId="3074FDA5" w14:textId="77777777">
      <w:pPr>
        <w:tabs>
          <w:tab w:val="left" w:pos="567"/>
        </w:tabs>
        <w:ind w:left="540" w:hanging="540"/>
        <w:rPr>
          <w:sz w:val="22"/>
          <w:szCs w:val="22"/>
        </w:rPr>
      </w:pPr>
    </w:p>
    <w:p w:rsidR="006224C2" w:rsidRPr="00295E71" w14:paraId="13336F26"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13.</w:t>
      </w:r>
      <w:r w:rsidRPr="00295E71">
        <w:rPr>
          <w:b/>
          <w:bCs/>
          <w:sz w:val="22"/>
          <w:szCs w:val="22"/>
        </w:rPr>
        <w:tab/>
        <w:t>NUMERO DI LOTTO</w:t>
      </w:r>
    </w:p>
    <w:p w:rsidR="006224C2" w:rsidRPr="00295E71" w14:paraId="373BADDE" w14:textId="77777777">
      <w:pPr>
        <w:tabs>
          <w:tab w:val="left" w:pos="567"/>
        </w:tabs>
        <w:ind w:left="540" w:hanging="540"/>
        <w:rPr>
          <w:sz w:val="22"/>
          <w:szCs w:val="22"/>
        </w:rPr>
      </w:pPr>
    </w:p>
    <w:p w:rsidR="006224C2" w:rsidRPr="00295E71" w14:paraId="0789E5CF" w14:textId="77777777">
      <w:pPr>
        <w:tabs>
          <w:tab w:val="left" w:pos="567"/>
        </w:tabs>
        <w:ind w:left="540" w:hanging="540"/>
        <w:rPr>
          <w:sz w:val="22"/>
          <w:szCs w:val="22"/>
        </w:rPr>
      </w:pPr>
      <w:r w:rsidRPr="00295E71">
        <w:rPr>
          <w:sz w:val="22"/>
          <w:szCs w:val="22"/>
        </w:rPr>
        <w:t xml:space="preserve">Lotto </w:t>
      </w:r>
    </w:p>
    <w:p w:rsidR="006224C2" w:rsidRPr="00295E71" w14:paraId="5041E69A" w14:textId="77777777">
      <w:pPr>
        <w:tabs>
          <w:tab w:val="left" w:pos="567"/>
        </w:tabs>
        <w:ind w:left="540" w:hanging="540"/>
        <w:rPr>
          <w:sz w:val="22"/>
          <w:szCs w:val="22"/>
        </w:rPr>
      </w:pPr>
    </w:p>
    <w:p w:rsidR="006224C2" w:rsidRPr="00295E71" w14:paraId="0B3888D3" w14:textId="77777777">
      <w:pPr>
        <w:tabs>
          <w:tab w:val="left" w:pos="567"/>
        </w:tabs>
        <w:ind w:left="540" w:hanging="540"/>
        <w:rPr>
          <w:sz w:val="22"/>
          <w:szCs w:val="22"/>
        </w:rPr>
      </w:pPr>
    </w:p>
    <w:p w:rsidR="006224C2" w:rsidRPr="00295E71" w14:paraId="12E5C93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14.</w:t>
      </w:r>
      <w:r w:rsidRPr="00295E71">
        <w:rPr>
          <w:b/>
          <w:bCs/>
          <w:sz w:val="22"/>
          <w:szCs w:val="22"/>
        </w:rPr>
        <w:tab/>
        <w:t>CONDIZIONE GENERALE DI FORNITURA</w:t>
      </w:r>
    </w:p>
    <w:p w:rsidR="006224C2" w:rsidRPr="00295E71" w14:paraId="14641BAB" w14:textId="77777777">
      <w:pPr>
        <w:tabs>
          <w:tab w:val="left" w:pos="567"/>
        </w:tabs>
        <w:ind w:left="540" w:hanging="540"/>
        <w:rPr>
          <w:sz w:val="22"/>
          <w:szCs w:val="22"/>
        </w:rPr>
      </w:pPr>
    </w:p>
    <w:p w:rsidR="006224C2" w:rsidRPr="00295E71" w14:paraId="5F8631CE" w14:textId="77777777">
      <w:pPr>
        <w:tabs>
          <w:tab w:val="left" w:pos="567"/>
        </w:tabs>
        <w:ind w:left="540" w:hanging="540"/>
        <w:rPr>
          <w:sz w:val="22"/>
          <w:szCs w:val="22"/>
        </w:rPr>
      </w:pPr>
    </w:p>
    <w:p w:rsidR="006224C2" w:rsidRPr="00295E71" w14:paraId="3A319F00"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15.</w:t>
      </w:r>
      <w:r w:rsidRPr="00295E71">
        <w:rPr>
          <w:b/>
          <w:bCs/>
          <w:sz w:val="22"/>
          <w:szCs w:val="22"/>
        </w:rPr>
        <w:tab/>
        <w:t>ISTRUZIONI PER L’USO</w:t>
      </w:r>
    </w:p>
    <w:p w:rsidR="006224C2" w:rsidRPr="00295E71" w14:paraId="1CADA3CF" w14:textId="77777777">
      <w:pPr>
        <w:tabs>
          <w:tab w:val="left" w:pos="567"/>
        </w:tabs>
        <w:ind w:left="540" w:hanging="540"/>
        <w:rPr>
          <w:bCs/>
          <w:sz w:val="22"/>
          <w:szCs w:val="22"/>
        </w:rPr>
      </w:pPr>
    </w:p>
    <w:p w:rsidR="006224C2" w:rsidRPr="00295E71" w14:paraId="4C7209C0" w14:textId="77777777">
      <w:pPr>
        <w:tabs>
          <w:tab w:val="left" w:pos="567"/>
        </w:tabs>
        <w:ind w:left="540" w:hanging="540"/>
        <w:rPr>
          <w:bCs/>
          <w:sz w:val="22"/>
          <w:szCs w:val="22"/>
        </w:rPr>
      </w:pPr>
    </w:p>
    <w:p w:rsidR="006224C2" w:rsidRPr="00295E71" w14:paraId="4DECE483"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16.</w:t>
      </w:r>
      <w:r w:rsidRPr="00295E71">
        <w:rPr>
          <w:b/>
          <w:bCs/>
          <w:sz w:val="22"/>
          <w:szCs w:val="22"/>
        </w:rPr>
        <w:tab/>
        <w:t>INFORMAZIONI IN BRAILLE</w:t>
      </w:r>
    </w:p>
    <w:p w:rsidR="006224C2" w:rsidRPr="00295E71" w14:paraId="140766A9" w14:textId="77777777">
      <w:pPr>
        <w:tabs>
          <w:tab w:val="left" w:pos="567"/>
        </w:tabs>
        <w:ind w:left="540" w:hanging="540"/>
        <w:rPr>
          <w:bCs/>
          <w:sz w:val="22"/>
          <w:szCs w:val="22"/>
        </w:rPr>
      </w:pPr>
    </w:p>
    <w:p w:rsidR="006224C2" w:rsidRPr="00295E71" w14:paraId="7AFA188A" w14:textId="77777777">
      <w:pPr>
        <w:tabs>
          <w:tab w:val="left" w:pos="567"/>
        </w:tabs>
        <w:ind w:left="540" w:hanging="540"/>
        <w:rPr>
          <w:sz w:val="22"/>
          <w:szCs w:val="22"/>
        </w:rPr>
      </w:pPr>
      <w:r w:rsidRPr="00295E71">
        <w:rPr>
          <w:sz w:val="22"/>
          <w:szCs w:val="22"/>
        </w:rPr>
        <w:t>Humira 80 mg</w:t>
      </w:r>
    </w:p>
    <w:p w:rsidR="006224C2" w:rsidRPr="00295E71" w14:paraId="678C5A58" w14:textId="77777777">
      <w:pPr>
        <w:tabs>
          <w:tab w:val="left" w:pos="567"/>
        </w:tabs>
        <w:ind w:left="540" w:hanging="540"/>
        <w:rPr>
          <w:sz w:val="22"/>
          <w:szCs w:val="22"/>
          <w:u w:val="single"/>
        </w:rPr>
      </w:pPr>
    </w:p>
    <w:p w:rsidR="006224C2" w:rsidRPr="00295E71" w14:paraId="0E72D7AF" w14:textId="77777777">
      <w:pPr>
        <w:tabs>
          <w:tab w:val="left" w:pos="567"/>
        </w:tabs>
        <w:rPr>
          <w:sz w:val="22"/>
          <w:szCs w:val="22"/>
        </w:rPr>
      </w:pPr>
    </w:p>
    <w:p w:rsidR="006224C2" w:rsidRPr="00295E71" w14:paraId="66C915C3" w14:textId="77777777">
      <w:pPr>
        <w:pStyle w:val="EMEAHeadingBoxedTitle"/>
        <w:ind w:left="0" w:firstLine="0"/>
        <w:rPr>
          <w:rFonts w:ascii="Times New Roman" w:hAnsi="Times New Roman"/>
          <w:b/>
          <w:bCs/>
          <w:szCs w:val="22"/>
          <w:lang w:val="it-IT"/>
        </w:rPr>
      </w:pPr>
      <w:r w:rsidRPr="00295E71">
        <w:rPr>
          <w:rFonts w:ascii="Times New Roman" w:hAnsi="Times New Roman"/>
          <w:b/>
          <w:bCs/>
          <w:szCs w:val="22"/>
          <w:lang w:val="it-IT"/>
        </w:rPr>
        <w:t xml:space="preserve">17. </w:t>
      </w:r>
      <w:r w:rsidRPr="00295E71">
        <w:rPr>
          <w:rFonts w:ascii="Times New Roman" w:hAnsi="Times New Roman"/>
          <w:b/>
          <w:bCs/>
          <w:szCs w:val="22"/>
          <w:lang w:val="it-IT"/>
        </w:rPr>
        <w:tab/>
        <w:t>IDENTIFICATivo UNICO – CODICE A BARRE bidimensionale</w:t>
      </w:r>
    </w:p>
    <w:p w:rsidR="006224C2" w:rsidRPr="00295E71" w14:paraId="4B54B4BA" w14:textId="77777777">
      <w:pPr>
        <w:rPr>
          <w:sz w:val="22"/>
          <w:szCs w:val="22"/>
        </w:rPr>
      </w:pPr>
    </w:p>
    <w:p w:rsidR="006224C2" w:rsidRPr="00295E71" w14:paraId="0BA62A13" w14:textId="77777777">
      <w:pPr>
        <w:rPr>
          <w:sz w:val="22"/>
          <w:szCs w:val="22"/>
          <w:shd w:val="clear" w:color="auto" w:fill="BFBFBF"/>
        </w:rPr>
      </w:pPr>
      <w:r w:rsidRPr="00295E71">
        <w:rPr>
          <w:sz w:val="22"/>
          <w:szCs w:val="22"/>
          <w:shd w:val="clear" w:color="auto" w:fill="BFBFBF"/>
        </w:rPr>
        <w:t>Codice a barre bidimensionale con identificativo unico incluso.</w:t>
      </w:r>
    </w:p>
    <w:p w:rsidR="006224C2" w:rsidRPr="00295E71" w14:paraId="00A8E0F7" w14:textId="77777777">
      <w:pPr>
        <w:rPr>
          <w:sz w:val="22"/>
          <w:szCs w:val="22"/>
          <w:shd w:val="clear" w:color="auto" w:fill="BFBFBF"/>
        </w:rPr>
      </w:pPr>
    </w:p>
    <w:p w:rsidR="006224C2" w:rsidRPr="00295E71" w14:paraId="69CB10D6" w14:textId="77777777">
      <w:pPr>
        <w:rPr>
          <w:sz w:val="22"/>
          <w:szCs w:val="22"/>
          <w:shd w:val="clear" w:color="auto" w:fill="BFBFBF"/>
        </w:rPr>
      </w:pPr>
    </w:p>
    <w:p w:rsidR="006224C2" w:rsidRPr="00295E71" w14:paraId="2E51C8EC" w14:textId="77777777">
      <w:pPr>
        <w:pStyle w:val="EMEAHeadingBoxedTitle"/>
        <w:ind w:left="0" w:firstLine="0"/>
        <w:rPr>
          <w:rFonts w:ascii="Times New Roman" w:hAnsi="Times New Roman"/>
          <w:szCs w:val="22"/>
          <w:lang w:val="it-IT"/>
        </w:rPr>
      </w:pPr>
      <w:r w:rsidRPr="00295E71">
        <w:rPr>
          <w:rFonts w:ascii="Times New Roman" w:hAnsi="Times New Roman"/>
          <w:b/>
          <w:bCs/>
          <w:szCs w:val="22"/>
          <w:lang w:val="it-IT"/>
        </w:rPr>
        <w:t xml:space="preserve">18. </w:t>
      </w:r>
      <w:r w:rsidRPr="00295E71">
        <w:rPr>
          <w:rFonts w:ascii="Times New Roman" w:hAnsi="Times New Roman"/>
          <w:b/>
          <w:bCs/>
          <w:szCs w:val="22"/>
          <w:lang w:val="it-IT"/>
        </w:rPr>
        <w:tab/>
        <w:t>IDENTIFICATivo UNICO – dati leggibili</w:t>
      </w:r>
    </w:p>
    <w:p w:rsidR="006224C2" w:rsidRPr="00295E71" w14:paraId="1295C93F" w14:textId="77777777">
      <w:pPr>
        <w:ind w:left="540" w:hanging="540"/>
        <w:rPr>
          <w:sz w:val="22"/>
          <w:szCs w:val="22"/>
        </w:rPr>
      </w:pPr>
    </w:p>
    <w:p w:rsidR="006224C2" w:rsidRPr="00295E71" w14:paraId="1756429E" w14:textId="77777777">
      <w:pPr>
        <w:ind w:left="540" w:hanging="540"/>
        <w:rPr>
          <w:sz w:val="22"/>
          <w:szCs w:val="22"/>
        </w:rPr>
      </w:pPr>
      <w:r w:rsidRPr="00295E71">
        <w:rPr>
          <w:sz w:val="22"/>
          <w:szCs w:val="22"/>
        </w:rPr>
        <w:t>PC</w:t>
      </w:r>
    </w:p>
    <w:p w:rsidR="006224C2" w:rsidRPr="00295E71" w14:paraId="63465ADF" w14:textId="77777777">
      <w:pPr>
        <w:ind w:left="540" w:hanging="540"/>
        <w:rPr>
          <w:sz w:val="22"/>
          <w:szCs w:val="22"/>
        </w:rPr>
      </w:pPr>
      <w:r w:rsidRPr="00295E71">
        <w:rPr>
          <w:sz w:val="22"/>
          <w:szCs w:val="22"/>
        </w:rPr>
        <w:t>SN</w:t>
      </w:r>
    </w:p>
    <w:p w:rsidR="006224C2" w:rsidRPr="00295E71" w14:paraId="1D19150D" w14:textId="77777777">
      <w:pPr>
        <w:ind w:left="540" w:hanging="540"/>
        <w:rPr>
          <w:sz w:val="22"/>
          <w:szCs w:val="22"/>
        </w:rPr>
      </w:pPr>
      <w:r w:rsidRPr="0020624D">
        <w:rPr>
          <w:sz w:val="22"/>
          <w:szCs w:val="22"/>
          <w:highlight w:val="lightGray"/>
        </w:rPr>
        <w:t>NN</w:t>
      </w:r>
    </w:p>
    <w:p w:rsidR="006224C2" w:rsidRPr="00295E71" w14:paraId="664946BF" w14:textId="77777777">
      <w:pPr>
        <w:rPr>
          <w:sz w:val="22"/>
          <w:szCs w:val="22"/>
          <w:highlight w:val="darkGray"/>
        </w:rPr>
      </w:pPr>
      <w:r w:rsidRPr="00295E71">
        <w:rPr>
          <w:sz w:val="22"/>
          <w:szCs w:val="22"/>
          <w:highlight w:val="darkGray"/>
        </w:rPr>
        <w:br w:type="page"/>
      </w:r>
    </w:p>
    <w:p w:rsidR="006224C2" w:rsidRPr="00295E71" w14:paraId="242C01FA" w14:textId="77777777">
      <w:pPr>
        <w:ind w:left="540" w:hanging="540"/>
        <w:rPr>
          <w:sz w:val="22"/>
          <w:szCs w:val="22"/>
        </w:rPr>
      </w:pPr>
    </w:p>
    <w:p w:rsidR="006224C2" w:rsidRPr="00295E71" w14:paraId="47549F93"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 xml:space="preserve">INFORMAZIONI MINIME DA APPORRE SU BLISTER O STRIP </w:t>
      </w:r>
    </w:p>
    <w:p w:rsidR="006224C2" w:rsidRPr="00295E71" w14:paraId="147A9662" w14:textId="77777777">
      <w:pPr>
        <w:pBdr>
          <w:top w:val="single" w:sz="4" w:space="1" w:color="auto"/>
          <w:left w:val="single" w:sz="4" w:space="4" w:color="auto"/>
          <w:bottom w:val="single" w:sz="4" w:space="1" w:color="auto"/>
          <w:right w:val="single" w:sz="4" w:space="4" w:color="auto"/>
        </w:pBdr>
        <w:tabs>
          <w:tab w:val="left" w:pos="567"/>
        </w:tabs>
        <w:ind w:left="540" w:hanging="540"/>
        <w:jc w:val="both"/>
        <w:rPr>
          <w:b/>
          <w:bCs/>
          <w:caps/>
          <w:sz w:val="22"/>
          <w:szCs w:val="22"/>
        </w:rPr>
      </w:pPr>
    </w:p>
    <w:p w:rsidR="006224C2" w:rsidRPr="00295E71" w14:paraId="3DE7E81F" w14:textId="77777777">
      <w:pPr>
        <w:pStyle w:val="Heading3"/>
        <w:keepNext w:val="0"/>
        <w:pBdr>
          <w:top w:val="single" w:sz="4" w:space="1" w:color="auto"/>
          <w:left w:val="single" w:sz="4" w:space="4" w:color="auto"/>
          <w:bottom w:val="single" w:sz="4" w:space="1" w:color="auto"/>
          <w:right w:val="single" w:sz="4" w:space="4" w:color="auto"/>
        </w:pBdr>
        <w:tabs>
          <w:tab w:val="left" w:pos="567"/>
        </w:tabs>
        <w:ind w:left="540" w:hanging="540"/>
        <w:rPr>
          <w:b/>
          <w:bCs/>
          <w:u w:val="none"/>
        </w:rPr>
      </w:pPr>
      <w:r w:rsidRPr="00295E71">
        <w:rPr>
          <w:b/>
          <w:bCs/>
          <w:caps/>
          <w:u w:val="none"/>
        </w:rPr>
        <w:t>Testo da apporre sul retro della confezione</w:t>
      </w:r>
    </w:p>
    <w:p w:rsidR="006224C2" w:rsidRPr="00295E71" w14:paraId="04C0C1C9" w14:textId="77777777">
      <w:pPr>
        <w:tabs>
          <w:tab w:val="left" w:pos="567"/>
        </w:tabs>
        <w:ind w:left="540" w:hanging="540"/>
        <w:jc w:val="both"/>
        <w:rPr>
          <w:sz w:val="22"/>
          <w:szCs w:val="22"/>
        </w:rPr>
      </w:pPr>
    </w:p>
    <w:p w:rsidR="006224C2" w:rsidRPr="00295E71" w14:paraId="71D6EB4C" w14:textId="77777777">
      <w:pPr>
        <w:tabs>
          <w:tab w:val="left" w:pos="567"/>
        </w:tabs>
        <w:ind w:left="540" w:hanging="540"/>
        <w:jc w:val="both"/>
        <w:rPr>
          <w:sz w:val="22"/>
          <w:szCs w:val="22"/>
        </w:rPr>
      </w:pPr>
    </w:p>
    <w:p w:rsidR="006224C2" w:rsidRPr="00295E71" w14:paraId="5D0DB40D"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sz w:val="22"/>
          <w:szCs w:val="22"/>
        </w:rPr>
      </w:pPr>
      <w:r w:rsidRPr="00295E71">
        <w:rPr>
          <w:b/>
          <w:bCs/>
          <w:sz w:val="22"/>
          <w:szCs w:val="22"/>
        </w:rPr>
        <w:t>1.</w:t>
      </w:r>
      <w:r w:rsidRPr="00295E71">
        <w:rPr>
          <w:b/>
          <w:bCs/>
          <w:sz w:val="22"/>
          <w:szCs w:val="22"/>
        </w:rPr>
        <w:tab/>
        <w:t>DENOMINAZIONE DEL MEDICINALE</w:t>
      </w:r>
    </w:p>
    <w:p w:rsidR="006224C2" w:rsidRPr="00295E71" w14:paraId="71C130DC" w14:textId="77777777">
      <w:pPr>
        <w:tabs>
          <w:tab w:val="left" w:pos="567"/>
        </w:tabs>
        <w:ind w:left="540" w:hanging="540"/>
        <w:jc w:val="both"/>
        <w:rPr>
          <w:sz w:val="22"/>
          <w:szCs w:val="22"/>
        </w:rPr>
      </w:pPr>
    </w:p>
    <w:p w:rsidR="006224C2" w:rsidRPr="00295E71" w14:paraId="1B7C5578" w14:textId="77777777">
      <w:pPr>
        <w:tabs>
          <w:tab w:val="left" w:pos="567"/>
        </w:tabs>
        <w:ind w:left="540" w:hanging="540"/>
        <w:jc w:val="both"/>
        <w:rPr>
          <w:sz w:val="22"/>
          <w:szCs w:val="22"/>
        </w:rPr>
      </w:pPr>
      <w:r w:rsidRPr="00295E71">
        <w:rPr>
          <w:sz w:val="22"/>
          <w:szCs w:val="22"/>
        </w:rPr>
        <w:t>Humira 80 mg soluzione iniettabile in penna pre-riempita</w:t>
      </w:r>
    </w:p>
    <w:p w:rsidR="006224C2" w:rsidRPr="00295E71" w14:paraId="0BE7A5A7" w14:textId="77777777">
      <w:pPr>
        <w:tabs>
          <w:tab w:val="left" w:pos="567"/>
        </w:tabs>
        <w:ind w:left="540" w:hanging="540"/>
        <w:jc w:val="both"/>
        <w:rPr>
          <w:sz w:val="22"/>
          <w:szCs w:val="22"/>
        </w:rPr>
      </w:pPr>
      <w:r w:rsidRPr="00295E71">
        <w:rPr>
          <w:sz w:val="22"/>
          <w:szCs w:val="22"/>
        </w:rPr>
        <w:t>adalimumab</w:t>
      </w:r>
    </w:p>
    <w:p w:rsidR="006224C2" w:rsidRPr="00295E71" w14:paraId="50CAAEF7" w14:textId="77777777">
      <w:pPr>
        <w:tabs>
          <w:tab w:val="left" w:pos="567"/>
        </w:tabs>
        <w:ind w:left="540" w:hanging="540"/>
        <w:jc w:val="both"/>
        <w:rPr>
          <w:sz w:val="22"/>
          <w:szCs w:val="22"/>
        </w:rPr>
      </w:pPr>
    </w:p>
    <w:p w:rsidR="006224C2" w:rsidRPr="00295E71" w14:paraId="0AA71585" w14:textId="77777777">
      <w:pPr>
        <w:tabs>
          <w:tab w:val="left" w:pos="567"/>
        </w:tabs>
        <w:ind w:left="540" w:hanging="540"/>
        <w:jc w:val="both"/>
        <w:rPr>
          <w:sz w:val="22"/>
          <w:szCs w:val="22"/>
        </w:rPr>
      </w:pPr>
    </w:p>
    <w:p w:rsidR="006224C2" w:rsidRPr="00295E71" w14:paraId="46F1565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2.</w:t>
      </w:r>
      <w:r w:rsidRPr="00295E71">
        <w:rPr>
          <w:b/>
          <w:bCs/>
          <w:sz w:val="22"/>
          <w:szCs w:val="22"/>
        </w:rPr>
        <w:tab/>
        <w:t xml:space="preserve">NOME DEL TITOLARE DELL’AUTORIZZAZIONE ALL’IMMISSIONE IN COMMERCIO </w:t>
      </w:r>
    </w:p>
    <w:p w:rsidR="006224C2" w:rsidRPr="00295E71" w14:paraId="338A75AA" w14:textId="77777777">
      <w:pPr>
        <w:tabs>
          <w:tab w:val="left" w:pos="567"/>
        </w:tabs>
        <w:ind w:left="540" w:hanging="540"/>
        <w:jc w:val="both"/>
        <w:rPr>
          <w:sz w:val="22"/>
          <w:szCs w:val="22"/>
        </w:rPr>
      </w:pPr>
    </w:p>
    <w:p w:rsidR="006224C2" w:rsidRPr="00295E71" w14:paraId="61D0D2B9" w14:textId="77777777">
      <w:pPr>
        <w:tabs>
          <w:tab w:val="left" w:pos="567"/>
        </w:tabs>
        <w:ind w:left="540" w:hanging="540"/>
        <w:jc w:val="both"/>
        <w:rPr>
          <w:sz w:val="22"/>
          <w:szCs w:val="22"/>
        </w:rPr>
      </w:pPr>
      <w:r w:rsidRPr="00295E71">
        <w:rPr>
          <w:sz w:val="22"/>
          <w:szCs w:val="22"/>
        </w:rPr>
        <w:t xml:space="preserve">AbbVie </w:t>
      </w:r>
      <w:r w:rsidRPr="00295E71" w:rsidR="00C172FF">
        <w:rPr>
          <w:sz w:val="22"/>
          <w:szCs w:val="22"/>
          <w:highlight w:val="lightGray"/>
        </w:rPr>
        <w:t>(logo)</w:t>
      </w:r>
    </w:p>
    <w:p w:rsidR="006224C2" w:rsidRPr="00295E71" w14:paraId="2330E67D" w14:textId="77777777">
      <w:pPr>
        <w:tabs>
          <w:tab w:val="left" w:pos="567"/>
        </w:tabs>
        <w:ind w:left="540" w:hanging="540"/>
        <w:jc w:val="both"/>
        <w:rPr>
          <w:sz w:val="22"/>
          <w:szCs w:val="22"/>
        </w:rPr>
      </w:pPr>
    </w:p>
    <w:p w:rsidR="006224C2" w:rsidRPr="00295E71" w14:paraId="260716BD" w14:textId="77777777">
      <w:pPr>
        <w:pStyle w:val="EndnoteText"/>
        <w:ind w:left="540" w:hanging="540"/>
        <w:jc w:val="both"/>
        <w:rPr>
          <w:lang w:val="it-IT"/>
        </w:rPr>
      </w:pPr>
    </w:p>
    <w:p w:rsidR="006224C2" w:rsidRPr="00295E71" w14:paraId="79001584"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3.</w:t>
      </w:r>
      <w:r w:rsidRPr="00295E71">
        <w:rPr>
          <w:b/>
          <w:bCs/>
          <w:sz w:val="22"/>
          <w:szCs w:val="22"/>
        </w:rPr>
        <w:tab/>
        <w:t>DATA DI SCADENZA</w:t>
      </w:r>
    </w:p>
    <w:p w:rsidR="006224C2" w:rsidRPr="00295E71" w14:paraId="13466663" w14:textId="77777777">
      <w:pPr>
        <w:tabs>
          <w:tab w:val="left" w:pos="567"/>
        </w:tabs>
        <w:ind w:left="540" w:hanging="540"/>
        <w:jc w:val="both"/>
        <w:rPr>
          <w:sz w:val="22"/>
          <w:szCs w:val="22"/>
        </w:rPr>
      </w:pPr>
    </w:p>
    <w:p w:rsidR="006224C2" w:rsidRPr="00295E71" w14:paraId="0ED29A24" w14:textId="77777777">
      <w:pPr>
        <w:tabs>
          <w:tab w:val="left" w:pos="567"/>
        </w:tabs>
        <w:ind w:left="540" w:hanging="540"/>
        <w:jc w:val="both"/>
        <w:rPr>
          <w:sz w:val="22"/>
          <w:szCs w:val="22"/>
        </w:rPr>
      </w:pPr>
      <w:r w:rsidRPr="00295E71">
        <w:rPr>
          <w:sz w:val="22"/>
          <w:szCs w:val="22"/>
        </w:rPr>
        <w:t xml:space="preserve">Scad. </w:t>
      </w:r>
    </w:p>
    <w:p w:rsidR="006224C2" w:rsidRPr="00295E71" w14:paraId="40701711" w14:textId="77777777">
      <w:pPr>
        <w:tabs>
          <w:tab w:val="left" w:pos="567"/>
        </w:tabs>
        <w:ind w:left="540" w:hanging="540"/>
        <w:jc w:val="both"/>
        <w:rPr>
          <w:sz w:val="22"/>
          <w:szCs w:val="22"/>
        </w:rPr>
      </w:pPr>
    </w:p>
    <w:p w:rsidR="006224C2" w:rsidRPr="00295E71" w14:paraId="2731C5AA" w14:textId="77777777">
      <w:pPr>
        <w:tabs>
          <w:tab w:val="left" w:pos="567"/>
        </w:tabs>
        <w:ind w:left="540" w:hanging="540"/>
        <w:jc w:val="both"/>
        <w:rPr>
          <w:sz w:val="22"/>
          <w:szCs w:val="22"/>
        </w:rPr>
      </w:pPr>
    </w:p>
    <w:p w:rsidR="006224C2" w:rsidRPr="00295E71" w14:paraId="3B78C01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jc w:val="both"/>
        <w:rPr>
          <w:b/>
          <w:bCs/>
          <w:sz w:val="22"/>
          <w:szCs w:val="22"/>
        </w:rPr>
      </w:pPr>
      <w:r w:rsidRPr="00295E71">
        <w:rPr>
          <w:b/>
          <w:bCs/>
          <w:sz w:val="22"/>
          <w:szCs w:val="22"/>
        </w:rPr>
        <w:t>4.</w:t>
      </w:r>
      <w:r w:rsidRPr="00295E71">
        <w:rPr>
          <w:b/>
          <w:bCs/>
          <w:sz w:val="22"/>
          <w:szCs w:val="22"/>
        </w:rPr>
        <w:tab/>
        <w:t>NUMERO DI LOTTO</w:t>
      </w:r>
    </w:p>
    <w:p w:rsidR="006224C2" w:rsidRPr="00295E71" w14:paraId="226EB23D" w14:textId="77777777">
      <w:pPr>
        <w:tabs>
          <w:tab w:val="left" w:pos="567"/>
        </w:tabs>
        <w:ind w:left="540" w:hanging="540"/>
        <w:jc w:val="both"/>
        <w:rPr>
          <w:sz w:val="22"/>
          <w:szCs w:val="22"/>
        </w:rPr>
      </w:pPr>
    </w:p>
    <w:p w:rsidR="006224C2" w:rsidRPr="00295E71" w14:paraId="0BB88D41" w14:textId="77777777">
      <w:pPr>
        <w:tabs>
          <w:tab w:val="left" w:pos="567"/>
        </w:tabs>
        <w:ind w:left="540" w:hanging="540"/>
        <w:jc w:val="both"/>
        <w:rPr>
          <w:sz w:val="22"/>
          <w:szCs w:val="22"/>
        </w:rPr>
      </w:pPr>
      <w:r w:rsidRPr="00295E71">
        <w:rPr>
          <w:sz w:val="22"/>
          <w:szCs w:val="22"/>
        </w:rPr>
        <w:t xml:space="preserve">Lotto </w:t>
      </w:r>
    </w:p>
    <w:p w:rsidR="006224C2" w:rsidRPr="00295E71" w14:paraId="420FA7D7" w14:textId="77777777">
      <w:pPr>
        <w:tabs>
          <w:tab w:val="left" w:pos="567"/>
        </w:tabs>
        <w:ind w:left="540" w:hanging="540"/>
        <w:rPr>
          <w:bCs/>
          <w:sz w:val="22"/>
          <w:szCs w:val="22"/>
        </w:rPr>
      </w:pPr>
    </w:p>
    <w:p w:rsidR="006224C2" w:rsidRPr="00295E71" w14:paraId="6DA6C9E8" w14:textId="77777777">
      <w:pPr>
        <w:tabs>
          <w:tab w:val="left" w:pos="567"/>
        </w:tabs>
        <w:ind w:left="540" w:hanging="540"/>
        <w:rPr>
          <w:bCs/>
          <w:sz w:val="22"/>
          <w:szCs w:val="22"/>
        </w:rPr>
      </w:pPr>
    </w:p>
    <w:p w:rsidR="006224C2" w:rsidRPr="00295E71" w14:paraId="329CAB37"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5.</w:t>
      </w:r>
      <w:r w:rsidRPr="00295E71">
        <w:rPr>
          <w:b/>
          <w:bCs/>
          <w:sz w:val="22"/>
          <w:szCs w:val="22"/>
        </w:rPr>
        <w:tab/>
        <w:t>ALTRO</w:t>
      </w:r>
    </w:p>
    <w:p w:rsidR="006224C2" w:rsidRPr="00295E71" w14:paraId="3F61200B" w14:textId="77777777">
      <w:pPr>
        <w:tabs>
          <w:tab w:val="left" w:pos="567"/>
        </w:tabs>
        <w:ind w:left="540" w:hanging="540"/>
        <w:rPr>
          <w:b/>
          <w:bCs/>
          <w:sz w:val="22"/>
          <w:szCs w:val="22"/>
          <w:u w:val="single"/>
        </w:rPr>
      </w:pPr>
    </w:p>
    <w:p w:rsidR="006474FA" w:rsidRPr="00295E71" w14:paraId="0C170F48" w14:textId="77777777">
      <w:pPr>
        <w:tabs>
          <w:tab w:val="left" w:pos="567"/>
        </w:tabs>
        <w:ind w:left="540" w:hanging="540"/>
        <w:jc w:val="both"/>
        <w:rPr>
          <w:sz w:val="22"/>
          <w:szCs w:val="22"/>
        </w:rPr>
      </w:pPr>
      <w:r w:rsidRPr="00295E71">
        <w:rPr>
          <w:sz w:val="22"/>
          <w:szCs w:val="22"/>
        </w:rPr>
        <w:t>Vedere il foglio illustrativo per le informazioni sulle condizioni di conservazione.</w:t>
      </w:r>
    </w:p>
    <w:p w:rsidR="006224C2" w14:paraId="6BB1E2FE" w14:textId="77777777">
      <w:pPr>
        <w:tabs>
          <w:tab w:val="left" w:pos="567"/>
        </w:tabs>
        <w:ind w:left="540" w:hanging="540"/>
        <w:jc w:val="both"/>
        <w:rPr>
          <w:sz w:val="22"/>
          <w:szCs w:val="22"/>
        </w:rPr>
      </w:pPr>
      <w:r w:rsidRPr="00295E71">
        <w:rPr>
          <w:sz w:val="22"/>
          <w:szCs w:val="22"/>
        </w:rPr>
        <w:t>Esclusivamente monouso</w:t>
      </w:r>
      <w:r w:rsidRPr="00295E71" w:rsidR="006474FA">
        <w:rPr>
          <w:sz w:val="22"/>
          <w:szCs w:val="22"/>
        </w:rPr>
        <w:t>.</w:t>
      </w:r>
    </w:p>
    <w:p w:rsidR="006E5926" w14:paraId="225E2010" w14:textId="77777777">
      <w:pPr>
        <w:tabs>
          <w:tab w:val="left" w:pos="567"/>
        </w:tabs>
        <w:ind w:left="540" w:hanging="540"/>
        <w:jc w:val="both"/>
        <w:rPr>
          <w:sz w:val="22"/>
          <w:szCs w:val="22"/>
        </w:rPr>
      </w:pPr>
    </w:p>
    <w:p w:rsidR="006E5926" w:rsidRPr="00295E71" w14:paraId="1000CDF9" w14:textId="77777777">
      <w:pPr>
        <w:tabs>
          <w:tab w:val="left" w:pos="567"/>
        </w:tabs>
        <w:ind w:left="540" w:hanging="540"/>
        <w:jc w:val="both"/>
        <w:rPr>
          <w:sz w:val="22"/>
          <w:szCs w:val="22"/>
        </w:rPr>
      </w:pPr>
    </w:p>
    <w:p w:rsidR="006224C2" w:rsidRPr="00295E71" w14:paraId="09EA79DD" w14:textId="77777777">
      <w:pPr>
        <w:pStyle w:val="EndnoteText"/>
        <w:ind w:left="540" w:hanging="540"/>
        <w:rPr>
          <w:lang w:val="it-IT"/>
        </w:rPr>
      </w:pPr>
      <w:r w:rsidRPr="00295E71">
        <w:rPr>
          <w:lang w:val="it-IT"/>
        </w:rPr>
        <w:br w:type="page"/>
      </w:r>
    </w:p>
    <w:p w:rsidR="006224C2" w:rsidRPr="00295E71" w14:paraId="0351D3CD" w14:textId="77777777">
      <w:pPr>
        <w:pBdr>
          <w:top w:val="single" w:sz="4" w:space="1" w:color="auto"/>
          <w:left w:val="single" w:sz="4" w:space="1" w:color="auto"/>
          <w:bottom w:val="single" w:sz="4" w:space="1" w:color="auto"/>
          <w:right w:val="single" w:sz="4" w:space="1" w:color="auto"/>
        </w:pBdr>
        <w:tabs>
          <w:tab w:val="left" w:pos="180"/>
        </w:tabs>
        <w:rPr>
          <w:b/>
          <w:bCs/>
          <w:sz w:val="22"/>
          <w:szCs w:val="22"/>
        </w:rPr>
      </w:pPr>
      <w:r w:rsidRPr="00295E71">
        <w:rPr>
          <w:b/>
          <w:bCs/>
          <w:sz w:val="22"/>
          <w:szCs w:val="22"/>
        </w:rPr>
        <w:t>INFORMAZIONI MINIME DA APPORRE SUI CONFEZIONAMENTI PRIMARI DI PICCOLE DIMENSIONI</w:t>
      </w:r>
    </w:p>
    <w:p w:rsidR="006224C2" w:rsidRPr="00295E71" w14:paraId="75372202" w14:textId="77777777">
      <w:pPr>
        <w:pBdr>
          <w:top w:val="single" w:sz="4" w:space="1" w:color="auto"/>
          <w:left w:val="single" w:sz="4" w:space="1" w:color="auto"/>
          <w:bottom w:val="single" w:sz="4" w:space="1" w:color="auto"/>
          <w:right w:val="single" w:sz="4" w:space="1" w:color="auto"/>
        </w:pBdr>
        <w:tabs>
          <w:tab w:val="left" w:pos="180"/>
        </w:tabs>
        <w:rPr>
          <w:b/>
          <w:bCs/>
          <w:caps/>
          <w:sz w:val="22"/>
          <w:szCs w:val="22"/>
        </w:rPr>
      </w:pPr>
    </w:p>
    <w:p w:rsidR="006224C2" w:rsidRPr="00295E71" w14:paraId="5F208BF5" w14:textId="77777777">
      <w:pPr>
        <w:pBdr>
          <w:top w:val="single" w:sz="4" w:space="1" w:color="auto"/>
          <w:left w:val="single" w:sz="4" w:space="1" w:color="auto"/>
          <w:bottom w:val="single" w:sz="4" w:space="1" w:color="auto"/>
          <w:right w:val="single" w:sz="4" w:space="1" w:color="auto"/>
        </w:pBdr>
        <w:tabs>
          <w:tab w:val="left" w:pos="567"/>
        </w:tabs>
        <w:ind w:left="540" w:hanging="540"/>
        <w:rPr>
          <w:b/>
          <w:bCs/>
          <w:sz w:val="22"/>
          <w:szCs w:val="22"/>
        </w:rPr>
      </w:pPr>
      <w:r w:rsidRPr="00295E71">
        <w:rPr>
          <w:b/>
          <w:bCs/>
          <w:caps/>
          <w:sz w:val="22"/>
          <w:szCs w:val="22"/>
        </w:rPr>
        <w:t xml:space="preserve">Etichetta da apporre sulla </w:t>
      </w:r>
      <w:r w:rsidRPr="00295E71" w:rsidR="00A54AF2">
        <w:rPr>
          <w:b/>
          <w:bCs/>
          <w:caps/>
          <w:sz w:val="22"/>
          <w:szCs w:val="22"/>
        </w:rPr>
        <w:t>PENNA</w:t>
      </w:r>
    </w:p>
    <w:p w:rsidR="006224C2" w:rsidRPr="00295E71" w14:paraId="7EA60FB1" w14:textId="77777777">
      <w:pPr>
        <w:pStyle w:val="Index1"/>
        <w:tabs>
          <w:tab w:val="left" w:pos="567"/>
        </w:tabs>
        <w:spacing w:line="260" w:lineRule="exact"/>
        <w:ind w:left="540" w:hanging="540"/>
        <w:rPr>
          <w:lang w:val="it-IT"/>
        </w:rPr>
      </w:pPr>
    </w:p>
    <w:p w:rsidR="006224C2" w:rsidRPr="00295E71" w14:paraId="43B4E366" w14:textId="77777777">
      <w:pPr>
        <w:tabs>
          <w:tab w:val="left" w:pos="567"/>
        </w:tabs>
        <w:ind w:left="540" w:hanging="540"/>
        <w:rPr>
          <w:b/>
          <w:bCs/>
          <w:sz w:val="22"/>
          <w:szCs w:val="22"/>
        </w:rPr>
      </w:pPr>
    </w:p>
    <w:p w:rsidR="006224C2" w:rsidRPr="00295E71" w14:paraId="0D84A1B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1.</w:t>
      </w:r>
      <w:r w:rsidRPr="00295E71">
        <w:rPr>
          <w:b/>
          <w:bCs/>
          <w:sz w:val="22"/>
          <w:szCs w:val="22"/>
        </w:rPr>
        <w:tab/>
        <w:t>DENOMINAZIONE DEL MEDICINALE E VIA DI SOMMINISTRAZIONE</w:t>
      </w:r>
    </w:p>
    <w:p w:rsidR="006224C2" w:rsidRPr="00295E71" w14:paraId="343BAA6A" w14:textId="77777777">
      <w:pPr>
        <w:tabs>
          <w:tab w:val="left" w:pos="567"/>
        </w:tabs>
        <w:ind w:left="540" w:hanging="540"/>
        <w:rPr>
          <w:sz w:val="22"/>
          <w:szCs w:val="22"/>
        </w:rPr>
      </w:pPr>
    </w:p>
    <w:p w:rsidR="006224C2" w:rsidRPr="00295E71" w14:paraId="7005774D" w14:textId="77777777">
      <w:pPr>
        <w:tabs>
          <w:tab w:val="left" w:pos="567"/>
        </w:tabs>
        <w:ind w:left="540" w:hanging="540"/>
        <w:rPr>
          <w:sz w:val="22"/>
          <w:szCs w:val="22"/>
        </w:rPr>
      </w:pPr>
      <w:r w:rsidRPr="00295E71">
        <w:rPr>
          <w:sz w:val="22"/>
          <w:szCs w:val="22"/>
        </w:rPr>
        <w:t>Humira 80 mg iniettabile</w:t>
      </w:r>
    </w:p>
    <w:p w:rsidR="006224C2" w:rsidRPr="00295E71" w14:paraId="1CBEBA2A" w14:textId="77777777">
      <w:pPr>
        <w:tabs>
          <w:tab w:val="left" w:pos="567"/>
        </w:tabs>
        <w:ind w:left="540" w:hanging="540"/>
        <w:rPr>
          <w:sz w:val="22"/>
          <w:szCs w:val="22"/>
        </w:rPr>
      </w:pPr>
      <w:r w:rsidRPr="00295E71">
        <w:rPr>
          <w:sz w:val="22"/>
          <w:szCs w:val="22"/>
        </w:rPr>
        <w:t>adalimumab</w:t>
      </w:r>
    </w:p>
    <w:p w:rsidR="006224C2" w:rsidRPr="00295E71" w14:paraId="5BF89407" w14:textId="77777777">
      <w:pPr>
        <w:pStyle w:val="EndnoteText"/>
        <w:ind w:left="540" w:hanging="540"/>
        <w:rPr>
          <w:lang w:val="it-IT"/>
        </w:rPr>
      </w:pPr>
      <w:r w:rsidRPr="00295E71">
        <w:rPr>
          <w:lang w:val="it-IT"/>
        </w:rPr>
        <w:t>s.c.</w:t>
      </w:r>
    </w:p>
    <w:p w:rsidR="006224C2" w:rsidRPr="00295E71" w14:paraId="6A53C847" w14:textId="77777777">
      <w:pPr>
        <w:tabs>
          <w:tab w:val="left" w:pos="567"/>
        </w:tabs>
        <w:ind w:left="540" w:hanging="540"/>
        <w:rPr>
          <w:b/>
          <w:bCs/>
          <w:sz w:val="22"/>
          <w:szCs w:val="22"/>
        </w:rPr>
      </w:pPr>
    </w:p>
    <w:p w:rsidR="006224C2" w:rsidRPr="00295E71" w14:paraId="2B372FAD" w14:textId="77777777">
      <w:pPr>
        <w:tabs>
          <w:tab w:val="left" w:pos="567"/>
        </w:tabs>
        <w:ind w:left="540" w:hanging="540"/>
        <w:rPr>
          <w:b/>
          <w:bCs/>
          <w:sz w:val="22"/>
          <w:szCs w:val="22"/>
        </w:rPr>
      </w:pPr>
    </w:p>
    <w:p w:rsidR="006224C2" w:rsidRPr="00295E71" w14:paraId="7F2CB831"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2.</w:t>
      </w:r>
      <w:r w:rsidRPr="00295E71">
        <w:rPr>
          <w:b/>
          <w:bCs/>
          <w:sz w:val="22"/>
          <w:szCs w:val="22"/>
        </w:rPr>
        <w:tab/>
        <w:t>MODO DI SOMMINISTRAZIONE</w:t>
      </w:r>
    </w:p>
    <w:p w:rsidR="006224C2" w:rsidRPr="00295E71" w14:paraId="71A3206A" w14:textId="77777777">
      <w:pPr>
        <w:pStyle w:val="IndexHeading"/>
        <w:spacing w:line="240" w:lineRule="auto"/>
        <w:ind w:left="540" w:hanging="540"/>
        <w:rPr>
          <w:rFonts w:ascii="Times New Roman" w:hAnsi="Times New Roman" w:cs="Times New Roman"/>
          <w:lang w:val="it-IT"/>
        </w:rPr>
      </w:pPr>
    </w:p>
    <w:p w:rsidR="006224C2" w:rsidRPr="00295E71" w14:paraId="1A1F8303" w14:textId="77777777">
      <w:pPr>
        <w:tabs>
          <w:tab w:val="left" w:pos="567"/>
        </w:tabs>
        <w:ind w:left="540" w:hanging="540"/>
        <w:rPr>
          <w:b/>
          <w:bCs/>
          <w:sz w:val="22"/>
          <w:szCs w:val="22"/>
        </w:rPr>
      </w:pPr>
    </w:p>
    <w:p w:rsidR="006224C2" w:rsidRPr="00295E71" w14:paraId="45F1D159"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3.</w:t>
      </w:r>
      <w:r w:rsidRPr="00295E71">
        <w:rPr>
          <w:b/>
          <w:bCs/>
          <w:sz w:val="22"/>
          <w:szCs w:val="22"/>
        </w:rPr>
        <w:tab/>
        <w:t>DATA DI SCADENZA</w:t>
      </w:r>
    </w:p>
    <w:p w:rsidR="006224C2" w:rsidRPr="00295E71" w14:paraId="68F91334" w14:textId="77777777">
      <w:pPr>
        <w:tabs>
          <w:tab w:val="left" w:pos="567"/>
        </w:tabs>
        <w:ind w:left="540" w:hanging="540"/>
        <w:rPr>
          <w:sz w:val="22"/>
          <w:szCs w:val="22"/>
        </w:rPr>
      </w:pPr>
    </w:p>
    <w:p w:rsidR="006224C2" w:rsidRPr="00295E71" w14:paraId="3662A3DC" w14:textId="77777777">
      <w:pPr>
        <w:tabs>
          <w:tab w:val="left" w:pos="567"/>
        </w:tabs>
        <w:ind w:left="540" w:hanging="540"/>
        <w:rPr>
          <w:sz w:val="22"/>
          <w:szCs w:val="22"/>
        </w:rPr>
      </w:pPr>
      <w:r w:rsidRPr="00295E71">
        <w:rPr>
          <w:sz w:val="22"/>
          <w:szCs w:val="22"/>
        </w:rPr>
        <w:t xml:space="preserve">EXP </w:t>
      </w:r>
    </w:p>
    <w:p w:rsidR="006224C2" w:rsidRPr="00295E71" w14:paraId="0134ECF7" w14:textId="77777777">
      <w:pPr>
        <w:tabs>
          <w:tab w:val="left" w:pos="567"/>
        </w:tabs>
        <w:ind w:left="540" w:hanging="540"/>
        <w:rPr>
          <w:b/>
          <w:bCs/>
          <w:sz w:val="22"/>
          <w:szCs w:val="22"/>
        </w:rPr>
      </w:pPr>
    </w:p>
    <w:p w:rsidR="006224C2" w:rsidRPr="00295E71" w14:paraId="6673827D" w14:textId="77777777">
      <w:pPr>
        <w:tabs>
          <w:tab w:val="left" w:pos="567"/>
        </w:tabs>
        <w:ind w:left="540" w:hanging="540"/>
        <w:rPr>
          <w:sz w:val="22"/>
          <w:szCs w:val="22"/>
        </w:rPr>
      </w:pPr>
    </w:p>
    <w:p w:rsidR="006224C2" w:rsidRPr="00295E71" w14:paraId="7861EF8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4.</w:t>
      </w:r>
      <w:r w:rsidRPr="00295E71">
        <w:rPr>
          <w:b/>
          <w:bCs/>
          <w:sz w:val="22"/>
          <w:szCs w:val="22"/>
        </w:rPr>
        <w:tab/>
        <w:t>NUMERO DI LOTTO</w:t>
      </w:r>
    </w:p>
    <w:p w:rsidR="006224C2" w:rsidRPr="00295E71" w14:paraId="602F8FA5" w14:textId="77777777">
      <w:pPr>
        <w:tabs>
          <w:tab w:val="left" w:pos="567"/>
        </w:tabs>
        <w:ind w:left="540" w:hanging="540"/>
        <w:rPr>
          <w:sz w:val="22"/>
          <w:szCs w:val="22"/>
        </w:rPr>
      </w:pPr>
    </w:p>
    <w:p w:rsidR="006224C2" w:rsidRPr="00295E71" w14:paraId="1BA6995D" w14:textId="77777777">
      <w:pPr>
        <w:tabs>
          <w:tab w:val="left" w:pos="567"/>
        </w:tabs>
        <w:ind w:left="540" w:hanging="540"/>
        <w:rPr>
          <w:sz w:val="22"/>
          <w:szCs w:val="22"/>
        </w:rPr>
      </w:pPr>
      <w:r w:rsidRPr="00295E71">
        <w:rPr>
          <w:sz w:val="22"/>
          <w:szCs w:val="22"/>
        </w:rPr>
        <w:t xml:space="preserve">Lot </w:t>
      </w:r>
    </w:p>
    <w:p w:rsidR="006224C2" w:rsidRPr="00295E71" w14:paraId="61565841" w14:textId="77777777">
      <w:pPr>
        <w:tabs>
          <w:tab w:val="left" w:pos="567"/>
        </w:tabs>
        <w:ind w:left="540" w:right="113" w:hanging="540"/>
        <w:rPr>
          <w:sz w:val="22"/>
          <w:szCs w:val="22"/>
        </w:rPr>
      </w:pPr>
    </w:p>
    <w:p w:rsidR="006224C2" w:rsidRPr="00295E71" w14:paraId="48849CCA" w14:textId="77777777">
      <w:pPr>
        <w:tabs>
          <w:tab w:val="left" w:pos="567"/>
        </w:tabs>
        <w:ind w:left="540" w:right="113" w:hanging="540"/>
        <w:rPr>
          <w:sz w:val="22"/>
          <w:szCs w:val="22"/>
        </w:rPr>
      </w:pPr>
    </w:p>
    <w:p w:rsidR="006224C2" w:rsidRPr="00295E71" w14:paraId="227FCFCB"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rPr>
      </w:pPr>
      <w:r w:rsidRPr="00295E71">
        <w:rPr>
          <w:b/>
          <w:bCs/>
          <w:sz w:val="22"/>
          <w:szCs w:val="22"/>
        </w:rPr>
        <w:t>5.</w:t>
      </w:r>
      <w:r w:rsidRPr="00295E71">
        <w:rPr>
          <w:b/>
          <w:bCs/>
          <w:sz w:val="22"/>
          <w:szCs w:val="22"/>
        </w:rPr>
        <w:tab/>
        <w:t>CONTENUTO IN PESO, VOLUME O UNITA’</w:t>
      </w:r>
    </w:p>
    <w:p w:rsidR="006224C2" w:rsidRPr="00295E71" w14:paraId="1C53737E" w14:textId="77777777">
      <w:pPr>
        <w:tabs>
          <w:tab w:val="left" w:pos="567"/>
        </w:tabs>
        <w:ind w:left="540" w:hanging="540"/>
        <w:rPr>
          <w:sz w:val="22"/>
          <w:szCs w:val="22"/>
        </w:rPr>
      </w:pPr>
    </w:p>
    <w:p w:rsidR="006224C2" w:rsidRPr="00295E71" w14:paraId="48826CF5" w14:textId="77777777">
      <w:pPr>
        <w:tabs>
          <w:tab w:val="left" w:pos="567"/>
        </w:tabs>
        <w:ind w:left="540" w:hanging="540"/>
        <w:rPr>
          <w:sz w:val="22"/>
          <w:szCs w:val="22"/>
        </w:rPr>
      </w:pPr>
      <w:r w:rsidRPr="00295E71">
        <w:rPr>
          <w:sz w:val="22"/>
          <w:szCs w:val="22"/>
        </w:rPr>
        <w:t>80 mg</w:t>
      </w:r>
      <w:r w:rsidRPr="00295E71" w:rsidR="006474FA">
        <w:rPr>
          <w:sz w:val="22"/>
          <w:szCs w:val="22"/>
          <w:highlight w:val="lightGray"/>
        </w:rPr>
        <w:t>/0,8 ml</w:t>
      </w:r>
    </w:p>
    <w:p w:rsidR="006224C2" w:rsidRPr="00295E71" w14:paraId="4E9AD815" w14:textId="77777777">
      <w:pPr>
        <w:tabs>
          <w:tab w:val="left" w:pos="567"/>
        </w:tabs>
        <w:ind w:left="540" w:hanging="540"/>
        <w:rPr>
          <w:sz w:val="22"/>
          <w:szCs w:val="22"/>
        </w:rPr>
      </w:pPr>
    </w:p>
    <w:p w:rsidR="006224C2" w:rsidRPr="00295E71" w14:paraId="256078BE" w14:textId="77777777">
      <w:pPr>
        <w:tabs>
          <w:tab w:val="left" w:pos="567"/>
        </w:tabs>
        <w:ind w:left="540" w:hanging="540"/>
        <w:rPr>
          <w:b/>
          <w:bCs/>
          <w:sz w:val="22"/>
          <w:szCs w:val="22"/>
          <w:u w:val="single"/>
        </w:rPr>
      </w:pPr>
    </w:p>
    <w:p w:rsidR="006224C2" w:rsidRPr="00295E71" w14:paraId="0104E612" w14:textId="77777777">
      <w:pPr>
        <w:pBdr>
          <w:top w:val="single" w:sz="4" w:space="1" w:color="auto"/>
          <w:left w:val="single" w:sz="4" w:space="4" w:color="auto"/>
          <w:bottom w:val="single" w:sz="4" w:space="1" w:color="auto"/>
          <w:right w:val="single" w:sz="4" w:space="4" w:color="auto"/>
        </w:pBdr>
        <w:shd w:val="clear" w:color="auto" w:fill="FFFFFF"/>
        <w:tabs>
          <w:tab w:val="left" w:pos="567"/>
        </w:tabs>
        <w:ind w:left="540" w:hanging="540"/>
        <w:rPr>
          <w:b/>
          <w:bCs/>
          <w:sz w:val="22"/>
          <w:szCs w:val="22"/>
          <w:u w:val="single"/>
        </w:rPr>
      </w:pPr>
      <w:r w:rsidRPr="00295E71">
        <w:rPr>
          <w:b/>
          <w:bCs/>
          <w:sz w:val="22"/>
          <w:szCs w:val="22"/>
        </w:rPr>
        <w:t>6.</w:t>
      </w:r>
      <w:r w:rsidRPr="00295E71">
        <w:rPr>
          <w:b/>
          <w:bCs/>
          <w:sz w:val="22"/>
          <w:szCs w:val="22"/>
        </w:rPr>
        <w:tab/>
        <w:t>ALTRO</w:t>
      </w:r>
    </w:p>
    <w:p w:rsidR="006224C2" w:rsidRPr="00295E71" w14:paraId="33FAFA3C" w14:textId="77777777">
      <w:pPr>
        <w:tabs>
          <w:tab w:val="left" w:pos="567"/>
        </w:tabs>
        <w:ind w:left="540" w:hanging="540"/>
        <w:rPr>
          <w:b/>
          <w:bCs/>
          <w:sz w:val="22"/>
          <w:szCs w:val="22"/>
          <w:u w:val="single"/>
        </w:rPr>
      </w:pPr>
    </w:p>
    <w:p w:rsidR="006224C2" w:rsidRPr="00295E71" w14:paraId="3E5EA464" w14:textId="77777777">
      <w:pPr>
        <w:tabs>
          <w:tab w:val="left" w:pos="567"/>
        </w:tabs>
        <w:ind w:right="-449"/>
        <w:rPr>
          <w:sz w:val="22"/>
          <w:szCs w:val="22"/>
        </w:rPr>
      </w:pPr>
    </w:p>
    <w:p w:rsidR="006224C2" w:rsidRPr="00295E71" w14:paraId="4FD57871" w14:textId="77777777">
      <w:pPr>
        <w:rPr>
          <w:b/>
          <w:bCs/>
          <w:sz w:val="22"/>
          <w:szCs w:val="22"/>
          <w:u w:val="single"/>
        </w:rPr>
      </w:pPr>
      <w:r w:rsidRPr="00295E71">
        <w:rPr>
          <w:b/>
          <w:bCs/>
          <w:sz w:val="22"/>
          <w:szCs w:val="22"/>
          <w:u w:val="single"/>
        </w:rPr>
        <w:br w:type="page"/>
      </w:r>
    </w:p>
    <w:p w:rsidR="006224C2" w:rsidRPr="00295E71" w14:paraId="4B7A5C9E" w14:textId="77777777">
      <w:pPr>
        <w:tabs>
          <w:tab w:val="left" w:pos="567"/>
        </w:tabs>
        <w:ind w:left="540" w:hanging="540"/>
        <w:rPr>
          <w:b/>
          <w:bCs/>
          <w:sz w:val="22"/>
          <w:szCs w:val="22"/>
          <w:u w:val="single"/>
        </w:rPr>
      </w:pPr>
    </w:p>
    <w:p w:rsidR="006224C2" w:rsidRPr="00295E71" w14:paraId="304003DF" w14:textId="77777777">
      <w:pPr>
        <w:pStyle w:val="Heading3"/>
        <w:keepNext w:val="0"/>
        <w:pBdr>
          <w:top w:val="single" w:sz="4" w:space="1" w:color="auto"/>
          <w:left w:val="single" w:sz="4" w:space="4" w:color="auto"/>
          <w:bottom w:val="single" w:sz="4" w:space="14" w:color="auto"/>
          <w:right w:val="single" w:sz="4" w:space="4" w:color="auto"/>
        </w:pBdr>
        <w:tabs>
          <w:tab w:val="left" w:pos="567"/>
        </w:tabs>
        <w:ind w:left="540" w:hanging="540"/>
        <w:rPr>
          <w:b/>
          <w:bCs/>
          <w:u w:val="none"/>
        </w:rPr>
      </w:pPr>
      <w:r w:rsidRPr="00295E71">
        <w:rPr>
          <w:b/>
          <w:bCs/>
          <w:u w:val="none"/>
        </w:rPr>
        <w:t>TESTO DA APPORRE SUGLI ADESIVI COME MEMORANDUM (inclusi nella confezione)</w:t>
      </w:r>
    </w:p>
    <w:p w:rsidR="006224C2" w:rsidRPr="00295E71" w14:paraId="22E16020" w14:textId="77777777">
      <w:pPr>
        <w:tabs>
          <w:tab w:val="left" w:pos="567"/>
        </w:tabs>
        <w:ind w:left="540" w:hanging="540"/>
        <w:rPr>
          <w:sz w:val="22"/>
          <w:szCs w:val="22"/>
        </w:rPr>
      </w:pPr>
    </w:p>
    <w:p w:rsidR="006224C2" w:rsidRPr="00295E71" w14:paraId="3B31647F" w14:textId="77777777">
      <w:pPr>
        <w:tabs>
          <w:tab w:val="left" w:pos="567"/>
        </w:tabs>
        <w:ind w:left="540" w:hanging="540"/>
        <w:rPr>
          <w:sz w:val="22"/>
          <w:szCs w:val="22"/>
        </w:rPr>
      </w:pPr>
      <w:r w:rsidRPr="00295E71">
        <w:rPr>
          <w:sz w:val="22"/>
          <w:szCs w:val="22"/>
        </w:rPr>
        <w:t>Humira</w:t>
      </w:r>
    </w:p>
    <w:p w:rsidR="006224C2" w:rsidRPr="00295E71" w14:paraId="70E930CE" w14:textId="77777777">
      <w:pPr>
        <w:pStyle w:val="EndnoteText"/>
        <w:ind w:left="540" w:hanging="540"/>
        <w:rPr>
          <w:lang w:val="it-IT"/>
        </w:rPr>
      </w:pPr>
    </w:p>
    <w:p w:rsidR="006224C2" w:rsidRPr="00295E71" w14:paraId="3D02326B" w14:textId="77777777">
      <w:pPr>
        <w:tabs>
          <w:tab w:val="left" w:pos="360"/>
          <w:tab w:val="left" w:pos="567"/>
        </w:tabs>
        <w:rPr>
          <w:sz w:val="22"/>
          <w:szCs w:val="22"/>
        </w:rPr>
      </w:pPr>
      <w:r w:rsidRPr="00295E71">
        <w:rPr>
          <w:sz w:val="22"/>
          <w:szCs w:val="22"/>
        </w:rPr>
        <w:t>Per ricordarvi, segnate sul calendario con gli adesivi in dotazione la data della dose successiva.</w:t>
      </w:r>
    </w:p>
    <w:p w:rsidR="006224C2" w:rsidRPr="00295E71" w14:paraId="1854F5C9" w14:textId="77777777">
      <w:pPr>
        <w:tabs>
          <w:tab w:val="left" w:pos="567"/>
        </w:tabs>
        <w:ind w:left="540" w:hanging="540"/>
        <w:rPr>
          <w:sz w:val="22"/>
          <w:szCs w:val="22"/>
        </w:rPr>
      </w:pPr>
    </w:p>
    <w:p w:rsidR="006224C2" w:rsidRPr="00295E71" w14:paraId="0E65DB5E" w14:textId="77777777">
      <w:pPr>
        <w:rPr>
          <w:b/>
          <w:bCs/>
          <w:sz w:val="22"/>
          <w:szCs w:val="22"/>
          <w:u w:val="single"/>
        </w:rPr>
      </w:pPr>
      <w:r w:rsidRPr="00295E71">
        <w:rPr>
          <w:b/>
          <w:bCs/>
          <w:sz w:val="22"/>
          <w:szCs w:val="22"/>
          <w:u w:val="single"/>
        </w:rPr>
        <w:br w:type="page"/>
      </w:r>
    </w:p>
    <w:p w:rsidR="006224C2" w:rsidRPr="00295E71" w14:paraId="749D533A" w14:textId="77777777">
      <w:pPr>
        <w:tabs>
          <w:tab w:val="left" w:pos="567"/>
        </w:tabs>
        <w:ind w:left="540" w:hanging="540"/>
        <w:rPr>
          <w:b/>
          <w:bCs/>
          <w:sz w:val="22"/>
          <w:szCs w:val="22"/>
          <w:u w:val="single"/>
        </w:rPr>
      </w:pPr>
    </w:p>
    <w:p w:rsidR="006224C2" w:rsidRPr="00295E71" w14:paraId="528ECD1C" w14:textId="77777777">
      <w:pPr>
        <w:tabs>
          <w:tab w:val="left" w:pos="567"/>
        </w:tabs>
        <w:ind w:right="-449"/>
        <w:rPr>
          <w:sz w:val="22"/>
          <w:szCs w:val="22"/>
        </w:rPr>
      </w:pPr>
    </w:p>
    <w:p w:rsidR="006224C2" w:rsidRPr="00295E71" w14:paraId="4B5F7A85" w14:textId="77777777">
      <w:pPr>
        <w:tabs>
          <w:tab w:val="left" w:pos="567"/>
        </w:tabs>
        <w:rPr>
          <w:sz w:val="22"/>
          <w:szCs w:val="22"/>
        </w:rPr>
      </w:pPr>
    </w:p>
    <w:p w:rsidR="006224C2" w:rsidRPr="00295E71" w14:paraId="28EC27DE" w14:textId="77777777">
      <w:pPr>
        <w:pStyle w:val="EndnoteText"/>
        <w:rPr>
          <w:lang w:val="it-IT" w:eastAsia="it-IT"/>
        </w:rPr>
      </w:pPr>
    </w:p>
    <w:p w:rsidR="006224C2" w:rsidRPr="00295E71" w14:paraId="06C24A8A" w14:textId="77777777">
      <w:pPr>
        <w:tabs>
          <w:tab w:val="left" w:pos="567"/>
        </w:tabs>
        <w:rPr>
          <w:sz w:val="22"/>
          <w:szCs w:val="22"/>
        </w:rPr>
      </w:pPr>
    </w:p>
    <w:p w:rsidR="006224C2" w:rsidRPr="00295E71" w14:paraId="66B25045" w14:textId="77777777">
      <w:pPr>
        <w:tabs>
          <w:tab w:val="left" w:pos="567"/>
        </w:tabs>
        <w:rPr>
          <w:sz w:val="22"/>
          <w:szCs w:val="22"/>
        </w:rPr>
      </w:pPr>
    </w:p>
    <w:p w:rsidR="006224C2" w:rsidRPr="00295E71" w14:paraId="61BE537C" w14:textId="77777777">
      <w:pPr>
        <w:tabs>
          <w:tab w:val="left" w:pos="567"/>
        </w:tabs>
        <w:rPr>
          <w:sz w:val="22"/>
          <w:szCs w:val="22"/>
        </w:rPr>
      </w:pPr>
    </w:p>
    <w:p w:rsidR="006224C2" w:rsidRPr="00295E71" w14:paraId="5D95B5E1" w14:textId="77777777">
      <w:pPr>
        <w:tabs>
          <w:tab w:val="left" w:pos="567"/>
        </w:tabs>
        <w:rPr>
          <w:sz w:val="22"/>
          <w:szCs w:val="22"/>
        </w:rPr>
      </w:pPr>
    </w:p>
    <w:p w:rsidR="006224C2" w:rsidRPr="00295E71" w14:paraId="536F5FEA" w14:textId="77777777">
      <w:pPr>
        <w:tabs>
          <w:tab w:val="left" w:pos="567"/>
        </w:tabs>
        <w:rPr>
          <w:sz w:val="22"/>
          <w:szCs w:val="22"/>
        </w:rPr>
      </w:pPr>
    </w:p>
    <w:p w:rsidR="006224C2" w:rsidRPr="00295E71" w14:paraId="72BF726A" w14:textId="77777777">
      <w:pPr>
        <w:tabs>
          <w:tab w:val="left" w:pos="567"/>
        </w:tabs>
        <w:rPr>
          <w:sz w:val="22"/>
          <w:szCs w:val="22"/>
        </w:rPr>
      </w:pPr>
    </w:p>
    <w:p w:rsidR="006224C2" w:rsidRPr="00295E71" w14:paraId="3595479E" w14:textId="77777777">
      <w:pPr>
        <w:tabs>
          <w:tab w:val="left" w:pos="567"/>
        </w:tabs>
        <w:rPr>
          <w:sz w:val="22"/>
          <w:szCs w:val="22"/>
        </w:rPr>
      </w:pPr>
    </w:p>
    <w:p w:rsidR="006224C2" w:rsidRPr="00295E71" w14:paraId="3AE93CA9" w14:textId="77777777">
      <w:pPr>
        <w:tabs>
          <w:tab w:val="left" w:pos="567"/>
        </w:tabs>
        <w:rPr>
          <w:sz w:val="22"/>
          <w:szCs w:val="22"/>
        </w:rPr>
      </w:pPr>
    </w:p>
    <w:p w:rsidR="006224C2" w:rsidRPr="00295E71" w14:paraId="20C8E514" w14:textId="77777777">
      <w:pPr>
        <w:tabs>
          <w:tab w:val="left" w:pos="567"/>
        </w:tabs>
        <w:rPr>
          <w:sz w:val="22"/>
          <w:szCs w:val="22"/>
        </w:rPr>
      </w:pPr>
    </w:p>
    <w:p w:rsidR="006224C2" w:rsidRPr="00295E71" w14:paraId="56090742" w14:textId="77777777">
      <w:pPr>
        <w:tabs>
          <w:tab w:val="left" w:pos="567"/>
        </w:tabs>
        <w:rPr>
          <w:sz w:val="22"/>
          <w:szCs w:val="22"/>
        </w:rPr>
      </w:pPr>
    </w:p>
    <w:p w:rsidR="006224C2" w:rsidRPr="00295E71" w14:paraId="33684465" w14:textId="77777777">
      <w:pPr>
        <w:tabs>
          <w:tab w:val="left" w:pos="567"/>
        </w:tabs>
        <w:rPr>
          <w:sz w:val="22"/>
          <w:szCs w:val="22"/>
        </w:rPr>
      </w:pPr>
    </w:p>
    <w:p w:rsidR="006224C2" w:rsidRPr="00295E71" w14:paraId="4214B33A" w14:textId="77777777">
      <w:pPr>
        <w:tabs>
          <w:tab w:val="left" w:pos="567"/>
        </w:tabs>
        <w:rPr>
          <w:sz w:val="22"/>
          <w:szCs w:val="22"/>
        </w:rPr>
      </w:pPr>
    </w:p>
    <w:p w:rsidR="006224C2" w:rsidRPr="00295E71" w14:paraId="2F2C9E6C" w14:textId="77777777">
      <w:pPr>
        <w:tabs>
          <w:tab w:val="left" w:pos="567"/>
        </w:tabs>
        <w:rPr>
          <w:sz w:val="22"/>
          <w:szCs w:val="22"/>
        </w:rPr>
      </w:pPr>
    </w:p>
    <w:p w:rsidR="006224C2" w:rsidRPr="00295E71" w14:paraId="5DC673B8" w14:textId="77777777">
      <w:pPr>
        <w:tabs>
          <w:tab w:val="left" w:pos="567"/>
        </w:tabs>
        <w:rPr>
          <w:sz w:val="22"/>
          <w:szCs w:val="22"/>
        </w:rPr>
      </w:pPr>
    </w:p>
    <w:p w:rsidR="006224C2" w:rsidRPr="00295E71" w14:paraId="2152358F" w14:textId="77777777">
      <w:pPr>
        <w:tabs>
          <w:tab w:val="left" w:pos="567"/>
        </w:tabs>
        <w:rPr>
          <w:sz w:val="22"/>
          <w:szCs w:val="22"/>
        </w:rPr>
      </w:pPr>
    </w:p>
    <w:p w:rsidR="006224C2" w:rsidRPr="00295E71" w14:paraId="69DD6F03" w14:textId="77777777">
      <w:pPr>
        <w:tabs>
          <w:tab w:val="left" w:pos="567"/>
        </w:tabs>
        <w:rPr>
          <w:sz w:val="22"/>
          <w:szCs w:val="22"/>
        </w:rPr>
      </w:pPr>
    </w:p>
    <w:p w:rsidR="006224C2" w:rsidRPr="00295E71" w14:paraId="6EF8AB8A" w14:textId="77777777">
      <w:pPr>
        <w:tabs>
          <w:tab w:val="left" w:pos="567"/>
        </w:tabs>
        <w:rPr>
          <w:sz w:val="22"/>
          <w:szCs w:val="22"/>
        </w:rPr>
      </w:pPr>
    </w:p>
    <w:p w:rsidR="006224C2" w:rsidRPr="00295E71" w14:paraId="54D9CB16" w14:textId="77777777">
      <w:pPr>
        <w:pStyle w:val="Heading5"/>
        <w:keepNext w:val="0"/>
        <w:tabs>
          <w:tab w:val="left" w:pos="567"/>
        </w:tabs>
        <w:rPr>
          <w:lang w:val="it-IT"/>
        </w:rPr>
      </w:pPr>
    </w:p>
    <w:p w:rsidR="006224C2" w:rsidRPr="00295E71" w14:paraId="4250F1DE" w14:textId="77777777">
      <w:pPr>
        <w:rPr>
          <w:sz w:val="22"/>
          <w:szCs w:val="22"/>
        </w:rPr>
      </w:pPr>
    </w:p>
    <w:p w:rsidR="006224C2" w:rsidRPr="00295E71" w14:paraId="365BBA8D" w14:textId="77777777">
      <w:pPr>
        <w:pStyle w:val="BMCENTRED"/>
        <w:keepNext w:val="0"/>
      </w:pPr>
      <w:r w:rsidRPr="00295E71">
        <w:t>B. FOGLIO ILLUSTRATIVO</w:t>
      </w:r>
    </w:p>
    <w:p w:rsidR="002305EF" w:rsidRPr="00295E71" w:rsidP="002305EF" w14:paraId="78107216" w14:textId="77777777">
      <w:pPr>
        <w:pStyle w:val="Title"/>
        <w:tabs>
          <w:tab w:val="left" w:pos="567"/>
        </w:tabs>
        <w:rPr>
          <w:sz w:val="22"/>
          <w:szCs w:val="22"/>
        </w:rPr>
      </w:pPr>
      <w:r w:rsidRPr="00295E71">
        <w:rPr>
          <w:sz w:val="22"/>
          <w:szCs w:val="22"/>
        </w:rPr>
        <w:br w:type="page"/>
      </w:r>
      <w:r w:rsidRPr="00295E71">
        <w:rPr>
          <w:sz w:val="22"/>
          <w:szCs w:val="22"/>
        </w:rPr>
        <w:t>Foglio illustrativo: informazioni per il paziente</w:t>
      </w:r>
    </w:p>
    <w:p w:rsidR="002305EF" w:rsidRPr="00295E71" w:rsidP="002305EF" w14:paraId="29F59F0B" w14:textId="77777777">
      <w:pPr>
        <w:pStyle w:val="Title"/>
        <w:tabs>
          <w:tab w:val="left" w:pos="567"/>
        </w:tabs>
        <w:rPr>
          <w:sz w:val="22"/>
          <w:szCs w:val="22"/>
        </w:rPr>
      </w:pPr>
    </w:p>
    <w:p w:rsidR="002305EF" w:rsidRPr="00295E71" w:rsidP="002305EF" w14:paraId="4EE335F2" w14:textId="77777777">
      <w:pPr>
        <w:pStyle w:val="Title"/>
        <w:tabs>
          <w:tab w:val="left" w:pos="567"/>
        </w:tabs>
        <w:rPr>
          <w:b w:val="0"/>
          <w:bCs w:val="0"/>
          <w:sz w:val="22"/>
          <w:szCs w:val="22"/>
        </w:rPr>
      </w:pPr>
      <w:r w:rsidRPr="00295E71">
        <w:rPr>
          <w:sz w:val="22"/>
          <w:szCs w:val="22"/>
        </w:rPr>
        <w:t xml:space="preserve">Humira </w:t>
      </w:r>
      <w:r w:rsidRPr="00295E71">
        <w:rPr>
          <w:bCs w:val="0"/>
          <w:sz w:val="22"/>
          <w:szCs w:val="22"/>
        </w:rPr>
        <w:t>20 mg soluzione iniettabile in siringa pre-riempita</w:t>
      </w:r>
    </w:p>
    <w:p w:rsidR="002305EF" w:rsidRPr="00295E71" w:rsidP="002305EF" w14:paraId="7D9973A8" w14:textId="77777777">
      <w:pPr>
        <w:pStyle w:val="Title"/>
        <w:tabs>
          <w:tab w:val="left" w:pos="567"/>
        </w:tabs>
        <w:rPr>
          <w:b w:val="0"/>
          <w:bCs w:val="0"/>
          <w:sz w:val="22"/>
          <w:szCs w:val="22"/>
        </w:rPr>
      </w:pPr>
      <w:r w:rsidRPr="00295E71">
        <w:rPr>
          <w:b w:val="0"/>
          <w:bCs w:val="0"/>
          <w:sz w:val="22"/>
          <w:szCs w:val="22"/>
        </w:rPr>
        <w:t>adalimumab</w:t>
      </w:r>
    </w:p>
    <w:p w:rsidR="002305EF" w:rsidRPr="00295E71" w:rsidP="002305EF" w14:paraId="02F6DFB5" w14:textId="77777777">
      <w:pPr>
        <w:tabs>
          <w:tab w:val="left" w:pos="567"/>
        </w:tabs>
        <w:jc w:val="center"/>
        <w:rPr>
          <w:sz w:val="22"/>
          <w:szCs w:val="22"/>
        </w:rPr>
      </w:pPr>
    </w:p>
    <w:p w:rsidR="002305EF" w:rsidRPr="00295E71" w:rsidP="002305EF" w14:paraId="53F0D6FA" w14:textId="77777777">
      <w:pPr>
        <w:pStyle w:val="Heading8"/>
        <w:keepNext w:val="0"/>
        <w:tabs>
          <w:tab w:val="left" w:pos="567"/>
        </w:tabs>
      </w:pPr>
      <w:r w:rsidRPr="00295E71">
        <w:t>Legga attentamente questo foglio prima che il bambino inizi ad usare questo medicinale perché contiene informazioni importanti</w:t>
      </w:r>
      <w:r w:rsidRPr="00295E71" w:rsidR="001B17A1">
        <w:t>.</w:t>
      </w:r>
    </w:p>
    <w:p w:rsidR="002305EF" w:rsidRPr="00295E71" w:rsidP="002305EF" w14:paraId="597425D0" w14:textId="77777777">
      <w:pPr>
        <w:numPr>
          <w:ilvl w:val="0"/>
          <w:numId w:val="1"/>
        </w:numPr>
        <w:tabs>
          <w:tab w:val="left" w:pos="567"/>
        </w:tabs>
        <w:ind w:left="567" w:right="-2" w:hanging="567"/>
        <w:jc w:val="both"/>
        <w:rPr>
          <w:sz w:val="22"/>
          <w:szCs w:val="22"/>
        </w:rPr>
      </w:pPr>
      <w:r w:rsidRPr="00295E71">
        <w:rPr>
          <w:sz w:val="22"/>
          <w:szCs w:val="22"/>
        </w:rPr>
        <w:t>Conservi questo foglio. Potrebbe aver bisogno di leggerlo di nuovo.</w:t>
      </w:r>
    </w:p>
    <w:p w:rsidR="002305EF" w:rsidRPr="00295E71" w:rsidP="000D0B9B" w14:paraId="57DB8A1B" w14:textId="77777777">
      <w:pPr>
        <w:numPr>
          <w:ilvl w:val="0"/>
          <w:numId w:val="1"/>
        </w:numPr>
        <w:tabs>
          <w:tab w:val="left" w:pos="567"/>
        </w:tabs>
        <w:ind w:right="-2"/>
        <w:jc w:val="both"/>
        <w:rPr>
          <w:sz w:val="22"/>
          <w:szCs w:val="22"/>
        </w:rPr>
      </w:pPr>
      <w:r w:rsidRPr="00295E71">
        <w:rPr>
          <w:sz w:val="22"/>
          <w:szCs w:val="22"/>
        </w:rPr>
        <w:t xml:space="preserve">Il medico le consegnerà una </w:t>
      </w:r>
      <w:r w:rsidRPr="000D0B9B" w:rsidR="000D0B9B">
        <w:rPr>
          <w:b/>
          <w:sz w:val="22"/>
          <w:szCs w:val="22"/>
        </w:rPr>
        <w:t>Scheda Promemoria per il Paziente</w:t>
      </w:r>
      <w:r w:rsidRPr="00295E71">
        <w:rPr>
          <w:sz w:val="22"/>
          <w:szCs w:val="22"/>
        </w:rPr>
        <w:t>, che contiene importanti informazioni sulla sicurezza, che ha bisogno di sapere prima che il bambino inizi ad assumere Humira e durante il trattamento con Humira. Lei o il bambino conservate questa</w:t>
      </w:r>
      <w:r w:rsidR="00E15A82">
        <w:rPr>
          <w:b/>
          <w:sz w:val="22"/>
          <w:szCs w:val="22"/>
        </w:rPr>
        <w:t xml:space="preserve"> </w:t>
      </w:r>
      <w:r w:rsidRPr="000D0B9B" w:rsidR="00E15A82">
        <w:rPr>
          <w:b/>
          <w:sz w:val="22"/>
          <w:szCs w:val="22"/>
        </w:rPr>
        <w:t>Scheda Promemoria per il Paziente</w:t>
      </w:r>
      <w:r w:rsidRPr="00295E71">
        <w:rPr>
          <w:sz w:val="22"/>
          <w:szCs w:val="22"/>
        </w:rPr>
        <w:t>.</w:t>
      </w:r>
    </w:p>
    <w:p w:rsidR="002305EF" w:rsidRPr="00295E71" w:rsidP="002305EF" w14:paraId="1C4E1D14" w14:textId="77777777">
      <w:pPr>
        <w:numPr>
          <w:ilvl w:val="0"/>
          <w:numId w:val="1"/>
        </w:numPr>
        <w:tabs>
          <w:tab w:val="left" w:pos="567"/>
        </w:tabs>
        <w:ind w:left="567" w:right="-2" w:hanging="567"/>
        <w:jc w:val="both"/>
        <w:rPr>
          <w:sz w:val="22"/>
          <w:szCs w:val="22"/>
        </w:rPr>
      </w:pPr>
      <w:r w:rsidRPr="00295E71">
        <w:rPr>
          <w:sz w:val="22"/>
          <w:szCs w:val="22"/>
        </w:rPr>
        <w:t>Se ha qualsiasi dubbio, si rivolga al medico o al farmacista.</w:t>
      </w:r>
    </w:p>
    <w:p w:rsidR="002305EF" w:rsidRPr="00295E71" w:rsidP="002305EF" w14:paraId="7BBE57FC" w14:textId="77777777">
      <w:pPr>
        <w:numPr>
          <w:ilvl w:val="0"/>
          <w:numId w:val="1"/>
        </w:numPr>
        <w:tabs>
          <w:tab w:val="left" w:pos="567"/>
        </w:tabs>
        <w:ind w:left="567" w:right="-2" w:hanging="567"/>
        <w:jc w:val="both"/>
        <w:rPr>
          <w:sz w:val="22"/>
          <w:szCs w:val="22"/>
        </w:rPr>
      </w:pPr>
      <w:r w:rsidRPr="00295E71">
        <w:rPr>
          <w:sz w:val="22"/>
          <w:szCs w:val="22"/>
        </w:rPr>
        <w:t>Questo medicinale è stato prescritto soltanto per il bambino. Non lo dia ad altre persone, anche se i sintomi della malattia sono uguali a quelli del bambino, perchè potrebbe essere pericoloso.</w:t>
      </w:r>
    </w:p>
    <w:p w:rsidR="002305EF" w:rsidRPr="00295E71" w:rsidP="002305EF" w14:paraId="504268F0" w14:textId="77777777">
      <w:pPr>
        <w:tabs>
          <w:tab w:val="left" w:pos="540"/>
          <w:tab w:val="left" w:pos="567"/>
        </w:tabs>
        <w:ind w:left="540" w:right="-2" w:hanging="540"/>
        <w:jc w:val="both"/>
        <w:rPr>
          <w:sz w:val="22"/>
          <w:szCs w:val="22"/>
        </w:rPr>
      </w:pPr>
      <w:r w:rsidRPr="00295E71">
        <w:rPr>
          <w:sz w:val="22"/>
          <w:szCs w:val="22"/>
        </w:rPr>
        <w:t>-</w:t>
      </w:r>
      <w:r w:rsidRPr="00295E71">
        <w:rPr>
          <w:sz w:val="22"/>
          <w:szCs w:val="22"/>
        </w:rPr>
        <w:tab/>
        <w:t>Se il bambino manifesta un qualsiasi effetto indesiderato, compresi quelli non elencati in questo foglio, si rivolga al pediatra o al farmacista.Vedere paragrafo 4.</w:t>
      </w:r>
    </w:p>
    <w:p w:rsidR="002305EF" w:rsidRPr="00295E71" w:rsidP="002305EF" w14:paraId="1EC0ABE9" w14:textId="77777777">
      <w:pPr>
        <w:numPr>
          <w:ilvl w:val="12"/>
          <w:numId w:val="0"/>
        </w:numPr>
        <w:tabs>
          <w:tab w:val="left" w:pos="567"/>
        </w:tabs>
        <w:ind w:right="-2"/>
        <w:jc w:val="both"/>
        <w:rPr>
          <w:sz w:val="22"/>
          <w:szCs w:val="22"/>
          <w:u w:val="single"/>
        </w:rPr>
      </w:pPr>
    </w:p>
    <w:p w:rsidR="002305EF" w:rsidRPr="00295E71" w:rsidP="002305EF" w14:paraId="608FD29F" w14:textId="77777777">
      <w:pPr>
        <w:numPr>
          <w:ilvl w:val="12"/>
          <w:numId w:val="0"/>
        </w:numPr>
        <w:tabs>
          <w:tab w:val="left" w:pos="567"/>
        </w:tabs>
        <w:ind w:right="-2"/>
        <w:jc w:val="both"/>
        <w:rPr>
          <w:b/>
          <w:bCs/>
          <w:sz w:val="22"/>
          <w:szCs w:val="22"/>
        </w:rPr>
      </w:pPr>
      <w:r w:rsidRPr="00295E71">
        <w:rPr>
          <w:b/>
          <w:bCs/>
          <w:sz w:val="22"/>
          <w:szCs w:val="22"/>
        </w:rPr>
        <w:t>Contenuto di questo foglio</w:t>
      </w:r>
    </w:p>
    <w:p w:rsidR="002305EF" w:rsidRPr="00295E71" w:rsidP="002305EF" w14:paraId="08901AD2" w14:textId="77777777">
      <w:pPr>
        <w:tabs>
          <w:tab w:val="left" w:pos="567"/>
        </w:tabs>
        <w:ind w:left="567" w:right="-29" w:hanging="567"/>
        <w:jc w:val="both"/>
        <w:rPr>
          <w:sz w:val="22"/>
          <w:szCs w:val="22"/>
        </w:rPr>
      </w:pPr>
      <w:r w:rsidRPr="00295E71">
        <w:rPr>
          <w:sz w:val="22"/>
          <w:szCs w:val="22"/>
        </w:rPr>
        <w:t>1.</w:t>
      </w:r>
      <w:r w:rsidRPr="00295E71">
        <w:rPr>
          <w:sz w:val="22"/>
          <w:szCs w:val="22"/>
        </w:rPr>
        <w:tab/>
        <w:t>Cos’è Humira e a cosa serve</w:t>
      </w:r>
    </w:p>
    <w:p w:rsidR="002305EF" w:rsidRPr="00295E71" w:rsidP="002305EF" w14:paraId="1B61A3D6" w14:textId="77777777">
      <w:pPr>
        <w:tabs>
          <w:tab w:val="left" w:pos="567"/>
        </w:tabs>
        <w:ind w:left="567" w:right="-29" w:hanging="567"/>
        <w:jc w:val="both"/>
        <w:rPr>
          <w:sz w:val="22"/>
          <w:szCs w:val="22"/>
        </w:rPr>
      </w:pPr>
      <w:r w:rsidRPr="00295E71">
        <w:rPr>
          <w:sz w:val="22"/>
          <w:szCs w:val="22"/>
        </w:rPr>
        <w:t>2.</w:t>
      </w:r>
      <w:r w:rsidRPr="00295E71">
        <w:rPr>
          <w:sz w:val="22"/>
          <w:szCs w:val="22"/>
        </w:rPr>
        <w:tab/>
        <w:t>Cosa deve sapere prima che il bambino usi Humira</w:t>
      </w:r>
    </w:p>
    <w:p w:rsidR="002305EF" w:rsidRPr="00295E71" w:rsidP="002305EF" w14:paraId="0BD70F67" w14:textId="77777777">
      <w:pPr>
        <w:tabs>
          <w:tab w:val="left" w:pos="567"/>
        </w:tabs>
        <w:ind w:left="567" w:right="-29" w:hanging="567"/>
        <w:jc w:val="both"/>
        <w:rPr>
          <w:sz w:val="22"/>
          <w:szCs w:val="22"/>
        </w:rPr>
      </w:pPr>
      <w:r w:rsidRPr="00295E71">
        <w:rPr>
          <w:sz w:val="22"/>
          <w:szCs w:val="22"/>
        </w:rPr>
        <w:t>3.</w:t>
      </w:r>
      <w:r w:rsidRPr="00295E71">
        <w:rPr>
          <w:sz w:val="22"/>
          <w:szCs w:val="22"/>
        </w:rPr>
        <w:tab/>
        <w:t>Come usare Humira</w:t>
      </w:r>
    </w:p>
    <w:p w:rsidR="002305EF" w:rsidRPr="00295E71" w:rsidP="002305EF" w14:paraId="5476A0E8" w14:textId="77777777">
      <w:pPr>
        <w:tabs>
          <w:tab w:val="left" w:pos="567"/>
        </w:tabs>
        <w:ind w:left="567" w:right="-29" w:hanging="567"/>
        <w:jc w:val="both"/>
        <w:rPr>
          <w:sz w:val="22"/>
          <w:szCs w:val="22"/>
        </w:rPr>
      </w:pPr>
      <w:r w:rsidRPr="00295E71">
        <w:rPr>
          <w:sz w:val="22"/>
          <w:szCs w:val="22"/>
        </w:rPr>
        <w:t>4.</w:t>
      </w:r>
      <w:r w:rsidRPr="00295E71">
        <w:rPr>
          <w:sz w:val="22"/>
          <w:szCs w:val="22"/>
        </w:rPr>
        <w:tab/>
        <w:t>Possibili effetti indesiderati</w:t>
      </w:r>
    </w:p>
    <w:p w:rsidR="002305EF" w:rsidRPr="00295E71" w:rsidP="002305EF" w14:paraId="6607D0DA" w14:textId="77777777">
      <w:pPr>
        <w:tabs>
          <w:tab w:val="left" w:pos="567"/>
        </w:tabs>
        <w:ind w:left="567" w:right="-29" w:hanging="567"/>
        <w:jc w:val="both"/>
        <w:rPr>
          <w:sz w:val="22"/>
          <w:szCs w:val="22"/>
        </w:rPr>
      </w:pPr>
      <w:r w:rsidRPr="00295E71">
        <w:rPr>
          <w:sz w:val="22"/>
          <w:szCs w:val="22"/>
        </w:rPr>
        <w:t>5.</w:t>
      </w:r>
      <w:r w:rsidRPr="00295E71">
        <w:rPr>
          <w:sz w:val="22"/>
          <w:szCs w:val="22"/>
        </w:rPr>
        <w:tab/>
        <w:t>Come conservare Humira</w:t>
      </w:r>
    </w:p>
    <w:p w:rsidR="002305EF" w:rsidRPr="00295E71" w:rsidP="002305EF" w14:paraId="54E41C9A" w14:textId="77777777">
      <w:pPr>
        <w:tabs>
          <w:tab w:val="left" w:pos="567"/>
        </w:tabs>
        <w:ind w:left="567" w:right="-29" w:hanging="567"/>
        <w:jc w:val="both"/>
        <w:rPr>
          <w:sz w:val="22"/>
          <w:szCs w:val="22"/>
        </w:rPr>
      </w:pPr>
      <w:r w:rsidRPr="00295E71">
        <w:rPr>
          <w:sz w:val="22"/>
          <w:szCs w:val="22"/>
        </w:rPr>
        <w:t>6.</w:t>
      </w:r>
      <w:r w:rsidRPr="00295E71">
        <w:rPr>
          <w:sz w:val="22"/>
          <w:szCs w:val="22"/>
        </w:rPr>
        <w:tab/>
        <w:t>Contenuto della confezione e altre informazioni</w:t>
      </w:r>
    </w:p>
    <w:p w:rsidR="002305EF" w:rsidRPr="00295E71" w:rsidP="002305EF" w14:paraId="4E2A1EE1" w14:textId="77777777">
      <w:pPr>
        <w:tabs>
          <w:tab w:val="left" w:pos="567"/>
        </w:tabs>
        <w:ind w:left="567" w:right="-29" w:hanging="567"/>
        <w:jc w:val="both"/>
        <w:rPr>
          <w:sz w:val="22"/>
          <w:szCs w:val="22"/>
        </w:rPr>
      </w:pPr>
      <w:r w:rsidRPr="00295E71">
        <w:rPr>
          <w:sz w:val="22"/>
          <w:szCs w:val="22"/>
        </w:rPr>
        <w:t>7.</w:t>
      </w:r>
      <w:r w:rsidRPr="00295E71">
        <w:rPr>
          <w:sz w:val="22"/>
          <w:szCs w:val="22"/>
        </w:rPr>
        <w:tab/>
      </w:r>
      <w:r w:rsidRPr="00DE4C54" w:rsidR="00DE4C54">
        <w:rPr>
          <w:sz w:val="22"/>
          <w:szCs w:val="22"/>
        </w:rPr>
        <w:t>Iniezione di Humira</w:t>
      </w:r>
    </w:p>
    <w:p w:rsidR="002305EF" w:rsidRPr="00295E71" w:rsidP="002305EF" w14:paraId="40EF7CE6" w14:textId="77777777">
      <w:pPr>
        <w:numPr>
          <w:ilvl w:val="12"/>
          <w:numId w:val="0"/>
        </w:numPr>
        <w:tabs>
          <w:tab w:val="left" w:pos="567"/>
        </w:tabs>
        <w:ind w:right="-2"/>
        <w:jc w:val="both"/>
        <w:rPr>
          <w:sz w:val="22"/>
          <w:szCs w:val="22"/>
        </w:rPr>
      </w:pPr>
    </w:p>
    <w:p w:rsidR="002305EF" w:rsidRPr="00295E71" w:rsidP="002305EF" w14:paraId="3E975141" w14:textId="77777777">
      <w:pPr>
        <w:numPr>
          <w:ilvl w:val="12"/>
          <w:numId w:val="0"/>
        </w:numPr>
        <w:tabs>
          <w:tab w:val="left" w:pos="567"/>
        </w:tabs>
        <w:ind w:right="-2"/>
        <w:jc w:val="both"/>
        <w:rPr>
          <w:sz w:val="22"/>
          <w:szCs w:val="22"/>
        </w:rPr>
      </w:pPr>
    </w:p>
    <w:p w:rsidR="002305EF" w:rsidRPr="00295E71" w:rsidP="002305EF" w14:paraId="4E151250" w14:textId="77777777">
      <w:pPr>
        <w:numPr>
          <w:ilvl w:val="12"/>
          <w:numId w:val="0"/>
        </w:numPr>
        <w:tabs>
          <w:tab w:val="left" w:pos="567"/>
        </w:tabs>
        <w:ind w:left="567" w:right="-2" w:hanging="567"/>
        <w:jc w:val="both"/>
        <w:rPr>
          <w:b/>
          <w:bCs/>
          <w:sz w:val="22"/>
          <w:szCs w:val="22"/>
        </w:rPr>
      </w:pPr>
      <w:r w:rsidRPr="00295E71">
        <w:rPr>
          <w:b/>
          <w:bCs/>
          <w:sz w:val="22"/>
          <w:szCs w:val="22"/>
        </w:rPr>
        <w:t>1.</w:t>
      </w:r>
      <w:r w:rsidRPr="00295E71">
        <w:rPr>
          <w:b/>
          <w:bCs/>
          <w:sz w:val="22"/>
          <w:szCs w:val="22"/>
        </w:rPr>
        <w:tab/>
        <w:t>Cos’è Humira e a cosa serve</w:t>
      </w:r>
    </w:p>
    <w:p w:rsidR="002305EF" w:rsidRPr="00295E71" w:rsidP="002305EF" w14:paraId="196C6FE4" w14:textId="77777777">
      <w:pPr>
        <w:numPr>
          <w:ilvl w:val="12"/>
          <w:numId w:val="0"/>
        </w:numPr>
        <w:tabs>
          <w:tab w:val="left" w:pos="567"/>
        </w:tabs>
        <w:ind w:right="-2"/>
        <w:jc w:val="both"/>
        <w:rPr>
          <w:sz w:val="22"/>
          <w:szCs w:val="22"/>
        </w:rPr>
      </w:pPr>
    </w:p>
    <w:p w:rsidR="00C850C3" w:rsidRPr="00295E71" w:rsidP="002305EF" w14:paraId="700D35B9" w14:textId="77777777">
      <w:pPr>
        <w:tabs>
          <w:tab w:val="left" w:pos="567"/>
        </w:tabs>
        <w:jc w:val="both"/>
        <w:rPr>
          <w:sz w:val="22"/>
          <w:szCs w:val="22"/>
        </w:rPr>
      </w:pPr>
      <w:r w:rsidRPr="00295E71">
        <w:rPr>
          <w:sz w:val="22"/>
          <w:szCs w:val="22"/>
        </w:rPr>
        <w:t xml:space="preserve">Humira contiene il principio attivo adalimumab. </w:t>
      </w:r>
    </w:p>
    <w:p w:rsidR="00C850C3" w:rsidRPr="00295E71" w:rsidP="002305EF" w14:paraId="45D2E761" w14:textId="77777777">
      <w:pPr>
        <w:tabs>
          <w:tab w:val="left" w:pos="567"/>
        </w:tabs>
        <w:jc w:val="both"/>
        <w:rPr>
          <w:sz w:val="22"/>
          <w:szCs w:val="22"/>
        </w:rPr>
      </w:pPr>
    </w:p>
    <w:p w:rsidR="002305EF" w:rsidRPr="00295E71" w:rsidP="002305EF" w14:paraId="470340BD" w14:textId="77777777">
      <w:pPr>
        <w:tabs>
          <w:tab w:val="left" w:pos="567"/>
        </w:tabs>
        <w:jc w:val="both"/>
        <w:rPr>
          <w:sz w:val="22"/>
          <w:szCs w:val="22"/>
        </w:rPr>
      </w:pPr>
      <w:r w:rsidRPr="00295E71">
        <w:rPr>
          <w:sz w:val="22"/>
          <w:szCs w:val="22"/>
        </w:rPr>
        <w:t xml:space="preserve">Humira </w:t>
      </w:r>
      <w:r w:rsidRPr="00295E71" w:rsidR="00C850C3">
        <w:rPr>
          <w:sz w:val="22"/>
          <w:szCs w:val="22"/>
        </w:rPr>
        <w:t xml:space="preserve">è indicato per il trattamento delle </w:t>
      </w:r>
      <w:r w:rsidRPr="00295E71" w:rsidR="0076619A">
        <w:rPr>
          <w:sz w:val="22"/>
          <w:szCs w:val="22"/>
        </w:rPr>
        <w:t>malattie</w:t>
      </w:r>
      <w:r w:rsidRPr="00295E71" w:rsidR="00C850C3">
        <w:rPr>
          <w:sz w:val="22"/>
          <w:szCs w:val="22"/>
        </w:rPr>
        <w:t xml:space="preserve"> infiammatorie di seguito elencate:</w:t>
      </w:r>
    </w:p>
    <w:p w:rsidR="002305EF" w:rsidRPr="00295E71" w:rsidP="002305EF" w14:paraId="62D77DF5" w14:textId="77777777">
      <w:pPr>
        <w:tabs>
          <w:tab w:val="left" w:pos="567"/>
        </w:tabs>
        <w:jc w:val="both"/>
        <w:rPr>
          <w:sz w:val="22"/>
          <w:szCs w:val="22"/>
        </w:rPr>
      </w:pPr>
    </w:p>
    <w:p w:rsidR="002305EF" w:rsidRPr="00295E71" w:rsidP="002305EF" w14:paraId="0007FE0B" w14:textId="77777777">
      <w:pPr>
        <w:pStyle w:val="ListParagraph"/>
        <w:numPr>
          <w:ilvl w:val="0"/>
          <w:numId w:val="132"/>
        </w:numPr>
        <w:tabs>
          <w:tab w:val="left" w:pos="567"/>
        </w:tabs>
        <w:jc w:val="both"/>
        <w:rPr>
          <w:sz w:val="22"/>
          <w:szCs w:val="22"/>
        </w:rPr>
      </w:pPr>
      <w:r w:rsidRPr="00295E71">
        <w:rPr>
          <w:sz w:val="22"/>
          <w:szCs w:val="22"/>
        </w:rPr>
        <w:t xml:space="preserve">Artrite idiopatica giovanile poliarticolare </w:t>
      </w:r>
    </w:p>
    <w:p w:rsidR="002305EF" w:rsidRPr="00295E71" w:rsidP="002305EF" w14:paraId="4DA99DE6" w14:textId="77777777">
      <w:pPr>
        <w:pStyle w:val="ListParagraph"/>
        <w:numPr>
          <w:ilvl w:val="0"/>
          <w:numId w:val="132"/>
        </w:numPr>
        <w:tabs>
          <w:tab w:val="left" w:pos="567"/>
        </w:tabs>
        <w:jc w:val="both"/>
        <w:rPr>
          <w:sz w:val="22"/>
          <w:szCs w:val="22"/>
        </w:rPr>
      </w:pPr>
      <w:r w:rsidRPr="00295E71">
        <w:rPr>
          <w:sz w:val="22"/>
          <w:szCs w:val="22"/>
        </w:rPr>
        <w:t xml:space="preserve">Artrite associata ad entesite </w:t>
      </w:r>
    </w:p>
    <w:p w:rsidR="002305EF" w:rsidRPr="00295E71" w:rsidP="002305EF" w14:paraId="7F1B5958" w14:textId="77777777">
      <w:pPr>
        <w:pStyle w:val="ListParagraph"/>
        <w:numPr>
          <w:ilvl w:val="0"/>
          <w:numId w:val="132"/>
        </w:numPr>
        <w:tabs>
          <w:tab w:val="left" w:pos="567"/>
        </w:tabs>
        <w:jc w:val="both"/>
        <w:rPr>
          <w:sz w:val="22"/>
          <w:szCs w:val="22"/>
        </w:rPr>
      </w:pPr>
      <w:r w:rsidRPr="00295E71">
        <w:rPr>
          <w:sz w:val="22"/>
          <w:szCs w:val="22"/>
        </w:rPr>
        <w:t>Psoriasi a placche</w:t>
      </w:r>
      <w:r w:rsidRPr="00295E71" w:rsidR="00C850C3">
        <w:rPr>
          <w:sz w:val="22"/>
          <w:szCs w:val="22"/>
        </w:rPr>
        <w:t xml:space="preserve"> pediatrica</w:t>
      </w:r>
    </w:p>
    <w:p w:rsidR="002305EF" w:rsidRPr="00295E71" w:rsidP="00C850C3" w14:paraId="573F75CF" w14:textId="77777777">
      <w:pPr>
        <w:pStyle w:val="ListParagraph"/>
        <w:numPr>
          <w:ilvl w:val="0"/>
          <w:numId w:val="132"/>
        </w:numPr>
        <w:tabs>
          <w:tab w:val="left" w:pos="567"/>
        </w:tabs>
        <w:jc w:val="both"/>
        <w:rPr>
          <w:sz w:val="22"/>
          <w:szCs w:val="22"/>
        </w:rPr>
      </w:pPr>
      <w:r w:rsidRPr="00295E71">
        <w:rPr>
          <w:sz w:val="22"/>
          <w:szCs w:val="22"/>
        </w:rPr>
        <w:t>Malattia di Crohn</w:t>
      </w:r>
      <w:r w:rsidRPr="00295E71" w:rsidR="00C850C3">
        <w:rPr>
          <w:sz w:val="22"/>
          <w:szCs w:val="22"/>
        </w:rPr>
        <w:t xml:space="preserve"> in pazienti pediatrici</w:t>
      </w:r>
    </w:p>
    <w:p w:rsidR="002305EF" w:rsidRPr="00295E71" w:rsidP="002305EF" w14:paraId="38977552" w14:textId="77777777">
      <w:pPr>
        <w:pStyle w:val="ListParagraph"/>
        <w:numPr>
          <w:ilvl w:val="0"/>
          <w:numId w:val="132"/>
        </w:numPr>
        <w:tabs>
          <w:tab w:val="left" w:pos="567"/>
        </w:tabs>
        <w:jc w:val="both"/>
        <w:rPr>
          <w:sz w:val="22"/>
          <w:szCs w:val="22"/>
        </w:rPr>
      </w:pPr>
      <w:r w:rsidRPr="00295E71">
        <w:rPr>
          <w:sz w:val="22"/>
          <w:szCs w:val="22"/>
        </w:rPr>
        <w:t xml:space="preserve">Uveite </w:t>
      </w:r>
      <w:r w:rsidRPr="00295E71" w:rsidR="00C850C3">
        <w:rPr>
          <w:sz w:val="22"/>
          <w:szCs w:val="22"/>
        </w:rPr>
        <w:t>pediatrica</w:t>
      </w:r>
    </w:p>
    <w:p w:rsidR="002305EF" w:rsidRPr="00295E71" w:rsidP="002305EF" w14:paraId="257C8C94" w14:textId="77777777">
      <w:pPr>
        <w:tabs>
          <w:tab w:val="left" w:pos="567"/>
        </w:tabs>
        <w:jc w:val="both"/>
        <w:rPr>
          <w:sz w:val="22"/>
          <w:szCs w:val="22"/>
        </w:rPr>
      </w:pPr>
    </w:p>
    <w:p w:rsidR="002305EF" w:rsidRPr="00295E71" w:rsidP="002305EF" w14:paraId="3629CFAD" w14:textId="77777777">
      <w:pPr>
        <w:tabs>
          <w:tab w:val="left" w:pos="567"/>
        </w:tabs>
        <w:jc w:val="both"/>
        <w:rPr>
          <w:sz w:val="22"/>
          <w:szCs w:val="22"/>
        </w:rPr>
      </w:pPr>
      <w:r w:rsidRPr="00295E71">
        <w:rPr>
          <w:sz w:val="22"/>
          <w:szCs w:val="22"/>
        </w:rPr>
        <w:t xml:space="preserve">Il principio attivo contenuto in Humira, adalimumab, </w:t>
      </w:r>
      <w:r w:rsidRPr="00295E71" w:rsidR="00460F50">
        <w:rPr>
          <w:sz w:val="22"/>
          <w:szCs w:val="22"/>
        </w:rPr>
        <w:t xml:space="preserve">è un anticorpo monoclonale umano. Gli anticorpi monoclonali sono proteine che </w:t>
      </w:r>
      <w:r w:rsidRPr="00295E71" w:rsidR="00174A33">
        <w:rPr>
          <w:sz w:val="22"/>
          <w:szCs w:val="22"/>
        </w:rPr>
        <w:t xml:space="preserve">si </w:t>
      </w:r>
      <w:r w:rsidRPr="00295E71" w:rsidR="00460F50">
        <w:rPr>
          <w:sz w:val="22"/>
          <w:szCs w:val="22"/>
        </w:rPr>
        <w:t>legano ad un bersaglio specifico.</w:t>
      </w:r>
    </w:p>
    <w:p w:rsidR="00460F50" w:rsidRPr="00295E71" w:rsidP="002305EF" w14:paraId="7D10E561" w14:textId="77777777">
      <w:pPr>
        <w:tabs>
          <w:tab w:val="left" w:pos="567"/>
        </w:tabs>
        <w:jc w:val="both"/>
        <w:rPr>
          <w:sz w:val="22"/>
          <w:szCs w:val="22"/>
        </w:rPr>
      </w:pPr>
    </w:p>
    <w:p w:rsidR="00174A33" w:rsidRPr="00295E71" w:rsidP="002305EF" w14:paraId="0C3CA9A9" w14:textId="77777777">
      <w:pPr>
        <w:tabs>
          <w:tab w:val="left" w:pos="567"/>
        </w:tabs>
        <w:jc w:val="both"/>
        <w:rPr>
          <w:noProof/>
          <w:color w:val="000000"/>
          <w:sz w:val="22"/>
          <w:szCs w:val="22"/>
        </w:rPr>
      </w:pPr>
      <w:r w:rsidRPr="00295E71">
        <w:rPr>
          <w:sz w:val="22"/>
          <w:szCs w:val="22"/>
        </w:rPr>
        <w:t>Il bersaglio di adalimumab è una proteina denominata fattore di necrosi tumorale (TNF</w:t>
      </w:r>
      <w:r w:rsidRPr="00295E71">
        <w:rPr>
          <w:noProof/>
          <w:color w:val="000000"/>
          <w:sz w:val="22"/>
          <w:szCs w:val="22"/>
        </w:rPr>
        <w:t>α</w:t>
      </w:r>
      <w:r w:rsidRPr="00295E71">
        <w:rPr>
          <w:sz w:val="22"/>
          <w:szCs w:val="22"/>
        </w:rPr>
        <w:t xml:space="preserve">), che è coinvolto nel sistema immunitario (di difesa) ed è presente a concentrazioni maggiori nelle </w:t>
      </w:r>
      <w:r w:rsidRPr="00295E71" w:rsidR="00B85FEE">
        <w:rPr>
          <w:sz w:val="22"/>
          <w:szCs w:val="22"/>
        </w:rPr>
        <w:t>malattie</w:t>
      </w:r>
      <w:r w:rsidRPr="00295E71">
        <w:rPr>
          <w:sz w:val="22"/>
          <w:szCs w:val="22"/>
        </w:rPr>
        <w:t xml:space="preserve"> infiammatorie elencate sopra. Attraverso il legame al TNF</w:t>
      </w:r>
      <w:r w:rsidRPr="00295E71">
        <w:rPr>
          <w:noProof/>
          <w:color w:val="000000"/>
          <w:sz w:val="22"/>
          <w:szCs w:val="22"/>
        </w:rPr>
        <w:t xml:space="preserve">α, Humira diminuisce il processo infiammatorio di queste </w:t>
      </w:r>
      <w:r w:rsidRPr="00295E71" w:rsidR="0076619A">
        <w:rPr>
          <w:noProof/>
          <w:color w:val="000000"/>
          <w:sz w:val="22"/>
          <w:szCs w:val="22"/>
        </w:rPr>
        <w:t>malattie</w:t>
      </w:r>
      <w:r w:rsidRPr="00295E71">
        <w:rPr>
          <w:noProof/>
          <w:color w:val="000000"/>
          <w:sz w:val="22"/>
          <w:szCs w:val="22"/>
        </w:rPr>
        <w:t>.</w:t>
      </w:r>
    </w:p>
    <w:p w:rsidR="00174A33" w:rsidRPr="00295E71" w:rsidP="002305EF" w14:paraId="0E456FC5" w14:textId="77777777">
      <w:pPr>
        <w:tabs>
          <w:tab w:val="left" w:pos="567"/>
        </w:tabs>
        <w:jc w:val="both"/>
        <w:rPr>
          <w:sz w:val="22"/>
          <w:szCs w:val="22"/>
        </w:rPr>
      </w:pPr>
      <w:r w:rsidRPr="00295E71">
        <w:rPr>
          <w:sz w:val="22"/>
          <w:szCs w:val="22"/>
        </w:rPr>
        <w:t xml:space="preserve"> </w:t>
      </w:r>
    </w:p>
    <w:p w:rsidR="002305EF" w:rsidRPr="00295E71" w:rsidP="002305EF" w14:paraId="18DD94F6" w14:textId="77777777">
      <w:pPr>
        <w:numPr>
          <w:ilvl w:val="12"/>
          <w:numId w:val="0"/>
        </w:numPr>
        <w:tabs>
          <w:tab w:val="left" w:pos="567"/>
        </w:tabs>
        <w:ind w:right="-2"/>
        <w:jc w:val="both"/>
        <w:rPr>
          <w:sz w:val="22"/>
          <w:szCs w:val="22"/>
        </w:rPr>
      </w:pPr>
      <w:r w:rsidRPr="00295E71">
        <w:rPr>
          <w:sz w:val="22"/>
          <w:szCs w:val="22"/>
          <w:u w:val="single"/>
        </w:rPr>
        <w:t>Artrite idiopatica giovanile poliarticolare</w:t>
      </w:r>
    </w:p>
    <w:p w:rsidR="002305EF" w:rsidRPr="00295E71" w:rsidP="002305EF" w14:paraId="07A86448" w14:textId="77777777">
      <w:pPr>
        <w:numPr>
          <w:ilvl w:val="12"/>
          <w:numId w:val="0"/>
        </w:numPr>
        <w:tabs>
          <w:tab w:val="left" w:pos="567"/>
        </w:tabs>
        <w:ind w:right="-2"/>
        <w:jc w:val="both"/>
        <w:rPr>
          <w:sz w:val="22"/>
          <w:szCs w:val="22"/>
        </w:rPr>
      </w:pPr>
    </w:p>
    <w:p w:rsidR="002305EF" w:rsidRPr="00295E71" w:rsidP="002305EF" w14:paraId="621BD97F" w14:textId="77777777">
      <w:pPr>
        <w:numPr>
          <w:ilvl w:val="12"/>
          <w:numId w:val="0"/>
        </w:numPr>
        <w:tabs>
          <w:tab w:val="left" w:pos="567"/>
        </w:tabs>
        <w:ind w:right="-2"/>
        <w:jc w:val="both"/>
        <w:rPr>
          <w:sz w:val="22"/>
          <w:szCs w:val="22"/>
        </w:rPr>
      </w:pPr>
      <w:r w:rsidRPr="00295E71">
        <w:rPr>
          <w:sz w:val="22"/>
          <w:szCs w:val="22"/>
        </w:rPr>
        <w:t xml:space="preserve">L’artrite idiopatica giovanile poliarticolare </w:t>
      </w:r>
      <w:r w:rsidRPr="00295E71" w:rsidR="002D0B35">
        <w:rPr>
          <w:sz w:val="22"/>
          <w:szCs w:val="22"/>
        </w:rPr>
        <w:t>è una malattia infiammatoria delle articolazioni</w:t>
      </w:r>
      <w:r w:rsidRPr="00295E71" w:rsidR="00174A33">
        <w:rPr>
          <w:sz w:val="22"/>
          <w:szCs w:val="22"/>
        </w:rPr>
        <w:t xml:space="preserve"> che di solito </w:t>
      </w:r>
      <w:r w:rsidRPr="00295E71" w:rsidR="00B85FEE">
        <w:rPr>
          <w:sz w:val="22"/>
          <w:szCs w:val="22"/>
        </w:rPr>
        <w:t xml:space="preserve">inizia a </w:t>
      </w:r>
      <w:r w:rsidRPr="00295E71" w:rsidR="00174A33">
        <w:rPr>
          <w:sz w:val="22"/>
          <w:szCs w:val="22"/>
        </w:rPr>
        <w:t>manifesta</w:t>
      </w:r>
      <w:r w:rsidRPr="00295E71" w:rsidR="00B85FEE">
        <w:rPr>
          <w:sz w:val="22"/>
          <w:szCs w:val="22"/>
        </w:rPr>
        <w:t>rsi</w:t>
      </w:r>
      <w:r w:rsidRPr="00295E71" w:rsidR="00174A33">
        <w:rPr>
          <w:sz w:val="22"/>
          <w:szCs w:val="22"/>
        </w:rPr>
        <w:t xml:space="preserve"> durante l’infanzia.</w:t>
      </w:r>
    </w:p>
    <w:p w:rsidR="002305EF" w:rsidRPr="00295E71" w:rsidP="002305EF" w14:paraId="6173D7F1" w14:textId="77777777">
      <w:pPr>
        <w:numPr>
          <w:ilvl w:val="12"/>
          <w:numId w:val="0"/>
        </w:numPr>
        <w:tabs>
          <w:tab w:val="left" w:pos="567"/>
        </w:tabs>
        <w:ind w:right="-2"/>
        <w:jc w:val="both"/>
        <w:rPr>
          <w:sz w:val="22"/>
          <w:szCs w:val="22"/>
        </w:rPr>
      </w:pPr>
    </w:p>
    <w:p w:rsidR="002305EF" w:rsidRPr="00295E71" w:rsidP="00DA5FB6" w14:paraId="34302D97" w14:textId="77777777">
      <w:pPr>
        <w:numPr>
          <w:ilvl w:val="12"/>
          <w:numId w:val="0"/>
        </w:numPr>
        <w:tabs>
          <w:tab w:val="left" w:pos="567"/>
        </w:tabs>
        <w:ind w:right="-2"/>
        <w:jc w:val="both"/>
        <w:rPr>
          <w:sz w:val="22"/>
          <w:szCs w:val="22"/>
        </w:rPr>
      </w:pPr>
      <w:r w:rsidRPr="00295E71">
        <w:rPr>
          <w:sz w:val="22"/>
          <w:szCs w:val="22"/>
        </w:rPr>
        <w:t>Humira è usato per trattare l’artrite idiopatica giovanile poliarticolare</w:t>
      </w:r>
      <w:r w:rsidRPr="00295E71" w:rsidR="002D0B35">
        <w:rPr>
          <w:sz w:val="22"/>
          <w:szCs w:val="22"/>
        </w:rPr>
        <w:t xml:space="preserve"> in pazienti di età pari o superiore a 2 anni.</w:t>
      </w:r>
      <w:r w:rsidRPr="00295E71">
        <w:rPr>
          <w:sz w:val="22"/>
          <w:szCs w:val="22"/>
        </w:rPr>
        <w:t xml:space="preserve"> </w:t>
      </w:r>
      <w:r w:rsidRPr="00295E71" w:rsidR="003B4972">
        <w:rPr>
          <w:sz w:val="22"/>
          <w:szCs w:val="22"/>
        </w:rPr>
        <w:t>Inizialmente</w:t>
      </w:r>
      <w:r w:rsidRPr="00295E71">
        <w:rPr>
          <w:sz w:val="22"/>
          <w:szCs w:val="22"/>
        </w:rPr>
        <w:t xml:space="preserve"> possono essere somministrati</w:t>
      </w:r>
      <w:r w:rsidRPr="00295E71" w:rsidR="002D0B35">
        <w:rPr>
          <w:sz w:val="22"/>
          <w:szCs w:val="22"/>
        </w:rPr>
        <w:t xml:space="preserve"> </w:t>
      </w:r>
      <w:r w:rsidR="00DE4C54">
        <w:rPr>
          <w:sz w:val="22"/>
          <w:szCs w:val="22"/>
        </w:rPr>
        <w:t xml:space="preserve">al bambino </w:t>
      </w:r>
      <w:r w:rsidRPr="00295E71" w:rsidR="003B4972">
        <w:rPr>
          <w:sz w:val="22"/>
          <w:szCs w:val="22"/>
        </w:rPr>
        <w:t>altri</w:t>
      </w:r>
      <w:r w:rsidRPr="00295E71">
        <w:rPr>
          <w:sz w:val="22"/>
          <w:szCs w:val="22"/>
        </w:rPr>
        <w:t xml:space="preserve"> farmaci modificanti la malattia, come il metotressato. Se </w:t>
      </w:r>
      <w:r w:rsidRPr="00295E71" w:rsidR="00CF62F8">
        <w:rPr>
          <w:sz w:val="22"/>
          <w:szCs w:val="22"/>
        </w:rPr>
        <w:t xml:space="preserve">questi medicinali non funzionano bene abbastanza, </w:t>
      </w:r>
      <w:r w:rsidR="00DE4C54">
        <w:rPr>
          <w:sz w:val="22"/>
          <w:szCs w:val="22"/>
        </w:rPr>
        <w:t>al bambino</w:t>
      </w:r>
      <w:r w:rsidRPr="00295E71" w:rsidR="00CF62F8">
        <w:rPr>
          <w:sz w:val="22"/>
          <w:szCs w:val="22"/>
        </w:rPr>
        <w:t xml:space="preserve"> </w:t>
      </w:r>
      <w:r w:rsidRPr="00295E71">
        <w:rPr>
          <w:sz w:val="22"/>
          <w:szCs w:val="22"/>
        </w:rPr>
        <w:t>sarà somministrato Humira</w:t>
      </w:r>
      <w:r w:rsidRPr="00295E71" w:rsidR="00CF62F8">
        <w:rPr>
          <w:sz w:val="22"/>
          <w:szCs w:val="22"/>
        </w:rPr>
        <w:t xml:space="preserve"> per trattare l</w:t>
      </w:r>
      <w:r w:rsidR="00514E08">
        <w:rPr>
          <w:sz w:val="22"/>
          <w:szCs w:val="22"/>
        </w:rPr>
        <w:t>’</w:t>
      </w:r>
      <w:r w:rsidRPr="00295E71" w:rsidR="00CF62F8">
        <w:rPr>
          <w:sz w:val="22"/>
          <w:szCs w:val="22"/>
        </w:rPr>
        <w:t>artrite idiopatica giovanile poliarticolare</w:t>
      </w:r>
      <w:r w:rsidRPr="00295E71">
        <w:rPr>
          <w:sz w:val="22"/>
          <w:szCs w:val="22"/>
        </w:rPr>
        <w:t>.</w:t>
      </w:r>
    </w:p>
    <w:p w:rsidR="002305EF" w:rsidRPr="00295E71" w:rsidP="002305EF" w14:paraId="3751C90E" w14:textId="77777777">
      <w:pPr>
        <w:numPr>
          <w:ilvl w:val="12"/>
          <w:numId w:val="0"/>
        </w:numPr>
        <w:tabs>
          <w:tab w:val="left" w:pos="567"/>
        </w:tabs>
        <w:ind w:right="-2"/>
        <w:jc w:val="both"/>
        <w:rPr>
          <w:sz w:val="22"/>
          <w:szCs w:val="22"/>
        </w:rPr>
      </w:pPr>
    </w:p>
    <w:p w:rsidR="002D0B35" w:rsidRPr="00295E71" w:rsidP="002305EF" w14:paraId="579AF7B3" w14:textId="77777777">
      <w:pPr>
        <w:numPr>
          <w:ilvl w:val="12"/>
          <w:numId w:val="0"/>
        </w:numPr>
        <w:tabs>
          <w:tab w:val="left" w:pos="567"/>
        </w:tabs>
        <w:ind w:right="-2"/>
        <w:jc w:val="both"/>
        <w:rPr>
          <w:sz w:val="22"/>
          <w:szCs w:val="22"/>
        </w:rPr>
      </w:pPr>
      <w:r w:rsidRPr="00295E71">
        <w:rPr>
          <w:sz w:val="22"/>
          <w:szCs w:val="22"/>
        </w:rPr>
        <w:t>Il medico deciderà se Humira deve essere assunto con il metotressato oppure da solo.</w:t>
      </w:r>
    </w:p>
    <w:p w:rsidR="002D0B35" w:rsidRPr="00295E71" w:rsidP="002305EF" w14:paraId="6F1D7128" w14:textId="77777777">
      <w:pPr>
        <w:numPr>
          <w:ilvl w:val="12"/>
          <w:numId w:val="0"/>
        </w:numPr>
        <w:tabs>
          <w:tab w:val="left" w:pos="567"/>
        </w:tabs>
        <w:ind w:right="-2"/>
        <w:jc w:val="both"/>
        <w:rPr>
          <w:sz w:val="22"/>
          <w:szCs w:val="22"/>
        </w:rPr>
      </w:pPr>
    </w:p>
    <w:p w:rsidR="002D0B35" w:rsidRPr="00295E71" w:rsidP="002305EF" w14:paraId="578AF148" w14:textId="77777777">
      <w:pPr>
        <w:numPr>
          <w:ilvl w:val="12"/>
          <w:numId w:val="0"/>
        </w:numPr>
        <w:tabs>
          <w:tab w:val="left" w:pos="567"/>
        </w:tabs>
        <w:ind w:right="-2"/>
        <w:jc w:val="both"/>
        <w:rPr>
          <w:sz w:val="22"/>
          <w:szCs w:val="22"/>
          <w:u w:val="single"/>
        </w:rPr>
      </w:pPr>
      <w:r w:rsidRPr="00295E71">
        <w:rPr>
          <w:sz w:val="22"/>
          <w:szCs w:val="22"/>
          <w:u w:val="single"/>
        </w:rPr>
        <w:t>Artrite associata ad entesite</w:t>
      </w:r>
    </w:p>
    <w:p w:rsidR="002D0B35" w:rsidRPr="00295E71" w:rsidP="002305EF" w14:paraId="08574AC6" w14:textId="77777777">
      <w:pPr>
        <w:numPr>
          <w:ilvl w:val="12"/>
          <w:numId w:val="0"/>
        </w:numPr>
        <w:tabs>
          <w:tab w:val="left" w:pos="567"/>
        </w:tabs>
        <w:ind w:right="-2"/>
        <w:jc w:val="both"/>
        <w:rPr>
          <w:sz w:val="22"/>
          <w:szCs w:val="22"/>
        </w:rPr>
      </w:pPr>
    </w:p>
    <w:p w:rsidR="002D0B35" w:rsidRPr="00295E71" w:rsidP="002D0B35" w14:paraId="17DC4BD3" w14:textId="77777777">
      <w:pPr>
        <w:tabs>
          <w:tab w:val="left" w:pos="567"/>
        </w:tabs>
        <w:rPr>
          <w:sz w:val="22"/>
          <w:szCs w:val="22"/>
        </w:rPr>
      </w:pPr>
      <w:r w:rsidRPr="00295E71">
        <w:rPr>
          <w:sz w:val="22"/>
          <w:szCs w:val="22"/>
        </w:rPr>
        <w:t>L’artrite associata ad entesite è una malattia infiammatoria delle articolazioni e delle zone nelle quali i tendini si legano alle ossa.</w:t>
      </w:r>
    </w:p>
    <w:p w:rsidR="002D0B35" w:rsidRPr="00295E71" w:rsidP="002305EF" w14:paraId="79559279" w14:textId="77777777">
      <w:pPr>
        <w:numPr>
          <w:ilvl w:val="12"/>
          <w:numId w:val="0"/>
        </w:numPr>
        <w:tabs>
          <w:tab w:val="left" w:pos="567"/>
        </w:tabs>
        <w:ind w:right="-2"/>
        <w:jc w:val="both"/>
        <w:rPr>
          <w:sz w:val="22"/>
          <w:szCs w:val="22"/>
        </w:rPr>
      </w:pPr>
    </w:p>
    <w:p w:rsidR="002D0B35" w:rsidRPr="00295E71" w:rsidP="002D0B35" w14:paraId="62E12E55" w14:textId="77777777">
      <w:pPr>
        <w:tabs>
          <w:tab w:val="left" w:pos="567"/>
        </w:tabs>
        <w:rPr>
          <w:sz w:val="22"/>
          <w:szCs w:val="22"/>
        </w:rPr>
      </w:pPr>
      <w:r w:rsidRPr="00295E71">
        <w:rPr>
          <w:sz w:val="22"/>
          <w:szCs w:val="22"/>
        </w:rPr>
        <w:t xml:space="preserve">Humira è usato per trattare l’artrite associata ad entesite in pazienti di età pari o superiore a 6 anni. </w:t>
      </w:r>
    </w:p>
    <w:p w:rsidR="00CF62F8" w:rsidRPr="00295E71" w:rsidP="00CF62F8" w14:paraId="73BB4ED0" w14:textId="77777777">
      <w:pPr>
        <w:numPr>
          <w:ilvl w:val="12"/>
          <w:numId w:val="0"/>
        </w:numPr>
        <w:tabs>
          <w:tab w:val="left" w:pos="567"/>
        </w:tabs>
        <w:ind w:right="-2"/>
        <w:jc w:val="both"/>
        <w:rPr>
          <w:sz w:val="22"/>
          <w:szCs w:val="22"/>
        </w:rPr>
      </w:pPr>
      <w:r w:rsidRPr="00295E71">
        <w:rPr>
          <w:sz w:val="22"/>
          <w:szCs w:val="22"/>
        </w:rPr>
        <w:t>Inizialmente possono essere</w:t>
      </w:r>
      <w:r w:rsidRPr="00295E71" w:rsidR="003B4972">
        <w:rPr>
          <w:sz w:val="22"/>
          <w:szCs w:val="22"/>
        </w:rPr>
        <w:t xml:space="preserve"> somministrati </w:t>
      </w:r>
      <w:r w:rsidR="00DE4C54">
        <w:rPr>
          <w:sz w:val="22"/>
          <w:szCs w:val="22"/>
        </w:rPr>
        <w:t xml:space="preserve">al bambino </w:t>
      </w:r>
      <w:r w:rsidRPr="00295E71">
        <w:rPr>
          <w:sz w:val="22"/>
          <w:szCs w:val="22"/>
        </w:rPr>
        <w:t xml:space="preserve">altri </w:t>
      </w:r>
      <w:r w:rsidRPr="00295E71" w:rsidR="00B85FEE">
        <w:rPr>
          <w:sz w:val="22"/>
          <w:szCs w:val="22"/>
        </w:rPr>
        <w:t>medicinali</w:t>
      </w:r>
      <w:r w:rsidRPr="00295E71">
        <w:rPr>
          <w:sz w:val="22"/>
          <w:szCs w:val="22"/>
        </w:rPr>
        <w:t xml:space="preserve"> modificanti la malattia, come il metotressato. Se questi medicinali non funzionano bene abbastanza, </w:t>
      </w:r>
      <w:r w:rsidR="00DE4C54">
        <w:rPr>
          <w:sz w:val="22"/>
          <w:szCs w:val="22"/>
        </w:rPr>
        <w:t>al bambino</w:t>
      </w:r>
      <w:r w:rsidRPr="00295E71">
        <w:rPr>
          <w:sz w:val="22"/>
          <w:szCs w:val="22"/>
        </w:rPr>
        <w:t xml:space="preserve"> sarà somministrato Humira per trattare l</w:t>
      </w:r>
      <w:r w:rsidR="00514E08">
        <w:rPr>
          <w:sz w:val="22"/>
          <w:szCs w:val="22"/>
        </w:rPr>
        <w:t>’</w:t>
      </w:r>
      <w:r w:rsidRPr="00295E71">
        <w:rPr>
          <w:sz w:val="22"/>
          <w:szCs w:val="22"/>
        </w:rPr>
        <w:t>artrite associata ad entesite.</w:t>
      </w:r>
    </w:p>
    <w:p w:rsidR="002D0B35" w:rsidRPr="00295E71" w:rsidP="002305EF" w14:paraId="73CB7CE4" w14:textId="77777777">
      <w:pPr>
        <w:numPr>
          <w:ilvl w:val="12"/>
          <w:numId w:val="0"/>
        </w:numPr>
        <w:tabs>
          <w:tab w:val="left" w:pos="567"/>
        </w:tabs>
        <w:ind w:right="-2"/>
        <w:jc w:val="both"/>
        <w:rPr>
          <w:sz w:val="22"/>
          <w:szCs w:val="22"/>
        </w:rPr>
      </w:pPr>
    </w:p>
    <w:p w:rsidR="002305EF" w:rsidRPr="00295E71" w:rsidP="002305EF" w14:paraId="6083366E" w14:textId="77777777">
      <w:pPr>
        <w:keepNext/>
        <w:rPr>
          <w:sz w:val="22"/>
          <w:szCs w:val="22"/>
          <w:u w:val="single"/>
        </w:rPr>
      </w:pPr>
      <w:r w:rsidRPr="00295E71">
        <w:rPr>
          <w:sz w:val="22"/>
          <w:szCs w:val="22"/>
          <w:u w:val="single"/>
        </w:rPr>
        <w:t xml:space="preserve">Psoriasi a placche </w:t>
      </w:r>
      <w:r w:rsidRPr="00295E71" w:rsidR="00CF62F8">
        <w:rPr>
          <w:sz w:val="22"/>
          <w:szCs w:val="22"/>
          <w:u w:val="single"/>
        </w:rPr>
        <w:t>pediatrica</w:t>
      </w:r>
    </w:p>
    <w:p w:rsidR="002305EF" w:rsidRPr="00295E71" w:rsidP="002305EF" w14:paraId="24CC00B1" w14:textId="77777777">
      <w:pPr>
        <w:keepNext/>
        <w:numPr>
          <w:ilvl w:val="12"/>
          <w:numId w:val="0"/>
        </w:numPr>
        <w:tabs>
          <w:tab w:val="left" w:pos="567"/>
        </w:tabs>
        <w:ind w:right="-2"/>
        <w:jc w:val="both"/>
        <w:rPr>
          <w:sz w:val="22"/>
          <w:szCs w:val="22"/>
        </w:rPr>
      </w:pPr>
    </w:p>
    <w:p w:rsidR="002305EF" w:rsidRPr="00295E71" w:rsidP="002305EF" w14:paraId="41433AE7" w14:textId="77777777">
      <w:pPr>
        <w:keepNext/>
        <w:numPr>
          <w:ilvl w:val="12"/>
          <w:numId w:val="0"/>
        </w:numPr>
        <w:tabs>
          <w:tab w:val="left" w:pos="567"/>
        </w:tabs>
        <w:ind w:right="-2"/>
        <w:jc w:val="both"/>
        <w:rPr>
          <w:sz w:val="22"/>
          <w:szCs w:val="22"/>
        </w:rPr>
      </w:pPr>
      <w:r w:rsidRPr="00295E71">
        <w:rPr>
          <w:sz w:val="22"/>
          <w:szCs w:val="22"/>
        </w:rPr>
        <w:t xml:space="preserve">La psoriasi a placche è una condizione della pelle che causa chiazze rossastre, squamose e indurite di pelle ricoperta da squame argentee. </w:t>
      </w:r>
      <w:r w:rsidRPr="00295E71" w:rsidR="00CF62F8">
        <w:rPr>
          <w:sz w:val="22"/>
          <w:szCs w:val="22"/>
        </w:rPr>
        <w:t>La psoriasi a placche può anche interessare le unghie</w:t>
      </w:r>
      <w:r w:rsidRPr="00295E71" w:rsidR="0076619A">
        <w:rPr>
          <w:sz w:val="22"/>
          <w:szCs w:val="22"/>
        </w:rPr>
        <w:t>, provocandone il loro sgretolamento, ispessimento e sollevamento dal letto ungueale che può essere doloroso. Si ritiene che la psoriasi sia dovuta ad un problema del sistema immunitario che determina una produzione aumentata di cellule della pelle.</w:t>
      </w:r>
      <w:r w:rsidRPr="00295E71" w:rsidR="00CF62F8">
        <w:rPr>
          <w:sz w:val="22"/>
          <w:szCs w:val="22"/>
        </w:rPr>
        <w:t xml:space="preserve"> </w:t>
      </w:r>
    </w:p>
    <w:p w:rsidR="002305EF" w:rsidRPr="00295E71" w:rsidP="002305EF" w14:paraId="4B377706" w14:textId="77777777">
      <w:pPr>
        <w:numPr>
          <w:ilvl w:val="12"/>
          <w:numId w:val="0"/>
        </w:numPr>
        <w:tabs>
          <w:tab w:val="left" w:pos="567"/>
        </w:tabs>
        <w:ind w:right="-2"/>
        <w:jc w:val="both"/>
        <w:rPr>
          <w:sz w:val="22"/>
          <w:szCs w:val="22"/>
        </w:rPr>
      </w:pPr>
    </w:p>
    <w:p w:rsidR="002305EF" w:rsidRPr="00295E71" w:rsidP="002305EF" w14:paraId="29DE097B" w14:textId="77777777">
      <w:pPr>
        <w:numPr>
          <w:ilvl w:val="12"/>
          <w:numId w:val="0"/>
        </w:numPr>
        <w:tabs>
          <w:tab w:val="left" w:pos="567"/>
        </w:tabs>
        <w:ind w:right="-2"/>
        <w:jc w:val="both"/>
        <w:rPr>
          <w:sz w:val="22"/>
          <w:szCs w:val="22"/>
        </w:rPr>
      </w:pPr>
      <w:r w:rsidRPr="00295E71">
        <w:rPr>
          <w:sz w:val="22"/>
          <w:szCs w:val="22"/>
        </w:rPr>
        <w:t>Humira è utilizzato per trattare la psoriasi a placche</w:t>
      </w:r>
      <w:r w:rsidRPr="00295E71" w:rsidR="003B4972">
        <w:rPr>
          <w:sz w:val="22"/>
          <w:szCs w:val="22"/>
        </w:rPr>
        <w:t xml:space="preserve"> cronica</w:t>
      </w:r>
      <w:r w:rsidRPr="00295E71">
        <w:rPr>
          <w:sz w:val="22"/>
          <w:szCs w:val="22"/>
        </w:rPr>
        <w:t xml:space="preserve"> grave in bambini e adolescenti </w:t>
      </w:r>
      <w:r w:rsidRPr="00295E71" w:rsidR="003B4972">
        <w:rPr>
          <w:sz w:val="22"/>
          <w:szCs w:val="22"/>
        </w:rPr>
        <w:t>di età compresa tra</w:t>
      </w:r>
      <w:r w:rsidRPr="00295E71">
        <w:rPr>
          <w:sz w:val="22"/>
          <w:szCs w:val="22"/>
        </w:rPr>
        <w:t xml:space="preserve"> 4 </w:t>
      </w:r>
      <w:r w:rsidRPr="00295E71" w:rsidR="003B4972">
        <w:rPr>
          <w:sz w:val="22"/>
          <w:szCs w:val="22"/>
        </w:rPr>
        <w:t>e</w:t>
      </w:r>
      <w:r w:rsidRPr="00295E71">
        <w:rPr>
          <w:sz w:val="22"/>
          <w:szCs w:val="22"/>
        </w:rPr>
        <w:t xml:space="preserve"> 17 anni </w:t>
      </w:r>
      <w:r w:rsidRPr="00295E71" w:rsidR="003B4972">
        <w:rPr>
          <w:sz w:val="22"/>
          <w:szCs w:val="22"/>
        </w:rPr>
        <w:t>per i</w:t>
      </w:r>
      <w:r w:rsidRPr="00295E71">
        <w:rPr>
          <w:sz w:val="22"/>
          <w:szCs w:val="22"/>
        </w:rPr>
        <w:t xml:space="preserve"> quali la terapia topica e le fototerapie non abbiano funzionato in modo ottimale o non siano indicate.</w:t>
      </w:r>
    </w:p>
    <w:p w:rsidR="002305EF" w:rsidRPr="00295E71" w:rsidP="002305EF" w14:paraId="461E8787" w14:textId="77777777">
      <w:pPr>
        <w:numPr>
          <w:ilvl w:val="12"/>
          <w:numId w:val="0"/>
        </w:numPr>
        <w:tabs>
          <w:tab w:val="left" w:pos="567"/>
        </w:tabs>
        <w:ind w:right="-2"/>
        <w:jc w:val="both"/>
        <w:rPr>
          <w:sz w:val="22"/>
          <w:szCs w:val="22"/>
        </w:rPr>
      </w:pPr>
    </w:p>
    <w:p w:rsidR="002305EF" w:rsidRPr="00295E71" w:rsidP="002305EF" w14:paraId="1C4229B3" w14:textId="77777777">
      <w:pPr>
        <w:numPr>
          <w:ilvl w:val="12"/>
          <w:numId w:val="0"/>
        </w:numPr>
        <w:tabs>
          <w:tab w:val="left" w:pos="567"/>
        </w:tabs>
        <w:ind w:right="-2"/>
        <w:jc w:val="both"/>
        <w:rPr>
          <w:sz w:val="22"/>
          <w:szCs w:val="22"/>
          <w:u w:val="single"/>
        </w:rPr>
      </w:pPr>
      <w:r w:rsidRPr="00295E71">
        <w:rPr>
          <w:sz w:val="22"/>
          <w:szCs w:val="22"/>
          <w:u w:val="single"/>
        </w:rPr>
        <w:t>Malattia di Crohn</w:t>
      </w:r>
      <w:r w:rsidRPr="00295E71" w:rsidR="0076619A">
        <w:rPr>
          <w:sz w:val="22"/>
          <w:szCs w:val="22"/>
          <w:u w:val="single"/>
        </w:rPr>
        <w:t xml:space="preserve"> in pazienti pediatrici</w:t>
      </w:r>
    </w:p>
    <w:p w:rsidR="002305EF" w:rsidRPr="00295E71" w:rsidP="002305EF" w14:paraId="314681D5" w14:textId="77777777">
      <w:pPr>
        <w:numPr>
          <w:ilvl w:val="12"/>
          <w:numId w:val="0"/>
        </w:numPr>
        <w:tabs>
          <w:tab w:val="left" w:pos="567"/>
        </w:tabs>
        <w:ind w:right="-2"/>
        <w:jc w:val="both"/>
        <w:rPr>
          <w:sz w:val="22"/>
          <w:szCs w:val="22"/>
        </w:rPr>
      </w:pPr>
    </w:p>
    <w:p w:rsidR="00B85FEE" w:rsidRPr="00295E71" w:rsidP="002305EF" w14:paraId="78EF9EFE" w14:textId="77777777">
      <w:pPr>
        <w:numPr>
          <w:ilvl w:val="12"/>
          <w:numId w:val="0"/>
        </w:numPr>
        <w:tabs>
          <w:tab w:val="left" w:pos="567"/>
        </w:tabs>
        <w:ind w:right="-2"/>
        <w:jc w:val="both"/>
        <w:rPr>
          <w:sz w:val="22"/>
          <w:szCs w:val="22"/>
        </w:rPr>
      </w:pPr>
      <w:r w:rsidRPr="00295E71">
        <w:rPr>
          <w:sz w:val="22"/>
          <w:szCs w:val="22"/>
        </w:rPr>
        <w:t xml:space="preserve">La malattia di Crohn è una malattia infiammatoria del tratto digestivo. </w:t>
      </w:r>
    </w:p>
    <w:p w:rsidR="00B85FEE" w:rsidRPr="00295E71" w:rsidP="002305EF" w14:paraId="1BB37594" w14:textId="77777777">
      <w:pPr>
        <w:numPr>
          <w:ilvl w:val="12"/>
          <w:numId w:val="0"/>
        </w:numPr>
        <w:tabs>
          <w:tab w:val="left" w:pos="567"/>
        </w:tabs>
        <w:ind w:right="-2"/>
        <w:jc w:val="both"/>
        <w:rPr>
          <w:sz w:val="22"/>
          <w:szCs w:val="22"/>
        </w:rPr>
      </w:pPr>
    </w:p>
    <w:p w:rsidR="00B85FEE" w:rsidRPr="00295E71" w:rsidP="002305EF" w14:paraId="4EB2799E" w14:textId="77777777">
      <w:pPr>
        <w:numPr>
          <w:ilvl w:val="12"/>
          <w:numId w:val="0"/>
        </w:numPr>
        <w:tabs>
          <w:tab w:val="left" w:pos="567"/>
        </w:tabs>
        <w:ind w:right="-2"/>
        <w:jc w:val="both"/>
        <w:rPr>
          <w:sz w:val="22"/>
          <w:szCs w:val="22"/>
        </w:rPr>
      </w:pPr>
      <w:r w:rsidRPr="00295E71">
        <w:rPr>
          <w:sz w:val="22"/>
          <w:szCs w:val="22"/>
        </w:rPr>
        <w:t xml:space="preserve">Humira è </w:t>
      </w:r>
      <w:r w:rsidRPr="00295E71" w:rsidR="008C5203">
        <w:rPr>
          <w:sz w:val="22"/>
          <w:szCs w:val="22"/>
        </w:rPr>
        <w:t xml:space="preserve">usato per trattare </w:t>
      </w:r>
      <w:r w:rsidRPr="00295E71">
        <w:rPr>
          <w:sz w:val="22"/>
          <w:szCs w:val="22"/>
        </w:rPr>
        <w:t xml:space="preserve">la malattia di Crohn </w:t>
      </w:r>
      <w:r w:rsidRPr="00295E71" w:rsidR="008C5203">
        <w:rPr>
          <w:sz w:val="22"/>
          <w:szCs w:val="22"/>
        </w:rPr>
        <w:t xml:space="preserve">di grado da moderato a severo </w:t>
      </w:r>
      <w:r w:rsidRPr="00295E71">
        <w:rPr>
          <w:sz w:val="22"/>
          <w:szCs w:val="22"/>
        </w:rPr>
        <w:t>nei bambini</w:t>
      </w:r>
      <w:r w:rsidRPr="00295E71" w:rsidR="00207E2A">
        <w:rPr>
          <w:sz w:val="22"/>
          <w:szCs w:val="22"/>
        </w:rPr>
        <w:t xml:space="preserve"> e adolescenti</w:t>
      </w:r>
      <w:r w:rsidRPr="00295E71">
        <w:rPr>
          <w:sz w:val="22"/>
          <w:szCs w:val="22"/>
        </w:rPr>
        <w:t xml:space="preserve"> di età </w:t>
      </w:r>
      <w:r w:rsidRPr="00295E71" w:rsidR="008C5203">
        <w:rPr>
          <w:sz w:val="22"/>
          <w:szCs w:val="22"/>
        </w:rPr>
        <w:t>compresa tra</w:t>
      </w:r>
      <w:r w:rsidRPr="00295E71">
        <w:rPr>
          <w:sz w:val="22"/>
          <w:szCs w:val="22"/>
        </w:rPr>
        <w:t xml:space="preserve"> 6 </w:t>
      </w:r>
      <w:r w:rsidRPr="00295E71" w:rsidR="008C5203">
        <w:rPr>
          <w:sz w:val="22"/>
          <w:szCs w:val="22"/>
        </w:rPr>
        <w:t>e</w:t>
      </w:r>
      <w:r w:rsidRPr="00295E71">
        <w:rPr>
          <w:sz w:val="22"/>
          <w:szCs w:val="22"/>
        </w:rPr>
        <w:t xml:space="preserve"> 17 anni. </w:t>
      </w:r>
    </w:p>
    <w:p w:rsidR="00B85FEE" w:rsidRPr="00295E71" w:rsidP="002305EF" w14:paraId="2FF08DD9" w14:textId="77777777">
      <w:pPr>
        <w:numPr>
          <w:ilvl w:val="12"/>
          <w:numId w:val="0"/>
        </w:numPr>
        <w:tabs>
          <w:tab w:val="left" w:pos="567"/>
        </w:tabs>
        <w:ind w:right="-2"/>
        <w:jc w:val="both"/>
        <w:rPr>
          <w:sz w:val="22"/>
          <w:szCs w:val="22"/>
        </w:rPr>
      </w:pPr>
    </w:p>
    <w:p w:rsidR="002305EF" w:rsidRPr="00295E71" w:rsidP="002305EF" w14:paraId="3A7E8371" w14:textId="77777777">
      <w:pPr>
        <w:numPr>
          <w:ilvl w:val="12"/>
          <w:numId w:val="0"/>
        </w:numPr>
        <w:tabs>
          <w:tab w:val="left" w:pos="567"/>
        </w:tabs>
        <w:ind w:right="-2"/>
        <w:jc w:val="both"/>
        <w:rPr>
          <w:sz w:val="22"/>
          <w:szCs w:val="22"/>
        </w:rPr>
      </w:pPr>
      <w:r>
        <w:rPr>
          <w:sz w:val="22"/>
          <w:szCs w:val="22"/>
        </w:rPr>
        <w:t>Al bambino</w:t>
      </w:r>
      <w:r w:rsidRPr="00295E71">
        <w:rPr>
          <w:sz w:val="22"/>
          <w:szCs w:val="22"/>
        </w:rPr>
        <w:t xml:space="preserve"> </w:t>
      </w:r>
      <w:r w:rsidRPr="00295E71" w:rsidR="00ED446A">
        <w:rPr>
          <w:sz w:val="22"/>
          <w:szCs w:val="22"/>
        </w:rPr>
        <w:t>possono essere somministrati inizialmente altri medicinali</w:t>
      </w:r>
      <w:r w:rsidRPr="00295E71">
        <w:rPr>
          <w:sz w:val="22"/>
          <w:szCs w:val="22"/>
        </w:rPr>
        <w:t xml:space="preserve">. </w:t>
      </w:r>
      <w:r w:rsidRPr="00295E71" w:rsidR="00ED446A">
        <w:rPr>
          <w:sz w:val="22"/>
          <w:szCs w:val="22"/>
        </w:rPr>
        <w:t xml:space="preserve">Se </w:t>
      </w:r>
      <w:r w:rsidRPr="00295E71" w:rsidR="0076619A">
        <w:rPr>
          <w:sz w:val="22"/>
          <w:szCs w:val="22"/>
        </w:rPr>
        <w:t xml:space="preserve">questi medicinali non funzionano bene abbastanza, </w:t>
      </w:r>
      <w:r>
        <w:rPr>
          <w:sz w:val="22"/>
          <w:szCs w:val="22"/>
        </w:rPr>
        <w:t>al bambino</w:t>
      </w:r>
      <w:r w:rsidRPr="00295E71" w:rsidR="0076619A">
        <w:rPr>
          <w:sz w:val="22"/>
          <w:szCs w:val="22"/>
        </w:rPr>
        <w:t xml:space="preserve"> sarà somministrato Humira per ridurre </w:t>
      </w:r>
      <w:r w:rsidRPr="00295E71" w:rsidR="00B85FEE">
        <w:rPr>
          <w:sz w:val="22"/>
          <w:szCs w:val="22"/>
        </w:rPr>
        <w:t>i segni</w:t>
      </w:r>
      <w:r w:rsidRPr="00295E71" w:rsidR="0076619A">
        <w:rPr>
          <w:sz w:val="22"/>
          <w:szCs w:val="22"/>
        </w:rPr>
        <w:t xml:space="preserve"> ed i sintomi della  malattia.</w:t>
      </w:r>
    </w:p>
    <w:p w:rsidR="002305EF" w:rsidRPr="00295E71" w:rsidP="002305EF" w14:paraId="22855614" w14:textId="77777777">
      <w:pPr>
        <w:numPr>
          <w:ilvl w:val="12"/>
          <w:numId w:val="0"/>
        </w:numPr>
        <w:tabs>
          <w:tab w:val="left" w:pos="567"/>
        </w:tabs>
        <w:ind w:right="-2"/>
        <w:jc w:val="both"/>
        <w:rPr>
          <w:sz w:val="22"/>
          <w:szCs w:val="22"/>
        </w:rPr>
      </w:pPr>
    </w:p>
    <w:p w:rsidR="002305EF" w:rsidRPr="00295E71" w:rsidP="002305EF" w14:paraId="7043F070" w14:textId="77777777">
      <w:pPr>
        <w:numPr>
          <w:ilvl w:val="12"/>
          <w:numId w:val="0"/>
        </w:numPr>
        <w:tabs>
          <w:tab w:val="left" w:pos="567"/>
        </w:tabs>
        <w:ind w:right="-2"/>
        <w:jc w:val="both"/>
        <w:rPr>
          <w:sz w:val="22"/>
          <w:szCs w:val="22"/>
          <w:u w:val="single"/>
        </w:rPr>
      </w:pPr>
      <w:r w:rsidRPr="00295E71">
        <w:rPr>
          <w:sz w:val="22"/>
          <w:szCs w:val="22"/>
          <w:u w:val="single"/>
        </w:rPr>
        <w:t xml:space="preserve">Uveite </w:t>
      </w:r>
      <w:r w:rsidRPr="00295E71" w:rsidR="0076619A">
        <w:rPr>
          <w:sz w:val="22"/>
          <w:szCs w:val="22"/>
          <w:u w:val="single"/>
        </w:rPr>
        <w:t>pediatrica</w:t>
      </w:r>
    </w:p>
    <w:p w:rsidR="002305EF" w:rsidRPr="00295E71" w:rsidP="002305EF" w14:paraId="796BFB36" w14:textId="77777777">
      <w:pPr>
        <w:numPr>
          <w:ilvl w:val="12"/>
          <w:numId w:val="0"/>
        </w:numPr>
        <w:tabs>
          <w:tab w:val="left" w:pos="567"/>
        </w:tabs>
        <w:ind w:right="-2"/>
        <w:jc w:val="both"/>
        <w:rPr>
          <w:sz w:val="22"/>
          <w:szCs w:val="22"/>
        </w:rPr>
      </w:pPr>
    </w:p>
    <w:p w:rsidR="002305EF" w:rsidRPr="00295E71" w:rsidP="002305EF" w14:paraId="3E9130A4" w14:textId="77777777">
      <w:pPr>
        <w:numPr>
          <w:ilvl w:val="12"/>
          <w:numId w:val="0"/>
        </w:numPr>
        <w:tabs>
          <w:tab w:val="left" w:pos="567"/>
        </w:tabs>
        <w:ind w:right="-2"/>
        <w:jc w:val="both"/>
        <w:rPr>
          <w:sz w:val="22"/>
          <w:szCs w:val="22"/>
        </w:rPr>
      </w:pPr>
      <w:r w:rsidRPr="00295E71">
        <w:rPr>
          <w:sz w:val="22"/>
          <w:szCs w:val="22"/>
        </w:rPr>
        <w:t>L’uveite non infettiva è una malattia infiammatoria che colpisce alcune parti dell’occhio.</w:t>
      </w:r>
    </w:p>
    <w:p w:rsidR="002305EF" w:rsidRPr="00295E71" w:rsidP="002305EF" w14:paraId="6303DE51" w14:textId="77777777">
      <w:pPr>
        <w:numPr>
          <w:ilvl w:val="12"/>
          <w:numId w:val="0"/>
        </w:numPr>
        <w:tabs>
          <w:tab w:val="left" w:pos="567"/>
        </w:tabs>
        <w:ind w:right="-2"/>
        <w:jc w:val="both"/>
        <w:rPr>
          <w:sz w:val="22"/>
          <w:szCs w:val="22"/>
        </w:rPr>
      </w:pPr>
    </w:p>
    <w:p w:rsidR="0076619A" w:rsidRPr="00295E71" w:rsidP="002305EF" w14:paraId="2674A1FE" w14:textId="77777777">
      <w:pPr>
        <w:numPr>
          <w:ilvl w:val="12"/>
          <w:numId w:val="0"/>
        </w:numPr>
        <w:tabs>
          <w:tab w:val="left" w:pos="567"/>
        </w:tabs>
        <w:ind w:right="-2"/>
        <w:jc w:val="both"/>
        <w:rPr>
          <w:sz w:val="22"/>
          <w:szCs w:val="22"/>
        </w:rPr>
      </w:pPr>
      <w:r w:rsidRPr="00295E71">
        <w:rPr>
          <w:sz w:val="22"/>
          <w:szCs w:val="22"/>
        </w:rPr>
        <w:t xml:space="preserve">Humira è utilizzato per il trattamento dei bambini </w:t>
      </w:r>
      <w:r w:rsidRPr="00295E71" w:rsidR="00224E13">
        <w:rPr>
          <w:sz w:val="22"/>
          <w:szCs w:val="22"/>
        </w:rPr>
        <w:t xml:space="preserve">con </w:t>
      </w:r>
      <w:r w:rsidRPr="00295E71">
        <w:rPr>
          <w:sz w:val="22"/>
          <w:szCs w:val="22"/>
        </w:rPr>
        <w:t>uveite cronica non infettiva</w:t>
      </w:r>
      <w:r w:rsidRPr="00295E71" w:rsidR="00651232">
        <w:rPr>
          <w:sz w:val="22"/>
          <w:szCs w:val="22"/>
        </w:rPr>
        <w:t xml:space="preserve"> di età pari o superiore a 2 anni</w:t>
      </w:r>
      <w:r w:rsidRPr="00295E71">
        <w:rPr>
          <w:sz w:val="22"/>
          <w:szCs w:val="22"/>
        </w:rPr>
        <w:t xml:space="preserve"> con infiammazione che interessa la parte anteriore dell’occhio. </w:t>
      </w:r>
    </w:p>
    <w:p w:rsidR="0076619A" w:rsidRPr="00295E71" w:rsidP="002305EF" w14:paraId="63775B92" w14:textId="77777777">
      <w:pPr>
        <w:numPr>
          <w:ilvl w:val="12"/>
          <w:numId w:val="0"/>
        </w:numPr>
        <w:tabs>
          <w:tab w:val="left" w:pos="567"/>
        </w:tabs>
        <w:ind w:right="-2"/>
        <w:jc w:val="both"/>
        <w:rPr>
          <w:sz w:val="22"/>
          <w:szCs w:val="22"/>
        </w:rPr>
      </w:pPr>
    </w:p>
    <w:p w:rsidR="002305EF" w:rsidRPr="00295E71" w:rsidP="002305EF" w14:paraId="7500E91F" w14:textId="77777777">
      <w:pPr>
        <w:numPr>
          <w:ilvl w:val="12"/>
          <w:numId w:val="0"/>
        </w:numPr>
        <w:tabs>
          <w:tab w:val="left" w:pos="567"/>
        </w:tabs>
        <w:ind w:right="-2"/>
        <w:jc w:val="both"/>
        <w:rPr>
          <w:sz w:val="22"/>
          <w:szCs w:val="22"/>
        </w:rPr>
      </w:pPr>
      <w:r w:rsidRPr="00295E71">
        <w:rPr>
          <w:sz w:val="22"/>
          <w:szCs w:val="22"/>
        </w:rPr>
        <w:t>Questa infiammazione può portare a una diminuzione della visione e/o alla presenza di corpi mobili nell’occhio (punti neri o linee sottili che si muovono attraverso il campo visivo). Humira agisce riducendo questa infiammazione.</w:t>
      </w:r>
    </w:p>
    <w:p w:rsidR="002305EF" w:rsidRPr="00295E71" w:rsidP="002305EF" w14:paraId="3EFC387B" w14:textId="77777777">
      <w:pPr>
        <w:numPr>
          <w:ilvl w:val="12"/>
          <w:numId w:val="0"/>
        </w:numPr>
        <w:tabs>
          <w:tab w:val="left" w:pos="567"/>
        </w:tabs>
        <w:ind w:left="567" w:right="-2" w:hanging="567"/>
        <w:jc w:val="both"/>
        <w:rPr>
          <w:b/>
          <w:bCs/>
          <w:sz w:val="22"/>
          <w:szCs w:val="22"/>
        </w:rPr>
      </w:pPr>
    </w:p>
    <w:p w:rsidR="0076619A" w:rsidRPr="00295E71" w:rsidP="0076619A" w14:paraId="6D0FA803" w14:textId="77777777">
      <w:pPr>
        <w:numPr>
          <w:ilvl w:val="12"/>
          <w:numId w:val="0"/>
        </w:numPr>
        <w:tabs>
          <w:tab w:val="left" w:pos="567"/>
        </w:tabs>
        <w:ind w:right="-2"/>
        <w:jc w:val="both"/>
        <w:rPr>
          <w:sz w:val="22"/>
          <w:szCs w:val="22"/>
        </w:rPr>
      </w:pPr>
      <w:r>
        <w:rPr>
          <w:sz w:val="22"/>
          <w:szCs w:val="22"/>
        </w:rPr>
        <w:t>Al bambino</w:t>
      </w:r>
      <w:r w:rsidRPr="00295E71">
        <w:rPr>
          <w:sz w:val="22"/>
          <w:szCs w:val="22"/>
        </w:rPr>
        <w:t xml:space="preserve"> possono essere somministrati inizialmente altri medicinali. Se questi medicinali non funzionano bene abbastanza, </w:t>
      </w:r>
      <w:r>
        <w:rPr>
          <w:sz w:val="22"/>
          <w:szCs w:val="22"/>
        </w:rPr>
        <w:t>al bambino</w:t>
      </w:r>
      <w:r w:rsidRPr="00295E71">
        <w:rPr>
          <w:sz w:val="22"/>
          <w:szCs w:val="22"/>
        </w:rPr>
        <w:t xml:space="preserve"> sarà somministrato Humira per ridurre </w:t>
      </w:r>
      <w:r w:rsidRPr="00295E71" w:rsidR="00B85FEE">
        <w:rPr>
          <w:sz w:val="22"/>
          <w:szCs w:val="22"/>
        </w:rPr>
        <w:t>i segni</w:t>
      </w:r>
      <w:r w:rsidRPr="00295E71">
        <w:rPr>
          <w:sz w:val="22"/>
          <w:szCs w:val="22"/>
        </w:rPr>
        <w:t xml:space="preserve"> ed i sintomi della  malattia.</w:t>
      </w:r>
    </w:p>
    <w:p w:rsidR="0076619A" w:rsidRPr="00295E71" w:rsidP="002305EF" w14:paraId="0CAD796C" w14:textId="77777777">
      <w:pPr>
        <w:numPr>
          <w:ilvl w:val="12"/>
          <w:numId w:val="0"/>
        </w:numPr>
        <w:tabs>
          <w:tab w:val="left" w:pos="567"/>
        </w:tabs>
        <w:ind w:left="567" w:right="-2" w:hanging="567"/>
        <w:jc w:val="both"/>
        <w:rPr>
          <w:b/>
          <w:bCs/>
          <w:sz w:val="22"/>
          <w:szCs w:val="22"/>
        </w:rPr>
      </w:pPr>
    </w:p>
    <w:p w:rsidR="002305EF" w:rsidRPr="00295E71" w:rsidP="002305EF" w14:paraId="7617E14C" w14:textId="77777777">
      <w:pPr>
        <w:numPr>
          <w:ilvl w:val="12"/>
          <w:numId w:val="0"/>
        </w:numPr>
        <w:tabs>
          <w:tab w:val="left" w:pos="567"/>
        </w:tabs>
        <w:ind w:left="567" w:right="-2" w:hanging="567"/>
        <w:jc w:val="both"/>
        <w:rPr>
          <w:b/>
          <w:bCs/>
          <w:sz w:val="22"/>
          <w:szCs w:val="22"/>
        </w:rPr>
      </w:pPr>
    </w:p>
    <w:p w:rsidR="002305EF" w:rsidRPr="00295E71" w:rsidP="002305EF" w14:paraId="0D2B223D" w14:textId="77777777">
      <w:pPr>
        <w:numPr>
          <w:ilvl w:val="12"/>
          <w:numId w:val="0"/>
        </w:numPr>
        <w:tabs>
          <w:tab w:val="left" w:pos="567"/>
        </w:tabs>
        <w:ind w:left="567" w:right="-2" w:hanging="567"/>
        <w:jc w:val="both"/>
        <w:rPr>
          <w:b/>
          <w:bCs/>
          <w:sz w:val="22"/>
          <w:szCs w:val="22"/>
        </w:rPr>
      </w:pPr>
      <w:r w:rsidRPr="00295E71">
        <w:rPr>
          <w:b/>
          <w:bCs/>
          <w:sz w:val="22"/>
          <w:szCs w:val="22"/>
        </w:rPr>
        <w:t>2.</w:t>
      </w:r>
      <w:r w:rsidRPr="00295E71">
        <w:rPr>
          <w:b/>
          <w:bCs/>
          <w:sz w:val="22"/>
          <w:szCs w:val="22"/>
        </w:rPr>
        <w:tab/>
        <w:t>Cosa deve sapere prima che il bambino usi Humira</w:t>
      </w:r>
    </w:p>
    <w:p w:rsidR="002305EF" w:rsidRPr="00295E71" w:rsidP="002305EF" w14:paraId="4ACD3AED" w14:textId="77777777">
      <w:pPr>
        <w:numPr>
          <w:ilvl w:val="12"/>
          <w:numId w:val="0"/>
        </w:numPr>
        <w:tabs>
          <w:tab w:val="left" w:pos="567"/>
        </w:tabs>
        <w:ind w:right="-2"/>
        <w:jc w:val="both"/>
        <w:rPr>
          <w:sz w:val="22"/>
          <w:szCs w:val="22"/>
        </w:rPr>
      </w:pPr>
    </w:p>
    <w:p w:rsidR="002305EF" w:rsidRPr="00295E71" w:rsidP="002305EF" w14:paraId="3E5A7BDA" w14:textId="77777777">
      <w:pPr>
        <w:numPr>
          <w:ilvl w:val="12"/>
          <w:numId w:val="0"/>
        </w:numPr>
        <w:tabs>
          <w:tab w:val="left" w:pos="567"/>
        </w:tabs>
        <w:jc w:val="both"/>
        <w:rPr>
          <w:b/>
          <w:bCs/>
          <w:sz w:val="22"/>
          <w:szCs w:val="22"/>
        </w:rPr>
      </w:pPr>
      <w:r w:rsidRPr="00295E71">
        <w:rPr>
          <w:b/>
          <w:bCs/>
          <w:sz w:val="22"/>
          <w:szCs w:val="22"/>
        </w:rPr>
        <w:t>Non usi Humira</w:t>
      </w:r>
    </w:p>
    <w:p w:rsidR="002305EF" w:rsidRPr="00295E71" w:rsidP="002305EF" w14:paraId="304E274C" w14:textId="77777777">
      <w:pPr>
        <w:pStyle w:val="EndnoteText"/>
        <w:numPr>
          <w:ilvl w:val="12"/>
          <w:numId w:val="0"/>
        </w:numPr>
        <w:jc w:val="both"/>
        <w:rPr>
          <w:lang w:val="it-IT"/>
        </w:rPr>
      </w:pPr>
    </w:p>
    <w:p w:rsidR="002305EF" w:rsidRPr="00295E71" w:rsidP="002305EF" w14:paraId="414664ED" w14:textId="77777777">
      <w:pPr>
        <w:numPr>
          <w:ilvl w:val="0"/>
          <w:numId w:val="5"/>
        </w:numPr>
        <w:tabs>
          <w:tab w:val="clear" w:pos="360"/>
          <w:tab w:val="left" w:pos="540"/>
        </w:tabs>
        <w:ind w:left="540" w:hanging="540"/>
        <w:jc w:val="both"/>
        <w:rPr>
          <w:sz w:val="22"/>
          <w:szCs w:val="22"/>
        </w:rPr>
      </w:pPr>
      <w:r w:rsidRPr="00295E71">
        <w:rPr>
          <w:sz w:val="22"/>
          <w:szCs w:val="22"/>
        </w:rPr>
        <w:t>Se il bambino è allergico ad adalimumab o ad uno qualsiasi degli altri componenti di questo medicinale (elencati al paragrafo 6).</w:t>
      </w:r>
    </w:p>
    <w:p w:rsidR="002305EF" w:rsidRPr="00295E71" w:rsidP="002305EF" w14:paraId="449ABB87" w14:textId="77777777">
      <w:pPr>
        <w:tabs>
          <w:tab w:val="left" w:pos="567"/>
        </w:tabs>
        <w:jc w:val="both"/>
        <w:rPr>
          <w:sz w:val="22"/>
          <w:szCs w:val="22"/>
        </w:rPr>
      </w:pPr>
    </w:p>
    <w:p w:rsidR="002305EF" w:rsidRPr="00295E71" w:rsidP="002305EF" w14:paraId="7F19054D" w14:textId="77777777">
      <w:pPr>
        <w:numPr>
          <w:ilvl w:val="0"/>
          <w:numId w:val="5"/>
        </w:numPr>
        <w:tabs>
          <w:tab w:val="clear" w:pos="360"/>
          <w:tab w:val="left" w:pos="540"/>
        </w:tabs>
        <w:ind w:left="540" w:hanging="540"/>
        <w:jc w:val="both"/>
        <w:rPr>
          <w:sz w:val="22"/>
          <w:szCs w:val="22"/>
        </w:rPr>
      </w:pPr>
      <w:r w:rsidRPr="00295E71">
        <w:rPr>
          <w:sz w:val="22"/>
          <w:szCs w:val="22"/>
        </w:rPr>
        <w:t>In presenza di tubercolosi attiva</w:t>
      </w:r>
      <w:r w:rsidRPr="00295E71" w:rsidR="003E028E">
        <w:rPr>
          <w:sz w:val="22"/>
          <w:szCs w:val="22"/>
        </w:rPr>
        <w:t xml:space="preserve"> o altre infezioni gravi</w:t>
      </w:r>
      <w:r w:rsidRPr="00295E71">
        <w:rPr>
          <w:sz w:val="22"/>
          <w:szCs w:val="22"/>
        </w:rPr>
        <w:t xml:space="preserve"> (vedere “Avvertenze e precauzioni”). È importante comunicare al medico se il bambino ha sintomi di infezione, </w:t>
      </w:r>
      <w:r w:rsidRPr="00295E71" w:rsidR="003E028E">
        <w:rPr>
          <w:sz w:val="22"/>
          <w:szCs w:val="22"/>
        </w:rPr>
        <w:t>ad esempio,</w:t>
      </w:r>
      <w:r w:rsidRPr="00295E71">
        <w:rPr>
          <w:sz w:val="22"/>
          <w:szCs w:val="22"/>
        </w:rPr>
        <w:t xml:space="preserve"> febbre, ferite, sensazione di stanchezza, problemi dentali.</w:t>
      </w:r>
    </w:p>
    <w:p w:rsidR="002305EF" w:rsidRPr="00295E71" w:rsidP="002305EF" w14:paraId="7DED6450" w14:textId="77777777">
      <w:pPr>
        <w:tabs>
          <w:tab w:val="left" w:pos="567"/>
        </w:tabs>
        <w:jc w:val="both"/>
        <w:rPr>
          <w:sz w:val="22"/>
          <w:szCs w:val="22"/>
        </w:rPr>
      </w:pPr>
    </w:p>
    <w:p w:rsidR="002305EF" w:rsidRPr="00295E71" w:rsidP="002305EF" w14:paraId="172E4F52" w14:textId="77777777">
      <w:pPr>
        <w:numPr>
          <w:ilvl w:val="0"/>
          <w:numId w:val="5"/>
        </w:numPr>
        <w:tabs>
          <w:tab w:val="clear" w:pos="360"/>
          <w:tab w:val="left" w:pos="540"/>
        </w:tabs>
        <w:ind w:left="540" w:hanging="540"/>
        <w:jc w:val="both"/>
        <w:rPr>
          <w:sz w:val="22"/>
          <w:szCs w:val="22"/>
        </w:rPr>
      </w:pPr>
      <w:r w:rsidRPr="00295E71">
        <w:rPr>
          <w:sz w:val="22"/>
          <w:szCs w:val="22"/>
        </w:rPr>
        <w:t>In presenza di insufficienza cardiaca moderata o grave. È importante riferire al medico se c’è stata o è presente una condizione cardiaca grave (vedere “Avvertenze e precauzioni”).</w:t>
      </w:r>
    </w:p>
    <w:p w:rsidR="002305EF" w:rsidRPr="00295E71" w:rsidP="002305EF" w14:paraId="66A5B2CF" w14:textId="77777777">
      <w:pPr>
        <w:pStyle w:val="EndnoteText"/>
        <w:jc w:val="both"/>
        <w:rPr>
          <w:lang w:val="it-IT" w:eastAsia="it-IT"/>
        </w:rPr>
      </w:pPr>
    </w:p>
    <w:p w:rsidR="002305EF" w:rsidRPr="00295E71" w:rsidP="002305EF" w14:paraId="7DC9ADF9" w14:textId="77777777">
      <w:pPr>
        <w:tabs>
          <w:tab w:val="left" w:pos="567"/>
        </w:tabs>
        <w:jc w:val="both"/>
        <w:rPr>
          <w:b/>
          <w:bCs/>
          <w:sz w:val="22"/>
          <w:szCs w:val="22"/>
        </w:rPr>
      </w:pPr>
      <w:r w:rsidRPr="00295E71">
        <w:rPr>
          <w:b/>
          <w:bCs/>
          <w:sz w:val="22"/>
          <w:szCs w:val="22"/>
        </w:rPr>
        <w:t>Avvertenze e precauzioni</w:t>
      </w:r>
    </w:p>
    <w:p w:rsidR="002305EF" w:rsidRPr="00295E71" w:rsidP="002305EF" w14:paraId="3D24368C" w14:textId="77777777">
      <w:pPr>
        <w:pStyle w:val="EndnoteText"/>
        <w:jc w:val="both"/>
        <w:rPr>
          <w:lang w:val="it-IT"/>
        </w:rPr>
      </w:pPr>
    </w:p>
    <w:p w:rsidR="002305EF" w:rsidRPr="00295E71" w:rsidP="002305EF" w14:paraId="314D73E6" w14:textId="77777777">
      <w:pPr>
        <w:tabs>
          <w:tab w:val="left" w:pos="540"/>
        </w:tabs>
        <w:jc w:val="both"/>
        <w:rPr>
          <w:sz w:val="22"/>
          <w:szCs w:val="22"/>
        </w:rPr>
      </w:pPr>
      <w:r w:rsidRPr="00295E71">
        <w:rPr>
          <w:sz w:val="22"/>
          <w:szCs w:val="22"/>
        </w:rPr>
        <w:t xml:space="preserve">Si rivolga al </w:t>
      </w:r>
      <w:r w:rsidRPr="00295E71" w:rsidR="00AD744C">
        <w:rPr>
          <w:sz w:val="22"/>
          <w:szCs w:val="22"/>
        </w:rPr>
        <w:t>medico</w:t>
      </w:r>
      <w:r w:rsidRPr="00295E71">
        <w:rPr>
          <w:sz w:val="22"/>
          <w:szCs w:val="22"/>
        </w:rPr>
        <w:t xml:space="preserve"> o al farmacista prima di usare Humira.</w:t>
      </w:r>
    </w:p>
    <w:p w:rsidR="00AD744C" w:rsidRPr="00295E71" w:rsidP="002305EF" w14:paraId="03640CA2" w14:textId="77777777">
      <w:pPr>
        <w:tabs>
          <w:tab w:val="left" w:pos="540"/>
        </w:tabs>
        <w:jc w:val="both"/>
        <w:rPr>
          <w:sz w:val="22"/>
          <w:szCs w:val="22"/>
        </w:rPr>
      </w:pPr>
    </w:p>
    <w:p w:rsidR="00AD744C" w:rsidRPr="00295E71" w:rsidP="00AD744C" w14:paraId="304560AB" w14:textId="77777777">
      <w:pPr>
        <w:tabs>
          <w:tab w:val="left" w:pos="540"/>
        </w:tabs>
        <w:rPr>
          <w:sz w:val="22"/>
          <w:szCs w:val="22"/>
          <w:u w:val="single"/>
        </w:rPr>
      </w:pPr>
      <w:r w:rsidRPr="00295E71">
        <w:rPr>
          <w:sz w:val="22"/>
          <w:szCs w:val="22"/>
          <w:u w:val="single"/>
        </w:rPr>
        <w:t>Reazioni allergiche</w:t>
      </w:r>
    </w:p>
    <w:p w:rsidR="002305EF" w:rsidRPr="00295E71" w:rsidP="002305EF" w14:paraId="709A5456" w14:textId="77777777">
      <w:pPr>
        <w:tabs>
          <w:tab w:val="left" w:pos="540"/>
        </w:tabs>
        <w:jc w:val="both"/>
        <w:rPr>
          <w:sz w:val="22"/>
          <w:szCs w:val="22"/>
        </w:rPr>
      </w:pPr>
    </w:p>
    <w:p w:rsidR="002B0A77" w:rsidRPr="00295E71" w:rsidP="00AD744C" w14:paraId="6BA26DBC" w14:textId="77777777">
      <w:pPr>
        <w:numPr>
          <w:ilvl w:val="0"/>
          <w:numId w:val="5"/>
        </w:numPr>
        <w:tabs>
          <w:tab w:val="clear" w:pos="360"/>
          <w:tab w:val="left" w:pos="540"/>
          <w:tab w:val="num" w:pos="930"/>
        </w:tabs>
        <w:ind w:left="540" w:hanging="540"/>
        <w:rPr>
          <w:sz w:val="22"/>
          <w:szCs w:val="22"/>
        </w:rPr>
      </w:pPr>
      <w:r w:rsidRPr="00295E71">
        <w:rPr>
          <w:sz w:val="22"/>
          <w:szCs w:val="22"/>
        </w:rPr>
        <w:t>Se si verificano nel bambino</w:t>
      </w:r>
      <w:r w:rsidRPr="00295E71" w:rsidR="002305EF">
        <w:rPr>
          <w:sz w:val="22"/>
          <w:szCs w:val="22"/>
        </w:rPr>
        <w:t xml:space="preserve"> reazioni allegiche con sintomi quali senso d’oppressione toracica, respiro sibilante, capogiro, gonfiore o eruzione cutanea, non somministri più Humira e contatti </w:t>
      </w:r>
      <w:r w:rsidRPr="00295E71">
        <w:rPr>
          <w:sz w:val="22"/>
          <w:szCs w:val="22"/>
        </w:rPr>
        <w:t xml:space="preserve">immediatamente </w:t>
      </w:r>
      <w:r w:rsidRPr="00295E71" w:rsidR="002305EF">
        <w:rPr>
          <w:sz w:val="22"/>
          <w:szCs w:val="22"/>
        </w:rPr>
        <w:t xml:space="preserve">il </w:t>
      </w:r>
      <w:r w:rsidRPr="00295E71">
        <w:rPr>
          <w:sz w:val="22"/>
          <w:szCs w:val="22"/>
        </w:rPr>
        <w:t>medico considerato che, in rari casi, queste reazioni possono essere pericolose per la vita.</w:t>
      </w:r>
    </w:p>
    <w:p w:rsidR="00AD744C" w:rsidRPr="00295E71" w:rsidP="002B0A77" w14:paraId="5158C74C" w14:textId="77777777">
      <w:pPr>
        <w:tabs>
          <w:tab w:val="left" w:pos="540"/>
        </w:tabs>
        <w:ind w:left="540"/>
        <w:rPr>
          <w:sz w:val="22"/>
          <w:szCs w:val="22"/>
        </w:rPr>
      </w:pPr>
    </w:p>
    <w:p w:rsidR="00AD744C" w:rsidRPr="00295E71" w:rsidP="00AD744C" w14:paraId="55E28E24" w14:textId="77777777">
      <w:pPr>
        <w:tabs>
          <w:tab w:val="left" w:pos="0"/>
        </w:tabs>
        <w:rPr>
          <w:sz w:val="22"/>
          <w:szCs w:val="22"/>
          <w:u w:val="single"/>
        </w:rPr>
      </w:pPr>
      <w:r w:rsidRPr="00295E71">
        <w:rPr>
          <w:sz w:val="22"/>
          <w:szCs w:val="22"/>
          <w:u w:val="single"/>
        </w:rPr>
        <w:t>Infezioni</w:t>
      </w:r>
    </w:p>
    <w:p w:rsidR="00AD744C" w:rsidRPr="00295E71" w:rsidP="00AD744C" w14:paraId="6F73EB9E" w14:textId="77777777">
      <w:pPr>
        <w:tabs>
          <w:tab w:val="left" w:pos="540"/>
        </w:tabs>
        <w:ind w:left="540"/>
        <w:rPr>
          <w:sz w:val="22"/>
          <w:szCs w:val="22"/>
        </w:rPr>
      </w:pPr>
    </w:p>
    <w:p w:rsidR="002305EF" w:rsidRPr="00295E71" w:rsidP="002305EF" w14:paraId="4D2305DB" w14:textId="77777777">
      <w:pPr>
        <w:numPr>
          <w:ilvl w:val="0"/>
          <w:numId w:val="5"/>
        </w:numPr>
        <w:tabs>
          <w:tab w:val="clear" w:pos="360"/>
          <w:tab w:val="left" w:pos="540"/>
        </w:tabs>
        <w:ind w:left="540" w:hanging="540"/>
        <w:jc w:val="both"/>
        <w:rPr>
          <w:sz w:val="22"/>
          <w:szCs w:val="22"/>
        </w:rPr>
      </w:pPr>
      <w:r w:rsidRPr="00295E71">
        <w:rPr>
          <w:sz w:val="22"/>
          <w:szCs w:val="22"/>
        </w:rPr>
        <w:t>Se il bambino ha un’infezione, comprese infezioni a lungo termine o infezioni in una parte del corpo (per esempio, ulcere alle gambe) consulti il medico prima di iniziare il trattamento con Humira. Se ha dubbi, contatti il medico.</w:t>
      </w:r>
    </w:p>
    <w:p w:rsidR="002305EF" w:rsidRPr="00295E71" w:rsidP="002305EF" w14:paraId="53A48D55" w14:textId="77777777">
      <w:pPr>
        <w:pStyle w:val="EndnoteText"/>
        <w:jc w:val="both"/>
        <w:rPr>
          <w:lang w:val="it-IT" w:eastAsia="it-IT"/>
        </w:rPr>
      </w:pPr>
    </w:p>
    <w:p w:rsidR="00B570CC" w:rsidRPr="00295E71" w:rsidP="002305EF" w14:paraId="6ACEC97F" w14:textId="77777777">
      <w:pPr>
        <w:numPr>
          <w:ilvl w:val="0"/>
          <w:numId w:val="5"/>
        </w:numPr>
        <w:tabs>
          <w:tab w:val="clear" w:pos="360"/>
          <w:tab w:val="left" w:pos="540"/>
        </w:tabs>
        <w:ind w:left="540" w:hanging="540"/>
        <w:jc w:val="both"/>
        <w:rPr>
          <w:sz w:val="22"/>
          <w:szCs w:val="22"/>
        </w:rPr>
      </w:pPr>
      <w:r w:rsidRPr="00295E71">
        <w:rPr>
          <w:sz w:val="22"/>
          <w:szCs w:val="22"/>
        </w:rPr>
        <w:t>È possibile che il bambino contragga più facilmente infezioni durante il trattamento con Humira. Questo rischio può aumentare se il bambino ha problemi con i suoi polmoni. Queste infezioni possono essere gravi ed includere:</w:t>
      </w:r>
    </w:p>
    <w:p w:rsidR="00B570CC" w:rsidRPr="00295E71" w:rsidP="00B570CC" w14:paraId="1A150241" w14:textId="77777777">
      <w:pPr>
        <w:numPr>
          <w:ilvl w:val="0"/>
          <w:numId w:val="5"/>
        </w:numPr>
        <w:tabs>
          <w:tab w:val="clear" w:pos="360"/>
          <w:tab w:val="left" w:pos="540"/>
        </w:tabs>
        <w:ind w:left="1238" w:hanging="540"/>
        <w:jc w:val="both"/>
        <w:rPr>
          <w:sz w:val="22"/>
          <w:szCs w:val="22"/>
        </w:rPr>
      </w:pPr>
      <w:r w:rsidRPr="00295E71">
        <w:rPr>
          <w:sz w:val="22"/>
          <w:szCs w:val="22"/>
        </w:rPr>
        <w:t>tubercolosi</w:t>
      </w:r>
    </w:p>
    <w:p w:rsidR="00B570CC" w:rsidRPr="00295E71" w:rsidP="00B570CC" w14:paraId="3304277E" w14:textId="77777777">
      <w:pPr>
        <w:numPr>
          <w:ilvl w:val="0"/>
          <w:numId w:val="5"/>
        </w:numPr>
        <w:tabs>
          <w:tab w:val="clear" w:pos="360"/>
          <w:tab w:val="left" w:pos="540"/>
        </w:tabs>
        <w:ind w:left="1238" w:hanging="540"/>
        <w:jc w:val="both"/>
        <w:rPr>
          <w:sz w:val="22"/>
          <w:szCs w:val="22"/>
        </w:rPr>
      </w:pPr>
      <w:r w:rsidRPr="00295E71">
        <w:rPr>
          <w:sz w:val="22"/>
          <w:szCs w:val="22"/>
        </w:rPr>
        <w:t>infezioni causate da virus, funghi, parassiti o batteri</w:t>
      </w:r>
    </w:p>
    <w:p w:rsidR="00B570CC" w:rsidRPr="00295E71" w:rsidP="00B570CC" w14:paraId="416BE93C" w14:textId="77777777">
      <w:pPr>
        <w:numPr>
          <w:ilvl w:val="0"/>
          <w:numId w:val="5"/>
        </w:numPr>
        <w:tabs>
          <w:tab w:val="clear" w:pos="360"/>
          <w:tab w:val="left" w:pos="540"/>
        </w:tabs>
        <w:ind w:left="1238" w:hanging="540"/>
        <w:jc w:val="both"/>
        <w:rPr>
          <w:sz w:val="22"/>
          <w:szCs w:val="22"/>
        </w:rPr>
      </w:pPr>
      <w:r w:rsidRPr="00295E71">
        <w:rPr>
          <w:sz w:val="22"/>
          <w:szCs w:val="22"/>
        </w:rPr>
        <w:t>gravi infezioni nel sangue</w:t>
      </w:r>
      <w:r w:rsidRPr="00295E71" w:rsidR="002305EF">
        <w:rPr>
          <w:sz w:val="22"/>
          <w:szCs w:val="22"/>
        </w:rPr>
        <w:t xml:space="preserve"> </w:t>
      </w:r>
      <w:r w:rsidRPr="00295E71">
        <w:rPr>
          <w:sz w:val="22"/>
          <w:szCs w:val="22"/>
        </w:rPr>
        <w:t>(</w:t>
      </w:r>
      <w:r w:rsidRPr="00295E71" w:rsidR="002305EF">
        <w:rPr>
          <w:sz w:val="22"/>
          <w:szCs w:val="22"/>
        </w:rPr>
        <w:t>sepsi</w:t>
      </w:r>
      <w:r w:rsidRPr="00295E71">
        <w:rPr>
          <w:sz w:val="22"/>
          <w:szCs w:val="22"/>
        </w:rPr>
        <w:t>)</w:t>
      </w:r>
    </w:p>
    <w:p w:rsidR="00B570CC" w:rsidRPr="00295E71" w:rsidP="00B570CC" w14:paraId="63DF822E" w14:textId="77777777">
      <w:pPr>
        <w:pStyle w:val="ListParagraph"/>
        <w:rPr>
          <w:sz w:val="22"/>
          <w:szCs w:val="22"/>
        </w:rPr>
      </w:pPr>
    </w:p>
    <w:p w:rsidR="002305EF" w:rsidRPr="00295E71" w:rsidP="00B570CC" w14:paraId="10920152" w14:textId="77777777">
      <w:pPr>
        <w:tabs>
          <w:tab w:val="left" w:pos="540"/>
        </w:tabs>
        <w:ind w:left="540"/>
        <w:jc w:val="both"/>
        <w:rPr>
          <w:sz w:val="22"/>
          <w:szCs w:val="22"/>
        </w:rPr>
      </w:pPr>
      <w:r w:rsidRPr="00295E71">
        <w:rPr>
          <w:sz w:val="22"/>
          <w:szCs w:val="22"/>
        </w:rPr>
        <w:t>In rari casi, queste infezioni possono essere rischiose per la vita del paziente. È importante comunicare al medico se il bambino presenta sintomi quali febbre, ferite, sensazione di stanchezza o problemi dentali. Il medico potrebbe dirle di interrompere Humira per un periodo di tempo.</w:t>
      </w:r>
    </w:p>
    <w:p w:rsidR="00CE7E80" w:rsidRPr="00295E71" w:rsidP="00B570CC" w14:paraId="4C495BC3" w14:textId="77777777">
      <w:pPr>
        <w:tabs>
          <w:tab w:val="left" w:pos="540"/>
        </w:tabs>
        <w:ind w:left="540"/>
        <w:jc w:val="both"/>
        <w:rPr>
          <w:sz w:val="22"/>
          <w:szCs w:val="22"/>
        </w:rPr>
      </w:pPr>
    </w:p>
    <w:p w:rsidR="00CE7E80" w:rsidRPr="00295E71" w:rsidP="00CE7E80" w14:paraId="355231CA" w14:textId="77777777">
      <w:pPr>
        <w:numPr>
          <w:ilvl w:val="0"/>
          <w:numId w:val="5"/>
        </w:numPr>
        <w:tabs>
          <w:tab w:val="clear" w:pos="360"/>
          <w:tab w:val="left" w:pos="540"/>
        </w:tabs>
        <w:ind w:left="540" w:hanging="540"/>
        <w:jc w:val="both"/>
        <w:rPr>
          <w:sz w:val="22"/>
          <w:szCs w:val="22"/>
        </w:rPr>
      </w:pPr>
      <w:r w:rsidRPr="00295E71">
        <w:rPr>
          <w:sz w:val="22"/>
          <w:szCs w:val="22"/>
        </w:rPr>
        <w:t>Avvisi il medico se il bambino risiede o viaggia in regioni dove le infezioni fungine, come l’istoplasmosi, la coccidioidomicosi o la blastomicosi, sono endemiche.</w:t>
      </w:r>
    </w:p>
    <w:p w:rsidR="00CE7E80" w:rsidRPr="00295E71" w:rsidP="00CE7E80" w14:paraId="2D4CE614" w14:textId="77777777">
      <w:pPr>
        <w:tabs>
          <w:tab w:val="left" w:pos="540"/>
        </w:tabs>
        <w:ind w:left="540"/>
        <w:jc w:val="both"/>
        <w:rPr>
          <w:sz w:val="22"/>
          <w:szCs w:val="22"/>
        </w:rPr>
      </w:pPr>
    </w:p>
    <w:p w:rsidR="00CE7E80" w:rsidRPr="00295E71" w:rsidP="00CE7E80" w14:paraId="7A2362FB" w14:textId="77777777">
      <w:pPr>
        <w:numPr>
          <w:ilvl w:val="0"/>
          <w:numId w:val="5"/>
        </w:numPr>
        <w:tabs>
          <w:tab w:val="clear" w:pos="360"/>
          <w:tab w:val="left" w:pos="540"/>
        </w:tabs>
        <w:ind w:left="540" w:hanging="540"/>
        <w:jc w:val="both"/>
        <w:rPr>
          <w:sz w:val="22"/>
          <w:szCs w:val="22"/>
        </w:rPr>
      </w:pPr>
      <w:r w:rsidRPr="00295E71">
        <w:rPr>
          <w:sz w:val="22"/>
          <w:szCs w:val="22"/>
        </w:rPr>
        <w:t>Avvisi il medico se il bambino ha avuto infezioni recidivanti o se presenta condizioni che aumentano il rischio di infezione.</w:t>
      </w:r>
    </w:p>
    <w:p w:rsidR="00CE7E80" w:rsidRPr="00295E71" w:rsidP="00CE7E80" w14:paraId="3A992F98" w14:textId="77777777">
      <w:pPr>
        <w:tabs>
          <w:tab w:val="left" w:pos="540"/>
        </w:tabs>
        <w:jc w:val="both"/>
        <w:rPr>
          <w:sz w:val="22"/>
          <w:szCs w:val="22"/>
        </w:rPr>
      </w:pPr>
    </w:p>
    <w:p w:rsidR="00CE7E80" w:rsidRPr="00295E71" w:rsidP="00CE7E80" w14:paraId="21C3B02A" w14:textId="77777777">
      <w:pPr>
        <w:numPr>
          <w:ilvl w:val="0"/>
          <w:numId w:val="5"/>
        </w:numPr>
        <w:tabs>
          <w:tab w:val="clear" w:pos="360"/>
          <w:tab w:val="left" w:pos="540"/>
        </w:tabs>
        <w:ind w:left="540" w:hanging="540"/>
        <w:jc w:val="both"/>
        <w:rPr>
          <w:sz w:val="22"/>
          <w:szCs w:val="22"/>
        </w:rPr>
      </w:pPr>
      <w:r w:rsidRPr="00295E71">
        <w:rPr>
          <w:sz w:val="22"/>
          <w:szCs w:val="22"/>
        </w:rPr>
        <w:t>Il bambino e il pediatra dovrebbero prestare paricolare attenzione ai segni di infezione mentre il bambino è in trattamento con Humira. È importante informare il pediatra se compaiono i sintomi di infezioni quali febbre, ferite, sensazione di stanchezza o problemi dentali.</w:t>
      </w:r>
    </w:p>
    <w:p w:rsidR="002305EF" w:rsidRPr="00295E71" w:rsidP="002305EF" w14:paraId="6B49FBD8" w14:textId="77777777">
      <w:pPr>
        <w:tabs>
          <w:tab w:val="left" w:pos="567"/>
        </w:tabs>
        <w:jc w:val="both"/>
        <w:rPr>
          <w:sz w:val="22"/>
          <w:szCs w:val="22"/>
        </w:rPr>
      </w:pPr>
    </w:p>
    <w:p w:rsidR="002305EF" w:rsidRPr="00295E71" w:rsidP="002305EF" w14:paraId="104F7D57" w14:textId="77777777">
      <w:pPr>
        <w:tabs>
          <w:tab w:val="left" w:pos="567"/>
        </w:tabs>
        <w:ind w:left="567"/>
        <w:jc w:val="both"/>
        <w:rPr>
          <w:sz w:val="22"/>
          <w:szCs w:val="22"/>
        </w:rPr>
      </w:pPr>
    </w:p>
    <w:p w:rsidR="002305EF" w:rsidRPr="00295E71" w:rsidP="00CE7E80" w14:paraId="54882D6C" w14:textId="77777777">
      <w:pPr>
        <w:jc w:val="both"/>
        <w:rPr>
          <w:sz w:val="22"/>
          <w:szCs w:val="22"/>
          <w:u w:val="single"/>
        </w:rPr>
      </w:pPr>
      <w:r w:rsidRPr="00295E71">
        <w:rPr>
          <w:sz w:val="22"/>
          <w:szCs w:val="22"/>
          <w:u w:val="single"/>
        </w:rPr>
        <w:t>Tubercolosi</w:t>
      </w:r>
    </w:p>
    <w:p w:rsidR="002305EF" w:rsidRPr="00295E71" w:rsidP="002305EF" w14:paraId="074378A1" w14:textId="77777777">
      <w:pPr>
        <w:tabs>
          <w:tab w:val="left" w:pos="567"/>
          <w:tab w:val="num" w:pos="930"/>
        </w:tabs>
        <w:jc w:val="both"/>
        <w:rPr>
          <w:sz w:val="22"/>
          <w:szCs w:val="22"/>
        </w:rPr>
      </w:pPr>
    </w:p>
    <w:p w:rsidR="00CE7E80" w:rsidRPr="00295E71" w:rsidP="00CE7E80" w14:paraId="42777DA6" w14:textId="77777777">
      <w:pPr>
        <w:tabs>
          <w:tab w:val="left" w:pos="540"/>
        </w:tabs>
        <w:ind w:left="540"/>
        <w:jc w:val="both"/>
        <w:rPr>
          <w:sz w:val="22"/>
          <w:szCs w:val="22"/>
        </w:rPr>
      </w:pPr>
    </w:p>
    <w:p w:rsidR="0076619A" w:rsidRPr="00295E71" w:rsidP="00FB547E" w14:paraId="7D1C15E1" w14:textId="77777777">
      <w:pPr>
        <w:pStyle w:val="ListParagraph"/>
        <w:numPr>
          <w:ilvl w:val="0"/>
          <w:numId w:val="5"/>
        </w:numPr>
        <w:tabs>
          <w:tab w:val="clear" w:pos="360"/>
          <w:tab w:val="num" w:pos="567"/>
        </w:tabs>
        <w:ind w:left="567" w:hanging="567"/>
        <w:rPr>
          <w:sz w:val="22"/>
          <w:szCs w:val="22"/>
        </w:rPr>
      </w:pPr>
      <w:r w:rsidRPr="00295E71">
        <w:rPr>
          <w:sz w:val="22"/>
          <w:szCs w:val="22"/>
        </w:rPr>
        <w:t xml:space="preserve">Poiché si sono verificati dei casi di tubercolosi in pazienti sottoposti a trattamento con Humira, il medico dovrà controllare se il bambino presenta segni o sintomi tipici della tubercolosi prima di iniziare la terapia con Humira. Questo comporterà una valutazione medica approfondita dell’anamnesi del bambino e appropriati esami clinici (ad esempio una radiografia del torace e il test alla tubercolina). L’esecuzione e i risultati di tali esami devono essere registrati nella </w:t>
      </w:r>
      <w:r w:rsidRPr="000D0B9B" w:rsidR="00E15A82">
        <w:rPr>
          <w:b/>
          <w:sz w:val="22"/>
          <w:szCs w:val="22"/>
        </w:rPr>
        <w:t>Scheda Promemoria per il Paziente</w:t>
      </w:r>
      <w:r w:rsidRPr="00295E71">
        <w:rPr>
          <w:b/>
          <w:sz w:val="22"/>
          <w:szCs w:val="22"/>
        </w:rPr>
        <w:t xml:space="preserve"> </w:t>
      </w:r>
      <w:r w:rsidRPr="00295E71">
        <w:rPr>
          <w:sz w:val="22"/>
          <w:szCs w:val="22"/>
        </w:rPr>
        <w:t xml:space="preserve">del bambino.  </w:t>
      </w:r>
    </w:p>
    <w:p w:rsidR="0076619A" w:rsidRPr="00295E71" w:rsidP="00910CE7" w14:paraId="39804B01" w14:textId="77777777">
      <w:pPr>
        <w:pStyle w:val="ListParagraph"/>
        <w:numPr>
          <w:ilvl w:val="1"/>
          <w:numId w:val="5"/>
        </w:numPr>
        <w:rPr>
          <w:sz w:val="22"/>
          <w:szCs w:val="22"/>
        </w:rPr>
      </w:pPr>
      <w:r w:rsidRPr="00295E71">
        <w:rPr>
          <w:sz w:val="22"/>
          <w:szCs w:val="22"/>
        </w:rPr>
        <w:t>È molto importante comunicare al medico se il bambino ha mai avuto la tubercolosi, o se il bambino è stato a contatto con qualcuno che ha avuto la tubercolosi. Se il bambino è affetto da tubercolosi attiva non deve assumere Humira.</w:t>
      </w:r>
    </w:p>
    <w:p w:rsidR="00CE7E80" w:rsidRPr="00295E71" w:rsidP="00910CE7" w14:paraId="09CA3F5B" w14:textId="77777777">
      <w:pPr>
        <w:pStyle w:val="ListParagraph"/>
        <w:numPr>
          <w:ilvl w:val="1"/>
          <w:numId w:val="5"/>
        </w:numPr>
        <w:rPr>
          <w:sz w:val="22"/>
          <w:szCs w:val="22"/>
        </w:rPr>
      </w:pPr>
      <w:r w:rsidRPr="00295E71">
        <w:rPr>
          <w:sz w:val="22"/>
          <w:szCs w:val="22"/>
        </w:rPr>
        <w:t xml:space="preserve">La tubercolosi si può manifestare durante la terapia nonostante </w:t>
      </w:r>
      <w:r w:rsidRPr="00295E71" w:rsidR="00DB6F7B">
        <w:rPr>
          <w:sz w:val="22"/>
          <w:szCs w:val="22"/>
        </w:rPr>
        <w:t>il bambino</w:t>
      </w:r>
      <w:r w:rsidRPr="00295E71">
        <w:rPr>
          <w:sz w:val="22"/>
          <w:szCs w:val="22"/>
        </w:rPr>
        <w:t xml:space="preserve"> abbia ricevuto un trattamento per la prevenzione della tubercolosi. </w:t>
      </w:r>
    </w:p>
    <w:p w:rsidR="00CE7E80" w:rsidRPr="00295E71" w:rsidP="00910CE7" w14:paraId="2EED3F4E" w14:textId="77777777">
      <w:pPr>
        <w:pStyle w:val="ListParagraph"/>
        <w:numPr>
          <w:ilvl w:val="1"/>
          <w:numId w:val="5"/>
        </w:numPr>
        <w:rPr>
          <w:sz w:val="22"/>
          <w:szCs w:val="22"/>
        </w:rPr>
      </w:pPr>
      <w:r w:rsidRPr="00295E71">
        <w:rPr>
          <w:sz w:val="22"/>
          <w:szCs w:val="22"/>
        </w:rPr>
        <w:t>Contatti immediatamente il medico se durante o dopo la terapia compaiono sintomi di tubercolosi (ad esempio tosse che non scompare, perdita di peso, mancanza di energia, febbre leggera) o di altre infezioni.</w:t>
      </w:r>
    </w:p>
    <w:p w:rsidR="00CE7E80" w:rsidRPr="00295E71" w:rsidP="0076619A" w14:paraId="5EA2647B" w14:textId="77777777">
      <w:pPr>
        <w:tabs>
          <w:tab w:val="left" w:pos="540"/>
          <w:tab w:val="num" w:pos="567"/>
        </w:tabs>
        <w:ind w:left="567" w:hanging="567"/>
        <w:jc w:val="both"/>
        <w:rPr>
          <w:sz w:val="22"/>
          <w:szCs w:val="22"/>
        </w:rPr>
      </w:pPr>
    </w:p>
    <w:p w:rsidR="00CE7E80" w:rsidRPr="00295E71" w:rsidP="00DB6F7B" w14:paraId="16F5B806" w14:textId="77777777">
      <w:pPr>
        <w:tabs>
          <w:tab w:val="left" w:pos="540"/>
        </w:tabs>
        <w:jc w:val="both"/>
        <w:rPr>
          <w:sz w:val="22"/>
          <w:szCs w:val="22"/>
          <w:u w:val="single"/>
        </w:rPr>
      </w:pPr>
      <w:r w:rsidRPr="00295E71">
        <w:rPr>
          <w:sz w:val="22"/>
          <w:szCs w:val="22"/>
          <w:u w:val="single"/>
        </w:rPr>
        <w:t>Epatite B</w:t>
      </w:r>
    </w:p>
    <w:p w:rsidR="00CE7E80" w:rsidRPr="00295E71" w:rsidP="00CE7E80" w14:paraId="6BA182E3" w14:textId="77777777">
      <w:pPr>
        <w:tabs>
          <w:tab w:val="left" w:pos="540"/>
        </w:tabs>
        <w:ind w:left="540"/>
        <w:jc w:val="both"/>
        <w:rPr>
          <w:sz w:val="22"/>
          <w:szCs w:val="22"/>
        </w:rPr>
      </w:pPr>
    </w:p>
    <w:p w:rsidR="0081288F" w:rsidRPr="00295E71" w:rsidP="002305EF" w14:paraId="2E272DF6" w14:textId="77777777">
      <w:pPr>
        <w:numPr>
          <w:ilvl w:val="0"/>
          <w:numId w:val="5"/>
        </w:numPr>
        <w:tabs>
          <w:tab w:val="clear" w:pos="360"/>
          <w:tab w:val="left" w:pos="540"/>
        </w:tabs>
        <w:ind w:left="540" w:hanging="540"/>
        <w:jc w:val="both"/>
        <w:rPr>
          <w:sz w:val="22"/>
          <w:szCs w:val="22"/>
        </w:rPr>
      </w:pPr>
      <w:r w:rsidRPr="00295E71">
        <w:rPr>
          <w:sz w:val="22"/>
          <w:szCs w:val="22"/>
        </w:rPr>
        <w:t>È molto importante comunicare al medico</w:t>
      </w:r>
      <w:r w:rsidRPr="00295E71" w:rsidR="002305EF">
        <w:rPr>
          <w:sz w:val="22"/>
          <w:szCs w:val="22"/>
        </w:rPr>
        <w:t xml:space="preserve"> se il bambino è portatore del virus dell’epatite B (HBV), se ha un’infezione in fase attiva da virus dell’epatite B o se pensa che possa essere a rischio di contrarre il virus dell’epatite B. </w:t>
      </w:r>
    </w:p>
    <w:p w:rsidR="00DB6F7B" w:rsidRPr="00295E71" w:rsidP="00FB547E" w14:paraId="301AF4A2" w14:textId="77777777">
      <w:pPr>
        <w:numPr>
          <w:ilvl w:val="1"/>
          <w:numId w:val="5"/>
        </w:numPr>
        <w:tabs>
          <w:tab w:val="left" w:pos="540"/>
        </w:tabs>
        <w:jc w:val="both"/>
        <w:rPr>
          <w:sz w:val="22"/>
          <w:szCs w:val="22"/>
        </w:rPr>
      </w:pPr>
      <w:r w:rsidRPr="00295E71">
        <w:rPr>
          <w:sz w:val="22"/>
          <w:szCs w:val="22"/>
        </w:rPr>
        <w:t xml:space="preserve">Il medico deve testare il bambino per l’infezione da virus dell’epatite B. Nei soggetti che risultano portatori di HBV, Humira può portare il virus ad essere attivo nuovamente. </w:t>
      </w:r>
    </w:p>
    <w:p w:rsidR="002305EF" w:rsidRPr="00295E71" w:rsidP="00FB547E" w14:paraId="1527C285" w14:textId="77777777">
      <w:pPr>
        <w:numPr>
          <w:ilvl w:val="1"/>
          <w:numId w:val="5"/>
        </w:numPr>
        <w:tabs>
          <w:tab w:val="left" w:pos="540"/>
        </w:tabs>
        <w:jc w:val="both"/>
        <w:rPr>
          <w:sz w:val="22"/>
          <w:szCs w:val="22"/>
        </w:rPr>
      </w:pPr>
      <w:r w:rsidRPr="00295E71">
        <w:rPr>
          <w:sz w:val="22"/>
          <w:szCs w:val="22"/>
        </w:rPr>
        <w:t>In alcuni rari casi, soprattutto se il paziente è sottoposto a terapia con altri farmaci che sopprimono il sistema immunitario, la riattivazione del virus dell’epatite B può mettere a repentaglio la vita del paziente.</w:t>
      </w:r>
    </w:p>
    <w:p w:rsidR="002305EF" w:rsidRPr="00295E71" w:rsidP="002305EF" w14:paraId="315E2FB9" w14:textId="77777777">
      <w:pPr>
        <w:tabs>
          <w:tab w:val="left" w:pos="540"/>
        </w:tabs>
        <w:jc w:val="both"/>
        <w:rPr>
          <w:sz w:val="22"/>
          <w:szCs w:val="22"/>
        </w:rPr>
      </w:pPr>
    </w:p>
    <w:p w:rsidR="00DB6F7B" w:rsidRPr="00295E71" w:rsidP="00DB6F7B" w14:paraId="0559AA05" w14:textId="77777777">
      <w:pPr>
        <w:tabs>
          <w:tab w:val="left" w:pos="540"/>
        </w:tabs>
        <w:rPr>
          <w:sz w:val="22"/>
          <w:szCs w:val="22"/>
          <w:u w:val="single"/>
        </w:rPr>
      </w:pPr>
      <w:r w:rsidRPr="00295E71">
        <w:rPr>
          <w:sz w:val="22"/>
          <w:szCs w:val="22"/>
          <w:u w:val="single"/>
        </w:rPr>
        <w:t>Interventi chirurgici</w:t>
      </w:r>
      <w:r w:rsidRPr="00295E71" w:rsidR="0081288F">
        <w:rPr>
          <w:sz w:val="22"/>
          <w:szCs w:val="22"/>
          <w:u w:val="single"/>
        </w:rPr>
        <w:t xml:space="preserve"> o procedure dentistiche</w:t>
      </w:r>
    </w:p>
    <w:p w:rsidR="002305EF" w:rsidRPr="00295E71" w:rsidP="002305EF" w14:paraId="5BDC452D" w14:textId="77777777">
      <w:pPr>
        <w:tabs>
          <w:tab w:val="left" w:pos="567"/>
        </w:tabs>
        <w:jc w:val="both"/>
        <w:rPr>
          <w:sz w:val="22"/>
          <w:szCs w:val="22"/>
        </w:rPr>
      </w:pPr>
    </w:p>
    <w:p w:rsidR="00DB6F7B" w:rsidRPr="00295E71" w:rsidP="00DB6F7B" w14:paraId="2C56B481" w14:textId="77777777">
      <w:pPr>
        <w:numPr>
          <w:ilvl w:val="0"/>
          <w:numId w:val="5"/>
        </w:numPr>
        <w:tabs>
          <w:tab w:val="clear" w:pos="360"/>
          <w:tab w:val="left" w:pos="540"/>
        </w:tabs>
        <w:ind w:left="540" w:hanging="540"/>
        <w:jc w:val="both"/>
        <w:rPr>
          <w:sz w:val="22"/>
          <w:szCs w:val="22"/>
        </w:rPr>
      </w:pPr>
      <w:r w:rsidRPr="00295E71">
        <w:rPr>
          <w:sz w:val="22"/>
          <w:szCs w:val="22"/>
        </w:rPr>
        <w:t xml:space="preserve">Se il bambino  deve essere sottoposto ad </w:t>
      </w:r>
      <w:r w:rsidRPr="00295E71" w:rsidR="002305EF">
        <w:rPr>
          <w:sz w:val="22"/>
          <w:szCs w:val="22"/>
        </w:rPr>
        <w:t xml:space="preserve">un intervento chirurgico o </w:t>
      </w:r>
      <w:r w:rsidRPr="00295E71">
        <w:rPr>
          <w:sz w:val="22"/>
          <w:szCs w:val="22"/>
        </w:rPr>
        <w:t xml:space="preserve">a </w:t>
      </w:r>
      <w:r w:rsidRPr="00295E71" w:rsidR="002305EF">
        <w:rPr>
          <w:sz w:val="22"/>
          <w:szCs w:val="22"/>
        </w:rPr>
        <w:t>procedure dentistiche, informi il medico che il bambino sta prendendo Humira. Il medico potrebbe consigliare la sospensione temporanea</w:t>
      </w:r>
      <w:r w:rsidRPr="00295E71">
        <w:rPr>
          <w:sz w:val="22"/>
          <w:szCs w:val="22"/>
        </w:rPr>
        <w:t xml:space="preserve"> di Humira</w:t>
      </w:r>
      <w:r w:rsidRPr="00295E71" w:rsidR="002305EF">
        <w:rPr>
          <w:sz w:val="22"/>
          <w:szCs w:val="22"/>
        </w:rPr>
        <w:t>.</w:t>
      </w:r>
    </w:p>
    <w:p w:rsidR="00DB6F7B" w:rsidRPr="00295E71" w:rsidP="00DB6F7B" w14:paraId="15577496" w14:textId="77777777">
      <w:pPr>
        <w:tabs>
          <w:tab w:val="left" w:pos="540"/>
        </w:tabs>
        <w:ind w:left="540"/>
        <w:jc w:val="both"/>
        <w:rPr>
          <w:sz w:val="22"/>
          <w:szCs w:val="22"/>
        </w:rPr>
      </w:pPr>
    </w:p>
    <w:p w:rsidR="00DB6F7B" w:rsidRPr="00295E71" w:rsidP="00DB6F7B" w14:paraId="5720490D" w14:textId="77777777">
      <w:pPr>
        <w:tabs>
          <w:tab w:val="left" w:pos="0"/>
        </w:tabs>
        <w:jc w:val="both"/>
        <w:rPr>
          <w:sz w:val="22"/>
          <w:szCs w:val="22"/>
        </w:rPr>
      </w:pPr>
      <w:r w:rsidRPr="00295E71">
        <w:rPr>
          <w:sz w:val="22"/>
          <w:szCs w:val="22"/>
          <w:u w:val="single"/>
        </w:rPr>
        <w:t>Malattie demielinizzanti</w:t>
      </w:r>
    </w:p>
    <w:p w:rsidR="002305EF" w:rsidRPr="00295E71" w:rsidP="002305EF" w14:paraId="0C9F5829" w14:textId="77777777">
      <w:pPr>
        <w:tabs>
          <w:tab w:val="left" w:pos="540"/>
        </w:tabs>
        <w:jc w:val="both"/>
        <w:rPr>
          <w:sz w:val="22"/>
          <w:szCs w:val="22"/>
        </w:rPr>
      </w:pPr>
    </w:p>
    <w:p w:rsidR="002305EF" w:rsidRPr="00295E71" w:rsidP="002305EF" w14:paraId="5805C79A" w14:textId="77777777">
      <w:pPr>
        <w:numPr>
          <w:ilvl w:val="0"/>
          <w:numId w:val="5"/>
        </w:numPr>
        <w:tabs>
          <w:tab w:val="clear" w:pos="360"/>
          <w:tab w:val="left" w:pos="540"/>
        </w:tabs>
        <w:ind w:left="540" w:hanging="540"/>
        <w:jc w:val="both"/>
        <w:rPr>
          <w:sz w:val="22"/>
          <w:szCs w:val="22"/>
        </w:rPr>
      </w:pPr>
      <w:r w:rsidRPr="00295E71">
        <w:rPr>
          <w:sz w:val="22"/>
          <w:szCs w:val="22"/>
        </w:rPr>
        <w:t xml:space="preserve">Se il bambino è affetto da o sviluppa </w:t>
      </w:r>
      <w:r w:rsidRPr="00295E71" w:rsidR="00B85FEE">
        <w:rPr>
          <w:sz w:val="22"/>
          <w:szCs w:val="22"/>
        </w:rPr>
        <w:t xml:space="preserve">una </w:t>
      </w:r>
      <w:r w:rsidRPr="00295E71" w:rsidR="00DB6F7B">
        <w:rPr>
          <w:sz w:val="22"/>
          <w:szCs w:val="22"/>
        </w:rPr>
        <w:t>malatti</w:t>
      </w:r>
      <w:r w:rsidRPr="00295E71" w:rsidR="00B85FEE">
        <w:rPr>
          <w:sz w:val="22"/>
          <w:szCs w:val="22"/>
        </w:rPr>
        <w:t>a</w:t>
      </w:r>
      <w:r w:rsidRPr="00295E71" w:rsidR="00DB6F7B">
        <w:rPr>
          <w:sz w:val="22"/>
          <w:szCs w:val="22"/>
        </w:rPr>
        <w:t xml:space="preserve"> demielinizzant</w:t>
      </w:r>
      <w:r w:rsidRPr="00295E71" w:rsidR="00B85FEE">
        <w:rPr>
          <w:sz w:val="22"/>
          <w:szCs w:val="22"/>
        </w:rPr>
        <w:t>e</w:t>
      </w:r>
      <w:r w:rsidRPr="00295E71" w:rsidR="0081288F">
        <w:rPr>
          <w:sz w:val="22"/>
          <w:szCs w:val="22"/>
        </w:rPr>
        <w:t xml:space="preserve"> (malattia che colpisce lo strato isolante attorno ai nervi, come la sclerosi multipla),</w:t>
      </w:r>
      <w:r w:rsidRPr="00295E71">
        <w:rPr>
          <w:sz w:val="22"/>
          <w:szCs w:val="22"/>
        </w:rPr>
        <w:t xml:space="preserve"> il medico deciderà se</w:t>
      </w:r>
      <w:r w:rsidRPr="00295E71" w:rsidR="00DB6F7B">
        <w:rPr>
          <w:sz w:val="22"/>
          <w:szCs w:val="22"/>
        </w:rPr>
        <w:t xml:space="preserve"> per lui</w:t>
      </w:r>
      <w:r w:rsidRPr="00295E71">
        <w:rPr>
          <w:sz w:val="22"/>
          <w:szCs w:val="22"/>
        </w:rPr>
        <w:t xml:space="preserve"> è il caso di iniziare o continuare il trattamento con Humira. Informi il medico immediatamente nel caso in cui il bambino manifesti sintomi quali variazioni nella visione, debolezza di braccia o gambe o intorpidimento o formicolio che interessi qualsiasi parte del corpo.</w:t>
      </w:r>
    </w:p>
    <w:p w:rsidR="00A30EB2" w:rsidRPr="00295E71" w:rsidP="00A30EB2" w14:paraId="70C74D50" w14:textId="77777777">
      <w:pPr>
        <w:tabs>
          <w:tab w:val="left" w:pos="540"/>
          <w:tab w:val="left" w:pos="567"/>
        </w:tabs>
        <w:jc w:val="both"/>
        <w:rPr>
          <w:sz w:val="22"/>
          <w:szCs w:val="22"/>
        </w:rPr>
      </w:pPr>
    </w:p>
    <w:p w:rsidR="00A30EB2" w:rsidRPr="00295E71" w:rsidP="00A30EB2" w14:paraId="28EDE542" w14:textId="77777777">
      <w:pPr>
        <w:tabs>
          <w:tab w:val="left" w:pos="540"/>
          <w:tab w:val="left" w:pos="567"/>
        </w:tabs>
        <w:jc w:val="both"/>
        <w:rPr>
          <w:sz w:val="22"/>
          <w:szCs w:val="22"/>
          <w:u w:val="single"/>
        </w:rPr>
      </w:pPr>
      <w:r w:rsidRPr="00295E71">
        <w:rPr>
          <w:sz w:val="22"/>
          <w:szCs w:val="22"/>
          <w:u w:val="single"/>
        </w:rPr>
        <w:t>Vaccinazioni</w:t>
      </w:r>
    </w:p>
    <w:p w:rsidR="002305EF" w:rsidRPr="00295E71" w:rsidP="002305EF" w14:paraId="4980DDBB" w14:textId="77777777">
      <w:pPr>
        <w:tabs>
          <w:tab w:val="left" w:pos="540"/>
          <w:tab w:val="left" w:pos="567"/>
        </w:tabs>
        <w:ind w:left="540" w:hanging="483"/>
        <w:jc w:val="both"/>
        <w:rPr>
          <w:sz w:val="22"/>
          <w:szCs w:val="22"/>
        </w:rPr>
      </w:pPr>
    </w:p>
    <w:p w:rsidR="00A30EB2" w:rsidRPr="00295E71" w:rsidP="002305EF" w14:paraId="6FC73715" w14:textId="77777777">
      <w:pPr>
        <w:numPr>
          <w:ilvl w:val="0"/>
          <w:numId w:val="5"/>
        </w:numPr>
        <w:tabs>
          <w:tab w:val="clear" w:pos="360"/>
          <w:tab w:val="left" w:pos="540"/>
        </w:tabs>
        <w:ind w:left="540" w:hanging="540"/>
        <w:jc w:val="both"/>
        <w:rPr>
          <w:sz w:val="22"/>
          <w:szCs w:val="22"/>
        </w:rPr>
      </w:pPr>
      <w:r w:rsidRPr="00295E71">
        <w:rPr>
          <w:sz w:val="22"/>
          <w:szCs w:val="22"/>
        </w:rPr>
        <w:t xml:space="preserve">Certi vaccini possono causare infezioni e non devono essere somministrati durante il trattamento con Humira. </w:t>
      </w:r>
    </w:p>
    <w:p w:rsidR="00A30EB2" w:rsidRPr="00295E71" w:rsidP="00ED3290" w14:paraId="48990CE6" w14:textId="77777777">
      <w:pPr>
        <w:numPr>
          <w:ilvl w:val="1"/>
          <w:numId w:val="5"/>
        </w:numPr>
        <w:tabs>
          <w:tab w:val="left" w:pos="540"/>
        </w:tabs>
        <w:jc w:val="both"/>
        <w:rPr>
          <w:sz w:val="22"/>
          <w:szCs w:val="22"/>
        </w:rPr>
      </w:pPr>
      <w:r w:rsidRPr="00295E71">
        <w:rPr>
          <w:sz w:val="22"/>
          <w:szCs w:val="22"/>
        </w:rPr>
        <w:t xml:space="preserve">Consulti il medico prima di sottoporre il bambino a vaccinazioni. </w:t>
      </w:r>
    </w:p>
    <w:p w:rsidR="00A30EB2" w:rsidRPr="00295E71" w:rsidP="00ED3290" w14:paraId="3290BF87" w14:textId="77777777">
      <w:pPr>
        <w:numPr>
          <w:ilvl w:val="1"/>
          <w:numId w:val="5"/>
        </w:numPr>
        <w:tabs>
          <w:tab w:val="left" w:pos="540"/>
        </w:tabs>
        <w:jc w:val="both"/>
        <w:rPr>
          <w:sz w:val="22"/>
          <w:szCs w:val="22"/>
        </w:rPr>
      </w:pPr>
      <w:r w:rsidRPr="00295E71">
        <w:rPr>
          <w:sz w:val="22"/>
          <w:szCs w:val="22"/>
        </w:rPr>
        <w:t>S</w:t>
      </w:r>
      <w:r w:rsidRPr="00295E71" w:rsidR="002305EF">
        <w:rPr>
          <w:sz w:val="22"/>
          <w:szCs w:val="22"/>
        </w:rPr>
        <w:t xml:space="preserve">i </w:t>
      </w:r>
      <w:r w:rsidRPr="00295E71" w:rsidR="00B85FEE">
        <w:rPr>
          <w:sz w:val="22"/>
          <w:szCs w:val="22"/>
        </w:rPr>
        <w:t>raccomanda</w:t>
      </w:r>
      <w:r w:rsidRPr="00295E71" w:rsidR="002305EF">
        <w:rPr>
          <w:sz w:val="22"/>
          <w:szCs w:val="22"/>
        </w:rPr>
        <w:t xml:space="preserve">, se possibile, </w:t>
      </w:r>
      <w:r w:rsidRPr="00295E71" w:rsidR="00B85FEE">
        <w:rPr>
          <w:sz w:val="22"/>
          <w:szCs w:val="22"/>
        </w:rPr>
        <w:t>di sottoporre i bambini</w:t>
      </w:r>
      <w:r w:rsidRPr="00295E71">
        <w:rPr>
          <w:sz w:val="22"/>
          <w:szCs w:val="22"/>
        </w:rPr>
        <w:t xml:space="preserve"> a tutte le vaccinazioni previste per la loro età prima di iniziare il trattamento con Humira.</w:t>
      </w:r>
    </w:p>
    <w:p w:rsidR="002305EF" w:rsidRPr="00295E71" w:rsidP="00ED3290" w14:paraId="76106E10" w14:textId="77777777">
      <w:pPr>
        <w:numPr>
          <w:ilvl w:val="1"/>
          <w:numId w:val="5"/>
        </w:numPr>
        <w:tabs>
          <w:tab w:val="left" w:pos="540"/>
        </w:tabs>
        <w:jc w:val="both"/>
        <w:rPr>
          <w:sz w:val="22"/>
          <w:szCs w:val="22"/>
        </w:rPr>
      </w:pPr>
      <w:r w:rsidRPr="00295E71">
        <w:rPr>
          <w:sz w:val="22"/>
          <w:szCs w:val="22"/>
        </w:rPr>
        <w:t xml:space="preserve">Se </w:t>
      </w:r>
      <w:r w:rsidRPr="00295E71" w:rsidR="00FE41C3">
        <w:rPr>
          <w:sz w:val="22"/>
          <w:szCs w:val="22"/>
        </w:rPr>
        <w:t xml:space="preserve">la </w:t>
      </w:r>
      <w:r w:rsidR="002D524B">
        <w:rPr>
          <w:sz w:val="22"/>
          <w:szCs w:val="22"/>
        </w:rPr>
        <w:t>ragazza</w:t>
      </w:r>
      <w:r w:rsidRPr="00295E71" w:rsidR="00FE41C3">
        <w:rPr>
          <w:sz w:val="22"/>
          <w:szCs w:val="22"/>
        </w:rPr>
        <w:t xml:space="preserve"> </w:t>
      </w:r>
      <w:r w:rsidRPr="00295E71">
        <w:rPr>
          <w:sz w:val="22"/>
          <w:szCs w:val="22"/>
        </w:rPr>
        <w:t xml:space="preserve">ha assunto Humira durante la gravidanza, </w:t>
      </w:r>
      <w:r w:rsidRPr="00295E71" w:rsidR="00FE41C3">
        <w:rPr>
          <w:sz w:val="22"/>
          <w:szCs w:val="22"/>
        </w:rPr>
        <w:t>il figlio</w:t>
      </w:r>
      <w:r w:rsidRPr="00295E71">
        <w:rPr>
          <w:sz w:val="22"/>
          <w:szCs w:val="22"/>
        </w:rPr>
        <w:t xml:space="preserve"> potrebbe avere un maggior rischio di contrarre tale infezione fino a circa 5 mesi dopo dall’ultima somministrazione che </w:t>
      </w:r>
      <w:r w:rsidRPr="00295E71" w:rsidR="00FE41C3">
        <w:rPr>
          <w:sz w:val="22"/>
          <w:szCs w:val="22"/>
        </w:rPr>
        <w:t xml:space="preserve">la </w:t>
      </w:r>
      <w:r w:rsidR="002D524B">
        <w:rPr>
          <w:sz w:val="22"/>
          <w:szCs w:val="22"/>
        </w:rPr>
        <w:t>ragazza</w:t>
      </w:r>
      <w:r w:rsidRPr="00295E71">
        <w:rPr>
          <w:sz w:val="22"/>
          <w:szCs w:val="22"/>
        </w:rPr>
        <w:t xml:space="preserve"> ha assunto durante la gravidanza. È importante che lei riferisca al pediatra o ad altro operatore sanitario del</w:t>
      </w:r>
      <w:r w:rsidRPr="00295E71" w:rsidR="00FE41C3">
        <w:rPr>
          <w:sz w:val="22"/>
          <w:szCs w:val="22"/>
        </w:rPr>
        <w:t>l’</w:t>
      </w:r>
      <w:r w:rsidRPr="00295E71">
        <w:rPr>
          <w:sz w:val="22"/>
          <w:szCs w:val="22"/>
        </w:rPr>
        <w:t>utilizzo di Humira</w:t>
      </w:r>
      <w:r w:rsidRPr="00295E71" w:rsidR="00FE41C3">
        <w:rPr>
          <w:sz w:val="22"/>
          <w:szCs w:val="22"/>
        </w:rPr>
        <w:t xml:space="preserve"> durante la gravidanza da parte della </w:t>
      </w:r>
      <w:r w:rsidR="002D524B">
        <w:rPr>
          <w:sz w:val="22"/>
          <w:szCs w:val="22"/>
        </w:rPr>
        <w:t>ragazza</w:t>
      </w:r>
      <w:r w:rsidRPr="00295E71">
        <w:rPr>
          <w:sz w:val="22"/>
          <w:szCs w:val="22"/>
        </w:rPr>
        <w:t xml:space="preserve">, cosicché possano decidere quando </w:t>
      </w:r>
      <w:r w:rsidRPr="00295E71" w:rsidR="00FE41C3">
        <w:rPr>
          <w:sz w:val="22"/>
          <w:szCs w:val="22"/>
        </w:rPr>
        <w:t>il figlio</w:t>
      </w:r>
      <w:r w:rsidRPr="00295E71">
        <w:rPr>
          <w:sz w:val="22"/>
          <w:szCs w:val="22"/>
        </w:rPr>
        <w:t xml:space="preserve"> de</w:t>
      </w:r>
      <w:r w:rsidRPr="00295E71" w:rsidR="00FE41C3">
        <w:rPr>
          <w:sz w:val="22"/>
          <w:szCs w:val="22"/>
        </w:rPr>
        <w:t>bba</w:t>
      </w:r>
      <w:r w:rsidRPr="00295E71">
        <w:rPr>
          <w:sz w:val="22"/>
          <w:szCs w:val="22"/>
        </w:rPr>
        <w:t xml:space="preserve"> ricevere qualsiasi tipo di vaccinazione.</w:t>
      </w:r>
    </w:p>
    <w:p w:rsidR="00A30EB2" w:rsidRPr="00295E71" w:rsidP="00ED3290" w14:paraId="6F5B5BB6" w14:textId="77777777">
      <w:pPr>
        <w:tabs>
          <w:tab w:val="left" w:pos="540"/>
        </w:tabs>
        <w:ind w:left="540"/>
        <w:jc w:val="both"/>
        <w:rPr>
          <w:sz w:val="22"/>
          <w:szCs w:val="22"/>
        </w:rPr>
      </w:pPr>
    </w:p>
    <w:p w:rsidR="00A30EB2" w:rsidRPr="00295E71" w:rsidP="00C04163" w14:paraId="1EDA57B8" w14:textId="77777777">
      <w:pPr>
        <w:tabs>
          <w:tab w:val="left" w:pos="567"/>
        </w:tabs>
        <w:rPr>
          <w:sz w:val="22"/>
          <w:szCs w:val="22"/>
          <w:u w:val="single"/>
        </w:rPr>
      </w:pPr>
      <w:r w:rsidRPr="00295E71">
        <w:rPr>
          <w:sz w:val="22"/>
          <w:szCs w:val="22"/>
          <w:u w:val="single"/>
        </w:rPr>
        <w:t>Insufficienza cardiaca</w:t>
      </w:r>
    </w:p>
    <w:p w:rsidR="00A30EB2" w:rsidRPr="00295E71" w:rsidP="00C04163" w14:paraId="3963F866" w14:textId="77777777">
      <w:pPr>
        <w:tabs>
          <w:tab w:val="left" w:pos="540"/>
        </w:tabs>
        <w:ind w:left="540"/>
        <w:jc w:val="both"/>
        <w:rPr>
          <w:sz w:val="22"/>
          <w:szCs w:val="22"/>
        </w:rPr>
      </w:pPr>
    </w:p>
    <w:p w:rsidR="00AB1C4F" w:rsidRPr="00295E71" w:rsidP="00C04163" w14:paraId="4B3D30A1" w14:textId="77777777">
      <w:pPr>
        <w:numPr>
          <w:ilvl w:val="1"/>
          <w:numId w:val="5"/>
        </w:numPr>
        <w:tabs>
          <w:tab w:val="left" w:pos="540"/>
        </w:tabs>
        <w:jc w:val="both"/>
        <w:rPr>
          <w:sz w:val="22"/>
          <w:szCs w:val="22"/>
        </w:rPr>
      </w:pPr>
      <w:r w:rsidRPr="00295E71">
        <w:rPr>
          <w:sz w:val="22"/>
          <w:szCs w:val="22"/>
        </w:rPr>
        <w:t>In caso il bambino abbia una lieve insufficienza cardiaca e venga trattato con Humira, lo stato della sua insufficienza cardiaca deve essere monitorato attentamente dal medico.</w:t>
      </w:r>
      <w:r w:rsidRPr="00295E71" w:rsidR="001D2189">
        <w:rPr>
          <w:sz w:val="22"/>
          <w:szCs w:val="22"/>
        </w:rPr>
        <w:t xml:space="preserve"> È importante informare il medico in merito a eventuali problemi al cuore, sia passati che presenti. </w:t>
      </w:r>
      <w:r w:rsidRPr="00295E71" w:rsidR="002305EF">
        <w:rPr>
          <w:sz w:val="22"/>
          <w:szCs w:val="22"/>
        </w:rPr>
        <w:t xml:space="preserve">Se </w:t>
      </w:r>
      <w:r w:rsidRPr="00295E71">
        <w:rPr>
          <w:sz w:val="22"/>
          <w:szCs w:val="22"/>
        </w:rPr>
        <w:t>lui/lei sviluppa</w:t>
      </w:r>
      <w:r w:rsidRPr="00295E71" w:rsidR="002305EF">
        <w:rPr>
          <w:sz w:val="22"/>
          <w:szCs w:val="22"/>
        </w:rPr>
        <w:t xml:space="preserve"> nuovi sintomi di insufficienza cardiaca o se i sintomi già esistenti dovessero peggiorare (</w:t>
      </w:r>
      <w:r w:rsidRPr="00295E71">
        <w:rPr>
          <w:sz w:val="22"/>
          <w:szCs w:val="22"/>
        </w:rPr>
        <w:t>ad es.</w:t>
      </w:r>
      <w:r w:rsidRPr="00295E71" w:rsidR="002305EF">
        <w:rPr>
          <w:sz w:val="22"/>
          <w:szCs w:val="22"/>
        </w:rPr>
        <w:t xml:space="preserve"> respiro corto o gonfiore dei piedi), contatti immediatamente il medico. Il medico deciderà se il bambino può assumere Humira.</w:t>
      </w:r>
    </w:p>
    <w:p w:rsidR="00AB1C4F" w:rsidRPr="00295E71" w:rsidP="00AB1C4F" w14:paraId="057F6696" w14:textId="77777777">
      <w:pPr>
        <w:tabs>
          <w:tab w:val="left" w:pos="540"/>
        </w:tabs>
        <w:jc w:val="both"/>
        <w:rPr>
          <w:sz w:val="22"/>
          <w:szCs w:val="22"/>
        </w:rPr>
      </w:pPr>
    </w:p>
    <w:p w:rsidR="00AB1C4F" w:rsidRPr="00295E71" w:rsidP="00AB1C4F" w14:paraId="038F30A8" w14:textId="77777777">
      <w:pPr>
        <w:tabs>
          <w:tab w:val="left" w:pos="540"/>
        </w:tabs>
        <w:jc w:val="both"/>
        <w:rPr>
          <w:sz w:val="22"/>
          <w:szCs w:val="22"/>
          <w:u w:val="single"/>
        </w:rPr>
      </w:pPr>
      <w:r w:rsidRPr="00295E71">
        <w:rPr>
          <w:sz w:val="22"/>
          <w:szCs w:val="22"/>
          <w:u w:val="single"/>
        </w:rPr>
        <w:t>Febbre, lividi, emorragie o pallore,</w:t>
      </w:r>
    </w:p>
    <w:p w:rsidR="002305EF" w:rsidRPr="00295E71" w:rsidP="002305EF" w14:paraId="274A5E4C" w14:textId="77777777">
      <w:pPr>
        <w:tabs>
          <w:tab w:val="left" w:pos="540"/>
        </w:tabs>
        <w:ind w:left="540"/>
        <w:jc w:val="both"/>
        <w:rPr>
          <w:sz w:val="22"/>
          <w:szCs w:val="22"/>
        </w:rPr>
      </w:pPr>
    </w:p>
    <w:p w:rsidR="002305EF" w:rsidRPr="00295E71" w:rsidP="00DE14AF" w14:paraId="6B10451A" w14:textId="77777777">
      <w:pPr>
        <w:numPr>
          <w:ilvl w:val="0"/>
          <w:numId w:val="5"/>
        </w:numPr>
        <w:tabs>
          <w:tab w:val="left" w:pos="540"/>
        </w:tabs>
        <w:jc w:val="both"/>
        <w:rPr>
          <w:sz w:val="22"/>
          <w:szCs w:val="22"/>
        </w:rPr>
      </w:pPr>
      <w:r w:rsidRPr="00295E71">
        <w:rPr>
          <w:sz w:val="22"/>
          <w:szCs w:val="22"/>
        </w:rPr>
        <w:t>In alcuni pazienti l’organismo può non essere in grado di produrre un quantitativo di cellule ematiche sufficiente e tale da combattere le infezioni o ad arrestare un’emorragia. Il medico potrebbe decidere di interrompere la terapia. Nel caso in cui il bam</w:t>
      </w:r>
      <w:r w:rsidRPr="00295E71" w:rsidR="00E60BDD">
        <w:rPr>
          <w:sz w:val="22"/>
          <w:szCs w:val="22"/>
        </w:rPr>
        <w:t>bino abbia febbre persistente, svilupp</w:t>
      </w:r>
      <w:r w:rsidRPr="00295E71" w:rsidR="00ED7E12">
        <w:rPr>
          <w:sz w:val="22"/>
          <w:szCs w:val="22"/>
        </w:rPr>
        <w:t>i</w:t>
      </w:r>
      <w:r w:rsidRPr="00295E71" w:rsidR="00E60BDD">
        <w:rPr>
          <w:sz w:val="22"/>
          <w:szCs w:val="22"/>
        </w:rPr>
        <w:t xml:space="preserve"> lievi l</w:t>
      </w:r>
      <w:r w:rsidRPr="00295E71">
        <w:rPr>
          <w:sz w:val="22"/>
          <w:szCs w:val="22"/>
        </w:rPr>
        <w:t xml:space="preserve">ividi o facilità di </w:t>
      </w:r>
      <w:r w:rsidRPr="00295E71" w:rsidR="002E3E62">
        <w:rPr>
          <w:sz w:val="22"/>
          <w:szCs w:val="22"/>
        </w:rPr>
        <w:t xml:space="preserve">sanguinamento </w:t>
      </w:r>
      <w:r w:rsidRPr="00295E71">
        <w:rPr>
          <w:sz w:val="22"/>
          <w:szCs w:val="22"/>
        </w:rPr>
        <w:t>o pallore, si rivolga</w:t>
      </w:r>
      <w:r w:rsidRPr="00295E71" w:rsidR="00E60BDD">
        <w:rPr>
          <w:sz w:val="22"/>
          <w:szCs w:val="22"/>
        </w:rPr>
        <w:t xml:space="preserve"> </w:t>
      </w:r>
      <w:r w:rsidRPr="00295E71">
        <w:rPr>
          <w:sz w:val="22"/>
          <w:szCs w:val="22"/>
        </w:rPr>
        <w:t xml:space="preserve">immediatamente al medico. </w:t>
      </w:r>
      <w:r w:rsidRPr="00295E71">
        <w:rPr>
          <w:sz w:val="22"/>
          <w:szCs w:val="22"/>
        </w:rPr>
        <w:br/>
      </w:r>
    </w:p>
    <w:p w:rsidR="00E60BDD" w:rsidRPr="00295E71" w:rsidP="00E60BDD" w14:paraId="6A37D8D3" w14:textId="77777777">
      <w:pPr>
        <w:rPr>
          <w:sz w:val="22"/>
          <w:szCs w:val="22"/>
        </w:rPr>
      </w:pPr>
      <w:r w:rsidRPr="00295E71">
        <w:rPr>
          <w:sz w:val="22"/>
          <w:szCs w:val="22"/>
          <w:u w:val="single"/>
        </w:rPr>
        <w:t>Tumor</w:t>
      </w:r>
      <w:r w:rsidRPr="00295E71" w:rsidR="00ED7E12">
        <w:rPr>
          <w:sz w:val="22"/>
          <w:szCs w:val="22"/>
          <w:u w:val="single"/>
        </w:rPr>
        <w:t>e</w:t>
      </w:r>
    </w:p>
    <w:p w:rsidR="00E60BDD" w:rsidRPr="00295E71" w:rsidP="00E60BDD" w14:paraId="7B860385" w14:textId="77777777">
      <w:pPr>
        <w:tabs>
          <w:tab w:val="left" w:pos="540"/>
        </w:tabs>
        <w:ind w:left="540"/>
        <w:jc w:val="both"/>
        <w:rPr>
          <w:sz w:val="22"/>
          <w:szCs w:val="22"/>
        </w:rPr>
      </w:pPr>
    </w:p>
    <w:p w:rsidR="00381A6C" w:rsidRPr="00295E71" w:rsidP="002305EF" w14:paraId="5F420298" w14:textId="77777777">
      <w:pPr>
        <w:numPr>
          <w:ilvl w:val="0"/>
          <w:numId w:val="5"/>
        </w:numPr>
        <w:tabs>
          <w:tab w:val="clear" w:pos="360"/>
          <w:tab w:val="left" w:pos="540"/>
        </w:tabs>
        <w:ind w:left="540" w:hanging="540"/>
        <w:jc w:val="both"/>
        <w:rPr>
          <w:sz w:val="22"/>
          <w:szCs w:val="22"/>
        </w:rPr>
      </w:pPr>
      <w:r w:rsidRPr="00295E71">
        <w:rPr>
          <w:sz w:val="22"/>
          <w:szCs w:val="22"/>
        </w:rPr>
        <w:t xml:space="preserve">Nei pazienti,sia bambini che adulti, sottoposti a trattamento con Humira o con altri farmaci anti-TNF, si sono manifestati molto raramente alcuni tipi di tumori. </w:t>
      </w:r>
    </w:p>
    <w:p w:rsidR="00381A6C" w:rsidRPr="00295E71" w:rsidP="00381A6C" w14:paraId="026A7609" w14:textId="77777777">
      <w:pPr>
        <w:numPr>
          <w:ilvl w:val="0"/>
          <w:numId w:val="5"/>
        </w:numPr>
        <w:tabs>
          <w:tab w:val="clear" w:pos="360"/>
          <w:tab w:val="left" w:pos="540"/>
        </w:tabs>
        <w:ind w:left="1080" w:hanging="540"/>
        <w:jc w:val="both"/>
        <w:rPr>
          <w:sz w:val="22"/>
          <w:szCs w:val="22"/>
        </w:rPr>
      </w:pPr>
      <w:r w:rsidRPr="00295E71">
        <w:rPr>
          <w:sz w:val="22"/>
          <w:szCs w:val="22"/>
        </w:rPr>
        <w:t xml:space="preserve">I pazienti </w:t>
      </w:r>
      <w:r w:rsidRPr="00295E71" w:rsidR="00224E13">
        <w:rPr>
          <w:sz w:val="22"/>
          <w:szCs w:val="22"/>
        </w:rPr>
        <w:t>con</w:t>
      </w:r>
      <w:r w:rsidRPr="00295E71">
        <w:rPr>
          <w:sz w:val="22"/>
          <w:szCs w:val="22"/>
        </w:rPr>
        <w:t xml:space="preserve"> artrite reumatoide di grave entità da molto tempo possono presentare un rischio superiore alla media di sviluppare un linfoma (un tumore che colpisce il sistema linfatico) e leucemia (un tumore che colpisce il sangue e il midollo osseo). </w:t>
      </w:r>
    </w:p>
    <w:p w:rsidR="00381A6C" w:rsidRPr="00295E71" w:rsidP="00381A6C" w14:paraId="493EF190" w14:textId="77777777">
      <w:pPr>
        <w:numPr>
          <w:ilvl w:val="0"/>
          <w:numId w:val="5"/>
        </w:numPr>
        <w:tabs>
          <w:tab w:val="clear" w:pos="360"/>
          <w:tab w:val="left" w:pos="540"/>
        </w:tabs>
        <w:ind w:left="1080" w:hanging="540"/>
        <w:jc w:val="both"/>
        <w:rPr>
          <w:sz w:val="22"/>
          <w:szCs w:val="22"/>
        </w:rPr>
      </w:pPr>
      <w:r w:rsidRPr="00295E71">
        <w:rPr>
          <w:sz w:val="22"/>
          <w:szCs w:val="22"/>
        </w:rPr>
        <w:t xml:space="preserve">Se il bambino assume Humira, il rischio di contrarre linfomi, leucemia o altri tumori può aumentare. In rare circostanze, nei pazienti sottoposti a terapia con Humira, è stato osservato un tipo specifico e grave di linfoma. Alcuni di questi pazienti erano anche in terapia con azatioprina o 6-mercaptopurina. </w:t>
      </w:r>
    </w:p>
    <w:p w:rsidR="00381A6C" w:rsidRPr="00295E71" w:rsidP="00381A6C" w14:paraId="0EC6074C" w14:textId="77777777">
      <w:pPr>
        <w:numPr>
          <w:ilvl w:val="0"/>
          <w:numId w:val="5"/>
        </w:numPr>
        <w:tabs>
          <w:tab w:val="clear" w:pos="360"/>
          <w:tab w:val="left" w:pos="540"/>
        </w:tabs>
        <w:ind w:left="1080" w:hanging="540"/>
        <w:jc w:val="both"/>
        <w:rPr>
          <w:sz w:val="22"/>
          <w:szCs w:val="22"/>
        </w:rPr>
      </w:pPr>
      <w:r w:rsidRPr="00295E71">
        <w:rPr>
          <w:sz w:val="22"/>
          <w:szCs w:val="22"/>
        </w:rPr>
        <w:t xml:space="preserve">Avvisi il medico se sta assumendo azatioprina o 6-mercaptopurina con Humira. </w:t>
      </w:r>
    </w:p>
    <w:p w:rsidR="00DE14AF" w:rsidRPr="00295E71" w:rsidP="00381A6C" w14:paraId="5E129AE4" w14:textId="77777777">
      <w:pPr>
        <w:numPr>
          <w:ilvl w:val="0"/>
          <w:numId w:val="5"/>
        </w:numPr>
        <w:tabs>
          <w:tab w:val="clear" w:pos="360"/>
          <w:tab w:val="left" w:pos="540"/>
        </w:tabs>
        <w:ind w:left="1080" w:hanging="540"/>
        <w:jc w:val="both"/>
        <w:rPr>
          <w:sz w:val="22"/>
          <w:szCs w:val="22"/>
        </w:rPr>
      </w:pPr>
      <w:r>
        <w:rPr>
          <w:sz w:val="22"/>
          <w:szCs w:val="22"/>
        </w:rPr>
        <w:t>N</w:t>
      </w:r>
      <w:r w:rsidRPr="00295E71" w:rsidR="002305EF">
        <w:rPr>
          <w:sz w:val="22"/>
          <w:szCs w:val="22"/>
        </w:rPr>
        <w:t xml:space="preserve">ei pazienti che assumono Humira, sono stati osservati casi di carcinoma cutaneo non melanotico. </w:t>
      </w:r>
    </w:p>
    <w:p w:rsidR="002305EF" w:rsidRPr="00295E71" w:rsidP="00381A6C" w14:paraId="0ACD0415" w14:textId="77777777">
      <w:pPr>
        <w:numPr>
          <w:ilvl w:val="0"/>
          <w:numId w:val="5"/>
        </w:numPr>
        <w:tabs>
          <w:tab w:val="clear" w:pos="360"/>
          <w:tab w:val="left" w:pos="540"/>
        </w:tabs>
        <w:ind w:left="1080" w:hanging="540"/>
        <w:jc w:val="both"/>
        <w:rPr>
          <w:sz w:val="22"/>
          <w:szCs w:val="22"/>
        </w:rPr>
      </w:pPr>
      <w:r w:rsidRPr="00295E71">
        <w:rPr>
          <w:sz w:val="22"/>
          <w:szCs w:val="22"/>
        </w:rPr>
        <w:t>Se dovessero comparire nuove lesioni cutanee nel corso della terapia o successivamente ad essa o se l’aspetto delle lesioni già esistenti si dovesse modificare, lo riferisca al medico.</w:t>
      </w:r>
    </w:p>
    <w:p w:rsidR="002305EF" w:rsidRPr="00295E71" w:rsidP="00381A6C" w14:paraId="762258A4" w14:textId="77777777">
      <w:pPr>
        <w:tabs>
          <w:tab w:val="left" w:pos="567"/>
        </w:tabs>
        <w:ind w:left="540"/>
        <w:jc w:val="both"/>
        <w:rPr>
          <w:sz w:val="22"/>
          <w:szCs w:val="22"/>
        </w:rPr>
      </w:pPr>
    </w:p>
    <w:p w:rsidR="00DE14AF" w:rsidRPr="00295E71" w:rsidP="00DE14AF" w14:paraId="1EAF8291" w14:textId="77777777">
      <w:pPr>
        <w:numPr>
          <w:ilvl w:val="0"/>
          <w:numId w:val="5"/>
        </w:numPr>
        <w:tabs>
          <w:tab w:val="left" w:pos="540"/>
        </w:tabs>
        <w:jc w:val="both"/>
        <w:rPr>
          <w:sz w:val="22"/>
          <w:szCs w:val="22"/>
        </w:rPr>
      </w:pPr>
      <w:r w:rsidRPr="00295E71">
        <w:rPr>
          <w:sz w:val="22"/>
          <w:szCs w:val="22"/>
        </w:rPr>
        <w:t>Ci sono stati casi di neoplasie, oltre al linfoma, in pazienti con uno specifico tipo di malattia del polmone chiamata Malattia Polmonare Cronica Ostruttiva (COPD) trattati con un altro anti-TNF. Se il bambino soffre di COPD, o fuma molto, deve discutere con il medico se è appropriato il trattamento con un anti-TNF.</w:t>
      </w:r>
    </w:p>
    <w:p w:rsidR="00DE14AF" w:rsidRPr="00295E71" w:rsidP="00DE14AF" w14:paraId="4E30B93C" w14:textId="77777777">
      <w:pPr>
        <w:tabs>
          <w:tab w:val="left" w:pos="540"/>
        </w:tabs>
        <w:jc w:val="both"/>
        <w:rPr>
          <w:sz w:val="22"/>
          <w:szCs w:val="22"/>
        </w:rPr>
      </w:pPr>
    </w:p>
    <w:p w:rsidR="00DE14AF" w:rsidRPr="00295E71" w:rsidP="00DE14AF" w14:paraId="3E3F145B" w14:textId="77777777">
      <w:pPr>
        <w:tabs>
          <w:tab w:val="left" w:pos="540"/>
        </w:tabs>
        <w:jc w:val="both"/>
        <w:rPr>
          <w:sz w:val="22"/>
          <w:szCs w:val="22"/>
          <w:u w:val="single"/>
        </w:rPr>
      </w:pPr>
      <w:r w:rsidRPr="00295E71">
        <w:rPr>
          <w:sz w:val="22"/>
          <w:szCs w:val="22"/>
          <w:u w:val="single"/>
        </w:rPr>
        <w:t>Malatti</w:t>
      </w:r>
      <w:r w:rsidRPr="00295E71" w:rsidR="00ED7E12">
        <w:rPr>
          <w:sz w:val="22"/>
          <w:szCs w:val="22"/>
          <w:u w:val="single"/>
        </w:rPr>
        <w:t>a</w:t>
      </w:r>
      <w:r w:rsidRPr="00295E71">
        <w:rPr>
          <w:sz w:val="22"/>
          <w:szCs w:val="22"/>
          <w:u w:val="single"/>
        </w:rPr>
        <w:t xml:space="preserve"> autoimmun</w:t>
      </w:r>
      <w:r w:rsidRPr="00295E71" w:rsidR="00ED7E12">
        <w:rPr>
          <w:sz w:val="22"/>
          <w:szCs w:val="22"/>
          <w:u w:val="single"/>
        </w:rPr>
        <w:t>e</w:t>
      </w:r>
    </w:p>
    <w:p w:rsidR="00DE14AF" w:rsidRPr="00295E71" w:rsidP="00DE14AF" w14:paraId="14FCAD92" w14:textId="77777777">
      <w:pPr>
        <w:tabs>
          <w:tab w:val="left" w:pos="540"/>
        </w:tabs>
        <w:jc w:val="both"/>
        <w:rPr>
          <w:sz w:val="22"/>
          <w:szCs w:val="22"/>
        </w:rPr>
      </w:pPr>
    </w:p>
    <w:p w:rsidR="00DE14AF" w:rsidRPr="00295E71" w:rsidP="00DA5FB6" w14:paraId="3C9B6A98" w14:textId="77777777">
      <w:pPr>
        <w:pStyle w:val="ListParagraph"/>
        <w:numPr>
          <w:ilvl w:val="0"/>
          <w:numId w:val="133"/>
        </w:numPr>
        <w:tabs>
          <w:tab w:val="left" w:pos="540"/>
        </w:tabs>
        <w:jc w:val="both"/>
        <w:rPr>
          <w:sz w:val="22"/>
          <w:szCs w:val="22"/>
        </w:rPr>
      </w:pPr>
      <w:r w:rsidRPr="00295E71">
        <w:rPr>
          <w:sz w:val="22"/>
          <w:szCs w:val="22"/>
        </w:rPr>
        <w:t xml:space="preserve">Raramente, il trattamento con Humira può </w:t>
      </w:r>
      <w:r w:rsidRPr="00295E71" w:rsidR="005C7DCB">
        <w:rPr>
          <w:sz w:val="22"/>
          <w:szCs w:val="22"/>
        </w:rPr>
        <w:t>portare alla manifestazione di una sindrome</w:t>
      </w:r>
      <w:r w:rsidRPr="00295E71" w:rsidR="003876C1">
        <w:rPr>
          <w:sz w:val="22"/>
          <w:szCs w:val="22"/>
        </w:rPr>
        <w:t xml:space="preserve"> come il</w:t>
      </w:r>
      <w:r w:rsidRPr="00295E71" w:rsidR="005C7DCB">
        <w:rPr>
          <w:sz w:val="22"/>
          <w:szCs w:val="22"/>
        </w:rPr>
        <w:t xml:space="preserve"> lupus. Informi il medico qualora si manifestino sintomi come eruzione cutanea persistente di natura inspiegabile, febbre, dolore alle articolazioni o affaticamento.</w:t>
      </w:r>
    </w:p>
    <w:p w:rsidR="002305EF" w:rsidRPr="00295E71" w:rsidP="002305EF" w14:paraId="315517AB" w14:textId="77777777">
      <w:pPr>
        <w:pStyle w:val="EndnoteText"/>
        <w:jc w:val="both"/>
        <w:rPr>
          <w:lang w:val="it-IT"/>
        </w:rPr>
      </w:pPr>
    </w:p>
    <w:p w:rsidR="002305EF" w:rsidRPr="00295E71" w:rsidP="002305EF" w14:paraId="2879DBC8" w14:textId="77777777">
      <w:pPr>
        <w:jc w:val="both"/>
        <w:rPr>
          <w:sz w:val="22"/>
          <w:szCs w:val="22"/>
          <w:lang w:eastAsia="en-US"/>
        </w:rPr>
      </w:pPr>
    </w:p>
    <w:p w:rsidR="002305EF" w:rsidRPr="00295E71" w:rsidP="002305EF" w14:paraId="65F14745" w14:textId="77777777">
      <w:pPr>
        <w:pStyle w:val="Heading9"/>
        <w:keepNext w:val="0"/>
        <w:jc w:val="both"/>
        <w:rPr>
          <w:sz w:val="22"/>
          <w:szCs w:val="22"/>
          <w:lang w:val="it-IT"/>
        </w:rPr>
      </w:pPr>
      <w:r w:rsidRPr="00295E71">
        <w:rPr>
          <w:sz w:val="22"/>
          <w:szCs w:val="22"/>
          <w:lang w:val="it-IT" w:eastAsia="en-US"/>
        </w:rPr>
        <w:t>Altri medicinali e Humira</w:t>
      </w:r>
    </w:p>
    <w:p w:rsidR="002305EF" w:rsidRPr="00295E71" w:rsidP="002305EF" w14:paraId="74480412" w14:textId="77777777">
      <w:pPr>
        <w:jc w:val="both"/>
        <w:rPr>
          <w:sz w:val="22"/>
          <w:szCs w:val="22"/>
        </w:rPr>
      </w:pPr>
    </w:p>
    <w:p w:rsidR="002305EF" w:rsidRPr="00295E71" w:rsidP="002305EF" w14:paraId="09D116DC" w14:textId="77777777">
      <w:pPr>
        <w:jc w:val="both"/>
        <w:rPr>
          <w:sz w:val="22"/>
          <w:szCs w:val="22"/>
        </w:rPr>
      </w:pPr>
      <w:r w:rsidRPr="00295E71">
        <w:rPr>
          <w:sz w:val="22"/>
          <w:szCs w:val="22"/>
        </w:rPr>
        <w:t xml:space="preserve">Informi il </w:t>
      </w:r>
      <w:r w:rsidRPr="00295E71" w:rsidR="00D23C20">
        <w:rPr>
          <w:sz w:val="22"/>
          <w:szCs w:val="22"/>
        </w:rPr>
        <w:t>medico</w:t>
      </w:r>
      <w:r w:rsidRPr="00295E71">
        <w:rPr>
          <w:sz w:val="22"/>
          <w:szCs w:val="22"/>
        </w:rPr>
        <w:t xml:space="preserve"> o il farmacista se il bambino sta assumendo, ha recentemente assunto o potrebbe assumere qualsiasi altro medicinale.</w:t>
      </w:r>
    </w:p>
    <w:p w:rsidR="002305EF" w:rsidRPr="00295E71" w:rsidP="002305EF" w14:paraId="3566B430" w14:textId="77777777">
      <w:pPr>
        <w:jc w:val="both"/>
        <w:rPr>
          <w:sz w:val="22"/>
          <w:szCs w:val="22"/>
        </w:rPr>
      </w:pPr>
    </w:p>
    <w:p w:rsidR="00ED3290" w:rsidRPr="00295E71" w:rsidP="00ED3290" w14:paraId="401B6D1B" w14:textId="77777777">
      <w:pPr>
        <w:jc w:val="both"/>
        <w:rPr>
          <w:sz w:val="22"/>
          <w:szCs w:val="22"/>
        </w:rPr>
      </w:pPr>
      <w:r w:rsidRPr="00295E71">
        <w:rPr>
          <w:sz w:val="22"/>
          <w:szCs w:val="22"/>
        </w:rPr>
        <w:t>Il bambino  non deve usare Humira con medicinali che contengono i seguenti principi attivi a causa del rischio aumentato di avere infezioni gravi:</w:t>
      </w:r>
    </w:p>
    <w:p w:rsidR="00ED3290" w:rsidRPr="00295E71" w:rsidP="00ED3290" w14:paraId="77356C36" w14:textId="77777777">
      <w:pPr>
        <w:pStyle w:val="ListParagraph"/>
        <w:numPr>
          <w:ilvl w:val="0"/>
          <w:numId w:val="49"/>
        </w:numPr>
        <w:jc w:val="both"/>
        <w:rPr>
          <w:sz w:val="22"/>
          <w:szCs w:val="22"/>
        </w:rPr>
      </w:pPr>
      <w:r w:rsidRPr="00295E71">
        <w:rPr>
          <w:sz w:val="22"/>
          <w:szCs w:val="22"/>
        </w:rPr>
        <w:t xml:space="preserve">anakinra </w:t>
      </w:r>
    </w:p>
    <w:p w:rsidR="00ED3290" w:rsidRPr="00295E71" w:rsidP="00ED3290" w14:paraId="578557CA" w14:textId="77777777">
      <w:pPr>
        <w:pStyle w:val="ListParagraph"/>
        <w:numPr>
          <w:ilvl w:val="0"/>
          <w:numId w:val="49"/>
        </w:numPr>
        <w:jc w:val="both"/>
        <w:rPr>
          <w:sz w:val="22"/>
          <w:szCs w:val="22"/>
        </w:rPr>
      </w:pPr>
      <w:r w:rsidRPr="00295E71">
        <w:rPr>
          <w:sz w:val="22"/>
          <w:szCs w:val="22"/>
        </w:rPr>
        <w:t xml:space="preserve">abatacept. </w:t>
      </w:r>
    </w:p>
    <w:p w:rsidR="00ED3290" w:rsidRPr="00295E71" w:rsidP="00ED3290" w14:paraId="3185CA1C" w14:textId="77777777">
      <w:pPr>
        <w:jc w:val="both"/>
        <w:rPr>
          <w:sz w:val="22"/>
          <w:szCs w:val="22"/>
        </w:rPr>
      </w:pPr>
    </w:p>
    <w:p w:rsidR="00ED3290" w:rsidRPr="00295E71" w:rsidP="00ED3290" w14:paraId="74A752F5" w14:textId="77777777">
      <w:pPr>
        <w:jc w:val="both"/>
        <w:rPr>
          <w:sz w:val="22"/>
          <w:szCs w:val="22"/>
        </w:rPr>
      </w:pPr>
      <w:r w:rsidRPr="00295E71">
        <w:rPr>
          <w:sz w:val="22"/>
          <w:szCs w:val="22"/>
        </w:rPr>
        <w:t>Humira può essere assunto con:</w:t>
      </w:r>
    </w:p>
    <w:p w:rsidR="00ED3290" w:rsidRPr="00295E71" w:rsidP="00ED3290" w14:paraId="52268973" w14:textId="77777777">
      <w:pPr>
        <w:pStyle w:val="ListParagraph"/>
        <w:numPr>
          <w:ilvl w:val="0"/>
          <w:numId w:val="119"/>
        </w:numPr>
        <w:jc w:val="both"/>
        <w:rPr>
          <w:sz w:val="22"/>
          <w:szCs w:val="22"/>
        </w:rPr>
      </w:pPr>
      <w:r w:rsidRPr="00295E71">
        <w:rPr>
          <w:sz w:val="22"/>
          <w:szCs w:val="22"/>
        </w:rPr>
        <w:t xml:space="preserve">metotressato </w:t>
      </w:r>
    </w:p>
    <w:p w:rsidR="00ED3290" w:rsidRPr="00295E71" w:rsidP="00ED3290" w14:paraId="2B73D1C7" w14:textId="77777777">
      <w:pPr>
        <w:pStyle w:val="ListParagraph"/>
        <w:numPr>
          <w:ilvl w:val="0"/>
          <w:numId w:val="119"/>
        </w:numPr>
        <w:jc w:val="both"/>
        <w:rPr>
          <w:sz w:val="22"/>
          <w:szCs w:val="22"/>
        </w:rPr>
      </w:pPr>
      <w:r w:rsidRPr="00295E71">
        <w:rPr>
          <w:sz w:val="22"/>
          <w:szCs w:val="22"/>
        </w:rPr>
        <w:t xml:space="preserve">altri farmaci antireumatici modificanti la malattia (ad esempio sulfasalazina, idrossiclorochina, leflunomide e sali d’oro per via parenterale) </w:t>
      </w:r>
    </w:p>
    <w:p w:rsidR="00ED3290" w:rsidRPr="00295E71" w:rsidP="00ED3290" w14:paraId="15438055" w14:textId="77777777">
      <w:pPr>
        <w:pStyle w:val="ListParagraph"/>
        <w:numPr>
          <w:ilvl w:val="0"/>
          <w:numId w:val="119"/>
        </w:numPr>
        <w:jc w:val="both"/>
        <w:rPr>
          <w:sz w:val="22"/>
          <w:szCs w:val="22"/>
        </w:rPr>
      </w:pPr>
      <w:r w:rsidRPr="00295E71">
        <w:rPr>
          <w:sz w:val="22"/>
          <w:szCs w:val="22"/>
        </w:rPr>
        <w:t>steroidi o analgesici, compresi i farmaci anti-infiammatori non steroidei (FANS).</w:t>
      </w:r>
    </w:p>
    <w:p w:rsidR="00ED3290" w:rsidRPr="00295E71" w:rsidP="00ED3290" w14:paraId="599F09D4" w14:textId="77777777">
      <w:pPr>
        <w:numPr>
          <w:ilvl w:val="12"/>
          <w:numId w:val="0"/>
        </w:numPr>
        <w:tabs>
          <w:tab w:val="left" w:pos="567"/>
        </w:tabs>
        <w:ind w:right="-2"/>
        <w:jc w:val="both"/>
        <w:rPr>
          <w:sz w:val="22"/>
          <w:szCs w:val="22"/>
        </w:rPr>
      </w:pPr>
    </w:p>
    <w:p w:rsidR="002305EF" w:rsidRPr="00295E71" w:rsidP="00ED3290" w14:paraId="4548F8C2" w14:textId="77777777">
      <w:pPr>
        <w:numPr>
          <w:ilvl w:val="12"/>
          <w:numId w:val="0"/>
        </w:numPr>
        <w:tabs>
          <w:tab w:val="left" w:pos="567"/>
        </w:tabs>
        <w:ind w:right="-2"/>
        <w:jc w:val="both"/>
        <w:rPr>
          <w:sz w:val="22"/>
          <w:szCs w:val="22"/>
        </w:rPr>
      </w:pPr>
      <w:r w:rsidRPr="00295E71">
        <w:rPr>
          <w:sz w:val="22"/>
          <w:szCs w:val="22"/>
        </w:rPr>
        <w:t>Se ha dubbi, si rivolga al medico.</w:t>
      </w:r>
    </w:p>
    <w:p w:rsidR="002305EF" w:rsidRPr="00295E71" w:rsidP="002305EF" w14:paraId="1B7C1627" w14:textId="77777777">
      <w:pPr>
        <w:numPr>
          <w:ilvl w:val="12"/>
          <w:numId w:val="0"/>
        </w:numPr>
        <w:tabs>
          <w:tab w:val="left" w:pos="567"/>
        </w:tabs>
        <w:ind w:right="-2"/>
        <w:jc w:val="both"/>
        <w:rPr>
          <w:sz w:val="22"/>
          <w:szCs w:val="22"/>
        </w:rPr>
      </w:pPr>
    </w:p>
    <w:p w:rsidR="002305EF" w:rsidRPr="00295E71" w:rsidP="002305EF" w14:paraId="026A8A52" w14:textId="77777777">
      <w:pPr>
        <w:pStyle w:val="Heading9"/>
        <w:keepLines/>
        <w:tabs>
          <w:tab w:val="left" w:pos="567"/>
        </w:tabs>
        <w:jc w:val="both"/>
        <w:rPr>
          <w:sz w:val="22"/>
          <w:szCs w:val="22"/>
          <w:lang w:val="it-IT" w:eastAsia="en-US"/>
        </w:rPr>
      </w:pPr>
      <w:r w:rsidRPr="00295E71">
        <w:rPr>
          <w:sz w:val="22"/>
          <w:szCs w:val="22"/>
          <w:lang w:val="it-IT" w:eastAsia="en-US"/>
        </w:rPr>
        <w:t>Gravidanza e allattamento</w:t>
      </w:r>
    </w:p>
    <w:p w:rsidR="002305EF" w:rsidRPr="00295E71" w:rsidP="002305EF" w14:paraId="4C492F73" w14:textId="77777777">
      <w:pPr>
        <w:keepNext/>
        <w:keepLines/>
        <w:numPr>
          <w:ilvl w:val="12"/>
          <w:numId w:val="0"/>
        </w:numPr>
        <w:tabs>
          <w:tab w:val="left" w:pos="567"/>
        </w:tabs>
        <w:ind w:right="-2"/>
        <w:jc w:val="both"/>
        <w:rPr>
          <w:sz w:val="22"/>
          <w:szCs w:val="22"/>
        </w:rPr>
      </w:pPr>
    </w:p>
    <w:p w:rsidR="002305EF" w:rsidP="007E6E3E" w14:paraId="2EAE2972" w14:textId="77777777">
      <w:pPr>
        <w:pStyle w:val="ListParagraph"/>
        <w:keepNext/>
        <w:keepLines/>
        <w:numPr>
          <w:ilvl w:val="0"/>
          <w:numId w:val="143"/>
        </w:numPr>
        <w:tabs>
          <w:tab w:val="left" w:pos="-284"/>
        </w:tabs>
        <w:ind w:left="426" w:right="-2"/>
        <w:jc w:val="both"/>
        <w:rPr>
          <w:sz w:val="22"/>
          <w:szCs w:val="22"/>
        </w:rPr>
      </w:pPr>
      <w:r>
        <w:rPr>
          <w:sz w:val="22"/>
          <w:szCs w:val="22"/>
        </w:rPr>
        <w:t>La</w:t>
      </w:r>
      <w:r w:rsidRPr="00295E71" w:rsidR="00ED3290">
        <w:rPr>
          <w:sz w:val="22"/>
          <w:szCs w:val="22"/>
        </w:rPr>
        <w:t xml:space="preserve"> </w:t>
      </w:r>
      <w:r w:rsidR="002D524B">
        <w:rPr>
          <w:sz w:val="22"/>
          <w:szCs w:val="22"/>
        </w:rPr>
        <w:t>ragazza</w:t>
      </w:r>
      <w:r>
        <w:rPr>
          <w:sz w:val="22"/>
          <w:szCs w:val="22"/>
        </w:rPr>
        <w:t xml:space="preserve"> deve considerare l’utilizzo</w:t>
      </w:r>
      <w:r w:rsidRPr="00295E71" w:rsidR="00ED3290">
        <w:rPr>
          <w:sz w:val="22"/>
          <w:szCs w:val="22"/>
        </w:rPr>
        <w:t xml:space="preserve"> </w:t>
      </w:r>
      <w:r>
        <w:rPr>
          <w:sz w:val="22"/>
          <w:szCs w:val="22"/>
        </w:rPr>
        <w:t xml:space="preserve">di </w:t>
      </w:r>
      <w:r w:rsidRPr="00295E71">
        <w:rPr>
          <w:sz w:val="22"/>
          <w:szCs w:val="22"/>
        </w:rPr>
        <w:t>un’adeguata misura contraccettiva</w:t>
      </w:r>
      <w:r>
        <w:rPr>
          <w:sz w:val="22"/>
          <w:szCs w:val="22"/>
        </w:rPr>
        <w:t xml:space="preserve"> per prevenire una gravidanza</w:t>
      </w:r>
      <w:r w:rsidRPr="00295E71">
        <w:rPr>
          <w:sz w:val="22"/>
          <w:szCs w:val="22"/>
        </w:rPr>
        <w:t xml:space="preserve"> e </w:t>
      </w:r>
      <w:r>
        <w:rPr>
          <w:sz w:val="22"/>
          <w:szCs w:val="22"/>
        </w:rPr>
        <w:t>continuar</w:t>
      </w:r>
      <w:r w:rsidR="009815B3">
        <w:rPr>
          <w:sz w:val="22"/>
          <w:szCs w:val="22"/>
        </w:rPr>
        <w:t>ne l’utilizz</w:t>
      </w:r>
      <w:r>
        <w:rPr>
          <w:sz w:val="22"/>
          <w:szCs w:val="22"/>
        </w:rPr>
        <w:t xml:space="preserve">o </w:t>
      </w:r>
      <w:r w:rsidRPr="00295E71">
        <w:rPr>
          <w:sz w:val="22"/>
          <w:szCs w:val="22"/>
        </w:rPr>
        <w:t xml:space="preserve">per almeno 5 mesi dopo l’ultima terapia con </w:t>
      </w:r>
      <w:r>
        <w:rPr>
          <w:sz w:val="22"/>
          <w:szCs w:val="22"/>
        </w:rPr>
        <w:t>Humira</w:t>
      </w:r>
      <w:r w:rsidRPr="00295E71">
        <w:rPr>
          <w:sz w:val="22"/>
          <w:szCs w:val="22"/>
        </w:rPr>
        <w:t>.</w:t>
      </w:r>
    </w:p>
    <w:p w:rsidR="00A763E4" w:rsidRPr="00A763E4" w:rsidP="00A763E4" w14:paraId="6A78BCA6" w14:textId="77777777">
      <w:pPr>
        <w:pStyle w:val="ListParagraph"/>
        <w:keepNext/>
        <w:keepLines/>
        <w:numPr>
          <w:ilvl w:val="0"/>
          <w:numId w:val="143"/>
        </w:numPr>
        <w:tabs>
          <w:tab w:val="left" w:pos="-284"/>
        </w:tabs>
        <w:ind w:left="426" w:right="-2"/>
        <w:jc w:val="both"/>
        <w:rPr>
          <w:sz w:val="22"/>
          <w:szCs w:val="22"/>
        </w:rPr>
      </w:pPr>
      <w:r w:rsidRPr="00A763E4">
        <w:rPr>
          <w:sz w:val="22"/>
          <w:szCs w:val="22"/>
        </w:rPr>
        <w:t xml:space="preserve">Se la </w:t>
      </w:r>
      <w:r w:rsidR="002D524B">
        <w:rPr>
          <w:sz w:val="22"/>
          <w:szCs w:val="22"/>
        </w:rPr>
        <w:t>ragazza</w:t>
      </w:r>
      <w:r w:rsidRPr="00A763E4">
        <w:rPr>
          <w:sz w:val="22"/>
          <w:szCs w:val="22"/>
        </w:rPr>
        <w:t xml:space="preserve"> è in stato di gravidanza, se sospetta o sta pianificando una gravidanza chieda consiglio al suo medico </w:t>
      </w:r>
      <w:r w:rsidR="0004749D">
        <w:rPr>
          <w:sz w:val="22"/>
          <w:szCs w:val="22"/>
        </w:rPr>
        <w:t>circa l’assunzione di</w:t>
      </w:r>
      <w:r w:rsidRPr="00A763E4">
        <w:rPr>
          <w:sz w:val="22"/>
          <w:szCs w:val="22"/>
        </w:rPr>
        <w:t xml:space="preserve"> questo medicinale.</w:t>
      </w:r>
    </w:p>
    <w:p w:rsidR="00A763E4" w:rsidRPr="00A763E4" w:rsidP="00A763E4" w14:paraId="34EA1C06" w14:textId="77777777">
      <w:pPr>
        <w:pStyle w:val="ListParagraph"/>
        <w:keepNext/>
        <w:keepLines/>
        <w:numPr>
          <w:ilvl w:val="0"/>
          <w:numId w:val="143"/>
        </w:numPr>
        <w:tabs>
          <w:tab w:val="left" w:pos="-284"/>
        </w:tabs>
        <w:ind w:left="426" w:right="-2"/>
        <w:jc w:val="both"/>
        <w:rPr>
          <w:sz w:val="22"/>
          <w:szCs w:val="22"/>
        </w:rPr>
      </w:pPr>
      <w:r w:rsidRPr="00A763E4">
        <w:rPr>
          <w:sz w:val="22"/>
          <w:szCs w:val="22"/>
        </w:rPr>
        <w:t>Humira deve essere usato durante la gravidanza solo se necessario.</w:t>
      </w:r>
    </w:p>
    <w:p w:rsidR="00A763E4" w:rsidRPr="00A763E4" w:rsidP="00A763E4" w14:paraId="1441E55A" w14:textId="77777777">
      <w:pPr>
        <w:pStyle w:val="ListParagraph"/>
        <w:keepNext/>
        <w:keepLines/>
        <w:numPr>
          <w:ilvl w:val="0"/>
          <w:numId w:val="143"/>
        </w:numPr>
        <w:tabs>
          <w:tab w:val="left" w:pos="-284"/>
        </w:tabs>
        <w:ind w:left="426" w:right="-2"/>
        <w:jc w:val="both"/>
        <w:rPr>
          <w:sz w:val="22"/>
          <w:szCs w:val="22"/>
        </w:rPr>
      </w:pPr>
      <w:r w:rsidRPr="00A763E4">
        <w:rPr>
          <w:sz w:val="22"/>
          <w:szCs w:val="22"/>
        </w:rPr>
        <w:t xml:space="preserve">Secondo uno studio sulla gravidanza, non è stato riscontrato un rischio maggiore di difetti alla nascita </w:t>
      </w:r>
      <w:r w:rsidR="00A62000">
        <w:rPr>
          <w:sz w:val="22"/>
          <w:szCs w:val="22"/>
        </w:rPr>
        <w:t xml:space="preserve">quando la madre aveva ricevuto Humira durante la gravidanza, </w:t>
      </w:r>
      <w:r w:rsidRPr="00A763E4">
        <w:rPr>
          <w:sz w:val="22"/>
          <w:szCs w:val="22"/>
        </w:rPr>
        <w:t>rispetto a madri che avevano la stessa patologia ma che non avevano ricevuto Humira.</w:t>
      </w:r>
    </w:p>
    <w:p w:rsidR="00A763E4" w:rsidRPr="00A763E4" w:rsidP="00A763E4" w14:paraId="3F087900" w14:textId="77777777">
      <w:pPr>
        <w:pStyle w:val="ListParagraph"/>
        <w:keepNext/>
        <w:keepLines/>
        <w:numPr>
          <w:ilvl w:val="0"/>
          <w:numId w:val="143"/>
        </w:numPr>
        <w:tabs>
          <w:tab w:val="left" w:pos="-284"/>
        </w:tabs>
        <w:ind w:left="426" w:right="-2"/>
        <w:jc w:val="both"/>
        <w:rPr>
          <w:sz w:val="22"/>
          <w:szCs w:val="22"/>
        </w:rPr>
      </w:pPr>
      <w:r w:rsidRPr="00A763E4">
        <w:rPr>
          <w:sz w:val="22"/>
          <w:szCs w:val="22"/>
        </w:rPr>
        <w:t>Humira può essere usato durante l’allattamento con latte materno.</w:t>
      </w:r>
    </w:p>
    <w:p w:rsidR="00A763E4" w:rsidRPr="007E6E3E" w:rsidP="007E6E3E" w14:paraId="4316BD88" w14:textId="77777777">
      <w:pPr>
        <w:pStyle w:val="ListParagraph"/>
        <w:keepNext/>
        <w:keepLines/>
        <w:numPr>
          <w:ilvl w:val="0"/>
          <w:numId w:val="143"/>
        </w:numPr>
        <w:tabs>
          <w:tab w:val="left" w:pos="-284"/>
        </w:tabs>
        <w:ind w:left="426" w:right="-2"/>
        <w:jc w:val="both"/>
        <w:rPr>
          <w:sz w:val="22"/>
          <w:szCs w:val="22"/>
        </w:rPr>
      </w:pPr>
      <w:r w:rsidRPr="00295E71">
        <w:t xml:space="preserve">Se la </w:t>
      </w:r>
      <w:r w:rsidR="002D524B">
        <w:t>ragazza</w:t>
      </w:r>
      <w:r w:rsidRPr="00295E71">
        <w:t xml:space="preserve"> ha assunto Humira durante la gravidanza, il suo bambino potrebbe avere un maggior rischio di contrarre un’infezione. </w:t>
      </w:r>
    </w:p>
    <w:p w:rsidR="00E048A9" w:rsidRPr="00295E71" w:rsidP="007E6E3E" w14:paraId="5A71DDA6" w14:textId="77777777">
      <w:pPr>
        <w:pStyle w:val="ListParagraph"/>
        <w:keepNext/>
        <w:keepLines/>
        <w:numPr>
          <w:ilvl w:val="0"/>
          <w:numId w:val="143"/>
        </w:numPr>
        <w:tabs>
          <w:tab w:val="left" w:pos="-284"/>
        </w:tabs>
        <w:ind w:left="426" w:right="-2"/>
        <w:jc w:val="both"/>
        <w:rPr>
          <w:sz w:val="22"/>
          <w:szCs w:val="22"/>
        </w:rPr>
      </w:pPr>
      <w:r w:rsidRPr="00295E71">
        <w:t xml:space="preserve">È importante informare il pediatra e altri operatori sanitari dell’utilizzo di Humira durante la gravidanza, prima che il bambino riceva qualsiasi vaccinazione. Per maggiori informazioni </w:t>
      </w:r>
      <w:r w:rsidR="00B6380B">
        <w:t>sulle vaccinazioni</w:t>
      </w:r>
      <w:r w:rsidR="00A763E4">
        <w:t xml:space="preserve"> </w:t>
      </w:r>
      <w:r w:rsidRPr="00295E71">
        <w:t xml:space="preserve">consulti la sezione </w:t>
      </w:r>
      <w:r w:rsidR="00A763E4">
        <w:t>“</w:t>
      </w:r>
      <w:r w:rsidRPr="00186D92" w:rsidR="00A763E4">
        <w:t>Avvertenze e precauzioni</w:t>
      </w:r>
      <w:r w:rsidR="00A763E4">
        <w:t>”</w:t>
      </w:r>
      <w:r w:rsidRPr="00295E71">
        <w:rPr>
          <w:sz w:val="22"/>
          <w:szCs w:val="22"/>
        </w:rPr>
        <w:t>.</w:t>
      </w:r>
    </w:p>
    <w:p w:rsidR="002305EF" w:rsidRPr="00295E71" w:rsidP="002305EF" w14:paraId="5D5121F0" w14:textId="77777777">
      <w:pPr>
        <w:numPr>
          <w:ilvl w:val="12"/>
          <w:numId w:val="0"/>
        </w:numPr>
        <w:tabs>
          <w:tab w:val="left" w:pos="567"/>
        </w:tabs>
        <w:ind w:right="-2"/>
        <w:jc w:val="both"/>
        <w:rPr>
          <w:sz w:val="22"/>
          <w:szCs w:val="22"/>
        </w:rPr>
      </w:pPr>
    </w:p>
    <w:p w:rsidR="002305EF" w:rsidRPr="00295E71" w:rsidP="002305EF" w14:paraId="0C8FDEF7" w14:textId="77777777">
      <w:pPr>
        <w:keepNext/>
        <w:rPr>
          <w:b/>
          <w:sz w:val="22"/>
          <w:szCs w:val="22"/>
        </w:rPr>
      </w:pPr>
      <w:r w:rsidRPr="00295E71">
        <w:rPr>
          <w:b/>
          <w:sz w:val="22"/>
          <w:szCs w:val="22"/>
        </w:rPr>
        <w:t>Guida di veicoli e utilizzo di macchinari</w:t>
      </w:r>
    </w:p>
    <w:p w:rsidR="002305EF" w:rsidRPr="00295E71" w:rsidP="002305EF" w14:paraId="066956FE" w14:textId="77777777">
      <w:pPr>
        <w:keepNext/>
        <w:numPr>
          <w:ilvl w:val="12"/>
          <w:numId w:val="0"/>
        </w:numPr>
        <w:tabs>
          <w:tab w:val="left" w:pos="567"/>
        </w:tabs>
        <w:ind w:right="-2"/>
        <w:jc w:val="both"/>
        <w:rPr>
          <w:sz w:val="22"/>
          <w:szCs w:val="22"/>
        </w:rPr>
      </w:pPr>
    </w:p>
    <w:p w:rsidR="002305EF" w:rsidP="002305EF" w14:paraId="123AF6AA" w14:textId="77777777">
      <w:pPr>
        <w:pStyle w:val="BodyText2"/>
        <w:keepNext/>
        <w:jc w:val="both"/>
        <w:rPr>
          <w:ins w:id="14552" w:author="AbbVie14" w:date="2025-05-09T10:53:00Z"/>
        </w:rPr>
      </w:pPr>
      <w:r w:rsidRPr="00295E71">
        <w:t xml:space="preserve">Humira può influenzare, benché solo in maniera modesta, la capacità </w:t>
      </w:r>
      <w:r w:rsidRPr="00295E71" w:rsidR="000D00DE">
        <w:t xml:space="preserve">del bambino </w:t>
      </w:r>
      <w:r w:rsidRPr="00295E71">
        <w:t>di guidare, andare in bicicletta</w:t>
      </w:r>
      <w:r w:rsidRPr="00295E71" w:rsidR="000D00DE">
        <w:t xml:space="preserve"> </w:t>
      </w:r>
      <w:r w:rsidRPr="00295E71">
        <w:t>o utilizzare macchinari. In seguito all’assunzione di Humira, si possono avere disturbi della vista e la sensazione che l’ambiente in cui ci si trova ruoti.</w:t>
      </w:r>
    </w:p>
    <w:p w:rsidR="00055B59" w:rsidP="002305EF" w14:paraId="7B15878F" w14:textId="77777777">
      <w:pPr>
        <w:pStyle w:val="BodyText2"/>
        <w:keepNext/>
        <w:jc w:val="both"/>
        <w:rPr>
          <w:ins w:id="14553" w:author="AbbVie14" w:date="2025-05-09T10:53:00Z"/>
        </w:rPr>
      </w:pPr>
    </w:p>
    <w:p w:rsidR="00055B59" w:rsidRPr="00055B59" w:rsidP="002305EF" w14:paraId="03FE74CF" w14:textId="77777777">
      <w:pPr>
        <w:pStyle w:val="BodyText2"/>
        <w:keepNext/>
        <w:jc w:val="both"/>
        <w:rPr>
          <w:ins w:id="14554" w:author="AbbVie14" w:date="2025-05-09T10:53:00Z"/>
          <w:b/>
          <w:bCs/>
          <w:rPrChange w:id="14555" w:author="AbbVie14" w:date="2025-05-09T10:54:00Z">
            <w:rPr/>
          </w:rPrChange>
        </w:rPr>
      </w:pPr>
      <w:ins w:id="14556" w:author="AbbVie14" w:date="2025-05-09T10:53:00Z">
        <w:r w:rsidRPr="00055B59">
          <w:rPr>
            <w:b/>
            <w:bCs/>
            <w:rPrChange w:id="14557" w:author="AbbVie14" w:date="2025-05-09T10:54:00Z">
              <w:rPr/>
            </w:rPrChange>
          </w:rPr>
          <w:t>Humira contiene polisorbato</w:t>
        </w:r>
      </w:ins>
    </w:p>
    <w:p w:rsidR="00055B59" w:rsidP="002305EF" w14:paraId="53D3E66A" w14:textId="77777777">
      <w:pPr>
        <w:pStyle w:val="BodyText2"/>
        <w:keepNext/>
        <w:jc w:val="both"/>
        <w:rPr>
          <w:ins w:id="14558" w:author="AbbVie14" w:date="2025-05-09T10:53:00Z"/>
        </w:rPr>
      </w:pPr>
    </w:p>
    <w:p w:rsidR="00055B59" w:rsidRPr="00295E71" w14:paraId="033B59B6" w14:textId="77777777">
      <w:pPr>
        <w:tabs>
          <w:tab w:val="left" w:pos="567"/>
        </w:tabs>
        <w:autoSpaceDE w:val="0"/>
        <w:autoSpaceDN w:val="0"/>
        <w:adjustRightInd w:val="0"/>
        <w:jc w:val="both"/>
        <w:pPrChange w:id="14559" w:author="AbbVie14" w:date="2025-05-09T10:55:00Z">
          <w:pPr>
            <w:pStyle w:val="BodyText2"/>
            <w:keepNext/>
            <w:jc w:val="both"/>
          </w:pPr>
        </w:pPrChange>
      </w:pPr>
      <w:ins w:id="14560" w:author="AbbVie14" w:date="2025-05-09T10:54:00Z">
        <w:r w:rsidRPr="00BE2419">
          <w:rPr>
            <w:color w:val="000000"/>
            <w:sz w:val="22"/>
            <w:szCs w:val="22"/>
            <w:highlight w:val="none"/>
            <w:rPrChange w:id="14561" w:author="AbbVie14" w:date="2025-05-09T11:33:00Z">
              <w:rPr>
                <w:color w:val="000000"/>
                <w:highlight w:val="yellow"/>
              </w:rPr>
            </w:rPrChange>
          </w:rPr>
          <w:t xml:space="preserve">Questo medicinale contiene 0,2 mg di polisorbato 80 per ogni dose </w:t>
        </w:r>
      </w:ins>
      <w:ins w:id="14562" w:author="AbbVie14" w:date="2025-05-09T11:30:00Z">
        <w:r w:rsidRPr="00BE2419" w:rsidR="00BE2419">
          <w:rPr>
            <w:color w:val="000000"/>
            <w:sz w:val="22"/>
            <w:szCs w:val="22"/>
            <w:highlight w:val="none"/>
            <w:rPrChange w:id="14563" w:author="AbbVie14" w:date="2025-05-09T11:33:00Z">
              <w:rPr>
                <w:color w:val="000000"/>
                <w:highlight w:val="yellow"/>
              </w:rPr>
            </w:rPrChange>
          </w:rPr>
          <w:t>d</w:t>
        </w:r>
      </w:ins>
      <w:ins w:id="14564" w:author="AbbVie14" w:date="2025-05-09T10:54:00Z">
        <w:r w:rsidRPr="00BE2419">
          <w:rPr>
            <w:color w:val="000000"/>
            <w:sz w:val="22"/>
            <w:szCs w:val="22"/>
            <w:highlight w:val="none"/>
            <w:rPrChange w:id="14565" w:author="AbbVie14" w:date="2025-05-09T11:33:00Z">
              <w:rPr>
                <w:color w:val="000000"/>
                <w:highlight w:val="yellow"/>
              </w:rPr>
            </w:rPrChange>
          </w:rPr>
          <w:t>a 20 mg.</w:t>
        </w:r>
      </w:ins>
      <w:ins w:id="14566" w:author="AbbVie14" w:date="2025-05-09T10:54:00Z">
        <w:r w:rsidRPr="00BE2419">
          <w:rPr>
            <w:color w:val="000000"/>
            <w:sz w:val="22"/>
            <w:szCs w:val="22"/>
          </w:rPr>
          <w:t xml:space="preserve"> I polisorbat</w:t>
        </w:r>
      </w:ins>
      <w:ins w:id="14567" w:author="AbbVie14" w:date="2025-05-09T11:31:00Z">
        <w:r w:rsidRPr="00BE2419" w:rsidR="00BE2419">
          <w:rPr>
            <w:color w:val="000000"/>
            <w:sz w:val="22"/>
            <w:szCs w:val="22"/>
          </w:rPr>
          <w:t xml:space="preserve">i possono provocare </w:t>
        </w:r>
      </w:ins>
      <w:ins w:id="14568" w:author="AbbVie14" w:date="2025-05-09T10:54:00Z">
        <w:r w:rsidRPr="00BE2419">
          <w:rPr>
            <w:color w:val="000000"/>
            <w:sz w:val="22"/>
            <w:szCs w:val="22"/>
          </w:rPr>
          <w:t xml:space="preserve">reazioni allergiche. Informi il medico se il </w:t>
        </w:r>
      </w:ins>
      <w:ins w:id="14569" w:author="AbbVie14" w:date="2025-05-09T11:31:00Z">
        <w:r w:rsidRPr="00BE2419" w:rsidR="00BE2419">
          <w:rPr>
            <w:color w:val="000000"/>
            <w:sz w:val="22"/>
            <w:szCs w:val="22"/>
          </w:rPr>
          <w:t xml:space="preserve">suo </w:t>
        </w:r>
      </w:ins>
      <w:ins w:id="14570" w:author="AbbVie14" w:date="2025-05-09T10:54:00Z">
        <w:r w:rsidRPr="00BE2419">
          <w:rPr>
            <w:color w:val="000000"/>
            <w:sz w:val="22"/>
            <w:szCs w:val="22"/>
          </w:rPr>
          <w:t xml:space="preserve">bambino </w:t>
        </w:r>
      </w:ins>
      <w:ins w:id="14571" w:author="AbbVie14" w:date="2025-05-09T10:55:00Z">
        <w:r w:rsidRPr="00BE2419">
          <w:rPr>
            <w:color w:val="000000"/>
            <w:sz w:val="22"/>
            <w:szCs w:val="22"/>
          </w:rPr>
          <w:t>ha allergie note.</w:t>
        </w:r>
      </w:ins>
    </w:p>
    <w:p w:rsidR="002305EF" w:rsidRPr="00295E71" w:rsidP="002305EF" w14:paraId="16ED4F7F" w14:textId="77777777">
      <w:pPr>
        <w:pStyle w:val="BodyText2"/>
        <w:jc w:val="both"/>
      </w:pPr>
    </w:p>
    <w:p w:rsidR="000D00DE" w:rsidRPr="00295E71" w:rsidP="002305EF" w14:paraId="290F6D58" w14:textId="77777777">
      <w:pPr>
        <w:pStyle w:val="BodyText2"/>
        <w:jc w:val="both"/>
      </w:pPr>
    </w:p>
    <w:p w:rsidR="002305EF" w:rsidRPr="00295E71" w:rsidP="002305EF" w14:paraId="4FE287E8" w14:textId="77777777">
      <w:pPr>
        <w:keepNext/>
        <w:rPr>
          <w:b/>
          <w:bCs/>
          <w:sz w:val="22"/>
          <w:szCs w:val="22"/>
        </w:rPr>
      </w:pPr>
      <w:r w:rsidRPr="00295E71">
        <w:rPr>
          <w:b/>
          <w:bCs/>
          <w:sz w:val="22"/>
          <w:szCs w:val="22"/>
        </w:rPr>
        <w:t>3.</w:t>
      </w:r>
      <w:r w:rsidRPr="00295E71">
        <w:rPr>
          <w:b/>
          <w:bCs/>
          <w:sz w:val="22"/>
          <w:szCs w:val="22"/>
        </w:rPr>
        <w:tab/>
        <w:t>Come usare Humira</w:t>
      </w:r>
    </w:p>
    <w:p w:rsidR="002305EF" w:rsidRPr="00295E71" w:rsidP="002305EF" w14:paraId="4084BF4D" w14:textId="77777777">
      <w:pPr>
        <w:keepNext/>
        <w:numPr>
          <w:ilvl w:val="12"/>
          <w:numId w:val="0"/>
        </w:numPr>
        <w:tabs>
          <w:tab w:val="left" w:pos="567"/>
        </w:tabs>
        <w:ind w:right="-2"/>
        <w:jc w:val="both"/>
        <w:rPr>
          <w:sz w:val="22"/>
          <w:szCs w:val="22"/>
        </w:rPr>
      </w:pPr>
    </w:p>
    <w:p w:rsidR="003A0A5B" w:rsidRPr="00295E71" w:rsidP="002305EF" w14:paraId="3FABB5A7" w14:textId="77777777">
      <w:pPr>
        <w:keepNext/>
        <w:numPr>
          <w:ilvl w:val="12"/>
          <w:numId w:val="0"/>
        </w:numPr>
        <w:tabs>
          <w:tab w:val="left" w:pos="567"/>
        </w:tabs>
        <w:ind w:right="-2"/>
        <w:rPr>
          <w:sz w:val="22"/>
          <w:szCs w:val="22"/>
        </w:rPr>
      </w:pPr>
      <w:r w:rsidRPr="00295E71">
        <w:rPr>
          <w:sz w:val="22"/>
          <w:szCs w:val="22"/>
        </w:rPr>
        <w:t>Usi questo medicinale seguendo sempre esattamente le istruzioni del medico o del farmacista. Se ha dubbi o desidera chiarimenti consulti il medico o il farmacista.</w:t>
      </w:r>
    </w:p>
    <w:p w:rsidR="003A0A5B" w:rsidRPr="00295E71" w:rsidP="002305EF" w14:paraId="3964A8DA" w14:textId="77777777">
      <w:pPr>
        <w:keepNext/>
        <w:numPr>
          <w:ilvl w:val="12"/>
          <w:numId w:val="0"/>
        </w:numPr>
        <w:tabs>
          <w:tab w:val="left" w:pos="567"/>
        </w:tabs>
        <w:ind w:right="-2"/>
        <w:rPr>
          <w:sz w:val="22"/>
          <w:szCs w:val="22"/>
        </w:rPr>
      </w:pPr>
    </w:p>
    <w:p w:rsidR="002305EF" w:rsidRPr="00295E71" w:rsidP="003A0A5B" w14:paraId="65AE7D39" w14:textId="77777777">
      <w:pPr>
        <w:numPr>
          <w:ilvl w:val="12"/>
          <w:numId w:val="0"/>
        </w:numPr>
        <w:tabs>
          <w:tab w:val="left" w:pos="567"/>
        </w:tabs>
        <w:ind w:right="-2"/>
        <w:rPr>
          <w:sz w:val="22"/>
          <w:szCs w:val="22"/>
        </w:rPr>
      </w:pPr>
      <w:r w:rsidRPr="00295E71">
        <w:rPr>
          <w:sz w:val="22"/>
          <w:szCs w:val="22"/>
        </w:rPr>
        <w:t xml:space="preserve">Le dosi raccomandate di Humira in ciascuna indicazione approvata sono elencate nella seguente tabella. Il medico potrebbe prescrivere un’altra concentrazione di Humira se il bambino necessita di una dose differente. </w:t>
      </w:r>
    </w:p>
    <w:p w:rsidR="002305EF" w:rsidRPr="00295E71" w:rsidP="002305EF" w14:paraId="7206DF3A" w14:textId="77777777">
      <w:pPr>
        <w:numPr>
          <w:ilvl w:val="12"/>
          <w:numId w:val="0"/>
        </w:numPr>
        <w:tabs>
          <w:tab w:val="left" w:pos="567"/>
        </w:tabs>
        <w:ind w:righ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9"/>
        <w:gridCol w:w="3024"/>
        <w:gridCol w:w="3017"/>
      </w:tblGrid>
      <w:tr w14:paraId="2349EA25" w14:textId="77777777" w:rsidTr="005C7DCB">
        <w:tblPrEx>
          <w:tblW w:w="0" w:type="auto"/>
          <w:tblLook w:val="04A0"/>
        </w:tblPrEx>
        <w:tc>
          <w:tcPr>
            <w:tcW w:w="9286" w:type="dxa"/>
            <w:gridSpan w:val="3"/>
          </w:tcPr>
          <w:p w:rsidR="00960456" w:rsidRPr="00295E71" w:rsidP="002E6FD5" w14:paraId="0CAEA704" w14:textId="77777777">
            <w:pPr>
              <w:numPr>
                <w:ilvl w:val="12"/>
                <w:numId w:val="0"/>
              </w:numPr>
              <w:ind w:right="-2"/>
              <w:rPr>
                <w:sz w:val="22"/>
                <w:szCs w:val="22"/>
              </w:rPr>
            </w:pPr>
            <w:r w:rsidRPr="00295E71">
              <w:rPr>
                <w:b/>
                <w:sz w:val="22"/>
                <w:szCs w:val="22"/>
              </w:rPr>
              <w:t>Artrite idiopatica giovanile poliarticolare</w:t>
            </w:r>
          </w:p>
        </w:tc>
      </w:tr>
      <w:tr w14:paraId="339DAE1C" w14:textId="77777777" w:rsidTr="005C7DCB">
        <w:tblPrEx>
          <w:tblW w:w="0" w:type="auto"/>
          <w:tblLook w:val="04A0"/>
        </w:tblPrEx>
        <w:tc>
          <w:tcPr>
            <w:tcW w:w="3094" w:type="dxa"/>
          </w:tcPr>
          <w:p w:rsidR="00960456" w:rsidRPr="00295E71" w:rsidP="002E6FD5" w14:paraId="65A84EED" w14:textId="77777777">
            <w:pPr>
              <w:numPr>
                <w:ilvl w:val="12"/>
                <w:numId w:val="0"/>
              </w:numPr>
              <w:ind w:right="-2"/>
              <w:rPr>
                <w:sz w:val="22"/>
                <w:szCs w:val="22"/>
              </w:rPr>
            </w:pPr>
            <w:r w:rsidRPr="00295E71">
              <w:rPr>
                <w:b/>
                <w:sz w:val="22"/>
                <w:szCs w:val="22"/>
              </w:rPr>
              <w:t>Età o peso corporeo</w:t>
            </w:r>
          </w:p>
        </w:tc>
        <w:tc>
          <w:tcPr>
            <w:tcW w:w="3096" w:type="dxa"/>
          </w:tcPr>
          <w:p w:rsidR="00960456" w:rsidRPr="00295E71" w:rsidP="002E6FD5" w14:paraId="04E8D0DD" w14:textId="77777777">
            <w:pPr>
              <w:numPr>
                <w:ilvl w:val="12"/>
                <w:numId w:val="0"/>
              </w:numPr>
              <w:ind w:right="-2"/>
              <w:rPr>
                <w:sz w:val="22"/>
                <w:szCs w:val="22"/>
              </w:rPr>
            </w:pPr>
            <w:r w:rsidRPr="00295E71">
              <w:rPr>
                <w:b/>
                <w:sz w:val="22"/>
                <w:szCs w:val="22"/>
              </w:rPr>
              <w:t>Che quantità ne va assunta e con che frequenza?</w:t>
            </w:r>
          </w:p>
        </w:tc>
        <w:tc>
          <w:tcPr>
            <w:tcW w:w="3096" w:type="dxa"/>
          </w:tcPr>
          <w:p w:rsidR="00960456" w:rsidRPr="00295E71" w:rsidP="002E6FD5" w14:paraId="72A15DF0" w14:textId="77777777">
            <w:pPr>
              <w:numPr>
                <w:ilvl w:val="12"/>
                <w:numId w:val="0"/>
              </w:numPr>
              <w:ind w:right="-2"/>
              <w:rPr>
                <w:sz w:val="22"/>
                <w:szCs w:val="22"/>
              </w:rPr>
            </w:pPr>
            <w:r w:rsidRPr="00295E71">
              <w:rPr>
                <w:b/>
                <w:sz w:val="22"/>
                <w:szCs w:val="22"/>
              </w:rPr>
              <w:t>Note</w:t>
            </w:r>
          </w:p>
        </w:tc>
      </w:tr>
      <w:tr w14:paraId="0D05A682" w14:textId="77777777" w:rsidTr="005C7DCB">
        <w:tblPrEx>
          <w:tblW w:w="0" w:type="auto"/>
          <w:tblLook w:val="04A0"/>
        </w:tblPrEx>
        <w:tc>
          <w:tcPr>
            <w:tcW w:w="3094" w:type="dxa"/>
          </w:tcPr>
          <w:p w:rsidR="00960456" w:rsidRPr="00295E71" w:rsidP="000C1B2D" w14:paraId="432D2DA1" w14:textId="77777777">
            <w:pPr>
              <w:numPr>
                <w:ilvl w:val="12"/>
                <w:numId w:val="0"/>
              </w:numPr>
              <w:ind w:right="-2"/>
              <w:rPr>
                <w:sz w:val="22"/>
                <w:szCs w:val="22"/>
              </w:rPr>
            </w:pPr>
            <w:r w:rsidRPr="00295E71">
              <w:rPr>
                <w:sz w:val="22"/>
                <w:szCs w:val="22"/>
              </w:rPr>
              <w:t xml:space="preserve">Bambini, adolescenti e adulti </w:t>
            </w:r>
            <w:r w:rsidRPr="00295E71" w:rsidR="000C1B2D">
              <w:rPr>
                <w:sz w:val="22"/>
                <w:szCs w:val="22"/>
              </w:rPr>
              <w:t>dai</w:t>
            </w:r>
            <w:r w:rsidRPr="00295E71">
              <w:rPr>
                <w:sz w:val="22"/>
                <w:szCs w:val="22"/>
              </w:rPr>
              <w:t xml:space="preserve"> 2 anni </w:t>
            </w:r>
            <w:r w:rsidRPr="00295E71" w:rsidR="000C1B2D">
              <w:rPr>
                <w:sz w:val="22"/>
                <w:szCs w:val="22"/>
              </w:rPr>
              <w:t xml:space="preserve">di età </w:t>
            </w:r>
            <w:r w:rsidRPr="00295E71">
              <w:rPr>
                <w:sz w:val="22"/>
                <w:szCs w:val="22"/>
              </w:rPr>
              <w:t>e con peso uguale o superiore a 30 kg</w:t>
            </w:r>
          </w:p>
        </w:tc>
        <w:tc>
          <w:tcPr>
            <w:tcW w:w="3096" w:type="dxa"/>
          </w:tcPr>
          <w:p w:rsidR="00960456" w:rsidRPr="00295E71" w:rsidP="002E6FD5" w14:paraId="373C61F0" w14:textId="77777777">
            <w:pPr>
              <w:numPr>
                <w:ilvl w:val="12"/>
                <w:numId w:val="0"/>
              </w:numPr>
              <w:ind w:right="-2"/>
              <w:rPr>
                <w:sz w:val="22"/>
                <w:szCs w:val="22"/>
              </w:rPr>
            </w:pPr>
            <w:r w:rsidRPr="00295E71">
              <w:rPr>
                <w:sz w:val="22"/>
                <w:szCs w:val="22"/>
              </w:rPr>
              <w:t>40 mg a settimane alterne</w:t>
            </w:r>
          </w:p>
        </w:tc>
        <w:tc>
          <w:tcPr>
            <w:tcW w:w="3096" w:type="dxa"/>
          </w:tcPr>
          <w:p w:rsidR="00960456" w:rsidRPr="00295E71" w:rsidP="002E6FD5" w14:paraId="228615F9" w14:textId="77777777">
            <w:pPr>
              <w:numPr>
                <w:ilvl w:val="12"/>
                <w:numId w:val="0"/>
              </w:numPr>
              <w:ind w:right="-2"/>
              <w:rPr>
                <w:sz w:val="22"/>
                <w:szCs w:val="22"/>
              </w:rPr>
            </w:pPr>
            <w:r w:rsidRPr="00295E71">
              <w:rPr>
                <w:sz w:val="22"/>
                <w:szCs w:val="22"/>
              </w:rPr>
              <w:t>Non pertinente</w:t>
            </w:r>
          </w:p>
        </w:tc>
      </w:tr>
      <w:tr w14:paraId="0FDDC9A5" w14:textId="77777777" w:rsidTr="005C7DCB">
        <w:tblPrEx>
          <w:tblW w:w="0" w:type="auto"/>
          <w:tblLook w:val="04A0"/>
        </w:tblPrEx>
        <w:tc>
          <w:tcPr>
            <w:tcW w:w="3094" w:type="dxa"/>
          </w:tcPr>
          <w:p w:rsidR="005C7DCB" w:rsidRPr="00295E71" w:rsidP="000C1B2D" w14:paraId="2CD193C8" w14:textId="77777777">
            <w:pPr>
              <w:numPr>
                <w:ilvl w:val="12"/>
                <w:numId w:val="0"/>
              </w:numPr>
              <w:ind w:right="-2"/>
              <w:rPr>
                <w:sz w:val="22"/>
                <w:szCs w:val="22"/>
              </w:rPr>
            </w:pPr>
            <w:r w:rsidRPr="00295E71">
              <w:rPr>
                <w:sz w:val="22"/>
                <w:szCs w:val="22"/>
              </w:rPr>
              <w:t xml:space="preserve">Bambini e adolescenti </w:t>
            </w:r>
            <w:r w:rsidRPr="00295E71" w:rsidR="000C1B2D">
              <w:rPr>
                <w:sz w:val="22"/>
                <w:szCs w:val="22"/>
              </w:rPr>
              <w:t xml:space="preserve">dai </w:t>
            </w:r>
            <w:r w:rsidRPr="00295E71">
              <w:rPr>
                <w:sz w:val="22"/>
                <w:szCs w:val="22"/>
              </w:rPr>
              <w:t xml:space="preserve"> 2 anni</w:t>
            </w:r>
            <w:r w:rsidRPr="00295E71" w:rsidR="000C1B2D">
              <w:rPr>
                <w:sz w:val="22"/>
                <w:szCs w:val="22"/>
              </w:rPr>
              <w:t xml:space="preserve"> di età</w:t>
            </w:r>
            <w:r w:rsidRPr="00295E71">
              <w:rPr>
                <w:sz w:val="22"/>
                <w:szCs w:val="22"/>
              </w:rPr>
              <w:t xml:space="preserve"> e con peso compreso tra 10 kg e meno di 30 kg</w:t>
            </w:r>
          </w:p>
        </w:tc>
        <w:tc>
          <w:tcPr>
            <w:tcW w:w="3096" w:type="dxa"/>
          </w:tcPr>
          <w:p w:rsidR="005C7DCB" w:rsidRPr="00295E71" w:rsidP="002E6FD5" w14:paraId="7F1F2F3A" w14:textId="77777777">
            <w:pPr>
              <w:numPr>
                <w:ilvl w:val="12"/>
                <w:numId w:val="0"/>
              </w:numPr>
              <w:ind w:right="-2"/>
              <w:rPr>
                <w:sz w:val="22"/>
                <w:szCs w:val="22"/>
              </w:rPr>
            </w:pPr>
            <w:r w:rsidRPr="00295E71">
              <w:rPr>
                <w:sz w:val="22"/>
                <w:szCs w:val="22"/>
              </w:rPr>
              <w:t>20 mg a settimane alterne</w:t>
            </w:r>
          </w:p>
        </w:tc>
        <w:tc>
          <w:tcPr>
            <w:tcW w:w="3096" w:type="dxa"/>
          </w:tcPr>
          <w:p w:rsidR="005C7DCB" w:rsidRPr="00295E71" w:rsidP="002E6FD5" w14:paraId="6A63C086" w14:textId="77777777">
            <w:pPr>
              <w:numPr>
                <w:ilvl w:val="12"/>
                <w:numId w:val="0"/>
              </w:numPr>
              <w:ind w:right="-2"/>
              <w:rPr>
                <w:sz w:val="22"/>
                <w:szCs w:val="22"/>
              </w:rPr>
            </w:pPr>
            <w:r w:rsidRPr="00295E71">
              <w:rPr>
                <w:sz w:val="22"/>
                <w:szCs w:val="22"/>
              </w:rPr>
              <w:t>Non pertinente</w:t>
            </w:r>
          </w:p>
        </w:tc>
      </w:tr>
    </w:tbl>
    <w:p w:rsidR="003A0A5B" w:rsidRPr="00295E71" w:rsidP="002305EF" w14:paraId="4A8D872C" w14:textId="77777777">
      <w:pPr>
        <w:numPr>
          <w:ilvl w:val="12"/>
          <w:numId w:val="0"/>
        </w:numPr>
        <w:tabs>
          <w:tab w:val="left" w:pos="567"/>
        </w:tabs>
        <w:ind w:righ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9"/>
        <w:gridCol w:w="3024"/>
        <w:gridCol w:w="3017"/>
      </w:tblGrid>
      <w:tr w14:paraId="1361F59A" w14:textId="77777777" w:rsidTr="002E6FD5">
        <w:tblPrEx>
          <w:tblW w:w="0" w:type="auto"/>
          <w:tblLook w:val="04A0"/>
        </w:tblPrEx>
        <w:tc>
          <w:tcPr>
            <w:tcW w:w="9286" w:type="dxa"/>
            <w:gridSpan w:val="3"/>
          </w:tcPr>
          <w:p w:rsidR="00960456" w:rsidRPr="00295E71" w:rsidP="00F57FE5" w14:paraId="328780B9" w14:textId="77777777">
            <w:pPr>
              <w:keepNext/>
              <w:keepLines/>
              <w:numPr>
                <w:ilvl w:val="12"/>
                <w:numId w:val="0"/>
              </w:numPr>
              <w:rPr>
                <w:b/>
                <w:sz w:val="22"/>
                <w:szCs w:val="22"/>
              </w:rPr>
            </w:pPr>
            <w:r w:rsidRPr="00295E71">
              <w:rPr>
                <w:b/>
                <w:sz w:val="22"/>
                <w:szCs w:val="22"/>
              </w:rPr>
              <w:t>Artrite associata ad entesite</w:t>
            </w:r>
          </w:p>
        </w:tc>
      </w:tr>
      <w:tr w14:paraId="43A50F7B" w14:textId="77777777" w:rsidTr="002E6FD5">
        <w:tblPrEx>
          <w:tblW w:w="0" w:type="auto"/>
          <w:tblLook w:val="04A0"/>
        </w:tblPrEx>
        <w:tc>
          <w:tcPr>
            <w:tcW w:w="3094" w:type="dxa"/>
          </w:tcPr>
          <w:p w:rsidR="00960456" w:rsidRPr="00295E71" w:rsidP="00F57FE5" w14:paraId="3017D7DC" w14:textId="77777777">
            <w:pPr>
              <w:keepNext/>
              <w:keepLines/>
              <w:numPr>
                <w:ilvl w:val="12"/>
                <w:numId w:val="0"/>
              </w:numPr>
              <w:rPr>
                <w:sz w:val="22"/>
                <w:szCs w:val="22"/>
              </w:rPr>
            </w:pPr>
            <w:r w:rsidRPr="00295E71">
              <w:rPr>
                <w:b/>
                <w:sz w:val="22"/>
                <w:szCs w:val="22"/>
              </w:rPr>
              <w:t>Età o peso corporeo</w:t>
            </w:r>
          </w:p>
        </w:tc>
        <w:tc>
          <w:tcPr>
            <w:tcW w:w="3096" w:type="dxa"/>
          </w:tcPr>
          <w:p w:rsidR="00960456" w:rsidRPr="00295E71" w:rsidP="00F57FE5" w14:paraId="1DC0CE44" w14:textId="77777777">
            <w:pPr>
              <w:keepNext/>
              <w:keepLines/>
              <w:numPr>
                <w:ilvl w:val="12"/>
                <w:numId w:val="0"/>
              </w:numPr>
              <w:rPr>
                <w:sz w:val="22"/>
                <w:szCs w:val="22"/>
              </w:rPr>
            </w:pPr>
            <w:r w:rsidRPr="00295E71">
              <w:rPr>
                <w:b/>
                <w:sz w:val="22"/>
                <w:szCs w:val="22"/>
              </w:rPr>
              <w:t>Che quantità ne va assunta e con che frequenza?</w:t>
            </w:r>
          </w:p>
        </w:tc>
        <w:tc>
          <w:tcPr>
            <w:tcW w:w="3096" w:type="dxa"/>
          </w:tcPr>
          <w:p w:rsidR="00960456" w:rsidRPr="00295E71" w:rsidP="00F57FE5" w14:paraId="08B5DB27" w14:textId="77777777">
            <w:pPr>
              <w:keepNext/>
              <w:keepLines/>
              <w:numPr>
                <w:ilvl w:val="12"/>
                <w:numId w:val="0"/>
              </w:numPr>
              <w:rPr>
                <w:sz w:val="22"/>
                <w:szCs w:val="22"/>
              </w:rPr>
            </w:pPr>
            <w:r w:rsidRPr="00295E71">
              <w:rPr>
                <w:b/>
                <w:sz w:val="22"/>
                <w:szCs w:val="22"/>
              </w:rPr>
              <w:t>Note</w:t>
            </w:r>
          </w:p>
        </w:tc>
      </w:tr>
      <w:tr w14:paraId="0B5A186E" w14:textId="77777777" w:rsidTr="002E6FD5">
        <w:tblPrEx>
          <w:tblW w:w="0" w:type="auto"/>
          <w:tblLook w:val="04A0"/>
        </w:tblPrEx>
        <w:tc>
          <w:tcPr>
            <w:tcW w:w="3094" w:type="dxa"/>
          </w:tcPr>
          <w:p w:rsidR="005C7DCB" w:rsidRPr="00295E71" w:rsidP="00F57FE5" w14:paraId="2E4FB0E2" w14:textId="77777777">
            <w:pPr>
              <w:keepNext/>
              <w:keepLines/>
              <w:numPr>
                <w:ilvl w:val="12"/>
                <w:numId w:val="0"/>
              </w:numPr>
              <w:rPr>
                <w:sz w:val="22"/>
                <w:szCs w:val="22"/>
              </w:rPr>
            </w:pPr>
            <w:r w:rsidRPr="00295E71">
              <w:rPr>
                <w:sz w:val="22"/>
                <w:szCs w:val="22"/>
              </w:rPr>
              <w:t>Bambini, adolescenti e adulti d</w:t>
            </w:r>
            <w:r w:rsidRPr="00295E71" w:rsidR="003876C1">
              <w:rPr>
                <w:sz w:val="22"/>
                <w:szCs w:val="22"/>
              </w:rPr>
              <w:t xml:space="preserve">ai </w:t>
            </w:r>
            <w:r w:rsidRPr="00295E71">
              <w:rPr>
                <w:sz w:val="22"/>
                <w:szCs w:val="22"/>
              </w:rPr>
              <w:t>6 anni</w:t>
            </w:r>
            <w:r w:rsidRPr="00295E71" w:rsidR="003876C1">
              <w:rPr>
                <w:sz w:val="22"/>
                <w:szCs w:val="22"/>
              </w:rPr>
              <w:t xml:space="preserve"> di età</w:t>
            </w:r>
            <w:r w:rsidRPr="00295E71">
              <w:rPr>
                <w:sz w:val="22"/>
                <w:szCs w:val="22"/>
              </w:rPr>
              <w:t xml:space="preserve"> e con peso uguale o superiore a 30 kg</w:t>
            </w:r>
          </w:p>
        </w:tc>
        <w:tc>
          <w:tcPr>
            <w:tcW w:w="3096" w:type="dxa"/>
          </w:tcPr>
          <w:p w:rsidR="005C7DCB" w:rsidRPr="00295E71" w:rsidP="00F57FE5" w14:paraId="4241A7B7" w14:textId="77777777">
            <w:pPr>
              <w:keepNext/>
              <w:keepLines/>
              <w:numPr>
                <w:ilvl w:val="12"/>
                <w:numId w:val="0"/>
              </w:numPr>
              <w:rPr>
                <w:sz w:val="22"/>
                <w:szCs w:val="22"/>
              </w:rPr>
            </w:pPr>
            <w:r w:rsidRPr="00295E71">
              <w:rPr>
                <w:sz w:val="22"/>
                <w:szCs w:val="22"/>
              </w:rPr>
              <w:t>40 mg a settimane alterne</w:t>
            </w:r>
          </w:p>
        </w:tc>
        <w:tc>
          <w:tcPr>
            <w:tcW w:w="3096" w:type="dxa"/>
          </w:tcPr>
          <w:p w:rsidR="005C7DCB" w:rsidRPr="00295E71" w:rsidP="00F57FE5" w14:paraId="6BCBFA9C" w14:textId="77777777">
            <w:pPr>
              <w:keepNext/>
              <w:keepLines/>
              <w:numPr>
                <w:ilvl w:val="12"/>
                <w:numId w:val="0"/>
              </w:numPr>
              <w:rPr>
                <w:sz w:val="22"/>
                <w:szCs w:val="22"/>
              </w:rPr>
            </w:pPr>
            <w:r w:rsidRPr="00295E71">
              <w:rPr>
                <w:sz w:val="22"/>
                <w:szCs w:val="22"/>
              </w:rPr>
              <w:t>Non pertinente</w:t>
            </w:r>
          </w:p>
        </w:tc>
      </w:tr>
      <w:tr w14:paraId="5E3F9EB9" w14:textId="77777777" w:rsidTr="002E6FD5">
        <w:tblPrEx>
          <w:tblW w:w="0" w:type="auto"/>
          <w:tblLook w:val="04A0"/>
        </w:tblPrEx>
        <w:tc>
          <w:tcPr>
            <w:tcW w:w="3094" w:type="dxa"/>
          </w:tcPr>
          <w:p w:rsidR="005C7DCB" w:rsidRPr="00295E71" w:rsidP="00F57FE5" w14:paraId="1A67DADA" w14:textId="77777777">
            <w:pPr>
              <w:keepNext/>
              <w:keepLines/>
              <w:numPr>
                <w:ilvl w:val="12"/>
                <w:numId w:val="0"/>
              </w:numPr>
              <w:rPr>
                <w:sz w:val="22"/>
                <w:szCs w:val="22"/>
              </w:rPr>
            </w:pPr>
            <w:r w:rsidRPr="00295E71">
              <w:rPr>
                <w:sz w:val="22"/>
                <w:szCs w:val="22"/>
              </w:rPr>
              <w:t xml:space="preserve">Bambini e adolescenti </w:t>
            </w:r>
            <w:r w:rsidRPr="00295E71" w:rsidR="003876C1">
              <w:rPr>
                <w:sz w:val="22"/>
                <w:szCs w:val="22"/>
              </w:rPr>
              <w:t>dai 6 anni di età</w:t>
            </w:r>
            <w:r w:rsidRPr="00295E71">
              <w:rPr>
                <w:sz w:val="22"/>
                <w:szCs w:val="22"/>
              </w:rPr>
              <w:t xml:space="preserve"> e con peso compreso tra 15 kg e meno di 30 kg</w:t>
            </w:r>
          </w:p>
        </w:tc>
        <w:tc>
          <w:tcPr>
            <w:tcW w:w="3096" w:type="dxa"/>
          </w:tcPr>
          <w:p w:rsidR="005C7DCB" w:rsidRPr="00295E71" w:rsidP="00F57FE5" w14:paraId="1D439B17" w14:textId="77777777">
            <w:pPr>
              <w:keepNext/>
              <w:keepLines/>
              <w:numPr>
                <w:ilvl w:val="12"/>
                <w:numId w:val="0"/>
              </w:numPr>
              <w:rPr>
                <w:sz w:val="22"/>
                <w:szCs w:val="22"/>
              </w:rPr>
            </w:pPr>
            <w:r w:rsidRPr="00295E71">
              <w:rPr>
                <w:sz w:val="22"/>
                <w:szCs w:val="22"/>
              </w:rPr>
              <w:t>20 mg a settimane alterne</w:t>
            </w:r>
          </w:p>
        </w:tc>
        <w:tc>
          <w:tcPr>
            <w:tcW w:w="3096" w:type="dxa"/>
          </w:tcPr>
          <w:p w:rsidR="005C7DCB" w:rsidRPr="00295E71" w:rsidP="00F57FE5" w14:paraId="45A1762E" w14:textId="77777777">
            <w:pPr>
              <w:keepNext/>
              <w:keepLines/>
              <w:numPr>
                <w:ilvl w:val="12"/>
                <w:numId w:val="0"/>
              </w:numPr>
              <w:rPr>
                <w:sz w:val="22"/>
                <w:szCs w:val="22"/>
              </w:rPr>
            </w:pPr>
            <w:r w:rsidRPr="00295E71">
              <w:rPr>
                <w:sz w:val="22"/>
                <w:szCs w:val="22"/>
              </w:rPr>
              <w:t>Non pertinente</w:t>
            </w:r>
          </w:p>
        </w:tc>
      </w:tr>
    </w:tbl>
    <w:p w:rsidR="003A0A5B" w:rsidRPr="00295E71" w:rsidP="002305EF" w14:paraId="49B8FB25" w14:textId="77777777">
      <w:pPr>
        <w:numPr>
          <w:ilvl w:val="12"/>
          <w:numId w:val="0"/>
        </w:numPr>
        <w:tabs>
          <w:tab w:val="left" w:pos="567"/>
        </w:tabs>
        <w:ind w:right="-2"/>
        <w:rPr>
          <w:sz w:val="22"/>
          <w:szCs w:val="22"/>
        </w:rPr>
      </w:pPr>
    </w:p>
    <w:tbl>
      <w:tblPr>
        <w:tblStyle w:val="TableGrid"/>
        <w:tblW w:w="0" w:type="auto"/>
        <w:tblLook w:val="04A0"/>
      </w:tblPr>
      <w:tblGrid>
        <w:gridCol w:w="3016"/>
        <w:gridCol w:w="3032"/>
        <w:gridCol w:w="3012"/>
      </w:tblGrid>
      <w:tr w14:paraId="3DA303D4" w14:textId="77777777" w:rsidTr="00114C7F">
        <w:tblPrEx>
          <w:tblW w:w="0" w:type="auto"/>
          <w:tblLook w:val="04A0"/>
        </w:tblPrEx>
        <w:tc>
          <w:tcPr>
            <w:tcW w:w="3070" w:type="dxa"/>
          </w:tcPr>
          <w:p w:rsidR="00960456" w:rsidRPr="00295E71" w:rsidP="0019187E" w14:paraId="58878F69" w14:textId="77777777">
            <w:pPr>
              <w:keepNext/>
              <w:numPr>
                <w:ilvl w:val="12"/>
                <w:numId w:val="0"/>
              </w:numPr>
              <w:tabs>
                <w:tab w:val="clear" w:pos="562"/>
                <w:tab w:val="left" w:pos="567"/>
              </w:tabs>
              <w:ind w:right="-2"/>
              <w:jc w:val="both"/>
              <w:rPr>
                <w:sz w:val="22"/>
                <w:szCs w:val="22"/>
                <w:u w:val="single"/>
              </w:rPr>
            </w:pPr>
            <w:r w:rsidRPr="00295E71">
              <w:rPr>
                <w:b/>
                <w:sz w:val="22"/>
                <w:szCs w:val="22"/>
              </w:rPr>
              <w:t>Psoriasi a placche</w:t>
            </w:r>
            <w:r w:rsidRPr="00295E71" w:rsidR="005C7DCB">
              <w:rPr>
                <w:b/>
                <w:sz w:val="22"/>
                <w:szCs w:val="22"/>
              </w:rPr>
              <w:t xml:space="preserve"> pediatrica</w:t>
            </w:r>
          </w:p>
        </w:tc>
        <w:tc>
          <w:tcPr>
            <w:tcW w:w="3070" w:type="dxa"/>
          </w:tcPr>
          <w:p w:rsidR="00960456" w:rsidRPr="00295E71" w:rsidP="0019187E" w14:paraId="6395883C" w14:textId="77777777">
            <w:pPr>
              <w:keepNext/>
              <w:numPr>
                <w:ilvl w:val="12"/>
                <w:numId w:val="0"/>
              </w:numPr>
              <w:tabs>
                <w:tab w:val="clear" w:pos="562"/>
                <w:tab w:val="left" w:pos="567"/>
              </w:tabs>
              <w:ind w:right="-2"/>
              <w:jc w:val="both"/>
              <w:rPr>
                <w:sz w:val="22"/>
                <w:szCs w:val="22"/>
                <w:u w:val="single"/>
              </w:rPr>
            </w:pPr>
          </w:p>
        </w:tc>
        <w:tc>
          <w:tcPr>
            <w:tcW w:w="3070" w:type="dxa"/>
          </w:tcPr>
          <w:p w:rsidR="00960456" w:rsidRPr="00295E71" w:rsidP="0019187E" w14:paraId="7A983E82" w14:textId="77777777">
            <w:pPr>
              <w:keepNext/>
              <w:numPr>
                <w:ilvl w:val="12"/>
                <w:numId w:val="0"/>
              </w:numPr>
              <w:tabs>
                <w:tab w:val="clear" w:pos="562"/>
                <w:tab w:val="left" w:pos="567"/>
              </w:tabs>
              <w:ind w:right="-2"/>
              <w:jc w:val="both"/>
              <w:rPr>
                <w:sz w:val="22"/>
                <w:szCs w:val="22"/>
                <w:u w:val="single"/>
              </w:rPr>
            </w:pPr>
          </w:p>
        </w:tc>
      </w:tr>
      <w:tr w14:paraId="1422F784" w14:textId="77777777" w:rsidTr="00114C7F">
        <w:tblPrEx>
          <w:tblW w:w="0" w:type="auto"/>
          <w:tblLook w:val="04A0"/>
        </w:tblPrEx>
        <w:tc>
          <w:tcPr>
            <w:tcW w:w="3070" w:type="dxa"/>
          </w:tcPr>
          <w:p w:rsidR="00960456" w:rsidRPr="00295E71" w:rsidP="0019187E" w14:paraId="31D6A692" w14:textId="77777777">
            <w:pPr>
              <w:keepNext/>
              <w:numPr>
                <w:ilvl w:val="12"/>
                <w:numId w:val="0"/>
              </w:numPr>
              <w:tabs>
                <w:tab w:val="clear" w:pos="562"/>
                <w:tab w:val="left" w:pos="567"/>
              </w:tabs>
              <w:ind w:right="-2"/>
              <w:jc w:val="both"/>
              <w:rPr>
                <w:sz w:val="22"/>
                <w:szCs w:val="22"/>
                <w:u w:val="single"/>
              </w:rPr>
            </w:pPr>
            <w:r w:rsidRPr="00295E71">
              <w:rPr>
                <w:b/>
                <w:sz w:val="22"/>
                <w:szCs w:val="22"/>
              </w:rPr>
              <w:t>Età o peso corporeo</w:t>
            </w:r>
          </w:p>
        </w:tc>
        <w:tc>
          <w:tcPr>
            <w:tcW w:w="3070" w:type="dxa"/>
          </w:tcPr>
          <w:p w:rsidR="00960456" w:rsidRPr="00295E71" w:rsidP="0019187E" w14:paraId="12C0FE9E" w14:textId="77777777">
            <w:pPr>
              <w:keepNext/>
              <w:numPr>
                <w:ilvl w:val="12"/>
                <w:numId w:val="0"/>
              </w:numPr>
              <w:tabs>
                <w:tab w:val="clear" w:pos="562"/>
                <w:tab w:val="left" w:pos="567"/>
              </w:tabs>
              <w:ind w:right="-2"/>
              <w:jc w:val="both"/>
              <w:rPr>
                <w:sz w:val="22"/>
                <w:szCs w:val="22"/>
                <w:u w:val="single"/>
              </w:rPr>
            </w:pPr>
            <w:r w:rsidRPr="00295E71">
              <w:rPr>
                <w:b/>
                <w:sz w:val="22"/>
                <w:szCs w:val="22"/>
              </w:rPr>
              <w:t>Che quantità ne va assunta e con che frequenza?</w:t>
            </w:r>
          </w:p>
        </w:tc>
        <w:tc>
          <w:tcPr>
            <w:tcW w:w="3070" w:type="dxa"/>
          </w:tcPr>
          <w:p w:rsidR="00960456" w:rsidRPr="00295E71" w:rsidP="0019187E" w14:paraId="10F4A322" w14:textId="77777777">
            <w:pPr>
              <w:keepNext/>
              <w:numPr>
                <w:ilvl w:val="12"/>
                <w:numId w:val="0"/>
              </w:numPr>
              <w:tabs>
                <w:tab w:val="clear" w:pos="562"/>
                <w:tab w:val="left" w:pos="567"/>
              </w:tabs>
              <w:ind w:right="-2"/>
              <w:jc w:val="both"/>
              <w:rPr>
                <w:sz w:val="22"/>
                <w:szCs w:val="22"/>
                <w:u w:val="single"/>
              </w:rPr>
            </w:pPr>
            <w:r w:rsidRPr="00295E71">
              <w:rPr>
                <w:b/>
                <w:sz w:val="22"/>
                <w:szCs w:val="22"/>
              </w:rPr>
              <w:t>Note</w:t>
            </w:r>
          </w:p>
        </w:tc>
      </w:tr>
      <w:tr w14:paraId="647137A0" w14:textId="77777777" w:rsidTr="00114C7F">
        <w:tblPrEx>
          <w:tblW w:w="0" w:type="auto"/>
          <w:tblLook w:val="04A0"/>
        </w:tblPrEx>
        <w:tc>
          <w:tcPr>
            <w:tcW w:w="3070" w:type="dxa"/>
          </w:tcPr>
          <w:p w:rsidR="005C7DCB" w:rsidRPr="00295E71" w:rsidP="0019187E" w14:paraId="1C7E4438" w14:textId="77777777">
            <w:pPr>
              <w:keepNext/>
              <w:numPr>
                <w:ilvl w:val="12"/>
                <w:numId w:val="0"/>
              </w:numPr>
              <w:tabs>
                <w:tab w:val="clear" w:pos="562"/>
                <w:tab w:val="left" w:pos="567"/>
              </w:tabs>
              <w:ind w:right="-2"/>
              <w:jc w:val="both"/>
              <w:rPr>
                <w:sz w:val="22"/>
                <w:szCs w:val="22"/>
                <w:u w:val="single"/>
              </w:rPr>
            </w:pPr>
            <w:r w:rsidRPr="00295E71">
              <w:rPr>
                <w:sz w:val="22"/>
                <w:szCs w:val="22"/>
              </w:rPr>
              <w:t>Bambini e adolescenti di età compresa tra 4 e 17 anni e con peso uguale o superiore a 30 kg</w:t>
            </w:r>
          </w:p>
        </w:tc>
        <w:tc>
          <w:tcPr>
            <w:tcW w:w="3070" w:type="dxa"/>
          </w:tcPr>
          <w:p w:rsidR="005C7DCB" w:rsidRPr="00295E71" w:rsidP="0019187E" w14:paraId="330BD3D7" w14:textId="77777777">
            <w:pPr>
              <w:keepNext/>
              <w:numPr>
                <w:ilvl w:val="12"/>
                <w:numId w:val="0"/>
              </w:numPr>
              <w:ind w:right="-2"/>
              <w:jc w:val="both"/>
              <w:rPr>
                <w:sz w:val="22"/>
                <w:szCs w:val="22"/>
              </w:rPr>
            </w:pPr>
            <w:r w:rsidRPr="00295E71">
              <w:rPr>
                <w:sz w:val="22"/>
                <w:szCs w:val="22"/>
              </w:rPr>
              <w:t>Una dose iniziale di 40 mg, seguita da 40 mg dopo una settimana.</w:t>
            </w:r>
          </w:p>
          <w:p w:rsidR="005C7DCB" w:rsidRPr="00295E71" w:rsidP="0019187E" w14:paraId="67CA9B1F" w14:textId="77777777">
            <w:pPr>
              <w:keepNext/>
              <w:numPr>
                <w:ilvl w:val="12"/>
                <w:numId w:val="0"/>
              </w:numPr>
              <w:ind w:right="-2"/>
              <w:jc w:val="both"/>
              <w:rPr>
                <w:sz w:val="22"/>
                <w:szCs w:val="22"/>
              </w:rPr>
            </w:pPr>
          </w:p>
          <w:p w:rsidR="005C7DCB" w:rsidRPr="00295E71" w:rsidP="0019187E" w14:paraId="62ADE10E" w14:textId="77777777">
            <w:pPr>
              <w:keepNext/>
              <w:numPr>
                <w:ilvl w:val="12"/>
                <w:numId w:val="0"/>
              </w:numPr>
              <w:ind w:right="-2"/>
              <w:jc w:val="both"/>
              <w:rPr>
                <w:sz w:val="22"/>
                <w:szCs w:val="22"/>
              </w:rPr>
            </w:pPr>
            <w:r w:rsidRPr="00295E71">
              <w:rPr>
                <w:sz w:val="22"/>
                <w:szCs w:val="22"/>
              </w:rPr>
              <w:t>Successivamente</w:t>
            </w:r>
            <w:r w:rsidRPr="00295E71">
              <w:rPr>
                <w:rFonts w:asciiTheme="minorHAnsi" w:eastAsiaTheme="minorHAnsi" w:hAnsiTheme="minorHAnsi" w:cstheme="minorBidi"/>
                <w:sz w:val="22"/>
                <w:szCs w:val="22"/>
                <w:lang w:eastAsia="en-US"/>
              </w:rPr>
              <w:t xml:space="preserve">, </w:t>
            </w:r>
            <w:r w:rsidRPr="00295E71">
              <w:rPr>
                <w:sz w:val="22"/>
                <w:szCs w:val="22"/>
              </w:rPr>
              <w:t>la dose abituale è di 40 mg a settimane alterne.</w:t>
            </w:r>
          </w:p>
        </w:tc>
        <w:tc>
          <w:tcPr>
            <w:tcW w:w="3070" w:type="dxa"/>
          </w:tcPr>
          <w:p w:rsidR="005C7DCB" w:rsidRPr="00295E71" w:rsidP="0019187E" w14:paraId="439FCC66" w14:textId="77777777">
            <w:pPr>
              <w:keepNext/>
              <w:numPr>
                <w:ilvl w:val="12"/>
                <w:numId w:val="0"/>
              </w:numPr>
              <w:tabs>
                <w:tab w:val="clear" w:pos="562"/>
                <w:tab w:val="left" w:pos="567"/>
              </w:tabs>
              <w:ind w:right="-2"/>
              <w:jc w:val="both"/>
              <w:rPr>
                <w:sz w:val="22"/>
                <w:szCs w:val="22"/>
                <w:u w:val="single"/>
              </w:rPr>
            </w:pPr>
            <w:r w:rsidRPr="00295E71">
              <w:rPr>
                <w:sz w:val="22"/>
                <w:szCs w:val="22"/>
              </w:rPr>
              <w:t>Non pertinente</w:t>
            </w:r>
          </w:p>
        </w:tc>
      </w:tr>
      <w:tr w14:paraId="725ED7AA" w14:textId="77777777" w:rsidTr="00114C7F">
        <w:tblPrEx>
          <w:tblW w:w="0" w:type="auto"/>
          <w:tblLook w:val="04A0"/>
        </w:tblPrEx>
        <w:tc>
          <w:tcPr>
            <w:tcW w:w="3070" w:type="dxa"/>
          </w:tcPr>
          <w:p w:rsidR="005C7DCB" w:rsidRPr="00295E71" w:rsidP="0019187E" w14:paraId="666FD568" w14:textId="77777777">
            <w:pPr>
              <w:keepNext/>
              <w:numPr>
                <w:ilvl w:val="12"/>
                <w:numId w:val="0"/>
              </w:numPr>
              <w:ind w:right="-2"/>
              <w:jc w:val="both"/>
              <w:rPr>
                <w:sz w:val="22"/>
                <w:szCs w:val="22"/>
              </w:rPr>
            </w:pPr>
            <w:r w:rsidRPr="00295E71">
              <w:rPr>
                <w:sz w:val="22"/>
                <w:szCs w:val="22"/>
              </w:rPr>
              <w:t>Bambini e adolescenti di età compresa tra 4 e 17 anni e con peso compreso tra 15 kg e meno di 30 kg</w:t>
            </w:r>
          </w:p>
        </w:tc>
        <w:tc>
          <w:tcPr>
            <w:tcW w:w="3070" w:type="dxa"/>
          </w:tcPr>
          <w:p w:rsidR="005C7DCB" w:rsidRPr="00295E71" w:rsidP="0019187E" w14:paraId="6B5AE047" w14:textId="77777777">
            <w:pPr>
              <w:keepNext/>
              <w:numPr>
                <w:ilvl w:val="12"/>
                <w:numId w:val="0"/>
              </w:numPr>
              <w:ind w:right="-2"/>
              <w:rPr>
                <w:sz w:val="22"/>
                <w:szCs w:val="22"/>
              </w:rPr>
            </w:pPr>
            <w:r w:rsidRPr="00295E71">
              <w:rPr>
                <w:sz w:val="22"/>
                <w:szCs w:val="22"/>
              </w:rPr>
              <w:t>Una dose iniziale di 20 mg, seguita da 20 mg dopo una settimana.</w:t>
            </w:r>
          </w:p>
          <w:p w:rsidR="005C7DCB" w:rsidRPr="00295E71" w:rsidP="0019187E" w14:paraId="185AFA68" w14:textId="77777777">
            <w:pPr>
              <w:keepNext/>
              <w:numPr>
                <w:ilvl w:val="12"/>
                <w:numId w:val="0"/>
              </w:numPr>
              <w:ind w:right="-2"/>
              <w:rPr>
                <w:sz w:val="22"/>
                <w:szCs w:val="22"/>
              </w:rPr>
            </w:pPr>
          </w:p>
          <w:p w:rsidR="005C7DCB" w:rsidRPr="00295E71" w:rsidP="0019187E" w14:paraId="75452FEF" w14:textId="77777777">
            <w:pPr>
              <w:keepNext/>
              <w:numPr>
                <w:ilvl w:val="12"/>
                <w:numId w:val="0"/>
              </w:numPr>
              <w:ind w:right="-2"/>
              <w:rPr>
                <w:sz w:val="22"/>
                <w:szCs w:val="22"/>
              </w:rPr>
            </w:pPr>
            <w:r w:rsidRPr="00295E71">
              <w:rPr>
                <w:sz w:val="22"/>
                <w:szCs w:val="22"/>
              </w:rPr>
              <w:t>Successivamente</w:t>
            </w:r>
            <w:r w:rsidRPr="00295E71">
              <w:rPr>
                <w:rFonts w:asciiTheme="minorHAnsi" w:eastAsiaTheme="minorHAnsi" w:hAnsiTheme="minorHAnsi" w:cstheme="minorBidi"/>
                <w:sz w:val="22"/>
                <w:szCs w:val="22"/>
                <w:lang w:eastAsia="en-US"/>
              </w:rPr>
              <w:t xml:space="preserve">, </w:t>
            </w:r>
            <w:r w:rsidRPr="00295E71">
              <w:rPr>
                <w:sz w:val="22"/>
                <w:szCs w:val="22"/>
              </w:rPr>
              <w:t>la dose abituale è di 20 mg a settimane alterne.</w:t>
            </w:r>
          </w:p>
        </w:tc>
        <w:tc>
          <w:tcPr>
            <w:tcW w:w="3070" w:type="dxa"/>
          </w:tcPr>
          <w:p w:rsidR="005C7DCB" w:rsidRPr="00295E71" w:rsidP="0019187E" w14:paraId="7A4CE0F4" w14:textId="77777777">
            <w:pPr>
              <w:keepNext/>
              <w:numPr>
                <w:ilvl w:val="12"/>
                <w:numId w:val="0"/>
              </w:numPr>
              <w:tabs>
                <w:tab w:val="clear" w:pos="562"/>
                <w:tab w:val="left" w:pos="567"/>
              </w:tabs>
              <w:ind w:right="-2"/>
              <w:jc w:val="both"/>
              <w:rPr>
                <w:sz w:val="22"/>
                <w:szCs w:val="22"/>
                <w:u w:val="single"/>
              </w:rPr>
            </w:pPr>
            <w:r w:rsidRPr="00295E71">
              <w:rPr>
                <w:sz w:val="22"/>
                <w:szCs w:val="22"/>
              </w:rPr>
              <w:t>Non pertinente</w:t>
            </w:r>
          </w:p>
        </w:tc>
      </w:tr>
    </w:tbl>
    <w:p w:rsidR="003A0A5B" w:rsidRPr="00295E71" w:rsidP="002305EF" w14:paraId="3B848BAB" w14:textId="77777777">
      <w:pPr>
        <w:numPr>
          <w:ilvl w:val="12"/>
          <w:numId w:val="0"/>
        </w:numPr>
        <w:tabs>
          <w:tab w:val="left" w:pos="567"/>
        </w:tabs>
        <w:ind w:righ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2"/>
        <w:gridCol w:w="3038"/>
        <w:gridCol w:w="3010"/>
      </w:tblGrid>
      <w:tr w14:paraId="7A58B573" w14:textId="77777777" w:rsidTr="002E6FD5">
        <w:tblPrEx>
          <w:tblW w:w="0" w:type="auto"/>
          <w:tblLook w:val="04A0"/>
        </w:tblPrEx>
        <w:tc>
          <w:tcPr>
            <w:tcW w:w="9286" w:type="dxa"/>
            <w:gridSpan w:val="3"/>
          </w:tcPr>
          <w:p w:rsidR="008452B7" w:rsidRPr="00295E71" w:rsidP="002E6FD5" w14:paraId="66EF0326" w14:textId="77777777">
            <w:pPr>
              <w:numPr>
                <w:ilvl w:val="12"/>
                <w:numId w:val="0"/>
              </w:numPr>
              <w:ind w:right="-2"/>
              <w:rPr>
                <w:sz w:val="22"/>
                <w:szCs w:val="22"/>
              </w:rPr>
            </w:pPr>
            <w:r w:rsidRPr="00295E71">
              <w:rPr>
                <w:sz w:val="22"/>
                <w:szCs w:val="22"/>
              </w:rPr>
              <w:br w:type="page"/>
            </w:r>
            <w:r w:rsidRPr="00295E71">
              <w:rPr>
                <w:b/>
                <w:sz w:val="22"/>
                <w:szCs w:val="22"/>
              </w:rPr>
              <w:t>Malattia di Crohn</w:t>
            </w:r>
            <w:r w:rsidRPr="00295E71" w:rsidR="005C7DCB">
              <w:rPr>
                <w:b/>
                <w:sz w:val="22"/>
                <w:szCs w:val="22"/>
              </w:rPr>
              <w:t xml:space="preserve"> in pazienti pediatrici</w:t>
            </w:r>
          </w:p>
        </w:tc>
      </w:tr>
      <w:tr w14:paraId="393B0DEA" w14:textId="77777777" w:rsidTr="002E6FD5">
        <w:tblPrEx>
          <w:tblW w:w="0" w:type="auto"/>
          <w:tblLook w:val="04A0"/>
        </w:tblPrEx>
        <w:tc>
          <w:tcPr>
            <w:tcW w:w="3094" w:type="dxa"/>
          </w:tcPr>
          <w:p w:rsidR="008452B7" w:rsidRPr="00295E71" w:rsidP="002E6FD5" w14:paraId="3835E527" w14:textId="77777777">
            <w:pPr>
              <w:numPr>
                <w:ilvl w:val="12"/>
                <w:numId w:val="0"/>
              </w:numPr>
              <w:ind w:right="-2"/>
              <w:rPr>
                <w:sz w:val="22"/>
                <w:szCs w:val="22"/>
              </w:rPr>
            </w:pPr>
            <w:r w:rsidRPr="00295E71">
              <w:rPr>
                <w:b/>
                <w:sz w:val="22"/>
                <w:szCs w:val="22"/>
              </w:rPr>
              <w:t>Età o peso corporeo</w:t>
            </w:r>
          </w:p>
        </w:tc>
        <w:tc>
          <w:tcPr>
            <w:tcW w:w="3096" w:type="dxa"/>
          </w:tcPr>
          <w:p w:rsidR="008452B7" w:rsidRPr="00295E71" w:rsidP="002E6FD5" w14:paraId="06A4E40F" w14:textId="77777777">
            <w:pPr>
              <w:numPr>
                <w:ilvl w:val="12"/>
                <w:numId w:val="0"/>
              </w:numPr>
              <w:ind w:right="-2"/>
              <w:rPr>
                <w:sz w:val="22"/>
                <w:szCs w:val="22"/>
              </w:rPr>
            </w:pPr>
            <w:r w:rsidRPr="00295E71">
              <w:rPr>
                <w:b/>
                <w:sz w:val="22"/>
                <w:szCs w:val="22"/>
              </w:rPr>
              <w:t>Che quantità ne va assunta e con che frequenza?</w:t>
            </w:r>
          </w:p>
        </w:tc>
        <w:tc>
          <w:tcPr>
            <w:tcW w:w="3096" w:type="dxa"/>
          </w:tcPr>
          <w:p w:rsidR="008452B7" w:rsidRPr="00295E71" w:rsidP="002E6FD5" w14:paraId="7ECDD396" w14:textId="77777777">
            <w:pPr>
              <w:numPr>
                <w:ilvl w:val="12"/>
                <w:numId w:val="0"/>
              </w:numPr>
              <w:ind w:right="-2"/>
              <w:rPr>
                <w:sz w:val="22"/>
                <w:szCs w:val="22"/>
              </w:rPr>
            </w:pPr>
            <w:r w:rsidRPr="00295E71">
              <w:rPr>
                <w:b/>
                <w:sz w:val="22"/>
                <w:szCs w:val="22"/>
              </w:rPr>
              <w:t>Note</w:t>
            </w:r>
          </w:p>
        </w:tc>
      </w:tr>
      <w:tr w14:paraId="40CDD7AB" w14:textId="77777777" w:rsidTr="002E6FD5">
        <w:tblPrEx>
          <w:tblW w:w="0" w:type="auto"/>
          <w:tblLook w:val="04A0"/>
        </w:tblPrEx>
        <w:tc>
          <w:tcPr>
            <w:tcW w:w="3094" w:type="dxa"/>
          </w:tcPr>
          <w:p w:rsidR="008452B7" w:rsidRPr="00295E71" w:rsidP="003876C1" w14:paraId="29919D8E" w14:textId="77777777">
            <w:pPr>
              <w:numPr>
                <w:ilvl w:val="12"/>
                <w:numId w:val="0"/>
              </w:numPr>
              <w:ind w:right="-2"/>
              <w:rPr>
                <w:sz w:val="22"/>
                <w:szCs w:val="22"/>
              </w:rPr>
            </w:pPr>
            <w:r w:rsidRPr="00295E71">
              <w:rPr>
                <w:sz w:val="22"/>
                <w:szCs w:val="22"/>
              </w:rPr>
              <w:t xml:space="preserve">Bambini e adolescenti </w:t>
            </w:r>
            <w:r w:rsidRPr="00295E71" w:rsidR="003876C1">
              <w:rPr>
                <w:sz w:val="22"/>
                <w:szCs w:val="22"/>
              </w:rPr>
              <w:t>di età compresa tra 6 e 17</w:t>
            </w:r>
            <w:r w:rsidRPr="00295E71">
              <w:rPr>
                <w:sz w:val="22"/>
                <w:szCs w:val="22"/>
              </w:rPr>
              <w:t xml:space="preserve"> anni con peso </w:t>
            </w:r>
            <w:r w:rsidRPr="00295E71" w:rsidR="003876C1">
              <w:rPr>
                <w:sz w:val="22"/>
                <w:szCs w:val="22"/>
              </w:rPr>
              <w:t xml:space="preserve">pari o </w:t>
            </w:r>
            <w:r w:rsidRPr="00295E71">
              <w:rPr>
                <w:sz w:val="22"/>
                <w:szCs w:val="22"/>
              </w:rPr>
              <w:t>superiore a 40 kg</w:t>
            </w:r>
          </w:p>
        </w:tc>
        <w:tc>
          <w:tcPr>
            <w:tcW w:w="3096" w:type="dxa"/>
          </w:tcPr>
          <w:p w:rsidR="008452B7" w:rsidRPr="00295E71" w:rsidP="002E6FD5" w14:paraId="5256185E" w14:textId="77777777">
            <w:pPr>
              <w:rPr>
                <w:sz w:val="22"/>
                <w:szCs w:val="22"/>
              </w:rPr>
            </w:pPr>
            <w:r w:rsidRPr="00295E71">
              <w:rPr>
                <w:sz w:val="22"/>
                <w:szCs w:val="22"/>
              </w:rPr>
              <w:t>Una dose iniziale di 80 mg seguita da 40 mg dopo due settimane.</w:t>
            </w:r>
          </w:p>
          <w:p w:rsidR="008452B7" w:rsidRPr="00295E71" w:rsidP="002E6FD5" w14:paraId="4BF1A870" w14:textId="77777777">
            <w:pPr>
              <w:rPr>
                <w:sz w:val="22"/>
                <w:szCs w:val="22"/>
              </w:rPr>
            </w:pPr>
          </w:p>
          <w:p w:rsidR="008452B7" w:rsidRPr="00295E71" w:rsidP="002E6FD5" w14:paraId="10D7A5CF" w14:textId="77777777">
            <w:pPr>
              <w:numPr>
                <w:ilvl w:val="12"/>
                <w:numId w:val="0"/>
              </w:numPr>
              <w:rPr>
                <w:sz w:val="22"/>
                <w:szCs w:val="22"/>
              </w:rPr>
            </w:pPr>
            <w:r w:rsidRPr="00295E71">
              <w:rPr>
                <w:sz w:val="22"/>
                <w:szCs w:val="22"/>
              </w:rPr>
              <w:t xml:space="preserve">Se è necessario indurre una risposta più rapida, il </w:t>
            </w:r>
            <w:r w:rsidRPr="00295E71" w:rsidR="00D63CAB">
              <w:rPr>
                <w:sz w:val="22"/>
                <w:szCs w:val="22"/>
              </w:rPr>
              <w:t>pediatra</w:t>
            </w:r>
            <w:r w:rsidRPr="00295E71">
              <w:rPr>
                <w:sz w:val="22"/>
                <w:szCs w:val="22"/>
              </w:rPr>
              <w:t xml:space="preserve"> potrebbe prescrivere una dose iniziale di 160 mg, seguita da 80 mg dopo due settimane.</w:t>
            </w:r>
          </w:p>
          <w:p w:rsidR="008452B7" w:rsidRPr="00295E71" w:rsidP="002E6FD5" w14:paraId="3C00B6DD" w14:textId="77777777">
            <w:pPr>
              <w:numPr>
                <w:ilvl w:val="12"/>
                <w:numId w:val="0"/>
              </w:numPr>
              <w:rPr>
                <w:sz w:val="22"/>
                <w:szCs w:val="22"/>
              </w:rPr>
            </w:pPr>
          </w:p>
          <w:p w:rsidR="008452B7" w:rsidRPr="00295E71" w:rsidP="002E6FD5" w14:paraId="02740CC3" w14:textId="77777777">
            <w:pPr>
              <w:numPr>
                <w:ilvl w:val="12"/>
                <w:numId w:val="0"/>
              </w:numPr>
              <w:ind w:right="-2"/>
              <w:rPr>
                <w:sz w:val="22"/>
                <w:szCs w:val="22"/>
              </w:rPr>
            </w:pPr>
            <w:r w:rsidRPr="00295E71">
              <w:rPr>
                <w:sz w:val="22"/>
                <w:szCs w:val="22"/>
              </w:rPr>
              <w:t>Successivamente, la dose abituale è di 40 mg a settimane alterne.</w:t>
            </w:r>
          </w:p>
        </w:tc>
        <w:tc>
          <w:tcPr>
            <w:tcW w:w="3096" w:type="dxa"/>
          </w:tcPr>
          <w:p w:rsidR="008452B7" w:rsidRPr="00295E71" w:rsidP="00D31875" w14:paraId="391A4B77" w14:textId="77777777">
            <w:pPr>
              <w:numPr>
                <w:ilvl w:val="12"/>
                <w:numId w:val="0"/>
              </w:numPr>
              <w:spacing w:before="100" w:beforeAutospacing="1" w:after="100" w:afterAutospacing="1"/>
              <w:ind w:right="-2"/>
              <w:rPr>
                <w:sz w:val="22"/>
                <w:szCs w:val="22"/>
              </w:rPr>
            </w:pPr>
            <w:r w:rsidRPr="00295E71">
              <w:rPr>
                <w:sz w:val="22"/>
                <w:szCs w:val="22"/>
              </w:rPr>
              <w:t xml:space="preserve">Il </w:t>
            </w:r>
            <w:r w:rsidRPr="00295E71" w:rsidR="004621B5">
              <w:rPr>
                <w:sz w:val="22"/>
                <w:szCs w:val="22"/>
              </w:rPr>
              <w:t>pediatra</w:t>
            </w:r>
            <w:r w:rsidRPr="00295E71">
              <w:rPr>
                <w:sz w:val="22"/>
                <w:szCs w:val="22"/>
              </w:rPr>
              <w:t xml:space="preserve"> potrebbe aumentare </w:t>
            </w:r>
            <w:r w:rsidRPr="00295E71" w:rsidR="001763C9">
              <w:rPr>
                <w:sz w:val="22"/>
                <w:szCs w:val="22"/>
              </w:rPr>
              <w:t>il</w:t>
            </w:r>
            <w:r w:rsidRPr="00295E71">
              <w:rPr>
                <w:sz w:val="22"/>
                <w:szCs w:val="22"/>
              </w:rPr>
              <w:t xml:space="preserve"> dos</w:t>
            </w:r>
            <w:r w:rsidRPr="00295E71" w:rsidR="001763C9">
              <w:rPr>
                <w:sz w:val="22"/>
                <w:szCs w:val="22"/>
              </w:rPr>
              <w:t>aggio</w:t>
            </w:r>
            <w:r w:rsidRPr="00295E71">
              <w:rPr>
                <w:sz w:val="22"/>
                <w:szCs w:val="22"/>
              </w:rPr>
              <w:t xml:space="preserve"> a 40 mg ogni settimana</w:t>
            </w:r>
            <w:r w:rsidRPr="00295E71" w:rsidR="001763C9">
              <w:rPr>
                <w:sz w:val="22"/>
                <w:szCs w:val="22"/>
              </w:rPr>
              <w:t xml:space="preserve"> o 80 mg a settimane alterne</w:t>
            </w:r>
            <w:r w:rsidRPr="00295E71">
              <w:rPr>
                <w:sz w:val="22"/>
                <w:szCs w:val="22"/>
              </w:rPr>
              <w:t>.</w:t>
            </w:r>
          </w:p>
        </w:tc>
      </w:tr>
      <w:tr w14:paraId="7546F7C9" w14:textId="77777777" w:rsidTr="002E6FD5">
        <w:tblPrEx>
          <w:tblW w:w="0" w:type="auto"/>
          <w:tblLook w:val="04A0"/>
        </w:tblPrEx>
        <w:tc>
          <w:tcPr>
            <w:tcW w:w="3094" w:type="dxa"/>
          </w:tcPr>
          <w:p w:rsidR="008452B7" w:rsidRPr="00295E71" w:rsidP="002E6FD5" w14:paraId="33D797E2" w14:textId="77777777">
            <w:pPr>
              <w:numPr>
                <w:ilvl w:val="12"/>
                <w:numId w:val="0"/>
              </w:numPr>
              <w:ind w:right="-2"/>
              <w:rPr>
                <w:sz w:val="22"/>
                <w:szCs w:val="22"/>
              </w:rPr>
            </w:pPr>
            <w:r w:rsidRPr="00295E71">
              <w:rPr>
                <w:sz w:val="22"/>
                <w:szCs w:val="22"/>
              </w:rPr>
              <w:t>Bambini e adolescenti di età compresa tra 6 e 17 anni e con peso inferiore a 40 kg</w:t>
            </w:r>
          </w:p>
        </w:tc>
        <w:tc>
          <w:tcPr>
            <w:tcW w:w="3096" w:type="dxa"/>
          </w:tcPr>
          <w:p w:rsidR="008452B7" w:rsidRPr="00295E71" w:rsidP="002E6FD5" w14:paraId="70EA8DFE" w14:textId="77777777">
            <w:pPr>
              <w:rPr>
                <w:sz w:val="22"/>
                <w:szCs w:val="22"/>
              </w:rPr>
            </w:pPr>
            <w:r w:rsidRPr="00295E71">
              <w:rPr>
                <w:sz w:val="22"/>
                <w:szCs w:val="22"/>
              </w:rPr>
              <w:t>Una dose iniziale di 40 mg</w:t>
            </w:r>
            <w:r w:rsidRPr="00295E71" w:rsidR="004621B5">
              <w:rPr>
                <w:sz w:val="22"/>
                <w:szCs w:val="22"/>
              </w:rPr>
              <w:t xml:space="preserve"> </w:t>
            </w:r>
            <w:r w:rsidRPr="00295E71">
              <w:rPr>
                <w:sz w:val="22"/>
                <w:szCs w:val="22"/>
              </w:rPr>
              <w:t>seguita da 20 mg dopo due settimane.</w:t>
            </w:r>
          </w:p>
          <w:p w:rsidR="008452B7" w:rsidRPr="00295E71" w:rsidP="002E6FD5" w14:paraId="715641C1" w14:textId="77777777">
            <w:pPr>
              <w:rPr>
                <w:sz w:val="22"/>
                <w:szCs w:val="22"/>
              </w:rPr>
            </w:pPr>
          </w:p>
          <w:p w:rsidR="008452B7" w:rsidRPr="00295E71" w:rsidP="002E6FD5" w14:paraId="15258C51" w14:textId="77777777">
            <w:pPr>
              <w:rPr>
                <w:sz w:val="22"/>
                <w:szCs w:val="22"/>
              </w:rPr>
            </w:pPr>
            <w:r w:rsidRPr="00295E71">
              <w:rPr>
                <w:sz w:val="22"/>
                <w:szCs w:val="22"/>
              </w:rPr>
              <w:t xml:space="preserve">Se è necessario indurre una risposta più rapida, il </w:t>
            </w:r>
            <w:r w:rsidRPr="00295E71" w:rsidR="004621B5">
              <w:rPr>
                <w:sz w:val="22"/>
                <w:szCs w:val="22"/>
              </w:rPr>
              <w:t>pediatra</w:t>
            </w:r>
            <w:r w:rsidRPr="00295E71">
              <w:rPr>
                <w:sz w:val="22"/>
                <w:szCs w:val="22"/>
              </w:rPr>
              <w:t xml:space="preserve"> potrebbe prescrivere una dose iniziale di 80 mg, seguita da 40 mg dopo due settimane.</w:t>
            </w:r>
          </w:p>
          <w:p w:rsidR="008452B7" w:rsidRPr="00295E71" w:rsidP="002E6FD5" w14:paraId="5C84B500" w14:textId="77777777">
            <w:pPr>
              <w:rPr>
                <w:sz w:val="22"/>
                <w:szCs w:val="22"/>
              </w:rPr>
            </w:pPr>
          </w:p>
          <w:p w:rsidR="008452B7" w:rsidRPr="00295E71" w:rsidP="002E6FD5" w14:paraId="6A2095F7" w14:textId="77777777">
            <w:pPr>
              <w:numPr>
                <w:ilvl w:val="12"/>
                <w:numId w:val="0"/>
              </w:numPr>
              <w:ind w:right="-2"/>
              <w:rPr>
                <w:sz w:val="22"/>
                <w:szCs w:val="22"/>
              </w:rPr>
            </w:pPr>
            <w:r w:rsidRPr="00295E71">
              <w:rPr>
                <w:sz w:val="22"/>
                <w:szCs w:val="22"/>
              </w:rPr>
              <w:t>Successivamente, la dose abituale è di 20 mg a settimane alterne.</w:t>
            </w:r>
          </w:p>
        </w:tc>
        <w:tc>
          <w:tcPr>
            <w:tcW w:w="3096" w:type="dxa"/>
          </w:tcPr>
          <w:p w:rsidR="008452B7" w:rsidRPr="00295E71" w:rsidP="00D31875" w14:paraId="7F26242E" w14:textId="77777777">
            <w:pPr>
              <w:numPr>
                <w:ilvl w:val="12"/>
                <w:numId w:val="0"/>
              </w:numPr>
              <w:spacing w:before="100" w:beforeAutospacing="1" w:after="100" w:afterAutospacing="1"/>
              <w:ind w:right="-2"/>
              <w:rPr>
                <w:sz w:val="22"/>
                <w:szCs w:val="22"/>
              </w:rPr>
            </w:pPr>
            <w:r w:rsidRPr="00295E71">
              <w:rPr>
                <w:sz w:val="22"/>
                <w:szCs w:val="22"/>
              </w:rPr>
              <w:t xml:space="preserve">Il </w:t>
            </w:r>
            <w:r w:rsidRPr="00295E71" w:rsidR="004621B5">
              <w:rPr>
                <w:sz w:val="22"/>
                <w:szCs w:val="22"/>
              </w:rPr>
              <w:t>pediatra</w:t>
            </w:r>
            <w:r w:rsidRPr="00295E71">
              <w:rPr>
                <w:sz w:val="22"/>
                <w:szCs w:val="22"/>
              </w:rPr>
              <w:t xml:space="preserve"> potrebbe aumentare la frequenza della dose a 20 mg ogni settimana.</w:t>
            </w:r>
          </w:p>
        </w:tc>
      </w:tr>
    </w:tbl>
    <w:p w:rsidR="008452B7" w:rsidRPr="00295E71" w:rsidP="002305EF" w14:paraId="3E9CDC9F" w14:textId="77777777">
      <w:pPr>
        <w:numPr>
          <w:ilvl w:val="12"/>
          <w:numId w:val="0"/>
        </w:numPr>
        <w:tabs>
          <w:tab w:val="left" w:pos="567"/>
        </w:tabs>
        <w:ind w:righ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4"/>
        <w:gridCol w:w="3019"/>
        <w:gridCol w:w="3027"/>
      </w:tblGrid>
      <w:tr w14:paraId="026F1501" w14:textId="77777777" w:rsidTr="002E6FD5">
        <w:tblPrEx>
          <w:tblW w:w="0" w:type="auto"/>
          <w:tblLook w:val="04A0"/>
        </w:tblPrEx>
        <w:tc>
          <w:tcPr>
            <w:tcW w:w="9286" w:type="dxa"/>
            <w:gridSpan w:val="3"/>
          </w:tcPr>
          <w:p w:rsidR="008452B7" w:rsidRPr="00295E71" w:rsidP="005C7DCB" w14:paraId="22C88A51" w14:textId="77777777">
            <w:pPr>
              <w:keepNext/>
              <w:keepLines/>
              <w:numPr>
                <w:ilvl w:val="12"/>
                <w:numId w:val="0"/>
              </w:numPr>
              <w:ind w:right="-2"/>
              <w:rPr>
                <w:b/>
                <w:sz w:val="22"/>
                <w:szCs w:val="22"/>
              </w:rPr>
            </w:pPr>
            <w:r w:rsidRPr="00295E71">
              <w:rPr>
                <w:b/>
                <w:sz w:val="22"/>
                <w:szCs w:val="22"/>
              </w:rPr>
              <w:t xml:space="preserve">Uveite </w:t>
            </w:r>
            <w:r w:rsidRPr="00295E71" w:rsidR="005C7DCB">
              <w:rPr>
                <w:b/>
                <w:sz w:val="22"/>
                <w:szCs w:val="22"/>
              </w:rPr>
              <w:t>pediatrica</w:t>
            </w:r>
          </w:p>
        </w:tc>
      </w:tr>
      <w:tr w14:paraId="348347E8" w14:textId="77777777" w:rsidTr="002E6FD5">
        <w:tblPrEx>
          <w:tblW w:w="0" w:type="auto"/>
          <w:tblLook w:val="04A0"/>
        </w:tblPrEx>
        <w:tc>
          <w:tcPr>
            <w:tcW w:w="3094" w:type="dxa"/>
          </w:tcPr>
          <w:p w:rsidR="008452B7" w:rsidRPr="00295E71" w:rsidP="002E6FD5" w14:paraId="7A857717" w14:textId="77777777">
            <w:pPr>
              <w:keepNext/>
              <w:keepLines/>
              <w:numPr>
                <w:ilvl w:val="12"/>
                <w:numId w:val="0"/>
              </w:numPr>
              <w:ind w:right="-2"/>
              <w:rPr>
                <w:sz w:val="22"/>
                <w:szCs w:val="22"/>
              </w:rPr>
            </w:pPr>
            <w:r w:rsidRPr="00295E71">
              <w:rPr>
                <w:b/>
                <w:sz w:val="22"/>
                <w:szCs w:val="22"/>
              </w:rPr>
              <w:t>Età o peso corporeo</w:t>
            </w:r>
          </w:p>
        </w:tc>
        <w:tc>
          <w:tcPr>
            <w:tcW w:w="3096" w:type="dxa"/>
          </w:tcPr>
          <w:p w:rsidR="008452B7" w:rsidRPr="00295E71" w:rsidP="002E6FD5" w14:paraId="6D36A23E" w14:textId="77777777">
            <w:pPr>
              <w:keepNext/>
              <w:keepLines/>
              <w:tabs>
                <w:tab w:val="left" w:pos="0"/>
              </w:tabs>
              <w:rPr>
                <w:sz w:val="22"/>
                <w:szCs w:val="22"/>
              </w:rPr>
            </w:pPr>
            <w:r w:rsidRPr="00295E71">
              <w:rPr>
                <w:b/>
                <w:sz w:val="22"/>
                <w:szCs w:val="22"/>
              </w:rPr>
              <w:t>Che quantità ne va assunta e con che frequenza?</w:t>
            </w:r>
          </w:p>
        </w:tc>
        <w:tc>
          <w:tcPr>
            <w:tcW w:w="3096" w:type="dxa"/>
          </w:tcPr>
          <w:p w:rsidR="008452B7" w:rsidRPr="00295E71" w:rsidP="002E6FD5" w14:paraId="63FB233A" w14:textId="77777777">
            <w:pPr>
              <w:keepNext/>
              <w:keepLines/>
              <w:numPr>
                <w:ilvl w:val="12"/>
                <w:numId w:val="0"/>
              </w:numPr>
              <w:rPr>
                <w:sz w:val="22"/>
                <w:szCs w:val="22"/>
              </w:rPr>
            </w:pPr>
            <w:r w:rsidRPr="00295E71">
              <w:rPr>
                <w:b/>
                <w:sz w:val="22"/>
                <w:szCs w:val="22"/>
              </w:rPr>
              <w:t>Note</w:t>
            </w:r>
          </w:p>
        </w:tc>
      </w:tr>
      <w:tr w14:paraId="6AE52A70" w14:textId="77777777" w:rsidTr="002E6FD5">
        <w:tblPrEx>
          <w:tblW w:w="0" w:type="auto"/>
          <w:tblLook w:val="04A0"/>
        </w:tblPrEx>
        <w:tc>
          <w:tcPr>
            <w:tcW w:w="3094" w:type="dxa"/>
          </w:tcPr>
          <w:p w:rsidR="008452B7" w:rsidRPr="00295E71" w:rsidP="002E6FD5" w14:paraId="2B6A4EF9" w14:textId="77777777">
            <w:pPr>
              <w:numPr>
                <w:ilvl w:val="12"/>
                <w:numId w:val="0"/>
              </w:numPr>
              <w:ind w:right="-2"/>
              <w:rPr>
                <w:sz w:val="22"/>
                <w:szCs w:val="22"/>
              </w:rPr>
            </w:pPr>
            <w:r w:rsidRPr="00295E71">
              <w:rPr>
                <w:sz w:val="22"/>
                <w:szCs w:val="22"/>
              </w:rPr>
              <w:t>Bambini e adolescenti</w:t>
            </w:r>
            <w:r w:rsidRPr="00295E71" w:rsidR="000C1B2D">
              <w:rPr>
                <w:sz w:val="22"/>
                <w:szCs w:val="22"/>
              </w:rPr>
              <w:t xml:space="preserve"> dai </w:t>
            </w:r>
            <w:r w:rsidRPr="00295E71">
              <w:rPr>
                <w:sz w:val="22"/>
                <w:szCs w:val="22"/>
              </w:rPr>
              <w:t xml:space="preserve">2 anni </w:t>
            </w:r>
            <w:r w:rsidRPr="00295E71" w:rsidR="000C1B2D">
              <w:rPr>
                <w:sz w:val="22"/>
                <w:szCs w:val="22"/>
              </w:rPr>
              <w:t xml:space="preserve">di età </w:t>
            </w:r>
            <w:r w:rsidRPr="00295E71">
              <w:rPr>
                <w:sz w:val="22"/>
                <w:szCs w:val="22"/>
              </w:rPr>
              <w:t>e con peso inferiore a 30 kg</w:t>
            </w:r>
          </w:p>
        </w:tc>
        <w:tc>
          <w:tcPr>
            <w:tcW w:w="3096" w:type="dxa"/>
          </w:tcPr>
          <w:p w:rsidR="008452B7" w:rsidRPr="00295E71" w:rsidP="002E6FD5" w14:paraId="28646912" w14:textId="77777777">
            <w:pPr>
              <w:tabs>
                <w:tab w:val="left" w:pos="0"/>
              </w:tabs>
              <w:rPr>
                <w:sz w:val="22"/>
                <w:szCs w:val="22"/>
              </w:rPr>
            </w:pPr>
            <w:r w:rsidRPr="00295E71">
              <w:rPr>
                <w:sz w:val="22"/>
                <w:szCs w:val="22"/>
              </w:rPr>
              <w:t>20 mg a settimane alterne</w:t>
            </w:r>
          </w:p>
        </w:tc>
        <w:tc>
          <w:tcPr>
            <w:tcW w:w="3096" w:type="dxa"/>
          </w:tcPr>
          <w:p w:rsidR="008452B7" w:rsidRPr="00295E71" w:rsidP="00D31875" w14:paraId="2F1F9D60" w14:textId="77777777">
            <w:pPr>
              <w:numPr>
                <w:ilvl w:val="12"/>
                <w:numId w:val="0"/>
              </w:numPr>
              <w:ind w:right="-2"/>
              <w:rPr>
                <w:sz w:val="22"/>
                <w:szCs w:val="22"/>
              </w:rPr>
            </w:pPr>
            <w:r w:rsidRPr="00295E71">
              <w:rPr>
                <w:sz w:val="22"/>
                <w:szCs w:val="22"/>
              </w:rPr>
              <w:t>Il medico potrebbe prescrivere una dose iniziale da 40 mg da somministrare una settimana prima dell’inizio della dose abituale da 20 mg a settimane alterne. L’uso di Humira è raccomandato in associazione al metotressato.</w:t>
            </w:r>
          </w:p>
        </w:tc>
      </w:tr>
      <w:tr w14:paraId="4ECC5370" w14:textId="77777777" w:rsidTr="002E6FD5">
        <w:tblPrEx>
          <w:tblW w:w="0" w:type="auto"/>
          <w:tblLook w:val="04A0"/>
        </w:tblPrEx>
        <w:tc>
          <w:tcPr>
            <w:tcW w:w="3094" w:type="dxa"/>
          </w:tcPr>
          <w:p w:rsidR="008452B7" w:rsidRPr="00295E71" w:rsidP="0019187E" w14:paraId="7499FE39" w14:textId="77777777">
            <w:pPr>
              <w:keepNext/>
              <w:numPr>
                <w:ilvl w:val="12"/>
                <w:numId w:val="0"/>
              </w:numPr>
              <w:ind w:right="-2"/>
              <w:rPr>
                <w:sz w:val="22"/>
                <w:szCs w:val="22"/>
              </w:rPr>
            </w:pPr>
            <w:r w:rsidRPr="00295E71">
              <w:rPr>
                <w:sz w:val="22"/>
                <w:szCs w:val="22"/>
              </w:rPr>
              <w:t xml:space="preserve">Bambini e adolescenti </w:t>
            </w:r>
            <w:r w:rsidRPr="00295E71" w:rsidR="000C1B2D">
              <w:rPr>
                <w:sz w:val="22"/>
                <w:szCs w:val="22"/>
              </w:rPr>
              <w:t xml:space="preserve">dai 2 anni </w:t>
            </w:r>
            <w:r w:rsidRPr="00295E71">
              <w:rPr>
                <w:sz w:val="22"/>
                <w:szCs w:val="22"/>
              </w:rPr>
              <w:t>di età  e con peso uguale o superiore a 30 kg</w:t>
            </w:r>
          </w:p>
        </w:tc>
        <w:tc>
          <w:tcPr>
            <w:tcW w:w="3096" w:type="dxa"/>
          </w:tcPr>
          <w:p w:rsidR="008452B7" w:rsidRPr="00295E71" w:rsidP="0019187E" w14:paraId="52BAD481" w14:textId="77777777">
            <w:pPr>
              <w:keepNext/>
              <w:tabs>
                <w:tab w:val="left" w:pos="0"/>
              </w:tabs>
              <w:rPr>
                <w:sz w:val="22"/>
                <w:szCs w:val="22"/>
              </w:rPr>
            </w:pPr>
            <w:r w:rsidRPr="00295E71">
              <w:rPr>
                <w:sz w:val="22"/>
                <w:szCs w:val="22"/>
              </w:rPr>
              <w:t>40 mg a settimane alterne</w:t>
            </w:r>
          </w:p>
        </w:tc>
        <w:tc>
          <w:tcPr>
            <w:tcW w:w="3096" w:type="dxa"/>
          </w:tcPr>
          <w:p w:rsidR="008452B7" w:rsidRPr="00295E71" w:rsidP="00D31875" w14:paraId="6477462F" w14:textId="77777777">
            <w:pPr>
              <w:keepNext/>
              <w:numPr>
                <w:ilvl w:val="12"/>
                <w:numId w:val="0"/>
              </w:numPr>
              <w:ind w:right="-2"/>
              <w:rPr>
                <w:sz w:val="22"/>
                <w:szCs w:val="22"/>
              </w:rPr>
            </w:pPr>
            <w:r w:rsidRPr="00295E71">
              <w:rPr>
                <w:sz w:val="22"/>
                <w:szCs w:val="22"/>
              </w:rPr>
              <w:t>Il medico potrebbe prescrivere una dose iniziale da 80 mg da somministrare una settimana prima dell’inizio della dose abituale da 40 mg a settimane alterne. L’uso di Humira è raccomandato in associazione al metotressato.</w:t>
            </w:r>
          </w:p>
        </w:tc>
      </w:tr>
    </w:tbl>
    <w:p w:rsidR="002305EF" w:rsidRPr="00295E71" w:rsidP="002305EF" w14:paraId="0FA9CBC7" w14:textId="77777777">
      <w:pPr>
        <w:numPr>
          <w:ilvl w:val="12"/>
          <w:numId w:val="0"/>
        </w:numPr>
        <w:tabs>
          <w:tab w:val="left" w:pos="567"/>
        </w:tabs>
        <w:ind w:right="-2"/>
        <w:rPr>
          <w:b/>
          <w:sz w:val="22"/>
          <w:szCs w:val="22"/>
        </w:rPr>
      </w:pPr>
    </w:p>
    <w:p w:rsidR="002305EF" w:rsidRPr="00295E71" w:rsidP="002305EF" w14:paraId="7FFB4DD5" w14:textId="77777777">
      <w:pPr>
        <w:numPr>
          <w:ilvl w:val="12"/>
          <w:numId w:val="0"/>
        </w:numPr>
        <w:tabs>
          <w:tab w:val="left" w:pos="567"/>
        </w:tabs>
        <w:ind w:right="-2"/>
        <w:jc w:val="both"/>
        <w:rPr>
          <w:b/>
          <w:sz w:val="22"/>
          <w:szCs w:val="22"/>
        </w:rPr>
      </w:pPr>
      <w:r w:rsidRPr="00295E71">
        <w:rPr>
          <w:b/>
          <w:sz w:val="22"/>
          <w:szCs w:val="22"/>
        </w:rPr>
        <w:t>Modo e via di somministrazione</w:t>
      </w:r>
    </w:p>
    <w:p w:rsidR="002305EF" w:rsidRPr="00295E71" w:rsidP="002305EF" w14:paraId="66E5DB96" w14:textId="77777777">
      <w:pPr>
        <w:numPr>
          <w:ilvl w:val="12"/>
          <w:numId w:val="0"/>
        </w:numPr>
        <w:tabs>
          <w:tab w:val="left" w:pos="567"/>
        </w:tabs>
        <w:ind w:right="-2"/>
        <w:jc w:val="both"/>
        <w:rPr>
          <w:sz w:val="22"/>
          <w:szCs w:val="22"/>
        </w:rPr>
      </w:pPr>
    </w:p>
    <w:p w:rsidR="002305EF" w:rsidRPr="00295E71" w:rsidP="002305EF" w14:paraId="1B260966" w14:textId="77777777">
      <w:pPr>
        <w:numPr>
          <w:ilvl w:val="12"/>
          <w:numId w:val="0"/>
        </w:numPr>
        <w:tabs>
          <w:tab w:val="left" w:pos="567"/>
        </w:tabs>
        <w:ind w:right="-2"/>
        <w:jc w:val="both"/>
        <w:rPr>
          <w:sz w:val="22"/>
          <w:szCs w:val="22"/>
        </w:rPr>
      </w:pPr>
      <w:r w:rsidRPr="00295E71">
        <w:rPr>
          <w:sz w:val="22"/>
          <w:szCs w:val="22"/>
        </w:rPr>
        <w:t>Humira è somministrato per iniezione sotto la cute (per iniezione sottocutanea).</w:t>
      </w:r>
    </w:p>
    <w:p w:rsidR="002305EF" w:rsidRPr="00295E71" w:rsidP="002305EF" w14:paraId="1D4343DB" w14:textId="77777777">
      <w:pPr>
        <w:numPr>
          <w:ilvl w:val="12"/>
          <w:numId w:val="0"/>
        </w:numPr>
        <w:tabs>
          <w:tab w:val="left" w:pos="567"/>
        </w:tabs>
        <w:ind w:right="-2"/>
        <w:jc w:val="both"/>
        <w:rPr>
          <w:sz w:val="22"/>
          <w:szCs w:val="22"/>
        </w:rPr>
      </w:pPr>
    </w:p>
    <w:p w:rsidR="002305EF" w:rsidRPr="00295E71" w:rsidP="002305EF" w14:paraId="388EEC12" w14:textId="77777777">
      <w:pPr>
        <w:pStyle w:val="EndnoteText"/>
        <w:jc w:val="both"/>
        <w:rPr>
          <w:lang w:val="it-IT" w:eastAsia="it-IT"/>
        </w:rPr>
      </w:pPr>
      <w:r w:rsidRPr="00295E71">
        <w:rPr>
          <w:b/>
          <w:bCs/>
          <w:lang w:val="it-IT"/>
        </w:rPr>
        <w:t>Istruzioni dettagliate per l’iniezione di Humira si trovano alla sezione 7 “</w:t>
      </w:r>
      <w:r w:rsidRPr="00433056" w:rsidR="00433056">
        <w:rPr>
          <w:b/>
          <w:bCs/>
          <w:lang w:val="it-IT"/>
        </w:rPr>
        <w:t>Iniezione di Humira</w:t>
      </w:r>
      <w:r w:rsidRPr="00295E71">
        <w:rPr>
          <w:b/>
          <w:bCs/>
          <w:lang w:val="it-IT"/>
        </w:rPr>
        <w:t>”.</w:t>
      </w:r>
    </w:p>
    <w:p w:rsidR="00CA3A1E" w:rsidRPr="00295E71" w:rsidP="00CA3A1E" w14:paraId="5E033B44" w14:textId="77777777"/>
    <w:p w:rsidR="002305EF" w:rsidRPr="00295E71" w:rsidP="002305EF" w14:paraId="3D05798B" w14:textId="77777777">
      <w:pPr>
        <w:tabs>
          <w:tab w:val="left" w:pos="567"/>
        </w:tabs>
        <w:jc w:val="both"/>
        <w:rPr>
          <w:b/>
          <w:bCs/>
          <w:sz w:val="22"/>
          <w:szCs w:val="22"/>
        </w:rPr>
      </w:pPr>
      <w:r w:rsidRPr="00295E71">
        <w:rPr>
          <w:b/>
          <w:bCs/>
          <w:sz w:val="22"/>
          <w:szCs w:val="22"/>
        </w:rPr>
        <w:t>Se usa più Humira di quanto deve</w:t>
      </w:r>
    </w:p>
    <w:p w:rsidR="002305EF" w:rsidRPr="00295E71" w:rsidP="002305EF" w14:paraId="16149B2C" w14:textId="77777777">
      <w:pPr>
        <w:tabs>
          <w:tab w:val="left" w:pos="567"/>
        </w:tabs>
        <w:jc w:val="both"/>
        <w:rPr>
          <w:sz w:val="22"/>
          <w:szCs w:val="22"/>
        </w:rPr>
      </w:pPr>
    </w:p>
    <w:p w:rsidR="002305EF" w:rsidRPr="00295E71" w:rsidP="002305EF" w14:paraId="2F919A03" w14:textId="77777777">
      <w:pPr>
        <w:pStyle w:val="BodyText3"/>
        <w:tabs>
          <w:tab w:val="left" w:pos="567"/>
        </w:tabs>
      </w:pPr>
      <w:r w:rsidRPr="00295E71">
        <w:t>Se accidentalmente inietta Humira</w:t>
      </w:r>
      <w:r w:rsidRPr="00295E71" w:rsidR="00E109AC">
        <w:t xml:space="preserve"> </w:t>
      </w:r>
      <w:r w:rsidRPr="00295E71">
        <w:t>più frequentemente di quanto disposto dal medico</w:t>
      </w:r>
      <w:r w:rsidRPr="00295E71" w:rsidR="00E109AC">
        <w:t xml:space="preserve"> o dal farmacista</w:t>
      </w:r>
      <w:r w:rsidRPr="00295E71">
        <w:t xml:space="preserve">, contatti </w:t>
      </w:r>
      <w:r w:rsidRPr="00295E71" w:rsidR="00187ACA">
        <w:t>il medico o il farmacista</w:t>
      </w:r>
      <w:r w:rsidRPr="00295E71">
        <w:t xml:space="preserve"> informandol</w:t>
      </w:r>
      <w:r w:rsidRPr="00295E71" w:rsidR="00187ACA">
        <w:t>i</w:t>
      </w:r>
      <w:r w:rsidRPr="00295E71">
        <w:t xml:space="preserve"> che il bambino ha assunto più </w:t>
      </w:r>
      <w:r w:rsidRPr="00295E71" w:rsidR="00E109AC">
        <w:t>medicinale</w:t>
      </w:r>
      <w:r w:rsidRPr="00295E71">
        <w:t xml:space="preserve">. Conservi sempre la scatola del </w:t>
      </w:r>
      <w:r w:rsidRPr="00295E71" w:rsidR="00E109AC">
        <w:t>medicinale</w:t>
      </w:r>
      <w:r w:rsidRPr="00295E71">
        <w:t>, anche se vuot</w:t>
      </w:r>
      <w:r w:rsidRPr="00295E71" w:rsidR="00E109AC">
        <w:t>a</w:t>
      </w:r>
      <w:r w:rsidRPr="00295E71">
        <w:t xml:space="preserve">. </w:t>
      </w:r>
    </w:p>
    <w:p w:rsidR="002305EF" w:rsidRPr="00295E71" w:rsidP="002305EF" w14:paraId="7FCE3350" w14:textId="77777777">
      <w:pPr>
        <w:rPr>
          <w:b/>
          <w:bCs/>
          <w:sz w:val="22"/>
          <w:szCs w:val="22"/>
        </w:rPr>
      </w:pPr>
    </w:p>
    <w:p w:rsidR="002305EF" w:rsidRPr="00295E71" w:rsidP="002305EF" w14:paraId="2493762E" w14:textId="77777777">
      <w:pPr>
        <w:keepNext/>
        <w:keepLines/>
        <w:tabs>
          <w:tab w:val="left" w:pos="567"/>
        </w:tabs>
        <w:jc w:val="both"/>
        <w:rPr>
          <w:b/>
          <w:bCs/>
          <w:sz w:val="22"/>
          <w:szCs w:val="22"/>
        </w:rPr>
      </w:pPr>
      <w:r w:rsidRPr="00295E71">
        <w:rPr>
          <w:b/>
          <w:bCs/>
          <w:sz w:val="22"/>
          <w:szCs w:val="22"/>
        </w:rPr>
        <w:t>Se dimentica di usare Humira</w:t>
      </w:r>
    </w:p>
    <w:p w:rsidR="002305EF" w:rsidRPr="00295E71" w:rsidP="002305EF" w14:paraId="48298EC3" w14:textId="77777777">
      <w:pPr>
        <w:keepNext/>
        <w:keepLines/>
        <w:tabs>
          <w:tab w:val="left" w:pos="567"/>
        </w:tabs>
        <w:jc w:val="both"/>
        <w:rPr>
          <w:sz w:val="22"/>
          <w:szCs w:val="22"/>
        </w:rPr>
      </w:pPr>
    </w:p>
    <w:p w:rsidR="002305EF" w:rsidRPr="00295E71" w:rsidP="002305EF" w14:paraId="7D56B6B0" w14:textId="77777777">
      <w:pPr>
        <w:keepNext/>
        <w:keepLines/>
        <w:tabs>
          <w:tab w:val="left" w:pos="567"/>
        </w:tabs>
        <w:jc w:val="both"/>
        <w:rPr>
          <w:sz w:val="22"/>
          <w:szCs w:val="22"/>
        </w:rPr>
      </w:pPr>
      <w:r w:rsidRPr="00295E71">
        <w:rPr>
          <w:sz w:val="22"/>
          <w:szCs w:val="22"/>
        </w:rPr>
        <w:t xml:space="preserve">Se dimentica di fare un’iniezione al bambino, deve iniettare la dose </w:t>
      </w:r>
      <w:r w:rsidRPr="00295E71" w:rsidR="00E109AC">
        <w:rPr>
          <w:sz w:val="22"/>
          <w:szCs w:val="22"/>
        </w:rPr>
        <w:t>successiva</w:t>
      </w:r>
      <w:r w:rsidRPr="00295E71">
        <w:rPr>
          <w:sz w:val="22"/>
          <w:szCs w:val="22"/>
        </w:rPr>
        <w:t xml:space="preserve"> non appena se ne ricorda. Dopodiché </w:t>
      </w:r>
      <w:r w:rsidRPr="00295E71" w:rsidR="00E109AC">
        <w:rPr>
          <w:sz w:val="22"/>
          <w:szCs w:val="22"/>
        </w:rPr>
        <w:t>dia</w:t>
      </w:r>
      <w:r w:rsidRPr="00295E71">
        <w:rPr>
          <w:sz w:val="22"/>
          <w:szCs w:val="22"/>
        </w:rPr>
        <w:t xml:space="preserve"> al bambino la</w:t>
      </w:r>
      <w:r w:rsidRPr="00295E71" w:rsidR="00E109AC">
        <w:rPr>
          <w:sz w:val="22"/>
          <w:szCs w:val="22"/>
        </w:rPr>
        <w:t xml:space="preserve"> </w:t>
      </w:r>
      <w:r w:rsidRPr="00295E71">
        <w:rPr>
          <w:sz w:val="22"/>
          <w:szCs w:val="22"/>
        </w:rPr>
        <w:t>dose successiva regolarmente secondo lo schema posologico</w:t>
      </w:r>
      <w:r w:rsidRPr="00295E71" w:rsidR="00E109AC">
        <w:rPr>
          <w:sz w:val="22"/>
          <w:szCs w:val="22"/>
        </w:rPr>
        <w:t xml:space="preserve"> </w:t>
      </w:r>
      <w:r w:rsidRPr="00295E71">
        <w:rPr>
          <w:sz w:val="22"/>
          <w:szCs w:val="22"/>
        </w:rPr>
        <w:t>stabilito.</w:t>
      </w:r>
    </w:p>
    <w:p w:rsidR="002305EF" w:rsidRPr="00295E71" w:rsidP="002305EF" w14:paraId="02AB74B4" w14:textId="77777777">
      <w:pPr>
        <w:tabs>
          <w:tab w:val="left" w:pos="567"/>
        </w:tabs>
        <w:jc w:val="both"/>
        <w:rPr>
          <w:sz w:val="22"/>
          <w:szCs w:val="22"/>
        </w:rPr>
      </w:pPr>
    </w:p>
    <w:p w:rsidR="002305EF" w:rsidRPr="00295E71" w:rsidP="002305EF" w14:paraId="06A8CD20" w14:textId="77777777">
      <w:pPr>
        <w:tabs>
          <w:tab w:val="left" w:pos="567"/>
        </w:tabs>
        <w:jc w:val="both"/>
        <w:rPr>
          <w:b/>
          <w:sz w:val="22"/>
          <w:szCs w:val="22"/>
        </w:rPr>
      </w:pPr>
      <w:r w:rsidRPr="00295E71">
        <w:rPr>
          <w:b/>
          <w:sz w:val="22"/>
          <w:szCs w:val="22"/>
        </w:rPr>
        <w:t>Se interrompe il trattamento con Humira</w:t>
      </w:r>
    </w:p>
    <w:p w:rsidR="002305EF" w:rsidRPr="00295E71" w:rsidP="002305EF" w14:paraId="14D1ECCB" w14:textId="77777777">
      <w:pPr>
        <w:tabs>
          <w:tab w:val="left" w:pos="567"/>
        </w:tabs>
        <w:jc w:val="both"/>
        <w:rPr>
          <w:sz w:val="22"/>
          <w:szCs w:val="22"/>
        </w:rPr>
      </w:pPr>
    </w:p>
    <w:p w:rsidR="002305EF" w:rsidRPr="00295E71" w:rsidP="002305EF" w14:paraId="5475D9A3" w14:textId="77777777">
      <w:pPr>
        <w:tabs>
          <w:tab w:val="left" w:pos="567"/>
        </w:tabs>
        <w:jc w:val="both"/>
        <w:rPr>
          <w:sz w:val="22"/>
          <w:szCs w:val="22"/>
        </w:rPr>
      </w:pPr>
      <w:r w:rsidRPr="00295E71">
        <w:rPr>
          <w:sz w:val="22"/>
          <w:szCs w:val="22"/>
        </w:rPr>
        <w:t xml:space="preserve">La decisione di interrompere l’uso di Humira deve essere discussa con il </w:t>
      </w:r>
      <w:r w:rsidRPr="00295E71" w:rsidR="00E109AC">
        <w:rPr>
          <w:sz w:val="22"/>
          <w:szCs w:val="22"/>
        </w:rPr>
        <w:t>medico</w:t>
      </w:r>
      <w:r w:rsidRPr="00295E71">
        <w:rPr>
          <w:sz w:val="22"/>
          <w:szCs w:val="22"/>
        </w:rPr>
        <w:t xml:space="preserve">. I sintomi del bambino possono ritornare </w:t>
      </w:r>
      <w:r w:rsidRPr="00295E71" w:rsidR="00E109AC">
        <w:rPr>
          <w:sz w:val="22"/>
          <w:szCs w:val="22"/>
        </w:rPr>
        <w:t>se interrompe il trattamento con Humira</w:t>
      </w:r>
      <w:r w:rsidRPr="00295E71">
        <w:rPr>
          <w:sz w:val="22"/>
          <w:szCs w:val="22"/>
        </w:rPr>
        <w:t>.</w:t>
      </w:r>
    </w:p>
    <w:p w:rsidR="002305EF" w:rsidRPr="00295E71" w:rsidP="002305EF" w14:paraId="482B321F" w14:textId="77777777">
      <w:pPr>
        <w:tabs>
          <w:tab w:val="left" w:pos="567"/>
        </w:tabs>
        <w:jc w:val="both"/>
        <w:rPr>
          <w:sz w:val="22"/>
          <w:szCs w:val="22"/>
        </w:rPr>
      </w:pPr>
    </w:p>
    <w:p w:rsidR="002305EF" w:rsidRPr="00295E71" w:rsidP="002305EF" w14:paraId="3C2EA0A2" w14:textId="77777777">
      <w:pPr>
        <w:tabs>
          <w:tab w:val="left" w:pos="567"/>
        </w:tabs>
        <w:jc w:val="both"/>
        <w:rPr>
          <w:sz w:val="22"/>
          <w:szCs w:val="22"/>
        </w:rPr>
      </w:pPr>
      <w:r w:rsidRPr="00295E71">
        <w:rPr>
          <w:sz w:val="22"/>
          <w:szCs w:val="22"/>
        </w:rPr>
        <w:t>Se ha qualsiasi dubbio sull’uso di questo medicinale, si rivolga al medico o al farmacista.</w:t>
      </w:r>
    </w:p>
    <w:p w:rsidR="002305EF" w:rsidRPr="00295E71" w:rsidP="002305EF" w14:paraId="63D54ABB" w14:textId="77777777">
      <w:pPr>
        <w:tabs>
          <w:tab w:val="left" w:pos="567"/>
        </w:tabs>
        <w:jc w:val="both"/>
        <w:rPr>
          <w:sz w:val="22"/>
          <w:szCs w:val="22"/>
        </w:rPr>
      </w:pPr>
    </w:p>
    <w:p w:rsidR="002305EF" w:rsidRPr="00295E71" w:rsidP="002305EF" w14:paraId="08A0C6A6" w14:textId="77777777">
      <w:pPr>
        <w:numPr>
          <w:ilvl w:val="12"/>
          <w:numId w:val="0"/>
        </w:numPr>
        <w:tabs>
          <w:tab w:val="left" w:pos="567"/>
        </w:tabs>
        <w:ind w:right="-2"/>
        <w:jc w:val="both"/>
        <w:rPr>
          <w:sz w:val="22"/>
          <w:szCs w:val="22"/>
        </w:rPr>
      </w:pPr>
    </w:p>
    <w:p w:rsidR="002305EF" w:rsidRPr="00295E71" w:rsidP="002305EF" w14:paraId="1AF17233" w14:textId="77777777">
      <w:pPr>
        <w:numPr>
          <w:ilvl w:val="12"/>
          <w:numId w:val="0"/>
        </w:numPr>
        <w:tabs>
          <w:tab w:val="left" w:pos="567"/>
        </w:tabs>
        <w:ind w:left="567" w:right="-2" w:hanging="567"/>
        <w:jc w:val="both"/>
        <w:rPr>
          <w:b/>
          <w:bCs/>
          <w:sz w:val="22"/>
          <w:szCs w:val="22"/>
        </w:rPr>
      </w:pPr>
      <w:r w:rsidRPr="00295E71">
        <w:rPr>
          <w:b/>
          <w:bCs/>
          <w:sz w:val="22"/>
          <w:szCs w:val="22"/>
        </w:rPr>
        <w:t>4.</w:t>
      </w:r>
      <w:r w:rsidRPr="00295E71">
        <w:rPr>
          <w:b/>
          <w:bCs/>
          <w:sz w:val="22"/>
          <w:szCs w:val="22"/>
        </w:rPr>
        <w:tab/>
        <w:t>Possibili effetti indesiderati</w:t>
      </w:r>
    </w:p>
    <w:p w:rsidR="002305EF" w:rsidRPr="00295E71" w:rsidP="002305EF" w14:paraId="3BB6C23A" w14:textId="77777777">
      <w:pPr>
        <w:numPr>
          <w:ilvl w:val="12"/>
          <w:numId w:val="0"/>
        </w:numPr>
        <w:tabs>
          <w:tab w:val="left" w:pos="567"/>
        </w:tabs>
        <w:ind w:right="-2"/>
        <w:jc w:val="both"/>
        <w:rPr>
          <w:sz w:val="22"/>
          <w:szCs w:val="22"/>
        </w:rPr>
      </w:pPr>
    </w:p>
    <w:p w:rsidR="002305EF" w:rsidRPr="00295E71" w:rsidP="002305EF" w14:paraId="6D4611A5" w14:textId="77777777">
      <w:pPr>
        <w:tabs>
          <w:tab w:val="left" w:pos="567"/>
        </w:tabs>
        <w:jc w:val="both"/>
        <w:rPr>
          <w:sz w:val="22"/>
          <w:szCs w:val="22"/>
        </w:rPr>
      </w:pPr>
      <w:r w:rsidRPr="00295E71">
        <w:rPr>
          <w:sz w:val="22"/>
          <w:szCs w:val="22"/>
        </w:rPr>
        <w:t>Come tutti i medicinali, questo medicinale può causare effetti indesiderati sebbene non tutte le persone li manifestino. La maggior parte degli effetti indesiderati si presenta in forma da lieve a moderata. Tuttavia, alcuni possono essere gravi e richiedere trattamento. Effetti indesiderati possono manifestarsi fino a 4 mesi dall’ultima iniezione di Humira.</w:t>
      </w:r>
    </w:p>
    <w:p w:rsidR="002305EF" w:rsidRPr="00295E71" w:rsidP="002305EF" w14:paraId="341FDA55" w14:textId="77777777">
      <w:pPr>
        <w:pStyle w:val="EndnoteText"/>
        <w:jc w:val="both"/>
        <w:rPr>
          <w:lang w:val="it-IT" w:eastAsia="it-IT"/>
        </w:rPr>
      </w:pPr>
    </w:p>
    <w:p w:rsidR="002305EF" w:rsidRPr="00295E71" w:rsidP="001A1724" w14:paraId="4507BE3A" w14:textId="77777777">
      <w:pPr>
        <w:keepNext/>
        <w:keepLines/>
        <w:tabs>
          <w:tab w:val="left" w:pos="567"/>
        </w:tabs>
        <w:jc w:val="both"/>
        <w:rPr>
          <w:b/>
          <w:sz w:val="22"/>
          <w:szCs w:val="22"/>
        </w:rPr>
      </w:pPr>
      <w:r w:rsidRPr="00295E71">
        <w:rPr>
          <w:b/>
          <w:sz w:val="22"/>
          <w:szCs w:val="22"/>
        </w:rPr>
        <w:t>Informi immediatamente il medico se nota una qu</w:t>
      </w:r>
      <w:r w:rsidRPr="00295E71" w:rsidR="002E6FD5">
        <w:rPr>
          <w:b/>
          <w:sz w:val="22"/>
          <w:szCs w:val="22"/>
        </w:rPr>
        <w:t>alsiasi delle seguenti reazioni</w:t>
      </w:r>
    </w:p>
    <w:p w:rsidR="002E6FD5" w:rsidRPr="00295E71" w:rsidP="001A1724" w14:paraId="55199E9F" w14:textId="77777777">
      <w:pPr>
        <w:keepNext/>
        <w:keepLines/>
        <w:tabs>
          <w:tab w:val="left" w:pos="567"/>
        </w:tabs>
        <w:jc w:val="both"/>
        <w:rPr>
          <w:b/>
          <w:sz w:val="22"/>
          <w:szCs w:val="22"/>
        </w:rPr>
      </w:pPr>
    </w:p>
    <w:p w:rsidR="002305EF" w:rsidRPr="00295E71" w:rsidP="001A1724" w14:paraId="52E714A6" w14:textId="77777777">
      <w:pPr>
        <w:keepNext/>
        <w:keepLines/>
        <w:numPr>
          <w:ilvl w:val="0"/>
          <w:numId w:val="15"/>
        </w:numPr>
        <w:tabs>
          <w:tab w:val="left" w:pos="567"/>
        </w:tabs>
        <w:ind w:left="567" w:hanging="567"/>
        <w:jc w:val="both"/>
        <w:rPr>
          <w:sz w:val="22"/>
          <w:szCs w:val="22"/>
        </w:rPr>
      </w:pPr>
      <w:r w:rsidRPr="00295E71">
        <w:rPr>
          <w:sz w:val="22"/>
          <w:szCs w:val="22"/>
        </w:rPr>
        <w:t>eruzione cutanea grave, orticaria o alt</w:t>
      </w:r>
      <w:r w:rsidRPr="00295E71" w:rsidR="002E6FD5">
        <w:rPr>
          <w:sz w:val="22"/>
          <w:szCs w:val="22"/>
        </w:rPr>
        <w:t>ri segni di reazione allergica</w:t>
      </w:r>
    </w:p>
    <w:p w:rsidR="002305EF" w:rsidRPr="00295E71" w:rsidP="001A1724" w14:paraId="06100ACF" w14:textId="77777777">
      <w:pPr>
        <w:keepNext/>
        <w:keepLines/>
        <w:numPr>
          <w:ilvl w:val="0"/>
          <w:numId w:val="15"/>
        </w:numPr>
        <w:tabs>
          <w:tab w:val="left" w:pos="567"/>
        </w:tabs>
        <w:ind w:left="567" w:hanging="567"/>
        <w:jc w:val="both"/>
        <w:rPr>
          <w:sz w:val="22"/>
          <w:szCs w:val="22"/>
        </w:rPr>
      </w:pPr>
      <w:r w:rsidRPr="00295E71">
        <w:rPr>
          <w:sz w:val="22"/>
          <w:szCs w:val="22"/>
        </w:rPr>
        <w:t>gonfiore del viso, delle</w:t>
      </w:r>
      <w:r w:rsidRPr="00295E71" w:rsidR="002E6FD5">
        <w:rPr>
          <w:sz w:val="22"/>
          <w:szCs w:val="22"/>
        </w:rPr>
        <w:t xml:space="preserve"> mani, dei piedi</w:t>
      </w:r>
    </w:p>
    <w:p w:rsidR="002305EF" w:rsidRPr="00295E71" w:rsidP="001A1724" w14:paraId="307B6D42" w14:textId="77777777">
      <w:pPr>
        <w:keepNext/>
        <w:keepLines/>
        <w:numPr>
          <w:ilvl w:val="0"/>
          <w:numId w:val="15"/>
        </w:numPr>
        <w:tabs>
          <w:tab w:val="left" w:pos="567"/>
        </w:tabs>
        <w:ind w:left="567" w:hanging="567"/>
        <w:jc w:val="both"/>
        <w:rPr>
          <w:sz w:val="22"/>
          <w:szCs w:val="22"/>
        </w:rPr>
      </w:pPr>
      <w:r w:rsidRPr="00295E71">
        <w:rPr>
          <w:sz w:val="22"/>
          <w:szCs w:val="22"/>
        </w:rPr>
        <w:t>difficoltà a re</w:t>
      </w:r>
      <w:r w:rsidRPr="00295E71" w:rsidR="002E6FD5">
        <w:rPr>
          <w:sz w:val="22"/>
          <w:szCs w:val="22"/>
        </w:rPr>
        <w:t>spirare, difficoltà a deglutire</w:t>
      </w:r>
    </w:p>
    <w:p w:rsidR="002305EF" w:rsidRPr="00295E71" w:rsidP="001A1724" w14:paraId="0A1B5073" w14:textId="77777777">
      <w:pPr>
        <w:keepNext/>
        <w:keepLines/>
        <w:numPr>
          <w:ilvl w:val="0"/>
          <w:numId w:val="15"/>
        </w:numPr>
        <w:tabs>
          <w:tab w:val="left" w:pos="567"/>
        </w:tabs>
        <w:ind w:left="567" w:hanging="567"/>
        <w:jc w:val="both"/>
        <w:rPr>
          <w:sz w:val="22"/>
          <w:szCs w:val="22"/>
        </w:rPr>
      </w:pPr>
      <w:r w:rsidRPr="00295E71">
        <w:rPr>
          <w:sz w:val="22"/>
          <w:szCs w:val="22"/>
        </w:rPr>
        <w:t xml:space="preserve">respiro corto </w:t>
      </w:r>
      <w:r w:rsidRPr="00295E71" w:rsidR="002E6FD5">
        <w:rPr>
          <w:sz w:val="22"/>
          <w:szCs w:val="22"/>
        </w:rPr>
        <w:t>durante l’attività fisica</w:t>
      </w:r>
      <w:r w:rsidRPr="00295E71">
        <w:rPr>
          <w:sz w:val="22"/>
          <w:szCs w:val="22"/>
        </w:rPr>
        <w:t xml:space="preserve"> o in p</w:t>
      </w:r>
      <w:r w:rsidRPr="00295E71" w:rsidR="002E6FD5">
        <w:rPr>
          <w:sz w:val="22"/>
          <w:szCs w:val="22"/>
        </w:rPr>
        <w:t>osizione sdraiata o piedi gonfi</w:t>
      </w:r>
    </w:p>
    <w:p w:rsidR="002305EF" w:rsidRPr="00295E71" w:rsidP="002305EF" w14:paraId="54EA0C97" w14:textId="77777777">
      <w:pPr>
        <w:tabs>
          <w:tab w:val="left" w:pos="567"/>
        </w:tabs>
        <w:ind w:left="360"/>
        <w:jc w:val="both"/>
        <w:rPr>
          <w:sz w:val="22"/>
          <w:szCs w:val="22"/>
        </w:rPr>
      </w:pPr>
    </w:p>
    <w:p w:rsidR="002305EF" w:rsidRPr="00295E71" w:rsidP="002305EF" w14:paraId="31F1DB44" w14:textId="77777777">
      <w:pPr>
        <w:tabs>
          <w:tab w:val="left" w:pos="567"/>
        </w:tabs>
        <w:jc w:val="both"/>
        <w:rPr>
          <w:sz w:val="22"/>
          <w:szCs w:val="22"/>
        </w:rPr>
      </w:pPr>
      <w:r w:rsidRPr="00295E71">
        <w:rPr>
          <w:b/>
          <w:sz w:val="22"/>
          <w:szCs w:val="22"/>
        </w:rPr>
        <w:t>Informi appena possibile il medico se nota una qualsiasi delle seguenti reazioni</w:t>
      </w:r>
    </w:p>
    <w:p w:rsidR="002E6FD5" w:rsidRPr="00295E71" w:rsidP="002305EF" w14:paraId="26759473" w14:textId="77777777">
      <w:pPr>
        <w:tabs>
          <w:tab w:val="left" w:pos="567"/>
        </w:tabs>
        <w:jc w:val="both"/>
        <w:rPr>
          <w:sz w:val="22"/>
          <w:szCs w:val="22"/>
        </w:rPr>
      </w:pPr>
    </w:p>
    <w:p w:rsidR="002305EF" w:rsidRPr="00295E71" w:rsidP="002305EF" w14:paraId="07CCC3F7" w14:textId="77777777">
      <w:pPr>
        <w:numPr>
          <w:ilvl w:val="0"/>
          <w:numId w:val="14"/>
        </w:numPr>
        <w:tabs>
          <w:tab w:val="num" w:pos="540"/>
          <w:tab w:val="left" w:pos="567"/>
          <w:tab w:val="clear" w:pos="720"/>
          <w:tab w:val="left" w:pos="993"/>
        </w:tabs>
        <w:ind w:left="567" w:hanging="567"/>
        <w:jc w:val="both"/>
        <w:rPr>
          <w:sz w:val="22"/>
          <w:szCs w:val="22"/>
        </w:rPr>
      </w:pPr>
      <w:r w:rsidRPr="00295E71">
        <w:rPr>
          <w:sz w:val="22"/>
          <w:szCs w:val="22"/>
        </w:rPr>
        <w:t>segni di infezione come febbre, sensazione di malessere, ferite, problemi</w:t>
      </w:r>
      <w:r w:rsidRPr="00295E71" w:rsidR="002E6FD5">
        <w:rPr>
          <w:sz w:val="22"/>
          <w:szCs w:val="22"/>
        </w:rPr>
        <w:t xml:space="preserve"> dentali, bruciore nell’urinare</w:t>
      </w:r>
    </w:p>
    <w:p w:rsidR="002305EF" w:rsidRPr="00295E71" w:rsidP="002305EF" w14:paraId="55869972" w14:textId="77777777">
      <w:pPr>
        <w:numPr>
          <w:ilvl w:val="0"/>
          <w:numId w:val="14"/>
        </w:numPr>
        <w:tabs>
          <w:tab w:val="num" w:pos="540"/>
          <w:tab w:val="left" w:pos="567"/>
          <w:tab w:val="left" w:pos="993"/>
        </w:tabs>
        <w:ind w:left="567" w:hanging="567"/>
        <w:jc w:val="both"/>
        <w:rPr>
          <w:sz w:val="22"/>
          <w:szCs w:val="22"/>
        </w:rPr>
      </w:pPr>
      <w:r w:rsidRPr="00295E71">
        <w:rPr>
          <w:sz w:val="22"/>
          <w:szCs w:val="22"/>
        </w:rPr>
        <w:t>stanchezza o debolezza</w:t>
      </w:r>
    </w:p>
    <w:p w:rsidR="002305EF" w:rsidRPr="00295E71" w:rsidP="002305EF" w14:paraId="27B98587" w14:textId="77777777">
      <w:pPr>
        <w:numPr>
          <w:ilvl w:val="0"/>
          <w:numId w:val="14"/>
        </w:numPr>
        <w:tabs>
          <w:tab w:val="num" w:pos="540"/>
          <w:tab w:val="left" w:pos="567"/>
          <w:tab w:val="left" w:pos="993"/>
        </w:tabs>
        <w:ind w:left="567" w:hanging="567"/>
        <w:jc w:val="both"/>
        <w:rPr>
          <w:sz w:val="22"/>
          <w:szCs w:val="22"/>
        </w:rPr>
      </w:pPr>
      <w:r w:rsidRPr="00295E71">
        <w:rPr>
          <w:sz w:val="22"/>
          <w:szCs w:val="22"/>
        </w:rPr>
        <w:t>tosse</w:t>
      </w:r>
    </w:p>
    <w:p w:rsidR="002305EF" w:rsidRPr="00295E71" w:rsidP="002305EF" w14:paraId="13446117" w14:textId="77777777">
      <w:pPr>
        <w:numPr>
          <w:ilvl w:val="0"/>
          <w:numId w:val="14"/>
        </w:numPr>
        <w:tabs>
          <w:tab w:val="num" w:pos="540"/>
          <w:tab w:val="left" w:pos="567"/>
          <w:tab w:val="left" w:pos="993"/>
        </w:tabs>
        <w:ind w:left="567" w:hanging="567"/>
        <w:jc w:val="both"/>
        <w:rPr>
          <w:sz w:val="22"/>
          <w:szCs w:val="22"/>
        </w:rPr>
      </w:pPr>
      <w:r w:rsidRPr="00295E71">
        <w:rPr>
          <w:sz w:val="22"/>
          <w:szCs w:val="22"/>
        </w:rPr>
        <w:t>formicolio</w:t>
      </w:r>
    </w:p>
    <w:p w:rsidR="002305EF" w:rsidRPr="00295E71" w:rsidP="002305EF" w14:paraId="414D690D" w14:textId="77777777">
      <w:pPr>
        <w:numPr>
          <w:ilvl w:val="0"/>
          <w:numId w:val="14"/>
        </w:numPr>
        <w:tabs>
          <w:tab w:val="num" w:pos="540"/>
          <w:tab w:val="left" w:pos="567"/>
          <w:tab w:val="left" w:pos="993"/>
        </w:tabs>
        <w:ind w:left="567" w:hanging="567"/>
        <w:jc w:val="both"/>
        <w:rPr>
          <w:sz w:val="22"/>
          <w:szCs w:val="22"/>
        </w:rPr>
      </w:pPr>
      <w:r w:rsidRPr="00295E71">
        <w:rPr>
          <w:sz w:val="22"/>
          <w:szCs w:val="22"/>
        </w:rPr>
        <w:t>torpore</w:t>
      </w:r>
    </w:p>
    <w:p w:rsidR="002305EF" w:rsidRPr="00295E71" w:rsidP="002305EF" w14:paraId="51C3EC51" w14:textId="77777777">
      <w:pPr>
        <w:numPr>
          <w:ilvl w:val="0"/>
          <w:numId w:val="14"/>
        </w:numPr>
        <w:tabs>
          <w:tab w:val="num" w:pos="540"/>
          <w:tab w:val="left" w:pos="567"/>
          <w:tab w:val="left" w:pos="993"/>
        </w:tabs>
        <w:ind w:left="567" w:hanging="567"/>
        <w:jc w:val="both"/>
        <w:rPr>
          <w:sz w:val="22"/>
          <w:szCs w:val="22"/>
        </w:rPr>
      </w:pPr>
      <w:r w:rsidRPr="00295E71">
        <w:rPr>
          <w:sz w:val="22"/>
          <w:szCs w:val="22"/>
        </w:rPr>
        <w:t>sdoppiamento della vista</w:t>
      </w:r>
    </w:p>
    <w:p w:rsidR="002305EF" w:rsidRPr="00295E71" w:rsidP="002305EF" w14:paraId="644DBC09" w14:textId="77777777">
      <w:pPr>
        <w:numPr>
          <w:ilvl w:val="0"/>
          <w:numId w:val="14"/>
        </w:numPr>
        <w:tabs>
          <w:tab w:val="num" w:pos="540"/>
          <w:tab w:val="left" w:pos="567"/>
          <w:tab w:val="left" w:pos="993"/>
        </w:tabs>
        <w:ind w:left="567" w:hanging="567"/>
        <w:jc w:val="both"/>
        <w:rPr>
          <w:sz w:val="22"/>
          <w:szCs w:val="22"/>
        </w:rPr>
      </w:pPr>
      <w:r w:rsidRPr="00295E71">
        <w:rPr>
          <w:sz w:val="22"/>
          <w:szCs w:val="22"/>
        </w:rPr>
        <w:t>debolezza delle braccia o gambe</w:t>
      </w:r>
    </w:p>
    <w:p w:rsidR="002305EF" w:rsidRPr="00295E71" w:rsidP="002305EF" w14:paraId="15339298" w14:textId="77777777">
      <w:pPr>
        <w:numPr>
          <w:ilvl w:val="0"/>
          <w:numId w:val="14"/>
        </w:numPr>
        <w:tabs>
          <w:tab w:val="num" w:pos="540"/>
          <w:tab w:val="left" w:pos="567"/>
          <w:tab w:val="left" w:pos="993"/>
        </w:tabs>
        <w:ind w:left="567" w:hanging="567"/>
        <w:jc w:val="both"/>
        <w:rPr>
          <w:sz w:val="22"/>
          <w:szCs w:val="22"/>
        </w:rPr>
      </w:pPr>
      <w:r w:rsidRPr="00295E71">
        <w:rPr>
          <w:sz w:val="22"/>
          <w:szCs w:val="22"/>
        </w:rPr>
        <w:t>gonfiore o piaga aperta che non guarisce</w:t>
      </w:r>
    </w:p>
    <w:p w:rsidR="002305EF" w:rsidRPr="00295E71" w:rsidP="002305EF" w14:paraId="768B8537" w14:textId="77777777">
      <w:pPr>
        <w:numPr>
          <w:ilvl w:val="0"/>
          <w:numId w:val="14"/>
        </w:numPr>
        <w:tabs>
          <w:tab w:val="num" w:pos="540"/>
          <w:tab w:val="left" w:pos="567"/>
          <w:tab w:val="clear" w:pos="720"/>
        </w:tabs>
        <w:ind w:left="540" w:hanging="540"/>
        <w:jc w:val="both"/>
        <w:rPr>
          <w:sz w:val="22"/>
          <w:szCs w:val="22"/>
        </w:rPr>
      </w:pPr>
      <w:r w:rsidRPr="00295E71">
        <w:rPr>
          <w:sz w:val="22"/>
          <w:szCs w:val="22"/>
        </w:rPr>
        <w:t>segni e sintomi che suggeriscono la comparsa di disturbi a carico del sistema emopoietico, come la presenza di febbre persiste</w:t>
      </w:r>
      <w:r w:rsidRPr="00295E71" w:rsidR="002E6FD5">
        <w:rPr>
          <w:sz w:val="22"/>
          <w:szCs w:val="22"/>
        </w:rPr>
        <w:t>nte, lividi, emorragie, pallore</w:t>
      </w:r>
    </w:p>
    <w:p w:rsidR="002305EF" w:rsidRPr="00295E71" w:rsidP="002305EF" w14:paraId="6182916E" w14:textId="77777777">
      <w:pPr>
        <w:tabs>
          <w:tab w:val="left" w:pos="567"/>
        </w:tabs>
        <w:ind w:left="360"/>
        <w:jc w:val="both"/>
        <w:rPr>
          <w:sz w:val="22"/>
          <w:szCs w:val="22"/>
        </w:rPr>
      </w:pPr>
    </w:p>
    <w:p w:rsidR="002305EF" w:rsidRPr="00295E71" w:rsidP="002305EF" w14:paraId="69120BF0" w14:textId="77777777">
      <w:pPr>
        <w:tabs>
          <w:tab w:val="left" w:pos="567"/>
        </w:tabs>
        <w:jc w:val="both"/>
        <w:rPr>
          <w:sz w:val="22"/>
          <w:szCs w:val="22"/>
        </w:rPr>
      </w:pPr>
      <w:r w:rsidRPr="00295E71">
        <w:rPr>
          <w:sz w:val="22"/>
          <w:szCs w:val="22"/>
        </w:rPr>
        <w:t>I sintomi sopra descritti possono essere segni dei seguenti effetti indesiderati, che sono stati osservati con Humira.</w:t>
      </w:r>
    </w:p>
    <w:p w:rsidR="002305EF" w:rsidRPr="00295E71" w:rsidP="002305EF" w14:paraId="7460F45D" w14:textId="77777777">
      <w:pPr>
        <w:pStyle w:val="EndnoteText"/>
        <w:jc w:val="both"/>
        <w:rPr>
          <w:lang w:val="it-IT" w:eastAsia="it-IT"/>
        </w:rPr>
      </w:pPr>
    </w:p>
    <w:p w:rsidR="002305EF" w:rsidRPr="00295E71" w:rsidP="002305EF" w14:paraId="468B8F7E" w14:textId="77777777">
      <w:pPr>
        <w:tabs>
          <w:tab w:val="left" w:pos="567"/>
        </w:tabs>
        <w:jc w:val="both"/>
        <w:rPr>
          <w:sz w:val="22"/>
          <w:szCs w:val="22"/>
        </w:rPr>
      </w:pPr>
      <w:r w:rsidRPr="00295E71">
        <w:rPr>
          <w:b/>
          <w:sz w:val="22"/>
          <w:szCs w:val="22"/>
        </w:rPr>
        <w:t>Molto comuni</w:t>
      </w:r>
      <w:r w:rsidRPr="00295E71">
        <w:rPr>
          <w:sz w:val="22"/>
          <w:szCs w:val="22"/>
        </w:rPr>
        <w:t xml:space="preserve"> (possono manifestarsi in più di 1 persona su 10)</w:t>
      </w:r>
    </w:p>
    <w:p w:rsidR="002305EF" w:rsidRPr="00295E71" w:rsidP="002305EF" w14:paraId="730CAA6A" w14:textId="77777777">
      <w:pPr>
        <w:tabs>
          <w:tab w:val="left" w:pos="567"/>
        </w:tabs>
        <w:jc w:val="both"/>
        <w:rPr>
          <w:sz w:val="22"/>
          <w:szCs w:val="22"/>
        </w:rPr>
      </w:pPr>
    </w:p>
    <w:p w:rsidR="002305EF" w:rsidRPr="00295E71" w:rsidP="002305EF" w14:paraId="47F295F3"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reazioni nella sede d’iniezione (tra cui dolore,</w:t>
      </w:r>
      <w:r w:rsidRPr="00295E71" w:rsidR="002E6FD5">
        <w:rPr>
          <w:sz w:val="22"/>
          <w:szCs w:val="22"/>
        </w:rPr>
        <w:t xml:space="preserve"> edema, arrossamento o prurito)</w:t>
      </w:r>
    </w:p>
    <w:p w:rsidR="002305EF" w:rsidRPr="00295E71" w:rsidP="002305EF" w14:paraId="406F656B"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infezioni delle vie respiratorie (tra cui raffreddore, </w:t>
      </w:r>
      <w:r w:rsidRPr="00295E71" w:rsidR="002E6FD5">
        <w:rPr>
          <w:sz w:val="22"/>
          <w:szCs w:val="22"/>
        </w:rPr>
        <w:t>rinorrea, sinusite e polmonite)</w:t>
      </w:r>
    </w:p>
    <w:p w:rsidR="002305EF" w:rsidRPr="00295E71" w:rsidP="002305EF" w14:paraId="0C92810E" w14:textId="77777777">
      <w:pPr>
        <w:numPr>
          <w:ilvl w:val="0"/>
          <w:numId w:val="14"/>
        </w:numPr>
        <w:tabs>
          <w:tab w:val="num" w:pos="540"/>
          <w:tab w:val="left" w:pos="567"/>
          <w:tab w:val="left" w:pos="993"/>
        </w:tabs>
        <w:ind w:left="567" w:hanging="567"/>
        <w:jc w:val="both"/>
        <w:rPr>
          <w:sz w:val="22"/>
          <w:szCs w:val="22"/>
        </w:rPr>
      </w:pPr>
      <w:r w:rsidRPr="00295E71">
        <w:rPr>
          <w:sz w:val="22"/>
          <w:szCs w:val="22"/>
        </w:rPr>
        <w:t>cefalea</w:t>
      </w:r>
    </w:p>
    <w:p w:rsidR="002305EF" w:rsidRPr="00295E71" w:rsidP="002305EF" w14:paraId="6B6DBEFD"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addominale</w:t>
      </w:r>
    </w:p>
    <w:p w:rsidR="002305EF" w:rsidRPr="00295E71" w:rsidP="002305EF" w14:paraId="6C44E5FF" w14:textId="77777777">
      <w:pPr>
        <w:numPr>
          <w:ilvl w:val="0"/>
          <w:numId w:val="14"/>
        </w:numPr>
        <w:tabs>
          <w:tab w:val="num" w:pos="540"/>
          <w:tab w:val="left" w:pos="567"/>
          <w:tab w:val="left" w:pos="993"/>
        </w:tabs>
        <w:ind w:left="567" w:hanging="567"/>
        <w:jc w:val="both"/>
        <w:rPr>
          <w:sz w:val="22"/>
          <w:szCs w:val="22"/>
        </w:rPr>
      </w:pPr>
      <w:r w:rsidRPr="00295E71">
        <w:rPr>
          <w:sz w:val="22"/>
          <w:szCs w:val="22"/>
        </w:rPr>
        <w:t>nausea e vomito</w:t>
      </w:r>
    </w:p>
    <w:p w:rsidR="002305EF" w:rsidRPr="00295E71" w:rsidP="002305EF" w14:paraId="2A384BAB" w14:textId="77777777">
      <w:pPr>
        <w:numPr>
          <w:ilvl w:val="0"/>
          <w:numId w:val="14"/>
        </w:numPr>
        <w:tabs>
          <w:tab w:val="num" w:pos="540"/>
          <w:tab w:val="left" w:pos="567"/>
          <w:tab w:val="left" w:pos="993"/>
        </w:tabs>
        <w:ind w:left="567" w:hanging="567"/>
        <w:jc w:val="both"/>
        <w:rPr>
          <w:sz w:val="22"/>
          <w:szCs w:val="22"/>
        </w:rPr>
      </w:pPr>
      <w:r w:rsidRPr="00295E71">
        <w:rPr>
          <w:sz w:val="22"/>
          <w:szCs w:val="22"/>
        </w:rPr>
        <w:t>eruzione cutanea</w:t>
      </w:r>
    </w:p>
    <w:p w:rsidR="002305EF" w:rsidRPr="00295E71" w:rsidP="002305EF" w14:paraId="4CBBA57A"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muscolo</w:t>
      </w:r>
      <w:r w:rsidRPr="00295E71" w:rsidR="00AB1C4F">
        <w:rPr>
          <w:sz w:val="22"/>
          <w:szCs w:val="22"/>
        </w:rPr>
        <w:t xml:space="preserve"> </w:t>
      </w:r>
      <w:r w:rsidRPr="00295E71">
        <w:rPr>
          <w:sz w:val="22"/>
          <w:szCs w:val="22"/>
        </w:rPr>
        <w:t>scheletrico</w:t>
      </w:r>
    </w:p>
    <w:p w:rsidR="002305EF" w:rsidRPr="00295E71" w:rsidP="002305EF" w14:paraId="55C828AA" w14:textId="77777777">
      <w:pPr>
        <w:rPr>
          <w:sz w:val="22"/>
          <w:szCs w:val="22"/>
        </w:rPr>
      </w:pPr>
    </w:p>
    <w:p w:rsidR="002305EF" w:rsidRPr="00295E71" w:rsidP="002305EF" w14:paraId="7ACCD872" w14:textId="77777777">
      <w:pPr>
        <w:rPr>
          <w:sz w:val="22"/>
          <w:szCs w:val="22"/>
        </w:rPr>
      </w:pPr>
      <w:r w:rsidRPr="00295E71">
        <w:rPr>
          <w:b/>
          <w:sz w:val="22"/>
          <w:szCs w:val="22"/>
        </w:rPr>
        <w:t xml:space="preserve">Comuni </w:t>
      </w:r>
      <w:r w:rsidRPr="00295E71">
        <w:rPr>
          <w:sz w:val="22"/>
          <w:szCs w:val="22"/>
        </w:rPr>
        <w:t>(possono manifestarsi</w:t>
      </w:r>
      <w:r w:rsidRPr="00295E71" w:rsidR="00627E40">
        <w:rPr>
          <w:sz w:val="22"/>
          <w:szCs w:val="22"/>
        </w:rPr>
        <w:t xml:space="preserve"> </w:t>
      </w:r>
      <w:r w:rsidRPr="00295E71">
        <w:rPr>
          <w:sz w:val="22"/>
          <w:szCs w:val="22"/>
        </w:rPr>
        <w:t xml:space="preserve">fino a 1 persona su 10) </w:t>
      </w:r>
    </w:p>
    <w:p w:rsidR="002305EF" w:rsidRPr="00295E71" w:rsidP="002305EF" w14:paraId="1F9893B0" w14:textId="77777777">
      <w:pPr>
        <w:tabs>
          <w:tab w:val="left" w:pos="567"/>
        </w:tabs>
        <w:jc w:val="both"/>
        <w:rPr>
          <w:sz w:val="22"/>
          <w:szCs w:val="22"/>
        </w:rPr>
      </w:pPr>
    </w:p>
    <w:p w:rsidR="002305EF" w:rsidRPr="00295E71" w:rsidP="002305EF" w14:paraId="3B668D98"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infezioni </w:t>
      </w:r>
      <w:r w:rsidR="00433056">
        <w:rPr>
          <w:sz w:val="22"/>
          <w:szCs w:val="22"/>
        </w:rPr>
        <w:t>gravi</w:t>
      </w:r>
      <w:r w:rsidRPr="00295E71">
        <w:rPr>
          <w:sz w:val="22"/>
          <w:szCs w:val="22"/>
        </w:rPr>
        <w:t xml:space="preserve"> (t</w:t>
      </w:r>
      <w:r w:rsidRPr="00295E71" w:rsidR="002E6FD5">
        <w:rPr>
          <w:sz w:val="22"/>
          <w:szCs w:val="22"/>
        </w:rPr>
        <w:t>ra cui setticemia ed influenza)</w:t>
      </w:r>
    </w:p>
    <w:p w:rsidR="008C5969" w:rsidRPr="00295E71" w:rsidP="002305EF" w14:paraId="6852E512"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int</w:t>
      </w:r>
      <w:r w:rsidRPr="00295E71" w:rsidR="00EB5EA6">
        <w:rPr>
          <w:sz w:val="22"/>
          <w:szCs w:val="22"/>
        </w:rPr>
        <w:t>estinali (tra cui gastroenterite</w:t>
      </w:r>
      <w:r w:rsidRPr="00295E71">
        <w:rPr>
          <w:sz w:val="22"/>
          <w:szCs w:val="22"/>
        </w:rPr>
        <w:t>)</w:t>
      </w:r>
    </w:p>
    <w:p w:rsidR="002305EF" w:rsidRPr="00295E71" w:rsidP="002305EF" w14:paraId="4F2AD01C"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della pelle (tra cui cellulit</w:t>
      </w:r>
      <w:r w:rsidRPr="00295E71" w:rsidR="002E6FD5">
        <w:rPr>
          <w:sz w:val="22"/>
          <w:szCs w:val="22"/>
        </w:rPr>
        <w:t>e e infezione da Herpes Zoster)</w:t>
      </w:r>
    </w:p>
    <w:p w:rsidR="002305EF" w:rsidRPr="00295E71" w:rsidP="002305EF" w14:paraId="387EA394"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dell’o</w:t>
      </w:r>
      <w:r w:rsidRPr="00295E71" w:rsidR="002E6FD5">
        <w:rPr>
          <w:sz w:val="22"/>
          <w:szCs w:val="22"/>
        </w:rPr>
        <w:t>recchio</w:t>
      </w:r>
    </w:p>
    <w:p w:rsidR="002305EF" w:rsidRPr="00295E71" w:rsidP="002305EF" w14:paraId="6D5643B3"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orali (tra cui infezio</w:t>
      </w:r>
      <w:r w:rsidRPr="00295E71" w:rsidR="002E6FD5">
        <w:rPr>
          <w:sz w:val="22"/>
          <w:szCs w:val="22"/>
        </w:rPr>
        <w:t>ni dei denti ed herpes simplex)</w:t>
      </w:r>
    </w:p>
    <w:p w:rsidR="002305EF" w:rsidRPr="00295E71" w:rsidP="002305EF" w14:paraId="21700930"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w:t>
      </w:r>
      <w:r w:rsidRPr="00295E71" w:rsidR="002E6FD5">
        <w:rPr>
          <w:sz w:val="22"/>
          <w:szCs w:val="22"/>
        </w:rPr>
        <w:t>ioni dell’apparato riproduttivo</w:t>
      </w:r>
    </w:p>
    <w:p w:rsidR="002305EF" w:rsidRPr="00295E71" w:rsidP="002305EF" w14:paraId="621D4449"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delle vie urinarie</w:t>
      </w:r>
    </w:p>
    <w:p w:rsidR="002305EF" w:rsidRPr="00295E71" w:rsidP="002305EF" w14:paraId="17D19A29"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da miceti</w:t>
      </w:r>
    </w:p>
    <w:p w:rsidR="002305EF" w:rsidRPr="00295E71" w:rsidP="002305EF" w14:paraId="5F13D11D"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w:t>
      </w:r>
      <w:r w:rsidRPr="00295E71" w:rsidR="002E6FD5">
        <w:rPr>
          <w:sz w:val="22"/>
          <w:szCs w:val="22"/>
        </w:rPr>
        <w:t>ni a carico delle articolazioni</w:t>
      </w:r>
    </w:p>
    <w:p w:rsidR="002305EF" w:rsidRPr="00295E71" w:rsidP="002305EF" w14:paraId="164A248C"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 benigni</w:t>
      </w:r>
    </w:p>
    <w:p w:rsidR="002305EF" w:rsidRPr="00295E71" w:rsidP="002305EF" w14:paraId="3568CEA0"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tumore della pelle</w:t>
      </w:r>
    </w:p>
    <w:p w:rsidR="002305EF" w:rsidRPr="00295E71" w:rsidP="002305EF" w14:paraId="10CB99B5"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reazioni allergich</w:t>
      </w:r>
      <w:r w:rsidRPr="00295E71" w:rsidR="002E6FD5">
        <w:rPr>
          <w:sz w:val="22"/>
          <w:szCs w:val="22"/>
        </w:rPr>
        <w:t>e (tra cui allergia stagionale)</w:t>
      </w:r>
    </w:p>
    <w:p w:rsidR="002305EF" w:rsidRPr="00295E71" w:rsidP="002305EF" w14:paraId="6DD47677" w14:textId="77777777">
      <w:pPr>
        <w:numPr>
          <w:ilvl w:val="0"/>
          <w:numId w:val="14"/>
        </w:numPr>
        <w:tabs>
          <w:tab w:val="num" w:pos="540"/>
          <w:tab w:val="left" w:pos="567"/>
          <w:tab w:val="left" w:pos="993"/>
        </w:tabs>
        <w:ind w:left="567" w:hanging="567"/>
        <w:jc w:val="both"/>
        <w:rPr>
          <w:sz w:val="22"/>
          <w:szCs w:val="22"/>
        </w:rPr>
      </w:pPr>
      <w:r w:rsidRPr="00295E71">
        <w:rPr>
          <w:sz w:val="22"/>
          <w:szCs w:val="22"/>
        </w:rPr>
        <w:t>disidratazione</w:t>
      </w:r>
    </w:p>
    <w:p w:rsidR="002305EF" w:rsidRPr="00295E71" w:rsidP="002305EF" w14:paraId="0AD19889" w14:textId="77777777">
      <w:pPr>
        <w:numPr>
          <w:ilvl w:val="0"/>
          <w:numId w:val="14"/>
        </w:numPr>
        <w:tabs>
          <w:tab w:val="num" w:pos="540"/>
          <w:tab w:val="left" w:pos="567"/>
          <w:tab w:val="left" w:pos="993"/>
        </w:tabs>
        <w:ind w:left="567" w:hanging="567"/>
        <w:jc w:val="both"/>
        <w:rPr>
          <w:sz w:val="22"/>
          <w:szCs w:val="22"/>
        </w:rPr>
      </w:pPr>
      <w:r w:rsidRPr="00295E71">
        <w:rPr>
          <w:sz w:val="22"/>
          <w:szCs w:val="22"/>
        </w:rPr>
        <w:t>cambiament</w:t>
      </w:r>
      <w:r w:rsidRPr="00295E71" w:rsidR="002E6FD5">
        <w:rPr>
          <w:sz w:val="22"/>
          <w:szCs w:val="22"/>
        </w:rPr>
        <w:t>i d’umore (tra cui depressione)</w:t>
      </w:r>
    </w:p>
    <w:p w:rsidR="002305EF" w:rsidRPr="00295E71" w:rsidP="002305EF" w14:paraId="25D5896D" w14:textId="77777777">
      <w:pPr>
        <w:numPr>
          <w:ilvl w:val="0"/>
          <w:numId w:val="14"/>
        </w:numPr>
        <w:tabs>
          <w:tab w:val="num" w:pos="540"/>
          <w:tab w:val="left" w:pos="567"/>
          <w:tab w:val="left" w:pos="993"/>
        </w:tabs>
        <w:ind w:left="567" w:hanging="567"/>
        <w:jc w:val="both"/>
        <w:rPr>
          <w:sz w:val="22"/>
          <w:szCs w:val="22"/>
        </w:rPr>
      </w:pPr>
      <w:r w:rsidRPr="00295E71">
        <w:rPr>
          <w:sz w:val="22"/>
          <w:szCs w:val="22"/>
        </w:rPr>
        <w:t>ansia</w:t>
      </w:r>
    </w:p>
    <w:p w:rsidR="002305EF" w:rsidRPr="00295E71" w:rsidP="002305EF" w14:paraId="0C05E348"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del sonno</w:t>
      </w:r>
    </w:p>
    <w:p w:rsidR="002305EF" w:rsidRPr="00295E71" w:rsidP="002305EF" w14:paraId="58ECFBF9"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della sensibilità come formicolii, sensa</w:t>
      </w:r>
      <w:r w:rsidRPr="00295E71" w:rsidR="002E6FD5">
        <w:rPr>
          <w:sz w:val="22"/>
          <w:szCs w:val="22"/>
        </w:rPr>
        <w:t>zione di fitte o intorpidimento</w:t>
      </w:r>
    </w:p>
    <w:p w:rsidR="002305EF" w:rsidRPr="00295E71" w:rsidP="002305EF" w14:paraId="168B6FDA" w14:textId="77777777">
      <w:pPr>
        <w:numPr>
          <w:ilvl w:val="0"/>
          <w:numId w:val="14"/>
        </w:numPr>
        <w:tabs>
          <w:tab w:val="num" w:pos="540"/>
          <w:tab w:val="left" w:pos="567"/>
          <w:tab w:val="left" w:pos="993"/>
        </w:tabs>
        <w:ind w:left="567" w:hanging="567"/>
        <w:jc w:val="both"/>
        <w:rPr>
          <w:sz w:val="22"/>
          <w:szCs w:val="22"/>
        </w:rPr>
      </w:pPr>
      <w:r w:rsidRPr="00295E71">
        <w:rPr>
          <w:sz w:val="22"/>
          <w:szCs w:val="22"/>
        </w:rPr>
        <w:t>emicrania</w:t>
      </w:r>
    </w:p>
    <w:p w:rsidR="002305EF" w:rsidRPr="00295E71" w:rsidP="002305EF" w14:paraId="7E4EC35A" w14:textId="77777777">
      <w:pPr>
        <w:numPr>
          <w:ilvl w:val="0"/>
          <w:numId w:val="14"/>
        </w:numPr>
        <w:tabs>
          <w:tab w:val="num" w:pos="540"/>
          <w:tab w:val="left" w:pos="567"/>
          <w:tab w:val="left" w:pos="993"/>
        </w:tabs>
        <w:ind w:left="567" w:hanging="567"/>
        <w:jc w:val="both"/>
        <w:rPr>
          <w:sz w:val="22"/>
          <w:szCs w:val="22"/>
        </w:rPr>
      </w:pPr>
      <w:r w:rsidRPr="00295E71">
        <w:rPr>
          <w:sz w:val="22"/>
          <w:szCs w:val="22"/>
        </w:rPr>
        <w:t>compressione di radice nervosa (tra cui dolo</w:t>
      </w:r>
      <w:r w:rsidRPr="00295E71" w:rsidR="002E6FD5">
        <w:rPr>
          <w:sz w:val="22"/>
          <w:szCs w:val="22"/>
        </w:rPr>
        <w:t>re lombare e dolore alle gambe)</w:t>
      </w:r>
    </w:p>
    <w:p w:rsidR="002305EF" w:rsidRPr="00295E71" w:rsidP="002305EF" w14:paraId="2EA946A3"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visivi</w:t>
      </w:r>
    </w:p>
    <w:p w:rsidR="002305EF" w:rsidRPr="00295E71" w:rsidP="002305EF" w14:paraId="2F07A745"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degli occhi</w:t>
      </w:r>
    </w:p>
    <w:p w:rsidR="002305EF" w:rsidRPr="00295E71" w:rsidP="002305EF" w14:paraId="53A8C38E"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delle pal</w:t>
      </w:r>
      <w:r w:rsidRPr="00295E71" w:rsidR="002E6FD5">
        <w:rPr>
          <w:sz w:val="22"/>
          <w:szCs w:val="22"/>
        </w:rPr>
        <w:t>pebre e tumefazione degli occhi</w:t>
      </w:r>
    </w:p>
    <w:p w:rsidR="002305EF" w:rsidRPr="00295E71" w:rsidP="002305EF" w14:paraId="0C62EEFD" w14:textId="77777777">
      <w:pPr>
        <w:numPr>
          <w:ilvl w:val="0"/>
          <w:numId w:val="14"/>
        </w:numPr>
        <w:tabs>
          <w:tab w:val="num" w:pos="540"/>
          <w:tab w:val="left" w:pos="567"/>
          <w:tab w:val="left" w:pos="993"/>
        </w:tabs>
        <w:ind w:left="567" w:hanging="567"/>
        <w:jc w:val="both"/>
        <w:rPr>
          <w:sz w:val="22"/>
          <w:szCs w:val="22"/>
        </w:rPr>
      </w:pPr>
      <w:r w:rsidRPr="00295E71">
        <w:rPr>
          <w:sz w:val="22"/>
          <w:szCs w:val="22"/>
        </w:rPr>
        <w:t>vertigini</w:t>
      </w:r>
      <w:r w:rsidRPr="00295E71" w:rsidR="001E42E4">
        <w:rPr>
          <w:sz w:val="22"/>
          <w:szCs w:val="22"/>
        </w:rPr>
        <w:t xml:space="preserve"> (sensazione di capogiro o giramento di testa)</w:t>
      </w:r>
    </w:p>
    <w:p w:rsidR="002305EF" w:rsidRPr="00295E71" w:rsidP="002305EF" w14:paraId="4A770F90" w14:textId="77777777">
      <w:pPr>
        <w:numPr>
          <w:ilvl w:val="0"/>
          <w:numId w:val="14"/>
        </w:numPr>
        <w:tabs>
          <w:tab w:val="num" w:pos="540"/>
          <w:tab w:val="left" w:pos="567"/>
          <w:tab w:val="left" w:pos="993"/>
        </w:tabs>
        <w:ind w:left="567" w:hanging="567"/>
        <w:jc w:val="both"/>
        <w:rPr>
          <w:sz w:val="22"/>
          <w:szCs w:val="22"/>
        </w:rPr>
      </w:pPr>
      <w:r w:rsidRPr="00295E71">
        <w:rPr>
          <w:sz w:val="22"/>
          <w:szCs w:val="22"/>
        </w:rPr>
        <w:t>sensazione</w:t>
      </w:r>
      <w:r w:rsidRPr="00295E71" w:rsidR="002E6FD5">
        <w:rPr>
          <w:sz w:val="22"/>
          <w:szCs w:val="22"/>
        </w:rPr>
        <w:t xml:space="preserve"> di battito cardiaco accelerato</w:t>
      </w:r>
    </w:p>
    <w:p w:rsidR="002305EF" w:rsidRPr="00295E71" w:rsidP="002305EF" w14:paraId="549CF53B" w14:textId="77777777">
      <w:pPr>
        <w:numPr>
          <w:ilvl w:val="0"/>
          <w:numId w:val="14"/>
        </w:numPr>
        <w:tabs>
          <w:tab w:val="num" w:pos="540"/>
          <w:tab w:val="left" w:pos="567"/>
          <w:tab w:val="left" w:pos="993"/>
        </w:tabs>
        <w:ind w:left="567" w:hanging="567"/>
        <w:jc w:val="both"/>
        <w:rPr>
          <w:sz w:val="22"/>
          <w:szCs w:val="22"/>
        </w:rPr>
      </w:pPr>
      <w:r w:rsidRPr="00295E71">
        <w:rPr>
          <w:sz w:val="22"/>
          <w:szCs w:val="22"/>
        </w:rPr>
        <w:t>pressione del sangue elevata</w:t>
      </w:r>
    </w:p>
    <w:p w:rsidR="002305EF" w:rsidRPr="00295E71" w:rsidP="002305EF" w14:paraId="2478C42F" w14:textId="77777777">
      <w:pPr>
        <w:numPr>
          <w:ilvl w:val="0"/>
          <w:numId w:val="14"/>
        </w:numPr>
        <w:tabs>
          <w:tab w:val="num" w:pos="540"/>
          <w:tab w:val="left" w:pos="567"/>
          <w:tab w:val="left" w:pos="993"/>
        </w:tabs>
        <w:ind w:left="567" w:hanging="567"/>
        <w:jc w:val="both"/>
        <w:rPr>
          <w:sz w:val="22"/>
          <w:szCs w:val="22"/>
        </w:rPr>
      </w:pPr>
      <w:r w:rsidRPr="00295E71">
        <w:rPr>
          <w:sz w:val="22"/>
          <w:szCs w:val="22"/>
        </w:rPr>
        <w:t>vampate</w:t>
      </w:r>
    </w:p>
    <w:p w:rsidR="002305EF" w:rsidRPr="00295E71" w:rsidP="002305EF" w14:paraId="480AFA31" w14:textId="77777777">
      <w:pPr>
        <w:numPr>
          <w:ilvl w:val="0"/>
          <w:numId w:val="14"/>
        </w:numPr>
        <w:tabs>
          <w:tab w:val="num" w:pos="540"/>
          <w:tab w:val="left" w:pos="567"/>
          <w:tab w:val="left" w:pos="993"/>
        </w:tabs>
        <w:ind w:left="567" w:hanging="567"/>
        <w:jc w:val="both"/>
        <w:rPr>
          <w:sz w:val="22"/>
          <w:szCs w:val="22"/>
        </w:rPr>
      </w:pPr>
      <w:r w:rsidRPr="00295E71">
        <w:rPr>
          <w:sz w:val="22"/>
          <w:szCs w:val="22"/>
        </w:rPr>
        <w:t>ematoma (accumulo di sangue al di fuori dei vasi sanguigni)</w:t>
      </w:r>
    </w:p>
    <w:p w:rsidR="002305EF" w:rsidRPr="00295E71" w:rsidP="002305EF" w14:paraId="682D0FB3" w14:textId="77777777">
      <w:pPr>
        <w:numPr>
          <w:ilvl w:val="0"/>
          <w:numId w:val="14"/>
        </w:numPr>
        <w:tabs>
          <w:tab w:val="num" w:pos="540"/>
          <w:tab w:val="left" w:pos="567"/>
          <w:tab w:val="left" w:pos="993"/>
        </w:tabs>
        <w:ind w:left="567" w:hanging="567"/>
        <w:jc w:val="both"/>
        <w:rPr>
          <w:sz w:val="22"/>
          <w:szCs w:val="22"/>
        </w:rPr>
      </w:pPr>
      <w:r w:rsidRPr="00295E71">
        <w:rPr>
          <w:sz w:val="22"/>
          <w:szCs w:val="22"/>
        </w:rPr>
        <w:t>tosse</w:t>
      </w:r>
    </w:p>
    <w:p w:rsidR="002305EF" w:rsidRPr="00295E71" w:rsidP="002305EF" w14:paraId="23C0476E" w14:textId="77777777">
      <w:pPr>
        <w:numPr>
          <w:ilvl w:val="0"/>
          <w:numId w:val="14"/>
        </w:numPr>
        <w:tabs>
          <w:tab w:val="num" w:pos="540"/>
          <w:tab w:val="left" w:pos="567"/>
          <w:tab w:val="left" w:pos="993"/>
        </w:tabs>
        <w:ind w:left="567" w:hanging="567"/>
        <w:jc w:val="both"/>
        <w:rPr>
          <w:sz w:val="22"/>
          <w:szCs w:val="22"/>
        </w:rPr>
      </w:pPr>
      <w:r w:rsidRPr="00295E71">
        <w:rPr>
          <w:sz w:val="22"/>
          <w:szCs w:val="22"/>
        </w:rPr>
        <w:t>asma</w:t>
      </w:r>
    </w:p>
    <w:p w:rsidR="002305EF" w:rsidRPr="00295E71" w:rsidP="002305EF" w14:paraId="2281150A" w14:textId="77777777">
      <w:pPr>
        <w:numPr>
          <w:ilvl w:val="0"/>
          <w:numId w:val="14"/>
        </w:numPr>
        <w:tabs>
          <w:tab w:val="num" w:pos="540"/>
          <w:tab w:val="left" w:pos="567"/>
          <w:tab w:val="left" w:pos="993"/>
        </w:tabs>
        <w:ind w:left="567" w:hanging="567"/>
        <w:jc w:val="both"/>
        <w:rPr>
          <w:sz w:val="22"/>
          <w:szCs w:val="22"/>
        </w:rPr>
      </w:pPr>
      <w:r w:rsidRPr="00295E71">
        <w:rPr>
          <w:sz w:val="22"/>
          <w:szCs w:val="22"/>
        </w:rPr>
        <w:t>fiato corto</w:t>
      </w:r>
    </w:p>
    <w:p w:rsidR="002305EF" w:rsidRPr="00295E71" w:rsidP="002305EF" w14:paraId="4D10DE73" w14:textId="77777777">
      <w:pPr>
        <w:numPr>
          <w:ilvl w:val="0"/>
          <w:numId w:val="14"/>
        </w:numPr>
        <w:tabs>
          <w:tab w:val="num" w:pos="540"/>
          <w:tab w:val="left" w:pos="567"/>
          <w:tab w:val="left" w:pos="993"/>
        </w:tabs>
        <w:ind w:left="567" w:hanging="567"/>
        <w:jc w:val="both"/>
        <w:rPr>
          <w:sz w:val="22"/>
          <w:szCs w:val="22"/>
        </w:rPr>
      </w:pPr>
      <w:r w:rsidRPr="00295E71">
        <w:rPr>
          <w:sz w:val="22"/>
          <w:szCs w:val="22"/>
        </w:rPr>
        <w:t>sanguinamento gastrointestinale</w:t>
      </w:r>
    </w:p>
    <w:p w:rsidR="002305EF" w:rsidRPr="00295E71" w:rsidP="002305EF" w14:paraId="1B32B600" w14:textId="77777777">
      <w:pPr>
        <w:numPr>
          <w:ilvl w:val="0"/>
          <w:numId w:val="14"/>
        </w:numPr>
        <w:tabs>
          <w:tab w:val="num" w:pos="540"/>
          <w:tab w:val="left" w:pos="567"/>
          <w:tab w:val="left" w:pos="993"/>
        </w:tabs>
        <w:ind w:left="567" w:hanging="567"/>
        <w:jc w:val="both"/>
        <w:rPr>
          <w:sz w:val="22"/>
          <w:szCs w:val="22"/>
        </w:rPr>
      </w:pPr>
      <w:r w:rsidRPr="00295E71">
        <w:rPr>
          <w:sz w:val="22"/>
          <w:szCs w:val="22"/>
        </w:rPr>
        <w:t>dispepsia (indigestione,</w:t>
      </w:r>
      <w:r w:rsidRPr="00295E71" w:rsidR="002E6FD5">
        <w:rPr>
          <w:sz w:val="22"/>
          <w:szCs w:val="22"/>
        </w:rPr>
        <w:t xml:space="preserve"> gonfiore, bruciore di stomaco)</w:t>
      </w:r>
    </w:p>
    <w:p w:rsidR="002305EF" w:rsidRPr="00295E71" w:rsidP="002305EF" w14:paraId="037CD7C6"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disturbo da reflusso acido</w:t>
      </w:r>
    </w:p>
    <w:p w:rsidR="002305EF" w:rsidRPr="00295E71" w:rsidP="002305EF" w14:paraId="676E7C20"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sicca (tra cui secch</w:t>
      </w:r>
      <w:r w:rsidRPr="00295E71" w:rsidR="002E6FD5">
        <w:rPr>
          <w:sz w:val="22"/>
          <w:szCs w:val="22"/>
        </w:rPr>
        <w:t>ezza degli occhi e</w:t>
      </w:r>
      <w:r w:rsidRPr="00295E71" w:rsidR="0087276B">
        <w:rPr>
          <w:sz w:val="22"/>
          <w:szCs w:val="22"/>
        </w:rPr>
        <w:t xml:space="preserve"> </w:t>
      </w:r>
      <w:r w:rsidRPr="00295E71" w:rsidR="002E6FD5">
        <w:rPr>
          <w:sz w:val="22"/>
          <w:szCs w:val="22"/>
        </w:rPr>
        <w:t>della bocca )</w:t>
      </w:r>
    </w:p>
    <w:p w:rsidR="002305EF" w:rsidRPr="00295E71" w:rsidP="002305EF" w14:paraId="149CD67B" w14:textId="77777777">
      <w:pPr>
        <w:numPr>
          <w:ilvl w:val="0"/>
          <w:numId w:val="14"/>
        </w:numPr>
        <w:tabs>
          <w:tab w:val="num" w:pos="540"/>
          <w:tab w:val="left" w:pos="567"/>
          <w:tab w:val="left" w:pos="993"/>
        </w:tabs>
        <w:ind w:left="567" w:hanging="567"/>
        <w:jc w:val="both"/>
        <w:rPr>
          <w:sz w:val="22"/>
          <w:szCs w:val="22"/>
        </w:rPr>
      </w:pPr>
      <w:r w:rsidRPr="00295E71">
        <w:rPr>
          <w:sz w:val="22"/>
          <w:szCs w:val="22"/>
        </w:rPr>
        <w:t>prurito</w:t>
      </w:r>
    </w:p>
    <w:p w:rsidR="002305EF" w:rsidRPr="00295E71" w:rsidP="002305EF" w14:paraId="5FDCF404" w14:textId="77777777">
      <w:pPr>
        <w:numPr>
          <w:ilvl w:val="0"/>
          <w:numId w:val="14"/>
        </w:numPr>
        <w:tabs>
          <w:tab w:val="num" w:pos="540"/>
          <w:tab w:val="left" w:pos="567"/>
          <w:tab w:val="left" w:pos="993"/>
        </w:tabs>
        <w:ind w:left="567" w:hanging="567"/>
        <w:jc w:val="both"/>
        <w:rPr>
          <w:sz w:val="22"/>
          <w:szCs w:val="22"/>
        </w:rPr>
      </w:pPr>
      <w:r w:rsidRPr="00295E71">
        <w:rPr>
          <w:sz w:val="22"/>
          <w:szCs w:val="22"/>
        </w:rPr>
        <w:t>eruzione cutanea pruriginosa</w:t>
      </w:r>
    </w:p>
    <w:p w:rsidR="002305EF" w:rsidRPr="00295E71" w:rsidP="002305EF" w14:paraId="3A8A144C" w14:textId="77777777">
      <w:pPr>
        <w:numPr>
          <w:ilvl w:val="0"/>
          <w:numId w:val="14"/>
        </w:numPr>
        <w:tabs>
          <w:tab w:val="num" w:pos="540"/>
          <w:tab w:val="left" w:pos="567"/>
          <w:tab w:val="left" w:pos="993"/>
        </w:tabs>
        <w:ind w:left="567" w:hanging="567"/>
        <w:jc w:val="both"/>
        <w:rPr>
          <w:sz w:val="22"/>
          <w:szCs w:val="22"/>
        </w:rPr>
      </w:pPr>
      <w:r w:rsidRPr="00295E71">
        <w:rPr>
          <w:sz w:val="22"/>
          <w:szCs w:val="22"/>
        </w:rPr>
        <w:t>contusione</w:t>
      </w:r>
    </w:p>
    <w:p w:rsidR="002305EF" w:rsidRPr="00295E71" w:rsidP="002305EF" w14:paraId="5E396F17"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w:t>
      </w:r>
      <w:r w:rsidRPr="00295E71" w:rsidR="002E6FD5">
        <w:rPr>
          <w:sz w:val="22"/>
          <w:szCs w:val="22"/>
        </w:rPr>
        <w:t>ne della pelle (come eczema)</w:t>
      </w:r>
    </w:p>
    <w:p w:rsidR="002305EF" w:rsidRPr="00295E71" w:rsidP="002305EF" w14:paraId="5C67AA22" w14:textId="77777777">
      <w:pPr>
        <w:numPr>
          <w:ilvl w:val="0"/>
          <w:numId w:val="14"/>
        </w:numPr>
        <w:tabs>
          <w:tab w:val="num" w:pos="540"/>
          <w:tab w:val="left" w:pos="567"/>
          <w:tab w:val="left" w:pos="993"/>
        </w:tabs>
        <w:ind w:left="567" w:hanging="567"/>
        <w:jc w:val="both"/>
        <w:rPr>
          <w:sz w:val="22"/>
          <w:szCs w:val="22"/>
        </w:rPr>
      </w:pPr>
      <w:r w:rsidRPr="00295E71">
        <w:rPr>
          <w:sz w:val="22"/>
          <w:szCs w:val="22"/>
        </w:rPr>
        <w:t>rottura delle unghie de</w:t>
      </w:r>
      <w:r w:rsidRPr="00295E71" w:rsidR="002E6FD5">
        <w:rPr>
          <w:sz w:val="22"/>
          <w:szCs w:val="22"/>
        </w:rPr>
        <w:t>lle dita della mano e del piede</w:t>
      </w:r>
    </w:p>
    <w:p w:rsidR="002305EF" w:rsidRPr="00295E71" w:rsidP="002305EF" w14:paraId="0FF6BFF5"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sudorazione</w:t>
      </w:r>
    </w:p>
    <w:p w:rsidR="002305EF" w:rsidRPr="00295E71" w:rsidP="002305EF" w14:paraId="082ED92C" w14:textId="77777777">
      <w:pPr>
        <w:numPr>
          <w:ilvl w:val="0"/>
          <w:numId w:val="14"/>
        </w:numPr>
        <w:tabs>
          <w:tab w:val="num" w:pos="540"/>
          <w:tab w:val="left" w:pos="567"/>
          <w:tab w:val="left" w:pos="993"/>
        </w:tabs>
        <w:ind w:left="567" w:hanging="567"/>
        <w:jc w:val="both"/>
        <w:rPr>
          <w:sz w:val="22"/>
          <w:szCs w:val="22"/>
        </w:rPr>
      </w:pPr>
      <w:r w:rsidRPr="00295E71">
        <w:rPr>
          <w:sz w:val="22"/>
          <w:szCs w:val="22"/>
        </w:rPr>
        <w:t>perdita di capelli</w:t>
      </w:r>
    </w:p>
    <w:p w:rsidR="002305EF" w:rsidRPr="00295E71" w:rsidP="002305EF" w14:paraId="084E252F" w14:textId="77777777">
      <w:pPr>
        <w:numPr>
          <w:ilvl w:val="0"/>
          <w:numId w:val="14"/>
        </w:numPr>
        <w:tabs>
          <w:tab w:val="num" w:pos="540"/>
          <w:tab w:val="left" w:pos="567"/>
          <w:tab w:val="left" w:pos="993"/>
        </w:tabs>
        <w:ind w:left="567" w:hanging="567"/>
        <w:jc w:val="both"/>
        <w:rPr>
          <w:sz w:val="22"/>
          <w:szCs w:val="22"/>
        </w:rPr>
      </w:pPr>
      <w:r w:rsidRPr="00295E71">
        <w:rPr>
          <w:sz w:val="22"/>
          <w:szCs w:val="22"/>
        </w:rPr>
        <w:t>insorgenza</w:t>
      </w:r>
      <w:r w:rsidRPr="00295E71" w:rsidR="002E6FD5">
        <w:rPr>
          <w:sz w:val="22"/>
          <w:szCs w:val="22"/>
        </w:rPr>
        <w:t xml:space="preserve"> o peggioramento della psoriasi</w:t>
      </w:r>
    </w:p>
    <w:p w:rsidR="002305EF" w:rsidRPr="00295E71" w:rsidP="002305EF" w14:paraId="38F53864" w14:textId="77777777">
      <w:pPr>
        <w:numPr>
          <w:ilvl w:val="0"/>
          <w:numId w:val="14"/>
        </w:numPr>
        <w:tabs>
          <w:tab w:val="num" w:pos="540"/>
          <w:tab w:val="left" w:pos="567"/>
          <w:tab w:val="left" w:pos="993"/>
        </w:tabs>
        <w:ind w:left="567" w:hanging="567"/>
        <w:jc w:val="both"/>
        <w:rPr>
          <w:sz w:val="22"/>
          <w:szCs w:val="22"/>
        </w:rPr>
      </w:pPr>
      <w:r w:rsidRPr="00295E71">
        <w:rPr>
          <w:sz w:val="22"/>
          <w:szCs w:val="22"/>
        </w:rPr>
        <w:t>spasmi muscolari</w:t>
      </w:r>
    </w:p>
    <w:p w:rsidR="002305EF" w:rsidRPr="00295E71" w:rsidP="002305EF" w14:paraId="328136A3" w14:textId="77777777">
      <w:pPr>
        <w:numPr>
          <w:ilvl w:val="0"/>
          <w:numId w:val="14"/>
        </w:numPr>
        <w:tabs>
          <w:tab w:val="num" w:pos="540"/>
          <w:tab w:val="left" w:pos="567"/>
          <w:tab w:val="left" w:pos="993"/>
        </w:tabs>
        <w:ind w:left="567" w:hanging="567"/>
        <w:jc w:val="both"/>
        <w:rPr>
          <w:sz w:val="22"/>
          <w:szCs w:val="22"/>
        </w:rPr>
      </w:pPr>
      <w:r w:rsidRPr="00295E71">
        <w:rPr>
          <w:sz w:val="22"/>
          <w:szCs w:val="22"/>
        </w:rPr>
        <w:t>sangue nelle urine</w:t>
      </w:r>
    </w:p>
    <w:p w:rsidR="002305EF" w:rsidRPr="00295E71" w:rsidP="002305EF" w14:paraId="2219CAAE" w14:textId="77777777">
      <w:pPr>
        <w:numPr>
          <w:ilvl w:val="0"/>
          <w:numId w:val="14"/>
        </w:numPr>
        <w:tabs>
          <w:tab w:val="num" w:pos="540"/>
          <w:tab w:val="left" w:pos="567"/>
          <w:tab w:val="left" w:pos="993"/>
        </w:tabs>
        <w:ind w:left="567" w:hanging="567"/>
        <w:jc w:val="both"/>
        <w:rPr>
          <w:sz w:val="22"/>
          <w:szCs w:val="22"/>
        </w:rPr>
      </w:pPr>
      <w:r w:rsidRPr="00295E71">
        <w:rPr>
          <w:sz w:val="22"/>
          <w:szCs w:val="22"/>
        </w:rPr>
        <w:t>problemi renali</w:t>
      </w:r>
    </w:p>
    <w:p w:rsidR="002305EF" w:rsidRPr="00295E71" w:rsidP="002305EF" w14:paraId="52814948"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toracico</w:t>
      </w:r>
    </w:p>
    <w:p w:rsidR="002305EF" w:rsidRPr="00295E71" w:rsidP="002305EF" w14:paraId="44E5215A"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(gonfiore)</w:t>
      </w:r>
    </w:p>
    <w:p w:rsidR="002305EF" w:rsidRPr="00295E71" w:rsidP="002305EF" w14:paraId="253D5D80" w14:textId="77777777">
      <w:pPr>
        <w:numPr>
          <w:ilvl w:val="0"/>
          <w:numId w:val="14"/>
        </w:numPr>
        <w:tabs>
          <w:tab w:val="num" w:pos="540"/>
          <w:tab w:val="left" w:pos="567"/>
          <w:tab w:val="left" w:pos="993"/>
        </w:tabs>
        <w:ind w:left="567" w:hanging="567"/>
        <w:jc w:val="both"/>
        <w:rPr>
          <w:sz w:val="22"/>
          <w:szCs w:val="22"/>
        </w:rPr>
      </w:pPr>
      <w:r w:rsidRPr="00295E71">
        <w:rPr>
          <w:sz w:val="22"/>
          <w:szCs w:val="22"/>
        </w:rPr>
        <w:t>febbre</w:t>
      </w:r>
    </w:p>
    <w:p w:rsidR="002305EF" w:rsidRPr="00295E71" w:rsidP="002305EF" w14:paraId="3E38CF3E"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delle piastrine nel sangue che aumenta il risch</w:t>
      </w:r>
      <w:r w:rsidRPr="00295E71" w:rsidR="002E6FD5">
        <w:rPr>
          <w:sz w:val="22"/>
          <w:szCs w:val="22"/>
        </w:rPr>
        <w:t>io di emorragia o di contusioni</w:t>
      </w:r>
    </w:p>
    <w:p w:rsidR="002305EF" w:rsidRPr="00295E71" w:rsidP="002305EF" w14:paraId="24734BE7" w14:textId="77777777">
      <w:pPr>
        <w:numPr>
          <w:ilvl w:val="0"/>
          <w:numId w:val="14"/>
        </w:numPr>
        <w:tabs>
          <w:tab w:val="num" w:pos="540"/>
          <w:tab w:val="left" w:pos="567"/>
          <w:tab w:val="left" w:pos="993"/>
        </w:tabs>
        <w:ind w:left="567" w:hanging="567"/>
        <w:jc w:val="both"/>
        <w:rPr>
          <w:sz w:val="22"/>
          <w:szCs w:val="22"/>
        </w:rPr>
      </w:pPr>
      <w:r w:rsidRPr="00295E71">
        <w:rPr>
          <w:sz w:val="22"/>
          <w:szCs w:val="22"/>
        </w:rPr>
        <w:t>difficoltà di cicatrizzazione</w:t>
      </w:r>
    </w:p>
    <w:p w:rsidR="002305EF" w:rsidRPr="00295E71" w:rsidP="002305EF" w14:paraId="7633903E" w14:textId="77777777">
      <w:pPr>
        <w:rPr>
          <w:sz w:val="22"/>
          <w:szCs w:val="22"/>
        </w:rPr>
      </w:pPr>
    </w:p>
    <w:p w:rsidR="002305EF" w:rsidRPr="00295E71" w:rsidP="002305EF" w14:paraId="3331849F" w14:textId="77777777">
      <w:pPr>
        <w:rPr>
          <w:sz w:val="22"/>
          <w:szCs w:val="22"/>
        </w:rPr>
      </w:pPr>
      <w:r w:rsidRPr="00295E71">
        <w:rPr>
          <w:b/>
          <w:sz w:val="22"/>
          <w:szCs w:val="22"/>
        </w:rPr>
        <w:t>Non comuni</w:t>
      </w:r>
      <w:r w:rsidRPr="00295E71">
        <w:rPr>
          <w:sz w:val="22"/>
          <w:szCs w:val="22"/>
        </w:rPr>
        <w:t xml:space="preserve"> (possono manifestarsi fino a 1 persona su 100) </w:t>
      </w:r>
    </w:p>
    <w:p w:rsidR="002305EF" w:rsidRPr="00295E71" w:rsidP="002305EF" w14:paraId="0DB9A966" w14:textId="77777777">
      <w:pPr>
        <w:tabs>
          <w:tab w:val="left" w:pos="567"/>
        </w:tabs>
        <w:jc w:val="both"/>
        <w:rPr>
          <w:sz w:val="22"/>
          <w:szCs w:val="22"/>
        </w:rPr>
      </w:pPr>
    </w:p>
    <w:p w:rsidR="002305EF" w:rsidRPr="00295E71" w:rsidP="002305EF" w14:paraId="26A4552B"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infezioni opportunistiche (che includono la tubercolosi ed altre infezioni che si verificano quando si </w:t>
      </w:r>
      <w:r w:rsidRPr="00295E71" w:rsidR="002E6FD5">
        <w:rPr>
          <w:sz w:val="22"/>
          <w:szCs w:val="22"/>
        </w:rPr>
        <w:t>riducono le difese immunitarie)</w:t>
      </w:r>
    </w:p>
    <w:p w:rsidR="002305EF" w:rsidRPr="00295E71" w:rsidP="002305EF" w14:paraId="0964256C"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neurologich</w:t>
      </w:r>
      <w:r w:rsidRPr="00295E71" w:rsidR="002E6FD5">
        <w:rPr>
          <w:sz w:val="22"/>
          <w:szCs w:val="22"/>
        </w:rPr>
        <w:t>e (tra cui la meningite virale)</w:t>
      </w:r>
    </w:p>
    <w:p w:rsidR="002305EF" w:rsidRPr="00295E71" w:rsidP="002305EF" w14:paraId="61FC48B2"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degli occhi</w:t>
      </w:r>
    </w:p>
    <w:p w:rsidR="002305EF" w:rsidRPr="00295E71" w:rsidP="002305EF" w14:paraId="267DB1CD"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batteriche</w:t>
      </w:r>
    </w:p>
    <w:p w:rsidR="002305EF" w:rsidRPr="00295E71" w:rsidP="002305EF" w14:paraId="3F1AD6D8" w14:textId="77777777">
      <w:pPr>
        <w:numPr>
          <w:ilvl w:val="0"/>
          <w:numId w:val="14"/>
        </w:numPr>
        <w:tabs>
          <w:tab w:val="num" w:pos="540"/>
          <w:tab w:val="left" w:pos="567"/>
          <w:tab w:val="left" w:pos="993"/>
        </w:tabs>
        <w:ind w:left="567" w:hanging="567"/>
        <w:jc w:val="both"/>
        <w:rPr>
          <w:sz w:val="22"/>
          <w:szCs w:val="22"/>
        </w:rPr>
      </w:pPr>
      <w:r w:rsidRPr="00295E71">
        <w:rPr>
          <w:sz w:val="22"/>
          <w:szCs w:val="22"/>
        </w:rPr>
        <w:t>diverticolite (infiammazione e i</w:t>
      </w:r>
      <w:r w:rsidRPr="00295E71" w:rsidR="002E6FD5">
        <w:rPr>
          <w:sz w:val="22"/>
          <w:szCs w:val="22"/>
        </w:rPr>
        <w:t>nfezione dell’intestino crasso)</w:t>
      </w:r>
    </w:p>
    <w:p w:rsidR="002305EF" w:rsidRPr="00295E71" w:rsidP="002305EF" w14:paraId="03B1005A"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w:t>
      </w:r>
    </w:p>
    <w:p w:rsidR="002305EF" w:rsidRPr="00295E71" w:rsidP="002305EF" w14:paraId="3867350B"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tumori del </w:t>
      </w:r>
      <w:r w:rsidRPr="00295E71" w:rsidR="002E6FD5">
        <w:rPr>
          <w:sz w:val="22"/>
          <w:szCs w:val="22"/>
        </w:rPr>
        <w:t>sistema linfatico</w:t>
      </w:r>
    </w:p>
    <w:p w:rsidR="002305EF" w:rsidRPr="00295E71" w:rsidP="002305EF" w14:paraId="6A6AB13F" w14:textId="77777777">
      <w:pPr>
        <w:numPr>
          <w:ilvl w:val="0"/>
          <w:numId w:val="14"/>
        </w:numPr>
        <w:tabs>
          <w:tab w:val="num" w:pos="540"/>
          <w:tab w:val="left" w:pos="567"/>
          <w:tab w:val="left" w:pos="993"/>
        </w:tabs>
        <w:ind w:left="567" w:hanging="567"/>
        <w:jc w:val="both"/>
        <w:rPr>
          <w:sz w:val="22"/>
          <w:szCs w:val="22"/>
        </w:rPr>
      </w:pPr>
      <w:r w:rsidRPr="00295E71">
        <w:rPr>
          <w:sz w:val="22"/>
          <w:szCs w:val="22"/>
        </w:rPr>
        <w:t>melanoma</w:t>
      </w:r>
    </w:p>
    <w:p w:rsidR="002305EF" w:rsidRPr="00295E71" w:rsidP="002305EF" w14:paraId="1A1EBE51" w14:textId="77777777">
      <w:pPr>
        <w:numPr>
          <w:ilvl w:val="0"/>
          <w:numId w:val="14"/>
        </w:numPr>
        <w:tabs>
          <w:tab w:val="num" w:pos="540"/>
          <w:tab w:val="left" w:pos="567"/>
          <w:tab w:val="left" w:pos="993"/>
        </w:tabs>
        <w:ind w:left="567" w:hanging="567"/>
        <w:jc w:val="both"/>
        <w:rPr>
          <w:sz w:val="22"/>
          <w:szCs w:val="22"/>
        </w:rPr>
      </w:pPr>
      <w:r w:rsidRPr="00295E71">
        <w:rPr>
          <w:sz w:val="22"/>
          <w:szCs w:val="22"/>
        </w:rPr>
        <w:t>disordini del sistema immunitario che possono colpire polmoni,</w:t>
      </w:r>
      <w:r w:rsidR="00114AD7">
        <w:rPr>
          <w:sz w:val="22"/>
          <w:szCs w:val="22"/>
        </w:rPr>
        <w:t xml:space="preserve"> </w:t>
      </w:r>
      <w:r w:rsidRPr="00295E71">
        <w:rPr>
          <w:sz w:val="22"/>
          <w:szCs w:val="22"/>
        </w:rPr>
        <w:t>cute e linfonodi (che si presentano p</w:t>
      </w:r>
      <w:r w:rsidRPr="00295E71" w:rsidR="002E6FD5">
        <w:rPr>
          <w:sz w:val="22"/>
          <w:szCs w:val="22"/>
        </w:rPr>
        <w:t>iù comunemente come sarcoidosi)</w:t>
      </w:r>
    </w:p>
    <w:p w:rsidR="002305EF" w:rsidRPr="00295E71" w:rsidP="002305EF" w14:paraId="2877E9A4" w14:textId="77777777">
      <w:pPr>
        <w:numPr>
          <w:ilvl w:val="0"/>
          <w:numId w:val="14"/>
        </w:numPr>
        <w:tabs>
          <w:tab w:val="num" w:pos="540"/>
          <w:tab w:val="left" w:pos="567"/>
          <w:tab w:val="left" w:pos="993"/>
        </w:tabs>
        <w:ind w:left="567" w:hanging="567"/>
        <w:jc w:val="both"/>
        <w:rPr>
          <w:sz w:val="22"/>
          <w:szCs w:val="22"/>
        </w:rPr>
      </w:pPr>
      <w:r w:rsidRPr="00295E71">
        <w:rPr>
          <w:sz w:val="22"/>
          <w:szCs w:val="22"/>
        </w:rPr>
        <w:t>vasculite (in</w:t>
      </w:r>
      <w:r w:rsidRPr="00295E71" w:rsidR="002E6FD5">
        <w:rPr>
          <w:sz w:val="22"/>
          <w:szCs w:val="22"/>
        </w:rPr>
        <w:t>fiammazione dei vasi sanguigni)</w:t>
      </w:r>
    </w:p>
    <w:p w:rsidR="002305EF" w:rsidRPr="00295E71" w:rsidP="002305EF" w14:paraId="1B4B059B" w14:textId="77777777">
      <w:pPr>
        <w:numPr>
          <w:ilvl w:val="0"/>
          <w:numId w:val="14"/>
        </w:numPr>
        <w:tabs>
          <w:tab w:val="num" w:pos="540"/>
          <w:tab w:val="left" w:pos="567"/>
          <w:tab w:val="left" w:pos="993"/>
        </w:tabs>
        <w:ind w:left="567" w:hanging="567"/>
        <w:jc w:val="both"/>
        <w:rPr>
          <w:sz w:val="22"/>
          <w:szCs w:val="22"/>
        </w:rPr>
      </w:pPr>
      <w:r w:rsidRPr="00295E71">
        <w:rPr>
          <w:sz w:val="22"/>
          <w:szCs w:val="22"/>
        </w:rPr>
        <w:t>tremore (agitazione)</w:t>
      </w:r>
    </w:p>
    <w:p w:rsidR="002305EF" w:rsidRPr="00295E71" w:rsidP="002305EF" w14:paraId="2822DAA9"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neuropatia (disturbo </w:t>
      </w:r>
      <w:r w:rsidRPr="00295E71" w:rsidR="001E42E4">
        <w:rPr>
          <w:sz w:val="22"/>
          <w:szCs w:val="22"/>
        </w:rPr>
        <w:t xml:space="preserve">a carico </w:t>
      </w:r>
      <w:r w:rsidRPr="00295E71">
        <w:rPr>
          <w:sz w:val="22"/>
          <w:szCs w:val="22"/>
        </w:rPr>
        <w:t>dei nervi)</w:t>
      </w:r>
    </w:p>
    <w:p w:rsidR="002E6FD5" w:rsidRPr="00295E71" w:rsidP="002E6FD5" w14:paraId="5C2B4695" w14:textId="77777777">
      <w:pPr>
        <w:numPr>
          <w:ilvl w:val="0"/>
          <w:numId w:val="14"/>
        </w:numPr>
        <w:tabs>
          <w:tab w:val="num" w:pos="540"/>
          <w:tab w:val="left" w:pos="567"/>
          <w:tab w:val="left" w:pos="993"/>
        </w:tabs>
        <w:ind w:left="567" w:hanging="567"/>
        <w:jc w:val="both"/>
        <w:rPr>
          <w:sz w:val="22"/>
          <w:szCs w:val="22"/>
        </w:rPr>
      </w:pPr>
      <w:r w:rsidRPr="00295E71">
        <w:rPr>
          <w:sz w:val="22"/>
          <w:szCs w:val="22"/>
        </w:rPr>
        <w:t>ictus</w:t>
      </w:r>
    </w:p>
    <w:p w:rsidR="002305EF" w:rsidRPr="00295E71" w:rsidP="002305EF" w14:paraId="033F9D05" w14:textId="77777777">
      <w:pPr>
        <w:numPr>
          <w:ilvl w:val="0"/>
          <w:numId w:val="14"/>
        </w:numPr>
        <w:tabs>
          <w:tab w:val="num" w:pos="540"/>
          <w:tab w:val="left" w:pos="567"/>
          <w:tab w:val="left" w:pos="993"/>
        </w:tabs>
        <w:ind w:left="567" w:hanging="567"/>
        <w:jc w:val="both"/>
        <w:rPr>
          <w:sz w:val="22"/>
          <w:szCs w:val="22"/>
        </w:rPr>
      </w:pPr>
      <w:r w:rsidRPr="00295E71">
        <w:rPr>
          <w:sz w:val="22"/>
          <w:szCs w:val="22"/>
        </w:rPr>
        <w:t>perdita dell’udito, ronzio</w:t>
      </w:r>
    </w:p>
    <w:p w:rsidR="002305EF" w:rsidRPr="00295E71" w:rsidP="002305EF" w14:paraId="3A7788F5" w14:textId="77777777">
      <w:pPr>
        <w:numPr>
          <w:ilvl w:val="0"/>
          <w:numId w:val="14"/>
        </w:numPr>
        <w:tabs>
          <w:tab w:val="num" w:pos="540"/>
          <w:tab w:val="left" w:pos="567"/>
          <w:tab w:val="left" w:pos="993"/>
        </w:tabs>
        <w:ind w:left="567" w:hanging="567"/>
        <w:jc w:val="both"/>
        <w:rPr>
          <w:sz w:val="22"/>
          <w:szCs w:val="22"/>
        </w:rPr>
      </w:pPr>
      <w:r w:rsidRPr="00295E71">
        <w:rPr>
          <w:sz w:val="22"/>
          <w:szCs w:val="22"/>
        </w:rPr>
        <w:t>sensazione di battito cardia</w:t>
      </w:r>
      <w:r w:rsidRPr="00295E71" w:rsidR="002E6FD5">
        <w:rPr>
          <w:sz w:val="22"/>
          <w:szCs w:val="22"/>
        </w:rPr>
        <w:t>co irregolare come palpitazioni</w:t>
      </w:r>
    </w:p>
    <w:p w:rsidR="002305EF" w:rsidRPr="00295E71" w:rsidP="002305EF" w14:paraId="16CDE511" w14:textId="77777777">
      <w:pPr>
        <w:numPr>
          <w:ilvl w:val="0"/>
          <w:numId w:val="14"/>
        </w:numPr>
        <w:tabs>
          <w:tab w:val="num" w:pos="540"/>
          <w:tab w:val="left" w:pos="567"/>
          <w:tab w:val="left" w:pos="993"/>
        </w:tabs>
        <w:ind w:left="567" w:hanging="567"/>
        <w:jc w:val="both"/>
        <w:rPr>
          <w:sz w:val="22"/>
          <w:szCs w:val="22"/>
        </w:rPr>
      </w:pPr>
      <w:r w:rsidRPr="00295E71">
        <w:rPr>
          <w:sz w:val="22"/>
          <w:szCs w:val="22"/>
        </w:rPr>
        <w:t>problemi al cuore che possono causare fiato corto o go</w:t>
      </w:r>
      <w:r w:rsidRPr="00295E71" w:rsidR="002E6FD5">
        <w:rPr>
          <w:sz w:val="22"/>
          <w:szCs w:val="22"/>
        </w:rPr>
        <w:t>nfiore a livello delle caviglie</w:t>
      </w:r>
    </w:p>
    <w:p w:rsidR="002305EF" w:rsidRPr="00295E71" w:rsidP="002305EF" w14:paraId="73D98148" w14:textId="77777777">
      <w:pPr>
        <w:numPr>
          <w:ilvl w:val="0"/>
          <w:numId w:val="14"/>
        </w:numPr>
        <w:tabs>
          <w:tab w:val="num" w:pos="540"/>
          <w:tab w:val="left" w:pos="567"/>
          <w:tab w:val="left" w:pos="993"/>
        </w:tabs>
        <w:ind w:left="567" w:hanging="567"/>
        <w:jc w:val="both"/>
        <w:rPr>
          <w:sz w:val="22"/>
          <w:szCs w:val="22"/>
        </w:rPr>
      </w:pPr>
      <w:r w:rsidRPr="00295E71">
        <w:rPr>
          <w:sz w:val="22"/>
          <w:szCs w:val="22"/>
        </w:rPr>
        <w:t>infarto acuto del miocardio</w:t>
      </w:r>
    </w:p>
    <w:p w:rsidR="002305EF" w:rsidRPr="00295E71" w:rsidP="002305EF" w14:paraId="7A41ABA0"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formazione di una sacca nella parete di un’arteria principale, infiammazione e coagulo in una vena, </w:t>
      </w:r>
      <w:r w:rsidRPr="00295E71" w:rsidR="002E6FD5">
        <w:rPr>
          <w:sz w:val="22"/>
          <w:szCs w:val="22"/>
        </w:rPr>
        <w:t>ostruzione di un vaso sanguigno</w:t>
      </w:r>
    </w:p>
    <w:p w:rsidR="002305EF" w:rsidRPr="00295E71" w:rsidP="002305EF" w14:paraId="44621EB9" w14:textId="77777777">
      <w:pPr>
        <w:numPr>
          <w:ilvl w:val="0"/>
          <w:numId w:val="14"/>
        </w:numPr>
        <w:tabs>
          <w:tab w:val="num" w:pos="540"/>
          <w:tab w:val="left" w:pos="567"/>
          <w:tab w:val="left" w:pos="993"/>
        </w:tabs>
        <w:ind w:left="567" w:hanging="567"/>
        <w:jc w:val="both"/>
        <w:rPr>
          <w:sz w:val="22"/>
          <w:szCs w:val="22"/>
        </w:rPr>
      </w:pPr>
      <w:r w:rsidRPr="00295E71">
        <w:rPr>
          <w:sz w:val="22"/>
          <w:szCs w:val="22"/>
        </w:rPr>
        <w:t>malattia polmonare che provoca fiat</w:t>
      </w:r>
      <w:r w:rsidRPr="00295E71" w:rsidR="002E6FD5">
        <w:rPr>
          <w:sz w:val="22"/>
          <w:szCs w:val="22"/>
        </w:rPr>
        <w:t>o corto (inclusa infiammazione)</w:t>
      </w:r>
    </w:p>
    <w:p w:rsidR="002305EF" w:rsidRPr="00295E71" w:rsidP="002305EF" w14:paraId="034173F4" w14:textId="77777777">
      <w:pPr>
        <w:numPr>
          <w:ilvl w:val="0"/>
          <w:numId w:val="14"/>
        </w:numPr>
        <w:tabs>
          <w:tab w:val="num" w:pos="540"/>
          <w:tab w:val="left" w:pos="567"/>
          <w:tab w:val="left" w:pos="993"/>
        </w:tabs>
        <w:ind w:left="567" w:hanging="567"/>
        <w:jc w:val="both"/>
        <w:rPr>
          <w:sz w:val="22"/>
          <w:szCs w:val="22"/>
        </w:rPr>
      </w:pPr>
      <w:r w:rsidRPr="00295E71">
        <w:rPr>
          <w:sz w:val="22"/>
          <w:szCs w:val="22"/>
        </w:rPr>
        <w:t>embolia polmonare (occlu</w:t>
      </w:r>
      <w:r w:rsidRPr="00295E71" w:rsidR="002E6FD5">
        <w:rPr>
          <w:sz w:val="22"/>
          <w:szCs w:val="22"/>
        </w:rPr>
        <w:t>sione di una arteria polmonare)</w:t>
      </w:r>
    </w:p>
    <w:p w:rsidR="002305EF" w:rsidRPr="00295E71" w:rsidP="002305EF" w14:paraId="010A1BD4" w14:textId="77777777">
      <w:pPr>
        <w:numPr>
          <w:ilvl w:val="0"/>
          <w:numId w:val="14"/>
        </w:numPr>
        <w:tabs>
          <w:tab w:val="num" w:pos="540"/>
          <w:tab w:val="left" w:pos="567"/>
          <w:tab w:val="left" w:pos="993"/>
        </w:tabs>
        <w:ind w:left="567" w:hanging="567"/>
        <w:jc w:val="both"/>
        <w:rPr>
          <w:sz w:val="22"/>
          <w:szCs w:val="22"/>
        </w:rPr>
      </w:pPr>
      <w:r w:rsidRPr="00295E71">
        <w:rPr>
          <w:sz w:val="22"/>
          <w:szCs w:val="22"/>
        </w:rPr>
        <w:t>versamento pleurico (anomala raccolta di</w:t>
      </w:r>
      <w:r w:rsidRPr="00295E71" w:rsidR="002E6FD5">
        <w:rPr>
          <w:sz w:val="22"/>
          <w:szCs w:val="22"/>
        </w:rPr>
        <w:t xml:space="preserve"> liquido nello spazio pleurico)</w:t>
      </w:r>
    </w:p>
    <w:p w:rsidR="002305EF" w:rsidRPr="00295E71" w:rsidP="002305EF" w14:paraId="7BDA52BB"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 pancreas che causa forti do</w:t>
      </w:r>
      <w:r w:rsidRPr="00295E71" w:rsidR="002E6FD5">
        <w:rPr>
          <w:sz w:val="22"/>
          <w:szCs w:val="22"/>
        </w:rPr>
        <w:t>lori all’addome ed alla schiena</w:t>
      </w:r>
    </w:p>
    <w:p w:rsidR="002305EF" w:rsidRPr="00295E71" w:rsidP="002305EF" w14:paraId="01A4C20C" w14:textId="77777777">
      <w:pPr>
        <w:numPr>
          <w:ilvl w:val="0"/>
          <w:numId w:val="14"/>
        </w:numPr>
        <w:tabs>
          <w:tab w:val="num" w:pos="540"/>
          <w:tab w:val="left" w:pos="567"/>
          <w:tab w:val="left" w:pos="993"/>
        </w:tabs>
        <w:ind w:left="567" w:hanging="567"/>
        <w:jc w:val="both"/>
        <w:rPr>
          <w:sz w:val="22"/>
          <w:szCs w:val="22"/>
        </w:rPr>
      </w:pPr>
      <w:r w:rsidRPr="00295E71">
        <w:rPr>
          <w:sz w:val="22"/>
          <w:szCs w:val="22"/>
        </w:rPr>
        <w:t>difficoltà nella deglutizione</w:t>
      </w:r>
    </w:p>
    <w:p w:rsidR="002305EF" w:rsidRPr="00295E71" w:rsidP="002305EF" w14:paraId="28B4FF3B"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facciale (gonfiore del viso)</w:t>
      </w:r>
    </w:p>
    <w:p w:rsidR="002305EF" w:rsidRPr="00295E71" w:rsidP="002305EF" w14:paraId="42B04F1B"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della cistif</w:t>
      </w:r>
      <w:r w:rsidRPr="00295E71" w:rsidR="002E6FD5">
        <w:rPr>
          <w:sz w:val="22"/>
          <w:szCs w:val="22"/>
        </w:rPr>
        <w:t>ellea, calcoli alla cistifellea</w:t>
      </w:r>
    </w:p>
    <w:p w:rsidR="002305EF" w:rsidRPr="00295E71" w:rsidP="002305EF" w14:paraId="00D78788" w14:textId="77777777">
      <w:pPr>
        <w:numPr>
          <w:ilvl w:val="0"/>
          <w:numId w:val="14"/>
        </w:numPr>
        <w:tabs>
          <w:tab w:val="num" w:pos="540"/>
          <w:tab w:val="left" w:pos="567"/>
          <w:tab w:val="left" w:pos="993"/>
        </w:tabs>
        <w:ind w:left="567" w:hanging="567"/>
        <w:jc w:val="both"/>
        <w:rPr>
          <w:sz w:val="22"/>
          <w:szCs w:val="22"/>
        </w:rPr>
      </w:pPr>
      <w:r w:rsidRPr="00295E71">
        <w:rPr>
          <w:sz w:val="22"/>
          <w:szCs w:val="22"/>
        </w:rPr>
        <w:t>fegato grasso</w:t>
      </w:r>
    </w:p>
    <w:p w:rsidR="002305EF" w:rsidRPr="00295E71" w:rsidP="002305EF" w14:paraId="67771790" w14:textId="77777777">
      <w:pPr>
        <w:numPr>
          <w:ilvl w:val="0"/>
          <w:numId w:val="14"/>
        </w:numPr>
        <w:tabs>
          <w:tab w:val="num" w:pos="540"/>
          <w:tab w:val="left" w:pos="567"/>
          <w:tab w:val="left" w:pos="993"/>
        </w:tabs>
        <w:ind w:left="567" w:hanging="567"/>
        <w:jc w:val="both"/>
        <w:rPr>
          <w:sz w:val="22"/>
          <w:szCs w:val="22"/>
        </w:rPr>
      </w:pPr>
      <w:r w:rsidRPr="00295E71">
        <w:rPr>
          <w:sz w:val="22"/>
          <w:szCs w:val="22"/>
        </w:rPr>
        <w:t>sudorazione notturna</w:t>
      </w:r>
    </w:p>
    <w:p w:rsidR="002305EF" w:rsidRPr="00295E71" w:rsidP="002305EF" w14:paraId="5ECFE121" w14:textId="77777777">
      <w:pPr>
        <w:numPr>
          <w:ilvl w:val="0"/>
          <w:numId w:val="14"/>
        </w:numPr>
        <w:tabs>
          <w:tab w:val="num" w:pos="540"/>
          <w:tab w:val="left" w:pos="567"/>
          <w:tab w:val="left" w:pos="993"/>
        </w:tabs>
        <w:ind w:left="567" w:hanging="567"/>
        <w:jc w:val="both"/>
        <w:rPr>
          <w:sz w:val="22"/>
          <w:szCs w:val="22"/>
        </w:rPr>
      </w:pPr>
      <w:r w:rsidRPr="00295E71">
        <w:rPr>
          <w:sz w:val="22"/>
          <w:szCs w:val="22"/>
        </w:rPr>
        <w:t>cicatrice</w:t>
      </w:r>
    </w:p>
    <w:p w:rsidR="002305EF" w:rsidRPr="00295E71" w:rsidP="002305EF" w14:paraId="67FC90EB" w14:textId="77777777">
      <w:pPr>
        <w:numPr>
          <w:ilvl w:val="0"/>
          <w:numId w:val="14"/>
        </w:numPr>
        <w:tabs>
          <w:tab w:val="num" w:pos="540"/>
          <w:tab w:val="left" w:pos="567"/>
          <w:tab w:val="left" w:pos="993"/>
        </w:tabs>
        <w:ind w:left="567" w:hanging="567"/>
        <w:jc w:val="both"/>
        <w:rPr>
          <w:sz w:val="22"/>
          <w:szCs w:val="22"/>
        </w:rPr>
      </w:pPr>
      <w:r w:rsidRPr="00295E71">
        <w:rPr>
          <w:sz w:val="22"/>
          <w:szCs w:val="22"/>
        </w:rPr>
        <w:t>anormale catabolismo muscolare</w:t>
      </w:r>
    </w:p>
    <w:p w:rsidR="002305EF" w:rsidRPr="00295E71" w:rsidP="002305EF" w14:paraId="5F5070B8" w14:textId="77777777">
      <w:pPr>
        <w:numPr>
          <w:ilvl w:val="0"/>
          <w:numId w:val="14"/>
        </w:numPr>
        <w:tabs>
          <w:tab w:val="num" w:pos="540"/>
          <w:tab w:val="left" w:pos="567"/>
          <w:tab w:val="left" w:pos="993"/>
        </w:tabs>
        <w:ind w:left="567" w:hanging="567"/>
        <w:jc w:val="both"/>
        <w:rPr>
          <w:sz w:val="22"/>
          <w:szCs w:val="22"/>
        </w:rPr>
      </w:pPr>
      <w:r w:rsidRPr="00295E71">
        <w:rPr>
          <w:sz w:val="22"/>
          <w:szCs w:val="22"/>
        </w:rPr>
        <w:t>lupus eritematoso sistemico (tra cui infiammazione della pelle, del cuore, del polmone, delle articolazioni e di altri organi)</w:t>
      </w:r>
    </w:p>
    <w:p w:rsidR="002305EF" w:rsidRPr="00295E71" w:rsidP="002305EF" w14:paraId="2C012B85" w14:textId="77777777">
      <w:pPr>
        <w:numPr>
          <w:ilvl w:val="0"/>
          <w:numId w:val="14"/>
        </w:numPr>
        <w:tabs>
          <w:tab w:val="num" w:pos="540"/>
          <w:tab w:val="left" w:pos="567"/>
          <w:tab w:val="left" w:pos="993"/>
        </w:tabs>
        <w:ind w:left="567" w:hanging="567"/>
        <w:jc w:val="both"/>
        <w:rPr>
          <w:sz w:val="22"/>
          <w:szCs w:val="22"/>
        </w:rPr>
      </w:pPr>
      <w:r w:rsidRPr="00295E71">
        <w:rPr>
          <w:sz w:val="22"/>
          <w:szCs w:val="22"/>
        </w:rPr>
        <w:t>sonno interrotto</w:t>
      </w:r>
    </w:p>
    <w:p w:rsidR="002305EF" w:rsidRPr="00295E71" w:rsidP="002305EF" w14:paraId="43EF5DA4" w14:textId="77777777">
      <w:pPr>
        <w:numPr>
          <w:ilvl w:val="0"/>
          <w:numId w:val="14"/>
        </w:numPr>
        <w:tabs>
          <w:tab w:val="num" w:pos="540"/>
          <w:tab w:val="left" w:pos="567"/>
          <w:tab w:val="left" w:pos="993"/>
        </w:tabs>
        <w:ind w:left="567" w:hanging="567"/>
        <w:jc w:val="both"/>
        <w:rPr>
          <w:sz w:val="22"/>
          <w:szCs w:val="22"/>
        </w:rPr>
      </w:pPr>
      <w:r w:rsidRPr="00295E71">
        <w:rPr>
          <w:sz w:val="22"/>
          <w:szCs w:val="22"/>
        </w:rPr>
        <w:t>impotenza</w:t>
      </w:r>
    </w:p>
    <w:p w:rsidR="002305EF" w:rsidRPr="00295E71" w:rsidP="002305EF" w14:paraId="50E82BA0"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infiammazioni</w:t>
      </w:r>
    </w:p>
    <w:p w:rsidR="002305EF" w:rsidRPr="00295E71" w:rsidP="002305EF" w14:paraId="75DE8B2A" w14:textId="77777777">
      <w:pPr>
        <w:tabs>
          <w:tab w:val="left" w:pos="567"/>
        </w:tabs>
        <w:jc w:val="both"/>
        <w:rPr>
          <w:sz w:val="22"/>
          <w:szCs w:val="22"/>
        </w:rPr>
      </w:pPr>
    </w:p>
    <w:p w:rsidR="002305EF" w:rsidRPr="00295E71" w:rsidP="002305EF" w14:paraId="758DB5A1" w14:textId="77777777">
      <w:pPr>
        <w:tabs>
          <w:tab w:val="left" w:pos="567"/>
        </w:tabs>
        <w:jc w:val="both"/>
        <w:rPr>
          <w:sz w:val="22"/>
          <w:szCs w:val="22"/>
        </w:rPr>
      </w:pPr>
      <w:r w:rsidRPr="00295E71">
        <w:rPr>
          <w:b/>
          <w:sz w:val="22"/>
          <w:szCs w:val="22"/>
        </w:rPr>
        <w:t>Rari</w:t>
      </w:r>
      <w:r w:rsidRPr="00295E71">
        <w:rPr>
          <w:sz w:val="22"/>
          <w:szCs w:val="22"/>
        </w:rPr>
        <w:t xml:space="preserve"> (possono manifestarsi fino a 1 persona su 1.000)</w:t>
      </w:r>
    </w:p>
    <w:p w:rsidR="002305EF" w:rsidRPr="00295E71" w:rsidP="002305EF" w14:paraId="587DC691" w14:textId="77777777">
      <w:pPr>
        <w:tabs>
          <w:tab w:val="left" w:pos="567"/>
          <w:tab w:val="left" w:pos="993"/>
        </w:tabs>
        <w:jc w:val="both"/>
        <w:rPr>
          <w:sz w:val="22"/>
          <w:szCs w:val="22"/>
        </w:rPr>
      </w:pPr>
    </w:p>
    <w:p w:rsidR="002305EF" w:rsidRPr="00295E71" w:rsidP="002305EF" w14:paraId="6C3783DC" w14:textId="77777777">
      <w:pPr>
        <w:numPr>
          <w:ilvl w:val="0"/>
          <w:numId w:val="14"/>
        </w:numPr>
        <w:tabs>
          <w:tab w:val="num" w:pos="540"/>
          <w:tab w:val="left" w:pos="567"/>
          <w:tab w:val="left" w:pos="993"/>
        </w:tabs>
        <w:ind w:left="567" w:hanging="567"/>
        <w:jc w:val="both"/>
        <w:rPr>
          <w:sz w:val="22"/>
          <w:szCs w:val="22"/>
        </w:rPr>
      </w:pPr>
      <w:r w:rsidRPr="00295E71">
        <w:rPr>
          <w:sz w:val="22"/>
          <w:szCs w:val="22"/>
        </w:rPr>
        <w:t>leucemia (</w:t>
      </w:r>
      <w:r w:rsidRPr="00295E71" w:rsidR="001A7F63">
        <w:rPr>
          <w:sz w:val="22"/>
          <w:szCs w:val="22"/>
        </w:rPr>
        <w:t>un tumore che colpisce il sangue e il midollo osseo</w:t>
      </w:r>
      <w:r w:rsidRPr="00295E71" w:rsidR="002E6FD5">
        <w:rPr>
          <w:sz w:val="22"/>
          <w:szCs w:val="22"/>
        </w:rPr>
        <w:t>)</w:t>
      </w:r>
    </w:p>
    <w:p w:rsidR="002305EF" w:rsidRPr="00295E71" w:rsidP="002305EF" w14:paraId="28CA914D" w14:textId="77777777">
      <w:pPr>
        <w:numPr>
          <w:ilvl w:val="0"/>
          <w:numId w:val="14"/>
        </w:numPr>
        <w:tabs>
          <w:tab w:val="num" w:pos="540"/>
          <w:tab w:val="left" w:pos="567"/>
          <w:tab w:val="left" w:pos="993"/>
        </w:tabs>
        <w:ind w:left="567" w:hanging="567"/>
        <w:jc w:val="both"/>
        <w:rPr>
          <w:sz w:val="22"/>
          <w:szCs w:val="22"/>
        </w:rPr>
      </w:pPr>
      <w:r w:rsidRPr="00295E71">
        <w:rPr>
          <w:sz w:val="22"/>
          <w:szCs w:val="22"/>
        </w:rPr>
        <w:t>rea</w:t>
      </w:r>
      <w:r w:rsidRPr="00295E71" w:rsidR="002E6FD5">
        <w:rPr>
          <w:sz w:val="22"/>
          <w:szCs w:val="22"/>
        </w:rPr>
        <w:t>zione allergica grave con shock</w:t>
      </w:r>
    </w:p>
    <w:p w:rsidR="002305EF" w:rsidRPr="00295E71" w:rsidP="002305EF" w14:paraId="7E34EC8B" w14:textId="77777777">
      <w:pPr>
        <w:numPr>
          <w:ilvl w:val="0"/>
          <w:numId w:val="14"/>
        </w:numPr>
        <w:tabs>
          <w:tab w:val="num" w:pos="540"/>
          <w:tab w:val="left" w:pos="567"/>
          <w:tab w:val="left" w:pos="993"/>
        </w:tabs>
        <w:ind w:left="567" w:hanging="567"/>
        <w:jc w:val="both"/>
        <w:rPr>
          <w:sz w:val="22"/>
          <w:szCs w:val="22"/>
        </w:rPr>
      </w:pPr>
      <w:r w:rsidRPr="00295E71">
        <w:rPr>
          <w:sz w:val="22"/>
          <w:szCs w:val="22"/>
        </w:rPr>
        <w:t>sclerosi multipla</w:t>
      </w:r>
    </w:p>
    <w:p w:rsidR="002305EF" w:rsidRPr="00295E71" w:rsidP="002305EF" w14:paraId="4F638BD4"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disturbi neurologici (come infiammazione del nervo ottico e sindrome di Guillain-Barré che può causare debolezza muscolare, sensazioni anomale, formicolio alle braccia ed </w:t>
      </w:r>
      <w:r w:rsidRPr="00295E71" w:rsidR="002E6FD5">
        <w:rPr>
          <w:sz w:val="22"/>
          <w:szCs w:val="22"/>
        </w:rPr>
        <w:t>alla parte superiore del corpo)</w:t>
      </w:r>
    </w:p>
    <w:p w:rsidR="002305EF" w:rsidRPr="00295E71" w:rsidP="002305EF" w14:paraId="38F81D42" w14:textId="77777777">
      <w:pPr>
        <w:numPr>
          <w:ilvl w:val="0"/>
          <w:numId w:val="14"/>
        </w:numPr>
        <w:tabs>
          <w:tab w:val="num" w:pos="540"/>
          <w:tab w:val="left" w:pos="567"/>
          <w:tab w:val="left" w:pos="993"/>
        </w:tabs>
        <w:ind w:left="567" w:hanging="567"/>
        <w:jc w:val="both"/>
        <w:rPr>
          <w:sz w:val="22"/>
          <w:szCs w:val="22"/>
        </w:rPr>
      </w:pPr>
      <w:r w:rsidRPr="00295E71">
        <w:rPr>
          <w:sz w:val="22"/>
          <w:szCs w:val="22"/>
        </w:rPr>
        <w:t>arresto cardiaco</w:t>
      </w:r>
    </w:p>
    <w:p w:rsidR="002305EF" w:rsidRPr="00295E71" w:rsidP="002305EF" w14:paraId="21872D44" w14:textId="77777777">
      <w:pPr>
        <w:numPr>
          <w:ilvl w:val="0"/>
          <w:numId w:val="14"/>
        </w:numPr>
        <w:tabs>
          <w:tab w:val="num" w:pos="540"/>
          <w:tab w:val="left" w:pos="567"/>
          <w:tab w:val="left" w:pos="993"/>
        </w:tabs>
        <w:ind w:left="567" w:hanging="567"/>
        <w:jc w:val="both"/>
        <w:rPr>
          <w:sz w:val="22"/>
          <w:szCs w:val="22"/>
        </w:rPr>
      </w:pPr>
      <w:r w:rsidRPr="00295E71">
        <w:rPr>
          <w:sz w:val="22"/>
          <w:szCs w:val="22"/>
        </w:rPr>
        <w:t>fibrosi po</w:t>
      </w:r>
      <w:r w:rsidRPr="00295E71" w:rsidR="002E6FD5">
        <w:rPr>
          <w:sz w:val="22"/>
          <w:szCs w:val="22"/>
        </w:rPr>
        <w:t>lmonare (cicatrici del polmone)</w:t>
      </w:r>
    </w:p>
    <w:p w:rsidR="002305EF" w:rsidRPr="00295E71" w:rsidP="002305EF" w14:paraId="59E05DB2" w14:textId="77777777">
      <w:pPr>
        <w:numPr>
          <w:ilvl w:val="0"/>
          <w:numId w:val="14"/>
        </w:numPr>
        <w:tabs>
          <w:tab w:val="num" w:pos="540"/>
          <w:tab w:val="left" w:pos="567"/>
          <w:tab w:val="left" w:pos="993"/>
        </w:tabs>
        <w:ind w:left="567" w:hanging="567"/>
        <w:jc w:val="both"/>
        <w:rPr>
          <w:sz w:val="22"/>
          <w:szCs w:val="22"/>
        </w:rPr>
      </w:pPr>
      <w:r w:rsidRPr="00295E71">
        <w:rPr>
          <w:sz w:val="22"/>
          <w:szCs w:val="22"/>
        </w:rPr>
        <w:t>perforazione intestinale (buco nell’intestino)</w:t>
      </w:r>
    </w:p>
    <w:p w:rsidR="002305EF" w:rsidRPr="00295E71" w:rsidP="002305EF" w14:paraId="0F776742" w14:textId="77777777">
      <w:pPr>
        <w:numPr>
          <w:ilvl w:val="0"/>
          <w:numId w:val="14"/>
        </w:numPr>
        <w:tabs>
          <w:tab w:val="num" w:pos="540"/>
          <w:tab w:val="left" w:pos="567"/>
          <w:tab w:val="left" w:pos="993"/>
        </w:tabs>
        <w:ind w:left="567" w:hanging="567"/>
        <w:jc w:val="both"/>
        <w:rPr>
          <w:sz w:val="22"/>
          <w:szCs w:val="22"/>
        </w:rPr>
      </w:pPr>
      <w:r w:rsidRPr="00295E71">
        <w:rPr>
          <w:sz w:val="22"/>
          <w:szCs w:val="22"/>
        </w:rPr>
        <w:t>epatite</w:t>
      </w:r>
    </w:p>
    <w:p w:rsidR="002305EF" w:rsidRPr="00295E71" w:rsidP="002305EF" w14:paraId="72C11089" w14:textId="77777777">
      <w:pPr>
        <w:numPr>
          <w:ilvl w:val="0"/>
          <w:numId w:val="14"/>
        </w:numPr>
        <w:tabs>
          <w:tab w:val="num" w:pos="540"/>
          <w:tab w:val="left" w:pos="567"/>
          <w:tab w:val="left" w:pos="993"/>
        </w:tabs>
        <w:ind w:left="567" w:hanging="567"/>
        <w:jc w:val="both"/>
        <w:rPr>
          <w:sz w:val="22"/>
          <w:szCs w:val="22"/>
        </w:rPr>
      </w:pPr>
      <w:r w:rsidRPr="00295E71">
        <w:rPr>
          <w:sz w:val="22"/>
          <w:szCs w:val="22"/>
        </w:rPr>
        <w:t>riattivazione dell’epatite B</w:t>
      </w:r>
    </w:p>
    <w:p w:rsidR="002305EF" w:rsidRPr="00295E71" w:rsidP="002305EF" w14:paraId="73A4557F" w14:textId="77777777">
      <w:pPr>
        <w:numPr>
          <w:ilvl w:val="0"/>
          <w:numId w:val="14"/>
        </w:numPr>
        <w:tabs>
          <w:tab w:val="num" w:pos="540"/>
          <w:tab w:val="left" w:pos="567"/>
          <w:tab w:val="left" w:pos="993"/>
        </w:tabs>
        <w:ind w:left="567" w:hanging="567"/>
        <w:jc w:val="both"/>
        <w:rPr>
          <w:sz w:val="22"/>
          <w:szCs w:val="22"/>
        </w:rPr>
      </w:pPr>
      <w:r w:rsidRPr="00295E71">
        <w:rPr>
          <w:sz w:val="22"/>
          <w:szCs w:val="22"/>
        </w:rPr>
        <w:t>epatite autoimmune (infiammazione del fegato causata d</w:t>
      </w:r>
      <w:r w:rsidRPr="00295E71" w:rsidR="002E6FD5">
        <w:rPr>
          <w:sz w:val="22"/>
          <w:szCs w:val="22"/>
        </w:rPr>
        <w:t>al proprio sistema immunitario)</w:t>
      </w:r>
    </w:p>
    <w:p w:rsidR="002305EF" w:rsidRPr="00295E71" w:rsidP="002305EF" w14:paraId="0270E18D"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vasculite cutanea (infiammazione </w:t>
      </w:r>
      <w:r w:rsidRPr="00295E71" w:rsidR="002E6FD5">
        <w:rPr>
          <w:sz w:val="22"/>
          <w:szCs w:val="22"/>
        </w:rPr>
        <w:t>dei vasi sanguigni della pelle)</w:t>
      </w:r>
    </w:p>
    <w:p w:rsidR="002305EF" w:rsidRPr="00295E71" w:rsidP="002305EF" w14:paraId="3F898DCD"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sindrome di Stevens-Johnson (i sintomi precoci includono malessere, febbre, cefalea ed eruzione </w:t>
      </w:r>
      <w:r w:rsidRPr="00295E71" w:rsidR="002E6FD5">
        <w:rPr>
          <w:sz w:val="22"/>
          <w:szCs w:val="22"/>
        </w:rPr>
        <w:t>cutanea)</w:t>
      </w:r>
    </w:p>
    <w:p w:rsidR="002305EF" w:rsidRPr="00295E71" w:rsidP="002305EF" w14:paraId="1B11D86E"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edema facciale </w:t>
      </w:r>
      <w:r w:rsidRPr="00295E71" w:rsidR="002E6FD5">
        <w:rPr>
          <w:sz w:val="22"/>
          <w:szCs w:val="22"/>
        </w:rPr>
        <w:t>(gonfiore del viso) associato a reazioni allergiche</w:t>
      </w:r>
    </w:p>
    <w:p w:rsidR="002305EF" w:rsidRPr="00295E71" w:rsidP="002305EF" w14:paraId="16A8AE1C" w14:textId="77777777">
      <w:pPr>
        <w:numPr>
          <w:ilvl w:val="0"/>
          <w:numId w:val="14"/>
        </w:numPr>
        <w:tabs>
          <w:tab w:val="num" w:pos="540"/>
          <w:tab w:val="left" w:pos="567"/>
          <w:tab w:val="left" w:pos="993"/>
        </w:tabs>
        <w:ind w:left="567" w:hanging="567"/>
        <w:jc w:val="both"/>
        <w:rPr>
          <w:sz w:val="22"/>
          <w:szCs w:val="22"/>
        </w:rPr>
      </w:pPr>
      <w:r w:rsidRPr="00295E71">
        <w:rPr>
          <w:sz w:val="22"/>
          <w:szCs w:val="22"/>
        </w:rPr>
        <w:t>eritema multifor</w:t>
      </w:r>
      <w:r w:rsidRPr="00295E71" w:rsidR="002E6FD5">
        <w:rPr>
          <w:sz w:val="22"/>
          <w:szCs w:val="22"/>
        </w:rPr>
        <w:t>me (rash cutaneo infiammatorio)</w:t>
      </w:r>
    </w:p>
    <w:p w:rsidR="002305EF" w:rsidRPr="00295E71" w:rsidP="002305EF" w14:paraId="602C19D9"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simile al lupus</w:t>
      </w:r>
    </w:p>
    <w:p w:rsidR="008C5969" w:rsidP="002305EF" w14:paraId="16E88415" w14:textId="77777777">
      <w:pPr>
        <w:numPr>
          <w:ilvl w:val="0"/>
          <w:numId w:val="14"/>
        </w:numPr>
        <w:tabs>
          <w:tab w:val="num" w:pos="540"/>
          <w:tab w:val="left" w:pos="567"/>
          <w:tab w:val="left" w:pos="993"/>
        </w:tabs>
        <w:ind w:left="567" w:hanging="567"/>
        <w:jc w:val="both"/>
        <w:rPr>
          <w:sz w:val="22"/>
          <w:szCs w:val="22"/>
        </w:rPr>
      </w:pPr>
      <w:r w:rsidRPr="00295E71">
        <w:rPr>
          <w:sz w:val="22"/>
          <w:szCs w:val="22"/>
        </w:rPr>
        <w:t>angioedema (gonfiore localizzato della pelle)</w:t>
      </w:r>
    </w:p>
    <w:p w:rsidR="00433056" w:rsidRPr="00933BA1" w:rsidP="002305EF" w14:paraId="711FE2D5" w14:textId="77777777">
      <w:pPr>
        <w:numPr>
          <w:ilvl w:val="0"/>
          <w:numId w:val="14"/>
        </w:numPr>
        <w:tabs>
          <w:tab w:val="num" w:pos="540"/>
          <w:tab w:val="left" w:pos="567"/>
          <w:tab w:val="left" w:pos="993"/>
        </w:tabs>
        <w:ind w:left="567" w:hanging="567"/>
        <w:jc w:val="both"/>
        <w:rPr>
          <w:sz w:val="22"/>
          <w:szCs w:val="22"/>
        </w:rPr>
      </w:pPr>
      <w:r w:rsidRPr="0020624D">
        <w:rPr>
          <w:sz w:val="22"/>
          <w:szCs w:val="22"/>
        </w:rPr>
        <w:t>reazione cutanea lichenoide (</w:t>
      </w:r>
      <w:r w:rsidRPr="0020624D" w:rsidR="00514E08">
        <w:rPr>
          <w:sz w:val="22"/>
          <w:szCs w:val="22"/>
        </w:rPr>
        <w:t>eruzione</w:t>
      </w:r>
      <w:r w:rsidRPr="0020624D">
        <w:rPr>
          <w:sz w:val="22"/>
          <w:szCs w:val="22"/>
        </w:rPr>
        <w:t xml:space="preserve"> cutane</w:t>
      </w:r>
      <w:r w:rsidRPr="0020624D" w:rsidR="00514E08">
        <w:rPr>
          <w:sz w:val="22"/>
          <w:szCs w:val="22"/>
        </w:rPr>
        <w:t>a</w:t>
      </w:r>
      <w:r w:rsidRPr="0020624D" w:rsidR="000F3DEF">
        <w:rPr>
          <w:sz w:val="22"/>
          <w:szCs w:val="22"/>
        </w:rPr>
        <w:t xml:space="preserve"> </w:t>
      </w:r>
      <w:r w:rsidRPr="0020624D">
        <w:rPr>
          <w:sz w:val="22"/>
          <w:szCs w:val="22"/>
        </w:rPr>
        <w:t>ross</w:t>
      </w:r>
      <w:r w:rsidRPr="0020624D" w:rsidR="00514E08">
        <w:rPr>
          <w:sz w:val="22"/>
          <w:szCs w:val="22"/>
        </w:rPr>
        <w:t>o</w:t>
      </w:r>
      <w:r w:rsidRPr="0020624D">
        <w:rPr>
          <w:sz w:val="22"/>
          <w:szCs w:val="22"/>
        </w:rPr>
        <w:t>-viola</w:t>
      </w:r>
      <w:r w:rsidRPr="0020624D" w:rsidR="00514E08">
        <w:rPr>
          <w:sz w:val="22"/>
          <w:szCs w:val="22"/>
        </w:rPr>
        <w:t>cea</w:t>
      </w:r>
      <w:r w:rsidRPr="0020624D" w:rsidR="000F3DEF">
        <w:rPr>
          <w:sz w:val="22"/>
          <w:szCs w:val="22"/>
        </w:rPr>
        <w:t xml:space="preserve"> pruriginos</w:t>
      </w:r>
      <w:r w:rsidRPr="0020624D" w:rsidR="00514E08">
        <w:rPr>
          <w:sz w:val="22"/>
          <w:szCs w:val="22"/>
        </w:rPr>
        <w:t>a</w:t>
      </w:r>
      <w:r w:rsidRPr="0020624D" w:rsidR="000F3DEF">
        <w:rPr>
          <w:sz w:val="22"/>
          <w:szCs w:val="22"/>
        </w:rPr>
        <w:t>)</w:t>
      </w:r>
    </w:p>
    <w:p w:rsidR="002305EF" w:rsidRPr="00295E71" w:rsidP="002305EF" w14:paraId="6F4DF0F9" w14:textId="77777777">
      <w:pPr>
        <w:tabs>
          <w:tab w:val="left" w:pos="567"/>
          <w:tab w:val="left" w:pos="993"/>
        </w:tabs>
        <w:jc w:val="both"/>
        <w:rPr>
          <w:sz w:val="22"/>
          <w:szCs w:val="22"/>
        </w:rPr>
      </w:pPr>
    </w:p>
    <w:p w:rsidR="002305EF" w:rsidRPr="00295E71" w:rsidP="002305EF" w14:paraId="1C227A5E" w14:textId="77777777">
      <w:pPr>
        <w:pStyle w:val="EMEAFigureTitle"/>
        <w:tabs>
          <w:tab w:val="left" w:pos="993"/>
        </w:tabs>
        <w:suppressAutoHyphens w:val="0"/>
        <w:jc w:val="both"/>
        <w:rPr>
          <w:lang w:val="it-IT" w:eastAsia="it-IT"/>
        </w:rPr>
      </w:pPr>
      <w:r w:rsidRPr="00295E71">
        <w:rPr>
          <w:b/>
          <w:lang w:val="it-IT" w:eastAsia="it-IT"/>
        </w:rPr>
        <w:t>Non nota</w:t>
      </w:r>
      <w:r w:rsidRPr="00295E71">
        <w:rPr>
          <w:lang w:val="it-IT" w:eastAsia="it-IT"/>
        </w:rPr>
        <w:t xml:space="preserve"> (la frequenza non può essere definita sulla base dei dati disponibili)</w:t>
      </w:r>
    </w:p>
    <w:p w:rsidR="002305EF" w:rsidRPr="00295E71" w:rsidP="002305EF" w14:paraId="71BD3001" w14:textId="77777777">
      <w:pPr>
        <w:pStyle w:val="EMEAFigureTitle"/>
        <w:tabs>
          <w:tab w:val="left" w:pos="993"/>
        </w:tabs>
        <w:suppressAutoHyphens w:val="0"/>
        <w:jc w:val="both"/>
        <w:rPr>
          <w:lang w:val="it-IT" w:eastAsia="it-IT"/>
        </w:rPr>
      </w:pPr>
    </w:p>
    <w:p w:rsidR="002305EF" w:rsidRPr="00295E71" w:rsidP="002305EF" w14:paraId="01E777A0" w14:textId="77777777">
      <w:pPr>
        <w:numPr>
          <w:ilvl w:val="0"/>
          <w:numId w:val="14"/>
        </w:numPr>
        <w:tabs>
          <w:tab w:val="num" w:pos="540"/>
          <w:tab w:val="left" w:pos="567"/>
          <w:tab w:val="left" w:pos="993"/>
        </w:tabs>
        <w:ind w:left="567" w:hanging="567"/>
        <w:jc w:val="both"/>
        <w:rPr>
          <w:sz w:val="22"/>
          <w:szCs w:val="22"/>
        </w:rPr>
      </w:pPr>
      <w:r w:rsidRPr="00295E71">
        <w:rPr>
          <w:sz w:val="22"/>
          <w:szCs w:val="22"/>
        </w:rPr>
        <w:t>linfoma epato-splenico a cellule T (un raro tumore del sa</w:t>
      </w:r>
      <w:r w:rsidRPr="00295E71" w:rsidR="002E6FD5">
        <w:rPr>
          <w:sz w:val="22"/>
          <w:szCs w:val="22"/>
        </w:rPr>
        <w:t>ngue che spesso risulta fatale)</w:t>
      </w:r>
    </w:p>
    <w:p w:rsidR="003E6A38" w:rsidP="003E6A38" w14:paraId="27E4DFE9"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carcinoma a cellule di Merkel </w:t>
      </w:r>
      <w:r w:rsidRPr="00295E71" w:rsidR="002E6FD5">
        <w:rPr>
          <w:sz w:val="22"/>
          <w:szCs w:val="22"/>
        </w:rPr>
        <w:t>(un tipo di cancro della pelle)</w:t>
      </w:r>
    </w:p>
    <w:p w:rsidR="000B3DBE" w:rsidRPr="00985ADA" w:rsidP="00985ADA" w14:paraId="126EBCA0" w14:textId="77777777">
      <w:pPr>
        <w:numPr>
          <w:ilvl w:val="0"/>
          <w:numId w:val="14"/>
        </w:numPr>
        <w:tabs>
          <w:tab w:val="num" w:pos="540"/>
          <w:tab w:val="left" w:pos="567"/>
          <w:tab w:val="left" w:pos="993"/>
        </w:tabs>
        <w:ind w:left="567" w:hanging="567"/>
        <w:jc w:val="both"/>
        <w:rPr>
          <w:sz w:val="22"/>
          <w:szCs w:val="22"/>
        </w:rPr>
      </w:pPr>
      <w:r w:rsidRPr="00985ADA">
        <w:rPr>
          <w:sz w:val="22"/>
          <w:szCs w:val="22"/>
        </w:rPr>
        <w:t>sarcoma di Kaposi, una forma rara di cancro correlato a infezione da Herpes virus umano 8.</w:t>
      </w:r>
      <w:r w:rsidR="003E6A38">
        <w:rPr>
          <w:sz w:val="22"/>
          <w:szCs w:val="22"/>
        </w:rPr>
        <w:t xml:space="preserve"> </w:t>
      </w:r>
      <w:r w:rsidRPr="00985ADA">
        <w:rPr>
          <w:sz w:val="22"/>
          <w:szCs w:val="22"/>
        </w:rPr>
        <w:t>Il</w:t>
      </w:r>
      <w:r w:rsidR="003E6A38">
        <w:rPr>
          <w:sz w:val="22"/>
          <w:szCs w:val="22"/>
        </w:rPr>
        <w:t xml:space="preserve"> </w:t>
      </w:r>
      <w:r w:rsidRPr="00985ADA">
        <w:rPr>
          <w:sz w:val="22"/>
          <w:szCs w:val="22"/>
        </w:rPr>
        <w:t>sarcoma di Kaposi si manifesta più comunemente con lesioni viola sulla pelle</w:t>
      </w:r>
    </w:p>
    <w:p w:rsidR="002305EF" w:rsidRPr="00295E71" w:rsidP="002305EF" w14:paraId="3D46FB79" w14:textId="77777777">
      <w:pPr>
        <w:numPr>
          <w:ilvl w:val="0"/>
          <w:numId w:val="14"/>
        </w:numPr>
        <w:tabs>
          <w:tab w:val="num" w:pos="540"/>
          <w:tab w:val="left" w:pos="567"/>
          <w:tab w:val="left" w:pos="993"/>
        </w:tabs>
        <w:ind w:left="567" w:hanging="567"/>
        <w:jc w:val="both"/>
        <w:rPr>
          <w:sz w:val="22"/>
          <w:szCs w:val="22"/>
        </w:rPr>
      </w:pPr>
      <w:r w:rsidRPr="00295E71">
        <w:rPr>
          <w:sz w:val="22"/>
          <w:szCs w:val="22"/>
        </w:rPr>
        <w:t>insufficienza epatica</w:t>
      </w:r>
    </w:p>
    <w:p w:rsidR="002305EF" w:rsidP="002305EF" w14:paraId="672A3762" w14:textId="77777777">
      <w:pPr>
        <w:numPr>
          <w:ilvl w:val="0"/>
          <w:numId w:val="14"/>
        </w:numPr>
        <w:tabs>
          <w:tab w:val="num" w:pos="540"/>
          <w:tab w:val="left" w:pos="567"/>
          <w:tab w:val="left" w:pos="993"/>
        </w:tabs>
        <w:ind w:left="567" w:hanging="567"/>
        <w:jc w:val="both"/>
        <w:rPr>
          <w:sz w:val="22"/>
          <w:szCs w:val="22"/>
        </w:rPr>
      </w:pPr>
      <w:r w:rsidRPr="00295E71">
        <w:rPr>
          <w:sz w:val="22"/>
          <w:szCs w:val="22"/>
        </w:rPr>
        <w:t>peggioramento di una condizione chiamata dermatomiosite (che si manifesta come eruzione cutanea accompagnata da debolezza</w:t>
      </w:r>
      <w:r w:rsidRPr="00295E71" w:rsidR="002E6FD5">
        <w:rPr>
          <w:sz w:val="22"/>
          <w:szCs w:val="22"/>
        </w:rPr>
        <w:t xml:space="preserve"> muscolare)</w:t>
      </w:r>
    </w:p>
    <w:p w:rsidR="00822954" w:rsidRPr="00295E71" w:rsidP="002305EF" w14:paraId="599B900E" w14:textId="77777777">
      <w:pPr>
        <w:numPr>
          <w:ilvl w:val="0"/>
          <w:numId w:val="14"/>
        </w:numPr>
        <w:tabs>
          <w:tab w:val="num" w:pos="540"/>
          <w:tab w:val="left" w:pos="567"/>
          <w:tab w:val="left" w:pos="993"/>
        </w:tabs>
        <w:ind w:left="567" w:hanging="567"/>
        <w:jc w:val="both"/>
        <w:rPr>
          <w:sz w:val="22"/>
          <w:szCs w:val="22"/>
        </w:rPr>
      </w:pPr>
      <w:r w:rsidRPr="00822954">
        <w:rPr>
          <w:sz w:val="22"/>
          <w:szCs w:val="22"/>
        </w:rPr>
        <w:t>Aumento di peso (per la maggior parte dei pazienti l’aumento di peso è stato basso)</w:t>
      </w:r>
    </w:p>
    <w:p w:rsidR="002305EF" w:rsidRPr="00295E71" w:rsidP="002305EF" w14:paraId="3FF240AD" w14:textId="77777777">
      <w:pPr>
        <w:tabs>
          <w:tab w:val="left" w:pos="567"/>
          <w:tab w:val="left" w:pos="993"/>
        </w:tabs>
        <w:ind w:left="567"/>
        <w:jc w:val="both"/>
        <w:rPr>
          <w:sz w:val="22"/>
          <w:szCs w:val="22"/>
        </w:rPr>
      </w:pPr>
    </w:p>
    <w:p w:rsidR="002305EF" w:rsidRPr="00295E71" w:rsidP="00DA5FB6" w14:paraId="4BA813A6" w14:textId="77777777">
      <w:pPr>
        <w:pStyle w:val="EMEAFigureTitle"/>
        <w:tabs>
          <w:tab w:val="left" w:pos="993"/>
        </w:tabs>
        <w:suppressAutoHyphens w:val="0"/>
        <w:jc w:val="both"/>
        <w:rPr>
          <w:lang w:val="it-IT"/>
        </w:rPr>
      </w:pPr>
      <w:r w:rsidRPr="00295E71">
        <w:rPr>
          <w:lang w:val="it-IT" w:eastAsia="it-IT"/>
        </w:rPr>
        <w:t>Alcuni degli effetti osservati con Humira possono essere</w:t>
      </w:r>
      <w:r w:rsidRPr="00295E71" w:rsidR="00AF057E">
        <w:rPr>
          <w:lang w:val="it-IT" w:eastAsia="it-IT"/>
        </w:rPr>
        <w:t xml:space="preserve"> </w:t>
      </w:r>
      <w:r w:rsidRPr="00295E71">
        <w:rPr>
          <w:lang w:val="it-IT" w:eastAsia="it-IT"/>
        </w:rPr>
        <w:t>asintomatici e possono essere individuati solo attraverso gli esami del sangue.</w:t>
      </w:r>
      <w:r w:rsidRPr="00295E71" w:rsidR="00AF057E">
        <w:rPr>
          <w:lang w:val="it-IT" w:eastAsia="it-IT"/>
        </w:rPr>
        <w:t xml:space="preserve"> </w:t>
      </w:r>
      <w:r w:rsidRPr="00295E71">
        <w:rPr>
          <w:lang w:val="it-IT"/>
        </w:rPr>
        <w:t>Questi includono:</w:t>
      </w:r>
    </w:p>
    <w:p w:rsidR="002305EF" w:rsidRPr="00295E71" w:rsidP="002305EF" w14:paraId="0A06A93D" w14:textId="77777777">
      <w:pPr>
        <w:tabs>
          <w:tab w:val="left" w:pos="567"/>
          <w:tab w:val="left" w:pos="993"/>
        </w:tabs>
        <w:jc w:val="both"/>
        <w:rPr>
          <w:sz w:val="22"/>
          <w:szCs w:val="22"/>
        </w:rPr>
      </w:pPr>
    </w:p>
    <w:p w:rsidR="002305EF" w:rsidRPr="00295E71" w:rsidP="002305EF" w14:paraId="3C974C26" w14:textId="77777777">
      <w:pPr>
        <w:tabs>
          <w:tab w:val="left" w:pos="567"/>
          <w:tab w:val="left" w:pos="993"/>
        </w:tabs>
        <w:jc w:val="both"/>
        <w:rPr>
          <w:sz w:val="22"/>
          <w:szCs w:val="22"/>
        </w:rPr>
      </w:pPr>
      <w:r w:rsidRPr="00295E71">
        <w:rPr>
          <w:b/>
          <w:sz w:val="22"/>
          <w:szCs w:val="22"/>
        </w:rPr>
        <w:t>Molto comuni</w:t>
      </w:r>
      <w:r w:rsidRPr="00295E71">
        <w:rPr>
          <w:sz w:val="22"/>
          <w:szCs w:val="22"/>
        </w:rPr>
        <w:t xml:space="preserve"> (possono manifestarsi in più di 1 persona su 10)</w:t>
      </w:r>
    </w:p>
    <w:p w:rsidR="002305EF" w:rsidRPr="00295E71" w:rsidP="002305EF" w14:paraId="1351101F" w14:textId="77777777">
      <w:pPr>
        <w:tabs>
          <w:tab w:val="left" w:pos="567"/>
          <w:tab w:val="left" w:pos="993"/>
        </w:tabs>
        <w:jc w:val="both"/>
        <w:rPr>
          <w:sz w:val="22"/>
          <w:szCs w:val="22"/>
        </w:rPr>
      </w:pPr>
    </w:p>
    <w:p w:rsidR="002305EF" w:rsidRPr="00295E71" w:rsidP="002305EF" w14:paraId="27E41F39"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bassa conta </w:t>
      </w:r>
      <w:r w:rsidRPr="00295E71" w:rsidR="002E6FD5">
        <w:rPr>
          <w:sz w:val="22"/>
          <w:szCs w:val="22"/>
        </w:rPr>
        <w:t>dei globuli bianchi</w:t>
      </w:r>
    </w:p>
    <w:p w:rsidR="002305EF" w:rsidRPr="00295E71" w:rsidP="002305EF" w14:paraId="758E9CC1" w14:textId="77777777">
      <w:pPr>
        <w:numPr>
          <w:ilvl w:val="0"/>
          <w:numId w:val="14"/>
        </w:numPr>
        <w:tabs>
          <w:tab w:val="num" w:pos="540"/>
          <w:tab w:val="left" w:pos="567"/>
          <w:tab w:val="left" w:pos="993"/>
        </w:tabs>
        <w:ind w:left="567" w:hanging="567"/>
        <w:jc w:val="both"/>
        <w:rPr>
          <w:sz w:val="22"/>
          <w:szCs w:val="22"/>
        </w:rPr>
      </w:pPr>
      <w:r w:rsidRPr="00295E71">
        <w:rPr>
          <w:sz w:val="22"/>
          <w:szCs w:val="22"/>
        </w:rPr>
        <w:t>bassa conta dei globuli rossi</w:t>
      </w:r>
    </w:p>
    <w:p w:rsidR="002305EF" w:rsidRPr="00295E71" w:rsidP="002305EF" w14:paraId="7B208A27"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dei lipidi nel sangue</w:t>
      </w:r>
    </w:p>
    <w:p w:rsidR="002305EF" w:rsidRPr="00295E71" w:rsidP="002305EF" w14:paraId="2A60E5B1"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degli enzimi epatici</w:t>
      </w:r>
    </w:p>
    <w:p w:rsidR="002305EF" w:rsidRPr="00295E71" w:rsidP="002305EF" w14:paraId="625883F3" w14:textId="77777777">
      <w:pPr>
        <w:tabs>
          <w:tab w:val="left" w:pos="567"/>
          <w:tab w:val="left" w:pos="993"/>
        </w:tabs>
        <w:jc w:val="both"/>
        <w:rPr>
          <w:sz w:val="22"/>
          <w:szCs w:val="22"/>
        </w:rPr>
      </w:pPr>
    </w:p>
    <w:p w:rsidR="002305EF" w:rsidRPr="00295E71" w:rsidP="002305EF" w14:paraId="78CAFA82" w14:textId="77777777">
      <w:pPr>
        <w:pStyle w:val="EMEAFigureTitle"/>
        <w:tabs>
          <w:tab w:val="left" w:pos="993"/>
        </w:tabs>
        <w:suppressAutoHyphens w:val="0"/>
        <w:jc w:val="both"/>
        <w:rPr>
          <w:lang w:val="it-IT" w:eastAsia="it-IT"/>
        </w:rPr>
      </w:pPr>
      <w:r w:rsidRPr="00295E71">
        <w:rPr>
          <w:b/>
          <w:lang w:val="it-IT" w:eastAsia="it-IT"/>
        </w:rPr>
        <w:t xml:space="preserve">Comuni </w:t>
      </w:r>
      <w:r w:rsidRPr="00295E71">
        <w:rPr>
          <w:lang w:val="it-IT" w:eastAsia="it-IT"/>
        </w:rPr>
        <w:t>(possono manifestarsi fino a 1 persona su 10)</w:t>
      </w:r>
    </w:p>
    <w:p w:rsidR="002305EF" w:rsidRPr="00295E71" w:rsidP="002305EF" w14:paraId="1DF94963" w14:textId="77777777">
      <w:pPr>
        <w:pStyle w:val="EMEANormal"/>
        <w:jc w:val="both"/>
        <w:rPr>
          <w:lang w:val="it-IT" w:eastAsia="it-IT"/>
        </w:rPr>
      </w:pPr>
    </w:p>
    <w:p w:rsidR="002305EF" w:rsidRPr="00295E71" w:rsidP="002305EF" w14:paraId="7F810DB0"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aumento </w:t>
      </w:r>
      <w:r w:rsidRPr="00295E71" w:rsidR="002E6FD5">
        <w:rPr>
          <w:sz w:val="22"/>
          <w:szCs w:val="22"/>
        </w:rPr>
        <w:t>della conta dei globuli bianchi</w:t>
      </w:r>
    </w:p>
    <w:p w:rsidR="002305EF" w:rsidRPr="00295E71" w:rsidP="002305EF" w14:paraId="14F71805"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w:t>
      </w:r>
      <w:r w:rsidRPr="00295E71" w:rsidR="002E6FD5">
        <w:rPr>
          <w:sz w:val="22"/>
          <w:szCs w:val="22"/>
        </w:rPr>
        <w:t>one della conta delle piastrine</w:t>
      </w:r>
    </w:p>
    <w:p w:rsidR="002305EF" w:rsidRPr="00295E71" w:rsidP="002305EF" w14:paraId="66612DB0"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aumento </w:t>
      </w:r>
      <w:r w:rsidRPr="00295E71" w:rsidR="002E6FD5">
        <w:rPr>
          <w:sz w:val="22"/>
          <w:szCs w:val="22"/>
        </w:rPr>
        <w:t>dell’acido urico nel sangue</w:t>
      </w:r>
    </w:p>
    <w:p w:rsidR="002305EF" w:rsidRPr="00295E71" w:rsidP="002305EF" w14:paraId="3922A9C8" w14:textId="77777777">
      <w:pPr>
        <w:numPr>
          <w:ilvl w:val="0"/>
          <w:numId w:val="14"/>
        </w:numPr>
        <w:tabs>
          <w:tab w:val="num" w:pos="540"/>
          <w:tab w:val="left" w:pos="567"/>
          <w:tab w:val="left" w:pos="993"/>
        </w:tabs>
        <w:ind w:left="567" w:hanging="567"/>
        <w:jc w:val="both"/>
        <w:rPr>
          <w:sz w:val="22"/>
          <w:szCs w:val="22"/>
        </w:rPr>
      </w:pPr>
      <w:r w:rsidRPr="00295E71">
        <w:rPr>
          <w:sz w:val="22"/>
          <w:szCs w:val="22"/>
        </w:rPr>
        <w:t>a</w:t>
      </w:r>
      <w:r w:rsidRPr="00295E71" w:rsidR="002E6FD5">
        <w:rPr>
          <w:sz w:val="22"/>
          <w:szCs w:val="22"/>
        </w:rPr>
        <w:t>lterazione del sodio nel sangue</w:t>
      </w:r>
    </w:p>
    <w:p w:rsidR="002305EF" w:rsidRPr="00295E71" w:rsidP="002305EF" w14:paraId="01D82644"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calcio nel sangue</w:t>
      </w:r>
    </w:p>
    <w:p w:rsidR="002305EF" w:rsidRPr="00295E71" w:rsidP="002305EF" w14:paraId="5C40B28D" w14:textId="77777777">
      <w:pPr>
        <w:numPr>
          <w:ilvl w:val="0"/>
          <w:numId w:val="14"/>
        </w:numPr>
        <w:tabs>
          <w:tab w:val="num" w:pos="540"/>
          <w:tab w:val="left" w:pos="567"/>
          <w:tab w:val="left" w:pos="993"/>
        </w:tabs>
        <w:ind w:left="567" w:hanging="567"/>
        <w:jc w:val="both"/>
        <w:rPr>
          <w:sz w:val="22"/>
          <w:szCs w:val="22"/>
        </w:rPr>
      </w:pPr>
      <w:r w:rsidRPr="00295E71">
        <w:rPr>
          <w:sz w:val="22"/>
          <w:szCs w:val="22"/>
        </w:rPr>
        <w:t>r</w:t>
      </w:r>
      <w:r w:rsidRPr="00295E71" w:rsidR="002E6FD5">
        <w:rPr>
          <w:sz w:val="22"/>
          <w:szCs w:val="22"/>
        </w:rPr>
        <w:t>iduzione del fosforo nel sangue</w:t>
      </w:r>
    </w:p>
    <w:p w:rsidR="002305EF" w:rsidRPr="00295E71" w:rsidP="002305EF" w14:paraId="390EBFBD" w14:textId="77777777">
      <w:pPr>
        <w:numPr>
          <w:ilvl w:val="0"/>
          <w:numId w:val="14"/>
        </w:numPr>
        <w:tabs>
          <w:tab w:val="num" w:pos="540"/>
          <w:tab w:val="left" w:pos="567"/>
          <w:tab w:val="left" w:pos="993"/>
        </w:tabs>
        <w:ind w:left="567" w:hanging="567"/>
        <w:jc w:val="both"/>
        <w:rPr>
          <w:sz w:val="22"/>
          <w:szCs w:val="22"/>
        </w:rPr>
      </w:pPr>
      <w:r w:rsidRPr="00295E71">
        <w:rPr>
          <w:sz w:val="22"/>
          <w:szCs w:val="22"/>
        </w:rPr>
        <w:t>a</w:t>
      </w:r>
      <w:r w:rsidRPr="00295E71" w:rsidR="002E6FD5">
        <w:rPr>
          <w:sz w:val="22"/>
          <w:szCs w:val="22"/>
        </w:rPr>
        <w:t>umento dello</w:t>
      </w:r>
      <w:r w:rsidRPr="00295E71" w:rsidR="00BD6BBD">
        <w:rPr>
          <w:sz w:val="22"/>
          <w:szCs w:val="22"/>
        </w:rPr>
        <w:t xml:space="preserve"> </w:t>
      </w:r>
      <w:r w:rsidRPr="00295E71" w:rsidR="002E6FD5">
        <w:rPr>
          <w:sz w:val="22"/>
          <w:szCs w:val="22"/>
        </w:rPr>
        <w:t>zucchero nel sangue</w:t>
      </w:r>
    </w:p>
    <w:p w:rsidR="002305EF" w:rsidRPr="00295E71" w:rsidP="002305EF" w14:paraId="05DE9174"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w:t>
      </w:r>
      <w:r w:rsidRPr="00295E71" w:rsidR="002E6FD5">
        <w:rPr>
          <w:sz w:val="22"/>
          <w:szCs w:val="22"/>
        </w:rPr>
        <w:t xml:space="preserve"> lattato</w:t>
      </w:r>
      <w:r w:rsidRPr="00295E71" w:rsidR="00BD6BBD">
        <w:rPr>
          <w:sz w:val="22"/>
          <w:szCs w:val="22"/>
        </w:rPr>
        <w:t xml:space="preserve"> </w:t>
      </w:r>
      <w:r w:rsidRPr="00295E71" w:rsidR="002E6FD5">
        <w:rPr>
          <w:sz w:val="22"/>
          <w:szCs w:val="22"/>
        </w:rPr>
        <w:t>deidrogenasi nel sangue</w:t>
      </w:r>
    </w:p>
    <w:p w:rsidR="002305EF" w:rsidRPr="00295E71" w:rsidP="002305EF" w14:paraId="467EAFCF" w14:textId="77777777">
      <w:pPr>
        <w:numPr>
          <w:ilvl w:val="0"/>
          <w:numId w:val="14"/>
        </w:numPr>
        <w:tabs>
          <w:tab w:val="num" w:pos="540"/>
          <w:tab w:val="left" w:pos="567"/>
          <w:tab w:val="left" w:pos="993"/>
        </w:tabs>
        <w:ind w:left="567" w:hanging="567"/>
        <w:jc w:val="both"/>
        <w:rPr>
          <w:sz w:val="22"/>
          <w:szCs w:val="22"/>
        </w:rPr>
      </w:pPr>
      <w:r w:rsidRPr="00295E71">
        <w:rPr>
          <w:sz w:val="22"/>
          <w:szCs w:val="22"/>
        </w:rPr>
        <w:t>prese</w:t>
      </w:r>
      <w:r w:rsidRPr="00295E71" w:rsidR="002E6FD5">
        <w:rPr>
          <w:sz w:val="22"/>
          <w:szCs w:val="22"/>
        </w:rPr>
        <w:t>nza di autoanticorpi nel sangue</w:t>
      </w:r>
    </w:p>
    <w:p w:rsidR="008C5969" w:rsidRPr="00295E71" w:rsidP="002305EF" w14:paraId="052B7989"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potassio nel sangue</w:t>
      </w:r>
    </w:p>
    <w:p w:rsidR="008C5969" w:rsidRPr="00295E71" w:rsidP="00DA5FB6" w14:paraId="6FE22E5F" w14:textId="77777777">
      <w:pPr>
        <w:tabs>
          <w:tab w:val="left" w:pos="567"/>
          <w:tab w:val="left" w:pos="993"/>
        </w:tabs>
        <w:ind w:left="567"/>
        <w:jc w:val="both"/>
        <w:rPr>
          <w:sz w:val="22"/>
          <w:szCs w:val="22"/>
        </w:rPr>
      </w:pPr>
    </w:p>
    <w:p w:rsidR="002305EF" w:rsidRPr="00295E71" w:rsidP="0019187E" w14:paraId="5319D5CA" w14:textId="77777777">
      <w:pPr>
        <w:keepNext/>
        <w:tabs>
          <w:tab w:val="left" w:pos="567"/>
          <w:tab w:val="left" w:pos="993"/>
        </w:tabs>
        <w:jc w:val="both"/>
        <w:rPr>
          <w:sz w:val="22"/>
          <w:szCs w:val="22"/>
        </w:rPr>
      </w:pPr>
      <w:r w:rsidRPr="00295E71">
        <w:rPr>
          <w:b/>
          <w:sz w:val="22"/>
          <w:szCs w:val="22"/>
        </w:rPr>
        <w:t>Non comuni</w:t>
      </w:r>
      <w:r w:rsidRPr="00295E71">
        <w:rPr>
          <w:sz w:val="22"/>
          <w:szCs w:val="22"/>
        </w:rPr>
        <w:t xml:space="preserve"> (possono manifestarsi fino a 1 persona su 100)</w:t>
      </w:r>
    </w:p>
    <w:p w:rsidR="008C5969" w:rsidRPr="00295E71" w:rsidP="0019187E" w14:paraId="212B9A26" w14:textId="77777777">
      <w:pPr>
        <w:keepNext/>
        <w:tabs>
          <w:tab w:val="left" w:pos="567"/>
          <w:tab w:val="left" w:pos="993"/>
        </w:tabs>
        <w:jc w:val="both"/>
        <w:rPr>
          <w:sz w:val="22"/>
          <w:szCs w:val="22"/>
        </w:rPr>
      </w:pPr>
    </w:p>
    <w:p w:rsidR="008C5969" w:rsidRPr="00295E71" w:rsidP="0019187E" w14:paraId="20C56FA2" w14:textId="77777777">
      <w:pPr>
        <w:pStyle w:val="ListParagraph"/>
        <w:keepNext/>
        <w:numPr>
          <w:ilvl w:val="0"/>
          <w:numId w:val="134"/>
        </w:numPr>
        <w:ind w:left="567" w:hanging="539"/>
        <w:jc w:val="both"/>
        <w:rPr>
          <w:sz w:val="22"/>
          <w:szCs w:val="22"/>
        </w:rPr>
      </w:pPr>
      <w:r w:rsidRPr="00295E71">
        <w:rPr>
          <w:sz w:val="22"/>
          <w:szCs w:val="22"/>
        </w:rPr>
        <w:t>livelli elevati di bilirubina nel sangue (esame epatico del sangue)</w:t>
      </w:r>
    </w:p>
    <w:p w:rsidR="00E47307" w:rsidRPr="00295E71" w:rsidP="002305EF" w14:paraId="51586CCC" w14:textId="77777777">
      <w:pPr>
        <w:pStyle w:val="EMEAFigureTitle"/>
        <w:tabs>
          <w:tab w:val="left" w:pos="993"/>
        </w:tabs>
        <w:suppressAutoHyphens w:val="0"/>
        <w:jc w:val="both"/>
        <w:rPr>
          <w:b/>
          <w:lang w:val="it-IT" w:eastAsia="it-IT"/>
        </w:rPr>
      </w:pPr>
    </w:p>
    <w:p w:rsidR="002305EF" w:rsidRPr="00295E71" w:rsidP="002305EF" w14:paraId="4852AADF" w14:textId="77777777">
      <w:pPr>
        <w:pStyle w:val="EMEAFigureTitle"/>
        <w:tabs>
          <w:tab w:val="left" w:pos="993"/>
        </w:tabs>
        <w:suppressAutoHyphens w:val="0"/>
        <w:jc w:val="both"/>
        <w:rPr>
          <w:lang w:val="it-IT" w:eastAsia="it-IT"/>
        </w:rPr>
      </w:pPr>
      <w:r w:rsidRPr="00295E71">
        <w:rPr>
          <w:b/>
          <w:lang w:val="it-IT" w:eastAsia="it-IT"/>
        </w:rPr>
        <w:t>Rari</w:t>
      </w:r>
      <w:r w:rsidRPr="00295E71">
        <w:rPr>
          <w:lang w:val="it-IT" w:eastAsia="it-IT"/>
        </w:rPr>
        <w:t xml:space="preserve"> (possono manifestarsi fino a 1 persona su 1.000)</w:t>
      </w:r>
    </w:p>
    <w:p w:rsidR="002305EF" w:rsidRPr="00295E71" w:rsidP="002305EF" w14:paraId="267201E8" w14:textId="77777777">
      <w:pPr>
        <w:pStyle w:val="EMEANormal"/>
        <w:jc w:val="both"/>
        <w:rPr>
          <w:lang w:val="it-IT" w:eastAsia="it-IT"/>
        </w:rPr>
      </w:pPr>
    </w:p>
    <w:p w:rsidR="002305EF" w:rsidRPr="00295E71" w:rsidP="002305EF" w14:paraId="7EBFF366"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bassa conta dei globuli bianchi, dei </w:t>
      </w:r>
      <w:r w:rsidRPr="00295E71" w:rsidR="002E6FD5">
        <w:rPr>
          <w:sz w:val="22"/>
          <w:szCs w:val="22"/>
        </w:rPr>
        <w:t>globuli rossi e delle piastrine</w:t>
      </w:r>
    </w:p>
    <w:p w:rsidR="002305EF" w:rsidRPr="00295E71" w:rsidP="002305EF" w14:paraId="24E99342" w14:textId="77777777">
      <w:pPr>
        <w:tabs>
          <w:tab w:val="left" w:pos="567"/>
          <w:tab w:val="left" w:pos="993"/>
        </w:tabs>
        <w:jc w:val="both"/>
        <w:rPr>
          <w:sz w:val="22"/>
          <w:szCs w:val="22"/>
        </w:rPr>
      </w:pPr>
    </w:p>
    <w:p w:rsidR="002305EF" w:rsidRPr="00295E71" w:rsidP="002305EF" w14:paraId="2FC3008D" w14:textId="77777777">
      <w:pPr>
        <w:numPr>
          <w:ilvl w:val="12"/>
          <w:numId w:val="0"/>
        </w:numPr>
        <w:tabs>
          <w:tab w:val="left" w:pos="567"/>
        </w:tabs>
        <w:ind w:right="-2"/>
        <w:jc w:val="both"/>
        <w:rPr>
          <w:b/>
          <w:sz w:val="22"/>
          <w:szCs w:val="22"/>
        </w:rPr>
      </w:pPr>
      <w:r w:rsidRPr="00295E71">
        <w:rPr>
          <w:b/>
          <w:sz w:val="22"/>
          <w:szCs w:val="22"/>
        </w:rPr>
        <w:t>Segnalazione degli effetti indesiderati</w:t>
      </w:r>
    </w:p>
    <w:p w:rsidR="002305EF" w:rsidRPr="00295E71" w:rsidP="002305EF" w14:paraId="66F8F630" w14:textId="77777777">
      <w:pPr>
        <w:numPr>
          <w:ilvl w:val="12"/>
          <w:numId w:val="0"/>
        </w:numPr>
        <w:tabs>
          <w:tab w:val="left" w:pos="567"/>
        </w:tabs>
        <w:ind w:right="-2"/>
        <w:jc w:val="both"/>
        <w:rPr>
          <w:sz w:val="22"/>
          <w:szCs w:val="22"/>
        </w:rPr>
      </w:pPr>
      <w:r w:rsidRPr="00295E71">
        <w:rPr>
          <w:sz w:val="22"/>
          <w:szCs w:val="22"/>
        </w:rPr>
        <w:t xml:space="preserve">Se il bambino manifesta un qualsiasi effetto indesiderato, compresi quelli non elencati in questo foglio, si rivolga al pediatra o al farmacista. Può inoltre segnalare gli effetti indesiderati direttamente tramite il </w:t>
      </w:r>
      <w:r w:rsidRPr="00295E71">
        <w:rPr>
          <w:sz w:val="22"/>
          <w:szCs w:val="22"/>
          <w:highlight w:val="lightGray"/>
        </w:rPr>
        <w:t>sistema nazionale di segnalazione riportato nell’</w:t>
      </w:r>
      <w:hyperlink r:id="rId29" w:history="1">
        <w:r w:rsidRPr="00295E71">
          <w:rPr>
            <w:rStyle w:val="Hyperlink"/>
            <w:sz w:val="22"/>
            <w:szCs w:val="22"/>
            <w:highlight w:val="lightGray"/>
          </w:rPr>
          <w:t>allegato V</w:t>
        </w:r>
      </w:hyperlink>
      <w:r w:rsidRPr="00295E71">
        <w:rPr>
          <w:sz w:val="22"/>
          <w:szCs w:val="22"/>
        </w:rPr>
        <w:t>. Segnalando gli effetti indesiderati può contribuire a fornire maggiori informazioni sulla sicurezza di questo medicinale.</w:t>
      </w:r>
    </w:p>
    <w:p w:rsidR="002305EF" w:rsidRPr="00295E71" w:rsidP="002305EF" w14:paraId="78098EE3" w14:textId="77777777">
      <w:pPr>
        <w:numPr>
          <w:ilvl w:val="12"/>
          <w:numId w:val="0"/>
        </w:numPr>
        <w:tabs>
          <w:tab w:val="left" w:pos="567"/>
        </w:tabs>
        <w:ind w:right="-2"/>
        <w:jc w:val="both"/>
        <w:rPr>
          <w:sz w:val="22"/>
          <w:szCs w:val="22"/>
        </w:rPr>
      </w:pPr>
    </w:p>
    <w:p w:rsidR="002305EF" w:rsidRPr="00295E71" w:rsidP="002305EF" w14:paraId="21BB998C" w14:textId="77777777">
      <w:pPr>
        <w:numPr>
          <w:ilvl w:val="12"/>
          <w:numId w:val="0"/>
        </w:numPr>
        <w:tabs>
          <w:tab w:val="left" w:pos="567"/>
        </w:tabs>
        <w:ind w:right="-2"/>
        <w:jc w:val="both"/>
        <w:rPr>
          <w:sz w:val="22"/>
          <w:szCs w:val="22"/>
        </w:rPr>
      </w:pPr>
    </w:p>
    <w:p w:rsidR="002305EF" w:rsidRPr="00295E71" w:rsidP="002305EF" w14:paraId="34FE45BC" w14:textId="77777777">
      <w:pPr>
        <w:rPr>
          <w:b/>
          <w:bCs/>
          <w:sz w:val="22"/>
          <w:szCs w:val="22"/>
        </w:rPr>
      </w:pPr>
      <w:r w:rsidRPr="00295E71">
        <w:rPr>
          <w:b/>
          <w:bCs/>
          <w:sz w:val="22"/>
          <w:szCs w:val="22"/>
        </w:rPr>
        <w:t>5.</w:t>
      </w:r>
      <w:r w:rsidRPr="00295E71">
        <w:rPr>
          <w:b/>
          <w:bCs/>
          <w:sz w:val="22"/>
          <w:szCs w:val="22"/>
        </w:rPr>
        <w:tab/>
        <w:t>Come conservare Humira</w:t>
      </w:r>
    </w:p>
    <w:p w:rsidR="002305EF" w:rsidRPr="00295E71" w:rsidP="002305EF" w14:paraId="19C607C7" w14:textId="77777777">
      <w:pPr>
        <w:numPr>
          <w:ilvl w:val="12"/>
          <w:numId w:val="0"/>
        </w:numPr>
        <w:tabs>
          <w:tab w:val="left" w:pos="567"/>
        </w:tabs>
        <w:ind w:right="-2"/>
        <w:jc w:val="both"/>
        <w:rPr>
          <w:sz w:val="22"/>
          <w:szCs w:val="22"/>
        </w:rPr>
      </w:pPr>
    </w:p>
    <w:p w:rsidR="002305EF" w:rsidRPr="00295E71" w:rsidP="002305EF" w14:paraId="5D2525E6" w14:textId="77777777">
      <w:pPr>
        <w:numPr>
          <w:ilvl w:val="12"/>
          <w:numId w:val="0"/>
        </w:numPr>
        <w:tabs>
          <w:tab w:val="left" w:pos="567"/>
        </w:tabs>
        <w:ind w:right="-2"/>
        <w:jc w:val="both"/>
        <w:rPr>
          <w:sz w:val="22"/>
          <w:szCs w:val="22"/>
        </w:rPr>
      </w:pPr>
      <w:r w:rsidRPr="00295E71">
        <w:rPr>
          <w:sz w:val="22"/>
          <w:szCs w:val="22"/>
        </w:rPr>
        <w:t>Conservi questo medicinale fuori dalla vista e dalla portata</w:t>
      </w:r>
      <w:r w:rsidRPr="00295E71" w:rsidR="00341923">
        <w:rPr>
          <w:sz w:val="22"/>
          <w:szCs w:val="22"/>
        </w:rPr>
        <w:t xml:space="preserve"> </w:t>
      </w:r>
      <w:r w:rsidRPr="00295E71">
        <w:rPr>
          <w:sz w:val="22"/>
          <w:szCs w:val="22"/>
        </w:rPr>
        <w:t>dei bambini.</w:t>
      </w:r>
    </w:p>
    <w:p w:rsidR="002305EF" w:rsidRPr="00295E71" w:rsidP="002305EF" w14:paraId="752BC2C4" w14:textId="77777777">
      <w:pPr>
        <w:numPr>
          <w:ilvl w:val="12"/>
          <w:numId w:val="0"/>
        </w:numPr>
        <w:tabs>
          <w:tab w:val="left" w:pos="567"/>
        </w:tabs>
        <w:ind w:right="-2"/>
        <w:jc w:val="both"/>
        <w:rPr>
          <w:sz w:val="22"/>
          <w:szCs w:val="22"/>
        </w:rPr>
      </w:pPr>
    </w:p>
    <w:p w:rsidR="002305EF" w:rsidRPr="00295E71" w:rsidP="002305EF" w14:paraId="2ADBCDB8" w14:textId="77777777">
      <w:pPr>
        <w:numPr>
          <w:ilvl w:val="12"/>
          <w:numId w:val="0"/>
        </w:numPr>
        <w:tabs>
          <w:tab w:val="left" w:pos="567"/>
        </w:tabs>
        <w:ind w:right="-2"/>
        <w:jc w:val="both"/>
        <w:rPr>
          <w:sz w:val="22"/>
          <w:szCs w:val="22"/>
        </w:rPr>
      </w:pPr>
      <w:r w:rsidRPr="00295E71">
        <w:rPr>
          <w:sz w:val="22"/>
          <w:szCs w:val="22"/>
        </w:rPr>
        <w:t xml:space="preserve">Non usi questo medicinale dopo la data di scadenza che è riportata sull’etichetta/blister/scatola dopo la scritta Scad. </w:t>
      </w:r>
    </w:p>
    <w:p w:rsidR="002305EF" w:rsidRPr="00295E71" w:rsidP="002305EF" w14:paraId="4D6FD0B4" w14:textId="77777777">
      <w:pPr>
        <w:numPr>
          <w:ilvl w:val="12"/>
          <w:numId w:val="0"/>
        </w:numPr>
        <w:tabs>
          <w:tab w:val="left" w:pos="567"/>
        </w:tabs>
        <w:ind w:right="-2"/>
        <w:jc w:val="both"/>
        <w:rPr>
          <w:sz w:val="22"/>
          <w:szCs w:val="22"/>
        </w:rPr>
      </w:pPr>
    </w:p>
    <w:p w:rsidR="002305EF" w:rsidRPr="00295E71" w:rsidP="002305EF" w14:paraId="55A66075" w14:textId="77777777">
      <w:pPr>
        <w:pStyle w:val="BodyText2"/>
        <w:jc w:val="both"/>
      </w:pPr>
      <w:r w:rsidRPr="00295E71">
        <w:t>Conservare in frigorifero (2</w:t>
      </w:r>
      <w:r w:rsidRPr="00295E71">
        <w:rPr>
          <w:rFonts w:ascii="Symbol" w:hAnsi="Symbol"/>
        </w:rPr>
        <w:sym w:font="Symbol" w:char="F0B0"/>
      </w:r>
      <w:r w:rsidRPr="00295E71">
        <w:t>C – 8</w:t>
      </w:r>
      <w:r w:rsidRPr="00295E71">
        <w:rPr>
          <w:rFonts w:ascii="Symbol" w:hAnsi="Symbol"/>
        </w:rPr>
        <w:sym w:font="Symbol" w:char="F0B0"/>
      </w:r>
      <w:r w:rsidRPr="00295E71">
        <w:t xml:space="preserve">C). Non congelare. </w:t>
      </w:r>
    </w:p>
    <w:p w:rsidR="002305EF" w:rsidRPr="00295E71" w:rsidP="002305EF" w14:paraId="6ACF44E3" w14:textId="77777777">
      <w:pPr>
        <w:pStyle w:val="BodyText2"/>
        <w:jc w:val="both"/>
      </w:pPr>
    </w:p>
    <w:p w:rsidR="002305EF" w:rsidRPr="00295E71" w:rsidP="002305EF" w14:paraId="2C92B73F" w14:textId="77777777">
      <w:pPr>
        <w:pStyle w:val="BodyText2"/>
        <w:jc w:val="both"/>
      </w:pPr>
      <w:r w:rsidRPr="00295E71">
        <w:t xml:space="preserve">Tenere </w:t>
      </w:r>
      <w:r w:rsidRPr="00295E71" w:rsidR="001E42E4">
        <w:t>la siringa pre-riempita</w:t>
      </w:r>
      <w:r w:rsidRPr="00295E71">
        <w:t xml:space="preserve"> nell’imballaggio esterno per proteggere il medicinale dalla luce.</w:t>
      </w:r>
    </w:p>
    <w:p w:rsidR="002305EF" w:rsidRPr="00295E71" w:rsidP="002305EF" w14:paraId="138CAC41" w14:textId="77777777">
      <w:pPr>
        <w:numPr>
          <w:ilvl w:val="12"/>
          <w:numId w:val="0"/>
        </w:numPr>
        <w:tabs>
          <w:tab w:val="left" w:pos="567"/>
        </w:tabs>
        <w:ind w:right="-2"/>
        <w:jc w:val="both"/>
        <w:rPr>
          <w:sz w:val="22"/>
          <w:szCs w:val="22"/>
        </w:rPr>
      </w:pPr>
    </w:p>
    <w:p w:rsidR="00FA4CC8" w:rsidRPr="00295E71" w:rsidP="00FA4CC8" w14:paraId="16B8EE37" w14:textId="77777777">
      <w:pPr>
        <w:numPr>
          <w:ilvl w:val="12"/>
          <w:numId w:val="0"/>
        </w:numPr>
        <w:tabs>
          <w:tab w:val="left" w:pos="567"/>
        </w:tabs>
        <w:ind w:right="-2"/>
        <w:jc w:val="both"/>
        <w:rPr>
          <w:sz w:val="22"/>
          <w:szCs w:val="22"/>
        </w:rPr>
      </w:pPr>
      <w:r w:rsidRPr="00295E71">
        <w:rPr>
          <w:sz w:val="22"/>
          <w:szCs w:val="22"/>
        </w:rPr>
        <w:t>Condizioni di conservazione alternative:</w:t>
      </w:r>
    </w:p>
    <w:p w:rsidR="00FA4CC8" w:rsidRPr="00295E71" w:rsidP="00FA4CC8" w14:paraId="4F977B16" w14:textId="77777777">
      <w:pPr>
        <w:numPr>
          <w:ilvl w:val="12"/>
          <w:numId w:val="0"/>
        </w:numPr>
        <w:tabs>
          <w:tab w:val="left" w:pos="567"/>
        </w:tabs>
        <w:ind w:right="-2"/>
        <w:jc w:val="both"/>
        <w:rPr>
          <w:sz w:val="22"/>
          <w:szCs w:val="22"/>
        </w:rPr>
      </w:pPr>
    </w:p>
    <w:p w:rsidR="00FA4CC8" w:rsidRPr="00295E71" w:rsidP="00FA4CC8" w14:paraId="0159E34C" w14:textId="77777777">
      <w:pPr>
        <w:numPr>
          <w:ilvl w:val="12"/>
          <w:numId w:val="0"/>
        </w:numPr>
        <w:tabs>
          <w:tab w:val="left" w:pos="567"/>
        </w:tabs>
        <w:ind w:right="-2"/>
        <w:jc w:val="both"/>
        <w:rPr>
          <w:sz w:val="22"/>
          <w:szCs w:val="22"/>
        </w:rPr>
      </w:pPr>
      <w:r w:rsidRPr="00295E71">
        <w:rPr>
          <w:sz w:val="22"/>
          <w:szCs w:val="22"/>
        </w:rPr>
        <w:t xml:space="preserve">Quando necessario (per esempio quando viaggia) una singola siringa pre-riempita può essere conservata a temperatura ambiente (fino a 25°C) per un periodo massimo di 14 giorni – assicurarsi di proteggere il medicinale dalla luce. Una volta che viene rimossa dal frigorifero per essere conservata a temperatura ambiente, la siringa </w:t>
      </w:r>
      <w:r w:rsidRPr="00295E71">
        <w:rPr>
          <w:b/>
          <w:sz w:val="22"/>
          <w:szCs w:val="22"/>
        </w:rPr>
        <w:t>deve essere usata entro 14 giorni o buttata via</w:t>
      </w:r>
      <w:r w:rsidRPr="00295E71">
        <w:rPr>
          <w:sz w:val="22"/>
          <w:szCs w:val="22"/>
        </w:rPr>
        <w:t>, anche se viene posta di nuovo nel frigorifero.</w:t>
      </w:r>
    </w:p>
    <w:p w:rsidR="00FA4CC8" w:rsidRPr="00295E71" w:rsidP="00FA4CC8" w14:paraId="70718817" w14:textId="77777777">
      <w:pPr>
        <w:numPr>
          <w:ilvl w:val="12"/>
          <w:numId w:val="0"/>
        </w:numPr>
        <w:tabs>
          <w:tab w:val="left" w:pos="567"/>
        </w:tabs>
        <w:ind w:right="-2"/>
        <w:jc w:val="both"/>
        <w:rPr>
          <w:sz w:val="22"/>
          <w:szCs w:val="22"/>
        </w:rPr>
      </w:pPr>
    </w:p>
    <w:p w:rsidR="00FA4CC8" w:rsidRPr="00295E71" w:rsidP="00FA4CC8" w14:paraId="4E7EBE03" w14:textId="77777777">
      <w:pPr>
        <w:numPr>
          <w:ilvl w:val="12"/>
          <w:numId w:val="0"/>
        </w:numPr>
        <w:tabs>
          <w:tab w:val="left" w:pos="567"/>
        </w:tabs>
        <w:ind w:right="-2"/>
        <w:jc w:val="both"/>
        <w:rPr>
          <w:sz w:val="22"/>
          <w:szCs w:val="22"/>
        </w:rPr>
      </w:pPr>
      <w:r w:rsidRPr="00295E71">
        <w:rPr>
          <w:sz w:val="22"/>
          <w:szCs w:val="22"/>
        </w:rPr>
        <w:t xml:space="preserve">Deve registrare la data in cui la siringa viene tolta dal frigorifero la prima volta e la data dopo la quale la siringa deve essere buttata via. </w:t>
      </w:r>
    </w:p>
    <w:p w:rsidR="00FA4CC8" w:rsidRPr="00295E71" w:rsidP="00FA4CC8" w14:paraId="6F4C4E6E" w14:textId="77777777">
      <w:pPr>
        <w:numPr>
          <w:ilvl w:val="12"/>
          <w:numId w:val="0"/>
        </w:numPr>
        <w:tabs>
          <w:tab w:val="left" w:pos="567"/>
        </w:tabs>
        <w:ind w:right="-2"/>
        <w:jc w:val="both"/>
        <w:rPr>
          <w:sz w:val="22"/>
          <w:szCs w:val="22"/>
        </w:rPr>
      </w:pPr>
    </w:p>
    <w:p w:rsidR="002305EF" w:rsidRPr="00295E71" w:rsidP="00FA4CC8" w14:paraId="5D69CDE4" w14:textId="77777777">
      <w:pPr>
        <w:numPr>
          <w:ilvl w:val="12"/>
          <w:numId w:val="0"/>
        </w:numPr>
        <w:tabs>
          <w:tab w:val="left" w:pos="567"/>
        </w:tabs>
        <w:ind w:right="-2"/>
        <w:jc w:val="both"/>
        <w:rPr>
          <w:sz w:val="22"/>
          <w:szCs w:val="22"/>
        </w:rPr>
      </w:pPr>
      <w:r w:rsidRPr="00295E71">
        <w:rPr>
          <w:sz w:val="22"/>
          <w:szCs w:val="22"/>
        </w:rPr>
        <w:t>Non getti alcun medicinale nell’acqua di scarico e nei rifiuti domestici. Chieda al medico o al farmacista come eliminare i medicinali che non utilizza più. Questo aiuterà a proteggere l’ambiente.</w:t>
      </w:r>
    </w:p>
    <w:p w:rsidR="002305EF" w:rsidRPr="00295E71" w:rsidP="002305EF" w14:paraId="3F0C8E74" w14:textId="77777777">
      <w:pPr>
        <w:numPr>
          <w:ilvl w:val="12"/>
          <w:numId w:val="0"/>
        </w:numPr>
        <w:tabs>
          <w:tab w:val="left" w:pos="567"/>
        </w:tabs>
        <w:ind w:left="567" w:right="-2" w:hanging="567"/>
        <w:jc w:val="both"/>
        <w:rPr>
          <w:sz w:val="22"/>
          <w:szCs w:val="22"/>
        </w:rPr>
      </w:pPr>
    </w:p>
    <w:p w:rsidR="002305EF" w:rsidRPr="00295E71" w:rsidP="002305EF" w14:paraId="5FC1BDD3" w14:textId="77777777">
      <w:pPr>
        <w:numPr>
          <w:ilvl w:val="12"/>
          <w:numId w:val="0"/>
        </w:numPr>
        <w:tabs>
          <w:tab w:val="left" w:pos="567"/>
        </w:tabs>
        <w:ind w:left="567" w:right="-2" w:hanging="567"/>
        <w:jc w:val="both"/>
        <w:rPr>
          <w:sz w:val="22"/>
          <w:szCs w:val="22"/>
        </w:rPr>
      </w:pPr>
    </w:p>
    <w:p w:rsidR="002305EF" w:rsidRPr="00295E71" w:rsidP="00096C43" w14:paraId="269C1EA5" w14:textId="77777777">
      <w:pPr>
        <w:keepNext/>
        <w:keepLines/>
        <w:numPr>
          <w:ilvl w:val="12"/>
          <w:numId w:val="0"/>
        </w:numPr>
        <w:tabs>
          <w:tab w:val="left" w:pos="567"/>
        </w:tabs>
        <w:ind w:left="567" w:hanging="567"/>
        <w:jc w:val="both"/>
        <w:rPr>
          <w:b/>
          <w:bCs/>
          <w:sz w:val="22"/>
          <w:szCs w:val="22"/>
        </w:rPr>
      </w:pPr>
      <w:r w:rsidRPr="00295E71">
        <w:rPr>
          <w:b/>
          <w:bCs/>
          <w:sz w:val="22"/>
          <w:szCs w:val="22"/>
        </w:rPr>
        <w:t>6.</w:t>
      </w:r>
      <w:r w:rsidRPr="00295E71">
        <w:rPr>
          <w:b/>
          <w:bCs/>
          <w:sz w:val="22"/>
          <w:szCs w:val="22"/>
        </w:rPr>
        <w:tab/>
        <w:t>Contenuto della confezione e altre informazioni</w:t>
      </w:r>
    </w:p>
    <w:p w:rsidR="002305EF" w:rsidRPr="00295E71" w:rsidP="00096C43" w14:paraId="4E50755C" w14:textId="77777777">
      <w:pPr>
        <w:keepNext/>
        <w:keepLines/>
        <w:numPr>
          <w:ilvl w:val="12"/>
          <w:numId w:val="0"/>
        </w:numPr>
        <w:tabs>
          <w:tab w:val="left" w:pos="567"/>
        </w:tabs>
        <w:jc w:val="both"/>
        <w:rPr>
          <w:sz w:val="22"/>
          <w:szCs w:val="22"/>
        </w:rPr>
      </w:pPr>
    </w:p>
    <w:p w:rsidR="002305EF" w:rsidRPr="00295E71" w:rsidP="00096C43" w14:paraId="7FB326F4" w14:textId="77777777">
      <w:pPr>
        <w:pStyle w:val="Heading8"/>
        <w:keepLines/>
        <w:tabs>
          <w:tab w:val="left" w:pos="567"/>
        </w:tabs>
        <w:ind w:right="0"/>
        <w:jc w:val="both"/>
      </w:pPr>
      <w:r w:rsidRPr="00295E71">
        <w:t>Cosa contiene Humira</w:t>
      </w:r>
    </w:p>
    <w:p w:rsidR="00FA4CC8" w:rsidRPr="00295E71" w:rsidP="00096C43" w14:paraId="16EA6B5C" w14:textId="77777777">
      <w:pPr>
        <w:keepNext/>
        <w:keepLines/>
        <w:tabs>
          <w:tab w:val="left" w:pos="567"/>
        </w:tabs>
        <w:jc w:val="both"/>
        <w:rPr>
          <w:sz w:val="22"/>
          <w:szCs w:val="22"/>
        </w:rPr>
      </w:pPr>
    </w:p>
    <w:p w:rsidR="002305EF" w:rsidRPr="00295E71" w:rsidP="00FA4CC8" w14:paraId="3A2560B2" w14:textId="77777777">
      <w:pPr>
        <w:tabs>
          <w:tab w:val="left" w:pos="567"/>
        </w:tabs>
        <w:ind w:right="-2"/>
        <w:jc w:val="both"/>
        <w:rPr>
          <w:sz w:val="22"/>
          <w:szCs w:val="22"/>
        </w:rPr>
      </w:pPr>
      <w:r w:rsidRPr="00295E71">
        <w:rPr>
          <w:sz w:val="22"/>
          <w:szCs w:val="22"/>
        </w:rPr>
        <w:t>Il principio attivo è adalimumab.</w:t>
      </w:r>
    </w:p>
    <w:p w:rsidR="002305EF" w:rsidRPr="00295E71" w:rsidP="00FA4CC8" w14:paraId="46FB4FF3" w14:textId="77777777">
      <w:pPr>
        <w:tabs>
          <w:tab w:val="left" w:pos="567"/>
        </w:tabs>
        <w:ind w:right="-2"/>
        <w:jc w:val="both"/>
        <w:rPr>
          <w:sz w:val="22"/>
          <w:szCs w:val="22"/>
        </w:rPr>
      </w:pPr>
      <w:r w:rsidRPr="00295E71">
        <w:rPr>
          <w:sz w:val="22"/>
          <w:szCs w:val="22"/>
        </w:rPr>
        <w:t>Gli eccipienti sono mannitolo, polisorbato 80 e acqua per preparazioni iniettabili.</w:t>
      </w:r>
    </w:p>
    <w:p w:rsidR="002305EF" w:rsidRPr="00295E71" w:rsidP="002305EF" w14:paraId="3236FB77" w14:textId="77777777">
      <w:pPr>
        <w:numPr>
          <w:ilvl w:val="12"/>
          <w:numId w:val="0"/>
        </w:numPr>
        <w:tabs>
          <w:tab w:val="left" w:pos="567"/>
        </w:tabs>
        <w:ind w:right="-2"/>
        <w:jc w:val="both"/>
        <w:rPr>
          <w:sz w:val="22"/>
          <w:szCs w:val="22"/>
        </w:rPr>
      </w:pPr>
    </w:p>
    <w:p w:rsidR="002305EF" w:rsidRPr="00295E71" w:rsidP="002305EF" w14:paraId="0259C413" w14:textId="77777777">
      <w:pPr>
        <w:pStyle w:val="Heading8"/>
        <w:keepNext w:val="0"/>
        <w:tabs>
          <w:tab w:val="left" w:pos="567"/>
        </w:tabs>
        <w:jc w:val="both"/>
      </w:pPr>
      <w:r w:rsidRPr="00295E71">
        <w:t xml:space="preserve">Descrizione dell’aspetto di Humira </w:t>
      </w:r>
      <w:r w:rsidRPr="00295E71" w:rsidR="000617B7">
        <w:t xml:space="preserve">siringa pre-riempita </w:t>
      </w:r>
      <w:r w:rsidRPr="00295E71">
        <w:t>e contenuto della confezione</w:t>
      </w:r>
    </w:p>
    <w:p w:rsidR="002305EF" w:rsidRPr="00295E71" w:rsidP="002305EF" w14:paraId="48C3B716" w14:textId="77777777">
      <w:pPr>
        <w:numPr>
          <w:ilvl w:val="12"/>
          <w:numId w:val="0"/>
        </w:numPr>
        <w:tabs>
          <w:tab w:val="left" w:pos="567"/>
        </w:tabs>
        <w:ind w:right="-2"/>
        <w:jc w:val="both"/>
        <w:rPr>
          <w:sz w:val="22"/>
          <w:szCs w:val="22"/>
        </w:rPr>
      </w:pPr>
    </w:p>
    <w:p w:rsidR="002305EF" w:rsidRPr="00295E71" w:rsidP="002305EF" w14:paraId="1753AAF4" w14:textId="77777777">
      <w:pPr>
        <w:numPr>
          <w:ilvl w:val="12"/>
          <w:numId w:val="0"/>
        </w:numPr>
        <w:tabs>
          <w:tab w:val="left" w:pos="567"/>
        </w:tabs>
        <w:ind w:right="-2"/>
        <w:jc w:val="both"/>
        <w:rPr>
          <w:sz w:val="22"/>
          <w:szCs w:val="22"/>
        </w:rPr>
      </w:pPr>
      <w:r w:rsidRPr="00295E71">
        <w:rPr>
          <w:sz w:val="22"/>
          <w:szCs w:val="22"/>
        </w:rPr>
        <w:t xml:space="preserve">Humira </w:t>
      </w:r>
      <w:r w:rsidRPr="00295E71" w:rsidR="000617B7">
        <w:rPr>
          <w:sz w:val="22"/>
          <w:szCs w:val="22"/>
        </w:rPr>
        <w:t>2</w:t>
      </w:r>
      <w:r w:rsidRPr="00295E71">
        <w:rPr>
          <w:sz w:val="22"/>
          <w:szCs w:val="22"/>
        </w:rPr>
        <w:t xml:space="preserve">0 mg soluzione iniettabile in </w:t>
      </w:r>
      <w:r w:rsidRPr="00295E71" w:rsidR="000617B7">
        <w:rPr>
          <w:sz w:val="22"/>
          <w:szCs w:val="22"/>
        </w:rPr>
        <w:t>siringa pre-riempita per uso pediatrico</w:t>
      </w:r>
      <w:r w:rsidRPr="00295E71">
        <w:rPr>
          <w:sz w:val="22"/>
          <w:szCs w:val="22"/>
        </w:rPr>
        <w:t xml:space="preserve"> è fornito come soluzione sterile di </w:t>
      </w:r>
      <w:r w:rsidRPr="00295E71" w:rsidR="000617B7">
        <w:rPr>
          <w:sz w:val="22"/>
          <w:szCs w:val="22"/>
        </w:rPr>
        <w:t>2</w:t>
      </w:r>
      <w:r w:rsidRPr="00295E71">
        <w:rPr>
          <w:sz w:val="22"/>
          <w:szCs w:val="22"/>
        </w:rPr>
        <w:t>0 mg di adalimumab disciolti in 0,</w:t>
      </w:r>
      <w:r w:rsidRPr="00295E71" w:rsidR="000617B7">
        <w:rPr>
          <w:sz w:val="22"/>
          <w:szCs w:val="22"/>
        </w:rPr>
        <w:t>2</w:t>
      </w:r>
      <w:r w:rsidRPr="00295E71">
        <w:rPr>
          <w:sz w:val="22"/>
          <w:szCs w:val="22"/>
        </w:rPr>
        <w:t xml:space="preserve"> ml di soluzione.</w:t>
      </w:r>
    </w:p>
    <w:p w:rsidR="002305EF" w:rsidRPr="00295E71" w:rsidP="002305EF" w14:paraId="7FD20297" w14:textId="77777777">
      <w:pPr>
        <w:numPr>
          <w:ilvl w:val="12"/>
          <w:numId w:val="0"/>
        </w:numPr>
        <w:tabs>
          <w:tab w:val="left" w:pos="567"/>
        </w:tabs>
        <w:ind w:right="-2"/>
        <w:jc w:val="both"/>
        <w:rPr>
          <w:sz w:val="22"/>
          <w:szCs w:val="22"/>
        </w:rPr>
      </w:pPr>
    </w:p>
    <w:p w:rsidR="000617B7" w:rsidRPr="00295E71" w:rsidP="000617B7" w14:paraId="36BA64A6" w14:textId="77777777">
      <w:pPr>
        <w:numPr>
          <w:ilvl w:val="12"/>
          <w:numId w:val="0"/>
        </w:numPr>
        <w:tabs>
          <w:tab w:val="left" w:pos="567"/>
        </w:tabs>
        <w:ind w:right="-2"/>
        <w:rPr>
          <w:sz w:val="22"/>
          <w:szCs w:val="22"/>
        </w:rPr>
      </w:pPr>
      <w:r w:rsidRPr="00295E71">
        <w:rPr>
          <w:sz w:val="22"/>
          <w:szCs w:val="22"/>
        </w:rPr>
        <w:t xml:space="preserve">La siringa pre-riempita di Humira è una siringa monouso di vetro che contiene una soluzione di adalimumab. </w:t>
      </w:r>
    </w:p>
    <w:p w:rsidR="000617B7" w:rsidRPr="00295E71" w:rsidP="000617B7" w14:paraId="27B40FA5" w14:textId="77777777">
      <w:pPr>
        <w:numPr>
          <w:ilvl w:val="12"/>
          <w:numId w:val="0"/>
        </w:numPr>
        <w:tabs>
          <w:tab w:val="left" w:pos="567"/>
        </w:tabs>
        <w:ind w:right="-2"/>
        <w:jc w:val="both"/>
        <w:rPr>
          <w:sz w:val="22"/>
          <w:szCs w:val="22"/>
        </w:rPr>
      </w:pPr>
    </w:p>
    <w:p w:rsidR="002305EF" w:rsidRPr="00295E71" w:rsidP="00DA5FB6" w14:paraId="41C8F087" w14:textId="77777777">
      <w:pPr>
        <w:numPr>
          <w:ilvl w:val="12"/>
          <w:numId w:val="0"/>
        </w:numPr>
        <w:tabs>
          <w:tab w:val="left" w:pos="708"/>
        </w:tabs>
        <w:ind w:right="-2"/>
        <w:rPr>
          <w:sz w:val="22"/>
          <w:szCs w:val="22"/>
        </w:rPr>
      </w:pPr>
      <w:r w:rsidRPr="00295E71">
        <w:rPr>
          <w:sz w:val="22"/>
          <w:szCs w:val="22"/>
        </w:rPr>
        <w:t>La siringa pre-riempita di Humira è disponibile in una confezione che contiene 2 siringhe pre-riempite con 2 tamponi imbevuti di alcool.</w:t>
      </w:r>
    </w:p>
    <w:p w:rsidR="002305EF" w:rsidRPr="00295E71" w:rsidP="002305EF" w14:paraId="54C03EBD" w14:textId="77777777">
      <w:pPr>
        <w:numPr>
          <w:ilvl w:val="12"/>
          <w:numId w:val="0"/>
        </w:numPr>
        <w:tabs>
          <w:tab w:val="left" w:pos="567"/>
        </w:tabs>
        <w:ind w:right="-2"/>
        <w:jc w:val="both"/>
        <w:rPr>
          <w:sz w:val="22"/>
          <w:szCs w:val="22"/>
        </w:rPr>
      </w:pPr>
    </w:p>
    <w:p w:rsidR="002305EF" w:rsidRPr="00295E71" w:rsidP="002305EF" w14:paraId="6E33AE60" w14:textId="77777777">
      <w:pPr>
        <w:numPr>
          <w:ilvl w:val="12"/>
          <w:numId w:val="0"/>
        </w:numPr>
        <w:tabs>
          <w:tab w:val="left" w:pos="567"/>
        </w:tabs>
        <w:ind w:right="-2"/>
        <w:jc w:val="both"/>
        <w:rPr>
          <w:sz w:val="22"/>
          <w:szCs w:val="22"/>
        </w:rPr>
      </w:pPr>
      <w:r w:rsidRPr="00295E71">
        <w:rPr>
          <w:sz w:val="22"/>
          <w:szCs w:val="22"/>
        </w:rPr>
        <w:t>Humira può essere disponibile in flaconcino, siringa pre-riempita e/o in penna pre-riempita.</w:t>
      </w:r>
    </w:p>
    <w:p w:rsidR="002305EF" w:rsidRPr="00295E71" w:rsidP="002305EF" w14:paraId="4FB59149" w14:textId="77777777">
      <w:pPr>
        <w:numPr>
          <w:ilvl w:val="12"/>
          <w:numId w:val="0"/>
        </w:numPr>
        <w:tabs>
          <w:tab w:val="left" w:pos="567"/>
        </w:tabs>
        <w:ind w:right="-2"/>
        <w:jc w:val="both"/>
        <w:rPr>
          <w:sz w:val="22"/>
          <w:szCs w:val="22"/>
        </w:rPr>
      </w:pPr>
    </w:p>
    <w:p w:rsidR="002305EF" w:rsidRPr="00295E71" w:rsidP="002305EF" w14:paraId="03937377" w14:textId="77777777">
      <w:pPr>
        <w:pStyle w:val="Heading8"/>
        <w:keepNext w:val="0"/>
        <w:tabs>
          <w:tab w:val="left" w:pos="567"/>
        </w:tabs>
        <w:jc w:val="both"/>
      </w:pPr>
      <w:r w:rsidRPr="00295E71">
        <w:t>Titolare dell’autorizzazione all’immissione in commercio</w:t>
      </w:r>
    </w:p>
    <w:p w:rsidR="002305EF" w:rsidRPr="00295E71" w:rsidP="002305EF" w14:paraId="4AC15CD1" w14:textId="77777777">
      <w:pPr>
        <w:numPr>
          <w:ilvl w:val="12"/>
          <w:numId w:val="0"/>
        </w:numPr>
        <w:tabs>
          <w:tab w:val="left" w:pos="567"/>
        </w:tabs>
        <w:ind w:right="-2"/>
        <w:jc w:val="both"/>
        <w:rPr>
          <w:sz w:val="22"/>
          <w:szCs w:val="22"/>
        </w:rPr>
      </w:pPr>
    </w:p>
    <w:p w:rsidR="00C172FF" w:rsidRPr="00295E71" w:rsidP="00C172FF" w14:paraId="7712ADCA" w14:textId="77777777">
      <w:pPr>
        <w:tabs>
          <w:tab w:val="left" w:pos="567"/>
        </w:tabs>
        <w:jc w:val="both"/>
        <w:rPr>
          <w:sz w:val="22"/>
          <w:szCs w:val="22"/>
        </w:rPr>
      </w:pPr>
      <w:r w:rsidRPr="00295E71">
        <w:rPr>
          <w:sz w:val="22"/>
          <w:szCs w:val="22"/>
        </w:rPr>
        <w:t>AbbVie Deutschland GmbH &amp; Co. KG</w:t>
      </w:r>
    </w:p>
    <w:p w:rsidR="00C172FF" w:rsidRPr="00295E71" w:rsidP="00C172FF" w14:paraId="22A225DB" w14:textId="77777777">
      <w:pPr>
        <w:tabs>
          <w:tab w:val="left" w:pos="567"/>
        </w:tabs>
        <w:jc w:val="both"/>
        <w:rPr>
          <w:sz w:val="22"/>
          <w:szCs w:val="22"/>
        </w:rPr>
      </w:pPr>
      <w:r w:rsidRPr="00295E71">
        <w:rPr>
          <w:sz w:val="22"/>
          <w:szCs w:val="22"/>
        </w:rPr>
        <w:t>Knollstrasse</w:t>
      </w:r>
    </w:p>
    <w:p w:rsidR="00C172FF" w:rsidRPr="00295E71" w:rsidP="00C172FF" w14:paraId="4193059F" w14:textId="77777777">
      <w:pPr>
        <w:tabs>
          <w:tab w:val="left" w:pos="567"/>
        </w:tabs>
        <w:jc w:val="both"/>
        <w:rPr>
          <w:sz w:val="22"/>
          <w:szCs w:val="22"/>
        </w:rPr>
      </w:pPr>
      <w:r w:rsidRPr="00295E71">
        <w:rPr>
          <w:sz w:val="22"/>
          <w:szCs w:val="22"/>
        </w:rPr>
        <w:t>67061 Ludwigshafen</w:t>
      </w:r>
    </w:p>
    <w:p w:rsidR="00C172FF" w:rsidRPr="00295E71" w:rsidP="00C172FF" w14:paraId="404B6E0B" w14:textId="77777777">
      <w:pPr>
        <w:tabs>
          <w:tab w:val="left" w:pos="567"/>
        </w:tabs>
        <w:jc w:val="both"/>
        <w:rPr>
          <w:sz w:val="22"/>
          <w:szCs w:val="22"/>
        </w:rPr>
      </w:pPr>
      <w:r w:rsidRPr="00295E71">
        <w:rPr>
          <w:sz w:val="22"/>
          <w:szCs w:val="22"/>
        </w:rPr>
        <w:t>Germania</w:t>
      </w:r>
    </w:p>
    <w:p w:rsidR="002305EF" w:rsidRPr="00295E71" w:rsidP="002305EF" w14:paraId="28C96833" w14:textId="77777777">
      <w:pPr>
        <w:rPr>
          <w:sz w:val="22"/>
          <w:szCs w:val="22"/>
        </w:rPr>
      </w:pPr>
    </w:p>
    <w:p w:rsidR="002305EF" w:rsidRPr="00295E71" w:rsidP="002305EF" w14:paraId="51AF3BF3" w14:textId="77777777">
      <w:pPr>
        <w:rPr>
          <w:b/>
          <w:sz w:val="22"/>
          <w:szCs w:val="22"/>
        </w:rPr>
      </w:pPr>
      <w:r w:rsidRPr="00295E71">
        <w:rPr>
          <w:b/>
          <w:sz w:val="22"/>
          <w:szCs w:val="22"/>
        </w:rPr>
        <w:t>Produttore</w:t>
      </w:r>
    </w:p>
    <w:p w:rsidR="002305EF" w:rsidRPr="00295E71" w:rsidP="002305EF" w14:paraId="4A9BC7CC" w14:textId="77777777">
      <w:pPr>
        <w:numPr>
          <w:ilvl w:val="12"/>
          <w:numId w:val="0"/>
        </w:numPr>
        <w:tabs>
          <w:tab w:val="left" w:pos="567"/>
        </w:tabs>
        <w:ind w:right="-2"/>
        <w:jc w:val="both"/>
        <w:rPr>
          <w:sz w:val="22"/>
          <w:szCs w:val="22"/>
        </w:rPr>
      </w:pPr>
    </w:p>
    <w:p w:rsidR="002305EF" w:rsidRPr="00295E71" w:rsidP="002305EF" w14:paraId="554CB3E0" w14:textId="77777777">
      <w:pPr>
        <w:rPr>
          <w:sz w:val="22"/>
          <w:szCs w:val="22"/>
        </w:rPr>
      </w:pPr>
      <w:r w:rsidRPr="00295E71">
        <w:rPr>
          <w:sz w:val="22"/>
          <w:szCs w:val="22"/>
        </w:rPr>
        <w:t>AbbVie Biotechnology GmbH</w:t>
      </w:r>
    </w:p>
    <w:p w:rsidR="002305EF" w:rsidRPr="00295E71" w:rsidP="002305EF" w14:paraId="7A9D7F40" w14:textId="77777777">
      <w:pPr>
        <w:numPr>
          <w:ilvl w:val="12"/>
          <w:numId w:val="0"/>
        </w:numPr>
        <w:tabs>
          <w:tab w:val="left" w:pos="720"/>
        </w:tabs>
        <w:rPr>
          <w:sz w:val="22"/>
          <w:szCs w:val="22"/>
        </w:rPr>
      </w:pPr>
      <w:r w:rsidRPr="00295E71">
        <w:rPr>
          <w:sz w:val="22"/>
          <w:szCs w:val="22"/>
        </w:rPr>
        <w:t>Knollstrasse</w:t>
      </w:r>
    </w:p>
    <w:p w:rsidR="002305EF" w:rsidRPr="00295E71" w:rsidP="002305EF" w14:paraId="0727A327" w14:textId="77777777">
      <w:pPr>
        <w:numPr>
          <w:ilvl w:val="12"/>
          <w:numId w:val="0"/>
        </w:numPr>
        <w:tabs>
          <w:tab w:val="left" w:pos="720"/>
        </w:tabs>
        <w:rPr>
          <w:sz w:val="22"/>
          <w:szCs w:val="22"/>
        </w:rPr>
      </w:pPr>
      <w:r w:rsidRPr="00295E71">
        <w:rPr>
          <w:sz w:val="22"/>
          <w:szCs w:val="22"/>
        </w:rPr>
        <w:t>67061 Ludwigshafen</w:t>
      </w:r>
    </w:p>
    <w:p w:rsidR="002305EF" w:rsidRPr="00295E71" w:rsidP="002305EF" w14:paraId="16AACE09" w14:textId="77777777">
      <w:pPr>
        <w:numPr>
          <w:ilvl w:val="12"/>
          <w:numId w:val="0"/>
        </w:numPr>
        <w:tabs>
          <w:tab w:val="left" w:pos="720"/>
        </w:tabs>
        <w:rPr>
          <w:sz w:val="22"/>
          <w:szCs w:val="22"/>
        </w:rPr>
      </w:pPr>
      <w:r w:rsidRPr="00295E71">
        <w:rPr>
          <w:sz w:val="22"/>
          <w:szCs w:val="22"/>
        </w:rPr>
        <w:t>Germania</w:t>
      </w:r>
    </w:p>
    <w:p w:rsidR="002305EF" w:rsidRPr="00295E71" w:rsidP="002305EF" w14:paraId="31AEF1F5" w14:textId="77777777">
      <w:pPr>
        <w:numPr>
          <w:ilvl w:val="12"/>
          <w:numId w:val="0"/>
        </w:numPr>
        <w:tabs>
          <w:tab w:val="left" w:pos="567"/>
        </w:tabs>
        <w:ind w:right="-2"/>
        <w:jc w:val="both"/>
        <w:rPr>
          <w:sz w:val="22"/>
          <w:szCs w:val="22"/>
        </w:rPr>
      </w:pPr>
    </w:p>
    <w:p w:rsidR="002305EF" w:rsidRPr="00295E71" w:rsidP="002305EF" w14:paraId="1F8510CF" w14:textId="77777777">
      <w:pPr>
        <w:numPr>
          <w:ilvl w:val="12"/>
          <w:numId w:val="0"/>
        </w:numPr>
        <w:tabs>
          <w:tab w:val="left" w:pos="567"/>
        </w:tabs>
        <w:ind w:right="-2"/>
        <w:jc w:val="both"/>
        <w:rPr>
          <w:sz w:val="22"/>
          <w:szCs w:val="22"/>
        </w:rPr>
      </w:pPr>
      <w:r w:rsidRPr="00295E71">
        <w:rPr>
          <w:sz w:val="22"/>
          <w:szCs w:val="22"/>
        </w:rPr>
        <w:t xml:space="preserve">Per ulteriori informazioni su questo medicinale, contatti il rappresentante locale del titolare dell’autorizzazione all’immissione in commercio: </w:t>
      </w:r>
    </w:p>
    <w:p w:rsidR="002305EF" w:rsidRPr="00295E71" w:rsidP="0019187E" w14:paraId="4EE28FA5" w14:textId="77777777">
      <w:pPr>
        <w:keepLines/>
        <w:rPr>
          <w:sz w:val="22"/>
          <w:szCs w:val="22"/>
          <w:lang w:eastAsia="en-US"/>
        </w:rPr>
      </w:pPr>
    </w:p>
    <w:tbl>
      <w:tblPr>
        <w:tblW w:w="9356" w:type="dxa"/>
        <w:tblInd w:w="-34" w:type="dxa"/>
        <w:tblLayout w:type="fixed"/>
        <w:tblLook w:val="0000"/>
      </w:tblPr>
      <w:tblGrid>
        <w:gridCol w:w="34"/>
        <w:gridCol w:w="4610"/>
        <w:gridCol w:w="34"/>
        <w:gridCol w:w="4678"/>
      </w:tblGrid>
      <w:tr w14:paraId="055A03F2" w14:textId="77777777" w:rsidTr="001F79B0">
        <w:tblPrEx>
          <w:tblW w:w="9356" w:type="dxa"/>
          <w:tblInd w:w="-34" w:type="dxa"/>
          <w:tblLayout w:type="fixed"/>
          <w:tblLook w:val="0000"/>
        </w:tblPrEx>
        <w:tc>
          <w:tcPr>
            <w:tcW w:w="4644" w:type="dxa"/>
            <w:gridSpan w:val="2"/>
          </w:tcPr>
          <w:p w:rsidR="00235869" w:rsidRPr="00BD646C" w:rsidP="001F79B0" w14:paraId="64AD7A7E" w14:textId="77777777">
            <w:pPr>
              <w:rPr>
                <w:b/>
                <w:bCs/>
                <w:sz w:val="22"/>
                <w:szCs w:val="22"/>
                <w:lang w:val="fr-BE"/>
              </w:rPr>
            </w:pPr>
            <w:r w:rsidRPr="00BD646C">
              <w:rPr>
                <w:b/>
                <w:bCs/>
                <w:sz w:val="22"/>
                <w:szCs w:val="22"/>
                <w:lang w:val="fr-BE"/>
              </w:rPr>
              <w:t>België</w:t>
            </w:r>
            <w:r w:rsidRPr="00BD646C">
              <w:rPr>
                <w:b/>
                <w:bCs/>
                <w:sz w:val="22"/>
                <w:szCs w:val="22"/>
                <w:lang w:val="fr-BE"/>
              </w:rPr>
              <w:t>/Belgique/</w:t>
            </w:r>
            <w:r w:rsidRPr="00BD646C">
              <w:rPr>
                <w:b/>
                <w:bCs/>
                <w:sz w:val="22"/>
                <w:szCs w:val="22"/>
                <w:lang w:val="fr-BE"/>
              </w:rPr>
              <w:t>Belgien</w:t>
            </w:r>
          </w:p>
          <w:p w:rsidR="00235869" w:rsidRPr="00BD646C" w:rsidP="001F79B0" w14:paraId="6E410D89" w14:textId="77777777">
            <w:pPr>
              <w:rPr>
                <w:bCs/>
                <w:sz w:val="22"/>
                <w:szCs w:val="22"/>
                <w:lang w:val="fr-FR"/>
              </w:rPr>
            </w:pPr>
            <w:r w:rsidRPr="00BD646C">
              <w:rPr>
                <w:bCs/>
                <w:sz w:val="22"/>
                <w:szCs w:val="22"/>
                <w:lang w:val="fr-FR"/>
              </w:rPr>
              <w:t>AbbVie SA</w:t>
            </w:r>
          </w:p>
          <w:p w:rsidR="00235869" w:rsidRPr="00BD646C" w:rsidP="001F79B0" w14:paraId="50B131D6" w14:textId="77777777">
            <w:pPr>
              <w:rPr>
                <w:sz w:val="22"/>
                <w:szCs w:val="22"/>
                <w:lang w:val="fr-FR"/>
              </w:rPr>
            </w:pPr>
            <w:r w:rsidRPr="00BD646C">
              <w:rPr>
                <w:bCs/>
                <w:sz w:val="22"/>
                <w:szCs w:val="22"/>
                <w:lang w:val="fr-FR"/>
              </w:rPr>
              <w:t>Tél/</w:t>
            </w:r>
            <w:r w:rsidRPr="00BD646C">
              <w:rPr>
                <w:bCs/>
                <w:sz w:val="22"/>
                <w:szCs w:val="22"/>
                <w:lang w:val="fr-FR"/>
              </w:rPr>
              <w:t>Tel:</w:t>
            </w:r>
            <w:r w:rsidRPr="00BD646C">
              <w:rPr>
                <w:bCs/>
                <w:sz w:val="22"/>
                <w:szCs w:val="22"/>
                <w:lang w:val="fr-FR"/>
              </w:rPr>
              <w:t xml:space="preserve"> +32 10 </w:t>
            </w:r>
            <w:r w:rsidRPr="00BD646C">
              <w:rPr>
                <w:sz w:val="22"/>
                <w:szCs w:val="22"/>
                <w:lang w:val="fr-FR"/>
              </w:rPr>
              <w:t>477811</w:t>
            </w:r>
          </w:p>
          <w:p w:rsidR="00235869" w:rsidRPr="00BD646C" w:rsidP="001F79B0" w14:paraId="38D1BC54" w14:textId="77777777">
            <w:pPr>
              <w:rPr>
                <w:bCs/>
                <w:sz w:val="22"/>
                <w:szCs w:val="22"/>
                <w:lang w:val="fr-FR"/>
              </w:rPr>
            </w:pPr>
          </w:p>
        </w:tc>
        <w:tc>
          <w:tcPr>
            <w:tcW w:w="4678" w:type="dxa"/>
            <w:gridSpan w:val="2"/>
          </w:tcPr>
          <w:p w:rsidR="00235869" w:rsidRPr="00BD646C" w:rsidP="001F79B0" w14:paraId="6132B755" w14:textId="77777777">
            <w:pPr>
              <w:rPr>
                <w:b/>
                <w:bCs/>
                <w:sz w:val="22"/>
                <w:szCs w:val="22"/>
                <w:lang w:val="lt-LT"/>
              </w:rPr>
            </w:pPr>
            <w:r w:rsidRPr="00BD646C">
              <w:rPr>
                <w:b/>
                <w:bCs/>
                <w:sz w:val="22"/>
                <w:szCs w:val="22"/>
                <w:lang w:val="lt-LT"/>
              </w:rPr>
              <w:t>Lietuva</w:t>
            </w:r>
          </w:p>
          <w:p w:rsidR="00235869" w:rsidRPr="00BD646C" w:rsidP="001F79B0" w14:paraId="71B02964" w14:textId="77777777">
            <w:pPr>
              <w:rPr>
                <w:bCs/>
                <w:sz w:val="22"/>
                <w:szCs w:val="22"/>
                <w:lang w:val="lv-LV"/>
              </w:rPr>
            </w:pPr>
            <w:r w:rsidRPr="00BD646C">
              <w:rPr>
                <w:bCs/>
                <w:sz w:val="22"/>
                <w:szCs w:val="22"/>
                <w:lang w:val="lv-LV"/>
              </w:rPr>
              <w:t xml:space="preserve">AbbVie UAB </w:t>
            </w:r>
          </w:p>
          <w:p w:rsidR="00235869" w:rsidRPr="00BD646C" w:rsidP="001F79B0" w14:paraId="0E30E8A7" w14:textId="77777777">
            <w:pPr>
              <w:rPr>
                <w:bCs/>
                <w:sz w:val="22"/>
                <w:szCs w:val="22"/>
                <w:lang w:val="lv-LV"/>
              </w:rPr>
            </w:pPr>
            <w:r w:rsidRPr="00BD646C">
              <w:rPr>
                <w:bCs/>
                <w:sz w:val="22"/>
                <w:szCs w:val="22"/>
                <w:lang w:val="lv-LV"/>
              </w:rPr>
              <w:t>Tel: +370 5 205 3023</w:t>
            </w:r>
          </w:p>
        </w:tc>
      </w:tr>
      <w:tr w14:paraId="09498428" w14:textId="77777777" w:rsidTr="001F79B0">
        <w:tblPrEx>
          <w:tblW w:w="9356" w:type="dxa"/>
          <w:tblInd w:w="-34" w:type="dxa"/>
          <w:tblLayout w:type="fixed"/>
          <w:tblLook w:val="0000"/>
        </w:tblPrEx>
        <w:tc>
          <w:tcPr>
            <w:tcW w:w="4644" w:type="dxa"/>
            <w:gridSpan w:val="2"/>
          </w:tcPr>
          <w:p w:rsidR="00235869" w:rsidRPr="00BD646C" w:rsidP="001F79B0" w14:paraId="69561402" w14:textId="77777777">
            <w:pPr>
              <w:rPr>
                <w:b/>
                <w:bCs/>
                <w:sz w:val="22"/>
                <w:szCs w:val="22"/>
                <w:lang w:val="bg-BG"/>
              </w:rPr>
            </w:pPr>
            <w:r w:rsidRPr="00BD646C">
              <w:rPr>
                <w:b/>
                <w:bCs/>
                <w:sz w:val="22"/>
                <w:szCs w:val="22"/>
                <w:lang w:val="bg-BG"/>
              </w:rPr>
              <w:t>България</w:t>
            </w:r>
          </w:p>
          <w:p w:rsidR="00235869" w:rsidRPr="00BD646C" w:rsidP="001F79B0" w14:paraId="264A7A4D" w14:textId="77777777">
            <w:pPr>
              <w:rPr>
                <w:sz w:val="22"/>
                <w:szCs w:val="22"/>
                <w:lang w:val="da-DK"/>
              </w:rPr>
            </w:pPr>
            <w:r w:rsidRPr="00BD646C">
              <w:rPr>
                <w:sz w:val="22"/>
                <w:szCs w:val="22"/>
                <w:lang w:val="sk-SK"/>
              </w:rPr>
              <w:t>АбВи ЕООД</w:t>
            </w:r>
          </w:p>
          <w:p w:rsidR="00235869" w:rsidRPr="00BD646C" w:rsidP="001F79B0" w14:paraId="1242B331" w14:textId="77777777">
            <w:pPr>
              <w:rPr>
                <w:bCs/>
                <w:sz w:val="22"/>
                <w:szCs w:val="22"/>
                <w:lang w:val="da-DK"/>
              </w:rPr>
            </w:pPr>
            <w:r w:rsidRPr="00BD646C">
              <w:rPr>
                <w:sz w:val="22"/>
                <w:szCs w:val="22"/>
                <w:lang w:val="sk-SK"/>
              </w:rPr>
              <w:t>Тел</w:t>
            </w:r>
            <w:r w:rsidRPr="00BD646C">
              <w:rPr>
                <w:sz w:val="22"/>
                <w:szCs w:val="22"/>
              </w:rPr>
              <w:t>.:+359 2 90 30 430</w:t>
            </w:r>
          </w:p>
        </w:tc>
        <w:tc>
          <w:tcPr>
            <w:tcW w:w="4678" w:type="dxa"/>
            <w:gridSpan w:val="2"/>
          </w:tcPr>
          <w:p w:rsidR="00235869" w:rsidRPr="00BD646C" w:rsidP="001F79B0" w14:paraId="23E122C3" w14:textId="77777777">
            <w:pPr>
              <w:rPr>
                <w:b/>
                <w:bCs/>
                <w:sz w:val="22"/>
                <w:szCs w:val="22"/>
                <w:lang w:val="de-DE"/>
              </w:rPr>
            </w:pPr>
            <w:r w:rsidRPr="00BD646C">
              <w:rPr>
                <w:b/>
                <w:bCs/>
                <w:sz w:val="22"/>
                <w:szCs w:val="22"/>
                <w:lang w:val="de-DE"/>
              </w:rPr>
              <w:t>Luxembourg/Luxemburg</w:t>
            </w:r>
          </w:p>
          <w:p w:rsidR="00235869" w:rsidRPr="00BD646C" w:rsidP="001F79B0" w14:paraId="0EFF6304" w14:textId="77777777">
            <w:pPr>
              <w:rPr>
                <w:bCs/>
                <w:sz w:val="22"/>
                <w:szCs w:val="22"/>
                <w:lang w:val="de-DE"/>
              </w:rPr>
            </w:pPr>
            <w:r w:rsidRPr="00BD646C">
              <w:rPr>
                <w:bCs/>
                <w:sz w:val="22"/>
                <w:szCs w:val="22"/>
                <w:lang w:val="de-DE"/>
              </w:rPr>
              <w:t>AbbVie SA</w:t>
            </w:r>
          </w:p>
          <w:p w:rsidR="00235869" w:rsidRPr="00BD646C" w:rsidP="001F79B0" w14:paraId="76865190" w14:textId="77777777">
            <w:pPr>
              <w:rPr>
                <w:bCs/>
                <w:sz w:val="22"/>
                <w:szCs w:val="22"/>
                <w:lang w:val="de-DE"/>
              </w:rPr>
            </w:pPr>
            <w:r w:rsidRPr="00BD646C">
              <w:rPr>
                <w:bCs/>
                <w:sz w:val="22"/>
                <w:szCs w:val="22"/>
                <w:lang w:val="de-DE"/>
              </w:rPr>
              <w:t>Belgique/Belgien</w:t>
            </w:r>
          </w:p>
          <w:p w:rsidR="00235869" w:rsidRPr="00BD646C" w:rsidP="001F79B0" w14:paraId="19F3FB99" w14:textId="77777777">
            <w:pPr>
              <w:rPr>
                <w:bCs/>
                <w:sz w:val="22"/>
                <w:szCs w:val="22"/>
                <w:lang w:val="fr-FR"/>
              </w:rPr>
            </w:pPr>
            <w:r w:rsidRPr="00BD646C">
              <w:rPr>
                <w:bCs/>
                <w:sz w:val="22"/>
                <w:szCs w:val="22"/>
                <w:lang w:val="fr-FR"/>
              </w:rPr>
              <w:t>Tél/</w:t>
            </w:r>
            <w:r w:rsidRPr="00BD646C">
              <w:rPr>
                <w:bCs/>
                <w:sz w:val="22"/>
                <w:szCs w:val="22"/>
                <w:lang w:val="fr-FR"/>
              </w:rPr>
              <w:t>Tel:</w:t>
            </w:r>
            <w:r w:rsidRPr="00BD646C">
              <w:rPr>
                <w:bCs/>
                <w:sz w:val="22"/>
                <w:szCs w:val="22"/>
                <w:lang w:val="fr-FR"/>
              </w:rPr>
              <w:t xml:space="preserve"> +32 10 477811</w:t>
            </w:r>
          </w:p>
          <w:p w:rsidR="00235869" w:rsidRPr="00BD646C" w:rsidP="001F79B0" w14:paraId="4007E0D8" w14:textId="77777777">
            <w:pPr>
              <w:rPr>
                <w:bCs/>
                <w:sz w:val="22"/>
                <w:szCs w:val="22"/>
                <w:lang w:val="fr-FR"/>
              </w:rPr>
            </w:pPr>
          </w:p>
        </w:tc>
      </w:tr>
      <w:tr w14:paraId="36F62862" w14:textId="77777777" w:rsidTr="001F79B0">
        <w:tblPrEx>
          <w:tblW w:w="9356" w:type="dxa"/>
          <w:tblInd w:w="-34" w:type="dxa"/>
          <w:tblLayout w:type="fixed"/>
          <w:tblLook w:val="0000"/>
        </w:tblPrEx>
        <w:tc>
          <w:tcPr>
            <w:tcW w:w="4644" w:type="dxa"/>
            <w:gridSpan w:val="2"/>
          </w:tcPr>
          <w:p w:rsidR="00235869" w:rsidRPr="00BD646C" w:rsidP="001F79B0" w14:paraId="645FA328" w14:textId="77777777">
            <w:pPr>
              <w:rPr>
                <w:b/>
                <w:bCs/>
                <w:sz w:val="22"/>
                <w:szCs w:val="22"/>
                <w:lang w:val="sk-SK"/>
              </w:rPr>
            </w:pPr>
            <w:r w:rsidRPr="00BD646C">
              <w:rPr>
                <w:b/>
                <w:bCs/>
                <w:sz w:val="22"/>
                <w:szCs w:val="22"/>
                <w:lang w:val="sk-SK"/>
              </w:rPr>
              <w:t>Česká republika</w:t>
            </w:r>
          </w:p>
          <w:p w:rsidR="00235869" w:rsidRPr="00BD646C" w:rsidP="001F79B0" w14:paraId="44033150" w14:textId="77777777">
            <w:pPr>
              <w:rPr>
                <w:bCs/>
                <w:sz w:val="22"/>
                <w:szCs w:val="22"/>
                <w:lang w:val="sk-SK"/>
              </w:rPr>
            </w:pPr>
            <w:r w:rsidRPr="00BD646C">
              <w:rPr>
                <w:bCs/>
                <w:sz w:val="22"/>
                <w:szCs w:val="22"/>
                <w:lang w:val="sk-SK"/>
              </w:rPr>
              <w:t xml:space="preserve">AbbVie s.r.o. </w:t>
            </w:r>
          </w:p>
          <w:p w:rsidR="00235869" w:rsidRPr="00BD646C" w:rsidP="001F79B0" w14:paraId="4987A699" w14:textId="77777777">
            <w:pPr>
              <w:rPr>
                <w:bCs/>
                <w:sz w:val="22"/>
                <w:szCs w:val="22"/>
                <w:lang w:val="sk-SK"/>
              </w:rPr>
            </w:pPr>
            <w:r w:rsidRPr="00BD646C">
              <w:rPr>
                <w:bCs/>
                <w:sz w:val="22"/>
                <w:szCs w:val="22"/>
                <w:lang w:val="sk-SK"/>
              </w:rPr>
              <w:t>Tel: +420 233 098 111</w:t>
            </w:r>
          </w:p>
        </w:tc>
        <w:tc>
          <w:tcPr>
            <w:tcW w:w="4678" w:type="dxa"/>
            <w:gridSpan w:val="2"/>
          </w:tcPr>
          <w:p w:rsidR="00235869" w:rsidRPr="00BD646C" w:rsidP="001F79B0" w14:paraId="740F21EE" w14:textId="77777777">
            <w:pPr>
              <w:rPr>
                <w:b/>
                <w:bCs/>
                <w:sz w:val="22"/>
                <w:szCs w:val="22"/>
                <w:lang w:val="hu-HU"/>
              </w:rPr>
            </w:pPr>
            <w:r w:rsidRPr="00BD646C">
              <w:rPr>
                <w:b/>
                <w:bCs/>
                <w:sz w:val="22"/>
                <w:szCs w:val="22"/>
                <w:lang w:val="hu-HU"/>
              </w:rPr>
              <w:t>Magyarország</w:t>
            </w:r>
          </w:p>
          <w:p w:rsidR="00235869" w:rsidRPr="00BD646C" w:rsidP="001F79B0" w14:paraId="0395AC50" w14:textId="77777777">
            <w:pPr>
              <w:rPr>
                <w:bCs/>
                <w:sz w:val="22"/>
                <w:szCs w:val="22"/>
                <w:lang w:val="hu-HU"/>
              </w:rPr>
            </w:pPr>
            <w:r w:rsidRPr="00BD646C">
              <w:rPr>
                <w:bCs/>
                <w:sz w:val="22"/>
                <w:szCs w:val="22"/>
                <w:lang w:val="hu-HU"/>
              </w:rPr>
              <w:t>AbbVie Kft.</w:t>
            </w:r>
          </w:p>
          <w:p w:rsidR="00235869" w:rsidRPr="00BD646C" w:rsidP="001F79B0" w14:paraId="20002E7D" w14:textId="77777777">
            <w:pPr>
              <w:rPr>
                <w:bCs/>
                <w:sz w:val="22"/>
                <w:szCs w:val="22"/>
                <w:lang w:val="hu-HU"/>
              </w:rPr>
            </w:pPr>
            <w:r w:rsidRPr="00BD646C">
              <w:rPr>
                <w:bCs/>
                <w:sz w:val="22"/>
                <w:szCs w:val="22"/>
                <w:lang w:val="hu-HU"/>
              </w:rPr>
              <w:t>Tel.:+36 1 455 8600</w:t>
            </w:r>
          </w:p>
          <w:p w:rsidR="00235869" w:rsidRPr="00BD646C" w:rsidP="001F79B0" w14:paraId="42043871" w14:textId="77777777">
            <w:pPr>
              <w:rPr>
                <w:bCs/>
                <w:sz w:val="22"/>
                <w:szCs w:val="22"/>
                <w:lang w:val="hu-HU"/>
              </w:rPr>
            </w:pPr>
          </w:p>
        </w:tc>
      </w:tr>
      <w:tr w14:paraId="3A239799" w14:textId="77777777" w:rsidTr="001F79B0">
        <w:tblPrEx>
          <w:tblW w:w="9356" w:type="dxa"/>
          <w:tblInd w:w="-34" w:type="dxa"/>
          <w:tblLayout w:type="fixed"/>
          <w:tblLook w:val="0000"/>
        </w:tblPrEx>
        <w:trPr>
          <w:trHeight w:val="737"/>
        </w:trPr>
        <w:tc>
          <w:tcPr>
            <w:tcW w:w="4644" w:type="dxa"/>
            <w:gridSpan w:val="2"/>
          </w:tcPr>
          <w:p w:rsidR="00235869" w:rsidRPr="00BD646C" w:rsidP="001F79B0" w14:paraId="1C780F92" w14:textId="77777777">
            <w:pPr>
              <w:rPr>
                <w:b/>
                <w:bCs/>
                <w:sz w:val="22"/>
                <w:szCs w:val="22"/>
                <w:lang w:val="en-US"/>
              </w:rPr>
            </w:pPr>
            <w:r w:rsidRPr="00BD646C">
              <w:rPr>
                <w:b/>
                <w:bCs/>
                <w:sz w:val="22"/>
                <w:szCs w:val="22"/>
                <w:lang w:val="en-US"/>
              </w:rPr>
              <w:t>Danmark</w:t>
            </w:r>
          </w:p>
          <w:p w:rsidR="00235869" w:rsidRPr="00BD646C" w:rsidP="001F79B0" w14:paraId="44FA10F5" w14:textId="77777777">
            <w:pPr>
              <w:rPr>
                <w:bCs/>
                <w:sz w:val="22"/>
                <w:szCs w:val="22"/>
                <w:lang w:val="en-US"/>
              </w:rPr>
            </w:pPr>
            <w:r w:rsidRPr="00BD646C">
              <w:rPr>
                <w:bCs/>
                <w:sz w:val="22"/>
                <w:szCs w:val="22"/>
                <w:lang w:val="en-US"/>
              </w:rPr>
              <w:t>AbbVie A/S</w:t>
            </w:r>
          </w:p>
          <w:p w:rsidR="00235869" w:rsidRPr="00BD646C" w:rsidP="001F79B0" w14:paraId="48695454" w14:textId="77777777">
            <w:pPr>
              <w:rPr>
                <w:bCs/>
                <w:sz w:val="22"/>
                <w:szCs w:val="22"/>
                <w:lang w:val="sk-SK"/>
              </w:rPr>
            </w:pPr>
            <w:r w:rsidRPr="00BD646C">
              <w:rPr>
                <w:bCs/>
                <w:sz w:val="22"/>
                <w:szCs w:val="22"/>
                <w:lang w:val="en-US"/>
              </w:rPr>
              <w:t>Tlf</w:t>
            </w:r>
            <w:ins w:id="14572" w:author="AbbVie14" w:date="2025-05-09T10:57:00Z">
              <w:r w:rsidR="00FE3C0F">
                <w:rPr>
                  <w:bCs/>
                  <w:sz w:val="22"/>
                  <w:szCs w:val="22"/>
                  <w:lang w:val="en-US"/>
                </w:rPr>
                <w:t>.</w:t>
              </w:r>
            </w:ins>
            <w:r w:rsidRPr="00BD646C">
              <w:rPr>
                <w:bCs/>
                <w:sz w:val="22"/>
                <w:szCs w:val="22"/>
                <w:lang w:val="en-US"/>
              </w:rPr>
              <w:t>: +45 72 30-20-28</w:t>
            </w:r>
          </w:p>
        </w:tc>
        <w:tc>
          <w:tcPr>
            <w:tcW w:w="4678" w:type="dxa"/>
            <w:gridSpan w:val="2"/>
          </w:tcPr>
          <w:p w:rsidR="00235869" w:rsidRPr="00BD646C" w:rsidP="001F79B0" w14:paraId="0BD505BE" w14:textId="77777777">
            <w:pPr>
              <w:rPr>
                <w:b/>
                <w:bCs/>
                <w:sz w:val="22"/>
                <w:szCs w:val="22"/>
                <w:lang w:val="mt-MT"/>
              </w:rPr>
            </w:pPr>
            <w:r w:rsidRPr="00BD646C">
              <w:rPr>
                <w:b/>
                <w:bCs/>
                <w:sz w:val="22"/>
                <w:szCs w:val="22"/>
                <w:lang w:val="mt-MT"/>
              </w:rPr>
              <w:t>Malta</w:t>
            </w:r>
          </w:p>
          <w:p w:rsidR="00235869" w:rsidRPr="00BD646C" w:rsidP="001F79B0" w14:paraId="0649FABB" w14:textId="77777777">
            <w:pPr>
              <w:rPr>
                <w:bCs/>
                <w:sz w:val="22"/>
                <w:szCs w:val="22"/>
                <w:lang w:val="sk-SK"/>
              </w:rPr>
            </w:pPr>
            <w:r w:rsidRPr="00BD646C">
              <w:rPr>
                <w:bCs/>
                <w:sz w:val="22"/>
                <w:szCs w:val="22"/>
                <w:lang w:val="sk-SK"/>
              </w:rPr>
              <w:t xml:space="preserve">V.J.Salomone Pharma Limited </w:t>
            </w:r>
          </w:p>
          <w:p w:rsidR="00235869" w:rsidRPr="00BD646C" w:rsidP="001F79B0" w14:paraId="5F248DF5" w14:textId="77777777">
            <w:pPr>
              <w:rPr>
                <w:bCs/>
                <w:sz w:val="22"/>
                <w:szCs w:val="22"/>
                <w:lang w:val="sk-SK"/>
              </w:rPr>
            </w:pPr>
            <w:r w:rsidRPr="00BD646C">
              <w:rPr>
                <w:bCs/>
                <w:sz w:val="22"/>
                <w:szCs w:val="22"/>
                <w:lang w:val="sk-SK"/>
              </w:rPr>
              <w:t xml:space="preserve">Tel: </w:t>
            </w:r>
            <w:r w:rsidRPr="00FE3C0F">
              <w:rPr>
                <w:bCs/>
                <w:sz w:val="22"/>
                <w:szCs w:val="22"/>
                <w:rPrChange w:id="14573" w:author="AbbVie14" w:date="2025-05-09T10:57:00Z">
                  <w:rPr>
                    <w:bCs/>
                    <w:szCs w:val="22"/>
                  </w:rPr>
                </w:rPrChange>
              </w:rPr>
              <w:t>+356</w:t>
            </w:r>
            <w:r>
              <w:rPr>
                <w:bCs/>
                <w:szCs w:val="22"/>
              </w:rPr>
              <w:t xml:space="preserve"> </w:t>
            </w:r>
            <w:r w:rsidRPr="00455317">
              <w:rPr>
                <w:bCs/>
                <w:sz w:val="22"/>
                <w:szCs w:val="22"/>
              </w:rPr>
              <w:t>21220174</w:t>
            </w:r>
          </w:p>
          <w:p w:rsidR="00235869" w:rsidRPr="00BD646C" w:rsidP="001F79B0" w14:paraId="1866C86C" w14:textId="77777777">
            <w:pPr>
              <w:rPr>
                <w:bCs/>
                <w:sz w:val="22"/>
                <w:szCs w:val="22"/>
                <w:lang w:val="sk-SK"/>
              </w:rPr>
            </w:pPr>
          </w:p>
        </w:tc>
      </w:tr>
      <w:tr w14:paraId="1A76BDBE" w14:textId="77777777" w:rsidTr="001F79B0">
        <w:tblPrEx>
          <w:tblW w:w="9356" w:type="dxa"/>
          <w:tblInd w:w="-34" w:type="dxa"/>
          <w:tblLayout w:type="fixed"/>
          <w:tblLook w:val="0000"/>
        </w:tblPrEx>
        <w:tc>
          <w:tcPr>
            <w:tcW w:w="4644" w:type="dxa"/>
            <w:gridSpan w:val="2"/>
          </w:tcPr>
          <w:p w:rsidR="00235869" w:rsidRPr="00BD646C" w:rsidP="001F79B0" w14:paraId="027BA38D" w14:textId="77777777">
            <w:pPr>
              <w:rPr>
                <w:b/>
                <w:bCs/>
                <w:sz w:val="22"/>
                <w:szCs w:val="22"/>
                <w:lang w:val="de-DE"/>
              </w:rPr>
            </w:pPr>
            <w:r w:rsidRPr="00BD646C">
              <w:rPr>
                <w:b/>
                <w:bCs/>
                <w:sz w:val="22"/>
                <w:szCs w:val="22"/>
                <w:lang w:val="de-DE"/>
              </w:rPr>
              <w:t>Deutschland</w:t>
            </w:r>
          </w:p>
          <w:p w:rsidR="00235869" w:rsidRPr="00BD646C" w:rsidP="001F79B0" w14:paraId="5C3DF8F7" w14:textId="77777777">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rsidR="00235869" w:rsidRPr="00BD646C" w:rsidP="001F79B0" w14:paraId="50850408" w14:textId="77777777">
            <w:pPr>
              <w:rPr>
                <w:sz w:val="22"/>
                <w:szCs w:val="22"/>
                <w:lang w:val="de-DE"/>
              </w:rPr>
            </w:pPr>
            <w:r w:rsidRPr="00BD646C">
              <w:rPr>
                <w:sz w:val="22"/>
                <w:szCs w:val="22"/>
                <w:lang w:val="de-DE"/>
              </w:rPr>
              <w:t>Tel: 00800 222843 33 (gebührenfrei)</w:t>
            </w:r>
          </w:p>
          <w:p w:rsidR="00235869" w:rsidRPr="00BD646C" w:rsidP="001F79B0" w14:paraId="19F891C2" w14:textId="77777777">
            <w:pPr>
              <w:rPr>
                <w:sz w:val="22"/>
                <w:szCs w:val="22"/>
                <w:lang w:val="de-DE"/>
              </w:rPr>
            </w:pPr>
            <w:r w:rsidRPr="00BD646C">
              <w:rPr>
                <w:sz w:val="22"/>
                <w:szCs w:val="22"/>
                <w:lang w:val="de-DE"/>
              </w:rPr>
              <w:t>Tel: +49 (0) 611 / 1720-0</w:t>
            </w:r>
          </w:p>
          <w:p w:rsidR="00235869" w:rsidRPr="00BD646C" w:rsidP="001F79B0" w14:paraId="6FFC73B3" w14:textId="77777777">
            <w:pPr>
              <w:rPr>
                <w:sz w:val="22"/>
                <w:szCs w:val="22"/>
                <w:lang w:val="de-DE"/>
              </w:rPr>
            </w:pPr>
          </w:p>
        </w:tc>
        <w:tc>
          <w:tcPr>
            <w:tcW w:w="4678" w:type="dxa"/>
            <w:gridSpan w:val="2"/>
          </w:tcPr>
          <w:p w:rsidR="00235869" w:rsidRPr="00BD646C" w:rsidP="001F79B0" w14:paraId="42EF8B05" w14:textId="77777777">
            <w:pPr>
              <w:rPr>
                <w:b/>
                <w:bCs/>
                <w:sz w:val="22"/>
                <w:szCs w:val="22"/>
                <w:lang w:val="nl-NL"/>
              </w:rPr>
            </w:pPr>
            <w:r w:rsidRPr="00BD646C">
              <w:rPr>
                <w:b/>
                <w:bCs/>
                <w:sz w:val="22"/>
                <w:szCs w:val="22"/>
                <w:lang w:val="nl-NL"/>
              </w:rPr>
              <w:t>Nederland</w:t>
            </w:r>
          </w:p>
          <w:p w:rsidR="00235869" w:rsidRPr="00BD646C" w:rsidP="001F79B0" w14:paraId="7AB5155B" w14:textId="77777777">
            <w:pPr>
              <w:rPr>
                <w:bCs/>
                <w:sz w:val="22"/>
                <w:szCs w:val="22"/>
                <w:lang w:val="de-DE"/>
              </w:rPr>
            </w:pPr>
            <w:r w:rsidRPr="00BD646C">
              <w:rPr>
                <w:bCs/>
                <w:sz w:val="22"/>
                <w:szCs w:val="22"/>
                <w:lang w:val="de-DE"/>
              </w:rPr>
              <w:t>AbbVie B.V.</w:t>
            </w:r>
          </w:p>
          <w:p w:rsidR="00235869" w:rsidRPr="00BD646C" w:rsidP="001F79B0" w14:paraId="10013C66" w14:textId="77777777">
            <w:pPr>
              <w:rPr>
                <w:bCs/>
                <w:sz w:val="22"/>
                <w:szCs w:val="22"/>
                <w:lang w:val="de-DE"/>
              </w:rPr>
            </w:pPr>
            <w:r w:rsidRPr="00BD646C">
              <w:rPr>
                <w:bCs/>
                <w:sz w:val="22"/>
                <w:szCs w:val="22"/>
                <w:lang w:val="de-DE"/>
              </w:rPr>
              <w:t>Tel: +31 (0)88 322 2843</w:t>
            </w:r>
          </w:p>
        </w:tc>
      </w:tr>
      <w:tr w14:paraId="4A44AF45" w14:textId="77777777" w:rsidTr="001F79B0">
        <w:tblPrEx>
          <w:tblW w:w="9356" w:type="dxa"/>
          <w:tblInd w:w="-34" w:type="dxa"/>
          <w:tblLayout w:type="fixed"/>
          <w:tblLook w:val="0000"/>
        </w:tblPrEx>
        <w:tc>
          <w:tcPr>
            <w:tcW w:w="4644" w:type="dxa"/>
            <w:gridSpan w:val="2"/>
          </w:tcPr>
          <w:p w:rsidR="00235869" w:rsidRPr="00BD646C" w:rsidP="001F79B0" w14:paraId="5859EDB3" w14:textId="77777777">
            <w:pPr>
              <w:rPr>
                <w:b/>
                <w:bCs/>
                <w:sz w:val="22"/>
                <w:szCs w:val="22"/>
                <w:lang w:val="et-EE"/>
              </w:rPr>
            </w:pPr>
            <w:r w:rsidRPr="00BD646C">
              <w:rPr>
                <w:b/>
                <w:bCs/>
                <w:sz w:val="22"/>
                <w:szCs w:val="22"/>
                <w:lang w:val="et-EE"/>
              </w:rPr>
              <w:t>Eesti</w:t>
            </w:r>
          </w:p>
          <w:p w:rsidR="00235869" w:rsidRPr="00BD646C" w:rsidP="001F79B0" w14:paraId="0D00D767" w14:textId="77777777">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rsidR="00235869" w:rsidRPr="00BD646C" w:rsidP="001F79B0" w14:paraId="7454490E" w14:textId="77777777">
            <w:pPr>
              <w:rPr>
                <w:bCs/>
                <w:sz w:val="22"/>
                <w:szCs w:val="22"/>
                <w:lang w:val="lv-LV"/>
              </w:rPr>
            </w:pPr>
            <w:r w:rsidRPr="00BD646C">
              <w:rPr>
                <w:bCs/>
                <w:sz w:val="22"/>
                <w:szCs w:val="22"/>
                <w:lang w:val="et-EE"/>
              </w:rPr>
              <w:t>Tel: +372 623 1011</w:t>
            </w:r>
          </w:p>
        </w:tc>
        <w:tc>
          <w:tcPr>
            <w:tcW w:w="4678" w:type="dxa"/>
            <w:gridSpan w:val="2"/>
          </w:tcPr>
          <w:p w:rsidR="00235869" w:rsidRPr="00BD646C" w:rsidP="001F79B0" w14:paraId="60839898" w14:textId="77777777">
            <w:pPr>
              <w:rPr>
                <w:b/>
                <w:bCs/>
                <w:sz w:val="22"/>
                <w:szCs w:val="22"/>
                <w:lang w:val="nb-NO"/>
              </w:rPr>
            </w:pPr>
            <w:r w:rsidRPr="00BD646C">
              <w:rPr>
                <w:b/>
                <w:bCs/>
                <w:sz w:val="22"/>
                <w:szCs w:val="22"/>
                <w:lang w:val="nb-NO"/>
              </w:rPr>
              <w:t>Norge</w:t>
            </w:r>
          </w:p>
          <w:p w:rsidR="00235869" w:rsidRPr="00BD646C" w:rsidP="001F79B0" w14:paraId="3381D876" w14:textId="77777777">
            <w:pPr>
              <w:rPr>
                <w:bCs/>
                <w:sz w:val="22"/>
                <w:szCs w:val="22"/>
                <w:lang w:val="sk-SK"/>
              </w:rPr>
            </w:pPr>
            <w:r w:rsidRPr="00BD646C">
              <w:rPr>
                <w:bCs/>
                <w:sz w:val="22"/>
                <w:szCs w:val="22"/>
                <w:lang w:val="sk-SK"/>
              </w:rPr>
              <w:t>AbbVie AS</w:t>
            </w:r>
          </w:p>
          <w:p w:rsidR="00235869" w:rsidRPr="00BD646C" w:rsidP="001F79B0" w14:paraId="1759E729" w14:textId="77777777">
            <w:pPr>
              <w:rPr>
                <w:bCs/>
                <w:sz w:val="22"/>
                <w:szCs w:val="22"/>
                <w:lang w:val="sk-SK"/>
              </w:rPr>
            </w:pPr>
            <w:r w:rsidRPr="00BD646C">
              <w:rPr>
                <w:bCs/>
                <w:sz w:val="22"/>
                <w:szCs w:val="22"/>
                <w:lang w:val="sk-SK"/>
              </w:rPr>
              <w:t>Tlf: +47 67 81 80 00</w:t>
            </w:r>
          </w:p>
          <w:p w:rsidR="00235869" w:rsidRPr="00BD646C" w:rsidP="001F79B0" w14:paraId="6F05BD86" w14:textId="77777777">
            <w:pPr>
              <w:rPr>
                <w:bCs/>
                <w:sz w:val="22"/>
                <w:szCs w:val="22"/>
                <w:lang w:val="sk-SK"/>
              </w:rPr>
            </w:pPr>
          </w:p>
        </w:tc>
      </w:tr>
      <w:tr w14:paraId="7CECAC59" w14:textId="77777777" w:rsidTr="001F79B0">
        <w:tblPrEx>
          <w:tblW w:w="9356" w:type="dxa"/>
          <w:tblInd w:w="-34" w:type="dxa"/>
          <w:tblLayout w:type="fixed"/>
          <w:tblLook w:val="0000"/>
        </w:tblPrEx>
        <w:trPr>
          <w:trHeight w:val="794"/>
        </w:trPr>
        <w:tc>
          <w:tcPr>
            <w:tcW w:w="4644" w:type="dxa"/>
            <w:gridSpan w:val="2"/>
          </w:tcPr>
          <w:p w:rsidR="00235869" w:rsidRPr="00BD646C" w:rsidP="001F79B0" w14:paraId="4804D1FE" w14:textId="77777777">
            <w:pPr>
              <w:rPr>
                <w:b/>
                <w:bCs/>
                <w:sz w:val="22"/>
                <w:szCs w:val="22"/>
                <w:lang w:val="el-GR"/>
              </w:rPr>
            </w:pPr>
            <w:r w:rsidRPr="00BD646C">
              <w:rPr>
                <w:b/>
                <w:bCs/>
                <w:sz w:val="22"/>
                <w:szCs w:val="22"/>
                <w:lang w:val="el-GR"/>
              </w:rPr>
              <w:t>Ελλάδα</w:t>
            </w:r>
          </w:p>
          <w:p w:rsidR="00235869" w:rsidRPr="00BD646C" w:rsidP="001F79B0" w14:paraId="7BF8D4A3" w14:textId="77777777">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rsidR="00235869" w:rsidRPr="00BD646C" w:rsidP="001F79B0" w14:paraId="1402697A" w14:textId="77777777">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rsidR="00235869" w:rsidRPr="00BD646C" w:rsidP="001F79B0" w14:paraId="3B953554" w14:textId="77777777">
            <w:pPr>
              <w:rPr>
                <w:b/>
                <w:bCs/>
                <w:sz w:val="22"/>
                <w:szCs w:val="22"/>
                <w:lang w:val="de-DE"/>
              </w:rPr>
            </w:pPr>
            <w:r w:rsidRPr="00BD646C">
              <w:rPr>
                <w:b/>
                <w:bCs/>
                <w:sz w:val="22"/>
                <w:szCs w:val="22"/>
                <w:lang w:val="de-DE"/>
              </w:rPr>
              <w:t>Österreich</w:t>
            </w:r>
          </w:p>
          <w:p w:rsidR="00235869" w:rsidRPr="00BD646C" w:rsidP="001F79B0" w14:paraId="662BA058" w14:textId="77777777">
            <w:pPr>
              <w:rPr>
                <w:bCs/>
                <w:sz w:val="22"/>
                <w:szCs w:val="22"/>
                <w:lang w:val="de-DE"/>
              </w:rPr>
            </w:pPr>
            <w:r w:rsidRPr="00BD646C">
              <w:rPr>
                <w:bCs/>
                <w:sz w:val="22"/>
                <w:szCs w:val="22"/>
                <w:lang w:val="de-DE"/>
              </w:rPr>
              <w:t xml:space="preserve">AbbVie GmbH </w:t>
            </w:r>
          </w:p>
          <w:p w:rsidR="00235869" w:rsidRPr="00BD646C" w:rsidP="001F79B0" w14:paraId="32B33F17" w14:textId="77777777">
            <w:pPr>
              <w:rPr>
                <w:bCs/>
                <w:sz w:val="22"/>
                <w:szCs w:val="22"/>
                <w:lang w:val="de-DE"/>
              </w:rPr>
            </w:pPr>
            <w:r w:rsidRPr="00BD646C">
              <w:rPr>
                <w:bCs/>
                <w:sz w:val="22"/>
                <w:szCs w:val="22"/>
                <w:lang w:val="de-DE"/>
              </w:rPr>
              <w:t>Tel: +43 1 20589-0</w:t>
            </w:r>
          </w:p>
          <w:p w:rsidR="00235869" w:rsidRPr="00BD646C" w:rsidP="001F79B0" w14:paraId="21881725" w14:textId="77777777">
            <w:pPr>
              <w:rPr>
                <w:bCs/>
                <w:sz w:val="22"/>
                <w:szCs w:val="22"/>
                <w:lang w:val="de-DE"/>
              </w:rPr>
            </w:pPr>
          </w:p>
        </w:tc>
      </w:tr>
      <w:tr w14:paraId="0EEF5A39"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1E9CBE3B" w14:textId="77777777">
            <w:pPr>
              <w:rPr>
                <w:b/>
                <w:bCs/>
                <w:sz w:val="22"/>
                <w:szCs w:val="22"/>
                <w:lang w:val="es-ES"/>
              </w:rPr>
            </w:pPr>
            <w:r w:rsidRPr="00BD646C">
              <w:rPr>
                <w:b/>
                <w:bCs/>
                <w:sz w:val="22"/>
                <w:szCs w:val="22"/>
                <w:lang w:val="es-ES"/>
              </w:rPr>
              <w:t>España</w:t>
            </w:r>
          </w:p>
          <w:p w:rsidR="00235869" w:rsidRPr="00BD646C" w:rsidP="001F79B0" w14:paraId="7E3AA67C" w14:textId="77777777">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rsidR="00235869" w:rsidRPr="00BD646C" w:rsidP="001F79B0" w14:paraId="2B11E712" w14:textId="77777777">
            <w:pPr>
              <w:rPr>
                <w:bCs/>
                <w:sz w:val="22"/>
                <w:szCs w:val="22"/>
                <w:lang w:val="pl-PL"/>
              </w:rPr>
            </w:pPr>
            <w:r w:rsidRPr="00BD646C">
              <w:rPr>
                <w:bCs/>
                <w:sz w:val="22"/>
                <w:szCs w:val="22"/>
                <w:lang w:val="pt-PT"/>
              </w:rPr>
              <w:t>Tel: +34 91 384 09 10</w:t>
            </w:r>
          </w:p>
        </w:tc>
        <w:tc>
          <w:tcPr>
            <w:tcW w:w="4678" w:type="dxa"/>
          </w:tcPr>
          <w:p w:rsidR="00235869" w:rsidRPr="00BD646C" w:rsidP="001F79B0" w14:paraId="68DA7979" w14:textId="77777777">
            <w:pPr>
              <w:rPr>
                <w:b/>
                <w:bCs/>
                <w:iCs/>
                <w:sz w:val="22"/>
                <w:szCs w:val="22"/>
                <w:lang w:val="pl-PL"/>
              </w:rPr>
            </w:pPr>
            <w:r w:rsidRPr="00BD646C">
              <w:rPr>
                <w:b/>
                <w:bCs/>
                <w:iCs/>
                <w:sz w:val="22"/>
                <w:szCs w:val="22"/>
                <w:lang w:val="pl-PL"/>
              </w:rPr>
              <w:t>Polska</w:t>
            </w:r>
          </w:p>
          <w:p w:rsidR="00235869" w:rsidRPr="00BD646C" w:rsidP="001F79B0" w14:paraId="2073124B" w14:textId="77777777">
            <w:pPr>
              <w:rPr>
                <w:bCs/>
                <w:sz w:val="22"/>
                <w:szCs w:val="22"/>
                <w:lang w:val="pl-PL"/>
              </w:rPr>
            </w:pPr>
            <w:r w:rsidRPr="00BD646C">
              <w:rPr>
                <w:bCs/>
                <w:sz w:val="22"/>
                <w:szCs w:val="22"/>
                <w:lang w:val="pl-PL"/>
              </w:rPr>
              <w:t>AbbVie Sp. z o.o.</w:t>
            </w:r>
          </w:p>
          <w:p w:rsidR="00235869" w:rsidRPr="00BD646C" w:rsidP="001F79B0" w14:paraId="799179F8" w14:textId="77777777">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rsidR="00235869" w:rsidRPr="00BD646C" w:rsidP="001F79B0" w14:paraId="5D011E2C" w14:textId="77777777">
            <w:pPr>
              <w:rPr>
                <w:bCs/>
                <w:sz w:val="22"/>
                <w:szCs w:val="22"/>
                <w:lang w:val="pl-PL"/>
              </w:rPr>
            </w:pPr>
          </w:p>
        </w:tc>
      </w:tr>
      <w:tr w14:paraId="65A2C1A7" w14:textId="77777777" w:rsidTr="001F79B0">
        <w:tblPrEx>
          <w:tblW w:w="9356" w:type="dxa"/>
          <w:tblInd w:w="-34" w:type="dxa"/>
          <w:tblLayout w:type="fixed"/>
          <w:tblLook w:val="0000"/>
        </w:tblPrEx>
        <w:trPr>
          <w:trHeight w:val="734"/>
        </w:trPr>
        <w:tc>
          <w:tcPr>
            <w:tcW w:w="4678" w:type="dxa"/>
            <w:gridSpan w:val="3"/>
          </w:tcPr>
          <w:p w:rsidR="00235869" w:rsidRPr="00BD646C" w:rsidP="001F79B0" w14:paraId="0F650730" w14:textId="77777777">
            <w:pPr>
              <w:rPr>
                <w:b/>
                <w:bCs/>
                <w:sz w:val="22"/>
                <w:szCs w:val="22"/>
                <w:lang w:val="fr-FR"/>
              </w:rPr>
            </w:pPr>
            <w:r w:rsidRPr="00BD646C">
              <w:rPr>
                <w:b/>
                <w:bCs/>
                <w:sz w:val="22"/>
                <w:szCs w:val="22"/>
                <w:lang w:val="fr-FR"/>
              </w:rPr>
              <w:t>France</w:t>
            </w:r>
          </w:p>
          <w:p w:rsidR="00235869" w:rsidRPr="00BD646C" w:rsidP="001F79B0" w14:paraId="31D1850B" w14:textId="77777777">
            <w:pPr>
              <w:rPr>
                <w:bCs/>
                <w:sz w:val="22"/>
                <w:szCs w:val="22"/>
                <w:lang w:val="fr-FR"/>
              </w:rPr>
            </w:pPr>
            <w:r w:rsidRPr="00BD646C">
              <w:rPr>
                <w:bCs/>
                <w:sz w:val="22"/>
                <w:szCs w:val="22"/>
                <w:lang w:val="fr-FR"/>
              </w:rPr>
              <w:t>AbbVie</w:t>
            </w:r>
          </w:p>
          <w:p w:rsidR="00235869" w:rsidRPr="00BD646C" w:rsidP="001F79B0" w14:paraId="4DE9D136" w14:textId="77777777">
            <w:pPr>
              <w:rPr>
                <w:bCs/>
                <w:sz w:val="22"/>
                <w:szCs w:val="22"/>
                <w:lang w:val="fr-FR"/>
              </w:rPr>
            </w:pPr>
            <w:r w:rsidRPr="00BD646C">
              <w:rPr>
                <w:bCs/>
                <w:sz w:val="22"/>
                <w:szCs w:val="22"/>
                <w:lang w:val="fr-FR"/>
              </w:rPr>
              <w:t>Tél:</w:t>
            </w:r>
            <w:r w:rsidRPr="00BD646C">
              <w:rPr>
                <w:bCs/>
                <w:sz w:val="22"/>
                <w:szCs w:val="22"/>
                <w:lang w:val="fr-FR"/>
              </w:rPr>
              <w:t xml:space="preserve"> +33 (0) 1 45 60 13 00</w:t>
            </w:r>
          </w:p>
        </w:tc>
        <w:tc>
          <w:tcPr>
            <w:tcW w:w="4678" w:type="dxa"/>
          </w:tcPr>
          <w:p w:rsidR="00235869" w:rsidRPr="00BD646C" w:rsidP="001F79B0" w14:paraId="1E0BD2C5" w14:textId="77777777">
            <w:pPr>
              <w:rPr>
                <w:b/>
                <w:bCs/>
                <w:sz w:val="22"/>
                <w:szCs w:val="22"/>
                <w:lang w:val="pt-PT"/>
              </w:rPr>
            </w:pPr>
            <w:r w:rsidRPr="00BD646C">
              <w:rPr>
                <w:b/>
                <w:bCs/>
                <w:sz w:val="22"/>
                <w:szCs w:val="22"/>
                <w:lang w:val="pt-PT"/>
              </w:rPr>
              <w:t>Portugal</w:t>
            </w:r>
          </w:p>
          <w:p w:rsidR="00235869" w:rsidRPr="00BD646C" w:rsidP="001F79B0" w14:paraId="46A1945A" w14:textId="77777777">
            <w:pPr>
              <w:rPr>
                <w:bCs/>
                <w:sz w:val="22"/>
                <w:szCs w:val="22"/>
                <w:lang w:val="fr-FR"/>
              </w:rPr>
            </w:pPr>
            <w:r w:rsidRPr="00BD646C">
              <w:rPr>
                <w:bCs/>
                <w:sz w:val="22"/>
                <w:szCs w:val="22"/>
                <w:lang w:val="fr-FR"/>
              </w:rPr>
              <w:t xml:space="preserve">AbbVie, </w:t>
            </w:r>
            <w:r w:rsidRPr="00BD646C">
              <w:rPr>
                <w:bCs/>
                <w:sz w:val="22"/>
                <w:szCs w:val="22"/>
                <w:lang w:val="fr-FR"/>
              </w:rPr>
              <w:t>Lda</w:t>
            </w:r>
            <w:r w:rsidRPr="00BD646C">
              <w:rPr>
                <w:bCs/>
                <w:sz w:val="22"/>
                <w:szCs w:val="22"/>
                <w:lang w:val="fr-FR"/>
              </w:rPr>
              <w:t xml:space="preserve">. </w:t>
            </w:r>
          </w:p>
          <w:p w:rsidR="00235869" w:rsidRPr="00BD646C" w:rsidP="001F79B0" w14:paraId="3FC510CB" w14:textId="77777777">
            <w:pPr>
              <w:rPr>
                <w:sz w:val="22"/>
                <w:szCs w:val="22"/>
                <w:lang w:val="fr-FR"/>
              </w:rPr>
            </w:pPr>
            <w:r w:rsidRPr="00BD646C">
              <w:rPr>
                <w:sz w:val="22"/>
                <w:szCs w:val="22"/>
                <w:lang w:val="fr-FR"/>
              </w:rPr>
              <w:t>Tel:</w:t>
            </w:r>
            <w:r w:rsidRPr="00BD646C">
              <w:rPr>
                <w:sz w:val="22"/>
                <w:szCs w:val="22"/>
                <w:lang w:val="fr-FR"/>
              </w:rPr>
              <w:t xml:space="preserve"> +351 (0)21 1908400</w:t>
            </w:r>
          </w:p>
          <w:p w:rsidR="00235869" w:rsidRPr="00BD646C" w:rsidP="001F79B0" w14:paraId="06221C42" w14:textId="77777777">
            <w:pPr>
              <w:rPr>
                <w:sz w:val="22"/>
                <w:szCs w:val="22"/>
                <w:lang w:val="fr-FR"/>
              </w:rPr>
            </w:pPr>
          </w:p>
        </w:tc>
      </w:tr>
      <w:tr w14:paraId="671ACC44" w14:textId="77777777" w:rsidTr="001F79B0">
        <w:tblPrEx>
          <w:tblW w:w="9356" w:type="dxa"/>
          <w:tblInd w:w="-34" w:type="dxa"/>
          <w:tblLayout w:type="fixed"/>
          <w:tblLook w:val="0000"/>
        </w:tblPrEx>
        <w:trPr>
          <w:gridBefore w:val="1"/>
          <w:wBefore w:w="34" w:type="dxa"/>
        </w:trPr>
        <w:tc>
          <w:tcPr>
            <w:tcW w:w="4644" w:type="dxa"/>
            <w:gridSpan w:val="2"/>
          </w:tcPr>
          <w:p w:rsidR="00235869" w:rsidRPr="00D16F00" w:rsidP="001F79B0" w14:paraId="2FEC0DEB" w14:textId="77777777">
            <w:pPr>
              <w:rPr>
                <w:sz w:val="22"/>
                <w:szCs w:val="22"/>
              </w:rPr>
            </w:pPr>
            <w:r w:rsidRPr="00D16F00">
              <w:rPr>
                <w:b/>
                <w:bCs/>
                <w:sz w:val="22"/>
                <w:szCs w:val="22"/>
              </w:rPr>
              <w:t xml:space="preserve">Hrvatska </w:t>
            </w:r>
          </w:p>
          <w:p w:rsidR="00235869" w:rsidRPr="00BD646C" w:rsidP="001F79B0" w14:paraId="0DDEB994" w14:textId="77777777">
            <w:pPr>
              <w:rPr>
                <w:sz w:val="22"/>
                <w:szCs w:val="22"/>
                <w:lang w:val="hr-HR"/>
              </w:rPr>
            </w:pPr>
            <w:r w:rsidRPr="00BD646C">
              <w:rPr>
                <w:sz w:val="22"/>
                <w:szCs w:val="22"/>
                <w:lang w:val="hr-HR"/>
              </w:rPr>
              <w:t>AbbVie d.o.o.</w:t>
            </w:r>
          </w:p>
          <w:p w:rsidR="00235869" w:rsidRPr="00BD646C" w:rsidP="001F79B0" w14:paraId="34822800" w14:textId="77777777">
            <w:pPr>
              <w:rPr>
                <w:bCs/>
                <w:sz w:val="22"/>
                <w:szCs w:val="22"/>
              </w:rPr>
            </w:pPr>
            <w:r w:rsidRPr="00BD646C">
              <w:rPr>
                <w:sz w:val="22"/>
                <w:szCs w:val="22"/>
                <w:lang w:val="hr-HR"/>
              </w:rPr>
              <w:t xml:space="preserve">Tel + 385 (0)1 </w:t>
            </w:r>
            <w:r w:rsidRPr="00BD646C">
              <w:rPr>
                <w:sz w:val="22"/>
                <w:szCs w:val="22"/>
                <w:lang w:val="en-US"/>
              </w:rPr>
              <w:t>5625 501</w:t>
            </w:r>
          </w:p>
        </w:tc>
        <w:tc>
          <w:tcPr>
            <w:tcW w:w="4678" w:type="dxa"/>
          </w:tcPr>
          <w:p w:rsidR="00235869" w:rsidRPr="00BD646C" w:rsidP="001F79B0" w14:paraId="00455B8D" w14:textId="77777777">
            <w:pPr>
              <w:rPr>
                <w:b/>
                <w:bCs/>
                <w:sz w:val="22"/>
                <w:szCs w:val="22"/>
              </w:rPr>
            </w:pPr>
            <w:r w:rsidRPr="00BD646C">
              <w:rPr>
                <w:b/>
                <w:bCs/>
                <w:sz w:val="22"/>
                <w:szCs w:val="22"/>
              </w:rPr>
              <w:t>România</w:t>
            </w:r>
          </w:p>
          <w:p w:rsidR="00235869" w:rsidRPr="00BD646C" w:rsidP="001F79B0" w14:paraId="7FD5D1A3" w14:textId="77777777">
            <w:pPr>
              <w:rPr>
                <w:sz w:val="22"/>
                <w:szCs w:val="22"/>
              </w:rPr>
            </w:pPr>
            <w:r w:rsidRPr="00BD646C">
              <w:rPr>
                <w:sz w:val="22"/>
                <w:szCs w:val="22"/>
              </w:rPr>
              <w:t>AbbVie S.R.L.</w:t>
            </w:r>
          </w:p>
          <w:p w:rsidR="00235869" w:rsidRPr="00BD646C" w:rsidP="001F79B0" w14:paraId="48D85ADE" w14:textId="77777777">
            <w:pPr>
              <w:rPr>
                <w:sz w:val="22"/>
                <w:szCs w:val="22"/>
                <w:lang w:val="pl-PL"/>
              </w:rPr>
            </w:pPr>
            <w:r w:rsidRPr="00BD646C">
              <w:rPr>
                <w:sz w:val="22"/>
                <w:szCs w:val="22"/>
                <w:lang w:val="pl-PL"/>
              </w:rPr>
              <w:t>Tel: +40 21 529 30 35</w:t>
            </w:r>
          </w:p>
          <w:p w:rsidR="00235869" w:rsidRPr="00BD646C" w:rsidP="001F79B0" w14:paraId="2F22DA3B" w14:textId="77777777">
            <w:pPr>
              <w:rPr>
                <w:sz w:val="22"/>
                <w:szCs w:val="22"/>
                <w:lang w:val="pl-PL"/>
              </w:rPr>
            </w:pPr>
          </w:p>
        </w:tc>
      </w:tr>
      <w:tr w14:paraId="23BD58A9"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0A1B4DCF" w14:textId="77777777">
            <w:pPr>
              <w:rPr>
                <w:b/>
                <w:bCs/>
                <w:sz w:val="22"/>
                <w:szCs w:val="22"/>
                <w:lang w:val="sk-SK"/>
              </w:rPr>
            </w:pPr>
            <w:r w:rsidRPr="00BD646C">
              <w:rPr>
                <w:b/>
                <w:bCs/>
                <w:sz w:val="22"/>
                <w:szCs w:val="22"/>
                <w:lang w:val="sk-SK"/>
              </w:rPr>
              <w:t>Ireland</w:t>
            </w:r>
          </w:p>
          <w:p w:rsidR="00235869" w:rsidRPr="00BD646C" w:rsidP="001F79B0" w14:paraId="5484B066" w14:textId="77777777">
            <w:pPr>
              <w:rPr>
                <w:bCs/>
                <w:sz w:val="22"/>
                <w:szCs w:val="22"/>
                <w:lang w:val="sk-SK"/>
              </w:rPr>
            </w:pPr>
            <w:r w:rsidRPr="00BD646C">
              <w:rPr>
                <w:bCs/>
                <w:sz w:val="22"/>
                <w:szCs w:val="22"/>
                <w:lang w:val="sk-SK"/>
              </w:rPr>
              <w:t xml:space="preserve">AbbVie Limited </w:t>
            </w:r>
          </w:p>
          <w:p w:rsidR="00235869" w:rsidRPr="00BD646C" w:rsidP="001F79B0" w14:paraId="01702DB9" w14:textId="77777777">
            <w:pPr>
              <w:rPr>
                <w:bCs/>
                <w:sz w:val="22"/>
                <w:szCs w:val="22"/>
                <w:lang w:val="sk-SK"/>
              </w:rPr>
            </w:pPr>
            <w:r w:rsidRPr="00BD646C">
              <w:rPr>
                <w:bCs/>
                <w:sz w:val="22"/>
                <w:szCs w:val="22"/>
                <w:lang w:val="pt-PT"/>
              </w:rPr>
              <w:t>Tel: +353 (0)1 428790</w:t>
            </w:r>
            <w:r w:rsidR="004B7AC2">
              <w:rPr>
                <w:bCs/>
                <w:sz w:val="22"/>
                <w:szCs w:val="22"/>
                <w:lang w:val="pt-PT"/>
              </w:rPr>
              <w:t>0</w:t>
            </w:r>
          </w:p>
        </w:tc>
        <w:tc>
          <w:tcPr>
            <w:tcW w:w="4678" w:type="dxa"/>
          </w:tcPr>
          <w:p w:rsidR="00235869" w:rsidRPr="00BD646C" w:rsidP="001F79B0" w14:paraId="4796BE90" w14:textId="77777777">
            <w:pPr>
              <w:rPr>
                <w:b/>
                <w:bCs/>
                <w:sz w:val="22"/>
                <w:szCs w:val="22"/>
                <w:lang w:val="sl-SI"/>
              </w:rPr>
            </w:pPr>
            <w:r w:rsidRPr="00BD646C">
              <w:rPr>
                <w:b/>
                <w:bCs/>
                <w:sz w:val="22"/>
                <w:szCs w:val="22"/>
                <w:lang w:val="sl-SI"/>
              </w:rPr>
              <w:t>Slovenija</w:t>
            </w:r>
          </w:p>
          <w:p w:rsidR="00235869" w:rsidRPr="00BD646C" w:rsidP="001F79B0" w14:paraId="7D198888" w14:textId="77777777">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rsidR="00235869" w:rsidRPr="00BD646C" w:rsidP="001F79B0" w14:paraId="5797B620" w14:textId="77777777">
            <w:pPr>
              <w:rPr>
                <w:bCs/>
                <w:sz w:val="22"/>
                <w:szCs w:val="22"/>
                <w:lang w:val="sl-SI"/>
              </w:rPr>
            </w:pPr>
            <w:r w:rsidRPr="00BD646C">
              <w:rPr>
                <w:bCs/>
                <w:sz w:val="22"/>
                <w:szCs w:val="22"/>
                <w:lang w:val="sl-SI"/>
              </w:rPr>
              <w:t>Tel: +386 (1)32 08 060</w:t>
            </w:r>
          </w:p>
          <w:p w:rsidR="00235869" w:rsidRPr="00BD646C" w:rsidP="001F79B0" w14:paraId="7232D90A" w14:textId="77777777">
            <w:pPr>
              <w:rPr>
                <w:bCs/>
                <w:sz w:val="22"/>
                <w:szCs w:val="22"/>
                <w:lang w:val="sl-SI"/>
              </w:rPr>
            </w:pPr>
          </w:p>
        </w:tc>
      </w:tr>
      <w:tr w14:paraId="00BE904B"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31FF00F8" w14:textId="77777777">
            <w:pPr>
              <w:rPr>
                <w:b/>
                <w:bCs/>
                <w:sz w:val="22"/>
                <w:szCs w:val="22"/>
                <w:lang w:val="is-IS"/>
              </w:rPr>
            </w:pPr>
            <w:r w:rsidRPr="00BD646C">
              <w:rPr>
                <w:b/>
                <w:bCs/>
                <w:sz w:val="22"/>
                <w:szCs w:val="22"/>
                <w:lang w:val="is-IS"/>
              </w:rPr>
              <w:t>Ísland</w:t>
            </w:r>
          </w:p>
          <w:p w:rsidR="00235869" w:rsidRPr="00BD646C" w:rsidP="001F79B0" w14:paraId="1ED4FF11" w14:textId="77777777">
            <w:pPr>
              <w:rPr>
                <w:bCs/>
                <w:sz w:val="22"/>
                <w:szCs w:val="22"/>
                <w:lang w:val="sk-SK"/>
              </w:rPr>
            </w:pPr>
            <w:r w:rsidRPr="00BD646C">
              <w:rPr>
                <w:bCs/>
                <w:sz w:val="22"/>
                <w:szCs w:val="22"/>
                <w:lang w:val="sk-SK"/>
              </w:rPr>
              <w:t xml:space="preserve">Vistor </w:t>
            </w:r>
            <w:del w:id="14574" w:author="AbbVie14" w:date="2025-05-09T10:58:00Z">
              <w:r w:rsidRPr="00BD646C">
                <w:rPr>
                  <w:bCs/>
                  <w:sz w:val="22"/>
                  <w:szCs w:val="22"/>
                  <w:lang w:val="sk-SK"/>
                </w:rPr>
                <w:delText>hf.</w:delText>
              </w:r>
            </w:del>
          </w:p>
          <w:p w:rsidR="00235869" w:rsidRPr="00BD646C" w:rsidP="001F79B0" w14:paraId="6C49E1E6" w14:textId="77777777">
            <w:pPr>
              <w:rPr>
                <w:bCs/>
                <w:sz w:val="22"/>
                <w:szCs w:val="22"/>
                <w:lang w:val="sk-SK"/>
              </w:rPr>
            </w:pPr>
            <w:r w:rsidRPr="00BD646C">
              <w:rPr>
                <w:bCs/>
                <w:sz w:val="22"/>
                <w:szCs w:val="22"/>
                <w:lang w:val="sk-SK"/>
              </w:rPr>
              <w:t>Tel: +354 535 7000</w:t>
            </w:r>
          </w:p>
        </w:tc>
        <w:tc>
          <w:tcPr>
            <w:tcW w:w="4678" w:type="dxa"/>
          </w:tcPr>
          <w:p w:rsidR="00235869" w:rsidRPr="00BD646C" w:rsidP="001F79B0" w14:paraId="696C33A2" w14:textId="77777777">
            <w:pPr>
              <w:rPr>
                <w:b/>
                <w:bCs/>
                <w:sz w:val="22"/>
                <w:szCs w:val="22"/>
                <w:lang w:val="sk-SK"/>
              </w:rPr>
            </w:pPr>
            <w:r w:rsidRPr="00BD646C">
              <w:rPr>
                <w:b/>
                <w:bCs/>
                <w:sz w:val="22"/>
                <w:szCs w:val="22"/>
                <w:lang w:val="sk-SK"/>
              </w:rPr>
              <w:t>Slovenská republika</w:t>
            </w:r>
          </w:p>
          <w:p w:rsidR="00235869" w:rsidRPr="00BD646C" w:rsidP="001F79B0" w14:paraId="7705AA16" w14:textId="77777777">
            <w:pPr>
              <w:rPr>
                <w:bCs/>
                <w:sz w:val="22"/>
                <w:szCs w:val="22"/>
                <w:lang w:val="sk-SK"/>
              </w:rPr>
            </w:pPr>
            <w:r w:rsidRPr="00BD646C">
              <w:rPr>
                <w:bCs/>
                <w:sz w:val="22"/>
                <w:szCs w:val="22"/>
                <w:lang w:val="sk-SK"/>
              </w:rPr>
              <w:t>AbbVie s.r.o.</w:t>
            </w:r>
          </w:p>
          <w:p w:rsidR="00235869" w:rsidRPr="00BD646C" w:rsidP="001F79B0" w14:paraId="2F5AFED6" w14:textId="77777777">
            <w:pPr>
              <w:rPr>
                <w:bCs/>
                <w:sz w:val="22"/>
                <w:szCs w:val="22"/>
                <w:lang w:val="sk-SK"/>
              </w:rPr>
            </w:pPr>
            <w:r w:rsidRPr="00BD646C">
              <w:rPr>
                <w:bCs/>
                <w:sz w:val="22"/>
                <w:szCs w:val="22"/>
                <w:lang w:val="sk-SK"/>
              </w:rPr>
              <w:t>Tel: +421 2 5050 0777</w:t>
            </w:r>
          </w:p>
          <w:p w:rsidR="00235869" w:rsidRPr="00BD646C" w:rsidP="001F79B0" w14:paraId="50EF207F" w14:textId="77777777">
            <w:pPr>
              <w:rPr>
                <w:bCs/>
                <w:sz w:val="22"/>
                <w:szCs w:val="22"/>
                <w:lang w:val="sk-SK"/>
              </w:rPr>
            </w:pPr>
          </w:p>
        </w:tc>
      </w:tr>
      <w:tr w14:paraId="7528A492"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29B22CCB" w14:textId="77777777">
            <w:pPr>
              <w:rPr>
                <w:b/>
                <w:bCs/>
                <w:sz w:val="22"/>
                <w:szCs w:val="22"/>
              </w:rPr>
            </w:pPr>
            <w:r w:rsidRPr="00BD646C">
              <w:rPr>
                <w:b/>
                <w:bCs/>
                <w:sz w:val="22"/>
                <w:szCs w:val="22"/>
              </w:rPr>
              <w:t>Italia</w:t>
            </w:r>
          </w:p>
          <w:p w:rsidR="00235869" w:rsidRPr="00BD646C" w:rsidP="001F79B0" w14:paraId="336D2D48" w14:textId="77777777">
            <w:pPr>
              <w:rPr>
                <w:bCs/>
                <w:sz w:val="22"/>
                <w:szCs w:val="22"/>
                <w:lang w:val="pt-PT"/>
              </w:rPr>
            </w:pPr>
            <w:r w:rsidRPr="00BD646C">
              <w:rPr>
                <w:bCs/>
                <w:sz w:val="22"/>
                <w:szCs w:val="22"/>
                <w:lang w:val="pt-PT"/>
              </w:rPr>
              <w:t xml:space="preserve">AbbVie S.r.l. </w:t>
            </w:r>
          </w:p>
          <w:p w:rsidR="00235869" w:rsidRPr="00BD646C" w:rsidP="001F79B0" w14:paraId="7E6EF7B6" w14:textId="77777777">
            <w:pPr>
              <w:rPr>
                <w:bCs/>
                <w:sz w:val="22"/>
                <w:szCs w:val="22"/>
                <w:lang w:val="fi-FI"/>
              </w:rPr>
            </w:pPr>
            <w:r w:rsidRPr="00BD646C">
              <w:rPr>
                <w:bCs/>
                <w:sz w:val="22"/>
                <w:szCs w:val="22"/>
                <w:lang w:val="fr-FR"/>
              </w:rPr>
              <w:t>Tel:</w:t>
            </w:r>
            <w:r w:rsidRPr="00BD646C">
              <w:rPr>
                <w:bCs/>
                <w:sz w:val="22"/>
                <w:szCs w:val="22"/>
                <w:lang w:val="fr-FR"/>
              </w:rPr>
              <w:t xml:space="preserve"> +39 06 928921</w:t>
            </w:r>
          </w:p>
        </w:tc>
        <w:tc>
          <w:tcPr>
            <w:tcW w:w="4678" w:type="dxa"/>
          </w:tcPr>
          <w:p w:rsidR="00235869" w:rsidRPr="00BD646C" w:rsidP="001F79B0" w14:paraId="0221ED6E" w14:textId="77777777">
            <w:pPr>
              <w:rPr>
                <w:b/>
                <w:bCs/>
                <w:sz w:val="22"/>
                <w:szCs w:val="22"/>
                <w:lang w:val="fi-FI"/>
              </w:rPr>
            </w:pPr>
            <w:r w:rsidRPr="00BD646C">
              <w:rPr>
                <w:b/>
                <w:bCs/>
                <w:sz w:val="22"/>
                <w:szCs w:val="22"/>
                <w:lang w:val="fi-FI"/>
              </w:rPr>
              <w:t>Suomi/Finland</w:t>
            </w:r>
          </w:p>
          <w:p w:rsidR="00235869" w:rsidRPr="00BD646C" w:rsidP="001F79B0" w14:paraId="6A9E4AD5" w14:textId="77777777">
            <w:pPr>
              <w:rPr>
                <w:bCs/>
                <w:sz w:val="22"/>
                <w:szCs w:val="22"/>
                <w:lang w:val="de-CH"/>
              </w:rPr>
            </w:pPr>
            <w:r w:rsidRPr="00BD646C">
              <w:rPr>
                <w:bCs/>
                <w:sz w:val="22"/>
                <w:szCs w:val="22"/>
                <w:lang w:val="sk-SK"/>
              </w:rPr>
              <w:t>AbbVie Oy</w:t>
            </w:r>
          </w:p>
          <w:p w:rsidR="00235869" w:rsidRPr="00BD646C" w:rsidP="001F79B0" w14:paraId="55A9BE39" w14:textId="77777777">
            <w:pPr>
              <w:rPr>
                <w:bCs/>
                <w:sz w:val="22"/>
                <w:szCs w:val="22"/>
                <w:lang w:val="sk-SK"/>
              </w:rPr>
            </w:pPr>
            <w:r w:rsidRPr="00BD646C">
              <w:rPr>
                <w:bCs/>
                <w:sz w:val="22"/>
                <w:szCs w:val="22"/>
                <w:lang w:val="sk-SK"/>
              </w:rPr>
              <w:t>Puh/Tel: +358 (0)10 2411 200</w:t>
            </w:r>
          </w:p>
          <w:p w:rsidR="00235869" w:rsidRPr="00BD646C" w:rsidP="001F79B0" w14:paraId="6BF37050" w14:textId="77777777">
            <w:pPr>
              <w:rPr>
                <w:sz w:val="22"/>
                <w:szCs w:val="22"/>
                <w:lang w:val="sk-SK"/>
              </w:rPr>
            </w:pPr>
          </w:p>
        </w:tc>
      </w:tr>
      <w:tr w14:paraId="50B7A872"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235869" w:rsidRPr="00BD646C" w:rsidP="001F79B0" w14:paraId="333E6A74" w14:textId="77777777">
            <w:pPr>
              <w:rPr>
                <w:b/>
                <w:bCs/>
                <w:sz w:val="22"/>
                <w:szCs w:val="22"/>
                <w:lang w:val="el-GR"/>
              </w:rPr>
            </w:pPr>
            <w:r w:rsidRPr="00BD646C">
              <w:rPr>
                <w:b/>
                <w:bCs/>
                <w:sz w:val="22"/>
                <w:szCs w:val="22"/>
                <w:lang w:val="el-GR"/>
              </w:rPr>
              <w:t>Κύπρος</w:t>
            </w:r>
          </w:p>
          <w:p w:rsidR="00235869" w:rsidRPr="00BD646C" w:rsidP="001F79B0" w14:paraId="7C86AFE4" w14:textId="77777777">
            <w:pPr>
              <w:rPr>
                <w:bCs/>
                <w:sz w:val="22"/>
                <w:szCs w:val="22"/>
                <w:lang w:val="el-GR"/>
              </w:rPr>
            </w:pPr>
            <w:r w:rsidRPr="00BD646C">
              <w:rPr>
                <w:bCs/>
                <w:sz w:val="22"/>
                <w:szCs w:val="22"/>
                <w:lang w:val="sk-SK"/>
              </w:rPr>
              <w:t xml:space="preserve">Lifepharma (Z.A.M.) </w:t>
            </w:r>
            <w:r w:rsidRPr="00BD646C">
              <w:rPr>
                <w:bCs/>
                <w:sz w:val="22"/>
                <w:szCs w:val="22"/>
              </w:rPr>
              <w:t>Ltd</w:t>
            </w:r>
          </w:p>
          <w:p w:rsidR="00235869" w:rsidRPr="00BD646C" w:rsidP="001F79B0" w14:paraId="5616B02B" w14:textId="77777777">
            <w:pPr>
              <w:rPr>
                <w:bCs/>
                <w:sz w:val="22"/>
                <w:szCs w:val="22"/>
                <w:lang w:val="lv-LV"/>
              </w:rPr>
            </w:pPr>
            <w:r w:rsidRPr="00BD646C">
              <w:rPr>
                <w:bCs/>
                <w:sz w:val="22"/>
                <w:szCs w:val="22"/>
                <w:lang w:val="el-GR"/>
              </w:rPr>
              <w:t>Τηλ.: +357 22 34 74 40</w:t>
            </w:r>
          </w:p>
        </w:tc>
        <w:tc>
          <w:tcPr>
            <w:tcW w:w="4678" w:type="dxa"/>
          </w:tcPr>
          <w:p w:rsidR="00235869" w:rsidRPr="00BD646C" w:rsidP="001F79B0" w14:paraId="3F7142A7" w14:textId="77777777">
            <w:pPr>
              <w:rPr>
                <w:b/>
                <w:bCs/>
                <w:sz w:val="22"/>
                <w:szCs w:val="22"/>
                <w:lang w:val="sk-SK"/>
              </w:rPr>
            </w:pPr>
            <w:r w:rsidRPr="00BD646C">
              <w:rPr>
                <w:b/>
                <w:bCs/>
                <w:sz w:val="22"/>
                <w:szCs w:val="22"/>
                <w:lang w:val="sk-SK"/>
              </w:rPr>
              <w:t>Sverige</w:t>
            </w:r>
          </w:p>
          <w:p w:rsidR="00235869" w:rsidRPr="00BD646C" w:rsidP="001F79B0" w14:paraId="7716E31F" w14:textId="77777777">
            <w:pPr>
              <w:rPr>
                <w:bCs/>
                <w:sz w:val="22"/>
                <w:szCs w:val="22"/>
                <w:lang w:val="pt-PT"/>
              </w:rPr>
            </w:pPr>
            <w:r w:rsidRPr="00BD646C">
              <w:rPr>
                <w:bCs/>
                <w:sz w:val="22"/>
                <w:szCs w:val="22"/>
                <w:lang w:val="pt-PT"/>
              </w:rPr>
              <w:t>AbbVie AB</w:t>
            </w:r>
          </w:p>
          <w:p w:rsidR="00235869" w:rsidRPr="00BD646C" w:rsidP="001F79B0" w14:paraId="44141007" w14:textId="77777777">
            <w:pPr>
              <w:rPr>
                <w:bCs/>
                <w:sz w:val="22"/>
                <w:szCs w:val="22"/>
                <w:lang w:val="sk-SK"/>
              </w:rPr>
            </w:pPr>
            <w:r w:rsidRPr="00BD646C">
              <w:rPr>
                <w:bCs/>
                <w:sz w:val="22"/>
                <w:szCs w:val="22"/>
                <w:lang w:val="da-DK"/>
              </w:rPr>
              <w:t>Tel: +46 (0)8 684 44 600</w:t>
            </w:r>
          </w:p>
        </w:tc>
      </w:tr>
      <w:tr w14:paraId="3FAF2935"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235869" w:rsidRPr="00BD646C" w:rsidP="001F79B0" w14:paraId="30C5F754" w14:textId="77777777">
            <w:pPr>
              <w:rPr>
                <w:b/>
                <w:bCs/>
                <w:sz w:val="22"/>
                <w:szCs w:val="22"/>
                <w:lang w:val="lv-LV"/>
              </w:rPr>
            </w:pPr>
            <w:r w:rsidRPr="00BD646C">
              <w:rPr>
                <w:b/>
                <w:bCs/>
                <w:sz w:val="22"/>
                <w:szCs w:val="22"/>
                <w:lang w:val="lv-LV"/>
              </w:rPr>
              <w:t>Latvija</w:t>
            </w:r>
          </w:p>
          <w:p w:rsidR="00235869" w:rsidRPr="00BD646C" w:rsidP="001F79B0" w14:paraId="35AE2A28" w14:textId="77777777">
            <w:pPr>
              <w:rPr>
                <w:bCs/>
                <w:sz w:val="22"/>
                <w:szCs w:val="22"/>
                <w:lang w:val="lv-LV"/>
              </w:rPr>
            </w:pPr>
            <w:r w:rsidRPr="00BD646C">
              <w:rPr>
                <w:bCs/>
                <w:sz w:val="22"/>
                <w:szCs w:val="22"/>
                <w:lang w:val="lv-LV"/>
              </w:rPr>
              <w:t xml:space="preserve">AbbVie SIA </w:t>
            </w:r>
          </w:p>
          <w:p w:rsidR="00235869" w:rsidRPr="00BD646C" w:rsidP="001F79B0" w14:paraId="759415CC" w14:textId="77777777">
            <w:pPr>
              <w:rPr>
                <w:bCs/>
                <w:sz w:val="22"/>
                <w:szCs w:val="22"/>
                <w:lang w:val="lv-LV"/>
              </w:rPr>
            </w:pPr>
            <w:r w:rsidRPr="00BD646C">
              <w:rPr>
                <w:bCs/>
                <w:sz w:val="22"/>
                <w:szCs w:val="22"/>
                <w:lang w:val="lv-LV"/>
              </w:rPr>
              <w:t>Tel: +371 67605000</w:t>
            </w:r>
          </w:p>
        </w:tc>
        <w:tc>
          <w:tcPr>
            <w:tcW w:w="4678" w:type="dxa"/>
          </w:tcPr>
          <w:p w:rsidR="00235869" w:rsidRPr="00BD646C" w:rsidP="001F79B0" w14:paraId="4D152812" w14:textId="77777777">
            <w:pPr>
              <w:rPr>
                <w:b/>
                <w:bCs/>
                <w:sz w:val="22"/>
                <w:szCs w:val="22"/>
                <w:lang w:val="sk-SK"/>
              </w:rPr>
            </w:pPr>
          </w:p>
        </w:tc>
      </w:tr>
    </w:tbl>
    <w:p w:rsidR="002305EF" w:rsidRPr="00357925" w:rsidP="0019187E" w14:paraId="3DCCBAF5" w14:textId="77777777">
      <w:pPr>
        <w:keepLines/>
        <w:rPr>
          <w:sz w:val="22"/>
          <w:szCs w:val="22"/>
          <w:lang w:val="en-US"/>
        </w:rPr>
      </w:pPr>
    </w:p>
    <w:p w:rsidR="002305EF" w:rsidRPr="00295E71" w:rsidP="002305EF" w14:paraId="722D27A3" w14:textId="77777777">
      <w:pPr>
        <w:numPr>
          <w:ilvl w:val="12"/>
          <w:numId w:val="0"/>
        </w:numPr>
        <w:tabs>
          <w:tab w:val="left" w:pos="567"/>
        </w:tabs>
        <w:ind w:right="-2"/>
        <w:jc w:val="both"/>
        <w:rPr>
          <w:sz w:val="22"/>
          <w:szCs w:val="22"/>
        </w:rPr>
      </w:pPr>
      <w:r w:rsidRPr="00295E71">
        <w:rPr>
          <w:b/>
          <w:bCs/>
          <w:sz w:val="22"/>
          <w:szCs w:val="22"/>
        </w:rPr>
        <w:t>Questo foglio illustrativo è stato aggiornato il</w:t>
      </w:r>
    </w:p>
    <w:p w:rsidR="002305EF" w:rsidRPr="00295E71" w:rsidP="002305EF" w14:paraId="495681DD" w14:textId="77777777">
      <w:pPr>
        <w:numPr>
          <w:ilvl w:val="12"/>
          <w:numId w:val="0"/>
        </w:numPr>
        <w:tabs>
          <w:tab w:val="left" w:pos="567"/>
        </w:tabs>
        <w:ind w:right="-2"/>
        <w:jc w:val="both"/>
        <w:rPr>
          <w:sz w:val="22"/>
          <w:szCs w:val="22"/>
        </w:rPr>
      </w:pPr>
    </w:p>
    <w:p w:rsidR="002305EF" w:rsidRPr="00295E71" w:rsidP="002305EF" w14:paraId="16C0D99F" w14:textId="77777777">
      <w:pPr>
        <w:numPr>
          <w:ilvl w:val="12"/>
          <w:numId w:val="0"/>
        </w:numPr>
        <w:tabs>
          <w:tab w:val="left" w:pos="567"/>
        </w:tabs>
        <w:ind w:right="-2"/>
        <w:jc w:val="both"/>
        <w:rPr>
          <w:sz w:val="22"/>
          <w:szCs w:val="22"/>
        </w:rPr>
      </w:pPr>
      <w:r w:rsidRPr="00295E71">
        <w:rPr>
          <w:sz w:val="22"/>
          <w:szCs w:val="22"/>
        </w:rPr>
        <w:t xml:space="preserve">Informazioni più dettagliate su questo medicinale sono disponibili sul sito web dell’Agenzia europea dei medicinali: </w:t>
      </w:r>
      <w:ins w:id="14575" w:author="AbbVie14" w:date="2025-05-09T10:58:00Z">
        <w:r w:rsidR="00FE3C0F">
          <w:rPr>
            <w:sz w:val="22"/>
            <w:szCs w:val="22"/>
          </w:rPr>
          <w:fldChar w:fldCharType="begin"/>
        </w:r>
      </w:ins>
      <w:ins w:id="14576" w:author="AbbVie14" w:date="2025-05-09T10:58:00Z">
        <w:r w:rsidR="00FE3C0F">
          <w:rPr>
            <w:sz w:val="22"/>
            <w:szCs w:val="22"/>
          </w:rPr>
          <w:instrText>HYPERLINK "</w:instrText>
        </w:r>
      </w:ins>
      <w:r w:rsidRPr="00FE3C0F" w:rsidR="00FE3C0F">
        <w:rPr>
          <w:rStyle w:val="Hyperlink"/>
          <w:sz w:val="22"/>
          <w:szCs w:val="22"/>
        </w:rPr>
        <w:instrText>http</w:instrText>
      </w:r>
      <w:ins w:id="14577" w:author="AbbVie14" w:date="2025-05-09T10:58:00Z">
        <w:r w:rsidRPr="00FE3C0F" w:rsidR="00FE3C0F">
          <w:rPr>
            <w:rStyle w:val="Hyperlink"/>
            <w:sz w:val="22"/>
            <w:szCs w:val="22"/>
          </w:rPr>
          <w:instrText>s</w:instrText>
        </w:r>
      </w:ins>
      <w:r w:rsidRPr="00FE3C0F" w:rsidR="00FE3C0F">
        <w:rPr>
          <w:rStyle w:val="Hyperlink"/>
          <w:sz w:val="22"/>
          <w:szCs w:val="22"/>
        </w:rPr>
        <w:instrText>://www.ema.europa.eu/</w:instrText>
      </w:r>
      <w:ins w:id="14578" w:author="AbbVie14" w:date="2025-05-09T10:58:00Z">
        <w:r w:rsidR="00FE3C0F">
          <w:rPr>
            <w:sz w:val="22"/>
            <w:szCs w:val="22"/>
          </w:rPr>
          <w:instrText>"</w:instrText>
        </w:r>
      </w:ins>
      <w:ins w:id="14579" w:author="AbbVie14" w:date="2025-05-09T10:58:00Z">
        <w:r w:rsidR="00FE3C0F">
          <w:rPr>
            <w:sz w:val="22"/>
            <w:szCs w:val="22"/>
          </w:rPr>
          <w:fldChar w:fldCharType="separate"/>
        </w:r>
      </w:ins>
      <w:r w:rsidRPr="00FE3C0F" w:rsidR="00FE3C0F">
        <w:rPr>
          <w:rStyle w:val="Hyperlink"/>
          <w:sz w:val="22"/>
          <w:szCs w:val="22"/>
        </w:rPr>
        <w:t>http</w:t>
      </w:r>
      <w:ins w:id="14580" w:author="AbbVie14" w:date="2025-05-09T10:58:00Z">
        <w:r w:rsidRPr="00FE3C0F" w:rsidR="00FE3C0F">
          <w:rPr>
            <w:rStyle w:val="Hyperlink"/>
            <w:sz w:val="22"/>
            <w:szCs w:val="22"/>
          </w:rPr>
          <w:t>s</w:t>
        </w:r>
      </w:ins>
      <w:r w:rsidRPr="00FE3C0F" w:rsidR="00FE3C0F">
        <w:rPr>
          <w:rStyle w:val="Hyperlink"/>
          <w:sz w:val="22"/>
          <w:szCs w:val="22"/>
        </w:rPr>
        <w:t>://www.ema.europa.eu/</w:t>
      </w:r>
      <w:ins w:id="14581" w:author="AbbVie14" w:date="2025-05-09T10:58:00Z">
        <w:r w:rsidR="00FE3C0F">
          <w:rPr>
            <w:sz w:val="22"/>
            <w:szCs w:val="22"/>
          </w:rPr>
          <w:fldChar w:fldCharType="end"/>
        </w:r>
      </w:ins>
      <w:r w:rsidRPr="00295E71">
        <w:rPr>
          <w:sz w:val="22"/>
          <w:szCs w:val="22"/>
        </w:rPr>
        <w:t>.</w:t>
      </w:r>
    </w:p>
    <w:p w:rsidR="002305EF" w:rsidRPr="00295E71" w:rsidP="002305EF" w14:paraId="7F697689" w14:textId="77777777">
      <w:pPr>
        <w:numPr>
          <w:ilvl w:val="12"/>
          <w:numId w:val="0"/>
        </w:numPr>
        <w:tabs>
          <w:tab w:val="left" w:pos="567"/>
        </w:tabs>
        <w:ind w:right="-2"/>
        <w:jc w:val="both"/>
        <w:rPr>
          <w:sz w:val="22"/>
          <w:szCs w:val="22"/>
        </w:rPr>
      </w:pPr>
    </w:p>
    <w:p w:rsidR="002305EF" w:rsidRPr="00295E71" w:rsidP="002305EF" w14:paraId="0BF55471" w14:textId="77777777">
      <w:pPr>
        <w:numPr>
          <w:ilvl w:val="12"/>
          <w:numId w:val="0"/>
        </w:numPr>
        <w:tabs>
          <w:tab w:val="left" w:pos="567"/>
        </w:tabs>
        <w:ind w:right="-2"/>
        <w:jc w:val="both"/>
        <w:rPr>
          <w:b/>
          <w:color w:val="000000"/>
          <w:sz w:val="22"/>
          <w:szCs w:val="22"/>
        </w:rPr>
      </w:pPr>
      <w:r w:rsidRPr="00295E71">
        <w:rPr>
          <w:b/>
          <w:color w:val="000000"/>
          <w:sz w:val="22"/>
          <w:szCs w:val="22"/>
        </w:rPr>
        <w:t xml:space="preserve">Per ascoltare o richiedere una copia di questo foglio illustrativo in </w:t>
      </w:r>
      <w:r w:rsidRPr="00295E71">
        <w:rPr>
          <w:b/>
          <w:color w:val="000000"/>
          <w:sz w:val="22"/>
          <w:szCs w:val="22"/>
          <w:shd w:val="clear" w:color="auto" w:fill="A6A6A6"/>
        </w:rPr>
        <w:t>&lt;Braille&gt;, &lt; stampa a caratteri grandi&gt; o &lt;audio</w:t>
      </w:r>
      <w:r w:rsidRPr="00295E71">
        <w:rPr>
          <w:b/>
          <w:color w:val="000000"/>
          <w:sz w:val="22"/>
          <w:szCs w:val="22"/>
          <w:highlight w:val="darkGray"/>
        </w:rPr>
        <w:t>&gt;</w:t>
      </w:r>
      <w:r w:rsidRPr="00295E71">
        <w:rPr>
          <w:b/>
          <w:color w:val="000000"/>
          <w:sz w:val="22"/>
          <w:szCs w:val="22"/>
        </w:rPr>
        <w:t xml:space="preserve">, contattare il rappresentante locale del </w:t>
      </w:r>
      <w:r w:rsidRPr="00295E71">
        <w:rPr>
          <w:b/>
          <w:sz w:val="22"/>
          <w:szCs w:val="22"/>
        </w:rPr>
        <w:t>titolare dell’autorizzazione all’immissione in commercio</w:t>
      </w:r>
      <w:r w:rsidRPr="00295E71">
        <w:rPr>
          <w:b/>
          <w:color w:val="000000"/>
          <w:sz w:val="22"/>
          <w:szCs w:val="22"/>
        </w:rPr>
        <w:t>.</w:t>
      </w:r>
    </w:p>
    <w:p w:rsidR="000617B7" w:rsidRPr="00295E71" w:rsidP="002305EF" w14:paraId="5DB53177" w14:textId="77777777">
      <w:pPr>
        <w:numPr>
          <w:ilvl w:val="12"/>
          <w:numId w:val="0"/>
        </w:numPr>
        <w:tabs>
          <w:tab w:val="left" w:pos="567"/>
        </w:tabs>
        <w:ind w:right="-2"/>
        <w:jc w:val="both"/>
        <w:rPr>
          <w:b/>
          <w:color w:val="000000"/>
          <w:sz w:val="22"/>
          <w:szCs w:val="22"/>
        </w:rPr>
      </w:pPr>
    </w:p>
    <w:p w:rsidR="000617B7" w:rsidRPr="00295E71" w:rsidP="002305EF" w14:paraId="0B3787D6" w14:textId="77777777">
      <w:pPr>
        <w:numPr>
          <w:ilvl w:val="12"/>
          <w:numId w:val="0"/>
        </w:numPr>
        <w:tabs>
          <w:tab w:val="left" w:pos="567"/>
        </w:tabs>
        <w:ind w:right="-2"/>
        <w:jc w:val="both"/>
        <w:rPr>
          <w:b/>
          <w:color w:val="000000"/>
          <w:sz w:val="22"/>
          <w:szCs w:val="22"/>
        </w:rPr>
      </w:pPr>
    </w:p>
    <w:p w:rsidR="000617B7" w:rsidRPr="00295E71" w:rsidP="000617B7" w14:paraId="6C62DBE8" w14:textId="77777777">
      <w:pPr>
        <w:pStyle w:val="EMEAHeadingLeaflet"/>
        <w:spacing w:beforeLines="0" w:afterLines="0"/>
        <w:rPr>
          <w:rFonts w:ascii="Times New Roman" w:hAnsi="Times New Roman"/>
          <w:lang w:val="it-IT"/>
        </w:rPr>
      </w:pPr>
      <w:r w:rsidRPr="00295E71">
        <w:rPr>
          <w:rFonts w:ascii="Times New Roman" w:hAnsi="Times New Roman"/>
          <w:lang w:val="it-IT"/>
        </w:rPr>
        <w:t>7.</w:t>
      </w:r>
      <w:r w:rsidRPr="00295E71">
        <w:rPr>
          <w:rFonts w:ascii="Times New Roman" w:hAnsi="Times New Roman"/>
          <w:lang w:val="it-IT"/>
        </w:rPr>
        <w:tab/>
      </w:r>
      <w:r w:rsidRPr="00433056" w:rsidR="000F3DEF">
        <w:rPr>
          <w:bCs/>
          <w:lang w:val="it-IT"/>
        </w:rPr>
        <w:t>Iniezione di Humira</w:t>
      </w:r>
    </w:p>
    <w:p w:rsidR="000617B7" w:rsidRPr="00295E71" w:rsidP="00585A90" w14:paraId="279B31D8" w14:textId="77777777">
      <w:pPr>
        <w:pStyle w:val="E-mailSignature"/>
      </w:pPr>
    </w:p>
    <w:p w:rsidR="000617B7" w:rsidRPr="00295E71" w:rsidP="000617B7" w14:paraId="07D3E7F1" w14:textId="77777777">
      <w:pPr>
        <w:numPr>
          <w:ilvl w:val="0"/>
          <w:numId w:val="120"/>
        </w:numPr>
        <w:tabs>
          <w:tab w:val="left" w:pos="720"/>
        </w:tabs>
        <w:suppressAutoHyphens/>
      </w:pPr>
      <w:r w:rsidRPr="00295E71">
        <w:rPr>
          <w:sz w:val="22"/>
          <w:szCs w:val="22"/>
        </w:rPr>
        <w:t>Le seguenti istruzioni spiegano come effettuare al bambino l’iniezione sottocutanea di Humira utilizzando la siringa pre-riempita. Prima di tutto legga attentamente le istruzioni e le segua passo dopo passo</w:t>
      </w:r>
      <w:r w:rsidRPr="00295E71">
        <w:t xml:space="preserve">. </w:t>
      </w:r>
    </w:p>
    <w:p w:rsidR="000617B7" w:rsidRPr="00295E71" w:rsidP="00585A90" w14:paraId="6775AC11" w14:textId="77777777">
      <w:pPr>
        <w:tabs>
          <w:tab w:val="left" w:pos="720"/>
        </w:tabs>
        <w:ind w:left="720"/>
      </w:pPr>
    </w:p>
    <w:p w:rsidR="000617B7" w:rsidRPr="00295E71" w:rsidP="000617B7" w14:paraId="2856E5C3" w14:textId="77777777">
      <w:pPr>
        <w:numPr>
          <w:ilvl w:val="0"/>
          <w:numId w:val="120"/>
        </w:numPr>
        <w:tabs>
          <w:tab w:val="left" w:pos="720"/>
        </w:tabs>
        <w:suppressAutoHyphens/>
      </w:pPr>
      <w:r w:rsidRPr="00295E71">
        <w:rPr>
          <w:sz w:val="22"/>
          <w:szCs w:val="22"/>
        </w:rPr>
        <w:t>Riceverà istruzioni dal medico, dall’infermiere o dal farmacista sulla tecnica d</w:t>
      </w:r>
      <w:r w:rsidRPr="00295E71" w:rsidR="00902407">
        <w:rPr>
          <w:sz w:val="22"/>
          <w:szCs w:val="22"/>
        </w:rPr>
        <w:t>i</w:t>
      </w:r>
      <w:r w:rsidRPr="00295E71">
        <w:rPr>
          <w:sz w:val="22"/>
          <w:szCs w:val="22"/>
        </w:rPr>
        <w:t xml:space="preserve"> somministrazione</w:t>
      </w:r>
      <w:r w:rsidRPr="00295E71" w:rsidR="00902407">
        <w:rPr>
          <w:sz w:val="22"/>
          <w:szCs w:val="22"/>
        </w:rPr>
        <w:t xml:space="preserve"> dell’iniezione</w:t>
      </w:r>
      <w:r w:rsidRPr="00295E71">
        <w:t xml:space="preserve">. </w:t>
      </w:r>
    </w:p>
    <w:p w:rsidR="000617B7" w:rsidRPr="00295E71" w:rsidP="00585A90" w14:paraId="28B93EA9" w14:textId="77777777"/>
    <w:p w:rsidR="000617B7" w:rsidRPr="00295E71" w:rsidP="00CE7335" w14:paraId="65A5A48C" w14:textId="77777777">
      <w:pPr>
        <w:pStyle w:val="ListParagraph"/>
        <w:keepNext/>
        <w:numPr>
          <w:ilvl w:val="0"/>
          <w:numId w:val="120"/>
        </w:numPr>
        <w:jc w:val="both"/>
        <w:rPr>
          <w:sz w:val="22"/>
          <w:szCs w:val="22"/>
        </w:rPr>
      </w:pPr>
      <w:r w:rsidRPr="00295E71">
        <w:rPr>
          <w:sz w:val="22"/>
          <w:szCs w:val="22"/>
        </w:rPr>
        <w:t>Non proceda all’iniezione</w:t>
      </w:r>
      <w:r w:rsidRPr="00295E71" w:rsidR="00CE7335">
        <w:rPr>
          <w:sz w:val="22"/>
          <w:szCs w:val="22"/>
        </w:rPr>
        <w:t xml:space="preserve"> sul bambino</w:t>
      </w:r>
      <w:r w:rsidRPr="00295E71">
        <w:rPr>
          <w:sz w:val="22"/>
          <w:szCs w:val="22"/>
        </w:rPr>
        <w:t xml:space="preserve"> finché non è sicuro di aver capito come preparare ed eseguire l’iniezione.</w:t>
      </w:r>
    </w:p>
    <w:p w:rsidR="000617B7" w:rsidRPr="00295E71" w:rsidP="000617B7" w14:paraId="1EA66FD2" w14:textId="77777777">
      <w:pPr>
        <w:pStyle w:val="ListParagraph"/>
      </w:pPr>
    </w:p>
    <w:p w:rsidR="000617B7" w:rsidRPr="00295E71" w:rsidP="000617B7" w14:paraId="721C8069" w14:textId="77777777">
      <w:pPr>
        <w:numPr>
          <w:ilvl w:val="0"/>
          <w:numId w:val="120"/>
        </w:numPr>
        <w:tabs>
          <w:tab w:val="left" w:pos="720"/>
        </w:tabs>
        <w:suppressAutoHyphens/>
      </w:pPr>
      <w:r w:rsidRPr="00295E71">
        <w:rPr>
          <w:sz w:val="22"/>
          <w:szCs w:val="22"/>
        </w:rPr>
        <w:t>Dopo adeguate istruzioni l’iniezione può essere eseguita dal bambino o da</w:t>
      </w:r>
      <w:r w:rsidRPr="00295E71" w:rsidR="00902407">
        <w:rPr>
          <w:sz w:val="22"/>
          <w:szCs w:val="22"/>
        </w:rPr>
        <w:t xml:space="preserve"> un’altra persona </w:t>
      </w:r>
      <w:r w:rsidRPr="00295E71">
        <w:rPr>
          <w:sz w:val="22"/>
          <w:szCs w:val="22"/>
        </w:rPr>
        <w:t>qual</w:t>
      </w:r>
      <w:r w:rsidRPr="00295E71" w:rsidR="00902407">
        <w:rPr>
          <w:sz w:val="22"/>
          <w:szCs w:val="22"/>
        </w:rPr>
        <w:t>e</w:t>
      </w:r>
      <w:r w:rsidRPr="00295E71">
        <w:rPr>
          <w:sz w:val="22"/>
          <w:szCs w:val="22"/>
        </w:rPr>
        <w:t>, ad esempio, un familiare o un amico</w:t>
      </w:r>
      <w:r w:rsidRPr="00295E71">
        <w:t xml:space="preserve">.  </w:t>
      </w:r>
    </w:p>
    <w:p w:rsidR="000617B7" w:rsidRPr="00295E71" w:rsidP="000617B7" w14:paraId="4A773408" w14:textId="77777777">
      <w:pPr>
        <w:pStyle w:val="ListParagraph"/>
      </w:pPr>
    </w:p>
    <w:p w:rsidR="000617B7" w:rsidRPr="00295E71" w:rsidP="000617B7" w14:paraId="5A13E25C" w14:textId="77777777">
      <w:pPr>
        <w:numPr>
          <w:ilvl w:val="0"/>
          <w:numId w:val="120"/>
        </w:numPr>
        <w:tabs>
          <w:tab w:val="left" w:pos="720"/>
        </w:tabs>
        <w:suppressAutoHyphens/>
      </w:pPr>
      <w:r w:rsidRPr="00295E71">
        <w:rPr>
          <w:sz w:val="22"/>
          <w:szCs w:val="22"/>
        </w:rPr>
        <w:t>Usi ciascuna siringa pre-riempita esclusivamente per una sola iniezione</w:t>
      </w:r>
      <w:r w:rsidRPr="00295E71">
        <w:t>.</w:t>
      </w:r>
    </w:p>
    <w:p w:rsidR="000617B7" w:rsidRPr="00295E71" w:rsidP="001A7A93" w14:paraId="47DFB9E4" w14:textId="77777777">
      <w:pPr>
        <w:tabs>
          <w:tab w:val="left" w:pos="562"/>
        </w:tabs>
      </w:pPr>
    </w:p>
    <w:p w:rsidR="000617B7" w:rsidRPr="00295E71" w:rsidP="00910CE7" w14:paraId="6CEB2AD4" w14:textId="77777777">
      <w:pPr>
        <w:keepNext/>
        <w:rPr>
          <w:b/>
        </w:rPr>
      </w:pPr>
      <w:r w:rsidRPr="00295E71">
        <w:rPr>
          <w:b/>
          <w:sz w:val="22"/>
          <w:szCs w:val="22"/>
        </w:rPr>
        <w:t>Siringa pre-riempita di Humira</w:t>
      </w:r>
    </w:p>
    <w:p w:rsidR="000617B7" w:rsidRPr="00295E71" w:rsidP="00910CE7" w14:paraId="14D70067" w14:textId="77777777">
      <w:pPr>
        <w:keepNext/>
        <w:rPr>
          <w:b/>
        </w:rPr>
      </w:pPr>
    </w:p>
    <w:p w:rsidR="000617B7" w:rsidRPr="00295E71" w:rsidP="00910CE7" w14:paraId="17372CC9" w14:textId="77777777">
      <w:pPr>
        <w:keepNext/>
        <w:rPr>
          <w:b/>
        </w:rPr>
      </w:pPr>
      <w:r w:rsidRPr="00295E71">
        <w:rPr>
          <w:b/>
        </w:rPr>
        <w:tab/>
      </w:r>
      <w:r w:rsidRPr="00295E71">
        <w:rPr>
          <w:b/>
        </w:rPr>
        <w:tab/>
        <w:t>Stantuffo</w:t>
      </w:r>
      <w:r w:rsidRPr="00295E71">
        <w:rPr>
          <w:b/>
        </w:rPr>
        <w:tab/>
        <w:t>Impugnatura per le dita</w:t>
      </w:r>
      <w:r w:rsidRPr="00295E71">
        <w:rPr>
          <w:b/>
        </w:rPr>
        <w:tab/>
        <w:t xml:space="preserve">     Tappo del</w:t>
      </w:r>
      <w:r w:rsidRPr="00295E71" w:rsidR="00627E40">
        <w:rPr>
          <w:b/>
        </w:rPr>
        <w:t>l</w:t>
      </w:r>
      <w:r w:rsidRPr="00295E71">
        <w:rPr>
          <w:b/>
        </w:rPr>
        <w:t>’ago</w:t>
      </w:r>
    </w:p>
    <w:p w:rsidR="000617B7" w:rsidP="00910CE7" w14:paraId="3ABDEBCB" w14:textId="77777777">
      <w:pPr>
        <w:keepNext/>
        <w:jc w:val="center"/>
      </w:pPr>
    </w:p>
    <w:p w:rsidR="00EB5480" w:rsidRPr="00295E71" w:rsidP="00910CE7" w14:paraId="230B9D3F" w14:textId="77777777">
      <w:pPr>
        <w:keepNext/>
        <w:jc w:val="center"/>
      </w:pPr>
      <w:r w:rsidRPr="00910CE7">
        <w:rPr>
          <w:noProof/>
          <w:lang w:val="en-GB"/>
        </w:rPr>
        <w:drawing>
          <wp:inline distT="0" distB="0" distL="0" distR="0">
            <wp:extent cx="3364992" cy="1478124"/>
            <wp:effectExtent l="0" t="0" r="698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umira_Exploded_Syringe_Only_new grey.jpg"/>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rsidR="001A7A93" w:rsidRPr="00295E71" w:rsidP="00910CE7" w14:paraId="0F9C2CD7" w14:textId="77777777">
      <w:pPr>
        <w:pStyle w:val="EMEAHeadingLeaflet"/>
        <w:keepNext/>
        <w:spacing w:beforeLines="0" w:afterLines="0"/>
        <w:rPr>
          <w:rFonts w:ascii="Times New Roman" w:hAnsi="Times New Roman"/>
          <w:b w:val="0"/>
          <w:sz w:val="24"/>
          <w:szCs w:val="24"/>
          <w:lang w:val="it-IT" w:eastAsia="it-IT"/>
        </w:rPr>
      </w:pPr>
    </w:p>
    <w:p w:rsidR="000617B7" w:rsidRPr="00295E71" w:rsidP="00546511" w14:paraId="7570FB5C" w14:textId="77777777">
      <w:pPr>
        <w:pStyle w:val="EMEAHeadingLeaflet"/>
        <w:keepNext/>
        <w:spacing w:beforeLines="0" w:afterLines="0"/>
        <w:rPr>
          <w:rFonts w:ascii="Times New Roman" w:hAnsi="Times New Roman"/>
          <w:szCs w:val="22"/>
          <w:lang w:val="it-IT"/>
        </w:rPr>
      </w:pPr>
      <w:r w:rsidRPr="00295E71">
        <w:rPr>
          <w:rFonts w:ascii="Times New Roman" w:hAnsi="Times New Roman"/>
          <w:szCs w:val="22"/>
          <w:lang w:val="it-IT"/>
        </w:rPr>
        <w:t>Non usi la siringa pre-riempita e si rivolga al medico o al farmacista se</w:t>
      </w:r>
    </w:p>
    <w:p w:rsidR="000617B7" w:rsidRPr="00732563" w:rsidP="00986889" w14:paraId="0A67EEAA" w14:textId="77777777">
      <w:pPr>
        <w:keepNext/>
        <w:numPr>
          <w:ilvl w:val="12"/>
          <w:numId w:val="0"/>
        </w:numPr>
        <w:ind w:left="110" w:right="-2"/>
        <w:rPr>
          <w:sz w:val="22"/>
        </w:rPr>
      </w:pPr>
    </w:p>
    <w:p w:rsidR="001A7A93" w:rsidRPr="00295E71" w:rsidP="001A7A93" w14:paraId="503B9525"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soluzione appare torbida, ha cambiato colore, o presenta flocculi e particelle</w:t>
      </w:r>
    </w:p>
    <w:p w:rsidR="001A7A93" w:rsidRPr="00295E71" w:rsidP="001A7A93" w14:paraId="18D59EC9"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è stata oltrepassata la data di scadenza (Scad.) </w:t>
      </w:r>
    </w:p>
    <w:p w:rsidR="001A7A93" w:rsidRPr="00295E71" w:rsidP="001A7A93" w14:paraId="56393F8A"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soluzione è stata congelata o lasciata esposta alla luce solare diretta</w:t>
      </w:r>
    </w:p>
    <w:p w:rsidR="001A7A93" w:rsidRPr="00295E71" w:rsidP="001A7A93" w14:paraId="6D4765A6"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siringa pre-riempita è caduta o è stata danneggiata</w:t>
      </w:r>
    </w:p>
    <w:p w:rsidR="000617B7" w:rsidRPr="00295E71" w:rsidP="000617B7" w14:paraId="67138D4F" w14:textId="77777777">
      <w:pPr>
        <w:pStyle w:val="EMEANormal"/>
        <w:keepNext/>
        <w:rPr>
          <w:lang w:val="it-IT"/>
        </w:rPr>
      </w:pPr>
    </w:p>
    <w:p w:rsidR="001A7A93" w:rsidRPr="00295E71" w:rsidP="001A7A93" w14:paraId="74210136" w14:textId="77777777">
      <w:pPr>
        <w:pStyle w:val="EMEAHeadingLeaflet"/>
        <w:keepNext/>
        <w:tabs>
          <w:tab w:val="left" w:pos="0"/>
        </w:tabs>
        <w:spacing w:beforeLines="0" w:afterLines="0"/>
        <w:rPr>
          <w:rFonts w:ascii="Times New Roman" w:hAnsi="Times New Roman"/>
          <w:szCs w:val="22"/>
          <w:lang w:val="it-IT"/>
        </w:rPr>
      </w:pPr>
      <w:r w:rsidRPr="00295E71">
        <w:rPr>
          <w:rFonts w:ascii="Times New Roman" w:hAnsi="Times New Roman"/>
          <w:szCs w:val="22"/>
          <w:lang w:val="it-IT"/>
        </w:rPr>
        <w:t>Rimuova il tappo dell’ago solo immediatamente prima dell’iniezione. Tenga Humira fuori dalla vista e dalla portata dei bambini.</w:t>
      </w:r>
    </w:p>
    <w:p w:rsidR="000617B7" w:rsidRPr="00295E71" w:rsidP="000617B7" w14:paraId="31387BF0"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30B80D23" w14:textId="77777777" w:rsidTr="00CE7335">
        <w:tblPrEx>
          <w:tblW w:w="0" w:type="auto"/>
          <w:tblLayout w:type="fixed"/>
          <w:tblLook w:val="04A0"/>
        </w:tblPrEx>
        <w:tc>
          <w:tcPr>
            <w:tcW w:w="9287" w:type="dxa"/>
            <w:gridSpan w:val="2"/>
            <w:tcBorders>
              <w:top w:val="single" w:sz="4" w:space="0" w:color="auto"/>
              <w:left w:val="single" w:sz="4" w:space="0" w:color="auto"/>
              <w:bottom w:val="single" w:sz="4" w:space="0" w:color="auto"/>
              <w:right w:val="single" w:sz="4" w:space="0" w:color="auto"/>
            </w:tcBorders>
          </w:tcPr>
          <w:p w:rsidR="000617B7" w:rsidRPr="00295E71" w:rsidP="00CE7335" w14:paraId="5EF781D3" w14:textId="77777777">
            <w:pPr>
              <w:pStyle w:val="EMEAHeadingLeaflet"/>
              <w:spacing w:beforeLines="0" w:afterLines="0"/>
              <w:rPr>
                <w:rFonts w:ascii="Times New Roman" w:hAnsi="Times New Roman"/>
                <w:lang w:val="it-IT"/>
              </w:rPr>
            </w:pPr>
            <w:r w:rsidRPr="00295E71">
              <w:rPr>
                <w:rFonts w:ascii="Times New Roman" w:hAnsi="Times New Roman"/>
                <w:lang w:val="it-IT"/>
              </w:rPr>
              <w:t>STEP 1</w:t>
            </w:r>
          </w:p>
          <w:p w:rsidR="000617B7" w:rsidRPr="00295E71" w:rsidP="00CE7335" w14:paraId="583C5B1C" w14:textId="77777777">
            <w:pPr>
              <w:pStyle w:val="EMEANormal"/>
              <w:rPr>
                <w:lang w:val="it-IT"/>
              </w:rPr>
            </w:pPr>
          </w:p>
          <w:p w:rsidR="000617B7" w:rsidRPr="00295E71" w:rsidP="00CE7335" w14:paraId="1E802AC0" w14:textId="77777777">
            <w:pPr>
              <w:pStyle w:val="EMEANormal"/>
              <w:rPr>
                <w:lang w:val="it-IT"/>
              </w:rPr>
            </w:pPr>
            <w:r w:rsidRPr="00295E71">
              <w:rPr>
                <w:szCs w:val="20"/>
                <w:lang w:val="it-IT"/>
              </w:rPr>
              <w:t>Tolga Humira dal frigorifero.</w:t>
            </w:r>
          </w:p>
          <w:p w:rsidR="000617B7" w:rsidRPr="00295E71" w:rsidP="00CE7335" w14:paraId="35F4B89B" w14:textId="77777777">
            <w:pPr>
              <w:pStyle w:val="EMEANormal"/>
              <w:rPr>
                <w:lang w:val="it-IT"/>
              </w:rPr>
            </w:pPr>
          </w:p>
          <w:p w:rsidR="001A7A93" w:rsidRPr="00295E71" w:rsidP="001A7A93" w14:paraId="085AD646" w14:textId="77777777">
            <w:pPr>
              <w:pStyle w:val="EMEAHeadingLeaflet"/>
              <w:spacing w:beforeLines="0" w:afterLines="0"/>
              <w:rPr>
                <w:rFonts w:ascii="Times New Roman" w:hAnsi="Times New Roman"/>
                <w:szCs w:val="22"/>
                <w:lang w:val="it-IT"/>
              </w:rPr>
            </w:pPr>
            <w:r w:rsidRPr="00295E71">
              <w:rPr>
                <w:rFonts w:ascii="Times New Roman" w:hAnsi="Times New Roman"/>
                <w:b w:val="0"/>
                <w:szCs w:val="22"/>
                <w:lang w:val="it-IT"/>
              </w:rPr>
              <w:t xml:space="preserve">Prima di effettuare l’iniezione, lasci Humira a temperatura ambiente per </w:t>
            </w:r>
            <w:r w:rsidRPr="00295E71">
              <w:rPr>
                <w:rFonts w:ascii="Times New Roman" w:hAnsi="Times New Roman"/>
                <w:szCs w:val="22"/>
                <w:lang w:val="it-IT"/>
              </w:rPr>
              <w:t>15-30 minuti</w:t>
            </w:r>
            <w:r w:rsidRPr="00295E71">
              <w:rPr>
                <w:rFonts w:ascii="Times New Roman" w:hAnsi="Times New Roman"/>
                <w:b w:val="0"/>
                <w:szCs w:val="22"/>
                <w:lang w:val="it-IT"/>
              </w:rPr>
              <w:t>.</w:t>
            </w:r>
          </w:p>
          <w:p w:rsidR="001A7A93" w:rsidRPr="00295E71" w:rsidP="001A7A93" w14:paraId="1FDAE53E" w14:textId="77777777">
            <w:pPr>
              <w:pStyle w:val="EMEAHeadingLeaflet"/>
              <w:numPr>
                <w:ilvl w:val="0"/>
                <w:numId w:val="101"/>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rimuova il tappo dell’ago mentre attende che Humira raggiunga la temperatura ambiente</w:t>
            </w:r>
          </w:p>
          <w:p w:rsidR="000617B7" w:rsidRPr="00295E71" w:rsidP="001A7A93" w14:paraId="2B993CA3" w14:textId="77777777">
            <w:pPr>
              <w:pStyle w:val="EMEANormal"/>
              <w:numPr>
                <w:ilvl w:val="0"/>
                <w:numId w:val="101"/>
              </w:numPr>
              <w:tabs>
                <w:tab w:val="clear" w:pos="562"/>
                <w:tab w:val="left" w:pos="720"/>
              </w:tabs>
              <w:rPr>
                <w:lang w:val="it-IT"/>
              </w:rPr>
            </w:pPr>
            <w:r w:rsidRPr="00295E71">
              <w:rPr>
                <w:b/>
                <w:lang w:val="it-IT"/>
              </w:rPr>
              <w:t xml:space="preserve">Non </w:t>
            </w:r>
            <w:r w:rsidRPr="00295E71">
              <w:rPr>
                <w:lang w:val="it-IT"/>
              </w:rPr>
              <w:t>riscaldi Humira in altri modi. Ad esempio,</w:t>
            </w:r>
            <w:r w:rsidRPr="00295E71">
              <w:rPr>
                <w:b/>
                <w:lang w:val="it-IT"/>
              </w:rPr>
              <w:t xml:space="preserve"> non</w:t>
            </w:r>
            <w:r w:rsidRPr="00295E71">
              <w:rPr>
                <w:lang w:val="it-IT"/>
              </w:rPr>
              <w:t xml:space="preserve"> riscaldi nel microonde o nell’acqua calda.</w:t>
            </w:r>
          </w:p>
        </w:tc>
      </w:tr>
      <w:tr w14:paraId="74C6449C" w14:textId="77777777" w:rsidTr="00CE7335">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0617B7" w:rsidRPr="00295E71" w:rsidP="00732563" w14:paraId="1FDCBBFA" w14:textId="77777777">
            <w:pPr>
              <w:pStyle w:val="EMEANormal"/>
              <w:rPr>
                <w:b/>
                <w:lang w:val="it-IT"/>
              </w:rPr>
            </w:pPr>
            <w:r w:rsidRPr="00295E71">
              <w:rPr>
                <w:b/>
                <w:lang w:val="it-IT"/>
              </w:rPr>
              <w:t xml:space="preserve">STEP 2 </w:t>
            </w:r>
          </w:p>
          <w:p w:rsidR="000617B7" w:rsidRPr="00295E71" w:rsidP="00732563" w14:paraId="72242B80" w14:textId="77777777">
            <w:pPr>
              <w:pStyle w:val="EMEANormal"/>
              <w:spacing w:before="100" w:beforeAutospacing="1" w:after="100" w:afterAutospacing="1"/>
              <w:rPr>
                <w:b/>
                <w:lang w:val="it-IT"/>
              </w:rPr>
            </w:pPr>
            <w:r w:rsidRPr="00295E71">
              <w:rPr>
                <w:b/>
                <w:lang w:val="it-IT"/>
              </w:rPr>
              <w:t xml:space="preserve">           Siringa</w:t>
            </w:r>
          </w:p>
          <w:p w:rsidR="000617B7" w:rsidP="00732563" w14:paraId="70A5CADA" w14:textId="77777777">
            <w:pPr>
              <w:pStyle w:val="EMEANormal"/>
              <w:rPr>
                <w:lang w:val="it-IT"/>
              </w:rPr>
            </w:pPr>
          </w:p>
          <w:p w:rsidR="00B60D70" w:rsidRPr="00295E71" w:rsidP="00732563" w14:paraId="2364090E" w14:textId="77777777">
            <w:pPr>
              <w:pStyle w:val="EMEANormal"/>
              <w:rPr>
                <w:lang w:val="it-IT"/>
              </w:rPr>
            </w:pPr>
            <w:r w:rsidRPr="00910CE7">
              <w:rPr>
                <w:noProof/>
                <w:lang w:val="en-GB"/>
              </w:rPr>
              <w:drawing>
                <wp:inline distT="0" distB="0" distL="0" distR="0">
                  <wp:extent cx="2217420" cy="2052320"/>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EP_2_SYRINGE_IFU_SETUP_new grey.jpg"/>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rsidR="000617B7" w:rsidRPr="00295E71" w:rsidP="00732563" w14:paraId="4FBC1B4D" w14:textId="77777777">
            <w:pPr>
              <w:pStyle w:val="EMEANormal"/>
              <w:rPr>
                <w:b/>
                <w:lang w:val="it-IT"/>
              </w:rPr>
            </w:pPr>
            <w:r w:rsidRPr="00295E71">
              <w:rPr>
                <w:b/>
                <w:lang w:val="it-IT"/>
              </w:rPr>
              <w:t xml:space="preserve">                 </w:t>
            </w:r>
            <w:r w:rsidRPr="00295E71" w:rsidR="00166FDE">
              <w:rPr>
                <w:b/>
                <w:lang w:val="it-IT"/>
              </w:rPr>
              <w:t>Tampone</w:t>
            </w:r>
          </w:p>
        </w:tc>
        <w:tc>
          <w:tcPr>
            <w:tcW w:w="5579" w:type="dxa"/>
            <w:tcBorders>
              <w:top w:val="single" w:sz="4" w:space="0" w:color="auto"/>
              <w:left w:val="nil"/>
              <w:bottom w:val="single" w:sz="4" w:space="0" w:color="auto"/>
              <w:right w:val="single" w:sz="4" w:space="0" w:color="auto"/>
            </w:tcBorders>
          </w:tcPr>
          <w:p w:rsidR="000617B7" w:rsidRPr="00295E71" w:rsidP="00732563" w14:paraId="7E70422B" w14:textId="77777777">
            <w:pPr>
              <w:pStyle w:val="EMEANormal"/>
              <w:rPr>
                <w:lang w:val="it-IT"/>
              </w:rPr>
            </w:pPr>
            <w:r w:rsidRPr="00295E71">
              <w:rPr>
                <w:bCs/>
                <w:lang w:val="it-IT"/>
              </w:rPr>
              <w:t>Controlli la data di scadenza (Scad.).</w:t>
            </w:r>
            <w:r w:rsidRPr="00295E71" w:rsidR="001B17A1">
              <w:rPr>
                <w:bCs/>
                <w:lang w:val="it-IT"/>
              </w:rPr>
              <w:t xml:space="preserve"> </w:t>
            </w:r>
            <w:r w:rsidRPr="00295E71">
              <w:rPr>
                <w:b/>
                <w:bCs/>
                <w:lang w:val="it-IT"/>
              </w:rPr>
              <w:t>Non</w:t>
            </w:r>
            <w:r w:rsidRPr="00295E71">
              <w:rPr>
                <w:lang w:val="it-IT"/>
              </w:rPr>
              <w:t xml:space="preserve"> usi la siringa pre-riempita se è stata oltrepassata la data di scadenza (Scad.).</w:t>
            </w:r>
          </w:p>
          <w:p w:rsidR="00166FDE" w:rsidRPr="00295E71" w:rsidP="00732563" w14:paraId="33A76CB9" w14:textId="77777777">
            <w:pPr>
              <w:pStyle w:val="EMEAHeadingLeaflet"/>
              <w:spacing w:beforeLines="0" w:afterLines="0"/>
              <w:rPr>
                <w:rFonts w:ascii="Times New Roman" w:hAnsi="Times New Roman"/>
                <w:b w:val="0"/>
                <w:lang w:val="it-IT"/>
              </w:rPr>
            </w:pPr>
          </w:p>
          <w:p w:rsidR="000617B7" w:rsidRPr="00295E71" w:rsidP="00732563" w14:paraId="3902CDD9" w14:textId="77777777">
            <w:pPr>
              <w:pStyle w:val="EMEANormal"/>
              <w:rPr>
                <w:lang w:val="it-IT"/>
              </w:rPr>
            </w:pPr>
            <w:r w:rsidRPr="00295E71">
              <w:rPr>
                <w:szCs w:val="20"/>
                <w:lang w:val="it-IT"/>
              </w:rPr>
              <w:t xml:space="preserve">Disponga i seguenti oggetti su una superficie pulita e piana </w:t>
            </w:r>
          </w:p>
          <w:p w:rsidR="00166FDE" w:rsidRPr="00295E71" w:rsidP="00732563" w14:paraId="3B9FD31A" w14:textId="77777777">
            <w:pPr>
              <w:pStyle w:val="EMEAHeadingLeaflet"/>
              <w:numPr>
                <w:ilvl w:val="0"/>
                <w:numId w:val="102"/>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 xml:space="preserve">1 siringa monouso pre-riempita </w:t>
            </w:r>
          </w:p>
          <w:p w:rsidR="00166FDE" w:rsidRPr="00295E71" w:rsidP="00732563" w14:paraId="7D725B0B" w14:textId="77777777">
            <w:pPr>
              <w:pStyle w:val="EMEAHeadingLeaflet"/>
              <w:numPr>
                <w:ilvl w:val="0"/>
                <w:numId w:val="102"/>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1 tampone imbevuto d’alcool</w:t>
            </w:r>
          </w:p>
          <w:p w:rsidR="000617B7" w:rsidRPr="00295E71" w:rsidP="00732563" w14:paraId="271BA398" w14:textId="77777777">
            <w:pPr>
              <w:pStyle w:val="EMEANormal"/>
              <w:rPr>
                <w:lang w:val="it-IT"/>
              </w:rPr>
            </w:pPr>
          </w:p>
          <w:p w:rsidR="000617B7" w:rsidRPr="00295E71" w:rsidP="00732563" w14:paraId="6A5FB597" w14:textId="77777777">
            <w:pPr>
              <w:pStyle w:val="EMEANormal"/>
              <w:rPr>
                <w:lang w:val="it-IT"/>
              </w:rPr>
            </w:pPr>
            <w:r w:rsidRPr="00295E71">
              <w:rPr>
                <w:lang w:val="it-IT"/>
              </w:rPr>
              <w:t>Si lavi e si asciughi le mani.</w:t>
            </w:r>
          </w:p>
        </w:tc>
      </w:tr>
      <w:tr w14:paraId="418AB403" w14:textId="77777777" w:rsidTr="00CE7335">
        <w:tblPrEx>
          <w:tblW w:w="0" w:type="auto"/>
          <w:tblLayout w:type="fixed"/>
          <w:tblLook w:val="04A0"/>
        </w:tblPrEx>
        <w:tc>
          <w:tcPr>
            <w:tcW w:w="3708" w:type="dxa"/>
            <w:tcBorders>
              <w:top w:val="single" w:sz="4" w:space="0" w:color="auto"/>
              <w:left w:val="single" w:sz="4" w:space="0" w:color="auto"/>
              <w:bottom w:val="single" w:sz="4" w:space="0" w:color="auto"/>
              <w:right w:val="nil"/>
            </w:tcBorders>
          </w:tcPr>
          <w:p w:rsidR="000617B7" w:rsidRPr="00295E71" w:rsidP="00EB5C36" w14:paraId="7542FDF1" w14:textId="77777777">
            <w:pPr>
              <w:pStyle w:val="EMEANormal"/>
              <w:keepNext/>
              <w:rPr>
                <w:b/>
                <w:lang w:val="it-IT"/>
              </w:rPr>
            </w:pPr>
            <w:r w:rsidRPr="00295E71">
              <w:rPr>
                <w:b/>
                <w:lang w:val="it-IT"/>
              </w:rPr>
              <w:t>STEP 3</w:t>
            </w:r>
          </w:p>
          <w:p w:rsidR="000617B7" w:rsidRPr="00295E71" w:rsidP="00EB5C36" w14:paraId="26150EB3" w14:textId="77777777">
            <w:pPr>
              <w:pStyle w:val="EMEANormal"/>
              <w:keepNext/>
              <w:rPr>
                <w:b/>
                <w:lang w:val="it-IT"/>
              </w:rPr>
            </w:pPr>
          </w:p>
          <w:p w:rsidR="000617B7" w:rsidRPr="00295E71" w:rsidP="00EB5C36" w14:paraId="10E19E28" w14:textId="77777777">
            <w:pPr>
              <w:pStyle w:val="EMEANormal"/>
              <w:keepNext/>
              <w:rPr>
                <w:b/>
                <w:lang w:val="it-IT"/>
              </w:rPr>
            </w:pPr>
            <w:r w:rsidRPr="00295E71">
              <w:rPr>
                <w:b/>
                <w:lang w:val="it-IT"/>
              </w:rPr>
              <w:t>Aree di iniezione</w:t>
            </w:r>
          </w:p>
          <w:p w:rsidR="000617B7" w:rsidRPr="00295E71" w:rsidP="00EB5C36" w14:paraId="3A7D0FB1" w14:textId="77777777">
            <w:pPr>
              <w:pStyle w:val="EMEANormal"/>
              <w:keepNext/>
              <w:rPr>
                <w:lang w:val="it-IT"/>
              </w:rPr>
            </w:pPr>
            <w:r w:rsidRPr="00910CE7">
              <w:rPr>
                <w:noProof/>
                <w:lang w:val="en-GB"/>
              </w:rPr>
              <w:drawing>
                <wp:inline distT="0" distB="0" distL="0" distR="0">
                  <wp:extent cx="2280285" cy="2386965"/>
                  <wp:effectExtent l="0" t="0" r="5715" b="0"/>
                  <wp:docPr id="128" name="Picture 128"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25" descr="STEP3_grey"/>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0285" cy="2386965"/>
                          </a:xfrm>
                          <a:prstGeom prst="rect">
                            <a:avLst/>
                          </a:prstGeom>
                          <a:noFill/>
                          <a:ln>
                            <a:noFill/>
                          </a:ln>
                        </pic:spPr>
                      </pic:pic>
                    </a:graphicData>
                  </a:graphic>
                </wp:inline>
              </w:drawing>
            </w:r>
          </w:p>
          <w:p w:rsidR="000617B7" w:rsidRPr="00295E71" w:rsidP="00EB5C36" w14:paraId="6ACFC4C0" w14:textId="77777777">
            <w:pPr>
              <w:pStyle w:val="EMEANormal"/>
              <w:keepNext/>
              <w:rPr>
                <w:b/>
                <w:lang w:val="it-IT"/>
              </w:rPr>
            </w:pPr>
            <w:r w:rsidRPr="00295E71">
              <w:rPr>
                <w:lang w:val="it-IT"/>
              </w:rPr>
              <w:t xml:space="preserve">     </w:t>
            </w:r>
            <w:r w:rsidRPr="00295E71" w:rsidR="00166FDE">
              <w:rPr>
                <w:b/>
                <w:lang w:val="it-IT"/>
              </w:rPr>
              <w:t>Aree di iniezione</w:t>
            </w:r>
          </w:p>
        </w:tc>
        <w:tc>
          <w:tcPr>
            <w:tcW w:w="5579" w:type="dxa"/>
            <w:tcBorders>
              <w:top w:val="single" w:sz="4" w:space="0" w:color="auto"/>
              <w:left w:val="nil"/>
              <w:bottom w:val="single" w:sz="4" w:space="0" w:color="auto"/>
              <w:right w:val="single" w:sz="4" w:space="0" w:color="auto"/>
            </w:tcBorders>
          </w:tcPr>
          <w:p w:rsidR="000617B7" w:rsidRPr="00295E71" w:rsidP="00EB5C36" w14:paraId="3FBBF695" w14:textId="77777777">
            <w:pPr>
              <w:pStyle w:val="EMEAHeadingLeaflet"/>
              <w:keepNext/>
              <w:spacing w:beforeLines="0" w:afterLines="0"/>
              <w:rPr>
                <w:rFonts w:ascii="Times New Roman" w:hAnsi="Times New Roman"/>
                <w:b w:val="0"/>
                <w:lang w:val="it-IT"/>
              </w:rPr>
            </w:pPr>
            <w:r w:rsidRPr="00295E71">
              <w:rPr>
                <w:rFonts w:ascii="Times New Roman" w:hAnsi="Times New Roman"/>
                <w:b w:val="0"/>
                <w:lang w:val="it-IT"/>
              </w:rPr>
              <w:t>Scelga un sito di iniezione:</w:t>
            </w:r>
          </w:p>
          <w:p w:rsidR="000617B7" w:rsidRPr="00295E71" w:rsidP="00EB5C36" w14:paraId="28EF7D49" w14:textId="77777777">
            <w:pPr>
              <w:pStyle w:val="EMEANormal"/>
              <w:keepNext/>
              <w:rPr>
                <w:lang w:val="it-IT"/>
              </w:rPr>
            </w:pPr>
          </w:p>
          <w:p w:rsidR="00166FDE" w:rsidRPr="00295E71" w:rsidP="00EB5C36" w14:paraId="06A6141E"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Sulla parte anteriore della coscia </w:t>
            </w:r>
            <w:r w:rsidRPr="00295E71" w:rsidR="000A20A7">
              <w:rPr>
                <w:rFonts w:ascii="Times New Roman" w:hAnsi="Times New Roman"/>
                <w:b w:val="0"/>
                <w:szCs w:val="22"/>
                <w:lang w:val="it-IT"/>
              </w:rPr>
              <w:t xml:space="preserve">del bambino </w:t>
            </w:r>
            <w:r w:rsidRPr="00295E71">
              <w:rPr>
                <w:rFonts w:ascii="Times New Roman" w:hAnsi="Times New Roman"/>
                <w:b w:val="0"/>
                <w:szCs w:val="22"/>
                <w:lang w:val="it-IT"/>
              </w:rPr>
              <w:t>o</w:t>
            </w:r>
          </w:p>
          <w:p w:rsidR="00166FDE" w:rsidRPr="00295E71" w:rsidP="00EB5C36" w14:paraId="2C5E7806"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Sulla pancia </w:t>
            </w:r>
            <w:r w:rsidRPr="00295E71" w:rsidR="000A20A7">
              <w:rPr>
                <w:rFonts w:ascii="Times New Roman" w:hAnsi="Times New Roman"/>
                <w:b w:val="0"/>
                <w:szCs w:val="22"/>
                <w:lang w:val="it-IT"/>
              </w:rPr>
              <w:t xml:space="preserve">del bambino </w:t>
            </w:r>
            <w:r w:rsidRPr="00295E71">
              <w:rPr>
                <w:rFonts w:ascii="Times New Roman" w:hAnsi="Times New Roman"/>
                <w:b w:val="0"/>
                <w:szCs w:val="22"/>
                <w:lang w:val="it-IT"/>
              </w:rPr>
              <w:t>(addome) ad almeno 5 cm dall’ombelico</w:t>
            </w:r>
            <w:r w:rsidRPr="00295E71" w:rsidR="00527955">
              <w:rPr>
                <w:rFonts w:ascii="Times New Roman" w:hAnsi="Times New Roman"/>
                <w:b w:val="0"/>
                <w:szCs w:val="22"/>
                <w:lang w:val="it-IT"/>
              </w:rPr>
              <w:t xml:space="preserve"> </w:t>
            </w:r>
          </w:p>
          <w:p w:rsidR="00166FDE" w:rsidRPr="00295E71" w:rsidP="00EB5C36" w14:paraId="3F2F4FB4"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Ad almeno 3 cm dall’ultimo sito di iniezione</w:t>
            </w:r>
            <w:r w:rsidRPr="00295E71" w:rsidR="000A20A7">
              <w:rPr>
                <w:rFonts w:ascii="Times New Roman" w:hAnsi="Times New Roman"/>
                <w:b w:val="0"/>
                <w:szCs w:val="22"/>
                <w:lang w:val="it-IT"/>
              </w:rPr>
              <w:t xml:space="preserve"> del bambino</w:t>
            </w:r>
          </w:p>
          <w:p w:rsidR="00166FDE" w:rsidRPr="00295E71" w:rsidP="00EB5C36" w14:paraId="151177D9" w14:textId="77777777">
            <w:pPr>
              <w:pStyle w:val="EMEANormal"/>
              <w:keepNext/>
              <w:rPr>
                <w:lang w:val="it-IT"/>
              </w:rPr>
            </w:pPr>
          </w:p>
          <w:p w:rsidR="00166FDE" w:rsidRPr="00295E71" w:rsidP="00EB5C36" w14:paraId="5A2F6FEF" w14:textId="77777777">
            <w:pPr>
              <w:pStyle w:val="EMEAHeadingLeaflet"/>
              <w:keepNext/>
              <w:spacing w:beforeLines="0" w:afterLines="0"/>
              <w:rPr>
                <w:rFonts w:ascii="Times New Roman" w:hAnsi="Times New Roman"/>
                <w:b w:val="0"/>
                <w:bCs/>
                <w:szCs w:val="22"/>
                <w:lang w:val="it-IT"/>
              </w:rPr>
            </w:pPr>
            <w:r w:rsidRPr="00295E71">
              <w:rPr>
                <w:rFonts w:ascii="Times New Roman" w:hAnsi="Times New Roman"/>
                <w:b w:val="0"/>
                <w:bCs/>
                <w:szCs w:val="22"/>
                <w:lang w:val="it-IT"/>
              </w:rPr>
              <w:t>Strofini il sito di iniezione con movimenti circolari, utilizzando il tampone imbevuto di alcool.</w:t>
            </w:r>
          </w:p>
          <w:p w:rsidR="00166FDE" w:rsidRPr="00295E71" w:rsidP="00EB5C36" w14:paraId="68E61530" w14:textId="77777777">
            <w:pPr>
              <w:pStyle w:val="EMEANormal"/>
              <w:keepNext/>
              <w:rPr>
                <w:lang w:val="it-IT"/>
              </w:rPr>
            </w:pPr>
          </w:p>
          <w:p w:rsidR="00166FDE" w:rsidRPr="00295E71" w:rsidP="00EB5C36" w14:paraId="5DC7CBD2"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inietti attraverso i vestiti</w:t>
            </w:r>
          </w:p>
          <w:p w:rsidR="00166FDE" w:rsidRPr="00295E71" w:rsidP="00EB5C36" w14:paraId="54E31B05" w14:textId="77777777">
            <w:pPr>
              <w:pStyle w:val="EMEANormal"/>
              <w:keepNext/>
              <w:numPr>
                <w:ilvl w:val="0"/>
                <w:numId w:val="103"/>
              </w:numPr>
              <w:tabs>
                <w:tab w:val="clear" w:pos="562"/>
                <w:tab w:val="left" w:pos="757"/>
              </w:tabs>
              <w:rPr>
                <w:lang w:val="it-IT"/>
              </w:rPr>
            </w:pPr>
            <w:r w:rsidRPr="00295E71">
              <w:rPr>
                <w:b/>
                <w:lang w:val="it-IT"/>
              </w:rPr>
              <w:t xml:space="preserve">Non </w:t>
            </w:r>
            <w:r w:rsidRPr="00295E71">
              <w:rPr>
                <w:lang w:val="it-IT"/>
              </w:rPr>
              <w:t>inietti</w:t>
            </w:r>
            <w:r w:rsidRPr="00295E71" w:rsidR="000A20A7">
              <w:rPr>
                <w:lang w:val="it-IT"/>
              </w:rPr>
              <w:t xml:space="preserve"> </w:t>
            </w:r>
            <w:r w:rsidRPr="00295E71">
              <w:rPr>
                <w:lang w:val="it-IT"/>
              </w:rPr>
              <w:t>nei punti in cui la pelle appare arrossata o indurita, sono presenti ematomi,</w:t>
            </w:r>
            <w:r w:rsidRPr="00295E71" w:rsidR="001B17A1">
              <w:rPr>
                <w:lang w:val="it-IT"/>
              </w:rPr>
              <w:t xml:space="preserve"> </w:t>
            </w:r>
            <w:r w:rsidRPr="00295E71">
              <w:rPr>
                <w:lang w:val="it-IT"/>
              </w:rPr>
              <w:t>ulcere, cicatrici, smagliature o in aree con psoriasi a placche</w:t>
            </w:r>
          </w:p>
          <w:p w:rsidR="000617B7" w:rsidRPr="00295E71" w:rsidP="00EB5C36" w14:paraId="27905F97" w14:textId="77777777">
            <w:pPr>
              <w:pStyle w:val="EMEANormal"/>
              <w:keepNext/>
              <w:rPr>
                <w:lang w:val="it-IT"/>
              </w:rPr>
            </w:pPr>
          </w:p>
          <w:p w:rsidR="000617B7" w:rsidRPr="00295E71" w:rsidP="00EB5C36" w14:paraId="68AFF659" w14:textId="77777777">
            <w:pPr>
              <w:pStyle w:val="EMEAHeadingLeaflet"/>
              <w:keepNext/>
              <w:tabs>
                <w:tab w:val="clear" w:pos="562"/>
                <w:tab w:val="left" w:pos="757"/>
              </w:tabs>
              <w:spacing w:before="240" w:after="240"/>
              <w:ind w:left="757"/>
              <w:rPr>
                <w:rFonts w:ascii="Times New Roman" w:hAnsi="Times New Roman"/>
                <w:b w:val="0"/>
                <w:lang w:val="it-IT"/>
              </w:rPr>
            </w:pPr>
          </w:p>
        </w:tc>
      </w:tr>
      <w:tr w14:paraId="3B31D477" w14:textId="77777777" w:rsidTr="00CE7335">
        <w:tblPrEx>
          <w:tblW w:w="0" w:type="auto"/>
          <w:tblLayout w:type="fixed"/>
          <w:tblLook w:val="04A0"/>
        </w:tblPrEx>
        <w:tc>
          <w:tcPr>
            <w:tcW w:w="3708" w:type="dxa"/>
            <w:tcBorders>
              <w:top w:val="single" w:sz="4" w:space="0" w:color="auto"/>
              <w:left w:val="single" w:sz="4" w:space="0" w:color="auto"/>
              <w:bottom w:val="single" w:sz="4" w:space="0" w:color="auto"/>
              <w:right w:val="nil"/>
            </w:tcBorders>
            <w:hideMark/>
          </w:tcPr>
          <w:p w:rsidR="000617B7" w:rsidRPr="00295E71" w:rsidP="00EB5C36" w14:paraId="01289E5A" w14:textId="77777777">
            <w:pPr>
              <w:pStyle w:val="EMEANormal"/>
              <w:rPr>
                <w:b/>
                <w:lang w:val="it-IT"/>
              </w:rPr>
            </w:pPr>
            <w:r w:rsidRPr="00295E71">
              <w:rPr>
                <w:b/>
                <w:lang w:val="it-IT"/>
              </w:rPr>
              <w:t>STEP 4</w:t>
            </w:r>
          </w:p>
          <w:p w:rsidR="000617B7" w:rsidP="00EB5C36" w14:paraId="0E4F8C35" w14:textId="77777777">
            <w:pPr>
              <w:pStyle w:val="EMEANormal"/>
              <w:spacing w:before="100" w:beforeAutospacing="1" w:after="100" w:afterAutospacing="1"/>
              <w:rPr>
                <w:b/>
                <w:lang w:val="it-IT"/>
              </w:rPr>
            </w:pPr>
          </w:p>
          <w:p w:rsidR="00CB74C8" w:rsidRPr="00295E71" w:rsidP="00EB5C36" w14:paraId="1CC298DC" w14:textId="77777777">
            <w:pPr>
              <w:pStyle w:val="EMEANormal"/>
              <w:spacing w:before="100" w:beforeAutospacing="1" w:after="100" w:afterAutospacing="1"/>
              <w:rPr>
                <w:b/>
                <w:lang w:val="it-IT"/>
              </w:rPr>
            </w:pPr>
            <w:r w:rsidRPr="00910CE7">
              <w:rPr>
                <w:b/>
                <w:noProof/>
                <w:lang w:val="en-GB"/>
              </w:rPr>
              <w:drawing>
                <wp:inline distT="0" distB="0" distL="0" distR="0">
                  <wp:extent cx="2011680" cy="1563488"/>
                  <wp:effectExtent l="0" t="0" r="762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TEP_4_SYRINGE_IFU_UNCAP_new grey.jpg"/>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11680" cy="1563488"/>
                          </a:xfrm>
                          <a:prstGeom prst="rect">
                            <a:avLst/>
                          </a:prstGeom>
                        </pic:spPr>
                      </pic:pic>
                    </a:graphicData>
                  </a:graphic>
                </wp:inline>
              </w:drawing>
            </w:r>
          </w:p>
        </w:tc>
        <w:tc>
          <w:tcPr>
            <w:tcW w:w="5579" w:type="dxa"/>
            <w:tcBorders>
              <w:top w:val="single" w:sz="4" w:space="0" w:color="auto"/>
              <w:left w:val="nil"/>
              <w:bottom w:val="single" w:sz="4" w:space="0" w:color="auto"/>
              <w:right w:val="single" w:sz="4" w:space="0" w:color="auto"/>
            </w:tcBorders>
          </w:tcPr>
          <w:p w:rsidR="00166FDE" w:rsidRPr="00295E71" w:rsidP="00EB5C36" w14:paraId="706EF976" w14:textId="77777777">
            <w:pPr>
              <w:pStyle w:val="EMEAHeadingLeaflet"/>
              <w:spacing w:beforeLines="0" w:afterLines="0"/>
              <w:rPr>
                <w:rFonts w:ascii="Times New Roman" w:hAnsi="Times New Roman"/>
                <w:b w:val="0"/>
                <w:bCs/>
                <w:szCs w:val="22"/>
                <w:lang w:val="it-IT"/>
              </w:rPr>
            </w:pPr>
            <w:r w:rsidRPr="00295E71">
              <w:rPr>
                <w:rFonts w:ascii="Times New Roman" w:hAnsi="Times New Roman"/>
                <w:b w:val="0"/>
                <w:bCs/>
                <w:szCs w:val="22"/>
                <w:lang w:val="it-IT"/>
              </w:rPr>
              <w:t>Impugni la siringa pre-riempita con una mano.</w:t>
            </w:r>
          </w:p>
          <w:p w:rsidR="00166FDE" w:rsidRPr="00295E71" w:rsidP="00EB5C36" w14:paraId="6C651BA3" w14:textId="77777777">
            <w:pPr>
              <w:pStyle w:val="EMEANormal"/>
              <w:rPr>
                <w:lang w:val="it-IT"/>
              </w:rPr>
            </w:pPr>
          </w:p>
          <w:p w:rsidR="00166FDE" w:rsidRPr="00295E71" w:rsidP="00EB5C36" w14:paraId="7DE236DE" w14:textId="77777777">
            <w:pPr>
              <w:pStyle w:val="EMEAHeadingLeaflet"/>
              <w:spacing w:beforeLines="0" w:afterLines="0"/>
              <w:rPr>
                <w:rFonts w:ascii="Times New Roman" w:hAnsi="Times New Roman"/>
                <w:b w:val="0"/>
                <w:bCs/>
                <w:szCs w:val="22"/>
                <w:lang w:val="it-IT"/>
              </w:rPr>
            </w:pPr>
            <w:r w:rsidRPr="00295E71">
              <w:rPr>
                <w:rFonts w:ascii="Times New Roman" w:hAnsi="Times New Roman"/>
                <w:b w:val="0"/>
                <w:bCs/>
                <w:szCs w:val="22"/>
                <w:lang w:val="it-IT"/>
              </w:rPr>
              <w:t>Controlli il liquido nella siringa pre-riempita.</w:t>
            </w:r>
          </w:p>
          <w:p w:rsidR="00166FDE" w:rsidRPr="00295E71" w:rsidP="00EB5C36" w14:paraId="6A5FF030" w14:textId="77777777">
            <w:pPr>
              <w:pStyle w:val="EMEANormal"/>
              <w:rPr>
                <w:lang w:val="it-IT"/>
              </w:rPr>
            </w:pPr>
          </w:p>
          <w:p w:rsidR="00166FDE" w:rsidRPr="00295E71" w:rsidP="00EB5C36" w14:paraId="7D8E3FEB" w14:textId="77777777">
            <w:pPr>
              <w:pStyle w:val="EMEAHeadingLeaflet"/>
              <w:numPr>
                <w:ilvl w:val="0"/>
                <w:numId w:val="105"/>
              </w:numPr>
              <w:tabs>
                <w:tab w:val="clear" w:pos="562"/>
                <w:tab w:val="left" w:pos="792"/>
                <w:tab w:val="left" w:pos="1647"/>
              </w:tabs>
              <w:spacing w:beforeLines="0" w:afterLines="0"/>
              <w:ind w:left="792"/>
              <w:rPr>
                <w:rFonts w:ascii="Times New Roman" w:hAnsi="Times New Roman"/>
                <w:b w:val="0"/>
                <w:bCs/>
                <w:szCs w:val="22"/>
                <w:lang w:val="it-IT"/>
              </w:rPr>
            </w:pPr>
            <w:r w:rsidRPr="00295E71">
              <w:rPr>
                <w:rFonts w:ascii="Times New Roman" w:hAnsi="Times New Roman"/>
                <w:b w:val="0"/>
                <w:bCs/>
                <w:szCs w:val="22"/>
                <w:lang w:val="it-IT"/>
              </w:rPr>
              <w:t>Si assicuri che il liquido sia chiaro e incolore</w:t>
            </w:r>
          </w:p>
          <w:p w:rsidR="00166FDE" w:rsidRPr="00295E71" w:rsidP="00EB5C36" w14:paraId="55371C72" w14:textId="77777777">
            <w:pPr>
              <w:pStyle w:val="EMEAHeadingLeaflet"/>
              <w:numPr>
                <w:ilvl w:val="0"/>
                <w:numId w:val="105"/>
              </w:numPr>
              <w:tabs>
                <w:tab w:val="clear" w:pos="562"/>
                <w:tab w:val="left" w:pos="792"/>
                <w:tab w:val="left" w:pos="1647"/>
              </w:tabs>
              <w:spacing w:beforeLines="0" w:afterLines="0"/>
              <w:ind w:left="792"/>
              <w:rPr>
                <w:rFonts w:ascii="Times New Roman" w:hAnsi="Times New Roman"/>
                <w:b w:val="0"/>
                <w:bCs/>
                <w:szCs w:val="22"/>
                <w:lang w:val="it-IT"/>
              </w:rPr>
            </w:pPr>
            <w:r w:rsidRPr="00295E71">
              <w:rPr>
                <w:rFonts w:ascii="Times New Roman" w:hAnsi="Times New Roman"/>
                <w:szCs w:val="22"/>
                <w:lang w:val="it-IT"/>
              </w:rPr>
              <w:t>Non</w:t>
            </w:r>
            <w:r w:rsidRPr="00295E71">
              <w:rPr>
                <w:rFonts w:ascii="Times New Roman" w:hAnsi="Times New Roman"/>
                <w:b w:val="0"/>
                <w:bCs/>
                <w:szCs w:val="22"/>
                <w:lang w:val="it-IT"/>
              </w:rPr>
              <w:t xml:space="preserve"> usi la siringa pre-riempita se il liquido è opaco o contiene particelle</w:t>
            </w:r>
          </w:p>
          <w:p w:rsidR="00166FDE" w:rsidRPr="00295E71" w:rsidP="00EB5C36" w14:paraId="3E4B27D7" w14:textId="77777777">
            <w:pPr>
              <w:pStyle w:val="ListParagraph"/>
              <w:numPr>
                <w:ilvl w:val="0"/>
                <w:numId w:val="105"/>
              </w:numPr>
              <w:ind w:left="792"/>
              <w:rPr>
                <w:bCs/>
                <w:sz w:val="22"/>
                <w:szCs w:val="22"/>
                <w:lang w:eastAsia="en-US"/>
              </w:rPr>
            </w:pPr>
            <w:r w:rsidRPr="00295E71">
              <w:rPr>
                <w:b/>
                <w:sz w:val="22"/>
                <w:szCs w:val="22"/>
              </w:rPr>
              <w:t>Non</w:t>
            </w:r>
            <w:r w:rsidRPr="00295E71">
              <w:rPr>
                <w:bCs/>
                <w:sz w:val="22"/>
                <w:szCs w:val="22"/>
              </w:rPr>
              <w:t xml:space="preserve"> usi </w:t>
            </w:r>
            <w:r w:rsidRPr="00295E71">
              <w:rPr>
                <w:bCs/>
                <w:sz w:val="22"/>
                <w:szCs w:val="22"/>
                <w:lang w:eastAsia="en-US"/>
              </w:rPr>
              <w:t>la siringa pre-riempita se è caduta o è schiacciata</w:t>
            </w:r>
          </w:p>
          <w:p w:rsidR="00166FDE" w:rsidRPr="00295E71" w:rsidP="00EB5C36" w14:paraId="6444488E" w14:textId="77777777">
            <w:pPr>
              <w:ind w:left="360"/>
              <w:rPr>
                <w:bCs/>
                <w:sz w:val="22"/>
                <w:szCs w:val="22"/>
                <w:lang w:eastAsia="en-US"/>
              </w:rPr>
            </w:pPr>
          </w:p>
          <w:p w:rsidR="00166FDE" w:rsidRPr="00295E71" w:rsidP="00EB5C36" w14:paraId="2AA06D8B" w14:textId="77777777">
            <w:pPr>
              <w:pStyle w:val="EMEAHeadingLeaflet"/>
              <w:spacing w:beforeLines="0" w:afterLines="0"/>
              <w:rPr>
                <w:rFonts w:ascii="Times New Roman" w:hAnsi="Times New Roman"/>
                <w:b w:val="0"/>
                <w:bCs/>
                <w:szCs w:val="22"/>
                <w:lang w:val="it-IT"/>
              </w:rPr>
            </w:pPr>
            <w:r w:rsidRPr="00295E71">
              <w:rPr>
                <w:rFonts w:ascii="Times New Roman" w:hAnsi="Times New Roman"/>
                <w:b w:val="0"/>
                <w:bCs/>
                <w:szCs w:val="22"/>
                <w:lang w:val="it-IT"/>
              </w:rPr>
              <w:t>Rimuova il tappo dall’ago della siringa delicatamente con l’altra mano. Getti il tappo. Non riutilizzi il tappo.</w:t>
            </w:r>
          </w:p>
          <w:p w:rsidR="00166FDE" w:rsidRPr="00295E71" w:rsidP="00EB5C36" w14:paraId="67972DEF" w14:textId="77777777">
            <w:pPr>
              <w:pStyle w:val="EMEANormal"/>
              <w:rPr>
                <w:lang w:val="it-IT"/>
              </w:rPr>
            </w:pPr>
          </w:p>
          <w:p w:rsidR="000617B7" w:rsidRPr="00EB5C36" w:rsidP="00EB5C36" w14:paraId="2DCA0BC2" w14:textId="77777777">
            <w:pPr>
              <w:pStyle w:val="ListParagraph"/>
              <w:numPr>
                <w:ilvl w:val="0"/>
                <w:numId w:val="121"/>
              </w:numPr>
              <w:tabs>
                <w:tab w:val="left" w:pos="792"/>
              </w:tabs>
              <w:suppressAutoHyphens/>
              <w:ind w:left="792"/>
              <w:contextualSpacing/>
              <w:rPr>
                <w:bCs/>
                <w:sz w:val="22"/>
                <w:szCs w:val="22"/>
              </w:rPr>
            </w:pPr>
            <w:r w:rsidRPr="00295E71">
              <w:rPr>
                <w:b/>
                <w:sz w:val="22"/>
                <w:szCs w:val="22"/>
              </w:rPr>
              <w:t>Non</w:t>
            </w:r>
            <w:r w:rsidRPr="00295E71">
              <w:rPr>
                <w:bCs/>
                <w:sz w:val="22"/>
                <w:szCs w:val="22"/>
              </w:rPr>
              <w:t xml:space="preserve"> tocchi l’ago con le dita, e si assicuri che l’ago non entri in contatto con alcunché</w:t>
            </w:r>
          </w:p>
        </w:tc>
      </w:tr>
      <w:tr w14:paraId="679806C2" w14:textId="77777777" w:rsidTr="00CE7335">
        <w:tblPrEx>
          <w:tblW w:w="0" w:type="auto"/>
          <w:tblLayout w:type="fixed"/>
          <w:tblLook w:val="04A0"/>
        </w:tblPrEx>
        <w:tc>
          <w:tcPr>
            <w:tcW w:w="3708" w:type="dxa"/>
            <w:tcBorders>
              <w:top w:val="single" w:sz="4" w:space="0" w:color="auto"/>
              <w:left w:val="single" w:sz="4" w:space="0" w:color="auto"/>
              <w:bottom w:val="single" w:sz="4" w:space="0" w:color="auto"/>
              <w:right w:val="nil"/>
            </w:tcBorders>
            <w:hideMark/>
          </w:tcPr>
          <w:p w:rsidR="000617B7" w:rsidRPr="00295E71" w:rsidP="00732563" w14:paraId="01B09B8C" w14:textId="77777777">
            <w:pPr>
              <w:pStyle w:val="EMEANormal"/>
              <w:rPr>
                <w:b/>
                <w:lang w:val="it-IT"/>
              </w:rPr>
            </w:pPr>
            <w:r w:rsidRPr="00295E71">
              <w:rPr>
                <w:b/>
                <w:lang w:val="it-IT"/>
              </w:rPr>
              <w:t>STEP 5</w:t>
            </w:r>
          </w:p>
          <w:p w:rsidR="000617B7" w:rsidRPr="00295E71" w:rsidP="00732563" w14:paraId="6F4BF3D1" w14:textId="77777777">
            <w:pPr>
              <w:pStyle w:val="EMEANormal"/>
              <w:rPr>
                <w:lang w:val="it-IT"/>
              </w:rPr>
            </w:pPr>
            <w:r w:rsidRPr="00910CE7">
              <w:rPr>
                <w:noProof/>
                <w:lang w:val="en-GB"/>
              </w:rPr>
              <w:drawing>
                <wp:inline distT="0" distB="0" distL="0" distR="0">
                  <wp:extent cx="1995170" cy="1971040"/>
                  <wp:effectExtent l="0" t="0" r="5080" b="0"/>
                  <wp:docPr id="130" name="Picture 130"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27" descr="STEP_5_SYRINGE_IFU_FILLING_grey"/>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5170" cy="1971040"/>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rsidR="00166FDE" w:rsidRPr="00295E71" w:rsidP="00732563" w14:paraId="4FD58E57" w14:textId="77777777">
            <w:pPr>
              <w:pStyle w:val="EMEANormal"/>
              <w:tabs>
                <w:tab w:val="left" w:pos="0"/>
              </w:tabs>
              <w:rPr>
                <w:lang w:val="it-IT"/>
              </w:rPr>
            </w:pPr>
            <w:r w:rsidRPr="00295E71">
              <w:rPr>
                <w:lang w:val="it-IT"/>
              </w:rPr>
              <w:t>Impugni la siringa pre-riempita con l’ago rivolto verso l’alto.</w:t>
            </w:r>
          </w:p>
          <w:p w:rsidR="00166FDE" w:rsidRPr="00295E71" w:rsidP="00732563" w14:paraId="4EC28249" w14:textId="77777777">
            <w:pPr>
              <w:pStyle w:val="EMEANormal"/>
              <w:tabs>
                <w:tab w:val="left" w:pos="0"/>
              </w:tabs>
              <w:rPr>
                <w:lang w:val="it-IT"/>
              </w:rPr>
            </w:pPr>
          </w:p>
          <w:p w:rsidR="00166FDE" w:rsidRPr="00295E71" w:rsidP="00732563" w14:paraId="170D0CD4" w14:textId="77777777">
            <w:pPr>
              <w:pStyle w:val="EMEABullet2"/>
              <w:numPr>
                <w:ilvl w:val="0"/>
                <w:numId w:val="14"/>
              </w:numPr>
              <w:tabs>
                <w:tab w:val="clear" w:pos="567"/>
              </w:tabs>
              <w:rPr>
                <w:szCs w:val="22"/>
                <w:lang w:val="it-IT"/>
              </w:rPr>
            </w:pPr>
            <w:r w:rsidRPr="00295E71">
              <w:rPr>
                <w:szCs w:val="22"/>
                <w:lang w:val="it-IT"/>
              </w:rPr>
              <w:t>Tenga la siringa pre-riempita all’altezza degli occhi con una mano, in modo da vedere l’aria contenuta nella siringa pre-riempita</w:t>
            </w:r>
          </w:p>
          <w:p w:rsidR="00166FDE" w:rsidRPr="00295E71" w:rsidP="00732563" w14:paraId="6AB1E07A" w14:textId="77777777">
            <w:pPr>
              <w:pStyle w:val="EMEANormal"/>
              <w:rPr>
                <w:lang w:val="it-IT"/>
              </w:rPr>
            </w:pPr>
          </w:p>
          <w:p w:rsidR="00166FDE" w:rsidRPr="00295E71" w:rsidP="00732563" w14:paraId="44FDA2C1" w14:textId="77777777">
            <w:pPr>
              <w:pStyle w:val="EMEANormal"/>
              <w:rPr>
                <w:lang w:val="it-IT"/>
              </w:rPr>
            </w:pPr>
            <w:r w:rsidRPr="00295E71">
              <w:rPr>
                <w:lang w:val="it-IT"/>
              </w:rPr>
              <w:t xml:space="preserve">Spinga lentamente lo stantuffo per far uscire l’aria attraverso l’ago. </w:t>
            </w:r>
          </w:p>
          <w:p w:rsidR="00166FDE" w:rsidRPr="00295E71" w:rsidP="00732563" w14:paraId="5159984F" w14:textId="77777777">
            <w:pPr>
              <w:pStyle w:val="EMEANormal"/>
              <w:rPr>
                <w:lang w:val="it-IT"/>
              </w:rPr>
            </w:pPr>
          </w:p>
          <w:p w:rsidR="00166FDE" w:rsidRPr="00295E71" w:rsidP="00732563" w14:paraId="7534F280" w14:textId="77777777">
            <w:pPr>
              <w:pStyle w:val="EMEABullet2"/>
              <w:numPr>
                <w:ilvl w:val="0"/>
                <w:numId w:val="14"/>
              </w:numPr>
              <w:tabs>
                <w:tab w:val="clear" w:pos="567"/>
                <w:tab w:val="clear" w:pos="720"/>
                <w:tab w:val="num" w:pos="792"/>
              </w:tabs>
              <w:ind w:left="792"/>
              <w:rPr>
                <w:szCs w:val="22"/>
                <w:lang w:val="it-IT"/>
              </w:rPr>
            </w:pPr>
            <w:r w:rsidRPr="00295E71">
              <w:rPr>
                <w:szCs w:val="22"/>
                <w:lang w:val="it-IT"/>
              </w:rPr>
              <w:t>È normale vedere una goccia di liquido alla fine dell’ago</w:t>
            </w:r>
          </w:p>
          <w:p w:rsidR="000617B7" w:rsidRPr="00295E71" w:rsidP="00732563" w14:paraId="0B48169C" w14:textId="77777777">
            <w:pPr>
              <w:pStyle w:val="EMEANormal"/>
              <w:rPr>
                <w:lang w:val="it-IT"/>
              </w:rPr>
            </w:pPr>
          </w:p>
        </w:tc>
      </w:tr>
      <w:tr w14:paraId="79DA7659" w14:textId="77777777" w:rsidTr="00CE7335">
        <w:tblPrEx>
          <w:tblW w:w="0" w:type="auto"/>
          <w:tblLayout w:type="fixed"/>
          <w:tblLook w:val="04A0"/>
        </w:tblPrEx>
        <w:tc>
          <w:tcPr>
            <w:tcW w:w="3708" w:type="dxa"/>
            <w:tcBorders>
              <w:top w:val="single" w:sz="4" w:space="0" w:color="auto"/>
              <w:left w:val="single" w:sz="4" w:space="0" w:color="auto"/>
              <w:bottom w:val="single" w:sz="4" w:space="0" w:color="auto"/>
              <w:right w:val="nil"/>
            </w:tcBorders>
            <w:hideMark/>
          </w:tcPr>
          <w:p w:rsidR="000617B7" w:rsidRPr="00295E71" w:rsidP="00910CE7" w14:paraId="4E482122" w14:textId="77777777">
            <w:pPr>
              <w:pStyle w:val="EMEANormal"/>
              <w:keepNext/>
              <w:rPr>
                <w:b/>
                <w:lang w:val="it-IT"/>
              </w:rPr>
            </w:pPr>
            <w:r w:rsidRPr="00295E71">
              <w:rPr>
                <w:lang w:val="it-IT"/>
              </w:rPr>
              <w:br w:type="page"/>
            </w:r>
            <w:r w:rsidRPr="00295E71">
              <w:rPr>
                <w:b/>
                <w:lang w:val="it-IT"/>
              </w:rPr>
              <w:t>STEP 6</w:t>
            </w:r>
          </w:p>
          <w:p w:rsidR="000617B7" w:rsidRPr="00295E71" w:rsidP="00910CE7" w14:paraId="402BFB54" w14:textId="77777777">
            <w:pPr>
              <w:pStyle w:val="EMEANormal"/>
              <w:keepNext/>
              <w:spacing w:before="100" w:beforeAutospacing="1" w:after="100" w:afterAutospacing="1"/>
              <w:rPr>
                <w:b/>
                <w:lang w:val="it-IT"/>
              </w:rPr>
            </w:pPr>
            <w:r w:rsidRPr="00910CE7">
              <w:rPr>
                <w:noProof/>
                <w:lang w:val="en-GB"/>
              </w:rPr>
              <w:drawing>
                <wp:inline distT="0" distB="0" distL="0" distR="0">
                  <wp:extent cx="2244725" cy="2137410"/>
                  <wp:effectExtent l="0" t="0" r="3175" b="0"/>
                  <wp:docPr id="131" name="Picture 131"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28" descr="STEP_6_SYRINGE_IFU_PRE-INJECTION_grey"/>
                          <pic:cNvPicPr>
                            <a:picLocks noChangeAspect="1" noChangeArrowheads="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4725" cy="2137410"/>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rsidR="00166FDE" w:rsidRPr="00295E71" w:rsidP="00986889" w14:paraId="7255A785" w14:textId="77777777">
            <w:pPr>
              <w:rPr>
                <w:sz w:val="22"/>
                <w:szCs w:val="22"/>
              </w:rPr>
            </w:pPr>
            <w:r w:rsidRPr="004A6E45">
              <w:rPr>
                <w:sz w:val="22"/>
                <w:szCs w:val="22"/>
              </w:rPr>
              <w:t>Impugni la siringa pre-riempita con una mano tra il pollice e l’indice, come una matita</w:t>
            </w:r>
            <w:r w:rsidR="001D6902">
              <w:rPr>
                <w:sz w:val="22"/>
                <w:szCs w:val="22"/>
              </w:rPr>
              <w:t>.</w:t>
            </w:r>
          </w:p>
          <w:p w:rsidR="00166FDE" w:rsidRPr="00295E71" w:rsidP="00986889" w14:paraId="5B0889A2" w14:textId="77777777">
            <w:pPr>
              <w:rPr>
                <w:sz w:val="22"/>
                <w:szCs w:val="22"/>
              </w:rPr>
            </w:pPr>
            <w:r w:rsidRPr="00295E71">
              <w:rPr>
                <w:sz w:val="22"/>
                <w:szCs w:val="22"/>
              </w:rPr>
              <w:t>Con l’altra mano afferri la pelle in corrispondenza del sito di iniezione per sollevarla e la tenga saldamente</w:t>
            </w:r>
          </w:p>
          <w:p w:rsidR="000617B7" w:rsidRPr="00295E71" w:rsidP="00986889" w14:paraId="7194F07A" w14:textId="77777777">
            <w:pPr>
              <w:spacing w:before="100" w:beforeAutospacing="1" w:after="100" w:afterAutospacing="1"/>
            </w:pPr>
          </w:p>
        </w:tc>
      </w:tr>
      <w:tr w14:paraId="192BC2CD" w14:textId="77777777" w:rsidTr="00CE7335">
        <w:tblPrEx>
          <w:tblW w:w="0" w:type="auto"/>
          <w:tblLayout w:type="fixed"/>
          <w:tblLook w:val="04A0"/>
        </w:tblPrEx>
        <w:tc>
          <w:tcPr>
            <w:tcW w:w="3708" w:type="dxa"/>
            <w:tcBorders>
              <w:top w:val="single" w:sz="4" w:space="0" w:color="auto"/>
              <w:left w:val="single" w:sz="4" w:space="0" w:color="auto"/>
              <w:bottom w:val="single" w:sz="4" w:space="0" w:color="auto"/>
              <w:right w:val="nil"/>
            </w:tcBorders>
            <w:hideMark/>
          </w:tcPr>
          <w:p w:rsidR="000617B7" w:rsidRPr="00295E71" w:rsidP="00986889" w14:paraId="4CFB2240" w14:textId="77777777">
            <w:pPr>
              <w:pStyle w:val="EMEANormal"/>
              <w:keepNext/>
              <w:rPr>
                <w:b/>
                <w:lang w:val="it-IT"/>
              </w:rPr>
            </w:pPr>
            <w:r w:rsidRPr="00295E71">
              <w:rPr>
                <w:b/>
                <w:lang w:val="it-IT"/>
              </w:rPr>
              <w:t>STEP 7</w:t>
            </w:r>
          </w:p>
          <w:p w:rsidR="000617B7" w:rsidRPr="00295E71" w:rsidP="00986889" w14:paraId="595DDD12" w14:textId="77777777">
            <w:pPr>
              <w:pStyle w:val="EMEANormal"/>
              <w:keepNext/>
              <w:spacing w:before="100" w:beforeAutospacing="1" w:after="100" w:afterAutospacing="1"/>
              <w:ind w:left="-360"/>
              <w:rPr>
                <w:b/>
                <w:lang w:val="it-IT"/>
              </w:rPr>
            </w:pPr>
            <w:r w:rsidRPr="00910CE7">
              <w:rPr>
                <w:noProof/>
                <w:lang w:val="en-GB"/>
              </w:rPr>
              <w:drawing>
                <wp:inline distT="0" distB="0" distL="0" distR="0">
                  <wp:extent cx="2185035" cy="2672080"/>
                  <wp:effectExtent l="0" t="0" r="5715" b="0"/>
                  <wp:docPr id="132" name="Picture 132"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29" descr="STEP_7_SYRINGE_IFU_ABDOMEN-THIGH_grey"/>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85035" cy="2672080"/>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rsidR="00166FDE" w:rsidRPr="00295E71" w:rsidP="00986889" w14:paraId="00F6E3FE" w14:textId="77777777">
            <w:pPr>
              <w:keepNext/>
              <w:rPr>
                <w:sz w:val="22"/>
                <w:szCs w:val="22"/>
              </w:rPr>
            </w:pPr>
            <w:r w:rsidRPr="00295E71">
              <w:rPr>
                <w:sz w:val="22"/>
                <w:szCs w:val="22"/>
              </w:rPr>
              <w:t>Inserisca completamente l’ago nella pelle con un’inclinazione di circa 45° con un movimento rapido e deciso.</w:t>
            </w:r>
          </w:p>
          <w:p w:rsidR="00166FDE" w:rsidRPr="00295E71" w:rsidP="00986889" w14:paraId="1A9542B2" w14:textId="77777777">
            <w:pPr>
              <w:keepNext/>
              <w:rPr>
                <w:sz w:val="22"/>
                <w:szCs w:val="22"/>
              </w:rPr>
            </w:pPr>
          </w:p>
          <w:p w:rsidR="00166FDE" w:rsidRPr="00295E71" w:rsidP="00986889" w14:paraId="6B2C5BB6" w14:textId="77777777">
            <w:pPr>
              <w:keepNext/>
              <w:numPr>
                <w:ilvl w:val="0"/>
                <w:numId w:val="122"/>
              </w:numPr>
              <w:tabs>
                <w:tab w:val="left" w:pos="792"/>
              </w:tabs>
              <w:suppressAutoHyphens/>
              <w:ind w:left="792"/>
              <w:rPr>
                <w:sz w:val="22"/>
                <w:szCs w:val="22"/>
              </w:rPr>
            </w:pPr>
            <w:r w:rsidRPr="00295E71">
              <w:rPr>
                <w:sz w:val="22"/>
                <w:szCs w:val="22"/>
              </w:rPr>
              <w:t>Quando l’ago è inserito, rilasci la pelle.</w:t>
            </w:r>
          </w:p>
          <w:p w:rsidR="00166FDE" w:rsidRPr="00295E71" w:rsidP="00986889" w14:paraId="1FC7518A" w14:textId="77777777">
            <w:pPr>
              <w:keepNext/>
              <w:rPr>
                <w:sz w:val="22"/>
                <w:szCs w:val="22"/>
              </w:rPr>
            </w:pPr>
          </w:p>
          <w:p w:rsidR="00166FDE" w:rsidRPr="00295E71" w:rsidP="00986889" w14:paraId="3C8FD31B" w14:textId="77777777">
            <w:pPr>
              <w:keepNext/>
              <w:rPr>
                <w:sz w:val="22"/>
                <w:szCs w:val="22"/>
              </w:rPr>
            </w:pPr>
            <w:r w:rsidRPr="00295E71">
              <w:rPr>
                <w:sz w:val="22"/>
                <w:szCs w:val="22"/>
              </w:rPr>
              <w:t>Spinga completamente lo stantuffo fino a quando tutto il liquido è stato iniettato e la siringa pre-riempita è vuota.</w:t>
            </w:r>
          </w:p>
          <w:p w:rsidR="000617B7" w:rsidRPr="00295E71" w:rsidP="00986889" w14:paraId="74A28095" w14:textId="77777777">
            <w:pPr>
              <w:pStyle w:val="EMEANormal"/>
              <w:keepNext/>
              <w:rPr>
                <w:lang w:val="it-IT"/>
              </w:rPr>
            </w:pPr>
          </w:p>
        </w:tc>
      </w:tr>
      <w:tr w14:paraId="18EA3483" w14:textId="77777777" w:rsidTr="00CE7335">
        <w:tblPrEx>
          <w:tblW w:w="0" w:type="auto"/>
          <w:tblLayout w:type="fixed"/>
          <w:tblLook w:val="04A0"/>
        </w:tblPrEx>
        <w:tc>
          <w:tcPr>
            <w:tcW w:w="3708" w:type="dxa"/>
            <w:tcBorders>
              <w:top w:val="single" w:sz="4" w:space="0" w:color="auto"/>
              <w:left w:val="single" w:sz="4" w:space="0" w:color="auto"/>
              <w:bottom w:val="single" w:sz="4" w:space="0" w:color="auto"/>
              <w:right w:val="nil"/>
            </w:tcBorders>
            <w:hideMark/>
          </w:tcPr>
          <w:p w:rsidR="000617B7" w:rsidRPr="00295E71" w:rsidP="00986889" w14:paraId="3EDCF0E3" w14:textId="77777777">
            <w:pPr>
              <w:pStyle w:val="EMEANormal"/>
              <w:rPr>
                <w:b/>
                <w:lang w:val="it-IT"/>
              </w:rPr>
            </w:pPr>
            <w:r w:rsidRPr="00295E71">
              <w:rPr>
                <w:b/>
                <w:lang w:val="it-IT"/>
              </w:rPr>
              <w:t>STEP 8</w:t>
            </w:r>
          </w:p>
          <w:p w:rsidR="000617B7" w:rsidP="00986889" w14:paraId="3D121A11" w14:textId="77777777">
            <w:pPr>
              <w:pStyle w:val="EMEANormal"/>
              <w:spacing w:before="100" w:beforeAutospacing="1" w:after="100" w:afterAutospacing="1"/>
              <w:rPr>
                <w:b/>
                <w:lang w:val="it-IT"/>
              </w:rPr>
            </w:pPr>
          </w:p>
          <w:p w:rsidR="00491241" w:rsidRPr="00491241" w:rsidP="00986889" w14:paraId="7A7EE3B3" w14:textId="77777777">
            <w:pPr>
              <w:pStyle w:val="EMEANormal"/>
              <w:spacing w:before="100" w:beforeAutospacing="1" w:after="100" w:afterAutospacing="1"/>
              <w:rPr>
                <w:b/>
                <w:lang w:val="it-IT"/>
              </w:rPr>
            </w:pPr>
            <w:r w:rsidRPr="00910CE7">
              <w:rPr>
                <w:b/>
                <w:noProof/>
                <w:lang w:val="en-GB"/>
              </w:rPr>
              <w:drawing>
                <wp:inline distT="0" distB="0" distL="0" distR="0">
                  <wp:extent cx="1984248" cy="2093976"/>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TEP_8_SYRINGE_IFU_WITHDRAW_grey.REV 06Sep18.jpg"/>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4248" cy="2093976"/>
                          </a:xfrm>
                          <a:prstGeom prst="rect">
                            <a:avLst/>
                          </a:prstGeom>
                        </pic:spPr>
                      </pic:pic>
                    </a:graphicData>
                  </a:graphic>
                </wp:inline>
              </w:drawing>
            </w:r>
            <w:r>
              <w:rPr>
                <w:b/>
                <w:color w:val="222222"/>
              </w:rPr>
              <w:t xml:space="preserve">          </w:t>
            </w:r>
            <w:r w:rsidRPr="00556ED6">
              <w:rPr>
                <w:b/>
                <w:color w:val="222222"/>
              </w:rPr>
              <w:t xml:space="preserve">Batuffolo di </w:t>
            </w:r>
            <w:r w:rsidRPr="00556ED6">
              <w:rPr>
                <w:b/>
                <w:color w:val="222222"/>
              </w:rPr>
              <w:t>cotone</w:t>
            </w:r>
          </w:p>
        </w:tc>
        <w:tc>
          <w:tcPr>
            <w:tcW w:w="5579" w:type="dxa"/>
            <w:tcBorders>
              <w:top w:val="single" w:sz="4" w:space="0" w:color="auto"/>
              <w:left w:val="nil"/>
              <w:bottom w:val="single" w:sz="4" w:space="0" w:color="auto"/>
              <w:right w:val="single" w:sz="4" w:space="0" w:color="auto"/>
            </w:tcBorders>
          </w:tcPr>
          <w:p w:rsidR="00166FDE" w:rsidRPr="00295E71" w:rsidP="00986889" w14:paraId="70F24EF3" w14:textId="77777777">
            <w:pPr>
              <w:pStyle w:val="EMEANormal"/>
              <w:rPr>
                <w:lang w:val="it-IT"/>
              </w:rPr>
            </w:pPr>
            <w:r w:rsidRPr="00295E71">
              <w:rPr>
                <w:lang w:val="it-IT"/>
              </w:rPr>
              <w:t>Quando la siringa è vuota, rimuova lentamente l’ago dalla pelle, mantenendo la stessa angolazione di quando è stato inserito.</w:t>
            </w:r>
          </w:p>
          <w:p w:rsidR="00166FDE" w:rsidRPr="00295E71" w:rsidP="00986889" w14:paraId="1ACBA31C" w14:textId="77777777">
            <w:pPr>
              <w:pStyle w:val="EMEANormal"/>
              <w:rPr>
                <w:lang w:val="it-IT"/>
              </w:rPr>
            </w:pPr>
          </w:p>
          <w:p w:rsidR="00166FDE" w:rsidRPr="00295E71" w:rsidP="00986889" w14:paraId="113D3321" w14:textId="77777777">
            <w:pPr>
              <w:pStyle w:val="EMEANormal"/>
              <w:rPr>
                <w:lang w:val="it-IT"/>
              </w:rPr>
            </w:pPr>
            <w:r w:rsidRPr="00295E71">
              <w:rPr>
                <w:lang w:val="it-IT"/>
              </w:rPr>
              <w:t>Dopo aver effettuato l’iniezione, prema con un batuffolo di cotone o garza sulla pelle sul sito di iniezione.</w:t>
            </w:r>
          </w:p>
          <w:p w:rsidR="00166FDE" w:rsidRPr="00295E71" w:rsidP="00986889" w14:paraId="73DF372D" w14:textId="77777777">
            <w:pPr>
              <w:pStyle w:val="EMEANormal"/>
              <w:rPr>
                <w:lang w:val="it-IT"/>
              </w:rPr>
            </w:pPr>
          </w:p>
          <w:p w:rsidR="00166FDE" w:rsidRPr="00295E71" w:rsidP="00986889" w14:paraId="5554B068" w14:textId="77777777">
            <w:pPr>
              <w:pStyle w:val="EMEABullet2"/>
              <w:numPr>
                <w:ilvl w:val="0"/>
                <w:numId w:val="14"/>
              </w:numPr>
              <w:tabs>
                <w:tab w:val="clear" w:pos="567"/>
                <w:tab w:val="clear" w:pos="720"/>
                <w:tab w:val="num" w:pos="882"/>
              </w:tabs>
              <w:ind w:left="900" w:hanging="378"/>
              <w:rPr>
                <w:szCs w:val="22"/>
                <w:lang w:val="it-IT"/>
              </w:rPr>
            </w:pPr>
            <w:r w:rsidRPr="00295E71">
              <w:rPr>
                <w:b/>
                <w:szCs w:val="22"/>
                <w:lang w:val="it-IT"/>
              </w:rPr>
              <w:t>Non</w:t>
            </w:r>
            <w:r w:rsidRPr="00295E71">
              <w:rPr>
                <w:szCs w:val="22"/>
                <w:lang w:val="it-IT"/>
              </w:rPr>
              <w:t xml:space="preserve"> strofini</w:t>
            </w:r>
          </w:p>
          <w:p w:rsidR="000617B7" w:rsidRPr="00295E71" w:rsidP="00986889" w14:paraId="2D0077C0" w14:textId="77777777">
            <w:pPr>
              <w:pStyle w:val="ListParagraph"/>
              <w:numPr>
                <w:ilvl w:val="0"/>
                <w:numId w:val="14"/>
              </w:numPr>
              <w:tabs>
                <w:tab w:val="clear" w:pos="720"/>
                <w:tab w:val="num" w:pos="900"/>
              </w:tabs>
              <w:suppressAutoHyphens/>
              <w:ind w:left="900"/>
              <w:contextualSpacing/>
            </w:pPr>
            <w:r w:rsidRPr="00295E71">
              <w:rPr>
                <w:szCs w:val="22"/>
              </w:rPr>
              <w:t>È normale che si verifichi un leggero sanguinamento al sito di iniezione</w:t>
            </w:r>
          </w:p>
          <w:p w:rsidR="000617B7" w:rsidRPr="00295E71" w:rsidP="00986889" w14:paraId="05FEBECB" w14:textId="77777777">
            <w:pPr>
              <w:pStyle w:val="EMEABullet2"/>
              <w:tabs>
                <w:tab w:val="clear" w:pos="567"/>
                <w:tab w:val="left" w:pos="720"/>
              </w:tabs>
              <w:rPr>
                <w:lang w:val="it-IT"/>
              </w:rPr>
            </w:pPr>
          </w:p>
        </w:tc>
      </w:tr>
    </w:tbl>
    <w:p w:rsidR="000617B7" w:rsidRPr="00295E71" w:rsidP="00986889" w14:paraId="6BED32FE" w14:textId="77777777">
      <w:pPr>
        <w:tabs>
          <w:tab w:val="left" w:pos="742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7"/>
      </w:tblGrid>
      <w:tr w14:paraId="36D44464" w14:textId="77777777" w:rsidTr="00CE7335">
        <w:tblPrEx>
          <w:tblW w:w="0" w:type="auto"/>
          <w:tblLayout w:type="fixed"/>
          <w:tblLook w:val="04A0"/>
        </w:tblPrEx>
        <w:tc>
          <w:tcPr>
            <w:tcW w:w="9287" w:type="dxa"/>
            <w:tcBorders>
              <w:top w:val="single" w:sz="4" w:space="0" w:color="auto"/>
              <w:left w:val="single" w:sz="4" w:space="0" w:color="auto"/>
              <w:bottom w:val="single" w:sz="4" w:space="0" w:color="auto"/>
              <w:right w:val="single" w:sz="4" w:space="0" w:color="auto"/>
            </w:tcBorders>
          </w:tcPr>
          <w:p w:rsidR="000617B7" w:rsidRPr="00732563" w:rsidP="00910CE7" w14:paraId="05CA3D54" w14:textId="77777777">
            <w:pPr>
              <w:keepNext/>
              <w:rPr>
                <w:sz w:val="22"/>
                <w:szCs w:val="22"/>
              </w:rPr>
            </w:pPr>
            <w:r w:rsidRPr="00295E71">
              <w:rPr>
                <w:b/>
              </w:rPr>
              <w:t>STEP 9</w:t>
            </w:r>
          </w:p>
          <w:p w:rsidR="000617B7" w:rsidRPr="00732563" w:rsidP="00910CE7" w14:paraId="3A9F6727" w14:textId="77777777">
            <w:pPr>
              <w:keepNext/>
              <w:rPr>
                <w:sz w:val="22"/>
                <w:szCs w:val="22"/>
              </w:rPr>
            </w:pPr>
          </w:p>
          <w:p w:rsidR="00166FDE" w:rsidRPr="00295E71" w:rsidP="00910CE7" w14:paraId="10452062"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Getti via la siringa pre-riempita usata in un contenitore speciale, secondo le istruzioni del medico, dell’infermiere o del farmacista. Non reincappucci </w:t>
            </w:r>
            <w:r w:rsidRPr="00295E71">
              <w:rPr>
                <w:rFonts w:ascii="Times New Roman" w:hAnsi="Times New Roman"/>
                <w:szCs w:val="22"/>
                <w:lang w:val="it-IT"/>
              </w:rPr>
              <w:t>mai</w:t>
            </w:r>
            <w:r w:rsidRPr="00295E71">
              <w:rPr>
                <w:rFonts w:ascii="Times New Roman" w:hAnsi="Times New Roman"/>
                <w:b w:val="0"/>
                <w:szCs w:val="22"/>
                <w:lang w:val="it-IT"/>
              </w:rPr>
              <w:t xml:space="preserve"> l’ago.</w:t>
            </w:r>
          </w:p>
          <w:p w:rsidR="00166FDE" w:rsidRPr="00295E71" w:rsidP="00910CE7" w14:paraId="46F80194" w14:textId="77777777">
            <w:pPr>
              <w:pStyle w:val="EMEANormal"/>
              <w:keepNext/>
              <w:rPr>
                <w:lang w:val="it-IT"/>
              </w:rPr>
            </w:pPr>
          </w:p>
          <w:p w:rsidR="00166FDE" w:rsidRPr="00295E71" w:rsidP="00910CE7" w14:paraId="33616A86" w14:textId="77777777">
            <w:pPr>
              <w:pStyle w:val="EMEAHeadingLeaflet"/>
              <w:keepNext/>
              <w:numPr>
                <w:ilvl w:val="0"/>
                <w:numId w:val="109"/>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ricicli o getti la siringa pre-riempita nei rifiuti domestici</w:t>
            </w:r>
          </w:p>
          <w:p w:rsidR="00166FDE" w:rsidRPr="00295E71" w:rsidP="00910CE7" w14:paraId="3B4075C4" w14:textId="77777777">
            <w:pPr>
              <w:pStyle w:val="EMEANormal"/>
              <w:keepNext/>
              <w:numPr>
                <w:ilvl w:val="0"/>
                <w:numId w:val="109"/>
              </w:numPr>
              <w:tabs>
                <w:tab w:val="clear" w:pos="562"/>
                <w:tab w:val="left" w:pos="720"/>
              </w:tabs>
              <w:rPr>
                <w:lang w:val="it-IT"/>
              </w:rPr>
            </w:pPr>
            <w:r w:rsidRPr="00295E71">
              <w:rPr>
                <w:lang w:val="it-IT"/>
              </w:rPr>
              <w:t xml:space="preserve">Tenga </w:t>
            </w:r>
            <w:r w:rsidRPr="00295E71">
              <w:rPr>
                <w:b/>
                <w:lang w:val="it-IT"/>
              </w:rPr>
              <w:t>sempre</w:t>
            </w:r>
            <w:r w:rsidRPr="00295E71">
              <w:rPr>
                <w:lang w:val="it-IT"/>
              </w:rPr>
              <w:t xml:space="preserve"> la siringa pre-riempita e il contenitore per rifiuti speciali fuori dalla vista e dalla portata dei bambini.</w:t>
            </w:r>
          </w:p>
          <w:p w:rsidR="00166FDE" w:rsidRPr="00295E71" w:rsidP="00910CE7" w14:paraId="32F2A6F0" w14:textId="77777777">
            <w:pPr>
              <w:pStyle w:val="EMEANormal"/>
              <w:keepNext/>
              <w:tabs>
                <w:tab w:val="clear" w:pos="562"/>
                <w:tab w:val="left" w:pos="720"/>
              </w:tabs>
              <w:ind w:left="720"/>
              <w:rPr>
                <w:lang w:val="it-IT"/>
              </w:rPr>
            </w:pPr>
          </w:p>
          <w:p w:rsidR="000617B7" w:rsidRPr="00295E71" w:rsidP="00910CE7" w14:paraId="21FB0AA6" w14:textId="77777777">
            <w:pPr>
              <w:pStyle w:val="EMEANormal"/>
              <w:keepNext/>
              <w:rPr>
                <w:lang w:val="it-IT"/>
              </w:rPr>
            </w:pPr>
            <w:r w:rsidRPr="00295E71">
              <w:rPr>
                <w:lang w:val="it-IT"/>
              </w:rPr>
              <w:t>Il cappuccio dell’ago, il tampone imbevuto d’alcool, il batuffolo di cotone o garza, il blister e la confezione possono essere smaltiti nei rifiuti domestici.</w:t>
            </w:r>
          </w:p>
        </w:tc>
      </w:tr>
    </w:tbl>
    <w:p w:rsidR="002305EF" w:rsidRPr="00295E71" w14:paraId="0850921D" w14:textId="77777777">
      <w:pPr>
        <w:rPr>
          <w:b/>
          <w:bCs/>
          <w:sz w:val="22"/>
          <w:szCs w:val="22"/>
        </w:rPr>
      </w:pPr>
      <w:r w:rsidRPr="00295E71">
        <w:rPr>
          <w:sz w:val="22"/>
          <w:szCs w:val="22"/>
        </w:rPr>
        <w:br w:type="page"/>
      </w:r>
    </w:p>
    <w:p w:rsidR="006224C2" w:rsidRPr="00295E71" w14:paraId="16021796" w14:textId="77777777">
      <w:pPr>
        <w:pStyle w:val="Title"/>
        <w:tabs>
          <w:tab w:val="left" w:pos="567"/>
        </w:tabs>
        <w:rPr>
          <w:del w:id="14582" w:author="AbbVie14" w:date="2025-05-09T10:59:00Z"/>
          <w:sz w:val="22"/>
          <w:szCs w:val="22"/>
        </w:rPr>
      </w:pPr>
      <w:del w:id="14583" w:author="AbbVie14" w:date="2025-05-09T10:59:00Z">
        <w:r w:rsidRPr="00295E71">
          <w:rPr>
            <w:sz w:val="22"/>
            <w:szCs w:val="22"/>
          </w:rPr>
          <w:delText>Foglio illustrativo: informazioni per il paziente</w:delText>
        </w:r>
      </w:del>
    </w:p>
    <w:p w:rsidR="006224C2" w:rsidRPr="00295E71" w14:paraId="694FA00B" w14:textId="77777777">
      <w:pPr>
        <w:pStyle w:val="Title"/>
        <w:tabs>
          <w:tab w:val="left" w:pos="567"/>
        </w:tabs>
        <w:rPr>
          <w:del w:id="14584" w:author="AbbVie14" w:date="2025-05-09T10:59:00Z"/>
          <w:sz w:val="22"/>
          <w:szCs w:val="22"/>
        </w:rPr>
      </w:pPr>
    </w:p>
    <w:p w:rsidR="006224C2" w:rsidRPr="00295E71" w14:paraId="2EBBBBEF" w14:textId="77777777">
      <w:pPr>
        <w:pStyle w:val="Title"/>
        <w:tabs>
          <w:tab w:val="left" w:pos="567"/>
        </w:tabs>
        <w:rPr>
          <w:del w:id="14585" w:author="AbbVie14" w:date="2025-05-09T10:59:00Z"/>
          <w:b w:val="0"/>
          <w:bCs w:val="0"/>
          <w:sz w:val="22"/>
          <w:szCs w:val="22"/>
        </w:rPr>
      </w:pPr>
      <w:del w:id="14586" w:author="AbbVie14" w:date="2025-05-09T10:59:00Z">
        <w:r w:rsidRPr="00295E71">
          <w:rPr>
            <w:sz w:val="22"/>
            <w:szCs w:val="22"/>
          </w:rPr>
          <w:delText>Humira</w:delText>
        </w:r>
      </w:del>
      <w:del w:id="14587" w:author="AbbVie14" w:date="2025-05-09T10:59:00Z">
        <w:r w:rsidRPr="00295E71" w:rsidR="006E1DDF">
          <w:rPr>
            <w:sz w:val="22"/>
            <w:szCs w:val="22"/>
          </w:rPr>
          <w:delText xml:space="preserve"> </w:delText>
        </w:r>
      </w:del>
      <w:del w:id="14588" w:author="AbbVie14" w:date="2025-05-09T10:59:00Z">
        <w:r w:rsidRPr="00295E71">
          <w:rPr>
            <w:bCs w:val="0"/>
            <w:sz w:val="22"/>
            <w:szCs w:val="22"/>
          </w:rPr>
          <w:delText>40 mg/0,8 ml soluzione iniettabile</w:delText>
        </w:r>
      </w:del>
    </w:p>
    <w:p w:rsidR="006224C2" w:rsidRPr="00295E71" w14:paraId="732595EA" w14:textId="77777777">
      <w:pPr>
        <w:pStyle w:val="Title"/>
        <w:tabs>
          <w:tab w:val="left" w:pos="567"/>
        </w:tabs>
        <w:rPr>
          <w:del w:id="14589" w:author="AbbVie14" w:date="2025-05-09T10:59:00Z"/>
          <w:b w:val="0"/>
          <w:bCs w:val="0"/>
          <w:sz w:val="22"/>
          <w:szCs w:val="22"/>
        </w:rPr>
      </w:pPr>
      <w:del w:id="14590" w:author="AbbVie14" w:date="2025-05-09T10:59:00Z">
        <w:r w:rsidRPr="00295E71">
          <w:rPr>
            <w:b w:val="0"/>
            <w:bCs w:val="0"/>
            <w:sz w:val="22"/>
            <w:szCs w:val="22"/>
          </w:rPr>
          <w:delText>adalimumab</w:delText>
        </w:r>
      </w:del>
    </w:p>
    <w:p w:rsidR="006224C2" w:rsidRPr="00295E71" w14:paraId="03F526E6" w14:textId="77777777">
      <w:pPr>
        <w:tabs>
          <w:tab w:val="left" w:pos="567"/>
        </w:tabs>
        <w:jc w:val="center"/>
        <w:rPr>
          <w:del w:id="14591" w:author="AbbVie14" w:date="2025-05-09T10:59:00Z"/>
          <w:sz w:val="22"/>
          <w:szCs w:val="22"/>
        </w:rPr>
      </w:pPr>
    </w:p>
    <w:p w:rsidR="006224C2" w:rsidRPr="00295E71" w14:paraId="6EE206D1" w14:textId="77777777">
      <w:pPr>
        <w:pStyle w:val="Heading8"/>
        <w:keepNext w:val="0"/>
        <w:tabs>
          <w:tab w:val="left" w:pos="567"/>
        </w:tabs>
        <w:rPr>
          <w:del w:id="14592" w:author="AbbVie14" w:date="2025-05-09T10:59:00Z"/>
        </w:rPr>
      </w:pPr>
      <w:del w:id="14593" w:author="AbbVie14" w:date="2025-05-09T10:59:00Z">
        <w:r w:rsidRPr="00295E71">
          <w:delText>Legga attentamente questo foglio prima che il bambino inizi ad usare questo medicinale</w:delText>
        </w:r>
      </w:del>
      <w:del w:id="14594" w:author="AbbVie14" w:date="2025-05-09T10:59:00Z">
        <w:r w:rsidRPr="00295E71" w:rsidR="006E6AC6">
          <w:delText xml:space="preserve"> </w:delText>
        </w:r>
      </w:del>
      <w:del w:id="14595" w:author="AbbVie14" w:date="2025-05-09T10:59:00Z">
        <w:r w:rsidRPr="00295E71">
          <w:delText>perché contiene informazioni importanti</w:delText>
        </w:r>
      </w:del>
    </w:p>
    <w:p w:rsidR="006224C2" w:rsidRPr="00295E71" w14:paraId="702C61C8" w14:textId="77777777">
      <w:pPr>
        <w:numPr>
          <w:ilvl w:val="0"/>
          <w:numId w:val="1"/>
        </w:numPr>
        <w:tabs>
          <w:tab w:val="left" w:pos="567"/>
        </w:tabs>
        <w:ind w:left="567" w:right="-2" w:hanging="567"/>
        <w:jc w:val="both"/>
        <w:rPr>
          <w:del w:id="14596" w:author="AbbVie14" w:date="2025-05-09T10:59:00Z"/>
          <w:sz w:val="22"/>
          <w:szCs w:val="22"/>
        </w:rPr>
      </w:pPr>
      <w:del w:id="14597" w:author="AbbVie14" w:date="2025-05-09T10:59:00Z">
        <w:r w:rsidRPr="00295E71">
          <w:rPr>
            <w:sz w:val="22"/>
            <w:szCs w:val="22"/>
          </w:rPr>
          <w:delText>Conservi questo foglio. Potrebbe aver bisogno di leggerlo di nuovo.</w:delText>
        </w:r>
      </w:del>
    </w:p>
    <w:p w:rsidR="006224C2" w:rsidRPr="00295E71" w14:paraId="71B0182F" w14:textId="77777777">
      <w:pPr>
        <w:numPr>
          <w:ilvl w:val="0"/>
          <w:numId w:val="1"/>
        </w:numPr>
        <w:tabs>
          <w:tab w:val="left" w:pos="567"/>
        </w:tabs>
        <w:ind w:left="567" w:right="-2" w:hanging="567"/>
        <w:jc w:val="both"/>
        <w:rPr>
          <w:del w:id="14598" w:author="AbbVie14" w:date="2025-05-09T10:59:00Z"/>
          <w:sz w:val="22"/>
          <w:szCs w:val="22"/>
        </w:rPr>
      </w:pPr>
      <w:del w:id="14599" w:author="AbbVie14" w:date="2025-05-09T10:59:00Z">
        <w:r w:rsidRPr="00295E71">
          <w:rPr>
            <w:sz w:val="22"/>
            <w:szCs w:val="22"/>
          </w:rPr>
          <w:delText>Il medico le consegnerà una</w:delText>
        </w:r>
      </w:del>
      <w:del w:id="14600" w:author="AbbVie14" w:date="2025-05-09T10:59:00Z">
        <w:r w:rsidR="00E15A82">
          <w:rPr>
            <w:sz w:val="22"/>
            <w:szCs w:val="22"/>
          </w:rPr>
          <w:delText xml:space="preserve"> </w:delText>
        </w:r>
      </w:del>
      <w:del w:id="14601" w:author="AbbVie14" w:date="2025-05-09T10:59:00Z">
        <w:r w:rsidRPr="000D0B9B" w:rsidR="00E15A82">
          <w:rPr>
            <w:b/>
            <w:sz w:val="22"/>
            <w:szCs w:val="22"/>
          </w:rPr>
          <w:delText>Scheda Promemoria per il Paziente</w:delText>
        </w:r>
      </w:del>
      <w:del w:id="14602" w:author="AbbVie14" w:date="2025-05-09T10:59:00Z">
        <w:r w:rsidRPr="00295E71">
          <w:rPr>
            <w:sz w:val="22"/>
            <w:szCs w:val="22"/>
          </w:rPr>
          <w:delText>, che contiene importanti informazioni sulla sicurezza, che ha bisogno di sapere prima che al bambino sia somministrato Humira e durante il trattamento con Humira. Lei o il bambino conservate questa</w:delText>
        </w:r>
      </w:del>
      <w:del w:id="14603" w:author="AbbVie14" w:date="2025-05-09T10:59:00Z">
        <w:r w:rsidR="00E15A82">
          <w:rPr>
            <w:sz w:val="22"/>
            <w:szCs w:val="22"/>
          </w:rPr>
          <w:delText xml:space="preserve"> </w:delText>
        </w:r>
      </w:del>
      <w:del w:id="14604" w:author="AbbVie14" w:date="2025-05-09T10:59:00Z">
        <w:r w:rsidRPr="000D0B9B" w:rsidR="00E15A82">
          <w:rPr>
            <w:b/>
            <w:sz w:val="22"/>
            <w:szCs w:val="22"/>
          </w:rPr>
          <w:delText>Scheda Promemoria per il Paziente</w:delText>
        </w:r>
      </w:del>
      <w:del w:id="14605" w:author="AbbVie14" w:date="2025-05-09T10:59:00Z">
        <w:r w:rsidRPr="00295E71">
          <w:rPr>
            <w:sz w:val="22"/>
            <w:szCs w:val="22"/>
          </w:rPr>
          <w:delText>.</w:delText>
        </w:r>
      </w:del>
    </w:p>
    <w:p w:rsidR="006224C2" w:rsidRPr="00295E71" w14:paraId="0B9CBDE3" w14:textId="77777777">
      <w:pPr>
        <w:numPr>
          <w:ilvl w:val="0"/>
          <w:numId w:val="1"/>
        </w:numPr>
        <w:tabs>
          <w:tab w:val="left" w:pos="567"/>
        </w:tabs>
        <w:ind w:left="567" w:right="-2" w:hanging="567"/>
        <w:jc w:val="both"/>
        <w:rPr>
          <w:del w:id="14606" w:author="AbbVie14" w:date="2025-05-09T10:59:00Z"/>
          <w:sz w:val="22"/>
          <w:szCs w:val="22"/>
        </w:rPr>
      </w:pPr>
      <w:del w:id="14607" w:author="AbbVie14" w:date="2025-05-09T10:59:00Z">
        <w:r w:rsidRPr="00295E71">
          <w:rPr>
            <w:sz w:val="22"/>
            <w:szCs w:val="22"/>
          </w:rPr>
          <w:delText>Se ha qualsiasi dubbio, si rivolga al medico o al farmacista.</w:delText>
        </w:r>
      </w:del>
    </w:p>
    <w:p w:rsidR="006224C2" w:rsidRPr="00295E71" w14:paraId="172D55DB" w14:textId="77777777">
      <w:pPr>
        <w:numPr>
          <w:ilvl w:val="0"/>
          <w:numId w:val="1"/>
        </w:numPr>
        <w:tabs>
          <w:tab w:val="left" w:pos="567"/>
        </w:tabs>
        <w:ind w:left="567" w:right="-2" w:hanging="567"/>
        <w:jc w:val="both"/>
        <w:rPr>
          <w:del w:id="14608" w:author="AbbVie14" w:date="2025-05-09T10:59:00Z"/>
          <w:sz w:val="22"/>
          <w:szCs w:val="22"/>
        </w:rPr>
      </w:pPr>
      <w:del w:id="14609" w:author="AbbVie14" w:date="2025-05-09T10:59:00Z">
        <w:r w:rsidRPr="00295E71">
          <w:rPr>
            <w:sz w:val="22"/>
            <w:szCs w:val="22"/>
          </w:rPr>
          <w:delText>Questo medicinale è stato prescritto soltanto per il</w:delText>
        </w:r>
      </w:del>
      <w:del w:id="14610" w:author="AbbVie14" w:date="2025-05-09T10:59:00Z">
        <w:r w:rsidRPr="00295E71" w:rsidR="006E6AC6">
          <w:rPr>
            <w:sz w:val="22"/>
            <w:szCs w:val="22"/>
          </w:rPr>
          <w:delText xml:space="preserve"> </w:delText>
        </w:r>
      </w:del>
      <w:del w:id="14611" w:author="AbbVie14" w:date="2025-05-09T10:59:00Z">
        <w:r w:rsidRPr="00295E71">
          <w:rPr>
            <w:sz w:val="22"/>
            <w:szCs w:val="22"/>
          </w:rPr>
          <w:delText>bambino. Non lo dia ad altre persone, anche se i sintomi della malattia sono uguali a quelli del bambino, perchè potrebbe essere pericoloso.</w:delText>
        </w:r>
      </w:del>
    </w:p>
    <w:p w:rsidR="006224C2" w:rsidRPr="00295E71" w14:paraId="4143625D" w14:textId="77777777">
      <w:pPr>
        <w:tabs>
          <w:tab w:val="left" w:pos="540"/>
          <w:tab w:val="left" w:pos="567"/>
        </w:tabs>
        <w:ind w:left="540" w:right="-2" w:hanging="540"/>
        <w:jc w:val="both"/>
        <w:rPr>
          <w:del w:id="14612" w:author="AbbVie14" w:date="2025-05-09T10:59:00Z"/>
          <w:sz w:val="22"/>
          <w:szCs w:val="22"/>
        </w:rPr>
      </w:pPr>
      <w:del w:id="14613" w:author="AbbVie14" w:date="2025-05-09T10:59:00Z">
        <w:r w:rsidRPr="00295E71">
          <w:rPr>
            <w:sz w:val="22"/>
            <w:szCs w:val="22"/>
          </w:rPr>
          <w:delText>-</w:delText>
        </w:r>
      </w:del>
      <w:del w:id="14614" w:author="AbbVie14" w:date="2025-05-09T10:59:00Z">
        <w:r w:rsidRPr="00295E71">
          <w:rPr>
            <w:sz w:val="22"/>
            <w:szCs w:val="22"/>
          </w:rPr>
          <w:tab/>
          <w:delText>Se il bambino manifesta un</w:delText>
        </w:r>
      </w:del>
      <w:del w:id="14615" w:author="AbbVie14" w:date="2025-05-09T10:59:00Z">
        <w:r w:rsidRPr="00295E71" w:rsidR="006E6AC6">
          <w:rPr>
            <w:sz w:val="22"/>
            <w:szCs w:val="22"/>
          </w:rPr>
          <w:delText xml:space="preserve"> </w:delText>
        </w:r>
      </w:del>
      <w:del w:id="14616" w:author="AbbVie14" w:date="2025-05-09T10:59:00Z">
        <w:r w:rsidRPr="00295E71">
          <w:rPr>
            <w:sz w:val="22"/>
            <w:szCs w:val="22"/>
          </w:rPr>
          <w:delText>qualsiasi effetto indesiderato, compresi quelli non elencati in questo foglio, si rivolga</w:delText>
        </w:r>
      </w:del>
      <w:del w:id="14617" w:author="AbbVie14" w:date="2025-05-09T10:59:00Z">
        <w:r w:rsidRPr="00295E71" w:rsidR="006E6AC6">
          <w:rPr>
            <w:sz w:val="22"/>
            <w:szCs w:val="22"/>
          </w:rPr>
          <w:delText xml:space="preserve"> </w:delText>
        </w:r>
      </w:del>
      <w:del w:id="14618" w:author="AbbVie14" w:date="2025-05-09T10:59:00Z">
        <w:r w:rsidRPr="00295E71">
          <w:rPr>
            <w:sz w:val="22"/>
            <w:szCs w:val="22"/>
          </w:rPr>
          <w:delText xml:space="preserve">al </w:delText>
        </w:r>
      </w:del>
      <w:del w:id="14619" w:author="AbbVie14" w:date="2025-05-09T10:59:00Z">
        <w:r w:rsidRPr="00295E71" w:rsidR="00F961A2">
          <w:rPr>
            <w:sz w:val="22"/>
            <w:szCs w:val="22"/>
          </w:rPr>
          <w:delText>pediatra</w:delText>
        </w:r>
      </w:del>
      <w:del w:id="14620" w:author="AbbVie14" w:date="2025-05-09T10:59:00Z">
        <w:r w:rsidRPr="00295E71">
          <w:rPr>
            <w:sz w:val="22"/>
            <w:szCs w:val="22"/>
          </w:rPr>
          <w:delText xml:space="preserve"> o al farmacista.Vedere paragrafo 4.</w:delText>
        </w:r>
      </w:del>
    </w:p>
    <w:p w:rsidR="006224C2" w:rsidRPr="00295E71" w14:paraId="51215F47" w14:textId="77777777">
      <w:pPr>
        <w:numPr>
          <w:ilvl w:val="12"/>
          <w:numId w:val="0"/>
        </w:numPr>
        <w:tabs>
          <w:tab w:val="left" w:pos="567"/>
        </w:tabs>
        <w:ind w:right="-2"/>
        <w:jc w:val="both"/>
        <w:rPr>
          <w:del w:id="14621" w:author="AbbVie14" w:date="2025-05-09T10:59:00Z"/>
          <w:sz w:val="22"/>
          <w:szCs w:val="22"/>
          <w:u w:val="single"/>
        </w:rPr>
      </w:pPr>
    </w:p>
    <w:p w:rsidR="006224C2" w:rsidRPr="00295E71" w14:paraId="08510A4D" w14:textId="77777777">
      <w:pPr>
        <w:numPr>
          <w:ilvl w:val="12"/>
          <w:numId w:val="0"/>
        </w:numPr>
        <w:tabs>
          <w:tab w:val="left" w:pos="567"/>
        </w:tabs>
        <w:ind w:right="-2"/>
        <w:jc w:val="both"/>
        <w:rPr>
          <w:del w:id="14622" w:author="AbbVie14" w:date="2025-05-09T10:59:00Z"/>
          <w:b/>
          <w:bCs/>
          <w:sz w:val="22"/>
          <w:szCs w:val="22"/>
        </w:rPr>
      </w:pPr>
      <w:del w:id="14623" w:author="AbbVie14" w:date="2025-05-09T10:59:00Z">
        <w:r w:rsidRPr="00295E71">
          <w:rPr>
            <w:b/>
            <w:bCs/>
            <w:sz w:val="22"/>
            <w:szCs w:val="22"/>
          </w:rPr>
          <w:delText>Contenuto di questo foglio:</w:delText>
        </w:r>
      </w:del>
    </w:p>
    <w:p w:rsidR="006224C2" w:rsidRPr="00295E71" w14:paraId="2804E7D8" w14:textId="77777777">
      <w:pPr>
        <w:tabs>
          <w:tab w:val="left" w:pos="567"/>
        </w:tabs>
        <w:ind w:left="567" w:right="-29" w:hanging="567"/>
        <w:jc w:val="both"/>
        <w:rPr>
          <w:del w:id="14624" w:author="AbbVie14" w:date="2025-05-09T10:59:00Z"/>
          <w:sz w:val="22"/>
          <w:szCs w:val="22"/>
        </w:rPr>
      </w:pPr>
      <w:del w:id="14625" w:author="AbbVie14" w:date="2025-05-09T10:59:00Z">
        <w:r w:rsidRPr="00295E71">
          <w:rPr>
            <w:sz w:val="22"/>
            <w:szCs w:val="22"/>
          </w:rPr>
          <w:delText>1.</w:delText>
        </w:r>
      </w:del>
      <w:del w:id="14626" w:author="AbbVie14" w:date="2025-05-09T10:59:00Z">
        <w:r w:rsidRPr="00295E71">
          <w:rPr>
            <w:sz w:val="22"/>
            <w:szCs w:val="22"/>
          </w:rPr>
          <w:tab/>
          <w:delText>Cos’è Humira e a cosa serve</w:delText>
        </w:r>
      </w:del>
    </w:p>
    <w:p w:rsidR="006224C2" w:rsidRPr="00295E71" w14:paraId="5F3F01F7" w14:textId="77777777">
      <w:pPr>
        <w:tabs>
          <w:tab w:val="left" w:pos="567"/>
        </w:tabs>
        <w:ind w:left="567" w:right="-29" w:hanging="567"/>
        <w:jc w:val="both"/>
        <w:rPr>
          <w:del w:id="14627" w:author="AbbVie14" w:date="2025-05-09T10:59:00Z"/>
          <w:sz w:val="22"/>
          <w:szCs w:val="22"/>
        </w:rPr>
      </w:pPr>
      <w:del w:id="14628" w:author="AbbVie14" w:date="2025-05-09T10:59:00Z">
        <w:r w:rsidRPr="00295E71">
          <w:rPr>
            <w:sz w:val="22"/>
            <w:szCs w:val="22"/>
          </w:rPr>
          <w:delText>2.</w:delText>
        </w:r>
      </w:del>
      <w:del w:id="14629" w:author="AbbVie14" w:date="2025-05-09T10:59:00Z">
        <w:r w:rsidRPr="00295E71">
          <w:rPr>
            <w:sz w:val="22"/>
            <w:szCs w:val="22"/>
          </w:rPr>
          <w:tab/>
          <w:delText>Cosa deve sapere prima che il bambino usi Humira</w:delText>
        </w:r>
      </w:del>
    </w:p>
    <w:p w:rsidR="006224C2" w:rsidRPr="00295E71" w14:paraId="0F3B38ED" w14:textId="77777777">
      <w:pPr>
        <w:tabs>
          <w:tab w:val="left" w:pos="567"/>
        </w:tabs>
        <w:ind w:left="567" w:right="-29" w:hanging="567"/>
        <w:jc w:val="both"/>
        <w:rPr>
          <w:del w:id="14630" w:author="AbbVie14" w:date="2025-05-09T10:59:00Z"/>
          <w:sz w:val="22"/>
          <w:szCs w:val="22"/>
        </w:rPr>
      </w:pPr>
      <w:del w:id="14631" w:author="AbbVie14" w:date="2025-05-09T10:59:00Z">
        <w:r w:rsidRPr="00295E71">
          <w:rPr>
            <w:sz w:val="22"/>
            <w:szCs w:val="22"/>
          </w:rPr>
          <w:delText>3.</w:delText>
        </w:r>
      </w:del>
      <w:del w:id="14632" w:author="AbbVie14" w:date="2025-05-09T10:59:00Z">
        <w:r w:rsidRPr="00295E71">
          <w:rPr>
            <w:sz w:val="22"/>
            <w:szCs w:val="22"/>
          </w:rPr>
          <w:tab/>
          <w:delText>Come usare Humira</w:delText>
        </w:r>
      </w:del>
    </w:p>
    <w:p w:rsidR="006224C2" w:rsidRPr="00295E71" w14:paraId="6E03878E" w14:textId="77777777">
      <w:pPr>
        <w:tabs>
          <w:tab w:val="left" w:pos="567"/>
        </w:tabs>
        <w:ind w:left="567" w:right="-29" w:hanging="567"/>
        <w:jc w:val="both"/>
        <w:rPr>
          <w:del w:id="14633" w:author="AbbVie14" w:date="2025-05-09T10:59:00Z"/>
          <w:sz w:val="22"/>
          <w:szCs w:val="22"/>
        </w:rPr>
      </w:pPr>
      <w:del w:id="14634" w:author="AbbVie14" w:date="2025-05-09T10:59:00Z">
        <w:r w:rsidRPr="00295E71">
          <w:rPr>
            <w:sz w:val="22"/>
            <w:szCs w:val="22"/>
          </w:rPr>
          <w:delText>4.</w:delText>
        </w:r>
      </w:del>
      <w:del w:id="14635" w:author="AbbVie14" w:date="2025-05-09T10:59:00Z">
        <w:r w:rsidRPr="00295E71">
          <w:rPr>
            <w:sz w:val="22"/>
            <w:szCs w:val="22"/>
          </w:rPr>
          <w:tab/>
          <w:delText>Possibili effetti indesiderati</w:delText>
        </w:r>
      </w:del>
    </w:p>
    <w:p w:rsidR="006224C2" w:rsidRPr="00295E71" w14:paraId="187439EA" w14:textId="77777777">
      <w:pPr>
        <w:tabs>
          <w:tab w:val="left" w:pos="567"/>
        </w:tabs>
        <w:ind w:left="567" w:right="-29" w:hanging="567"/>
        <w:jc w:val="both"/>
        <w:rPr>
          <w:del w:id="14636" w:author="AbbVie14" w:date="2025-05-09T10:59:00Z"/>
          <w:sz w:val="22"/>
          <w:szCs w:val="22"/>
        </w:rPr>
      </w:pPr>
      <w:del w:id="14637" w:author="AbbVie14" w:date="2025-05-09T10:59:00Z">
        <w:r w:rsidRPr="00295E71">
          <w:rPr>
            <w:sz w:val="22"/>
            <w:szCs w:val="22"/>
          </w:rPr>
          <w:delText>5.</w:delText>
        </w:r>
      </w:del>
      <w:del w:id="14638" w:author="AbbVie14" w:date="2025-05-09T10:59:00Z">
        <w:r w:rsidRPr="00295E71">
          <w:rPr>
            <w:sz w:val="22"/>
            <w:szCs w:val="22"/>
          </w:rPr>
          <w:tab/>
          <w:delText>Come conservare Humira</w:delText>
        </w:r>
      </w:del>
    </w:p>
    <w:p w:rsidR="006224C2" w:rsidRPr="00295E71" w14:paraId="3DDE8C11" w14:textId="77777777">
      <w:pPr>
        <w:tabs>
          <w:tab w:val="left" w:pos="567"/>
        </w:tabs>
        <w:ind w:left="567" w:right="-29" w:hanging="567"/>
        <w:jc w:val="both"/>
        <w:rPr>
          <w:del w:id="14639" w:author="AbbVie14" w:date="2025-05-09T10:59:00Z"/>
          <w:sz w:val="22"/>
          <w:szCs w:val="22"/>
        </w:rPr>
      </w:pPr>
      <w:del w:id="14640" w:author="AbbVie14" w:date="2025-05-09T10:59:00Z">
        <w:r w:rsidRPr="00295E71">
          <w:rPr>
            <w:sz w:val="22"/>
            <w:szCs w:val="22"/>
          </w:rPr>
          <w:delText>6.</w:delText>
        </w:r>
      </w:del>
      <w:del w:id="14641" w:author="AbbVie14" w:date="2025-05-09T10:59:00Z">
        <w:r w:rsidRPr="00295E71">
          <w:rPr>
            <w:sz w:val="22"/>
            <w:szCs w:val="22"/>
          </w:rPr>
          <w:tab/>
          <w:delText>Contenuto della confezione e altre informazioni</w:delText>
        </w:r>
      </w:del>
    </w:p>
    <w:p w:rsidR="006224C2" w:rsidRPr="00295E71" w14:paraId="1DB03BA6" w14:textId="77777777">
      <w:pPr>
        <w:numPr>
          <w:ilvl w:val="12"/>
          <w:numId w:val="0"/>
        </w:numPr>
        <w:tabs>
          <w:tab w:val="left" w:pos="567"/>
        </w:tabs>
        <w:ind w:right="-2"/>
        <w:jc w:val="both"/>
        <w:rPr>
          <w:del w:id="14642" w:author="AbbVie14" w:date="2025-05-09T10:59:00Z"/>
          <w:sz w:val="22"/>
          <w:szCs w:val="22"/>
        </w:rPr>
      </w:pPr>
    </w:p>
    <w:p w:rsidR="006224C2" w:rsidRPr="00295E71" w14:paraId="0CED101F" w14:textId="77777777">
      <w:pPr>
        <w:numPr>
          <w:ilvl w:val="12"/>
          <w:numId w:val="0"/>
        </w:numPr>
        <w:tabs>
          <w:tab w:val="left" w:pos="567"/>
        </w:tabs>
        <w:ind w:right="-2"/>
        <w:jc w:val="both"/>
        <w:rPr>
          <w:del w:id="14643" w:author="AbbVie14" w:date="2025-05-09T10:59:00Z"/>
          <w:sz w:val="22"/>
          <w:szCs w:val="22"/>
        </w:rPr>
      </w:pPr>
    </w:p>
    <w:p w:rsidR="006224C2" w:rsidRPr="00295E71" w14:paraId="7D902D4E" w14:textId="77777777">
      <w:pPr>
        <w:numPr>
          <w:ilvl w:val="12"/>
          <w:numId w:val="0"/>
        </w:numPr>
        <w:tabs>
          <w:tab w:val="left" w:pos="567"/>
        </w:tabs>
        <w:ind w:left="567" w:right="-2" w:hanging="567"/>
        <w:jc w:val="both"/>
        <w:rPr>
          <w:del w:id="14644" w:author="AbbVie14" w:date="2025-05-09T10:59:00Z"/>
          <w:b/>
          <w:bCs/>
          <w:sz w:val="22"/>
          <w:szCs w:val="22"/>
        </w:rPr>
      </w:pPr>
      <w:del w:id="14645" w:author="AbbVie14" w:date="2025-05-09T10:59:00Z">
        <w:r w:rsidRPr="00295E71">
          <w:rPr>
            <w:b/>
            <w:bCs/>
            <w:sz w:val="22"/>
            <w:szCs w:val="22"/>
          </w:rPr>
          <w:delText>1.</w:delText>
        </w:r>
      </w:del>
      <w:del w:id="14646" w:author="AbbVie14" w:date="2025-05-09T10:59:00Z">
        <w:r w:rsidRPr="00295E71">
          <w:rPr>
            <w:b/>
            <w:bCs/>
            <w:sz w:val="22"/>
            <w:szCs w:val="22"/>
          </w:rPr>
          <w:tab/>
          <w:delText>Cos’è Humira e a cosa serve</w:delText>
        </w:r>
      </w:del>
    </w:p>
    <w:p w:rsidR="006224C2" w:rsidRPr="00295E71" w14:paraId="1F270472" w14:textId="77777777">
      <w:pPr>
        <w:numPr>
          <w:ilvl w:val="12"/>
          <w:numId w:val="0"/>
        </w:numPr>
        <w:tabs>
          <w:tab w:val="left" w:pos="567"/>
        </w:tabs>
        <w:ind w:right="-2"/>
        <w:jc w:val="both"/>
        <w:rPr>
          <w:del w:id="14647" w:author="AbbVie14" w:date="2025-05-09T10:59:00Z"/>
          <w:sz w:val="22"/>
          <w:szCs w:val="22"/>
        </w:rPr>
      </w:pPr>
    </w:p>
    <w:p w:rsidR="005146AC" w:rsidRPr="00295E71" w14:paraId="36E24DAD" w14:textId="77777777">
      <w:pPr>
        <w:tabs>
          <w:tab w:val="left" w:pos="567"/>
        </w:tabs>
        <w:jc w:val="both"/>
        <w:rPr>
          <w:del w:id="14648" w:author="AbbVie14" w:date="2025-05-09T10:59:00Z"/>
          <w:sz w:val="22"/>
          <w:szCs w:val="22"/>
        </w:rPr>
      </w:pPr>
      <w:del w:id="14649" w:author="AbbVie14" w:date="2025-05-09T10:59:00Z">
        <w:r w:rsidRPr="00295E71">
          <w:rPr>
            <w:sz w:val="22"/>
            <w:szCs w:val="22"/>
          </w:rPr>
          <w:delText>Humira contiene il principio attivo adalimumab.</w:delText>
        </w:r>
      </w:del>
    </w:p>
    <w:p w:rsidR="005146AC" w:rsidRPr="00295E71" w:rsidP="005146AC" w14:paraId="22CAAB88" w14:textId="77777777">
      <w:pPr>
        <w:tabs>
          <w:tab w:val="left" w:pos="567"/>
        </w:tabs>
        <w:jc w:val="both"/>
        <w:rPr>
          <w:del w:id="14650" w:author="AbbVie14" w:date="2025-05-09T10:59:00Z"/>
          <w:sz w:val="22"/>
          <w:szCs w:val="22"/>
        </w:rPr>
      </w:pPr>
    </w:p>
    <w:p w:rsidR="005146AC" w:rsidRPr="00295E71" w:rsidP="005146AC" w14:paraId="54235766" w14:textId="77777777">
      <w:pPr>
        <w:tabs>
          <w:tab w:val="left" w:pos="567"/>
        </w:tabs>
        <w:jc w:val="both"/>
        <w:rPr>
          <w:del w:id="14651" w:author="AbbVie14" w:date="2025-05-09T10:59:00Z"/>
          <w:sz w:val="22"/>
          <w:szCs w:val="22"/>
        </w:rPr>
      </w:pPr>
      <w:del w:id="14652" w:author="AbbVie14" w:date="2025-05-09T10:59:00Z">
        <w:r w:rsidRPr="00295E71">
          <w:rPr>
            <w:sz w:val="22"/>
            <w:szCs w:val="22"/>
          </w:rPr>
          <w:delText>Humira è indicato per il trattamento delle malattie infiammatorie di seguito elencate:</w:delText>
        </w:r>
      </w:del>
    </w:p>
    <w:p w:rsidR="005146AC" w:rsidRPr="00295E71" w:rsidP="005146AC" w14:paraId="6ADCB978" w14:textId="77777777">
      <w:pPr>
        <w:tabs>
          <w:tab w:val="left" w:pos="567"/>
        </w:tabs>
        <w:jc w:val="both"/>
        <w:rPr>
          <w:del w:id="14653" w:author="AbbVie14" w:date="2025-05-09T10:59:00Z"/>
          <w:sz w:val="22"/>
          <w:szCs w:val="22"/>
        </w:rPr>
      </w:pPr>
    </w:p>
    <w:p w:rsidR="005146AC" w:rsidRPr="00295E71" w:rsidP="005146AC" w14:paraId="30C4337F" w14:textId="77777777">
      <w:pPr>
        <w:pStyle w:val="ListParagraph"/>
        <w:numPr>
          <w:ilvl w:val="0"/>
          <w:numId w:val="132"/>
        </w:numPr>
        <w:tabs>
          <w:tab w:val="left" w:pos="567"/>
        </w:tabs>
        <w:jc w:val="both"/>
        <w:rPr>
          <w:del w:id="14654" w:author="AbbVie14" w:date="2025-05-09T10:59:00Z"/>
          <w:sz w:val="22"/>
          <w:szCs w:val="22"/>
        </w:rPr>
      </w:pPr>
      <w:del w:id="14655" w:author="AbbVie14" w:date="2025-05-09T10:59:00Z">
        <w:r w:rsidRPr="00295E71">
          <w:rPr>
            <w:sz w:val="22"/>
            <w:szCs w:val="22"/>
          </w:rPr>
          <w:delText xml:space="preserve">Artrite idiopatica giovanile poliarticolare </w:delText>
        </w:r>
      </w:del>
    </w:p>
    <w:p w:rsidR="005146AC" w:rsidRPr="00295E71" w:rsidP="005146AC" w14:paraId="71F84F33" w14:textId="77777777">
      <w:pPr>
        <w:pStyle w:val="ListParagraph"/>
        <w:numPr>
          <w:ilvl w:val="0"/>
          <w:numId w:val="132"/>
        </w:numPr>
        <w:tabs>
          <w:tab w:val="left" w:pos="567"/>
        </w:tabs>
        <w:jc w:val="both"/>
        <w:rPr>
          <w:del w:id="14656" w:author="AbbVie14" w:date="2025-05-09T10:59:00Z"/>
          <w:sz w:val="22"/>
          <w:szCs w:val="22"/>
        </w:rPr>
      </w:pPr>
      <w:del w:id="14657" w:author="AbbVie14" w:date="2025-05-09T10:59:00Z">
        <w:r w:rsidRPr="00295E71">
          <w:rPr>
            <w:sz w:val="22"/>
            <w:szCs w:val="22"/>
          </w:rPr>
          <w:delText xml:space="preserve">Artrite associata ad entesite </w:delText>
        </w:r>
      </w:del>
    </w:p>
    <w:p w:rsidR="005146AC" w:rsidRPr="00295E71" w:rsidP="005146AC" w14:paraId="5E033CFB" w14:textId="77777777">
      <w:pPr>
        <w:pStyle w:val="ListParagraph"/>
        <w:numPr>
          <w:ilvl w:val="0"/>
          <w:numId w:val="132"/>
        </w:numPr>
        <w:tabs>
          <w:tab w:val="left" w:pos="567"/>
        </w:tabs>
        <w:jc w:val="both"/>
        <w:rPr>
          <w:del w:id="14658" w:author="AbbVie14" w:date="2025-05-09T10:59:00Z"/>
          <w:sz w:val="22"/>
          <w:szCs w:val="22"/>
        </w:rPr>
      </w:pPr>
      <w:del w:id="14659" w:author="AbbVie14" w:date="2025-05-09T10:59:00Z">
        <w:r w:rsidRPr="00295E71">
          <w:rPr>
            <w:sz w:val="22"/>
            <w:szCs w:val="22"/>
          </w:rPr>
          <w:delText>Psoriasi a placche pediatrica</w:delText>
        </w:r>
      </w:del>
    </w:p>
    <w:p w:rsidR="005146AC" w:rsidRPr="00295E71" w:rsidP="00FB547E" w14:paraId="3D4740ED" w14:textId="77777777">
      <w:pPr>
        <w:pStyle w:val="ListParagraph"/>
        <w:numPr>
          <w:ilvl w:val="0"/>
          <w:numId w:val="132"/>
        </w:numPr>
        <w:ind w:left="567" w:hanging="203"/>
        <w:jc w:val="both"/>
        <w:rPr>
          <w:del w:id="14660" w:author="AbbVie14" w:date="2025-05-09T10:59:00Z"/>
          <w:sz w:val="22"/>
          <w:szCs w:val="22"/>
        </w:rPr>
      </w:pPr>
      <w:del w:id="14661" w:author="AbbVie14" w:date="2025-05-09T10:59:00Z">
        <w:r w:rsidRPr="00295E71">
          <w:rPr>
            <w:sz w:val="22"/>
            <w:szCs w:val="22"/>
          </w:rPr>
          <w:delText>Idrosadenite suppurativa negli adolescenti</w:delText>
        </w:r>
      </w:del>
    </w:p>
    <w:p w:rsidR="005146AC" w:rsidP="005146AC" w14:paraId="71929278" w14:textId="77777777">
      <w:pPr>
        <w:pStyle w:val="ListParagraph"/>
        <w:numPr>
          <w:ilvl w:val="0"/>
          <w:numId w:val="132"/>
        </w:numPr>
        <w:tabs>
          <w:tab w:val="left" w:pos="567"/>
        </w:tabs>
        <w:jc w:val="both"/>
        <w:rPr>
          <w:del w:id="14662" w:author="AbbVie14" w:date="2025-05-09T10:59:00Z"/>
          <w:sz w:val="22"/>
          <w:szCs w:val="22"/>
        </w:rPr>
      </w:pPr>
      <w:del w:id="14663" w:author="AbbVie14" w:date="2025-05-09T10:59:00Z">
        <w:r w:rsidRPr="00295E71">
          <w:rPr>
            <w:sz w:val="22"/>
            <w:szCs w:val="22"/>
          </w:rPr>
          <w:delText>Malattia di Crohn in pazienti pediatrici</w:delText>
        </w:r>
      </w:del>
    </w:p>
    <w:p w:rsidR="00127E4C" w:rsidRPr="00127E4C" w:rsidP="005146AC" w14:paraId="1F0A05A6" w14:textId="77777777">
      <w:pPr>
        <w:pStyle w:val="ListParagraph"/>
        <w:numPr>
          <w:ilvl w:val="0"/>
          <w:numId w:val="132"/>
        </w:numPr>
        <w:tabs>
          <w:tab w:val="left" w:pos="567"/>
        </w:tabs>
        <w:jc w:val="both"/>
        <w:rPr>
          <w:del w:id="14664" w:author="AbbVie14" w:date="2025-05-09T10:59:00Z"/>
          <w:sz w:val="22"/>
          <w:szCs w:val="22"/>
        </w:rPr>
      </w:pPr>
      <w:del w:id="14665" w:author="AbbVie14" w:date="2025-05-09T10:59:00Z">
        <w:r w:rsidRPr="00612824">
          <w:rPr>
            <w:sz w:val="22"/>
            <w:szCs w:val="22"/>
          </w:rPr>
          <w:delText>Colite ulcerosa in pazienti pediatrici</w:delText>
        </w:r>
      </w:del>
    </w:p>
    <w:p w:rsidR="005146AC" w:rsidRPr="00295E71" w:rsidP="005146AC" w14:paraId="5E87751D" w14:textId="77777777">
      <w:pPr>
        <w:pStyle w:val="ListParagraph"/>
        <w:numPr>
          <w:ilvl w:val="0"/>
          <w:numId w:val="132"/>
        </w:numPr>
        <w:tabs>
          <w:tab w:val="left" w:pos="567"/>
        </w:tabs>
        <w:jc w:val="both"/>
        <w:rPr>
          <w:del w:id="14666" w:author="AbbVie14" w:date="2025-05-09T10:59:00Z"/>
          <w:sz w:val="22"/>
          <w:szCs w:val="22"/>
        </w:rPr>
      </w:pPr>
      <w:del w:id="14667" w:author="AbbVie14" w:date="2025-05-09T10:59:00Z">
        <w:r w:rsidRPr="00295E71">
          <w:rPr>
            <w:sz w:val="22"/>
            <w:szCs w:val="22"/>
          </w:rPr>
          <w:delText>Uveite pediatrica</w:delText>
        </w:r>
      </w:del>
    </w:p>
    <w:p w:rsidR="005146AC" w:rsidRPr="00295E71" w:rsidP="005146AC" w14:paraId="0DA4C223" w14:textId="77777777">
      <w:pPr>
        <w:tabs>
          <w:tab w:val="left" w:pos="567"/>
        </w:tabs>
        <w:jc w:val="both"/>
        <w:rPr>
          <w:del w:id="14668" w:author="AbbVie14" w:date="2025-05-09T10:59:00Z"/>
          <w:sz w:val="22"/>
          <w:szCs w:val="22"/>
        </w:rPr>
      </w:pPr>
    </w:p>
    <w:p w:rsidR="005146AC" w:rsidRPr="00295E71" w:rsidP="005146AC" w14:paraId="04B88213" w14:textId="77777777">
      <w:pPr>
        <w:tabs>
          <w:tab w:val="left" w:pos="567"/>
        </w:tabs>
        <w:jc w:val="both"/>
        <w:rPr>
          <w:del w:id="14669" w:author="AbbVie14" w:date="2025-05-09T10:59:00Z"/>
          <w:sz w:val="22"/>
          <w:szCs w:val="22"/>
        </w:rPr>
      </w:pPr>
      <w:del w:id="14670" w:author="AbbVie14" w:date="2025-05-09T10:59:00Z">
        <w:r w:rsidRPr="00295E71">
          <w:rPr>
            <w:sz w:val="22"/>
            <w:szCs w:val="22"/>
          </w:rPr>
          <w:delText>Il principio attivo contenuto in Humira, adalimumab, è un anticorpo monoclonale umano. Gli anticorpi monoclonali sono proteine che si legano ad un bersaglio specifico.</w:delText>
        </w:r>
      </w:del>
    </w:p>
    <w:p w:rsidR="005146AC" w:rsidRPr="00295E71" w:rsidP="005146AC" w14:paraId="3562BFB6" w14:textId="77777777">
      <w:pPr>
        <w:tabs>
          <w:tab w:val="left" w:pos="567"/>
        </w:tabs>
        <w:jc w:val="both"/>
        <w:rPr>
          <w:del w:id="14671" w:author="AbbVie14" w:date="2025-05-09T10:59:00Z"/>
          <w:sz w:val="22"/>
          <w:szCs w:val="22"/>
        </w:rPr>
      </w:pPr>
    </w:p>
    <w:p w:rsidR="005146AC" w:rsidRPr="00295E71" w:rsidP="005146AC" w14:paraId="2861746C" w14:textId="77777777">
      <w:pPr>
        <w:tabs>
          <w:tab w:val="left" w:pos="567"/>
        </w:tabs>
        <w:jc w:val="both"/>
        <w:rPr>
          <w:del w:id="14672" w:author="AbbVie14" w:date="2025-05-09T10:59:00Z"/>
          <w:noProof/>
          <w:color w:val="000000"/>
          <w:sz w:val="22"/>
          <w:szCs w:val="22"/>
        </w:rPr>
      </w:pPr>
      <w:del w:id="14673" w:author="AbbVie14" w:date="2025-05-09T10:59:00Z">
        <w:r w:rsidRPr="00295E71">
          <w:rPr>
            <w:sz w:val="22"/>
            <w:szCs w:val="22"/>
          </w:rPr>
          <w:delText>Il bersaglio di adalimumab è una proteina denominata fattore di necrosi tumorale (TNF</w:delText>
        </w:r>
      </w:del>
      <w:del w:id="14674" w:author="AbbVie14" w:date="2025-05-09T10:59:00Z">
        <w:r w:rsidRPr="00295E71">
          <w:rPr>
            <w:noProof/>
            <w:color w:val="000000"/>
            <w:sz w:val="22"/>
            <w:szCs w:val="22"/>
          </w:rPr>
          <w:delText>α</w:delText>
        </w:r>
      </w:del>
      <w:del w:id="14675" w:author="AbbVie14" w:date="2025-05-09T10:59:00Z">
        <w:r w:rsidRPr="00295E71">
          <w:rPr>
            <w:sz w:val="22"/>
            <w:szCs w:val="22"/>
          </w:rPr>
          <w:delText>), che è coinvolto nel sistema immunitario (di difesa) ed è presente a concentrazioni maggiori nelle malattie infiammatorie elencate sopra. Attraverso il legame al TNF</w:delText>
        </w:r>
      </w:del>
      <w:del w:id="14676" w:author="AbbVie14" w:date="2025-05-09T10:59:00Z">
        <w:r w:rsidRPr="00295E71">
          <w:rPr>
            <w:noProof/>
            <w:color w:val="000000"/>
            <w:sz w:val="22"/>
            <w:szCs w:val="22"/>
          </w:rPr>
          <w:delText>α, Humira diminuisce il processo infiammatorio di queste malattie.</w:delText>
        </w:r>
      </w:del>
    </w:p>
    <w:p w:rsidR="006224C2" w:rsidRPr="00295E71" w14:paraId="3DBC1BC4" w14:textId="77777777">
      <w:pPr>
        <w:tabs>
          <w:tab w:val="left" w:pos="567"/>
        </w:tabs>
        <w:jc w:val="both"/>
        <w:rPr>
          <w:del w:id="14677" w:author="AbbVie14" w:date="2025-05-09T10:59:00Z"/>
          <w:sz w:val="22"/>
          <w:szCs w:val="22"/>
        </w:rPr>
      </w:pPr>
    </w:p>
    <w:p w:rsidR="006224C2" w:rsidRPr="00295E71" w14:paraId="74820172" w14:textId="77777777">
      <w:pPr>
        <w:numPr>
          <w:ilvl w:val="12"/>
          <w:numId w:val="0"/>
        </w:numPr>
        <w:tabs>
          <w:tab w:val="left" w:pos="567"/>
        </w:tabs>
        <w:ind w:right="-2"/>
        <w:jc w:val="both"/>
        <w:rPr>
          <w:del w:id="14678" w:author="AbbVie14" w:date="2025-05-09T10:59:00Z"/>
          <w:sz w:val="22"/>
          <w:szCs w:val="22"/>
        </w:rPr>
      </w:pPr>
      <w:del w:id="14679" w:author="AbbVie14" w:date="2025-05-09T10:59:00Z">
        <w:r w:rsidRPr="00295E71">
          <w:rPr>
            <w:sz w:val="22"/>
            <w:szCs w:val="22"/>
            <w:u w:val="single"/>
          </w:rPr>
          <w:delText>Artrite idiopatica giovanile poliarticolare e artrite associata ad entesite</w:delText>
        </w:r>
      </w:del>
    </w:p>
    <w:p w:rsidR="006224C2" w:rsidRPr="00295E71" w14:paraId="3A7E6B0D" w14:textId="77777777">
      <w:pPr>
        <w:numPr>
          <w:ilvl w:val="12"/>
          <w:numId w:val="0"/>
        </w:numPr>
        <w:tabs>
          <w:tab w:val="left" w:pos="567"/>
        </w:tabs>
        <w:ind w:right="-2"/>
        <w:jc w:val="both"/>
        <w:rPr>
          <w:del w:id="14680" w:author="AbbVie14" w:date="2025-05-09T10:59:00Z"/>
          <w:sz w:val="22"/>
          <w:szCs w:val="22"/>
        </w:rPr>
      </w:pPr>
    </w:p>
    <w:p w:rsidR="006224C2" w:rsidRPr="00295E71" w14:paraId="1EDD9649" w14:textId="77777777">
      <w:pPr>
        <w:numPr>
          <w:ilvl w:val="12"/>
          <w:numId w:val="0"/>
        </w:numPr>
        <w:tabs>
          <w:tab w:val="left" w:pos="567"/>
        </w:tabs>
        <w:ind w:right="-2"/>
        <w:jc w:val="both"/>
        <w:rPr>
          <w:del w:id="14681" w:author="AbbVie14" w:date="2025-05-09T10:59:00Z"/>
          <w:sz w:val="22"/>
          <w:szCs w:val="22"/>
        </w:rPr>
      </w:pPr>
      <w:del w:id="14682" w:author="AbbVie14" w:date="2025-05-09T10:59:00Z">
        <w:r w:rsidRPr="00295E71">
          <w:rPr>
            <w:sz w:val="22"/>
            <w:szCs w:val="22"/>
          </w:rPr>
          <w:delText>L’artrite idiopatica giovanile poliarticolare e l’artrite associata ad entesite sono malattie infiammatorie.</w:delText>
        </w:r>
      </w:del>
    </w:p>
    <w:p w:rsidR="006224C2" w:rsidRPr="00295E71" w14:paraId="35DB29B7" w14:textId="77777777">
      <w:pPr>
        <w:numPr>
          <w:ilvl w:val="12"/>
          <w:numId w:val="0"/>
        </w:numPr>
        <w:tabs>
          <w:tab w:val="left" w:pos="567"/>
        </w:tabs>
        <w:ind w:right="-2"/>
        <w:jc w:val="both"/>
        <w:rPr>
          <w:del w:id="14683" w:author="AbbVie14" w:date="2025-05-09T10:59:00Z"/>
          <w:sz w:val="22"/>
          <w:szCs w:val="22"/>
        </w:rPr>
      </w:pPr>
    </w:p>
    <w:p w:rsidR="007F65A5" w:rsidRPr="00295E71" w:rsidP="007F65A5" w14:paraId="33DC17FD" w14:textId="77777777">
      <w:pPr>
        <w:numPr>
          <w:ilvl w:val="12"/>
          <w:numId w:val="0"/>
        </w:numPr>
        <w:tabs>
          <w:tab w:val="left" w:pos="567"/>
        </w:tabs>
        <w:ind w:right="-2"/>
        <w:jc w:val="both"/>
        <w:rPr>
          <w:del w:id="14684" w:author="AbbVie14" w:date="2025-05-09T10:59:00Z"/>
          <w:sz w:val="22"/>
          <w:szCs w:val="22"/>
        </w:rPr>
      </w:pPr>
      <w:del w:id="14685" w:author="AbbVie14" w:date="2025-05-09T10:59:00Z">
        <w:r w:rsidRPr="00295E71">
          <w:rPr>
            <w:sz w:val="22"/>
            <w:szCs w:val="22"/>
          </w:rPr>
          <w:delText>Humira è usato per trattare l’artrite idiopatica giovanile poliarticolare</w:delText>
        </w:r>
      </w:del>
      <w:del w:id="14686" w:author="AbbVie14" w:date="2025-05-09T10:59:00Z">
        <w:r w:rsidRPr="00295E71" w:rsidR="00120427">
          <w:rPr>
            <w:sz w:val="22"/>
            <w:szCs w:val="22"/>
          </w:rPr>
          <w:delText xml:space="preserve"> </w:delText>
        </w:r>
      </w:del>
      <w:del w:id="14687" w:author="AbbVie14" w:date="2025-05-09T10:59:00Z">
        <w:r w:rsidRPr="00295E71">
          <w:rPr>
            <w:sz w:val="22"/>
            <w:szCs w:val="22"/>
          </w:rPr>
          <w:delText xml:space="preserve">e l’artrite associata ad entesite. </w:delText>
        </w:r>
      </w:del>
    </w:p>
    <w:p w:rsidR="007F65A5" w:rsidRPr="00295E71" w:rsidP="007F65A5" w14:paraId="1D911BD4" w14:textId="77777777">
      <w:pPr>
        <w:numPr>
          <w:ilvl w:val="12"/>
          <w:numId w:val="0"/>
        </w:numPr>
        <w:tabs>
          <w:tab w:val="left" w:pos="567"/>
        </w:tabs>
        <w:ind w:right="-2"/>
        <w:jc w:val="both"/>
        <w:rPr>
          <w:del w:id="14688" w:author="AbbVie14" w:date="2025-05-09T10:59:00Z"/>
          <w:sz w:val="22"/>
          <w:szCs w:val="22"/>
        </w:rPr>
      </w:pPr>
      <w:del w:id="14689" w:author="AbbVie14" w:date="2025-05-09T10:59:00Z">
        <w:r w:rsidRPr="00295E71">
          <w:rPr>
            <w:sz w:val="22"/>
            <w:szCs w:val="22"/>
          </w:rPr>
          <w:delText xml:space="preserve">Inizialmente possono essere somministrati </w:delText>
        </w:r>
      </w:del>
      <w:del w:id="14690" w:author="AbbVie14" w:date="2025-05-09T10:59:00Z">
        <w:r w:rsidR="001718C1">
          <w:rPr>
            <w:sz w:val="22"/>
            <w:szCs w:val="22"/>
          </w:rPr>
          <w:delText>al bambino</w:delText>
        </w:r>
      </w:del>
      <w:del w:id="14691" w:author="AbbVie14" w:date="2025-05-09T10:59:00Z">
        <w:r w:rsidRPr="00295E71">
          <w:rPr>
            <w:sz w:val="22"/>
            <w:szCs w:val="22"/>
          </w:rPr>
          <w:delText xml:space="preserve"> altri medicinali modificanti la malattia, come il metotressato. Se questi medicinali non funzionano bene abbastanza, </w:delText>
        </w:r>
      </w:del>
      <w:del w:id="14692" w:author="AbbVie14" w:date="2025-05-09T10:59:00Z">
        <w:r w:rsidR="001718C1">
          <w:rPr>
            <w:sz w:val="22"/>
            <w:szCs w:val="22"/>
          </w:rPr>
          <w:delText>al bambino</w:delText>
        </w:r>
      </w:del>
      <w:del w:id="14693" w:author="AbbVie14" w:date="2025-05-09T10:59:00Z">
        <w:r w:rsidRPr="00295E71">
          <w:rPr>
            <w:sz w:val="22"/>
            <w:szCs w:val="22"/>
          </w:rPr>
          <w:delText xml:space="preserve"> sarà somministrato Humira per trattare l</w:delText>
        </w:r>
      </w:del>
      <w:del w:id="14694" w:author="AbbVie14" w:date="2025-05-09T10:59:00Z">
        <w:r w:rsidR="00514E08">
          <w:rPr>
            <w:sz w:val="22"/>
            <w:szCs w:val="22"/>
          </w:rPr>
          <w:delText>’</w:delText>
        </w:r>
      </w:del>
      <w:del w:id="14695" w:author="AbbVie14" w:date="2025-05-09T10:59:00Z">
        <w:r w:rsidRPr="00295E71">
          <w:rPr>
            <w:sz w:val="22"/>
            <w:szCs w:val="22"/>
          </w:rPr>
          <w:delText xml:space="preserve">  artrite idiopatica giovanile poliarticolare o l’artrite associata ad entesite.</w:delText>
        </w:r>
      </w:del>
    </w:p>
    <w:p w:rsidR="006224C2" w:rsidRPr="00295E71" w14:paraId="62E56277" w14:textId="77777777">
      <w:pPr>
        <w:numPr>
          <w:ilvl w:val="12"/>
          <w:numId w:val="0"/>
        </w:numPr>
        <w:tabs>
          <w:tab w:val="left" w:pos="567"/>
        </w:tabs>
        <w:ind w:right="-2"/>
        <w:jc w:val="both"/>
        <w:rPr>
          <w:del w:id="14696" w:author="AbbVie14" w:date="2025-05-09T10:59:00Z"/>
          <w:sz w:val="22"/>
          <w:szCs w:val="22"/>
        </w:rPr>
      </w:pPr>
    </w:p>
    <w:p w:rsidR="006224C2" w:rsidRPr="00295E71" w14:paraId="14FF4FE4" w14:textId="77777777">
      <w:pPr>
        <w:keepNext/>
        <w:rPr>
          <w:del w:id="14697" w:author="AbbVie14" w:date="2025-05-09T10:59:00Z"/>
          <w:sz w:val="22"/>
          <w:szCs w:val="22"/>
          <w:u w:val="single"/>
        </w:rPr>
      </w:pPr>
      <w:del w:id="14698" w:author="AbbVie14" w:date="2025-05-09T10:59:00Z">
        <w:r w:rsidRPr="00295E71">
          <w:rPr>
            <w:sz w:val="22"/>
            <w:szCs w:val="22"/>
            <w:u w:val="single"/>
          </w:rPr>
          <w:delText>Psoriasi a placche pediatrica</w:delText>
        </w:r>
      </w:del>
    </w:p>
    <w:p w:rsidR="006224C2" w:rsidRPr="00295E71" w14:paraId="21A89D72" w14:textId="77777777">
      <w:pPr>
        <w:keepNext/>
        <w:numPr>
          <w:ilvl w:val="12"/>
          <w:numId w:val="0"/>
        </w:numPr>
        <w:tabs>
          <w:tab w:val="left" w:pos="567"/>
        </w:tabs>
        <w:ind w:right="-2"/>
        <w:jc w:val="both"/>
        <w:rPr>
          <w:del w:id="14699" w:author="AbbVie14" w:date="2025-05-09T10:59:00Z"/>
          <w:sz w:val="22"/>
          <w:szCs w:val="22"/>
        </w:rPr>
      </w:pPr>
    </w:p>
    <w:p w:rsidR="006224C2" w:rsidRPr="00295E71" w14:paraId="5CACDA0E" w14:textId="77777777">
      <w:pPr>
        <w:keepNext/>
        <w:numPr>
          <w:ilvl w:val="12"/>
          <w:numId w:val="0"/>
        </w:numPr>
        <w:tabs>
          <w:tab w:val="left" w:pos="567"/>
        </w:tabs>
        <w:ind w:right="-2"/>
        <w:jc w:val="both"/>
        <w:rPr>
          <w:del w:id="14700" w:author="AbbVie14" w:date="2025-05-09T10:59:00Z"/>
          <w:sz w:val="22"/>
          <w:szCs w:val="22"/>
        </w:rPr>
      </w:pPr>
      <w:del w:id="14701" w:author="AbbVie14" w:date="2025-05-09T10:59:00Z">
        <w:r w:rsidRPr="00295E71">
          <w:rPr>
            <w:sz w:val="22"/>
            <w:szCs w:val="22"/>
          </w:rPr>
          <w:delText>La psoriasi a placche è una condizione della pelle che causa chiazze rossastre, squamose e indurite di pelle ricoperta da squame</w:delText>
        </w:r>
      </w:del>
      <w:del w:id="14702" w:author="AbbVie14" w:date="2025-05-09T10:59:00Z">
        <w:r w:rsidRPr="00295E71" w:rsidR="006E6AC6">
          <w:rPr>
            <w:sz w:val="22"/>
            <w:szCs w:val="22"/>
          </w:rPr>
          <w:delText xml:space="preserve"> </w:delText>
        </w:r>
      </w:del>
      <w:del w:id="14703" w:author="AbbVie14" w:date="2025-05-09T10:59:00Z">
        <w:r w:rsidRPr="00295E71">
          <w:rPr>
            <w:sz w:val="22"/>
            <w:szCs w:val="22"/>
          </w:rPr>
          <w:delText>argentee.</w:delText>
        </w:r>
      </w:del>
      <w:del w:id="14704" w:author="AbbVie14" w:date="2025-05-09T10:59:00Z">
        <w:r w:rsidRPr="00295E71" w:rsidR="007F65A5">
          <w:rPr>
            <w:sz w:val="22"/>
            <w:szCs w:val="22"/>
          </w:rPr>
          <w:delText xml:space="preserve"> La psoriasi a placche può anche interessare le unghie, provocandone il loro sgretolamento, ispessimento e sollevamento dal letto ungueale che può essere doloroso. Si ritiene che la psoriasi sia </w:delText>
        </w:r>
      </w:del>
      <w:del w:id="14705" w:author="AbbVie14" w:date="2025-05-09T10:59:00Z">
        <w:r w:rsidRPr="00295E71" w:rsidR="00A93028">
          <w:rPr>
            <w:sz w:val="22"/>
            <w:szCs w:val="22"/>
          </w:rPr>
          <w:delText>causata da</w:delText>
        </w:r>
      </w:del>
      <w:del w:id="14706" w:author="AbbVie14" w:date="2025-05-09T10:59:00Z">
        <w:r w:rsidRPr="00295E71" w:rsidR="007F65A5">
          <w:rPr>
            <w:sz w:val="22"/>
            <w:szCs w:val="22"/>
          </w:rPr>
          <w:delText xml:space="preserve"> un problema del sistema immunitario </w:delText>
        </w:r>
      </w:del>
      <w:del w:id="14707" w:author="AbbVie14" w:date="2025-05-09T10:59:00Z">
        <w:r w:rsidRPr="00295E71" w:rsidR="00A93028">
          <w:rPr>
            <w:sz w:val="22"/>
            <w:szCs w:val="22"/>
          </w:rPr>
          <w:delText>del corpo che conduce a un aumento della produzione di cellule cutanee</w:delText>
        </w:r>
      </w:del>
      <w:del w:id="14708" w:author="AbbVie14" w:date="2025-05-09T10:59:00Z">
        <w:r w:rsidRPr="00295E71" w:rsidR="007F65A5">
          <w:rPr>
            <w:sz w:val="22"/>
            <w:szCs w:val="22"/>
          </w:rPr>
          <w:delText>.</w:delText>
        </w:r>
      </w:del>
    </w:p>
    <w:p w:rsidR="006224C2" w:rsidRPr="00295E71" w14:paraId="6E363B67" w14:textId="77777777">
      <w:pPr>
        <w:numPr>
          <w:ilvl w:val="12"/>
          <w:numId w:val="0"/>
        </w:numPr>
        <w:tabs>
          <w:tab w:val="left" w:pos="567"/>
        </w:tabs>
        <w:ind w:right="-2"/>
        <w:jc w:val="both"/>
        <w:rPr>
          <w:del w:id="14709" w:author="AbbVie14" w:date="2025-05-09T10:59:00Z"/>
          <w:sz w:val="22"/>
          <w:szCs w:val="22"/>
        </w:rPr>
      </w:pPr>
    </w:p>
    <w:p w:rsidR="006224C2" w:rsidRPr="00295E71" w14:paraId="3191C2F9" w14:textId="77777777">
      <w:pPr>
        <w:numPr>
          <w:ilvl w:val="12"/>
          <w:numId w:val="0"/>
        </w:numPr>
        <w:tabs>
          <w:tab w:val="left" w:pos="567"/>
        </w:tabs>
        <w:ind w:right="-2"/>
        <w:jc w:val="both"/>
        <w:rPr>
          <w:del w:id="14710" w:author="AbbVie14" w:date="2025-05-09T10:59:00Z"/>
          <w:sz w:val="22"/>
          <w:szCs w:val="22"/>
        </w:rPr>
      </w:pPr>
      <w:del w:id="14711" w:author="AbbVie14" w:date="2025-05-09T10:59:00Z">
        <w:r w:rsidRPr="00295E71">
          <w:rPr>
            <w:sz w:val="22"/>
            <w:szCs w:val="22"/>
          </w:rPr>
          <w:delText>Humira è utilizzato per trattare la psoriasi a placche grave in bambini e adolescenti da 4 a 17 anni nei quali la terapia topica e le fototerapie non abbiano funzionato in modo ottimale o non siano indicate.</w:delText>
        </w:r>
      </w:del>
    </w:p>
    <w:p w:rsidR="006224C2" w:rsidRPr="00295E71" w14:paraId="3FF19B4E" w14:textId="77777777">
      <w:pPr>
        <w:numPr>
          <w:ilvl w:val="12"/>
          <w:numId w:val="0"/>
        </w:numPr>
        <w:tabs>
          <w:tab w:val="left" w:pos="567"/>
        </w:tabs>
        <w:ind w:right="-2"/>
        <w:jc w:val="both"/>
        <w:rPr>
          <w:del w:id="14712" w:author="AbbVie14" w:date="2025-05-09T10:59:00Z"/>
          <w:b/>
          <w:sz w:val="22"/>
          <w:szCs w:val="22"/>
        </w:rPr>
      </w:pPr>
    </w:p>
    <w:p w:rsidR="006224C2" w:rsidRPr="00295E71" w14:paraId="32DFD8CD" w14:textId="77777777">
      <w:pPr>
        <w:numPr>
          <w:ilvl w:val="12"/>
          <w:numId w:val="0"/>
        </w:numPr>
        <w:ind w:right="-2"/>
        <w:rPr>
          <w:del w:id="14713" w:author="AbbVie14" w:date="2025-05-09T10:59:00Z"/>
          <w:sz w:val="22"/>
          <w:szCs w:val="22"/>
          <w:u w:val="single"/>
        </w:rPr>
      </w:pPr>
      <w:del w:id="14714" w:author="AbbVie14" w:date="2025-05-09T10:59:00Z">
        <w:r w:rsidRPr="00295E71">
          <w:rPr>
            <w:sz w:val="22"/>
            <w:szCs w:val="22"/>
            <w:u w:val="single"/>
          </w:rPr>
          <w:delText>Idrosadenite suppurativa negli adolescenti</w:delText>
        </w:r>
      </w:del>
    </w:p>
    <w:p w:rsidR="006224C2" w:rsidRPr="00295E71" w14:paraId="508D05AA" w14:textId="77777777">
      <w:pPr>
        <w:numPr>
          <w:ilvl w:val="12"/>
          <w:numId w:val="0"/>
        </w:numPr>
        <w:ind w:right="-2"/>
        <w:rPr>
          <w:del w:id="14715" w:author="AbbVie14" w:date="2025-05-09T10:59:00Z"/>
          <w:sz w:val="22"/>
          <w:szCs w:val="22"/>
        </w:rPr>
      </w:pPr>
    </w:p>
    <w:p w:rsidR="006224C2" w:rsidRPr="00295E71" w14:paraId="4D1F38C1" w14:textId="77777777">
      <w:pPr>
        <w:numPr>
          <w:ilvl w:val="12"/>
          <w:numId w:val="0"/>
        </w:numPr>
        <w:tabs>
          <w:tab w:val="left" w:pos="567"/>
        </w:tabs>
        <w:ind w:right="-2"/>
        <w:jc w:val="both"/>
        <w:rPr>
          <w:del w:id="14716" w:author="AbbVie14" w:date="2025-05-09T10:59:00Z"/>
          <w:sz w:val="22"/>
          <w:szCs w:val="22"/>
        </w:rPr>
      </w:pPr>
      <w:del w:id="14717" w:author="AbbVie14" w:date="2025-05-09T10:59:00Z">
        <w:r w:rsidRPr="00295E71">
          <w:rPr>
            <w:sz w:val="22"/>
            <w:szCs w:val="22"/>
          </w:rPr>
          <w:delText>L’idrosadenite suppurativa (chiamata a volte acne inversa) è una malattia infiammatoria cronica della pelle e spesso è dolorosa. I sintomi possono includere noduli dolorosi e ascessi (cisti) che possono drenare pus. Più frequentemente colpisce aree specifiche della pelle, come la regione sottomammaria, le ascelle, l’interno cosce, l’inguine e le natiche. Nelle aree colpite si possono anche formare delle cicatrici.</w:delText>
        </w:r>
      </w:del>
    </w:p>
    <w:p w:rsidR="006224C2" w:rsidRPr="00295E71" w14:paraId="41D11077" w14:textId="77777777">
      <w:pPr>
        <w:numPr>
          <w:ilvl w:val="12"/>
          <w:numId w:val="0"/>
        </w:numPr>
        <w:ind w:right="-2"/>
        <w:rPr>
          <w:del w:id="14718" w:author="AbbVie14" w:date="2025-05-09T10:59:00Z"/>
          <w:sz w:val="22"/>
          <w:szCs w:val="22"/>
        </w:rPr>
      </w:pPr>
    </w:p>
    <w:p w:rsidR="006224C2" w:rsidRPr="00295E71" w14:paraId="0C718298" w14:textId="77777777">
      <w:pPr>
        <w:numPr>
          <w:ilvl w:val="12"/>
          <w:numId w:val="0"/>
        </w:numPr>
        <w:tabs>
          <w:tab w:val="left" w:pos="567"/>
        </w:tabs>
        <w:ind w:right="-2"/>
        <w:jc w:val="both"/>
        <w:rPr>
          <w:del w:id="14719" w:author="AbbVie14" w:date="2025-05-09T10:59:00Z"/>
          <w:sz w:val="22"/>
          <w:szCs w:val="22"/>
        </w:rPr>
      </w:pPr>
      <w:del w:id="14720" w:author="AbbVie14" w:date="2025-05-09T10:59:00Z">
        <w:r w:rsidRPr="00295E71">
          <w:rPr>
            <w:sz w:val="22"/>
            <w:szCs w:val="22"/>
          </w:rPr>
          <w:delText>Humira è utilizzato per trattare l’idrosadenite suppurativa negli adolescenti da 12 anni d’età. Humira può ridurre il numero di noduli e di ascessi</w:delText>
        </w:r>
      </w:del>
      <w:del w:id="14721" w:author="AbbVie14" w:date="2025-05-09T10:59:00Z">
        <w:r w:rsidRPr="00295E71" w:rsidR="00627E40">
          <w:rPr>
            <w:sz w:val="22"/>
            <w:szCs w:val="22"/>
          </w:rPr>
          <w:delText xml:space="preserve"> </w:delText>
        </w:r>
      </w:del>
      <w:del w:id="14722" w:author="AbbVie14" w:date="2025-05-09T10:59:00Z">
        <w:r w:rsidRPr="00295E71">
          <w:rPr>
            <w:sz w:val="22"/>
            <w:szCs w:val="22"/>
          </w:rPr>
          <w:delText>che lei ha, e il dolore che spesso è associato a questa malattia. Inizialmente, potrebbe ricevere altri medicinali. Se non risponde sufficientemente bene a questi medicinali, riceverà Humira.</w:delText>
        </w:r>
      </w:del>
    </w:p>
    <w:p w:rsidR="006224C2" w:rsidRPr="00295E71" w14:paraId="79ABC121" w14:textId="77777777">
      <w:pPr>
        <w:numPr>
          <w:ilvl w:val="12"/>
          <w:numId w:val="0"/>
        </w:numPr>
        <w:tabs>
          <w:tab w:val="left" w:pos="567"/>
        </w:tabs>
        <w:ind w:right="-2"/>
        <w:jc w:val="both"/>
        <w:rPr>
          <w:del w:id="14723" w:author="AbbVie14" w:date="2025-05-09T10:59:00Z"/>
          <w:sz w:val="22"/>
          <w:szCs w:val="22"/>
        </w:rPr>
      </w:pPr>
    </w:p>
    <w:p w:rsidR="004A792F" w:rsidRPr="00295E71" w:rsidP="004A792F" w14:paraId="4D1D0CDE" w14:textId="77777777">
      <w:pPr>
        <w:numPr>
          <w:ilvl w:val="12"/>
          <w:numId w:val="0"/>
        </w:numPr>
        <w:tabs>
          <w:tab w:val="left" w:pos="567"/>
        </w:tabs>
        <w:ind w:right="-2"/>
        <w:jc w:val="both"/>
        <w:rPr>
          <w:del w:id="14724" w:author="AbbVie14" w:date="2025-05-09T10:59:00Z"/>
          <w:sz w:val="22"/>
          <w:szCs w:val="22"/>
          <w:u w:val="single"/>
        </w:rPr>
      </w:pPr>
      <w:del w:id="14725" w:author="AbbVie14" w:date="2025-05-09T10:59:00Z">
        <w:r w:rsidRPr="00295E71">
          <w:rPr>
            <w:sz w:val="22"/>
            <w:szCs w:val="22"/>
            <w:u w:val="single"/>
          </w:rPr>
          <w:delText xml:space="preserve">Malattia di Crohn </w:delText>
        </w:r>
      </w:del>
      <w:del w:id="14726" w:author="AbbVie14" w:date="2025-05-09T10:59:00Z">
        <w:r w:rsidRPr="00295E71" w:rsidR="00E75245">
          <w:rPr>
            <w:sz w:val="22"/>
            <w:szCs w:val="22"/>
            <w:u w:val="single"/>
          </w:rPr>
          <w:delText>in</w:delText>
        </w:r>
      </w:del>
      <w:del w:id="14727" w:author="AbbVie14" w:date="2025-05-09T10:59:00Z">
        <w:r w:rsidRPr="00295E71">
          <w:rPr>
            <w:sz w:val="22"/>
            <w:szCs w:val="22"/>
            <w:u w:val="single"/>
          </w:rPr>
          <w:delText xml:space="preserve"> </w:delText>
        </w:r>
      </w:del>
      <w:del w:id="14728" w:author="AbbVie14" w:date="2025-05-09T10:59:00Z">
        <w:r w:rsidRPr="00295E71" w:rsidR="00E75245">
          <w:rPr>
            <w:sz w:val="22"/>
            <w:szCs w:val="22"/>
            <w:u w:val="single"/>
          </w:rPr>
          <w:delText>pazienti pediatrici</w:delText>
        </w:r>
      </w:del>
    </w:p>
    <w:p w:rsidR="004A792F" w:rsidRPr="00295E71" w:rsidP="004A792F" w14:paraId="6E83807B" w14:textId="77777777">
      <w:pPr>
        <w:numPr>
          <w:ilvl w:val="12"/>
          <w:numId w:val="0"/>
        </w:numPr>
        <w:tabs>
          <w:tab w:val="left" w:pos="567"/>
        </w:tabs>
        <w:ind w:right="-2"/>
        <w:jc w:val="both"/>
        <w:rPr>
          <w:del w:id="14729" w:author="AbbVie14" w:date="2025-05-09T10:59:00Z"/>
          <w:sz w:val="22"/>
          <w:szCs w:val="22"/>
        </w:rPr>
      </w:pPr>
    </w:p>
    <w:p w:rsidR="00E75245" w:rsidRPr="00295E71" w:rsidP="00E75245" w14:paraId="45E4D4BC" w14:textId="77777777">
      <w:pPr>
        <w:numPr>
          <w:ilvl w:val="12"/>
          <w:numId w:val="0"/>
        </w:numPr>
        <w:tabs>
          <w:tab w:val="left" w:pos="567"/>
        </w:tabs>
        <w:ind w:right="-2"/>
        <w:jc w:val="both"/>
        <w:rPr>
          <w:del w:id="14730" w:author="AbbVie14" w:date="2025-05-09T10:59:00Z"/>
          <w:sz w:val="22"/>
          <w:szCs w:val="22"/>
        </w:rPr>
      </w:pPr>
      <w:del w:id="14731" w:author="AbbVie14" w:date="2025-05-09T10:59:00Z">
        <w:r w:rsidRPr="00295E71">
          <w:rPr>
            <w:sz w:val="22"/>
            <w:szCs w:val="22"/>
          </w:rPr>
          <w:delText xml:space="preserve">La malattia di Crohn è una malattia infiammatoria del tratto digestivo. Humira è indicato per il trattamento della malattia di Crohn in bambini di età compresa dai 6 ai 17 anni. </w:delText>
        </w:r>
      </w:del>
    </w:p>
    <w:p w:rsidR="00E75245" w:rsidRPr="00295E71" w:rsidP="00E75245" w14:paraId="76C2196B" w14:textId="77777777">
      <w:pPr>
        <w:numPr>
          <w:ilvl w:val="12"/>
          <w:numId w:val="0"/>
        </w:numPr>
        <w:tabs>
          <w:tab w:val="left" w:pos="567"/>
        </w:tabs>
        <w:ind w:right="-2"/>
        <w:jc w:val="both"/>
        <w:rPr>
          <w:del w:id="14732" w:author="AbbVie14" w:date="2025-05-09T10:59:00Z"/>
          <w:sz w:val="22"/>
          <w:szCs w:val="22"/>
        </w:rPr>
      </w:pPr>
      <w:del w:id="14733" w:author="AbbVie14" w:date="2025-05-09T10:59:00Z">
        <w:r>
          <w:rPr>
            <w:sz w:val="22"/>
            <w:szCs w:val="22"/>
          </w:rPr>
          <w:delText>Al bambino</w:delText>
        </w:r>
      </w:del>
      <w:del w:id="14734" w:author="AbbVie14" w:date="2025-05-09T10:59:00Z">
        <w:r w:rsidRPr="00295E71">
          <w:rPr>
            <w:sz w:val="22"/>
            <w:szCs w:val="22"/>
          </w:rPr>
          <w:delText xml:space="preserve"> possono essere somministrati inizialmente altri medicinali. Se questi medicinali non funzionano bene abbastanza, </w:delText>
        </w:r>
      </w:del>
      <w:del w:id="14735" w:author="AbbVie14" w:date="2025-05-09T10:59:00Z">
        <w:r>
          <w:rPr>
            <w:sz w:val="22"/>
            <w:szCs w:val="22"/>
          </w:rPr>
          <w:delText>al bambino</w:delText>
        </w:r>
      </w:del>
      <w:del w:id="14736" w:author="AbbVie14" w:date="2025-05-09T10:59:00Z">
        <w:r w:rsidRPr="00295E71">
          <w:rPr>
            <w:sz w:val="22"/>
            <w:szCs w:val="22"/>
          </w:rPr>
          <w:delText xml:space="preserve"> sarà somministrato Humira per ridurre i segni ed i sintomi della  malattia.</w:delText>
        </w:r>
      </w:del>
    </w:p>
    <w:p w:rsidR="004A792F" w14:paraId="0F561802" w14:textId="77777777">
      <w:pPr>
        <w:numPr>
          <w:ilvl w:val="12"/>
          <w:numId w:val="0"/>
        </w:numPr>
        <w:tabs>
          <w:tab w:val="left" w:pos="567"/>
        </w:tabs>
        <w:ind w:right="-2"/>
        <w:jc w:val="both"/>
        <w:rPr>
          <w:del w:id="14737" w:author="AbbVie14" w:date="2025-05-09T10:59:00Z"/>
          <w:sz w:val="22"/>
          <w:szCs w:val="22"/>
        </w:rPr>
      </w:pPr>
    </w:p>
    <w:p w:rsidR="00CF20AF" w:rsidRPr="00127E4C" w:rsidP="00CF20AF" w14:paraId="74E3BB32" w14:textId="77777777">
      <w:pPr>
        <w:pStyle w:val="BodyText"/>
        <w:rPr>
          <w:del w:id="14738" w:author="AbbVie14" w:date="2025-05-09T10:59:00Z"/>
          <w:u w:val="single"/>
        </w:rPr>
      </w:pPr>
      <w:bookmarkStart w:id="14739" w:name="_Hlk53397152"/>
      <w:del w:id="14740" w:author="AbbVie14" w:date="2025-05-09T10:59:00Z">
        <w:r w:rsidRPr="00127E4C">
          <w:rPr>
            <w:u w:val="single"/>
          </w:rPr>
          <w:delText xml:space="preserve">Colite ulcerosa in pazienti pediatrici </w:delText>
        </w:r>
      </w:del>
    </w:p>
    <w:p w:rsidR="00CF20AF" w:rsidRPr="00127E4C" w:rsidP="00CF20AF" w14:paraId="5F916F63" w14:textId="77777777">
      <w:pPr>
        <w:pStyle w:val="BodyText"/>
        <w:rPr>
          <w:del w:id="14741" w:author="AbbVie14" w:date="2025-05-09T10:59:00Z"/>
          <w:u w:val="single"/>
        </w:rPr>
      </w:pPr>
    </w:p>
    <w:p w:rsidR="00CF20AF" w:rsidRPr="00612824" w:rsidP="00CF20AF" w14:paraId="696B1D7A" w14:textId="77777777">
      <w:pPr>
        <w:rPr>
          <w:del w:id="14742" w:author="AbbVie14" w:date="2025-05-09T10:59:00Z"/>
          <w:sz w:val="22"/>
          <w:szCs w:val="22"/>
        </w:rPr>
      </w:pPr>
      <w:del w:id="14743" w:author="AbbVie14" w:date="2025-05-09T10:59:00Z">
        <w:r w:rsidRPr="00612824">
          <w:rPr>
            <w:sz w:val="22"/>
            <w:szCs w:val="22"/>
          </w:rPr>
          <w:delText>La colite ulcerosa è una malattia infiammatoria dell'intestino</w:delText>
        </w:r>
      </w:del>
      <w:del w:id="14744" w:author="AbbVie14" w:date="2025-05-09T10:59:00Z">
        <w:r w:rsidR="00793E55">
          <w:rPr>
            <w:sz w:val="22"/>
            <w:szCs w:val="22"/>
          </w:rPr>
          <w:delText xml:space="preserve"> crasso</w:delText>
        </w:r>
      </w:del>
      <w:del w:id="14745" w:author="AbbVie14" w:date="2025-05-09T10:59:00Z">
        <w:r w:rsidRPr="00612824">
          <w:rPr>
            <w:sz w:val="22"/>
            <w:szCs w:val="22"/>
          </w:rPr>
          <w:delText xml:space="preserve">. Humira è usato per trattare la colite ulcerosa </w:delText>
        </w:r>
      </w:del>
      <w:del w:id="14746" w:author="AbbVie14" w:date="2025-05-09T10:59:00Z">
        <w:r>
          <w:rPr>
            <w:sz w:val="22"/>
            <w:szCs w:val="22"/>
          </w:rPr>
          <w:delText xml:space="preserve">da </w:delText>
        </w:r>
      </w:del>
      <w:del w:id="14747" w:author="AbbVie14" w:date="2025-05-09T10:59:00Z">
        <w:r w:rsidRPr="00612824">
          <w:rPr>
            <w:sz w:val="22"/>
            <w:szCs w:val="22"/>
          </w:rPr>
          <w:delText>moderat</w:delText>
        </w:r>
      </w:del>
      <w:del w:id="14748" w:author="AbbVie14" w:date="2025-05-09T10:59:00Z">
        <w:r w:rsidR="00AC11FC">
          <w:rPr>
            <w:sz w:val="22"/>
            <w:szCs w:val="22"/>
          </w:rPr>
          <w:delText>a</w:delText>
        </w:r>
      </w:del>
      <w:del w:id="14749" w:author="AbbVie14" w:date="2025-05-09T10:59:00Z">
        <w:r w:rsidRPr="00612824">
          <w:rPr>
            <w:sz w:val="22"/>
            <w:szCs w:val="22"/>
          </w:rPr>
          <w:delText xml:space="preserve"> a grave nei bambini di età compresa </w:delText>
        </w:r>
      </w:del>
      <w:del w:id="14750" w:author="AbbVie14" w:date="2025-05-09T10:59:00Z">
        <w:r>
          <w:rPr>
            <w:sz w:val="22"/>
            <w:szCs w:val="22"/>
          </w:rPr>
          <w:delText>dai</w:delText>
        </w:r>
      </w:del>
      <w:del w:id="14751" w:author="AbbVie14" w:date="2025-05-09T10:59:00Z">
        <w:r w:rsidRPr="00612824">
          <w:rPr>
            <w:sz w:val="22"/>
            <w:szCs w:val="22"/>
          </w:rPr>
          <w:delText xml:space="preserve"> 6 </w:delText>
        </w:r>
      </w:del>
      <w:del w:id="14752" w:author="AbbVie14" w:date="2025-05-09T10:59:00Z">
        <w:r>
          <w:rPr>
            <w:sz w:val="22"/>
            <w:szCs w:val="22"/>
          </w:rPr>
          <w:delText>ai</w:delText>
        </w:r>
      </w:del>
      <w:del w:id="14753" w:author="AbbVie14" w:date="2025-05-09T10:59:00Z">
        <w:r w:rsidRPr="00612824">
          <w:rPr>
            <w:sz w:val="22"/>
            <w:szCs w:val="22"/>
          </w:rPr>
          <w:delText xml:space="preserve"> 17 anni. Al bambino possono essere somministrati </w:delText>
        </w:r>
      </w:del>
      <w:del w:id="14754" w:author="AbbVie14" w:date="2025-05-09T10:59:00Z">
        <w:r>
          <w:rPr>
            <w:sz w:val="22"/>
            <w:szCs w:val="22"/>
          </w:rPr>
          <w:delText>inizialmente</w:delText>
        </w:r>
      </w:del>
      <w:del w:id="14755" w:author="AbbVie14" w:date="2025-05-09T10:59:00Z">
        <w:r w:rsidRPr="00612824">
          <w:rPr>
            <w:sz w:val="22"/>
            <w:szCs w:val="22"/>
          </w:rPr>
          <w:delText xml:space="preserve"> altri medicinali. </w:delText>
        </w:r>
      </w:del>
      <w:del w:id="14756" w:author="AbbVie14" w:date="2025-05-09T10:59:00Z">
        <w:r w:rsidRPr="00295E71">
          <w:rPr>
            <w:sz w:val="22"/>
            <w:szCs w:val="22"/>
          </w:rPr>
          <w:delText xml:space="preserve">Se questi medicinali non funzionano bene abbastanza, </w:delText>
        </w:r>
      </w:del>
      <w:del w:id="14757" w:author="AbbVie14" w:date="2025-05-09T10:59:00Z">
        <w:r>
          <w:rPr>
            <w:sz w:val="22"/>
            <w:szCs w:val="22"/>
          </w:rPr>
          <w:delText>al bambino</w:delText>
        </w:r>
      </w:del>
      <w:del w:id="14758" w:author="AbbVie14" w:date="2025-05-09T10:59:00Z">
        <w:r w:rsidRPr="00295E71">
          <w:rPr>
            <w:sz w:val="22"/>
            <w:szCs w:val="22"/>
          </w:rPr>
          <w:delText xml:space="preserve"> sarà somministrato Humira per ridurre i segni ed i sintomi della malattia.</w:delText>
        </w:r>
      </w:del>
    </w:p>
    <w:bookmarkEnd w:id="14739"/>
    <w:p w:rsidR="00CF20AF" w:rsidRPr="00295E71" w14:paraId="4D56BC78" w14:textId="77777777">
      <w:pPr>
        <w:numPr>
          <w:ilvl w:val="12"/>
          <w:numId w:val="0"/>
        </w:numPr>
        <w:tabs>
          <w:tab w:val="left" w:pos="567"/>
        </w:tabs>
        <w:ind w:right="-2"/>
        <w:jc w:val="both"/>
        <w:rPr>
          <w:del w:id="14759" w:author="AbbVie14" w:date="2025-05-09T10:59:00Z"/>
          <w:sz w:val="22"/>
          <w:szCs w:val="22"/>
        </w:rPr>
      </w:pPr>
    </w:p>
    <w:p w:rsidR="006224C2" w:rsidRPr="00295E71" w14:paraId="138917B2" w14:textId="77777777">
      <w:pPr>
        <w:numPr>
          <w:ilvl w:val="12"/>
          <w:numId w:val="0"/>
        </w:numPr>
        <w:tabs>
          <w:tab w:val="left" w:pos="567"/>
        </w:tabs>
        <w:ind w:right="-2"/>
        <w:jc w:val="both"/>
        <w:rPr>
          <w:del w:id="14760" w:author="AbbVie14" w:date="2025-05-09T10:59:00Z"/>
          <w:sz w:val="22"/>
          <w:szCs w:val="22"/>
          <w:u w:val="single"/>
        </w:rPr>
      </w:pPr>
      <w:del w:id="14761" w:author="AbbVie14" w:date="2025-05-09T10:59:00Z">
        <w:r w:rsidRPr="00295E71">
          <w:rPr>
            <w:sz w:val="22"/>
            <w:szCs w:val="22"/>
            <w:u w:val="single"/>
          </w:rPr>
          <w:delText xml:space="preserve">Uveite </w:delText>
        </w:r>
      </w:del>
      <w:del w:id="14762" w:author="AbbVie14" w:date="2025-05-09T10:59:00Z">
        <w:r w:rsidRPr="00295E71" w:rsidR="00E75245">
          <w:rPr>
            <w:sz w:val="22"/>
            <w:szCs w:val="22"/>
            <w:u w:val="single"/>
          </w:rPr>
          <w:delText>pediatrica</w:delText>
        </w:r>
      </w:del>
    </w:p>
    <w:p w:rsidR="006224C2" w:rsidRPr="00295E71" w14:paraId="0D5EC1D0" w14:textId="77777777">
      <w:pPr>
        <w:numPr>
          <w:ilvl w:val="12"/>
          <w:numId w:val="0"/>
        </w:numPr>
        <w:tabs>
          <w:tab w:val="left" w:pos="567"/>
        </w:tabs>
        <w:ind w:right="-2"/>
        <w:jc w:val="both"/>
        <w:rPr>
          <w:del w:id="14763" w:author="AbbVie14" w:date="2025-05-09T10:59:00Z"/>
          <w:sz w:val="22"/>
          <w:szCs w:val="22"/>
        </w:rPr>
      </w:pPr>
    </w:p>
    <w:p w:rsidR="006224C2" w:rsidRPr="00295E71" w14:paraId="073DFA3E" w14:textId="77777777">
      <w:pPr>
        <w:numPr>
          <w:ilvl w:val="12"/>
          <w:numId w:val="0"/>
        </w:numPr>
        <w:tabs>
          <w:tab w:val="left" w:pos="567"/>
        </w:tabs>
        <w:ind w:right="-2"/>
        <w:jc w:val="both"/>
        <w:rPr>
          <w:del w:id="14764" w:author="AbbVie14" w:date="2025-05-09T10:59:00Z"/>
          <w:sz w:val="22"/>
          <w:szCs w:val="22"/>
        </w:rPr>
      </w:pPr>
      <w:del w:id="14765" w:author="AbbVie14" w:date="2025-05-09T10:59:00Z">
        <w:r w:rsidRPr="00295E71">
          <w:rPr>
            <w:sz w:val="22"/>
            <w:szCs w:val="22"/>
          </w:rPr>
          <w:delText>L’uveite non infettiva è una malattia infiammatoria che colpisce alcune parti dell’occhio.</w:delText>
        </w:r>
      </w:del>
    </w:p>
    <w:p w:rsidR="006224C2" w:rsidRPr="00295E71" w14:paraId="6FB5E068" w14:textId="77777777">
      <w:pPr>
        <w:numPr>
          <w:ilvl w:val="12"/>
          <w:numId w:val="0"/>
        </w:numPr>
        <w:tabs>
          <w:tab w:val="left" w:pos="567"/>
        </w:tabs>
        <w:ind w:right="-2"/>
        <w:jc w:val="both"/>
        <w:rPr>
          <w:del w:id="14766" w:author="AbbVie14" w:date="2025-05-09T10:59:00Z"/>
          <w:sz w:val="22"/>
          <w:szCs w:val="22"/>
        </w:rPr>
      </w:pPr>
    </w:p>
    <w:p w:rsidR="006224C2" w:rsidRPr="00295E71" w14:paraId="2F6EE55A" w14:textId="77777777">
      <w:pPr>
        <w:numPr>
          <w:ilvl w:val="12"/>
          <w:numId w:val="0"/>
        </w:numPr>
        <w:tabs>
          <w:tab w:val="left" w:pos="567"/>
        </w:tabs>
        <w:ind w:right="-2"/>
        <w:jc w:val="both"/>
        <w:rPr>
          <w:del w:id="14767" w:author="AbbVie14" w:date="2025-05-09T10:59:00Z"/>
          <w:sz w:val="22"/>
          <w:szCs w:val="22"/>
        </w:rPr>
      </w:pPr>
      <w:del w:id="14768" w:author="AbbVie14" w:date="2025-05-09T10:59:00Z">
        <w:r w:rsidRPr="00295E71">
          <w:rPr>
            <w:sz w:val="22"/>
            <w:szCs w:val="22"/>
          </w:rPr>
          <w:delText xml:space="preserve">Humira è </w:delText>
        </w:r>
      </w:del>
      <w:del w:id="14769" w:author="AbbVie14" w:date="2025-05-09T10:59:00Z">
        <w:r w:rsidRPr="00295E71" w:rsidR="00E60CAC">
          <w:rPr>
            <w:sz w:val="22"/>
            <w:szCs w:val="22"/>
          </w:rPr>
          <w:delText>utilizzato</w:delText>
        </w:r>
      </w:del>
      <w:del w:id="14770" w:author="AbbVie14" w:date="2025-05-09T10:59:00Z">
        <w:r w:rsidRPr="00295E71">
          <w:rPr>
            <w:sz w:val="22"/>
            <w:szCs w:val="22"/>
          </w:rPr>
          <w:delText xml:space="preserve"> per il trattamento dei bambini da 2 anni di età </w:delText>
        </w:r>
      </w:del>
      <w:del w:id="14771" w:author="AbbVie14" w:date="2025-05-09T10:59:00Z">
        <w:r w:rsidRPr="00295E71" w:rsidR="00224E13">
          <w:rPr>
            <w:sz w:val="22"/>
            <w:szCs w:val="22"/>
          </w:rPr>
          <w:delText>con</w:delText>
        </w:r>
      </w:del>
      <w:del w:id="14772" w:author="AbbVie14" w:date="2025-05-09T10:59:00Z">
        <w:r w:rsidRPr="00295E71">
          <w:rPr>
            <w:sz w:val="22"/>
            <w:szCs w:val="22"/>
          </w:rPr>
          <w:delText xml:space="preserve"> uveite cronica non infettiva con infiammazione che interessa la parte anteriore dell’occhio.</w:delText>
        </w:r>
      </w:del>
      <w:del w:id="14773" w:author="AbbVie14" w:date="2025-05-09T10:59:00Z">
        <w:r w:rsidRPr="00295E71" w:rsidR="00E60CAC">
          <w:rPr>
            <w:sz w:val="22"/>
            <w:szCs w:val="22"/>
          </w:rPr>
          <w:delText xml:space="preserve"> </w:delText>
        </w:r>
      </w:del>
      <w:del w:id="14774" w:author="AbbVie14" w:date="2025-05-09T10:59:00Z">
        <w:r w:rsidRPr="00295E71">
          <w:rPr>
            <w:sz w:val="22"/>
            <w:szCs w:val="22"/>
          </w:rPr>
          <w:delText>Questa infiammazione può portare a una diminuzione della visione e/o alla presenza di corpi mobili nell’occhio (punti neri o linee sottili che si muovono attraverso il campo visivo).</w:delText>
        </w:r>
      </w:del>
      <w:del w:id="14775" w:author="AbbVie14" w:date="2025-05-09T10:59:00Z">
        <w:r w:rsidRPr="00295E71" w:rsidR="00E60CAC">
          <w:rPr>
            <w:sz w:val="22"/>
            <w:szCs w:val="22"/>
          </w:rPr>
          <w:delText xml:space="preserve"> </w:delText>
        </w:r>
      </w:del>
      <w:del w:id="14776" w:author="AbbVie14" w:date="2025-05-09T10:59:00Z">
        <w:r w:rsidRPr="00295E71">
          <w:rPr>
            <w:sz w:val="22"/>
            <w:szCs w:val="22"/>
          </w:rPr>
          <w:delText>Humira agisce riducendo questa infiammazione.</w:delText>
        </w:r>
      </w:del>
    </w:p>
    <w:p w:rsidR="006224C2" w:rsidRPr="00295E71" w14:paraId="4C617301" w14:textId="77777777">
      <w:pPr>
        <w:numPr>
          <w:ilvl w:val="12"/>
          <w:numId w:val="0"/>
        </w:numPr>
        <w:tabs>
          <w:tab w:val="left" w:pos="567"/>
        </w:tabs>
        <w:ind w:left="567" w:right="-2" w:hanging="567"/>
        <w:jc w:val="both"/>
        <w:rPr>
          <w:del w:id="14777" w:author="AbbVie14" w:date="2025-05-09T10:59:00Z"/>
          <w:b/>
          <w:bCs/>
          <w:sz w:val="22"/>
          <w:szCs w:val="22"/>
        </w:rPr>
      </w:pPr>
    </w:p>
    <w:p w:rsidR="006224C2" w:rsidRPr="00295E71" w14:paraId="5185C7E0" w14:textId="77777777">
      <w:pPr>
        <w:numPr>
          <w:ilvl w:val="12"/>
          <w:numId w:val="0"/>
        </w:numPr>
        <w:tabs>
          <w:tab w:val="left" w:pos="567"/>
        </w:tabs>
        <w:ind w:left="567" w:right="-2" w:hanging="567"/>
        <w:jc w:val="both"/>
        <w:rPr>
          <w:del w:id="14778" w:author="AbbVie14" w:date="2025-05-09T10:59:00Z"/>
          <w:b/>
          <w:bCs/>
          <w:sz w:val="22"/>
          <w:szCs w:val="22"/>
        </w:rPr>
      </w:pPr>
    </w:p>
    <w:p w:rsidR="006224C2" w:rsidRPr="00295E71" w14:paraId="1451C667" w14:textId="77777777">
      <w:pPr>
        <w:numPr>
          <w:ilvl w:val="12"/>
          <w:numId w:val="0"/>
        </w:numPr>
        <w:tabs>
          <w:tab w:val="left" w:pos="567"/>
        </w:tabs>
        <w:ind w:left="567" w:right="-2" w:hanging="567"/>
        <w:jc w:val="both"/>
        <w:rPr>
          <w:del w:id="14779" w:author="AbbVie14" w:date="2025-05-09T10:59:00Z"/>
          <w:b/>
          <w:bCs/>
          <w:sz w:val="22"/>
          <w:szCs w:val="22"/>
        </w:rPr>
      </w:pPr>
      <w:del w:id="14780" w:author="AbbVie14" w:date="2025-05-09T10:59:00Z">
        <w:r w:rsidRPr="00295E71">
          <w:rPr>
            <w:b/>
            <w:bCs/>
            <w:sz w:val="22"/>
            <w:szCs w:val="22"/>
          </w:rPr>
          <w:delText>2.</w:delText>
        </w:r>
      </w:del>
      <w:del w:id="14781" w:author="AbbVie14" w:date="2025-05-09T10:59:00Z">
        <w:r w:rsidRPr="00295E71">
          <w:rPr>
            <w:b/>
            <w:bCs/>
            <w:sz w:val="22"/>
            <w:szCs w:val="22"/>
          </w:rPr>
          <w:tab/>
          <w:delText>Cosa deve sapere prima che il bambino usi Humira</w:delText>
        </w:r>
      </w:del>
    </w:p>
    <w:p w:rsidR="006224C2" w:rsidRPr="00295E71" w14:paraId="203511B8" w14:textId="77777777">
      <w:pPr>
        <w:numPr>
          <w:ilvl w:val="12"/>
          <w:numId w:val="0"/>
        </w:numPr>
        <w:tabs>
          <w:tab w:val="left" w:pos="567"/>
        </w:tabs>
        <w:ind w:right="-2"/>
        <w:jc w:val="both"/>
        <w:rPr>
          <w:del w:id="14782" w:author="AbbVie14" w:date="2025-05-09T10:59:00Z"/>
          <w:sz w:val="22"/>
          <w:szCs w:val="22"/>
        </w:rPr>
      </w:pPr>
    </w:p>
    <w:p w:rsidR="006224C2" w:rsidRPr="00295E71" w14:paraId="2EF59171" w14:textId="77777777">
      <w:pPr>
        <w:numPr>
          <w:ilvl w:val="12"/>
          <w:numId w:val="0"/>
        </w:numPr>
        <w:tabs>
          <w:tab w:val="left" w:pos="567"/>
        </w:tabs>
        <w:jc w:val="both"/>
        <w:rPr>
          <w:del w:id="14783" w:author="AbbVie14" w:date="2025-05-09T10:59:00Z"/>
          <w:b/>
          <w:bCs/>
          <w:sz w:val="22"/>
          <w:szCs w:val="22"/>
        </w:rPr>
      </w:pPr>
      <w:del w:id="14784" w:author="AbbVie14" w:date="2025-05-09T10:59:00Z">
        <w:r w:rsidRPr="00295E71">
          <w:rPr>
            <w:b/>
            <w:bCs/>
            <w:sz w:val="22"/>
            <w:szCs w:val="22"/>
          </w:rPr>
          <w:delText>Non usi Humira</w:delText>
        </w:r>
      </w:del>
    </w:p>
    <w:p w:rsidR="006224C2" w:rsidRPr="00295E71" w14:paraId="1DD96E79" w14:textId="77777777">
      <w:pPr>
        <w:pStyle w:val="EndnoteText"/>
        <w:numPr>
          <w:ilvl w:val="12"/>
          <w:numId w:val="0"/>
        </w:numPr>
        <w:jc w:val="both"/>
        <w:rPr>
          <w:del w:id="14785" w:author="AbbVie14" w:date="2025-05-09T10:59:00Z"/>
          <w:lang w:val="it-IT"/>
        </w:rPr>
      </w:pPr>
    </w:p>
    <w:p w:rsidR="006224C2" w:rsidRPr="00295E71" w14:paraId="396FEA4E" w14:textId="77777777">
      <w:pPr>
        <w:numPr>
          <w:ilvl w:val="0"/>
          <w:numId w:val="5"/>
        </w:numPr>
        <w:tabs>
          <w:tab w:val="clear" w:pos="360"/>
          <w:tab w:val="left" w:pos="540"/>
        </w:tabs>
        <w:ind w:left="540" w:hanging="540"/>
        <w:jc w:val="both"/>
        <w:rPr>
          <w:del w:id="14786" w:author="AbbVie14" w:date="2025-05-09T10:59:00Z"/>
          <w:sz w:val="22"/>
          <w:szCs w:val="22"/>
        </w:rPr>
      </w:pPr>
      <w:del w:id="14787" w:author="AbbVie14" w:date="2025-05-09T10:59:00Z">
        <w:r w:rsidRPr="00295E71">
          <w:rPr>
            <w:sz w:val="22"/>
            <w:szCs w:val="22"/>
          </w:rPr>
          <w:delText>Se il bambino è allergico ad adalimumab o ad uno qualsiasi degli altri componenti di questo medicinale (elencati al paragrafo 6).</w:delText>
        </w:r>
      </w:del>
    </w:p>
    <w:p w:rsidR="006224C2" w:rsidRPr="00295E71" w14:paraId="157C7DB7" w14:textId="77777777">
      <w:pPr>
        <w:tabs>
          <w:tab w:val="left" w:pos="567"/>
        </w:tabs>
        <w:jc w:val="both"/>
        <w:rPr>
          <w:del w:id="14788" w:author="AbbVie14" w:date="2025-05-09T10:59:00Z"/>
          <w:sz w:val="22"/>
          <w:szCs w:val="22"/>
        </w:rPr>
      </w:pPr>
    </w:p>
    <w:p w:rsidR="006224C2" w:rsidRPr="00295E71" w14:paraId="63EFA4FA" w14:textId="77777777">
      <w:pPr>
        <w:numPr>
          <w:ilvl w:val="0"/>
          <w:numId w:val="5"/>
        </w:numPr>
        <w:tabs>
          <w:tab w:val="clear" w:pos="360"/>
          <w:tab w:val="left" w:pos="540"/>
        </w:tabs>
        <w:ind w:left="540" w:hanging="540"/>
        <w:jc w:val="both"/>
        <w:rPr>
          <w:del w:id="14789" w:author="AbbVie14" w:date="2025-05-09T10:59:00Z"/>
          <w:sz w:val="22"/>
          <w:szCs w:val="22"/>
        </w:rPr>
      </w:pPr>
      <w:del w:id="14790" w:author="AbbVie14" w:date="2025-05-09T10:59:00Z">
        <w:r w:rsidRPr="00295E71">
          <w:rPr>
            <w:sz w:val="22"/>
            <w:szCs w:val="22"/>
          </w:rPr>
          <w:delText>In presenza di un’infezione grave, compresa la tubercolosi attiva (vedere “Avvertenze e precauzioni”). È importante comunicare al medico se il bambino ha sintomi di infezione, come per es. febbre, ferite, sensazione di stanchezza, problemi dentali.</w:delText>
        </w:r>
      </w:del>
    </w:p>
    <w:p w:rsidR="006224C2" w:rsidRPr="00295E71" w14:paraId="7B99004E" w14:textId="77777777">
      <w:pPr>
        <w:tabs>
          <w:tab w:val="left" w:pos="567"/>
        </w:tabs>
        <w:jc w:val="both"/>
        <w:rPr>
          <w:del w:id="14791" w:author="AbbVie14" w:date="2025-05-09T10:59:00Z"/>
          <w:sz w:val="22"/>
          <w:szCs w:val="22"/>
        </w:rPr>
      </w:pPr>
    </w:p>
    <w:p w:rsidR="006224C2" w:rsidRPr="00295E71" w14:paraId="37ADA959" w14:textId="77777777">
      <w:pPr>
        <w:numPr>
          <w:ilvl w:val="0"/>
          <w:numId w:val="5"/>
        </w:numPr>
        <w:tabs>
          <w:tab w:val="clear" w:pos="360"/>
          <w:tab w:val="left" w:pos="540"/>
        </w:tabs>
        <w:ind w:left="540" w:hanging="540"/>
        <w:jc w:val="both"/>
        <w:rPr>
          <w:del w:id="14792" w:author="AbbVie14" w:date="2025-05-09T10:59:00Z"/>
          <w:sz w:val="22"/>
          <w:szCs w:val="22"/>
        </w:rPr>
      </w:pPr>
      <w:del w:id="14793" w:author="AbbVie14" w:date="2025-05-09T10:59:00Z">
        <w:r w:rsidRPr="00295E71">
          <w:rPr>
            <w:sz w:val="22"/>
            <w:szCs w:val="22"/>
          </w:rPr>
          <w:delText>In presenza di insufficienza cardiaca moderata o grave. È importante riferire al medico se c’è stata o è presente una condizione cardiaca grave (vedere “Avvertenze e precauzioni”).</w:delText>
        </w:r>
      </w:del>
    </w:p>
    <w:p w:rsidR="006224C2" w:rsidRPr="00295E71" w14:paraId="1C467C4C" w14:textId="77777777">
      <w:pPr>
        <w:pStyle w:val="EndnoteText"/>
        <w:jc w:val="both"/>
        <w:rPr>
          <w:del w:id="14794" w:author="AbbVie14" w:date="2025-05-09T10:59:00Z"/>
          <w:lang w:val="it-IT" w:eastAsia="it-IT"/>
        </w:rPr>
      </w:pPr>
    </w:p>
    <w:p w:rsidR="006224C2" w:rsidRPr="00295E71" w:rsidP="0019187E" w14:paraId="571B3597" w14:textId="77777777">
      <w:pPr>
        <w:keepNext/>
        <w:tabs>
          <w:tab w:val="left" w:pos="567"/>
        </w:tabs>
        <w:jc w:val="both"/>
        <w:rPr>
          <w:del w:id="14795" w:author="AbbVie14" w:date="2025-05-09T10:59:00Z"/>
          <w:b/>
          <w:bCs/>
          <w:sz w:val="22"/>
          <w:szCs w:val="22"/>
        </w:rPr>
      </w:pPr>
      <w:del w:id="14796" w:author="AbbVie14" w:date="2025-05-09T10:59:00Z">
        <w:r w:rsidRPr="00295E71">
          <w:rPr>
            <w:b/>
            <w:bCs/>
            <w:sz w:val="22"/>
            <w:szCs w:val="22"/>
          </w:rPr>
          <w:delText>Avvertenze e precauzioni</w:delText>
        </w:r>
      </w:del>
    </w:p>
    <w:p w:rsidR="006224C2" w:rsidRPr="00295E71" w:rsidP="0019187E" w14:paraId="49E3D4B8" w14:textId="77777777">
      <w:pPr>
        <w:pStyle w:val="EndnoteText"/>
        <w:keepNext/>
        <w:jc w:val="both"/>
        <w:rPr>
          <w:del w:id="14797" w:author="AbbVie14" w:date="2025-05-09T10:59:00Z"/>
          <w:lang w:val="it-IT"/>
        </w:rPr>
      </w:pPr>
    </w:p>
    <w:p w:rsidR="006224C2" w:rsidRPr="00295E71" w:rsidP="0019187E" w14:paraId="44648224" w14:textId="77777777">
      <w:pPr>
        <w:keepNext/>
        <w:tabs>
          <w:tab w:val="left" w:pos="540"/>
        </w:tabs>
        <w:jc w:val="both"/>
        <w:rPr>
          <w:del w:id="14798" w:author="AbbVie14" w:date="2025-05-09T10:59:00Z"/>
          <w:sz w:val="22"/>
          <w:szCs w:val="22"/>
        </w:rPr>
      </w:pPr>
      <w:del w:id="14799" w:author="AbbVie14" w:date="2025-05-09T10:59:00Z">
        <w:r w:rsidRPr="00295E71">
          <w:rPr>
            <w:sz w:val="22"/>
            <w:szCs w:val="22"/>
          </w:rPr>
          <w:delText xml:space="preserve">Si rivolga al </w:delText>
        </w:r>
      </w:del>
      <w:del w:id="14800" w:author="AbbVie14" w:date="2025-05-09T10:59:00Z">
        <w:r w:rsidRPr="00295E71" w:rsidR="00F961A2">
          <w:rPr>
            <w:sz w:val="22"/>
            <w:szCs w:val="22"/>
          </w:rPr>
          <w:delText>pediatra</w:delText>
        </w:r>
      </w:del>
      <w:del w:id="14801" w:author="AbbVie14" w:date="2025-05-09T10:59:00Z">
        <w:r w:rsidRPr="00295E71">
          <w:rPr>
            <w:sz w:val="22"/>
            <w:szCs w:val="22"/>
          </w:rPr>
          <w:delText xml:space="preserve"> o al farmacista prima di usare Humira.</w:delText>
        </w:r>
      </w:del>
    </w:p>
    <w:p w:rsidR="006224C2" w:rsidRPr="00295E71" w14:paraId="5EE17D1D" w14:textId="77777777">
      <w:pPr>
        <w:tabs>
          <w:tab w:val="left" w:pos="540"/>
        </w:tabs>
        <w:jc w:val="both"/>
        <w:rPr>
          <w:del w:id="14802" w:author="AbbVie14" w:date="2025-05-09T10:59:00Z"/>
          <w:sz w:val="22"/>
          <w:szCs w:val="22"/>
        </w:rPr>
      </w:pPr>
    </w:p>
    <w:p w:rsidR="006224C2" w:rsidRPr="00295E71" w14:paraId="0B8999CE" w14:textId="77777777">
      <w:pPr>
        <w:numPr>
          <w:ilvl w:val="0"/>
          <w:numId w:val="5"/>
        </w:numPr>
        <w:tabs>
          <w:tab w:val="clear" w:pos="360"/>
          <w:tab w:val="left" w:pos="540"/>
          <w:tab w:val="num" w:pos="930"/>
        </w:tabs>
        <w:ind w:left="540" w:hanging="540"/>
        <w:jc w:val="both"/>
        <w:rPr>
          <w:del w:id="14803" w:author="AbbVie14" w:date="2025-05-09T10:59:00Z"/>
          <w:sz w:val="22"/>
          <w:szCs w:val="22"/>
        </w:rPr>
      </w:pPr>
      <w:del w:id="14804" w:author="AbbVie14" w:date="2025-05-09T10:59:00Z">
        <w:r w:rsidRPr="00295E71">
          <w:rPr>
            <w:sz w:val="22"/>
            <w:szCs w:val="22"/>
          </w:rPr>
          <w:delText>In caso di reazioni allegiche con sintomi quali senso d’oppressione toracica, respiro sibilante, capogiro, gonfiore o eruzione cutanea, non somministri più Humira e contatti il medico immediatamente</w:delText>
        </w:r>
      </w:del>
      <w:del w:id="14805" w:author="AbbVie14" w:date="2025-05-09T10:59:00Z">
        <w:r w:rsidRPr="00295E71" w:rsidR="00D63072">
          <w:rPr>
            <w:sz w:val="22"/>
            <w:szCs w:val="22"/>
          </w:rPr>
          <w:delText xml:space="preserve"> considerato che, in rari casi, queste reazioni possono essere pericolose per la vita</w:delText>
        </w:r>
      </w:del>
      <w:del w:id="14806" w:author="AbbVie14" w:date="2025-05-09T10:59:00Z">
        <w:r w:rsidRPr="00295E71">
          <w:rPr>
            <w:sz w:val="22"/>
            <w:szCs w:val="22"/>
          </w:rPr>
          <w:delText>.</w:delText>
        </w:r>
      </w:del>
      <w:del w:id="14807" w:author="AbbVie14" w:date="2025-05-09T10:59:00Z">
        <w:r w:rsidRPr="00295E71">
          <w:rPr>
            <w:sz w:val="22"/>
            <w:szCs w:val="22"/>
          </w:rPr>
          <w:br/>
        </w:r>
      </w:del>
    </w:p>
    <w:p w:rsidR="006224C2" w:rsidRPr="00295E71" w14:paraId="38DE2643" w14:textId="77777777">
      <w:pPr>
        <w:numPr>
          <w:ilvl w:val="0"/>
          <w:numId w:val="5"/>
        </w:numPr>
        <w:tabs>
          <w:tab w:val="clear" w:pos="360"/>
          <w:tab w:val="left" w:pos="540"/>
        </w:tabs>
        <w:ind w:left="540" w:hanging="540"/>
        <w:jc w:val="both"/>
        <w:rPr>
          <w:del w:id="14808" w:author="AbbVie14" w:date="2025-05-09T10:59:00Z"/>
          <w:sz w:val="22"/>
          <w:szCs w:val="22"/>
        </w:rPr>
      </w:pPr>
      <w:del w:id="14809" w:author="AbbVie14" w:date="2025-05-09T10:59:00Z">
        <w:r w:rsidRPr="00295E71">
          <w:rPr>
            <w:sz w:val="22"/>
            <w:szCs w:val="22"/>
          </w:rPr>
          <w:delText>In caso d’infezione, comprese infezioni a lungo termine o localizzate (per esempio, ulcere alle gambe) consulti il medico prima di iniziare il trattamento con Humira. Se ha dubbi, contatti il medico.</w:delText>
        </w:r>
      </w:del>
    </w:p>
    <w:p w:rsidR="006224C2" w:rsidRPr="00295E71" w14:paraId="3D6EBB8C" w14:textId="77777777">
      <w:pPr>
        <w:pStyle w:val="EndnoteText"/>
        <w:jc w:val="both"/>
        <w:rPr>
          <w:del w:id="14810" w:author="AbbVie14" w:date="2025-05-09T10:59:00Z"/>
          <w:lang w:val="it-IT" w:eastAsia="it-IT"/>
        </w:rPr>
      </w:pPr>
    </w:p>
    <w:p w:rsidR="006224C2" w:rsidRPr="00295E71" w14:paraId="5C1DB037" w14:textId="77777777">
      <w:pPr>
        <w:numPr>
          <w:ilvl w:val="0"/>
          <w:numId w:val="5"/>
        </w:numPr>
        <w:tabs>
          <w:tab w:val="clear" w:pos="360"/>
          <w:tab w:val="left" w:pos="540"/>
        </w:tabs>
        <w:ind w:left="540" w:hanging="540"/>
        <w:jc w:val="both"/>
        <w:rPr>
          <w:del w:id="14811" w:author="AbbVie14" w:date="2025-05-09T10:59:00Z"/>
          <w:sz w:val="22"/>
          <w:szCs w:val="22"/>
        </w:rPr>
      </w:pPr>
      <w:del w:id="14812" w:author="AbbVie14" w:date="2025-05-09T10:59:00Z">
        <w:r w:rsidRPr="00295E71">
          <w:rPr>
            <w:sz w:val="22"/>
            <w:szCs w:val="22"/>
          </w:rPr>
          <w:delText>È possibile contrarre più facilmente infezioni durante il trattamento con Humira. Questo rischio può aumentare se la funzione polmonare del bambino è compromessa. Queste infezioni possono essere gravi ed includere tubercolosi, infezioni causate da virus, funghi, parassiti o batteri, o altre infezioni opportunistiche e sepsi che possono, in rari casi, essere rischiose per la vita del paziente. È importante comunicare al medico la presenza di sintomi quali febbre, ferite, sensazione di stanchezza o problemi dentali. Il medico potrebbe consigliare la sospensione temporanea di Humira.</w:delText>
        </w:r>
      </w:del>
    </w:p>
    <w:p w:rsidR="006224C2" w:rsidRPr="00295E71" w14:paraId="79FE1D52" w14:textId="77777777">
      <w:pPr>
        <w:tabs>
          <w:tab w:val="left" w:pos="567"/>
        </w:tabs>
        <w:jc w:val="both"/>
        <w:rPr>
          <w:del w:id="14813" w:author="AbbVie14" w:date="2025-05-09T10:59:00Z"/>
          <w:sz w:val="22"/>
          <w:szCs w:val="22"/>
        </w:rPr>
      </w:pPr>
    </w:p>
    <w:p w:rsidR="006224C2" w:rsidRPr="00295E71" w14:paraId="24B7CFD9" w14:textId="77777777">
      <w:pPr>
        <w:numPr>
          <w:ilvl w:val="0"/>
          <w:numId w:val="5"/>
        </w:numPr>
        <w:tabs>
          <w:tab w:val="clear" w:pos="360"/>
          <w:tab w:val="left" w:pos="540"/>
        </w:tabs>
        <w:ind w:left="540" w:hanging="540"/>
        <w:jc w:val="both"/>
        <w:rPr>
          <w:del w:id="14814" w:author="AbbVie14" w:date="2025-05-09T10:59:00Z"/>
          <w:sz w:val="22"/>
          <w:szCs w:val="22"/>
        </w:rPr>
      </w:pPr>
      <w:del w:id="14815" w:author="AbbVie14" w:date="2025-05-09T10:59:00Z">
        <w:r w:rsidRPr="00295E71">
          <w:rPr>
            <w:sz w:val="22"/>
            <w:szCs w:val="22"/>
          </w:rPr>
          <w:delText>Poiché si sono verificati dei casi di tubercolosi in pazienti sottoposti a trattamento con Humira, il medico dovrà controllare se il bambino presenta segni o sintomi tipici della tubercolosi prima di iniziare la terapia con Humira. Questo comporterà la raccolta di una valutazione medica dettagliata che includa l’anamnesi del bambino e appropriati esami clinici (per es. una radiografia del torace e il test alla tubercolina). L’esecuzione e i risultati di tali esami devono essere registrati nella</w:delText>
        </w:r>
      </w:del>
      <w:del w:id="14816" w:author="AbbVie14" w:date="2025-05-09T10:59:00Z">
        <w:r w:rsidR="00E15A82">
          <w:rPr>
            <w:sz w:val="22"/>
            <w:szCs w:val="22"/>
          </w:rPr>
          <w:delText xml:space="preserve"> </w:delText>
        </w:r>
      </w:del>
      <w:del w:id="14817" w:author="AbbVie14" w:date="2025-05-09T10:59:00Z">
        <w:r w:rsidRPr="000D0B9B" w:rsidR="00E15A82">
          <w:rPr>
            <w:b/>
            <w:sz w:val="22"/>
            <w:szCs w:val="22"/>
          </w:rPr>
          <w:delText>Scheda Promemoria per il Paziente</w:delText>
        </w:r>
      </w:del>
      <w:del w:id="14818" w:author="AbbVie14" w:date="2025-05-09T10:59:00Z">
        <w:r w:rsidRPr="00295E71">
          <w:rPr>
            <w:sz w:val="22"/>
            <w:szCs w:val="22"/>
          </w:rPr>
          <w:delText>. È molto importante comunicare al medico se il bambino ha mai avuto la tubercolosi, o se ha avuto contatti ravvicinati con malati di tubercolosi. La tubercolosi si può manifestare durante la terapia nonostante il bambino abbia ricevuto un trattamento preventivo per la tubercolosi. Contatti immediatamente il medico se durante o dopo la terapia compaiono sintomi di tubercolosi (tosse persistente, perdita di peso, svogliatezza, febbre moderata) o di altre infezioni.</w:delText>
        </w:r>
      </w:del>
    </w:p>
    <w:p w:rsidR="006224C2" w:rsidRPr="00295E71" w14:paraId="3AAD7174" w14:textId="77777777">
      <w:pPr>
        <w:tabs>
          <w:tab w:val="left" w:pos="567"/>
        </w:tabs>
        <w:ind w:left="567"/>
        <w:jc w:val="both"/>
        <w:rPr>
          <w:del w:id="14819" w:author="AbbVie14" w:date="2025-05-09T10:59:00Z"/>
          <w:sz w:val="22"/>
          <w:szCs w:val="22"/>
        </w:rPr>
      </w:pPr>
    </w:p>
    <w:p w:rsidR="006224C2" w:rsidRPr="00295E71" w14:paraId="2AE63CC5" w14:textId="77777777">
      <w:pPr>
        <w:numPr>
          <w:ilvl w:val="0"/>
          <w:numId w:val="5"/>
        </w:numPr>
        <w:tabs>
          <w:tab w:val="clear" w:pos="360"/>
          <w:tab w:val="left" w:pos="540"/>
        </w:tabs>
        <w:ind w:left="540" w:hanging="540"/>
        <w:jc w:val="both"/>
        <w:rPr>
          <w:del w:id="14820" w:author="AbbVie14" w:date="2025-05-09T10:59:00Z"/>
          <w:sz w:val="22"/>
          <w:szCs w:val="22"/>
        </w:rPr>
      </w:pPr>
      <w:del w:id="14821" w:author="AbbVie14" w:date="2025-05-09T10:59:00Z">
        <w:r w:rsidRPr="00295E71">
          <w:rPr>
            <w:sz w:val="22"/>
            <w:szCs w:val="22"/>
          </w:rPr>
          <w:delText>Avvisi il medico se il bambino risiede o viaggia in regioni dove le infezioni fungine, come l’istoplasmosi, la coccidioidomicosi o la blastomicosi, sono endemiche.</w:delText>
        </w:r>
      </w:del>
    </w:p>
    <w:p w:rsidR="006224C2" w:rsidRPr="00295E71" w14:paraId="5DB60BEF" w14:textId="77777777">
      <w:pPr>
        <w:tabs>
          <w:tab w:val="left" w:pos="567"/>
        </w:tabs>
        <w:ind w:left="567"/>
        <w:jc w:val="both"/>
        <w:rPr>
          <w:del w:id="14822" w:author="AbbVie14" w:date="2025-05-09T10:59:00Z"/>
          <w:sz w:val="22"/>
          <w:szCs w:val="22"/>
        </w:rPr>
      </w:pPr>
    </w:p>
    <w:p w:rsidR="006224C2" w:rsidRPr="00295E71" w14:paraId="2BF4BCC6" w14:textId="77777777">
      <w:pPr>
        <w:numPr>
          <w:ilvl w:val="0"/>
          <w:numId w:val="5"/>
        </w:numPr>
        <w:tabs>
          <w:tab w:val="clear" w:pos="360"/>
          <w:tab w:val="left" w:pos="540"/>
        </w:tabs>
        <w:ind w:left="540" w:hanging="540"/>
        <w:jc w:val="both"/>
        <w:rPr>
          <w:del w:id="14823" w:author="AbbVie14" w:date="2025-05-09T10:59:00Z"/>
          <w:sz w:val="22"/>
          <w:szCs w:val="22"/>
        </w:rPr>
      </w:pPr>
      <w:del w:id="14824" w:author="AbbVie14" w:date="2025-05-09T10:59:00Z">
        <w:r w:rsidRPr="00295E71">
          <w:rPr>
            <w:sz w:val="22"/>
            <w:szCs w:val="22"/>
          </w:rPr>
          <w:delText>Avvisi il medico se il bambino ha avuto infezioni recidivanti o se presenta condizioni che aumentano il rischio di infezione.</w:delText>
        </w:r>
      </w:del>
    </w:p>
    <w:p w:rsidR="006224C2" w:rsidRPr="00295E71" w14:paraId="66FAAF73" w14:textId="77777777">
      <w:pPr>
        <w:tabs>
          <w:tab w:val="left" w:pos="567"/>
          <w:tab w:val="num" w:pos="930"/>
        </w:tabs>
        <w:jc w:val="both"/>
        <w:rPr>
          <w:del w:id="14825" w:author="AbbVie14" w:date="2025-05-09T10:59:00Z"/>
          <w:sz w:val="22"/>
          <w:szCs w:val="22"/>
        </w:rPr>
      </w:pPr>
    </w:p>
    <w:p w:rsidR="006224C2" w:rsidRPr="00295E71" w14:paraId="3A29BF78" w14:textId="77777777">
      <w:pPr>
        <w:numPr>
          <w:ilvl w:val="0"/>
          <w:numId w:val="5"/>
        </w:numPr>
        <w:tabs>
          <w:tab w:val="clear" w:pos="360"/>
          <w:tab w:val="left" w:pos="540"/>
        </w:tabs>
        <w:ind w:left="540" w:hanging="540"/>
        <w:jc w:val="both"/>
        <w:rPr>
          <w:del w:id="14826" w:author="AbbVie14" w:date="2025-05-09T10:59:00Z"/>
          <w:sz w:val="22"/>
          <w:szCs w:val="22"/>
        </w:rPr>
      </w:pPr>
      <w:del w:id="14827" w:author="AbbVie14" w:date="2025-05-09T10:59:00Z">
        <w:r w:rsidRPr="00295E71">
          <w:rPr>
            <w:sz w:val="22"/>
            <w:szCs w:val="22"/>
          </w:rPr>
          <w:delText>Comunichi al medico se il bambino è portatore del virus dell’epatite B (HBV), se ha un’infezione in fase attiva da virus dell’epatite B o se pensa che possa essere a rischio di contrarre il virus dell’epatite B. Il medico deve testare il bambino per l’infezione da virus dell’epatite B. L’assunzione di Humira può causare la riattivazione del virus dell’epatite B nei soggetti che risultano portatori di questo virus. In alcuni rari casi, soprattutto se il paziente è sottoposto a terapia con altri farmaci che sopprimono il sistema immunitario, la riattivazione del virus dell’epatite B può mettere a repentaglio la vita del paziente.</w:delText>
        </w:r>
      </w:del>
    </w:p>
    <w:p w:rsidR="006224C2" w:rsidRPr="00295E71" w14:paraId="6EA33FA0" w14:textId="77777777">
      <w:pPr>
        <w:tabs>
          <w:tab w:val="left" w:pos="540"/>
        </w:tabs>
        <w:jc w:val="both"/>
        <w:rPr>
          <w:del w:id="14828" w:author="AbbVie14" w:date="2025-05-09T10:59:00Z"/>
          <w:sz w:val="22"/>
          <w:szCs w:val="22"/>
        </w:rPr>
      </w:pPr>
    </w:p>
    <w:p w:rsidR="006224C2" w:rsidRPr="00295E71" w14:paraId="07CCBF96" w14:textId="77777777">
      <w:pPr>
        <w:numPr>
          <w:ilvl w:val="0"/>
          <w:numId w:val="5"/>
        </w:numPr>
        <w:tabs>
          <w:tab w:val="clear" w:pos="360"/>
          <w:tab w:val="left" w:pos="540"/>
        </w:tabs>
        <w:ind w:left="540" w:hanging="540"/>
        <w:jc w:val="both"/>
        <w:rPr>
          <w:del w:id="14829" w:author="AbbVie14" w:date="2025-05-09T10:59:00Z"/>
          <w:sz w:val="22"/>
          <w:szCs w:val="22"/>
        </w:rPr>
      </w:pPr>
      <w:del w:id="14830" w:author="AbbVie14" w:date="2025-05-09T10:59:00Z">
        <w:r w:rsidRPr="00295E71">
          <w:rPr>
            <w:sz w:val="22"/>
            <w:szCs w:val="22"/>
          </w:rPr>
          <w:delText xml:space="preserve">È importante informare il </w:delText>
        </w:r>
      </w:del>
      <w:del w:id="14831" w:author="AbbVie14" w:date="2025-05-09T10:59:00Z">
        <w:r w:rsidRPr="00295E71" w:rsidR="00F961A2">
          <w:rPr>
            <w:sz w:val="22"/>
            <w:szCs w:val="22"/>
          </w:rPr>
          <w:delText>pediatra</w:delText>
        </w:r>
      </w:del>
      <w:del w:id="14832" w:author="AbbVie14" w:date="2025-05-09T10:59:00Z">
        <w:r w:rsidRPr="00295E71">
          <w:rPr>
            <w:sz w:val="22"/>
            <w:szCs w:val="22"/>
          </w:rPr>
          <w:delText xml:space="preserve"> se compaiono i sintomi di infezioni quali febbre, ferite, sensazione di stanchezza o problemi dentali.</w:delText>
        </w:r>
      </w:del>
    </w:p>
    <w:p w:rsidR="006224C2" w:rsidRPr="00295E71" w14:paraId="54DE84AE" w14:textId="77777777">
      <w:pPr>
        <w:tabs>
          <w:tab w:val="left" w:pos="567"/>
        </w:tabs>
        <w:jc w:val="both"/>
        <w:rPr>
          <w:del w:id="14833" w:author="AbbVie14" w:date="2025-05-09T10:59:00Z"/>
          <w:sz w:val="22"/>
          <w:szCs w:val="22"/>
        </w:rPr>
      </w:pPr>
    </w:p>
    <w:p w:rsidR="006224C2" w:rsidRPr="00295E71" w14:paraId="7794E0F9" w14:textId="77777777">
      <w:pPr>
        <w:numPr>
          <w:ilvl w:val="0"/>
          <w:numId w:val="5"/>
        </w:numPr>
        <w:tabs>
          <w:tab w:val="clear" w:pos="360"/>
          <w:tab w:val="left" w:pos="540"/>
        </w:tabs>
        <w:ind w:left="540" w:hanging="540"/>
        <w:jc w:val="both"/>
        <w:rPr>
          <w:del w:id="14834" w:author="AbbVie14" w:date="2025-05-09T10:59:00Z"/>
          <w:sz w:val="22"/>
          <w:szCs w:val="22"/>
        </w:rPr>
      </w:pPr>
      <w:del w:id="14835" w:author="AbbVie14" w:date="2025-05-09T10:59:00Z">
        <w:r w:rsidRPr="00295E71">
          <w:rPr>
            <w:sz w:val="22"/>
            <w:szCs w:val="22"/>
          </w:rPr>
          <w:delText>Prima di un intervento chirurgico o procedure dentistiche, informi il medico che il bambino sta prendendo Humira. Il medico potrebbe consigliare la sospensione temporanea.</w:delText>
        </w:r>
      </w:del>
    </w:p>
    <w:p w:rsidR="006224C2" w:rsidRPr="00295E71" w14:paraId="2587A187" w14:textId="77777777">
      <w:pPr>
        <w:tabs>
          <w:tab w:val="left" w:pos="540"/>
        </w:tabs>
        <w:jc w:val="both"/>
        <w:rPr>
          <w:del w:id="14836" w:author="AbbVie14" w:date="2025-05-09T10:59:00Z"/>
          <w:sz w:val="22"/>
          <w:szCs w:val="22"/>
        </w:rPr>
      </w:pPr>
    </w:p>
    <w:p w:rsidR="006224C2" w:rsidRPr="00295E71" w:rsidP="00F57FE5" w14:paraId="5F4C6F43" w14:textId="77777777">
      <w:pPr>
        <w:keepNext/>
        <w:keepLines/>
        <w:numPr>
          <w:ilvl w:val="0"/>
          <w:numId w:val="5"/>
        </w:numPr>
        <w:tabs>
          <w:tab w:val="clear" w:pos="360"/>
          <w:tab w:val="left" w:pos="540"/>
        </w:tabs>
        <w:ind w:left="539" w:hanging="540"/>
        <w:jc w:val="both"/>
        <w:rPr>
          <w:del w:id="14837" w:author="AbbVie14" w:date="2025-05-09T10:59:00Z"/>
          <w:sz w:val="22"/>
          <w:szCs w:val="22"/>
        </w:rPr>
      </w:pPr>
      <w:del w:id="14838" w:author="AbbVie14" w:date="2025-05-09T10:59:00Z">
        <w:r w:rsidRPr="00295E71">
          <w:rPr>
            <w:sz w:val="22"/>
            <w:szCs w:val="22"/>
          </w:rPr>
          <w:delText>Se il bambino è affetto da o sviluppa malattie demielinizzanti come la sclerosi multipla, il medico deciderà se è il caso di iniziare o continuare il trattamento con Humira. Informi il medico immediatamente nel caso in cui il bambino manifesti sintomi quali variazioni nella visione, debolezza di braccia o gambe o intorpidimento o formicolio che interessi qualsiasi parte del corpo.</w:delText>
        </w:r>
      </w:del>
    </w:p>
    <w:p w:rsidR="006224C2" w:rsidRPr="00295E71" w:rsidP="00F57FE5" w14:paraId="12555886" w14:textId="77777777">
      <w:pPr>
        <w:keepNext/>
        <w:keepLines/>
        <w:tabs>
          <w:tab w:val="left" w:pos="540"/>
          <w:tab w:val="left" w:pos="567"/>
        </w:tabs>
        <w:ind w:left="539" w:hanging="483"/>
        <w:jc w:val="both"/>
        <w:rPr>
          <w:del w:id="14839" w:author="AbbVie14" w:date="2025-05-09T10:59:00Z"/>
          <w:sz w:val="22"/>
          <w:szCs w:val="22"/>
        </w:rPr>
      </w:pPr>
    </w:p>
    <w:p w:rsidR="006224C2" w:rsidRPr="00295E71" w14:paraId="6F31D7D5" w14:textId="77777777">
      <w:pPr>
        <w:numPr>
          <w:ilvl w:val="0"/>
          <w:numId w:val="5"/>
        </w:numPr>
        <w:tabs>
          <w:tab w:val="clear" w:pos="360"/>
          <w:tab w:val="left" w:pos="540"/>
        </w:tabs>
        <w:ind w:left="540" w:hanging="540"/>
        <w:jc w:val="both"/>
        <w:rPr>
          <w:del w:id="14840" w:author="AbbVie14" w:date="2025-05-09T10:59:00Z"/>
          <w:sz w:val="22"/>
          <w:szCs w:val="22"/>
        </w:rPr>
      </w:pPr>
      <w:del w:id="14841" w:author="AbbVie14" w:date="2025-05-09T10:59:00Z">
        <w:r w:rsidRPr="00295E71">
          <w:rPr>
            <w:sz w:val="22"/>
            <w:szCs w:val="22"/>
          </w:rPr>
          <w:delText>Certi vaccini possono causare infezioni e non devono essere somministrati durante il trattamento con Humira. Consulti il medico prima di sottoporre il bambino a vaccinazioni. Nei bambini, prima di iniziare la terapia a base di Humira, si consiglia, se possibile, di attuare il programma di vaccinazioni previsto, in ottemperanza alle linee guida in vigore sulle vaccinazioni.</w:delText>
        </w:r>
      </w:del>
      <w:del w:id="14842" w:author="AbbVie14" w:date="2025-05-09T10:59:00Z">
        <w:r w:rsidR="00114AD7">
          <w:rPr>
            <w:sz w:val="22"/>
            <w:szCs w:val="22"/>
          </w:rPr>
          <w:delText xml:space="preserve"> </w:delText>
        </w:r>
      </w:del>
      <w:del w:id="14843" w:author="AbbVie14" w:date="2025-05-09T10:59:00Z">
        <w:r w:rsidRPr="00295E71">
          <w:rPr>
            <w:sz w:val="22"/>
            <w:szCs w:val="22"/>
          </w:rPr>
          <w:delText>Se ha assunto Humira durante la gravidanza, il bambino potrebbe avere un maggior rischio di contrarre tale infezione fino a circa 5 mesi dopo dall’ultima somministrazione che lei ha assunto durante la gravidanza. È importante che lei riferisca al pediatra o ad altro operatore sanitario del suo utilizzo di Humira durante la gravidanza, cosicché possano decidere quando il bambino deve ricevere qualsiasi tipo di vaccinazione.</w:delText>
        </w:r>
      </w:del>
    </w:p>
    <w:p w:rsidR="006224C2" w:rsidRPr="00295E71" w14:paraId="6631E756" w14:textId="77777777">
      <w:pPr>
        <w:tabs>
          <w:tab w:val="left" w:pos="567"/>
        </w:tabs>
        <w:jc w:val="both"/>
        <w:rPr>
          <w:del w:id="14844" w:author="AbbVie14" w:date="2025-05-09T10:59:00Z"/>
          <w:sz w:val="22"/>
          <w:szCs w:val="22"/>
        </w:rPr>
      </w:pPr>
    </w:p>
    <w:p w:rsidR="006224C2" w:rsidRPr="00295E71" w14:paraId="2384A9E2" w14:textId="77777777">
      <w:pPr>
        <w:numPr>
          <w:ilvl w:val="0"/>
          <w:numId w:val="5"/>
        </w:numPr>
        <w:tabs>
          <w:tab w:val="clear" w:pos="360"/>
          <w:tab w:val="left" w:pos="540"/>
        </w:tabs>
        <w:ind w:left="540" w:hanging="540"/>
        <w:jc w:val="both"/>
        <w:rPr>
          <w:del w:id="14845" w:author="AbbVie14" w:date="2025-05-09T10:59:00Z"/>
          <w:sz w:val="22"/>
          <w:szCs w:val="22"/>
        </w:rPr>
      </w:pPr>
      <w:del w:id="14846" w:author="AbbVie14" w:date="2025-05-09T10:59:00Z">
        <w:r w:rsidRPr="00295E71">
          <w:rPr>
            <w:sz w:val="22"/>
            <w:szCs w:val="22"/>
          </w:rPr>
          <w:delText>In caso di lieve insufficienza cardiaca e di concomitante trattamento con Humira, il medico dovrà attentamente valutare e seguire lo stato del cuore del bambino. È importante informare il medico in merito a eventuali problemi al cuore, sia passati che presenti. Se appaiono nuovi sintomi di insufficienza cardiaca o se i sintomi già esistenti dovessero peggiorare (per esempio, respiro corto o gonfiore dei piedi), contatti immediatamente il medico. Il medico deciderà se il bambino può assumere Humira.</w:delText>
        </w:r>
      </w:del>
    </w:p>
    <w:p w:rsidR="006224C2" w:rsidRPr="00295E71" w14:paraId="3375FC33" w14:textId="77777777">
      <w:pPr>
        <w:rPr>
          <w:del w:id="14847" w:author="AbbVie14" w:date="2025-05-09T10:59:00Z"/>
          <w:sz w:val="22"/>
          <w:szCs w:val="22"/>
        </w:rPr>
      </w:pPr>
    </w:p>
    <w:p w:rsidR="006224C2" w:rsidRPr="00295E71" w14:paraId="5058F3BD" w14:textId="77777777">
      <w:pPr>
        <w:tabs>
          <w:tab w:val="left" w:pos="540"/>
        </w:tabs>
        <w:ind w:left="540"/>
        <w:jc w:val="both"/>
        <w:rPr>
          <w:del w:id="14848" w:author="AbbVie14" w:date="2025-05-09T10:59:00Z"/>
          <w:sz w:val="22"/>
          <w:szCs w:val="22"/>
        </w:rPr>
      </w:pPr>
    </w:p>
    <w:p w:rsidR="006224C2" w:rsidRPr="00295E71" w14:paraId="7F8B70E0" w14:textId="77777777">
      <w:pPr>
        <w:numPr>
          <w:ilvl w:val="0"/>
          <w:numId w:val="5"/>
        </w:numPr>
        <w:tabs>
          <w:tab w:val="clear" w:pos="360"/>
          <w:tab w:val="left" w:pos="540"/>
        </w:tabs>
        <w:ind w:left="540" w:hanging="540"/>
        <w:jc w:val="both"/>
        <w:rPr>
          <w:del w:id="14849" w:author="AbbVie14" w:date="2025-05-09T10:59:00Z"/>
          <w:sz w:val="22"/>
          <w:szCs w:val="22"/>
        </w:rPr>
      </w:pPr>
      <w:del w:id="14850" w:author="AbbVie14" w:date="2025-05-09T10:59:00Z">
        <w:r w:rsidRPr="00295E71">
          <w:rPr>
            <w:sz w:val="22"/>
            <w:szCs w:val="22"/>
          </w:rPr>
          <w:delText>In alcuni pazienti l’organismo può non essere in grado di produrre un quantitativo di cellule ematiche sufficiente e tale da aiutarlo a combattere le infezioni o ad arrestare un’emorragia. Nel caso in cui il bambino abbia febbre persistente, lividi o facilità di emorragie o pallore, si rivolga</w:delText>
        </w:r>
      </w:del>
      <w:del w:id="14851" w:author="AbbVie14" w:date="2025-05-09T10:59:00Z">
        <w:r w:rsidRPr="00295E71" w:rsidR="00C068BD">
          <w:rPr>
            <w:sz w:val="22"/>
            <w:szCs w:val="22"/>
          </w:rPr>
          <w:delText xml:space="preserve"> </w:delText>
        </w:r>
      </w:del>
      <w:del w:id="14852" w:author="AbbVie14" w:date="2025-05-09T10:59:00Z">
        <w:r w:rsidRPr="00295E71">
          <w:rPr>
            <w:sz w:val="22"/>
            <w:szCs w:val="22"/>
          </w:rPr>
          <w:delText>immediatamente al medico. Quest’ultimo potrebbe decidere di interrompere la terapia.</w:delText>
        </w:r>
      </w:del>
      <w:del w:id="14853" w:author="AbbVie14" w:date="2025-05-09T10:59:00Z">
        <w:r w:rsidRPr="00295E71">
          <w:rPr>
            <w:sz w:val="22"/>
            <w:szCs w:val="22"/>
          </w:rPr>
          <w:br/>
        </w:r>
      </w:del>
    </w:p>
    <w:p w:rsidR="006224C2" w:rsidRPr="00295E71" w14:paraId="23762BB3" w14:textId="77777777">
      <w:pPr>
        <w:numPr>
          <w:ilvl w:val="0"/>
          <w:numId w:val="5"/>
        </w:numPr>
        <w:tabs>
          <w:tab w:val="clear" w:pos="360"/>
          <w:tab w:val="left" w:pos="540"/>
        </w:tabs>
        <w:ind w:left="540" w:hanging="540"/>
        <w:jc w:val="both"/>
        <w:rPr>
          <w:del w:id="14854" w:author="AbbVie14" w:date="2025-05-09T10:59:00Z"/>
          <w:sz w:val="22"/>
          <w:szCs w:val="22"/>
        </w:rPr>
      </w:pPr>
      <w:del w:id="14855" w:author="AbbVie14" w:date="2025-05-09T10:59:00Z">
        <w:r w:rsidRPr="00295E71">
          <w:rPr>
            <w:sz w:val="22"/>
            <w:szCs w:val="22"/>
          </w:rPr>
          <w:delText xml:space="preserve">Nei pazienti,sia bambini che adulti, sottoposti a trattamento con Humira o con altri farmaci anti-TNF, si sono manifestati molto raramente alcuni tipi di tumori. I pazienti </w:delText>
        </w:r>
      </w:del>
      <w:del w:id="14856" w:author="AbbVie14" w:date="2025-05-09T10:59:00Z">
        <w:r w:rsidRPr="00295E71" w:rsidR="00224E13">
          <w:rPr>
            <w:sz w:val="22"/>
            <w:szCs w:val="22"/>
          </w:rPr>
          <w:delText>con</w:delText>
        </w:r>
      </w:del>
      <w:del w:id="14857" w:author="AbbVie14" w:date="2025-05-09T10:59:00Z">
        <w:r w:rsidRPr="00295E71">
          <w:rPr>
            <w:sz w:val="22"/>
            <w:szCs w:val="22"/>
          </w:rPr>
          <w:delText xml:space="preserve"> artrite reumatoide di grave entità da molto tempo possono presentare un rischio superiore alla media di sviluppare un linfoma (un tumore che colpisce il sistema linfatico) e leucemia (un tumore che colpisce il sangue e il midollo osseo). Se il bambino assume Humira, il rischio di contrarre linfomi, leucemia o altri tumori può aumentare. In rare circostanze, nei pazienti sottoposti a terapia con Humira, è stato osservato un tipo specifico e grave di linfoma. Alcuni di questi pazienti erano anche in terapia con azatioprina o 6-mercaptopurina. Avvisi il medico se sta assumendo azatioprina o 6-mercaptopurina con Humira. Inoltre, nei pazienti che assumono Humira, sono stati osservati casi di carcinoma cutaneo non melanotico. Se dovessero comparire nuove lesioni cutanee nel corso della terapia o successivamente ad essa o se l’aspetto delle lesioni già esistenti si dovesse modificare, lo riferisca al medico.</w:delText>
        </w:r>
      </w:del>
    </w:p>
    <w:p w:rsidR="006224C2" w:rsidRPr="00295E71" w14:paraId="07774248" w14:textId="77777777">
      <w:pPr>
        <w:tabs>
          <w:tab w:val="left" w:pos="567"/>
        </w:tabs>
        <w:jc w:val="both"/>
        <w:rPr>
          <w:del w:id="14858" w:author="AbbVie14" w:date="2025-05-09T10:59:00Z"/>
          <w:sz w:val="22"/>
          <w:szCs w:val="22"/>
        </w:rPr>
      </w:pPr>
    </w:p>
    <w:p w:rsidR="006224C2" w:rsidRPr="00295E71" w14:paraId="053665E1" w14:textId="77777777">
      <w:pPr>
        <w:numPr>
          <w:ilvl w:val="0"/>
          <w:numId w:val="5"/>
        </w:numPr>
        <w:tabs>
          <w:tab w:val="clear" w:pos="360"/>
          <w:tab w:val="left" w:pos="540"/>
        </w:tabs>
        <w:ind w:left="540" w:hanging="540"/>
        <w:jc w:val="both"/>
        <w:rPr>
          <w:del w:id="14859" w:author="AbbVie14" w:date="2025-05-09T10:59:00Z"/>
          <w:sz w:val="22"/>
          <w:szCs w:val="22"/>
        </w:rPr>
      </w:pPr>
      <w:del w:id="14860" w:author="AbbVie14" w:date="2025-05-09T10:59:00Z">
        <w:r w:rsidRPr="00295E71">
          <w:rPr>
            <w:sz w:val="22"/>
            <w:szCs w:val="22"/>
          </w:rPr>
          <w:delText>Ci sono stati casi di neoplasie, oltre al linfoma, in pazienti con uno specifico tipo di malattia del polmone chiamata Malattia Polmonare Cronica Ostruttiva (COPD) trattati con un altro anti-TNF. Se il bambino soffre di COPD, o fuma molto, deve discutere con il medico se è appropriato il trattamento con un anti-TNF.</w:delText>
        </w:r>
      </w:del>
    </w:p>
    <w:p w:rsidR="00E75245" w:rsidRPr="00295E71" w:rsidP="00FB547E" w14:paraId="12EF122D" w14:textId="77777777">
      <w:pPr>
        <w:tabs>
          <w:tab w:val="left" w:pos="540"/>
        </w:tabs>
        <w:ind w:left="540"/>
        <w:jc w:val="both"/>
        <w:rPr>
          <w:del w:id="14861" w:author="AbbVie14" w:date="2025-05-09T10:59:00Z"/>
          <w:sz w:val="22"/>
          <w:szCs w:val="22"/>
        </w:rPr>
      </w:pPr>
    </w:p>
    <w:p w:rsidR="00E75245" w:rsidRPr="00295E71" w:rsidP="00FB547E" w14:paraId="78990CFB" w14:textId="77777777">
      <w:pPr>
        <w:pStyle w:val="ListParagraph"/>
        <w:numPr>
          <w:ilvl w:val="0"/>
          <w:numId w:val="5"/>
        </w:numPr>
        <w:tabs>
          <w:tab w:val="clear" w:pos="360"/>
        </w:tabs>
        <w:ind w:left="567" w:hanging="567"/>
        <w:jc w:val="both"/>
        <w:rPr>
          <w:del w:id="14862" w:author="AbbVie14" w:date="2025-05-09T10:59:00Z"/>
          <w:sz w:val="22"/>
          <w:szCs w:val="22"/>
        </w:rPr>
      </w:pPr>
      <w:del w:id="14863" w:author="AbbVie14" w:date="2025-05-09T10:59:00Z">
        <w:r w:rsidRPr="00295E71">
          <w:rPr>
            <w:sz w:val="22"/>
            <w:szCs w:val="22"/>
          </w:rPr>
          <w:delText>Raramente, il trattamento con Humira può portare alla manifestazione di una sindrome come il lupus. Informi il medico qualora si manifestino sintomi come eruzione cutanea persistente di natura inspiegabile, febbre, dolore alle articolazioni o affaticamento.</w:delText>
        </w:r>
      </w:del>
    </w:p>
    <w:p w:rsidR="006224C2" w:rsidRPr="00295E71" w14:paraId="2293E1B6" w14:textId="77777777">
      <w:pPr>
        <w:jc w:val="both"/>
        <w:rPr>
          <w:del w:id="14864" w:author="AbbVie14" w:date="2025-05-09T10:59:00Z"/>
          <w:sz w:val="22"/>
          <w:szCs w:val="22"/>
          <w:lang w:eastAsia="en-US"/>
        </w:rPr>
      </w:pPr>
    </w:p>
    <w:p w:rsidR="006224C2" w:rsidRPr="00295E71" w14:paraId="1E46C595" w14:textId="77777777">
      <w:pPr>
        <w:pStyle w:val="Heading9"/>
        <w:keepNext w:val="0"/>
        <w:jc w:val="both"/>
        <w:rPr>
          <w:del w:id="14865" w:author="AbbVie14" w:date="2025-05-09T10:59:00Z"/>
          <w:sz w:val="22"/>
          <w:szCs w:val="22"/>
          <w:lang w:val="it-IT"/>
        </w:rPr>
      </w:pPr>
      <w:del w:id="14866" w:author="AbbVie14" w:date="2025-05-09T10:59:00Z">
        <w:r w:rsidRPr="00295E71">
          <w:rPr>
            <w:sz w:val="22"/>
            <w:szCs w:val="22"/>
            <w:lang w:val="it-IT" w:eastAsia="en-US"/>
          </w:rPr>
          <w:delText>Altri medicinali e Humira</w:delText>
        </w:r>
      </w:del>
    </w:p>
    <w:p w:rsidR="006224C2" w:rsidRPr="00295E71" w14:paraId="1C169D07" w14:textId="77777777">
      <w:pPr>
        <w:jc w:val="both"/>
        <w:rPr>
          <w:del w:id="14867" w:author="AbbVie14" w:date="2025-05-09T10:59:00Z"/>
          <w:sz w:val="22"/>
          <w:szCs w:val="22"/>
        </w:rPr>
      </w:pPr>
    </w:p>
    <w:p w:rsidR="006224C2" w:rsidRPr="00295E71" w14:paraId="2A92DC5A" w14:textId="77777777">
      <w:pPr>
        <w:jc w:val="both"/>
        <w:rPr>
          <w:del w:id="14868" w:author="AbbVie14" w:date="2025-05-09T10:59:00Z"/>
          <w:sz w:val="22"/>
          <w:szCs w:val="22"/>
        </w:rPr>
      </w:pPr>
      <w:del w:id="14869" w:author="AbbVie14" w:date="2025-05-09T10:59:00Z">
        <w:r w:rsidRPr="00295E71">
          <w:rPr>
            <w:sz w:val="22"/>
            <w:szCs w:val="22"/>
          </w:rPr>
          <w:delText xml:space="preserve">Informi il </w:delText>
        </w:r>
      </w:del>
      <w:del w:id="14870" w:author="AbbVie14" w:date="2025-05-09T10:59:00Z">
        <w:r w:rsidRPr="00295E71" w:rsidR="00F961A2">
          <w:rPr>
            <w:sz w:val="22"/>
            <w:szCs w:val="22"/>
          </w:rPr>
          <w:delText>pediatra</w:delText>
        </w:r>
      </w:del>
      <w:del w:id="14871" w:author="AbbVie14" w:date="2025-05-09T10:59:00Z">
        <w:r w:rsidRPr="00295E71">
          <w:rPr>
            <w:sz w:val="22"/>
            <w:szCs w:val="22"/>
          </w:rPr>
          <w:delText xml:space="preserve"> o il farmacista se il bambino sta assumendo, ha recentemente assunto o potrebbe assumere qualsiasi altro medicinale.</w:delText>
        </w:r>
      </w:del>
    </w:p>
    <w:p w:rsidR="006224C2" w:rsidRPr="00295E71" w14:paraId="5F1C351F" w14:textId="77777777">
      <w:pPr>
        <w:jc w:val="both"/>
        <w:rPr>
          <w:del w:id="14872" w:author="AbbVie14" w:date="2025-05-09T10:59:00Z"/>
          <w:sz w:val="22"/>
          <w:szCs w:val="22"/>
        </w:rPr>
      </w:pPr>
    </w:p>
    <w:p w:rsidR="006224C2" w:rsidRPr="00295E71" w14:paraId="582ECA97" w14:textId="77777777">
      <w:pPr>
        <w:jc w:val="both"/>
        <w:rPr>
          <w:del w:id="14873" w:author="AbbVie14" w:date="2025-05-09T10:59:00Z"/>
          <w:sz w:val="22"/>
          <w:szCs w:val="22"/>
        </w:rPr>
      </w:pPr>
      <w:del w:id="14874" w:author="AbbVie14" w:date="2025-05-09T10:59:00Z">
        <w:r w:rsidRPr="00295E71">
          <w:rPr>
            <w:sz w:val="22"/>
            <w:szCs w:val="22"/>
          </w:rPr>
          <w:delText>Humira può essere assunto sia con il metotressato che con altri farmaci antireumatici modificanti la malattia (sulfasalazina, idrossiclorochina, leflunomide e sali d’oro per via parenterale), steroidi o analgesici, compresi i farmaci anti-infiammatori non steroidei (FANS).</w:delText>
        </w:r>
      </w:del>
    </w:p>
    <w:p w:rsidR="006224C2" w:rsidRPr="00295E71" w14:paraId="161EE504" w14:textId="77777777">
      <w:pPr>
        <w:jc w:val="both"/>
        <w:rPr>
          <w:del w:id="14875" w:author="AbbVie14" w:date="2025-05-09T10:59:00Z"/>
          <w:sz w:val="22"/>
          <w:szCs w:val="22"/>
        </w:rPr>
      </w:pPr>
    </w:p>
    <w:p w:rsidR="006224C2" w:rsidRPr="00295E71" w14:paraId="3A447BFB" w14:textId="77777777">
      <w:pPr>
        <w:numPr>
          <w:ilvl w:val="12"/>
          <w:numId w:val="0"/>
        </w:numPr>
        <w:tabs>
          <w:tab w:val="left" w:pos="567"/>
        </w:tabs>
        <w:ind w:right="-2"/>
        <w:jc w:val="both"/>
        <w:rPr>
          <w:del w:id="14876" w:author="AbbVie14" w:date="2025-05-09T10:59:00Z"/>
          <w:sz w:val="22"/>
          <w:szCs w:val="22"/>
        </w:rPr>
      </w:pPr>
      <w:del w:id="14877" w:author="AbbVie14" w:date="2025-05-09T10:59:00Z">
        <w:r w:rsidRPr="00295E71">
          <w:rPr>
            <w:sz w:val="22"/>
            <w:szCs w:val="22"/>
          </w:rPr>
          <w:delText>Humira non deve essere preso in concomitanza con farmaci contenenti come principio attivo anakinra o abatacept</w:delText>
        </w:r>
      </w:del>
      <w:del w:id="14878" w:author="AbbVie14" w:date="2025-05-09T10:59:00Z">
        <w:r w:rsidRPr="00295E71" w:rsidR="004A792F">
          <w:rPr>
            <w:sz w:val="22"/>
            <w:szCs w:val="22"/>
          </w:rPr>
          <w:delText xml:space="preserve"> a causa del rischio aumentato di avere infezioni gravi</w:delText>
        </w:r>
      </w:del>
      <w:del w:id="14879" w:author="AbbVie14" w:date="2025-05-09T10:59:00Z">
        <w:r w:rsidRPr="00295E71">
          <w:rPr>
            <w:sz w:val="22"/>
            <w:szCs w:val="22"/>
          </w:rPr>
          <w:delText>. Se ha dubbi, si rivolga al medico.</w:delText>
        </w:r>
      </w:del>
    </w:p>
    <w:p w:rsidR="006224C2" w:rsidRPr="00295E71" w14:paraId="7055287E" w14:textId="77777777">
      <w:pPr>
        <w:jc w:val="both"/>
        <w:rPr>
          <w:del w:id="14880" w:author="AbbVie14" w:date="2025-05-09T10:59:00Z"/>
          <w:sz w:val="22"/>
          <w:szCs w:val="22"/>
        </w:rPr>
      </w:pPr>
    </w:p>
    <w:p w:rsidR="006224C2" w:rsidRPr="00295E71" w:rsidP="00DD14E3" w14:paraId="0DFF6196" w14:textId="77777777">
      <w:pPr>
        <w:pStyle w:val="Heading9"/>
        <w:keepLines/>
        <w:tabs>
          <w:tab w:val="left" w:pos="567"/>
        </w:tabs>
        <w:jc w:val="both"/>
        <w:rPr>
          <w:del w:id="14881" w:author="AbbVie14" w:date="2025-05-09T10:59:00Z"/>
          <w:sz w:val="22"/>
          <w:szCs w:val="22"/>
          <w:lang w:val="it-IT" w:eastAsia="en-US"/>
        </w:rPr>
      </w:pPr>
      <w:del w:id="14882" w:author="AbbVie14" w:date="2025-05-09T10:59:00Z">
        <w:r w:rsidRPr="00295E71">
          <w:rPr>
            <w:sz w:val="22"/>
            <w:szCs w:val="22"/>
            <w:lang w:val="it-IT" w:eastAsia="en-US"/>
          </w:rPr>
          <w:delText>Gravidanza e allattamento</w:delText>
        </w:r>
      </w:del>
    </w:p>
    <w:p w:rsidR="006224C2" w:rsidRPr="00295E71" w:rsidP="00DD14E3" w14:paraId="194F7C0E" w14:textId="77777777">
      <w:pPr>
        <w:keepNext/>
        <w:keepLines/>
        <w:numPr>
          <w:ilvl w:val="12"/>
          <w:numId w:val="0"/>
        </w:numPr>
        <w:tabs>
          <w:tab w:val="left" w:pos="567"/>
        </w:tabs>
        <w:ind w:right="-2"/>
        <w:jc w:val="both"/>
        <w:rPr>
          <w:del w:id="14883" w:author="AbbVie14" w:date="2025-05-09T10:59:00Z"/>
          <w:sz w:val="22"/>
          <w:szCs w:val="22"/>
        </w:rPr>
      </w:pPr>
    </w:p>
    <w:p w:rsidR="006224C2" w:rsidP="007E6E3E" w14:paraId="1956E048" w14:textId="77777777">
      <w:pPr>
        <w:pStyle w:val="ListParagraph"/>
        <w:keepNext/>
        <w:keepLines/>
        <w:numPr>
          <w:ilvl w:val="0"/>
          <w:numId w:val="144"/>
        </w:numPr>
        <w:tabs>
          <w:tab w:val="left" w:pos="567"/>
        </w:tabs>
        <w:ind w:left="426" w:right="-2"/>
        <w:jc w:val="both"/>
        <w:rPr>
          <w:del w:id="14884" w:author="AbbVie14" w:date="2025-05-09T10:59:00Z"/>
          <w:sz w:val="22"/>
          <w:szCs w:val="22"/>
        </w:rPr>
      </w:pPr>
      <w:del w:id="14885" w:author="AbbVie14" w:date="2025-05-09T10:59:00Z">
        <w:r>
          <w:rPr>
            <w:sz w:val="22"/>
            <w:szCs w:val="22"/>
          </w:rPr>
          <w:delText xml:space="preserve">La </w:delText>
        </w:r>
      </w:del>
      <w:del w:id="14886" w:author="AbbVie14" w:date="2025-05-09T10:59:00Z">
        <w:r w:rsidR="00C707B4">
          <w:rPr>
            <w:sz w:val="22"/>
            <w:szCs w:val="22"/>
          </w:rPr>
          <w:delText xml:space="preserve">ragazza </w:delText>
        </w:r>
      </w:del>
      <w:del w:id="14887" w:author="AbbVie14" w:date="2025-05-09T10:59:00Z">
        <w:r>
          <w:rPr>
            <w:sz w:val="22"/>
            <w:szCs w:val="22"/>
          </w:rPr>
          <w:delText>deve</w:delText>
        </w:r>
      </w:del>
      <w:del w:id="14888" w:author="AbbVie14" w:date="2025-05-09T10:59:00Z">
        <w:r w:rsidRPr="00A763E4">
          <w:rPr>
            <w:sz w:val="22"/>
            <w:szCs w:val="22"/>
          </w:rPr>
          <w:delText xml:space="preserve"> </w:delText>
        </w:r>
      </w:del>
      <w:del w:id="14889" w:author="AbbVie14" w:date="2025-05-09T10:59:00Z">
        <w:r>
          <w:rPr>
            <w:sz w:val="22"/>
            <w:szCs w:val="22"/>
          </w:rPr>
          <w:delText>considerare l’</w:delText>
        </w:r>
      </w:del>
      <w:del w:id="14890" w:author="AbbVie14" w:date="2025-05-09T10:59:00Z">
        <w:r w:rsidRPr="00A17C57">
          <w:rPr>
            <w:sz w:val="22"/>
            <w:szCs w:val="22"/>
          </w:rPr>
          <w:delText>u</w:delText>
        </w:r>
      </w:del>
      <w:del w:id="14891" w:author="AbbVie14" w:date="2025-05-09T10:59:00Z">
        <w:r>
          <w:rPr>
            <w:sz w:val="22"/>
            <w:szCs w:val="22"/>
          </w:rPr>
          <w:delText>tilizzo di</w:delText>
        </w:r>
      </w:del>
      <w:del w:id="14892" w:author="AbbVie14" w:date="2025-05-09T10:59:00Z">
        <w:r w:rsidRPr="00A17C57">
          <w:rPr>
            <w:sz w:val="22"/>
            <w:szCs w:val="22"/>
          </w:rPr>
          <w:delText xml:space="preserve"> </w:delText>
        </w:r>
      </w:del>
      <w:del w:id="14893" w:author="AbbVie14" w:date="2025-05-09T10:59:00Z">
        <w:r w:rsidRPr="005C0784" w:rsidR="00226BC4">
          <w:rPr>
            <w:sz w:val="22"/>
            <w:szCs w:val="22"/>
          </w:rPr>
          <w:delText xml:space="preserve">un’adeguata misura contraccettiva </w:delText>
        </w:r>
      </w:del>
      <w:del w:id="14894" w:author="AbbVie14" w:date="2025-05-09T10:59:00Z">
        <w:r w:rsidR="005C0784">
          <w:rPr>
            <w:sz w:val="22"/>
            <w:szCs w:val="22"/>
          </w:rPr>
          <w:delText>per prevenire una gravidanza e continuarne l’</w:delText>
        </w:r>
      </w:del>
      <w:del w:id="14895" w:author="AbbVie14" w:date="2025-05-09T10:59:00Z">
        <w:r w:rsidR="009815B3">
          <w:rPr>
            <w:sz w:val="22"/>
            <w:szCs w:val="22"/>
          </w:rPr>
          <w:delText>utilizzo</w:delText>
        </w:r>
      </w:del>
      <w:del w:id="14896" w:author="AbbVie14" w:date="2025-05-09T10:59:00Z">
        <w:r w:rsidRPr="005C0784" w:rsidR="00226BC4">
          <w:rPr>
            <w:sz w:val="22"/>
            <w:szCs w:val="22"/>
          </w:rPr>
          <w:delText xml:space="preserve"> per almeno 5 mesi dopo l’ultima terapia con </w:delText>
        </w:r>
      </w:del>
      <w:del w:id="14897" w:author="AbbVie14" w:date="2025-05-09T10:59:00Z">
        <w:r w:rsidR="005C0784">
          <w:rPr>
            <w:sz w:val="22"/>
            <w:szCs w:val="22"/>
          </w:rPr>
          <w:delText>Humira</w:delText>
        </w:r>
      </w:del>
      <w:del w:id="14898" w:author="AbbVie14" w:date="2025-05-09T10:59:00Z">
        <w:r w:rsidRPr="005C0784" w:rsidR="00226BC4">
          <w:rPr>
            <w:sz w:val="22"/>
            <w:szCs w:val="22"/>
          </w:rPr>
          <w:delText>.</w:delText>
        </w:r>
      </w:del>
    </w:p>
    <w:p w:rsidR="005C0784" w:rsidRPr="005C0784" w:rsidP="007E6E3E" w14:paraId="34E6F0AA" w14:textId="77777777">
      <w:pPr>
        <w:pStyle w:val="ListParagraph"/>
        <w:keepNext/>
        <w:keepLines/>
        <w:numPr>
          <w:ilvl w:val="0"/>
          <w:numId w:val="144"/>
        </w:numPr>
        <w:tabs>
          <w:tab w:val="left" w:pos="567"/>
        </w:tabs>
        <w:ind w:left="426" w:right="-2"/>
        <w:jc w:val="both"/>
        <w:rPr>
          <w:del w:id="14899" w:author="AbbVie14" w:date="2025-05-09T10:59:00Z"/>
          <w:sz w:val="22"/>
          <w:szCs w:val="22"/>
        </w:rPr>
      </w:pPr>
      <w:del w:id="14900" w:author="AbbVie14" w:date="2025-05-09T10:59:00Z">
        <w:r w:rsidRPr="005C0784">
          <w:rPr>
            <w:sz w:val="22"/>
            <w:szCs w:val="22"/>
          </w:rPr>
          <w:delText xml:space="preserve">Se la </w:delText>
        </w:r>
      </w:del>
      <w:del w:id="14901" w:author="AbbVie14" w:date="2025-05-09T10:59:00Z">
        <w:r w:rsidR="00C707B4">
          <w:rPr>
            <w:sz w:val="22"/>
            <w:szCs w:val="22"/>
          </w:rPr>
          <w:delText>ragazza</w:delText>
        </w:r>
      </w:del>
      <w:del w:id="14902" w:author="AbbVie14" w:date="2025-05-09T10:59:00Z">
        <w:r w:rsidRPr="005C0784">
          <w:rPr>
            <w:sz w:val="22"/>
            <w:szCs w:val="22"/>
          </w:rPr>
          <w:delText xml:space="preserve"> è in stato di gravidanza, se sospetta o sta pianificando una gravidanza chieda consiglio al suo medico </w:delText>
        </w:r>
      </w:del>
      <w:del w:id="14903" w:author="AbbVie14" w:date="2025-05-09T10:59:00Z">
        <w:r w:rsidR="00E36447">
          <w:rPr>
            <w:sz w:val="22"/>
            <w:szCs w:val="22"/>
          </w:rPr>
          <w:delText xml:space="preserve">circa l’assunzione di </w:delText>
        </w:r>
      </w:del>
      <w:del w:id="14904" w:author="AbbVie14" w:date="2025-05-09T10:59:00Z">
        <w:r w:rsidRPr="005C0784">
          <w:rPr>
            <w:sz w:val="22"/>
            <w:szCs w:val="22"/>
          </w:rPr>
          <w:delText>questo medicinale.</w:delText>
        </w:r>
      </w:del>
    </w:p>
    <w:p w:rsidR="005C0784" w:rsidRPr="005C0784" w:rsidP="007E6E3E" w14:paraId="1AAB80AD" w14:textId="77777777">
      <w:pPr>
        <w:pStyle w:val="ListParagraph"/>
        <w:keepNext/>
        <w:keepLines/>
        <w:numPr>
          <w:ilvl w:val="0"/>
          <w:numId w:val="144"/>
        </w:numPr>
        <w:tabs>
          <w:tab w:val="left" w:pos="567"/>
        </w:tabs>
        <w:ind w:left="426" w:right="-2"/>
        <w:jc w:val="both"/>
        <w:rPr>
          <w:del w:id="14905" w:author="AbbVie14" w:date="2025-05-09T10:59:00Z"/>
          <w:sz w:val="22"/>
          <w:szCs w:val="22"/>
        </w:rPr>
      </w:pPr>
      <w:del w:id="14906" w:author="AbbVie14" w:date="2025-05-09T10:59:00Z">
        <w:r w:rsidRPr="005C0784">
          <w:rPr>
            <w:sz w:val="22"/>
            <w:szCs w:val="22"/>
          </w:rPr>
          <w:delText>Humira deve essere usato durante la gravidanza solo se necessario.</w:delText>
        </w:r>
      </w:del>
    </w:p>
    <w:p w:rsidR="005C0784" w:rsidRPr="005C0784" w:rsidP="007E6E3E" w14:paraId="40743B4C" w14:textId="77777777">
      <w:pPr>
        <w:pStyle w:val="ListParagraph"/>
        <w:keepNext/>
        <w:keepLines/>
        <w:numPr>
          <w:ilvl w:val="0"/>
          <w:numId w:val="144"/>
        </w:numPr>
        <w:tabs>
          <w:tab w:val="left" w:pos="567"/>
        </w:tabs>
        <w:ind w:left="426" w:right="-2"/>
        <w:jc w:val="both"/>
        <w:rPr>
          <w:del w:id="14907" w:author="AbbVie14" w:date="2025-05-09T10:59:00Z"/>
          <w:sz w:val="22"/>
          <w:szCs w:val="22"/>
        </w:rPr>
      </w:pPr>
      <w:del w:id="14908" w:author="AbbVie14" w:date="2025-05-09T10:59:00Z">
        <w:r w:rsidRPr="005C0784">
          <w:rPr>
            <w:sz w:val="22"/>
            <w:szCs w:val="22"/>
          </w:rPr>
          <w:delText>Secondo uno studio sulla gravidanza, non è stato riscontrato un rischio maggiore di difetti alla nascita</w:delText>
        </w:r>
      </w:del>
      <w:del w:id="14909" w:author="AbbVie14" w:date="2025-05-09T10:59:00Z">
        <w:r w:rsidR="00E36447">
          <w:rPr>
            <w:sz w:val="22"/>
            <w:szCs w:val="22"/>
          </w:rPr>
          <w:delText xml:space="preserve"> quando la madre aveva ricevuto Humira durante la gravidanza,</w:delText>
        </w:r>
      </w:del>
      <w:del w:id="14910" w:author="AbbVie14" w:date="2025-05-09T10:59:00Z">
        <w:r w:rsidRPr="005C0784">
          <w:rPr>
            <w:sz w:val="22"/>
            <w:szCs w:val="22"/>
          </w:rPr>
          <w:delText xml:space="preserve"> rispetto a madri che avevano la stessa patologia ma che non avevano ricevuto Humira.</w:delText>
        </w:r>
      </w:del>
    </w:p>
    <w:p w:rsidR="005C0784" w:rsidRPr="005C0784" w:rsidP="007E6E3E" w14:paraId="4613B344" w14:textId="77777777">
      <w:pPr>
        <w:pStyle w:val="ListParagraph"/>
        <w:keepNext/>
        <w:keepLines/>
        <w:numPr>
          <w:ilvl w:val="0"/>
          <w:numId w:val="144"/>
        </w:numPr>
        <w:tabs>
          <w:tab w:val="left" w:pos="567"/>
        </w:tabs>
        <w:ind w:left="426" w:right="-2"/>
        <w:jc w:val="both"/>
        <w:rPr>
          <w:del w:id="14911" w:author="AbbVie14" w:date="2025-05-09T10:59:00Z"/>
          <w:sz w:val="22"/>
          <w:szCs w:val="22"/>
        </w:rPr>
      </w:pPr>
      <w:del w:id="14912" w:author="AbbVie14" w:date="2025-05-09T10:59:00Z">
        <w:r w:rsidRPr="005C0784">
          <w:rPr>
            <w:sz w:val="22"/>
            <w:szCs w:val="22"/>
          </w:rPr>
          <w:delText>Humira può essere usato durante l’allattamento con latte materno</w:delText>
        </w:r>
      </w:del>
      <w:del w:id="14913" w:author="AbbVie14" w:date="2025-05-09T10:59:00Z">
        <w:r>
          <w:rPr>
            <w:sz w:val="22"/>
            <w:szCs w:val="22"/>
          </w:rPr>
          <w:delText>.</w:delText>
        </w:r>
      </w:del>
    </w:p>
    <w:p w:rsidR="005C0784" w:rsidP="007E6E3E" w14:paraId="7CD11DAD" w14:textId="77777777">
      <w:pPr>
        <w:pStyle w:val="ListParagraph"/>
        <w:keepNext/>
        <w:keepLines/>
        <w:numPr>
          <w:ilvl w:val="0"/>
          <w:numId w:val="144"/>
        </w:numPr>
        <w:tabs>
          <w:tab w:val="left" w:pos="567"/>
        </w:tabs>
        <w:ind w:left="426" w:right="-2"/>
        <w:jc w:val="both"/>
        <w:rPr>
          <w:del w:id="14914" w:author="AbbVie14" w:date="2025-05-09T10:59:00Z"/>
          <w:sz w:val="22"/>
          <w:szCs w:val="22"/>
        </w:rPr>
      </w:pPr>
      <w:del w:id="14915" w:author="AbbVie14" w:date="2025-05-09T10:59:00Z">
        <w:r w:rsidRPr="00295E71">
          <w:rPr>
            <w:sz w:val="22"/>
            <w:szCs w:val="22"/>
          </w:rPr>
          <w:delText xml:space="preserve">Se </w:delText>
        </w:r>
      </w:del>
      <w:del w:id="14916" w:author="AbbVie14" w:date="2025-05-09T10:59:00Z">
        <w:r>
          <w:rPr>
            <w:sz w:val="22"/>
            <w:szCs w:val="22"/>
          </w:rPr>
          <w:delText xml:space="preserve">la </w:delText>
        </w:r>
      </w:del>
      <w:del w:id="14917" w:author="AbbVie14" w:date="2025-05-09T10:59:00Z">
        <w:r w:rsidR="00C707B4">
          <w:rPr>
            <w:sz w:val="22"/>
            <w:szCs w:val="22"/>
          </w:rPr>
          <w:delText>ragazza</w:delText>
        </w:r>
      </w:del>
      <w:del w:id="14918" w:author="AbbVie14" w:date="2025-05-09T10:59:00Z">
        <w:r>
          <w:rPr>
            <w:sz w:val="22"/>
            <w:szCs w:val="22"/>
          </w:rPr>
          <w:delText xml:space="preserve"> </w:delText>
        </w:r>
      </w:del>
      <w:del w:id="14919" w:author="AbbVie14" w:date="2025-05-09T10:59:00Z">
        <w:r w:rsidRPr="00295E71">
          <w:rPr>
            <w:sz w:val="22"/>
            <w:szCs w:val="22"/>
          </w:rPr>
          <w:delText>ass</w:delText>
        </w:r>
      </w:del>
      <w:del w:id="14920" w:author="AbbVie14" w:date="2025-05-09T10:59:00Z">
        <w:r w:rsidR="003D1249">
          <w:rPr>
            <w:sz w:val="22"/>
            <w:szCs w:val="22"/>
          </w:rPr>
          <w:delText>ume</w:delText>
        </w:r>
      </w:del>
      <w:del w:id="14921" w:author="AbbVie14" w:date="2025-05-09T10:59:00Z">
        <w:r w:rsidRPr="00295E71">
          <w:rPr>
            <w:sz w:val="22"/>
            <w:szCs w:val="22"/>
          </w:rPr>
          <w:delText xml:space="preserve"> Humira durante la gravidanza, il bambino potrebbe avere un maggior rischio di contrarre un’infezione. </w:delText>
        </w:r>
      </w:del>
    </w:p>
    <w:p w:rsidR="006224C2" w:rsidRPr="00295E71" w:rsidP="007E6E3E" w14:paraId="7D6C7E37" w14:textId="77777777">
      <w:pPr>
        <w:pStyle w:val="ListParagraph"/>
        <w:keepNext/>
        <w:keepLines/>
        <w:numPr>
          <w:ilvl w:val="0"/>
          <w:numId w:val="144"/>
        </w:numPr>
        <w:tabs>
          <w:tab w:val="left" w:pos="567"/>
        </w:tabs>
        <w:ind w:left="426" w:right="-2"/>
        <w:jc w:val="both"/>
        <w:rPr>
          <w:del w:id="14922" w:author="AbbVie14" w:date="2025-05-09T10:59:00Z"/>
          <w:sz w:val="22"/>
          <w:szCs w:val="22"/>
        </w:rPr>
      </w:pPr>
      <w:del w:id="14923" w:author="AbbVie14" w:date="2025-05-09T10:59:00Z">
        <w:r w:rsidRPr="00295E71">
          <w:rPr>
            <w:sz w:val="22"/>
            <w:szCs w:val="22"/>
          </w:rPr>
          <w:delText>É importante che lei riferisca al pediatra o ad altro operatore sanitario del</w:delText>
        </w:r>
      </w:del>
      <w:del w:id="14924" w:author="AbbVie14" w:date="2025-05-09T10:59:00Z">
        <w:r w:rsidR="005C0784">
          <w:rPr>
            <w:sz w:val="22"/>
            <w:szCs w:val="22"/>
          </w:rPr>
          <w:delText>l’</w:delText>
        </w:r>
      </w:del>
      <w:del w:id="14925" w:author="AbbVie14" w:date="2025-05-09T10:59:00Z">
        <w:r w:rsidRPr="00295E71">
          <w:rPr>
            <w:sz w:val="22"/>
            <w:szCs w:val="22"/>
          </w:rPr>
          <w:delText>utilizzo di Humira durante la gravidanza, prima che il bambino riceva qualsiasi tipo di vaccino</w:delText>
        </w:r>
      </w:del>
      <w:del w:id="14926" w:author="AbbVie14" w:date="2025-05-09T10:59:00Z">
        <w:r w:rsidR="005C0784">
          <w:rPr>
            <w:sz w:val="22"/>
            <w:szCs w:val="22"/>
          </w:rPr>
          <w:delText>.</w:delText>
        </w:r>
      </w:del>
      <w:del w:id="14927" w:author="AbbVie14" w:date="2025-05-09T10:59:00Z">
        <w:r w:rsidRPr="00295E71">
          <w:rPr>
            <w:sz w:val="22"/>
            <w:szCs w:val="22"/>
          </w:rPr>
          <w:delText xml:space="preserve"> </w:delText>
        </w:r>
      </w:del>
      <w:del w:id="14928" w:author="AbbVie14" w:date="2025-05-09T10:59:00Z">
        <w:r w:rsidR="005C0784">
          <w:rPr>
            <w:sz w:val="22"/>
            <w:szCs w:val="22"/>
          </w:rPr>
          <w:delText>P</w:delText>
        </w:r>
      </w:del>
      <w:del w:id="14929" w:author="AbbVie14" w:date="2025-05-09T10:59:00Z">
        <w:r w:rsidRPr="00295E71">
          <w:rPr>
            <w:sz w:val="22"/>
            <w:szCs w:val="22"/>
          </w:rPr>
          <w:delText xml:space="preserve">er maggiori informazioni </w:delText>
        </w:r>
      </w:del>
      <w:del w:id="14930" w:author="AbbVie14" w:date="2025-05-09T10:59:00Z">
        <w:r w:rsidR="005C0784">
          <w:rPr>
            <w:sz w:val="22"/>
            <w:szCs w:val="22"/>
          </w:rPr>
          <w:delText>su</w:delText>
        </w:r>
      </w:del>
      <w:del w:id="14931" w:author="AbbVie14" w:date="2025-05-09T10:59:00Z">
        <w:r w:rsidR="00B6380B">
          <w:rPr>
            <w:sz w:val="22"/>
            <w:szCs w:val="22"/>
          </w:rPr>
          <w:delText>lle</w:delText>
        </w:r>
      </w:del>
      <w:del w:id="14932" w:author="AbbVie14" w:date="2025-05-09T10:59:00Z">
        <w:r w:rsidR="005C0784">
          <w:rPr>
            <w:sz w:val="22"/>
            <w:szCs w:val="22"/>
          </w:rPr>
          <w:delText xml:space="preserve"> vaccin</w:delText>
        </w:r>
      </w:del>
      <w:del w:id="14933" w:author="AbbVie14" w:date="2025-05-09T10:59:00Z">
        <w:r w:rsidR="00B6380B">
          <w:rPr>
            <w:sz w:val="22"/>
            <w:szCs w:val="22"/>
          </w:rPr>
          <w:delText>azioni</w:delText>
        </w:r>
      </w:del>
      <w:del w:id="14934" w:author="AbbVie14" w:date="2025-05-09T10:59:00Z">
        <w:r w:rsidR="005C0784">
          <w:rPr>
            <w:sz w:val="22"/>
            <w:szCs w:val="22"/>
          </w:rPr>
          <w:delText xml:space="preserve"> </w:delText>
        </w:r>
      </w:del>
      <w:del w:id="14935" w:author="AbbVie14" w:date="2025-05-09T10:59:00Z">
        <w:r w:rsidRPr="00295E71">
          <w:rPr>
            <w:sz w:val="22"/>
            <w:szCs w:val="22"/>
          </w:rPr>
          <w:delText xml:space="preserve">consulti la sezione </w:delText>
        </w:r>
      </w:del>
      <w:del w:id="14936" w:author="AbbVie14" w:date="2025-05-09T10:59:00Z">
        <w:r w:rsidR="005C0784">
          <w:delText>“</w:delText>
        </w:r>
      </w:del>
      <w:del w:id="14937" w:author="AbbVie14" w:date="2025-05-09T10:59:00Z">
        <w:r w:rsidRPr="00186D92" w:rsidR="005C0784">
          <w:delText>Avvertenze e precauzioni</w:delText>
        </w:r>
      </w:del>
      <w:del w:id="14938" w:author="AbbVie14" w:date="2025-05-09T10:59:00Z">
        <w:r w:rsidR="005C0784">
          <w:rPr>
            <w:sz w:val="22"/>
            <w:szCs w:val="22"/>
          </w:rPr>
          <w:delText>”.</w:delText>
        </w:r>
      </w:del>
    </w:p>
    <w:p w:rsidR="006224C2" w:rsidRPr="00295E71" w14:paraId="4632F44C" w14:textId="77777777">
      <w:pPr>
        <w:numPr>
          <w:ilvl w:val="12"/>
          <w:numId w:val="0"/>
        </w:numPr>
        <w:tabs>
          <w:tab w:val="left" w:pos="567"/>
        </w:tabs>
        <w:ind w:right="-2"/>
        <w:jc w:val="both"/>
        <w:rPr>
          <w:del w:id="14939" w:author="AbbVie14" w:date="2025-05-09T10:59:00Z"/>
          <w:sz w:val="22"/>
          <w:szCs w:val="22"/>
        </w:rPr>
      </w:pPr>
    </w:p>
    <w:p w:rsidR="006224C2" w:rsidRPr="00295E71" w14:paraId="2BD2EC3D" w14:textId="77777777">
      <w:pPr>
        <w:keepNext/>
        <w:rPr>
          <w:del w:id="14940" w:author="AbbVie14" w:date="2025-05-09T10:59:00Z"/>
          <w:b/>
          <w:sz w:val="22"/>
          <w:szCs w:val="22"/>
        </w:rPr>
      </w:pPr>
      <w:del w:id="14941" w:author="AbbVie14" w:date="2025-05-09T10:59:00Z">
        <w:r w:rsidRPr="00295E71">
          <w:rPr>
            <w:b/>
            <w:sz w:val="22"/>
            <w:szCs w:val="22"/>
          </w:rPr>
          <w:delText>Guida di veicoli e utilizzo di macchinari</w:delText>
        </w:r>
      </w:del>
    </w:p>
    <w:p w:rsidR="006224C2" w:rsidRPr="00295E71" w14:paraId="55BDB7D3" w14:textId="77777777">
      <w:pPr>
        <w:keepNext/>
        <w:numPr>
          <w:ilvl w:val="12"/>
          <w:numId w:val="0"/>
        </w:numPr>
        <w:tabs>
          <w:tab w:val="left" w:pos="567"/>
        </w:tabs>
        <w:ind w:right="-2"/>
        <w:jc w:val="both"/>
        <w:rPr>
          <w:del w:id="14942" w:author="AbbVie14" w:date="2025-05-09T10:59:00Z"/>
          <w:sz w:val="22"/>
          <w:szCs w:val="22"/>
        </w:rPr>
      </w:pPr>
    </w:p>
    <w:p w:rsidR="00D83FA8" w:rsidRPr="00295E71" w14:paraId="6A42076C" w14:textId="77777777">
      <w:pPr>
        <w:pStyle w:val="BodyText2"/>
        <w:keepNext/>
        <w:jc w:val="both"/>
        <w:rPr>
          <w:del w:id="14943" w:author="AbbVie14" w:date="2025-05-09T10:59:00Z"/>
        </w:rPr>
      </w:pPr>
      <w:del w:id="14944" w:author="AbbVie14" w:date="2025-05-09T10:59:00Z">
        <w:r w:rsidRPr="00295E71">
          <w:delText>Humira può influenzare, benché solo in maniera modesta, la capacità di guidare, andare in bicicletta</w:delText>
        </w:r>
      </w:del>
      <w:del w:id="14945" w:author="AbbVie14" w:date="2025-05-09T10:59:00Z">
        <w:r w:rsidRPr="00295E71" w:rsidR="00D80C2C">
          <w:delText xml:space="preserve"> </w:delText>
        </w:r>
      </w:del>
      <w:del w:id="14946" w:author="AbbVie14" w:date="2025-05-09T10:59:00Z">
        <w:r w:rsidRPr="00295E71">
          <w:delText>o utilizzare macchinari. In seguito all’assunzione di Humira, si possono avere disturbi della vista e la sensazione che l’ambiente in cui ci si trova ruoti.</w:delText>
        </w:r>
      </w:del>
    </w:p>
    <w:p w:rsidR="00E3671D" w:rsidRPr="00295E71" w:rsidP="00FB547E" w14:paraId="0223980C" w14:textId="77777777">
      <w:pPr>
        <w:pStyle w:val="BodyText2"/>
        <w:keepNext/>
        <w:rPr>
          <w:del w:id="14947" w:author="AbbVie14" w:date="2025-05-09T10:59:00Z"/>
        </w:rPr>
      </w:pPr>
    </w:p>
    <w:p w:rsidR="00E3671D" w:rsidRPr="00295E71" w:rsidP="00E3671D" w14:paraId="2A8CC7B9" w14:textId="77777777">
      <w:pPr>
        <w:pStyle w:val="BodyText2"/>
        <w:keepNext/>
        <w:jc w:val="both"/>
        <w:rPr>
          <w:del w:id="14948" w:author="AbbVie14" w:date="2025-05-09T10:59:00Z"/>
          <w:b/>
        </w:rPr>
      </w:pPr>
      <w:del w:id="14949" w:author="AbbVie14" w:date="2025-05-09T10:59:00Z">
        <w:r w:rsidRPr="00295E71">
          <w:rPr>
            <w:b/>
          </w:rPr>
          <w:delText>Humira contiene sodio</w:delText>
        </w:r>
      </w:del>
    </w:p>
    <w:p w:rsidR="00E3671D" w:rsidRPr="00295E71" w:rsidP="00E3671D" w14:paraId="75D6C2FF" w14:textId="77777777">
      <w:pPr>
        <w:pStyle w:val="EMEANormal"/>
        <w:jc w:val="both"/>
        <w:rPr>
          <w:del w:id="14950" w:author="AbbVie14" w:date="2025-05-09T10:59:00Z"/>
          <w:b/>
          <w:lang w:val="it-IT"/>
        </w:rPr>
      </w:pPr>
    </w:p>
    <w:p w:rsidR="00E3671D" w:rsidRPr="00295E71" w:rsidP="00E3671D" w14:paraId="4B03A9B8" w14:textId="77777777">
      <w:pPr>
        <w:rPr>
          <w:del w:id="14951" w:author="AbbVie14" w:date="2025-05-09T10:59:00Z"/>
          <w:sz w:val="22"/>
          <w:szCs w:val="22"/>
        </w:rPr>
      </w:pPr>
      <w:del w:id="14952" w:author="AbbVie14" w:date="2025-05-09T10:59:00Z">
        <w:r w:rsidRPr="00295E71">
          <w:rPr>
            <w:sz w:val="22"/>
            <w:szCs w:val="22"/>
          </w:rPr>
          <w:delText xml:space="preserve">Questo medicinale contiene meno di 1 mmol di sodio (23 mg) per 0,8 ml di dose, cioé </w:delText>
        </w:r>
      </w:del>
      <w:del w:id="14953" w:author="AbbVie14" w:date="2025-05-09T10:59:00Z">
        <w:r w:rsidRPr="00295E71" w:rsidR="00FB5DD8">
          <w:rPr>
            <w:sz w:val="22"/>
            <w:szCs w:val="22"/>
          </w:rPr>
          <w:delText>essenzialmente</w:delText>
        </w:r>
      </w:del>
      <w:del w:id="14954" w:author="AbbVie14" w:date="2025-05-09T10:59:00Z">
        <w:r w:rsidRPr="00295E71">
          <w:rPr>
            <w:sz w:val="22"/>
            <w:szCs w:val="22"/>
          </w:rPr>
          <w:delText xml:space="preserve"> </w:delText>
        </w:r>
      </w:del>
      <w:del w:id="14955" w:author="AbbVie14" w:date="2025-05-09T10:59:00Z">
        <w:r w:rsidRPr="00295E71" w:rsidR="00FB5DD8">
          <w:rPr>
            <w:sz w:val="22"/>
            <w:szCs w:val="22"/>
          </w:rPr>
          <w:delText>‘</w:delText>
        </w:r>
      </w:del>
      <w:del w:id="14956" w:author="AbbVie14" w:date="2025-05-09T10:59:00Z">
        <w:r w:rsidRPr="00295E71">
          <w:rPr>
            <w:sz w:val="22"/>
            <w:szCs w:val="22"/>
          </w:rPr>
          <w:delText>senza sodio</w:delText>
        </w:r>
      </w:del>
      <w:del w:id="14957" w:author="AbbVie14" w:date="2025-05-09T10:59:00Z">
        <w:r w:rsidRPr="00295E71" w:rsidR="00FB5DD8">
          <w:rPr>
            <w:sz w:val="22"/>
            <w:szCs w:val="22"/>
          </w:rPr>
          <w:delText>’</w:delText>
        </w:r>
      </w:del>
      <w:del w:id="14958" w:author="AbbVie14" w:date="2025-05-09T10:59:00Z">
        <w:r w:rsidRPr="00295E71">
          <w:rPr>
            <w:sz w:val="22"/>
            <w:szCs w:val="22"/>
          </w:rPr>
          <w:delText>.</w:delText>
        </w:r>
      </w:del>
    </w:p>
    <w:p w:rsidR="006224C2" w:rsidRPr="00295E71" w14:paraId="6692E610" w14:textId="77777777">
      <w:pPr>
        <w:pStyle w:val="BodyText2"/>
        <w:jc w:val="both"/>
        <w:rPr>
          <w:del w:id="14959" w:author="AbbVie14" w:date="2025-05-09T10:59:00Z"/>
        </w:rPr>
      </w:pPr>
    </w:p>
    <w:p w:rsidR="001108AC" w:rsidRPr="00295E71" w14:paraId="2C90D512" w14:textId="77777777">
      <w:pPr>
        <w:pStyle w:val="BodyText2"/>
        <w:jc w:val="both"/>
        <w:rPr>
          <w:del w:id="14960" w:author="AbbVie14" w:date="2025-05-09T10:59:00Z"/>
        </w:rPr>
      </w:pPr>
    </w:p>
    <w:p w:rsidR="006224C2" w:rsidRPr="00295E71" w14:paraId="4B4AE489" w14:textId="77777777">
      <w:pPr>
        <w:keepNext/>
        <w:rPr>
          <w:del w:id="14961" w:author="AbbVie14" w:date="2025-05-09T10:59:00Z"/>
          <w:b/>
          <w:bCs/>
          <w:sz w:val="22"/>
          <w:szCs w:val="22"/>
        </w:rPr>
      </w:pPr>
      <w:del w:id="14962" w:author="AbbVie14" w:date="2025-05-09T10:59:00Z">
        <w:r w:rsidRPr="00295E71">
          <w:rPr>
            <w:b/>
            <w:bCs/>
            <w:sz w:val="22"/>
            <w:szCs w:val="22"/>
          </w:rPr>
          <w:delText>3.</w:delText>
        </w:r>
      </w:del>
      <w:del w:id="14963" w:author="AbbVie14" w:date="2025-05-09T10:59:00Z">
        <w:r w:rsidRPr="00295E71">
          <w:rPr>
            <w:b/>
            <w:bCs/>
            <w:sz w:val="22"/>
            <w:szCs w:val="22"/>
          </w:rPr>
          <w:tab/>
          <w:delText>Come usare Humira</w:delText>
        </w:r>
      </w:del>
    </w:p>
    <w:p w:rsidR="006224C2" w:rsidRPr="00295E71" w14:paraId="132E432C" w14:textId="77777777">
      <w:pPr>
        <w:keepNext/>
        <w:numPr>
          <w:ilvl w:val="12"/>
          <w:numId w:val="0"/>
        </w:numPr>
        <w:tabs>
          <w:tab w:val="left" w:pos="567"/>
        </w:tabs>
        <w:ind w:right="-2"/>
        <w:jc w:val="both"/>
        <w:rPr>
          <w:del w:id="14964" w:author="AbbVie14" w:date="2025-05-09T10:59:00Z"/>
          <w:sz w:val="22"/>
          <w:szCs w:val="22"/>
        </w:rPr>
      </w:pPr>
    </w:p>
    <w:p w:rsidR="008208C6" w:rsidRPr="00295E71" w:rsidP="00FB547E" w14:paraId="70D3BBEF" w14:textId="77777777">
      <w:pPr>
        <w:keepNext/>
        <w:numPr>
          <w:ilvl w:val="12"/>
          <w:numId w:val="0"/>
        </w:numPr>
        <w:tabs>
          <w:tab w:val="left" w:pos="567"/>
        </w:tabs>
        <w:ind w:right="-2"/>
        <w:rPr>
          <w:del w:id="14965" w:author="AbbVie14" w:date="2025-05-09T10:59:00Z"/>
          <w:sz w:val="22"/>
          <w:szCs w:val="22"/>
        </w:rPr>
      </w:pPr>
      <w:del w:id="14966" w:author="AbbVie14" w:date="2025-05-09T10:59:00Z">
        <w:r w:rsidRPr="00295E71">
          <w:rPr>
            <w:sz w:val="22"/>
            <w:szCs w:val="22"/>
          </w:rPr>
          <w:delText>Usi</w:delText>
        </w:r>
      </w:del>
      <w:del w:id="14967" w:author="AbbVie14" w:date="2025-05-09T10:59:00Z">
        <w:r w:rsidRPr="00295E71" w:rsidR="00892159">
          <w:rPr>
            <w:sz w:val="22"/>
            <w:szCs w:val="22"/>
          </w:rPr>
          <w:delText xml:space="preserve"> </w:delText>
        </w:r>
      </w:del>
      <w:del w:id="14968" w:author="AbbVie14" w:date="2025-05-09T10:59:00Z">
        <w:r w:rsidRPr="00295E71">
          <w:rPr>
            <w:sz w:val="22"/>
            <w:szCs w:val="22"/>
          </w:rPr>
          <w:delText xml:space="preserve">questo medicinale seguendo sempre esattamente le istruzioni del </w:delText>
        </w:r>
      </w:del>
      <w:del w:id="14969" w:author="AbbVie14" w:date="2025-05-09T10:59:00Z">
        <w:r w:rsidRPr="00295E71" w:rsidR="00F961A2">
          <w:rPr>
            <w:sz w:val="22"/>
            <w:szCs w:val="22"/>
          </w:rPr>
          <w:delText>pediatra</w:delText>
        </w:r>
      </w:del>
      <w:del w:id="14970" w:author="AbbVie14" w:date="2025-05-09T10:59:00Z">
        <w:r w:rsidRPr="00295E71">
          <w:rPr>
            <w:sz w:val="22"/>
            <w:szCs w:val="22"/>
          </w:rPr>
          <w:delText xml:space="preserve"> o del farmacista. Se ha dubbi</w:delText>
        </w:r>
      </w:del>
      <w:del w:id="14971" w:author="AbbVie14" w:date="2025-05-09T10:59:00Z">
        <w:r w:rsidRPr="00295E71" w:rsidR="00307069">
          <w:rPr>
            <w:sz w:val="22"/>
            <w:szCs w:val="22"/>
          </w:rPr>
          <w:delText xml:space="preserve"> o desidera chiarimenti </w:delText>
        </w:r>
      </w:del>
      <w:del w:id="14972" w:author="AbbVie14" w:date="2025-05-09T10:59:00Z">
        <w:r w:rsidRPr="00295E71">
          <w:rPr>
            <w:sz w:val="22"/>
            <w:szCs w:val="22"/>
          </w:rPr>
          <w:delText xml:space="preserve">consulti il </w:delText>
        </w:r>
      </w:del>
      <w:del w:id="14973" w:author="AbbVie14" w:date="2025-05-09T10:59:00Z">
        <w:r w:rsidRPr="00295E71" w:rsidR="00F961A2">
          <w:rPr>
            <w:sz w:val="22"/>
            <w:szCs w:val="22"/>
          </w:rPr>
          <w:delText>pediatra</w:delText>
        </w:r>
      </w:del>
      <w:del w:id="14974" w:author="AbbVie14" w:date="2025-05-09T10:59:00Z">
        <w:r w:rsidRPr="00295E71">
          <w:rPr>
            <w:sz w:val="22"/>
            <w:szCs w:val="22"/>
          </w:rPr>
          <w:delText xml:space="preserve"> o il farmacista.</w:delText>
        </w:r>
      </w:del>
      <w:del w:id="14975" w:author="AbbVie14" w:date="2025-05-09T10:59:00Z">
        <w:r w:rsidRPr="00295E71" w:rsidR="00307069">
          <w:rPr>
            <w:sz w:val="22"/>
            <w:szCs w:val="22"/>
          </w:rPr>
          <w:delText xml:space="preserve"> </w:delText>
        </w:r>
      </w:del>
      <w:del w:id="14976" w:author="AbbVie14" w:date="2025-05-09T10:59:00Z">
        <w:r w:rsidRPr="00295E71">
          <w:rPr>
            <w:sz w:val="22"/>
            <w:szCs w:val="22"/>
          </w:rPr>
          <w:delText xml:space="preserve">Il medico potrebbe prescrivere un’altra concentrazione di Humira se il bambino necessita di una dose differente. </w:delText>
        </w:r>
      </w:del>
    </w:p>
    <w:p w:rsidR="006224C2" w:rsidRPr="00295E71" w:rsidP="00FB547E" w14:paraId="05DDAE92" w14:textId="77777777">
      <w:pPr>
        <w:numPr>
          <w:ilvl w:val="12"/>
          <w:numId w:val="0"/>
        </w:numPr>
        <w:tabs>
          <w:tab w:val="left" w:pos="567"/>
        </w:tabs>
        <w:ind w:right="-2"/>
        <w:rPr>
          <w:del w:id="14977" w:author="AbbVie14" w:date="2025-05-09T10:59:00Z"/>
          <w:sz w:val="22"/>
          <w:szCs w:val="22"/>
        </w:rPr>
      </w:pPr>
    </w:p>
    <w:p w:rsidR="006224C2" w:rsidRPr="00295E71" w:rsidP="00FB547E" w14:paraId="247EDC80" w14:textId="77777777">
      <w:pPr>
        <w:numPr>
          <w:ilvl w:val="12"/>
          <w:numId w:val="0"/>
        </w:numPr>
        <w:tabs>
          <w:tab w:val="left" w:pos="567"/>
        </w:tabs>
        <w:ind w:right="-2"/>
        <w:rPr>
          <w:del w:id="14978" w:author="AbbVie14" w:date="2025-05-09T10:59:00Z"/>
          <w:sz w:val="22"/>
          <w:szCs w:val="22"/>
          <w:u w:val="single"/>
        </w:rPr>
      </w:pPr>
      <w:del w:id="14979" w:author="AbbVie14" w:date="2025-05-09T10:59:00Z">
        <w:r w:rsidRPr="00295E71">
          <w:rPr>
            <w:sz w:val="22"/>
            <w:szCs w:val="22"/>
            <w:u w:val="single"/>
          </w:rPr>
          <w:delText xml:space="preserve">Bambini </w:delText>
        </w:r>
      </w:del>
      <w:del w:id="14980" w:author="AbbVie14" w:date="2025-05-09T10:59:00Z">
        <w:r w:rsidRPr="00295E71" w:rsidR="008208C6">
          <w:rPr>
            <w:sz w:val="22"/>
            <w:szCs w:val="22"/>
            <w:u w:val="single"/>
          </w:rPr>
          <w:delText xml:space="preserve">e adolescenti </w:delText>
        </w:r>
      </w:del>
      <w:del w:id="14981" w:author="AbbVie14" w:date="2025-05-09T10:59:00Z">
        <w:r w:rsidRPr="00295E71">
          <w:rPr>
            <w:sz w:val="22"/>
            <w:szCs w:val="22"/>
            <w:u w:val="single"/>
          </w:rPr>
          <w:delText>con artrite idiopatica giovanile poliarticolare</w:delText>
        </w:r>
      </w:del>
    </w:p>
    <w:p w:rsidR="006224C2" w:rsidRPr="00295E71" w:rsidP="00FB547E" w14:paraId="31DDDC97" w14:textId="77777777">
      <w:pPr>
        <w:numPr>
          <w:ilvl w:val="12"/>
          <w:numId w:val="0"/>
        </w:numPr>
        <w:tabs>
          <w:tab w:val="left" w:pos="567"/>
        </w:tabs>
        <w:ind w:right="-2"/>
        <w:rPr>
          <w:del w:id="14982" w:author="AbbVie14" w:date="2025-05-09T10:59:00Z"/>
          <w:sz w:val="22"/>
          <w:szCs w:val="22"/>
        </w:rPr>
      </w:pPr>
    </w:p>
    <w:p w:rsidR="00892159" w:rsidRPr="00295E71" w:rsidP="00FB547E" w14:paraId="27644847" w14:textId="77777777">
      <w:pPr>
        <w:numPr>
          <w:ilvl w:val="12"/>
          <w:numId w:val="0"/>
        </w:numPr>
        <w:tabs>
          <w:tab w:val="left" w:pos="567"/>
        </w:tabs>
        <w:ind w:right="-2"/>
        <w:rPr>
          <w:del w:id="14983" w:author="AbbVie14" w:date="2025-05-09T10:59:00Z"/>
          <w:i/>
          <w:sz w:val="22"/>
          <w:szCs w:val="22"/>
        </w:rPr>
      </w:pPr>
      <w:del w:id="14984" w:author="AbbVie14" w:date="2025-05-09T10:59:00Z">
        <w:r w:rsidRPr="00295E71">
          <w:rPr>
            <w:i/>
            <w:sz w:val="22"/>
            <w:szCs w:val="22"/>
          </w:rPr>
          <w:delText xml:space="preserve">Bambini e adolescenti a partire da 2 anni </w:delText>
        </w:r>
      </w:del>
      <w:del w:id="14985" w:author="AbbVie14" w:date="2025-05-09T10:59:00Z">
        <w:r w:rsidRPr="00295E71" w:rsidR="000C1B2D">
          <w:rPr>
            <w:i/>
            <w:sz w:val="22"/>
            <w:szCs w:val="22"/>
          </w:rPr>
          <w:delText xml:space="preserve">di età </w:delText>
        </w:r>
      </w:del>
      <w:del w:id="14986" w:author="AbbVie14" w:date="2025-05-09T10:59:00Z">
        <w:r w:rsidRPr="00295E71" w:rsidR="00874583">
          <w:rPr>
            <w:i/>
            <w:sz w:val="22"/>
            <w:szCs w:val="22"/>
          </w:rPr>
          <w:delText>e con peso compreso tra</w:delText>
        </w:r>
      </w:del>
      <w:del w:id="14987" w:author="AbbVie14" w:date="2025-05-09T10:59:00Z">
        <w:r w:rsidRPr="00295E71">
          <w:rPr>
            <w:i/>
            <w:sz w:val="22"/>
            <w:szCs w:val="22"/>
          </w:rPr>
          <w:delText xml:space="preserve"> 10 kg </w:delText>
        </w:r>
      </w:del>
      <w:del w:id="14988" w:author="AbbVie14" w:date="2025-05-09T10:59:00Z">
        <w:r w:rsidRPr="00295E71" w:rsidR="00874583">
          <w:rPr>
            <w:i/>
            <w:sz w:val="22"/>
            <w:szCs w:val="22"/>
          </w:rPr>
          <w:delText xml:space="preserve">e </w:delText>
        </w:r>
      </w:del>
      <w:del w:id="14989" w:author="AbbVie14" w:date="2025-05-09T10:59:00Z">
        <w:r w:rsidRPr="00295E71" w:rsidR="000D21D2">
          <w:rPr>
            <w:i/>
            <w:sz w:val="22"/>
            <w:szCs w:val="22"/>
          </w:rPr>
          <w:delText xml:space="preserve">meno di </w:delText>
        </w:r>
      </w:del>
      <w:del w:id="14990" w:author="AbbVie14" w:date="2025-05-09T10:59:00Z">
        <w:r w:rsidRPr="00295E71">
          <w:rPr>
            <w:i/>
            <w:sz w:val="22"/>
            <w:szCs w:val="22"/>
          </w:rPr>
          <w:delText xml:space="preserve">30 kg </w:delText>
        </w:r>
      </w:del>
    </w:p>
    <w:p w:rsidR="00B654E3" w:rsidRPr="00295E71" w:rsidP="00FB547E" w14:paraId="4D3580D7" w14:textId="77777777">
      <w:pPr>
        <w:pStyle w:val="BodyText2"/>
        <w:rPr>
          <w:del w:id="14991" w:author="AbbVie14" w:date="2025-05-09T10:59:00Z"/>
        </w:rPr>
      </w:pPr>
    </w:p>
    <w:p w:rsidR="00B654E3" w:rsidRPr="00295E71" w:rsidP="00FB547E" w14:paraId="189CA906" w14:textId="77777777">
      <w:pPr>
        <w:pStyle w:val="BodyText2"/>
        <w:rPr>
          <w:del w:id="14992" w:author="AbbVie14" w:date="2025-05-09T10:59:00Z"/>
        </w:rPr>
      </w:pPr>
      <w:del w:id="14993" w:author="AbbVie14" w:date="2025-05-09T10:59:00Z">
        <w:r w:rsidRPr="00295E71">
          <w:delText>La dose raccomandata di Humira è 20 mg a settimane alterne.</w:delText>
        </w:r>
      </w:del>
    </w:p>
    <w:p w:rsidR="00B654E3" w:rsidRPr="00295E71" w:rsidP="00FB547E" w14:paraId="4D0D1AC1" w14:textId="77777777">
      <w:pPr>
        <w:pStyle w:val="BodyText2"/>
        <w:rPr>
          <w:del w:id="14994" w:author="AbbVie14" w:date="2025-05-09T10:59:00Z"/>
        </w:rPr>
      </w:pPr>
    </w:p>
    <w:p w:rsidR="00B654E3" w:rsidRPr="00295E71" w:rsidP="00FB547E" w14:paraId="0AC83436" w14:textId="77777777">
      <w:pPr>
        <w:numPr>
          <w:ilvl w:val="12"/>
          <w:numId w:val="0"/>
        </w:numPr>
        <w:tabs>
          <w:tab w:val="left" w:pos="567"/>
        </w:tabs>
        <w:ind w:right="-2"/>
        <w:rPr>
          <w:del w:id="14995" w:author="AbbVie14" w:date="2025-05-09T10:59:00Z"/>
          <w:i/>
          <w:sz w:val="22"/>
          <w:szCs w:val="22"/>
        </w:rPr>
      </w:pPr>
      <w:del w:id="14996" w:author="AbbVie14" w:date="2025-05-09T10:59:00Z">
        <w:r w:rsidRPr="00295E71">
          <w:rPr>
            <w:i/>
            <w:sz w:val="22"/>
            <w:szCs w:val="22"/>
          </w:rPr>
          <w:delText xml:space="preserve">Bambini e adolescenti a partire da 2 anni </w:delText>
        </w:r>
      </w:del>
      <w:del w:id="14997" w:author="AbbVie14" w:date="2025-05-09T10:59:00Z">
        <w:r w:rsidRPr="00295E71" w:rsidR="000C1B2D">
          <w:rPr>
            <w:i/>
            <w:sz w:val="22"/>
            <w:szCs w:val="22"/>
          </w:rPr>
          <w:delText xml:space="preserve">di età </w:delText>
        </w:r>
      </w:del>
      <w:del w:id="14998" w:author="AbbVie14" w:date="2025-05-09T10:59:00Z">
        <w:r w:rsidRPr="00295E71" w:rsidR="00874583">
          <w:rPr>
            <w:i/>
            <w:sz w:val="22"/>
            <w:szCs w:val="22"/>
          </w:rPr>
          <w:delText>e con peso uguale o superiore a 30 kg</w:delText>
        </w:r>
      </w:del>
      <w:del w:id="14999" w:author="AbbVie14" w:date="2025-05-09T10:59:00Z">
        <w:r w:rsidRPr="00295E71">
          <w:rPr>
            <w:i/>
            <w:sz w:val="22"/>
            <w:szCs w:val="22"/>
          </w:rPr>
          <w:delText xml:space="preserve"> </w:delText>
        </w:r>
      </w:del>
    </w:p>
    <w:p w:rsidR="00B654E3" w:rsidRPr="00295E71" w:rsidP="00FB547E" w14:paraId="3D87A3C7" w14:textId="77777777">
      <w:pPr>
        <w:pStyle w:val="BodyText2"/>
        <w:rPr>
          <w:del w:id="15000" w:author="AbbVie14" w:date="2025-05-09T10:59:00Z"/>
        </w:rPr>
      </w:pPr>
    </w:p>
    <w:p w:rsidR="00B654E3" w:rsidRPr="00295E71" w:rsidP="00FB547E" w14:paraId="17A2F0EC" w14:textId="77777777">
      <w:pPr>
        <w:pStyle w:val="BodyText2"/>
        <w:rPr>
          <w:del w:id="15001" w:author="AbbVie14" w:date="2025-05-09T10:59:00Z"/>
        </w:rPr>
      </w:pPr>
      <w:del w:id="15002" w:author="AbbVie14" w:date="2025-05-09T10:59:00Z">
        <w:r w:rsidRPr="00295E71">
          <w:delText>La dose raccomandata di Humira è 40 mg a settimane alterne.</w:delText>
        </w:r>
      </w:del>
    </w:p>
    <w:p w:rsidR="006224C2" w:rsidRPr="00295E71" w:rsidP="00FB547E" w14:paraId="6101493A" w14:textId="77777777">
      <w:pPr>
        <w:pStyle w:val="BodyText2"/>
        <w:rPr>
          <w:del w:id="15003" w:author="AbbVie14" w:date="2025-05-09T10:59:00Z"/>
        </w:rPr>
      </w:pPr>
    </w:p>
    <w:p w:rsidR="006224C2" w:rsidRPr="00295E71" w:rsidP="00F57FE5" w14:paraId="09631874" w14:textId="77777777">
      <w:pPr>
        <w:keepNext/>
        <w:numPr>
          <w:ilvl w:val="12"/>
          <w:numId w:val="0"/>
        </w:numPr>
        <w:rPr>
          <w:del w:id="15004" w:author="AbbVie14" w:date="2025-05-09T10:59:00Z"/>
          <w:sz w:val="22"/>
          <w:szCs w:val="22"/>
          <w:u w:val="single"/>
        </w:rPr>
      </w:pPr>
      <w:del w:id="15005" w:author="AbbVie14" w:date="2025-05-09T10:59:00Z">
        <w:r w:rsidRPr="00295E71">
          <w:rPr>
            <w:sz w:val="22"/>
            <w:szCs w:val="22"/>
            <w:u w:val="single"/>
          </w:rPr>
          <w:delText>Bambini</w:delText>
        </w:r>
      </w:del>
      <w:del w:id="15006" w:author="AbbVie14" w:date="2025-05-09T10:59:00Z">
        <w:r w:rsidRPr="00295E71" w:rsidR="00B654E3">
          <w:rPr>
            <w:sz w:val="22"/>
            <w:szCs w:val="22"/>
            <w:u w:val="single"/>
          </w:rPr>
          <w:delText xml:space="preserve">, adolescenti </w:delText>
        </w:r>
      </w:del>
      <w:del w:id="15007" w:author="AbbVie14" w:date="2025-05-09T10:59:00Z">
        <w:r w:rsidRPr="00295E71" w:rsidR="006E6AC6">
          <w:rPr>
            <w:sz w:val="22"/>
            <w:szCs w:val="22"/>
            <w:u w:val="single"/>
          </w:rPr>
          <w:delText>e</w:delText>
        </w:r>
      </w:del>
      <w:del w:id="15008" w:author="AbbVie14" w:date="2025-05-09T10:59:00Z">
        <w:r w:rsidRPr="00295E71" w:rsidR="00B654E3">
          <w:rPr>
            <w:sz w:val="22"/>
            <w:szCs w:val="22"/>
            <w:u w:val="single"/>
          </w:rPr>
          <w:delText xml:space="preserve"> adulti </w:delText>
        </w:r>
      </w:del>
      <w:del w:id="15009" w:author="AbbVie14" w:date="2025-05-09T10:59:00Z">
        <w:r w:rsidRPr="00295E71">
          <w:rPr>
            <w:sz w:val="22"/>
            <w:szCs w:val="22"/>
            <w:u w:val="single"/>
          </w:rPr>
          <w:delText>con artrite associata ad entesite</w:delText>
        </w:r>
      </w:del>
    </w:p>
    <w:p w:rsidR="006224C2" w:rsidRPr="00295E71" w:rsidP="00F57FE5" w14:paraId="39ADE093" w14:textId="77777777">
      <w:pPr>
        <w:keepNext/>
        <w:numPr>
          <w:ilvl w:val="12"/>
          <w:numId w:val="0"/>
        </w:numPr>
        <w:rPr>
          <w:del w:id="15010" w:author="AbbVie14" w:date="2025-05-09T10:59:00Z"/>
          <w:sz w:val="22"/>
          <w:szCs w:val="22"/>
          <w:u w:val="single"/>
        </w:rPr>
      </w:pPr>
    </w:p>
    <w:p w:rsidR="00B654E3" w:rsidRPr="00295E71" w:rsidP="00F57FE5" w14:paraId="5E8D3759" w14:textId="77777777">
      <w:pPr>
        <w:keepNext/>
        <w:numPr>
          <w:ilvl w:val="12"/>
          <w:numId w:val="0"/>
        </w:numPr>
        <w:rPr>
          <w:del w:id="15011" w:author="AbbVie14" w:date="2025-05-09T10:59:00Z"/>
          <w:sz w:val="22"/>
          <w:szCs w:val="22"/>
          <w:u w:val="single"/>
        </w:rPr>
      </w:pPr>
      <w:del w:id="15012" w:author="AbbVie14" w:date="2025-05-09T10:59:00Z">
        <w:r w:rsidRPr="00295E71">
          <w:rPr>
            <w:i/>
            <w:sz w:val="22"/>
            <w:szCs w:val="22"/>
          </w:rPr>
          <w:delText>Bambini e</w:delText>
        </w:r>
      </w:del>
      <w:del w:id="15013" w:author="AbbVie14" w:date="2025-05-09T10:59:00Z">
        <w:r w:rsidRPr="00295E71" w:rsidR="00307069">
          <w:rPr>
            <w:i/>
            <w:sz w:val="22"/>
            <w:szCs w:val="22"/>
          </w:rPr>
          <w:delText xml:space="preserve"> </w:delText>
        </w:r>
      </w:del>
      <w:del w:id="15014" w:author="AbbVie14" w:date="2025-05-09T10:59:00Z">
        <w:r w:rsidRPr="00295E71">
          <w:rPr>
            <w:i/>
            <w:sz w:val="22"/>
            <w:szCs w:val="22"/>
          </w:rPr>
          <w:delText xml:space="preserve">adolescenti a partire da 6 anni </w:delText>
        </w:r>
      </w:del>
      <w:del w:id="15015" w:author="AbbVie14" w:date="2025-05-09T10:59:00Z">
        <w:r w:rsidRPr="00295E71" w:rsidR="000C1B2D">
          <w:rPr>
            <w:i/>
            <w:sz w:val="22"/>
            <w:szCs w:val="22"/>
          </w:rPr>
          <w:delText>di età</w:delText>
        </w:r>
      </w:del>
      <w:del w:id="15016" w:author="AbbVie14" w:date="2025-05-09T10:59:00Z">
        <w:r w:rsidR="00114AD7">
          <w:rPr>
            <w:i/>
            <w:sz w:val="22"/>
            <w:szCs w:val="22"/>
          </w:rPr>
          <w:delText xml:space="preserve"> </w:delText>
        </w:r>
      </w:del>
      <w:del w:id="15017" w:author="AbbVie14" w:date="2025-05-09T10:59:00Z">
        <w:r w:rsidRPr="00295E71" w:rsidR="00874583">
          <w:rPr>
            <w:i/>
            <w:sz w:val="22"/>
            <w:szCs w:val="22"/>
          </w:rPr>
          <w:delText>e con</w:delText>
        </w:r>
      </w:del>
      <w:del w:id="15018" w:author="AbbVie14" w:date="2025-05-09T10:59:00Z">
        <w:r w:rsidRPr="00295E71" w:rsidR="006E6AC6">
          <w:rPr>
            <w:i/>
            <w:sz w:val="22"/>
            <w:szCs w:val="22"/>
          </w:rPr>
          <w:delText xml:space="preserve"> peso compreso</w:delText>
        </w:r>
      </w:del>
      <w:del w:id="15019" w:author="AbbVie14" w:date="2025-05-09T10:59:00Z">
        <w:r w:rsidRPr="00295E71">
          <w:rPr>
            <w:i/>
            <w:sz w:val="22"/>
            <w:szCs w:val="22"/>
          </w:rPr>
          <w:delText xml:space="preserve"> </w:delText>
        </w:r>
      </w:del>
      <w:del w:id="15020" w:author="AbbVie14" w:date="2025-05-09T10:59:00Z">
        <w:r w:rsidRPr="00295E71" w:rsidR="006E6AC6">
          <w:rPr>
            <w:i/>
            <w:sz w:val="22"/>
            <w:szCs w:val="22"/>
          </w:rPr>
          <w:delText xml:space="preserve">tra </w:delText>
        </w:r>
      </w:del>
      <w:del w:id="15021" w:author="AbbVie14" w:date="2025-05-09T10:59:00Z">
        <w:r w:rsidRPr="00295E71">
          <w:rPr>
            <w:i/>
            <w:sz w:val="22"/>
            <w:szCs w:val="22"/>
          </w:rPr>
          <w:delText xml:space="preserve">15 kg </w:delText>
        </w:r>
      </w:del>
      <w:del w:id="15022" w:author="AbbVie14" w:date="2025-05-09T10:59:00Z">
        <w:r w:rsidRPr="00295E71" w:rsidR="006E6AC6">
          <w:rPr>
            <w:i/>
            <w:sz w:val="22"/>
            <w:szCs w:val="22"/>
          </w:rPr>
          <w:delText>e</w:delText>
        </w:r>
      </w:del>
      <w:del w:id="15023" w:author="AbbVie14" w:date="2025-05-09T10:59:00Z">
        <w:r w:rsidRPr="00295E71" w:rsidR="000D21D2">
          <w:rPr>
            <w:i/>
            <w:sz w:val="22"/>
            <w:szCs w:val="22"/>
          </w:rPr>
          <w:delText xml:space="preserve"> meno di </w:delText>
        </w:r>
      </w:del>
      <w:del w:id="15024" w:author="AbbVie14" w:date="2025-05-09T10:59:00Z">
        <w:r w:rsidRPr="00295E71">
          <w:rPr>
            <w:i/>
            <w:sz w:val="22"/>
            <w:szCs w:val="22"/>
          </w:rPr>
          <w:delText>30 kg</w:delText>
        </w:r>
      </w:del>
    </w:p>
    <w:p w:rsidR="00B654E3" w:rsidRPr="00295E71" w:rsidP="00F57FE5" w14:paraId="6A914A44" w14:textId="77777777">
      <w:pPr>
        <w:keepNext/>
        <w:numPr>
          <w:ilvl w:val="12"/>
          <w:numId w:val="0"/>
        </w:numPr>
        <w:rPr>
          <w:del w:id="15025" w:author="AbbVie14" w:date="2025-05-09T10:59:00Z"/>
          <w:sz w:val="22"/>
          <w:szCs w:val="22"/>
          <w:u w:val="single"/>
        </w:rPr>
      </w:pPr>
    </w:p>
    <w:p w:rsidR="00B654E3" w:rsidRPr="00295E71" w:rsidP="00F57FE5" w14:paraId="62DAF2FC" w14:textId="77777777">
      <w:pPr>
        <w:keepNext/>
        <w:numPr>
          <w:ilvl w:val="12"/>
          <w:numId w:val="0"/>
        </w:numPr>
        <w:rPr>
          <w:del w:id="15026" w:author="AbbVie14" w:date="2025-05-09T10:59:00Z"/>
          <w:sz w:val="22"/>
          <w:szCs w:val="22"/>
        </w:rPr>
      </w:pPr>
      <w:del w:id="15027" w:author="AbbVie14" w:date="2025-05-09T10:59:00Z">
        <w:r w:rsidRPr="00295E71">
          <w:rPr>
            <w:sz w:val="22"/>
            <w:szCs w:val="22"/>
          </w:rPr>
          <w:delText>La dose raccomandata di Humira è 20 mg a settimane alterne.</w:delText>
        </w:r>
      </w:del>
    </w:p>
    <w:p w:rsidR="00B654E3" w:rsidRPr="00295E71" w14:paraId="04A8970D" w14:textId="77777777">
      <w:pPr>
        <w:numPr>
          <w:ilvl w:val="12"/>
          <w:numId w:val="0"/>
        </w:numPr>
        <w:ind w:right="-2"/>
        <w:rPr>
          <w:del w:id="15028" w:author="AbbVie14" w:date="2025-05-09T10:59:00Z"/>
          <w:sz w:val="22"/>
          <w:szCs w:val="22"/>
          <w:u w:val="single"/>
        </w:rPr>
      </w:pPr>
    </w:p>
    <w:p w:rsidR="00B654E3" w:rsidRPr="00295E71" w14:paraId="52B7779B" w14:textId="77777777">
      <w:pPr>
        <w:numPr>
          <w:ilvl w:val="12"/>
          <w:numId w:val="0"/>
        </w:numPr>
        <w:ind w:right="-2"/>
        <w:rPr>
          <w:del w:id="15029" w:author="AbbVie14" w:date="2025-05-09T10:59:00Z"/>
          <w:sz w:val="22"/>
          <w:szCs w:val="22"/>
          <w:u w:val="single"/>
        </w:rPr>
      </w:pPr>
      <w:del w:id="15030" w:author="AbbVie14" w:date="2025-05-09T10:59:00Z">
        <w:r w:rsidRPr="00295E71">
          <w:rPr>
            <w:i/>
            <w:sz w:val="22"/>
            <w:szCs w:val="22"/>
          </w:rPr>
          <w:delText xml:space="preserve">Bambini, adolescenti e adulti </w:delText>
        </w:r>
      </w:del>
      <w:del w:id="15031" w:author="AbbVie14" w:date="2025-05-09T10:59:00Z">
        <w:r w:rsidRPr="00295E71" w:rsidR="000C1B2D">
          <w:rPr>
            <w:i/>
            <w:sz w:val="22"/>
            <w:szCs w:val="22"/>
          </w:rPr>
          <w:delText>a partire da</w:delText>
        </w:r>
      </w:del>
      <w:del w:id="15032" w:author="AbbVie14" w:date="2025-05-09T10:59:00Z">
        <w:r w:rsidRPr="00295E71" w:rsidR="00874583">
          <w:rPr>
            <w:i/>
            <w:sz w:val="22"/>
            <w:szCs w:val="22"/>
          </w:rPr>
          <w:delText xml:space="preserve"> 6 anni</w:delText>
        </w:r>
      </w:del>
      <w:del w:id="15033" w:author="AbbVie14" w:date="2025-05-09T10:59:00Z">
        <w:r w:rsidRPr="00295E71" w:rsidR="000C1B2D">
          <w:rPr>
            <w:i/>
            <w:sz w:val="22"/>
            <w:szCs w:val="22"/>
          </w:rPr>
          <w:delText xml:space="preserve"> di età</w:delText>
        </w:r>
      </w:del>
      <w:del w:id="15034" w:author="AbbVie14" w:date="2025-05-09T10:59:00Z">
        <w:r w:rsidRPr="00295E71" w:rsidR="00874583">
          <w:rPr>
            <w:i/>
            <w:sz w:val="22"/>
            <w:szCs w:val="22"/>
          </w:rPr>
          <w:delText xml:space="preserve"> e con peso uguale o superiore a 30 kg</w:delText>
        </w:r>
      </w:del>
    </w:p>
    <w:p w:rsidR="00B654E3" w:rsidRPr="00295E71" w14:paraId="637463C0" w14:textId="77777777">
      <w:pPr>
        <w:numPr>
          <w:ilvl w:val="12"/>
          <w:numId w:val="0"/>
        </w:numPr>
        <w:ind w:right="-2"/>
        <w:rPr>
          <w:del w:id="15035" w:author="AbbVie14" w:date="2025-05-09T10:59:00Z"/>
          <w:sz w:val="22"/>
          <w:szCs w:val="22"/>
          <w:u w:val="single"/>
        </w:rPr>
      </w:pPr>
    </w:p>
    <w:p w:rsidR="00B654E3" w:rsidRPr="00295E71" w14:paraId="0323B2EA" w14:textId="77777777">
      <w:pPr>
        <w:numPr>
          <w:ilvl w:val="12"/>
          <w:numId w:val="0"/>
        </w:numPr>
        <w:ind w:right="-2"/>
        <w:rPr>
          <w:del w:id="15036" w:author="AbbVie14" w:date="2025-05-09T10:59:00Z"/>
          <w:sz w:val="22"/>
          <w:szCs w:val="22"/>
        </w:rPr>
      </w:pPr>
      <w:del w:id="15037" w:author="AbbVie14" w:date="2025-05-09T10:59:00Z">
        <w:r w:rsidRPr="00295E71">
          <w:rPr>
            <w:sz w:val="22"/>
            <w:szCs w:val="22"/>
          </w:rPr>
          <w:delText>La dose raccomandata di Humira è 40 mg a settimane alterne.</w:delText>
        </w:r>
      </w:del>
    </w:p>
    <w:p w:rsidR="00B654E3" w:rsidRPr="00295E71" w14:paraId="0B937FA5" w14:textId="77777777">
      <w:pPr>
        <w:numPr>
          <w:ilvl w:val="12"/>
          <w:numId w:val="0"/>
        </w:numPr>
        <w:ind w:right="-2"/>
        <w:rPr>
          <w:del w:id="15038" w:author="AbbVie14" w:date="2025-05-09T10:59:00Z"/>
          <w:sz w:val="22"/>
          <w:szCs w:val="22"/>
          <w:u w:val="single"/>
        </w:rPr>
      </w:pPr>
    </w:p>
    <w:p w:rsidR="006224C2" w:rsidRPr="00295E71" w:rsidP="00FB547E" w14:paraId="34949F1B" w14:textId="77777777">
      <w:pPr>
        <w:numPr>
          <w:ilvl w:val="12"/>
          <w:numId w:val="0"/>
        </w:numPr>
        <w:tabs>
          <w:tab w:val="left" w:pos="567"/>
        </w:tabs>
        <w:ind w:right="-2"/>
        <w:rPr>
          <w:del w:id="15039" w:author="AbbVie14" w:date="2025-05-09T10:59:00Z"/>
          <w:sz w:val="22"/>
          <w:szCs w:val="22"/>
          <w:u w:val="single"/>
        </w:rPr>
      </w:pPr>
      <w:del w:id="15040" w:author="AbbVie14" w:date="2025-05-09T10:59:00Z">
        <w:r w:rsidRPr="00295E71">
          <w:rPr>
            <w:sz w:val="22"/>
            <w:szCs w:val="22"/>
            <w:u w:val="single"/>
          </w:rPr>
          <w:delText xml:space="preserve">Bambini </w:delText>
        </w:r>
      </w:del>
      <w:del w:id="15041" w:author="AbbVie14" w:date="2025-05-09T10:59:00Z">
        <w:r w:rsidRPr="00295E71" w:rsidR="00B654E3">
          <w:rPr>
            <w:sz w:val="22"/>
            <w:szCs w:val="22"/>
            <w:u w:val="single"/>
          </w:rPr>
          <w:delText>e</w:delText>
        </w:r>
      </w:del>
      <w:del w:id="15042" w:author="AbbVie14" w:date="2025-05-09T10:59:00Z">
        <w:r w:rsidRPr="00295E71">
          <w:rPr>
            <w:sz w:val="22"/>
            <w:szCs w:val="22"/>
            <w:u w:val="single"/>
          </w:rPr>
          <w:delText xml:space="preserve"> adolescenti </w:delText>
        </w:r>
      </w:del>
      <w:del w:id="15043" w:author="AbbVie14" w:date="2025-05-09T10:59:00Z">
        <w:r w:rsidRPr="00295E71" w:rsidR="003569BA">
          <w:rPr>
            <w:sz w:val="22"/>
            <w:szCs w:val="22"/>
            <w:u w:val="single"/>
          </w:rPr>
          <w:delText>con</w:delText>
        </w:r>
      </w:del>
      <w:del w:id="15044" w:author="AbbVie14" w:date="2025-05-09T10:59:00Z">
        <w:r w:rsidRPr="00295E71">
          <w:rPr>
            <w:sz w:val="22"/>
            <w:szCs w:val="22"/>
            <w:u w:val="single"/>
          </w:rPr>
          <w:delText xml:space="preserve"> psoriasi</w:delText>
        </w:r>
      </w:del>
    </w:p>
    <w:p w:rsidR="006224C2" w:rsidRPr="00295E71" w:rsidP="00FB547E" w14:paraId="44A8A830" w14:textId="77777777">
      <w:pPr>
        <w:numPr>
          <w:ilvl w:val="12"/>
          <w:numId w:val="0"/>
        </w:numPr>
        <w:tabs>
          <w:tab w:val="left" w:pos="567"/>
        </w:tabs>
        <w:ind w:right="-2"/>
        <w:rPr>
          <w:del w:id="15045" w:author="AbbVie14" w:date="2025-05-09T10:59:00Z"/>
          <w:sz w:val="22"/>
          <w:szCs w:val="22"/>
        </w:rPr>
      </w:pPr>
    </w:p>
    <w:p w:rsidR="00B654E3" w:rsidRPr="00295E71" w14:paraId="15491EC8" w14:textId="77777777">
      <w:pPr>
        <w:numPr>
          <w:ilvl w:val="12"/>
          <w:numId w:val="0"/>
        </w:numPr>
        <w:ind w:right="-2"/>
        <w:rPr>
          <w:del w:id="15046" w:author="AbbVie14" w:date="2025-05-09T10:59:00Z"/>
          <w:sz w:val="22"/>
          <w:szCs w:val="22"/>
          <w:u w:val="single"/>
        </w:rPr>
      </w:pPr>
      <w:del w:id="15047" w:author="AbbVie14" w:date="2025-05-09T10:59:00Z">
        <w:r w:rsidRPr="00295E71">
          <w:rPr>
            <w:i/>
            <w:sz w:val="22"/>
            <w:szCs w:val="22"/>
          </w:rPr>
          <w:delText xml:space="preserve">Bambini e adolescenti </w:delText>
        </w:r>
      </w:del>
      <w:del w:id="15048" w:author="AbbVie14" w:date="2025-05-09T10:59:00Z">
        <w:r w:rsidRPr="00295E71" w:rsidR="00874583">
          <w:rPr>
            <w:i/>
            <w:sz w:val="22"/>
            <w:szCs w:val="22"/>
          </w:rPr>
          <w:delText>di età compresa tra 4 e 17 anni e con peso compreso tra</w:delText>
        </w:r>
      </w:del>
      <w:del w:id="15049" w:author="AbbVie14" w:date="2025-05-09T10:59:00Z">
        <w:r w:rsidRPr="00295E71">
          <w:rPr>
            <w:i/>
            <w:sz w:val="22"/>
            <w:szCs w:val="22"/>
          </w:rPr>
          <w:delText xml:space="preserve"> 15 kg</w:delText>
        </w:r>
      </w:del>
      <w:del w:id="15050" w:author="AbbVie14" w:date="2025-05-09T10:59:00Z">
        <w:r w:rsidRPr="00295E71" w:rsidR="00874583">
          <w:rPr>
            <w:i/>
            <w:sz w:val="22"/>
            <w:szCs w:val="22"/>
          </w:rPr>
          <w:delText xml:space="preserve"> e</w:delText>
        </w:r>
      </w:del>
      <w:del w:id="15051" w:author="AbbVie14" w:date="2025-05-09T10:59:00Z">
        <w:r w:rsidRPr="00295E71" w:rsidR="000D21D2">
          <w:rPr>
            <w:i/>
            <w:sz w:val="22"/>
            <w:szCs w:val="22"/>
          </w:rPr>
          <w:delText xml:space="preserve"> meno di </w:delText>
        </w:r>
      </w:del>
      <w:del w:id="15052" w:author="AbbVie14" w:date="2025-05-09T10:59:00Z">
        <w:r w:rsidRPr="00295E71">
          <w:rPr>
            <w:i/>
            <w:sz w:val="22"/>
            <w:szCs w:val="22"/>
          </w:rPr>
          <w:delText>30 kg</w:delText>
        </w:r>
      </w:del>
    </w:p>
    <w:p w:rsidR="00B654E3" w:rsidRPr="00295E71" w:rsidP="00FB547E" w14:paraId="312E98A7" w14:textId="77777777">
      <w:pPr>
        <w:numPr>
          <w:ilvl w:val="12"/>
          <w:numId w:val="0"/>
        </w:numPr>
        <w:tabs>
          <w:tab w:val="left" w:pos="567"/>
        </w:tabs>
        <w:ind w:right="-2"/>
        <w:rPr>
          <w:del w:id="15053" w:author="AbbVie14" w:date="2025-05-09T10:59:00Z"/>
          <w:sz w:val="22"/>
          <w:szCs w:val="22"/>
        </w:rPr>
      </w:pPr>
    </w:p>
    <w:p w:rsidR="006224C2" w:rsidRPr="00295E71" w:rsidP="00FB547E" w14:paraId="63A308C5" w14:textId="77777777">
      <w:pPr>
        <w:numPr>
          <w:ilvl w:val="12"/>
          <w:numId w:val="0"/>
        </w:numPr>
        <w:tabs>
          <w:tab w:val="left" w:pos="567"/>
        </w:tabs>
        <w:ind w:right="-2"/>
        <w:rPr>
          <w:del w:id="15054" w:author="AbbVie14" w:date="2025-05-09T10:59:00Z"/>
          <w:sz w:val="22"/>
          <w:szCs w:val="22"/>
        </w:rPr>
      </w:pPr>
      <w:del w:id="15055" w:author="AbbVie14" w:date="2025-05-09T10:59:00Z">
        <w:r w:rsidRPr="00295E71">
          <w:rPr>
            <w:sz w:val="22"/>
            <w:szCs w:val="22"/>
          </w:rPr>
          <w:delText xml:space="preserve">La dose raccomandata di Humira </w:delText>
        </w:r>
      </w:del>
      <w:del w:id="15056" w:author="AbbVie14" w:date="2025-05-09T10:59:00Z">
        <w:r w:rsidRPr="00295E71" w:rsidR="0021530B">
          <w:rPr>
            <w:sz w:val="22"/>
            <w:szCs w:val="22"/>
          </w:rPr>
          <w:delText xml:space="preserve">è una dose iniziale di 20 mg, seguita da una dose di 20 mg la settimana seguente. Successivamente, la dose abituale è di 20 mg a settimane alterne. </w:delText>
        </w:r>
      </w:del>
    </w:p>
    <w:p w:rsidR="0021530B" w:rsidRPr="00295E71" w:rsidP="00FB547E" w14:paraId="00946010" w14:textId="77777777">
      <w:pPr>
        <w:numPr>
          <w:ilvl w:val="12"/>
          <w:numId w:val="0"/>
        </w:numPr>
        <w:tabs>
          <w:tab w:val="left" w:pos="567"/>
        </w:tabs>
        <w:ind w:right="-2"/>
        <w:rPr>
          <w:del w:id="15057" w:author="AbbVie14" w:date="2025-05-09T10:59:00Z"/>
          <w:sz w:val="22"/>
          <w:szCs w:val="22"/>
        </w:rPr>
      </w:pPr>
    </w:p>
    <w:p w:rsidR="0021530B" w:rsidRPr="00295E71" w14:paraId="5735E7E7" w14:textId="77777777">
      <w:pPr>
        <w:numPr>
          <w:ilvl w:val="12"/>
          <w:numId w:val="0"/>
        </w:numPr>
        <w:ind w:right="-2"/>
        <w:rPr>
          <w:del w:id="15058" w:author="AbbVie14" w:date="2025-05-09T10:59:00Z"/>
          <w:sz w:val="22"/>
          <w:szCs w:val="22"/>
          <w:u w:val="single"/>
        </w:rPr>
      </w:pPr>
      <w:del w:id="15059" w:author="AbbVie14" w:date="2025-05-09T10:59:00Z">
        <w:r w:rsidRPr="00295E71">
          <w:rPr>
            <w:i/>
            <w:sz w:val="22"/>
            <w:szCs w:val="22"/>
          </w:rPr>
          <w:delText xml:space="preserve">Bambini e adolescenti </w:delText>
        </w:r>
      </w:del>
      <w:del w:id="15060" w:author="AbbVie14" w:date="2025-05-09T10:59:00Z">
        <w:r w:rsidRPr="00295E71" w:rsidR="00874583">
          <w:rPr>
            <w:i/>
            <w:sz w:val="22"/>
            <w:szCs w:val="22"/>
          </w:rPr>
          <w:delText>di età compresa tra 4 e 17 anni e con peso uguale o superiore a 30 kg</w:delText>
        </w:r>
      </w:del>
    </w:p>
    <w:p w:rsidR="00874583" w:rsidRPr="00295E71" w:rsidP="006038EE" w14:paraId="4A0E7B8F" w14:textId="77777777">
      <w:pPr>
        <w:numPr>
          <w:ilvl w:val="12"/>
          <w:numId w:val="0"/>
        </w:numPr>
        <w:tabs>
          <w:tab w:val="left" w:pos="567"/>
        </w:tabs>
        <w:ind w:right="-2"/>
        <w:rPr>
          <w:del w:id="15061" w:author="AbbVie14" w:date="2025-05-09T10:59:00Z"/>
          <w:sz w:val="22"/>
          <w:szCs w:val="22"/>
        </w:rPr>
      </w:pPr>
    </w:p>
    <w:p w:rsidR="0021530B" w:rsidRPr="00295E71" w:rsidP="006038EE" w14:paraId="28A6FECF" w14:textId="77777777">
      <w:pPr>
        <w:numPr>
          <w:ilvl w:val="12"/>
          <w:numId w:val="0"/>
        </w:numPr>
        <w:tabs>
          <w:tab w:val="left" w:pos="567"/>
        </w:tabs>
        <w:ind w:right="-2"/>
        <w:rPr>
          <w:del w:id="15062" w:author="AbbVie14" w:date="2025-05-09T10:59:00Z"/>
          <w:sz w:val="22"/>
          <w:szCs w:val="22"/>
        </w:rPr>
      </w:pPr>
      <w:del w:id="15063" w:author="AbbVie14" w:date="2025-05-09T10:59:00Z">
        <w:r w:rsidRPr="00295E71">
          <w:rPr>
            <w:sz w:val="22"/>
            <w:szCs w:val="22"/>
          </w:rPr>
          <w:delText>La dose raccomandata di Humira è una dose iniziale di 40 mg, seguita da una dose di 40 mg la settimana seguente. Successivamente, la dose abituale è di 40 mg a settimane alterne.</w:delText>
        </w:r>
      </w:del>
    </w:p>
    <w:p w:rsidR="0021530B" w:rsidRPr="00295E71" w:rsidP="006038EE" w14:paraId="298A0738" w14:textId="77777777">
      <w:pPr>
        <w:numPr>
          <w:ilvl w:val="12"/>
          <w:numId w:val="0"/>
        </w:numPr>
        <w:tabs>
          <w:tab w:val="left" w:pos="567"/>
        </w:tabs>
        <w:ind w:right="-2"/>
        <w:rPr>
          <w:del w:id="15064" w:author="AbbVie14" w:date="2025-05-09T10:59:00Z"/>
          <w:sz w:val="22"/>
          <w:szCs w:val="22"/>
        </w:rPr>
      </w:pPr>
    </w:p>
    <w:p w:rsidR="006224C2" w:rsidRPr="00295E71" w14:paraId="2F43B5C7" w14:textId="77777777">
      <w:pPr>
        <w:numPr>
          <w:ilvl w:val="12"/>
          <w:numId w:val="0"/>
        </w:numPr>
        <w:ind w:right="-2"/>
        <w:rPr>
          <w:del w:id="15065" w:author="AbbVie14" w:date="2025-05-09T10:59:00Z"/>
          <w:sz w:val="22"/>
          <w:szCs w:val="22"/>
          <w:u w:val="single"/>
        </w:rPr>
      </w:pPr>
      <w:del w:id="15066" w:author="AbbVie14" w:date="2025-05-09T10:59:00Z">
        <w:r w:rsidRPr="00295E71">
          <w:rPr>
            <w:sz w:val="22"/>
            <w:szCs w:val="22"/>
            <w:u w:val="single"/>
          </w:rPr>
          <w:delText xml:space="preserve">Adolescenti con idrosadenite suppurativa </w:delText>
        </w:r>
      </w:del>
      <w:del w:id="15067" w:author="AbbVie14" w:date="2025-05-09T10:59:00Z">
        <w:r w:rsidRPr="00295E71" w:rsidR="00874583">
          <w:rPr>
            <w:sz w:val="22"/>
            <w:szCs w:val="22"/>
            <w:u w:val="single"/>
          </w:rPr>
          <w:delText>di età compresa tra 12 e 17 anni</w:delText>
        </w:r>
      </w:del>
      <w:del w:id="15068" w:author="AbbVie14" w:date="2025-05-09T10:59:00Z">
        <w:r w:rsidRPr="00295E71">
          <w:rPr>
            <w:sz w:val="22"/>
            <w:szCs w:val="22"/>
            <w:u w:val="single"/>
          </w:rPr>
          <w:delText xml:space="preserve">, </w:delText>
        </w:r>
      </w:del>
      <w:del w:id="15069" w:author="AbbVie14" w:date="2025-05-09T10:59:00Z">
        <w:r w:rsidRPr="00295E71" w:rsidR="00874583">
          <w:rPr>
            <w:sz w:val="22"/>
            <w:szCs w:val="22"/>
            <w:u w:val="single"/>
          </w:rPr>
          <w:delText xml:space="preserve">con peso uguale o superiore a </w:delText>
        </w:r>
      </w:del>
      <w:del w:id="15070" w:author="AbbVie14" w:date="2025-05-09T10:59:00Z">
        <w:r w:rsidRPr="00295E71" w:rsidR="0021530B">
          <w:rPr>
            <w:sz w:val="22"/>
            <w:szCs w:val="22"/>
            <w:u w:val="single"/>
          </w:rPr>
          <w:delText>30 kg</w:delText>
        </w:r>
      </w:del>
    </w:p>
    <w:p w:rsidR="006224C2" w:rsidRPr="00295E71" w14:paraId="53A1633E" w14:textId="77777777">
      <w:pPr>
        <w:numPr>
          <w:ilvl w:val="12"/>
          <w:numId w:val="0"/>
        </w:numPr>
        <w:ind w:right="-2"/>
        <w:rPr>
          <w:del w:id="15071" w:author="AbbVie14" w:date="2025-05-09T10:59:00Z"/>
          <w:sz w:val="22"/>
          <w:szCs w:val="22"/>
        </w:rPr>
      </w:pPr>
    </w:p>
    <w:p w:rsidR="006224C2" w:rsidRPr="00295E71" w:rsidP="006038EE" w14:paraId="71691417" w14:textId="77777777">
      <w:pPr>
        <w:numPr>
          <w:ilvl w:val="12"/>
          <w:numId w:val="0"/>
        </w:numPr>
        <w:ind w:right="-2"/>
        <w:rPr>
          <w:del w:id="15072" w:author="AbbVie14" w:date="2025-05-09T10:59:00Z"/>
          <w:sz w:val="22"/>
          <w:szCs w:val="22"/>
        </w:rPr>
      </w:pPr>
      <w:del w:id="15073" w:author="AbbVie14" w:date="2025-05-09T10:59:00Z">
        <w:r w:rsidRPr="00295E71">
          <w:rPr>
            <w:sz w:val="22"/>
            <w:szCs w:val="22"/>
          </w:rPr>
          <w:delText>La dose raccomandata di Humira è una dose iniziale di 80 mg (</w:delText>
        </w:r>
      </w:del>
      <w:del w:id="15074" w:author="AbbVie14" w:date="2025-05-09T10:59:00Z">
        <w:r w:rsidRPr="00295E71" w:rsidR="0021530B">
          <w:rPr>
            <w:sz w:val="22"/>
            <w:szCs w:val="22"/>
          </w:rPr>
          <w:delText xml:space="preserve">tramite </w:delText>
        </w:r>
      </w:del>
      <w:del w:id="15075" w:author="AbbVie14" w:date="2025-05-09T10:59:00Z">
        <w:r w:rsidRPr="00295E71">
          <w:rPr>
            <w:sz w:val="22"/>
            <w:szCs w:val="22"/>
          </w:rPr>
          <w:delText xml:space="preserve">due iniezioni </w:delText>
        </w:r>
      </w:del>
      <w:del w:id="15076" w:author="AbbVie14" w:date="2025-05-09T10:59:00Z">
        <w:r w:rsidRPr="00295E71" w:rsidR="00774590">
          <w:rPr>
            <w:sz w:val="22"/>
            <w:szCs w:val="22"/>
          </w:rPr>
          <w:delText xml:space="preserve">da 40 mg </w:delText>
        </w:r>
      </w:del>
      <w:del w:id="15077" w:author="AbbVie14" w:date="2025-05-09T10:59:00Z">
        <w:r w:rsidRPr="00295E71">
          <w:rPr>
            <w:sz w:val="22"/>
            <w:szCs w:val="22"/>
          </w:rPr>
          <w:delText>in un giorno), seguita da 40 mg somministrati a settimane alterne a partire da una settimana dopo la dose iniziale. In caso di risposta inadeguata</w:delText>
        </w:r>
      </w:del>
      <w:del w:id="15078" w:author="AbbVie14" w:date="2025-05-09T10:59:00Z">
        <w:r w:rsidRPr="00295E71" w:rsidR="00774590">
          <w:rPr>
            <w:sz w:val="22"/>
            <w:szCs w:val="22"/>
          </w:rPr>
          <w:delText xml:space="preserve"> a 40 mg di Humira a settimane alterne</w:delText>
        </w:r>
      </w:del>
      <w:del w:id="15079" w:author="AbbVie14" w:date="2025-05-09T10:59:00Z">
        <w:r w:rsidRPr="00295E71">
          <w:rPr>
            <w:sz w:val="22"/>
            <w:szCs w:val="22"/>
          </w:rPr>
          <w:delText xml:space="preserve">, il medico può aumentare </w:delText>
        </w:r>
      </w:del>
      <w:del w:id="15080" w:author="AbbVie14" w:date="2025-05-09T10:59:00Z">
        <w:r w:rsidRPr="00295E71" w:rsidR="00774590">
          <w:rPr>
            <w:sz w:val="22"/>
            <w:szCs w:val="22"/>
          </w:rPr>
          <w:delText>il</w:delText>
        </w:r>
      </w:del>
      <w:del w:id="15081" w:author="AbbVie14" w:date="2025-05-09T10:59:00Z">
        <w:r w:rsidRPr="00295E71">
          <w:rPr>
            <w:sz w:val="22"/>
            <w:szCs w:val="22"/>
          </w:rPr>
          <w:delText xml:space="preserve"> dos</w:delText>
        </w:r>
      </w:del>
      <w:del w:id="15082" w:author="AbbVie14" w:date="2025-05-09T10:59:00Z">
        <w:r w:rsidRPr="00295E71" w:rsidR="00774590">
          <w:rPr>
            <w:sz w:val="22"/>
            <w:szCs w:val="22"/>
          </w:rPr>
          <w:delText>aggio</w:delText>
        </w:r>
      </w:del>
      <w:del w:id="15083" w:author="AbbVie14" w:date="2025-05-09T10:59:00Z">
        <w:r w:rsidRPr="00295E71">
          <w:rPr>
            <w:sz w:val="22"/>
            <w:szCs w:val="22"/>
          </w:rPr>
          <w:delText xml:space="preserve"> a 40 mg ogni settimana</w:delText>
        </w:r>
      </w:del>
      <w:del w:id="15084" w:author="AbbVie14" w:date="2025-05-09T10:59:00Z">
        <w:r w:rsidRPr="00295E71" w:rsidR="00774590">
          <w:rPr>
            <w:sz w:val="22"/>
            <w:szCs w:val="22"/>
          </w:rPr>
          <w:delText xml:space="preserve"> o 80 mg a settimane alterne</w:delText>
        </w:r>
      </w:del>
      <w:del w:id="15085" w:author="AbbVie14" w:date="2025-05-09T10:59:00Z">
        <w:r w:rsidRPr="00295E71">
          <w:rPr>
            <w:sz w:val="22"/>
            <w:szCs w:val="22"/>
          </w:rPr>
          <w:delText>.</w:delText>
        </w:r>
      </w:del>
    </w:p>
    <w:p w:rsidR="006224C2" w:rsidRPr="00295E71" w14:paraId="6734BD00" w14:textId="77777777">
      <w:pPr>
        <w:numPr>
          <w:ilvl w:val="12"/>
          <w:numId w:val="0"/>
        </w:numPr>
        <w:ind w:right="-2"/>
        <w:rPr>
          <w:del w:id="15086" w:author="AbbVie14" w:date="2025-05-09T10:59:00Z"/>
          <w:sz w:val="22"/>
          <w:szCs w:val="22"/>
        </w:rPr>
      </w:pPr>
    </w:p>
    <w:p w:rsidR="006224C2" w:rsidRPr="00295E71" w14:paraId="6D439292" w14:textId="77777777">
      <w:pPr>
        <w:numPr>
          <w:ilvl w:val="12"/>
          <w:numId w:val="0"/>
        </w:numPr>
        <w:ind w:right="-2"/>
        <w:rPr>
          <w:del w:id="15087" w:author="AbbVie14" w:date="2025-05-09T10:59:00Z"/>
          <w:sz w:val="22"/>
          <w:szCs w:val="22"/>
        </w:rPr>
      </w:pPr>
      <w:del w:id="15088" w:author="AbbVie14" w:date="2025-05-09T10:59:00Z">
        <w:r w:rsidRPr="00295E71">
          <w:rPr>
            <w:sz w:val="22"/>
            <w:szCs w:val="22"/>
          </w:rPr>
          <w:delText>Si raccomanda di utilizzare tutti i giorni una soluzione di lavaggio antisettica sulle aree interessate.</w:delText>
        </w:r>
      </w:del>
    </w:p>
    <w:p w:rsidR="006224C2" w:rsidRPr="00295E71" w14:paraId="545AE89E" w14:textId="77777777">
      <w:pPr>
        <w:numPr>
          <w:ilvl w:val="12"/>
          <w:numId w:val="0"/>
        </w:numPr>
        <w:ind w:right="-2"/>
        <w:rPr>
          <w:del w:id="15089" w:author="AbbVie14" w:date="2025-05-09T10:59:00Z"/>
          <w:sz w:val="22"/>
          <w:szCs w:val="22"/>
        </w:rPr>
      </w:pPr>
    </w:p>
    <w:p w:rsidR="003569BA" w:rsidRPr="00295E71" w14:paraId="3E9ADFB9" w14:textId="77777777">
      <w:pPr>
        <w:numPr>
          <w:ilvl w:val="12"/>
          <w:numId w:val="0"/>
        </w:numPr>
        <w:ind w:right="-2"/>
        <w:rPr>
          <w:del w:id="15090" w:author="AbbVie14" w:date="2025-05-09T10:59:00Z"/>
          <w:sz w:val="22"/>
          <w:szCs w:val="22"/>
          <w:u w:val="single"/>
        </w:rPr>
      </w:pPr>
      <w:del w:id="15091" w:author="AbbVie14" w:date="2025-05-09T10:59:00Z">
        <w:r w:rsidRPr="00295E71">
          <w:rPr>
            <w:sz w:val="22"/>
            <w:szCs w:val="22"/>
            <w:u w:val="single"/>
          </w:rPr>
          <w:delText>Bambini e adolescenti con Malattia di Crohn</w:delText>
        </w:r>
      </w:del>
    </w:p>
    <w:p w:rsidR="003569BA" w:rsidRPr="00295E71" w14:paraId="56858C61" w14:textId="77777777">
      <w:pPr>
        <w:numPr>
          <w:ilvl w:val="12"/>
          <w:numId w:val="0"/>
        </w:numPr>
        <w:ind w:right="-2"/>
        <w:rPr>
          <w:del w:id="15092" w:author="AbbVie14" w:date="2025-05-09T10:59:00Z"/>
          <w:sz w:val="22"/>
          <w:szCs w:val="22"/>
          <w:u w:val="single"/>
        </w:rPr>
      </w:pPr>
    </w:p>
    <w:p w:rsidR="003569BA" w:rsidRPr="00295E71" w14:paraId="5C674CB6" w14:textId="77777777">
      <w:pPr>
        <w:numPr>
          <w:ilvl w:val="12"/>
          <w:numId w:val="0"/>
        </w:numPr>
        <w:ind w:right="-2"/>
        <w:rPr>
          <w:del w:id="15093" w:author="AbbVie14" w:date="2025-05-09T10:59:00Z"/>
          <w:sz w:val="22"/>
          <w:szCs w:val="22"/>
          <w:u w:val="single"/>
        </w:rPr>
      </w:pPr>
      <w:del w:id="15094" w:author="AbbVie14" w:date="2025-05-09T10:59:00Z">
        <w:r w:rsidRPr="00295E71">
          <w:rPr>
            <w:i/>
            <w:sz w:val="22"/>
            <w:szCs w:val="22"/>
          </w:rPr>
          <w:delText>Bambini e adolescenti di età compresa tra 6 e 17 anni e con peso inferiore a 40 kg</w:delText>
        </w:r>
      </w:del>
    </w:p>
    <w:p w:rsidR="003569BA" w:rsidRPr="00295E71" w14:paraId="01F6DC67" w14:textId="77777777">
      <w:pPr>
        <w:numPr>
          <w:ilvl w:val="12"/>
          <w:numId w:val="0"/>
        </w:numPr>
        <w:ind w:right="-2"/>
        <w:rPr>
          <w:del w:id="15095" w:author="AbbVie14" w:date="2025-05-09T10:59:00Z"/>
          <w:sz w:val="22"/>
          <w:szCs w:val="22"/>
          <w:u w:val="single"/>
        </w:rPr>
      </w:pPr>
    </w:p>
    <w:p w:rsidR="003569BA" w:rsidRPr="00295E71" w14:paraId="76721FAD" w14:textId="77777777">
      <w:pPr>
        <w:numPr>
          <w:ilvl w:val="12"/>
          <w:numId w:val="0"/>
        </w:numPr>
        <w:ind w:right="-2"/>
        <w:rPr>
          <w:del w:id="15096" w:author="AbbVie14" w:date="2025-05-09T10:59:00Z"/>
          <w:sz w:val="22"/>
          <w:szCs w:val="22"/>
        </w:rPr>
      </w:pPr>
      <w:del w:id="15097" w:author="AbbVie14" w:date="2025-05-09T10:59:00Z">
        <w:r w:rsidRPr="00295E71">
          <w:rPr>
            <w:sz w:val="22"/>
            <w:szCs w:val="22"/>
          </w:rPr>
          <w:delText xml:space="preserve">La dose abituale è </w:delText>
        </w:r>
      </w:del>
      <w:del w:id="15098" w:author="AbbVie14" w:date="2025-05-09T10:59:00Z">
        <w:r w:rsidRPr="00295E71" w:rsidR="0037704C">
          <w:rPr>
            <w:sz w:val="22"/>
            <w:szCs w:val="22"/>
          </w:rPr>
          <w:delText xml:space="preserve">inizialmente di </w:delText>
        </w:r>
      </w:del>
      <w:del w:id="15099" w:author="AbbVie14" w:date="2025-05-09T10:59:00Z">
        <w:r w:rsidRPr="00295E71" w:rsidR="00F14F1E">
          <w:rPr>
            <w:sz w:val="22"/>
            <w:szCs w:val="22"/>
          </w:rPr>
          <w:delText>4</w:delText>
        </w:r>
      </w:del>
      <w:del w:id="15100" w:author="AbbVie14" w:date="2025-05-09T10:59:00Z">
        <w:r w:rsidRPr="00295E71">
          <w:rPr>
            <w:sz w:val="22"/>
            <w:szCs w:val="22"/>
          </w:rPr>
          <w:delText xml:space="preserve">0 mg </w:delText>
        </w:r>
      </w:del>
      <w:del w:id="15101" w:author="AbbVie14" w:date="2025-05-09T10:59:00Z">
        <w:r w:rsidRPr="00295E71" w:rsidR="0037704C">
          <w:rPr>
            <w:sz w:val="22"/>
            <w:szCs w:val="22"/>
          </w:rPr>
          <w:delText xml:space="preserve">seguita da 20 mg dopo due settimane. Nel caso sia necessaria una risposta più rapida, il </w:delText>
        </w:r>
      </w:del>
      <w:del w:id="15102" w:author="AbbVie14" w:date="2025-05-09T10:59:00Z">
        <w:r w:rsidRPr="00295E71" w:rsidR="00F961A2">
          <w:rPr>
            <w:sz w:val="22"/>
            <w:szCs w:val="22"/>
          </w:rPr>
          <w:delText>pediatra</w:delText>
        </w:r>
      </w:del>
      <w:del w:id="15103" w:author="AbbVie14" w:date="2025-05-09T10:59:00Z">
        <w:r w:rsidRPr="00295E71" w:rsidR="0037704C">
          <w:rPr>
            <w:sz w:val="22"/>
            <w:szCs w:val="22"/>
          </w:rPr>
          <w:delText xml:space="preserve"> può prescrivere una dose iniziale di 80 mg (tramite due iniezioni</w:delText>
        </w:r>
      </w:del>
      <w:del w:id="15104" w:author="AbbVie14" w:date="2025-05-09T10:59:00Z">
        <w:r w:rsidRPr="00295E71" w:rsidR="00774590">
          <w:rPr>
            <w:sz w:val="22"/>
            <w:szCs w:val="22"/>
          </w:rPr>
          <w:delText xml:space="preserve"> da 40 mg</w:delText>
        </w:r>
      </w:del>
      <w:del w:id="15105" w:author="AbbVie14" w:date="2025-05-09T10:59:00Z">
        <w:r w:rsidRPr="00295E71" w:rsidR="0037704C">
          <w:rPr>
            <w:sz w:val="22"/>
            <w:szCs w:val="22"/>
          </w:rPr>
          <w:delText xml:space="preserve"> in un giorno) seguita da 40 mg due settimane dopo.</w:delText>
        </w:r>
      </w:del>
    </w:p>
    <w:p w:rsidR="003569BA" w:rsidRPr="00295E71" w14:paraId="13361BE6" w14:textId="77777777">
      <w:pPr>
        <w:numPr>
          <w:ilvl w:val="12"/>
          <w:numId w:val="0"/>
        </w:numPr>
        <w:ind w:right="-2"/>
        <w:rPr>
          <w:del w:id="15106" w:author="AbbVie14" w:date="2025-05-09T10:59:00Z"/>
          <w:sz w:val="22"/>
          <w:szCs w:val="22"/>
        </w:rPr>
      </w:pPr>
    </w:p>
    <w:p w:rsidR="0037704C" w:rsidRPr="00295E71" w14:paraId="1DD90E43" w14:textId="77777777">
      <w:pPr>
        <w:numPr>
          <w:ilvl w:val="12"/>
          <w:numId w:val="0"/>
        </w:numPr>
        <w:ind w:right="-2"/>
        <w:rPr>
          <w:del w:id="15107" w:author="AbbVie14" w:date="2025-05-09T10:59:00Z"/>
          <w:sz w:val="22"/>
          <w:szCs w:val="22"/>
        </w:rPr>
      </w:pPr>
      <w:del w:id="15108" w:author="AbbVie14" w:date="2025-05-09T10:59:00Z">
        <w:r w:rsidRPr="00295E71">
          <w:rPr>
            <w:sz w:val="22"/>
            <w:szCs w:val="22"/>
          </w:rPr>
          <w:delText xml:space="preserve">Successivamente, la dose abituale è di 20 mg a settimane alterne. In </w:delText>
        </w:r>
      </w:del>
      <w:del w:id="15109" w:author="AbbVie14" w:date="2025-05-09T10:59:00Z">
        <w:r w:rsidRPr="00295E71" w:rsidR="001E6FA8">
          <w:rPr>
            <w:sz w:val="22"/>
            <w:szCs w:val="22"/>
          </w:rPr>
          <w:delText>funzione de</w:delText>
        </w:r>
      </w:del>
      <w:del w:id="15110" w:author="AbbVie14" w:date="2025-05-09T10:59:00Z">
        <w:r w:rsidRPr="00295E71">
          <w:rPr>
            <w:sz w:val="22"/>
            <w:szCs w:val="22"/>
          </w:rPr>
          <w:delText xml:space="preserve">lla risposta del bambino, il </w:delText>
        </w:r>
      </w:del>
      <w:del w:id="15111" w:author="AbbVie14" w:date="2025-05-09T10:59:00Z">
        <w:r w:rsidRPr="00295E71" w:rsidR="00F961A2">
          <w:rPr>
            <w:sz w:val="22"/>
            <w:szCs w:val="22"/>
          </w:rPr>
          <w:delText>pediatra</w:delText>
        </w:r>
      </w:del>
      <w:del w:id="15112" w:author="AbbVie14" w:date="2025-05-09T10:59:00Z">
        <w:r w:rsidRPr="00295E71">
          <w:rPr>
            <w:sz w:val="22"/>
            <w:szCs w:val="22"/>
          </w:rPr>
          <w:delText xml:space="preserve"> può aumentare la frequenza della dose a 20 mg ogni settimana.</w:delText>
        </w:r>
      </w:del>
    </w:p>
    <w:p w:rsidR="0037704C" w:rsidRPr="00295E71" w14:paraId="2B04F3A9" w14:textId="77777777">
      <w:pPr>
        <w:numPr>
          <w:ilvl w:val="12"/>
          <w:numId w:val="0"/>
        </w:numPr>
        <w:ind w:right="-2"/>
        <w:rPr>
          <w:del w:id="15113" w:author="AbbVie14" w:date="2025-05-09T10:59:00Z"/>
          <w:sz w:val="22"/>
          <w:szCs w:val="22"/>
        </w:rPr>
      </w:pPr>
    </w:p>
    <w:p w:rsidR="003569BA" w:rsidRPr="00295E71" w14:paraId="780473A2" w14:textId="77777777">
      <w:pPr>
        <w:numPr>
          <w:ilvl w:val="12"/>
          <w:numId w:val="0"/>
        </w:numPr>
        <w:ind w:right="-2"/>
        <w:rPr>
          <w:del w:id="15114" w:author="AbbVie14" w:date="2025-05-09T10:59:00Z"/>
          <w:i/>
          <w:sz w:val="22"/>
          <w:szCs w:val="22"/>
        </w:rPr>
      </w:pPr>
      <w:del w:id="15115" w:author="AbbVie14" w:date="2025-05-09T10:59:00Z">
        <w:r w:rsidRPr="00295E71">
          <w:rPr>
            <w:i/>
            <w:sz w:val="22"/>
            <w:szCs w:val="22"/>
          </w:rPr>
          <w:delText>Bambini e adolescenti di età compresa tra 6 e 17 anni e con peso uguale o superiore a 40 kg</w:delText>
        </w:r>
      </w:del>
    </w:p>
    <w:p w:rsidR="00F14F1E" w:rsidRPr="00295E71" w14:paraId="5DD4F480" w14:textId="77777777">
      <w:pPr>
        <w:numPr>
          <w:ilvl w:val="12"/>
          <w:numId w:val="0"/>
        </w:numPr>
        <w:ind w:right="-2"/>
        <w:rPr>
          <w:del w:id="15116" w:author="AbbVie14" w:date="2025-05-09T10:59:00Z"/>
          <w:sz w:val="22"/>
          <w:szCs w:val="22"/>
          <w:u w:val="single"/>
        </w:rPr>
      </w:pPr>
    </w:p>
    <w:p w:rsidR="00F14F1E" w:rsidRPr="00295E71" w14:paraId="4DB4CD02" w14:textId="77777777">
      <w:pPr>
        <w:numPr>
          <w:ilvl w:val="12"/>
          <w:numId w:val="0"/>
        </w:numPr>
        <w:ind w:right="-2"/>
        <w:rPr>
          <w:del w:id="15117" w:author="AbbVie14" w:date="2025-05-09T10:59:00Z"/>
          <w:sz w:val="22"/>
          <w:szCs w:val="22"/>
        </w:rPr>
      </w:pPr>
      <w:del w:id="15118" w:author="AbbVie14" w:date="2025-05-09T10:59:00Z">
        <w:r w:rsidRPr="00295E71">
          <w:rPr>
            <w:sz w:val="22"/>
            <w:szCs w:val="22"/>
          </w:rPr>
          <w:delText>La dose abituale è inizialmente di 80 mg (tramite due iniezioni</w:delText>
        </w:r>
      </w:del>
      <w:del w:id="15119" w:author="AbbVie14" w:date="2025-05-09T10:59:00Z">
        <w:r w:rsidRPr="00295E71" w:rsidR="00774590">
          <w:rPr>
            <w:sz w:val="22"/>
            <w:szCs w:val="22"/>
          </w:rPr>
          <w:delText xml:space="preserve"> da 40 mg</w:delText>
        </w:r>
      </w:del>
      <w:del w:id="15120" w:author="AbbVie14" w:date="2025-05-09T10:59:00Z">
        <w:r w:rsidRPr="00295E71">
          <w:rPr>
            <w:sz w:val="22"/>
            <w:szCs w:val="22"/>
          </w:rPr>
          <w:delText xml:space="preserve"> in un giorno) seguita da 40 mg dopo due settimane. Nel caso sia necessaria una risposta più rapida, il </w:delText>
        </w:r>
      </w:del>
      <w:del w:id="15121" w:author="AbbVie14" w:date="2025-05-09T10:59:00Z">
        <w:r w:rsidRPr="00295E71" w:rsidR="00F961A2">
          <w:rPr>
            <w:sz w:val="22"/>
            <w:szCs w:val="22"/>
          </w:rPr>
          <w:delText xml:space="preserve">pediatra </w:delText>
        </w:r>
      </w:del>
      <w:del w:id="15122" w:author="AbbVie14" w:date="2025-05-09T10:59:00Z">
        <w:r w:rsidRPr="00295E71">
          <w:rPr>
            <w:sz w:val="22"/>
            <w:szCs w:val="22"/>
          </w:rPr>
          <w:delText>può prescrivere una dose iniziale di 160 mg (tramite quattro iniezioni</w:delText>
        </w:r>
      </w:del>
      <w:del w:id="15123" w:author="AbbVie14" w:date="2025-05-09T10:59:00Z">
        <w:r w:rsidRPr="00295E71" w:rsidR="00774590">
          <w:rPr>
            <w:sz w:val="22"/>
            <w:szCs w:val="22"/>
          </w:rPr>
          <w:delText xml:space="preserve"> da 40 mg</w:delText>
        </w:r>
      </w:del>
      <w:del w:id="15124" w:author="AbbVie14" w:date="2025-05-09T10:59:00Z">
        <w:r w:rsidRPr="00295E71">
          <w:rPr>
            <w:sz w:val="22"/>
            <w:szCs w:val="22"/>
          </w:rPr>
          <w:delText xml:space="preserve"> in un giorno o due iniezioni</w:delText>
        </w:r>
      </w:del>
      <w:del w:id="15125" w:author="AbbVie14" w:date="2025-05-09T10:59:00Z">
        <w:r w:rsidRPr="00295E71" w:rsidR="00774590">
          <w:rPr>
            <w:sz w:val="22"/>
            <w:szCs w:val="22"/>
          </w:rPr>
          <w:delText xml:space="preserve"> da 40 mg</w:delText>
        </w:r>
      </w:del>
      <w:del w:id="15126" w:author="AbbVie14" w:date="2025-05-09T10:59:00Z">
        <w:r w:rsidRPr="00295E71">
          <w:rPr>
            <w:sz w:val="22"/>
            <w:szCs w:val="22"/>
          </w:rPr>
          <w:delText xml:space="preserve"> al giorno per due giorni consecutivi) seguita da 80 mg (tramite due iniezioni</w:delText>
        </w:r>
      </w:del>
      <w:del w:id="15127" w:author="AbbVie14" w:date="2025-05-09T10:59:00Z">
        <w:r w:rsidRPr="00295E71" w:rsidR="00774590">
          <w:rPr>
            <w:sz w:val="22"/>
            <w:szCs w:val="22"/>
          </w:rPr>
          <w:delText xml:space="preserve"> da 40 mg</w:delText>
        </w:r>
      </w:del>
      <w:del w:id="15128" w:author="AbbVie14" w:date="2025-05-09T10:59:00Z">
        <w:r w:rsidRPr="00295E71">
          <w:rPr>
            <w:sz w:val="22"/>
            <w:szCs w:val="22"/>
          </w:rPr>
          <w:delText xml:space="preserve"> in un giorno) due settimane dopo.</w:delText>
        </w:r>
      </w:del>
    </w:p>
    <w:p w:rsidR="00F14F1E" w:rsidRPr="00295E71" w14:paraId="2C299EE5" w14:textId="77777777">
      <w:pPr>
        <w:numPr>
          <w:ilvl w:val="12"/>
          <w:numId w:val="0"/>
        </w:numPr>
        <w:ind w:right="-2"/>
        <w:rPr>
          <w:del w:id="15129" w:author="AbbVie14" w:date="2025-05-09T10:59:00Z"/>
          <w:sz w:val="22"/>
          <w:szCs w:val="22"/>
        </w:rPr>
      </w:pPr>
    </w:p>
    <w:p w:rsidR="00F14F1E" w:rsidRPr="00295E71" w14:paraId="53C17083" w14:textId="77777777">
      <w:pPr>
        <w:numPr>
          <w:ilvl w:val="12"/>
          <w:numId w:val="0"/>
        </w:numPr>
        <w:ind w:right="-2"/>
        <w:rPr>
          <w:del w:id="15130" w:author="AbbVie14" w:date="2025-05-09T10:59:00Z"/>
          <w:sz w:val="22"/>
          <w:szCs w:val="22"/>
        </w:rPr>
      </w:pPr>
      <w:del w:id="15131" w:author="AbbVie14" w:date="2025-05-09T10:59:00Z">
        <w:r w:rsidRPr="00295E71">
          <w:rPr>
            <w:sz w:val="22"/>
            <w:szCs w:val="22"/>
          </w:rPr>
          <w:delText xml:space="preserve">Successivamente, la dose abituale è di 40 mg a settimane alterne. In </w:delText>
        </w:r>
      </w:del>
      <w:del w:id="15132" w:author="AbbVie14" w:date="2025-05-09T10:59:00Z">
        <w:r w:rsidRPr="00295E71" w:rsidR="001E6FA8">
          <w:rPr>
            <w:sz w:val="22"/>
            <w:szCs w:val="22"/>
          </w:rPr>
          <w:delText>funzione della</w:delText>
        </w:r>
      </w:del>
      <w:del w:id="15133" w:author="AbbVie14" w:date="2025-05-09T10:59:00Z">
        <w:r w:rsidRPr="00295E71">
          <w:rPr>
            <w:sz w:val="22"/>
            <w:szCs w:val="22"/>
          </w:rPr>
          <w:delText xml:space="preserve"> risposta del bambino, il </w:delText>
        </w:r>
      </w:del>
      <w:del w:id="15134" w:author="AbbVie14" w:date="2025-05-09T10:59:00Z">
        <w:r w:rsidRPr="00295E71" w:rsidR="00F961A2">
          <w:rPr>
            <w:sz w:val="22"/>
            <w:szCs w:val="22"/>
          </w:rPr>
          <w:delText xml:space="preserve">pediatra </w:delText>
        </w:r>
      </w:del>
      <w:del w:id="15135" w:author="AbbVie14" w:date="2025-05-09T10:59:00Z">
        <w:r w:rsidRPr="00295E71">
          <w:rPr>
            <w:sz w:val="22"/>
            <w:szCs w:val="22"/>
          </w:rPr>
          <w:delText xml:space="preserve">può aumentare </w:delText>
        </w:r>
      </w:del>
      <w:del w:id="15136" w:author="AbbVie14" w:date="2025-05-09T10:59:00Z">
        <w:r w:rsidRPr="00295E71" w:rsidR="00774590">
          <w:rPr>
            <w:sz w:val="22"/>
            <w:szCs w:val="22"/>
          </w:rPr>
          <w:delText>il</w:delText>
        </w:r>
      </w:del>
      <w:del w:id="15137" w:author="AbbVie14" w:date="2025-05-09T10:59:00Z">
        <w:r w:rsidRPr="00295E71">
          <w:rPr>
            <w:sz w:val="22"/>
            <w:szCs w:val="22"/>
          </w:rPr>
          <w:delText xml:space="preserve"> dos</w:delText>
        </w:r>
      </w:del>
      <w:del w:id="15138" w:author="AbbVie14" w:date="2025-05-09T10:59:00Z">
        <w:r w:rsidRPr="00295E71" w:rsidR="00774590">
          <w:rPr>
            <w:sz w:val="22"/>
            <w:szCs w:val="22"/>
          </w:rPr>
          <w:delText>aggio</w:delText>
        </w:r>
      </w:del>
      <w:del w:id="15139" w:author="AbbVie14" w:date="2025-05-09T10:59:00Z">
        <w:r w:rsidRPr="00295E71">
          <w:rPr>
            <w:sz w:val="22"/>
            <w:szCs w:val="22"/>
          </w:rPr>
          <w:delText xml:space="preserve"> a 40 mg ogni settimana</w:delText>
        </w:r>
      </w:del>
      <w:del w:id="15140" w:author="AbbVie14" w:date="2025-05-09T10:59:00Z">
        <w:r w:rsidRPr="00295E71" w:rsidR="00774590">
          <w:rPr>
            <w:sz w:val="22"/>
            <w:szCs w:val="22"/>
          </w:rPr>
          <w:delText xml:space="preserve"> o 80 mg a settimane alterne</w:delText>
        </w:r>
      </w:del>
      <w:del w:id="15141" w:author="AbbVie14" w:date="2025-05-09T10:59:00Z">
        <w:r w:rsidRPr="00295E71">
          <w:rPr>
            <w:sz w:val="22"/>
            <w:szCs w:val="22"/>
          </w:rPr>
          <w:delText>.</w:delText>
        </w:r>
      </w:del>
    </w:p>
    <w:p w:rsidR="00F14F1E" w:rsidRPr="00127E4C" w14:paraId="3F0629B5" w14:textId="77777777">
      <w:pPr>
        <w:numPr>
          <w:ilvl w:val="12"/>
          <w:numId w:val="0"/>
        </w:numPr>
        <w:ind w:right="-2"/>
        <w:rPr>
          <w:del w:id="15142" w:author="AbbVie14" w:date="2025-05-09T10:59:00Z"/>
          <w:sz w:val="22"/>
          <w:szCs w:val="22"/>
          <w:u w:val="single"/>
        </w:rPr>
      </w:pPr>
    </w:p>
    <w:p w:rsidR="00127E4C" w:rsidRPr="00612824" w:rsidP="00612824" w14:paraId="6A7ACF9B" w14:textId="77777777">
      <w:pPr>
        <w:keepNext/>
        <w:numPr>
          <w:ilvl w:val="12"/>
          <w:numId w:val="0"/>
        </w:numPr>
        <w:rPr>
          <w:del w:id="15143" w:author="AbbVie14" w:date="2025-05-09T10:59:00Z"/>
          <w:sz w:val="22"/>
          <w:szCs w:val="22"/>
          <w:u w:val="single"/>
        </w:rPr>
      </w:pPr>
      <w:del w:id="15144" w:author="AbbVie14" w:date="2025-05-09T10:59:00Z">
        <w:r w:rsidRPr="00612824">
          <w:rPr>
            <w:sz w:val="22"/>
            <w:szCs w:val="22"/>
            <w:u w:val="single"/>
          </w:rPr>
          <w:delText>Bambini e adolescenti con colite ulcerosa</w:delText>
        </w:r>
      </w:del>
    </w:p>
    <w:p w:rsidR="00127E4C" w:rsidRPr="00612824" w:rsidP="00612824" w14:paraId="047B58C2" w14:textId="77777777">
      <w:pPr>
        <w:keepNext/>
        <w:numPr>
          <w:ilvl w:val="12"/>
          <w:numId w:val="0"/>
        </w:numPr>
        <w:rPr>
          <w:del w:id="15145" w:author="AbbVie14" w:date="2025-05-09T10:59:00Z"/>
          <w:i/>
          <w:iCs/>
          <w:sz w:val="22"/>
          <w:szCs w:val="22"/>
        </w:rPr>
      </w:pPr>
    </w:p>
    <w:p w:rsidR="00127E4C" w:rsidRPr="00612824" w:rsidP="00612824" w14:paraId="0B08D017" w14:textId="77777777">
      <w:pPr>
        <w:keepNext/>
        <w:numPr>
          <w:ilvl w:val="12"/>
          <w:numId w:val="0"/>
        </w:numPr>
        <w:rPr>
          <w:del w:id="15146" w:author="AbbVie14" w:date="2025-05-09T10:59:00Z"/>
          <w:i/>
          <w:iCs/>
          <w:sz w:val="22"/>
          <w:szCs w:val="22"/>
        </w:rPr>
      </w:pPr>
      <w:del w:id="15147" w:author="AbbVie14" w:date="2025-05-09T10:59:00Z">
        <w:r w:rsidRPr="00612824">
          <w:rPr>
            <w:i/>
            <w:sz w:val="22"/>
            <w:szCs w:val="22"/>
          </w:rPr>
          <w:delText xml:space="preserve">Bambini e adolescenti a partire dai 6 anni di età </w:delText>
        </w:r>
      </w:del>
      <w:del w:id="15148" w:author="AbbVie14" w:date="2025-05-09T10:59:00Z">
        <w:r w:rsidR="00CF20AF">
          <w:rPr>
            <w:i/>
            <w:sz w:val="22"/>
            <w:szCs w:val="22"/>
          </w:rPr>
          <w:delText>e con peso inferiore</w:delText>
        </w:r>
      </w:del>
      <w:del w:id="15149" w:author="AbbVie14" w:date="2025-05-09T10:59:00Z">
        <w:r w:rsidRPr="00612824">
          <w:rPr>
            <w:i/>
            <w:sz w:val="22"/>
            <w:szCs w:val="22"/>
          </w:rPr>
          <w:delText xml:space="preserve"> </w:delText>
        </w:r>
      </w:del>
      <w:del w:id="15150" w:author="AbbVie14" w:date="2025-05-09T10:59:00Z">
        <w:r w:rsidR="00CF20AF">
          <w:rPr>
            <w:i/>
            <w:sz w:val="22"/>
            <w:szCs w:val="22"/>
          </w:rPr>
          <w:delText>a</w:delText>
        </w:r>
      </w:del>
      <w:del w:id="15151" w:author="AbbVie14" w:date="2025-05-09T10:59:00Z">
        <w:r w:rsidRPr="00612824">
          <w:rPr>
            <w:i/>
            <w:sz w:val="22"/>
            <w:szCs w:val="22"/>
          </w:rPr>
          <w:delText xml:space="preserve"> 40 kg</w:delText>
        </w:r>
      </w:del>
    </w:p>
    <w:p w:rsidR="00127E4C" w:rsidRPr="00612824" w:rsidP="00612824" w14:paraId="6C23AC03" w14:textId="77777777">
      <w:pPr>
        <w:keepNext/>
        <w:numPr>
          <w:ilvl w:val="12"/>
          <w:numId w:val="0"/>
        </w:numPr>
        <w:rPr>
          <w:del w:id="15152" w:author="AbbVie14" w:date="2025-05-09T10:59:00Z"/>
          <w:sz w:val="22"/>
          <w:szCs w:val="22"/>
        </w:rPr>
      </w:pPr>
    </w:p>
    <w:p w:rsidR="00127E4C" w:rsidP="00127E4C" w14:paraId="2F8AEEFE" w14:textId="77777777">
      <w:pPr>
        <w:numPr>
          <w:ilvl w:val="12"/>
          <w:numId w:val="0"/>
        </w:numPr>
        <w:ind w:right="-2"/>
        <w:rPr>
          <w:del w:id="15153" w:author="AbbVie14" w:date="2025-05-09T10:59:00Z"/>
          <w:sz w:val="22"/>
          <w:szCs w:val="22"/>
        </w:rPr>
      </w:pPr>
      <w:del w:id="15154" w:author="AbbVie14" w:date="2025-05-09T10:59:00Z">
        <w:r w:rsidRPr="00612824">
          <w:rPr>
            <w:sz w:val="22"/>
            <w:szCs w:val="22"/>
          </w:rPr>
          <w:delText>La dose abituale di Humira è di 80 mg (</w:delText>
        </w:r>
      </w:del>
      <w:del w:id="15155" w:author="AbbVie14" w:date="2025-05-09T10:59:00Z">
        <w:r w:rsidR="00CF20AF">
          <w:rPr>
            <w:sz w:val="22"/>
            <w:szCs w:val="22"/>
          </w:rPr>
          <w:delText xml:space="preserve">tramite </w:delText>
        </w:r>
      </w:del>
      <w:del w:id="15156" w:author="AbbVie14" w:date="2025-05-09T10:59:00Z">
        <w:r w:rsidRPr="00612824">
          <w:rPr>
            <w:sz w:val="22"/>
            <w:szCs w:val="22"/>
          </w:rPr>
          <w:delText>due iniezioni da 40 mg in un giorno) seguita da 40 mg (</w:delText>
        </w:r>
      </w:del>
      <w:del w:id="15157" w:author="AbbVie14" w:date="2025-05-09T10:59:00Z">
        <w:r w:rsidR="00CF20AF">
          <w:rPr>
            <w:sz w:val="22"/>
            <w:szCs w:val="22"/>
          </w:rPr>
          <w:delText xml:space="preserve">tramite </w:delText>
        </w:r>
      </w:del>
      <w:del w:id="15158" w:author="AbbVie14" w:date="2025-05-09T10:59:00Z">
        <w:r w:rsidRPr="00612824">
          <w:rPr>
            <w:sz w:val="22"/>
            <w:szCs w:val="22"/>
          </w:rPr>
          <w:delText xml:space="preserve">una sola iniezione da 40 mg) </w:delText>
        </w:r>
      </w:del>
      <w:del w:id="15159" w:author="AbbVie14" w:date="2025-05-09T10:59:00Z">
        <w:r w:rsidR="00CF20AF">
          <w:rPr>
            <w:sz w:val="22"/>
            <w:szCs w:val="22"/>
          </w:rPr>
          <w:delText xml:space="preserve">dopo </w:delText>
        </w:r>
      </w:del>
      <w:del w:id="15160" w:author="AbbVie14" w:date="2025-05-09T10:59:00Z">
        <w:r w:rsidRPr="00612824">
          <w:rPr>
            <w:sz w:val="22"/>
            <w:szCs w:val="22"/>
          </w:rPr>
          <w:delText xml:space="preserve">due settimane. Successivamente, la dose abituale è di 40 mg </w:delText>
        </w:r>
      </w:del>
      <w:del w:id="15161" w:author="AbbVie14" w:date="2025-05-09T10:59:00Z">
        <w:r w:rsidR="00990A1E">
          <w:rPr>
            <w:sz w:val="22"/>
            <w:szCs w:val="22"/>
          </w:rPr>
          <w:delText>a</w:delText>
        </w:r>
      </w:del>
      <w:del w:id="15162" w:author="AbbVie14" w:date="2025-05-09T10:59:00Z">
        <w:r w:rsidRPr="00612824">
          <w:rPr>
            <w:sz w:val="22"/>
            <w:szCs w:val="22"/>
          </w:rPr>
          <w:delText xml:space="preserve"> settimane</w:delText>
        </w:r>
      </w:del>
      <w:del w:id="15163" w:author="AbbVie14" w:date="2025-05-09T10:59:00Z">
        <w:r w:rsidR="00990A1E">
          <w:rPr>
            <w:sz w:val="22"/>
            <w:szCs w:val="22"/>
          </w:rPr>
          <w:delText xml:space="preserve"> alterne</w:delText>
        </w:r>
      </w:del>
      <w:del w:id="15164" w:author="AbbVie14" w:date="2025-05-09T10:59:00Z">
        <w:r w:rsidRPr="00612824">
          <w:rPr>
            <w:sz w:val="22"/>
            <w:szCs w:val="22"/>
          </w:rPr>
          <w:delText xml:space="preserve">. </w:delText>
        </w:r>
      </w:del>
    </w:p>
    <w:p w:rsidR="007674FE" w:rsidRPr="00612824" w:rsidP="00127E4C" w14:paraId="7FFF6282" w14:textId="77777777">
      <w:pPr>
        <w:numPr>
          <w:ilvl w:val="12"/>
          <w:numId w:val="0"/>
        </w:numPr>
        <w:ind w:right="-2"/>
        <w:rPr>
          <w:del w:id="15165" w:author="AbbVie14" w:date="2025-05-09T10:59:00Z"/>
          <w:sz w:val="22"/>
          <w:szCs w:val="22"/>
        </w:rPr>
      </w:pPr>
    </w:p>
    <w:p w:rsidR="00127E4C" w:rsidRPr="00612824" w:rsidP="00127E4C" w14:paraId="03730613" w14:textId="77777777">
      <w:pPr>
        <w:numPr>
          <w:ilvl w:val="12"/>
          <w:numId w:val="0"/>
        </w:numPr>
        <w:ind w:right="-2"/>
        <w:rPr>
          <w:del w:id="15166" w:author="AbbVie14" w:date="2025-05-09T10:59:00Z"/>
          <w:sz w:val="22"/>
          <w:szCs w:val="22"/>
        </w:rPr>
      </w:pPr>
      <w:del w:id="15167" w:author="AbbVie14" w:date="2025-05-09T10:59:00Z">
        <w:r w:rsidRPr="00612824">
          <w:rPr>
            <w:sz w:val="22"/>
            <w:szCs w:val="22"/>
          </w:rPr>
          <w:delText xml:space="preserve">I pazienti che compiono 18 anni mentre assumono 40 mg </w:delText>
        </w:r>
      </w:del>
      <w:del w:id="15168" w:author="AbbVie14" w:date="2025-05-09T10:59:00Z">
        <w:r w:rsidR="00990A1E">
          <w:rPr>
            <w:sz w:val="22"/>
            <w:szCs w:val="22"/>
          </w:rPr>
          <w:delText>a settimane alterne</w:delText>
        </w:r>
      </w:del>
      <w:del w:id="15169" w:author="AbbVie14" w:date="2025-05-09T10:59:00Z">
        <w:r w:rsidRPr="00612824">
          <w:rPr>
            <w:sz w:val="22"/>
            <w:szCs w:val="22"/>
          </w:rPr>
          <w:delText xml:space="preserve"> devono continuare la dose prescritta.</w:delText>
        </w:r>
      </w:del>
    </w:p>
    <w:p w:rsidR="00127E4C" w:rsidRPr="00612824" w:rsidP="00127E4C" w14:paraId="6EBCA94B" w14:textId="77777777">
      <w:pPr>
        <w:numPr>
          <w:ilvl w:val="12"/>
          <w:numId w:val="0"/>
        </w:numPr>
        <w:ind w:right="-2"/>
        <w:rPr>
          <w:del w:id="15170" w:author="AbbVie14" w:date="2025-05-09T10:59:00Z"/>
          <w:i/>
          <w:iCs/>
          <w:sz w:val="22"/>
          <w:szCs w:val="22"/>
        </w:rPr>
      </w:pPr>
    </w:p>
    <w:p w:rsidR="00127E4C" w:rsidRPr="00612824" w:rsidP="00127E4C" w14:paraId="56B78A65" w14:textId="77777777">
      <w:pPr>
        <w:numPr>
          <w:ilvl w:val="12"/>
          <w:numId w:val="0"/>
        </w:numPr>
        <w:ind w:right="-2"/>
        <w:rPr>
          <w:del w:id="15171" w:author="AbbVie14" w:date="2025-05-09T10:59:00Z"/>
          <w:i/>
          <w:iCs/>
          <w:sz w:val="22"/>
          <w:szCs w:val="22"/>
        </w:rPr>
      </w:pPr>
      <w:del w:id="15172" w:author="AbbVie14" w:date="2025-05-09T10:59:00Z">
        <w:r w:rsidRPr="00612824">
          <w:rPr>
            <w:i/>
            <w:sz w:val="22"/>
            <w:szCs w:val="22"/>
          </w:rPr>
          <w:delText xml:space="preserve">Bambini e adolescenti a partire dai 6 anni di età </w:delText>
        </w:r>
      </w:del>
      <w:del w:id="15173" w:author="AbbVie14" w:date="2025-05-09T10:59:00Z">
        <w:r w:rsidRPr="00295E71" w:rsidR="00990A1E">
          <w:rPr>
            <w:i/>
            <w:sz w:val="22"/>
            <w:szCs w:val="22"/>
          </w:rPr>
          <w:delText xml:space="preserve">e con peso uguale o superiore a </w:delText>
        </w:r>
      </w:del>
      <w:del w:id="15174" w:author="AbbVie14" w:date="2025-05-09T10:59:00Z">
        <w:r w:rsidRPr="00612824">
          <w:rPr>
            <w:i/>
            <w:sz w:val="22"/>
            <w:szCs w:val="22"/>
          </w:rPr>
          <w:delText>40 kg</w:delText>
        </w:r>
      </w:del>
    </w:p>
    <w:p w:rsidR="00127E4C" w:rsidRPr="00612824" w:rsidP="00127E4C" w14:paraId="5A45311D" w14:textId="77777777">
      <w:pPr>
        <w:numPr>
          <w:ilvl w:val="12"/>
          <w:numId w:val="0"/>
        </w:numPr>
        <w:ind w:right="-2"/>
        <w:rPr>
          <w:del w:id="15175" w:author="AbbVie14" w:date="2025-05-09T10:59:00Z"/>
          <w:sz w:val="22"/>
          <w:szCs w:val="22"/>
        </w:rPr>
      </w:pPr>
    </w:p>
    <w:p w:rsidR="00127E4C" w:rsidP="00127E4C" w14:paraId="2B79F902" w14:textId="77777777">
      <w:pPr>
        <w:numPr>
          <w:ilvl w:val="12"/>
          <w:numId w:val="0"/>
        </w:numPr>
        <w:ind w:right="-2"/>
        <w:rPr>
          <w:del w:id="15176" w:author="AbbVie14" w:date="2025-05-09T10:59:00Z"/>
          <w:sz w:val="22"/>
          <w:szCs w:val="22"/>
        </w:rPr>
      </w:pPr>
      <w:del w:id="15177" w:author="AbbVie14" w:date="2025-05-09T10:59:00Z">
        <w:r w:rsidRPr="00612824">
          <w:rPr>
            <w:sz w:val="22"/>
            <w:szCs w:val="22"/>
          </w:rPr>
          <w:delText>La dose abituale di Humira è di 160 mg (</w:delText>
        </w:r>
      </w:del>
      <w:del w:id="15178" w:author="AbbVie14" w:date="2025-05-09T10:59:00Z">
        <w:r w:rsidR="00990A1E">
          <w:rPr>
            <w:sz w:val="22"/>
            <w:szCs w:val="22"/>
          </w:rPr>
          <w:delText xml:space="preserve">tramite </w:delText>
        </w:r>
      </w:del>
      <w:del w:id="15179" w:author="AbbVie14" w:date="2025-05-09T10:59:00Z">
        <w:r w:rsidRPr="00612824">
          <w:rPr>
            <w:sz w:val="22"/>
            <w:szCs w:val="22"/>
          </w:rPr>
          <w:delText>quattro iniezioni da 40 mg in un giorno o due iniezioni da 40 mg al giorno per due giorni consecutivi) seguita da 80 mg (</w:delText>
        </w:r>
      </w:del>
      <w:del w:id="15180" w:author="AbbVie14" w:date="2025-05-09T10:59:00Z">
        <w:r w:rsidR="00990A1E">
          <w:rPr>
            <w:sz w:val="22"/>
            <w:szCs w:val="22"/>
          </w:rPr>
          <w:delText xml:space="preserve">tramite </w:delText>
        </w:r>
      </w:del>
      <w:del w:id="15181" w:author="AbbVie14" w:date="2025-05-09T10:59:00Z">
        <w:r w:rsidRPr="00612824">
          <w:rPr>
            <w:sz w:val="22"/>
            <w:szCs w:val="22"/>
          </w:rPr>
          <w:delText xml:space="preserve">due iniezioni da 40 mg in un giorno) </w:delText>
        </w:r>
      </w:del>
      <w:del w:id="15182" w:author="AbbVie14" w:date="2025-05-09T10:59:00Z">
        <w:r w:rsidR="00990A1E">
          <w:rPr>
            <w:sz w:val="22"/>
            <w:szCs w:val="22"/>
          </w:rPr>
          <w:delText xml:space="preserve">dopo </w:delText>
        </w:r>
      </w:del>
      <w:del w:id="15183" w:author="AbbVie14" w:date="2025-05-09T10:59:00Z">
        <w:r w:rsidRPr="00612824">
          <w:rPr>
            <w:sz w:val="22"/>
            <w:szCs w:val="22"/>
          </w:rPr>
          <w:delText xml:space="preserve">due settimane. Successivamente la dose abituale è di 80 mg </w:delText>
        </w:r>
      </w:del>
      <w:del w:id="15184" w:author="AbbVie14" w:date="2025-05-09T10:59:00Z">
        <w:r w:rsidR="00990A1E">
          <w:rPr>
            <w:sz w:val="22"/>
            <w:szCs w:val="22"/>
          </w:rPr>
          <w:delText>a settima</w:delText>
        </w:r>
      </w:del>
      <w:del w:id="15185" w:author="AbbVie14" w:date="2025-05-09T10:59:00Z">
        <w:r w:rsidR="0002677C">
          <w:rPr>
            <w:sz w:val="22"/>
            <w:szCs w:val="22"/>
          </w:rPr>
          <w:delText>n</w:delText>
        </w:r>
      </w:del>
      <w:del w:id="15186" w:author="AbbVie14" w:date="2025-05-09T10:59:00Z">
        <w:r w:rsidR="00990A1E">
          <w:rPr>
            <w:sz w:val="22"/>
            <w:szCs w:val="22"/>
          </w:rPr>
          <w:delText>e alterne</w:delText>
        </w:r>
      </w:del>
      <w:del w:id="15187" w:author="AbbVie14" w:date="2025-05-09T10:59:00Z">
        <w:r w:rsidRPr="00612824">
          <w:rPr>
            <w:sz w:val="22"/>
            <w:szCs w:val="22"/>
          </w:rPr>
          <w:delText xml:space="preserve">. </w:delText>
        </w:r>
      </w:del>
    </w:p>
    <w:p w:rsidR="007674FE" w:rsidRPr="00612824" w:rsidP="00127E4C" w14:paraId="0152828B" w14:textId="77777777">
      <w:pPr>
        <w:numPr>
          <w:ilvl w:val="12"/>
          <w:numId w:val="0"/>
        </w:numPr>
        <w:ind w:right="-2"/>
        <w:rPr>
          <w:del w:id="15188" w:author="AbbVie14" w:date="2025-05-09T10:59:00Z"/>
          <w:sz w:val="22"/>
          <w:szCs w:val="22"/>
        </w:rPr>
      </w:pPr>
    </w:p>
    <w:p w:rsidR="00127E4C" w:rsidRPr="00612824" w:rsidP="00127E4C" w14:paraId="5566C68B" w14:textId="77777777">
      <w:pPr>
        <w:numPr>
          <w:ilvl w:val="12"/>
          <w:numId w:val="0"/>
        </w:numPr>
        <w:ind w:right="-2"/>
        <w:rPr>
          <w:del w:id="15189" w:author="AbbVie14" w:date="2025-05-09T10:59:00Z"/>
          <w:sz w:val="22"/>
          <w:szCs w:val="22"/>
        </w:rPr>
      </w:pPr>
      <w:del w:id="15190" w:author="AbbVie14" w:date="2025-05-09T10:59:00Z">
        <w:r w:rsidRPr="00612824">
          <w:rPr>
            <w:sz w:val="22"/>
            <w:szCs w:val="22"/>
          </w:rPr>
          <w:delText>I pazienti che comp</w:delText>
        </w:r>
      </w:del>
      <w:del w:id="15191" w:author="AbbVie14" w:date="2025-05-09T10:59:00Z">
        <w:r w:rsidRPr="000163E8" w:rsidR="000163E8">
          <w:rPr>
            <w:sz w:val="22"/>
            <w:szCs w:val="22"/>
          </w:rPr>
          <w:delText>iono 18 anni mentre assumono 80 </w:delText>
        </w:r>
      </w:del>
      <w:del w:id="15192" w:author="AbbVie14" w:date="2025-05-09T10:59:00Z">
        <w:r w:rsidRPr="00612824">
          <w:rPr>
            <w:sz w:val="22"/>
            <w:szCs w:val="22"/>
          </w:rPr>
          <w:delText xml:space="preserve">mg </w:delText>
        </w:r>
      </w:del>
      <w:del w:id="15193" w:author="AbbVie14" w:date="2025-05-09T10:59:00Z">
        <w:r w:rsidR="00990A1E">
          <w:rPr>
            <w:sz w:val="22"/>
            <w:szCs w:val="22"/>
          </w:rPr>
          <w:delText xml:space="preserve">a </w:delText>
        </w:r>
      </w:del>
      <w:del w:id="15194" w:author="AbbVie14" w:date="2025-05-09T10:59:00Z">
        <w:r w:rsidRPr="00612824">
          <w:rPr>
            <w:sz w:val="22"/>
            <w:szCs w:val="22"/>
          </w:rPr>
          <w:delText>settimane</w:delText>
        </w:r>
      </w:del>
      <w:del w:id="15195" w:author="AbbVie14" w:date="2025-05-09T10:59:00Z">
        <w:r w:rsidR="00990A1E">
          <w:rPr>
            <w:sz w:val="22"/>
            <w:szCs w:val="22"/>
          </w:rPr>
          <w:delText xml:space="preserve"> alterne</w:delText>
        </w:r>
      </w:del>
      <w:del w:id="15196" w:author="AbbVie14" w:date="2025-05-09T10:59:00Z">
        <w:r w:rsidRPr="00612824">
          <w:rPr>
            <w:sz w:val="22"/>
            <w:szCs w:val="22"/>
          </w:rPr>
          <w:delText xml:space="preserve"> devono continuare la dose prescritta.</w:delText>
        </w:r>
      </w:del>
    </w:p>
    <w:p w:rsidR="00127E4C" w:rsidP="00F57FE5" w14:paraId="62DB973D" w14:textId="77777777">
      <w:pPr>
        <w:keepNext/>
        <w:keepLines/>
        <w:numPr>
          <w:ilvl w:val="12"/>
          <w:numId w:val="0"/>
        </w:numPr>
        <w:rPr>
          <w:del w:id="15197" w:author="AbbVie14" w:date="2025-05-09T10:59:00Z"/>
          <w:sz w:val="22"/>
          <w:szCs w:val="22"/>
          <w:u w:val="single"/>
        </w:rPr>
      </w:pPr>
    </w:p>
    <w:p w:rsidR="006224C2" w:rsidRPr="00295E71" w:rsidP="00F57FE5" w14:paraId="1D45F52D" w14:textId="77777777">
      <w:pPr>
        <w:keepNext/>
        <w:keepLines/>
        <w:numPr>
          <w:ilvl w:val="12"/>
          <w:numId w:val="0"/>
        </w:numPr>
        <w:rPr>
          <w:del w:id="15198" w:author="AbbVie14" w:date="2025-05-09T10:59:00Z"/>
          <w:sz w:val="22"/>
          <w:szCs w:val="22"/>
          <w:u w:val="single"/>
        </w:rPr>
      </w:pPr>
      <w:del w:id="15199" w:author="AbbVie14" w:date="2025-05-09T10:59:00Z">
        <w:r w:rsidRPr="00295E71">
          <w:rPr>
            <w:sz w:val="22"/>
            <w:szCs w:val="22"/>
            <w:u w:val="single"/>
          </w:rPr>
          <w:delText xml:space="preserve">Bambini </w:delText>
        </w:r>
      </w:del>
      <w:del w:id="15200" w:author="AbbVie14" w:date="2025-05-09T10:59:00Z">
        <w:r w:rsidRPr="00295E71" w:rsidR="00EB5EA6">
          <w:rPr>
            <w:sz w:val="22"/>
            <w:szCs w:val="22"/>
            <w:u w:val="single"/>
          </w:rPr>
          <w:delText xml:space="preserve">e adolescenti </w:delText>
        </w:r>
      </w:del>
      <w:del w:id="15201" w:author="AbbVie14" w:date="2025-05-09T10:59:00Z">
        <w:r w:rsidRPr="00295E71" w:rsidR="005B5D34">
          <w:rPr>
            <w:sz w:val="22"/>
            <w:szCs w:val="22"/>
            <w:u w:val="single"/>
          </w:rPr>
          <w:delText>con</w:delText>
        </w:r>
      </w:del>
      <w:del w:id="15202" w:author="AbbVie14" w:date="2025-05-09T10:59:00Z">
        <w:r w:rsidRPr="00295E71">
          <w:rPr>
            <w:sz w:val="22"/>
            <w:szCs w:val="22"/>
            <w:u w:val="single"/>
          </w:rPr>
          <w:delText xml:space="preserve"> uveite cronica non infettiva </w:delText>
        </w:r>
      </w:del>
      <w:del w:id="15203" w:author="AbbVie14" w:date="2025-05-09T10:59:00Z">
        <w:r w:rsidRPr="00295E71" w:rsidR="00255306">
          <w:rPr>
            <w:sz w:val="22"/>
            <w:szCs w:val="22"/>
            <w:u w:val="single"/>
          </w:rPr>
          <w:delText>a partire da 2 anni di età</w:delText>
        </w:r>
      </w:del>
    </w:p>
    <w:p w:rsidR="006224C2" w:rsidRPr="00295E71" w:rsidP="00F57FE5" w14:paraId="1FDB760C" w14:textId="77777777">
      <w:pPr>
        <w:keepNext/>
        <w:keepLines/>
        <w:numPr>
          <w:ilvl w:val="12"/>
          <w:numId w:val="0"/>
        </w:numPr>
        <w:rPr>
          <w:del w:id="15204" w:author="AbbVie14" w:date="2025-05-09T10:59:00Z"/>
          <w:sz w:val="22"/>
          <w:szCs w:val="22"/>
          <w:u w:val="single"/>
        </w:rPr>
      </w:pPr>
    </w:p>
    <w:p w:rsidR="006224C2" w:rsidRPr="00295E71" w:rsidP="00F57FE5" w14:paraId="414C74C3" w14:textId="77777777">
      <w:pPr>
        <w:keepNext/>
        <w:keepLines/>
        <w:numPr>
          <w:ilvl w:val="12"/>
          <w:numId w:val="0"/>
        </w:numPr>
        <w:rPr>
          <w:del w:id="15205" w:author="AbbVie14" w:date="2025-05-09T10:59:00Z"/>
          <w:i/>
          <w:sz w:val="22"/>
          <w:szCs w:val="22"/>
        </w:rPr>
      </w:pPr>
      <w:del w:id="15206" w:author="AbbVie14" w:date="2025-05-09T10:59:00Z">
        <w:r w:rsidRPr="00295E71">
          <w:rPr>
            <w:i/>
            <w:sz w:val="22"/>
            <w:szCs w:val="22"/>
          </w:rPr>
          <w:delText xml:space="preserve">Bambini </w:delText>
        </w:r>
      </w:del>
      <w:del w:id="15207" w:author="AbbVie14" w:date="2025-05-09T10:59:00Z">
        <w:r w:rsidRPr="00295E71" w:rsidR="005845B4">
          <w:rPr>
            <w:i/>
            <w:sz w:val="22"/>
            <w:szCs w:val="22"/>
          </w:rPr>
          <w:delText xml:space="preserve">e adolescenti  </w:delText>
        </w:r>
      </w:del>
      <w:del w:id="15208" w:author="AbbVie14" w:date="2025-05-09T10:59:00Z">
        <w:r w:rsidRPr="00295E71" w:rsidR="00255306">
          <w:rPr>
            <w:i/>
            <w:sz w:val="22"/>
            <w:szCs w:val="22"/>
          </w:rPr>
          <w:delText>a partire da</w:delText>
        </w:r>
      </w:del>
      <w:del w:id="15209" w:author="AbbVie14" w:date="2025-05-09T10:59:00Z">
        <w:r w:rsidRPr="00295E71" w:rsidR="005845B4">
          <w:rPr>
            <w:i/>
            <w:sz w:val="22"/>
            <w:szCs w:val="22"/>
          </w:rPr>
          <w:delText xml:space="preserve"> 2 ann</w:delText>
        </w:r>
      </w:del>
      <w:del w:id="15210" w:author="AbbVie14" w:date="2025-05-09T10:59:00Z">
        <w:r w:rsidRPr="00295E71" w:rsidR="00255306">
          <w:rPr>
            <w:i/>
            <w:sz w:val="22"/>
            <w:szCs w:val="22"/>
          </w:rPr>
          <w:delText>i di età</w:delText>
        </w:r>
      </w:del>
      <w:del w:id="15211" w:author="AbbVie14" w:date="2025-05-09T10:59:00Z">
        <w:r w:rsidRPr="00295E71" w:rsidR="005845B4">
          <w:rPr>
            <w:i/>
            <w:sz w:val="22"/>
            <w:szCs w:val="22"/>
          </w:rPr>
          <w:delText xml:space="preserve">  e con</w:delText>
        </w:r>
      </w:del>
      <w:del w:id="15212" w:author="AbbVie14" w:date="2025-05-09T10:59:00Z">
        <w:r w:rsidRPr="00295E71" w:rsidR="003569BA">
          <w:rPr>
            <w:i/>
            <w:sz w:val="22"/>
            <w:szCs w:val="22"/>
          </w:rPr>
          <w:delText xml:space="preserve"> peso inferiore a </w:delText>
        </w:r>
      </w:del>
      <w:del w:id="15213" w:author="AbbVie14" w:date="2025-05-09T10:59:00Z">
        <w:r w:rsidRPr="00295E71">
          <w:rPr>
            <w:i/>
            <w:sz w:val="22"/>
            <w:szCs w:val="22"/>
          </w:rPr>
          <w:delText>30 kg</w:delText>
        </w:r>
      </w:del>
    </w:p>
    <w:p w:rsidR="006224C2" w:rsidRPr="00295E71" w:rsidP="00F57FE5" w14:paraId="2D2844D7" w14:textId="77777777">
      <w:pPr>
        <w:keepNext/>
        <w:keepLines/>
        <w:numPr>
          <w:ilvl w:val="12"/>
          <w:numId w:val="0"/>
        </w:numPr>
        <w:rPr>
          <w:del w:id="15214" w:author="AbbVie14" w:date="2025-05-09T10:59:00Z"/>
          <w:sz w:val="22"/>
          <w:szCs w:val="22"/>
        </w:rPr>
      </w:pPr>
    </w:p>
    <w:p w:rsidR="006224C2" w:rsidRPr="00295E71" w:rsidP="00F57FE5" w14:paraId="7CE5CA70" w14:textId="77777777">
      <w:pPr>
        <w:keepNext/>
        <w:keepLines/>
        <w:numPr>
          <w:ilvl w:val="12"/>
          <w:numId w:val="0"/>
        </w:numPr>
        <w:rPr>
          <w:del w:id="15215" w:author="AbbVie14" w:date="2025-05-09T10:59:00Z"/>
          <w:sz w:val="22"/>
          <w:szCs w:val="22"/>
        </w:rPr>
      </w:pPr>
      <w:del w:id="15216" w:author="AbbVie14" w:date="2025-05-09T10:59:00Z">
        <w:r w:rsidRPr="00295E71">
          <w:rPr>
            <w:sz w:val="22"/>
            <w:szCs w:val="22"/>
          </w:rPr>
          <w:delText>La dose abituale di Humira è di 20 mg somministrati a settimane alterne con metotressato.</w:delText>
        </w:r>
      </w:del>
    </w:p>
    <w:p w:rsidR="006224C2" w:rsidRPr="00295E71" w14:paraId="16941ED4" w14:textId="77777777">
      <w:pPr>
        <w:numPr>
          <w:ilvl w:val="12"/>
          <w:numId w:val="0"/>
        </w:numPr>
        <w:ind w:right="-2"/>
        <w:rPr>
          <w:del w:id="15217" w:author="AbbVie14" w:date="2025-05-09T10:59:00Z"/>
          <w:sz w:val="22"/>
          <w:szCs w:val="22"/>
        </w:rPr>
      </w:pPr>
    </w:p>
    <w:p w:rsidR="006224C2" w:rsidRPr="00295E71" w14:paraId="4B6F7379" w14:textId="77777777">
      <w:pPr>
        <w:numPr>
          <w:ilvl w:val="12"/>
          <w:numId w:val="0"/>
        </w:numPr>
        <w:ind w:right="-2"/>
        <w:rPr>
          <w:del w:id="15218" w:author="AbbVie14" w:date="2025-05-09T10:59:00Z"/>
          <w:sz w:val="22"/>
          <w:szCs w:val="22"/>
        </w:rPr>
      </w:pPr>
      <w:del w:id="15219" w:author="AbbVie14" w:date="2025-05-09T10:59:00Z">
        <w:r w:rsidRPr="00295E71">
          <w:rPr>
            <w:sz w:val="22"/>
            <w:szCs w:val="22"/>
          </w:rPr>
          <w:delText xml:space="preserve">Il </w:delText>
        </w:r>
      </w:del>
      <w:del w:id="15220" w:author="AbbVie14" w:date="2025-05-09T10:59:00Z">
        <w:r w:rsidRPr="00295E71" w:rsidR="00F961A2">
          <w:rPr>
            <w:sz w:val="22"/>
            <w:szCs w:val="22"/>
          </w:rPr>
          <w:delText xml:space="preserve">pediatra </w:delText>
        </w:r>
      </w:del>
      <w:del w:id="15221" w:author="AbbVie14" w:date="2025-05-09T10:59:00Z">
        <w:r w:rsidRPr="00295E71">
          <w:rPr>
            <w:sz w:val="22"/>
            <w:szCs w:val="22"/>
          </w:rPr>
          <w:delText>potrebbe prescrivere anche una dose iniziale da 40 mg che potrebbe essere somministrata una settimana prima dell’inizio della dose abituale.</w:delText>
        </w:r>
      </w:del>
    </w:p>
    <w:p w:rsidR="006224C2" w:rsidRPr="00295E71" w14:paraId="0DADB53D" w14:textId="77777777">
      <w:pPr>
        <w:numPr>
          <w:ilvl w:val="12"/>
          <w:numId w:val="0"/>
        </w:numPr>
        <w:ind w:right="-2"/>
        <w:rPr>
          <w:del w:id="15222" w:author="AbbVie14" w:date="2025-05-09T10:59:00Z"/>
          <w:sz w:val="22"/>
          <w:szCs w:val="22"/>
        </w:rPr>
      </w:pPr>
    </w:p>
    <w:p w:rsidR="006224C2" w:rsidRPr="00295E71" w14:paraId="5C0E9530" w14:textId="77777777">
      <w:pPr>
        <w:numPr>
          <w:ilvl w:val="12"/>
          <w:numId w:val="0"/>
        </w:numPr>
        <w:ind w:right="-2"/>
        <w:rPr>
          <w:del w:id="15223" w:author="AbbVie14" w:date="2025-05-09T10:59:00Z"/>
          <w:i/>
          <w:sz w:val="22"/>
          <w:szCs w:val="22"/>
        </w:rPr>
      </w:pPr>
      <w:del w:id="15224" w:author="AbbVie14" w:date="2025-05-09T10:59:00Z">
        <w:r w:rsidRPr="00295E71">
          <w:rPr>
            <w:i/>
            <w:sz w:val="22"/>
            <w:szCs w:val="22"/>
          </w:rPr>
          <w:delText xml:space="preserve">Bambini e adolescenti </w:delText>
        </w:r>
      </w:del>
      <w:del w:id="15225" w:author="AbbVie14" w:date="2025-05-09T10:59:00Z">
        <w:r w:rsidRPr="00295E71" w:rsidR="00255306">
          <w:rPr>
            <w:i/>
            <w:sz w:val="22"/>
            <w:szCs w:val="22"/>
          </w:rPr>
          <w:delText xml:space="preserve">a partire da </w:delText>
        </w:r>
      </w:del>
      <w:del w:id="15226" w:author="AbbVie14" w:date="2025-05-09T10:59:00Z">
        <w:r w:rsidRPr="00295E71">
          <w:rPr>
            <w:i/>
            <w:sz w:val="22"/>
            <w:szCs w:val="22"/>
          </w:rPr>
          <w:delText>2 anni</w:delText>
        </w:r>
      </w:del>
      <w:del w:id="15227" w:author="AbbVie14" w:date="2025-05-09T10:59:00Z">
        <w:r w:rsidRPr="00295E71" w:rsidR="00255306">
          <w:rPr>
            <w:i/>
            <w:sz w:val="22"/>
            <w:szCs w:val="22"/>
          </w:rPr>
          <w:delText xml:space="preserve"> di età</w:delText>
        </w:r>
      </w:del>
      <w:del w:id="15228" w:author="AbbVie14" w:date="2025-05-09T10:59:00Z">
        <w:r w:rsidRPr="00295E71">
          <w:rPr>
            <w:i/>
            <w:sz w:val="22"/>
            <w:szCs w:val="22"/>
          </w:rPr>
          <w:delText xml:space="preserve">  e con peso uguale o superiore a 30 kg</w:delText>
        </w:r>
      </w:del>
    </w:p>
    <w:p w:rsidR="006224C2" w:rsidRPr="00295E71" w14:paraId="367E3CD6" w14:textId="77777777">
      <w:pPr>
        <w:numPr>
          <w:ilvl w:val="12"/>
          <w:numId w:val="0"/>
        </w:numPr>
        <w:ind w:right="-2"/>
        <w:rPr>
          <w:del w:id="15229" w:author="AbbVie14" w:date="2025-05-09T10:59:00Z"/>
          <w:sz w:val="22"/>
          <w:szCs w:val="22"/>
        </w:rPr>
      </w:pPr>
    </w:p>
    <w:p w:rsidR="006224C2" w:rsidRPr="00295E71" w14:paraId="23F0B4E3" w14:textId="77777777">
      <w:pPr>
        <w:numPr>
          <w:ilvl w:val="12"/>
          <w:numId w:val="0"/>
        </w:numPr>
        <w:ind w:right="-2"/>
        <w:rPr>
          <w:del w:id="15230" w:author="AbbVie14" w:date="2025-05-09T10:59:00Z"/>
          <w:sz w:val="22"/>
          <w:szCs w:val="22"/>
        </w:rPr>
      </w:pPr>
      <w:del w:id="15231" w:author="AbbVie14" w:date="2025-05-09T10:59:00Z">
        <w:r w:rsidRPr="00295E71">
          <w:rPr>
            <w:sz w:val="22"/>
            <w:szCs w:val="22"/>
          </w:rPr>
          <w:delText>La dose abituale di Humira è di 40 mg somministrati a settimane alterne con metotressato.</w:delText>
        </w:r>
      </w:del>
    </w:p>
    <w:p w:rsidR="006224C2" w:rsidRPr="00295E71" w14:paraId="64582574" w14:textId="77777777">
      <w:pPr>
        <w:numPr>
          <w:ilvl w:val="12"/>
          <w:numId w:val="0"/>
        </w:numPr>
        <w:ind w:right="-2"/>
        <w:rPr>
          <w:del w:id="15232" w:author="AbbVie14" w:date="2025-05-09T10:59:00Z"/>
          <w:sz w:val="22"/>
          <w:szCs w:val="22"/>
        </w:rPr>
      </w:pPr>
    </w:p>
    <w:p w:rsidR="006224C2" w:rsidRPr="00295E71" w14:paraId="24A1CDCD" w14:textId="77777777">
      <w:pPr>
        <w:numPr>
          <w:ilvl w:val="12"/>
          <w:numId w:val="0"/>
        </w:numPr>
        <w:ind w:right="-2"/>
        <w:rPr>
          <w:del w:id="15233" w:author="AbbVie14" w:date="2025-05-09T10:59:00Z"/>
          <w:sz w:val="22"/>
          <w:szCs w:val="22"/>
        </w:rPr>
      </w:pPr>
      <w:del w:id="15234" w:author="AbbVie14" w:date="2025-05-09T10:59:00Z">
        <w:r w:rsidRPr="00295E71">
          <w:rPr>
            <w:sz w:val="22"/>
            <w:szCs w:val="22"/>
          </w:rPr>
          <w:delText xml:space="preserve">Il </w:delText>
        </w:r>
      </w:del>
      <w:del w:id="15235" w:author="AbbVie14" w:date="2025-05-09T10:59:00Z">
        <w:r w:rsidRPr="00295E71" w:rsidR="00F961A2">
          <w:rPr>
            <w:sz w:val="22"/>
            <w:szCs w:val="22"/>
          </w:rPr>
          <w:delText xml:space="preserve">pediatra </w:delText>
        </w:r>
      </w:del>
      <w:del w:id="15236" w:author="AbbVie14" w:date="2025-05-09T10:59:00Z">
        <w:r w:rsidRPr="00295E71">
          <w:rPr>
            <w:sz w:val="22"/>
            <w:szCs w:val="22"/>
          </w:rPr>
          <w:delText>potrebbe prescrivere anche una dose iniziale da 80 mg che potrebbe essere somministrata una settimana prima dell’inizio della dose abituale.</w:delText>
        </w:r>
      </w:del>
    </w:p>
    <w:p w:rsidR="006224C2" w:rsidRPr="00295E71" w:rsidP="006038EE" w14:paraId="6E60F235" w14:textId="77777777">
      <w:pPr>
        <w:numPr>
          <w:ilvl w:val="12"/>
          <w:numId w:val="0"/>
        </w:numPr>
        <w:tabs>
          <w:tab w:val="left" w:pos="567"/>
        </w:tabs>
        <w:ind w:right="-2"/>
        <w:rPr>
          <w:del w:id="15237" w:author="AbbVie14" w:date="2025-05-09T10:59:00Z"/>
          <w:b/>
          <w:sz w:val="22"/>
          <w:szCs w:val="22"/>
        </w:rPr>
      </w:pPr>
    </w:p>
    <w:p w:rsidR="006224C2" w:rsidRPr="00295E71" w14:paraId="1838D910" w14:textId="77777777">
      <w:pPr>
        <w:numPr>
          <w:ilvl w:val="12"/>
          <w:numId w:val="0"/>
        </w:numPr>
        <w:tabs>
          <w:tab w:val="left" w:pos="567"/>
        </w:tabs>
        <w:ind w:right="-2"/>
        <w:jc w:val="both"/>
        <w:rPr>
          <w:del w:id="15238" w:author="AbbVie14" w:date="2025-05-09T10:59:00Z"/>
          <w:b/>
          <w:sz w:val="22"/>
          <w:szCs w:val="22"/>
        </w:rPr>
      </w:pPr>
      <w:del w:id="15239" w:author="AbbVie14" w:date="2025-05-09T10:59:00Z">
        <w:r w:rsidRPr="00295E71">
          <w:rPr>
            <w:b/>
            <w:sz w:val="22"/>
            <w:szCs w:val="22"/>
          </w:rPr>
          <w:delText>Modo e via di somministrazione</w:delText>
        </w:r>
      </w:del>
    </w:p>
    <w:p w:rsidR="006224C2" w:rsidRPr="00295E71" w14:paraId="57EBED63" w14:textId="77777777">
      <w:pPr>
        <w:numPr>
          <w:ilvl w:val="12"/>
          <w:numId w:val="0"/>
        </w:numPr>
        <w:tabs>
          <w:tab w:val="left" w:pos="567"/>
        </w:tabs>
        <w:ind w:right="-2"/>
        <w:jc w:val="both"/>
        <w:rPr>
          <w:del w:id="15240" w:author="AbbVie14" w:date="2025-05-09T10:59:00Z"/>
          <w:sz w:val="22"/>
          <w:szCs w:val="22"/>
        </w:rPr>
      </w:pPr>
    </w:p>
    <w:p w:rsidR="006224C2" w:rsidRPr="00295E71" w14:paraId="10FEE01C" w14:textId="77777777">
      <w:pPr>
        <w:numPr>
          <w:ilvl w:val="12"/>
          <w:numId w:val="0"/>
        </w:numPr>
        <w:tabs>
          <w:tab w:val="left" w:pos="567"/>
        </w:tabs>
        <w:ind w:right="-2"/>
        <w:jc w:val="both"/>
        <w:rPr>
          <w:del w:id="15241" w:author="AbbVie14" w:date="2025-05-09T10:59:00Z"/>
          <w:sz w:val="22"/>
          <w:szCs w:val="22"/>
        </w:rPr>
      </w:pPr>
      <w:del w:id="15242" w:author="AbbVie14" w:date="2025-05-09T10:59:00Z">
        <w:r w:rsidRPr="00295E71">
          <w:rPr>
            <w:sz w:val="22"/>
            <w:szCs w:val="22"/>
          </w:rPr>
          <w:delText>Humira è somministrato per iniezione sotto la cute (per iniezione sottocutanea).</w:delText>
        </w:r>
      </w:del>
    </w:p>
    <w:p w:rsidR="006224C2" w:rsidRPr="00295E71" w14:paraId="1CE8504A" w14:textId="77777777">
      <w:pPr>
        <w:numPr>
          <w:ilvl w:val="12"/>
          <w:numId w:val="0"/>
        </w:numPr>
        <w:tabs>
          <w:tab w:val="left" w:pos="567"/>
        </w:tabs>
        <w:ind w:right="-2"/>
        <w:jc w:val="both"/>
        <w:rPr>
          <w:del w:id="15243" w:author="AbbVie14" w:date="2025-05-09T10:59:00Z"/>
          <w:sz w:val="22"/>
          <w:szCs w:val="22"/>
        </w:rPr>
      </w:pPr>
    </w:p>
    <w:p w:rsidR="006224C2" w:rsidRPr="00295E71" w14:paraId="175CF09D" w14:textId="77777777">
      <w:pPr>
        <w:tabs>
          <w:tab w:val="left" w:pos="567"/>
        </w:tabs>
        <w:jc w:val="both"/>
        <w:rPr>
          <w:del w:id="15244" w:author="AbbVie14" w:date="2025-05-09T10:59:00Z"/>
          <w:b/>
          <w:bCs/>
          <w:sz w:val="22"/>
          <w:szCs w:val="22"/>
        </w:rPr>
      </w:pPr>
      <w:del w:id="15245" w:author="AbbVie14" w:date="2025-05-09T10:59:00Z">
        <w:r w:rsidRPr="00295E71">
          <w:rPr>
            <w:b/>
            <w:bCs/>
            <w:sz w:val="22"/>
            <w:szCs w:val="22"/>
          </w:rPr>
          <w:delText>Istruzioni per la preparazione e l’iniezione di Humira</w:delText>
        </w:r>
      </w:del>
    </w:p>
    <w:p w:rsidR="006224C2" w:rsidRPr="00295E71" w14:paraId="638786AF" w14:textId="77777777">
      <w:pPr>
        <w:tabs>
          <w:tab w:val="left" w:pos="567"/>
        </w:tabs>
        <w:jc w:val="both"/>
        <w:rPr>
          <w:del w:id="15246" w:author="AbbVie14" w:date="2025-05-09T10:59:00Z"/>
          <w:sz w:val="22"/>
          <w:szCs w:val="22"/>
          <w:u w:val="single"/>
        </w:rPr>
      </w:pPr>
    </w:p>
    <w:p w:rsidR="006224C2" w:rsidRPr="00295E71" w14:paraId="6146C4A2" w14:textId="77777777">
      <w:pPr>
        <w:pStyle w:val="BodyText3"/>
        <w:tabs>
          <w:tab w:val="left" w:pos="567"/>
        </w:tabs>
        <w:rPr>
          <w:del w:id="15247" w:author="AbbVie14" w:date="2025-05-09T10:59:00Z"/>
          <w:lang w:eastAsia="en-US"/>
        </w:rPr>
      </w:pPr>
      <w:del w:id="15248" w:author="AbbVie14" w:date="2025-05-09T10:59:00Z">
        <w:r w:rsidRPr="00295E71">
          <w:rPr>
            <w:lang w:eastAsia="en-US"/>
          </w:rPr>
          <w:delText>Le seguenti istruzioni spiegano come iniettare Humira. Legga attentamente le istruzioni e le segua passo dopo passo. Riceverà istruzioni dal medico o dal suo assistente sulla tecnica dell</w:delText>
        </w:r>
      </w:del>
      <w:del w:id="15249" w:author="AbbVie14" w:date="2025-05-09T10:59:00Z">
        <w:r w:rsidRPr="00295E71" w:rsidR="00653FBA">
          <w:rPr>
            <w:lang w:eastAsia="en-US"/>
          </w:rPr>
          <w:delText xml:space="preserve">a </w:delText>
        </w:r>
      </w:del>
      <w:del w:id="15250" w:author="AbbVie14" w:date="2025-05-09T10:59:00Z">
        <w:r w:rsidRPr="00295E71">
          <w:rPr>
            <w:lang w:eastAsia="en-US"/>
          </w:rPr>
          <w:delText>somministrazione e sulla quantità da somministrare al bambino. Non proceda all’iniezione finché non è sicuro di aver capito come preparare ed eseguire la somministrazione. Dopo adeguate istruzioni l’iniezione può essere eseguita da lei o da altre persone quali, ad esempio, un familiare o un amico.</w:delText>
        </w:r>
      </w:del>
    </w:p>
    <w:p w:rsidR="006224C2" w:rsidRPr="00295E71" w14:paraId="72F26B9E" w14:textId="77777777">
      <w:pPr>
        <w:pStyle w:val="BodyText3"/>
        <w:tabs>
          <w:tab w:val="left" w:pos="567"/>
        </w:tabs>
        <w:rPr>
          <w:del w:id="15251" w:author="AbbVie14" w:date="2025-05-09T10:59:00Z"/>
          <w:lang w:eastAsia="en-US"/>
        </w:rPr>
      </w:pPr>
    </w:p>
    <w:p w:rsidR="006224C2" w:rsidRPr="00295E71" w14:paraId="59177466" w14:textId="77777777">
      <w:pPr>
        <w:pStyle w:val="BodyText3"/>
        <w:tabs>
          <w:tab w:val="left" w:pos="567"/>
        </w:tabs>
        <w:rPr>
          <w:del w:id="15252" w:author="AbbVie14" w:date="2025-05-09T10:59:00Z"/>
          <w:lang w:eastAsia="en-US"/>
        </w:rPr>
      </w:pPr>
      <w:del w:id="15253" w:author="AbbVie14" w:date="2025-05-09T10:59:00Z">
        <w:r w:rsidRPr="00295E71">
          <w:rPr>
            <w:lang w:eastAsia="en-US"/>
          </w:rPr>
          <w:delText>La mancata esecuzione delle seguenti istruzioni, come descritto, può determinare una contaminazione che potrebbe a sua volta causare infezioni al bambino.</w:delText>
        </w:r>
      </w:del>
    </w:p>
    <w:p w:rsidR="006224C2" w:rsidRPr="00295E71" w14:paraId="73D94B63" w14:textId="77777777">
      <w:pPr>
        <w:tabs>
          <w:tab w:val="left" w:pos="567"/>
        </w:tabs>
        <w:jc w:val="both"/>
        <w:rPr>
          <w:del w:id="15254" w:author="AbbVie14" w:date="2025-05-09T10:59:00Z"/>
          <w:sz w:val="22"/>
          <w:szCs w:val="22"/>
        </w:rPr>
      </w:pPr>
    </w:p>
    <w:p w:rsidR="006224C2" w:rsidRPr="00295E71" w14:paraId="722E091A" w14:textId="77777777">
      <w:pPr>
        <w:tabs>
          <w:tab w:val="left" w:pos="567"/>
        </w:tabs>
        <w:jc w:val="both"/>
        <w:rPr>
          <w:del w:id="15255" w:author="AbbVie14" w:date="2025-05-09T10:59:00Z"/>
          <w:sz w:val="22"/>
          <w:szCs w:val="22"/>
        </w:rPr>
      </w:pPr>
      <w:del w:id="15256" w:author="AbbVie14" w:date="2025-05-09T10:59:00Z">
        <w:r w:rsidRPr="00295E71">
          <w:rPr>
            <w:sz w:val="22"/>
            <w:szCs w:val="22"/>
          </w:rPr>
          <w:delText>Il contenuto della siringa non deve essere mescolato ad altri farmaci nella stessa siringa o nel flaconcino.</w:delText>
        </w:r>
      </w:del>
    </w:p>
    <w:p w:rsidR="006224C2" w:rsidRPr="00295E71" w14:paraId="6B201943" w14:textId="77777777">
      <w:pPr>
        <w:tabs>
          <w:tab w:val="left" w:pos="567"/>
        </w:tabs>
        <w:jc w:val="both"/>
        <w:rPr>
          <w:del w:id="15257" w:author="AbbVie14" w:date="2025-05-09T10:59:00Z"/>
          <w:sz w:val="22"/>
          <w:szCs w:val="22"/>
        </w:rPr>
      </w:pPr>
    </w:p>
    <w:p w:rsidR="006224C2" w:rsidRPr="00295E71" w:rsidP="00986889" w14:paraId="4976120E" w14:textId="77777777">
      <w:pPr>
        <w:keepNext/>
        <w:tabs>
          <w:tab w:val="left" w:pos="567"/>
        </w:tabs>
        <w:jc w:val="both"/>
        <w:rPr>
          <w:del w:id="15258" w:author="AbbVie14" w:date="2025-05-09T10:59:00Z"/>
          <w:b/>
          <w:bCs/>
          <w:sz w:val="22"/>
          <w:szCs w:val="22"/>
        </w:rPr>
      </w:pPr>
      <w:del w:id="15259" w:author="AbbVie14" w:date="2025-05-09T10:59:00Z">
        <w:r w:rsidRPr="00295E71">
          <w:rPr>
            <w:b/>
            <w:bCs/>
            <w:sz w:val="22"/>
            <w:szCs w:val="22"/>
          </w:rPr>
          <w:delText xml:space="preserve">1) </w:delText>
        </w:r>
      </w:del>
      <w:del w:id="15260" w:author="AbbVie14" w:date="2025-05-09T10:59:00Z">
        <w:r w:rsidRPr="00295E71">
          <w:rPr>
            <w:b/>
            <w:bCs/>
            <w:sz w:val="22"/>
            <w:szCs w:val="22"/>
          </w:rPr>
          <w:tab/>
          <w:delText>Preparazione</w:delText>
        </w:r>
      </w:del>
    </w:p>
    <w:p w:rsidR="006224C2" w:rsidRPr="00295E71" w:rsidP="00986889" w14:paraId="519F8085" w14:textId="77777777">
      <w:pPr>
        <w:keepNext/>
        <w:tabs>
          <w:tab w:val="left" w:pos="567"/>
        </w:tabs>
        <w:jc w:val="both"/>
        <w:rPr>
          <w:del w:id="15261" w:author="AbbVie14" w:date="2025-05-09T10:59:00Z"/>
          <w:sz w:val="22"/>
          <w:szCs w:val="22"/>
        </w:rPr>
      </w:pPr>
    </w:p>
    <w:p w:rsidR="006224C2" w:rsidRPr="00295E71" w:rsidP="00986889" w14:paraId="6F125B8F" w14:textId="77777777">
      <w:pPr>
        <w:keepNext/>
        <w:numPr>
          <w:ilvl w:val="0"/>
          <w:numId w:val="16"/>
        </w:numPr>
        <w:tabs>
          <w:tab w:val="clear" w:pos="360"/>
          <w:tab w:val="left" w:pos="540"/>
          <w:tab w:val="left" w:pos="567"/>
        </w:tabs>
        <w:ind w:left="540" w:hanging="540"/>
        <w:jc w:val="both"/>
        <w:rPr>
          <w:del w:id="15262" w:author="AbbVie14" w:date="2025-05-09T10:59:00Z"/>
          <w:sz w:val="22"/>
          <w:szCs w:val="22"/>
        </w:rPr>
      </w:pPr>
      <w:del w:id="15263" w:author="AbbVie14" w:date="2025-05-09T10:59:00Z">
        <w:r w:rsidRPr="00295E71">
          <w:rPr>
            <w:sz w:val="22"/>
            <w:szCs w:val="22"/>
          </w:rPr>
          <w:delText xml:space="preserve">Si assicuri di conoscere la quantità appropriata (volume) necessaria per la dose. Se non conosce la quantità, </w:delText>
        </w:r>
      </w:del>
      <w:del w:id="15264" w:author="AbbVie14" w:date="2025-05-09T10:59:00Z">
        <w:r w:rsidRPr="00295E71">
          <w:rPr>
            <w:b/>
            <w:sz w:val="22"/>
            <w:szCs w:val="22"/>
          </w:rPr>
          <w:delText>SI FERMI</w:delText>
        </w:r>
      </w:del>
      <w:del w:id="15265" w:author="AbbVie14" w:date="2025-05-09T10:59:00Z">
        <w:r w:rsidRPr="00295E71" w:rsidR="00E3671D">
          <w:rPr>
            <w:b/>
            <w:sz w:val="22"/>
            <w:szCs w:val="22"/>
          </w:rPr>
          <w:delText xml:space="preserve"> </w:delText>
        </w:r>
      </w:del>
      <w:del w:id="15266" w:author="AbbVie14" w:date="2025-05-09T10:59:00Z">
        <w:r w:rsidRPr="00295E71">
          <w:rPr>
            <w:sz w:val="22"/>
            <w:szCs w:val="22"/>
          </w:rPr>
          <w:delText>e contatti il medico per ricevere ulteriori istruzioni.</w:delText>
        </w:r>
      </w:del>
    </w:p>
    <w:p w:rsidR="006224C2" w:rsidRPr="00295E71" w14:paraId="2E4F76B6" w14:textId="77777777">
      <w:pPr>
        <w:tabs>
          <w:tab w:val="left" w:pos="540"/>
          <w:tab w:val="left" w:pos="567"/>
        </w:tabs>
        <w:ind w:left="540"/>
        <w:jc w:val="both"/>
        <w:rPr>
          <w:del w:id="15267" w:author="AbbVie14" w:date="2025-05-09T10:59:00Z"/>
          <w:sz w:val="22"/>
          <w:szCs w:val="22"/>
        </w:rPr>
      </w:pPr>
    </w:p>
    <w:p w:rsidR="006224C2" w:rsidRPr="00295E71" w14:paraId="3989DE0A" w14:textId="77777777">
      <w:pPr>
        <w:numPr>
          <w:ilvl w:val="0"/>
          <w:numId w:val="16"/>
        </w:numPr>
        <w:tabs>
          <w:tab w:val="clear" w:pos="360"/>
          <w:tab w:val="left" w:pos="540"/>
          <w:tab w:val="left" w:pos="567"/>
        </w:tabs>
        <w:ind w:left="540" w:hanging="540"/>
        <w:jc w:val="both"/>
        <w:rPr>
          <w:del w:id="15268" w:author="AbbVie14" w:date="2025-05-09T10:59:00Z"/>
          <w:sz w:val="22"/>
          <w:szCs w:val="22"/>
        </w:rPr>
      </w:pPr>
      <w:del w:id="15269" w:author="AbbVie14" w:date="2025-05-09T10:59:00Z">
        <w:r w:rsidRPr="00295E71">
          <w:rPr>
            <w:sz w:val="22"/>
            <w:szCs w:val="22"/>
          </w:rPr>
          <w:delText xml:space="preserve">Avrà necessità di un contenitore speciale per i rifiuti, come ad esempio un contenitore per oggetti appuntiti oppure come le viene indicato dall’infermiere, medico o farmacista. Disponga il contenitore sulla propria superficie di lavoro. </w:delText>
        </w:r>
      </w:del>
    </w:p>
    <w:p w:rsidR="006224C2" w:rsidRPr="00295E71" w14:paraId="7917E8C4" w14:textId="77777777">
      <w:pPr>
        <w:tabs>
          <w:tab w:val="left" w:pos="540"/>
          <w:tab w:val="left" w:pos="567"/>
        </w:tabs>
        <w:ind w:left="540"/>
        <w:jc w:val="both"/>
        <w:rPr>
          <w:del w:id="15270" w:author="AbbVie14" w:date="2025-05-09T10:59:00Z"/>
          <w:sz w:val="22"/>
          <w:szCs w:val="22"/>
        </w:rPr>
      </w:pPr>
    </w:p>
    <w:p w:rsidR="006224C2" w:rsidRPr="00295E71" w14:paraId="25499DD1" w14:textId="77777777">
      <w:pPr>
        <w:numPr>
          <w:ilvl w:val="0"/>
          <w:numId w:val="16"/>
        </w:numPr>
        <w:tabs>
          <w:tab w:val="clear" w:pos="360"/>
          <w:tab w:val="left" w:pos="540"/>
          <w:tab w:val="left" w:pos="567"/>
        </w:tabs>
        <w:ind w:left="540" w:hanging="540"/>
        <w:jc w:val="both"/>
        <w:rPr>
          <w:del w:id="15271" w:author="AbbVie14" w:date="2025-05-09T10:59:00Z"/>
          <w:sz w:val="22"/>
          <w:szCs w:val="22"/>
        </w:rPr>
      </w:pPr>
      <w:del w:id="15272" w:author="AbbVie14" w:date="2025-05-09T10:59:00Z">
        <w:r w:rsidRPr="00295E71">
          <w:rPr>
            <w:sz w:val="22"/>
            <w:szCs w:val="22"/>
          </w:rPr>
          <w:delText>Si lavi accuratamente le mani.</w:delText>
        </w:r>
      </w:del>
    </w:p>
    <w:p w:rsidR="006224C2" w:rsidRPr="00295E71" w14:paraId="14382316" w14:textId="77777777">
      <w:pPr>
        <w:tabs>
          <w:tab w:val="left" w:pos="540"/>
          <w:tab w:val="left" w:pos="567"/>
        </w:tabs>
        <w:ind w:left="540"/>
        <w:jc w:val="both"/>
        <w:rPr>
          <w:del w:id="15273" w:author="AbbVie14" w:date="2025-05-09T10:59:00Z"/>
          <w:sz w:val="22"/>
          <w:szCs w:val="22"/>
        </w:rPr>
      </w:pPr>
    </w:p>
    <w:p w:rsidR="006224C2" w:rsidRPr="00295E71" w14:paraId="48A6B365" w14:textId="77777777">
      <w:pPr>
        <w:numPr>
          <w:ilvl w:val="0"/>
          <w:numId w:val="16"/>
        </w:numPr>
        <w:tabs>
          <w:tab w:val="clear" w:pos="360"/>
          <w:tab w:val="left" w:pos="540"/>
          <w:tab w:val="left" w:pos="567"/>
        </w:tabs>
        <w:ind w:left="540" w:hanging="540"/>
        <w:jc w:val="both"/>
        <w:rPr>
          <w:del w:id="15274" w:author="AbbVie14" w:date="2025-05-09T10:59:00Z"/>
          <w:sz w:val="22"/>
          <w:szCs w:val="22"/>
        </w:rPr>
      </w:pPr>
      <w:del w:id="15275" w:author="AbbVie14" w:date="2025-05-09T10:59:00Z">
        <w:r w:rsidRPr="00295E71">
          <w:rPr>
            <w:sz w:val="22"/>
            <w:szCs w:val="22"/>
          </w:rPr>
          <w:delText>Rimuova dall’astuccio una scatola contenente una siringa, un adattatore per flaconcini, un flaconcino, 2 tamponi imbevuti di alcool e un ago. Se c’è una seconda scatola nell’astuccio da utilizzare per la prossima somministrazione, la riponga nel frigorifero immediatamente.</w:delText>
        </w:r>
      </w:del>
    </w:p>
    <w:p w:rsidR="006224C2" w:rsidRPr="00295E71" w14:paraId="3E3D1092" w14:textId="77777777">
      <w:pPr>
        <w:tabs>
          <w:tab w:val="left" w:pos="540"/>
          <w:tab w:val="left" w:pos="567"/>
        </w:tabs>
        <w:ind w:left="540"/>
        <w:jc w:val="both"/>
        <w:rPr>
          <w:del w:id="15276" w:author="AbbVie14" w:date="2025-05-09T10:59:00Z"/>
          <w:sz w:val="22"/>
          <w:szCs w:val="22"/>
        </w:rPr>
      </w:pPr>
    </w:p>
    <w:p w:rsidR="006224C2" w:rsidRPr="00295E71" w14:paraId="47B17393" w14:textId="77777777">
      <w:pPr>
        <w:numPr>
          <w:ilvl w:val="0"/>
          <w:numId w:val="16"/>
        </w:numPr>
        <w:tabs>
          <w:tab w:val="clear" w:pos="360"/>
          <w:tab w:val="left" w:pos="540"/>
          <w:tab w:val="left" w:pos="567"/>
        </w:tabs>
        <w:ind w:left="540" w:hanging="540"/>
        <w:jc w:val="both"/>
        <w:rPr>
          <w:del w:id="15277" w:author="AbbVie14" w:date="2025-05-09T10:59:00Z"/>
          <w:sz w:val="22"/>
          <w:szCs w:val="22"/>
        </w:rPr>
      </w:pPr>
      <w:del w:id="15278" w:author="AbbVie14" w:date="2025-05-09T10:59:00Z">
        <w:r w:rsidRPr="00295E71">
          <w:rPr>
            <w:sz w:val="22"/>
            <w:szCs w:val="22"/>
          </w:rPr>
          <w:delText xml:space="preserve">Controlli la data di scadenza sulla scatola. </w:delText>
        </w:r>
      </w:del>
      <w:del w:id="15279" w:author="AbbVie14" w:date="2025-05-09T10:59:00Z">
        <w:r w:rsidRPr="00295E71">
          <w:rPr>
            <w:b/>
            <w:sz w:val="22"/>
            <w:szCs w:val="22"/>
          </w:rPr>
          <w:delText>NON</w:delText>
        </w:r>
      </w:del>
      <w:del w:id="15280" w:author="AbbVie14" w:date="2025-05-09T10:59:00Z">
        <w:r w:rsidRPr="00295E71">
          <w:rPr>
            <w:sz w:val="22"/>
            <w:szCs w:val="22"/>
          </w:rPr>
          <w:delText xml:space="preserve"> ultilizzi alcuno degli oggetti nella scatola dopo la data di scadenza. </w:delText>
        </w:r>
      </w:del>
    </w:p>
    <w:p w:rsidR="006224C2" w:rsidRPr="00295E71" w14:paraId="7DABB3A1" w14:textId="77777777">
      <w:pPr>
        <w:tabs>
          <w:tab w:val="left" w:pos="540"/>
          <w:tab w:val="left" w:pos="567"/>
        </w:tabs>
        <w:ind w:left="540"/>
        <w:jc w:val="both"/>
        <w:rPr>
          <w:del w:id="15281" w:author="AbbVie14" w:date="2025-05-09T10:59:00Z"/>
          <w:sz w:val="22"/>
          <w:szCs w:val="22"/>
        </w:rPr>
      </w:pPr>
    </w:p>
    <w:p w:rsidR="006224C2" w:rsidRPr="00295E71" w14:paraId="3F17108A" w14:textId="77777777">
      <w:pPr>
        <w:numPr>
          <w:ilvl w:val="0"/>
          <w:numId w:val="16"/>
        </w:numPr>
        <w:tabs>
          <w:tab w:val="clear" w:pos="360"/>
          <w:tab w:val="left" w:pos="540"/>
          <w:tab w:val="left" w:pos="567"/>
        </w:tabs>
        <w:ind w:left="540" w:hanging="540"/>
        <w:jc w:val="both"/>
        <w:rPr>
          <w:del w:id="15282" w:author="AbbVie14" w:date="2025-05-09T10:59:00Z"/>
          <w:sz w:val="22"/>
          <w:szCs w:val="22"/>
        </w:rPr>
      </w:pPr>
      <w:del w:id="15283" w:author="AbbVie14" w:date="2025-05-09T10:59:00Z">
        <w:r w:rsidRPr="00295E71">
          <w:rPr>
            <w:sz w:val="22"/>
            <w:szCs w:val="22"/>
          </w:rPr>
          <w:delText xml:space="preserve">Sistemi i seguenti oggetti su una superficie pulita, </w:delText>
        </w:r>
      </w:del>
      <w:del w:id="15284" w:author="AbbVie14" w:date="2025-05-09T10:59:00Z">
        <w:r w:rsidRPr="00295E71">
          <w:rPr>
            <w:b/>
            <w:sz w:val="22"/>
            <w:szCs w:val="22"/>
          </w:rPr>
          <w:delText>SENZA</w:delText>
        </w:r>
      </w:del>
      <w:del w:id="15285" w:author="AbbVie14" w:date="2025-05-09T10:59:00Z">
        <w:r w:rsidRPr="00295E71">
          <w:rPr>
            <w:sz w:val="22"/>
            <w:szCs w:val="22"/>
          </w:rPr>
          <w:delText xml:space="preserve"> ancora tirare fuori alcun oggetto dal suo confezionamento.</w:delText>
        </w:r>
      </w:del>
    </w:p>
    <w:p w:rsidR="006224C2" w:rsidRPr="00295E71" w14:paraId="72E24B15" w14:textId="77777777">
      <w:pPr>
        <w:tabs>
          <w:tab w:val="left" w:pos="567"/>
        </w:tabs>
        <w:jc w:val="both"/>
        <w:rPr>
          <w:del w:id="15286" w:author="AbbVie14" w:date="2025-05-09T10:59:00Z"/>
          <w:sz w:val="22"/>
          <w:szCs w:val="22"/>
        </w:rPr>
      </w:pPr>
    </w:p>
    <w:p w:rsidR="006224C2" w:rsidRPr="00295E71" w14:paraId="6E67535F" w14:textId="77777777">
      <w:pPr>
        <w:numPr>
          <w:ilvl w:val="1"/>
          <w:numId w:val="12"/>
        </w:numPr>
        <w:tabs>
          <w:tab w:val="left" w:pos="567"/>
          <w:tab w:val="left" w:pos="1134"/>
        </w:tabs>
        <w:ind w:left="1134" w:hanging="567"/>
        <w:jc w:val="both"/>
        <w:rPr>
          <w:del w:id="15287" w:author="AbbVie14" w:date="2025-05-09T10:59:00Z"/>
          <w:sz w:val="22"/>
          <w:szCs w:val="22"/>
        </w:rPr>
      </w:pPr>
      <w:del w:id="15288" w:author="AbbVie14" w:date="2025-05-09T10:59:00Z">
        <w:r w:rsidRPr="00295E71">
          <w:rPr>
            <w:sz w:val="22"/>
            <w:szCs w:val="22"/>
          </w:rPr>
          <w:delText>Una siringa da 1 ml (1)</w:delText>
        </w:r>
      </w:del>
    </w:p>
    <w:p w:rsidR="006224C2" w:rsidRPr="00295E71" w14:paraId="0CF64F56" w14:textId="77777777">
      <w:pPr>
        <w:numPr>
          <w:ilvl w:val="1"/>
          <w:numId w:val="12"/>
        </w:numPr>
        <w:tabs>
          <w:tab w:val="left" w:pos="567"/>
          <w:tab w:val="left" w:pos="1134"/>
        </w:tabs>
        <w:ind w:left="1134" w:hanging="567"/>
        <w:jc w:val="both"/>
        <w:rPr>
          <w:del w:id="15289" w:author="AbbVie14" w:date="2025-05-09T10:59:00Z"/>
          <w:sz w:val="22"/>
          <w:szCs w:val="22"/>
        </w:rPr>
      </w:pPr>
      <w:del w:id="15290" w:author="AbbVie14" w:date="2025-05-09T10:59:00Z">
        <w:r w:rsidRPr="00295E71">
          <w:rPr>
            <w:sz w:val="22"/>
            <w:szCs w:val="22"/>
          </w:rPr>
          <w:delText>Un adattatore per flaconcino (2)</w:delText>
        </w:r>
      </w:del>
    </w:p>
    <w:p w:rsidR="006224C2" w:rsidRPr="00295E71" w14:paraId="604E5867" w14:textId="77777777">
      <w:pPr>
        <w:numPr>
          <w:ilvl w:val="1"/>
          <w:numId w:val="12"/>
        </w:numPr>
        <w:tabs>
          <w:tab w:val="left" w:pos="567"/>
          <w:tab w:val="left" w:pos="1134"/>
        </w:tabs>
        <w:ind w:left="1134" w:hanging="567"/>
        <w:jc w:val="both"/>
        <w:rPr>
          <w:del w:id="15291" w:author="AbbVie14" w:date="2025-05-09T10:59:00Z"/>
          <w:sz w:val="22"/>
          <w:szCs w:val="22"/>
        </w:rPr>
      </w:pPr>
      <w:del w:id="15292" w:author="AbbVie14" w:date="2025-05-09T10:59:00Z">
        <w:r w:rsidRPr="00295E71">
          <w:rPr>
            <w:sz w:val="22"/>
            <w:szCs w:val="22"/>
          </w:rPr>
          <w:delText>Un flaconcino per uso pediatrico di Humira soluzione iniettabile (3)</w:delText>
        </w:r>
      </w:del>
    </w:p>
    <w:p w:rsidR="006224C2" w:rsidRPr="00295E71" w14:paraId="38A2502B" w14:textId="77777777">
      <w:pPr>
        <w:numPr>
          <w:ilvl w:val="1"/>
          <w:numId w:val="12"/>
        </w:numPr>
        <w:tabs>
          <w:tab w:val="left" w:pos="567"/>
          <w:tab w:val="left" w:pos="1134"/>
        </w:tabs>
        <w:ind w:left="1134" w:hanging="567"/>
        <w:jc w:val="both"/>
        <w:rPr>
          <w:del w:id="15293" w:author="AbbVie14" w:date="2025-05-09T10:59:00Z"/>
          <w:sz w:val="22"/>
          <w:szCs w:val="22"/>
        </w:rPr>
      </w:pPr>
      <w:del w:id="15294" w:author="AbbVie14" w:date="2025-05-09T10:59:00Z">
        <w:r w:rsidRPr="00295E71">
          <w:rPr>
            <w:sz w:val="22"/>
            <w:szCs w:val="22"/>
          </w:rPr>
          <w:delText>Due tamponi imbevuti di alcool (4)</w:delText>
        </w:r>
      </w:del>
    </w:p>
    <w:p w:rsidR="006224C2" w:rsidRPr="00295E71" w14:paraId="45EA58EA" w14:textId="77777777">
      <w:pPr>
        <w:numPr>
          <w:ilvl w:val="1"/>
          <w:numId w:val="12"/>
        </w:numPr>
        <w:tabs>
          <w:tab w:val="left" w:pos="567"/>
          <w:tab w:val="left" w:pos="1134"/>
        </w:tabs>
        <w:ind w:left="1134" w:hanging="567"/>
        <w:jc w:val="both"/>
        <w:rPr>
          <w:del w:id="15295" w:author="AbbVie14" w:date="2025-05-09T10:59:00Z"/>
          <w:sz w:val="22"/>
          <w:szCs w:val="22"/>
        </w:rPr>
      </w:pPr>
      <w:del w:id="15296" w:author="AbbVie14" w:date="2025-05-09T10:59:00Z">
        <w:r w:rsidRPr="00295E71">
          <w:rPr>
            <w:sz w:val="22"/>
            <w:szCs w:val="22"/>
          </w:rPr>
          <w:delText>Un ago (5)</w:delText>
        </w:r>
      </w:del>
    </w:p>
    <w:p w:rsidR="006224C2" w:rsidRPr="00295E71" w14:paraId="4A61D3F0" w14:textId="77777777">
      <w:pPr>
        <w:tabs>
          <w:tab w:val="left" w:pos="567"/>
          <w:tab w:val="left" w:pos="1134"/>
        </w:tabs>
        <w:rPr>
          <w:del w:id="15297" w:author="AbbVie14" w:date="2025-05-09T10:59:00Z"/>
          <w:sz w:val="22"/>
          <w:szCs w:val="22"/>
        </w:rPr>
      </w:pPr>
    </w:p>
    <w:p w:rsidR="006224C2" w:rsidRPr="00295E71" w14:paraId="260C6A3E" w14:textId="77777777">
      <w:pPr>
        <w:tabs>
          <w:tab w:val="left" w:pos="567"/>
        </w:tabs>
        <w:jc w:val="center"/>
        <w:rPr>
          <w:del w:id="15298" w:author="AbbVie14" w:date="2025-05-09T10:59:00Z"/>
          <w:sz w:val="22"/>
          <w:szCs w:val="22"/>
        </w:rPr>
      </w:pPr>
      <w:del w:id="15299" w:author="AbbVie14" w:date="2025-05-09T10:59:00Z">
        <w:r w:rsidRPr="00910CE7">
          <w:rPr>
            <w:noProof/>
            <w:sz w:val="22"/>
            <w:lang w:val="en-GB"/>
          </w:rPr>
          <w:drawing>
            <wp:inline distT="0" distB="0" distL="0" distR="0">
              <wp:extent cx="1933575" cy="186690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xmlns:r="http://schemas.openxmlformats.org/officeDocument/2006/relationships" r:embed="rId38" cstate="print"/>
                      <a:stretch>
                        <a:fillRect/>
                      </a:stretch>
                    </pic:blipFill>
                    <pic:spPr bwMode="auto">
                      <a:xfrm>
                        <a:off x="0" y="0"/>
                        <a:ext cx="1933575" cy="1866900"/>
                      </a:xfrm>
                      <a:prstGeom prst="rect">
                        <a:avLst/>
                      </a:prstGeom>
                      <a:noFill/>
                      <a:ln w="9525">
                        <a:noFill/>
                        <a:miter lim="800000"/>
                        <a:headEnd/>
                        <a:tailEnd/>
                      </a:ln>
                    </pic:spPr>
                  </pic:pic>
                </a:graphicData>
              </a:graphic>
            </wp:inline>
          </w:drawing>
        </w:r>
      </w:del>
    </w:p>
    <w:p w:rsidR="006224C2" w:rsidRPr="00295E71" w14:paraId="45548E03" w14:textId="77777777">
      <w:pPr>
        <w:tabs>
          <w:tab w:val="left" w:pos="567"/>
        </w:tabs>
        <w:rPr>
          <w:del w:id="15300" w:author="AbbVie14" w:date="2025-05-09T10:59:00Z"/>
          <w:sz w:val="22"/>
          <w:szCs w:val="22"/>
        </w:rPr>
      </w:pPr>
    </w:p>
    <w:p w:rsidR="006224C2" w:rsidRPr="00295E71" w14:paraId="57D8D97D" w14:textId="77777777">
      <w:pPr>
        <w:numPr>
          <w:ilvl w:val="0"/>
          <w:numId w:val="50"/>
        </w:numPr>
        <w:tabs>
          <w:tab w:val="num" w:pos="540"/>
          <w:tab w:val="left" w:pos="567"/>
          <w:tab w:val="clear" w:pos="720"/>
        </w:tabs>
        <w:ind w:left="540" w:hanging="540"/>
        <w:jc w:val="both"/>
        <w:rPr>
          <w:del w:id="15301" w:author="AbbVie14" w:date="2025-05-09T10:59:00Z"/>
          <w:sz w:val="22"/>
          <w:szCs w:val="22"/>
        </w:rPr>
      </w:pPr>
      <w:del w:id="15302" w:author="AbbVie14" w:date="2025-05-09T10:59:00Z">
        <w:r w:rsidRPr="00295E71">
          <w:rPr>
            <w:sz w:val="22"/>
            <w:szCs w:val="22"/>
          </w:rPr>
          <w:delText xml:space="preserve">Humira è un liquido limpido e incolore. </w:delText>
        </w:r>
      </w:del>
      <w:del w:id="15303" w:author="AbbVie14" w:date="2025-05-09T10:59:00Z">
        <w:r w:rsidRPr="00295E71">
          <w:rPr>
            <w:b/>
            <w:sz w:val="22"/>
            <w:szCs w:val="22"/>
          </w:rPr>
          <w:delText>NON</w:delText>
        </w:r>
      </w:del>
      <w:del w:id="15304" w:author="AbbVie14" w:date="2025-05-09T10:59:00Z">
        <w:r w:rsidRPr="00295E71">
          <w:rPr>
            <w:sz w:val="22"/>
            <w:szCs w:val="22"/>
          </w:rPr>
          <w:delText xml:space="preserve"> utilizzarlo se il liquido è opaco, di colore alterato o presenta flocculazioni o particelle all’interno.</w:delText>
        </w:r>
      </w:del>
    </w:p>
    <w:p w:rsidR="006224C2" w:rsidRPr="00295E71" w14:paraId="351C666E" w14:textId="77777777">
      <w:pPr>
        <w:tabs>
          <w:tab w:val="left" w:pos="567"/>
        </w:tabs>
        <w:jc w:val="both"/>
        <w:rPr>
          <w:del w:id="15305" w:author="AbbVie14" w:date="2025-05-09T10:59:00Z"/>
          <w:sz w:val="22"/>
          <w:szCs w:val="22"/>
        </w:rPr>
      </w:pPr>
    </w:p>
    <w:p w:rsidR="006224C2" w:rsidRPr="00295E71" w:rsidP="00FB547E" w14:paraId="1D925185" w14:textId="77777777">
      <w:pPr>
        <w:keepNext/>
        <w:tabs>
          <w:tab w:val="left" w:pos="567"/>
        </w:tabs>
        <w:rPr>
          <w:del w:id="15306" w:author="AbbVie14" w:date="2025-05-09T10:59:00Z"/>
          <w:b/>
          <w:bCs/>
          <w:sz w:val="22"/>
          <w:szCs w:val="22"/>
        </w:rPr>
      </w:pPr>
      <w:del w:id="15307" w:author="AbbVie14" w:date="2025-05-09T10:59:00Z">
        <w:r w:rsidRPr="00295E71">
          <w:rPr>
            <w:b/>
            <w:bCs/>
            <w:sz w:val="22"/>
            <w:szCs w:val="22"/>
          </w:rPr>
          <w:delText>2)</w:delText>
        </w:r>
      </w:del>
      <w:del w:id="15308" w:author="AbbVie14" w:date="2025-05-09T10:59:00Z">
        <w:r w:rsidRPr="00295E71" w:rsidR="00FF6263">
          <w:rPr>
            <w:b/>
            <w:bCs/>
            <w:sz w:val="22"/>
            <w:szCs w:val="22"/>
          </w:rPr>
          <w:tab/>
        </w:r>
      </w:del>
      <w:del w:id="15309" w:author="AbbVie14" w:date="2025-05-09T10:59:00Z">
        <w:r w:rsidRPr="00295E71">
          <w:rPr>
            <w:b/>
            <w:bCs/>
            <w:sz w:val="22"/>
            <w:szCs w:val="22"/>
          </w:rPr>
          <w:delText>Preparazione della dose</w:delText>
        </w:r>
      </w:del>
      <w:del w:id="15310" w:author="AbbVie14" w:date="2025-05-09T10:59:00Z">
        <w:r w:rsidRPr="00295E71" w:rsidR="00FF6263">
          <w:rPr>
            <w:b/>
            <w:bCs/>
            <w:sz w:val="22"/>
            <w:szCs w:val="22"/>
          </w:rPr>
          <w:delText xml:space="preserve"> </w:delText>
        </w:r>
      </w:del>
      <w:del w:id="15311" w:author="AbbVie14" w:date="2025-05-09T10:59:00Z">
        <w:r w:rsidRPr="00295E71">
          <w:rPr>
            <w:b/>
            <w:bCs/>
            <w:sz w:val="22"/>
            <w:szCs w:val="22"/>
          </w:rPr>
          <w:delText>di Humira per l’iniezione</w:delText>
        </w:r>
      </w:del>
    </w:p>
    <w:p w:rsidR="006224C2" w:rsidRPr="00295E71" w14:paraId="114E20B4" w14:textId="77777777">
      <w:pPr>
        <w:keepNext/>
        <w:tabs>
          <w:tab w:val="left" w:pos="567"/>
        </w:tabs>
        <w:jc w:val="both"/>
        <w:rPr>
          <w:del w:id="15312" w:author="AbbVie14" w:date="2025-05-09T10:59:00Z"/>
          <w:b/>
          <w:bCs/>
          <w:sz w:val="22"/>
          <w:szCs w:val="22"/>
        </w:rPr>
      </w:pPr>
    </w:p>
    <w:p w:rsidR="006224C2" w:rsidRPr="00295E71" w14:paraId="7D495481" w14:textId="77777777">
      <w:pPr>
        <w:keepNext/>
        <w:tabs>
          <w:tab w:val="left" w:pos="567"/>
        </w:tabs>
        <w:jc w:val="both"/>
        <w:rPr>
          <w:del w:id="15313" w:author="AbbVie14" w:date="2025-05-09T10:59:00Z"/>
          <w:bCs/>
          <w:sz w:val="22"/>
          <w:szCs w:val="22"/>
        </w:rPr>
      </w:pPr>
      <w:del w:id="15314" w:author="AbbVie14" w:date="2025-05-09T10:59:00Z">
        <w:r w:rsidRPr="00295E71">
          <w:rPr>
            <w:bCs/>
            <w:sz w:val="22"/>
            <w:szCs w:val="22"/>
          </w:rPr>
          <w:delText xml:space="preserve">Istruzioni generali: </w:delText>
        </w:r>
      </w:del>
      <w:del w:id="15315" w:author="AbbVie14" w:date="2025-05-09T10:59:00Z">
        <w:r w:rsidRPr="00295E71">
          <w:rPr>
            <w:b/>
            <w:bCs/>
            <w:sz w:val="22"/>
            <w:szCs w:val="22"/>
          </w:rPr>
          <w:delText>NON</w:delText>
        </w:r>
      </w:del>
      <w:del w:id="15316" w:author="AbbVie14" w:date="2025-05-09T10:59:00Z">
        <w:r w:rsidRPr="00295E71">
          <w:rPr>
            <w:bCs/>
            <w:sz w:val="22"/>
            <w:szCs w:val="22"/>
          </w:rPr>
          <w:delText xml:space="preserve"> disfarsi di nessun oggetto fino a quando l’iniezione non è stata completata.</w:delText>
        </w:r>
      </w:del>
    </w:p>
    <w:p w:rsidR="006224C2" w:rsidRPr="00295E71" w14:paraId="013BE522" w14:textId="77777777">
      <w:pPr>
        <w:rPr>
          <w:del w:id="15317" w:author="AbbVie14" w:date="2025-05-09T10:59:00Z"/>
          <w:bCs/>
          <w:sz w:val="22"/>
          <w:szCs w:val="22"/>
        </w:rPr>
      </w:pPr>
    </w:p>
    <w:p w:rsidR="006224C2" w:rsidRPr="00295E71" w14:paraId="71D1FE06" w14:textId="77777777">
      <w:pPr>
        <w:numPr>
          <w:ilvl w:val="0"/>
          <w:numId w:val="33"/>
        </w:numPr>
        <w:tabs>
          <w:tab w:val="num" w:pos="567"/>
          <w:tab w:val="clear" w:pos="720"/>
        </w:tabs>
        <w:ind w:left="567" w:hanging="567"/>
        <w:jc w:val="both"/>
        <w:rPr>
          <w:del w:id="15318" w:author="AbbVie14" w:date="2025-05-09T10:59:00Z"/>
          <w:bCs/>
          <w:sz w:val="22"/>
          <w:szCs w:val="22"/>
        </w:rPr>
      </w:pPr>
      <w:del w:id="15319" w:author="AbbVie14" w:date="2025-05-09T10:59:00Z">
        <w:r w:rsidRPr="00295E71">
          <w:rPr>
            <w:bCs/>
            <w:sz w:val="22"/>
            <w:szCs w:val="22"/>
          </w:rPr>
          <w:delText>Preparare l’ago aprendo parzialmente la confezione dall’estremità più vicina al connettore giallo della siringa. Aprire la confezione quanto basta ad esporre il connettore giallo della siringa. Posare la confezione con il lato chiaro rivolto verso l’alto.</w:delText>
        </w:r>
      </w:del>
    </w:p>
    <w:p w:rsidR="006224C2" w:rsidRPr="00295E71" w14:paraId="200B209F" w14:textId="77777777">
      <w:pPr>
        <w:tabs>
          <w:tab w:val="left" w:pos="567"/>
        </w:tabs>
        <w:ind w:left="720"/>
        <w:rPr>
          <w:del w:id="15320" w:author="AbbVie14" w:date="2025-05-09T10:59:00Z"/>
          <w:bCs/>
          <w:sz w:val="22"/>
          <w:szCs w:val="22"/>
        </w:rPr>
      </w:pPr>
    </w:p>
    <w:p w:rsidR="006224C2" w:rsidRPr="00295E71" w14:paraId="65EF3D1D" w14:textId="77777777">
      <w:pPr>
        <w:tabs>
          <w:tab w:val="left" w:pos="567"/>
        </w:tabs>
        <w:jc w:val="center"/>
        <w:rPr>
          <w:del w:id="15321" w:author="AbbVie14" w:date="2025-05-09T10:59:00Z"/>
          <w:b/>
          <w:bCs/>
          <w:sz w:val="22"/>
          <w:szCs w:val="22"/>
        </w:rPr>
      </w:pPr>
      <w:del w:id="15322" w:author="AbbVie14" w:date="2025-05-09T10:59:00Z">
        <w:r w:rsidRPr="00910CE7">
          <w:rPr>
            <w:noProof/>
            <w:sz w:val="22"/>
            <w:lang w:val="en-GB"/>
          </w:rPr>
          <w:drawing>
            <wp:inline distT="0" distB="0" distL="0" distR="0">
              <wp:extent cx="1857375" cy="1857375"/>
              <wp:effectExtent l="1905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xmlns:r="http://schemas.openxmlformats.org/officeDocument/2006/relationships" r:embed="rId39" cstate="print"/>
                      <a:stretch>
                        <a:fillRect/>
                      </a:stretch>
                    </pic:blipFill>
                    <pic:spPr bwMode="auto">
                      <a:xfrm>
                        <a:off x="0" y="0"/>
                        <a:ext cx="1857375" cy="1857375"/>
                      </a:xfrm>
                      <a:prstGeom prst="rect">
                        <a:avLst/>
                      </a:prstGeom>
                      <a:noFill/>
                      <a:ln w="9525">
                        <a:noFill/>
                        <a:miter lim="800000"/>
                        <a:headEnd/>
                        <a:tailEnd/>
                      </a:ln>
                    </pic:spPr>
                  </pic:pic>
                </a:graphicData>
              </a:graphic>
            </wp:inline>
          </w:drawing>
        </w:r>
      </w:del>
    </w:p>
    <w:p w:rsidR="006224C2" w:rsidRPr="00295E71" w14:paraId="26087B12" w14:textId="77777777">
      <w:pPr>
        <w:tabs>
          <w:tab w:val="left" w:pos="567"/>
        </w:tabs>
        <w:rPr>
          <w:del w:id="15323" w:author="AbbVie14" w:date="2025-05-09T10:59:00Z"/>
          <w:b/>
          <w:bCs/>
          <w:sz w:val="22"/>
          <w:szCs w:val="22"/>
        </w:rPr>
      </w:pPr>
    </w:p>
    <w:p w:rsidR="006224C2" w:rsidRPr="00295E71" w14:paraId="2E662CD8" w14:textId="77777777">
      <w:pPr>
        <w:numPr>
          <w:ilvl w:val="0"/>
          <w:numId w:val="33"/>
        </w:numPr>
        <w:tabs>
          <w:tab w:val="left" w:pos="567"/>
        </w:tabs>
        <w:ind w:hanging="720"/>
        <w:jc w:val="both"/>
        <w:rPr>
          <w:del w:id="15324" w:author="AbbVie14" w:date="2025-05-09T10:59:00Z"/>
          <w:bCs/>
          <w:sz w:val="22"/>
          <w:szCs w:val="22"/>
        </w:rPr>
      </w:pPr>
      <w:del w:id="15325" w:author="AbbVie14" w:date="2025-05-09T10:59:00Z">
        <w:r w:rsidRPr="00295E71">
          <w:rPr>
            <w:bCs/>
            <w:sz w:val="22"/>
            <w:szCs w:val="22"/>
          </w:rPr>
          <w:delText xml:space="preserve">Togliere il cappuccio di plastica dal flaconcino fino a vedere la cima del tappo del flaconcino.  </w:delText>
        </w:r>
      </w:del>
    </w:p>
    <w:p w:rsidR="006224C2" w:rsidRPr="00295E71" w14:paraId="20D32300" w14:textId="77777777">
      <w:pPr>
        <w:tabs>
          <w:tab w:val="left" w:pos="567"/>
        </w:tabs>
        <w:ind w:left="720"/>
        <w:jc w:val="both"/>
        <w:rPr>
          <w:del w:id="15326" w:author="AbbVie14" w:date="2025-05-09T10:59:00Z"/>
          <w:bCs/>
          <w:sz w:val="22"/>
          <w:szCs w:val="22"/>
        </w:rPr>
      </w:pPr>
    </w:p>
    <w:p w:rsidR="006224C2" w:rsidRPr="00295E71" w14:paraId="5EF28A3E" w14:textId="77777777">
      <w:pPr>
        <w:tabs>
          <w:tab w:val="left" w:pos="567"/>
        </w:tabs>
        <w:ind w:left="360"/>
        <w:jc w:val="center"/>
        <w:rPr>
          <w:del w:id="15327" w:author="AbbVie14" w:date="2025-05-09T10:59:00Z"/>
          <w:sz w:val="22"/>
          <w:szCs w:val="22"/>
        </w:rPr>
      </w:pPr>
      <w:del w:id="15328" w:author="AbbVie14" w:date="2025-05-09T10:59:00Z">
        <w:r w:rsidRPr="00910CE7">
          <w:rPr>
            <w:noProof/>
            <w:sz w:val="22"/>
            <w:lang w:val="en-GB"/>
          </w:rPr>
          <w:drawing>
            <wp:inline distT="0" distB="0" distL="0" distR="0">
              <wp:extent cx="1857375" cy="1838325"/>
              <wp:effectExtent l="1905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noChangeArrowheads="1"/>
                      </pic:cNvPicPr>
                    </pic:nvPicPr>
                    <pic:blipFill>
                      <a:blip xmlns:r="http://schemas.openxmlformats.org/officeDocument/2006/relationships" r:embed="rId40" cstate="print"/>
                      <a:stretch>
                        <a:fillRect/>
                      </a:stretch>
                    </pic:blipFill>
                    <pic:spPr bwMode="auto">
                      <a:xfrm>
                        <a:off x="0" y="0"/>
                        <a:ext cx="1857375" cy="1838325"/>
                      </a:xfrm>
                      <a:prstGeom prst="rect">
                        <a:avLst/>
                      </a:prstGeom>
                      <a:noFill/>
                      <a:ln w="9525">
                        <a:noFill/>
                        <a:miter lim="800000"/>
                        <a:headEnd/>
                        <a:tailEnd/>
                      </a:ln>
                    </pic:spPr>
                  </pic:pic>
                </a:graphicData>
              </a:graphic>
            </wp:inline>
          </w:drawing>
        </w:r>
      </w:del>
    </w:p>
    <w:p w:rsidR="006224C2" w:rsidRPr="00295E71" w14:paraId="19AE6529" w14:textId="77777777">
      <w:pPr>
        <w:tabs>
          <w:tab w:val="left" w:pos="567"/>
        </w:tabs>
        <w:ind w:left="360"/>
        <w:rPr>
          <w:del w:id="15329" w:author="AbbVie14" w:date="2025-05-09T10:59:00Z"/>
          <w:sz w:val="22"/>
          <w:szCs w:val="22"/>
        </w:rPr>
      </w:pPr>
    </w:p>
    <w:p w:rsidR="006224C2" w:rsidRPr="00295E71" w14:paraId="526B9A4E" w14:textId="77777777">
      <w:pPr>
        <w:numPr>
          <w:ilvl w:val="0"/>
          <w:numId w:val="33"/>
        </w:numPr>
        <w:tabs>
          <w:tab w:val="left" w:pos="540"/>
        </w:tabs>
        <w:ind w:left="540" w:hanging="540"/>
        <w:jc w:val="both"/>
        <w:rPr>
          <w:del w:id="15330" w:author="AbbVie14" w:date="2025-05-09T10:59:00Z"/>
          <w:sz w:val="22"/>
          <w:szCs w:val="22"/>
        </w:rPr>
      </w:pPr>
      <w:del w:id="15331" w:author="AbbVie14" w:date="2025-05-09T10:59:00Z">
        <w:r w:rsidRPr="00295E71">
          <w:rPr>
            <w:sz w:val="22"/>
            <w:szCs w:val="22"/>
          </w:rPr>
          <w:delText xml:space="preserve">Usare uno dei tamponi imbevuti di alcol per pulire il tappo del flaconcino. </w:delText>
        </w:r>
      </w:del>
      <w:del w:id="15332" w:author="AbbVie14" w:date="2025-05-09T10:59:00Z">
        <w:r w:rsidRPr="00295E71">
          <w:rPr>
            <w:b/>
            <w:sz w:val="22"/>
            <w:szCs w:val="22"/>
          </w:rPr>
          <w:delText>NON</w:delText>
        </w:r>
      </w:del>
      <w:del w:id="15333" w:author="AbbVie14" w:date="2025-05-09T10:59:00Z">
        <w:r w:rsidRPr="00295E71">
          <w:rPr>
            <w:sz w:val="22"/>
            <w:szCs w:val="22"/>
          </w:rPr>
          <w:delText xml:space="preserve"> toccare il tappo del flaconcino dopo averlo pulito con il tampone.</w:delText>
        </w:r>
      </w:del>
    </w:p>
    <w:p w:rsidR="006224C2" w:rsidRPr="00295E71" w14:paraId="050B75F6" w14:textId="77777777">
      <w:pPr>
        <w:numPr>
          <w:ilvl w:val="0"/>
          <w:numId w:val="33"/>
        </w:numPr>
        <w:tabs>
          <w:tab w:val="num" w:pos="540"/>
          <w:tab w:val="left" w:pos="567"/>
          <w:tab w:val="clear" w:pos="720"/>
        </w:tabs>
        <w:ind w:left="540" w:hanging="540"/>
        <w:jc w:val="both"/>
        <w:rPr>
          <w:del w:id="15334" w:author="AbbVie14" w:date="2025-05-09T10:59:00Z"/>
          <w:sz w:val="22"/>
          <w:szCs w:val="22"/>
        </w:rPr>
      </w:pPr>
      <w:del w:id="15335" w:author="AbbVie14" w:date="2025-05-09T10:59:00Z">
        <w:r w:rsidRPr="00295E71">
          <w:rPr>
            <w:sz w:val="22"/>
            <w:szCs w:val="22"/>
          </w:rPr>
          <w:delText>Rimuovere la copertura della confezione dell’adattatore per flaconcino senza tirarlo fuori dalla confezione.</w:delText>
        </w:r>
      </w:del>
    </w:p>
    <w:p w:rsidR="006224C2" w:rsidRPr="00295E71" w14:paraId="23B906C1" w14:textId="77777777">
      <w:pPr>
        <w:tabs>
          <w:tab w:val="left" w:pos="567"/>
        </w:tabs>
        <w:ind w:left="360"/>
        <w:jc w:val="center"/>
        <w:rPr>
          <w:del w:id="15336" w:author="AbbVie14" w:date="2025-05-09T10:59:00Z"/>
          <w:sz w:val="22"/>
          <w:szCs w:val="22"/>
        </w:rPr>
      </w:pPr>
      <w:del w:id="15337" w:author="AbbVie14" w:date="2025-05-09T10:59:00Z">
        <w:r w:rsidRPr="00910CE7">
          <w:rPr>
            <w:noProof/>
            <w:sz w:val="22"/>
            <w:lang w:val="en-GB"/>
          </w:rPr>
          <w:drawing>
            <wp:inline distT="0" distB="0" distL="0" distR="0">
              <wp:extent cx="1819275" cy="1809750"/>
              <wp:effectExtent l="1905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noChangeArrowheads="1"/>
                      </pic:cNvPicPr>
                    </pic:nvPicPr>
                    <pic:blipFill>
                      <a:blip xmlns:r="http://schemas.openxmlformats.org/officeDocument/2006/relationships" r:embed="rId41" cstate="print"/>
                      <a:stretch>
                        <a:fillRect/>
                      </a:stretch>
                    </pic:blipFill>
                    <pic:spPr bwMode="auto">
                      <a:xfrm>
                        <a:off x="0" y="0"/>
                        <a:ext cx="1819275" cy="1809750"/>
                      </a:xfrm>
                      <a:prstGeom prst="rect">
                        <a:avLst/>
                      </a:prstGeom>
                      <a:noFill/>
                      <a:ln w="9525">
                        <a:noFill/>
                        <a:miter lim="800000"/>
                        <a:headEnd/>
                        <a:tailEnd/>
                      </a:ln>
                    </pic:spPr>
                  </pic:pic>
                </a:graphicData>
              </a:graphic>
            </wp:inline>
          </w:drawing>
        </w:r>
      </w:del>
    </w:p>
    <w:p w:rsidR="006224C2" w:rsidRPr="00295E71" w14:paraId="0C44F049" w14:textId="77777777">
      <w:pPr>
        <w:tabs>
          <w:tab w:val="left" w:pos="567"/>
        </w:tabs>
        <w:ind w:left="720"/>
        <w:rPr>
          <w:del w:id="15338" w:author="AbbVie14" w:date="2025-05-09T10:59:00Z"/>
          <w:sz w:val="22"/>
          <w:szCs w:val="22"/>
        </w:rPr>
      </w:pPr>
    </w:p>
    <w:p w:rsidR="006224C2" w:rsidRPr="00295E71" w14:paraId="4BC2CFA6" w14:textId="77777777">
      <w:pPr>
        <w:numPr>
          <w:ilvl w:val="0"/>
          <w:numId w:val="34"/>
        </w:numPr>
        <w:tabs>
          <w:tab w:val="left" w:pos="567"/>
        </w:tabs>
        <w:ind w:hanging="1080"/>
        <w:jc w:val="both"/>
        <w:rPr>
          <w:del w:id="15339" w:author="AbbVie14" w:date="2025-05-09T10:59:00Z"/>
          <w:sz w:val="22"/>
          <w:szCs w:val="22"/>
        </w:rPr>
      </w:pPr>
      <w:del w:id="15340" w:author="AbbVie14" w:date="2025-05-09T10:59:00Z">
        <w:r w:rsidRPr="00295E71">
          <w:rPr>
            <w:sz w:val="22"/>
            <w:szCs w:val="22"/>
          </w:rPr>
          <w:delText>Tenere il flaconcino con il tappo a faccia in sù.</w:delText>
        </w:r>
      </w:del>
    </w:p>
    <w:p w:rsidR="006224C2" w:rsidRPr="00295E71" w14:paraId="0BA4F6D0" w14:textId="77777777">
      <w:pPr>
        <w:numPr>
          <w:ilvl w:val="0"/>
          <w:numId w:val="34"/>
        </w:numPr>
        <w:tabs>
          <w:tab w:val="num" w:pos="540"/>
          <w:tab w:val="left" w:pos="567"/>
          <w:tab w:val="clear" w:pos="1080"/>
        </w:tabs>
        <w:ind w:left="540" w:hanging="540"/>
        <w:jc w:val="both"/>
        <w:rPr>
          <w:del w:id="15341" w:author="AbbVie14" w:date="2025-05-09T10:59:00Z"/>
          <w:sz w:val="22"/>
          <w:szCs w:val="22"/>
        </w:rPr>
      </w:pPr>
      <w:del w:id="15342" w:author="AbbVie14" w:date="2025-05-09T10:59:00Z">
        <w:r w:rsidRPr="00295E71">
          <w:rPr>
            <w:sz w:val="22"/>
            <w:szCs w:val="22"/>
          </w:rPr>
          <w:delText>Con l’adattatore per f</w:delText>
        </w:r>
      </w:del>
      <w:del w:id="15343" w:author="AbbVie14" w:date="2025-05-09T10:59:00Z">
        <w:r w:rsidRPr="00295E71" w:rsidR="00F92553">
          <w:rPr>
            <w:sz w:val="22"/>
            <w:szCs w:val="22"/>
          </w:rPr>
          <w:delText>l</w:delText>
        </w:r>
      </w:del>
      <w:del w:id="15344" w:author="AbbVie14" w:date="2025-05-09T10:59:00Z">
        <w:r w:rsidRPr="00295E71">
          <w:rPr>
            <w:sz w:val="22"/>
            <w:szCs w:val="22"/>
          </w:rPr>
          <w:delText>aconcini ancora nella confezione trasparente, attaccarlo al tappo del flaconcino spingendolo fino a quando l’adattatore non scatta.</w:delText>
        </w:r>
      </w:del>
    </w:p>
    <w:p w:rsidR="006224C2" w:rsidRPr="00295E71" w14:paraId="529D456E" w14:textId="77777777">
      <w:pPr>
        <w:numPr>
          <w:ilvl w:val="0"/>
          <w:numId w:val="34"/>
        </w:numPr>
        <w:tabs>
          <w:tab w:val="num" w:pos="540"/>
          <w:tab w:val="left" w:pos="567"/>
          <w:tab w:val="clear" w:pos="1080"/>
        </w:tabs>
        <w:ind w:hanging="1080"/>
        <w:jc w:val="both"/>
        <w:rPr>
          <w:del w:id="15345" w:author="AbbVie14" w:date="2025-05-09T10:59:00Z"/>
          <w:sz w:val="22"/>
          <w:szCs w:val="22"/>
        </w:rPr>
      </w:pPr>
      <w:del w:id="15346" w:author="AbbVie14" w:date="2025-05-09T10:59:00Z">
        <w:r w:rsidRPr="00295E71">
          <w:rPr>
            <w:sz w:val="22"/>
            <w:szCs w:val="22"/>
          </w:rPr>
          <w:delText>Quando si è sicuri che l’adattatore è attaccato al flaconcino, tirare via la confezione dallo stesso.</w:delText>
        </w:r>
      </w:del>
    </w:p>
    <w:p w:rsidR="006224C2" w:rsidRPr="00295E71" w14:paraId="767D6BD1" w14:textId="77777777">
      <w:pPr>
        <w:rPr>
          <w:del w:id="15347" w:author="AbbVie14" w:date="2025-05-09T10:59:00Z"/>
          <w:sz w:val="22"/>
          <w:szCs w:val="22"/>
        </w:rPr>
      </w:pPr>
    </w:p>
    <w:p w:rsidR="006224C2" w:rsidRPr="00295E71" w14:paraId="449E2F7B" w14:textId="77777777">
      <w:pPr>
        <w:numPr>
          <w:ilvl w:val="0"/>
          <w:numId w:val="34"/>
        </w:numPr>
        <w:tabs>
          <w:tab w:val="num" w:pos="540"/>
          <w:tab w:val="left" w:pos="567"/>
          <w:tab w:val="clear" w:pos="1080"/>
        </w:tabs>
        <w:ind w:left="567" w:hanging="567"/>
        <w:jc w:val="both"/>
        <w:rPr>
          <w:del w:id="15348" w:author="AbbVie14" w:date="2025-05-09T10:59:00Z"/>
          <w:sz w:val="22"/>
          <w:szCs w:val="22"/>
        </w:rPr>
      </w:pPr>
      <w:del w:id="15349" w:author="AbbVie14" w:date="2025-05-09T10:59:00Z">
        <w:r w:rsidRPr="00295E71">
          <w:rPr>
            <w:sz w:val="22"/>
            <w:szCs w:val="22"/>
          </w:rPr>
          <w:tab/>
          <w:delText xml:space="preserve">Deporre gentilmente il flaconcino e l’adattatore su una superficie di lavoro pulita, facendo attenzione che non cada. </w:delText>
        </w:r>
      </w:del>
      <w:del w:id="15350" w:author="AbbVie14" w:date="2025-05-09T10:59:00Z">
        <w:r w:rsidRPr="00295E71">
          <w:rPr>
            <w:b/>
            <w:sz w:val="22"/>
            <w:szCs w:val="22"/>
          </w:rPr>
          <w:delText>NON</w:delText>
        </w:r>
      </w:del>
      <w:del w:id="15351" w:author="AbbVie14" w:date="2025-05-09T10:59:00Z">
        <w:r w:rsidRPr="00295E71">
          <w:rPr>
            <w:sz w:val="22"/>
            <w:szCs w:val="22"/>
          </w:rPr>
          <w:delText xml:space="preserve"> toccare l’adattatore.</w:delText>
        </w:r>
      </w:del>
    </w:p>
    <w:p w:rsidR="006224C2" w:rsidRPr="00295E71" w14:paraId="03905396" w14:textId="77777777">
      <w:pPr>
        <w:tabs>
          <w:tab w:val="left" w:pos="567"/>
        </w:tabs>
        <w:rPr>
          <w:del w:id="15352" w:author="AbbVie14" w:date="2025-05-09T10:59:00Z"/>
          <w:sz w:val="22"/>
          <w:szCs w:val="22"/>
        </w:rPr>
      </w:pPr>
    </w:p>
    <w:p w:rsidR="006224C2" w:rsidRPr="00295E71" w14:paraId="52E3430F" w14:textId="77777777">
      <w:pPr>
        <w:tabs>
          <w:tab w:val="left" w:pos="567"/>
        </w:tabs>
        <w:jc w:val="center"/>
        <w:rPr>
          <w:del w:id="15353" w:author="AbbVie14" w:date="2025-05-09T10:59:00Z"/>
          <w:sz w:val="22"/>
          <w:szCs w:val="22"/>
        </w:rPr>
      </w:pPr>
      <w:del w:id="15354" w:author="AbbVie14" w:date="2025-05-09T10:59:00Z">
        <w:r w:rsidRPr="00910CE7">
          <w:rPr>
            <w:noProof/>
            <w:sz w:val="22"/>
            <w:lang w:val="en-GB"/>
          </w:rPr>
          <w:drawing>
            <wp:inline distT="0" distB="0" distL="0" distR="0">
              <wp:extent cx="3990975" cy="1885950"/>
              <wp:effectExtent l="1905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noChangeArrowheads="1"/>
                      </pic:cNvPicPr>
                    </pic:nvPicPr>
                    <pic:blipFill>
                      <a:blip xmlns:r="http://schemas.openxmlformats.org/officeDocument/2006/relationships" r:embed="rId42" cstate="print"/>
                      <a:stretch>
                        <a:fillRect/>
                      </a:stretch>
                    </pic:blipFill>
                    <pic:spPr bwMode="auto">
                      <a:xfrm>
                        <a:off x="0" y="0"/>
                        <a:ext cx="3990975" cy="1885950"/>
                      </a:xfrm>
                      <a:prstGeom prst="rect">
                        <a:avLst/>
                      </a:prstGeom>
                      <a:noFill/>
                      <a:ln w="9525">
                        <a:noFill/>
                        <a:miter lim="800000"/>
                        <a:headEnd/>
                        <a:tailEnd/>
                      </a:ln>
                    </pic:spPr>
                  </pic:pic>
                </a:graphicData>
              </a:graphic>
            </wp:inline>
          </w:drawing>
        </w:r>
      </w:del>
    </w:p>
    <w:p w:rsidR="006224C2" w:rsidRPr="00295E71" w14:paraId="73907EAC" w14:textId="77777777">
      <w:pPr>
        <w:tabs>
          <w:tab w:val="left" w:pos="567"/>
        </w:tabs>
        <w:jc w:val="center"/>
        <w:rPr>
          <w:del w:id="15355" w:author="AbbVie14" w:date="2025-05-09T10:59:00Z"/>
          <w:sz w:val="22"/>
          <w:szCs w:val="22"/>
        </w:rPr>
      </w:pPr>
    </w:p>
    <w:p w:rsidR="006224C2" w:rsidRPr="00295E71" w14:paraId="09587FBA" w14:textId="77777777">
      <w:pPr>
        <w:numPr>
          <w:ilvl w:val="0"/>
          <w:numId w:val="16"/>
        </w:numPr>
        <w:tabs>
          <w:tab w:val="clear" w:pos="360"/>
          <w:tab w:val="left" w:pos="540"/>
          <w:tab w:val="left" w:pos="567"/>
        </w:tabs>
        <w:ind w:left="540" w:hanging="540"/>
        <w:jc w:val="both"/>
        <w:rPr>
          <w:del w:id="15356" w:author="AbbVie14" w:date="2025-05-09T10:59:00Z"/>
          <w:sz w:val="22"/>
          <w:szCs w:val="22"/>
        </w:rPr>
      </w:pPr>
      <w:del w:id="15357" w:author="AbbVie14" w:date="2025-05-09T10:59:00Z">
        <w:r w:rsidRPr="00295E71">
          <w:rPr>
            <w:sz w:val="22"/>
            <w:szCs w:val="22"/>
          </w:rPr>
          <w:delText>Preparare la siringa aprendo parzialmente la confezione dall’estremità più vicina allo</w:delText>
        </w:r>
      </w:del>
      <w:del w:id="15358" w:author="AbbVie14" w:date="2025-05-09T10:59:00Z">
        <w:r w:rsidRPr="00295E71" w:rsidR="006038EE">
          <w:rPr>
            <w:sz w:val="22"/>
            <w:szCs w:val="22"/>
          </w:rPr>
          <w:delText xml:space="preserve"> </w:delText>
        </w:r>
      </w:del>
      <w:del w:id="15359" w:author="AbbVie14" w:date="2025-05-09T10:59:00Z">
        <w:r w:rsidRPr="00295E71">
          <w:rPr>
            <w:sz w:val="22"/>
            <w:szCs w:val="22"/>
          </w:rPr>
          <w:delText>stantuffo bianco.</w:delText>
        </w:r>
      </w:del>
    </w:p>
    <w:p w:rsidR="006224C2" w:rsidRPr="00295E71" w14:paraId="2328C422" w14:textId="77777777">
      <w:pPr>
        <w:numPr>
          <w:ilvl w:val="0"/>
          <w:numId w:val="16"/>
        </w:numPr>
        <w:tabs>
          <w:tab w:val="clear" w:pos="360"/>
          <w:tab w:val="left" w:pos="540"/>
          <w:tab w:val="left" w:pos="567"/>
        </w:tabs>
        <w:ind w:left="540" w:hanging="540"/>
        <w:jc w:val="both"/>
        <w:rPr>
          <w:del w:id="15360" w:author="AbbVie14" w:date="2025-05-09T10:59:00Z"/>
          <w:sz w:val="22"/>
          <w:szCs w:val="22"/>
        </w:rPr>
      </w:pPr>
      <w:del w:id="15361" w:author="AbbVie14" w:date="2025-05-09T10:59:00Z">
        <w:r w:rsidRPr="00295E71">
          <w:rPr>
            <w:sz w:val="22"/>
            <w:szCs w:val="22"/>
          </w:rPr>
          <w:delText>Aprire la confezione trasparente quanto basta ad esporre lo</w:delText>
        </w:r>
      </w:del>
      <w:del w:id="15362" w:author="AbbVie14" w:date="2025-05-09T10:59:00Z">
        <w:r w:rsidRPr="00295E71" w:rsidR="006038EE">
          <w:rPr>
            <w:sz w:val="22"/>
            <w:szCs w:val="22"/>
          </w:rPr>
          <w:delText xml:space="preserve"> </w:delText>
        </w:r>
      </w:del>
      <w:del w:id="15363" w:author="AbbVie14" w:date="2025-05-09T10:59:00Z">
        <w:r w:rsidRPr="00295E71">
          <w:rPr>
            <w:sz w:val="22"/>
            <w:szCs w:val="22"/>
          </w:rPr>
          <w:delText>stantuffo bianco senza tirare fuori la siringa dalla sua confezione.</w:delText>
        </w:r>
      </w:del>
    </w:p>
    <w:p w:rsidR="006224C2" w:rsidRPr="00295E71" w14:paraId="6DF923B7" w14:textId="77777777">
      <w:pPr>
        <w:numPr>
          <w:ilvl w:val="0"/>
          <w:numId w:val="16"/>
        </w:numPr>
        <w:tabs>
          <w:tab w:val="clear" w:pos="360"/>
          <w:tab w:val="left" w:pos="540"/>
          <w:tab w:val="left" w:pos="567"/>
        </w:tabs>
        <w:ind w:left="540" w:hanging="540"/>
        <w:jc w:val="both"/>
        <w:rPr>
          <w:del w:id="15364" w:author="AbbVie14" w:date="2025-05-09T10:59:00Z"/>
          <w:sz w:val="22"/>
          <w:szCs w:val="22"/>
        </w:rPr>
      </w:pPr>
      <w:del w:id="15365" w:author="AbbVie14" w:date="2025-05-09T10:59:00Z">
        <w:r w:rsidRPr="00295E71">
          <w:rPr>
            <w:sz w:val="22"/>
            <w:szCs w:val="22"/>
          </w:rPr>
          <w:delText xml:space="preserve">Mantenere la confezione della siringa, far uscire </w:delText>
        </w:r>
      </w:del>
      <w:del w:id="15366" w:author="AbbVie14" w:date="2025-05-09T10:59:00Z">
        <w:r w:rsidRPr="00295E71">
          <w:rPr>
            <w:b/>
            <w:sz w:val="22"/>
            <w:szCs w:val="22"/>
          </w:rPr>
          <w:delText>LENTAMENTE</w:delText>
        </w:r>
      </w:del>
      <w:del w:id="15367" w:author="AbbVie14" w:date="2025-05-09T10:59:00Z">
        <w:r w:rsidRPr="00295E71" w:rsidR="006038EE">
          <w:rPr>
            <w:b/>
            <w:sz w:val="22"/>
            <w:szCs w:val="22"/>
          </w:rPr>
          <w:delText xml:space="preserve"> </w:delText>
        </w:r>
      </w:del>
      <w:del w:id="15368" w:author="AbbVie14" w:date="2025-05-09T10:59:00Z">
        <w:r w:rsidRPr="00295E71">
          <w:rPr>
            <w:sz w:val="22"/>
            <w:szCs w:val="22"/>
          </w:rPr>
          <w:delText>lo</w:delText>
        </w:r>
      </w:del>
      <w:del w:id="15369" w:author="AbbVie14" w:date="2025-05-09T10:59:00Z">
        <w:r w:rsidRPr="00295E71" w:rsidR="006038EE">
          <w:rPr>
            <w:sz w:val="22"/>
            <w:szCs w:val="22"/>
          </w:rPr>
          <w:delText xml:space="preserve"> </w:delText>
        </w:r>
      </w:del>
      <w:del w:id="15370" w:author="AbbVie14" w:date="2025-05-09T10:59:00Z">
        <w:r w:rsidRPr="00295E71">
          <w:rPr>
            <w:sz w:val="22"/>
            <w:szCs w:val="22"/>
          </w:rPr>
          <w:delText>stantuffo 0,1 ml al di sopra della dose prescritta (per esempio, se la dose prescritta è 0,5 ml, spingere lo</w:delText>
        </w:r>
      </w:del>
      <w:del w:id="15371" w:author="AbbVie14" w:date="2025-05-09T10:59:00Z">
        <w:r w:rsidR="00114AD7">
          <w:rPr>
            <w:sz w:val="22"/>
            <w:szCs w:val="22"/>
          </w:rPr>
          <w:delText xml:space="preserve"> </w:delText>
        </w:r>
      </w:del>
      <w:del w:id="15372" w:author="AbbVie14" w:date="2025-05-09T10:59:00Z">
        <w:r w:rsidRPr="00295E71">
          <w:rPr>
            <w:sz w:val="22"/>
            <w:szCs w:val="22"/>
          </w:rPr>
          <w:delText xml:space="preserve">stantuffo fino a 0,6 ml). Non superare </w:delText>
        </w:r>
      </w:del>
      <w:del w:id="15373" w:author="AbbVie14" w:date="2025-05-09T10:59:00Z">
        <w:r w:rsidRPr="00295E71">
          <w:rPr>
            <w:b/>
            <w:sz w:val="22"/>
            <w:szCs w:val="22"/>
          </w:rPr>
          <w:delText>MAI</w:delText>
        </w:r>
      </w:del>
      <w:del w:id="15374" w:author="AbbVie14" w:date="2025-05-09T10:59:00Z">
        <w:r w:rsidRPr="00295E71" w:rsidR="00E3671D">
          <w:rPr>
            <w:b/>
            <w:sz w:val="22"/>
            <w:szCs w:val="22"/>
          </w:rPr>
          <w:delText xml:space="preserve"> </w:delText>
        </w:r>
      </w:del>
      <w:del w:id="15375" w:author="AbbVie14" w:date="2025-05-09T10:59:00Z">
        <w:r w:rsidRPr="00295E71">
          <w:rPr>
            <w:sz w:val="22"/>
            <w:szCs w:val="22"/>
          </w:rPr>
          <w:delText>la posizione corrispondente a 0,9 ml indipendentemente dalla dose prescritta.</w:delText>
        </w:r>
      </w:del>
    </w:p>
    <w:p w:rsidR="006224C2" w:rsidRPr="00295E71" w14:paraId="09DC1BBE" w14:textId="77777777">
      <w:pPr>
        <w:numPr>
          <w:ilvl w:val="0"/>
          <w:numId w:val="16"/>
        </w:numPr>
        <w:tabs>
          <w:tab w:val="clear" w:pos="360"/>
          <w:tab w:val="left" w:pos="540"/>
          <w:tab w:val="left" w:pos="567"/>
        </w:tabs>
        <w:ind w:left="540" w:hanging="540"/>
        <w:jc w:val="both"/>
        <w:rPr>
          <w:del w:id="15376" w:author="AbbVie14" w:date="2025-05-09T10:59:00Z"/>
          <w:sz w:val="22"/>
          <w:szCs w:val="22"/>
        </w:rPr>
      </w:pPr>
      <w:del w:id="15377" w:author="AbbVie14" w:date="2025-05-09T10:59:00Z">
        <w:r w:rsidRPr="00295E71">
          <w:rPr>
            <w:sz w:val="22"/>
            <w:szCs w:val="22"/>
          </w:rPr>
          <w:delText>Il volume verrà regolato fino alla dose prescritta in un passaggio successivo.</w:delText>
        </w:r>
      </w:del>
    </w:p>
    <w:p w:rsidR="006224C2" w:rsidRPr="00295E71" w14:paraId="5C211007" w14:textId="77777777">
      <w:pPr>
        <w:numPr>
          <w:ilvl w:val="0"/>
          <w:numId w:val="16"/>
        </w:numPr>
        <w:tabs>
          <w:tab w:val="clear" w:pos="360"/>
          <w:tab w:val="left" w:pos="540"/>
          <w:tab w:val="left" w:pos="567"/>
        </w:tabs>
        <w:ind w:left="540" w:hanging="540"/>
        <w:jc w:val="both"/>
        <w:rPr>
          <w:del w:id="15378" w:author="AbbVie14" w:date="2025-05-09T10:59:00Z"/>
          <w:sz w:val="22"/>
          <w:szCs w:val="22"/>
        </w:rPr>
      </w:pPr>
      <w:del w:id="15379" w:author="AbbVie14" w:date="2025-05-09T10:59:00Z">
        <w:r w:rsidRPr="00295E71">
          <w:rPr>
            <w:b/>
            <w:sz w:val="22"/>
            <w:szCs w:val="22"/>
          </w:rPr>
          <w:delText>NON</w:delText>
        </w:r>
      </w:del>
      <w:del w:id="15380" w:author="AbbVie14" w:date="2025-05-09T10:59:00Z">
        <w:r w:rsidRPr="00295E71">
          <w:rPr>
            <w:sz w:val="22"/>
            <w:szCs w:val="22"/>
          </w:rPr>
          <w:delText xml:space="preserve"> spingere lo stantuffo bianco completamente fuori dalla siringa.</w:delText>
        </w:r>
      </w:del>
    </w:p>
    <w:p w:rsidR="006224C2" w:rsidRPr="00295E71" w14:paraId="7B70CBBC" w14:textId="77777777">
      <w:pPr>
        <w:tabs>
          <w:tab w:val="left" w:pos="540"/>
          <w:tab w:val="left" w:pos="567"/>
        </w:tabs>
        <w:jc w:val="both"/>
        <w:rPr>
          <w:del w:id="15381" w:author="AbbVie14" w:date="2025-05-09T10:59:00Z"/>
          <w:sz w:val="22"/>
          <w:szCs w:val="22"/>
        </w:rPr>
      </w:pPr>
    </w:p>
    <w:p w:rsidR="006224C2" w:rsidRPr="00295E71" w14:paraId="3144DA6B" w14:textId="77777777">
      <w:pPr>
        <w:tabs>
          <w:tab w:val="left" w:pos="540"/>
          <w:tab w:val="left" w:pos="567"/>
        </w:tabs>
        <w:jc w:val="both"/>
        <w:rPr>
          <w:del w:id="15382" w:author="AbbVie14" w:date="2025-05-09T10:59:00Z"/>
          <w:sz w:val="22"/>
          <w:szCs w:val="22"/>
        </w:rPr>
      </w:pPr>
      <w:del w:id="15383" w:author="AbbVie14" w:date="2025-05-09T10:59:00Z">
        <w:r w:rsidRPr="00295E71">
          <w:rPr>
            <w:b/>
            <w:sz w:val="22"/>
            <w:szCs w:val="22"/>
          </w:rPr>
          <w:delText>NOTA</w:delText>
        </w:r>
      </w:del>
      <w:del w:id="15384" w:author="AbbVie14" w:date="2025-05-09T10:59:00Z">
        <w:r w:rsidRPr="00295E71">
          <w:rPr>
            <w:sz w:val="22"/>
            <w:szCs w:val="22"/>
          </w:rPr>
          <w:delText>:</w:delText>
        </w:r>
      </w:del>
    </w:p>
    <w:p w:rsidR="006224C2" w:rsidRPr="00295E71" w14:paraId="397BFCBC" w14:textId="77777777">
      <w:pPr>
        <w:tabs>
          <w:tab w:val="left" w:pos="540"/>
          <w:tab w:val="left" w:pos="567"/>
        </w:tabs>
        <w:jc w:val="both"/>
        <w:rPr>
          <w:del w:id="15385" w:author="AbbVie14" w:date="2025-05-09T10:59:00Z"/>
          <w:sz w:val="22"/>
          <w:szCs w:val="22"/>
        </w:rPr>
      </w:pPr>
    </w:p>
    <w:p w:rsidR="006224C2" w:rsidRPr="00295E71" w14:paraId="649B852C" w14:textId="77777777">
      <w:pPr>
        <w:tabs>
          <w:tab w:val="left" w:pos="0"/>
        </w:tabs>
        <w:jc w:val="both"/>
        <w:rPr>
          <w:del w:id="15386" w:author="AbbVie14" w:date="2025-05-09T10:59:00Z"/>
          <w:sz w:val="22"/>
          <w:szCs w:val="22"/>
        </w:rPr>
      </w:pPr>
      <w:del w:id="15387" w:author="AbbVie14" w:date="2025-05-09T10:59:00Z">
        <w:r w:rsidRPr="00295E71">
          <w:rPr>
            <w:sz w:val="22"/>
            <w:szCs w:val="22"/>
          </w:rPr>
          <w:delText>Se lo</w:delText>
        </w:r>
      </w:del>
      <w:del w:id="15388" w:author="AbbVie14" w:date="2025-05-09T10:59:00Z">
        <w:r w:rsidRPr="00295E71" w:rsidR="00F92553">
          <w:rPr>
            <w:sz w:val="22"/>
            <w:szCs w:val="22"/>
          </w:rPr>
          <w:delText xml:space="preserve"> </w:delText>
        </w:r>
      </w:del>
      <w:del w:id="15389" w:author="AbbVie14" w:date="2025-05-09T10:59:00Z">
        <w:r w:rsidRPr="00295E71">
          <w:rPr>
            <w:sz w:val="22"/>
            <w:szCs w:val="22"/>
          </w:rPr>
          <w:delText>stantuffo bianco è spinto completamente fuori dalla siringa, scartare la siringa e contattare il</w:delText>
        </w:r>
      </w:del>
      <w:del w:id="15390" w:author="AbbVie14" w:date="2025-05-09T10:59:00Z">
        <w:r w:rsidRPr="00295E71" w:rsidR="00F92553">
          <w:rPr>
            <w:sz w:val="22"/>
            <w:szCs w:val="22"/>
          </w:rPr>
          <w:delText xml:space="preserve"> </w:delText>
        </w:r>
      </w:del>
      <w:del w:id="15391" w:author="AbbVie14" w:date="2025-05-09T10:59:00Z">
        <w:r w:rsidRPr="00295E71">
          <w:rPr>
            <w:sz w:val="22"/>
            <w:szCs w:val="22"/>
          </w:rPr>
          <w:delText xml:space="preserve">fornitore di Humira per la sostituzione. </w:delText>
        </w:r>
      </w:del>
      <w:del w:id="15392" w:author="AbbVie14" w:date="2025-05-09T10:59:00Z">
        <w:r w:rsidRPr="00295E71">
          <w:rPr>
            <w:b/>
            <w:sz w:val="22"/>
            <w:szCs w:val="22"/>
          </w:rPr>
          <w:delText>NON</w:delText>
        </w:r>
      </w:del>
      <w:del w:id="15393" w:author="AbbVie14" w:date="2025-05-09T10:59:00Z">
        <w:r w:rsidRPr="00295E71">
          <w:rPr>
            <w:sz w:val="22"/>
            <w:szCs w:val="22"/>
          </w:rPr>
          <w:delText xml:space="preserve"> cercare di inserire nuovamente lo stantuffo bianco.</w:delText>
        </w:r>
      </w:del>
    </w:p>
    <w:p w:rsidR="006224C2" w:rsidRPr="00295E71" w14:paraId="3D50D0C3" w14:textId="77777777">
      <w:pPr>
        <w:tabs>
          <w:tab w:val="left" w:pos="540"/>
          <w:tab w:val="left" w:pos="567"/>
        </w:tabs>
        <w:jc w:val="center"/>
        <w:rPr>
          <w:del w:id="15394" w:author="AbbVie14" w:date="2025-05-09T10:59:00Z"/>
          <w:sz w:val="22"/>
          <w:szCs w:val="22"/>
        </w:rPr>
      </w:pPr>
    </w:p>
    <w:tbl>
      <w:tblPr>
        <w:tblW w:w="0" w:type="auto"/>
        <w:tblLook w:val="01E0"/>
      </w:tblPr>
      <w:tblGrid>
        <w:gridCol w:w="4587"/>
        <w:gridCol w:w="4483"/>
      </w:tblGrid>
      <w:tr w14:paraId="27C29DCC" w14:textId="77777777">
        <w:tblPrEx>
          <w:tblW w:w="0" w:type="auto"/>
          <w:tblLook w:val="01E0"/>
        </w:tblPrEx>
        <w:trPr>
          <w:del w:id="15395" w:author="AbbVie14" w:date="2025-05-09T10:59:00Z"/>
        </w:trPr>
        <w:tc>
          <w:tcPr>
            <w:tcW w:w="4643" w:type="dxa"/>
          </w:tcPr>
          <w:p w:rsidR="006224C2" w:rsidRPr="00295E71" w14:paraId="60659245" w14:textId="77777777">
            <w:pPr>
              <w:pStyle w:val="EMEANormal"/>
              <w:jc w:val="right"/>
              <w:rPr>
                <w:del w:id="15396" w:author="AbbVie14" w:date="2025-05-09T10:59:00Z"/>
                <w:lang w:val="it-IT"/>
              </w:rPr>
            </w:pPr>
            <w:del w:id="15397" w:author="AbbVie14" w:date="2025-05-09T10:59:00Z">
              <w:r w:rsidRPr="00910CE7">
                <w:rPr>
                  <w:noProof/>
                  <w:lang w:val="en-GB"/>
                </w:rPr>
                <w:drawing>
                  <wp:inline distT="0" distB="0" distL="0" distR="0">
                    <wp:extent cx="1895475" cy="1895475"/>
                    <wp:effectExtent l="19050" t="0" r="952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noChangeArrowheads="1"/>
                            </pic:cNvPicPr>
                          </pic:nvPicPr>
                          <pic:blipFill>
                            <a:blip xmlns:r="http://schemas.openxmlformats.org/officeDocument/2006/relationships" r:embed="rId43" cstate="print"/>
                            <a:stretch>
                              <a:fillRect/>
                            </a:stretch>
                          </pic:blipFill>
                          <pic:spPr bwMode="auto">
                            <a:xfrm>
                              <a:off x="0" y="0"/>
                              <a:ext cx="1895475" cy="1895475"/>
                            </a:xfrm>
                            <a:prstGeom prst="rect">
                              <a:avLst/>
                            </a:prstGeom>
                            <a:noFill/>
                            <a:ln w="9525">
                              <a:noFill/>
                              <a:miter lim="800000"/>
                              <a:headEnd/>
                              <a:tailEnd/>
                            </a:ln>
                          </pic:spPr>
                        </pic:pic>
                      </a:graphicData>
                    </a:graphic>
                  </wp:inline>
                </w:drawing>
              </w:r>
            </w:del>
          </w:p>
        </w:tc>
        <w:tc>
          <w:tcPr>
            <w:tcW w:w="4644" w:type="dxa"/>
          </w:tcPr>
          <w:p w:rsidR="006224C2" w:rsidRPr="00295E71" w14:paraId="33A93B35" w14:textId="77777777">
            <w:pPr>
              <w:pStyle w:val="EMEANormal"/>
              <w:rPr>
                <w:del w:id="15398" w:author="AbbVie14" w:date="2025-05-09T10:59:00Z"/>
                <w:lang w:val="it-IT"/>
              </w:rPr>
            </w:pPr>
          </w:p>
          <w:p w:rsidR="006224C2" w:rsidRPr="00295E71" w14:paraId="7E51276F" w14:textId="77777777">
            <w:pPr>
              <w:pStyle w:val="EMEANormal"/>
              <w:rPr>
                <w:del w:id="15399" w:author="AbbVie14" w:date="2025-05-09T10:59:00Z"/>
                <w:lang w:val="it-IT"/>
              </w:rPr>
            </w:pPr>
          </w:p>
          <w:p w:rsidR="006224C2" w:rsidRPr="00295E71" w14:paraId="0A62BC99" w14:textId="77777777">
            <w:pPr>
              <w:pStyle w:val="EMEANormal"/>
              <w:rPr>
                <w:del w:id="15400" w:author="AbbVie14" w:date="2025-05-09T10:59:00Z"/>
                <w:lang w:val="it-IT"/>
              </w:rPr>
            </w:pPr>
          </w:p>
          <w:p w:rsidR="006224C2" w:rsidRPr="00295E71" w14:paraId="08E9E305" w14:textId="77777777">
            <w:pPr>
              <w:pStyle w:val="EMEANormal"/>
              <w:rPr>
                <w:del w:id="15401" w:author="AbbVie14" w:date="2025-05-09T10:59:00Z"/>
                <w:lang w:val="it-IT"/>
              </w:rPr>
            </w:pPr>
          </w:p>
          <w:p w:rsidR="006224C2" w:rsidRPr="00295E71" w14:paraId="0FB6FB74" w14:textId="77777777">
            <w:pPr>
              <w:pStyle w:val="EMEANormal"/>
              <w:rPr>
                <w:del w:id="15402" w:author="AbbVie14" w:date="2025-05-09T10:59:00Z"/>
                <w:lang w:val="it-IT"/>
              </w:rPr>
            </w:pPr>
          </w:p>
          <w:p w:rsidR="006224C2" w:rsidRPr="00295E71" w14:paraId="79D9534D" w14:textId="77777777">
            <w:pPr>
              <w:pStyle w:val="EMEANormal"/>
              <w:rPr>
                <w:del w:id="15403" w:author="AbbVie14" w:date="2025-05-09T10:59:00Z"/>
                <w:lang w:val="it-IT"/>
              </w:rPr>
            </w:pPr>
          </w:p>
          <w:p w:rsidR="006224C2" w:rsidRPr="00295E71" w14:paraId="215D99BA" w14:textId="77777777">
            <w:pPr>
              <w:pStyle w:val="EMEANormal"/>
              <w:rPr>
                <w:del w:id="15404" w:author="AbbVie14" w:date="2025-05-09T10:59:00Z"/>
                <w:lang w:val="it-IT"/>
              </w:rPr>
            </w:pPr>
          </w:p>
          <w:p w:rsidR="006224C2" w:rsidRPr="00295E71" w14:paraId="1EDF25A7" w14:textId="77777777">
            <w:pPr>
              <w:pStyle w:val="EMEANormal"/>
              <w:rPr>
                <w:del w:id="15405" w:author="AbbVie14" w:date="2025-05-09T10:59:00Z"/>
                <w:lang w:val="it-IT"/>
              </w:rPr>
            </w:pPr>
          </w:p>
          <w:p w:rsidR="006224C2" w:rsidRPr="00295E71" w14:paraId="71B42A2B" w14:textId="77777777">
            <w:pPr>
              <w:pStyle w:val="EMEANormal"/>
              <w:rPr>
                <w:del w:id="15406" w:author="AbbVie14" w:date="2025-05-09T10:59:00Z"/>
                <w:lang w:val="it-IT"/>
              </w:rPr>
            </w:pPr>
            <w:del w:id="15407" w:author="AbbVie14" w:date="2025-05-09T10:59:00Z">
              <w:r w:rsidRPr="00295E71">
                <w:rPr>
                  <w:lang w:val="it-IT"/>
                </w:rPr>
                <w:delText>Dose + 0</w:delText>
              </w:r>
            </w:del>
            <w:del w:id="15408" w:author="AbbVie14" w:date="2025-05-09T10:59:00Z">
              <w:r w:rsidR="00114AD7">
                <w:rPr>
                  <w:lang w:val="it-IT"/>
                </w:rPr>
                <w:delText>,</w:delText>
              </w:r>
            </w:del>
            <w:del w:id="15409" w:author="AbbVie14" w:date="2025-05-09T10:59:00Z">
              <w:r w:rsidRPr="00295E71">
                <w:rPr>
                  <w:lang w:val="it-IT"/>
                </w:rPr>
                <w:delText>1 mL</w:delText>
              </w:r>
            </w:del>
          </w:p>
        </w:tc>
      </w:tr>
    </w:tbl>
    <w:p w:rsidR="006224C2" w:rsidRPr="00295E71" w14:paraId="702C5D6B" w14:textId="77777777">
      <w:pPr>
        <w:tabs>
          <w:tab w:val="left" w:pos="540"/>
          <w:tab w:val="left" w:pos="567"/>
        </w:tabs>
        <w:jc w:val="center"/>
        <w:rPr>
          <w:del w:id="15410" w:author="AbbVie14" w:date="2025-05-09T10:59:00Z"/>
          <w:sz w:val="22"/>
          <w:szCs w:val="22"/>
        </w:rPr>
      </w:pPr>
    </w:p>
    <w:p w:rsidR="006224C2" w:rsidRPr="00295E71" w14:paraId="7108C88E" w14:textId="77777777">
      <w:pPr>
        <w:numPr>
          <w:ilvl w:val="0"/>
          <w:numId w:val="35"/>
        </w:numPr>
        <w:tabs>
          <w:tab w:val="num" w:pos="540"/>
          <w:tab w:val="left" w:pos="567"/>
          <w:tab w:val="clear" w:pos="720"/>
        </w:tabs>
        <w:ind w:left="540" w:hanging="540"/>
        <w:jc w:val="both"/>
        <w:rPr>
          <w:del w:id="15411" w:author="AbbVie14" w:date="2025-05-09T10:59:00Z"/>
          <w:sz w:val="22"/>
          <w:szCs w:val="22"/>
        </w:rPr>
      </w:pPr>
      <w:del w:id="15412" w:author="AbbVie14" w:date="2025-05-09T10:59:00Z">
        <w:r w:rsidRPr="00295E71">
          <w:rPr>
            <w:b/>
            <w:sz w:val="22"/>
            <w:szCs w:val="22"/>
          </w:rPr>
          <w:delText>NON</w:delText>
        </w:r>
      </w:del>
      <w:del w:id="15413" w:author="AbbVie14" w:date="2025-05-09T10:59:00Z">
        <w:r w:rsidRPr="00295E71">
          <w:rPr>
            <w:sz w:val="22"/>
            <w:szCs w:val="22"/>
          </w:rPr>
          <w:delText xml:space="preserve"> usare lo</w:delText>
        </w:r>
      </w:del>
      <w:del w:id="15414" w:author="AbbVie14" w:date="2025-05-09T10:59:00Z">
        <w:r w:rsidRPr="00295E71" w:rsidR="006038EE">
          <w:rPr>
            <w:sz w:val="22"/>
            <w:szCs w:val="22"/>
          </w:rPr>
          <w:delText xml:space="preserve"> </w:delText>
        </w:r>
      </w:del>
      <w:del w:id="15415" w:author="AbbVie14" w:date="2025-05-09T10:59:00Z">
        <w:r w:rsidRPr="00295E71">
          <w:rPr>
            <w:sz w:val="22"/>
            <w:szCs w:val="22"/>
          </w:rPr>
          <w:delText xml:space="preserve">stantuffo bianco per rimuovere la siringa dalla confezione. Tenere la siringa sulla parte graduata e tirarla fuori dalla sua confezione. </w:delText>
        </w:r>
      </w:del>
      <w:del w:id="15416" w:author="AbbVie14" w:date="2025-05-09T10:59:00Z">
        <w:r w:rsidRPr="00295E71">
          <w:rPr>
            <w:b/>
            <w:sz w:val="22"/>
            <w:szCs w:val="22"/>
          </w:rPr>
          <w:delText>NON</w:delText>
        </w:r>
      </w:del>
      <w:del w:id="15417" w:author="AbbVie14" w:date="2025-05-09T10:59:00Z">
        <w:r w:rsidRPr="00295E71" w:rsidR="006038EE">
          <w:rPr>
            <w:b/>
            <w:sz w:val="22"/>
            <w:szCs w:val="22"/>
          </w:rPr>
          <w:delText xml:space="preserve"> </w:delText>
        </w:r>
      </w:del>
      <w:del w:id="15418" w:author="AbbVie14" w:date="2025-05-09T10:59:00Z">
        <w:r w:rsidRPr="00295E71">
          <w:rPr>
            <w:sz w:val="22"/>
            <w:szCs w:val="22"/>
          </w:rPr>
          <w:delText>deporre la siringa in nessun momento.</w:delText>
        </w:r>
      </w:del>
    </w:p>
    <w:p w:rsidR="006224C2" w:rsidRPr="00295E71" w14:paraId="7902E4FF" w14:textId="77777777">
      <w:pPr>
        <w:rPr>
          <w:del w:id="15419" w:author="AbbVie14" w:date="2025-05-09T10:59:00Z"/>
          <w:sz w:val="22"/>
          <w:szCs w:val="22"/>
        </w:rPr>
      </w:pPr>
    </w:p>
    <w:p w:rsidR="006224C2" w:rsidRPr="00295E71" w14:paraId="7F17FCC0" w14:textId="77777777">
      <w:pPr>
        <w:numPr>
          <w:ilvl w:val="0"/>
          <w:numId w:val="35"/>
        </w:numPr>
        <w:tabs>
          <w:tab w:val="num" w:pos="540"/>
          <w:tab w:val="left" w:pos="567"/>
          <w:tab w:val="clear" w:pos="720"/>
        </w:tabs>
        <w:ind w:left="540" w:hanging="540"/>
        <w:jc w:val="both"/>
        <w:rPr>
          <w:del w:id="15420" w:author="AbbVie14" w:date="2025-05-09T10:59:00Z"/>
          <w:sz w:val="22"/>
          <w:szCs w:val="22"/>
        </w:rPr>
      </w:pPr>
      <w:del w:id="15421" w:author="AbbVie14" w:date="2025-05-09T10:59:00Z">
        <w:r w:rsidRPr="00295E71">
          <w:rPr>
            <w:sz w:val="22"/>
            <w:szCs w:val="22"/>
          </w:rPr>
          <w:tab/>
          <w:delText xml:space="preserve">Tenendo fermo l’adattatore, inserire la punta della siringa all’interno dell’adattatore e girare la siringa in senso orario con una mano fino a che non è fermo. </w:delText>
        </w:r>
      </w:del>
      <w:del w:id="15422" w:author="AbbVie14" w:date="2025-05-09T10:59:00Z">
        <w:r w:rsidRPr="00295E71">
          <w:rPr>
            <w:b/>
            <w:sz w:val="22"/>
            <w:szCs w:val="22"/>
          </w:rPr>
          <w:delText>NON</w:delText>
        </w:r>
      </w:del>
      <w:del w:id="15423" w:author="AbbVie14" w:date="2025-05-09T10:59:00Z">
        <w:r w:rsidRPr="00295E71">
          <w:rPr>
            <w:sz w:val="22"/>
            <w:szCs w:val="22"/>
          </w:rPr>
          <w:delText xml:space="preserve"> stringere troppo.</w:delText>
        </w:r>
      </w:del>
    </w:p>
    <w:p w:rsidR="006224C2" w:rsidRPr="00295E71" w14:paraId="5648442A" w14:textId="77777777">
      <w:pPr>
        <w:tabs>
          <w:tab w:val="left" w:pos="540"/>
          <w:tab w:val="left" w:pos="567"/>
        </w:tabs>
        <w:rPr>
          <w:del w:id="15424" w:author="AbbVie14" w:date="2025-05-09T10:59:00Z"/>
          <w:sz w:val="22"/>
          <w:szCs w:val="22"/>
        </w:rPr>
      </w:pPr>
    </w:p>
    <w:p w:rsidR="006224C2" w:rsidRPr="00295E71" w14:paraId="2D6BE72F" w14:textId="77777777">
      <w:pPr>
        <w:tabs>
          <w:tab w:val="left" w:pos="540"/>
          <w:tab w:val="left" w:pos="567"/>
        </w:tabs>
        <w:jc w:val="center"/>
        <w:rPr>
          <w:del w:id="15425" w:author="AbbVie14" w:date="2025-05-09T10:59:00Z"/>
          <w:sz w:val="22"/>
          <w:szCs w:val="22"/>
        </w:rPr>
      </w:pPr>
      <w:del w:id="15426" w:author="AbbVie14" w:date="2025-05-09T10:59:00Z">
        <w:r w:rsidRPr="00910CE7">
          <w:rPr>
            <w:noProof/>
            <w:sz w:val="22"/>
            <w:lang w:val="en-GB"/>
          </w:rPr>
          <w:drawing>
            <wp:inline distT="0" distB="0" distL="0" distR="0">
              <wp:extent cx="1857375" cy="1819275"/>
              <wp:effectExtent l="19050" t="0" r="952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a:picLocks noChangeAspect="1" noChangeArrowheads="1"/>
                      </pic:cNvPicPr>
                    </pic:nvPicPr>
                    <pic:blipFill>
                      <a:blip xmlns:r="http://schemas.openxmlformats.org/officeDocument/2006/relationships" r:embed="rId44" cstate="print"/>
                      <a:stretch>
                        <a:fillRect/>
                      </a:stretch>
                    </pic:blipFill>
                    <pic:spPr bwMode="auto">
                      <a:xfrm>
                        <a:off x="0" y="0"/>
                        <a:ext cx="1857375" cy="1819275"/>
                      </a:xfrm>
                      <a:prstGeom prst="rect">
                        <a:avLst/>
                      </a:prstGeom>
                      <a:noFill/>
                      <a:ln w="9525">
                        <a:noFill/>
                        <a:miter lim="800000"/>
                        <a:headEnd/>
                        <a:tailEnd/>
                      </a:ln>
                    </pic:spPr>
                  </pic:pic>
                </a:graphicData>
              </a:graphic>
            </wp:inline>
          </w:drawing>
        </w:r>
      </w:del>
    </w:p>
    <w:p w:rsidR="006224C2" w:rsidRPr="00295E71" w14:paraId="1F90CD71" w14:textId="77777777">
      <w:pPr>
        <w:tabs>
          <w:tab w:val="left" w:pos="540"/>
          <w:tab w:val="left" w:pos="567"/>
        </w:tabs>
        <w:rPr>
          <w:del w:id="15427" w:author="AbbVie14" w:date="2025-05-09T10:59:00Z"/>
          <w:sz w:val="22"/>
          <w:szCs w:val="22"/>
        </w:rPr>
      </w:pPr>
    </w:p>
    <w:p w:rsidR="006224C2" w:rsidRPr="00295E71" w14:paraId="112639F3" w14:textId="77777777">
      <w:pPr>
        <w:numPr>
          <w:ilvl w:val="0"/>
          <w:numId w:val="36"/>
        </w:numPr>
        <w:tabs>
          <w:tab w:val="num" w:pos="540"/>
          <w:tab w:val="left" w:pos="567"/>
          <w:tab w:val="clear" w:pos="720"/>
        </w:tabs>
        <w:ind w:left="540" w:hanging="540"/>
        <w:jc w:val="both"/>
        <w:rPr>
          <w:del w:id="15428" w:author="AbbVie14" w:date="2025-05-09T10:59:00Z"/>
          <w:sz w:val="22"/>
          <w:szCs w:val="22"/>
        </w:rPr>
      </w:pPr>
      <w:del w:id="15429" w:author="AbbVie14" w:date="2025-05-09T10:59:00Z">
        <w:r w:rsidRPr="00295E71">
          <w:rPr>
            <w:sz w:val="22"/>
            <w:szCs w:val="22"/>
          </w:rPr>
          <w:delText>Tenendo il flaconcino, spingere lo stantuffo bianco fino in fondo. Questa fase è importante per prelevare</w:delText>
        </w:r>
      </w:del>
      <w:del w:id="15430" w:author="AbbVie14" w:date="2025-05-09T10:59:00Z">
        <w:r w:rsidRPr="00295E71" w:rsidR="00F92553">
          <w:rPr>
            <w:sz w:val="22"/>
            <w:szCs w:val="22"/>
          </w:rPr>
          <w:delText xml:space="preserve"> </w:delText>
        </w:r>
      </w:del>
      <w:del w:id="15431" w:author="AbbVie14" w:date="2025-05-09T10:59:00Z">
        <w:r w:rsidRPr="00295E71">
          <w:rPr>
            <w:sz w:val="22"/>
            <w:szCs w:val="22"/>
          </w:rPr>
          <w:delText>la giusta dose. Tenere dentro lo</w:delText>
        </w:r>
      </w:del>
      <w:del w:id="15432" w:author="AbbVie14" w:date="2025-05-09T10:59:00Z">
        <w:r w:rsidRPr="00295E71" w:rsidR="00F92553">
          <w:rPr>
            <w:sz w:val="22"/>
            <w:szCs w:val="22"/>
          </w:rPr>
          <w:delText xml:space="preserve"> </w:delText>
        </w:r>
      </w:del>
      <w:del w:id="15433" w:author="AbbVie14" w:date="2025-05-09T10:59:00Z">
        <w:r w:rsidRPr="00295E71">
          <w:rPr>
            <w:sz w:val="22"/>
            <w:szCs w:val="22"/>
          </w:rPr>
          <w:delText>stantuffo bianco e capovolgere il flaconcino e la siringa.</w:delText>
        </w:r>
      </w:del>
    </w:p>
    <w:p w:rsidR="006224C2" w:rsidRPr="00295E71" w14:paraId="0289E736" w14:textId="77777777">
      <w:pPr>
        <w:tabs>
          <w:tab w:val="left" w:pos="540"/>
          <w:tab w:val="left" w:pos="567"/>
        </w:tabs>
        <w:ind w:left="360"/>
        <w:jc w:val="center"/>
        <w:rPr>
          <w:del w:id="15434" w:author="AbbVie14" w:date="2025-05-09T10:59:00Z"/>
          <w:sz w:val="22"/>
          <w:szCs w:val="22"/>
        </w:rPr>
      </w:pPr>
      <w:del w:id="15435" w:author="AbbVie14" w:date="2025-05-09T10:59:00Z">
        <w:r w:rsidRPr="00910CE7">
          <w:rPr>
            <w:noProof/>
            <w:sz w:val="22"/>
            <w:lang w:val="en-GB"/>
          </w:rPr>
          <w:drawing>
            <wp:inline distT="0" distB="0" distL="0" distR="0">
              <wp:extent cx="1819275" cy="1819275"/>
              <wp:effectExtent l="19050" t="0" r="952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a:picLocks noChangeAspect="1" noChangeArrowheads="1"/>
                      </pic:cNvPicPr>
                    </pic:nvPicPr>
                    <pic:blipFill>
                      <a:blip xmlns:r="http://schemas.openxmlformats.org/officeDocument/2006/relationships" r:embed="rId45" cstate="print"/>
                      <a:stretch>
                        <a:fillRect/>
                      </a:stretch>
                    </pic:blipFill>
                    <pic:spPr bwMode="auto">
                      <a:xfrm>
                        <a:off x="0" y="0"/>
                        <a:ext cx="1819275" cy="1819275"/>
                      </a:xfrm>
                      <a:prstGeom prst="rect">
                        <a:avLst/>
                      </a:prstGeom>
                      <a:noFill/>
                      <a:ln w="9525">
                        <a:noFill/>
                        <a:miter lim="800000"/>
                        <a:headEnd/>
                        <a:tailEnd/>
                      </a:ln>
                    </pic:spPr>
                  </pic:pic>
                </a:graphicData>
              </a:graphic>
            </wp:inline>
          </w:drawing>
        </w:r>
      </w:del>
    </w:p>
    <w:p w:rsidR="006224C2" w:rsidRPr="00295E71" w14:paraId="7F77C47A" w14:textId="77777777">
      <w:pPr>
        <w:tabs>
          <w:tab w:val="left" w:pos="540"/>
          <w:tab w:val="left" w:pos="567"/>
        </w:tabs>
        <w:rPr>
          <w:del w:id="15436" w:author="AbbVie14" w:date="2025-05-09T10:59:00Z"/>
          <w:sz w:val="22"/>
          <w:szCs w:val="22"/>
        </w:rPr>
      </w:pPr>
    </w:p>
    <w:p w:rsidR="006224C2" w:rsidRPr="00295E71" w14:paraId="30B96F90" w14:textId="77777777">
      <w:pPr>
        <w:numPr>
          <w:ilvl w:val="0"/>
          <w:numId w:val="36"/>
        </w:numPr>
        <w:tabs>
          <w:tab w:val="num" w:pos="540"/>
          <w:tab w:val="left" w:pos="567"/>
          <w:tab w:val="clear" w:pos="720"/>
        </w:tabs>
        <w:ind w:left="540" w:hanging="540"/>
        <w:jc w:val="both"/>
        <w:rPr>
          <w:del w:id="15437" w:author="AbbVie14" w:date="2025-05-09T10:59:00Z"/>
          <w:sz w:val="22"/>
          <w:szCs w:val="22"/>
        </w:rPr>
      </w:pPr>
      <w:del w:id="15438" w:author="AbbVie14" w:date="2025-05-09T10:59:00Z">
        <w:r w:rsidRPr="00295E71">
          <w:rPr>
            <w:sz w:val="22"/>
            <w:szCs w:val="22"/>
          </w:rPr>
          <w:delText xml:space="preserve">Tirare </w:delText>
        </w:r>
      </w:del>
      <w:del w:id="15439" w:author="AbbVie14" w:date="2025-05-09T10:59:00Z">
        <w:r w:rsidRPr="00295E71">
          <w:rPr>
            <w:b/>
            <w:sz w:val="22"/>
            <w:szCs w:val="22"/>
          </w:rPr>
          <w:delText>LENTAMENTE</w:delText>
        </w:r>
      </w:del>
      <w:del w:id="15440" w:author="AbbVie14" w:date="2025-05-09T10:59:00Z">
        <w:r w:rsidRPr="00295E71" w:rsidR="00F92553">
          <w:rPr>
            <w:b/>
            <w:sz w:val="22"/>
            <w:szCs w:val="22"/>
          </w:rPr>
          <w:delText xml:space="preserve"> </w:delText>
        </w:r>
      </w:del>
      <w:del w:id="15441" w:author="AbbVie14" w:date="2025-05-09T10:59:00Z">
        <w:r w:rsidRPr="00295E71">
          <w:rPr>
            <w:sz w:val="22"/>
            <w:szCs w:val="22"/>
          </w:rPr>
          <w:delText>lo stantuffo bianco fino a 0,1 ml al di</w:delText>
        </w:r>
      </w:del>
      <w:del w:id="15442" w:author="AbbVie14" w:date="2025-05-09T10:59:00Z">
        <w:r w:rsidR="00114AD7">
          <w:rPr>
            <w:sz w:val="22"/>
            <w:szCs w:val="22"/>
          </w:rPr>
          <w:delText xml:space="preserve"> </w:delText>
        </w:r>
      </w:del>
      <w:del w:id="15443" w:author="AbbVie14" w:date="2025-05-09T10:59:00Z">
        <w:r w:rsidRPr="00295E71">
          <w:rPr>
            <w:sz w:val="22"/>
            <w:szCs w:val="22"/>
          </w:rPr>
          <w:delText>sopra della dose prescritta. È importante per</w:delText>
        </w:r>
      </w:del>
      <w:del w:id="15444" w:author="AbbVie14" w:date="2025-05-09T10:59:00Z">
        <w:r w:rsidR="00114AD7">
          <w:rPr>
            <w:sz w:val="22"/>
            <w:szCs w:val="22"/>
          </w:rPr>
          <w:delText xml:space="preserve"> </w:delText>
        </w:r>
      </w:del>
      <w:del w:id="15445" w:author="AbbVie14" w:date="2025-05-09T10:59:00Z">
        <w:r w:rsidRPr="00295E71">
          <w:rPr>
            <w:sz w:val="22"/>
            <w:szCs w:val="22"/>
          </w:rPr>
          <w:delText>prelevare</w:delText>
        </w:r>
      </w:del>
      <w:del w:id="15446" w:author="AbbVie14" w:date="2025-05-09T10:59:00Z">
        <w:r w:rsidR="00114AD7">
          <w:rPr>
            <w:sz w:val="22"/>
            <w:szCs w:val="22"/>
          </w:rPr>
          <w:delText xml:space="preserve"> </w:delText>
        </w:r>
      </w:del>
      <w:del w:id="15447" w:author="AbbVie14" w:date="2025-05-09T10:59:00Z">
        <w:r w:rsidRPr="00295E71">
          <w:rPr>
            <w:sz w:val="22"/>
            <w:szCs w:val="22"/>
          </w:rPr>
          <w:delText>la dose appropriata. Il volume equivalente alla dose prescritta sarà stabilito al punto 4, Preparazione della dose. Se la dose prescritta è 0,5 ml, tirare lo</w:delText>
        </w:r>
      </w:del>
      <w:del w:id="15448" w:author="AbbVie14" w:date="2025-05-09T10:59:00Z">
        <w:r w:rsidRPr="00295E71" w:rsidR="006038EE">
          <w:rPr>
            <w:sz w:val="22"/>
            <w:szCs w:val="22"/>
          </w:rPr>
          <w:delText xml:space="preserve"> </w:delText>
        </w:r>
      </w:del>
      <w:del w:id="15449" w:author="AbbVie14" w:date="2025-05-09T10:59:00Z">
        <w:r w:rsidRPr="00295E71">
          <w:rPr>
            <w:sz w:val="22"/>
            <w:szCs w:val="22"/>
          </w:rPr>
          <w:delText>stantuffo bianco fino ad un volume di 0,6 ml. Il liquido passerà dal flaconcino alla siringa.</w:delText>
        </w:r>
      </w:del>
    </w:p>
    <w:p w:rsidR="006224C2" w:rsidRPr="00295E71" w14:paraId="54F9BFCD" w14:textId="77777777">
      <w:pPr>
        <w:tabs>
          <w:tab w:val="left" w:pos="540"/>
          <w:tab w:val="left" w:pos="567"/>
        </w:tabs>
        <w:ind w:left="360"/>
        <w:rPr>
          <w:del w:id="15450" w:author="AbbVie14" w:date="2025-05-09T10:59:00Z"/>
          <w:sz w:val="22"/>
          <w:szCs w:val="22"/>
        </w:rPr>
      </w:pPr>
    </w:p>
    <w:p w:rsidR="006224C2" w:rsidRPr="00295E71" w14:paraId="0C40092C" w14:textId="77777777">
      <w:pPr>
        <w:tabs>
          <w:tab w:val="left" w:pos="540"/>
          <w:tab w:val="left" w:pos="567"/>
        </w:tabs>
        <w:ind w:left="360"/>
        <w:jc w:val="center"/>
        <w:rPr>
          <w:del w:id="15451" w:author="AbbVie14" w:date="2025-05-09T10:59:00Z"/>
          <w:sz w:val="22"/>
          <w:szCs w:val="22"/>
        </w:rPr>
      </w:pPr>
      <w:del w:id="15452" w:author="AbbVie14" w:date="2025-05-09T10:59:00Z">
        <w:r w:rsidRPr="00910CE7">
          <w:rPr>
            <w:noProof/>
            <w:sz w:val="22"/>
            <w:lang w:val="en-GB"/>
          </w:rPr>
          <w:drawing>
            <wp:inline distT="0" distB="0" distL="0" distR="0">
              <wp:extent cx="1819275" cy="1819275"/>
              <wp:effectExtent l="19050" t="0" r="952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a:picLocks noChangeAspect="1" noChangeArrowheads="1"/>
                      </pic:cNvPicPr>
                    </pic:nvPicPr>
                    <pic:blipFill>
                      <a:blip xmlns:r="http://schemas.openxmlformats.org/officeDocument/2006/relationships" r:embed="rId46" cstate="print"/>
                      <a:stretch>
                        <a:fillRect/>
                      </a:stretch>
                    </pic:blipFill>
                    <pic:spPr bwMode="auto">
                      <a:xfrm>
                        <a:off x="0" y="0"/>
                        <a:ext cx="1819275" cy="1819275"/>
                      </a:xfrm>
                      <a:prstGeom prst="rect">
                        <a:avLst/>
                      </a:prstGeom>
                      <a:noFill/>
                      <a:ln w="9525">
                        <a:noFill/>
                        <a:miter lim="800000"/>
                        <a:headEnd/>
                        <a:tailEnd/>
                      </a:ln>
                    </pic:spPr>
                  </pic:pic>
                </a:graphicData>
              </a:graphic>
            </wp:inline>
          </w:drawing>
        </w:r>
      </w:del>
    </w:p>
    <w:p w:rsidR="006224C2" w:rsidRPr="00295E71" w14:paraId="0FAC8D77" w14:textId="77777777">
      <w:pPr>
        <w:tabs>
          <w:tab w:val="left" w:pos="540"/>
          <w:tab w:val="left" w:pos="567"/>
        </w:tabs>
        <w:ind w:left="360"/>
        <w:jc w:val="center"/>
        <w:rPr>
          <w:del w:id="15453" w:author="AbbVie14" w:date="2025-05-09T10:59:00Z"/>
          <w:sz w:val="22"/>
          <w:szCs w:val="22"/>
        </w:rPr>
      </w:pPr>
    </w:p>
    <w:p w:rsidR="006224C2" w:rsidRPr="00295E71" w14:paraId="69BBD5B6" w14:textId="77777777">
      <w:pPr>
        <w:numPr>
          <w:ilvl w:val="0"/>
          <w:numId w:val="36"/>
        </w:numPr>
        <w:tabs>
          <w:tab w:val="num" w:pos="540"/>
          <w:tab w:val="left" w:pos="567"/>
          <w:tab w:val="clear" w:pos="720"/>
        </w:tabs>
        <w:ind w:left="540" w:hanging="540"/>
        <w:jc w:val="both"/>
        <w:rPr>
          <w:del w:id="15454" w:author="AbbVie14" w:date="2025-05-09T10:59:00Z"/>
          <w:sz w:val="22"/>
          <w:szCs w:val="22"/>
        </w:rPr>
      </w:pPr>
      <w:del w:id="15455" w:author="AbbVie14" w:date="2025-05-09T10:59:00Z">
        <w:r w:rsidRPr="00295E71">
          <w:rPr>
            <w:sz w:val="22"/>
            <w:szCs w:val="22"/>
          </w:rPr>
          <w:tab/>
          <w:delText xml:space="preserve">Spingere indietro lo stantuffo bianco fino alla fine per far rientrare il liquido nel flaconcino. Di nuovo, tirare </w:delText>
        </w:r>
      </w:del>
      <w:del w:id="15456" w:author="AbbVie14" w:date="2025-05-09T10:59:00Z">
        <w:r w:rsidRPr="00295E71">
          <w:rPr>
            <w:b/>
            <w:sz w:val="22"/>
            <w:szCs w:val="22"/>
          </w:rPr>
          <w:delText>LENTAMENTE</w:delText>
        </w:r>
      </w:del>
      <w:del w:id="15457" w:author="AbbVie14" w:date="2025-05-09T10:59:00Z">
        <w:r w:rsidR="00114AD7">
          <w:rPr>
            <w:b/>
            <w:sz w:val="22"/>
            <w:szCs w:val="22"/>
          </w:rPr>
          <w:delText xml:space="preserve"> </w:delText>
        </w:r>
      </w:del>
      <w:del w:id="15458" w:author="AbbVie14" w:date="2025-05-09T10:59:00Z">
        <w:r w:rsidRPr="00295E71">
          <w:rPr>
            <w:sz w:val="22"/>
            <w:szCs w:val="22"/>
          </w:rPr>
          <w:delText>lo stantuffo bianco fino a raggiungere 0,1 ml al di sopra della dose prescritta; è importante per prelevare la dose appropriata e prevenire la formazione di bolle d’aria nel liquido o spazi vuoti. Il volume equivalente alla dose prescritta sarà stabilito al punto 4, Preparazione della dose.</w:delText>
        </w:r>
      </w:del>
    </w:p>
    <w:p w:rsidR="006224C2" w:rsidRPr="00295E71" w14:paraId="66028BE5" w14:textId="77777777">
      <w:pPr>
        <w:tabs>
          <w:tab w:val="left" w:pos="540"/>
          <w:tab w:val="left" w:pos="567"/>
        </w:tabs>
        <w:ind w:left="360"/>
        <w:rPr>
          <w:del w:id="15459" w:author="AbbVie14" w:date="2025-05-09T10:59:00Z"/>
          <w:sz w:val="22"/>
          <w:szCs w:val="22"/>
        </w:rPr>
      </w:pPr>
    </w:p>
    <w:p w:rsidR="006224C2" w:rsidRPr="00295E71" w14:paraId="0ABDB5CC" w14:textId="77777777">
      <w:pPr>
        <w:tabs>
          <w:tab w:val="left" w:pos="540"/>
          <w:tab w:val="left" w:pos="567"/>
        </w:tabs>
        <w:ind w:left="360"/>
        <w:jc w:val="center"/>
        <w:rPr>
          <w:del w:id="15460" w:author="AbbVie14" w:date="2025-05-09T10:59:00Z"/>
          <w:sz w:val="22"/>
          <w:szCs w:val="22"/>
        </w:rPr>
      </w:pPr>
      <w:del w:id="15461" w:author="AbbVie14" w:date="2025-05-09T10:59:00Z">
        <w:r w:rsidRPr="00910CE7">
          <w:rPr>
            <w:noProof/>
            <w:sz w:val="22"/>
            <w:lang w:val="en-GB"/>
          </w:rPr>
          <w:drawing>
            <wp:inline distT="0" distB="0" distL="0" distR="0">
              <wp:extent cx="1857375" cy="1828800"/>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xmlns:r="http://schemas.openxmlformats.org/officeDocument/2006/relationships" r:embed="rId47" cstate="print"/>
                      <a:stretch>
                        <a:fillRect/>
                      </a:stretch>
                    </pic:blipFill>
                    <pic:spPr bwMode="auto">
                      <a:xfrm>
                        <a:off x="0" y="0"/>
                        <a:ext cx="1857375" cy="1828800"/>
                      </a:xfrm>
                      <a:prstGeom prst="rect">
                        <a:avLst/>
                      </a:prstGeom>
                      <a:noFill/>
                      <a:ln w="9525">
                        <a:noFill/>
                        <a:miter lim="800000"/>
                        <a:headEnd/>
                        <a:tailEnd/>
                      </a:ln>
                    </pic:spPr>
                  </pic:pic>
                </a:graphicData>
              </a:graphic>
            </wp:inline>
          </w:drawing>
        </w:r>
      </w:del>
    </w:p>
    <w:p w:rsidR="006224C2" w:rsidRPr="00295E71" w14:paraId="2AF41247" w14:textId="77777777">
      <w:pPr>
        <w:tabs>
          <w:tab w:val="left" w:pos="540"/>
          <w:tab w:val="left" w:pos="567"/>
        </w:tabs>
        <w:ind w:left="360"/>
        <w:jc w:val="center"/>
        <w:rPr>
          <w:del w:id="15462" w:author="AbbVie14" w:date="2025-05-09T10:59:00Z"/>
          <w:sz w:val="22"/>
          <w:szCs w:val="22"/>
        </w:rPr>
      </w:pPr>
    </w:p>
    <w:p w:rsidR="006224C2" w:rsidRPr="00295E71" w14:paraId="706DE5FD" w14:textId="77777777">
      <w:pPr>
        <w:numPr>
          <w:ilvl w:val="0"/>
          <w:numId w:val="36"/>
        </w:numPr>
        <w:tabs>
          <w:tab w:val="num" w:pos="540"/>
          <w:tab w:val="left" w:pos="567"/>
          <w:tab w:val="clear" w:pos="720"/>
        </w:tabs>
        <w:ind w:left="540" w:hanging="540"/>
        <w:jc w:val="both"/>
        <w:rPr>
          <w:del w:id="15463" w:author="AbbVie14" w:date="2025-05-09T10:59:00Z"/>
          <w:sz w:val="22"/>
          <w:szCs w:val="22"/>
        </w:rPr>
      </w:pPr>
      <w:del w:id="15464" w:author="AbbVie14" w:date="2025-05-09T10:59:00Z">
        <w:r w:rsidRPr="00295E71">
          <w:rPr>
            <w:sz w:val="22"/>
            <w:szCs w:val="22"/>
          </w:rPr>
          <w:delText xml:space="preserve">Se rimangono bolle d’aria o spazi vuoti nella siringa, può ripetere tale operazione fino a tre volte. </w:delText>
        </w:r>
      </w:del>
      <w:del w:id="15465" w:author="AbbVie14" w:date="2025-05-09T10:59:00Z">
        <w:r w:rsidRPr="00295E71">
          <w:rPr>
            <w:b/>
            <w:sz w:val="22"/>
            <w:szCs w:val="22"/>
          </w:rPr>
          <w:delText>NON</w:delText>
        </w:r>
      </w:del>
      <w:del w:id="15466" w:author="AbbVie14" w:date="2025-05-09T10:59:00Z">
        <w:r w:rsidRPr="00295E71">
          <w:rPr>
            <w:sz w:val="22"/>
            <w:szCs w:val="22"/>
          </w:rPr>
          <w:delText xml:space="preserve"> scuotere la siringa.</w:delText>
        </w:r>
      </w:del>
    </w:p>
    <w:p w:rsidR="006224C2" w:rsidRPr="00295E71" w14:paraId="431CFD97" w14:textId="77777777">
      <w:pPr>
        <w:tabs>
          <w:tab w:val="left" w:pos="540"/>
          <w:tab w:val="left" w:pos="567"/>
        </w:tabs>
        <w:jc w:val="both"/>
        <w:rPr>
          <w:del w:id="15467" w:author="AbbVie14" w:date="2025-05-09T10:59:00Z"/>
          <w:sz w:val="22"/>
          <w:szCs w:val="22"/>
        </w:rPr>
      </w:pPr>
    </w:p>
    <w:p w:rsidR="006224C2" w:rsidRPr="00295E71" w14:paraId="4A396C3C" w14:textId="77777777">
      <w:pPr>
        <w:tabs>
          <w:tab w:val="left" w:pos="540"/>
          <w:tab w:val="left" w:pos="567"/>
        </w:tabs>
        <w:jc w:val="both"/>
        <w:rPr>
          <w:del w:id="15468" w:author="AbbVie14" w:date="2025-05-09T10:59:00Z"/>
          <w:b/>
          <w:sz w:val="22"/>
          <w:szCs w:val="22"/>
        </w:rPr>
      </w:pPr>
      <w:del w:id="15469" w:author="AbbVie14" w:date="2025-05-09T10:59:00Z">
        <w:r w:rsidRPr="00295E71">
          <w:rPr>
            <w:b/>
            <w:sz w:val="22"/>
            <w:szCs w:val="22"/>
          </w:rPr>
          <w:delText xml:space="preserve">NOTA: </w:delText>
        </w:r>
      </w:del>
    </w:p>
    <w:p w:rsidR="006224C2" w:rsidRPr="00295E71" w14:paraId="17FA2698" w14:textId="77777777">
      <w:pPr>
        <w:tabs>
          <w:tab w:val="left" w:pos="540"/>
          <w:tab w:val="left" w:pos="567"/>
        </w:tabs>
        <w:jc w:val="both"/>
        <w:rPr>
          <w:del w:id="15470" w:author="AbbVie14" w:date="2025-05-09T10:59:00Z"/>
          <w:b/>
          <w:sz w:val="22"/>
          <w:szCs w:val="22"/>
        </w:rPr>
      </w:pPr>
    </w:p>
    <w:p w:rsidR="006224C2" w:rsidRPr="00295E71" w14:paraId="72A7652A" w14:textId="77777777">
      <w:pPr>
        <w:tabs>
          <w:tab w:val="left" w:pos="540"/>
          <w:tab w:val="left" w:pos="567"/>
        </w:tabs>
        <w:jc w:val="both"/>
        <w:rPr>
          <w:del w:id="15471" w:author="AbbVie14" w:date="2025-05-09T10:59:00Z"/>
          <w:sz w:val="22"/>
          <w:szCs w:val="22"/>
        </w:rPr>
      </w:pPr>
      <w:del w:id="15472" w:author="AbbVie14" w:date="2025-05-09T10:59:00Z">
        <w:r w:rsidRPr="00295E71">
          <w:rPr>
            <w:sz w:val="22"/>
            <w:szCs w:val="22"/>
          </w:rPr>
          <w:delText>Se lo stantuffo bianco è spinto completamente fuori dalla siringa, scartare la siringa e contattare il</w:delText>
        </w:r>
      </w:del>
      <w:del w:id="15473" w:author="AbbVie14" w:date="2025-05-09T10:59:00Z">
        <w:r w:rsidRPr="00295E71" w:rsidR="00F92553">
          <w:rPr>
            <w:sz w:val="22"/>
            <w:szCs w:val="22"/>
          </w:rPr>
          <w:delText xml:space="preserve"> </w:delText>
        </w:r>
      </w:del>
      <w:del w:id="15474" w:author="AbbVie14" w:date="2025-05-09T10:59:00Z">
        <w:r w:rsidRPr="00295E71">
          <w:rPr>
            <w:sz w:val="22"/>
            <w:szCs w:val="22"/>
          </w:rPr>
          <w:delText xml:space="preserve">fornitore di Humira per la sostituzione. </w:delText>
        </w:r>
      </w:del>
      <w:del w:id="15475" w:author="AbbVie14" w:date="2025-05-09T10:59:00Z">
        <w:r w:rsidRPr="00295E71">
          <w:rPr>
            <w:b/>
            <w:sz w:val="22"/>
            <w:szCs w:val="22"/>
          </w:rPr>
          <w:delText>NON</w:delText>
        </w:r>
      </w:del>
      <w:del w:id="15476" w:author="AbbVie14" w:date="2025-05-09T10:59:00Z">
        <w:r w:rsidRPr="00295E71">
          <w:rPr>
            <w:sz w:val="22"/>
            <w:szCs w:val="22"/>
          </w:rPr>
          <w:delText xml:space="preserve"> cercare di inserire nuovamente lo stantuffo bianco.</w:delText>
        </w:r>
      </w:del>
    </w:p>
    <w:p w:rsidR="006224C2" w:rsidRPr="00295E71" w14:paraId="1AE0F532" w14:textId="77777777">
      <w:pPr>
        <w:tabs>
          <w:tab w:val="left" w:pos="540"/>
          <w:tab w:val="left" w:pos="567"/>
        </w:tabs>
        <w:jc w:val="both"/>
        <w:rPr>
          <w:del w:id="15477" w:author="AbbVie14" w:date="2025-05-09T10:59:00Z"/>
          <w:sz w:val="22"/>
          <w:szCs w:val="22"/>
        </w:rPr>
      </w:pPr>
    </w:p>
    <w:p w:rsidR="006224C2" w:rsidRPr="00295E71" w14:paraId="432B393C" w14:textId="77777777">
      <w:pPr>
        <w:numPr>
          <w:ilvl w:val="0"/>
          <w:numId w:val="36"/>
        </w:numPr>
        <w:tabs>
          <w:tab w:val="num" w:pos="540"/>
          <w:tab w:val="left" w:pos="567"/>
          <w:tab w:val="clear" w:pos="720"/>
        </w:tabs>
        <w:ind w:left="540" w:hanging="540"/>
        <w:jc w:val="both"/>
        <w:rPr>
          <w:del w:id="15478" w:author="AbbVie14" w:date="2025-05-09T10:59:00Z"/>
          <w:sz w:val="22"/>
          <w:szCs w:val="22"/>
        </w:rPr>
      </w:pPr>
      <w:del w:id="15479" w:author="AbbVie14" w:date="2025-05-09T10:59:00Z">
        <w:r w:rsidRPr="00295E71">
          <w:rPr>
            <w:sz w:val="22"/>
            <w:szCs w:val="22"/>
          </w:rPr>
          <w:delText xml:space="preserve">Tenendo la siringa ancora in posizione eretta dalla parte graduata, rimuovere l’adattatore con il flaconcino svitando l’adattatore con l’altra mano. Assicurarsi di rimuovere l’adattatore con il flaconcino dalla siringa. </w:delText>
        </w:r>
      </w:del>
      <w:del w:id="15480" w:author="AbbVie14" w:date="2025-05-09T10:59:00Z">
        <w:r w:rsidRPr="00295E71">
          <w:rPr>
            <w:b/>
            <w:sz w:val="22"/>
            <w:szCs w:val="22"/>
          </w:rPr>
          <w:delText>NON</w:delText>
        </w:r>
      </w:del>
      <w:del w:id="15481" w:author="AbbVie14" w:date="2025-05-09T10:59:00Z">
        <w:r w:rsidRPr="00295E71">
          <w:rPr>
            <w:sz w:val="22"/>
            <w:szCs w:val="22"/>
          </w:rPr>
          <w:delText xml:space="preserve"> toccare la punta della siringa.</w:delText>
        </w:r>
      </w:del>
    </w:p>
    <w:p w:rsidR="006224C2" w:rsidRPr="00295E71" w14:paraId="6C3F83DE" w14:textId="77777777">
      <w:pPr>
        <w:tabs>
          <w:tab w:val="left" w:pos="540"/>
          <w:tab w:val="left" w:pos="567"/>
        </w:tabs>
        <w:ind w:left="360"/>
        <w:rPr>
          <w:del w:id="15482" w:author="AbbVie14" w:date="2025-05-09T10:59:00Z"/>
          <w:sz w:val="22"/>
          <w:szCs w:val="22"/>
        </w:rPr>
      </w:pPr>
    </w:p>
    <w:p w:rsidR="006224C2" w:rsidRPr="00295E71" w14:paraId="5BB2CA04" w14:textId="77777777">
      <w:pPr>
        <w:tabs>
          <w:tab w:val="left" w:pos="540"/>
          <w:tab w:val="left" w:pos="567"/>
        </w:tabs>
        <w:ind w:left="360"/>
        <w:jc w:val="center"/>
        <w:rPr>
          <w:del w:id="15483" w:author="AbbVie14" w:date="2025-05-09T10:59:00Z"/>
          <w:sz w:val="22"/>
          <w:szCs w:val="22"/>
        </w:rPr>
      </w:pPr>
      <w:del w:id="15484" w:author="AbbVie14" w:date="2025-05-09T10:59:00Z">
        <w:r w:rsidRPr="00910CE7">
          <w:rPr>
            <w:noProof/>
            <w:sz w:val="22"/>
            <w:lang w:val="en-GB"/>
          </w:rPr>
          <w:drawing>
            <wp:inline distT="0" distB="0" distL="0" distR="0">
              <wp:extent cx="1857375" cy="1847850"/>
              <wp:effectExtent l="19050" t="0" r="952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a:picLocks noChangeAspect="1" noChangeArrowheads="1"/>
                      </pic:cNvPicPr>
                    </pic:nvPicPr>
                    <pic:blipFill>
                      <a:blip xmlns:r="http://schemas.openxmlformats.org/officeDocument/2006/relationships" r:embed="rId48" cstate="print"/>
                      <a:stretch>
                        <a:fillRect/>
                      </a:stretch>
                    </pic:blipFill>
                    <pic:spPr bwMode="auto">
                      <a:xfrm>
                        <a:off x="0" y="0"/>
                        <a:ext cx="1857375" cy="1847850"/>
                      </a:xfrm>
                      <a:prstGeom prst="rect">
                        <a:avLst/>
                      </a:prstGeom>
                      <a:noFill/>
                      <a:ln w="9525">
                        <a:noFill/>
                        <a:miter lim="800000"/>
                        <a:headEnd/>
                        <a:tailEnd/>
                      </a:ln>
                    </pic:spPr>
                  </pic:pic>
                </a:graphicData>
              </a:graphic>
            </wp:inline>
          </w:drawing>
        </w:r>
      </w:del>
    </w:p>
    <w:p w:rsidR="006224C2" w:rsidRPr="00295E71" w14:paraId="74FCEAB8" w14:textId="77777777">
      <w:pPr>
        <w:rPr>
          <w:del w:id="15485" w:author="AbbVie14" w:date="2025-05-09T10:59:00Z"/>
          <w:sz w:val="22"/>
          <w:szCs w:val="22"/>
        </w:rPr>
      </w:pPr>
    </w:p>
    <w:p w:rsidR="006224C2" w:rsidRPr="00295E71" w14:paraId="25C58AEF" w14:textId="77777777">
      <w:pPr>
        <w:tabs>
          <w:tab w:val="left" w:pos="540"/>
          <w:tab w:val="left" w:pos="567"/>
        </w:tabs>
        <w:ind w:left="360"/>
        <w:rPr>
          <w:del w:id="15486" w:author="AbbVie14" w:date="2025-05-09T10:59:00Z"/>
          <w:sz w:val="22"/>
          <w:szCs w:val="22"/>
        </w:rPr>
      </w:pPr>
    </w:p>
    <w:p w:rsidR="006224C2" w:rsidRPr="00295E71" w14:paraId="266FB07E" w14:textId="77777777">
      <w:pPr>
        <w:numPr>
          <w:ilvl w:val="0"/>
          <w:numId w:val="36"/>
        </w:numPr>
        <w:tabs>
          <w:tab w:val="num" w:pos="540"/>
          <w:tab w:val="left" w:pos="567"/>
          <w:tab w:val="clear" w:pos="720"/>
        </w:tabs>
        <w:ind w:left="540" w:hanging="540"/>
        <w:jc w:val="both"/>
        <w:rPr>
          <w:del w:id="15487" w:author="AbbVie14" w:date="2025-05-09T10:59:00Z"/>
          <w:sz w:val="22"/>
          <w:szCs w:val="22"/>
        </w:rPr>
      </w:pPr>
      <w:del w:id="15488" w:author="AbbVie14" w:date="2025-05-09T10:59:00Z">
        <w:r w:rsidRPr="00295E71">
          <w:rPr>
            <w:sz w:val="22"/>
            <w:szCs w:val="22"/>
          </w:rPr>
          <w:delText xml:space="preserve">Se si nota una bolla d’aria grande oppure uno spazio vuoto vicino alla punta della siringa, spingere </w:delText>
        </w:r>
      </w:del>
      <w:del w:id="15489" w:author="AbbVie14" w:date="2025-05-09T10:59:00Z">
        <w:r w:rsidRPr="00295E71">
          <w:rPr>
            <w:b/>
            <w:sz w:val="22"/>
            <w:szCs w:val="22"/>
          </w:rPr>
          <w:delText>LENTAMENTE</w:delText>
        </w:r>
      </w:del>
      <w:del w:id="15490" w:author="AbbVie14" w:date="2025-05-09T10:59:00Z">
        <w:r w:rsidRPr="00295E71" w:rsidR="006038EE">
          <w:rPr>
            <w:b/>
            <w:sz w:val="22"/>
            <w:szCs w:val="22"/>
          </w:rPr>
          <w:delText xml:space="preserve"> </w:delText>
        </w:r>
      </w:del>
      <w:del w:id="15491" w:author="AbbVie14" w:date="2025-05-09T10:59:00Z">
        <w:r w:rsidRPr="00295E71">
          <w:rPr>
            <w:sz w:val="22"/>
            <w:szCs w:val="22"/>
          </w:rPr>
          <w:delText xml:space="preserve">lo stantuffo bianco all’interno della siringa fino a quando il fluido non inizia ad entrare nella punta della siringa. </w:delText>
        </w:r>
      </w:del>
      <w:del w:id="15492" w:author="AbbVie14" w:date="2025-05-09T10:59:00Z">
        <w:r w:rsidRPr="00295E71">
          <w:rPr>
            <w:b/>
            <w:sz w:val="22"/>
            <w:szCs w:val="22"/>
          </w:rPr>
          <w:delText>NON</w:delText>
        </w:r>
      </w:del>
      <w:del w:id="15493" w:author="AbbVie14" w:date="2025-05-09T10:59:00Z">
        <w:r w:rsidRPr="00295E71">
          <w:rPr>
            <w:sz w:val="22"/>
            <w:szCs w:val="22"/>
          </w:rPr>
          <w:delText xml:space="preserve"> spingere lo stantuffo bianco una volta superata la posizione corrispondente alla dose. </w:delText>
        </w:r>
      </w:del>
    </w:p>
    <w:p w:rsidR="006224C2" w:rsidRPr="00295E71" w14:paraId="25D2980F" w14:textId="77777777">
      <w:pPr>
        <w:numPr>
          <w:ilvl w:val="0"/>
          <w:numId w:val="36"/>
        </w:numPr>
        <w:tabs>
          <w:tab w:val="num" w:pos="540"/>
          <w:tab w:val="left" w:pos="567"/>
          <w:tab w:val="clear" w:pos="720"/>
        </w:tabs>
        <w:ind w:left="540" w:hanging="540"/>
        <w:jc w:val="both"/>
        <w:rPr>
          <w:del w:id="15494" w:author="AbbVie14" w:date="2025-05-09T10:59:00Z"/>
          <w:sz w:val="22"/>
          <w:szCs w:val="22"/>
        </w:rPr>
      </w:pPr>
      <w:del w:id="15495" w:author="AbbVie14" w:date="2025-05-09T10:59:00Z">
        <w:r w:rsidRPr="00295E71">
          <w:rPr>
            <w:sz w:val="22"/>
            <w:szCs w:val="22"/>
          </w:rPr>
          <w:delText xml:space="preserve">Per esempio, se la dose prescritta è di 0,5 ml, </w:delText>
        </w:r>
      </w:del>
      <w:del w:id="15496" w:author="AbbVie14" w:date="2025-05-09T10:59:00Z">
        <w:r w:rsidRPr="00295E71">
          <w:rPr>
            <w:b/>
            <w:sz w:val="22"/>
            <w:szCs w:val="22"/>
          </w:rPr>
          <w:delText>NON</w:delText>
        </w:r>
      </w:del>
      <w:del w:id="15497" w:author="AbbVie14" w:date="2025-05-09T10:59:00Z">
        <w:r w:rsidRPr="00295E71">
          <w:rPr>
            <w:sz w:val="22"/>
            <w:szCs w:val="22"/>
          </w:rPr>
          <w:delText xml:space="preserve"> spingere lo stantuffo bianco oltre la posizione di 0,5 ml.</w:delText>
        </w:r>
      </w:del>
    </w:p>
    <w:p w:rsidR="006224C2" w:rsidRPr="00295E71" w14:paraId="1B203977" w14:textId="77777777">
      <w:pPr>
        <w:numPr>
          <w:ilvl w:val="0"/>
          <w:numId w:val="36"/>
        </w:numPr>
        <w:tabs>
          <w:tab w:val="num" w:pos="540"/>
          <w:tab w:val="left" w:pos="567"/>
          <w:tab w:val="clear" w:pos="720"/>
        </w:tabs>
        <w:ind w:left="540" w:hanging="540"/>
        <w:jc w:val="both"/>
        <w:rPr>
          <w:del w:id="15498" w:author="AbbVie14" w:date="2025-05-09T10:59:00Z"/>
          <w:sz w:val="22"/>
          <w:szCs w:val="22"/>
        </w:rPr>
      </w:pPr>
      <w:del w:id="15499" w:author="AbbVie14" w:date="2025-05-09T10:59:00Z">
        <w:r w:rsidRPr="00295E71">
          <w:rPr>
            <w:sz w:val="22"/>
            <w:szCs w:val="22"/>
          </w:rPr>
          <w:delText xml:space="preserve">Verificare che il fluido rimasto nella siringa sia almeno equivalente alla dose pescritta. Se è inferiore </w:delText>
        </w:r>
      </w:del>
      <w:del w:id="15500" w:author="AbbVie14" w:date="2025-05-09T10:59:00Z">
        <w:r w:rsidRPr="00295E71">
          <w:rPr>
            <w:b/>
            <w:sz w:val="22"/>
            <w:szCs w:val="22"/>
          </w:rPr>
          <w:delText>NON</w:delText>
        </w:r>
      </w:del>
      <w:del w:id="15501" w:author="AbbVie14" w:date="2025-05-09T10:59:00Z">
        <w:r w:rsidRPr="00295E71">
          <w:rPr>
            <w:sz w:val="22"/>
            <w:szCs w:val="22"/>
          </w:rPr>
          <w:delText xml:space="preserve"> usare la siringa e contattare l’operatore sanitario. </w:delText>
        </w:r>
      </w:del>
    </w:p>
    <w:p w:rsidR="006224C2" w:rsidRPr="00295E71" w14:paraId="3E493EAE" w14:textId="77777777">
      <w:pPr>
        <w:numPr>
          <w:ilvl w:val="0"/>
          <w:numId w:val="36"/>
        </w:numPr>
        <w:tabs>
          <w:tab w:val="num" w:pos="540"/>
          <w:tab w:val="left" w:pos="567"/>
          <w:tab w:val="clear" w:pos="720"/>
        </w:tabs>
        <w:ind w:left="540" w:hanging="540"/>
        <w:jc w:val="both"/>
        <w:rPr>
          <w:del w:id="15502" w:author="AbbVie14" w:date="2025-05-09T10:59:00Z"/>
          <w:sz w:val="22"/>
          <w:szCs w:val="22"/>
        </w:rPr>
      </w:pPr>
      <w:del w:id="15503" w:author="AbbVie14" w:date="2025-05-09T10:59:00Z">
        <w:r w:rsidRPr="00295E71">
          <w:rPr>
            <w:sz w:val="22"/>
            <w:szCs w:val="22"/>
          </w:rPr>
          <w:delText>Con la mano libera raccogliere la confezione dell’ago con il connettore della siringa giallo rivolto verso il basso.</w:delText>
        </w:r>
      </w:del>
    </w:p>
    <w:p w:rsidR="006224C2" w:rsidRPr="00295E71" w14:paraId="1AF678BF" w14:textId="77777777">
      <w:pPr>
        <w:numPr>
          <w:ilvl w:val="0"/>
          <w:numId w:val="36"/>
        </w:numPr>
        <w:tabs>
          <w:tab w:val="num" w:pos="540"/>
          <w:tab w:val="left" w:pos="567"/>
          <w:tab w:val="clear" w:pos="720"/>
        </w:tabs>
        <w:ind w:left="540" w:hanging="540"/>
        <w:jc w:val="both"/>
        <w:rPr>
          <w:del w:id="15504" w:author="AbbVie14" w:date="2025-05-09T10:59:00Z"/>
          <w:sz w:val="22"/>
          <w:szCs w:val="22"/>
        </w:rPr>
      </w:pPr>
      <w:del w:id="15505" w:author="AbbVie14" w:date="2025-05-09T10:59:00Z">
        <w:r w:rsidRPr="00295E71">
          <w:rPr>
            <w:sz w:val="22"/>
            <w:szCs w:val="22"/>
          </w:rPr>
          <w:tab/>
          <w:delText>Mantenendo la siringa rivolta verso l’alto, inserire la punta della siringa nel connettore giallo e ruotare la siringa come indica</w:delText>
        </w:r>
      </w:del>
      <w:del w:id="15506" w:author="AbbVie14" w:date="2025-05-09T10:59:00Z">
        <w:r w:rsidRPr="00295E71" w:rsidR="00F92553">
          <w:rPr>
            <w:sz w:val="22"/>
            <w:szCs w:val="22"/>
          </w:rPr>
          <w:delText>t</w:delText>
        </w:r>
      </w:del>
      <w:del w:id="15507" w:author="AbbVie14" w:date="2025-05-09T10:59:00Z">
        <w:r w:rsidRPr="00295E71">
          <w:rPr>
            <w:sz w:val="22"/>
            <w:szCs w:val="22"/>
          </w:rPr>
          <w:delText>o dalla freccia nella figura fino a quando non si ferma. L’ago è ora attaccato alla siringa.</w:delText>
        </w:r>
      </w:del>
    </w:p>
    <w:p w:rsidR="006224C2" w:rsidRPr="00295E71" w14:paraId="7C830190" w14:textId="77777777">
      <w:pPr>
        <w:tabs>
          <w:tab w:val="left" w:pos="540"/>
          <w:tab w:val="left" w:pos="567"/>
        </w:tabs>
        <w:ind w:left="360"/>
        <w:jc w:val="center"/>
        <w:rPr>
          <w:del w:id="15508" w:author="AbbVie14" w:date="2025-05-09T10:59:00Z"/>
          <w:sz w:val="22"/>
          <w:szCs w:val="22"/>
        </w:rPr>
      </w:pPr>
    </w:p>
    <w:p w:rsidR="006224C2" w:rsidRPr="00295E71" w14:paraId="48DFEAC5" w14:textId="77777777">
      <w:pPr>
        <w:tabs>
          <w:tab w:val="left" w:pos="540"/>
          <w:tab w:val="left" w:pos="567"/>
        </w:tabs>
        <w:ind w:left="360"/>
        <w:jc w:val="center"/>
        <w:rPr>
          <w:del w:id="15509" w:author="AbbVie14" w:date="2025-05-09T10:59:00Z"/>
          <w:sz w:val="22"/>
          <w:szCs w:val="22"/>
        </w:rPr>
      </w:pPr>
      <w:del w:id="15510" w:author="AbbVie14" w:date="2025-05-09T10:59:00Z">
        <w:r w:rsidRPr="00910CE7">
          <w:rPr>
            <w:noProof/>
            <w:sz w:val="22"/>
            <w:lang w:val="en-GB"/>
          </w:rPr>
          <w:drawing>
            <wp:inline distT="0" distB="0" distL="0" distR="0">
              <wp:extent cx="1857375" cy="1828800"/>
              <wp:effectExtent l="19050" t="0" r="952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a:picLocks noChangeAspect="1" noChangeArrowheads="1"/>
                      </pic:cNvPicPr>
                    </pic:nvPicPr>
                    <pic:blipFill>
                      <a:blip xmlns:r="http://schemas.openxmlformats.org/officeDocument/2006/relationships" r:embed="rId49" cstate="print"/>
                      <a:stretch>
                        <a:fillRect/>
                      </a:stretch>
                    </pic:blipFill>
                    <pic:spPr bwMode="auto">
                      <a:xfrm>
                        <a:off x="0" y="0"/>
                        <a:ext cx="1857375" cy="1828800"/>
                      </a:xfrm>
                      <a:prstGeom prst="rect">
                        <a:avLst/>
                      </a:prstGeom>
                      <a:noFill/>
                      <a:ln w="9525">
                        <a:noFill/>
                        <a:miter lim="800000"/>
                        <a:headEnd/>
                        <a:tailEnd/>
                      </a:ln>
                    </pic:spPr>
                  </pic:pic>
                </a:graphicData>
              </a:graphic>
            </wp:inline>
          </w:drawing>
        </w:r>
      </w:del>
    </w:p>
    <w:p w:rsidR="006224C2" w:rsidRPr="00295E71" w14:paraId="513E7257" w14:textId="77777777">
      <w:pPr>
        <w:tabs>
          <w:tab w:val="left" w:pos="540"/>
          <w:tab w:val="left" w:pos="567"/>
        </w:tabs>
        <w:ind w:left="360"/>
        <w:jc w:val="center"/>
        <w:rPr>
          <w:del w:id="15511" w:author="AbbVie14" w:date="2025-05-09T10:59:00Z"/>
          <w:sz w:val="22"/>
          <w:szCs w:val="22"/>
        </w:rPr>
      </w:pPr>
    </w:p>
    <w:p w:rsidR="006224C2" w:rsidRPr="00295E71" w14:paraId="63B54739" w14:textId="77777777">
      <w:pPr>
        <w:numPr>
          <w:ilvl w:val="0"/>
          <w:numId w:val="16"/>
        </w:numPr>
        <w:tabs>
          <w:tab w:val="clear" w:pos="360"/>
          <w:tab w:val="left" w:pos="540"/>
          <w:tab w:val="left" w:pos="567"/>
        </w:tabs>
        <w:ind w:left="540" w:hanging="540"/>
        <w:jc w:val="both"/>
        <w:rPr>
          <w:del w:id="15512" w:author="AbbVie14" w:date="2025-05-09T10:59:00Z"/>
          <w:sz w:val="22"/>
          <w:szCs w:val="22"/>
        </w:rPr>
      </w:pPr>
      <w:del w:id="15513" w:author="AbbVie14" w:date="2025-05-09T10:59:00Z">
        <w:r w:rsidRPr="00295E71">
          <w:rPr>
            <w:sz w:val="22"/>
            <w:szCs w:val="22"/>
          </w:rPr>
          <w:delText xml:space="preserve">Tirare fuori l’ago dalla confezione, ma </w:delText>
        </w:r>
      </w:del>
      <w:del w:id="15514" w:author="AbbVie14" w:date="2025-05-09T10:59:00Z">
        <w:r w:rsidRPr="00295E71">
          <w:rPr>
            <w:b/>
            <w:sz w:val="22"/>
            <w:szCs w:val="22"/>
          </w:rPr>
          <w:delText>NON</w:delText>
        </w:r>
      </w:del>
      <w:del w:id="15515" w:author="AbbVie14" w:date="2025-05-09T10:59:00Z">
        <w:r w:rsidRPr="00295E71">
          <w:rPr>
            <w:sz w:val="22"/>
            <w:szCs w:val="22"/>
          </w:rPr>
          <w:delText xml:space="preserve"> rimuovere il cappuccio trasparente dell’ago.</w:delText>
        </w:r>
      </w:del>
    </w:p>
    <w:p w:rsidR="006224C2" w:rsidRPr="00295E71" w14:paraId="3C7A4AD2" w14:textId="77777777">
      <w:pPr>
        <w:tabs>
          <w:tab w:val="left" w:pos="540"/>
          <w:tab w:val="left" w:pos="567"/>
        </w:tabs>
        <w:ind w:left="540"/>
        <w:jc w:val="both"/>
        <w:rPr>
          <w:del w:id="15516" w:author="AbbVie14" w:date="2025-05-09T10:59:00Z"/>
          <w:sz w:val="22"/>
          <w:szCs w:val="22"/>
        </w:rPr>
      </w:pPr>
    </w:p>
    <w:p w:rsidR="006224C2" w:rsidRPr="00295E71" w14:paraId="3A953075" w14:textId="77777777">
      <w:pPr>
        <w:numPr>
          <w:ilvl w:val="0"/>
          <w:numId w:val="16"/>
        </w:numPr>
        <w:tabs>
          <w:tab w:val="clear" w:pos="360"/>
          <w:tab w:val="left" w:pos="540"/>
          <w:tab w:val="left" w:pos="567"/>
        </w:tabs>
        <w:ind w:left="540" w:hanging="540"/>
        <w:jc w:val="both"/>
        <w:rPr>
          <w:del w:id="15517" w:author="AbbVie14" w:date="2025-05-09T10:59:00Z"/>
          <w:sz w:val="22"/>
          <w:szCs w:val="22"/>
        </w:rPr>
      </w:pPr>
      <w:del w:id="15518" w:author="AbbVie14" w:date="2025-05-09T10:59:00Z">
        <w:r w:rsidRPr="00295E71">
          <w:rPr>
            <w:sz w:val="22"/>
            <w:szCs w:val="22"/>
          </w:rPr>
          <w:delText>Porre la siringa su un piano di lavoro pulito. Proseguire immediatamente con i punti sito di somministrazione e preparazione della dose.</w:delText>
        </w:r>
      </w:del>
    </w:p>
    <w:p w:rsidR="006224C2" w:rsidRPr="00295E71" w14:paraId="0870CE00" w14:textId="77777777">
      <w:pPr>
        <w:tabs>
          <w:tab w:val="left" w:pos="540"/>
          <w:tab w:val="left" w:pos="567"/>
        </w:tabs>
        <w:jc w:val="both"/>
        <w:rPr>
          <w:del w:id="15519" w:author="AbbVie14" w:date="2025-05-09T10:59:00Z"/>
          <w:sz w:val="22"/>
          <w:szCs w:val="22"/>
        </w:rPr>
      </w:pPr>
    </w:p>
    <w:p w:rsidR="006224C2" w:rsidRPr="00295E71" w14:paraId="6A9B9324" w14:textId="77777777">
      <w:pPr>
        <w:tabs>
          <w:tab w:val="left" w:pos="540"/>
          <w:tab w:val="left" w:pos="567"/>
        </w:tabs>
        <w:jc w:val="both"/>
        <w:rPr>
          <w:del w:id="15520" w:author="AbbVie14" w:date="2025-05-09T10:59:00Z"/>
          <w:b/>
          <w:sz w:val="22"/>
          <w:szCs w:val="22"/>
        </w:rPr>
      </w:pPr>
      <w:del w:id="15521" w:author="AbbVie14" w:date="2025-05-09T10:59:00Z">
        <w:r w:rsidRPr="00295E71">
          <w:rPr>
            <w:b/>
            <w:sz w:val="22"/>
            <w:szCs w:val="22"/>
          </w:rPr>
          <w:delText xml:space="preserve">3) </w:delText>
        </w:r>
      </w:del>
      <w:del w:id="15522" w:author="AbbVie14" w:date="2025-05-09T10:59:00Z">
        <w:r w:rsidRPr="00295E71" w:rsidR="00FF6263">
          <w:rPr>
            <w:b/>
            <w:sz w:val="22"/>
            <w:szCs w:val="22"/>
          </w:rPr>
          <w:tab/>
        </w:r>
      </w:del>
      <w:del w:id="15523" w:author="AbbVie14" w:date="2025-05-09T10:59:00Z">
        <w:r w:rsidRPr="00295E71">
          <w:rPr>
            <w:b/>
            <w:sz w:val="22"/>
            <w:szCs w:val="22"/>
          </w:rPr>
          <w:delText>Scelta e preparazione di un sito d’iniezione</w:delText>
        </w:r>
      </w:del>
    </w:p>
    <w:p w:rsidR="006224C2" w:rsidRPr="00295E71" w14:paraId="6D68AE4F" w14:textId="77777777">
      <w:pPr>
        <w:tabs>
          <w:tab w:val="left" w:pos="540"/>
          <w:tab w:val="left" w:pos="567"/>
        </w:tabs>
        <w:jc w:val="both"/>
        <w:rPr>
          <w:del w:id="15524" w:author="AbbVie14" w:date="2025-05-09T10:59:00Z"/>
          <w:b/>
          <w:sz w:val="22"/>
          <w:szCs w:val="22"/>
        </w:rPr>
      </w:pPr>
    </w:p>
    <w:p w:rsidR="006224C2" w:rsidRPr="00295E71" w14:paraId="63F3EB8E" w14:textId="77777777">
      <w:pPr>
        <w:numPr>
          <w:ilvl w:val="0"/>
          <w:numId w:val="16"/>
        </w:numPr>
        <w:tabs>
          <w:tab w:val="clear" w:pos="360"/>
          <w:tab w:val="left" w:pos="540"/>
          <w:tab w:val="left" w:pos="567"/>
        </w:tabs>
        <w:ind w:left="540" w:hanging="540"/>
        <w:jc w:val="both"/>
        <w:rPr>
          <w:del w:id="15525" w:author="AbbVie14" w:date="2025-05-09T10:59:00Z"/>
          <w:sz w:val="22"/>
          <w:szCs w:val="22"/>
        </w:rPr>
      </w:pPr>
      <w:del w:id="15526" w:author="AbbVie14" w:date="2025-05-09T10:59:00Z">
        <w:r w:rsidRPr="00295E71">
          <w:rPr>
            <w:sz w:val="22"/>
            <w:szCs w:val="22"/>
          </w:rPr>
          <w:delText>Scelga un punto sulla coscia o sulla pancia:</w:delText>
        </w:r>
      </w:del>
      <w:del w:id="15527" w:author="AbbVie14" w:date="2025-05-09T10:59:00Z">
        <w:r w:rsidR="00114AD7">
          <w:rPr>
            <w:sz w:val="22"/>
            <w:szCs w:val="22"/>
          </w:rPr>
          <w:delText xml:space="preserve"> </w:delText>
        </w:r>
      </w:del>
      <w:del w:id="15528" w:author="AbbVie14" w:date="2025-05-09T10:59:00Z">
        <w:r w:rsidRPr="00295E71">
          <w:rPr>
            <w:b/>
            <w:sz w:val="22"/>
            <w:szCs w:val="22"/>
          </w:rPr>
          <w:delText>NON</w:delText>
        </w:r>
      </w:del>
      <w:del w:id="15529" w:author="AbbVie14" w:date="2025-05-09T10:59:00Z">
        <w:r w:rsidRPr="00295E71">
          <w:rPr>
            <w:sz w:val="22"/>
            <w:szCs w:val="22"/>
          </w:rPr>
          <w:delText xml:space="preserve"> usi lo stesso sito che è stato utilizzato per l’ultima iniezione.</w:delText>
        </w:r>
      </w:del>
    </w:p>
    <w:p w:rsidR="006224C2" w:rsidRPr="00295E71" w14:paraId="1FA0A54B" w14:textId="77777777">
      <w:pPr>
        <w:jc w:val="both"/>
        <w:rPr>
          <w:del w:id="15530" w:author="AbbVie14" w:date="2025-05-09T10:59:00Z"/>
          <w:sz w:val="22"/>
          <w:szCs w:val="22"/>
        </w:rPr>
      </w:pPr>
    </w:p>
    <w:p w:rsidR="006224C2" w:rsidRPr="00295E71" w14:paraId="70F1E7A3" w14:textId="77777777">
      <w:pPr>
        <w:numPr>
          <w:ilvl w:val="0"/>
          <w:numId w:val="12"/>
        </w:numPr>
        <w:tabs>
          <w:tab w:val="num" w:pos="540"/>
          <w:tab w:val="left" w:pos="567"/>
          <w:tab w:val="clear" w:pos="1440"/>
        </w:tabs>
        <w:ind w:left="567" w:hanging="567"/>
        <w:jc w:val="both"/>
        <w:rPr>
          <w:del w:id="15531" w:author="AbbVie14" w:date="2025-05-09T10:59:00Z"/>
          <w:sz w:val="22"/>
          <w:szCs w:val="22"/>
        </w:rPr>
      </w:pPr>
      <w:del w:id="15532" w:author="AbbVie14" w:date="2025-05-09T10:59:00Z">
        <w:r w:rsidRPr="00295E71">
          <w:rPr>
            <w:sz w:val="22"/>
            <w:szCs w:val="22"/>
          </w:rPr>
          <w:delText xml:space="preserve">La nuova iniezione deve essere somministrata ad almeno 3 cm dal sito dell’ultima iniezione. </w:delText>
        </w:r>
      </w:del>
    </w:p>
    <w:p w:rsidR="006224C2" w:rsidRPr="00295E71" w14:paraId="0B505DAA" w14:textId="77777777">
      <w:pPr>
        <w:tabs>
          <w:tab w:val="left" w:pos="567"/>
        </w:tabs>
        <w:rPr>
          <w:del w:id="15533" w:author="AbbVie14" w:date="2025-05-09T10:59:00Z"/>
          <w:sz w:val="22"/>
          <w:szCs w:val="22"/>
        </w:rPr>
      </w:pPr>
    </w:p>
    <w:p w:rsidR="006224C2" w:rsidRPr="00295E71" w14:paraId="25260991" w14:textId="77777777">
      <w:pPr>
        <w:tabs>
          <w:tab w:val="left" w:pos="567"/>
        </w:tabs>
        <w:jc w:val="center"/>
        <w:rPr>
          <w:del w:id="15534" w:author="AbbVie14" w:date="2025-05-09T10:59:00Z"/>
          <w:sz w:val="22"/>
          <w:szCs w:val="22"/>
        </w:rPr>
      </w:pPr>
      <w:del w:id="15535" w:author="AbbVie14" w:date="2025-05-09T10:59:00Z">
        <w:r w:rsidRPr="00910CE7">
          <w:rPr>
            <w:noProof/>
            <w:sz w:val="22"/>
            <w:lang w:val="en-GB"/>
          </w:rPr>
          <w:drawing>
            <wp:inline distT="0" distB="0" distL="0" distR="0">
              <wp:extent cx="1819275" cy="1819275"/>
              <wp:effectExtent l="19050" t="0" r="952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pic:cNvPicPr>
                        <a:picLocks noChangeAspect="1" noChangeArrowheads="1"/>
                      </pic:cNvPicPr>
                    </pic:nvPicPr>
                    <pic:blipFill>
                      <a:blip xmlns:r="http://schemas.openxmlformats.org/officeDocument/2006/relationships" r:embed="rId50" cstate="print"/>
                      <a:stretch>
                        <a:fillRect/>
                      </a:stretch>
                    </pic:blipFill>
                    <pic:spPr bwMode="auto">
                      <a:xfrm>
                        <a:off x="0" y="0"/>
                        <a:ext cx="1819275" cy="1819275"/>
                      </a:xfrm>
                      <a:prstGeom prst="rect">
                        <a:avLst/>
                      </a:prstGeom>
                      <a:noFill/>
                      <a:ln w="9525">
                        <a:noFill/>
                        <a:miter lim="800000"/>
                        <a:headEnd/>
                        <a:tailEnd/>
                      </a:ln>
                    </pic:spPr>
                  </pic:pic>
                </a:graphicData>
              </a:graphic>
            </wp:inline>
          </w:drawing>
        </w:r>
      </w:del>
    </w:p>
    <w:p w:rsidR="006224C2" w:rsidRPr="00295E71" w14:paraId="3F49CC1A" w14:textId="77777777">
      <w:pPr>
        <w:tabs>
          <w:tab w:val="left" w:pos="567"/>
        </w:tabs>
        <w:jc w:val="both"/>
        <w:rPr>
          <w:del w:id="15536" w:author="AbbVie14" w:date="2025-05-09T10:59:00Z"/>
          <w:sz w:val="22"/>
          <w:szCs w:val="22"/>
        </w:rPr>
      </w:pPr>
    </w:p>
    <w:p w:rsidR="006224C2" w:rsidRPr="00295E71" w14:paraId="0D27E5C7" w14:textId="77777777">
      <w:pPr>
        <w:numPr>
          <w:ilvl w:val="0"/>
          <w:numId w:val="51"/>
        </w:numPr>
        <w:tabs>
          <w:tab w:val="num" w:pos="540"/>
          <w:tab w:val="clear" w:pos="720"/>
          <w:tab w:val="left" w:pos="1134"/>
        </w:tabs>
        <w:ind w:left="540" w:hanging="540"/>
        <w:jc w:val="both"/>
        <w:rPr>
          <w:del w:id="15537" w:author="AbbVie14" w:date="2025-05-09T10:59:00Z"/>
          <w:sz w:val="22"/>
          <w:szCs w:val="22"/>
        </w:rPr>
      </w:pPr>
      <w:del w:id="15538" w:author="AbbVie14" w:date="2025-05-09T10:59:00Z">
        <w:r w:rsidRPr="00295E71">
          <w:rPr>
            <w:b/>
            <w:sz w:val="22"/>
            <w:szCs w:val="22"/>
          </w:rPr>
          <w:delText>NON</w:delText>
        </w:r>
      </w:del>
      <w:del w:id="15539" w:author="AbbVie14" w:date="2025-05-09T10:59:00Z">
        <w:r w:rsidRPr="00295E71" w:rsidR="006038EE">
          <w:rPr>
            <w:b/>
            <w:sz w:val="22"/>
            <w:szCs w:val="22"/>
          </w:rPr>
          <w:delText xml:space="preserve"> </w:delText>
        </w:r>
      </w:del>
      <w:del w:id="15540" w:author="AbbVie14" w:date="2025-05-09T10:59:00Z">
        <w:r w:rsidRPr="00295E71">
          <w:rPr>
            <w:sz w:val="22"/>
            <w:szCs w:val="22"/>
          </w:rPr>
          <w:delText>esegua l’iniezione in zone in cui la pelle appare arrossata, siano presenti ematomi</w:delText>
        </w:r>
      </w:del>
      <w:del w:id="15541" w:author="AbbVie14" w:date="2025-05-09T10:59:00Z">
        <w:r w:rsidRPr="00295E71" w:rsidR="006038EE">
          <w:rPr>
            <w:sz w:val="22"/>
            <w:szCs w:val="22"/>
          </w:rPr>
          <w:delText xml:space="preserve"> </w:delText>
        </w:r>
      </w:del>
      <w:del w:id="15542" w:author="AbbVie14" w:date="2025-05-09T10:59:00Z">
        <w:r w:rsidRPr="00295E71">
          <w:rPr>
            <w:sz w:val="22"/>
            <w:szCs w:val="22"/>
          </w:rPr>
          <w:delText>o risulti indurita. Ciò potrebbe indicare la presenza di un’infezione; pertanto, deve contattare il medico.</w:delText>
        </w:r>
      </w:del>
    </w:p>
    <w:p w:rsidR="006224C2" w:rsidRPr="00295E71" w14:paraId="4EA6BF16" w14:textId="77777777">
      <w:pPr>
        <w:numPr>
          <w:ilvl w:val="0"/>
          <w:numId w:val="51"/>
        </w:numPr>
        <w:tabs>
          <w:tab w:val="num" w:pos="540"/>
          <w:tab w:val="clear" w:pos="720"/>
          <w:tab w:val="left" w:pos="1134"/>
        </w:tabs>
        <w:ind w:left="540" w:hanging="540"/>
        <w:jc w:val="both"/>
        <w:rPr>
          <w:del w:id="15543" w:author="AbbVie14" w:date="2025-05-09T10:59:00Z"/>
          <w:sz w:val="22"/>
          <w:szCs w:val="22"/>
        </w:rPr>
      </w:pPr>
      <w:del w:id="15544" w:author="AbbVie14" w:date="2025-05-09T10:59:00Z">
        <w:r w:rsidRPr="00295E71">
          <w:rPr>
            <w:sz w:val="22"/>
            <w:szCs w:val="22"/>
          </w:rPr>
          <w:delText xml:space="preserve">Per ridurre la possibilità di contrarre infezioni, strofini la sede di iniezione con l’altro tampone imbevuto di alcool. </w:delText>
        </w:r>
      </w:del>
      <w:del w:id="15545" w:author="AbbVie14" w:date="2025-05-09T10:59:00Z">
        <w:r w:rsidRPr="00295E71">
          <w:rPr>
            <w:b/>
            <w:sz w:val="22"/>
            <w:szCs w:val="22"/>
          </w:rPr>
          <w:delText>NON</w:delText>
        </w:r>
      </w:del>
      <w:del w:id="15546" w:author="AbbVie14" w:date="2025-05-09T10:59:00Z">
        <w:r w:rsidRPr="00295E71" w:rsidR="006038EE">
          <w:rPr>
            <w:b/>
            <w:sz w:val="22"/>
            <w:szCs w:val="22"/>
          </w:rPr>
          <w:delText xml:space="preserve"> </w:delText>
        </w:r>
      </w:del>
      <w:del w:id="15547" w:author="AbbVie14" w:date="2025-05-09T10:59:00Z">
        <w:r w:rsidRPr="00295E71">
          <w:rPr>
            <w:sz w:val="22"/>
            <w:szCs w:val="22"/>
          </w:rPr>
          <w:delText xml:space="preserve">tocchi nuovamente la zona prima dell’iniezione. </w:delText>
        </w:r>
      </w:del>
    </w:p>
    <w:p w:rsidR="006224C2" w:rsidRPr="00295E71" w14:paraId="6DFD86E1" w14:textId="77777777">
      <w:pPr>
        <w:tabs>
          <w:tab w:val="left" w:pos="567"/>
          <w:tab w:val="left" w:pos="1134"/>
        </w:tabs>
        <w:ind w:left="567"/>
        <w:jc w:val="both"/>
        <w:rPr>
          <w:del w:id="15548" w:author="AbbVie14" w:date="2025-05-09T10:59:00Z"/>
          <w:sz w:val="22"/>
          <w:szCs w:val="22"/>
        </w:rPr>
      </w:pPr>
    </w:p>
    <w:p w:rsidR="006224C2" w:rsidRPr="00295E71" w14:paraId="322C686A" w14:textId="77777777">
      <w:pPr>
        <w:tabs>
          <w:tab w:val="left" w:pos="567"/>
        </w:tabs>
        <w:jc w:val="both"/>
        <w:rPr>
          <w:del w:id="15549" w:author="AbbVie14" w:date="2025-05-09T10:59:00Z"/>
          <w:b/>
          <w:bCs/>
          <w:sz w:val="22"/>
          <w:szCs w:val="22"/>
        </w:rPr>
      </w:pPr>
    </w:p>
    <w:p w:rsidR="006224C2" w:rsidRPr="00295E71" w:rsidP="00986889" w14:paraId="6CAE7BF4" w14:textId="77777777">
      <w:pPr>
        <w:keepNext/>
        <w:keepLines/>
        <w:tabs>
          <w:tab w:val="left" w:pos="567"/>
        </w:tabs>
        <w:jc w:val="both"/>
        <w:rPr>
          <w:del w:id="15550" w:author="AbbVie14" w:date="2025-05-09T10:59:00Z"/>
          <w:b/>
          <w:bCs/>
          <w:sz w:val="22"/>
          <w:szCs w:val="22"/>
        </w:rPr>
      </w:pPr>
      <w:del w:id="15551" w:author="AbbVie14" w:date="2025-05-09T10:59:00Z">
        <w:r w:rsidRPr="00295E71">
          <w:rPr>
            <w:b/>
            <w:bCs/>
            <w:sz w:val="22"/>
            <w:szCs w:val="22"/>
          </w:rPr>
          <w:delText>4)</w:delText>
        </w:r>
      </w:del>
      <w:del w:id="15552" w:author="AbbVie14" w:date="2025-05-09T10:59:00Z">
        <w:r w:rsidRPr="00295E71" w:rsidR="00FF6263">
          <w:rPr>
            <w:b/>
            <w:bCs/>
            <w:sz w:val="22"/>
            <w:szCs w:val="22"/>
          </w:rPr>
          <w:tab/>
        </w:r>
      </w:del>
      <w:del w:id="15553" w:author="AbbVie14" w:date="2025-05-09T10:59:00Z">
        <w:r w:rsidRPr="00295E71" w:rsidR="00226BC4">
          <w:rPr>
            <w:b/>
            <w:bCs/>
            <w:sz w:val="22"/>
            <w:szCs w:val="22"/>
          </w:rPr>
          <w:delText>Preparazione della dose</w:delText>
        </w:r>
      </w:del>
    </w:p>
    <w:p w:rsidR="006224C2" w:rsidRPr="00295E71" w:rsidP="00986889" w14:paraId="7CD62A7C" w14:textId="77777777">
      <w:pPr>
        <w:keepNext/>
        <w:keepLines/>
        <w:tabs>
          <w:tab w:val="left" w:pos="567"/>
        </w:tabs>
        <w:jc w:val="both"/>
        <w:rPr>
          <w:del w:id="15554" w:author="AbbVie14" w:date="2025-05-09T10:59:00Z"/>
          <w:b/>
          <w:bCs/>
          <w:sz w:val="22"/>
          <w:szCs w:val="22"/>
        </w:rPr>
      </w:pPr>
    </w:p>
    <w:p w:rsidR="006224C2" w:rsidRPr="00295E71" w:rsidP="00986889" w14:paraId="3F28D826" w14:textId="77777777">
      <w:pPr>
        <w:keepNext/>
        <w:keepLines/>
        <w:numPr>
          <w:ilvl w:val="0"/>
          <w:numId w:val="37"/>
        </w:numPr>
        <w:tabs>
          <w:tab w:val="left" w:pos="567"/>
        </w:tabs>
        <w:ind w:hanging="720"/>
        <w:jc w:val="both"/>
        <w:rPr>
          <w:del w:id="15555" w:author="AbbVie14" w:date="2025-05-09T10:59:00Z"/>
          <w:sz w:val="22"/>
          <w:szCs w:val="22"/>
        </w:rPr>
      </w:pPr>
      <w:del w:id="15556" w:author="AbbVie14" w:date="2025-05-09T10:59:00Z">
        <w:r w:rsidRPr="00295E71">
          <w:rPr>
            <w:sz w:val="22"/>
            <w:szCs w:val="22"/>
          </w:rPr>
          <w:delText>Raccolga la siringa con l’ago rivolto verso l’alto.</w:delText>
        </w:r>
      </w:del>
    </w:p>
    <w:p w:rsidR="006224C2" w:rsidRPr="00295E71" w:rsidP="00986889" w14:paraId="1CF90273" w14:textId="77777777">
      <w:pPr>
        <w:keepNext/>
        <w:numPr>
          <w:ilvl w:val="0"/>
          <w:numId w:val="37"/>
        </w:numPr>
        <w:tabs>
          <w:tab w:val="left" w:pos="567"/>
        </w:tabs>
        <w:ind w:hanging="720"/>
        <w:jc w:val="both"/>
        <w:rPr>
          <w:del w:id="15557" w:author="AbbVie14" w:date="2025-05-09T10:59:00Z"/>
          <w:sz w:val="22"/>
          <w:szCs w:val="22"/>
        </w:rPr>
      </w:pPr>
      <w:del w:id="15558" w:author="AbbVie14" w:date="2025-05-09T10:59:00Z">
        <w:r w:rsidRPr="00295E71">
          <w:rPr>
            <w:sz w:val="22"/>
            <w:szCs w:val="22"/>
          </w:rPr>
          <w:delText>Utilizzi l’altra mano per girare il copri-ago rosa verso la siringa.</w:delText>
        </w:r>
      </w:del>
    </w:p>
    <w:p w:rsidR="006224C2" w:rsidRPr="00295E71" w:rsidP="00986889" w14:paraId="17DFA4AF" w14:textId="77777777">
      <w:pPr>
        <w:keepNext/>
        <w:tabs>
          <w:tab w:val="left" w:pos="567"/>
        </w:tabs>
        <w:ind w:left="360"/>
        <w:rPr>
          <w:del w:id="15559" w:author="AbbVie14" w:date="2025-05-09T10:59:00Z"/>
          <w:sz w:val="22"/>
          <w:szCs w:val="22"/>
        </w:rPr>
      </w:pPr>
    </w:p>
    <w:p w:rsidR="006224C2" w:rsidRPr="00295E71" w14:paraId="79BD9C2C" w14:textId="77777777">
      <w:pPr>
        <w:tabs>
          <w:tab w:val="left" w:pos="567"/>
        </w:tabs>
        <w:ind w:left="360"/>
        <w:jc w:val="center"/>
        <w:rPr>
          <w:del w:id="15560" w:author="AbbVie14" w:date="2025-05-09T10:59:00Z"/>
          <w:sz w:val="22"/>
          <w:szCs w:val="22"/>
        </w:rPr>
      </w:pPr>
      <w:del w:id="15561" w:author="AbbVie14" w:date="2025-05-09T10:59:00Z">
        <w:r w:rsidRPr="00910CE7">
          <w:rPr>
            <w:noProof/>
            <w:sz w:val="22"/>
            <w:lang w:val="en-GB"/>
          </w:rPr>
          <w:drawing>
            <wp:inline distT="0" distB="0" distL="0" distR="0">
              <wp:extent cx="1857375" cy="1847850"/>
              <wp:effectExtent l="19050" t="0" r="952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a:picLocks noChangeAspect="1" noChangeArrowheads="1"/>
                      </pic:cNvPicPr>
                    </pic:nvPicPr>
                    <pic:blipFill>
                      <a:blip xmlns:r="http://schemas.openxmlformats.org/officeDocument/2006/relationships" r:embed="rId51" cstate="print"/>
                      <a:stretch>
                        <a:fillRect/>
                      </a:stretch>
                    </pic:blipFill>
                    <pic:spPr bwMode="auto">
                      <a:xfrm>
                        <a:off x="0" y="0"/>
                        <a:ext cx="1857375" cy="1847850"/>
                      </a:xfrm>
                      <a:prstGeom prst="rect">
                        <a:avLst/>
                      </a:prstGeom>
                      <a:noFill/>
                      <a:ln w="9525">
                        <a:noFill/>
                        <a:miter lim="800000"/>
                        <a:headEnd/>
                        <a:tailEnd/>
                      </a:ln>
                    </pic:spPr>
                  </pic:pic>
                </a:graphicData>
              </a:graphic>
            </wp:inline>
          </w:drawing>
        </w:r>
      </w:del>
    </w:p>
    <w:p w:rsidR="006224C2" w:rsidRPr="00295E71" w14:paraId="7A1D3293" w14:textId="77777777">
      <w:pPr>
        <w:tabs>
          <w:tab w:val="left" w:pos="567"/>
        </w:tabs>
        <w:ind w:left="360"/>
        <w:jc w:val="center"/>
        <w:rPr>
          <w:del w:id="15562" w:author="AbbVie14" w:date="2025-05-09T10:59:00Z"/>
          <w:sz w:val="22"/>
          <w:szCs w:val="22"/>
        </w:rPr>
      </w:pPr>
    </w:p>
    <w:p w:rsidR="006224C2" w:rsidRPr="00295E71" w14:paraId="4D2A3580" w14:textId="77777777">
      <w:pPr>
        <w:numPr>
          <w:ilvl w:val="0"/>
          <w:numId w:val="20"/>
        </w:numPr>
        <w:tabs>
          <w:tab w:val="num" w:pos="540"/>
          <w:tab w:val="left" w:pos="567"/>
          <w:tab w:val="clear" w:pos="720"/>
        </w:tabs>
        <w:ind w:left="540" w:hanging="540"/>
        <w:jc w:val="both"/>
        <w:rPr>
          <w:del w:id="15563" w:author="AbbVie14" w:date="2025-05-09T10:59:00Z"/>
          <w:sz w:val="22"/>
          <w:szCs w:val="22"/>
        </w:rPr>
      </w:pPr>
      <w:del w:id="15564" w:author="AbbVie14" w:date="2025-05-09T10:59:00Z">
        <w:r w:rsidRPr="00295E71">
          <w:rPr>
            <w:sz w:val="22"/>
            <w:szCs w:val="22"/>
          </w:rPr>
          <w:delText>Rimuova il cappuccio trasparente dell’ago tirandolo verso l’alto con l’altra mano.</w:delText>
        </w:r>
      </w:del>
    </w:p>
    <w:p w:rsidR="006224C2" w:rsidRPr="00295E71" w14:paraId="67535254" w14:textId="77777777">
      <w:pPr>
        <w:tabs>
          <w:tab w:val="left" w:pos="567"/>
        </w:tabs>
        <w:rPr>
          <w:del w:id="15565" w:author="AbbVie14" w:date="2025-05-09T10:59:00Z"/>
          <w:sz w:val="22"/>
          <w:szCs w:val="22"/>
        </w:rPr>
      </w:pPr>
    </w:p>
    <w:p w:rsidR="006224C2" w:rsidRPr="00295E71" w14:paraId="028A50C3" w14:textId="77777777">
      <w:pPr>
        <w:tabs>
          <w:tab w:val="left" w:pos="567"/>
        </w:tabs>
        <w:jc w:val="center"/>
        <w:rPr>
          <w:del w:id="15566" w:author="AbbVie14" w:date="2025-05-09T10:59:00Z"/>
          <w:sz w:val="22"/>
          <w:szCs w:val="22"/>
        </w:rPr>
      </w:pPr>
      <w:del w:id="15567" w:author="AbbVie14" w:date="2025-05-09T10:59:00Z">
        <w:r w:rsidRPr="00910CE7">
          <w:rPr>
            <w:noProof/>
            <w:sz w:val="22"/>
            <w:lang w:val="en-GB"/>
          </w:rPr>
          <w:drawing>
            <wp:inline distT="0" distB="0" distL="0" distR="0">
              <wp:extent cx="1819275" cy="1828800"/>
              <wp:effectExtent l="19050" t="0" r="952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pic:cNvPicPr>
                        <a:picLocks noChangeAspect="1" noChangeArrowheads="1"/>
                      </pic:cNvPicPr>
                    </pic:nvPicPr>
                    <pic:blipFill>
                      <a:blip xmlns:r="http://schemas.openxmlformats.org/officeDocument/2006/relationships" r:embed="rId52" cstate="print"/>
                      <a:stretch>
                        <a:fillRect/>
                      </a:stretch>
                    </pic:blipFill>
                    <pic:spPr bwMode="auto">
                      <a:xfrm>
                        <a:off x="0" y="0"/>
                        <a:ext cx="1819275" cy="1828800"/>
                      </a:xfrm>
                      <a:prstGeom prst="rect">
                        <a:avLst/>
                      </a:prstGeom>
                      <a:noFill/>
                      <a:ln w="9525">
                        <a:noFill/>
                        <a:miter lim="800000"/>
                        <a:headEnd/>
                        <a:tailEnd/>
                      </a:ln>
                    </pic:spPr>
                  </pic:pic>
                </a:graphicData>
              </a:graphic>
            </wp:inline>
          </w:drawing>
        </w:r>
      </w:del>
    </w:p>
    <w:p w:rsidR="006224C2" w:rsidRPr="00295E71" w14:paraId="0F490011" w14:textId="77777777">
      <w:pPr>
        <w:tabs>
          <w:tab w:val="left" w:pos="567"/>
        </w:tabs>
        <w:jc w:val="center"/>
        <w:rPr>
          <w:del w:id="15568" w:author="AbbVie14" w:date="2025-05-09T10:59:00Z"/>
          <w:sz w:val="22"/>
          <w:szCs w:val="22"/>
        </w:rPr>
      </w:pPr>
    </w:p>
    <w:p w:rsidR="006224C2" w:rsidRPr="00295E71" w14:paraId="7E943AA1" w14:textId="77777777">
      <w:pPr>
        <w:numPr>
          <w:ilvl w:val="0"/>
          <w:numId w:val="20"/>
        </w:numPr>
        <w:tabs>
          <w:tab w:val="num" w:pos="540"/>
          <w:tab w:val="left" w:pos="567"/>
          <w:tab w:val="clear" w:pos="720"/>
        </w:tabs>
        <w:ind w:left="540" w:hanging="540"/>
        <w:jc w:val="both"/>
        <w:rPr>
          <w:del w:id="15569" w:author="AbbVie14" w:date="2025-05-09T10:59:00Z"/>
          <w:sz w:val="22"/>
          <w:szCs w:val="22"/>
        </w:rPr>
      </w:pPr>
      <w:del w:id="15570" w:author="AbbVie14" w:date="2025-05-09T10:59:00Z">
        <w:r w:rsidRPr="00295E71">
          <w:rPr>
            <w:sz w:val="22"/>
            <w:szCs w:val="22"/>
          </w:rPr>
          <w:delText>L’ago è pulito.</w:delText>
        </w:r>
      </w:del>
    </w:p>
    <w:p w:rsidR="006224C2" w:rsidRPr="00295E71" w14:paraId="179A3B03" w14:textId="77777777">
      <w:pPr>
        <w:numPr>
          <w:ilvl w:val="0"/>
          <w:numId w:val="20"/>
        </w:numPr>
        <w:tabs>
          <w:tab w:val="num" w:pos="540"/>
          <w:tab w:val="left" w:pos="567"/>
          <w:tab w:val="clear" w:pos="720"/>
        </w:tabs>
        <w:ind w:left="540" w:hanging="540"/>
        <w:jc w:val="both"/>
        <w:rPr>
          <w:del w:id="15571" w:author="AbbVie14" w:date="2025-05-09T10:59:00Z"/>
          <w:sz w:val="22"/>
          <w:szCs w:val="22"/>
        </w:rPr>
      </w:pPr>
      <w:del w:id="15572" w:author="AbbVie14" w:date="2025-05-09T10:59:00Z">
        <w:r w:rsidRPr="00295E71">
          <w:rPr>
            <w:b/>
            <w:sz w:val="22"/>
            <w:szCs w:val="22"/>
          </w:rPr>
          <w:delText>NON</w:delText>
        </w:r>
      </w:del>
      <w:del w:id="15573" w:author="AbbVie14" w:date="2025-05-09T10:59:00Z">
        <w:r w:rsidRPr="00295E71">
          <w:rPr>
            <w:sz w:val="22"/>
            <w:szCs w:val="22"/>
          </w:rPr>
          <w:delText xml:space="preserve"> tocchi l’ago.</w:delText>
        </w:r>
      </w:del>
    </w:p>
    <w:p w:rsidR="006224C2" w:rsidRPr="00295E71" w14:paraId="12D693C5" w14:textId="77777777">
      <w:pPr>
        <w:numPr>
          <w:ilvl w:val="0"/>
          <w:numId w:val="20"/>
        </w:numPr>
        <w:tabs>
          <w:tab w:val="num" w:pos="540"/>
          <w:tab w:val="left" w:pos="567"/>
          <w:tab w:val="clear" w:pos="720"/>
        </w:tabs>
        <w:ind w:left="540" w:hanging="540"/>
        <w:jc w:val="both"/>
        <w:rPr>
          <w:del w:id="15574" w:author="AbbVie14" w:date="2025-05-09T10:59:00Z"/>
          <w:sz w:val="22"/>
          <w:szCs w:val="22"/>
        </w:rPr>
      </w:pPr>
      <w:del w:id="15575" w:author="AbbVie14" w:date="2025-05-09T10:59:00Z">
        <w:r w:rsidRPr="00295E71">
          <w:rPr>
            <w:b/>
            <w:sz w:val="22"/>
            <w:szCs w:val="22"/>
          </w:rPr>
          <w:delText>NON</w:delText>
        </w:r>
      </w:del>
      <w:del w:id="15576" w:author="AbbVie14" w:date="2025-05-09T10:59:00Z">
        <w:r w:rsidRPr="00295E71" w:rsidR="006038EE">
          <w:rPr>
            <w:b/>
            <w:sz w:val="22"/>
            <w:szCs w:val="22"/>
          </w:rPr>
          <w:delText xml:space="preserve"> </w:delText>
        </w:r>
      </w:del>
      <w:del w:id="15577" w:author="AbbVie14" w:date="2025-05-09T10:59:00Z">
        <w:r w:rsidRPr="00295E71">
          <w:rPr>
            <w:sz w:val="22"/>
            <w:szCs w:val="22"/>
          </w:rPr>
          <w:delText>rivolga la siringa verso il basso dopo che è stato tolto il cappuccio trasparente dell’ago.</w:delText>
        </w:r>
      </w:del>
    </w:p>
    <w:p w:rsidR="006224C2" w:rsidRPr="00295E71" w14:paraId="4CEFB073" w14:textId="77777777">
      <w:pPr>
        <w:numPr>
          <w:ilvl w:val="0"/>
          <w:numId w:val="20"/>
        </w:numPr>
        <w:tabs>
          <w:tab w:val="num" w:pos="540"/>
          <w:tab w:val="left" w:pos="567"/>
          <w:tab w:val="clear" w:pos="720"/>
        </w:tabs>
        <w:ind w:left="540" w:hanging="540"/>
        <w:jc w:val="both"/>
        <w:rPr>
          <w:del w:id="15578" w:author="AbbVie14" w:date="2025-05-09T10:59:00Z"/>
          <w:sz w:val="22"/>
          <w:szCs w:val="22"/>
        </w:rPr>
      </w:pPr>
      <w:del w:id="15579" w:author="AbbVie14" w:date="2025-05-09T10:59:00Z">
        <w:r w:rsidRPr="00295E71">
          <w:rPr>
            <w:b/>
            <w:sz w:val="22"/>
            <w:szCs w:val="22"/>
          </w:rPr>
          <w:delText xml:space="preserve">NON </w:delText>
        </w:r>
      </w:del>
      <w:del w:id="15580" w:author="AbbVie14" w:date="2025-05-09T10:59:00Z">
        <w:r w:rsidRPr="00295E71">
          <w:rPr>
            <w:sz w:val="22"/>
            <w:szCs w:val="22"/>
          </w:rPr>
          <w:delText xml:space="preserve">provi a riporre nuovamente il cappuccio trasparente sull’ago. </w:delText>
        </w:r>
      </w:del>
    </w:p>
    <w:p w:rsidR="006224C2" w:rsidRPr="00295E71" w14:paraId="22511B59" w14:textId="77777777">
      <w:pPr>
        <w:tabs>
          <w:tab w:val="left" w:pos="567"/>
        </w:tabs>
        <w:ind w:left="540"/>
        <w:jc w:val="both"/>
        <w:rPr>
          <w:del w:id="15581" w:author="AbbVie14" w:date="2025-05-09T10:59:00Z"/>
          <w:sz w:val="22"/>
          <w:szCs w:val="22"/>
        </w:rPr>
      </w:pPr>
    </w:p>
    <w:p w:rsidR="006224C2" w:rsidRPr="00295E71" w14:paraId="1C92EA91" w14:textId="77777777">
      <w:pPr>
        <w:numPr>
          <w:ilvl w:val="0"/>
          <w:numId w:val="20"/>
        </w:numPr>
        <w:tabs>
          <w:tab w:val="num" w:pos="540"/>
          <w:tab w:val="left" w:pos="567"/>
          <w:tab w:val="clear" w:pos="720"/>
        </w:tabs>
        <w:ind w:left="540" w:hanging="540"/>
        <w:jc w:val="both"/>
        <w:rPr>
          <w:del w:id="15582" w:author="AbbVie14" w:date="2025-05-09T10:59:00Z"/>
          <w:sz w:val="22"/>
          <w:szCs w:val="22"/>
        </w:rPr>
      </w:pPr>
      <w:del w:id="15583" w:author="AbbVie14" w:date="2025-05-09T10:59:00Z">
        <w:r w:rsidRPr="00295E71">
          <w:rPr>
            <w:sz w:val="22"/>
            <w:szCs w:val="22"/>
          </w:rPr>
          <w:delText xml:space="preserve">Mantenga la siringa ad altezza dell’occhio con l’ago rivolto verso l’alto per vedere chiaramente la quantità di liquido. Faccia attenzione a non spruzzarsi il medicinale negli occhi. </w:delText>
        </w:r>
      </w:del>
    </w:p>
    <w:p w:rsidR="006224C2" w:rsidRPr="00295E71" w14:paraId="4B3D9038" w14:textId="77777777">
      <w:pPr>
        <w:numPr>
          <w:ilvl w:val="0"/>
          <w:numId w:val="20"/>
        </w:numPr>
        <w:tabs>
          <w:tab w:val="num" w:pos="540"/>
          <w:tab w:val="left" w:pos="567"/>
          <w:tab w:val="clear" w:pos="720"/>
        </w:tabs>
        <w:ind w:left="540" w:hanging="540"/>
        <w:jc w:val="both"/>
        <w:rPr>
          <w:del w:id="15584" w:author="AbbVie14" w:date="2025-05-09T10:59:00Z"/>
          <w:sz w:val="22"/>
          <w:szCs w:val="22"/>
        </w:rPr>
      </w:pPr>
      <w:del w:id="15585" w:author="AbbVie14" w:date="2025-05-09T10:59:00Z">
        <w:r w:rsidRPr="00295E71">
          <w:rPr>
            <w:sz w:val="22"/>
            <w:szCs w:val="22"/>
          </w:rPr>
          <w:delText>Controlli nuovamente la quantità di medicinale prelevato.</w:delText>
        </w:r>
      </w:del>
    </w:p>
    <w:p w:rsidR="006224C2" w:rsidRPr="00295E71" w14:paraId="13D2A27E" w14:textId="77777777">
      <w:pPr>
        <w:numPr>
          <w:ilvl w:val="0"/>
          <w:numId w:val="20"/>
        </w:numPr>
        <w:tabs>
          <w:tab w:val="num" w:pos="540"/>
          <w:tab w:val="left" w:pos="567"/>
          <w:tab w:val="clear" w:pos="720"/>
        </w:tabs>
        <w:ind w:left="540" w:hanging="540"/>
        <w:jc w:val="both"/>
        <w:rPr>
          <w:del w:id="15586" w:author="AbbVie14" w:date="2025-05-09T10:59:00Z"/>
          <w:sz w:val="22"/>
          <w:szCs w:val="22"/>
        </w:rPr>
      </w:pPr>
      <w:del w:id="15587" w:author="AbbVie14" w:date="2025-05-09T10:59:00Z">
        <w:r w:rsidRPr="00295E71">
          <w:rPr>
            <w:sz w:val="22"/>
            <w:szCs w:val="22"/>
          </w:rPr>
          <w:delText xml:space="preserve">Spinga delicatamente lo stantuffo bianco dentro la siringa fino a quando la siringa non contenga la quantità di medicinale prescritto. Il liquido in eccesso può fuoriuscire dall’ago mentre lo stantuffo viene premuto. </w:delText>
        </w:r>
      </w:del>
      <w:del w:id="15588" w:author="AbbVie14" w:date="2025-05-09T10:59:00Z">
        <w:r w:rsidRPr="00295E71">
          <w:rPr>
            <w:b/>
            <w:sz w:val="22"/>
            <w:szCs w:val="22"/>
          </w:rPr>
          <w:delText>NON</w:delText>
        </w:r>
      </w:del>
      <w:del w:id="15589" w:author="AbbVie14" w:date="2025-05-09T10:59:00Z">
        <w:r w:rsidRPr="00295E71">
          <w:rPr>
            <w:sz w:val="22"/>
            <w:szCs w:val="22"/>
          </w:rPr>
          <w:delText xml:space="preserve"> tolga l’ago o la siringa. </w:delText>
        </w:r>
      </w:del>
    </w:p>
    <w:p w:rsidR="006224C2" w:rsidRPr="00295E71" w14:paraId="12B06FB4" w14:textId="77777777">
      <w:pPr>
        <w:tabs>
          <w:tab w:val="left" w:pos="567"/>
        </w:tabs>
        <w:jc w:val="both"/>
        <w:rPr>
          <w:del w:id="15590" w:author="AbbVie14" w:date="2025-05-09T10:59:00Z"/>
          <w:sz w:val="22"/>
          <w:szCs w:val="22"/>
        </w:rPr>
      </w:pPr>
    </w:p>
    <w:p w:rsidR="006224C2" w:rsidRPr="00295E71" w14:paraId="15B9FB26" w14:textId="77777777">
      <w:pPr>
        <w:tabs>
          <w:tab w:val="left" w:pos="567"/>
        </w:tabs>
        <w:jc w:val="both"/>
        <w:rPr>
          <w:del w:id="15591" w:author="AbbVie14" w:date="2025-05-09T10:59:00Z"/>
          <w:b/>
          <w:bCs/>
          <w:sz w:val="22"/>
          <w:szCs w:val="22"/>
        </w:rPr>
      </w:pPr>
      <w:del w:id="15592" w:author="AbbVie14" w:date="2025-05-09T10:59:00Z">
        <w:r w:rsidRPr="00295E71">
          <w:rPr>
            <w:b/>
            <w:bCs/>
            <w:sz w:val="22"/>
            <w:szCs w:val="22"/>
          </w:rPr>
          <w:delText>5)</w:delText>
        </w:r>
      </w:del>
      <w:del w:id="15593" w:author="AbbVie14" w:date="2025-05-09T10:59:00Z">
        <w:r w:rsidRPr="00295E71" w:rsidR="00FF6263">
          <w:rPr>
            <w:b/>
            <w:bCs/>
            <w:sz w:val="22"/>
            <w:szCs w:val="22"/>
          </w:rPr>
          <w:tab/>
        </w:r>
      </w:del>
      <w:del w:id="15594" w:author="AbbVie14" w:date="2025-05-09T10:59:00Z">
        <w:r w:rsidRPr="00295E71" w:rsidR="00226BC4">
          <w:rPr>
            <w:b/>
            <w:bCs/>
            <w:sz w:val="22"/>
            <w:szCs w:val="22"/>
          </w:rPr>
          <w:delText>Iniezione di Humira</w:delText>
        </w:r>
      </w:del>
    </w:p>
    <w:p w:rsidR="006224C2" w:rsidRPr="00295E71" w14:paraId="1AE4A178" w14:textId="77777777">
      <w:pPr>
        <w:tabs>
          <w:tab w:val="left" w:pos="567"/>
        </w:tabs>
        <w:jc w:val="both"/>
        <w:rPr>
          <w:del w:id="15595" w:author="AbbVie14" w:date="2025-05-09T10:59:00Z"/>
          <w:b/>
          <w:bCs/>
          <w:sz w:val="22"/>
          <w:szCs w:val="22"/>
        </w:rPr>
      </w:pPr>
    </w:p>
    <w:p w:rsidR="006224C2" w:rsidRPr="00295E71" w14:paraId="50134911" w14:textId="77777777">
      <w:pPr>
        <w:numPr>
          <w:ilvl w:val="0"/>
          <w:numId w:val="13"/>
        </w:numPr>
        <w:tabs>
          <w:tab w:val="num" w:pos="540"/>
          <w:tab w:val="left" w:pos="567"/>
          <w:tab w:val="clear" w:pos="720"/>
        </w:tabs>
        <w:ind w:left="567" w:hanging="567"/>
        <w:jc w:val="both"/>
        <w:rPr>
          <w:del w:id="15596" w:author="AbbVie14" w:date="2025-05-09T10:59:00Z"/>
          <w:sz w:val="22"/>
          <w:szCs w:val="22"/>
        </w:rPr>
      </w:pPr>
      <w:del w:id="15597" w:author="AbbVie14" w:date="2025-05-09T10:59:00Z">
        <w:r w:rsidRPr="00295E71">
          <w:rPr>
            <w:sz w:val="22"/>
            <w:szCs w:val="22"/>
          </w:rPr>
          <w:delText>Con la mano libera prenda delicatamente la zona già strofinata con l’alcool e la mantenga ferma.</w:delText>
        </w:r>
      </w:del>
    </w:p>
    <w:p w:rsidR="006224C2" w:rsidRPr="00295E71" w14:paraId="0EE6EE2A" w14:textId="77777777">
      <w:pPr>
        <w:numPr>
          <w:ilvl w:val="0"/>
          <w:numId w:val="13"/>
        </w:numPr>
        <w:tabs>
          <w:tab w:val="num" w:pos="540"/>
          <w:tab w:val="left" w:pos="567"/>
          <w:tab w:val="clear" w:pos="720"/>
        </w:tabs>
        <w:ind w:left="567" w:hanging="567"/>
        <w:jc w:val="both"/>
        <w:rPr>
          <w:del w:id="15598" w:author="AbbVie14" w:date="2025-05-09T10:59:00Z"/>
          <w:sz w:val="22"/>
          <w:szCs w:val="22"/>
        </w:rPr>
      </w:pPr>
      <w:del w:id="15599" w:author="AbbVie14" w:date="2025-05-09T10:59:00Z">
        <w:r w:rsidRPr="00295E71">
          <w:rPr>
            <w:sz w:val="22"/>
            <w:szCs w:val="22"/>
          </w:rPr>
          <w:delText>Con l’altra mano, impugni la siringa formando un angolo di 45° rispetto al punto di iniezione.</w:delText>
        </w:r>
      </w:del>
    </w:p>
    <w:p w:rsidR="006224C2" w:rsidRPr="00295E71" w14:paraId="4C4B84B1" w14:textId="77777777">
      <w:pPr>
        <w:numPr>
          <w:ilvl w:val="0"/>
          <w:numId w:val="13"/>
        </w:numPr>
        <w:tabs>
          <w:tab w:val="num" w:pos="540"/>
          <w:tab w:val="left" w:pos="567"/>
          <w:tab w:val="clear" w:pos="720"/>
        </w:tabs>
        <w:ind w:left="567" w:hanging="567"/>
        <w:jc w:val="both"/>
        <w:rPr>
          <w:del w:id="15600" w:author="AbbVie14" w:date="2025-05-09T10:59:00Z"/>
          <w:sz w:val="22"/>
          <w:szCs w:val="22"/>
        </w:rPr>
      </w:pPr>
      <w:del w:id="15601" w:author="AbbVie14" w:date="2025-05-09T10:59:00Z">
        <w:r w:rsidRPr="00295E71">
          <w:rPr>
            <w:sz w:val="22"/>
            <w:szCs w:val="22"/>
          </w:rPr>
          <w:delText>Con un movimento deciso e rapido, spinga tutto l’ago nella pelle.</w:delText>
        </w:r>
      </w:del>
    </w:p>
    <w:p w:rsidR="006224C2" w:rsidRPr="00295E71" w14:paraId="082E666D" w14:textId="77777777">
      <w:pPr>
        <w:numPr>
          <w:ilvl w:val="0"/>
          <w:numId w:val="13"/>
        </w:numPr>
        <w:tabs>
          <w:tab w:val="num" w:pos="540"/>
          <w:tab w:val="left" w:pos="567"/>
          <w:tab w:val="clear" w:pos="720"/>
        </w:tabs>
        <w:ind w:left="567" w:hanging="567"/>
        <w:jc w:val="both"/>
        <w:rPr>
          <w:del w:id="15602" w:author="AbbVie14" w:date="2025-05-09T10:59:00Z"/>
          <w:sz w:val="22"/>
          <w:szCs w:val="22"/>
        </w:rPr>
      </w:pPr>
      <w:del w:id="15603" w:author="AbbVie14" w:date="2025-05-09T10:59:00Z">
        <w:r w:rsidRPr="00295E71">
          <w:rPr>
            <w:sz w:val="22"/>
            <w:szCs w:val="22"/>
          </w:rPr>
          <w:delText>Lasci andare la pelle con la mano.</w:delText>
        </w:r>
      </w:del>
    </w:p>
    <w:p w:rsidR="006224C2" w:rsidRPr="00295E71" w14:paraId="771C1B31" w14:textId="77777777">
      <w:pPr>
        <w:numPr>
          <w:ilvl w:val="0"/>
          <w:numId w:val="13"/>
        </w:numPr>
        <w:tabs>
          <w:tab w:val="num" w:pos="540"/>
          <w:tab w:val="left" w:pos="567"/>
          <w:tab w:val="clear" w:pos="720"/>
        </w:tabs>
        <w:ind w:left="567" w:hanging="567"/>
        <w:jc w:val="both"/>
        <w:rPr>
          <w:del w:id="15604" w:author="AbbVie14" w:date="2025-05-09T10:59:00Z"/>
          <w:sz w:val="22"/>
          <w:szCs w:val="22"/>
        </w:rPr>
      </w:pPr>
      <w:del w:id="15605" w:author="AbbVie14" w:date="2025-05-09T10:59:00Z">
        <w:r w:rsidRPr="00295E71">
          <w:rPr>
            <w:sz w:val="22"/>
            <w:szCs w:val="22"/>
          </w:rPr>
          <w:delText>Spinga lo stantuffo bianco per iniettare il medicinale fino a svuotare la siringa.</w:delText>
        </w:r>
      </w:del>
    </w:p>
    <w:p w:rsidR="006224C2" w:rsidRPr="00295E71" w14:paraId="0C4C1E77" w14:textId="77777777">
      <w:pPr>
        <w:rPr>
          <w:del w:id="15606" w:author="AbbVie14" w:date="2025-05-09T10:59:00Z"/>
          <w:sz w:val="22"/>
          <w:szCs w:val="22"/>
        </w:rPr>
      </w:pPr>
    </w:p>
    <w:p w:rsidR="006224C2" w:rsidRPr="00295E71" w14:paraId="5F3971DA" w14:textId="77777777">
      <w:pPr>
        <w:numPr>
          <w:ilvl w:val="0"/>
          <w:numId w:val="20"/>
        </w:numPr>
        <w:tabs>
          <w:tab w:val="num" w:pos="540"/>
          <w:tab w:val="left" w:pos="567"/>
          <w:tab w:val="clear" w:pos="720"/>
        </w:tabs>
        <w:ind w:left="540" w:hanging="540"/>
        <w:jc w:val="both"/>
        <w:rPr>
          <w:del w:id="15607" w:author="AbbVie14" w:date="2025-05-09T10:59:00Z"/>
          <w:sz w:val="22"/>
          <w:szCs w:val="22"/>
        </w:rPr>
      </w:pPr>
      <w:del w:id="15608" w:author="AbbVie14" w:date="2025-05-09T10:59:00Z">
        <w:r w:rsidRPr="00295E71">
          <w:rPr>
            <w:sz w:val="22"/>
            <w:szCs w:val="22"/>
          </w:rPr>
          <w:tab/>
          <w:delText>Quando la siringa è vuota, rimuova l’ago dalla pelle, tirandolo via con la stessa angolazione di quando è stato inserito.</w:delText>
        </w:r>
      </w:del>
    </w:p>
    <w:p w:rsidR="006224C2" w:rsidRPr="00295E71" w14:paraId="39D1A1FF" w14:textId="77777777">
      <w:pPr>
        <w:tabs>
          <w:tab w:val="left" w:pos="567"/>
        </w:tabs>
        <w:jc w:val="center"/>
        <w:rPr>
          <w:del w:id="15609" w:author="AbbVie14" w:date="2025-05-09T10:59:00Z"/>
          <w:sz w:val="22"/>
          <w:szCs w:val="22"/>
        </w:rPr>
      </w:pPr>
    </w:p>
    <w:p w:rsidR="006224C2" w:rsidRPr="00295E71" w14:paraId="3A407965" w14:textId="77777777">
      <w:pPr>
        <w:tabs>
          <w:tab w:val="left" w:pos="567"/>
        </w:tabs>
        <w:jc w:val="center"/>
        <w:rPr>
          <w:del w:id="15610" w:author="AbbVie14" w:date="2025-05-09T10:59:00Z"/>
          <w:sz w:val="22"/>
          <w:szCs w:val="22"/>
        </w:rPr>
      </w:pPr>
      <w:del w:id="15611" w:author="AbbVie14" w:date="2025-05-09T10:59:00Z">
        <w:r w:rsidRPr="00910CE7">
          <w:rPr>
            <w:noProof/>
            <w:sz w:val="22"/>
            <w:lang w:val="en-GB"/>
          </w:rPr>
          <w:drawing>
            <wp:inline distT="0" distB="0" distL="0" distR="0">
              <wp:extent cx="1895475" cy="1857375"/>
              <wp:effectExtent l="19050" t="0" r="9525"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pic:cNvPicPr>
                        <a:picLocks noChangeAspect="1" noChangeArrowheads="1"/>
                      </pic:cNvPicPr>
                    </pic:nvPicPr>
                    <pic:blipFill>
                      <a:blip xmlns:r="http://schemas.openxmlformats.org/officeDocument/2006/relationships" r:embed="rId53" cstate="print"/>
                      <a:stretch>
                        <a:fillRect/>
                      </a:stretch>
                    </pic:blipFill>
                    <pic:spPr bwMode="auto">
                      <a:xfrm>
                        <a:off x="0" y="0"/>
                        <a:ext cx="1895475" cy="1857375"/>
                      </a:xfrm>
                      <a:prstGeom prst="rect">
                        <a:avLst/>
                      </a:prstGeom>
                      <a:noFill/>
                      <a:ln w="9525">
                        <a:noFill/>
                        <a:miter lim="800000"/>
                        <a:headEnd/>
                        <a:tailEnd/>
                      </a:ln>
                    </pic:spPr>
                  </pic:pic>
                </a:graphicData>
              </a:graphic>
            </wp:inline>
          </w:drawing>
        </w:r>
      </w:del>
    </w:p>
    <w:p w:rsidR="006224C2" w:rsidRPr="00295E71" w14:paraId="567DF5A7" w14:textId="77777777">
      <w:pPr>
        <w:tabs>
          <w:tab w:val="left" w:pos="567"/>
        </w:tabs>
        <w:jc w:val="both"/>
        <w:rPr>
          <w:del w:id="15612" w:author="AbbVie14" w:date="2025-05-09T10:59:00Z"/>
          <w:sz w:val="22"/>
          <w:szCs w:val="22"/>
        </w:rPr>
      </w:pPr>
    </w:p>
    <w:p w:rsidR="006224C2" w:rsidRPr="00295E71" w14:paraId="3945D8F7" w14:textId="77777777">
      <w:pPr>
        <w:numPr>
          <w:ilvl w:val="0"/>
          <w:numId w:val="52"/>
        </w:numPr>
        <w:tabs>
          <w:tab w:val="num" w:pos="540"/>
          <w:tab w:val="left" w:pos="567"/>
          <w:tab w:val="clear" w:pos="720"/>
        </w:tabs>
        <w:ind w:left="540" w:hanging="540"/>
        <w:jc w:val="both"/>
        <w:rPr>
          <w:del w:id="15613" w:author="AbbVie14" w:date="2025-05-09T10:59:00Z"/>
          <w:sz w:val="22"/>
          <w:szCs w:val="22"/>
        </w:rPr>
      </w:pPr>
      <w:del w:id="15614" w:author="AbbVie14" w:date="2025-05-09T10:59:00Z">
        <w:r w:rsidRPr="00295E71">
          <w:rPr>
            <w:sz w:val="22"/>
            <w:szCs w:val="22"/>
          </w:rPr>
          <w:delText>Rivolga delicatamente verso l’alto il copri-ago rosa, sopra l’ago, e lo faccia scattare, e ponga la siringa con l’ago sulla superficie di lavoro.</w:delText>
        </w:r>
      </w:del>
      <w:del w:id="15615" w:author="AbbVie14" w:date="2025-05-09T10:59:00Z">
        <w:r w:rsidR="00114AD7">
          <w:rPr>
            <w:sz w:val="22"/>
            <w:szCs w:val="22"/>
          </w:rPr>
          <w:delText xml:space="preserve"> </w:delText>
        </w:r>
      </w:del>
      <w:del w:id="15616" w:author="AbbVie14" w:date="2025-05-09T10:59:00Z">
        <w:r w:rsidRPr="00295E71">
          <w:rPr>
            <w:b/>
            <w:sz w:val="22"/>
            <w:szCs w:val="22"/>
          </w:rPr>
          <w:delText>NON</w:delText>
        </w:r>
      </w:del>
      <w:del w:id="15617" w:author="AbbVie14" w:date="2025-05-09T10:59:00Z">
        <w:r w:rsidRPr="00295E71">
          <w:rPr>
            <w:sz w:val="22"/>
            <w:szCs w:val="22"/>
          </w:rPr>
          <w:delText xml:space="preserve"> riponga il cappuccio trasparente sull’ago.</w:delText>
        </w:r>
      </w:del>
    </w:p>
    <w:p w:rsidR="006224C2" w:rsidRPr="00295E71" w14:paraId="47A158A4" w14:textId="77777777">
      <w:pPr>
        <w:tabs>
          <w:tab w:val="left" w:pos="567"/>
        </w:tabs>
        <w:rPr>
          <w:del w:id="15618" w:author="AbbVie14" w:date="2025-05-09T10:59:00Z"/>
          <w:sz w:val="22"/>
          <w:szCs w:val="22"/>
        </w:rPr>
      </w:pPr>
    </w:p>
    <w:p w:rsidR="006224C2" w:rsidRPr="00295E71" w14:paraId="13D26E69" w14:textId="77777777">
      <w:pPr>
        <w:tabs>
          <w:tab w:val="left" w:pos="567"/>
        </w:tabs>
        <w:jc w:val="center"/>
        <w:rPr>
          <w:del w:id="15619" w:author="AbbVie14" w:date="2025-05-09T10:59:00Z"/>
          <w:sz w:val="22"/>
          <w:szCs w:val="22"/>
        </w:rPr>
      </w:pPr>
      <w:del w:id="15620" w:author="AbbVie14" w:date="2025-05-09T10:59:00Z">
        <w:r w:rsidRPr="00910CE7">
          <w:rPr>
            <w:noProof/>
            <w:sz w:val="22"/>
            <w:lang w:val="en-GB"/>
          </w:rPr>
          <w:drawing>
            <wp:inline distT="0" distB="0" distL="0" distR="0">
              <wp:extent cx="3914775" cy="1800225"/>
              <wp:effectExtent l="19050" t="0" r="9525"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pic:cNvPicPr>
                        <a:picLocks noChangeAspect="1" noChangeArrowheads="1"/>
                      </pic:cNvPicPr>
                    </pic:nvPicPr>
                    <pic:blipFill>
                      <a:blip xmlns:r="http://schemas.openxmlformats.org/officeDocument/2006/relationships" r:embed="rId54" cstate="print"/>
                      <a:stretch>
                        <a:fillRect/>
                      </a:stretch>
                    </pic:blipFill>
                    <pic:spPr bwMode="auto">
                      <a:xfrm>
                        <a:off x="0" y="0"/>
                        <a:ext cx="3914775" cy="1800225"/>
                      </a:xfrm>
                      <a:prstGeom prst="rect">
                        <a:avLst/>
                      </a:prstGeom>
                      <a:noFill/>
                      <a:ln w="9525">
                        <a:noFill/>
                        <a:miter lim="800000"/>
                        <a:headEnd/>
                        <a:tailEnd/>
                      </a:ln>
                    </pic:spPr>
                  </pic:pic>
                </a:graphicData>
              </a:graphic>
            </wp:inline>
          </w:drawing>
        </w:r>
      </w:del>
    </w:p>
    <w:p w:rsidR="006224C2" w:rsidRPr="00295E71" w14:paraId="0AE27C07" w14:textId="77777777">
      <w:pPr>
        <w:tabs>
          <w:tab w:val="left" w:pos="567"/>
        </w:tabs>
        <w:jc w:val="center"/>
        <w:rPr>
          <w:del w:id="15621" w:author="AbbVie14" w:date="2025-05-09T10:59:00Z"/>
          <w:sz w:val="22"/>
          <w:szCs w:val="22"/>
        </w:rPr>
      </w:pPr>
    </w:p>
    <w:p w:rsidR="006224C2" w:rsidRPr="00295E71" w14:paraId="2DBCCFC4" w14:textId="77777777">
      <w:pPr>
        <w:numPr>
          <w:ilvl w:val="0"/>
          <w:numId w:val="13"/>
        </w:numPr>
        <w:tabs>
          <w:tab w:val="num" w:pos="540"/>
          <w:tab w:val="left" w:pos="567"/>
          <w:tab w:val="clear" w:pos="720"/>
        </w:tabs>
        <w:ind w:left="567" w:hanging="567"/>
        <w:jc w:val="both"/>
        <w:rPr>
          <w:del w:id="15622" w:author="AbbVie14" w:date="2025-05-09T10:59:00Z"/>
          <w:sz w:val="22"/>
          <w:szCs w:val="22"/>
        </w:rPr>
      </w:pPr>
      <w:del w:id="15623" w:author="AbbVie14" w:date="2025-05-09T10:59:00Z">
        <w:r w:rsidRPr="00295E71">
          <w:rPr>
            <w:sz w:val="22"/>
            <w:szCs w:val="22"/>
          </w:rPr>
          <w:delText xml:space="preserve">Con un pezzo di garza, eserciti pressione sulla sede di iniezione per 10 secondi. Si potrebbe verificare un piccolo sanguinamento. </w:delText>
        </w:r>
      </w:del>
      <w:del w:id="15624" w:author="AbbVie14" w:date="2025-05-09T10:59:00Z">
        <w:r w:rsidRPr="00295E71">
          <w:rPr>
            <w:b/>
            <w:sz w:val="22"/>
            <w:szCs w:val="22"/>
          </w:rPr>
          <w:delText>NON</w:delText>
        </w:r>
      </w:del>
      <w:del w:id="15625" w:author="AbbVie14" w:date="2025-05-09T10:59:00Z">
        <w:r w:rsidRPr="00295E71" w:rsidR="009468AC">
          <w:rPr>
            <w:b/>
            <w:sz w:val="22"/>
            <w:szCs w:val="22"/>
          </w:rPr>
          <w:delText xml:space="preserve"> </w:delText>
        </w:r>
      </w:del>
      <w:del w:id="15626" w:author="AbbVie14" w:date="2025-05-09T10:59:00Z">
        <w:r w:rsidRPr="00295E71">
          <w:rPr>
            <w:sz w:val="22"/>
            <w:szCs w:val="22"/>
          </w:rPr>
          <w:delText>massaggi la sede di iniezione. Se lo desidera, applichi un cerotto.</w:delText>
        </w:r>
      </w:del>
    </w:p>
    <w:p w:rsidR="006224C2" w:rsidRPr="00295E71" w14:paraId="3F7B6706" w14:textId="77777777">
      <w:pPr>
        <w:tabs>
          <w:tab w:val="left" w:pos="567"/>
        </w:tabs>
        <w:jc w:val="both"/>
        <w:rPr>
          <w:del w:id="15627" w:author="AbbVie14" w:date="2025-05-09T10:59:00Z"/>
          <w:sz w:val="22"/>
          <w:szCs w:val="22"/>
        </w:rPr>
      </w:pPr>
    </w:p>
    <w:p w:rsidR="006224C2" w:rsidRPr="00295E71" w14:paraId="7C2C1C54" w14:textId="77777777">
      <w:pPr>
        <w:tabs>
          <w:tab w:val="left" w:pos="567"/>
        </w:tabs>
        <w:jc w:val="both"/>
        <w:rPr>
          <w:del w:id="15628" w:author="AbbVie14" w:date="2025-05-09T10:59:00Z"/>
          <w:b/>
          <w:bCs/>
          <w:sz w:val="22"/>
          <w:szCs w:val="22"/>
        </w:rPr>
      </w:pPr>
      <w:del w:id="15629" w:author="AbbVie14" w:date="2025-05-09T10:59:00Z">
        <w:r w:rsidRPr="00295E71">
          <w:rPr>
            <w:b/>
            <w:bCs/>
            <w:sz w:val="22"/>
            <w:szCs w:val="22"/>
          </w:rPr>
          <w:delText>6)</w:delText>
        </w:r>
      </w:del>
      <w:del w:id="15630" w:author="AbbVie14" w:date="2025-05-09T10:59:00Z">
        <w:r w:rsidRPr="00295E71" w:rsidR="00FF6263">
          <w:rPr>
            <w:b/>
            <w:bCs/>
            <w:sz w:val="22"/>
            <w:szCs w:val="22"/>
          </w:rPr>
          <w:tab/>
        </w:r>
      </w:del>
      <w:del w:id="15631" w:author="AbbVie14" w:date="2025-05-09T10:59:00Z">
        <w:r w:rsidRPr="00295E71" w:rsidR="00226BC4">
          <w:rPr>
            <w:b/>
            <w:bCs/>
            <w:sz w:val="22"/>
            <w:szCs w:val="22"/>
          </w:rPr>
          <w:delText>Smaltimento dei materiali</w:delText>
        </w:r>
      </w:del>
    </w:p>
    <w:p w:rsidR="006224C2" w:rsidRPr="00295E71" w14:paraId="4347C9D6" w14:textId="77777777">
      <w:pPr>
        <w:tabs>
          <w:tab w:val="left" w:pos="567"/>
        </w:tabs>
        <w:jc w:val="both"/>
        <w:rPr>
          <w:del w:id="15632" w:author="AbbVie14" w:date="2025-05-09T10:59:00Z"/>
          <w:sz w:val="22"/>
          <w:szCs w:val="22"/>
        </w:rPr>
      </w:pPr>
    </w:p>
    <w:p w:rsidR="006224C2" w:rsidRPr="00295E71" w14:paraId="3416F261" w14:textId="77777777">
      <w:pPr>
        <w:numPr>
          <w:ilvl w:val="0"/>
          <w:numId w:val="6"/>
        </w:numPr>
        <w:tabs>
          <w:tab w:val="clear" w:pos="360"/>
          <w:tab w:val="num" w:pos="540"/>
          <w:tab w:val="left" w:pos="567"/>
        </w:tabs>
        <w:ind w:left="567" w:hanging="567"/>
        <w:jc w:val="both"/>
        <w:rPr>
          <w:del w:id="15633" w:author="AbbVie14" w:date="2025-05-09T10:59:00Z"/>
          <w:sz w:val="22"/>
          <w:szCs w:val="22"/>
        </w:rPr>
      </w:pPr>
      <w:del w:id="15634" w:author="AbbVie14" w:date="2025-05-09T10:59:00Z">
        <w:r w:rsidRPr="00295E71">
          <w:rPr>
            <w:sz w:val="22"/>
            <w:szCs w:val="22"/>
          </w:rPr>
          <w:delText>Avrà necessità di un contenitore speciale per i rifiuti, come ad esempio un contenitore per oggetti affilati, o secondo le istruzioni dell’infermiere, del medico o del farmacista.</w:delText>
        </w:r>
      </w:del>
    </w:p>
    <w:p w:rsidR="006224C2" w:rsidRPr="00295E71" w14:paraId="6F5D52B2" w14:textId="77777777">
      <w:pPr>
        <w:numPr>
          <w:ilvl w:val="0"/>
          <w:numId w:val="6"/>
        </w:numPr>
        <w:tabs>
          <w:tab w:val="clear" w:pos="360"/>
          <w:tab w:val="num" w:pos="540"/>
          <w:tab w:val="left" w:pos="567"/>
        </w:tabs>
        <w:ind w:left="567" w:hanging="567"/>
        <w:jc w:val="both"/>
        <w:rPr>
          <w:del w:id="15635" w:author="AbbVie14" w:date="2025-05-09T10:59:00Z"/>
          <w:sz w:val="22"/>
          <w:szCs w:val="22"/>
        </w:rPr>
      </w:pPr>
      <w:del w:id="15636" w:author="AbbVie14" w:date="2025-05-09T10:59:00Z">
        <w:r w:rsidRPr="00295E71">
          <w:rPr>
            <w:sz w:val="22"/>
            <w:szCs w:val="22"/>
          </w:rPr>
          <w:delText xml:space="preserve">Riponga la siringa con l’ago, il flaconcino e l’adattatore in un contenitore speciale per oggetti affilati. </w:delText>
        </w:r>
      </w:del>
      <w:del w:id="15637" w:author="AbbVie14" w:date="2025-05-09T10:59:00Z">
        <w:r w:rsidRPr="00295E71">
          <w:rPr>
            <w:b/>
            <w:sz w:val="22"/>
            <w:szCs w:val="22"/>
          </w:rPr>
          <w:delText>NON</w:delText>
        </w:r>
      </w:del>
      <w:del w:id="15638" w:author="AbbVie14" w:date="2025-05-09T10:59:00Z">
        <w:r w:rsidRPr="00295E71" w:rsidR="006038EE">
          <w:rPr>
            <w:b/>
            <w:sz w:val="22"/>
            <w:szCs w:val="22"/>
          </w:rPr>
          <w:delText xml:space="preserve"> </w:delText>
        </w:r>
      </w:del>
      <w:del w:id="15639" w:author="AbbVie14" w:date="2025-05-09T10:59:00Z">
        <w:r w:rsidRPr="00295E71">
          <w:rPr>
            <w:sz w:val="22"/>
            <w:szCs w:val="22"/>
          </w:rPr>
          <w:delText>riponga tali oggetti nel contenitore della spazzatura domestico.</w:delText>
        </w:r>
      </w:del>
    </w:p>
    <w:p w:rsidR="006224C2" w:rsidRPr="00295E71" w14:paraId="6A3A603C" w14:textId="77777777">
      <w:pPr>
        <w:numPr>
          <w:ilvl w:val="0"/>
          <w:numId w:val="6"/>
        </w:numPr>
        <w:tabs>
          <w:tab w:val="clear" w:pos="360"/>
          <w:tab w:val="num" w:pos="540"/>
          <w:tab w:val="left" w:pos="567"/>
        </w:tabs>
        <w:ind w:left="567" w:hanging="567"/>
        <w:jc w:val="both"/>
        <w:rPr>
          <w:del w:id="15640" w:author="AbbVie14" w:date="2025-05-09T10:59:00Z"/>
          <w:sz w:val="22"/>
          <w:szCs w:val="22"/>
        </w:rPr>
      </w:pPr>
      <w:del w:id="15641" w:author="AbbVie14" w:date="2025-05-09T10:59:00Z">
        <w:r w:rsidRPr="00295E71">
          <w:rPr>
            <w:sz w:val="22"/>
            <w:szCs w:val="22"/>
          </w:rPr>
          <w:delText xml:space="preserve">La siringa, l’ago, il flaconcino e l’adattatore </w:delText>
        </w:r>
      </w:del>
      <w:del w:id="15642" w:author="AbbVie14" w:date="2025-05-09T10:59:00Z">
        <w:r w:rsidRPr="00295E71">
          <w:rPr>
            <w:b/>
            <w:sz w:val="22"/>
            <w:szCs w:val="22"/>
          </w:rPr>
          <w:delText>NON DEVONO MAI</w:delText>
        </w:r>
      </w:del>
      <w:del w:id="15643" w:author="AbbVie14" w:date="2025-05-09T10:59:00Z">
        <w:r w:rsidRPr="00295E71">
          <w:rPr>
            <w:sz w:val="22"/>
            <w:szCs w:val="22"/>
          </w:rPr>
          <w:delText xml:space="preserve"> essere riutilizzati. </w:delText>
        </w:r>
      </w:del>
    </w:p>
    <w:p w:rsidR="006224C2" w:rsidRPr="00295E71" w14:paraId="5C8ADB73" w14:textId="77777777">
      <w:pPr>
        <w:numPr>
          <w:ilvl w:val="0"/>
          <w:numId w:val="6"/>
        </w:numPr>
        <w:tabs>
          <w:tab w:val="clear" w:pos="360"/>
          <w:tab w:val="num" w:pos="540"/>
          <w:tab w:val="left" w:pos="567"/>
        </w:tabs>
        <w:ind w:left="567" w:hanging="567"/>
        <w:jc w:val="both"/>
        <w:rPr>
          <w:del w:id="15644" w:author="AbbVie14" w:date="2025-05-09T10:59:00Z"/>
          <w:sz w:val="22"/>
          <w:szCs w:val="22"/>
        </w:rPr>
      </w:pPr>
      <w:del w:id="15645" w:author="AbbVie14" w:date="2025-05-09T10:59:00Z">
        <w:r w:rsidRPr="00295E71">
          <w:rPr>
            <w:sz w:val="22"/>
            <w:szCs w:val="22"/>
          </w:rPr>
          <w:delText>Tenga tale contenitore sempre fuori dalla vista e dalla portata dei bambini.</w:delText>
        </w:r>
      </w:del>
    </w:p>
    <w:p w:rsidR="006224C2" w:rsidRPr="00295E71" w14:paraId="5611BC11" w14:textId="77777777">
      <w:pPr>
        <w:numPr>
          <w:ilvl w:val="0"/>
          <w:numId w:val="6"/>
        </w:numPr>
        <w:tabs>
          <w:tab w:val="clear" w:pos="360"/>
          <w:tab w:val="num" w:pos="540"/>
          <w:tab w:val="left" w:pos="567"/>
        </w:tabs>
        <w:ind w:left="567" w:hanging="567"/>
        <w:jc w:val="both"/>
        <w:rPr>
          <w:del w:id="15646" w:author="AbbVie14" w:date="2025-05-09T10:59:00Z"/>
          <w:sz w:val="22"/>
          <w:szCs w:val="22"/>
        </w:rPr>
      </w:pPr>
      <w:del w:id="15647" w:author="AbbVie14" w:date="2025-05-09T10:59:00Z">
        <w:r w:rsidRPr="00295E71">
          <w:rPr>
            <w:sz w:val="22"/>
            <w:szCs w:val="22"/>
          </w:rPr>
          <w:delText>Smaltisca tutti gli altri materiali utilizzati nel contenitore della spazzatura domestico.</w:delText>
        </w:r>
      </w:del>
    </w:p>
    <w:p w:rsidR="006224C2" w:rsidRPr="00295E71" w14:paraId="0168CA98" w14:textId="77777777">
      <w:pPr>
        <w:pStyle w:val="EndnoteText"/>
        <w:jc w:val="both"/>
        <w:rPr>
          <w:del w:id="15648" w:author="AbbVie14" w:date="2025-05-09T10:59:00Z"/>
          <w:lang w:val="it-IT" w:eastAsia="it-IT"/>
        </w:rPr>
      </w:pPr>
    </w:p>
    <w:p w:rsidR="006224C2" w:rsidRPr="00295E71" w14:paraId="2C30EAB5" w14:textId="77777777">
      <w:pPr>
        <w:tabs>
          <w:tab w:val="left" w:pos="567"/>
        </w:tabs>
        <w:jc w:val="both"/>
        <w:rPr>
          <w:del w:id="15649" w:author="AbbVie14" w:date="2025-05-09T10:59:00Z"/>
          <w:b/>
          <w:bCs/>
          <w:sz w:val="22"/>
          <w:szCs w:val="22"/>
        </w:rPr>
      </w:pPr>
      <w:del w:id="15650" w:author="AbbVie14" w:date="2025-05-09T10:59:00Z">
        <w:r w:rsidRPr="00295E71">
          <w:rPr>
            <w:b/>
            <w:bCs/>
            <w:sz w:val="22"/>
            <w:szCs w:val="22"/>
          </w:rPr>
          <w:delText>Se usa più Humira di quanto deve</w:delText>
        </w:r>
      </w:del>
    </w:p>
    <w:p w:rsidR="006224C2" w:rsidRPr="00295E71" w14:paraId="6BA8F227" w14:textId="77777777">
      <w:pPr>
        <w:tabs>
          <w:tab w:val="left" w:pos="567"/>
        </w:tabs>
        <w:jc w:val="both"/>
        <w:rPr>
          <w:del w:id="15651" w:author="AbbVie14" w:date="2025-05-09T10:59:00Z"/>
          <w:sz w:val="22"/>
          <w:szCs w:val="22"/>
        </w:rPr>
      </w:pPr>
    </w:p>
    <w:p w:rsidR="006224C2" w:rsidRPr="00295E71" w14:paraId="4B5EA3B0" w14:textId="77777777">
      <w:pPr>
        <w:pStyle w:val="BodyText3"/>
        <w:tabs>
          <w:tab w:val="left" w:pos="567"/>
        </w:tabs>
        <w:rPr>
          <w:del w:id="15652" w:author="AbbVie14" w:date="2025-05-09T10:59:00Z"/>
        </w:rPr>
      </w:pPr>
      <w:del w:id="15653" w:author="AbbVie14" w:date="2025-05-09T10:59:00Z">
        <w:r w:rsidRPr="00295E71">
          <w:delText>Se accidentalmente inietta una quantità superiore di Humira, o se lo inietta</w:delText>
        </w:r>
      </w:del>
      <w:del w:id="15654" w:author="AbbVie14" w:date="2025-05-09T10:59:00Z">
        <w:r w:rsidRPr="00295E71" w:rsidR="00EB5EA6">
          <w:delText xml:space="preserve"> </w:delText>
        </w:r>
      </w:del>
      <w:del w:id="15655" w:author="AbbVie14" w:date="2025-05-09T10:59:00Z">
        <w:r w:rsidRPr="00295E71">
          <w:delText xml:space="preserve">più frequentemente di quanto disposto dal medico, contatti quest’ultimo informandolo che il bambino ha assunto più farmaco. Conservi sempre la scatola del farmaco o il flaconcino, anche se vuoti. </w:delText>
        </w:r>
      </w:del>
    </w:p>
    <w:p w:rsidR="006224C2" w:rsidRPr="00295E71" w14:paraId="08BA6D2F" w14:textId="77777777">
      <w:pPr>
        <w:pStyle w:val="BodyText3"/>
        <w:tabs>
          <w:tab w:val="left" w:pos="567"/>
        </w:tabs>
        <w:rPr>
          <w:del w:id="15656" w:author="AbbVie14" w:date="2025-05-09T10:59:00Z"/>
        </w:rPr>
      </w:pPr>
    </w:p>
    <w:p w:rsidR="006224C2" w:rsidRPr="00295E71" w14:paraId="72FB5A2B" w14:textId="77777777">
      <w:pPr>
        <w:pStyle w:val="BodyText3"/>
        <w:tabs>
          <w:tab w:val="left" w:pos="567"/>
        </w:tabs>
        <w:rPr>
          <w:del w:id="15657" w:author="AbbVie14" w:date="2025-05-09T10:59:00Z"/>
          <w:b/>
        </w:rPr>
      </w:pPr>
      <w:del w:id="15658" w:author="AbbVie14" w:date="2025-05-09T10:59:00Z">
        <w:r w:rsidRPr="00295E71">
          <w:rPr>
            <w:b/>
          </w:rPr>
          <w:delText>Se usa meno Humira di quanto deve</w:delText>
        </w:r>
      </w:del>
    </w:p>
    <w:p w:rsidR="006224C2" w:rsidRPr="00295E71" w14:paraId="2FBF295F" w14:textId="77777777">
      <w:pPr>
        <w:pStyle w:val="BodyText3"/>
        <w:tabs>
          <w:tab w:val="left" w:pos="567"/>
        </w:tabs>
        <w:rPr>
          <w:del w:id="15659" w:author="AbbVie14" w:date="2025-05-09T10:59:00Z"/>
        </w:rPr>
      </w:pPr>
    </w:p>
    <w:p w:rsidR="006224C2" w:rsidRPr="00295E71" w14:paraId="53A2DDD4" w14:textId="77777777">
      <w:pPr>
        <w:pStyle w:val="BodyText3"/>
        <w:tabs>
          <w:tab w:val="left" w:pos="567"/>
        </w:tabs>
        <w:rPr>
          <w:del w:id="15660" w:author="AbbVie14" w:date="2025-05-09T10:59:00Z"/>
        </w:rPr>
      </w:pPr>
      <w:del w:id="15661" w:author="AbbVie14" w:date="2025-05-09T10:59:00Z">
        <w:r w:rsidRPr="00295E71">
          <w:delText xml:space="preserve">Se accidentalmente inietta una quantità inferiore di Humira, o se lo inietta meno frequentemente di quanto disposto dal </w:delText>
        </w:r>
      </w:del>
      <w:del w:id="15662" w:author="AbbVie14" w:date="2025-05-09T10:59:00Z">
        <w:r w:rsidRPr="00295E71" w:rsidR="00F961A2">
          <w:delText xml:space="preserve">pediatra </w:delText>
        </w:r>
      </w:del>
      <w:del w:id="15663" w:author="AbbVie14" w:date="2025-05-09T10:59:00Z">
        <w:r w:rsidRPr="00295E71">
          <w:delText xml:space="preserve">o dal farmacista, contatti il </w:delText>
        </w:r>
      </w:del>
      <w:del w:id="15664" w:author="AbbVie14" w:date="2025-05-09T10:59:00Z">
        <w:r w:rsidRPr="00295E71" w:rsidR="00F961A2">
          <w:delText xml:space="preserve">pediatra </w:delText>
        </w:r>
      </w:del>
      <w:del w:id="15665" w:author="AbbVie14" w:date="2025-05-09T10:59:00Z">
        <w:r w:rsidRPr="00295E71">
          <w:delText xml:space="preserve">o il farmacista informandolo che il bambino ha assunto meno farmaco. Conservi sempre la scatola del farmaco o il flaconcino, anche se vuoti. </w:delText>
        </w:r>
      </w:del>
    </w:p>
    <w:p w:rsidR="006224C2" w:rsidRPr="00295E71" w14:paraId="2A24F053" w14:textId="77777777">
      <w:pPr>
        <w:rPr>
          <w:del w:id="15666" w:author="AbbVie14" w:date="2025-05-09T10:59:00Z"/>
          <w:b/>
          <w:bCs/>
          <w:sz w:val="22"/>
          <w:szCs w:val="22"/>
        </w:rPr>
      </w:pPr>
    </w:p>
    <w:p w:rsidR="006224C2" w:rsidRPr="00295E71" w14:paraId="66245F9D" w14:textId="77777777">
      <w:pPr>
        <w:keepNext/>
        <w:keepLines/>
        <w:tabs>
          <w:tab w:val="left" w:pos="567"/>
        </w:tabs>
        <w:jc w:val="both"/>
        <w:rPr>
          <w:del w:id="15667" w:author="AbbVie14" w:date="2025-05-09T10:59:00Z"/>
          <w:b/>
          <w:bCs/>
          <w:sz w:val="22"/>
          <w:szCs w:val="22"/>
        </w:rPr>
      </w:pPr>
      <w:del w:id="15668" w:author="AbbVie14" w:date="2025-05-09T10:59:00Z">
        <w:r w:rsidRPr="00295E71">
          <w:rPr>
            <w:b/>
            <w:bCs/>
            <w:sz w:val="22"/>
            <w:szCs w:val="22"/>
          </w:rPr>
          <w:delText>Se dimentica di usare Humira</w:delText>
        </w:r>
      </w:del>
    </w:p>
    <w:p w:rsidR="006224C2" w:rsidRPr="00295E71" w14:paraId="1C750478" w14:textId="77777777">
      <w:pPr>
        <w:keepNext/>
        <w:keepLines/>
        <w:tabs>
          <w:tab w:val="left" w:pos="567"/>
        </w:tabs>
        <w:jc w:val="both"/>
        <w:rPr>
          <w:del w:id="15669" w:author="AbbVie14" w:date="2025-05-09T10:59:00Z"/>
          <w:sz w:val="22"/>
          <w:szCs w:val="22"/>
        </w:rPr>
      </w:pPr>
    </w:p>
    <w:p w:rsidR="006224C2" w:rsidRPr="00295E71" w14:paraId="503941CA" w14:textId="77777777">
      <w:pPr>
        <w:keepNext/>
        <w:keepLines/>
        <w:tabs>
          <w:tab w:val="left" w:pos="567"/>
        </w:tabs>
        <w:jc w:val="both"/>
        <w:rPr>
          <w:del w:id="15670" w:author="AbbVie14" w:date="2025-05-09T10:59:00Z"/>
          <w:sz w:val="22"/>
          <w:szCs w:val="22"/>
        </w:rPr>
      </w:pPr>
      <w:del w:id="15671" w:author="AbbVie14" w:date="2025-05-09T10:59:00Z">
        <w:r w:rsidRPr="00295E71">
          <w:rPr>
            <w:sz w:val="22"/>
            <w:szCs w:val="22"/>
          </w:rPr>
          <w:delText>Se dimentica di fare un’iniezione di Humira al bambino, deve iniettare la dose di Humira non appena se ne ricorda. Dopodiché somministri al bambino la</w:delText>
        </w:r>
      </w:del>
      <w:del w:id="15672" w:author="AbbVie14" w:date="2025-05-09T10:59:00Z">
        <w:r w:rsidR="00114AD7">
          <w:rPr>
            <w:sz w:val="22"/>
            <w:szCs w:val="22"/>
          </w:rPr>
          <w:delText xml:space="preserve"> </w:delText>
        </w:r>
      </w:del>
      <w:del w:id="15673" w:author="AbbVie14" w:date="2025-05-09T10:59:00Z">
        <w:r w:rsidRPr="00295E71">
          <w:rPr>
            <w:sz w:val="22"/>
            <w:szCs w:val="22"/>
          </w:rPr>
          <w:delText>dose successiva regolarmente secondo lo schema posologico</w:delText>
        </w:r>
      </w:del>
      <w:del w:id="15674" w:author="AbbVie14" w:date="2025-05-09T10:59:00Z">
        <w:r w:rsidRPr="00295E71" w:rsidR="00F92553">
          <w:rPr>
            <w:sz w:val="22"/>
            <w:szCs w:val="22"/>
          </w:rPr>
          <w:delText xml:space="preserve"> </w:delText>
        </w:r>
      </w:del>
      <w:del w:id="15675" w:author="AbbVie14" w:date="2025-05-09T10:59:00Z">
        <w:r w:rsidRPr="00295E71">
          <w:rPr>
            <w:sz w:val="22"/>
            <w:szCs w:val="22"/>
          </w:rPr>
          <w:delText>stabilito.</w:delText>
        </w:r>
      </w:del>
    </w:p>
    <w:p w:rsidR="006224C2" w:rsidRPr="00295E71" w14:paraId="3F9DC630" w14:textId="77777777">
      <w:pPr>
        <w:tabs>
          <w:tab w:val="left" w:pos="567"/>
        </w:tabs>
        <w:jc w:val="both"/>
        <w:rPr>
          <w:del w:id="15676" w:author="AbbVie14" w:date="2025-05-09T10:59:00Z"/>
          <w:sz w:val="22"/>
          <w:szCs w:val="22"/>
        </w:rPr>
      </w:pPr>
    </w:p>
    <w:p w:rsidR="006224C2" w:rsidRPr="00295E71" w14:paraId="22C8F72E" w14:textId="77777777">
      <w:pPr>
        <w:tabs>
          <w:tab w:val="left" w:pos="567"/>
        </w:tabs>
        <w:jc w:val="both"/>
        <w:rPr>
          <w:del w:id="15677" w:author="AbbVie14" w:date="2025-05-09T10:59:00Z"/>
          <w:b/>
          <w:sz w:val="22"/>
          <w:szCs w:val="22"/>
        </w:rPr>
      </w:pPr>
      <w:del w:id="15678" w:author="AbbVie14" w:date="2025-05-09T10:59:00Z">
        <w:r w:rsidRPr="00295E71">
          <w:rPr>
            <w:b/>
            <w:sz w:val="22"/>
            <w:szCs w:val="22"/>
          </w:rPr>
          <w:delText>Se il bambino interrompe il trattamento con Humira</w:delText>
        </w:r>
      </w:del>
    </w:p>
    <w:p w:rsidR="006224C2" w:rsidRPr="00295E71" w14:paraId="12BF6E17" w14:textId="77777777">
      <w:pPr>
        <w:tabs>
          <w:tab w:val="left" w:pos="567"/>
        </w:tabs>
        <w:jc w:val="both"/>
        <w:rPr>
          <w:del w:id="15679" w:author="AbbVie14" w:date="2025-05-09T10:59:00Z"/>
          <w:sz w:val="22"/>
          <w:szCs w:val="22"/>
        </w:rPr>
      </w:pPr>
    </w:p>
    <w:p w:rsidR="006224C2" w:rsidRPr="00295E71" w14:paraId="54EF1BAE" w14:textId="77777777">
      <w:pPr>
        <w:tabs>
          <w:tab w:val="left" w:pos="567"/>
        </w:tabs>
        <w:jc w:val="both"/>
        <w:rPr>
          <w:del w:id="15680" w:author="AbbVie14" w:date="2025-05-09T10:59:00Z"/>
          <w:sz w:val="22"/>
          <w:szCs w:val="22"/>
        </w:rPr>
      </w:pPr>
      <w:del w:id="15681" w:author="AbbVie14" w:date="2025-05-09T10:59:00Z">
        <w:r w:rsidRPr="00295E71">
          <w:rPr>
            <w:sz w:val="22"/>
            <w:szCs w:val="22"/>
          </w:rPr>
          <w:delText xml:space="preserve">La decisione di interrompere l’uso di Humira deve essere discussa con il </w:delText>
        </w:r>
      </w:del>
      <w:del w:id="15682" w:author="AbbVie14" w:date="2025-05-09T10:59:00Z">
        <w:r w:rsidRPr="00295E71" w:rsidR="00F961A2">
          <w:rPr>
            <w:sz w:val="22"/>
            <w:szCs w:val="22"/>
          </w:rPr>
          <w:delText>pediatra</w:delText>
        </w:r>
      </w:del>
      <w:del w:id="15683" w:author="AbbVie14" w:date="2025-05-09T10:59:00Z">
        <w:r w:rsidRPr="00295E71">
          <w:rPr>
            <w:sz w:val="22"/>
            <w:szCs w:val="22"/>
          </w:rPr>
          <w:delText>. I sintomi del bambino possono ritornare dopo l’interruzione.</w:delText>
        </w:r>
      </w:del>
    </w:p>
    <w:p w:rsidR="006224C2" w:rsidRPr="00295E71" w14:paraId="7405CC4E" w14:textId="77777777">
      <w:pPr>
        <w:tabs>
          <w:tab w:val="left" w:pos="567"/>
        </w:tabs>
        <w:jc w:val="both"/>
        <w:rPr>
          <w:del w:id="15684" w:author="AbbVie14" w:date="2025-05-09T10:59:00Z"/>
          <w:sz w:val="22"/>
          <w:szCs w:val="22"/>
        </w:rPr>
      </w:pPr>
    </w:p>
    <w:p w:rsidR="006224C2" w:rsidRPr="00295E71" w14:paraId="1D7BD455" w14:textId="77777777">
      <w:pPr>
        <w:tabs>
          <w:tab w:val="left" w:pos="567"/>
        </w:tabs>
        <w:jc w:val="both"/>
        <w:rPr>
          <w:del w:id="15685" w:author="AbbVie14" w:date="2025-05-09T10:59:00Z"/>
          <w:sz w:val="22"/>
          <w:szCs w:val="22"/>
        </w:rPr>
      </w:pPr>
      <w:del w:id="15686" w:author="AbbVie14" w:date="2025-05-09T10:59:00Z">
        <w:r w:rsidRPr="00295E71">
          <w:rPr>
            <w:sz w:val="22"/>
            <w:szCs w:val="22"/>
          </w:rPr>
          <w:delText>Se ha qualsiasi dubbio sull’uso di questo medicinale, si rivolga al medico o al farmacista.</w:delText>
        </w:r>
      </w:del>
    </w:p>
    <w:p w:rsidR="006224C2" w:rsidRPr="00295E71" w14:paraId="328D8E6E" w14:textId="77777777">
      <w:pPr>
        <w:tabs>
          <w:tab w:val="left" w:pos="567"/>
        </w:tabs>
        <w:jc w:val="both"/>
        <w:rPr>
          <w:del w:id="15687" w:author="AbbVie14" w:date="2025-05-09T10:59:00Z"/>
          <w:sz w:val="22"/>
          <w:szCs w:val="22"/>
        </w:rPr>
      </w:pPr>
    </w:p>
    <w:p w:rsidR="006224C2" w:rsidRPr="00295E71" w14:paraId="7B9DEBB9" w14:textId="77777777">
      <w:pPr>
        <w:numPr>
          <w:ilvl w:val="12"/>
          <w:numId w:val="0"/>
        </w:numPr>
        <w:tabs>
          <w:tab w:val="left" w:pos="567"/>
        </w:tabs>
        <w:ind w:right="-2"/>
        <w:jc w:val="both"/>
        <w:rPr>
          <w:del w:id="15688" w:author="AbbVie14" w:date="2025-05-09T10:59:00Z"/>
          <w:sz w:val="22"/>
          <w:szCs w:val="22"/>
        </w:rPr>
      </w:pPr>
    </w:p>
    <w:p w:rsidR="006224C2" w:rsidRPr="00295E71" w14:paraId="74690945" w14:textId="77777777">
      <w:pPr>
        <w:numPr>
          <w:ilvl w:val="12"/>
          <w:numId w:val="0"/>
        </w:numPr>
        <w:tabs>
          <w:tab w:val="left" w:pos="567"/>
        </w:tabs>
        <w:ind w:left="567" w:right="-2" w:hanging="567"/>
        <w:jc w:val="both"/>
        <w:rPr>
          <w:del w:id="15689" w:author="AbbVie14" w:date="2025-05-09T10:59:00Z"/>
          <w:b/>
          <w:bCs/>
          <w:sz w:val="22"/>
          <w:szCs w:val="22"/>
        </w:rPr>
      </w:pPr>
      <w:del w:id="15690" w:author="AbbVie14" w:date="2025-05-09T10:59:00Z">
        <w:r w:rsidRPr="00295E71">
          <w:rPr>
            <w:b/>
            <w:bCs/>
            <w:sz w:val="22"/>
            <w:szCs w:val="22"/>
          </w:rPr>
          <w:delText>4.</w:delText>
        </w:r>
      </w:del>
      <w:del w:id="15691" w:author="AbbVie14" w:date="2025-05-09T10:59:00Z">
        <w:r w:rsidRPr="00295E71">
          <w:rPr>
            <w:b/>
            <w:bCs/>
            <w:sz w:val="22"/>
            <w:szCs w:val="22"/>
          </w:rPr>
          <w:tab/>
          <w:delText>Possibili effetti indesiderati</w:delText>
        </w:r>
      </w:del>
    </w:p>
    <w:p w:rsidR="006224C2" w:rsidRPr="00295E71" w14:paraId="7C95A003" w14:textId="77777777">
      <w:pPr>
        <w:numPr>
          <w:ilvl w:val="12"/>
          <w:numId w:val="0"/>
        </w:numPr>
        <w:tabs>
          <w:tab w:val="left" w:pos="567"/>
        </w:tabs>
        <w:ind w:right="-2"/>
        <w:jc w:val="both"/>
        <w:rPr>
          <w:del w:id="15692" w:author="AbbVie14" w:date="2025-05-09T10:59:00Z"/>
          <w:sz w:val="22"/>
          <w:szCs w:val="22"/>
        </w:rPr>
      </w:pPr>
    </w:p>
    <w:p w:rsidR="006224C2" w:rsidRPr="00295E71" w14:paraId="13288E5A" w14:textId="77777777">
      <w:pPr>
        <w:tabs>
          <w:tab w:val="left" w:pos="567"/>
        </w:tabs>
        <w:jc w:val="both"/>
        <w:rPr>
          <w:del w:id="15693" w:author="AbbVie14" w:date="2025-05-09T10:59:00Z"/>
          <w:sz w:val="22"/>
          <w:szCs w:val="22"/>
        </w:rPr>
      </w:pPr>
      <w:del w:id="15694" w:author="AbbVie14" w:date="2025-05-09T10:59:00Z">
        <w:r w:rsidRPr="00295E71">
          <w:rPr>
            <w:sz w:val="22"/>
            <w:szCs w:val="22"/>
          </w:rPr>
          <w:delText>Come tutti i medicinali, questo medicinale può causare effetti indesiderati sebbene non tutte le persone li manifestino. La maggior parte degli effetti indesiderati si presenta in forma da lieve a moderata. Tuttavia, alcuni possono essere gravi e richiedere trattamento. Effetti indesiderati possono manifestarsi fino a 4 mesi dall’ultima iniezione di Humira.</w:delText>
        </w:r>
      </w:del>
    </w:p>
    <w:p w:rsidR="006224C2" w:rsidRPr="00295E71" w14:paraId="15E9BE88" w14:textId="77777777">
      <w:pPr>
        <w:pStyle w:val="EndnoteText"/>
        <w:jc w:val="both"/>
        <w:rPr>
          <w:del w:id="15695" w:author="AbbVie14" w:date="2025-05-09T10:59:00Z"/>
          <w:lang w:val="it-IT" w:eastAsia="it-IT"/>
        </w:rPr>
      </w:pPr>
    </w:p>
    <w:p w:rsidR="006224C2" w:rsidRPr="00295E71" w14:paraId="433F24D9" w14:textId="77777777">
      <w:pPr>
        <w:tabs>
          <w:tab w:val="left" w:pos="567"/>
        </w:tabs>
        <w:jc w:val="both"/>
        <w:rPr>
          <w:del w:id="15696" w:author="AbbVie14" w:date="2025-05-09T10:59:00Z"/>
          <w:sz w:val="22"/>
          <w:szCs w:val="22"/>
        </w:rPr>
      </w:pPr>
      <w:del w:id="15697" w:author="AbbVie14" w:date="2025-05-09T10:59:00Z">
        <w:r w:rsidRPr="00295E71">
          <w:rPr>
            <w:sz w:val="22"/>
            <w:szCs w:val="22"/>
          </w:rPr>
          <w:delText>Informi immediatamente il medico se nota una qualsiasi delle seguenti reazioni</w:delText>
        </w:r>
      </w:del>
    </w:p>
    <w:p w:rsidR="006224C2" w:rsidRPr="00295E71" w14:paraId="68757092" w14:textId="77777777">
      <w:pPr>
        <w:numPr>
          <w:ilvl w:val="0"/>
          <w:numId w:val="15"/>
        </w:numPr>
        <w:tabs>
          <w:tab w:val="left" w:pos="567"/>
        </w:tabs>
        <w:ind w:left="567" w:hanging="567"/>
        <w:jc w:val="both"/>
        <w:rPr>
          <w:del w:id="15698" w:author="AbbVie14" w:date="2025-05-09T10:59:00Z"/>
          <w:sz w:val="22"/>
          <w:szCs w:val="22"/>
        </w:rPr>
      </w:pPr>
      <w:del w:id="15699" w:author="AbbVie14" w:date="2025-05-09T10:59:00Z">
        <w:r w:rsidRPr="00295E71">
          <w:rPr>
            <w:sz w:val="22"/>
            <w:szCs w:val="22"/>
          </w:rPr>
          <w:delText xml:space="preserve">eruzione cutanea grave, orticaria o altri segni di reazione allergica; </w:delText>
        </w:r>
      </w:del>
    </w:p>
    <w:p w:rsidR="006224C2" w:rsidRPr="00295E71" w14:paraId="7C6C85C6" w14:textId="77777777">
      <w:pPr>
        <w:numPr>
          <w:ilvl w:val="0"/>
          <w:numId w:val="15"/>
        </w:numPr>
        <w:tabs>
          <w:tab w:val="left" w:pos="567"/>
        </w:tabs>
        <w:ind w:left="567" w:hanging="567"/>
        <w:jc w:val="both"/>
        <w:rPr>
          <w:del w:id="15700" w:author="AbbVie14" w:date="2025-05-09T10:59:00Z"/>
          <w:sz w:val="22"/>
          <w:szCs w:val="22"/>
        </w:rPr>
      </w:pPr>
      <w:del w:id="15701" w:author="AbbVie14" w:date="2025-05-09T10:59:00Z">
        <w:r w:rsidRPr="00295E71">
          <w:rPr>
            <w:sz w:val="22"/>
            <w:szCs w:val="22"/>
          </w:rPr>
          <w:delText>gonfiore del viso, delle mani, dei piedi;</w:delText>
        </w:r>
      </w:del>
    </w:p>
    <w:p w:rsidR="006224C2" w:rsidRPr="00295E71" w14:paraId="6A54FCFB" w14:textId="77777777">
      <w:pPr>
        <w:numPr>
          <w:ilvl w:val="0"/>
          <w:numId w:val="15"/>
        </w:numPr>
        <w:tabs>
          <w:tab w:val="left" w:pos="567"/>
        </w:tabs>
        <w:ind w:left="567" w:hanging="567"/>
        <w:jc w:val="both"/>
        <w:rPr>
          <w:del w:id="15702" w:author="AbbVie14" w:date="2025-05-09T10:59:00Z"/>
          <w:sz w:val="22"/>
          <w:szCs w:val="22"/>
        </w:rPr>
      </w:pPr>
      <w:del w:id="15703" w:author="AbbVie14" w:date="2025-05-09T10:59:00Z">
        <w:r w:rsidRPr="00295E71">
          <w:rPr>
            <w:sz w:val="22"/>
            <w:szCs w:val="22"/>
          </w:rPr>
          <w:delText>difficoltà a respirare, difficoltà a</w:delText>
        </w:r>
      </w:del>
      <w:del w:id="15704" w:author="AbbVie14" w:date="2025-05-09T10:59:00Z">
        <w:r w:rsidRPr="00295E71" w:rsidR="001348F2">
          <w:rPr>
            <w:sz w:val="22"/>
            <w:szCs w:val="22"/>
          </w:rPr>
          <w:delText xml:space="preserve"> deglutire</w:delText>
        </w:r>
      </w:del>
      <w:del w:id="15705" w:author="AbbVie14" w:date="2025-05-09T10:59:00Z">
        <w:r w:rsidRPr="00295E71">
          <w:rPr>
            <w:sz w:val="22"/>
            <w:szCs w:val="22"/>
          </w:rPr>
          <w:delText>;</w:delText>
        </w:r>
      </w:del>
    </w:p>
    <w:p w:rsidR="006224C2" w:rsidRPr="00295E71" w14:paraId="597A135B" w14:textId="77777777">
      <w:pPr>
        <w:numPr>
          <w:ilvl w:val="0"/>
          <w:numId w:val="15"/>
        </w:numPr>
        <w:tabs>
          <w:tab w:val="left" w:pos="567"/>
        </w:tabs>
        <w:ind w:left="567" w:hanging="567"/>
        <w:jc w:val="both"/>
        <w:rPr>
          <w:del w:id="15706" w:author="AbbVie14" w:date="2025-05-09T10:59:00Z"/>
          <w:sz w:val="22"/>
          <w:szCs w:val="22"/>
        </w:rPr>
      </w:pPr>
      <w:del w:id="15707" w:author="AbbVie14" w:date="2025-05-09T10:59:00Z">
        <w:r w:rsidRPr="00295E71">
          <w:rPr>
            <w:sz w:val="22"/>
            <w:szCs w:val="22"/>
          </w:rPr>
          <w:delText>respiro corto sotto sforzo o in posizione sdraiata o piedi gonfi.</w:delText>
        </w:r>
      </w:del>
    </w:p>
    <w:p w:rsidR="006224C2" w:rsidRPr="00295E71" w14:paraId="3B4572A9" w14:textId="77777777">
      <w:pPr>
        <w:tabs>
          <w:tab w:val="left" w:pos="567"/>
        </w:tabs>
        <w:ind w:left="360"/>
        <w:jc w:val="both"/>
        <w:rPr>
          <w:del w:id="15708" w:author="AbbVie14" w:date="2025-05-09T10:59:00Z"/>
          <w:sz w:val="22"/>
          <w:szCs w:val="22"/>
        </w:rPr>
      </w:pPr>
    </w:p>
    <w:p w:rsidR="006224C2" w:rsidRPr="00295E71" w14:paraId="724C86BF" w14:textId="77777777">
      <w:pPr>
        <w:tabs>
          <w:tab w:val="left" w:pos="567"/>
        </w:tabs>
        <w:jc w:val="both"/>
        <w:rPr>
          <w:del w:id="15709" w:author="AbbVie14" w:date="2025-05-09T10:59:00Z"/>
          <w:sz w:val="22"/>
          <w:szCs w:val="22"/>
        </w:rPr>
      </w:pPr>
      <w:del w:id="15710" w:author="AbbVie14" w:date="2025-05-09T10:59:00Z">
        <w:r w:rsidRPr="00295E71">
          <w:rPr>
            <w:sz w:val="22"/>
            <w:szCs w:val="22"/>
          </w:rPr>
          <w:delText>Informi appena possibile il medico se nota una qualsiasi delle seguenti reazioni</w:delText>
        </w:r>
      </w:del>
    </w:p>
    <w:p w:rsidR="006224C2" w:rsidRPr="00295E71" w14:paraId="7CDA46EB" w14:textId="77777777">
      <w:pPr>
        <w:numPr>
          <w:ilvl w:val="0"/>
          <w:numId w:val="14"/>
        </w:numPr>
        <w:tabs>
          <w:tab w:val="num" w:pos="540"/>
          <w:tab w:val="left" w:pos="567"/>
          <w:tab w:val="clear" w:pos="720"/>
          <w:tab w:val="left" w:pos="993"/>
        </w:tabs>
        <w:ind w:left="567" w:hanging="567"/>
        <w:jc w:val="both"/>
        <w:rPr>
          <w:del w:id="15711" w:author="AbbVie14" w:date="2025-05-09T10:59:00Z"/>
          <w:sz w:val="22"/>
          <w:szCs w:val="22"/>
        </w:rPr>
      </w:pPr>
      <w:del w:id="15712" w:author="AbbVie14" w:date="2025-05-09T10:59:00Z">
        <w:r w:rsidRPr="00295E71">
          <w:rPr>
            <w:sz w:val="22"/>
            <w:szCs w:val="22"/>
          </w:rPr>
          <w:delText>segni di infezione come febbre, sensazione di malessere, ferite, problemi dentali, bruciore nell’urinare;</w:delText>
        </w:r>
      </w:del>
    </w:p>
    <w:p w:rsidR="006224C2" w:rsidRPr="00295E71" w14:paraId="5CDF9730" w14:textId="77777777">
      <w:pPr>
        <w:numPr>
          <w:ilvl w:val="0"/>
          <w:numId w:val="14"/>
        </w:numPr>
        <w:tabs>
          <w:tab w:val="num" w:pos="540"/>
          <w:tab w:val="left" w:pos="567"/>
          <w:tab w:val="left" w:pos="993"/>
        </w:tabs>
        <w:ind w:left="567" w:hanging="567"/>
        <w:jc w:val="both"/>
        <w:rPr>
          <w:del w:id="15713" w:author="AbbVie14" w:date="2025-05-09T10:59:00Z"/>
          <w:sz w:val="22"/>
          <w:szCs w:val="22"/>
        </w:rPr>
      </w:pPr>
      <w:del w:id="15714" w:author="AbbVie14" w:date="2025-05-09T10:59:00Z">
        <w:r w:rsidRPr="00295E71">
          <w:rPr>
            <w:sz w:val="22"/>
            <w:szCs w:val="22"/>
          </w:rPr>
          <w:delText>stanchezza o debolezza;</w:delText>
        </w:r>
      </w:del>
    </w:p>
    <w:p w:rsidR="006224C2" w:rsidRPr="00295E71" w14:paraId="08B7E2FC" w14:textId="77777777">
      <w:pPr>
        <w:numPr>
          <w:ilvl w:val="0"/>
          <w:numId w:val="14"/>
        </w:numPr>
        <w:tabs>
          <w:tab w:val="num" w:pos="540"/>
          <w:tab w:val="left" w:pos="567"/>
          <w:tab w:val="left" w:pos="993"/>
        </w:tabs>
        <w:ind w:left="567" w:hanging="567"/>
        <w:jc w:val="both"/>
        <w:rPr>
          <w:del w:id="15715" w:author="AbbVie14" w:date="2025-05-09T10:59:00Z"/>
          <w:sz w:val="22"/>
          <w:szCs w:val="22"/>
        </w:rPr>
      </w:pPr>
      <w:del w:id="15716" w:author="AbbVie14" w:date="2025-05-09T10:59:00Z">
        <w:r w:rsidRPr="00295E71">
          <w:rPr>
            <w:sz w:val="22"/>
            <w:szCs w:val="22"/>
          </w:rPr>
          <w:delText>tosse;</w:delText>
        </w:r>
      </w:del>
    </w:p>
    <w:p w:rsidR="006224C2" w:rsidRPr="00295E71" w14:paraId="118B8929" w14:textId="77777777">
      <w:pPr>
        <w:numPr>
          <w:ilvl w:val="0"/>
          <w:numId w:val="14"/>
        </w:numPr>
        <w:tabs>
          <w:tab w:val="num" w:pos="540"/>
          <w:tab w:val="left" w:pos="567"/>
          <w:tab w:val="left" w:pos="993"/>
        </w:tabs>
        <w:ind w:left="567" w:hanging="567"/>
        <w:jc w:val="both"/>
        <w:rPr>
          <w:del w:id="15717" w:author="AbbVie14" w:date="2025-05-09T10:59:00Z"/>
          <w:sz w:val="22"/>
          <w:szCs w:val="22"/>
        </w:rPr>
      </w:pPr>
      <w:del w:id="15718" w:author="AbbVie14" w:date="2025-05-09T10:59:00Z">
        <w:r w:rsidRPr="00295E71">
          <w:rPr>
            <w:sz w:val="22"/>
            <w:szCs w:val="22"/>
          </w:rPr>
          <w:delText>formicolio;</w:delText>
        </w:r>
      </w:del>
    </w:p>
    <w:p w:rsidR="006224C2" w:rsidRPr="00295E71" w14:paraId="3119926F" w14:textId="77777777">
      <w:pPr>
        <w:numPr>
          <w:ilvl w:val="0"/>
          <w:numId w:val="14"/>
        </w:numPr>
        <w:tabs>
          <w:tab w:val="num" w:pos="540"/>
          <w:tab w:val="left" w:pos="567"/>
          <w:tab w:val="left" w:pos="993"/>
        </w:tabs>
        <w:ind w:left="567" w:hanging="567"/>
        <w:jc w:val="both"/>
        <w:rPr>
          <w:del w:id="15719" w:author="AbbVie14" w:date="2025-05-09T10:59:00Z"/>
          <w:sz w:val="22"/>
          <w:szCs w:val="22"/>
        </w:rPr>
      </w:pPr>
      <w:del w:id="15720" w:author="AbbVie14" w:date="2025-05-09T10:59:00Z">
        <w:r w:rsidRPr="00295E71">
          <w:rPr>
            <w:sz w:val="22"/>
            <w:szCs w:val="22"/>
          </w:rPr>
          <w:delText>torpore;</w:delText>
        </w:r>
      </w:del>
    </w:p>
    <w:p w:rsidR="006224C2" w:rsidRPr="00295E71" w14:paraId="3D136A11" w14:textId="77777777">
      <w:pPr>
        <w:numPr>
          <w:ilvl w:val="0"/>
          <w:numId w:val="14"/>
        </w:numPr>
        <w:tabs>
          <w:tab w:val="num" w:pos="540"/>
          <w:tab w:val="left" w:pos="567"/>
          <w:tab w:val="left" w:pos="993"/>
        </w:tabs>
        <w:ind w:left="567" w:hanging="567"/>
        <w:jc w:val="both"/>
        <w:rPr>
          <w:del w:id="15721" w:author="AbbVie14" w:date="2025-05-09T10:59:00Z"/>
          <w:sz w:val="22"/>
          <w:szCs w:val="22"/>
        </w:rPr>
      </w:pPr>
      <w:del w:id="15722" w:author="AbbVie14" w:date="2025-05-09T10:59:00Z">
        <w:r w:rsidRPr="00295E71">
          <w:rPr>
            <w:sz w:val="22"/>
            <w:szCs w:val="22"/>
          </w:rPr>
          <w:delText>sdoppiamento della vista;</w:delText>
        </w:r>
      </w:del>
    </w:p>
    <w:p w:rsidR="006224C2" w:rsidRPr="00295E71" w14:paraId="2CD8DB6E" w14:textId="77777777">
      <w:pPr>
        <w:numPr>
          <w:ilvl w:val="0"/>
          <w:numId w:val="14"/>
        </w:numPr>
        <w:tabs>
          <w:tab w:val="num" w:pos="540"/>
          <w:tab w:val="left" w:pos="567"/>
          <w:tab w:val="left" w:pos="993"/>
        </w:tabs>
        <w:ind w:left="567" w:hanging="567"/>
        <w:jc w:val="both"/>
        <w:rPr>
          <w:del w:id="15723" w:author="AbbVie14" w:date="2025-05-09T10:59:00Z"/>
          <w:sz w:val="22"/>
          <w:szCs w:val="22"/>
        </w:rPr>
      </w:pPr>
      <w:del w:id="15724" w:author="AbbVie14" w:date="2025-05-09T10:59:00Z">
        <w:r w:rsidRPr="00295E71">
          <w:rPr>
            <w:sz w:val="22"/>
            <w:szCs w:val="22"/>
          </w:rPr>
          <w:delText>debolezza delle braccia o gambe;</w:delText>
        </w:r>
      </w:del>
    </w:p>
    <w:p w:rsidR="006224C2" w:rsidRPr="00295E71" w14:paraId="1666C8DB" w14:textId="77777777">
      <w:pPr>
        <w:numPr>
          <w:ilvl w:val="0"/>
          <w:numId w:val="14"/>
        </w:numPr>
        <w:tabs>
          <w:tab w:val="num" w:pos="540"/>
          <w:tab w:val="left" w:pos="567"/>
          <w:tab w:val="left" w:pos="993"/>
        </w:tabs>
        <w:ind w:left="567" w:hanging="567"/>
        <w:jc w:val="both"/>
        <w:rPr>
          <w:del w:id="15725" w:author="AbbVie14" w:date="2025-05-09T10:59:00Z"/>
          <w:sz w:val="22"/>
          <w:szCs w:val="22"/>
        </w:rPr>
      </w:pPr>
      <w:del w:id="15726" w:author="AbbVie14" w:date="2025-05-09T10:59:00Z">
        <w:r w:rsidRPr="00295E71">
          <w:rPr>
            <w:sz w:val="22"/>
            <w:szCs w:val="22"/>
          </w:rPr>
          <w:delText>gonfiore o piaga aperta che non guarisce</w:delText>
        </w:r>
      </w:del>
    </w:p>
    <w:p w:rsidR="006224C2" w:rsidRPr="00295E71" w14:paraId="00342E63" w14:textId="77777777">
      <w:pPr>
        <w:numPr>
          <w:ilvl w:val="0"/>
          <w:numId w:val="14"/>
        </w:numPr>
        <w:tabs>
          <w:tab w:val="num" w:pos="540"/>
          <w:tab w:val="left" w:pos="567"/>
          <w:tab w:val="clear" w:pos="720"/>
        </w:tabs>
        <w:ind w:left="540" w:hanging="540"/>
        <w:jc w:val="both"/>
        <w:rPr>
          <w:del w:id="15727" w:author="AbbVie14" w:date="2025-05-09T10:59:00Z"/>
          <w:sz w:val="22"/>
          <w:szCs w:val="22"/>
        </w:rPr>
      </w:pPr>
      <w:del w:id="15728" w:author="AbbVie14" w:date="2025-05-09T10:59:00Z">
        <w:r w:rsidRPr="00295E71">
          <w:rPr>
            <w:sz w:val="22"/>
            <w:szCs w:val="22"/>
          </w:rPr>
          <w:delText>segni e sintomi che suggeriscono la comparsa di disturbi a carico del sistema emopoietico, come la presenza di febbre persistente, lividi, emorragie, pallore.</w:delText>
        </w:r>
      </w:del>
    </w:p>
    <w:p w:rsidR="006224C2" w:rsidRPr="00295E71" w14:paraId="6CE4419C" w14:textId="77777777">
      <w:pPr>
        <w:tabs>
          <w:tab w:val="left" w:pos="567"/>
        </w:tabs>
        <w:ind w:left="360"/>
        <w:jc w:val="both"/>
        <w:rPr>
          <w:del w:id="15729" w:author="AbbVie14" w:date="2025-05-09T10:59:00Z"/>
          <w:sz w:val="22"/>
          <w:szCs w:val="22"/>
        </w:rPr>
      </w:pPr>
    </w:p>
    <w:p w:rsidR="006224C2" w:rsidRPr="00295E71" w14:paraId="0BB5FFFA" w14:textId="77777777">
      <w:pPr>
        <w:tabs>
          <w:tab w:val="left" w:pos="567"/>
        </w:tabs>
        <w:jc w:val="both"/>
        <w:rPr>
          <w:del w:id="15730" w:author="AbbVie14" w:date="2025-05-09T10:59:00Z"/>
          <w:sz w:val="22"/>
          <w:szCs w:val="22"/>
        </w:rPr>
      </w:pPr>
      <w:del w:id="15731" w:author="AbbVie14" w:date="2025-05-09T10:59:00Z">
        <w:r w:rsidRPr="00295E71">
          <w:rPr>
            <w:sz w:val="22"/>
            <w:szCs w:val="22"/>
          </w:rPr>
          <w:delText>I sintomi sopra descritti possono essere segni dei seguenti effetti indesiderati, che sono stati osservati con Humira</w:delText>
        </w:r>
      </w:del>
      <w:del w:id="15732" w:author="AbbVie14" w:date="2025-05-09T10:59:00Z">
        <w:r w:rsidRPr="00295E71" w:rsidR="00FF6263">
          <w:rPr>
            <w:sz w:val="22"/>
            <w:szCs w:val="22"/>
          </w:rPr>
          <w:delText>.</w:delText>
        </w:r>
      </w:del>
    </w:p>
    <w:p w:rsidR="006224C2" w:rsidRPr="00295E71" w14:paraId="6029D6E3" w14:textId="77777777">
      <w:pPr>
        <w:pStyle w:val="EndnoteText"/>
        <w:jc w:val="both"/>
        <w:rPr>
          <w:del w:id="15733" w:author="AbbVie14" w:date="2025-05-09T10:59:00Z"/>
          <w:lang w:val="it-IT" w:eastAsia="it-IT"/>
        </w:rPr>
      </w:pPr>
    </w:p>
    <w:p w:rsidR="006224C2" w:rsidRPr="00295E71" w14:paraId="40259DBA" w14:textId="77777777">
      <w:pPr>
        <w:tabs>
          <w:tab w:val="left" w:pos="567"/>
        </w:tabs>
        <w:jc w:val="both"/>
        <w:rPr>
          <w:del w:id="15734" w:author="AbbVie14" w:date="2025-05-09T10:59:00Z"/>
          <w:sz w:val="22"/>
          <w:szCs w:val="22"/>
        </w:rPr>
      </w:pPr>
      <w:del w:id="15735" w:author="AbbVie14" w:date="2025-05-09T10:59:00Z">
        <w:r w:rsidRPr="00295E71">
          <w:rPr>
            <w:sz w:val="22"/>
            <w:szCs w:val="22"/>
          </w:rPr>
          <w:delText>Molto comuni (possono manifestarsi in più di 1 persona su 10)</w:delText>
        </w:r>
      </w:del>
    </w:p>
    <w:p w:rsidR="006224C2" w:rsidRPr="00295E71" w14:paraId="7E20CB8C" w14:textId="77777777">
      <w:pPr>
        <w:tabs>
          <w:tab w:val="left" w:pos="567"/>
        </w:tabs>
        <w:jc w:val="both"/>
        <w:rPr>
          <w:del w:id="15736" w:author="AbbVie14" w:date="2025-05-09T10:59:00Z"/>
          <w:sz w:val="22"/>
          <w:szCs w:val="22"/>
        </w:rPr>
      </w:pPr>
    </w:p>
    <w:p w:rsidR="006224C2" w:rsidRPr="00295E71" w14:paraId="4B2DB80A" w14:textId="77777777">
      <w:pPr>
        <w:numPr>
          <w:ilvl w:val="0"/>
          <w:numId w:val="14"/>
        </w:numPr>
        <w:tabs>
          <w:tab w:val="num" w:pos="540"/>
          <w:tab w:val="left" w:pos="567"/>
          <w:tab w:val="left" w:pos="993"/>
        </w:tabs>
        <w:ind w:left="567" w:hanging="567"/>
        <w:jc w:val="both"/>
        <w:rPr>
          <w:del w:id="15737" w:author="AbbVie14" w:date="2025-05-09T10:59:00Z"/>
          <w:sz w:val="22"/>
          <w:szCs w:val="22"/>
        </w:rPr>
      </w:pPr>
      <w:del w:id="15738" w:author="AbbVie14" w:date="2025-05-09T10:59:00Z">
        <w:r w:rsidRPr="00295E71">
          <w:rPr>
            <w:sz w:val="22"/>
            <w:szCs w:val="22"/>
          </w:rPr>
          <w:delText>reazioni nella sede d’iniezione (tra cui dolore, edema, arrossamento o prurito);</w:delText>
        </w:r>
      </w:del>
    </w:p>
    <w:p w:rsidR="006224C2" w:rsidRPr="00295E71" w14:paraId="33FA2CFA" w14:textId="77777777">
      <w:pPr>
        <w:numPr>
          <w:ilvl w:val="0"/>
          <w:numId w:val="14"/>
        </w:numPr>
        <w:tabs>
          <w:tab w:val="num" w:pos="540"/>
          <w:tab w:val="left" w:pos="567"/>
          <w:tab w:val="left" w:pos="993"/>
        </w:tabs>
        <w:ind w:left="567" w:hanging="567"/>
        <w:jc w:val="both"/>
        <w:rPr>
          <w:del w:id="15739" w:author="AbbVie14" w:date="2025-05-09T10:59:00Z"/>
          <w:sz w:val="22"/>
          <w:szCs w:val="22"/>
        </w:rPr>
      </w:pPr>
      <w:del w:id="15740" w:author="AbbVie14" w:date="2025-05-09T10:59:00Z">
        <w:r w:rsidRPr="00295E71">
          <w:rPr>
            <w:sz w:val="22"/>
            <w:szCs w:val="22"/>
          </w:rPr>
          <w:delText>infezioni delle vie respiratorie (tra cui raffreddore, rinorrea, sinusite e polmonite);</w:delText>
        </w:r>
      </w:del>
    </w:p>
    <w:p w:rsidR="006224C2" w:rsidRPr="00295E71" w14:paraId="1F9C4864" w14:textId="77777777">
      <w:pPr>
        <w:numPr>
          <w:ilvl w:val="0"/>
          <w:numId w:val="14"/>
        </w:numPr>
        <w:tabs>
          <w:tab w:val="num" w:pos="540"/>
          <w:tab w:val="left" w:pos="567"/>
          <w:tab w:val="left" w:pos="993"/>
        </w:tabs>
        <w:ind w:left="567" w:hanging="567"/>
        <w:jc w:val="both"/>
        <w:rPr>
          <w:del w:id="15741" w:author="AbbVie14" w:date="2025-05-09T10:59:00Z"/>
          <w:sz w:val="22"/>
          <w:szCs w:val="22"/>
        </w:rPr>
      </w:pPr>
      <w:del w:id="15742" w:author="AbbVie14" w:date="2025-05-09T10:59:00Z">
        <w:r w:rsidRPr="00295E71">
          <w:rPr>
            <w:sz w:val="22"/>
            <w:szCs w:val="22"/>
          </w:rPr>
          <w:delText>cefalea;</w:delText>
        </w:r>
      </w:del>
    </w:p>
    <w:p w:rsidR="006224C2" w:rsidRPr="00295E71" w14:paraId="4991E870" w14:textId="77777777">
      <w:pPr>
        <w:numPr>
          <w:ilvl w:val="0"/>
          <w:numId w:val="14"/>
        </w:numPr>
        <w:tabs>
          <w:tab w:val="num" w:pos="540"/>
          <w:tab w:val="left" w:pos="567"/>
          <w:tab w:val="left" w:pos="993"/>
        </w:tabs>
        <w:ind w:left="567" w:hanging="567"/>
        <w:jc w:val="both"/>
        <w:rPr>
          <w:del w:id="15743" w:author="AbbVie14" w:date="2025-05-09T10:59:00Z"/>
          <w:sz w:val="22"/>
          <w:szCs w:val="22"/>
        </w:rPr>
      </w:pPr>
      <w:del w:id="15744" w:author="AbbVie14" w:date="2025-05-09T10:59:00Z">
        <w:r w:rsidRPr="00295E71">
          <w:rPr>
            <w:sz w:val="22"/>
            <w:szCs w:val="22"/>
          </w:rPr>
          <w:delText>dolore addominale;</w:delText>
        </w:r>
      </w:del>
    </w:p>
    <w:p w:rsidR="006224C2" w:rsidRPr="00295E71" w14:paraId="7D8EEECB" w14:textId="77777777">
      <w:pPr>
        <w:numPr>
          <w:ilvl w:val="0"/>
          <w:numId w:val="14"/>
        </w:numPr>
        <w:tabs>
          <w:tab w:val="num" w:pos="540"/>
          <w:tab w:val="left" w:pos="567"/>
          <w:tab w:val="left" w:pos="993"/>
        </w:tabs>
        <w:ind w:left="567" w:hanging="567"/>
        <w:jc w:val="both"/>
        <w:rPr>
          <w:del w:id="15745" w:author="AbbVie14" w:date="2025-05-09T10:59:00Z"/>
          <w:sz w:val="22"/>
          <w:szCs w:val="22"/>
        </w:rPr>
      </w:pPr>
      <w:del w:id="15746" w:author="AbbVie14" w:date="2025-05-09T10:59:00Z">
        <w:r w:rsidRPr="00295E71">
          <w:rPr>
            <w:sz w:val="22"/>
            <w:szCs w:val="22"/>
          </w:rPr>
          <w:delText>nausea e vomito;</w:delText>
        </w:r>
      </w:del>
    </w:p>
    <w:p w:rsidR="006224C2" w:rsidRPr="00295E71" w14:paraId="6F6BE757" w14:textId="77777777">
      <w:pPr>
        <w:numPr>
          <w:ilvl w:val="0"/>
          <w:numId w:val="14"/>
        </w:numPr>
        <w:tabs>
          <w:tab w:val="num" w:pos="540"/>
          <w:tab w:val="left" w:pos="567"/>
          <w:tab w:val="left" w:pos="993"/>
        </w:tabs>
        <w:ind w:left="567" w:hanging="567"/>
        <w:jc w:val="both"/>
        <w:rPr>
          <w:del w:id="15747" w:author="AbbVie14" w:date="2025-05-09T10:59:00Z"/>
          <w:sz w:val="22"/>
          <w:szCs w:val="22"/>
        </w:rPr>
      </w:pPr>
      <w:del w:id="15748" w:author="AbbVie14" w:date="2025-05-09T10:59:00Z">
        <w:r w:rsidRPr="00295E71">
          <w:rPr>
            <w:sz w:val="22"/>
            <w:szCs w:val="22"/>
          </w:rPr>
          <w:delText>eruzione cutanea;</w:delText>
        </w:r>
      </w:del>
    </w:p>
    <w:p w:rsidR="006224C2" w:rsidRPr="00295E71" w14:paraId="1996EFB7" w14:textId="77777777">
      <w:pPr>
        <w:numPr>
          <w:ilvl w:val="0"/>
          <w:numId w:val="14"/>
        </w:numPr>
        <w:tabs>
          <w:tab w:val="num" w:pos="540"/>
          <w:tab w:val="left" w:pos="567"/>
          <w:tab w:val="left" w:pos="993"/>
        </w:tabs>
        <w:ind w:left="567" w:hanging="567"/>
        <w:jc w:val="both"/>
        <w:rPr>
          <w:del w:id="15749" w:author="AbbVie14" w:date="2025-05-09T10:59:00Z"/>
          <w:sz w:val="22"/>
          <w:szCs w:val="22"/>
        </w:rPr>
      </w:pPr>
      <w:del w:id="15750" w:author="AbbVie14" w:date="2025-05-09T10:59:00Z">
        <w:r w:rsidRPr="00295E71">
          <w:rPr>
            <w:sz w:val="22"/>
            <w:szCs w:val="22"/>
          </w:rPr>
          <w:delText>dolore muscoloscheletrico.</w:delText>
        </w:r>
      </w:del>
    </w:p>
    <w:p w:rsidR="006224C2" w:rsidRPr="00295E71" w14:paraId="4E7703BD" w14:textId="77777777">
      <w:pPr>
        <w:rPr>
          <w:del w:id="15751" w:author="AbbVie14" w:date="2025-05-09T10:59:00Z"/>
          <w:sz w:val="22"/>
          <w:szCs w:val="22"/>
        </w:rPr>
      </w:pPr>
    </w:p>
    <w:p w:rsidR="006224C2" w:rsidRPr="00295E71" w:rsidP="001A1724" w14:paraId="46D755B5" w14:textId="77777777">
      <w:pPr>
        <w:keepNext/>
        <w:keepLines/>
        <w:rPr>
          <w:del w:id="15752" w:author="AbbVie14" w:date="2025-05-09T10:59:00Z"/>
          <w:sz w:val="22"/>
          <w:szCs w:val="22"/>
        </w:rPr>
      </w:pPr>
      <w:del w:id="15753" w:author="AbbVie14" w:date="2025-05-09T10:59:00Z">
        <w:r w:rsidRPr="00295E71">
          <w:rPr>
            <w:sz w:val="22"/>
            <w:szCs w:val="22"/>
          </w:rPr>
          <w:delText>Comuni (possono manifestarsi</w:delText>
        </w:r>
      </w:del>
      <w:del w:id="15754" w:author="AbbVie14" w:date="2025-05-09T10:59:00Z">
        <w:r w:rsidRPr="00295E71" w:rsidR="00F92553">
          <w:rPr>
            <w:sz w:val="22"/>
            <w:szCs w:val="22"/>
          </w:rPr>
          <w:delText xml:space="preserve"> </w:delText>
        </w:r>
      </w:del>
      <w:del w:id="15755" w:author="AbbVie14" w:date="2025-05-09T10:59:00Z">
        <w:r w:rsidRPr="00295E71">
          <w:rPr>
            <w:sz w:val="22"/>
            <w:szCs w:val="22"/>
          </w:rPr>
          <w:delText xml:space="preserve">fino a 1 persona su 10) </w:delText>
        </w:r>
      </w:del>
    </w:p>
    <w:p w:rsidR="006224C2" w:rsidRPr="00295E71" w:rsidP="001A1724" w14:paraId="4DFFD7BF" w14:textId="77777777">
      <w:pPr>
        <w:keepNext/>
        <w:keepLines/>
        <w:tabs>
          <w:tab w:val="left" w:pos="567"/>
        </w:tabs>
        <w:jc w:val="both"/>
        <w:rPr>
          <w:del w:id="15756" w:author="AbbVie14" w:date="2025-05-09T10:59:00Z"/>
          <w:sz w:val="22"/>
          <w:szCs w:val="22"/>
        </w:rPr>
      </w:pPr>
    </w:p>
    <w:p w:rsidR="006224C2" w:rsidRPr="00295E71" w:rsidP="001A1724" w14:paraId="6B048FCD" w14:textId="77777777">
      <w:pPr>
        <w:keepNext/>
        <w:keepLines/>
        <w:numPr>
          <w:ilvl w:val="0"/>
          <w:numId w:val="14"/>
        </w:numPr>
        <w:tabs>
          <w:tab w:val="num" w:pos="540"/>
          <w:tab w:val="left" w:pos="567"/>
          <w:tab w:val="left" w:pos="993"/>
        </w:tabs>
        <w:ind w:left="567" w:hanging="567"/>
        <w:jc w:val="both"/>
        <w:rPr>
          <w:del w:id="15757" w:author="AbbVie14" w:date="2025-05-09T10:59:00Z"/>
          <w:sz w:val="22"/>
          <w:szCs w:val="22"/>
        </w:rPr>
      </w:pPr>
      <w:del w:id="15758" w:author="AbbVie14" w:date="2025-05-09T10:59:00Z">
        <w:r w:rsidRPr="00295E71">
          <w:rPr>
            <w:sz w:val="22"/>
            <w:szCs w:val="22"/>
          </w:rPr>
          <w:delText xml:space="preserve">infezioni </w:delText>
        </w:r>
      </w:del>
      <w:del w:id="15759" w:author="AbbVie14" w:date="2025-05-09T10:59:00Z">
        <w:r w:rsidR="00070D56">
          <w:rPr>
            <w:sz w:val="22"/>
            <w:szCs w:val="22"/>
          </w:rPr>
          <w:delText>gravi</w:delText>
        </w:r>
      </w:del>
      <w:del w:id="15760" w:author="AbbVie14" w:date="2025-05-09T10:59:00Z">
        <w:r w:rsidRPr="00295E71" w:rsidR="00EB5EA6">
          <w:rPr>
            <w:sz w:val="22"/>
            <w:szCs w:val="22"/>
          </w:rPr>
          <w:delText xml:space="preserve"> </w:delText>
        </w:r>
      </w:del>
      <w:del w:id="15761" w:author="AbbVie14" w:date="2025-05-09T10:59:00Z">
        <w:r w:rsidRPr="00295E71">
          <w:rPr>
            <w:sz w:val="22"/>
            <w:szCs w:val="22"/>
          </w:rPr>
          <w:delText>(tra cui setticemia ed influenza);</w:delText>
        </w:r>
      </w:del>
    </w:p>
    <w:p w:rsidR="00EB5EA6" w:rsidRPr="00295E71" w:rsidP="001A1724" w14:paraId="290DAE60" w14:textId="77777777">
      <w:pPr>
        <w:keepNext/>
        <w:keepLines/>
        <w:numPr>
          <w:ilvl w:val="0"/>
          <w:numId w:val="14"/>
        </w:numPr>
        <w:tabs>
          <w:tab w:val="num" w:pos="540"/>
          <w:tab w:val="left" w:pos="567"/>
          <w:tab w:val="left" w:pos="993"/>
        </w:tabs>
        <w:ind w:left="567" w:hanging="567"/>
        <w:jc w:val="both"/>
        <w:rPr>
          <w:del w:id="15762" w:author="AbbVie14" w:date="2025-05-09T10:59:00Z"/>
          <w:sz w:val="22"/>
          <w:szCs w:val="22"/>
        </w:rPr>
      </w:pPr>
      <w:del w:id="15763" w:author="AbbVie14" w:date="2025-05-09T10:59:00Z">
        <w:r w:rsidRPr="00295E71">
          <w:rPr>
            <w:sz w:val="22"/>
            <w:szCs w:val="22"/>
          </w:rPr>
          <w:delText>infezioni intestinali (tra cui gastroenterite)</w:delText>
        </w:r>
      </w:del>
      <w:del w:id="15764" w:author="AbbVie14" w:date="2025-05-09T10:59:00Z">
        <w:r w:rsidRPr="00295E71" w:rsidR="00C94370">
          <w:rPr>
            <w:sz w:val="22"/>
            <w:szCs w:val="22"/>
          </w:rPr>
          <w:delText>;</w:delText>
        </w:r>
      </w:del>
    </w:p>
    <w:p w:rsidR="006224C2" w:rsidRPr="00295E71" w:rsidP="001A1724" w14:paraId="0CE758F1" w14:textId="77777777">
      <w:pPr>
        <w:keepNext/>
        <w:keepLines/>
        <w:numPr>
          <w:ilvl w:val="0"/>
          <w:numId w:val="14"/>
        </w:numPr>
        <w:tabs>
          <w:tab w:val="num" w:pos="540"/>
          <w:tab w:val="left" w:pos="567"/>
          <w:tab w:val="left" w:pos="993"/>
        </w:tabs>
        <w:ind w:left="567" w:hanging="567"/>
        <w:jc w:val="both"/>
        <w:rPr>
          <w:del w:id="15765" w:author="AbbVie14" w:date="2025-05-09T10:59:00Z"/>
          <w:sz w:val="22"/>
          <w:szCs w:val="22"/>
        </w:rPr>
      </w:pPr>
      <w:del w:id="15766" w:author="AbbVie14" w:date="2025-05-09T10:59:00Z">
        <w:r w:rsidRPr="00295E71">
          <w:rPr>
            <w:sz w:val="22"/>
            <w:szCs w:val="22"/>
          </w:rPr>
          <w:delText>infezioni della pelle (tra cui cellulite e infezione da Herpes Zoster);</w:delText>
        </w:r>
      </w:del>
    </w:p>
    <w:p w:rsidR="006224C2" w:rsidRPr="00295E71" w:rsidP="001A1724" w14:paraId="224BD4A4" w14:textId="77777777">
      <w:pPr>
        <w:keepNext/>
        <w:keepLines/>
        <w:numPr>
          <w:ilvl w:val="0"/>
          <w:numId w:val="14"/>
        </w:numPr>
        <w:tabs>
          <w:tab w:val="num" w:pos="540"/>
          <w:tab w:val="left" w:pos="567"/>
          <w:tab w:val="left" w:pos="993"/>
        </w:tabs>
        <w:ind w:left="567" w:hanging="567"/>
        <w:jc w:val="both"/>
        <w:rPr>
          <w:del w:id="15767" w:author="AbbVie14" w:date="2025-05-09T10:59:00Z"/>
          <w:sz w:val="22"/>
          <w:szCs w:val="22"/>
        </w:rPr>
      </w:pPr>
      <w:del w:id="15768" w:author="AbbVie14" w:date="2025-05-09T10:59:00Z">
        <w:r w:rsidRPr="00295E71">
          <w:rPr>
            <w:sz w:val="22"/>
            <w:szCs w:val="22"/>
          </w:rPr>
          <w:delText>infezioni dell’orecchio;</w:delText>
        </w:r>
      </w:del>
    </w:p>
    <w:p w:rsidR="006224C2" w:rsidRPr="00295E71" w14:paraId="52296F2B" w14:textId="77777777">
      <w:pPr>
        <w:numPr>
          <w:ilvl w:val="0"/>
          <w:numId w:val="14"/>
        </w:numPr>
        <w:tabs>
          <w:tab w:val="num" w:pos="540"/>
          <w:tab w:val="left" w:pos="567"/>
          <w:tab w:val="left" w:pos="993"/>
        </w:tabs>
        <w:ind w:left="567" w:hanging="567"/>
        <w:jc w:val="both"/>
        <w:rPr>
          <w:del w:id="15769" w:author="AbbVie14" w:date="2025-05-09T10:59:00Z"/>
          <w:sz w:val="22"/>
          <w:szCs w:val="22"/>
        </w:rPr>
      </w:pPr>
      <w:del w:id="15770" w:author="AbbVie14" w:date="2025-05-09T10:59:00Z">
        <w:r w:rsidRPr="00295E71">
          <w:rPr>
            <w:sz w:val="22"/>
            <w:szCs w:val="22"/>
          </w:rPr>
          <w:delText>infezioni orali (tra cui infezioni dei denti ed herpes simplex);</w:delText>
        </w:r>
      </w:del>
    </w:p>
    <w:p w:rsidR="006224C2" w:rsidRPr="00295E71" w14:paraId="1A9AAB6D" w14:textId="77777777">
      <w:pPr>
        <w:numPr>
          <w:ilvl w:val="0"/>
          <w:numId w:val="14"/>
        </w:numPr>
        <w:tabs>
          <w:tab w:val="num" w:pos="540"/>
          <w:tab w:val="left" w:pos="567"/>
          <w:tab w:val="left" w:pos="993"/>
        </w:tabs>
        <w:ind w:left="567" w:hanging="567"/>
        <w:jc w:val="both"/>
        <w:rPr>
          <w:del w:id="15771" w:author="AbbVie14" w:date="2025-05-09T10:59:00Z"/>
          <w:sz w:val="22"/>
          <w:szCs w:val="22"/>
        </w:rPr>
      </w:pPr>
      <w:del w:id="15772" w:author="AbbVie14" w:date="2025-05-09T10:59:00Z">
        <w:r w:rsidRPr="00295E71">
          <w:rPr>
            <w:sz w:val="22"/>
            <w:szCs w:val="22"/>
          </w:rPr>
          <w:delText>infezioni dell’apparato riproduttivo;</w:delText>
        </w:r>
      </w:del>
    </w:p>
    <w:p w:rsidR="006224C2" w:rsidRPr="00295E71" w14:paraId="3AAF302B" w14:textId="77777777">
      <w:pPr>
        <w:numPr>
          <w:ilvl w:val="0"/>
          <w:numId w:val="14"/>
        </w:numPr>
        <w:tabs>
          <w:tab w:val="num" w:pos="540"/>
          <w:tab w:val="left" w:pos="567"/>
          <w:tab w:val="left" w:pos="993"/>
        </w:tabs>
        <w:ind w:left="567" w:hanging="567"/>
        <w:jc w:val="both"/>
        <w:rPr>
          <w:del w:id="15773" w:author="AbbVie14" w:date="2025-05-09T10:59:00Z"/>
          <w:sz w:val="22"/>
          <w:szCs w:val="22"/>
        </w:rPr>
      </w:pPr>
      <w:del w:id="15774" w:author="AbbVie14" w:date="2025-05-09T10:59:00Z">
        <w:r w:rsidRPr="00295E71">
          <w:rPr>
            <w:sz w:val="22"/>
            <w:szCs w:val="22"/>
          </w:rPr>
          <w:delText>infezioni delle vie urinarie;</w:delText>
        </w:r>
      </w:del>
    </w:p>
    <w:p w:rsidR="006224C2" w:rsidRPr="00295E71" w14:paraId="6DD7A49B" w14:textId="77777777">
      <w:pPr>
        <w:numPr>
          <w:ilvl w:val="0"/>
          <w:numId w:val="14"/>
        </w:numPr>
        <w:tabs>
          <w:tab w:val="num" w:pos="540"/>
          <w:tab w:val="left" w:pos="567"/>
          <w:tab w:val="left" w:pos="993"/>
        </w:tabs>
        <w:ind w:left="567" w:hanging="567"/>
        <w:jc w:val="both"/>
        <w:rPr>
          <w:del w:id="15775" w:author="AbbVie14" w:date="2025-05-09T10:59:00Z"/>
          <w:sz w:val="22"/>
          <w:szCs w:val="22"/>
        </w:rPr>
      </w:pPr>
      <w:del w:id="15776" w:author="AbbVie14" w:date="2025-05-09T10:59:00Z">
        <w:r w:rsidRPr="00295E71">
          <w:rPr>
            <w:sz w:val="22"/>
            <w:szCs w:val="22"/>
          </w:rPr>
          <w:delText>infezioni da miceti;</w:delText>
        </w:r>
      </w:del>
    </w:p>
    <w:p w:rsidR="006224C2" w:rsidRPr="00295E71" w14:paraId="04D2B6FD" w14:textId="77777777">
      <w:pPr>
        <w:numPr>
          <w:ilvl w:val="0"/>
          <w:numId w:val="14"/>
        </w:numPr>
        <w:tabs>
          <w:tab w:val="num" w:pos="540"/>
          <w:tab w:val="left" w:pos="567"/>
          <w:tab w:val="left" w:pos="993"/>
        </w:tabs>
        <w:ind w:left="567" w:hanging="567"/>
        <w:jc w:val="both"/>
        <w:rPr>
          <w:del w:id="15777" w:author="AbbVie14" w:date="2025-05-09T10:59:00Z"/>
          <w:sz w:val="22"/>
          <w:szCs w:val="22"/>
        </w:rPr>
      </w:pPr>
      <w:del w:id="15778" w:author="AbbVie14" w:date="2025-05-09T10:59:00Z">
        <w:r w:rsidRPr="00295E71">
          <w:rPr>
            <w:sz w:val="22"/>
            <w:szCs w:val="22"/>
          </w:rPr>
          <w:delText>infezioni a carico delle articolazioni;</w:delText>
        </w:r>
      </w:del>
    </w:p>
    <w:p w:rsidR="006224C2" w:rsidRPr="00295E71" w14:paraId="22C2B1F2" w14:textId="77777777">
      <w:pPr>
        <w:numPr>
          <w:ilvl w:val="0"/>
          <w:numId w:val="14"/>
        </w:numPr>
        <w:tabs>
          <w:tab w:val="num" w:pos="540"/>
          <w:tab w:val="left" w:pos="567"/>
          <w:tab w:val="left" w:pos="993"/>
        </w:tabs>
        <w:ind w:left="567" w:hanging="567"/>
        <w:jc w:val="both"/>
        <w:rPr>
          <w:del w:id="15779" w:author="AbbVie14" w:date="2025-05-09T10:59:00Z"/>
          <w:sz w:val="22"/>
          <w:szCs w:val="22"/>
        </w:rPr>
      </w:pPr>
      <w:del w:id="15780" w:author="AbbVie14" w:date="2025-05-09T10:59:00Z">
        <w:r w:rsidRPr="00295E71">
          <w:rPr>
            <w:sz w:val="22"/>
            <w:szCs w:val="22"/>
          </w:rPr>
          <w:delText>tumori benigni;</w:delText>
        </w:r>
      </w:del>
    </w:p>
    <w:p w:rsidR="006224C2" w:rsidRPr="00295E71" w14:paraId="223166EF" w14:textId="77777777">
      <w:pPr>
        <w:numPr>
          <w:ilvl w:val="0"/>
          <w:numId w:val="14"/>
        </w:numPr>
        <w:tabs>
          <w:tab w:val="num" w:pos="540"/>
          <w:tab w:val="left" w:pos="567"/>
          <w:tab w:val="left" w:pos="993"/>
        </w:tabs>
        <w:ind w:left="567" w:hanging="567"/>
        <w:jc w:val="both"/>
        <w:rPr>
          <w:del w:id="15781" w:author="AbbVie14" w:date="2025-05-09T10:59:00Z"/>
          <w:sz w:val="22"/>
          <w:szCs w:val="22"/>
        </w:rPr>
      </w:pPr>
      <w:del w:id="15782" w:author="AbbVie14" w:date="2025-05-09T10:59:00Z">
        <w:r w:rsidRPr="00295E71">
          <w:rPr>
            <w:sz w:val="22"/>
            <w:szCs w:val="22"/>
          </w:rPr>
          <w:delText>tumore della pelle;</w:delText>
        </w:r>
      </w:del>
    </w:p>
    <w:p w:rsidR="006224C2" w:rsidRPr="00295E71" w14:paraId="5C46A661" w14:textId="77777777">
      <w:pPr>
        <w:numPr>
          <w:ilvl w:val="0"/>
          <w:numId w:val="14"/>
        </w:numPr>
        <w:tabs>
          <w:tab w:val="num" w:pos="540"/>
          <w:tab w:val="left" w:pos="567"/>
          <w:tab w:val="left" w:pos="993"/>
        </w:tabs>
        <w:ind w:left="567" w:hanging="567"/>
        <w:jc w:val="both"/>
        <w:rPr>
          <w:del w:id="15783" w:author="AbbVie14" w:date="2025-05-09T10:59:00Z"/>
          <w:sz w:val="22"/>
          <w:szCs w:val="22"/>
        </w:rPr>
      </w:pPr>
      <w:del w:id="15784" w:author="AbbVie14" w:date="2025-05-09T10:59:00Z">
        <w:r w:rsidRPr="00295E71">
          <w:rPr>
            <w:sz w:val="22"/>
            <w:szCs w:val="22"/>
          </w:rPr>
          <w:delText>reazioni allergiche (tra cui allergia stagionale);</w:delText>
        </w:r>
      </w:del>
    </w:p>
    <w:p w:rsidR="006224C2" w:rsidRPr="00295E71" w14:paraId="1D69C2FD" w14:textId="77777777">
      <w:pPr>
        <w:numPr>
          <w:ilvl w:val="0"/>
          <w:numId w:val="14"/>
        </w:numPr>
        <w:tabs>
          <w:tab w:val="num" w:pos="540"/>
          <w:tab w:val="left" w:pos="567"/>
          <w:tab w:val="left" w:pos="993"/>
        </w:tabs>
        <w:ind w:left="567" w:hanging="567"/>
        <w:jc w:val="both"/>
        <w:rPr>
          <w:del w:id="15785" w:author="AbbVie14" w:date="2025-05-09T10:59:00Z"/>
          <w:sz w:val="22"/>
          <w:szCs w:val="22"/>
        </w:rPr>
      </w:pPr>
      <w:del w:id="15786" w:author="AbbVie14" w:date="2025-05-09T10:59:00Z">
        <w:r w:rsidRPr="00295E71">
          <w:rPr>
            <w:sz w:val="22"/>
            <w:szCs w:val="22"/>
          </w:rPr>
          <w:delText>disidratazione;</w:delText>
        </w:r>
      </w:del>
    </w:p>
    <w:p w:rsidR="006224C2" w:rsidRPr="00295E71" w14:paraId="7D6A1F06" w14:textId="77777777">
      <w:pPr>
        <w:numPr>
          <w:ilvl w:val="0"/>
          <w:numId w:val="14"/>
        </w:numPr>
        <w:tabs>
          <w:tab w:val="num" w:pos="540"/>
          <w:tab w:val="left" w:pos="567"/>
          <w:tab w:val="left" w:pos="993"/>
        </w:tabs>
        <w:ind w:left="567" w:hanging="567"/>
        <w:jc w:val="both"/>
        <w:rPr>
          <w:del w:id="15787" w:author="AbbVie14" w:date="2025-05-09T10:59:00Z"/>
          <w:sz w:val="22"/>
          <w:szCs w:val="22"/>
        </w:rPr>
      </w:pPr>
      <w:del w:id="15788" w:author="AbbVie14" w:date="2025-05-09T10:59:00Z">
        <w:r w:rsidRPr="00295E71">
          <w:rPr>
            <w:sz w:val="22"/>
            <w:szCs w:val="22"/>
          </w:rPr>
          <w:delText>cambiamenti d’umore (tra cui depressione);</w:delText>
        </w:r>
      </w:del>
    </w:p>
    <w:p w:rsidR="006224C2" w:rsidRPr="00295E71" w14:paraId="6B353571" w14:textId="77777777">
      <w:pPr>
        <w:numPr>
          <w:ilvl w:val="0"/>
          <w:numId w:val="14"/>
        </w:numPr>
        <w:tabs>
          <w:tab w:val="num" w:pos="540"/>
          <w:tab w:val="left" w:pos="567"/>
          <w:tab w:val="left" w:pos="993"/>
        </w:tabs>
        <w:ind w:left="567" w:hanging="567"/>
        <w:jc w:val="both"/>
        <w:rPr>
          <w:del w:id="15789" w:author="AbbVie14" w:date="2025-05-09T10:59:00Z"/>
          <w:sz w:val="22"/>
          <w:szCs w:val="22"/>
        </w:rPr>
      </w:pPr>
      <w:del w:id="15790" w:author="AbbVie14" w:date="2025-05-09T10:59:00Z">
        <w:r w:rsidRPr="00295E71">
          <w:rPr>
            <w:sz w:val="22"/>
            <w:szCs w:val="22"/>
          </w:rPr>
          <w:delText>ansia;</w:delText>
        </w:r>
      </w:del>
    </w:p>
    <w:p w:rsidR="006224C2" w:rsidRPr="00295E71" w14:paraId="73503173" w14:textId="77777777">
      <w:pPr>
        <w:numPr>
          <w:ilvl w:val="0"/>
          <w:numId w:val="14"/>
        </w:numPr>
        <w:tabs>
          <w:tab w:val="num" w:pos="540"/>
          <w:tab w:val="left" w:pos="567"/>
          <w:tab w:val="left" w:pos="993"/>
        </w:tabs>
        <w:ind w:left="567" w:hanging="567"/>
        <w:jc w:val="both"/>
        <w:rPr>
          <w:del w:id="15791" w:author="AbbVie14" w:date="2025-05-09T10:59:00Z"/>
          <w:sz w:val="22"/>
          <w:szCs w:val="22"/>
        </w:rPr>
      </w:pPr>
      <w:del w:id="15792" w:author="AbbVie14" w:date="2025-05-09T10:59:00Z">
        <w:r w:rsidRPr="00295E71">
          <w:rPr>
            <w:sz w:val="22"/>
            <w:szCs w:val="22"/>
          </w:rPr>
          <w:delText>disturbi del sonno;</w:delText>
        </w:r>
      </w:del>
    </w:p>
    <w:p w:rsidR="006224C2" w:rsidRPr="00295E71" w14:paraId="6685FD4A" w14:textId="77777777">
      <w:pPr>
        <w:numPr>
          <w:ilvl w:val="0"/>
          <w:numId w:val="14"/>
        </w:numPr>
        <w:tabs>
          <w:tab w:val="num" w:pos="540"/>
          <w:tab w:val="left" w:pos="567"/>
          <w:tab w:val="left" w:pos="993"/>
        </w:tabs>
        <w:ind w:left="567" w:hanging="567"/>
        <w:jc w:val="both"/>
        <w:rPr>
          <w:del w:id="15793" w:author="AbbVie14" w:date="2025-05-09T10:59:00Z"/>
          <w:sz w:val="22"/>
          <w:szCs w:val="22"/>
        </w:rPr>
      </w:pPr>
      <w:del w:id="15794" w:author="AbbVie14" w:date="2025-05-09T10:59:00Z">
        <w:r w:rsidRPr="00295E71">
          <w:rPr>
            <w:sz w:val="22"/>
            <w:szCs w:val="22"/>
          </w:rPr>
          <w:delText>disturbi della sensibilità come formicolii, sensazione di fitte o intorpidimento;</w:delText>
        </w:r>
      </w:del>
    </w:p>
    <w:p w:rsidR="006224C2" w:rsidRPr="00295E71" w14:paraId="3D52EB1B" w14:textId="77777777">
      <w:pPr>
        <w:numPr>
          <w:ilvl w:val="0"/>
          <w:numId w:val="14"/>
        </w:numPr>
        <w:tabs>
          <w:tab w:val="num" w:pos="540"/>
          <w:tab w:val="left" w:pos="567"/>
          <w:tab w:val="left" w:pos="993"/>
        </w:tabs>
        <w:ind w:left="567" w:hanging="567"/>
        <w:jc w:val="both"/>
        <w:rPr>
          <w:del w:id="15795" w:author="AbbVie14" w:date="2025-05-09T10:59:00Z"/>
          <w:sz w:val="22"/>
          <w:szCs w:val="22"/>
        </w:rPr>
      </w:pPr>
      <w:del w:id="15796" w:author="AbbVie14" w:date="2025-05-09T10:59:00Z">
        <w:r w:rsidRPr="00295E71">
          <w:rPr>
            <w:sz w:val="22"/>
            <w:szCs w:val="22"/>
          </w:rPr>
          <w:delText>emicrania;</w:delText>
        </w:r>
      </w:del>
    </w:p>
    <w:p w:rsidR="006224C2" w:rsidRPr="00295E71" w14:paraId="311241E0" w14:textId="77777777">
      <w:pPr>
        <w:numPr>
          <w:ilvl w:val="0"/>
          <w:numId w:val="14"/>
        </w:numPr>
        <w:tabs>
          <w:tab w:val="num" w:pos="540"/>
          <w:tab w:val="left" w:pos="567"/>
          <w:tab w:val="left" w:pos="993"/>
        </w:tabs>
        <w:ind w:left="567" w:hanging="567"/>
        <w:jc w:val="both"/>
        <w:rPr>
          <w:del w:id="15797" w:author="AbbVie14" w:date="2025-05-09T10:59:00Z"/>
          <w:sz w:val="22"/>
          <w:szCs w:val="22"/>
        </w:rPr>
      </w:pPr>
      <w:del w:id="15798" w:author="AbbVie14" w:date="2025-05-09T10:59:00Z">
        <w:r w:rsidRPr="00295E71">
          <w:rPr>
            <w:sz w:val="22"/>
            <w:szCs w:val="22"/>
          </w:rPr>
          <w:delText>compressione di radice nervosa (tra cui dolore lombare e dolore alle gambe);</w:delText>
        </w:r>
      </w:del>
    </w:p>
    <w:p w:rsidR="006224C2" w:rsidRPr="00295E71" w14:paraId="24760AC3" w14:textId="77777777">
      <w:pPr>
        <w:numPr>
          <w:ilvl w:val="0"/>
          <w:numId w:val="14"/>
        </w:numPr>
        <w:tabs>
          <w:tab w:val="num" w:pos="540"/>
          <w:tab w:val="left" w:pos="567"/>
          <w:tab w:val="left" w:pos="993"/>
        </w:tabs>
        <w:ind w:left="567" w:hanging="567"/>
        <w:jc w:val="both"/>
        <w:rPr>
          <w:del w:id="15799" w:author="AbbVie14" w:date="2025-05-09T10:59:00Z"/>
          <w:sz w:val="22"/>
          <w:szCs w:val="22"/>
        </w:rPr>
      </w:pPr>
      <w:del w:id="15800" w:author="AbbVie14" w:date="2025-05-09T10:59:00Z">
        <w:r w:rsidRPr="00295E71">
          <w:rPr>
            <w:sz w:val="22"/>
            <w:szCs w:val="22"/>
          </w:rPr>
          <w:delText>disturbi visivi;</w:delText>
        </w:r>
      </w:del>
    </w:p>
    <w:p w:rsidR="006224C2" w:rsidRPr="00295E71" w14:paraId="5F87B341" w14:textId="77777777">
      <w:pPr>
        <w:numPr>
          <w:ilvl w:val="0"/>
          <w:numId w:val="14"/>
        </w:numPr>
        <w:tabs>
          <w:tab w:val="num" w:pos="540"/>
          <w:tab w:val="left" w:pos="567"/>
          <w:tab w:val="left" w:pos="993"/>
        </w:tabs>
        <w:ind w:left="567" w:hanging="567"/>
        <w:jc w:val="both"/>
        <w:rPr>
          <w:del w:id="15801" w:author="AbbVie14" w:date="2025-05-09T10:59:00Z"/>
          <w:sz w:val="22"/>
          <w:szCs w:val="22"/>
        </w:rPr>
      </w:pPr>
      <w:del w:id="15802" w:author="AbbVie14" w:date="2025-05-09T10:59:00Z">
        <w:r w:rsidRPr="00295E71">
          <w:rPr>
            <w:sz w:val="22"/>
            <w:szCs w:val="22"/>
          </w:rPr>
          <w:delText>infiammazione degli occhi;</w:delText>
        </w:r>
      </w:del>
    </w:p>
    <w:p w:rsidR="006224C2" w:rsidRPr="00295E71" w14:paraId="73F4AB56" w14:textId="77777777">
      <w:pPr>
        <w:numPr>
          <w:ilvl w:val="0"/>
          <w:numId w:val="14"/>
        </w:numPr>
        <w:tabs>
          <w:tab w:val="num" w:pos="540"/>
          <w:tab w:val="left" w:pos="567"/>
          <w:tab w:val="left" w:pos="993"/>
        </w:tabs>
        <w:ind w:left="567" w:hanging="567"/>
        <w:jc w:val="both"/>
        <w:rPr>
          <w:del w:id="15803" w:author="AbbVie14" w:date="2025-05-09T10:59:00Z"/>
          <w:sz w:val="22"/>
          <w:szCs w:val="22"/>
        </w:rPr>
      </w:pPr>
      <w:del w:id="15804" w:author="AbbVie14" w:date="2025-05-09T10:59:00Z">
        <w:r w:rsidRPr="00295E71">
          <w:rPr>
            <w:sz w:val="22"/>
            <w:szCs w:val="22"/>
          </w:rPr>
          <w:delText>infiammazione delle palpebre e tumefazione degli occhi;</w:delText>
        </w:r>
      </w:del>
    </w:p>
    <w:p w:rsidR="006224C2" w:rsidRPr="00295E71" w14:paraId="0C5E0392" w14:textId="77777777">
      <w:pPr>
        <w:numPr>
          <w:ilvl w:val="0"/>
          <w:numId w:val="14"/>
        </w:numPr>
        <w:tabs>
          <w:tab w:val="num" w:pos="540"/>
          <w:tab w:val="left" w:pos="567"/>
          <w:tab w:val="left" w:pos="993"/>
        </w:tabs>
        <w:ind w:left="567" w:hanging="567"/>
        <w:jc w:val="both"/>
        <w:rPr>
          <w:del w:id="15805" w:author="AbbVie14" w:date="2025-05-09T10:59:00Z"/>
          <w:sz w:val="22"/>
          <w:szCs w:val="22"/>
        </w:rPr>
      </w:pPr>
      <w:del w:id="15806" w:author="AbbVie14" w:date="2025-05-09T10:59:00Z">
        <w:r w:rsidRPr="00295E71">
          <w:rPr>
            <w:sz w:val="22"/>
            <w:szCs w:val="22"/>
          </w:rPr>
          <w:delText>vertigini;</w:delText>
        </w:r>
      </w:del>
    </w:p>
    <w:p w:rsidR="006224C2" w:rsidRPr="00295E71" w14:paraId="0DBBBF4D" w14:textId="77777777">
      <w:pPr>
        <w:numPr>
          <w:ilvl w:val="0"/>
          <w:numId w:val="14"/>
        </w:numPr>
        <w:tabs>
          <w:tab w:val="num" w:pos="540"/>
          <w:tab w:val="left" w:pos="567"/>
          <w:tab w:val="left" w:pos="993"/>
        </w:tabs>
        <w:ind w:left="567" w:hanging="567"/>
        <w:jc w:val="both"/>
        <w:rPr>
          <w:del w:id="15807" w:author="AbbVie14" w:date="2025-05-09T10:59:00Z"/>
          <w:sz w:val="22"/>
          <w:szCs w:val="22"/>
        </w:rPr>
      </w:pPr>
      <w:del w:id="15808" w:author="AbbVie14" w:date="2025-05-09T10:59:00Z">
        <w:r w:rsidRPr="00295E71">
          <w:rPr>
            <w:sz w:val="22"/>
            <w:szCs w:val="22"/>
          </w:rPr>
          <w:delText>sensazione di battito cardiaco accelerato;</w:delText>
        </w:r>
      </w:del>
    </w:p>
    <w:p w:rsidR="006224C2" w:rsidRPr="00295E71" w14:paraId="76A6967B" w14:textId="77777777">
      <w:pPr>
        <w:numPr>
          <w:ilvl w:val="0"/>
          <w:numId w:val="14"/>
        </w:numPr>
        <w:tabs>
          <w:tab w:val="num" w:pos="540"/>
          <w:tab w:val="left" w:pos="567"/>
          <w:tab w:val="left" w:pos="993"/>
        </w:tabs>
        <w:ind w:left="567" w:hanging="567"/>
        <w:jc w:val="both"/>
        <w:rPr>
          <w:del w:id="15809" w:author="AbbVie14" w:date="2025-05-09T10:59:00Z"/>
          <w:sz w:val="22"/>
          <w:szCs w:val="22"/>
        </w:rPr>
      </w:pPr>
      <w:del w:id="15810" w:author="AbbVie14" w:date="2025-05-09T10:59:00Z">
        <w:r w:rsidRPr="00295E71">
          <w:rPr>
            <w:sz w:val="22"/>
            <w:szCs w:val="22"/>
          </w:rPr>
          <w:delText>pressione del sangue elevata</w:delText>
        </w:r>
      </w:del>
      <w:del w:id="15811" w:author="AbbVie14" w:date="2025-05-09T10:59:00Z">
        <w:r w:rsidRPr="00295E71" w:rsidR="00226BC4">
          <w:rPr>
            <w:sz w:val="22"/>
            <w:szCs w:val="22"/>
          </w:rPr>
          <w:delText>;</w:delText>
        </w:r>
      </w:del>
    </w:p>
    <w:p w:rsidR="006224C2" w:rsidRPr="00295E71" w14:paraId="6FE7DEA6" w14:textId="77777777">
      <w:pPr>
        <w:numPr>
          <w:ilvl w:val="0"/>
          <w:numId w:val="14"/>
        </w:numPr>
        <w:tabs>
          <w:tab w:val="num" w:pos="540"/>
          <w:tab w:val="left" w:pos="567"/>
          <w:tab w:val="left" w:pos="993"/>
        </w:tabs>
        <w:ind w:left="567" w:hanging="567"/>
        <w:jc w:val="both"/>
        <w:rPr>
          <w:del w:id="15812" w:author="AbbVie14" w:date="2025-05-09T10:59:00Z"/>
          <w:sz w:val="22"/>
          <w:szCs w:val="22"/>
        </w:rPr>
      </w:pPr>
      <w:del w:id="15813" w:author="AbbVie14" w:date="2025-05-09T10:59:00Z">
        <w:r w:rsidRPr="00295E71">
          <w:rPr>
            <w:sz w:val="22"/>
            <w:szCs w:val="22"/>
          </w:rPr>
          <w:delText>vampate;</w:delText>
        </w:r>
      </w:del>
    </w:p>
    <w:p w:rsidR="006224C2" w:rsidRPr="00295E71" w14:paraId="2D556AC9" w14:textId="77777777">
      <w:pPr>
        <w:numPr>
          <w:ilvl w:val="0"/>
          <w:numId w:val="14"/>
        </w:numPr>
        <w:tabs>
          <w:tab w:val="num" w:pos="540"/>
          <w:tab w:val="left" w:pos="567"/>
          <w:tab w:val="left" w:pos="993"/>
        </w:tabs>
        <w:ind w:left="567" w:hanging="567"/>
        <w:jc w:val="both"/>
        <w:rPr>
          <w:del w:id="15814" w:author="AbbVie14" w:date="2025-05-09T10:59:00Z"/>
          <w:sz w:val="22"/>
          <w:szCs w:val="22"/>
        </w:rPr>
      </w:pPr>
      <w:del w:id="15815" w:author="AbbVie14" w:date="2025-05-09T10:59:00Z">
        <w:r w:rsidRPr="00295E71">
          <w:rPr>
            <w:sz w:val="22"/>
            <w:szCs w:val="22"/>
          </w:rPr>
          <w:delText>ematoma;</w:delText>
        </w:r>
      </w:del>
    </w:p>
    <w:p w:rsidR="006224C2" w:rsidRPr="00295E71" w14:paraId="40EE6AD3" w14:textId="77777777">
      <w:pPr>
        <w:numPr>
          <w:ilvl w:val="0"/>
          <w:numId w:val="14"/>
        </w:numPr>
        <w:tabs>
          <w:tab w:val="num" w:pos="540"/>
          <w:tab w:val="left" w:pos="567"/>
          <w:tab w:val="left" w:pos="993"/>
        </w:tabs>
        <w:ind w:left="567" w:hanging="567"/>
        <w:jc w:val="both"/>
        <w:rPr>
          <w:del w:id="15816" w:author="AbbVie14" w:date="2025-05-09T10:59:00Z"/>
          <w:sz w:val="22"/>
          <w:szCs w:val="22"/>
        </w:rPr>
      </w:pPr>
      <w:del w:id="15817" w:author="AbbVie14" w:date="2025-05-09T10:59:00Z">
        <w:r w:rsidRPr="00295E71">
          <w:rPr>
            <w:sz w:val="22"/>
            <w:szCs w:val="22"/>
          </w:rPr>
          <w:delText>tosse;</w:delText>
        </w:r>
      </w:del>
    </w:p>
    <w:p w:rsidR="006224C2" w:rsidRPr="00295E71" w14:paraId="1584F746" w14:textId="77777777">
      <w:pPr>
        <w:numPr>
          <w:ilvl w:val="0"/>
          <w:numId w:val="14"/>
        </w:numPr>
        <w:tabs>
          <w:tab w:val="num" w:pos="540"/>
          <w:tab w:val="left" w:pos="567"/>
          <w:tab w:val="left" w:pos="993"/>
        </w:tabs>
        <w:ind w:left="567" w:hanging="567"/>
        <w:jc w:val="both"/>
        <w:rPr>
          <w:del w:id="15818" w:author="AbbVie14" w:date="2025-05-09T10:59:00Z"/>
          <w:sz w:val="22"/>
          <w:szCs w:val="22"/>
        </w:rPr>
      </w:pPr>
      <w:del w:id="15819" w:author="AbbVie14" w:date="2025-05-09T10:59:00Z">
        <w:r w:rsidRPr="00295E71">
          <w:rPr>
            <w:sz w:val="22"/>
            <w:szCs w:val="22"/>
          </w:rPr>
          <w:delText>asma;</w:delText>
        </w:r>
      </w:del>
    </w:p>
    <w:p w:rsidR="006224C2" w:rsidRPr="00295E71" w14:paraId="290EEB02" w14:textId="77777777">
      <w:pPr>
        <w:numPr>
          <w:ilvl w:val="0"/>
          <w:numId w:val="14"/>
        </w:numPr>
        <w:tabs>
          <w:tab w:val="num" w:pos="540"/>
          <w:tab w:val="left" w:pos="567"/>
          <w:tab w:val="left" w:pos="993"/>
        </w:tabs>
        <w:ind w:left="567" w:hanging="567"/>
        <w:jc w:val="both"/>
        <w:rPr>
          <w:del w:id="15820" w:author="AbbVie14" w:date="2025-05-09T10:59:00Z"/>
          <w:sz w:val="22"/>
          <w:szCs w:val="22"/>
        </w:rPr>
      </w:pPr>
      <w:del w:id="15821" w:author="AbbVie14" w:date="2025-05-09T10:59:00Z">
        <w:r w:rsidRPr="00295E71">
          <w:rPr>
            <w:sz w:val="22"/>
            <w:szCs w:val="22"/>
          </w:rPr>
          <w:delText>fiato corto;</w:delText>
        </w:r>
      </w:del>
    </w:p>
    <w:p w:rsidR="006224C2" w:rsidRPr="00295E71" w14:paraId="3C5A7681" w14:textId="77777777">
      <w:pPr>
        <w:numPr>
          <w:ilvl w:val="0"/>
          <w:numId w:val="14"/>
        </w:numPr>
        <w:tabs>
          <w:tab w:val="num" w:pos="540"/>
          <w:tab w:val="left" w:pos="567"/>
          <w:tab w:val="left" w:pos="993"/>
        </w:tabs>
        <w:ind w:left="567" w:hanging="567"/>
        <w:jc w:val="both"/>
        <w:rPr>
          <w:del w:id="15822" w:author="AbbVie14" w:date="2025-05-09T10:59:00Z"/>
          <w:sz w:val="22"/>
          <w:szCs w:val="22"/>
        </w:rPr>
      </w:pPr>
      <w:del w:id="15823" w:author="AbbVie14" w:date="2025-05-09T10:59:00Z">
        <w:r w:rsidRPr="00295E71">
          <w:rPr>
            <w:sz w:val="22"/>
            <w:szCs w:val="22"/>
          </w:rPr>
          <w:delText>sanguinamento gastrointestinale;</w:delText>
        </w:r>
      </w:del>
    </w:p>
    <w:p w:rsidR="006224C2" w:rsidRPr="00295E71" w14:paraId="75811757" w14:textId="77777777">
      <w:pPr>
        <w:numPr>
          <w:ilvl w:val="0"/>
          <w:numId w:val="14"/>
        </w:numPr>
        <w:tabs>
          <w:tab w:val="num" w:pos="540"/>
          <w:tab w:val="left" w:pos="567"/>
          <w:tab w:val="left" w:pos="993"/>
        </w:tabs>
        <w:ind w:left="567" w:hanging="567"/>
        <w:jc w:val="both"/>
        <w:rPr>
          <w:del w:id="15824" w:author="AbbVie14" w:date="2025-05-09T10:59:00Z"/>
          <w:sz w:val="22"/>
          <w:szCs w:val="22"/>
        </w:rPr>
      </w:pPr>
      <w:del w:id="15825" w:author="AbbVie14" w:date="2025-05-09T10:59:00Z">
        <w:r w:rsidRPr="00295E71">
          <w:rPr>
            <w:sz w:val="22"/>
            <w:szCs w:val="22"/>
          </w:rPr>
          <w:delText>dispepsia (indigestione, gonfiore, bruciore di stomaco);</w:delText>
        </w:r>
      </w:del>
    </w:p>
    <w:p w:rsidR="006224C2" w:rsidRPr="00295E71" w14:paraId="746954B2" w14:textId="77777777">
      <w:pPr>
        <w:numPr>
          <w:ilvl w:val="0"/>
          <w:numId w:val="14"/>
        </w:numPr>
        <w:tabs>
          <w:tab w:val="num" w:pos="540"/>
          <w:tab w:val="left" w:pos="567"/>
          <w:tab w:val="left" w:pos="993"/>
        </w:tabs>
        <w:ind w:left="567" w:hanging="567"/>
        <w:jc w:val="both"/>
        <w:rPr>
          <w:del w:id="15826" w:author="AbbVie14" w:date="2025-05-09T10:59:00Z"/>
          <w:sz w:val="22"/>
          <w:szCs w:val="22"/>
        </w:rPr>
      </w:pPr>
      <w:del w:id="15827" w:author="AbbVie14" w:date="2025-05-09T10:59:00Z">
        <w:r w:rsidRPr="00295E71">
          <w:rPr>
            <w:sz w:val="22"/>
            <w:szCs w:val="22"/>
          </w:rPr>
          <w:delText>disturbo da reflusso acido;</w:delText>
        </w:r>
      </w:del>
    </w:p>
    <w:p w:rsidR="006224C2" w:rsidRPr="00295E71" w14:paraId="07E326AE" w14:textId="77777777">
      <w:pPr>
        <w:numPr>
          <w:ilvl w:val="0"/>
          <w:numId w:val="14"/>
        </w:numPr>
        <w:tabs>
          <w:tab w:val="num" w:pos="540"/>
          <w:tab w:val="left" w:pos="567"/>
          <w:tab w:val="left" w:pos="993"/>
        </w:tabs>
        <w:ind w:left="567" w:hanging="567"/>
        <w:jc w:val="both"/>
        <w:rPr>
          <w:del w:id="15828" w:author="AbbVie14" w:date="2025-05-09T10:59:00Z"/>
          <w:sz w:val="22"/>
          <w:szCs w:val="22"/>
        </w:rPr>
      </w:pPr>
      <w:del w:id="15829" w:author="AbbVie14" w:date="2025-05-09T10:59:00Z">
        <w:r w:rsidRPr="00295E71">
          <w:rPr>
            <w:sz w:val="22"/>
            <w:szCs w:val="22"/>
          </w:rPr>
          <w:delText>sindrome sicca (tra cui secchezza degli occhi e</w:delText>
        </w:r>
      </w:del>
      <w:del w:id="15830" w:author="AbbVie14" w:date="2025-05-09T10:59:00Z">
        <w:r w:rsidRPr="00295E71" w:rsidR="00F92553">
          <w:rPr>
            <w:sz w:val="22"/>
            <w:szCs w:val="22"/>
          </w:rPr>
          <w:delText xml:space="preserve"> </w:delText>
        </w:r>
      </w:del>
      <w:del w:id="15831" w:author="AbbVie14" w:date="2025-05-09T10:59:00Z">
        <w:r w:rsidRPr="00295E71">
          <w:rPr>
            <w:sz w:val="22"/>
            <w:szCs w:val="22"/>
          </w:rPr>
          <w:delText>della bocca );</w:delText>
        </w:r>
      </w:del>
    </w:p>
    <w:p w:rsidR="006224C2" w:rsidRPr="00295E71" w14:paraId="304F97FC" w14:textId="77777777">
      <w:pPr>
        <w:numPr>
          <w:ilvl w:val="0"/>
          <w:numId w:val="14"/>
        </w:numPr>
        <w:tabs>
          <w:tab w:val="num" w:pos="540"/>
          <w:tab w:val="left" w:pos="567"/>
          <w:tab w:val="left" w:pos="993"/>
        </w:tabs>
        <w:ind w:left="567" w:hanging="567"/>
        <w:jc w:val="both"/>
        <w:rPr>
          <w:del w:id="15832" w:author="AbbVie14" w:date="2025-05-09T10:59:00Z"/>
          <w:sz w:val="22"/>
          <w:szCs w:val="22"/>
        </w:rPr>
      </w:pPr>
      <w:del w:id="15833" w:author="AbbVie14" w:date="2025-05-09T10:59:00Z">
        <w:r w:rsidRPr="00295E71">
          <w:rPr>
            <w:sz w:val="22"/>
            <w:szCs w:val="22"/>
          </w:rPr>
          <w:delText>prurito;</w:delText>
        </w:r>
      </w:del>
    </w:p>
    <w:p w:rsidR="006224C2" w:rsidRPr="00295E71" w14:paraId="78866FEA" w14:textId="77777777">
      <w:pPr>
        <w:numPr>
          <w:ilvl w:val="0"/>
          <w:numId w:val="14"/>
        </w:numPr>
        <w:tabs>
          <w:tab w:val="num" w:pos="540"/>
          <w:tab w:val="left" w:pos="567"/>
          <w:tab w:val="left" w:pos="993"/>
        </w:tabs>
        <w:ind w:left="567" w:hanging="567"/>
        <w:jc w:val="both"/>
        <w:rPr>
          <w:del w:id="15834" w:author="AbbVie14" w:date="2025-05-09T10:59:00Z"/>
          <w:sz w:val="22"/>
          <w:szCs w:val="22"/>
        </w:rPr>
      </w:pPr>
      <w:del w:id="15835" w:author="AbbVie14" w:date="2025-05-09T10:59:00Z">
        <w:r w:rsidRPr="00295E71">
          <w:rPr>
            <w:sz w:val="22"/>
            <w:szCs w:val="22"/>
          </w:rPr>
          <w:delText>eruzione cutanea pruriginosa;</w:delText>
        </w:r>
      </w:del>
    </w:p>
    <w:p w:rsidR="006224C2" w:rsidRPr="00295E71" w14:paraId="58806E40" w14:textId="77777777">
      <w:pPr>
        <w:numPr>
          <w:ilvl w:val="0"/>
          <w:numId w:val="14"/>
        </w:numPr>
        <w:tabs>
          <w:tab w:val="num" w:pos="540"/>
          <w:tab w:val="left" w:pos="567"/>
          <w:tab w:val="left" w:pos="993"/>
        </w:tabs>
        <w:ind w:left="567" w:hanging="567"/>
        <w:jc w:val="both"/>
        <w:rPr>
          <w:del w:id="15836" w:author="AbbVie14" w:date="2025-05-09T10:59:00Z"/>
          <w:sz w:val="22"/>
          <w:szCs w:val="22"/>
        </w:rPr>
      </w:pPr>
      <w:del w:id="15837" w:author="AbbVie14" w:date="2025-05-09T10:59:00Z">
        <w:r w:rsidRPr="00295E71">
          <w:rPr>
            <w:sz w:val="22"/>
            <w:szCs w:val="22"/>
          </w:rPr>
          <w:delText>contusione;</w:delText>
        </w:r>
      </w:del>
    </w:p>
    <w:p w:rsidR="006224C2" w:rsidRPr="00295E71" w14:paraId="52126C09" w14:textId="77777777">
      <w:pPr>
        <w:numPr>
          <w:ilvl w:val="0"/>
          <w:numId w:val="14"/>
        </w:numPr>
        <w:tabs>
          <w:tab w:val="num" w:pos="540"/>
          <w:tab w:val="left" w:pos="567"/>
          <w:tab w:val="left" w:pos="993"/>
        </w:tabs>
        <w:ind w:left="567" w:hanging="567"/>
        <w:jc w:val="both"/>
        <w:rPr>
          <w:del w:id="15838" w:author="AbbVie14" w:date="2025-05-09T10:59:00Z"/>
          <w:sz w:val="22"/>
          <w:szCs w:val="22"/>
        </w:rPr>
      </w:pPr>
      <w:del w:id="15839" w:author="AbbVie14" w:date="2025-05-09T10:59:00Z">
        <w:r w:rsidRPr="00295E71">
          <w:rPr>
            <w:sz w:val="22"/>
            <w:szCs w:val="22"/>
          </w:rPr>
          <w:delText>infiammazione della pelle (come eczema);</w:delText>
        </w:r>
      </w:del>
    </w:p>
    <w:p w:rsidR="006224C2" w:rsidRPr="00295E71" w14:paraId="27C7667E" w14:textId="77777777">
      <w:pPr>
        <w:numPr>
          <w:ilvl w:val="0"/>
          <w:numId w:val="14"/>
        </w:numPr>
        <w:tabs>
          <w:tab w:val="num" w:pos="540"/>
          <w:tab w:val="left" w:pos="567"/>
          <w:tab w:val="left" w:pos="993"/>
        </w:tabs>
        <w:ind w:left="567" w:hanging="567"/>
        <w:jc w:val="both"/>
        <w:rPr>
          <w:del w:id="15840" w:author="AbbVie14" w:date="2025-05-09T10:59:00Z"/>
          <w:sz w:val="22"/>
          <w:szCs w:val="22"/>
        </w:rPr>
      </w:pPr>
      <w:del w:id="15841" w:author="AbbVie14" w:date="2025-05-09T10:59:00Z">
        <w:r w:rsidRPr="00295E71">
          <w:rPr>
            <w:sz w:val="22"/>
            <w:szCs w:val="22"/>
          </w:rPr>
          <w:delText>rottura delle unghie delle dita della mano e del piede;</w:delText>
        </w:r>
      </w:del>
    </w:p>
    <w:p w:rsidR="006224C2" w:rsidRPr="00295E71" w14:paraId="27B3C5B8" w14:textId="77777777">
      <w:pPr>
        <w:numPr>
          <w:ilvl w:val="0"/>
          <w:numId w:val="14"/>
        </w:numPr>
        <w:tabs>
          <w:tab w:val="num" w:pos="540"/>
          <w:tab w:val="left" w:pos="567"/>
          <w:tab w:val="left" w:pos="993"/>
        </w:tabs>
        <w:ind w:left="567" w:hanging="567"/>
        <w:jc w:val="both"/>
        <w:rPr>
          <w:del w:id="15842" w:author="AbbVie14" w:date="2025-05-09T10:59:00Z"/>
          <w:sz w:val="22"/>
          <w:szCs w:val="22"/>
        </w:rPr>
      </w:pPr>
      <w:del w:id="15843" w:author="AbbVie14" w:date="2025-05-09T10:59:00Z">
        <w:r w:rsidRPr="00295E71">
          <w:rPr>
            <w:sz w:val="22"/>
            <w:szCs w:val="22"/>
          </w:rPr>
          <w:delText>aumento della sudorazione;</w:delText>
        </w:r>
      </w:del>
    </w:p>
    <w:p w:rsidR="006224C2" w:rsidRPr="00295E71" w14:paraId="36B4E46F" w14:textId="77777777">
      <w:pPr>
        <w:numPr>
          <w:ilvl w:val="0"/>
          <w:numId w:val="14"/>
        </w:numPr>
        <w:tabs>
          <w:tab w:val="num" w:pos="540"/>
          <w:tab w:val="left" w:pos="567"/>
          <w:tab w:val="left" w:pos="993"/>
        </w:tabs>
        <w:ind w:left="567" w:hanging="567"/>
        <w:jc w:val="both"/>
        <w:rPr>
          <w:del w:id="15844" w:author="AbbVie14" w:date="2025-05-09T10:59:00Z"/>
          <w:sz w:val="22"/>
          <w:szCs w:val="22"/>
        </w:rPr>
      </w:pPr>
      <w:del w:id="15845" w:author="AbbVie14" w:date="2025-05-09T10:59:00Z">
        <w:r w:rsidRPr="00295E71">
          <w:rPr>
            <w:sz w:val="22"/>
            <w:szCs w:val="22"/>
          </w:rPr>
          <w:delText>perdita di capelli;</w:delText>
        </w:r>
      </w:del>
    </w:p>
    <w:p w:rsidR="006224C2" w:rsidRPr="00295E71" w14:paraId="54AC3FD4" w14:textId="77777777">
      <w:pPr>
        <w:numPr>
          <w:ilvl w:val="0"/>
          <w:numId w:val="14"/>
        </w:numPr>
        <w:tabs>
          <w:tab w:val="num" w:pos="540"/>
          <w:tab w:val="left" w:pos="567"/>
          <w:tab w:val="left" w:pos="993"/>
        </w:tabs>
        <w:ind w:left="567" w:hanging="567"/>
        <w:jc w:val="both"/>
        <w:rPr>
          <w:del w:id="15846" w:author="AbbVie14" w:date="2025-05-09T10:59:00Z"/>
          <w:sz w:val="22"/>
          <w:szCs w:val="22"/>
        </w:rPr>
      </w:pPr>
      <w:del w:id="15847" w:author="AbbVie14" w:date="2025-05-09T10:59:00Z">
        <w:r w:rsidRPr="00295E71">
          <w:rPr>
            <w:sz w:val="22"/>
            <w:szCs w:val="22"/>
          </w:rPr>
          <w:delText>insorgenza o peggioramento della psoriasi;</w:delText>
        </w:r>
      </w:del>
    </w:p>
    <w:p w:rsidR="006224C2" w:rsidRPr="00295E71" w14:paraId="6F19891F" w14:textId="77777777">
      <w:pPr>
        <w:numPr>
          <w:ilvl w:val="0"/>
          <w:numId w:val="14"/>
        </w:numPr>
        <w:tabs>
          <w:tab w:val="num" w:pos="540"/>
          <w:tab w:val="left" w:pos="567"/>
          <w:tab w:val="left" w:pos="993"/>
        </w:tabs>
        <w:ind w:left="567" w:hanging="567"/>
        <w:jc w:val="both"/>
        <w:rPr>
          <w:del w:id="15848" w:author="AbbVie14" w:date="2025-05-09T10:59:00Z"/>
          <w:sz w:val="22"/>
          <w:szCs w:val="22"/>
        </w:rPr>
      </w:pPr>
      <w:del w:id="15849" w:author="AbbVie14" w:date="2025-05-09T10:59:00Z">
        <w:r w:rsidRPr="00295E71">
          <w:rPr>
            <w:sz w:val="22"/>
            <w:szCs w:val="22"/>
          </w:rPr>
          <w:delText>spasmi muscolari;</w:delText>
        </w:r>
      </w:del>
    </w:p>
    <w:p w:rsidR="006224C2" w:rsidRPr="00295E71" w14:paraId="41AE53B0" w14:textId="77777777">
      <w:pPr>
        <w:numPr>
          <w:ilvl w:val="0"/>
          <w:numId w:val="14"/>
        </w:numPr>
        <w:tabs>
          <w:tab w:val="num" w:pos="540"/>
          <w:tab w:val="left" w:pos="567"/>
          <w:tab w:val="left" w:pos="993"/>
        </w:tabs>
        <w:ind w:left="567" w:hanging="567"/>
        <w:jc w:val="both"/>
        <w:rPr>
          <w:del w:id="15850" w:author="AbbVie14" w:date="2025-05-09T10:59:00Z"/>
          <w:sz w:val="22"/>
          <w:szCs w:val="22"/>
        </w:rPr>
      </w:pPr>
      <w:del w:id="15851" w:author="AbbVie14" w:date="2025-05-09T10:59:00Z">
        <w:r w:rsidRPr="00295E71">
          <w:rPr>
            <w:sz w:val="22"/>
            <w:szCs w:val="22"/>
          </w:rPr>
          <w:delText>sangue nelle urine;</w:delText>
        </w:r>
      </w:del>
    </w:p>
    <w:p w:rsidR="006224C2" w:rsidRPr="00295E71" w14:paraId="57CD504B" w14:textId="77777777">
      <w:pPr>
        <w:numPr>
          <w:ilvl w:val="0"/>
          <w:numId w:val="14"/>
        </w:numPr>
        <w:tabs>
          <w:tab w:val="num" w:pos="540"/>
          <w:tab w:val="left" w:pos="567"/>
          <w:tab w:val="left" w:pos="993"/>
        </w:tabs>
        <w:ind w:left="567" w:hanging="567"/>
        <w:jc w:val="both"/>
        <w:rPr>
          <w:del w:id="15852" w:author="AbbVie14" w:date="2025-05-09T10:59:00Z"/>
          <w:sz w:val="22"/>
          <w:szCs w:val="22"/>
        </w:rPr>
      </w:pPr>
      <w:del w:id="15853" w:author="AbbVie14" w:date="2025-05-09T10:59:00Z">
        <w:r w:rsidRPr="00295E71">
          <w:rPr>
            <w:sz w:val="22"/>
            <w:szCs w:val="22"/>
          </w:rPr>
          <w:delText>problemi renali;</w:delText>
        </w:r>
      </w:del>
    </w:p>
    <w:p w:rsidR="006224C2" w:rsidRPr="00295E71" w14:paraId="7A8E206A" w14:textId="77777777">
      <w:pPr>
        <w:numPr>
          <w:ilvl w:val="0"/>
          <w:numId w:val="14"/>
        </w:numPr>
        <w:tabs>
          <w:tab w:val="num" w:pos="540"/>
          <w:tab w:val="left" w:pos="567"/>
          <w:tab w:val="left" w:pos="993"/>
        </w:tabs>
        <w:ind w:left="567" w:hanging="567"/>
        <w:jc w:val="both"/>
        <w:rPr>
          <w:del w:id="15854" w:author="AbbVie14" w:date="2025-05-09T10:59:00Z"/>
          <w:sz w:val="22"/>
          <w:szCs w:val="22"/>
        </w:rPr>
      </w:pPr>
      <w:del w:id="15855" w:author="AbbVie14" w:date="2025-05-09T10:59:00Z">
        <w:r w:rsidRPr="00295E71">
          <w:rPr>
            <w:sz w:val="22"/>
            <w:szCs w:val="22"/>
          </w:rPr>
          <w:delText>dolore toracico;</w:delText>
        </w:r>
      </w:del>
    </w:p>
    <w:p w:rsidR="006224C2" w:rsidRPr="00295E71" w14:paraId="397E742D" w14:textId="77777777">
      <w:pPr>
        <w:numPr>
          <w:ilvl w:val="0"/>
          <w:numId w:val="14"/>
        </w:numPr>
        <w:tabs>
          <w:tab w:val="num" w:pos="540"/>
          <w:tab w:val="left" w:pos="567"/>
          <w:tab w:val="left" w:pos="993"/>
        </w:tabs>
        <w:ind w:left="567" w:hanging="567"/>
        <w:jc w:val="both"/>
        <w:rPr>
          <w:del w:id="15856" w:author="AbbVie14" w:date="2025-05-09T10:59:00Z"/>
          <w:sz w:val="22"/>
          <w:szCs w:val="22"/>
        </w:rPr>
      </w:pPr>
      <w:del w:id="15857" w:author="AbbVie14" w:date="2025-05-09T10:59:00Z">
        <w:r w:rsidRPr="00295E71">
          <w:rPr>
            <w:sz w:val="22"/>
            <w:szCs w:val="22"/>
          </w:rPr>
          <w:delText>edema;</w:delText>
        </w:r>
      </w:del>
    </w:p>
    <w:p w:rsidR="006224C2" w:rsidRPr="00295E71" w14:paraId="433BAAF4" w14:textId="77777777">
      <w:pPr>
        <w:numPr>
          <w:ilvl w:val="0"/>
          <w:numId w:val="14"/>
        </w:numPr>
        <w:tabs>
          <w:tab w:val="num" w:pos="540"/>
          <w:tab w:val="left" w:pos="567"/>
          <w:tab w:val="left" w:pos="993"/>
        </w:tabs>
        <w:ind w:left="567" w:hanging="567"/>
        <w:jc w:val="both"/>
        <w:rPr>
          <w:del w:id="15858" w:author="AbbVie14" w:date="2025-05-09T10:59:00Z"/>
          <w:sz w:val="22"/>
          <w:szCs w:val="22"/>
        </w:rPr>
      </w:pPr>
      <w:del w:id="15859" w:author="AbbVie14" w:date="2025-05-09T10:59:00Z">
        <w:r w:rsidRPr="00295E71">
          <w:rPr>
            <w:sz w:val="22"/>
            <w:szCs w:val="22"/>
          </w:rPr>
          <w:delText>febbre;</w:delText>
        </w:r>
      </w:del>
    </w:p>
    <w:p w:rsidR="006224C2" w:rsidRPr="00295E71" w14:paraId="631A2CDA" w14:textId="77777777">
      <w:pPr>
        <w:numPr>
          <w:ilvl w:val="0"/>
          <w:numId w:val="14"/>
        </w:numPr>
        <w:tabs>
          <w:tab w:val="num" w:pos="540"/>
          <w:tab w:val="left" w:pos="567"/>
          <w:tab w:val="left" w:pos="993"/>
        </w:tabs>
        <w:ind w:left="567" w:hanging="567"/>
        <w:jc w:val="both"/>
        <w:rPr>
          <w:del w:id="15860" w:author="AbbVie14" w:date="2025-05-09T10:59:00Z"/>
          <w:sz w:val="22"/>
          <w:szCs w:val="22"/>
        </w:rPr>
      </w:pPr>
      <w:del w:id="15861" w:author="AbbVie14" w:date="2025-05-09T10:59:00Z">
        <w:r w:rsidRPr="00295E71">
          <w:rPr>
            <w:sz w:val="22"/>
            <w:szCs w:val="22"/>
          </w:rPr>
          <w:delText>riduzione delle piastrine nel sangue che aumenta il rischio di emorragia o di contusioni;</w:delText>
        </w:r>
      </w:del>
    </w:p>
    <w:p w:rsidR="006224C2" w:rsidRPr="00295E71" w14:paraId="7E379BB5" w14:textId="77777777">
      <w:pPr>
        <w:numPr>
          <w:ilvl w:val="0"/>
          <w:numId w:val="14"/>
        </w:numPr>
        <w:tabs>
          <w:tab w:val="num" w:pos="540"/>
          <w:tab w:val="left" w:pos="567"/>
          <w:tab w:val="left" w:pos="993"/>
        </w:tabs>
        <w:ind w:left="567" w:hanging="567"/>
        <w:jc w:val="both"/>
        <w:rPr>
          <w:del w:id="15862" w:author="AbbVie14" w:date="2025-05-09T10:59:00Z"/>
          <w:sz w:val="22"/>
          <w:szCs w:val="22"/>
        </w:rPr>
      </w:pPr>
      <w:del w:id="15863" w:author="AbbVie14" w:date="2025-05-09T10:59:00Z">
        <w:r w:rsidRPr="00295E71">
          <w:rPr>
            <w:sz w:val="22"/>
            <w:szCs w:val="22"/>
          </w:rPr>
          <w:delText>difficoltà di cicatrizzazione.</w:delText>
        </w:r>
      </w:del>
    </w:p>
    <w:p w:rsidR="006224C2" w:rsidRPr="00295E71" w14:paraId="365D59E7" w14:textId="77777777">
      <w:pPr>
        <w:rPr>
          <w:del w:id="15864" w:author="AbbVie14" w:date="2025-05-09T10:59:00Z"/>
          <w:sz w:val="22"/>
          <w:szCs w:val="22"/>
        </w:rPr>
      </w:pPr>
    </w:p>
    <w:p w:rsidR="006224C2" w:rsidRPr="00295E71" w:rsidP="001A1724" w14:paraId="364EC32B" w14:textId="77777777">
      <w:pPr>
        <w:keepNext/>
        <w:keepLines/>
        <w:rPr>
          <w:del w:id="15865" w:author="AbbVie14" w:date="2025-05-09T10:59:00Z"/>
          <w:sz w:val="22"/>
          <w:szCs w:val="22"/>
        </w:rPr>
      </w:pPr>
      <w:del w:id="15866" w:author="AbbVie14" w:date="2025-05-09T10:59:00Z">
        <w:r w:rsidRPr="00295E71">
          <w:rPr>
            <w:sz w:val="22"/>
            <w:szCs w:val="22"/>
          </w:rPr>
          <w:delText xml:space="preserve">Non comuni (possono manifestarsi fino a 1 persona su 100) </w:delText>
        </w:r>
      </w:del>
    </w:p>
    <w:p w:rsidR="006224C2" w:rsidRPr="00295E71" w:rsidP="001A1724" w14:paraId="06A210B5" w14:textId="77777777">
      <w:pPr>
        <w:keepNext/>
        <w:keepLines/>
        <w:tabs>
          <w:tab w:val="left" w:pos="567"/>
        </w:tabs>
        <w:jc w:val="both"/>
        <w:rPr>
          <w:del w:id="15867" w:author="AbbVie14" w:date="2025-05-09T10:59:00Z"/>
          <w:sz w:val="22"/>
          <w:szCs w:val="22"/>
        </w:rPr>
      </w:pPr>
    </w:p>
    <w:p w:rsidR="006224C2" w:rsidRPr="00295E71" w:rsidP="001A1724" w14:paraId="12679931" w14:textId="77777777">
      <w:pPr>
        <w:keepNext/>
        <w:keepLines/>
        <w:numPr>
          <w:ilvl w:val="0"/>
          <w:numId w:val="14"/>
        </w:numPr>
        <w:tabs>
          <w:tab w:val="num" w:pos="540"/>
          <w:tab w:val="left" w:pos="567"/>
          <w:tab w:val="left" w:pos="993"/>
        </w:tabs>
        <w:ind w:left="567" w:hanging="567"/>
        <w:jc w:val="both"/>
        <w:rPr>
          <w:del w:id="15868" w:author="AbbVie14" w:date="2025-05-09T10:59:00Z"/>
          <w:sz w:val="22"/>
          <w:szCs w:val="22"/>
        </w:rPr>
      </w:pPr>
      <w:del w:id="15869" w:author="AbbVie14" w:date="2025-05-09T10:59:00Z">
        <w:r w:rsidRPr="00295E71">
          <w:rPr>
            <w:sz w:val="22"/>
            <w:szCs w:val="22"/>
          </w:rPr>
          <w:delText>infezioni opportunistiche (che includono la tubercolosi ed altre infezioni che si verificano quando si riducono le difese immunitarie);</w:delText>
        </w:r>
      </w:del>
    </w:p>
    <w:p w:rsidR="006224C2" w:rsidRPr="00295E71" w14:paraId="2B6CB170" w14:textId="77777777">
      <w:pPr>
        <w:numPr>
          <w:ilvl w:val="0"/>
          <w:numId w:val="14"/>
        </w:numPr>
        <w:tabs>
          <w:tab w:val="num" w:pos="540"/>
          <w:tab w:val="left" w:pos="567"/>
          <w:tab w:val="left" w:pos="993"/>
        </w:tabs>
        <w:ind w:left="567" w:hanging="567"/>
        <w:jc w:val="both"/>
        <w:rPr>
          <w:del w:id="15870" w:author="AbbVie14" w:date="2025-05-09T10:59:00Z"/>
          <w:sz w:val="22"/>
          <w:szCs w:val="22"/>
        </w:rPr>
      </w:pPr>
      <w:del w:id="15871" w:author="AbbVie14" w:date="2025-05-09T10:59:00Z">
        <w:r w:rsidRPr="00295E71">
          <w:rPr>
            <w:sz w:val="22"/>
            <w:szCs w:val="22"/>
          </w:rPr>
          <w:delText>infezioni neurologiche (tra cui la meningite virale);</w:delText>
        </w:r>
      </w:del>
    </w:p>
    <w:p w:rsidR="006224C2" w:rsidRPr="00295E71" w14:paraId="03DFD7DA" w14:textId="77777777">
      <w:pPr>
        <w:numPr>
          <w:ilvl w:val="0"/>
          <w:numId w:val="14"/>
        </w:numPr>
        <w:tabs>
          <w:tab w:val="num" w:pos="540"/>
          <w:tab w:val="left" w:pos="567"/>
          <w:tab w:val="left" w:pos="993"/>
        </w:tabs>
        <w:ind w:left="567" w:hanging="567"/>
        <w:jc w:val="both"/>
        <w:rPr>
          <w:del w:id="15872" w:author="AbbVie14" w:date="2025-05-09T10:59:00Z"/>
          <w:sz w:val="22"/>
          <w:szCs w:val="22"/>
        </w:rPr>
      </w:pPr>
      <w:del w:id="15873" w:author="AbbVie14" w:date="2025-05-09T10:59:00Z">
        <w:r w:rsidRPr="00295E71">
          <w:rPr>
            <w:sz w:val="22"/>
            <w:szCs w:val="22"/>
          </w:rPr>
          <w:delText>infezioni degli occhi;</w:delText>
        </w:r>
      </w:del>
    </w:p>
    <w:p w:rsidR="006224C2" w:rsidRPr="00295E71" w14:paraId="3D688895" w14:textId="77777777">
      <w:pPr>
        <w:numPr>
          <w:ilvl w:val="0"/>
          <w:numId w:val="14"/>
        </w:numPr>
        <w:tabs>
          <w:tab w:val="num" w:pos="540"/>
          <w:tab w:val="left" w:pos="567"/>
          <w:tab w:val="left" w:pos="993"/>
        </w:tabs>
        <w:ind w:left="567" w:hanging="567"/>
        <w:jc w:val="both"/>
        <w:rPr>
          <w:del w:id="15874" w:author="AbbVie14" w:date="2025-05-09T10:59:00Z"/>
          <w:sz w:val="22"/>
          <w:szCs w:val="22"/>
        </w:rPr>
      </w:pPr>
      <w:del w:id="15875" w:author="AbbVie14" w:date="2025-05-09T10:59:00Z">
        <w:r w:rsidRPr="00295E71">
          <w:rPr>
            <w:sz w:val="22"/>
            <w:szCs w:val="22"/>
          </w:rPr>
          <w:delText>infezioni batteriche;</w:delText>
        </w:r>
      </w:del>
    </w:p>
    <w:p w:rsidR="006224C2" w:rsidRPr="00295E71" w14:paraId="6E4C936B" w14:textId="77777777">
      <w:pPr>
        <w:numPr>
          <w:ilvl w:val="0"/>
          <w:numId w:val="14"/>
        </w:numPr>
        <w:tabs>
          <w:tab w:val="num" w:pos="540"/>
          <w:tab w:val="left" w:pos="567"/>
          <w:tab w:val="left" w:pos="993"/>
        </w:tabs>
        <w:ind w:left="567" w:hanging="567"/>
        <w:jc w:val="both"/>
        <w:rPr>
          <w:del w:id="15876" w:author="AbbVie14" w:date="2025-05-09T10:59:00Z"/>
          <w:sz w:val="22"/>
          <w:szCs w:val="22"/>
        </w:rPr>
      </w:pPr>
      <w:del w:id="15877" w:author="AbbVie14" w:date="2025-05-09T10:59:00Z">
        <w:r w:rsidRPr="00295E71">
          <w:rPr>
            <w:sz w:val="22"/>
            <w:szCs w:val="22"/>
          </w:rPr>
          <w:delText>diverticolite (infiammazione e infezione dell’intestino crasso);</w:delText>
        </w:r>
      </w:del>
    </w:p>
    <w:p w:rsidR="006224C2" w:rsidRPr="00295E71" w14:paraId="0AC0612B" w14:textId="77777777">
      <w:pPr>
        <w:numPr>
          <w:ilvl w:val="0"/>
          <w:numId w:val="14"/>
        </w:numPr>
        <w:tabs>
          <w:tab w:val="num" w:pos="540"/>
          <w:tab w:val="left" w:pos="567"/>
          <w:tab w:val="left" w:pos="993"/>
        </w:tabs>
        <w:ind w:left="567" w:hanging="567"/>
        <w:jc w:val="both"/>
        <w:rPr>
          <w:del w:id="15878" w:author="AbbVie14" w:date="2025-05-09T10:59:00Z"/>
          <w:sz w:val="22"/>
          <w:szCs w:val="22"/>
        </w:rPr>
      </w:pPr>
      <w:del w:id="15879" w:author="AbbVie14" w:date="2025-05-09T10:59:00Z">
        <w:r w:rsidRPr="00295E71">
          <w:rPr>
            <w:sz w:val="22"/>
            <w:szCs w:val="22"/>
          </w:rPr>
          <w:delText>tumori;</w:delText>
        </w:r>
      </w:del>
    </w:p>
    <w:p w:rsidR="006224C2" w:rsidRPr="00295E71" w14:paraId="115C5450" w14:textId="77777777">
      <w:pPr>
        <w:numPr>
          <w:ilvl w:val="0"/>
          <w:numId w:val="14"/>
        </w:numPr>
        <w:tabs>
          <w:tab w:val="num" w:pos="540"/>
          <w:tab w:val="left" w:pos="567"/>
          <w:tab w:val="left" w:pos="993"/>
        </w:tabs>
        <w:ind w:left="567" w:hanging="567"/>
        <w:jc w:val="both"/>
        <w:rPr>
          <w:del w:id="15880" w:author="AbbVie14" w:date="2025-05-09T10:59:00Z"/>
          <w:sz w:val="22"/>
          <w:szCs w:val="22"/>
        </w:rPr>
      </w:pPr>
      <w:del w:id="15881" w:author="AbbVie14" w:date="2025-05-09T10:59:00Z">
        <w:r w:rsidRPr="00295E71">
          <w:rPr>
            <w:sz w:val="22"/>
            <w:szCs w:val="22"/>
          </w:rPr>
          <w:delText>tumori del sistema linfatico;</w:delText>
        </w:r>
      </w:del>
    </w:p>
    <w:p w:rsidR="006224C2" w:rsidRPr="00295E71" w14:paraId="1E1B428D" w14:textId="77777777">
      <w:pPr>
        <w:numPr>
          <w:ilvl w:val="0"/>
          <w:numId w:val="14"/>
        </w:numPr>
        <w:tabs>
          <w:tab w:val="num" w:pos="540"/>
          <w:tab w:val="left" w:pos="567"/>
          <w:tab w:val="left" w:pos="993"/>
        </w:tabs>
        <w:ind w:left="567" w:hanging="567"/>
        <w:jc w:val="both"/>
        <w:rPr>
          <w:del w:id="15882" w:author="AbbVie14" w:date="2025-05-09T10:59:00Z"/>
          <w:sz w:val="22"/>
          <w:szCs w:val="22"/>
        </w:rPr>
      </w:pPr>
      <w:del w:id="15883" w:author="AbbVie14" w:date="2025-05-09T10:59:00Z">
        <w:r w:rsidRPr="00295E71">
          <w:rPr>
            <w:sz w:val="22"/>
            <w:szCs w:val="22"/>
          </w:rPr>
          <w:delText>melanoma;</w:delText>
        </w:r>
      </w:del>
    </w:p>
    <w:p w:rsidR="006224C2" w:rsidRPr="00295E71" w14:paraId="16D4EBA0" w14:textId="77777777">
      <w:pPr>
        <w:numPr>
          <w:ilvl w:val="0"/>
          <w:numId w:val="14"/>
        </w:numPr>
        <w:tabs>
          <w:tab w:val="num" w:pos="540"/>
          <w:tab w:val="left" w:pos="567"/>
          <w:tab w:val="left" w:pos="993"/>
        </w:tabs>
        <w:ind w:left="567" w:hanging="567"/>
        <w:jc w:val="both"/>
        <w:rPr>
          <w:del w:id="15884" w:author="AbbVie14" w:date="2025-05-09T10:59:00Z"/>
          <w:sz w:val="22"/>
          <w:szCs w:val="22"/>
        </w:rPr>
      </w:pPr>
      <w:del w:id="15885" w:author="AbbVie14" w:date="2025-05-09T10:59:00Z">
        <w:r w:rsidRPr="00295E71">
          <w:rPr>
            <w:sz w:val="22"/>
            <w:szCs w:val="22"/>
          </w:rPr>
          <w:delText>disordini del sistema immunitario che possono colpire polmoni,cute e linfonodi (che si presentano più comunemente come sarcoidosi);</w:delText>
        </w:r>
      </w:del>
    </w:p>
    <w:p w:rsidR="006224C2" w:rsidRPr="00295E71" w14:paraId="016008C9" w14:textId="77777777">
      <w:pPr>
        <w:numPr>
          <w:ilvl w:val="0"/>
          <w:numId w:val="14"/>
        </w:numPr>
        <w:tabs>
          <w:tab w:val="num" w:pos="540"/>
          <w:tab w:val="left" w:pos="567"/>
          <w:tab w:val="left" w:pos="993"/>
        </w:tabs>
        <w:ind w:left="567" w:hanging="567"/>
        <w:jc w:val="both"/>
        <w:rPr>
          <w:del w:id="15886" w:author="AbbVie14" w:date="2025-05-09T10:59:00Z"/>
          <w:sz w:val="22"/>
          <w:szCs w:val="22"/>
        </w:rPr>
      </w:pPr>
      <w:del w:id="15887" w:author="AbbVie14" w:date="2025-05-09T10:59:00Z">
        <w:r w:rsidRPr="00295E71">
          <w:rPr>
            <w:sz w:val="22"/>
            <w:szCs w:val="22"/>
          </w:rPr>
          <w:delText>vasculite (infiammazione dei vasi sanguigni);</w:delText>
        </w:r>
      </w:del>
    </w:p>
    <w:p w:rsidR="006224C2" w:rsidRPr="00295E71" w14:paraId="5C3DA836" w14:textId="77777777">
      <w:pPr>
        <w:numPr>
          <w:ilvl w:val="0"/>
          <w:numId w:val="14"/>
        </w:numPr>
        <w:tabs>
          <w:tab w:val="num" w:pos="540"/>
          <w:tab w:val="left" w:pos="567"/>
          <w:tab w:val="left" w:pos="993"/>
        </w:tabs>
        <w:ind w:left="567" w:hanging="567"/>
        <w:jc w:val="both"/>
        <w:rPr>
          <w:del w:id="15888" w:author="AbbVie14" w:date="2025-05-09T10:59:00Z"/>
          <w:sz w:val="22"/>
          <w:szCs w:val="22"/>
        </w:rPr>
      </w:pPr>
      <w:del w:id="15889" w:author="AbbVie14" w:date="2025-05-09T10:59:00Z">
        <w:r w:rsidRPr="00295E71">
          <w:rPr>
            <w:sz w:val="22"/>
            <w:szCs w:val="22"/>
          </w:rPr>
          <w:delText>tremore;</w:delText>
        </w:r>
      </w:del>
    </w:p>
    <w:p w:rsidR="006224C2" w:rsidRPr="00295E71" w14:paraId="446B0B5E" w14:textId="77777777">
      <w:pPr>
        <w:numPr>
          <w:ilvl w:val="0"/>
          <w:numId w:val="14"/>
        </w:numPr>
        <w:tabs>
          <w:tab w:val="num" w:pos="540"/>
          <w:tab w:val="left" w:pos="567"/>
          <w:tab w:val="left" w:pos="993"/>
        </w:tabs>
        <w:ind w:left="567" w:hanging="567"/>
        <w:jc w:val="both"/>
        <w:rPr>
          <w:del w:id="15890" w:author="AbbVie14" w:date="2025-05-09T10:59:00Z"/>
          <w:sz w:val="22"/>
          <w:szCs w:val="22"/>
        </w:rPr>
      </w:pPr>
      <w:del w:id="15891" w:author="AbbVie14" w:date="2025-05-09T10:59:00Z">
        <w:r w:rsidRPr="00295E71">
          <w:rPr>
            <w:sz w:val="22"/>
            <w:szCs w:val="22"/>
          </w:rPr>
          <w:delText>ictus;</w:delText>
        </w:r>
      </w:del>
    </w:p>
    <w:p w:rsidR="006224C2" w:rsidRPr="00295E71" w14:paraId="599FDBBB" w14:textId="77777777">
      <w:pPr>
        <w:numPr>
          <w:ilvl w:val="0"/>
          <w:numId w:val="14"/>
        </w:numPr>
        <w:tabs>
          <w:tab w:val="num" w:pos="540"/>
          <w:tab w:val="left" w:pos="567"/>
          <w:tab w:val="left" w:pos="993"/>
        </w:tabs>
        <w:ind w:left="567" w:hanging="567"/>
        <w:jc w:val="both"/>
        <w:rPr>
          <w:del w:id="15892" w:author="AbbVie14" w:date="2025-05-09T10:59:00Z"/>
          <w:sz w:val="22"/>
          <w:szCs w:val="22"/>
        </w:rPr>
      </w:pPr>
      <w:del w:id="15893" w:author="AbbVie14" w:date="2025-05-09T10:59:00Z">
        <w:r w:rsidRPr="00295E71">
          <w:rPr>
            <w:sz w:val="22"/>
            <w:szCs w:val="22"/>
          </w:rPr>
          <w:delText>neuropatia;</w:delText>
        </w:r>
      </w:del>
    </w:p>
    <w:p w:rsidR="006224C2" w:rsidRPr="00295E71" w14:paraId="64BD72D1" w14:textId="77777777">
      <w:pPr>
        <w:numPr>
          <w:ilvl w:val="0"/>
          <w:numId w:val="14"/>
        </w:numPr>
        <w:tabs>
          <w:tab w:val="num" w:pos="540"/>
          <w:tab w:val="left" w:pos="567"/>
          <w:tab w:val="left" w:pos="993"/>
        </w:tabs>
        <w:ind w:left="567" w:hanging="567"/>
        <w:jc w:val="both"/>
        <w:rPr>
          <w:del w:id="15894" w:author="AbbVie14" w:date="2025-05-09T10:59:00Z"/>
          <w:sz w:val="22"/>
          <w:szCs w:val="22"/>
        </w:rPr>
      </w:pPr>
      <w:del w:id="15895" w:author="AbbVie14" w:date="2025-05-09T10:59:00Z">
        <w:r w:rsidRPr="00295E71">
          <w:rPr>
            <w:sz w:val="22"/>
            <w:szCs w:val="22"/>
          </w:rPr>
          <w:delText>perdita dell’udito, ronzio;</w:delText>
        </w:r>
      </w:del>
    </w:p>
    <w:p w:rsidR="006224C2" w:rsidRPr="00295E71" w14:paraId="52EAAC9E" w14:textId="77777777">
      <w:pPr>
        <w:numPr>
          <w:ilvl w:val="0"/>
          <w:numId w:val="14"/>
        </w:numPr>
        <w:tabs>
          <w:tab w:val="num" w:pos="540"/>
          <w:tab w:val="left" w:pos="567"/>
          <w:tab w:val="left" w:pos="993"/>
        </w:tabs>
        <w:ind w:left="567" w:hanging="567"/>
        <w:jc w:val="both"/>
        <w:rPr>
          <w:del w:id="15896" w:author="AbbVie14" w:date="2025-05-09T10:59:00Z"/>
          <w:sz w:val="22"/>
          <w:szCs w:val="22"/>
        </w:rPr>
      </w:pPr>
      <w:del w:id="15897" w:author="AbbVie14" w:date="2025-05-09T10:59:00Z">
        <w:r w:rsidRPr="00295E71">
          <w:rPr>
            <w:sz w:val="22"/>
            <w:szCs w:val="22"/>
          </w:rPr>
          <w:delText>sensazione di battito cardiaco irregolare come palpitazioni;</w:delText>
        </w:r>
      </w:del>
    </w:p>
    <w:p w:rsidR="006224C2" w:rsidRPr="00295E71" w14:paraId="0FED0A6F" w14:textId="77777777">
      <w:pPr>
        <w:numPr>
          <w:ilvl w:val="0"/>
          <w:numId w:val="14"/>
        </w:numPr>
        <w:tabs>
          <w:tab w:val="num" w:pos="540"/>
          <w:tab w:val="left" w:pos="567"/>
          <w:tab w:val="left" w:pos="993"/>
        </w:tabs>
        <w:ind w:left="567" w:hanging="567"/>
        <w:jc w:val="both"/>
        <w:rPr>
          <w:del w:id="15898" w:author="AbbVie14" w:date="2025-05-09T10:59:00Z"/>
          <w:sz w:val="22"/>
          <w:szCs w:val="22"/>
        </w:rPr>
      </w:pPr>
      <w:del w:id="15899" w:author="AbbVie14" w:date="2025-05-09T10:59:00Z">
        <w:r w:rsidRPr="00295E71">
          <w:rPr>
            <w:sz w:val="22"/>
            <w:szCs w:val="22"/>
          </w:rPr>
          <w:delText>problemi al cuore che possono causare fiato corto o gonfiore a livello delle caviglie;</w:delText>
        </w:r>
      </w:del>
    </w:p>
    <w:p w:rsidR="006224C2" w:rsidRPr="00295E71" w14:paraId="13B6006B" w14:textId="77777777">
      <w:pPr>
        <w:numPr>
          <w:ilvl w:val="0"/>
          <w:numId w:val="14"/>
        </w:numPr>
        <w:tabs>
          <w:tab w:val="num" w:pos="540"/>
          <w:tab w:val="left" w:pos="567"/>
          <w:tab w:val="left" w:pos="993"/>
        </w:tabs>
        <w:ind w:left="567" w:hanging="567"/>
        <w:jc w:val="both"/>
        <w:rPr>
          <w:del w:id="15900" w:author="AbbVie14" w:date="2025-05-09T10:59:00Z"/>
          <w:sz w:val="22"/>
          <w:szCs w:val="22"/>
        </w:rPr>
      </w:pPr>
      <w:del w:id="15901" w:author="AbbVie14" w:date="2025-05-09T10:59:00Z">
        <w:r w:rsidRPr="00295E71">
          <w:rPr>
            <w:sz w:val="22"/>
            <w:szCs w:val="22"/>
          </w:rPr>
          <w:delText>infarto acuto del miocardio;</w:delText>
        </w:r>
      </w:del>
    </w:p>
    <w:p w:rsidR="006224C2" w:rsidRPr="00295E71" w14:paraId="483AD646" w14:textId="77777777">
      <w:pPr>
        <w:numPr>
          <w:ilvl w:val="0"/>
          <w:numId w:val="14"/>
        </w:numPr>
        <w:tabs>
          <w:tab w:val="num" w:pos="540"/>
          <w:tab w:val="left" w:pos="567"/>
          <w:tab w:val="left" w:pos="993"/>
        </w:tabs>
        <w:ind w:left="567" w:hanging="567"/>
        <w:jc w:val="both"/>
        <w:rPr>
          <w:del w:id="15902" w:author="AbbVie14" w:date="2025-05-09T10:59:00Z"/>
          <w:sz w:val="22"/>
          <w:szCs w:val="22"/>
        </w:rPr>
      </w:pPr>
      <w:del w:id="15903" w:author="AbbVie14" w:date="2025-05-09T10:59:00Z">
        <w:r w:rsidRPr="00295E71">
          <w:rPr>
            <w:sz w:val="22"/>
            <w:szCs w:val="22"/>
          </w:rPr>
          <w:delText>formazione di una sacca nella parete di un’arteria principale, infiammazione e coagulo in una vena, ostruzione di un vaso sanguigno;</w:delText>
        </w:r>
      </w:del>
    </w:p>
    <w:p w:rsidR="006224C2" w:rsidRPr="00295E71" w14:paraId="143B0743" w14:textId="77777777">
      <w:pPr>
        <w:numPr>
          <w:ilvl w:val="0"/>
          <w:numId w:val="14"/>
        </w:numPr>
        <w:tabs>
          <w:tab w:val="num" w:pos="540"/>
          <w:tab w:val="left" w:pos="567"/>
          <w:tab w:val="left" w:pos="993"/>
        </w:tabs>
        <w:ind w:left="567" w:hanging="567"/>
        <w:jc w:val="both"/>
        <w:rPr>
          <w:del w:id="15904" w:author="AbbVie14" w:date="2025-05-09T10:59:00Z"/>
          <w:sz w:val="22"/>
          <w:szCs w:val="22"/>
        </w:rPr>
      </w:pPr>
      <w:del w:id="15905" w:author="AbbVie14" w:date="2025-05-09T10:59:00Z">
        <w:r w:rsidRPr="00295E71">
          <w:rPr>
            <w:sz w:val="22"/>
            <w:szCs w:val="22"/>
          </w:rPr>
          <w:delText>malattia polmonare che provoca fiato corto (inclusa infiammazione);</w:delText>
        </w:r>
      </w:del>
    </w:p>
    <w:p w:rsidR="006224C2" w:rsidRPr="00295E71" w14:paraId="379241EC" w14:textId="77777777">
      <w:pPr>
        <w:numPr>
          <w:ilvl w:val="0"/>
          <w:numId w:val="14"/>
        </w:numPr>
        <w:tabs>
          <w:tab w:val="num" w:pos="540"/>
          <w:tab w:val="left" w:pos="567"/>
          <w:tab w:val="left" w:pos="993"/>
        </w:tabs>
        <w:ind w:left="567" w:hanging="567"/>
        <w:jc w:val="both"/>
        <w:rPr>
          <w:del w:id="15906" w:author="AbbVie14" w:date="2025-05-09T10:59:00Z"/>
          <w:sz w:val="22"/>
          <w:szCs w:val="22"/>
        </w:rPr>
      </w:pPr>
      <w:del w:id="15907" w:author="AbbVie14" w:date="2025-05-09T10:59:00Z">
        <w:r w:rsidRPr="00295E71">
          <w:rPr>
            <w:sz w:val="22"/>
            <w:szCs w:val="22"/>
          </w:rPr>
          <w:delText>embolia polmonare (occlusione di una arteria polmonare);</w:delText>
        </w:r>
      </w:del>
    </w:p>
    <w:p w:rsidR="006224C2" w:rsidRPr="00295E71" w14:paraId="00F7D780" w14:textId="77777777">
      <w:pPr>
        <w:numPr>
          <w:ilvl w:val="0"/>
          <w:numId w:val="14"/>
        </w:numPr>
        <w:tabs>
          <w:tab w:val="num" w:pos="540"/>
          <w:tab w:val="left" w:pos="567"/>
          <w:tab w:val="left" w:pos="993"/>
        </w:tabs>
        <w:ind w:left="567" w:hanging="567"/>
        <w:jc w:val="both"/>
        <w:rPr>
          <w:del w:id="15908" w:author="AbbVie14" w:date="2025-05-09T10:59:00Z"/>
          <w:sz w:val="22"/>
          <w:szCs w:val="22"/>
        </w:rPr>
      </w:pPr>
      <w:del w:id="15909" w:author="AbbVie14" w:date="2025-05-09T10:59:00Z">
        <w:r w:rsidRPr="00295E71">
          <w:rPr>
            <w:sz w:val="22"/>
            <w:szCs w:val="22"/>
          </w:rPr>
          <w:delText>versamento pleurico (anomala raccolta di liquido nello spazio pleurico);</w:delText>
        </w:r>
      </w:del>
    </w:p>
    <w:p w:rsidR="006224C2" w:rsidRPr="00295E71" w14:paraId="3F12F808" w14:textId="77777777">
      <w:pPr>
        <w:numPr>
          <w:ilvl w:val="0"/>
          <w:numId w:val="14"/>
        </w:numPr>
        <w:tabs>
          <w:tab w:val="num" w:pos="540"/>
          <w:tab w:val="left" w:pos="567"/>
          <w:tab w:val="left" w:pos="993"/>
        </w:tabs>
        <w:ind w:left="567" w:hanging="567"/>
        <w:jc w:val="both"/>
        <w:rPr>
          <w:del w:id="15910" w:author="AbbVie14" w:date="2025-05-09T10:59:00Z"/>
          <w:sz w:val="22"/>
          <w:szCs w:val="22"/>
        </w:rPr>
      </w:pPr>
      <w:del w:id="15911" w:author="AbbVie14" w:date="2025-05-09T10:59:00Z">
        <w:r w:rsidRPr="00295E71">
          <w:rPr>
            <w:sz w:val="22"/>
            <w:szCs w:val="22"/>
          </w:rPr>
          <w:delText>infiammazione del pancreas che causa forti dolori all’addome ed alla schiena;</w:delText>
        </w:r>
      </w:del>
    </w:p>
    <w:p w:rsidR="006224C2" w:rsidRPr="00295E71" w14:paraId="55C21D07" w14:textId="77777777">
      <w:pPr>
        <w:numPr>
          <w:ilvl w:val="0"/>
          <w:numId w:val="14"/>
        </w:numPr>
        <w:tabs>
          <w:tab w:val="num" w:pos="540"/>
          <w:tab w:val="left" w:pos="567"/>
          <w:tab w:val="left" w:pos="993"/>
        </w:tabs>
        <w:ind w:left="567" w:hanging="567"/>
        <w:jc w:val="both"/>
        <w:rPr>
          <w:del w:id="15912" w:author="AbbVie14" w:date="2025-05-09T10:59:00Z"/>
          <w:sz w:val="22"/>
          <w:szCs w:val="22"/>
        </w:rPr>
      </w:pPr>
      <w:del w:id="15913" w:author="AbbVie14" w:date="2025-05-09T10:59:00Z">
        <w:r w:rsidRPr="00295E71">
          <w:rPr>
            <w:sz w:val="22"/>
            <w:szCs w:val="22"/>
          </w:rPr>
          <w:delText>difficoltà nella deglutizione;</w:delText>
        </w:r>
      </w:del>
    </w:p>
    <w:p w:rsidR="006224C2" w:rsidRPr="00295E71" w14:paraId="12E07DD9" w14:textId="77777777">
      <w:pPr>
        <w:numPr>
          <w:ilvl w:val="0"/>
          <w:numId w:val="14"/>
        </w:numPr>
        <w:tabs>
          <w:tab w:val="num" w:pos="540"/>
          <w:tab w:val="left" w:pos="567"/>
          <w:tab w:val="left" w:pos="993"/>
        </w:tabs>
        <w:ind w:left="567" w:hanging="567"/>
        <w:jc w:val="both"/>
        <w:rPr>
          <w:del w:id="15914" w:author="AbbVie14" w:date="2025-05-09T10:59:00Z"/>
          <w:sz w:val="22"/>
          <w:szCs w:val="22"/>
        </w:rPr>
      </w:pPr>
      <w:del w:id="15915" w:author="AbbVie14" w:date="2025-05-09T10:59:00Z">
        <w:r w:rsidRPr="00295E71">
          <w:rPr>
            <w:sz w:val="22"/>
            <w:szCs w:val="22"/>
          </w:rPr>
          <w:delText>edema facciale;</w:delText>
        </w:r>
      </w:del>
    </w:p>
    <w:p w:rsidR="006224C2" w:rsidRPr="00295E71" w14:paraId="49489B50" w14:textId="77777777">
      <w:pPr>
        <w:numPr>
          <w:ilvl w:val="0"/>
          <w:numId w:val="14"/>
        </w:numPr>
        <w:tabs>
          <w:tab w:val="num" w:pos="540"/>
          <w:tab w:val="left" w:pos="567"/>
          <w:tab w:val="left" w:pos="993"/>
        </w:tabs>
        <w:ind w:left="567" w:hanging="567"/>
        <w:jc w:val="both"/>
        <w:rPr>
          <w:del w:id="15916" w:author="AbbVie14" w:date="2025-05-09T10:59:00Z"/>
          <w:sz w:val="22"/>
          <w:szCs w:val="22"/>
        </w:rPr>
      </w:pPr>
      <w:del w:id="15917" w:author="AbbVie14" w:date="2025-05-09T10:59:00Z">
        <w:r w:rsidRPr="00295E71">
          <w:rPr>
            <w:sz w:val="22"/>
            <w:szCs w:val="22"/>
          </w:rPr>
          <w:delText>infiammazione della cistifellea, calcoli alla cistifellea;</w:delText>
        </w:r>
      </w:del>
    </w:p>
    <w:p w:rsidR="006224C2" w:rsidRPr="00295E71" w14:paraId="017B2FB9" w14:textId="77777777">
      <w:pPr>
        <w:numPr>
          <w:ilvl w:val="0"/>
          <w:numId w:val="14"/>
        </w:numPr>
        <w:tabs>
          <w:tab w:val="num" w:pos="540"/>
          <w:tab w:val="left" w:pos="567"/>
          <w:tab w:val="left" w:pos="993"/>
        </w:tabs>
        <w:ind w:left="567" w:hanging="567"/>
        <w:jc w:val="both"/>
        <w:rPr>
          <w:del w:id="15918" w:author="AbbVie14" w:date="2025-05-09T10:59:00Z"/>
          <w:sz w:val="22"/>
          <w:szCs w:val="22"/>
        </w:rPr>
      </w:pPr>
      <w:del w:id="15919" w:author="AbbVie14" w:date="2025-05-09T10:59:00Z">
        <w:r w:rsidRPr="00295E71">
          <w:rPr>
            <w:sz w:val="22"/>
            <w:szCs w:val="22"/>
          </w:rPr>
          <w:delText>fegato grasso;</w:delText>
        </w:r>
      </w:del>
    </w:p>
    <w:p w:rsidR="006224C2" w:rsidRPr="00295E71" w14:paraId="6DE26FA5" w14:textId="77777777">
      <w:pPr>
        <w:numPr>
          <w:ilvl w:val="0"/>
          <w:numId w:val="14"/>
        </w:numPr>
        <w:tabs>
          <w:tab w:val="num" w:pos="540"/>
          <w:tab w:val="left" w:pos="567"/>
          <w:tab w:val="left" w:pos="993"/>
        </w:tabs>
        <w:ind w:left="567" w:hanging="567"/>
        <w:jc w:val="both"/>
        <w:rPr>
          <w:del w:id="15920" w:author="AbbVie14" w:date="2025-05-09T10:59:00Z"/>
          <w:sz w:val="22"/>
          <w:szCs w:val="22"/>
        </w:rPr>
      </w:pPr>
      <w:del w:id="15921" w:author="AbbVie14" w:date="2025-05-09T10:59:00Z">
        <w:r w:rsidRPr="00295E71">
          <w:rPr>
            <w:sz w:val="22"/>
            <w:szCs w:val="22"/>
          </w:rPr>
          <w:delText>sudorazione notturna;</w:delText>
        </w:r>
      </w:del>
    </w:p>
    <w:p w:rsidR="006224C2" w:rsidRPr="00295E71" w14:paraId="22E209ED" w14:textId="77777777">
      <w:pPr>
        <w:numPr>
          <w:ilvl w:val="0"/>
          <w:numId w:val="14"/>
        </w:numPr>
        <w:tabs>
          <w:tab w:val="num" w:pos="540"/>
          <w:tab w:val="left" w:pos="567"/>
          <w:tab w:val="left" w:pos="993"/>
        </w:tabs>
        <w:ind w:left="567" w:hanging="567"/>
        <w:jc w:val="both"/>
        <w:rPr>
          <w:del w:id="15922" w:author="AbbVie14" w:date="2025-05-09T10:59:00Z"/>
          <w:sz w:val="22"/>
          <w:szCs w:val="22"/>
        </w:rPr>
      </w:pPr>
      <w:del w:id="15923" w:author="AbbVie14" w:date="2025-05-09T10:59:00Z">
        <w:r w:rsidRPr="00295E71">
          <w:rPr>
            <w:sz w:val="22"/>
            <w:szCs w:val="22"/>
          </w:rPr>
          <w:delText>cicatrice;</w:delText>
        </w:r>
      </w:del>
    </w:p>
    <w:p w:rsidR="006224C2" w:rsidRPr="00295E71" w14:paraId="54A38736" w14:textId="77777777">
      <w:pPr>
        <w:numPr>
          <w:ilvl w:val="0"/>
          <w:numId w:val="14"/>
        </w:numPr>
        <w:tabs>
          <w:tab w:val="num" w:pos="540"/>
          <w:tab w:val="left" w:pos="567"/>
          <w:tab w:val="left" w:pos="993"/>
        </w:tabs>
        <w:ind w:left="567" w:hanging="567"/>
        <w:jc w:val="both"/>
        <w:rPr>
          <w:del w:id="15924" w:author="AbbVie14" w:date="2025-05-09T10:59:00Z"/>
          <w:sz w:val="22"/>
          <w:szCs w:val="22"/>
        </w:rPr>
      </w:pPr>
      <w:del w:id="15925" w:author="AbbVie14" w:date="2025-05-09T10:59:00Z">
        <w:r w:rsidRPr="00295E71">
          <w:rPr>
            <w:sz w:val="22"/>
            <w:szCs w:val="22"/>
          </w:rPr>
          <w:delText>anormale catabolismo muscolare;</w:delText>
        </w:r>
      </w:del>
    </w:p>
    <w:p w:rsidR="006224C2" w:rsidRPr="00295E71" w14:paraId="208712B6" w14:textId="77777777">
      <w:pPr>
        <w:numPr>
          <w:ilvl w:val="0"/>
          <w:numId w:val="14"/>
        </w:numPr>
        <w:tabs>
          <w:tab w:val="num" w:pos="540"/>
          <w:tab w:val="left" w:pos="567"/>
          <w:tab w:val="left" w:pos="993"/>
        </w:tabs>
        <w:ind w:left="567" w:hanging="567"/>
        <w:jc w:val="both"/>
        <w:rPr>
          <w:del w:id="15926" w:author="AbbVie14" w:date="2025-05-09T10:59:00Z"/>
          <w:sz w:val="22"/>
          <w:szCs w:val="22"/>
        </w:rPr>
      </w:pPr>
      <w:del w:id="15927" w:author="AbbVie14" w:date="2025-05-09T10:59:00Z">
        <w:r w:rsidRPr="00295E71">
          <w:rPr>
            <w:sz w:val="22"/>
            <w:szCs w:val="22"/>
          </w:rPr>
          <w:delText>lupus eritematoso sistemico (tra cui infiammazione della pelle, del cuore, del polmone, delle articolazioni e di altri organi)</w:delText>
        </w:r>
      </w:del>
    </w:p>
    <w:p w:rsidR="006224C2" w:rsidRPr="00295E71" w14:paraId="78E59FC3" w14:textId="77777777">
      <w:pPr>
        <w:numPr>
          <w:ilvl w:val="0"/>
          <w:numId w:val="14"/>
        </w:numPr>
        <w:tabs>
          <w:tab w:val="num" w:pos="540"/>
          <w:tab w:val="left" w:pos="567"/>
          <w:tab w:val="left" w:pos="993"/>
        </w:tabs>
        <w:ind w:left="567" w:hanging="567"/>
        <w:jc w:val="both"/>
        <w:rPr>
          <w:del w:id="15928" w:author="AbbVie14" w:date="2025-05-09T10:59:00Z"/>
          <w:sz w:val="22"/>
          <w:szCs w:val="22"/>
        </w:rPr>
      </w:pPr>
      <w:del w:id="15929" w:author="AbbVie14" w:date="2025-05-09T10:59:00Z">
        <w:r w:rsidRPr="00295E71">
          <w:rPr>
            <w:sz w:val="22"/>
            <w:szCs w:val="22"/>
          </w:rPr>
          <w:delText>sonno interrotto;</w:delText>
        </w:r>
      </w:del>
    </w:p>
    <w:p w:rsidR="006224C2" w:rsidRPr="00295E71" w14:paraId="1C2EFF44" w14:textId="77777777">
      <w:pPr>
        <w:numPr>
          <w:ilvl w:val="0"/>
          <w:numId w:val="14"/>
        </w:numPr>
        <w:tabs>
          <w:tab w:val="num" w:pos="540"/>
          <w:tab w:val="left" w:pos="567"/>
          <w:tab w:val="left" w:pos="993"/>
        </w:tabs>
        <w:ind w:left="567" w:hanging="567"/>
        <w:jc w:val="both"/>
        <w:rPr>
          <w:del w:id="15930" w:author="AbbVie14" w:date="2025-05-09T10:59:00Z"/>
          <w:sz w:val="22"/>
          <w:szCs w:val="22"/>
        </w:rPr>
      </w:pPr>
      <w:del w:id="15931" w:author="AbbVie14" w:date="2025-05-09T10:59:00Z">
        <w:r w:rsidRPr="00295E71">
          <w:rPr>
            <w:sz w:val="22"/>
            <w:szCs w:val="22"/>
          </w:rPr>
          <w:delText>impotenza;</w:delText>
        </w:r>
      </w:del>
    </w:p>
    <w:p w:rsidR="006224C2" w:rsidRPr="00295E71" w14:paraId="52039E42" w14:textId="77777777">
      <w:pPr>
        <w:numPr>
          <w:ilvl w:val="0"/>
          <w:numId w:val="14"/>
        </w:numPr>
        <w:tabs>
          <w:tab w:val="num" w:pos="540"/>
          <w:tab w:val="left" w:pos="567"/>
          <w:tab w:val="left" w:pos="993"/>
        </w:tabs>
        <w:ind w:left="567" w:hanging="567"/>
        <w:jc w:val="both"/>
        <w:rPr>
          <w:del w:id="15932" w:author="AbbVie14" w:date="2025-05-09T10:59:00Z"/>
          <w:sz w:val="22"/>
          <w:szCs w:val="22"/>
        </w:rPr>
      </w:pPr>
      <w:del w:id="15933" w:author="AbbVie14" w:date="2025-05-09T10:59:00Z">
        <w:r w:rsidRPr="00295E71">
          <w:rPr>
            <w:sz w:val="22"/>
            <w:szCs w:val="22"/>
          </w:rPr>
          <w:delText>infiammazioni.</w:delText>
        </w:r>
      </w:del>
    </w:p>
    <w:p w:rsidR="006224C2" w:rsidRPr="00295E71" w14:paraId="6FDB198C" w14:textId="77777777">
      <w:pPr>
        <w:tabs>
          <w:tab w:val="left" w:pos="567"/>
        </w:tabs>
        <w:jc w:val="both"/>
        <w:rPr>
          <w:del w:id="15934" w:author="AbbVie14" w:date="2025-05-09T10:59:00Z"/>
          <w:sz w:val="22"/>
          <w:szCs w:val="22"/>
        </w:rPr>
      </w:pPr>
    </w:p>
    <w:p w:rsidR="006224C2" w:rsidRPr="00295E71" w14:paraId="43700C51" w14:textId="77777777">
      <w:pPr>
        <w:tabs>
          <w:tab w:val="left" w:pos="567"/>
        </w:tabs>
        <w:jc w:val="both"/>
        <w:rPr>
          <w:del w:id="15935" w:author="AbbVie14" w:date="2025-05-09T10:59:00Z"/>
          <w:sz w:val="22"/>
          <w:szCs w:val="22"/>
        </w:rPr>
      </w:pPr>
      <w:del w:id="15936" w:author="AbbVie14" w:date="2025-05-09T10:59:00Z">
        <w:r w:rsidRPr="00295E71">
          <w:rPr>
            <w:sz w:val="22"/>
            <w:szCs w:val="22"/>
          </w:rPr>
          <w:delText>Rari (possono manifestarsi fino a 1 persona su 1.000)</w:delText>
        </w:r>
      </w:del>
    </w:p>
    <w:p w:rsidR="006224C2" w:rsidRPr="00295E71" w14:paraId="3C954E07" w14:textId="77777777">
      <w:pPr>
        <w:tabs>
          <w:tab w:val="left" w:pos="567"/>
          <w:tab w:val="left" w:pos="993"/>
        </w:tabs>
        <w:jc w:val="both"/>
        <w:rPr>
          <w:del w:id="15937" w:author="AbbVie14" w:date="2025-05-09T10:59:00Z"/>
          <w:sz w:val="22"/>
          <w:szCs w:val="22"/>
        </w:rPr>
      </w:pPr>
    </w:p>
    <w:p w:rsidR="006224C2" w:rsidRPr="00295E71" w14:paraId="46DF2AC6" w14:textId="77777777">
      <w:pPr>
        <w:numPr>
          <w:ilvl w:val="0"/>
          <w:numId w:val="14"/>
        </w:numPr>
        <w:tabs>
          <w:tab w:val="num" w:pos="540"/>
          <w:tab w:val="left" w:pos="567"/>
          <w:tab w:val="left" w:pos="993"/>
        </w:tabs>
        <w:ind w:left="567" w:hanging="567"/>
        <w:jc w:val="both"/>
        <w:rPr>
          <w:del w:id="15938" w:author="AbbVie14" w:date="2025-05-09T10:59:00Z"/>
          <w:sz w:val="22"/>
          <w:szCs w:val="22"/>
        </w:rPr>
      </w:pPr>
      <w:del w:id="15939" w:author="AbbVie14" w:date="2025-05-09T10:59:00Z">
        <w:r w:rsidRPr="00295E71">
          <w:rPr>
            <w:sz w:val="22"/>
            <w:szCs w:val="22"/>
          </w:rPr>
          <w:delText>leucemia (</w:delText>
        </w:r>
      </w:del>
      <w:del w:id="15940" w:author="AbbVie14" w:date="2025-05-09T10:59:00Z">
        <w:r w:rsidRPr="00295E71" w:rsidR="00435F3A">
          <w:rPr>
            <w:sz w:val="22"/>
            <w:szCs w:val="22"/>
          </w:rPr>
          <w:delText>un tumore che colpisce il sangue e il midollo osseo</w:delText>
        </w:r>
      </w:del>
      <w:del w:id="15941" w:author="AbbVie14" w:date="2025-05-09T10:59:00Z">
        <w:r w:rsidRPr="00295E71">
          <w:rPr>
            <w:sz w:val="22"/>
            <w:szCs w:val="22"/>
          </w:rPr>
          <w:delText>);</w:delText>
        </w:r>
      </w:del>
    </w:p>
    <w:p w:rsidR="006224C2" w:rsidRPr="00295E71" w14:paraId="7A78CBA9" w14:textId="77777777">
      <w:pPr>
        <w:numPr>
          <w:ilvl w:val="0"/>
          <w:numId w:val="14"/>
        </w:numPr>
        <w:tabs>
          <w:tab w:val="num" w:pos="540"/>
          <w:tab w:val="left" w:pos="567"/>
          <w:tab w:val="left" w:pos="993"/>
        </w:tabs>
        <w:ind w:left="567" w:hanging="567"/>
        <w:jc w:val="both"/>
        <w:rPr>
          <w:del w:id="15942" w:author="AbbVie14" w:date="2025-05-09T10:59:00Z"/>
          <w:sz w:val="22"/>
          <w:szCs w:val="22"/>
        </w:rPr>
      </w:pPr>
      <w:del w:id="15943" w:author="AbbVie14" w:date="2025-05-09T10:59:00Z">
        <w:r w:rsidRPr="00295E71">
          <w:rPr>
            <w:sz w:val="22"/>
            <w:szCs w:val="22"/>
          </w:rPr>
          <w:delText>reazione allergica grave con shock;</w:delText>
        </w:r>
      </w:del>
    </w:p>
    <w:p w:rsidR="006224C2" w:rsidRPr="00295E71" w14:paraId="072A1B84" w14:textId="77777777">
      <w:pPr>
        <w:numPr>
          <w:ilvl w:val="0"/>
          <w:numId w:val="14"/>
        </w:numPr>
        <w:tabs>
          <w:tab w:val="num" w:pos="540"/>
          <w:tab w:val="left" w:pos="567"/>
          <w:tab w:val="left" w:pos="993"/>
        </w:tabs>
        <w:ind w:left="567" w:hanging="567"/>
        <w:jc w:val="both"/>
        <w:rPr>
          <w:del w:id="15944" w:author="AbbVie14" w:date="2025-05-09T10:59:00Z"/>
          <w:sz w:val="22"/>
          <w:szCs w:val="22"/>
        </w:rPr>
      </w:pPr>
      <w:del w:id="15945" w:author="AbbVie14" w:date="2025-05-09T10:59:00Z">
        <w:r w:rsidRPr="00295E71">
          <w:rPr>
            <w:sz w:val="22"/>
            <w:szCs w:val="22"/>
          </w:rPr>
          <w:delText>sclerosi multipla;</w:delText>
        </w:r>
      </w:del>
    </w:p>
    <w:p w:rsidR="006224C2" w:rsidRPr="00295E71" w14:paraId="756E5A03" w14:textId="77777777">
      <w:pPr>
        <w:numPr>
          <w:ilvl w:val="0"/>
          <w:numId w:val="14"/>
        </w:numPr>
        <w:tabs>
          <w:tab w:val="num" w:pos="540"/>
          <w:tab w:val="left" w:pos="567"/>
          <w:tab w:val="left" w:pos="993"/>
        </w:tabs>
        <w:ind w:left="567" w:hanging="567"/>
        <w:jc w:val="both"/>
        <w:rPr>
          <w:del w:id="15946" w:author="AbbVie14" w:date="2025-05-09T10:59:00Z"/>
          <w:sz w:val="22"/>
          <w:szCs w:val="22"/>
        </w:rPr>
      </w:pPr>
      <w:del w:id="15947" w:author="AbbVie14" w:date="2025-05-09T10:59:00Z">
        <w:r w:rsidRPr="00295E71">
          <w:rPr>
            <w:sz w:val="22"/>
            <w:szCs w:val="22"/>
          </w:rPr>
          <w:delText>disturbi neurologici (come infiammazione del nervo ottico e sindrome di Guillain-Barré che può causare debolezza muscolare, sensazioni anomale, formicolio alle braccia ed alla parte superiore del corpo);</w:delText>
        </w:r>
      </w:del>
    </w:p>
    <w:p w:rsidR="006224C2" w:rsidRPr="00295E71" w14:paraId="258014BC" w14:textId="77777777">
      <w:pPr>
        <w:numPr>
          <w:ilvl w:val="0"/>
          <w:numId w:val="14"/>
        </w:numPr>
        <w:tabs>
          <w:tab w:val="num" w:pos="540"/>
          <w:tab w:val="left" w:pos="567"/>
          <w:tab w:val="left" w:pos="993"/>
        </w:tabs>
        <w:ind w:left="567" w:hanging="567"/>
        <w:jc w:val="both"/>
        <w:rPr>
          <w:del w:id="15948" w:author="AbbVie14" w:date="2025-05-09T10:59:00Z"/>
          <w:sz w:val="22"/>
          <w:szCs w:val="22"/>
        </w:rPr>
      </w:pPr>
      <w:del w:id="15949" w:author="AbbVie14" w:date="2025-05-09T10:59:00Z">
        <w:r w:rsidRPr="00295E71">
          <w:rPr>
            <w:sz w:val="22"/>
            <w:szCs w:val="22"/>
          </w:rPr>
          <w:delText>arresto cardiaco;</w:delText>
        </w:r>
      </w:del>
    </w:p>
    <w:p w:rsidR="006224C2" w:rsidRPr="00295E71" w14:paraId="3DA83CA6" w14:textId="77777777">
      <w:pPr>
        <w:numPr>
          <w:ilvl w:val="0"/>
          <w:numId w:val="14"/>
        </w:numPr>
        <w:tabs>
          <w:tab w:val="num" w:pos="540"/>
          <w:tab w:val="left" w:pos="567"/>
          <w:tab w:val="left" w:pos="993"/>
        </w:tabs>
        <w:ind w:left="567" w:hanging="567"/>
        <w:jc w:val="both"/>
        <w:rPr>
          <w:del w:id="15950" w:author="AbbVie14" w:date="2025-05-09T10:59:00Z"/>
          <w:sz w:val="22"/>
          <w:szCs w:val="22"/>
        </w:rPr>
      </w:pPr>
      <w:del w:id="15951" w:author="AbbVie14" w:date="2025-05-09T10:59:00Z">
        <w:r w:rsidRPr="00295E71">
          <w:rPr>
            <w:sz w:val="22"/>
            <w:szCs w:val="22"/>
          </w:rPr>
          <w:delText>fibrosi polmonare (cicatrici del polmone);</w:delText>
        </w:r>
      </w:del>
    </w:p>
    <w:p w:rsidR="006224C2" w:rsidRPr="00295E71" w14:paraId="7A2B89AA" w14:textId="77777777">
      <w:pPr>
        <w:numPr>
          <w:ilvl w:val="0"/>
          <w:numId w:val="14"/>
        </w:numPr>
        <w:tabs>
          <w:tab w:val="num" w:pos="540"/>
          <w:tab w:val="left" w:pos="567"/>
          <w:tab w:val="left" w:pos="993"/>
        </w:tabs>
        <w:ind w:left="567" w:hanging="567"/>
        <w:jc w:val="both"/>
        <w:rPr>
          <w:del w:id="15952" w:author="AbbVie14" w:date="2025-05-09T10:59:00Z"/>
          <w:sz w:val="22"/>
          <w:szCs w:val="22"/>
        </w:rPr>
      </w:pPr>
      <w:del w:id="15953" w:author="AbbVie14" w:date="2025-05-09T10:59:00Z">
        <w:r w:rsidRPr="00295E71">
          <w:rPr>
            <w:sz w:val="22"/>
            <w:szCs w:val="22"/>
          </w:rPr>
          <w:delText>perforazione intestinale;</w:delText>
        </w:r>
      </w:del>
    </w:p>
    <w:p w:rsidR="006224C2" w:rsidRPr="00295E71" w14:paraId="734D2508" w14:textId="77777777">
      <w:pPr>
        <w:numPr>
          <w:ilvl w:val="0"/>
          <w:numId w:val="14"/>
        </w:numPr>
        <w:tabs>
          <w:tab w:val="num" w:pos="540"/>
          <w:tab w:val="left" w:pos="567"/>
          <w:tab w:val="left" w:pos="993"/>
        </w:tabs>
        <w:ind w:left="567" w:hanging="567"/>
        <w:jc w:val="both"/>
        <w:rPr>
          <w:del w:id="15954" w:author="AbbVie14" w:date="2025-05-09T10:59:00Z"/>
          <w:sz w:val="22"/>
          <w:szCs w:val="22"/>
        </w:rPr>
      </w:pPr>
      <w:del w:id="15955" w:author="AbbVie14" w:date="2025-05-09T10:59:00Z">
        <w:r w:rsidRPr="00295E71">
          <w:rPr>
            <w:sz w:val="22"/>
            <w:szCs w:val="22"/>
          </w:rPr>
          <w:delText>epatite;</w:delText>
        </w:r>
      </w:del>
    </w:p>
    <w:p w:rsidR="006224C2" w:rsidRPr="00295E71" w14:paraId="7192A1DC" w14:textId="77777777">
      <w:pPr>
        <w:numPr>
          <w:ilvl w:val="0"/>
          <w:numId w:val="14"/>
        </w:numPr>
        <w:tabs>
          <w:tab w:val="num" w:pos="540"/>
          <w:tab w:val="left" w:pos="567"/>
          <w:tab w:val="left" w:pos="993"/>
        </w:tabs>
        <w:ind w:left="567" w:hanging="567"/>
        <w:jc w:val="both"/>
        <w:rPr>
          <w:del w:id="15956" w:author="AbbVie14" w:date="2025-05-09T10:59:00Z"/>
          <w:sz w:val="22"/>
          <w:szCs w:val="22"/>
        </w:rPr>
      </w:pPr>
      <w:del w:id="15957" w:author="AbbVie14" w:date="2025-05-09T10:59:00Z">
        <w:r w:rsidRPr="00295E71">
          <w:rPr>
            <w:sz w:val="22"/>
            <w:szCs w:val="22"/>
          </w:rPr>
          <w:delText>riattivazione dell’epatite B;</w:delText>
        </w:r>
      </w:del>
    </w:p>
    <w:p w:rsidR="006224C2" w:rsidRPr="00295E71" w14:paraId="21585BCD" w14:textId="77777777">
      <w:pPr>
        <w:numPr>
          <w:ilvl w:val="0"/>
          <w:numId w:val="14"/>
        </w:numPr>
        <w:tabs>
          <w:tab w:val="num" w:pos="540"/>
          <w:tab w:val="left" w:pos="567"/>
          <w:tab w:val="left" w:pos="993"/>
        </w:tabs>
        <w:ind w:left="567" w:hanging="567"/>
        <w:jc w:val="both"/>
        <w:rPr>
          <w:del w:id="15958" w:author="AbbVie14" w:date="2025-05-09T10:59:00Z"/>
          <w:sz w:val="22"/>
          <w:szCs w:val="22"/>
        </w:rPr>
      </w:pPr>
      <w:del w:id="15959" w:author="AbbVie14" w:date="2025-05-09T10:59:00Z">
        <w:r w:rsidRPr="00295E71">
          <w:rPr>
            <w:sz w:val="22"/>
            <w:szCs w:val="22"/>
          </w:rPr>
          <w:delText>epatite autoimmune (infiammazione del fegato causata dal proprio sistema immunitario);</w:delText>
        </w:r>
      </w:del>
    </w:p>
    <w:p w:rsidR="006224C2" w:rsidRPr="00295E71" w14:paraId="55C68A15" w14:textId="77777777">
      <w:pPr>
        <w:numPr>
          <w:ilvl w:val="0"/>
          <w:numId w:val="14"/>
        </w:numPr>
        <w:tabs>
          <w:tab w:val="num" w:pos="540"/>
          <w:tab w:val="left" w:pos="567"/>
          <w:tab w:val="left" w:pos="993"/>
        </w:tabs>
        <w:ind w:left="567" w:hanging="567"/>
        <w:jc w:val="both"/>
        <w:rPr>
          <w:del w:id="15960" w:author="AbbVie14" w:date="2025-05-09T10:59:00Z"/>
          <w:sz w:val="22"/>
          <w:szCs w:val="22"/>
        </w:rPr>
      </w:pPr>
      <w:del w:id="15961" w:author="AbbVie14" w:date="2025-05-09T10:59:00Z">
        <w:r w:rsidRPr="00295E71">
          <w:rPr>
            <w:sz w:val="22"/>
            <w:szCs w:val="22"/>
          </w:rPr>
          <w:delText>vasculite cutanea (infiammazione dei vasi sanguigni della pelle);</w:delText>
        </w:r>
      </w:del>
    </w:p>
    <w:p w:rsidR="006224C2" w:rsidRPr="00295E71" w14:paraId="3CAC33D3" w14:textId="77777777">
      <w:pPr>
        <w:numPr>
          <w:ilvl w:val="0"/>
          <w:numId w:val="14"/>
        </w:numPr>
        <w:tabs>
          <w:tab w:val="num" w:pos="540"/>
          <w:tab w:val="left" w:pos="567"/>
          <w:tab w:val="left" w:pos="993"/>
        </w:tabs>
        <w:ind w:left="567" w:hanging="567"/>
        <w:jc w:val="both"/>
        <w:rPr>
          <w:del w:id="15962" w:author="AbbVie14" w:date="2025-05-09T10:59:00Z"/>
          <w:sz w:val="22"/>
          <w:szCs w:val="22"/>
        </w:rPr>
      </w:pPr>
      <w:del w:id="15963" w:author="AbbVie14" w:date="2025-05-09T10:59:00Z">
        <w:r w:rsidRPr="00295E71">
          <w:rPr>
            <w:sz w:val="22"/>
            <w:szCs w:val="22"/>
          </w:rPr>
          <w:delText>sindrome di Stevens-Johnson (i sintomi precoci includono malessere, febbre, cefalea ed eruzione cutanea);</w:delText>
        </w:r>
      </w:del>
    </w:p>
    <w:p w:rsidR="006224C2" w:rsidRPr="00295E71" w14:paraId="354D0A95" w14:textId="77777777">
      <w:pPr>
        <w:numPr>
          <w:ilvl w:val="0"/>
          <w:numId w:val="14"/>
        </w:numPr>
        <w:tabs>
          <w:tab w:val="num" w:pos="540"/>
          <w:tab w:val="left" w:pos="567"/>
          <w:tab w:val="left" w:pos="993"/>
        </w:tabs>
        <w:ind w:left="567" w:hanging="567"/>
        <w:jc w:val="both"/>
        <w:rPr>
          <w:del w:id="15964" w:author="AbbVie14" w:date="2025-05-09T10:59:00Z"/>
          <w:sz w:val="22"/>
          <w:szCs w:val="22"/>
        </w:rPr>
      </w:pPr>
      <w:del w:id="15965" w:author="AbbVie14" w:date="2025-05-09T10:59:00Z">
        <w:r w:rsidRPr="00295E71">
          <w:rPr>
            <w:sz w:val="22"/>
            <w:szCs w:val="22"/>
          </w:rPr>
          <w:delText>edema facciale associato a reazioni allergiche;</w:delText>
        </w:r>
      </w:del>
    </w:p>
    <w:p w:rsidR="006224C2" w:rsidRPr="00295E71" w14:paraId="679BC34E" w14:textId="77777777">
      <w:pPr>
        <w:numPr>
          <w:ilvl w:val="0"/>
          <w:numId w:val="14"/>
        </w:numPr>
        <w:tabs>
          <w:tab w:val="num" w:pos="540"/>
          <w:tab w:val="left" w:pos="567"/>
          <w:tab w:val="left" w:pos="993"/>
        </w:tabs>
        <w:ind w:left="567" w:hanging="567"/>
        <w:jc w:val="both"/>
        <w:rPr>
          <w:del w:id="15966" w:author="AbbVie14" w:date="2025-05-09T10:59:00Z"/>
          <w:sz w:val="22"/>
          <w:szCs w:val="22"/>
        </w:rPr>
      </w:pPr>
      <w:del w:id="15967" w:author="AbbVie14" w:date="2025-05-09T10:59:00Z">
        <w:r w:rsidRPr="00295E71">
          <w:rPr>
            <w:sz w:val="22"/>
            <w:szCs w:val="22"/>
          </w:rPr>
          <w:delText>eritema multiforme (rash cutaneo infiammatorio);</w:delText>
        </w:r>
      </w:del>
    </w:p>
    <w:p w:rsidR="00F2399A" w:rsidRPr="00295E71" w14:paraId="5DA0649F" w14:textId="77777777">
      <w:pPr>
        <w:numPr>
          <w:ilvl w:val="0"/>
          <w:numId w:val="14"/>
        </w:numPr>
        <w:tabs>
          <w:tab w:val="num" w:pos="540"/>
          <w:tab w:val="left" w:pos="567"/>
          <w:tab w:val="left" w:pos="993"/>
        </w:tabs>
        <w:ind w:left="567" w:hanging="567"/>
        <w:jc w:val="both"/>
        <w:rPr>
          <w:del w:id="15968" w:author="AbbVie14" w:date="2025-05-09T10:59:00Z"/>
          <w:sz w:val="22"/>
          <w:szCs w:val="22"/>
        </w:rPr>
      </w:pPr>
      <w:del w:id="15969" w:author="AbbVie14" w:date="2025-05-09T10:59:00Z">
        <w:r w:rsidRPr="00295E71">
          <w:rPr>
            <w:sz w:val="22"/>
            <w:szCs w:val="22"/>
          </w:rPr>
          <w:delText>sindrome simile al lupus;</w:delText>
        </w:r>
      </w:del>
    </w:p>
    <w:p w:rsidR="00070D56" w:rsidP="00F2399A" w14:paraId="6D410711" w14:textId="77777777">
      <w:pPr>
        <w:numPr>
          <w:ilvl w:val="0"/>
          <w:numId w:val="14"/>
        </w:numPr>
        <w:tabs>
          <w:tab w:val="num" w:pos="540"/>
          <w:tab w:val="left" w:pos="567"/>
          <w:tab w:val="left" w:pos="993"/>
        </w:tabs>
        <w:ind w:left="567" w:hanging="567"/>
        <w:jc w:val="both"/>
        <w:rPr>
          <w:del w:id="15970" w:author="AbbVie14" w:date="2025-05-09T10:59:00Z"/>
          <w:sz w:val="22"/>
          <w:szCs w:val="22"/>
        </w:rPr>
      </w:pPr>
      <w:del w:id="15971" w:author="AbbVie14" w:date="2025-05-09T10:59:00Z">
        <w:r w:rsidRPr="00295E71">
          <w:rPr>
            <w:sz w:val="22"/>
            <w:szCs w:val="22"/>
          </w:rPr>
          <w:delText>angioedema (gonfiore localizzato della pelle)</w:delText>
        </w:r>
      </w:del>
      <w:del w:id="15972" w:author="AbbVie14" w:date="2025-05-09T10:59:00Z">
        <w:r>
          <w:rPr>
            <w:sz w:val="22"/>
            <w:szCs w:val="22"/>
          </w:rPr>
          <w:delText>;</w:delText>
        </w:r>
      </w:del>
    </w:p>
    <w:p w:rsidR="00070D56" w:rsidRPr="00933BA1" w:rsidP="003D20B8" w14:paraId="72B9192C" w14:textId="77777777">
      <w:pPr>
        <w:pStyle w:val="ListParagraph"/>
        <w:numPr>
          <w:ilvl w:val="0"/>
          <w:numId w:val="14"/>
        </w:numPr>
        <w:tabs>
          <w:tab w:val="num" w:pos="567"/>
          <w:tab w:val="clear" w:pos="720"/>
          <w:tab w:val="left" w:pos="993"/>
        </w:tabs>
        <w:ind w:hanging="720"/>
        <w:jc w:val="both"/>
        <w:rPr>
          <w:del w:id="15973" w:author="AbbVie14" w:date="2025-05-09T10:59:00Z"/>
          <w:sz w:val="22"/>
          <w:szCs w:val="22"/>
        </w:rPr>
      </w:pPr>
      <w:del w:id="15974" w:author="AbbVie14" w:date="2025-05-09T10:59:00Z">
        <w:r w:rsidRPr="0020624D">
          <w:rPr>
            <w:sz w:val="22"/>
            <w:szCs w:val="22"/>
          </w:rPr>
          <w:delText>reazione cutanea lichenoide (</w:delText>
        </w:r>
      </w:del>
      <w:del w:id="15975" w:author="AbbVie14" w:date="2025-05-09T10:59:00Z">
        <w:r w:rsidRPr="0020624D" w:rsidR="00514E08">
          <w:rPr>
            <w:sz w:val="22"/>
            <w:szCs w:val="22"/>
          </w:rPr>
          <w:delText xml:space="preserve">eruzione </w:delText>
        </w:r>
      </w:del>
      <w:del w:id="15976" w:author="AbbVie14" w:date="2025-05-09T10:59:00Z">
        <w:r w:rsidRPr="0020624D">
          <w:rPr>
            <w:sz w:val="22"/>
            <w:szCs w:val="22"/>
          </w:rPr>
          <w:delText>cutane</w:delText>
        </w:r>
      </w:del>
      <w:del w:id="15977" w:author="AbbVie14" w:date="2025-05-09T10:59:00Z">
        <w:r w:rsidRPr="0020624D" w:rsidR="00514E08">
          <w:rPr>
            <w:sz w:val="22"/>
            <w:szCs w:val="22"/>
          </w:rPr>
          <w:delText>a</w:delText>
        </w:r>
      </w:del>
      <w:del w:id="15978" w:author="AbbVie14" w:date="2025-05-09T10:59:00Z">
        <w:r w:rsidRPr="0020624D">
          <w:rPr>
            <w:sz w:val="22"/>
            <w:szCs w:val="22"/>
          </w:rPr>
          <w:delText xml:space="preserve"> ross</w:delText>
        </w:r>
      </w:del>
      <w:del w:id="15979" w:author="AbbVie14" w:date="2025-05-09T10:59:00Z">
        <w:r w:rsidRPr="0020624D" w:rsidR="00514E08">
          <w:rPr>
            <w:sz w:val="22"/>
            <w:szCs w:val="22"/>
          </w:rPr>
          <w:delText>o</w:delText>
        </w:r>
      </w:del>
      <w:del w:id="15980" w:author="AbbVie14" w:date="2025-05-09T10:59:00Z">
        <w:r w:rsidRPr="0020624D">
          <w:rPr>
            <w:sz w:val="22"/>
            <w:szCs w:val="22"/>
          </w:rPr>
          <w:delText>-viola</w:delText>
        </w:r>
      </w:del>
      <w:del w:id="15981" w:author="AbbVie14" w:date="2025-05-09T10:59:00Z">
        <w:r w:rsidRPr="0020624D" w:rsidR="00514E08">
          <w:rPr>
            <w:sz w:val="22"/>
            <w:szCs w:val="22"/>
          </w:rPr>
          <w:delText>cea</w:delText>
        </w:r>
      </w:del>
      <w:del w:id="15982" w:author="AbbVie14" w:date="2025-05-09T10:59:00Z">
        <w:r w:rsidRPr="0020624D">
          <w:rPr>
            <w:sz w:val="22"/>
            <w:szCs w:val="22"/>
          </w:rPr>
          <w:delText xml:space="preserve"> pruriginos</w:delText>
        </w:r>
      </w:del>
      <w:del w:id="15983" w:author="AbbVie14" w:date="2025-05-09T10:59:00Z">
        <w:r w:rsidRPr="0020624D" w:rsidR="00514E08">
          <w:rPr>
            <w:sz w:val="22"/>
            <w:szCs w:val="22"/>
          </w:rPr>
          <w:delText>a</w:delText>
        </w:r>
      </w:del>
      <w:del w:id="15984" w:author="AbbVie14" w:date="2025-05-09T10:59:00Z">
        <w:r w:rsidRPr="0020624D">
          <w:rPr>
            <w:sz w:val="22"/>
            <w:szCs w:val="22"/>
          </w:rPr>
          <w:delText>)</w:delText>
        </w:r>
      </w:del>
      <w:del w:id="15985" w:author="AbbVie14" w:date="2025-05-09T10:59:00Z">
        <w:r w:rsidR="00204460">
          <w:rPr>
            <w:sz w:val="22"/>
            <w:szCs w:val="22"/>
          </w:rPr>
          <w:delText>.</w:delText>
        </w:r>
      </w:del>
    </w:p>
    <w:p w:rsidR="006224C2" w:rsidRPr="00933BA1" w:rsidP="003D20B8" w14:paraId="4207B2E2" w14:textId="77777777">
      <w:pPr>
        <w:tabs>
          <w:tab w:val="left" w:pos="567"/>
          <w:tab w:val="left" w:pos="993"/>
        </w:tabs>
        <w:ind w:left="567"/>
        <w:jc w:val="both"/>
        <w:rPr>
          <w:del w:id="15986" w:author="AbbVie14" w:date="2025-05-09T10:59:00Z"/>
          <w:sz w:val="22"/>
          <w:szCs w:val="22"/>
        </w:rPr>
      </w:pPr>
    </w:p>
    <w:p w:rsidR="006224C2" w:rsidRPr="00295E71" w14:paraId="3C66525B" w14:textId="77777777">
      <w:pPr>
        <w:pStyle w:val="EMEAFigureTitle"/>
        <w:tabs>
          <w:tab w:val="left" w:pos="993"/>
        </w:tabs>
        <w:suppressAutoHyphens w:val="0"/>
        <w:jc w:val="both"/>
        <w:rPr>
          <w:del w:id="15987" w:author="AbbVie14" w:date="2025-05-09T10:59:00Z"/>
          <w:lang w:val="it-IT" w:eastAsia="it-IT"/>
        </w:rPr>
      </w:pPr>
      <w:del w:id="15988" w:author="AbbVie14" w:date="2025-05-09T10:59:00Z">
        <w:r w:rsidRPr="00295E71">
          <w:rPr>
            <w:lang w:val="it-IT" w:eastAsia="it-IT"/>
          </w:rPr>
          <w:delText>Non nota (la frequenza non può essere definita sulla base dei dati disponibili)</w:delText>
        </w:r>
      </w:del>
    </w:p>
    <w:p w:rsidR="006224C2" w:rsidRPr="00295E71" w14:paraId="3C72471F" w14:textId="77777777">
      <w:pPr>
        <w:pStyle w:val="EMEAFigureTitle"/>
        <w:tabs>
          <w:tab w:val="left" w:pos="993"/>
        </w:tabs>
        <w:suppressAutoHyphens w:val="0"/>
        <w:jc w:val="both"/>
        <w:rPr>
          <w:del w:id="15989" w:author="AbbVie14" w:date="2025-05-09T10:59:00Z"/>
          <w:lang w:val="it-IT" w:eastAsia="it-IT"/>
        </w:rPr>
      </w:pPr>
    </w:p>
    <w:p w:rsidR="006224C2" w:rsidRPr="00295E71" w14:paraId="071F56D8" w14:textId="77777777">
      <w:pPr>
        <w:numPr>
          <w:ilvl w:val="0"/>
          <w:numId w:val="14"/>
        </w:numPr>
        <w:tabs>
          <w:tab w:val="num" w:pos="540"/>
          <w:tab w:val="left" w:pos="567"/>
          <w:tab w:val="left" w:pos="993"/>
        </w:tabs>
        <w:ind w:left="567" w:hanging="567"/>
        <w:jc w:val="both"/>
        <w:rPr>
          <w:del w:id="15990" w:author="AbbVie14" w:date="2025-05-09T10:59:00Z"/>
          <w:sz w:val="22"/>
          <w:szCs w:val="22"/>
        </w:rPr>
      </w:pPr>
      <w:del w:id="15991" w:author="AbbVie14" w:date="2025-05-09T10:59:00Z">
        <w:r w:rsidRPr="00295E71">
          <w:rPr>
            <w:sz w:val="22"/>
            <w:szCs w:val="22"/>
          </w:rPr>
          <w:delText>linfoma epato-splenico a cellule T (un raro tumore del sangue che spesso risulta fatale);</w:delText>
        </w:r>
      </w:del>
    </w:p>
    <w:p w:rsidR="006224C2" w14:paraId="58534321" w14:textId="77777777">
      <w:pPr>
        <w:numPr>
          <w:ilvl w:val="0"/>
          <w:numId w:val="14"/>
        </w:numPr>
        <w:tabs>
          <w:tab w:val="num" w:pos="540"/>
          <w:tab w:val="left" w:pos="567"/>
          <w:tab w:val="left" w:pos="993"/>
        </w:tabs>
        <w:ind w:left="567" w:hanging="567"/>
        <w:jc w:val="both"/>
        <w:rPr>
          <w:del w:id="15992" w:author="AbbVie14" w:date="2025-05-09T10:59:00Z"/>
          <w:sz w:val="22"/>
          <w:szCs w:val="22"/>
        </w:rPr>
      </w:pPr>
      <w:del w:id="15993" w:author="AbbVie14" w:date="2025-05-09T10:59:00Z">
        <w:r w:rsidRPr="00295E71">
          <w:rPr>
            <w:sz w:val="22"/>
            <w:szCs w:val="22"/>
          </w:rPr>
          <w:delText>carcinoma a cellule di Merkel (un tipo di cancro della pelle);</w:delText>
        </w:r>
      </w:del>
    </w:p>
    <w:p w:rsidR="003E6A38" w:rsidRPr="00985ADA" w:rsidP="00985ADA" w14:paraId="0D433EB4" w14:textId="77777777">
      <w:pPr>
        <w:numPr>
          <w:ilvl w:val="0"/>
          <w:numId w:val="14"/>
        </w:numPr>
        <w:tabs>
          <w:tab w:val="num" w:pos="540"/>
          <w:tab w:val="left" w:pos="567"/>
          <w:tab w:val="left" w:pos="993"/>
        </w:tabs>
        <w:ind w:left="567" w:hanging="567"/>
        <w:jc w:val="both"/>
        <w:rPr>
          <w:del w:id="15994" w:author="AbbVie14" w:date="2025-05-09T10:59:00Z"/>
          <w:sz w:val="22"/>
          <w:szCs w:val="22"/>
        </w:rPr>
      </w:pPr>
      <w:del w:id="15995" w:author="AbbVie14" w:date="2025-05-09T10:59:00Z">
        <w:r w:rsidRPr="00C573CF">
          <w:rPr>
            <w:sz w:val="22"/>
            <w:szCs w:val="22"/>
          </w:rPr>
          <w:delText>sarcoma di Kaposi, una forma rara di cancro correlato a infezione da Herpes virus umano 8.</w:delText>
        </w:r>
      </w:del>
      <w:del w:id="15996" w:author="AbbVie14" w:date="2025-05-09T10:59:00Z">
        <w:r>
          <w:rPr>
            <w:sz w:val="22"/>
            <w:szCs w:val="22"/>
          </w:rPr>
          <w:delText xml:space="preserve"> </w:delText>
        </w:r>
      </w:del>
      <w:del w:id="15997" w:author="AbbVie14" w:date="2025-05-09T10:59:00Z">
        <w:r w:rsidRPr="00C573CF">
          <w:rPr>
            <w:sz w:val="22"/>
            <w:szCs w:val="22"/>
          </w:rPr>
          <w:delText>Il</w:delText>
        </w:r>
      </w:del>
      <w:del w:id="15998" w:author="AbbVie14" w:date="2025-05-09T10:59:00Z">
        <w:r>
          <w:rPr>
            <w:sz w:val="22"/>
            <w:szCs w:val="22"/>
          </w:rPr>
          <w:delText xml:space="preserve"> </w:delText>
        </w:r>
      </w:del>
      <w:del w:id="15999" w:author="AbbVie14" w:date="2025-05-09T10:59:00Z">
        <w:r w:rsidRPr="00C573CF">
          <w:rPr>
            <w:sz w:val="22"/>
            <w:szCs w:val="22"/>
          </w:rPr>
          <w:delText>sarcoma di Kaposi si manifesta più comunemente con lesioni viola sulla pelle</w:delText>
        </w:r>
      </w:del>
      <w:del w:id="16000" w:author="AbbVie14" w:date="2025-05-09T10:59:00Z">
        <w:r w:rsidR="00985ADA">
          <w:rPr>
            <w:sz w:val="22"/>
            <w:szCs w:val="22"/>
          </w:rPr>
          <w:delText>;</w:delText>
        </w:r>
      </w:del>
    </w:p>
    <w:p w:rsidR="006224C2" w:rsidRPr="00295E71" w14:paraId="67C94093" w14:textId="77777777">
      <w:pPr>
        <w:numPr>
          <w:ilvl w:val="0"/>
          <w:numId w:val="14"/>
        </w:numPr>
        <w:tabs>
          <w:tab w:val="num" w:pos="540"/>
          <w:tab w:val="left" w:pos="567"/>
          <w:tab w:val="left" w:pos="993"/>
        </w:tabs>
        <w:ind w:left="567" w:hanging="567"/>
        <w:jc w:val="both"/>
        <w:rPr>
          <w:del w:id="16001" w:author="AbbVie14" w:date="2025-05-09T10:59:00Z"/>
          <w:sz w:val="22"/>
          <w:szCs w:val="22"/>
        </w:rPr>
      </w:pPr>
      <w:del w:id="16002" w:author="AbbVie14" w:date="2025-05-09T10:59:00Z">
        <w:r w:rsidRPr="00295E71">
          <w:rPr>
            <w:sz w:val="22"/>
            <w:szCs w:val="22"/>
          </w:rPr>
          <w:delText>insufficienza epatica;</w:delText>
        </w:r>
      </w:del>
    </w:p>
    <w:p w:rsidR="006224C2" w14:paraId="2EBF48A8" w14:textId="77777777">
      <w:pPr>
        <w:numPr>
          <w:ilvl w:val="0"/>
          <w:numId w:val="14"/>
        </w:numPr>
        <w:tabs>
          <w:tab w:val="num" w:pos="540"/>
          <w:tab w:val="left" w:pos="567"/>
          <w:tab w:val="left" w:pos="993"/>
        </w:tabs>
        <w:ind w:left="567" w:hanging="567"/>
        <w:jc w:val="both"/>
        <w:rPr>
          <w:del w:id="16003" w:author="AbbVie14" w:date="2025-05-09T10:59:00Z"/>
          <w:sz w:val="22"/>
          <w:szCs w:val="22"/>
        </w:rPr>
      </w:pPr>
      <w:del w:id="16004" w:author="AbbVie14" w:date="2025-05-09T10:59:00Z">
        <w:r w:rsidRPr="00295E71">
          <w:rPr>
            <w:sz w:val="22"/>
            <w:szCs w:val="22"/>
          </w:rPr>
          <w:delText>peggioramento di una condizione chiamata dermatomiosite (che si manifesta come eruzione cutanea accompagnata da debolezza muscolare)</w:delText>
        </w:r>
      </w:del>
      <w:del w:id="16005" w:author="AbbVie14" w:date="2025-05-09T10:59:00Z">
        <w:r w:rsidR="00A01AD4">
          <w:rPr>
            <w:sz w:val="22"/>
            <w:szCs w:val="22"/>
          </w:rPr>
          <w:delText>;</w:delText>
        </w:r>
      </w:del>
    </w:p>
    <w:p w:rsidR="00A01AD4" w:rsidRPr="00295E71" w14:paraId="7B53152B" w14:textId="77777777">
      <w:pPr>
        <w:numPr>
          <w:ilvl w:val="0"/>
          <w:numId w:val="14"/>
        </w:numPr>
        <w:tabs>
          <w:tab w:val="num" w:pos="540"/>
          <w:tab w:val="left" w:pos="567"/>
          <w:tab w:val="left" w:pos="993"/>
        </w:tabs>
        <w:ind w:left="567" w:hanging="567"/>
        <w:jc w:val="both"/>
        <w:rPr>
          <w:del w:id="16006" w:author="AbbVie14" w:date="2025-05-09T10:59:00Z"/>
          <w:sz w:val="22"/>
          <w:szCs w:val="22"/>
        </w:rPr>
      </w:pPr>
      <w:del w:id="16007" w:author="AbbVie14" w:date="2025-05-09T10:59:00Z">
        <w:r w:rsidRPr="00A01AD4">
          <w:rPr>
            <w:sz w:val="22"/>
            <w:szCs w:val="22"/>
          </w:rPr>
          <w:delText>Aumento di peso (per la maggior parte dei pazienti l’aumento di peso è stato basso)</w:delText>
        </w:r>
      </w:del>
    </w:p>
    <w:p w:rsidR="006224C2" w:rsidRPr="00295E71" w14:paraId="3D5FFF0B" w14:textId="77777777">
      <w:pPr>
        <w:tabs>
          <w:tab w:val="left" w:pos="567"/>
          <w:tab w:val="left" w:pos="993"/>
        </w:tabs>
        <w:ind w:left="567"/>
        <w:jc w:val="both"/>
        <w:rPr>
          <w:del w:id="16008" w:author="AbbVie14" w:date="2025-05-09T10:59:00Z"/>
          <w:sz w:val="22"/>
          <w:szCs w:val="22"/>
        </w:rPr>
      </w:pPr>
    </w:p>
    <w:p w:rsidR="006224C2" w:rsidRPr="00295E71" w14:paraId="26C81C8B" w14:textId="77777777">
      <w:pPr>
        <w:pStyle w:val="EMEAFigureTitle"/>
        <w:tabs>
          <w:tab w:val="left" w:pos="993"/>
        </w:tabs>
        <w:suppressAutoHyphens w:val="0"/>
        <w:jc w:val="both"/>
        <w:rPr>
          <w:del w:id="16009" w:author="AbbVie14" w:date="2025-05-09T10:59:00Z"/>
          <w:lang w:val="it-IT" w:eastAsia="it-IT"/>
        </w:rPr>
      </w:pPr>
      <w:del w:id="16010" w:author="AbbVie14" w:date="2025-05-09T10:59:00Z">
        <w:r w:rsidRPr="00295E71">
          <w:rPr>
            <w:lang w:val="it-IT" w:eastAsia="it-IT"/>
          </w:rPr>
          <w:delText>Alcuni degli effetti indesiderati</w:delText>
        </w:r>
      </w:del>
      <w:del w:id="16011" w:author="AbbVie14" w:date="2025-05-09T10:59:00Z">
        <w:r w:rsidRPr="00295E71" w:rsidR="00F92553">
          <w:rPr>
            <w:lang w:val="it-IT" w:eastAsia="it-IT"/>
          </w:rPr>
          <w:delText xml:space="preserve"> </w:delText>
        </w:r>
      </w:del>
      <w:del w:id="16012" w:author="AbbVie14" w:date="2025-05-09T10:59:00Z">
        <w:r w:rsidRPr="00295E71">
          <w:rPr>
            <w:lang w:val="it-IT" w:eastAsia="it-IT"/>
          </w:rPr>
          <w:delText>osservati con Humira possono essere</w:delText>
        </w:r>
      </w:del>
      <w:del w:id="16013" w:author="AbbVie14" w:date="2025-05-09T10:59:00Z">
        <w:r w:rsidR="00114AD7">
          <w:rPr>
            <w:lang w:val="it-IT" w:eastAsia="it-IT"/>
          </w:rPr>
          <w:delText xml:space="preserve"> </w:delText>
        </w:r>
      </w:del>
      <w:del w:id="16014" w:author="AbbVie14" w:date="2025-05-09T10:59:00Z">
        <w:r w:rsidRPr="00295E71">
          <w:rPr>
            <w:lang w:val="it-IT" w:eastAsia="it-IT"/>
          </w:rPr>
          <w:delText>asintomatici e possono essere individuati solo attraverso gli esami del sangue.</w:delText>
        </w:r>
      </w:del>
    </w:p>
    <w:p w:rsidR="006224C2" w:rsidRPr="00295E71" w14:paraId="65FBC847" w14:textId="77777777">
      <w:pPr>
        <w:tabs>
          <w:tab w:val="left" w:pos="567"/>
          <w:tab w:val="left" w:pos="993"/>
        </w:tabs>
        <w:jc w:val="both"/>
        <w:rPr>
          <w:del w:id="16015" w:author="AbbVie14" w:date="2025-05-09T10:59:00Z"/>
          <w:sz w:val="22"/>
          <w:szCs w:val="22"/>
        </w:rPr>
      </w:pPr>
      <w:del w:id="16016" w:author="AbbVie14" w:date="2025-05-09T10:59:00Z">
        <w:r w:rsidRPr="00295E71">
          <w:rPr>
            <w:sz w:val="22"/>
            <w:szCs w:val="22"/>
          </w:rPr>
          <w:delText>Questi includono:</w:delText>
        </w:r>
      </w:del>
    </w:p>
    <w:p w:rsidR="006224C2" w:rsidRPr="00295E71" w14:paraId="073F2616" w14:textId="77777777">
      <w:pPr>
        <w:tabs>
          <w:tab w:val="left" w:pos="567"/>
          <w:tab w:val="left" w:pos="993"/>
        </w:tabs>
        <w:jc w:val="both"/>
        <w:rPr>
          <w:del w:id="16017" w:author="AbbVie14" w:date="2025-05-09T10:59:00Z"/>
          <w:sz w:val="22"/>
          <w:szCs w:val="22"/>
        </w:rPr>
      </w:pPr>
    </w:p>
    <w:p w:rsidR="006224C2" w:rsidRPr="00295E71" w14:paraId="1CA4C8C0" w14:textId="77777777">
      <w:pPr>
        <w:tabs>
          <w:tab w:val="left" w:pos="567"/>
          <w:tab w:val="left" w:pos="993"/>
        </w:tabs>
        <w:jc w:val="both"/>
        <w:rPr>
          <w:del w:id="16018" w:author="AbbVie14" w:date="2025-05-09T10:59:00Z"/>
          <w:sz w:val="22"/>
          <w:szCs w:val="22"/>
        </w:rPr>
      </w:pPr>
      <w:del w:id="16019" w:author="AbbVie14" w:date="2025-05-09T10:59:00Z">
        <w:r w:rsidRPr="00295E71">
          <w:rPr>
            <w:sz w:val="22"/>
            <w:szCs w:val="22"/>
          </w:rPr>
          <w:delText>Molto comuni (possono manifestarsi in più di 1 persona su 10)</w:delText>
        </w:r>
      </w:del>
    </w:p>
    <w:p w:rsidR="006224C2" w:rsidRPr="00295E71" w14:paraId="78B62E69" w14:textId="77777777">
      <w:pPr>
        <w:tabs>
          <w:tab w:val="left" w:pos="567"/>
          <w:tab w:val="left" w:pos="993"/>
        </w:tabs>
        <w:jc w:val="both"/>
        <w:rPr>
          <w:del w:id="16020" w:author="AbbVie14" w:date="2025-05-09T10:59:00Z"/>
          <w:sz w:val="22"/>
          <w:szCs w:val="22"/>
        </w:rPr>
      </w:pPr>
    </w:p>
    <w:p w:rsidR="006224C2" w:rsidRPr="00295E71" w14:paraId="001F68FC" w14:textId="77777777">
      <w:pPr>
        <w:numPr>
          <w:ilvl w:val="0"/>
          <w:numId w:val="14"/>
        </w:numPr>
        <w:tabs>
          <w:tab w:val="num" w:pos="540"/>
          <w:tab w:val="left" w:pos="567"/>
          <w:tab w:val="left" w:pos="993"/>
        </w:tabs>
        <w:ind w:left="567" w:hanging="567"/>
        <w:jc w:val="both"/>
        <w:rPr>
          <w:del w:id="16021" w:author="AbbVie14" w:date="2025-05-09T10:59:00Z"/>
          <w:sz w:val="22"/>
          <w:szCs w:val="22"/>
        </w:rPr>
      </w:pPr>
      <w:del w:id="16022" w:author="AbbVie14" w:date="2025-05-09T10:59:00Z">
        <w:r w:rsidRPr="00295E71">
          <w:rPr>
            <w:sz w:val="22"/>
            <w:szCs w:val="22"/>
          </w:rPr>
          <w:delText>bassa conta dei globuli bianchi;</w:delText>
        </w:r>
      </w:del>
    </w:p>
    <w:p w:rsidR="006224C2" w:rsidRPr="00295E71" w14:paraId="500B4252" w14:textId="77777777">
      <w:pPr>
        <w:numPr>
          <w:ilvl w:val="0"/>
          <w:numId w:val="14"/>
        </w:numPr>
        <w:tabs>
          <w:tab w:val="num" w:pos="540"/>
          <w:tab w:val="left" w:pos="567"/>
          <w:tab w:val="left" w:pos="993"/>
        </w:tabs>
        <w:ind w:left="567" w:hanging="567"/>
        <w:jc w:val="both"/>
        <w:rPr>
          <w:del w:id="16023" w:author="AbbVie14" w:date="2025-05-09T10:59:00Z"/>
          <w:sz w:val="22"/>
          <w:szCs w:val="22"/>
        </w:rPr>
      </w:pPr>
      <w:del w:id="16024" w:author="AbbVie14" w:date="2025-05-09T10:59:00Z">
        <w:r w:rsidRPr="00295E71">
          <w:rPr>
            <w:sz w:val="22"/>
            <w:szCs w:val="22"/>
          </w:rPr>
          <w:delText>bassa conta dei globuli rossi;</w:delText>
        </w:r>
      </w:del>
    </w:p>
    <w:p w:rsidR="006224C2" w:rsidRPr="00295E71" w14:paraId="5AFC1529" w14:textId="77777777">
      <w:pPr>
        <w:numPr>
          <w:ilvl w:val="0"/>
          <w:numId w:val="14"/>
        </w:numPr>
        <w:tabs>
          <w:tab w:val="num" w:pos="540"/>
          <w:tab w:val="left" w:pos="567"/>
          <w:tab w:val="left" w:pos="993"/>
        </w:tabs>
        <w:ind w:left="567" w:hanging="567"/>
        <w:jc w:val="both"/>
        <w:rPr>
          <w:del w:id="16025" w:author="AbbVie14" w:date="2025-05-09T10:59:00Z"/>
          <w:sz w:val="22"/>
          <w:szCs w:val="22"/>
        </w:rPr>
      </w:pPr>
      <w:del w:id="16026" w:author="AbbVie14" w:date="2025-05-09T10:59:00Z">
        <w:r w:rsidRPr="00295E71">
          <w:rPr>
            <w:sz w:val="22"/>
            <w:szCs w:val="22"/>
          </w:rPr>
          <w:delText>aumento dei lipidi nel sangue;</w:delText>
        </w:r>
      </w:del>
    </w:p>
    <w:p w:rsidR="006224C2" w:rsidRPr="00295E71" w14:paraId="13C4B82A" w14:textId="77777777">
      <w:pPr>
        <w:numPr>
          <w:ilvl w:val="0"/>
          <w:numId w:val="14"/>
        </w:numPr>
        <w:tabs>
          <w:tab w:val="num" w:pos="540"/>
          <w:tab w:val="left" w:pos="567"/>
          <w:tab w:val="left" w:pos="993"/>
        </w:tabs>
        <w:ind w:left="567" w:hanging="567"/>
        <w:jc w:val="both"/>
        <w:rPr>
          <w:del w:id="16027" w:author="AbbVie14" w:date="2025-05-09T10:59:00Z"/>
          <w:sz w:val="22"/>
          <w:szCs w:val="22"/>
        </w:rPr>
      </w:pPr>
      <w:del w:id="16028" w:author="AbbVie14" w:date="2025-05-09T10:59:00Z">
        <w:r w:rsidRPr="00295E71">
          <w:rPr>
            <w:sz w:val="22"/>
            <w:szCs w:val="22"/>
          </w:rPr>
          <w:delText>aumento degli enzimi epatici.</w:delText>
        </w:r>
      </w:del>
    </w:p>
    <w:p w:rsidR="006224C2" w:rsidRPr="00295E71" w14:paraId="7CD9D6CE" w14:textId="77777777">
      <w:pPr>
        <w:tabs>
          <w:tab w:val="left" w:pos="567"/>
          <w:tab w:val="left" w:pos="993"/>
        </w:tabs>
        <w:jc w:val="both"/>
        <w:rPr>
          <w:del w:id="16029" w:author="AbbVie14" w:date="2025-05-09T10:59:00Z"/>
          <w:sz w:val="22"/>
          <w:szCs w:val="22"/>
        </w:rPr>
      </w:pPr>
    </w:p>
    <w:p w:rsidR="006224C2" w:rsidRPr="00295E71" w14:paraId="4C129BD7" w14:textId="77777777">
      <w:pPr>
        <w:pStyle w:val="EMEAFigureTitle"/>
        <w:tabs>
          <w:tab w:val="left" w:pos="993"/>
        </w:tabs>
        <w:suppressAutoHyphens w:val="0"/>
        <w:jc w:val="both"/>
        <w:rPr>
          <w:del w:id="16030" w:author="AbbVie14" w:date="2025-05-09T10:59:00Z"/>
          <w:lang w:val="it-IT" w:eastAsia="it-IT"/>
        </w:rPr>
      </w:pPr>
      <w:del w:id="16031" w:author="AbbVie14" w:date="2025-05-09T10:59:00Z">
        <w:r w:rsidRPr="00295E71">
          <w:rPr>
            <w:lang w:val="it-IT" w:eastAsia="it-IT"/>
          </w:rPr>
          <w:delText>Comuni (possono manifestarsi fino a 1 persona su 10)</w:delText>
        </w:r>
      </w:del>
    </w:p>
    <w:p w:rsidR="006224C2" w:rsidRPr="00295E71" w14:paraId="00F15C74" w14:textId="77777777">
      <w:pPr>
        <w:pStyle w:val="EMEANormal"/>
        <w:jc w:val="both"/>
        <w:rPr>
          <w:del w:id="16032" w:author="AbbVie14" w:date="2025-05-09T10:59:00Z"/>
          <w:lang w:val="it-IT" w:eastAsia="it-IT"/>
        </w:rPr>
      </w:pPr>
    </w:p>
    <w:p w:rsidR="006224C2" w:rsidRPr="00295E71" w14:paraId="46747D58" w14:textId="77777777">
      <w:pPr>
        <w:numPr>
          <w:ilvl w:val="0"/>
          <w:numId w:val="14"/>
        </w:numPr>
        <w:tabs>
          <w:tab w:val="num" w:pos="540"/>
          <w:tab w:val="left" w:pos="567"/>
          <w:tab w:val="left" w:pos="993"/>
        </w:tabs>
        <w:ind w:left="567" w:hanging="567"/>
        <w:jc w:val="both"/>
        <w:rPr>
          <w:del w:id="16033" w:author="AbbVie14" w:date="2025-05-09T10:59:00Z"/>
          <w:sz w:val="22"/>
          <w:szCs w:val="22"/>
        </w:rPr>
      </w:pPr>
      <w:del w:id="16034" w:author="AbbVie14" w:date="2025-05-09T10:59:00Z">
        <w:r w:rsidRPr="00295E71">
          <w:rPr>
            <w:sz w:val="22"/>
            <w:szCs w:val="22"/>
          </w:rPr>
          <w:delText>aumento della conta dei globuli bianchi;</w:delText>
        </w:r>
      </w:del>
    </w:p>
    <w:p w:rsidR="006224C2" w:rsidRPr="00295E71" w14:paraId="7DF98371" w14:textId="77777777">
      <w:pPr>
        <w:numPr>
          <w:ilvl w:val="0"/>
          <w:numId w:val="14"/>
        </w:numPr>
        <w:tabs>
          <w:tab w:val="num" w:pos="540"/>
          <w:tab w:val="left" w:pos="567"/>
          <w:tab w:val="left" w:pos="993"/>
        </w:tabs>
        <w:ind w:left="567" w:hanging="567"/>
        <w:jc w:val="both"/>
        <w:rPr>
          <w:del w:id="16035" w:author="AbbVie14" w:date="2025-05-09T10:59:00Z"/>
          <w:sz w:val="22"/>
          <w:szCs w:val="22"/>
        </w:rPr>
      </w:pPr>
      <w:del w:id="16036" w:author="AbbVie14" w:date="2025-05-09T10:59:00Z">
        <w:r w:rsidRPr="00295E71">
          <w:rPr>
            <w:sz w:val="22"/>
            <w:szCs w:val="22"/>
          </w:rPr>
          <w:delText>riduzione della conta delle piastrine;</w:delText>
        </w:r>
      </w:del>
    </w:p>
    <w:p w:rsidR="006224C2" w:rsidRPr="00295E71" w14:paraId="68346F9F" w14:textId="77777777">
      <w:pPr>
        <w:numPr>
          <w:ilvl w:val="0"/>
          <w:numId w:val="14"/>
        </w:numPr>
        <w:tabs>
          <w:tab w:val="num" w:pos="540"/>
          <w:tab w:val="left" w:pos="567"/>
          <w:tab w:val="left" w:pos="993"/>
        </w:tabs>
        <w:ind w:left="567" w:hanging="567"/>
        <w:jc w:val="both"/>
        <w:rPr>
          <w:del w:id="16037" w:author="AbbVie14" w:date="2025-05-09T10:59:00Z"/>
          <w:sz w:val="22"/>
          <w:szCs w:val="22"/>
        </w:rPr>
      </w:pPr>
      <w:del w:id="16038" w:author="AbbVie14" w:date="2025-05-09T10:59:00Z">
        <w:r w:rsidRPr="00295E71">
          <w:rPr>
            <w:sz w:val="22"/>
            <w:szCs w:val="22"/>
          </w:rPr>
          <w:delText>aumento dell’acido urico nel sangue;</w:delText>
        </w:r>
      </w:del>
    </w:p>
    <w:p w:rsidR="006224C2" w:rsidRPr="00295E71" w14:paraId="3EAB246B" w14:textId="77777777">
      <w:pPr>
        <w:numPr>
          <w:ilvl w:val="0"/>
          <w:numId w:val="14"/>
        </w:numPr>
        <w:tabs>
          <w:tab w:val="num" w:pos="540"/>
          <w:tab w:val="left" w:pos="567"/>
          <w:tab w:val="left" w:pos="993"/>
        </w:tabs>
        <w:ind w:left="567" w:hanging="567"/>
        <w:jc w:val="both"/>
        <w:rPr>
          <w:del w:id="16039" w:author="AbbVie14" w:date="2025-05-09T10:59:00Z"/>
          <w:sz w:val="22"/>
          <w:szCs w:val="22"/>
        </w:rPr>
      </w:pPr>
      <w:del w:id="16040" w:author="AbbVie14" w:date="2025-05-09T10:59:00Z">
        <w:r w:rsidRPr="00295E71">
          <w:rPr>
            <w:sz w:val="22"/>
            <w:szCs w:val="22"/>
          </w:rPr>
          <w:delText>alterazione del sodio nel sangue;</w:delText>
        </w:r>
      </w:del>
    </w:p>
    <w:p w:rsidR="006224C2" w:rsidRPr="00295E71" w14:paraId="46A0E7CD" w14:textId="77777777">
      <w:pPr>
        <w:numPr>
          <w:ilvl w:val="0"/>
          <w:numId w:val="14"/>
        </w:numPr>
        <w:tabs>
          <w:tab w:val="num" w:pos="540"/>
          <w:tab w:val="left" w:pos="567"/>
          <w:tab w:val="left" w:pos="993"/>
        </w:tabs>
        <w:ind w:left="567" w:hanging="567"/>
        <w:jc w:val="both"/>
        <w:rPr>
          <w:del w:id="16041" w:author="AbbVie14" w:date="2025-05-09T10:59:00Z"/>
          <w:sz w:val="22"/>
          <w:szCs w:val="22"/>
        </w:rPr>
      </w:pPr>
      <w:del w:id="16042" w:author="AbbVie14" w:date="2025-05-09T10:59:00Z">
        <w:r w:rsidRPr="00295E71">
          <w:rPr>
            <w:sz w:val="22"/>
            <w:szCs w:val="22"/>
          </w:rPr>
          <w:delText>riduzione del calcio nel sangue;</w:delText>
        </w:r>
      </w:del>
    </w:p>
    <w:p w:rsidR="006224C2" w:rsidRPr="00295E71" w14:paraId="25E96F87" w14:textId="77777777">
      <w:pPr>
        <w:numPr>
          <w:ilvl w:val="0"/>
          <w:numId w:val="14"/>
        </w:numPr>
        <w:tabs>
          <w:tab w:val="num" w:pos="540"/>
          <w:tab w:val="left" w:pos="567"/>
          <w:tab w:val="left" w:pos="993"/>
        </w:tabs>
        <w:ind w:left="567" w:hanging="567"/>
        <w:jc w:val="both"/>
        <w:rPr>
          <w:del w:id="16043" w:author="AbbVie14" w:date="2025-05-09T10:59:00Z"/>
          <w:sz w:val="22"/>
          <w:szCs w:val="22"/>
        </w:rPr>
      </w:pPr>
      <w:del w:id="16044" w:author="AbbVie14" w:date="2025-05-09T10:59:00Z">
        <w:r w:rsidRPr="00295E71">
          <w:rPr>
            <w:sz w:val="22"/>
            <w:szCs w:val="22"/>
          </w:rPr>
          <w:delText>riduzione del fosforo nel sangue;</w:delText>
        </w:r>
      </w:del>
    </w:p>
    <w:p w:rsidR="006224C2" w:rsidRPr="00295E71" w14:paraId="07684F89" w14:textId="77777777">
      <w:pPr>
        <w:numPr>
          <w:ilvl w:val="0"/>
          <w:numId w:val="14"/>
        </w:numPr>
        <w:tabs>
          <w:tab w:val="num" w:pos="540"/>
          <w:tab w:val="left" w:pos="567"/>
          <w:tab w:val="left" w:pos="993"/>
        </w:tabs>
        <w:ind w:left="567" w:hanging="567"/>
        <w:jc w:val="both"/>
        <w:rPr>
          <w:del w:id="16045" w:author="AbbVie14" w:date="2025-05-09T10:59:00Z"/>
          <w:sz w:val="22"/>
          <w:szCs w:val="22"/>
        </w:rPr>
      </w:pPr>
      <w:del w:id="16046" w:author="AbbVie14" w:date="2025-05-09T10:59:00Z">
        <w:r w:rsidRPr="00295E71">
          <w:rPr>
            <w:sz w:val="22"/>
            <w:szCs w:val="22"/>
          </w:rPr>
          <w:delText>aumento dello</w:delText>
        </w:r>
      </w:del>
      <w:del w:id="16047" w:author="AbbVie14" w:date="2025-05-09T10:59:00Z">
        <w:r w:rsidRPr="00295E71" w:rsidR="006038EE">
          <w:rPr>
            <w:sz w:val="22"/>
            <w:szCs w:val="22"/>
          </w:rPr>
          <w:delText xml:space="preserve"> </w:delText>
        </w:r>
      </w:del>
      <w:del w:id="16048" w:author="AbbVie14" w:date="2025-05-09T10:59:00Z">
        <w:r w:rsidRPr="00295E71">
          <w:rPr>
            <w:sz w:val="22"/>
            <w:szCs w:val="22"/>
          </w:rPr>
          <w:delText>zucchero nel sangue;</w:delText>
        </w:r>
      </w:del>
    </w:p>
    <w:p w:rsidR="006224C2" w:rsidRPr="00295E71" w14:paraId="47BFE4CE" w14:textId="77777777">
      <w:pPr>
        <w:numPr>
          <w:ilvl w:val="0"/>
          <w:numId w:val="14"/>
        </w:numPr>
        <w:tabs>
          <w:tab w:val="num" w:pos="540"/>
          <w:tab w:val="left" w:pos="567"/>
          <w:tab w:val="left" w:pos="993"/>
        </w:tabs>
        <w:ind w:left="567" w:hanging="567"/>
        <w:jc w:val="both"/>
        <w:rPr>
          <w:del w:id="16049" w:author="AbbVie14" w:date="2025-05-09T10:59:00Z"/>
          <w:sz w:val="22"/>
          <w:szCs w:val="22"/>
        </w:rPr>
      </w:pPr>
      <w:del w:id="16050" w:author="AbbVie14" w:date="2025-05-09T10:59:00Z">
        <w:r w:rsidRPr="00295E71">
          <w:rPr>
            <w:sz w:val="22"/>
            <w:szCs w:val="22"/>
          </w:rPr>
          <w:delText>aumento della lattatodeidrogenasi nel sangue;</w:delText>
        </w:r>
      </w:del>
    </w:p>
    <w:p w:rsidR="00F2399A" w:rsidRPr="00295E71" w14:paraId="27B988DB" w14:textId="77777777">
      <w:pPr>
        <w:numPr>
          <w:ilvl w:val="0"/>
          <w:numId w:val="14"/>
        </w:numPr>
        <w:tabs>
          <w:tab w:val="num" w:pos="540"/>
          <w:tab w:val="left" w:pos="567"/>
          <w:tab w:val="left" w:pos="993"/>
        </w:tabs>
        <w:ind w:left="567" w:hanging="567"/>
        <w:jc w:val="both"/>
        <w:rPr>
          <w:del w:id="16051" w:author="AbbVie14" w:date="2025-05-09T10:59:00Z"/>
          <w:sz w:val="22"/>
          <w:szCs w:val="22"/>
        </w:rPr>
      </w:pPr>
      <w:del w:id="16052" w:author="AbbVie14" w:date="2025-05-09T10:59:00Z">
        <w:r w:rsidRPr="00295E71">
          <w:rPr>
            <w:sz w:val="22"/>
            <w:szCs w:val="22"/>
          </w:rPr>
          <w:delText>presenza di autoanticorpi nel sangue;</w:delText>
        </w:r>
      </w:del>
    </w:p>
    <w:p w:rsidR="006224C2" w:rsidRPr="00295E71" w:rsidP="00F2399A" w14:paraId="13C4011E" w14:textId="77777777">
      <w:pPr>
        <w:numPr>
          <w:ilvl w:val="0"/>
          <w:numId w:val="14"/>
        </w:numPr>
        <w:tabs>
          <w:tab w:val="num" w:pos="540"/>
          <w:tab w:val="left" w:pos="567"/>
          <w:tab w:val="left" w:pos="993"/>
        </w:tabs>
        <w:ind w:left="567" w:hanging="567"/>
        <w:jc w:val="both"/>
        <w:rPr>
          <w:del w:id="16053" w:author="AbbVie14" w:date="2025-05-09T10:59:00Z"/>
          <w:sz w:val="22"/>
          <w:szCs w:val="22"/>
        </w:rPr>
      </w:pPr>
      <w:del w:id="16054" w:author="AbbVie14" w:date="2025-05-09T10:59:00Z">
        <w:r w:rsidRPr="00295E71">
          <w:rPr>
            <w:sz w:val="22"/>
            <w:szCs w:val="22"/>
          </w:rPr>
          <w:delText>riduzione del potassio nel sangue</w:delText>
        </w:r>
      </w:del>
      <w:del w:id="16055" w:author="AbbVie14" w:date="2025-05-09T10:59:00Z">
        <w:r w:rsidRPr="00295E71" w:rsidR="00226BC4">
          <w:rPr>
            <w:sz w:val="22"/>
            <w:szCs w:val="22"/>
          </w:rPr>
          <w:delText>.</w:delText>
        </w:r>
      </w:del>
    </w:p>
    <w:p w:rsidR="00F2399A" w:rsidRPr="00295E71" w:rsidP="00FB547E" w14:paraId="616BA148" w14:textId="77777777">
      <w:pPr>
        <w:tabs>
          <w:tab w:val="left" w:pos="567"/>
          <w:tab w:val="left" w:pos="993"/>
        </w:tabs>
        <w:ind w:left="567"/>
        <w:jc w:val="both"/>
        <w:rPr>
          <w:del w:id="16056" w:author="AbbVie14" w:date="2025-05-09T10:59:00Z"/>
          <w:sz w:val="22"/>
          <w:szCs w:val="22"/>
        </w:rPr>
      </w:pPr>
    </w:p>
    <w:p w:rsidR="00F2399A" w:rsidRPr="00295E71" w:rsidP="00F2399A" w14:paraId="791728A3" w14:textId="77777777">
      <w:pPr>
        <w:tabs>
          <w:tab w:val="left" w:pos="567"/>
          <w:tab w:val="left" w:pos="993"/>
        </w:tabs>
        <w:jc w:val="both"/>
        <w:rPr>
          <w:del w:id="16057" w:author="AbbVie14" w:date="2025-05-09T10:59:00Z"/>
          <w:sz w:val="22"/>
          <w:szCs w:val="22"/>
        </w:rPr>
      </w:pPr>
      <w:del w:id="16058" w:author="AbbVie14" w:date="2025-05-09T10:59:00Z">
        <w:r w:rsidRPr="00295E71">
          <w:rPr>
            <w:b/>
            <w:sz w:val="22"/>
            <w:szCs w:val="22"/>
          </w:rPr>
          <w:delText>Non comuni</w:delText>
        </w:r>
      </w:del>
      <w:del w:id="16059" w:author="AbbVie14" w:date="2025-05-09T10:59:00Z">
        <w:r w:rsidRPr="00295E71">
          <w:rPr>
            <w:sz w:val="22"/>
            <w:szCs w:val="22"/>
          </w:rPr>
          <w:delText xml:space="preserve"> (possono manifestarsi fino a 1 persona su 100)</w:delText>
        </w:r>
      </w:del>
    </w:p>
    <w:p w:rsidR="00F2399A" w:rsidRPr="00295E71" w:rsidP="00F2399A" w14:paraId="087EDB1F" w14:textId="77777777">
      <w:pPr>
        <w:tabs>
          <w:tab w:val="left" w:pos="567"/>
          <w:tab w:val="left" w:pos="993"/>
        </w:tabs>
        <w:jc w:val="both"/>
        <w:rPr>
          <w:del w:id="16060" w:author="AbbVie14" w:date="2025-05-09T10:59:00Z"/>
          <w:sz w:val="22"/>
          <w:szCs w:val="22"/>
        </w:rPr>
      </w:pPr>
    </w:p>
    <w:p w:rsidR="00F2399A" w:rsidRPr="00295E71" w:rsidP="00FB547E" w14:paraId="05A8E8F1" w14:textId="77777777">
      <w:pPr>
        <w:pStyle w:val="ListParagraph"/>
        <w:numPr>
          <w:ilvl w:val="0"/>
          <w:numId w:val="134"/>
        </w:numPr>
        <w:ind w:left="567" w:hanging="539"/>
        <w:jc w:val="both"/>
        <w:rPr>
          <w:del w:id="16061" w:author="AbbVie14" w:date="2025-05-09T10:59:00Z"/>
          <w:sz w:val="22"/>
          <w:szCs w:val="22"/>
        </w:rPr>
      </w:pPr>
      <w:del w:id="16062" w:author="AbbVie14" w:date="2025-05-09T10:59:00Z">
        <w:r w:rsidRPr="00295E71">
          <w:rPr>
            <w:sz w:val="22"/>
            <w:szCs w:val="22"/>
          </w:rPr>
          <w:delText>livelli elevati di bilirubina nel sangue (esame epatico del sangue).</w:delText>
        </w:r>
      </w:del>
    </w:p>
    <w:p w:rsidR="006224C2" w:rsidRPr="00295E71" w14:paraId="3BFD0D43" w14:textId="77777777">
      <w:pPr>
        <w:tabs>
          <w:tab w:val="left" w:pos="567"/>
          <w:tab w:val="left" w:pos="993"/>
        </w:tabs>
        <w:jc w:val="both"/>
        <w:rPr>
          <w:del w:id="16063" w:author="AbbVie14" w:date="2025-05-09T10:59:00Z"/>
          <w:sz w:val="22"/>
          <w:szCs w:val="22"/>
        </w:rPr>
      </w:pPr>
    </w:p>
    <w:p w:rsidR="006224C2" w:rsidRPr="00295E71" w14:paraId="75F2A784" w14:textId="77777777">
      <w:pPr>
        <w:pStyle w:val="EMEAFigureTitle"/>
        <w:tabs>
          <w:tab w:val="left" w:pos="993"/>
        </w:tabs>
        <w:suppressAutoHyphens w:val="0"/>
        <w:jc w:val="both"/>
        <w:rPr>
          <w:del w:id="16064" w:author="AbbVie14" w:date="2025-05-09T10:59:00Z"/>
          <w:lang w:val="it-IT" w:eastAsia="it-IT"/>
        </w:rPr>
      </w:pPr>
      <w:del w:id="16065" w:author="AbbVie14" w:date="2025-05-09T10:59:00Z">
        <w:r w:rsidRPr="00295E71">
          <w:rPr>
            <w:lang w:val="it-IT" w:eastAsia="it-IT"/>
          </w:rPr>
          <w:delText>Rari (possono manifestarsi fino a 1 persona su 1.000)</w:delText>
        </w:r>
      </w:del>
    </w:p>
    <w:p w:rsidR="006224C2" w:rsidRPr="00295E71" w14:paraId="79116D88" w14:textId="77777777">
      <w:pPr>
        <w:pStyle w:val="EMEANormal"/>
        <w:jc w:val="both"/>
        <w:rPr>
          <w:del w:id="16066" w:author="AbbVie14" w:date="2025-05-09T10:59:00Z"/>
          <w:lang w:val="it-IT" w:eastAsia="it-IT"/>
        </w:rPr>
      </w:pPr>
    </w:p>
    <w:p w:rsidR="006224C2" w:rsidRPr="00295E71" w14:paraId="2CA400E7" w14:textId="77777777">
      <w:pPr>
        <w:numPr>
          <w:ilvl w:val="0"/>
          <w:numId w:val="14"/>
        </w:numPr>
        <w:tabs>
          <w:tab w:val="num" w:pos="540"/>
          <w:tab w:val="left" w:pos="567"/>
          <w:tab w:val="left" w:pos="993"/>
        </w:tabs>
        <w:ind w:left="567" w:hanging="567"/>
        <w:jc w:val="both"/>
        <w:rPr>
          <w:del w:id="16067" w:author="AbbVie14" w:date="2025-05-09T10:59:00Z"/>
          <w:sz w:val="22"/>
          <w:szCs w:val="22"/>
        </w:rPr>
      </w:pPr>
      <w:del w:id="16068" w:author="AbbVie14" w:date="2025-05-09T10:59:00Z">
        <w:r w:rsidRPr="00295E71">
          <w:rPr>
            <w:sz w:val="22"/>
            <w:szCs w:val="22"/>
          </w:rPr>
          <w:delText>bassa conta dei globuli bianchi, dei globuli rossi e delle piastrine.</w:delText>
        </w:r>
      </w:del>
    </w:p>
    <w:p w:rsidR="006224C2" w:rsidRPr="00295E71" w14:paraId="2AC3798F" w14:textId="77777777">
      <w:pPr>
        <w:tabs>
          <w:tab w:val="left" w:pos="567"/>
        </w:tabs>
        <w:jc w:val="both"/>
        <w:rPr>
          <w:del w:id="16069" w:author="AbbVie14" w:date="2025-05-09T10:59:00Z"/>
          <w:sz w:val="22"/>
          <w:szCs w:val="22"/>
        </w:rPr>
      </w:pPr>
    </w:p>
    <w:p w:rsidR="006224C2" w:rsidRPr="00295E71" w14:paraId="281B1C0C" w14:textId="77777777">
      <w:pPr>
        <w:numPr>
          <w:ilvl w:val="12"/>
          <w:numId w:val="0"/>
        </w:numPr>
        <w:tabs>
          <w:tab w:val="left" w:pos="567"/>
        </w:tabs>
        <w:ind w:right="-2"/>
        <w:jc w:val="both"/>
        <w:rPr>
          <w:del w:id="16070" w:author="AbbVie14" w:date="2025-05-09T10:59:00Z"/>
          <w:b/>
          <w:sz w:val="22"/>
          <w:szCs w:val="22"/>
        </w:rPr>
      </w:pPr>
      <w:del w:id="16071" w:author="AbbVie14" w:date="2025-05-09T10:59:00Z">
        <w:r w:rsidRPr="00295E71">
          <w:rPr>
            <w:b/>
            <w:sz w:val="22"/>
            <w:szCs w:val="22"/>
          </w:rPr>
          <w:delText>Segnalazione degli effetti indesiderati</w:delText>
        </w:r>
      </w:del>
    </w:p>
    <w:p w:rsidR="006224C2" w:rsidRPr="00295E71" w14:paraId="330FBB92" w14:textId="77777777">
      <w:pPr>
        <w:numPr>
          <w:ilvl w:val="12"/>
          <w:numId w:val="0"/>
        </w:numPr>
        <w:tabs>
          <w:tab w:val="left" w:pos="567"/>
        </w:tabs>
        <w:ind w:right="-2"/>
        <w:jc w:val="both"/>
        <w:rPr>
          <w:del w:id="16072" w:author="AbbVie14" w:date="2025-05-09T10:59:00Z"/>
          <w:sz w:val="22"/>
          <w:szCs w:val="22"/>
        </w:rPr>
      </w:pPr>
      <w:del w:id="16073" w:author="AbbVie14" w:date="2025-05-09T10:59:00Z">
        <w:r w:rsidRPr="00295E71">
          <w:rPr>
            <w:sz w:val="22"/>
            <w:szCs w:val="22"/>
          </w:rPr>
          <w:delText xml:space="preserve">Se il bambino manifesta un qualsiasi effetto indesiderato, compresi quelli non elencati in questo foglio, si rivolga al </w:delText>
        </w:r>
      </w:del>
      <w:del w:id="16074" w:author="AbbVie14" w:date="2025-05-09T10:59:00Z">
        <w:r w:rsidRPr="00295E71" w:rsidR="00F961A2">
          <w:rPr>
            <w:sz w:val="22"/>
            <w:szCs w:val="22"/>
          </w:rPr>
          <w:delText xml:space="preserve">pediatra </w:delText>
        </w:r>
      </w:del>
      <w:del w:id="16075" w:author="AbbVie14" w:date="2025-05-09T10:59:00Z">
        <w:r w:rsidRPr="00295E71">
          <w:rPr>
            <w:sz w:val="22"/>
            <w:szCs w:val="22"/>
          </w:rPr>
          <w:delText xml:space="preserve">o al farmacista. Può inoltre segnalare gli effetti indesiderati direttamente tramite il </w:delText>
        </w:r>
      </w:del>
      <w:del w:id="16076" w:author="AbbVie14" w:date="2025-05-09T10:59:00Z">
        <w:r w:rsidRPr="00295E71">
          <w:rPr>
            <w:sz w:val="22"/>
            <w:szCs w:val="22"/>
            <w:highlight w:val="lightGray"/>
          </w:rPr>
          <w:delText>sistema nazionale di segnalazione riportato nell’</w:delText>
        </w:r>
      </w:del>
      <w:del w:id="16077" w:author="AbbVie14" w:date="2025-05-09T10:59:00Z">
        <w:r>
          <w:fldChar w:fldCharType="begin"/>
        </w:r>
      </w:del>
      <w:del w:id="16078" w:author="AbbVie14" w:date="2025-05-09T10:59:00Z">
        <w:r>
          <w:delInstrText>HYPERLINK "http://www.ema.europa.eu/docs/en_GB/document_library/Template_or_form/2013/03/WC500139752.doc"</w:delInstrText>
        </w:r>
      </w:del>
      <w:del w:id="16079" w:author="AbbVie14" w:date="2025-05-09T10:59:00Z">
        <w:r>
          <w:fldChar w:fldCharType="separate"/>
        </w:r>
      </w:del>
      <w:del w:id="16080" w:author="AbbVie14" w:date="2025-05-09T10:59:00Z">
        <w:r w:rsidRPr="00295E71">
          <w:rPr>
            <w:rStyle w:val="Hyperlink"/>
            <w:sz w:val="22"/>
            <w:szCs w:val="22"/>
            <w:highlight w:val="lightGray"/>
          </w:rPr>
          <w:delText>allegato V</w:delText>
        </w:r>
      </w:del>
      <w:del w:id="16081" w:author="AbbVie14" w:date="2025-05-09T10:59:00Z">
        <w:r>
          <w:fldChar w:fldCharType="end"/>
        </w:r>
      </w:del>
      <w:del w:id="16082" w:author="AbbVie14" w:date="2025-05-09T10:59:00Z">
        <w:r w:rsidRPr="00295E71">
          <w:rPr>
            <w:sz w:val="22"/>
            <w:szCs w:val="22"/>
          </w:rPr>
          <w:delText>. Segnalando gli effetti indesiderati può contribuire a fornire maggiori informazioni sulla sicurezza di questo medicinale.</w:delText>
        </w:r>
      </w:del>
    </w:p>
    <w:p w:rsidR="006224C2" w:rsidRPr="00295E71" w14:paraId="7D9BA741" w14:textId="77777777">
      <w:pPr>
        <w:numPr>
          <w:ilvl w:val="12"/>
          <w:numId w:val="0"/>
        </w:numPr>
        <w:tabs>
          <w:tab w:val="left" w:pos="567"/>
        </w:tabs>
        <w:ind w:right="-2"/>
        <w:jc w:val="both"/>
        <w:rPr>
          <w:del w:id="16083" w:author="AbbVie14" w:date="2025-05-09T10:59:00Z"/>
          <w:sz w:val="22"/>
          <w:szCs w:val="22"/>
        </w:rPr>
      </w:pPr>
    </w:p>
    <w:p w:rsidR="006224C2" w:rsidRPr="00295E71" w14:paraId="576C52EF" w14:textId="77777777">
      <w:pPr>
        <w:numPr>
          <w:ilvl w:val="12"/>
          <w:numId w:val="0"/>
        </w:numPr>
        <w:tabs>
          <w:tab w:val="left" w:pos="567"/>
        </w:tabs>
        <w:ind w:right="-2"/>
        <w:jc w:val="both"/>
        <w:rPr>
          <w:del w:id="16084" w:author="AbbVie14" w:date="2025-05-09T10:59:00Z"/>
          <w:sz w:val="22"/>
          <w:szCs w:val="22"/>
        </w:rPr>
      </w:pPr>
    </w:p>
    <w:p w:rsidR="006224C2" w:rsidRPr="00295E71" w:rsidP="001A1724" w14:paraId="71B6916F" w14:textId="77777777">
      <w:pPr>
        <w:keepNext/>
        <w:keepLines/>
        <w:rPr>
          <w:del w:id="16085" w:author="AbbVie14" w:date="2025-05-09T10:59:00Z"/>
          <w:b/>
          <w:bCs/>
          <w:sz w:val="22"/>
          <w:szCs w:val="22"/>
        </w:rPr>
      </w:pPr>
      <w:del w:id="16086" w:author="AbbVie14" w:date="2025-05-09T10:59:00Z">
        <w:r w:rsidRPr="00295E71">
          <w:rPr>
            <w:b/>
            <w:bCs/>
            <w:sz w:val="22"/>
            <w:szCs w:val="22"/>
          </w:rPr>
          <w:delText>5.</w:delText>
        </w:r>
      </w:del>
      <w:del w:id="16087" w:author="AbbVie14" w:date="2025-05-09T10:59:00Z">
        <w:r w:rsidRPr="00295E71">
          <w:rPr>
            <w:b/>
            <w:bCs/>
            <w:sz w:val="22"/>
            <w:szCs w:val="22"/>
          </w:rPr>
          <w:tab/>
          <w:delText>Come conservare Humira</w:delText>
        </w:r>
      </w:del>
    </w:p>
    <w:p w:rsidR="006224C2" w:rsidRPr="00295E71" w:rsidP="001A1724" w14:paraId="03F63DC6" w14:textId="77777777">
      <w:pPr>
        <w:keepNext/>
        <w:keepLines/>
        <w:numPr>
          <w:ilvl w:val="12"/>
          <w:numId w:val="0"/>
        </w:numPr>
        <w:tabs>
          <w:tab w:val="left" w:pos="567"/>
        </w:tabs>
        <w:ind w:right="-2"/>
        <w:jc w:val="both"/>
        <w:rPr>
          <w:del w:id="16088" w:author="AbbVie14" w:date="2025-05-09T10:59:00Z"/>
          <w:sz w:val="22"/>
          <w:szCs w:val="22"/>
        </w:rPr>
      </w:pPr>
    </w:p>
    <w:p w:rsidR="006224C2" w:rsidRPr="00295E71" w:rsidP="001A1724" w14:paraId="18AC7E85" w14:textId="77777777">
      <w:pPr>
        <w:keepNext/>
        <w:keepLines/>
        <w:numPr>
          <w:ilvl w:val="12"/>
          <w:numId w:val="0"/>
        </w:numPr>
        <w:tabs>
          <w:tab w:val="left" w:pos="567"/>
        </w:tabs>
        <w:ind w:right="-2"/>
        <w:jc w:val="both"/>
        <w:rPr>
          <w:del w:id="16089" w:author="AbbVie14" w:date="2025-05-09T10:59:00Z"/>
          <w:sz w:val="22"/>
          <w:szCs w:val="22"/>
        </w:rPr>
      </w:pPr>
      <w:del w:id="16090" w:author="AbbVie14" w:date="2025-05-09T10:59:00Z">
        <w:r w:rsidRPr="00295E71">
          <w:rPr>
            <w:sz w:val="22"/>
            <w:szCs w:val="22"/>
          </w:rPr>
          <w:delText>Conservi questo medicinale fuori dalla vista e dalla portata</w:delText>
        </w:r>
      </w:del>
      <w:del w:id="16091" w:author="AbbVie14" w:date="2025-05-09T10:59:00Z">
        <w:r w:rsidR="00114AD7">
          <w:rPr>
            <w:sz w:val="22"/>
            <w:szCs w:val="22"/>
          </w:rPr>
          <w:delText xml:space="preserve"> </w:delText>
        </w:r>
      </w:del>
      <w:del w:id="16092" w:author="AbbVie14" w:date="2025-05-09T10:59:00Z">
        <w:r w:rsidRPr="00295E71">
          <w:rPr>
            <w:sz w:val="22"/>
            <w:szCs w:val="22"/>
          </w:rPr>
          <w:delText>dei bambini.</w:delText>
        </w:r>
      </w:del>
    </w:p>
    <w:p w:rsidR="006224C2" w:rsidRPr="00295E71" w14:paraId="2C7E6087" w14:textId="77777777">
      <w:pPr>
        <w:numPr>
          <w:ilvl w:val="12"/>
          <w:numId w:val="0"/>
        </w:numPr>
        <w:tabs>
          <w:tab w:val="left" w:pos="567"/>
        </w:tabs>
        <w:ind w:right="-2"/>
        <w:jc w:val="both"/>
        <w:rPr>
          <w:del w:id="16093" w:author="AbbVie14" w:date="2025-05-09T10:59:00Z"/>
          <w:sz w:val="22"/>
          <w:szCs w:val="22"/>
        </w:rPr>
      </w:pPr>
    </w:p>
    <w:p w:rsidR="006224C2" w:rsidRPr="00295E71" w14:paraId="0749D4F7" w14:textId="77777777">
      <w:pPr>
        <w:numPr>
          <w:ilvl w:val="12"/>
          <w:numId w:val="0"/>
        </w:numPr>
        <w:tabs>
          <w:tab w:val="left" w:pos="567"/>
        </w:tabs>
        <w:ind w:right="-2"/>
        <w:jc w:val="both"/>
        <w:rPr>
          <w:del w:id="16094" w:author="AbbVie14" w:date="2025-05-09T10:59:00Z"/>
          <w:sz w:val="22"/>
          <w:szCs w:val="22"/>
        </w:rPr>
      </w:pPr>
      <w:del w:id="16095" w:author="AbbVie14" w:date="2025-05-09T10:59:00Z">
        <w:r w:rsidRPr="00295E71">
          <w:rPr>
            <w:sz w:val="22"/>
            <w:szCs w:val="22"/>
          </w:rPr>
          <w:delText xml:space="preserve">Non usi questo medicinale dopo la data di scadenza che è riportata sull’etichetta/blister/scatola dopo la scritta Scad. </w:delText>
        </w:r>
      </w:del>
    </w:p>
    <w:p w:rsidR="006224C2" w:rsidRPr="00295E71" w14:paraId="367BCADE" w14:textId="77777777">
      <w:pPr>
        <w:numPr>
          <w:ilvl w:val="12"/>
          <w:numId w:val="0"/>
        </w:numPr>
        <w:tabs>
          <w:tab w:val="left" w:pos="567"/>
        </w:tabs>
        <w:ind w:right="-2"/>
        <w:jc w:val="both"/>
        <w:rPr>
          <w:del w:id="16096" w:author="AbbVie14" w:date="2025-05-09T10:59:00Z"/>
          <w:sz w:val="22"/>
          <w:szCs w:val="22"/>
        </w:rPr>
      </w:pPr>
    </w:p>
    <w:p w:rsidR="006224C2" w:rsidRPr="00295E71" w14:paraId="462276E6" w14:textId="77777777">
      <w:pPr>
        <w:pStyle w:val="BodyText2"/>
        <w:jc w:val="both"/>
        <w:rPr>
          <w:del w:id="16097" w:author="AbbVie14" w:date="2025-05-09T10:59:00Z"/>
        </w:rPr>
      </w:pPr>
      <w:del w:id="16098" w:author="AbbVie14" w:date="2025-05-09T10:59:00Z">
        <w:r w:rsidRPr="00295E71">
          <w:delText>Conservare in frigorifero (2</w:delText>
        </w:r>
      </w:del>
      <w:del w:id="16099" w:author="AbbVie14" w:date="2025-05-09T10:59:00Z">
        <w:r w:rsidRPr="00295E71">
          <w:rPr>
            <w:rFonts w:ascii="Symbol" w:hAnsi="Symbol"/>
          </w:rPr>
          <w:sym w:font="Symbol" w:char="F0B0"/>
        </w:r>
      </w:del>
      <w:del w:id="16100" w:author="AbbVie14" w:date="2025-05-09T10:59:00Z">
        <w:r w:rsidRPr="00295E71">
          <w:delText>C – 8</w:delText>
        </w:r>
      </w:del>
      <w:del w:id="16101" w:author="AbbVie14" w:date="2025-05-09T10:59:00Z">
        <w:r w:rsidRPr="00295E71">
          <w:rPr>
            <w:rFonts w:ascii="Symbol" w:hAnsi="Symbol"/>
          </w:rPr>
          <w:sym w:font="Symbol" w:char="F0B0"/>
        </w:r>
      </w:del>
      <w:del w:id="16102" w:author="AbbVie14" w:date="2025-05-09T10:59:00Z">
        <w:r w:rsidRPr="00295E71">
          <w:delText xml:space="preserve">C). Non congelare. </w:delText>
        </w:r>
      </w:del>
    </w:p>
    <w:p w:rsidR="006224C2" w:rsidRPr="00295E71" w14:paraId="33381DA3" w14:textId="77777777">
      <w:pPr>
        <w:pStyle w:val="BodyText2"/>
        <w:jc w:val="both"/>
        <w:rPr>
          <w:del w:id="16103" w:author="AbbVie14" w:date="2025-05-09T10:59:00Z"/>
        </w:rPr>
      </w:pPr>
    </w:p>
    <w:p w:rsidR="006224C2" w:rsidRPr="00295E71" w14:paraId="0AD5C604" w14:textId="77777777">
      <w:pPr>
        <w:pStyle w:val="BodyText2"/>
        <w:jc w:val="both"/>
        <w:rPr>
          <w:del w:id="16104" w:author="AbbVie14" w:date="2025-05-09T10:59:00Z"/>
        </w:rPr>
      </w:pPr>
      <w:del w:id="16105" w:author="AbbVie14" w:date="2025-05-09T10:59:00Z">
        <w:r w:rsidRPr="00295E71">
          <w:delText>Tenere</w:delText>
        </w:r>
      </w:del>
      <w:del w:id="16106" w:author="AbbVie14" w:date="2025-05-09T10:59:00Z">
        <w:r w:rsidRPr="00295E71" w:rsidR="00226BC4">
          <w:delText xml:space="preserve"> il flaconcino nell’</w:delText>
        </w:r>
      </w:del>
      <w:del w:id="16107" w:author="AbbVie14" w:date="2025-05-09T10:59:00Z">
        <w:r w:rsidRPr="00295E71">
          <w:delText>imballaggio esterno</w:delText>
        </w:r>
      </w:del>
      <w:del w:id="16108" w:author="AbbVie14" w:date="2025-05-09T10:59:00Z">
        <w:r w:rsidRPr="00295E71" w:rsidR="00226BC4">
          <w:delText xml:space="preserve"> per proteggere il medicinale dalla luce.</w:delText>
        </w:r>
      </w:del>
    </w:p>
    <w:p w:rsidR="006224C2" w:rsidRPr="00295E71" w14:paraId="461A4C16" w14:textId="77777777">
      <w:pPr>
        <w:numPr>
          <w:ilvl w:val="12"/>
          <w:numId w:val="0"/>
        </w:numPr>
        <w:tabs>
          <w:tab w:val="left" w:pos="567"/>
        </w:tabs>
        <w:ind w:right="-2"/>
        <w:jc w:val="both"/>
        <w:rPr>
          <w:del w:id="16109" w:author="AbbVie14" w:date="2025-05-09T10:59:00Z"/>
          <w:sz w:val="22"/>
          <w:szCs w:val="22"/>
        </w:rPr>
      </w:pPr>
    </w:p>
    <w:p w:rsidR="006224C2" w:rsidRPr="00295E71" w14:paraId="79E5D084" w14:textId="77777777">
      <w:pPr>
        <w:numPr>
          <w:ilvl w:val="12"/>
          <w:numId w:val="0"/>
        </w:numPr>
        <w:tabs>
          <w:tab w:val="left" w:pos="567"/>
        </w:tabs>
        <w:ind w:right="-2"/>
        <w:jc w:val="both"/>
        <w:rPr>
          <w:del w:id="16110" w:author="AbbVie14" w:date="2025-05-09T10:59:00Z"/>
          <w:sz w:val="22"/>
          <w:szCs w:val="22"/>
        </w:rPr>
      </w:pPr>
      <w:del w:id="16111" w:author="AbbVie14" w:date="2025-05-09T10:59:00Z">
        <w:r w:rsidRPr="00295E71">
          <w:rPr>
            <w:sz w:val="22"/>
            <w:szCs w:val="22"/>
          </w:rPr>
          <w:delText>Non getti alcun medicinale nell’acqua di scarico e nei rifiuti domestici. Chieda al medico o al farmacista come eliminare i medicinali che non utilizza più. Questo aiuterà a proteggere l’ambiente.</w:delText>
        </w:r>
      </w:del>
    </w:p>
    <w:p w:rsidR="006224C2" w:rsidRPr="00295E71" w14:paraId="007D40B5" w14:textId="77777777">
      <w:pPr>
        <w:numPr>
          <w:ilvl w:val="12"/>
          <w:numId w:val="0"/>
        </w:numPr>
        <w:tabs>
          <w:tab w:val="left" w:pos="567"/>
        </w:tabs>
        <w:ind w:left="567" w:right="-2" w:hanging="567"/>
        <w:jc w:val="both"/>
        <w:rPr>
          <w:del w:id="16112" w:author="AbbVie14" w:date="2025-05-09T10:59:00Z"/>
          <w:sz w:val="22"/>
          <w:szCs w:val="22"/>
        </w:rPr>
      </w:pPr>
    </w:p>
    <w:p w:rsidR="006224C2" w:rsidRPr="00295E71" w14:paraId="602810D5" w14:textId="77777777">
      <w:pPr>
        <w:numPr>
          <w:ilvl w:val="12"/>
          <w:numId w:val="0"/>
        </w:numPr>
        <w:tabs>
          <w:tab w:val="left" w:pos="567"/>
        </w:tabs>
        <w:ind w:left="567" w:right="-2" w:hanging="567"/>
        <w:jc w:val="both"/>
        <w:rPr>
          <w:del w:id="16113" w:author="AbbVie14" w:date="2025-05-09T10:59:00Z"/>
          <w:sz w:val="22"/>
          <w:szCs w:val="22"/>
        </w:rPr>
      </w:pPr>
    </w:p>
    <w:p w:rsidR="006224C2" w:rsidRPr="00295E71" w14:paraId="7C1A943E" w14:textId="77777777">
      <w:pPr>
        <w:numPr>
          <w:ilvl w:val="12"/>
          <w:numId w:val="0"/>
        </w:numPr>
        <w:tabs>
          <w:tab w:val="left" w:pos="567"/>
        </w:tabs>
        <w:ind w:left="567" w:right="-2" w:hanging="567"/>
        <w:jc w:val="both"/>
        <w:rPr>
          <w:del w:id="16114" w:author="AbbVie14" w:date="2025-05-09T10:59:00Z"/>
          <w:b/>
          <w:bCs/>
          <w:sz w:val="22"/>
          <w:szCs w:val="22"/>
        </w:rPr>
      </w:pPr>
      <w:del w:id="16115" w:author="AbbVie14" w:date="2025-05-09T10:59:00Z">
        <w:r w:rsidRPr="00295E71">
          <w:rPr>
            <w:b/>
            <w:bCs/>
            <w:sz w:val="22"/>
            <w:szCs w:val="22"/>
          </w:rPr>
          <w:delText>6.</w:delText>
        </w:r>
      </w:del>
      <w:del w:id="16116" w:author="AbbVie14" w:date="2025-05-09T10:59:00Z">
        <w:r w:rsidRPr="00295E71">
          <w:rPr>
            <w:b/>
            <w:bCs/>
            <w:sz w:val="22"/>
            <w:szCs w:val="22"/>
          </w:rPr>
          <w:tab/>
          <w:delText>Contenuto della confezione e altre informazioni</w:delText>
        </w:r>
      </w:del>
    </w:p>
    <w:p w:rsidR="006224C2" w:rsidRPr="00295E71" w14:paraId="22B6042A" w14:textId="77777777">
      <w:pPr>
        <w:numPr>
          <w:ilvl w:val="12"/>
          <w:numId w:val="0"/>
        </w:numPr>
        <w:tabs>
          <w:tab w:val="left" w:pos="567"/>
        </w:tabs>
        <w:ind w:right="-2"/>
        <w:jc w:val="both"/>
        <w:rPr>
          <w:del w:id="16117" w:author="AbbVie14" w:date="2025-05-09T10:59:00Z"/>
          <w:sz w:val="22"/>
          <w:szCs w:val="22"/>
        </w:rPr>
      </w:pPr>
    </w:p>
    <w:p w:rsidR="006224C2" w:rsidRPr="00295E71" w14:paraId="3BCA79A1" w14:textId="77777777">
      <w:pPr>
        <w:pStyle w:val="Heading8"/>
        <w:keepNext w:val="0"/>
        <w:tabs>
          <w:tab w:val="left" w:pos="567"/>
        </w:tabs>
        <w:jc w:val="both"/>
        <w:rPr>
          <w:del w:id="16118" w:author="AbbVie14" w:date="2025-05-09T10:59:00Z"/>
        </w:rPr>
      </w:pPr>
      <w:del w:id="16119" w:author="AbbVie14" w:date="2025-05-09T10:59:00Z">
        <w:r w:rsidRPr="00295E71">
          <w:delText>Cosa contiene Humira</w:delText>
        </w:r>
      </w:del>
    </w:p>
    <w:p w:rsidR="006224C2" w:rsidRPr="00295E71" w14:paraId="61A8DC12" w14:textId="77777777">
      <w:pPr>
        <w:numPr>
          <w:ilvl w:val="12"/>
          <w:numId w:val="0"/>
        </w:numPr>
        <w:tabs>
          <w:tab w:val="left" w:pos="567"/>
        </w:tabs>
        <w:ind w:right="-2"/>
        <w:jc w:val="both"/>
        <w:rPr>
          <w:del w:id="16120" w:author="AbbVie14" w:date="2025-05-09T10:59:00Z"/>
          <w:sz w:val="22"/>
          <w:szCs w:val="22"/>
        </w:rPr>
      </w:pPr>
    </w:p>
    <w:p w:rsidR="006224C2" w:rsidRPr="00295E71" w14:paraId="260F7C6D" w14:textId="77777777">
      <w:pPr>
        <w:pStyle w:val="ListParagraph"/>
        <w:numPr>
          <w:ilvl w:val="0"/>
          <w:numId w:val="1"/>
        </w:numPr>
        <w:tabs>
          <w:tab w:val="left" w:pos="567"/>
        </w:tabs>
        <w:ind w:right="-2"/>
        <w:jc w:val="both"/>
        <w:rPr>
          <w:del w:id="16121" w:author="AbbVie14" w:date="2025-05-09T10:59:00Z"/>
          <w:sz w:val="22"/>
          <w:szCs w:val="22"/>
        </w:rPr>
      </w:pPr>
      <w:del w:id="16122" w:author="AbbVie14" w:date="2025-05-09T10:59:00Z">
        <w:r w:rsidRPr="00295E71">
          <w:rPr>
            <w:sz w:val="22"/>
            <w:szCs w:val="22"/>
          </w:rPr>
          <w:delText>Il principio attivo è adalimumab.</w:delText>
        </w:r>
      </w:del>
    </w:p>
    <w:p w:rsidR="006224C2" w:rsidRPr="00295E71" w14:paraId="3B252BED" w14:textId="77777777">
      <w:pPr>
        <w:pStyle w:val="ListParagraph"/>
        <w:numPr>
          <w:ilvl w:val="0"/>
          <w:numId w:val="1"/>
        </w:numPr>
        <w:tabs>
          <w:tab w:val="left" w:pos="567"/>
        </w:tabs>
        <w:ind w:right="-2"/>
        <w:jc w:val="both"/>
        <w:rPr>
          <w:del w:id="16123" w:author="AbbVie14" w:date="2025-05-09T10:59:00Z"/>
          <w:sz w:val="22"/>
          <w:szCs w:val="22"/>
        </w:rPr>
      </w:pPr>
      <w:del w:id="16124" w:author="AbbVie14" w:date="2025-05-09T10:59:00Z">
        <w:r w:rsidRPr="00295E71">
          <w:rPr>
            <w:sz w:val="22"/>
            <w:szCs w:val="22"/>
          </w:rPr>
          <w:delText>Gli eccipienti sono mannitolo, acido citrico monoidrato, sodio citrato, sodio fosfato monobasico diidrato, sodio fosfato dibasico diidrato, sodio cloruro, polisorbato 80, sodio idrossido e acqua per preparazioni iniettabili.</w:delText>
        </w:r>
      </w:del>
    </w:p>
    <w:p w:rsidR="006224C2" w:rsidRPr="00295E71" w14:paraId="1C130422" w14:textId="77777777">
      <w:pPr>
        <w:numPr>
          <w:ilvl w:val="12"/>
          <w:numId w:val="0"/>
        </w:numPr>
        <w:tabs>
          <w:tab w:val="left" w:pos="567"/>
        </w:tabs>
        <w:ind w:right="-2"/>
        <w:jc w:val="both"/>
        <w:rPr>
          <w:del w:id="16125" w:author="AbbVie14" w:date="2025-05-09T10:59:00Z"/>
          <w:sz w:val="22"/>
          <w:szCs w:val="22"/>
        </w:rPr>
      </w:pPr>
    </w:p>
    <w:p w:rsidR="006224C2" w:rsidRPr="00295E71" w14:paraId="20924872" w14:textId="77777777">
      <w:pPr>
        <w:pStyle w:val="Heading8"/>
        <w:keepNext w:val="0"/>
        <w:tabs>
          <w:tab w:val="left" w:pos="567"/>
        </w:tabs>
        <w:jc w:val="both"/>
        <w:rPr>
          <w:del w:id="16126" w:author="AbbVie14" w:date="2025-05-09T10:59:00Z"/>
        </w:rPr>
      </w:pPr>
      <w:del w:id="16127" w:author="AbbVie14" w:date="2025-05-09T10:59:00Z">
        <w:r w:rsidRPr="00295E71">
          <w:delText>Descrizione dell’aspetto di Humira flaconcini</w:delText>
        </w:r>
      </w:del>
      <w:del w:id="16128" w:author="AbbVie14" w:date="2025-05-09T10:59:00Z">
        <w:r w:rsidRPr="00295E71" w:rsidR="00F92553">
          <w:delText xml:space="preserve"> </w:delText>
        </w:r>
      </w:del>
      <w:del w:id="16129" w:author="AbbVie14" w:date="2025-05-09T10:59:00Z">
        <w:r w:rsidRPr="00295E71">
          <w:delText>e contenuto della confezione</w:delText>
        </w:r>
      </w:del>
    </w:p>
    <w:p w:rsidR="006224C2" w:rsidRPr="00295E71" w14:paraId="26F20AD1" w14:textId="77777777">
      <w:pPr>
        <w:numPr>
          <w:ilvl w:val="12"/>
          <w:numId w:val="0"/>
        </w:numPr>
        <w:tabs>
          <w:tab w:val="left" w:pos="567"/>
        </w:tabs>
        <w:ind w:right="-2"/>
        <w:jc w:val="both"/>
        <w:rPr>
          <w:del w:id="16130" w:author="AbbVie14" w:date="2025-05-09T10:59:00Z"/>
          <w:sz w:val="22"/>
          <w:szCs w:val="22"/>
        </w:rPr>
      </w:pPr>
    </w:p>
    <w:p w:rsidR="006224C2" w:rsidRPr="00295E71" w14:paraId="2E95BFC1" w14:textId="77777777">
      <w:pPr>
        <w:numPr>
          <w:ilvl w:val="12"/>
          <w:numId w:val="0"/>
        </w:numPr>
        <w:tabs>
          <w:tab w:val="left" w:pos="567"/>
        </w:tabs>
        <w:ind w:right="-2"/>
        <w:jc w:val="both"/>
        <w:rPr>
          <w:del w:id="16131" w:author="AbbVie14" w:date="2025-05-09T10:59:00Z"/>
          <w:sz w:val="22"/>
          <w:szCs w:val="22"/>
        </w:rPr>
      </w:pPr>
      <w:del w:id="16132" w:author="AbbVie14" w:date="2025-05-09T10:59:00Z">
        <w:r w:rsidRPr="00295E71">
          <w:rPr>
            <w:sz w:val="22"/>
            <w:szCs w:val="22"/>
          </w:rPr>
          <w:delText>Humira 40 mg soluzione iniettabile in flaconcini è fornito come soluzione sterile di 40 mg di adalimumab disciolti in 0,8 ml di soluzione.</w:delText>
        </w:r>
      </w:del>
    </w:p>
    <w:p w:rsidR="006224C2" w:rsidRPr="00295E71" w14:paraId="41EA220F" w14:textId="77777777">
      <w:pPr>
        <w:numPr>
          <w:ilvl w:val="12"/>
          <w:numId w:val="0"/>
        </w:numPr>
        <w:tabs>
          <w:tab w:val="left" w:pos="567"/>
        </w:tabs>
        <w:ind w:right="-2"/>
        <w:jc w:val="both"/>
        <w:rPr>
          <w:del w:id="16133" w:author="AbbVie14" w:date="2025-05-09T10:59:00Z"/>
          <w:sz w:val="22"/>
          <w:szCs w:val="22"/>
        </w:rPr>
      </w:pPr>
    </w:p>
    <w:p w:rsidR="006224C2" w:rsidRPr="00295E71" w14:paraId="4E297636" w14:textId="77777777">
      <w:pPr>
        <w:numPr>
          <w:ilvl w:val="12"/>
          <w:numId w:val="0"/>
        </w:numPr>
        <w:tabs>
          <w:tab w:val="left" w:pos="567"/>
        </w:tabs>
        <w:ind w:right="-2"/>
        <w:jc w:val="both"/>
        <w:rPr>
          <w:del w:id="16134" w:author="AbbVie14" w:date="2025-05-09T10:59:00Z"/>
          <w:sz w:val="22"/>
          <w:szCs w:val="22"/>
        </w:rPr>
      </w:pPr>
      <w:del w:id="16135" w:author="AbbVie14" w:date="2025-05-09T10:59:00Z">
        <w:r w:rsidRPr="00295E71">
          <w:rPr>
            <w:sz w:val="22"/>
            <w:szCs w:val="22"/>
          </w:rPr>
          <w:delText>Humira flaconcini è composta da una soluzione di adalimumab contenuta in un flaconcino di vetro. Una confezione contiene 2 astucci, ciascuno dei quali contiene 1 flaconcino, una siringa sterile vuota, 1 ago, 1 adattattore per flaconcini e 2 tamponi imbevuti di alcool.</w:delText>
        </w:r>
      </w:del>
    </w:p>
    <w:p w:rsidR="006224C2" w:rsidRPr="00295E71" w14:paraId="27A8CA83" w14:textId="77777777">
      <w:pPr>
        <w:numPr>
          <w:ilvl w:val="12"/>
          <w:numId w:val="0"/>
        </w:numPr>
        <w:tabs>
          <w:tab w:val="left" w:pos="567"/>
        </w:tabs>
        <w:ind w:right="-2"/>
        <w:jc w:val="both"/>
        <w:rPr>
          <w:del w:id="16136" w:author="AbbVie14" w:date="2025-05-09T10:59:00Z"/>
          <w:sz w:val="22"/>
          <w:szCs w:val="22"/>
        </w:rPr>
      </w:pPr>
    </w:p>
    <w:p w:rsidR="006224C2" w:rsidRPr="00295E71" w14:paraId="116DD5B7" w14:textId="77777777">
      <w:pPr>
        <w:numPr>
          <w:ilvl w:val="12"/>
          <w:numId w:val="0"/>
        </w:numPr>
        <w:tabs>
          <w:tab w:val="left" w:pos="567"/>
        </w:tabs>
        <w:ind w:right="-2"/>
        <w:jc w:val="both"/>
        <w:rPr>
          <w:del w:id="16137" w:author="AbbVie14" w:date="2025-05-09T10:59:00Z"/>
          <w:sz w:val="22"/>
          <w:szCs w:val="22"/>
        </w:rPr>
      </w:pPr>
      <w:del w:id="16138" w:author="AbbVie14" w:date="2025-05-09T10:59:00Z">
        <w:r w:rsidRPr="00295E71">
          <w:rPr>
            <w:sz w:val="22"/>
            <w:szCs w:val="22"/>
          </w:rPr>
          <w:delText xml:space="preserve">Humira </w:delText>
        </w:r>
      </w:del>
      <w:del w:id="16139" w:author="AbbVie14" w:date="2025-05-09T10:59:00Z">
        <w:r w:rsidRPr="00295E71" w:rsidR="00FF6263">
          <w:rPr>
            <w:sz w:val="22"/>
            <w:szCs w:val="22"/>
          </w:rPr>
          <w:delText>può essere</w:delText>
        </w:r>
      </w:del>
      <w:del w:id="16140" w:author="AbbVie14" w:date="2025-05-09T10:59:00Z">
        <w:r w:rsidRPr="00295E71">
          <w:rPr>
            <w:sz w:val="22"/>
            <w:szCs w:val="22"/>
          </w:rPr>
          <w:delText xml:space="preserve"> disponibile in </w:delText>
        </w:r>
      </w:del>
      <w:del w:id="16141" w:author="AbbVie14" w:date="2025-05-09T10:59:00Z">
        <w:r w:rsidRPr="00295E71" w:rsidR="00FF6263">
          <w:rPr>
            <w:sz w:val="22"/>
            <w:szCs w:val="22"/>
          </w:rPr>
          <w:delText xml:space="preserve">flaconcino, </w:delText>
        </w:r>
      </w:del>
      <w:del w:id="16142" w:author="AbbVie14" w:date="2025-05-09T10:59:00Z">
        <w:r w:rsidRPr="00295E71">
          <w:rPr>
            <w:sz w:val="22"/>
            <w:szCs w:val="22"/>
          </w:rPr>
          <w:delText>siringa pre-riempita</w:delText>
        </w:r>
      </w:del>
      <w:del w:id="16143" w:author="AbbVie14" w:date="2025-05-09T10:59:00Z">
        <w:r w:rsidRPr="00295E71" w:rsidR="00FF6263">
          <w:rPr>
            <w:sz w:val="22"/>
            <w:szCs w:val="22"/>
          </w:rPr>
          <w:delText xml:space="preserve"> e/</w:delText>
        </w:r>
      </w:del>
      <w:del w:id="16144" w:author="AbbVie14" w:date="2025-05-09T10:59:00Z">
        <w:r w:rsidRPr="00295E71">
          <w:rPr>
            <w:sz w:val="22"/>
            <w:szCs w:val="22"/>
          </w:rPr>
          <w:delText>o in penna pre-riempita.</w:delText>
        </w:r>
      </w:del>
    </w:p>
    <w:p w:rsidR="006224C2" w:rsidRPr="00295E71" w14:paraId="3DAC83F4" w14:textId="77777777">
      <w:pPr>
        <w:numPr>
          <w:ilvl w:val="12"/>
          <w:numId w:val="0"/>
        </w:numPr>
        <w:tabs>
          <w:tab w:val="left" w:pos="567"/>
        </w:tabs>
        <w:ind w:right="-2"/>
        <w:jc w:val="both"/>
        <w:rPr>
          <w:del w:id="16145" w:author="AbbVie14" w:date="2025-05-09T10:59:00Z"/>
          <w:sz w:val="22"/>
          <w:szCs w:val="22"/>
        </w:rPr>
      </w:pPr>
    </w:p>
    <w:p w:rsidR="006224C2" w:rsidRPr="00295E71" w14:paraId="1E4F0381" w14:textId="77777777">
      <w:pPr>
        <w:pStyle w:val="Heading8"/>
        <w:keepNext w:val="0"/>
        <w:tabs>
          <w:tab w:val="left" w:pos="567"/>
        </w:tabs>
        <w:jc w:val="both"/>
        <w:rPr>
          <w:del w:id="16146" w:author="AbbVie14" w:date="2025-05-09T10:59:00Z"/>
        </w:rPr>
      </w:pPr>
      <w:del w:id="16147" w:author="AbbVie14" w:date="2025-05-09T10:59:00Z">
        <w:r w:rsidRPr="00295E71">
          <w:delText>Titolare dell’autorizzazione all’immissione in commercio</w:delText>
        </w:r>
      </w:del>
    </w:p>
    <w:p w:rsidR="006224C2" w:rsidRPr="00295E71" w14:paraId="584639DD" w14:textId="77777777">
      <w:pPr>
        <w:numPr>
          <w:ilvl w:val="12"/>
          <w:numId w:val="0"/>
        </w:numPr>
        <w:tabs>
          <w:tab w:val="left" w:pos="567"/>
        </w:tabs>
        <w:ind w:right="-2"/>
        <w:jc w:val="both"/>
        <w:rPr>
          <w:del w:id="16148" w:author="AbbVie14" w:date="2025-05-09T10:59:00Z"/>
          <w:sz w:val="22"/>
          <w:szCs w:val="22"/>
        </w:rPr>
      </w:pPr>
    </w:p>
    <w:p w:rsidR="004B72C2" w:rsidRPr="00910CE7" w:rsidP="004B72C2" w14:paraId="1926B080" w14:textId="77777777">
      <w:pPr>
        <w:tabs>
          <w:tab w:val="left" w:pos="567"/>
        </w:tabs>
        <w:jc w:val="both"/>
        <w:rPr>
          <w:del w:id="16149" w:author="AbbVie14" w:date="2025-05-09T10:59:00Z"/>
          <w:sz w:val="22"/>
        </w:rPr>
      </w:pPr>
      <w:del w:id="16150" w:author="AbbVie14" w:date="2025-05-09T10:59:00Z">
        <w:r w:rsidRPr="00295E71">
          <w:rPr>
            <w:sz w:val="22"/>
            <w:szCs w:val="22"/>
          </w:rPr>
          <w:delText xml:space="preserve">AbbVie Deutschland GmbH &amp; Co. </w:delText>
        </w:r>
      </w:del>
      <w:del w:id="16151" w:author="AbbVie14" w:date="2025-05-09T10:59:00Z">
        <w:r w:rsidRPr="00910CE7">
          <w:rPr>
            <w:sz w:val="22"/>
          </w:rPr>
          <w:delText>KG</w:delText>
        </w:r>
      </w:del>
    </w:p>
    <w:p w:rsidR="004B72C2" w:rsidRPr="00910CE7" w:rsidP="004B72C2" w14:paraId="7C4DD079" w14:textId="77777777">
      <w:pPr>
        <w:tabs>
          <w:tab w:val="left" w:pos="567"/>
        </w:tabs>
        <w:jc w:val="both"/>
        <w:rPr>
          <w:del w:id="16152" w:author="AbbVie14" w:date="2025-05-09T10:59:00Z"/>
          <w:sz w:val="22"/>
        </w:rPr>
      </w:pPr>
      <w:del w:id="16153" w:author="AbbVie14" w:date="2025-05-09T10:59:00Z">
        <w:r w:rsidRPr="00910CE7">
          <w:rPr>
            <w:sz w:val="22"/>
          </w:rPr>
          <w:delText>Knollstrasse</w:delText>
        </w:r>
      </w:del>
    </w:p>
    <w:p w:rsidR="004B72C2" w:rsidRPr="00910CE7" w:rsidP="004B72C2" w14:paraId="5043B814" w14:textId="77777777">
      <w:pPr>
        <w:tabs>
          <w:tab w:val="left" w:pos="567"/>
        </w:tabs>
        <w:jc w:val="both"/>
        <w:rPr>
          <w:del w:id="16154" w:author="AbbVie14" w:date="2025-05-09T10:59:00Z"/>
          <w:sz w:val="22"/>
        </w:rPr>
      </w:pPr>
      <w:del w:id="16155" w:author="AbbVie14" w:date="2025-05-09T10:59:00Z">
        <w:r w:rsidRPr="00910CE7">
          <w:rPr>
            <w:sz w:val="22"/>
          </w:rPr>
          <w:delText>67061 Ludwigshafen</w:delText>
        </w:r>
      </w:del>
    </w:p>
    <w:p w:rsidR="004B72C2" w:rsidRPr="00910CE7" w:rsidP="004B72C2" w14:paraId="50F9B680" w14:textId="77777777">
      <w:pPr>
        <w:tabs>
          <w:tab w:val="left" w:pos="567"/>
        </w:tabs>
        <w:jc w:val="both"/>
        <w:rPr>
          <w:del w:id="16156" w:author="AbbVie14" w:date="2025-05-09T10:59:00Z"/>
          <w:sz w:val="22"/>
        </w:rPr>
      </w:pPr>
      <w:del w:id="16157" w:author="AbbVie14" w:date="2025-05-09T10:59:00Z">
        <w:r w:rsidRPr="00910CE7">
          <w:rPr>
            <w:sz w:val="22"/>
          </w:rPr>
          <w:delText>Germania</w:delText>
        </w:r>
      </w:del>
    </w:p>
    <w:p w:rsidR="006224C2" w:rsidRPr="00910CE7" w14:paraId="16DB212C" w14:textId="77777777">
      <w:pPr>
        <w:rPr>
          <w:del w:id="16158" w:author="AbbVie14" w:date="2025-05-09T10:59:00Z"/>
          <w:sz w:val="22"/>
        </w:rPr>
      </w:pPr>
    </w:p>
    <w:p w:rsidR="006224C2" w:rsidRPr="00910CE7" w14:paraId="6F945233" w14:textId="77777777">
      <w:pPr>
        <w:rPr>
          <w:del w:id="16159" w:author="AbbVie14" w:date="2025-05-09T10:59:00Z"/>
          <w:b/>
          <w:sz w:val="22"/>
        </w:rPr>
      </w:pPr>
      <w:del w:id="16160" w:author="AbbVie14" w:date="2025-05-09T10:59:00Z">
        <w:r w:rsidRPr="00910CE7">
          <w:rPr>
            <w:b/>
            <w:sz w:val="22"/>
          </w:rPr>
          <w:delText>Produttore</w:delText>
        </w:r>
      </w:del>
    </w:p>
    <w:p w:rsidR="006224C2" w:rsidRPr="00F01EAB" w14:paraId="282257BA" w14:textId="77777777">
      <w:pPr>
        <w:numPr>
          <w:ilvl w:val="12"/>
          <w:numId w:val="0"/>
        </w:numPr>
        <w:tabs>
          <w:tab w:val="left" w:pos="567"/>
        </w:tabs>
        <w:ind w:right="-2"/>
        <w:jc w:val="both"/>
        <w:rPr>
          <w:del w:id="16161" w:author="AbbVie14" w:date="2025-05-09T10:59:00Z"/>
          <w:sz w:val="22"/>
          <w:szCs w:val="22"/>
        </w:rPr>
      </w:pPr>
    </w:p>
    <w:p w:rsidR="006224C2" w:rsidRPr="00F01EAB" w14:paraId="488C554F" w14:textId="77777777">
      <w:pPr>
        <w:rPr>
          <w:del w:id="16162" w:author="AbbVie14" w:date="2025-05-09T10:59:00Z"/>
          <w:sz w:val="22"/>
          <w:szCs w:val="22"/>
        </w:rPr>
      </w:pPr>
      <w:del w:id="16163" w:author="AbbVie14" w:date="2025-05-09T10:59:00Z">
        <w:r w:rsidRPr="00F01EAB">
          <w:rPr>
            <w:sz w:val="22"/>
            <w:szCs w:val="22"/>
          </w:rPr>
          <w:delText>AbbVie Biotechnology GmbH</w:delText>
        </w:r>
      </w:del>
    </w:p>
    <w:p w:rsidR="006224C2" w:rsidRPr="00F01EAB" w14:paraId="4AB19044" w14:textId="77777777">
      <w:pPr>
        <w:numPr>
          <w:ilvl w:val="12"/>
          <w:numId w:val="0"/>
        </w:numPr>
        <w:tabs>
          <w:tab w:val="left" w:pos="720"/>
        </w:tabs>
        <w:rPr>
          <w:del w:id="16164" w:author="AbbVie14" w:date="2025-05-09T10:59:00Z"/>
          <w:sz w:val="22"/>
          <w:szCs w:val="22"/>
        </w:rPr>
      </w:pPr>
      <w:del w:id="16165" w:author="AbbVie14" w:date="2025-05-09T10:59:00Z">
        <w:r w:rsidRPr="00F01EAB">
          <w:rPr>
            <w:sz w:val="22"/>
            <w:szCs w:val="22"/>
          </w:rPr>
          <w:delText>Knollstrasse</w:delText>
        </w:r>
      </w:del>
    </w:p>
    <w:p w:rsidR="006224C2" w:rsidRPr="00F01EAB" w14:paraId="18F84F02" w14:textId="77777777">
      <w:pPr>
        <w:numPr>
          <w:ilvl w:val="12"/>
          <w:numId w:val="0"/>
        </w:numPr>
        <w:tabs>
          <w:tab w:val="left" w:pos="720"/>
        </w:tabs>
        <w:rPr>
          <w:del w:id="16166" w:author="AbbVie14" w:date="2025-05-09T10:59:00Z"/>
          <w:sz w:val="22"/>
          <w:szCs w:val="22"/>
        </w:rPr>
      </w:pPr>
      <w:del w:id="16167" w:author="AbbVie14" w:date="2025-05-09T10:59:00Z">
        <w:r w:rsidRPr="00F01EAB">
          <w:rPr>
            <w:sz w:val="22"/>
            <w:szCs w:val="22"/>
          </w:rPr>
          <w:delText>67061 Ludwigshafen</w:delText>
        </w:r>
      </w:del>
    </w:p>
    <w:p w:rsidR="006224C2" w:rsidRPr="00295E71" w14:paraId="08FBAC16" w14:textId="77777777">
      <w:pPr>
        <w:numPr>
          <w:ilvl w:val="12"/>
          <w:numId w:val="0"/>
        </w:numPr>
        <w:tabs>
          <w:tab w:val="left" w:pos="720"/>
        </w:tabs>
        <w:rPr>
          <w:del w:id="16168" w:author="AbbVie14" w:date="2025-05-09T10:59:00Z"/>
          <w:sz w:val="22"/>
          <w:szCs w:val="22"/>
        </w:rPr>
      </w:pPr>
      <w:del w:id="16169" w:author="AbbVie14" w:date="2025-05-09T10:59:00Z">
        <w:r w:rsidRPr="00295E71">
          <w:rPr>
            <w:sz w:val="22"/>
            <w:szCs w:val="22"/>
          </w:rPr>
          <w:delText>Germania</w:delText>
        </w:r>
      </w:del>
    </w:p>
    <w:p w:rsidR="006224C2" w:rsidRPr="00295E71" w14:paraId="3A058FD9" w14:textId="77777777">
      <w:pPr>
        <w:numPr>
          <w:ilvl w:val="12"/>
          <w:numId w:val="0"/>
        </w:numPr>
        <w:tabs>
          <w:tab w:val="left" w:pos="567"/>
        </w:tabs>
        <w:ind w:right="-2"/>
        <w:jc w:val="both"/>
        <w:rPr>
          <w:del w:id="16170" w:author="AbbVie14" w:date="2025-05-09T10:59:00Z"/>
          <w:sz w:val="22"/>
          <w:szCs w:val="22"/>
        </w:rPr>
      </w:pPr>
    </w:p>
    <w:p w:rsidR="006224C2" w:rsidRPr="00295E71" w14:paraId="026C5918" w14:textId="77777777">
      <w:pPr>
        <w:numPr>
          <w:ilvl w:val="12"/>
          <w:numId w:val="0"/>
        </w:numPr>
        <w:tabs>
          <w:tab w:val="left" w:pos="567"/>
        </w:tabs>
        <w:ind w:right="-2"/>
        <w:jc w:val="both"/>
        <w:rPr>
          <w:del w:id="16171" w:author="AbbVie14" w:date="2025-05-09T10:59:00Z"/>
          <w:sz w:val="22"/>
          <w:szCs w:val="22"/>
        </w:rPr>
      </w:pPr>
      <w:del w:id="16172" w:author="AbbVie14" w:date="2025-05-09T10:59:00Z">
        <w:r w:rsidRPr="00295E71">
          <w:rPr>
            <w:sz w:val="22"/>
            <w:szCs w:val="22"/>
          </w:rPr>
          <w:delText xml:space="preserve">Per ulteriori informazioni su questo medicinale, contatti il rappresentante locale del titolare dell’autorizzazione all’immissione in commercio: </w:delText>
        </w:r>
      </w:del>
    </w:p>
    <w:p w:rsidR="006224C2" w:rsidRPr="00295E71" w14:paraId="11A2985B" w14:textId="77777777">
      <w:pPr>
        <w:keepNext/>
        <w:rPr>
          <w:del w:id="16173" w:author="AbbVie14" w:date="2025-05-09T10:59:00Z"/>
          <w:sz w:val="22"/>
          <w:szCs w:val="22"/>
          <w:lang w:eastAsia="en-US"/>
        </w:rPr>
      </w:pPr>
    </w:p>
    <w:tbl>
      <w:tblPr>
        <w:tblW w:w="9356" w:type="dxa"/>
        <w:tblInd w:w="-34" w:type="dxa"/>
        <w:tblLayout w:type="fixed"/>
        <w:tblLook w:val="0000"/>
      </w:tblPr>
      <w:tblGrid>
        <w:gridCol w:w="34"/>
        <w:gridCol w:w="4610"/>
        <w:gridCol w:w="34"/>
        <w:gridCol w:w="4678"/>
      </w:tblGrid>
      <w:tr w14:paraId="34CC97E3" w14:textId="77777777" w:rsidTr="001F79B0">
        <w:tblPrEx>
          <w:tblW w:w="9356" w:type="dxa"/>
          <w:tblInd w:w="-34" w:type="dxa"/>
          <w:tblLayout w:type="fixed"/>
          <w:tblLook w:val="0000"/>
        </w:tblPrEx>
        <w:trPr>
          <w:del w:id="16174" w:author="AbbVie14" w:date="2025-05-09T10:59:00Z"/>
        </w:trPr>
        <w:tc>
          <w:tcPr>
            <w:tcW w:w="4644" w:type="dxa"/>
            <w:gridSpan w:val="2"/>
          </w:tcPr>
          <w:p w:rsidR="00235869" w:rsidRPr="00BD646C" w:rsidP="001F79B0" w14:paraId="25BB9C1A" w14:textId="77777777">
            <w:pPr>
              <w:rPr>
                <w:del w:id="16175" w:author="AbbVie14" w:date="2025-05-09T10:59:00Z"/>
                <w:b/>
                <w:bCs/>
                <w:sz w:val="22"/>
                <w:szCs w:val="22"/>
                <w:lang w:val="fr-BE"/>
              </w:rPr>
            </w:pPr>
            <w:del w:id="16176" w:author="AbbVie14" w:date="2025-05-09T10:59:00Z">
              <w:r w:rsidRPr="00BD646C">
                <w:rPr>
                  <w:b/>
                  <w:bCs/>
                  <w:sz w:val="22"/>
                  <w:szCs w:val="22"/>
                  <w:lang w:val="fr-BE"/>
                </w:rPr>
                <w:delText>België/Belgique/Belgien</w:delText>
              </w:r>
            </w:del>
          </w:p>
          <w:p w:rsidR="00235869" w:rsidRPr="00BD646C" w:rsidP="001F79B0" w14:paraId="29604F0A" w14:textId="77777777">
            <w:pPr>
              <w:rPr>
                <w:del w:id="16177" w:author="AbbVie14" w:date="2025-05-09T10:59:00Z"/>
                <w:bCs/>
                <w:sz w:val="22"/>
                <w:szCs w:val="22"/>
                <w:lang w:val="fr-FR"/>
              </w:rPr>
            </w:pPr>
            <w:del w:id="16178" w:author="AbbVie14" w:date="2025-05-09T10:59:00Z">
              <w:r w:rsidRPr="00BD646C">
                <w:rPr>
                  <w:bCs/>
                  <w:sz w:val="22"/>
                  <w:szCs w:val="22"/>
                  <w:lang w:val="fr-FR"/>
                </w:rPr>
                <w:delText>AbbVie SA</w:delText>
              </w:r>
            </w:del>
          </w:p>
          <w:p w:rsidR="00235869" w:rsidRPr="00BD646C" w:rsidP="001F79B0" w14:paraId="6EC4F1F2" w14:textId="77777777">
            <w:pPr>
              <w:rPr>
                <w:del w:id="16179" w:author="AbbVie14" w:date="2025-05-09T10:59:00Z"/>
                <w:sz w:val="22"/>
                <w:szCs w:val="22"/>
                <w:lang w:val="fr-FR"/>
              </w:rPr>
            </w:pPr>
            <w:del w:id="16180" w:author="AbbVie14" w:date="2025-05-09T10:59:00Z">
              <w:r w:rsidRPr="00BD646C">
                <w:rPr>
                  <w:bCs/>
                  <w:sz w:val="22"/>
                  <w:szCs w:val="22"/>
                  <w:lang w:val="fr-FR"/>
                </w:rPr>
                <w:delText xml:space="preserve">Tél/Tel: +32 10 </w:delText>
              </w:r>
            </w:del>
            <w:del w:id="16181" w:author="AbbVie14" w:date="2025-05-09T10:59:00Z">
              <w:r w:rsidRPr="00BD646C">
                <w:rPr>
                  <w:sz w:val="22"/>
                  <w:szCs w:val="22"/>
                  <w:lang w:val="fr-FR"/>
                </w:rPr>
                <w:delText>477811</w:delText>
              </w:r>
            </w:del>
          </w:p>
          <w:p w:rsidR="00235869" w:rsidRPr="00BD646C" w:rsidP="001F79B0" w14:paraId="1482BD6A" w14:textId="77777777">
            <w:pPr>
              <w:rPr>
                <w:del w:id="16182" w:author="AbbVie14" w:date="2025-05-09T10:59:00Z"/>
                <w:bCs/>
                <w:sz w:val="22"/>
                <w:szCs w:val="22"/>
                <w:lang w:val="fr-FR"/>
              </w:rPr>
            </w:pPr>
          </w:p>
        </w:tc>
        <w:tc>
          <w:tcPr>
            <w:tcW w:w="4678" w:type="dxa"/>
            <w:gridSpan w:val="2"/>
          </w:tcPr>
          <w:p w:rsidR="00235869" w:rsidRPr="00BD646C" w:rsidP="001F79B0" w14:paraId="76A93F94" w14:textId="77777777">
            <w:pPr>
              <w:rPr>
                <w:del w:id="16183" w:author="AbbVie14" w:date="2025-05-09T10:59:00Z"/>
                <w:b/>
                <w:bCs/>
                <w:sz w:val="22"/>
                <w:szCs w:val="22"/>
                <w:lang w:val="lt-LT"/>
              </w:rPr>
            </w:pPr>
            <w:del w:id="16184" w:author="AbbVie14" w:date="2025-05-09T10:59:00Z">
              <w:r w:rsidRPr="00BD646C">
                <w:rPr>
                  <w:b/>
                  <w:bCs/>
                  <w:sz w:val="22"/>
                  <w:szCs w:val="22"/>
                  <w:lang w:val="lt-LT"/>
                </w:rPr>
                <w:delText>Lietuva</w:delText>
              </w:r>
            </w:del>
          </w:p>
          <w:p w:rsidR="00235869" w:rsidRPr="00BD646C" w:rsidP="001F79B0" w14:paraId="55F91A2F" w14:textId="77777777">
            <w:pPr>
              <w:rPr>
                <w:del w:id="16185" w:author="AbbVie14" w:date="2025-05-09T10:59:00Z"/>
                <w:bCs/>
                <w:sz w:val="22"/>
                <w:szCs w:val="22"/>
                <w:lang w:val="lv-LV"/>
              </w:rPr>
            </w:pPr>
            <w:del w:id="16186" w:author="AbbVie14" w:date="2025-05-09T10:59:00Z">
              <w:r w:rsidRPr="00BD646C">
                <w:rPr>
                  <w:bCs/>
                  <w:sz w:val="22"/>
                  <w:szCs w:val="22"/>
                  <w:lang w:val="lv-LV"/>
                </w:rPr>
                <w:delText xml:space="preserve">AbbVie UAB </w:delText>
              </w:r>
            </w:del>
          </w:p>
          <w:p w:rsidR="00235869" w:rsidRPr="00BD646C" w:rsidP="001F79B0" w14:paraId="506E5C02" w14:textId="77777777">
            <w:pPr>
              <w:rPr>
                <w:del w:id="16187" w:author="AbbVie14" w:date="2025-05-09T10:59:00Z"/>
                <w:bCs/>
                <w:sz w:val="22"/>
                <w:szCs w:val="22"/>
                <w:lang w:val="lv-LV"/>
              </w:rPr>
            </w:pPr>
            <w:del w:id="16188" w:author="AbbVie14" w:date="2025-05-09T10:59:00Z">
              <w:r w:rsidRPr="00BD646C">
                <w:rPr>
                  <w:bCs/>
                  <w:sz w:val="22"/>
                  <w:szCs w:val="22"/>
                  <w:lang w:val="lv-LV"/>
                </w:rPr>
                <w:delText>Tel: +370 5 205 3023</w:delText>
              </w:r>
            </w:del>
          </w:p>
        </w:tc>
      </w:tr>
      <w:tr w14:paraId="60F8B33B" w14:textId="77777777" w:rsidTr="001F79B0">
        <w:tblPrEx>
          <w:tblW w:w="9356" w:type="dxa"/>
          <w:tblInd w:w="-34" w:type="dxa"/>
          <w:tblLayout w:type="fixed"/>
          <w:tblLook w:val="0000"/>
        </w:tblPrEx>
        <w:trPr>
          <w:del w:id="16189" w:author="AbbVie14" w:date="2025-05-09T10:59:00Z"/>
        </w:trPr>
        <w:tc>
          <w:tcPr>
            <w:tcW w:w="4644" w:type="dxa"/>
            <w:gridSpan w:val="2"/>
          </w:tcPr>
          <w:p w:rsidR="00235869" w:rsidRPr="00BD646C" w:rsidP="001F79B0" w14:paraId="27EBAD2B" w14:textId="77777777">
            <w:pPr>
              <w:rPr>
                <w:del w:id="16190" w:author="AbbVie14" w:date="2025-05-09T10:59:00Z"/>
                <w:b/>
                <w:bCs/>
                <w:sz w:val="22"/>
                <w:szCs w:val="22"/>
                <w:lang w:val="bg-BG"/>
              </w:rPr>
            </w:pPr>
            <w:del w:id="16191" w:author="AbbVie14" w:date="2025-05-09T10:59:00Z">
              <w:r w:rsidRPr="00BD646C">
                <w:rPr>
                  <w:b/>
                  <w:bCs/>
                  <w:sz w:val="22"/>
                  <w:szCs w:val="22"/>
                  <w:lang w:val="bg-BG"/>
                </w:rPr>
                <w:delText>България</w:delText>
              </w:r>
            </w:del>
          </w:p>
          <w:p w:rsidR="00235869" w:rsidRPr="00BD646C" w:rsidP="001F79B0" w14:paraId="175F0BF6" w14:textId="77777777">
            <w:pPr>
              <w:rPr>
                <w:del w:id="16192" w:author="AbbVie14" w:date="2025-05-09T10:59:00Z"/>
                <w:sz w:val="22"/>
                <w:szCs w:val="22"/>
                <w:lang w:val="da-DK"/>
              </w:rPr>
            </w:pPr>
            <w:del w:id="16193" w:author="AbbVie14" w:date="2025-05-09T10:59:00Z">
              <w:r w:rsidRPr="00BD646C">
                <w:rPr>
                  <w:sz w:val="22"/>
                  <w:szCs w:val="22"/>
                  <w:lang w:val="sk-SK"/>
                </w:rPr>
                <w:delText>АбВи ЕООД</w:delText>
              </w:r>
            </w:del>
          </w:p>
          <w:p w:rsidR="00235869" w:rsidRPr="00BD646C" w:rsidP="001F79B0" w14:paraId="345A9ED4" w14:textId="77777777">
            <w:pPr>
              <w:rPr>
                <w:del w:id="16194" w:author="AbbVie14" w:date="2025-05-09T10:59:00Z"/>
                <w:bCs/>
                <w:sz w:val="22"/>
                <w:szCs w:val="22"/>
                <w:lang w:val="da-DK"/>
              </w:rPr>
            </w:pPr>
            <w:del w:id="16195" w:author="AbbVie14" w:date="2025-05-09T10:59:00Z">
              <w:r w:rsidRPr="00BD646C">
                <w:rPr>
                  <w:sz w:val="22"/>
                  <w:szCs w:val="22"/>
                  <w:lang w:val="sk-SK"/>
                </w:rPr>
                <w:delText>Тел</w:delText>
              </w:r>
            </w:del>
            <w:del w:id="16196" w:author="AbbVie14" w:date="2025-05-09T10:59:00Z">
              <w:r w:rsidRPr="00BD646C">
                <w:rPr>
                  <w:sz w:val="22"/>
                  <w:szCs w:val="22"/>
                </w:rPr>
                <w:delText>.:+359 2 90 30 430</w:delText>
              </w:r>
            </w:del>
          </w:p>
        </w:tc>
        <w:tc>
          <w:tcPr>
            <w:tcW w:w="4678" w:type="dxa"/>
            <w:gridSpan w:val="2"/>
          </w:tcPr>
          <w:p w:rsidR="00235869" w:rsidRPr="00BD646C" w:rsidP="001F79B0" w14:paraId="138C0947" w14:textId="77777777">
            <w:pPr>
              <w:rPr>
                <w:del w:id="16197" w:author="AbbVie14" w:date="2025-05-09T10:59:00Z"/>
                <w:b/>
                <w:bCs/>
                <w:sz w:val="22"/>
                <w:szCs w:val="22"/>
                <w:lang w:val="de-DE"/>
              </w:rPr>
            </w:pPr>
            <w:del w:id="16198" w:author="AbbVie14" w:date="2025-05-09T10:59:00Z">
              <w:r w:rsidRPr="00BD646C">
                <w:rPr>
                  <w:b/>
                  <w:bCs/>
                  <w:sz w:val="22"/>
                  <w:szCs w:val="22"/>
                  <w:lang w:val="de-DE"/>
                </w:rPr>
                <w:delText>Luxembourg/Luxemburg</w:delText>
              </w:r>
            </w:del>
          </w:p>
          <w:p w:rsidR="00235869" w:rsidRPr="00BD646C" w:rsidP="001F79B0" w14:paraId="7E4CAF99" w14:textId="77777777">
            <w:pPr>
              <w:rPr>
                <w:del w:id="16199" w:author="AbbVie14" w:date="2025-05-09T10:59:00Z"/>
                <w:bCs/>
                <w:sz w:val="22"/>
                <w:szCs w:val="22"/>
                <w:lang w:val="de-DE"/>
              </w:rPr>
            </w:pPr>
            <w:del w:id="16200" w:author="AbbVie14" w:date="2025-05-09T10:59:00Z">
              <w:r w:rsidRPr="00BD646C">
                <w:rPr>
                  <w:bCs/>
                  <w:sz w:val="22"/>
                  <w:szCs w:val="22"/>
                  <w:lang w:val="de-DE"/>
                </w:rPr>
                <w:delText>AbbVie SA</w:delText>
              </w:r>
            </w:del>
          </w:p>
          <w:p w:rsidR="00235869" w:rsidRPr="00BD646C" w:rsidP="001F79B0" w14:paraId="5EF9735F" w14:textId="77777777">
            <w:pPr>
              <w:rPr>
                <w:del w:id="16201" w:author="AbbVie14" w:date="2025-05-09T10:59:00Z"/>
                <w:bCs/>
                <w:sz w:val="22"/>
                <w:szCs w:val="22"/>
                <w:lang w:val="de-DE"/>
              </w:rPr>
            </w:pPr>
            <w:del w:id="16202" w:author="AbbVie14" w:date="2025-05-09T10:59:00Z">
              <w:r w:rsidRPr="00BD646C">
                <w:rPr>
                  <w:bCs/>
                  <w:sz w:val="22"/>
                  <w:szCs w:val="22"/>
                  <w:lang w:val="de-DE"/>
                </w:rPr>
                <w:delText>Belgique/Belgien</w:delText>
              </w:r>
            </w:del>
          </w:p>
          <w:p w:rsidR="00235869" w:rsidRPr="00BD646C" w:rsidP="001F79B0" w14:paraId="22CBE7D8" w14:textId="77777777">
            <w:pPr>
              <w:rPr>
                <w:del w:id="16203" w:author="AbbVie14" w:date="2025-05-09T10:59:00Z"/>
                <w:bCs/>
                <w:sz w:val="22"/>
                <w:szCs w:val="22"/>
                <w:lang w:val="fr-FR"/>
              </w:rPr>
            </w:pPr>
            <w:del w:id="16204" w:author="AbbVie14" w:date="2025-05-09T10:59:00Z">
              <w:r w:rsidRPr="00BD646C">
                <w:rPr>
                  <w:bCs/>
                  <w:sz w:val="22"/>
                  <w:szCs w:val="22"/>
                  <w:lang w:val="fr-FR"/>
                </w:rPr>
                <w:delText>Tél/Tel: +32 10 477811</w:delText>
              </w:r>
            </w:del>
          </w:p>
          <w:p w:rsidR="00235869" w:rsidRPr="00BD646C" w:rsidP="001F79B0" w14:paraId="038A0544" w14:textId="77777777">
            <w:pPr>
              <w:rPr>
                <w:del w:id="16205" w:author="AbbVie14" w:date="2025-05-09T10:59:00Z"/>
                <w:bCs/>
                <w:sz w:val="22"/>
                <w:szCs w:val="22"/>
                <w:lang w:val="fr-FR"/>
              </w:rPr>
            </w:pPr>
          </w:p>
        </w:tc>
      </w:tr>
      <w:tr w14:paraId="6623DE59" w14:textId="77777777" w:rsidTr="001F79B0">
        <w:tblPrEx>
          <w:tblW w:w="9356" w:type="dxa"/>
          <w:tblInd w:w="-34" w:type="dxa"/>
          <w:tblLayout w:type="fixed"/>
          <w:tblLook w:val="0000"/>
        </w:tblPrEx>
        <w:trPr>
          <w:del w:id="16206" w:author="AbbVie14" w:date="2025-05-09T10:59:00Z"/>
        </w:trPr>
        <w:tc>
          <w:tcPr>
            <w:tcW w:w="4644" w:type="dxa"/>
            <w:gridSpan w:val="2"/>
          </w:tcPr>
          <w:p w:rsidR="00235869" w:rsidRPr="00BD646C" w:rsidP="001F79B0" w14:paraId="4000BABF" w14:textId="77777777">
            <w:pPr>
              <w:rPr>
                <w:del w:id="16207" w:author="AbbVie14" w:date="2025-05-09T10:59:00Z"/>
                <w:b/>
                <w:bCs/>
                <w:sz w:val="22"/>
                <w:szCs w:val="22"/>
                <w:lang w:val="sk-SK"/>
              </w:rPr>
            </w:pPr>
            <w:del w:id="16208" w:author="AbbVie14" w:date="2025-05-09T10:59:00Z">
              <w:r w:rsidRPr="00BD646C">
                <w:rPr>
                  <w:b/>
                  <w:bCs/>
                  <w:sz w:val="22"/>
                  <w:szCs w:val="22"/>
                  <w:lang w:val="sk-SK"/>
                </w:rPr>
                <w:delText>Česká republika</w:delText>
              </w:r>
            </w:del>
          </w:p>
          <w:p w:rsidR="00235869" w:rsidRPr="00BD646C" w:rsidP="001F79B0" w14:paraId="770902D5" w14:textId="77777777">
            <w:pPr>
              <w:rPr>
                <w:del w:id="16209" w:author="AbbVie14" w:date="2025-05-09T10:59:00Z"/>
                <w:bCs/>
                <w:sz w:val="22"/>
                <w:szCs w:val="22"/>
                <w:lang w:val="sk-SK"/>
              </w:rPr>
            </w:pPr>
            <w:del w:id="16210" w:author="AbbVie14" w:date="2025-05-09T10:59:00Z">
              <w:r w:rsidRPr="00BD646C">
                <w:rPr>
                  <w:bCs/>
                  <w:sz w:val="22"/>
                  <w:szCs w:val="22"/>
                  <w:lang w:val="sk-SK"/>
                </w:rPr>
                <w:delText xml:space="preserve">AbbVie s.r.o. </w:delText>
              </w:r>
            </w:del>
          </w:p>
          <w:p w:rsidR="00235869" w:rsidRPr="00BD646C" w:rsidP="001F79B0" w14:paraId="2FBE903A" w14:textId="77777777">
            <w:pPr>
              <w:rPr>
                <w:del w:id="16211" w:author="AbbVie14" w:date="2025-05-09T10:59:00Z"/>
                <w:bCs/>
                <w:sz w:val="22"/>
                <w:szCs w:val="22"/>
                <w:lang w:val="sk-SK"/>
              </w:rPr>
            </w:pPr>
            <w:del w:id="16212" w:author="AbbVie14" w:date="2025-05-09T10:59:00Z">
              <w:r w:rsidRPr="00BD646C">
                <w:rPr>
                  <w:bCs/>
                  <w:sz w:val="22"/>
                  <w:szCs w:val="22"/>
                  <w:lang w:val="sk-SK"/>
                </w:rPr>
                <w:delText>Tel: +420 233 098 111</w:delText>
              </w:r>
            </w:del>
          </w:p>
        </w:tc>
        <w:tc>
          <w:tcPr>
            <w:tcW w:w="4678" w:type="dxa"/>
            <w:gridSpan w:val="2"/>
          </w:tcPr>
          <w:p w:rsidR="00235869" w:rsidRPr="00BD646C" w:rsidP="001F79B0" w14:paraId="3CAFDBCF" w14:textId="77777777">
            <w:pPr>
              <w:rPr>
                <w:del w:id="16213" w:author="AbbVie14" w:date="2025-05-09T10:59:00Z"/>
                <w:b/>
                <w:bCs/>
                <w:sz w:val="22"/>
                <w:szCs w:val="22"/>
                <w:lang w:val="hu-HU"/>
              </w:rPr>
            </w:pPr>
            <w:del w:id="16214" w:author="AbbVie14" w:date="2025-05-09T10:59:00Z">
              <w:r w:rsidRPr="00BD646C">
                <w:rPr>
                  <w:b/>
                  <w:bCs/>
                  <w:sz w:val="22"/>
                  <w:szCs w:val="22"/>
                  <w:lang w:val="hu-HU"/>
                </w:rPr>
                <w:delText>Magyarország</w:delText>
              </w:r>
            </w:del>
          </w:p>
          <w:p w:rsidR="00235869" w:rsidRPr="00BD646C" w:rsidP="001F79B0" w14:paraId="41906CC4" w14:textId="77777777">
            <w:pPr>
              <w:rPr>
                <w:del w:id="16215" w:author="AbbVie14" w:date="2025-05-09T10:59:00Z"/>
                <w:bCs/>
                <w:sz w:val="22"/>
                <w:szCs w:val="22"/>
                <w:lang w:val="hu-HU"/>
              </w:rPr>
            </w:pPr>
            <w:del w:id="16216" w:author="AbbVie14" w:date="2025-05-09T10:59:00Z">
              <w:r w:rsidRPr="00BD646C">
                <w:rPr>
                  <w:bCs/>
                  <w:sz w:val="22"/>
                  <w:szCs w:val="22"/>
                  <w:lang w:val="hu-HU"/>
                </w:rPr>
                <w:delText>AbbVie Kft.</w:delText>
              </w:r>
            </w:del>
          </w:p>
          <w:p w:rsidR="00235869" w:rsidRPr="00BD646C" w:rsidP="001F79B0" w14:paraId="5CA96980" w14:textId="77777777">
            <w:pPr>
              <w:rPr>
                <w:del w:id="16217" w:author="AbbVie14" w:date="2025-05-09T10:59:00Z"/>
                <w:bCs/>
                <w:sz w:val="22"/>
                <w:szCs w:val="22"/>
                <w:lang w:val="hu-HU"/>
              </w:rPr>
            </w:pPr>
            <w:del w:id="16218" w:author="AbbVie14" w:date="2025-05-09T10:59:00Z">
              <w:r w:rsidRPr="00BD646C">
                <w:rPr>
                  <w:bCs/>
                  <w:sz w:val="22"/>
                  <w:szCs w:val="22"/>
                  <w:lang w:val="hu-HU"/>
                </w:rPr>
                <w:delText>Tel.:+36 1 455 8600</w:delText>
              </w:r>
            </w:del>
          </w:p>
          <w:p w:rsidR="00235869" w:rsidRPr="00BD646C" w:rsidP="001F79B0" w14:paraId="6A414C95" w14:textId="77777777">
            <w:pPr>
              <w:rPr>
                <w:del w:id="16219" w:author="AbbVie14" w:date="2025-05-09T10:59:00Z"/>
                <w:bCs/>
                <w:sz w:val="22"/>
                <w:szCs w:val="22"/>
                <w:lang w:val="hu-HU"/>
              </w:rPr>
            </w:pPr>
          </w:p>
        </w:tc>
      </w:tr>
      <w:tr w14:paraId="5B6F062F" w14:textId="77777777" w:rsidTr="001F79B0">
        <w:tblPrEx>
          <w:tblW w:w="9356" w:type="dxa"/>
          <w:tblInd w:w="-34" w:type="dxa"/>
          <w:tblLayout w:type="fixed"/>
          <w:tblLook w:val="0000"/>
        </w:tblPrEx>
        <w:trPr>
          <w:trHeight w:val="737"/>
          <w:del w:id="16220" w:author="AbbVie14" w:date="2025-05-09T10:59:00Z"/>
        </w:trPr>
        <w:tc>
          <w:tcPr>
            <w:tcW w:w="4644" w:type="dxa"/>
            <w:gridSpan w:val="2"/>
          </w:tcPr>
          <w:p w:rsidR="00235869" w:rsidRPr="008B6641" w:rsidP="001F79B0" w14:paraId="0915DD98" w14:textId="77777777">
            <w:pPr>
              <w:rPr>
                <w:del w:id="16221" w:author="AbbVie14" w:date="2025-05-09T10:59:00Z"/>
                <w:b/>
                <w:bCs/>
                <w:sz w:val="22"/>
                <w:szCs w:val="22"/>
                <w:lang w:val="it-IT"/>
                <w:rPrChange w:id="16222" w:author="AbbVie14" w:date="2025-05-13T14:31:00Z">
                  <w:rPr>
                    <w:b/>
                    <w:bCs/>
                    <w:sz w:val="22"/>
                    <w:szCs w:val="22"/>
                    <w:lang w:val="en-US"/>
                  </w:rPr>
                </w:rPrChange>
              </w:rPr>
            </w:pPr>
            <w:del w:id="16223" w:author="AbbVie14" w:date="2025-05-09T10:59:00Z">
              <w:r w:rsidRPr="008B6641">
                <w:rPr>
                  <w:b/>
                  <w:bCs/>
                  <w:sz w:val="22"/>
                  <w:szCs w:val="22"/>
                  <w:lang w:val="it-IT"/>
                  <w:rPrChange w:id="16224" w:author="AbbVie14" w:date="2025-05-13T14:31:00Z">
                    <w:rPr>
                      <w:b/>
                      <w:bCs/>
                      <w:sz w:val="22"/>
                      <w:szCs w:val="22"/>
                      <w:lang w:val="en-US"/>
                    </w:rPr>
                  </w:rPrChange>
                </w:rPr>
                <w:delText>Danmark</w:delText>
              </w:r>
            </w:del>
          </w:p>
          <w:p w:rsidR="00235869" w:rsidRPr="008B6641" w:rsidP="001F79B0" w14:paraId="26E2BADB" w14:textId="77777777">
            <w:pPr>
              <w:rPr>
                <w:del w:id="16225" w:author="AbbVie14" w:date="2025-05-09T10:59:00Z"/>
                <w:bCs/>
                <w:sz w:val="22"/>
                <w:szCs w:val="22"/>
                <w:lang w:val="it-IT"/>
                <w:rPrChange w:id="16226" w:author="AbbVie14" w:date="2025-05-13T14:31:00Z">
                  <w:rPr>
                    <w:bCs/>
                    <w:sz w:val="22"/>
                    <w:szCs w:val="22"/>
                    <w:lang w:val="en-US"/>
                  </w:rPr>
                </w:rPrChange>
              </w:rPr>
            </w:pPr>
            <w:del w:id="16227" w:author="AbbVie14" w:date="2025-05-09T10:59:00Z">
              <w:r w:rsidRPr="008B6641">
                <w:rPr>
                  <w:bCs/>
                  <w:sz w:val="22"/>
                  <w:szCs w:val="22"/>
                  <w:lang w:val="it-IT"/>
                  <w:rPrChange w:id="16228" w:author="AbbVie14" w:date="2025-05-13T14:31:00Z">
                    <w:rPr>
                      <w:bCs/>
                      <w:sz w:val="22"/>
                      <w:szCs w:val="22"/>
                      <w:lang w:val="en-US"/>
                    </w:rPr>
                  </w:rPrChange>
                </w:rPr>
                <w:delText>AbbVie A/S</w:delText>
              </w:r>
            </w:del>
          </w:p>
          <w:p w:rsidR="00235869" w:rsidRPr="00BD646C" w:rsidP="001F79B0" w14:paraId="63272498" w14:textId="77777777">
            <w:pPr>
              <w:rPr>
                <w:del w:id="16229" w:author="AbbVie14" w:date="2025-05-09T10:59:00Z"/>
                <w:bCs/>
                <w:sz w:val="22"/>
                <w:szCs w:val="22"/>
                <w:lang w:val="sk-SK"/>
              </w:rPr>
            </w:pPr>
            <w:del w:id="16230" w:author="AbbVie14" w:date="2025-05-09T10:59:00Z">
              <w:r w:rsidRPr="008B6641">
                <w:rPr>
                  <w:bCs/>
                  <w:sz w:val="22"/>
                  <w:szCs w:val="22"/>
                  <w:lang w:val="it-IT"/>
                  <w:rPrChange w:id="16231" w:author="AbbVie14" w:date="2025-05-13T14:31:00Z">
                    <w:rPr>
                      <w:bCs/>
                      <w:sz w:val="22"/>
                      <w:szCs w:val="22"/>
                      <w:lang w:val="en-US"/>
                    </w:rPr>
                  </w:rPrChange>
                </w:rPr>
                <w:delText>Tlf: +45 72 30-20-28</w:delText>
              </w:r>
            </w:del>
          </w:p>
        </w:tc>
        <w:tc>
          <w:tcPr>
            <w:tcW w:w="4678" w:type="dxa"/>
            <w:gridSpan w:val="2"/>
          </w:tcPr>
          <w:p w:rsidR="00235869" w:rsidRPr="00BD646C" w:rsidP="001F79B0" w14:paraId="6FB3CE88" w14:textId="77777777">
            <w:pPr>
              <w:rPr>
                <w:del w:id="16232" w:author="AbbVie14" w:date="2025-05-09T10:59:00Z"/>
                <w:b/>
                <w:bCs/>
                <w:sz w:val="22"/>
                <w:szCs w:val="22"/>
                <w:lang w:val="mt-MT"/>
              </w:rPr>
            </w:pPr>
            <w:del w:id="16233" w:author="AbbVie14" w:date="2025-05-09T10:59:00Z">
              <w:r w:rsidRPr="00BD646C">
                <w:rPr>
                  <w:b/>
                  <w:bCs/>
                  <w:sz w:val="22"/>
                  <w:szCs w:val="22"/>
                  <w:lang w:val="mt-MT"/>
                </w:rPr>
                <w:delText>Malta</w:delText>
              </w:r>
            </w:del>
          </w:p>
          <w:p w:rsidR="00235869" w:rsidRPr="00BD646C" w:rsidP="001F79B0" w14:paraId="60072626" w14:textId="77777777">
            <w:pPr>
              <w:rPr>
                <w:del w:id="16234" w:author="AbbVie14" w:date="2025-05-09T10:59:00Z"/>
                <w:bCs/>
                <w:sz w:val="22"/>
                <w:szCs w:val="22"/>
                <w:lang w:val="sk-SK"/>
              </w:rPr>
            </w:pPr>
            <w:del w:id="16235" w:author="AbbVie14" w:date="2025-05-09T10:59:00Z">
              <w:r w:rsidRPr="00BD646C">
                <w:rPr>
                  <w:bCs/>
                  <w:sz w:val="22"/>
                  <w:szCs w:val="22"/>
                  <w:lang w:val="sk-SK"/>
                </w:rPr>
                <w:delText xml:space="preserve">V.J.Salomone Pharma Limited </w:delText>
              </w:r>
            </w:del>
          </w:p>
          <w:p w:rsidR="00235869" w:rsidRPr="00BD646C" w:rsidP="001F79B0" w14:paraId="0D4F6BA1" w14:textId="77777777">
            <w:pPr>
              <w:rPr>
                <w:del w:id="16236" w:author="AbbVie14" w:date="2025-05-09T10:59:00Z"/>
                <w:bCs/>
                <w:sz w:val="22"/>
                <w:szCs w:val="22"/>
                <w:lang w:val="sk-SK"/>
              </w:rPr>
            </w:pPr>
            <w:del w:id="16237" w:author="AbbVie14" w:date="2025-05-09T10:59:00Z">
              <w:r w:rsidRPr="00BD646C">
                <w:rPr>
                  <w:bCs/>
                  <w:sz w:val="22"/>
                  <w:szCs w:val="22"/>
                  <w:lang w:val="sk-SK"/>
                </w:rPr>
                <w:delText xml:space="preserve">Tel: </w:delText>
              </w:r>
            </w:del>
            <w:del w:id="16238" w:author="AbbVie14" w:date="2025-05-09T10:59:00Z">
              <w:r w:rsidRPr="00455317">
                <w:rPr>
                  <w:bCs/>
                  <w:sz w:val="22"/>
                  <w:szCs w:val="22"/>
                </w:rPr>
                <w:delText>+356 21220174</w:delText>
              </w:r>
            </w:del>
          </w:p>
          <w:p w:rsidR="00235869" w:rsidRPr="00BD646C" w:rsidP="001F79B0" w14:paraId="3AE0C193" w14:textId="77777777">
            <w:pPr>
              <w:rPr>
                <w:del w:id="16239" w:author="AbbVie14" w:date="2025-05-09T10:59:00Z"/>
                <w:bCs/>
                <w:sz w:val="22"/>
                <w:szCs w:val="22"/>
                <w:lang w:val="sk-SK"/>
              </w:rPr>
            </w:pPr>
          </w:p>
        </w:tc>
      </w:tr>
      <w:tr w14:paraId="7C71F357" w14:textId="77777777" w:rsidTr="001F79B0">
        <w:tblPrEx>
          <w:tblW w:w="9356" w:type="dxa"/>
          <w:tblInd w:w="-34" w:type="dxa"/>
          <w:tblLayout w:type="fixed"/>
          <w:tblLook w:val="0000"/>
        </w:tblPrEx>
        <w:trPr>
          <w:del w:id="16240" w:author="AbbVie14" w:date="2025-05-09T10:59:00Z"/>
        </w:trPr>
        <w:tc>
          <w:tcPr>
            <w:tcW w:w="4644" w:type="dxa"/>
            <w:gridSpan w:val="2"/>
          </w:tcPr>
          <w:p w:rsidR="00235869" w:rsidRPr="00BD646C" w:rsidP="001F79B0" w14:paraId="4D4D147C" w14:textId="77777777">
            <w:pPr>
              <w:rPr>
                <w:del w:id="16241" w:author="AbbVie14" w:date="2025-05-09T10:59:00Z"/>
                <w:b/>
                <w:bCs/>
                <w:sz w:val="22"/>
                <w:szCs w:val="22"/>
                <w:lang w:val="de-DE"/>
              </w:rPr>
            </w:pPr>
            <w:del w:id="16242" w:author="AbbVie14" w:date="2025-05-09T10:59:00Z">
              <w:r w:rsidRPr="00BD646C">
                <w:rPr>
                  <w:b/>
                  <w:bCs/>
                  <w:sz w:val="22"/>
                  <w:szCs w:val="22"/>
                  <w:lang w:val="de-DE"/>
                </w:rPr>
                <w:delText>Deutschland</w:delText>
              </w:r>
            </w:del>
          </w:p>
          <w:p w:rsidR="00235869" w:rsidRPr="00BD646C" w:rsidP="001F79B0" w14:paraId="2117C9F7" w14:textId="77777777">
            <w:pPr>
              <w:rPr>
                <w:del w:id="16243" w:author="AbbVie14" w:date="2025-05-09T10:59:00Z"/>
                <w:bCs/>
                <w:sz w:val="22"/>
                <w:szCs w:val="22"/>
                <w:lang w:val="de-DE"/>
              </w:rPr>
            </w:pPr>
            <w:del w:id="16244" w:author="AbbVie14" w:date="2025-05-09T10:59:00Z">
              <w:r w:rsidRPr="00BD646C">
                <w:rPr>
                  <w:sz w:val="22"/>
                  <w:szCs w:val="22"/>
                  <w:lang w:val="de-DE"/>
                </w:rPr>
                <w:delText xml:space="preserve">AbbVie Deutschland </w:delText>
              </w:r>
            </w:del>
            <w:del w:id="16245" w:author="AbbVie14" w:date="2025-05-09T10:59:00Z">
              <w:r w:rsidRPr="00BD646C">
                <w:rPr>
                  <w:bCs/>
                  <w:sz w:val="22"/>
                  <w:szCs w:val="22"/>
                  <w:lang w:val="de-DE"/>
                </w:rPr>
                <w:delText>GmbH &amp; Co. KG</w:delText>
              </w:r>
            </w:del>
          </w:p>
          <w:p w:rsidR="00235869" w:rsidRPr="00BD646C" w:rsidP="001F79B0" w14:paraId="28ABD84E" w14:textId="77777777">
            <w:pPr>
              <w:rPr>
                <w:del w:id="16246" w:author="AbbVie14" w:date="2025-05-09T10:59:00Z"/>
                <w:sz w:val="22"/>
                <w:szCs w:val="22"/>
                <w:lang w:val="de-DE"/>
              </w:rPr>
            </w:pPr>
            <w:del w:id="16247" w:author="AbbVie14" w:date="2025-05-09T10:59:00Z">
              <w:r w:rsidRPr="00BD646C">
                <w:rPr>
                  <w:sz w:val="22"/>
                  <w:szCs w:val="22"/>
                  <w:lang w:val="de-DE"/>
                </w:rPr>
                <w:delText>Tel: 00800 222843 33 (gebührenfrei)</w:delText>
              </w:r>
            </w:del>
          </w:p>
          <w:p w:rsidR="00235869" w:rsidRPr="00BD646C" w:rsidP="001F79B0" w14:paraId="6395FE6D" w14:textId="77777777">
            <w:pPr>
              <w:rPr>
                <w:del w:id="16248" w:author="AbbVie14" w:date="2025-05-09T10:59:00Z"/>
                <w:sz w:val="22"/>
                <w:szCs w:val="22"/>
                <w:lang w:val="de-DE"/>
              </w:rPr>
            </w:pPr>
            <w:del w:id="16249" w:author="AbbVie14" w:date="2025-05-09T10:59:00Z">
              <w:r w:rsidRPr="00BD646C">
                <w:rPr>
                  <w:sz w:val="22"/>
                  <w:szCs w:val="22"/>
                  <w:lang w:val="de-DE"/>
                </w:rPr>
                <w:delText>Tel: +49 (0) 611 / 1720-0</w:delText>
              </w:r>
            </w:del>
          </w:p>
          <w:p w:rsidR="00235869" w:rsidRPr="00BD646C" w:rsidP="001F79B0" w14:paraId="0C4E907D" w14:textId="77777777">
            <w:pPr>
              <w:rPr>
                <w:del w:id="16250" w:author="AbbVie14" w:date="2025-05-09T10:59:00Z"/>
                <w:sz w:val="22"/>
                <w:szCs w:val="22"/>
                <w:lang w:val="de-DE"/>
              </w:rPr>
            </w:pPr>
          </w:p>
        </w:tc>
        <w:tc>
          <w:tcPr>
            <w:tcW w:w="4678" w:type="dxa"/>
            <w:gridSpan w:val="2"/>
          </w:tcPr>
          <w:p w:rsidR="00235869" w:rsidRPr="00BD646C" w:rsidP="001F79B0" w14:paraId="3D09CCAC" w14:textId="77777777">
            <w:pPr>
              <w:rPr>
                <w:del w:id="16251" w:author="AbbVie14" w:date="2025-05-09T10:59:00Z"/>
                <w:b/>
                <w:bCs/>
                <w:sz w:val="22"/>
                <w:szCs w:val="22"/>
                <w:lang w:val="nl-NL"/>
              </w:rPr>
            </w:pPr>
            <w:del w:id="16252" w:author="AbbVie14" w:date="2025-05-09T10:59:00Z">
              <w:r w:rsidRPr="00BD646C">
                <w:rPr>
                  <w:b/>
                  <w:bCs/>
                  <w:sz w:val="22"/>
                  <w:szCs w:val="22"/>
                  <w:lang w:val="nl-NL"/>
                </w:rPr>
                <w:delText>Nederland</w:delText>
              </w:r>
            </w:del>
          </w:p>
          <w:p w:rsidR="00235869" w:rsidRPr="00BD646C" w:rsidP="001F79B0" w14:paraId="3BFDC457" w14:textId="77777777">
            <w:pPr>
              <w:rPr>
                <w:del w:id="16253" w:author="AbbVie14" w:date="2025-05-09T10:59:00Z"/>
                <w:bCs/>
                <w:sz w:val="22"/>
                <w:szCs w:val="22"/>
                <w:lang w:val="de-DE"/>
              </w:rPr>
            </w:pPr>
            <w:del w:id="16254" w:author="AbbVie14" w:date="2025-05-09T10:59:00Z">
              <w:r w:rsidRPr="00BD646C">
                <w:rPr>
                  <w:bCs/>
                  <w:sz w:val="22"/>
                  <w:szCs w:val="22"/>
                  <w:lang w:val="de-DE"/>
                </w:rPr>
                <w:delText>AbbVie B.V.</w:delText>
              </w:r>
            </w:del>
          </w:p>
          <w:p w:rsidR="00235869" w:rsidRPr="00BD646C" w:rsidP="001F79B0" w14:paraId="11621FFD" w14:textId="77777777">
            <w:pPr>
              <w:rPr>
                <w:del w:id="16255" w:author="AbbVie14" w:date="2025-05-09T10:59:00Z"/>
                <w:bCs/>
                <w:sz w:val="22"/>
                <w:szCs w:val="22"/>
                <w:lang w:val="de-DE"/>
              </w:rPr>
            </w:pPr>
            <w:del w:id="16256" w:author="AbbVie14" w:date="2025-05-09T10:59:00Z">
              <w:r w:rsidRPr="00BD646C">
                <w:rPr>
                  <w:bCs/>
                  <w:sz w:val="22"/>
                  <w:szCs w:val="22"/>
                  <w:lang w:val="de-DE"/>
                </w:rPr>
                <w:delText>Tel: +31 (0)88 322 2843</w:delText>
              </w:r>
            </w:del>
          </w:p>
        </w:tc>
      </w:tr>
      <w:tr w14:paraId="628CF46D" w14:textId="77777777" w:rsidTr="001F79B0">
        <w:tblPrEx>
          <w:tblW w:w="9356" w:type="dxa"/>
          <w:tblInd w:w="-34" w:type="dxa"/>
          <w:tblLayout w:type="fixed"/>
          <w:tblLook w:val="0000"/>
        </w:tblPrEx>
        <w:trPr>
          <w:del w:id="16257" w:author="AbbVie14" w:date="2025-05-09T10:59:00Z"/>
        </w:trPr>
        <w:tc>
          <w:tcPr>
            <w:tcW w:w="4644" w:type="dxa"/>
            <w:gridSpan w:val="2"/>
          </w:tcPr>
          <w:p w:rsidR="00235869" w:rsidRPr="00BD646C" w:rsidP="001F79B0" w14:paraId="3A9146EB" w14:textId="77777777">
            <w:pPr>
              <w:rPr>
                <w:del w:id="16258" w:author="AbbVie14" w:date="2025-05-09T10:59:00Z"/>
                <w:b/>
                <w:bCs/>
                <w:sz w:val="22"/>
                <w:szCs w:val="22"/>
                <w:lang w:val="et-EE"/>
              </w:rPr>
            </w:pPr>
            <w:del w:id="16259" w:author="AbbVie14" w:date="2025-05-09T10:59:00Z">
              <w:r w:rsidRPr="00BD646C">
                <w:rPr>
                  <w:b/>
                  <w:bCs/>
                  <w:sz w:val="22"/>
                  <w:szCs w:val="22"/>
                  <w:lang w:val="et-EE"/>
                </w:rPr>
                <w:delText>Eesti</w:delText>
              </w:r>
            </w:del>
          </w:p>
          <w:p w:rsidR="00235869" w:rsidRPr="00BD646C" w:rsidP="001F79B0" w14:paraId="725A7804" w14:textId="77777777">
            <w:pPr>
              <w:rPr>
                <w:del w:id="16260" w:author="AbbVie14" w:date="2025-05-09T10:59:00Z"/>
                <w:bCs/>
                <w:sz w:val="22"/>
                <w:szCs w:val="22"/>
                <w:lang w:val="et-EE"/>
              </w:rPr>
            </w:pPr>
            <w:del w:id="16261" w:author="AbbVie14" w:date="2025-05-09T10:59:00Z">
              <w:r w:rsidRPr="00BD646C">
                <w:rPr>
                  <w:bCs/>
                  <w:sz w:val="22"/>
                  <w:szCs w:val="22"/>
                  <w:lang w:val="et-EE"/>
                </w:rPr>
                <w:delText xml:space="preserve">AbbVie </w:delText>
              </w:r>
            </w:del>
            <w:del w:id="16262" w:author="AbbVie14" w:date="2025-05-09T10:59:00Z">
              <w:r w:rsidRPr="00BD646C">
                <w:rPr>
                  <w:bCs/>
                  <w:sz w:val="22"/>
                  <w:szCs w:val="22"/>
                  <w:lang w:val="sk-SK"/>
                </w:rPr>
                <w:delText>OÜ</w:delText>
              </w:r>
            </w:del>
            <w:del w:id="16263" w:author="AbbVie14" w:date="2025-05-09T10:59:00Z">
              <w:r w:rsidRPr="00BD646C">
                <w:rPr>
                  <w:bCs/>
                  <w:sz w:val="22"/>
                  <w:szCs w:val="22"/>
                  <w:lang w:val="et-EE"/>
                </w:rPr>
                <w:delText xml:space="preserve"> </w:delText>
              </w:r>
            </w:del>
          </w:p>
          <w:p w:rsidR="00235869" w:rsidRPr="00BD646C" w:rsidP="001F79B0" w14:paraId="13BB18B5" w14:textId="77777777">
            <w:pPr>
              <w:rPr>
                <w:del w:id="16264" w:author="AbbVie14" w:date="2025-05-09T10:59:00Z"/>
                <w:bCs/>
                <w:sz w:val="22"/>
                <w:szCs w:val="22"/>
                <w:lang w:val="lv-LV"/>
              </w:rPr>
            </w:pPr>
            <w:del w:id="16265" w:author="AbbVie14" w:date="2025-05-09T10:59:00Z">
              <w:r w:rsidRPr="00BD646C">
                <w:rPr>
                  <w:bCs/>
                  <w:sz w:val="22"/>
                  <w:szCs w:val="22"/>
                  <w:lang w:val="et-EE"/>
                </w:rPr>
                <w:delText>Tel: +372 623 1011</w:delText>
              </w:r>
            </w:del>
          </w:p>
        </w:tc>
        <w:tc>
          <w:tcPr>
            <w:tcW w:w="4678" w:type="dxa"/>
            <w:gridSpan w:val="2"/>
          </w:tcPr>
          <w:p w:rsidR="00235869" w:rsidRPr="00CC1FF9" w:rsidP="001F79B0" w14:paraId="0BAF96EC" w14:textId="77777777">
            <w:pPr>
              <w:rPr>
                <w:del w:id="16266" w:author="AbbVie14" w:date="2025-05-09T10:59:00Z"/>
                <w:b/>
                <w:bCs/>
                <w:sz w:val="22"/>
                <w:szCs w:val="22"/>
              </w:rPr>
            </w:pPr>
            <w:del w:id="16267" w:author="AbbVie14" w:date="2025-05-09T10:59:00Z">
              <w:r w:rsidRPr="00CC1FF9">
                <w:rPr>
                  <w:b/>
                  <w:bCs/>
                  <w:sz w:val="22"/>
                  <w:szCs w:val="22"/>
                </w:rPr>
                <w:delText>Norge</w:delText>
              </w:r>
            </w:del>
          </w:p>
          <w:p w:rsidR="00235869" w:rsidRPr="00BD646C" w:rsidP="001F79B0" w14:paraId="6A3D93EE" w14:textId="77777777">
            <w:pPr>
              <w:rPr>
                <w:del w:id="16268" w:author="AbbVie14" w:date="2025-05-09T10:59:00Z"/>
                <w:bCs/>
                <w:sz w:val="22"/>
                <w:szCs w:val="22"/>
                <w:lang w:val="sk-SK"/>
              </w:rPr>
            </w:pPr>
            <w:del w:id="16269" w:author="AbbVie14" w:date="2025-05-09T10:59:00Z">
              <w:r w:rsidRPr="00BD646C">
                <w:rPr>
                  <w:bCs/>
                  <w:sz w:val="22"/>
                  <w:szCs w:val="22"/>
                  <w:lang w:val="sk-SK"/>
                </w:rPr>
                <w:delText>AbbVie AS</w:delText>
              </w:r>
            </w:del>
          </w:p>
          <w:p w:rsidR="00235869" w:rsidRPr="00BD646C" w:rsidP="001F79B0" w14:paraId="5760F424" w14:textId="77777777">
            <w:pPr>
              <w:rPr>
                <w:del w:id="16270" w:author="AbbVie14" w:date="2025-05-09T10:59:00Z"/>
                <w:bCs/>
                <w:sz w:val="22"/>
                <w:szCs w:val="22"/>
                <w:lang w:val="sk-SK"/>
              </w:rPr>
            </w:pPr>
            <w:del w:id="16271" w:author="AbbVie14" w:date="2025-05-09T10:59:00Z">
              <w:r w:rsidRPr="00BD646C">
                <w:rPr>
                  <w:bCs/>
                  <w:sz w:val="22"/>
                  <w:szCs w:val="22"/>
                  <w:lang w:val="sk-SK"/>
                </w:rPr>
                <w:delText>Tlf: +47 67 81 80 00</w:delText>
              </w:r>
            </w:del>
          </w:p>
          <w:p w:rsidR="00235869" w:rsidRPr="00BD646C" w:rsidP="001F79B0" w14:paraId="3D82EB62" w14:textId="77777777">
            <w:pPr>
              <w:rPr>
                <w:del w:id="16272" w:author="AbbVie14" w:date="2025-05-09T10:59:00Z"/>
                <w:bCs/>
                <w:sz w:val="22"/>
                <w:szCs w:val="22"/>
                <w:lang w:val="sk-SK"/>
              </w:rPr>
            </w:pPr>
          </w:p>
        </w:tc>
      </w:tr>
      <w:tr w14:paraId="05210224" w14:textId="77777777" w:rsidTr="001F79B0">
        <w:tblPrEx>
          <w:tblW w:w="9356" w:type="dxa"/>
          <w:tblInd w:w="-34" w:type="dxa"/>
          <w:tblLayout w:type="fixed"/>
          <w:tblLook w:val="0000"/>
        </w:tblPrEx>
        <w:trPr>
          <w:trHeight w:val="794"/>
          <w:del w:id="16273" w:author="AbbVie14" w:date="2025-05-09T10:59:00Z"/>
        </w:trPr>
        <w:tc>
          <w:tcPr>
            <w:tcW w:w="4644" w:type="dxa"/>
            <w:gridSpan w:val="2"/>
          </w:tcPr>
          <w:p w:rsidR="00235869" w:rsidRPr="00BD646C" w:rsidP="001F79B0" w14:paraId="5489F408" w14:textId="77777777">
            <w:pPr>
              <w:rPr>
                <w:del w:id="16274" w:author="AbbVie14" w:date="2025-05-09T10:59:00Z"/>
                <w:b/>
                <w:bCs/>
                <w:sz w:val="22"/>
                <w:szCs w:val="22"/>
                <w:lang w:val="el-GR"/>
              </w:rPr>
            </w:pPr>
            <w:del w:id="16275" w:author="AbbVie14" w:date="2025-05-09T10:59:00Z">
              <w:r w:rsidRPr="00BD646C">
                <w:rPr>
                  <w:b/>
                  <w:bCs/>
                  <w:sz w:val="22"/>
                  <w:szCs w:val="22"/>
                  <w:lang w:val="el-GR"/>
                </w:rPr>
                <w:delText>Ελλάδα</w:delText>
              </w:r>
            </w:del>
          </w:p>
          <w:p w:rsidR="00235869" w:rsidRPr="00BD646C" w:rsidP="001F79B0" w14:paraId="4B63A91A" w14:textId="77777777">
            <w:pPr>
              <w:rPr>
                <w:del w:id="16276" w:author="AbbVie14" w:date="2025-05-09T10:59:00Z"/>
                <w:bCs/>
                <w:sz w:val="22"/>
                <w:szCs w:val="22"/>
                <w:lang w:val="el-GR"/>
              </w:rPr>
            </w:pPr>
            <w:del w:id="16277" w:author="AbbVie14" w:date="2025-05-09T10:59:00Z">
              <w:r w:rsidRPr="00BD646C">
                <w:rPr>
                  <w:bCs/>
                  <w:sz w:val="22"/>
                  <w:szCs w:val="22"/>
                  <w:lang w:val="et-EE"/>
                </w:rPr>
                <w:delText xml:space="preserve">AbbVie </w:delText>
              </w:r>
            </w:del>
            <w:del w:id="16278" w:author="AbbVie14" w:date="2025-05-09T10:59:00Z">
              <w:r w:rsidRPr="00BD646C">
                <w:rPr>
                  <w:sz w:val="22"/>
                  <w:szCs w:val="22"/>
                  <w:lang w:val="el-GR"/>
                </w:rPr>
                <w:delText>ΦΑΡΜΑΚΕΥΤΙΚΗ Α.Ε.</w:delText>
              </w:r>
            </w:del>
          </w:p>
          <w:p w:rsidR="00235869" w:rsidRPr="00BD646C" w:rsidP="001F79B0" w14:paraId="495B2E40" w14:textId="77777777">
            <w:pPr>
              <w:rPr>
                <w:del w:id="16279" w:author="AbbVie14" w:date="2025-05-09T10:59:00Z"/>
                <w:bCs/>
                <w:sz w:val="22"/>
                <w:szCs w:val="22"/>
                <w:lang w:val="sk-SK"/>
              </w:rPr>
            </w:pPr>
            <w:del w:id="16280" w:author="AbbVie14" w:date="2025-05-09T10:59:00Z">
              <w:r w:rsidRPr="00BD646C">
                <w:rPr>
                  <w:bCs/>
                  <w:sz w:val="22"/>
                  <w:szCs w:val="22"/>
                  <w:lang w:val="el-GR"/>
                </w:rPr>
                <w:delText xml:space="preserve">Τηλ: +30 </w:delText>
              </w:r>
            </w:del>
            <w:del w:id="16281" w:author="AbbVie14" w:date="2025-05-09T10:59:00Z">
              <w:r w:rsidRPr="00BD646C">
                <w:rPr>
                  <w:bCs/>
                  <w:sz w:val="22"/>
                  <w:szCs w:val="22"/>
                  <w:lang w:val="sk-SK"/>
                </w:rPr>
                <w:delText>214 4165 555</w:delText>
              </w:r>
            </w:del>
          </w:p>
        </w:tc>
        <w:tc>
          <w:tcPr>
            <w:tcW w:w="4678" w:type="dxa"/>
            <w:gridSpan w:val="2"/>
          </w:tcPr>
          <w:p w:rsidR="00235869" w:rsidRPr="00BD646C" w:rsidP="001F79B0" w14:paraId="4A0A24FE" w14:textId="77777777">
            <w:pPr>
              <w:rPr>
                <w:del w:id="16282" w:author="AbbVie14" w:date="2025-05-09T10:59:00Z"/>
                <w:b/>
                <w:bCs/>
                <w:sz w:val="22"/>
                <w:szCs w:val="22"/>
                <w:lang w:val="de-DE"/>
              </w:rPr>
            </w:pPr>
            <w:del w:id="16283" w:author="AbbVie14" w:date="2025-05-09T10:59:00Z">
              <w:r w:rsidRPr="00BD646C">
                <w:rPr>
                  <w:b/>
                  <w:bCs/>
                  <w:sz w:val="22"/>
                  <w:szCs w:val="22"/>
                  <w:lang w:val="de-DE"/>
                </w:rPr>
                <w:delText>Österreich</w:delText>
              </w:r>
            </w:del>
          </w:p>
          <w:p w:rsidR="00235869" w:rsidRPr="00BD646C" w:rsidP="001F79B0" w14:paraId="0239F2A7" w14:textId="77777777">
            <w:pPr>
              <w:rPr>
                <w:del w:id="16284" w:author="AbbVie14" w:date="2025-05-09T10:59:00Z"/>
                <w:bCs/>
                <w:sz w:val="22"/>
                <w:szCs w:val="22"/>
                <w:lang w:val="de-DE"/>
              </w:rPr>
            </w:pPr>
            <w:del w:id="16285" w:author="AbbVie14" w:date="2025-05-09T10:59:00Z">
              <w:r w:rsidRPr="00BD646C">
                <w:rPr>
                  <w:bCs/>
                  <w:sz w:val="22"/>
                  <w:szCs w:val="22"/>
                  <w:lang w:val="de-DE"/>
                </w:rPr>
                <w:delText xml:space="preserve">AbbVie GmbH </w:delText>
              </w:r>
            </w:del>
          </w:p>
          <w:p w:rsidR="00235869" w:rsidRPr="00BD646C" w:rsidP="001F79B0" w14:paraId="041EA3FF" w14:textId="77777777">
            <w:pPr>
              <w:rPr>
                <w:del w:id="16286" w:author="AbbVie14" w:date="2025-05-09T10:59:00Z"/>
                <w:bCs/>
                <w:sz w:val="22"/>
                <w:szCs w:val="22"/>
                <w:lang w:val="de-DE"/>
              </w:rPr>
            </w:pPr>
            <w:del w:id="16287" w:author="AbbVie14" w:date="2025-05-09T10:59:00Z">
              <w:r w:rsidRPr="00BD646C">
                <w:rPr>
                  <w:bCs/>
                  <w:sz w:val="22"/>
                  <w:szCs w:val="22"/>
                  <w:lang w:val="de-DE"/>
                </w:rPr>
                <w:delText>Tel: +43 1 20589-0</w:delText>
              </w:r>
            </w:del>
          </w:p>
          <w:p w:rsidR="00235869" w:rsidRPr="00BD646C" w:rsidP="001F79B0" w14:paraId="26863160" w14:textId="77777777">
            <w:pPr>
              <w:rPr>
                <w:del w:id="16288" w:author="AbbVie14" w:date="2025-05-09T10:59:00Z"/>
                <w:bCs/>
                <w:sz w:val="22"/>
                <w:szCs w:val="22"/>
                <w:lang w:val="de-DE"/>
              </w:rPr>
            </w:pPr>
          </w:p>
        </w:tc>
      </w:tr>
      <w:tr w14:paraId="6F861946" w14:textId="77777777" w:rsidTr="001F79B0">
        <w:tblPrEx>
          <w:tblW w:w="9356" w:type="dxa"/>
          <w:tblInd w:w="-34" w:type="dxa"/>
          <w:tblLayout w:type="fixed"/>
          <w:tblLook w:val="0000"/>
        </w:tblPrEx>
        <w:trPr>
          <w:gridBefore w:val="1"/>
          <w:wBefore w:w="34" w:type="dxa"/>
          <w:del w:id="16289" w:author="AbbVie14" w:date="2025-05-09T10:59:00Z"/>
        </w:trPr>
        <w:tc>
          <w:tcPr>
            <w:tcW w:w="4644" w:type="dxa"/>
            <w:gridSpan w:val="2"/>
          </w:tcPr>
          <w:p w:rsidR="00235869" w:rsidRPr="00BD646C" w:rsidP="001F79B0" w14:paraId="5E5BD43D" w14:textId="77777777">
            <w:pPr>
              <w:rPr>
                <w:del w:id="16290" w:author="AbbVie14" w:date="2025-05-09T10:59:00Z"/>
                <w:b/>
                <w:bCs/>
                <w:sz w:val="22"/>
                <w:szCs w:val="22"/>
                <w:lang w:val="es-ES"/>
              </w:rPr>
            </w:pPr>
            <w:del w:id="16291" w:author="AbbVie14" w:date="2025-05-09T10:59:00Z">
              <w:r w:rsidRPr="00BD646C">
                <w:rPr>
                  <w:b/>
                  <w:bCs/>
                  <w:sz w:val="22"/>
                  <w:szCs w:val="22"/>
                  <w:lang w:val="es-ES"/>
                </w:rPr>
                <w:delText>España</w:delText>
              </w:r>
            </w:del>
          </w:p>
          <w:p w:rsidR="00235869" w:rsidRPr="00BD646C" w:rsidP="001F79B0" w14:paraId="03EA105A" w14:textId="77777777">
            <w:pPr>
              <w:rPr>
                <w:del w:id="16292" w:author="AbbVie14" w:date="2025-05-09T10:59:00Z"/>
                <w:sz w:val="22"/>
                <w:szCs w:val="22"/>
                <w:lang w:val="es-ES"/>
              </w:rPr>
            </w:pPr>
            <w:del w:id="16293" w:author="AbbVie14" w:date="2025-05-09T10:59:00Z">
              <w:r w:rsidRPr="00BD646C">
                <w:rPr>
                  <w:sz w:val="22"/>
                  <w:szCs w:val="22"/>
                  <w:lang w:val="es-ES"/>
                </w:rPr>
                <w:delText xml:space="preserve">AbbVie </w:delText>
              </w:r>
            </w:del>
            <w:del w:id="16294" w:author="AbbVie14" w:date="2025-05-09T10:59:00Z">
              <w:r w:rsidRPr="00BD646C">
                <w:rPr>
                  <w:bCs/>
                  <w:sz w:val="22"/>
                  <w:szCs w:val="22"/>
                  <w:lang w:val="es-ES"/>
                </w:rPr>
                <w:delText>Spain</w:delText>
              </w:r>
            </w:del>
            <w:del w:id="16295" w:author="AbbVie14" w:date="2025-05-09T10:59:00Z">
              <w:r w:rsidRPr="00BD646C">
                <w:rPr>
                  <w:sz w:val="22"/>
                  <w:szCs w:val="22"/>
                  <w:lang w:val="es-ES"/>
                </w:rPr>
                <w:delText>, S.L.U</w:delText>
              </w:r>
            </w:del>
            <w:del w:id="16296" w:author="AbbVie14" w:date="2025-05-09T10:59:00Z">
              <w:r w:rsidRPr="00BD646C">
                <w:rPr>
                  <w:bCs/>
                  <w:sz w:val="22"/>
                  <w:szCs w:val="22"/>
                  <w:lang w:val="es-ES"/>
                </w:rPr>
                <w:delText>.</w:delText>
              </w:r>
            </w:del>
          </w:p>
          <w:p w:rsidR="00235869" w:rsidRPr="00BD646C" w:rsidP="001F79B0" w14:paraId="458202F2" w14:textId="77777777">
            <w:pPr>
              <w:rPr>
                <w:del w:id="16297" w:author="AbbVie14" w:date="2025-05-09T10:59:00Z"/>
                <w:bCs/>
                <w:sz w:val="22"/>
                <w:szCs w:val="22"/>
                <w:lang w:val="pl-PL"/>
              </w:rPr>
            </w:pPr>
            <w:del w:id="16298" w:author="AbbVie14" w:date="2025-05-09T10:59:00Z">
              <w:r w:rsidRPr="00BD646C">
                <w:rPr>
                  <w:bCs/>
                  <w:sz w:val="22"/>
                  <w:szCs w:val="22"/>
                  <w:lang w:val="pt-PT"/>
                </w:rPr>
                <w:delText>Tel: +34 91 384 09 10</w:delText>
              </w:r>
            </w:del>
          </w:p>
        </w:tc>
        <w:tc>
          <w:tcPr>
            <w:tcW w:w="4678" w:type="dxa"/>
          </w:tcPr>
          <w:p w:rsidR="00235869" w:rsidRPr="00BD646C" w:rsidP="001F79B0" w14:paraId="27B7C4DF" w14:textId="77777777">
            <w:pPr>
              <w:rPr>
                <w:del w:id="16299" w:author="AbbVie14" w:date="2025-05-09T10:59:00Z"/>
                <w:b/>
                <w:bCs/>
                <w:iCs/>
                <w:sz w:val="22"/>
                <w:szCs w:val="22"/>
                <w:lang w:val="pl-PL"/>
              </w:rPr>
            </w:pPr>
            <w:del w:id="16300" w:author="AbbVie14" w:date="2025-05-09T10:59:00Z">
              <w:r w:rsidRPr="00BD646C">
                <w:rPr>
                  <w:b/>
                  <w:bCs/>
                  <w:iCs/>
                  <w:sz w:val="22"/>
                  <w:szCs w:val="22"/>
                  <w:lang w:val="pl-PL"/>
                </w:rPr>
                <w:delText>Polska</w:delText>
              </w:r>
            </w:del>
          </w:p>
          <w:p w:rsidR="00235869" w:rsidRPr="00BD646C" w:rsidP="001F79B0" w14:paraId="50087960" w14:textId="77777777">
            <w:pPr>
              <w:rPr>
                <w:del w:id="16301" w:author="AbbVie14" w:date="2025-05-09T10:59:00Z"/>
                <w:bCs/>
                <w:sz w:val="22"/>
                <w:szCs w:val="22"/>
                <w:lang w:val="pl-PL"/>
              </w:rPr>
            </w:pPr>
            <w:del w:id="16302" w:author="AbbVie14" w:date="2025-05-09T10:59:00Z">
              <w:r w:rsidRPr="00BD646C">
                <w:rPr>
                  <w:bCs/>
                  <w:sz w:val="22"/>
                  <w:szCs w:val="22"/>
                  <w:lang w:val="pl-PL"/>
                </w:rPr>
                <w:delText>AbbVie Sp. z o.o.</w:delText>
              </w:r>
            </w:del>
          </w:p>
          <w:p w:rsidR="00235869" w:rsidRPr="00BD646C" w:rsidP="001F79B0" w14:paraId="702533F6" w14:textId="77777777">
            <w:pPr>
              <w:rPr>
                <w:del w:id="16303" w:author="AbbVie14" w:date="2025-05-09T10:59:00Z"/>
                <w:bCs/>
                <w:sz w:val="22"/>
                <w:szCs w:val="22"/>
                <w:lang w:val="pl-PL"/>
              </w:rPr>
            </w:pPr>
            <w:del w:id="16304" w:author="AbbVie14" w:date="2025-05-09T10:59:00Z">
              <w:r w:rsidRPr="00BD646C">
                <w:rPr>
                  <w:sz w:val="22"/>
                  <w:szCs w:val="22"/>
                  <w:lang w:val="es-ES"/>
                </w:rPr>
                <w:delText xml:space="preserve">Tel.: +48 22 </w:delText>
              </w:r>
            </w:del>
            <w:del w:id="16305" w:author="AbbVie14" w:date="2025-05-09T10:59:00Z">
              <w:r w:rsidRPr="00BD646C">
                <w:rPr>
                  <w:bCs/>
                  <w:sz w:val="22"/>
                  <w:szCs w:val="22"/>
                  <w:lang w:val="pl-PL"/>
                </w:rPr>
                <w:delText xml:space="preserve">372 78 00 </w:delText>
              </w:r>
            </w:del>
          </w:p>
          <w:p w:rsidR="00235869" w:rsidRPr="00BD646C" w:rsidP="001F79B0" w14:paraId="5E474745" w14:textId="77777777">
            <w:pPr>
              <w:rPr>
                <w:del w:id="16306" w:author="AbbVie14" w:date="2025-05-09T10:59:00Z"/>
                <w:bCs/>
                <w:sz w:val="22"/>
                <w:szCs w:val="22"/>
                <w:lang w:val="pl-PL"/>
              </w:rPr>
            </w:pPr>
          </w:p>
        </w:tc>
      </w:tr>
      <w:tr w14:paraId="0DEB5264" w14:textId="77777777" w:rsidTr="001F79B0">
        <w:tblPrEx>
          <w:tblW w:w="9356" w:type="dxa"/>
          <w:tblInd w:w="-34" w:type="dxa"/>
          <w:tblLayout w:type="fixed"/>
          <w:tblLook w:val="0000"/>
        </w:tblPrEx>
        <w:trPr>
          <w:trHeight w:val="734"/>
          <w:del w:id="16307" w:author="AbbVie14" w:date="2025-05-09T10:59:00Z"/>
        </w:trPr>
        <w:tc>
          <w:tcPr>
            <w:tcW w:w="4678" w:type="dxa"/>
            <w:gridSpan w:val="3"/>
          </w:tcPr>
          <w:p w:rsidR="00235869" w:rsidRPr="00BD646C" w:rsidP="001F79B0" w14:paraId="06849243" w14:textId="77777777">
            <w:pPr>
              <w:rPr>
                <w:del w:id="16308" w:author="AbbVie14" w:date="2025-05-09T10:59:00Z"/>
                <w:b/>
                <w:bCs/>
                <w:sz w:val="22"/>
                <w:szCs w:val="22"/>
                <w:lang w:val="fr-FR"/>
              </w:rPr>
            </w:pPr>
            <w:del w:id="16309" w:author="AbbVie14" w:date="2025-05-09T10:59:00Z">
              <w:r w:rsidRPr="00BD646C">
                <w:rPr>
                  <w:b/>
                  <w:bCs/>
                  <w:sz w:val="22"/>
                  <w:szCs w:val="22"/>
                  <w:lang w:val="fr-FR"/>
                </w:rPr>
                <w:delText>France</w:delText>
              </w:r>
            </w:del>
          </w:p>
          <w:p w:rsidR="00235869" w:rsidRPr="00BD646C" w:rsidP="001F79B0" w14:paraId="26EBC352" w14:textId="77777777">
            <w:pPr>
              <w:rPr>
                <w:del w:id="16310" w:author="AbbVie14" w:date="2025-05-09T10:59:00Z"/>
                <w:bCs/>
                <w:sz w:val="22"/>
                <w:szCs w:val="22"/>
                <w:lang w:val="fr-FR"/>
              </w:rPr>
            </w:pPr>
            <w:del w:id="16311" w:author="AbbVie14" w:date="2025-05-09T10:59:00Z">
              <w:r w:rsidRPr="00BD646C">
                <w:rPr>
                  <w:bCs/>
                  <w:sz w:val="22"/>
                  <w:szCs w:val="22"/>
                  <w:lang w:val="fr-FR"/>
                </w:rPr>
                <w:delText>AbbVie</w:delText>
              </w:r>
            </w:del>
          </w:p>
          <w:p w:rsidR="00235869" w:rsidRPr="00BD646C" w:rsidP="001F79B0" w14:paraId="3DB0F65C" w14:textId="77777777">
            <w:pPr>
              <w:rPr>
                <w:del w:id="16312" w:author="AbbVie14" w:date="2025-05-09T10:59:00Z"/>
                <w:bCs/>
                <w:sz w:val="22"/>
                <w:szCs w:val="22"/>
                <w:lang w:val="fr-FR"/>
              </w:rPr>
            </w:pPr>
            <w:del w:id="16313" w:author="AbbVie14" w:date="2025-05-09T10:59:00Z">
              <w:r w:rsidRPr="00BD646C">
                <w:rPr>
                  <w:bCs/>
                  <w:sz w:val="22"/>
                  <w:szCs w:val="22"/>
                  <w:lang w:val="fr-FR"/>
                </w:rPr>
                <w:delText>Tél: +33 (0) 1 45 60 13 00</w:delText>
              </w:r>
            </w:del>
          </w:p>
        </w:tc>
        <w:tc>
          <w:tcPr>
            <w:tcW w:w="4678" w:type="dxa"/>
          </w:tcPr>
          <w:p w:rsidR="00235869" w:rsidRPr="00BD646C" w:rsidP="001F79B0" w14:paraId="48E7EB88" w14:textId="77777777">
            <w:pPr>
              <w:rPr>
                <w:del w:id="16314" w:author="AbbVie14" w:date="2025-05-09T10:59:00Z"/>
                <w:b/>
                <w:bCs/>
                <w:sz w:val="22"/>
                <w:szCs w:val="22"/>
                <w:lang w:val="pt-PT"/>
              </w:rPr>
            </w:pPr>
            <w:del w:id="16315" w:author="AbbVie14" w:date="2025-05-09T10:59:00Z">
              <w:r w:rsidRPr="00BD646C">
                <w:rPr>
                  <w:b/>
                  <w:bCs/>
                  <w:sz w:val="22"/>
                  <w:szCs w:val="22"/>
                  <w:lang w:val="pt-PT"/>
                </w:rPr>
                <w:delText>Portugal</w:delText>
              </w:r>
            </w:del>
          </w:p>
          <w:p w:rsidR="00235869" w:rsidRPr="00BD646C" w:rsidP="001F79B0" w14:paraId="04439E85" w14:textId="77777777">
            <w:pPr>
              <w:rPr>
                <w:del w:id="16316" w:author="AbbVie14" w:date="2025-05-09T10:59:00Z"/>
                <w:bCs/>
                <w:sz w:val="22"/>
                <w:szCs w:val="22"/>
                <w:lang w:val="fr-FR"/>
              </w:rPr>
            </w:pPr>
            <w:del w:id="16317" w:author="AbbVie14" w:date="2025-05-09T10:59:00Z">
              <w:r w:rsidRPr="00BD646C">
                <w:rPr>
                  <w:bCs/>
                  <w:sz w:val="22"/>
                  <w:szCs w:val="22"/>
                  <w:lang w:val="fr-FR"/>
                </w:rPr>
                <w:delText xml:space="preserve">AbbVie, Lda. </w:delText>
              </w:r>
            </w:del>
          </w:p>
          <w:p w:rsidR="00235869" w:rsidRPr="00BD646C" w:rsidP="001F79B0" w14:paraId="31250D30" w14:textId="77777777">
            <w:pPr>
              <w:rPr>
                <w:del w:id="16318" w:author="AbbVie14" w:date="2025-05-09T10:59:00Z"/>
                <w:sz w:val="22"/>
                <w:szCs w:val="22"/>
                <w:lang w:val="fr-FR"/>
              </w:rPr>
            </w:pPr>
            <w:del w:id="16319" w:author="AbbVie14" w:date="2025-05-09T10:59:00Z">
              <w:r w:rsidRPr="00BD646C">
                <w:rPr>
                  <w:sz w:val="22"/>
                  <w:szCs w:val="22"/>
                  <w:lang w:val="fr-FR"/>
                </w:rPr>
                <w:delText>Tel: +351 (0)21 1908400</w:delText>
              </w:r>
            </w:del>
          </w:p>
          <w:p w:rsidR="00235869" w:rsidRPr="00BD646C" w:rsidP="001F79B0" w14:paraId="7577BF1B" w14:textId="77777777">
            <w:pPr>
              <w:rPr>
                <w:del w:id="16320" w:author="AbbVie14" w:date="2025-05-09T10:59:00Z"/>
                <w:sz w:val="22"/>
                <w:szCs w:val="22"/>
                <w:lang w:val="fr-FR"/>
              </w:rPr>
            </w:pPr>
          </w:p>
        </w:tc>
      </w:tr>
      <w:tr w14:paraId="3C69CAA3" w14:textId="77777777" w:rsidTr="001F79B0">
        <w:tblPrEx>
          <w:tblW w:w="9356" w:type="dxa"/>
          <w:tblInd w:w="-34" w:type="dxa"/>
          <w:tblLayout w:type="fixed"/>
          <w:tblLook w:val="0000"/>
        </w:tblPrEx>
        <w:trPr>
          <w:gridBefore w:val="1"/>
          <w:wBefore w:w="34" w:type="dxa"/>
          <w:del w:id="16321" w:author="AbbVie14" w:date="2025-05-09T10:59:00Z"/>
        </w:trPr>
        <w:tc>
          <w:tcPr>
            <w:tcW w:w="4644" w:type="dxa"/>
            <w:gridSpan w:val="2"/>
          </w:tcPr>
          <w:p w:rsidR="00235869" w:rsidRPr="00D16F00" w:rsidP="001F79B0" w14:paraId="17C4893E" w14:textId="77777777">
            <w:pPr>
              <w:rPr>
                <w:del w:id="16322" w:author="AbbVie14" w:date="2025-05-09T10:59:00Z"/>
                <w:sz w:val="22"/>
                <w:szCs w:val="22"/>
              </w:rPr>
            </w:pPr>
            <w:del w:id="16323" w:author="AbbVie14" w:date="2025-05-09T10:59:00Z">
              <w:r w:rsidRPr="00D16F00">
                <w:rPr>
                  <w:b/>
                  <w:bCs/>
                  <w:sz w:val="22"/>
                  <w:szCs w:val="22"/>
                </w:rPr>
                <w:delText xml:space="preserve">Hrvatska </w:delText>
              </w:r>
            </w:del>
          </w:p>
          <w:p w:rsidR="00235869" w:rsidRPr="00BD646C" w:rsidP="001F79B0" w14:paraId="69D1CADD" w14:textId="77777777">
            <w:pPr>
              <w:rPr>
                <w:del w:id="16324" w:author="AbbVie14" w:date="2025-05-09T10:59:00Z"/>
                <w:sz w:val="22"/>
                <w:szCs w:val="22"/>
                <w:lang w:val="hr-HR"/>
              </w:rPr>
            </w:pPr>
            <w:del w:id="16325" w:author="AbbVie14" w:date="2025-05-09T10:59:00Z">
              <w:r w:rsidRPr="00BD646C">
                <w:rPr>
                  <w:sz w:val="22"/>
                  <w:szCs w:val="22"/>
                  <w:lang w:val="hr-HR"/>
                </w:rPr>
                <w:delText>AbbVie d.o.o.</w:delText>
              </w:r>
            </w:del>
          </w:p>
          <w:p w:rsidR="00235869" w:rsidRPr="00BD646C" w:rsidP="001F79B0" w14:paraId="30607B18" w14:textId="77777777">
            <w:pPr>
              <w:rPr>
                <w:del w:id="16326" w:author="AbbVie14" w:date="2025-05-09T10:59:00Z"/>
                <w:bCs/>
                <w:sz w:val="22"/>
                <w:szCs w:val="22"/>
              </w:rPr>
            </w:pPr>
            <w:del w:id="16327" w:author="AbbVie14" w:date="2025-05-09T10:59:00Z">
              <w:r w:rsidRPr="00BD646C">
                <w:rPr>
                  <w:sz w:val="22"/>
                  <w:szCs w:val="22"/>
                  <w:lang w:val="hr-HR"/>
                </w:rPr>
                <w:delText xml:space="preserve">Tel + 385 (0)1 </w:delText>
              </w:r>
            </w:del>
            <w:del w:id="16328" w:author="AbbVie14" w:date="2025-05-09T10:59:00Z">
              <w:r w:rsidRPr="008B6641">
                <w:rPr>
                  <w:sz w:val="22"/>
                  <w:szCs w:val="22"/>
                  <w:lang w:val="it-IT"/>
                  <w:rPrChange w:id="16329" w:author="AbbVie14" w:date="2025-05-13T14:31:00Z">
                    <w:rPr>
                      <w:sz w:val="22"/>
                      <w:szCs w:val="22"/>
                      <w:lang w:val="en-US"/>
                    </w:rPr>
                  </w:rPrChange>
                </w:rPr>
                <w:delText>5625 501</w:delText>
              </w:r>
            </w:del>
          </w:p>
        </w:tc>
        <w:tc>
          <w:tcPr>
            <w:tcW w:w="4678" w:type="dxa"/>
          </w:tcPr>
          <w:p w:rsidR="00235869" w:rsidRPr="00BD646C" w:rsidP="001F79B0" w14:paraId="005F1666" w14:textId="77777777">
            <w:pPr>
              <w:rPr>
                <w:del w:id="16330" w:author="AbbVie14" w:date="2025-05-09T10:59:00Z"/>
                <w:b/>
                <w:bCs/>
                <w:sz w:val="22"/>
                <w:szCs w:val="22"/>
              </w:rPr>
            </w:pPr>
            <w:del w:id="16331" w:author="AbbVie14" w:date="2025-05-09T10:59:00Z">
              <w:r w:rsidRPr="00BD646C">
                <w:rPr>
                  <w:b/>
                  <w:bCs/>
                  <w:sz w:val="22"/>
                  <w:szCs w:val="22"/>
                </w:rPr>
                <w:delText>România</w:delText>
              </w:r>
            </w:del>
          </w:p>
          <w:p w:rsidR="00235869" w:rsidRPr="00BD646C" w:rsidP="001F79B0" w14:paraId="5AEAEFE4" w14:textId="77777777">
            <w:pPr>
              <w:rPr>
                <w:del w:id="16332" w:author="AbbVie14" w:date="2025-05-09T10:59:00Z"/>
                <w:sz w:val="22"/>
                <w:szCs w:val="22"/>
              </w:rPr>
            </w:pPr>
            <w:del w:id="16333" w:author="AbbVie14" w:date="2025-05-09T10:59:00Z">
              <w:r w:rsidRPr="00BD646C">
                <w:rPr>
                  <w:sz w:val="22"/>
                  <w:szCs w:val="22"/>
                </w:rPr>
                <w:delText>AbbVie S.R.L.</w:delText>
              </w:r>
            </w:del>
          </w:p>
          <w:p w:rsidR="00235869" w:rsidRPr="00BD646C" w:rsidP="001F79B0" w14:paraId="0201D773" w14:textId="77777777">
            <w:pPr>
              <w:rPr>
                <w:del w:id="16334" w:author="AbbVie14" w:date="2025-05-09T10:59:00Z"/>
                <w:sz w:val="22"/>
                <w:szCs w:val="22"/>
                <w:lang w:val="pl-PL"/>
              </w:rPr>
            </w:pPr>
            <w:del w:id="16335" w:author="AbbVie14" w:date="2025-05-09T10:59:00Z">
              <w:r w:rsidRPr="00BD646C">
                <w:rPr>
                  <w:sz w:val="22"/>
                  <w:szCs w:val="22"/>
                  <w:lang w:val="pl-PL"/>
                </w:rPr>
                <w:delText>Tel: +40 21 529 30 35</w:delText>
              </w:r>
            </w:del>
          </w:p>
          <w:p w:rsidR="00235869" w:rsidRPr="00BD646C" w:rsidP="001F79B0" w14:paraId="1BB2FB92" w14:textId="77777777">
            <w:pPr>
              <w:rPr>
                <w:del w:id="16336" w:author="AbbVie14" w:date="2025-05-09T10:59:00Z"/>
                <w:sz w:val="22"/>
                <w:szCs w:val="22"/>
                <w:lang w:val="pl-PL"/>
              </w:rPr>
            </w:pPr>
          </w:p>
        </w:tc>
      </w:tr>
      <w:tr w14:paraId="1E427AB9" w14:textId="77777777" w:rsidTr="001F79B0">
        <w:tblPrEx>
          <w:tblW w:w="9356" w:type="dxa"/>
          <w:tblInd w:w="-34" w:type="dxa"/>
          <w:tblLayout w:type="fixed"/>
          <w:tblLook w:val="0000"/>
        </w:tblPrEx>
        <w:trPr>
          <w:gridBefore w:val="1"/>
          <w:wBefore w:w="34" w:type="dxa"/>
          <w:del w:id="16337" w:author="AbbVie14" w:date="2025-05-09T10:59:00Z"/>
        </w:trPr>
        <w:tc>
          <w:tcPr>
            <w:tcW w:w="4644" w:type="dxa"/>
            <w:gridSpan w:val="2"/>
          </w:tcPr>
          <w:p w:rsidR="00235869" w:rsidRPr="00BD646C" w:rsidP="001F79B0" w14:paraId="418F9B58" w14:textId="77777777">
            <w:pPr>
              <w:rPr>
                <w:del w:id="16338" w:author="AbbVie14" w:date="2025-05-09T10:59:00Z"/>
                <w:b/>
                <w:bCs/>
                <w:sz w:val="22"/>
                <w:szCs w:val="22"/>
                <w:lang w:val="sk-SK"/>
              </w:rPr>
            </w:pPr>
            <w:del w:id="16339" w:author="AbbVie14" w:date="2025-05-09T10:59:00Z">
              <w:r w:rsidRPr="00BD646C">
                <w:rPr>
                  <w:b/>
                  <w:bCs/>
                  <w:sz w:val="22"/>
                  <w:szCs w:val="22"/>
                  <w:lang w:val="sk-SK"/>
                </w:rPr>
                <w:delText>Ireland</w:delText>
              </w:r>
            </w:del>
          </w:p>
          <w:p w:rsidR="00235869" w:rsidRPr="00BD646C" w:rsidP="001F79B0" w14:paraId="3D47476D" w14:textId="77777777">
            <w:pPr>
              <w:rPr>
                <w:del w:id="16340" w:author="AbbVie14" w:date="2025-05-09T10:59:00Z"/>
                <w:bCs/>
                <w:sz w:val="22"/>
                <w:szCs w:val="22"/>
                <w:lang w:val="sk-SK"/>
              </w:rPr>
            </w:pPr>
            <w:del w:id="16341" w:author="AbbVie14" w:date="2025-05-09T10:59:00Z">
              <w:r w:rsidRPr="00BD646C">
                <w:rPr>
                  <w:bCs/>
                  <w:sz w:val="22"/>
                  <w:szCs w:val="22"/>
                  <w:lang w:val="sk-SK"/>
                </w:rPr>
                <w:delText xml:space="preserve">AbbVie Limited </w:delText>
              </w:r>
            </w:del>
          </w:p>
          <w:p w:rsidR="00235869" w:rsidRPr="00BD646C" w:rsidP="001F79B0" w14:paraId="728BECDF" w14:textId="77777777">
            <w:pPr>
              <w:rPr>
                <w:del w:id="16342" w:author="AbbVie14" w:date="2025-05-09T10:59:00Z"/>
                <w:bCs/>
                <w:sz w:val="22"/>
                <w:szCs w:val="22"/>
                <w:lang w:val="sk-SK"/>
              </w:rPr>
            </w:pPr>
            <w:del w:id="16343" w:author="AbbVie14" w:date="2025-05-09T10:59:00Z">
              <w:r w:rsidRPr="00BD646C">
                <w:rPr>
                  <w:bCs/>
                  <w:sz w:val="22"/>
                  <w:szCs w:val="22"/>
                  <w:lang w:val="pt-PT"/>
                </w:rPr>
                <w:delText>Tel: +353 (0)1 428790</w:delText>
              </w:r>
            </w:del>
            <w:del w:id="16344" w:author="AbbVie14" w:date="2025-05-09T10:59:00Z">
              <w:r w:rsidR="004B7AC2">
                <w:rPr>
                  <w:bCs/>
                  <w:sz w:val="22"/>
                  <w:szCs w:val="22"/>
                  <w:lang w:val="pt-PT"/>
                </w:rPr>
                <w:delText>0</w:delText>
              </w:r>
            </w:del>
          </w:p>
        </w:tc>
        <w:tc>
          <w:tcPr>
            <w:tcW w:w="4678" w:type="dxa"/>
          </w:tcPr>
          <w:p w:rsidR="00235869" w:rsidRPr="00BD646C" w:rsidP="001F79B0" w14:paraId="7D0B23C4" w14:textId="77777777">
            <w:pPr>
              <w:rPr>
                <w:del w:id="16345" w:author="AbbVie14" w:date="2025-05-09T10:59:00Z"/>
                <w:b/>
                <w:bCs/>
                <w:sz w:val="22"/>
                <w:szCs w:val="22"/>
                <w:lang w:val="sl-SI"/>
              </w:rPr>
            </w:pPr>
            <w:del w:id="16346" w:author="AbbVie14" w:date="2025-05-09T10:59:00Z">
              <w:r w:rsidRPr="00BD646C">
                <w:rPr>
                  <w:b/>
                  <w:bCs/>
                  <w:sz w:val="22"/>
                  <w:szCs w:val="22"/>
                  <w:lang w:val="sl-SI"/>
                </w:rPr>
                <w:delText>Slovenija</w:delText>
              </w:r>
            </w:del>
          </w:p>
          <w:p w:rsidR="00235869" w:rsidRPr="00BD646C" w:rsidP="001F79B0" w14:paraId="2F6800AD" w14:textId="77777777">
            <w:pPr>
              <w:rPr>
                <w:del w:id="16347" w:author="AbbVie14" w:date="2025-05-09T10:59:00Z"/>
                <w:bCs/>
                <w:sz w:val="22"/>
                <w:szCs w:val="22"/>
                <w:lang w:val="sl-SI"/>
              </w:rPr>
            </w:pPr>
            <w:del w:id="16348" w:author="AbbVie14" w:date="2025-05-09T10:59:00Z">
              <w:r w:rsidRPr="00BD646C">
                <w:rPr>
                  <w:bCs/>
                  <w:sz w:val="22"/>
                  <w:szCs w:val="22"/>
                  <w:lang w:val="sl-SI"/>
                </w:rPr>
                <w:delText xml:space="preserve">AbbVie </w:delText>
              </w:r>
            </w:del>
            <w:del w:id="16349" w:author="AbbVie14" w:date="2025-05-09T10:59:00Z">
              <w:r w:rsidRPr="00BD646C">
                <w:rPr>
                  <w:sz w:val="22"/>
                  <w:szCs w:val="22"/>
                  <w:lang w:val="sl-SI"/>
                </w:rPr>
                <w:delText>Biofarmacevtska družba d.o.o.</w:delText>
              </w:r>
            </w:del>
          </w:p>
          <w:p w:rsidR="00235869" w:rsidRPr="00BD646C" w:rsidP="001F79B0" w14:paraId="43EECB08" w14:textId="77777777">
            <w:pPr>
              <w:rPr>
                <w:del w:id="16350" w:author="AbbVie14" w:date="2025-05-09T10:59:00Z"/>
                <w:bCs/>
                <w:sz w:val="22"/>
                <w:szCs w:val="22"/>
                <w:lang w:val="sl-SI"/>
              </w:rPr>
            </w:pPr>
            <w:del w:id="16351" w:author="AbbVie14" w:date="2025-05-09T10:59:00Z">
              <w:r w:rsidRPr="00BD646C">
                <w:rPr>
                  <w:bCs/>
                  <w:sz w:val="22"/>
                  <w:szCs w:val="22"/>
                  <w:lang w:val="sl-SI"/>
                </w:rPr>
                <w:delText>Tel: +386 (1)32 08 060</w:delText>
              </w:r>
            </w:del>
          </w:p>
          <w:p w:rsidR="00235869" w:rsidRPr="00BD646C" w:rsidP="001F79B0" w14:paraId="3AEFD81C" w14:textId="77777777">
            <w:pPr>
              <w:rPr>
                <w:del w:id="16352" w:author="AbbVie14" w:date="2025-05-09T10:59:00Z"/>
                <w:bCs/>
                <w:sz w:val="22"/>
                <w:szCs w:val="22"/>
                <w:lang w:val="sl-SI"/>
              </w:rPr>
            </w:pPr>
          </w:p>
        </w:tc>
      </w:tr>
      <w:tr w14:paraId="52B44649" w14:textId="77777777" w:rsidTr="001F79B0">
        <w:tblPrEx>
          <w:tblW w:w="9356" w:type="dxa"/>
          <w:tblInd w:w="-34" w:type="dxa"/>
          <w:tblLayout w:type="fixed"/>
          <w:tblLook w:val="0000"/>
        </w:tblPrEx>
        <w:trPr>
          <w:gridBefore w:val="1"/>
          <w:wBefore w:w="34" w:type="dxa"/>
          <w:del w:id="16353" w:author="AbbVie14" w:date="2025-05-09T10:59:00Z"/>
        </w:trPr>
        <w:tc>
          <w:tcPr>
            <w:tcW w:w="4644" w:type="dxa"/>
            <w:gridSpan w:val="2"/>
          </w:tcPr>
          <w:p w:rsidR="00235869" w:rsidRPr="00BD646C" w:rsidP="001F79B0" w14:paraId="776AC8CC" w14:textId="77777777">
            <w:pPr>
              <w:rPr>
                <w:del w:id="16354" w:author="AbbVie14" w:date="2025-05-09T10:59:00Z"/>
                <w:b/>
                <w:bCs/>
                <w:sz w:val="22"/>
                <w:szCs w:val="22"/>
                <w:lang w:val="is-IS"/>
              </w:rPr>
            </w:pPr>
            <w:del w:id="16355" w:author="AbbVie14" w:date="2025-05-09T10:59:00Z">
              <w:r w:rsidRPr="00BD646C">
                <w:rPr>
                  <w:b/>
                  <w:bCs/>
                  <w:sz w:val="22"/>
                  <w:szCs w:val="22"/>
                  <w:lang w:val="is-IS"/>
                </w:rPr>
                <w:delText>Ísland</w:delText>
              </w:r>
            </w:del>
          </w:p>
          <w:p w:rsidR="00235869" w:rsidRPr="00BD646C" w:rsidP="001F79B0" w14:paraId="56A61FC9" w14:textId="77777777">
            <w:pPr>
              <w:rPr>
                <w:del w:id="16356" w:author="AbbVie14" w:date="2025-05-09T10:59:00Z"/>
                <w:bCs/>
                <w:sz w:val="22"/>
                <w:szCs w:val="22"/>
                <w:lang w:val="sk-SK"/>
              </w:rPr>
            </w:pPr>
            <w:del w:id="16357" w:author="AbbVie14" w:date="2025-05-09T10:59:00Z">
              <w:r w:rsidRPr="00BD646C">
                <w:rPr>
                  <w:bCs/>
                  <w:sz w:val="22"/>
                  <w:szCs w:val="22"/>
                  <w:lang w:val="sk-SK"/>
                </w:rPr>
                <w:delText>Vistor hf.</w:delText>
              </w:r>
            </w:del>
          </w:p>
          <w:p w:rsidR="00235869" w:rsidRPr="00BD646C" w:rsidP="001F79B0" w14:paraId="3E1E4E97" w14:textId="77777777">
            <w:pPr>
              <w:rPr>
                <w:del w:id="16358" w:author="AbbVie14" w:date="2025-05-09T10:59:00Z"/>
                <w:bCs/>
                <w:sz w:val="22"/>
                <w:szCs w:val="22"/>
                <w:lang w:val="sk-SK"/>
              </w:rPr>
            </w:pPr>
            <w:del w:id="16359" w:author="AbbVie14" w:date="2025-05-09T10:59:00Z">
              <w:r w:rsidRPr="00BD646C">
                <w:rPr>
                  <w:bCs/>
                  <w:sz w:val="22"/>
                  <w:szCs w:val="22"/>
                  <w:lang w:val="sk-SK"/>
                </w:rPr>
                <w:delText>Tel: +354 535 7000</w:delText>
              </w:r>
            </w:del>
          </w:p>
        </w:tc>
        <w:tc>
          <w:tcPr>
            <w:tcW w:w="4678" w:type="dxa"/>
          </w:tcPr>
          <w:p w:rsidR="00235869" w:rsidRPr="00BD646C" w:rsidP="001F79B0" w14:paraId="2BB9D844" w14:textId="77777777">
            <w:pPr>
              <w:rPr>
                <w:del w:id="16360" w:author="AbbVie14" w:date="2025-05-09T10:59:00Z"/>
                <w:b/>
                <w:bCs/>
                <w:sz w:val="22"/>
                <w:szCs w:val="22"/>
                <w:lang w:val="sk-SK"/>
              </w:rPr>
            </w:pPr>
            <w:del w:id="16361" w:author="AbbVie14" w:date="2025-05-09T10:59:00Z">
              <w:r w:rsidRPr="00BD646C">
                <w:rPr>
                  <w:b/>
                  <w:bCs/>
                  <w:sz w:val="22"/>
                  <w:szCs w:val="22"/>
                  <w:lang w:val="sk-SK"/>
                </w:rPr>
                <w:delText>Slovenská republika</w:delText>
              </w:r>
            </w:del>
          </w:p>
          <w:p w:rsidR="00235869" w:rsidRPr="00BD646C" w:rsidP="001F79B0" w14:paraId="13AA6147" w14:textId="77777777">
            <w:pPr>
              <w:rPr>
                <w:del w:id="16362" w:author="AbbVie14" w:date="2025-05-09T10:59:00Z"/>
                <w:bCs/>
                <w:sz w:val="22"/>
                <w:szCs w:val="22"/>
                <w:lang w:val="sk-SK"/>
              </w:rPr>
            </w:pPr>
            <w:del w:id="16363" w:author="AbbVie14" w:date="2025-05-09T10:59:00Z">
              <w:r w:rsidRPr="00BD646C">
                <w:rPr>
                  <w:bCs/>
                  <w:sz w:val="22"/>
                  <w:szCs w:val="22"/>
                  <w:lang w:val="sk-SK"/>
                </w:rPr>
                <w:delText>AbbVie s.r.o.</w:delText>
              </w:r>
            </w:del>
          </w:p>
          <w:p w:rsidR="00235869" w:rsidRPr="00BD646C" w:rsidP="001F79B0" w14:paraId="0A629998" w14:textId="77777777">
            <w:pPr>
              <w:rPr>
                <w:del w:id="16364" w:author="AbbVie14" w:date="2025-05-09T10:59:00Z"/>
                <w:bCs/>
                <w:sz w:val="22"/>
                <w:szCs w:val="22"/>
                <w:lang w:val="sk-SK"/>
              </w:rPr>
            </w:pPr>
            <w:del w:id="16365" w:author="AbbVie14" w:date="2025-05-09T10:59:00Z">
              <w:r w:rsidRPr="00BD646C">
                <w:rPr>
                  <w:bCs/>
                  <w:sz w:val="22"/>
                  <w:szCs w:val="22"/>
                  <w:lang w:val="sk-SK"/>
                </w:rPr>
                <w:delText>Tel: +421 2 5050 0777</w:delText>
              </w:r>
            </w:del>
          </w:p>
          <w:p w:rsidR="00235869" w:rsidRPr="00BD646C" w:rsidP="001F79B0" w14:paraId="03AB038F" w14:textId="77777777">
            <w:pPr>
              <w:rPr>
                <w:del w:id="16366" w:author="AbbVie14" w:date="2025-05-09T10:59:00Z"/>
                <w:bCs/>
                <w:sz w:val="22"/>
                <w:szCs w:val="22"/>
                <w:lang w:val="sk-SK"/>
              </w:rPr>
            </w:pPr>
          </w:p>
        </w:tc>
      </w:tr>
      <w:tr w14:paraId="5B4BB376" w14:textId="77777777" w:rsidTr="001F79B0">
        <w:tblPrEx>
          <w:tblW w:w="9356" w:type="dxa"/>
          <w:tblInd w:w="-34" w:type="dxa"/>
          <w:tblLayout w:type="fixed"/>
          <w:tblLook w:val="0000"/>
        </w:tblPrEx>
        <w:trPr>
          <w:gridBefore w:val="1"/>
          <w:wBefore w:w="34" w:type="dxa"/>
          <w:del w:id="16367" w:author="AbbVie14" w:date="2025-05-09T10:59:00Z"/>
        </w:trPr>
        <w:tc>
          <w:tcPr>
            <w:tcW w:w="4644" w:type="dxa"/>
            <w:gridSpan w:val="2"/>
          </w:tcPr>
          <w:p w:rsidR="00235869" w:rsidRPr="00BD646C" w:rsidP="001F79B0" w14:paraId="68F94758" w14:textId="77777777">
            <w:pPr>
              <w:rPr>
                <w:del w:id="16368" w:author="AbbVie14" w:date="2025-05-09T10:59:00Z"/>
                <w:b/>
                <w:bCs/>
                <w:sz w:val="22"/>
                <w:szCs w:val="22"/>
              </w:rPr>
            </w:pPr>
            <w:del w:id="16369" w:author="AbbVie14" w:date="2025-05-09T10:59:00Z">
              <w:r w:rsidRPr="00BD646C">
                <w:rPr>
                  <w:b/>
                  <w:bCs/>
                  <w:sz w:val="22"/>
                  <w:szCs w:val="22"/>
                </w:rPr>
                <w:delText>Italia</w:delText>
              </w:r>
            </w:del>
          </w:p>
          <w:p w:rsidR="00235869" w:rsidRPr="00BD646C" w:rsidP="001F79B0" w14:paraId="3E32D93B" w14:textId="77777777">
            <w:pPr>
              <w:rPr>
                <w:del w:id="16370" w:author="AbbVie14" w:date="2025-05-09T10:59:00Z"/>
                <w:bCs/>
                <w:sz w:val="22"/>
                <w:szCs w:val="22"/>
                <w:lang w:val="pt-PT"/>
              </w:rPr>
            </w:pPr>
            <w:del w:id="16371" w:author="AbbVie14" w:date="2025-05-09T10:59:00Z">
              <w:r w:rsidRPr="00BD646C">
                <w:rPr>
                  <w:bCs/>
                  <w:sz w:val="22"/>
                  <w:szCs w:val="22"/>
                  <w:lang w:val="pt-PT"/>
                </w:rPr>
                <w:delText xml:space="preserve">AbbVie S.r.l. </w:delText>
              </w:r>
            </w:del>
          </w:p>
          <w:p w:rsidR="00235869" w:rsidRPr="00BD646C" w:rsidP="001F79B0" w14:paraId="3FC4733E" w14:textId="77777777">
            <w:pPr>
              <w:rPr>
                <w:del w:id="16372" w:author="AbbVie14" w:date="2025-05-09T10:59:00Z"/>
                <w:bCs/>
                <w:sz w:val="22"/>
                <w:szCs w:val="22"/>
                <w:lang w:val="fi-FI"/>
              </w:rPr>
            </w:pPr>
            <w:del w:id="16373" w:author="AbbVie14" w:date="2025-05-09T10:59:00Z">
              <w:r w:rsidRPr="00BD646C">
                <w:rPr>
                  <w:bCs/>
                  <w:sz w:val="22"/>
                  <w:szCs w:val="22"/>
                  <w:lang w:val="fr-FR"/>
                </w:rPr>
                <w:delText>Tel: +39 06 928921</w:delText>
              </w:r>
            </w:del>
          </w:p>
        </w:tc>
        <w:tc>
          <w:tcPr>
            <w:tcW w:w="4678" w:type="dxa"/>
          </w:tcPr>
          <w:p w:rsidR="00235869" w:rsidRPr="00BD646C" w:rsidP="001F79B0" w14:paraId="6E85DDF3" w14:textId="77777777">
            <w:pPr>
              <w:rPr>
                <w:del w:id="16374" w:author="AbbVie14" w:date="2025-05-09T10:59:00Z"/>
                <w:b/>
                <w:bCs/>
                <w:sz w:val="22"/>
                <w:szCs w:val="22"/>
                <w:lang w:val="fi-FI"/>
              </w:rPr>
            </w:pPr>
            <w:del w:id="16375" w:author="AbbVie14" w:date="2025-05-09T10:59:00Z">
              <w:r w:rsidRPr="00BD646C">
                <w:rPr>
                  <w:b/>
                  <w:bCs/>
                  <w:sz w:val="22"/>
                  <w:szCs w:val="22"/>
                  <w:lang w:val="fi-FI"/>
                </w:rPr>
                <w:delText>Suomi/Finland</w:delText>
              </w:r>
            </w:del>
          </w:p>
          <w:p w:rsidR="00235869" w:rsidRPr="00BD646C" w:rsidP="001F79B0" w14:paraId="20A0979C" w14:textId="77777777">
            <w:pPr>
              <w:rPr>
                <w:del w:id="16376" w:author="AbbVie14" w:date="2025-05-09T10:59:00Z"/>
                <w:bCs/>
                <w:sz w:val="22"/>
                <w:szCs w:val="22"/>
                <w:lang w:val="de-CH"/>
              </w:rPr>
            </w:pPr>
            <w:del w:id="16377" w:author="AbbVie14" w:date="2025-05-09T10:59:00Z">
              <w:r w:rsidRPr="00BD646C">
                <w:rPr>
                  <w:bCs/>
                  <w:sz w:val="22"/>
                  <w:szCs w:val="22"/>
                  <w:lang w:val="sk-SK"/>
                </w:rPr>
                <w:delText>AbbVie Oy</w:delText>
              </w:r>
            </w:del>
          </w:p>
          <w:p w:rsidR="00235869" w:rsidRPr="00BD646C" w:rsidP="001F79B0" w14:paraId="4BE4F78A" w14:textId="77777777">
            <w:pPr>
              <w:rPr>
                <w:del w:id="16378" w:author="AbbVie14" w:date="2025-05-09T10:59:00Z"/>
                <w:bCs/>
                <w:sz w:val="22"/>
                <w:szCs w:val="22"/>
                <w:lang w:val="sk-SK"/>
              </w:rPr>
            </w:pPr>
            <w:del w:id="16379" w:author="AbbVie14" w:date="2025-05-09T10:59:00Z">
              <w:r w:rsidRPr="00BD646C">
                <w:rPr>
                  <w:bCs/>
                  <w:sz w:val="22"/>
                  <w:szCs w:val="22"/>
                  <w:lang w:val="sk-SK"/>
                </w:rPr>
                <w:delText>Puh/Tel: +358 (0)10 2411 200</w:delText>
              </w:r>
            </w:del>
          </w:p>
          <w:p w:rsidR="00235869" w:rsidRPr="00BD646C" w:rsidP="001F79B0" w14:paraId="29F947FE" w14:textId="77777777">
            <w:pPr>
              <w:rPr>
                <w:del w:id="16380" w:author="AbbVie14" w:date="2025-05-09T10:59:00Z"/>
                <w:sz w:val="22"/>
                <w:szCs w:val="22"/>
                <w:lang w:val="sk-SK"/>
              </w:rPr>
            </w:pPr>
          </w:p>
        </w:tc>
      </w:tr>
      <w:tr w14:paraId="68B82D98" w14:textId="77777777" w:rsidTr="001F79B0">
        <w:tblPrEx>
          <w:tblW w:w="9356" w:type="dxa"/>
          <w:tblInd w:w="-34" w:type="dxa"/>
          <w:tblLayout w:type="fixed"/>
          <w:tblLook w:val="0000"/>
        </w:tblPrEx>
        <w:trPr>
          <w:gridBefore w:val="1"/>
          <w:wBefore w:w="34" w:type="dxa"/>
          <w:cantSplit/>
          <w:trHeight w:val="887"/>
          <w:del w:id="16381" w:author="AbbVie14" w:date="2025-05-09T10:59:00Z"/>
        </w:trPr>
        <w:tc>
          <w:tcPr>
            <w:tcW w:w="4644" w:type="dxa"/>
            <w:gridSpan w:val="2"/>
          </w:tcPr>
          <w:p w:rsidR="00235869" w:rsidRPr="00BD646C" w:rsidP="001F79B0" w14:paraId="0230AE0E" w14:textId="77777777">
            <w:pPr>
              <w:rPr>
                <w:del w:id="16382" w:author="AbbVie14" w:date="2025-05-09T10:59:00Z"/>
                <w:b/>
                <w:bCs/>
                <w:sz w:val="22"/>
                <w:szCs w:val="22"/>
                <w:lang w:val="el-GR"/>
              </w:rPr>
            </w:pPr>
            <w:del w:id="16383" w:author="AbbVie14" w:date="2025-05-09T10:59:00Z">
              <w:r w:rsidRPr="00BD646C">
                <w:rPr>
                  <w:b/>
                  <w:bCs/>
                  <w:sz w:val="22"/>
                  <w:szCs w:val="22"/>
                  <w:lang w:val="el-GR"/>
                </w:rPr>
                <w:delText>Κύπρος</w:delText>
              </w:r>
            </w:del>
          </w:p>
          <w:p w:rsidR="00235869" w:rsidRPr="00BD646C" w:rsidP="001F79B0" w14:paraId="2092100D" w14:textId="77777777">
            <w:pPr>
              <w:rPr>
                <w:del w:id="16384" w:author="AbbVie14" w:date="2025-05-09T10:59:00Z"/>
                <w:bCs/>
                <w:sz w:val="22"/>
                <w:szCs w:val="22"/>
                <w:lang w:val="el-GR"/>
              </w:rPr>
            </w:pPr>
            <w:del w:id="16385" w:author="AbbVie14" w:date="2025-05-09T10:59:00Z">
              <w:r w:rsidRPr="00BD646C">
                <w:rPr>
                  <w:bCs/>
                  <w:sz w:val="22"/>
                  <w:szCs w:val="22"/>
                  <w:lang w:val="sk-SK"/>
                </w:rPr>
                <w:delText xml:space="preserve">Lifepharma (Z.A.M.) </w:delText>
              </w:r>
            </w:del>
            <w:del w:id="16386" w:author="AbbVie14" w:date="2025-05-09T10:59:00Z">
              <w:r w:rsidRPr="00BD646C">
                <w:rPr>
                  <w:bCs/>
                  <w:sz w:val="22"/>
                  <w:szCs w:val="22"/>
                </w:rPr>
                <w:delText>Ltd</w:delText>
              </w:r>
            </w:del>
          </w:p>
          <w:p w:rsidR="00235869" w:rsidRPr="00BD646C" w:rsidP="001F79B0" w14:paraId="1E7E88B6" w14:textId="77777777">
            <w:pPr>
              <w:rPr>
                <w:del w:id="16387" w:author="AbbVie14" w:date="2025-05-09T10:59:00Z"/>
                <w:bCs/>
                <w:sz w:val="22"/>
                <w:szCs w:val="22"/>
                <w:lang w:val="lv-LV"/>
              </w:rPr>
            </w:pPr>
            <w:del w:id="16388" w:author="AbbVie14" w:date="2025-05-09T10:59:00Z">
              <w:r w:rsidRPr="00BD646C">
                <w:rPr>
                  <w:bCs/>
                  <w:sz w:val="22"/>
                  <w:szCs w:val="22"/>
                  <w:lang w:val="el-GR"/>
                </w:rPr>
                <w:delText>Τηλ.: +357 22 34 74 40</w:delText>
              </w:r>
            </w:del>
          </w:p>
        </w:tc>
        <w:tc>
          <w:tcPr>
            <w:tcW w:w="4678" w:type="dxa"/>
          </w:tcPr>
          <w:p w:rsidR="00235869" w:rsidRPr="00BD646C" w:rsidP="001F79B0" w14:paraId="774F6B41" w14:textId="77777777">
            <w:pPr>
              <w:rPr>
                <w:del w:id="16389" w:author="AbbVie14" w:date="2025-05-09T10:59:00Z"/>
                <w:b/>
                <w:bCs/>
                <w:sz w:val="22"/>
                <w:szCs w:val="22"/>
                <w:lang w:val="sk-SK"/>
              </w:rPr>
            </w:pPr>
            <w:del w:id="16390" w:author="AbbVie14" w:date="2025-05-09T10:59:00Z">
              <w:r w:rsidRPr="00BD646C">
                <w:rPr>
                  <w:b/>
                  <w:bCs/>
                  <w:sz w:val="22"/>
                  <w:szCs w:val="22"/>
                  <w:lang w:val="sk-SK"/>
                </w:rPr>
                <w:delText>Sverige</w:delText>
              </w:r>
            </w:del>
          </w:p>
          <w:p w:rsidR="00235869" w:rsidRPr="00BD646C" w:rsidP="001F79B0" w14:paraId="3CD2A535" w14:textId="77777777">
            <w:pPr>
              <w:rPr>
                <w:del w:id="16391" w:author="AbbVie14" w:date="2025-05-09T10:59:00Z"/>
                <w:bCs/>
                <w:sz w:val="22"/>
                <w:szCs w:val="22"/>
                <w:lang w:val="pt-PT"/>
              </w:rPr>
            </w:pPr>
            <w:del w:id="16392" w:author="AbbVie14" w:date="2025-05-09T10:59:00Z">
              <w:r w:rsidRPr="00BD646C">
                <w:rPr>
                  <w:bCs/>
                  <w:sz w:val="22"/>
                  <w:szCs w:val="22"/>
                  <w:lang w:val="pt-PT"/>
                </w:rPr>
                <w:delText>AbbVie AB</w:delText>
              </w:r>
            </w:del>
          </w:p>
          <w:p w:rsidR="00235869" w:rsidRPr="00BD646C" w:rsidP="001F79B0" w14:paraId="7818C12F" w14:textId="77777777">
            <w:pPr>
              <w:rPr>
                <w:del w:id="16393" w:author="AbbVie14" w:date="2025-05-09T10:59:00Z"/>
                <w:bCs/>
                <w:sz w:val="22"/>
                <w:szCs w:val="22"/>
                <w:lang w:val="sk-SK"/>
              </w:rPr>
            </w:pPr>
            <w:del w:id="16394" w:author="AbbVie14" w:date="2025-05-09T10:59:00Z">
              <w:r w:rsidRPr="00BD646C">
                <w:rPr>
                  <w:bCs/>
                  <w:sz w:val="22"/>
                  <w:szCs w:val="22"/>
                  <w:lang w:val="da-DK"/>
                </w:rPr>
                <w:delText>Tel: +46 (0)8 684 44 600</w:delText>
              </w:r>
            </w:del>
          </w:p>
        </w:tc>
      </w:tr>
      <w:tr w14:paraId="72DA739C" w14:textId="77777777" w:rsidTr="001F79B0">
        <w:tblPrEx>
          <w:tblW w:w="9356" w:type="dxa"/>
          <w:tblInd w:w="-34" w:type="dxa"/>
          <w:tblLayout w:type="fixed"/>
          <w:tblLook w:val="0000"/>
        </w:tblPrEx>
        <w:trPr>
          <w:gridBefore w:val="1"/>
          <w:wBefore w:w="34" w:type="dxa"/>
          <w:cantSplit/>
          <w:trHeight w:val="761"/>
          <w:del w:id="16395" w:author="AbbVie14" w:date="2025-05-09T10:59:00Z"/>
        </w:trPr>
        <w:tc>
          <w:tcPr>
            <w:tcW w:w="4644" w:type="dxa"/>
            <w:gridSpan w:val="2"/>
          </w:tcPr>
          <w:p w:rsidR="00235869" w:rsidRPr="00BD646C" w:rsidP="001F79B0" w14:paraId="7CBA146E" w14:textId="77777777">
            <w:pPr>
              <w:rPr>
                <w:del w:id="16396" w:author="AbbVie14" w:date="2025-05-09T10:59:00Z"/>
                <w:b/>
                <w:bCs/>
                <w:sz w:val="22"/>
                <w:szCs w:val="22"/>
                <w:lang w:val="lv-LV"/>
              </w:rPr>
            </w:pPr>
            <w:del w:id="16397" w:author="AbbVie14" w:date="2025-05-09T10:59:00Z">
              <w:r w:rsidRPr="00BD646C">
                <w:rPr>
                  <w:b/>
                  <w:bCs/>
                  <w:sz w:val="22"/>
                  <w:szCs w:val="22"/>
                  <w:lang w:val="lv-LV"/>
                </w:rPr>
                <w:delText>Latvija</w:delText>
              </w:r>
            </w:del>
          </w:p>
          <w:p w:rsidR="00235869" w:rsidRPr="00BD646C" w:rsidP="001F79B0" w14:paraId="09AEB59A" w14:textId="77777777">
            <w:pPr>
              <w:rPr>
                <w:del w:id="16398" w:author="AbbVie14" w:date="2025-05-09T10:59:00Z"/>
                <w:bCs/>
                <w:sz w:val="22"/>
                <w:szCs w:val="22"/>
                <w:lang w:val="lv-LV"/>
              </w:rPr>
            </w:pPr>
            <w:del w:id="16399" w:author="AbbVie14" w:date="2025-05-09T10:59:00Z">
              <w:r w:rsidRPr="00BD646C">
                <w:rPr>
                  <w:bCs/>
                  <w:sz w:val="22"/>
                  <w:szCs w:val="22"/>
                  <w:lang w:val="lv-LV"/>
                </w:rPr>
                <w:delText xml:space="preserve">AbbVie SIA </w:delText>
              </w:r>
            </w:del>
          </w:p>
          <w:p w:rsidR="00235869" w:rsidRPr="00BD646C" w:rsidP="001F79B0" w14:paraId="0E798F51" w14:textId="77777777">
            <w:pPr>
              <w:rPr>
                <w:del w:id="16400" w:author="AbbVie14" w:date="2025-05-09T10:59:00Z"/>
                <w:bCs/>
                <w:sz w:val="22"/>
                <w:szCs w:val="22"/>
                <w:lang w:val="lv-LV"/>
              </w:rPr>
            </w:pPr>
            <w:del w:id="16401" w:author="AbbVie14" w:date="2025-05-09T10:59:00Z">
              <w:r w:rsidRPr="00BD646C">
                <w:rPr>
                  <w:bCs/>
                  <w:sz w:val="22"/>
                  <w:szCs w:val="22"/>
                  <w:lang w:val="lv-LV"/>
                </w:rPr>
                <w:delText>Tel: +371 67605000</w:delText>
              </w:r>
            </w:del>
          </w:p>
        </w:tc>
        <w:tc>
          <w:tcPr>
            <w:tcW w:w="4678" w:type="dxa"/>
          </w:tcPr>
          <w:p w:rsidR="00235869" w:rsidRPr="00BD646C" w:rsidP="001F79B0" w14:paraId="687BDD02" w14:textId="77777777">
            <w:pPr>
              <w:rPr>
                <w:del w:id="16402" w:author="AbbVie14" w:date="2025-05-09T10:59:00Z"/>
                <w:b/>
                <w:bCs/>
                <w:sz w:val="22"/>
                <w:szCs w:val="22"/>
                <w:lang w:val="sk-SK"/>
              </w:rPr>
            </w:pPr>
          </w:p>
        </w:tc>
      </w:tr>
    </w:tbl>
    <w:p w:rsidR="006224C2" w:rsidRPr="008B6641" w14:paraId="4192185D" w14:textId="77777777">
      <w:pPr>
        <w:keepNext/>
        <w:rPr>
          <w:del w:id="16403" w:author="AbbVie14" w:date="2025-05-09T10:59:00Z"/>
          <w:sz w:val="22"/>
          <w:szCs w:val="22"/>
          <w:lang w:val="it-IT"/>
          <w:rPrChange w:id="16404" w:author="AbbVie14" w:date="2025-05-13T14:31:00Z">
            <w:rPr>
              <w:sz w:val="22"/>
              <w:szCs w:val="22"/>
              <w:lang w:val="en-US"/>
            </w:rPr>
          </w:rPrChange>
        </w:rPr>
      </w:pPr>
    </w:p>
    <w:p w:rsidR="006224C2" w:rsidRPr="00295E71" w14:paraId="1CBD88D2" w14:textId="77777777">
      <w:pPr>
        <w:numPr>
          <w:ilvl w:val="12"/>
          <w:numId w:val="0"/>
        </w:numPr>
        <w:tabs>
          <w:tab w:val="left" w:pos="567"/>
        </w:tabs>
        <w:ind w:right="-2"/>
        <w:jc w:val="both"/>
        <w:rPr>
          <w:del w:id="16405" w:author="AbbVie14" w:date="2025-05-09T10:59:00Z"/>
          <w:sz w:val="22"/>
          <w:szCs w:val="22"/>
        </w:rPr>
      </w:pPr>
      <w:del w:id="16406" w:author="AbbVie14" w:date="2025-05-09T10:59:00Z">
        <w:r w:rsidRPr="00295E71">
          <w:rPr>
            <w:b/>
            <w:bCs/>
            <w:sz w:val="22"/>
            <w:szCs w:val="22"/>
          </w:rPr>
          <w:delText>Questo foglio illustrativo è stato aggiornato il</w:delText>
        </w:r>
      </w:del>
    </w:p>
    <w:p w:rsidR="006224C2" w:rsidRPr="00295E71" w14:paraId="2E369C62" w14:textId="77777777">
      <w:pPr>
        <w:numPr>
          <w:ilvl w:val="12"/>
          <w:numId w:val="0"/>
        </w:numPr>
        <w:tabs>
          <w:tab w:val="left" w:pos="567"/>
        </w:tabs>
        <w:ind w:right="-2"/>
        <w:jc w:val="both"/>
        <w:rPr>
          <w:del w:id="16407" w:author="AbbVie14" w:date="2025-05-09T10:59:00Z"/>
          <w:sz w:val="22"/>
          <w:szCs w:val="22"/>
        </w:rPr>
      </w:pPr>
    </w:p>
    <w:p w:rsidR="006224C2" w:rsidRPr="00295E71" w14:paraId="001A2902" w14:textId="77777777">
      <w:pPr>
        <w:numPr>
          <w:ilvl w:val="12"/>
          <w:numId w:val="0"/>
        </w:numPr>
        <w:tabs>
          <w:tab w:val="left" w:pos="567"/>
        </w:tabs>
        <w:ind w:right="-2"/>
        <w:jc w:val="both"/>
        <w:rPr>
          <w:del w:id="16408" w:author="AbbVie14" w:date="2025-05-09T10:59:00Z"/>
          <w:sz w:val="22"/>
          <w:szCs w:val="22"/>
        </w:rPr>
      </w:pPr>
      <w:del w:id="16409" w:author="AbbVie14" w:date="2025-05-09T10:59:00Z">
        <w:r w:rsidRPr="00295E71">
          <w:rPr>
            <w:sz w:val="22"/>
            <w:szCs w:val="22"/>
          </w:rPr>
          <w:delText xml:space="preserve">Informazioni più dettagliate su questo medicinale sono disponibili sul sito web dell’Agenzia europea dei medicinali: </w:delText>
        </w:r>
      </w:del>
      <w:del w:id="16410" w:author="AbbVie14" w:date="2025-05-09T10:59:00Z">
        <w:r>
          <w:fldChar w:fldCharType="begin"/>
        </w:r>
      </w:del>
      <w:del w:id="16411" w:author="AbbVie14" w:date="2025-05-09T10:59:00Z">
        <w:r>
          <w:delInstrText>HYPERLINK "http://www.ema.europa.eu/"</w:delInstrText>
        </w:r>
      </w:del>
      <w:del w:id="16412" w:author="AbbVie14" w:date="2025-05-09T10:59:00Z">
        <w:r>
          <w:fldChar w:fldCharType="separate"/>
        </w:r>
      </w:del>
      <w:del w:id="16413" w:author="AbbVie14" w:date="2025-05-09T10:59:00Z">
        <w:r w:rsidRPr="00295E71">
          <w:rPr>
            <w:rStyle w:val="Hyperlink"/>
            <w:sz w:val="22"/>
            <w:szCs w:val="22"/>
          </w:rPr>
          <w:delText>http://www.ema.europa.eu/</w:delText>
        </w:r>
      </w:del>
      <w:del w:id="16414" w:author="AbbVie14" w:date="2025-05-09T10:59:00Z">
        <w:r>
          <w:fldChar w:fldCharType="end"/>
        </w:r>
      </w:del>
      <w:del w:id="16415" w:author="AbbVie14" w:date="2025-05-09T10:59:00Z">
        <w:r w:rsidRPr="00295E71">
          <w:rPr>
            <w:sz w:val="22"/>
            <w:szCs w:val="22"/>
          </w:rPr>
          <w:delText>.</w:delText>
        </w:r>
      </w:del>
    </w:p>
    <w:p w:rsidR="006224C2" w:rsidRPr="00295E71" w14:paraId="06A3D732" w14:textId="77777777">
      <w:pPr>
        <w:numPr>
          <w:ilvl w:val="12"/>
          <w:numId w:val="0"/>
        </w:numPr>
        <w:tabs>
          <w:tab w:val="left" w:pos="567"/>
        </w:tabs>
        <w:ind w:right="-2"/>
        <w:jc w:val="both"/>
        <w:rPr>
          <w:del w:id="16416" w:author="AbbVie14" w:date="2025-05-09T10:59:00Z"/>
          <w:sz w:val="22"/>
          <w:szCs w:val="22"/>
        </w:rPr>
      </w:pPr>
    </w:p>
    <w:p w:rsidR="006224C2" w:rsidRPr="00295E71" w14:paraId="568345BF" w14:textId="77777777">
      <w:pPr>
        <w:numPr>
          <w:ilvl w:val="12"/>
          <w:numId w:val="0"/>
        </w:numPr>
        <w:tabs>
          <w:tab w:val="left" w:pos="567"/>
        </w:tabs>
        <w:ind w:right="-2"/>
        <w:jc w:val="both"/>
        <w:rPr>
          <w:del w:id="16417" w:author="AbbVie14" w:date="2025-05-09T10:59:00Z"/>
          <w:b/>
          <w:sz w:val="22"/>
          <w:szCs w:val="22"/>
        </w:rPr>
      </w:pPr>
      <w:del w:id="16418" w:author="AbbVie14" w:date="2025-05-09T10:59:00Z">
        <w:r w:rsidRPr="00295E71">
          <w:rPr>
            <w:b/>
            <w:color w:val="000000"/>
            <w:sz w:val="22"/>
            <w:szCs w:val="22"/>
          </w:rPr>
          <w:delText xml:space="preserve">Per ascoltare o richiedere una copia di questo foglio illustrativo in </w:delText>
        </w:r>
      </w:del>
      <w:del w:id="16419" w:author="AbbVie14" w:date="2025-05-09T10:59:00Z">
        <w:r w:rsidRPr="00295E71">
          <w:rPr>
            <w:b/>
            <w:color w:val="000000"/>
            <w:sz w:val="22"/>
            <w:szCs w:val="22"/>
            <w:shd w:val="clear" w:color="auto" w:fill="A6A6A6"/>
          </w:rPr>
          <w:delText>&lt;Braille&gt;, &lt; stampa a caratteri grandi&gt; o &lt;audio</w:delText>
        </w:r>
      </w:del>
      <w:del w:id="16420" w:author="AbbVie14" w:date="2025-05-09T10:59:00Z">
        <w:r w:rsidRPr="00295E71">
          <w:rPr>
            <w:b/>
            <w:color w:val="000000"/>
            <w:sz w:val="22"/>
            <w:szCs w:val="22"/>
            <w:highlight w:val="darkGray"/>
          </w:rPr>
          <w:delText>&gt;</w:delText>
        </w:r>
      </w:del>
      <w:del w:id="16421" w:author="AbbVie14" w:date="2025-05-09T10:59:00Z">
        <w:r w:rsidRPr="00295E71">
          <w:rPr>
            <w:b/>
            <w:color w:val="000000"/>
            <w:sz w:val="22"/>
            <w:szCs w:val="22"/>
          </w:rPr>
          <w:delText xml:space="preserve">, contattare il rappresentante locale del </w:delText>
        </w:r>
      </w:del>
      <w:del w:id="16422" w:author="AbbVie14" w:date="2025-05-09T10:59:00Z">
        <w:r w:rsidRPr="00295E71">
          <w:rPr>
            <w:b/>
            <w:sz w:val="22"/>
            <w:szCs w:val="22"/>
          </w:rPr>
          <w:delText>titolare dell’autorizzazione all’immissione in commercio</w:delText>
        </w:r>
      </w:del>
      <w:del w:id="16423" w:author="AbbVie14" w:date="2025-05-09T10:59:00Z">
        <w:r w:rsidRPr="00295E71">
          <w:rPr>
            <w:b/>
            <w:color w:val="000000"/>
            <w:sz w:val="22"/>
            <w:szCs w:val="22"/>
          </w:rPr>
          <w:delText>.</w:delText>
        </w:r>
      </w:del>
    </w:p>
    <w:p w:rsidR="006224C2" w:rsidRPr="00295E71" w:rsidP="00FE3C0F" w14:paraId="05179B86" w14:textId="77777777">
      <w:pPr>
        <w:pStyle w:val="Title"/>
        <w:tabs>
          <w:tab w:val="left" w:pos="567"/>
        </w:tabs>
        <w:rPr>
          <w:del w:id="16424" w:author="AbbVie14" w:date="2025-05-09T11:00:00Z"/>
          <w:sz w:val="22"/>
          <w:szCs w:val="22"/>
        </w:rPr>
      </w:pPr>
      <w:del w:id="16425" w:author="AbbVie14" w:date="2025-05-09T10:59:00Z">
        <w:r w:rsidRPr="00295E71">
          <w:rPr>
            <w:sz w:val="22"/>
            <w:szCs w:val="22"/>
          </w:rPr>
          <w:br w:type="page"/>
        </w:r>
      </w:del>
      <w:del w:id="16426" w:author="AbbVie14" w:date="2025-05-09T11:00:00Z">
        <w:r w:rsidRPr="00295E71">
          <w:rPr>
            <w:sz w:val="22"/>
            <w:szCs w:val="22"/>
          </w:rPr>
          <w:delText>Foglio illustrativo: informazioni per il paziente</w:delText>
        </w:r>
      </w:del>
    </w:p>
    <w:p w:rsidR="006224C2" w:rsidRPr="00295E71" w:rsidP="00FE3C0F" w14:paraId="75B61CEC" w14:textId="77777777">
      <w:pPr>
        <w:pStyle w:val="Title"/>
        <w:tabs>
          <w:tab w:val="left" w:pos="567"/>
        </w:tabs>
        <w:rPr>
          <w:del w:id="16427" w:author="AbbVie14" w:date="2025-05-09T11:00:00Z"/>
          <w:sz w:val="22"/>
          <w:szCs w:val="22"/>
        </w:rPr>
      </w:pPr>
    </w:p>
    <w:p w:rsidR="006224C2" w:rsidRPr="00295E71" w:rsidP="00FE3C0F" w14:paraId="6680813E" w14:textId="77777777">
      <w:pPr>
        <w:pStyle w:val="Title"/>
        <w:tabs>
          <w:tab w:val="left" w:pos="567"/>
        </w:tabs>
        <w:rPr>
          <w:del w:id="16428" w:author="AbbVie14" w:date="2025-05-09T11:00:00Z"/>
          <w:b w:val="0"/>
          <w:bCs w:val="0"/>
          <w:sz w:val="22"/>
          <w:szCs w:val="22"/>
        </w:rPr>
      </w:pPr>
      <w:del w:id="16429" w:author="AbbVie14" w:date="2025-05-09T11:00:00Z">
        <w:r w:rsidRPr="00295E71">
          <w:rPr>
            <w:sz w:val="22"/>
            <w:szCs w:val="22"/>
          </w:rPr>
          <w:delText>Humira</w:delText>
        </w:r>
      </w:del>
      <w:del w:id="16430" w:author="AbbVie14" w:date="2025-05-09T11:00:00Z">
        <w:r w:rsidRPr="00295E71" w:rsidR="00C465A7">
          <w:rPr>
            <w:sz w:val="22"/>
            <w:szCs w:val="22"/>
          </w:rPr>
          <w:delText xml:space="preserve"> </w:delText>
        </w:r>
      </w:del>
      <w:del w:id="16431" w:author="AbbVie14" w:date="2025-05-09T11:00:00Z">
        <w:r w:rsidRPr="00295E71">
          <w:rPr>
            <w:bCs w:val="0"/>
            <w:sz w:val="22"/>
            <w:szCs w:val="22"/>
          </w:rPr>
          <w:delText>40 mg soluzione iniettabile in siringa pre-riempita</w:delText>
        </w:r>
      </w:del>
    </w:p>
    <w:p w:rsidR="006224C2" w:rsidRPr="00295E71" w:rsidP="00FE3C0F" w14:paraId="6AEB1CEF" w14:textId="77777777">
      <w:pPr>
        <w:numPr>
          <w:ilvl w:val="12"/>
          <w:numId w:val="0"/>
        </w:numPr>
        <w:tabs>
          <w:tab w:val="left" w:pos="567"/>
        </w:tabs>
        <w:ind w:right="-2"/>
        <w:jc w:val="center"/>
        <w:rPr>
          <w:del w:id="16432" w:author="AbbVie14" w:date="2025-05-09T11:00:00Z"/>
          <w:bCs/>
          <w:sz w:val="22"/>
          <w:szCs w:val="22"/>
        </w:rPr>
      </w:pPr>
      <w:del w:id="16433" w:author="AbbVie14" w:date="2025-05-09T11:00:00Z">
        <w:r w:rsidRPr="00295E71">
          <w:rPr>
            <w:bCs/>
            <w:sz w:val="22"/>
            <w:szCs w:val="22"/>
          </w:rPr>
          <w:delText>adalimumab</w:delText>
        </w:r>
      </w:del>
    </w:p>
    <w:p w:rsidR="006224C2" w:rsidRPr="00295E71" w:rsidP="00FE3C0F" w14:paraId="58C1EEDD" w14:textId="77777777">
      <w:pPr>
        <w:numPr>
          <w:ilvl w:val="12"/>
          <w:numId w:val="0"/>
        </w:numPr>
        <w:tabs>
          <w:tab w:val="left" w:pos="567"/>
        </w:tabs>
        <w:ind w:right="-2"/>
        <w:rPr>
          <w:del w:id="16434" w:author="AbbVie14" w:date="2025-05-09T11:00:00Z"/>
          <w:b/>
          <w:bCs/>
          <w:sz w:val="22"/>
          <w:szCs w:val="22"/>
          <w:u w:val="single"/>
        </w:rPr>
      </w:pPr>
    </w:p>
    <w:p w:rsidR="006224C2" w:rsidRPr="00295E71" w:rsidP="00FE3C0F" w14:paraId="22F57FCF" w14:textId="77777777">
      <w:pPr>
        <w:pStyle w:val="Heading8"/>
        <w:keepNext w:val="0"/>
        <w:tabs>
          <w:tab w:val="left" w:pos="567"/>
        </w:tabs>
        <w:jc w:val="both"/>
        <w:rPr>
          <w:del w:id="16435" w:author="AbbVie14" w:date="2025-05-09T11:00:00Z"/>
        </w:rPr>
      </w:pPr>
      <w:del w:id="16436" w:author="AbbVie14" w:date="2025-05-09T11:00:00Z">
        <w:r w:rsidRPr="00295E71">
          <w:delText>Legga attentamente questo foglio prima di usare questo medicinaleperché contiene importanti informazioni per lei</w:delText>
        </w:r>
      </w:del>
    </w:p>
    <w:p w:rsidR="006224C2" w:rsidRPr="00295E71" w:rsidP="00FE3C0F" w14:paraId="3F34F4C7" w14:textId="77777777">
      <w:pPr>
        <w:numPr>
          <w:ilvl w:val="0"/>
          <w:numId w:val="1"/>
        </w:numPr>
        <w:tabs>
          <w:tab w:val="left" w:pos="567"/>
        </w:tabs>
        <w:ind w:left="567" w:right="-2" w:hanging="567"/>
        <w:jc w:val="both"/>
        <w:rPr>
          <w:del w:id="16437" w:author="AbbVie14" w:date="2025-05-09T11:00:00Z"/>
          <w:sz w:val="22"/>
          <w:szCs w:val="22"/>
        </w:rPr>
      </w:pPr>
      <w:del w:id="16438" w:author="AbbVie14" w:date="2025-05-09T11:00:00Z">
        <w:r w:rsidRPr="00295E71">
          <w:rPr>
            <w:sz w:val="22"/>
            <w:szCs w:val="22"/>
          </w:rPr>
          <w:delText>Conservi questo foglio. Potrebbe avere bisogno di leggerlo di nuovo.</w:delText>
        </w:r>
      </w:del>
    </w:p>
    <w:p w:rsidR="006224C2" w:rsidRPr="00295E71" w:rsidP="00FE3C0F" w14:paraId="6D9F4231" w14:textId="77777777">
      <w:pPr>
        <w:numPr>
          <w:ilvl w:val="0"/>
          <w:numId w:val="1"/>
        </w:numPr>
        <w:tabs>
          <w:tab w:val="left" w:pos="567"/>
        </w:tabs>
        <w:ind w:left="567" w:right="-2" w:hanging="567"/>
        <w:jc w:val="both"/>
        <w:rPr>
          <w:del w:id="16439" w:author="AbbVie14" w:date="2025-05-09T11:00:00Z"/>
          <w:sz w:val="22"/>
          <w:szCs w:val="22"/>
        </w:rPr>
      </w:pPr>
      <w:del w:id="16440" w:author="AbbVie14" w:date="2025-05-09T11:00:00Z">
        <w:r w:rsidRPr="00295E71">
          <w:rPr>
            <w:sz w:val="22"/>
            <w:szCs w:val="22"/>
          </w:rPr>
          <w:delText>Il medico le consegnerà una</w:delText>
        </w:r>
      </w:del>
      <w:del w:id="16441" w:author="AbbVie14" w:date="2025-05-09T11:00:00Z">
        <w:r w:rsidR="00E15A82">
          <w:rPr>
            <w:sz w:val="22"/>
            <w:szCs w:val="22"/>
          </w:rPr>
          <w:delText xml:space="preserve"> </w:delText>
        </w:r>
      </w:del>
      <w:del w:id="16442" w:author="AbbVie14" w:date="2025-05-09T11:00:00Z">
        <w:r w:rsidRPr="000D0B9B" w:rsidR="00E15A82">
          <w:rPr>
            <w:b/>
            <w:sz w:val="22"/>
            <w:szCs w:val="22"/>
          </w:rPr>
          <w:delText>Scheda Promemoria per il Paziente</w:delText>
        </w:r>
      </w:del>
      <w:del w:id="16443" w:author="AbbVie14" w:date="2025-05-09T11:00:00Z">
        <w:r w:rsidRPr="00295E71">
          <w:rPr>
            <w:sz w:val="22"/>
            <w:szCs w:val="22"/>
          </w:rPr>
          <w:delText>, che contiene importanti informazioni sulla sicurezza, che ha bisogno di sapere prima della somministrazione di Humira e durante il trattamento con Humira. Conservi questa</w:delText>
        </w:r>
      </w:del>
      <w:del w:id="16444" w:author="AbbVie14" w:date="2025-05-09T11:00:00Z">
        <w:r w:rsidR="00E15A82">
          <w:rPr>
            <w:sz w:val="22"/>
            <w:szCs w:val="22"/>
          </w:rPr>
          <w:delText xml:space="preserve"> </w:delText>
        </w:r>
      </w:del>
      <w:del w:id="16445" w:author="AbbVie14" w:date="2025-05-09T11:00:00Z">
        <w:r w:rsidRPr="000D0B9B" w:rsidR="00E15A82">
          <w:rPr>
            <w:b/>
            <w:sz w:val="22"/>
            <w:szCs w:val="22"/>
          </w:rPr>
          <w:delText>Scheda Promemoria per il Paziente</w:delText>
        </w:r>
      </w:del>
      <w:del w:id="16446" w:author="AbbVie14" w:date="2025-05-09T11:00:00Z">
        <w:r w:rsidRPr="00295E71">
          <w:rPr>
            <w:sz w:val="22"/>
            <w:szCs w:val="22"/>
          </w:rPr>
          <w:delText>.</w:delText>
        </w:r>
      </w:del>
    </w:p>
    <w:p w:rsidR="006224C2" w:rsidRPr="00295E71" w:rsidP="00FE3C0F" w14:paraId="11BB5215" w14:textId="77777777">
      <w:pPr>
        <w:numPr>
          <w:ilvl w:val="0"/>
          <w:numId w:val="1"/>
        </w:numPr>
        <w:tabs>
          <w:tab w:val="left" w:pos="567"/>
        </w:tabs>
        <w:ind w:left="567" w:right="-2" w:hanging="567"/>
        <w:jc w:val="both"/>
        <w:rPr>
          <w:del w:id="16447" w:author="AbbVie14" w:date="2025-05-09T11:00:00Z"/>
          <w:sz w:val="22"/>
          <w:szCs w:val="22"/>
        </w:rPr>
      </w:pPr>
      <w:del w:id="16448" w:author="AbbVie14" w:date="2025-05-09T11:00:00Z">
        <w:r w:rsidRPr="00295E71">
          <w:rPr>
            <w:sz w:val="22"/>
            <w:szCs w:val="22"/>
          </w:rPr>
          <w:delText xml:space="preserve">Se ha qualsiasi dubbio, si rivolga al medico o al farmacista. </w:delText>
        </w:r>
      </w:del>
    </w:p>
    <w:p w:rsidR="006224C2" w:rsidRPr="00295E71" w:rsidP="00FE3C0F" w14:paraId="5A48A1E8" w14:textId="77777777">
      <w:pPr>
        <w:numPr>
          <w:ilvl w:val="0"/>
          <w:numId w:val="1"/>
        </w:numPr>
        <w:tabs>
          <w:tab w:val="left" w:pos="567"/>
        </w:tabs>
        <w:ind w:left="567" w:right="-2" w:hanging="567"/>
        <w:jc w:val="both"/>
        <w:rPr>
          <w:del w:id="16449" w:author="AbbVie14" w:date="2025-05-09T11:00:00Z"/>
          <w:sz w:val="22"/>
          <w:szCs w:val="22"/>
        </w:rPr>
      </w:pPr>
      <w:del w:id="16450" w:author="AbbVie14" w:date="2025-05-09T11:00:00Z">
        <w:r w:rsidRPr="00295E71">
          <w:rPr>
            <w:sz w:val="22"/>
            <w:szCs w:val="22"/>
          </w:rPr>
          <w:delText>Questo medicinale è stato prescritto soltanto per lei. Non lo dia ad altre persone, anche se i sintomi della malattia sono uguali ai suoi, perchè potrebbe essere pericoloso.</w:delText>
        </w:r>
      </w:del>
    </w:p>
    <w:p w:rsidR="006224C2" w:rsidRPr="00295E71" w:rsidP="00FE3C0F" w14:paraId="2F78168D" w14:textId="77777777">
      <w:pPr>
        <w:numPr>
          <w:ilvl w:val="0"/>
          <w:numId w:val="1"/>
        </w:numPr>
        <w:tabs>
          <w:tab w:val="left" w:pos="567"/>
        </w:tabs>
        <w:ind w:left="567" w:right="-2" w:hanging="567"/>
        <w:jc w:val="both"/>
        <w:rPr>
          <w:del w:id="16451" w:author="AbbVie14" w:date="2025-05-09T11:00:00Z"/>
          <w:sz w:val="22"/>
          <w:szCs w:val="22"/>
        </w:rPr>
      </w:pPr>
      <w:del w:id="16452" w:author="AbbVie14" w:date="2025-05-09T11:00:00Z">
        <w:r w:rsidRPr="00295E71">
          <w:rPr>
            <w:sz w:val="22"/>
            <w:szCs w:val="22"/>
          </w:rPr>
          <w:delText>Se si manifesta un qualsiasi effetto indesiderato, compresi quelli non elencati in questo foglio, si rivolga al medico o al farmacista. Vedere paragrafo 4.</w:delText>
        </w:r>
      </w:del>
    </w:p>
    <w:p w:rsidR="006224C2" w:rsidRPr="00295E71" w:rsidP="00FE3C0F" w14:paraId="2D05EDD3" w14:textId="77777777">
      <w:pPr>
        <w:numPr>
          <w:ilvl w:val="12"/>
          <w:numId w:val="0"/>
        </w:numPr>
        <w:tabs>
          <w:tab w:val="left" w:pos="567"/>
        </w:tabs>
        <w:ind w:right="-2"/>
        <w:jc w:val="both"/>
        <w:rPr>
          <w:del w:id="16453" w:author="AbbVie14" w:date="2025-05-09T11:00:00Z"/>
          <w:sz w:val="22"/>
          <w:szCs w:val="22"/>
          <w:u w:val="single"/>
        </w:rPr>
      </w:pPr>
    </w:p>
    <w:p w:rsidR="006224C2" w:rsidRPr="00295E71" w:rsidP="00FE3C0F" w14:paraId="57817FE2" w14:textId="77777777">
      <w:pPr>
        <w:numPr>
          <w:ilvl w:val="12"/>
          <w:numId w:val="0"/>
        </w:numPr>
        <w:tabs>
          <w:tab w:val="left" w:pos="567"/>
        </w:tabs>
        <w:ind w:right="-2"/>
        <w:jc w:val="both"/>
        <w:rPr>
          <w:del w:id="16454" w:author="AbbVie14" w:date="2025-05-09T11:00:00Z"/>
          <w:b/>
          <w:bCs/>
          <w:sz w:val="22"/>
          <w:szCs w:val="22"/>
        </w:rPr>
      </w:pPr>
      <w:del w:id="16455" w:author="AbbVie14" w:date="2025-05-09T11:00:00Z">
        <w:r w:rsidRPr="00295E71">
          <w:rPr>
            <w:b/>
            <w:bCs/>
            <w:sz w:val="22"/>
            <w:szCs w:val="22"/>
          </w:rPr>
          <w:delText>Contenuto di questo foglio</w:delText>
        </w:r>
      </w:del>
    </w:p>
    <w:p w:rsidR="006224C2" w:rsidRPr="00295E71" w:rsidP="00FE3C0F" w14:paraId="1E13DED7" w14:textId="77777777">
      <w:pPr>
        <w:tabs>
          <w:tab w:val="left" w:pos="567"/>
        </w:tabs>
        <w:ind w:left="567" w:right="-29" w:hanging="567"/>
        <w:jc w:val="both"/>
        <w:rPr>
          <w:del w:id="16456" w:author="AbbVie14" w:date="2025-05-09T11:00:00Z"/>
          <w:sz w:val="22"/>
          <w:szCs w:val="22"/>
        </w:rPr>
      </w:pPr>
      <w:del w:id="16457" w:author="AbbVie14" w:date="2025-05-09T11:00:00Z">
        <w:r w:rsidRPr="00295E71">
          <w:rPr>
            <w:sz w:val="22"/>
            <w:szCs w:val="22"/>
          </w:rPr>
          <w:delText>1.</w:delText>
        </w:r>
      </w:del>
      <w:del w:id="16458" w:author="AbbVie14" w:date="2025-05-09T11:00:00Z">
        <w:r w:rsidRPr="00295E71">
          <w:rPr>
            <w:sz w:val="22"/>
            <w:szCs w:val="22"/>
          </w:rPr>
          <w:tab/>
          <w:delText>Cos’è Humira e a cosa serve</w:delText>
        </w:r>
      </w:del>
    </w:p>
    <w:p w:rsidR="006224C2" w:rsidRPr="00295E71" w:rsidP="00FE3C0F" w14:paraId="7B589A7F" w14:textId="77777777">
      <w:pPr>
        <w:tabs>
          <w:tab w:val="left" w:pos="567"/>
        </w:tabs>
        <w:ind w:left="567" w:right="-29" w:hanging="567"/>
        <w:jc w:val="both"/>
        <w:rPr>
          <w:del w:id="16459" w:author="AbbVie14" w:date="2025-05-09T11:00:00Z"/>
          <w:sz w:val="22"/>
          <w:szCs w:val="22"/>
        </w:rPr>
      </w:pPr>
      <w:del w:id="16460" w:author="AbbVie14" w:date="2025-05-09T11:00:00Z">
        <w:r w:rsidRPr="00295E71">
          <w:rPr>
            <w:sz w:val="22"/>
            <w:szCs w:val="22"/>
          </w:rPr>
          <w:delText>2.</w:delText>
        </w:r>
      </w:del>
      <w:del w:id="16461" w:author="AbbVie14" w:date="2025-05-09T11:00:00Z">
        <w:r w:rsidRPr="00295E71">
          <w:rPr>
            <w:sz w:val="22"/>
            <w:szCs w:val="22"/>
          </w:rPr>
          <w:tab/>
          <w:delText>Cosa deve sapere prima di usare Humira</w:delText>
        </w:r>
      </w:del>
    </w:p>
    <w:p w:rsidR="006224C2" w:rsidRPr="00295E71" w:rsidP="00FE3C0F" w14:paraId="112BE36A" w14:textId="77777777">
      <w:pPr>
        <w:tabs>
          <w:tab w:val="left" w:pos="567"/>
        </w:tabs>
        <w:ind w:left="567" w:right="-29" w:hanging="567"/>
        <w:jc w:val="both"/>
        <w:rPr>
          <w:del w:id="16462" w:author="AbbVie14" w:date="2025-05-09T11:00:00Z"/>
          <w:sz w:val="22"/>
          <w:szCs w:val="22"/>
        </w:rPr>
      </w:pPr>
      <w:del w:id="16463" w:author="AbbVie14" w:date="2025-05-09T11:00:00Z">
        <w:r w:rsidRPr="00295E71">
          <w:rPr>
            <w:sz w:val="22"/>
            <w:szCs w:val="22"/>
          </w:rPr>
          <w:delText>3.</w:delText>
        </w:r>
      </w:del>
      <w:del w:id="16464" w:author="AbbVie14" w:date="2025-05-09T11:00:00Z">
        <w:r w:rsidRPr="00295E71">
          <w:rPr>
            <w:sz w:val="22"/>
            <w:szCs w:val="22"/>
          </w:rPr>
          <w:tab/>
          <w:delText>Come usare Humira</w:delText>
        </w:r>
      </w:del>
    </w:p>
    <w:p w:rsidR="006224C2" w:rsidRPr="00295E71" w:rsidP="00FE3C0F" w14:paraId="5BC014ED" w14:textId="77777777">
      <w:pPr>
        <w:tabs>
          <w:tab w:val="left" w:pos="567"/>
        </w:tabs>
        <w:ind w:left="567" w:right="-29" w:hanging="567"/>
        <w:jc w:val="both"/>
        <w:rPr>
          <w:del w:id="16465" w:author="AbbVie14" w:date="2025-05-09T11:00:00Z"/>
          <w:sz w:val="22"/>
          <w:szCs w:val="22"/>
        </w:rPr>
      </w:pPr>
      <w:del w:id="16466" w:author="AbbVie14" w:date="2025-05-09T11:00:00Z">
        <w:r w:rsidRPr="00295E71">
          <w:rPr>
            <w:sz w:val="22"/>
            <w:szCs w:val="22"/>
          </w:rPr>
          <w:delText>4.</w:delText>
        </w:r>
      </w:del>
      <w:del w:id="16467" w:author="AbbVie14" w:date="2025-05-09T11:00:00Z">
        <w:r w:rsidRPr="00295E71">
          <w:rPr>
            <w:sz w:val="22"/>
            <w:szCs w:val="22"/>
          </w:rPr>
          <w:tab/>
          <w:delText>Possibili effetti indesiderati</w:delText>
        </w:r>
      </w:del>
    </w:p>
    <w:p w:rsidR="006224C2" w:rsidRPr="00295E71" w:rsidP="00FE3C0F" w14:paraId="72EFA382" w14:textId="77777777">
      <w:pPr>
        <w:tabs>
          <w:tab w:val="left" w:pos="567"/>
        </w:tabs>
        <w:ind w:left="567" w:right="-29" w:hanging="567"/>
        <w:jc w:val="both"/>
        <w:rPr>
          <w:del w:id="16468" w:author="AbbVie14" w:date="2025-05-09T11:00:00Z"/>
          <w:sz w:val="22"/>
          <w:szCs w:val="22"/>
        </w:rPr>
      </w:pPr>
      <w:del w:id="16469" w:author="AbbVie14" w:date="2025-05-09T11:00:00Z">
        <w:r w:rsidRPr="00295E71">
          <w:rPr>
            <w:sz w:val="22"/>
            <w:szCs w:val="22"/>
          </w:rPr>
          <w:delText>5.</w:delText>
        </w:r>
      </w:del>
      <w:del w:id="16470" w:author="AbbVie14" w:date="2025-05-09T11:00:00Z">
        <w:r w:rsidRPr="00295E71">
          <w:rPr>
            <w:sz w:val="22"/>
            <w:szCs w:val="22"/>
          </w:rPr>
          <w:tab/>
          <w:delText>Come conservare Humira</w:delText>
        </w:r>
      </w:del>
    </w:p>
    <w:p w:rsidR="006224C2" w:rsidRPr="00295E71" w:rsidP="00FE3C0F" w14:paraId="6E60A324" w14:textId="77777777">
      <w:pPr>
        <w:tabs>
          <w:tab w:val="left" w:pos="567"/>
        </w:tabs>
        <w:ind w:left="567" w:right="-29" w:hanging="567"/>
        <w:jc w:val="both"/>
        <w:rPr>
          <w:del w:id="16471" w:author="AbbVie14" w:date="2025-05-09T11:00:00Z"/>
          <w:sz w:val="22"/>
          <w:szCs w:val="22"/>
        </w:rPr>
      </w:pPr>
      <w:del w:id="16472" w:author="AbbVie14" w:date="2025-05-09T11:00:00Z">
        <w:r w:rsidRPr="00295E71">
          <w:rPr>
            <w:sz w:val="22"/>
            <w:szCs w:val="22"/>
          </w:rPr>
          <w:delText>6.</w:delText>
        </w:r>
      </w:del>
      <w:del w:id="16473" w:author="AbbVie14" w:date="2025-05-09T11:00:00Z">
        <w:r w:rsidRPr="00295E71">
          <w:rPr>
            <w:sz w:val="22"/>
            <w:szCs w:val="22"/>
          </w:rPr>
          <w:tab/>
          <w:delText>Contenuto della confezione e altre informazioni</w:delText>
        </w:r>
      </w:del>
    </w:p>
    <w:p w:rsidR="006224C2" w:rsidRPr="00295E71" w:rsidP="00FE3C0F" w14:paraId="0C5F9218" w14:textId="77777777">
      <w:pPr>
        <w:numPr>
          <w:ilvl w:val="12"/>
          <w:numId w:val="0"/>
        </w:numPr>
        <w:tabs>
          <w:tab w:val="left" w:pos="567"/>
        </w:tabs>
        <w:ind w:right="-2"/>
        <w:jc w:val="both"/>
        <w:rPr>
          <w:del w:id="16474" w:author="AbbVie14" w:date="2025-05-09T11:00:00Z"/>
          <w:sz w:val="22"/>
          <w:szCs w:val="22"/>
        </w:rPr>
      </w:pPr>
    </w:p>
    <w:p w:rsidR="006224C2" w:rsidRPr="00295E71" w:rsidP="00FE3C0F" w14:paraId="4974597E" w14:textId="77777777">
      <w:pPr>
        <w:numPr>
          <w:ilvl w:val="12"/>
          <w:numId w:val="0"/>
        </w:numPr>
        <w:tabs>
          <w:tab w:val="left" w:pos="567"/>
        </w:tabs>
        <w:ind w:right="-2"/>
        <w:jc w:val="both"/>
        <w:rPr>
          <w:del w:id="16475" w:author="AbbVie14" w:date="2025-05-09T11:00:00Z"/>
          <w:sz w:val="22"/>
          <w:szCs w:val="22"/>
        </w:rPr>
      </w:pPr>
    </w:p>
    <w:p w:rsidR="006224C2" w:rsidRPr="00295E71" w:rsidP="00FE3C0F" w14:paraId="0F9A0826" w14:textId="77777777">
      <w:pPr>
        <w:numPr>
          <w:ilvl w:val="12"/>
          <w:numId w:val="0"/>
        </w:numPr>
        <w:tabs>
          <w:tab w:val="left" w:pos="567"/>
        </w:tabs>
        <w:ind w:left="567" w:right="-2" w:hanging="567"/>
        <w:jc w:val="both"/>
        <w:rPr>
          <w:del w:id="16476" w:author="AbbVie14" w:date="2025-05-09T11:00:00Z"/>
          <w:b/>
          <w:bCs/>
          <w:sz w:val="22"/>
          <w:szCs w:val="22"/>
        </w:rPr>
      </w:pPr>
      <w:del w:id="16477" w:author="AbbVie14" w:date="2025-05-09T11:00:00Z">
        <w:r w:rsidRPr="00295E71">
          <w:rPr>
            <w:b/>
            <w:bCs/>
            <w:sz w:val="22"/>
            <w:szCs w:val="22"/>
          </w:rPr>
          <w:delText>1.</w:delText>
        </w:r>
      </w:del>
      <w:del w:id="16478" w:author="AbbVie14" w:date="2025-05-09T11:00:00Z">
        <w:r w:rsidRPr="00295E71">
          <w:rPr>
            <w:b/>
            <w:bCs/>
            <w:sz w:val="22"/>
            <w:szCs w:val="22"/>
          </w:rPr>
          <w:tab/>
          <w:delText>Cos’è Humira e a cosa serve</w:delText>
        </w:r>
      </w:del>
    </w:p>
    <w:p w:rsidR="006224C2" w:rsidRPr="00295E71" w:rsidP="00FE3C0F" w14:paraId="23375753" w14:textId="77777777">
      <w:pPr>
        <w:numPr>
          <w:ilvl w:val="12"/>
          <w:numId w:val="0"/>
        </w:numPr>
        <w:tabs>
          <w:tab w:val="left" w:pos="567"/>
        </w:tabs>
        <w:ind w:right="-2"/>
        <w:jc w:val="both"/>
        <w:rPr>
          <w:del w:id="16479" w:author="AbbVie14" w:date="2025-05-09T11:00:00Z"/>
          <w:sz w:val="22"/>
          <w:szCs w:val="22"/>
        </w:rPr>
      </w:pPr>
    </w:p>
    <w:p w:rsidR="0011687B" w:rsidRPr="00295E71" w:rsidP="00FE3C0F" w14:paraId="1D1DC380" w14:textId="77777777">
      <w:pPr>
        <w:tabs>
          <w:tab w:val="left" w:pos="567"/>
        </w:tabs>
        <w:jc w:val="both"/>
        <w:rPr>
          <w:del w:id="16480" w:author="AbbVie14" w:date="2025-05-09T11:00:00Z"/>
          <w:sz w:val="22"/>
          <w:szCs w:val="22"/>
        </w:rPr>
      </w:pPr>
      <w:del w:id="16481" w:author="AbbVie14" w:date="2025-05-09T11:00:00Z">
        <w:r w:rsidRPr="00295E71">
          <w:rPr>
            <w:sz w:val="22"/>
            <w:szCs w:val="22"/>
          </w:rPr>
          <w:delText xml:space="preserve">Humira contiene il principio attivo adalimumab. </w:delText>
        </w:r>
      </w:del>
    </w:p>
    <w:p w:rsidR="0011687B" w:rsidRPr="00295E71" w:rsidP="00FE3C0F" w14:paraId="19E1CFC2" w14:textId="77777777">
      <w:pPr>
        <w:tabs>
          <w:tab w:val="left" w:pos="567"/>
        </w:tabs>
        <w:jc w:val="both"/>
        <w:rPr>
          <w:del w:id="16482" w:author="AbbVie14" w:date="2025-05-09T11:00:00Z"/>
          <w:sz w:val="22"/>
          <w:szCs w:val="22"/>
        </w:rPr>
      </w:pPr>
    </w:p>
    <w:p w:rsidR="0011687B" w:rsidRPr="00295E71" w:rsidP="00FE3C0F" w14:paraId="06EBF92E" w14:textId="77777777">
      <w:pPr>
        <w:tabs>
          <w:tab w:val="left" w:pos="567"/>
        </w:tabs>
        <w:jc w:val="both"/>
        <w:rPr>
          <w:del w:id="16483" w:author="AbbVie14" w:date="2025-05-09T11:00:00Z"/>
          <w:sz w:val="22"/>
          <w:szCs w:val="22"/>
        </w:rPr>
      </w:pPr>
      <w:del w:id="16484" w:author="AbbVie14" w:date="2025-05-09T11:00:00Z">
        <w:r w:rsidRPr="00295E71">
          <w:rPr>
            <w:sz w:val="22"/>
            <w:szCs w:val="22"/>
          </w:rPr>
          <w:delText>Humira è indicato per il trattamento delle malattie infiammatorie di seguito elencate:</w:delText>
        </w:r>
      </w:del>
    </w:p>
    <w:p w:rsidR="0011687B" w:rsidRPr="00295E71" w:rsidP="00FE3C0F" w14:paraId="25C319ED" w14:textId="77777777">
      <w:pPr>
        <w:tabs>
          <w:tab w:val="left" w:pos="567"/>
        </w:tabs>
        <w:jc w:val="both"/>
        <w:rPr>
          <w:del w:id="16485" w:author="AbbVie14" w:date="2025-05-09T11:00:00Z"/>
          <w:sz w:val="22"/>
          <w:szCs w:val="22"/>
        </w:rPr>
      </w:pPr>
    </w:p>
    <w:p w:rsidR="0011687B" w:rsidRPr="00295E71" w:rsidP="00FE3C0F" w14:paraId="48C66620" w14:textId="77777777">
      <w:pPr>
        <w:pStyle w:val="ListParagraph"/>
        <w:numPr>
          <w:ilvl w:val="0"/>
          <w:numId w:val="132"/>
        </w:numPr>
        <w:tabs>
          <w:tab w:val="left" w:pos="567"/>
        </w:tabs>
        <w:jc w:val="both"/>
        <w:rPr>
          <w:del w:id="16486" w:author="AbbVie14" w:date="2025-05-09T11:00:00Z"/>
          <w:sz w:val="22"/>
          <w:szCs w:val="22"/>
        </w:rPr>
      </w:pPr>
      <w:del w:id="16487" w:author="AbbVie14" w:date="2025-05-09T11:00:00Z">
        <w:r w:rsidRPr="00295E71">
          <w:rPr>
            <w:sz w:val="22"/>
            <w:szCs w:val="22"/>
          </w:rPr>
          <w:delText>Artrite reumatoide,</w:delText>
        </w:r>
      </w:del>
    </w:p>
    <w:p w:rsidR="0011687B" w:rsidRPr="00295E71" w:rsidP="00FE3C0F" w14:paraId="7E48A8F8" w14:textId="77777777">
      <w:pPr>
        <w:pStyle w:val="ListParagraph"/>
        <w:numPr>
          <w:ilvl w:val="0"/>
          <w:numId w:val="132"/>
        </w:numPr>
        <w:tabs>
          <w:tab w:val="left" w:pos="567"/>
        </w:tabs>
        <w:jc w:val="both"/>
        <w:rPr>
          <w:del w:id="16488" w:author="AbbVie14" w:date="2025-05-09T11:00:00Z"/>
          <w:sz w:val="22"/>
          <w:szCs w:val="22"/>
        </w:rPr>
      </w:pPr>
      <w:del w:id="16489" w:author="AbbVie14" w:date="2025-05-09T11:00:00Z">
        <w:r w:rsidRPr="00295E71">
          <w:rPr>
            <w:sz w:val="22"/>
            <w:szCs w:val="22"/>
          </w:rPr>
          <w:delText xml:space="preserve">Artrite idiopatica giovanile poliarticolare, </w:delText>
        </w:r>
      </w:del>
    </w:p>
    <w:p w:rsidR="0011687B" w:rsidRPr="00295E71" w:rsidP="00FE3C0F" w14:paraId="44874002" w14:textId="77777777">
      <w:pPr>
        <w:pStyle w:val="ListParagraph"/>
        <w:numPr>
          <w:ilvl w:val="0"/>
          <w:numId w:val="132"/>
        </w:numPr>
        <w:tabs>
          <w:tab w:val="left" w:pos="567"/>
        </w:tabs>
        <w:jc w:val="both"/>
        <w:rPr>
          <w:del w:id="16490" w:author="AbbVie14" w:date="2025-05-09T11:00:00Z"/>
          <w:sz w:val="22"/>
          <w:szCs w:val="22"/>
        </w:rPr>
      </w:pPr>
      <w:del w:id="16491" w:author="AbbVie14" w:date="2025-05-09T11:00:00Z">
        <w:r w:rsidRPr="00295E71">
          <w:rPr>
            <w:sz w:val="22"/>
            <w:szCs w:val="22"/>
          </w:rPr>
          <w:delText>Artrite associata ad entesite,</w:delText>
        </w:r>
      </w:del>
    </w:p>
    <w:p w:rsidR="0011687B" w:rsidRPr="00295E71" w:rsidP="00FE3C0F" w14:paraId="13AF67C4" w14:textId="77777777">
      <w:pPr>
        <w:pStyle w:val="ListParagraph"/>
        <w:numPr>
          <w:ilvl w:val="0"/>
          <w:numId w:val="132"/>
        </w:numPr>
        <w:tabs>
          <w:tab w:val="left" w:pos="567"/>
        </w:tabs>
        <w:jc w:val="both"/>
        <w:rPr>
          <w:del w:id="16492" w:author="AbbVie14" w:date="2025-05-09T11:00:00Z"/>
          <w:sz w:val="22"/>
          <w:szCs w:val="22"/>
        </w:rPr>
      </w:pPr>
      <w:del w:id="16493" w:author="AbbVie14" w:date="2025-05-09T11:00:00Z">
        <w:r w:rsidRPr="00295E71">
          <w:rPr>
            <w:sz w:val="22"/>
            <w:szCs w:val="22"/>
          </w:rPr>
          <w:delText xml:space="preserve">Spondilite anchilosante, </w:delText>
        </w:r>
      </w:del>
    </w:p>
    <w:p w:rsidR="0011687B" w:rsidRPr="00295E71" w:rsidP="00FE3C0F" w14:paraId="4B2C9847" w14:textId="77777777">
      <w:pPr>
        <w:pStyle w:val="ListParagraph"/>
        <w:numPr>
          <w:ilvl w:val="0"/>
          <w:numId w:val="132"/>
        </w:numPr>
        <w:ind w:left="567" w:hanging="207"/>
        <w:jc w:val="both"/>
        <w:rPr>
          <w:del w:id="16494" w:author="AbbVie14" w:date="2025-05-09T11:00:00Z"/>
          <w:sz w:val="22"/>
          <w:szCs w:val="22"/>
        </w:rPr>
      </w:pPr>
      <w:del w:id="16495" w:author="AbbVie14" w:date="2025-05-09T11:00:00Z">
        <w:r w:rsidRPr="00295E71">
          <w:rPr>
            <w:sz w:val="22"/>
            <w:szCs w:val="22"/>
          </w:rPr>
          <w:delText>Spondiloartrite assiale senza evidenza radiografica della spondilite anchilosante,</w:delText>
        </w:r>
      </w:del>
    </w:p>
    <w:p w:rsidR="0011687B" w:rsidRPr="00295E71" w:rsidP="00FE3C0F" w14:paraId="08DABFFA" w14:textId="77777777">
      <w:pPr>
        <w:pStyle w:val="ListParagraph"/>
        <w:numPr>
          <w:ilvl w:val="0"/>
          <w:numId w:val="132"/>
        </w:numPr>
        <w:tabs>
          <w:tab w:val="left" w:pos="567"/>
        </w:tabs>
        <w:jc w:val="both"/>
        <w:rPr>
          <w:del w:id="16496" w:author="AbbVie14" w:date="2025-05-09T11:00:00Z"/>
          <w:sz w:val="22"/>
          <w:szCs w:val="22"/>
        </w:rPr>
      </w:pPr>
      <w:del w:id="16497" w:author="AbbVie14" w:date="2025-05-09T11:00:00Z">
        <w:r w:rsidRPr="00295E71">
          <w:rPr>
            <w:sz w:val="22"/>
            <w:szCs w:val="22"/>
          </w:rPr>
          <w:delText>Artrite psoriasica,</w:delText>
        </w:r>
      </w:del>
    </w:p>
    <w:p w:rsidR="0011687B" w:rsidRPr="00295E71" w:rsidP="00FE3C0F" w14:paraId="4B0387AD" w14:textId="77777777">
      <w:pPr>
        <w:pStyle w:val="ListParagraph"/>
        <w:numPr>
          <w:ilvl w:val="0"/>
          <w:numId w:val="132"/>
        </w:numPr>
        <w:tabs>
          <w:tab w:val="left" w:pos="567"/>
        </w:tabs>
        <w:jc w:val="both"/>
        <w:rPr>
          <w:del w:id="16498" w:author="AbbVie14" w:date="2025-05-09T11:00:00Z"/>
          <w:sz w:val="22"/>
          <w:szCs w:val="22"/>
        </w:rPr>
      </w:pPr>
      <w:del w:id="16499" w:author="AbbVie14" w:date="2025-05-09T11:00:00Z">
        <w:r w:rsidRPr="00295E71">
          <w:rPr>
            <w:sz w:val="22"/>
            <w:szCs w:val="22"/>
          </w:rPr>
          <w:delText>Psoriasi,</w:delText>
        </w:r>
      </w:del>
    </w:p>
    <w:p w:rsidR="0011687B" w:rsidRPr="00295E71" w:rsidP="00FE3C0F" w14:paraId="6178D7FB" w14:textId="77777777">
      <w:pPr>
        <w:pStyle w:val="ListParagraph"/>
        <w:numPr>
          <w:ilvl w:val="0"/>
          <w:numId w:val="132"/>
        </w:numPr>
        <w:tabs>
          <w:tab w:val="left" w:pos="567"/>
        </w:tabs>
        <w:jc w:val="both"/>
        <w:rPr>
          <w:del w:id="16500" w:author="AbbVie14" w:date="2025-05-09T11:00:00Z"/>
          <w:sz w:val="22"/>
          <w:szCs w:val="22"/>
        </w:rPr>
      </w:pPr>
      <w:del w:id="16501" w:author="AbbVie14" w:date="2025-05-09T11:00:00Z">
        <w:r w:rsidRPr="00295E71">
          <w:rPr>
            <w:sz w:val="22"/>
            <w:szCs w:val="22"/>
          </w:rPr>
          <w:delText>Idrosadenite suppurativa,</w:delText>
        </w:r>
      </w:del>
    </w:p>
    <w:p w:rsidR="0011687B" w:rsidRPr="00295E71" w:rsidP="00FE3C0F" w14:paraId="740293BE" w14:textId="77777777">
      <w:pPr>
        <w:pStyle w:val="ListParagraph"/>
        <w:numPr>
          <w:ilvl w:val="0"/>
          <w:numId w:val="132"/>
        </w:numPr>
        <w:tabs>
          <w:tab w:val="left" w:pos="567"/>
        </w:tabs>
        <w:jc w:val="both"/>
        <w:rPr>
          <w:del w:id="16502" w:author="AbbVie14" w:date="2025-05-09T11:00:00Z"/>
          <w:sz w:val="22"/>
          <w:szCs w:val="22"/>
        </w:rPr>
      </w:pPr>
      <w:del w:id="16503" w:author="AbbVie14" w:date="2025-05-09T11:00:00Z">
        <w:r w:rsidRPr="00295E71">
          <w:rPr>
            <w:sz w:val="22"/>
            <w:szCs w:val="22"/>
          </w:rPr>
          <w:delText>Malattia di Crohn,</w:delText>
        </w:r>
      </w:del>
    </w:p>
    <w:p w:rsidR="0011687B" w:rsidRPr="00295E71" w:rsidP="00FE3C0F" w14:paraId="21EADEE1" w14:textId="77777777">
      <w:pPr>
        <w:pStyle w:val="ListParagraph"/>
        <w:numPr>
          <w:ilvl w:val="0"/>
          <w:numId w:val="132"/>
        </w:numPr>
        <w:tabs>
          <w:tab w:val="left" w:pos="567"/>
        </w:tabs>
        <w:jc w:val="both"/>
        <w:rPr>
          <w:del w:id="16504" w:author="AbbVie14" w:date="2025-05-09T11:00:00Z"/>
          <w:sz w:val="22"/>
          <w:szCs w:val="22"/>
        </w:rPr>
      </w:pPr>
      <w:del w:id="16505" w:author="AbbVie14" w:date="2025-05-09T11:00:00Z">
        <w:r w:rsidRPr="00295E71">
          <w:rPr>
            <w:sz w:val="22"/>
            <w:szCs w:val="22"/>
          </w:rPr>
          <w:delText>Colite ulcerosa e</w:delText>
        </w:r>
      </w:del>
    </w:p>
    <w:p w:rsidR="0011687B" w:rsidRPr="00295E71" w:rsidP="00FE3C0F" w14:paraId="4A752525" w14:textId="77777777">
      <w:pPr>
        <w:pStyle w:val="ListParagraph"/>
        <w:numPr>
          <w:ilvl w:val="0"/>
          <w:numId w:val="132"/>
        </w:numPr>
        <w:tabs>
          <w:tab w:val="left" w:pos="567"/>
        </w:tabs>
        <w:jc w:val="both"/>
        <w:rPr>
          <w:del w:id="16506" w:author="AbbVie14" w:date="2025-05-09T11:00:00Z"/>
          <w:sz w:val="22"/>
          <w:szCs w:val="22"/>
        </w:rPr>
      </w:pPr>
      <w:del w:id="16507" w:author="AbbVie14" w:date="2025-05-09T11:00:00Z">
        <w:r w:rsidRPr="00295E71">
          <w:rPr>
            <w:sz w:val="22"/>
            <w:szCs w:val="22"/>
          </w:rPr>
          <w:delText>Uveite non infettiva</w:delText>
        </w:r>
      </w:del>
    </w:p>
    <w:p w:rsidR="0011687B" w:rsidRPr="00295E71" w:rsidP="00FE3C0F" w14:paraId="0B1EDA41" w14:textId="77777777">
      <w:pPr>
        <w:tabs>
          <w:tab w:val="left" w:pos="567"/>
        </w:tabs>
        <w:jc w:val="both"/>
        <w:rPr>
          <w:del w:id="16508" w:author="AbbVie14" w:date="2025-05-09T11:00:00Z"/>
          <w:sz w:val="22"/>
          <w:szCs w:val="22"/>
        </w:rPr>
      </w:pPr>
    </w:p>
    <w:p w:rsidR="0011687B" w:rsidRPr="00295E71" w:rsidP="00FE3C0F" w14:paraId="39A7B2F9" w14:textId="77777777">
      <w:pPr>
        <w:tabs>
          <w:tab w:val="left" w:pos="567"/>
        </w:tabs>
        <w:jc w:val="both"/>
        <w:rPr>
          <w:del w:id="16509" w:author="AbbVie14" w:date="2025-05-09T11:00:00Z"/>
          <w:sz w:val="22"/>
          <w:szCs w:val="22"/>
        </w:rPr>
      </w:pPr>
      <w:del w:id="16510" w:author="AbbVie14" w:date="2025-05-09T11:00:00Z">
        <w:r w:rsidRPr="00295E71">
          <w:rPr>
            <w:sz w:val="22"/>
            <w:szCs w:val="22"/>
          </w:rPr>
          <w:delText>Il principio attivo contenuto in Humira, adalimumab, è un anticorpo monoclonale umano. Gli anticorpi monoclonali sono proteine che si legano ad un bersaglio specifico.</w:delText>
        </w:r>
      </w:del>
    </w:p>
    <w:p w:rsidR="0011687B" w:rsidRPr="00295E71" w:rsidP="00FE3C0F" w14:paraId="7189DF9C" w14:textId="77777777">
      <w:pPr>
        <w:tabs>
          <w:tab w:val="left" w:pos="567"/>
        </w:tabs>
        <w:jc w:val="both"/>
        <w:rPr>
          <w:del w:id="16511" w:author="AbbVie14" w:date="2025-05-09T11:00:00Z"/>
          <w:sz w:val="22"/>
          <w:szCs w:val="22"/>
        </w:rPr>
      </w:pPr>
    </w:p>
    <w:p w:rsidR="0011687B" w:rsidRPr="00295E71" w:rsidP="00FE3C0F" w14:paraId="515445C1" w14:textId="77777777">
      <w:pPr>
        <w:tabs>
          <w:tab w:val="left" w:pos="567"/>
        </w:tabs>
        <w:jc w:val="both"/>
        <w:rPr>
          <w:del w:id="16512" w:author="AbbVie14" w:date="2025-05-09T11:00:00Z"/>
          <w:noProof/>
          <w:color w:val="000000"/>
          <w:sz w:val="22"/>
          <w:szCs w:val="22"/>
        </w:rPr>
      </w:pPr>
      <w:del w:id="16513" w:author="AbbVie14" w:date="2025-05-09T11:00:00Z">
        <w:r w:rsidRPr="00295E71">
          <w:rPr>
            <w:sz w:val="22"/>
            <w:szCs w:val="22"/>
          </w:rPr>
          <w:delText>Il bersaglio di adalimumab è una proteina denominata fattore di necrosi tumorale (TNF</w:delText>
        </w:r>
      </w:del>
      <w:del w:id="16514" w:author="AbbVie14" w:date="2025-05-09T11:00:00Z">
        <w:r w:rsidRPr="00295E71">
          <w:rPr>
            <w:noProof/>
            <w:color w:val="000000"/>
            <w:sz w:val="22"/>
            <w:szCs w:val="22"/>
          </w:rPr>
          <w:delText>α</w:delText>
        </w:r>
      </w:del>
      <w:del w:id="16515" w:author="AbbVie14" w:date="2025-05-09T11:00:00Z">
        <w:r w:rsidRPr="00295E71">
          <w:rPr>
            <w:sz w:val="22"/>
            <w:szCs w:val="22"/>
          </w:rPr>
          <w:delText>), che è coinvolto nel sistema immunitario (di difesa) ed è presente a concentrazioni maggiori nelle malattie infiammatorie elencate sopra. Attraverso il legame al TNF</w:delText>
        </w:r>
      </w:del>
      <w:del w:id="16516" w:author="AbbVie14" w:date="2025-05-09T11:00:00Z">
        <w:r w:rsidRPr="00295E71">
          <w:rPr>
            <w:noProof/>
            <w:color w:val="000000"/>
            <w:sz w:val="22"/>
            <w:szCs w:val="22"/>
          </w:rPr>
          <w:delText>α, Humira diminuisce il processo infiammatorio di queste malattie.</w:delText>
        </w:r>
      </w:del>
    </w:p>
    <w:p w:rsidR="006224C2" w:rsidRPr="00295E71" w:rsidP="00FE3C0F" w14:paraId="2904CE1D" w14:textId="77777777">
      <w:pPr>
        <w:pStyle w:val="EndnoteText"/>
        <w:jc w:val="both"/>
        <w:rPr>
          <w:del w:id="16517" w:author="AbbVie14" w:date="2025-05-09T11:00:00Z"/>
          <w:lang w:val="it-IT" w:eastAsia="it-IT"/>
        </w:rPr>
      </w:pPr>
    </w:p>
    <w:p w:rsidR="006224C2" w:rsidRPr="00295E71" w:rsidP="00FE3C0F" w14:paraId="3863EF93" w14:textId="77777777">
      <w:pPr>
        <w:jc w:val="both"/>
        <w:rPr>
          <w:del w:id="16518" w:author="AbbVie14" w:date="2025-05-09T11:00:00Z"/>
          <w:sz w:val="22"/>
          <w:szCs w:val="22"/>
        </w:rPr>
      </w:pPr>
      <w:del w:id="16519" w:author="AbbVie14" w:date="2025-05-09T11:00:00Z">
        <w:r w:rsidRPr="00295E71">
          <w:rPr>
            <w:sz w:val="22"/>
            <w:szCs w:val="22"/>
            <w:u w:val="single"/>
          </w:rPr>
          <w:delText>Artrite reumatoide</w:delText>
        </w:r>
      </w:del>
    </w:p>
    <w:p w:rsidR="006224C2" w:rsidRPr="00295E71" w:rsidP="00FE3C0F" w14:paraId="6CEAA75A" w14:textId="77777777">
      <w:pPr>
        <w:jc w:val="both"/>
        <w:rPr>
          <w:del w:id="16520" w:author="AbbVie14" w:date="2025-05-09T11:00:00Z"/>
          <w:sz w:val="22"/>
          <w:szCs w:val="22"/>
        </w:rPr>
      </w:pPr>
    </w:p>
    <w:p w:rsidR="006224C2" w:rsidRPr="00295E71" w:rsidP="00FE3C0F" w14:paraId="01231672" w14:textId="77777777">
      <w:pPr>
        <w:jc w:val="both"/>
        <w:rPr>
          <w:del w:id="16521" w:author="AbbVie14" w:date="2025-05-09T11:00:00Z"/>
          <w:sz w:val="22"/>
          <w:szCs w:val="22"/>
        </w:rPr>
      </w:pPr>
      <w:del w:id="16522" w:author="AbbVie14" w:date="2025-05-09T11:00:00Z">
        <w:r w:rsidRPr="00295E71">
          <w:rPr>
            <w:sz w:val="22"/>
            <w:szCs w:val="22"/>
          </w:rPr>
          <w:delText>L’artrite reumatoide è una patologia infiammatoria delle articolazioni.</w:delText>
        </w:r>
      </w:del>
    </w:p>
    <w:p w:rsidR="006224C2" w:rsidRPr="00295E71" w:rsidP="00FE3C0F" w14:paraId="3A20B283" w14:textId="77777777">
      <w:pPr>
        <w:jc w:val="both"/>
        <w:rPr>
          <w:del w:id="16523" w:author="AbbVie14" w:date="2025-05-09T11:00:00Z"/>
          <w:sz w:val="22"/>
          <w:szCs w:val="22"/>
        </w:rPr>
      </w:pPr>
    </w:p>
    <w:p w:rsidR="006224C2" w:rsidRPr="00295E71" w:rsidP="00FE3C0F" w14:paraId="136D0DAE" w14:textId="77777777">
      <w:pPr>
        <w:tabs>
          <w:tab w:val="left" w:pos="567"/>
        </w:tabs>
        <w:jc w:val="both"/>
        <w:rPr>
          <w:del w:id="16524" w:author="AbbVie14" w:date="2025-05-09T11:00:00Z"/>
          <w:sz w:val="22"/>
          <w:szCs w:val="22"/>
        </w:rPr>
      </w:pPr>
      <w:del w:id="16525" w:author="AbbVie14" w:date="2025-05-09T11:00:00Z">
        <w:r w:rsidRPr="00295E71">
          <w:rPr>
            <w:sz w:val="22"/>
            <w:szCs w:val="22"/>
          </w:rPr>
          <w:delText>Humira è usato per trattare l’artrite reumatoide negli adulti.</w:delText>
        </w:r>
      </w:del>
    </w:p>
    <w:p w:rsidR="006224C2" w:rsidRPr="00295E71" w:rsidP="00FE3C0F" w14:paraId="59B29318" w14:textId="77777777">
      <w:pPr>
        <w:tabs>
          <w:tab w:val="left" w:pos="567"/>
        </w:tabs>
        <w:jc w:val="both"/>
        <w:rPr>
          <w:del w:id="16526" w:author="AbbVie14" w:date="2025-05-09T11:00:00Z"/>
          <w:sz w:val="22"/>
          <w:szCs w:val="22"/>
        </w:rPr>
      </w:pPr>
      <w:del w:id="16527" w:author="AbbVie14" w:date="2025-05-09T11:00:00Z">
        <w:r w:rsidRPr="00295E71">
          <w:rPr>
            <w:sz w:val="22"/>
            <w:szCs w:val="22"/>
          </w:rPr>
          <w:delText>Se ha un’artrite reumatoide di grado da moderato a severo, possono essere inizialmente assunti altri farmaci modificanti la malattia, quali il metotressato. Se la risposta a tali farmaci non è soddisfacente, le verrà dato Humira per trattare l’artrite reumatoide.</w:delText>
        </w:r>
      </w:del>
    </w:p>
    <w:p w:rsidR="006224C2" w:rsidRPr="00295E71" w:rsidP="00FE3C0F" w14:paraId="32C1D31D" w14:textId="77777777">
      <w:pPr>
        <w:tabs>
          <w:tab w:val="left" w:pos="567"/>
        </w:tabs>
        <w:jc w:val="both"/>
        <w:rPr>
          <w:del w:id="16528" w:author="AbbVie14" w:date="2025-05-09T11:00:00Z"/>
          <w:sz w:val="22"/>
          <w:szCs w:val="22"/>
        </w:rPr>
      </w:pPr>
    </w:p>
    <w:p w:rsidR="006224C2" w:rsidRPr="00295E71" w:rsidP="00FE3C0F" w14:paraId="50CCDFBE" w14:textId="77777777">
      <w:pPr>
        <w:tabs>
          <w:tab w:val="left" w:pos="567"/>
        </w:tabs>
        <w:jc w:val="both"/>
        <w:rPr>
          <w:del w:id="16529" w:author="AbbVie14" w:date="2025-05-09T11:00:00Z"/>
          <w:sz w:val="22"/>
          <w:szCs w:val="22"/>
        </w:rPr>
      </w:pPr>
      <w:del w:id="16530" w:author="AbbVie14" w:date="2025-05-09T11:00:00Z">
        <w:r w:rsidRPr="00295E71">
          <w:rPr>
            <w:sz w:val="22"/>
            <w:szCs w:val="22"/>
          </w:rPr>
          <w:delText>Humira può essere anche utilizzato per il trattamento dell’artrite reumatoide grave, attiva e progressiva senza precedente trattamento con metotressato.</w:delText>
        </w:r>
      </w:del>
    </w:p>
    <w:p w:rsidR="006224C2" w:rsidRPr="00295E71" w:rsidP="00FE3C0F" w14:paraId="5EB05E8D" w14:textId="77777777">
      <w:pPr>
        <w:tabs>
          <w:tab w:val="left" w:pos="567"/>
        </w:tabs>
        <w:jc w:val="both"/>
        <w:rPr>
          <w:del w:id="16531" w:author="AbbVie14" w:date="2025-05-09T11:00:00Z"/>
          <w:sz w:val="22"/>
          <w:szCs w:val="22"/>
        </w:rPr>
      </w:pPr>
    </w:p>
    <w:p w:rsidR="006224C2" w:rsidRPr="00295E71" w:rsidP="00FE3C0F" w14:paraId="2F2841F5" w14:textId="77777777">
      <w:pPr>
        <w:tabs>
          <w:tab w:val="left" w:pos="567"/>
        </w:tabs>
        <w:jc w:val="both"/>
        <w:rPr>
          <w:del w:id="16532" w:author="AbbVie14" w:date="2025-05-09T11:00:00Z"/>
          <w:sz w:val="22"/>
          <w:szCs w:val="22"/>
        </w:rPr>
      </w:pPr>
      <w:del w:id="16533" w:author="AbbVie14" w:date="2025-05-09T11:00:00Z">
        <w:r w:rsidRPr="00295E71">
          <w:rPr>
            <w:sz w:val="22"/>
            <w:szCs w:val="22"/>
          </w:rPr>
          <w:delText>Humira si è dimostrato in grado di rallentare la progressione del danno alle cartilagini ed alle ossa delle articolazioni, causato dalla malattia, e di migliorare la funzionalità fisica.</w:delText>
        </w:r>
      </w:del>
    </w:p>
    <w:p w:rsidR="006224C2" w:rsidRPr="00295E71" w:rsidP="00FE3C0F" w14:paraId="36771BB6" w14:textId="77777777">
      <w:pPr>
        <w:pStyle w:val="EndnoteText"/>
        <w:jc w:val="both"/>
        <w:rPr>
          <w:del w:id="16534" w:author="AbbVie14" w:date="2025-05-09T11:00:00Z"/>
          <w:lang w:val="it-IT" w:eastAsia="it-IT"/>
        </w:rPr>
      </w:pPr>
    </w:p>
    <w:p w:rsidR="006224C2" w:rsidRPr="00295E71" w:rsidP="00FE3C0F" w14:paraId="126EE871" w14:textId="77777777">
      <w:pPr>
        <w:tabs>
          <w:tab w:val="left" w:pos="567"/>
        </w:tabs>
        <w:jc w:val="both"/>
        <w:rPr>
          <w:del w:id="16535" w:author="AbbVie14" w:date="2025-05-09T11:00:00Z"/>
          <w:sz w:val="22"/>
          <w:szCs w:val="22"/>
        </w:rPr>
      </w:pPr>
      <w:del w:id="16536" w:author="AbbVie14" w:date="2025-05-09T11:00:00Z">
        <w:r w:rsidRPr="00295E71">
          <w:rPr>
            <w:sz w:val="22"/>
            <w:szCs w:val="22"/>
          </w:rPr>
          <w:delText>Generalmente Humira è usato con il metotressato. Se il medico decide che il trattamento con metotressato non è appropriato, Humira può essere somministrato da solo.</w:delText>
        </w:r>
      </w:del>
    </w:p>
    <w:p w:rsidR="006224C2" w:rsidRPr="00295E71" w:rsidP="00FE3C0F" w14:paraId="43D7E9ED" w14:textId="77777777">
      <w:pPr>
        <w:numPr>
          <w:ilvl w:val="12"/>
          <w:numId w:val="0"/>
        </w:numPr>
        <w:tabs>
          <w:tab w:val="left" w:pos="567"/>
        </w:tabs>
        <w:ind w:right="-2"/>
        <w:jc w:val="both"/>
        <w:rPr>
          <w:del w:id="16537" w:author="AbbVie14" w:date="2025-05-09T11:00:00Z"/>
          <w:sz w:val="22"/>
          <w:szCs w:val="22"/>
        </w:rPr>
      </w:pPr>
    </w:p>
    <w:p w:rsidR="006224C2" w:rsidRPr="00295E71" w:rsidP="00FE3C0F" w14:paraId="4D360FC0" w14:textId="77777777">
      <w:pPr>
        <w:numPr>
          <w:ilvl w:val="12"/>
          <w:numId w:val="0"/>
        </w:numPr>
        <w:tabs>
          <w:tab w:val="left" w:pos="567"/>
        </w:tabs>
        <w:ind w:right="-2"/>
        <w:jc w:val="both"/>
        <w:rPr>
          <w:del w:id="16538" w:author="AbbVie14" w:date="2025-05-09T11:00:00Z"/>
          <w:sz w:val="22"/>
          <w:szCs w:val="22"/>
        </w:rPr>
      </w:pPr>
      <w:del w:id="16539" w:author="AbbVie14" w:date="2025-05-09T11:00:00Z">
        <w:r w:rsidRPr="00295E71">
          <w:rPr>
            <w:sz w:val="22"/>
            <w:szCs w:val="22"/>
            <w:u w:val="single"/>
          </w:rPr>
          <w:delText>Artrite idiopatica giovanile poliarticolare e artrite associata ad entesite</w:delText>
        </w:r>
      </w:del>
    </w:p>
    <w:p w:rsidR="006224C2" w:rsidRPr="00295E71" w:rsidP="00FE3C0F" w14:paraId="2E070CBF" w14:textId="77777777">
      <w:pPr>
        <w:numPr>
          <w:ilvl w:val="12"/>
          <w:numId w:val="0"/>
        </w:numPr>
        <w:tabs>
          <w:tab w:val="left" w:pos="567"/>
        </w:tabs>
        <w:ind w:right="-2"/>
        <w:jc w:val="both"/>
        <w:rPr>
          <w:del w:id="16540" w:author="AbbVie14" w:date="2025-05-09T11:00:00Z"/>
          <w:sz w:val="22"/>
          <w:szCs w:val="22"/>
        </w:rPr>
      </w:pPr>
    </w:p>
    <w:p w:rsidR="006224C2" w:rsidRPr="00295E71" w:rsidP="00FE3C0F" w14:paraId="5F80C69D" w14:textId="77777777">
      <w:pPr>
        <w:numPr>
          <w:ilvl w:val="12"/>
          <w:numId w:val="0"/>
        </w:numPr>
        <w:tabs>
          <w:tab w:val="left" w:pos="567"/>
        </w:tabs>
        <w:ind w:right="-2"/>
        <w:jc w:val="both"/>
        <w:rPr>
          <w:del w:id="16541" w:author="AbbVie14" w:date="2025-05-09T11:00:00Z"/>
          <w:sz w:val="22"/>
          <w:szCs w:val="22"/>
        </w:rPr>
      </w:pPr>
      <w:del w:id="16542" w:author="AbbVie14" w:date="2025-05-09T11:00:00Z">
        <w:r w:rsidRPr="00295E71">
          <w:rPr>
            <w:sz w:val="22"/>
            <w:szCs w:val="22"/>
          </w:rPr>
          <w:delText>L’artrite idiopatica giovanile poliarticolare e l’artrite associata ad entesite sono malattie infiammatorie.</w:delText>
        </w:r>
      </w:del>
    </w:p>
    <w:p w:rsidR="006224C2" w:rsidRPr="00295E71" w:rsidP="00FE3C0F" w14:paraId="6A505CF5" w14:textId="77777777">
      <w:pPr>
        <w:numPr>
          <w:ilvl w:val="12"/>
          <w:numId w:val="0"/>
        </w:numPr>
        <w:tabs>
          <w:tab w:val="left" w:pos="567"/>
        </w:tabs>
        <w:ind w:right="-2"/>
        <w:jc w:val="both"/>
        <w:rPr>
          <w:del w:id="16543" w:author="AbbVie14" w:date="2025-05-09T11:00:00Z"/>
          <w:sz w:val="22"/>
          <w:szCs w:val="22"/>
        </w:rPr>
      </w:pPr>
    </w:p>
    <w:p w:rsidR="006224C2" w:rsidRPr="00295E71" w:rsidP="00FE3C0F" w14:paraId="280B20BC" w14:textId="77777777">
      <w:pPr>
        <w:tabs>
          <w:tab w:val="left" w:pos="567"/>
        </w:tabs>
        <w:jc w:val="both"/>
        <w:rPr>
          <w:del w:id="16544" w:author="AbbVie14" w:date="2025-05-09T11:00:00Z"/>
          <w:sz w:val="22"/>
          <w:szCs w:val="22"/>
        </w:rPr>
      </w:pPr>
      <w:del w:id="16545" w:author="AbbVie14" w:date="2025-05-09T11:00:00Z">
        <w:r w:rsidRPr="00295E71">
          <w:rPr>
            <w:sz w:val="22"/>
            <w:szCs w:val="22"/>
          </w:rPr>
          <w:delText>Humira è usato per trattare l’artrite idiopatica giovanile poliarticolare nei bambini e negli adolescenti di età dai 2 ai 17 anni e l’artrite associata ad entesite nei bambini e negli adolescenti di 6-17 anni di età. Alla diagnosi possono essere somministrati altri farmaci modificanti la malattia, come il metotressato. Se la risposta a questi farmaci non dovesse essere adeguata, le sarà somministrato Humira per il trattamento dell’artrite idiopatica giovanile poliarticolare o dell’artrite associata ad entesite.</w:delText>
        </w:r>
      </w:del>
    </w:p>
    <w:p w:rsidR="006224C2" w:rsidRPr="00295E71" w:rsidP="00FE3C0F" w14:paraId="4DF39E31" w14:textId="77777777">
      <w:pPr>
        <w:tabs>
          <w:tab w:val="left" w:pos="567"/>
        </w:tabs>
        <w:jc w:val="both"/>
        <w:rPr>
          <w:del w:id="16546" w:author="AbbVie14" w:date="2025-05-09T11:00:00Z"/>
          <w:sz w:val="22"/>
          <w:szCs w:val="22"/>
        </w:rPr>
      </w:pPr>
    </w:p>
    <w:p w:rsidR="006224C2" w:rsidRPr="00295E71" w:rsidP="00FE3C0F" w14:paraId="1608AC19" w14:textId="77777777">
      <w:pPr>
        <w:numPr>
          <w:ilvl w:val="12"/>
          <w:numId w:val="0"/>
        </w:numPr>
        <w:tabs>
          <w:tab w:val="left" w:pos="567"/>
        </w:tabs>
        <w:ind w:right="-2"/>
        <w:jc w:val="both"/>
        <w:rPr>
          <w:del w:id="16547" w:author="AbbVie14" w:date="2025-05-09T11:00:00Z"/>
          <w:sz w:val="22"/>
          <w:szCs w:val="22"/>
        </w:rPr>
      </w:pPr>
      <w:del w:id="16548" w:author="AbbVie14" w:date="2025-05-09T11:00:00Z">
        <w:r w:rsidRPr="00295E71">
          <w:rPr>
            <w:sz w:val="22"/>
            <w:szCs w:val="22"/>
            <w:u w:val="single"/>
          </w:rPr>
          <w:delText>Spondilite anchilosante e spondiloartrite assiale senza evidenza radiografica della spondilite anchilosante</w:delText>
        </w:r>
      </w:del>
    </w:p>
    <w:p w:rsidR="006224C2" w:rsidRPr="00295E71" w:rsidP="00FE3C0F" w14:paraId="65BEFCF1" w14:textId="77777777">
      <w:pPr>
        <w:numPr>
          <w:ilvl w:val="12"/>
          <w:numId w:val="0"/>
        </w:numPr>
        <w:tabs>
          <w:tab w:val="left" w:pos="567"/>
        </w:tabs>
        <w:ind w:right="-2"/>
        <w:jc w:val="both"/>
        <w:rPr>
          <w:del w:id="16549" w:author="AbbVie14" w:date="2025-05-09T11:00:00Z"/>
          <w:sz w:val="22"/>
          <w:szCs w:val="22"/>
        </w:rPr>
      </w:pPr>
    </w:p>
    <w:p w:rsidR="006224C2" w:rsidRPr="00295E71" w:rsidP="00FE3C0F" w14:paraId="6AFA9CCA" w14:textId="77777777">
      <w:pPr>
        <w:numPr>
          <w:ilvl w:val="12"/>
          <w:numId w:val="0"/>
        </w:numPr>
        <w:tabs>
          <w:tab w:val="left" w:pos="567"/>
        </w:tabs>
        <w:ind w:right="-2"/>
        <w:jc w:val="both"/>
        <w:rPr>
          <w:del w:id="16550" w:author="AbbVie14" w:date="2025-05-09T11:00:00Z"/>
          <w:sz w:val="22"/>
          <w:szCs w:val="22"/>
        </w:rPr>
      </w:pPr>
      <w:del w:id="16551" w:author="AbbVie14" w:date="2025-05-09T11:00:00Z">
        <w:r w:rsidRPr="00295E71">
          <w:rPr>
            <w:sz w:val="22"/>
            <w:szCs w:val="22"/>
          </w:rPr>
          <w:delText>La spondilite anchilosante e la spondiloartrite assiale senza evidenza radiografica della spondilite anchilosante sono infiammazioni della colonna vertebrale.</w:delText>
        </w:r>
      </w:del>
    </w:p>
    <w:p w:rsidR="006224C2" w:rsidRPr="00295E71" w:rsidP="00FE3C0F" w14:paraId="2B5DD929" w14:textId="77777777">
      <w:pPr>
        <w:numPr>
          <w:ilvl w:val="12"/>
          <w:numId w:val="0"/>
        </w:numPr>
        <w:tabs>
          <w:tab w:val="left" w:pos="567"/>
        </w:tabs>
        <w:ind w:right="-2"/>
        <w:jc w:val="both"/>
        <w:rPr>
          <w:del w:id="16552" w:author="AbbVie14" w:date="2025-05-09T11:00:00Z"/>
          <w:sz w:val="22"/>
          <w:szCs w:val="22"/>
        </w:rPr>
      </w:pPr>
    </w:p>
    <w:p w:rsidR="006224C2" w:rsidRPr="00295E71" w:rsidP="00FE3C0F" w14:paraId="4A60C366" w14:textId="77777777">
      <w:pPr>
        <w:numPr>
          <w:ilvl w:val="12"/>
          <w:numId w:val="0"/>
        </w:numPr>
        <w:tabs>
          <w:tab w:val="left" w:pos="567"/>
        </w:tabs>
        <w:ind w:right="-2"/>
        <w:jc w:val="both"/>
        <w:rPr>
          <w:del w:id="16553" w:author="AbbVie14" w:date="2025-05-09T11:00:00Z"/>
          <w:sz w:val="22"/>
          <w:szCs w:val="22"/>
        </w:rPr>
      </w:pPr>
      <w:del w:id="16554" w:author="AbbVie14" w:date="2025-05-09T11:00:00Z">
        <w:r w:rsidRPr="00295E71">
          <w:rPr>
            <w:sz w:val="22"/>
            <w:szCs w:val="22"/>
          </w:rPr>
          <w:delText>Humira è usato per trattare la spondilite anchilosante e la spondiloartrite assiale senza evidenza radiografica della spondilite anchilosante negli adulti. Se è affetto da spondilite anchilosante o da spondiloartrite assiale senza evidenza radiografica della spondilite anchilosante, assumerà prima altri farmaci. Nel caso in cui non sia in grado di ottenere una risposta adeguata con questi farmaci, assumerà Humira per ridurre i segni ed i sintomi della malattia.</w:delText>
        </w:r>
      </w:del>
    </w:p>
    <w:p w:rsidR="006224C2" w:rsidRPr="00295E71" w:rsidP="00FE3C0F" w14:paraId="7D350129" w14:textId="77777777">
      <w:pPr>
        <w:numPr>
          <w:ilvl w:val="12"/>
          <w:numId w:val="0"/>
        </w:numPr>
        <w:tabs>
          <w:tab w:val="left" w:pos="567"/>
        </w:tabs>
        <w:ind w:right="-2"/>
        <w:jc w:val="both"/>
        <w:rPr>
          <w:del w:id="16555" w:author="AbbVie14" w:date="2025-05-09T11:00:00Z"/>
          <w:sz w:val="22"/>
          <w:szCs w:val="22"/>
        </w:rPr>
      </w:pPr>
    </w:p>
    <w:p w:rsidR="006224C2" w:rsidRPr="00295E71" w:rsidP="00FE3C0F" w14:paraId="757A6B51" w14:textId="77777777">
      <w:pPr>
        <w:numPr>
          <w:ilvl w:val="12"/>
          <w:numId w:val="0"/>
        </w:numPr>
        <w:tabs>
          <w:tab w:val="left" w:pos="567"/>
        </w:tabs>
        <w:ind w:right="-2"/>
        <w:jc w:val="both"/>
        <w:rPr>
          <w:del w:id="16556" w:author="AbbVie14" w:date="2025-05-09T11:00:00Z"/>
          <w:sz w:val="22"/>
          <w:szCs w:val="22"/>
        </w:rPr>
      </w:pPr>
      <w:del w:id="16557" w:author="AbbVie14" w:date="2025-05-09T11:00:00Z">
        <w:r w:rsidRPr="00295E71">
          <w:rPr>
            <w:sz w:val="22"/>
            <w:szCs w:val="22"/>
            <w:u w:val="single"/>
          </w:rPr>
          <w:delText>Artrite psoriasica</w:delText>
        </w:r>
      </w:del>
    </w:p>
    <w:p w:rsidR="006224C2" w:rsidRPr="00295E71" w:rsidP="00FE3C0F" w14:paraId="7473F224" w14:textId="77777777">
      <w:pPr>
        <w:numPr>
          <w:ilvl w:val="12"/>
          <w:numId w:val="0"/>
        </w:numPr>
        <w:tabs>
          <w:tab w:val="left" w:pos="567"/>
        </w:tabs>
        <w:ind w:right="-2"/>
        <w:jc w:val="both"/>
        <w:rPr>
          <w:del w:id="16558" w:author="AbbVie14" w:date="2025-05-09T11:00:00Z"/>
          <w:sz w:val="22"/>
          <w:szCs w:val="22"/>
        </w:rPr>
      </w:pPr>
    </w:p>
    <w:p w:rsidR="006224C2" w:rsidRPr="00295E71" w:rsidP="00FE3C0F" w14:paraId="1F1D48B0" w14:textId="77777777">
      <w:pPr>
        <w:numPr>
          <w:ilvl w:val="12"/>
          <w:numId w:val="0"/>
        </w:numPr>
        <w:tabs>
          <w:tab w:val="left" w:pos="567"/>
        </w:tabs>
        <w:ind w:right="-2"/>
        <w:jc w:val="both"/>
        <w:rPr>
          <w:del w:id="16559" w:author="AbbVie14" w:date="2025-05-09T11:00:00Z"/>
          <w:sz w:val="22"/>
          <w:szCs w:val="22"/>
        </w:rPr>
      </w:pPr>
      <w:del w:id="16560" w:author="AbbVie14" w:date="2025-05-09T11:00:00Z">
        <w:r w:rsidRPr="00295E71">
          <w:rPr>
            <w:sz w:val="22"/>
            <w:szCs w:val="22"/>
          </w:rPr>
          <w:delText>L’artrite psoriasica è una infiammazione delle articolazioni associata alla psoriasi.</w:delText>
        </w:r>
      </w:del>
    </w:p>
    <w:p w:rsidR="006224C2" w:rsidRPr="00295E71" w:rsidP="00FE3C0F" w14:paraId="417A5A49" w14:textId="77777777">
      <w:pPr>
        <w:numPr>
          <w:ilvl w:val="12"/>
          <w:numId w:val="0"/>
        </w:numPr>
        <w:tabs>
          <w:tab w:val="left" w:pos="567"/>
        </w:tabs>
        <w:ind w:right="-2"/>
        <w:jc w:val="both"/>
        <w:rPr>
          <w:del w:id="16561" w:author="AbbVie14" w:date="2025-05-09T11:00:00Z"/>
          <w:sz w:val="22"/>
          <w:szCs w:val="22"/>
        </w:rPr>
      </w:pPr>
    </w:p>
    <w:p w:rsidR="006224C2" w:rsidRPr="00295E71" w:rsidP="00FE3C0F" w14:paraId="0DE66DE7" w14:textId="77777777">
      <w:pPr>
        <w:numPr>
          <w:ilvl w:val="12"/>
          <w:numId w:val="0"/>
        </w:numPr>
        <w:tabs>
          <w:tab w:val="left" w:pos="567"/>
        </w:tabs>
        <w:ind w:right="-2"/>
        <w:jc w:val="both"/>
        <w:rPr>
          <w:del w:id="16562" w:author="AbbVie14" w:date="2025-05-09T11:00:00Z"/>
          <w:sz w:val="22"/>
          <w:szCs w:val="22"/>
        </w:rPr>
      </w:pPr>
      <w:del w:id="16563" w:author="AbbVie14" w:date="2025-05-09T11:00:00Z">
        <w:r w:rsidRPr="00295E71">
          <w:rPr>
            <w:sz w:val="22"/>
            <w:szCs w:val="22"/>
          </w:rPr>
          <w:delText>Humira è usato per trattare l’artrite psoriasica negli adulti. Humira si è dimostrato in grado di rallentare il danno alle cartilagini ed alle ossa delle articolazioni, causato dalla malattia, e di migliorare la funzionalità fisica.</w:delText>
        </w:r>
      </w:del>
    </w:p>
    <w:p w:rsidR="006224C2" w:rsidRPr="00295E71" w:rsidP="00FE3C0F" w14:paraId="5C12E00D" w14:textId="77777777">
      <w:pPr>
        <w:numPr>
          <w:ilvl w:val="12"/>
          <w:numId w:val="0"/>
        </w:numPr>
        <w:tabs>
          <w:tab w:val="left" w:pos="567"/>
        </w:tabs>
        <w:ind w:right="-2"/>
        <w:jc w:val="both"/>
        <w:rPr>
          <w:del w:id="16564" w:author="AbbVie14" w:date="2025-05-09T11:00:00Z"/>
          <w:sz w:val="22"/>
          <w:szCs w:val="22"/>
        </w:rPr>
      </w:pPr>
    </w:p>
    <w:p w:rsidR="006224C2" w:rsidRPr="00295E71" w:rsidP="00FE3C0F" w14:paraId="5B2A4835" w14:textId="77777777">
      <w:pPr>
        <w:numPr>
          <w:ilvl w:val="12"/>
          <w:numId w:val="0"/>
        </w:numPr>
        <w:tabs>
          <w:tab w:val="left" w:pos="567"/>
        </w:tabs>
        <w:ind w:right="-2"/>
        <w:jc w:val="both"/>
        <w:rPr>
          <w:del w:id="16565" w:author="AbbVie14" w:date="2025-05-09T11:00:00Z"/>
          <w:sz w:val="22"/>
          <w:szCs w:val="22"/>
          <w:u w:val="single"/>
        </w:rPr>
      </w:pPr>
      <w:del w:id="16566" w:author="AbbVie14" w:date="2025-05-09T11:00:00Z">
        <w:r w:rsidRPr="00295E71">
          <w:rPr>
            <w:sz w:val="22"/>
            <w:szCs w:val="22"/>
            <w:u w:val="single"/>
          </w:rPr>
          <w:delText>Psoriasi a placche in adulti e bambini</w:delText>
        </w:r>
      </w:del>
    </w:p>
    <w:p w:rsidR="006224C2" w:rsidRPr="00295E71" w:rsidP="00FE3C0F" w14:paraId="00211244" w14:textId="77777777">
      <w:pPr>
        <w:numPr>
          <w:ilvl w:val="12"/>
          <w:numId w:val="0"/>
        </w:numPr>
        <w:tabs>
          <w:tab w:val="left" w:pos="567"/>
        </w:tabs>
        <w:ind w:right="-2"/>
        <w:jc w:val="both"/>
        <w:rPr>
          <w:del w:id="16567" w:author="AbbVie14" w:date="2025-05-09T11:00:00Z"/>
          <w:sz w:val="22"/>
          <w:szCs w:val="22"/>
        </w:rPr>
      </w:pPr>
    </w:p>
    <w:p w:rsidR="006224C2" w:rsidRPr="00295E71" w:rsidP="00FE3C0F" w14:paraId="0FC67B98" w14:textId="77777777">
      <w:pPr>
        <w:numPr>
          <w:ilvl w:val="12"/>
          <w:numId w:val="0"/>
        </w:numPr>
        <w:tabs>
          <w:tab w:val="left" w:pos="567"/>
        </w:tabs>
        <w:ind w:right="-2"/>
        <w:jc w:val="both"/>
        <w:rPr>
          <w:del w:id="16568" w:author="AbbVie14" w:date="2025-05-09T11:00:00Z"/>
          <w:sz w:val="22"/>
          <w:szCs w:val="22"/>
        </w:rPr>
      </w:pPr>
      <w:del w:id="16569" w:author="AbbVie14" w:date="2025-05-09T11:00:00Z">
        <w:r w:rsidRPr="00295E71">
          <w:rPr>
            <w:sz w:val="22"/>
            <w:szCs w:val="22"/>
          </w:rPr>
          <w:delText>La psoriasi a placche è una condizione della pelle che causa chiazze rossastre, squamose e indurite di pelle ricoperta da squame</w:delText>
        </w:r>
      </w:del>
      <w:del w:id="16570" w:author="AbbVie14" w:date="2025-05-09T11:00:00Z">
        <w:r w:rsidRPr="00295E71" w:rsidR="00E27EF8">
          <w:rPr>
            <w:sz w:val="22"/>
            <w:szCs w:val="22"/>
          </w:rPr>
          <w:delText xml:space="preserve"> </w:delText>
        </w:r>
      </w:del>
      <w:del w:id="16571" w:author="AbbVie14" w:date="2025-05-09T11:00:00Z">
        <w:r w:rsidRPr="00295E71">
          <w:rPr>
            <w:sz w:val="22"/>
            <w:szCs w:val="22"/>
          </w:rPr>
          <w:delText>argentee. La psoriasi a placche può anche colpire le unghie, provocandone la rottura, l’ispessimento e il sollevamento dal letto dell’unghia, che può essere doloroso. Si ritiene che la psoriasi sia causata da un problema del sistema immunitario del corpo che conduce a un aumento della produzione di cellule cutanee.</w:delText>
        </w:r>
      </w:del>
    </w:p>
    <w:p w:rsidR="006224C2" w:rsidRPr="00295E71" w:rsidP="00FE3C0F" w14:paraId="4C80353C" w14:textId="77777777">
      <w:pPr>
        <w:numPr>
          <w:ilvl w:val="12"/>
          <w:numId w:val="0"/>
        </w:numPr>
        <w:tabs>
          <w:tab w:val="left" w:pos="567"/>
        </w:tabs>
        <w:ind w:right="-2"/>
        <w:jc w:val="both"/>
        <w:rPr>
          <w:del w:id="16572" w:author="AbbVie14" w:date="2025-05-09T11:00:00Z"/>
          <w:sz w:val="22"/>
          <w:szCs w:val="22"/>
        </w:rPr>
      </w:pPr>
    </w:p>
    <w:p w:rsidR="006224C2" w:rsidRPr="00295E71" w:rsidP="00FE3C0F" w14:paraId="6D871DC9" w14:textId="77777777">
      <w:pPr>
        <w:numPr>
          <w:ilvl w:val="12"/>
          <w:numId w:val="0"/>
        </w:numPr>
        <w:tabs>
          <w:tab w:val="left" w:pos="567"/>
        </w:tabs>
        <w:ind w:right="-2"/>
        <w:jc w:val="both"/>
        <w:rPr>
          <w:del w:id="16573" w:author="AbbVie14" w:date="2025-05-09T11:00:00Z"/>
          <w:sz w:val="22"/>
          <w:szCs w:val="22"/>
        </w:rPr>
      </w:pPr>
      <w:del w:id="16574" w:author="AbbVie14" w:date="2025-05-09T11:00:00Z">
        <w:r w:rsidRPr="00295E71">
          <w:rPr>
            <w:sz w:val="22"/>
            <w:szCs w:val="22"/>
          </w:rPr>
          <w:delText>Humira è usato per trattare la psoriasi a placche di grado da moderato a severo negli adulti. Humira è inoltre utilizzato per trattare la psoriasi a placche grave in bambini e adolescenti dai 4 ai 17 anni nei quali la terapia topica e le fototerapie non abbiano funzionato in modo ottimale o non siano indicate.</w:delText>
        </w:r>
      </w:del>
    </w:p>
    <w:p w:rsidR="006224C2" w:rsidRPr="00295E71" w:rsidP="00FE3C0F" w14:paraId="738E9603" w14:textId="77777777">
      <w:pPr>
        <w:numPr>
          <w:ilvl w:val="12"/>
          <w:numId w:val="0"/>
        </w:numPr>
        <w:tabs>
          <w:tab w:val="left" w:pos="567"/>
        </w:tabs>
        <w:ind w:right="-2"/>
        <w:jc w:val="both"/>
        <w:rPr>
          <w:del w:id="16575" w:author="AbbVie14" w:date="2025-05-09T11:00:00Z"/>
          <w:sz w:val="22"/>
          <w:szCs w:val="22"/>
        </w:rPr>
      </w:pPr>
    </w:p>
    <w:p w:rsidR="006224C2" w:rsidRPr="00295E71" w:rsidP="00FE3C0F" w14:paraId="401DE3CE" w14:textId="77777777">
      <w:pPr>
        <w:keepNext/>
        <w:numPr>
          <w:ilvl w:val="12"/>
          <w:numId w:val="0"/>
        </w:numPr>
        <w:tabs>
          <w:tab w:val="left" w:pos="567"/>
        </w:tabs>
        <w:ind w:right="-2"/>
        <w:jc w:val="both"/>
        <w:rPr>
          <w:del w:id="16576" w:author="AbbVie14" w:date="2025-05-09T11:00:00Z"/>
          <w:sz w:val="22"/>
          <w:szCs w:val="22"/>
          <w:u w:val="single"/>
        </w:rPr>
      </w:pPr>
      <w:del w:id="16577" w:author="AbbVie14" w:date="2025-05-09T11:00:00Z">
        <w:r w:rsidRPr="00295E71">
          <w:rPr>
            <w:sz w:val="22"/>
            <w:szCs w:val="22"/>
            <w:u w:val="single"/>
          </w:rPr>
          <w:delText>Idrosadenite Suppurativa in adulti e adolescenti</w:delText>
        </w:r>
      </w:del>
    </w:p>
    <w:p w:rsidR="006224C2" w:rsidRPr="00295E71" w:rsidP="00FE3C0F" w14:paraId="55B93345" w14:textId="77777777">
      <w:pPr>
        <w:keepNext/>
        <w:numPr>
          <w:ilvl w:val="12"/>
          <w:numId w:val="0"/>
        </w:numPr>
        <w:tabs>
          <w:tab w:val="left" w:pos="567"/>
        </w:tabs>
        <w:ind w:right="-2"/>
        <w:jc w:val="both"/>
        <w:rPr>
          <w:del w:id="16578" w:author="AbbVie14" w:date="2025-05-09T11:00:00Z"/>
          <w:sz w:val="22"/>
          <w:szCs w:val="22"/>
        </w:rPr>
      </w:pPr>
    </w:p>
    <w:p w:rsidR="006224C2" w:rsidRPr="00295E71" w:rsidP="00FE3C0F" w14:paraId="3CF0CB50" w14:textId="77777777">
      <w:pPr>
        <w:keepNext/>
        <w:numPr>
          <w:ilvl w:val="12"/>
          <w:numId w:val="0"/>
        </w:numPr>
        <w:tabs>
          <w:tab w:val="left" w:pos="567"/>
        </w:tabs>
        <w:ind w:right="-2"/>
        <w:jc w:val="both"/>
        <w:rPr>
          <w:del w:id="16579" w:author="AbbVie14" w:date="2025-05-09T11:00:00Z"/>
          <w:sz w:val="22"/>
          <w:szCs w:val="22"/>
        </w:rPr>
      </w:pPr>
      <w:del w:id="16580" w:author="AbbVie14" w:date="2025-05-09T11:00:00Z">
        <w:r w:rsidRPr="00295E71">
          <w:rPr>
            <w:sz w:val="22"/>
            <w:szCs w:val="22"/>
          </w:rPr>
          <w:delText xml:space="preserve">L’Idrosadenite Suppurativa (chiamata a volte acne inversa) è una malattia infiammatoria cronica della pelle e spesso è dolorosa. I sintomi possono includere noduli dolorosi e ascessi (cisti) che possono drenare pus. Più frequentemente colpisce aree specifiche della pelle, come la regione sottomammaria, le ascelle, l’interno cosce, l’inguine e le natiche. Nelle aree colpite si possono anche formare delle cicatrici.  </w:delText>
        </w:r>
      </w:del>
    </w:p>
    <w:p w:rsidR="006224C2" w:rsidRPr="00295E71" w:rsidP="00FE3C0F" w14:paraId="7CB48F74" w14:textId="77777777">
      <w:pPr>
        <w:numPr>
          <w:ilvl w:val="12"/>
          <w:numId w:val="0"/>
        </w:numPr>
        <w:tabs>
          <w:tab w:val="left" w:pos="567"/>
        </w:tabs>
        <w:ind w:right="-2"/>
        <w:jc w:val="both"/>
        <w:rPr>
          <w:del w:id="16581" w:author="AbbVie14" w:date="2025-05-09T11:00:00Z"/>
          <w:sz w:val="22"/>
          <w:szCs w:val="22"/>
        </w:rPr>
      </w:pPr>
    </w:p>
    <w:p w:rsidR="006224C2" w:rsidRPr="00295E71" w:rsidP="00FE3C0F" w14:paraId="35F05BB6" w14:textId="77777777">
      <w:pPr>
        <w:numPr>
          <w:ilvl w:val="12"/>
          <w:numId w:val="0"/>
        </w:numPr>
        <w:tabs>
          <w:tab w:val="left" w:pos="567"/>
        </w:tabs>
        <w:ind w:right="-2"/>
        <w:jc w:val="both"/>
        <w:rPr>
          <w:del w:id="16582" w:author="AbbVie14" w:date="2025-05-09T11:00:00Z"/>
          <w:sz w:val="22"/>
          <w:szCs w:val="22"/>
        </w:rPr>
      </w:pPr>
      <w:del w:id="16583" w:author="AbbVie14" w:date="2025-05-09T11:00:00Z">
        <w:r w:rsidRPr="00295E71">
          <w:rPr>
            <w:sz w:val="22"/>
            <w:szCs w:val="22"/>
          </w:rPr>
          <w:delText>Humira è utilizzato per trattare l’Idrosadenite Suppurativa negli adulti e negli adolescenti dai 12 anni di età. Humira può ridurre il numero di noduli e di ascessi che lei ha e il dolore che spesso è associato a questa malattia. Inizialmente, potrebbe ricevere altri medicinali. Se non risponde sufficientemente bene a questi medicinali, riceverà Humira.</w:delText>
        </w:r>
      </w:del>
    </w:p>
    <w:p w:rsidR="006224C2" w:rsidRPr="00295E71" w:rsidP="00FE3C0F" w14:paraId="60FB37A5" w14:textId="77777777">
      <w:pPr>
        <w:rPr>
          <w:del w:id="16584" w:author="AbbVie14" w:date="2025-05-09T11:00:00Z"/>
          <w:sz w:val="22"/>
          <w:szCs w:val="22"/>
          <w:u w:val="single"/>
          <w:lang w:eastAsia="en-US"/>
        </w:rPr>
      </w:pPr>
    </w:p>
    <w:p w:rsidR="006224C2" w:rsidRPr="00295E71" w:rsidP="00FE3C0F" w14:paraId="2092AFAD" w14:textId="77777777">
      <w:pPr>
        <w:pStyle w:val="EMEANormal"/>
        <w:jc w:val="both"/>
        <w:rPr>
          <w:del w:id="16585" w:author="AbbVie14" w:date="2025-05-09T11:00:00Z"/>
          <w:u w:val="single"/>
          <w:lang w:val="it-IT"/>
        </w:rPr>
      </w:pPr>
      <w:del w:id="16586" w:author="AbbVie14" w:date="2025-05-09T11:00:00Z">
        <w:r w:rsidRPr="00295E71">
          <w:rPr>
            <w:u w:val="single"/>
            <w:lang w:val="it-IT"/>
          </w:rPr>
          <w:delText>Malattia di Crohn negli adulti e nei bambini</w:delText>
        </w:r>
      </w:del>
    </w:p>
    <w:p w:rsidR="006224C2" w:rsidRPr="00295E71" w:rsidP="00FE3C0F" w14:paraId="366A478E" w14:textId="77777777">
      <w:pPr>
        <w:pStyle w:val="EMEANormal"/>
        <w:jc w:val="both"/>
        <w:rPr>
          <w:del w:id="16587" w:author="AbbVie14" w:date="2025-05-09T11:00:00Z"/>
          <w:lang w:val="it-IT"/>
        </w:rPr>
      </w:pPr>
    </w:p>
    <w:p w:rsidR="006224C2" w:rsidRPr="00295E71" w:rsidP="00FE3C0F" w14:paraId="2647E5E8" w14:textId="77777777">
      <w:pPr>
        <w:pStyle w:val="EMEANormal"/>
        <w:jc w:val="both"/>
        <w:rPr>
          <w:del w:id="16588" w:author="AbbVie14" w:date="2025-05-09T11:00:00Z"/>
          <w:lang w:val="it-IT"/>
        </w:rPr>
      </w:pPr>
      <w:del w:id="16589" w:author="AbbVie14" w:date="2025-05-09T11:00:00Z">
        <w:r w:rsidRPr="00295E71">
          <w:rPr>
            <w:lang w:val="it-IT"/>
          </w:rPr>
          <w:delText>La malattia di Crohn è un’infiammazione del tratto digerente.</w:delText>
        </w:r>
      </w:del>
    </w:p>
    <w:p w:rsidR="006224C2" w:rsidRPr="00295E71" w:rsidP="00FE3C0F" w14:paraId="2F4BCE86" w14:textId="77777777">
      <w:pPr>
        <w:pStyle w:val="EMEANormal"/>
        <w:jc w:val="both"/>
        <w:rPr>
          <w:del w:id="16590" w:author="AbbVie14" w:date="2025-05-09T11:00:00Z"/>
          <w:lang w:val="it-IT"/>
        </w:rPr>
      </w:pPr>
    </w:p>
    <w:p w:rsidR="006224C2" w:rsidRPr="00295E71" w:rsidP="00FE3C0F" w14:paraId="0A3EAAF9" w14:textId="77777777">
      <w:pPr>
        <w:numPr>
          <w:ilvl w:val="12"/>
          <w:numId w:val="0"/>
        </w:numPr>
        <w:tabs>
          <w:tab w:val="left" w:pos="567"/>
        </w:tabs>
        <w:ind w:right="-2"/>
        <w:jc w:val="both"/>
        <w:rPr>
          <w:del w:id="16591" w:author="AbbVie14" w:date="2025-05-09T11:00:00Z"/>
          <w:sz w:val="22"/>
          <w:szCs w:val="22"/>
        </w:rPr>
      </w:pPr>
      <w:del w:id="16592" w:author="AbbVie14" w:date="2025-05-09T11:00:00Z">
        <w:r w:rsidRPr="00295E71">
          <w:rPr>
            <w:sz w:val="22"/>
            <w:szCs w:val="22"/>
          </w:rPr>
          <w:delText>Humira è usato per trattare la Malattia di Crohn negli adulti e nei bambini di età dai 6 ai 17 anni.Se soffre della malattia di Crohn, le verranno prima somministrati altri farmaci. Nel caso in cui lei non risponda in maniera sufficientemente adeguata a questi farmaci, le verrà somministrato Humira per ridurre la sintomatologia tipica della malattia di Crohn.</w:delText>
        </w:r>
      </w:del>
    </w:p>
    <w:p w:rsidR="006224C2" w:rsidRPr="00295E71" w:rsidP="00FE3C0F" w14:paraId="2131C017" w14:textId="77777777">
      <w:pPr>
        <w:numPr>
          <w:ilvl w:val="12"/>
          <w:numId w:val="0"/>
        </w:numPr>
        <w:tabs>
          <w:tab w:val="left" w:pos="567"/>
        </w:tabs>
        <w:ind w:right="-2"/>
        <w:jc w:val="both"/>
        <w:rPr>
          <w:del w:id="16593" w:author="AbbVie14" w:date="2025-05-09T11:00:00Z"/>
          <w:sz w:val="22"/>
          <w:szCs w:val="22"/>
        </w:rPr>
      </w:pPr>
    </w:p>
    <w:p w:rsidR="006224C2" w:rsidRPr="00295E71" w:rsidP="00FE3C0F" w14:paraId="0CA2FD96" w14:textId="77777777">
      <w:pPr>
        <w:keepNext/>
        <w:rPr>
          <w:del w:id="16594" w:author="AbbVie14" w:date="2025-05-09T11:00:00Z"/>
          <w:sz w:val="22"/>
          <w:szCs w:val="22"/>
          <w:u w:val="single"/>
        </w:rPr>
      </w:pPr>
      <w:del w:id="16595" w:author="AbbVie14" w:date="2025-05-09T11:00:00Z">
        <w:r w:rsidRPr="00295E71">
          <w:rPr>
            <w:sz w:val="22"/>
            <w:szCs w:val="22"/>
            <w:u w:val="single"/>
          </w:rPr>
          <w:delText>Colite ulcerosa</w:delText>
        </w:r>
      </w:del>
      <w:del w:id="16596" w:author="AbbVie14" w:date="2025-05-09T11:00:00Z">
        <w:r w:rsidR="007674FE">
          <w:rPr>
            <w:sz w:val="22"/>
            <w:szCs w:val="22"/>
            <w:u w:val="single"/>
          </w:rPr>
          <w:delText xml:space="preserve"> negli adulti e nei bambini</w:delText>
        </w:r>
      </w:del>
    </w:p>
    <w:p w:rsidR="006224C2" w:rsidRPr="00295E71" w:rsidP="00FE3C0F" w14:paraId="63E7250D" w14:textId="77777777">
      <w:pPr>
        <w:keepNext/>
        <w:numPr>
          <w:ilvl w:val="12"/>
          <w:numId w:val="0"/>
        </w:numPr>
        <w:tabs>
          <w:tab w:val="left" w:pos="567"/>
        </w:tabs>
        <w:ind w:right="-2"/>
        <w:jc w:val="both"/>
        <w:rPr>
          <w:del w:id="16597" w:author="AbbVie14" w:date="2025-05-09T11:00:00Z"/>
          <w:sz w:val="22"/>
          <w:szCs w:val="22"/>
          <w:u w:val="single"/>
        </w:rPr>
      </w:pPr>
    </w:p>
    <w:p w:rsidR="006224C2" w:rsidRPr="00295E71" w:rsidP="00FE3C0F" w14:paraId="35856174" w14:textId="77777777">
      <w:pPr>
        <w:keepNext/>
        <w:numPr>
          <w:ilvl w:val="12"/>
          <w:numId w:val="0"/>
        </w:numPr>
        <w:tabs>
          <w:tab w:val="left" w:pos="567"/>
        </w:tabs>
        <w:ind w:right="-2"/>
        <w:jc w:val="both"/>
        <w:rPr>
          <w:del w:id="16598" w:author="AbbVie14" w:date="2025-05-09T11:00:00Z"/>
          <w:sz w:val="22"/>
          <w:szCs w:val="22"/>
          <w:u w:val="single"/>
        </w:rPr>
      </w:pPr>
      <w:del w:id="16599" w:author="AbbVie14" w:date="2025-05-09T11:00:00Z">
        <w:r w:rsidRPr="00295E71">
          <w:rPr>
            <w:sz w:val="22"/>
            <w:szCs w:val="22"/>
          </w:rPr>
          <w:delText>La colite ulcerosa è un’infiammazione dell’intestino</w:delText>
        </w:r>
      </w:del>
      <w:del w:id="16600" w:author="AbbVie14" w:date="2025-05-09T11:00:00Z">
        <w:r w:rsidR="00793E55">
          <w:rPr>
            <w:sz w:val="22"/>
            <w:szCs w:val="22"/>
          </w:rPr>
          <w:delText xml:space="preserve"> crasso</w:delText>
        </w:r>
      </w:del>
      <w:del w:id="16601" w:author="AbbVie14" w:date="2025-05-09T11:00:00Z">
        <w:r w:rsidRPr="00295E71">
          <w:rPr>
            <w:sz w:val="22"/>
            <w:szCs w:val="22"/>
          </w:rPr>
          <w:delText>.</w:delText>
        </w:r>
      </w:del>
    </w:p>
    <w:p w:rsidR="006224C2" w:rsidRPr="00295E71" w:rsidP="00FE3C0F" w14:paraId="58F87109" w14:textId="77777777">
      <w:pPr>
        <w:numPr>
          <w:ilvl w:val="12"/>
          <w:numId w:val="0"/>
        </w:numPr>
        <w:tabs>
          <w:tab w:val="left" w:pos="567"/>
        </w:tabs>
        <w:ind w:right="-2"/>
        <w:jc w:val="both"/>
        <w:rPr>
          <w:del w:id="16602" w:author="AbbVie14" w:date="2025-05-09T11:00:00Z"/>
          <w:sz w:val="22"/>
          <w:szCs w:val="22"/>
          <w:u w:val="single"/>
        </w:rPr>
      </w:pPr>
    </w:p>
    <w:p w:rsidR="006224C2" w:rsidRPr="00295E71" w:rsidP="00FE3C0F" w14:paraId="4E155490" w14:textId="77777777">
      <w:pPr>
        <w:numPr>
          <w:ilvl w:val="12"/>
          <w:numId w:val="0"/>
        </w:numPr>
        <w:tabs>
          <w:tab w:val="left" w:pos="567"/>
        </w:tabs>
        <w:ind w:right="-2"/>
        <w:jc w:val="both"/>
        <w:rPr>
          <w:del w:id="16603" w:author="AbbVie14" w:date="2025-05-09T11:00:00Z"/>
          <w:sz w:val="22"/>
          <w:szCs w:val="22"/>
        </w:rPr>
      </w:pPr>
      <w:del w:id="16604" w:author="AbbVie14" w:date="2025-05-09T11:00:00Z">
        <w:r w:rsidRPr="00295E71">
          <w:rPr>
            <w:sz w:val="22"/>
            <w:szCs w:val="22"/>
          </w:rPr>
          <w:delText xml:space="preserve">Humira è usato per trattare la colite ulcerosa </w:delText>
        </w:r>
      </w:del>
      <w:del w:id="16605" w:author="AbbVie14" w:date="2025-05-09T11:00:00Z">
        <w:r w:rsidR="007674FE">
          <w:rPr>
            <w:sz w:val="22"/>
            <w:szCs w:val="22"/>
          </w:rPr>
          <w:delText xml:space="preserve">da moderata a grave </w:delText>
        </w:r>
      </w:del>
      <w:del w:id="16606" w:author="AbbVie14" w:date="2025-05-09T11:00:00Z">
        <w:r w:rsidRPr="00295E71">
          <w:rPr>
            <w:sz w:val="22"/>
            <w:szCs w:val="22"/>
          </w:rPr>
          <w:delText>negli adulti</w:delText>
        </w:r>
      </w:del>
      <w:del w:id="16607" w:author="AbbVie14" w:date="2025-05-09T11:00:00Z">
        <w:r w:rsidR="007674FE">
          <w:rPr>
            <w:sz w:val="22"/>
            <w:szCs w:val="22"/>
          </w:rPr>
          <w:delText xml:space="preserve"> e nei bambini di età </w:delText>
        </w:r>
      </w:del>
      <w:del w:id="16608" w:author="AbbVie14" w:date="2025-05-09T11:00:00Z">
        <w:r w:rsidR="00533DB7">
          <w:rPr>
            <w:sz w:val="22"/>
            <w:szCs w:val="22"/>
          </w:rPr>
          <w:delText>dai</w:delText>
        </w:r>
      </w:del>
      <w:del w:id="16609" w:author="AbbVie14" w:date="2025-05-09T11:00:00Z">
        <w:r w:rsidR="007674FE">
          <w:rPr>
            <w:sz w:val="22"/>
            <w:szCs w:val="22"/>
          </w:rPr>
          <w:delText xml:space="preserve"> 6 </w:delText>
        </w:r>
      </w:del>
      <w:del w:id="16610" w:author="AbbVie14" w:date="2025-05-09T11:00:00Z">
        <w:r w:rsidR="00533DB7">
          <w:rPr>
            <w:sz w:val="22"/>
            <w:szCs w:val="22"/>
          </w:rPr>
          <w:delText>ai</w:delText>
        </w:r>
      </w:del>
      <w:del w:id="16611" w:author="AbbVie14" w:date="2025-05-09T11:00:00Z">
        <w:r w:rsidR="007674FE">
          <w:rPr>
            <w:sz w:val="22"/>
            <w:szCs w:val="22"/>
          </w:rPr>
          <w:delText xml:space="preserve"> 17 anni</w:delText>
        </w:r>
      </w:del>
      <w:del w:id="16612" w:author="AbbVie14" w:date="2025-05-09T11:00:00Z">
        <w:r w:rsidRPr="00295E71">
          <w:rPr>
            <w:sz w:val="22"/>
            <w:szCs w:val="22"/>
          </w:rPr>
          <w:delText>. Se è affetto da colite ulcerosa</w:delText>
        </w:r>
      </w:del>
      <w:del w:id="16613" w:author="AbbVie14" w:date="2025-05-09T11:00:00Z">
        <w:r w:rsidR="00F270B2">
          <w:rPr>
            <w:sz w:val="22"/>
            <w:szCs w:val="22"/>
          </w:rPr>
          <w:delText xml:space="preserve"> inizialmente </w:delText>
        </w:r>
      </w:del>
      <w:del w:id="16614" w:author="AbbVie14" w:date="2025-05-09T11:00:00Z">
        <w:r w:rsidR="00126944">
          <w:rPr>
            <w:sz w:val="22"/>
            <w:szCs w:val="22"/>
          </w:rPr>
          <w:delText xml:space="preserve">potrebbe </w:delText>
        </w:r>
      </w:del>
      <w:del w:id="16615" w:author="AbbVie14" w:date="2025-05-09T11:00:00Z">
        <w:r w:rsidR="00F270B2">
          <w:rPr>
            <w:sz w:val="22"/>
            <w:szCs w:val="22"/>
          </w:rPr>
          <w:delText xml:space="preserve">assumere </w:delText>
        </w:r>
      </w:del>
      <w:del w:id="16616" w:author="AbbVie14" w:date="2025-05-09T11:00:00Z">
        <w:r w:rsidRPr="00295E71">
          <w:rPr>
            <w:sz w:val="22"/>
            <w:szCs w:val="22"/>
          </w:rPr>
          <w:delText>altri farmaci. Nel caso in cui non sia in grado di ottenere una risposta adeguata con questi farmaci, assumerà Humira per ridurre i segni ed i sintomi della malattia.</w:delText>
        </w:r>
      </w:del>
    </w:p>
    <w:p w:rsidR="006224C2" w:rsidRPr="00295E71" w:rsidP="00FE3C0F" w14:paraId="235A008A" w14:textId="77777777">
      <w:pPr>
        <w:numPr>
          <w:ilvl w:val="12"/>
          <w:numId w:val="0"/>
        </w:numPr>
        <w:tabs>
          <w:tab w:val="left" w:pos="567"/>
        </w:tabs>
        <w:ind w:right="-2"/>
        <w:jc w:val="both"/>
        <w:rPr>
          <w:del w:id="16617" w:author="AbbVie14" w:date="2025-05-09T11:00:00Z"/>
          <w:sz w:val="22"/>
          <w:szCs w:val="22"/>
        </w:rPr>
      </w:pPr>
    </w:p>
    <w:p w:rsidR="006224C2" w:rsidRPr="00295E71" w:rsidP="00FE3C0F" w14:paraId="4ED37B02" w14:textId="77777777">
      <w:pPr>
        <w:numPr>
          <w:ilvl w:val="12"/>
          <w:numId w:val="0"/>
        </w:numPr>
        <w:tabs>
          <w:tab w:val="left" w:pos="567"/>
        </w:tabs>
        <w:ind w:right="-2"/>
        <w:jc w:val="both"/>
        <w:rPr>
          <w:del w:id="16618" w:author="AbbVie14" w:date="2025-05-09T11:00:00Z"/>
          <w:sz w:val="22"/>
          <w:szCs w:val="22"/>
          <w:u w:val="single"/>
        </w:rPr>
      </w:pPr>
      <w:del w:id="16619" w:author="AbbVie14" w:date="2025-05-09T11:00:00Z">
        <w:r w:rsidRPr="00295E71">
          <w:rPr>
            <w:sz w:val="22"/>
            <w:szCs w:val="22"/>
            <w:u w:val="single"/>
          </w:rPr>
          <w:delText>Uveite non infettiva</w:delText>
        </w:r>
      </w:del>
      <w:del w:id="16620" w:author="AbbVie14" w:date="2025-05-09T11:00:00Z">
        <w:r w:rsidRPr="00295E71" w:rsidR="00C465A7">
          <w:rPr>
            <w:sz w:val="22"/>
            <w:szCs w:val="22"/>
            <w:u w:val="single"/>
          </w:rPr>
          <w:delText xml:space="preserve"> in adulti e bambini</w:delText>
        </w:r>
      </w:del>
    </w:p>
    <w:p w:rsidR="006224C2" w:rsidRPr="00295E71" w:rsidP="00FE3C0F" w14:paraId="2222E381" w14:textId="77777777">
      <w:pPr>
        <w:numPr>
          <w:ilvl w:val="12"/>
          <w:numId w:val="0"/>
        </w:numPr>
        <w:tabs>
          <w:tab w:val="left" w:pos="567"/>
        </w:tabs>
        <w:ind w:right="-2"/>
        <w:jc w:val="both"/>
        <w:rPr>
          <w:del w:id="16621" w:author="AbbVie14" w:date="2025-05-09T11:00:00Z"/>
          <w:sz w:val="22"/>
          <w:szCs w:val="22"/>
          <w:u w:val="single"/>
        </w:rPr>
      </w:pPr>
    </w:p>
    <w:p w:rsidR="006224C2" w:rsidRPr="00295E71" w:rsidP="00FE3C0F" w14:paraId="2F7E954B" w14:textId="77777777">
      <w:pPr>
        <w:numPr>
          <w:ilvl w:val="12"/>
          <w:numId w:val="0"/>
        </w:numPr>
        <w:tabs>
          <w:tab w:val="left" w:pos="567"/>
        </w:tabs>
        <w:ind w:right="-2"/>
        <w:jc w:val="both"/>
        <w:rPr>
          <w:del w:id="16622" w:author="AbbVie14" w:date="2025-05-09T11:00:00Z"/>
          <w:sz w:val="22"/>
          <w:szCs w:val="22"/>
        </w:rPr>
      </w:pPr>
      <w:del w:id="16623" w:author="AbbVie14" w:date="2025-05-09T11:00:00Z">
        <w:r w:rsidRPr="00295E71">
          <w:rPr>
            <w:sz w:val="22"/>
            <w:szCs w:val="22"/>
          </w:rPr>
          <w:delText>L’uveite non infettiva è una malattia infiammatoria che colpisce alcune parti dell’occhio.</w:delText>
        </w:r>
      </w:del>
    </w:p>
    <w:p w:rsidR="006224C2" w:rsidRPr="00295E71" w:rsidP="00FE3C0F" w14:paraId="26323863" w14:textId="77777777">
      <w:pPr>
        <w:numPr>
          <w:ilvl w:val="12"/>
          <w:numId w:val="0"/>
        </w:numPr>
        <w:tabs>
          <w:tab w:val="left" w:pos="567"/>
        </w:tabs>
        <w:ind w:right="-2"/>
        <w:jc w:val="both"/>
        <w:rPr>
          <w:del w:id="16624" w:author="AbbVie14" w:date="2025-05-09T11:00:00Z"/>
          <w:sz w:val="22"/>
          <w:szCs w:val="22"/>
        </w:rPr>
      </w:pPr>
    </w:p>
    <w:p w:rsidR="006224C2" w:rsidRPr="00295E71" w:rsidP="00FE3C0F" w14:paraId="6FA9F525" w14:textId="77777777">
      <w:pPr>
        <w:numPr>
          <w:ilvl w:val="12"/>
          <w:numId w:val="0"/>
        </w:numPr>
        <w:tabs>
          <w:tab w:val="left" w:pos="-1418"/>
        </w:tabs>
        <w:ind w:right="-2"/>
        <w:jc w:val="both"/>
        <w:rPr>
          <w:del w:id="16625" w:author="AbbVie14" w:date="2025-05-09T11:00:00Z"/>
          <w:sz w:val="22"/>
          <w:szCs w:val="22"/>
        </w:rPr>
      </w:pPr>
      <w:del w:id="16626" w:author="AbbVie14" w:date="2025-05-09T11:00:00Z">
        <w:r w:rsidRPr="00295E71">
          <w:rPr>
            <w:sz w:val="22"/>
            <w:szCs w:val="22"/>
          </w:rPr>
          <w:delText>Humira è impiegato per il trattamento di:</w:delText>
        </w:r>
      </w:del>
    </w:p>
    <w:p w:rsidR="006224C2" w:rsidRPr="00295E71" w:rsidP="00FE3C0F" w14:paraId="662E7BB5" w14:textId="77777777">
      <w:pPr>
        <w:pStyle w:val="ListParagraph"/>
        <w:numPr>
          <w:ilvl w:val="0"/>
          <w:numId w:val="52"/>
        </w:numPr>
        <w:tabs>
          <w:tab w:val="left" w:pos="-1418"/>
        </w:tabs>
        <w:ind w:right="-2"/>
        <w:jc w:val="both"/>
        <w:rPr>
          <w:del w:id="16627" w:author="AbbVie14" w:date="2025-05-09T11:00:00Z"/>
          <w:sz w:val="22"/>
          <w:szCs w:val="22"/>
        </w:rPr>
      </w:pPr>
      <w:del w:id="16628" w:author="AbbVie14" w:date="2025-05-09T11:00:00Z">
        <w:r w:rsidRPr="00295E71">
          <w:rPr>
            <w:sz w:val="22"/>
            <w:szCs w:val="22"/>
          </w:rPr>
          <w:delText xml:space="preserve">Adulti </w:delText>
        </w:r>
      </w:del>
      <w:del w:id="16629" w:author="AbbVie14" w:date="2025-05-09T11:00:00Z">
        <w:r w:rsidRPr="00295E71" w:rsidR="00224E13">
          <w:rPr>
            <w:sz w:val="22"/>
            <w:szCs w:val="22"/>
          </w:rPr>
          <w:delText>con</w:delText>
        </w:r>
      </w:del>
      <w:del w:id="16630" w:author="AbbVie14" w:date="2025-05-09T11:00:00Z">
        <w:r w:rsidRPr="00295E71">
          <w:rPr>
            <w:sz w:val="22"/>
            <w:szCs w:val="22"/>
          </w:rPr>
          <w:delText xml:space="preserve"> uveite non infettiva con infiammazione che interessa il fondo dell’occhio</w:delText>
        </w:r>
      </w:del>
    </w:p>
    <w:p w:rsidR="006224C2" w:rsidRPr="00295E71" w:rsidP="00FE3C0F" w14:paraId="204CC4EB" w14:textId="77777777">
      <w:pPr>
        <w:pStyle w:val="ListParagraph"/>
        <w:numPr>
          <w:ilvl w:val="0"/>
          <w:numId w:val="52"/>
        </w:numPr>
        <w:tabs>
          <w:tab w:val="left" w:pos="-1418"/>
        </w:tabs>
        <w:ind w:right="-2"/>
        <w:jc w:val="both"/>
        <w:rPr>
          <w:del w:id="16631" w:author="AbbVie14" w:date="2025-05-09T11:00:00Z"/>
          <w:sz w:val="22"/>
          <w:szCs w:val="22"/>
        </w:rPr>
      </w:pPr>
      <w:del w:id="16632" w:author="AbbVie14" w:date="2025-05-09T11:00:00Z">
        <w:r w:rsidRPr="00295E71">
          <w:rPr>
            <w:sz w:val="22"/>
            <w:szCs w:val="22"/>
          </w:rPr>
          <w:delText xml:space="preserve">Bambini dai 2 anni di età con uveite cronica non infettiva con infiammazione che interessa la parte anteriore dell’occhio </w:delText>
        </w:r>
      </w:del>
    </w:p>
    <w:p w:rsidR="006224C2" w:rsidRPr="00295E71" w:rsidP="00FE3C0F" w14:paraId="3C2B3002" w14:textId="77777777">
      <w:pPr>
        <w:pStyle w:val="ListParagraph"/>
        <w:tabs>
          <w:tab w:val="left" w:pos="-1418"/>
        </w:tabs>
        <w:ind w:right="-2"/>
        <w:jc w:val="both"/>
        <w:rPr>
          <w:del w:id="16633" w:author="AbbVie14" w:date="2025-05-09T11:00:00Z"/>
          <w:sz w:val="22"/>
          <w:szCs w:val="22"/>
        </w:rPr>
      </w:pPr>
    </w:p>
    <w:p w:rsidR="006224C2" w:rsidRPr="00295E71" w:rsidP="00FE3C0F" w14:paraId="5FDD7EE3" w14:textId="77777777">
      <w:pPr>
        <w:pStyle w:val="ListParagraph"/>
        <w:tabs>
          <w:tab w:val="left" w:pos="-1418"/>
        </w:tabs>
        <w:ind w:left="0" w:right="-2"/>
        <w:jc w:val="both"/>
        <w:rPr>
          <w:del w:id="16634" w:author="AbbVie14" w:date="2025-05-09T11:00:00Z"/>
          <w:sz w:val="22"/>
          <w:szCs w:val="22"/>
        </w:rPr>
      </w:pPr>
      <w:del w:id="16635" w:author="AbbVie14" w:date="2025-05-09T11:00:00Z">
        <w:r w:rsidRPr="00295E71">
          <w:rPr>
            <w:sz w:val="22"/>
            <w:szCs w:val="22"/>
          </w:rPr>
          <w:delText>Questa infiammazione può portare a una diminuzione della visione e/o alla presenza di corpi mobili nell’occhio (punti neri o linee sottili che si muovono attraverso il campo visivo). Humira agisce riducendo questa infiammazione.</w:delText>
        </w:r>
      </w:del>
    </w:p>
    <w:p w:rsidR="006224C2" w:rsidRPr="00295E71" w:rsidP="00FE3C0F" w14:paraId="4F59B337" w14:textId="77777777">
      <w:pPr>
        <w:numPr>
          <w:ilvl w:val="12"/>
          <w:numId w:val="0"/>
        </w:numPr>
        <w:tabs>
          <w:tab w:val="left" w:pos="567"/>
        </w:tabs>
        <w:ind w:left="567" w:right="-2" w:hanging="567"/>
        <w:jc w:val="both"/>
        <w:rPr>
          <w:del w:id="16636" w:author="AbbVie14" w:date="2025-05-09T11:00:00Z"/>
          <w:sz w:val="22"/>
          <w:szCs w:val="22"/>
        </w:rPr>
      </w:pPr>
    </w:p>
    <w:p w:rsidR="006224C2" w:rsidRPr="00295E71" w:rsidP="00FE3C0F" w14:paraId="3F3D1C46" w14:textId="77777777">
      <w:pPr>
        <w:numPr>
          <w:ilvl w:val="12"/>
          <w:numId w:val="0"/>
        </w:numPr>
        <w:tabs>
          <w:tab w:val="left" w:pos="567"/>
        </w:tabs>
        <w:ind w:left="567" w:right="-2" w:hanging="567"/>
        <w:jc w:val="both"/>
        <w:rPr>
          <w:del w:id="16637" w:author="AbbVie14" w:date="2025-05-09T11:00:00Z"/>
          <w:b/>
          <w:bCs/>
          <w:sz w:val="22"/>
          <w:szCs w:val="22"/>
        </w:rPr>
      </w:pPr>
      <w:del w:id="16638" w:author="AbbVie14" w:date="2025-05-09T11:00:00Z">
        <w:r w:rsidRPr="00295E71">
          <w:rPr>
            <w:b/>
            <w:bCs/>
            <w:sz w:val="22"/>
            <w:szCs w:val="22"/>
          </w:rPr>
          <w:delText>2.</w:delText>
        </w:r>
      </w:del>
      <w:del w:id="16639" w:author="AbbVie14" w:date="2025-05-09T11:00:00Z">
        <w:r w:rsidRPr="00295E71">
          <w:rPr>
            <w:b/>
            <w:bCs/>
            <w:sz w:val="22"/>
            <w:szCs w:val="22"/>
          </w:rPr>
          <w:tab/>
          <w:delText>Cosa deve sapere prima di usare Humira</w:delText>
        </w:r>
      </w:del>
    </w:p>
    <w:p w:rsidR="006224C2" w:rsidRPr="00295E71" w:rsidP="00FE3C0F" w14:paraId="2672745C" w14:textId="77777777">
      <w:pPr>
        <w:numPr>
          <w:ilvl w:val="12"/>
          <w:numId w:val="0"/>
        </w:numPr>
        <w:tabs>
          <w:tab w:val="left" w:pos="567"/>
        </w:tabs>
        <w:ind w:right="-2"/>
        <w:jc w:val="both"/>
        <w:rPr>
          <w:del w:id="16640" w:author="AbbVie14" w:date="2025-05-09T11:00:00Z"/>
          <w:sz w:val="22"/>
          <w:szCs w:val="22"/>
        </w:rPr>
      </w:pPr>
    </w:p>
    <w:p w:rsidR="006224C2" w:rsidRPr="00295E71" w:rsidP="00FE3C0F" w14:paraId="0FE6B97A" w14:textId="77777777">
      <w:pPr>
        <w:numPr>
          <w:ilvl w:val="12"/>
          <w:numId w:val="0"/>
        </w:numPr>
        <w:tabs>
          <w:tab w:val="left" w:pos="567"/>
        </w:tabs>
        <w:jc w:val="both"/>
        <w:rPr>
          <w:del w:id="16641" w:author="AbbVie14" w:date="2025-05-09T11:00:00Z"/>
          <w:b/>
          <w:bCs/>
          <w:sz w:val="22"/>
          <w:szCs w:val="22"/>
        </w:rPr>
      </w:pPr>
      <w:del w:id="16642" w:author="AbbVie14" w:date="2025-05-09T11:00:00Z">
        <w:r w:rsidRPr="00295E71">
          <w:rPr>
            <w:b/>
            <w:bCs/>
            <w:sz w:val="22"/>
            <w:szCs w:val="22"/>
          </w:rPr>
          <w:delText>Non usi Humira</w:delText>
        </w:r>
      </w:del>
    </w:p>
    <w:p w:rsidR="006224C2" w:rsidRPr="00295E71" w:rsidP="00FE3C0F" w14:paraId="21663ECF" w14:textId="77777777">
      <w:pPr>
        <w:pStyle w:val="EndnoteText"/>
        <w:numPr>
          <w:ilvl w:val="12"/>
          <w:numId w:val="0"/>
        </w:numPr>
        <w:jc w:val="both"/>
        <w:rPr>
          <w:del w:id="16643" w:author="AbbVie14" w:date="2025-05-09T11:00:00Z"/>
          <w:lang w:val="it-IT"/>
        </w:rPr>
      </w:pPr>
    </w:p>
    <w:p w:rsidR="006224C2" w:rsidRPr="00295E71" w:rsidP="00FE3C0F" w14:paraId="6A845B98" w14:textId="77777777">
      <w:pPr>
        <w:numPr>
          <w:ilvl w:val="0"/>
          <w:numId w:val="5"/>
        </w:numPr>
        <w:tabs>
          <w:tab w:val="clear" w:pos="360"/>
          <w:tab w:val="left" w:pos="540"/>
        </w:tabs>
        <w:ind w:left="540" w:hanging="540"/>
        <w:jc w:val="both"/>
        <w:rPr>
          <w:del w:id="16644" w:author="AbbVie14" w:date="2025-05-09T11:00:00Z"/>
          <w:sz w:val="22"/>
          <w:szCs w:val="22"/>
        </w:rPr>
      </w:pPr>
      <w:del w:id="16645" w:author="AbbVie14" w:date="2025-05-09T11:00:00Z">
        <w:r w:rsidRPr="00295E71">
          <w:rPr>
            <w:sz w:val="22"/>
            <w:szCs w:val="22"/>
          </w:rPr>
          <w:delText>Se è allergico ad adalimumab o ad uno qualsiasi degli altri componenti di questo medicinale (elencati al paragrafo 6).</w:delText>
        </w:r>
      </w:del>
    </w:p>
    <w:p w:rsidR="006224C2" w:rsidRPr="00295E71" w:rsidP="00FE3C0F" w14:paraId="72BAD299" w14:textId="77777777">
      <w:pPr>
        <w:tabs>
          <w:tab w:val="left" w:pos="567"/>
        </w:tabs>
        <w:jc w:val="both"/>
        <w:rPr>
          <w:del w:id="16646" w:author="AbbVie14" w:date="2025-05-09T11:00:00Z"/>
          <w:sz w:val="22"/>
          <w:szCs w:val="22"/>
        </w:rPr>
      </w:pPr>
    </w:p>
    <w:p w:rsidR="006224C2" w:rsidRPr="00295E71" w:rsidP="00FE3C0F" w14:paraId="042E2581" w14:textId="77777777">
      <w:pPr>
        <w:numPr>
          <w:ilvl w:val="0"/>
          <w:numId w:val="5"/>
        </w:numPr>
        <w:tabs>
          <w:tab w:val="clear" w:pos="360"/>
          <w:tab w:val="left" w:pos="540"/>
        </w:tabs>
        <w:ind w:left="540" w:hanging="540"/>
        <w:jc w:val="both"/>
        <w:rPr>
          <w:del w:id="16647" w:author="AbbVie14" w:date="2025-05-09T11:00:00Z"/>
          <w:sz w:val="22"/>
          <w:szCs w:val="22"/>
        </w:rPr>
      </w:pPr>
      <w:del w:id="16648" w:author="AbbVie14" w:date="2025-05-09T11:00:00Z">
        <w:r w:rsidRPr="00295E71">
          <w:rPr>
            <w:sz w:val="22"/>
            <w:szCs w:val="22"/>
          </w:rPr>
          <w:delText>In presenza di un’infezione grave, compresa la tubercolosi attiva (vedere “Avvertenze e precauzioni”). È importante comunicare al medico se ha segni o sintomi di infezione, come per es. febbre, ferite, sensazione di stanchezza, problemi dentali.</w:delText>
        </w:r>
      </w:del>
    </w:p>
    <w:p w:rsidR="006224C2" w:rsidRPr="00295E71" w:rsidP="00FE3C0F" w14:paraId="79618B52" w14:textId="77777777">
      <w:pPr>
        <w:pStyle w:val="EndnoteText"/>
        <w:jc w:val="both"/>
        <w:rPr>
          <w:del w:id="16649" w:author="AbbVie14" w:date="2025-05-09T11:00:00Z"/>
          <w:lang w:val="it-IT" w:eastAsia="it-IT"/>
        </w:rPr>
      </w:pPr>
    </w:p>
    <w:p w:rsidR="006224C2" w:rsidRPr="00295E71" w:rsidP="00FE3C0F" w14:paraId="2E2AB13E" w14:textId="77777777">
      <w:pPr>
        <w:numPr>
          <w:ilvl w:val="0"/>
          <w:numId w:val="5"/>
        </w:numPr>
        <w:tabs>
          <w:tab w:val="clear" w:pos="360"/>
          <w:tab w:val="left" w:pos="540"/>
        </w:tabs>
        <w:ind w:left="540" w:hanging="540"/>
        <w:jc w:val="both"/>
        <w:rPr>
          <w:del w:id="16650" w:author="AbbVie14" w:date="2025-05-09T11:00:00Z"/>
          <w:sz w:val="22"/>
          <w:szCs w:val="22"/>
        </w:rPr>
      </w:pPr>
      <w:del w:id="16651" w:author="AbbVie14" w:date="2025-05-09T11:00:00Z">
        <w:r w:rsidRPr="00295E71">
          <w:rPr>
            <w:sz w:val="22"/>
            <w:szCs w:val="22"/>
          </w:rPr>
          <w:delText>In presenza di insufficienza cardiaca moderata o grave. È importante riferire al medico se c’è stata o è presente una condizione cardiaca grave (vedere “Avvertenze e precauzioni”).</w:delText>
        </w:r>
      </w:del>
    </w:p>
    <w:p w:rsidR="006224C2" w:rsidRPr="00295E71" w:rsidP="00FE3C0F" w14:paraId="36DE5318" w14:textId="77777777">
      <w:pPr>
        <w:tabs>
          <w:tab w:val="left" w:pos="567"/>
        </w:tabs>
        <w:jc w:val="both"/>
        <w:rPr>
          <w:del w:id="16652" w:author="AbbVie14" w:date="2025-05-09T11:00:00Z"/>
          <w:sz w:val="22"/>
          <w:szCs w:val="22"/>
        </w:rPr>
      </w:pPr>
    </w:p>
    <w:p w:rsidR="006224C2" w:rsidRPr="00295E71" w:rsidP="00FE3C0F" w14:paraId="0A2682B5" w14:textId="77777777">
      <w:pPr>
        <w:keepNext/>
        <w:tabs>
          <w:tab w:val="left" w:pos="567"/>
        </w:tabs>
        <w:jc w:val="both"/>
        <w:rPr>
          <w:del w:id="16653" w:author="AbbVie14" w:date="2025-05-09T11:00:00Z"/>
          <w:b/>
          <w:bCs/>
          <w:sz w:val="22"/>
          <w:szCs w:val="22"/>
        </w:rPr>
      </w:pPr>
      <w:del w:id="16654" w:author="AbbVie14" w:date="2025-05-09T11:00:00Z">
        <w:r w:rsidRPr="00295E71">
          <w:rPr>
            <w:b/>
            <w:bCs/>
            <w:sz w:val="22"/>
            <w:szCs w:val="22"/>
          </w:rPr>
          <w:delText>Avvertenze e precauzioni</w:delText>
        </w:r>
      </w:del>
    </w:p>
    <w:p w:rsidR="006224C2" w:rsidRPr="00295E71" w:rsidP="00FE3C0F" w14:paraId="02711C12" w14:textId="77777777">
      <w:pPr>
        <w:keepNext/>
        <w:tabs>
          <w:tab w:val="left" w:pos="567"/>
        </w:tabs>
        <w:jc w:val="both"/>
        <w:rPr>
          <w:del w:id="16655" w:author="AbbVie14" w:date="2025-05-09T11:00:00Z"/>
          <w:b/>
          <w:bCs/>
          <w:sz w:val="22"/>
          <w:szCs w:val="22"/>
        </w:rPr>
      </w:pPr>
    </w:p>
    <w:p w:rsidR="006224C2" w:rsidRPr="00295E71" w:rsidP="00FE3C0F" w14:paraId="484E8880" w14:textId="77777777">
      <w:pPr>
        <w:keepNext/>
        <w:tabs>
          <w:tab w:val="left" w:pos="540"/>
        </w:tabs>
        <w:jc w:val="both"/>
        <w:rPr>
          <w:del w:id="16656" w:author="AbbVie14" w:date="2025-05-09T11:00:00Z"/>
          <w:sz w:val="22"/>
          <w:szCs w:val="22"/>
        </w:rPr>
      </w:pPr>
      <w:del w:id="16657" w:author="AbbVie14" w:date="2025-05-09T11:00:00Z">
        <w:r w:rsidRPr="00295E71">
          <w:rPr>
            <w:sz w:val="22"/>
            <w:szCs w:val="22"/>
          </w:rPr>
          <w:delText>Si rivolga al medico o al farmacista prima di usare Humira</w:delText>
        </w:r>
      </w:del>
    </w:p>
    <w:p w:rsidR="006224C2" w:rsidRPr="00295E71" w:rsidP="00FE3C0F" w14:paraId="07D7658E" w14:textId="77777777">
      <w:pPr>
        <w:tabs>
          <w:tab w:val="left" w:pos="540"/>
        </w:tabs>
        <w:jc w:val="both"/>
        <w:rPr>
          <w:del w:id="16658" w:author="AbbVie14" w:date="2025-05-09T11:00:00Z"/>
          <w:sz w:val="22"/>
          <w:szCs w:val="22"/>
        </w:rPr>
      </w:pPr>
    </w:p>
    <w:p w:rsidR="006224C2" w:rsidRPr="00295E71" w:rsidP="00FE3C0F" w14:paraId="6D5FB4E7" w14:textId="77777777">
      <w:pPr>
        <w:numPr>
          <w:ilvl w:val="0"/>
          <w:numId w:val="5"/>
        </w:numPr>
        <w:tabs>
          <w:tab w:val="clear" w:pos="360"/>
          <w:tab w:val="left" w:pos="540"/>
        </w:tabs>
        <w:ind w:left="540" w:hanging="540"/>
        <w:jc w:val="both"/>
        <w:rPr>
          <w:del w:id="16659" w:author="AbbVie14" w:date="2025-05-09T11:00:00Z"/>
          <w:sz w:val="22"/>
          <w:szCs w:val="22"/>
        </w:rPr>
      </w:pPr>
      <w:del w:id="16660" w:author="AbbVie14" w:date="2025-05-09T11:00:00Z">
        <w:r w:rsidRPr="00295E71">
          <w:rPr>
            <w:sz w:val="22"/>
            <w:szCs w:val="22"/>
          </w:rPr>
          <w:delText>In caso di reazioni allegiche con sintomi quali senso d’oppressione toracica, respiro sibilante, capogiro, gonfiore o eruzione cutanea, non si somministri più Humira e contatti il medico immediatamente</w:delText>
        </w:r>
      </w:del>
      <w:del w:id="16661" w:author="AbbVie14" w:date="2025-05-09T11:00:00Z">
        <w:r w:rsidRPr="00295E71" w:rsidR="00D47021">
          <w:rPr>
            <w:sz w:val="22"/>
            <w:szCs w:val="22"/>
          </w:rPr>
          <w:delText xml:space="preserve"> considerato che, in rari casi, queste reazioni possono essere pericolose per la vita</w:delText>
        </w:r>
      </w:del>
      <w:del w:id="16662" w:author="AbbVie14" w:date="2025-05-09T11:00:00Z">
        <w:r w:rsidRPr="00295E71">
          <w:rPr>
            <w:sz w:val="22"/>
            <w:szCs w:val="22"/>
          </w:rPr>
          <w:delText>.</w:delText>
        </w:r>
      </w:del>
    </w:p>
    <w:p w:rsidR="006224C2" w:rsidRPr="00295E71" w:rsidP="00FE3C0F" w14:paraId="0BABE43A" w14:textId="77777777">
      <w:pPr>
        <w:pStyle w:val="EndnoteText"/>
        <w:tabs>
          <w:tab w:val="num" w:pos="930"/>
        </w:tabs>
        <w:jc w:val="both"/>
        <w:rPr>
          <w:del w:id="16663" w:author="AbbVie14" w:date="2025-05-09T11:00:00Z"/>
          <w:lang w:val="it-IT" w:eastAsia="it-IT"/>
        </w:rPr>
      </w:pPr>
    </w:p>
    <w:p w:rsidR="006224C2" w:rsidRPr="00295E71" w:rsidP="00FE3C0F" w14:paraId="5C5F4488" w14:textId="77777777">
      <w:pPr>
        <w:numPr>
          <w:ilvl w:val="0"/>
          <w:numId w:val="5"/>
        </w:numPr>
        <w:tabs>
          <w:tab w:val="clear" w:pos="360"/>
          <w:tab w:val="left" w:pos="540"/>
        </w:tabs>
        <w:ind w:left="540" w:hanging="540"/>
        <w:jc w:val="both"/>
        <w:rPr>
          <w:del w:id="16664" w:author="AbbVie14" w:date="2025-05-09T11:00:00Z"/>
          <w:sz w:val="22"/>
          <w:szCs w:val="22"/>
        </w:rPr>
      </w:pPr>
      <w:del w:id="16665" w:author="AbbVie14" w:date="2025-05-09T11:00:00Z">
        <w:r w:rsidRPr="00295E71">
          <w:rPr>
            <w:sz w:val="22"/>
            <w:szCs w:val="22"/>
          </w:rPr>
          <w:delText>In caso d’infezione, comprese infezioni a lungo termine o localizzate (per esempio, ulcere alle gambe) consulti il medico prima di iniziare il trattamento con Humira. Se ha dubbi, contatti il medico.</w:delText>
        </w:r>
      </w:del>
    </w:p>
    <w:p w:rsidR="006224C2" w:rsidRPr="00295E71" w:rsidP="00FE3C0F" w14:paraId="4DD50FD7" w14:textId="77777777">
      <w:pPr>
        <w:pStyle w:val="EndnoteText"/>
        <w:jc w:val="both"/>
        <w:rPr>
          <w:del w:id="16666" w:author="AbbVie14" w:date="2025-05-09T11:00:00Z"/>
          <w:lang w:val="it-IT" w:eastAsia="it-IT"/>
        </w:rPr>
      </w:pPr>
    </w:p>
    <w:p w:rsidR="006224C2" w:rsidRPr="00295E71" w:rsidP="00FE3C0F" w14:paraId="01CD7D4E" w14:textId="77777777">
      <w:pPr>
        <w:numPr>
          <w:ilvl w:val="0"/>
          <w:numId w:val="5"/>
        </w:numPr>
        <w:tabs>
          <w:tab w:val="clear" w:pos="360"/>
          <w:tab w:val="left" w:pos="540"/>
        </w:tabs>
        <w:ind w:left="540" w:hanging="540"/>
        <w:jc w:val="both"/>
        <w:rPr>
          <w:del w:id="16667" w:author="AbbVie14" w:date="2025-05-09T11:00:00Z"/>
          <w:sz w:val="22"/>
          <w:szCs w:val="22"/>
        </w:rPr>
      </w:pPr>
      <w:del w:id="16668" w:author="AbbVie14" w:date="2025-05-09T11:00:00Z">
        <w:r w:rsidRPr="00295E71">
          <w:rPr>
            <w:sz w:val="22"/>
            <w:szCs w:val="22"/>
          </w:rPr>
          <w:delText>È possibile contrarre più facilmente infezioni durante il trattamento con Humira. Questo rischio puà aumentare se la sua funzione polmonare è compromessa. Queste infezioni possono essere gravi ed includere tubercolosi, infezioni causate da virus, funghi, parassiti o batteri, o altre infezioni opportunistiche e sepsi che possono, in rari casi, essere rischiose per la vita del paziente. È importante comunicare al medico la presenza di sintomi quali febbre, ferite, sensazione di stanchezza o problemi dentali. Il medico potrebbe consigliare la sospensione temporanea di Humira.</w:delText>
        </w:r>
      </w:del>
    </w:p>
    <w:p w:rsidR="006224C2" w:rsidRPr="00295E71" w:rsidP="00FE3C0F" w14:paraId="434CD6C7" w14:textId="77777777">
      <w:pPr>
        <w:tabs>
          <w:tab w:val="left" w:pos="540"/>
        </w:tabs>
        <w:ind w:left="540"/>
        <w:jc w:val="both"/>
        <w:rPr>
          <w:del w:id="16669" w:author="AbbVie14" w:date="2025-05-09T11:00:00Z"/>
          <w:sz w:val="22"/>
          <w:szCs w:val="22"/>
        </w:rPr>
      </w:pPr>
    </w:p>
    <w:p w:rsidR="006224C2" w:rsidRPr="00295E71" w:rsidP="00FE3C0F" w14:paraId="75D86809" w14:textId="77777777">
      <w:pPr>
        <w:pStyle w:val="ListParagraph"/>
        <w:numPr>
          <w:ilvl w:val="0"/>
          <w:numId w:val="89"/>
        </w:numPr>
        <w:ind w:left="539" w:hanging="539"/>
        <w:rPr>
          <w:del w:id="16670" w:author="AbbVie14" w:date="2025-05-09T11:00:00Z"/>
          <w:sz w:val="22"/>
          <w:szCs w:val="22"/>
        </w:rPr>
      </w:pPr>
      <w:del w:id="16671" w:author="AbbVie14" w:date="2025-05-09T11:00:00Z">
        <w:r w:rsidRPr="00295E71">
          <w:rPr>
            <w:sz w:val="22"/>
            <w:szCs w:val="22"/>
          </w:rPr>
          <w:delText>Poiché si sono verificati dei casi di tubercolosi in pazienti sottoposti a trattamento con Humira, il medico dovrà controllare se presenta segni o sintomi tipici della tubercolosi prima di iniziare la terapia con Humira. Questo comporterà la raccolta di una valutazione medica dettagliata che includa la sua anamnesi e appropriati esami clinici (per es. una radiografia del torace e il test alla tubercolina). L’esecuzione e i risultati di tali esami devono essere registrati nella</w:delText>
        </w:r>
      </w:del>
      <w:del w:id="16672" w:author="AbbVie14" w:date="2025-05-09T11:00:00Z">
        <w:r w:rsidR="00E15A82">
          <w:rPr>
            <w:sz w:val="22"/>
            <w:szCs w:val="22"/>
          </w:rPr>
          <w:delText xml:space="preserve"> </w:delText>
        </w:r>
      </w:del>
      <w:del w:id="16673" w:author="AbbVie14" w:date="2025-05-09T11:00:00Z">
        <w:r w:rsidRPr="000D0B9B" w:rsidR="00E15A82">
          <w:rPr>
            <w:b/>
            <w:sz w:val="22"/>
            <w:szCs w:val="22"/>
          </w:rPr>
          <w:delText>Scheda Promemoria per il Paziente</w:delText>
        </w:r>
      </w:del>
      <w:del w:id="16674" w:author="AbbVie14" w:date="2025-05-09T11:00:00Z">
        <w:r w:rsidRPr="00295E71">
          <w:rPr>
            <w:sz w:val="22"/>
            <w:szCs w:val="22"/>
          </w:rPr>
          <w:delText>. È molto importante comunicare al medico se ha mai avuto la tubercolosi, o se ha avuto contatti ravvicinati con malati di tubercolosi. La tubercolosi si può manifestare durante la terapia nonostante lei abbia ricevuto un trattamento preventivo per la tubercolosi. Contatti immediatamente il medico se durante o dopo la terapia compaiono sintomi di tubercolosi (tosse persistente, perdita di peso, svogliatezza, febbre moderata) o di altre infezioni.</w:delText>
        </w:r>
      </w:del>
    </w:p>
    <w:p w:rsidR="006224C2" w:rsidRPr="00295E71" w:rsidP="00FE3C0F" w14:paraId="0A1C06A7" w14:textId="77777777">
      <w:pPr>
        <w:tabs>
          <w:tab w:val="left" w:pos="567"/>
        </w:tabs>
        <w:ind w:left="567"/>
        <w:jc w:val="both"/>
        <w:rPr>
          <w:del w:id="16675" w:author="AbbVie14" w:date="2025-05-09T11:00:00Z"/>
          <w:sz w:val="22"/>
          <w:szCs w:val="22"/>
        </w:rPr>
      </w:pPr>
    </w:p>
    <w:p w:rsidR="006224C2" w:rsidRPr="00295E71" w:rsidP="00FE3C0F" w14:paraId="7037DF00" w14:textId="77777777">
      <w:pPr>
        <w:numPr>
          <w:ilvl w:val="0"/>
          <w:numId w:val="5"/>
        </w:numPr>
        <w:tabs>
          <w:tab w:val="clear" w:pos="360"/>
          <w:tab w:val="left" w:pos="540"/>
        </w:tabs>
        <w:ind w:left="540" w:hanging="540"/>
        <w:jc w:val="both"/>
        <w:rPr>
          <w:del w:id="16676" w:author="AbbVie14" w:date="2025-05-09T11:00:00Z"/>
          <w:sz w:val="22"/>
          <w:szCs w:val="22"/>
        </w:rPr>
      </w:pPr>
      <w:del w:id="16677" w:author="AbbVie14" w:date="2025-05-09T11:00:00Z">
        <w:r w:rsidRPr="00295E71">
          <w:rPr>
            <w:sz w:val="22"/>
            <w:szCs w:val="22"/>
          </w:rPr>
          <w:delText>Avvisi il medico se risiede o viaggia in regioni dove le infezioni fungine, come l’istoplasmosi, la coccidioidomicosi o la blastomicosi, sono endemiche.</w:delText>
        </w:r>
      </w:del>
    </w:p>
    <w:p w:rsidR="006224C2" w:rsidRPr="00295E71" w:rsidP="00FE3C0F" w14:paraId="2A72F4E5" w14:textId="77777777">
      <w:pPr>
        <w:tabs>
          <w:tab w:val="left" w:pos="567"/>
        </w:tabs>
        <w:ind w:left="567"/>
        <w:jc w:val="both"/>
        <w:rPr>
          <w:del w:id="16678" w:author="AbbVie14" w:date="2025-05-09T11:00:00Z"/>
          <w:sz w:val="22"/>
          <w:szCs w:val="22"/>
        </w:rPr>
      </w:pPr>
    </w:p>
    <w:p w:rsidR="006224C2" w:rsidRPr="00295E71" w:rsidP="00FE3C0F" w14:paraId="1729AC44" w14:textId="77777777">
      <w:pPr>
        <w:numPr>
          <w:ilvl w:val="0"/>
          <w:numId w:val="5"/>
        </w:numPr>
        <w:tabs>
          <w:tab w:val="clear" w:pos="360"/>
          <w:tab w:val="left" w:pos="540"/>
        </w:tabs>
        <w:ind w:left="540" w:hanging="540"/>
        <w:jc w:val="both"/>
        <w:rPr>
          <w:del w:id="16679" w:author="AbbVie14" w:date="2025-05-09T11:00:00Z"/>
          <w:sz w:val="22"/>
          <w:szCs w:val="22"/>
        </w:rPr>
      </w:pPr>
      <w:del w:id="16680" w:author="AbbVie14" w:date="2025-05-09T11:00:00Z">
        <w:r w:rsidRPr="00295E71">
          <w:rPr>
            <w:sz w:val="22"/>
            <w:szCs w:val="22"/>
          </w:rPr>
          <w:delText>Avvisi il medico se ha avuto infezioni recidivanti o se presenta condizioni che aumentano il rischio di infezione.</w:delText>
        </w:r>
      </w:del>
    </w:p>
    <w:p w:rsidR="006224C2" w:rsidRPr="00295E71" w:rsidP="00FE3C0F" w14:paraId="34C27396" w14:textId="77777777">
      <w:pPr>
        <w:rPr>
          <w:del w:id="16681" w:author="AbbVie14" w:date="2025-05-09T11:00:00Z"/>
          <w:sz w:val="22"/>
          <w:szCs w:val="22"/>
        </w:rPr>
      </w:pPr>
    </w:p>
    <w:p w:rsidR="006224C2" w:rsidRPr="00295E71" w:rsidP="00FE3C0F" w14:paraId="22D914E4" w14:textId="77777777">
      <w:pPr>
        <w:numPr>
          <w:ilvl w:val="0"/>
          <w:numId w:val="5"/>
        </w:numPr>
        <w:tabs>
          <w:tab w:val="clear" w:pos="360"/>
          <w:tab w:val="left" w:pos="540"/>
        </w:tabs>
        <w:ind w:left="540" w:hanging="540"/>
        <w:jc w:val="both"/>
        <w:rPr>
          <w:del w:id="16682" w:author="AbbVie14" w:date="2025-05-09T11:00:00Z"/>
          <w:sz w:val="22"/>
          <w:szCs w:val="22"/>
        </w:rPr>
      </w:pPr>
      <w:del w:id="16683" w:author="AbbVie14" w:date="2025-05-09T11:00:00Z">
        <w:r w:rsidRPr="00295E71">
          <w:rPr>
            <w:sz w:val="22"/>
            <w:szCs w:val="22"/>
          </w:rPr>
          <w:delText>Comunichi al medico se lei è portatore del virus dell’epatite B (HBV), se ha un’infezione in fase attiva da virus dell’epatite B o se pensa di poter essere a rischio di contrarre il virus dell’epatite B. Il medico la deve testare per l’infezione da virus dell’epatite B. L’assunzione di Humira può causare la riattivazione del virus dell’epatite B nei soggetti che risultano portatori di questo virus. In alcuni rari casi, soprattutto se il paziente è sottoposto a terapia con altri farmaci che sopprimono il sistema immunitario, la riattivazione del virus dell’epatite B può mettere a repentaglio la vita del paziente.</w:delText>
        </w:r>
      </w:del>
    </w:p>
    <w:p w:rsidR="006224C2" w:rsidRPr="00295E71" w:rsidP="00FE3C0F" w14:paraId="7D0328AB" w14:textId="77777777">
      <w:pPr>
        <w:tabs>
          <w:tab w:val="left" w:pos="540"/>
        </w:tabs>
        <w:jc w:val="both"/>
        <w:rPr>
          <w:del w:id="16684" w:author="AbbVie14" w:date="2025-05-09T11:00:00Z"/>
          <w:sz w:val="22"/>
          <w:szCs w:val="22"/>
        </w:rPr>
      </w:pPr>
    </w:p>
    <w:p w:rsidR="006224C2" w:rsidRPr="00295E71" w:rsidP="00FE3C0F" w14:paraId="7D3C3103" w14:textId="77777777">
      <w:pPr>
        <w:numPr>
          <w:ilvl w:val="0"/>
          <w:numId w:val="5"/>
        </w:numPr>
        <w:tabs>
          <w:tab w:val="clear" w:pos="360"/>
          <w:tab w:val="left" w:pos="540"/>
        </w:tabs>
        <w:ind w:left="540" w:hanging="540"/>
        <w:jc w:val="both"/>
        <w:rPr>
          <w:del w:id="16685" w:author="AbbVie14" w:date="2025-05-09T11:00:00Z"/>
          <w:sz w:val="22"/>
          <w:szCs w:val="22"/>
        </w:rPr>
      </w:pPr>
      <w:del w:id="16686" w:author="AbbVie14" w:date="2025-05-09T11:00:00Z">
        <w:r w:rsidRPr="00295E71">
          <w:rPr>
            <w:sz w:val="22"/>
            <w:szCs w:val="22"/>
          </w:rPr>
          <w:delText>Se ha più di 65 anni può essere più suscettibile ad infezioni durante l’assunzione di Humira. Lei e il medico dovete prestare particolare attenzione a segni di infezione mentre è in trattamento con Humira. È importante informare il medico se compaiono i sintomi di infezioni quali febbre, ferite, sensazione di stanchezza o problemi dentali.</w:delText>
        </w:r>
      </w:del>
    </w:p>
    <w:p w:rsidR="006224C2" w:rsidRPr="00295E71" w:rsidP="00FE3C0F" w14:paraId="09313AE7" w14:textId="77777777">
      <w:pPr>
        <w:tabs>
          <w:tab w:val="left" w:pos="567"/>
        </w:tabs>
        <w:jc w:val="both"/>
        <w:rPr>
          <w:del w:id="16687" w:author="AbbVie14" w:date="2025-05-09T11:00:00Z"/>
          <w:sz w:val="22"/>
          <w:szCs w:val="22"/>
        </w:rPr>
      </w:pPr>
    </w:p>
    <w:p w:rsidR="006224C2" w:rsidRPr="00295E71" w:rsidP="00FE3C0F" w14:paraId="40AD584E" w14:textId="77777777">
      <w:pPr>
        <w:numPr>
          <w:ilvl w:val="0"/>
          <w:numId w:val="5"/>
        </w:numPr>
        <w:tabs>
          <w:tab w:val="clear" w:pos="360"/>
          <w:tab w:val="left" w:pos="540"/>
        </w:tabs>
        <w:ind w:left="540" w:hanging="540"/>
        <w:jc w:val="both"/>
        <w:rPr>
          <w:del w:id="16688" w:author="AbbVie14" w:date="2025-05-09T11:00:00Z"/>
          <w:sz w:val="22"/>
          <w:szCs w:val="22"/>
        </w:rPr>
      </w:pPr>
      <w:del w:id="16689" w:author="AbbVie14" w:date="2025-05-09T11:00:00Z">
        <w:r w:rsidRPr="00295E71">
          <w:rPr>
            <w:sz w:val="22"/>
            <w:szCs w:val="22"/>
          </w:rPr>
          <w:delText>Prima di un intervento chirurgico o procedure dentistiche, informi il medico che sta prendendo Humira. Il medico potrebbe consigliare la sospensione temporanea.</w:delText>
        </w:r>
      </w:del>
      <w:del w:id="16690" w:author="AbbVie14" w:date="2025-05-09T11:00:00Z">
        <w:r w:rsidRPr="00295E71">
          <w:rPr>
            <w:sz w:val="22"/>
            <w:szCs w:val="22"/>
          </w:rPr>
          <w:br/>
        </w:r>
      </w:del>
    </w:p>
    <w:p w:rsidR="006224C2" w:rsidRPr="00295E71" w:rsidP="00FE3C0F" w14:paraId="55217E81" w14:textId="77777777">
      <w:pPr>
        <w:keepNext/>
        <w:keepLines/>
        <w:numPr>
          <w:ilvl w:val="0"/>
          <w:numId w:val="5"/>
        </w:numPr>
        <w:tabs>
          <w:tab w:val="clear" w:pos="360"/>
          <w:tab w:val="left" w:pos="540"/>
        </w:tabs>
        <w:ind w:left="539" w:hanging="540"/>
        <w:jc w:val="both"/>
        <w:rPr>
          <w:del w:id="16691" w:author="AbbVie14" w:date="2025-05-09T11:00:00Z"/>
          <w:sz w:val="22"/>
          <w:szCs w:val="22"/>
        </w:rPr>
      </w:pPr>
      <w:del w:id="16692" w:author="AbbVie14" w:date="2025-05-09T11:00:00Z">
        <w:r w:rsidRPr="00295E71">
          <w:rPr>
            <w:sz w:val="22"/>
            <w:szCs w:val="22"/>
          </w:rPr>
          <w:delText>Se è affetto da o sviluppa malattie demielinizzanti come la sclerosi multipla, il medico deciderà se è il caso di iniziare o continuare a ricevere il trattamento con Humira. Informi il medico immediatamente nel caso in cui lei manifesti sintomi quali variazioni nella visione, debolezza di braccia o gambe o intorpidimento o formicolio che interessi qualsiasi parte del corpo.</w:delText>
        </w:r>
      </w:del>
    </w:p>
    <w:p w:rsidR="006224C2" w:rsidRPr="00295E71" w:rsidP="00FE3C0F" w14:paraId="00FEF05C" w14:textId="77777777">
      <w:pPr>
        <w:keepNext/>
        <w:keepLines/>
        <w:tabs>
          <w:tab w:val="left" w:pos="540"/>
          <w:tab w:val="left" w:pos="567"/>
        </w:tabs>
        <w:ind w:left="539" w:hanging="483"/>
        <w:jc w:val="both"/>
        <w:rPr>
          <w:del w:id="16693" w:author="AbbVie14" w:date="2025-05-09T11:00:00Z"/>
          <w:sz w:val="22"/>
          <w:szCs w:val="22"/>
        </w:rPr>
      </w:pPr>
    </w:p>
    <w:p w:rsidR="006224C2" w:rsidRPr="00295E71" w:rsidP="00FE3C0F" w14:paraId="4F57B690" w14:textId="77777777">
      <w:pPr>
        <w:numPr>
          <w:ilvl w:val="0"/>
          <w:numId w:val="5"/>
        </w:numPr>
        <w:tabs>
          <w:tab w:val="clear" w:pos="360"/>
          <w:tab w:val="left" w:pos="540"/>
        </w:tabs>
        <w:ind w:left="540" w:hanging="540"/>
        <w:jc w:val="both"/>
        <w:rPr>
          <w:del w:id="16694" w:author="AbbVie14" w:date="2025-05-09T11:00:00Z"/>
          <w:sz w:val="22"/>
          <w:szCs w:val="22"/>
        </w:rPr>
      </w:pPr>
      <w:del w:id="16695" w:author="AbbVie14" w:date="2025-05-09T11:00:00Z">
        <w:r w:rsidRPr="00295E71">
          <w:rPr>
            <w:sz w:val="22"/>
            <w:szCs w:val="22"/>
          </w:rPr>
          <w:delText>Certi vaccini possono causare infezioni e non devono essere somministrati durante il trattamento con Humira. Consulti il medico prima di sottoporsi a vaccinazioni. Nei bambini, prima di iniziare la terapia a base di Humira, si consiglia, se possibile, di attuare il programma di vaccinazioni previsto, in ottemperanza alle linee guida in vigore sulle vaccinazioni. Se ha assunto Humira durante la gravidanza, il bambino potrebbe avere un maggior rischio di contrarre tale infezione fino a circa 5 mesi dopo dall’ultima somministrazione che lei ha assunto durante la gravidanza. È importante che lei riferisca al pediatra o ad altro operatore sanitario del suo utilizzo di Humira durante la gravidanza, cosicché possano decidere quando il bambino deve ricevere qualsiasi tipo di vaccinazione.</w:delText>
        </w:r>
      </w:del>
    </w:p>
    <w:p w:rsidR="006224C2" w:rsidRPr="00295E71" w:rsidP="00FE3C0F" w14:paraId="7303948B" w14:textId="77777777">
      <w:pPr>
        <w:pStyle w:val="EndnoteText"/>
        <w:jc w:val="both"/>
        <w:rPr>
          <w:del w:id="16696" w:author="AbbVie14" w:date="2025-05-09T11:00:00Z"/>
          <w:lang w:val="it-IT" w:eastAsia="it-IT"/>
        </w:rPr>
      </w:pPr>
    </w:p>
    <w:p w:rsidR="006224C2" w:rsidRPr="00295E71" w:rsidP="00FE3C0F" w14:paraId="6B6682D1" w14:textId="77777777">
      <w:pPr>
        <w:numPr>
          <w:ilvl w:val="0"/>
          <w:numId w:val="5"/>
        </w:numPr>
        <w:tabs>
          <w:tab w:val="clear" w:pos="360"/>
          <w:tab w:val="left" w:pos="540"/>
        </w:tabs>
        <w:ind w:left="540" w:hanging="540"/>
        <w:jc w:val="both"/>
        <w:rPr>
          <w:del w:id="16697" w:author="AbbVie14" w:date="2025-05-09T11:00:00Z"/>
          <w:sz w:val="22"/>
          <w:szCs w:val="22"/>
        </w:rPr>
      </w:pPr>
      <w:del w:id="16698" w:author="AbbVie14" w:date="2025-05-09T11:00:00Z">
        <w:r w:rsidRPr="00295E71">
          <w:rPr>
            <w:sz w:val="22"/>
            <w:szCs w:val="22"/>
          </w:rPr>
          <w:delText>In caso di lieve insufficienza cardiaca e di concomitante trattamento con Humira, il medico dovrà attentamente valutare e seguire lo stato del suo cuore. È importante informare il medico riguardo a eventuali problemi al cuore, sia passati che presenti. Se appaiono nuovi sintomi di insufficienza cardiaca o se i sintomi già esistenti dovessero peggiorare (per esempio, respiro corto o gonfiore dei piedi), contatti immediatamente il medico. Il medico deciderà se può assumere Humira.</w:delText>
        </w:r>
      </w:del>
    </w:p>
    <w:p w:rsidR="006224C2" w:rsidRPr="00295E71" w:rsidP="00FE3C0F" w14:paraId="56B58289" w14:textId="77777777">
      <w:pPr>
        <w:tabs>
          <w:tab w:val="left" w:pos="540"/>
        </w:tabs>
        <w:ind w:left="540"/>
        <w:jc w:val="both"/>
        <w:rPr>
          <w:del w:id="16699" w:author="AbbVie14" w:date="2025-05-09T11:00:00Z"/>
          <w:sz w:val="22"/>
          <w:szCs w:val="22"/>
        </w:rPr>
      </w:pPr>
    </w:p>
    <w:p w:rsidR="006224C2" w:rsidRPr="00295E71" w:rsidP="00FE3C0F" w14:paraId="0C5DB04B" w14:textId="77777777">
      <w:pPr>
        <w:pStyle w:val="ListParagraph"/>
        <w:numPr>
          <w:ilvl w:val="0"/>
          <w:numId w:val="89"/>
        </w:numPr>
        <w:ind w:left="539" w:hanging="539"/>
        <w:rPr>
          <w:del w:id="16700" w:author="AbbVie14" w:date="2025-05-09T11:00:00Z"/>
          <w:sz w:val="22"/>
          <w:szCs w:val="22"/>
        </w:rPr>
      </w:pPr>
      <w:del w:id="16701" w:author="AbbVie14" w:date="2025-05-09T11:00:00Z">
        <w:r w:rsidRPr="00295E71">
          <w:rPr>
            <w:sz w:val="22"/>
            <w:szCs w:val="22"/>
          </w:rPr>
          <w:delText>In alcuni pazienti l’organismo può non essere in grado di produrre un quantitativo di cellule ematiche sufficiente e tale da aiutarlo a combattere le infezioni o ad arrestare un’emorragia. Nel caso in cui lei abbia febbre persistente, lividi o facilità di emorragie o pallore, si rivolga immediatamente al medico. Quest’ultimo potrebbe decidere di interrompere la terapia.</w:delText>
        </w:r>
      </w:del>
      <w:del w:id="16702" w:author="AbbVie14" w:date="2025-05-09T11:00:00Z">
        <w:r w:rsidRPr="00295E71">
          <w:rPr>
            <w:sz w:val="22"/>
            <w:szCs w:val="22"/>
          </w:rPr>
          <w:br/>
        </w:r>
      </w:del>
    </w:p>
    <w:p w:rsidR="006224C2" w:rsidRPr="00295E71" w:rsidP="00FE3C0F" w14:paraId="0140DDA7" w14:textId="77777777">
      <w:pPr>
        <w:numPr>
          <w:ilvl w:val="0"/>
          <w:numId w:val="5"/>
        </w:numPr>
        <w:tabs>
          <w:tab w:val="clear" w:pos="360"/>
          <w:tab w:val="left" w:pos="540"/>
        </w:tabs>
        <w:ind w:left="540" w:hanging="540"/>
        <w:jc w:val="both"/>
        <w:rPr>
          <w:del w:id="16703" w:author="AbbVie14" w:date="2025-05-09T11:00:00Z"/>
          <w:sz w:val="22"/>
          <w:szCs w:val="22"/>
        </w:rPr>
      </w:pPr>
      <w:del w:id="16704" w:author="AbbVie14" w:date="2025-05-09T11:00:00Z">
        <w:r w:rsidRPr="00295E71">
          <w:rPr>
            <w:sz w:val="22"/>
            <w:szCs w:val="22"/>
          </w:rPr>
          <w:delText xml:space="preserve">Nei pazienti, sia bambini sia adulti, sottoposti a trattamento con Humira o con altri farmaci anti-TNF, si sono manifestati molto raramente alcuni tipi di tumori. I pazienti </w:delText>
        </w:r>
      </w:del>
      <w:del w:id="16705" w:author="AbbVie14" w:date="2025-05-09T11:00:00Z">
        <w:r w:rsidRPr="00295E71" w:rsidR="00224E13">
          <w:rPr>
            <w:sz w:val="22"/>
            <w:szCs w:val="22"/>
          </w:rPr>
          <w:delText>con</w:delText>
        </w:r>
      </w:del>
      <w:del w:id="16706" w:author="AbbVie14" w:date="2025-05-09T11:00:00Z">
        <w:r w:rsidRPr="00295E71">
          <w:rPr>
            <w:sz w:val="22"/>
            <w:szCs w:val="22"/>
          </w:rPr>
          <w:delText xml:space="preserve"> artrite reumatoide di grave entità da molto tempo possono presentare un rischio superiore alla media di sviluppare un linfoma (un tumore che colpisce il sistema linfatico) e leucemia (un tumore che colpisce il sangue e il midollo osseo). Se lei assume Humira, il rischio di contrarre linfomi, leucemia o altri tumori può aumentare. In rare circostanze, nei pazienti sottoposti a terapia con Humira, è stato osservato un tipo specifico e grave di linfoma. Alcuni di questi pazienti erano anche in terapia con azatioprina o 6-mercaptopurina. Avvisi il medico se sta assumendo azatioprina o 6-mercaptopurina con Humira. Inoltre, nei pazienti che assumono Humira, sono stati osservati casi di carcinoma cutaneo non melanotico. Se dovessero comparire nuove lesioni cutanee nel corso della terapia o successivamente ad essa o se l’aspetto delle lesioni già esistenti si dovesse modificare, lo riferisca al medico.</w:delText>
        </w:r>
      </w:del>
    </w:p>
    <w:p w:rsidR="006224C2" w:rsidRPr="00295E71" w:rsidP="00FE3C0F" w14:paraId="3084102F" w14:textId="77777777">
      <w:pPr>
        <w:rPr>
          <w:del w:id="16707" w:author="AbbVie14" w:date="2025-05-09T11:00:00Z"/>
          <w:sz w:val="22"/>
          <w:szCs w:val="22"/>
        </w:rPr>
      </w:pPr>
    </w:p>
    <w:p w:rsidR="0011687B" w:rsidRPr="00295E71" w:rsidP="00FE3C0F" w14:paraId="556D9D9C" w14:textId="77777777">
      <w:pPr>
        <w:numPr>
          <w:ilvl w:val="0"/>
          <w:numId w:val="5"/>
        </w:numPr>
        <w:tabs>
          <w:tab w:val="clear" w:pos="360"/>
          <w:tab w:val="left" w:pos="540"/>
        </w:tabs>
        <w:ind w:left="540" w:hanging="540"/>
        <w:jc w:val="both"/>
        <w:rPr>
          <w:del w:id="16708" w:author="AbbVie14" w:date="2025-05-09T11:00:00Z"/>
          <w:sz w:val="22"/>
          <w:szCs w:val="22"/>
        </w:rPr>
      </w:pPr>
      <w:del w:id="16709" w:author="AbbVie14" w:date="2025-05-09T11:00:00Z">
        <w:r w:rsidRPr="00295E71">
          <w:rPr>
            <w:sz w:val="22"/>
            <w:szCs w:val="22"/>
          </w:rPr>
          <w:delText>Ci sono stati casi di neoplasie, oltre al linfoma, in pazienti con uno specifico tipo di malattia del polmone chiamata Malattia Polmonare Cronica Ostruttiva (COPD) trattati con un altro anti-TNF. Se soffre di COPD, o fuma molto, deve discutere con il medico se è appropriato il trattamento con un anti-TNF.</w:delText>
        </w:r>
      </w:del>
    </w:p>
    <w:p w:rsidR="0011687B" w:rsidRPr="00295E71" w:rsidP="00FE3C0F" w14:paraId="69445A66" w14:textId="77777777">
      <w:pPr>
        <w:tabs>
          <w:tab w:val="left" w:pos="540"/>
        </w:tabs>
        <w:ind w:left="540"/>
        <w:jc w:val="both"/>
        <w:rPr>
          <w:del w:id="16710" w:author="AbbVie14" w:date="2025-05-09T11:00:00Z"/>
          <w:sz w:val="22"/>
          <w:szCs w:val="22"/>
        </w:rPr>
      </w:pPr>
    </w:p>
    <w:p w:rsidR="0011687B" w:rsidRPr="00295E71" w:rsidP="00FE3C0F" w14:paraId="7E4CF2C9" w14:textId="77777777">
      <w:pPr>
        <w:numPr>
          <w:ilvl w:val="0"/>
          <w:numId w:val="5"/>
        </w:numPr>
        <w:tabs>
          <w:tab w:val="clear" w:pos="360"/>
          <w:tab w:val="left" w:pos="540"/>
        </w:tabs>
        <w:ind w:left="540" w:hanging="540"/>
        <w:jc w:val="both"/>
        <w:rPr>
          <w:del w:id="16711" w:author="AbbVie14" w:date="2025-05-09T11:00:00Z"/>
          <w:sz w:val="22"/>
          <w:szCs w:val="22"/>
        </w:rPr>
      </w:pPr>
      <w:del w:id="16712" w:author="AbbVie14" w:date="2025-05-09T11:00:00Z">
        <w:r w:rsidRPr="00295E71">
          <w:rPr>
            <w:sz w:val="22"/>
            <w:szCs w:val="22"/>
          </w:rPr>
          <w:delText>Raramente, il trattamento con Humira può portare alla manifestazione di una sindrome come il lupus. Informi il medico qualora si manifestino sintomi come eruzione cutanea persistente di natura inspiegabile, febbre, dolore alle articolazioni o affaticamento.</w:delText>
        </w:r>
      </w:del>
    </w:p>
    <w:p w:rsidR="006224C2" w:rsidRPr="00295E71" w:rsidP="00FE3C0F" w14:paraId="690B1343" w14:textId="77777777">
      <w:pPr>
        <w:pStyle w:val="EndnoteText"/>
        <w:jc w:val="both"/>
        <w:rPr>
          <w:del w:id="16713" w:author="AbbVie14" w:date="2025-05-09T11:00:00Z"/>
          <w:lang w:val="it-IT"/>
        </w:rPr>
      </w:pPr>
    </w:p>
    <w:p w:rsidR="006224C2" w:rsidRPr="00295E71" w:rsidP="00FE3C0F" w14:paraId="68EED01F" w14:textId="77777777">
      <w:pPr>
        <w:jc w:val="both"/>
        <w:rPr>
          <w:del w:id="16714" w:author="AbbVie14" w:date="2025-05-09T11:00:00Z"/>
          <w:b/>
          <w:sz w:val="22"/>
          <w:szCs w:val="22"/>
          <w:lang w:eastAsia="en-US"/>
        </w:rPr>
      </w:pPr>
      <w:del w:id="16715" w:author="AbbVie14" w:date="2025-05-09T11:00:00Z">
        <w:r w:rsidRPr="00295E71">
          <w:rPr>
            <w:b/>
            <w:sz w:val="22"/>
            <w:szCs w:val="22"/>
            <w:lang w:eastAsia="en-US"/>
          </w:rPr>
          <w:delText>Bambini e adolescenti</w:delText>
        </w:r>
      </w:del>
    </w:p>
    <w:p w:rsidR="006224C2" w:rsidRPr="00295E71" w:rsidP="00FE3C0F" w14:paraId="2CB32CD9" w14:textId="77777777">
      <w:pPr>
        <w:jc w:val="both"/>
        <w:rPr>
          <w:del w:id="16716" w:author="AbbVie14" w:date="2025-05-09T11:00:00Z"/>
          <w:sz w:val="22"/>
          <w:szCs w:val="22"/>
          <w:lang w:eastAsia="en-US"/>
        </w:rPr>
      </w:pPr>
    </w:p>
    <w:p w:rsidR="006224C2" w:rsidRPr="00295E71" w:rsidP="00FE3C0F" w14:paraId="70CC56C6" w14:textId="77777777">
      <w:pPr>
        <w:numPr>
          <w:ilvl w:val="0"/>
          <w:numId w:val="49"/>
        </w:numPr>
        <w:tabs>
          <w:tab w:val="num" w:pos="540"/>
          <w:tab w:val="clear" w:pos="720"/>
        </w:tabs>
        <w:ind w:left="540" w:hanging="540"/>
        <w:jc w:val="both"/>
        <w:rPr>
          <w:del w:id="16717" w:author="AbbVie14" w:date="2025-05-09T11:00:00Z"/>
          <w:sz w:val="22"/>
          <w:szCs w:val="22"/>
          <w:lang w:eastAsia="en-US"/>
        </w:rPr>
      </w:pPr>
      <w:del w:id="16718" w:author="AbbVie14" w:date="2025-05-09T11:00:00Z">
        <w:r w:rsidRPr="00295E71">
          <w:rPr>
            <w:sz w:val="22"/>
            <w:szCs w:val="22"/>
            <w:lang w:eastAsia="en-US"/>
          </w:rPr>
          <w:delText>Vaccinazioni: se possibile, i bambini dovrebbero aver già fatto tutte le vaccinazioni prima di usare Humira.</w:delText>
        </w:r>
      </w:del>
    </w:p>
    <w:p w:rsidR="006224C2" w:rsidRPr="00295E71" w:rsidP="00FE3C0F" w14:paraId="6A29D0E1" w14:textId="77777777">
      <w:pPr>
        <w:numPr>
          <w:ilvl w:val="0"/>
          <w:numId w:val="49"/>
        </w:numPr>
        <w:tabs>
          <w:tab w:val="num" w:pos="540"/>
          <w:tab w:val="clear" w:pos="720"/>
        </w:tabs>
        <w:ind w:left="540" w:hanging="540"/>
        <w:jc w:val="both"/>
        <w:rPr>
          <w:del w:id="16719" w:author="AbbVie14" w:date="2025-05-09T11:00:00Z"/>
          <w:sz w:val="22"/>
          <w:szCs w:val="22"/>
          <w:lang w:eastAsia="en-US"/>
        </w:rPr>
      </w:pPr>
      <w:del w:id="16720" w:author="AbbVie14" w:date="2025-05-09T11:00:00Z">
        <w:r w:rsidRPr="00295E71">
          <w:rPr>
            <w:sz w:val="22"/>
            <w:szCs w:val="22"/>
            <w:lang w:eastAsia="en-US"/>
          </w:rPr>
          <w:delText xml:space="preserve">Non dare Humira a bambini con </w:delText>
        </w:r>
      </w:del>
      <w:del w:id="16721" w:author="AbbVie14" w:date="2025-05-09T11:00:00Z">
        <w:r w:rsidRPr="00295E71">
          <w:rPr>
            <w:sz w:val="22"/>
            <w:szCs w:val="22"/>
          </w:rPr>
          <w:delText>artrite idiopaticagiovanile poliarticolare di età inferiore ai 2 anni.</w:delText>
        </w:r>
      </w:del>
    </w:p>
    <w:p w:rsidR="006224C2" w:rsidRPr="00295E71" w:rsidP="00FE3C0F" w14:paraId="613F37C1" w14:textId="77777777">
      <w:pPr>
        <w:jc w:val="both"/>
        <w:rPr>
          <w:del w:id="16722" w:author="AbbVie14" w:date="2025-05-09T11:00:00Z"/>
          <w:sz w:val="22"/>
          <w:szCs w:val="22"/>
          <w:lang w:eastAsia="en-US"/>
        </w:rPr>
      </w:pPr>
    </w:p>
    <w:p w:rsidR="006224C2" w:rsidRPr="00295E71" w:rsidP="00FE3C0F" w14:paraId="514AD628" w14:textId="77777777">
      <w:pPr>
        <w:pStyle w:val="Heading9"/>
        <w:jc w:val="both"/>
        <w:rPr>
          <w:del w:id="16723" w:author="AbbVie14" w:date="2025-05-09T11:00:00Z"/>
          <w:sz w:val="22"/>
          <w:szCs w:val="22"/>
          <w:lang w:val="it-IT" w:eastAsia="en-US"/>
        </w:rPr>
      </w:pPr>
      <w:del w:id="16724" w:author="AbbVie14" w:date="2025-05-09T11:00:00Z">
        <w:r w:rsidRPr="00295E71">
          <w:rPr>
            <w:sz w:val="22"/>
            <w:szCs w:val="22"/>
            <w:lang w:val="it-IT" w:eastAsia="en-US"/>
          </w:rPr>
          <w:delText>Altri medicinali e Humira</w:delText>
        </w:r>
      </w:del>
    </w:p>
    <w:p w:rsidR="006224C2" w:rsidRPr="00295E71" w:rsidP="00FE3C0F" w14:paraId="3F069DB7" w14:textId="77777777">
      <w:pPr>
        <w:keepNext/>
        <w:jc w:val="both"/>
        <w:rPr>
          <w:del w:id="16725" w:author="AbbVie14" w:date="2025-05-09T11:00:00Z"/>
          <w:sz w:val="22"/>
          <w:szCs w:val="22"/>
          <w:lang w:eastAsia="en-US"/>
        </w:rPr>
      </w:pPr>
    </w:p>
    <w:p w:rsidR="00D23C20" w:rsidRPr="00295E71" w:rsidP="00FE3C0F" w14:paraId="7BDD3F82" w14:textId="77777777">
      <w:pPr>
        <w:pStyle w:val="ListParagraph"/>
        <w:keepNext/>
        <w:numPr>
          <w:ilvl w:val="0"/>
          <w:numId w:val="49"/>
        </w:numPr>
        <w:jc w:val="both"/>
        <w:rPr>
          <w:del w:id="16726" w:author="AbbVie14" w:date="2025-05-09T11:00:00Z"/>
          <w:sz w:val="22"/>
          <w:szCs w:val="22"/>
        </w:rPr>
      </w:pPr>
      <w:del w:id="16727" w:author="AbbVie14" w:date="2025-05-09T11:00:00Z">
        <w:r w:rsidRPr="00295E71">
          <w:rPr>
            <w:sz w:val="22"/>
            <w:szCs w:val="22"/>
          </w:rPr>
          <w:delText>Informi il medico o il farmacista se sta assumendo, ha recentemente assunto o potrebbe assumere qualsiasi altro medicinale.</w:delText>
        </w:r>
      </w:del>
    </w:p>
    <w:p w:rsidR="00D23C20" w:rsidRPr="00295E71" w:rsidP="00FE3C0F" w14:paraId="71DA49BF" w14:textId="77777777">
      <w:pPr>
        <w:jc w:val="both"/>
        <w:rPr>
          <w:del w:id="16728" w:author="AbbVie14" w:date="2025-05-09T11:00:00Z"/>
          <w:sz w:val="22"/>
          <w:szCs w:val="22"/>
        </w:rPr>
      </w:pPr>
    </w:p>
    <w:p w:rsidR="006224C2" w:rsidRPr="00295E71" w:rsidP="00FE3C0F" w14:paraId="5E4C1766" w14:textId="77777777">
      <w:pPr>
        <w:jc w:val="both"/>
        <w:rPr>
          <w:del w:id="16729" w:author="AbbVie14" w:date="2025-05-09T11:00:00Z"/>
          <w:sz w:val="22"/>
          <w:szCs w:val="22"/>
        </w:rPr>
      </w:pPr>
      <w:del w:id="16730" w:author="AbbVie14" w:date="2025-05-09T11:00:00Z">
        <w:r w:rsidRPr="00295E71">
          <w:rPr>
            <w:sz w:val="22"/>
            <w:szCs w:val="22"/>
          </w:rPr>
          <w:delText>Humira può essere assunto sia con il metotressato che con altri farmaci antireumatici modificanti la malattia (sulfasalazina, idrossiclorochina, leflunomide e sali d’oro per via parenterale), steroidi o analgesici, compresi i farmaci anti-infiammatori non steroidei (FANS).</w:delText>
        </w:r>
      </w:del>
    </w:p>
    <w:p w:rsidR="006224C2" w:rsidRPr="00295E71" w:rsidP="00FE3C0F" w14:paraId="282A9D5E" w14:textId="77777777">
      <w:pPr>
        <w:jc w:val="both"/>
        <w:rPr>
          <w:del w:id="16731" w:author="AbbVie14" w:date="2025-05-09T11:00:00Z"/>
          <w:sz w:val="22"/>
          <w:szCs w:val="22"/>
        </w:rPr>
      </w:pPr>
    </w:p>
    <w:p w:rsidR="006224C2" w:rsidRPr="00295E71" w:rsidP="00FE3C0F" w14:paraId="05E3D58D" w14:textId="77777777">
      <w:pPr>
        <w:numPr>
          <w:ilvl w:val="12"/>
          <w:numId w:val="0"/>
        </w:numPr>
        <w:tabs>
          <w:tab w:val="left" w:pos="567"/>
        </w:tabs>
        <w:ind w:right="-2"/>
        <w:jc w:val="both"/>
        <w:rPr>
          <w:del w:id="16732" w:author="AbbVie14" w:date="2025-05-09T11:00:00Z"/>
          <w:sz w:val="22"/>
          <w:szCs w:val="22"/>
        </w:rPr>
      </w:pPr>
      <w:del w:id="16733" w:author="AbbVie14" w:date="2025-05-09T11:00:00Z">
        <w:r w:rsidRPr="00295E71">
          <w:rPr>
            <w:sz w:val="22"/>
            <w:szCs w:val="22"/>
          </w:rPr>
          <w:delText xml:space="preserve">Humira non deve essere preso in concomitanza con </w:delText>
        </w:r>
      </w:del>
      <w:del w:id="16734" w:author="AbbVie14" w:date="2025-05-09T11:00:00Z">
        <w:r w:rsidRPr="00295E71" w:rsidR="0011687B">
          <w:rPr>
            <w:sz w:val="22"/>
            <w:szCs w:val="22"/>
          </w:rPr>
          <w:delText xml:space="preserve">medicinali </w:delText>
        </w:r>
      </w:del>
      <w:del w:id="16735" w:author="AbbVie14" w:date="2025-05-09T11:00:00Z">
        <w:r w:rsidRPr="00295E71">
          <w:rPr>
            <w:sz w:val="22"/>
            <w:szCs w:val="22"/>
          </w:rPr>
          <w:delText xml:space="preserve">contenenti </w:delText>
        </w:r>
      </w:del>
      <w:del w:id="16736" w:author="AbbVie14" w:date="2025-05-09T11:00:00Z">
        <w:r w:rsidRPr="00295E71" w:rsidR="0011687B">
          <w:rPr>
            <w:sz w:val="22"/>
            <w:szCs w:val="22"/>
          </w:rPr>
          <w:delText xml:space="preserve">i </w:delText>
        </w:r>
      </w:del>
      <w:del w:id="16737" w:author="AbbVie14" w:date="2025-05-09T11:00:00Z">
        <w:r w:rsidRPr="00295E71">
          <w:rPr>
            <w:sz w:val="22"/>
            <w:szCs w:val="22"/>
          </w:rPr>
          <w:delText>principi attiv</w:delText>
        </w:r>
      </w:del>
      <w:del w:id="16738" w:author="AbbVie14" w:date="2025-05-09T11:00:00Z">
        <w:r w:rsidRPr="00295E71" w:rsidR="0011687B">
          <w:rPr>
            <w:sz w:val="22"/>
            <w:szCs w:val="22"/>
          </w:rPr>
          <w:delText>i</w:delText>
        </w:r>
      </w:del>
      <w:del w:id="16739" w:author="AbbVie14" w:date="2025-05-09T11:00:00Z">
        <w:r w:rsidRPr="00295E71">
          <w:rPr>
            <w:sz w:val="22"/>
            <w:szCs w:val="22"/>
          </w:rPr>
          <w:delText xml:space="preserve"> anakinra o abatacept</w:delText>
        </w:r>
      </w:del>
      <w:del w:id="16740" w:author="AbbVie14" w:date="2025-05-09T11:00:00Z">
        <w:r w:rsidRPr="00295E71" w:rsidR="0011687B">
          <w:rPr>
            <w:sz w:val="22"/>
            <w:szCs w:val="22"/>
          </w:rPr>
          <w:delText xml:space="preserve"> </w:delText>
        </w:r>
      </w:del>
      <w:del w:id="16741" w:author="AbbVie14" w:date="2025-05-09T11:00:00Z">
        <w:r w:rsidRPr="00295E71" w:rsidR="00D92C87">
          <w:rPr>
            <w:sz w:val="22"/>
            <w:szCs w:val="22"/>
          </w:rPr>
          <w:delText>a causa del rischio aumentato di avere infezioni gravi</w:delText>
        </w:r>
      </w:del>
      <w:del w:id="16742" w:author="AbbVie14" w:date="2025-05-09T11:00:00Z">
        <w:r w:rsidRPr="00295E71">
          <w:rPr>
            <w:sz w:val="22"/>
            <w:szCs w:val="22"/>
          </w:rPr>
          <w:delText>. Se ha dubbi, si rivolga al medico.</w:delText>
        </w:r>
      </w:del>
    </w:p>
    <w:p w:rsidR="006224C2" w:rsidRPr="00295E71" w:rsidP="00FE3C0F" w14:paraId="108430C2" w14:textId="77777777">
      <w:pPr>
        <w:numPr>
          <w:ilvl w:val="12"/>
          <w:numId w:val="0"/>
        </w:numPr>
        <w:tabs>
          <w:tab w:val="left" w:pos="567"/>
        </w:tabs>
        <w:ind w:right="-2"/>
        <w:jc w:val="both"/>
        <w:rPr>
          <w:del w:id="16743" w:author="AbbVie14" w:date="2025-05-09T11:00:00Z"/>
          <w:sz w:val="22"/>
          <w:szCs w:val="22"/>
        </w:rPr>
      </w:pPr>
    </w:p>
    <w:p w:rsidR="006224C2" w:rsidRPr="00295E71" w:rsidP="00FE3C0F" w14:paraId="3A4F2E3C" w14:textId="77777777">
      <w:pPr>
        <w:pStyle w:val="Heading9"/>
        <w:tabs>
          <w:tab w:val="left" w:pos="567"/>
        </w:tabs>
        <w:jc w:val="both"/>
        <w:rPr>
          <w:del w:id="16744" w:author="AbbVie14" w:date="2025-05-09T11:00:00Z"/>
          <w:sz w:val="22"/>
          <w:szCs w:val="22"/>
          <w:lang w:val="it-IT" w:eastAsia="en-US"/>
        </w:rPr>
      </w:pPr>
      <w:del w:id="16745" w:author="AbbVie14" w:date="2025-05-09T11:00:00Z">
        <w:r w:rsidRPr="00295E71">
          <w:rPr>
            <w:sz w:val="22"/>
            <w:szCs w:val="22"/>
            <w:lang w:val="it-IT" w:eastAsia="en-US"/>
          </w:rPr>
          <w:delText>Gravidanza e allattamento</w:delText>
        </w:r>
      </w:del>
    </w:p>
    <w:p w:rsidR="006224C2" w:rsidRPr="00295E71" w:rsidP="00FE3C0F" w14:paraId="0AAD90A3" w14:textId="77777777">
      <w:pPr>
        <w:keepNext/>
        <w:numPr>
          <w:ilvl w:val="12"/>
          <w:numId w:val="0"/>
        </w:numPr>
        <w:tabs>
          <w:tab w:val="left" w:pos="567"/>
        </w:tabs>
        <w:ind w:right="-2"/>
        <w:jc w:val="both"/>
        <w:rPr>
          <w:del w:id="16746" w:author="AbbVie14" w:date="2025-05-09T11:00:00Z"/>
          <w:sz w:val="22"/>
          <w:szCs w:val="22"/>
        </w:rPr>
      </w:pPr>
    </w:p>
    <w:p w:rsidR="006224C2" w:rsidP="00FE3C0F" w14:paraId="3F9272B7" w14:textId="77777777">
      <w:pPr>
        <w:pStyle w:val="ListParagraph"/>
        <w:keepNext/>
        <w:numPr>
          <w:ilvl w:val="0"/>
          <w:numId w:val="49"/>
        </w:numPr>
        <w:tabs>
          <w:tab w:val="left" w:pos="-142"/>
          <w:tab w:val="num" w:pos="0"/>
          <w:tab w:val="clear" w:pos="720"/>
        </w:tabs>
        <w:ind w:left="426" w:right="-2"/>
        <w:jc w:val="both"/>
        <w:rPr>
          <w:del w:id="16747" w:author="AbbVie14" w:date="2025-05-09T11:00:00Z"/>
          <w:sz w:val="22"/>
          <w:szCs w:val="22"/>
        </w:rPr>
      </w:pPr>
      <w:del w:id="16748" w:author="AbbVie14" w:date="2025-05-09T11:00:00Z">
        <w:r>
          <w:rPr>
            <w:sz w:val="22"/>
            <w:szCs w:val="22"/>
          </w:rPr>
          <w:delText>Deve considerare l’utilizzo di</w:delText>
        </w:r>
      </w:del>
      <w:del w:id="16749" w:author="AbbVie14" w:date="2025-05-09T11:00:00Z">
        <w:r w:rsidRPr="002F0529" w:rsidR="00226BC4">
          <w:rPr>
            <w:sz w:val="22"/>
            <w:szCs w:val="22"/>
          </w:rPr>
          <w:delText xml:space="preserve"> un’adeguata misura contraccettiva </w:delText>
        </w:r>
      </w:del>
      <w:del w:id="16750" w:author="AbbVie14" w:date="2025-05-09T11:00:00Z">
        <w:r>
          <w:rPr>
            <w:sz w:val="22"/>
            <w:szCs w:val="22"/>
          </w:rPr>
          <w:delText xml:space="preserve">per prevenire una gravidanza </w:delText>
        </w:r>
      </w:del>
      <w:del w:id="16751" w:author="AbbVie14" w:date="2025-05-09T11:00:00Z">
        <w:r w:rsidRPr="002F0529" w:rsidR="00226BC4">
          <w:rPr>
            <w:sz w:val="22"/>
            <w:szCs w:val="22"/>
          </w:rPr>
          <w:delText xml:space="preserve">e </w:delText>
        </w:r>
      </w:del>
      <w:del w:id="16752" w:author="AbbVie14" w:date="2025-05-09T11:00:00Z">
        <w:r w:rsidR="009815B3">
          <w:rPr>
            <w:sz w:val="22"/>
            <w:szCs w:val="22"/>
          </w:rPr>
          <w:delText>continuarne l’utilizzo</w:delText>
        </w:r>
      </w:del>
      <w:del w:id="16753" w:author="AbbVie14" w:date="2025-05-09T11:00:00Z">
        <w:r>
          <w:rPr>
            <w:sz w:val="22"/>
            <w:szCs w:val="22"/>
          </w:rPr>
          <w:delText xml:space="preserve"> </w:delText>
        </w:r>
      </w:del>
      <w:del w:id="16754" w:author="AbbVie14" w:date="2025-05-09T11:00:00Z">
        <w:r w:rsidRPr="002F0529" w:rsidR="00226BC4">
          <w:rPr>
            <w:sz w:val="22"/>
            <w:szCs w:val="22"/>
          </w:rPr>
          <w:delText xml:space="preserve">per almeno 5 mesi dopo l’ultima terapia con </w:delText>
        </w:r>
      </w:del>
      <w:del w:id="16755" w:author="AbbVie14" w:date="2025-05-09T11:00:00Z">
        <w:r>
          <w:rPr>
            <w:sz w:val="22"/>
            <w:szCs w:val="22"/>
          </w:rPr>
          <w:delText>Humira</w:delText>
        </w:r>
      </w:del>
      <w:del w:id="16756" w:author="AbbVie14" w:date="2025-05-09T11:00:00Z">
        <w:r w:rsidRPr="002F0529" w:rsidR="00226BC4">
          <w:rPr>
            <w:sz w:val="22"/>
            <w:szCs w:val="22"/>
          </w:rPr>
          <w:delText xml:space="preserve">. </w:delText>
        </w:r>
      </w:del>
    </w:p>
    <w:p w:rsidR="002F0529" w:rsidRPr="002F0529" w:rsidP="00FE3C0F" w14:paraId="7047A47A" w14:textId="77777777">
      <w:pPr>
        <w:pStyle w:val="ListParagraph"/>
        <w:keepNext/>
        <w:numPr>
          <w:ilvl w:val="0"/>
          <w:numId w:val="49"/>
        </w:numPr>
        <w:tabs>
          <w:tab w:val="left" w:pos="-142"/>
          <w:tab w:val="clear" w:pos="720"/>
        </w:tabs>
        <w:ind w:left="426" w:right="-2"/>
        <w:jc w:val="both"/>
        <w:rPr>
          <w:del w:id="16757" w:author="AbbVie14" w:date="2025-05-09T11:00:00Z"/>
          <w:sz w:val="22"/>
          <w:szCs w:val="22"/>
        </w:rPr>
      </w:pPr>
      <w:del w:id="16758" w:author="AbbVie14" w:date="2025-05-09T11:00:00Z">
        <w:r w:rsidRPr="002F0529">
          <w:rPr>
            <w:sz w:val="22"/>
            <w:szCs w:val="22"/>
          </w:rPr>
          <w:delText xml:space="preserve">Se è in corso una gravidanza, se sospetta o sta pianificando una gravidanza chieda consiglio al suo medico </w:delText>
        </w:r>
      </w:del>
      <w:del w:id="16759" w:author="AbbVie14" w:date="2025-05-09T11:00:00Z">
        <w:r w:rsidR="00396954">
          <w:rPr>
            <w:sz w:val="22"/>
            <w:szCs w:val="22"/>
          </w:rPr>
          <w:delText>circa l’assunzione di questo medicinale.</w:delText>
        </w:r>
      </w:del>
    </w:p>
    <w:p w:rsidR="002F0529" w:rsidRPr="002F0529" w:rsidP="00FE3C0F" w14:paraId="077DDFE6" w14:textId="77777777">
      <w:pPr>
        <w:pStyle w:val="ListParagraph"/>
        <w:keepNext/>
        <w:numPr>
          <w:ilvl w:val="0"/>
          <w:numId w:val="49"/>
        </w:numPr>
        <w:tabs>
          <w:tab w:val="left" w:pos="-142"/>
          <w:tab w:val="clear" w:pos="720"/>
        </w:tabs>
        <w:ind w:left="426" w:right="-2"/>
        <w:jc w:val="both"/>
        <w:rPr>
          <w:del w:id="16760" w:author="AbbVie14" w:date="2025-05-09T11:00:00Z"/>
          <w:sz w:val="22"/>
          <w:szCs w:val="22"/>
        </w:rPr>
      </w:pPr>
      <w:del w:id="16761" w:author="AbbVie14" w:date="2025-05-09T11:00:00Z">
        <w:r w:rsidRPr="002F0529">
          <w:rPr>
            <w:sz w:val="22"/>
            <w:szCs w:val="22"/>
          </w:rPr>
          <w:delText>Humira deve essere usato durante la gravidanza solo se necessario.</w:delText>
        </w:r>
      </w:del>
    </w:p>
    <w:p w:rsidR="002F0529" w:rsidRPr="002F0529" w:rsidP="00FE3C0F" w14:paraId="03032C89" w14:textId="77777777">
      <w:pPr>
        <w:pStyle w:val="ListParagraph"/>
        <w:keepNext/>
        <w:numPr>
          <w:ilvl w:val="0"/>
          <w:numId w:val="49"/>
        </w:numPr>
        <w:tabs>
          <w:tab w:val="left" w:pos="-142"/>
          <w:tab w:val="clear" w:pos="720"/>
        </w:tabs>
        <w:ind w:left="426" w:right="-2"/>
        <w:jc w:val="both"/>
        <w:rPr>
          <w:del w:id="16762" w:author="AbbVie14" w:date="2025-05-09T11:00:00Z"/>
          <w:sz w:val="22"/>
          <w:szCs w:val="22"/>
        </w:rPr>
      </w:pPr>
      <w:del w:id="16763" w:author="AbbVie14" w:date="2025-05-09T11:00:00Z">
        <w:r w:rsidRPr="002F0529">
          <w:rPr>
            <w:sz w:val="22"/>
            <w:szCs w:val="22"/>
          </w:rPr>
          <w:delText xml:space="preserve">Secondo uno studio sulla gravidanza, , non è stato riscontrato un rischio maggiore di difetti alla nascita </w:delText>
        </w:r>
      </w:del>
      <w:del w:id="16764" w:author="AbbVie14" w:date="2025-05-09T11:00:00Z">
        <w:r w:rsidR="00396954">
          <w:rPr>
            <w:sz w:val="22"/>
            <w:szCs w:val="22"/>
          </w:rPr>
          <w:delText xml:space="preserve">quando la madre aveva ricevuto Humira durante la gravidanza, </w:delText>
        </w:r>
      </w:del>
      <w:del w:id="16765" w:author="AbbVie14" w:date="2025-05-09T11:00:00Z">
        <w:r w:rsidRPr="002F0529">
          <w:rPr>
            <w:sz w:val="22"/>
            <w:szCs w:val="22"/>
          </w:rPr>
          <w:delText>rispetto a madri che avevano la stessa patologia ma che non avevano ricevuto Humira.</w:delText>
        </w:r>
      </w:del>
    </w:p>
    <w:p w:rsidR="002F0529" w:rsidRPr="002F0529" w:rsidP="00FE3C0F" w14:paraId="2BD03D2B" w14:textId="77777777">
      <w:pPr>
        <w:pStyle w:val="ListParagraph"/>
        <w:keepNext/>
        <w:numPr>
          <w:ilvl w:val="0"/>
          <w:numId w:val="49"/>
        </w:numPr>
        <w:tabs>
          <w:tab w:val="left" w:pos="-142"/>
          <w:tab w:val="clear" w:pos="720"/>
        </w:tabs>
        <w:ind w:left="426" w:right="-2"/>
        <w:jc w:val="both"/>
        <w:rPr>
          <w:del w:id="16766" w:author="AbbVie14" w:date="2025-05-09T11:00:00Z"/>
          <w:sz w:val="22"/>
          <w:szCs w:val="22"/>
        </w:rPr>
      </w:pPr>
      <w:del w:id="16767" w:author="AbbVie14" w:date="2025-05-09T11:00:00Z">
        <w:r w:rsidRPr="002F0529">
          <w:rPr>
            <w:sz w:val="22"/>
            <w:szCs w:val="22"/>
          </w:rPr>
          <w:delText>Humira può essere usato durante l’allattamento con latte materno</w:delText>
        </w:r>
      </w:del>
      <w:del w:id="16768" w:author="AbbVie14" w:date="2025-05-09T11:00:00Z">
        <w:r>
          <w:rPr>
            <w:sz w:val="22"/>
            <w:szCs w:val="22"/>
          </w:rPr>
          <w:delText>.</w:delText>
        </w:r>
      </w:del>
    </w:p>
    <w:p w:rsidR="002F0529" w:rsidP="00FE3C0F" w14:paraId="6EC75357" w14:textId="77777777">
      <w:pPr>
        <w:pStyle w:val="ListParagraph"/>
        <w:keepNext/>
        <w:numPr>
          <w:ilvl w:val="0"/>
          <w:numId w:val="49"/>
        </w:numPr>
        <w:tabs>
          <w:tab w:val="left" w:pos="-142"/>
          <w:tab w:val="clear" w:pos="720"/>
        </w:tabs>
        <w:ind w:left="426" w:right="-2"/>
        <w:jc w:val="both"/>
        <w:rPr>
          <w:del w:id="16769" w:author="AbbVie14" w:date="2025-05-09T11:00:00Z"/>
          <w:sz w:val="22"/>
          <w:szCs w:val="22"/>
        </w:rPr>
      </w:pPr>
      <w:del w:id="16770" w:author="AbbVie14" w:date="2025-05-09T11:00:00Z">
        <w:r w:rsidRPr="00295E71">
          <w:rPr>
            <w:sz w:val="22"/>
            <w:szCs w:val="22"/>
          </w:rPr>
          <w:delText>Se assu</w:delText>
        </w:r>
      </w:del>
      <w:del w:id="16771" w:author="AbbVie14" w:date="2025-05-09T11:00:00Z">
        <w:r w:rsidR="003D1249">
          <w:rPr>
            <w:sz w:val="22"/>
            <w:szCs w:val="22"/>
          </w:rPr>
          <w:delText>me</w:delText>
        </w:r>
      </w:del>
      <w:del w:id="16772" w:author="AbbVie14" w:date="2025-05-09T11:00:00Z">
        <w:r w:rsidRPr="00295E71">
          <w:rPr>
            <w:sz w:val="22"/>
            <w:szCs w:val="22"/>
          </w:rPr>
          <w:delText xml:space="preserve"> Humira durante la gravidanza, il bambino potrebbe avere un maggior rischio di contrarre un’infezione. </w:delText>
        </w:r>
      </w:del>
    </w:p>
    <w:p w:rsidR="006224C2" w:rsidRPr="00295E71" w:rsidP="00FE3C0F" w14:paraId="6FD534B4" w14:textId="77777777">
      <w:pPr>
        <w:pStyle w:val="ListParagraph"/>
        <w:keepNext/>
        <w:numPr>
          <w:ilvl w:val="0"/>
          <w:numId w:val="49"/>
        </w:numPr>
        <w:tabs>
          <w:tab w:val="left" w:pos="-142"/>
          <w:tab w:val="clear" w:pos="720"/>
        </w:tabs>
        <w:ind w:left="426" w:right="-2"/>
        <w:jc w:val="both"/>
        <w:rPr>
          <w:del w:id="16773" w:author="AbbVie14" w:date="2025-05-09T11:00:00Z"/>
          <w:sz w:val="22"/>
          <w:szCs w:val="22"/>
        </w:rPr>
      </w:pPr>
      <w:del w:id="16774" w:author="AbbVie14" w:date="2025-05-09T11:00:00Z">
        <w:r w:rsidRPr="00295E71">
          <w:rPr>
            <w:sz w:val="22"/>
            <w:szCs w:val="22"/>
          </w:rPr>
          <w:delText xml:space="preserve">É importante che lei riferisca al pediatra o ad altro operatore sanitario del suo utilizzo di Humira durante la gravidanza, prima che il bambino riceva qualsiasi tipo di vaccinazione (per maggiori informazioni </w:delText>
        </w:r>
      </w:del>
      <w:del w:id="16775" w:author="AbbVie14" w:date="2025-05-09T11:00:00Z">
        <w:r w:rsidR="00B6380B">
          <w:rPr>
            <w:sz w:val="22"/>
            <w:szCs w:val="22"/>
          </w:rPr>
          <w:delText>sulle vaccinazioni</w:delText>
        </w:r>
      </w:del>
      <w:del w:id="16776" w:author="AbbVie14" w:date="2025-05-09T11:00:00Z">
        <w:r w:rsidR="002F0529">
          <w:rPr>
            <w:sz w:val="22"/>
            <w:szCs w:val="22"/>
          </w:rPr>
          <w:delText xml:space="preserve"> </w:delText>
        </w:r>
      </w:del>
      <w:del w:id="16777" w:author="AbbVie14" w:date="2025-05-09T11:00:00Z">
        <w:r w:rsidRPr="00295E71">
          <w:rPr>
            <w:sz w:val="22"/>
            <w:szCs w:val="22"/>
          </w:rPr>
          <w:delText xml:space="preserve">consulti la sezione </w:delText>
        </w:r>
      </w:del>
      <w:del w:id="16778" w:author="AbbVie14" w:date="2025-05-09T11:00:00Z">
        <w:r w:rsidRPr="00383EC6" w:rsidR="002F0529">
          <w:rPr>
            <w:sz w:val="22"/>
            <w:szCs w:val="22"/>
          </w:rPr>
          <w:delText>“Avvertenze e precauzioni</w:delText>
        </w:r>
      </w:del>
      <w:del w:id="16779" w:author="AbbVie14" w:date="2025-05-09T11:00:00Z">
        <w:r w:rsidR="002F0529">
          <w:rPr>
            <w:sz w:val="22"/>
            <w:szCs w:val="22"/>
          </w:rPr>
          <w:delText>”</w:delText>
        </w:r>
      </w:del>
      <w:del w:id="16780" w:author="AbbVie14" w:date="2025-05-09T11:00:00Z">
        <w:r w:rsidRPr="00295E71">
          <w:rPr>
            <w:sz w:val="22"/>
            <w:szCs w:val="22"/>
          </w:rPr>
          <w:delText>).</w:delText>
        </w:r>
      </w:del>
    </w:p>
    <w:p w:rsidR="006224C2" w:rsidRPr="00295E71" w:rsidP="00FE3C0F" w14:paraId="6153C038" w14:textId="77777777">
      <w:pPr>
        <w:pStyle w:val="Heading8"/>
        <w:keepNext w:val="0"/>
        <w:tabs>
          <w:tab w:val="left" w:pos="567"/>
        </w:tabs>
        <w:jc w:val="both"/>
        <w:rPr>
          <w:del w:id="16781" w:author="AbbVie14" w:date="2025-05-09T11:00:00Z"/>
        </w:rPr>
      </w:pPr>
    </w:p>
    <w:p w:rsidR="006224C2" w:rsidRPr="00295E71" w:rsidP="00FE3C0F" w14:paraId="650214A9" w14:textId="77777777">
      <w:pPr>
        <w:pStyle w:val="Heading8"/>
        <w:tabs>
          <w:tab w:val="left" w:pos="567"/>
        </w:tabs>
        <w:jc w:val="both"/>
        <w:rPr>
          <w:del w:id="16782" w:author="AbbVie14" w:date="2025-05-09T11:00:00Z"/>
        </w:rPr>
      </w:pPr>
      <w:del w:id="16783" w:author="AbbVie14" w:date="2025-05-09T11:00:00Z">
        <w:r w:rsidRPr="00295E71">
          <w:delText>Guida di veicoli e utilizzo di macchinari</w:delText>
        </w:r>
      </w:del>
    </w:p>
    <w:p w:rsidR="006224C2" w:rsidRPr="00295E71" w:rsidP="00FE3C0F" w14:paraId="1BDF7BF3" w14:textId="77777777">
      <w:pPr>
        <w:keepNext/>
        <w:numPr>
          <w:ilvl w:val="12"/>
          <w:numId w:val="0"/>
        </w:numPr>
        <w:tabs>
          <w:tab w:val="left" w:pos="567"/>
        </w:tabs>
        <w:ind w:right="-2"/>
        <w:jc w:val="both"/>
        <w:rPr>
          <w:del w:id="16784" w:author="AbbVie14" w:date="2025-05-09T11:00:00Z"/>
          <w:sz w:val="22"/>
          <w:szCs w:val="22"/>
        </w:rPr>
      </w:pPr>
    </w:p>
    <w:p w:rsidR="0025043B" w:rsidRPr="00295E71" w:rsidP="00FE3C0F" w14:paraId="67A2E9F9" w14:textId="77777777">
      <w:pPr>
        <w:pStyle w:val="BodyText2"/>
        <w:keepNext/>
        <w:jc w:val="both"/>
        <w:rPr>
          <w:del w:id="16785" w:author="AbbVie14" w:date="2025-05-09T11:00:00Z"/>
          <w:b/>
        </w:rPr>
      </w:pPr>
      <w:del w:id="16786" w:author="AbbVie14" w:date="2025-05-09T11:00:00Z">
        <w:r w:rsidRPr="00295E71">
          <w:delText>Humira può influenzare, benché solo in maniera modesta, la sua capacità di guidare, andare in bicicletta</w:delText>
        </w:r>
      </w:del>
      <w:del w:id="16787" w:author="AbbVie14" w:date="2025-05-09T11:00:00Z">
        <w:r w:rsidRPr="00295E71" w:rsidR="00F81FC0">
          <w:delText xml:space="preserve"> </w:delText>
        </w:r>
      </w:del>
      <w:del w:id="16788" w:author="AbbVie14" w:date="2025-05-09T11:00:00Z">
        <w:r w:rsidRPr="00295E71">
          <w:delText>o utilizzare macchinari. In seguito all’assunzione di Humira, si possono avere disturbi della vista e la sensazione che l’ambiente in cui ci si trova ruoti.</w:delText>
        </w:r>
      </w:del>
      <w:del w:id="16789" w:author="AbbVie14" w:date="2025-05-09T11:00:00Z">
        <w:r w:rsidRPr="00295E71">
          <w:rPr>
            <w:b/>
          </w:rPr>
          <w:delText>Humira contiene sodio</w:delText>
        </w:r>
      </w:del>
    </w:p>
    <w:p w:rsidR="0025043B" w:rsidRPr="00295E71" w:rsidP="00FE3C0F" w14:paraId="6FF6E758" w14:textId="77777777">
      <w:pPr>
        <w:pStyle w:val="EMEANormal"/>
        <w:jc w:val="both"/>
        <w:rPr>
          <w:del w:id="16790" w:author="AbbVie14" w:date="2025-05-09T11:00:00Z"/>
          <w:b/>
          <w:lang w:val="it-IT"/>
        </w:rPr>
      </w:pPr>
    </w:p>
    <w:p w:rsidR="0025043B" w:rsidRPr="00295E71" w:rsidP="00FE3C0F" w14:paraId="6E161EC4" w14:textId="77777777">
      <w:pPr>
        <w:rPr>
          <w:del w:id="16791" w:author="AbbVie14" w:date="2025-05-09T11:00:00Z"/>
          <w:sz w:val="22"/>
          <w:szCs w:val="22"/>
        </w:rPr>
      </w:pPr>
      <w:del w:id="16792" w:author="AbbVie14" w:date="2025-05-09T11:00:00Z">
        <w:r w:rsidRPr="00295E71">
          <w:rPr>
            <w:sz w:val="22"/>
            <w:szCs w:val="22"/>
          </w:rPr>
          <w:delText>Questo medicinale contiene meno di 1 mmol di sodio (23 mg) per 0,8 ml di dose, cioé essenzialmente ‘senza sodio’.</w:delText>
        </w:r>
      </w:del>
    </w:p>
    <w:p w:rsidR="0025043B" w:rsidRPr="00295E71" w:rsidP="00FE3C0F" w14:paraId="61A73286" w14:textId="77777777">
      <w:pPr>
        <w:keepNext/>
        <w:numPr>
          <w:ilvl w:val="12"/>
          <w:numId w:val="0"/>
        </w:numPr>
        <w:tabs>
          <w:tab w:val="left" w:pos="567"/>
        </w:tabs>
        <w:ind w:right="-2"/>
        <w:jc w:val="both"/>
        <w:rPr>
          <w:del w:id="16793" w:author="AbbVie14" w:date="2025-05-09T11:00:00Z"/>
          <w:sz w:val="22"/>
          <w:szCs w:val="22"/>
        </w:rPr>
      </w:pPr>
    </w:p>
    <w:p w:rsidR="006224C2" w:rsidRPr="00295E71" w:rsidP="00FE3C0F" w14:paraId="664A191E" w14:textId="77777777">
      <w:pPr>
        <w:rPr>
          <w:del w:id="16794" w:author="AbbVie14" w:date="2025-05-09T11:00:00Z"/>
          <w:sz w:val="22"/>
          <w:szCs w:val="22"/>
        </w:rPr>
      </w:pPr>
    </w:p>
    <w:p w:rsidR="006224C2" w:rsidRPr="00295E71" w:rsidP="00FE3C0F" w14:paraId="43B276F4" w14:textId="77777777">
      <w:pPr>
        <w:keepNext/>
        <w:rPr>
          <w:del w:id="16795" w:author="AbbVie14" w:date="2025-05-09T11:00:00Z"/>
          <w:b/>
          <w:bCs/>
          <w:sz w:val="22"/>
          <w:szCs w:val="22"/>
        </w:rPr>
      </w:pPr>
      <w:del w:id="16796" w:author="AbbVie14" w:date="2025-05-09T11:00:00Z">
        <w:r w:rsidRPr="00295E71">
          <w:rPr>
            <w:b/>
            <w:bCs/>
            <w:sz w:val="22"/>
            <w:szCs w:val="22"/>
          </w:rPr>
          <w:delText>3.</w:delText>
        </w:r>
      </w:del>
      <w:del w:id="16797" w:author="AbbVie14" w:date="2025-05-09T11:00:00Z">
        <w:r w:rsidRPr="00295E71">
          <w:rPr>
            <w:b/>
            <w:bCs/>
            <w:sz w:val="22"/>
            <w:szCs w:val="22"/>
          </w:rPr>
          <w:tab/>
          <w:delText>Come usare Humira</w:delText>
        </w:r>
      </w:del>
    </w:p>
    <w:p w:rsidR="006224C2" w:rsidRPr="00295E71" w:rsidP="00FE3C0F" w14:paraId="308A4D6D" w14:textId="77777777">
      <w:pPr>
        <w:keepNext/>
        <w:numPr>
          <w:ilvl w:val="12"/>
          <w:numId w:val="0"/>
        </w:numPr>
        <w:tabs>
          <w:tab w:val="left" w:pos="567"/>
        </w:tabs>
        <w:ind w:right="-2"/>
        <w:jc w:val="both"/>
        <w:rPr>
          <w:del w:id="16798" w:author="AbbVie14" w:date="2025-05-09T11:00:00Z"/>
          <w:sz w:val="22"/>
          <w:szCs w:val="22"/>
        </w:rPr>
      </w:pPr>
    </w:p>
    <w:p w:rsidR="006224C2" w:rsidRPr="00295E71" w:rsidP="00FE3C0F" w14:paraId="44C91FD2" w14:textId="77777777">
      <w:pPr>
        <w:keepNext/>
        <w:numPr>
          <w:ilvl w:val="12"/>
          <w:numId w:val="0"/>
        </w:numPr>
        <w:tabs>
          <w:tab w:val="left" w:pos="567"/>
        </w:tabs>
        <w:ind w:right="-2"/>
        <w:rPr>
          <w:del w:id="16799" w:author="AbbVie14" w:date="2025-05-09T11:00:00Z"/>
          <w:sz w:val="22"/>
          <w:szCs w:val="22"/>
        </w:rPr>
      </w:pPr>
      <w:del w:id="16800" w:author="AbbVie14" w:date="2025-05-09T11:00:00Z">
        <w:r w:rsidRPr="00295E71">
          <w:rPr>
            <w:sz w:val="22"/>
            <w:szCs w:val="22"/>
          </w:rPr>
          <w:delText>Usi questo medicinale</w:delText>
        </w:r>
      </w:del>
      <w:del w:id="16801" w:author="AbbVie14" w:date="2025-05-09T11:00:00Z">
        <w:r w:rsidRPr="00295E71" w:rsidR="00733F11">
          <w:rPr>
            <w:sz w:val="22"/>
            <w:szCs w:val="22"/>
          </w:rPr>
          <w:delText xml:space="preserve"> </w:delText>
        </w:r>
      </w:del>
      <w:del w:id="16802" w:author="AbbVie14" w:date="2025-05-09T11:00:00Z">
        <w:r w:rsidRPr="00295E71">
          <w:rPr>
            <w:sz w:val="22"/>
            <w:szCs w:val="22"/>
          </w:rPr>
          <w:delText>seguendo sempre</w:delText>
        </w:r>
      </w:del>
      <w:del w:id="16803" w:author="AbbVie14" w:date="2025-05-09T11:00:00Z">
        <w:r w:rsidRPr="00295E71" w:rsidR="00733F11">
          <w:rPr>
            <w:sz w:val="22"/>
            <w:szCs w:val="22"/>
          </w:rPr>
          <w:delText xml:space="preserve"> </w:delText>
        </w:r>
      </w:del>
      <w:del w:id="16804" w:author="AbbVie14" w:date="2025-05-09T11:00:00Z">
        <w:r w:rsidRPr="00295E71">
          <w:rPr>
            <w:sz w:val="22"/>
            <w:szCs w:val="22"/>
          </w:rPr>
          <w:delText>esattamente le istruzioni del medico o del farmacista. Se ha dubbi consulti il medico o il farmacista</w:delText>
        </w:r>
      </w:del>
      <w:del w:id="16805" w:author="AbbVie14" w:date="2025-05-09T11:00:00Z">
        <w:r w:rsidRPr="00295E71" w:rsidR="00F81FC0">
          <w:rPr>
            <w:sz w:val="22"/>
            <w:szCs w:val="22"/>
          </w:rPr>
          <w:delText>. Il medico potrebbe prescrivere un’altra concentrazione di Humira se necessita di una dose differente.</w:delText>
        </w:r>
      </w:del>
    </w:p>
    <w:p w:rsidR="00F81FC0" w:rsidRPr="00295E71" w:rsidP="00FE3C0F" w14:paraId="72D6913B" w14:textId="77777777">
      <w:pPr>
        <w:keepNext/>
        <w:numPr>
          <w:ilvl w:val="12"/>
          <w:numId w:val="0"/>
        </w:numPr>
        <w:tabs>
          <w:tab w:val="left" w:pos="567"/>
        </w:tabs>
        <w:ind w:right="-2"/>
        <w:jc w:val="both"/>
        <w:rPr>
          <w:del w:id="16806" w:author="AbbVie14" w:date="2025-05-09T11:00:00Z"/>
          <w:sz w:val="22"/>
          <w:szCs w:val="22"/>
        </w:rPr>
      </w:pPr>
    </w:p>
    <w:p w:rsidR="006224C2" w:rsidRPr="00295E71" w:rsidP="00FE3C0F" w14:paraId="2C8E6B63" w14:textId="77777777">
      <w:pPr>
        <w:numPr>
          <w:ilvl w:val="12"/>
          <w:numId w:val="0"/>
        </w:numPr>
        <w:tabs>
          <w:tab w:val="left" w:pos="567"/>
        </w:tabs>
        <w:ind w:right="-2"/>
        <w:jc w:val="both"/>
        <w:rPr>
          <w:del w:id="16807" w:author="AbbVie14" w:date="2025-05-09T11:00:00Z"/>
          <w:sz w:val="22"/>
          <w:szCs w:val="22"/>
          <w:u w:val="single"/>
        </w:rPr>
      </w:pPr>
      <w:del w:id="16808" w:author="AbbVie14" w:date="2025-05-09T11:00:00Z">
        <w:r w:rsidRPr="00295E71">
          <w:rPr>
            <w:sz w:val="22"/>
            <w:szCs w:val="22"/>
            <w:u w:val="single"/>
          </w:rPr>
          <w:delText>Adulti con artrite reumatoide, artrite psoriasica, spondilite anchilosante o spondiloartrite assiale senza evidenza radiografica di spondilite anchilosante</w:delText>
        </w:r>
      </w:del>
    </w:p>
    <w:p w:rsidR="006224C2" w:rsidRPr="00295E71" w:rsidP="00FE3C0F" w14:paraId="6EBA7E9E" w14:textId="77777777">
      <w:pPr>
        <w:numPr>
          <w:ilvl w:val="12"/>
          <w:numId w:val="0"/>
        </w:numPr>
        <w:tabs>
          <w:tab w:val="left" w:pos="567"/>
        </w:tabs>
        <w:ind w:right="-2"/>
        <w:jc w:val="both"/>
        <w:rPr>
          <w:del w:id="16809" w:author="AbbVie14" w:date="2025-05-09T11:00:00Z"/>
          <w:sz w:val="22"/>
          <w:szCs w:val="22"/>
        </w:rPr>
      </w:pPr>
    </w:p>
    <w:p w:rsidR="006224C2" w:rsidRPr="00295E71" w:rsidP="00FE3C0F" w14:paraId="03986272" w14:textId="77777777">
      <w:pPr>
        <w:numPr>
          <w:ilvl w:val="12"/>
          <w:numId w:val="0"/>
        </w:numPr>
        <w:tabs>
          <w:tab w:val="left" w:pos="567"/>
        </w:tabs>
        <w:ind w:right="-2"/>
        <w:jc w:val="both"/>
        <w:rPr>
          <w:del w:id="16810" w:author="AbbVie14" w:date="2025-05-09T11:00:00Z"/>
          <w:sz w:val="22"/>
          <w:szCs w:val="22"/>
        </w:rPr>
      </w:pPr>
      <w:del w:id="16811" w:author="AbbVie14" w:date="2025-05-09T11:00:00Z">
        <w:r w:rsidRPr="00295E71">
          <w:rPr>
            <w:sz w:val="22"/>
            <w:szCs w:val="22"/>
          </w:rPr>
          <w:delText xml:space="preserve">Humira va iniettato sotto la pelle (uso sottocutaneo). </w:delText>
        </w:r>
      </w:del>
      <w:del w:id="16812" w:author="AbbVie14" w:date="2025-05-09T11:00:00Z">
        <w:r w:rsidRPr="00295E71" w:rsidR="001C2056">
          <w:rPr>
            <w:sz w:val="22"/>
            <w:szCs w:val="22"/>
          </w:rPr>
          <w:delText>La dose abituale</w:delText>
        </w:r>
      </w:del>
      <w:del w:id="16813" w:author="AbbVie14" w:date="2025-05-09T11:00:00Z">
        <w:r w:rsidRPr="00295E71">
          <w:rPr>
            <w:sz w:val="22"/>
            <w:szCs w:val="22"/>
          </w:rPr>
          <w:delText xml:space="preserve"> </w:delText>
        </w:r>
      </w:del>
      <w:del w:id="16814" w:author="AbbVie14" w:date="2025-05-09T11:00:00Z">
        <w:r w:rsidRPr="00295E71" w:rsidR="001C2056">
          <w:rPr>
            <w:sz w:val="22"/>
            <w:szCs w:val="22"/>
          </w:rPr>
          <w:delText>per</w:delText>
        </w:r>
      </w:del>
      <w:del w:id="16815" w:author="AbbVie14" w:date="2025-05-09T11:00:00Z">
        <w:r w:rsidRPr="00295E71">
          <w:rPr>
            <w:sz w:val="22"/>
            <w:szCs w:val="22"/>
          </w:rPr>
          <w:delText xml:space="preserve"> </w:delText>
        </w:r>
      </w:del>
      <w:del w:id="16816" w:author="AbbVie14" w:date="2025-05-09T11:00:00Z">
        <w:r w:rsidRPr="00295E71" w:rsidR="00067450">
          <w:rPr>
            <w:sz w:val="22"/>
            <w:szCs w:val="22"/>
          </w:rPr>
          <w:delText xml:space="preserve">gli </w:delText>
        </w:r>
      </w:del>
      <w:del w:id="16817" w:author="AbbVie14" w:date="2025-05-09T11:00:00Z">
        <w:r w:rsidRPr="00295E71">
          <w:rPr>
            <w:sz w:val="22"/>
            <w:szCs w:val="22"/>
          </w:rPr>
          <w:delText>adulti con artrite reumatoide, spondilite anchilosante, spondiloartrite assiale senza evidenza radiografica di spondilite anchilosante</w:delText>
        </w:r>
      </w:del>
      <w:del w:id="16818" w:author="AbbVie14" w:date="2025-05-09T11:00:00Z">
        <w:r w:rsidRPr="00295E71" w:rsidR="00733F11">
          <w:rPr>
            <w:sz w:val="22"/>
            <w:szCs w:val="22"/>
          </w:rPr>
          <w:delText xml:space="preserve"> </w:delText>
        </w:r>
      </w:del>
      <w:del w:id="16819" w:author="AbbVie14" w:date="2025-05-09T11:00:00Z">
        <w:r w:rsidRPr="00295E71">
          <w:rPr>
            <w:sz w:val="22"/>
            <w:szCs w:val="22"/>
          </w:rPr>
          <w:delText>e</w:delText>
        </w:r>
      </w:del>
      <w:del w:id="16820" w:author="AbbVie14" w:date="2025-05-09T11:00:00Z">
        <w:r w:rsidRPr="00295E71" w:rsidR="0069061C">
          <w:rPr>
            <w:sz w:val="22"/>
            <w:szCs w:val="22"/>
          </w:rPr>
          <w:delText xml:space="preserve"> per pazienti con</w:delText>
        </w:r>
      </w:del>
      <w:del w:id="16821" w:author="AbbVie14" w:date="2025-05-09T11:00:00Z">
        <w:r w:rsidRPr="00295E71">
          <w:rPr>
            <w:sz w:val="22"/>
            <w:szCs w:val="22"/>
          </w:rPr>
          <w:delText xml:space="preserve"> artrite psoriasica è di 40 mg di adalimumab a settimane alterne, somministrato in un’unica dose.</w:delText>
        </w:r>
      </w:del>
    </w:p>
    <w:p w:rsidR="006224C2" w:rsidRPr="00295E71" w:rsidP="00FE3C0F" w14:paraId="08056A63" w14:textId="77777777">
      <w:pPr>
        <w:numPr>
          <w:ilvl w:val="12"/>
          <w:numId w:val="0"/>
        </w:numPr>
        <w:tabs>
          <w:tab w:val="left" w:pos="567"/>
        </w:tabs>
        <w:ind w:right="-2"/>
        <w:jc w:val="both"/>
        <w:rPr>
          <w:del w:id="16822" w:author="AbbVie14" w:date="2025-05-09T11:00:00Z"/>
          <w:sz w:val="22"/>
          <w:szCs w:val="22"/>
        </w:rPr>
      </w:pPr>
    </w:p>
    <w:p w:rsidR="006224C2" w:rsidRPr="00295E71" w:rsidP="00FE3C0F" w14:paraId="52CF0991" w14:textId="77777777">
      <w:pPr>
        <w:numPr>
          <w:ilvl w:val="12"/>
          <w:numId w:val="0"/>
        </w:numPr>
        <w:tabs>
          <w:tab w:val="left" w:pos="567"/>
        </w:tabs>
        <w:ind w:right="-2"/>
        <w:jc w:val="both"/>
        <w:rPr>
          <w:del w:id="16823" w:author="AbbVie14" w:date="2025-05-09T11:00:00Z"/>
          <w:sz w:val="22"/>
          <w:szCs w:val="22"/>
        </w:rPr>
      </w:pPr>
      <w:del w:id="16824" w:author="AbbVie14" w:date="2025-05-09T11:00:00Z">
        <w:r w:rsidRPr="00295E71">
          <w:rPr>
            <w:sz w:val="22"/>
            <w:szCs w:val="22"/>
          </w:rPr>
          <w:delText>Nell’artrite reumatoide, il metotressato viene continuato durante il trattamento con Humira. Se il medico decide che il metotressato non è appropriato, Humira può essere somministrato da solo.</w:delText>
        </w:r>
      </w:del>
    </w:p>
    <w:p w:rsidR="006224C2" w:rsidRPr="00295E71" w:rsidP="00FE3C0F" w14:paraId="6BAEE2F4" w14:textId="77777777">
      <w:pPr>
        <w:numPr>
          <w:ilvl w:val="12"/>
          <w:numId w:val="0"/>
        </w:numPr>
        <w:tabs>
          <w:tab w:val="left" w:pos="567"/>
        </w:tabs>
        <w:ind w:right="-2"/>
        <w:jc w:val="both"/>
        <w:rPr>
          <w:del w:id="16825" w:author="AbbVie14" w:date="2025-05-09T11:00:00Z"/>
          <w:sz w:val="22"/>
          <w:szCs w:val="22"/>
        </w:rPr>
      </w:pPr>
    </w:p>
    <w:p w:rsidR="006224C2" w:rsidRPr="00295E71" w:rsidP="00FE3C0F" w14:paraId="2F459E55" w14:textId="77777777">
      <w:pPr>
        <w:numPr>
          <w:ilvl w:val="12"/>
          <w:numId w:val="0"/>
        </w:numPr>
        <w:tabs>
          <w:tab w:val="left" w:pos="567"/>
        </w:tabs>
        <w:ind w:right="-2"/>
        <w:jc w:val="both"/>
        <w:rPr>
          <w:del w:id="16826" w:author="AbbVie14" w:date="2025-05-09T11:00:00Z"/>
          <w:sz w:val="22"/>
          <w:szCs w:val="22"/>
        </w:rPr>
      </w:pPr>
      <w:del w:id="16827" w:author="AbbVie14" w:date="2025-05-09T11:00:00Z">
        <w:r w:rsidRPr="00295E71">
          <w:rPr>
            <w:sz w:val="22"/>
            <w:szCs w:val="22"/>
          </w:rPr>
          <w:delText>Se è affetto da artrite reumatoide e non riceve metotressato in associazione al trattamento con Humira, il medico può decidere di prescriverle 40 mg di adalimumab ogni settimana</w:delText>
        </w:r>
      </w:del>
      <w:del w:id="16828" w:author="AbbVie14" w:date="2025-05-09T11:00:00Z">
        <w:r w:rsidRPr="00295E71" w:rsidR="00774590">
          <w:rPr>
            <w:sz w:val="22"/>
            <w:szCs w:val="22"/>
          </w:rPr>
          <w:delText xml:space="preserve"> o 80 mg a settimane alterne</w:delText>
        </w:r>
      </w:del>
      <w:del w:id="16829" w:author="AbbVie14" w:date="2025-05-09T11:00:00Z">
        <w:r w:rsidRPr="00295E71">
          <w:rPr>
            <w:sz w:val="22"/>
            <w:szCs w:val="22"/>
          </w:rPr>
          <w:delText>.</w:delText>
        </w:r>
      </w:del>
    </w:p>
    <w:p w:rsidR="006224C2" w:rsidRPr="00295E71" w:rsidP="00FE3C0F" w14:paraId="1CD7E7BE" w14:textId="77777777">
      <w:pPr>
        <w:numPr>
          <w:ilvl w:val="12"/>
          <w:numId w:val="0"/>
        </w:numPr>
        <w:tabs>
          <w:tab w:val="left" w:pos="567"/>
        </w:tabs>
        <w:ind w:right="-2"/>
        <w:jc w:val="both"/>
        <w:rPr>
          <w:del w:id="16830" w:author="AbbVie14" w:date="2025-05-09T11:00:00Z"/>
          <w:sz w:val="22"/>
          <w:szCs w:val="22"/>
        </w:rPr>
      </w:pPr>
    </w:p>
    <w:p w:rsidR="006224C2" w:rsidRPr="00295E71" w:rsidP="00FE3C0F" w14:paraId="21E214BB" w14:textId="77777777">
      <w:pPr>
        <w:numPr>
          <w:ilvl w:val="12"/>
          <w:numId w:val="0"/>
        </w:numPr>
        <w:tabs>
          <w:tab w:val="left" w:pos="567"/>
        </w:tabs>
        <w:ind w:right="-2"/>
        <w:jc w:val="both"/>
        <w:rPr>
          <w:del w:id="16831" w:author="AbbVie14" w:date="2025-05-09T11:00:00Z"/>
          <w:sz w:val="22"/>
          <w:szCs w:val="22"/>
          <w:u w:val="single"/>
        </w:rPr>
      </w:pPr>
      <w:del w:id="16832" w:author="AbbVie14" w:date="2025-05-09T11:00:00Z">
        <w:r w:rsidRPr="00295E71">
          <w:rPr>
            <w:sz w:val="22"/>
            <w:szCs w:val="22"/>
            <w:u w:val="single"/>
          </w:rPr>
          <w:delText>Bambini</w:delText>
        </w:r>
      </w:del>
      <w:del w:id="16833" w:author="AbbVie14" w:date="2025-05-09T11:00:00Z">
        <w:r w:rsidRPr="00295E71" w:rsidR="00F81FC0">
          <w:rPr>
            <w:sz w:val="22"/>
            <w:szCs w:val="22"/>
            <w:u w:val="single"/>
          </w:rPr>
          <w:delText xml:space="preserve">, adolescenti e adulti </w:delText>
        </w:r>
      </w:del>
      <w:del w:id="16834" w:author="AbbVie14" w:date="2025-05-09T11:00:00Z">
        <w:r w:rsidRPr="00295E71">
          <w:rPr>
            <w:sz w:val="22"/>
            <w:szCs w:val="22"/>
            <w:u w:val="single"/>
          </w:rPr>
          <w:delText>con artrite idiopatica giovanile poliarticolare</w:delText>
        </w:r>
      </w:del>
    </w:p>
    <w:p w:rsidR="006224C2" w:rsidRPr="00295E71" w:rsidP="00FE3C0F" w14:paraId="7941FFF4" w14:textId="77777777">
      <w:pPr>
        <w:numPr>
          <w:ilvl w:val="12"/>
          <w:numId w:val="0"/>
        </w:numPr>
        <w:tabs>
          <w:tab w:val="left" w:pos="567"/>
        </w:tabs>
        <w:ind w:right="-2"/>
        <w:jc w:val="both"/>
        <w:rPr>
          <w:del w:id="16835" w:author="AbbVie14" w:date="2025-05-09T11:00:00Z"/>
          <w:sz w:val="22"/>
          <w:szCs w:val="22"/>
        </w:rPr>
      </w:pPr>
    </w:p>
    <w:p w:rsidR="00733F11" w:rsidRPr="00295E71" w:rsidP="00FE3C0F" w14:paraId="7405326B" w14:textId="77777777">
      <w:pPr>
        <w:numPr>
          <w:ilvl w:val="12"/>
          <w:numId w:val="0"/>
        </w:numPr>
        <w:tabs>
          <w:tab w:val="left" w:pos="567"/>
        </w:tabs>
        <w:ind w:right="-2"/>
        <w:rPr>
          <w:del w:id="16836" w:author="AbbVie14" w:date="2025-05-09T11:00:00Z"/>
          <w:i/>
          <w:sz w:val="22"/>
          <w:szCs w:val="22"/>
        </w:rPr>
      </w:pPr>
      <w:del w:id="16837" w:author="AbbVie14" w:date="2025-05-09T11:00:00Z">
        <w:r w:rsidRPr="00295E71">
          <w:rPr>
            <w:i/>
            <w:sz w:val="22"/>
            <w:szCs w:val="22"/>
          </w:rPr>
          <w:delText xml:space="preserve">Bambini e adolescenti </w:delText>
        </w:r>
      </w:del>
      <w:del w:id="16838" w:author="AbbVie14" w:date="2025-05-09T11:00:00Z">
        <w:r w:rsidRPr="00295E71" w:rsidR="00255306">
          <w:rPr>
            <w:i/>
            <w:sz w:val="22"/>
            <w:szCs w:val="22"/>
          </w:rPr>
          <w:delText xml:space="preserve">a partire da </w:delText>
        </w:r>
      </w:del>
      <w:del w:id="16839" w:author="AbbVie14" w:date="2025-05-09T11:00:00Z">
        <w:r w:rsidRPr="00295E71">
          <w:rPr>
            <w:i/>
            <w:sz w:val="22"/>
            <w:szCs w:val="22"/>
          </w:rPr>
          <w:delText xml:space="preserve">2 anni </w:delText>
        </w:r>
      </w:del>
      <w:del w:id="16840" w:author="AbbVie14" w:date="2025-05-09T11:00:00Z">
        <w:r w:rsidRPr="00295E71" w:rsidR="00255306">
          <w:rPr>
            <w:i/>
            <w:sz w:val="22"/>
            <w:szCs w:val="22"/>
          </w:rPr>
          <w:delText xml:space="preserve">di età </w:delText>
        </w:r>
      </w:del>
      <w:del w:id="16841" w:author="AbbVie14" w:date="2025-05-09T11:00:00Z">
        <w:r w:rsidRPr="00295E71">
          <w:rPr>
            <w:i/>
            <w:sz w:val="22"/>
            <w:szCs w:val="22"/>
          </w:rPr>
          <w:delText xml:space="preserve">e con peso compreso tra 10 kg e meno di 30 kg </w:delText>
        </w:r>
      </w:del>
    </w:p>
    <w:p w:rsidR="00733F11" w:rsidRPr="00295E71" w:rsidP="00FE3C0F" w14:paraId="066C199A" w14:textId="77777777">
      <w:pPr>
        <w:pStyle w:val="BodyText2"/>
        <w:rPr>
          <w:del w:id="16842" w:author="AbbVie14" w:date="2025-05-09T11:00:00Z"/>
        </w:rPr>
      </w:pPr>
    </w:p>
    <w:p w:rsidR="00733F11" w:rsidRPr="00295E71" w:rsidP="00FE3C0F" w14:paraId="7C1EDD9E" w14:textId="77777777">
      <w:pPr>
        <w:pStyle w:val="BodyText2"/>
        <w:rPr>
          <w:del w:id="16843" w:author="AbbVie14" w:date="2025-05-09T11:00:00Z"/>
        </w:rPr>
      </w:pPr>
      <w:del w:id="16844" w:author="AbbVie14" w:date="2025-05-09T11:00:00Z">
        <w:r w:rsidRPr="00295E71">
          <w:delText>La dose raccomandata di Humira è 20 mg a settimane alterne.</w:delText>
        </w:r>
      </w:del>
    </w:p>
    <w:p w:rsidR="00733F11" w:rsidRPr="00295E71" w:rsidP="00FE3C0F" w14:paraId="4728EAD6" w14:textId="77777777">
      <w:pPr>
        <w:pStyle w:val="BodyText2"/>
        <w:rPr>
          <w:del w:id="16845" w:author="AbbVie14" w:date="2025-05-09T11:00:00Z"/>
        </w:rPr>
      </w:pPr>
    </w:p>
    <w:p w:rsidR="00733F11" w:rsidRPr="00295E71" w:rsidP="00FE3C0F" w14:paraId="07C5F813" w14:textId="77777777">
      <w:pPr>
        <w:numPr>
          <w:ilvl w:val="12"/>
          <w:numId w:val="0"/>
        </w:numPr>
        <w:tabs>
          <w:tab w:val="left" w:pos="567"/>
        </w:tabs>
        <w:ind w:right="-2"/>
        <w:rPr>
          <w:del w:id="16846" w:author="AbbVie14" w:date="2025-05-09T11:00:00Z"/>
          <w:i/>
          <w:sz w:val="22"/>
          <w:szCs w:val="22"/>
        </w:rPr>
      </w:pPr>
      <w:del w:id="16847" w:author="AbbVie14" w:date="2025-05-09T11:00:00Z">
        <w:r w:rsidRPr="00295E71">
          <w:rPr>
            <w:i/>
            <w:sz w:val="22"/>
            <w:szCs w:val="22"/>
          </w:rPr>
          <w:delText>Bambini</w:delText>
        </w:r>
      </w:del>
      <w:del w:id="16848" w:author="AbbVie14" w:date="2025-05-09T11:00:00Z">
        <w:r w:rsidRPr="00295E71" w:rsidR="001E6FA8">
          <w:rPr>
            <w:i/>
            <w:sz w:val="22"/>
            <w:szCs w:val="22"/>
          </w:rPr>
          <w:delText xml:space="preserve">, </w:delText>
        </w:r>
      </w:del>
      <w:del w:id="16849" w:author="AbbVie14" w:date="2025-05-09T11:00:00Z">
        <w:r w:rsidRPr="00295E71">
          <w:rPr>
            <w:i/>
            <w:sz w:val="22"/>
            <w:szCs w:val="22"/>
          </w:rPr>
          <w:delText>adolescenti</w:delText>
        </w:r>
      </w:del>
      <w:del w:id="16850" w:author="AbbVie14" w:date="2025-05-09T11:00:00Z">
        <w:r w:rsidRPr="00295E71" w:rsidR="001E6FA8">
          <w:rPr>
            <w:i/>
            <w:sz w:val="22"/>
            <w:szCs w:val="22"/>
          </w:rPr>
          <w:delText xml:space="preserve"> e adulti</w:delText>
        </w:r>
      </w:del>
      <w:del w:id="16851" w:author="AbbVie14" w:date="2025-05-09T11:00:00Z">
        <w:r w:rsidRPr="00295E71">
          <w:rPr>
            <w:i/>
            <w:sz w:val="22"/>
            <w:szCs w:val="22"/>
          </w:rPr>
          <w:delText xml:space="preserve"> </w:delText>
        </w:r>
      </w:del>
      <w:del w:id="16852" w:author="AbbVie14" w:date="2025-05-09T11:00:00Z">
        <w:r w:rsidRPr="00295E71" w:rsidR="00255306">
          <w:rPr>
            <w:i/>
            <w:sz w:val="22"/>
            <w:szCs w:val="22"/>
          </w:rPr>
          <w:delText xml:space="preserve">a partire da 2 anni </w:delText>
        </w:r>
      </w:del>
      <w:del w:id="16853" w:author="AbbVie14" w:date="2025-05-09T11:00:00Z">
        <w:r w:rsidRPr="00295E71">
          <w:rPr>
            <w:i/>
            <w:sz w:val="22"/>
            <w:szCs w:val="22"/>
          </w:rPr>
          <w:delText xml:space="preserve">di età e con peso uguale o superiore a 30 kg </w:delText>
        </w:r>
      </w:del>
    </w:p>
    <w:p w:rsidR="00733F11" w:rsidRPr="00295E71" w:rsidP="00FE3C0F" w14:paraId="50CAACB2" w14:textId="77777777">
      <w:pPr>
        <w:pStyle w:val="BodyText2"/>
        <w:rPr>
          <w:del w:id="16854" w:author="AbbVie14" w:date="2025-05-09T11:00:00Z"/>
        </w:rPr>
      </w:pPr>
    </w:p>
    <w:p w:rsidR="00733F11" w:rsidRPr="00295E71" w:rsidP="00FE3C0F" w14:paraId="0A50008F" w14:textId="77777777">
      <w:pPr>
        <w:pStyle w:val="BodyText2"/>
        <w:rPr>
          <w:del w:id="16855" w:author="AbbVie14" w:date="2025-05-09T11:00:00Z"/>
        </w:rPr>
      </w:pPr>
      <w:del w:id="16856" w:author="AbbVie14" w:date="2025-05-09T11:00:00Z">
        <w:r w:rsidRPr="00295E71">
          <w:delText>La dose raccomandata di Humira è 40 mg a settimane alterne.</w:delText>
        </w:r>
      </w:del>
    </w:p>
    <w:p w:rsidR="006224C2" w:rsidRPr="00295E71" w:rsidP="00FE3C0F" w14:paraId="3A3223E6" w14:textId="77777777">
      <w:pPr>
        <w:pStyle w:val="BodyText2"/>
        <w:jc w:val="both"/>
        <w:rPr>
          <w:del w:id="16857" w:author="AbbVie14" w:date="2025-05-09T11:00:00Z"/>
        </w:rPr>
      </w:pPr>
    </w:p>
    <w:p w:rsidR="006224C2" w:rsidRPr="00295E71" w:rsidP="00FE3C0F" w14:paraId="30980001" w14:textId="77777777">
      <w:pPr>
        <w:numPr>
          <w:ilvl w:val="12"/>
          <w:numId w:val="0"/>
        </w:numPr>
        <w:ind w:right="-2"/>
        <w:rPr>
          <w:del w:id="16858" w:author="AbbVie14" w:date="2025-05-09T11:00:00Z"/>
          <w:sz w:val="22"/>
          <w:szCs w:val="22"/>
          <w:u w:val="single"/>
        </w:rPr>
      </w:pPr>
      <w:del w:id="16859" w:author="AbbVie14" w:date="2025-05-09T11:00:00Z">
        <w:r w:rsidRPr="00295E71">
          <w:rPr>
            <w:sz w:val="22"/>
            <w:szCs w:val="22"/>
            <w:u w:val="single"/>
          </w:rPr>
          <w:delText>Bambini</w:delText>
        </w:r>
      </w:del>
      <w:del w:id="16860" w:author="AbbVie14" w:date="2025-05-09T11:00:00Z">
        <w:r w:rsidRPr="00295E71" w:rsidR="00733F11">
          <w:rPr>
            <w:sz w:val="22"/>
            <w:szCs w:val="22"/>
            <w:u w:val="single"/>
          </w:rPr>
          <w:delText>, adolescenti e adulti</w:delText>
        </w:r>
      </w:del>
      <w:del w:id="16861" w:author="AbbVie14" w:date="2025-05-09T11:00:00Z">
        <w:r w:rsidRPr="00295E71">
          <w:rPr>
            <w:sz w:val="22"/>
            <w:szCs w:val="22"/>
            <w:u w:val="single"/>
          </w:rPr>
          <w:delText xml:space="preserve"> con artrite associata ad entesite</w:delText>
        </w:r>
      </w:del>
    </w:p>
    <w:p w:rsidR="006224C2" w:rsidRPr="00295E71" w:rsidP="00FE3C0F" w14:paraId="5244EAD9" w14:textId="77777777">
      <w:pPr>
        <w:numPr>
          <w:ilvl w:val="12"/>
          <w:numId w:val="0"/>
        </w:numPr>
        <w:ind w:right="-2"/>
        <w:rPr>
          <w:del w:id="16862" w:author="AbbVie14" w:date="2025-05-09T11:00:00Z"/>
          <w:sz w:val="22"/>
          <w:szCs w:val="22"/>
          <w:u w:val="single"/>
        </w:rPr>
      </w:pPr>
    </w:p>
    <w:p w:rsidR="00733F11" w:rsidRPr="00295E71" w:rsidP="00FE3C0F" w14:paraId="38F2616C" w14:textId="77777777">
      <w:pPr>
        <w:numPr>
          <w:ilvl w:val="12"/>
          <w:numId w:val="0"/>
        </w:numPr>
        <w:ind w:right="-2"/>
        <w:rPr>
          <w:del w:id="16863" w:author="AbbVie14" w:date="2025-05-09T11:00:00Z"/>
          <w:sz w:val="22"/>
          <w:szCs w:val="22"/>
          <w:u w:val="single"/>
        </w:rPr>
      </w:pPr>
      <w:del w:id="16864" w:author="AbbVie14" w:date="2025-05-09T11:00:00Z">
        <w:r w:rsidRPr="00295E71">
          <w:rPr>
            <w:i/>
            <w:sz w:val="22"/>
            <w:szCs w:val="22"/>
          </w:rPr>
          <w:delText>Bambini e</w:delText>
        </w:r>
      </w:del>
      <w:del w:id="16865" w:author="AbbVie14" w:date="2025-05-09T11:00:00Z">
        <w:r w:rsidRPr="00295E71">
          <w:rPr>
            <w:i/>
          </w:rPr>
          <w:delText xml:space="preserve"> </w:delText>
        </w:r>
      </w:del>
      <w:del w:id="16866" w:author="AbbVie14" w:date="2025-05-09T11:00:00Z">
        <w:r w:rsidRPr="00295E71">
          <w:rPr>
            <w:i/>
            <w:sz w:val="22"/>
            <w:szCs w:val="22"/>
          </w:rPr>
          <w:delText xml:space="preserve">adolescenti </w:delText>
        </w:r>
      </w:del>
      <w:del w:id="16867" w:author="AbbVie14" w:date="2025-05-09T11:00:00Z">
        <w:r w:rsidRPr="00295E71" w:rsidR="00F74A25">
          <w:rPr>
            <w:i/>
            <w:sz w:val="22"/>
            <w:szCs w:val="22"/>
          </w:rPr>
          <w:delText>a partire d</w:delText>
        </w:r>
      </w:del>
      <w:del w:id="16868" w:author="AbbVie14" w:date="2025-05-09T11:00:00Z">
        <w:r w:rsidRPr="00295E71">
          <w:rPr>
            <w:i/>
            <w:sz w:val="22"/>
            <w:szCs w:val="22"/>
          </w:rPr>
          <w:delText xml:space="preserve">a 6 anni </w:delText>
        </w:r>
      </w:del>
      <w:del w:id="16869" w:author="AbbVie14" w:date="2025-05-09T11:00:00Z">
        <w:r w:rsidRPr="00295E71" w:rsidR="00F74A25">
          <w:rPr>
            <w:i/>
            <w:sz w:val="22"/>
            <w:szCs w:val="22"/>
          </w:rPr>
          <w:delText xml:space="preserve">di età </w:delText>
        </w:r>
      </w:del>
      <w:del w:id="16870" w:author="AbbVie14" w:date="2025-05-09T11:00:00Z">
        <w:r w:rsidRPr="00295E71">
          <w:rPr>
            <w:i/>
            <w:sz w:val="22"/>
            <w:szCs w:val="22"/>
          </w:rPr>
          <w:delText>e con peso compreso tra 15 kg e meno di 30 kg</w:delText>
        </w:r>
      </w:del>
    </w:p>
    <w:p w:rsidR="00733F11" w:rsidRPr="00295E71" w:rsidP="00FE3C0F" w14:paraId="459036DD" w14:textId="77777777">
      <w:pPr>
        <w:numPr>
          <w:ilvl w:val="12"/>
          <w:numId w:val="0"/>
        </w:numPr>
        <w:ind w:right="-2"/>
        <w:rPr>
          <w:del w:id="16871" w:author="AbbVie14" w:date="2025-05-09T11:00:00Z"/>
          <w:sz w:val="22"/>
          <w:szCs w:val="22"/>
          <w:u w:val="single"/>
        </w:rPr>
      </w:pPr>
    </w:p>
    <w:p w:rsidR="00733F11" w:rsidRPr="00295E71" w:rsidP="00FE3C0F" w14:paraId="489592D4" w14:textId="77777777">
      <w:pPr>
        <w:numPr>
          <w:ilvl w:val="12"/>
          <w:numId w:val="0"/>
        </w:numPr>
        <w:ind w:right="-2"/>
        <w:rPr>
          <w:del w:id="16872" w:author="AbbVie14" w:date="2025-05-09T11:00:00Z"/>
          <w:sz w:val="22"/>
          <w:szCs w:val="22"/>
        </w:rPr>
      </w:pPr>
      <w:del w:id="16873" w:author="AbbVie14" w:date="2025-05-09T11:00:00Z">
        <w:r w:rsidRPr="00295E71">
          <w:rPr>
            <w:sz w:val="22"/>
            <w:szCs w:val="22"/>
          </w:rPr>
          <w:delText>La dose raccomandata di Humira è 20 mg a settimane alterne.</w:delText>
        </w:r>
      </w:del>
    </w:p>
    <w:p w:rsidR="00733F11" w:rsidRPr="00295E71" w:rsidP="00FE3C0F" w14:paraId="2D2EA0FD" w14:textId="77777777">
      <w:pPr>
        <w:numPr>
          <w:ilvl w:val="12"/>
          <w:numId w:val="0"/>
        </w:numPr>
        <w:ind w:right="-2"/>
        <w:rPr>
          <w:del w:id="16874" w:author="AbbVie14" w:date="2025-05-09T11:00:00Z"/>
          <w:sz w:val="22"/>
          <w:szCs w:val="22"/>
          <w:u w:val="single"/>
        </w:rPr>
      </w:pPr>
    </w:p>
    <w:p w:rsidR="00733F11" w:rsidRPr="00295E71" w:rsidP="00FE3C0F" w14:paraId="70E2D8CF" w14:textId="77777777">
      <w:pPr>
        <w:numPr>
          <w:ilvl w:val="12"/>
          <w:numId w:val="0"/>
        </w:numPr>
        <w:ind w:right="-2"/>
        <w:rPr>
          <w:del w:id="16875" w:author="AbbVie14" w:date="2025-05-09T11:00:00Z"/>
          <w:sz w:val="22"/>
          <w:szCs w:val="22"/>
          <w:u w:val="single"/>
        </w:rPr>
      </w:pPr>
      <w:del w:id="16876" w:author="AbbVie14" w:date="2025-05-09T11:00:00Z">
        <w:r w:rsidRPr="00295E71">
          <w:rPr>
            <w:i/>
            <w:sz w:val="22"/>
            <w:szCs w:val="22"/>
          </w:rPr>
          <w:delText xml:space="preserve">Bambini, adolescenti e adulti </w:delText>
        </w:r>
      </w:del>
      <w:del w:id="16877" w:author="AbbVie14" w:date="2025-05-09T11:00:00Z">
        <w:r w:rsidRPr="00295E71" w:rsidR="00F74A25">
          <w:rPr>
            <w:i/>
            <w:sz w:val="22"/>
            <w:szCs w:val="22"/>
          </w:rPr>
          <w:delText xml:space="preserve">a partire da </w:delText>
        </w:r>
      </w:del>
      <w:del w:id="16878" w:author="AbbVie14" w:date="2025-05-09T11:00:00Z">
        <w:r w:rsidRPr="00295E71">
          <w:rPr>
            <w:i/>
            <w:sz w:val="22"/>
            <w:szCs w:val="22"/>
          </w:rPr>
          <w:delText xml:space="preserve">6 anni </w:delText>
        </w:r>
      </w:del>
      <w:del w:id="16879" w:author="AbbVie14" w:date="2025-05-09T11:00:00Z">
        <w:r w:rsidRPr="00295E71" w:rsidR="00F74A25">
          <w:rPr>
            <w:i/>
            <w:sz w:val="22"/>
            <w:szCs w:val="22"/>
          </w:rPr>
          <w:delText xml:space="preserve">di età </w:delText>
        </w:r>
      </w:del>
      <w:del w:id="16880" w:author="AbbVie14" w:date="2025-05-09T11:00:00Z">
        <w:r w:rsidRPr="00295E71">
          <w:rPr>
            <w:i/>
            <w:sz w:val="22"/>
            <w:szCs w:val="22"/>
          </w:rPr>
          <w:delText>e con peso uguale o superiore a 30 kg</w:delText>
        </w:r>
      </w:del>
    </w:p>
    <w:p w:rsidR="00733F11" w:rsidRPr="00295E71" w:rsidP="00FE3C0F" w14:paraId="49A4614E" w14:textId="77777777">
      <w:pPr>
        <w:numPr>
          <w:ilvl w:val="12"/>
          <w:numId w:val="0"/>
        </w:numPr>
        <w:ind w:right="-2"/>
        <w:rPr>
          <w:del w:id="16881" w:author="AbbVie14" w:date="2025-05-09T11:00:00Z"/>
          <w:sz w:val="22"/>
          <w:szCs w:val="22"/>
          <w:u w:val="single"/>
        </w:rPr>
      </w:pPr>
    </w:p>
    <w:p w:rsidR="00733F11" w:rsidRPr="00295E71" w:rsidP="00FE3C0F" w14:paraId="4235BA96" w14:textId="77777777">
      <w:pPr>
        <w:numPr>
          <w:ilvl w:val="12"/>
          <w:numId w:val="0"/>
        </w:numPr>
        <w:ind w:right="-2"/>
        <w:rPr>
          <w:del w:id="16882" w:author="AbbVie14" w:date="2025-05-09T11:00:00Z"/>
          <w:sz w:val="22"/>
          <w:szCs w:val="22"/>
        </w:rPr>
      </w:pPr>
      <w:del w:id="16883" w:author="AbbVie14" w:date="2025-05-09T11:00:00Z">
        <w:r w:rsidRPr="00295E71">
          <w:rPr>
            <w:sz w:val="22"/>
            <w:szCs w:val="22"/>
          </w:rPr>
          <w:delText>La dose raccomandata di Humira è 40 mg a settimane alterne.</w:delText>
        </w:r>
      </w:del>
    </w:p>
    <w:p w:rsidR="006224C2" w:rsidRPr="00295E71" w:rsidP="00FE3C0F" w14:paraId="2243F0C0" w14:textId="77777777">
      <w:pPr>
        <w:pStyle w:val="BodyText2"/>
        <w:jc w:val="both"/>
        <w:rPr>
          <w:del w:id="16884" w:author="AbbVie14" w:date="2025-05-09T11:00:00Z"/>
          <w:u w:val="single"/>
        </w:rPr>
      </w:pPr>
    </w:p>
    <w:p w:rsidR="006224C2" w:rsidRPr="00295E71" w:rsidP="00FE3C0F" w14:paraId="2377AA94" w14:textId="77777777">
      <w:pPr>
        <w:pStyle w:val="BodyText2"/>
        <w:jc w:val="both"/>
        <w:rPr>
          <w:del w:id="16885" w:author="AbbVie14" w:date="2025-05-09T11:00:00Z"/>
          <w:u w:val="single"/>
        </w:rPr>
      </w:pPr>
      <w:del w:id="16886" w:author="AbbVie14" w:date="2025-05-09T11:00:00Z">
        <w:r w:rsidRPr="00295E71">
          <w:rPr>
            <w:u w:val="single"/>
          </w:rPr>
          <w:delText>Adulti con psoriasi</w:delText>
        </w:r>
      </w:del>
    </w:p>
    <w:p w:rsidR="006224C2" w:rsidRPr="00295E71" w:rsidP="00FE3C0F" w14:paraId="40D7A56A" w14:textId="77777777">
      <w:pPr>
        <w:numPr>
          <w:ilvl w:val="12"/>
          <w:numId w:val="0"/>
        </w:numPr>
        <w:tabs>
          <w:tab w:val="left" w:pos="567"/>
        </w:tabs>
        <w:ind w:right="-2"/>
        <w:jc w:val="both"/>
        <w:rPr>
          <w:del w:id="16887" w:author="AbbVie14" w:date="2025-05-09T11:00:00Z"/>
          <w:sz w:val="22"/>
          <w:szCs w:val="22"/>
        </w:rPr>
      </w:pPr>
    </w:p>
    <w:p w:rsidR="006224C2" w:rsidRPr="00295E71" w:rsidP="00FE3C0F" w14:paraId="2BF1AF72" w14:textId="77777777">
      <w:pPr>
        <w:numPr>
          <w:ilvl w:val="12"/>
          <w:numId w:val="0"/>
        </w:numPr>
        <w:tabs>
          <w:tab w:val="left" w:pos="567"/>
        </w:tabs>
        <w:ind w:right="-2"/>
        <w:jc w:val="both"/>
        <w:rPr>
          <w:del w:id="16888" w:author="AbbVie14" w:date="2025-05-09T11:00:00Z"/>
          <w:sz w:val="22"/>
          <w:szCs w:val="22"/>
        </w:rPr>
      </w:pPr>
      <w:del w:id="16889" w:author="AbbVie14" w:date="2025-05-09T11:00:00Z">
        <w:r w:rsidRPr="00295E71">
          <w:rPr>
            <w:sz w:val="22"/>
            <w:szCs w:val="22"/>
          </w:rPr>
          <w:delText xml:space="preserve">La dose abituale di Humira per gli adulti </w:delText>
        </w:r>
      </w:del>
      <w:del w:id="16890" w:author="AbbVie14" w:date="2025-05-09T11:00:00Z">
        <w:r w:rsidRPr="00295E71" w:rsidR="00DB5284">
          <w:rPr>
            <w:sz w:val="22"/>
            <w:szCs w:val="22"/>
          </w:rPr>
          <w:delText>con</w:delText>
        </w:r>
      </w:del>
      <w:del w:id="16891" w:author="AbbVie14" w:date="2025-05-09T11:00:00Z">
        <w:r w:rsidRPr="00295E71">
          <w:rPr>
            <w:sz w:val="22"/>
            <w:szCs w:val="22"/>
          </w:rPr>
          <w:delText xml:space="preserve"> psoriasi è una dose iniziale </w:delText>
        </w:r>
      </w:del>
      <w:del w:id="16892" w:author="AbbVie14" w:date="2025-05-09T11:00:00Z">
        <w:r w:rsidRPr="00295E71" w:rsidR="00DB5284">
          <w:rPr>
            <w:sz w:val="22"/>
            <w:szCs w:val="22"/>
          </w:rPr>
          <w:delText>di</w:delText>
        </w:r>
      </w:del>
      <w:del w:id="16893" w:author="AbbVie14" w:date="2025-05-09T11:00:00Z">
        <w:r w:rsidRPr="00295E71">
          <w:rPr>
            <w:sz w:val="22"/>
            <w:szCs w:val="22"/>
          </w:rPr>
          <w:delText xml:space="preserve"> 80 mg</w:delText>
        </w:r>
      </w:del>
      <w:del w:id="16894" w:author="AbbVie14" w:date="2025-05-09T11:00:00Z">
        <w:r w:rsidRPr="00295E71" w:rsidR="00733F11">
          <w:rPr>
            <w:sz w:val="22"/>
            <w:szCs w:val="22"/>
          </w:rPr>
          <w:delText xml:space="preserve"> (tramite due iniezioni </w:delText>
        </w:r>
      </w:del>
      <w:del w:id="16895" w:author="AbbVie14" w:date="2025-05-09T11:00:00Z">
        <w:r w:rsidRPr="00295E71" w:rsidR="00774590">
          <w:rPr>
            <w:sz w:val="22"/>
            <w:szCs w:val="22"/>
          </w:rPr>
          <w:delText xml:space="preserve">da 40 mg </w:delText>
        </w:r>
      </w:del>
      <w:del w:id="16896" w:author="AbbVie14" w:date="2025-05-09T11:00:00Z">
        <w:r w:rsidRPr="00295E71" w:rsidR="00733F11">
          <w:rPr>
            <w:sz w:val="22"/>
            <w:szCs w:val="22"/>
          </w:rPr>
          <w:delText>in un giorno)</w:delText>
        </w:r>
      </w:del>
      <w:del w:id="16897" w:author="AbbVie14" w:date="2025-05-09T11:00:00Z">
        <w:r w:rsidRPr="00295E71">
          <w:rPr>
            <w:sz w:val="22"/>
            <w:szCs w:val="22"/>
          </w:rPr>
          <w:delText xml:space="preserve">, seguita da una dose </w:delText>
        </w:r>
      </w:del>
      <w:del w:id="16898" w:author="AbbVie14" w:date="2025-05-09T11:00:00Z">
        <w:r w:rsidRPr="00295E71" w:rsidR="00DB5284">
          <w:rPr>
            <w:sz w:val="22"/>
            <w:szCs w:val="22"/>
          </w:rPr>
          <w:delText>di</w:delText>
        </w:r>
      </w:del>
      <w:del w:id="16899" w:author="AbbVie14" w:date="2025-05-09T11:00:00Z">
        <w:r w:rsidRPr="00295E71">
          <w:rPr>
            <w:sz w:val="22"/>
            <w:szCs w:val="22"/>
          </w:rPr>
          <w:delText xml:space="preserve"> 40 mg, somministrata a settimane alterne, ad iniziare dalla settimana successiva all’assunzione della dose iniziale. Deve continuare il trattamento con Humira per il tempo indicato dal medico. In </w:delText>
        </w:r>
      </w:del>
      <w:del w:id="16900" w:author="AbbVie14" w:date="2025-05-09T11:00:00Z">
        <w:r w:rsidRPr="00295E71" w:rsidR="001E6FA8">
          <w:rPr>
            <w:sz w:val="22"/>
            <w:szCs w:val="22"/>
          </w:rPr>
          <w:delText xml:space="preserve">funzione </w:delText>
        </w:r>
      </w:del>
      <w:del w:id="16901" w:author="AbbVie14" w:date="2025-05-09T11:00:00Z">
        <w:r w:rsidRPr="00295E71">
          <w:rPr>
            <w:sz w:val="22"/>
            <w:szCs w:val="22"/>
          </w:rPr>
          <w:delText xml:space="preserve">alla risposta clinica, il medico può aumentare </w:delText>
        </w:r>
      </w:del>
      <w:del w:id="16902" w:author="AbbVie14" w:date="2025-05-09T11:00:00Z">
        <w:r w:rsidRPr="00295E71" w:rsidR="00774590">
          <w:rPr>
            <w:sz w:val="22"/>
            <w:szCs w:val="22"/>
          </w:rPr>
          <w:delText>il</w:delText>
        </w:r>
      </w:del>
      <w:del w:id="16903" w:author="AbbVie14" w:date="2025-05-09T11:00:00Z">
        <w:r w:rsidRPr="00295E71">
          <w:rPr>
            <w:sz w:val="22"/>
            <w:szCs w:val="22"/>
          </w:rPr>
          <w:delText xml:space="preserve"> dos</w:delText>
        </w:r>
      </w:del>
      <w:del w:id="16904" w:author="AbbVie14" w:date="2025-05-09T11:00:00Z">
        <w:r w:rsidRPr="00295E71" w:rsidR="00774590">
          <w:rPr>
            <w:sz w:val="22"/>
            <w:szCs w:val="22"/>
          </w:rPr>
          <w:delText>aggio</w:delText>
        </w:r>
      </w:del>
      <w:del w:id="16905" w:author="AbbVie14" w:date="2025-05-09T11:00:00Z">
        <w:r w:rsidRPr="00295E71">
          <w:rPr>
            <w:sz w:val="22"/>
            <w:szCs w:val="22"/>
          </w:rPr>
          <w:delText xml:space="preserve"> a 40 mg ogni settimana</w:delText>
        </w:r>
      </w:del>
      <w:del w:id="16906" w:author="AbbVie14" w:date="2025-05-09T11:00:00Z">
        <w:r w:rsidRPr="00295E71" w:rsidR="00774590">
          <w:rPr>
            <w:sz w:val="22"/>
            <w:szCs w:val="22"/>
          </w:rPr>
          <w:delText xml:space="preserve"> o 80 mg a settimane alterne</w:delText>
        </w:r>
      </w:del>
      <w:del w:id="16907" w:author="AbbVie14" w:date="2025-05-09T11:00:00Z">
        <w:r w:rsidRPr="00295E71">
          <w:rPr>
            <w:sz w:val="22"/>
            <w:szCs w:val="22"/>
          </w:rPr>
          <w:delText>.</w:delText>
        </w:r>
      </w:del>
    </w:p>
    <w:p w:rsidR="006224C2" w:rsidRPr="00295E71" w:rsidP="00FE3C0F" w14:paraId="71E47D61" w14:textId="77777777">
      <w:pPr>
        <w:numPr>
          <w:ilvl w:val="12"/>
          <w:numId w:val="0"/>
        </w:numPr>
        <w:tabs>
          <w:tab w:val="left" w:pos="567"/>
        </w:tabs>
        <w:ind w:right="-2"/>
        <w:jc w:val="both"/>
        <w:rPr>
          <w:del w:id="16908" w:author="AbbVie14" w:date="2025-05-09T11:00:00Z"/>
          <w:sz w:val="22"/>
          <w:szCs w:val="22"/>
        </w:rPr>
      </w:pPr>
    </w:p>
    <w:p w:rsidR="006224C2" w:rsidRPr="00295E71" w:rsidP="00FE3C0F" w14:paraId="65AAF1B0" w14:textId="77777777">
      <w:pPr>
        <w:keepNext/>
        <w:rPr>
          <w:del w:id="16909" w:author="AbbVie14" w:date="2025-05-09T11:00:00Z"/>
          <w:sz w:val="22"/>
          <w:szCs w:val="22"/>
          <w:u w:val="single"/>
        </w:rPr>
      </w:pPr>
      <w:del w:id="16910" w:author="AbbVie14" w:date="2025-05-09T11:00:00Z">
        <w:r w:rsidRPr="00295E71">
          <w:rPr>
            <w:sz w:val="22"/>
            <w:szCs w:val="22"/>
            <w:u w:val="single"/>
          </w:rPr>
          <w:delText xml:space="preserve">Bambini </w:delText>
        </w:r>
      </w:del>
      <w:del w:id="16911" w:author="AbbVie14" w:date="2025-05-09T11:00:00Z">
        <w:r w:rsidRPr="00295E71" w:rsidR="00733F11">
          <w:rPr>
            <w:sz w:val="22"/>
            <w:szCs w:val="22"/>
            <w:u w:val="single"/>
          </w:rPr>
          <w:delText xml:space="preserve">e </w:delText>
        </w:r>
      </w:del>
      <w:del w:id="16912" w:author="AbbVie14" w:date="2025-05-09T11:00:00Z">
        <w:r w:rsidRPr="00295E71">
          <w:rPr>
            <w:sz w:val="22"/>
            <w:szCs w:val="22"/>
            <w:u w:val="single"/>
          </w:rPr>
          <w:delText xml:space="preserve">adolescenti </w:delText>
        </w:r>
      </w:del>
      <w:del w:id="16913" w:author="AbbVie14" w:date="2025-05-09T11:00:00Z">
        <w:r w:rsidRPr="00295E71" w:rsidR="00733F11">
          <w:rPr>
            <w:sz w:val="22"/>
            <w:szCs w:val="22"/>
            <w:u w:val="single"/>
          </w:rPr>
          <w:delText>con</w:delText>
        </w:r>
      </w:del>
      <w:del w:id="16914" w:author="AbbVie14" w:date="2025-05-09T11:00:00Z">
        <w:r w:rsidRPr="00295E71">
          <w:rPr>
            <w:sz w:val="22"/>
            <w:szCs w:val="22"/>
            <w:u w:val="single"/>
          </w:rPr>
          <w:delText xml:space="preserve"> psoriasi a placche</w:delText>
        </w:r>
      </w:del>
    </w:p>
    <w:p w:rsidR="006224C2" w:rsidRPr="00295E71" w:rsidP="00FE3C0F" w14:paraId="6A06EC17" w14:textId="77777777">
      <w:pPr>
        <w:keepNext/>
        <w:numPr>
          <w:ilvl w:val="12"/>
          <w:numId w:val="0"/>
        </w:numPr>
        <w:tabs>
          <w:tab w:val="left" w:pos="567"/>
        </w:tabs>
        <w:ind w:right="-2"/>
        <w:jc w:val="both"/>
        <w:rPr>
          <w:del w:id="16915" w:author="AbbVie14" w:date="2025-05-09T11:00:00Z"/>
          <w:sz w:val="22"/>
          <w:szCs w:val="22"/>
        </w:rPr>
      </w:pPr>
    </w:p>
    <w:p w:rsidR="00733F11" w:rsidRPr="00295E71" w:rsidP="00FE3C0F" w14:paraId="269C1190" w14:textId="77777777">
      <w:pPr>
        <w:numPr>
          <w:ilvl w:val="12"/>
          <w:numId w:val="0"/>
        </w:numPr>
        <w:ind w:right="-2"/>
        <w:rPr>
          <w:del w:id="16916" w:author="AbbVie14" w:date="2025-05-09T11:00:00Z"/>
          <w:sz w:val="22"/>
          <w:szCs w:val="22"/>
          <w:u w:val="single"/>
        </w:rPr>
      </w:pPr>
      <w:del w:id="16917" w:author="AbbVie14" w:date="2025-05-09T11:00:00Z">
        <w:r w:rsidRPr="00295E71">
          <w:rPr>
            <w:i/>
            <w:sz w:val="22"/>
            <w:szCs w:val="22"/>
          </w:rPr>
          <w:delText>Bambini e adolescenti di età compresa tra 4 e 17 anni e con peso compreso tra 15 kg e meno di 30 kg</w:delText>
        </w:r>
      </w:del>
    </w:p>
    <w:p w:rsidR="00733F11" w:rsidRPr="00295E71" w:rsidP="00FE3C0F" w14:paraId="4C5A87AB" w14:textId="77777777">
      <w:pPr>
        <w:numPr>
          <w:ilvl w:val="12"/>
          <w:numId w:val="0"/>
        </w:numPr>
        <w:tabs>
          <w:tab w:val="left" w:pos="567"/>
        </w:tabs>
        <w:ind w:right="-2"/>
        <w:rPr>
          <w:del w:id="16918" w:author="AbbVie14" w:date="2025-05-09T11:00:00Z"/>
          <w:sz w:val="22"/>
          <w:szCs w:val="22"/>
        </w:rPr>
      </w:pPr>
    </w:p>
    <w:p w:rsidR="00733F11" w:rsidRPr="00295E71" w:rsidP="00FE3C0F" w14:paraId="48139A77" w14:textId="77777777">
      <w:pPr>
        <w:numPr>
          <w:ilvl w:val="12"/>
          <w:numId w:val="0"/>
        </w:numPr>
        <w:tabs>
          <w:tab w:val="left" w:pos="567"/>
        </w:tabs>
        <w:ind w:right="-2"/>
        <w:rPr>
          <w:del w:id="16919" w:author="AbbVie14" w:date="2025-05-09T11:00:00Z"/>
          <w:sz w:val="22"/>
          <w:szCs w:val="22"/>
        </w:rPr>
      </w:pPr>
      <w:del w:id="16920" w:author="AbbVie14" w:date="2025-05-09T11:00:00Z">
        <w:r w:rsidRPr="00295E71">
          <w:rPr>
            <w:sz w:val="22"/>
            <w:szCs w:val="22"/>
          </w:rPr>
          <w:delText xml:space="preserve">La dose raccomandata di Humira è una dose iniziale di 20 mg, seguita da una dose di 20 mg la settimana seguente. Successivamente, la dose abituale è di 20 mg a settimane alterne. </w:delText>
        </w:r>
      </w:del>
    </w:p>
    <w:p w:rsidR="00733F11" w:rsidRPr="00295E71" w:rsidP="00FE3C0F" w14:paraId="33199DEC" w14:textId="77777777">
      <w:pPr>
        <w:numPr>
          <w:ilvl w:val="12"/>
          <w:numId w:val="0"/>
        </w:numPr>
        <w:tabs>
          <w:tab w:val="left" w:pos="567"/>
        </w:tabs>
        <w:ind w:right="-2"/>
        <w:rPr>
          <w:del w:id="16921" w:author="AbbVie14" w:date="2025-05-09T11:00:00Z"/>
          <w:sz w:val="22"/>
          <w:szCs w:val="22"/>
        </w:rPr>
      </w:pPr>
    </w:p>
    <w:p w:rsidR="00733F11" w:rsidRPr="00295E71" w:rsidP="00FE3C0F" w14:paraId="78CC46A4" w14:textId="77777777">
      <w:pPr>
        <w:numPr>
          <w:ilvl w:val="12"/>
          <w:numId w:val="0"/>
        </w:numPr>
        <w:ind w:right="-2"/>
        <w:rPr>
          <w:del w:id="16922" w:author="AbbVie14" w:date="2025-05-09T11:00:00Z"/>
          <w:sz w:val="22"/>
          <w:szCs w:val="22"/>
          <w:u w:val="single"/>
        </w:rPr>
      </w:pPr>
      <w:del w:id="16923" w:author="AbbVie14" w:date="2025-05-09T11:00:00Z">
        <w:r w:rsidRPr="00295E71">
          <w:rPr>
            <w:i/>
            <w:sz w:val="22"/>
            <w:szCs w:val="22"/>
          </w:rPr>
          <w:delText>Bambini e adolescenti di età compresa tra 4 e 17 anni e con peso uguale o superiore a 30 kg</w:delText>
        </w:r>
      </w:del>
    </w:p>
    <w:p w:rsidR="00733F11" w:rsidRPr="00295E71" w:rsidP="00FE3C0F" w14:paraId="4FBEEE99" w14:textId="77777777">
      <w:pPr>
        <w:numPr>
          <w:ilvl w:val="12"/>
          <w:numId w:val="0"/>
        </w:numPr>
        <w:tabs>
          <w:tab w:val="left" w:pos="567"/>
        </w:tabs>
        <w:ind w:right="-2"/>
        <w:rPr>
          <w:del w:id="16924" w:author="AbbVie14" w:date="2025-05-09T11:00:00Z"/>
          <w:sz w:val="22"/>
          <w:szCs w:val="22"/>
        </w:rPr>
      </w:pPr>
    </w:p>
    <w:p w:rsidR="00733F11" w:rsidRPr="00295E71" w:rsidP="00FE3C0F" w14:paraId="6AD44882" w14:textId="77777777">
      <w:pPr>
        <w:numPr>
          <w:ilvl w:val="12"/>
          <w:numId w:val="0"/>
        </w:numPr>
        <w:tabs>
          <w:tab w:val="left" w:pos="567"/>
        </w:tabs>
        <w:ind w:right="-2"/>
        <w:rPr>
          <w:del w:id="16925" w:author="AbbVie14" w:date="2025-05-09T11:00:00Z"/>
          <w:sz w:val="22"/>
          <w:szCs w:val="22"/>
        </w:rPr>
      </w:pPr>
      <w:del w:id="16926" w:author="AbbVie14" w:date="2025-05-09T11:00:00Z">
        <w:r w:rsidRPr="00295E71">
          <w:rPr>
            <w:sz w:val="22"/>
            <w:szCs w:val="22"/>
          </w:rPr>
          <w:delText>La dose raccomandata di Humira è una dose iniziale di 40 mg, seguita da una dose di 40 mg la settimana seguente. Successivamente, la dose abituale è di 40 mg a settimane alterne.</w:delText>
        </w:r>
      </w:del>
    </w:p>
    <w:p w:rsidR="006224C2" w:rsidRPr="00295E71" w:rsidP="00FE3C0F" w14:paraId="6CEE96C3" w14:textId="77777777">
      <w:pPr>
        <w:numPr>
          <w:ilvl w:val="12"/>
          <w:numId w:val="0"/>
        </w:numPr>
        <w:tabs>
          <w:tab w:val="left" w:pos="567"/>
        </w:tabs>
        <w:ind w:right="-2"/>
        <w:jc w:val="both"/>
        <w:rPr>
          <w:del w:id="16927" w:author="AbbVie14" w:date="2025-05-09T11:00:00Z"/>
          <w:sz w:val="22"/>
          <w:szCs w:val="22"/>
        </w:rPr>
      </w:pPr>
    </w:p>
    <w:p w:rsidR="006224C2" w:rsidRPr="00295E71" w:rsidP="00FE3C0F" w14:paraId="181ABAA4" w14:textId="77777777">
      <w:pPr>
        <w:keepNext/>
        <w:numPr>
          <w:ilvl w:val="12"/>
          <w:numId w:val="0"/>
        </w:numPr>
        <w:tabs>
          <w:tab w:val="left" w:pos="567"/>
        </w:tabs>
        <w:ind w:right="-2"/>
        <w:jc w:val="both"/>
        <w:rPr>
          <w:del w:id="16928" w:author="AbbVie14" w:date="2025-05-09T11:00:00Z"/>
          <w:sz w:val="22"/>
          <w:szCs w:val="22"/>
          <w:u w:val="single"/>
        </w:rPr>
      </w:pPr>
      <w:del w:id="16929" w:author="AbbVie14" w:date="2025-05-09T11:00:00Z">
        <w:r w:rsidRPr="00295E71">
          <w:rPr>
            <w:sz w:val="22"/>
            <w:szCs w:val="22"/>
            <w:u w:val="single"/>
          </w:rPr>
          <w:delText xml:space="preserve">Adulti con </w:delText>
        </w:r>
      </w:del>
      <w:del w:id="16930" w:author="AbbVie14" w:date="2025-05-09T11:00:00Z">
        <w:r w:rsidRPr="00295E71" w:rsidR="00F74A25">
          <w:rPr>
            <w:sz w:val="22"/>
            <w:szCs w:val="22"/>
            <w:u w:val="single"/>
          </w:rPr>
          <w:delText>i</w:delText>
        </w:r>
      </w:del>
      <w:del w:id="16931" w:author="AbbVie14" w:date="2025-05-09T11:00:00Z">
        <w:r w:rsidRPr="00295E71">
          <w:rPr>
            <w:sz w:val="22"/>
            <w:szCs w:val="22"/>
            <w:u w:val="single"/>
          </w:rPr>
          <w:delText xml:space="preserve">drosadenite </w:delText>
        </w:r>
      </w:del>
      <w:del w:id="16932" w:author="AbbVie14" w:date="2025-05-09T11:00:00Z">
        <w:r w:rsidRPr="00295E71" w:rsidR="00F74A25">
          <w:rPr>
            <w:sz w:val="22"/>
            <w:szCs w:val="22"/>
            <w:u w:val="single"/>
          </w:rPr>
          <w:delText>s</w:delText>
        </w:r>
      </w:del>
      <w:del w:id="16933" w:author="AbbVie14" w:date="2025-05-09T11:00:00Z">
        <w:r w:rsidRPr="00295E71">
          <w:rPr>
            <w:sz w:val="22"/>
            <w:szCs w:val="22"/>
            <w:u w:val="single"/>
          </w:rPr>
          <w:delText>uppurativa</w:delText>
        </w:r>
      </w:del>
    </w:p>
    <w:p w:rsidR="006224C2" w:rsidRPr="00295E71" w:rsidP="00FE3C0F" w14:paraId="5476EC89" w14:textId="77777777">
      <w:pPr>
        <w:keepNext/>
        <w:numPr>
          <w:ilvl w:val="12"/>
          <w:numId w:val="0"/>
        </w:numPr>
        <w:tabs>
          <w:tab w:val="left" w:pos="567"/>
        </w:tabs>
        <w:ind w:right="-2"/>
        <w:jc w:val="both"/>
        <w:rPr>
          <w:del w:id="16934" w:author="AbbVie14" w:date="2025-05-09T11:00:00Z"/>
          <w:sz w:val="22"/>
          <w:szCs w:val="22"/>
          <w:u w:val="single"/>
        </w:rPr>
      </w:pPr>
    </w:p>
    <w:p w:rsidR="006224C2" w:rsidRPr="00295E71" w:rsidP="00FE3C0F" w14:paraId="715D1E21" w14:textId="77777777">
      <w:pPr>
        <w:keepNext/>
        <w:rPr>
          <w:del w:id="16935" w:author="AbbVie14" w:date="2025-05-09T11:00:00Z"/>
          <w:sz w:val="22"/>
          <w:szCs w:val="22"/>
        </w:rPr>
      </w:pPr>
      <w:del w:id="16936" w:author="AbbVie14" w:date="2025-05-09T11:00:00Z">
        <w:r w:rsidRPr="00295E71">
          <w:rPr>
            <w:sz w:val="22"/>
            <w:szCs w:val="22"/>
          </w:rPr>
          <w:delText>La dose abituale per l’Idrosadenite Suppurativa è una dose iniziale di 160 mg (</w:delText>
        </w:r>
      </w:del>
      <w:del w:id="16937" w:author="AbbVie14" w:date="2025-05-09T11:00:00Z">
        <w:r w:rsidRPr="00295E71" w:rsidR="00733F11">
          <w:rPr>
            <w:sz w:val="22"/>
            <w:szCs w:val="22"/>
          </w:rPr>
          <w:delText>tramite quattro</w:delText>
        </w:r>
      </w:del>
      <w:del w:id="16938" w:author="AbbVie14" w:date="2025-05-09T11:00:00Z">
        <w:r w:rsidRPr="00295E71">
          <w:rPr>
            <w:sz w:val="22"/>
            <w:szCs w:val="22"/>
          </w:rPr>
          <w:delText xml:space="preserve"> iniezioni</w:delText>
        </w:r>
      </w:del>
      <w:del w:id="16939" w:author="AbbVie14" w:date="2025-05-09T11:00:00Z">
        <w:r w:rsidRPr="00295E71" w:rsidR="00774590">
          <w:rPr>
            <w:sz w:val="22"/>
            <w:szCs w:val="22"/>
          </w:rPr>
          <w:delText xml:space="preserve"> da 40 mg</w:delText>
        </w:r>
      </w:del>
      <w:del w:id="16940" w:author="AbbVie14" w:date="2025-05-09T11:00:00Z">
        <w:r w:rsidRPr="00295E71">
          <w:rPr>
            <w:sz w:val="22"/>
            <w:szCs w:val="22"/>
          </w:rPr>
          <w:delText xml:space="preserve"> in un giorno o </w:delText>
        </w:r>
      </w:del>
      <w:del w:id="16941" w:author="AbbVie14" w:date="2025-05-09T11:00:00Z">
        <w:r w:rsidRPr="00295E71" w:rsidR="00733F11">
          <w:rPr>
            <w:sz w:val="22"/>
            <w:szCs w:val="22"/>
          </w:rPr>
          <w:delText xml:space="preserve">due </w:delText>
        </w:r>
      </w:del>
      <w:del w:id="16942" w:author="AbbVie14" w:date="2025-05-09T11:00:00Z">
        <w:r w:rsidRPr="00295E71">
          <w:rPr>
            <w:sz w:val="22"/>
            <w:szCs w:val="22"/>
          </w:rPr>
          <w:delText>iniezioni</w:delText>
        </w:r>
      </w:del>
      <w:del w:id="16943" w:author="AbbVie14" w:date="2025-05-09T11:00:00Z">
        <w:r w:rsidRPr="00295E71" w:rsidR="00774590">
          <w:rPr>
            <w:sz w:val="22"/>
            <w:szCs w:val="22"/>
          </w:rPr>
          <w:delText xml:space="preserve"> da 40 mg</w:delText>
        </w:r>
      </w:del>
      <w:del w:id="16944" w:author="AbbVie14" w:date="2025-05-09T11:00:00Z">
        <w:r w:rsidRPr="00295E71">
          <w:rPr>
            <w:sz w:val="22"/>
            <w:szCs w:val="22"/>
          </w:rPr>
          <w:delText xml:space="preserve"> al giorno per due giorni consecutivi), seguita da una dose di 80 mg (</w:delText>
        </w:r>
      </w:del>
      <w:del w:id="16945" w:author="AbbVie14" w:date="2025-05-09T11:00:00Z">
        <w:r w:rsidRPr="00295E71" w:rsidR="00733F11">
          <w:rPr>
            <w:sz w:val="22"/>
            <w:szCs w:val="22"/>
          </w:rPr>
          <w:delText xml:space="preserve">tramite due </w:delText>
        </w:r>
      </w:del>
      <w:del w:id="16946" w:author="AbbVie14" w:date="2025-05-09T11:00:00Z">
        <w:r w:rsidRPr="00295E71">
          <w:rPr>
            <w:sz w:val="22"/>
            <w:szCs w:val="22"/>
          </w:rPr>
          <w:delText>iniezioni</w:delText>
        </w:r>
      </w:del>
      <w:del w:id="16947" w:author="AbbVie14" w:date="2025-05-09T11:00:00Z">
        <w:r w:rsidRPr="00295E71" w:rsidR="00774590">
          <w:rPr>
            <w:sz w:val="22"/>
            <w:szCs w:val="22"/>
          </w:rPr>
          <w:delText xml:space="preserve"> da 40 mg</w:delText>
        </w:r>
      </w:del>
      <w:del w:id="16948" w:author="AbbVie14" w:date="2025-05-09T11:00:00Z">
        <w:r w:rsidRPr="00295E71">
          <w:rPr>
            <w:sz w:val="22"/>
            <w:szCs w:val="22"/>
          </w:rPr>
          <w:delText xml:space="preserve"> </w:delText>
        </w:r>
      </w:del>
      <w:del w:id="16949" w:author="AbbVie14" w:date="2025-05-09T11:00:00Z">
        <w:r w:rsidRPr="00295E71" w:rsidR="00733F11">
          <w:rPr>
            <w:sz w:val="22"/>
            <w:szCs w:val="22"/>
          </w:rPr>
          <w:delText>in un</w:delText>
        </w:r>
      </w:del>
      <w:del w:id="16950" w:author="AbbVie14" w:date="2025-05-09T11:00:00Z">
        <w:r w:rsidRPr="00295E71">
          <w:rPr>
            <w:sz w:val="22"/>
            <w:szCs w:val="22"/>
          </w:rPr>
          <w:delText xml:space="preserve"> giorno) due settimane dopo. Dopo altre due settimane, continuare con una dose di 40 mg a settimana</w:delText>
        </w:r>
      </w:del>
      <w:del w:id="16951" w:author="AbbVie14" w:date="2025-05-09T11:00:00Z">
        <w:r w:rsidRPr="00295E71" w:rsidR="00774590">
          <w:delText xml:space="preserve"> </w:delText>
        </w:r>
      </w:del>
      <w:del w:id="16952" w:author="AbbVie14" w:date="2025-05-09T11:00:00Z">
        <w:r w:rsidRPr="00295E71" w:rsidR="00774590">
          <w:rPr>
            <w:sz w:val="22"/>
            <w:szCs w:val="22"/>
          </w:rPr>
          <w:delText>o 80 mg a settimane alterne, come prescritto dal medico</w:delText>
        </w:r>
      </w:del>
      <w:del w:id="16953" w:author="AbbVie14" w:date="2025-05-09T11:00:00Z">
        <w:r w:rsidRPr="00295E71">
          <w:rPr>
            <w:sz w:val="22"/>
            <w:szCs w:val="22"/>
          </w:rPr>
          <w:delText xml:space="preserve">. Si raccomanda di utilizzare tutti i giorni una soluzione di lavaggio antisettica sulle aree interessate. </w:delText>
        </w:r>
      </w:del>
    </w:p>
    <w:p w:rsidR="006224C2" w:rsidRPr="00295E71" w:rsidP="00FE3C0F" w14:paraId="1C59DA71" w14:textId="77777777">
      <w:pPr>
        <w:numPr>
          <w:ilvl w:val="12"/>
          <w:numId w:val="0"/>
        </w:numPr>
        <w:tabs>
          <w:tab w:val="left" w:pos="567"/>
        </w:tabs>
        <w:ind w:right="-2"/>
        <w:jc w:val="both"/>
        <w:rPr>
          <w:del w:id="16954" w:author="AbbVie14" w:date="2025-05-09T11:00:00Z"/>
          <w:sz w:val="22"/>
          <w:szCs w:val="22"/>
          <w:u w:val="single"/>
        </w:rPr>
      </w:pPr>
    </w:p>
    <w:p w:rsidR="006224C2" w:rsidRPr="00295E71" w:rsidP="00FE3C0F" w14:paraId="3E1DDDAB" w14:textId="77777777">
      <w:pPr>
        <w:keepNext/>
        <w:keepLines/>
        <w:numPr>
          <w:ilvl w:val="12"/>
          <w:numId w:val="0"/>
        </w:numPr>
        <w:rPr>
          <w:del w:id="16955" w:author="AbbVie14" w:date="2025-05-09T11:00:00Z"/>
          <w:sz w:val="22"/>
          <w:szCs w:val="22"/>
          <w:u w:val="single"/>
        </w:rPr>
      </w:pPr>
      <w:del w:id="16956" w:author="AbbVie14" w:date="2025-05-09T11:00:00Z">
        <w:r w:rsidRPr="00295E71">
          <w:rPr>
            <w:sz w:val="22"/>
            <w:szCs w:val="22"/>
            <w:u w:val="single"/>
          </w:rPr>
          <w:delText xml:space="preserve">Adolescenti con idrosadenite suppurativa </w:delText>
        </w:r>
      </w:del>
      <w:del w:id="16957" w:author="AbbVie14" w:date="2025-05-09T11:00:00Z">
        <w:r w:rsidRPr="00295E71" w:rsidR="00733F11">
          <w:rPr>
            <w:sz w:val="22"/>
            <w:szCs w:val="22"/>
            <w:u w:val="single"/>
          </w:rPr>
          <w:delText>di età compresa tra</w:delText>
        </w:r>
      </w:del>
      <w:del w:id="16958" w:author="AbbVie14" w:date="2025-05-09T11:00:00Z">
        <w:r w:rsidRPr="00295E71">
          <w:rPr>
            <w:sz w:val="22"/>
            <w:szCs w:val="22"/>
            <w:u w:val="single"/>
          </w:rPr>
          <w:delText xml:space="preserve"> 12</w:delText>
        </w:r>
      </w:del>
      <w:del w:id="16959" w:author="AbbVie14" w:date="2025-05-09T11:00:00Z">
        <w:r w:rsidRPr="00295E71" w:rsidR="00733F11">
          <w:rPr>
            <w:sz w:val="22"/>
            <w:szCs w:val="22"/>
            <w:u w:val="single"/>
          </w:rPr>
          <w:delText xml:space="preserve"> e 17</w:delText>
        </w:r>
      </w:del>
      <w:del w:id="16960" w:author="AbbVie14" w:date="2025-05-09T11:00:00Z">
        <w:r w:rsidRPr="00295E71">
          <w:rPr>
            <w:sz w:val="22"/>
            <w:szCs w:val="22"/>
            <w:u w:val="single"/>
          </w:rPr>
          <w:delText xml:space="preserve"> anni d’età, </w:delText>
        </w:r>
      </w:del>
      <w:del w:id="16961" w:author="AbbVie14" w:date="2025-05-09T11:00:00Z">
        <w:r w:rsidRPr="00295E71" w:rsidR="00733F11">
          <w:rPr>
            <w:sz w:val="22"/>
            <w:szCs w:val="22"/>
            <w:u w:val="single"/>
          </w:rPr>
          <w:delText>con peso uguale o superiore a 30 kg</w:delText>
        </w:r>
      </w:del>
    </w:p>
    <w:p w:rsidR="006224C2" w:rsidRPr="00295E71" w:rsidP="00FE3C0F" w14:paraId="1ACDC0F1" w14:textId="77777777">
      <w:pPr>
        <w:keepNext/>
        <w:keepLines/>
        <w:numPr>
          <w:ilvl w:val="12"/>
          <w:numId w:val="0"/>
        </w:numPr>
        <w:rPr>
          <w:del w:id="16962" w:author="AbbVie14" w:date="2025-05-09T11:00:00Z"/>
          <w:sz w:val="22"/>
          <w:szCs w:val="22"/>
        </w:rPr>
      </w:pPr>
    </w:p>
    <w:p w:rsidR="006224C2" w:rsidRPr="00295E71" w:rsidP="00FE3C0F" w14:paraId="626F8C87" w14:textId="77777777">
      <w:pPr>
        <w:keepNext/>
        <w:keepLines/>
        <w:numPr>
          <w:ilvl w:val="12"/>
          <w:numId w:val="0"/>
        </w:numPr>
        <w:jc w:val="both"/>
        <w:rPr>
          <w:del w:id="16963" w:author="AbbVie14" w:date="2025-05-09T11:00:00Z"/>
          <w:sz w:val="22"/>
          <w:szCs w:val="22"/>
        </w:rPr>
      </w:pPr>
      <w:del w:id="16964" w:author="AbbVie14" w:date="2025-05-09T11:00:00Z">
        <w:r w:rsidRPr="00295E71">
          <w:rPr>
            <w:sz w:val="22"/>
            <w:szCs w:val="22"/>
          </w:rPr>
          <w:delText>La dose raccomandata di Humira è una dose iniziale di 80 mg (</w:delText>
        </w:r>
      </w:del>
      <w:del w:id="16965" w:author="AbbVie14" w:date="2025-05-09T11:00:00Z">
        <w:r w:rsidRPr="00295E71" w:rsidR="00733F11">
          <w:rPr>
            <w:sz w:val="22"/>
            <w:szCs w:val="22"/>
          </w:rPr>
          <w:delText xml:space="preserve">tramite </w:delText>
        </w:r>
      </w:del>
      <w:del w:id="16966" w:author="AbbVie14" w:date="2025-05-09T11:00:00Z">
        <w:r w:rsidRPr="00295E71">
          <w:rPr>
            <w:sz w:val="22"/>
            <w:szCs w:val="22"/>
          </w:rPr>
          <w:delText xml:space="preserve">due iniezioni </w:delText>
        </w:r>
      </w:del>
      <w:del w:id="16967" w:author="AbbVie14" w:date="2025-05-09T11:00:00Z">
        <w:r w:rsidRPr="00295E71" w:rsidR="00651173">
          <w:rPr>
            <w:sz w:val="22"/>
            <w:szCs w:val="22"/>
          </w:rPr>
          <w:delText xml:space="preserve">da 40 mg </w:delText>
        </w:r>
      </w:del>
      <w:del w:id="16968" w:author="AbbVie14" w:date="2025-05-09T11:00:00Z">
        <w:r w:rsidRPr="00295E71">
          <w:rPr>
            <w:sz w:val="22"/>
            <w:szCs w:val="22"/>
          </w:rPr>
          <w:delText>in un giorno), seguita da 40 mg somministrati a settimane alterne a partire da una settimana dopo la dose iniziale. In caso di risposta inadeguata</w:delText>
        </w:r>
      </w:del>
      <w:del w:id="16969" w:author="AbbVie14" w:date="2025-05-09T11:00:00Z">
        <w:r w:rsidRPr="00295E71" w:rsidR="00651173">
          <w:rPr>
            <w:sz w:val="22"/>
            <w:szCs w:val="22"/>
          </w:rPr>
          <w:delText xml:space="preserve"> a 40 mg di Humira a settimane alterne</w:delText>
        </w:r>
      </w:del>
      <w:del w:id="16970" w:author="AbbVie14" w:date="2025-05-09T11:00:00Z">
        <w:r w:rsidRPr="00295E71">
          <w:rPr>
            <w:sz w:val="22"/>
            <w:szCs w:val="22"/>
          </w:rPr>
          <w:delText xml:space="preserve">, il medico può aumentare  </w:delText>
        </w:r>
      </w:del>
      <w:del w:id="16971" w:author="AbbVie14" w:date="2025-05-09T11:00:00Z">
        <w:r w:rsidRPr="00295E71" w:rsidR="00651173">
          <w:rPr>
            <w:sz w:val="22"/>
            <w:szCs w:val="22"/>
          </w:rPr>
          <w:delText xml:space="preserve">il </w:delText>
        </w:r>
      </w:del>
      <w:del w:id="16972" w:author="AbbVie14" w:date="2025-05-09T11:00:00Z">
        <w:r w:rsidRPr="00295E71">
          <w:rPr>
            <w:sz w:val="22"/>
            <w:szCs w:val="22"/>
          </w:rPr>
          <w:delText>dos</w:delText>
        </w:r>
      </w:del>
      <w:del w:id="16973" w:author="AbbVie14" w:date="2025-05-09T11:00:00Z">
        <w:r w:rsidRPr="00295E71" w:rsidR="00651173">
          <w:rPr>
            <w:sz w:val="22"/>
            <w:szCs w:val="22"/>
          </w:rPr>
          <w:delText>aggio</w:delText>
        </w:r>
      </w:del>
      <w:del w:id="16974" w:author="AbbVie14" w:date="2025-05-09T11:00:00Z">
        <w:r w:rsidRPr="00295E71">
          <w:rPr>
            <w:sz w:val="22"/>
            <w:szCs w:val="22"/>
          </w:rPr>
          <w:delText xml:space="preserve"> a 40 mg ogni settimana</w:delText>
        </w:r>
      </w:del>
      <w:del w:id="16975" w:author="AbbVie14" w:date="2025-05-09T11:00:00Z">
        <w:r w:rsidRPr="00295E71" w:rsidR="00651173">
          <w:rPr>
            <w:sz w:val="22"/>
            <w:szCs w:val="22"/>
          </w:rPr>
          <w:delText xml:space="preserve"> o 80 mg a settimane alterne</w:delText>
        </w:r>
      </w:del>
      <w:del w:id="16976" w:author="AbbVie14" w:date="2025-05-09T11:00:00Z">
        <w:r w:rsidRPr="00295E71">
          <w:rPr>
            <w:sz w:val="22"/>
            <w:szCs w:val="22"/>
          </w:rPr>
          <w:delText>.</w:delText>
        </w:r>
      </w:del>
    </w:p>
    <w:p w:rsidR="006224C2" w:rsidRPr="00295E71" w:rsidP="00FE3C0F" w14:paraId="6C6F12F9" w14:textId="77777777">
      <w:pPr>
        <w:numPr>
          <w:ilvl w:val="12"/>
          <w:numId w:val="0"/>
        </w:numPr>
        <w:ind w:right="-2"/>
        <w:rPr>
          <w:del w:id="16977" w:author="AbbVie14" w:date="2025-05-09T11:00:00Z"/>
          <w:sz w:val="22"/>
          <w:szCs w:val="22"/>
        </w:rPr>
      </w:pPr>
    </w:p>
    <w:p w:rsidR="006224C2" w:rsidRPr="00295E71" w:rsidP="00FE3C0F" w14:paraId="7C37C4ED" w14:textId="77777777">
      <w:pPr>
        <w:numPr>
          <w:ilvl w:val="12"/>
          <w:numId w:val="0"/>
        </w:numPr>
        <w:ind w:right="-2"/>
        <w:rPr>
          <w:del w:id="16978" w:author="AbbVie14" w:date="2025-05-09T11:00:00Z"/>
          <w:sz w:val="22"/>
          <w:szCs w:val="22"/>
        </w:rPr>
      </w:pPr>
      <w:del w:id="16979" w:author="AbbVie14" w:date="2025-05-09T11:00:00Z">
        <w:r w:rsidRPr="00295E71">
          <w:rPr>
            <w:sz w:val="22"/>
            <w:szCs w:val="22"/>
          </w:rPr>
          <w:delText>Si raccomanda di utilizzare tutti i giorni una soluzione di lavaggio antisettica sulle aree interessate.</w:delText>
        </w:r>
      </w:del>
    </w:p>
    <w:p w:rsidR="006224C2" w:rsidRPr="00295E71" w:rsidP="00FE3C0F" w14:paraId="028ABCA6" w14:textId="77777777">
      <w:pPr>
        <w:numPr>
          <w:ilvl w:val="12"/>
          <w:numId w:val="0"/>
        </w:numPr>
        <w:ind w:right="-2"/>
        <w:rPr>
          <w:del w:id="16980" w:author="AbbVie14" w:date="2025-05-09T11:00:00Z"/>
          <w:sz w:val="22"/>
          <w:szCs w:val="22"/>
        </w:rPr>
      </w:pPr>
    </w:p>
    <w:p w:rsidR="006224C2" w:rsidRPr="00295E71" w:rsidP="00FE3C0F" w14:paraId="1F73EC39" w14:textId="77777777">
      <w:pPr>
        <w:numPr>
          <w:ilvl w:val="12"/>
          <w:numId w:val="0"/>
        </w:numPr>
        <w:tabs>
          <w:tab w:val="left" w:pos="567"/>
        </w:tabs>
        <w:ind w:right="-2"/>
        <w:jc w:val="both"/>
        <w:rPr>
          <w:del w:id="16981" w:author="AbbVie14" w:date="2025-05-09T11:00:00Z"/>
          <w:sz w:val="22"/>
          <w:szCs w:val="22"/>
          <w:u w:val="single"/>
        </w:rPr>
      </w:pPr>
      <w:del w:id="16982" w:author="AbbVie14" w:date="2025-05-09T11:00:00Z">
        <w:r w:rsidRPr="00295E71">
          <w:rPr>
            <w:sz w:val="22"/>
            <w:szCs w:val="22"/>
            <w:u w:val="single"/>
          </w:rPr>
          <w:delText>Adulti con malattia di Crohn</w:delText>
        </w:r>
      </w:del>
    </w:p>
    <w:p w:rsidR="006224C2" w:rsidRPr="00295E71" w:rsidP="00FE3C0F" w14:paraId="3D39F7DD" w14:textId="77777777">
      <w:pPr>
        <w:numPr>
          <w:ilvl w:val="12"/>
          <w:numId w:val="0"/>
        </w:numPr>
        <w:tabs>
          <w:tab w:val="left" w:pos="567"/>
        </w:tabs>
        <w:ind w:right="-2"/>
        <w:jc w:val="both"/>
        <w:rPr>
          <w:del w:id="16983" w:author="AbbVie14" w:date="2025-05-09T11:00:00Z"/>
          <w:sz w:val="22"/>
          <w:szCs w:val="22"/>
        </w:rPr>
      </w:pPr>
    </w:p>
    <w:p w:rsidR="006224C2" w:rsidRPr="00295E71" w:rsidP="00FE3C0F" w14:paraId="73E6A9C1" w14:textId="77777777">
      <w:pPr>
        <w:numPr>
          <w:ilvl w:val="12"/>
          <w:numId w:val="0"/>
        </w:numPr>
        <w:tabs>
          <w:tab w:val="left" w:pos="567"/>
        </w:tabs>
        <w:ind w:right="-2"/>
        <w:jc w:val="both"/>
        <w:rPr>
          <w:del w:id="16984" w:author="AbbVie14" w:date="2025-05-09T11:00:00Z"/>
          <w:sz w:val="22"/>
          <w:szCs w:val="22"/>
        </w:rPr>
      </w:pPr>
      <w:del w:id="16985" w:author="AbbVie14" w:date="2025-05-09T11:00:00Z">
        <w:r w:rsidRPr="00295E71">
          <w:rPr>
            <w:sz w:val="22"/>
            <w:szCs w:val="22"/>
          </w:rPr>
          <w:delText xml:space="preserve">La dose abituale in caso di malattia di Crohn è inizialmente di 80 mg </w:delText>
        </w:r>
      </w:del>
      <w:del w:id="16986" w:author="AbbVie14" w:date="2025-05-09T11:00:00Z">
        <w:r w:rsidRPr="00295E71" w:rsidR="00105F84">
          <w:rPr>
            <w:sz w:val="22"/>
            <w:szCs w:val="22"/>
          </w:rPr>
          <w:delText>(tramite due iniezioni</w:delText>
        </w:r>
      </w:del>
      <w:del w:id="16987" w:author="AbbVie14" w:date="2025-05-09T11:00:00Z">
        <w:r w:rsidRPr="00295E71" w:rsidR="00651173">
          <w:rPr>
            <w:sz w:val="22"/>
            <w:szCs w:val="22"/>
          </w:rPr>
          <w:delText xml:space="preserve"> da 40 mg</w:delText>
        </w:r>
      </w:del>
      <w:del w:id="16988" w:author="AbbVie14" w:date="2025-05-09T11:00:00Z">
        <w:r w:rsidRPr="00295E71" w:rsidR="00105F84">
          <w:rPr>
            <w:sz w:val="22"/>
            <w:szCs w:val="22"/>
          </w:rPr>
          <w:delText xml:space="preserve"> in un giorno) </w:delText>
        </w:r>
      </w:del>
      <w:del w:id="16989" w:author="AbbVie14" w:date="2025-05-09T11:00:00Z">
        <w:r w:rsidRPr="00295E71" w:rsidR="00D2020A">
          <w:rPr>
            <w:sz w:val="22"/>
            <w:szCs w:val="22"/>
          </w:rPr>
          <w:delText xml:space="preserve">seguita </w:delText>
        </w:r>
      </w:del>
      <w:del w:id="16990" w:author="AbbVie14" w:date="2025-05-09T11:00:00Z">
        <w:r w:rsidRPr="00295E71">
          <w:rPr>
            <w:sz w:val="22"/>
            <w:szCs w:val="22"/>
          </w:rPr>
          <w:delText xml:space="preserve">da 40 mg a settimane alterne, </w:delText>
        </w:r>
      </w:del>
      <w:del w:id="16991" w:author="AbbVie14" w:date="2025-05-09T11:00:00Z">
        <w:r w:rsidRPr="00295E71" w:rsidR="00DB5284">
          <w:rPr>
            <w:sz w:val="22"/>
            <w:szCs w:val="22"/>
          </w:rPr>
          <w:delText xml:space="preserve">dopo </w:delText>
        </w:r>
      </w:del>
      <w:del w:id="16992" w:author="AbbVie14" w:date="2025-05-09T11:00:00Z">
        <w:r w:rsidRPr="00295E71">
          <w:rPr>
            <w:sz w:val="22"/>
            <w:szCs w:val="22"/>
          </w:rPr>
          <w:delText xml:space="preserve">due settimane. </w:delText>
        </w:r>
      </w:del>
      <w:del w:id="16993" w:author="AbbVie14" w:date="2025-05-09T11:00:00Z">
        <w:r w:rsidRPr="00295E71" w:rsidR="00DB5284">
          <w:rPr>
            <w:sz w:val="22"/>
            <w:szCs w:val="22"/>
          </w:rPr>
          <w:delText>Nel caso sia necessaria</w:delText>
        </w:r>
      </w:del>
      <w:del w:id="16994" w:author="AbbVie14" w:date="2025-05-09T11:00:00Z">
        <w:r w:rsidRPr="00295E71">
          <w:rPr>
            <w:sz w:val="22"/>
            <w:szCs w:val="22"/>
          </w:rPr>
          <w:delText xml:space="preserve"> una risposta più rapida, il medico </w:delText>
        </w:r>
      </w:del>
      <w:del w:id="16995" w:author="AbbVie14" w:date="2025-05-09T11:00:00Z">
        <w:r w:rsidRPr="00295E71" w:rsidR="00DB5284">
          <w:rPr>
            <w:sz w:val="22"/>
            <w:szCs w:val="22"/>
          </w:rPr>
          <w:delText xml:space="preserve">può </w:delText>
        </w:r>
      </w:del>
      <w:del w:id="16996" w:author="AbbVie14" w:date="2025-05-09T11:00:00Z">
        <w:r w:rsidRPr="00295E71">
          <w:rPr>
            <w:sz w:val="22"/>
            <w:szCs w:val="22"/>
          </w:rPr>
          <w:delText>prescrivere una dose iniziale di 160 mg (</w:delText>
        </w:r>
      </w:del>
      <w:del w:id="16997" w:author="AbbVie14" w:date="2025-05-09T11:00:00Z">
        <w:r w:rsidRPr="00295E71" w:rsidR="00DB5284">
          <w:rPr>
            <w:sz w:val="22"/>
            <w:szCs w:val="22"/>
          </w:rPr>
          <w:delText>tramite</w:delText>
        </w:r>
      </w:del>
      <w:del w:id="16998" w:author="AbbVie14" w:date="2025-05-09T11:00:00Z">
        <w:r w:rsidRPr="00295E71">
          <w:rPr>
            <w:sz w:val="22"/>
            <w:szCs w:val="22"/>
          </w:rPr>
          <w:delText xml:space="preserve"> </w:delText>
        </w:r>
      </w:del>
      <w:del w:id="16999" w:author="AbbVie14" w:date="2025-05-09T11:00:00Z">
        <w:r w:rsidRPr="00295E71" w:rsidR="00105F84">
          <w:rPr>
            <w:sz w:val="22"/>
            <w:szCs w:val="22"/>
          </w:rPr>
          <w:delText xml:space="preserve">quattro </w:delText>
        </w:r>
      </w:del>
      <w:del w:id="17000" w:author="AbbVie14" w:date="2025-05-09T11:00:00Z">
        <w:r w:rsidRPr="00295E71">
          <w:rPr>
            <w:sz w:val="22"/>
            <w:szCs w:val="22"/>
          </w:rPr>
          <w:delText>iniezioni</w:delText>
        </w:r>
      </w:del>
      <w:del w:id="17001" w:author="AbbVie14" w:date="2025-05-09T11:00:00Z">
        <w:r w:rsidRPr="00295E71" w:rsidR="00651173">
          <w:rPr>
            <w:sz w:val="22"/>
            <w:szCs w:val="22"/>
          </w:rPr>
          <w:delText xml:space="preserve"> da 40 mg</w:delText>
        </w:r>
      </w:del>
      <w:del w:id="17002" w:author="AbbVie14" w:date="2025-05-09T11:00:00Z">
        <w:r w:rsidRPr="00295E71">
          <w:rPr>
            <w:sz w:val="22"/>
            <w:szCs w:val="22"/>
          </w:rPr>
          <w:delText xml:space="preserve"> in un giorno o </w:delText>
        </w:r>
      </w:del>
      <w:del w:id="17003" w:author="AbbVie14" w:date="2025-05-09T11:00:00Z">
        <w:r w:rsidRPr="00295E71" w:rsidR="00105F84">
          <w:rPr>
            <w:sz w:val="22"/>
            <w:szCs w:val="22"/>
          </w:rPr>
          <w:delText xml:space="preserve">due </w:delText>
        </w:r>
      </w:del>
      <w:del w:id="17004" w:author="AbbVie14" w:date="2025-05-09T11:00:00Z">
        <w:r w:rsidRPr="00295E71">
          <w:rPr>
            <w:sz w:val="22"/>
            <w:szCs w:val="22"/>
          </w:rPr>
          <w:delText>iniezioni</w:delText>
        </w:r>
      </w:del>
      <w:del w:id="17005" w:author="AbbVie14" w:date="2025-05-09T11:00:00Z">
        <w:r w:rsidRPr="00295E71" w:rsidR="00651173">
          <w:rPr>
            <w:sz w:val="22"/>
            <w:szCs w:val="22"/>
          </w:rPr>
          <w:delText xml:space="preserve"> da 40 mg</w:delText>
        </w:r>
      </w:del>
      <w:del w:id="17006" w:author="AbbVie14" w:date="2025-05-09T11:00:00Z">
        <w:r w:rsidRPr="00295E71">
          <w:rPr>
            <w:sz w:val="22"/>
            <w:szCs w:val="22"/>
          </w:rPr>
          <w:delText xml:space="preserve"> al giorno per due giorni consecutivi) seguita da 80 mg </w:delText>
        </w:r>
      </w:del>
      <w:del w:id="17007" w:author="AbbVie14" w:date="2025-05-09T11:00:00Z">
        <w:r w:rsidRPr="00295E71" w:rsidR="00105F84">
          <w:rPr>
            <w:sz w:val="22"/>
            <w:szCs w:val="22"/>
          </w:rPr>
          <w:delText>(tramite due iniezioni</w:delText>
        </w:r>
      </w:del>
      <w:del w:id="17008" w:author="AbbVie14" w:date="2025-05-09T11:00:00Z">
        <w:r w:rsidRPr="00295E71" w:rsidR="00651173">
          <w:rPr>
            <w:sz w:val="22"/>
            <w:szCs w:val="22"/>
          </w:rPr>
          <w:delText xml:space="preserve"> da 40 mg</w:delText>
        </w:r>
      </w:del>
      <w:del w:id="17009" w:author="AbbVie14" w:date="2025-05-09T11:00:00Z">
        <w:r w:rsidRPr="00295E71" w:rsidR="00105F84">
          <w:rPr>
            <w:sz w:val="22"/>
            <w:szCs w:val="22"/>
          </w:rPr>
          <w:delText xml:space="preserve"> in un giorno) </w:delText>
        </w:r>
      </w:del>
      <w:del w:id="17010" w:author="AbbVie14" w:date="2025-05-09T11:00:00Z">
        <w:r w:rsidRPr="00295E71" w:rsidR="00891083">
          <w:rPr>
            <w:sz w:val="22"/>
            <w:szCs w:val="22"/>
          </w:rPr>
          <w:delText xml:space="preserve">dopo </w:delText>
        </w:r>
      </w:del>
      <w:del w:id="17011" w:author="AbbVie14" w:date="2025-05-09T11:00:00Z">
        <w:r w:rsidRPr="00295E71">
          <w:rPr>
            <w:sz w:val="22"/>
            <w:szCs w:val="22"/>
          </w:rPr>
          <w:delText xml:space="preserve">due settimane , e successivamente 40 mg a settimane alterne. In funzione della risposta clinica, il medico </w:delText>
        </w:r>
      </w:del>
      <w:del w:id="17012" w:author="AbbVie14" w:date="2025-05-09T11:00:00Z">
        <w:r w:rsidRPr="00295E71" w:rsidR="00DA7ABD">
          <w:rPr>
            <w:sz w:val="22"/>
            <w:szCs w:val="22"/>
          </w:rPr>
          <w:delText xml:space="preserve">può </w:delText>
        </w:r>
      </w:del>
      <w:del w:id="17013" w:author="AbbVie14" w:date="2025-05-09T11:00:00Z">
        <w:r w:rsidRPr="00295E71">
          <w:rPr>
            <w:sz w:val="22"/>
            <w:szCs w:val="22"/>
          </w:rPr>
          <w:delText xml:space="preserve">aumentare </w:delText>
        </w:r>
      </w:del>
      <w:del w:id="17014" w:author="AbbVie14" w:date="2025-05-09T11:00:00Z">
        <w:r w:rsidRPr="00295E71" w:rsidR="00B309F2">
          <w:rPr>
            <w:sz w:val="22"/>
            <w:szCs w:val="22"/>
          </w:rPr>
          <w:delText>il</w:delText>
        </w:r>
      </w:del>
      <w:del w:id="17015" w:author="AbbVie14" w:date="2025-05-09T11:00:00Z">
        <w:r w:rsidRPr="00295E71">
          <w:rPr>
            <w:sz w:val="22"/>
            <w:szCs w:val="22"/>
          </w:rPr>
          <w:delText xml:space="preserve"> dos</w:delText>
        </w:r>
      </w:del>
      <w:del w:id="17016" w:author="AbbVie14" w:date="2025-05-09T11:00:00Z">
        <w:r w:rsidRPr="00295E71" w:rsidR="00B309F2">
          <w:rPr>
            <w:sz w:val="22"/>
            <w:szCs w:val="22"/>
          </w:rPr>
          <w:delText>aggio</w:delText>
        </w:r>
      </w:del>
      <w:del w:id="17017" w:author="AbbVie14" w:date="2025-05-09T11:00:00Z">
        <w:r w:rsidRPr="00295E71">
          <w:rPr>
            <w:sz w:val="22"/>
            <w:szCs w:val="22"/>
          </w:rPr>
          <w:delText xml:space="preserve"> a 40 mg ogni settimana</w:delText>
        </w:r>
      </w:del>
      <w:del w:id="17018" w:author="AbbVie14" w:date="2025-05-09T11:00:00Z">
        <w:r w:rsidRPr="00295E71" w:rsidR="00B309F2">
          <w:rPr>
            <w:sz w:val="22"/>
            <w:szCs w:val="22"/>
          </w:rPr>
          <w:delText xml:space="preserve"> o 80 mg a settimane alterne</w:delText>
        </w:r>
      </w:del>
      <w:del w:id="17019" w:author="AbbVie14" w:date="2025-05-09T11:00:00Z">
        <w:r w:rsidRPr="00295E71">
          <w:rPr>
            <w:sz w:val="22"/>
            <w:szCs w:val="22"/>
          </w:rPr>
          <w:delText xml:space="preserve">. </w:delText>
        </w:r>
      </w:del>
    </w:p>
    <w:p w:rsidR="006224C2" w:rsidRPr="00295E71" w:rsidP="00FE3C0F" w14:paraId="730B5476" w14:textId="77777777">
      <w:pPr>
        <w:rPr>
          <w:del w:id="17020" w:author="AbbVie14" w:date="2025-05-09T11:00:00Z"/>
          <w:sz w:val="22"/>
          <w:szCs w:val="22"/>
        </w:rPr>
      </w:pPr>
    </w:p>
    <w:p w:rsidR="006224C2" w:rsidRPr="00295E71" w:rsidP="00FE3C0F" w14:paraId="14B41CBE" w14:textId="77777777">
      <w:pPr>
        <w:rPr>
          <w:del w:id="17021" w:author="AbbVie14" w:date="2025-05-09T11:00:00Z"/>
          <w:sz w:val="22"/>
          <w:szCs w:val="22"/>
          <w:u w:val="single"/>
        </w:rPr>
      </w:pPr>
      <w:del w:id="17022" w:author="AbbVie14" w:date="2025-05-09T11:00:00Z">
        <w:r w:rsidRPr="00295E71">
          <w:rPr>
            <w:sz w:val="22"/>
            <w:szCs w:val="22"/>
            <w:u w:val="single"/>
          </w:rPr>
          <w:delText xml:space="preserve">Bambini </w:delText>
        </w:r>
      </w:del>
      <w:del w:id="17023" w:author="AbbVie14" w:date="2025-05-09T11:00:00Z">
        <w:r w:rsidRPr="00295E71" w:rsidR="00105F84">
          <w:rPr>
            <w:sz w:val="22"/>
            <w:szCs w:val="22"/>
            <w:u w:val="single"/>
          </w:rPr>
          <w:delText xml:space="preserve">e </w:delText>
        </w:r>
      </w:del>
      <w:del w:id="17024" w:author="AbbVie14" w:date="2025-05-09T11:00:00Z">
        <w:r w:rsidRPr="00295E71">
          <w:rPr>
            <w:sz w:val="22"/>
            <w:szCs w:val="22"/>
            <w:u w:val="single"/>
          </w:rPr>
          <w:delText>adolescenti con malattia di Crohn</w:delText>
        </w:r>
      </w:del>
    </w:p>
    <w:p w:rsidR="006224C2" w:rsidRPr="00295E71" w:rsidP="00FE3C0F" w14:paraId="5CBF71D3" w14:textId="77777777">
      <w:pPr>
        <w:pStyle w:val="BodyText2"/>
        <w:jc w:val="both"/>
        <w:rPr>
          <w:del w:id="17025" w:author="AbbVie14" w:date="2025-05-09T11:00:00Z"/>
        </w:rPr>
      </w:pPr>
    </w:p>
    <w:p w:rsidR="00105F84" w:rsidRPr="00295E71" w:rsidP="00FE3C0F" w14:paraId="377E8C76" w14:textId="77777777">
      <w:pPr>
        <w:numPr>
          <w:ilvl w:val="12"/>
          <w:numId w:val="0"/>
        </w:numPr>
        <w:ind w:right="-2"/>
        <w:rPr>
          <w:del w:id="17026" w:author="AbbVie14" w:date="2025-05-09T11:00:00Z"/>
          <w:sz w:val="22"/>
          <w:szCs w:val="22"/>
          <w:u w:val="single"/>
        </w:rPr>
      </w:pPr>
      <w:del w:id="17027" w:author="AbbVie14" w:date="2025-05-09T11:00:00Z">
        <w:r w:rsidRPr="00295E71">
          <w:rPr>
            <w:i/>
            <w:sz w:val="22"/>
            <w:szCs w:val="22"/>
          </w:rPr>
          <w:delText>Bambini e adolescenti di età compresa tra 6 e 17 anni e con peso inferiore a 40 kg</w:delText>
        </w:r>
      </w:del>
    </w:p>
    <w:p w:rsidR="006224C2" w:rsidRPr="00295E71" w:rsidP="00FE3C0F" w14:paraId="0CDF586C" w14:textId="77777777">
      <w:pPr>
        <w:pStyle w:val="BodyText2"/>
        <w:jc w:val="both"/>
        <w:rPr>
          <w:del w:id="17028" w:author="AbbVie14" w:date="2025-05-09T11:00:00Z"/>
        </w:rPr>
      </w:pPr>
    </w:p>
    <w:p w:rsidR="006224C2" w:rsidRPr="00295E71" w:rsidP="00FE3C0F" w14:paraId="6F4FDAA2" w14:textId="77777777">
      <w:pPr>
        <w:pStyle w:val="BodyText2"/>
        <w:jc w:val="both"/>
        <w:rPr>
          <w:del w:id="17029" w:author="AbbVie14" w:date="2025-05-09T11:00:00Z"/>
        </w:rPr>
      </w:pPr>
      <w:del w:id="17030" w:author="AbbVie14" w:date="2025-05-09T11:00:00Z">
        <w:r w:rsidRPr="00295E71">
          <w:delText>La</w:delText>
        </w:r>
      </w:del>
      <w:del w:id="17031" w:author="AbbVie14" w:date="2025-05-09T11:00:00Z">
        <w:r w:rsidRPr="00295E71" w:rsidR="00226BC4">
          <w:delText xml:space="preserve"> dose abituale è </w:delText>
        </w:r>
      </w:del>
      <w:del w:id="17032" w:author="AbbVie14" w:date="2025-05-09T11:00:00Z">
        <w:r w:rsidRPr="00295E71">
          <w:delText xml:space="preserve">inizialmente </w:delText>
        </w:r>
      </w:del>
      <w:del w:id="17033" w:author="AbbVie14" w:date="2025-05-09T11:00:00Z">
        <w:r w:rsidRPr="00295E71" w:rsidR="00226BC4">
          <w:delText>di 40 mg seguit</w:delText>
        </w:r>
      </w:del>
      <w:del w:id="17034" w:author="AbbVie14" w:date="2025-05-09T11:00:00Z">
        <w:r w:rsidRPr="00295E71" w:rsidR="00D2020A">
          <w:delText>a</w:delText>
        </w:r>
      </w:del>
      <w:del w:id="17035" w:author="AbbVie14" w:date="2025-05-09T11:00:00Z">
        <w:r w:rsidRPr="00295E71" w:rsidR="00226BC4">
          <w:delText xml:space="preserve"> da 20 mg </w:delText>
        </w:r>
      </w:del>
      <w:del w:id="17036" w:author="AbbVie14" w:date="2025-05-09T11:00:00Z">
        <w:r w:rsidRPr="00295E71" w:rsidR="00D2020A">
          <w:delText xml:space="preserve">dopo </w:delText>
        </w:r>
      </w:del>
      <w:del w:id="17037" w:author="AbbVie14" w:date="2025-05-09T11:00:00Z">
        <w:r w:rsidRPr="00295E71" w:rsidR="00226BC4">
          <w:delText xml:space="preserve">due settimane. Se è </w:delText>
        </w:r>
      </w:del>
      <w:del w:id="17038" w:author="AbbVie14" w:date="2025-05-09T11:00:00Z">
        <w:r w:rsidRPr="00295E71" w:rsidR="00D2020A">
          <w:delText>necessario indurre una</w:delText>
        </w:r>
      </w:del>
      <w:del w:id="17039" w:author="AbbVie14" w:date="2025-05-09T11:00:00Z">
        <w:r w:rsidRPr="00295E71" w:rsidR="00226BC4">
          <w:delText xml:space="preserve"> risposta più rapida, il medico può prescrivere una dose iniziale di 80 mg (</w:delText>
        </w:r>
      </w:del>
      <w:del w:id="17040" w:author="AbbVie14" w:date="2025-05-09T11:00:00Z">
        <w:r w:rsidRPr="00295E71" w:rsidR="00DA7ABD">
          <w:delText xml:space="preserve">tramite </w:delText>
        </w:r>
      </w:del>
      <w:del w:id="17041" w:author="AbbVie14" w:date="2025-05-09T11:00:00Z">
        <w:r w:rsidRPr="00295E71" w:rsidR="00226BC4">
          <w:delText>due iniezioni</w:delText>
        </w:r>
      </w:del>
      <w:del w:id="17042" w:author="AbbVie14" w:date="2025-05-09T11:00:00Z">
        <w:r w:rsidRPr="00295E71" w:rsidR="00B309F2">
          <w:delText xml:space="preserve"> da 40 mg</w:delText>
        </w:r>
      </w:del>
      <w:del w:id="17043" w:author="AbbVie14" w:date="2025-05-09T11:00:00Z">
        <w:r w:rsidRPr="00295E71" w:rsidR="00226BC4">
          <w:delText xml:space="preserve"> in un giorno) seguita da 40 mg </w:delText>
        </w:r>
      </w:del>
      <w:del w:id="17044" w:author="AbbVie14" w:date="2025-05-09T11:00:00Z">
        <w:r w:rsidRPr="00295E71" w:rsidR="00891083">
          <w:delText xml:space="preserve">dopo </w:delText>
        </w:r>
      </w:del>
      <w:del w:id="17045" w:author="AbbVie14" w:date="2025-05-09T11:00:00Z">
        <w:r w:rsidRPr="00295E71" w:rsidR="00226BC4">
          <w:delText>due settimane.</w:delText>
        </w:r>
      </w:del>
    </w:p>
    <w:p w:rsidR="006224C2" w:rsidRPr="00295E71" w:rsidP="00FE3C0F" w14:paraId="658369EB" w14:textId="77777777">
      <w:pPr>
        <w:pStyle w:val="BodyText2"/>
        <w:jc w:val="both"/>
        <w:rPr>
          <w:del w:id="17046" w:author="AbbVie14" w:date="2025-05-09T11:00:00Z"/>
        </w:rPr>
      </w:pPr>
    </w:p>
    <w:p w:rsidR="006224C2" w:rsidRPr="00295E71" w:rsidP="00FE3C0F" w14:paraId="7D8339F4" w14:textId="77777777">
      <w:pPr>
        <w:pStyle w:val="BodyText2"/>
        <w:jc w:val="both"/>
        <w:rPr>
          <w:del w:id="17047" w:author="AbbVie14" w:date="2025-05-09T11:00:00Z"/>
        </w:rPr>
      </w:pPr>
      <w:del w:id="17048" w:author="AbbVie14" w:date="2025-05-09T11:00:00Z">
        <w:r w:rsidRPr="00295E71">
          <w:delText>Successivamente</w:delText>
        </w:r>
      </w:del>
      <w:del w:id="17049" w:author="AbbVie14" w:date="2025-05-09T11:00:00Z">
        <w:r w:rsidRPr="00295E71" w:rsidR="00226BC4">
          <w:delText xml:space="preserve">, la dose abituale è di 20 mg a settimane alterne. </w:delText>
        </w:r>
      </w:del>
      <w:del w:id="17050" w:author="AbbVie14" w:date="2025-05-09T11:00:00Z">
        <w:r w:rsidRPr="00295E71" w:rsidR="00DA7ABD">
          <w:delText>In funzione</w:delText>
        </w:r>
      </w:del>
      <w:del w:id="17051" w:author="AbbVie14" w:date="2025-05-09T11:00:00Z">
        <w:r w:rsidRPr="00295E71" w:rsidR="00226BC4">
          <w:delText xml:space="preserve"> della rispost</w:delText>
        </w:r>
      </w:del>
      <w:del w:id="17052" w:author="AbbVie14" w:date="2025-05-09T11:00:00Z">
        <w:r w:rsidRPr="00295E71" w:rsidR="00DA7ABD">
          <w:delText>a clinica</w:delText>
        </w:r>
      </w:del>
      <w:del w:id="17053" w:author="AbbVie14" w:date="2025-05-09T11:00:00Z">
        <w:r w:rsidRPr="00295E71" w:rsidR="00226BC4">
          <w:delText>, il medico può aumentare la frequenza della dose a 20 mg ogni settimana.</w:delText>
        </w:r>
      </w:del>
    </w:p>
    <w:p w:rsidR="006224C2" w:rsidRPr="00295E71" w:rsidP="00FE3C0F" w14:paraId="2E5340D3" w14:textId="77777777">
      <w:pPr>
        <w:pStyle w:val="BodyText2"/>
        <w:jc w:val="both"/>
        <w:rPr>
          <w:del w:id="17054" w:author="AbbVie14" w:date="2025-05-09T11:00:00Z"/>
          <w:u w:val="single"/>
        </w:rPr>
      </w:pPr>
    </w:p>
    <w:p w:rsidR="00891083" w:rsidRPr="00295E71" w:rsidP="00FE3C0F" w14:paraId="4AEAA9CE" w14:textId="77777777">
      <w:pPr>
        <w:numPr>
          <w:ilvl w:val="12"/>
          <w:numId w:val="0"/>
        </w:numPr>
        <w:ind w:right="-2"/>
        <w:rPr>
          <w:del w:id="17055" w:author="AbbVie14" w:date="2025-05-09T11:00:00Z"/>
          <w:i/>
          <w:sz w:val="22"/>
          <w:szCs w:val="22"/>
        </w:rPr>
      </w:pPr>
      <w:del w:id="17056" w:author="AbbVie14" w:date="2025-05-09T11:00:00Z">
        <w:r w:rsidRPr="00295E71">
          <w:rPr>
            <w:i/>
            <w:sz w:val="22"/>
            <w:szCs w:val="22"/>
          </w:rPr>
          <w:delText>Bambini ed adolescenti di età compresa tra 6 e 17 anni e con peso uguale o superiore a 40 kg</w:delText>
        </w:r>
      </w:del>
    </w:p>
    <w:p w:rsidR="006224C2" w:rsidRPr="00295E71" w:rsidP="00FE3C0F" w14:paraId="278124CC" w14:textId="77777777">
      <w:pPr>
        <w:pStyle w:val="BodyText2"/>
        <w:jc w:val="both"/>
        <w:rPr>
          <w:del w:id="17057" w:author="AbbVie14" w:date="2025-05-09T11:00:00Z"/>
        </w:rPr>
      </w:pPr>
    </w:p>
    <w:p w:rsidR="006224C2" w:rsidRPr="00295E71" w:rsidP="00FE3C0F" w14:paraId="206D5B3C" w14:textId="77777777">
      <w:pPr>
        <w:pStyle w:val="BodyText2"/>
        <w:jc w:val="both"/>
        <w:rPr>
          <w:del w:id="17058" w:author="AbbVie14" w:date="2025-05-09T11:00:00Z"/>
        </w:rPr>
      </w:pPr>
      <w:del w:id="17059" w:author="AbbVie14" w:date="2025-05-09T11:00:00Z">
        <w:r w:rsidRPr="00295E71">
          <w:delText>La</w:delText>
        </w:r>
      </w:del>
      <w:del w:id="17060" w:author="AbbVie14" w:date="2025-05-09T11:00:00Z">
        <w:r w:rsidRPr="00295E71" w:rsidR="00226BC4">
          <w:delText xml:space="preserve"> dose abituale è</w:delText>
        </w:r>
      </w:del>
      <w:del w:id="17061" w:author="AbbVie14" w:date="2025-05-09T11:00:00Z">
        <w:r w:rsidRPr="00295E71" w:rsidR="00891083">
          <w:delText xml:space="preserve"> inizialmente</w:delText>
        </w:r>
      </w:del>
      <w:del w:id="17062" w:author="AbbVie14" w:date="2025-05-09T11:00:00Z">
        <w:r w:rsidRPr="00295E71" w:rsidR="00226BC4">
          <w:delText xml:space="preserve"> di 80 mg</w:delText>
        </w:r>
      </w:del>
      <w:del w:id="17063" w:author="AbbVie14" w:date="2025-05-09T11:00:00Z">
        <w:r w:rsidRPr="00295E71" w:rsidR="00DA7ABD">
          <w:delText xml:space="preserve"> (tramite due iniezioni</w:delText>
        </w:r>
      </w:del>
      <w:del w:id="17064" w:author="AbbVie14" w:date="2025-05-09T11:00:00Z">
        <w:r w:rsidRPr="00295E71" w:rsidR="00B309F2">
          <w:delText xml:space="preserve"> da 40 mg</w:delText>
        </w:r>
      </w:del>
      <w:del w:id="17065" w:author="AbbVie14" w:date="2025-05-09T11:00:00Z">
        <w:r w:rsidRPr="00295E71" w:rsidR="00DA7ABD">
          <w:delText xml:space="preserve"> in un giorno)</w:delText>
        </w:r>
      </w:del>
      <w:del w:id="17066" w:author="AbbVie14" w:date="2025-05-09T11:00:00Z">
        <w:r w:rsidRPr="00295E71" w:rsidR="00226BC4">
          <w:delText xml:space="preserve"> </w:delText>
        </w:r>
      </w:del>
      <w:del w:id="17067" w:author="AbbVie14" w:date="2025-05-09T11:00:00Z">
        <w:r w:rsidRPr="00295E71" w:rsidR="00891083">
          <w:delText xml:space="preserve">seguita </w:delText>
        </w:r>
      </w:del>
      <w:del w:id="17068" w:author="AbbVie14" w:date="2025-05-09T11:00:00Z">
        <w:r w:rsidRPr="00295E71" w:rsidR="00226BC4">
          <w:delText>da 40 mg</w:delText>
        </w:r>
      </w:del>
      <w:del w:id="17069" w:author="AbbVie14" w:date="2025-05-09T11:00:00Z">
        <w:r w:rsidRPr="00295E71" w:rsidR="00891083">
          <w:delText xml:space="preserve"> dopo</w:delText>
        </w:r>
      </w:del>
      <w:del w:id="17070" w:author="AbbVie14" w:date="2025-05-09T11:00:00Z">
        <w:r w:rsidRPr="00295E71" w:rsidR="00226BC4">
          <w:delText xml:space="preserve"> due settimane. Se è </w:delText>
        </w:r>
      </w:del>
      <w:del w:id="17071" w:author="AbbVie14" w:date="2025-05-09T11:00:00Z">
        <w:r w:rsidRPr="00295E71" w:rsidR="00891083">
          <w:delText>necessario indurre</w:delText>
        </w:r>
      </w:del>
      <w:del w:id="17072" w:author="AbbVie14" w:date="2025-05-09T11:00:00Z">
        <w:r w:rsidRPr="00295E71" w:rsidR="00226BC4">
          <w:delText xml:space="preserve"> una risposta più rapida, il medico può prescrivere una dose iniziale di 160 mg (</w:delText>
        </w:r>
      </w:del>
      <w:del w:id="17073" w:author="AbbVie14" w:date="2025-05-09T11:00:00Z">
        <w:r w:rsidRPr="00295E71" w:rsidR="00891083">
          <w:delText xml:space="preserve">tramite </w:delText>
        </w:r>
      </w:del>
      <w:del w:id="17074" w:author="AbbVie14" w:date="2025-05-09T11:00:00Z">
        <w:r w:rsidRPr="00295E71" w:rsidR="00DA7ABD">
          <w:delText xml:space="preserve">quattro </w:delText>
        </w:r>
      </w:del>
      <w:del w:id="17075" w:author="AbbVie14" w:date="2025-05-09T11:00:00Z">
        <w:r w:rsidRPr="00295E71" w:rsidR="00226BC4">
          <w:delText>iniezioni</w:delText>
        </w:r>
      </w:del>
      <w:del w:id="17076" w:author="AbbVie14" w:date="2025-05-09T11:00:00Z">
        <w:r w:rsidRPr="00295E71" w:rsidR="00B309F2">
          <w:delText xml:space="preserve"> da 40 mg</w:delText>
        </w:r>
      </w:del>
      <w:del w:id="17077" w:author="AbbVie14" w:date="2025-05-09T11:00:00Z">
        <w:r w:rsidRPr="00295E71" w:rsidR="00226BC4">
          <w:delText xml:space="preserve"> in un giorno o </w:delText>
        </w:r>
      </w:del>
      <w:del w:id="17078" w:author="AbbVie14" w:date="2025-05-09T11:00:00Z">
        <w:r w:rsidRPr="00295E71" w:rsidR="00DA7ABD">
          <w:delText xml:space="preserve">due </w:delText>
        </w:r>
      </w:del>
      <w:del w:id="17079" w:author="AbbVie14" w:date="2025-05-09T11:00:00Z">
        <w:r w:rsidRPr="00295E71" w:rsidR="00226BC4">
          <w:delText>iniezioni</w:delText>
        </w:r>
      </w:del>
      <w:del w:id="17080" w:author="AbbVie14" w:date="2025-05-09T11:00:00Z">
        <w:r w:rsidRPr="00295E71" w:rsidR="00B309F2">
          <w:delText xml:space="preserve"> da 40 mg</w:delText>
        </w:r>
      </w:del>
      <w:del w:id="17081" w:author="AbbVie14" w:date="2025-05-09T11:00:00Z">
        <w:r w:rsidRPr="00295E71" w:rsidR="00226BC4">
          <w:delText xml:space="preserve"> al giorno per </w:delText>
        </w:r>
      </w:del>
      <w:del w:id="17082" w:author="AbbVie14" w:date="2025-05-09T11:00:00Z">
        <w:r w:rsidRPr="00295E71" w:rsidR="00DA7ABD">
          <w:delText xml:space="preserve">due </w:delText>
        </w:r>
      </w:del>
      <w:del w:id="17083" w:author="AbbVie14" w:date="2025-05-09T11:00:00Z">
        <w:r w:rsidRPr="00295E71" w:rsidR="00226BC4">
          <w:delText>giorni consecutivi) seguita da 80 mg</w:delText>
        </w:r>
      </w:del>
      <w:del w:id="17084" w:author="AbbVie14" w:date="2025-05-09T11:00:00Z">
        <w:r w:rsidRPr="00295E71" w:rsidR="00DA7ABD">
          <w:delText xml:space="preserve"> (tramite due iniezioni</w:delText>
        </w:r>
      </w:del>
      <w:del w:id="17085" w:author="AbbVie14" w:date="2025-05-09T11:00:00Z">
        <w:r w:rsidRPr="00295E71" w:rsidR="00B309F2">
          <w:delText xml:space="preserve"> da 40 mg</w:delText>
        </w:r>
      </w:del>
      <w:del w:id="17086" w:author="AbbVie14" w:date="2025-05-09T11:00:00Z">
        <w:r w:rsidRPr="00295E71" w:rsidR="00DA7ABD">
          <w:delText xml:space="preserve"> in un giorno)</w:delText>
        </w:r>
      </w:del>
      <w:del w:id="17087" w:author="AbbVie14" w:date="2025-05-09T11:00:00Z">
        <w:r w:rsidRPr="00295E71" w:rsidR="00226BC4">
          <w:delText xml:space="preserve"> </w:delText>
        </w:r>
      </w:del>
      <w:del w:id="17088" w:author="AbbVie14" w:date="2025-05-09T11:00:00Z">
        <w:r w:rsidRPr="00295E71" w:rsidR="00891083">
          <w:delText xml:space="preserve">dopo </w:delText>
        </w:r>
      </w:del>
      <w:del w:id="17089" w:author="AbbVie14" w:date="2025-05-09T11:00:00Z">
        <w:r w:rsidRPr="00295E71" w:rsidR="00226BC4">
          <w:delText>due settimane.</w:delText>
        </w:r>
      </w:del>
    </w:p>
    <w:p w:rsidR="006224C2" w:rsidRPr="00295E71" w:rsidP="00FE3C0F" w14:paraId="1E51DE52" w14:textId="77777777">
      <w:pPr>
        <w:pStyle w:val="BodyText2"/>
        <w:jc w:val="both"/>
        <w:rPr>
          <w:del w:id="17090" w:author="AbbVie14" w:date="2025-05-09T11:00:00Z"/>
        </w:rPr>
      </w:pPr>
    </w:p>
    <w:p w:rsidR="006224C2" w:rsidRPr="00295E71" w:rsidP="00FE3C0F" w14:paraId="45CABB3E" w14:textId="77777777">
      <w:pPr>
        <w:pStyle w:val="BodyText2"/>
        <w:jc w:val="both"/>
        <w:rPr>
          <w:del w:id="17091" w:author="AbbVie14" w:date="2025-05-09T11:00:00Z"/>
        </w:rPr>
      </w:pPr>
      <w:del w:id="17092" w:author="AbbVie14" w:date="2025-05-09T11:00:00Z">
        <w:r w:rsidRPr="00295E71">
          <w:delText>Successivamente</w:delText>
        </w:r>
      </w:del>
      <w:del w:id="17093" w:author="AbbVie14" w:date="2025-05-09T11:00:00Z">
        <w:r w:rsidRPr="00295E71" w:rsidR="00226BC4">
          <w:delText xml:space="preserve">, la dose abituale è di 40 mg a settimane alterne. </w:delText>
        </w:r>
      </w:del>
      <w:del w:id="17094" w:author="AbbVie14" w:date="2025-05-09T11:00:00Z">
        <w:r w:rsidRPr="00295E71" w:rsidR="001E6FA8">
          <w:delText>In funzione</w:delText>
        </w:r>
      </w:del>
      <w:del w:id="17095" w:author="AbbVie14" w:date="2025-05-09T11:00:00Z">
        <w:r w:rsidRPr="00295E71" w:rsidR="00226BC4">
          <w:delText xml:space="preserve"> della risposta </w:delText>
        </w:r>
      </w:del>
      <w:del w:id="17096" w:author="AbbVie14" w:date="2025-05-09T11:00:00Z">
        <w:r w:rsidRPr="00295E71" w:rsidR="001E6FA8">
          <w:delText>clinica</w:delText>
        </w:r>
      </w:del>
      <w:del w:id="17097" w:author="AbbVie14" w:date="2025-05-09T11:00:00Z">
        <w:r w:rsidRPr="00295E71" w:rsidR="00226BC4">
          <w:delText xml:space="preserve">, il medico può aumentare </w:delText>
        </w:r>
      </w:del>
      <w:del w:id="17098" w:author="AbbVie14" w:date="2025-05-09T11:00:00Z">
        <w:r w:rsidRPr="00295E71" w:rsidR="00B309F2">
          <w:delText>il</w:delText>
        </w:r>
      </w:del>
      <w:del w:id="17099" w:author="AbbVie14" w:date="2025-05-09T11:00:00Z">
        <w:r w:rsidRPr="00295E71" w:rsidR="00226BC4">
          <w:delText xml:space="preserve"> dos</w:delText>
        </w:r>
      </w:del>
      <w:del w:id="17100" w:author="AbbVie14" w:date="2025-05-09T11:00:00Z">
        <w:r w:rsidRPr="00295E71" w:rsidR="00B309F2">
          <w:delText>aggio</w:delText>
        </w:r>
      </w:del>
      <w:del w:id="17101" w:author="AbbVie14" w:date="2025-05-09T11:00:00Z">
        <w:r w:rsidRPr="00295E71" w:rsidR="00226BC4">
          <w:delText xml:space="preserve"> a 40 mg ogni settimana</w:delText>
        </w:r>
      </w:del>
      <w:del w:id="17102" w:author="AbbVie14" w:date="2025-05-09T11:00:00Z">
        <w:r w:rsidRPr="00295E71" w:rsidR="00B309F2">
          <w:delText xml:space="preserve"> o 80 mg a settimane alterne</w:delText>
        </w:r>
      </w:del>
      <w:del w:id="17103" w:author="AbbVie14" w:date="2025-05-09T11:00:00Z">
        <w:r w:rsidRPr="00295E71" w:rsidR="00226BC4">
          <w:delText>.</w:delText>
        </w:r>
      </w:del>
    </w:p>
    <w:p w:rsidR="006224C2" w:rsidRPr="00295E71" w:rsidP="00FE3C0F" w14:paraId="0D7E0FFE" w14:textId="77777777">
      <w:pPr>
        <w:pStyle w:val="BodyText2"/>
        <w:jc w:val="both"/>
        <w:rPr>
          <w:del w:id="17104" w:author="AbbVie14" w:date="2025-05-09T11:00:00Z"/>
          <w:u w:val="single"/>
        </w:rPr>
      </w:pPr>
    </w:p>
    <w:p w:rsidR="006224C2" w:rsidRPr="00295E71" w:rsidP="00FE3C0F" w14:paraId="38384E47" w14:textId="77777777">
      <w:pPr>
        <w:pStyle w:val="BodyText2"/>
        <w:jc w:val="both"/>
        <w:rPr>
          <w:del w:id="17105" w:author="AbbVie14" w:date="2025-05-09T11:00:00Z"/>
          <w:u w:val="single"/>
        </w:rPr>
      </w:pPr>
      <w:del w:id="17106" w:author="AbbVie14" w:date="2025-05-09T11:00:00Z">
        <w:r w:rsidRPr="00295E71">
          <w:rPr>
            <w:u w:val="single"/>
          </w:rPr>
          <w:delText>Adulti con colite ulcerosa</w:delText>
        </w:r>
      </w:del>
    </w:p>
    <w:p w:rsidR="006224C2" w:rsidRPr="00295E71" w:rsidP="00FE3C0F" w14:paraId="631FCCD0" w14:textId="77777777">
      <w:pPr>
        <w:tabs>
          <w:tab w:val="left" w:pos="567"/>
        </w:tabs>
        <w:jc w:val="both"/>
        <w:rPr>
          <w:del w:id="17107" w:author="AbbVie14" w:date="2025-05-09T11:00:00Z"/>
          <w:sz w:val="22"/>
          <w:szCs w:val="22"/>
        </w:rPr>
      </w:pPr>
    </w:p>
    <w:p w:rsidR="006224C2" w:rsidRPr="00295E71" w:rsidP="00FE3C0F" w14:paraId="56012B4B" w14:textId="77777777">
      <w:pPr>
        <w:numPr>
          <w:ilvl w:val="12"/>
          <w:numId w:val="0"/>
        </w:numPr>
        <w:tabs>
          <w:tab w:val="left" w:pos="567"/>
        </w:tabs>
        <w:ind w:right="-2"/>
        <w:jc w:val="both"/>
        <w:rPr>
          <w:del w:id="17108" w:author="AbbVie14" w:date="2025-05-09T11:00:00Z"/>
          <w:sz w:val="22"/>
          <w:szCs w:val="22"/>
        </w:rPr>
      </w:pPr>
      <w:del w:id="17109" w:author="AbbVie14" w:date="2025-05-09T11:00:00Z">
        <w:r w:rsidRPr="00295E71">
          <w:rPr>
            <w:sz w:val="22"/>
            <w:szCs w:val="22"/>
          </w:rPr>
          <w:delText xml:space="preserve">La dose abituale di Humira per gli adulti </w:delText>
        </w:r>
      </w:del>
      <w:del w:id="17110" w:author="AbbVie14" w:date="2025-05-09T11:00:00Z">
        <w:r w:rsidRPr="00295E71" w:rsidR="00D806FA">
          <w:rPr>
            <w:sz w:val="22"/>
            <w:szCs w:val="22"/>
          </w:rPr>
          <w:delText>con</w:delText>
        </w:r>
      </w:del>
      <w:del w:id="17111" w:author="AbbVie14" w:date="2025-05-09T11:00:00Z">
        <w:r w:rsidRPr="00295E71">
          <w:rPr>
            <w:sz w:val="22"/>
            <w:szCs w:val="22"/>
          </w:rPr>
          <w:delText xml:space="preserve"> colite ulcerosa è </w:delText>
        </w:r>
      </w:del>
      <w:del w:id="17112" w:author="AbbVie14" w:date="2025-05-09T11:00:00Z">
        <w:r w:rsidRPr="00295E71" w:rsidR="00D806FA">
          <w:rPr>
            <w:sz w:val="22"/>
            <w:szCs w:val="22"/>
          </w:rPr>
          <w:delText>di</w:delText>
        </w:r>
      </w:del>
      <w:del w:id="17113" w:author="AbbVie14" w:date="2025-05-09T11:00:00Z">
        <w:r w:rsidRPr="00295E71">
          <w:rPr>
            <w:sz w:val="22"/>
            <w:szCs w:val="22"/>
          </w:rPr>
          <w:delText xml:space="preserve"> 160 mg</w:delText>
        </w:r>
      </w:del>
      <w:del w:id="17114" w:author="AbbVie14" w:date="2025-05-09T11:00:00Z">
        <w:r w:rsidRPr="00295E71" w:rsidR="00D806FA">
          <w:rPr>
            <w:sz w:val="22"/>
            <w:szCs w:val="22"/>
          </w:rPr>
          <w:delText xml:space="preserve"> (tramite quattro iniezioni</w:delText>
        </w:r>
      </w:del>
      <w:del w:id="17115" w:author="AbbVie14" w:date="2025-05-09T11:00:00Z">
        <w:r w:rsidRPr="00295E71" w:rsidR="00B309F2">
          <w:rPr>
            <w:sz w:val="22"/>
            <w:szCs w:val="22"/>
          </w:rPr>
          <w:delText xml:space="preserve"> da 40 mg</w:delText>
        </w:r>
      </w:del>
      <w:del w:id="17116" w:author="AbbVie14" w:date="2025-05-09T11:00:00Z">
        <w:r w:rsidRPr="00295E71" w:rsidR="00D806FA">
          <w:rPr>
            <w:sz w:val="22"/>
            <w:szCs w:val="22"/>
          </w:rPr>
          <w:delText xml:space="preserve"> in un giorno o due iniezioni</w:delText>
        </w:r>
      </w:del>
      <w:del w:id="17117" w:author="AbbVie14" w:date="2025-05-09T11:00:00Z">
        <w:r w:rsidRPr="00295E71" w:rsidR="00B309F2">
          <w:rPr>
            <w:sz w:val="22"/>
            <w:szCs w:val="22"/>
          </w:rPr>
          <w:delText xml:space="preserve"> da 40 mg</w:delText>
        </w:r>
      </w:del>
      <w:del w:id="17118" w:author="AbbVie14" w:date="2025-05-09T11:00:00Z">
        <w:r w:rsidRPr="00295E71" w:rsidR="00D806FA">
          <w:rPr>
            <w:sz w:val="22"/>
            <w:szCs w:val="22"/>
          </w:rPr>
          <w:delText xml:space="preserve"> al giorno per due giorni consecutivi)</w:delText>
        </w:r>
      </w:del>
      <w:del w:id="17119" w:author="AbbVie14" w:date="2025-05-09T11:00:00Z">
        <w:r w:rsidRPr="00295E71">
          <w:rPr>
            <w:sz w:val="22"/>
            <w:szCs w:val="22"/>
          </w:rPr>
          <w:delText xml:space="preserve"> alla settimana 0 e </w:delText>
        </w:r>
      </w:del>
      <w:del w:id="17120" w:author="AbbVie14" w:date="2025-05-09T11:00:00Z">
        <w:r w:rsidRPr="00295E71" w:rsidR="00D806FA">
          <w:rPr>
            <w:sz w:val="22"/>
            <w:szCs w:val="22"/>
          </w:rPr>
          <w:delText>di</w:delText>
        </w:r>
      </w:del>
      <w:del w:id="17121" w:author="AbbVie14" w:date="2025-05-09T11:00:00Z">
        <w:r w:rsidRPr="00295E71">
          <w:rPr>
            <w:sz w:val="22"/>
            <w:szCs w:val="22"/>
          </w:rPr>
          <w:delText xml:space="preserve"> 80 mg </w:delText>
        </w:r>
      </w:del>
      <w:del w:id="17122" w:author="AbbVie14" w:date="2025-05-09T11:00:00Z">
        <w:r w:rsidRPr="00295E71" w:rsidR="00336724">
          <w:rPr>
            <w:sz w:val="22"/>
            <w:szCs w:val="22"/>
          </w:rPr>
          <w:delText>(tramite due iniezioni</w:delText>
        </w:r>
      </w:del>
      <w:del w:id="17123" w:author="AbbVie14" w:date="2025-05-09T11:00:00Z">
        <w:r w:rsidRPr="00295E71" w:rsidR="00B309F2">
          <w:rPr>
            <w:sz w:val="22"/>
            <w:szCs w:val="22"/>
          </w:rPr>
          <w:delText xml:space="preserve"> da 40 mg</w:delText>
        </w:r>
      </w:del>
      <w:del w:id="17124" w:author="AbbVie14" w:date="2025-05-09T11:00:00Z">
        <w:r w:rsidRPr="00295E71" w:rsidR="00336724">
          <w:rPr>
            <w:sz w:val="22"/>
            <w:szCs w:val="22"/>
          </w:rPr>
          <w:delText xml:space="preserve"> in un giorno) </w:delText>
        </w:r>
      </w:del>
      <w:del w:id="17125" w:author="AbbVie14" w:date="2025-05-09T11:00:00Z">
        <w:r w:rsidRPr="00295E71">
          <w:rPr>
            <w:sz w:val="22"/>
            <w:szCs w:val="22"/>
          </w:rPr>
          <w:delText xml:space="preserve">alla settimana 2 e successivamente </w:delText>
        </w:r>
      </w:del>
      <w:del w:id="17126" w:author="AbbVie14" w:date="2025-05-09T11:00:00Z">
        <w:r w:rsidRPr="00295E71" w:rsidR="00D806FA">
          <w:rPr>
            <w:sz w:val="22"/>
            <w:szCs w:val="22"/>
          </w:rPr>
          <w:delText xml:space="preserve">di </w:delText>
        </w:r>
      </w:del>
      <w:del w:id="17127" w:author="AbbVie14" w:date="2025-05-09T11:00:00Z">
        <w:r w:rsidRPr="00295E71">
          <w:rPr>
            <w:sz w:val="22"/>
            <w:szCs w:val="22"/>
          </w:rPr>
          <w:delText xml:space="preserve">40 mg a settimane alterne. In funzione della risposta clinica, il medico </w:delText>
        </w:r>
      </w:del>
      <w:del w:id="17128" w:author="AbbVie14" w:date="2025-05-09T11:00:00Z">
        <w:r w:rsidRPr="00295E71" w:rsidR="00D806FA">
          <w:rPr>
            <w:sz w:val="22"/>
            <w:szCs w:val="22"/>
          </w:rPr>
          <w:delText xml:space="preserve">può </w:delText>
        </w:r>
      </w:del>
      <w:del w:id="17129" w:author="AbbVie14" w:date="2025-05-09T11:00:00Z">
        <w:r w:rsidRPr="00295E71">
          <w:rPr>
            <w:sz w:val="22"/>
            <w:szCs w:val="22"/>
          </w:rPr>
          <w:delText xml:space="preserve">aumentare </w:delText>
        </w:r>
      </w:del>
      <w:del w:id="17130" w:author="AbbVie14" w:date="2025-05-09T11:00:00Z">
        <w:r w:rsidRPr="00295E71" w:rsidR="00B309F2">
          <w:rPr>
            <w:sz w:val="22"/>
            <w:szCs w:val="22"/>
          </w:rPr>
          <w:delText>i</w:delText>
        </w:r>
      </w:del>
      <w:del w:id="17131" w:author="AbbVie14" w:date="2025-05-09T11:00:00Z">
        <w:r w:rsidRPr="00295E71">
          <w:rPr>
            <w:sz w:val="22"/>
            <w:szCs w:val="22"/>
          </w:rPr>
          <w:delText>l dos</w:delText>
        </w:r>
      </w:del>
      <w:del w:id="17132" w:author="AbbVie14" w:date="2025-05-09T11:00:00Z">
        <w:r w:rsidRPr="00295E71" w:rsidR="00B309F2">
          <w:rPr>
            <w:sz w:val="22"/>
            <w:szCs w:val="22"/>
          </w:rPr>
          <w:delText>aggio</w:delText>
        </w:r>
      </w:del>
      <w:del w:id="17133" w:author="AbbVie14" w:date="2025-05-09T11:00:00Z">
        <w:r w:rsidRPr="00295E71">
          <w:rPr>
            <w:sz w:val="22"/>
            <w:szCs w:val="22"/>
          </w:rPr>
          <w:delText xml:space="preserve"> a 40 mg ogni settimana</w:delText>
        </w:r>
      </w:del>
      <w:del w:id="17134" w:author="AbbVie14" w:date="2025-05-09T11:00:00Z">
        <w:r w:rsidRPr="00295E71" w:rsidR="00B309F2">
          <w:delText xml:space="preserve"> </w:delText>
        </w:r>
      </w:del>
      <w:del w:id="17135" w:author="AbbVie14" w:date="2025-05-09T11:00:00Z">
        <w:r w:rsidRPr="00295E71" w:rsidR="00B309F2">
          <w:rPr>
            <w:sz w:val="22"/>
            <w:szCs w:val="22"/>
          </w:rPr>
          <w:delText>o 80 mg a settimane alterne</w:delText>
        </w:r>
      </w:del>
      <w:del w:id="17136" w:author="AbbVie14" w:date="2025-05-09T11:00:00Z">
        <w:r w:rsidRPr="00295E71">
          <w:rPr>
            <w:sz w:val="22"/>
            <w:szCs w:val="22"/>
          </w:rPr>
          <w:delText>.</w:delText>
        </w:r>
      </w:del>
    </w:p>
    <w:p w:rsidR="000163E8" w:rsidRPr="00295E71" w:rsidP="00FE3C0F" w14:paraId="05E6AD06" w14:textId="77777777">
      <w:pPr>
        <w:numPr>
          <w:ilvl w:val="12"/>
          <w:numId w:val="0"/>
        </w:numPr>
        <w:tabs>
          <w:tab w:val="left" w:pos="567"/>
        </w:tabs>
        <w:ind w:right="-2"/>
        <w:jc w:val="both"/>
        <w:rPr>
          <w:del w:id="17137" w:author="AbbVie14" w:date="2025-05-09T11:00:00Z"/>
          <w:sz w:val="22"/>
          <w:szCs w:val="22"/>
        </w:rPr>
      </w:pPr>
    </w:p>
    <w:p w:rsidR="007674FE" w:rsidRPr="00612824" w:rsidP="00FE3C0F" w14:paraId="7D886B4F" w14:textId="77777777">
      <w:pPr>
        <w:numPr>
          <w:ilvl w:val="12"/>
          <w:numId w:val="0"/>
        </w:numPr>
        <w:ind w:right="-2"/>
        <w:rPr>
          <w:del w:id="17138" w:author="AbbVie14" w:date="2025-05-09T11:00:00Z"/>
          <w:sz w:val="22"/>
          <w:szCs w:val="22"/>
          <w:u w:val="single"/>
        </w:rPr>
      </w:pPr>
      <w:del w:id="17139" w:author="AbbVie14" w:date="2025-05-09T11:00:00Z">
        <w:r w:rsidRPr="00612824">
          <w:rPr>
            <w:sz w:val="22"/>
            <w:szCs w:val="22"/>
            <w:u w:val="single"/>
          </w:rPr>
          <w:delText>Bambini e adolescenti con colite ulcerosa</w:delText>
        </w:r>
      </w:del>
    </w:p>
    <w:p w:rsidR="007674FE" w:rsidRPr="00612824" w:rsidP="00FE3C0F" w14:paraId="7589B560" w14:textId="77777777">
      <w:pPr>
        <w:numPr>
          <w:ilvl w:val="12"/>
          <w:numId w:val="0"/>
        </w:numPr>
        <w:ind w:right="-2"/>
        <w:rPr>
          <w:del w:id="17140" w:author="AbbVie14" w:date="2025-05-09T11:00:00Z"/>
          <w:sz w:val="22"/>
          <w:szCs w:val="22"/>
        </w:rPr>
      </w:pPr>
    </w:p>
    <w:p w:rsidR="007674FE" w:rsidRPr="00612824" w:rsidP="00FE3C0F" w14:paraId="3F00117F" w14:textId="77777777">
      <w:pPr>
        <w:numPr>
          <w:ilvl w:val="12"/>
          <w:numId w:val="0"/>
        </w:numPr>
        <w:ind w:right="-2"/>
        <w:rPr>
          <w:del w:id="17141" w:author="AbbVie14" w:date="2025-05-09T11:00:00Z"/>
          <w:i/>
          <w:iCs/>
          <w:sz w:val="22"/>
          <w:szCs w:val="22"/>
        </w:rPr>
      </w:pPr>
      <w:del w:id="17142" w:author="AbbVie14" w:date="2025-05-09T11:00:00Z">
        <w:r w:rsidRPr="00612824">
          <w:rPr>
            <w:i/>
            <w:sz w:val="22"/>
            <w:szCs w:val="22"/>
          </w:rPr>
          <w:delText xml:space="preserve">Bambini e adolescenti a partire dai 6 anni di età </w:delText>
        </w:r>
      </w:del>
      <w:del w:id="17143" w:author="AbbVie14" w:date="2025-05-09T11:00:00Z">
        <w:r w:rsidR="00533DB7">
          <w:rPr>
            <w:i/>
            <w:sz w:val="22"/>
            <w:szCs w:val="22"/>
          </w:rPr>
          <w:delText>e con peso inferiore a</w:delText>
        </w:r>
      </w:del>
      <w:del w:id="17144" w:author="AbbVie14" w:date="2025-05-09T11:00:00Z">
        <w:r w:rsidRPr="00612824">
          <w:rPr>
            <w:i/>
            <w:sz w:val="22"/>
            <w:szCs w:val="22"/>
          </w:rPr>
          <w:delText xml:space="preserve"> 40 kg</w:delText>
        </w:r>
      </w:del>
    </w:p>
    <w:p w:rsidR="007674FE" w:rsidRPr="00612824" w:rsidP="00FE3C0F" w14:paraId="00AC0517" w14:textId="77777777">
      <w:pPr>
        <w:numPr>
          <w:ilvl w:val="12"/>
          <w:numId w:val="0"/>
        </w:numPr>
        <w:ind w:right="-2"/>
        <w:rPr>
          <w:del w:id="17145" w:author="AbbVie14" w:date="2025-05-09T11:00:00Z"/>
          <w:sz w:val="22"/>
          <w:szCs w:val="22"/>
        </w:rPr>
      </w:pPr>
    </w:p>
    <w:p w:rsidR="007674FE" w:rsidRPr="00612824" w:rsidP="00FE3C0F" w14:paraId="624BEF90" w14:textId="77777777">
      <w:pPr>
        <w:numPr>
          <w:ilvl w:val="12"/>
          <w:numId w:val="0"/>
        </w:numPr>
        <w:ind w:right="-2"/>
        <w:rPr>
          <w:del w:id="17146" w:author="AbbVie14" w:date="2025-05-09T11:00:00Z"/>
          <w:sz w:val="22"/>
          <w:szCs w:val="22"/>
        </w:rPr>
      </w:pPr>
      <w:del w:id="17147" w:author="AbbVie14" w:date="2025-05-09T11:00:00Z">
        <w:r w:rsidRPr="00612824">
          <w:rPr>
            <w:sz w:val="22"/>
            <w:szCs w:val="22"/>
          </w:rPr>
          <w:delText>La dose abituale di Humira è di 80 mg (</w:delText>
        </w:r>
      </w:del>
      <w:del w:id="17148" w:author="AbbVie14" w:date="2025-05-09T11:00:00Z">
        <w:r w:rsidR="00533DB7">
          <w:rPr>
            <w:sz w:val="22"/>
            <w:szCs w:val="22"/>
          </w:rPr>
          <w:delText xml:space="preserve">tramite </w:delText>
        </w:r>
      </w:del>
      <w:del w:id="17149" w:author="AbbVie14" w:date="2025-05-09T11:00:00Z">
        <w:r w:rsidRPr="00612824">
          <w:rPr>
            <w:sz w:val="22"/>
            <w:szCs w:val="22"/>
          </w:rPr>
          <w:delText>due iniezioni da 40 mg in un giorno), seguita da 40 mg (</w:delText>
        </w:r>
      </w:del>
      <w:del w:id="17150" w:author="AbbVie14" w:date="2025-05-09T11:00:00Z">
        <w:r w:rsidR="00533DB7">
          <w:rPr>
            <w:sz w:val="22"/>
            <w:szCs w:val="22"/>
          </w:rPr>
          <w:delText xml:space="preserve">tramite </w:delText>
        </w:r>
      </w:del>
      <w:del w:id="17151" w:author="AbbVie14" w:date="2025-05-09T11:00:00Z">
        <w:r w:rsidRPr="00612824">
          <w:rPr>
            <w:sz w:val="22"/>
            <w:szCs w:val="22"/>
          </w:rPr>
          <w:delText xml:space="preserve">una sola iniezione da 40 mg) due settimane dopo. Successivamente, la dose abituale è di 40 mg </w:delText>
        </w:r>
      </w:del>
      <w:del w:id="17152" w:author="AbbVie14" w:date="2025-05-09T11:00:00Z">
        <w:r w:rsidR="00533DB7">
          <w:rPr>
            <w:sz w:val="22"/>
            <w:szCs w:val="22"/>
          </w:rPr>
          <w:delText xml:space="preserve">a </w:delText>
        </w:r>
      </w:del>
      <w:del w:id="17153" w:author="AbbVie14" w:date="2025-05-09T11:00:00Z">
        <w:r w:rsidRPr="00612824">
          <w:rPr>
            <w:sz w:val="22"/>
            <w:szCs w:val="22"/>
          </w:rPr>
          <w:delText>settimane</w:delText>
        </w:r>
      </w:del>
      <w:del w:id="17154" w:author="AbbVie14" w:date="2025-05-09T11:00:00Z">
        <w:r w:rsidR="00533DB7">
          <w:rPr>
            <w:sz w:val="22"/>
            <w:szCs w:val="22"/>
          </w:rPr>
          <w:delText xml:space="preserve"> alterne</w:delText>
        </w:r>
      </w:del>
      <w:del w:id="17155" w:author="AbbVie14" w:date="2025-05-09T11:00:00Z">
        <w:r w:rsidRPr="00612824">
          <w:rPr>
            <w:sz w:val="22"/>
            <w:szCs w:val="22"/>
          </w:rPr>
          <w:delText xml:space="preserve">. </w:delText>
        </w:r>
      </w:del>
    </w:p>
    <w:p w:rsidR="007674FE" w:rsidRPr="00612824" w:rsidP="00FE3C0F" w14:paraId="16324799" w14:textId="77777777">
      <w:pPr>
        <w:numPr>
          <w:ilvl w:val="12"/>
          <w:numId w:val="0"/>
        </w:numPr>
        <w:ind w:right="-2"/>
        <w:rPr>
          <w:del w:id="17156" w:author="AbbVie14" w:date="2025-05-09T11:00:00Z"/>
          <w:sz w:val="22"/>
          <w:szCs w:val="22"/>
        </w:rPr>
      </w:pPr>
    </w:p>
    <w:p w:rsidR="007674FE" w:rsidP="00FE3C0F" w14:paraId="21F1872F" w14:textId="77777777">
      <w:pPr>
        <w:numPr>
          <w:ilvl w:val="12"/>
          <w:numId w:val="0"/>
        </w:numPr>
        <w:ind w:right="-2"/>
        <w:rPr>
          <w:del w:id="17157" w:author="AbbVie14" w:date="2025-05-09T11:00:00Z"/>
          <w:sz w:val="22"/>
          <w:szCs w:val="22"/>
        </w:rPr>
      </w:pPr>
      <w:del w:id="17158" w:author="AbbVie14" w:date="2025-05-09T11:00:00Z">
        <w:r w:rsidRPr="00612824">
          <w:rPr>
            <w:sz w:val="22"/>
            <w:szCs w:val="22"/>
          </w:rPr>
          <w:delText xml:space="preserve">I pazienti che compiono 18 anni mentre assumono 40 mg </w:delText>
        </w:r>
      </w:del>
      <w:del w:id="17159" w:author="AbbVie14" w:date="2025-05-09T11:00:00Z">
        <w:r w:rsidR="00533DB7">
          <w:rPr>
            <w:sz w:val="22"/>
            <w:szCs w:val="22"/>
          </w:rPr>
          <w:delText>a settimane alterne</w:delText>
        </w:r>
      </w:del>
      <w:del w:id="17160" w:author="AbbVie14" w:date="2025-05-09T11:00:00Z">
        <w:r w:rsidRPr="00612824">
          <w:rPr>
            <w:sz w:val="22"/>
            <w:szCs w:val="22"/>
          </w:rPr>
          <w:delText xml:space="preserve"> devono continuare la dose prescritta.</w:delText>
        </w:r>
      </w:del>
    </w:p>
    <w:p w:rsidR="007674FE" w:rsidRPr="007674FE" w:rsidP="00FE3C0F" w14:paraId="49DBDE4E" w14:textId="77777777">
      <w:pPr>
        <w:numPr>
          <w:ilvl w:val="12"/>
          <w:numId w:val="0"/>
        </w:numPr>
        <w:ind w:right="-2"/>
        <w:rPr>
          <w:del w:id="17161" w:author="AbbVie14" w:date="2025-05-09T11:00:00Z"/>
          <w:sz w:val="22"/>
          <w:szCs w:val="22"/>
        </w:rPr>
      </w:pPr>
    </w:p>
    <w:p w:rsidR="007674FE" w:rsidRPr="00612824" w:rsidP="00FE3C0F" w14:paraId="12EC3413" w14:textId="77777777">
      <w:pPr>
        <w:numPr>
          <w:ilvl w:val="12"/>
          <w:numId w:val="0"/>
        </w:numPr>
        <w:ind w:right="-2"/>
        <w:rPr>
          <w:del w:id="17162" w:author="AbbVie14" w:date="2025-05-09T11:00:00Z"/>
          <w:i/>
          <w:iCs/>
          <w:sz w:val="22"/>
          <w:szCs w:val="22"/>
        </w:rPr>
      </w:pPr>
      <w:del w:id="17163" w:author="AbbVie14" w:date="2025-05-09T11:00:00Z">
        <w:r w:rsidRPr="00612824">
          <w:rPr>
            <w:i/>
            <w:sz w:val="22"/>
            <w:szCs w:val="22"/>
          </w:rPr>
          <w:delText xml:space="preserve">Bambini e adolescenti a partire dai 6 anni di età </w:delText>
        </w:r>
      </w:del>
      <w:del w:id="17164" w:author="AbbVie14" w:date="2025-05-09T11:00:00Z">
        <w:r w:rsidR="00533DB7">
          <w:rPr>
            <w:i/>
            <w:sz w:val="22"/>
            <w:szCs w:val="22"/>
          </w:rPr>
          <w:delText>e con peso uguale o superiore a</w:delText>
        </w:r>
      </w:del>
      <w:del w:id="17165" w:author="AbbVie14" w:date="2025-05-09T11:00:00Z">
        <w:r w:rsidRPr="00612824">
          <w:rPr>
            <w:i/>
            <w:sz w:val="22"/>
            <w:szCs w:val="22"/>
          </w:rPr>
          <w:delText xml:space="preserve"> 40 kg</w:delText>
        </w:r>
      </w:del>
    </w:p>
    <w:p w:rsidR="007674FE" w:rsidRPr="00612824" w:rsidP="00FE3C0F" w14:paraId="0A96794C" w14:textId="77777777">
      <w:pPr>
        <w:numPr>
          <w:ilvl w:val="12"/>
          <w:numId w:val="0"/>
        </w:numPr>
        <w:ind w:right="-2"/>
        <w:rPr>
          <w:del w:id="17166" w:author="AbbVie14" w:date="2025-05-09T11:00:00Z"/>
          <w:i/>
          <w:iCs/>
          <w:sz w:val="22"/>
          <w:szCs w:val="22"/>
        </w:rPr>
      </w:pPr>
    </w:p>
    <w:p w:rsidR="007674FE" w:rsidRPr="00612824" w:rsidP="00FE3C0F" w14:paraId="49B81B85" w14:textId="77777777">
      <w:pPr>
        <w:numPr>
          <w:ilvl w:val="12"/>
          <w:numId w:val="0"/>
        </w:numPr>
        <w:ind w:right="-2"/>
        <w:rPr>
          <w:del w:id="17167" w:author="AbbVie14" w:date="2025-05-09T11:00:00Z"/>
          <w:sz w:val="22"/>
          <w:szCs w:val="22"/>
        </w:rPr>
      </w:pPr>
      <w:del w:id="17168" w:author="AbbVie14" w:date="2025-05-09T11:00:00Z">
        <w:r w:rsidRPr="00612824">
          <w:rPr>
            <w:sz w:val="22"/>
            <w:szCs w:val="22"/>
          </w:rPr>
          <w:delText>La dose abituale di Humira è di 160 mg (</w:delText>
        </w:r>
      </w:del>
      <w:del w:id="17169" w:author="AbbVie14" w:date="2025-05-09T11:00:00Z">
        <w:r w:rsidR="00533DB7">
          <w:rPr>
            <w:sz w:val="22"/>
            <w:szCs w:val="22"/>
          </w:rPr>
          <w:delText xml:space="preserve">tramite </w:delText>
        </w:r>
      </w:del>
      <w:del w:id="17170" w:author="AbbVie14" w:date="2025-05-09T11:00:00Z">
        <w:r w:rsidRPr="00612824">
          <w:rPr>
            <w:sz w:val="22"/>
            <w:szCs w:val="22"/>
          </w:rPr>
          <w:delText xml:space="preserve">quattro iniezioni da 40 mg in un </w:delText>
        </w:r>
      </w:del>
      <w:del w:id="17171" w:author="AbbVie14" w:date="2025-05-09T11:00:00Z">
        <w:r w:rsidR="009D2CEC">
          <w:rPr>
            <w:sz w:val="22"/>
            <w:szCs w:val="22"/>
          </w:rPr>
          <w:delText>giorno</w:delText>
        </w:r>
      </w:del>
      <w:del w:id="17172" w:author="AbbVie14" w:date="2025-05-09T11:00:00Z">
        <w:r w:rsidRPr="00612824">
          <w:rPr>
            <w:sz w:val="22"/>
            <w:szCs w:val="22"/>
          </w:rPr>
          <w:delText xml:space="preserve"> o due iniezioni da 40 mg al giorno per due giorni consecutivi) seguita da 80 mg (</w:delText>
        </w:r>
      </w:del>
      <w:del w:id="17173" w:author="AbbVie14" w:date="2025-05-09T11:00:00Z">
        <w:r w:rsidR="00533DB7">
          <w:rPr>
            <w:sz w:val="22"/>
            <w:szCs w:val="22"/>
          </w:rPr>
          <w:delText xml:space="preserve">tramite </w:delText>
        </w:r>
      </w:del>
      <w:del w:id="17174" w:author="AbbVie14" w:date="2025-05-09T11:00:00Z">
        <w:r w:rsidRPr="00612824">
          <w:rPr>
            <w:sz w:val="22"/>
            <w:szCs w:val="22"/>
          </w:rPr>
          <w:delText xml:space="preserve">due iniezioni da 40 mg in un </w:delText>
        </w:r>
      </w:del>
      <w:del w:id="17175" w:author="AbbVie14" w:date="2025-05-09T11:00:00Z">
        <w:r w:rsidR="009D2CEC">
          <w:rPr>
            <w:sz w:val="22"/>
            <w:szCs w:val="22"/>
          </w:rPr>
          <w:delText>giorno</w:delText>
        </w:r>
      </w:del>
      <w:del w:id="17176" w:author="AbbVie14" w:date="2025-05-09T11:00:00Z">
        <w:r w:rsidRPr="00612824">
          <w:rPr>
            <w:sz w:val="22"/>
            <w:szCs w:val="22"/>
          </w:rPr>
          <w:delText xml:space="preserve">) </w:delText>
        </w:r>
      </w:del>
      <w:del w:id="17177" w:author="AbbVie14" w:date="2025-05-09T11:00:00Z">
        <w:r w:rsidR="00533DB7">
          <w:rPr>
            <w:sz w:val="22"/>
            <w:szCs w:val="22"/>
          </w:rPr>
          <w:delText xml:space="preserve">dopo </w:delText>
        </w:r>
      </w:del>
      <w:del w:id="17178" w:author="AbbVie14" w:date="2025-05-09T11:00:00Z">
        <w:r w:rsidRPr="00612824">
          <w:rPr>
            <w:sz w:val="22"/>
            <w:szCs w:val="22"/>
          </w:rPr>
          <w:delText xml:space="preserve">due settimane. Successivamente la dose abituale è di 80 mg </w:delText>
        </w:r>
      </w:del>
      <w:del w:id="17179" w:author="AbbVie14" w:date="2025-05-09T11:00:00Z">
        <w:r w:rsidR="0002677C">
          <w:rPr>
            <w:sz w:val="22"/>
            <w:szCs w:val="22"/>
          </w:rPr>
          <w:delText>a settimane alterne</w:delText>
        </w:r>
      </w:del>
      <w:del w:id="17180" w:author="AbbVie14" w:date="2025-05-09T11:00:00Z">
        <w:r w:rsidRPr="00612824">
          <w:rPr>
            <w:sz w:val="22"/>
            <w:szCs w:val="22"/>
          </w:rPr>
          <w:delText xml:space="preserve">. </w:delText>
        </w:r>
      </w:del>
    </w:p>
    <w:p w:rsidR="007674FE" w:rsidRPr="007674FE" w:rsidP="00FE3C0F" w14:paraId="37049F06" w14:textId="77777777">
      <w:pPr>
        <w:numPr>
          <w:ilvl w:val="12"/>
          <w:numId w:val="0"/>
        </w:numPr>
        <w:ind w:right="-2"/>
        <w:rPr>
          <w:del w:id="17181" w:author="AbbVie14" w:date="2025-05-09T11:00:00Z"/>
          <w:sz w:val="22"/>
          <w:szCs w:val="22"/>
        </w:rPr>
      </w:pPr>
    </w:p>
    <w:p w:rsidR="007674FE" w:rsidRPr="00612824" w:rsidP="00FE3C0F" w14:paraId="47557DA0" w14:textId="77777777">
      <w:pPr>
        <w:numPr>
          <w:ilvl w:val="12"/>
          <w:numId w:val="0"/>
        </w:numPr>
        <w:ind w:right="-2"/>
        <w:rPr>
          <w:del w:id="17182" w:author="AbbVie14" w:date="2025-05-09T11:00:00Z"/>
          <w:sz w:val="22"/>
          <w:szCs w:val="22"/>
        </w:rPr>
      </w:pPr>
      <w:del w:id="17183" w:author="AbbVie14" w:date="2025-05-09T11:00:00Z">
        <w:r w:rsidRPr="00612824">
          <w:rPr>
            <w:sz w:val="22"/>
            <w:szCs w:val="22"/>
          </w:rPr>
          <w:delText>I pazienti che compiono 18 anni m</w:delText>
        </w:r>
      </w:del>
      <w:del w:id="17184" w:author="AbbVie14" w:date="2025-05-09T11:00:00Z">
        <w:r w:rsidRPr="000163E8" w:rsidR="000163E8">
          <w:rPr>
            <w:sz w:val="22"/>
            <w:szCs w:val="22"/>
          </w:rPr>
          <w:delText>entre assumono 80 </w:delText>
        </w:r>
      </w:del>
      <w:del w:id="17185" w:author="AbbVie14" w:date="2025-05-09T11:00:00Z">
        <w:r w:rsidRPr="00612824">
          <w:rPr>
            <w:sz w:val="22"/>
            <w:szCs w:val="22"/>
          </w:rPr>
          <w:delText xml:space="preserve">mg </w:delText>
        </w:r>
      </w:del>
      <w:del w:id="17186" w:author="AbbVie14" w:date="2025-05-09T11:00:00Z">
        <w:r w:rsidR="0002677C">
          <w:rPr>
            <w:sz w:val="22"/>
            <w:szCs w:val="22"/>
          </w:rPr>
          <w:delText>a settimane alterne</w:delText>
        </w:r>
      </w:del>
      <w:del w:id="17187" w:author="AbbVie14" w:date="2025-05-09T11:00:00Z">
        <w:r w:rsidRPr="00612824">
          <w:rPr>
            <w:sz w:val="22"/>
            <w:szCs w:val="22"/>
          </w:rPr>
          <w:delText xml:space="preserve"> devono continuare la dose prescritta.</w:delText>
        </w:r>
      </w:del>
    </w:p>
    <w:p w:rsidR="007674FE" w:rsidRPr="00612824" w:rsidP="00FE3C0F" w14:paraId="35C131CD" w14:textId="77777777">
      <w:pPr>
        <w:numPr>
          <w:ilvl w:val="12"/>
          <w:numId w:val="0"/>
        </w:numPr>
        <w:ind w:right="-2"/>
        <w:rPr>
          <w:del w:id="17188" w:author="AbbVie14" w:date="2025-05-09T11:00:00Z"/>
          <w:sz w:val="22"/>
          <w:szCs w:val="22"/>
        </w:rPr>
      </w:pPr>
    </w:p>
    <w:p w:rsidR="006224C2" w:rsidRPr="00295E71" w:rsidP="00FE3C0F" w14:paraId="4FA054AC" w14:textId="77777777">
      <w:pPr>
        <w:keepNext/>
        <w:rPr>
          <w:del w:id="17189" w:author="AbbVie14" w:date="2025-05-09T11:00:00Z"/>
          <w:sz w:val="22"/>
          <w:szCs w:val="22"/>
          <w:u w:val="single"/>
        </w:rPr>
      </w:pPr>
      <w:del w:id="17190" w:author="AbbVie14" w:date="2025-05-09T11:00:00Z">
        <w:r w:rsidRPr="00295E71">
          <w:rPr>
            <w:sz w:val="22"/>
            <w:szCs w:val="22"/>
            <w:u w:val="single"/>
          </w:rPr>
          <w:delText>Adulti con uveite non infettiva</w:delText>
        </w:r>
      </w:del>
    </w:p>
    <w:p w:rsidR="006224C2" w:rsidRPr="00295E71" w:rsidP="00FE3C0F" w14:paraId="54DD2419" w14:textId="77777777">
      <w:pPr>
        <w:keepNext/>
        <w:numPr>
          <w:ilvl w:val="12"/>
          <w:numId w:val="0"/>
        </w:numPr>
        <w:tabs>
          <w:tab w:val="left" w:pos="567"/>
        </w:tabs>
        <w:ind w:right="-2"/>
        <w:jc w:val="both"/>
        <w:rPr>
          <w:del w:id="17191" w:author="AbbVie14" w:date="2025-05-09T11:00:00Z"/>
          <w:sz w:val="22"/>
          <w:szCs w:val="22"/>
        </w:rPr>
      </w:pPr>
    </w:p>
    <w:p w:rsidR="006224C2" w:rsidRPr="00295E71" w:rsidP="00FE3C0F" w14:paraId="42BEB636" w14:textId="77777777">
      <w:pPr>
        <w:keepNext/>
        <w:numPr>
          <w:ilvl w:val="12"/>
          <w:numId w:val="0"/>
        </w:numPr>
        <w:tabs>
          <w:tab w:val="left" w:pos="567"/>
        </w:tabs>
        <w:ind w:right="-2"/>
        <w:jc w:val="both"/>
        <w:rPr>
          <w:del w:id="17192" w:author="AbbVie14" w:date="2025-05-09T11:00:00Z"/>
          <w:sz w:val="22"/>
          <w:szCs w:val="22"/>
        </w:rPr>
      </w:pPr>
      <w:del w:id="17193" w:author="AbbVie14" w:date="2025-05-09T11:00:00Z">
        <w:r w:rsidRPr="00295E71">
          <w:rPr>
            <w:sz w:val="22"/>
            <w:szCs w:val="22"/>
          </w:rPr>
          <w:delText xml:space="preserve">La dose abituale per gli adulti </w:delText>
        </w:r>
      </w:del>
      <w:del w:id="17194" w:author="AbbVie14" w:date="2025-05-09T11:00:00Z">
        <w:r w:rsidRPr="00295E71" w:rsidR="00E36C1C">
          <w:rPr>
            <w:sz w:val="22"/>
            <w:szCs w:val="22"/>
          </w:rPr>
          <w:delText>con</w:delText>
        </w:r>
      </w:del>
      <w:del w:id="17195" w:author="AbbVie14" w:date="2025-05-09T11:00:00Z">
        <w:r w:rsidRPr="00295E71">
          <w:rPr>
            <w:sz w:val="22"/>
            <w:szCs w:val="22"/>
          </w:rPr>
          <w:delText xml:space="preserve"> uveite non infettiva è una dose iniziale </w:delText>
        </w:r>
      </w:del>
      <w:del w:id="17196" w:author="AbbVie14" w:date="2025-05-09T11:00:00Z">
        <w:r w:rsidRPr="00295E71" w:rsidR="00E36C1C">
          <w:rPr>
            <w:sz w:val="22"/>
            <w:szCs w:val="22"/>
          </w:rPr>
          <w:delText>di</w:delText>
        </w:r>
      </w:del>
      <w:del w:id="17197" w:author="AbbVie14" w:date="2025-05-09T11:00:00Z">
        <w:r w:rsidRPr="00295E71">
          <w:rPr>
            <w:sz w:val="22"/>
            <w:szCs w:val="22"/>
          </w:rPr>
          <w:delText xml:space="preserve"> 80 mg</w:delText>
        </w:r>
      </w:del>
      <w:del w:id="17198" w:author="AbbVie14" w:date="2025-05-09T11:00:00Z">
        <w:r w:rsidRPr="00295E71" w:rsidR="00E36C1C">
          <w:rPr>
            <w:sz w:val="22"/>
            <w:szCs w:val="22"/>
          </w:rPr>
          <w:delText xml:space="preserve"> (tramite due iniezioni in un giorno)</w:delText>
        </w:r>
      </w:del>
      <w:del w:id="17199" w:author="AbbVie14" w:date="2025-05-09T11:00:00Z">
        <w:r w:rsidRPr="00295E71">
          <w:rPr>
            <w:sz w:val="22"/>
            <w:szCs w:val="22"/>
          </w:rPr>
          <w:delText>, seguita da 40 mg somministrati a settimane alterne a partire da una settimana dopo la dose iniziale. Deve continuare a iniettarsi il trattamento con Humira per tutto il tempo indicato dal medico.</w:delText>
        </w:r>
      </w:del>
    </w:p>
    <w:p w:rsidR="006224C2" w:rsidRPr="00295E71" w:rsidP="00FE3C0F" w14:paraId="29611B5F" w14:textId="77777777">
      <w:pPr>
        <w:numPr>
          <w:ilvl w:val="12"/>
          <w:numId w:val="0"/>
        </w:numPr>
        <w:tabs>
          <w:tab w:val="left" w:pos="567"/>
        </w:tabs>
        <w:ind w:right="-2"/>
        <w:jc w:val="both"/>
        <w:rPr>
          <w:del w:id="17200" w:author="AbbVie14" w:date="2025-05-09T11:00:00Z"/>
          <w:sz w:val="22"/>
          <w:szCs w:val="22"/>
        </w:rPr>
      </w:pPr>
    </w:p>
    <w:p w:rsidR="006224C2" w:rsidRPr="00295E71" w:rsidP="00FE3C0F" w14:paraId="0D63D89E" w14:textId="77777777">
      <w:pPr>
        <w:numPr>
          <w:ilvl w:val="12"/>
          <w:numId w:val="0"/>
        </w:numPr>
        <w:tabs>
          <w:tab w:val="left" w:pos="567"/>
        </w:tabs>
        <w:ind w:right="-2"/>
        <w:jc w:val="both"/>
        <w:rPr>
          <w:del w:id="17201" w:author="AbbVie14" w:date="2025-05-09T11:00:00Z"/>
          <w:sz w:val="22"/>
          <w:szCs w:val="22"/>
        </w:rPr>
      </w:pPr>
      <w:del w:id="17202" w:author="AbbVie14" w:date="2025-05-09T11:00:00Z">
        <w:r w:rsidRPr="00295E71">
          <w:rPr>
            <w:sz w:val="22"/>
            <w:szCs w:val="22"/>
          </w:rPr>
          <w:delText>Nell’uveite non infettiva, i corticosteroidi o gli altri farmaci che influiscono sul sistema immunitario potranno essere continuati durante il trattamento con Humira. Humira può essere somministrato in monoterapia.</w:delText>
        </w:r>
      </w:del>
    </w:p>
    <w:p w:rsidR="006224C2" w:rsidRPr="00295E71" w:rsidP="00FE3C0F" w14:paraId="4A79D55A" w14:textId="77777777">
      <w:pPr>
        <w:numPr>
          <w:ilvl w:val="12"/>
          <w:numId w:val="0"/>
        </w:numPr>
        <w:tabs>
          <w:tab w:val="left" w:pos="567"/>
        </w:tabs>
        <w:ind w:right="-2"/>
        <w:jc w:val="both"/>
        <w:rPr>
          <w:del w:id="17203" w:author="AbbVie14" w:date="2025-05-09T11:00:00Z"/>
          <w:sz w:val="22"/>
          <w:szCs w:val="22"/>
        </w:rPr>
      </w:pPr>
    </w:p>
    <w:p w:rsidR="006224C2" w:rsidRPr="00295E71" w:rsidP="00FE3C0F" w14:paraId="3EFAC120" w14:textId="77777777">
      <w:pPr>
        <w:numPr>
          <w:ilvl w:val="12"/>
          <w:numId w:val="0"/>
        </w:numPr>
        <w:ind w:right="-2"/>
        <w:rPr>
          <w:del w:id="17204" w:author="AbbVie14" w:date="2025-05-09T11:00:00Z"/>
          <w:sz w:val="22"/>
          <w:szCs w:val="22"/>
          <w:u w:val="single"/>
        </w:rPr>
      </w:pPr>
      <w:del w:id="17205" w:author="AbbVie14" w:date="2025-05-09T11:00:00Z">
        <w:r w:rsidRPr="00295E71">
          <w:rPr>
            <w:sz w:val="22"/>
            <w:szCs w:val="22"/>
            <w:u w:val="single"/>
          </w:rPr>
          <w:delText xml:space="preserve">Bambini </w:delText>
        </w:r>
      </w:del>
      <w:del w:id="17206" w:author="AbbVie14" w:date="2025-05-09T11:00:00Z">
        <w:r w:rsidRPr="00295E71" w:rsidR="00E36C1C">
          <w:rPr>
            <w:sz w:val="22"/>
            <w:szCs w:val="22"/>
            <w:u w:val="single"/>
          </w:rPr>
          <w:delText>e adolescenti con</w:delText>
        </w:r>
      </w:del>
      <w:del w:id="17207" w:author="AbbVie14" w:date="2025-05-09T11:00:00Z">
        <w:r w:rsidRPr="00295E71">
          <w:rPr>
            <w:sz w:val="22"/>
            <w:szCs w:val="22"/>
            <w:u w:val="single"/>
          </w:rPr>
          <w:delText xml:space="preserve"> uveite cronica non infettiva </w:delText>
        </w:r>
      </w:del>
      <w:del w:id="17208" w:author="AbbVie14" w:date="2025-05-09T11:00:00Z">
        <w:r w:rsidRPr="00295E71" w:rsidR="00255306">
          <w:rPr>
            <w:sz w:val="22"/>
            <w:szCs w:val="22"/>
            <w:u w:val="single"/>
          </w:rPr>
          <w:delText>a partire da</w:delText>
        </w:r>
      </w:del>
      <w:del w:id="17209" w:author="AbbVie14" w:date="2025-05-09T11:00:00Z">
        <w:r w:rsidRPr="00295E71">
          <w:rPr>
            <w:sz w:val="22"/>
            <w:szCs w:val="22"/>
            <w:u w:val="single"/>
          </w:rPr>
          <w:delText xml:space="preserve"> 2 anni</w:delText>
        </w:r>
      </w:del>
      <w:del w:id="17210" w:author="AbbVie14" w:date="2025-05-09T11:00:00Z">
        <w:r w:rsidRPr="00295E71" w:rsidR="00255306">
          <w:rPr>
            <w:sz w:val="22"/>
            <w:szCs w:val="22"/>
            <w:u w:val="single"/>
          </w:rPr>
          <w:delText xml:space="preserve"> di età</w:delText>
        </w:r>
      </w:del>
    </w:p>
    <w:p w:rsidR="006224C2" w:rsidRPr="00295E71" w:rsidP="00FE3C0F" w14:paraId="34CFC3E3" w14:textId="77777777">
      <w:pPr>
        <w:numPr>
          <w:ilvl w:val="12"/>
          <w:numId w:val="0"/>
        </w:numPr>
        <w:ind w:right="-2"/>
        <w:rPr>
          <w:del w:id="17211" w:author="AbbVie14" w:date="2025-05-09T11:00:00Z"/>
          <w:sz w:val="22"/>
          <w:szCs w:val="22"/>
          <w:u w:val="single"/>
        </w:rPr>
      </w:pPr>
    </w:p>
    <w:p w:rsidR="00A563D7" w:rsidRPr="00295E71" w:rsidP="00FE3C0F" w14:paraId="219ABE73" w14:textId="77777777">
      <w:pPr>
        <w:numPr>
          <w:ilvl w:val="12"/>
          <w:numId w:val="0"/>
        </w:numPr>
        <w:ind w:right="-2"/>
        <w:rPr>
          <w:del w:id="17212" w:author="AbbVie14" w:date="2025-05-09T11:00:00Z"/>
          <w:i/>
          <w:sz w:val="22"/>
          <w:szCs w:val="22"/>
        </w:rPr>
      </w:pPr>
      <w:del w:id="17213" w:author="AbbVie14" w:date="2025-05-09T11:00:00Z">
        <w:r w:rsidRPr="00295E71">
          <w:rPr>
            <w:i/>
            <w:sz w:val="22"/>
            <w:szCs w:val="22"/>
          </w:rPr>
          <w:delText xml:space="preserve">Bambini e adolescenti </w:delText>
        </w:r>
      </w:del>
      <w:del w:id="17214" w:author="AbbVie14" w:date="2025-05-09T11:00:00Z">
        <w:r w:rsidRPr="00295E71" w:rsidR="00255306">
          <w:rPr>
            <w:i/>
            <w:sz w:val="22"/>
            <w:szCs w:val="22"/>
          </w:rPr>
          <w:delText>a partire da 2 anni di età</w:delText>
        </w:r>
      </w:del>
      <w:del w:id="17215" w:author="AbbVie14" w:date="2025-05-09T11:00:00Z">
        <w:r w:rsidRPr="00295E71">
          <w:rPr>
            <w:i/>
            <w:sz w:val="22"/>
            <w:szCs w:val="22"/>
          </w:rPr>
          <w:delText xml:space="preserve">  e con peso inferiore a 30 kg</w:delText>
        </w:r>
      </w:del>
    </w:p>
    <w:p w:rsidR="006224C2" w:rsidRPr="00295E71" w:rsidP="00FE3C0F" w14:paraId="4888F33B" w14:textId="77777777">
      <w:pPr>
        <w:numPr>
          <w:ilvl w:val="12"/>
          <w:numId w:val="0"/>
        </w:numPr>
        <w:ind w:right="-2"/>
        <w:rPr>
          <w:del w:id="17216" w:author="AbbVie14" w:date="2025-05-09T11:00:00Z"/>
          <w:sz w:val="22"/>
          <w:szCs w:val="22"/>
        </w:rPr>
      </w:pPr>
    </w:p>
    <w:p w:rsidR="006224C2" w:rsidRPr="00295E71" w:rsidP="00FE3C0F" w14:paraId="48E7F3C7" w14:textId="77777777">
      <w:pPr>
        <w:numPr>
          <w:ilvl w:val="12"/>
          <w:numId w:val="0"/>
        </w:numPr>
        <w:ind w:right="-2"/>
        <w:rPr>
          <w:del w:id="17217" w:author="AbbVie14" w:date="2025-05-09T11:00:00Z"/>
          <w:sz w:val="22"/>
          <w:szCs w:val="22"/>
        </w:rPr>
      </w:pPr>
      <w:del w:id="17218" w:author="AbbVie14" w:date="2025-05-09T11:00:00Z">
        <w:r w:rsidRPr="00295E71">
          <w:rPr>
            <w:sz w:val="22"/>
            <w:szCs w:val="22"/>
          </w:rPr>
          <w:delText>La dose abituale di Humira è di 20 mg somministrati a settimane alterne con metotressato.</w:delText>
        </w:r>
      </w:del>
    </w:p>
    <w:p w:rsidR="006224C2" w:rsidRPr="00295E71" w:rsidP="00FE3C0F" w14:paraId="057FEEDD" w14:textId="77777777">
      <w:pPr>
        <w:numPr>
          <w:ilvl w:val="12"/>
          <w:numId w:val="0"/>
        </w:numPr>
        <w:ind w:right="-2"/>
        <w:rPr>
          <w:del w:id="17219" w:author="AbbVie14" w:date="2025-05-09T11:00:00Z"/>
          <w:sz w:val="22"/>
          <w:szCs w:val="22"/>
        </w:rPr>
      </w:pPr>
    </w:p>
    <w:p w:rsidR="006224C2" w:rsidRPr="00295E71" w:rsidP="00FE3C0F" w14:paraId="17FB5866" w14:textId="77777777">
      <w:pPr>
        <w:numPr>
          <w:ilvl w:val="12"/>
          <w:numId w:val="0"/>
        </w:numPr>
        <w:ind w:right="-2"/>
        <w:rPr>
          <w:del w:id="17220" w:author="AbbVie14" w:date="2025-05-09T11:00:00Z"/>
          <w:sz w:val="22"/>
          <w:szCs w:val="22"/>
        </w:rPr>
      </w:pPr>
      <w:del w:id="17221" w:author="AbbVie14" w:date="2025-05-09T11:00:00Z">
        <w:r w:rsidRPr="00295E71">
          <w:rPr>
            <w:sz w:val="22"/>
            <w:szCs w:val="22"/>
          </w:rPr>
          <w:delText xml:space="preserve">Il medico potrebbe prescrivere anche una dose iniziale da 40 mg che </w:delText>
        </w:r>
      </w:del>
      <w:del w:id="17222" w:author="AbbVie14" w:date="2025-05-09T11:00:00Z">
        <w:r w:rsidRPr="00295E71" w:rsidR="00A563D7">
          <w:rPr>
            <w:sz w:val="22"/>
            <w:szCs w:val="22"/>
          </w:rPr>
          <w:delText xml:space="preserve">può </w:delText>
        </w:r>
      </w:del>
      <w:del w:id="17223" w:author="AbbVie14" w:date="2025-05-09T11:00:00Z">
        <w:r w:rsidRPr="00295E71">
          <w:rPr>
            <w:sz w:val="22"/>
            <w:szCs w:val="22"/>
          </w:rPr>
          <w:delText>essere somministrata una settimana prima dell’inizio della dose abituale.</w:delText>
        </w:r>
      </w:del>
    </w:p>
    <w:p w:rsidR="006224C2" w:rsidRPr="00295E71" w:rsidP="00FE3C0F" w14:paraId="207AF8CE" w14:textId="77777777">
      <w:pPr>
        <w:numPr>
          <w:ilvl w:val="12"/>
          <w:numId w:val="0"/>
        </w:numPr>
        <w:ind w:right="-2"/>
        <w:rPr>
          <w:del w:id="17224" w:author="AbbVie14" w:date="2025-05-09T11:00:00Z"/>
          <w:sz w:val="22"/>
          <w:szCs w:val="22"/>
        </w:rPr>
      </w:pPr>
    </w:p>
    <w:p w:rsidR="006224C2" w:rsidRPr="00295E71" w:rsidP="00FE3C0F" w14:paraId="28A7AFB5" w14:textId="77777777">
      <w:pPr>
        <w:numPr>
          <w:ilvl w:val="12"/>
          <w:numId w:val="0"/>
        </w:numPr>
        <w:ind w:right="-2"/>
        <w:rPr>
          <w:del w:id="17225" w:author="AbbVie14" w:date="2025-05-09T11:00:00Z"/>
          <w:sz w:val="22"/>
          <w:szCs w:val="22"/>
          <w:u w:val="single"/>
        </w:rPr>
      </w:pPr>
      <w:del w:id="17226" w:author="AbbVie14" w:date="2025-05-09T11:00:00Z">
        <w:r w:rsidRPr="00295E71">
          <w:rPr>
            <w:i/>
            <w:sz w:val="22"/>
            <w:szCs w:val="22"/>
          </w:rPr>
          <w:delText xml:space="preserve">Bambini e adolescenti </w:delText>
        </w:r>
      </w:del>
      <w:del w:id="17227" w:author="AbbVie14" w:date="2025-05-09T11:00:00Z">
        <w:r w:rsidRPr="00295E71" w:rsidR="00255306">
          <w:rPr>
            <w:i/>
            <w:sz w:val="22"/>
            <w:szCs w:val="22"/>
          </w:rPr>
          <w:delText>a partire da 2 anni di età</w:delText>
        </w:r>
      </w:del>
      <w:del w:id="17228" w:author="AbbVie14" w:date="2025-05-09T11:00:00Z">
        <w:r w:rsidRPr="00295E71">
          <w:rPr>
            <w:i/>
            <w:sz w:val="22"/>
            <w:szCs w:val="22"/>
          </w:rPr>
          <w:delText xml:space="preserve">  e con peso uguale o superiore a 30 kg</w:delText>
        </w:r>
      </w:del>
    </w:p>
    <w:p w:rsidR="006224C2" w:rsidRPr="00295E71" w:rsidP="00FE3C0F" w14:paraId="440C876C" w14:textId="77777777">
      <w:pPr>
        <w:numPr>
          <w:ilvl w:val="12"/>
          <w:numId w:val="0"/>
        </w:numPr>
        <w:ind w:right="-2"/>
        <w:rPr>
          <w:del w:id="17229" w:author="AbbVie14" w:date="2025-05-09T11:00:00Z"/>
          <w:sz w:val="22"/>
          <w:szCs w:val="22"/>
        </w:rPr>
      </w:pPr>
    </w:p>
    <w:p w:rsidR="006224C2" w:rsidRPr="00295E71" w:rsidP="00FE3C0F" w14:paraId="2FB41DD1" w14:textId="77777777">
      <w:pPr>
        <w:numPr>
          <w:ilvl w:val="12"/>
          <w:numId w:val="0"/>
        </w:numPr>
        <w:ind w:right="-2"/>
        <w:rPr>
          <w:del w:id="17230" w:author="AbbVie14" w:date="2025-05-09T11:00:00Z"/>
          <w:sz w:val="22"/>
          <w:szCs w:val="22"/>
        </w:rPr>
      </w:pPr>
      <w:del w:id="17231" w:author="AbbVie14" w:date="2025-05-09T11:00:00Z">
        <w:r w:rsidRPr="00295E71">
          <w:rPr>
            <w:sz w:val="22"/>
            <w:szCs w:val="22"/>
          </w:rPr>
          <w:delText>La dose abituale di Humira è di 40 mg somministrati a settimane alterne con metotressato.</w:delText>
        </w:r>
      </w:del>
    </w:p>
    <w:p w:rsidR="006224C2" w:rsidRPr="00295E71" w:rsidP="00FE3C0F" w14:paraId="2BE89DC3" w14:textId="77777777">
      <w:pPr>
        <w:numPr>
          <w:ilvl w:val="12"/>
          <w:numId w:val="0"/>
        </w:numPr>
        <w:ind w:right="-2"/>
        <w:rPr>
          <w:del w:id="17232" w:author="AbbVie14" w:date="2025-05-09T11:00:00Z"/>
          <w:sz w:val="22"/>
          <w:szCs w:val="22"/>
        </w:rPr>
      </w:pPr>
    </w:p>
    <w:p w:rsidR="006224C2" w:rsidRPr="00295E71" w:rsidP="00FE3C0F" w14:paraId="15F91C95" w14:textId="77777777">
      <w:pPr>
        <w:numPr>
          <w:ilvl w:val="12"/>
          <w:numId w:val="0"/>
        </w:numPr>
        <w:tabs>
          <w:tab w:val="left" w:pos="567"/>
        </w:tabs>
        <w:ind w:right="-2"/>
        <w:jc w:val="both"/>
        <w:rPr>
          <w:del w:id="17233" w:author="AbbVie14" w:date="2025-05-09T11:00:00Z"/>
          <w:sz w:val="22"/>
          <w:szCs w:val="22"/>
        </w:rPr>
      </w:pPr>
      <w:del w:id="17234" w:author="AbbVie14" w:date="2025-05-09T11:00:00Z">
        <w:r w:rsidRPr="00295E71">
          <w:rPr>
            <w:sz w:val="22"/>
            <w:szCs w:val="22"/>
          </w:rPr>
          <w:delText xml:space="preserve">Il medico potrebbe prescrivere anche una dose iniziale da 80 mg che </w:delText>
        </w:r>
      </w:del>
      <w:del w:id="17235" w:author="AbbVie14" w:date="2025-05-09T11:00:00Z">
        <w:r w:rsidRPr="00295E71" w:rsidR="00A563D7">
          <w:rPr>
            <w:sz w:val="22"/>
            <w:szCs w:val="22"/>
          </w:rPr>
          <w:delText xml:space="preserve">può </w:delText>
        </w:r>
      </w:del>
      <w:del w:id="17236" w:author="AbbVie14" w:date="2025-05-09T11:00:00Z">
        <w:r w:rsidRPr="00295E71">
          <w:rPr>
            <w:sz w:val="22"/>
            <w:szCs w:val="22"/>
          </w:rPr>
          <w:delText>essere somministrata una settimana prima dell’inizio della dose abituale.</w:delText>
        </w:r>
      </w:del>
    </w:p>
    <w:p w:rsidR="006224C2" w:rsidRPr="00295E71" w:rsidP="00FE3C0F" w14:paraId="10CA3256" w14:textId="77777777">
      <w:pPr>
        <w:numPr>
          <w:ilvl w:val="12"/>
          <w:numId w:val="0"/>
        </w:numPr>
        <w:tabs>
          <w:tab w:val="left" w:pos="567"/>
        </w:tabs>
        <w:ind w:right="-2"/>
        <w:jc w:val="both"/>
        <w:rPr>
          <w:del w:id="17237" w:author="AbbVie14" w:date="2025-05-09T11:00:00Z"/>
          <w:sz w:val="22"/>
          <w:szCs w:val="22"/>
        </w:rPr>
      </w:pPr>
    </w:p>
    <w:p w:rsidR="006224C2" w:rsidRPr="00295E71" w:rsidP="00FE3C0F" w14:paraId="37F9B52E" w14:textId="77777777">
      <w:pPr>
        <w:numPr>
          <w:ilvl w:val="12"/>
          <w:numId w:val="0"/>
        </w:numPr>
        <w:tabs>
          <w:tab w:val="left" w:pos="567"/>
        </w:tabs>
        <w:ind w:right="-2"/>
        <w:jc w:val="both"/>
        <w:rPr>
          <w:del w:id="17238" w:author="AbbVie14" w:date="2025-05-09T11:00:00Z"/>
          <w:b/>
          <w:sz w:val="22"/>
          <w:szCs w:val="22"/>
        </w:rPr>
      </w:pPr>
      <w:del w:id="17239" w:author="AbbVie14" w:date="2025-05-09T11:00:00Z">
        <w:r w:rsidRPr="00295E71">
          <w:rPr>
            <w:b/>
            <w:sz w:val="22"/>
            <w:szCs w:val="22"/>
          </w:rPr>
          <w:delText>Modo e via di somministrazione</w:delText>
        </w:r>
      </w:del>
    </w:p>
    <w:p w:rsidR="006224C2" w:rsidRPr="00295E71" w:rsidP="00FE3C0F" w14:paraId="01A87870" w14:textId="77777777">
      <w:pPr>
        <w:numPr>
          <w:ilvl w:val="12"/>
          <w:numId w:val="0"/>
        </w:numPr>
        <w:tabs>
          <w:tab w:val="left" w:pos="567"/>
        </w:tabs>
        <w:ind w:right="-2"/>
        <w:jc w:val="both"/>
        <w:rPr>
          <w:del w:id="17240" w:author="AbbVie14" w:date="2025-05-09T11:00:00Z"/>
          <w:sz w:val="22"/>
          <w:szCs w:val="22"/>
        </w:rPr>
      </w:pPr>
    </w:p>
    <w:p w:rsidR="006224C2" w:rsidRPr="00295E71" w:rsidP="00FE3C0F" w14:paraId="3721022E" w14:textId="77777777">
      <w:pPr>
        <w:numPr>
          <w:ilvl w:val="12"/>
          <w:numId w:val="0"/>
        </w:numPr>
        <w:tabs>
          <w:tab w:val="left" w:pos="567"/>
        </w:tabs>
        <w:ind w:right="-2"/>
        <w:jc w:val="both"/>
        <w:rPr>
          <w:del w:id="17241" w:author="AbbVie14" w:date="2025-05-09T11:00:00Z"/>
          <w:sz w:val="22"/>
          <w:szCs w:val="22"/>
        </w:rPr>
      </w:pPr>
      <w:del w:id="17242" w:author="AbbVie14" w:date="2025-05-09T11:00:00Z">
        <w:r w:rsidRPr="00295E71">
          <w:rPr>
            <w:sz w:val="22"/>
            <w:szCs w:val="22"/>
          </w:rPr>
          <w:delText>Humira è somministrato per iniezione sotto la cute (per iniezione sottocutanea).</w:delText>
        </w:r>
      </w:del>
    </w:p>
    <w:p w:rsidR="006224C2" w:rsidRPr="00295E71" w:rsidP="00FE3C0F" w14:paraId="085D7FF9" w14:textId="77777777">
      <w:pPr>
        <w:tabs>
          <w:tab w:val="left" w:pos="567"/>
        </w:tabs>
        <w:jc w:val="both"/>
        <w:rPr>
          <w:del w:id="17243" w:author="AbbVie14" w:date="2025-05-09T11:00:00Z"/>
          <w:sz w:val="22"/>
          <w:szCs w:val="22"/>
        </w:rPr>
      </w:pPr>
    </w:p>
    <w:p w:rsidR="006224C2" w:rsidRPr="00295E71" w:rsidP="00FE3C0F" w14:paraId="0603298F" w14:textId="77777777">
      <w:pPr>
        <w:rPr>
          <w:del w:id="17244" w:author="AbbVie14" w:date="2025-05-09T11:00:00Z"/>
          <w:b/>
          <w:bCs/>
          <w:sz w:val="22"/>
          <w:szCs w:val="22"/>
        </w:rPr>
      </w:pPr>
      <w:del w:id="17245" w:author="AbbVie14" w:date="2025-05-09T11:00:00Z">
        <w:r w:rsidRPr="00295E71">
          <w:rPr>
            <w:b/>
            <w:bCs/>
            <w:sz w:val="22"/>
            <w:szCs w:val="22"/>
          </w:rPr>
          <w:delText>Istruzioni per la preparazione e l’iniezione di Humira</w:delText>
        </w:r>
      </w:del>
    </w:p>
    <w:p w:rsidR="006224C2" w:rsidRPr="00295E71" w:rsidP="00FE3C0F" w14:paraId="425E0BF8" w14:textId="77777777">
      <w:pPr>
        <w:tabs>
          <w:tab w:val="left" w:pos="567"/>
        </w:tabs>
        <w:jc w:val="both"/>
        <w:rPr>
          <w:del w:id="17246" w:author="AbbVie14" w:date="2025-05-09T11:00:00Z"/>
          <w:sz w:val="22"/>
          <w:szCs w:val="22"/>
          <w:u w:val="single"/>
        </w:rPr>
      </w:pPr>
    </w:p>
    <w:p w:rsidR="006224C2" w:rsidRPr="00295E71" w:rsidP="00FE3C0F" w14:paraId="2CFE0BB3" w14:textId="77777777">
      <w:pPr>
        <w:tabs>
          <w:tab w:val="left" w:pos="567"/>
        </w:tabs>
        <w:jc w:val="both"/>
        <w:rPr>
          <w:del w:id="17247" w:author="AbbVie14" w:date="2025-05-09T11:00:00Z"/>
          <w:sz w:val="22"/>
          <w:szCs w:val="22"/>
        </w:rPr>
      </w:pPr>
      <w:del w:id="17248" w:author="AbbVie14" w:date="2025-05-09T11:00:00Z">
        <w:r w:rsidRPr="00295E71">
          <w:rPr>
            <w:sz w:val="22"/>
            <w:szCs w:val="22"/>
          </w:rPr>
          <w:delText>Le seguenti istruzioni spiegano come iniettare Humira. Legga attentamente le istruzioni e le segua passo dopo passo. Riceverà istruzioni dal medico o dal suo assistente sulla tecnica dell’auto-somministrazione. Non proceda all’iniezione da solo finché non è sicuro di aver capito come preparare ed eseguire la somministrazione. Dopo adeguate istruzioni l’iniezione può essere eseguita da lei o da altre persone quali, ad esempio, un familiare o un amico.</w:delText>
        </w:r>
      </w:del>
    </w:p>
    <w:p w:rsidR="006224C2" w:rsidRPr="00295E71" w:rsidP="00FE3C0F" w14:paraId="2913AD5E" w14:textId="77777777">
      <w:pPr>
        <w:tabs>
          <w:tab w:val="left" w:pos="567"/>
        </w:tabs>
        <w:jc w:val="both"/>
        <w:rPr>
          <w:del w:id="17249" w:author="AbbVie14" w:date="2025-05-09T11:00:00Z"/>
          <w:sz w:val="22"/>
          <w:szCs w:val="22"/>
        </w:rPr>
      </w:pPr>
    </w:p>
    <w:p w:rsidR="006224C2" w:rsidRPr="00295E71" w:rsidP="00FE3C0F" w14:paraId="72EEB2BB" w14:textId="77777777">
      <w:pPr>
        <w:tabs>
          <w:tab w:val="left" w:pos="567"/>
        </w:tabs>
        <w:jc w:val="both"/>
        <w:rPr>
          <w:del w:id="17250" w:author="AbbVie14" w:date="2025-05-09T11:00:00Z"/>
          <w:sz w:val="22"/>
          <w:szCs w:val="22"/>
        </w:rPr>
      </w:pPr>
      <w:del w:id="17251" w:author="AbbVie14" w:date="2025-05-09T11:00:00Z">
        <w:r w:rsidRPr="00295E71">
          <w:rPr>
            <w:sz w:val="22"/>
            <w:szCs w:val="22"/>
          </w:rPr>
          <w:delText>Il contenuto della siringa non deve essere mescolato ad altri farmaci nella stessa siringa o nel flaconcino.</w:delText>
        </w:r>
      </w:del>
    </w:p>
    <w:p w:rsidR="006224C2" w:rsidRPr="00295E71" w:rsidP="00FE3C0F" w14:paraId="4A4BA9FE" w14:textId="77777777">
      <w:pPr>
        <w:tabs>
          <w:tab w:val="left" w:pos="567"/>
        </w:tabs>
        <w:jc w:val="both"/>
        <w:rPr>
          <w:del w:id="17252" w:author="AbbVie14" w:date="2025-05-09T11:00:00Z"/>
          <w:sz w:val="22"/>
          <w:szCs w:val="22"/>
        </w:rPr>
      </w:pPr>
    </w:p>
    <w:p w:rsidR="006224C2" w:rsidRPr="00295E71" w:rsidP="00FE3C0F" w14:paraId="53C54B11" w14:textId="77777777">
      <w:pPr>
        <w:keepNext/>
        <w:keepLines/>
        <w:tabs>
          <w:tab w:val="left" w:pos="567"/>
        </w:tabs>
        <w:jc w:val="both"/>
        <w:rPr>
          <w:del w:id="17253" w:author="AbbVie14" w:date="2025-05-09T11:00:00Z"/>
          <w:b/>
          <w:bCs/>
          <w:sz w:val="22"/>
          <w:szCs w:val="22"/>
        </w:rPr>
      </w:pPr>
      <w:del w:id="17254" w:author="AbbVie14" w:date="2025-05-09T11:00:00Z">
        <w:r w:rsidRPr="00295E71">
          <w:rPr>
            <w:b/>
            <w:bCs/>
            <w:sz w:val="22"/>
            <w:szCs w:val="22"/>
          </w:rPr>
          <w:delText xml:space="preserve">1) </w:delText>
        </w:r>
      </w:del>
      <w:del w:id="17255" w:author="AbbVie14" w:date="2025-05-09T11:00:00Z">
        <w:r w:rsidRPr="00295E71">
          <w:rPr>
            <w:b/>
            <w:bCs/>
            <w:sz w:val="22"/>
            <w:szCs w:val="22"/>
          </w:rPr>
          <w:tab/>
          <w:delText xml:space="preserve">Preparazione </w:delText>
        </w:r>
      </w:del>
    </w:p>
    <w:p w:rsidR="006224C2" w:rsidRPr="00295E71" w:rsidP="00FE3C0F" w14:paraId="52DDA431" w14:textId="77777777">
      <w:pPr>
        <w:keepNext/>
        <w:keepLines/>
        <w:tabs>
          <w:tab w:val="left" w:pos="567"/>
        </w:tabs>
        <w:jc w:val="both"/>
        <w:rPr>
          <w:del w:id="17256" w:author="AbbVie14" w:date="2025-05-09T11:00:00Z"/>
          <w:sz w:val="22"/>
          <w:szCs w:val="22"/>
        </w:rPr>
      </w:pPr>
    </w:p>
    <w:p w:rsidR="006224C2" w:rsidRPr="00295E71" w:rsidP="00FE3C0F" w14:paraId="1BF0BD8D" w14:textId="77777777">
      <w:pPr>
        <w:keepNext/>
        <w:keepLines/>
        <w:numPr>
          <w:ilvl w:val="0"/>
          <w:numId w:val="16"/>
        </w:numPr>
        <w:tabs>
          <w:tab w:val="clear" w:pos="360"/>
          <w:tab w:val="left" w:pos="540"/>
          <w:tab w:val="left" w:pos="567"/>
        </w:tabs>
        <w:ind w:left="540" w:hanging="540"/>
        <w:jc w:val="both"/>
        <w:rPr>
          <w:del w:id="17257" w:author="AbbVie14" w:date="2025-05-09T11:00:00Z"/>
          <w:sz w:val="22"/>
          <w:szCs w:val="22"/>
        </w:rPr>
      </w:pPr>
      <w:del w:id="17258" w:author="AbbVie14" w:date="2025-05-09T11:00:00Z">
        <w:r w:rsidRPr="00295E71">
          <w:rPr>
            <w:sz w:val="22"/>
            <w:szCs w:val="22"/>
          </w:rPr>
          <w:delText>Si lavi accuratamente le mani.</w:delText>
        </w:r>
      </w:del>
    </w:p>
    <w:p w:rsidR="006224C2" w:rsidRPr="00295E71" w:rsidP="00FE3C0F" w14:paraId="7DA48437" w14:textId="77777777">
      <w:pPr>
        <w:keepNext/>
        <w:keepLines/>
        <w:numPr>
          <w:ilvl w:val="0"/>
          <w:numId w:val="16"/>
        </w:numPr>
        <w:tabs>
          <w:tab w:val="clear" w:pos="360"/>
          <w:tab w:val="left" w:pos="540"/>
          <w:tab w:val="left" w:pos="567"/>
        </w:tabs>
        <w:ind w:left="540" w:hanging="540"/>
        <w:jc w:val="both"/>
        <w:rPr>
          <w:del w:id="17259" w:author="AbbVie14" w:date="2025-05-09T11:00:00Z"/>
          <w:sz w:val="22"/>
          <w:szCs w:val="22"/>
        </w:rPr>
      </w:pPr>
      <w:del w:id="17260" w:author="AbbVie14" w:date="2025-05-09T11:00:00Z">
        <w:r w:rsidRPr="00295E71">
          <w:rPr>
            <w:sz w:val="22"/>
            <w:szCs w:val="22"/>
          </w:rPr>
          <w:delText>Sistemi i seguenti oggetti su una superficie pulita</w:delText>
        </w:r>
      </w:del>
    </w:p>
    <w:p w:rsidR="006224C2" w:rsidRPr="00295E71" w:rsidP="00FE3C0F" w14:paraId="2B712273" w14:textId="77777777">
      <w:pPr>
        <w:keepNext/>
        <w:keepLines/>
        <w:tabs>
          <w:tab w:val="left" w:pos="567"/>
        </w:tabs>
        <w:jc w:val="both"/>
        <w:rPr>
          <w:del w:id="17261" w:author="AbbVie14" w:date="2025-05-09T11:00:00Z"/>
          <w:sz w:val="22"/>
          <w:szCs w:val="22"/>
        </w:rPr>
      </w:pPr>
    </w:p>
    <w:p w:rsidR="006224C2" w:rsidRPr="00295E71" w:rsidP="00FE3C0F" w14:paraId="2E4361FB" w14:textId="77777777">
      <w:pPr>
        <w:keepNext/>
        <w:keepLines/>
        <w:numPr>
          <w:ilvl w:val="1"/>
          <w:numId w:val="12"/>
        </w:numPr>
        <w:tabs>
          <w:tab w:val="left" w:pos="567"/>
          <w:tab w:val="left" w:pos="1134"/>
        </w:tabs>
        <w:ind w:left="1134" w:hanging="567"/>
        <w:jc w:val="both"/>
        <w:rPr>
          <w:del w:id="17262" w:author="AbbVie14" w:date="2025-05-09T11:00:00Z"/>
          <w:sz w:val="22"/>
          <w:szCs w:val="22"/>
        </w:rPr>
      </w:pPr>
      <w:del w:id="17263" w:author="AbbVie14" w:date="2025-05-09T11:00:00Z">
        <w:r w:rsidRPr="00295E71">
          <w:rPr>
            <w:sz w:val="22"/>
            <w:szCs w:val="22"/>
          </w:rPr>
          <w:delText>U</w:delText>
        </w:r>
      </w:del>
      <w:del w:id="17264" w:author="AbbVie14" w:date="2025-05-09T11:00:00Z">
        <w:r w:rsidRPr="00295E71" w:rsidR="00226BC4">
          <w:rPr>
            <w:sz w:val="22"/>
            <w:szCs w:val="22"/>
          </w:rPr>
          <w:delText>na siringa pre-riempita di Humira iniettabile</w:delText>
        </w:r>
      </w:del>
    </w:p>
    <w:p w:rsidR="006224C2" w:rsidRPr="00295E71" w:rsidP="00FE3C0F" w14:paraId="6A12A99B" w14:textId="77777777">
      <w:pPr>
        <w:keepNext/>
        <w:keepLines/>
        <w:numPr>
          <w:ilvl w:val="1"/>
          <w:numId w:val="12"/>
        </w:numPr>
        <w:tabs>
          <w:tab w:val="left" w:pos="567"/>
          <w:tab w:val="left" w:pos="1134"/>
        </w:tabs>
        <w:ind w:left="1134" w:hanging="567"/>
        <w:jc w:val="both"/>
        <w:rPr>
          <w:del w:id="17265" w:author="AbbVie14" w:date="2025-05-09T11:00:00Z"/>
          <w:sz w:val="22"/>
          <w:szCs w:val="22"/>
        </w:rPr>
      </w:pPr>
      <w:del w:id="17266" w:author="AbbVie14" w:date="2025-05-09T11:00:00Z">
        <w:r w:rsidRPr="00295E71">
          <w:rPr>
            <w:sz w:val="22"/>
            <w:szCs w:val="22"/>
          </w:rPr>
          <w:delText>U</w:delText>
        </w:r>
      </w:del>
      <w:del w:id="17267" w:author="AbbVie14" w:date="2025-05-09T11:00:00Z">
        <w:r w:rsidRPr="00295E71" w:rsidR="00226BC4">
          <w:rPr>
            <w:sz w:val="22"/>
            <w:szCs w:val="22"/>
          </w:rPr>
          <w:delText>n tampone imbevuto di alcool</w:delText>
        </w:r>
      </w:del>
    </w:p>
    <w:p w:rsidR="006224C2" w:rsidRPr="00295E71" w:rsidP="00FE3C0F" w14:paraId="69018DD3" w14:textId="77777777">
      <w:pPr>
        <w:keepNext/>
        <w:keepLines/>
        <w:tabs>
          <w:tab w:val="left" w:pos="567"/>
        </w:tabs>
        <w:rPr>
          <w:del w:id="17268" w:author="AbbVie14" w:date="2025-05-09T11:00:00Z"/>
          <w:sz w:val="22"/>
          <w:szCs w:val="22"/>
        </w:rPr>
      </w:pPr>
    </w:p>
    <w:p w:rsidR="006224C2" w:rsidRPr="00295E71" w:rsidP="00FE3C0F" w14:paraId="7BAAD4C7" w14:textId="77777777">
      <w:pPr>
        <w:tabs>
          <w:tab w:val="left" w:pos="567"/>
        </w:tabs>
        <w:jc w:val="center"/>
        <w:rPr>
          <w:del w:id="17269" w:author="AbbVie14" w:date="2025-05-09T11:00:00Z"/>
          <w:sz w:val="22"/>
          <w:szCs w:val="22"/>
        </w:rPr>
      </w:pPr>
      <w:del w:id="17270" w:author="AbbVie14" w:date="2025-05-09T11:00:00Z">
        <w:r w:rsidRPr="00910CE7">
          <w:rPr>
            <w:noProof/>
            <w:sz w:val="22"/>
            <w:lang w:val="en-GB"/>
          </w:rPr>
          <w:drawing>
            <wp:inline distT="0" distB="0" distL="0" distR="0">
              <wp:extent cx="2047875" cy="2028825"/>
              <wp:effectExtent l="19050" t="0" r="9525"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pic:cNvPicPr>
                        <a:picLocks noChangeAspect="1" noChangeArrowheads="1"/>
                      </pic:cNvPicPr>
                    </pic:nvPicPr>
                    <pic:blipFill>
                      <a:blip xmlns:r="http://schemas.openxmlformats.org/officeDocument/2006/relationships" r:embed="rId55" cstate="print"/>
                      <a:stretch>
                        <a:fillRect/>
                      </a:stretch>
                    </pic:blipFill>
                    <pic:spPr bwMode="auto">
                      <a:xfrm>
                        <a:off x="0" y="0"/>
                        <a:ext cx="2047875" cy="2028825"/>
                      </a:xfrm>
                      <a:prstGeom prst="rect">
                        <a:avLst/>
                      </a:prstGeom>
                      <a:noFill/>
                      <a:ln w="9525">
                        <a:noFill/>
                        <a:miter lim="800000"/>
                        <a:headEnd/>
                        <a:tailEnd/>
                      </a:ln>
                    </pic:spPr>
                  </pic:pic>
                </a:graphicData>
              </a:graphic>
            </wp:inline>
          </w:drawing>
        </w:r>
      </w:del>
    </w:p>
    <w:p w:rsidR="006224C2" w:rsidRPr="00295E71" w:rsidP="00FE3C0F" w14:paraId="63B1E388" w14:textId="77777777">
      <w:pPr>
        <w:tabs>
          <w:tab w:val="left" w:pos="567"/>
        </w:tabs>
        <w:rPr>
          <w:del w:id="17271" w:author="AbbVie14" w:date="2025-05-09T11:00:00Z"/>
          <w:sz w:val="22"/>
          <w:szCs w:val="22"/>
        </w:rPr>
      </w:pPr>
    </w:p>
    <w:p w:rsidR="006224C2" w:rsidRPr="00295E71" w:rsidP="00FE3C0F" w14:paraId="3A72C162" w14:textId="77777777">
      <w:pPr>
        <w:numPr>
          <w:ilvl w:val="0"/>
          <w:numId w:val="16"/>
        </w:numPr>
        <w:tabs>
          <w:tab w:val="clear" w:pos="360"/>
          <w:tab w:val="left" w:pos="540"/>
          <w:tab w:val="left" w:pos="567"/>
        </w:tabs>
        <w:ind w:left="540" w:hanging="540"/>
        <w:jc w:val="both"/>
        <w:rPr>
          <w:del w:id="17272" w:author="AbbVie14" w:date="2025-05-09T11:00:00Z"/>
          <w:sz w:val="22"/>
          <w:szCs w:val="22"/>
        </w:rPr>
      </w:pPr>
      <w:del w:id="17273" w:author="AbbVie14" w:date="2025-05-09T11:00:00Z">
        <w:r w:rsidRPr="00295E71">
          <w:rPr>
            <w:sz w:val="22"/>
            <w:szCs w:val="22"/>
          </w:rPr>
          <w:delText>Controlli la data di scadenza sulla siringa. Non usi il prodotto oltre il mese e l’anno indicati.</w:delText>
        </w:r>
      </w:del>
    </w:p>
    <w:p w:rsidR="006224C2" w:rsidRPr="00295E71" w:rsidP="00FE3C0F" w14:paraId="5F71926F" w14:textId="77777777">
      <w:pPr>
        <w:tabs>
          <w:tab w:val="left" w:pos="567"/>
        </w:tabs>
        <w:jc w:val="both"/>
        <w:rPr>
          <w:del w:id="17274" w:author="AbbVie14" w:date="2025-05-09T11:00:00Z"/>
          <w:sz w:val="22"/>
          <w:szCs w:val="22"/>
        </w:rPr>
      </w:pPr>
    </w:p>
    <w:p w:rsidR="006224C2" w:rsidRPr="00295E71" w:rsidP="00FE3C0F" w14:paraId="230B9141" w14:textId="77777777">
      <w:pPr>
        <w:tabs>
          <w:tab w:val="left" w:pos="567"/>
        </w:tabs>
        <w:jc w:val="both"/>
        <w:rPr>
          <w:del w:id="17275" w:author="AbbVie14" w:date="2025-05-09T11:00:00Z"/>
          <w:b/>
          <w:bCs/>
          <w:sz w:val="22"/>
          <w:szCs w:val="22"/>
        </w:rPr>
      </w:pPr>
      <w:del w:id="17276" w:author="AbbVie14" w:date="2025-05-09T11:00:00Z">
        <w:r w:rsidRPr="00295E71">
          <w:rPr>
            <w:b/>
            <w:bCs/>
            <w:sz w:val="22"/>
            <w:szCs w:val="22"/>
          </w:rPr>
          <w:delText>2)</w:delText>
        </w:r>
      </w:del>
      <w:del w:id="17277" w:author="AbbVie14" w:date="2025-05-09T11:00:00Z">
        <w:r w:rsidRPr="00295E71">
          <w:rPr>
            <w:b/>
            <w:bCs/>
            <w:sz w:val="22"/>
            <w:szCs w:val="22"/>
          </w:rPr>
          <w:tab/>
          <w:delText>Scelta e preparazione di un sito d’iniezione</w:delText>
        </w:r>
      </w:del>
    </w:p>
    <w:p w:rsidR="006224C2" w:rsidRPr="00295E71" w:rsidP="00FE3C0F" w14:paraId="0DD037CB" w14:textId="77777777">
      <w:pPr>
        <w:tabs>
          <w:tab w:val="left" w:pos="567"/>
        </w:tabs>
        <w:ind w:left="360"/>
        <w:jc w:val="both"/>
        <w:rPr>
          <w:del w:id="17278" w:author="AbbVie14" w:date="2025-05-09T11:00:00Z"/>
          <w:sz w:val="22"/>
          <w:szCs w:val="22"/>
        </w:rPr>
      </w:pPr>
    </w:p>
    <w:p w:rsidR="006224C2" w:rsidRPr="00295E71" w:rsidP="00FE3C0F" w14:paraId="07F91DAC" w14:textId="77777777">
      <w:pPr>
        <w:numPr>
          <w:ilvl w:val="0"/>
          <w:numId w:val="12"/>
        </w:numPr>
        <w:tabs>
          <w:tab w:val="num" w:pos="540"/>
          <w:tab w:val="left" w:pos="567"/>
          <w:tab w:val="clear" w:pos="1440"/>
        </w:tabs>
        <w:ind w:left="567" w:hanging="567"/>
        <w:jc w:val="both"/>
        <w:rPr>
          <w:del w:id="17279" w:author="AbbVie14" w:date="2025-05-09T11:00:00Z"/>
          <w:sz w:val="22"/>
          <w:szCs w:val="22"/>
        </w:rPr>
      </w:pPr>
      <w:del w:id="17280" w:author="AbbVie14" w:date="2025-05-09T11:00:00Z">
        <w:r w:rsidRPr="00295E71">
          <w:rPr>
            <w:sz w:val="22"/>
            <w:szCs w:val="22"/>
          </w:rPr>
          <w:delText>Scelga un punto sulla coscia o sulla pancia.</w:delText>
        </w:r>
      </w:del>
    </w:p>
    <w:p w:rsidR="006224C2" w:rsidRPr="00295E71" w:rsidP="00FE3C0F" w14:paraId="7AF4086D" w14:textId="77777777">
      <w:pPr>
        <w:tabs>
          <w:tab w:val="left" w:pos="567"/>
        </w:tabs>
        <w:jc w:val="both"/>
        <w:rPr>
          <w:del w:id="17281" w:author="AbbVie14" w:date="2025-05-09T11:00:00Z"/>
          <w:sz w:val="22"/>
          <w:szCs w:val="22"/>
        </w:rPr>
      </w:pPr>
    </w:p>
    <w:p w:rsidR="006224C2" w:rsidRPr="00295E71" w:rsidP="00FE3C0F" w14:paraId="7EF43F98" w14:textId="77777777">
      <w:pPr>
        <w:pStyle w:val="EndnoteText"/>
        <w:jc w:val="center"/>
        <w:rPr>
          <w:del w:id="17282" w:author="AbbVie14" w:date="2025-05-09T11:00:00Z"/>
          <w:lang w:val="it-IT"/>
        </w:rPr>
      </w:pPr>
      <w:del w:id="17283" w:author="AbbVie14" w:date="2025-05-09T11:00:00Z">
        <w:r w:rsidRPr="00910CE7">
          <w:rPr>
            <w:noProof/>
          </w:rPr>
          <w:drawing>
            <wp:inline distT="0" distB="0" distL="0" distR="0">
              <wp:extent cx="2047875" cy="2038350"/>
              <wp:effectExtent l="19050" t="0" r="952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pic:cNvPicPr>
                        <a:picLocks noChangeAspect="1" noChangeArrowheads="1"/>
                      </pic:cNvPicPr>
                    </pic:nvPicPr>
                    <pic:blipFill>
                      <a:blip xmlns:r="http://schemas.openxmlformats.org/officeDocument/2006/relationships" r:embed="rId56" cstate="print"/>
                      <a:stretch>
                        <a:fillRect/>
                      </a:stretch>
                    </pic:blipFill>
                    <pic:spPr bwMode="auto">
                      <a:xfrm>
                        <a:off x="0" y="0"/>
                        <a:ext cx="2047875" cy="2038350"/>
                      </a:xfrm>
                      <a:prstGeom prst="rect">
                        <a:avLst/>
                      </a:prstGeom>
                      <a:noFill/>
                      <a:ln w="9525">
                        <a:noFill/>
                        <a:miter lim="800000"/>
                        <a:headEnd/>
                        <a:tailEnd/>
                      </a:ln>
                    </pic:spPr>
                  </pic:pic>
                </a:graphicData>
              </a:graphic>
            </wp:inline>
          </w:drawing>
        </w:r>
      </w:del>
    </w:p>
    <w:p w:rsidR="00EE30BE" w:rsidRPr="00295E71" w:rsidP="00FE3C0F" w14:paraId="7B38B01D" w14:textId="77777777">
      <w:pPr>
        <w:rPr>
          <w:del w:id="17284" w:author="AbbVie14" w:date="2025-05-09T11:00:00Z"/>
          <w:lang w:eastAsia="en-US"/>
        </w:rPr>
      </w:pPr>
    </w:p>
    <w:p w:rsidR="006224C2" w:rsidRPr="00295E71" w:rsidP="00FE3C0F" w14:paraId="48C93927" w14:textId="77777777">
      <w:pPr>
        <w:pStyle w:val="ListParagraph"/>
        <w:numPr>
          <w:ilvl w:val="0"/>
          <w:numId w:val="89"/>
        </w:numPr>
        <w:ind w:left="360"/>
        <w:rPr>
          <w:del w:id="17285" w:author="AbbVie14" w:date="2025-05-09T11:00:00Z"/>
          <w:sz w:val="22"/>
          <w:szCs w:val="22"/>
        </w:rPr>
      </w:pPr>
      <w:del w:id="17286" w:author="AbbVie14" w:date="2025-05-09T11:00:00Z">
        <w:r w:rsidRPr="00295E71">
          <w:rPr>
            <w:sz w:val="22"/>
            <w:szCs w:val="22"/>
          </w:rPr>
          <w:delText xml:space="preserve">Ogni nuova iniezione deve essere somministrata ad almeno 3 cm dal sito dell’ultima iniezione. </w:delText>
        </w:r>
      </w:del>
    </w:p>
    <w:p w:rsidR="006224C2" w:rsidRPr="00295E71" w:rsidP="00FE3C0F" w14:paraId="6AA2674E" w14:textId="77777777">
      <w:pPr>
        <w:numPr>
          <w:ilvl w:val="1"/>
          <w:numId w:val="12"/>
        </w:numPr>
        <w:tabs>
          <w:tab w:val="left" w:pos="567"/>
          <w:tab w:val="left" w:pos="1134"/>
        </w:tabs>
        <w:ind w:left="1134" w:hanging="567"/>
        <w:jc w:val="both"/>
        <w:rPr>
          <w:del w:id="17287" w:author="AbbVie14" w:date="2025-05-09T11:00:00Z"/>
          <w:sz w:val="22"/>
          <w:szCs w:val="22"/>
        </w:rPr>
      </w:pPr>
      <w:del w:id="17288" w:author="AbbVie14" w:date="2025-05-09T11:00:00Z">
        <w:r w:rsidRPr="00295E71">
          <w:rPr>
            <w:sz w:val="22"/>
            <w:szCs w:val="22"/>
          </w:rPr>
          <w:delText>Non esegua l’iniezione in zone in cui la pelle appare arrossata, siano presenti ematomi o risulti indurita. Ciò potrebbe indicare la presenza di un’infezione.</w:delText>
        </w:r>
      </w:del>
    </w:p>
    <w:p w:rsidR="006224C2" w:rsidRPr="00295E71" w:rsidP="00FE3C0F" w14:paraId="736208E1" w14:textId="77777777">
      <w:pPr>
        <w:numPr>
          <w:ilvl w:val="1"/>
          <w:numId w:val="12"/>
        </w:numPr>
        <w:tabs>
          <w:tab w:val="left" w:pos="567"/>
          <w:tab w:val="left" w:pos="1134"/>
        </w:tabs>
        <w:ind w:left="1134" w:hanging="567"/>
        <w:jc w:val="both"/>
        <w:rPr>
          <w:del w:id="17289" w:author="AbbVie14" w:date="2025-05-09T11:00:00Z"/>
          <w:sz w:val="22"/>
          <w:szCs w:val="22"/>
        </w:rPr>
      </w:pPr>
      <w:del w:id="17290" w:author="AbbVie14" w:date="2025-05-09T11:00:00Z">
        <w:r w:rsidRPr="00295E71">
          <w:rPr>
            <w:sz w:val="22"/>
            <w:szCs w:val="22"/>
          </w:rPr>
          <w:delText xml:space="preserve">Strofini la sede di iniezione con il tampone imbevuto di alcool, con un movimento </w:delText>
        </w:r>
      </w:del>
      <w:del w:id="17291" w:author="AbbVie14" w:date="2025-05-09T11:00:00Z">
        <w:r w:rsidRPr="00295E71" w:rsidR="0039372B">
          <w:rPr>
            <w:sz w:val="22"/>
            <w:szCs w:val="22"/>
          </w:rPr>
          <w:delText>circolare</w:delText>
        </w:r>
      </w:del>
      <w:del w:id="17292" w:author="AbbVie14" w:date="2025-05-09T11:00:00Z">
        <w:r w:rsidRPr="00295E71">
          <w:rPr>
            <w:sz w:val="22"/>
            <w:szCs w:val="22"/>
          </w:rPr>
          <w:delText>.</w:delText>
        </w:r>
      </w:del>
    </w:p>
    <w:p w:rsidR="006224C2" w:rsidRPr="00295E71" w:rsidP="00FE3C0F" w14:paraId="12FB8F03" w14:textId="77777777">
      <w:pPr>
        <w:numPr>
          <w:ilvl w:val="1"/>
          <w:numId w:val="12"/>
        </w:numPr>
        <w:tabs>
          <w:tab w:val="left" w:pos="567"/>
          <w:tab w:val="left" w:pos="1134"/>
        </w:tabs>
        <w:ind w:left="1134" w:hanging="567"/>
        <w:jc w:val="both"/>
        <w:rPr>
          <w:del w:id="17293" w:author="AbbVie14" w:date="2025-05-09T11:00:00Z"/>
          <w:sz w:val="22"/>
          <w:szCs w:val="22"/>
        </w:rPr>
      </w:pPr>
      <w:del w:id="17294" w:author="AbbVie14" w:date="2025-05-09T11:00:00Z">
        <w:r w:rsidRPr="00295E71">
          <w:rPr>
            <w:sz w:val="22"/>
            <w:szCs w:val="22"/>
          </w:rPr>
          <w:delText>Non tocchi nuovamente la zona prima dell’iniezione.</w:delText>
        </w:r>
      </w:del>
    </w:p>
    <w:p w:rsidR="006224C2" w:rsidRPr="00295E71" w:rsidP="00FE3C0F" w14:paraId="57AA0F86" w14:textId="77777777">
      <w:pPr>
        <w:tabs>
          <w:tab w:val="left" w:pos="567"/>
          <w:tab w:val="left" w:pos="1134"/>
        </w:tabs>
        <w:ind w:left="567"/>
        <w:jc w:val="both"/>
        <w:rPr>
          <w:del w:id="17295" w:author="AbbVie14" w:date="2025-05-09T11:00:00Z"/>
          <w:sz w:val="22"/>
          <w:szCs w:val="22"/>
        </w:rPr>
      </w:pPr>
    </w:p>
    <w:p w:rsidR="006224C2" w:rsidRPr="00295E71" w:rsidP="00FE3C0F" w14:paraId="322272AE" w14:textId="77777777">
      <w:pPr>
        <w:tabs>
          <w:tab w:val="left" w:pos="567"/>
        </w:tabs>
        <w:jc w:val="both"/>
        <w:rPr>
          <w:del w:id="17296" w:author="AbbVie14" w:date="2025-05-09T11:00:00Z"/>
          <w:b/>
          <w:bCs/>
          <w:sz w:val="22"/>
          <w:szCs w:val="22"/>
        </w:rPr>
      </w:pPr>
      <w:del w:id="17297" w:author="AbbVie14" w:date="2025-05-09T11:00:00Z">
        <w:r w:rsidRPr="00295E71">
          <w:rPr>
            <w:b/>
            <w:bCs/>
            <w:sz w:val="22"/>
            <w:szCs w:val="22"/>
          </w:rPr>
          <w:delText xml:space="preserve">3) </w:delText>
        </w:r>
      </w:del>
      <w:del w:id="17298" w:author="AbbVie14" w:date="2025-05-09T11:00:00Z">
        <w:r w:rsidRPr="00295E71">
          <w:rPr>
            <w:b/>
            <w:bCs/>
            <w:sz w:val="22"/>
            <w:szCs w:val="22"/>
          </w:rPr>
          <w:tab/>
          <w:delText>Iniezione di Humira</w:delText>
        </w:r>
      </w:del>
    </w:p>
    <w:p w:rsidR="006224C2" w:rsidRPr="00295E71" w:rsidP="00FE3C0F" w14:paraId="6E963F5F" w14:textId="77777777">
      <w:pPr>
        <w:tabs>
          <w:tab w:val="left" w:pos="567"/>
        </w:tabs>
        <w:jc w:val="both"/>
        <w:rPr>
          <w:del w:id="17299" w:author="AbbVie14" w:date="2025-05-09T11:00:00Z"/>
          <w:sz w:val="22"/>
          <w:szCs w:val="22"/>
        </w:rPr>
      </w:pPr>
    </w:p>
    <w:p w:rsidR="006224C2" w:rsidRPr="00295E71" w:rsidP="00FE3C0F" w14:paraId="150A0844" w14:textId="77777777">
      <w:pPr>
        <w:numPr>
          <w:ilvl w:val="0"/>
          <w:numId w:val="38"/>
        </w:numPr>
        <w:tabs>
          <w:tab w:val="left" w:pos="567"/>
        </w:tabs>
        <w:ind w:hanging="720"/>
        <w:jc w:val="both"/>
        <w:rPr>
          <w:del w:id="17300" w:author="AbbVie14" w:date="2025-05-09T11:00:00Z"/>
          <w:sz w:val="22"/>
          <w:szCs w:val="22"/>
        </w:rPr>
      </w:pPr>
      <w:del w:id="17301" w:author="AbbVie14" w:date="2025-05-09T11:00:00Z">
        <w:r w:rsidRPr="00295E71">
          <w:rPr>
            <w:sz w:val="22"/>
            <w:szCs w:val="22"/>
          </w:rPr>
          <w:delText>NON agiti la siringa.</w:delText>
        </w:r>
      </w:del>
    </w:p>
    <w:p w:rsidR="006224C2" w:rsidRPr="00295E71" w:rsidP="00FE3C0F" w14:paraId="3CEBC9C8" w14:textId="77777777">
      <w:pPr>
        <w:numPr>
          <w:ilvl w:val="0"/>
          <w:numId w:val="13"/>
        </w:numPr>
        <w:tabs>
          <w:tab w:val="num" w:pos="540"/>
          <w:tab w:val="left" w:pos="567"/>
          <w:tab w:val="clear" w:pos="720"/>
        </w:tabs>
        <w:ind w:left="567" w:hanging="567"/>
        <w:jc w:val="both"/>
        <w:rPr>
          <w:del w:id="17302" w:author="AbbVie14" w:date="2025-05-09T11:00:00Z"/>
          <w:sz w:val="22"/>
          <w:szCs w:val="22"/>
        </w:rPr>
      </w:pPr>
      <w:del w:id="17303" w:author="AbbVie14" w:date="2025-05-09T11:00:00Z">
        <w:r w:rsidRPr="00295E71">
          <w:rPr>
            <w:sz w:val="22"/>
            <w:szCs w:val="22"/>
          </w:rPr>
          <w:delText>Rimuova il tappo dall’ago della siringa, facendo attenzione a non toccare l’ago o che l’ago non tocchi nessuna superficie.</w:delText>
        </w:r>
      </w:del>
    </w:p>
    <w:p w:rsidR="006224C2" w:rsidRPr="00295E71" w:rsidP="00FE3C0F" w14:paraId="3CA8D686" w14:textId="77777777">
      <w:pPr>
        <w:numPr>
          <w:ilvl w:val="0"/>
          <w:numId w:val="13"/>
        </w:numPr>
        <w:tabs>
          <w:tab w:val="num" w:pos="540"/>
          <w:tab w:val="left" w:pos="567"/>
          <w:tab w:val="clear" w:pos="720"/>
        </w:tabs>
        <w:ind w:left="567" w:hanging="567"/>
        <w:jc w:val="both"/>
        <w:rPr>
          <w:del w:id="17304" w:author="AbbVie14" w:date="2025-05-09T11:00:00Z"/>
          <w:sz w:val="22"/>
          <w:szCs w:val="22"/>
        </w:rPr>
      </w:pPr>
      <w:del w:id="17305" w:author="AbbVie14" w:date="2025-05-09T11:00:00Z">
        <w:r w:rsidRPr="00295E71">
          <w:rPr>
            <w:sz w:val="22"/>
            <w:szCs w:val="22"/>
          </w:rPr>
          <w:delText>Con una mano, prenda delicatamente la zona già strofinata con l’alcool e la mantenga ferma.</w:delText>
        </w:r>
      </w:del>
    </w:p>
    <w:p w:rsidR="00EE30BE" w:rsidRPr="00295E71" w:rsidP="00FE3C0F" w14:paraId="343A967E" w14:textId="77777777">
      <w:pPr>
        <w:tabs>
          <w:tab w:val="left" w:pos="567"/>
        </w:tabs>
        <w:ind w:left="567"/>
        <w:jc w:val="both"/>
        <w:rPr>
          <w:del w:id="17306" w:author="AbbVie14" w:date="2025-05-09T11:00:00Z"/>
          <w:sz w:val="22"/>
          <w:szCs w:val="22"/>
        </w:rPr>
      </w:pPr>
    </w:p>
    <w:p w:rsidR="006224C2" w:rsidRPr="00295E71" w:rsidP="00FE3C0F" w14:paraId="46AC2203" w14:textId="77777777">
      <w:pPr>
        <w:tabs>
          <w:tab w:val="left" w:pos="567"/>
        </w:tabs>
        <w:jc w:val="center"/>
        <w:rPr>
          <w:del w:id="17307" w:author="AbbVie14" w:date="2025-05-09T11:00:00Z"/>
          <w:sz w:val="22"/>
          <w:szCs w:val="22"/>
        </w:rPr>
      </w:pPr>
      <w:del w:id="17308" w:author="AbbVie14" w:date="2025-05-09T11:00:00Z">
        <w:r w:rsidRPr="00910CE7">
          <w:rPr>
            <w:noProof/>
            <w:sz w:val="22"/>
            <w:lang w:val="en-GB"/>
          </w:rPr>
          <w:drawing>
            <wp:inline distT="0" distB="0" distL="0" distR="0">
              <wp:extent cx="2009775" cy="1981200"/>
              <wp:effectExtent l="19050" t="0" r="9525"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pic:cNvPicPr>
                        <a:picLocks noChangeAspect="1" noChangeArrowheads="1"/>
                      </pic:cNvPicPr>
                    </pic:nvPicPr>
                    <pic:blipFill>
                      <a:blip xmlns:r="http://schemas.openxmlformats.org/officeDocument/2006/relationships" r:embed="rId57" cstate="print"/>
                      <a:stretch>
                        <a:fillRect/>
                      </a:stretch>
                    </pic:blipFill>
                    <pic:spPr bwMode="auto">
                      <a:xfrm>
                        <a:off x="0" y="0"/>
                        <a:ext cx="2009775" cy="1981200"/>
                      </a:xfrm>
                      <a:prstGeom prst="rect">
                        <a:avLst/>
                      </a:prstGeom>
                      <a:noFill/>
                      <a:ln w="9525">
                        <a:noFill/>
                        <a:miter lim="800000"/>
                        <a:headEnd/>
                        <a:tailEnd/>
                      </a:ln>
                    </pic:spPr>
                  </pic:pic>
                </a:graphicData>
              </a:graphic>
            </wp:inline>
          </w:drawing>
        </w:r>
      </w:del>
    </w:p>
    <w:p w:rsidR="006224C2" w:rsidRPr="00295E71" w:rsidP="00FE3C0F" w14:paraId="54A19672" w14:textId="77777777">
      <w:pPr>
        <w:tabs>
          <w:tab w:val="left" w:pos="567"/>
        </w:tabs>
        <w:jc w:val="center"/>
        <w:rPr>
          <w:del w:id="17309" w:author="AbbVie14" w:date="2025-05-09T11:00:00Z"/>
          <w:sz w:val="22"/>
          <w:szCs w:val="22"/>
        </w:rPr>
      </w:pPr>
    </w:p>
    <w:p w:rsidR="006224C2" w:rsidRPr="00295E71" w:rsidP="00FE3C0F" w14:paraId="56156695" w14:textId="77777777">
      <w:pPr>
        <w:numPr>
          <w:ilvl w:val="0"/>
          <w:numId w:val="13"/>
        </w:numPr>
        <w:tabs>
          <w:tab w:val="num" w:pos="540"/>
          <w:tab w:val="left" w:pos="567"/>
          <w:tab w:val="clear" w:pos="720"/>
        </w:tabs>
        <w:ind w:left="567" w:hanging="567"/>
        <w:rPr>
          <w:del w:id="17310" w:author="AbbVie14" w:date="2025-05-09T11:00:00Z"/>
          <w:sz w:val="22"/>
          <w:szCs w:val="22"/>
        </w:rPr>
      </w:pPr>
      <w:del w:id="17311" w:author="AbbVie14" w:date="2025-05-09T11:00:00Z">
        <w:r w:rsidRPr="00295E71">
          <w:rPr>
            <w:sz w:val="22"/>
            <w:szCs w:val="22"/>
          </w:rPr>
          <w:delText>Con l’altra mano, impugni la siringa (con la parte scanalata rivolta verso l’alto) formando un angolo di 45° rispetto al punto di iniezione.</w:delText>
        </w:r>
      </w:del>
    </w:p>
    <w:p w:rsidR="006224C2" w:rsidRPr="00295E71" w:rsidP="00FE3C0F" w14:paraId="0E0D53CC" w14:textId="77777777">
      <w:pPr>
        <w:numPr>
          <w:ilvl w:val="0"/>
          <w:numId w:val="13"/>
        </w:numPr>
        <w:tabs>
          <w:tab w:val="num" w:pos="540"/>
          <w:tab w:val="left" w:pos="567"/>
          <w:tab w:val="clear" w:pos="720"/>
        </w:tabs>
        <w:ind w:left="567" w:hanging="567"/>
        <w:rPr>
          <w:del w:id="17312" w:author="AbbVie14" w:date="2025-05-09T11:00:00Z"/>
          <w:sz w:val="22"/>
          <w:szCs w:val="22"/>
        </w:rPr>
      </w:pPr>
      <w:del w:id="17313" w:author="AbbVie14" w:date="2025-05-09T11:00:00Z">
        <w:r w:rsidRPr="00295E71">
          <w:rPr>
            <w:sz w:val="22"/>
            <w:szCs w:val="22"/>
          </w:rPr>
          <w:delText>Con un movimento deciso e rapido, spinga tutto l’ago nella pelle.</w:delText>
        </w:r>
      </w:del>
    </w:p>
    <w:p w:rsidR="006224C2" w:rsidRPr="00295E71" w:rsidP="00FE3C0F" w14:paraId="305481A4" w14:textId="77777777">
      <w:pPr>
        <w:numPr>
          <w:ilvl w:val="0"/>
          <w:numId w:val="13"/>
        </w:numPr>
        <w:tabs>
          <w:tab w:val="num" w:pos="540"/>
          <w:tab w:val="left" w:pos="567"/>
          <w:tab w:val="clear" w:pos="720"/>
        </w:tabs>
        <w:ind w:left="567" w:hanging="567"/>
        <w:rPr>
          <w:del w:id="17314" w:author="AbbVie14" w:date="2025-05-09T11:00:00Z"/>
          <w:sz w:val="22"/>
          <w:szCs w:val="22"/>
        </w:rPr>
      </w:pPr>
      <w:del w:id="17315" w:author="AbbVie14" w:date="2025-05-09T11:00:00Z">
        <w:r w:rsidRPr="00295E71">
          <w:rPr>
            <w:sz w:val="22"/>
            <w:szCs w:val="22"/>
          </w:rPr>
          <w:delText>Lasci la pelle con la prima mano.</w:delText>
        </w:r>
      </w:del>
    </w:p>
    <w:p w:rsidR="006224C2" w:rsidRPr="00295E71" w:rsidP="00FE3C0F" w14:paraId="34FE43D3" w14:textId="77777777">
      <w:pPr>
        <w:numPr>
          <w:ilvl w:val="0"/>
          <w:numId w:val="13"/>
        </w:numPr>
        <w:tabs>
          <w:tab w:val="num" w:pos="540"/>
          <w:tab w:val="left" w:pos="567"/>
          <w:tab w:val="clear" w:pos="720"/>
        </w:tabs>
        <w:ind w:left="567" w:hanging="567"/>
        <w:rPr>
          <w:del w:id="17316" w:author="AbbVie14" w:date="2025-05-09T11:00:00Z"/>
          <w:sz w:val="22"/>
          <w:szCs w:val="22"/>
        </w:rPr>
      </w:pPr>
      <w:del w:id="17317" w:author="AbbVie14" w:date="2025-05-09T11:00:00Z">
        <w:r w:rsidRPr="00295E71">
          <w:rPr>
            <w:sz w:val="22"/>
            <w:szCs w:val="22"/>
          </w:rPr>
          <w:delText>Spinga lo stantuffo per iniettare la soluzione – possono occorrere dai 2 ai 5 secondi per svuotare la siringa.</w:delText>
        </w:r>
      </w:del>
    </w:p>
    <w:p w:rsidR="006224C2" w:rsidRPr="00295E71" w:rsidP="00FE3C0F" w14:paraId="197CC7ED" w14:textId="77777777">
      <w:pPr>
        <w:numPr>
          <w:ilvl w:val="0"/>
          <w:numId w:val="13"/>
        </w:numPr>
        <w:tabs>
          <w:tab w:val="num" w:pos="540"/>
          <w:tab w:val="left" w:pos="567"/>
          <w:tab w:val="clear" w:pos="720"/>
        </w:tabs>
        <w:ind w:left="567" w:hanging="567"/>
        <w:rPr>
          <w:del w:id="17318" w:author="AbbVie14" w:date="2025-05-09T11:00:00Z"/>
          <w:sz w:val="22"/>
          <w:szCs w:val="22"/>
        </w:rPr>
      </w:pPr>
      <w:del w:id="17319" w:author="AbbVie14" w:date="2025-05-09T11:00:00Z">
        <w:r w:rsidRPr="00295E71">
          <w:rPr>
            <w:sz w:val="22"/>
            <w:szCs w:val="22"/>
          </w:rPr>
          <w:delText>Quando la siringa è vuota, rimuova l’ago dalla pelle, mantenendo la stessa angolazione di quando è stato inserito.</w:delText>
        </w:r>
      </w:del>
    </w:p>
    <w:p w:rsidR="006224C2" w:rsidRPr="00295E71" w:rsidP="00FE3C0F" w14:paraId="630E9381" w14:textId="77777777">
      <w:pPr>
        <w:numPr>
          <w:ilvl w:val="0"/>
          <w:numId w:val="13"/>
        </w:numPr>
        <w:tabs>
          <w:tab w:val="num" w:pos="540"/>
          <w:tab w:val="left" w:pos="567"/>
          <w:tab w:val="clear" w:pos="720"/>
        </w:tabs>
        <w:ind w:left="567" w:hanging="567"/>
        <w:jc w:val="both"/>
        <w:rPr>
          <w:del w:id="17320" w:author="AbbVie14" w:date="2025-05-09T11:00:00Z"/>
          <w:sz w:val="22"/>
          <w:szCs w:val="22"/>
        </w:rPr>
      </w:pPr>
      <w:del w:id="17321" w:author="AbbVie14" w:date="2025-05-09T11:00:00Z">
        <w:r w:rsidRPr="00295E71">
          <w:rPr>
            <w:sz w:val="22"/>
            <w:szCs w:val="22"/>
          </w:rPr>
          <w:delText>Con il pollice o un pezzo di garza, eserciti una pressione sulla sede di iniezione per 10 secondi. Si potrebbe verificare un piccolo sanguinamento. Non massaggi la sede di iniezione. Se lo desidera, applichi un cerotto.</w:delText>
        </w:r>
      </w:del>
    </w:p>
    <w:p w:rsidR="006224C2" w:rsidRPr="00295E71" w:rsidP="00FE3C0F" w14:paraId="413DB5D9" w14:textId="77777777">
      <w:pPr>
        <w:tabs>
          <w:tab w:val="left" w:pos="567"/>
        </w:tabs>
        <w:jc w:val="both"/>
        <w:rPr>
          <w:del w:id="17322" w:author="AbbVie14" w:date="2025-05-09T11:00:00Z"/>
          <w:b/>
          <w:bCs/>
          <w:sz w:val="22"/>
          <w:szCs w:val="22"/>
        </w:rPr>
      </w:pPr>
    </w:p>
    <w:p w:rsidR="006224C2" w:rsidRPr="00295E71" w:rsidP="00FE3C0F" w14:paraId="77761494" w14:textId="77777777">
      <w:pPr>
        <w:tabs>
          <w:tab w:val="left" w:pos="567"/>
        </w:tabs>
        <w:jc w:val="both"/>
        <w:rPr>
          <w:del w:id="17323" w:author="AbbVie14" w:date="2025-05-09T11:00:00Z"/>
          <w:b/>
          <w:bCs/>
          <w:sz w:val="22"/>
          <w:szCs w:val="22"/>
        </w:rPr>
      </w:pPr>
      <w:del w:id="17324" w:author="AbbVie14" w:date="2025-05-09T11:00:00Z">
        <w:r w:rsidRPr="00295E71">
          <w:rPr>
            <w:b/>
            <w:bCs/>
            <w:sz w:val="22"/>
            <w:szCs w:val="22"/>
          </w:rPr>
          <w:delText xml:space="preserve">4) </w:delText>
        </w:r>
      </w:del>
      <w:del w:id="17325" w:author="AbbVie14" w:date="2025-05-09T11:00:00Z">
        <w:r w:rsidRPr="00295E71">
          <w:rPr>
            <w:b/>
            <w:bCs/>
            <w:sz w:val="22"/>
            <w:szCs w:val="22"/>
          </w:rPr>
          <w:tab/>
          <w:delText>Smaltimento dei materiali</w:delText>
        </w:r>
      </w:del>
    </w:p>
    <w:p w:rsidR="006224C2" w:rsidRPr="00295E71" w:rsidP="00FE3C0F" w14:paraId="08006E4D" w14:textId="77777777">
      <w:pPr>
        <w:tabs>
          <w:tab w:val="left" w:pos="567"/>
        </w:tabs>
        <w:jc w:val="both"/>
        <w:rPr>
          <w:del w:id="17326" w:author="AbbVie14" w:date="2025-05-09T11:00:00Z"/>
          <w:sz w:val="22"/>
          <w:szCs w:val="22"/>
        </w:rPr>
      </w:pPr>
    </w:p>
    <w:p w:rsidR="006224C2" w:rsidRPr="00295E71" w:rsidP="00FE3C0F" w14:paraId="13942F41" w14:textId="77777777">
      <w:pPr>
        <w:numPr>
          <w:ilvl w:val="0"/>
          <w:numId w:val="6"/>
        </w:numPr>
        <w:tabs>
          <w:tab w:val="clear" w:pos="360"/>
          <w:tab w:val="num" w:pos="540"/>
          <w:tab w:val="left" w:pos="567"/>
        </w:tabs>
        <w:ind w:left="567" w:hanging="567"/>
        <w:jc w:val="both"/>
        <w:rPr>
          <w:del w:id="17327" w:author="AbbVie14" w:date="2025-05-09T11:00:00Z"/>
          <w:sz w:val="22"/>
          <w:szCs w:val="22"/>
        </w:rPr>
      </w:pPr>
      <w:del w:id="17328" w:author="AbbVie14" w:date="2025-05-09T11:00:00Z">
        <w:r w:rsidRPr="00295E71">
          <w:rPr>
            <w:sz w:val="22"/>
            <w:szCs w:val="22"/>
          </w:rPr>
          <w:delText xml:space="preserve">Non riutilizzi </w:delText>
        </w:r>
      </w:del>
      <w:del w:id="17329" w:author="AbbVie14" w:date="2025-05-09T11:00:00Z">
        <w:r w:rsidRPr="00295E71">
          <w:rPr>
            <w:b/>
            <w:bCs/>
            <w:sz w:val="22"/>
            <w:szCs w:val="22"/>
          </w:rPr>
          <w:delText>MAI</w:delText>
        </w:r>
      </w:del>
      <w:del w:id="17330" w:author="AbbVie14" w:date="2025-05-09T11:00:00Z">
        <w:r w:rsidRPr="00295E71">
          <w:rPr>
            <w:sz w:val="22"/>
            <w:szCs w:val="22"/>
          </w:rPr>
          <w:delText xml:space="preserve"> la siringa di Humira. Non reincappucci </w:delText>
        </w:r>
      </w:del>
      <w:del w:id="17331" w:author="AbbVie14" w:date="2025-05-09T11:00:00Z">
        <w:r w:rsidRPr="00295E71">
          <w:rPr>
            <w:b/>
            <w:bCs/>
            <w:sz w:val="22"/>
            <w:szCs w:val="22"/>
          </w:rPr>
          <w:delText>MAI</w:delText>
        </w:r>
      </w:del>
      <w:del w:id="17332" w:author="AbbVie14" w:date="2025-05-09T11:00:00Z">
        <w:r w:rsidRPr="00295E71">
          <w:rPr>
            <w:sz w:val="22"/>
            <w:szCs w:val="22"/>
          </w:rPr>
          <w:delText xml:space="preserve"> l’ago.</w:delText>
        </w:r>
      </w:del>
    </w:p>
    <w:p w:rsidR="006224C2" w:rsidRPr="00295E71" w:rsidP="00FE3C0F" w14:paraId="36E59BB1" w14:textId="77777777">
      <w:pPr>
        <w:numPr>
          <w:ilvl w:val="0"/>
          <w:numId w:val="6"/>
        </w:numPr>
        <w:tabs>
          <w:tab w:val="clear" w:pos="360"/>
          <w:tab w:val="num" w:pos="540"/>
          <w:tab w:val="left" w:pos="567"/>
        </w:tabs>
        <w:ind w:left="567" w:hanging="567"/>
        <w:jc w:val="both"/>
        <w:rPr>
          <w:del w:id="17333" w:author="AbbVie14" w:date="2025-05-09T11:00:00Z"/>
          <w:sz w:val="22"/>
          <w:szCs w:val="22"/>
        </w:rPr>
      </w:pPr>
      <w:del w:id="17334" w:author="AbbVie14" w:date="2025-05-09T11:00:00Z">
        <w:r w:rsidRPr="00295E71">
          <w:rPr>
            <w:sz w:val="22"/>
            <w:szCs w:val="22"/>
          </w:rPr>
          <w:delText>Dopo aver iniettato Humira, getti via immediatamente la siringa usata in un contenitore speciale secondo le istruzioni del medico, infermiere o farmacista.</w:delText>
        </w:r>
      </w:del>
    </w:p>
    <w:p w:rsidR="006224C2" w:rsidRPr="00295E71" w:rsidP="00FE3C0F" w14:paraId="2192AF4B" w14:textId="77777777">
      <w:pPr>
        <w:numPr>
          <w:ilvl w:val="0"/>
          <w:numId w:val="6"/>
        </w:numPr>
        <w:tabs>
          <w:tab w:val="clear" w:pos="360"/>
          <w:tab w:val="num" w:pos="540"/>
          <w:tab w:val="left" w:pos="567"/>
        </w:tabs>
        <w:ind w:left="567" w:hanging="567"/>
        <w:jc w:val="both"/>
        <w:rPr>
          <w:del w:id="17335" w:author="AbbVie14" w:date="2025-05-09T11:00:00Z"/>
          <w:sz w:val="22"/>
          <w:szCs w:val="22"/>
        </w:rPr>
      </w:pPr>
      <w:del w:id="17336" w:author="AbbVie14" w:date="2025-05-09T11:00:00Z">
        <w:r w:rsidRPr="00295E71">
          <w:rPr>
            <w:sz w:val="22"/>
            <w:szCs w:val="22"/>
          </w:rPr>
          <w:delText>Tenga il contenitore fuori dalla vista e dalla portatadei bambini.</w:delText>
        </w:r>
      </w:del>
    </w:p>
    <w:p w:rsidR="006224C2" w:rsidRPr="00295E71" w:rsidP="00FE3C0F" w14:paraId="135B897F" w14:textId="77777777">
      <w:pPr>
        <w:pStyle w:val="EndnoteText"/>
        <w:jc w:val="both"/>
        <w:rPr>
          <w:del w:id="17337" w:author="AbbVie14" w:date="2025-05-09T11:00:00Z"/>
          <w:lang w:val="it-IT" w:eastAsia="it-IT"/>
        </w:rPr>
      </w:pPr>
    </w:p>
    <w:p w:rsidR="00DC1215" w:rsidRPr="00295E71" w:rsidP="00FE3C0F" w14:paraId="39B677EC" w14:textId="77777777">
      <w:pPr>
        <w:numPr>
          <w:ilvl w:val="12"/>
          <w:numId w:val="0"/>
        </w:numPr>
        <w:ind w:right="-2"/>
        <w:rPr>
          <w:del w:id="17338" w:author="AbbVie14" w:date="2025-05-09T11:00:00Z"/>
          <w:b/>
          <w:sz w:val="22"/>
          <w:szCs w:val="22"/>
          <w:highlight w:val="lightGray"/>
        </w:rPr>
      </w:pPr>
      <w:del w:id="17339" w:author="AbbVie14" w:date="2025-05-09T11:00:00Z">
        <w:r w:rsidRPr="00295E71">
          <w:rPr>
            <w:b/>
            <w:sz w:val="22"/>
            <w:szCs w:val="22"/>
            <w:highlight w:val="lightGray"/>
          </w:rPr>
          <w:delText>Istruzioni per la preparazione e l’iniezione di Humira</w:delText>
        </w:r>
      </w:del>
    </w:p>
    <w:p w:rsidR="00DC1215" w:rsidRPr="00295E71" w:rsidP="00FE3C0F" w14:paraId="282367B6" w14:textId="77777777">
      <w:pPr>
        <w:numPr>
          <w:ilvl w:val="12"/>
          <w:numId w:val="0"/>
        </w:numPr>
        <w:ind w:right="-2"/>
        <w:rPr>
          <w:del w:id="17340" w:author="AbbVie14" w:date="2025-05-09T11:00:00Z"/>
          <w:sz w:val="22"/>
          <w:szCs w:val="22"/>
          <w:highlight w:val="lightGray"/>
        </w:rPr>
      </w:pPr>
    </w:p>
    <w:p w:rsidR="00DC1215" w:rsidRPr="00295E71" w:rsidP="00FE3C0F" w14:paraId="714E75D3" w14:textId="77777777">
      <w:pPr>
        <w:rPr>
          <w:del w:id="17341" w:author="AbbVie14" w:date="2025-05-09T11:00:00Z"/>
          <w:sz w:val="22"/>
          <w:szCs w:val="22"/>
          <w:highlight w:val="lightGray"/>
        </w:rPr>
      </w:pPr>
      <w:del w:id="17342" w:author="AbbVie14" w:date="2025-05-09T11:00:00Z">
        <w:r w:rsidRPr="00295E71">
          <w:rPr>
            <w:sz w:val="22"/>
            <w:szCs w:val="22"/>
            <w:highlight w:val="lightGray"/>
          </w:rPr>
          <w:delText>Le seguenti istruzioni spiegano come iniettare Humira. Legga attentamente le istruzioni e le segua passo dopo passo. Riceverà istruzioni dal medico o dal suo assistente sulla tecnica dell’autosomministrazione. Non proceda all’</w:delText>
        </w:r>
      </w:del>
      <w:del w:id="17343" w:author="AbbVie14" w:date="2025-05-09T11:00:00Z">
        <w:r w:rsidRPr="00295E71" w:rsidR="00336724">
          <w:rPr>
            <w:sz w:val="22"/>
            <w:szCs w:val="22"/>
            <w:highlight w:val="lightGray"/>
          </w:rPr>
          <w:delText>auto</w:delText>
        </w:r>
      </w:del>
      <w:del w:id="17344" w:author="AbbVie14" w:date="2025-05-09T11:00:00Z">
        <w:r w:rsidRPr="00295E71">
          <w:rPr>
            <w:sz w:val="22"/>
            <w:szCs w:val="22"/>
            <w:highlight w:val="lightGray"/>
          </w:rPr>
          <w:delText xml:space="preserve">iniezione finché non è sicuro di aver capito come preparare ed eseguire la somministrazione. Dopo adeguate istruzioni l’iniezione può essere eseguita da lei o da </w:delText>
        </w:r>
      </w:del>
      <w:del w:id="17345" w:author="AbbVie14" w:date="2025-05-09T11:00:00Z">
        <w:r w:rsidRPr="00295E71" w:rsidR="00336724">
          <w:rPr>
            <w:sz w:val="22"/>
            <w:szCs w:val="22"/>
            <w:highlight w:val="lightGray"/>
          </w:rPr>
          <w:delText>un’</w:delText>
        </w:r>
      </w:del>
      <w:del w:id="17346" w:author="AbbVie14" w:date="2025-05-09T11:00:00Z">
        <w:r w:rsidRPr="00295E71">
          <w:rPr>
            <w:sz w:val="22"/>
            <w:szCs w:val="22"/>
            <w:highlight w:val="lightGray"/>
          </w:rPr>
          <w:delText>altr</w:delText>
        </w:r>
      </w:del>
      <w:del w:id="17347" w:author="AbbVie14" w:date="2025-05-09T11:00:00Z">
        <w:r w:rsidRPr="00295E71" w:rsidR="00336724">
          <w:rPr>
            <w:sz w:val="22"/>
            <w:szCs w:val="22"/>
            <w:highlight w:val="lightGray"/>
          </w:rPr>
          <w:delText>a</w:delText>
        </w:r>
      </w:del>
      <w:del w:id="17348" w:author="AbbVie14" w:date="2025-05-09T11:00:00Z">
        <w:r w:rsidRPr="00295E71">
          <w:rPr>
            <w:sz w:val="22"/>
            <w:szCs w:val="22"/>
            <w:highlight w:val="lightGray"/>
          </w:rPr>
          <w:delText xml:space="preserve"> person</w:delText>
        </w:r>
      </w:del>
      <w:del w:id="17349" w:author="AbbVie14" w:date="2025-05-09T11:00:00Z">
        <w:r w:rsidRPr="00295E71" w:rsidR="00336724">
          <w:rPr>
            <w:sz w:val="22"/>
            <w:szCs w:val="22"/>
            <w:highlight w:val="lightGray"/>
          </w:rPr>
          <w:delText>a,</w:delText>
        </w:r>
      </w:del>
      <w:del w:id="17350" w:author="AbbVie14" w:date="2025-05-09T11:00:00Z">
        <w:r w:rsidRPr="00295E71">
          <w:rPr>
            <w:sz w:val="22"/>
            <w:szCs w:val="22"/>
            <w:highlight w:val="lightGray"/>
          </w:rPr>
          <w:delText xml:space="preserve"> </w:delText>
        </w:r>
      </w:del>
      <w:del w:id="17351" w:author="AbbVie14" w:date="2025-05-09T11:00:00Z">
        <w:r w:rsidRPr="00295E71" w:rsidR="00336724">
          <w:rPr>
            <w:sz w:val="22"/>
            <w:szCs w:val="22"/>
            <w:highlight w:val="lightGray"/>
          </w:rPr>
          <w:delText>come</w:delText>
        </w:r>
      </w:del>
      <w:del w:id="17352" w:author="AbbVie14" w:date="2025-05-09T11:00:00Z">
        <w:r w:rsidRPr="00295E71">
          <w:rPr>
            <w:sz w:val="22"/>
            <w:szCs w:val="22"/>
            <w:highlight w:val="lightGray"/>
          </w:rPr>
          <w:delText xml:space="preserve"> ad esempio un familiare o un amico.</w:delText>
        </w:r>
      </w:del>
    </w:p>
    <w:p w:rsidR="00DC1215" w:rsidRPr="00295E71" w:rsidP="00FE3C0F" w14:paraId="6A0B0F25" w14:textId="77777777">
      <w:pPr>
        <w:rPr>
          <w:del w:id="17353" w:author="AbbVie14" w:date="2025-05-09T11:00:00Z"/>
          <w:sz w:val="22"/>
          <w:szCs w:val="22"/>
          <w:highlight w:val="lightGray"/>
        </w:rPr>
      </w:pPr>
    </w:p>
    <w:p w:rsidR="00DC1215" w:rsidRPr="00295E71" w:rsidP="00FE3C0F" w14:paraId="4550E312" w14:textId="77777777">
      <w:pPr>
        <w:rPr>
          <w:del w:id="17354" w:author="AbbVie14" w:date="2025-05-09T11:00:00Z"/>
          <w:sz w:val="22"/>
          <w:szCs w:val="22"/>
          <w:highlight w:val="lightGray"/>
        </w:rPr>
      </w:pPr>
      <w:del w:id="17355" w:author="AbbVie14" w:date="2025-05-09T11:00:00Z">
        <w:r w:rsidRPr="00295E71">
          <w:rPr>
            <w:sz w:val="22"/>
            <w:szCs w:val="22"/>
            <w:highlight w:val="lightGray"/>
          </w:rPr>
          <w:delText xml:space="preserve">Il contenuto della siringa non deve essere mescolato ad altri </w:delText>
        </w:r>
      </w:del>
      <w:del w:id="17356" w:author="AbbVie14" w:date="2025-05-09T11:00:00Z">
        <w:r w:rsidRPr="00295E71" w:rsidR="005840C2">
          <w:rPr>
            <w:sz w:val="22"/>
            <w:szCs w:val="22"/>
            <w:highlight w:val="lightGray"/>
          </w:rPr>
          <w:delText>medicinali</w:delText>
        </w:r>
      </w:del>
      <w:del w:id="17357" w:author="AbbVie14" w:date="2025-05-09T11:00:00Z">
        <w:r w:rsidRPr="00295E71">
          <w:rPr>
            <w:sz w:val="22"/>
            <w:szCs w:val="22"/>
            <w:highlight w:val="lightGray"/>
          </w:rPr>
          <w:delText xml:space="preserve"> nella stessa siringa.</w:delText>
        </w:r>
      </w:del>
    </w:p>
    <w:p w:rsidR="00DC1215" w:rsidRPr="00295E71" w:rsidP="00FE3C0F" w14:paraId="4B240134" w14:textId="77777777">
      <w:pPr>
        <w:rPr>
          <w:del w:id="17358" w:author="AbbVie14" w:date="2025-05-09T11:00:00Z"/>
          <w:sz w:val="22"/>
          <w:szCs w:val="22"/>
          <w:highlight w:val="lightGray"/>
        </w:rPr>
      </w:pPr>
    </w:p>
    <w:p w:rsidR="00DC1215" w:rsidRPr="00295E71" w:rsidP="00FE3C0F" w14:paraId="3F4F15A9" w14:textId="77777777">
      <w:pPr>
        <w:pStyle w:val="EMEAHeading2SPC"/>
        <w:keepNext/>
        <w:spacing w:beforeLines="0" w:afterLines="0"/>
        <w:rPr>
          <w:del w:id="17359" w:author="AbbVie14" w:date="2025-05-09T11:00:00Z"/>
          <w:rFonts w:ascii="Times New Roman" w:hAnsi="Times New Roman"/>
          <w:szCs w:val="22"/>
          <w:highlight w:val="lightGray"/>
          <w:lang w:val="it-IT"/>
        </w:rPr>
      </w:pPr>
      <w:del w:id="17360" w:author="AbbVie14" w:date="2025-05-09T11:00:00Z">
        <w:r w:rsidRPr="00295E71">
          <w:rPr>
            <w:rFonts w:ascii="Times New Roman" w:hAnsi="Times New Roman"/>
            <w:szCs w:val="22"/>
            <w:highlight w:val="lightGray"/>
            <w:lang w:val="it-IT"/>
          </w:rPr>
          <w:delText xml:space="preserve">1) </w:delText>
        </w:r>
      </w:del>
      <w:del w:id="17361" w:author="AbbVie14" w:date="2025-05-09T11:00:00Z">
        <w:r w:rsidRPr="00295E71">
          <w:rPr>
            <w:rFonts w:ascii="Times New Roman" w:hAnsi="Times New Roman"/>
            <w:szCs w:val="22"/>
            <w:highlight w:val="lightGray"/>
            <w:lang w:val="it-IT"/>
          </w:rPr>
          <w:tab/>
        </w:r>
      </w:del>
      <w:del w:id="17362" w:author="AbbVie14" w:date="2025-05-09T11:00:00Z">
        <w:r w:rsidRPr="00295E71" w:rsidR="00533C1F">
          <w:rPr>
            <w:rFonts w:ascii="Times New Roman" w:hAnsi="Times New Roman"/>
            <w:szCs w:val="22"/>
            <w:highlight w:val="lightGray"/>
            <w:lang w:val="it-IT"/>
          </w:rPr>
          <w:delText>Preparazione</w:delText>
        </w:r>
      </w:del>
    </w:p>
    <w:p w:rsidR="00DC1215" w:rsidRPr="00295E71" w:rsidP="00FE3C0F" w14:paraId="57FED234" w14:textId="77777777">
      <w:pPr>
        <w:pStyle w:val="EMEANormal"/>
        <w:rPr>
          <w:del w:id="17363" w:author="AbbVie14" w:date="2025-05-09T11:00:00Z"/>
          <w:highlight w:val="lightGray"/>
          <w:lang w:val="it-IT"/>
        </w:rPr>
      </w:pPr>
    </w:p>
    <w:p w:rsidR="00DC1215" w:rsidRPr="00295E71" w:rsidP="00FE3C0F" w14:paraId="65D2FE9D" w14:textId="77777777">
      <w:pPr>
        <w:pStyle w:val="EMEABullet2"/>
        <w:keepNext/>
        <w:tabs>
          <w:tab w:val="num" w:pos="550"/>
          <w:tab w:val="clear" w:pos="567"/>
        </w:tabs>
        <w:ind w:left="550" w:hanging="550"/>
        <w:rPr>
          <w:del w:id="17364" w:author="AbbVie14" w:date="2025-05-09T11:00:00Z"/>
          <w:szCs w:val="22"/>
          <w:highlight w:val="lightGray"/>
          <w:lang w:val="it-IT"/>
        </w:rPr>
      </w:pPr>
      <w:del w:id="17365" w:author="AbbVie14" w:date="2025-05-09T11:00:00Z">
        <w:r w:rsidRPr="00295E71">
          <w:rPr>
            <w:szCs w:val="22"/>
            <w:highlight w:val="lightGray"/>
            <w:lang w:val="it-IT"/>
          </w:rPr>
          <w:delText xml:space="preserve">Si lavi accuratamente le mani </w:delText>
        </w:r>
      </w:del>
    </w:p>
    <w:p w:rsidR="00DC1215" w:rsidRPr="00295E71" w:rsidP="00FE3C0F" w14:paraId="6A7EB230" w14:textId="77777777">
      <w:pPr>
        <w:pStyle w:val="EMEABullet2"/>
        <w:keepNext/>
        <w:tabs>
          <w:tab w:val="num" w:pos="550"/>
          <w:tab w:val="clear" w:pos="567"/>
        </w:tabs>
        <w:ind w:left="550" w:hanging="550"/>
        <w:rPr>
          <w:del w:id="17366" w:author="AbbVie14" w:date="2025-05-09T11:00:00Z"/>
          <w:szCs w:val="22"/>
          <w:highlight w:val="lightGray"/>
          <w:lang w:val="it-IT"/>
        </w:rPr>
      </w:pPr>
      <w:del w:id="17367" w:author="AbbVie14" w:date="2025-05-09T11:00:00Z">
        <w:r w:rsidRPr="00295E71">
          <w:rPr>
            <w:szCs w:val="22"/>
            <w:highlight w:val="lightGray"/>
            <w:lang w:val="it-IT"/>
          </w:rPr>
          <w:delText>Sistemi i seguenti oggetti su una superficie pulita</w:delText>
        </w:r>
      </w:del>
    </w:p>
    <w:p w:rsidR="00DC1215" w:rsidRPr="00295E71" w:rsidP="00FE3C0F" w14:paraId="1986BD85" w14:textId="77777777">
      <w:pPr>
        <w:pStyle w:val="EndnoteText"/>
        <w:keepNext/>
        <w:rPr>
          <w:del w:id="17368" w:author="AbbVie14" w:date="2025-05-09T11:00:00Z"/>
          <w:highlight w:val="lightGray"/>
          <w:lang w:val="it-IT"/>
        </w:rPr>
      </w:pPr>
    </w:p>
    <w:p w:rsidR="00DC1215" w:rsidRPr="00295E71" w:rsidP="00FE3C0F" w14:paraId="6121683D" w14:textId="77777777">
      <w:pPr>
        <w:keepNext/>
        <w:numPr>
          <w:ilvl w:val="1"/>
          <w:numId w:val="12"/>
        </w:numPr>
        <w:tabs>
          <w:tab w:val="clear" w:pos="2520"/>
        </w:tabs>
        <w:suppressAutoHyphens/>
        <w:ind w:left="1134" w:hanging="567"/>
        <w:rPr>
          <w:del w:id="17369" w:author="AbbVie14" w:date="2025-05-09T11:00:00Z"/>
          <w:sz w:val="22"/>
          <w:szCs w:val="22"/>
          <w:highlight w:val="lightGray"/>
        </w:rPr>
      </w:pPr>
      <w:del w:id="17370" w:author="AbbVie14" w:date="2025-05-09T11:00:00Z">
        <w:r w:rsidRPr="00295E71">
          <w:rPr>
            <w:sz w:val="22"/>
            <w:szCs w:val="22"/>
            <w:highlight w:val="lightGray"/>
          </w:rPr>
          <w:delText>Una siringa pre-riempita di Humira soluzione iniettabile</w:delText>
        </w:r>
      </w:del>
    </w:p>
    <w:p w:rsidR="00DC1215" w:rsidRPr="00295E71" w:rsidP="00FE3C0F" w14:paraId="59A8CC97" w14:textId="77777777">
      <w:pPr>
        <w:keepNext/>
        <w:numPr>
          <w:ilvl w:val="1"/>
          <w:numId w:val="12"/>
        </w:numPr>
        <w:tabs>
          <w:tab w:val="clear" w:pos="2520"/>
        </w:tabs>
        <w:suppressAutoHyphens/>
        <w:ind w:left="1134" w:hanging="567"/>
        <w:rPr>
          <w:del w:id="17371" w:author="AbbVie14" w:date="2025-05-09T11:00:00Z"/>
          <w:sz w:val="22"/>
          <w:szCs w:val="22"/>
          <w:highlight w:val="lightGray"/>
        </w:rPr>
      </w:pPr>
      <w:del w:id="17372" w:author="AbbVie14" w:date="2025-05-09T11:00:00Z">
        <w:r w:rsidRPr="00295E71">
          <w:rPr>
            <w:sz w:val="22"/>
            <w:szCs w:val="22"/>
            <w:highlight w:val="lightGray"/>
          </w:rPr>
          <w:delText>Un tampone imbevuto di alcool</w:delText>
        </w:r>
      </w:del>
    </w:p>
    <w:p w:rsidR="00DC1215" w:rsidRPr="00295E71" w:rsidP="00FE3C0F" w14:paraId="3BBDB44B" w14:textId="77777777">
      <w:pPr>
        <w:ind w:left="2160"/>
        <w:rPr>
          <w:del w:id="17373" w:author="AbbVie14" w:date="2025-05-09T11:00:00Z"/>
          <w:sz w:val="22"/>
          <w:szCs w:val="22"/>
          <w:highlight w:val="lightGray"/>
        </w:rPr>
      </w:pPr>
    </w:p>
    <w:p w:rsidR="00DC1215" w:rsidRPr="00295E71" w:rsidP="00FE3C0F" w14:paraId="77BA6940" w14:textId="77777777">
      <w:pPr>
        <w:ind w:left="2160"/>
        <w:rPr>
          <w:del w:id="17374" w:author="AbbVie14" w:date="2025-05-09T11:00:00Z"/>
          <w:highlight w:val="lightGray"/>
        </w:rPr>
      </w:pPr>
      <w:del w:id="17375" w:author="AbbVie14" w:date="2025-05-09T11:00:00Z">
        <w:r>
          <w:rPr>
            <w:highlight w:val="lightGray"/>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78.6pt;height:134.95pt" o:ole="">
              <v:imagedata r:id="rId58" o:title=""/>
            </v:shape>
            <o:OLEObject Type="Embed" ProgID="PBrush" ShapeID="_x0000_i1035" DrawAspect="Content" ObjectID="_1818849922" r:id="rId59"/>
          </w:object>
        </w:r>
      </w:del>
    </w:p>
    <w:p w:rsidR="00DC1215" w:rsidRPr="00295E71" w:rsidP="00FE3C0F" w14:paraId="4564AB72" w14:textId="77777777">
      <w:pPr>
        <w:ind w:left="2160"/>
        <w:rPr>
          <w:del w:id="17376" w:author="AbbVie14" w:date="2025-05-09T11:00:00Z"/>
          <w:highlight w:val="lightGray"/>
        </w:rPr>
      </w:pPr>
    </w:p>
    <w:p w:rsidR="00DC1215" w:rsidRPr="00295E71" w:rsidP="00FE3C0F" w14:paraId="4211FD2B" w14:textId="77777777">
      <w:pPr>
        <w:pStyle w:val="EMEABullet2"/>
        <w:tabs>
          <w:tab w:val="num" w:pos="550"/>
          <w:tab w:val="clear" w:pos="567"/>
        </w:tabs>
        <w:ind w:hanging="720"/>
        <w:rPr>
          <w:del w:id="17377" w:author="AbbVie14" w:date="2025-05-09T11:00:00Z"/>
          <w:highlight w:val="lightGray"/>
          <w:lang w:val="it-IT"/>
        </w:rPr>
      </w:pPr>
      <w:del w:id="17378" w:author="AbbVie14" w:date="2025-05-09T11:00:00Z">
        <w:r w:rsidRPr="00295E71">
          <w:rPr>
            <w:highlight w:val="lightGray"/>
            <w:lang w:val="it-IT"/>
          </w:rPr>
          <w:delText xml:space="preserve">Controlli la data di scadenza sulla </w:delText>
        </w:r>
      </w:del>
      <w:del w:id="17379" w:author="AbbVie14" w:date="2025-05-09T11:00:00Z">
        <w:r w:rsidRPr="00295E71" w:rsidR="00A76FF1">
          <w:rPr>
            <w:highlight w:val="lightGray"/>
            <w:lang w:val="it-IT"/>
          </w:rPr>
          <w:delText>siringa</w:delText>
        </w:r>
      </w:del>
      <w:del w:id="17380" w:author="AbbVie14" w:date="2025-05-09T11:00:00Z">
        <w:r w:rsidRPr="00295E71">
          <w:rPr>
            <w:highlight w:val="lightGray"/>
            <w:lang w:val="it-IT"/>
          </w:rPr>
          <w:delText>. Non utilizzi il prodotto oltre il mese e l’anno indicat</w:delText>
        </w:r>
      </w:del>
      <w:del w:id="17381" w:author="AbbVie14" w:date="2025-05-09T11:00:00Z">
        <w:r w:rsidRPr="00295E71" w:rsidR="00D40E08">
          <w:rPr>
            <w:highlight w:val="lightGray"/>
            <w:lang w:val="it-IT"/>
          </w:rPr>
          <w:delText>i</w:delText>
        </w:r>
      </w:del>
      <w:del w:id="17382" w:author="AbbVie14" w:date="2025-05-09T11:00:00Z">
        <w:r w:rsidRPr="00295E71">
          <w:rPr>
            <w:highlight w:val="lightGray"/>
            <w:lang w:val="it-IT"/>
          </w:rPr>
          <w:delText xml:space="preserve">. </w:delText>
        </w:r>
      </w:del>
    </w:p>
    <w:p w:rsidR="00DC1215" w:rsidRPr="00295E71" w:rsidP="00FE3C0F" w14:paraId="472A42C5" w14:textId="77777777">
      <w:pPr>
        <w:pStyle w:val="EMEABullet2"/>
        <w:tabs>
          <w:tab w:val="num" w:pos="550"/>
          <w:tab w:val="clear" w:pos="567"/>
        </w:tabs>
        <w:ind w:hanging="720"/>
        <w:rPr>
          <w:del w:id="17383" w:author="AbbVie14" w:date="2025-05-09T11:00:00Z"/>
          <w:highlight w:val="lightGray"/>
          <w:lang w:val="it-IT"/>
        </w:rPr>
      </w:pPr>
    </w:p>
    <w:p w:rsidR="00DC1215" w:rsidRPr="00295E71" w:rsidP="00FE3C0F" w14:paraId="3B506BD7" w14:textId="77777777">
      <w:pPr>
        <w:pStyle w:val="EMEABullet2"/>
        <w:tabs>
          <w:tab w:val="num" w:pos="550"/>
          <w:tab w:val="clear" w:pos="567"/>
        </w:tabs>
        <w:ind w:hanging="720"/>
        <w:rPr>
          <w:del w:id="17384" w:author="AbbVie14" w:date="2025-05-09T11:00:00Z"/>
          <w:highlight w:val="lightGray"/>
          <w:lang w:val="it-IT"/>
        </w:rPr>
      </w:pPr>
      <w:del w:id="17385" w:author="AbbVie14" w:date="2025-05-09T11:00:00Z">
        <w:r w:rsidRPr="00295E71">
          <w:rPr>
            <w:highlight w:val="lightGray"/>
            <w:lang w:val="it-IT"/>
          </w:rPr>
          <w:delText xml:space="preserve">2) </w:delText>
        </w:r>
      </w:del>
      <w:del w:id="17386" w:author="AbbVie14" w:date="2025-05-09T11:00:00Z">
        <w:r w:rsidRPr="00295E71">
          <w:rPr>
            <w:highlight w:val="lightGray"/>
            <w:lang w:val="it-IT"/>
          </w:rPr>
          <w:tab/>
        </w:r>
      </w:del>
      <w:del w:id="17387" w:author="AbbVie14" w:date="2025-05-09T11:00:00Z">
        <w:r w:rsidRPr="00295E71" w:rsidR="00D40E08">
          <w:rPr>
            <w:highlight w:val="lightGray"/>
            <w:lang w:val="it-IT"/>
          </w:rPr>
          <w:delText>Scelta e preparazione di un sito d’iniezione</w:delText>
        </w:r>
      </w:del>
      <w:del w:id="17388" w:author="AbbVie14" w:date="2025-05-09T11:00:00Z">
        <w:r w:rsidRPr="00295E71">
          <w:rPr>
            <w:highlight w:val="lightGray"/>
            <w:lang w:val="it-IT"/>
          </w:rPr>
          <w:tab/>
        </w:r>
      </w:del>
    </w:p>
    <w:p w:rsidR="00DC1215" w:rsidRPr="00295E71" w:rsidP="00FE3C0F" w14:paraId="1745DCA4" w14:textId="77777777">
      <w:pPr>
        <w:pStyle w:val="EMEAHeading2SPC"/>
        <w:spacing w:beforeLines="0" w:afterLines="0"/>
        <w:rPr>
          <w:del w:id="17389" w:author="AbbVie14" w:date="2025-05-09T11:00:00Z"/>
          <w:rFonts w:ascii="Times New Roman" w:hAnsi="Times New Roman"/>
          <w:highlight w:val="lightGray"/>
          <w:lang w:val="it-IT"/>
        </w:rPr>
      </w:pPr>
    </w:p>
    <w:p w:rsidR="00DC1215" w:rsidRPr="00295E71" w:rsidP="00FE3C0F" w14:paraId="6E2E48A1" w14:textId="77777777">
      <w:pPr>
        <w:pStyle w:val="EMEABullet2"/>
        <w:tabs>
          <w:tab w:val="num" w:pos="550"/>
          <w:tab w:val="clear" w:pos="567"/>
        </w:tabs>
        <w:ind w:hanging="720"/>
        <w:rPr>
          <w:del w:id="17390" w:author="AbbVie14" w:date="2025-05-09T11:00:00Z"/>
          <w:highlight w:val="lightGray"/>
          <w:lang w:val="it-IT"/>
        </w:rPr>
      </w:pPr>
      <w:del w:id="17391" w:author="AbbVie14" w:date="2025-05-09T11:00:00Z">
        <w:r w:rsidRPr="00295E71">
          <w:rPr>
            <w:highlight w:val="lightGray"/>
            <w:lang w:val="it-IT"/>
          </w:rPr>
          <w:delText>Scelga un punto sulla coscia o sulla pancia</w:delText>
        </w:r>
      </w:del>
    </w:p>
    <w:p w:rsidR="00DC1215" w:rsidRPr="00295E71" w:rsidP="00FE3C0F" w14:paraId="00A54C84" w14:textId="77777777">
      <w:pPr>
        <w:pStyle w:val="EMEANormal"/>
        <w:rPr>
          <w:del w:id="17392" w:author="AbbVie14" w:date="2025-05-09T11:00:00Z"/>
          <w:highlight w:val="lightGray"/>
          <w:lang w:val="it-IT"/>
        </w:rPr>
      </w:pPr>
    </w:p>
    <w:p w:rsidR="00DC1215" w:rsidRPr="00295E71" w:rsidP="00FE3C0F" w14:paraId="60751986" w14:textId="77777777">
      <w:pPr>
        <w:jc w:val="center"/>
        <w:rPr>
          <w:del w:id="17393" w:author="AbbVie14" w:date="2025-05-09T11:00:00Z"/>
          <w:highlight w:val="lightGray"/>
        </w:rPr>
      </w:pPr>
      <w:del w:id="17394" w:author="AbbVie14" w:date="2025-05-09T11:00:00Z">
        <w:r>
          <w:rPr>
            <w:highlight w:val="lightGray"/>
          </w:rPr>
          <w:object>
            <v:shape id="_x0000_i1036" type="#_x0000_t75" style="width:120.5pt;height:108.5pt" o:ole="">
              <v:imagedata r:id="rId60" o:title=""/>
            </v:shape>
            <o:OLEObject Type="Embed" ProgID="MSPhotoEd.3" ShapeID="_x0000_i1036" DrawAspect="Content" ObjectID="_1818849923" r:id="rId61"/>
          </w:object>
        </w:r>
      </w:del>
    </w:p>
    <w:p w:rsidR="00DC1215" w:rsidRPr="00295E71" w:rsidP="00FE3C0F" w14:paraId="07612504" w14:textId="77777777">
      <w:pPr>
        <w:rPr>
          <w:del w:id="17395" w:author="AbbVie14" w:date="2025-05-09T11:00:00Z"/>
          <w:highlight w:val="lightGray"/>
        </w:rPr>
      </w:pPr>
    </w:p>
    <w:p w:rsidR="00DC1215" w:rsidRPr="00295E71" w:rsidP="00FE3C0F" w14:paraId="34D5C8A5" w14:textId="77777777">
      <w:pPr>
        <w:pStyle w:val="EMEABullet2"/>
        <w:tabs>
          <w:tab w:val="num" w:pos="550"/>
          <w:tab w:val="clear" w:pos="567"/>
        </w:tabs>
        <w:ind w:hanging="720"/>
        <w:rPr>
          <w:del w:id="17396" w:author="AbbVie14" w:date="2025-05-09T11:00:00Z"/>
          <w:highlight w:val="lightGray"/>
          <w:lang w:val="it-IT"/>
        </w:rPr>
      </w:pPr>
      <w:del w:id="17397" w:author="AbbVie14" w:date="2025-05-09T11:00:00Z">
        <w:r w:rsidRPr="00295E71">
          <w:rPr>
            <w:highlight w:val="lightGray"/>
            <w:lang w:val="it-IT"/>
          </w:rPr>
          <w:delText xml:space="preserve">Ogni  nuova iniezione deve essere somministrata ad almeno 3 cm dal sito dell’ultima iniezione. </w:delText>
        </w:r>
      </w:del>
    </w:p>
    <w:p w:rsidR="00DC1215" w:rsidRPr="00295E71" w:rsidP="00FE3C0F" w14:paraId="087F32A5" w14:textId="77777777">
      <w:pPr>
        <w:numPr>
          <w:ilvl w:val="2"/>
          <w:numId w:val="12"/>
        </w:numPr>
        <w:tabs>
          <w:tab w:val="num" w:pos="1134"/>
          <w:tab w:val="clear" w:pos="3240"/>
        </w:tabs>
        <w:suppressAutoHyphens/>
        <w:ind w:left="1134" w:hanging="567"/>
        <w:rPr>
          <w:del w:id="17398" w:author="AbbVie14" w:date="2025-05-09T11:00:00Z"/>
          <w:sz w:val="22"/>
          <w:szCs w:val="22"/>
          <w:highlight w:val="lightGray"/>
        </w:rPr>
      </w:pPr>
      <w:del w:id="17399" w:author="AbbVie14" w:date="2025-05-09T11:00:00Z">
        <w:r w:rsidRPr="00295E71">
          <w:rPr>
            <w:sz w:val="22"/>
            <w:szCs w:val="22"/>
            <w:highlight w:val="lightGray"/>
          </w:rPr>
          <w:delText>Non esegua l’iniezione in zone in cui la pelle è arrossata, siano presenti ematomi o risulti indurita.Ciò potrebbe indicare la presenza di un’infezione.</w:delText>
        </w:r>
      </w:del>
    </w:p>
    <w:p w:rsidR="00DC1215" w:rsidRPr="00295E71" w:rsidP="00FE3C0F" w14:paraId="12C6891C" w14:textId="77777777">
      <w:pPr>
        <w:numPr>
          <w:ilvl w:val="1"/>
          <w:numId w:val="12"/>
        </w:numPr>
        <w:tabs>
          <w:tab w:val="left" w:pos="1134"/>
        </w:tabs>
        <w:suppressAutoHyphens/>
        <w:ind w:left="1134" w:hanging="567"/>
        <w:rPr>
          <w:del w:id="17400" w:author="AbbVie14" w:date="2025-05-09T11:00:00Z"/>
          <w:sz w:val="22"/>
          <w:szCs w:val="22"/>
          <w:highlight w:val="lightGray"/>
        </w:rPr>
      </w:pPr>
      <w:del w:id="17401" w:author="AbbVie14" w:date="2025-05-09T11:00:00Z">
        <w:r w:rsidRPr="00295E71">
          <w:rPr>
            <w:sz w:val="22"/>
            <w:szCs w:val="22"/>
            <w:highlight w:val="lightGray"/>
          </w:rPr>
          <w:delText xml:space="preserve">Strofini la sede di iniezione con il tampone imbevuto di alcool, con un movimento </w:delText>
        </w:r>
      </w:del>
      <w:del w:id="17402" w:author="AbbVie14" w:date="2025-05-09T11:00:00Z">
        <w:r w:rsidRPr="00295E71" w:rsidR="0039372B">
          <w:rPr>
            <w:sz w:val="22"/>
            <w:szCs w:val="22"/>
            <w:highlight w:val="lightGray"/>
          </w:rPr>
          <w:delText xml:space="preserve"> circolare</w:delText>
        </w:r>
      </w:del>
      <w:del w:id="17403" w:author="AbbVie14" w:date="2025-05-09T11:00:00Z">
        <w:r w:rsidRPr="00295E71">
          <w:rPr>
            <w:sz w:val="22"/>
            <w:szCs w:val="22"/>
            <w:highlight w:val="lightGray"/>
          </w:rPr>
          <w:delText>.</w:delText>
        </w:r>
      </w:del>
    </w:p>
    <w:p w:rsidR="00DC1215" w:rsidRPr="00295E71" w:rsidP="00FE3C0F" w14:paraId="6586AE3E" w14:textId="77777777">
      <w:pPr>
        <w:numPr>
          <w:ilvl w:val="1"/>
          <w:numId w:val="12"/>
        </w:numPr>
        <w:tabs>
          <w:tab w:val="left" w:pos="1134"/>
        </w:tabs>
        <w:suppressAutoHyphens/>
        <w:ind w:left="1134" w:hanging="567"/>
        <w:rPr>
          <w:del w:id="17404" w:author="AbbVie14" w:date="2025-05-09T11:00:00Z"/>
          <w:sz w:val="22"/>
          <w:szCs w:val="22"/>
          <w:highlight w:val="lightGray"/>
        </w:rPr>
      </w:pPr>
      <w:del w:id="17405" w:author="AbbVie14" w:date="2025-05-09T11:00:00Z">
        <w:r w:rsidRPr="00295E71">
          <w:rPr>
            <w:sz w:val="22"/>
            <w:szCs w:val="22"/>
            <w:highlight w:val="lightGray"/>
          </w:rPr>
          <w:delText>Non tocchi nuovamente la zona prima dell’iniezione.</w:delText>
        </w:r>
      </w:del>
    </w:p>
    <w:p w:rsidR="00DC1215" w:rsidRPr="00295E71" w:rsidP="00FE3C0F" w14:paraId="7AD76DC4" w14:textId="77777777">
      <w:pPr>
        <w:tabs>
          <w:tab w:val="left" w:pos="1134"/>
        </w:tabs>
        <w:ind w:left="1134"/>
        <w:rPr>
          <w:del w:id="17406" w:author="AbbVie14" w:date="2025-05-09T11:00:00Z"/>
          <w:highlight w:val="lightGray"/>
        </w:rPr>
      </w:pPr>
    </w:p>
    <w:p w:rsidR="00DC1215" w:rsidRPr="00295E71" w:rsidP="00FE3C0F" w14:paraId="359AF1F6" w14:textId="77777777">
      <w:pPr>
        <w:pStyle w:val="EMEAHeading2SPC"/>
        <w:keepNext/>
        <w:spacing w:beforeLines="0" w:afterLines="0"/>
        <w:rPr>
          <w:del w:id="17407" w:author="AbbVie14" w:date="2025-05-09T11:00:00Z"/>
          <w:rFonts w:ascii="Times New Roman" w:hAnsi="Times New Roman"/>
          <w:highlight w:val="lightGray"/>
          <w:lang w:val="it-IT"/>
        </w:rPr>
      </w:pPr>
      <w:del w:id="17408" w:author="AbbVie14" w:date="2025-05-09T11:00:00Z">
        <w:r w:rsidRPr="00295E71">
          <w:rPr>
            <w:rFonts w:ascii="Times New Roman" w:hAnsi="Times New Roman"/>
            <w:highlight w:val="lightGray"/>
            <w:lang w:val="it-IT"/>
          </w:rPr>
          <w:delText xml:space="preserve">3) </w:delText>
        </w:r>
      </w:del>
      <w:del w:id="17409" w:author="AbbVie14" w:date="2025-05-09T11:00:00Z">
        <w:r w:rsidRPr="00295E71">
          <w:rPr>
            <w:rFonts w:ascii="Times New Roman" w:hAnsi="Times New Roman"/>
            <w:highlight w:val="lightGray"/>
            <w:lang w:val="it-IT"/>
          </w:rPr>
          <w:tab/>
        </w:r>
      </w:del>
      <w:del w:id="17410" w:author="AbbVie14" w:date="2025-05-09T11:00:00Z">
        <w:r w:rsidRPr="00295E71" w:rsidR="004750F2">
          <w:rPr>
            <w:rFonts w:ascii="Times New Roman" w:hAnsi="Times New Roman"/>
            <w:highlight w:val="lightGray"/>
            <w:lang w:val="it-IT"/>
          </w:rPr>
          <w:delText>Iniezione di</w:delText>
        </w:r>
      </w:del>
      <w:del w:id="17411" w:author="AbbVie14" w:date="2025-05-09T11:00:00Z">
        <w:r w:rsidRPr="00295E71">
          <w:rPr>
            <w:rFonts w:ascii="Times New Roman" w:hAnsi="Times New Roman"/>
            <w:highlight w:val="lightGray"/>
            <w:lang w:val="it-IT"/>
          </w:rPr>
          <w:delText xml:space="preserve"> Humira </w:delText>
        </w:r>
      </w:del>
    </w:p>
    <w:p w:rsidR="00DC1215" w:rsidRPr="00295E71" w:rsidP="00FE3C0F" w14:paraId="14414AA7" w14:textId="77777777">
      <w:pPr>
        <w:pStyle w:val="EMEANormal"/>
        <w:keepNext/>
        <w:rPr>
          <w:del w:id="17412" w:author="AbbVie14" w:date="2025-05-09T11:00:00Z"/>
          <w:highlight w:val="lightGray"/>
          <w:lang w:val="it-IT"/>
        </w:rPr>
      </w:pPr>
    </w:p>
    <w:p w:rsidR="00DC1215" w:rsidRPr="00295E71" w:rsidP="00FE3C0F" w14:paraId="27D9ABCE" w14:textId="77777777">
      <w:pPr>
        <w:pStyle w:val="EMEABullet2"/>
        <w:numPr>
          <w:ilvl w:val="0"/>
          <w:numId w:val="14"/>
        </w:numPr>
        <w:tabs>
          <w:tab w:val="num" w:pos="550"/>
          <w:tab w:val="clear" w:pos="567"/>
          <w:tab w:val="num" w:pos="690"/>
          <w:tab w:val="clear" w:pos="720"/>
        </w:tabs>
        <w:ind w:left="550" w:hanging="550"/>
        <w:rPr>
          <w:del w:id="17413" w:author="AbbVie14" w:date="2025-05-09T11:00:00Z"/>
          <w:highlight w:val="lightGray"/>
          <w:lang w:val="it-IT"/>
        </w:rPr>
      </w:pPr>
      <w:del w:id="17414" w:author="AbbVie14" w:date="2025-05-09T11:00:00Z">
        <w:r w:rsidRPr="00295E71">
          <w:rPr>
            <w:highlight w:val="lightGray"/>
            <w:lang w:val="it-IT"/>
          </w:rPr>
          <w:delText>NO</w:delText>
        </w:r>
      </w:del>
      <w:del w:id="17415" w:author="AbbVie14" w:date="2025-05-09T11:00:00Z">
        <w:r w:rsidRPr="00295E71" w:rsidR="004750F2">
          <w:rPr>
            <w:highlight w:val="lightGray"/>
            <w:lang w:val="it-IT"/>
          </w:rPr>
          <w:delText>N agiti la siringa</w:delText>
        </w:r>
      </w:del>
      <w:del w:id="17416" w:author="AbbVie14" w:date="2025-05-09T11:00:00Z">
        <w:r w:rsidRPr="00295E71">
          <w:rPr>
            <w:highlight w:val="lightGray"/>
            <w:lang w:val="it-IT"/>
          </w:rPr>
          <w:delText>.</w:delText>
        </w:r>
      </w:del>
    </w:p>
    <w:p w:rsidR="00DC1215" w:rsidRPr="00295E71" w:rsidP="00FE3C0F" w14:paraId="64A0CE15" w14:textId="77777777">
      <w:pPr>
        <w:pStyle w:val="EMEABullet2"/>
        <w:numPr>
          <w:ilvl w:val="0"/>
          <w:numId w:val="14"/>
        </w:numPr>
        <w:tabs>
          <w:tab w:val="num" w:pos="550"/>
          <w:tab w:val="clear" w:pos="567"/>
          <w:tab w:val="num" w:pos="690"/>
          <w:tab w:val="clear" w:pos="720"/>
        </w:tabs>
        <w:ind w:left="550" w:hanging="550"/>
        <w:rPr>
          <w:del w:id="17417" w:author="AbbVie14" w:date="2025-05-09T11:00:00Z"/>
          <w:highlight w:val="lightGray"/>
          <w:lang w:val="it-IT"/>
        </w:rPr>
      </w:pPr>
      <w:del w:id="17418" w:author="AbbVie14" w:date="2025-05-09T11:00:00Z">
        <w:r w:rsidRPr="00295E71">
          <w:rPr>
            <w:highlight w:val="lightGray"/>
            <w:lang w:val="it-IT"/>
          </w:rPr>
          <w:delText>Rimuova il tappo dall’ago della siringa, facendo attenzione a non toccare l’ago o che l’ago non tocchi nessuna superficie.</w:delText>
        </w:r>
      </w:del>
    </w:p>
    <w:p w:rsidR="00DC1215" w:rsidRPr="00295E71" w:rsidP="00FE3C0F" w14:paraId="080EEA14" w14:textId="77777777">
      <w:pPr>
        <w:pStyle w:val="EMEABullet2"/>
        <w:numPr>
          <w:ilvl w:val="0"/>
          <w:numId w:val="14"/>
        </w:numPr>
        <w:tabs>
          <w:tab w:val="num" w:pos="550"/>
          <w:tab w:val="clear" w:pos="567"/>
          <w:tab w:val="num" w:pos="690"/>
          <w:tab w:val="clear" w:pos="720"/>
        </w:tabs>
        <w:ind w:left="550" w:hanging="550"/>
        <w:rPr>
          <w:del w:id="17419" w:author="AbbVie14" w:date="2025-05-09T11:00:00Z"/>
          <w:highlight w:val="lightGray"/>
          <w:lang w:val="it-IT"/>
        </w:rPr>
      </w:pPr>
      <w:del w:id="17420" w:author="AbbVie14" w:date="2025-05-09T11:00:00Z">
        <w:r w:rsidRPr="00295E71">
          <w:rPr>
            <w:highlight w:val="lightGray"/>
            <w:lang w:val="it-IT"/>
          </w:rPr>
          <w:delText>Con una mano, prenda delicatamente la zona già strofinata con l’alcool e la mantenga ferma</w:delText>
        </w:r>
      </w:del>
    </w:p>
    <w:p w:rsidR="00DC1215" w:rsidRPr="00295E71" w:rsidP="00FE3C0F" w14:paraId="3F36AAB4" w14:textId="77777777">
      <w:pPr>
        <w:pStyle w:val="EMEANormal"/>
        <w:rPr>
          <w:del w:id="17421" w:author="AbbVie14" w:date="2025-05-09T11:00:00Z"/>
          <w:highlight w:val="lightGray"/>
          <w:lang w:val="it-IT"/>
        </w:rPr>
      </w:pPr>
    </w:p>
    <w:p w:rsidR="00DC1215" w:rsidRPr="00295E71" w:rsidP="00FE3C0F" w14:paraId="2F3F8007" w14:textId="77777777">
      <w:pPr>
        <w:jc w:val="center"/>
        <w:rPr>
          <w:del w:id="17422" w:author="AbbVie14" w:date="2025-05-09T11:00:00Z"/>
          <w:highlight w:val="lightGray"/>
        </w:rPr>
      </w:pPr>
      <w:del w:id="17423" w:author="AbbVie14" w:date="2025-05-09T11:00:00Z">
        <w:r>
          <w:rPr>
            <w:highlight w:val="lightGray"/>
          </w:rPr>
          <w:object>
            <v:shape id="_x0000_i1037" type="#_x0000_t75" style="width:2in;height:138.55pt" o:ole="" o:allowoverlap="f">
              <v:imagedata r:id="rId62" o:title=""/>
            </v:shape>
            <o:OLEObject Type="Embed" ProgID="PBrush" ShapeID="_x0000_i1037" DrawAspect="Content" ObjectID="_1818849924" r:id="rId63"/>
          </w:object>
        </w:r>
      </w:del>
    </w:p>
    <w:p w:rsidR="00DC1215" w:rsidRPr="00295E71" w:rsidP="00FE3C0F" w14:paraId="321F4EB5" w14:textId="77777777">
      <w:pPr>
        <w:rPr>
          <w:del w:id="17424" w:author="AbbVie14" w:date="2025-05-09T11:00:00Z"/>
          <w:highlight w:val="lightGray"/>
        </w:rPr>
      </w:pPr>
    </w:p>
    <w:p w:rsidR="00DC1215" w:rsidRPr="00295E71" w:rsidP="00FE3C0F" w14:paraId="761B3823" w14:textId="77777777">
      <w:pPr>
        <w:pStyle w:val="EMEABullet2"/>
        <w:numPr>
          <w:ilvl w:val="0"/>
          <w:numId w:val="14"/>
        </w:numPr>
        <w:tabs>
          <w:tab w:val="num" w:pos="550"/>
          <w:tab w:val="clear" w:pos="567"/>
          <w:tab w:val="num" w:pos="690"/>
          <w:tab w:val="clear" w:pos="720"/>
        </w:tabs>
        <w:ind w:left="550" w:hanging="550"/>
        <w:rPr>
          <w:del w:id="17425" w:author="AbbVie14" w:date="2025-05-09T11:00:00Z"/>
          <w:highlight w:val="lightGray"/>
          <w:lang w:val="it-IT"/>
        </w:rPr>
      </w:pPr>
      <w:del w:id="17426" w:author="AbbVie14" w:date="2025-05-09T11:00:00Z">
        <w:r w:rsidRPr="00295E71">
          <w:rPr>
            <w:highlight w:val="lightGray"/>
            <w:lang w:val="it-IT"/>
          </w:rPr>
          <w:delText>Con l’altra mano, impugni la siringa con la parte scanalata rivolta verso l’alto</w:delText>
        </w:r>
      </w:del>
      <w:del w:id="17427" w:author="AbbVie14" w:date="2025-05-09T11:00:00Z">
        <w:r w:rsidRPr="00295E71" w:rsidR="00A87DC7">
          <w:rPr>
            <w:highlight w:val="lightGray"/>
            <w:lang w:val="it-IT"/>
          </w:rPr>
          <w:delText>,</w:delText>
        </w:r>
      </w:del>
      <w:del w:id="17428" w:author="AbbVie14" w:date="2025-05-09T11:00:00Z">
        <w:r w:rsidRPr="00295E71">
          <w:rPr>
            <w:highlight w:val="lightGray"/>
            <w:lang w:val="it-IT"/>
          </w:rPr>
          <w:delText xml:space="preserve"> formando un angolo di 45° rispetto al punto di iniezione</w:delText>
        </w:r>
      </w:del>
      <w:del w:id="17429" w:author="AbbVie14" w:date="2025-05-09T11:00:00Z">
        <w:r w:rsidRPr="00295E71" w:rsidR="00395B98">
          <w:rPr>
            <w:highlight w:val="lightGray"/>
            <w:lang w:val="it-IT"/>
          </w:rPr>
          <w:delText>.</w:delText>
        </w:r>
      </w:del>
    </w:p>
    <w:p w:rsidR="00DC1215" w:rsidRPr="00295E71" w:rsidP="00FE3C0F" w14:paraId="0D45945F" w14:textId="77777777">
      <w:pPr>
        <w:pStyle w:val="EMEABullet2"/>
        <w:numPr>
          <w:ilvl w:val="0"/>
          <w:numId w:val="14"/>
        </w:numPr>
        <w:tabs>
          <w:tab w:val="num" w:pos="550"/>
          <w:tab w:val="clear" w:pos="567"/>
          <w:tab w:val="num" w:pos="690"/>
          <w:tab w:val="clear" w:pos="720"/>
        </w:tabs>
        <w:ind w:left="550" w:hanging="550"/>
        <w:rPr>
          <w:del w:id="17430" w:author="AbbVie14" w:date="2025-05-09T11:00:00Z"/>
          <w:highlight w:val="lightGray"/>
          <w:lang w:val="it-IT"/>
        </w:rPr>
      </w:pPr>
      <w:del w:id="17431" w:author="AbbVie14" w:date="2025-05-09T11:00:00Z">
        <w:r w:rsidRPr="00295E71">
          <w:rPr>
            <w:highlight w:val="lightGray"/>
            <w:lang w:val="it-IT"/>
          </w:rPr>
          <w:delText>Con un movimento deciso e rapido, spinga tutto l’ago nella pelle</w:delText>
        </w:r>
      </w:del>
    </w:p>
    <w:p w:rsidR="00DC1215" w:rsidRPr="00295E71" w:rsidP="00FE3C0F" w14:paraId="4159CB84" w14:textId="77777777">
      <w:pPr>
        <w:pStyle w:val="EMEABullet2"/>
        <w:numPr>
          <w:ilvl w:val="0"/>
          <w:numId w:val="14"/>
        </w:numPr>
        <w:tabs>
          <w:tab w:val="num" w:pos="550"/>
          <w:tab w:val="clear" w:pos="567"/>
          <w:tab w:val="num" w:pos="690"/>
          <w:tab w:val="clear" w:pos="720"/>
        </w:tabs>
        <w:ind w:left="550" w:hanging="550"/>
        <w:rPr>
          <w:del w:id="17432" w:author="AbbVie14" w:date="2025-05-09T11:00:00Z"/>
          <w:highlight w:val="lightGray"/>
          <w:lang w:val="it-IT"/>
        </w:rPr>
      </w:pPr>
      <w:del w:id="17433" w:author="AbbVie14" w:date="2025-05-09T11:00:00Z">
        <w:r w:rsidRPr="00295E71">
          <w:rPr>
            <w:highlight w:val="lightGray"/>
            <w:lang w:val="it-IT"/>
          </w:rPr>
          <w:delText>Lasci la pelle con la prima mano</w:delText>
        </w:r>
      </w:del>
    </w:p>
    <w:p w:rsidR="00DC1215" w:rsidRPr="00295E71" w:rsidP="00FE3C0F" w14:paraId="2CE159FA" w14:textId="77777777">
      <w:pPr>
        <w:pStyle w:val="EMEABullet2"/>
        <w:numPr>
          <w:ilvl w:val="0"/>
          <w:numId w:val="14"/>
        </w:numPr>
        <w:tabs>
          <w:tab w:val="num" w:pos="550"/>
          <w:tab w:val="clear" w:pos="567"/>
          <w:tab w:val="num" w:pos="690"/>
          <w:tab w:val="clear" w:pos="720"/>
        </w:tabs>
        <w:ind w:left="550" w:hanging="550"/>
        <w:rPr>
          <w:del w:id="17434" w:author="AbbVie14" w:date="2025-05-09T11:00:00Z"/>
          <w:highlight w:val="lightGray"/>
          <w:lang w:val="it-IT"/>
        </w:rPr>
      </w:pPr>
      <w:del w:id="17435" w:author="AbbVie14" w:date="2025-05-09T11:00:00Z">
        <w:r w:rsidRPr="00295E71">
          <w:rPr>
            <w:highlight w:val="lightGray"/>
            <w:lang w:val="it-IT"/>
          </w:rPr>
          <w:delText>Spinga lo stantuffo per iniettare la soluzione – possono occorrere dai 2 ai 5 secondi per svuotare la siringa</w:delText>
        </w:r>
      </w:del>
    </w:p>
    <w:p w:rsidR="00395B98" w:rsidRPr="00295E71" w:rsidP="00FE3C0F" w14:paraId="5C45892F" w14:textId="77777777">
      <w:pPr>
        <w:pStyle w:val="EMEABullet2"/>
        <w:numPr>
          <w:ilvl w:val="0"/>
          <w:numId w:val="14"/>
        </w:numPr>
        <w:tabs>
          <w:tab w:val="num" w:pos="550"/>
          <w:tab w:val="clear" w:pos="567"/>
          <w:tab w:val="num" w:pos="690"/>
          <w:tab w:val="clear" w:pos="720"/>
        </w:tabs>
        <w:ind w:left="550" w:hanging="550"/>
        <w:rPr>
          <w:del w:id="17436" w:author="AbbVie14" w:date="2025-05-09T11:00:00Z"/>
          <w:highlight w:val="lightGray"/>
          <w:lang w:val="it-IT"/>
        </w:rPr>
      </w:pPr>
      <w:del w:id="17437" w:author="AbbVie14" w:date="2025-05-09T11:00:00Z">
        <w:r w:rsidRPr="00295E71">
          <w:rPr>
            <w:highlight w:val="lightGray"/>
            <w:lang w:val="it-IT"/>
          </w:rPr>
          <w:delText>Quando la siringa è vuota, rimuova l’ago dalla pelle, mantenendo la stessa angolazione di quando è stato inserito</w:delText>
        </w:r>
      </w:del>
    </w:p>
    <w:p w:rsidR="00395B98" w:rsidRPr="00295E71" w:rsidP="00FE3C0F" w14:paraId="72ACC735" w14:textId="77777777">
      <w:pPr>
        <w:pStyle w:val="EMEABullet2"/>
        <w:numPr>
          <w:ilvl w:val="0"/>
          <w:numId w:val="14"/>
        </w:numPr>
        <w:tabs>
          <w:tab w:val="num" w:pos="550"/>
          <w:tab w:val="clear" w:pos="567"/>
          <w:tab w:val="num" w:pos="690"/>
          <w:tab w:val="clear" w:pos="720"/>
        </w:tabs>
        <w:ind w:left="550" w:hanging="550"/>
        <w:rPr>
          <w:del w:id="17438" w:author="AbbVie14" w:date="2025-05-09T11:00:00Z"/>
          <w:highlight w:val="lightGray"/>
          <w:lang w:val="it-IT"/>
        </w:rPr>
      </w:pPr>
      <w:del w:id="17439" w:author="AbbVie14" w:date="2025-05-09T11:00:00Z">
        <w:r w:rsidRPr="00295E71">
          <w:rPr>
            <w:highlight w:val="lightGray"/>
            <w:lang w:val="it-IT"/>
          </w:rPr>
          <w:delText>Tenere la siringa con una mano e con l’altra far scorrere la guaina protettiva sull’ago esposto finché si ferma in posizione.</w:delText>
        </w:r>
      </w:del>
    </w:p>
    <w:p w:rsidR="00DC1215" w:rsidRPr="00295E71" w:rsidP="00FE3C0F" w14:paraId="6963351C" w14:textId="77777777">
      <w:pPr>
        <w:pStyle w:val="EMEABullet2"/>
        <w:numPr>
          <w:ilvl w:val="0"/>
          <w:numId w:val="14"/>
        </w:numPr>
        <w:tabs>
          <w:tab w:val="num" w:pos="550"/>
          <w:tab w:val="clear" w:pos="567"/>
          <w:tab w:val="num" w:pos="690"/>
          <w:tab w:val="clear" w:pos="720"/>
        </w:tabs>
        <w:ind w:left="550" w:hanging="550"/>
        <w:rPr>
          <w:del w:id="17440" w:author="AbbVie14" w:date="2025-05-09T11:00:00Z"/>
          <w:highlight w:val="lightGray"/>
          <w:lang w:val="it-IT"/>
        </w:rPr>
      </w:pPr>
      <w:del w:id="17441" w:author="AbbVie14" w:date="2025-05-09T11:00:00Z">
        <w:r w:rsidRPr="00295E71">
          <w:rPr>
            <w:highlight w:val="lightGray"/>
            <w:lang w:val="it-IT"/>
          </w:rPr>
          <w:delText>Con il pollice o un pezzo di garza, eserciti una pressione sulla sede di iniezione per 10 secondi. Si potrebbe verificare un piccolo sanguinamento. Non massaggi la sede di iniezione. Se lo desidera, applichi un cerotto.</w:delText>
        </w:r>
      </w:del>
    </w:p>
    <w:p w:rsidR="00DC1215" w:rsidRPr="00295E71" w:rsidP="00FE3C0F" w14:paraId="1DF972ED" w14:textId="77777777">
      <w:pPr>
        <w:pStyle w:val="EMEANormal"/>
        <w:rPr>
          <w:del w:id="17442" w:author="AbbVie14" w:date="2025-05-09T11:00:00Z"/>
          <w:highlight w:val="lightGray"/>
          <w:lang w:val="it-IT"/>
        </w:rPr>
      </w:pPr>
    </w:p>
    <w:p w:rsidR="00DC1215" w:rsidRPr="00295E71" w:rsidP="00FE3C0F" w14:paraId="05BABC54" w14:textId="77777777">
      <w:pPr>
        <w:pStyle w:val="EMEAHeading2SPC"/>
        <w:spacing w:beforeLines="0" w:afterLines="0"/>
        <w:rPr>
          <w:del w:id="17443" w:author="AbbVie14" w:date="2025-05-09T11:00:00Z"/>
          <w:rFonts w:ascii="Times New Roman" w:hAnsi="Times New Roman"/>
          <w:highlight w:val="lightGray"/>
          <w:lang w:val="it-IT"/>
        </w:rPr>
      </w:pPr>
      <w:del w:id="17444" w:author="AbbVie14" w:date="2025-05-09T11:00:00Z">
        <w:r w:rsidRPr="00295E71">
          <w:rPr>
            <w:rFonts w:ascii="Times New Roman" w:hAnsi="Times New Roman"/>
            <w:highlight w:val="lightGray"/>
            <w:lang w:val="it-IT"/>
          </w:rPr>
          <w:delText>4)</w:delText>
        </w:r>
      </w:del>
      <w:del w:id="17445" w:author="AbbVie14" w:date="2025-05-09T11:00:00Z">
        <w:r w:rsidRPr="00295E71">
          <w:rPr>
            <w:rFonts w:ascii="Times New Roman" w:hAnsi="Times New Roman"/>
            <w:highlight w:val="lightGray"/>
            <w:lang w:val="it-IT"/>
          </w:rPr>
          <w:tab/>
        </w:r>
      </w:del>
      <w:del w:id="17446" w:author="AbbVie14" w:date="2025-05-09T11:00:00Z">
        <w:r w:rsidRPr="00295E71" w:rsidR="00110DDB">
          <w:rPr>
            <w:rFonts w:ascii="Times New Roman" w:hAnsi="Times New Roman"/>
            <w:highlight w:val="lightGray"/>
            <w:lang w:val="it-IT"/>
          </w:rPr>
          <w:delText>Smaltimento dei materiali</w:delText>
        </w:r>
      </w:del>
    </w:p>
    <w:p w:rsidR="00DC1215" w:rsidRPr="00295E71" w:rsidP="00FE3C0F" w14:paraId="67D787E7" w14:textId="77777777">
      <w:pPr>
        <w:pStyle w:val="EMEANormal"/>
        <w:rPr>
          <w:del w:id="17447" w:author="AbbVie14" w:date="2025-05-09T11:00:00Z"/>
          <w:highlight w:val="lightGray"/>
          <w:lang w:val="it-IT"/>
        </w:rPr>
      </w:pPr>
    </w:p>
    <w:p w:rsidR="00DC1215" w:rsidRPr="00295E71" w:rsidP="00FE3C0F" w14:paraId="52859B42" w14:textId="77777777">
      <w:pPr>
        <w:pStyle w:val="EMEABullet2"/>
        <w:numPr>
          <w:ilvl w:val="0"/>
          <w:numId w:val="14"/>
        </w:numPr>
        <w:tabs>
          <w:tab w:val="num" w:pos="550"/>
          <w:tab w:val="clear" w:pos="567"/>
          <w:tab w:val="num" w:pos="690"/>
          <w:tab w:val="clear" w:pos="720"/>
        </w:tabs>
        <w:ind w:left="550" w:hanging="550"/>
        <w:rPr>
          <w:del w:id="17448" w:author="AbbVie14" w:date="2025-05-09T11:00:00Z"/>
          <w:highlight w:val="lightGray"/>
          <w:lang w:val="it-IT"/>
        </w:rPr>
      </w:pPr>
      <w:del w:id="17449" w:author="AbbVie14" w:date="2025-05-09T11:00:00Z">
        <w:r w:rsidRPr="00295E71">
          <w:rPr>
            <w:highlight w:val="lightGray"/>
            <w:lang w:val="it-IT"/>
          </w:rPr>
          <w:delText xml:space="preserve">Non riutilizzi MAI la siringa di Humira. Non reincappucci </w:delText>
        </w:r>
      </w:del>
      <w:del w:id="17450" w:author="AbbVie14" w:date="2025-05-09T11:00:00Z">
        <w:r w:rsidRPr="00295E71">
          <w:rPr>
            <w:bCs/>
            <w:highlight w:val="lightGray"/>
            <w:lang w:val="it-IT"/>
          </w:rPr>
          <w:delText>MAI</w:delText>
        </w:r>
      </w:del>
      <w:del w:id="17451" w:author="AbbVie14" w:date="2025-05-09T11:00:00Z">
        <w:r w:rsidRPr="00295E71">
          <w:rPr>
            <w:highlight w:val="lightGray"/>
            <w:lang w:val="it-IT"/>
          </w:rPr>
          <w:delText xml:space="preserve"> l’ago</w:delText>
        </w:r>
      </w:del>
    </w:p>
    <w:p w:rsidR="00DC1215" w:rsidRPr="00295E71" w:rsidP="00FE3C0F" w14:paraId="6AA213DB" w14:textId="77777777">
      <w:pPr>
        <w:pStyle w:val="EMEABullet2"/>
        <w:numPr>
          <w:ilvl w:val="0"/>
          <w:numId w:val="14"/>
        </w:numPr>
        <w:tabs>
          <w:tab w:val="num" w:pos="550"/>
          <w:tab w:val="clear" w:pos="567"/>
          <w:tab w:val="num" w:pos="690"/>
          <w:tab w:val="clear" w:pos="720"/>
        </w:tabs>
        <w:ind w:left="550" w:hanging="550"/>
        <w:rPr>
          <w:del w:id="17452" w:author="AbbVie14" w:date="2025-05-09T11:00:00Z"/>
          <w:highlight w:val="lightGray"/>
          <w:lang w:val="it-IT"/>
        </w:rPr>
      </w:pPr>
      <w:del w:id="17453" w:author="AbbVie14" w:date="2025-05-09T11:00:00Z">
        <w:r w:rsidRPr="00295E71">
          <w:rPr>
            <w:highlight w:val="lightGray"/>
            <w:lang w:val="it-IT"/>
          </w:rPr>
          <w:delText>Dopo aver iniettato Humira, getti via immediatamente la siringa usata in un contenitore speciale secondo le istruzioni del medico, infermiere o farmacista.</w:delText>
        </w:r>
      </w:del>
    </w:p>
    <w:p w:rsidR="00C971F7" w:rsidRPr="00295E71" w:rsidP="00FE3C0F" w14:paraId="66E0B370" w14:textId="77777777">
      <w:pPr>
        <w:pStyle w:val="EMEABullet2"/>
        <w:tabs>
          <w:tab w:val="clear" w:pos="567"/>
        </w:tabs>
        <w:ind w:left="0" w:firstLine="0"/>
        <w:rPr>
          <w:del w:id="17454" w:author="AbbVie14" w:date="2025-05-09T11:00:00Z"/>
          <w:highlight w:val="lightGray"/>
          <w:lang w:val="it-IT"/>
        </w:rPr>
      </w:pPr>
      <w:del w:id="17455" w:author="AbbVie14" w:date="2025-05-09T11:00:00Z">
        <w:r w:rsidRPr="00295E71">
          <w:rPr>
            <w:highlight w:val="lightGray"/>
            <w:lang w:val="it-IT"/>
          </w:rPr>
          <w:delText>Conservi questo medicinale fuori dalla vista e dalla portata dei bambini.</w:delText>
        </w:r>
      </w:del>
    </w:p>
    <w:p w:rsidR="00DC1215" w:rsidRPr="00295E71" w:rsidP="00FE3C0F" w14:paraId="5550CBB1" w14:textId="77777777">
      <w:pPr>
        <w:tabs>
          <w:tab w:val="left" w:pos="567"/>
        </w:tabs>
        <w:jc w:val="both"/>
        <w:rPr>
          <w:del w:id="17456" w:author="AbbVie14" w:date="2025-05-09T11:00:00Z"/>
          <w:b/>
          <w:bCs/>
          <w:sz w:val="22"/>
          <w:szCs w:val="22"/>
        </w:rPr>
      </w:pPr>
    </w:p>
    <w:p w:rsidR="006224C2" w:rsidRPr="00295E71" w:rsidP="00FE3C0F" w14:paraId="17A336BF" w14:textId="77777777">
      <w:pPr>
        <w:tabs>
          <w:tab w:val="left" w:pos="567"/>
        </w:tabs>
        <w:jc w:val="both"/>
        <w:rPr>
          <w:del w:id="17457" w:author="AbbVie14" w:date="2025-05-09T11:00:00Z"/>
          <w:b/>
          <w:bCs/>
          <w:sz w:val="22"/>
          <w:szCs w:val="22"/>
        </w:rPr>
      </w:pPr>
      <w:del w:id="17458" w:author="AbbVie14" w:date="2025-05-09T11:00:00Z">
        <w:r w:rsidRPr="00295E71">
          <w:rPr>
            <w:b/>
            <w:bCs/>
            <w:sz w:val="22"/>
            <w:szCs w:val="22"/>
          </w:rPr>
          <w:delText>Se usa più Humira di quanto deve</w:delText>
        </w:r>
      </w:del>
    </w:p>
    <w:p w:rsidR="006224C2" w:rsidRPr="00295E71" w:rsidP="00FE3C0F" w14:paraId="6B77F103" w14:textId="77777777">
      <w:pPr>
        <w:pStyle w:val="EndnoteText"/>
        <w:jc w:val="both"/>
        <w:rPr>
          <w:del w:id="17459" w:author="AbbVie14" w:date="2025-05-09T11:00:00Z"/>
          <w:lang w:val="it-IT" w:eastAsia="it-IT"/>
        </w:rPr>
      </w:pPr>
    </w:p>
    <w:p w:rsidR="006224C2" w:rsidRPr="00295E71" w:rsidP="00FE3C0F" w14:paraId="7365DFB2" w14:textId="77777777">
      <w:pPr>
        <w:pStyle w:val="BodyText3"/>
        <w:tabs>
          <w:tab w:val="left" w:pos="567"/>
        </w:tabs>
        <w:rPr>
          <w:del w:id="17460" w:author="AbbVie14" w:date="2025-05-09T11:00:00Z"/>
        </w:rPr>
      </w:pPr>
      <w:del w:id="17461" w:author="AbbVie14" w:date="2025-05-09T11:00:00Z">
        <w:r w:rsidRPr="00295E71">
          <w:delText>Se accidentalmente inietta Humira più frequentemente di quanto disposto dal medico o dal farmacista, contatti il medico o il farmacista informandolo di aver assunto più farmaco. Conservi sempre la scatola del farmaco, anche se vuota.</w:delText>
        </w:r>
      </w:del>
    </w:p>
    <w:p w:rsidR="006224C2" w:rsidRPr="00295E71" w:rsidP="00FE3C0F" w14:paraId="2643A72D" w14:textId="77777777">
      <w:pPr>
        <w:pStyle w:val="EndnoteText"/>
        <w:jc w:val="both"/>
        <w:rPr>
          <w:del w:id="17462" w:author="AbbVie14" w:date="2025-05-09T11:00:00Z"/>
          <w:lang w:val="it-IT" w:eastAsia="it-IT"/>
        </w:rPr>
      </w:pPr>
    </w:p>
    <w:p w:rsidR="006224C2" w:rsidRPr="00295E71" w:rsidP="00FE3C0F" w14:paraId="0C713867" w14:textId="77777777">
      <w:pPr>
        <w:tabs>
          <w:tab w:val="left" w:pos="567"/>
        </w:tabs>
        <w:jc w:val="both"/>
        <w:rPr>
          <w:del w:id="17463" w:author="AbbVie14" w:date="2025-05-09T11:00:00Z"/>
          <w:b/>
          <w:bCs/>
          <w:sz w:val="22"/>
          <w:szCs w:val="22"/>
        </w:rPr>
      </w:pPr>
      <w:del w:id="17464" w:author="AbbVie14" w:date="2025-05-09T11:00:00Z">
        <w:r w:rsidRPr="00295E71">
          <w:rPr>
            <w:b/>
            <w:bCs/>
            <w:sz w:val="22"/>
            <w:szCs w:val="22"/>
          </w:rPr>
          <w:delText>Se dimentica di usare Humira</w:delText>
        </w:r>
      </w:del>
    </w:p>
    <w:p w:rsidR="006224C2" w:rsidRPr="00295E71" w:rsidP="00FE3C0F" w14:paraId="6E8D6CBB" w14:textId="77777777">
      <w:pPr>
        <w:pStyle w:val="EndnoteText"/>
        <w:jc w:val="both"/>
        <w:rPr>
          <w:del w:id="17465" w:author="AbbVie14" w:date="2025-05-09T11:00:00Z"/>
          <w:lang w:val="it-IT" w:eastAsia="it-IT"/>
        </w:rPr>
      </w:pPr>
    </w:p>
    <w:p w:rsidR="006224C2" w:rsidRPr="00295E71" w:rsidP="00FE3C0F" w14:paraId="42912D4E" w14:textId="77777777">
      <w:pPr>
        <w:tabs>
          <w:tab w:val="left" w:pos="567"/>
        </w:tabs>
        <w:jc w:val="both"/>
        <w:rPr>
          <w:del w:id="17466" w:author="AbbVie14" w:date="2025-05-09T11:00:00Z"/>
          <w:sz w:val="22"/>
          <w:szCs w:val="22"/>
        </w:rPr>
      </w:pPr>
      <w:del w:id="17467" w:author="AbbVie14" w:date="2025-05-09T11:00:00Z">
        <w:r w:rsidRPr="00295E71">
          <w:rPr>
            <w:sz w:val="22"/>
            <w:szCs w:val="22"/>
          </w:rPr>
          <w:delText>Se dimentica di fare un’iniezione, deve iniettarsi la dose successiva di Humira non appena se ne ricorda. Dopodiché riprenda la dose regolarmente secondo lo schema posologico</w:delText>
        </w:r>
      </w:del>
      <w:del w:id="17468" w:author="AbbVie14" w:date="2025-05-09T11:00:00Z">
        <w:r w:rsidRPr="00295E71" w:rsidR="00E27EF8">
          <w:rPr>
            <w:sz w:val="22"/>
            <w:szCs w:val="22"/>
          </w:rPr>
          <w:delText xml:space="preserve"> </w:delText>
        </w:r>
      </w:del>
      <w:del w:id="17469" w:author="AbbVie14" w:date="2025-05-09T11:00:00Z">
        <w:r w:rsidRPr="00295E71">
          <w:rPr>
            <w:sz w:val="22"/>
            <w:szCs w:val="22"/>
          </w:rPr>
          <w:delText>stabilito.</w:delText>
        </w:r>
      </w:del>
    </w:p>
    <w:p w:rsidR="006224C2" w:rsidRPr="00295E71" w:rsidP="00FE3C0F" w14:paraId="5683EE6A" w14:textId="77777777">
      <w:pPr>
        <w:tabs>
          <w:tab w:val="left" w:pos="567"/>
        </w:tabs>
        <w:jc w:val="both"/>
        <w:rPr>
          <w:del w:id="17470" w:author="AbbVie14" w:date="2025-05-09T11:00:00Z"/>
          <w:sz w:val="22"/>
          <w:szCs w:val="22"/>
        </w:rPr>
      </w:pPr>
    </w:p>
    <w:p w:rsidR="006224C2" w:rsidRPr="00295E71" w:rsidP="00FE3C0F" w14:paraId="1E5E339F" w14:textId="77777777">
      <w:pPr>
        <w:keepNext/>
        <w:keepLines/>
        <w:tabs>
          <w:tab w:val="left" w:pos="567"/>
        </w:tabs>
        <w:jc w:val="both"/>
        <w:rPr>
          <w:del w:id="17471" w:author="AbbVie14" w:date="2025-05-09T11:00:00Z"/>
          <w:b/>
          <w:sz w:val="22"/>
          <w:szCs w:val="22"/>
        </w:rPr>
      </w:pPr>
      <w:del w:id="17472" w:author="AbbVie14" w:date="2025-05-09T11:00:00Z">
        <w:r w:rsidRPr="00295E71">
          <w:rPr>
            <w:b/>
            <w:sz w:val="22"/>
            <w:szCs w:val="22"/>
          </w:rPr>
          <w:delText>Se interrompe il trattamento con Humira</w:delText>
        </w:r>
      </w:del>
    </w:p>
    <w:p w:rsidR="006224C2" w:rsidRPr="00295E71" w:rsidP="00FE3C0F" w14:paraId="1EEF2FCF" w14:textId="77777777">
      <w:pPr>
        <w:keepNext/>
        <w:keepLines/>
        <w:tabs>
          <w:tab w:val="left" w:pos="567"/>
        </w:tabs>
        <w:jc w:val="both"/>
        <w:rPr>
          <w:del w:id="17473" w:author="AbbVie14" w:date="2025-05-09T11:00:00Z"/>
          <w:sz w:val="22"/>
          <w:szCs w:val="22"/>
        </w:rPr>
      </w:pPr>
    </w:p>
    <w:p w:rsidR="006224C2" w:rsidRPr="00295E71" w:rsidP="00FE3C0F" w14:paraId="5909D1E5" w14:textId="77777777">
      <w:pPr>
        <w:keepNext/>
        <w:keepLines/>
        <w:tabs>
          <w:tab w:val="left" w:pos="567"/>
        </w:tabs>
        <w:jc w:val="both"/>
        <w:rPr>
          <w:del w:id="17474" w:author="AbbVie14" w:date="2025-05-09T11:00:00Z"/>
          <w:sz w:val="22"/>
          <w:szCs w:val="22"/>
        </w:rPr>
      </w:pPr>
      <w:del w:id="17475" w:author="AbbVie14" w:date="2025-05-09T11:00:00Z">
        <w:r w:rsidRPr="00295E71">
          <w:rPr>
            <w:sz w:val="22"/>
            <w:szCs w:val="22"/>
          </w:rPr>
          <w:delText>La decisione di interrompere l’uso di Humira deve essere discussa con il medico. I sintomi possono ritornare dopo l’interruzione.</w:delText>
        </w:r>
      </w:del>
    </w:p>
    <w:p w:rsidR="006224C2" w:rsidRPr="00295E71" w:rsidP="00FE3C0F" w14:paraId="68C612C9" w14:textId="77777777">
      <w:pPr>
        <w:tabs>
          <w:tab w:val="left" w:pos="567"/>
        </w:tabs>
        <w:jc w:val="both"/>
        <w:rPr>
          <w:del w:id="17476" w:author="AbbVie14" w:date="2025-05-09T11:00:00Z"/>
          <w:sz w:val="22"/>
          <w:szCs w:val="22"/>
        </w:rPr>
      </w:pPr>
    </w:p>
    <w:p w:rsidR="006224C2" w:rsidRPr="00295E71" w:rsidP="00FE3C0F" w14:paraId="11CB85A2" w14:textId="77777777">
      <w:pPr>
        <w:tabs>
          <w:tab w:val="left" w:pos="567"/>
        </w:tabs>
        <w:jc w:val="both"/>
        <w:rPr>
          <w:del w:id="17477" w:author="AbbVie14" w:date="2025-05-09T11:00:00Z"/>
          <w:sz w:val="22"/>
          <w:szCs w:val="22"/>
        </w:rPr>
      </w:pPr>
      <w:del w:id="17478" w:author="AbbVie14" w:date="2025-05-09T11:00:00Z">
        <w:r w:rsidRPr="00295E71">
          <w:rPr>
            <w:sz w:val="22"/>
            <w:szCs w:val="22"/>
          </w:rPr>
          <w:delText>Se ha qualsiasi dubbio sull’uso di questo medicinale, si rivolga al medico o al farmacista.</w:delText>
        </w:r>
      </w:del>
    </w:p>
    <w:p w:rsidR="006224C2" w:rsidRPr="00295E71" w:rsidP="00FE3C0F" w14:paraId="47D25ECF" w14:textId="77777777">
      <w:pPr>
        <w:jc w:val="both"/>
        <w:rPr>
          <w:del w:id="17479" w:author="AbbVie14" w:date="2025-05-09T11:00:00Z"/>
          <w:sz w:val="22"/>
          <w:szCs w:val="22"/>
        </w:rPr>
      </w:pPr>
    </w:p>
    <w:p w:rsidR="006224C2" w:rsidRPr="00295E71" w:rsidP="00FE3C0F" w14:paraId="6C8C058F" w14:textId="77777777">
      <w:pPr>
        <w:jc w:val="both"/>
        <w:rPr>
          <w:del w:id="17480" w:author="AbbVie14" w:date="2025-05-09T11:00:00Z"/>
          <w:sz w:val="22"/>
          <w:szCs w:val="22"/>
        </w:rPr>
      </w:pPr>
    </w:p>
    <w:p w:rsidR="006224C2" w:rsidRPr="00295E71" w:rsidP="00FE3C0F" w14:paraId="52BE4166" w14:textId="77777777">
      <w:pPr>
        <w:numPr>
          <w:ilvl w:val="12"/>
          <w:numId w:val="0"/>
        </w:numPr>
        <w:tabs>
          <w:tab w:val="left" w:pos="567"/>
        </w:tabs>
        <w:ind w:left="567" w:right="-2" w:hanging="567"/>
        <w:jc w:val="both"/>
        <w:rPr>
          <w:del w:id="17481" w:author="AbbVie14" w:date="2025-05-09T11:00:00Z"/>
          <w:b/>
          <w:bCs/>
          <w:sz w:val="22"/>
          <w:szCs w:val="22"/>
        </w:rPr>
      </w:pPr>
      <w:del w:id="17482" w:author="AbbVie14" w:date="2025-05-09T11:00:00Z">
        <w:r w:rsidRPr="00295E71">
          <w:rPr>
            <w:b/>
            <w:bCs/>
            <w:sz w:val="22"/>
            <w:szCs w:val="22"/>
          </w:rPr>
          <w:delText>4.</w:delText>
        </w:r>
      </w:del>
      <w:del w:id="17483" w:author="AbbVie14" w:date="2025-05-09T11:00:00Z">
        <w:r w:rsidRPr="00295E71">
          <w:rPr>
            <w:b/>
            <w:bCs/>
            <w:sz w:val="22"/>
            <w:szCs w:val="22"/>
          </w:rPr>
          <w:tab/>
          <w:delText>Possibili effetti indesiderati</w:delText>
        </w:r>
      </w:del>
    </w:p>
    <w:p w:rsidR="006224C2" w:rsidRPr="00295E71" w:rsidP="00FE3C0F" w14:paraId="67DFC908" w14:textId="77777777">
      <w:pPr>
        <w:numPr>
          <w:ilvl w:val="12"/>
          <w:numId w:val="0"/>
        </w:numPr>
        <w:tabs>
          <w:tab w:val="left" w:pos="567"/>
        </w:tabs>
        <w:ind w:right="-2"/>
        <w:jc w:val="both"/>
        <w:rPr>
          <w:del w:id="17484" w:author="AbbVie14" w:date="2025-05-09T11:00:00Z"/>
          <w:sz w:val="22"/>
          <w:szCs w:val="22"/>
        </w:rPr>
      </w:pPr>
    </w:p>
    <w:p w:rsidR="006224C2" w:rsidRPr="00295E71" w:rsidP="00FE3C0F" w14:paraId="0F303617" w14:textId="77777777">
      <w:pPr>
        <w:tabs>
          <w:tab w:val="left" w:pos="567"/>
        </w:tabs>
        <w:jc w:val="both"/>
        <w:rPr>
          <w:del w:id="17485" w:author="AbbVie14" w:date="2025-05-09T11:00:00Z"/>
          <w:sz w:val="22"/>
          <w:szCs w:val="22"/>
        </w:rPr>
      </w:pPr>
      <w:del w:id="17486" w:author="AbbVie14" w:date="2025-05-09T11:00:00Z">
        <w:r w:rsidRPr="00295E71">
          <w:rPr>
            <w:sz w:val="22"/>
            <w:szCs w:val="22"/>
          </w:rPr>
          <w:delText>Come tutti i medicinali, questo medicinale può causare effetti indesiderati sebbene non tutte le persone li manifestino. La maggior parte degli effetti indesiderati si presenta in forma da lieve a moderata. Tuttavia, alcuni possono essere gravi e richiedere trattamento. Effetti indesiderati possono manifestarsi fino a 4 mesi dall’ultima iniezione di Humira.</w:delText>
        </w:r>
      </w:del>
    </w:p>
    <w:p w:rsidR="006224C2" w:rsidRPr="00295E71" w:rsidP="00FE3C0F" w14:paraId="4797BF56" w14:textId="77777777">
      <w:pPr>
        <w:pStyle w:val="EndnoteText"/>
        <w:jc w:val="both"/>
        <w:rPr>
          <w:del w:id="17487" w:author="AbbVie14" w:date="2025-05-09T11:00:00Z"/>
          <w:lang w:val="it-IT" w:eastAsia="it-IT"/>
        </w:rPr>
      </w:pPr>
    </w:p>
    <w:p w:rsidR="006224C2" w:rsidRPr="00295E71" w:rsidP="00FE3C0F" w14:paraId="23941BD0" w14:textId="77777777">
      <w:pPr>
        <w:tabs>
          <w:tab w:val="left" w:pos="567"/>
        </w:tabs>
        <w:jc w:val="both"/>
        <w:rPr>
          <w:del w:id="17488" w:author="AbbVie14" w:date="2025-05-09T11:00:00Z"/>
          <w:sz w:val="22"/>
          <w:szCs w:val="22"/>
        </w:rPr>
      </w:pPr>
      <w:del w:id="17489" w:author="AbbVie14" w:date="2025-05-09T11:00:00Z">
        <w:r w:rsidRPr="00295E71">
          <w:rPr>
            <w:sz w:val="22"/>
            <w:szCs w:val="22"/>
          </w:rPr>
          <w:delText>Informi immediatamente il medico se nota una qualsiasi delle seguenti reazioni</w:delText>
        </w:r>
      </w:del>
    </w:p>
    <w:p w:rsidR="006224C2" w:rsidRPr="00295E71" w:rsidP="00FE3C0F" w14:paraId="03FBBEAD" w14:textId="77777777">
      <w:pPr>
        <w:numPr>
          <w:ilvl w:val="0"/>
          <w:numId w:val="15"/>
        </w:numPr>
        <w:tabs>
          <w:tab w:val="left" w:pos="567"/>
        </w:tabs>
        <w:ind w:left="567" w:hanging="567"/>
        <w:jc w:val="both"/>
        <w:rPr>
          <w:del w:id="17490" w:author="AbbVie14" w:date="2025-05-09T11:00:00Z"/>
          <w:sz w:val="22"/>
          <w:szCs w:val="22"/>
        </w:rPr>
      </w:pPr>
      <w:del w:id="17491" w:author="AbbVie14" w:date="2025-05-09T11:00:00Z">
        <w:r w:rsidRPr="00295E71">
          <w:rPr>
            <w:sz w:val="22"/>
            <w:szCs w:val="22"/>
          </w:rPr>
          <w:delText>eruzione cutanea grave, orticaria o altri segni di reazione allergica;</w:delText>
        </w:r>
      </w:del>
    </w:p>
    <w:p w:rsidR="006224C2" w:rsidRPr="00295E71" w:rsidP="00FE3C0F" w14:paraId="6BCEAA98" w14:textId="77777777">
      <w:pPr>
        <w:numPr>
          <w:ilvl w:val="0"/>
          <w:numId w:val="15"/>
        </w:numPr>
        <w:tabs>
          <w:tab w:val="left" w:pos="567"/>
        </w:tabs>
        <w:ind w:left="567" w:hanging="567"/>
        <w:jc w:val="both"/>
        <w:rPr>
          <w:del w:id="17492" w:author="AbbVie14" w:date="2025-05-09T11:00:00Z"/>
          <w:sz w:val="22"/>
          <w:szCs w:val="22"/>
        </w:rPr>
      </w:pPr>
      <w:del w:id="17493" w:author="AbbVie14" w:date="2025-05-09T11:00:00Z">
        <w:r w:rsidRPr="00295E71">
          <w:rPr>
            <w:sz w:val="22"/>
            <w:szCs w:val="22"/>
          </w:rPr>
          <w:delText>gonfiore del viso, delle mani, dei piedi;</w:delText>
        </w:r>
      </w:del>
    </w:p>
    <w:p w:rsidR="006224C2" w:rsidRPr="00295E71" w:rsidP="00FE3C0F" w14:paraId="72736873" w14:textId="77777777">
      <w:pPr>
        <w:numPr>
          <w:ilvl w:val="0"/>
          <w:numId w:val="15"/>
        </w:numPr>
        <w:tabs>
          <w:tab w:val="left" w:pos="567"/>
        </w:tabs>
        <w:ind w:left="567" w:hanging="567"/>
        <w:jc w:val="both"/>
        <w:rPr>
          <w:del w:id="17494" w:author="AbbVie14" w:date="2025-05-09T11:00:00Z"/>
          <w:sz w:val="22"/>
          <w:szCs w:val="22"/>
        </w:rPr>
      </w:pPr>
      <w:del w:id="17495" w:author="AbbVie14" w:date="2025-05-09T11:00:00Z">
        <w:r w:rsidRPr="00295E71">
          <w:rPr>
            <w:sz w:val="22"/>
            <w:szCs w:val="22"/>
          </w:rPr>
          <w:delText>difficoltà a respirare, difficoltà a</w:delText>
        </w:r>
      </w:del>
      <w:del w:id="17496" w:author="AbbVie14" w:date="2025-05-09T11:00:00Z">
        <w:r w:rsidRPr="00295E71" w:rsidR="001348F2">
          <w:rPr>
            <w:sz w:val="22"/>
            <w:szCs w:val="22"/>
          </w:rPr>
          <w:delText xml:space="preserve"> deglutire</w:delText>
        </w:r>
      </w:del>
      <w:del w:id="17497" w:author="AbbVie14" w:date="2025-05-09T11:00:00Z">
        <w:r w:rsidRPr="00295E71">
          <w:rPr>
            <w:sz w:val="22"/>
            <w:szCs w:val="22"/>
          </w:rPr>
          <w:delText>;</w:delText>
        </w:r>
      </w:del>
    </w:p>
    <w:p w:rsidR="006224C2" w:rsidRPr="00295E71" w:rsidP="00FE3C0F" w14:paraId="507AFEE2" w14:textId="77777777">
      <w:pPr>
        <w:numPr>
          <w:ilvl w:val="0"/>
          <w:numId w:val="15"/>
        </w:numPr>
        <w:tabs>
          <w:tab w:val="left" w:pos="567"/>
        </w:tabs>
        <w:ind w:left="567" w:hanging="567"/>
        <w:jc w:val="both"/>
        <w:rPr>
          <w:del w:id="17498" w:author="AbbVie14" w:date="2025-05-09T11:00:00Z"/>
          <w:sz w:val="22"/>
          <w:szCs w:val="22"/>
        </w:rPr>
      </w:pPr>
      <w:del w:id="17499" w:author="AbbVie14" w:date="2025-05-09T11:00:00Z">
        <w:r w:rsidRPr="00295E71">
          <w:rPr>
            <w:sz w:val="22"/>
            <w:szCs w:val="22"/>
          </w:rPr>
          <w:delText>respiro corto sotto sforzo o in posizione sdraiata o piedi gonfi.</w:delText>
        </w:r>
      </w:del>
    </w:p>
    <w:p w:rsidR="006224C2" w:rsidRPr="00295E71" w:rsidP="00FE3C0F" w14:paraId="19910EBA" w14:textId="77777777">
      <w:pPr>
        <w:tabs>
          <w:tab w:val="left" w:pos="567"/>
        </w:tabs>
        <w:ind w:left="360"/>
        <w:jc w:val="both"/>
        <w:rPr>
          <w:del w:id="17500" w:author="AbbVie14" w:date="2025-05-09T11:00:00Z"/>
          <w:sz w:val="22"/>
          <w:szCs w:val="22"/>
        </w:rPr>
      </w:pPr>
    </w:p>
    <w:p w:rsidR="006224C2" w:rsidRPr="00295E71" w:rsidP="00FE3C0F" w14:paraId="6CEEBB40" w14:textId="77777777">
      <w:pPr>
        <w:tabs>
          <w:tab w:val="left" w:pos="567"/>
        </w:tabs>
        <w:jc w:val="both"/>
        <w:rPr>
          <w:del w:id="17501" w:author="AbbVie14" w:date="2025-05-09T11:00:00Z"/>
          <w:sz w:val="22"/>
          <w:szCs w:val="22"/>
        </w:rPr>
      </w:pPr>
      <w:del w:id="17502" w:author="AbbVie14" w:date="2025-05-09T11:00:00Z">
        <w:r w:rsidRPr="00295E71">
          <w:rPr>
            <w:sz w:val="22"/>
            <w:szCs w:val="22"/>
          </w:rPr>
          <w:delText>Informi appena possibile il medico se nota una qualsiasi delle seguenti reazioni</w:delText>
        </w:r>
      </w:del>
    </w:p>
    <w:p w:rsidR="006224C2" w:rsidRPr="00295E71" w:rsidP="00FE3C0F" w14:paraId="1D92839C" w14:textId="77777777">
      <w:pPr>
        <w:numPr>
          <w:ilvl w:val="0"/>
          <w:numId w:val="14"/>
        </w:numPr>
        <w:tabs>
          <w:tab w:val="num" w:pos="540"/>
          <w:tab w:val="left" w:pos="567"/>
          <w:tab w:val="clear" w:pos="720"/>
          <w:tab w:val="left" w:pos="993"/>
        </w:tabs>
        <w:ind w:left="567" w:hanging="567"/>
        <w:jc w:val="both"/>
        <w:rPr>
          <w:del w:id="17503" w:author="AbbVie14" w:date="2025-05-09T11:00:00Z"/>
          <w:sz w:val="22"/>
          <w:szCs w:val="22"/>
        </w:rPr>
      </w:pPr>
      <w:del w:id="17504" w:author="AbbVie14" w:date="2025-05-09T11:00:00Z">
        <w:r w:rsidRPr="00295E71">
          <w:rPr>
            <w:sz w:val="22"/>
            <w:szCs w:val="22"/>
          </w:rPr>
          <w:delText>segni di infezione come febbre, sensazione di malessere, ferite, problemi dentali, bruciore nell’urinare;</w:delText>
        </w:r>
      </w:del>
    </w:p>
    <w:p w:rsidR="006224C2" w:rsidRPr="00295E71" w:rsidP="00FE3C0F" w14:paraId="18CFA6CE" w14:textId="77777777">
      <w:pPr>
        <w:numPr>
          <w:ilvl w:val="0"/>
          <w:numId w:val="14"/>
        </w:numPr>
        <w:tabs>
          <w:tab w:val="num" w:pos="540"/>
          <w:tab w:val="left" w:pos="567"/>
          <w:tab w:val="left" w:pos="993"/>
        </w:tabs>
        <w:ind w:left="567" w:hanging="567"/>
        <w:jc w:val="both"/>
        <w:rPr>
          <w:del w:id="17505" w:author="AbbVie14" w:date="2025-05-09T11:00:00Z"/>
          <w:sz w:val="22"/>
          <w:szCs w:val="22"/>
        </w:rPr>
      </w:pPr>
      <w:del w:id="17506" w:author="AbbVie14" w:date="2025-05-09T11:00:00Z">
        <w:r w:rsidRPr="00295E71">
          <w:rPr>
            <w:sz w:val="22"/>
            <w:szCs w:val="22"/>
          </w:rPr>
          <w:delText>stanchezza o debolezza;</w:delText>
        </w:r>
      </w:del>
    </w:p>
    <w:p w:rsidR="006224C2" w:rsidRPr="00295E71" w:rsidP="00FE3C0F" w14:paraId="713EE9FA" w14:textId="77777777">
      <w:pPr>
        <w:numPr>
          <w:ilvl w:val="0"/>
          <w:numId w:val="14"/>
        </w:numPr>
        <w:tabs>
          <w:tab w:val="num" w:pos="540"/>
          <w:tab w:val="left" w:pos="567"/>
          <w:tab w:val="left" w:pos="993"/>
        </w:tabs>
        <w:ind w:left="567" w:hanging="567"/>
        <w:jc w:val="both"/>
        <w:rPr>
          <w:del w:id="17507" w:author="AbbVie14" w:date="2025-05-09T11:00:00Z"/>
          <w:sz w:val="22"/>
          <w:szCs w:val="22"/>
        </w:rPr>
      </w:pPr>
      <w:del w:id="17508" w:author="AbbVie14" w:date="2025-05-09T11:00:00Z">
        <w:r w:rsidRPr="00295E71">
          <w:rPr>
            <w:sz w:val="22"/>
            <w:szCs w:val="22"/>
          </w:rPr>
          <w:delText>tosse;</w:delText>
        </w:r>
      </w:del>
    </w:p>
    <w:p w:rsidR="006224C2" w:rsidRPr="00295E71" w:rsidP="00FE3C0F" w14:paraId="15A2FE0E" w14:textId="77777777">
      <w:pPr>
        <w:numPr>
          <w:ilvl w:val="0"/>
          <w:numId w:val="14"/>
        </w:numPr>
        <w:tabs>
          <w:tab w:val="num" w:pos="540"/>
          <w:tab w:val="left" w:pos="567"/>
          <w:tab w:val="left" w:pos="993"/>
        </w:tabs>
        <w:ind w:left="567" w:hanging="567"/>
        <w:jc w:val="both"/>
        <w:rPr>
          <w:del w:id="17509" w:author="AbbVie14" w:date="2025-05-09T11:00:00Z"/>
          <w:sz w:val="22"/>
          <w:szCs w:val="22"/>
        </w:rPr>
      </w:pPr>
      <w:del w:id="17510" w:author="AbbVie14" w:date="2025-05-09T11:00:00Z">
        <w:r w:rsidRPr="00295E71">
          <w:rPr>
            <w:sz w:val="22"/>
            <w:szCs w:val="22"/>
          </w:rPr>
          <w:delText>formicolio;</w:delText>
        </w:r>
      </w:del>
    </w:p>
    <w:p w:rsidR="006224C2" w:rsidRPr="00295E71" w:rsidP="00FE3C0F" w14:paraId="28F917A9" w14:textId="77777777">
      <w:pPr>
        <w:numPr>
          <w:ilvl w:val="0"/>
          <w:numId w:val="14"/>
        </w:numPr>
        <w:tabs>
          <w:tab w:val="num" w:pos="540"/>
          <w:tab w:val="left" w:pos="567"/>
          <w:tab w:val="left" w:pos="993"/>
        </w:tabs>
        <w:ind w:left="567" w:hanging="567"/>
        <w:jc w:val="both"/>
        <w:rPr>
          <w:del w:id="17511" w:author="AbbVie14" w:date="2025-05-09T11:00:00Z"/>
          <w:sz w:val="22"/>
          <w:szCs w:val="22"/>
        </w:rPr>
      </w:pPr>
      <w:del w:id="17512" w:author="AbbVie14" w:date="2025-05-09T11:00:00Z">
        <w:r w:rsidRPr="00295E71">
          <w:rPr>
            <w:sz w:val="22"/>
            <w:szCs w:val="22"/>
          </w:rPr>
          <w:delText>torpore;</w:delText>
        </w:r>
      </w:del>
    </w:p>
    <w:p w:rsidR="006224C2" w:rsidRPr="00295E71" w:rsidP="00FE3C0F" w14:paraId="770D6730" w14:textId="77777777">
      <w:pPr>
        <w:numPr>
          <w:ilvl w:val="0"/>
          <w:numId w:val="14"/>
        </w:numPr>
        <w:tabs>
          <w:tab w:val="num" w:pos="540"/>
          <w:tab w:val="left" w:pos="567"/>
          <w:tab w:val="left" w:pos="993"/>
        </w:tabs>
        <w:ind w:left="567" w:hanging="567"/>
        <w:jc w:val="both"/>
        <w:rPr>
          <w:del w:id="17513" w:author="AbbVie14" w:date="2025-05-09T11:00:00Z"/>
          <w:sz w:val="22"/>
          <w:szCs w:val="22"/>
        </w:rPr>
      </w:pPr>
      <w:del w:id="17514" w:author="AbbVie14" w:date="2025-05-09T11:00:00Z">
        <w:r w:rsidRPr="00295E71">
          <w:rPr>
            <w:sz w:val="22"/>
            <w:szCs w:val="22"/>
          </w:rPr>
          <w:delText>sdoppiamento della vista;</w:delText>
        </w:r>
      </w:del>
    </w:p>
    <w:p w:rsidR="006224C2" w:rsidRPr="00295E71" w:rsidP="00FE3C0F" w14:paraId="583C9080" w14:textId="77777777">
      <w:pPr>
        <w:numPr>
          <w:ilvl w:val="0"/>
          <w:numId w:val="14"/>
        </w:numPr>
        <w:tabs>
          <w:tab w:val="num" w:pos="540"/>
          <w:tab w:val="left" w:pos="567"/>
          <w:tab w:val="left" w:pos="993"/>
        </w:tabs>
        <w:ind w:left="567" w:hanging="567"/>
        <w:jc w:val="both"/>
        <w:rPr>
          <w:del w:id="17515" w:author="AbbVie14" w:date="2025-05-09T11:00:00Z"/>
          <w:sz w:val="22"/>
          <w:szCs w:val="22"/>
        </w:rPr>
      </w:pPr>
      <w:del w:id="17516" w:author="AbbVie14" w:date="2025-05-09T11:00:00Z">
        <w:r w:rsidRPr="00295E71">
          <w:rPr>
            <w:sz w:val="22"/>
            <w:szCs w:val="22"/>
          </w:rPr>
          <w:delText>debolezza delle braccia o gambe;</w:delText>
        </w:r>
      </w:del>
    </w:p>
    <w:p w:rsidR="006224C2" w:rsidRPr="00295E71" w:rsidP="00FE3C0F" w14:paraId="26806647" w14:textId="77777777">
      <w:pPr>
        <w:numPr>
          <w:ilvl w:val="0"/>
          <w:numId w:val="14"/>
        </w:numPr>
        <w:tabs>
          <w:tab w:val="num" w:pos="540"/>
          <w:tab w:val="left" w:pos="567"/>
          <w:tab w:val="left" w:pos="993"/>
        </w:tabs>
        <w:ind w:left="567" w:hanging="567"/>
        <w:jc w:val="both"/>
        <w:rPr>
          <w:del w:id="17517" w:author="AbbVie14" w:date="2025-05-09T11:00:00Z"/>
          <w:sz w:val="22"/>
          <w:szCs w:val="22"/>
        </w:rPr>
      </w:pPr>
      <w:del w:id="17518" w:author="AbbVie14" w:date="2025-05-09T11:00:00Z">
        <w:r w:rsidRPr="00295E71">
          <w:rPr>
            <w:sz w:val="22"/>
            <w:szCs w:val="22"/>
          </w:rPr>
          <w:delText>gonfiore o piaga che non guarisce;</w:delText>
        </w:r>
      </w:del>
    </w:p>
    <w:p w:rsidR="006224C2" w:rsidRPr="00295E71" w:rsidP="00FE3C0F" w14:paraId="26E07B39" w14:textId="77777777">
      <w:pPr>
        <w:numPr>
          <w:ilvl w:val="0"/>
          <w:numId w:val="14"/>
        </w:numPr>
        <w:tabs>
          <w:tab w:val="num" w:pos="540"/>
          <w:tab w:val="left" w:pos="567"/>
          <w:tab w:val="clear" w:pos="720"/>
        </w:tabs>
        <w:ind w:left="540" w:hanging="540"/>
        <w:jc w:val="both"/>
        <w:rPr>
          <w:del w:id="17519" w:author="AbbVie14" w:date="2025-05-09T11:00:00Z"/>
          <w:sz w:val="22"/>
          <w:szCs w:val="22"/>
        </w:rPr>
      </w:pPr>
      <w:del w:id="17520" w:author="AbbVie14" w:date="2025-05-09T11:00:00Z">
        <w:r w:rsidRPr="00295E71">
          <w:rPr>
            <w:sz w:val="22"/>
            <w:szCs w:val="22"/>
          </w:rPr>
          <w:delText>segni e sintomi che suggeriscono la comparsa di disturbi a carico del sistema emopoietico, come la presenza di febbre persistente, lividi, emorragie, pallore.</w:delText>
        </w:r>
      </w:del>
    </w:p>
    <w:p w:rsidR="006224C2" w:rsidRPr="00295E71" w:rsidP="00FE3C0F" w14:paraId="0CE413D9" w14:textId="77777777">
      <w:pPr>
        <w:tabs>
          <w:tab w:val="left" w:pos="567"/>
        </w:tabs>
        <w:ind w:left="360"/>
        <w:jc w:val="both"/>
        <w:rPr>
          <w:del w:id="17521" w:author="AbbVie14" w:date="2025-05-09T11:00:00Z"/>
          <w:sz w:val="22"/>
          <w:szCs w:val="22"/>
        </w:rPr>
      </w:pPr>
    </w:p>
    <w:p w:rsidR="006224C2" w:rsidRPr="00295E71" w:rsidP="00FE3C0F" w14:paraId="24DA3304" w14:textId="77777777">
      <w:pPr>
        <w:tabs>
          <w:tab w:val="left" w:pos="567"/>
        </w:tabs>
        <w:jc w:val="both"/>
        <w:rPr>
          <w:del w:id="17522" w:author="AbbVie14" w:date="2025-05-09T11:00:00Z"/>
          <w:sz w:val="22"/>
          <w:szCs w:val="22"/>
        </w:rPr>
      </w:pPr>
      <w:del w:id="17523" w:author="AbbVie14" w:date="2025-05-09T11:00:00Z">
        <w:r w:rsidRPr="00295E71">
          <w:rPr>
            <w:sz w:val="22"/>
            <w:szCs w:val="22"/>
          </w:rPr>
          <w:delText>I sintomi sopra descritti possono essere segni dei seguenti effetti indesiderati, che sono stati osservati con Humira</w:delText>
        </w:r>
      </w:del>
      <w:del w:id="17524" w:author="AbbVie14" w:date="2025-05-09T11:00:00Z">
        <w:r w:rsidRPr="00295E71" w:rsidR="006F32E5">
          <w:rPr>
            <w:sz w:val="22"/>
            <w:szCs w:val="22"/>
          </w:rPr>
          <w:delText>.</w:delText>
        </w:r>
      </w:del>
    </w:p>
    <w:p w:rsidR="006224C2" w:rsidRPr="00295E71" w:rsidP="00FE3C0F" w14:paraId="61E3E95B" w14:textId="77777777">
      <w:pPr>
        <w:pStyle w:val="EndnoteText"/>
        <w:jc w:val="both"/>
        <w:rPr>
          <w:del w:id="17525" w:author="AbbVie14" w:date="2025-05-09T11:00:00Z"/>
          <w:lang w:val="it-IT" w:eastAsia="it-IT"/>
        </w:rPr>
      </w:pPr>
    </w:p>
    <w:p w:rsidR="006224C2" w:rsidRPr="00295E71" w:rsidP="00FE3C0F" w14:paraId="7F7C3E24" w14:textId="77777777">
      <w:pPr>
        <w:tabs>
          <w:tab w:val="left" w:pos="567"/>
        </w:tabs>
        <w:jc w:val="both"/>
        <w:rPr>
          <w:del w:id="17526" w:author="AbbVie14" w:date="2025-05-09T11:00:00Z"/>
          <w:sz w:val="22"/>
          <w:szCs w:val="22"/>
        </w:rPr>
      </w:pPr>
      <w:del w:id="17527" w:author="AbbVie14" w:date="2025-05-09T11:00:00Z">
        <w:r w:rsidRPr="00295E71">
          <w:rPr>
            <w:sz w:val="22"/>
            <w:szCs w:val="22"/>
          </w:rPr>
          <w:delText>Molto comuni (possono manifestarsi in più di 1 persona su 10)</w:delText>
        </w:r>
      </w:del>
    </w:p>
    <w:p w:rsidR="006224C2" w:rsidRPr="00295E71" w:rsidP="00FE3C0F" w14:paraId="5C68F578" w14:textId="77777777">
      <w:pPr>
        <w:tabs>
          <w:tab w:val="left" w:pos="567"/>
        </w:tabs>
        <w:jc w:val="both"/>
        <w:rPr>
          <w:del w:id="17528" w:author="AbbVie14" w:date="2025-05-09T11:00:00Z"/>
          <w:sz w:val="22"/>
          <w:szCs w:val="22"/>
        </w:rPr>
      </w:pPr>
    </w:p>
    <w:p w:rsidR="006224C2" w:rsidRPr="00295E71" w:rsidP="00FE3C0F" w14:paraId="419DE951" w14:textId="77777777">
      <w:pPr>
        <w:numPr>
          <w:ilvl w:val="0"/>
          <w:numId w:val="14"/>
        </w:numPr>
        <w:tabs>
          <w:tab w:val="num" w:pos="540"/>
          <w:tab w:val="left" w:pos="567"/>
          <w:tab w:val="left" w:pos="993"/>
        </w:tabs>
        <w:ind w:left="567" w:hanging="567"/>
        <w:jc w:val="both"/>
        <w:rPr>
          <w:del w:id="17529" w:author="AbbVie14" w:date="2025-05-09T11:00:00Z"/>
          <w:sz w:val="22"/>
          <w:szCs w:val="22"/>
        </w:rPr>
      </w:pPr>
      <w:del w:id="17530" w:author="AbbVie14" w:date="2025-05-09T11:00:00Z">
        <w:r w:rsidRPr="00295E71">
          <w:rPr>
            <w:sz w:val="22"/>
            <w:szCs w:val="22"/>
          </w:rPr>
          <w:delText>reazioni nella sede d’iniezione (tra cui dolore, edema, arrossamento o prurito);</w:delText>
        </w:r>
      </w:del>
    </w:p>
    <w:p w:rsidR="006224C2" w:rsidRPr="00295E71" w:rsidP="00FE3C0F" w14:paraId="620C9167" w14:textId="77777777">
      <w:pPr>
        <w:numPr>
          <w:ilvl w:val="0"/>
          <w:numId w:val="14"/>
        </w:numPr>
        <w:tabs>
          <w:tab w:val="num" w:pos="540"/>
          <w:tab w:val="left" w:pos="567"/>
          <w:tab w:val="left" w:pos="993"/>
        </w:tabs>
        <w:ind w:left="567" w:hanging="567"/>
        <w:jc w:val="both"/>
        <w:rPr>
          <w:del w:id="17531" w:author="AbbVie14" w:date="2025-05-09T11:00:00Z"/>
          <w:sz w:val="22"/>
          <w:szCs w:val="22"/>
        </w:rPr>
      </w:pPr>
      <w:del w:id="17532" w:author="AbbVie14" w:date="2025-05-09T11:00:00Z">
        <w:r w:rsidRPr="00295E71">
          <w:rPr>
            <w:sz w:val="22"/>
            <w:szCs w:val="22"/>
          </w:rPr>
          <w:delText>infezioni delle vie respiratorie (tra cui raffreddore, rinorrea, sinusite e polmonite);</w:delText>
        </w:r>
      </w:del>
    </w:p>
    <w:p w:rsidR="006224C2" w:rsidRPr="00295E71" w:rsidP="00FE3C0F" w14:paraId="1733197A" w14:textId="77777777">
      <w:pPr>
        <w:numPr>
          <w:ilvl w:val="0"/>
          <w:numId w:val="14"/>
        </w:numPr>
        <w:tabs>
          <w:tab w:val="num" w:pos="540"/>
          <w:tab w:val="left" w:pos="567"/>
          <w:tab w:val="left" w:pos="993"/>
        </w:tabs>
        <w:ind w:left="567" w:hanging="567"/>
        <w:jc w:val="both"/>
        <w:rPr>
          <w:del w:id="17533" w:author="AbbVie14" w:date="2025-05-09T11:00:00Z"/>
          <w:sz w:val="22"/>
          <w:szCs w:val="22"/>
        </w:rPr>
      </w:pPr>
      <w:del w:id="17534" w:author="AbbVie14" w:date="2025-05-09T11:00:00Z">
        <w:r w:rsidRPr="00295E71">
          <w:rPr>
            <w:sz w:val="22"/>
            <w:szCs w:val="22"/>
          </w:rPr>
          <w:delText>cefalea;</w:delText>
        </w:r>
      </w:del>
    </w:p>
    <w:p w:rsidR="006224C2" w:rsidRPr="00295E71" w:rsidP="00FE3C0F" w14:paraId="1E6516DE" w14:textId="77777777">
      <w:pPr>
        <w:numPr>
          <w:ilvl w:val="0"/>
          <w:numId w:val="14"/>
        </w:numPr>
        <w:tabs>
          <w:tab w:val="num" w:pos="540"/>
          <w:tab w:val="left" w:pos="567"/>
          <w:tab w:val="left" w:pos="993"/>
        </w:tabs>
        <w:ind w:left="567" w:hanging="567"/>
        <w:jc w:val="both"/>
        <w:rPr>
          <w:del w:id="17535" w:author="AbbVie14" w:date="2025-05-09T11:00:00Z"/>
          <w:sz w:val="22"/>
          <w:szCs w:val="22"/>
        </w:rPr>
      </w:pPr>
      <w:del w:id="17536" w:author="AbbVie14" w:date="2025-05-09T11:00:00Z">
        <w:r w:rsidRPr="00295E71">
          <w:rPr>
            <w:sz w:val="22"/>
            <w:szCs w:val="22"/>
          </w:rPr>
          <w:delText>dolore addominale;</w:delText>
        </w:r>
      </w:del>
    </w:p>
    <w:p w:rsidR="006224C2" w:rsidRPr="00295E71" w:rsidP="00FE3C0F" w14:paraId="272B094F" w14:textId="77777777">
      <w:pPr>
        <w:numPr>
          <w:ilvl w:val="0"/>
          <w:numId w:val="14"/>
        </w:numPr>
        <w:tabs>
          <w:tab w:val="num" w:pos="540"/>
          <w:tab w:val="left" w:pos="567"/>
          <w:tab w:val="left" w:pos="993"/>
        </w:tabs>
        <w:ind w:left="567" w:hanging="567"/>
        <w:jc w:val="both"/>
        <w:rPr>
          <w:del w:id="17537" w:author="AbbVie14" w:date="2025-05-09T11:00:00Z"/>
          <w:sz w:val="22"/>
          <w:szCs w:val="22"/>
        </w:rPr>
      </w:pPr>
      <w:del w:id="17538" w:author="AbbVie14" w:date="2025-05-09T11:00:00Z">
        <w:r w:rsidRPr="00295E71">
          <w:rPr>
            <w:sz w:val="22"/>
            <w:szCs w:val="22"/>
          </w:rPr>
          <w:delText>nausea e vomito;</w:delText>
        </w:r>
      </w:del>
    </w:p>
    <w:p w:rsidR="006224C2" w:rsidRPr="00295E71" w:rsidP="00FE3C0F" w14:paraId="3910DA31" w14:textId="77777777">
      <w:pPr>
        <w:numPr>
          <w:ilvl w:val="0"/>
          <w:numId w:val="14"/>
        </w:numPr>
        <w:tabs>
          <w:tab w:val="num" w:pos="540"/>
          <w:tab w:val="left" w:pos="567"/>
          <w:tab w:val="left" w:pos="993"/>
        </w:tabs>
        <w:ind w:left="567" w:hanging="567"/>
        <w:jc w:val="both"/>
        <w:rPr>
          <w:del w:id="17539" w:author="AbbVie14" w:date="2025-05-09T11:00:00Z"/>
          <w:sz w:val="22"/>
          <w:szCs w:val="22"/>
        </w:rPr>
      </w:pPr>
      <w:del w:id="17540" w:author="AbbVie14" w:date="2025-05-09T11:00:00Z">
        <w:r w:rsidRPr="00295E71">
          <w:rPr>
            <w:sz w:val="22"/>
            <w:szCs w:val="22"/>
          </w:rPr>
          <w:delText>eruzione cutanea;</w:delText>
        </w:r>
      </w:del>
    </w:p>
    <w:p w:rsidR="006224C2" w:rsidRPr="00295E71" w:rsidP="00FE3C0F" w14:paraId="568F5002" w14:textId="77777777">
      <w:pPr>
        <w:numPr>
          <w:ilvl w:val="0"/>
          <w:numId w:val="14"/>
        </w:numPr>
        <w:tabs>
          <w:tab w:val="num" w:pos="540"/>
          <w:tab w:val="left" w:pos="567"/>
          <w:tab w:val="left" w:pos="993"/>
        </w:tabs>
        <w:ind w:left="567" w:hanging="567"/>
        <w:jc w:val="both"/>
        <w:rPr>
          <w:del w:id="17541" w:author="AbbVie14" w:date="2025-05-09T11:00:00Z"/>
          <w:sz w:val="22"/>
          <w:szCs w:val="22"/>
        </w:rPr>
      </w:pPr>
      <w:del w:id="17542" w:author="AbbVie14" w:date="2025-05-09T11:00:00Z">
        <w:r w:rsidRPr="00295E71">
          <w:rPr>
            <w:sz w:val="22"/>
            <w:szCs w:val="22"/>
          </w:rPr>
          <w:delText>dolore muscoloscheletrico.</w:delText>
        </w:r>
      </w:del>
    </w:p>
    <w:p w:rsidR="006224C2" w:rsidRPr="00295E71" w:rsidP="00FE3C0F" w14:paraId="52FD3E22" w14:textId="77777777">
      <w:pPr>
        <w:pStyle w:val="EndnoteText"/>
        <w:jc w:val="both"/>
        <w:rPr>
          <w:del w:id="17543" w:author="AbbVie14" w:date="2025-05-09T11:00:00Z"/>
          <w:lang w:val="it-IT" w:eastAsia="it-IT"/>
        </w:rPr>
      </w:pPr>
    </w:p>
    <w:p w:rsidR="006224C2" w:rsidRPr="00295E71" w:rsidP="00FE3C0F" w14:paraId="58457D49" w14:textId="77777777">
      <w:pPr>
        <w:tabs>
          <w:tab w:val="left" w:pos="567"/>
        </w:tabs>
        <w:jc w:val="both"/>
        <w:rPr>
          <w:del w:id="17544" w:author="AbbVie14" w:date="2025-05-09T11:00:00Z"/>
          <w:sz w:val="22"/>
          <w:szCs w:val="22"/>
        </w:rPr>
      </w:pPr>
      <w:del w:id="17545" w:author="AbbVie14" w:date="2025-05-09T11:00:00Z">
        <w:r w:rsidRPr="00295E71">
          <w:rPr>
            <w:sz w:val="22"/>
            <w:szCs w:val="22"/>
          </w:rPr>
          <w:delText>Comuni (possono manifestarsi fino a 1 persona su 10)</w:delText>
        </w:r>
      </w:del>
    </w:p>
    <w:p w:rsidR="006224C2" w:rsidRPr="00295E71" w:rsidP="00FE3C0F" w14:paraId="7CE438AD" w14:textId="77777777">
      <w:pPr>
        <w:tabs>
          <w:tab w:val="left" w:pos="567"/>
        </w:tabs>
        <w:jc w:val="both"/>
        <w:rPr>
          <w:del w:id="17546" w:author="AbbVie14" w:date="2025-05-09T11:00:00Z"/>
          <w:sz w:val="22"/>
          <w:szCs w:val="22"/>
        </w:rPr>
      </w:pPr>
    </w:p>
    <w:p w:rsidR="006224C2" w:rsidRPr="00295E71" w:rsidP="00FE3C0F" w14:paraId="5A5F38E9" w14:textId="77777777">
      <w:pPr>
        <w:numPr>
          <w:ilvl w:val="0"/>
          <w:numId w:val="14"/>
        </w:numPr>
        <w:tabs>
          <w:tab w:val="num" w:pos="540"/>
          <w:tab w:val="left" w:pos="567"/>
          <w:tab w:val="left" w:pos="993"/>
        </w:tabs>
        <w:ind w:left="567" w:hanging="567"/>
        <w:jc w:val="both"/>
        <w:rPr>
          <w:del w:id="17547" w:author="AbbVie14" w:date="2025-05-09T11:00:00Z"/>
          <w:sz w:val="22"/>
          <w:szCs w:val="22"/>
        </w:rPr>
      </w:pPr>
      <w:del w:id="17548" w:author="AbbVie14" w:date="2025-05-09T11:00:00Z">
        <w:r w:rsidRPr="00295E71">
          <w:rPr>
            <w:sz w:val="22"/>
            <w:szCs w:val="22"/>
          </w:rPr>
          <w:delText xml:space="preserve">infezioni </w:delText>
        </w:r>
      </w:del>
      <w:del w:id="17549" w:author="AbbVie14" w:date="2025-05-09T11:00:00Z">
        <w:r w:rsidR="00D139A5">
          <w:rPr>
            <w:sz w:val="22"/>
            <w:szCs w:val="22"/>
          </w:rPr>
          <w:delText>gravi</w:delText>
        </w:r>
      </w:del>
      <w:del w:id="17550" w:author="AbbVie14" w:date="2025-05-09T11:00:00Z">
        <w:r w:rsidRPr="00295E71">
          <w:rPr>
            <w:sz w:val="22"/>
            <w:szCs w:val="22"/>
          </w:rPr>
          <w:delText xml:space="preserve"> (tra cui setticemia ed influenza);</w:delText>
        </w:r>
      </w:del>
    </w:p>
    <w:p w:rsidR="00132107" w:rsidRPr="00295E71" w:rsidP="00FE3C0F" w14:paraId="12172A6C" w14:textId="77777777">
      <w:pPr>
        <w:numPr>
          <w:ilvl w:val="0"/>
          <w:numId w:val="14"/>
        </w:numPr>
        <w:tabs>
          <w:tab w:val="num" w:pos="540"/>
          <w:tab w:val="left" w:pos="567"/>
          <w:tab w:val="left" w:pos="993"/>
        </w:tabs>
        <w:ind w:left="567" w:hanging="567"/>
        <w:jc w:val="both"/>
        <w:rPr>
          <w:del w:id="17551" w:author="AbbVie14" w:date="2025-05-09T11:00:00Z"/>
          <w:sz w:val="22"/>
          <w:szCs w:val="22"/>
        </w:rPr>
      </w:pPr>
      <w:del w:id="17552" w:author="AbbVie14" w:date="2025-05-09T11:00:00Z">
        <w:r w:rsidRPr="00295E71">
          <w:rPr>
            <w:sz w:val="22"/>
            <w:szCs w:val="22"/>
          </w:rPr>
          <w:delText>infezioni intestinali (tra cui gastroenterite);</w:delText>
        </w:r>
      </w:del>
    </w:p>
    <w:p w:rsidR="006224C2" w:rsidRPr="00295E71" w:rsidP="00FE3C0F" w14:paraId="1DC33AAB" w14:textId="77777777">
      <w:pPr>
        <w:numPr>
          <w:ilvl w:val="0"/>
          <w:numId w:val="14"/>
        </w:numPr>
        <w:tabs>
          <w:tab w:val="num" w:pos="540"/>
          <w:tab w:val="left" w:pos="567"/>
          <w:tab w:val="left" w:pos="993"/>
        </w:tabs>
        <w:ind w:left="567" w:hanging="567"/>
        <w:jc w:val="both"/>
        <w:rPr>
          <w:del w:id="17553" w:author="AbbVie14" w:date="2025-05-09T11:00:00Z"/>
          <w:sz w:val="22"/>
          <w:szCs w:val="22"/>
        </w:rPr>
      </w:pPr>
      <w:del w:id="17554" w:author="AbbVie14" w:date="2025-05-09T11:00:00Z">
        <w:r w:rsidRPr="00295E71">
          <w:rPr>
            <w:sz w:val="22"/>
            <w:szCs w:val="22"/>
          </w:rPr>
          <w:delText>infezioni della pelle (tra cui cellulite e infezione da Herpes Zoster);</w:delText>
        </w:r>
      </w:del>
    </w:p>
    <w:p w:rsidR="006224C2" w:rsidRPr="00295E71" w:rsidP="00FE3C0F" w14:paraId="65AE65E5" w14:textId="77777777">
      <w:pPr>
        <w:numPr>
          <w:ilvl w:val="0"/>
          <w:numId w:val="14"/>
        </w:numPr>
        <w:tabs>
          <w:tab w:val="num" w:pos="540"/>
          <w:tab w:val="left" w:pos="567"/>
          <w:tab w:val="left" w:pos="993"/>
        </w:tabs>
        <w:ind w:left="567" w:hanging="567"/>
        <w:jc w:val="both"/>
        <w:rPr>
          <w:del w:id="17555" w:author="AbbVie14" w:date="2025-05-09T11:00:00Z"/>
          <w:sz w:val="22"/>
          <w:szCs w:val="22"/>
        </w:rPr>
      </w:pPr>
      <w:del w:id="17556" w:author="AbbVie14" w:date="2025-05-09T11:00:00Z">
        <w:r w:rsidRPr="00295E71">
          <w:rPr>
            <w:sz w:val="22"/>
            <w:szCs w:val="22"/>
          </w:rPr>
          <w:delText>infezioni dell’orecchio;</w:delText>
        </w:r>
      </w:del>
    </w:p>
    <w:p w:rsidR="006224C2" w:rsidRPr="00295E71" w:rsidP="00FE3C0F" w14:paraId="6E87EFBC" w14:textId="77777777">
      <w:pPr>
        <w:numPr>
          <w:ilvl w:val="0"/>
          <w:numId w:val="14"/>
        </w:numPr>
        <w:tabs>
          <w:tab w:val="num" w:pos="540"/>
          <w:tab w:val="left" w:pos="567"/>
          <w:tab w:val="left" w:pos="993"/>
        </w:tabs>
        <w:ind w:left="567" w:hanging="567"/>
        <w:jc w:val="both"/>
        <w:rPr>
          <w:del w:id="17557" w:author="AbbVie14" w:date="2025-05-09T11:00:00Z"/>
          <w:sz w:val="22"/>
          <w:szCs w:val="22"/>
        </w:rPr>
      </w:pPr>
      <w:del w:id="17558" w:author="AbbVie14" w:date="2025-05-09T11:00:00Z">
        <w:r w:rsidRPr="00295E71">
          <w:rPr>
            <w:sz w:val="22"/>
            <w:szCs w:val="22"/>
          </w:rPr>
          <w:delText>infezioni orali (tra cui infezioni dei denti ed herpes simplex);</w:delText>
        </w:r>
      </w:del>
    </w:p>
    <w:p w:rsidR="006224C2" w:rsidRPr="00295E71" w:rsidP="00FE3C0F" w14:paraId="7004EE90" w14:textId="77777777">
      <w:pPr>
        <w:numPr>
          <w:ilvl w:val="0"/>
          <w:numId w:val="14"/>
        </w:numPr>
        <w:tabs>
          <w:tab w:val="num" w:pos="540"/>
          <w:tab w:val="left" w:pos="567"/>
          <w:tab w:val="left" w:pos="993"/>
        </w:tabs>
        <w:ind w:left="567" w:hanging="567"/>
        <w:jc w:val="both"/>
        <w:rPr>
          <w:del w:id="17559" w:author="AbbVie14" w:date="2025-05-09T11:00:00Z"/>
          <w:sz w:val="22"/>
          <w:szCs w:val="22"/>
        </w:rPr>
      </w:pPr>
      <w:del w:id="17560" w:author="AbbVie14" w:date="2025-05-09T11:00:00Z">
        <w:r w:rsidRPr="00295E71">
          <w:rPr>
            <w:sz w:val="22"/>
            <w:szCs w:val="22"/>
          </w:rPr>
          <w:delText>infezioni dell’apparato riproduttivo;</w:delText>
        </w:r>
      </w:del>
    </w:p>
    <w:p w:rsidR="006224C2" w:rsidRPr="00295E71" w:rsidP="00FE3C0F" w14:paraId="0841007A" w14:textId="77777777">
      <w:pPr>
        <w:numPr>
          <w:ilvl w:val="0"/>
          <w:numId w:val="14"/>
        </w:numPr>
        <w:tabs>
          <w:tab w:val="num" w:pos="540"/>
          <w:tab w:val="left" w:pos="567"/>
          <w:tab w:val="left" w:pos="993"/>
        </w:tabs>
        <w:ind w:left="567" w:hanging="567"/>
        <w:jc w:val="both"/>
        <w:rPr>
          <w:del w:id="17561" w:author="AbbVie14" w:date="2025-05-09T11:00:00Z"/>
          <w:sz w:val="22"/>
          <w:szCs w:val="22"/>
        </w:rPr>
      </w:pPr>
      <w:del w:id="17562" w:author="AbbVie14" w:date="2025-05-09T11:00:00Z">
        <w:r w:rsidRPr="00295E71">
          <w:rPr>
            <w:sz w:val="22"/>
            <w:szCs w:val="22"/>
          </w:rPr>
          <w:delText>infezioni delle vie urinarie;</w:delText>
        </w:r>
      </w:del>
    </w:p>
    <w:p w:rsidR="006224C2" w:rsidRPr="00295E71" w:rsidP="00FE3C0F" w14:paraId="40BC0D08" w14:textId="77777777">
      <w:pPr>
        <w:numPr>
          <w:ilvl w:val="0"/>
          <w:numId w:val="14"/>
        </w:numPr>
        <w:tabs>
          <w:tab w:val="num" w:pos="540"/>
          <w:tab w:val="left" w:pos="567"/>
          <w:tab w:val="left" w:pos="993"/>
        </w:tabs>
        <w:ind w:left="567" w:hanging="567"/>
        <w:jc w:val="both"/>
        <w:rPr>
          <w:del w:id="17563" w:author="AbbVie14" w:date="2025-05-09T11:00:00Z"/>
          <w:sz w:val="22"/>
          <w:szCs w:val="22"/>
        </w:rPr>
      </w:pPr>
      <w:del w:id="17564" w:author="AbbVie14" w:date="2025-05-09T11:00:00Z">
        <w:r w:rsidRPr="00295E71">
          <w:rPr>
            <w:sz w:val="22"/>
            <w:szCs w:val="22"/>
          </w:rPr>
          <w:delText>infezioni da miceti;</w:delText>
        </w:r>
      </w:del>
    </w:p>
    <w:p w:rsidR="006224C2" w:rsidRPr="00295E71" w:rsidP="00FE3C0F" w14:paraId="094CB50A" w14:textId="77777777">
      <w:pPr>
        <w:numPr>
          <w:ilvl w:val="0"/>
          <w:numId w:val="14"/>
        </w:numPr>
        <w:tabs>
          <w:tab w:val="num" w:pos="540"/>
          <w:tab w:val="left" w:pos="567"/>
          <w:tab w:val="left" w:pos="993"/>
        </w:tabs>
        <w:ind w:left="567" w:hanging="567"/>
        <w:jc w:val="both"/>
        <w:rPr>
          <w:del w:id="17565" w:author="AbbVie14" w:date="2025-05-09T11:00:00Z"/>
          <w:sz w:val="22"/>
          <w:szCs w:val="22"/>
        </w:rPr>
      </w:pPr>
      <w:del w:id="17566" w:author="AbbVie14" w:date="2025-05-09T11:00:00Z">
        <w:r w:rsidRPr="00295E71">
          <w:rPr>
            <w:sz w:val="22"/>
            <w:szCs w:val="22"/>
          </w:rPr>
          <w:delText>infezioni a carico delle articolazioni;</w:delText>
        </w:r>
      </w:del>
    </w:p>
    <w:p w:rsidR="006224C2" w:rsidRPr="00295E71" w:rsidP="00FE3C0F" w14:paraId="5EC9FEE6" w14:textId="77777777">
      <w:pPr>
        <w:numPr>
          <w:ilvl w:val="0"/>
          <w:numId w:val="14"/>
        </w:numPr>
        <w:tabs>
          <w:tab w:val="num" w:pos="540"/>
          <w:tab w:val="left" w:pos="567"/>
          <w:tab w:val="left" w:pos="993"/>
        </w:tabs>
        <w:ind w:left="567" w:hanging="567"/>
        <w:jc w:val="both"/>
        <w:rPr>
          <w:del w:id="17567" w:author="AbbVie14" w:date="2025-05-09T11:00:00Z"/>
          <w:sz w:val="22"/>
          <w:szCs w:val="22"/>
        </w:rPr>
      </w:pPr>
      <w:del w:id="17568" w:author="AbbVie14" w:date="2025-05-09T11:00:00Z">
        <w:r w:rsidRPr="00295E71">
          <w:rPr>
            <w:sz w:val="22"/>
            <w:szCs w:val="22"/>
          </w:rPr>
          <w:delText>tumori benigni;</w:delText>
        </w:r>
      </w:del>
    </w:p>
    <w:p w:rsidR="006224C2" w:rsidRPr="00295E71" w:rsidP="00FE3C0F" w14:paraId="0644953A" w14:textId="77777777">
      <w:pPr>
        <w:numPr>
          <w:ilvl w:val="0"/>
          <w:numId w:val="14"/>
        </w:numPr>
        <w:tabs>
          <w:tab w:val="num" w:pos="540"/>
          <w:tab w:val="left" w:pos="567"/>
          <w:tab w:val="left" w:pos="993"/>
        </w:tabs>
        <w:ind w:left="567" w:hanging="567"/>
        <w:jc w:val="both"/>
        <w:rPr>
          <w:del w:id="17569" w:author="AbbVie14" w:date="2025-05-09T11:00:00Z"/>
          <w:sz w:val="22"/>
          <w:szCs w:val="22"/>
        </w:rPr>
      </w:pPr>
      <w:del w:id="17570" w:author="AbbVie14" w:date="2025-05-09T11:00:00Z">
        <w:r w:rsidRPr="00295E71">
          <w:rPr>
            <w:sz w:val="22"/>
            <w:szCs w:val="22"/>
          </w:rPr>
          <w:delText>tumore della pelle;</w:delText>
        </w:r>
      </w:del>
    </w:p>
    <w:p w:rsidR="006224C2" w:rsidRPr="00295E71" w:rsidP="00FE3C0F" w14:paraId="101D731E" w14:textId="77777777">
      <w:pPr>
        <w:numPr>
          <w:ilvl w:val="0"/>
          <w:numId w:val="14"/>
        </w:numPr>
        <w:tabs>
          <w:tab w:val="num" w:pos="540"/>
          <w:tab w:val="left" w:pos="567"/>
          <w:tab w:val="left" w:pos="993"/>
        </w:tabs>
        <w:ind w:left="567" w:hanging="567"/>
        <w:jc w:val="both"/>
        <w:rPr>
          <w:del w:id="17571" w:author="AbbVie14" w:date="2025-05-09T11:00:00Z"/>
          <w:sz w:val="22"/>
          <w:szCs w:val="22"/>
        </w:rPr>
      </w:pPr>
      <w:del w:id="17572" w:author="AbbVie14" w:date="2025-05-09T11:00:00Z">
        <w:r w:rsidRPr="00295E71">
          <w:rPr>
            <w:sz w:val="22"/>
            <w:szCs w:val="22"/>
          </w:rPr>
          <w:delText>reazioni allergiche (tra cui allergia stagionale);</w:delText>
        </w:r>
      </w:del>
    </w:p>
    <w:p w:rsidR="006224C2" w:rsidRPr="00295E71" w:rsidP="00FE3C0F" w14:paraId="54D5FD58" w14:textId="77777777">
      <w:pPr>
        <w:numPr>
          <w:ilvl w:val="0"/>
          <w:numId w:val="14"/>
        </w:numPr>
        <w:tabs>
          <w:tab w:val="num" w:pos="540"/>
          <w:tab w:val="left" w:pos="567"/>
          <w:tab w:val="left" w:pos="993"/>
        </w:tabs>
        <w:ind w:left="567" w:hanging="567"/>
        <w:jc w:val="both"/>
        <w:rPr>
          <w:del w:id="17573" w:author="AbbVie14" w:date="2025-05-09T11:00:00Z"/>
          <w:sz w:val="22"/>
          <w:szCs w:val="22"/>
        </w:rPr>
      </w:pPr>
      <w:del w:id="17574" w:author="AbbVie14" w:date="2025-05-09T11:00:00Z">
        <w:r w:rsidRPr="00295E71">
          <w:rPr>
            <w:sz w:val="22"/>
            <w:szCs w:val="22"/>
          </w:rPr>
          <w:delText>disidratazione;</w:delText>
        </w:r>
      </w:del>
    </w:p>
    <w:p w:rsidR="006224C2" w:rsidRPr="00295E71" w:rsidP="00FE3C0F" w14:paraId="306502B2" w14:textId="77777777">
      <w:pPr>
        <w:numPr>
          <w:ilvl w:val="0"/>
          <w:numId w:val="14"/>
        </w:numPr>
        <w:tabs>
          <w:tab w:val="num" w:pos="540"/>
          <w:tab w:val="left" w:pos="567"/>
          <w:tab w:val="left" w:pos="993"/>
        </w:tabs>
        <w:ind w:left="567" w:hanging="567"/>
        <w:jc w:val="both"/>
        <w:rPr>
          <w:del w:id="17575" w:author="AbbVie14" w:date="2025-05-09T11:00:00Z"/>
          <w:sz w:val="22"/>
          <w:szCs w:val="22"/>
        </w:rPr>
      </w:pPr>
      <w:del w:id="17576" w:author="AbbVie14" w:date="2025-05-09T11:00:00Z">
        <w:r w:rsidRPr="00295E71">
          <w:rPr>
            <w:sz w:val="22"/>
            <w:szCs w:val="22"/>
          </w:rPr>
          <w:delText>cambiamenti d’umore (tra cui depressione);</w:delText>
        </w:r>
      </w:del>
    </w:p>
    <w:p w:rsidR="006224C2" w:rsidRPr="00295E71" w:rsidP="00FE3C0F" w14:paraId="2E252575" w14:textId="77777777">
      <w:pPr>
        <w:numPr>
          <w:ilvl w:val="0"/>
          <w:numId w:val="14"/>
        </w:numPr>
        <w:tabs>
          <w:tab w:val="num" w:pos="540"/>
          <w:tab w:val="left" w:pos="567"/>
          <w:tab w:val="left" w:pos="993"/>
        </w:tabs>
        <w:ind w:left="567" w:hanging="567"/>
        <w:jc w:val="both"/>
        <w:rPr>
          <w:del w:id="17577" w:author="AbbVie14" w:date="2025-05-09T11:00:00Z"/>
          <w:sz w:val="22"/>
          <w:szCs w:val="22"/>
        </w:rPr>
      </w:pPr>
      <w:del w:id="17578" w:author="AbbVie14" w:date="2025-05-09T11:00:00Z">
        <w:r w:rsidRPr="00295E71">
          <w:rPr>
            <w:sz w:val="22"/>
            <w:szCs w:val="22"/>
          </w:rPr>
          <w:delText>ansia;</w:delText>
        </w:r>
      </w:del>
    </w:p>
    <w:p w:rsidR="006224C2" w:rsidRPr="00295E71" w:rsidP="00FE3C0F" w14:paraId="621AB538" w14:textId="77777777">
      <w:pPr>
        <w:numPr>
          <w:ilvl w:val="0"/>
          <w:numId w:val="14"/>
        </w:numPr>
        <w:tabs>
          <w:tab w:val="num" w:pos="540"/>
          <w:tab w:val="left" w:pos="567"/>
          <w:tab w:val="left" w:pos="993"/>
        </w:tabs>
        <w:ind w:left="567" w:hanging="567"/>
        <w:jc w:val="both"/>
        <w:rPr>
          <w:del w:id="17579" w:author="AbbVie14" w:date="2025-05-09T11:00:00Z"/>
          <w:sz w:val="22"/>
          <w:szCs w:val="22"/>
        </w:rPr>
      </w:pPr>
      <w:del w:id="17580" w:author="AbbVie14" w:date="2025-05-09T11:00:00Z">
        <w:r w:rsidRPr="00295E71">
          <w:rPr>
            <w:sz w:val="22"/>
            <w:szCs w:val="22"/>
          </w:rPr>
          <w:delText>disturbi del sonno;</w:delText>
        </w:r>
      </w:del>
    </w:p>
    <w:p w:rsidR="006224C2" w:rsidRPr="00295E71" w:rsidP="00FE3C0F" w14:paraId="35A71CA1" w14:textId="77777777">
      <w:pPr>
        <w:numPr>
          <w:ilvl w:val="0"/>
          <w:numId w:val="14"/>
        </w:numPr>
        <w:tabs>
          <w:tab w:val="num" w:pos="540"/>
          <w:tab w:val="left" w:pos="567"/>
          <w:tab w:val="left" w:pos="993"/>
        </w:tabs>
        <w:ind w:left="567" w:hanging="567"/>
        <w:jc w:val="both"/>
        <w:rPr>
          <w:del w:id="17581" w:author="AbbVie14" w:date="2025-05-09T11:00:00Z"/>
          <w:sz w:val="22"/>
          <w:szCs w:val="22"/>
        </w:rPr>
      </w:pPr>
      <w:del w:id="17582" w:author="AbbVie14" w:date="2025-05-09T11:00:00Z">
        <w:r w:rsidRPr="00295E71">
          <w:rPr>
            <w:sz w:val="22"/>
            <w:szCs w:val="22"/>
          </w:rPr>
          <w:delText>disturbi della sensibilità come formicolii, sensazione di fitte o intorpidimento;</w:delText>
        </w:r>
      </w:del>
    </w:p>
    <w:p w:rsidR="006224C2" w:rsidRPr="00295E71" w:rsidP="00FE3C0F" w14:paraId="67022CEB" w14:textId="77777777">
      <w:pPr>
        <w:numPr>
          <w:ilvl w:val="0"/>
          <w:numId w:val="14"/>
        </w:numPr>
        <w:tabs>
          <w:tab w:val="num" w:pos="540"/>
          <w:tab w:val="left" w:pos="567"/>
          <w:tab w:val="left" w:pos="993"/>
        </w:tabs>
        <w:ind w:left="567" w:hanging="567"/>
        <w:jc w:val="both"/>
        <w:rPr>
          <w:del w:id="17583" w:author="AbbVie14" w:date="2025-05-09T11:00:00Z"/>
          <w:sz w:val="22"/>
          <w:szCs w:val="22"/>
        </w:rPr>
      </w:pPr>
      <w:del w:id="17584" w:author="AbbVie14" w:date="2025-05-09T11:00:00Z">
        <w:r w:rsidRPr="00295E71">
          <w:rPr>
            <w:sz w:val="22"/>
            <w:szCs w:val="22"/>
          </w:rPr>
          <w:delText>emicrania;</w:delText>
        </w:r>
      </w:del>
    </w:p>
    <w:p w:rsidR="006224C2" w:rsidRPr="00295E71" w:rsidP="00FE3C0F" w14:paraId="59822ACE" w14:textId="77777777">
      <w:pPr>
        <w:numPr>
          <w:ilvl w:val="0"/>
          <w:numId w:val="14"/>
        </w:numPr>
        <w:tabs>
          <w:tab w:val="num" w:pos="540"/>
          <w:tab w:val="left" w:pos="567"/>
          <w:tab w:val="left" w:pos="993"/>
        </w:tabs>
        <w:ind w:left="567" w:hanging="567"/>
        <w:jc w:val="both"/>
        <w:rPr>
          <w:del w:id="17585" w:author="AbbVie14" w:date="2025-05-09T11:00:00Z"/>
          <w:sz w:val="22"/>
          <w:szCs w:val="22"/>
        </w:rPr>
      </w:pPr>
      <w:del w:id="17586" w:author="AbbVie14" w:date="2025-05-09T11:00:00Z">
        <w:r w:rsidRPr="00295E71">
          <w:rPr>
            <w:sz w:val="22"/>
            <w:szCs w:val="22"/>
          </w:rPr>
          <w:delText>compressione di radice nervosa (tra cui dolore lombare e dolore alle gambe);</w:delText>
        </w:r>
      </w:del>
    </w:p>
    <w:p w:rsidR="006224C2" w:rsidRPr="00295E71" w:rsidP="00FE3C0F" w14:paraId="71B10F34" w14:textId="77777777">
      <w:pPr>
        <w:numPr>
          <w:ilvl w:val="0"/>
          <w:numId w:val="14"/>
        </w:numPr>
        <w:tabs>
          <w:tab w:val="num" w:pos="540"/>
          <w:tab w:val="left" w:pos="567"/>
          <w:tab w:val="left" w:pos="993"/>
        </w:tabs>
        <w:ind w:left="567" w:hanging="567"/>
        <w:jc w:val="both"/>
        <w:rPr>
          <w:del w:id="17587" w:author="AbbVie14" w:date="2025-05-09T11:00:00Z"/>
          <w:sz w:val="22"/>
          <w:szCs w:val="22"/>
        </w:rPr>
      </w:pPr>
      <w:del w:id="17588" w:author="AbbVie14" w:date="2025-05-09T11:00:00Z">
        <w:r w:rsidRPr="00295E71">
          <w:rPr>
            <w:sz w:val="22"/>
            <w:szCs w:val="22"/>
          </w:rPr>
          <w:delText>disturbi visivi;</w:delText>
        </w:r>
      </w:del>
    </w:p>
    <w:p w:rsidR="006224C2" w:rsidRPr="00295E71" w:rsidP="00FE3C0F" w14:paraId="30A12D16" w14:textId="77777777">
      <w:pPr>
        <w:numPr>
          <w:ilvl w:val="0"/>
          <w:numId w:val="14"/>
        </w:numPr>
        <w:tabs>
          <w:tab w:val="num" w:pos="540"/>
          <w:tab w:val="left" w:pos="567"/>
          <w:tab w:val="left" w:pos="993"/>
        </w:tabs>
        <w:ind w:left="567" w:hanging="567"/>
        <w:jc w:val="both"/>
        <w:rPr>
          <w:del w:id="17589" w:author="AbbVie14" w:date="2025-05-09T11:00:00Z"/>
          <w:sz w:val="22"/>
          <w:szCs w:val="22"/>
        </w:rPr>
      </w:pPr>
      <w:del w:id="17590" w:author="AbbVie14" w:date="2025-05-09T11:00:00Z">
        <w:r w:rsidRPr="00295E71">
          <w:rPr>
            <w:sz w:val="22"/>
            <w:szCs w:val="22"/>
          </w:rPr>
          <w:delText>infiammazione degli occhi;</w:delText>
        </w:r>
      </w:del>
    </w:p>
    <w:p w:rsidR="006224C2" w:rsidRPr="00295E71" w:rsidP="00FE3C0F" w14:paraId="324B6DC0" w14:textId="77777777">
      <w:pPr>
        <w:numPr>
          <w:ilvl w:val="0"/>
          <w:numId w:val="14"/>
        </w:numPr>
        <w:tabs>
          <w:tab w:val="num" w:pos="540"/>
          <w:tab w:val="left" w:pos="567"/>
          <w:tab w:val="left" w:pos="993"/>
        </w:tabs>
        <w:ind w:left="567" w:hanging="567"/>
        <w:jc w:val="both"/>
        <w:rPr>
          <w:del w:id="17591" w:author="AbbVie14" w:date="2025-05-09T11:00:00Z"/>
          <w:sz w:val="22"/>
          <w:szCs w:val="22"/>
        </w:rPr>
      </w:pPr>
      <w:del w:id="17592" w:author="AbbVie14" w:date="2025-05-09T11:00:00Z">
        <w:r w:rsidRPr="00295E71">
          <w:rPr>
            <w:sz w:val="22"/>
            <w:szCs w:val="22"/>
          </w:rPr>
          <w:delText>infiammazione delle palpebre e tumefazione degli occhi;</w:delText>
        </w:r>
      </w:del>
    </w:p>
    <w:p w:rsidR="006224C2" w:rsidRPr="00295E71" w:rsidP="00FE3C0F" w14:paraId="12BE208A" w14:textId="77777777">
      <w:pPr>
        <w:numPr>
          <w:ilvl w:val="0"/>
          <w:numId w:val="14"/>
        </w:numPr>
        <w:tabs>
          <w:tab w:val="num" w:pos="540"/>
          <w:tab w:val="left" w:pos="567"/>
          <w:tab w:val="left" w:pos="993"/>
        </w:tabs>
        <w:ind w:left="567" w:hanging="567"/>
        <w:jc w:val="both"/>
        <w:rPr>
          <w:del w:id="17593" w:author="AbbVie14" w:date="2025-05-09T11:00:00Z"/>
          <w:sz w:val="22"/>
          <w:szCs w:val="22"/>
        </w:rPr>
      </w:pPr>
      <w:del w:id="17594" w:author="AbbVie14" w:date="2025-05-09T11:00:00Z">
        <w:r w:rsidRPr="00295E71">
          <w:rPr>
            <w:sz w:val="22"/>
            <w:szCs w:val="22"/>
          </w:rPr>
          <w:delText>vertigini;</w:delText>
        </w:r>
      </w:del>
    </w:p>
    <w:p w:rsidR="006224C2" w:rsidRPr="00295E71" w:rsidP="00FE3C0F" w14:paraId="22F3140B" w14:textId="77777777">
      <w:pPr>
        <w:numPr>
          <w:ilvl w:val="0"/>
          <w:numId w:val="14"/>
        </w:numPr>
        <w:tabs>
          <w:tab w:val="num" w:pos="540"/>
          <w:tab w:val="left" w:pos="567"/>
          <w:tab w:val="left" w:pos="993"/>
        </w:tabs>
        <w:ind w:left="567" w:hanging="567"/>
        <w:jc w:val="both"/>
        <w:rPr>
          <w:del w:id="17595" w:author="AbbVie14" w:date="2025-05-09T11:00:00Z"/>
          <w:sz w:val="22"/>
          <w:szCs w:val="22"/>
        </w:rPr>
      </w:pPr>
      <w:del w:id="17596" w:author="AbbVie14" w:date="2025-05-09T11:00:00Z">
        <w:r w:rsidRPr="00295E71">
          <w:rPr>
            <w:sz w:val="22"/>
            <w:szCs w:val="22"/>
          </w:rPr>
          <w:delText>sensazione di battito cardiaco accelerato;</w:delText>
        </w:r>
      </w:del>
    </w:p>
    <w:p w:rsidR="006224C2" w:rsidRPr="00295E71" w:rsidP="00FE3C0F" w14:paraId="6254AF87" w14:textId="77777777">
      <w:pPr>
        <w:numPr>
          <w:ilvl w:val="0"/>
          <w:numId w:val="14"/>
        </w:numPr>
        <w:tabs>
          <w:tab w:val="num" w:pos="540"/>
          <w:tab w:val="left" w:pos="567"/>
          <w:tab w:val="left" w:pos="993"/>
        </w:tabs>
        <w:ind w:left="567" w:hanging="567"/>
        <w:jc w:val="both"/>
        <w:rPr>
          <w:del w:id="17597" w:author="AbbVie14" w:date="2025-05-09T11:00:00Z"/>
          <w:sz w:val="22"/>
          <w:szCs w:val="22"/>
        </w:rPr>
      </w:pPr>
      <w:del w:id="17598" w:author="AbbVie14" w:date="2025-05-09T11:00:00Z">
        <w:r w:rsidRPr="00295E71">
          <w:rPr>
            <w:sz w:val="22"/>
            <w:szCs w:val="22"/>
          </w:rPr>
          <w:delText>pressione del sangue elevata</w:delText>
        </w:r>
      </w:del>
      <w:del w:id="17599" w:author="AbbVie14" w:date="2025-05-09T11:00:00Z">
        <w:r w:rsidRPr="00295E71" w:rsidR="00226BC4">
          <w:rPr>
            <w:sz w:val="22"/>
            <w:szCs w:val="22"/>
          </w:rPr>
          <w:delText>;</w:delText>
        </w:r>
      </w:del>
    </w:p>
    <w:p w:rsidR="006224C2" w:rsidRPr="00295E71" w:rsidP="00FE3C0F" w14:paraId="65DEBD76" w14:textId="77777777">
      <w:pPr>
        <w:numPr>
          <w:ilvl w:val="0"/>
          <w:numId w:val="14"/>
        </w:numPr>
        <w:tabs>
          <w:tab w:val="num" w:pos="540"/>
          <w:tab w:val="left" w:pos="567"/>
          <w:tab w:val="left" w:pos="993"/>
        </w:tabs>
        <w:ind w:left="567" w:hanging="567"/>
        <w:jc w:val="both"/>
        <w:rPr>
          <w:del w:id="17600" w:author="AbbVie14" w:date="2025-05-09T11:00:00Z"/>
          <w:sz w:val="22"/>
          <w:szCs w:val="22"/>
        </w:rPr>
      </w:pPr>
      <w:del w:id="17601" w:author="AbbVie14" w:date="2025-05-09T11:00:00Z">
        <w:r w:rsidRPr="00295E71">
          <w:rPr>
            <w:sz w:val="22"/>
            <w:szCs w:val="22"/>
          </w:rPr>
          <w:delText>vampate;</w:delText>
        </w:r>
      </w:del>
    </w:p>
    <w:p w:rsidR="006224C2" w:rsidRPr="00295E71" w:rsidP="00FE3C0F" w14:paraId="2D173587" w14:textId="77777777">
      <w:pPr>
        <w:numPr>
          <w:ilvl w:val="0"/>
          <w:numId w:val="14"/>
        </w:numPr>
        <w:tabs>
          <w:tab w:val="num" w:pos="540"/>
          <w:tab w:val="left" w:pos="567"/>
          <w:tab w:val="left" w:pos="993"/>
        </w:tabs>
        <w:ind w:left="567" w:hanging="567"/>
        <w:jc w:val="both"/>
        <w:rPr>
          <w:del w:id="17602" w:author="AbbVie14" w:date="2025-05-09T11:00:00Z"/>
          <w:sz w:val="22"/>
          <w:szCs w:val="22"/>
        </w:rPr>
      </w:pPr>
      <w:del w:id="17603" w:author="AbbVie14" w:date="2025-05-09T11:00:00Z">
        <w:r w:rsidRPr="00295E71">
          <w:rPr>
            <w:sz w:val="22"/>
            <w:szCs w:val="22"/>
          </w:rPr>
          <w:delText>ematoma;</w:delText>
        </w:r>
      </w:del>
    </w:p>
    <w:p w:rsidR="006224C2" w:rsidRPr="00295E71" w:rsidP="00FE3C0F" w14:paraId="6E6D57D4" w14:textId="77777777">
      <w:pPr>
        <w:numPr>
          <w:ilvl w:val="0"/>
          <w:numId w:val="14"/>
        </w:numPr>
        <w:tabs>
          <w:tab w:val="num" w:pos="540"/>
          <w:tab w:val="left" w:pos="567"/>
          <w:tab w:val="left" w:pos="993"/>
        </w:tabs>
        <w:ind w:left="567" w:hanging="567"/>
        <w:jc w:val="both"/>
        <w:rPr>
          <w:del w:id="17604" w:author="AbbVie14" w:date="2025-05-09T11:00:00Z"/>
          <w:sz w:val="22"/>
          <w:szCs w:val="22"/>
        </w:rPr>
      </w:pPr>
      <w:del w:id="17605" w:author="AbbVie14" w:date="2025-05-09T11:00:00Z">
        <w:r w:rsidRPr="00295E71">
          <w:rPr>
            <w:sz w:val="22"/>
            <w:szCs w:val="22"/>
          </w:rPr>
          <w:delText>tosse;</w:delText>
        </w:r>
      </w:del>
    </w:p>
    <w:p w:rsidR="006224C2" w:rsidRPr="00295E71" w:rsidP="00FE3C0F" w14:paraId="73CF4D68" w14:textId="77777777">
      <w:pPr>
        <w:numPr>
          <w:ilvl w:val="0"/>
          <w:numId w:val="14"/>
        </w:numPr>
        <w:tabs>
          <w:tab w:val="num" w:pos="540"/>
          <w:tab w:val="left" w:pos="567"/>
          <w:tab w:val="left" w:pos="993"/>
        </w:tabs>
        <w:ind w:left="567" w:hanging="567"/>
        <w:jc w:val="both"/>
        <w:rPr>
          <w:del w:id="17606" w:author="AbbVie14" w:date="2025-05-09T11:00:00Z"/>
          <w:sz w:val="22"/>
          <w:szCs w:val="22"/>
        </w:rPr>
      </w:pPr>
      <w:del w:id="17607" w:author="AbbVie14" w:date="2025-05-09T11:00:00Z">
        <w:r w:rsidRPr="00295E71">
          <w:rPr>
            <w:sz w:val="22"/>
            <w:szCs w:val="22"/>
          </w:rPr>
          <w:delText>asma;</w:delText>
        </w:r>
      </w:del>
    </w:p>
    <w:p w:rsidR="006224C2" w:rsidRPr="00295E71" w:rsidP="00FE3C0F" w14:paraId="72D99679" w14:textId="77777777">
      <w:pPr>
        <w:numPr>
          <w:ilvl w:val="0"/>
          <w:numId w:val="14"/>
        </w:numPr>
        <w:tabs>
          <w:tab w:val="num" w:pos="540"/>
          <w:tab w:val="left" w:pos="567"/>
          <w:tab w:val="left" w:pos="993"/>
        </w:tabs>
        <w:ind w:left="567" w:hanging="567"/>
        <w:jc w:val="both"/>
        <w:rPr>
          <w:del w:id="17608" w:author="AbbVie14" w:date="2025-05-09T11:00:00Z"/>
          <w:sz w:val="22"/>
          <w:szCs w:val="22"/>
        </w:rPr>
      </w:pPr>
      <w:del w:id="17609" w:author="AbbVie14" w:date="2025-05-09T11:00:00Z">
        <w:r w:rsidRPr="00295E71">
          <w:rPr>
            <w:sz w:val="22"/>
            <w:szCs w:val="22"/>
          </w:rPr>
          <w:delText>fiato corto;</w:delText>
        </w:r>
      </w:del>
    </w:p>
    <w:p w:rsidR="006224C2" w:rsidRPr="00295E71" w:rsidP="00FE3C0F" w14:paraId="206E9E5D" w14:textId="77777777">
      <w:pPr>
        <w:numPr>
          <w:ilvl w:val="0"/>
          <w:numId w:val="14"/>
        </w:numPr>
        <w:tabs>
          <w:tab w:val="num" w:pos="540"/>
          <w:tab w:val="left" w:pos="567"/>
          <w:tab w:val="left" w:pos="993"/>
        </w:tabs>
        <w:ind w:left="567" w:hanging="567"/>
        <w:jc w:val="both"/>
        <w:rPr>
          <w:del w:id="17610" w:author="AbbVie14" w:date="2025-05-09T11:00:00Z"/>
          <w:sz w:val="22"/>
          <w:szCs w:val="22"/>
        </w:rPr>
      </w:pPr>
      <w:del w:id="17611" w:author="AbbVie14" w:date="2025-05-09T11:00:00Z">
        <w:r w:rsidRPr="00295E71">
          <w:rPr>
            <w:sz w:val="22"/>
            <w:szCs w:val="22"/>
          </w:rPr>
          <w:delText>sanguinamento gastrointestinale;</w:delText>
        </w:r>
      </w:del>
    </w:p>
    <w:p w:rsidR="006224C2" w:rsidRPr="00295E71" w:rsidP="00FE3C0F" w14:paraId="4EBE19BF" w14:textId="77777777">
      <w:pPr>
        <w:numPr>
          <w:ilvl w:val="0"/>
          <w:numId w:val="14"/>
        </w:numPr>
        <w:tabs>
          <w:tab w:val="num" w:pos="540"/>
          <w:tab w:val="left" w:pos="567"/>
          <w:tab w:val="left" w:pos="993"/>
        </w:tabs>
        <w:ind w:left="567" w:hanging="567"/>
        <w:jc w:val="both"/>
        <w:rPr>
          <w:del w:id="17612" w:author="AbbVie14" w:date="2025-05-09T11:00:00Z"/>
          <w:sz w:val="22"/>
          <w:szCs w:val="22"/>
        </w:rPr>
      </w:pPr>
      <w:del w:id="17613" w:author="AbbVie14" w:date="2025-05-09T11:00:00Z">
        <w:r w:rsidRPr="00295E71">
          <w:rPr>
            <w:sz w:val="22"/>
            <w:szCs w:val="22"/>
          </w:rPr>
          <w:delText>dispepsia (indigestione, gonfiore, bruciore di stomaco);</w:delText>
        </w:r>
      </w:del>
    </w:p>
    <w:p w:rsidR="006224C2" w:rsidRPr="00295E71" w:rsidP="00FE3C0F" w14:paraId="6DEE848F" w14:textId="77777777">
      <w:pPr>
        <w:numPr>
          <w:ilvl w:val="0"/>
          <w:numId w:val="14"/>
        </w:numPr>
        <w:tabs>
          <w:tab w:val="num" w:pos="540"/>
          <w:tab w:val="left" w:pos="567"/>
          <w:tab w:val="left" w:pos="993"/>
        </w:tabs>
        <w:ind w:left="567" w:hanging="567"/>
        <w:jc w:val="both"/>
        <w:rPr>
          <w:del w:id="17614" w:author="AbbVie14" w:date="2025-05-09T11:00:00Z"/>
          <w:sz w:val="22"/>
          <w:szCs w:val="22"/>
        </w:rPr>
      </w:pPr>
      <w:del w:id="17615" w:author="AbbVie14" w:date="2025-05-09T11:00:00Z">
        <w:r w:rsidRPr="00295E71">
          <w:rPr>
            <w:sz w:val="22"/>
            <w:szCs w:val="22"/>
          </w:rPr>
          <w:delText>disturbo da reflusso acido;</w:delText>
        </w:r>
      </w:del>
    </w:p>
    <w:p w:rsidR="006224C2" w:rsidRPr="00295E71" w:rsidP="00FE3C0F" w14:paraId="7260496C" w14:textId="77777777">
      <w:pPr>
        <w:numPr>
          <w:ilvl w:val="0"/>
          <w:numId w:val="14"/>
        </w:numPr>
        <w:tabs>
          <w:tab w:val="num" w:pos="540"/>
          <w:tab w:val="left" w:pos="567"/>
          <w:tab w:val="left" w:pos="993"/>
        </w:tabs>
        <w:ind w:left="567" w:hanging="567"/>
        <w:jc w:val="both"/>
        <w:rPr>
          <w:del w:id="17616" w:author="AbbVie14" w:date="2025-05-09T11:00:00Z"/>
          <w:sz w:val="22"/>
          <w:szCs w:val="22"/>
        </w:rPr>
      </w:pPr>
      <w:del w:id="17617" w:author="AbbVie14" w:date="2025-05-09T11:00:00Z">
        <w:r w:rsidRPr="00295E71">
          <w:rPr>
            <w:sz w:val="22"/>
            <w:szCs w:val="22"/>
          </w:rPr>
          <w:delText>sindrome sicca (tra cui secchezza degli occhi e delle fauci);</w:delText>
        </w:r>
      </w:del>
    </w:p>
    <w:p w:rsidR="006224C2" w:rsidRPr="00295E71" w:rsidP="00FE3C0F" w14:paraId="72EDAE97" w14:textId="77777777">
      <w:pPr>
        <w:numPr>
          <w:ilvl w:val="0"/>
          <w:numId w:val="14"/>
        </w:numPr>
        <w:tabs>
          <w:tab w:val="num" w:pos="540"/>
          <w:tab w:val="left" w:pos="567"/>
          <w:tab w:val="left" w:pos="993"/>
        </w:tabs>
        <w:ind w:left="567" w:hanging="567"/>
        <w:jc w:val="both"/>
        <w:rPr>
          <w:del w:id="17618" w:author="AbbVie14" w:date="2025-05-09T11:00:00Z"/>
          <w:sz w:val="22"/>
          <w:szCs w:val="22"/>
        </w:rPr>
      </w:pPr>
      <w:del w:id="17619" w:author="AbbVie14" w:date="2025-05-09T11:00:00Z">
        <w:r w:rsidRPr="00295E71">
          <w:rPr>
            <w:sz w:val="22"/>
            <w:szCs w:val="22"/>
          </w:rPr>
          <w:delText>prurito;</w:delText>
        </w:r>
      </w:del>
    </w:p>
    <w:p w:rsidR="006224C2" w:rsidRPr="00295E71" w:rsidP="00FE3C0F" w14:paraId="234FC886" w14:textId="77777777">
      <w:pPr>
        <w:numPr>
          <w:ilvl w:val="0"/>
          <w:numId w:val="14"/>
        </w:numPr>
        <w:tabs>
          <w:tab w:val="num" w:pos="540"/>
          <w:tab w:val="left" w:pos="567"/>
          <w:tab w:val="left" w:pos="993"/>
        </w:tabs>
        <w:ind w:left="567" w:hanging="567"/>
        <w:jc w:val="both"/>
        <w:rPr>
          <w:del w:id="17620" w:author="AbbVie14" w:date="2025-05-09T11:00:00Z"/>
          <w:sz w:val="22"/>
          <w:szCs w:val="22"/>
        </w:rPr>
      </w:pPr>
      <w:del w:id="17621" w:author="AbbVie14" w:date="2025-05-09T11:00:00Z">
        <w:r w:rsidRPr="00295E71">
          <w:rPr>
            <w:sz w:val="22"/>
            <w:szCs w:val="22"/>
          </w:rPr>
          <w:delText>eruzione cutanea pruriginosa;</w:delText>
        </w:r>
      </w:del>
    </w:p>
    <w:p w:rsidR="006224C2" w:rsidRPr="00295E71" w:rsidP="00FE3C0F" w14:paraId="46CC8549" w14:textId="77777777">
      <w:pPr>
        <w:numPr>
          <w:ilvl w:val="0"/>
          <w:numId w:val="14"/>
        </w:numPr>
        <w:tabs>
          <w:tab w:val="num" w:pos="540"/>
          <w:tab w:val="left" w:pos="567"/>
          <w:tab w:val="left" w:pos="993"/>
        </w:tabs>
        <w:ind w:left="567" w:hanging="567"/>
        <w:jc w:val="both"/>
        <w:rPr>
          <w:del w:id="17622" w:author="AbbVie14" w:date="2025-05-09T11:00:00Z"/>
          <w:sz w:val="22"/>
          <w:szCs w:val="22"/>
        </w:rPr>
      </w:pPr>
      <w:del w:id="17623" w:author="AbbVie14" w:date="2025-05-09T11:00:00Z">
        <w:r w:rsidRPr="00295E71">
          <w:rPr>
            <w:sz w:val="22"/>
            <w:szCs w:val="22"/>
          </w:rPr>
          <w:delText>contusione;</w:delText>
        </w:r>
      </w:del>
    </w:p>
    <w:p w:rsidR="006224C2" w:rsidRPr="00295E71" w:rsidP="00FE3C0F" w14:paraId="2F221BBC" w14:textId="77777777">
      <w:pPr>
        <w:numPr>
          <w:ilvl w:val="0"/>
          <w:numId w:val="14"/>
        </w:numPr>
        <w:tabs>
          <w:tab w:val="num" w:pos="540"/>
          <w:tab w:val="left" w:pos="567"/>
          <w:tab w:val="left" w:pos="993"/>
        </w:tabs>
        <w:ind w:left="567" w:hanging="567"/>
        <w:jc w:val="both"/>
        <w:rPr>
          <w:del w:id="17624" w:author="AbbVie14" w:date="2025-05-09T11:00:00Z"/>
          <w:sz w:val="22"/>
          <w:szCs w:val="22"/>
        </w:rPr>
      </w:pPr>
      <w:del w:id="17625" w:author="AbbVie14" w:date="2025-05-09T11:00:00Z">
        <w:r w:rsidRPr="00295E71">
          <w:rPr>
            <w:sz w:val="22"/>
            <w:szCs w:val="22"/>
          </w:rPr>
          <w:delText>infiammazione della pelle (come eczema);</w:delText>
        </w:r>
      </w:del>
    </w:p>
    <w:p w:rsidR="006224C2" w:rsidRPr="00295E71" w:rsidP="00FE3C0F" w14:paraId="4A8EC972" w14:textId="77777777">
      <w:pPr>
        <w:numPr>
          <w:ilvl w:val="0"/>
          <w:numId w:val="14"/>
        </w:numPr>
        <w:tabs>
          <w:tab w:val="num" w:pos="540"/>
          <w:tab w:val="left" w:pos="567"/>
          <w:tab w:val="left" w:pos="993"/>
        </w:tabs>
        <w:ind w:left="567" w:hanging="567"/>
        <w:jc w:val="both"/>
        <w:rPr>
          <w:del w:id="17626" w:author="AbbVie14" w:date="2025-05-09T11:00:00Z"/>
          <w:sz w:val="22"/>
          <w:szCs w:val="22"/>
        </w:rPr>
      </w:pPr>
      <w:del w:id="17627" w:author="AbbVie14" w:date="2025-05-09T11:00:00Z">
        <w:r w:rsidRPr="00295E71">
          <w:rPr>
            <w:sz w:val="22"/>
            <w:szCs w:val="22"/>
          </w:rPr>
          <w:delText>rottura delle unghie delle dita della mano e del piede;</w:delText>
        </w:r>
      </w:del>
    </w:p>
    <w:p w:rsidR="006224C2" w:rsidRPr="00295E71" w:rsidP="00FE3C0F" w14:paraId="62D3058F" w14:textId="77777777">
      <w:pPr>
        <w:numPr>
          <w:ilvl w:val="0"/>
          <w:numId w:val="14"/>
        </w:numPr>
        <w:tabs>
          <w:tab w:val="num" w:pos="540"/>
          <w:tab w:val="left" w:pos="567"/>
          <w:tab w:val="left" w:pos="993"/>
        </w:tabs>
        <w:ind w:left="567" w:hanging="567"/>
        <w:jc w:val="both"/>
        <w:rPr>
          <w:del w:id="17628" w:author="AbbVie14" w:date="2025-05-09T11:00:00Z"/>
          <w:sz w:val="22"/>
          <w:szCs w:val="22"/>
        </w:rPr>
      </w:pPr>
      <w:del w:id="17629" w:author="AbbVie14" w:date="2025-05-09T11:00:00Z">
        <w:r w:rsidRPr="00295E71">
          <w:rPr>
            <w:sz w:val="22"/>
            <w:szCs w:val="22"/>
          </w:rPr>
          <w:delText>aumento della sudorazione;</w:delText>
        </w:r>
      </w:del>
    </w:p>
    <w:p w:rsidR="006224C2" w:rsidRPr="00295E71" w:rsidP="00FE3C0F" w14:paraId="54893569" w14:textId="77777777">
      <w:pPr>
        <w:numPr>
          <w:ilvl w:val="0"/>
          <w:numId w:val="14"/>
        </w:numPr>
        <w:tabs>
          <w:tab w:val="num" w:pos="540"/>
          <w:tab w:val="left" w:pos="567"/>
          <w:tab w:val="left" w:pos="993"/>
        </w:tabs>
        <w:ind w:left="567" w:hanging="567"/>
        <w:jc w:val="both"/>
        <w:rPr>
          <w:del w:id="17630" w:author="AbbVie14" w:date="2025-05-09T11:00:00Z"/>
          <w:sz w:val="22"/>
          <w:szCs w:val="22"/>
        </w:rPr>
      </w:pPr>
      <w:del w:id="17631" w:author="AbbVie14" w:date="2025-05-09T11:00:00Z">
        <w:r w:rsidRPr="00295E71">
          <w:rPr>
            <w:sz w:val="22"/>
            <w:szCs w:val="22"/>
          </w:rPr>
          <w:delText>perdita di capelli;</w:delText>
        </w:r>
      </w:del>
    </w:p>
    <w:p w:rsidR="006224C2" w:rsidRPr="00295E71" w:rsidP="00FE3C0F" w14:paraId="2ED2DDA7" w14:textId="77777777">
      <w:pPr>
        <w:numPr>
          <w:ilvl w:val="0"/>
          <w:numId w:val="14"/>
        </w:numPr>
        <w:tabs>
          <w:tab w:val="num" w:pos="540"/>
          <w:tab w:val="left" w:pos="567"/>
          <w:tab w:val="left" w:pos="993"/>
        </w:tabs>
        <w:ind w:left="567" w:hanging="567"/>
        <w:jc w:val="both"/>
        <w:rPr>
          <w:del w:id="17632" w:author="AbbVie14" w:date="2025-05-09T11:00:00Z"/>
          <w:sz w:val="22"/>
          <w:szCs w:val="22"/>
        </w:rPr>
      </w:pPr>
      <w:del w:id="17633" w:author="AbbVie14" w:date="2025-05-09T11:00:00Z">
        <w:r w:rsidRPr="00295E71">
          <w:rPr>
            <w:sz w:val="22"/>
            <w:szCs w:val="22"/>
          </w:rPr>
          <w:delText>insorgenza o peggioramento della psoriasi;</w:delText>
        </w:r>
      </w:del>
    </w:p>
    <w:p w:rsidR="006224C2" w:rsidRPr="00295E71" w:rsidP="00FE3C0F" w14:paraId="6A8E27B5" w14:textId="77777777">
      <w:pPr>
        <w:numPr>
          <w:ilvl w:val="0"/>
          <w:numId w:val="14"/>
        </w:numPr>
        <w:tabs>
          <w:tab w:val="num" w:pos="540"/>
          <w:tab w:val="left" w:pos="567"/>
          <w:tab w:val="left" w:pos="993"/>
        </w:tabs>
        <w:ind w:left="567" w:hanging="567"/>
        <w:jc w:val="both"/>
        <w:rPr>
          <w:del w:id="17634" w:author="AbbVie14" w:date="2025-05-09T11:00:00Z"/>
          <w:sz w:val="22"/>
          <w:szCs w:val="22"/>
        </w:rPr>
      </w:pPr>
      <w:del w:id="17635" w:author="AbbVie14" w:date="2025-05-09T11:00:00Z">
        <w:r w:rsidRPr="00295E71">
          <w:rPr>
            <w:sz w:val="22"/>
            <w:szCs w:val="22"/>
          </w:rPr>
          <w:delText>spasmi muscolari;</w:delText>
        </w:r>
      </w:del>
    </w:p>
    <w:p w:rsidR="006224C2" w:rsidRPr="00295E71" w:rsidP="00FE3C0F" w14:paraId="6A963500" w14:textId="77777777">
      <w:pPr>
        <w:numPr>
          <w:ilvl w:val="0"/>
          <w:numId w:val="14"/>
        </w:numPr>
        <w:tabs>
          <w:tab w:val="num" w:pos="540"/>
          <w:tab w:val="left" w:pos="567"/>
          <w:tab w:val="left" w:pos="993"/>
        </w:tabs>
        <w:ind w:left="567" w:hanging="567"/>
        <w:jc w:val="both"/>
        <w:rPr>
          <w:del w:id="17636" w:author="AbbVie14" w:date="2025-05-09T11:00:00Z"/>
          <w:sz w:val="22"/>
          <w:szCs w:val="22"/>
        </w:rPr>
      </w:pPr>
      <w:del w:id="17637" w:author="AbbVie14" w:date="2025-05-09T11:00:00Z">
        <w:r w:rsidRPr="00295E71">
          <w:rPr>
            <w:sz w:val="22"/>
            <w:szCs w:val="22"/>
          </w:rPr>
          <w:delText>sangue nelle urine;</w:delText>
        </w:r>
      </w:del>
    </w:p>
    <w:p w:rsidR="006224C2" w:rsidRPr="00295E71" w:rsidP="00FE3C0F" w14:paraId="1F7C3092" w14:textId="77777777">
      <w:pPr>
        <w:numPr>
          <w:ilvl w:val="0"/>
          <w:numId w:val="14"/>
        </w:numPr>
        <w:tabs>
          <w:tab w:val="num" w:pos="540"/>
          <w:tab w:val="left" w:pos="567"/>
          <w:tab w:val="left" w:pos="993"/>
        </w:tabs>
        <w:ind w:left="567" w:hanging="567"/>
        <w:jc w:val="both"/>
        <w:rPr>
          <w:del w:id="17638" w:author="AbbVie14" w:date="2025-05-09T11:00:00Z"/>
          <w:sz w:val="22"/>
          <w:szCs w:val="22"/>
        </w:rPr>
      </w:pPr>
      <w:del w:id="17639" w:author="AbbVie14" w:date="2025-05-09T11:00:00Z">
        <w:r w:rsidRPr="00295E71">
          <w:rPr>
            <w:sz w:val="22"/>
            <w:szCs w:val="22"/>
          </w:rPr>
          <w:delText>problemi renali;</w:delText>
        </w:r>
      </w:del>
    </w:p>
    <w:p w:rsidR="006224C2" w:rsidRPr="00295E71" w:rsidP="00FE3C0F" w14:paraId="7A601645" w14:textId="77777777">
      <w:pPr>
        <w:numPr>
          <w:ilvl w:val="0"/>
          <w:numId w:val="14"/>
        </w:numPr>
        <w:tabs>
          <w:tab w:val="num" w:pos="540"/>
          <w:tab w:val="left" w:pos="567"/>
          <w:tab w:val="left" w:pos="993"/>
        </w:tabs>
        <w:ind w:left="567" w:hanging="567"/>
        <w:jc w:val="both"/>
        <w:rPr>
          <w:del w:id="17640" w:author="AbbVie14" w:date="2025-05-09T11:00:00Z"/>
          <w:sz w:val="22"/>
          <w:szCs w:val="22"/>
        </w:rPr>
      </w:pPr>
      <w:del w:id="17641" w:author="AbbVie14" w:date="2025-05-09T11:00:00Z">
        <w:r w:rsidRPr="00295E71">
          <w:rPr>
            <w:sz w:val="22"/>
            <w:szCs w:val="22"/>
          </w:rPr>
          <w:delText>dolore toracico;</w:delText>
        </w:r>
      </w:del>
    </w:p>
    <w:p w:rsidR="006224C2" w:rsidRPr="00295E71" w:rsidP="00FE3C0F" w14:paraId="53434EF9" w14:textId="77777777">
      <w:pPr>
        <w:numPr>
          <w:ilvl w:val="0"/>
          <w:numId w:val="14"/>
        </w:numPr>
        <w:tabs>
          <w:tab w:val="num" w:pos="540"/>
          <w:tab w:val="left" w:pos="567"/>
          <w:tab w:val="left" w:pos="993"/>
        </w:tabs>
        <w:ind w:left="567" w:hanging="567"/>
        <w:jc w:val="both"/>
        <w:rPr>
          <w:del w:id="17642" w:author="AbbVie14" w:date="2025-05-09T11:00:00Z"/>
          <w:sz w:val="22"/>
          <w:szCs w:val="22"/>
        </w:rPr>
      </w:pPr>
      <w:del w:id="17643" w:author="AbbVie14" w:date="2025-05-09T11:00:00Z">
        <w:r w:rsidRPr="00295E71">
          <w:rPr>
            <w:sz w:val="22"/>
            <w:szCs w:val="22"/>
          </w:rPr>
          <w:delText>edema;</w:delText>
        </w:r>
      </w:del>
    </w:p>
    <w:p w:rsidR="006224C2" w:rsidRPr="00295E71" w:rsidP="00FE3C0F" w14:paraId="583994AD" w14:textId="77777777">
      <w:pPr>
        <w:numPr>
          <w:ilvl w:val="0"/>
          <w:numId w:val="14"/>
        </w:numPr>
        <w:tabs>
          <w:tab w:val="num" w:pos="540"/>
          <w:tab w:val="left" w:pos="567"/>
          <w:tab w:val="left" w:pos="993"/>
        </w:tabs>
        <w:ind w:left="567" w:hanging="567"/>
        <w:jc w:val="both"/>
        <w:rPr>
          <w:del w:id="17644" w:author="AbbVie14" w:date="2025-05-09T11:00:00Z"/>
          <w:sz w:val="22"/>
          <w:szCs w:val="22"/>
        </w:rPr>
      </w:pPr>
      <w:del w:id="17645" w:author="AbbVie14" w:date="2025-05-09T11:00:00Z">
        <w:r w:rsidRPr="00295E71">
          <w:rPr>
            <w:sz w:val="22"/>
            <w:szCs w:val="22"/>
          </w:rPr>
          <w:delText>febbre;</w:delText>
        </w:r>
      </w:del>
    </w:p>
    <w:p w:rsidR="006224C2" w:rsidRPr="00295E71" w:rsidP="00FE3C0F" w14:paraId="3409921B" w14:textId="77777777">
      <w:pPr>
        <w:numPr>
          <w:ilvl w:val="0"/>
          <w:numId w:val="14"/>
        </w:numPr>
        <w:tabs>
          <w:tab w:val="num" w:pos="540"/>
          <w:tab w:val="left" w:pos="567"/>
          <w:tab w:val="left" w:pos="993"/>
        </w:tabs>
        <w:ind w:left="567" w:hanging="567"/>
        <w:jc w:val="both"/>
        <w:rPr>
          <w:del w:id="17646" w:author="AbbVie14" w:date="2025-05-09T11:00:00Z"/>
          <w:sz w:val="22"/>
          <w:szCs w:val="22"/>
        </w:rPr>
      </w:pPr>
      <w:del w:id="17647" w:author="AbbVie14" w:date="2025-05-09T11:00:00Z">
        <w:r w:rsidRPr="00295E71">
          <w:rPr>
            <w:sz w:val="22"/>
            <w:szCs w:val="22"/>
          </w:rPr>
          <w:delText>riduzione delle piastrine nel sangue che aumenta il rischio di emorragia o di contusioni;</w:delText>
        </w:r>
      </w:del>
    </w:p>
    <w:p w:rsidR="006224C2" w:rsidRPr="00295E71" w:rsidP="00FE3C0F" w14:paraId="6E36E6CE" w14:textId="77777777">
      <w:pPr>
        <w:numPr>
          <w:ilvl w:val="0"/>
          <w:numId w:val="14"/>
        </w:numPr>
        <w:tabs>
          <w:tab w:val="num" w:pos="540"/>
          <w:tab w:val="left" w:pos="567"/>
          <w:tab w:val="left" w:pos="993"/>
        </w:tabs>
        <w:ind w:left="567" w:hanging="567"/>
        <w:jc w:val="both"/>
        <w:rPr>
          <w:del w:id="17648" w:author="AbbVie14" w:date="2025-05-09T11:00:00Z"/>
          <w:sz w:val="22"/>
          <w:szCs w:val="22"/>
        </w:rPr>
      </w:pPr>
      <w:del w:id="17649" w:author="AbbVie14" w:date="2025-05-09T11:00:00Z">
        <w:r w:rsidRPr="00295E71">
          <w:rPr>
            <w:sz w:val="22"/>
            <w:szCs w:val="22"/>
          </w:rPr>
          <w:delText>difficoltà di cicatrizzazione.</w:delText>
        </w:r>
      </w:del>
    </w:p>
    <w:p w:rsidR="006224C2" w:rsidRPr="00295E71" w:rsidP="00FE3C0F" w14:paraId="4B41543D" w14:textId="77777777">
      <w:pPr>
        <w:pStyle w:val="EndnoteText"/>
        <w:jc w:val="both"/>
        <w:rPr>
          <w:del w:id="17650" w:author="AbbVie14" w:date="2025-05-09T11:00:00Z"/>
          <w:lang w:val="it-IT" w:eastAsia="it-IT"/>
        </w:rPr>
      </w:pPr>
    </w:p>
    <w:p w:rsidR="006224C2" w:rsidRPr="00295E71" w:rsidP="00FE3C0F" w14:paraId="2449751D" w14:textId="77777777">
      <w:pPr>
        <w:rPr>
          <w:del w:id="17651" w:author="AbbVie14" w:date="2025-05-09T11:00:00Z"/>
          <w:sz w:val="22"/>
          <w:szCs w:val="22"/>
        </w:rPr>
      </w:pPr>
      <w:del w:id="17652" w:author="AbbVie14" w:date="2025-05-09T11:00:00Z">
        <w:r w:rsidRPr="00295E71">
          <w:rPr>
            <w:sz w:val="22"/>
            <w:szCs w:val="22"/>
          </w:rPr>
          <w:delText>Non comuni (possono manifestarsi fino a 1 persona su 100)</w:delText>
        </w:r>
      </w:del>
    </w:p>
    <w:p w:rsidR="006224C2" w:rsidRPr="00295E71" w:rsidP="00FE3C0F" w14:paraId="311EA1EB" w14:textId="77777777">
      <w:pPr>
        <w:tabs>
          <w:tab w:val="left" w:pos="567"/>
        </w:tabs>
        <w:jc w:val="both"/>
        <w:rPr>
          <w:del w:id="17653" w:author="AbbVie14" w:date="2025-05-09T11:00:00Z"/>
          <w:sz w:val="22"/>
          <w:szCs w:val="22"/>
        </w:rPr>
      </w:pPr>
    </w:p>
    <w:p w:rsidR="006224C2" w:rsidRPr="00295E71" w:rsidP="00FE3C0F" w14:paraId="7F3679AD" w14:textId="77777777">
      <w:pPr>
        <w:numPr>
          <w:ilvl w:val="0"/>
          <w:numId w:val="14"/>
        </w:numPr>
        <w:tabs>
          <w:tab w:val="num" w:pos="540"/>
          <w:tab w:val="left" w:pos="567"/>
          <w:tab w:val="left" w:pos="993"/>
        </w:tabs>
        <w:ind w:left="567" w:hanging="567"/>
        <w:jc w:val="both"/>
        <w:rPr>
          <w:del w:id="17654" w:author="AbbVie14" w:date="2025-05-09T11:00:00Z"/>
          <w:sz w:val="22"/>
          <w:szCs w:val="22"/>
        </w:rPr>
      </w:pPr>
      <w:del w:id="17655" w:author="AbbVie14" w:date="2025-05-09T11:00:00Z">
        <w:r w:rsidRPr="00295E71">
          <w:rPr>
            <w:sz w:val="22"/>
            <w:szCs w:val="22"/>
          </w:rPr>
          <w:delText>infezioni opportunistiche (che includono la tubercolosi ed altre infezioni che si verificano quando si riducono le difese immunitarie);</w:delText>
        </w:r>
      </w:del>
    </w:p>
    <w:p w:rsidR="006224C2" w:rsidRPr="00295E71" w:rsidP="00FE3C0F" w14:paraId="67E6E2B9" w14:textId="77777777">
      <w:pPr>
        <w:numPr>
          <w:ilvl w:val="0"/>
          <w:numId w:val="14"/>
        </w:numPr>
        <w:tabs>
          <w:tab w:val="num" w:pos="540"/>
          <w:tab w:val="left" w:pos="567"/>
          <w:tab w:val="left" w:pos="993"/>
        </w:tabs>
        <w:ind w:left="567" w:hanging="567"/>
        <w:jc w:val="both"/>
        <w:rPr>
          <w:del w:id="17656" w:author="AbbVie14" w:date="2025-05-09T11:00:00Z"/>
          <w:sz w:val="22"/>
          <w:szCs w:val="22"/>
        </w:rPr>
      </w:pPr>
      <w:del w:id="17657" w:author="AbbVie14" w:date="2025-05-09T11:00:00Z">
        <w:r w:rsidRPr="00295E71">
          <w:rPr>
            <w:sz w:val="22"/>
            <w:szCs w:val="22"/>
          </w:rPr>
          <w:delText>infezioni neurologiche (tra cui la meningite virale);</w:delText>
        </w:r>
      </w:del>
    </w:p>
    <w:p w:rsidR="006224C2" w:rsidRPr="00295E71" w:rsidP="00FE3C0F" w14:paraId="1F94BD3C" w14:textId="77777777">
      <w:pPr>
        <w:numPr>
          <w:ilvl w:val="0"/>
          <w:numId w:val="14"/>
        </w:numPr>
        <w:tabs>
          <w:tab w:val="num" w:pos="540"/>
          <w:tab w:val="left" w:pos="567"/>
          <w:tab w:val="left" w:pos="993"/>
        </w:tabs>
        <w:ind w:left="567" w:hanging="567"/>
        <w:jc w:val="both"/>
        <w:rPr>
          <w:del w:id="17658" w:author="AbbVie14" w:date="2025-05-09T11:00:00Z"/>
          <w:sz w:val="22"/>
          <w:szCs w:val="22"/>
        </w:rPr>
      </w:pPr>
      <w:del w:id="17659" w:author="AbbVie14" w:date="2025-05-09T11:00:00Z">
        <w:r w:rsidRPr="00295E71">
          <w:rPr>
            <w:sz w:val="22"/>
            <w:szCs w:val="22"/>
          </w:rPr>
          <w:delText>infezioni degli occhi;</w:delText>
        </w:r>
      </w:del>
    </w:p>
    <w:p w:rsidR="006224C2" w:rsidRPr="00295E71" w:rsidP="00FE3C0F" w14:paraId="282C5B19" w14:textId="77777777">
      <w:pPr>
        <w:numPr>
          <w:ilvl w:val="0"/>
          <w:numId w:val="14"/>
        </w:numPr>
        <w:tabs>
          <w:tab w:val="num" w:pos="540"/>
          <w:tab w:val="left" w:pos="567"/>
          <w:tab w:val="left" w:pos="993"/>
        </w:tabs>
        <w:ind w:left="567" w:hanging="567"/>
        <w:jc w:val="both"/>
        <w:rPr>
          <w:del w:id="17660" w:author="AbbVie14" w:date="2025-05-09T11:00:00Z"/>
          <w:sz w:val="22"/>
          <w:szCs w:val="22"/>
        </w:rPr>
      </w:pPr>
      <w:del w:id="17661" w:author="AbbVie14" w:date="2025-05-09T11:00:00Z">
        <w:r w:rsidRPr="00295E71">
          <w:rPr>
            <w:sz w:val="22"/>
            <w:szCs w:val="22"/>
          </w:rPr>
          <w:delText>infezioni batteriche;</w:delText>
        </w:r>
      </w:del>
    </w:p>
    <w:p w:rsidR="006224C2" w:rsidRPr="00295E71" w:rsidP="00FE3C0F" w14:paraId="48AF9FAE" w14:textId="77777777">
      <w:pPr>
        <w:numPr>
          <w:ilvl w:val="0"/>
          <w:numId w:val="14"/>
        </w:numPr>
        <w:tabs>
          <w:tab w:val="num" w:pos="540"/>
          <w:tab w:val="left" w:pos="567"/>
          <w:tab w:val="left" w:pos="993"/>
        </w:tabs>
        <w:ind w:left="567" w:hanging="567"/>
        <w:jc w:val="both"/>
        <w:rPr>
          <w:del w:id="17662" w:author="AbbVie14" w:date="2025-05-09T11:00:00Z"/>
          <w:sz w:val="22"/>
          <w:szCs w:val="22"/>
        </w:rPr>
      </w:pPr>
      <w:del w:id="17663" w:author="AbbVie14" w:date="2025-05-09T11:00:00Z">
        <w:r w:rsidRPr="00295E71">
          <w:rPr>
            <w:sz w:val="22"/>
            <w:szCs w:val="22"/>
          </w:rPr>
          <w:delText>diverticolite (infiammazione e infezione dell’intestino crasso);</w:delText>
        </w:r>
      </w:del>
    </w:p>
    <w:p w:rsidR="006224C2" w:rsidRPr="00295E71" w:rsidP="00FE3C0F" w14:paraId="148DA8A3" w14:textId="77777777">
      <w:pPr>
        <w:numPr>
          <w:ilvl w:val="0"/>
          <w:numId w:val="14"/>
        </w:numPr>
        <w:tabs>
          <w:tab w:val="num" w:pos="540"/>
          <w:tab w:val="left" w:pos="567"/>
          <w:tab w:val="left" w:pos="993"/>
        </w:tabs>
        <w:ind w:left="567" w:hanging="567"/>
        <w:jc w:val="both"/>
        <w:rPr>
          <w:del w:id="17664" w:author="AbbVie14" w:date="2025-05-09T11:00:00Z"/>
          <w:sz w:val="22"/>
          <w:szCs w:val="22"/>
        </w:rPr>
      </w:pPr>
      <w:del w:id="17665" w:author="AbbVie14" w:date="2025-05-09T11:00:00Z">
        <w:r w:rsidRPr="00295E71">
          <w:rPr>
            <w:sz w:val="22"/>
            <w:szCs w:val="22"/>
          </w:rPr>
          <w:delText>tumori;</w:delText>
        </w:r>
      </w:del>
    </w:p>
    <w:p w:rsidR="006224C2" w:rsidRPr="00295E71" w:rsidP="00FE3C0F" w14:paraId="198B2133" w14:textId="77777777">
      <w:pPr>
        <w:numPr>
          <w:ilvl w:val="0"/>
          <w:numId w:val="14"/>
        </w:numPr>
        <w:tabs>
          <w:tab w:val="num" w:pos="540"/>
          <w:tab w:val="left" w:pos="567"/>
          <w:tab w:val="left" w:pos="993"/>
        </w:tabs>
        <w:ind w:left="567" w:hanging="567"/>
        <w:jc w:val="both"/>
        <w:rPr>
          <w:del w:id="17666" w:author="AbbVie14" w:date="2025-05-09T11:00:00Z"/>
          <w:sz w:val="22"/>
          <w:szCs w:val="22"/>
        </w:rPr>
      </w:pPr>
      <w:del w:id="17667" w:author="AbbVie14" w:date="2025-05-09T11:00:00Z">
        <w:r w:rsidRPr="00295E71">
          <w:rPr>
            <w:sz w:val="22"/>
            <w:szCs w:val="22"/>
          </w:rPr>
          <w:delText>tumori del sistema linfatico;</w:delText>
        </w:r>
      </w:del>
    </w:p>
    <w:p w:rsidR="006224C2" w:rsidRPr="00295E71" w:rsidP="00FE3C0F" w14:paraId="09856CE9" w14:textId="77777777">
      <w:pPr>
        <w:numPr>
          <w:ilvl w:val="0"/>
          <w:numId w:val="14"/>
        </w:numPr>
        <w:tabs>
          <w:tab w:val="num" w:pos="540"/>
          <w:tab w:val="left" w:pos="567"/>
          <w:tab w:val="left" w:pos="993"/>
        </w:tabs>
        <w:ind w:left="567" w:hanging="567"/>
        <w:jc w:val="both"/>
        <w:rPr>
          <w:del w:id="17668" w:author="AbbVie14" w:date="2025-05-09T11:00:00Z"/>
          <w:sz w:val="22"/>
          <w:szCs w:val="22"/>
        </w:rPr>
      </w:pPr>
      <w:del w:id="17669" w:author="AbbVie14" w:date="2025-05-09T11:00:00Z">
        <w:r w:rsidRPr="00295E71">
          <w:rPr>
            <w:sz w:val="22"/>
            <w:szCs w:val="22"/>
          </w:rPr>
          <w:delText>melanoma;</w:delText>
        </w:r>
      </w:del>
    </w:p>
    <w:p w:rsidR="006224C2" w:rsidRPr="00295E71" w:rsidP="00FE3C0F" w14:paraId="5EAFCFC7" w14:textId="77777777">
      <w:pPr>
        <w:numPr>
          <w:ilvl w:val="0"/>
          <w:numId w:val="14"/>
        </w:numPr>
        <w:tabs>
          <w:tab w:val="num" w:pos="540"/>
          <w:tab w:val="left" w:pos="567"/>
          <w:tab w:val="left" w:pos="993"/>
        </w:tabs>
        <w:ind w:left="567" w:hanging="567"/>
        <w:jc w:val="both"/>
        <w:rPr>
          <w:del w:id="17670" w:author="AbbVie14" w:date="2025-05-09T11:00:00Z"/>
          <w:sz w:val="22"/>
          <w:szCs w:val="22"/>
        </w:rPr>
      </w:pPr>
      <w:del w:id="17671" w:author="AbbVie14" w:date="2025-05-09T11:00:00Z">
        <w:r w:rsidRPr="00295E71">
          <w:rPr>
            <w:sz w:val="22"/>
            <w:szCs w:val="22"/>
          </w:rPr>
          <w:delText>disordini del sistema immunitario che possono colpire polmoni, cute e linfonodi (che si presentano più comunemente come sarcoidosi);</w:delText>
        </w:r>
      </w:del>
    </w:p>
    <w:p w:rsidR="006224C2" w:rsidRPr="00295E71" w:rsidP="00FE3C0F" w14:paraId="19C2FAC8" w14:textId="77777777">
      <w:pPr>
        <w:numPr>
          <w:ilvl w:val="0"/>
          <w:numId w:val="14"/>
        </w:numPr>
        <w:tabs>
          <w:tab w:val="num" w:pos="540"/>
          <w:tab w:val="left" w:pos="567"/>
          <w:tab w:val="left" w:pos="993"/>
        </w:tabs>
        <w:ind w:left="567" w:hanging="567"/>
        <w:jc w:val="both"/>
        <w:rPr>
          <w:del w:id="17672" w:author="AbbVie14" w:date="2025-05-09T11:00:00Z"/>
          <w:sz w:val="22"/>
          <w:szCs w:val="22"/>
        </w:rPr>
      </w:pPr>
      <w:del w:id="17673" w:author="AbbVie14" w:date="2025-05-09T11:00:00Z">
        <w:r w:rsidRPr="00295E71">
          <w:rPr>
            <w:sz w:val="22"/>
            <w:szCs w:val="22"/>
          </w:rPr>
          <w:delText>vasculite (infiammazione dei vasi sanguigni);</w:delText>
        </w:r>
      </w:del>
    </w:p>
    <w:p w:rsidR="006224C2" w:rsidRPr="00295E71" w:rsidP="00FE3C0F" w14:paraId="681B9D4D" w14:textId="77777777">
      <w:pPr>
        <w:numPr>
          <w:ilvl w:val="0"/>
          <w:numId w:val="14"/>
        </w:numPr>
        <w:tabs>
          <w:tab w:val="num" w:pos="540"/>
          <w:tab w:val="left" w:pos="567"/>
          <w:tab w:val="left" w:pos="993"/>
        </w:tabs>
        <w:ind w:left="567" w:hanging="567"/>
        <w:jc w:val="both"/>
        <w:rPr>
          <w:del w:id="17674" w:author="AbbVie14" w:date="2025-05-09T11:00:00Z"/>
          <w:sz w:val="22"/>
          <w:szCs w:val="22"/>
        </w:rPr>
      </w:pPr>
      <w:del w:id="17675" w:author="AbbVie14" w:date="2025-05-09T11:00:00Z">
        <w:r w:rsidRPr="00295E71">
          <w:rPr>
            <w:sz w:val="22"/>
            <w:szCs w:val="22"/>
          </w:rPr>
          <w:delText>tremore;</w:delText>
        </w:r>
      </w:del>
    </w:p>
    <w:p w:rsidR="006224C2" w:rsidRPr="00295E71" w:rsidP="00FE3C0F" w14:paraId="066E7A3A" w14:textId="77777777">
      <w:pPr>
        <w:numPr>
          <w:ilvl w:val="0"/>
          <w:numId w:val="14"/>
        </w:numPr>
        <w:tabs>
          <w:tab w:val="num" w:pos="540"/>
          <w:tab w:val="left" w:pos="567"/>
          <w:tab w:val="left" w:pos="993"/>
        </w:tabs>
        <w:ind w:left="567" w:hanging="567"/>
        <w:jc w:val="both"/>
        <w:rPr>
          <w:del w:id="17676" w:author="AbbVie14" w:date="2025-05-09T11:00:00Z"/>
          <w:sz w:val="22"/>
          <w:szCs w:val="22"/>
        </w:rPr>
      </w:pPr>
      <w:del w:id="17677" w:author="AbbVie14" w:date="2025-05-09T11:00:00Z">
        <w:r w:rsidRPr="00295E71">
          <w:rPr>
            <w:sz w:val="22"/>
            <w:szCs w:val="22"/>
          </w:rPr>
          <w:delText>neuropatia;</w:delText>
        </w:r>
      </w:del>
    </w:p>
    <w:p w:rsidR="006224C2" w:rsidRPr="00295E71" w:rsidP="00FE3C0F" w14:paraId="5753C215" w14:textId="77777777">
      <w:pPr>
        <w:numPr>
          <w:ilvl w:val="0"/>
          <w:numId w:val="14"/>
        </w:numPr>
        <w:tabs>
          <w:tab w:val="num" w:pos="540"/>
          <w:tab w:val="left" w:pos="567"/>
          <w:tab w:val="left" w:pos="993"/>
        </w:tabs>
        <w:ind w:left="567" w:hanging="567"/>
        <w:jc w:val="both"/>
        <w:rPr>
          <w:del w:id="17678" w:author="AbbVie14" w:date="2025-05-09T11:00:00Z"/>
          <w:sz w:val="22"/>
          <w:szCs w:val="22"/>
        </w:rPr>
      </w:pPr>
      <w:del w:id="17679" w:author="AbbVie14" w:date="2025-05-09T11:00:00Z">
        <w:r w:rsidRPr="00295E71">
          <w:rPr>
            <w:sz w:val="22"/>
            <w:szCs w:val="22"/>
          </w:rPr>
          <w:delText>ictus;</w:delText>
        </w:r>
      </w:del>
    </w:p>
    <w:p w:rsidR="006224C2" w:rsidRPr="00295E71" w:rsidP="00FE3C0F" w14:paraId="4349969D" w14:textId="77777777">
      <w:pPr>
        <w:tabs>
          <w:tab w:val="left" w:pos="567"/>
          <w:tab w:val="left" w:pos="993"/>
        </w:tabs>
        <w:ind w:left="567"/>
        <w:jc w:val="both"/>
        <w:rPr>
          <w:del w:id="17680" w:author="AbbVie14" w:date="2025-05-09T11:00:00Z"/>
          <w:sz w:val="22"/>
          <w:szCs w:val="22"/>
        </w:rPr>
      </w:pPr>
    </w:p>
    <w:p w:rsidR="006224C2" w:rsidRPr="00295E71" w:rsidP="00FE3C0F" w14:paraId="7923EFF4" w14:textId="77777777">
      <w:pPr>
        <w:numPr>
          <w:ilvl w:val="0"/>
          <w:numId w:val="14"/>
        </w:numPr>
        <w:tabs>
          <w:tab w:val="num" w:pos="540"/>
          <w:tab w:val="left" w:pos="567"/>
          <w:tab w:val="left" w:pos="993"/>
        </w:tabs>
        <w:ind w:left="567" w:hanging="567"/>
        <w:jc w:val="both"/>
        <w:rPr>
          <w:del w:id="17681" w:author="AbbVie14" w:date="2025-05-09T11:00:00Z"/>
          <w:sz w:val="22"/>
          <w:szCs w:val="22"/>
        </w:rPr>
      </w:pPr>
      <w:del w:id="17682" w:author="AbbVie14" w:date="2025-05-09T11:00:00Z">
        <w:r w:rsidRPr="00295E71">
          <w:rPr>
            <w:sz w:val="22"/>
            <w:szCs w:val="22"/>
          </w:rPr>
          <w:delText>perdita dell’udito, ronzio;</w:delText>
        </w:r>
      </w:del>
    </w:p>
    <w:p w:rsidR="006224C2" w:rsidRPr="00295E71" w:rsidP="00FE3C0F" w14:paraId="72B96B8F" w14:textId="77777777">
      <w:pPr>
        <w:numPr>
          <w:ilvl w:val="0"/>
          <w:numId w:val="14"/>
        </w:numPr>
        <w:tabs>
          <w:tab w:val="num" w:pos="540"/>
          <w:tab w:val="left" w:pos="567"/>
          <w:tab w:val="left" w:pos="993"/>
        </w:tabs>
        <w:ind w:left="567" w:hanging="567"/>
        <w:jc w:val="both"/>
        <w:rPr>
          <w:del w:id="17683" w:author="AbbVie14" w:date="2025-05-09T11:00:00Z"/>
          <w:sz w:val="22"/>
          <w:szCs w:val="22"/>
        </w:rPr>
      </w:pPr>
      <w:del w:id="17684" w:author="AbbVie14" w:date="2025-05-09T11:00:00Z">
        <w:r w:rsidRPr="00295E71">
          <w:rPr>
            <w:sz w:val="22"/>
            <w:szCs w:val="22"/>
          </w:rPr>
          <w:delText>sensazione di battito cardiaco irregolare come palpitazioni;</w:delText>
        </w:r>
      </w:del>
    </w:p>
    <w:p w:rsidR="006224C2" w:rsidRPr="00295E71" w:rsidP="00FE3C0F" w14:paraId="4E6039F8" w14:textId="77777777">
      <w:pPr>
        <w:numPr>
          <w:ilvl w:val="0"/>
          <w:numId w:val="14"/>
        </w:numPr>
        <w:tabs>
          <w:tab w:val="num" w:pos="540"/>
          <w:tab w:val="left" w:pos="567"/>
          <w:tab w:val="left" w:pos="993"/>
        </w:tabs>
        <w:ind w:left="567" w:hanging="567"/>
        <w:jc w:val="both"/>
        <w:rPr>
          <w:del w:id="17685" w:author="AbbVie14" w:date="2025-05-09T11:00:00Z"/>
          <w:sz w:val="22"/>
          <w:szCs w:val="22"/>
        </w:rPr>
      </w:pPr>
      <w:del w:id="17686" w:author="AbbVie14" w:date="2025-05-09T11:00:00Z">
        <w:r w:rsidRPr="00295E71">
          <w:rPr>
            <w:sz w:val="22"/>
            <w:szCs w:val="22"/>
          </w:rPr>
          <w:delText>problemi al cuore che possono causare fiato corto o gonfiore a livello delle caviglie;</w:delText>
        </w:r>
      </w:del>
    </w:p>
    <w:p w:rsidR="006224C2" w:rsidRPr="00295E71" w:rsidP="00FE3C0F" w14:paraId="5C9CC405" w14:textId="77777777">
      <w:pPr>
        <w:numPr>
          <w:ilvl w:val="0"/>
          <w:numId w:val="14"/>
        </w:numPr>
        <w:tabs>
          <w:tab w:val="num" w:pos="540"/>
          <w:tab w:val="left" w:pos="567"/>
          <w:tab w:val="left" w:pos="993"/>
        </w:tabs>
        <w:ind w:left="567" w:hanging="567"/>
        <w:jc w:val="both"/>
        <w:rPr>
          <w:del w:id="17687" w:author="AbbVie14" w:date="2025-05-09T11:00:00Z"/>
          <w:sz w:val="22"/>
          <w:szCs w:val="22"/>
        </w:rPr>
      </w:pPr>
      <w:del w:id="17688" w:author="AbbVie14" w:date="2025-05-09T11:00:00Z">
        <w:r w:rsidRPr="00295E71">
          <w:rPr>
            <w:sz w:val="22"/>
            <w:szCs w:val="22"/>
          </w:rPr>
          <w:delText>infarto acuto del miocardio;</w:delText>
        </w:r>
      </w:del>
    </w:p>
    <w:p w:rsidR="006224C2" w:rsidRPr="00295E71" w:rsidP="00FE3C0F" w14:paraId="0518E75C" w14:textId="77777777">
      <w:pPr>
        <w:numPr>
          <w:ilvl w:val="0"/>
          <w:numId w:val="14"/>
        </w:numPr>
        <w:tabs>
          <w:tab w:val="num" w:pos="540"/>
          <w:tab w:val="left" w:pos="567"/>
          <w:tab w:val="left" w:pos="993"/>
        </w:tabs>
        <w:ind w:left="567" w:hanging="567"/>
        <w:jc w:val="both"/>
        <w:rPr>
          <w:del w:id="17689" w:author="AbbVie14" w:date="2025-05-09T11:00:00Z"/>
          <w:sz w:val="22"/>
          <w:szCs w:val="22"/>
        </w:rPr>
      </w:pPr>
      <w:del w:id="17690" w:author="AbbVie14" w:date="2025-05-09T11:00:00Z">
        <w:r w:rsidRPr="00295E71">
          <w:rPr>
            <w:sz w:val="22"/>
            <w:szCs w:val="22"/>
          </w:rPr>
          <w:delText>formazione di una sacca nella parete di un’arteria principale, infiammazione e coagulo in una vena, ostruzione di un vaso sanguigno;</w:delText>
        </w:r>
      </w:del>
    </w:p>
    <w:p w:rsidR="006224C2" w:rsidRPr="00295E71" w:rsidP="00FE3C0F" w14:paraId="27706B59" w14:textId="77777777">
      <w:pPr>
        <w:numPr>
          <w:ilvl w:val="0"/>
          <w:numId w:val="14"/>
        </w:numPr>
        <w:tabs>
          <w:tab w:val="num" w:pos="540"/>
          <w:tab w:val="left" w:pos="567"/>
          <w:tab w:val="left" w:pos="993"/>
        </w:tabs>
        <w:ind w:left="567" w:hanging="567"/>
        <w:jc w:val="both"/>
        <w:rPr>
          <w:del w:id="17691" w:author="AbbVie14" w:date="2025-05-09T11:00:00Z"/>
          <w:sz w:val="22"/>
          <w:szCs w:val="22"/>
        </w:rPr>
      </w:pPr>
      <w:del w:id="17692" w:author="AbbVie14" w:date="2025-05-09T11:00:00Z">
        <w:r w:rsidRPr="00295E71">
          <w:rPr>
            <w:sz w:val="22"/>
            <w:szCs w:val="22"/>
          </w:rPr>
          <w:delText>malattia polmonare che provoca fiato corto (inclusa infiammazione);</w:delText>
        </w:r>
      </w:del>
    </w:p>
    <w:p w:rsidR="006224C2" w:rsidRPr="00295E71" w:rsidP="00FE3C0F" w14:paraId="1ED2EE48" w14:textId="77777777">
      <w:pPr>
        <w:numPr>
          <w:ilvl w:val="0"/>
          <w:numId w:val="14"/>
        </w:numPr>
        <w:tabs>
          <w:tab w:val="num" w:pos="540"/>
          <w:tab w:val="left" w:pos="567"/>
          <w:tab w:val="left" w:pos="993"/>
        </w:tabs>
        <w:ind w:left="567" w:hanging="567"/>
        <w:jc w:val="both"/>
        <w:rPr>
          <w:del w:id="17693" w:author="AbbVie14" w:date="2025-05-09T11:00:00Z"/>
          <w:sz w:val="22"/>
          <w:szCs w:val="22"/>
        </w:rPr>
      </w:pPr>
      <w:del w:id="17694" w:author="AbbVie14" w:date="2025-05-09T11:00:00Z">
        <w:r w:rsidRPr="00295E71">
          <w:rPr>
            <w:sz w:val="22"/>
            <w:szCs w:val="22"/>
          </w:rPr>
          <w:delText>embolia polmonare (occlusione di una arteria polmonare);</w:delText>
        </w:r>
      </w:del>
    </w:p>
    <w:p w:rsidR="006224C2" w:rsidRPr="00295E71" w:rsidP="00FE3C0F" w14:paraId="1D0BF56F" w14:textId="77777777">
      <w:pPr>
        <w:numPr>
          <w:ilvl w:val="0"/>
          <w:numId w:val="14"/>
        </w:numPr>
        <w:tabs>
          <w:tab w:val="num" w:pos="540"/>
          <w:tab w:val="left" w:pos="567"/>
          <w:tab w:val="left" w:pos="993"/>
        </w:tabs>
        <w:ind w:left="567" w:hanging="567"/>
        <w:jc w:val="both"/>
        <w:rPr>
          <w:del w:id="17695" w:author="AbbVie14" w:date="2025-05-09T11:00:00Z"/>
          <w:sz w:val="22"/>
          <w:szCs w:val="22"/>
        </w:rPr>
      </w:pPr>
      <w:del w:id="17696" w:author="AbbVie14" w:date="2025-05-09T11:00:00Z">
        <w:r w:rsidRPr="00295E71">
          <w:rPr>
            <w:sz w:val="22"/>
            <w:szCs w:val="22"/>
          </w:rPr>
          <w:delText>versamento pleurico (anomala raccolta di liquido nello spazio pleurico);</w:delText>
        </w:r>
      </w:del>
    </w:p>
    <w:p w:rsidR="006224C2" w:rsidRPr="00295E71" w:rsidP="00FE3C0F" w14:paraId="6ED35C6B" w14:textId="77777777">
      <w:pPr>
        <w:numPr>
          <w:ilvl w:val="0"/>
          <w:numId w:val="14"/>
        </w:numPr>
        <w:tabs>
          <w:tab w:val="num" w:pos="540"/>
          <w:tab w:val="left" w:pos="567"/>
          <w:tab w:val="left" w:pos="993"/>
        </w:tabs>
        <w:ind w:left="567" w:hanging="567"/>
        <w:jc w:val="both"/>
        <w:rPr>
          <w:del w:id="17697" w:author="AbbVie14" w:date="2025-05-09T11:00:00Z"/>
          <w:sz w:val="22"/>
          <w:szCs w:val="22"/>
        </w:rPr>
      </w:pPr>
      <w:del w:id="17698" w:author="AbbVie14" w:date="2025-05-09T11:00:00Z">
        <w:r w:rsidRPr="00295E71">
          <w:rPr>
            <w:sz w:val="22"/>
            <w:szCs w:val="22"/>
          </w:rPr>
          <w:delText>infiammazione del pancreas che causa forti dolori all’addome ed alla schiena;</w:delText>
        </w:r>
      </w:del>
    </w:p>
    <w:p w:rsidR="006224C2" w:rsidRPr="00295E71" w:rsidP="00FE3C0F" w14:paraId="3D8D5E72" w14:textId="77777777">
      <w:pPr>
        <w:numPr>
          <w:ilvl w:val="0"/>
          <w:numId w:val="14"/>
        </w:numPr>
        <w:tabs>
          <w:tab w:val="num" w:pos="540"/>
          <w:tab w:val="left" w:pos="567"/>
          <w:tab w:val="left" w:pos="993"/>
        </w:tabs>
        <w:ind w:left="567" w:hanging="567"/>
        <w:jc w:val="both"/>
        <w:rPr>
          <w:del w:id="17699" w:author="AbbVie14" w:date="2025-05-09T11:00:00Z"/>
          <w:sz w:val="22"/>
          <w:szCs w:val="22"/>
        </w:rPr>
      </w:pPr>
      <w:del w:id="17700" w:author="AbbVie14" w:date="2025-05-09T11:00:00Z">
        <w:r w:rsidRPr="00295E71">
          <w:rPr>
            <w:sz w:val="22"/>
            <w:szCs w:val="22"/>
          </w:rPr>
          <w:delText>difficoltà nella deglutizione;</w:delText>
        </w:r>
      </w:del>
    </w:p>
    <w:p w:rsidR="006224C2" w:rsidRPr="00295E71" w:rsidP="00FE3C0F" w14:paraId="736D12B4" w14:textId="77777777">
      <w:pPr>
        <w:numPr>
          <w:ilvl w:val="0"/>
          <w:numId w:val="14"/>
        </w:numPr>
        <w:tabs>
          <w:tab w:val="num" w:pos="540"/>
          <w:tab w:val="left" w:pos="567"/>
          <w:tab w:val="left" w:pos="993"/>
        </w:tabs>
        <w:ind w:left="567" w:hanging="567"/>
        <w:jc w:val="both"/>
        <w:rPr>
          <w:del w:id="17701" w:author="AbbVie14" w:date="2025-05-09T11:00:00Z"/>
          <w:sz w:val="22"/>
          <w:szCs w:val="22"/>
        </w:rPr>
      </w:pPr>
      <w:del w:id="17702" w:author="AbbVie14" w:date="2025-05-09T11:00:00Z">
        <w:r w:rsidRPr="00295E71">
          <w:rPr>
            <w:sz w:val="22"/>
            <w:szCs w:val="22"/>
          </w:rPr>
          <w:delText>edema facciale;</w:delText>
        </w:r>
      </w:del>
    </w:p>
    <w:p w:rsidR="006224C2" w:rsidRPr="00295E71" w:rsidP="00FE3C0F" w14:paraId="3A7374AF" w14:textId="77777777">
      <w:pPr>
        <w:numPr>
          <w:ilvl w:val="0"/>
          <w:numId w:val="14"/>
        </w:numPr>
        <w:tabs>
          <w:tab w:val="num" w:pos="540"/>
          <w:tab w:val="left" w:pos="567"/>
          <w:tab w:val="left" w:pos="993"/>
        </w:tabs>
        <w:ind w:left="567" w:hanging="567"/>
        <w:jc w:val="both"/>
        <w:rPr>
          <w:del w:id="17703" w:author="AbbVie14" w:date="2025-05-09T11:00:00Z"/>
          <w:sz w:val="22"/>
          <w:szCs w:val="22"/>
        </w:rPr>
      </w:pPr>
      <w:del w:id="17704" w:author="AbbVie14" w:date="2025-05-09T11:00:00Z">
        <w:r w:rsidRPr="00295E71">
          <w:rPr>
            <w:sz w:val="22"/>
            <w:szCs w:val="22"/>
          </w:rPr>
          <w:delText>infiammazione della cistifellea, calcoli alla cistifellea;</w:delText>
        </w:r>
      </w:del>
    </w:p>
    <w:p w:rsidR="006224C2" w:rsidRPr="00295E71" w:rsidP="00FE3C0F" w14:paraId="7A5029A0" w14:textId="77777777">
      <w:pPr>
        <w:numPr>
          <w:ilvl w:val="0"/>
          <w:numId w:val="14"/>
        </w:numPr>
        <w:tabs>
          <w:tab w:val="num" w:pos="540"/>
          <w:tab w:val="left" w:pos="567"/>
          <w:tab w:val="left" w:pos="993"/>
        </w:tabs>
        <w:ind w:left="567" w:hanging="567"/>
        <w:jc w:val="both"/>
        <w:rPr>
          <w:del w:id="17705" w:author="AbbVie14" w:date="2025-05-09T11:00:00Z"/>
          <w:sz w:val="22"/>
          <w:szCs w:val="22"/>
        </w:rPr>
      </w:pPr>
      <w:del w:id="17706" w:author="AbbVie14" w:date="2025-05-09T11:00:00Z">
        <w:r w:rsidRPr="00295E71">
          <w:rPr>
            <w:sz w:val="22"/>
            <w:szCs w:val="22"/>
          </w:rPr>
          <w:delText>fegato grasso;</w:delText>
        </w:r>
      </w:del>
    </w:p>
    <w:p w:rsidR="006224C2" w:rsidRPr="00295E71" w:rsidP="00FE3C0F" w14:paraId="7059C6F9" w14:textId="77777777">
      <w:pPr>
        <w:numPr>
          <w:ilvl w:val="0"/>
          <w:numId w:val="14"/>
        </w:numPr>
        <w:tabs>
          <w:tab w:val="num" w:pos="540"/>
          <w:tab w:val="left" w:pos="567"/>
          <w:tab w:val="left" w:pos="993"/>
        </w:tabs>
        <w:ind w:left="567" w:hanging="567"/>
        <w:jc w:val="both"/>
        <w:rPr>
          <w:del w:id="17707" w:author="AbbVie14" w:date="2025-05-09T11:00:00Z"/>
          <w:sz w:val="22"/>
          <w:szCs w:val="22"/>
        </w:rPr>
      </w:pPr>
      <w:del w:id="17708" w:author="AbbVie14" w:date="2025-05-09T11:00:00Z">
        <w:r w:rsidRPr="00295E71">
          <w:rPr>
            <w:sz w:val="22"/>
            <w:szCs w:val="22"/>
          </w:rPr>
          <w:delText>sudorazione notturna;</w:delText>
        </w:r>
      </w:del>
    </w:p>
    <w:p w:rsidR="006224C2" w:rsidRPr="00295E71" w:rsidP="00FE3C0F" w14:paraId="3F33355E" w14:textId="77777777">
      <w:pPr>
        <w:numPr>
          <w:ilvl w:val="0"/>
          <w:numId w:val="14"/>
        </w:numPr>
        <w:tabs>
          <w:tab w:val="num" w:pos="540"/>
          <w:tab w:val="left" w:pos="567"/>
          <w:tab w:val="left" w:pos="993"/>
        </w:tabs>
        <w:ind w:left="567" w:hanging="567"/>
        <w:jc w:val="both"/>
        <w:rPr>
          <w:del w:id="17709" w:author="AbbVie14" w:date="2025-05-09T11:00:00Z"/>
          <w:sz w:val="22"/>
          <w:szCs w:val="22"/>
        </w:rPr>
      </w:pPr>
      <w:del w:id="17710" w:author="AbbVie14" w:date="2025-05-09T11:00:00Z">
        <w:r w:rsidRPr="00295E71">
          <w:rPr>
            <w:sz w:val="22"/>
            <w:szCs w:val="22"/>
          </w:rPr>
          <w:delText>cicatrice;</w:delText>
        </w:r>
      </w:del>
    </w:p>
    <w:p w:rsidR="006224C2" w:rsidRPr="00295E71" w:rsidP="00FE3C0F" w14:paraId="2A933B2E" w14:textId="77777777">
      <w:pPr>
        <w:numPr>
          <w:ilvl w:val="0"/>
          <w:numId w:val="14"/>
        </w:numPr>
        <w:tabs>
          <w:tab w:val="num" w:pos="540"/>
          <w:tab w:val="left" w:pos="567"/>
          <w:tab w:val="left" w:pos="993"/>
        </w:tabs>
        <w:ind w:left="567" w:hanging="567"/>
        <w:jc w:val="both"/>
        <w:rPr>
          <w:del w:id="17711" w:author="AbbVie14" w:date="2025-05-09T11:00:00Z"/>
          <w:sz w:val="22"/>
          <w:szCs w:val="22"/>
        </w:rPr>
      </w:pPr>
      <w:del w:id="17712" w:author="AbbVie14" w:date="2025-05-09T11:00:00Z">
        <w:r w:rsidRPr="00295E71">
          <w:rPr>
            <w:sz w:val="22"/>
            <w:szCs w:val="22"/>
          </w:rPr>
          <w:delText>anormale catabolismo muscolare;</w:delText>
        </w:r>
      </w:del>
    </w:p>
    <w:p w:rsidR="006224C2" w:rsidRPr="00295E71" w:rsidP="00FE3C0F" w14:paraId="6D5219FE" w14:textId="77777777">
      <w:pPr>
        <w:numPr>
          <w:ilvl w:val="0"/>
          <w:numId w:val="14"/>
        </w:numPr>
        <w:tabs>
          <w:tab w:val="num" w:pos="540"/>
          <w:tab w:val="left" w:pos="567"/>
          <w:tab w:val="left" w:pos="993"/>
        </w:tabs>
        <w:ind w:left="567" w:hanging="567"/>
        <w:jc w:val="both"/>
        <w:rPr>
          <w:del w:id="17713" w:author="AbbVie14" w:date="2025-05-09T11:00:00Z"/>
          <w:sz w:val="22"/>
          <w:szCs w:val="22"/>
        </w:rPr>
      </w:pPr>
      <w:del w:id="17714" w:author="AbbVie14" w:date="2025-05-09T11:00:00Z">
        <w:r w:rsidRPr="00295E71">
          <w:rPr>
            <w:sz w:val="22"/>
            <w:szCs w:val="22"/>
          </w:rPr>
          <w:delText>lupus eritematoso sistemico (tra cui infiammazione della pelle, del cuore, del polmone, delle articolazioni e di altri organi);</w:delText>
        </w:r>
      </w:del>
    </w:p>
    <w:p w:rsidR="006224C2" w:rsidRPr="00295E71" w:rsidP="00FE3C0F" w14:paraId="01BC0DA7" w14:textId="77777777">
      <w:pPr>
        <w:numPr>
          <w:ilvl w:val="0"/>
          <w:numId w:val="14"/>
        </w:numPr>
        <w:tabs>
          <w:tab w:val="num" w:pos="540"/>
          <w:tab w:val="left" w:pos="567"/>
          <w:tab w:val="left" w:pos="993"/>
        </w:tabs>
        <w:ind w:left="567" w:hanging="567"/>
        <w:jc w:val="both"/>
        <w:rPr>
          <w:del w:id="17715" w:author="AbbVie14" w:date="2025-05-09T11:00:00Z"/>
          <w:sz w:val="22"/>
          <w:szCs w:val="22"/>
        </w:rPr>
      </w:pPr>
      <w:del w:id="17716" w:author="AbbVie14" w:date="2025-05-09T11:00:00Z">
        <w:r w:rsidRPr="00295E71">
          <w:rPr>
            <w:sz w:val="22"/>
            <w:szCs w:val="22"/>
          </w:rPr>
          <w:delText>sonno interrotto;</w:delText>
        </w:r>
      </w:del>
    </w:p>
    <w:p w:rsidR="006224C2" w:rsidRPr="00295E71" w:rsidP="00FE3C0F" w14:paraId="26647432" w14:textId="77777777">
      <w:pPr>
        <w:numPr>
          <w:ilvl w:val="0"/>
          <w:numId w:val="14"/>
        </w:numPr>
        <w:tabs>
          <w:tab w:val="num" w:pos="540"/>
          <w:tab w:val="left" w:pos="567"/>
          <w:tab w:val="left" w:pos="993"/>
        </w:tabs>
        <w:ind w:left="567" w:hanging="567"/>
        <w:jc w:val="both"/>
        <w:rPr>
          <w:del w:id="17717" w:author="AbbVie14" w:date="2025-05-09T11:00:00Z"/>
          <w:sz w:val="22"/>
          <w:szCs w:val="22"/>
        </w:rPr>
      </w:pPr>
      <w:del w:id="17718" w:author="AbbVie14" w:date="2025-05-09T11:00:00Z">
        <w:r w:rsidRPr="00295E71">
          <w:rPr>
            <w:sz w:val="22"/>
            <w:szCs w:val="22"/>
          </w:rPr>
          <w:delText>impotenza;</w:delText>
        </w:r>
      </w:del>
    </w:p>
    <w:p w:rsidR="006224C2" w:rsidRPr="00295E71" w:rsidP="00FE3C0F" w14:paraId="76CA624D" w14:textId="77777777">
      <w:pPr>
        <w:numPr>
          <w:ilvl w:val="0"/>
          <w:numId w:val="14"/>
        </w:numPr>
        <w:tabs>
          <w:tab w:val="num" w:pos="540"/>
          <w:tab w:val="left" w:pos="567"/>
          <w:tab w:val="left" w:pos="993"/>
        </w:tabs>
        <w:ind w:left="567" w:hanging="567"/>
        <w:jc w:val="both"/>
        <w:rPr>
          <w:del w:id="17719" w:author="AbbVie14" w:date="2025-05-09T11:00:00Z"/>
          <w:sz w:val="22"/>
          <w:szCs w:val="22"/>
        </w:rPr>
      </w:pPr>
      <w:del w:id="17720" w:author="AbbVie14" w:date="2025-05-09T11:00:00Z">
        <w:r w:rsidRPr="00295E71">
          <w:rPr>
            <w:sz w:val="22"/>
            <w:szCs w:val="22"/>
          </w:rPr>
          <w:delText>infiammazioni.</w:delText>
        </w:r>
      </w:del>
    </w:p>
    <w:p w:rsidR="006224C2" w:rsidRPr="00295E71" w:rsidP="00FE3C0F" w14:paraId="4D2A2765" w14:textId="77777777">
      <w:pPr>
        <w:tabs>
          <w:tab w:val="left" w:pos="567"/>
        </w:tabs>
        <w:jc w:val="both"/>
        <w:rPr>
          <w:del w:id="17721" w:author="AbbVie14" w:date="2025-05-09T11:00:00Z"/>
          <w:sz w:val="22"/>
          <w:szCs w:val="22"/>
        </w:rPr>
      </w:pPr>
    </w:p>
    <w:p w:rsidR="006224C2" w:rsidRPr="00295E71" w:rsidP="00FE3C0F" w14:paraId="65363E9B" w14:textId="77777777">
      <w:pPr>
        <w:tabs>
          <w:tab w:val="left" w:pos="567"/>
        </w:tabs>
        <w:jc w:val="both"/>
        <w:rPr>
          <w:del w:id="17722" w:author="AbbVie14" w:date="2025-05-09T11:00:00Z"/>
          <w:sz w:val="22"/>
          <w:szCs w:val="22"/>
        </w:rPr>
      </w:pPr>
      <w:del w:id="17723" w:author="AbbVie14" w:date="2025-05-09T11:00:00Z">
        <w:r w:rsidRPr="00295E71">
          <w:rPr>
            <w:sz w:val="22"/>
            <w:szCs w:val="22"/>
          </w:rPr>
          <w:delText>Rari (possono manifestarsi fino a 1 persona su 1.000)</w:delText>
        </w:r>
      </w:del>
    </w:p>
    <w:p w:rsidR="006224C2" w:rsidRPr="00295E71" w:rsidP="00FE3C0F" w14:paraId="6D0CB63E" w14:textId="77777777">
      <w:pPr>
        <w:tabs>
          <w:tab w:val="left" w:pos="567"/>
          <w:tab w:val="left" w:pos="993"/>
        </w:tabs>
        <w:jc w:val="both"/>
        <w:rPr>
          <w:del w:id="17724" w:author="AbbVie14" w:date="2025-05-09T11:00:00Z"/>
          <w:sz w:val="22"/>
          <w:szCs w:val="22"/>
        </w:rPr>
      </w:pPr>
    </w:p>
    <w:p w:rsidR="006224C2" w:rsidRPr="00295E71" w:rsidP="00FE3C0F" w14:paraId="1BB864FB" w14:textId="77777777">
      <w:pPr>
        <w:numPr>
          <w:ilvl w:val="0"/>
          <w:numId w:val="14"/>
        </w:numPr>
        <w:tabs>
          <w:tab w:val="num" w:pos="540"/>
          <w:tab w:val="left" w:pos="567"/>
          <w:tab w:val="left" w:pos="993"/>
        </w:tabs>
        <w:ind w:left="567" w:hanging="567"/>
        <w:jc w:val="both"/>
        <w:rPr>
          <w:del w:id="17725" w:author="AbbVie14" w:date="2025-05-09T11:00:00Z"/>
          <w:sz w:val="22"/>
          <w:szCs w:val="22"/>
        </w:rPr>
      </w:pPr>
      <w:del w:id="17726" w:author="AbbVie14" w:date="2025-05-09T11:00:00Z">
        <w:r w:rsidRPr="00295E71">
          <w:rPr>
            <w:sz w:val="22"/>
            <w:szCs w:val="22"/>
          </w:rPr>
          <w:delText>leucemia (</w:delText>
        </w:r>
      </w:del>
      <w:del w:id="17727" w:author="AbbVie14" w:date="2025-05-09T11:00:00Z">
        <w:r w:rsidRPr="00295E71" w:rsidR="00435F3A">
          <w:rPr>
            <w:sz w:val="22"/>
            <w:szCs w:val="22"/>
          </w:rPr>
          <w:delText>un tumore che colpisce il sangue e il midollo osseo</w:delText>
        </w:r>
      </w:del>
      <w:del w:id="17728" w:author="AbbVie14" w:date="2025-05-09T11:00:00Z">
        <w:r w:rsidRPr="00295E71">
          <w:rPr>
            <w:sz w:val="22"/>
            <w:szCs w:val="22"/>
          </w:rPr>
          <w:delText>);</w:delText>
        </w:r>
      </w:del>
    </w:p>
    <w:p w:rsidR="006224C2" w:rsidRPr="00295E71" w:rsidP="00FE3C0F" w14:paraId="0C06BFC9" w14:textId="77777777">
      <w:pPr>
        <w:numPr>
          <w:ilvl w:val="0"/>
          <w:numId w:val="14"/>
        </w:numPr>
        <w:tabs>
          <w:tab w:val="num" w:pos="540"/>
          <w:tab w:val="left" w:pos="567"/>
          <w:tab w:val="left" w:pos="993"/>
        </w:tabs>
        <w:ind w:left="567" w:hanging="567"/>
        <w:jc w:val="both"/>
        <w:rPr>
          <w:del w:id="17729" w:author="AbbVie14" w:date="2025-05-09T11:00:00Z"/>
          <w:sz w:val="22"/>
          <w:szCs w:val="22"/>
        </w:rPr>
      </w:pPr>
      <w:del w:id="17730" w:author="AbbVie14" w:date="2025-05-09T11:00:00Z">
        <w:r w:rsidRPr="00295E71">
          <w:rPr>
            <w:sz w:val="22"/>
            <w:szCs w:val="22"/>
          </w:rPr>
          <w:delText>reazione allergica grave con shock;</w:delText>
        </w:r>
      </w:del>
    </w:p>
    <w:p w:rsidR="006224C2" w:rsidRPr="00295E71" w:rsidP="00FE3C0F" w14:paraId="79F84A3F" w14:textId="77777777">
      <w:pPr>
        <w:numPr>
          <w:ilvl w:val="0"/>
          <w:numId w:val="14"/>
        </w:numPr>
        <w:tabs>
          <w:tab w:val="num" w:pos="540"/>
          <w:tab w:val="left" w:pos="567"/>
          <w:tab w:val="left" w:pos="993"/>
        </w:tabs>
        <w:ind w:left="567" w:hanging="567"/>
        <w:jc w:val="both"/>
        <w:rPr>
          <w:del w:id="17731" w:author="AbbVie14" w:date="2025-05-09T11:00:00Z"/>
          <w:sz w:val="22"/>
          <w:szCs w:val="22"/>
        </w:rPr>
      </w:pPr>
      <w:del w:id="17732" w:author="AbbVie14" w:date="2025-05-09T11:00:00Z">
        <w:r w:rsidRPr="00295E71">
          <w:rPr>
            <w:sz w:val="22"/>
            <w:szCs w:val="22"/>
          </w:rPr>
          <w:delText>sclerosi multipla;</w:delText>
        </w:r>
      </w:del>
    </w:p>
    <w:p w:rsidR="006224C2" w:rsidRPr="00295E71" w:rsidP="00FE3C0F" w14:paraId="454556FC" w14:textId="77777777">
      <w:pPr>
        <w:numPr>
          <w:ilvl w:val="0"/>
          <w:numId w:val="14"/>
        </w:numPr>
        <w:tabs>
          <w:tab w:val="num" w:pos="540"/>
          <w:tab w:val="left" w:pos="567"/>
          <w:tab w:val="left" w:pos="993"/>
        </w:tabs>
        <w:ind w:left="567" w:hanging="567"/>
        <w:jc w:val="both"/>
        <w:rPr>
          <w:del w:id="17733" w:author="AbbVie14" w:date="2025-05-09T11:00:00Z"/>
          <w:sz w:val="22"/>
          <w:szCs w:val="22"/>
        </w:rPr>
      </w:pPr>
      <w:del w:id="17734" w:author="AbbVie14" w:date="2025-05-09T11:00:00Z">
        <w:r w:rsidRPr="00295E71">
          <w:rPr>
            <w:sz w:val="22"/>
            <w:szCs w:val="22"/>
          </w:rPr>
          <w:delText>disturbi neurologici (come infiammazione del nervo ottico e sindrome di Guillain-Barré che può causare debolezza muscolare, sensazioni anomale, formicolio alle braccia ed alla parte superiore del corpo);</w:delText>
        </w:r>
      </w:del>
    </w:p>
    <w:p w:rsidR="006224C2" w:rsidRPr="00295E71" w:rsidP="00FE3C0F" w14:paraId="1026E461" w14:textId="77777777">
      <w:pPr>
        <w:numPr>
          <w:ilvl w:val="0"/>
          <w:numId w:val="14"/>
        </w:numPr>
        <w:tabs>
          <w:tab w:val="num" w:pos="540"/>
          <w:tab w:val="left" w:pos="567"/>
          <w:tab w:val="left" w:pos="993"/>
        </w:tabs>
        <w:ind w:left="567" w:hanging="567"/>
        <w:jc w:val="both"/>
        <w:rPr>
          <w:del w:id="17735" w:author="AbbVie14" w:date="2025-05-09T11:00:00Z"/>
          <w:sz w:val="22"/>
          <w:szCs w:val="22"/>
        </w:rPr>
      </w:pPr>
      <w:del w:id="17736" w:author="AbbVie14" w:date="2025-05-09T11:00:00Z">
        <w:r w:rsidRPr="00295E71">
          <w:rPr>
            <w:sz w:val="22"/>
            <w:szCs w:val="22"/>
          </w:rPr>
          <w:delText>arresto cardiaco;</w:delText>
        </w:r>
      </w:del>
    </w:p>
    <w:p w:rsidR="006224C2" w:rsidRPr="00295E71" w:rsidP="00FE3C0F" w14:paraId="3F14271E" w14:textId="77777777">
      <w:pPr>
        <w:numPr>
          <w:ilvl w:val="0"/>
          <w:numId w:val="14"/>
        </w:numPr>
        <w:tabs>
          <w:tab w:val="num" w:pos="540"/>
          <w:tab w:val="left" w:pos="567"/>
          <w:tab w:val="left" w:pos="993"/>
        </w:tabs>
        <w:ind w:left="567" w:hanging="567"/>
        <w:jc w:val="both"/>
        <w:rPr>
          <w:del w:id="17737" w:author="AbbVie14" w:date="2025-05-09T11:00:00Z"/>
          <w:sz w:val="22"/>
          <w:szCs w:val="22"/>
        </w:rPr>
      </w:pPr>
      <w:del w:id="17738" w:author="AbbVie14" w:date="2025-05-09T11:00:00Z">
        <w:r w:rsidRPr="00295E71">
          <w:rPr>
            <w:sz w:val="22"/>
            <w:szCs w:val="22"/>
          </w:rPr>
          <w:delText>fibrosi polmonare (cicatrici del polmone);</w:delText>
        </w:r>
      </w:del>
    </w:p>
    <w:p w:rsidR="006224C2" w:rsidRPr="00295E71" w:rsidP="00FE3C0F" w14:paraId="032D877D" w14:textId="77777777">
      <w:pPr>
        <w:numPr>
          <w:ilvl w:val="0"/>
          <w:numId w:val="14"/>
        </w:numPr>
        <w:tabs>
          <w:tab w:val="num" w:pos="540"/>
          <w:tab w:val="left" w:pos="567"/>
          <w:tab w:val="left" w:pos="993"/>
        </w:tabs>
        <w:ind w:left="567" w:hanging="567"/>
        <w:jc w:val="both"/>
        <w:rPr>
          <w:del w:id="17739" w:author="AbbVie14" w:date="2025-05-09T11:00:00Z"/>
          <w:sz w:val="22"/>
          <w:szCs w:val="22"/>
        </w:rPr>
      </w:pPr>
      <w:del w:id="17740" w:author="AbbVie14" w:date="2025-05-09T11:00:00Z">
        <w:r w:rsidRPr="00295E71">
          <w:rPr>
            <w:sz w:val="22"/>
            <w:szCs w:val="22"/>
          </w:rPr>
          <w:delText>perforazione intestinale;</w:delText>
        </w:r>
      </w:del>
    </w:p>
    <w:p w:rsidR="006224C2" w:rsidRPr="00295E71" w:rsidP="00FE3C0F" w14:paraId="04B374DF" w14:textId="77777777">
      <w:pPr>
        <w:numPr>
          <w:ilvl w:val="0"/>
          <w:numId w:val="14"/>
        </w:numPr>
        <w:tabs>
          <w:tab w:val="num" w:pos="540"/>
          <w:tab w:val="left" w:pos="567"/>
          <w:tab w:val="left" w:pos="993"/>
        </w:tabs>
        <w:ind w:left="567" w:hanging="567"/>
        <w:jc w:val="both"/>
        <w:rPr>
          <w:del w:id="17741" w:author="AbbVie14" w:date="2025-05-09T11:00:00Z"/>
          <w:sz w:val="22"/>
          <w:szCs w:val="22"/>
        </w:rPr>
      </w:pPr>
      <w:del w:id="17742" w:author="AbbVie14" w:date="2025-05-09T11:00:00Z">
        <w:r w:rsidRPr="00295E71">
          <w:rPr>
            <w:sz w:val="22"/>
            <w:szCs w:val="22"/>
          </w:rPr>
          <w:delText>epatite;</w:delText>
        </w:r>
      </w:del>
    </w:p>
    <w:p w:rsidR="006224C2" w:rsidRPr="00295E71" w:rsidP="00FE3C0F" w14:paraId="739733CD" w14:textId="77777777">
      <w:pPr>
        <w:numPr>
          <w:ilvl w:val="0"/>
          <w:numId w:val="14"/>
        </w:numPr>
        <w:tabs>
          <w:tab w:val="num" w:pos="540"/>
          <w:tab w:val="left" w:pos="567"/>
          <w:tab w:val="left" w:pos="993"/>
        </w:tabs>
        <w:ind w:left="567" w:hanging="567"/>
        <w:jc w:val="both"/>
        <w:rPr>
          <w:del w:id="17743" w:author="AbbVie14" w:date="2025-05-09T11:00:00Z"/>
          <w:sz w:val="22"/>
          <w:szCs w:val="22"/>
        </w:rPr>
      </w:pPr>
      <w:del w:id="17744" w:author="AbbVie14" w:date="2025-05-09T11:00:00Z">
        <w:r w:rsidRPr="00295E71">
          <w:rPr>
            <w:sz w:val="22"/>
            <w:szCs w:val="22"/>
          </w:rPr>
          <w:delText>riattivazione dell’epatite B;</w:delText>
        </w:r>
      </w:del>
    </w:p>
    <w:p w:rsidR="006224C2" w:rsidRPr="00295E71" w:rsidP="00FE3C0F" w14:paraId="0AAB376D" w14:textId="77777777">
      <w:pPr>
        <w:numPr>
          <w:ilvl w:val="0"/>
          <w:numId w:val="14"/>
        </w:numPr>
        <w:tabs>
          <w:tab w:val="num" w:pos="540"/>
          <w:tab w:val="left" w:pos="567"/>
          <w:tab w:val="left" w:pos="993"/>
        </w:tabs>
        <w:ind w:left="567" w:hanging="567"/>
        <w:jc w:val="both"/>
        <w:rPr>
          <w:del w:id="17745" w:author="AbbVie14" w:date="2025-05-09T11:00:00Z"/>
          <w:sz w:val="22"/>
          <w:szCs w:val="22"/>
        </w:rPr>
      </w:pPr>
      <w:del w:id="17746" w:author="AbbVie14" w:date="2025-05-09T11:00:00Z">
        <w:r w:rsidRPr="00295E71">
          <w:rPr>
            <w:sz w:val="22"/>
            <w:szCs w:val="22"/>
          </w:rPr>
          <w:delText>epatite autoimmune (infiammazione del fegato causata dal proprio sistema immunitario);</w:delText>
        </w:r>
      </w:del>
    </w:p>
    <w:p w:rsidR="006224C2" w:rsidRPr="00295E71" w:rsidP="00FE3C0F" w14:paraId="657A13CE" w14:textId="77777777">
      <w:pPr>
        <w:numPr>
          <w:ilvl w:val="0"/>
          <w:numId w:val="14"/>
        </w:numPr>
        <w:tabs>
          <w:tab w:val="num" w:pos="540"/>
          <w:tab w:val="left" w:pos="567"/>
          <w:tab w:val="left" w:pos="993"/>
        </w:tabs>
        <w:ind w:left="567" w:hanging="567"/>
        <w:jc w:val="both"/>
        <w:rPr>
          <w:del w:id="17747" w:author="AbbVie14" w:date="2025-05-09T11:00:00Z"/>
          <w:sz w:val="22"/>
          <w:szCs w:val="22"/>
        </w:rPr>
      </w:pPr>
      <w:del w:id="17748" w:author="AbbVie14" w:date="2025-05-09T11:00:00Z">
        <w:r w:rsidRPr="00295E71">
          <w:rPr>
            <w:sz w:val="22"/>
            <w:szCs w:val="22"/>
          </w:rPr>
          <w:delText>vasculite cutanea (infiammazione dei vasi sanguigni della pelle);</w:delText>
        </w:r>
      </w:del>
    </w:p>
    <w:p w:rsidR="006224C2" w:rsidRPr="00295E71" w:rsidP="00FE3C0F" w14:paraId="1756C36B" w14:textId="77777777">
      <w:pPr>
        <w:numPr>
          <w:ilvl w:val="0"/>
          <w:numId w:val="14"/>
        </w:numPr>
        <w:tabs>
          <w:tab w:val="num" w:pos="540"/>
          <w:tab w:val="left" w:pos="567"/>
          <w:tab w:val="left" w:pos="993"/>
        </w:tabs>
        <w:ind w:left="567" w:hanging="567"/>
        <w:jc w:val="both"/>
        <w:rPr>
          <w:del w:id="17749" w:author="AbbVie14" w:date="2025-05-09T11:00:00Z"/>
          <w:sz w:val="22"/>
          <w:szCs w:val="22"/>
        </w:rPr>
      </w:pPr>
      <w:del w:id="17750" w:author="AbbVie14" w:date="2025-05-09T11:00:00Z">
        <w:r w:rsidRPr="00295E71">
          <w:rPr>
            <w:sz w:val="22"/>
            <w:szCs w:val="22"/>
          </w:rPr>
          <w:delText>sindrome di Stevens-Johnson (i sintomi precoci includono malessere, febbre, cefalea ed eruzione cutanea);</w:delText>
        </w:r>
      </w:del>
    </w:p>
    <w:p w:rsidR="006224C2" w:rsidRPr="00295E71" w:rsidP="00FE3C0F" w14:paraId="7693A3D4" w14:textId="77777777">
      <w:pPr>
        <w:numPr>
          <w:ilvl w:val="0"/>
          <w:numId w:val="14"/>
        </w:numPr>
        <w:tabs>
          <w:tab w:val="num" w:pos="540"/>
          <w:tab w:val="left" w:pos="567"/>
          <w:tab w:val="left" w:pos="993"/>
        </w:tabs>
        <w:ind w:left="567" w:hanging="567"/>
        <w:jc w:val="both"/>
        <w:rPr>
          <w:del w:id="17751" w:author="AbbVie14" w:date="2025-05-09T11:00:00Z"/>
          <w:sz w:val="22"/>
          <w:szCs w:val="22"/>
        </w:rPr>
      </w:pPr>
      <w:del w:id="17752" w:author="AbbVie14" w:date="2025-05-09T11:00:00Z">
        <w:r w:rsidRPr="00295E71">
          <w:rPr>
            <w:sz w:val="22"/>
            <w:szCs w:val="22"/>
          </w:rPr>
          <w:delText>edema facciale associato a reazioni allergiche;</w:delText>
        </w:r>
      </w:del>
    </w:p>
    <w:p w:rsidR="006224C2" w:rsidRPr="00295E71" w:rsidP="00FE3C0F" w14:paraId="1900F28E" w14:textId="77777777">
      <w:pPr>
        <w:numPr>
          <w:ilvl w:val="0"/>
          <w:numId w:val="14"/>
        </w:numPr>
        <w:tabs>
          <w:tab w:val="num" w:pos="540"/>
          <w:tab w:val="left" w:pos="567"/>
          <w:tab w:val="left" w:pos="993"/>
        </w:tabs>
        <w:ind w:left="567" w:hanging="567"/>
        <w:jc w:val="both"/>
        <w:rPr>
          <w:del w:id="17753" w:author="AbbVie14" w:date="2025-05-09T11:00:00Z"/>
          <w:sz w:val="22"/>
          <w:szCs w:val="22"/>
        </w:rPr>
      </w:pPr>
      <w:del w:id="17754" w:author="AbbVie14" w:date="2025-05-09T11:00:00Z">
        <w:r w:rsidRPr="00295E71">
          <w:rPr>
            <w:sz w:val="22"/>
            <w:szCs w:val="22"/>
          </w:rPr>
          <w:delText>eritema multiforme (rash cutaneo infiammatorio);</w:delText>
        </w:r>
      </w:del>
    </w:p>
    <w:p w:rsidR="00132107" w:rsidRPr="00295E71" w:rsidP="00FE3C0F" w14:paraId="5465F2D9" w14:textId="77777777">
      <w:pPr>
        <w:numPr>
          <w:ilvl w:val="0"/>
          <w:numId w:val="14"/>
        </w:numPr>
        <w:tabs>
          <w:tab w:val="num" w:pos="540"/>
          <w:tab w:val="left" w:pos="567"/>
          <w:tab w:val="left" w:pos="993"/>
        </w:tabs>
        <w:ind w:left="567" w:hanging="567"/>
        <w:jc w:val="both"/>
        <w:rPr>
          <w:del w:id="17755" w:author="AbbVie14" w:date="2025-05-09T11:00:00Z"/>
          <w:sz w:val="22"/>
          <w:szCs w:val="22"/>
        </w:rPr>
      </w:pPr>
      <w:del w:id="17756" w:author="AbbVie14" w:date="2025-05-09T11:00:00Z">
        <w:r w:rsidRPr="00295E71">
          <w:rPr>
            <w:sz w:val="22"/>
            <w:szCs w:val="22"/>
          </w:rPr>
          <w:delText>sindrome simile al lupus;</w:delText>
        </w:r>
      </w:del>
    </w:p>
    <w:p w:rsidR="00D139A5" w:rsidP="00FE3C0F" w14:paraId="662250B0" w14:textId="77777777">
      <w:pPr>
        <w:numPr>
          <w:ilvl w:val="0"/>
          <w:numId w:val="14"/>
        </w:numPr>
        <w:tabs>
          <w:tab w:val="num" w:pos="540"/>
          <w:tab w:val="left" w:pos="567"/>
          <w:tab w:val="left" w:pos="993"/>
        </w:tabs>
        <w:ind w:left="567" w:hanging="567"/>
        <w:jc w:val="both"/>
        <w:rPr>
          <w:del w:id="17757" w:author="AbbVie14" w:date="2025-05-09T11:00:00Z"/>
          <w:sz w:val="22"/>
          <w:szCs w:val="22"/>
        </w:rPr>
      </w:pPr>
      <w:del w:id="17758" w:author="AbbVie14" w:date="2025-05-09T11:00:00Z">
        <w:r w:rsidRPr="00295E71">
          <w:rPr>
            <w:sz w:val="22"/>
            <w:szCs w:val="22"/>
          </w:rPr>
          <w:delText>angioedema (gonfiore localizzato della pelle)</w:delText>
        </w:r>
      </w:del>
      <w:del w:id="17759" w:author="AbbVie14" w:date="2025-05-09T11:00:00Z">
        <w:r>
          <w:rPr>
            <w:sz w:val="22"/>
            <w:szCs w:val="22"/>
          </w:rPr>
          <w:delText>;</w:delText>
        </w:r>
      </w:del>
    </w:p>
    <w:p w:rsidR="000B3354" w:rsidRPr="00295E71" w:rsidP="00FE3C0F" w14:paraId="4D7E5251" w14:textId="77777777">
      <w:pPr>
        <w:numPr>
          <w:ilvl w:val="0"/>
          <w:numId w:val="14"/>
        </w:numPr>
        <w:tabs>
          <w:tab w:val="left" w:pos="567"/>
          <w:tab w:val="left" w:pos="993"/>
        </w:tabs>
        <w:ind w:hanging="720"/>
        <w:jc w:val="both"/>
        <w:rPr>
          <w:del w:id="17760" w:author="AbbVie14" w:date="2025-05-09T11:00:00Z"/>
          <w:sz w:val="22"/>
          <w:szCs w:val="22"/>
        </w:rPr>
      </w:pPr>
      <w:del w:id="17761" w:author="AbbVie14" w:date="2025-05-09T11:00:00Z">
        <w:r w:rsidRPr="00756246">
          <w:rPr>
            <w:sz w:val="22"/>
            <w:szCs w:val="22"/>
          </w:rPr>
          <w:delText>reazione cutanea lichenoide (</w:delText>
        </w:r>
      </w:del>
      <w:del w:id="17762" w:author="AbbVie14" w:date="2025-05-09T11:00:00Z">
        <w:r w:rsidR="00514E08">
          <w:rPr>
            <w:sz w:val="22"/>
            <w:szCs w:val="22"/>
          </w:rPr>
          <w:delText>eruzione</w:delText>
        </w:r>
      </w:del>
      <w:del w:id="17763" w:author="AbbVie14" w:date="2025-05-09T11:00:00Z">
        <w:r w:rsidRPr="00756246">
          <w:rPr>
            <w:sz w:val="22"/>
            <w:szCs w:val="22"/>
          </w:rPr>
          <w:delText xml:space="preserve"> cutane</w:delText>
        </w:r>
      </w:del>
      <w:del w:id="17764" w:author="AbbVie14" w:date="2025-05-09T11:00:00Z">
        <w:r w:rsidR="00514E08">
          <w:rPr>
            <w:sz w:val="22"/>
            <w:szCs w:val="22"/>
          </w:rPr>
          <w:delText>a</w:delText>
        </w:r>
      </w:del>
      <w:del w:id="17765" w:author="AbbVie14" w:date="2025-05-09T11:00:00Z">
        <w:r w:rsidRPr="00756246">
          <w:rPr>
            <w:sz w:val="22"/>
            <w:szCs w:val="22"/>
          </w:rPr>
          <w:delText xml:space="preserve"> ross</w:delText>
        </w:r>
      </w:del>
      <w:del w:id="17766" w:author="AbbVie14" w:date="2025-05-09T11:00:00Z">
        <w:r w:rsidR="00514E08">
          <w:rPr>
            <w:sz w:val="22"/>
            <w:szCs w:val="22"/>
          </w:rPr>
          <w:delText>o</w:delText>
        </w:r>
      </w:del>
      <w:del w:id="17767" w:author="AbbVie14" w:date="2025-05-09T11:00:00Z">
        <w:r w:rsidRPr="00756246">
          <w:rPr>
            <w:sz w:val="22"/>
            <w:szCs w:val="22"/>
          </w:rPr>
          <w:delText>-viola</w:delText>
        </w:r>
      </w:del>
      <w:del w:id="17768" w:author="AbbVie14" w:date="2025-05-09T11:00:00Z">
        <w:r w:rsidR="00514E08">
          <w:rPr>
            <w:sz w:val="22"/>
            <w:szCs w:val="22"/>
          </w:rPr>
          <w:delText>cea</w:delText>
        </w:r>
      </w:del>
      <w:del w:id="17769" w:author="AbbVie14" w:date="2025-05-09T11:00:00Z">
        <w:r w:rsidRPr="00756246">
          <w:rPr>
            <w:sz w:val="22"/>
            <w:szCs w:val="22"/>
          </w:rPr>
          <w:delText xml:space="preserve"> pruriginos</w:delText>
        </w:r>
      </w:del>
      <w:del w:id="17770" w:author="AbbVie14" w:date="2025-05-09T11:00:00Z">
        <w:r w:rsidR="00514E08">
          <w:rPr>
            <w:sz w:val="22"/>
            <w:szCs w:val="22"/>
          </w:rPr>
          <w:delText>a</w:delText>
        </w:r>
      </w:del>
      <w:del w:id="17771" w:author="AbbVie14" w:date="2025-05-09T11:00:00Z">
        <w:r w:rsidRPr="00756246">
          <w:rPr>
            <w:sz w:val="22"/>
            <w:szCs w:val="22"/>
          </w:rPr>
          <w:delText>)</w:delText>
        </w:r>
      </w:del>
      <w:del w:id="17772" w:author="AbbVie14" w:date="2025-05-09T11:00:00Z">
        <w:r w:rsidRPr="00295E71">
          <w:rPr>
            <w:sz w:val="22"/>
            <w:szCs w:val="22"/>
          </w:rPr>
          <w:delText>.</w:delText>
        </w:r>
      </w:del>
    </w:p>
    <w:p w:rsidR="006224C2" w:rsidRPr="00295E71" w:rsidP="00FE3C0F" w14:paraId="0228DA3A" w14:textId="77777777">
      <w:pPr>
        <w:tabs>
          <w:tab w:val="left" w:pos="567"/>
          <w:tab w:val="left" w:pos="993"/>
        </w:tabs>
        <w:jc w:val="both"/>
        <w:rPr>
          <w:del w:id="17773" w:author="AbbVie14" w:date="2025-05-09T11:00:00Z"/>
          <w:sz w:val="22"/>
          <w:szCs w:val="22"/>
        </w:rPr>
      </w:pPr>
    </w:p>
    <w:p w:rsidR="006224C2" w:rsidRPr="00295E71" w:rsidP="00FE3C0F" w14:paraId="74488CA7" w14:textId="77777777">
      <w:pPr>
        <w:keepNext/>
        <w:keepLines/>
        <w:rPr>
          <w:del w:id="17774" w:author="AbbVie14" w:date="2025-05-09T11:00:00Z"/>
          <w:sz w:val="22"/>
          <w:szCs w:val="22"/>
        </w:rPr>
      </w:pPr>
      <w:del w:id="17775" w:author="AbbVie14" w:date="2025-05-09T11:00:00Z">
        <w:r w:rsidRPr="00295E71">
          <w:rPr>
            <w:sz w:val="22"/>
            <w:szCs w:val="22"/>
          </w:rPr>
          <w:delText>Non nota (la frequenza non può essere definita sulla base dei dati disponibili)</w:delText>
        </w:r>
      </w:del>
    </w:p>
    <w:p w:rsidR="006224C2" w:rsidRPr="00295E71" w:rsidP="00FE3C0F" w14:paraId="1E48DB9B" w14:textId="77777777">
      <w:pPr>
        <w:pStyle w:val="EMEAFigureTitle"/>
        <w:keepNext/>
        <w:keepLines/>
        <w:tabs>
          <w:tab w:val="left" w:pos="993"/>
        </w:tabs>
        <w:suppressAutoHyphens w:val="0"/>
        <w:jc w:val="both"/>
        <w:rPr>
          <w:del w:id="17776" w:author="AbbVie14" w:date="2025-05-09T11:00:00Z"/>
          <w:lang w:val="it-IT" w:eastAsia="it-IT"/>
        </w:rPr>
      </w:pPr>
    </w:p>
    <w:p w:rsidR="006224C2" w:rsidRPr="00295E71" w:rsidP="00FE3C0F" w14:paraId="6C1D9A4E" w14:textId="77777777">
      <w:pPr>
        <w:keepNext/>
        <w:keepLines/>
        <w:numPr>
          <w:ilvl w:val="0"/>
          <w:numId w:val="14"/>
        </w:numPr>
        <w:tabs>
          <w:tab w:val="num" w:pos="540"/>
          <w:tab w:val="left" w:pos="567"/>
          <w:tab w:val="left" w:pos="993"/>
        </w:tabs>
        <w:ind w:left="567" w:hanging="567"/>
        <w:jc w:val="both"/>
        <w:rPr>
          <w:del w:id="17777" w:author="AbbVie14" w:date="2025-05-09T11:00:00Z"/>
          <w:sz w:val="22"/>
          <w:szCs w:val="22"/>
        </w:rPr>
      </w:pPr>
      <w:del w:id="17778" w:author="AbbVie14" w:date="2025-05-09T11:00:00Z">
        <w:r w:rsidRPr="00295E71">
          <w:rPr>
            <w:sz w:val="22"/>
            <w:szCs w:val="22"/>
          </w:rPr>
          <w:delText>linfoma epato-splenico a cellule T (un raro tumore del sangue che spesso risulta fatale);</w:delText>
        </w:r>
      </w:del>
    </w:p>
    <w:p w:rsidR="006224C2" w:rsidP="00FE3C0F" w14:paraId="46B589BD" w14:textId="77777777">
      <w:pPr>
        <w:keepNext/>
        <w:keepLines/>
        <w:numPr>
          <w:ilvl w:val="0"/>
          <w:numId w:val="14"/>
        </w:numPr>
        <w:tabs>
          <w:tab w:val="num" w:pos="540"/>
          <w:tab w:val="left" w:pos="567"/>
          <w:tab w:val="left" w:pos="993"/>
        </w:tabs>
        <w:ind w:left="567" w:hanging="567"/>
        <w:jc w:val="both"/>
        <w:rPr>
          <w:del w:id="17779" w:author="AbbVie14" w:date="2025-05-09T11:00:00Z"/>
          <w:sz w:val="22"/>
          <w:szCs w:val="22"/>
        </w:rPr>
      </w:pPr>
      <w:del w:id="17780" w:author="AbbVie14" w:date="2025-05-09T11:00:00Z">
        <w:r w:rsidRPr="00295E71">
          <w:rPr>
            <w:sz w:val="22"/>
            <w:szCs w:val="22"/>
          </w:rPr>
          <w:delText>carcinoma a cellule di Merkel (un tipo di cancro della pelle);</w:delText>
        </w:r>
      </w:del>
    </w:p>
    <w:p w:rsidR="003E6A38" w:rsidRPr="00985ADA" w:rsidP="00FE3C0F" w14:paraId="3D71E49D" w14:textId="77777777">
      <w:pPr>
        <w:numPr>
          <w:ilvl w:val="0"/>
          <w:numId w:val="14"/>
        </w:numPr>
        <w:tabs>
          <w:tab w:val="num" w:pos="540"/>
          <w:tab w:val="left" w:pos="567"/>
          <w:tab w:val="left" w:pos="993"/>
        </w:tabs>
        <w:ind w:left="567" w:hanging="567"/>
        <w:jc w:val="both"/>
        <w:rPr>
          <w:del w:id="17781" w:author="AbbVie14" w:date="2025-05-09T11:00:00Z"/>
          <w:sz w:val="22"/>
          <w:szCs w:val="22"/>
        </w:rPr>
      </w:pPr>
      <w:del w:id="17782" w:author="AbbVie14" w:date="2025-05-09T11:00:00Z">
        <w:r w:rsidRPr="00C573CF">
          <w:rPr>
            <w:sz w:val="22"/>
            <w:szCs w:val="22"/>
          </w:rPr>
          <w:delText>sarcoma di Kaposi, una forma rara di cancro correlato a infezione da Herpes virus umano 8.</w:delText>
        </w:r>
      </w:del>
      <w:del w:id="17783" w:author="AbbVie14" w:date="2025-05-09T11:00:00Z">
        <w:r>
          <w:rPr>
            <w:sz w:val="22"/>
            <w:szCs w:val="22"/>
          </w:rPr>
          <w:delText xml:space="preserve"> </w:delText>
        </w:r>
      </w:del>
      <w:del w:id="17784" w:author="AbbVie14" w:date="2025-05-09T11:00:00Z">
        <w:r w:rsidRPr="00C573CF">
          <w:rPr>
            <w:sz w:val="22"/>
            <w:szCs w:val="22"/>
          </w:rPr>
          <w:delText>Il</w:delText>
        </w:r>
      </w:del>
      <w:del w:id="17785" w:author="AbbVie14" w:date="2025-05-09T11:00:00Z">
        <w:r>
          <w:rPr>
            <w:sz w:val="22"/>
            <w:szCs w:val="22"/>
          </w:rPr>
          <w:delText xml:space="preserve"> </w:delText>
        </w:r>
      </w:del>
      <w:del w:id="17786" w:author="AbbVie14" w:date="2025-05-09T11:00:00Z">
        <w:r w:rsidRPr="00C573CF">
          <w:rPr>
            <w:sz w:val="22"/>
            <w:szCs w:val="22"/>
          </w:rPr>
          <w:delText>sarcoma di Kaposi si manifesta più comunemente con lesioni viola sulla pelle</w:delText>
        </w:r>
      </w:del>
      <w:del w:id="17787" w:author="AbbVie14" w:date="2025-05-09T11:00:00Z">
        <w:r w:rsidR="00985ADA">
          <w:rPr>
            <w:sz w:val="22"/>
            <w:szCs w:val="22"/>
          </w:rPr>
          <w:delText>;</w:delText>
        </w:r>
      </w:del>
    </w:p>
    <w:p w:rsidR="006224C2" w:rsidRPr="00295E71" w:rsidP="00FE3C0F" w14:paraId="555C236A" w14:textId="77777777">
      <w:pPr>
        <w:numPr>
          <w:ilvl w:val="0"/>
          <w:numId w:val="14"/>
        </w:numPr>
        <w:tabs>
          <w:tab w:val="num" w:pos="540"/>
          <w:tab w:val="left" w:pos="567"/>
          <w:tab w:val="left" w:pos="993"/>
        </w:tabs>
        <w:ind w:left="567" w:hanging="567"/>
        <w:jc w:val="both"/>
        <w:rPr>
          <w:del w:id="17788" w:author="AbbVie14" w:date="2025-05-09T11:00:00Z"/>
          <w:sz w:val="22"/>
          <w:szCs w:val="22"/>
        </w:rPr>
      </w:pPr>
      <w:del w:id="17789" w:author="AbbVie14" w:date="2025-05-09T11:00:00Z">
        <w:r w:rsidRPr="00295E71">
          <w:rPr>
            <w:sz w:val="22"/>
            <w:szCs w:val="22"/>
          </w:rPr>
          <w:delText>insufficienza epatica;</w:delText>
        </w:r>
      </w:del>
    </w:p>
    <w:p w:rsidR="006224C2" w:rsidP="00FE3C0F" w14:paraId="4AC7852E" w14:textId="77777777">
      <w:pPr>
        <w:numPr>
          <w:ilvl w:val="0"/>
          <w:numId w:val="14"/>
        </w:numPr>
        <w:tabs>
          <w:tab w:val="num" w:pos="540"/>
          <w:tab w:val="left" w:pos="567"/>
          <w:tab w:val="left" w:pos="993"/>
        </w:tabs>
        <w:ind w:left="567" w:hanging="567"/>
        <w:jc w:val="both"/>
        <w:rPr>
          <w:del w:id="17790" w:author="AbbVie14" w:date="2025-05-09T11:00:00Z"/>
          <w:sz w:val="22"/>
          <w:szCs w:val="22"/>
        </w:rPr>
      </w:pPr>
      <w:del w:id="17791" w:author="AbbVie14" w:date="2025-05-09T11:00:00Z">
        <w:r w:rsidRPr="00295E71">
          <w:rPr>
            <w:sz w:val="22"/>
            <w:szCs w:val="22"/>
          </w:rPr>
          <w:delText>peggioramento di una condizione chiamata dermatomiosite (che si manifesta come eruzione cutanea accompagnata da debolezza muscolare)</w:delText>
        </w:r>
      </w:del>
    </w:p>
    <w:p w:rsidR="00A01AD4" w:rsidRPr="00295E71" w:rsidP="00FE3C0F" w14:paraId="634D1039" w14:textId="77777777">
      <w:pPr>
        <w:numPr>
          <w:ilvl w:val="0"/>
          <w:numId w:val="14"/>
        </w:numPr>
        <w:tabs>
          <w:tab w:val="num" w:pos="540"/>
          <w:tab w:val="left" w:pos="567"/>
          <w:tab w:val="left" w:pos="993"/>
        </w:tabs>
        <w:ind w:left="567" w:hanging="567"/>
        <w:jc w:val="both"/>
        <w:rPr>
          <w:del w:id="17792" w:author="AbbVie14" w:date="2025-05-09T11:00:00Z"/>
          <w:sz w:val="22"/>
          <w:szCs w:val="22"/>
        </w:rPr>
      </w:pPr>
      <w:del w:id="17793" w:author="AbbVie14" w:date="2025-05-09T11:00:00Z">
        <w:r w:rsidRPr="00A01AD4">
          <w:rPr>
            <w:sz w:val="22"/>
            <w:szCs w:val="22"/>
          </w:rPr>
          <w:delText>Aumento di peso (per la maggior parte dei pazienti l’aumento di peso è stato basso)</w:delText>
        </w:r>
      </w:del>
    </w:p>
    <w:p w:rsidR="006224C2" w:rsidRPr="00295E71" w:rsidP="00FE3C0F" w14:paraId="1E7444BC" w14:textId="77777777">
      <w:pPr>
        <w:pStyle w:val="EMEAFigureTitle"/>
        <w:tabs>
          <w:tab w:val="left" w:pos="993"/>
        </w:tabs>
        <w:suppressAutoHyphens w:val="0"/>
        <w:jc w:val="both"/>
        <w:rPr>
          <w:del w:id="17794" w:author="AbbVie14" w:date="2025-05-09T11:00:00Z"/>
          <w:lang w:val="it-IT" w:eastAsia="it-IT"/>
        </w:rPr>
      </w:pPr>
    </w:p>
    <w:p w:rsidR="006224C2" w:rsidRPr="00295E71" w:rsidP="00FE3C0F" w14:paraId="6D7D9498" w14:textId="77777777">
      <w:pPr>
        <w:pStyle w:val="EMEAFigureTitle"/>
        <w:tabs>
          <w:tab w:val="left" w:pos="993"/>
        </w:tabs>
        <w:suppressAutoHyphens w:val="0"/>
        <w:jc w:val="both"/>
        <w:rPr>
          <w:del w:id="17795" w:author="AbbVie14" w:date="2025-05-09T11:00:00Z"/>
          <w:lang w:val="it-IT"/>
        </w:rPr>
      </w:pPr>
      <w:del w:id="17796" w:author="AbbVie14" w:date="2025-05-09T11:00:00Z">
        <w:r w:rsidRPr="00295E71">
          <w:rPr>
            <w:lang w:val="it-IT" w:eastAsia="it-IT"/>
          </w:rPr>
          <w:delText>Alcuni degli effetti indesiderati</w:delText>
        </w:r>
      </w:del>
      <w:del w:id="17797" w:author="AbbVie14" w:date="2025-05-09T11:00:00Z">
        <w:r w:rsidRPr="00295E71" w:rsidR="00E27EF8">
          <w:rPr>
            <w:lang w:val="it-IT" w:eastAsia="it-IT"/>
          </w:rPr>
          <w:delText xml:space="preserve"> </w:delText>
        </w:r>
      </w:del>
      <w:del w:id="17798" w:author="AbbVie14" w:date="2025-05-09T11:00:00Z">
        <w:r w:rsidRPr="00295E71">
          <w:rPr>
            <w:lang w:val="it-IT" w:eastAsia="it-IT"/>
          </w:rPr>
          <w:delText>osservati con Humira possono essere</w:delText>
        </w:r>
      </w:del>
      <w:del w:id="17799" w:author="AbbVie14" w:date="2025-05-09T11:00:00Z">
        <w:r w:rsidRPr="00295E71" w:rsidR="00E27EF8">
          <w:rPr>
            <w:lang w:val="it-IT" w:eastAsia="it-IT"/>
          </w:rPr>
          <w:delText xml:space="preserve"> </w:delText>
        </w:r>
      </w:del>
      <w:del w:id="17800" w:author="AbbVie14" w:date="2025-05-09T11:00:00Z">
        <w:r w:rsidRPr="00295E71">
          <w:rPr>
            <w:lang w:val="it-IT" w:eastAsia="it-IT"/>
          </w:rPr>
          <w:delText>asintomatici e possono essere individuati solo attraverso gli esami del sangue.</w:delText>
        </w:r>
      </w:del>
      <w:del w:id="17801" w:author="AbbVie14" w:date="2025-05-09T11:00:00Z">
        <w:r w:rsidRPr="00295E71" w:rsidR="00395B98">
          <w:rPr>
            <w:lang w:val="it-IT" w:eastAsia="it-IT"/>
          </w:rPr>
          <w:delText xml:space="preserve"> </w:delText>
        </w:r>
      </w:del>
      <w:del w:id="17802" w:author="AbbVie14" w:date="2025-05-09T11:00:00Z">
        <w:r w:rsidRPr="00295E71">
          <w:rPr>
            <w:lang w:val="it-IT"/>
          </w:rPr>
          <w:delText>Questi includono:</w:delText>
        </w:r>
      </w:del>
    </w:p>
    <w:p w:rsidR="006224C2" w:rsidRPr="00295E71" w:rsidP="00FE3C0F" w14:paraId="05BA832F" w14:textId="77777777">
      <w:pPr>
        <w:tabs>
          <w:tab w:val="left" w:pos="567"/>
          <w:tab w:val="left" w:pos="993"/>
        </w:tabs>
        <w:jc w:val="both"/>
        <w:rPr>
          <w:del w:id="17803" w:author="AbbVie14" w:date="2025-05-09T11:00:00Z"/>
          <w:sz w:val="22"/>
          <w:szCs w:val="22"/>
        </w:rPr>
      </w:pPr>
    </w:p>
    <w:p w:rsidR="006224C2" w:rsidRPr="00295E71" w:rsidP="00FE3C0F" w14:paraId="5F474E35" w14:textId="77777777">
      <w:pPr>
        <w:tabs>
          <w:tab w:val="left" w:pos="567"/>
          <w:tab w:val="left" w:pos="993"/>
        </w:tabs>
        <w:jc w:val="both"/>
        <w:rPr>
          <w:del w:id="17804" w:author="AbbVie14" w:date="2025-05-09T11:00:00Z"/>
          <w:sz w:val="22"/>
          <w:szCs w:val="22"/>
        </w:rPr>
      </w:pPr>
      <w:del w:id="17805" w:author="AbbVie14" w:date="2025-05-09T11:00:00Z">
        <w:r w:rsidRPr="00295E71">
          <w:rPr>
            <w:sz w:val="22"/>
            <w:szCs w:val="22"/>
          </w:rPr>
          <w:delText>Molto comuni (possono manifestarsi in più di 1 persona su 10)</w:delText>
        </w:r>
      </w:del>
    </w:p>
    <w:p w:rsidR="006224C2" w:rsidRPr="00295E71" w:rsidP="00FE3C0F" w14:paraId="4D902091" w14:textId="77777777">
      <w:pPr>
        <w:tabs>
          <w:tab w:val="left" w:pos="567"/>
          <w:tab w:val="left" w:pos="993"/>
        </w:tabs>
        <w:jc w:val="both"/>
        <w:rPr>
          <w:del w:id="17806" w:author="AbbVie14" w:date="2025-05-09T11:00:00Z"/>
          <w:sz w:val="22"/>
          <w:szCs w:val="22"/>
        </w:rPr>
      </w:pPr>
    </w:p>
    <w:p w:rsidR="006224C2" w:rsidRPr="00295E71" w:rsidP="00FE3C0F" w14:paraId="2D3E484C" w14:textId="77777777">
      <w:pPr>
        <w:numPr>
          <w:ilvl w:val="0"/>
          <w:numId w:val="14"/>
        </w:numPr>
        <w:tabs>
          <w:tab w:val="num" w:pos="540"/>
          <w:tab w:val="left" w:pos="567"/>
          <w:tab w:val="left" w:pos="993"/>
        </w:tabs>
        <w:ind w:left="567" w:hanging="567"/>
        <w:jc w:val="both"/>
        <w:rPr>
          <w:del w:id="17807" w:author="AbbVie14" w:date="2025-05-09T11:00:00Z"/>
          <w:sz w:val="22"/>
          <w:szCs w:val="22"/>
        </w:rPr>
      </w:pPr>
      <w:del w:id="17808" w:author="AbbVie14" w:date="2025-05-09T11:00:00Z">
        <w:r w:rsidRPr="00295E71">
          <w:rPr>
            <w:sz w:val="22"/>
            <w:szCs w:val="22"/>
          </w:rPr>
          <w:delText>bassa conta dei globuli bianchi;</w:delText>
        </w:r>
      </w:del>
    </w:p>
    <w:p w:rsidR="006224C2" w:rsidRPr="00295E71" w:rsidP="00FE3C0F" w14:paraId="49685B7C" w14:textId="77777777">
      <w:pPr>
        <w:numPr>
          <w:ilvl w:val="0"/>
          <w:numId w:val="14"/>
        </w:numPr>
        <w:tabs>
          <w:tab w:val="num" w:pos="540"/>
          <w:tab w:val="left" w:pos="567"/>
          <w:tab w:val="left" w:pos="993"/>
        </w:tabs>
        <w:ind w:left="567" w:hanging="567"/>
        <w:jc w:val="both"/>
        <w:rPr>
          <w:del w:id="17809" w:author="AbbVie14" w:date="2025-05-09T11:00:00Z"/>
          <w:sz w:val="22"/>
          <w:szCs w:val="22"/>
        </w:rPr>
      </w:pPr>
      <w:del w:id="17810" w:author="AbbVie14" w:date="2025-05-09T11:00:00Z">
        <w:r w:rsidRPr="00295E71">
          <w:rPr>
            <w:sz w:val="22"/>
            <w:szCs w:val="22"/>
          </w:rPr>
          <w:delText>bassa conta dei globuli rossi;</w:delText>
        </w:r>
      </w:del>
    </w:p>
    <w:p w:rsidR="006224C2" w:rsidRPr="00295E71" w:rsidP="00FE3C0F" w14:paraId="438A6FA6" w14:textId="77777777">
      <w:pPr>
        <w:numPr>
          <w:ilvl w:val="0"/>
          <w:numId w:val="14"/>
        </w:numPr>
        <w:tabs>
          <w:tab w:val="num" w:pos="540"/>
          <w:tab w:val="left" w:pos="567"/>
          <w:tab w:val="left" w:pos="993"/>
        </w:tabs>
        <w:ind w:left="567" w:hanging="567"/>
        <w:jc w:val="both"/>
        <w:rPr>
          <w:del w:id="17811" w:author="AbbVie14" w:date="2025-05-09T11:00:00Z"/>
          <w:sz w:val="22"/>
          <w:szCs w:val="22"/>
        </w:rPr>
      </w:pPr>
      <w:del w:id="17812" w:author="AbbVie14" w:date="2025-05-09T11:00:00Z">
        <w:r w:rsidRPr="00295E71">
          <w:rPr>
            <w:sz w:val="22"/>
            <w:szCs w:val="22"/>
          </w:rPr>
          <w:delText>aumento dei lipidi nel sangue;</w:delText>
        </w:r>
      </w:del>
    </w:p>
    <w:p w:rsidR="006224C2" w:rsidRPr="00295E71" w:rsidP="00FE3C0F" w14:paraId="30EA17B6" w14:textId="77777777">
      <w:pPr>
        <w:numPr>
          <w:ilvl w:val="0"/>
          <w:numId w:val="14"/>
        </w:numPr>
        <w:tabs>
          <w:tab w:val="num" w:pos="540"/>
          <w:tab w:val="left" w:pos="567"/>
          <w:tab w:val="left" w:pos="993"/>
        </w:tabs>
        <w:ind w:left="567" w:hanging="567"/>
        <w:jc w:val="both"/>
        <w:rPr>
          <w:del w:id="17813" w:author="AbbVie14" w:date="2025-05-09T11:00:00Z"/>
          <w:sz w:val="22"/>
          <w:szCs w:val="22"/>
        </w:rPr>
      </w:pPr>
      <w:del w:id="17814" w:author="AbbVie14" w:date="2025-05-09T11:00:00Z">
        <w:r w:rsidRPr="00295E71">
          <w:rPr>
            <w:sz w:val="22"/>
            <w:szCs w:val="22"/>
          </w:rPr>
          <w:delText>aumento degli enzimi epatici.</w:delText>
        </w:r>
      </w:del>
    </w:p>
    <w:p w:rsidR="006224C2" w:rsidRPr="00295E71" w:rsidP="00FE3C0F" w14:paraId="1F9C63E1" w14:textId="77777777">
      <w:pPr>
        <w:tabs>
          <w:tab w:val="left" w:pos="567"/>
          <w:tab w:val="left" w:pos="993"/>
        </w:tabs>
        <w:jc w:val="both"/>
        <w:rPr>
          <w:del w:id="17815" w:author="AbbVie14" w:date="2025-05-09T11:00:00Z"/>
          <w:sz w:val="22"/>
          <w:szCs w:val="22"/>
        </w:rPr>
      </w:pPr>
    </w:p>
    <w:p w:rsidR="006224C2" w:rsidRPr="00295E71" w:rsidP="00FE3C0F" w14:paraId="4DB08282" w14:textId="77777777">
      <w:pPr>
        <w:pStyle w:val="EMEAFigureTitle"/>
        <w:tabs>
          <w:tab w:val="left" w:pos="993"/>
        </w:tabs>
        <w:suppressAutoHyphens w:val="0"/>
        <w:jc w:val="both"/>
        <w:rPr>
          <w:del w:id="17816" w:author="AbbVie14" w:date="2025-05-09T11:00:00Z"/>
          <w:lang w:val="it-IT" w:eastAsia="it-IT"/>
        </w:rPr>
      </w:pPr>
      <w:del w:id="17817" w:author="AbbVie14" w:date="2025-05-09T11:00:00Z">
        <w:r w:rsidRPr="00295E71">
          <w:rPr>
            <w:lang w:val="it-IT" w:eastAsia="it-IT"/>
          </w:rPr>
          <w:delText>Comuni (possono manifestarsi fino a 1 persona su 10)</w:delText>
        </w:r>
      </w:del>
    </w:p>
    <w:p w:rsidR="006224C2" w:rsidRPr="00295E71" w:rsidP="00FE3C0F" w14:paraId="078B91EB" w14:textId="77777777">
      <w:pPr>
        <w:pStyle w:val="EMEANormal"/>
        <w:jc w:val="both"/>
        <w:rPr>
          <w:del w:id="17818" w:author="AbbVie14" w:date="2025-05-09T11:00:00Z"/>
          <w:lang w:val="it-IT" w:eastAsia="it-IT"/>
        </w:rPr>
      </w:pPr>
    </w:p>
    <w:p w:rsidR="006224C2" w:rsidRPr="00295E71" w:rsidP="00FE3C0F" w14:paraId="10698BF0" w14:textId="77777777">
      <w:pPr>
        <w:numPr>
          <w:ilvl w:val="0"/>
          <w:numId w:val="14"/>
        </w:numPr>
        <w:tabs>
          <w:tab w:val="num" w:pos="540"/>
          <w:tab w:val="left" w:pos="567"/>
          <w:tab w:val="left" w:pos="993"/>
        </w:tabs>
        <w:ind w:left="567" w:hanging="567"/>
        <w:jc w:val="both"/>
        <w:rPr>
          <w:del w:id="17819" w:author="AbbVie14" w:date="2025-05-09T11:00:00Z"/>
          <w:sz w:val="22"/>
          <w:szCs w:val="22"/>
        </w:rPr>
      </w:pPr>
      <w:del w:id="17820" w:author="AbbVie14" w:date="2025-05-09T11:00:00Z">
        <w:r w:rsidRPr="00295E71">
          <w:rPr>
            <w:sz w:val="22"/>
            <w:szCs w:val="22"/>
          </w:rPr>
          <w:delText>aumento della conta dei globuli bianchi;</w:delText>
        </w:r>
      </w:del>
    </w:p>
    <w:p w:rsidR="006224C2" w:rsidRPr="00295E71" w:rsidP="00FE3C0F" w14:paraId="3C2A2611" w14:textId="77777777">
      <w:pPr>
        <w:numPr>
          <w:ilvl w:val="0"/>
          <w:numId w:val="14"/>
        </w:numPr>
        <w:tabs>
          <w:tab w:val="num" w:pos="540"/>
          <w:tab w:val="left" w:pos="567"/>
          <w:tab w:val="left" w:pos="993"/>
        </w:tabs>
        <w:ind w:left="567" w:hanging="567"/>
        <w:jc w:val="both"/>
        <w:rPr>
          <w:del w:id="17821" w:author="AbbVie14" w:date="2025-05-09T11:00:00Z"/>
          <w:sz w:val="22"/>
          <w:szCs w:val="22"/>
        </w:rPr>
      </w:pPr>
      <w:del w:id="17822" w:author="AbbVie14" w:date="2025-05-09T11:00:00Z">
        <w:r w:rsidRPr="00295E71">
          <w:rPr>
            <w:sz w:val="22"/>
            <w:szCs w:val="22"/>
          </w:rPr>
          <w:delText>riduzione della conta delle piastrine;</w:delText>
        </w:r>
      </w:del>
    </w:p>
    <w:p w:rsidR="006224C2" w:rsidRPr="00295E71" w:rsidP="00FE3C0F" w14:paraId="380336A3" w14:textId="77777777">
      <w:pPr>
        <w:numPr>
          <w:ilvl w:val="0"/>
          <w:numId w:val="14"/>
        </w:numPr>
        <w:tabs>
          <w:tab w:val="num" w:pos="540"/>
          <w:tab w:val="left" w:pos="567"/>
          <w:tab w:val="left" w:pos="993"/>
        </w:tabs>
        <w:ind w:left="567" w:hanging="567"/>
        <w:jc w:val="both"/>
        <w:rPr>
          <w:del w:id="17823" w:author="AbbVie14" w:date="2025-05-09T11:00:00Z"/>
          <w:sz w:val="22"/>
          <w:szCs w:val="22"/>
        </w:rPr>
      </w:pPr>
      <w:del w:id="17824" w:author="AbbVie14" w:date="2025-05-09T11:00:00Z">
        <w:r w:rsidRPr="00295E71">
          <w:rPr>
            <w:sz w:val="22"/>
            <w:szCs w:val="22"/>
          </w:rPr>
          <w:delText>aumento dell’acido urico nel sangue;</w:delText>
        </w:r>
      </w:del>
    </w:p>
    <w:p w:rsidR="006224C2" w:rsidRPr="00295E71" w:rsidP="00FE3C0F" w14:paraId="6E53EA99" w14:textId="77777777">
      <w:pPr>
        <w:numPr>
          <w:ilvl w:val="0"/>
          <w:numId w:val="14"/>
        </w:numPr>
        <w:tabs>
          <w:tab w:val="num" w:pos="540"/>
          <w:tab w:val="left" w:pos="567"/>
          <w:tab w:val="left" w:pos="993"/>
        </w:tabs>
        <w:ind w:left="567" w:hanging="567"/>
        <w:jc w:val="both"/>
        <w:rPr>
          <w:del w:id="17825" w:author="AbbVie14" w:date="2025-05-09T11:00:00Z"/>
          <w:sz w:val="22"/>
          <w:szCs w:val="22"/>
        </w:rPr>
      </w:pPr>
      <w:del w:id="17826" w:author="AbbVie14" w:date="2025-05-09T11:00:00Z">
        <w:r w:rsidRPr="00295E71">
          <w:rPr>
            <w:sz w:val="22"/>
            <w:szCs w:val="22"/>
          </w:rPr>
          <w:delText>alterazione del sodio nel sangue;</w:delText>
        </w:r>
      </w:del>
    </w:p>
    <w:p w:rsidR="006224C2" w:rsidRPr="00295E71" w:rsidP="00FE3C0F" w14:paraId="245BD231" w14:textId="77777777">
      <w:pPr>
        <w:numPr>
          <w:ilvl w:val="0"/>
          <w:numId w:val="14"/>
        </w:numPr>
        <w:tabs>
          <w:tab w:val="num" w:pos="540"/>
          <w:tab w:val="left" w:pos="567"/>
          <w:tab w:val="left" w:pos="993"/>
        </w:tabs>
        <w:ind w:left="567" w:hanging="567"/>
        <w:jc w:val="both"/>
        <w:rPr>
          <w:del w:id="17827" w:author="AbbVie14" w:date="2025-05-09T11:00:00Z"/>
          <w:sz w:val="22"/>
          <w:szCs w:val="22"/>
        </w:rPr>
      </w:pPr>
      <w:del w:id="17828" w:author="AbbVie14" w:date="2025-05-09T11:00:00Z">
        <w:r w:rsidRPr="00295E71">
          <w:rPr>
            <w:sz w:val="22"/>
            <w:szCs w:val="22"/>
          </w:rPr>
          <w:delText>riduzione del calcio nel sangue;</w:delText>
        </w:r>
      </w:del>
    </w:p>
    <w:p w:rsidR="006224C2" w:rsidRPr="00295E71" w:rsidP="00FE3C0F" w14:paraId="719B56C6" w14:textId="77777777">
      <w:pPr>
        <w:numPr>
          <w:ilvl w:val="0"/>
          <w:numId w:val="14"/>
        </w:numPr>
        <w:tabs>
          <w:tab w:val="num" w:pos="540"/>
          <w:tab w:val="left" w:pos="567"/>
          <w:tab w:val="left" w:pos="993"/>
        </w:tabs>
        <w:ind w:left="567" w:hanging="567"/>
        <w:jc w:val="both"/>
        <w:rPr>
          <w:del w:id="17829" w:author="AbbVie14" w:date="2025-05-09T11:00:00Z"/>
          <w:sz w:val="22"/>
          <w:szCs w:val="22"/>
        </w:rPr>
      </w:pPr>
      <w:del w:id="17830" w:author="AbbVie14" w:date="2025-05-09T11:00:00Z">
        <w:r w:rsidRPr="00295E71">
          <w:rPr>
            <w:sz w:val="22"/>
            <w:szCs w:val="22"/>
          </w:rPr>
          <w:delText>riduzione del fosforo nel sangue;</w:delText>
        </w:r>
      </w:del>
    </w:p>
    <w:p w:rsidR="006224C2" w:rsidRPr="00295E71" w:rsidP="00FE3C0F" w14:paraId="6F5CD3E0" w14:textId="77777777">
      <w:pPr>
        <w:numPr>
          <w:ilvl w:val="0"/>
          <w:numId w:val="14"/>
        </w:numPr>
        <w:tabs>
          <w:tab w:val="num" w:pos="540"/>
          <w:tab w:val="left" w:pos="567"/>
          <w:tab w:val="left" w:pos="993"/>
        </w:tabs>
        <w:ind w:left="567" w:hanging="567"/>
        <w:jc w:val="both"/>
        <w:rPr>
          <w:del w:id="17831" w:author="AbbVie14" w:date="2025-05-09T11:00:00Z"/>
          <w:sz w:val="22"/>
          <w:szCs w:val="22"/>
        </w:rPr>
      </w:pPr>
      <w:del w:id="17832" w:author="AbbVie14" w:date="2025-05-09T11:00:00Z">
        <w:r w:rsidRPr="00295E71">
          <w:rPr>
            <w:sz w:val="22"/>
            <w:szCs w:val="22"/>
          </w:rPr>
          <w:delText>aumento dello zucchero nel sangue;</w:delText>
        </w:r>
      </w:del>
    </w:p>
    <w:p w:rsidR="006224C2" w:rsidRPr="00295E71" w:rsidP="00FE3C0F" w14:paraId="57393295" w14:textId="77777777">
      <w:pPr>
        <w:numPr>
          <w:ilvl w:val="0"/>
          <w:numId w:val="14"/>
        </w:numPr>
        <w:tabs>
          <w:tab w:val="num" w:pos="540"/>
          <w:tab w:val="left" w:pos="567"/>
          <w:tab w:val="left" w:pos="993"/>
        </w:tabs>
        <w:ind w:left="567" w:hanging="567"/>
        <w:jc w:val="both"/>
        <w:rPr>
          <w:del w:id="17833" w:author="AbbVie14" w:date="2025-05-09T11:00:00Z"/>
          <w:sz w:val="22"/>
          <w:szCs w:val="22"/>
        </w:rPr>
      </w:pPr>
      <w:del w:id="17834" w:author="AbbVie14" w:date="2025-05-09T11:00:00Z">
        <w:r w:rsidRPr="00295E71">
          <w:rPr>
            <w:sz w:val="22"/>
            <w:szCs w:val="22"/>
          </w:rPr>
          <w:delText>aumento della lattatodeidrogenasi nel sangue;</w:delText>
        </w:r>
      </w:del>
    </w:p>
    <w:p w:rsidR="006224C2" w:rsidRPr="00295E71" w:rsidP="00FE3C0F" w14:paraId="485661DC" w14:textId="77777777">
      <w:pPr>
        <w:numPr>
          <w:ilvl w:val="0"/>
          <w:numId w:val="14"/>
        </w:numPr>
        <w:tabs>
          <w:tab w:val="num" w:pos="540"/>
          <w:tab w:val="left" w:pos="567"/>
          <w:tab w:val="left" w:pos="993"/>
        </w:tabs>
        <w:ind w:left="567" w:hanging="567"/>
        <w:jc w:val="both"/>
        <w:rPr>
          <w:del w:id="17835" w:author="AbbVie14" w:date="2025-05-09T11:00:00Z"/>
          <w:sz w:val="22"/>
          <w:szCs w:val="22"/>
        </w:rPr>
      </w:pPr>
      <w:del w:id="17836" w:author="AbbVie14" w:date="2025-05-09T11:00:00Z">
        <w:r w:rsidRPr="00295E71">
          <w:rPr>
            <w:sz w:val="22"/>
            <w:szCs w:val="22"/>
          </w:rPr>
          <w:delText>presenza di autoanticorpi nel sangue</w:delText>
        </w:r>
      </w:del>
      <w:del w:id="17837" w:author="AbbVie14" w:date="2025-05-09T11:00:00Z">
        <w:r w:rsidRPr="00295E71" w:rsidR="00467532">
          <w:rPr>
            <w:sz w:val="22"/>
            <w:szCs w:val="22"/>
          </w:rPr>
          <w:delText>;</w:delText>
        </w:r>
      </w:del>
    </w:p>
    <w:p w:rsidR="00467532" w:rsidRPr="00295E71" w:rsidP="00FE3C0F" w14:paraId="34F505B2" w14:textId="77777777">
      <w:pPr>
        <w:numPr>
          <w:ilvl w:val="0"/>
          <w:numId w:val="14"/>
        </w:numPr>
        <w:tabs>
          <w:tab w:val="num" w:pos="540"/>
          <w:tab w:val="left" w:pos="567"/>
          <w:tab w:val="left" w:pos="993"/>
        </w:tabs>
        <w:ind w:left="567" w:hanging="567"/>
        <w:jc w:val="both"/>
        <w:rPr>
          <w:del w:id="17838" w:author="AbbVie14" w:date="2025-05-09T11:00:00Z"/>
          <w:sz w:val="22"/>
          <w:szCs w:val="22"/>
        </w:rPr>
      </w:pPr>
      <w:del w:id="17839" w:author="AbbVie14" w:date="2025-05-09T11:00:00Z">
        <w:r w:rsidRPr="00295E71">
          <w:rPr>
            <w:sz w:val="22"/>
            <w:szCs w:val="22"/>
          </w:rPr>
          <w:delText>riduzione del potassio nel sangue.</w:delText>
        </w:r>
      </w:del>
    </w:p>
    <w:p w:rsidR="00467532" w:rsidRPr="00295E71" w:rsidP="00FE3C0F" w14:paraId="36E85029" w14:textId="77777777">
      <w:pPr>
        <w:tabs>
          <w:tab w:val="left" w:pos="567"/>
          <w:tab w:val="left" w:pos="993"/>
        </w:tabs>
        <w:ind w:left="567"/>
        <w:jc w:val="both"/>
        <w:rPr>
          <w:del w:id="17840" w:author="AbbVie14" w:date="2025-05-09T11:00:00Z"/>
          <w:sz w:val="22"/>
          <w:szCs w:val="22"/>
        </w:rPr>
      </w:pPr>
    </w:p>
    <w:p w:rsidR="00467532" w:rsidRPr="00295E71" w:rsidP="00FE3C0F" w14:paraId="09580E36" w14:textId="77777777">
      <w:pPr>
        <w:tabs>
          <w:tab w:val="left" w:pos="567"/>
          <w:tab w:val="left" w:pos="993"/>
        </w:tabs>
        <w:jc w:val="both"/>
        <w:rPr>
          <w:del w:id="17841" w:author="AbbVie14" w:date="2025-05-09T11:00:00Z"/>
          <w:sz w:val="22"/>
          <w:szCs w:val="22"/>
        </w:rPr>
      </w:pPr>
      <w:del w:id="17842" w:author="AbbVie14" w:date="2025-05-09T11:00:00Z">
        <w:r w:rsidRPr="0020624D">
          <w:rPr>
            <w:sz w:val="22"/>
            <w:szCs w:val="22"/>
          </w:rPr>
          <w:delText>Non comuni</w:delText>
        </w:r>
      </w:del>
      <w:del w:id="17843" w:author="AbbVie14" w:date="2025-05-09T11:00:00Z">
        <w:r w:rsidRPr="00295E71">
          <w:rPr>
            <w:sz w:val="22"/>
            <w:szCs w:val="22"/>
          </w:rPr>
          <w:delText xml:space="preserve"> (possono manifestarsi fino a 1 persona su 100)</w:delText>
        </w:r>
      </w:del>
    </w:p>
    <w:p w:rsidR="00467532" w:rsidRPr="00295E71" w:rsidP="00FE3C0F" w14:paraId="1225F4E1" w14:textId="77777777">
      <w:pPr>
        <w:tabs>
          <w:tab w:val="left" w:pos="567"/>
          <w:tab w:val="left" w:pos="993"/>
        </w:tabs>
        <w:jc w:val="both"/>
        <w:rPr>
          <w:del w:id="17844" w:author="AbbVie14" w:date="2025-05-09T11:00:00Z"/>
          <w:sz w:val="22"/>
          <w:szCs w:val="22"/>
        </w:rPr>
      </w:pPr>
    </w:p>
    <w:p w:rsidR="00467532" w:rsidRPr="00295E71" w:rsidP="00FE3C0F" w14:paraId="5530053F" w14:textId="77777777">
      <w:pPr>
        <w:pStyle w:val="ListParagraph"/>
        <w:numPr>
          <w:ilvl w:val="0"/>
          <w:numId w:val="134"/>
        </w:numPr>
        <w:ind w:left="567" w:hanging="539"/>
        <w:jc w:val="both"/>
        <w:rPr>
          <w:del w:id="17845" w:author="AbbVie14" w:date="2025-05-09T11:00:00Z"/>
          <w:sz w:val="22"/>
          <w:szCs w:val="22"/>
        </w:rPr>
      </w:pPr>
      <w:del w:id="17846" w:author="AbbVie14" w:date="2025-05-09T11:00:00Z">
        <w:r w:rsidRPr="00295E71">
          <w:rPr>
            <w:sz w:val="22"/>
            <w:szCs w:val="22"/>
          </w:rPr>
          <w:delText>livelli elevati di bilirubina nel sangue (esame epatico del sangue).</w:delText>
        </w:r>
      </w:del>
    </w:p>
    <w:p w:rsidR="006224C2" w:rsidRPr="00295E71" w:rsidP="00FE3C0F" w14:paraId="2E4633DB" w14:textId="77777777">
      <w:pPr>
        <w:tabs>
          <w:tab w:val="left" w:pos="567"/>
          <w:tab w:val="left" w:pos="993"/>
        </w:tabs>
        <w:jc w:val="both"/>
        <w:rPr>
          <w:del w:id="17847" w:author="AbbVie14" w:date="2025-05-09T11:00:00Z"/>
          <w:sz w:val="22"/>
          <w:szCs w:val="22"/>
        </w:rPr>
      </w:pPr>
    </w:p>
    <w:p w:rsidR="006224C2" w:rsidRPr="00295E71" w:rsidP="00FE3C0F" w14:paraId="56401699" w14:textId="77777777">
      <w:pPr>
        <w:pStyle w:val="EMEAFigureTitle"/>
        <w:tabs>
          <w:tab w:val="left" w:pos="993"/>
        </w:tabs>
        <w:suppressAutoHyphens w:val="0"/>
        <w:jc w:val="both"/>
        <w:rPr>
          <w:del w:id="17848" w:author="AbbVie14" w:date="2025-05-09T11:00:00Z"/>
          <w:lang w:val="it-IT" w:eastAsia="it-IT"/>
        </w:rPr>
      </w:pPr>
      <w:del w:id="17849" w:author="AbbVie14" w:date="2025-05-09T11:00:00Z">
        <w:r w:rsidRPr="00295E71">
          <w:rPr>
            <w:lang w:val="it-IT" w:eastAsia="it-IT"/>
          </w:rPr>
          <w:delText>Rari (possono manifestarsi fino a 1 persona su 1.000)</w:delText>
        </w:r>
      </w:del>
    </w:p>
    <w:p w:rsidR="006224C2" w:rsidRPr="00295E71" w:rsidP="00FE3C0F" w14:paraId="73AFD4B4" w14:textId="77777777">
      <w:pPr>
        <w:pStyle w:val="EMEANormal"/>
        <w:jc w:val="both"/>
        <w:rPr>
          <w:del w:id="17850" w:author="AbbVie14" w:date="2025-05-09T11:00:00Z"/>
          <w:lang w:val="it-IT" w:eastAsia="it-IT"/>
        </w:rPr>
      </w:pPr>
    </w:p>
    <w:p w:rsidR="006224C2" w:rsidRPr="00295E71" w:rsidP="00FE3C0F" w14:paraId="3B7FF786" w14:textId="77777777">
      <w:pPr>
        <w:numPr>
          <w:ilvl w:val="0"/>
          <w:numId w:val="14"/>
        </w:numPr>
        <w:tabs>
          <w:tab w:val="num" w:pos="540"/>
          <w:tab w:val="left" w:pos="567"/>
          <w:tab w:val="left" w:pos="993"/>
        </w:tabs>
        <w:ind w:left="567" w:hanging="567"/>
        <w:jc w:val="both"/>
        <w:rPr>
          <w:del w:id="17851" w:author="AbbVie14" w:date="2025-05-09T11:00:00Z"/>
          <w:sz w:val="22"/>
          <w:szCs w:val="22"/>
        </w:rPr>
      </w:pPr>
      <w:del w:id="17852" w:author="AbbVie14" w:date="2025-05-09T11:00:00Z">
        <w:r w:rsidRPr="00295E71">
          <w:rPr>
            <w:sz w:val="22"/>
            <w:szCs w:val="22"/>
          </w:rPr>
          <w:delText>bassa conta dei globuli bianchi, dei globuli rossi e delle piastrine.</w:delText>
        </w:r>
      </w:del>
    </w:p>
    <w:p w:rsidR="006224C2" w:rsidRPr="00295E71" w:rsidP="00FE3C0F" w14:paraId="3747AC84" w14:textId="77777777">
      <w:pPr>
        <w:tabs>
          <w:tab w:val="left" w:pos="567"/>
        </w:tabs>
        <w:jc w:val="both"/>
        <w:rPr>
          <w:del w:id="17853" w:author="AbbVie14" w:date="2025-05-09T11:00:00Z"/>
          <w:sz w:val="22"/>
          <w:szCs w:val="22"/>
        </w:rPr>
      </w:pPr>
    </w:p>
    <w:p w:rsidR="006224C2" w:rsidRPr="00295E71" w:rsidP="00FE3C0F" w14:paraId="53B21FD0" w14:textId="77777777">
      <w:pPr>
        <w:numPr>
          <w:ilvl w:val="12"/>
          <w:numId w:val="0"/>
        </w:numPr>
        <w:tabs>
          <w:tab w:val="left" w:pos="567"/>
        </w:tabs>
        <w:ind w:right="-2"/>
        <w:jc w:val="both"/>
        <w:rPr>
          <w:del w:id="17854" w:author="AbbVie14" w:date="2025-05-09T11:00:00Z"/>
          <w:b/>
          <w:sz w:val="22"/>
          <w:szCs w:val="22"/>
        </w:rPr>
      </w:pPr>
      <w:del w:id="17855" w:author="AbbVie14" w:date="2025-05-09T11:00:00Z">
        <w:r w:rsidRPr="00295E71">
          <w:rPr>
            <w:b/>
            <w:sz w:val="22"/>
            <w:szCs w:val="22"/>
          </w:rPr>
          <w:delText>Segnalazione degli effetti indesiderati</w:delText>
        </w:r>
      </w:del>
    </w:p>
    <w:p w:rsidR="006224C2" w:rsidRPr="00295E71" w:rsidP="00FE3C0F" w14:paraId="737B62EC" w14:textId="77777777">
      <w:pPr>
        <w:numPr>
          <w:ilvl w:val="12"/>
          <w:numId w:val="0"/>
        </w:numPr>
        <w:tabs>
          <w:tab w:val="left" w:pos="567"/>
        </w:tabs>
        <w:ind w:right="-2"/>
        <w:jc w:val="both"/>
        <w:rPr>
          <w:del w:id="17856" w:author="AbbVie14" w:date="2025-05-09T11:00:00Z"/>
          <w:sz w:val="22"/>
          <w:szCs w:val="22"/>
        </w:rPr>
      </w:pPr>
      <w:del w:id="17857" w:author="AbbVie14" w:date="2025-05-09T11:00:00Z">
        <w:r w:rsidRPr="00295E71">
          <w:rPr>
            <w:sz w:val="22"/>
            <w:szCs w:val="22"/>
          </w:rPr>
          <w:delText>Se manifesta un</w:delText>
        </w:r>
      </w:del>
      <w:del w:id="17858" w:author="AbbVie14" w:date="2025-05-09T11:00:00Z">
        <w:r w:rsidRPr="00295E71" w:rsidR="00E27EF8">
          <w:rPr>
            <w:sz w:val="22"/>
            <w:szCs w:val="22"/>
          </w:rPr>
          <w:delText xml:space="preserve"> </w:delText>
        </w:r>
      </w:del>
      <w:del w:id="17859" w:author="AbbVie14" w:date="2025-05-09T11:00:00Z">
        <w:r w:rsidRPr="00295E71">
          <w:rPr>
            <w:sz w:val="22"/>
            <w:szCs w:val="22"/>
          </w:rPr>
          <w:delText xml:space="preserve">qualsiasi effetto indesiderato, compresi quelli non elencati in questo foglio, si rivolga al medico o al farmacista. Può inoltre segnalare gli effetti indesiderati direttamente tramite il </w:delText>
        </w:r>
      </w:del>
      <w:del w:id="17860" w:author="AbbVie14" w:date="2025-05-09T11:00:00Z">
        <w:r w:rsidRPr="00295E71">
          <w:rPr>
            <w:sz w:val="22"/>
            <w:szCs w:val="22"/>
            <w:highlight w:val="lightGray"/>
          </w:rPr>
          <w:delText>sistema nazionale di segnalazione riportato nell’</w:delText>
        </w:r>
      </w:del>
      <w:del w:id="17861" w:author="AbbVie14" w:date="2025-05-09T11:00:00Z">
        <w:r>
          <w:fldChar w:fldCharType="begin"/>
        </w:r>
      </w:del>
      <w:del w:id="17862" w:author="AbbVie14" w:date="2025-05-09T11:00:00Z">
        <w:r>
          <w:delInstrText>HYPERLINK "http://www.ema.europa.eu/docs/en_GB/document_library/Template_or_form/2013/03/WC500139752.doc"</w:delInstrText>
        </w:r>
      </w:del>
      <w:del w:id="17863" w:author="AbbVie14" w:date="2025-05-09T11:00:00Z">
        <w:r>
          <w:fldChar w:fldCharType="separate"/>
        </w:r>
      </w:del>
      <w:del w:id="17864" w:author="AbbVie14" w:date="2025-05-09T11:00:00Z">
        <w:r w:rsidRPr="00295E71">
          <w:rPr>
            <w:rStyle w:val="Hyperlink"/>
            <w:sz w:val="22"/>
            <w:szCs w:val="22"/>
            <w:highlight w:val="lightGray"/>
          </w:rPr>
          <w:delText>allegato V</w:delText>
        </w:r>
      </w:del>
      <w:del w:id="17865" w:author="AbbVie14" w:date="2025-05-09T11:00:00Z">
        <w:r>
          <w:fldChar w:fldCharType="end"/>
        </w:r>
      </w:del>
      <w:del w:id="17866" w:author="AbbVie14" w:date="2025-05-09T11:00:00Z">
        <w:r w:rsidRPr="00295E71">
          <w:rPr>
            <w:sz w:val="22"/>
            <w:szCs w:val="22"/>
            <w:highlight w:val="lightGray"/>
          </w:rPr>
          <w:delText>.</w:delText>
        </w:r>
      </w:del>
      <w:del w:id="17867" w:author="AbbVie14" w:date="2025-05-09T11:00:00Z">
        <w:r w:rsidRPr="00295E71">
          <w:rPr>
            <w:sz w:val="22"/>
            <w:szCs w:val="22"/>
          </w:rPr>
          <w:delText xml:space="preserve"> Segnalando gli effetti indesiderati può contribuire a fornire maggiori informazioni sulla sicurezza di questo medicinale.</w:delText>
        </w:r>
      </w:del>
    </w:p>
    <w:p w:rsidR="006224C2" w:rsidRPr="00295E71" w:rsidP="00FE3C0F" w14:paraId="5F8EFB4F" w14:textId="77777777">
      <w:pPr>
        <w:numPr>
          <w:ilvl w:val="12"/>
          <w:numId w:val="0"/>
        </w:numPr>
        <w:tabs>
          <w:tab w:val="left" w:pos="567"/>
        </w:tabs>
        <w:ind w:right="-2"/>
        <w:jc w:val="both"/>
        <w:rPr>
          <w:del w:id="17868" w:author="AbbVie14" w:date="2025-05-09T11:00:00Z"/>
          <w:sz w:val="22"/>
          <w:szCs w:val="22"/>
        </w:rPr>
      </w:pPr>
    </w:p>
    <w:p w:rsidR="006224C2" w:rsidRPr="00295E71" w:rsidP="00FE3C0F" w14:paraId="0B4BDE0B" w14:textId="77777777">
      <w:pPr>
        <w:numPr>
          <w:ilvl w:val="12"/>
          <w:numId w:val="0"/>
        </w:numPr>
        <w:tabs>
          <w:tab w:val="left" w:pos="567"/>
        </w:tabs>
        <w:ind w:right="-2"/>
        <w:jc w:val="both"/>
        <w:rPr>
          <w:del w:id="17869" w:author="AbbVie14" w:date="2025-05-09T11:00:00Z"/>
          <w:sz w:val="22"/>
          <w:szCs w:val="22"/>
        </w:rPr>
      </w:pPr>
    </w:p>
    <w:p w:rsidR="006224C2" w:rsidRPr="00295E71" w:rsidP="00FE3C0F" w14:paraId="78920563" w14:textId="77777777">
      <w:pPr>
        <w:keepNext/>
        <w:rPr>
          <w:del w:id="17870" w:author="AbbVie14" w:date="2025-05-09T11:00:00Z"/>
          <w:b/>
          <w:bCs/>
          <w:sz w:val="22"/>
          <w:szCs w:val="22"/>
        </w:rPr>
      </w:pPr>
      <w:del w:id="17871" w:author="AbbVie14" w:date="2025-05-09T11:00:00Z">
        <w:r w:rsidRPr="00295E71">
          <w:rPr>
            <w:b/>
            <w:bCs/>
            <w:sz w:val="22"/>
            <w:szCs w:val="22"/>
          </w:rPr>
          <w:delText>5.</w:delText>
        </w:r>
      </w:del>
      <w:del w:id="17872" w:author="AbbVie14" w:date="2025-05-09T11:00:00Z">
        <w:r w:rsidRPr="00295E71">
          <w:rPr>
            <w:b/>
            <w:bCs/>
            <w:sz w:val="22"/>
            <w:szCs w:val="22"/>
          </w:rPr>
          <w:tab/>
          <w:delText>Come conservare Humira</w:delText>
        </w:r>
      </w:del>
    </w:p>
    <w:p w:rsidR="006224C2" w:rsidRPr="00295E71" w:rsidP="00FE3C0F" w14:paraId="14E5AC6A" w14:textId="77777777">
      <w:pPr>
        <w:keepNext/>
        <w:numPr>
          <w:ilvl w:val="12"/>
          <w:numId w:val="0"/>
        </w:numPr>
        <w:tabs>
          <w:tab w:val="left" w:pos="567"/>
        </w:tabs>
        <w:ind w:right="-2"/>
        <w:jc w:val="both"/>
        <w:rPr>
          <w:del w:id="17873" w:author="AbbVie14" w:date="2025-05-09T11:00:00Z"/>
          <w:sz w:val="22"/>
          <w:szCs w:val="22"/>
        </w:rPr>
      </w:pPr>
    </w:p>
    <w:p w:rsidR="006224C2" w:rsidRPr="00295E71" w:rsidP="00FE3C0F" w14:paraId="4A142551" w14:textId="77777777">
      <w:pPr>
        <w:keepNext/>
        <w:numPr>
          <w:ilvl w:val="12"/>
          <w:numId w:val="0"/>
        </w:numPr>
        <w:tabs>
          <w:tab w:val="left" w:pos="567"/>
        </w:tabs>
        <w:ind w:right="-2"/>
        <w:jc w:val="both"/>
        <w:rPr>
          <w:del w:id="17874" w:author="AbbVie14" w:date="2025-05-09T11:00:00Z"/>
          <w:sz w:val="22"/>
          <w:szCs w:val="22"/>
        </w:rPr>
      </w:pPr>
      <w:del w:id="17875" w:author="AbbVie14" w:date="2025-05-09T11:00:00Z">
        <w:r w:rsidRPr="00295E71">
          <w:rPr>
            <w:sz w:val="22"/>
            <w:szCs w:val="22"/>
          </w:rPr>
          <w:delText>Conservi questo medicinale fuori dalla vista e dalla portata dei bambini.</w:delText>
        </w:r>
      </w:del>
    </w:p>
    <w:p w:rsidR="006224C2" w:rsidRPr="00295E71" w:rsidP="00FE3C0F" w14:paraId="01E860DB" w14:textId="77777777">
      <w:pPr>
        <w:numPr>
          <w:ilvl w:val="12"/>
          <w:numId w:val="0"/>
        </w:numPr>
        <w:tabs>
          <w:tab w:val="left" w:pos="567"/>
        </w:tabs>
        <w:ind w:right="-2"/>
        <w:jc w:val="both"/>
        <w:rPr>
          <w:del w:id="17876" w:author="AbbVie14" w:date="2025-05-09T11:00:00Z"/>
          <w:sz w:val="22"/>
          <w:szCs w:val="22"/>
        </w:rPr>
      </w:pPr>
    </w:p>
    <w:p w:rsidR="006224C2" w:rsidRPr="00295E71" w:rsidP="00FE3C0F" w14:paraId="4AD86F86" w14:textId="77777777">
      <w:pPr>
        <w:numPr>
          <w:ilvl w:val="12"/>
          <w:numId w:val="0"/>
        </w:numPr>
        <w:tabs>
          <w:tab w:val="left" w:pos="567"/>
        </w:tabs>
        <w:ind w:right="-2"/>
        <w:jc w:val="both"/>
        <w:rPr>
          <w:del w:id="17877" w:author="AbbVie14" w:date="2025-05-09T11:00:00Z"/>
          <w:sz w:val="22"/>
          <w:szCs w:val="22"/>
        </w:rPr>
      </w:pPr>
      <w:del w:id="17878" w:author="AbbVie14" w:date="2025-05-09T11:00:00Z">
        <w:r w:rsidRPr="00295E71">
          <w:rPr>
            <w:sz w:val="22"/>
            <w:szCs w:val="22"/>
          </w:rPr>
          <w:delText xml:space="preserve">Non usi questo medicinale dopo la data di scadenza che è riportata sull’etichetta/blister/scatola dopo la scritta Scad. </w:delText>
        </w:r>
      </w:del>
    </w:p>
    <w:p w:rsidR="006224C2" w:rsidRPr="00295E71" w:rsidP="00FE3C0F" w14:paraId="6C3B49D6" w14:textId="77777777">
      <w:pPr>
        <w:numPr>
          <w:ilvl w:val="12"/>
          <w:numId w:val="0"/>
        </w:numPr>
        <w:tabs>
          <w:tab w:val="left" w:pos="567"/>
        </w:tabs>
        <w:ind w:right="-2"/>
        <w:jc w:val="both"/>
        <w:rPr>
          <w:del w:id="17879" w:author="AbbVie14" w:date="2025-05-09T11:00:00Z"/>
          <w:sz w:val="22"/>
          <w:szCs w:val="22"/>
        </w:rPr>
      </w:pPr>
    </w:p>
    <w:p w:rsidR="0097741F" w:rsidRPr="00295E71" w:rsidP="00FE3C0F" w14:paraId="398C85A3" w14:textId="77777777">
      <w:pPr>
        <w:numPr>
          <w:ilvl w:val="12"/>
          <w:numId w:val="0"/>
        </w:numPr>
        <w:tabs>
          <w:tab w:val="left" w:pos="567"/>
        </w:tabs>
        <w:ind w:right="-2"/>
        <w:jc w:val="both"/>
        <w:rPr>
          <w:del w:id="17880" w:author="AbbVie14" w:date="2025-05-09T11:00:00Z"/>
          <w:sz w:val="22"/>
          <w:szCs w:val="22"/>
        </w:rPr>
      </w:pPr>
      <w:del w:id="17881" w:author="AbbVie14" w:date="2025-05-09T11:00:00Z">
        <w:r w:rsidRPr="00295E71">
          <w:rPr>
            <w:sz w:val="22"/>
            <w:szCs w:val="22"/>
          </w:rPr>
          <w:delText>Conservare in frigorifero (2</w:delText>
        </w:r>
      </w:del>
      <w:del w:id="17882" w:author="AbbVie14" w:date="2025-05-09T11:00:00Z">
        <w:r w:rsidRPr="00295E71">
          <w:rPr>
            <w:rFonts w:ascii="Symbol" w:hAnsi="Symbol"/>
            <w:sz w:val="22"/>
            <w:szCs w:val="22"/>
          </w:rPr>
          <w:sym w:font="Symbol" w:char="F0B0"/>
        </w:r>
      </w:del>
      <w:del w:id="17883" w:author="AbbVie14" w:date="2025-05-09T11:00:00Z">
        <w:r w:rsidRPr="00295E71">
          <w:rPr>
            <w:sz w:val="22"/>
            <w:szCs w:val="22"/>
          </w:rPr>
          <w:delText>C – 8</w:delText>
        </w:r>
      </w:del>
      <w:del w:id="17884" w:author="AbbVie14" w:date="2025-05-09T11:00:00Z">
        <w:r w:rsidRPr="00295E71">
          <w:rPr>
            <w:rFonts w:ascii="Symbol" w:hAnsi="Symbol"/>
            <w:sz w:val="22"/>
            <w:szCs w:val="22"/>
          </w:rPr>
          <w:sym w:font="Symbol" w:char="F0B0"/>
        </w:r>
      </w:del>
      <w:del w:id="17885" w:author="AbbVie14" w:date="2025-05-09T11:00:00Z">
        <w:r w:rsidRPr="00295E71">
          <w:rPr>
            <w:sz w:val="22"/>
            <w:szCs w:val="22"/>
          </w:rPr>
          <w:delText xml:space="preserve">C). Non congelare. </w:delText>
        </w:r>
      </w:del>
    </w:p>
    <w:p w:rsidR="0097741F" w:rsidRPr="00295E71" w:rsidP="00FE3C0F" w14:paraId="5EEF9175" w14:textId="77777777">
      <w:pPr>
        <w:numPr>
          <w:ilvl w:val="12"/>
          <w:numId w:val="0"/>
        </w:numPr>
        <w:tabs>
          <w:tab w:val="left" w:pos="567"/>
        </w:tabs>
        <w:ind w:right="-2"/>
        <w:jc w:val="both"/>
        <w:rPr>
          <w:del w:id="17886" w:author="AbbVie14" w:date="2025-05-09T11:00:00Z"/>
          <w:sz w:val="22"/>
          <w:szCs w:val="22"/>
        </w:rPr>
      </w:pPr>
    </w:p>
    <w:p w:rsidR="006224C2" w:rsidRPr="00295E71" w:rsidP="00FE3C0F" w14:paraId="27AC2E24" w14:textId="77777777">
      <w:pPr>
        <w:numPr>
          <w:ilvl w:val="12"/>
          <w:numId w:val="0"/>
        </w:numPr>
        <w:tabs>
          <w:tab w:val="left" w:pos="567"/>
        </w:tabs>
        <w:ind w:right="-2"/>
        <w:jc w:val="both"/>
        <w:rPr>
          <w:del w:id="17887" w:author="AbbVie14" w:date="2025-05-09T11:00:00Z"/>
          <w:sz w:val="22"/>
          <w:szCs w:val="22"/>
        </w:rPr>
      </w:pPr>
      <w:del w:id="17888" w:author="AbbVie14" w:date="2025-05-09T11:00:00Z">
        <w:r w:rsidRPr="00295E71">
          <w:rPr>
            <w:sz w:val="22"/>
            <w:szCs w:val="22"/>
          </w:rPr>
          <w:delText xml:space="preserve">Tenere </w:delText>
        </w:r>
      </w:del>
      <w:del w:id="17889" w:author="AbbVie14" w:date="2025-05-09T11:00:00Z">
        <w:r w:rsidRPr="00295E71" w:rsidR="00226BC4">
          <w:rPr>
            <w:sz w:val="22"/>
            <w:szCs w:val="22"/>
          </w:rPr>
          <w:delText xml:space="preserve">la siringa </w:delText>
        </w:r>
      </w:del>
      <w:del w:id="17890" w:author="AbbVie14" w:date="2025-05-09T11:00:00Z">
        <w:r w:rsidRPr="00295E71" w:rsidR="0097741F">
          <w:rPr>
            <w:sz w:val="22"/>
            <w:szCs w:val="22"/>
          </w:rPr>
          <w:delText>pre-riempita</w:delText>
        </w:r>
      </w:del>
      <w:del w:id="17891" w:author="AbbVie14" w:date="2025-05-09T11:00:00Z">
        <w:r w:rsidRPr="00295E71" w:rsidR="00226BC4">
          <w:rPr>
            <w:sz w:val="22"/>
            <w:szCs w:val="22"/>
          </w:rPr>
          <w:delText xml:space="preserve"> nell’</w:delText>
        </w:r>
      </w:del>
      <w:del w:id="17892" w:author="AbbVie14" w:date="2025-05-09T11:00:00Z">
        <w:r w:rsidRPr="00295E71">
          <w:delText>imballaggio esterno</w:delText>
        </w:r>
      </w:del>
      <w:del w:id="17893" w:author="AbbVie14" w:date="2025-05-09T11:00:00Z">
        <w:r w:rsidRPr="00295E71" w:rsidR="00226BC4">
          <w:rPr>
            <w:sz w:val="22"/>
            <w:szCs w:val="22"/>
          </w:rPr>
          <w:delText xml:space="preserve"> per proteggere il medicinale dalla luce.</w:delText>
        </w:r>
      </w:del>
    </w:p>
    <w:p w:rsidR="006224C2" w:rsidRPr="00295E71" w:rsidP="00FE3C0F" w14:paraId="1372DF7E" w14:textId="77777777">
      <w:pPr>
        <w:numPr>
          <w:ilvl w:val="12"/>
          <w:numId w:val="0"/>
        </w:numPr>
        <w:tabs>
          <w:tab w:val="left" w:pos="567"/>
        </w:tabs>
        <w:ind w:right="-2"/>
        <w:jc w:val="both"/>
        <w:rPr>
          <w:del w:id="17894" w:author="AbbVie14" w:date="2025-05-09T11:00:00Z"/>
          <w:sz w:val="22"/>
          <w:szCs w:val="22"/>
        </w:rPr>
      </w:pPr>
    </w:p>
    <w:p w:rsidR="006224C2" w:rsidRPr="00295E71" w:rsidP="00FE3C0F" w14:paraId="38F49208" w14:textId="77777777">
      <w:pPr>
        <w:keepNext/>
        <w:keepLines/>
        <w:numPr>
          <w:ilvl w:val="12"/>
          <w:numId w:val="0"/>
        </w:numPr>
        <w:tabs>
          <w:tab w:val="left" w:pos="567"/>
        </w:tabs>
        <w:jc w:val="both"/>
        <w:rPr>
          <w:del w:id="17895" w:author="AbbVie14" w:date="2025-05-09T11:00:00Z"/>
          <w:sz w:val="22"/>
          <w:szCs w:val="22"/>
        </w:rPr>
      </w:pPr>
      <w:del w:id="17896" w:author="AbbVie14" w:date="2025-05-09T11:00:00Z">
        <w:r w:rsidRPr="00295E71">
          <w:rPr>
            <w:sz w:val="22"/>
            <w:szCs w:val="22"/>
          </w:rPr>
          <w:delText>Condizioni di conservazione alternative:</w:delText>
        </w:r>
      </w:del>
    </w:p>
    <w:p w:rsidR="006224C2" w:rsidRPr="00295E71" w:rsidP="00FE3C0F" w14:paraId="19930BA9" w14:textId="77777777">
      <w:pPr>
        <w:keepNext/>
        <w:keepLines/>
        <w:numPr>
          <w:ilvl w:val="12"/>
          <w:numId w:val="0"/>
        </w:numPr>
        <w:tabs>
          <w:tab w:val="left" w:pos="567"/>
        </w:tabs>
        <w:jc w:val="both"/>
        <w:rPr>
          <w:del w:id="17897" w:author="AbbVie14" w:date="2025-05-09T11:00:00Z"/>
          <w:sz w:val="22"/>
          <w:szCs w:val="22"/>
        </w:rPr>
      </w:pPr>
    </w:p>
    <w:p w:rsidR="006224C2" w:rsidRPr="00295E71" w:rsidP="00FE3C0F" w14:paraId="39330233" w14:textId="77777777">
      <w:pPr>
        <w:keepNext/>
        <w:keepLines/>
        <w:numPr>
          <w:ilvl w:val="12"/>
          <w:numId w:val="0"/>
        </w:numPr>
        <w:tabs>
          <w:tab w:val="left" w:pos="567"/>
        </w:tabs>
        <w:jc w:val="both"/>
        <w:rPr>
          <w:del w:id="17898" w:author="AbbVie14" w:date="2025-05-09T11:00:00Z"/>
          <w:sz w:val="22"/>
          <w:szCs w:val="22"/>
        </w:rPr>
      </w:pPr>
      <w:del w:id="17899" w:author="AbbVie14" w:date="2025-05-09T11:00:00Z">
        <w:r w:rsidRPr="00295E71">
          <w:rPr>
            <w:sz w:val="22"/>
            <w:szCs w:val="22"/>
          </w:rPr>
          <w:delText xml:space="preserve">Quando necessario (per esempio quando viaggia) una singola siringa pronta all’uso può essere conservata a temperatura ambiente (fino a 25°C) per un periodo massimo di 14 giorni – assicurarsi di proteggere il medicinale dalla luce. Una volta che viene rimossa dal frigorifero per essere conservata a temperatura ambiente, la siringa </w:delText>
        </w:r>
      </w:del>
      <w:del w:id="17900" w:author="AbbVie14" w:date="2025-05-09T11:00:00Z">
        <w:r w:rsidRPr="00295E71">
          <w:rPr>
            <w:b/>
            <w:sz w:val="22"/>
            <w:szCs w:val="22"/>
          </w:rPr>
          <w:delText>deve essere usata entro 14 giorni o buttata via</w:delText>
        </w:r>
      </w:del>
      <w:del w:id="17901" w:author="AbbVie14" w:date="2025-05-09T11:00:00Z">
        <w:r w:rsidRPr="00295E71">
          <w:rPr>
            <w:sz w:val="22"/>
            <w:szCs w:val="22"/>
          </w:rPr>
          <w:delText>, anche se viene posta di nuovo nel frigorifero.</w:delText>
        </w:r>
      </w:del>
    </w:p>
    <w:p w:rsidR="006224C2" w:rsidRPr="00295E71" w:rsidP="00FE3C0F" w14:paraId="74E83405" w14:textId="77777777">
      <w:pPr>
        <w:numPr>
          <w:ilvl w:val="12"/>
          <w:numId w:val="0"/>
        </w:numPr>
        <w:tabs>
          <w:tab w:val="left" w:pos="567"/>
        </w:tabs>
        <w:ind w:right="-2"/>
        <w:jc w:val="both"/>
        <w:rPr>
          <w:del w:id="17902" w:author="AbbVie14" w:date="2025-05-09T11:00:00Z"/>
          <w:sz w:val="22"/>
          <w:szCs w:val="22"/>
        </w:rPr>
      </w:pPr>
    </w:p>
    <w:p w:rsidR="006224C2" w:rsidRPr="00295E71" w:rsidP="00FE3C0F" w14:paraId="0B208753" w14:textId="77777777">
      <w:pPr>
        <w:numPr>
          <w:ilvl w:val="12"/>
          <w:numId w:val="0"/>
        </w:numPr>
        <w:tabs>
          <w:tab w:val="left" w:pos="567"/>
        </w:tabs>
        <w:ind w:right="-2"/>
        <w:jc w:val="both"/>
        <w:rPr>
          <w:del w:id="17903" w:author="AbbVie14" w:date="2025-05-09T11:00:00Z"/>
          <w:sz w:val="22"/>
          <w:szCs w:val="22"/>
        </w:rPr>
      </w:pPr>
      <w:del w:id="17904" w:author="AbbVie14" w:date="2025-05-09T11:00:00Z">
        <w:r w:rsidRPr="00295E71">
          <w:rPr>
            <w:sz w:val="22"/>
            <w:szCs w:val="22"/>
          </w:rPr>
          <w:delText>Deve registrare la data in cui la siringa viene tolta dal frigorifero la prima volta e la data dopo la quale la siringa deve essere buttata via.</w:delText>
        </w:r>
      </w:del>
    </w:p>
    <w:p w:rsidR="006224C2" w:rsidRPr="00295E71" w:rsidP="00FE3C0F" w14:paraId="79F43704" w14:textId="77777777">
      <w:pPr>
        <w:numPr>
          <w:ilvl w:val="12"/>
          <w:numId w:val="0"/>
        </w:numPr>
        <w:tabs>
          <w:tab w:val="left" w:pos="567"/>
        </w:tabs>
        <w:ind w:right="-2"/>
        <w:jc w:val="both"/>
        <w:rPr>
          <w:del w:id="17905" w:author="AbbVie14" w:date="2025-05-09T11:00:00Z"/>
          <w:sz w:val="22"/>
          <w:szCs w:val="22"/>
        </w:rPr>
      </w:pPr>
    </w:p>
    <w:p w:rsidR="006224C2" w:rsidRPr="00295E71" w:rsidP="00FE3C0F" w14:paraId="28EF99AD" w14:textId="77777777">
      <w:pPr>
        <w:suppressAutoHyphens/>
        <w:jc w:val="both"/>
        <w:rPr>
          <w:del w:id="17906" w:author="AbbVie14" w:date="2025-05-09T11:00:00Z"/>
          <w:sz w:val="22"/>
          <w:szCs w:val="22"/>
        </w:rPr>
      </w:pPr>
      <w:del w:id="17907" w:author="AbbVie14" w:date="2025-05-09T11:00:00Z">
        <w:r w:rsidRPr="00295E71">
          <w:rPr>
            <w:sz w:val="22"/>
            <w:szCs w:val="22"/>
          </w:rPr>
          <w:delText xml:space="preserve">Non getti alcun medicinale nell’acqua di scarico e nei rifiuti domestici. Chieda al medico o al farmacista come eliminare i medicinali che non utilizza più. Questo aiuterà a proteggere l’ambiente. </w:delText>
        </w:r>
      </w:del>
    </w:p>
    <w:p w:rsidR="006224C2" w:rsidRPr="00295E71" w:rsidP="00FE3C0F" w14:paraId="0AE75A31" w14:textId="77777777">
      <w:pPr>
        <w:rPr>
          <w:del w:id="17908" w:author="AbbVie14" w:date="2025-05-09T11:00:00Z"/>
          <w:sz w:val="22"/>
          <w:szCs w:val="22"/>
        </w:rPr>
      </w:pPr>
    </w:p>
    <w:p w:rsidR="006224C2" w:rsidRPr="00295E71" w:rsidP="00FE3C0F" w14:paraId="687BC332" w14:textId="77777777">
      <w:pPr>
        <w:rPr>
          <w:del w:id="17909" w:author="AbbVie14" w:date="2025-05-09T11:00:00Z"/>
          <w:sz w:val="22"/>
          <w:szCs w:val="22"/>
        </w:rPr>
      </w:pPr>
    </w:p>
    <w:p w:rsidR="006224C2" w:rsidRPr="00295E71" w:rsidP="00FE3C0F" w14:paraId="6EFC343F" w14:textId="77777777">
      <w:pPr>
        <w:keepNext/>
        <w:keepLines/>
        <w:rPr>
          <w:del w:id="17910" w:author="AbbVie14" w:date="2025-05-09T11:00:00Z"/>
          <w:b/>
          <w:bCs/>
          <w:sz w:val="22"/>
          <w:szCs w:val="22"/>
        </w:rPr>
      </w:pPr>
      <w:del w:id="17911" w:author="AbbVie14" w:date="2025-05-09T11:00:00Z">
        <w:r w:rsidRPr="00295E71">
          <w:rPr>
            <w:b/>
            <w:bCs/>
            <w:sz w:val="22"/>
            <w:szCs w:val="22"/>
          </w:rPr>
          <w:delText>6.</w:delText>
        </w:r>
      </w:del>
      <w:del w:id="17912" w:author="AbbVie14" w:date="2025-05-09T11:00:00Z">
        <w:r w:rsidRPr="00295E71">
          <w:rPr>
            <w:b/>
            <w:bCs/>
            <w:sz w:val="22"/>
            <w:szCs w:val="22"/>
          </w:rPr>
          <w:tab/>
          <w:delText>Contenuto della confezione e altre informazioni</w:delText>
        </w:r>
      </w:del>
    </w:p>
    <w:p w:rsidR="006224C2" w:rsidRPr="00295E71" w:rsidP="00FE3C0F" w14:paraId="5C6D41FB" w14:textId="77777777">
      <w:pPr>
        <w:keepNext/>
        <w:keepLines/>
        <w:numPr>
          <w:ilvl w:val="12"/>
          <w:numId w:val="0"/>
        </w:numPr>
        <w:tabs>
          <w:tab w:val="left" w:pos="567"/>
        </w:tabs>
        <w:ind w:right="-2"/>
        <w:jc w:val="both"/>
        <w:rPr>
          <w:del w:id="17913" w:author="AbbVie14" w:date="2025-05-09T11:00:00Z"/>
          <w:sz w:val="22"/>
          <w:szCs w:val="22"/>
        </w:rPr>
      </w:pPr>
    </w:p>
    <w:p w:rsidR="006224C2" w:rsidRPr="00295E71" w:rsidP="00FE3C0F" w14:paraId="66892601" w14:textId="77777777">
      <w:pPr>
        <w:pStyle w:val="Heading8"/>
        <w:keepLines/>
        <w:tabs>
          <w:tab w:val="left" w:pos="567"/>
        </w:tabs>
        <w:jc w:val="both"/>
        <w:rPr>
          <w:del w:id="17914" w:author="AbbVie14" w:date="2025-05-09T11:00:00Z"/>
        </w:rPr>
      </w:pPr>
      <w:del w:id="17915" w:author="AbbVie14" w:date="2025-05-09T11:00:00Z">
        <w:r w:rsidRPr="00295E71">
          <w:delText>Cosa contiene Humira</w:delText>
        </w:r>
      </w:del>
    </w:p>
    <w:p w:rsidR="006224C2" w:rsidRPr="00295E71" w:rsidP="00FE3C0F" w14:paraId="3683DCD0" w14:textId="77777777">
      <w:pPr>
        <w:jc w:val="both"/>
        <w:rPr>
          <w:del w:id="17916" w:author="AbbVie14" w:date="2025-05-09T11:00:00Z"/>
          <w:sz w:val="22"/>
          <w:szCs w:val="22"/>
        </w:rPr>
      </w:pPr>
    </w:p>
    <w:p w:rsidR="006224C2" w:rsidRPr="00295E71" w:rsidP="00FE3C0F" w14:paraId="7BBAF957" w14:textId="77777777">
      <w:pPr>
        <w:tabs>
          <w:tab w:val="left" w:pos="567"/>
        </w:tabs>
        <w:ind w:right="-2"/>
        <w:jc w:val="both"/>
        <w:rPr>
          <w:del w:id="17917" w:author="AbbVie14" w:date="2025-05-09T11:00:00Z"/>
          <w:sz w:val="22"/>
          <w:szCs w:val="22"/>
        </w:rPr>
      </w:pPr>
      <w:del w:id="17918" w:author="AbbVie14" w:date="2025-05-09T11:00:00Z">
        <w:r w:rsidRPr="00295E71">
          <w:rPr>
            <w:sz w:val="22"/>
            <w:szCs w:val="22"/>
          </w:rPr>
          <w:delText>Il principio attivo è adalimumab.</w:delText>
        </w:r>
      </w:del>
    </w:p>
    <w:p w:rsidR="006224C2" w:rsidRPr="00295E71" w:rsidP="00FE3C0F" w14:paraId="4EFC8061" w14:textId="77777777">
      <w:pPr>
        <w:tabs>
          <w:tab w:val="left" w:pos="567"/>
        </w:tabs>
        <w:ind w:right="-2"/>
        <w:jc w:val="both"/>
        <w:rPr>
          <w:del w:id="17919" w:author="AbbVie14" w:date="2025-05-09T11:00:00Z"/>
          <w:sz w:val="22"/>
          <w:szCs w:val="22"/>
        </w:rPr>
      </w:pPr>
      <w:del w:id="17920" w:author="AbbVie14" w:date="2025-05-09T11:00:00Z">
        <w:r w:rsidRPr="00295E71">
          <w:rPr>
            <w:sz w:val="22"/>
            <w:szCs w:val="22"/>
          </w:rPr>
          <w:delText>Gli eccipienti sono mannitolo, acido citrico monoidrato, sodio citrato, sodio fosfato monobasico diidrato, sodio fosfato dibasico diidrato, sodio cloruro, polisorbato 80, sodio idrossido e acqua per preparazioni iniettabili.</w:delText>
        </w:r>
      </w:del>
    </w:p>
    <w:p w:rsidR="006224C2" w:rsidRPr="00295E71" w:rsidP="00FE3C0F" w14:paraId="47D5FA28" w14:textId="77777777">
      <w:pPr>
        <w:numPr>
          <w:ilvl w:val="12"/>
          <w:numId w:val="0"/>
        </w:numPr>
        <w:tabs>
          <w:tab w:val="left" w:pos="567"/>
        </w:tabs>
        <w:ind w:right="-2"/>
        <w:jc w:val="both"/>
        <w:rPr>
          <w:del w:id="17921" w:author="AbbVie14" w:date="2025-05-09T11:00:00Z"/>
          <w:sz w:val="22"/>
          <w:szCs w:val="22"/>
        </w:rPr>
      </w:pPr>
    </w:p>
    <w:p w:rsidR="006224C2" w:rsidRPr="00295E71" w:rsidP="00FE3C0F" w14:paraId="76EAA01A" w14:textId="77777777">
      <w:pPr>
        <w:pStyle w:val="Heading8"/>
        <w:keepNext w:val="0"/>
        <w:tabs>
          <w:tab w:val="left" w:pos="567"/>
        </w:tabs>
        <w:jc w:val="both"/>
        <w:rPr>
          <w:del w:id="17922" w:author="AbbVie14" w:date="2025-05-09T11:00:00Z"/>
        </w:rPr>
      </w:pPr>
      <w:del w:id="17923" w:author="AbbVie14" w:date="2025-05-09T11:00:00Z">
        <w:r w:rsidRPr="00295E71">
          <w:delText>Descrizione dell’aspetto di Humira siringa pre-riempita e contenuto della confezione</w:delText>
        </w:r>
      </w:del>
    </w:p>
    <w:p w:rsidR="006224C2" w:rsidRPr="00295E71" w:rsidP="00FE3C0F" w14:paraId="220D01E7" w14:textId="77777777">
      <w:pPr>
        <w:numPr>
          <w:ilvl w:val="12"/>
          <w:numId w:val="0"/>
        </w:numPr>
        <w:tabs>
          <w:tab w:val="left" w:pos="567"/>
        </w:tabs>
        <w:ind w:right="-2"/>
        <w:jc w:val="both"/>
        <w:rPr>
          <w:del w:id="17924" w:author="AbbVie14" w:date="2025-05-09T11:00:00Z"/>
          <w:sz w:val="22"/>
          <w:szCs w:val="22"/>
        </w:rPr>
      </w:pPr>
    </w:p>
    <w:p w:rsidR="006224C2" w:rsidRPr="00295E71" w:rsidP="00FE3C0F" w14:paraId="680EC984" w14:textId="77777777">
      <w:pPr>
        <w:numPr>
          <w:ilvl w:val="12"/>
          <w:numId w:val="0"/>
        </w:numPr>
        <w:tabs>
          <w:tab w:val="left" w:pos="567"/>
        </w:tabs>
        <w:ind w:right="-2"/>
        <w:jc w:val="both"/>
        <w:rPr>
          <w:del w:id="17925" w:author="AbbVie14" w:date="2025-05-09T11:00:00Z"/>
          <w:sz w:val="22"/>
          <w:szCs w:val="22"/>
        </w:rPr>
      </w:pPr>
      <w:del w:id="17926" w:author="AbbVie14" w:date="2025-05-09T11:00:00Z">
        <w:r w:rsidRPr="00295E71">
          <w:rPr>
            <w:sz w:val="22"/>
            <w:szCs w:val="22"/>
          </w:rPr>
          <w:delText>Humira 40 mg soluzione iniettabile in siringhe pre-riempite è fornito come soluzione sterile di 40 mg di adalimumab disciolti in 0,8 ml di soluzione.</w:delText>
        </w:r>
      </w:del>
    </w:p>
    <w:p w:rsidR="006224C2" w:rsidRPr="00295E71" w:rsidP="00FE3C0F" w14:paraId="1A55BB8D" w14:textId="77777777">
      <w:pPr>
        <w:numPr>
          <w:ilvl w:val="12"/>
          <w:numId w:val="0"/>
        </w:numPr>
        <w:tabs>
          <w:tab w:val="left" w:pos="567"/>
        </w:tabs>
        <w:ind w:right="-2"/>
        <w:jc w:val="both"/>
        <w:rPr>
          <w:del w:id="17927" w:author="AbbVie14" w:date="2025-05-09T11:00:00Z"/>
          <w:sz w:val="22"/>
          <w:szCs w:val="22"/>
        </w:rPr>
      </w:pPr>
    </w:p>
    <w:p w:rsidR="006224C2" w:rsidRPr="00295E71" w:rsidP="00FE3C0F" w14:paraId="6608C798" w14:textId="77777777">
      <w:pPr>
        <w:numPr>
          <w:ilvl w:val="12"/>
          <w:numId w:val="0"/>
        </w:numPr>
        <w:tabs>
          <w:tab w:val="left" w:pos="567"/>
        </w:tabs>
        <w:ind w:right="-2"/>
        <w:jc w:val="both"/>
        <w:rPr>
          <w:del w:id="17928" w:author="AbbVie14" w:date="2025-05-09T11:00:00Z"/>
          <w:sz w:val="22"/>
          <w:szCs w:val="22"/>
        </w:rPr>
      </w:pPr>
      <w:del w:id="17929" w:author="AbbVie14" w:date="2025-05-09T11:00:00Z">
        <w:r w:rsidRPr="00295E71">
          <w:rPr>
            <w:sz w:val="22"/>
            <w:szCs w:val="22"/>
          </w:rPr>
          <w:delText>Humira siringa pre-riempita è composta da una soluzione di adalimumab contenuta in una siringa di vetro.</w:delText>
        </w:r>
      </w:del>
    </w:p>
    <w:p w:rsidR="006224C2" w:rsidRPr="00295E71" w:rsidP="00FE3C0F" w14:paraId="79DDF4F9" w14:textId="77777777">
      <w:pPr>
        <w:numPr>
          <w:ilvl w:val="12"/>
          <w:numId w:val="0"/>
        </w:numPr>
        <w:tabs>
          <w:tab w:val="left" w:pos="567"/>
        </w:tabs>
        <w:ind w:right="-2"/>
        <w:jc w:val="both"/>
        <w:rPr>
          <w:del w:id="17930" w:author="AbbVie14" w:date="2025-05-09T11:00:00Z"/>
          <w:sz w:val="22"/>
          <w:szCs w:val="22"/>
        </w:rPr>
      </w:pPr>
      <w:del w:id="17931" w:author="AbbVie14" w:date="2025-05-09T11:00:00Z">
        <w:r w:rsidRPr="00295E71">
          <w:rPr>
            <w:sz w:val="22"/>
            <w:szCs w:val="22"/>
          </w:rPr>
          <w:delText>Ogni confezione contiene 1, 2, 4 o 6 siringhe pre-riempite con rispettivamente 1, 2, 4 o 6 tamponi imbevuti di alcool. È possibile che non tutte le confezioni siano commercializzate.</w:delText>
        </w:r>
      </w:del>
    </w:p>
    <w:p w:rsidR="006224C2" w:rsidRPr="00295E71" w:rsidP="00FE3C0F" w14:paraId="530BDDBB" w14:textId="77777777">
      <w:pPr>
        <w:numPr>
          <w:ilvl w:val="12"/>
          <w:numId w:val="0"/>
        </w:numPr>
        <w:tabs>
          <w:tab w:val="left" w:pos="567"/>
        </w:tabs>
        <w:ind w:right="-2"/>
        <w:jc w:val="both"/>
        <w:rPr>
          <w:del w:id="17932" w:author="AbbVie14" w:date="2025-05-09T11:00:00Z"/>
          <w:sz w:val="22"/>
          <w:szCs w:val="22"/>
        </w:rPr>
      </w:pPr>
    </w:p>
    <w:p w:rsidR="006224C2" w:rsidRPr="00295E71" w:rsidP="00FE3C0F" w14:paraId="094630B8" w14:textId="77777777">
      <w:pPr>
        <w:numPr>
          <w:ilvl w:val="12"/>
          <w:numId w:val="0"/>
        </w:numPr>
        <w:tabs>
          <w:tab w:val="left" w:pos="567"/>
        </w:tabs>
        <w:ind w:right="-2"/>
        <w:jc w:val="both"/>
        <w:rPr>
          <w:del w:id="17933" w:author="AbbVie14" w:date="2025-05-09T11:00:00Z"/>
          <w:sz w:val="22"/>
          <w:szCs w:val="22"/>
        </w:rPr>
      </w:pPr>
      <w:del w:id="17934" w:author="AbbVie14" w:date="2025-05-09T11:00:00Z">
        <w:r w:rsidRPr="00295E71">
          <w:rPr>
            <w:sz w:val="22"/>
            <w:szCs w:val="22"/>
          </w:rPr>
          <w:delText xml:space="preserve">Humira </w:delText>
        </w:r>
      </w:del>
      <w:del w:id="17935" w:author="AbbVie14" w:date="2025-05-09T11:00:00Z">
        <w:r w:rsidRPr="00295E71" w:rsidR="006F32E5">
          <w:rPr>
            <w:sz w:val="22"/>
            <w:szCs w:val="22"/>
          </w:rPr>
          <w:delText xml:space="preserve">può essere </w:delText>
        </w:r>
      </w:del>
      <w:del w:id="17936" w:author="AbbVie14" w:date="2025-05-09T11:00:00Z">
        <w:r w:rsidRPr="00295E71">
          <w:rPr>
            <w:sz w:val="22"/>
            <w:szCs w:val="22"/>
          </w:rPr>
          <w:delText>disponibile in flaconcino, in siringa pre-riempita</w:delText>
        </w:r>
      </w:del>
      <w:del w:id="17937" w:author="AbbVie14" w:date="2025-05-09T11:00:00Z">
        <w:r w:rsidRPr="00295E71" w:rsidR="006F32E5">
          <w:rPr>
            <w:sz w:val="22"/>
            <w:szCs w:val="22"/>
          </w:rPr>
          <w:delText xml:space="preserve"> </w:delText>
        </w:r>
      </w:del>
      <w:del w:id="17938" w:author="AbbVie14" w:date="2025-05-09T11:00:00Z">
        <w:r w:rsidRPr="00295E71">
          <w:rPr>
            <w:sz w:val="22"/>
            <w:szCs w:val="22"/>
          </w:rPr>
          <w:delText>e</w:delText>
        </w:r>
      </w:del>
      <w:del w:id="17939" w:author="AbbVie14" w:date="2025-05-09T11:00:00Z">
        <w:r w:rsidRPr="00295E71" w:rsidR="006F32E5">
          <w:rPr>
            <w:sz w:val="22"/>
            <w:szCs w:val="22"/>
          </w:rPr>
          <w:delText>/o</w:delText>
        </w:r>
      </w:del>
      <w:del w:id="17940" w:author="AbbVie14" w:date="2025-05-09T11:00:00Z">
        <w:r w:rsidRPr="00295E71">
          <w:rPr>
            <w:sz w:val="22"/>
            <w:szCs w:val="22"/>
          </w:rPr>
          <w:delText xml:space="preserve"> in penna pre-riempita.</w:delText>
        </w:r>
      </w:del>
    </w:p>
    <w:p w:rsidR="006224C2" w:rsidRPr="00295E71" w:rsidP="00FE3C0F" w14:paraId="64C7B7E4" w14:textId="77777777">
      <w:pPr>
        <w:numPr>
          <w:ilvl w:val="12"/>
          <w:numId w:val="0"/>
        </w:numPr>
        <w:tabs>
          <w:tab w:val="left" w:pos="567"/>
        </w:tabs>
        <w:ind w:right="-2"/>
        <w:jc w:val="both"/>
        <w:rPr>
          <w:del w:id="17941" w:author="AbbVie14" w:date="2025-05-09T11:00:00Z"/>
          <w:sz w:val="22"/>
          <w:szCs w:val="22"/>
        </w:rPr>
      </w:pPr>
    </w:p>
    <w:p w:rsidR="006224C2" w:rsidRPr="00295E71" w:rsidP="00FE3C0F" w14:paraId="5CE696BE" w14:textId="77777777">
      <w:pPr>
        <w:pStyle w:val="Heading8"/>
        <w:keepNext w:val="0"/>
        <w:tabs>
          <w:tab w:val="left" w:pos="567"/>
        </w:tabs>
        <w:jc w:val="both"/>
        <w:rPr>
          <w:del w:id="17942" w:author="AbbVie14" w:date="2025-05-09T11:00:00Z"/>
        </w:rPr>
      </w:pPr>
      <w:del w:id="17943" w:author="AbbVie14" w:date="2025-05-09T11:00:00Z">
        <w:r w:rsidRPr="00295E71">
          <w:delText>Titolare dell’autorizzazione all’immissione in commercio</w:delText>
        </w:r>
      </w:del>
    </w:p>
    <w:p w:rsidR="006224C2" w:rsidRPr="00295E71" w:rsidP="00FE3C0F" w14:paraId="1531ECF7" w14:textId="77777777">
      <w:pPr>
        <w:numPr>
          <w:ilvl w:val="12"/>
          <w:numId w:val="0"/>
        </w:numPr>
        <w:tabs>
          <w:tab w:val="left" w:pos="567"/>
        </w:tabs>
        <w:ind w:right="-2"/>
        <w:jc w:val="both"/>
        <w:rPr>
          <w:del w:id="17944" w:author="AbbVie14" w:date="2025-05-09T11:00:00Z"/>
          <w:sz w:val="22"/>
          <w:szCs w:val="22"/>
        </w:rPr>
      </w:pPr>
    </w:p>
    <w:p w:rsidR="00303064" w:rsidRPr="00910CE7" w:rsidP="00FE3C0F" w14:paraId="375C6F76" w14:textId="77777777">
      <w:pPr>
        <w:tabs>
          <w:tab w:val="left" w:pos="567"/>
        </w:tabs>
        <w:jc w:val="both"/>
        <w:rPr>
          <w:del w:id="17945" w:author="AbbVie14" w:date="2025-05-09T11:00:00Z"/>
          <w:sz w:val="22"/>
        </w:rPr>
      </w:pPr>
      <w:del w:id="17946" w:author="AbbVie14" w:date="2025-05-09T11:00:00Z">
        <w:r w:rsidRPr="00295E71">
          <w:rPr>
            <w:sz w:val="22"/>
            <w:szCs w:val="22"/>
          </w:rPr>
          <w:delText xml:space="preserve">AbbVie Deutschland GmbH &amp; Co. </w:delText>
        </w:r>
      </w:del>
      <w:del w:id="17947" w:author="AbbVie14" w:date="2025-05-09T11:00:00Z">
        <w:r w:rsidRPr="00910CE7">
          <w:rPr>
            <w:sz w:val="22"/>
          </w:rPr>
          <w:delText>KG</w:delText>
        </w:r>
      </w:del>
    </w:p>
    <w:p w:rsidR="00303064" w:rsidRPr="00910CE7" w:rsidP="00FE3C0F" w14:paraId="702CD064" w14:textId="77777777">
      <w:pPr>
        <w:tabs>
          <w:tab w:val="left" w:pos="567"/>
        </w:tabs>
        <w:jc w:val="both"/>
        <w:rPr>
          <w:del w:id="17948" w:author="AbbVie14" w:date="2025-05-09T11:00:00Z"/>
          <w:sz w:val="22"/>
        </w:rPr>
      </w:pPr>
      <w:del w:id="17949" w:author="AbbVie14" w:date="2025-05-09T11:00:00Z">
        <w:r w:rsidRPr="00910CE7">
          <w:rPr>
            <w:sz w:val="22"/>
          </w:rPr>
          <w:delText>Knollstrasse</w:delText>
        </w:r>
      </w:del>
    </w:p>
    <w:p w:rsidR="00303064" w:rsidRPr="00910CE7" w:rsidP="00FE3C0F" w14:paraId="024373F5" w14:textId="77777777">
      <w:pPr>
        <w:tabs>
          <w:tab w:val="left" w:pos="567"/>
        </w:tabs>
        <w:jc w:val="both"/>
        <w:rPr>
          <w:del w:id="17950" w:author="AbbVie14" w:date="2025-05-09T11:00:00Z"/>
          <w:sz w:val="22"/>
        </w:rPr>
      </w:pPr>
      <w:del w:id="17951" w:author="AbbVie14" w:date="2025-05-09T11:00:00Z">
        <w:r w:rsidRPr="00910CE7">
          <w:rPr>
            <w:sz w:val="22"/>
          </w:rPr>
          <w:delText>67061 Ludwigshafen</w:delText>
        </w:r>
      </w:del>
    </w:p>
    <w:p w:rsidR="00303064" w:rsidRPr="00910CE7" w:rsidP="00FE3C0F" w14:paraId="70C43992" w14:textId="77777777">
      <w:pPr>
        <w:tabs>
          <w:tab w:val="left" w:pos="567"/>
        </w:tabs>
        <w:jc w:val="both"/>
        <w:rPr>
          <w:del w:id="17952" w:author="AbbVie14" w:date="2025-05-09T11:00:00Z"/>
          <w:sz w:val="22"/>
        </w:rPr>
      </w:pPr>
      <w:del w:id="17953" w:author="AbbVie14" w:date="2025-05-09T11:00:00Z">
        <w:r w:rsidRPr="00910CE7">
          <w:rPr>
            <w:sz w:val="22"/>
          </w:rPr>
          <w:delText>Germania</w:delText>
        </w:r>
      </w:del>
    </w:p>
    <w:p w:rsidR="006224C2" w:rsidRPr="00910CE7" w:rsidP="00FE3C0F" w14:paraId="32E17F64" w14:textId="77777777">
      <w:pPr>
        <w:numPr>
          <w:ilvl w:val="12"/>
          <w:numId w:val="0"/>
        </w:numPr>
        <w:tabs>
          <w:tab w:val="left" w:pos="567"/>
        </w:tabs>
        <w:ind w:right="-2"/>
        <w:jc w:val="both"/>
        <w:rPr>
          <w:del w:id="17954" w:author="AbbVie14" w:date="2025-05-09T11:00:00Z"/>
          <w:sz w:val="22"/>
        </w:rPr>
      </w:pPr>
    </w:p>
    <w:p w:rsidR="006224C2" w:rsidRPr="00910CE7" w:rsidP="00FE3C0F" w14:paraId="0FE0F8B9" w14:textId="77777777">
      <w:pPr>
        <w:keepNext/>
        <w:rPr>
          <w:del w:id="17955" w:author="AbbVie14" w:date="2025-05-09T11:00:00Z"/>
          <w:b/>
          <w:sz w:val="22"/>
        </w:rPr>
      </w:pPr>
      <w:del w:id="17956" w:author="AbbVie14" w:date="2025-05-09T11:00:00Z">
        <w:r w:rsidRPr="00910CE7">
          <w:rPr>
            <w:b/>
            <w:sz w:val="22"/>
          </w:rPr>
          <w:delText>Produttore</w:delText>
        </w:r>
      </w:del>
    </w:p>
    <w:p w:rsidR="006224C2" w:rsidRPr="00910CE7" w:rsidP="00FE3C0F" w14:paraId="44B27912" w14:textId="77777777">
      <w:pPr>
        <w:keepNext/>
        <w:numPr>
          <w:ilvl w:val="12"/>
          <w:numId w:val="0"/>
        </w:numPr>
        <w:tabs>
          <w:tab w:val="left" w:pos="567"/>
        </w:tabs>
        <w:ind w:right="-2"/>
        <w:jc w:val="both"/>
        <w:rPr>
          <w:del w:id="17957" w:author="AbbVie14" w:date="2025-05-09T11:00:00Z"/>
          <w:sz w:val="22"/>
        </w:rPr>
      </w:pPr>
    </w:p>
    <w:p w:rsidR="006224C2" w:rsidRPr="00F01EAB" w:rsidP="00FE3C0F" w14:paraId="0DDB734C" w14:textId="77777777">
      <w:pPr>
        <w:rPr>
          <w:del w:id="17958" w:author="AbbVie14" w:date="2025-05-09T11:00:00Z"/>
          <w:sz w:val="22"/>
          <w:szCs w:val="22"/>
        </w:rPr>
      </w:pPr>
      <w:del w:id="17959" w:author="AbbVie14" w:date="2025-05-09T11:00:00Z">
        <w:r w:rsidRPr="00F01EAB">
          <w:rPr>
            <w:sz w:val="22"/>
            <w:szCs w:val="22"/>
          </w:rPr>
          <w:delText>AbbVie Biotechnology GmbH</w:delText>
        </w:r>
      </w:del>
    </w:p>
    <w:p w:rsidR="006224C2" w:rsidRPr="00F01EAB" w:rsidP="00FE3C0F" w14:paraId="36E2D039" w14:textId="77777777">
      <w:pPr>
        <w:numPr>
          <w:ilvl w:val="12"/>
          <w:numId w:val="0"/>
        </w:numPr>
        <w:tabs>
          <w:tab w:val="left" w:pos="720"/>
        </w:tabs>
        <w:rPr>
          <w:del w:id="17960" w:author="AbbVie14" w:date="2025-05-09T11:00:00Z"/>
          <w:sz w:val="22"/>
          <w:szCs w:val="22"/>
        </w:rPr>
      </w:pPr>
      <w:del w:id="17961" w:author="AbbVie14" w:date="2025-05-09T11:00:00Z">
        <w:r w:rsidRPr="00F01EAB">
          <w:rPr>
            <w:sz w:val="22"/>
            <w:szCs w:val="22"/>
          </w:rPr>
          <w:delText>Knollstrasse</w:delText>
        </w:r>
      </w:del>
    </w:p>
    <w:p w:rsidR="006224C2" w:rsidRPr="00F01EAB" w:rsidP="00FE3C0F" w14:paraId="365AFB97" w14:textId="77777777">
      <w:pPr>
        <w:numPr>
          <w:ilvl w:val="12"/>
          <w:numId w:val="0"/>
        </w:numPr>
        <w:tabs>
          <w:tab w:val="left" w:pos="720"/>
        </w:tabs>
        <w:rPr>
          <w:del w:id="17962" w:author="AbbVie14" w:date="2025-05-09T11:00:00Z"/>
          <w:sz w:val="22"/>
          <w:szCs w:val="22"/>
        </w:rPr>
      </w:pPr>
      <w:del w:id="17963" w:author="AbbVie14" w:date="2025-05-09T11:00:00Z">
        <w:r w:rsidRPr="00F01EAB">
          <w:rPr>
            <w:sz w:val="22"/>
            <w:szCs w:val="22"/>
          </w:rPr>
          <w:delText>67061 Ludwigshafen</w:delText>
        </w:r>
      </w:del>
    </w:p>
    <w:p w:rsidR="006224C2" w:rsidRPr="00295E71" w:rsidP="00FE3C0F" w14:paraId="5B72A460" w14:textId="77777777">
      <w:pPr>
        <w:numPr>
          <w:ilvl w:val="12"/>
          <w:numId w:val="0"/>
        </w:numPr>
        <w:tabs>
          <w:tab w:val="left" w:pos="720"/>
        </w:tabs>
        <w:rPr>
          <w:del w:id="17964" w:author="AbbVie14" w:date="2025-05-09T11:00:00Z"/>
          <w:sz w:val="22"/>
          <w:szCs w:val="22"/>
        </w:rPr>
      </w:pPr>
      <w:del w:id="17965" w:author="AbbVie14" w:date="2025-05-09T11:00:00Z">
        <w:r w:rsidRPr="00295E71">
          <w:rPr>
            <w:sz w:val="22"/>
            <w:szCs w:val="22"/>
          </w:rPr>
          <w:delText>Germania</w:delText>
        </w:r>
      </w:del>
    </w:p>
    <w:p w:rsidR="006224C2" w:rsidRPr="00295E71" w:rsidP="00FE3C0F" w14:paraId="5818CC84" w14:textId="77777777">
      <w:pPr>
        <w:numPr>
          <w:ilvl w:val="12"/>
          <w:numId w:val="0"/>
        </w:numPr>
        <w:tabs>
          <w:tab w:val="left" w:pos="567"/>
        </w:tabs>
        <w:ind w:right="-2"/>
        <w:jc w:val="both"/>
        <w:rPr>
          <w:del w:id="17966" w:author="AbbVie14" w:date="2025-05-09T11:00:00Z"/>
          <w:sz w:val="22"/>
          <w:szCs w:val="22"/>
        </w:rPr>
      </w:pPr>
    </w:p>
    <w:p w:rsidR="006224C2" w:rsidRPr="00295E71" w:rsidP="00FE3C0F" w14:paraId="4A6AD565" w14:textId="77777777">
      <w:pPr>
        <w:numPr>
          <w:ilvl w:val="12"/>
          <w:numId w:val="0"/>
        </w:numPr>
        <w:tabs>
          <w:tab w:val="left" w:pos="567"/>
        </w:tabs>
        <w:ind w:right="-2"/>
        <w:jc w:val="both"/>
        <w:rPr>
          <w:del w:id="17967" w:author="AbbVie14" w:date="2025-05-09T11:00:00Z"/>
          <w:sz w:val="22"/>
          <w:szCs w:val="22"/>
        </w:rPr>
      </w:pPr>
      <w:del w:id="17968" w:author="AbbVie14" w:date="2025-05-09T11:00:00Z">
        <w:r w:rsidRPr="00295E71">
          <w:rPr>
            <w:sz w:val="22"/>
            <w:szCs w:val="22"/>
          </w:rPr>
          <w:delText>Per ulteriori informazioni su questo medicinale, contatti il rappresentante locale del titolare dell’autorizzazione all’immissione in commercio:</w:delText>
        </w:r>
      </w:del>
    </w:p>
    <w:p w:rsidR="006224C2" w:rsidRPr="00295E71" w:rsidP="00FE3C0F" w14:paraId="7F895DAD" w14:textId="77777777">
      <w:pPr>
        <w:rPr>
          <w:del w:id="17969" w:author="AbbVie14" w:date="2025-05-09T11:00:00Z"/>
          <w:sz w:val="22"/>
          <w:szCs w:val="22"/>
          <w:lang w:eastAsia="en-US"/>
        </w:rPr>
      </w:pPr>
    </w:p>
    <w:tbl>
      <w:tblPr>
        <w:tblW w:w="9356" w:type="dxa"/>
        <w:tblInd w:w="-34" w:type="dxa"/>
        <w:tblLayout w:type="fixed"/>
        <w:tblLook w:val="0000"/>
      </w:tblPr>
      <w:tblGrid>
        <w:gridCol w:w="34"/>
        <w:gridCol w:w="4610"/>
        <w:gridCol w:w="34"/>
        <w:gridCol w:w="4678"/>
      </w:tblGrid>
      <w:tr w14:paraId="375E026C" w14:textId="77777777" w:rsidTr="001F79B0">
        <w:tblPrEx>
          <w:tblW w:w="9356" w:type="dxa"/>
          <w:tblInd w:w="-34" w:type="dxa"/>
          <w:tblLayout w:type="fixed"/>
          <w:tblLook w:val="0000"/>
        </w:tblPrEx>
        <w:trPr>
          <w:del w:id="17970" w:author="AbbVie14" w:date="2025-05-09T11:00:00Z"/>
        </w:trPr>
        <w:tc>
          <w:tcPr>
            <w:tcW w:w="4644" w:type="dxa"/>
            <w:gridSpan w:val="2"/>
          </w:tcPr>
          <w:p w:rsidR="00235869" w:rsidRPr="00BD646C" w:rsidP="00FE3C0F" w14:paraId="53DBBBD2" w14:textId="77777777">
            <w:pPr>
              <w:rPr>
                <w:del w:id="17971" w:author="AbbVie14" w:date="2025-05-09T11:00:00Z"/>
                <w:b/>
                <w:bCs/>
                <w:sz w:val="22"/>
                <w:szCs w:val="22"/>
                <w:lang w:val="fr-BE"/>
              </w:rPr>
            </w:pPr>
            <w:del w:id="17972" w:author="AbbVie14" w:date="2025-05-09T11:00:00Z">
              <w:r w:rsidRPr="00BD646C">
                <w:rPr>
                  <w:b/>
                  <w:bCs/>
                  <w:sz w:val="22"/>
                  <w:szCs w:val="22"/>
                  <w:lang w:val="fr-BE"/>
                </w:rPr>
                <w:delText>België/Belgique/Belgien</w:delText>
              </w:r>
            </w:del>
          </w:p>
          <w:p w:rsidR="00235869" w:rsidRPr="00BD646C" w:rsidP="00FE3C0F" w14:paraId="2FC13870" w14:textId="77777777">
            <w:pPr>
              <w:rPr>
                <w:del w:id="17973" w:author="AbbVie14" w:date="2025-05-09T11:00:00Z"/>
                <w:bCs/>
                <w:sz w:val="22"/>
                <w:szCs w:val="22"/>
                <w:lang w:val="fr-FR"/>
              </w:rPr>
            </w:pPr>
            <w:del w:id="17974" w:author="AbbVie14" w:date="2025-05-09T11:00:00Z">
              <w:r w:rsidRPr="00BD646C">
                <w:rPr>
                  <w:bCs/>
                  <w:sz w:val="22"/>
                  <w:szCs w:val="22"/>
                  <w:lang w:val="fr-FR"/>
                </w:rPr>
                <w:delText>AbbVie SA</w:delText>
              </w:r>
            </w:del>
          </w:p>
          <w:p w:rsidR="00235869" w:rsidRPr="00BD646C" w:rsidP="00FE3C0F" w14:paraId="229EEFAA" w14:textId="77777777">
            <w:pPr>
              <w:rPr>
                <w:del w:id="17975" w:author="AbbVie14" w:date="2025-05-09T11:00:00Z"/>
                <w:sz w:val="22"/>
                <w:szCs w:val="22"/>
                <w:lang w:val="fr-FR"/>
              </w:rPr>
            </w:pPr>
            <w:del w:id="17976" w:author="AbbVie14" w:date="2025-05-09T11:00:00Z">
              <w:r w:rsidRPr="00BD646C">
                <w:rPr>
                  <w:bCs/>
                  <w:sz w:val="22"/>
                  <w:szCs w:val="22"/>
                  <w:lang w:val="fr-FR"/>
                </w:rPr>
                <w:delText xml:space="preserve">Tél/Tel: +32 10 </w:delText>
              </w:r>
            </w:del>
            <w:del w:id="17977" w:author="AbbVie14" w:date="2025-05-09T11:00:00Z">
              <w:r w:rsidRPr="00BD646C">
                <w:rPr>
                  <w:sz w:val="22"/>
                  <w:szCs w:val="22"/>
                  <w:lang w:val="fr-FR"/>
                </w:rPr>
                <w:delText>477811</w:delText>
              </w:r>
            </w:del>
          </w:p>
          <w:p w:rsidR="00235869" w:rsidRPr="00BD646C" w:rsidP="00FE3C0F" w14:paraId="465D1178" w14:textId="77777777">
            <w:pPr>
              <w:rPr>
                <w:del w:id="17978" w:author="AbbVie14" w:date="2025-05-09T11:00:00Z"/>
                <w:bCs/>
                <w:sz w:val="22"/>
                <w:szCs w:val="22"/>
                <w:lang w:val="fr-FR"/>
              </w:rPr>
            </w:pPr>
          </w:p>
        </w:tc>
        <w:tc>
          <w:tcPr>
            <w:tcW w:w="4678" w:type="dxa"/>
            <w:gridSpan w:val="2"/>
          </w:tcPr>
          <w:p w:rsidR="00235869" w:rsidRPr="00BD646C" w:rsidP="00FE3C0F" w14:paraId="7B73F1B8" w14:textId="77777777">
            <w:pPr>
              <w:rPr>
                <w:del w:id="17979" w:author="AbbVie14" w:date="2025-05-09T11:00:00Z"/>
                <w:b/>
                <w:bCs/>
                <w:sz w:val="22"/>
                <w:szCs w:val="22"/>
                <w:lang w:val="lt-LT"/>
              </w:rPr>
            </w:pPr>
            <w:del w:id="17980" w:author="AbbVie14" w:date="2025-05-09T11:00:00Z">
              <w:r w:rsidRPr="00BD646C">
                <w:rPr>
                  <w:b/>
                  <w:bCs/>
                  <w:sz w:val="22"/>
                  <w:szCs w:val="22"/>
                  <w:lang w:val="lt-LT"/>
                </w:rPr>
                <w:delText>Lietuva</w:delText>
              </w:r>
            </w:del>
          </w:p>
          <w:p w:rsidR="00235869" w:rsidRPr="00BD646C" w:rsidP="00FE3C0F" w14:paraId="2A0D2AD6" w14:textId="77777777">
            <w:pPr>
              <w:rPr>
                <w:del w:id="17981" w:author="AbbVie14" w:date="2025-05-09T11:00:00Z"/>
                <w:bCs/>
                <w:sz w:val="22"/>
                <w:szCs w:val="22"/>
                <w:lang w:val="lv-LV"/>
              </w:rPr>
            </w:pPr>
            <w:del w:id="17982" w:author="AbbVie14" w:date="2025-05-09T11:00:00Z">
              <w:r w:rsidRPr="00BD646C">
                <w:rPr>
                  <w:bCs/>
                  <w:sz w:val="22"/>
                  <w:szCs w:val="22"/>
                  <w:lang w:val="lv-LV"/>
                </w:rPr>
                <w:delText xml:space="preserve">AbbVie UAB </w:delText>
              </w:r>
            </w:del>
          </w:p>
          <w:p w:rsidR="00235869" w:rsidRPr="00BD646C" w:rsidP="00FE3C0F" w14:paraId="56312B7B" w14:textId="77777777">
            <w:pPr>
              <w:rPr>
                <w:del w:id="17983" w:author="AbbVie14" w:date="2025-05-09T11:00:00Z"/>
                <w:bCs/>
                <w:sz w:val="22"/>
                <w:szCs w:val="22"/>
                <w:lang w:val="lv-LV"/>
              </w:rPr>
            </w:pPr>
            <w:del w:id="17984" w:author="AbbVie14" w:date="2025-05-09T11:00:00Z">
              <w:r w:rsidRPr="00BD646C">
                <w:rPr>
                  <w:bCs/>
                  <w:sz w:val="22"/>
                  <w:szCs w:val="22"/>
                  <w:lang w:val="lv-LV"/>
                </w:rPr>
                <w:delText>Tel: +370 5 205 3023</w:delText>
              </w:r>
            </w:del>
          </w:p>
        </w:tc>
      </w:tr>
      <w:tr w14:paraId="2EEDAFC7" w14:textId="77777777" w:rsidTr="001F79B0">
        <w:tblPrEx>
          <w:tblW w:w="9356" w:type="dxa"/>
          <w:tblInd w:w="-34" w:type="dxa"/>
          <w:tblLayout w:type="fixed"/>
          <w:tblLook w:val="0000"/>
        </w:tblPrEx>
        <w:trPr>
          <w:del w:id="17985" w:author="AbbVie14" w:date="2025-05-09T11:00:00Z"/>
        </w:trPr>
        <w:tc>
          <w:tcPr>
            <w:tcW w:w="4644" w:type="dxa"/>
            <w:gridSpan w:val="2"/>
          </w:tcPr>
          <w:p w:rsidR="00235869" w:rsidRPr="00BD646C" w:rsidP="00FE3C0F" w14:paraId="2C8FC2ED" w14:textId="77777777">
            <w:pPr>
              <w:rPr>
                <w:del w:id="17986" w:author="AbbVie14" w:date="2025-05-09T11:00:00Z"/>
                <w:b/>
                <w:bCs/>
                <w:sz w:val="22"/>
                <w:szCs w:val="22"/>
                <w:lang w:val="bg-BG"/>
              </w:rPr>
            </w:pPr>
            <w:del w:id="17987" w:author="AbbVie14" w:date="2025-05-09T11:00:00Z">
              <w:r w:rsidRPr="00BD646C">
                <w:rPr>
                  <w:b/>
                  <w:bCs/>
                  <w:sz w:val="22"/>
                  <w:szCs w:val="22"/>
                  <w:lang w:val="bg-BG"/>
                </w:rPr>
                <w:delText>България</w:delText>
              </w:r>
            </w:del>
          </w:p>
          <w:p w:rsidR="00235869" w:rsidRPr="00BD646C" w:rsidP="00FE3C0F" w14:paraId="2235C1D6" w14:textId="77777777">
            <w:pPr>
              <w:rPr>
                <w:del w:id="17988" w:author="AbbVie14" w:date="2025-05-09T11:00:00Z"/>
                <w:sz w:val="22"/>
                <w:szCs w:val="22"/>
                <w:lang w:val="da-DK"/>
              </w:rPr>
            </w:pPr>
            <w:del w:id="17989" w:author="AbbVie14" w:date="2025-05-09T11:00:00Z">
              <w:r w:rsidRPr="00BD646C">
                <w:rPr>
                  <w:sz w:val="22"/>
                  <w:szCs w:val="22"/>
                  <w:lang w:val="sk-SK"/>
                </w:rPr>
                <w:delText>АбВи ЕООД</w:delText>
              </w:r>
            </w:del>
          </w:p>
          <w:p w:rsidR="00235869" w:rsidRPr="00BD646C" w:rsidP="00FE3C0F" w14:paraId="0359EA04" w14:textId="77777777">
            <w:pPr>
              <w:rPr>
                <w:del w:id="17990" w:author="AbbVie14" w:date="2025-05-09T11:00:00Z"/>
                <w:bCs/>
                <w:sz w:val="22"/>
                <w:szCs w:val="22"/>
                <w:lang w:val="da-DK"/>
              </w:rPr>
            </w:pPr>
            <w:del w:id="17991" w:author="AbbVie14" w:date="2025-05-09T11:00:00Z">
              <w:r w:rsidRPr="00BD646C">
                <w:rPr>
                  <w:sz w:val="22"/>
                  <w:szCs w:val="22"/>
                  <w:lang w:val="sk-SK"/>
                </w:rPr>
                <w:delText>Тел</w:delText>
              </w:r>
            </w:del>
            <w:del w:id="17992" w:author="AbbVie14" w:date="2025-05-09T11:00:00Z">
              <w:r w:rsidRPr="00BD646C">
                <w:rPr>
                  <w:sz w:val="22"/>
                  <w:szCs w:val="22"/>
                </w:rPr>
                <w:delText>.:+359 2 90 30 430</w:delText>
              </w:r>
            </w:del>
          </w:p>
        </w:tc>
        <w:tc>
          <w:tcPr>
            <w:tcW w:w="4678" w:type="dxa"/>
            <w:gridSpan w:val="2"/>
          </w:tcPr>
          <w:p w:rsidR="00235869" w:rsidRPr="00BD646C" w:rsidP="00FE3C0F" w14:paraId="2B734291" w14:textId="77777777">
            <w:pPr>
              <w:rPr>
                <w:del w:id="17993" w:author="AbbVie14" w:date="2025-05-09T11:00:00Z"/>
                <w:b/>
                <w:bCs/>
                <w:sz w:val="22"/>
                <w:szCs w:val="22"/>
                <w:lang w:val="de-DE"/>
              </w:rPr>
            </w:pPr>
            <w:del w:id="17994" w:author="AbbVie14" w:date="2025-05-09T11:00:00Z">
              <w:r w:rsidRPr="00BD646C">
                <w:rPr>
                  <w:b/>
                  <w:bCs/>
                  <w:sz w:val="22"/>
                  <w:szCs w:val="22"/>
                  <w:lang w:val="de-DE"/>
                </w:rPr>
                <w:delText>Luxembourg/Luxemburg</w:delText>
              </w:r>
            </w:del>
          </w:p>
          <w:p w:rsidR="00235869" w:rsidRPr="00BD646C" w:rsidP="00FE3C0F" w14:paraId="7FCD8778" w14:textId="77777777">
            <w:pPr>
              <w:rPr>
                <w:del w:id="17995" w:author="AbbVie14" w:date="2025-05-09T11:00:00Z"/>
                <w:bCs/>
                <w:sz w:val="22"/>
                <w:szCs w:val="22"/>
                <w:lang w:val="de-DE"/>
              </w:rPr>
            </w:pPr>
            <w:del w:id="17996" w:author="AbbVie14" w:date="2025-05-09T11:00:00Z">
              <w:r w:rsidRPr="00BD646C">
                <w:rPr>
                  <w:bCs/>
                  <w:sz w:val="22"/>
                  <w:szCs w:val="22"/>
                  <w:lang w:val="de-DE"/>
                </w:rPr>
                <w:delText>AbbVie SA</w:delText>
              </w:r>
            </w:del>
          </w:p>
          <w:p w:rsidR="00235869" w:rsidRPr="00BD646C" w:rsidP="00FE3C0F" w14:paraId="0AD2FBC9" w14:textId="77777777">
            <w:pPr>
              <w:rPr>
                <w:del w:id="17997" w:author="AbbVie14" w:date="2025-05-09T11:00:00Z"/>
                <w:bCs/>
                <w:sz w:val="22"/>
                <w:szCs w:val="22"/>
                <w:lang w:val="de-DE"/>
              </w:rPr>
            </w:pPr>
            <w:del w:id="17998" w:author="AbbVie14" w:date="2025-05-09T11:00:00Z">
              <w:r w:rsidRPr="00BD646C">
                <w:rPr>
                  <w:bCs/>
                  <w:sz w:val="22"/>
                  <w:szCs w:val="22"/>
                  <w:lang w:val="de-DE"/>
                </w:rPr>
                <w:delText>Belgique/Belgien</w:delText>
              </w:r>
            </w:del>
          </w:p>
          <w:p w:rsidR="00235869" w:rsidRPr="00BD646C" w:rsidP="00FE3C0F" w14:paraId="5B1204CA" w14:textId="77777777">
            <w:pPr>
              <w:rPr>
                <w:del w:id="17999" w:author="AbbVie14" w:date="2025-05-09T11:00:00Z"/>
                <w:bCs/>
                <w:sz w:val="22"/>
                <w:szCs w:val="22"/>
                <w:lang w:val="fr-FR"/>
              </w:rPr>
            </w:pPr>
            <w:del w:id="18000" w:author="AbbVie14" w:date="2025-05-09T11:00:00Z">
              <w:r w:rsidRPr="00BD646C">
                <w:rPr>
                  <w:bCs/>
                  <w:sz w:val="22"/>
                  <w:szCs w:val="22"/>
                  <w:lang w:val="fr-FR"/>
                </w:rPr>
                <w:delText>Tél/Tel: +32 10 477811</w:delText>
              </w:r>
            </w:del>
          </w:p>
          <w:p w:rsidR="00235869" w:rsidRPr="00BD646C" w:rsidP="00FE3C0F" w14:paraId="5D4EB11E" w14:textId="77777777">
            <w:pPr>
              <w:rPr>
                <w:del w:id="18001" w:author="AbbVie14" w:date="2025-05-09T11:00:00Z"/>
                <w:bCs/>
                <w:sz w:val="22"/>
                <w:szCs w:val="22"/>
                <w:lang w:val="fr-FR"/>
              </w:rPr>
            </w:pPr>
          </w:p>
        </w:tc>
      </w:tr>
      <w:tr w14:paraId="0013042F" w14:textId="77777777" w:rsidTr="001F79B0">
        <w:tblPrEx>
          <w:tblW w:w="9356" w:type="dxa"/>
          <w:tblInd w:w="-34" w:type="dxa"/>
          <w:tblLayout w:type="fixed"/>
          <w:tblLook w:val="0000"/>
        </w:tblPrEx>
        <w:trPr>
          <w:del w:id="18002" w:author="AbbVie14" w:date="2025-05-09T11:00:00Z"/>
        </w:trPr>
        <w:tc>
          <w:tcPr>
            <w:tcW w:w="4644" w:type="dxa"/>
            <w:gridSpan w:val="2"/>
          </w:tcPr>
          <w:p w:rsidR="00235869" w:rsidRPr="00BD646C" w:rsidP="00FE3C0F" w14:paraId="6F7D4400" w14:textId="77777777">
            <w:pPr>
              <w:rPr>
                <w:del w:id="18003" w:author="AbbVie14" w:date="2025-05-09T11:00:00Z"/>
                <w:b/>
                <w:bCs/>
                <w:sz w:val="22"/>
                <w:szCs w:val="22"/>
                <w:lang w:val="sk-SK"/>
              </w:rPr>
            </w:pPr>
            <w:del w:id="18004" w:author="AbbVie14" w:date="2025-05-09T11:00:00Z">
              <w:r w:rsidRPr="00BD646C">
                <w:rPr>
                  <w:b/>
                  <w:bCs/>
                  <w:sz w:val="22"/>
                  <w:szCs w:val="22"/>
                  <w:lang w:val="sk-SK"/>
                </w:rPr>
                <w:delText>Česká republika</w:delText>
              </w:r>
            </w:del>
          </w:p>
          <w:p w:rsidR="00235869" w:rsidRPr="00BD646C" w:rsidP="00FE3C0F" w14:paraId="33A6A49E" w14:textId="77777777">
            <w:pPr>
              <w:rPr>
                <w:del w:id="18005" w:author="AbbVie14" w:date="2025-05-09T11:00:00Z"/>
                <w:bCs/>
                <w:sz w:val="22"/>
                <w:szCs w:val="22"/>
                <w:lang w:val="sk-SK"/>
              </w:rPr>
            </w:pPr>
            <w:del w:id="18006" w:author="AbbVie14" w:date="2025-05-09T11:00:00Z">
              <w:r w:rsidRPr="00BD646C">
                <w:rPr>
                  <w:bCs/>
                  <w:sz w:val="22"/>
                  <w:szCs w:val="22"/>
                  <w:lang w:val="sk-SK"/>
                </w:rPr>
                <w:delText xml:space="preserve">AbbVie s.r.o. </w:delText>
              </w:r>
            </w:del>
          </w:p>
          <w:p w:rsidR="00235869" w:rsidRPr="00BD646C" w:rsidP="00FE3C0F" w14:paraId="1B061B8A" w14:textId="77777777">
            <w:pPr>
              <w:rPr>
                <w:del w:id="18007" w:author="AbbVie14" w:date="2025-05-09T11:00:00Z"/>
                <w:bCs/>
                <w:sz w:val="22"/>
                <w:szCs w:val="22"/>
                <w:lang w:val="sk-SK"/>
              </w:rPr>
            </w:pPr>
            <w:del w:id="18008" w:author="AbbVie14" w:date="2025-05-09T11:00:00Z">
              <w:r w:rsidRPr="00BD646C">
                <w:rPr>
                  <w:bCs/>
                  <w:sz w:val="22"/>
                  <w:szCs w:val="22"/>
                  <w:lang w:val="sk-SK"/>
                </w:rPr>
                <w:delText>Tel: +420 233 098 111</w:delText>
              </w:r>
            </w:del>
          </w:p>
        </w:tc>
        <w:tc>
          <w:tcPr>
            <w:tcW w:w="4678" w:type="dxa"/>
            <w:gridSpan w:val="2"/>
          </w:tcPr>
          <w:p w:rsidR="00235869" w:rsidRPr="00BD646C" w:rsidP="00FE3C0F" w14:paraId="545B4450" w14:textId="77777777">
            <w:pPr>
              <w:rPr>
                <w:del w:id="18009" w:author="AbbVie14" w:date="2025-05-09T11:00:00Z"/>
                <w:b/>
                <w:bCs/>
                <w:sz w:val="22"/>
                <w:szCs w:val="22"/>
                <w:lang w:val="hu-HU"/>
              </w:rPr>
            </w:pPr>
            <w:del w:id="18010" w:author="AbbVie14" w:date="2025-05-09T11:00:00Z">
              <w:r w:rsidRPr="00BD646C">
                <w:rPr>
                  <w:b/>
                  <w:bCs/>
                  <w:sz w:val="22"/>
                  <w:szCs w:val="22"/>
                  <w:lang w:val="hu-HU"/>
                </w:rPr>
                <w:delText>Magyarország</w:delText>
              </w:r>
            </w:del>
          </w:p>
          <w:p w:rsidR="00235869" w:rsidRPr="00BD646C" w:rsidP="00FE3C0F" w14:paraId="4C58A055" w14:textId="77777777">
            <w:pPr>
              <w:rPr>
                <w:del w:id="18011" w:author="AbbVie14" w:date="2025-05-09T11:00:00Z"/>
                <w:bCs/>
                <w:sz w:val="22"/>
                <w:szCs w:val="22"/>
                <w:lang w:val="hu-HU"/>
              </w:rPr>
            </w:pPr>
            <w:del w:id="18012" w:author="AbbVie14" w:date="2025-05-09T11:00:00Z">
              <w:r w:rsidRPr="00BD646C">
                <w:rPr>
                  <w:bCs/>
                  <w:sz w:val="22"/>
                  <w:szCs w:val="22"/>
                  <w:lang w:val="hu-HU"/>
                </w:rPr>
                <w:delText>AbbVie Kft.</w:delText>
              </w:r>
            </w:del>
          </w:p>
          <w:p w:rsidR="00235869" w:rsidRPr="00BD646C" w:rsidP="00FE3C0F" w14:paraId="7F0BAC99" w14:textId="77777777">
            <w:pPr>
              <w:rPr>
                <w:del w:id="18013" w:author="AbbVie14" w:date="2025-05-09T11:00:00Z"/>
                <w:bCs/>
                <w:sz w:val="22"/>
                <w:szCs w:val="22"/>
                <w:lang w:val="hu-HU"/>
              </w:rPr>
            </w:pPr>
            <w:del w:id="18014" w:author="AbbVie14" w:date="2025-05-09T11:00:00Z">
              <w:r w:rsidRPr="00BD646C">
                <w:rPr>
                  <w:bCs/>
                  <w:sz w:val="22"/>
                  <w:szCs w:val="22"/>
                  <w:lang w:val="hu-HU"/>
                </w:rPr>
                <w:delText>Tel.:+36 1 455 8600</w:delText>
              </w:r>
            </w:del>
          </w:p>
          <w:p w:rsidR="00235869" w:rsidRPr="00BD646C" w:rsidP="00FE3C0F" w14:paraId="7DE973F9" w14:textId="77777777">
            <w:pPr>
              <w:rPr>
                <w:del w:id="18015" w:author="AbbVie14" w:date="2025-05-09T11:00:00Z"/>
                <w:bCs/>
                <w:sz w:val="22"/>
                <w:szCs w:val="22"/>
                <w:lang w:val="hu-HU"/>
              </w:rPr>
            </w:pPr>
          </w:p>
        </w:tc>
      </w:tr>
      <w:tr w14:paraId="639B7559" w14:textId="77777777" w:rsidTr="001F79B0">
        <w:tblPrEx>
          <w:tblW w:w="9356" w:type="dxa"/>
          <w:tblInd w:w="-34" w:type="dxa"/>
          <w:tblLayout w:type="fixed"/>
          <w:tblLook w:val="0000"/>
        </w:tblPrEx>
        <w:trPr>
          <w:trHeight w:val="737"/>
          <w:del w:id="18016" w:author="AbbVie14" w:date="2025-05-09T11:00:00Z"/>
        </w:trPr>
        <w:tc>
          <w:tcPr>
            <w:tcW w:w="4644" w:type="dxa"/>
            <w:gridSpan w:val="2"/>
          </w:tcPr>
          <w:p w:rsidR="00235869" w:rsidRPr="008B6641" w:rsidP="00FE3C0F" w14:paraId="749421C3" w14:textId="77777777">
            <w:pPr>
              <w:rPr>
                <w:del w:id="18017" w:author="AbbVie14" w:date="2025-05-09T11:00:00Z"/>
                <w:b/>
                <w:bCs/>
                <w:sz w:val="22"/>
                <w:szCs w:val="22"/>
                <w:lang w:val="it-IT"/>
                <w:rPrChange w:id="18018" w:author="AbbVie14" w:date="2025-05-13T14:31:00Z">
                  <w:rPr>
                    <w:b/>
                    <w:bCs/>
                    <w:sz w:val="22"/>
                    <w:szCs w:val="22"/>
                    <w:lang w:val="en-US"/>
                  </w:rPr>
                </w:rPrChange>
              </w:rPr>
            </w:pPr>
            <w:del w:id="18019" w:author="AbbVie14" w:date="2025-05-09T11:00:00Z">
              <w:r w:rsidRPr="008B6641">
                <w:rPr>
                  <w:b/>
                  <w:bCs/>
                  <w:sz w:val="22"/>
                  <w:szCs w:val="22"/>
                  <w:lang w:val="it-IT"/>
                  <w:rPrChange w:id="18020" w:author="AbbVie14" w:date="2025-05-13T14:31:00Z">
                    <w:rPr>
                      <w:b/>
                      <w:bCs/>
                      <w:sz w:val="22"/>
                      <w:szCs w:val="22"/>
                      <w:lang w:val="en-US"/>
                    </w:rPr>
                  </w:rPrChange>
                </w:rPr>
                <w:delText>Danmark</w:delText>
              </w:r>
            </w:del>
          </w:p>
          <w:p w:rsidR="00235869" w:rsidRPr="008B6641" w:rsidP="00FE3C0F" w14:paraId="71E039DD" w14:textId="77777777">
            <w:pPr>
              <w:rPr>
                <w:del w:id="18021" w:author="AbbVie14" w:date="2025-05-09T11:00:00Z"/>
                <w:bCs/>
                <w:sz w:val="22"/>
                <w:szCs w:val="22"/>
                <w:lang w:val="it-IT"/>
                <w:rPrChange w:id="18022" w:author="AbbVie14" w:date="2025-05-13T14:31:00Z">
                  <w:rPr>
                    <w:bCs/>
                    <w:sz w:val="22"/>
                    <w:szCs w:val="22"/>
                    <w:lang w:val="en-US"/>
                  </w:rPr>
                </w:rPrChange>
              </w:rPr>
            </w:pPr>
            <w:del w:id="18023" w:author="AbbVie14" w:date="2025-05-09T11:00:00Z">
              <w:r w:rsidRPr="008B6641">
                <w:rPr>
                  <w:bCs/>
                  <w:sz w:val="22"/>
                  <w:szCs w:val="22"/>
                  <w:lang w:val="it-IT"/>
                  <w:rPrChange w:id="18024" w:author="AbbVie14" w:date="2025-05-13T14:31:00Z">
                    <w:rPr>
                      <w:bCs/>
                      <w:sz w:val="22"/>
                      <w:szCs w:val="22"/>
                      <w:lang w:val="en-US"/>
                    </w:rPr>
                  </w:rPrChange>
                </w:rPr>
                <w:delText>AbbVie A/S</w:delText>
              </w:r>
            </w:del>
          </w:p>
          <w:p w:rsidR="00235869" w:rsidRPr="00BD646C" w:rsidP="00FE3C0F" w14:paraId="4218BCDC" w14:textId="77777777">
            <w:pPr>
              <w:rPr>
                <w:del w:id="18025" w:author="AbbVie14" w:date="2025-05-09T11:00:00Z"/>
                <w:bCs/>
                <w:sz w:val="22"/>
                <w:szCs w:val="22"/>
                <w:lang w:val="sk-SK"/>
              </w:rPr>
            </w:pPr>
            <w:del w:id="18026" w:author="AbbVie14" w:date="2025-05-09T11:00:00Z">
              <w:r w:rsidRPr="008B6641">
                <w:rPr>
                  <w:bCs/>
                  <w:sz w:val="22"/>
                  <w:szCs w:val="22"/>
                  <w:lang w:val="it-IT"/>
                  <w:rPrChange w:id="18027" w:author="AbbVie14" w:date="2025-05-13T14:31:00Z">
                    <w:rPr>
                      <w:bCs/>
                      <w:sz w:val="22"/>
                      <w:szCs w:val="22"/>
                      <w:lang w:val="en-US"/>
                    </w:rPr>
                  </w:rPrChange>
                </w:rPr>
                <w:delText>Tlf: +45 72 30-20-28</w:delText>
              </w:r>
            </w:del>
          </w:p>
        </w:tc>
        <w:tc>
          <w:tcPr>
            <w:tcW w:w="4678" w:type="dxa"/>
            <w:gridSpan w:val="2"/>
          </w:tcPr>
          <w:p w:rsidR="00235869" w:rsidRPr="00BD646C" w:rsidP="00FE3C0F" w14:paraId="4A121B37" w14:textId="77777777">
            <w:pPr>
              <w:rPr>
                <w:del w:id="18028" w:author="AbbVie14" w:date="2025-05-09T11:00:00Z"/>
                <w:b/>
                <w:bCs/>
                <w:sz w:val="22"/>
                <w:szCs w:val="22"/>
                <w:lang w:val="mt-MT"/>
              </w:rPr>
            </w:pPr>
            <w:del w:id="18029" w:author="AbbVie14" w:date="2025-05-09T11:00:00Z">
              <w:r w:rsidRPr="00BD646C">
                <w:rPr>
                  <w:b/>
                  <w:bCs/>
                  <w:sz w:val="22"/>
                  <w:szCs w:val="22"/>
                  <w:lang w:val="mt-MT"/>
                </w:rPr>
                <w:delText>Malta</w:delText>
              </w:r>
            </w:del>
          </w:p>
          <w:p w:rsidR="00235869" w:rsidRPr="00BD646C" w:rsidP="00FE3C0F" w14:paraId="33AAD7E9" w14:textId="77777777">
            <w:pPr>
              <w:rPr>
                <w:del w:id="18030" w:author="AbbVie14" w:date="2025-05-09T11:00:00Z"/>
                <w:bCs/>
                <w:sz w:val="22"/>
                <w:szCs w:val="22"/>
                <w:lang w:val="sk-SK"/>
              </w:rPr>
            </w:pPr>
            <w:del w:id="18031" w:author="AbbVie14" w:date="2025-05-09T11:00:00Z">
              <w:r w:rsidRPr="00BD646C">
                <w:rPr>
                  <w:bCs/>
                  <w:sz w:val="22"/>
                  <w:szCs w:val="22"/>
                  <w:lang w:val="sk-SK"/>
                </w:rPr>
                <w:delText xml:space="preserve">V.J.Salomone Pharma Limited </w:delText>
              </w:r>
            </w:del>
          </w:p>
          <w:p w:rsidR="00235869" w:rsidRPr="00BD646C" w:rsidP="00FE3C0F" w14:paraId="3C29D1B3" w14:textId="77777777">
            <w:pPr>
              <w:rPr>
                <w:del w:id="18032" w:author="AbbVie14" w:date="2025-05-09T11:00:00Z"/>
                <w:bCs/>
                <w:sz w:val="22"/>
                <w:szCs w:val="22"/>
                <w:lang w:val="sk-SK"/>
              </w:rPr>
            </w:pPr>
            <w:del w:id="18033" w:author="AbbVie14" w:date="2025-05-09T11:00:00Z">
              <w:r w:rsidRPr="00BD646C">
                <w:rPr>
                  <w:bCs/>
                  <w:sz w:val="22"/>
                  <w:szCs w:val="22"/>
                  <w:lang w:val="sk-SK"/>
                </w:rPr>
                <w:delText xml:space="preserve">Tel: </w:delText>
              </w:r>
            </w:del>
            <w:del w:id="18034" w:author="AbbVie14" w:date="2025-05-09T11:00:00Z">
              <w:r w:rsidRPr="00455317">
                <w:rPr>
                  <w:bCs/>
                  <w:sz w:val="22"/>
                  <w:szCs w:val="22"/>
                </w:rPr>
                <w:delText>+356 21220174</w:delText>
              </w:r>
            </w:del>
          </w:p>
          <w:p w:rsidR="00235869" w:rsidRPr="00BD646C" w:rsidP="00FE3C0F" w14:paraId="2B5E8184" w14:textId="77777777">
            <w:pPr>
              <w:rPr>
                <w:del w:id="18035" w:author="AbbVie14" w:date="2025-05-09T11:00:00Z"/>
                <w:bCs/>
                <w:sz w:val="22"/>
                <w:szCs w:val="22"/>
                <w:lang w:val="sk-SK"/>
              </w:rPr>
            </w:pPr>
          </w:p>
        </w:tc>
      </w:tr>
      <w:tr w14:paraId="3C1E21F8" w14:textId="77777777" w:rsidTr="001F79B0">
        <w:tblPrEx>
          <w:tblW w:w="9356" w:type="dxa"/>
          <w:tblInd w:w="-34" w:type="dxa"/>
          <w:tblLayout w:type="fixed"/>
          <w:tblLook w:val="0000"/>
        </w:tblPrEx>
        <w:trPr>
          <w:del w:id="18036" w:author="AbbVie14" w:date="2025-05-09T11:00:00Z"/>
        </w:trPr>
        <w:tc>
          <w:tcPr>
            <w:tcW w:w="4644" w:type="dxa"/>
            <w:gridSpan w:val="2"/>
          </w:tcPr>
          <w:p w:rsidR="00235869" w:rsidRPr="00BD646C" w:rsidP="00FE3C0F" w14:paraId="5DF1D3B6" w14:textId="77777777">
            <w:pPr>
              <w:rPr>
                <w:del w:id="18037" w:author="AbbVie14" w:date="2025-05-09T11:00:00Z"/>
                <w:b/>
                <w:bCs/>
                <w:sz w:val="22"/>
                <w:szCs w:val="22"/>
                <w:lang w:val="de-DE"/>
              </w:rPr>
            </w:pPr>
            <w:del w:id="18038" w:author="AbbVie14" w:date="2025-05-09T11:00:00Z">
              <w:r w:rsidRPr="00BD646C">
                <w:rPr>
                  <w:b/>
                  <w:bCs/>
                  <w:sz w:val="22"/>
                  <w:szCs w:val="22"/>
                  <w:lang w:val="de-DE"/>
                </w:rPr>
                <w:delText>Deutschland</w:delText>
              </w:r>
            </w:del>
          </w:p>
          <w:p w:rsidR="00235869" w:rsidRPr="00BD646C" w:rsidP="00FE3C0F" w14:paraId="2153DB0A" w14:textId="77777777">
            <w:pPr>
              <w:rPr>
                <w:del w:id="18039" w:author="AbbVie14" w:date="2025-05-09T11:00:00Z"/>
                <w:bCs/>
                <w:sz w:val="22"/>
                <w:szCs w:val="22"/>
                <w:lang w:val="de-DE"/>
              </w:rPr>
            </w:pPr>
            <w:del w:id="18040" w:author="AbbVie14" w:date="2025-05-09T11:00:00Z">
              <w:r w:rsidRPr="00BD646C">
                <w:rPr>
                  <w:sz w:val="22"/>
                  <w:szCs w:val="22"/>
                  <w:lang w:val="de-DE"/>
                </w:rPr>
                <w:delText xml:space="preserve">AbbVie Deutschland </w:delText>
              </w:r>
            </w:del>
            <w:del w:id="18041" w:author="AbbVie14" w:date="2025-05-09T11:00:00Z">
              <w:r w:rsidRPr="00BD646C">
                <w:rPr>
                  <w:bCs/>
                  <w:sz w:val="22"/>
                  <w:szCs w:val="22"/>
                  <w:lang w:val="de-DE"/>
                </w:rPr>
                <w:delText>GmbH &amp; Co. KG</w:delText>
              </w:r>
            </w:del>
          </w:p>
          <w:p w:rsidR="00235869" w:rsidRPr="00BD646C" w:rsidP="00FE3C0F" w14:paraId="2906D405" w14:textId="77777777">
            <w:pPr>
              <w:rPr>
                <w:del w:id="18042" w:author="AbbVie14" w:date="2025-05-09T11:00:00Z"/>
                <w:sz w:val="22"/>
                <w:szCs w:val="22"/>
                <w:lang w:val="de-DE"/>
              </w:rPr>
            </w:pPr>
            <w:del w:id="18043" w:author="AbbVie14" w:date="2025-05-09T11:00:00Z">
              <w:r w:rsidRPr="00BD646C">
                <w:rPr>
                  <w:sz w:val="22"/>
                  <w:szCs w:val="22"/>
                  <w:lang w:val="de-DE"/>
                </w:rPr>
                <w:delText>Tel: 00800 222843 33 (gebührenfrei)</w:delText>
              </w:r>
            </w:del>
          </w:p>
          <w:p w:rsidR="00235869" w:rsidRPr="00BD646C" w:rsidP="00FE3C0F" w14:paraId="06007EF0" w14:textId="77777777">
            <w:pPr>
              <w:rPr>
                <w:del w:id="18044" w:author="AbbVie14" w:date="2025-05-09T11:00:00Z"/>
                <w:sz w:val="22"/>
                <w:szCs w:val="22"/>
                <w:lang w:val="de-DE"/>
              </w:rPr>
            </w:pPr>
            <w:del w:id="18045" w:author="AbbVie14" w:date="2025-05-09T11:00:00Z">
              <w:r w:rsidRPr="00BD646C">
                <w:rPr>
                  <w:sz w:val="22"/>
                  <w:szCs w:val="22"/>
                  <w:lang w:val="de-DE"/>
                </w:rPr>
                <w:delText>Tel: +49 (0) 611 / 1720-0</w:delText>
              </w:r>
            </w:del>
          </w:p>
          <w:p w:rsidR="00235869" w:rsidRPr="00BD646C" w:rsidP="00FE3C0F" w14:paraId="5C127CBA" w14:textId="77777777">
            <w:pPr>
              <w:rPr>
                <w:del w:id="18046" w:author="AbbVie14" w:date="2025-05-09T11:00:00Z"/>
                <w:sz w:val="22"/>
                <w:szCs w:val="22"/>
                <w:lang w:val="de-DE"/>
              </w:rPr>
            </w:pPr>
          </w:p>
        </w:tc>
        <w:tc>
          <w:tcPr>
            <w:tcW w:w="4678" w:type="dxa"/>
            <w:gridSpan w:val="2"/>
          </w:tcPr>
          <w:p w:rsidR="00235869" w:rsidRPr="00BD646C" w:rsidP="00FE3C0F" w14:paraId="4C47C69C" w14:textId="77777777">
            <w:pPr>
              <w:rPr>
                <w:del w:id="18047" w:author="AbbVie14" w:date="2025-05-09T11:00:00Z"/>
                <w:b/>
                <w:bCs/>
                <w:sz w:val="22"/>
                <w:szCs w:val="22"/>
                <w:lang w:val="nl-NL"/>
              </w:rPr>
            </w:pPr>
            <w:del w:id="18048" w:author="AbbVie14" w:date="2025-05-09T11:00:00Z">
              <w:r w:rsidRPr="00BD646C">
                <w:rPr>
                  <w:b/>
                  <w:bCs/>
                  <w:sz w:val="22"/>
                  <w:szCs w:val="22"/>
                  <w:lang w:val="nl-NL"/>
                </w:rPr>
                <w:delText>Nederland</w:delText>
              </w:r>
            </w:del>
          </w:p>
          <w:p w:rsidR="00235869" w:rsidRPr="00BD646C" w:rsidP="00FE3C0F" w14:paraId="789B1CBE" w14:textId="77777777">
            <w:pPr>
              <w:rPr>
                <w:del w:id="18049" w:author="AbbVie14" w:date="2025-05-09T11:00:00Z"/>
                <w:bCs/>
                <w:sz w:val="22"/>
                <w:szCs w:val="22"/>
                <w:lang w:val="de-DE"/>
              </w:rPr>
            </w:pPr>
            <w:del w:id="18050" w:author="AbbVie14" w:date="2025-05-09T11:00:00Z">
              <w:r w:rsidRPr="00BD646C">
                <w:rPr>
                  <w:bCs/>
                  <w:sz w:val="22"/>
                  <w:szCs w:val="22"/>
                  <w:lang w:val="de-DE"/>
                </w:rPr>
                <w:delText>AbbVie B.V.</w:delText>
              </w:r>
            </w:del>
          </w:p>
          <w:p w:rsidR="00235869" w:rsidRPr="00BD646C" w:rsidP="00FE3C0F" w14:paraId="71AAAF90" w14:textId="77777777">
            <w:pPr>
              <w:rPr>
                <w:del w:id="18051" w:author="AbbVie14" w:date="2025-05-09T11:00:00Z"/>
                <w:bCs/>
                <w:sz w:val="22"/>
                <w:szCs w:val="22"/>
                <w:lang w:val="de-DE"/>
              </w:rPr>
            </w:pPr>
            <w:del w:id="18052" w:author="AbbVie14" w:date="2025-05-09T11:00:00Z">
              <w:r w:rsidRPr="00BD646C">
                <w:rPr>
                  <w:bCs/>
                  <w:sz w:val="22"/>
                  <w:szCs w:val="22"/>
                  <w:lang w:val="de-DE"/>
                </w:rPr>
                <w:delText>Tel: +31 (0)88 322 2843</w:delText>
              </w:r>
            </w:del>
          </w:p>
        </w:tc>
      </w:tr>
      <w:tr w14:paraId="31858DFE" w14:textId="77777777" w:rsidTr="001F79B0">
        <w:tblPrEx>
          <w:tblW w:w="9356" w:type="dxa"/>
          <w:tblInd w:w="-34" w:type="dxa"/>
          <w:tblLayout w:type="fixed"/>
          <w:tblLook w:val="0000"/>
        </w:tblPrEx>
        <w:trPr>
          <w:del w:id="18053" w:author="AbbVie14" w:date="2025-05-09T11:00:00Z"/>
        </w:trPr>
        <w:tc>
          <w:tcPr>
            <w:tcW w:w="4644" w:type="dxa"/>
            <w:gridSpan w:val="2"/>
          </w:tcPr>
          <w:p w:rsidR="00235869" w:rsidRPr="00BD646C" w:rsidP="00FE3C0F" w14:paraId="6B0A0E45" w14:textId="77777777">
            <w:pPr>
              <w:rPr>
                <w:del w:id="18054" w:author="AbbVie14" w:date="2025-05-09T11:00:00Z"/>
                <w:b/>
                <w:bCs/>
                <w:sz w:val="22"/>
                <w:szCs w:val="22"/>
                <w:lang w:val="et-EE"/>
              </w:rPr>
            </w:pPr>
            <w:del w:id="18055" w:author="AbbVie14" w:date="2025-05-09T11:00:00Z">
              <w:r w:rsidRPr="00BD646C">
                <w:rPr>
                  <w:b/>
                  <w:bCs/>
                  <w:sz w:val="22"/>
                  <w:szCs w:val="22"/>
                  <w:lang w:val="et-EE"/>
                </w:rPr>
                <w:delText>Eesti</w:delText>
              </w:r>
            </w:del>
          </w:p>
          <w:p w:rsidR="00235869" w:rsidRPr="00BD646C" w:rsidP="00FE3C0F" w14:paraId="7BD24B79" w14:textId="77777777">
            <w:pPr>
              <w:rPr>
                <w:del w:id="18056" w:author="AbbVie14" w:date="2025-05-09T11:00:00Z"/>
                <w:bCs/>
                <w:sz w:val="22"/>
                <w:szCs w:val="22"/>
                <w:lang w:val="et-EE"/>
              </w:rPr>
            </w:pPr>
            <w:del w:id="18057" w:author="AbbVie14" w:date="2025-05-09T11:00:00Z">
              <w:r w:rsidRPr="00BD646C">
                <w:rPr>
                  <w:bCs/>
                  <w:sz w:val="22"/>
                  <w:szCs w:val="22"/>
                  <w:lang w:val="et-EE"/>
                </w:rPr>
                <w:delText xml:space="preserve">AbbVie </w:delText>
              </w:r>
            </w:del>
            <w:del w:id="18058" w:author="AbbVie14" w:date="2025-05-09T11:00:00Z">
              <w:r w:rsidRPr="00BD646C">
                <w:rPr>
                  <w:bCs/>
                  <w:sz w:val="22"/>
                  <w:szCs w:val="22"/>
                  <w:lang w:val="sk-SK"/>
                </w:rPr>
                <w:delText>OÜ</w:delText>
              </w:r>
            </w:del>
            <w:del w:id="18059" w:author="AbbVie14" w:date="2025-05-09T11:00:00Z">
              <w:r w:rsidRPr="00BD646C">
                <w:rPr>
                  <w:bCs/>
                  <w:sz w:val="22"/>
                  <w:szCs w:val="22"/>
                  <w:lang w:val="et-EE"/>
                </w:rPr>
                <w:delText xml:space="preserve"> </w:delText>
              </w:r>
            </w:del>
          </w:p>
          <w:p w:rsidR="00235869" w:rsidRPr="00BD646C" w:rsidP="00FE3C0F" w14:paraId="4DA65C10" w14:textId="77777777">
            <w:pPr>
              <w:rPr>
                <w:del w:id="18060" w:author="AbbVie14" w:date="2025-05-09T11:00:00Z"/>
                <w:bCs/>
                <w:sz w:val="22"/>
                <w:szCs w:val="22"/>
                <w:lang w:val="lv-LV"/>
              </w:rPr>
            </w:pPr>
            <w:del w:id="18061" w:author="AbbVie14" w:date="2025-05-09T11:00:00Z">
              <w:r w:rsidRPr="00BD646C">
                <w:rPr>
                  <w:bCs/>
                  <w:sz w:val="22"/>
                  <w:szCs w:val="22"/>
                  <w:lang w:val="et-EE"/>
                </w:rPr>
                <w:delText>Tel: +372 623 1011</w:delText>
              </w:r>
            </w:del>
          </w:p>
        </w:tc>
        <w:tc>
          <w:tcPr>
            <w:tcW w:w="4678" w:type="dxa"/>
            <w:gridSpan w:val="2"/>
          </w:tcPr>
          <w:p w:rsidR="00235869" w:rsidRPr="00CC1FF9" w:rsidP="00FE3C0F" w14:paraId="0226BC71" w14:textId="77777777">
            <w:pPr>
              <w:rPr>
                <w:del w:id="18062" w:author="AbbVie14" w:date="2025-05-09T11:00:00Z"/>
                <w:b/>
                <w:bCs/>
                <w:sz w:val="22"/>
                <w:szCs w:val="22"/>
              </w:rPr>
            </w:pPr>
            <w:del w:id="18063" w:author="AbbVie14" w:date="2025-05-09T11:00:00Z">
              <w:r w:rsidRPr="00CC1FF9">
                <w:rPr>
                  <w:b/>
                  <w:bCs/>
                  <w:sz w:val="22"/>
                  <w:szCs w:val="22"/>
                </w:rPr>
                <w:delText>Norge</w:delText>
              </w:r>
            </w:del>
          </w:p>
          <w:p w:rsidR="00235869" w:rsidRPr="00BD646C" w:rsidP="00FE3C0F" w14:paraId="2317DA5F" w14:textId="77777777">
            <w:pPr>
              <w:rPr>
                <w:del w:id="18064" w:author="AbbVie14" w:date="2025-05-09T11:00:00Z"/>
                <w:bCs/>
                <w:sz w:val="22"/>
                <w:szCs w:val="22"/>
                <w:lang w:val="sk-SK"/>
              </w:rPr>
            </w:pPr>
            <w:del w:id="18065" w:author="AbbVie14" w:date="2025-05-09T11:00:00Z">
              <w:r w:rsidRPr="00BD646C">
                <w:rPr>
                  <w:bCs/>
                  <w:sz w:val="22"/>
                  <w:szCs w:val="22"/>
                  <w:lang w:val="sk-SK"/>
                </w:rPr>
                <w:delText>AbbVie AS</w:delText>
              </w:r>
            </w:del>
          </w:p>
          <w:p w:rsidR="00235869" w:rsidRPr="00BD646C" w:rsidP="00FE3C0F" w14:paraId="65214581" w14:textId="77777777">
            <w:pPr>
              <w:rPr>
                <w:del w:id="18066" w:author="AbbVie14" w:date="2025-05-09T11:00:00Z"/>
                <w:bCs/>
                <w:sz w:val="22"/>
                <w:szCs w:val="22"/>
                <w:lang w:val="sk-SK"/>
              </w:rPr>
            </w:pPr>
            <w:del w:id="18067" w:author="AbbVie14" w:date="2025-05-09T11:00:00Z">
              <w:r w:rsidRPr="00BD646C">
                <w:rPr>
                  <w:bCs/>
                  <w:sz w:val="22"/>
                  <w:szCs w:val="22"/>
                  <w:lang w:val="sk-SK"/>
                </w:rPr>
                <w:delText>Tlf: +47 67 81 80 00</w:delText>
              </w:r>
            </w:del>
          </w:p>
          <w:p w:rsidR="00235869" w:rsidRPr="00BD646C" w:rsidP="00FE3C0F" w14:paraId="48745249" w14:textId="77777777">
            <w:pPr>
              <w:rPr>
                <w:del w:id="18068" w:author="AbbVie14" w:date="2025-05-09T11:00:00Z"/>
                <w:bCs/>
                <w:sz w:val="22"/>
                <w:szCs w:val="22"/>
                <w:lang w:val="sk-SK"/>
              </w:rPr>
            </w:pPr>
          </w:p>
        </w:tc>
      </w:tr>
      <w:tr w14:paraId="57A7AF3A" w14:textId="77777777" w:rsidTr="001F79B0">
        <w:tblPrEx>
          <w:tblW w:w="9356" w:type="dxa"/>
          <w:tblInd w:w="-34" w:type="dxa"/>
          <w:tblLayout w:type="fixed"/>
          <w:tblLook w:val="0000"/>
        </w:tblPrEx>
        <w:trPr>
          <w:trHeight w:val="794"/>
          <w:del w:id="18069" w:author="AbbVie14" w:date="2025-05-09T11:00:00Z"/>
        </w:trPr>
        <w:tc>
          <w:tcPr>
            <w:tcW w:w="4644" w:type="dxa"/>
            <w:gridSpan w:val="2"/>
          </w:tcPr>
          <w:p w:rsidR="00235869" w:rsidRPr="00BD646C" w:rsidP="00FE3C0F" w14:paraId="6BA50A16" w14:textId="77777777">
            <w:pPr>
              <w:rPr>
                <w:del w:id="18070" w:author="AbbVie14" w:date="2025-05-09T11:00:00Z"/>
                <w:b/>
                <w:bCs/>
                <w:sz w:val="22"/>
                <w:szCs w:val="22"/>
                <w:lang w:val="el-GR"/>
              </w:rPr>
            </w:pPr>
            <w:del w:id="18071" w:author="AbbVie14" w:date="2025-05-09T11:00:00Z">
              <w:r w:rsidRPr="00BD646C">
                <w:rPr>
                  <w:b/>
                  <w:bCs/>
                  <w:sz w:val="22"/>
                  <w:szCs w:val="22"/>
                  <w:lang w:val="el-GR"/>
                </w:rPr>
                <w:delText>Ελλάδα</w:delText>
              </w:r>
            </w:del>
          </w:p>
          <w:p w:rsidR="00235869" w:rsidRPr="00BD646C" w:rsidP="00FE3C0F" w14:paraId="3580CC67" w14:textId="77777777">
            <w:pPr>
              <w:rPr>
                <w:del w:id="18072" w:author="AbbVie14" w:date="2025-05-09T11:00:00Z"/>
                <w:bCs/>
                <w:sz w:val="22"/>
                <w:szCs w:val="22"/>
                <w:lang w:val="el-GR"/>
              </w:rPr>
            </w:pPr>
            <w:del w:id="18073" w:author="AbbVie14" w:date="2025-05-09T11:00:00Z">
              <w:r w:rsidRPr="00BD646C">
                <w:rPr>
                  <w:bCs/>
                  <w:sz w:val="22"/>
                  <w:szCs w:val="22"/>
                  <w:lang w:val="et-EE"/>
                </w:rPr>
                <w:delText xml:space="preserve">AbbVie </w:delText>
              </w:r>
            </w:del>
            <w:del w:id="18074" w:author="AbbVie14" w:date="2025-05-09T11:00:00Z">
              <w:r w:rsidRPr="00BD646C">
                <w:rPr>
                  <w:sz w:val="22"/>
                  <w:szCs w:val="22"/>
                  <w:lang w:val="el-GR"/>
                </w:rPr>
                <w:delText>ΦΑΡΜΑΚΕΥΤΙΚΗ Α.Ε.</w:delText>
              </w:r>
            </w:del>
          </w:p>
          <w:p w:rsidR="00235869" w:rsidRPr="00BD646C" w:rsidP="00FE3C0F" w14:paraId="292E602A" w14:textId="77777777">
            <w:pPr>
              <w:rPr>
                <w:del w:id="18075" w:author="AbbVie14" w:date="2025-05-09T11:00:00Z"/>
                <w:bCs/>
                <w:sz w:val="22"/>
                <w:szCs w:val="22"/>
                <w:lang w:val="sk-SK"/>
              </w:rPr>
            </w:pPr>
            <w:del w:id="18076" w:author="AbbVie14" w:date="2025-05-09T11:00:00Z">
              <w:r w:rsidRPr="00BD646C">
                <w:rPr>
                  <w:bCs/>
                  <w:sz w:val="22"/>
                  <w:szCs w:val="22"/>
                  <w:lang w:val="el-GR"/>
                </w:rPr>
                <w:delText xml:space="preserve">Τηλ: +30 </w:delText>
              </w:r>
            </w:del>
            <w:del w:id="18077" w:author="AbbVie14" w:date="2025-05-09T11:00:00Z">
              <w:r w:rsidRPr="00BD646C">
                <w:rPr>
                  <w:bCs/>
                  <w:sz w:val="22"/>
                  <w:szCs w:val="22"/>
                  <w:lang w:val="sk-SK"/>
                </w:rPr>
                <w:delText>214 4165 555</w:delText>
              </w:r>
            </w:del>
          </w:p>
        </w:tc>
        <w:tc>
          <w:tcPr>
            <w:tcW w:w="4678" w:type="dxa"/>
            <w:gridSpan w:val="2"/>
          </w:tcPr>
          <w:p w:rsidR="00235869" w:rsidRPr="00BD646C" w:rsidP="00FE3C0F" w14:paraId="732BEF71" w14:textId="77777777">
            <w:pPr>
              <w:rPr>
                <w:del w:id="18078" w:author="AbbVie14" w:date="2025-05-09T11:00:00Z"/>
                <w:b/>
                <w:bCs/>
                <w:sz w:val="22"/>
                <w:szCs w:val="22"/>
                <w:lang w:val="de-DE"/>
              </w:rPr>
            </w:pPr>
            <w:del w:id="18079" w:author="AbbVie14" w:date="2025-05-09T11:00:00Z">
              <w:r w:rsidRPr="00BD646C">
                <w:rPr>
                  <w:b/>
                  <w:bCs/>
                  <w:sz w:val="22"/>
                  <w:szCs w:val="22"/>
                  <w:lang w:val="de-DE"/>
                </w:rPr>
                <w:delText>Österreich</w:delText>
              </w:r>
            </w:del>
          </w:p>
          <w:p w:rsidR="00235869" w:rsidRPr="00BD646C" w:rsidP="00FE3C0F" w14:paraId="778DA720" w14:textId="77777777">
            <w:pPr>
              <w:rPr>
                <w:del w:id="18080" w:author="AbbVie14" w:date="2025-05-09T11:00:00Z"/>
                <w:bCs/>
                <w:sz w:val="22"/>
                <w:szCs w:val="22"/>
                <w:lang w:val="de-DE"/>
              </w:rPr>
            </w:pPr>
            <w:del w:id="18081" w:author="AbbVie14" w:date="2025-05-09T11:00:00Z">
              <w:r w:rsidRPr="00BD646C">
                <w:rPr>
                  <w:bCs/>
                  <w:sz w:val="22"/>
                  <w:szCs w:val="22"/>
                  <w:lang w:val="de-DE"/>
                </w:rPr>
                <w:delText xml:space="preserve">AbbVie GmbH </w:delText>
              </w:r>
            </w:del>
          </w:p>
          <w:p w:rsidR="00235869" w:rsidRPr="00BD646C" w:rsidP="00FE3C0F" w14:paraId="1051782E" w14:textId="77777777">
            <w:pPr>
              <w:rPr>
                <w:del w:id="18082" w:author="AbbVie14" w:date="2025-05-09T11:00:00Z"/>
                <w:bCs/>
                <w:sz w:val="22"/>
                <w:szCs w:val="22"/>
                <w:lang w:val="de-DE"/>
              </w:rPr>
            </w:pPr>
            <w:del w:id="18083" w:author="AbbVie14" w:date="2025-05-09T11:00:00Z">
              <w:r w:rsidRPr="00BD646C">
                <w:rPr>
                  <w:bCs/>
                  <w:sz w:val="22"/>
                  <w:szCs w:val="22"/>
                  <w:lang w:val="de-DE"/>
                </w:rPr>
                <w:delText>Tel: +43 1 20589-0</w:delText>
              </w:r>
            </w:del>
          </w:p>
          <w:p w:rsidR="00235869" w:rsidRPr="00BD646C" w:rsidP="00FE3C0F" w14:paraId="207C3270" w14:textId="77777777">
            <w:pPr>
              <w:rPr>
                <w:del w:id="18084" w:author="AbbVie14" w:date="2025-05-09T11:00:00Z"/>
                <w:bCs/>
                <w:sz w:val="22"/>
                <w:szCs w:val="22"/>
                <w:lang w:val="de-DE"/>
              </w:rPr>
            </w:pPr>
          </w:p>
        </w:tc>
      </w:tr>
      <w:tr w14:paraId="1FA42EC2" w14:textId="77777777" w:rsidTr="001F79B0">
        <w:tblPrEx>
          <w:tblW w:w="9356" w:type="dxa"/>
          <w:tblInd w:w="-34" w:type="dxa"/>
          <w:tblLayout w:type="fixed"/>
          <w:tblLook w:val="0000"/>
        </w:tblPrEx>
        <w:trPr>
          <w:gridBefore w:val="1"/>
          <w:wBefore w:w="34" w:type="dxa"/>
          <w:del w:id="18085" w:author="AbbVie14" w:date="2025-05-09T11:00:00Z"/>
        </w:trPr>
        <w:tc>
          <w:tcPr>
            <w:tcW w:w="4644" w:type="dxa"/>
            <w:gridSpan w:val="2"/>
          </w:tcPr>
          <w:p w:rsidR="00235869" w:rsidRPr="00BD646C" w:rsidP="00FE3C0F" w14:paraId="56FA3B48" w14:textId="77777777">
            <w:pPr>
              <w:rPr>
                <w:del w:id="18086" w:author="AbbVie14" w:date="2025-05-09T11:00:00Z"/>
                <w:b/>
                <w:bCs/>
                <w:sz w:val="22"/>
                <w:szCs w:val="22"/>
                <w:lang w:val="es-ES"/>
              </w:rPr>
            </w:pPr>
            <w:del w:id="18087" w:author="AbbVie14" w:date="2025-05-09T11:00:00Z">
              <w:r w:rsidRPr="00BD646C">
                <w:rPr>
                  <w:b/>
                  <w:bCs/>
                  <w:sz w:val="22"/>
                  <w:szCs w:val="22"/>
                  <w:lang w:val="es-ES"/>
                </w:rPr>
                <w:delText>España</w:delText>
              </w:r>
            </w:del>
          </w:p>
          <w:p w:rsidR="00235869" w:rsidRPr="00BD646C" w:rsidP="00FE3C0F" w14:paraId="58C1129F" w14:textId="77777777">
            <w:pPr>
              <w:rPr>
                <w:del w:id="18088" w:author="AbbVie14" w:date="2025-05-09T11:00:00Z"/>
                <w:sz w:val="22"/>
                <w:szCs w:val="22"/>
                <w:lang w:val="es-ES"/>
              </w:rPr>
            </w:pPr>
            <w:del w:id="18089" w:author="AbbVie14" w:date="2025-05-09T11:00:00Z">
              <w:r w:rsidRPr="00BD646C">
                <w:rPr>
                  <w:sz w:val="22"/>
                  <w:szCs w:val="22"/>
                  <w:lang w:val="es-ES"/>
                </w:rPr>
                <w:delText xml:space="preserve">AbbVie </w:delText>
              </w:r>
            </w:del>
            <w:del w:id="18090" w:author="AbbVie14" w:date="2025-05-09T11:00:00Z">
              <w:r w:rsidRPr="00BD646C">
                <w:rPr>
                  <w:bCs/>
                  <w:sz w:val="22"/>
                  <w:szCs w:val="22"/>
                  <w:lang w:val="es-ES"/>
                </w:rPr>
                <w:delText>Spain</w:delText>
              </w:r>
            </w:del>
            <w:del w:id="18091" w:author="AbbVie14" w:date="2025-05-09T11:00:00Z">
              <w:r w:rsidRPr="00BD646C">
                <w:rPr>
                  <w:sz w:val="22"/>
                  <w:szCs w:val="22"/>
                  <w:lang w:val="es-ES"/>
                </w:rPr>
                <w:delText>, S.L.U</w:delText>
              </w:r>
            </w:del>
            <w:del w:id="18092" w:author="AbbVie14" w:date="2025-05-09T11:00:00Z">
              <w:r w:rsidRPr="00BD646C">
                <w:rPr>
                  <w:bCs/>
                  <w:sz w:val="22"/>
                  <w:szCs w:val="22"/>
                  <w:lang w:val="es-ES"/>
                </w:rPr>
                <w:delText>.</w:delText>
              </w:r>
            </w:del>
          </w:p>
          <w:p w:rsidR="00235869" w:rsidRPr="00BD646C" w:rsidP="00FE3C0F" w14:paraId="01F432F6" w14:textId="77777777">
            <w:pPr>
              <w:rPr>
                <w:del w:id="18093" w:author="AbbVie14" w:date="2025-05-09T11:00:00Z"/>
                <w:bCs/>
                <w:sz w:val="22"/>
                <w:szCs w:val="22"/>
                <w:lang w:val="pl-PL"/>
              </w:rPr>
            </w:pPr>
            <w:del w:id="18094" w:author="AbbVie14" w:date="2025-05-09T11:00:00Z">
              <w:r w:rsidRPr="00BD646C">
                <w:rPr>
                  <w:bCs/>
                  <w:sz w:val="22"/>
                  <w:szCs w:val="22"/>
                  <w:lang w:val="pt-PT"/>
                </w:rPr>
                <w:delText>Tel: +34 91 384 09 10</w:delText>
              </w:r>
            </w:del>
          </w:p>
        </w:tc>
        <w:tc>
          <w:tcPr>
            <w:tcW w:w="4678" w:type="dxa"/>
          </w:tcPr>
          <w:p w:rsidR="00235869" w:rsidRPr="00BD646C" w:rsidP="00FE3C0F" w14:paraId="1053A8A3" w14:textId="77777777">
            <w:pPr>
              <w:rPr>
                <w:del w:id="18095" w:author="AbbVie14" w:date="2025-05-09T11:00:00Z"/>
                <w:b/>
                <w:bCs/>
                <w:iCs/>
                <w:sz w:val="22"/>
                <w:szCs w:val="22"/>
                <w:lang w:val="pl-PL"/>
              </w:rPr>
            </w:pPr>
            <w:del w:id="18096" w:author="AbbVie14" w:date="2025-05-09T11:00:00Z">
              <w:r w:rsidRPr="00BD646C">
                <w:rPr>
                  <w:b/>
                  <w:bCs/>
                  <w:iCs/>
                  <w:sz w:val="22"/>
                  <w:szCs w:val="22"/>
                  <w:lang w:val="pl-PL"/>
                </w:rPr>
                <w:delText>Polska</w:delText>
              </w:r>
            </w:del>
          </w:p>
          <w:p w:rsidR="00235869" w:rsidRPr="00BD646C" w:rsidP="00FE3C0F" w14:paraId="74794191" w14:textId="77777777">
            <w:pPr>
              <w:rPr>
                <w:del w:id="18097" w:author="AbbVie14" w:date="2025-05-09T11:00:00Z"/>
                <w:bCs/>
                <w:sz w:val="22"/>
                <w:szCs w:val="22"/>
                <w:lang w:val="pl-PL"/>
              </w:rPr>
            </w:pPr>
            <w:del w:id="18098" w:author="AbbVie14" w:date="2025-05-09T11:00:00Z">
              <w:r w:rsidRPr="00BD646C">
                <w:rPr>
                  <w:bCs/>
                  <w:sz w:val="22"/>
                  <w:szCs w:val="22"/>
                  <w:lang w:val="pl-PL"/>
                </w:rPr>
                <w:delText>AbbVie Sp. z o.o.</w:delText>
              </w:r>
            </w:del>
          </w:p>
          <w:p w:rsidR="00235869" w:rsidRPr="00BD646C" w:rsidP="00FE3C0F" w14:paraId="6AD54C0A" w14:textId="77777777">
            <w:pPr>
              <w:rPr>
                <w:del w:id="18099" w:author="AbbVie14" w:date="2025-05-09T11:00:00Z"/>
                <w:bCs/>
                <w:sz w:val="22"/>
                <w:szCs w:val="22"/>
                <w:lang w:val="pl-PL"/>
              </w:rPr>
            </w:pPr>
            <w:del w:id="18100" w:author="AbbVie14" w:date="2025-05-09T11:00:00Z">
              <w:r w:rsidRPr="00BD646C">
                <w:rPr>
                  <w:sz w:val="22"/>
                  <w:szCs w:val="22"/>
                  <w:lang w:val="es-ES"/>
                </w:rPr>
                <w:delText xml:space="preserve">Tel.: +48 22 </w:delText>
              </w:r>
            </w:del>
            <w:del w:id="18101" w:author="AbbVie14" w:date="2025-05-09T11:00:00Z">
              <w:r w:rsidRPr="00BD646C">
                <w:rPr>
                  <w:bCs/>
                  <w:sz w:val="22"/>
                  <w:szCs w:val="22"/>
                  <w:lang w:val="pl-PL"/>
                </w:rPr>
                <w:delText xml:space="preserve">372 78 00 </w:delText>
              </w:r>
            </w:del>
          </w:p>
          <w:p w:rsidR="00235869" w:rsidRPr="00BD646C" w:rsidP="00FE3C0F" w14:paraId="13D2F8EC" w14:textId="77777777">
            <w:pPr>
              <w:rPr>
                <w:del w:id="18102" w:author="AbbVie14" w:date="2025-05-09T11:00:00Z"/>
                <w:bCs/>
                <w:sz w:val="22"/>
                <w:szCs w:val="22"/>
                <w:lang w:val="pl-PL"/>
              </w:rPr>
            </w:pPr>
          </w:p>
        </w:tc>
      </w:tr>
      <w:tr w14:paraId="0814EF56" w14:textId="77777777" w:rsidTr="001F79B0">
        <w:tblPrEx>
          <w:tblW w:w="9356" w:type="dxa"/>
          <w:tblInd w:w="-34" w:type="dxa"/>
          <w:tblLayout w:type="fixed"/>
          <w:tblLook w:val="0000"/>
        </w:tblPrEx>
        <w:trPr>
          <w:trHeight w:val="734"/>
          <w:del w:id="18103" w:author="AbbVie14" w:date="2025-05-09T11:00:00Z"/>
        </w:trPr>
        <w:tc>
          <w:tcPr>
            <w:tcW w:w="4678" w:type="dxa"/>
            <w:gridSpan w:val="3"/>
          </w:tcPr>
          <w:p w:rsidR="00235869" w:rsidRPr="00BD646C" w:rsidP="00FE3C0F" w14:paraId="78A284B7" w14:textId="77777777">
            <w:pPr>
              <w:rPr>
                <w:del w:id="18104" w:author="AbbVie14" w:date="2025-05-09T11:00:00Z"/>
                <w:b/>
                <w:bCs/>
                <w:sz w:val="22"/>
                <w:szCs w:val="22"/>
                <w:lang w:val="fr-FR"/>
              </w:rPr>
            </w:pPr>
            <w:del w:id="18105" w:author="AbbVie14" w:date="2025-05-09T11:00:00Z">
              <w:r w:rsidRPr="00BD646C">
                <w:rPr>
                  <w:b/>
                  <w:bCs/>
                  <w:sz w:val="22"/>
                  <w:szCs w:val="22"/>
                  <w:lang w:val="fr-FR"/>
                </w:rPr>
                <w:delText>France</w:delText>
              </w:r>
            </w:del>
          </w:p>
          <w:p w:rsidR="00235869" w:rsidRPr="00BD646C" w:rsidP="00FE3C0F" w14:paraId="0DCA622F" w14:textId="77777777">
            <w:pPr>
              <w:rPr>
                <w:del w:id="18106" w:author="AbbVie14" w:date="2025-05-09T11:00:00Z"/>
                <w:bCs/>
                <w:sz w:val="22"/>
                <w:szCs w:val="22"/>
                <w:lang w:val="fr-FR"/>
              </w:rPr>
            </w:pPr>
            <w:del w:id="18107" w:author="AbbVie14" w:date="2025-05-09T11:00:00Z">
              <w:r w:rsidRPr="00BD646C">
                <w:rPr>
                  <w:bCs/>
                  <w:sz w:val="22"/>
                  <w:szCs w:val="22"/>
                  <w:lang w:val="fr-FR"/>
                </w:rPr>
                <w:delText>AbbVie</w:delText>
              </w:r>
            </w:del>
          </w:p>
          <w:p w:rsidR="00235869" w:rsidRPr="00BD646C" w:rsidP="00FE3C0F" w14:paraId="282568BC" w14:textId="77777777">
            <w:pPr>
              <w:rPr>
                <w:del w:id="18108" w:author="AbbVie14" w:date="2025-05-09T11:00:00Z"/>
                <w:bCs/>
                <w:sz w:val="22"/>
                <w:szCs w:val="22"/>
                <w:lang w:val="fr-FR"/>
              </w:rPr>
            </w:pPr>
            <w:del w:id="18109" w:author="AbbVie14" w:date="2025-05-09T11:00:00Z">
              <w:r w:rsidRPr="00BD646C">
                <w:rPr>
                  <w:bCs/>
                  <w:sz w:val="22"/>
                  <w:szCs w:val="22"/>
                  <w:lang w:val="fr-FR"/>
                </w:rPr>
                <w:delText>Tél: +33 (0) 1 45 60 13 00</w:delText>
              </w:r>
            </w:del>
          </w:p>
        </w:tc>
        <w:tc>
          <w:tcPr>
            <w:tcW w:w="4678" w:type="dxa"/>
          </w:tcPr>
          <w:p w:rsidR="00235869" w:rsidRPr="00BD646C" w:rsidP="00FE3C0F" w14:paraId="3E2FCEF6" w14:textId="77777777">
            <w:pPr>
              <w:rPr>
                <w:del w:id="18110" w:author="AbbVie14" w:date="2025-05-09T11:00:00Z"/>
                <w:b/>
                <w:bCs/>
                <w:sz w:val="22"/>
                <w:szCs w:val="22"/>
                <w:lang w:val="pt-PT"/>
              </w:rPr>
            </w:pPr>
            <w:del w:id="18111" w:author="AbbVie14" w:date="2025-05-09T11:00:00Z">
              <w:r w:rsidRPr="00BD646C">
                <w:rPr>
                  <w:b/>
                  <w:bCs/>
                  <w:sz w:val="22"/>
                  <w:szCs w:val="22"/>
                  <w:lang w:val="pt-PT"/>
                </w:rPr>
                <w:delText>Portugal</w:delText>
              </w:r>
            </w:del>
          </w:p>
          <w:p w:rsidR="00235869" w:rsidRPr="00BD646C" w:rsidP="00FE3C0F" w14:paraId="4B2384F7" w14:textId="77777777">
            <w:pPr>
              <w:rPr>
                <w:del w:id="18112" w:author="AbbVie14" w:date="2025-05-09T11:00:00Z"/>
                <w:bCs/>
                <w:sz w:val="22"/>
                <w:szCs w:val="22"/>
                <w:lang w:val="fr-FR"/>
              </w:rPr>
            </w:pPr>
            <w:del w:id="18113" w:author="AbbVie14" w:date="2025-05-09T11:00:00Z">
              <w:r w:rsidRPr="00BD646C">
                <w:rPr>
                  <w:bCs/>
                  <w:sz w:val="22"/>
                  <w:szCs w:val="22"/>
                  <w:lang w:val="fr-FR"/>
                </w:rPr>
                <w:delText xml:space="preserve">AbbVie, Lda. </w:delText>
              </w:r>
            </w:del>
          </w:p>
          <w:p w:rsidR="00235869" w:rsidRPr="00BD646C" w:rsidP="00FE3C0F" w14:paraId="2CB0CA27" w14:textId="77777777">
            <w:pPr>
              <w:rPr>
                <w:del w:id="18114" w:author="AbbVie14" w:date="2025-05-09T11:00:00Z"/>
                <w:sz w:val="22"/>
                <w:szCs w:val="22"/>
                <w:lang w:val="fr-FR"/>
              </w:rPr>
            </w:pPr>
            <w:del w:id="18115" w:author="AbbVie14" w:date="2025-05-09T11:00:00Z">
              <w:r w:rsidRPr="00BD646C">
                <w:rPr>
                  <w:sz w:val="22"/>
                  <w:szCs w:val="22"/>
                  <w:lang w:val="fr-FR"/>
                </w:rPr>
                <w:delText>Tel: +351 (0)21 1908400</w:delText>
              </w:r>
            </w:del>
          </w:p>
          <w:p w:rsidR="00235869" w:rsidRPr="00BD646C" w:rsidP="00FE3C0F" w14:paraId="15480C84" w14:textId="77777777">
            <w:pPr>
              <w:rPr>
                <w:del w:id="18116" w:author="AbbVie14" w:date="2025-05-09T11:00:00Z"/>
                <w:sz w:val="22"/>
                <w:szCs w:val="22"/>
                <w:lang w:val="fr-FR"/>
              </w:rPr>
            </w:pPr>
          </w:p>
        </w:tc>
      </w:tr>
      <w:tr w14:paraId="2BEB6A1D" w14:textId="77777777" w:rsidTr="001F79B0">
        <w:tblPrEx>
          <w:tblW w:w="9356" w:type="dxa"/>
          <w:tblInd w:w="-34" w:type="dxa"/>
          <w:tblLayout w:type="fixed"/>
          <w:tblLook w:val="0000"/>
        </w:tblPrEx>
        <w:trPr>
          <w:gridBefore w:val="1"/>
          <w:wBefore w:w="34" w:type="dxa"/>
          <w:del w:id="18117" w:author="AbbVie14" w:date="2025-05-09T11:00:00Z"/>
        </w:trPr>
        <w:tc>
          <w:tcPr>
            <w:tcW w:w="4644" w:type="dxa"/>
            <w:gridSpan w:val="2"/>
          </w:tcPr>
          <w:p w:rsidR="00235869" w:rsidRPr="00D16F00" w:rsidP="00FE3C0F" w14:paraId="262E5F61" w14:textId="77777777">
            <w:pPr>
              <w:rPr>
                <w:del w:id="18118" w:author="AbbVie14" w:date="2025-05-09T11:00:00Z"/>
                <w:sz w:val="22"/>
                <w:szCs w:val="22"/>
              </w:rPr>
            </w:pPr>
            <w:del w:id="18119" w:author="AbbVie14" w:date="2025-05-09T11:00:00Z">
              <w:r w:rsidRPr="00D16F00">
                <w:rPr>
                  <w:b/>
                  <w:bCs/>
                  <w:sz w:val="22"/>
                  <w:szCs w:val="22"/>
                </w:rPr>
                <w:delText xml:space="preserve">Hrvatska </w:delText>
              </w:r>
            </w:del>
          </w:p>
          <w:p w:rsidR="00235869" w:rsidRPr="00BD646C" w:rsidP="00FE3C0F" w14:paraId="5C0DDB5C" w14:textId="77777777">
            <w:pPr>
              <w:rPr>
                <w:del w:id="18120" w:author="AbbVie14" w:date="2025-05-09T11:00:00Z"/>
                <w:sz w:val="22"/>
                <w:szCs w:val="22"/>
                <w:lang w:val="hr-HR"/>
              </w:rPr>
            </w:pPr>
            <w:del w:id="18121" w:author="AbbVie14" w:date="2025-05-09T11:00:00Z">
              <w:r w:rsidRPr="00BD646C">
                <w:rPr>
                  <w:sz w:val="22"/>
                  <w:szCs w:val="22"/>
                  <w:lang w:val="hr-HR"/>
                </w:rPr>
                <w:delText>AbbVie d.o.o.</w:delText>
              </w:r>
            </w:del>
          </w:p>
          <w:p w:rsidR="00235869" w:rsidRPr="00BD646C" w:rsidP="00FE3C0F" w14:paraId="1AA5516F" w14:textId="77777777">
            <w:pPr>
              <w:rPr>
                <w:del w:id="18122" w:author="AbbVie14" w:date="2025-05-09T11:00:00Z"/>
                <w:bCs/>
                <w:sz w:val="22"/>
                <w:szCs w:val="22"/>
              </w:rPr>
            </w:pPr>
            <w:del w:id="18123" w:author="AbbVie14" w:date="2025-05-09T11:00:00Z">
              <w:r w:rsidRPr="00BD646C">
                <w:rPr>
                  <w:sz w:val="22"/>
                  <w:szCs w:val="22"/>
                  <w:lang w:val="hr-HR"/>
                </w:rPr>
                <w:delText xml:space="preserve">Tel + 385 (0)1 </w:delText>
              </w:r>
            </w:del>
            <w:del w:id="18124" w:author="AbbVie14" w:date="2025-05-09T11:00:00Z">
              <w:r w:rsidRPr="008B6641">
                <w:rPr>
                  <w:sz w:val="22"/>
                  <w:szCs w:val="22"/>
                  <w:lang w:val="it-IT"/>
                  <w:rPrChange w:id="18125" w:author="AbbVie14" w:date="2025-05-13T14:31:00Z">
                    <w:rPr>
                      <w:sz w:val="22"/>
                      <w:szCs w:val="22"/>
                      <w:lang w:val="en-US"/>
                    </w:rPr>
                  </w:rPrChange>
                </w:rPr>
                <w:delText>5625 501</w:delText>
              </w:r>
            </w:del>
          </w:p>
        </w:tc>
        <w:tc>
          <w:tcPr>
            <w:tcW w:w="4678" w:type="dxa"/>
          </w:tcPr>
          <w:p w:rsidR="00235869" w:rsidRPr="00BD646C" w:rsidP="00FE3C0F" w14:paraId="5331D036" w14:textId="77777777">
            <w:pPr>
              <w:rPr>
                <w:del w:id="18126" w:author="AbbVie14" w:date="2025-05-09T11:00:00Z"/>
                <w:b/>
                <w:bCs/>
                <w:sz w:val="22"/>
                <w:szCs w:val="22"/>
              </w:rPr>
            </w:pPr>
            <w:del w:id="18127" w:author="AbbVie14" w:date="2025-05-09T11:00:00Z">
              <w:r w:rsidRPr="00BD646C">
                <w:rPr>
                  <w:b/>
                  <w:bCs/>
                  <w:sz w:val="22"/>
                  <w:szCs w:val="22"/>
                </w:rPr>
                <w:delText>România</w:delText>
              </w:r>
            </w:del>
          </w:p>
          <w:p w:rsidR="00235869" w:rsidRPr="00BD646C" w:rsidP="00FE3C0F" w14:paraId="390D8CFF" w14:textId="77777777">
            <w:pPr>
              <w:rPr>
                <w:del w:id="18128" w:author="AbbVie14" w:date="2025-05-09T11:00:00Z"/>
                <w:sz w:val="22"/>
                <w:szCs w:val="22"/>
              </w:rPr>
            </w:pPr>
            <w:del w:id="18129" w:author="AbbVie14" w:date="2025-05-09T11:00:00Z">
              <w:r w:rsidRPr="00BD646C">
                <w:rPr>
                  <w:sz w:val="22"/>
                  <w:szCs w:val="22"/>
                </w:rPr>
                <w:delText>AbbVie S.R.L.</w:delText>
              </w:r>
            </w:del>
          </w:p>
          <w:p w:rsidR="00235869" w:rsidRPr="00BD646C" w:rsidP="00FE3C0F" w14:paraId="57E6E342" w14:textId="77777777">
            <w:pPr>
              <w:rPr>
                <w:del w:id="18130" w:author="AbbVie14" w:date="2025-05-09T11:00:00Z"/>
                <w:sz w:val="22"/>
                <w:szCs w:val="22"/>
                <w:lang w:val="pl-PL"/>
              </w:rPr>
            </w:pPr>
            <w:del w:id="18131" w:author="AbbVie14" w:date="2025-05-09T11:00:00Z">
              <w:r w:rsidRPr="00BD646C">
                <w:rPr>
                  <w:sz w:val="22"/>
                  <w:szCs w:val="22"/>
                  <w:lang w:val="pl-PL"/>
                </w:rPr>
                <w:delText>Tel: +40 21 529 30 35</w:delText>
              </w:r>
            </w:del>
          </w:p>
          <w:p w:rsidR="00235869" w:rsidRPr="00BD646C" w:rsidP="00FE3C0F" w14:paraId="4FA945E6" w14:textId="77777777">
            <w:pPr>
              <w:rPr>
                <w:del w:id="18132" w:author="AbbVie14" w:date="2025-05-09T11:00:00Z"/>
                <w:sz w:val="22"/>
                <w:szCs w:val="22"/>
                <w:lang w:val="pl-PL"/>
              </w:rPr>
            </w:pPr>
          </w:p>
        </w:tc>
      </w:tr>
      <w:tr w14:paraId="5BB70A93" w14:textId="77777777" w:rsidTr="001F79B0">
        <w:tblPrEx>
          <w:tblW w:w="9356" w:type="dxa"/>
          <w:tblInd w:w="-34" w:type="dxa"/>
          <w:tblLayout w:type="fixed"/>
          <w:tblLook w:val="0000"/>
        </w:tblPrEx>
        <w:trPr>
          <w:gridBefore w:val="1"/>
          <w:wBefore w:w="34" w:type="dxa"/>
          <w:del w:id="18133" w:author="AbbVie14" w:date="2025-05-09T11:00:00Z"/>
        </w:trPr>
        <w:tc>
          <w:tcPr>
            <w:tcW w:w="4644" w:type="dxa"/>
            <w:gridSpan w:val="2"/>
          </w:tcPr>
          <w:p w:rsidR="00235869" w:rsidRPr="00BD646C" w:rsidP="00FE3C0F" w14:paraId="0152A10C" w14:textId="77777777">
            <w:pPr>
              <w:rPr>
                <w:del w:id="18134" w:author="AbbVie14" w:date="2025-05-09T11:00:00Z"/>
                <w:b/>
                <w:bCs/>
                <w:sz w:val="22"/>
                <w:szCs w:val="22"/>
                <w:lang w:val="sk-SK"/>
              </w:rPr>
            </w:pPr>
            <w:del w:id="18135" w:author="AbbVie14" w:date="2025-05-09T11:00:00Z">
              <w:r w:rsidRPr="00BD646C">
                <w:rPr>
                  <w:b/>
                  <w:bCs/>
                  <w:sz w:val="22"/>
                  <w:szCs w:val="22"/>
                  <w:lang w:val="sk-SK"/>
                </w:rPr>
                <w:delText>Ireland</w:delText>
              </w:r>
            </w:del>
          </w:p>
          <w:p w:rsidR="00235869" w:rsidRPr="00BD646C" w:rsidP="00FE3C0F" w14:paraId="59F8F9E9" w14:textId="77777777">
            <w:pPr>
              <w:rPr>
                <w:del w:id="18136" w:author="AbbVie14" w:date="2025-05-09T11:00:00Z"/>
                <w:bCs/>
                <w:sz w:val="22"/>
                <w:szCs w:val="22"/>
                <w:lang w:val="sk-SK"/>
              </w:rPr>
            </w:pPr>
            <w:del w:id="18137" w:author="AbbVie14" w:date="2025-05-09T11:00:00Z">
              <w:r w:rsidRPr="00BD646C">
                <w:rPr>
                  <w:bCs/>
                  <w:sz w:val="22"/>
                  <w:szCs w:val="22"/>
                  <w:lang w:val="sk-SK"/>
                </w:rPr>
                <w:delText xml:space="preserve">AbbVie Limited </w:delText>
              </w:r>
            </w:del>
          </w:p>
          <w:p w:rsidR="00235869" w:rsidRPr="00BD646C" w:rsidP="00FE3C0F" w14:paraId="3F985476" w14:textId="77777777">
            <w:pPr>
              <w:rPr>
                <w:del w:id="18138" w:author="AbbVie14" w:date="2025-05-09T11:00:00Z"/>
                <w:bCs/>
                <w:sz w:val="22"/>
                <w:szCs w:val="22"/>
                <w:lang w:val="sk-SK"/>
              </w:rPr>
            </w:pPr>
            <w:del w:id="18139" w:author="AbbVie14" w:date="2025-05-09T11:00:00Z">
              <w:r w:rsidRPr="00BD646C">
                <w:rPr>
                  <w:bCs/>
                  <w:sz w:val="22"/>
                  <w:szCs w:val="22"/>
                  <w:lang w:val="pt-PT"/>
                </w:rPr>
                <w:delText>Tel: +353 (0)1 42879</w:delText>
              </w:r>
            </w:del>
            <w:del w:id="18140" w:author="AbbVie14" w:date="2025-05-09T11:00:00Z">
              <w:r w:rsidR="004B7AC2">
                <w:rPr>
                  <w:bCs/>
                  <w:sz w:val="22"/>
                  <w:szCs w:val="22"/>
                  <w:lang w:val="pt-PT"/>
                </w:rPr>
                <w:delText>0</w:delText>
              </w:r>
            </w:del>
            <w:del w:id="18141" w:author="AbbVie14" w:date="2025-05-09T11:00:00Z">
              <w:r w:rsidRPr="00BD646C">
                <w:rPr>
                  <w:bCs/>
                  <w:sz w:val="22"/>
                  <w:szCs w:val="22"/>
                  <w:lang w:val="pt-PT"/>
                </w:rPr>
                <w:delText>0</w:delText>
              </w:r>
            </w:del>
          </w:p>
        </w:tc>
        <w:tc>
          <w:tcPr>
            <w:tcW w:w="4678" w:type="dxa"/>
          </w:tcPr>
          <w:p w:rsidR="00235869" w:rsidRPr="00BD646C" w:rsidP="00FE3C0F" w14:paraId="51ECF8A0" w14:textId="77777777">
            <w:pPr>
              <w:rPr>
                <w:del w:id="18142" w:author="AbbVie14" w:date="2025-05-09T11:00:00Z"/>
                <w:b/>
                <w:bCs/>
                <w:sz w:val="22"/>
                <w:szCs w:val="22"/>
                <w:lang w:val="sl-SI"/>
              </w:rPr>
            </w:pPr>
            <w:del w:id="18143" w:author="AbbVie14" w:date="2025-05-09T11:00:00Z">
              <w:r w:rsidRPr="00BD646C">
                <w:rPr>
                  <w:b/>
                  <w:bCs/>
                  <w:sz w:val="22"/>
                  <w:szCs w:val="22"/>
                  <w:lang w:val="sl-SI"/>
                </w:rPr>
                <w:delText>Slovenija</w:delText>
              </w:r>
            </w:del>
          </w:p>
          <w:p w:rsidR="00235869" w:rsidRPr="00BD646C" w:rsidP="00FE3C0F" w14:paraId="0B0AF017" w14:textId="77777777">
            <w:pPr>
              <w:rPr>
                <w:del w:id="18144" w:author="AbbVie14" w:date="2025-05-09T11:00:00Z"/>
                <w:bCs/>
                <w:sz w:val="22"/>
                <w:szCs w:val="22"/>
                <w:lang w:val="sl-SI"/>
              </w:rPr>
            </w:pPr>
            <w:del w:id="18145" w:author="AbbVie14" w:date="2025-05-09T11:00:00Z">
              <w:r w:rsidRPr="00BD646C">
                <w:rPr>
                  <w:bCs/>
                  <w:sz w:val="22"/>
                  <w:szCs w:val="22"/>
                  <w:lang w:val="sl-SI"/>
                </w:rPr>
                <w:delText xml:space="preserve">AbbVie </w:delText>
              </w:r>
            </w:del>
            <w:del w:id="18146" w:author="AbbVie14" w:date="2025-05-09T11:00:00Z">
              <w:r w:rsidRPr="00BD646C">
                <w:rPr>
                  <w:sz w:val="22"/>
                  <w:szCs w:val="22"/>
                  <w:lang w:val="sl-SI"/>
                </w:rPr>
                <w:delText>Biofarmacevtska družba d.o.o.</w:delText>
              </w:r>
            </w:del>
          </w:p>
          <w:p w:rsidR="00235869" w:rsidRPr="00BD646C" w:rsidP="00FE3C0F" w14:paraId="3DA94D4A" w14:textId="77777777">
            <w:pPr>
              <w:rPr>
                <w:del w:id="18147" w:author="AbbVie14" w:date="2025-05-09T11:00:00Z"/>
                <w:bCs/>
                <w:sz w:val="22"/>
                <w:szCs w:val="22"/>
                <w:lang w:val="sl-SI"/>
              </w:rPr>
            </w:pPr>
            <w:del w:id="18148" w:author="AbbVie14" w:date="2025-05-09T11:00:00Z">
              <w:r w:rsidRPr="00BD646C">
                <w:rPr>
                  <w:bCs/>
                  <w:sz w:val="22"/>
                  <w:szCs w:val="22"/>
                  <w:lang w:val="sl-SI"/>
                </w:rPr>
                <w:delText>Tel: +386 (1)32 08 060</w:delText>
              </w:r>
            </w:del>
          </w:p>
          <w:p w:rsidR="00235869" w:rsidRPr="00BD646C" w:rsidP="00FE3C0F" w14:paraId="2306ECCC" w14:textId="77777777">
            <w:pPr>
              <w:rPr>
                <w:del w:id="18149" w:author="AbbVie14" w:date="2025-05-09T11:00:00Z"/>
                <w:bCs/>
                <w:sz w:val="22"/>
                <w:szCs w:val="22"/>
                <w:lang w:val="sl-SI"/>
              </w:rPr>
            </w:pPr>
          </w:p>
        </w:tc>
      </w:tr>
      <w:tr w14:paraId="2B775BB4" w14:textId="77777777" w:rsidTr="001F79B0">
        <w:tblPrEx>
          <w:tblW w:w="9356" w:type="dxa"/>
          <w:tblInd w:w="-34" w:type="dxa"/>
          <w:tblLayout w:type="fixed"/>
          <w:tblLook w:val="0000"/>
        </w:tblPrEx>
        <w:trPr>
          <w:gridBefore w:val="1"/>
          <w:wBefore w:w="34" w:type="dxa"/>
          <w:del w:id="18150" w:author="AbbVie14" w:date="2025-05-09T11:00:00Z"/>
        </w:trPr>
        <w:tc>
          <w:tcPr>
            <w:tcW w:w="4644" w:type="dxa"/>
            <w:gridSpan w:val="2"/>
          </w:tcPr>
          <w:p w:rsidR="00235869" w:rsidRPr="00BD646C" w:rsidP="00FE3C0F" w14:paraId="181D99A6" w14:textId="77777777">
            <w:pPr>
              <w:rPr>
                <w:del w:id="18151" w:author="AbbVie14" w:date="2025-05-09T11:00:00Z"/>
                <w:b/>
                <w:bCs/>
                <w:sz w:val="22"/>
                <w:szCs w:val="22"/>
                <w:lang w:val="is-IS"/>
              </w:rPr>
            </w:pPr>
            <w:del w:id="18152" w:author="AbbVie14" w:date="2025-05-09T11:00:00Z">
              <w:r w:rsidRPr="00BD646C">
                <w:rPr>
                  <w:b/>
                  <w:bCs/>
                  <w:sz w:val="22"/>
                  <w:szCs w:val="22"/>
                  <w:lang w:val="is-IS"/>
                </w:rPr>
                <w:delText>Ísland</w:delText>
              </w:r>
            </w:del>
          </w:p>
          <w:p w:rsidR="00235869" w:rsidRPr="00BD646C" w:rsidP="00FE3C0F" w14:paraId="429C2C87" w14:textId="77777777">
            <w:pPr>
              <w:rPr>
                <w:del w:id="18153" w:author="AbbVie14" w:date="2025-05-09T11:00:00Z"/>
                <w:bCs/>
                <w:sz w:val="22"/>
                <w:szCs w:val="22"/>
                <w:lang w:val="sk-SK"/>
              </w:rPr>
            </w:pPr>
            <w:del w:id="18154" w:author="AbbVie14" w:date="2025-05-09T11:00:00Z">
              <w:r w:rsidRPr="00BD646C">
                <w:rPr>
                  <w:bCs/>
                  <w:sz w:val="22"/>
                  <w:szCs w:val="22"/>
                  <w:lang w:val="sk-SK"/>
                </w:rPr>
                <w:delText>Vistor hf.</w:delText>
              </w:r>
            </w:del>
          </w:p>
          <w:p w:rsidR="00235869" w:rsidRPr="00BD646C" w:rsidP="00FE3C0F" w14:paraId="7C650BDC" w14:textId="77777777">
            <w:pPr>
              <w:rPr>
                <w:del w:id="18155" w:author="AbbVie14" w:date="2025-05-09T11:00:00Z"/>
                <w:bCs/>
                <w:sz w:val="22"/>
                <w:szCs w:val="22"/>
                <w:lang w:val="sk-SK"/>
              </w:rPr>
            </w:pPr>
            <w:del w:id="18156" w:author="AbbVie14" w:date="2025-05-09T11:00:00Z">
              <w:r w:rsidRPr="00BD646C">
                <w:rPr>
                  <w:bCs/>
                  <w:sz w:val="22"/>
                  <w:szCs w:val="22"/>
                  <w:lang w:val="sk-SK"/>
                </w:rPr>
                <w:delText>Tel: +354 535 7000</w:delText>
              </w:r>
            </w:del>
          </w:p>
        </w:tc>
        <w:tc>
          <w:tcPr>
            <w:tcW w:w="4678" w:type="dxa"/>
          </w:tcPr>
          <w:p w:rsidR="00235869" w:rsidRPr="00BD646C" w:rsidP="00FE3C0F" w14:paraId="4B84E870" w14:textId="77777777">
            <w:pPr>
              <w:rPr>
                <w:del w:id="18157" w:author="AbbVie14" w:date="2025-05-09T11:00:00Z"/>
                <w:b/>
                <w:bCs/>
                <w:sz w:val="22"/>
                <w:szCs w:val="22"/>
                <w:lang w:val="sk-SK"/>
              </w:rPr>
            </w:pPr>
            <w:del w:id="18158" w:author="AbbVie14" w:date="2025-05-09T11:00:00Z">
              <w:r w:rsidRPr="00BD646C">
                <w:rPr>
                  <w:b/>
                  <w:bCs/>
                  <w:sz w:val="22"/>
                  <w:szCs w:val="22"/>
                  <w:lang w:val="sk-SK"/>
                </w:rPr>
                <w:delText>Slovenská republika</w:delText>
              </w:r>
            </w:del>
          </w:p>
          <w:p w:rsidR="00235869" w:rsidRPr="00BD646C" w:rsidP="00FE3C0F" w14:paraId="44D5F1B8" w14:textId="77777777">
            <w:pPr>
              <w:rPr>
                <w:del w:id="18159" w:author="AbbVie14" w:date="2025-05-09T11:00:00Z"/>
                <w:bCs/>
                <w:sz w:val="22"/>
                <w:szCs w:val="22"/>
                <w:lang w:val="sk-SK"/>
              </w:rPr>
            </w:pPr>
            <w:del w:id="18160" w:author="AbbVie14" w:date="2025-05-09T11:00:00Z">
              <w:r w:rsidRPr="00BD646C">
                <w:rPr>
                  <w:bCs/>
                  <w:sz w:val="22"/>
                  <w:szCs w:val="22"/>
                  <w:lang w:val="sk-SK"/>
                </w:rPr>
                <w:delText>AbbVie s.r.o.</w:delText>
              </w:r>
            </w:del>
          </w:p>
          <w:p w:rsidR="00235869" w:rsidRPr="00BD646C" w:rsidP="00FE3C0F" w14:paraId="5EA7024C" w14:textId="77777777">
            <w:pPr>
              <w:rPr>
                <w:del w:id="18161" w:author="AbbVie14" w:date="2025-05-09T11:00:00Z"/>
                <w:bCs/>
                <w:sz w:val="22"/>
                <w:szCs w:val="22"/>
                <w:lang w:val="sk-SK"/>
              </w:rPr>
            </w:pPr>
            <w:del w:id="18162" w:author="AbbVie14" w:date="2025-05-09T11:00:00Z">
              <w:r w:rsidRPr="00BD646C">
                <w:rPr>
                  <w:bCs/>
                  <w:sz w:val="22"/>
                  <w:szCs w:val="22"/>
                  <w:lang w:val="sk-SK"/>
                </w:rPr>
                <w:delText>Tel: +421 2 5050 0777</w:delText>
              </w:r>
            </w:del>
          </w:p>
          <w:p w:rsidR="00235869" w:rsidRPr="00BD646C" w:rsidP="00FE3C0F" w14:paraId="48101160" w14:textId="77777777">
            <w:pPr>
              <w:rPr>
                <w:del w:id="18163" w:author="AbbVie14" w:date="2025-05-09T11:00:00Z"/>
                <w:bCs/>
                <w:sz w:val="22"/>
                <w:szCs w:val="22"/>
                <w:lang w:val="sk-SK"/>
              </w:rPr>
            </w:pPr>
          </w:p>
        </w:tc>
      </w:tr>
      <w:tr w14:paraId="2319CC52" w14:textId="77777777" w:rsidTr="001F79B0">
        <w:tblPrEx>
          <w:tblW w:w="9356" w:type="dxa"/>
          <w:tblInd w:w="-34" w:type="dxa"/>
          <w:tblLayout w:type="fixed"/>
          <w:tblLook w:val="0000"/>
        </w:tblPrEx>
        <w:trPr>
          <w:gridBefore w:val="1"/>
          <w:wBefore w:w="34" w:type="dxa"/>
          <w:del w:id="18164" w:author="AbbVie14" w:date="2025-05-09T11:00:00Z"/>
        </w:trPr>
        <w:tc>
          <w:tcPr>
            <w:tcW w:w="4644" w:type="dxa"/>
            <w:gridSpan w:val="2"/>
          </w:tcPr>
          <w:p w:rsidR="00235869" w:rsidRPr="00BD646C" w:rsidP="00FE3C0F" w14:paraId="1D05DB57" w14:textId="77777777">
            <w:pPr>
              <w:rPr>
                <w:del w:id="18165" w:author="AbbVie14" w:date="2025-05-09T11:00:00Z"/>
                <w:b/>
                <w:bCs/>
                <w:sz w:val="22"/>
                <w:szCs w:val="22"/>
              </w:rPr>
            </w:pPr>
            <w:del w:id="18166" w:author="AbbVie14" w:date="2025-05-09T11:00:00Z">
              <w:r w:rsidRPr="00BD646C">
                <w:rPr>
                  <w:b/>
                  <w:bCs/>
                  <w:sz w:val="22"/>
                  <w:szCs w:val="22"/>
                </w:rPr>
                <w:delText>Italia</w:delText>
              </w:r>
            </w:del>
          </w:p>
          <w:p w:rsidR="00235869" w:rsidRPr="00BD646C" w:rsidP="00FE3C0F" w14:paraId="04BC4F02" w14:textId="77777777">
            <w:pPr>
              <w:rPr>
                <w:del w:id="18167" w:author="AbbVie14" w:date="2025-05-09T11:00:00Z"/>
                <w:bCs/>
                <w:sz w:val="22"/>
                <w:szCs w:val="22"/>
                <w:lang w:val="pt-PT"/>
              </w:rPr>
            </w:pPr>
            <w:del w:id="18168" w:author="AbbVie14" w:date="2025-05-09T11:00:00Z">
              <w:r w:rsidRPr="00BD646C">
                <w:rPr>
                  <w:bCs/>
                  <w:sz w:val="22"/>
                  <w:szCs w:val="22"/>
                  <w:lang w:val="pt-PT"/>
                </w:rPr>
                <w:delText xml:space="preserve">AbbVie S.r.l. </w:delText>
              </w:r>
            </w:del>
          </w:p>
          <w:p w:rsidR="00235869" w:rsidRPr="00BD646C" w:rsidP="00FE3C0F" w14:paraId="472FAE42" w14:textId="77777777">
            <w:pPr>
              <w:rPr>
                <w:del w:id="18169" w:author="AbbVie14" w:date="2025-05-09T11:00:00Z"/>
                <w:bCs/>
                <w:sz w:val="22"/>
                <w:szCs w:val="22"/>
                <w:lang w:val="fi-FI"/>
              </w:rPr>
            </w:pPr>
            <w:del w:id="18170" w:author="AbbVie14" w:date="2025-05-09T11:00:00Z">
              <w:r w:rsidRPr="00BD646C">
                <w:rPr>
                  <w:bCs/>
                  <w:sz w:val="22"/>
                  <w:szCs w:val="22"/>
                  <w:lang w:val="fr-FR"/>
                </w:rPr>
                <w:delText>Tel: +39 06 928921</w:delText>
              </w:r>
            </w:del>
          </w:p>
        </w:tc>
        <w:tc>
          <w:tcPr>
            <w:tcW w:w="4678" w:type="dxa"/>
          </w:tcPr>
          <w:p w:rsidR="00235869" w:rsidRPr="00BD646C" w:rsidP="00FE3C0F" w14:paraId="0B3CEC1A" w14:textId="77777777">
            <w:pPr>
              <w:rPr>
                <w:del w:id="18171" w:author="AbbVie14" w:date="2025-05-09T11:00:00Z"/>
                <w:b/>
                <w:bCs/>
                <w:sz w:val="22"/>
                <w:szCs w:val="22"/>
                <w:lang w:val="fi-FI"/>
              </w:rPr>
            </w:pPr>
            <w:del w:id="18172" w:author="AbbVie14" w:date="2025-05-09T11:00:00Z">
              <w:r w:rsidRPr="00BD646C">
                <w:rPr>
                  <w:b/>
                  <w:bCs/>
                  <w:sz w:val="22"/>
                  <w:szCs w:val="22"/>
                  <w:lang w:val="fi-FI"/>
                </w:rPr>
                <w:delText>Suomi/Finland</w:delText>
              </w:r>
            </w:del>
          </w:p>
          <w:p w:rsidR="00235869" w:rsidRPr="00BD646C" w:rsidP="00FE3C0F" w14:paraId="3B3A57EB" w14:textId="77777777">
            <w:pPr>
              <w:rPr>
                <w:del w:id="18173" w:author="AbbVie14" w:date="2025-05-09T11:00:00Z"/>
                <w:bCs/>
                <w:sz w:val="22"/>
                <w:szCs w:val="22"/>
                <w:lang w:val="de-CH"/>
              </w:rPr>
            </w:pPr>
            <w:del w:id="18174" w:author="AbbVie14" w:date="2025-05-09T11:00:00Z">
              <w:r w:rsidRPr="00BD646C">
                <w:rPr>
                  <w:bCs/>
                  <w:sz w:val="22"/>
                  <w:szCs w:val="22"/>
                  <w:lang w:val="sk-SK"/>
                </w:rPr>
                <w:delText>AbbVie Oy</w:delText>
              </w:r>
            </w:del>
          </w:p>
          <w:p w:rsidR="00235869" w:rsidRPr="00BD646C" w:rsidP="00FE3C0F" w14:paraId="484BAE3C" w14:textId="77777777">
            <w:pPr>
              <w:rPr>
                <w:del w:id="18175" w:author="AbbVie14" w:date="2025-05-09T11:00:00Z"/>
                <w:bCs/>
                <w:sz w:val="22"/>
                <w:szCs w:val="22"/>
                <w:lang w:val="sk-SK"/>
              </w:rPr>
            </w:pPr>
            <w:del w:id="18176" w:author="AbbVie14" w:date="2025-05-09T11:00:00Z">
              <w:r w:rsidRPr="00BD646C">
                <w:rPr>
                  <w:bCs/>
                  <w:sz w:val="22"/>
                  <w:szCs w:val="22"/>
                  <w:lang w:val="sk-SK"/>
                </w:rPr>
                <w:delText>Puh/Tel: +358 (0)10 2411 200</w:delText>
              </w:r>
            </w:del>
          </w:p>
          <w:p w:rsidR="00235869" w:rsidRPr="00BD646C" w:rsidP="00FE3C0F" w14:paraId="1A6801CD" w14:textId="77777777">
            <w:pPr>
              <w:rPr>
                <w:del w:id="18177" w:author="AbbVie14" w:date="2025-05-09T11:00:00Z"/>
                <w:sz w:val="22"/>
                <w:szCs w:val="22"/>
                <w:lang w:val="sk-SK"/>
              </w:rPr>
            </w:pPr>
          </w:p>
        </w:tc>
      </w:tr>
      <w:tr w14:paraId="499E5C15" w14:textId="77777777" w:rsidTr="001F79B0">
        <w:tblPrEx>
          <w:tblW w:w="9356" w:type="dxa"/>
          <w:tblInd w:w="-34" w:type="dxa"/>
          <w:tblLayout w:type="fixed"/>
          <w:tblLook w:val="0000"/>
        </w:tblPrEx>
        <w:trPr>
          <w:gridBefore w:val="1"/>
          <w:wBefore w:w="34" w:type="dxa"/>
          <w:cantSplit/>
          <w:trHeight w:val="887"/>
          <w:del w:id="18178" w:author="AbbVie14" w:date="2025-05-09T11:00:00Z"/>
        </w:trPr>
        <w:tc>
          <w:tcPr>
            <w:tcW w:w="4644" w:type="dxa"/>
            <w:gridSpan w:val="2"/>
          </w:tcPr>
          <w:p w:rsidR="00235869" w:rsidRPr="00BD646C" w:rsidP="00FE3C0F" w14:paraId="2FC03E21" w14:textId="77777777">
            <w:pPr>
              <w:rPr>
                <w:del w:id="18179" w:author="AbbVie14" w:date="2025-05-09T11:00:00Z"/>
                <w:b/>
                <w:bCs/>
                <w:sz w:val="22"/>
                <w:szCs w:val="22"/>
                <w:lang w:val="el-GR"/>
              </w:rPr>
            </w:pPr>
            <w:del w:id="18180" w:author="AbbVie14" w:date="2025-05-09T11:00:00Z">
              <w:r w:rsidRPr="00BD646C">
                <w:rPr>
                  <w:b/>
                  <w:bCs/>
                  <w:sz w:val="22"/>
                  <w:szCs w:val="22"/>
                  <w:lang w:val="el-GR"/>
                </w:rPr>
                <w:delText>Κύπρος</w:delText>
              </w:r>
            </w:del>
          </w:p>
          <w:p w:rsidR="00235869" w:rsidRPr="00BD646C" w:rsidP="00FE3C0F" w14:paraId="7D1C57BE" w14:textId="77777777">
            <w:pPr>
              <w:rPr>
                <w:del w:id="18181" w:author="AbbVie14" w:date="2025-05-09T11:00:00Z"/>
                <w:bCs/>
                <w:sz w:val="22"/>
                <w:szCs w:val="22"/>
                <w:lang w:val="el-GR"/>
              </w:rPr>
            </w:pPr>
            <w:del w:id="18182" w:author="AbbVie14" w:date="2025-05-09T11:00:00Z">
              <w:r w:rsidRPr="00BD646C">
                <w:rPr>
                  <w:bCs/>
                  <w:sz w:val="22"/>
                  <w:szCs w:val="22"/>
                  <w:lang w:val="sk-SK"/>
                </w:rPr>
                <w:delText xml:space="preserve">Lifepharma (Z.A.M.) </w:delText>
              </w:r>
            </w:del>
            <w:del w:id="18183" w:author="AbbVie14" w:date="2025-05-09T11:00:00Z">
              <w:r w:rsidRPr="00BD646C">
                <w:rPr>
                  <w:bCs/>
                  <w:sz w:val="22"/>
                  <w:szCs w:val="22"/>
                </w:rPr>
                <w:delText>Ltd</w:delText>
              </w:r>
            </w:del>
          </w:p>
          <w:p w:rsidR="00235869" w:rsidRPr="00BD646C" w:rsidP="00FE3C0F" w14:paraId="435F1979" w14:textId="77777777">
            <w:pPr>
              <w:rPr>
                <w:del w:id="18184" w:author="AbbVie14" w:date="2025-05-09T11:00:00Z"/>
                <w:bCs/>
                <w:sz w:val="22"/>
                <w:szCs w:val="22"/>
                <w:lang w:val="lv-LV"/>
              </w:rPr>
            </w:pPr>
            <w:del w:id="18185" w:author="AbbVie14" w:date="2025-05-09T11:00:00Z">
              <w:r w:rsidRPr="00BD646C">
                <w:rPr>
                  <w:bCs/>
                  <w:sz w:val="22"/>
                  <w:szCs w:val="22"/>
                  <w:lang w:val="el-GR"/>
                </w:rPr>
                <w:delText>Τηλ.: +357 22 34 74 40</w:delText>
              </w:r>
            </w:del>
          </w:p>
        </w:tc>
        <w:tc>
          <w:tcPr>
            <w:tcW w:w="4678" w:type="dxa"/>
          </w:tcPr>
          <w:p w:rsidR="00235869" w:rsidRPr="00BD646C" w:rsidP="00FE3C0F" w14:paraId="3260FDC4" w14:textId="77777777">
            <w:pPr>
              <w:rPr>
                <w:del w:id="18186" w:author="AbbVie14" w:date="2025-05-09T11:00:00Z"/>
                <w:b/>
                <w:bCs/>
                <w:sz w:val="22"/>
                <w:szCs w:val="22"/>
                <w:lang w:val="sk-SK"/>
              </w:rPr>
            </w:pPr>
            <w:del w:id="18187" w:author="AbbVie14" w:date="2025-05-09T11:00:00Z">
              <w:r w:rsidRPr="00BD646C">
                <w:rPr>
                  <w:b/>
                  <w:bCs/>
                  <w:sz w:val="22"/>
                  <w:szCs w:val="22"/>
                  <w:lang w:val="sk-SK"/>
                </w:rPr>
                <w:delText>Sverige</w:delText>
              </w:r>
            </w:del>
          </w:p>
          <w:p w:rsidR="00235869" w:rsidRPr="00BD646C" w:rsidP="00FE3C0F" w14:paraId="4DF414A1" w14:textId="77777777">
            <w:pPr>
              <w:rPr>
                <w:del w:id="18188" w:author="AbbVie14" w:date="2025-05-09T11:00:00Z"/>
                <w:bCs/>
                <w:sz w:val="22"/>
                <w:szCs w:val="22"/>
                <w:lang w:val="pt-PT"/>
              </w:rPr>
            </w:pPr>
            <w:del w:id="18189" w:author="AbbVie14" w:date="2025-05-09T11:00:00Z">
              <w:r w:rsidRPr="00BD646C">
                <w:rPr>
                  <w:bCs/>
                  <w:sz w:val="22"/>
                  <w:szCs w:val="22"/>
                  <w:lang w:val="pt-PT"/>
                </w:rPr>
                <w:delText>AbbVie AB</w:delText>
              </w:r>
            </w:del>
          </w:p>
          <w:p w:rsidR="00235869" w:rsidRPr="00BD646C" w:rsidP="00FE3C0F" w14:paraId="27C848D2" w14:textId="77777777">
            <w:pPr>
              <w:rPr>
                <w:del w:id="18190" w:author="AbbVie14" w:date="2025-05-09T11:00:00Z"/>
                <w:bCs/>
                <w:sz w:val="22"/>
                <w:szCs w:val="22"/>
                <w:lang w:val="sk-SK"/>
              </w:rPr>
            </w:pPr>
            <w:del w:id="18191" w:author="AbbVie14" w:date="2025-05-09T11:00:00Z">
              <w:r w:rsidRPr="00BD646C">
                <w:rPr>
                  <w:bCs/>
                  <w:sz w:val="22"/>
                  <w:szCs w:val="22"/>
                  <w:lang w:val="da-DK"/>
                </w:rPr>
                <w:delText>Tel: +46 (0)8 684 44 600</w:delText>
              </w:r>
            </w:del>
          </w:p>
        </w:tc>
      </w:tr>
      <w:tr w14:paraId="62027412" w14:textId="77777777" w:rsidTr="001F79B0">
        <w:tblPrEx>
          <w:tblW w:w="9356" w:type="dxa"/>
          <w:tblInd w:w="-34" w:type="dxa"/>
          <w:tblLayout w:type="fixed"/>
          <w:tblLook w:val="0000"/>
        </w:tblPrEx>
        <w:trPr>
          <w:gridBefore w:val="1"/>
          <w:wBefore w:w="34" w:type="dxa"/>
          <w:cantSplit/>
          <w:trHeight w:val="761"/>
          <w:del w:id="18192" w:author="AbbVie14" w:date="2025-05-09T11:00:00Z"/>
        </w:trPr>
        <w:tc>
          <w:tcPr>
            <w:tcW w:w="4644" w:type="dxa"/>
            <w:gridSpan w:val="2"/>
          </w:tcPr>
          <w:p w:rsidR="00235869" w:rsidRPr="00BD646C" w:rsidP="00FE3C0F" w14:paraId="5B3F6985" w14:textId="77777777">
            <w:pPr>
              <w:rPr>
                <w:del w:id="18193" w:author="AbbVie14" w:date="2025-05-09T11:00:00Z"/>
                <w:b/>
                <w:bCs/>
                <w:sz w:val="22"/>
                <w:szCs w:val="22"/>
                <w:lang w:val="lv-LV"/>
              </w:rPr>
            </w:pPr>
            <w:del w:id="18194" w:author="AbbVie14" w:date="2025-05-09T11:00:00Z">
              <w:r w:rsidRPr="00BD646C">
                <w:rPr>
                  <w:b/>
                  <w:bCs/>
                  <w:sz w:val="22"/>
                  <w:szCs w:val="22"/>
                  <w:lang w:val="lv-LV"/>
                </w:rPr>
                <w:delText>Latvija</w:delText>
              </w:r>
            </w:del>
          </w:p>
          <w:p w:rsidR="00235869" w:rsidRPr="00BD646C" w:rsidP="00FE3C0F" w14:paraId="2ABFEFA1" w14:textId="77777777">
            <w:pPr>
              <w:rPr>
                <w:del w:id="18195" w:author="AbbVie14" w:date="2025-05-09T11:00:00Z"/>
                <w:bCs/>
                <w:sz w:val="22"/>
                <w:szCs w:val="22"/>
                <w:lang w:val="lv-LV"/>
              </w:rPr>
            </w:pPr>
            <w:del w:id="18196" w:author="AbbVie14" w:date="2025-05-09T11:00:00Z">
              <w:r w:rsidRPr="00BD646C">
                <w:rPr>
                  <w:bCs/>
                  <w:sz w:val="22"/>
                  <w:szCs w:val="22"/>
                  <w:lang w:val="lv-LV"/>
                </w:rPr>
                <w:delText xml:space="preserve">AbbVie SIA </w:delText>
              </w:r>
            </w:del>
          </w:p>
          <w:p w:rsidR="00235869" w:rsidRPr="00BD646C" w:rsidP="00FE3C0F" w14:paraId="2058C4F0" w14:textId="77777777">
            <w:pPr>
              <w:rPr>
                <w:del w:id="18197" w:author="AbbVie14" w:date="2025-05-09T11:00:00Z"/>
                <w:bCs/>
                <w:sz w:val="22"/>
                <w:szCs w:val="22"/>
                <w:lang w:val="lv-LV"/>
              </w:rPr>
            </w:pPr>
            <w:del w:id="18198" w:author="AbbVie14" w:date="2025-05-09T11:00:00Z">
              <w:r w:rsidRPr="00BD646C">
                <w:rPr>
                  <w:bCs/>
                  <w:sz w:val="22"/>
                  <w:szCs w:val="22"/>
                  <w:lang w:val="lv-LV"/>
                </w:rPr>
                <w:delText>Tel: +371 67605000</w:delText>
              </w:r>
            </w:del>
          </w:p>
        </w:tc>
        <w:tc>
          <w:tcPr>
            <w:tcW w:w="4678" w:type="dxa"/>
          </w:tcPr>
          <w:p w:rsidR="00235869" w:rsidRPr="00BD646C" w:rsidP="00FE3C0F" w14:paraId="0887EFAD" w14:textId="77777777">
            <w:pPr>
              <w:rPr>
                <w:del w:id="18199" w:author="AbbVie14" w:date="2025-05-09T11:00:00Z"/>
                <w:b/>
                <w:bCs/>
                <w:sz w:val="22"/>
                <w:szCs w:val="22"/>
                <w:lang w:val="sk-SK"/>
              </w:rPr>
            </w:pPr>
          </w:p>
        </w:tc>
      </w:tr>
    </w:tbl>
    <w:p w:rsidR="006224C2" w:rsidRPr="008B6641" w:rsidP="00FE3C0F" w14:paraId="132BC789" w14:textId="77777777">
      <w:pPr>
        <w:rPr>
          <w:del w:id="18200" w:author="AbbVie14" w:date="2025-05-09T11:00:00Z"/>
          <w:sz w:val="22"/>
          <w:szCs w:val="22"/>
          <w:lang w:val="it-IT"/>
          <w:rPrChange w:id="18201" w:author="AbbVie14" w:date="2025-05-13T14:31:00Z">
            <w:rPr>
              <w:sz w:val="22"/>
              <w:szCs w:val="22"/>
              <w:lang w:val="en-US"/>
            </w:rPr>
          </w:rPrChange>
        </w:rPr>
      </w:pPr>
    </w:p>
    <w:p w:rsidR="006224C2" w:rsidRPr="00295E71" w:rsidP="00FE3C0F" w14:paraId="119282F4" w14:textId="77777777">
      <w:pPr>
        <w:pStyle w:val="Title"/>
        <w:tabs>
          <w:tab w:val="left" w:pos="567"/>
        </w:tabs>
        <w:jc w:val="both"/>
        <w:rPr>
          <w:del w:id="18202" w:author="AbbVie14" w:date="2025-05-09T11:00:00Z"/>
          <w:b w:val="0"/>
          <w:sz w:val="22"/>
          <w:szCs w:val="22"/>
        </w:rPr>
      </w:pPr>
      <w:del w:id="18203" w:author="AbbVie14" w:date="2025-05-09T11:00:00Z">
        <w:r w:rsidRPr="00295E71">
          <w:rPr>
            <w:sz w:val="22"/>
            <w:szCs w:val="22"/>
          </w:rPr>
          <w:delText>Questo foglio illustrativo è stato aggiornato il</w:delText>
        </w:r>
      </w:del>
    </w:p>
    <w:p w:rsidR="006224C2" w:rsidRPr="00295E71" w:rsidP="00FE3C0F" w14:paraId="3CB67640" w14:textId="77777777">
      <w:pPr>
        <w:pStyle w:val="Title"/>
        <w:tabs>
          <w:tab w:val="left" w:pos="567"/>
        </w:tabs>
        <w:jc w:val="both"/>
        <w:rPr>
          <w:del w:id="18204" w:author="AbbVie14" w:date="2025-05-09T11:00:00Z"/>
          <w:b w:val="0"/>
          <w:sz w:val="22"/>
          <w:szCs w:val="22"/>
        </w:rPr>
      </w:pPr>
    </w:p>
    <w:p w:rsidR="006224C2" w:rsidRPr="00295E71" w:rsidP="00FE3C0F" w14:paraId="3EE34426" w14:textId="77777777">
      <w:pPr>
        <w:numPr>
          <w:ilvl w:val="12"/>
          <w:numId w:val="0"/>
        </w:numPr>
        <w:tabs>
          <w:tab w:val="left" w:pos="567"/>
        </w:tabs>
        <w:ind w:right="-2"/>
        <w:jc w:val="both"/>
        <w:rPr>
          <w:del w:id="18205" w:author="AbbVie14" w:date="2025-05-09T11:00:00Z"/>
          <w:sz w:val="22"/>
          <w:szCs w:val="22"/>
        </w:rPr>
      </w:pPr>
      <w:del w:id="18206" w:author="AbbVie14" w:date="2025-05-09T11:00:00Z">
        <w:r w:rsidRPr="00295E71">
          <w:rPr>
            <w:sz w:val="22"/>
            <w:szCs w:val="22"/>
          </w:rPr>
          <w:delText xml:space="preserve">Informazioni più dettagliate su questo medicinale sono disponibili sul sito web dell’Agenzia europea dei medicinali: </w:delText>
        </w:r>
      </w:del>
      <w:del w:id="18207" w:author="AbbVie14" w:date="2025-05-09T11:00:00Z">
        <w:r>
          <w:fldChar w:fldCharType="begin"/>
        </w:r>
      </w:del>
      <w:del w:id="18208" w:author="AbbVie14" w:date="2025-05-09T11:00:00Z">
        <w:r>
          <w:delInstrText>HYPERLINK "http://www.ema.europa.eu/"</w:delInstrText>
        </w:r>
      </w:del>
      <w:del w:id="18209" w:author="AbbVie14" w:date="2025-05-09T11:00:00Z">
        <w:r>
          <w:fldChar w:fldCharType="separate"/>
        </w:r>
      </w:del>
      <w:del w:id="18210" w:author="AbbVie14" w:date="2025-05-09T11:00:00Z">
        <w:r w:rsidRPr="00295E71">
          <w:rPr>
            <w:rStyle w:val="Hyperlink"/>
            <w:sz w:val="22"/>
            <w:szCs w:val="22"/>
          </w:rPr>
          <w:delText>http://www.ema.europa.eu/</w:delText>
        </w:r>
      </w:del>
      <w:del w:id="18211" w:author="AbbVie14" w:date="2025-05-09T11:00:00Z">
        <w:r>
          <w:fldChar w:fldCharType="end"/>
        </w:r>
      </w:del>
      <w:del w:id="18212" w:author="AbbVie14" w:date="2025-05-09T11:00:00Z">
        <w:r w:rsidRPr="00295E71">
          <w:rPr>
            <w:sz w:val="22"/>
            <w:szCs w:val="22"/>
          </w:rPr>
          <w:delText>.</w:delText>
        </w:r>
      </w:del>
    </w:p>
    <w:p w:rsidR="006224C2" w:rsidRPr="00295E71" w:rsidP="00FE3C0F" w14:paraId="2FBA49E9" w14:textId="77777777">
      <w:pPr>
        <w:numPr>
          <w:ilvl w:val="12"/>
          <w:numId w:val="0"/>
        </w:numPr>
        <w:tabs>
          <w:tab w:val="left" w:pos="567"/>
        </w:tabs>
        <w:ind w:right="-2"/>
        <w:jc w:val="both"/>
        <w:rPr>
          <w:del w:id="18213" w:author="AbbVie14" w:date="2025-05-09T11:00:00Z"/>
          <w:sz w:val="22"/>
          <w:szCs w:val="22"/>
        </w:rPr>
      </w:pPr>
    </w:p>
    <w:p w:rsidR="006224C2" w:rsidRPr="00295E71" w:rsidP="00FE3C0F" w14:paraId="18B23CE6" w14:textId="77777777">
      <w:pPr>
        <w:numPr>
          <w:ilvl w:val="12"/>
          <w:numId w:val="0"/>
        </w:numPr>
        <w:tabs>
          <w:tab w:val="left" w:pos="567"/>
        </w:tabs>
        <w:ind w:right="-2"/>
        <w:jc w:val="both"/>
        <w:rPr>
          <w:del w:id="18214" w:author="AbbVie14" w:date="2025-05-09T11:00:00Z"/>
          <w:sz w:val="22"/>
          <w:szCs w:val="22"/>
        </w:rPr>
      </w:pPr>
      <w:del w:id="18215" w:author="AbbVie14" w:date="2025-05-09T11:00:00Z">
        <w:r w:rsidRPr="00295E71">
          <w:rPr>
            <w:b/>
            <w:color w:val="000000"/>
            <w:sz w:val="22"/>
            <w:szCs w:val="22"/>
          </w:rPr>
          <w:delText xml:space="preserve">Per ascoltare o richiedere una copia di questo foglio illustrativo in </w:delText>
        </w:r>
      </w:del>
      <w:del w:id="18216" w:author="AbbVie14" w:date="2025-05-09T11:00:00Z">
        <w:r w:rsidRPr="00295E71">
          <w:rPr>
            <w:b/>
            <w:color w:val="000000"/>
            <w:sz w:val="22"/>
            <w:szCs w:val="22"/>
            <w:shd w:val="clear" w:color="auto" w:fill="A6A6A6"/>
          </w:rPr>
          <w:delText>&lt;Braille&gt;, &lt; stampa a caratteri grandi&gt; o &lt;audio</w:delText>
        </w:r>
      </w:del>
      <w:del w:id="18217" w:author="AbbVie14" w:date="2025-05-09T11:00:00Z">
        <w:r w:rsidRPr="00295E71">
          <w:rPr>
            <w:b/>
            <w:color w:val="000000"/>
            <w:sz w:val="22"/>
            <w:szCs w:val="22"/>
            <w:highlight w:val="darkGray"/>
          </w:rPr>
          <w:delText>&gt;</w:delText>
        </w:r>
      </w:del>
      <w:del w:id="18218" w:author="AbbVie14" w:date="2025-05-09T11:00:00Z">
        <w:r w:rsidRPr="00295E71">
          <w:rPr>
            <w:b/>
            <w:color w:val="000000"/>
            <w:sz w:val="22"/>
            <w:szCs w:val="22"/>
          </w:rPr>
          <w:delText xml:space="preserve">, contattare il rappresentante locale del </w:delText>
        </w:r>
      </w:del>
      <w:del w:id="18219" w:author="AbbVie14" w:date="2025-05-09T11:00:00Z">
        <w:r w:rsidRPr="00295E71">
          <w:rPr>
            <w:b/>
            <w:sz w:val="22"/>
            <w:szCs w:val="22"/>
          </w:rPr>
          <w:delText>titolare dell’autorizzazione all’immissione in commercio.</w:delText>
        </w:r>
      </w:del>
    </w:p>
    <w:p w:rsidR="006224C2" w:rsidRPr="00295E71" w14:paraId="08D70173" w14:textId="77777777">
      <w:pPr>
        <w:pStyle w:val="Title"/>
        <w:tabs>
          <w:tab w:val="left" w:pos="567"/>
        </w:tabs>
        <w:pPrChange w:id="18220" w:author="AbbVie14" w:date="2025-05-09T11:00:00Z">
          <w:pPr>
            <w:numPr>
              <w:ilvl w:val="12"/>
              <w:numId w:val="0"/>
            </w:numPr>
            <w:tabs>
              <w:tab w:val="left" w:pos="567"/>
            </w:tabs>
            <w:ind w:right="-2"/>
          </w:pPr>
        </w:pPrChange>
        <w:rPr>
          <w:sz w:val="22"/>
          <w:szCs w:val="22"/>
        </w:rPr>
      </w:pPr>
      <w:del w:id="18221" w:author="AbbVie14" w:date="2025-05-09T11:00:00Z">
        <w:r w:rsidRPr="00295E71">
          <w:rPr>
            <w:sz w:val="22"/>
            <w:szCs w:val="22"/>
          </w:rPr>
          <w:br w:type="page"/>
        </w:r>
      </w:del>
    </w:p>
    <w:p w:rsidR="006224C2" w:rsidRPr="00295E71" w14:paraId="3B5F4D9A" w14:textId="77777777">
      <w:pPr>
        <w:pStyle w:val="Title"/>
        <w:tabs>
          <w:tab w:val="left" w:pos="567"/>
        </w:tabs>
        <w:rPr>
          <w:del w:id="18222" w:author="AbbVie14" w:date="2025-05-09T11:00:00Z"/>
          <w:sz w:val="22"/>
          <w:szCs w:val="22"/>
        </w:rPr>
      </w:pPr>
      <w:del w:id="18223" w:author="AbbVie14" w:date="2025-05-09T11:00:00Z">
        <w:r w:rsidRPr="00295E71">
          <w:rPr>
            <w:sz w:val="22"/>
            <w:szCs w:val="22"/>
          </w:rPr>
          <w:delText>Foglio illustrativo: informazioni per il paziente</w:delText>
        </w:r>
      </w:del>
    </w:p>
    <w:p w:rsidR="006224C2" w:rsidRPr="00295E71" w14:paraId="5230E8F5" w14:textId="77777777">
      <w:pPr>
        <w:pStyle w:val="Title"/>
        <w:tabs>
          <w:tab w:val="left" w:pos="567"/>
        </w:tabs>
        <w:rPr>
          <w:del w:id="18224" w:author="AbbVie14" w:date="2025-05-09T11:00:00Z"/>
          <w:sz w:val="22"/>
          <w:szCs w:val="22"/>
        </w:rPr>
      </w:pPr>
    </w:p>
    <w:p w:rsidR="006224C2" w:rsidRPr="00295E71" w14:paraId="3965DAF1" w14:textId="77777777">
      <w:pPr>
        <w:pStyle w:val="Title"/>
        <w:tabs>
          <w:tab w:val="left" w:pos="567"/>
        </w:tabs>
        <w:rPr>
          <w:del w:id="18225" w:author="AbbVie14" w:date="2025-05-09T11:00:00Z"/>
          <w:b w:val="0"/>
          <w:bCs w:val="0"/>
          <w:sz w:val="22"/>
          <w:szCs w:val="22"/>
        </w:rPr>
      </w:pPr>
      <w:del w:id="18226" w:author="AbbVie14" w:date="2025-05-09T11:00:00Z">
        <w:r w:rsidRPr="00295E71">
          <w:rPr>
            <w:sz w:val="22"/>
            <w:szCs w:val="22"/>
          </w:rPr>
          <w:delText>Humira</w:delText>
        </w:r>
      </w:del>
      <w:del w:id="18227" w:author="AbbVie14" w:date="2025-05-09T11:00:00Z">
        <w:r w:rsidRPr="00295E71" w:rsidR="00EB5AB2">
          <w:rPr>
            <w:sz w:val="22"/>
            <w:szCs w:val="22"/>
          </w:rPr>
          <w:delText xml:space="preserve"> </w:delText>
        </w:r>
      </w:del>
      <w:del w:id="18228" w:author="AbbVie14" w:date="2025-05-09T11:00:00Z">
        <w:r w:rsidRPr="00295E71">
          <w:rPr>
            <w:bCs w:val="0"/>
            <w:sz w:val="22"/>
            <w:szCs w:val="22"/>
          </w:rPr>
          <w:delText>40 mg soluzione iniettabile in penna pre-riempita</w:delText>
        </w:r>
      </w:del>
    </w:p>
    <w:p w:rsidR="006224C2" w:rsidRPr="00295E71" w14:paraId="138D2486" w14:textId="77777777">
      <w:pPr>
        <w:pStyle w:val="Title"/>
        <w:tabs>
          <w:tab w:val="left" w:pos="567"/>
        </w:tabs>
        <w:rPr>
          <w:del w:id="18229" w:author="AbbVie14" w:date="2025-05-09T11:00:00Z"/>
          <w:b w:val="0"/>
          <w:bCs w:val="0"/>
          <w:sz w:val="22"/>
          <w:szCs w:val="22"/>
        </w:rPr>
      </w:pPr>
      <w:del w:id="18230" w:author="AbbVie14" w:date="2025-05-09T11:00:00Z">
        <w:r w:rsidRPr="00295E71">
          <w:rPr>
            <w:b w:val="0"/>
            <w:bCs w:val="0"/>
            <w:sz w:val="22"/>
            <w:szCs w:val="22"/>
          </w:rPr>
          <w:delText>adalimumab</w:delText>
        </w:r>
      </w:del>
    </w:p>
    <w:p w:rsidR="006224C2" w:rsidRPr="00295E71" w14:paraId="28BEDB68" w14:textId="77777777">
      <w:pPr>
        <w:tabs>
          <w:tab w:val="left" w:pos="567"/>
        </w:tabs>
        <w:jc w:val="center"/>
        <w:rPr>
          <w:del w:id="18231" w:author="AbbVie14" w:date="2025-05-09T11:00:00Z"/>
          <w:sz w:val="22"/>
          <w:szCs w:val="22"/>
        </w:rPr>
      </w:pPr>
    </w:p>
    <w:p w:rsidR="006224C2" w:rsidRPr="00295E71" w14:paraId="3CF3FD7F" w14:textId="77777777">
      <w:pPr>
        <w:pStyle w:val="Heading8"/>
        <w:keepNext w:val="0"/>
        <w:tabs>
          <w:tab w:val="left" w:pos="567"/>
        </w:tabs>
        <w:jc w:val="both"/>
        <w:rPr>
          <w:del w:id="18232" w:author="AbbVie14" w:date="2025-05-09T11:00:00Z"/>
        </w:rPr>
      </w:pPr>
      <w:del w:id="18233" w:author="AbbVie14" w:date="2025-05-09T11:00:00Z">
        <w:r w:rsidRPr="00295E71">
          <w:delText>Legga attentamente questo foglio prima di usare questo medicinale perchè contiene importanti informazioni per lei</w:delText>
        </w:r>
      </w:del>
    </w:p>
    <w:p w:rsidR="006224C2" w:rsidRPr="00295E71" w14:paraId="7750CD5F" w14:textId="77777777">
      <w:pPr>
        <w:numPr>
          <w:ilvl w:val="0"/>
          <w:numId w:val="1"/>
        </w:numPr>
        <w:tabs>
          <w:tab w:val="left" w:pos="567"/>
        </w:tabs>
        <w:ind w:left="567" w:right="-2" w:hanging="567"/>
        <w:jc w:val="both"/>
        <w:rPr>
          <w:del w:id="18234" w:author="AbbVie14" w:date="2025-05-09T11:00:00Z"/>
          <w:sz w:val="22"/>
          <w:szCs w:val="22"/>
        </w:rPr>
      </w:pPr>
      <w:del w:id="18235" w:author="AbbVie14" w:date="2025-05-09T11:00:00Z">
        <w:r w:rsidRPr="00295E71">
          <w:rPr>
            <w:sz w:val="22"/>
            <w:szCs w:val="22"/>
          </w:rPr>
          <w:delText>Conservi questo foglio. Potrebbe avere bisogno di leggerlo di nuovo.</w:delText>
        </w:r>
      </w:del>
    </w:p>
    <w:p w:rsidR="006224C2" w:rsidRPr="00295E71" w14:paraId="71E3A65A" w14:textId="77777777">
      <w:pPr>
        <w:numPr>
          <w:ilvl w:val="0"/>
          <w:numId w:val="1"/>
        </w:numPr>
        <w:tabs>
          <w:tab w:val="left" w:pos="567"/>
        </w:tabs>
        <w:ind w:left="567" w:right="-2" w:hanging="567"/>
        <w:jc w:val="both"/>
        <w:rPr>
          <w:del w:id="18236" w:author="AbbVie14" w:date="2025-05-09T11:00:00Z"/>
          <w:sz w:val="22"/>
          <w:szCs w:val="22"/>
        </w:rPr>
      </w:pPr>
      <w:del w:id="18237" w:author="AbbVie14" w:date="2025-05-09T11:00:00Z">
        <w:r w:rsidRPr="00295E71">
          <w:rPr>
            <w:sz w:val="22"/>
            <w:szCs w:val="22"/>
          </w:rPr>
          <w:delText>Il medico le consegnerà una</w:delText>
        </w:r>
      </w:del>
      <w:del w:id="18238" w:author="AbbVie14" w:date="2025-05-09T11:00:00Z">
        <w:r w:rsidR="00E15A82">
          <w:rPr>
            <w:sz w:val="22"/>
            <w:szCs w:val="22"/>
          </w:rPr>
          <w:delText xml:space="preserve"> </w:delText>
        </w:r>
      </w:del>
      <w:del w:id="18239" w:author="AbbVie14" w:date="2025-05-09T11:00:00Z">
        <w:r w:rsidRPr="000D0B9B" w:rsidR="00E15A82">
          <w:rPr>
            <w:b/>
            <w:sz w:val="22"/>
            <w:szCs w:val="22"/>
          </w:rPr>
          <w:delText>Scheda Promemoria per il Paziente</w:delText>
        </w:r>
      </w:del>
      <w:del w:id="18240" w:author="AbbVie14" w:date="2025-05-09T11:00:00Z">
        <w:r w:rsidRPr="00295E71">
          <w:rPr>
            <w:sz w:val="22"/>
            <w:szCs w:val="22"/>
          </w:rPr>
          <w:delText>, che contiene importanti informazioni sulla sicurezza, che ha bisogno di sapere prima della somministrazione di Humira e durante il trattamento con Humira. Conservi questa</w:delText>
        </w:r>
      </w:del>
      <w:del w:id="18241" w:author="AbbVie14" w:date="2025-05-09T11:00:00Z">
        <w:r w:rsidRPr="000D0B9B" w:rsidR="00E15A82">
          <w:rPr>
            <w:b/>
            <w:sz w:val="22"/>
            <w:szCs w:val="22"/>
          </w:rPr>
          <w:delText>Scheda Promemoria per il Paziente</w:delText>
        </w:r>
      </w:del>
      <w:del w:id="18242" w:author="AbbVie14" w:date="2025-05-09T11:00:00Z">
        <w:r w:rsidRPr="00295E71">
          <w:rPr>
            <w:sz w:val="22"/>
            <w:szCs w:val="22"/>
          </w:rPr>
          <w:delText>.</w:delText>
        </w:r>
      </w:del>
    </w:p>
    <w:p w:rsidR="006224C2" w:rsidRPr="00295E71" w14:paraId="4571B9D0" w14:textId="77777777">
      <w:pPr>
        <w:numPr>
          <w:ilvl w:val="0"/>
          <w:numId w:val="1"/>
        </w:numPr>
        <w:tabs>
          <w:tab w:val="left" w:pos="567"/>
        </w:tabs>
        <w:ind w:left="567" w:right="-2" w:hanging="567"/>
        <w:jc w:val="both"/>
        <w:rPr>
          <w:del w:id="18243" w:author="AbbVie14" w:date="2025-05-09T11:00:00Z"/>
          <w:sz w:val="22"/>
          <w:szCs w:val="22"/>
        </w:rPr>
      </w:pPr>
      <w:del w:id="18244" w:author="AbbVie14" w:date="2025-05-09T11:00:00Z">
        <w:r w:rsidRPr="00295E71">
          <w:rPr>
            <w:sz w:val="22"/>
            <w:szCs w:val="22"/>
          </w:rPr>
          <w:delText xml:space="preserve">Se ha qualsiasi dubbio, si rivolga al medico o al farmacista. </w:delText>
        </w:r>
      </w:del>
    </w:p>
    <w:p w:rsidR="006224C2" w:rsidRPr="00295E71" w14:paraId="36F248CA" w14:textId="77777777">
      <w:pPr>
        <w:numPr>
          <w:ilvl w:val="0"/>
          <w:numId w:val="1"/>
        </w:numPr>
        <w:tabs>
          <w:tab w:val="left" w:pos="567"/>
        </w:tabs>
        <w:ind w:left="567" w:right="-2" w:hanging="567"/>
        <w:jc w:val="both"/>
        <w:rPr>
          <w:del w:id="18245" w:author="AbbVie14" w:date="2025-05-09T11:00:00Z"/>
          <w:sz w:val="22"/>
          <w:szCs w:val="22"/>
        </w:rPr>
      </w:pPr>
      <w:del w:id="18246" w:author="AbbVie14" w:date="2025-05-09T11:00:00Z">
        <w:r w:rsidRPr="00295E71">
          <w:rPr>
            <w:sz w:val="22"/>
            <w:szCs w:val="22"/>
          </w:rPr>
          <w:delText>Questo medicinale è stato prescritto soltanto per lei. Non lo dia ad altre persone, anche se i sintomi della malattia sono uguali ai suoi, perché potrebbe essere pericoloso.</w:delText>
        </w:r>
      </w:del>
    </w:p>
    <w:p w:rsidR="006224C2" w:rsidRPr="00295E71" w14:paraId="07DF3A43" w14:textId="77777777">
      <w:pPr>
        <w:numPr>
          <w:ilvl w:val="0"/>
          <w:numId w:val="1"/>
        </w:numPr>
        <w:tabs>
          <w:tab w:val="left" w:pos="567"/>
        </w:tabs>
        <w:ind w:left="567" w:right="-2" w:hanging="567"/>
        <w:jc w:val="both"/>
        <w:rPr>
          <w:del w:id="18247" w:author="AbbVie14" w:date="2025-05-09T11:00:00Z"/>
          <w:sz w:val="22"/>
          <w:szCs w:val="22"/>
        </w:rPr>
      </w:pPr>
      <w:del w:id="18248" w:author="AbbVie14" w:date="2025-05-09T11:00:00Z">
        <w:r w:rsidRPr="00295E71">
          <w:rPr>
            <w:sz w:val="22"/>
            <w:szCs w:val="22"/>
          </w:rPr>
          <w:delText>Se si manifesta unqualsiasi effetto indesiderato, compresi quelli non elencati in questo foglio, si rivolga al medico o al farmacista. Vedere paragrafo 4.</w:delText>
        </w:r>
      </w:del>
    </w:p>
    <w:p w:rsidR="006224C2" w:rsidRPr="00295E71" w14:paraId="19CADDC1" w14:textId="77777777">
      <w:pPr>
        <w:numPr>
          <w:ilvl w:val="12"/>
          <w:numId w:val="0"/>
        </w:numPr>
        <w:tabs>
          <w:tab w:val="left" w:pos="567"/>
        </w:tabs>
        <w:ind w:right="-2"/>
        <w:jc w:val="both"/>
        <w:rPr>
          <w:del w:id="18249" w:author="AbbVie14" w:date="2025-05-09T11:00:00Z"/>
          <w:sz w:val="22"/>
          <w:szCs w:val="22"/>
          <w:u w:val="single"/>
        </w:rPr>
      </w:pPr>
    </w:p>
    <w:p w:rsidR="006224C2" w:rsidRPr="00295E71" w14:paraId="16A9FE8C" w14:textId="77777777">
      <w:pPr>
        <w:numPr>
          <w:ilvl w:val="12"/>
          <w:numId w:val="0"/>
        </w:numPr>
        <w:tabs>
          <w:tab w:val="left" w:pos="567"/>
        </w:tabs>
        <w:ind w:right="-2"/>
        <w:jc w:val="both"/>
        <w:rPr>
          <w:del w:id="18250" w:author="AbbVie14" w:date="2025-05-09T11:00:00Z"/>
          <w:b/>
          <w:bCs/>
          <w:sz w:val="22"/>
          <w:szCs w:val="22"/>
        </w:rPr>
      </w:pPr>
      <w:del w:id="18251" w:author="AbbVie14" w:date="2025-05-09T11:00:00Z">
        <w:r w:rsidRPr="00295E71">
          <w:rPr>
            <w:b/>
            <w:bCs/>
            <w:sz w:val="22"/>
            <w:szCs w:val="22"/>
          </w:rPr>
          <w:delText>Contenuto di questo foglio</w:delText>
        </w:r>
      </w:del>
    </w:p>
    <w:p w:rsidR="006224C2" w:rsidRPr="00295E71" w14:paraId="1296F4A3" w14:textId="77777777">
      <w:pPr>
        <w:tabs>
          <w:tab w:val="left" w:pos="567"/>
        </w:tabs>
        <w:ind w:left="567" w:right="-29" w:hanging="567"/>
        <w:jc w:val="both"/>
        <w:rPr>
          <w:del w:id="18252" w:author="AbbVie14" w:date="2025-05-09T11:00:00Z"/>
          <w:sz w:val="22"/>
          <w:szCs w:val="22"/>
        </w:rPr>
      </w:pPr>
      <w:del w:id="18253" w:author="AbbVie14" w:date="2025-05-09T11:00:00Z">
        <w:r w:rsidRPr="00295E71">
          <w:rPr>
            <w:sz w:val="22"/>
            <w:szCs w:val="22"/>
          </w:rPr>
          <w:delText>1.</w:delText>
        </w:r>
      </w:del>
      <w:del w:id="18254" w:author="AbbVie14" w:date="2025-05-09T11:00:00Z">
        <w:r w:rsidRPr="00295E71">
          <w:rPr>
            <w:sz w:val="22"/>
            <w:szCs w:val="22"/>
          </w:rPr>
          <w:tab/>
          <w:delText>Cos’è Humira e a cosa serve</w:delText>
        </w:r>
      </w:del>
    </w:p>
    <w:p w:rsidR="006224C2" w:rsidRPr="00295E71" w14:paraId="4433D866" w14:textId="77777777">
      <w:pPr>
        <w:tabs>
          <w:tab w:val="left" w:pos="567"/>
        </w:tabs>
        <w:ind w:left="567" w:right="-29" w:hanging="567"/>
        <w:jc w:val="both"/>
        <w:rPr>
          <w:del w:id="18255" w:author="AbbVie14" w:date="2025-05-09T11:00:00Z"/>
          <w:sz w:val="22"/>
          <w:szCs w:val="22"/>
        </w:rPr>
      </w:pPr>
      <w:del w:id="18256" w:author="AbbVie14" w:date="2025-05-09T11:00:00Z">
        <w:r w:rsidRPr="00295E71">
          <w:rPr>
            <w:sz w:val="22"/>
            <w:szCs w:val="22"/>
          </w:rPr>
          <w:delText>2.</w:delText>
        </w:r>
      </w:del>
      <w:del w:id="18257" w:author="AbbVie14" w:date="2025-05-09T11:00:00Z">
        <w:r w:rsidRPr="00295E71">
          <w:rPr>
            <w:sz w:val="22"/>
            <w:szCs w:val="22"/>
          </w:rPr>
          <w:tab/>
          <w:delText>Cosa deve sapere prima di usare Humira</w:delText>
        </w:r>
      </w:del>
    </w:p>
    <w:p w:rsidR="006224C2" w:rsidRPr="00295E71" w14:paraId="140189F7" w14:textId="77777777">
      <w:pPr>
        <w:tabs>
          <w:tab w:val="left" w:pos="567"/>
        </w:tabs>
        <w:ind w:left="567" w:right="-29" w:hanging="567"/>
        <w:jc w:val="both"/>
        <w:rPr>
          <w:del w:id="18258" w:author="AbbVie14" w:date="2025-05-09T11:00:00Z"/>
          <w:sz w:val="22"/>
          <w:szCs w:val="22"/>
        </w:rPr>
      </w:pPr>
      <w:del w:id="18259" w:author="AbbVie14" w:date="2025-05-09T11:00:00Z">
        <w:r w:rsidRPr="00295E71">
          <w:rPr>
            <w:sz w:val="22"/>
            <w:szCs w:val="22"/>
          </w:rPr>
          <w:delText>3.</w:delText>
        </w:r>
      </w:del>
      <w:del w:id="18260" w:author="AbbVie14" w:date="2025-05-09T11:00:00Z">
        <w:r w:rsidRPr="00295E71">
          <w:rPr>
            <w:sz w:val="22"/>
            <w:szCs w:val="22"/>
          </w:rPr>
          <w:tab/>
          <w:delText>Come usare Humira</w:delText>
        </w:r>
      </w:del>
    </w:p>
    <w:p w:rsidR="006224C2" w:rsidRPr="00295E71" w14:paraId="1A167218" w14:textId="77777777">
      <w:pPr>
        <w:tabs>
          <w:tab w:val="left" w:pos="567"/>
        </w:tabs>
        <w:ind w:left="567" w:right="-29" w:hanging="567"/>
        <w:jc w:val="both"/>
        <w:rPr>
          <w:del w:id="18261" w:author="AbbVie14" w:date="2025-05-09T11:00:00Z"/>
          <w:sz w:val="22"/>
          <w:szCs w:val="22"/>
        </w:rPr>
      </w:pPr>
      <w:del w:id="18262" w:author="AbbVie14" w:date="2025-05-09T11:00:00Z">
        <w:r w:rsidRPr="00295E71">
          <w:rPr>
            <w:sz w:val="22"/>
            <w:szCs w:val="22"/>
          </w:rPr>
          <w:delText>4.</w:delText>
        </w:r>
      </w:del>
      <w:del w:id="18263" w:author="AbbVie14" w:date="2025-05-09T11:00:00Z">
        <w:r w:rsidRPr="00295E71">
          <w:rPr>
            <w:sz w:val="22"/>
            <w:szCs w:val="22"/>
          </w:rPr>
          <w:tab/>
          <w:delText>Possibili effetti indesiderati</w:delText>
        </w:r>
      </w:del>
    </w:p>
    <w:p w:rsidR="006224C2" w:rsidRPr="00295E71" w14:paraId="6A23C062" w14:textId="77777777">
      <w:pPr>
        <w:tabs>
          <w:tab w:val="left" w:pos="567"/>
        </w:tabs>
        <w:ind w:left="567" w:right="-29" w:hanging="567"/>
        <w:jc w:val="both"/>
        <w:rPr>
          <w:del w:id="18264" w:author="AbbVie14" w:date="2025-05-09T11:00:00Z"/>
          <w:sz w:val="22"/>
          <w:szCs w:val="22"/>
        </w:rPr>
      </w:pPr>
      <w:del w:id="18265" w:author="AbbVie14" w:date="2025-05-09T11:00:00Z">
        <w:r w:rsidRPr="00295E71">
          <w:rPr>
            <w:sz w:val="22"/>
            <w:szCs w:val="22"/>
          </w:rPr>
          <w:delText>5.</w:delText>
        </w:r>
      </w:del>
      <w:del w:id="18266" w:author="AbbVie14" w:date="2025-05-09T11:00:00Z">
        <w:r w:rsidRPr="00295E71">
          <w:rPr>
            <w:sz w:val="22"/>
            <w:szCs w:val="22"/>
          </w:rPr>
          <w:tab/>
          <w:delText>Come conservare Humira</w:delText>
        </w:r>
      </w:del>
    </w:p>
    <w:p w:rsidR="006224C2" w:rsidRPr="00295E71" w14:paraId="78985C3F" w14:textId="77777777">
      <w:pPr>
        <w:tabs>
          <w:tab w:val="left" w:pos="567"/>
        </w:tabs>
        <w:ind w:left="567" w:right="-29" w:hanging="567"/>
        <w:jc w:val="both"/>
        <w:rPr>
          <w:del w:id="18267" w:author="AbbVie14" w:date="2025-05-09T11:00:00Z"/>
          <w:sz w:val="22"/>
          <w:szCs w:val="22"/>
        </w:rPr>
      </w:pPr>
      <w:del w:id="18268" w:author="AbbVie14" w:date="2025-05-09T11:00:00Z">
        <w:r w:rsidRPr="00295E71">
          <w:rPr>
            <w:sz w:val="22"/>
            <w:szCs w:val="22"/>
          </w:rPr>
          <w:delText>6.</w:delText>
        </w:r>
      </w:del>
      <w:del w:id="18269" w:author="AbbVie14" w:date="2025-05-09T11:00:00Z">
        <w:r w:rsidRPr="00295E71">
          <w:rPr>
            <w:sz w:val="22"/>
            <w:szCs w:val="22"/>
          </w:rPr>
          <w:tab/>
          <w:delText>Contenuto della confezione e altre informazioni</w:delText>
        </w:r>
      </w:del>
    </w:p>
    <w:p w:rsidR="006224C2" w:rsidRPr="00295E71" w14:paraId="0817C544" w14:textId="77777777">
      <w:pPr>
        <w:numPr>
          <w:ilvl w:val="12"/>
          <w:numId w:val="0"/>
        </w:numPr>
        <w:tabs>
          <w:tab w:val="left" w:pos="567"/>
        </w:tabs>
        <w:ind w:right="-2"/>
        <w:jc w:val="both"/>
        <w:rPr>
          <w:del w:id="18270" w:author="AbbVie14" w:date="2025-05-09T11:00:00Z"/>
          <w:sz w:val="22"/>
          <w:szCs w:val="22"/>
        </w:rPr>
      </w:pPr>
    </w:p>
    <w:p w:rsidR="006224C2" w:rsidRPr="00295E71" w14:paraId="12F7763B" w14:textId="77777777">
      <w:pPr>
        <w:numPr>
          <w:ilvl w:val="12"/>
          <w:numId w:val="0"/>
        </w:numPr>
        <w:tabs>
          <w:tab w:val="left" w:pos="567"/>
        </w:tabs>
        <w:ind w:right="-2"/>
        <w:jc w:val="both"/>
        <w:rPr>
          <w:del w:id="18271" w:author="AbbVie14" w:date="2025-05-09T11:00:00Z"/>
          <w:sz w:val="22"/>
          <w:szCs w:val="22"/>
        </w:rPr>
      </w:pPr>
    </w:p>
    <w:p w:rsidR="006224C2" w:rsidRPr="00295E71" w14:paraId="3A7F7593" w14:textId="77777777">
      <w:pPr>
        <w:numPr>
          <w:ilvl w:val="12"/>
          <w:numId w:val="0"/>
        </w:numPr>
        <w:tabs>
          <w:tab w:val="left" w:pos="567"/>
        </w:tabs>
        <w:ind w:left="567" w:right="-2" w:hanging="567"/>
        <w:jc w:val="both"/>
        <w:rPr>
          <w:del w:id="18272" w:author="AbbVie14" w:date="2025-05-09T11:00:00Z"/>
          <w:b/>
          <w:bCs/>
          <w:sz w:val="22"/>
          <w:szCs w:val="22"/>
        </w:rPr>
      </w:pPr>
      <w:del w:id="18273" w:author="AbbVie14" w:date="2025-05-09T11:00:00Z">
        <w:r w:rsidRPr="00295E71">
          <w:rPr>
            <w:b/>
            <w:bCs/>
            <w:sz w:val="22"/>
            <w:szCs w:val="22"/>
          </w:rPr>
          <w:delText>1.</w:delText>
        </w:r>
      </w:del>
      <w:del w:id="18274" w:author="AbbVie14" w:date="2025-05-09T11:00:00Z">
        <w:r w:rsidRPr="00295E71">
          <w:rPr>
            <w:b/>
            <w:bCs/>
            <w:sz w:val="22"/>
            <w:szCs w:val="22"/>
          </w:rPr>
          <w:tab/>
          <w:delText>Cos’è Humira e a cosa serve</w:delText>
        </w:r>
      </w:del>
    </w:p>
    <w:p w:rsidR="006224C2" w:rsidRPr="00295E71" w14:paraId="46CE4E76" w14:textId="77777777">
      <w:pPr>
        <w:tabs>
          <w:tab w:val="left" w:pos="567"/>
        </w:tabs>
        <w:jc w:val="both"/>
        <w:rPr>
          <w:del w:id="18275" w:author="AbbVie14" w:date="2025-05-09T11:00:00Z"/>
          <w:sz w:val="22"/>
          <w:szCs w:val="22"/>
        </w:rPr>
      </w:pPr>
    </w:p>
    <w:p w:rsidR="00BC55CA" w:rsidRPr="00295E71" w:rsidP="00BC55CA" w14:paraId="73A4D856" w14:textId="77777777">
      <w:pPr>
        <w:tabs>
          <w:tab w:val="left" w:pos="567"/>
        </w:tabs>
        <w:jc w:val="both"/>
        <w:rPr>
          <w:del w:id="18276" w:author="AbbVie14" w:date="2025-05-09T11:00:00Z"/>
          <w:sz w:val="22"/>
          <w:szCs w:val="22"/>
        </w:rPr>
      </w:pPr>
      <w:del w:id="18277" w:author="AbbVie14" w:date="2025-05-09T11:00:00Z">
        <w:r w:rsidRPr="00295E71">
          <w:rPr>
            <w:sz w:val="22"/>
            <w:szCs w:val="22"/>
          </w:rPr>
          <w:delText xml:space="preserve">Humira contiene il principio attivo adalimumab. </w:delText>
        </w:r>
      </w:del>
    </w:p>
    <w:p w:rsidR="00BC55CA" w:rsidRPr="00295E71" w:rsidP="00BC55CA" w14:paraId="160C426C" w14:textId="77777777">
      <w:pPr>
        <w:tabs>
          <w:tab w:val="left" w:pos="567"/>
        </w:tabs>
        <w:jc w:val="both"/>
        <w:rPr>
          <w:del w:id="18278" w:author="AbbVie14" w:date="2025-05-09T11:00:00Z"/>
          <w:sz w:val="22"/>
          <w:szCs w:val="22"/>
        </w:rPr>
      </w:pPr>
    </w:p>
    <w:p w:rsidR="00BC55CA" w:rsidRPr="00295E71" w:rsidP="00BC55CA" w14:paraId="6F5CE15A" w14:textId="77777777">
      <w:pPr>
        <w:tabs>
          <w:tab w:val="left" w:pos="567"/>
        </w:tabs>
        <w:jc w:val="both"/>
        <w:rPr>
          <w:del w:id="18279" w:author="AbbVie14" w:date="2025-05-09T11:00:00Z"/>
          <w:sz w:val="22"/>
          <w:szCs w:val="22"/>
        </w:rPr>
      </w:pPr>
      <w:del w:id="18280" w:author="AbbVie14" w:date="2025-05-09T11:00:00Z">
        <w:r w:rsidRPr="00295E71">
          <w:rPr>
            <w:sz w:val="22"/>
            <w:szCs w:val="22"/>
          </w:rPr>
          <w:delText>Humira è indicato per il trattamento delle malattie infiammatorie di seguito elencate:</w:delText>
        </w:r>
      </w:del>
    </w:p>
    <w:p w:rsidR="00BC55CA" w:rsidRPr="00295E71" w:rsidP="00BC55CA" w14:paraId="593E3BC5" w14:textId="77777777">
      <w:pPr>
        <w:tabs>
          <w:tab w:val="left" w:pos="567"/>
        </w:tabs>
        <w:jc w:val="both"/>
        <w:rPr>
          <w:del w:id="18281" w:author="AbbVie14" w:date="2025-05-09T11:00:00Z"/>
          <w:sz w:val="22"/>
          <w:szCs w:val="22"/>
        </w:rPr>
      </w:pPr>
    </w:p>
    <w:p w:rsidR="00BC55CA" w:rsidRPr="00295E71" w:rsidP="00BC55CA" w14:paraId="4387DAFE" w14:textId="77777777">
      <w:pPr>
        <w:pStyle w:val="ListParagraph"/>
        <w:numPr>
          <w:ilvl w:val="0"/>
          <w:numId w:val="132"/>
        </w:numPr>
        <w:tabs>
          <w:tab w:val="left" w:pos="567"/>
        </w:tabs>
        <w:jc w:val="both"/>
        <w:rPr>
          <w:del w:id="18282" w:author="AbbVie14" w:date="2025-05-09T11:00:00Z"/>
          <w:sz w:val="22"/>
          <w:szCs w:val="22"/>
        </w:rPr>
      </w:pPr>
      <w:del w:id="18283" w:author="AbbVie14" w:date="2025-05-09T11:00:00Z">
        <w:r w:rsidRPr="00295E71">
          <w:rPr>
            <w:sz w:val="22"/>
            <w:szCs w:val="22"/>
          </w:rPr>
          <w:delText>Artrite reumatoide,</w:delText>
        </w:r>
      </w:del>
    </w:p>
    <w:p w:rsidR="00BC55CA" w:rsidRPr="00295E71" w:rsidP="00BC55CA" w14:paraId="4DE927BA" w14:textId="77777777">
      <w:pPr>
        <w:pStyle w:val="ListParagraph"/>
        <w:numPr>
          <w:ilvl w:val="0"/>
          <w:numId w:val="132"/>
        </w:numPr>
        <w:tabs>
          <w:tab w:val="left" w:pos="567"/>
        </w:tabs>
        <w:jc w:val="both"/>
        <w:rPr>
          <w:del w:id="18284" w:author="AbbVie14" w:date="2025-05-09T11:00:00Z"/>
          <w:sz w:val="22"/>
          <w:szCs w:val="22"/>
        </w:rPr>
      </w:pPr>
      <w:del w:id="18285" w:author="AbbVie14" w:date="2025-05-09T11:00:00Z">
        <w:r w:rsidRPr="00295E71">
          <w:rPr>
            <w:sz w:val="22"/>
            <w:szCs w:val="22"/>
          </w:rPr>
          <w:delText xml:space="preserve">Artrite idiopatica giovanile poliarticolare, </w:delText>
        </w:r>
      </w:del>
    </w:p>
    <w:p w:rsidR="00BC55CA" w:rsidRPr="00295E71" w:rsidP="00BC55CA" w14:paraId="04A5E22A" w14:textId="77777777">
      <w:pPr>
        <w:pStyle w:val="ListParagraph"/>
        <w:numPr>
          <w:ilvl w:val="0"/>
          <w:numId w:val="132"/>
        </w:numPr>
        <w:tabs>
          <w:tab w:val="left" w:pos="567"/>
        </w:tabs>
        <w:jc w:val="both"/>
        <w:rPr>
          <w:del w:id="18286" w:author="AbbVie14" w:date="2025-05-09T11:00:00Z"/>
          <w:sz w:val="22"/>
          <w:szCs w:val="22"/>
        </w:rPr>
      </w:pPr>
      <w:del w:id="18287" w:author="AbbVie14" w:date="2025-05-09T11:00:00Z">
        <w:r w:rsidRPr="00295E71">
          <w:rPr>
            <w:sz w:val="22"/>
            <w:szCs w:val="22"/>
          </w:rPr>
          <w:delText>Artrite associata ad entesite,</w:delText>
        </w:r>
      </w:del>
    </w:p>
    <w:p w:rsidR="00BC55CA" w:rsidRPr="00295E71" w:rsidP="00BC55CA" w14:paraId="6AE225B2" w14:textId="77777777">
      <w:pPr>
        <w:pStyle w:val="ListParagraph"/>
        <w:numPr>
          <w:ilvl w:val="0"/>
          <w:numId w:val="132"/>
        </w:numPr>
        <w:tabs>
          <w:tab w:val="left" w:pos="567"/>
        </w:tabs>
        <w:jc w:val="both"/>
        <w:rPr>
          <w:del w:id="18288" w:author="AbbVie14" w:date="2025-05-09T11:00:00Z"/>
          <w:sz w:val="22"/>
          <w:szCs w:val="22"/>
        </w:rPr>
      </w:pPr>
      <w:del w:id="18289" w:author="AbbVie14" w:date="2025-05-09T11:00:00Z">
        <w:r w:rsidRPr="00295E71">
          <w:rPr>
            <w:sz w:val="22"/>
            <w:szCs w:val="22"/>
          </w:rPr>
          <w:delText xml:space="preserve">Spondilite anchilosante, </w:delText>
        </w:r>
      </w:del>
    </w:p>
    <w:p w:rsidR="00BC55CA" w:rsidRPr="00295E71" w:rsidP="00FB547E" w14:paraId="00CCFF99" w14:textId="77777777">
      <w:pPr>
        <w:pStyle w:val="ListParagraph"/>
        <w:numPr>
          <w:ilvl w:val="0"/>
          <w:numId w:val="132"/>
        </w:numPr>
        <w:ind w:left="567" w:hanging="207"/>
        <w:jc w:val="both"/>
        <w:rPr>
          <w:del w:id="18290" w:author="AbbVie14" w:date="2025-05-09T11:00:00Z"/>
          <w:sz w:val="22"/>
          <w:szCs w:val="22"/>
        </w:rPr>
      </w:pPr>
      <w:del w:id="18291" w:author="AbbVie14" w:date="2025-05-09T11:00:00Z">
        <w:r w:rsidRPr="00295E71">
          <w:rPr>
            <w:sz w:val="22"/>
            <w:szCs w:val="22"/>
          </w:rPr>
          <w:delText>Spondiloartrite assiale senza evidenza radiografica della spondilite anchilosante,</w:delText>
        </w:r>
      </w:del>
    </w:p>
    <w:p w:rsidR="00BC55CA" w:rsidRPr="00295E71" w:rsidP="00BC55CA" w14:paraId="537653A4" w14:textId="77777777">
      <w:pPr>
        <w:pStyle w:val="ListParagraph"/>
        <w:numPr>
          <w:ilvl w:val="0"/>
          <w:numId w:val="132"/>
        </w:numPr>
        <w:tabs>
          <w:tab w:val="left" w:pos="567"/>
        </w:tabs>
        <w:jc w:val="both"/>
        <w:rPr>
          <w:del w:id="18292" w:author="AbbVie14" w:date="2025-05-09T11:00:00Z"/>
          <w:sz w:val="22"/>
          <w:szCs w:val="22"/>
        </w:rPr>
      </w:pPr>
      <w:del w:id="18293" w:author="AbbVie14" w:date="2025-05-09T11:00:00Z">
        <w:r w:rsidRPr="00295E71">
          <w:rPr>
            <w:sz w:val="22"/>
            <w:szCs w:val="22"/>
          </w:rPr>
          <w:delText>Artrite psoriasica,</w:delText>
        </w:r>
      </w:del>
    </w:p>
    <w:p w:rsidR="00BC55CA" w:rsidRPr="00295E71" w:rsidP="00BC55CA" w14:paraId="7D73AA38" w14:textId="77777777">
      <w:pPr>
        <w:pStyle w:val="ListParagraph"/>
        <w:numPr>
          <w:ilvl w:val="0"/>
          <w:numId w:val="132"/>
        </w:numPr>
        <w:tabs>
          <w:tab w:val="left" w:pos="567"/>
        </w:tabs>
        <w:jc w:val="both"/>
        <w:rPr>
          <w:del w:id="18294" w:author="AbbVie14" w:date="2025-05-09T11:00:00Z"/>
          <w:sz w:val="22"/>
          <w:szCs w:val="22"/>
        </w:rPr>
      </w:pPr>
      <w:del w:id="18295" w:author="AbbVie14" w:date="2025-05-09T11:00:00Z">
        <w:r w:rsidRPr="00295E71">
          <w:rPr>
            <w:sz w:val="22"/>
            <w:szCs w:val="22"/>
          </w:rPr>
          <w:delText>Psoriasi,</w:delText>
        </w:r>
      </w:del>
    </w:p>
    <w:p w:rsidR="00BC55CA" w:rsidRPr="00295E71" w:rsidP="00BC55CA" w14:paraId="5956245F" w14:textId="77777777">
      <w:pPr>
        <w:pStyle w:val="ListParagraph"/>
        <w:numPr>
          <w:ilvl w:val="0"/>
          <w:numId w:val="132"/>
        </w:numPr>
        <w:tabs>
          <w:tab w:val="left" w:pos="567"/>
        </w:tabs>
        <w:jc w:val="both"/>
        <w:rPr>
          <w:del w:id="18296" w:author="AbbVie14" w:date="2025-05-09T11:00:00Z"/>
          <w:sz w:val="22"/>
          <w:szCs w:val="22"/>
        </w:rPr>
      </w:pPr>
      <w:del w:id="18297" w:author="AbbVie14" w:date="2025-05-09T11:00:00Z">
        <w:r w:rsidRPr="00295E71">
          <w:rPr>
            <w:sz w:val="22"/>
            <w:szCs w:val="22"/>
          </w:rPr>
          <w:delText>Idrosadenite suppurativa,</w:delText>
        </w:r>
      </w:del>
    </w:p>
    <w:p w:rsidR="00BC55CA" w:rsidRPr="00295E71" w:rsidP="00BC55CA" w14:paraId="58BE3E6E" w14:textId="77777777">
      <w:pPr>
        <w:pStyle w:val="ListParagraph"/>
        <w:numPr>
          <w:ilvl w:val="0"/>
          <w:numId w:val="132"/>
        </w:numPr>
        <w:tabs>
          <w:tab w:val="left" w:pos="567"/>
        </w:tabs>
        <w:jc w:val="both"/>
        <w:rPr>
          <w:del w:id="18298" w:author="AbbVie14" w:date="2025-05-09T11:00:00Z"/>
          <w:sz w:val="22"/>
          <w:szCs w:val="22"/>
        </w:rPr>
      </w:pPr>
      <w:del w:id="18299" w:author="AbbVie14" w:date="2025-05-09T11:00:00Z">
        <w:r w:rsidRPr="00295E71">
          <w:rPr>
            <w:sz w:val="22"/>
            <w:szCs w:val="22"/>
          </w:rPr>
          <w:delText>Malattia di Crohn,</w:delText>
        </w:r>
      </w:del>
    </w:p>
    <w:p w:rsidR="00BC55CA" w:rsidRPr="00295E71" w:rsidP="00BC55CA" w14:paraId="156DEDB6" w14:textId="77777777">
      <w:pPr>
        <w:pStyle w:val="ListParagraph"/>
        <w:numPr>
          <w:ilvl w:val="0"/>
          <w:numId w:val="132"/>
        </w:numPr>
        <w:tabs>
          <w:tab w:val="left" w:pos="567"/>
        </w:tabs>
        <w:jc w:val="both"/>
        <w:rPr>
          <w:del w:id="18300" w:author="AbbVie14" w:date="2025-05-09T11:00:00Z"/>
          <w:sz w:val="22"/>
          <w:szCs w:val="22"/>
        </w:rPr>
      </w:pPr>
      <w:del w:id="18301" w:author="AbbVie14" w:date="2025-05-09T11:00:00Z">
        <w:r w:rsidRPr="00295E71">
          <w:rPr>
            <w:sz w:val="22"/>
            <w:szCs w:val="22"/>
          </w:rPr>
          <w:delText>Colite ulcerosa e</w:delText>
        </w:r>
      </w:del>
    </w:p>
    <w:p w:rsidR="00BC55CA" w:rsidRPr="00295E71" w:rsidP="00BC55CA" w14:paraId="35451A3D" w14:textId="77777777">
      <w:pPr>
        <w:pStyle w:val="ListParagraph"/>
        <w:numPr>
          <w:ilvl w:val="0"/>
          <w:numId w:val="132"/>
        </w:numPr>
        <w:tabs>
          <w:tab w:val="left" w:pos="567"/>
        </w:tabs>
        <w:jc w:val="both"/>
        <w:rPr>
          <w:del w:id="18302" w:author="AbbVie14" w:date="2025-05-09T11:00:00Z"/>
          <w:sz w:val="22"/>
          <w:szCs w:val="22"/>
        </w:rPr>
      </w:pPr>
      <w:del w:id="18303" w:author="AbbVie14" w:date="2025-05-09T11:00:00Z">
        <w:r w:rsidRPr="00295E71">
          <w:rPr>
            <w:sz w:val="22"/>
            <w:szCs w:val="22"/>
          </w:rPr>
          <w:delText>Uveite non infettiva</w:delText>
        </w:r>
      </w:del>
    </w:p>
    <w:p w:rsidR="00BC55CA" w:rsidRPr="00295E71" w:rsidP="00BC55CA" w14:paraId="370C55B3" w14:textId="77777777">
      <w:pPr>
        <w:tabs>
          <w:tab w:val="left" w:pos="567"/>
        </w:tabs>
        <w:jc w:val="both"/>
        <w:rPr>
          <w:del w:id="18304" w:author="AbbVie14" w:date="2025-05-09T11:00:00Z"/>
          <w:sz w:val="22"/>
          <w:szCs w:val="22"/>
        </w:rPr>
      </w:pPr>
    </w:p>
    <w:p w:rsidR="00BC55CA" w:rsidRPr="00295E71" w:rsidP="00BC55CA" w14:paraId="6F408F10" w14:textId="77777777">
      <w:pPr>
        <w:tabs>
          <w:tab w:val="left" w:pos="567"/>
        </w:tabs>
        <w:jc w:val="both"/>
        <w:rPr>
          <w:del w:id="18305" w:author="AbbVie14" w:date="2025-05-09T11:00:00Z"/>
          <w:sz w:val="22"/>
          <w:szCs w:val="22"/>
        </w:rPr>
      </w:pPr>
      <w:del w:id="18306" w:author="AbbVie14" w:date="2025-05-09T11:00:00Z">
        <w:r w:rsidRPr="00295E71">
          <w:rPr>
            <w:sz w:val="22"/>
            <w:szCs w:val="22"/>
          </w:rPr>
          <w:delText>Il principio attivo contenuto in Humira, adalimumab, è un anticorpo monoclonale umano. Gli anticorpi monoclonali sono proteine che si legano ad un bersaglio specifico.</w:delText>
        </w:r>
      </w:del>
    </w:p>
    <w:p w:rsidR="00BC55CA" w:rsidRPr="00295E71" w:rsidP="00BC55CA" w14:paraId="1ABD4D41" w14:textId="77777777">
      <w:pPr>
        <w:tabs>
          <w:tab w:val="left" w:pos="567"/>
        </w:tabs>
        <w:jc w:val="both"/>
        <w:rPr>
          <w:del w:id="18307" w:author="AbbVie14" w:date="2025-05-09T11:00:00Z"/>
          <w:sz w:val="22"/>
          <w:szCs w:val="22"/>
        </w:rPr>
      </w:pPr>
    </w:p>
    <w:p w:rsidR="00BC55CA" w:rsidRPr="00295E71" w:rsidP="00BC55CA" w14:paraId="6B497494" w14:textId="77777777">
      <w:pPr>
        <w:tabs>
          <w:tab w:val="left" w:pos="567"/>
        </w:tabs>
        <w:jc w:val="both"/>
        <w:rPr>
          <w:del w:id="18308" w:author="AbbVie14" w:date="2025-05-09T11:00:00Z"/>
          <w:noProof/>
          <w:color w:val="000000"/>
          <w:sz w:val="22"/>
          <w:szCs w:val="22"/>
        </w:rPr>
      </w:pPr>
      <w:del w:id="18309" w:author="AbbVie14" w:date="2025-05-09T11:00:00Z">
        <w:r w:rsidRPr="00295E71">
          <w:rPr>
            <w:sz w:val="22"/>
            <w:szCs w:val="22"/>
          </w:rPr>
          <w:delText>Il bersaglio di adalimumab è una proteina denominata fattore di necrosi tumorale (TNF</w:delText>
        </w:r>
      </w:del>
      <w:del w:id="18310" w:author="AbbVie14" w:date="2025-05-09T11:00:00Z">
        <w:r w:rsidRPr="00295E71">
          <w:rPr>
            <w:noProof/>
            <w:color w:val="000000"/>
            <w:sz w:val="22"/>
            <w:szCs w:val="22"/>
          </w:rPr>
          <w:delText>α</w:delText>
        </w:r>
      </w:del>
      <w:del w:id="18311" w:author="AbbVie14" w:date="2025-05-09T11:00:00Z">
        <w:r w:rsidRPr="00295E71">
          <w:rPr>
            <w:sz w:val="22"/>
            <w:szCs w:val="22"/>
          </w:rPr>
          <w:delText>), che è coinvolto nel sistema immunitario (di difesa) ed è presente a concentrazioni maggiori nelle malattie infiammatorie elencate sopra. Attraverso il legame al TNF</w:delText>
        </w:r>
      </w:del>
      <w:del w:id="18312" w:author="AbbVie14" w:date="2025-05-09T11:00:00Z">
        <w:r w:rsidRPr="00295E71">
          <w:rPr>
            <w:noProof/>
            <w:color w:val="000000"/>
            <w:sz w:val="22"/>
            <w:szCs w:val="22"/>
          </w:rPr>
          <w:delText>α, Humira diminuisce il processo infiammatorio di queste malattie.</w:delText>
        </w:r>
      </w:del>
    </w:p>
    <w:p w:rsidR="006224C2" w:rsidRPr="00295E71" w14:paraId="7C0A33EB" w14:textId="77777777">
      <w:pPr>
        <w:tabs>
          <w:tab w:val="left" w:pos="567"/>
        </w:tabs>
        <w:jc w:val="both"/>
        <w:rPr>
          <w:del w:id="18313" w:author="AbbVie14" w:date="2025-05-09T11:00:00Z"/>
          <w:sz w:val="22"/>
          <w:szCs w:val="22"/>
        </w:rPr>
      </w:pPr>
    </w:p>
    <w:p w:rsidR="006224C2" w:rsidRPr="00295E71" w14:paraId="2E76BCC7" w14:textId="77777777">
      <w:pPr>
        <w:tabs>
          <w:tab w:val="left" w:pos="567"/>
        </w:tabs>
        <w:jc w:val="both"/>
        <w:rPr>
          <w:del w:id="18314" w:author="AbbVie14" w:date="2025-05-09T11:00:00Z"/>
          <w:sz w:val="22"/>
          <w:szCs w:val="22"/>
        </w:rPr>
      </w:pPr>
      <w:del w:id="18315" w:author="AbbVie14" w:date="2025-05-09T11:00:00Z">
        <w:r w:rsidRPr="00295E71">
          <w:rPr>
            <w:sz w:val="22"/>
            <w:szCs w:val="22"/>
            <w:u w:val="single"/>
          </w:rPr>
          <w:delText>Artrite reumatoide</w:delText>
        </w:r>
      </w:del>
    </w:p>
    <w:p w:rsidR="006224C2" w:rsidRPr="00295E71" w14:paraId="1C34E241" w14:textId="77777777">
      <w:pPr>
        <w:tabs>
          <w:tab w:val="left" w:pos="567"/>
        </w:tabs>
        <w:jc w:val="both"/>
        <w:rPr>
          <w:del w:id="18316" w:author="AbbVie14" w:date="2025-05-09T11:00:00Z"/>
          <w:sz w:val="22"/>
          <w:szCs w:val="22"/>
        </w:rPr>
      </w:pPr>
    </w:p>
    <w:p w:rsidR="006224C2" w:rsidRPr="00295E71" w14:paraId="33D8A7CA" w14:textId="77777777">
      <w:pPr>
        <w:tabs>
          <w:tab w:val="left" w:pos="567"/>
        </w:tabs>
        <w:jc w:val="both"/>
        <w:rPr>
          <w:del w:id="18317" w:author="AbbVie14" w:date="2025-05-09T11:00:00Z"/>
          <w:sz w:val="22"/>
          <w:szCs w:val="22"/>
        </w:rPr>
      </w:pPr>
      <w:del w:id="18318" w:author="AbbVie14" w:date="2025-05-09T11:00:00Z">
        <w:r w:rsidRPr="00295E71">
          <w:rPr>
            <w:sz w:val="22"/>
            <w:szCs w:val="22"/>
          </w:rPr>
          <w:delText>L’artrite reumatoide è una patologia infiammatoria delle articolazioni.</w:delText>
        </w:r>
      </w:del>
    </w:p>
    <w:p w:rsidR="006224C2" w:rsidRPr="00295E71" w14:paraId="19A9B180" w14:textId="77777777">
      <w:pPr>
        <w:tabs>
          <w:tab w:val="left" w:pos="567"/>
        </w:tabs>
        <w:jc w:val="both"/>
        <w:rPr>
          <w:del w:id="18319" w:author="AbbVie14" w:date="2025-05-09T11:00:00Z"/>
          <w:sz w:val="22"/>
          <w:szCs w:val="22"/>
        </w:rPr>
      </w:pPr>
    </w:p>
    <w:p w:rsidR="006224C2" w:rsidRPr="00295E71" w14:paraId="1E0B290F" w14:textId="77777777">
      <w:pPr>
        <w:tabs>
          <w:tab w:val="left" w:pos="567"/>
        </w:tabs>
        <w:jc w:val="both"/>
        <w:rPr>
          <w:del w:id="18320" w:author="AbbVie14" w:date="2025-05-09T11:00:00Z"/>
          <w:sz w:val="22"/>
          <w:szCs w:val="22"/>
        </w:rPr>
      </w:pPr>
      <w:del w:id="18321" w:author="AbbVie14" w:date="2025-05-09T11:00:00Z">
        <w:r w:rsidRPr="00295E71">
          <w:rPr>
            <w:sz w:val="22"/>
            <w:szCs w:val="22"/>
          </w:rPr>
          <w:delText>Humira è usato per trattare l’artrite reumatoide negli adulti.</w:delText>
        </w:r>
      </w:del>
    </w:p>
    <w:p w:rsidR="006224C2" w:rsidRPr="00295E71" w14:paraId="2D32E8B6" w14:textId="77777777">
      <w:pPr>
        <w:tabs>
          <w:tab w:val="left" w:pos="567"/>
        </w:tabs>
        <w:jc w:val="both"/>
        <w:rPr>
          <w:del w:id="18322" w:author="AbbVie14" w:date="2025-05-09T11:00:00Z"/>
          <w:sz w:val="22"/>
          <w:szCs w:val="22"/>
        </w:rPr>
      </w:pPr>
      <w:del w:id="18323" w:author="AbbVie14" w:date="2025-05-09T11:00:00Z">
        <w:r w:rsidRPr="00295E71">
          <w:rPr>
            <w:sz w:val="22"/>
            <w:szCs w:val="22"/>
          </w:rPr>
          <w:delText>Se ha un’artrite reumatoide di grado da moderato a severo, possono essere inizialmente assunti altri farmaci modificanti la malattia, quali il metotressato. Se la risposta a tali farmaci non è soddisfacente, le verrà dato Humira per trattare l’artrite reumatoide.</w:delText>
        </w:r>
      </w:del>
    </w:p>
    <w:p w:rsidR="006224C2" w:rsidRPr="00295E71" w14:paraId="151653CE" w14:textId="77777777">
      <w:pPr>
        <w:tabs>
          <w:tab w:val="left" w:pos="567"/>
        </w:tabs>
        <w:jc w:val="both"/>
        <w:rPr>
          <w:del w:id="18324" w:author="AbbVie14" w:date="2025-05-09T11:00:00Z"/>
          <w:sz w:val="22"/>
          <w:szCs w:val="22"/>
        </w:rPr>
      </w:pPr>
    </w:p>
    <w:p w:rsidR="006224C2" w:rsidRPr="00295E71" w14:paraId="1499B678" w14:textId="77777777">
      <w:pPr>
        <w:tabs>
          <w:tab w:val="left" w:pos="567"/>
        </w:tabs>
        <w:jc w:val="both"/>
        <w:rPr>
          <w:del w:id="18325" w:author="AbbVie14" w:date="2025-05-09T11:00:00Z"/>
          <w:sz w:val="22"/>
          <w:szCs w:val="22"/>
        </w:rPr>
      </w:pPr>
      <w:del w:id="18326" w:author="AbbVie14" w:date="2025-05-09T11:00:00Z">
        <w:r w:rsidRPr="00295E71">
          <w:rPr>
            <w:sz w:val="22"/>
            <w:szCs w:val="22"/>
          </w:rPr>
          <w:delText>Humira può essere anche utilizzato per il trattamento dell’artrite reumatoide grave, attiva e progressiva senza precedente trattamento con metotressato.</w:delText>
        </w:r>
      </w:del>
    </w:p>
    <w:p w:rsidR="006224C2" w:rsidRPr="00295E71" w14:paraId="67F9C8A6" w14:textId="77777777">
      <w:pPr>
        <w:tabs>
          <w:tab w:val="left" w:pos="567"/>
        </w:tabs>
        <w:jc w:val="both"/>
        <w:rPr>
          <w:del w:id="18327" w:author="AbbVie14" w:date="2025-05-09T11:00:00Z"/>
          <w:sz w:val="22"/>
          <w:szCs w:val="22"/>
        </w:rPr>
      </w:pPr>
    </w:p>
    <w:p w:rsidR="006224C2" w:rsidRPr="00295E71" w14:paraId="749364D7" w14:textId="77777777">
      <w:pPr>
        <w:tabs>
          <w:tab w:val="left" w:pos="567"/>
        </w:tabs>
        <w:jc w:val="both"/>
        <w:rPr>
          <w:del w:id="18328" w:author="AbbVie14" w:date="2025-05-09T11:00:00Z"/>
          <w:sz w:val="22"/>
          <w:szCs w:val="22"/>
        </w:rPr>
      </w:pPr>
      <w:del w:id="18329" w:author="AbbVie14" w:date="2025-05-09T11:00:00Z">
        <w:r w:rsidRPr="00295E71">
          <w:rPr>
            <w:sz w:val="22"/>
            <w:szCs w:val="22"/>
          </w:rPr>
          <w:delText>Humira si è dimostrato in grado di rallentare la progressione del danno alle cartilagini ed alle ossa delle articolazioni, causato dalla malattia, e di migliorare la funzionalità fisica.</w:delText>
        </w:r>
      </w:del>
    </w:p>
    <w:p w:rsidR="006224C2" w:rsidRPr="00295E71" w14:paraId="55907275" w14:textId="77777777">
      <w:pPr>
        <w:tabs>
          <w:tab w:val="left" w:pos="567"/>
        </w:tabs>
        <w:jc w:val="both"/>
        <w:rPr>
          <w:del w:id="18330" w:author="AbbVie14" w:date="2025-05-09T11:00:00Z"/>
          <w:sz w:val="22"/>
          <w:szCs w:val="22"/>
        </w:rPr>
      </w:pPr>
    </w:p>
    <w:p w:rsidR="006224C2" w:rsidRPr="00295E71" w14:paraId="2183D124" w14:textId="77777777">
      <w:pPr>
        <w:tabs>
          <w:tab w:val="left" w:pos="567"/>
        </w:tabs>
        <w:jc w:val="both"/>
        <w:rPr>
          <w:del w:id="18331" w:author="AbbVie14" w:date="2025-05-09T11:00:00Z"/>
          <w:sz w:val="22"/>
          <w:szCs w:val="22"/>
        </w:rPr>
      </w:pPr>
      <w:del w:id="18332" w:author="AbbVie14" w:date="2025-05-09T11:00:00Z">
        <w:r w:rsidRPr="00295E71">
          <w:rPr>
            <w:sz w:val="22"/>
            <w:szCs w:val="22"/>
          </w:rPr>
          <w:delText>Generalmente Humira è usato con il metotressato. Se il medico decide che il trattamento con metotressato non è appropriato, Humira può essere somministrato da solo.</w:delText>
        </w:r>
      </w:del>
    </w:p>
    <w:p w:rsidR="006224C2" w:rsidRPr="00295E71" w14:paraId="58FB155D" w14:textId="77777777">
      <w:pPr>
        <w:numPr>
          <w:ilvl w:val="12"/>
          <w:numId w:val="0"/>
        </w:numPr>
        <w:tabs>
          <w:tab w:val="left" w:pos="567"/>
        </w:tabs>
        <w:ind w:right="-2"/>
        <w:jc w:val="both"/>
        <w:rPr>
          <w:del w:id="18333" w:author="AbbVie14" w:date="2025-05-09T11:00:00Z"/>
          <w:sz w:val="22"/>
          <w:szCs w:val="22"/>
        </w:rPr>
      </w:pPr>
    </w:p>
    <w:p w:rsidR="006224C2" w:rsidRPr="00295E71" w14:paraId="336F6EF9" w14:textId="77777777">
      <w:pPr>
        <w:numPr>
          <w:ilvl w:val="12"/>
          <w:numId w:val="0"/>
        </w:numPr>
        <w:tabs>
          <w:tab w:val="left" w:pos="567"/>
        </w:tabs>
        <w:ind w:right="-2"/>
        <w:jc w:val="both"/>
        <w:rPr>
          <w:del w:id="18334" w:author="AbbVie14" w:date="2025-05-09T11:00:00Z"/>
          <w:sz w:val="22"/>
          <w:szCs w:val="22"/>
        </w:rPr>
      </w:pPr>
      <w:del w:id="18335" w:author="AbbVie14" w:date="2025-05-09T11:00:00Z">
        <w:r w:rsidRPr="00295E71">
          <w:rPr>
            <w:sz w:val="22"/>
            <w:szCs w:val="22"/>
            <w:u w:val="single"/>
          </w:rPr>
          <w:delText>Artrite idiopatica giovanile poliarticolare e artrite associata ad entesite</w:delText>
        </w:r>
      </w:del>
    </w:p>
    <w:p w:rsidR="006224C2" w:rsidRPr="00295E71" w14:paraId="5501064C" w14:textId="77777777">
      <w:pPr>
        <w:numPr>
          <w:ilvl w:val="12"/>
          <w:numId w:val="0"/>
        </w:numPr>
        <w:tabs>
          <w:tab w:val="left" w:pos="567"/>
        </w:tabs>
        <w:ind w:right="-2"/>
        <w:jc w:val="both"/>
        <w:rPr>
          <w:del w:id="18336" w:author="AbbVie14" w:date="2025-05-09T11:00:00Z"/>
          <w:sz w:val="22"/>
          <w:szCs w:val="22"/>
        </w:rPr>
      </w:pPr>
    </w:p>
    <w:p w:rsidR="006224C2" w:rsidRPr="00295E71" w14:paraId="235B6229" w14:textId="77777777">
      <w:pPr>
        <w:numPr>
          <w:ilvl w:val="12"/>
          <w:numId w:val="0"/>
        </w:numPr>
        <w:tabs>
          <w:tab w:val="left" w:pos="567"/>
        </w:tabs>
        <w:ind w:right="-2"/>
        <w:jc w:val="both"/>
        <w:rPr>
          <w:del w:id="18337" w:author="AbbVie14" w:date="2025-05-09T11:00:00Z"/>
          <w:sz w:val="22"/>
          <w:szCs w:val="22"/>
        </w:rPr>
      </w:pPr>
      <w:del w:id="18338" w:author="AbbVie14" w:date="2025-05-09T11:00:00Z">
        <w:r w:rsidRPr="00295E71">
          <w:rPr>
            <w:sz w:val="22"/>
            <w:szCs w:val="22"/>
          </w:rPr>
          <w:delText>L’artrite idiopatica giovanile poliarticolare e l’artrite associata ad entesite sono malattie infiammatorie.</w:delText>
        </w:r>
      </w:del>
    </w:p>
    <w:p w:rsidR="006224C2" w:rsidRPr="00295E71" w14:paraId="03D17C7D" w14:textId="77777777">
      <w:pPr>
        <w:numPr>
          <w:ilvl w:val="12"/>
          <w:numId w:val="0"/>
        </w:numPr>
        <w:tabs>
          <w:tab w:val="left" w:pos="567"/>
        </w:tabs>
        <w:ind w:right="-2"/>
        <w:jc w:val="both"/>
        <w:rPr>
          <w:del w:id="18339" w:author="AbbVie14" w:date="2025-05-09T11:00:00Z"/>
          <w:sz w:val="22"/>
          <w:szCs w:val="22"/>
        </w:rPr>
      </w:pPr>
    </w:p>
    <w:p w:rsidR="006224C2" w:rsidRPr="00295E71" w14:paraId="16A186BA" w14:textId="77777777">
      <w:pPr>
        <w:tabs>
          <w:tab w:val="left" w:pos="567"/>
        </w:tabs>
        <w:jc w:val="both"/>
        <w:rPr>
          <w:del w:id="18340" w:author="AbbVie14" w:date="2025-05-09T11:00:00Z"/>
          <w:sz w:val="22"/>
          <w:szCs w:val="22"/>
        </w:rPr>
      </w:pPr>
      <w:del w:id="18341" w:author="AbbVie14" w:date="2025-05-09T11:00:00Z">
        <w:r w:rsidRPr="00295E71">
          <w:rPr>
            <w:sz w:val="22"/>
            <w:szCs w:val="22"/>
          </w:rPr>
          <w:delText>Humira è usato per trattare l’artrite idiopatica giovanile poliarticolare nei bambini e negli adolescenti di età dai 2 ai 17 anni e l’artrite associata ad entesite nei bambini e negli adolescenti di 6-17 anni di età. Alla diagnosi possono essere somministrati altri farmaci modificanti la malattia, come il metotressato. Se la risposta a questi farmaci non dovesse essere adeguata, le sarà somministrato Humira per il trattamento dell’artrite idiopatica giovanile poliarticolare o dell’artrite associata ad entesite.</w:delText>
        </w:r>
      </w:del>
    </w:p>
    <w:p w:rsidR="006224C2" w:rsidRPr="00295E71" w14:paraId="4DBA53B4" w14:textId="77777777">
      <w:pPr>
        <w:numPr>
          <w:ilvl w:val="12"/>
          <w:numId w:val="0"/>
        </w:numPr>
        <w:tabs>
          <w:tab w:val="left" w:pos="567"/>
        </w:tabs>
        <w:ind w:right="-2"/>
        <w:jc w:val="both"/>
        <w:rPr>
          <w:del w:id="18342" w:author="AbbVie14" w:date="2025-05-09T11:00:00Z"/>
          <w:sz w:val="22"/>
          <w:szCs w:val="22"/>
          <w:u w:val="single"/>
        </w:rPr>
      </w:pPr>
    </w:p>
    <w:p w:rsidR="006224C2" w:rsidRPr="00295E71" w14:paraId="0029FAD5" w14:textId="77777777">
      <w:pPr>
        <w:numPr>
          <w:ilvl w:val="12"/>
          <w:numId w:val="0"/>
        </w:numPr>
        <w:tabs>
          <w:tab w:val="left" w:pos="567"/>
        </w:tabs>
        <w:ind w:right="-2"/>
        <w:jc w:val="both"/>
        <w:rPr>
          <w:del w:id="18343" w:author="AbbVie14" w:date="2025-05-09T11:00:00Z"/>
          <w:sz w:val="22"/>
          <w:szCs w:val="22"/>
          <w:u w:val="single"/>
        </w:rPr>
      </w:pPr>
      <w:del w:id="18344" w:author="AbbVie14" w:date="2025-05-09T11:00:00Z">
        <w:r w:rsidRPr="00295E71">
          <w:rPr>
            <w:sz w:val="22"/>
            <w:szCs w:val="22"/>
            <w:u w:val="single"/>
          </w:rPr>
          <w:delText>Spondilite anchilosante e spondiloartrite assiale senza evidenza radiografica di spondilite anchilosante</w:delText>
        </w:r>
      </w:del>
    </w:p>
    <w:p w:rsidR="006224C2" w:rsidRPr="00295E71" w14:paraId="65887A12" w14:textId="77777777">
      <w:pPr>
        <w:numPr>
          <w:ilvl w:val="12"/>
          <w:numId w:val="0"/>
        </w:numPr>
        <w:tabs>
          <w:tab w:val="left" w:pos="567"/>
        </w:tabs>
        <w:ind w:right="-2"/>
        <w:jc w:val="both"/>
        <w:rPr>
          <w:del w:id="18345" w:author="AbbVie14" w:date="2025-05-09T11:00:00Z"/>
          <w:sz w:val="22"/>
          <w:szCs w:val="22"/>
        </w:rPr>
      </w:pPr>
    </w:p>
    <w:p w:rsidR="006224C2" w:rsidRPr="00295E71" w14:paraId="3FBFE353" w14:textId="77777777">
      <w:pPr>
        <w:numPr>
          <w:ilvl w:val="12"/>
          <w:numId w:val="0"/>
        </w:numPr>
        <w:tabs>
          <w:tab w:val="left" w:pos="567"/>
        </w:tabs>
        <w:ind w:right="-2"/>
        <w:jc w:val="both"/>
        <w:rPr>
          <w:del w:id="18346" w:author="AbbVie14" w:date="2025-05-09T11:00:00Z"/>
          <w:sz w:val="22"/>
          <w:szCs w:val="22"/>
        </w:rPr>
      </w:pPr>
      <w:del w:id="18347" w:author="AbbVie14" w:date="2025-05-09T11:00:00Z">
        <w:r w:rsidRPr="00295E71">
          <w:rPr>
            <w:sz w:val="22"/>
            <w:szCs w:val="22"/>
          </w:rPr>
          <w:delText>La spondilite anchilosante e la spondiloartrite assiale senza evidenza radiografica di spondilite anchilosante sono infiammazioni della colonna vertebrale.</w:delText>
        </w:r>
      </w:del>
    </w:p>
    <w:p w:rsidR="006224C2" w:rsidRPr="00295E71" w14:paraId="3F80C6C3" w14:textId="77777777">
      <w:pPr>
        <w:numPr>
          <w:ilvl w:val="12"/>
          <w:numId w:val="0"/>
        </w:numPr>
        <w:tabs>
          <w:tab w:val="left" w:pos="567"/>
        </w:tabs>
        <w:ind w:right="-2"/>
        <w:jc w:val="both"/>
        <w:rPr>
          <w:del w:id="18348" w:author="AbbVie14" w:date="2025-05-09T11:00:00Z"/>
          <w:sz w:val="22"/>
          <w:szCs w:val="22"/>
        </w:rPr>
      </w:pPr>
    </w:p>
    <w:p w:rsidR="006224C2" w:rsidRPr="00295E71" w14:paraId="4A55F7FD" w14:textId="77777777">
      <w:pPr>
        <w:numPr>
          <w:ilvl w:val="12"/>
          <w:numId w:val="0"/>
        </w:numPr>
        <w:tabs>
          <w:tab w:val="left" w:pos="567"/>
        </w:tabs>
        <w:ind w:right="-2"/>
        <w:jc w:val="both"/>
        <w:rPr>
          <w:del w:id="18349" w:author="AbbVie14" w:date="2025-05-09T11:00:00Z"/>
          <w:sz w:val="22"/>
          <w:szCs w:val="22"/>
        </w:rPr>
      </w:pPr>
      <w:del w:id="18350" w:author="AbbVie14" w:date="2025-05-09T11:00:00Z">
        <w:r w:rsidRPr="00295E71">
          <w:rPr>
            <w:sz w:val="22"/>
            <w:szCs w:val="22"/>
          </w:rPr>
          <w:delText>Humira è usato per trattare la spondilite anchilosante e la spondiloartrite assiale senza evidenza radiografica della spondilite anchilosante negli adulti. Se è affetto da spondilite anchilosante o da spondiloartrite assiale senza evidenza radiografica di spondilite anchilosante, assumerà prima altri farmaci. Nel caso in cui non sia in grado di ottenere una risposta adeguata con questi farmaci, assumerà Humira per ridurre i segni ed i sintomi della malattia.</w:delText>
        </w:r>
      </w:del>
    </w:p>
    <w:p w:rsidR="006224C2" w:rsidRPr="00295E71" w14:paraId="5F1773E2" w14:textId="77777777">
      <w:pPr>
        <w:numPr>
          <w:ilvl w:val="12"/>
          <w:numId w:val="0"/>
        </w:numPr>
        <w:tabs>
          <w:tab w:val="left" w:pos="567"/>
        </w:tabs>
        <w:ind w:right="-2"/>
        <w:jc w:val="both"/>
        <w:rPr>
          <w:del w:id="18351" w:author="AbbVie14" w:date="2025-05-09T11:00:00Z"/>
          <w:sz w:val="22"/>
          <w:szCs w:val="22"/>
          <w:u w:val="single"/>
        </w:rPr>
      </w:pPr>
    </w:p>
    <w:p w:rsidR="006224C2" w:rsidRPr="00295E71" w14:paraId="21C5902D" w14:textId="77777777">
      <w:pPr>
        <w:numPr>
          <w:ilvl w:val="12"/>
          <w:numId w:val="0"/>
        </w:numPr>
        <w:tabs>
          <w:tab w:val="left" w:pos="567"/>
        </w:tabs>
        <w:ind w:right="-2"/>
        <w:jc w:val="both"/>
        <w:rPr>
          <w:del w:id="18352" w:author="AbbVie14" w:date="2025-05-09T11:00:00Z"/>
          <w:sz w:val="22"/>
          <w:szCs w:val="22"/>
        </w:rPr>
      </w:pPr>
      <w:del w:id="18353" w:author="AbbVie14" w:date="2025-05-09T11:00:00Z">
        <w:r w:rsidRPr="00295E71">
          <w:rPr>
            <w:sz w:val="22"/>
            <w:szCs w:val="22"/>
            <w:u w:val="single"/>
          </w:rPr>
          <w:delText>Artrite psoriasica</w:delText>
        </w:r>
      </w:del>
    </w:p>
    <w:p w:rsidR="006224C2" w:rsidRPr="00295E71" w14:paraId="3338D77B" w14:textId="77777777">
      <w:pPr>
        <w:numPr>
          <w:ilvl w:val="12"/>
          <w:numId w:val="0"/>
        </w:numPr>
        <w:tabs>
          <w:tab w:val="left" w:pos="567"/>
        </w:tabs>
        <w:ind w:right="-2"/>
        <w:jc w:val="both"/>
        <w:rPr>
          <w:del w:id="18354" w:author="AbbVie14" w:date="2025-05-09T11:00:00Z"/>
          <w:sz w:val="22"/>
          <w:szCs w:val="22"/>
        </w:rPr>
      </w:pPr>
    </w:p>
    <w:p w:rsidR="006224C2" w:rsidRPr="00295E71" w14:paraId="26AF47F3" w14:textId="77777777">
      <w:pPr>
        <w:numPr>
          <w:ilvl w:val="12"/>
          <w:numId w:val="0"/>
        </w:numPr>
        <w:tabs>
          <w:tab w:val="left" w:pos="567"/>
        </w:tabs>
        <w:ind w:right="-2"/>
        <w:jc w:val="both"/>
        <w:rPr>
          <w:del w:id="18355" w:author="AbbVie14" w:date="2025-05-09T11:00:00Z"/>
          <w:sz w:val="22"/>
          <w:szCs w:val="22"/>
        </w:rPr>
      </w:pPr>
      <w:del w:id="18356" w:author="AbbVie14" w:date="2025-05-09T11:00:00Z">
        <w:r w:rsidRPr="00295E71">
          <w:rPr>
            <w:sz w:val="22"/>
            <w:szCs w:val="22"/>
          </w:rPr>
          <w:delText>L’artrite psoriasica è una infiammazione delle articolazioni associata alla psoriasi.</w:delText>
        </w:r>
      </w:del>
    </w:p>
    <w:p w:rsidR="006224C2" w:rsidRPr="00295E71" w14:paraId="2D680CF2" w14:textId="77777777">
      <w:pPr>
        <w:numPr>
          <w:ilvl w:val="12"/>
          <w:numId w:val="0"/>
        </w:numPr>
        <w:tabs>
          <w:tab w:val="left" w:pos="567"/>
        </w:tabs>
        <w:ind w:right="-2"/>
        <w:jc w:val="both"/>
        <w:rPr>
          <w:del w:id="18357" w:author="AbbVie14" w:date="2025-05-09T11:00:00Z"/>
          <w:sz w:val="22"/>
          <w:szCs w:val="22"/>
        </w:rPr>
      </w:pPr>
    </w:p>
    <w:p w:rsidR="006224C2" w:rsidRPr="00295E71" w14:paraId="0BC56753" w14:textId="77777777">
      <w:pPr>
        <w:numPr>
          <w:ilvl w:val="12"/>
          <w:numId w:val="0"/>
        </w:numPr>
        <w:tabs>
          <w:tab w:val="left" w:pos="567"/>
        </w:tabs>
        <w:ind w:right="-2"/>
        <w:jc w:val="both"/>
        <w:rPr>
          <w:del w:id="18358" w:author="AbbVie14" w:date="2025-05-09T11:00:00Z"/>
          <w:sz w:val="22"/>
          <w:szCs w:val="22"/>
        </w:rPr>
      </w:pPr>
      <w:del w:id="18359" w:author="AbbVie14" w:date="2025-05-09T11:00:00Z">
        <w:r w:rsidRPr="00295E71">
          <w:rPr>
            <w:sz w:val="22"/>
            <w:szCs w:val="22"/>
          </w:rPr>
          <w:delText xml:space="preserve">Humira è usato per trattare l’artrite psoriasica negli adulti. </w:delText>
        </w:r>
      </w:del>
    </w:p>
    <w:p w:rsidR="006224C2" w:rsidRPr="00295E71" w14:paraId="2F19929A" w14:textId="77777777">
      <w:pPr>
        <w:numPr>
          <w:ilvl w:val="12"/>
          <w:numId w:val="0"/>
        </w:numPr>
        <w:tabs>
          <w:tab w:val="left" w:pos="567"/>
        </w:tabs>
        <w:ind w:right="-2"/>
        <w:jc w:val="both"/>
        <w:rPr>
          <w:del w:id="18360" w:author="AbbVie14" w:date="2025-05-09T11:00:00Z"/>
          <w:sz w:val="22"/>
          <w:szCs w:val="22"/>
        </w:rPr>
      </w:pPr>
      <w:del w:id="18361" w:author="AbbVie14" w:date="2025-05-09T11:00:00Z">
        <w:r w:rsidRPr="00295E71">
          <w:rPr>
            <w:sz w:val="22"/>
            <w:szCs w:val="22"/>
          </w:rPr>
          <w:delText>Humira si è dimostrato in grado di rallentare il danno alle cartilagini ed alle ossa delle articolazioni, causato dalla malattia, e di migliorare la funzionalità fisica.</w:delText>
        </w:r>
      </w:del>
    </w:p>
    <w:p w:rsidR="006224C2" w:rsidRPr="00295E71" w14:paraId="0319E14F" w14:textId="77777777">
      <w:pPr>
        <w:numPr>
          <w:ilvl w:val="12"/>
          <w:numId w:val="0"/>
        </w:numPr>
        <w:tabs>
          <w:tab w:val="left" w:pos="567"/>
        </w:tabs>
        <w:ind w:right="-2"/>
        <w:jc w:val="both"/>
        <w:rPr>
          <w:del w:id="18362" w:author="AbbVie14" w:date="2025-05-09T11:00:00Z"/>
          <w:sz w:val="22"/>
          <w:szCs w:val="22"/>
        </w:rPr>
      </w:pPr>
    </w:p>
    <w:p w:rsidR="006224C2" w:rsidRPr="00295E71" w14:paraId="12E5527E" w14:textId="77777777">
      <w:pPr>
        <w:numPr>
          <w:ilvl w:val="12"/>
          <w:numId w:val="0"/>
        </w:numPr>
        <w:tabs>
          <w:tab w:val="left" w:pos="567"/>
        </w:tabs>
        <w:ind w:right="-2"/>
        <w:jc w:val="both"/>
        <w:rPr>
          <w:del w:id="18363" w:author="AbbVie14" w:date="2025-05-09T11:00:00Z"/>
          <w:color w:val="000000"/>
          <w:sz w:val="22"/>
          <w:szCs w:val="22"/>
        </w:rPr>
      </w:pPr>
      <w:del w:id="18364" w:author="AbbVie14" w:date="2025-05-09T11:00:00Z">
        <w:r w:rsidRPr="00295E71">
          <w:rPr>
            <w:color w:val="000000"/>
            <w:sz w:val="22"/>
            <w:szCs w:val="22"/>
            <w:u w:val="single"/>
          </w:rPr>
          <w:delText>Psoriasi a placche in adulti e bambini</w:delText>
        </w:r>
      </w:del>
    </w:p>
    <w:p w:rsidR="006224C2" w:rsidRPr="00295E71" w14:paraId="029A677F" w14:textId="77777777">
      <w:pPr>
        <w:numPr>
          <w:ilvl w:val="12"/>
          <w:numId w:val="0"/>
        </w:numPr>
        <w:tabs>
          <w:tab w:val="left" w:pos="567"/>
        </w:tabs>
        <w:ind w:right="-2"/>
        <w:jc w:val="both"/>
        <w:rPr>
          <w:del w:id="18365" w:author="AbbVie14" w:date="2025-05-09T11:00:00Z"/>
          <w:color w:val="000000"/>
          <w:sz w:val="22"/>
          <w:szCs w:val="22"/>
        </w:rPr>
      </w:pPr>
    </w:p>
    <w:p w:rsidR="006224C2" w:rsidRPr="00295E71" w14:paraId="788134B2" w14:textId="77777777">
      <w:pPr>
        <w:numPr>
          <w:ilvl w:val="12"/>
          <w:numId w:val="0"/>
        </w:numPr>
        <w:tabs>
          <w:tab w:val="left" w:pos="567"/>
        </w:tabs>
        <w:ind w:right="-2"/>
        <w:jc w:val="both"/>
        <w:rPr>
          <w:del w:id="18366" w:author="AbbVie14" w:date="2025-05-09T11:00:00Z"/>
          <w:color w:val="000000"/>
          <w:sz w:val="22"/>
          <w:szCs w:val="22"/>
        </w:rPr>
      </w:pPr>
      <w:del w:id="18367" w:author="AbbVie14" w:date="2025-05-09T11:00:00Z">
        <w:r w:rsidRPr="00295E71">
          <w:rPr>
            <w:color w:val="000000"/>
            <w:sz w:val="22"/>
            <w:szCs w:val="22"/>
          </w:rPr>
          <w:delText xml:space="preserve">La psoriasi a placche è una condizione della pelle che causa chiazze rossastre, squamose e </w:delText>
        </w:r>
      </w:del>
      <w:del w:id="18368" w:author="AbbVie14" w:date="2025-05-09T11:00:00Z">
        <w:r w:rsidRPr="00295E71">
          <w:rPr>
            <w:sz w:val="22"/>
            <w:szCs w:val="22"/>
          </w:rPr>
          <w:delText>indurite</w:delText>
        </w:r>
      </w:del>
      <w:del w:id="18369" w:author="AbbVie14" w:date="2025-05-09T11:00:00Z">
        <w:r w:rsidRPr="00295E71">
          <w:rPr>
            <w:color w:val="000000"/>
            <w:sz w:val="22"/>
            <w:szCs w:val="22"/>
          </w:rPr>
          <w:delText xml:space="preserve"> di pelle ricoperta da squame</w:delText>
        </w:r>
      </w:del>
      <w:del w:id="18370" w:author="AbbVie14" w:date="2025-05-09T11:00:00Z">
        <w:r w:rsidRPr="00295E71" w:rsidR="00E27EF8">
          <w:rPr>
            <w:color w:val="000000"/>
            <w:sz w:val="22"/>
            <w:szCs w:val="22"/>
          </w:rPr>
          <w:delText xml:space="preserve"> </w:delText>
        </w:r>
      </w:del>
      <w:del w:id="18371" w:author="AbbVie14" w:date="2025-05-09T11:00:00Z">
        <w:r w:rsidRPr="00295E71">
          <w:rPr>
            <w:color w:val="000000"/>
            <w:sz w:val="22"/>
            <w:szCs w:val="22"/>
          </w:rPr>
          <w:delText xml:space="preserve">argentee. </w:delText>
        </w:r>
      </w:del>
      <w:del w:id="18372" w:author="AbbVie14" w:date="2025-05-09T11:00:00Z">
        <w:r w:rsidRPr="00295E71">
          <w:rPr>
            <w:sz w:val="22"/>
            <w:szCs w:val="22"/>
          </w:rPr>
          <w:delText>La psoriasi a placche può anche colpire le unghie, provocandone la rottura, l’ispessimento e il sollevamento dal letto dell’unghia, che può essere doloroso.</w:delText>
        </w:r>
      </w:del>
      <w:del w:id="18373" w:author="AbbVie14" w:date="2025-05-09T11:00:00Z">
        <w:r w:rsidRPr="00295E71">
          <w:rPr>
            <w:color w:val="000000"/>
            <w:sz w:val="22"/>
            <w:szCs w:val="22"/>
          </w:rPr>
          <w:delText>Si ritiene che la psoriasi sia causata da un problema del sistema immunitario del corpo che conduce a un aumento della produzione di cellule cutanee.</w:delText>
        </w:r>
      </w:del>
    </w:p>
    <w:p w:rsidR="006224C2" w:rsidRPr="00295E71" w14:paraId="0FCF8E66" w14:textId="77777777">
      <w:pPr>
        <w:numPr>
          <w:ilvl w:val="12"/>
          <w:numId w:val="0"/>
        </w:numPr>
        <w:tabs>
          <w:tab w:val="left" w:pos="567"/>
        </w:tabs>
        <w:ind w:right="-2"/>
        <w:jc w:val="both"/>
        <w:rPr>
          <w:del w:id="18374" w:author="AbbVie14" w:date="2025-05-09T11:00:00Z"/>
          <w:color w:val="000000"/>
          <w:sz w:val="22"/>
          <w:szCs w:val="22"/>
        </w:rPr>
      </w:pPr>
    </w:p>
    <w:p w:rsidR="006224C2" w:rsidRPr="00295E71" w14:paraId="2896A1AB" w14:textId="77777777">
      <w:pPr>
        <w:numPr>
          <w:ilvl w:val="12"/>
          <w:numId w:val="0"/>
        </w:numPr>
        <w:tabs>
          <w:tab w:val="left" w:pos="567"/>
        </w:tabs>
        <w:ind w:right="-2"/>
        <w:jc w:val="both"/>
        <w:rPr>
          <w:del w:id="18375" w:author="AbbVie14" w:date="2025-05-09T11:00:00Z"/>
          <w:sz w:val="22"/>
          <w:szCs w:val="22"/>
        </w:rPr>
      </w:pPr>
      <w:del w:id="18376" w:author="AbbVie14" w:date="2025-05-09T11:00:00Z">
        <w:r w:rsidRPr="00295E71">
          <w:rPr>
            <w:sz w:val="22"/>
            <w:szCs w:val="22"/>
          </w:rPr>
          <w:delText>Humira è usato per trattare la psoriasi a placche di grado da moderato a severo</w:delText>
        </w:r>
      </w:del>
      <w:del w:id="18377" w:author="AbbVie14" w:date="2025-05-09T11:00:00Z">
        <w:r w:rsidRPr="00295E71" w:rsidR="00E27EF8">
          <w:rPr>
            <w:sz w:val="22"/>
            <w:szCs w:val="22"/>
          </w:rPr>
          <w:delText xml:space="preserve"> </w:delText>
        </w:r>
      </w:del>
      <w:del w:id="18378" w:author="AbbVie14" w:date="2025-05-09T11:00:00Z">
        <w:r w:rsidRPr="00295E71">
          <w:rPr>
            <w:sz w:val="22"/>
            <w:szCs w:val="22"/>
          </w:rPr>
          <w:delText>negli adulti. Humira è inoltre utilizzato per trattare la psoriasi a placche grave in bambini e adolescenti dai 4 ai 17 anni nei quali la terapia topica e le fototerapie non abbiano funzionato in modo ottimale o non siano indicate.</w:delText>
        </w:r>
      </w:del>
    </w:p>
    <w:p w:rsidR="006224C2" w:rsidRPr="00295E71" w14:paraId="35C4E2F5" w14:textId="77777777">
      <w:pPr>
        <w:numPr>
          <w:ilvl w:val="12"/>
          <w:numId w:val="0"/>
        </w:numPr>
        <w:tabs>
          <w:tab w:val="left" w:pos="567"/>
        </w:tabs>
        <w:ind w:right="-2"/>
        <w:jc w:val="both"/>
        <w:rPr>
          <w:del w:id="18379" w:author="AbbVie14" w:date="2025-05-09T11:00:00Z"/>
          <w:sz w:val="22"/>
          <w:szCs w:val="22"/>
          <w:u w:val="single"/>
        </w:rPr>
      </w:pPr>
    </w:p>
    <w:p w:rsidR="006224C2" w:rsidRPr="00295E71" w:rsidP="00F57FE5" w14:paraId="5D438F91" w14:textId="77777777">
      <w:pPr>
        <w:keepNext/>
        <w:keepLines/>
        <w:numPr>
          <w:ilvl w:val="12"/>
          <w:numId w:val="0"/>
        </w:numPr>
        <w:tabs>
          <w:tab w:val="left" w:pos="567"/>
        </w:tabs>
        <w:jc w:val="both"/>
        <w:rPr>
          <w:del w:id="18380" w:author="AbbVie14" w:date="2025-05-09T11:00:00Z"/>
          <w:sz w:val="22"/>
          <w:szCs w:val="22"/>
          <w:u w:val="single"/>
        </w:rPr>
      </w:pPr>
      <w:del w:id="18381" w:author="AbbVie14" w:date="2025-05-09T11:00:00Z">
        <w:r w:rsidRPr="00295E71">
          <w:rPr>
            <w:sz w:val="22"/>
            <w:szCs w:val="22"/>
            <w:u w:val="single"/>
          </w:rPr>
          <w:delText>Idrosadenite Suppurativa in adulti e adolescenti</w:delText>
        </w:r>
      </w:del>
    </w:p>
    <w:p w:rsidR="006224C2" w:rsidRPr="00295E71" w:rsidP="00F57FE5" w14:paraId="03E7A138" w14:textId="77777777">
      <w:pPr>
        <w:keepNext/>
        <w:keepLines/>
        <w:numPr>
          <w:ilvl w:val="12"/>
          <w:numId w:val="0"/>
        </w:numPr>
        <w:tabs>
          <w:tab w:val="left" w:pos="567"/>
        </w:tabs>
        <w:ind w:right="-2"/>
        <w:jc w:val="both"/>
        <w:rPr>
          <w:del w:id="18382" w:author="AbbVie14" w:date="2025-05-09T11:00:00Z"/>
          <w:sz w:val="22"/>
          <w:szCs w:val="22"/>
        </w:rPr>
      </w:pPr>
    </w:p>
    <w:p w:rsidR="006224C2" w:rsidRPr="00295E71" w:rsidP="00F57FE5" w14:paraId="68209844" w14:textId="77777777">
      <w:pPr>
        <w:keepNext/>
        <w:keepLines/>
        <w:numPr>
          <w:ilvl w:val="12"/>
          <w:numId w:val="0"/>
        </w:numPr>
        <w:tabs>
          <w:tab w:val="left" w:pos="567"/>
        </w:tabs>
        <w:ind w:right="-2"/>
        <w:jc w:val="both"/>
        <w:rPr>
          <w:del w:id="18383" w:author="AbbVie14" w:date="2025-05-09T11:00:00Z"/>
          <w:sz w:val="22"/>
          <w:szCs w:val="22"/>
        </w:rPr>
      </w:pPr>
      <w:del w:id="18384" w:author="AbbVie14" w:date="2025-05-09T11:00:00Z">
        <w:r w:rsidRPr="00295E71">
          <w:rPr>
            <w:sz w:val="22"/>
            <w:szCs w:val="22"/>
          </w:rPr>
          <w:delText xml:space="preserve">L’Idrosadenite Suppurativa (chiamata a volte acne inversa) è una malattia infiammatoria cronica della pelle e spesso è dolorosa. I sintomi possono includere noduli dolorosi e ascessi (cisti) che possono drenare pus. Più frequentemente colpisce aree specifiche della pelle, come la regione sottomammaria, le ascelle, l’interno cosce, l’inguine e le natiche. Nelle aree colpite si possono anche formare delle cicatrici.  </w:delText>
        </w:r>
      </w:del>
    </w:p>
    <w:p w:rsidR="006224C2" w:rsidRPr="00295E71" w14:paraId="457E4803" w14:textId="77777777">
      <w:pPr>
        <w:numPr>
          <w:ilvl w:val="12"/>
          <w:numId w:val="0"/>
        </w:numPr>
        <w:tabs>
          <w:tab w:val="left" w:pos="567"/>
        </w:tabs>
        <w:ind w:right="-2"/>
        <w:jc w:val="both"/>
        <w:rPr>
          <w:del w:id="18385" w:author="AbbVie14" w:date="2025-05-09T11:00:00Z"/>
          <w:sz w:val="22"/>
          <w:szCs w:val="22"/>
        </w:rPr>
      </w:pPr>
    </w:p>
    <w:p w:rsidR="006224C2" w:rsidRPr="00295E71" w14:paraId="189D76BB" w14:textId="77777777">
      <w:pPr>
        <w:rPr>
          <w:del w:id="18386" w:author="AbbVie14" w:date="2025-05-09T11:00:00Z"/>
          <w:sz w:val="22"/>
          <w:szCs w:val="22"/>
        </w:rPr>
      </w:pPr>
      <w:del w:id="18387" w:author="AbbVie14" w:date="2025-05-09T11:00:00Z">
        <w:r w:rsidRPr="00295E71">
          <w:rPr>
            <w:sz w:val="22"/>
            <w:szCs w:val="22"/>
          </w:rPr>
          <w:delText>Humira è utilizzato per trattare l’Idrosadenite Suppurativa negli adultie negli adolescenti dai 12 anni di età. Humira può ridurre il numero di noduli e di ascessi che lei ha e il dolore che spesso è associato a questa malattia.Inizialmente, potrebbe ricevere altri medicinali. Se non risponde sufficientemente bene a questi medicinali, riceverà Humira.</w:delText>
        </w:r>
      </w:del>
    </w:p>
    <w:p w:rsidR="006224C2" w:rsidRPr="00295E71" w14:paraId="6BE09D07" w14:textId="77777777">
      <w:pPr>
        <w:numPr>
          <w:ilvl w:val="12"/>
          <w:numId w:val="0"/>
        </w:numPr>
        <w:tabs>
          <w:tab w:val="left" w:pos="567"/>
        </w:tabs>
        <w:ind w:right="-2"/>
        <w:jc w:val="both"/>
        <w:rPr>
          <w:del w:id="18388" w:author="AbbVie14" w:date="2025-05-09T11:00:00Z"/>
          <w:sz w:val="22"/>
          <w:szCs w:val="22"/>
          <w:u w:val="single"/>
        </w:rPr>
      </w:pPr>
    </w:p>
    <w:p w:rsidR="006224C2" w:rsidRPr="00295E71" w14:paraId="22F4FF1E" w14:textId="77777777">
      <w:pPr>
        <w:pStyle w:val="EMEANormal"/>
        <w:keepNext/>
        <w:jc w:val="both"/>
        <w:rPr>
          <w:del w:id="18389" w:author="AbbVie14" w:date="2025-05-09T11:00:00Z"/>
          <w:u w:val="single"/>
          <w:lang w:val="it-IT"/>
        </w:rPr>
      </w:pPr>
      <w:del w:id="18390" w:author="AbbVie14" w:date="2025-05-09T11:00:00Z">
        <w:r w:rsidRPr="00295E71">
          <w:rPr>
            <w:u w:val="single"/>
            <w:lang w:val="it-IT"/>
          </w:rPr>
          <w:delText>Malattia di Crohn negli adulti e nei bambini</w:delText>
        </w:r>
      </w:del>
    </w:p>
    <w:p w:rsidR="006224C2" w:rsidRPr="00295E71" w14:paraId="2BEBF931" w14:textId="77777777">
      <w:pPr>
        <w:pStyle w:val="EMEANormal"/>
        <w:keepNext/>
        <w:jc w:val="both"/>
        <w:rPr>
          <w:del w:id="18391" w:author="AbbVie14" w:date="2025-05-09T11:00:00Z"/>
          <w:lang w:val="it-IT"/>
        </w:rPr>
      </w:pPr>
    </w:p>
    <w:p w:rsidR="006224C2" w:rsidRPr="00295E71" w14:paraId="16C397BB" w14:textId="77777777">
      <w:pPr>
        <w:pStyle w:val="EMEANormal"/>
        <w:keepNext/>
        <w:jc w:val="both"/>
        <w:rPr>
          <w:del w:id="18392" w:author="AbbVie14" w:date="2025-05-09T11:00:00Z"/>
          <w:lang w:val="it-IT"/>
        </w:rPr>
      </w:pPr>
      <w:del w:id="18393" w:author="AbbVie14" w:date="2025-05-09T11:00:00Z">
        <w:r w:rsidRPr="00295E71">
          <w:rPr>
            <w:lang w:val="it-IT"/>
          </w:rPr>
          <w:delText>La malattia di Crohn è un’infiammazione del tratto digerente.</w:delText>
        </w:r>
      </w:del>
    </w:p>
    <w:p w:rsidR="006224C2" w:rsidRPr="00295E71" w14:paraId="68A0ACFC" w14:textId="77777777">
      <w:pPr>
        <w:pStyle w:val="EMEANormal"/>
        <w:jc w:val="both"/>
        <w:rPr>
          <w:del w:id="18394" w:author="AbbVie14" w:date="2025-05-09T11:00:00Z"/>
          <w:lang w:val="it-IT"/>
        </w:rPr>
      </w:pPr>
    </w:p>
    <w:p w:rsidR="006224C2" w:rsidRPr="00295E71" w14:paraId="77192765" w14:textId="77777777">
      <w:pPr>
        <w:numPr>
          <w:ilvl w:val="12"/>
          <w:numId w:val="0"/>
        </w:numPr>
        <w:tabs>
          <w:tab w:val="left" w:pos="567"/>
        </w:tabs>
        <w:ind w:right="-2"/>
        <w:jc w:val="both"/>
        <w:rPr>
          <w:del w:id="18395" w:author="AbbVie14" w:date="2025-05-09T11:00:00Z"/>
          <w:sz w:val="22"/>
          <w:szCs w:val="22"/>
        </w:rPr>
      </w:pPr>
      <w:del w:id="18396" w:author="AbbVie14" w:date="2025-05-09T11:00:00Z">
        <w:r w:rsidRPr="00295E71">
          <w:rPr>
            <w:sz w:val="22"/>
            <w:szCs w:val="22"/>
          </w:rPr>
          <w:delText>Humira è usato per trattare la Malattia di Crohn negli adulti e nei bambini di età dai 6 ai 17 anni. Se soffre della malattia di Crohn, le verranno prima somministrati altri farmaci. Nel caso in cui lei non risponda in maniera sufficientemente adeguata a questi farmaci, le verrà somministrato Humira per ridurre la sintomatologia tipica della malattia di Crohn.</w:delText>
        </w:r>
      </w:del>
    </w:p>
    <w:p w:rsidR="006224C2" w:rsidRPr="00295E71" w14:paraId="1B094475" w14:textId="77777777">
      <w:pPr>
        <w:numPr>
          <w:ilvl w:val="12"/>
          <w:numId w:val="0"/>
        </w:numPr>
        <w:tabs>
          <w:tab w:val="left" w:pos="567"/>
        </w:tabs>
        <w:ind w:right="-2"/>
        <w:jc w:val="both"/>
        <w:rPr>
          <w:del w:id="18397" w:author="AbbVie14" w:date="2025-05-09T11:00:00Z"/>
          <w:sz w:val="22"/>
          <w:szCs w:val="22"/>
        </w:rPr>
      </w:pPr>
    </w:p>
    <w:p w:rsidR="006224C2" w:rsidRPr="00295E71" w14:paraId="4D93EC3C" w14:textId="77777777">
      <w:pPr>
        <w:keepNext/>
        <w:rPr>
          <w:del w:id="18398" w:author="AbbVie14" w:date="2025-05-09T11:00:00Z"/>
          <w:sz w:val="22"/>
          <w:szCs w:val="22"/>
          <w:u w:val="single"/>
        </w:rPr>
      </w:pPr>
      <w:del w:id="18399" w:author="AbbVie14" w:date="2025-05-09T11:00:00Z">
        <w:r w:rsidRPr="00295E71">
          <w:rPr>
            <w:sz w:val="22"/>
            <w:szCs w:val="22"/>
            <w:u w:val="single"/>
          </w:rPr>
          <w:delText>Colite ulcerosa</w:delText>
        </w:r>
      </w:del>
      <w:del w:id="18400" w:author="AbbVie14" w:date="2025-05-09T11:00:00Z">
        <w:r w:rsidR="007674FE">
          <w:rPr>
            <w:sz w:val="22"/>
            <w:szCs w:val="22"/>
            <w:u w:val="single"/>
          </w:rPr>
          <w:delText xml:space="preserve"> negli adulti e nei bambini</w:delText>
        </w:r>
      </w:del>
    </w:p>
    <w:p w:rsidR="006224C2" w:rsidRPr="00295E71" w14:paraId="3EDA8852" w14:textId="77777777">
      <w:pPr>
        <w:keepNext/>
        <w:numPr>
          <w:ilvl w:val="12"/>
          <w:numId w:val="0"/>
        </w:numPr>
        <w:tabs>
          <w:tab w:val="left" w:pos="567"/>
        </w:tabs>
        <w:ind w:right="-2"/>
        <w:jc w:val="both"/>
        <w:rPr>
          <w:del w:id="18401" w:author="AbbVie14" w:date="2025-05-09T11:00:00Z"/>
          <w:sz w:val="22"/>
          <w:szCs w:val="22"/>
          <w:u w:val="single"/>
        </w:rPr>
      </w:pPr>
    </w:p>
    <w:p w:rsidR="006224C2" w:rsidRPr="00295E71" w14:paraId="60AC996A" w14:textId="77777777">
      <w:pPr>
        <w:keepNext/>
        <w:numPr>
          <w:ilvl w:val="12"/>
          <w:numId w:val="0"/>
        </w:numPr>
        <w:tabs>
          <w:tab w:val="left" w:pos="567"/>
        </w:tabs>
        <w:ind w:right="-2"/>
        <w:jc w:val="both"/>
        <w:rPr>
          <w:del w:id="18402" w:author="AbbVie14" w:date="2025-05-09T11:00:00Z"/>
          <w:sz w:val="22"/>
          <w:szCs w:val="22"/>
          <w:u w:val="single"/>
        </w:rPr>
      </w:pPr>
      <w:del w:id="18403" w:author="AbbVie14" w:date="2025-05-09T11:00:00Z">
        <w:r w:rsidRPr="00295E71">
          <w:rPr>
            <w:sz w:val="22"/>
            <w:szCs w:val="22"/>
          </w:rPr>
          <w:delText>La colite ulcerosa è un’infiammazione dell’intestino</w:delText>
        </w:r>
      </w:del>
      <w:del w:id="18404" w:author="AbbVie14" w:date="2025-05-09T11:00:00Z">
        <w:r w:rsidR="00126944">
          <w:rPr>
            <w:sz w:val="22"/>
            <w:szCs w:val="22"/>
          </w:rPr>
          <w:delText xml:space="preserve"> crasso</w:delText>
        </w:r>
      </w:del>
      <w:del w:id="18405" w:author="AbbVie14" w:date="2025-05-09T11:00:00Z">
        <w:r w:rsidRPr="00295E71">
          <w:rPr>
            <w:sz w:val="22"/>
            <w:szCs w:val="22"/>
          </w:rPr>
          <w:delText>.</w:delText>
        </w:r>
      </w:del>
    </w:p>
    <w:p w:rsidR="006224C2" w:rsidRPr="00295E71" w14:paraId="5886595D" w14:textId="77777777">
      <w:pPr>
        <w:numPr>
          <w:ilvl w:val="12"/>
          <w:numId w:val="0"/>
        </w:numPr>
        <w:tabs>
          <w:tab w:val="left" w:pos="567"/>
        </w:tabs>
        <w:ind w:right="-2"/>
        <w:jc w:val="both"/>
        <w:rPr>
          <w:del w:id="18406" w:author="AbbVie14" w:date="2025-05-09T11:00:00Z"/>
          <w:sz w:val="22"/>
          <w:szCs w:val="22"/>
          <w:u w:val="single"/>
        </w:rPr>
      </w:pPr>
    </w:p>
    <w:p w:rsidR="006224C2" w:rsidRPr="00295E71" w14:paraId="351F272B" w14:textId="77777777">
      <w:pPr>
        <w:numPr>
          <w:ilvl w:val="12"/>
          <w:numId w:val="0"/>
        </w:numPr>
        <w:tabs>
          <w:tab w:val="left" w:pos="567"/>
        </w:tabs>
        <w:ind w:right="-2"/>
        <w:jc w:val="both"/>
        <w:rPr>
          <w:del w:id="18407" w:author="AbbVie14" w:date="2025-05-09T11:00:00Z"/>
          <w:sz w:val="22"/>
          <w:szCs w:val="22"/>
        </w:rPr>
      </w:pPr>
      <w:del w:id="18408" w:author="AbbVie14" w:date="2025-05-09T11:00:00Z">
        <w:r w:rsidRPr="00295E71">
          <w:rPr>
            <w:sz w:val="22"/>
            <w:szCs w:val="22"/>
          </w:rPr>
          <w:delText xml:space="preserve">Humira è usato per trattare la colite ulcerosa </w:delText>
        </w:r>
      </w:del>
      <w:del w:id="18409" w:author="AbbVie14" w:date="2025-05-09T11:00:00Z">
        <w:r w:rsidR="007674FE">
          <w:rPr>
            <w:sz w:val="22"/>
            <w:szCs w:val="22"/>
          </w:rPr>
          <w:delText xml:space="preserve">da moderata a grave </w:delText>
        </w:r>
      </w:del>
      <w:del w:id="18410" w:author="AbbVie14" w:date="2025-05-09T11:00:00Z">
        <w:r w:rsidRPr="00295E71">
          <w:rPr>
            <w:sz w:val="22"/>
            <w:szCs w:val="22"/>
          </w:rPr>
          <w:delText>negli adulti</w:delText>
        </w:r>
      </w:del>
      <w:del w:id="18411" w:author="AbbVie14" w:date="2025-05-09T11:00:00Z">
        <w:r w:rsidR="007674FE">
          <w:rPr>
            <w:sz w:val="22"/>
            <w:szCs w:val="22"/>
          </w:rPr>
          <w:delText xml:space="preserve"> e nei bambini di età </w:delText>
        </w:r>
      </w:del>
      <w:del w:id="18412" w:author="AbbVie14" w:date="2025-05-09T11:00:00Z">
        <w:r w:rsidR="0002677C">
          <w:rPr>
            <w:sz w:val="22"/>
            <w:szCs w:val="22"/>
          </w:rPr>
          <w:delText>dai</w:delText>
        </w:r>
      </w:del>
      <w:del w:id="18413" w:author="AbbVie14" w:date="2025-05-09T11:00:00Z">
        <w:r w:rsidR="007674FE">
          <w:rPr>
            <w:sz w:val="22"/>
            <w:szCs w:val="22"/>
          </w:rPr>
          <w:delText xml:space="preserve"> 6 </w:delText>
        </w:r>
      </w:del>
      <w:del w:id="18414" w:author="AbbVie14" w:date="2025-05-09T11:00:00Z">
        <w:r w:rsidR="0002677C">
          <w:rPr>
            <w:sz w:val="22"/>
            <w:szCs w:val="22"/>
          </w:rPr>
          <w:delText>ai</w:delText>
        </w:r>
      </w:del>
      <w:del w:id="18415" w:author="AbbVie14" w:date="2025-05-09T11:00:00Z">
        <w:r w:rsidR="007674FE">
          <w:rPr>
            <w:sz w:val="22"/>
            <w:szCs w:val="22"/>
          </w:rPr>
          <w:delText xml:space="preserve"> 17 anni</w:delText>
        </w:r>
      </w:del>
      <w:del w:id="18416" w:author="AbbVie14" w:date="2025-05-09T11:00:00Z">
        <w:r w:rsidRPr="00295E71">
          <w:rPr>
            <w:sz w:val="22"/>
            <w:szCs w:val="22"/>
          </w:rPr>
          <w:delText xml:space="preserve">. Se è affetto da colite ulcerosa </w:delText>
        </w:r>
      </w:del>
      <w:del w:id="18417" w:author="AbbVie14" w:date="2025-05-09T11:00:00Z">
        <w:r w:rsidR="00F270B2">
          <w:rPr>
            <w:sz w:val="22"/>
            <w:szCs w:val="22"/>
          </w:rPr>
          <w:delText xml:space="preserve">inizialmente potrebbe assumere </w:delText>
        </w:r>
      </w:del>
      <w:del w:id="18418" w:author="AbbVie14" w:date="2025-05-09T11:00:00Z">
        <w:r w:rsidRPr="00295E71">
          <w:rPr>
            <w:sz w:val="22"/>
            <w:szCs w:val="22"/>
          </w:rPr>
          <w:delText>altri farmaci. Nel caso in cui non sia in grado di ottenere una risposta adeguata con questi farmaci, assumerà Humira per ridurre i segni ed i sintomi della malattia.</w:delText>
        </w:r>
      </w:del>
    </w:p>
    <w:p w:rsidR="006224C2" w:rsidRPr="00295E71" w14:paraId="072E630F" w14:textId="77777777">
      <w:pPr>
        <w:numPr>
          <w:ilvl w:val="12"/>
          <w:numId w:val="0"/>
        </w:numPr>
        <w:tabs>
          <w:tab w:val="left" w:pos="567"/>
        </w:tabs>
        <w:ind w:right="-2"/>
        <w:jc w:val="both"/>
        <w:rPr>
          <w:del w:id="18419" w:author="AbbVie14" w:date="2025-05-09T11:00:00Z"/>
          <w:sz w:val="22"/>
          <w:szCs w:val="22"/>
        </w:rPr>
      </w:pPr>
    </w:p>
    <w:p w:rsidR="006224C2" w:rsidRPr="00295E71" w14:paraId="199AE009" w14:textId="77777777">
      <w:pPr>
        <w:numPr>
          <w:ilvl w:val="12"/>
          <w:numId w:val="0"/>
        </w:numPr>
        <w:tabs>
          <w:tab w:val="left" w:pos="567"/>
        </w:tabs>
        <w:ind w:right="-2"/>
        <w:jc w:val="both"/>
        <w:rPr>
          <w:del w:id="18420" w:author="AbbVie14" w:date="2025-05-09T11:00:00Z"/>
          <w:sz w:val="22"/>
          <w:szCs w:val="22"/>
          <w:u w:val="single"/>
        </w:rPr>
      </w:pPr>
      <w:del w:id="18421" w:author="AbbVie14" w:date="2025-05-09T11:00:00Z">
        <w:r w:rsidRPr="00295E71">
          <w:rPr>
            <w:sz w:val="22"/>
            <w:szCs w:val="22"/>
            <w:u w:val="single"/>
          </w:rPr>
          <w:delText>Uveite non infettiva</w:delText>
        </w:r>
      </w:del>
      <w:del w:id="18422" w:author="AbbVie14" w:date="2025-05-09T11:00:00Z">
        <w:r w:rsidRPr="00295E71" w:rsidR="00C465A7">
          <w:rPr>
            <w:sz w:val="22"/>
            <w:szCs w:val="22"/>
            <w:u w:val="single"/>
          </w:rPr>
          <w:delText xml:space="preserve"> in adulti e bambini</w:delText>
        </w:r>
      </w:del>
    </w:p>
    <w:p w:rsidR="006224C2" w:rsidRPr="00295E71" w14:paraId="65918BD7" w14:textId="77777777">
      <w:pPr>
        <w:numPr>
          <w:ilvl w:val="12"/>
          <w:numId w:val="0"/>
        </w:numPr>
        <w:tabs>
          <w:tab w:val="left" w:pos="567"/>
        </w:tabs>
        <w:ind w:right="-2"/>
        <w:jc w:val="both"/>
        <w:rPr>
          <w:del w:id="18423" w:author="AbbVie14" w:date="2025-05-09T11:00:00Z"/>
          <w:sz w:val="22"/>
          <w:szCs w:val="22"/>
          <w:u w:val="single"/>
        </w:rPr>
      </w:pPr>
    </w:p>
    <w:p w:rsidR="006224C2" w:rsidRPr="00295E71" w14:paraId="1BAE9764" w14:textId="77777777">
      <w:pPr>
        <w:numPr>
          <w:ilvl w:val="12"/>
          <w:numId w:val="0"/>
        </w:numPr>
        <w:tabs>
          <w:tab w:val="left" w:pos="567"/>
        </w:tabs>
        <w:ind w:right="-2"/>
        <w:jc w:val="both"/>
        <w:rPr>
          <w:del w:id="18424" w:author="AbbVie14" w:date="2025-05-09T11:00:00Z"/>
          <w:sz w:val="22"/>
          <w:szCs w:val="22"/>
        </w:rPr>
      </w:pPr>
      <w:del w:id="18425" w:author="AbbVie14" w:date="2025-05-09T11:00:00Z">
        <w:r w:rsidRPr="00295E71">
          <w:rPr>
            <w:sz w:val="22"/>
            <w:szCs w:val="22"/>
          </w:rPr>
          <w:delText>L’uveite non infettiva è una malattia infiammatoria che colpisce alcune parti dell’occhio.</w:delText>
        </w:r>
      </w:del>
    </w:p>
    <w:p w:rsidR="006224C2" w:rsidRPr="00295E71" w14:paraId="13F29A78" w14:textId="77777777">
      <w:pPr>
        <w:numPr>
          <w:ilvl w:val="12"/>
          <w:numId w:val="0"/>
        </w:numPr>
        <w:tabs>
          <w:tab w:val="left" w:pos="567"/>
        </w:tabs>
        <w:ind w:left="567" w:right="-2" w:hanging="567"/>
        <w:jc w:val="both"/>
        <w:rPr>
          <w:del w:id="18426" w:author="AbbVie14" w:date="2025-05-09T11:00:00Z"/>
          <w:sz w:val="22"/>
          <w:szCs w:val="22"/>
        </w:rPr>
      </w:pPr>
    </w:p>
    <w:p w:rsidR="006224C2" w:rsidRPr="00295E71" w14:paraId="5D1C977A" w14:textId="77777777">
      <w:pPr>
        <w:numPr>
          <w:ilvl w:val="12"/>
          <w:numId w:val="0"/>
        </w:numPr>
        <w:tabs>
          <w:tab w:val="left" w:pos="567"/>
        </w:tabs>
        <w:ind w:right="-2"/>
        <w:jc w:val="both"/>
        <w:rPr>
          <w:del w:id="18427" w:author="AbbVie14" w:date="2025-05-09T11:00:00Z"/>
          <w:sz w:val="22"/>
          <w:szCs w:val="22"/>
        </w:rPr>
      </w:pPr>
      <w:del w:id="18428" w:author="AbbVie14" w:date="2025-05-09T11:00:00Z">
        <w:r w:rsidRPr="00295E71">
          <w:rPr>
            <w:sz w:val="22"/>
            <w:szCs w:val="22"/>
          </w:rPr>
          <w:delText>Humira è impiegato per il trattamento di:</w:delText>
        </w:r>
      </w:del>
    </w:p>
    <w:p w:rsidR="006224C2" w:rsidRPr="00295E71" w14:paraId="2CEC11C4" w14:textId="77777777">
      <w:pPr>
        <w:pStyle w:val="ListParagraph"/>
        <w:numPr>
          <w:ilvl w:val="0"/>
          <w:numId w:val="38"/>
        </w:numPr>
        <w:tabs>
          <w:tab w:val="num" w:pos="567"/>
          <w:tab w:val="clear" w:pos="720"/>
        </w:tabs>
        <w:ind w:left="567" w:right="-2"/>
        <w:jc w:val="both"/>
        <w:rPr>
          <w:del w:id="18429" w:author="AbbVie14" w:date="2025-05-09T11:00:00Z"/>
          <w:sz w:val="22"/>
          <w:szCs w:val="22"/>
        </w:rPr>
      </w:pPr>
      <w:del w:id="18430" w:author="AbbVie14" w:date="2025-05-09T11:00:00Z">
        <w:r w:rsidRPr="00295E71">
          <w:rPr>
            <w:sz w:val="22"/>
            <w:szCs w:val="22"/>
          </w:rPr>
          <w:delText xml:space="preserve">Adulti </w:delText>
        </w:r>
      </w:del>
      <w:del w:id="18431" w:author="AbbVie14" w:date="2025-05-09T11:00:00Z">
        <w:r w:rsidRPr="00295E71" w:rsidR="00224E13">
          <w:rPr>
            <w:sz w:val="22"/>
            <w:szCs w:val="22"/>
          </w:rPr>
          <w:delText>con</w:delText>
        </w:r>
      </w:del>
      <w:del w:id="18432" w:author="AbbVie14" w:date="2025-05-09T11:00:00Z">
        <w:r w:rsidRPr="00295E71">
          <w:rPr>
            <w:sz w:val="22"/>
            <w:szCs w:val="22"/>
          </w:rPr>
          <w:delText xml:space="preserve"> uveite non infettiva con infiammazione che interessa il fondo dell’occhio </w:delText>
        </w:r>
      </w:del>
    </w:p>
    <w:p w:rsidR="006224C2" w:rsidRPr="00295E71" w14:paraId="77725C00" w14:textId="77777777">
      <w:pPr>
        <w:pStyle w:val="ListParagraph"/>
        <w:numPr>
          <w:ilvl w:val="0"/>
          <w:numId w:val="38"/>
        </w:numPr>
        <w:tabs>
          <w:tab w:val="num" w:pos="567"/>
          <w:tab w:val="clear" w:pos="720"/>
        </w:tabs>
        <w:ind w:left="567" w:right="-2"/>
        <w:jc w:val="both"/>
        <w:rPr>
          <w:del w:id="18433" w:author="AbbVie14" w:date="2025-05-09T11:00:00Z"/>
          <w:sz w:val="22"/>
          <w:szCs w:val="22"/>
        </w:rPr>
      </w:pPr>
      <w:del w:id="18434" w:author="AbbVie14" w:date="2025-05-09T11:00:00Z">
        <w:r w:rsidRPr="00295E71">
          <w:rPr>
            <w:sz w:val="22"/>
            <w:szCs w:val="22"/>
          </w:rPr>
          <w:delText>Bambini dai 2 anni di età con uveite cronica non infettiva con infiammazione che interessa la parte anteriore dell’occhio</w:delText>
        </w:r>
      </w:del>
    </w:p>
    <w:p w:rsidR="006224C2" w:rsidRPr="00295E71" w14:paraId="794056FF" w14:textId="77777777">
      <w:pPr>
        <w:numPr>
          <w:ilvl w:val="12"/>
          <w:numId w:val="0"/>
        </w:numPr>
        <w:tabs>
          <w:tab w:val="left" w:pos="567"/>
        </w:tabs>
        <w:ind w:right="-2"/>
        <w:jc w:val="both"/>
        <w:rPr>
          <w:del w:id="18435" w:author="AbbVie14" w:date="2025-05-09T11:00:00Z"/>
          <w:sz w:val="22"/>
          <w:szCs w:val="22"/>
        </w:rPr>
      </w:pPr>
    </w:p>
    <w:p w:rsidR="006224C2" w:rsidRPr="00295E71" w14:paraId="34565D2A" w14:textId="77777777">
      <w:pPr>
        <w:numPr>
          <w:ilvl w:val="12"/>
          <w:numId w:val="0"/>
        </w:numPr>
        <w:tabs>
          <w:tab w:val="left" w:pos="567"/>
        </w:tabs>
        <w:ind w:right="-2"/>
        <w:jc w:val="both"/>
        <w:rPr>
          <w:del w:id="18436" w:author="AbbVie14" w:date="2025-05-09T11:00:00Z"/>
          <w:sz w:val="22"/>
          <w:szCs w:val="22"/>
        </w:rPr>
      </w:pPr>
      <w:del w:id="18437" w:author="AbbVie14" w:date="2025-05-09T11:00:00Z">
        <w:r w:rsidRPr="00295E71">
          <w:rPr>
            <w:sz w:val="22"/>
            <w:szCs w:val="22"/>
          </w:rPr>
          <w:delText>Questa infiammazione può portare a una diminuzione della visione e/o alla presenza di corpi mobili nell’occhio (punti neri o linee sottili che si muovono attraverso il campo visivo). Humira agisce riducendo questa infiammazione.</w:delText>
        </w:r>
      </w:del>
    </w:p>
    <w:p w:rsidR="006224C2" w:rsidRPr="00295E71" w14:paraId="7040D6B7" w14:textId="77777777">
      <w:pPr>
        <w:numPr>
          <w:ilvl w:val="12"/>
          <w:numId w:val="0"/>
        </w:numPr>
        <w:tabs>
          <w:tab w:val="left" w:pos="567"/>
        </w:tabs>
        <w:ind w:right="-2"/>
        <w:jc w:val="both"/>
        <w:rPr>
          <w:del w:id="18438" w:author="AbbVie14" w:date="2025-05-09T11:00:00Z"/>
          <w:sz w:val="22"/>
          <w:szCs w:val="22"/>
        </w:rPr>
      </w:pPr>
    </w:p>
    <w:p w:rsidR="006224C2" w:rsidRPr="00295E71" w14:paraId="027A2F1C" w14:textId="77777777">
      <w:pPr>
        <w:numPr>
          <w:ilvl w:val="12"/>
          <w:numId w:val="0"/>
        </w:numPr>
        <w:tabs>
          <w:tab w:val="left" w:pos="567"/>
        </w:tabs>
        <w:ind w:right="-2"/>
        <w:jc w:val="both"/>
        <w:rPr>
          <w:del w:id="18439" w:author="AbbVie14" w:date="2025-05-09T11:00:00Z"/>
          <w:sz w:val="22"/>
          <w:szCs w:val="22"/>
        </w:rPr>
      </w:pPr>
    </w:p>
    <w:p w:rsidR="006224C2" w:rsidRPr="00295E71" w14:paraId="246DE5C5" w14:textId="77777777">
      <w:pPr>
        <w:numPr>
          <w:ilvl w:val="12"/>
          <w:numId w:val="0"/>
        </w:numPr>
        <w:tabs>
          <w:tab w:val="left" w:pos="567"/>
        </w:tabs>
        <w:ind w:left="567" w:right="-2" w:hanging="567"/>
        <w:jc w:val="both"/>
        <w:rPr>
          <w:del w:id="18440" w:author="AbbVie14" w:date="2025-05-09T11:00:00Z"/>
          <w:b/>
          <w:bCs/>
          <w:sz w:val="22"/>
          <w:szCs w:val="22"/>
        </w:rPr>
      </w:pPr>
      <w:del w:id="18441" w:author="AbbVie14" w:date="2025-05-09T11:00:00Z">
        <w:r w:rsidRPr="00295E71">
          <w:rPr>
            <w:b/>
            <w:bCs/>
            <w:sz w:val="22"/>
            <w:szCs w:val="22"/>
          </w:rPr>
          <w:delText>2.</w:delText>
        </w:r>
      </w:del>
      <w:del w:id="18442" w:author="AbbVie14" w:date="2025-05-09T11:00:00Z">
        <w:r w:rsidRPr="00295E71">
          <w:rPr>
            <w:b/>
            <w:bCs/>
            <w:sz w:val="22"/>
            <w:szCs w:val="22"/>
          </w:rPr>
          <w:tab/>
          <w:delText>Cosa deve sapere prima di usare Humira</w:delText>
        </w:r>
      </w:del>
    </w:p>
    <w:p w:rsidR="006224C2" w:rsidRPr="00295E71" w14:paraId="27146A92" w14:textId="77777777">
      <w:pPr>
        <w:numPr>
          <w:ilvl w:val="12"/>
          <w:numId w:val="0"/>
        </w:numPr>
        <w:tabs>
          <w:tab w:val="left" w:pos="567"/>
        </w:tabs>
        <w:ind w:right="-2"/>
        <w:jc w:val="both"/>
        <w:rPr>
          <w:del w:id="18443" w:author="AbbVie14" w:date="2025-05-09T11:00:00Z"/>
          <w:sz w:val="22"/>
          <w:szCs w:val="22"/>
        </w:rPr>
      </w:pPr>
    </w:p>
    <w:p w:rsidR="006224C2" w:rsidRPr="00295E71" w14:paraId="55492FC4" w14:textId="77777777">
      <w:pPr>
        <w:numPr>
          <w:ilvl w:val="12"/>
          <w:numId w:val="0"/>
        </w:numPr>
        <w:tabs>
          <w:tab w:val="left" w:pos="567"/>
        </w:tabs>
        <w:jc w:val="both"/>
        <w:rPr>
          <w:del w:id="18444" w:author="AbbVie14" w:date="2025-05-09T11:00:00Z"/>
          <w:b/>
          <w:bCs/>
          <w:sz w:val="22"/>
          <w:szCs w:val="22"/>
        </w:rPr>
      </w:pPr>
      <w:del w:id="18445" w:author="AbbVie14" w:date="2025-05-09T11:00:00Z">
        <w:r w:rsidRPr="00295E71">
          <w:rPr>
            <w:b/>
            <w:bCs/>
            <w:sz w:val="22"/>
            <w:szCs w:val="22"/>
          </w:rPr>
          <w:delText>Non usi Humira</w:delText>
        </w:r>
      </w:del>
    </w:p>
    <w:p w:rsidR="006224C2" w:rsidRPr="00295E71" w14:paraId="73BA4C0A" w14:textId="77777777">
      <w:pPr>
        <w:pStyle w:val="EndnoteText"/>
        <w:numPr>
          <w:ilvl w:val="12"/>
          <w:numId w:val="0"/>
        </w:numPr>
        <w:jc w:val="both"/>
        <w:rPr>
          <w:del w:id="18446" w:author="AbbVie14" w:date="2025-05-09T11:01:00Z"/>
          <w:lang w:val="it-IT"/>
        </w:rPr>
      </w:pPr>
    </w:p>
    <w:p w:rsidR="006224C2" w:rsidRPr="00295E71" w14:paraId="4D0413AB" w14:textId="77777777">
      <w:pPr>
        <w:numPr>
          <w:ilvl w:val="0"/>
          <w:numId w:val="5"/>
        </w:numPr>
        <w:tabs>
          <w:tab w:val="clear" w:pos="360"/>
          <w:tab w:val="left" w:pos="540"/>
        </w:tabs>
        <w:ind w:left="540" w:hanging="540"/>
        <w:jc w:val="both"/>
        <w:rPr>
          <w:del w:id="18447" w:author="AbbVie14" w:date="2025-05-09T11:01:00Z"/>
          <w:sz w:val="22"/>
          <w:szCs w:val="22"/>
        </w:rPr>
      </w:pPr>
      <w:del w:id="18448" w:author="AbbVie14" w:date="2025-05-09T11:01:00Z">
        <w:r w:rsidRPr="00295E71">
          <w:rPr>
            <w:sz w:val="22"/>
            <w:szCs w:val="22"/>
          </w:rPr>
          <w:delText>Se è allergico ad adalimumab o ad uno qualsiasi degli altri componenti di questo medicinale (elencati al paragrafo 6).</w:delText>
        </w:r>
      </w:del>
    </w:p>
    <w:p w:rsidR="006224C2" w:rsidRPr="00295E71" w14:paraId="307360A9" w14:textId="77777777">
      <w:pPr>
        <w:tabs>
          <w:tab w:val="left" w:pos="567"/>
        </w:tabs>
        <w:jc w:val="both"/>
        <w:rPr>
          <w:del w:id="18449" w:author="AbbVie14" w:date="2025-05-09T11:01:00Z"/>
          <w:sz w:val="22"/>
          <w:szCs w:val="22"/>
        </w:rPr>
      </w:pPr>
    </w:p>
    <w:p w:rsidR="006224C2" w:rsidRPr="00295E71" w14:paraId="55500F8E" w14:textId="77777777">
      <w:pPr>
        <w:numPr>
          <w:ilvl w:val="0"/>
          <w:numId w:val="5"/>
        </w:numPr>
        <w:tabs>
          <w:tab w:val="clear" w:pos="360"/>
          <w:tab w:val="left" w:pos="540"/>
        </w:tabs>
        <w:ind w:left="540" w:hanging="540"/>
        <w:jc w:val="both"/>
        <w:rPr>
          <w:del w:id="18450" w:author="AbbVie14" w:date="2025-05-09T11:01:00Z"/>
          <w:sz w:val="22"/>
          <w:szCs w:val="22"/>
        </w:rPr>
      </w:pPr>
      <w:del w:id="18451" w:author="AbbVie14" w:date="2025-05-09T11:01:00Z">
        <w:r w:rsidRPr="00295E71">
          <w:rPr>
            <w:sz w:val="22"/>
            <w:szCs w:val="22"/>
          </w:rPr>
          <w:delText>In presenza di un’infezione grave, compresa la tubercolosi attiva (vedere “Avvertenze e precauzioni”). È importante comunicare al medico se ha segni o sintomi di infezione, come per es. febbre, ferite, sensazione di stanchezza, problemi dentali.</w:delText>
        </w:r>
      </w:del>
    </w:p>
    <w:p w:rsidR="006224C2" w:rsidRPr="00295E71" w14:paraId="7B71A475" w14:textId="77777777">
      <w:pPr>
        <w:tabs>
          <w:tab w:val="left" w:pos="567"/>
        </w:tabs>
        <w:jc w:val="both"/>
        <w:rPr>
          <w:del w:id="18452" w:author="AbbVie14" w:date="2025-05-09T11:01:00Z"/>
          <w:sz w:val="22"/>
          <w:szCs w:val="22"/>
        </w:rPr>
      </w:pPr>
    </w:p>
    <w:p w:rsidR="006224C2" w:rsidRPr="00295E71" w14:paraId="51BF0F98" w14:textId="77777777">
      <w:pPr>
        <w:numPr>
          <w:ilvl w:val="0"/>
          <w:numId w:val="5"/>
        </w:numPr>
        <w:tabs>
          <w:tab w:val="clear" w:pos="360"/>
          <w:tab w:val="left" w:pos="540"/>
        </w:tabs>
        <w:ind w:left="540" w:hanging="540"/>
        <w:jc w:val="both"/>
        <w:rPr>
          <w:del w:id="18453" w:author="AbbVie14" w:date="2025-05-09T11:01:00Z"/>
          <w:sz w:val="22"/>
          <w:szCs w:val="22"/>
        </w:rPr>
      </w:pPr>
      <w:del w:id="18454" w:author="AbbVie14" w:date="2025-05-09T11:01:00Z">
        <w:r w:rsidRPr="00295E71">
          <w:rPr>
            <w:sz w:val="22"/>
            <w:szCs w:val="22"/>
          </w:rPr>
          <w:delText>In presenza di insufficienza cardiaca moderata o grave. È importante riferire al medico se c’è stata o è presente una condizione cardiaca grave (vedere “Avvertenze e precauzioni”).</w:delText>
        </w:r>
      </w:del>
    </w:p>
    <w:p w:rsidR="006224C2" w:rsidRPr="00295E71" w14:paraId="29C6140F" w14:textId="77777777">
      <w:pPr>
        <w:pStyle w:val="EndnoteText"/>
        <w:jc w:val="both"/>
        <w:rPr>
          <w:del w:id="18455" w:author="AbbVie14" w:date="2025-05-09T11:01:00Z"/>
          <w:lang w:val="it-IT" w:eastAsia="it-IT"/>
        </w:rPr>
      </w:pPr>
    </w:p>
    <w:p w:rsidR="006224C2" w:rsidRPr="00295E71" w:rsidP="00EE30BE" w14:paraId="2EFC551F" w14:textId="77777777">
      <w:pPr>
        <w:keepNext/>
        <w:tabs>
          <w:tab w:val="left" w:pos="567"/>
        </w:tabs>
        <w:jc w:val="both"/>
        <w:rPr>
          <w:del w:id="18456" w:author="AbbVie14" w:date="2025-05-09T11:01:00Z"/>
          <w:b/>
          <w:bCs/>
          <w:sz w:val="22"/>
          <w:szCs w:val="22"/>
        </w:rPr>
      </w:pPr>
      <w:del w:id="18457" w:author="AbbVie14" w:date="2025-05-09T11:01:00Z">
        <w:r w:rsidRPr="00295E71">
          <w:rPr>
            <w:b/>
            <w:bCs/>
            <w:sz w:val="22"/>
            <w:szCs w:val="22"/>
          </w:rPr>
          <w:delText>Avvertenze e precauzioni</w:delText>
        </w:r>
      </w:del>
    </w:p>
    <w:p w:rsidR="006224C2" w:rsidRPr="00295E71" w:rsidP="00EE30BE" w14:paraId="215A5FA7" w14:textId="77777777">
      <w:pPr>
        <w:pStyle w:val="EndnoteText"/>
        <w:keepNext/>
        <w:jc w:val="both"/>
        <w:rPr>
          <w:del w:id="18458" w:author="AbbVie14" w:date="2025-05-09T11:01:00Z"/>
          <w:lang w:val="it-IT"/>
        </w:rPr>
      </w:pPr>
    </w:p>
    <w:p w:rsidR="006224C2" w:rsidRPr="00295E71" w:rsidP="00EE30BE" w14:paraId="231457E5" w14:textId="77777777">
      <w:pPr>
        <w:keepNext/>
        <w:tabs>
          <w:tab w:val="left" w:pos="540"/>
        </w:tabs>
        <w:jc w:val="both"/>
        <w:rPr>
          <w:del w:id="18459" w:author="AbbVie14" w:date="2025-05-09T11:01:00Z"/>
          <w:sz w:val="22"/>
          <w:szCs w:val="22"/>
        </w:rPr>
      </w:pPr>
      <w:del w:id="18460" w:author="AbbVie14" w:date="2025-05-09T11:01:00Z">
        <w:r w:rsidRPr="00295E71">
          <w:rPr>
            <w:sz w:val="22"/>
            <w:szCs w:val="22"/>
          </w:rPr>
          <w:delText>Si rivolga al medico o al farmacista prima di usare Humira</w:delText>
        </w:r>
      </w:del>
    </w:p>
    <w:p w:rsidR="006224C2" w:rsidRPr="00295E71" w14:paraId="5E7CB7F1" w14:textId="77777777">
      <w:pPr>
        <w:tabs>
          <w:tab w:val="left" w:pos="540"/>
        </w:tabs>
        <w:jc w:val="both"/>
        <w:rPr>
          <w:del w:id="18461" w:author="AbbVie14" w:date="2025-05-09T11:01:00Z"/>
          <w:sz w:val="22"/>
          <w:szCs w:val="22"/>
        </w:rPr>
      </w:pPr>
    </w:p>
    <w:p w:rsidR="006224C2" w:rsidRPr="00295E71" w14:paraId="71A98AE3" w14:textId="77777777">
      <w:pPr>
        <w:numPr>
          <w:ilvl w:val="0"/>
          <w:numId w:val="5"/>
        </w:numPr>
        <w:tabs>
          <w:tab w:val="clear" w:pos="360"/>
          <w:tab w:val="left" w:pos="540"/>
        </w:tabs>
        <w:ind w:left="540" w:hanging="540"/>
        <w:jc w:val="both"/>
        <w:rPr>
          <w:del w:id="18462" w:author="AbbVie14" w:date="2025-05-09T11:01:00Z"/>
          <w:sz w:val="22"/>
          <w:szCs w:val="22"/>
        </w:rPr>
      </w:pPr>
      <w:del w:id="18463" w:author="AbbVie14" w:date="2025-05-09T11:01:00Z">
        <w:r w:rsidRPr="00295E71">
          <w:rPr>
            <w:sz w:val="22"/>
            <w:szCs w:val="22"/>
          </w:rPr>
          <w:delText>In caso di reazioni allegiche con sintomi quali senso d’oppressione toracica, respiro sibilante, capogiro, gonfiore o eruzione cutanea, non si somministri più Humira e contatti il medico immediatamente</w:delText>
        </w:r>
      </w:del>
      <w:del w:id="18464" w:author="AbbVie14" w:date="2025-05-09T11:01:00Z">
        <w:r w:rsidRPr="00295E71" w:rsidR="00D47021">
          <w:rPr>
            <w:sz w:val="22"/>
            <w:szCs w:val="22"/>
          </w:rPr>
          <w:delText xml:space="preserve"> considerato che, in rari casi, queste reazioni possono essere pericolose per la vita</w:delText>
        </w:r>
      </w:del>
      <w:del w:id="18465" w:author="AbbVie14" w:date="2025-05-09T11:01:00Z">
        <w:r w:rsidRPr="00295E71">
          <w:rPr>
            <w:sz w:val="22"/>
            <w:szCs w:val="22"/>
          </w:rPr>
          <w:delText>.</w:delText>
        </w:r>
      </w:del>
      <w:del w:id="18466" w:author="AbbVie14" w:date="2025-05-09T11:01:00Z">
        <w:r w:rsidRPr="00295E71">
          <w:rPr>
            <w:sz w:val="22"/>
            <w:szCs w:val="22"/>
          </w:rPr>
          <w:br/>
        </w:r>
      </w:del>
    </w:p>
    <w:p w:rsidR="006224C2" w:rsidRPr="00295E71" w14:paraId="10422DB7" w14:textId="77777777">
      <w:pPr>
        <w:numPr>
          <w:ilvl w:val="0"/>
          <w:numId w:val="5"/>
        </w:numPr>
        <w:tabs>
          <w:tab w:val="clear" w:pos="360"/>
          <w:tab w:val="left" w:pos="540"/>
        </w:tabs>
        <w:ind w:left="540" w:hanging="540"/>
        <w:jc w:val="both"/>
        <w:rPr>
          <w:del w:id="18467" w:author="AbbVie14" w:date="2025-05-09T11:01:00Z"/>
          <w:sz w:val="22"/>
          <w:szCs w:val="22"/>
        </w:rPr>
      </w:pPr>
      <w:del w:id="18468" w:author="AbbVie14" w:date="2025-05-09T11:01:00Z">
        <w:r w:rsidRPr="00295E71">
          <w:rPr>
            <w:sz w:val="22"/>
            <w:szCs w:val="22"/>
          </w:rPr>
          <w:delText>In caso d’infezione, comprese infezioni a lungo termine o localizzate (per esempio, ulcere alle gambe) consulti il medico prima di iniziare il trattamento con Humira. Se ha dubbi, contatti il medico.</w:delText>
        </w:r>
      </w:del>
    </w:p>
    <w:p w:rsidR="006224C2" w:rsidRPr="00295E71" w14:paraId="55E073B6" w14:textId="77777777">
      <w:pPr>
        <w:numPr>
          <w:ilvl w:val="0"/>
          <w:numId w:val="5"/>
        </w:numPr>
        <w:tabs>
          <w:tab w:val="clear" w:pos="360"/>
          <w:tab w:val="left" w:pos="540"/>
        </w:tabs>
        <w:ind w:left="540" w:hanging="540"/>
        <w:jc w:val="both"/>
        <w:rPr>
          <w:del w:id="18469" w:author="AbbVie14" w:date="2025-05-09T11:01:00Z"/>
          <w:sz w:val="22"/>
          <w:szCs w:val="22"/>
        </w:rPr>
      </w:pPr>
      <w:del w:id="18470" w:author="AbbVie14" w:date="2025-05-09T11:01:00Z">
        <w:r w:rsidRPr="00295E71">
          <w:rPr>
            <w:sz w:val="22"/>
            <w:szCs w:val="22"/>
          </w:rPr>
          <w:delText>È possibile contrarre più facilmente infezioni durante il trattamento con Humira. Questo rischio può aumentare se la sua funzione polmonare è compromessa. Queste infezioni possono essere gravi ed includere tubercolosi, infezioni causate da virus, funghi, parassiti o batteri, o altre infezioni opportunistiche e sepsi che possono, in rari casi, essere rischiose per la vita del paziente. È importante comunicare al medico la presenza di sintomi quali febbre, ferite, sensazione di stanchezza o problemi dentali. Il medico potrebbe consigliare la sospensione temporanea di Humira.</w:delText>
        </w:r>
      </w:del>
    </w:p>
    <w:p w:rsidR="006224C2" w:rsidRPr="00295E71" w14:paraId="1EC3E9BB" w14:textId="77777777">
      <w:pPr>
        <w:tabs>
          <w:tab w:val="left" w:pos="540"/>
        </w:tabs>
        <w:ind w:left="540"/>
        <w:jc w:val="both"/>
        <w:rPr>
          <w:del w:id="18471" w:author="AbbVie14" w:date="2025-05-09T11:01:00Z"/>
          <w:sz w:val="22"/>
          <w:szCs w:val="22"/>
        </w:rPr>
      </w:pPr>
    </w:p>
    <w:p w:rsidR="006224C2" w:rsidRPr="00295E71" w14:paraId="5CEA71E4" w14:textId="77777777">
      <w:pPr>
        <w:pStyle w:val="ListParagraph"/>
        <w:numPr>
          <w:ilvl w:val="0"/>
          <w:numId w:val="89"/>
        </w:numPr>
        <w:ind w:left="539" w:hanging="539"/>
        <w:rPr>
          <w:del w:id="18472" w:author="AbbVie14" w:date="2025-05-09T11:01:00Z"/>
          <w:sz w:val="22"/>
          <w:szCs w:val="22"/>
        </w:rPr>
      </w:pPr>
      <w:del w:id="18473" w:author="AbbVie14" w:date="2025-05-09T11:01:00Z">
        <w:r w:rsidRPr="00295E71">
          <w:rPr>
            <w:sz w:val="22"/>
            <w:szCs w:val="22"/>
          </w:rPr>
          <w:delText>Poiché si sono verificati dei casi di tubercolosi in pazienti sottoposti a trattamento con Humira, il medico dovrà controllare se presenta segni o sintomi tipici della tubercolosi prima di iniziare la terapia con Humira. Questo comporterà la raccolta di una valutazione medica dettagliata che includa la sua anamnesi e appropriati esami clinici (per es. una radiografia del torace e il test alla tubercolina). L’esecuzione e i risultati di tali esami devono essere registrati nella</w:delText>
        </w:r>
      </w:del>
      <w:del w:id="18474" w:author="AbbVie14" w:date="2025-05-09T11:01:00Z">
        <w:r w:rsidR="00E15A82">
          <w:rPr>
            <w:sz w:val="22"/>
            <w:szCs w:val="22"/>
          </w:rPr>
          <w:delText xml:space="preserve"> </w:delText>
        </w:r>
      </w:del>
      <w:del w:id="18475" w:author="AbbVie14" w:date="2025-05-09T11:01:00Z">
        <w:r w:rsidRPr="000D0B9B" w:rsidR="00E15A82">
          <w:rPr>
            <w:b/>
            <w:sz w:val="22"/>
            <w:szCs w:val="22"/>
          </w:rPr>
          <w:delText>Scheda Promemoria per il Paziente</w:delText>
        </w:r>
      </w:del>
      <w:del w:id="18476" w:author="AbbVie14" w:date="2025-05-09T11:01:00Z">
        <w:r w:rsidRPr="00295E71">
          <w:rPr>
            <w:sz w:val="22"/>
            <w:szCs w:val="22"/>
          </w:rPr>
          <w:delText>. È molto importante comunicare al medico se ha mai avuto la tubercolosi, o se ha avuto contatti ravvicinati con malati di tubercolosi. La tubercolosi si può manifestare durante la terapia nonostante lei abbia ricevuto un trattamento preventivo per la tubercolosi. Contatti immediatamente il medico se durante o dopo la terapia compaiono sintomi di tubercolosi (tosse persistente, perdita di peso, svogliatezza, febbre moderata) o di altre infezioni.</w:delText>
        </w:r>
      </w:del>
    </w:p>
    <w:p w:rsidR="006224C2" w:rsidRPr="00295E71" w14:paraId="29201232" w14:textId="77777777">
      <w:pPr>
        <w:tabs>
          <w:tab w:val="left" w:pos="567"/>
        </w:tabs>
        <w:ind w:left="567"/>
        <w:jc w:val="both"/>
        <w:rPr>
          <w:del w:id="18477" w:author="AbbVie14" w:date="2025-05-09T11:01:00Z"/>
          <w:sz w:val="22"/>
          <w:szCs w:val="22"/>
        </w:rPr>
      </w:pPr>
    </w:p>
    <w:p w:rsidR="006224C2" w:rsidRPr="00295E71" w14:paraId="4E66BDE3" w14:textId="77777777">
      <w:pPr>
        <w:numPr>
          <w:ilvl w:val="0"/>
          <w:numId w:val="5"/>
        </w:numPr>
        <w:tabs>
          <w:tab w:val="clear" w:pos="360"/>
          <w:tab w:val="left" w:pos="540"/>
        </w:tabs>
        <w:ind w:left="540" w:hanging="540"/>
        <w:jc w:val="both"/>
        <w:rPr>
          <w:del w:id="18478" w:author="AbbVie14" w:date="2025-05-09T11:01:00Z"/>
          <w:sz w:val="22"/>
          <w:szCs w:val="22"/>
        </w:rPr>
      </w:pPr>
      <w:del w:id="18479" w:author="AbbVie14" w:date="2025-05-09T11:01:00Z">
        <w:r w:rsidRPr="00295E71">
          <w:rPr>
            <w:sz w:val="22"/>
            <w:szCs w:val="22"/>
          </w:rPr>
          <w:delText>Avvisi il medico se risiede o viaggia in regioni dove le infezioni fungine, come l’istoplasmosi, la coccidioidomicosi o la blastomicosi, sono endemiche.</w:delText>
        </w:r>
      </w:del>
    </w:p>
    <w:p w:rsidR="006224C2" w:rsidRPr="00295E71" w14:paraId="568F905E" w14:textId="77777777">
      <w:pPr>
        <w:tabs>
          <w:tab w:val="left" w:pos="567"/>
        </w:tabs>
        <w:ind w:left="567"/>
        <w:jc w:val="both"/>
        <w:rPr>
          <w:del w:id="18480" w:author="AbbVie14" w:date="2025-05-09T11:01:00Z"/>
          <w:sz w:val="22"/>
          <w:szCs w:val="22"/>
        </w:rPr>
      </w:pPr>
    </w:p>
    <w:p w:rsidR="006224C2" w:rsidRPr="00295E71" w14:paraId="5CA25D5C" w14:textId="77777777">
      <w:pPr>
        <w:numPr>
          <w:ilvl w:val="0"/>
          <w:numId w:val="5"/>
        </w:numPr>
        <w:tabs>
          <w:tab w:val="clear" w:pos="360"/>
          <w:tab w:val="left" w:pos="540"/>
        </w:tabs>
        <w:ind w:left="540" w:hanging="540"/>
        <w:jc w:val="both"/>
        <w:rPr>
          <w:del w:id="18481" w:author="AbbVie14" w:date="2025-05-09T11:01:00Z"/>
          <w:sz w:val="22"/>
          <w:szCs w:val="22"/>
        </w:rPr>
      </w:pPr>
      <w:del w:id="18482" w:author="AbbVie14" w:date="2025-05-09T11:01:00Z">
        <w:r w:rsidRPr="00295E71">
          <w:rPr>
            <w:sz w:val="22"/>
            <w:szCs w:val="22"/>
          </w:rPr>
          <w:delText>Avvisi il medico se ha avuto infezioni recidivanti o se presenta condizioni che aumentano il rischio di infezione.</w:delText>
        </w:r>
      </w:del>
    </w:p>
    <w:p w:rsidR="006224C2" w:rsidRPr="00295E71" w14:paraId="5BE46BE3" w14:textId="77777777">
      <w:pPr>
        <w:rPr>
          <w:del w:id="18483" w:author="AbbVie14" w:date="2025-05-09T11:01:00Z"/>
          <w:sz w:val="22"/>
          <w:szCs w:val="22"/>
        </w:rPr>
      </w:pPr>
    </w:p>
    <w:p w:rsidR="006224C2" w:rsidRPr="00295E71" w14:paraId="650BB8A8" w14:textId="77777777">
      <w:pPr>
        <w:numPr>
          <w:ilvl w:val="0"/>
          <w:numId w:val="5"/>
        </w:numPr>
        <w:tabs>
          <w:tab w:val="clear" w:pos="360"/>
          <w:tab w:val="left" w:pos="540"/>
        </w:tabs>
        <w:ind w:left="540" w:hanging="540"/>
        <w:jc w:val="both"/>
        <w:rPr>
          <w:del w:id="18484" w:author="AbbVie14" w:date="2025-05-09T11:01:00Z"/>
          <w:sz w:val="22"/>
          <w:szCs w:val="22"/>
        </w:rPr>
      </w:pPr>
      <w:del w:id="18485" w:author="AbbVie14" w:date="2025-05-09T11:01:00Z">
        <w:r w:rsidRPr="00295E71">
          <w:rPr>
            <w:sz w:val="22"/>
            <w:szCs w:val="22"/>
          </w:rPr>
          <w:delText>Comunichi al medico se lei è portatore del virus dell’epatite B (HBV), se ha un’infezione in fase attiva da virus dell’epatite B o se pensa di poter essere a rischio di contrarre il virus dell’epatite B. Il medico la deve testare per l’infezione da virus dell’epatite B. L’assunzione di Humira può causare la riattivazione del virus dell’epatite B nei soggetti che risultano portatori di questo virus. In alcuni rari casi, soprattutto se il paziente è sottoposto a terapia con altri farmaci che sopprimono il sistema immunitario, la riattivazione del virus dell’epatite B può mettere a repentaglio la vita del paziente.</w:delText>
        </w:r>
      </w:del>
    </w:p>
    <w:p w:rsidR="006224C2" w:rsidRPr="00295E71" w14:paraId="0DB7F308" w14:textId="77777777">
      <w:pPr>
        <w:tabs>
          <w:tab w:val="left" w:pos="540"/>
        </w:tabs>
        <w:jc w:val="both"/>
        <w:rPr>
          <w:del w:id="18486" w:author="AbbVie14" w:date="2025-05-09T11:01:00Z"/>
          <w:sz w:val="22"/>
          <w:szCs w:val="22"/>
        </w:rPr>
      </w:pPr>
    </w:p>
    <w:p w:rsidR="006224C2" w:rsidRPr="00295E71" w14:paraId="64F31FE5" w14:textId="77777777">
      <w:pPr>
        <w:numPr>
          <w:ilvl w:val="0"/>
          <w:numId w:val="5"/>
        </w:numPr>
        <w:tabs>
          <w:tab w:val="clear" w:pos="360"/>
          <w:tab w:val="left" w:pos="540"/>
        </w:tabs>
        <w:ind w:left="540" w:hanging="540"/>
        <w:jc w:val="both"/>
        <w:rPr>
          <w:del w:id="18487" w:author="AbbVie14" w:date="2025-05-09T11:01:00Z"/>
          <w:sz w:val="22"/>
          <w:szCs w:val="22"/>
        </w:rPr>
      </w:pPr>
      <w:del w:id="18488" w:author="AbbVie14" w:date="2025-05-09T11:01:00Z">
        <w:r w:rsidRPr="00295E71">
          <w:rPr>
            <w:sz w:val="22"/>
            <w:szCs w:val="22"/>
          </w:rPr>
          <w:delText>Se ha più di 65 anni può essere più suscettibile ad infezioni durante l’assunzione di Humira. Lei e il medico dovete prestare particolare attenzione a segni di infezione mentre è in trattamento con Humira. È importante informare il medico se compaiono i sintomi di infezioni quali febbre, ferite, sensazione di stanchezza o problemi dentali.</w:delText>
        </w:r>
      </w:del>
    </w:p>
    <w:p w:rsidR="006224C2" w:rsidRPr="00295E71" w14:paraId="5E1B718D" w14:textId="77777777">
      <w:pPr>
        <w:tabs>
          <w:tab w:val="left" w:pos="567"/>
        </w:tabs>
        <w:jc w:val="both"/>
        <w:rPr>
          <w:del w:id="18489" w:author="AbbVie14" w:date="2025-05-09T11:01:00Z"/>
          <w:sz w:val="22"/>
          <w:szCs w:val="22"/>
        </w:rPr>
      </w:pPr>
    </w:p>
    <w:p w:rsidR="006224C2" w:rsidRPr="00295E71" w14:paraId="5DE01480" w14:textId="77777777">
      <w:pPr>
        <w:numPr>
          <w:ilvl w:val="0"/>
          <w:numId w:val="5"/>
        </w:numPr>
        <w:tabs>
          <w:tab w:val="clear" w:pos="360"/>
          <w:tab w:val="left" w:pos="540"/>
        </w:tabs>
        <w:ind w:left="540" w:hanging="540"/>
        <w:jc w:val="both"/>
        <w:rPr>
          <w:del w:id="18490" w:author="AbbVie14" w:date="2025-05-09T11:01:00Z"/>
          <w:sz w:val="22"/>
          <w:szCs w:val="22"/>
        </w:rPr>
      </w:pPr>
      <w:del w:id="18491" w:author="AbbVie14" w:date="2025-05-09T11:01:00Z">
        <w:r w:rsidRPr="00295E71">
          <w:rPr>
            <w:sz w:val="22"/>
            <w:szCs w:val="22"/>
          </w:rPr>
          <w:delText>Prima di un intervento chirurgico o procedure dentistiche, informi il medico che sta prendendo Humira. Il medico potrebbe consigliare la sospensione temporanea.</w:delText>
        </w:r>
      </w:del>
      <w:del w:id="18492" w:author="AbbVie14" w:date="2025-05-09T11:01:00Z">
        <w:r w:rsidRPr="00295E71">
          <w:rPr>
            <w:sz w:val="22"/>
            <w:szCs w:val="22"/>
          </w:rPr>
          <w:br/>
        </w:r>
      </w:del>
    </w:p>
    <w:p w:rsidR="006224C2" w:rsidRPr="00295E71" w14:paraId="787F4A03" w14:textId="77777777">
      <w:pPr>
        <w:numPr>
          <w:ilvl w:val="0"/>
          <w:numId w:val="5"/>
        </w:numPr>
        <w:tabs>
          <w:tab w:val="clear" w:pos="360"/>
          <w:tab w:val="left" w:pos="540"/>
        </w:tabs>
        <w:ind w:left="540" w:hanging="540"/>
        <w:jc w:val="both"/>
        <w:rPr>
          <w:del w:id="18493" w:author="AbbVie14" w:date="2025-05-09T11:01:00Z"/>
          <w:sz w:val="22"/>
          <w:szCs w:val="22"/>
        </w:rPr>
      </w:pPr>
      <w:del w:id="18494" w:author="AbbVie14" w:date="2025-05-09T11:01:00Z">
        <w:r w:rsidRPr="00295E71">
          <w:rPr>
            <w:sz w:val="22"/>
            <w:szCs w:val="22"/>
          </w:rPr>
          <w:delText>Se è affetto da o sviluppa malattie demielinizzanti come la sclerosi multipla, il medico deciderà se è il caso di iniziare o continuare a ricevere il trattamento con Humira. Informi il medico immediatamente nel caso in cui lei manifesti sintomi quali variazioni nella visione, debolezza di braccia o gambe o intorpidimento o formicolio che interessi qualsiasi parte del corpo.</w:delText>
        </w:r>
      </w:del>
    </w:p>
    <w:p w:rsidR="006224C2" w:rsidRPr="00295E71" w14:paraId="46475B49" w14:textId="77777777">
      <w:pPr>
        <w:tabs>
          <w:tab w:val="left" w:pos="540"/>
          <w:tab w:val="left" w:pos="567"/>
        </w:tabs>
        <w:ind w:left="540" w:hanging="483"/>
        <w:jc w:val="both"/>
        <w:rPr>
          <w:del w:id="18495" w:author="AbbVie14" w:date="2025-05-09T11:01:00Z"/>
          <w:sz w:val="22"/>
          <w:szCs w:val="22"/>
        </w:rPr>
      </w:pPr>
    </w:p>
    <w:p w:rsidR="006224C2" w:rsidRPr="00295E71" w14:paraId="3A85E5A6" w14:textId="77777777">
      <w:pPr>
        <w:numPr>
          <w:ilvl w:val="0"/>
          <w:numId w:val="5"/>
        </w:numPr>
        <w:tabs>
          <w:tab w:val="clear" w:pos="360"/>
          <w:tab w:val="left" w:pos="540"/>
        </w:tabs>
        <w:ind w:left="540" w:hanging="540"/>
        <w:jc w:val="both"/>
        <w:rPr>
          <w:del w:id="18496" w:author="AbbVie14" w:date="2025-05-09T11:01:00Z"/>
          <w:sz w:val="22"/>
          <w:szCs w:val="22"/>
        </w:rPr>
      </w:pPr>
      <w:del w:id="18497" w:author="AbbVie14" w:date="2025-05-09T11:01:00Z">
        <w:r w:rsidRPr="00295E71">
          <w:rPr>
            <w:sz w:val="22"/>
            <w:szCs w:val="22"/>
          </w:rPr>
          <w:delText>Certi vaccini possono causare infezioni e non devono essere somministrati durante il trattamento con Humira. Consulti il medico prima di sottoporsi a vaccinazioni. Nei bambini, prima di iniziare la terapia a base di Humira, si consiglia, se possibile, di attuare il programma di vaccinazioni previsto, in ottemperanza alle linee guida in vigore sulle vaccinazioni. Se ha assunto Humira durante la gravidanza, il bambino potrebbe avere un maggior rischio di contrarre tale infezione fino a circa 5 mesi dopo dall’ultima somministrazione che lei ha assunto durante la gravidanza. È importante che lei riferisca al pediatra o ad altro operatore sanitario del suo utilizzo di Humira durante la gravidanza, cosicché possano decidere quando il bambino deve ricevere qualsiasi tipo di vaccinazione.</w:delText>
        </w:r>
      </w:del>
    </w:p>
    <w:p w:rsidR="006224C2" w:rsidRPr="00295E71" w14:paraId="3DC7DAE2" w14:textId="77777777">
      <w:pPr>
        <w:tabs>
          <w:tab w:val="left" w:pos="567"/>
        </w:tabs>
        <w:jc w:val="both"/>
        <w:rPr>
          <w:del w:id="18498" w:author="AbbVie14" w:date="2025-05-09T11:01:00Z"/>
          <w:sz w:val="22"/>
          <w:szCs w:val="22"/>
        </w:rPr>
      </w:pPr>
    </w:p>
    <w:p w:rsidR="006224C2" w:rsidRPr="00295E71" w14:paraId="3724F82E" w14:textId="77777777">
      <w:pPr>
        <w:numPr>
          <w:ilvl w:val="0"/>
          <w:numId w:val="5"/>
        </w:numPr>
        <w:tabs>
          <w:tab w:val="clear" w:pos="360"/>
          <w:tab w:val="left" w:pos="540"/>
        </w:tabs>
        <w:ind w:left="540" w:hanging="540"/>
        <w:jc w:val="both"/>
        <w:rPr>
          <w:del w:id="18499" w:author="AbbVie14" w:date="2025-05-09T11:01:00Z"/>
          <w:sz w:val="22"/>
          <w:szCs w:val="22"/>
        </w:rPr>
      </w:pPr>
      <w:del w:id="18500" w:author="AbbVie14" w:date="2025-05-09T11:01:00Z">
        <w:r w:rsidRPr="00295E71">
          <w:rPr>
            <w:sz w:val="22"/>
            <w:szCs w:val="22"/>
          </w:rPr>
          <w:delText>In caso di lieve insufficienza cardiaca e di concomitante trattamento con Humira, il medico dovrà attentamente valutare e seguire lo stato del suo cuore. È importante informare il medico in merito a eventuali problemi al cuore, sia passati che presenti. Se appaiono nuovi sintomi di insufficienza cardiaca o se i sintomi già esistenti dovessero peggiorare (per esempio, respiro corto o gonfiore dei piedi), contatti immediatamente il medico. Il medico deciderà se è possibile usare Humira.</w:delText>
        </w:r>
      </w:del>
    </w:p>
    <w:p w:rsidR="006224C2" w:rsidRPr="00295E71" w14:paraId="2051BBA7" w14:textId="77777777">
      <w:pPr>
        <w:tabs>
          <w:tab w:val="left" w:pos="540"/>
        </w:tabs>
        <w:ind w:left="540"/>
        <w:jc w:val="both"/>
        <w:rPr>
          <w:del w:id="18501" w:author="AbbVie14" w:date="2025-05-09T11:01:00Z"/>
          <w:sz w:val="22"/>
          <w:szCs w:val="22"/>
        </w:rPr>
      </w:pPr>
    </w:p>
    <w:p w:rsidR="006224C2" w:rsidRPr="00295E71" w:rsidP="00FE3C0F" w14:paraId="7A98BF52" w14:textId="77777777">
      <w:pPr>
        <w:pStyle w:val="ListParagraph"/>
        <w:numPr>
          <w:ilvl w:val="0"/>
          <w:numId w:val="89"/>
        </w:numPr>
        <w:ind w:left="539" w:hanging="539"/>
        <w:rPr>
          <w:del w:id="18502" w:author="AbbVie14" w:date="2025-05-09T11:01:00Z"/>
          <w:sz w:val="22"/>
          <w:szCs w:val="22"/>
        </w:rPr>
      </w:pPr>
      <w:del w:id="18503" w:author="AbbVie14" w:date="2025-05-09T11:01:00Z">
        <w:r w:rsidRPr="00295E71">
          <w:rPr>
            <w:sz w:val="22"/>
            <w:szCs w:val="22"/>
          </w:rPr>
          <w:delText>In alcuni pazienti l’organismo può non essere in grado di produrre un quantitativo di cellule ematiche sufficiente e tale da aiutarlo a combattere le infezioni o ad arrestare un’emorragia. Nel caso in cui lei abbia febbre persistente, lividi o facilità di emorragie o pallore, si rivolga immediatamente al medico. Quest’ultimo potrebbe decidere di interrompere la terapia.</w:delText>
        </w:r>
      </w:del>
      <w:del w:id="18504" w:author="AbbVie14" w:date="2025-05-09T11:01:00Z">
        <w:r w:rsidRPr="00295E71">
          <w:rPr>
            <w:sz w:val="22"/>
            <w:szCs w:val="22"/>
          </w:rPr>
          <w:br/>
        </w:r>
      </w:del>
    </w:p>
    <w:p w:rsidR="006224C2" w:rsidRPr="00295E71" w:rsidP="00FE3C0F" w14:paraId="50F09BD5" w14:textId="77777777">
      <w:pPr>
        <w:numPr>
          <w:ilvl w:val="0"/>
          <w:numId w:val="5"/>
        </w:numPr>
        <w:tabs>
          <w:tab w:val="clear" w:pos="360"/>
          <w:tab w:val="left" w:pos="540"/>
        </w:tabs>
        <w:ind w:left="540" w:hanging="540"/>
        <w:jc w:val="both"/>
        <w:rPr>
          <w:del w:id="18505" w:author="AbbVie14" w:date="2025-05-09T11:01:00Z"/>
          <w:sz w:val="22"/>
          <w:szCs w:val="22"/>
        </w:rPr>
      </w:pPr>
      <w:del w:id="18506" w:author="AbbVie14" w:date="2025-05-09T11:01:00Z">
        <w:r w:rsidRPr="00295E71">
          <w:rPr>
            <w:sz w:val="22"/>
            <w:szCs w:val="22"/>
          </w:rPr>
          <w:delText xml:space="preserve">Nei pazienti, sia bambini sia adulti, sottoposti a trattamento con Humira o con altri farmaci anti-TNF, si sono manifestati molto raramente alcuni tipi di tumori. I pazienti </w:delText>
        </w:r>
      </w:del>
      <w:del w:id="18507" w:author="AbbVie14" w:date="2025-05-09T11:01:00Z">
        <w:r w:rsidRPr="00295E71" w:rsidR="00224E13">
          <w:rPr>
            <w:sz w:val="22"/>
            <w:szCs w:val="22"/>
          </w:rPr>
          <w:delText>con</w:delText>
        </w:r>
      </w:del>
      <w:del w:id="18508" w:author="AbbVie14" w:date="2025-05-09T11:01:00Z">
        <w:r w:rsidRPr="00295E71">
          <w:rPr>
            <w:sz w:val="22"/>
            <w:szCs w:val="22"/>
          </w:rPr>
          <w:delText xml:space="preserve"> artrite reumatoide di grave entità da molto tempo possono presentare un rischio superiore alla media di sviluppare un linfoma (un tumore che colpisce il sistema linfatico) e leucemia (un tumore che colpisce il sangue e il midollo osseo). Se lei assume Humira, il rischio di contrarre linfomi, leucemia o altri tumori può aumentare. In rare circostanze, nei pazienti sottoposti a terapia con Humira, è stato osservato un tipo specifico e grave di linfoma. Alcuni di questi pazienti erano anche in terapia con azatioprina o 6-mercaptopurina. Avvisi il medico se sta assumendo azatioprina o 6-mercaptopurina con Humira. Inoltre, nei pazienti che assumono Humira, sono stati osservati casi di carcinoma cutaneo non melanotico. Se dovessero comparire nuove lesioni cutanee nel corso della terapia o successivamente ad essa o se l’aspetto delle lesioni già esistenti si dovesse modificare, lo riferisca al medico.</w:delText>
        </w:r>
      </w:del>
    </w:p>
    <w:p w:rsidR="006224C2" w:rsidRPr="00295E71" w:rsidP="00FE3C0F" w14:paraId="39971BB6" w14:textId="77777777">
      <w:pPr>
        <w:tabs>
          <w:tab w:val="left" w:pos="567"/>
        </w:tabs>
        <w:jc w:val="both"/>
        <w:rPr>
          <w:del w:id="18509" w:author="AbbVie14" w:date="2025-05-09T11:01:00Z"/>
          <w:sz w:val="22"/>
          <w:szCs w:val="22"/>
        </w:rPr>
      </w:pPr>
    </w:p>
    <w:p w:rsidR="006224C2" w:rsidRPr="00295E71" w:rsidP="00FE3C0F" w14:paraId="750EED15" w14:textId="77777777">
      <w:pPr>
        <w:numPr>
          <w:ilvl w:val="0"/>
          <w:numId w:val="5"/>
        </w:numPr>
        <w:tabs>
          <w:tab w:val="clear" w:pos="360"/>
          <w:tab w:val="left" w:pos="540"/>
        </w:tabs>
        <w:ind w:left="540" w:hanging="540"/>
        <w:jc w:val="both"/>
        <w:rPr>
          <w:del w:id="18510" w:author="AbbVie14" w:date="2025-05-09T11:01:00Z"/>
          <w:sz w:val="22"/>
          <w:szCs w:val="22"/>
        </w:rPr>
      </w:pPr>
      <w:del w:id="18511" w:author="AbbVie14" w:date="2025-05-09T11:01:00Z">
        <w:r w:rsidRPr="00295E71">
          <w:rPr>
            <w:sz w:val="22"/>
            <w:szCs w:val="22"/>
          </w:rPr>
          <w:delText>Ci sono stati casi di neoplasie, oltre al linfoma, in pazienti con uno specifico tipo di malattia del polmone chiamata Malattia Polmonare Cronica Ostruttiva (COPD) trattati con un altro anti-TNF. Se soffre di COPD, o fuma molto, deve discutere con il medico se è appropriato il trattamento con un anti-TNF.</w:delText>
        </w:r>
      </w:del>
    </w:p>
    <w:p w:rsidR="00BC55CA" w:rsidRPr="00295E71" w:rsidP="00FE3C0F" w14:paraId="58AA21E8" w14:textId="77777777">
      <w:pPr>
        <w:tabs>
          <w:tab w:val="left" w:pos="540"/>
        </w:tabs>
        <w:ind w:left="540"/>
        <w:jc w:val="both"/>
        <w:rPr>
          <w:del w:id="18512" w:author="AbbVie14" w:date="2025-05-09T11:01:00Z"/>
          <w:sz w:val="22"/>
          <w:szCs w:val="22"/>
        </w:rPr>
      </w:pPr>
    </w:p>
    <w:p w:rsidR="00BC55CA" w:rsidRPr="00295E71" w:rsidP="00FE3C0F" w14:paraId="11E3B50C" w14:textId="77777777">
      <w:pPr>
        <w:numPr>
          <w:ilvl w:val="0"/>
          <w:numId w:val="5"/>
        </w:numPr>
        <w:tabs>
          <w:tab w:val="clear" w:pos="360"/>
          <w:tab w:val="left" w:pos="540"/>
        </w:tabs>
        <w:ind w:left="540" w:hanging="540"/>
        <w:jc w:val="both"/>
        <w:rPr>
          <w:del w:id="18513" w:author="AbbVie14" w:date="2025-05-09T11:01:00Z"/>
          <w:sz w:val="22"/>
          <w:szCs w:val="22"/>
        </w:rPr>
      </w:pPr>
      <w:del w:id="18514" w:author="AbbVie14" w:date="2025-05-09T11:01:00Z">
        <w:r w:rsidRPr="00295E71">
          <w:rPr>
            <w:sz w:val="22"/>
            <w:szCs w:val="22"/>
          </w:rPr>
          <w:delText>Raramente, il trattamento con Humira può portare alla manifestazione di una sindrome come il lupus. Informi il medico qualora si manifestino sintomi come eruzione cutanea persistente di natura inspiegabile, febbre, dolore alle articolazioni o affaticamento.</w:delText>
        </w:r>
      </w:del>
    </w:p>
    <w:p w:rsidR="006224C2" w:rsidRPr="00295E71" w:rsidP="00FE3C0F" w14:paraId="67A5592F" w14:textId="77777777">
      <w:pPr>
        <w:tabs>
          <w:tab w:val="left" w:pos="540"/>
        </w:tabs>
        <w:jc w:val="both"/>
        <w:rPr>
          <w:del w:id="18515" w:author="AbbVie14" w:date="2025-05-09T11:01:00Z"/>
          <w:sz w:val="22"/>
          <w:szCs w:val="22"/>
        </w:rPr>
      </w:pPr>
    </w:p>
    <w:p w:rsidR="006224C2" w:rsidRPr="00295E71" w:rsidP="00FE3C0F" w14:paraId="4D5B5962" w14:textId="77777777">
      <w:pPr>
        <w:jc w:val="both"/>
        <w:rPr>
          <w:del w:id="18516" w:author="AbbVie14" w:date="2025-05-09T11:01:00Z"/>
          <w:b/>
          <w:sz w:val="22"/>
          <w:szCs w:val="22"/>
          <w:lang w:eastAsia="en-US"/>
        </w:rPr>
      </w:pPr>
      <w:del w:id="18517" w:author="AbbVie14" w:date="2025-05-09T11:01:00Z">
        <w:r w:rsidRPr="00295E71">
          <w:rPr>
            <w:b/>
            <w:sz w:val="22"/>
            <w:szCs w:val="22"/>
            <w:lang w:eastAsia="en-US"/>
          </w:rPr>
          <w:delText>Bambini e adolescenti</w:delText>
        </w:r>
      </w:del>
    </w:p>
    <w:p w:rsidR="006224C2" w:rsidRPr="00295E71" w:rsidP="00FE3C0F" w14:paraId="4480E15D" w14:textId="77777777">
      <w:pPr>
        <w:jc w:val="both"/>
        <w:rPr>
          <w:del w:id="18518" w:author="AbbVie14" w:date="2025-05-09T11:01:00Z"/>
          <w:sz w:val="22"/>
          <w:szCs w:val="22"/>
          <w:lang w:eastAsia="en-US"/>
        </w:rPr>
      </w:pPr>
    </w:p>
    <w:p w:rsidR="006224C2" w:rsidRPr="00295E71" w:rsidP="00FE3C0F" w14:paraId="1F5281AE" w14:textId="77777777">
      <w:pPr>
        <w:numPr>
          <w:ilvl w:val="0"/>
          <w:numId w:val="49"/>
        </w:numPr>
        <w:tabs>
          <w:tab w:val="num" w:pos="540"/>
          <w:tab w:val="clear" w:pos="720"/>
        </w:tabs>
        <w:ind w:left="540" w:hanging="540"/>
        <w:jc w:val="both"/>
        <w:rPr>
          <w:del w:id="18519" w:author="AbbVie14" w:date="2025-05-09T11:01:00Z"/>
          <w:sz w:val="22"/>
          <w:szCs w:val="22"/>
          <w:lang w:eastAsia="en-US"/>
        </w:rPr>
      </w:pPr>
      <w:del w:id="18520" w:author="AbbVie14" w:date="2025-05-09T11:01:00Z">
        <w:r w:rsidRPr="00295E71">
          <w:rPr>
            <w:sz w:val="22"/>
            <w:szCs w:val="22"/>
            <w:lang w:eastAsia="en-US"/>
          </w:rPr>
          <w:delText>Vaccinazioni: se possibile, i bambini dovrebbero aver già fatto tutte le vaccinazioni prima di usare Humira.</w:delText>
        </w:r>
      </w:del>
    </w:p>
    <w:p w:rsidR="006224C2" w:rsidRPr="00295E71" w:rsidP="00FE3C0F" w14:paraId="3B45C255" w14:textId="77777777">
      <w:pPr>
        <w:jc w:val="both"/>
        <w:rPr>
          <w:del w:id="18521" w:author="AbbVie14" w:date="2025-05-09T11:01:00Z"/>
          <w:sz w:val="22"/>
          <w:szCs w:val="22"/>
          <w:lang w:eastAsia="en-US"/>
        </w:rPr>
      </w:pPr>
    </w:p>
    <w:p w:rsidR="006224C2" w:rsidRPr="00295E71" w:rsidP="00FE3C0F" w14:paraId="7E3D13B6" w14:textId="77777777">
      <w:pPr>
        <w:numPr>
          <w:ilvl w:val="0"/>
          <w:numId w:val="49"/>
        </w:numPr>
        <w:tabs>
          <w:tab w:val="num" w:pos="540"/>
          <w:tab w:val="clear" w:pos="720"/>
        </w:tabs>
        <w:ind w:left="540" w:hanging="540"/>
        <w:jc w:val="both"/>
        <w:rPr>
          <w:del w:id="18522" w:author="AbbVie14" w:date="2025-05-09T11:01:00Z"/>
          <w:sz w:val="22"/>
          <w:szCs w:val="22"/>
          <w:lang w:eastAsia="en-US"/>
        </w:rPr>
      </w:pPr>
      <w:del w:id="18523" w:author="AbbVie14" w:date="2025-05-09T11:01:00Z">
        <w:r w:rsidRPr="00295E71">
          <w:rPr>
            <w:sz w:val="22"/>
            <w:szCs w:val="22"/>
            <w:lang w:eastAsia="en-US"/>
          </w:rPr>
          <w:delText xml:space="preserve">Non dare Humira a bambini con </w:delText>
        </w:r>
      </w:del>
      <w:del w:id="18524" w:author="AbbVie14" w:date="2025-05-09T11:01:00Z">
        <w:r w:rsidRPr="00295E71">
          <w:rPr>
            <w:sz w:val="22"/>
            <w:szCs w:val="22"/>
          </w:rPr>
          <w:delText>artrite idiopatica giovanile poliarticolare di età inferiore ai 2 anni.</w:delText>
        </w:r>
      </w:del>
    </w:p>
    <w:p w:rsidR="006224C2" w:rsidRPr="00295E71" w:rsidP="00FE3C0F" w14:paraId="082A2F59" w14:textId="77777777">
      <w:pPr>
        <w:pStyle w:val="EndnoteText"/>
        <w:jc w:val="both"/>
        <w:rPr>
          <w:del w:id="18525" w:author="AbbVie14" w:date="2025-05-09T11:01:00Z"/>
          <w:lang w:val="it-IT"/>
        </w:rPr>
      </w:pPr>
    </w:p>
    <w:p w:rsidR="006224C2" w:rsidRPr="00295E71" w:rsidP="00FE3C0F" w14:paraId="5567111E" w14:textId="77777777">
      <w:pPr>
        <w:pStyle w:val="Heading9"/>
        <w:keepNext w:val="0"/>
        <w:jc w:val="both"/>
        <w:rPr>
          <w:del w:id="18526" w:author="AbbVie14" w:date="2025-05-09T11:01:00Z"/>
          <w:sz w:val="22"/>
          <w:szCs w:val="22"/>
          <w:lang w:val="it-IT" w:eastAsia="en-US"/>
        </w:rPr>
      </w:pPr>
      <w:del w:id="18527" w:author="AbbVie14" w:date="2025-05-09T11:01:00Z">
        <w:r w:rsidRPr="00295E71">
          <w:rPr>
            <w:sz w:val="22"/>
            <w:szCs w:val="22"/>
            <w:lang w:val="it-IT" w:eastAsia="en-US"/>
          </w:rPr>
          <w:delText>Altri medicinali e Humira</w:delText>
        </w:r>
      </w:del>
    </w:p>
    <w:p w:rsidR="006224C2" w:rsidRPr="00295E71" w:rsidP="00FE3C0F" w14:paraId="6E08970B" w14:textId="77777777">
      <w:pPr>
        <w:jc w:val="both"/>
        <w:rPr>
          <w:del w:id="18528" w:author="AbbVie14" w:date="2025-05-09T11:01:00Z"/>
          <w:sz w:val="22"/>
          <w:szCs w:val="22"/>
          <w:lang w:eastAsia="en-US"/>
        </w:rPr>
      </w:pPr>
    </w:p>
    <w:p w:rsidR="006224C2" w:rsidRPr="00295E71" w:rsidP="00FE3C0F" w14:paraId="5A977775" w14:textId="77777777">
      <w:pPr>
        <w:jc w:val="both"/>
        <w:rPr>
          <w:del w:id="18529" w:author="AbbVie14" w:date="2025-05-09T11:01:00Z"/>
          <w:sz w:val="22"/>
          <w:szCs w:val="22"/>
          <w:lang w:eastAsia="en-US"/>
        </w:rPr>
      </w:pPr>
      <w:del w:id="18530" w:author="AbbVie14" w:date="2025-05-09T11:01:00Z">
        <w:r w:rsidRPr="00295E71">
          <w:rPr>
            <w:sz w:val="22"/>
            <w:szCs w:val="22"/>
          </w:rPr>
          <w:delText>Informi il medico o il farmacista se sta assumendo, ha recentemente assunto o potrebbe assumere qualsiasi altro medicinale.</w:delText>
        </w:r>
      </w:del>
    </w:p>
    <w:p w:rsidR="006224C2" w:rsidRPr="00295E71" w:rsidP="00FE3C0F" w14:paraId="7FCEA415" w14:textId="77777777">
      <w:pPr>
        <w:jc w:val="both"/>
        <w:rPr>
          <w:del w:id="18531" w:author="AbbVie14" w:date="2025-05-09T11:01:00Z"/>
          <w:sz w:val="22"/>
          <w:szCs w:val="22"/>
        </w:rPr>
      </w:pPr>
    </w:p>
    <w:p w:rsidR="006224C2" w:rsidRPr="00295E71" w:rsidP="00FE3C0F" w14:paraId="3579BF01" w14:textId="77777777">
      <w:pPr>
        <w:jc w:val="both"/>
        <w:rPr>
          <w:del w:id="18532" w:author="AbbVie14" w:date="2025-05-09T11:01:00Z"/>
          <w:sz w:val="22"/>
          <w:szCs w:val="22"/>
        </w:rPr>
      </w:pPr>
      <w:del w:id="18533" w:author="AbbVie14" w:date="2025-05-09T11:01:00Z">
        <w:r w:rsidRPr="00295E71">
          <w:rPr>
            <w:sz w:val="22"/>
            <w:szCs w:val="22"/>
          </w:rPr>
          <w:delText>Humira può essere assunto sia con il metotressato che con altri farmaci antireumatici modificanti la malattia (sulfasalazina, idrossiclorochina, leflunomide e sali d’oro per via parenterale), steroidi o analgesici, compresi i farmaci anti-infiammatori non steroidei (FANS).</w:delText>
        </w:r>
      </w:del>
    </w:p>
    <w:p w:rsidR="006224C2" w:rsidRPr="00295E71" w:rsidP="00FE3C0F" w14:paraId="1AA14921" w14:textId="77777777">
      <w:pPr>
        <w:jc w:val="both"/>
        <w:rPr>
          <w:del w:id="18534" w:author="AbbVie14" w:date="2025-05-09T11:01:00Z"/>
          <w:sz w:val="22"/>
          <w:szCs w:val="22"/>
        </w:rPr>
      </w:pPr>
    </w:p>
    <w:p w:rsidR="006224C2" w:rsidRPr="00295E71" w:rsidP="00FE3C0F" w14:paraId="387F4092" w14:textId="77777777">
      <w:pPr>
        <w:numPr>
          <w:ilvl w:val="12"/>
          <w:numId w:val="0"/>
        </w:numPr>
        <w:tabs>
          <w:tab w:val="left" w:pos="567"/>
        </w:tabs>
        <w:ind w:right="-2"/>
        <w:jc w:val="both"/>
        <w:rPr>
          <w:del w:id="18535" w:author="AbbVie14" w:date="2025-05-09T11:01:00Z"/>
          <w:sz w:val="22"/>
          <w:szCs w:val="22"/>
        </w:rPr>
      </w:pPr>
      <w:del w:id="18536" w:author="AbbVie14" w:date="2025-05-09T11:01:00Z">
        <w:r w:rsidRPr="00295E71">
          <w:rPr>
            <w:sz w:val="22"/>
            <w:szCs w:val="22"/>
          </w:rPr>
          <w:delText xml:space="preserve">Humira non deve essere preso in concomitanza con </w:delText>
        </w:r>
      </w:del>
      <w:del w:id="18537" w:author="AbbVie14" w:date="2025-05-09T11:01:00Z">
        <w:r w:rsidRPr="00295E71" w:rsidR="00BC55CA">
          <w:rPr>
            <w:sz w:val="22"/>
            <w:szCs w:val="22"/>
          </w:rPr>
          <w:delText>medicinali</w:delText>
        </w:r>
      </w:del>
      <w:del w:id="18538" w:author="AbbVie14" w:date="2025-05-09T11:01:00Z">
        <w:r w:rsidRPr="00295E71">
          <w:rPr>
            <w:sz w:val="22"/>
            <w:szCs w:val="22"/>
          </w:rPr>
          <w:delText xml:space="preserve"> contenenti </w:delText>
        </w:r>
      </w:del>
      <w:del w:id="18539" w:author="AbbVie14" w:date="2025-05-09T11:01:00Z">
        <w:r w:rsidRPr="00295E71" w:rsidR="00BC55CA">
          <w:rPr>
            <w:sz w:val="22"/>
            <w:szCs w:val="22"/>
          </w:rPr>
          <w:delText xml:space="preserve">i </w:delText>
        </w:r>
      </w:del>
      <w:del w:id="18540" w:author="AbbVie14" w:date="2025-05-09T11:01:00Z">
        <w:r w:rsidRPr="00295E71">
          <w:rPr>
            <w:sz w:val="22"/>
            <w:szCs w:val="22"/>
          </w:rPr>
          <w:delText>principi attiv</w:delText>
        </w:r>
      </w:del>
      <w:del w:id="18541" w:author="AbbVie14" w:date="2025-05-09T11:01:00Z">
        <w:r w:rsidRPr="00295E71" w:rsidR="00BC55CA">
          <w:rPr>
            <w:sz w:val="22"/>
            <w:szCs w:val="22"/>
          </w:rPr>
          <w:delText>i</w:delText>
        </w:r>
      </w:del>
      <w:del w:id="18542" w:author="AbbVie14" w:date="2025-05-09T11:01:00Z">
        <w:r w:rsidRPr="00295E71">
          <w:rPr>
            <w:sz w:val="22"/>
            <w:szCs w:val="22"/>
          </w:rPr>
          <w:delText xml:space="preserve"> anakinra o abatacept</w:delText>
        </w:r>
      </w:del>
      <w:del w:id="18543" w:author="AbbVie14" w:date="2025-05-09T11:01:00Z">
        <w:r w:rsidRPr="00295E71" w:rsidR="004166CB">
          <w:rPr>
            <w:sz w:val="22"/>
            <w:szCs w:val="22"/>
          </w:rPr>
          <w:delText xml:space="preserve"> a causa del rischio aumentato di avere infezioni gravi</w:delText>
        </w:r>
      </w:del>
      <w:del w:id="18544" w:author="AbbVie14" w:date="2025-05-09T11:01:00Z">
        <w:r w:rsidRPr="00295E71">
          <w:rPr>
            <w:sz w:val="22"/>
            <w:szCs w:val="22"/>
          </w:rPr>
          <w:delText>. Se ha dubbi, si rivolga al medico.</w:delText>
        </w:r>
      </w:del>
    </w:p>
    <w:p w:rsidR="006224C2" w:rsidRPr="00295E71" w:rsidP="00FE3C0F" w14:paraId="04DCE2C1" w14:textId="77777777">
      <w:pPr>
        <w:jc w:val="both"/>
        <w:rPr>
          <w:del w:id="18545" w:author="AbbVie14" w:date="2025-05-09T11:01:00Z"/>
          <w:sz w:val="22"/>
          <w:szCs w:val="22"/>
        </w:rPr>
      </w:pPr>
    </w:p>
    <w:p w:rsidR="006224C2" w:rsidRPr="00295E71" w:rsidP="00FE3C0F" w14:paraId="28F3C50E" w14:textId="77777777">
      <w:pPr>
        <w:pStyle w:val="Heading9"/>
        <w:tabs>
          <w:tab w:val="left" w:pos="567"/>
        </w:tabs>
        <w:jc w:val="both"/>
        <w:rPr>
          <w:del w:id="18546" w:author="AbbVie14" w:date="2025-05-09T11:01:00Z"/>
          <w:sz w:val="22"/>
          <w:szCs w:val="22"/>
          <w:lang w:val="it-IT" w:eastAsia="en-US"/>
        </w:rPr>
      </w:pPr>
      <w:del w:id="18547" w:author="AbbVie14" w:date="2025-05-09T11:01:00Z">
        <w:r w:rsidRPr="00295E71">
          <w:rPr>
            <w:sz w:val="22"/>
            <w:szCs w:val="22"/>
            <w:lang w:val="it-IT" w:eastAsia="en-US"/>
          </w:rPr>
          <w:delText>Gravidanza e allattamento</w:delText>
        </w:r>
      </w:del>
    </w:p>
    <w:p w:rsidR="006224C2" w:rsidRPr="00295E71" w:rsidP="00FE3C0F" w14:paraId="2ADB73BE" w14:textId="77777777">
      <w:pPr>
        <w:keepNext/>
        <w:numPr>
          <w:ilvl w:val="12"/>
          <w:numId w:val="0"/>
        </w:numPr>
        <w:tabs>
          <w:tab w:val="left" w:pos="567"/>
        </w:tabs>
        <w:ind w:right="-2"/>
        <w:jc w:val="both"/>
        <w:rPr>
          <w:del w:id="18548" w:author="AbbVie14" w:date="2025-05-09T11:01:00Z"/>
          <w:sz w:val="22"/>
          <w:szCs w:val="22"/>
        </w:rPr>
      </w:pPr>
    </w:p>
    <w:p w:rsidR="006224C2" w:rsidP="00FE3C0F" w14:paraId="3FF408B4" w14:textId="77777777">
      <w:pPr>
        <w:pStyle w:val="ListParagraph"/>
        <w:keepNext/>
        <w:numPr>
          <w:ilvl w:val="0"/>
          <w:numId w:val="145"/>
        </w:numPr>
        <w:tabs>
          <w:tab w:val="left" w:pos="567"/>
        </w:tabs>
        <w:ind w:left="426" w:right="-2"/>
        <w:jc w:val="both"/>
        <w:rPr>
          <w:del w:id="18549" w:author="AbbVie14" w:date="2025-05-09T11:01:00Z"/>
          <w:sz w:val="22"/>
          <w:szCs w:val="22"/>
        </w:rPr>
      </w:pPr>
      <w:del w:id="18550" w:author="AbbVie14" w:date="2025-05-09T11:01:00Z">
        <w:r>
          <w:rPr>
            <w:sz w:val="22"/>
            <w:szCs w:val="22"/>
          </w:rPr>
          <w:delText>Deve considerare l’utilizzo di</w:delText>
        </w:r>
      </w:del>
      <w:del w:id="18551" w:author="AbbVie14" w:date="2025-05-09T11:01:00Z">
        <w:r w:rsidRPr="009815B3" w:rsidR="00226BC4">
          <w:rPr>
            <w:sz w:val="22"/>
            <w:szCs w:val="22"/>
          </w:rPr>
          <w:delText xml:space="preserve"> un’adeguata misura contraccettiva </w:delText>
        </w:r>
      </w:del>
      <w:del w:id="18552" w:author="AbbVie14" w:date="2025-05-09T11:01:00Z">
        <w:r>
          <w:rPr>
            <w:sz w:val="22"/>
            <w:szCs w:val="22"/>
          </w:rPr>
          <w:delText>per prevenire una gravidanza</w:delText>
        </w:r>
      </w:del>
      <w:del w:id="18553" w:author="AbbVie14" w:date="2025-05-09T11:01:00Z">
        <w:r w:rsidRPr="009815B3" w:rsidR="00226BC4">
          <w:rPr>
            <w:sz w:val="22"/>
            <w:szCs w:val="22"/>
          </w:rPr>
          <w:delText xml:space="preserve"> e </w:delText>
        </w:r>
      </w:del>
      <w:del w:id="18554" w:author="AbbVie14" w:date="2025-05-09T11:01:00Z">
        <w:r>
          <w:rPr>
            <w:sz w:val="22"/>
            <w:szCs w:val="22"/>
          </w:rPr>
          <w:delText xml:space="preserve">continuarne l’utilizzo </w:delText>
        </w:r>
      </w:del>
      <w:del w:id="18555" w:author="AbbVie14" w:date="2025-05-09T11:01:00Z">
        <w:r w:rsidRPr="009815B3" w:rsidR="00226BC4">
          <w:rPr>
            <w:sz w:val="22"/>
            <w:szCs w:val="22"/>
          </w:rPr>
          <w:delText>per almeno 5 mesi dopo l’ultima terapia con</w:delText>
        </w:r>
      </w:del>
      <w:del w:id="18556" w:author="AbbVie14" w:date="2025-05-09T11:01:00Z">
        <w:r>
          <w:rPr>
            <w:sz w:val="22"/>
            <w:szCs w:val="22"/>
          </w:rPr>
          <w:delText xml:space="preserve"> Humira</w:delText>
        </w:r>
      </w:del>
      <w:del w:id="18557" w:author="AbbVie14" w:date="2025-05-09T11:01:00Z">
        <w:r w:rsidRPr="009815B3" w:rsidR="00226BC4">
          <w:rPr>
            <w:sz w:val="22"/>
            <w:szCs w:val="22"/>
          </w:rPr>
          <w:delText xml:space="preserve">. </w:delText>
        </w:r>
      </w:del>
    </w:p>
    <w:p w:rsidR="009815B3" w:rsidRPr="009815B3" w:rsidP="00FE3C0F" w14:paraId="0FFEC293" w14:textId="77777777">
      <w:pPr>
        <w:pStyle w:val="ListParagraph"/>
        <w:keepNext/>
        <w:numPr>
          <w:ilvl w:val="0"/>
          <w:numId w:val="145"/>
        </w:numPr>
        <w:tabs>
          <w:tab w:val="left" w:pos="567"/>
        </w:tabs>
        <w:ind w:left="426" w:right="-2"/>
        <w:jc w:val="both"/>
        <w:rPr>
          <w:del w:id="18558" w:author="AbbVie14" w:date="2025-05-09T11:01:00Z"/>
          <w:sz w:val="22"/>
          <w:szCs w:val="22"/>
        </w:rPr>
      </w:pPr>
      <w:del w:id="18559" w:author="AbbVie14" w:date="2025-05-09T11:01:00Z">
        <w:r w:rsidRPr="009815B3">
          <w:rPr>
            <w:sz w:val="22"/>
            <w:szCs w:val="22"/>
          </w:rPr>
          <w:delText xml:space="preserve">Se è in corso una gravidanza, se sospetta o sta pianificando una gravidanza chieda consiglio al suo medico </w:delText>
        </w:r>
      </w:del>
      <w:del w:id="18560" w:author="AbbVie14" w:date="2025-05-09T11:01:00Z">
        <w:r w:rsidR="00E36447">
          <w:rPr>
            <w:sz w:val="22"/>
            <w:szCs w:val="22"/>
          </w:rPr>
          <w:delText>circa l’assunzione di</w:delText>
        </w:r>
      </w:del>
      <w:del w:id="18561" w:author="AbbVie14" w:date="2025-05-09T11:01:00Z">
        <w:r w:rsidRPr="009815B3">
          <w:rPr>
            <w:sz w:val="22"/>
            <w:szCs w:val="22"/>
          </w:rPr>
          <w:delText xml:space="preserve"> questo medicinale.</w:delText>
        </w:r>
      </w:del>
    </w:p>
    <w:p w:rsidR="009815B3" w:rsidRPr="009815B3" w:rsidP="00FE3C0F" w14:paraId="3B7B4B6F" w14:textId="77777777">
      <w:pPr>
        <w:pStyle w:val="ListParagraph"/>
        <w:keepNext/>
        <w:numPr>
          <w:ilvl w:val="0"/>
          <w:numId w:val="145"/>
        </w:numPr>
        <w:tabs>
          <w:tab w:val="left" w:pos="567"/>
        </w:tabs>
        <w:ind w:left="426" w:right="-2"/>
        <w:jc w:val="both"/>
        <w:rPr>
          <w:del w:id="18562" w:author="AbbVie14" w:date="2025-05-09T11:01:00Z"/>
          <w:sz w:val="22"/>
          <w:szCs w:val="22"/>
        </w:rPr>
      </w:pPr>
      <w:del w:id="18563" w:author="AbbVie14" w:date="2025-05-09T11:01:00Z">
        <w:r w:rsidRPr="009815B3">
          <w:rPr>
            <w:sz w:val="22"/>
            <w:szCs w:val="22"/>
          </w:rPr>
          <w:delText>Humira deve essere usato durante la gravidanza solo se necessario.</w:delText>
        </w:r>
      </w:del>
    </w:p>
    <w:p w:rsidR="009815B3" w:rsidP="00FE3C0F" w14:paraId="0409A67D" w14:textId="77777777">
      <w:pPr>
        <w:pStyle w:val="ListParagraph"/>
        <w:keepNext/>
        <w:numPr>
          <w:ilvl w:val="0"/>
          <w:numId w:val="145"/>
        </w:numPr>
        <w:tabs>
          <w:tab w:val="left" w:pos="567"/>
        </w:tabs>
        <w:ind w:left="426" w:right="-2"/>
        <w:jc w:val="both"/>
        <w:rPr>
          <w:del w:id="18564" w:author="AbbVie14" w:date="2025-05-09T11:01:00Z"/>
          <w:sz w:val="22"/>
          <w:szCs w:val="22"/>
        </w:rPr>
      </w:pPr>
      <w:del w:id="18565" w:author="AbbVie14" w:date="2025-05-09T11:01:00Z">
        <w:r w:rsidRPr="009815B3">
          <w:rPr>
            <w:sz w:val="22"/>
            <w:szCs w:val="22"/>
          </w:rPr>
          <w:delText xml:space="preserve">Secondo uno studio sulla gravidanza, non è stato riscontrato un rischio maggiore di difetti alla nascita </w:delText>
        </w:r>
      </w:del>
      <w:del w:id="18566" w:author="AbbVie14" w:date="2025-05-09T11:01:00Z">
        <w:r w:rsidR="00E36447">
          <w:rPr>
            <w:sz w:val="22"/>
            <w:szCs w:val="22"/>
          </w:rPr>
          <w:delText>quando la madre aveva ricevuto Humira durante la gravidanza,</w:delText>
        </w:r>
      </w:del>
      <w:del w:id="18567" w:author="AbbVie14" w:date="2025-05-09T11:01:00Z">
        <w:r w:rsidRPr="009815B3" w:rsidR="00E36447">
          <w:rPr>
            <w:sz w:val="22"/>
            <w:szCs w:val="22"/>
          </w:rPr>
          <w:delText xml:space="preserve"> </w:delText>
        </w:r>
      </w:del>
      <w:del w:id="18568" w:author="AbbVie14" w:date="2025-05-09T11:01:00Z">
        <w:r w:rsidRPr="009815B3">
          <w:rPr>
            <w:sz w:val="22"/>
            <w:szCs w:val="22"/>
          </w:rPr>
          <w:delText>rispetto a madri che avevano la stessa patologia ma che non avevano ricevuto Humira.</w:delText>
        </w:r>
      </w:del>
    </w:p>
    <w:p w:rsidR="009815B3" w:rsidRPr="009815B3" w:rsidP="00FE3C0F" w14:paraId="0144AFA1" w14:textId="77777777">
      <w:pPr>
        <w:pStyle w:val="ListParagraph"/>
        <w:keepNext/>
        <w:numPr>
          <w:ilvl w:val="0"/>
          <w:numId w:val="145"/>
        </w:numPr>
        <w:tabs>
          <w:tab w:val="left" w:pos="567"/>
        </w:tabs>
        <w:ind w:left="426" w:right="-2"/>
        <w:jc w:val="both"/>
        <w:rPr>
          <w:del w:id="18569" w:author="AbbVie14" w:date="2025-05-09T11:01:00Z"/>
          <w:sz w:val="22"/>
          <w:szCs w:val="22"/>
        </w:rPr>
      </w:pPr>
      <w:del w:id="18570" w:author="AbbVie14" w:date="2025-05-09T11:01:00Z">
        <w:r>
          <w:rPr>
            <w:sz w:val="22"/>
            <w:szCs w:val="22"/>
          </w:rPr>
          <w:delText xml:space="preserve">Humira </w:delText>
        </w:r>
      </w:del>
      <w:del w:id="18571" w:author="AbbVie14" w:date="2025-05-09T11:01:00Z">
        <w:r w:rsidRPr="00045672">
          <w:rPr>
            <w:sz w:val="22"/>
            <w:szCs w:val="22"/>
          </w:rPr>
          <w:delText>può essere usat</w:delText>
        </w:r>
      </w:del>
      <w:del w:id="18572" w:author="AbbVie14" w:date="2025-05-09T11:01:00Z">
        <w:r>
          <w:rPr>
            <w:sz w:val="22"/>
            <w:szCs w:val="22"/>
          </w:rPr>
          <w:delText>o</w:delText>
        </w:r>
      </w:del>
      <w:del w:id="18573" w:author="AbbVie14" w:date="2025-05-09T11:01:00Z">
        <w:r w:rsidRPr="00045672">
          <w:rPr>
            <w:sz w:val="22"/>
            <w:szCs w:val="22"/>
          </w:rPr>
          <w:delText xml:space="preserve"> durante l’allattamento con latte materno</w:delText>
        </w:r>
      </w:del>
      <w:del w:id="18574" w:author="AbbVie14" w:date="2025-05-09T11:01:00Z">
        <w:r>
          <w:rPr>
            <w:sz w:val="22"/>
            <w:szCs w:val="22"/>
          </w:rPr>
          <w:delText>.</w:delText>
        </w:r>
      </w:del>
    </w:p>
    <w:p w:rsidR="009815B3" w:rsidP="00FE3C0F" w14:paraId="43125907" w14:textId="77777777">
      <w:pPr>
        <w:pStyle w:val="ListParagraph"/>
        <w:keepNext/>
        <w:numPr>
          <w:ilvl w:val="0"/>
          <w:numId w:val="145"/>
        </w:numPr>
        <w:tabs>
          <w:tab w:val="left" w:pos="567"/>
        </w:tabs>
        <w:ind w:left="426" w:right="-2"/>
        <w:jc w:val="both"/>
        <w:rPr>
          <w:del w:id="18575" w:author="AbbVie14" w:date="2025-05-09T11:01:00Z"/>
          <w:sz w:val="22"/>
          <w:szCs w:val="22"/>
        </w:rPr>
      </w:pPr>
      <w:del w:id="18576" w:author="AbbVie14" w:date="2025-05-09T11:01:00Z">
        <w:r w:rsidRPr="00295E71">
          <w:rPr>
            <w:sz w:val="22"/>
            <w:szCs w:val="22"/>
          </w:rPr>
          <w:delText>Se assu</w:delText>
        </w:r>
      </w:del>
      <w:del w:id="18577" w:author="AbbVie14" w:date="2025-05-09T11:01:00Z">
        <w:r w:rsidR="003D1249">
          <w:rPr>
            <w:sz w:val="22"/>
            <w:szCs w:val="22"/>
          </w:rPr>
          <w:delText>me</w:delText>
        </w:r>
      </w:del>
      <w:del w:id="18578" w:author="AbbVie14" w:date="2025-05-09T11:01:00Z">
        <w:r w:rsidRPr="00295E71">
          <w:rPr>
            <w:sz w:val="22"/>
            <w:szCs w:val="22"/>
          </w:rPr>
          <w:delText xml:space="preserve"> Humira durante la gravidanza, il bambino potrebbe avere un maggior rischio di contrarre un’infezione. </w:delText>
        </w:r>
      </w:del>
    </w:p>
    <w:p w:rsidR="006224C2" w:rsidRPr="00295E71" w:rsidP="00FE3C0F" w14:paraId="31EE3B76" w14:textId="77777777">
      <w:pPr>
        <w:pStyle w:val="ListParagraph"/>
        <w:keepNext/>
        <w:numPr>
          <w:ilvl w:val="0"/>
          <w:numId w:val="145"/>
        </w:numPr>
        <w:tabs>
          <w:tab w:val="left" w:pos="567"/>
        </w:tabs>
        <w:ind w:left="426" w:right="-2"/>
        <w:jc w:val="both"/>
        <w:rPr>
          <w:del w:id="18579" w:author="AbbVie14" w:date="2025-05-09T11:01:00Z"/>
          <w:sz w:val="22"/>
          <w:szCs w:val="22"/>
        </w:rPr>
      </w:pPr>
      <w:del w:id="18580" w:author="AbbVie14" w:date="2025-05-09T11:01:00Z">
        <w:r w:rsidRPr="00295E71">
          <w:rPr>
            <w:sz w:val="22"/>
            <w:szCs w:val="22"/>
          </w:rPr>
          <w:delText>É importante che lei riferisca al pediatra o ad altro operatore sanitario del suo utilizzo di Humira durante la gravidanza, prima che il bambino riceva qualsiasi tipo di vaccinazione</w:delText>
        </w:r>
      </w:del>
      <w:del w:id="18581" w:author="AbbVie14" w:date="2025-05-09T11:01:00Z">
        <w:r w:rsidR="009815B3">
          <w:rPr>
            <w:sz w:val="22"/>
            <w:szCs w:val="22"/>
          </w:rPr>
          <w:delText>.</w:delText>
        </w:r>
      </w:del>
      <w:del w:id="18582" w:author="AbbVie14" w:date="2025-05-09T11:01:00Z">
        <w:r w:rsidRPr="00295E71">
          <w:rPr>
            <w:sz w:val="22"/>
            <w:szCs w:val="22"/>
          </w:rPr>
          <w:delText xml:space="preserve"> </w:delText>
        </w:r>
      </w:del>
      <w:del w:id="18583" w:author="AbbVie14" w:date="2025-05-09T11:01:00Z">
        <w:r w:rsidR="009815B3">
          <w:rPr>
            <w:sz w:val="22"/>
            <w:szCs w:val="22"/>
          </w:rPr>
          <w:delText>P</w:delText>
        </w:r>
      </w:del>
      <w:del w:id="18584" w:author="AbbVie14" w:date="2025-05-09T11:01:00Z">
        <w:r w:rsidRPr="00295E71">
          <w:rPr>
            <w:sz w:val="22"/>
            <w:szCs w:val="22"/>
          </w:rPr>
          <w:delText xml:space="preserve">er maggiori informazioni </w:delText>
        </w:r>
      </w:del>
      <w:del w:id="18585" w:author="AbbVie14" w:date="2025-05-09T11:01:00Z">
        <w:r w:rsidR="00B6380B">
          <w:rPr>
            <w:sz w:val="22"/>
            <w:szCs w:val="22"/>
          </w:rPr>
          <w:delText>sulle vaccinazioni</w:delText>
        </w:r>
      </w:del>
      <w:del w:id="18586" w:author="AbbVie14" w:date="2025-05-09T11:01:00Z">
        <w:r w:rsidR="009815B3">
          <w:rPr>
            <w:sz w:val="22"/>
            <w:szCs w:val="22"/>
          </w:rPr>
          <w:delText xml:space="preserve"> </w:delText>
        </w:r>
      </w:del>
      <w:del w:id="18587" w:author="AbbVie14" w:date="2025-05-09T11:01:00Z">
        <w:r w:rsidRPr="00295E71">
          <w:rPr>
            <w:sz w:val="22"/>
            <w:szCs w:val="22"/>
          </w:rPr>
          <w:delText xml:space="preserve">consulti la sezione </w:delText>
        </w:r>
      </w:del>
      <w:del w:id="18588" w:author="AbbVie14" w:date="2025-05-09T11:01:00Z">
        <w:r w:rsidRPr="00383EC6" w:rsidR="009815B3">
          <w:rPr>
            <w:sz w:val="22"/>
            <w:szCs w:val="22"/>
          </w:rPr>
          <w:delText>“Avvertenze e precauzioni</w:delText>
        </w:r>
      </w:del>
      <w:del w:id="18589" w:author="AbbVie14" w:date="2025-05-09T11:01:00Z">
        <w:r w:rsidR="009815B3">
          <w:rPr>
            <w:sz w:val="22"/>
            <w:szCs w:val="22"/>
          </w:rPr>
          <w:delText>“</w:delText>
        </w:r>
      </w:del>
      <w:del w:id="18590" w:author="AbbVie14" w:date="2025-05-09T11:01:00Z">
        <w:r w:rsidRPr="00295E71">
          <w:rPr>
            <w:sz w:val="22"/>
            <w:szCs w:val="22"/>
          </w:rPr>
          <w:delText>.</w:delText>
        </w:r>
      </w:del>
    </w:p>
    <w:p w:rsidR="006224C2" w:rsidRPr="00295E71" w:rsidP="00FE3C0F" w14:paraId="1B6BDB9C" w14:textId="77777777">
      <w:pPr>
        <w:numPr>
          <w:ilvl w:val="12"/>
          <w:numId w:val="0"/>
        </w:numPr>
        <w:tabs>
          <w:tab w:val="left" w:pos="567"/>
        </w:tabs>
        <w:ind w:right="-2"/>
        <w:jc w:val="both"/>
        <w:rPr>
          <w:del w:id="18591" w:author="AbbVie14" w:date="2025-05-09T11:01:00Z"/>
          <w:sz w:val="22"/>
          <w:szCs w:val="22"/>
        </w:rPr>
      </w:pPr>
    </w:p>
    <w:p w:rsidR="006224C2" w:rsidRPr="00295E71" w:rsidP="00FE3C0F" w14:paraId="13D4BCED" w14:textId="77777777">
      <w:pPr>
        <w:pStyle w:val="Heading8"/>
        <w:keepNext w:val="0"/>
        <w:tabs>
          <w:tab w:val="left" w:pos="567"/>
        </w:tabs>
        <w:jc w:val="both"/>
        <w:rPr>
          <w:del w:id="18592" w:author="AbbVie14" w:date="2025-05-09T11:01:00Z"/>
        </w:rPr>
      </w:pPr>
      <w:del w:id="18593" w:author="AbbVie14" w:date="2025-05-09T11:01:00Z">
        <w:r w:rsidRPr="00295E71">
          <w:delText>Guida di veicoli e utilizzo di macchinari</w:delText>
        </w:r>
      </w:del>
    </w:p>
    <w:p w:rsidR="006224C2" w:rsidRPr="00295E71" w:rsidP="00FE3C0F" w14:paraId="63608DFD" w14:textId="77777777">
      <w:pPr>
        <w:numPr>
          <w:ilvl w:val="12"/>
          <w:numId w:val="0"/>
        </w:numPr>
        <w:tabs>
          <w:tab w:val="left" w:pos="567"/>
        </w:tabs>
        <w:ind w:right="-2"/>
        <w:jc w:val="both"/>
        <w:rPr>
          <w:del w:id="18594" w:author="AbbVie14" w:date="2025-05-09T11:01:00Z"/>
          <w:sz w:val="22"/>
          <w:szCs w:val="22"/>
        </w:rPr>
      </w:pPr>
    </w:p>
    <w:p w:rsidR="006224C2" w:rsidRPr="00295E71" w:rsidP="00FE3C0F" w14:paraId="0A33FE1A" w14:textId="77777777">
      <w:pPr>
        <w:numPr>
          <w:ilvl w:val="12"/>
          <w:numId w:val="0"/>
        </w:numPr>
        <w:tabs>
          <w:tab w:val="left" w:pos="567"/>
        </w:tabs>
        <w:ind w:right="-2"/>
        <w:jc w:val="both"/>
        <w:rPr>
          <w:del w:id="18595" w:author="AbbVie14" w:date="2025-05-09T11:01:00Z"/>
          <w:sz w:val="22"/>
          <w:szCs w:val="22"/>
        </w:rPr>
      </w:pPr>
      <w:del w:id="18596" w:author="AbbVie14" w:date="2025-05-09T11:01:00Z">
        <w:r w:rsidRPr="00295E71">
          <w:rPr>
            <w:sz w:val="22"/>
            <w:szCs w:val="22"/>
          </w:rPr>
          <w:delText>Humira può influenzare, benché solo in maniera modesta, la sua capacità di guidare, andare in bicicletta</w:delText>
        </w:r>
      </w:del>
      <w:del w:id="18597" w:author="AbbVie14" w:date="2025-05-09T11:01:00Z">
        <w:r w:rsidRPr="00295E71" w:rsidR="007C144D">
          <w:rPr>
            <w:sz w:val="22"/>
            <w:szCs w:val="22"/>
          </w:rPr>
          <w:delText xml:space="preserve"> </w:delText>
        </w:r>
      </w:del>
      <w:del w:id="18598" w:author="AbbVie14" w:date="2025-05-09T11:01:00Z">
        <w:r w:rsidRPr="00295E71">
          <w:rPr>
            <w:sz w:val="22"/>
            <w:szCs w:val="22"/>
          </w:rPr>
          <w:delText>o utilizzare macchinari. In seguito all’assunzione di Humira, si possono avere disturbi della vista e la</w:delText>
        </w:r>
      </w:del>
      <w:del w:id="18599" w:author="AbbVie14" w:date="2025-05-09T11:01:00Z">
        <w:r w:rsidRPr="00295E71" w:rsidR="007C144D">
          <w:rPr>
            <w:sz w:val="22"/>
            <w:szCs w:val="22"/>
          </w:rPr>
          <w:delText xml:space="preserve"> </w:delText>
        </w:r>
      </w:del>
      <w:del w:id="18600" w:author="AbbVie14" w:date="2025-05-09T11:01:00Z">
        <w:r w:rsidRPr="00295E71">
          <w:rPr>
            <w:sz w:val="22"/>
            <w:szCs w:val="22"/>
          </w:rPr>
          <w:delText>sensazione che l’ambiente in cui ci si trova ruoti.</w:delText>
        </w:r>
      </w:del>
    </w:p>
    <w:p w:rsidR="004166CB" w:rsidRPr="00295E71" w:rsidP="00FE3C0F" w14:paraId="07A7E119" w14:textId="77777777">
      <w:pPr>
        <w:numPr>
          <w:ilvl w:val="12"/>
          <w:numId w:val="0"/>
        </w:numPr>
        <w:tabs>
          <w:tab w:val="left" w:pos="567"/>
        </w:tabs>
        <w:ind w:right="-2"/>
        <w:jc w:val="both"/>
        <w:rPr>
          <w:del w:id="18601" w:author="AbbVie14" w:date="2025-05-09T11:01:00Z"/>
          <w:sz w:val="22"/>
          <w:szCs w:val="22"/>
        </w:rPr>
      </w:pPr>
    </w:p>
    <w:p w:rsidR="004166CB" w:rsidRPr="00295E71" w:rsidP="00FE3C0F" w14:paraId="4E7331A8" w14:textId="77777777">
      <w:pPr>
        <w:pStyle w:val="BodyText2"/>
        <w:keepNext/>
        <w:jc w:val="both"/>
        <w:rPr>
          <w:del w:id="18602" w:author="AbbVie14" w:date="2025-05-09T11:01:00Z"/>
          <w:b/>
        </w:rPr>
      </w:pPr>
      <w:del w:id="18603" w:author="AbbVie14" w:date="2025-05-09T11:01:00Z">
        <w:r w:rsidRPr="00295E71">
          <w:rPr>
            <w:b/>
          </w:rPr>
          <w:delText>Humira contiene sodio</w:delText>
        </w:r>
      </w:del>
    </w:p>
    <w:p w:rsidR="004166CB" w:rsidRPr="00295E71" w:rsidP="00FE3C0F" w14:paraId="3444CF00" w14:textId="77777777">
      <w:pPr>
        <w:pStyle w:val="EMEANormal"/>
        <w:jc w:val="both"/>
        <w:rPr>
          <w:del w:id="18604" w:author="AbbVie14" w:date="2025-05-09T11:01:00Z"/>
          <w:b/>
          <w:lang w:val="it-IT"/>
        </w:rPr>
      </w:pPr>
    </w:p>
    <w:p w:rsidR="004166CB" w:rsidRPr="00295E71" w:rsidP="00FE3C0F" w14:paraId="4EC60C17" w14:textId="77777777">
      <w:pPr>
        <w:rPr>
          <w:del w:id="18605" w:author="AbbVie14" w:date="2025-05-09T11:01:00Z"/>
          <w:sz w:val="22"/>
          <w:szCs w:val="22"/>
        </w:rPr>
      </w:pPr>
      <w:del w:id="18606" w:author="AbbVie14" w:date="2025-05-09T11:01:00Z">
        <w:r w:rsidRPr="00295E71">
          <w:rPr>
            <w:sz w:val="22"/>
            <w:szCs w:val="22"/>
          </w:rPr>
          <w:delText>Questo medicinale contiene meno di 1 mmol di sodio (23 mg) per 0,8 ml di dose, cioé essenzialmente ‘senza sodio’.</w:delText>
        </w:r>
      </w:del>
    </w:p>
    <w:p w:rsidR="004166CB" w:rsidRPr="00295E71" w:rsidP="00FE3C0F" w14:paraId="1ECAA713" w14:textId="77777777">
      <w:pPr>
        <w:numPr>
          <w:ilvl w:val="12"/>
          <w:numId w:val="0"/>
        </w:numPr>
        <w:tabs>
          <w:tab w:val="left" w:pos="567"/>
        </w:tabs>
        <w:ind w:right="-2"/>
        <w:jc w:val="both"/>
        <w:rPr>
          <w:del w:id="18607" w:author="AbbVie14" w:date="2025-05-09T11:01:00Z"/>
          <w:sz w:val="22"/>
          <w:szCs w:val="22"/>
        </w:rPr>
      </w:pPr>
    </w:p>
    <w:p w:rsidR="00D83FA8" w:rsidRPr="00295E71" w:rsidP="00FE3C0F" w14:paraId="5F7839C6" w14:textId="77777777">
      <w:pPr>
        <w:numPr>
          <w:ilvl w:val="12"/>
          <w:numId w:val="0"/>
        </w:numPr>
        <w:tabs>
          <w:tab w:val="left" w:pos="567"/>
        </w:tabs>
        <w:ind w:right="-2"/>
        <w:jc w:val="both"/>
        <w:rPr>
          <w:del w:id="18608" w:author="AbbVie14" w:date="2025-05-09T11:01:00Z"/>
          <w:sz w:val="22"/>
          <w:szCs w:val="22"/>
        </w:rPr>
      </w:pPr>
    </w:p>
    <w:p w:rsidR="006224C2" w:rsidRPr="00295E71" w:rsidP="00FE3C0F" w14:paraId="224D51C6" w14:textId="77777777">
      <w:pPr>
        <w:keepNext/>
        <w:numPr>
          <w:ilvl w:val="12"/>
          <w:numId w:val="0"/>
        </w:numPr>
        <w:tabs>
          <w:tab w:val="left" w:pos="567"/>
        </w:tabs>
        <w:ind w:left="567" w:hanging="567"/>
        <w:jc w:val="both"/>
        <w:rPr>
          <w:del w:id="18609" w:author="AbbVie14" w:date="2025-05-09T11:01:00Z"/>
          <w:b/>
          <w:bCs/>
          <w:sz w:val="22"/>
          <w:szCs w:val="22"/>
        </w:rPr>
      </w:pPr>
      <w:del w:id="18610" w:author="AbbVie14" w:date="2025-05-09T11:01:00Z">
        <w:r w:rsidRPr="00295E71">
          <w:rPr>
            <w:b/>
            <w:bCs/>
            <w:sz w:val="22"/>
            <w:szCs w:val="22"/>
          </w:rPr>
          <w:delText>3.</w:delText>
        </w:r>
      </w:del>
      <w:del w:id="18611" w:author="AbbVie14" w:date="2025-05-09T11:01:00Z">
        <w:r w:rsidRPr="00295E71">
          <w:rPr>
            <w:b/>
            <w:bCs/>
            <w:sz w:val="22"/>
            <w:szCs w:val="22"/>
          </w:rPr>
          <w:tab/>
          <w:delText>Come usare Humira</w:delText>
        </w:r>
      </w:del>
    </w:p>
    <w:p w:rsidR="006224C2" w:rsidRPr="00295E71" w:rsidP="00FE3C0F" w14:paraId="0B46E18A" w14:textId="77777777">
      <w:pPr>
        <w:keepNext/>
        <w:numPr>
          <w:ilvl w:val="12"/>
          <w:numId w:val="0"/>
        </w:numPr>
        <w:tabs>
          <w:tab w:val="left" w:pos="567"/>
        </w:tabs>
        <w:jc w:val="both"/>
        <w:rPr>
          <w:del w:id="18612" w:author="AbbVie14" w:date="2025-05-09T11:01:00Z"/>
          <w:sz w:val="22"/>
          <w:szCs w:val="22"/>
        </w:rPr>
      </w:pPr>
    </w:p>
    <w:p w:rsidR="006224C2" w:rsidRPr="00295E71" w:rsidP="00FE3C0F" w14:paraId="39471EFC" w14:textId="77777777">
      <w:pPr>
        <w:keepNext/>
        <w:numPr>
          <w:ilvl w:val="12"/>
          <w:numId w:val="0"/>
        </w:numPr>
        <w:tabs>
          <w:tab w:val="left" w:pos="567"/>
        </w:tabs>
        <w:jc w:val="both"/>
        <w:rPr>
          <w:del w:id="18613" w:author="AbbVie14" w:date="2025-05-09T11:01:00Z"/>
          <w:sz w:val="22"/>
          <w:szCs w:val="22"/>
        </w:rPr>
      </w:pPr>
      <w:del w:id="18614" w:author="AbbVie14" w:date="2025-05-09T11:01:00Z">
        <w:r w:rsidRPr="00295E71">
          <w:rPr>
            <w:sz w:val="22"/>
            <w:szCs w:val="22"/>
          </w:rPr>
          <w:delText>Usi questo medicinale seguendo sempre esattamente le istruzioni del medico o del farmacista. Se ha dubbi, consulti il medico o il farmacista.</w:delText>
        </w:r>
      </w:del>
      <w:del w:id="18615" w:author="AbbVie14" w:date="2025-05-09T11:01:00Z">
        <w:r w:rsidRPr="00295E71" w:rsidR="00CF0A0D">
          <w:rPr>
            <w:sz w:val="22"/>
            <w:szCs w:val="22"/>
          </w:rPr>
          <w:delText xml:space="preserve"> Il medico potrebbe prescrivere un’altra concentrazione di Humira se necessita di una dose differente.</w:delText>
        </w:r>
      </w:del>
    </w:p>
    <w:p w:rsidR="006224C2" w:rsidRPr="00295E71" w:rsidP="00FE3C0F" w14:paraId="787C77B2" w14:textId="77777777">
      <w:pPr>
        <w:numPr>
          <w:ilvl w:val="12"/>
          <w:numId w:val="0"/>
        </w:numPr>
        <w:tabs>
          <w:tab w:val="left" w:pos="567"/>
        </w:tabs>
        <w:ind w:right="-2"/>
        <w:jc w:val="both"/>
        <w:rPr>
          <w:del w:id="18616" w:author="AbbVie14" w:date="2025-05-09T11:01:00Z"/>
          <w:sz w:val="22"/>
          <w:szCs w:val="22"/>
        </w:rPr>
      </w:pPr>
    </w:p>
    <w:p w:rsidR="006224C2" w:rsidRPr="00295E71" w:rsidP="00FE3C0F" w14:paraId="5A08D2CF" w14:textId="77777777">
      <w:pPr>
        <w:numPr>
          <w:ilvl w:val="12"/>
          <w:numId w:val="0"/>
        </w:numPr>
        <w:tabs>
          <w:tab w:val="left" w:pos="567"/>
        </w:tabs>
        <w:ind w:right="-2"/>
        <w:jc w:val="both"/>
        <w:rPr>
          <w:del w:id="18617" w:author="AbbVie14" w:date="2025-05-09T11:01:00Z"/>
          <w:sz w:val="22"/>
          <w:szCs w:val="22"/>
          <w:u w:val="single"/>
        </w:rPr>
      </w:pPr>
      <w:del w:id="18618" w:author="AbbVie14" w:date="2025-05-09T11:01:00Z">
        <w:r w:rsidRPr="00295E71">
          <w:rPr>
            <w:sz w:val="22"/>
            <w:szCs w:val="22"/>
            <w:u w:val="single"/>
          </w:rPr>
          <w:delText>Adulti con artrite reumatoide, artrite psoriasica, spondilite anchilosante o spondiloartrite assiale senza evidenza radiografica di</w:delText>
        </w:r>
      </w:del>
      <w:del w:id="18619" w:author="AbbVie14" w:date="2025-05-09T11:01:00Z">
        <w:r w:rsidRPr="00295E71" w:rsidR="00D83FA8">
          <w:rPr>
            <w:sz w:val="22"/>
            <w:szCs w:val="22"/>
            <w:u w:val="single"/>
          </w:rPr>
          <w:delText xml:space="preserve"> </w:delText>
        </w:r>
      </w:del>
      <w:del w:id="18620" w:author="AbbVie14" w:date="2025-05-09T11:01:00Z">
        <w:r w:rsidRPr="00295E71">
          <w:rPr>
            <w:sz w:val="22"/>
            <w:szCs w:val="22"/>
            <w:u w:val="single"/>
          </w:rPr>
          <w:delText>spondilite anchilosante</w:delText>
        </w:r>
      </w:del>
    </w:p>
    <w:p w:rsidR="006224C2" w:rsidRPr="00295E71" w:rsidP="00FE3C0F" w14:paraId="1F8C45D0" w14:textId="77777777">
      <w:pPr>
        <w:numPr>
          <w:ilvl w:val="12"/>
          <w:numId w:val="0"/>
        </w:numPr>
        <w:tabs>
          <w:tab w:val="left" w:pos="567"/>
        </w:tabs>
        <w:ind w:right="-2"/>
        <w:jc w:val="both"/>
        <w:rPr>
          <w:del w:id="18621" w:author="AbbVie14" w:date="2025-05-09T11:01:00Z"/>
          <w:sz w:val="22"/>
          <w:szCs w:val="22"/>
        </w:rPr>
      </w:pPr>
    </w:p>
    <w:p w:rsidR="006224C2" w:rsidRPr="00295E71" w:rsidP="00FE3C0F" w14:paraId="635F04A4" w14:textId="77777777">
      <w:pPr>
        <w:numPr>
          <w:ilvl w:val="12"/>
          <w:numId w:val="0"/>
        </w:numPr>
        <w:tabs>
          <w:tab w:val="left" w:pos="567"/>
        </w:tabs>
        <w:ind w:right="-2"/>
        <w:jc w:val="both"/>
        <w:rPr>
          <w:del w:id="18622" w:author="AbbVie14" w:date="2025-05-09T11:01:00Z"/>
          <w:sz w:val="22"/>
          <w:szCs w:val="22"/>
        </w:rPr>
      </w:pPr>
      <w:del w:id="18623" w:author="AbbVie14" w:date="2025-05-09T11:01:00Z">
        <w:r w:rsidRPr="00295E71">
          <w:rPr>
            <w:sz w:val="22"/>
            <w:szCs w:val="22"/>
          </w:rPr>
          <w:delText xml:space="preserve">Humira va iniettato sotto la pelle (uso sottocutaneo). </w:delText>
        </w:r>
      </w:del>
      <w:del w:id="18624" w:author="AbbVie14" w:date="2025-05-09T11:01:00Z">
        <w:r w:rsidRPr="00295E71" w:rsidR="0069061C">
          <w:rPr>
            <w:sz w:val="22"/>
            <w:szCs w:val="22"/>
          </w:rPr>
          <w:delText>La dose abituale per</w:delText>
        </w:r>
      </w:del>
      <w:del w:id="18625" w:author="AbbVie14" w:date="2025-05-09T11:01:00Z">
        <w:r w:rsidRPr="00295E71" w:rsidR="00067450">
          <w:rPr>
            <w:sz w:val="22"/>
            <w:szCs w:val="22"/>
          </w:rPr>
          <w:delText xml:space="preserve"> gli</w:delText>
        </w:r>
      </w:del>
      <w:del w:id="18626" w:author="AbbVie14" w:date="2025-05-09T11:01:00Z">
        <w:r w:rsidRPr="00295E71">
          <w:rPr>
            <w:sz w:val="22"/>
            <w:szCs w:val="22"/>
          </w:rPr>
          <w:delText xml:space="preserve"> adulti con artrite reumatoide, spondilite anchilosante, spondiloartrite assiale senza evidenza radiografica di spondilite anchilosante</w:delText>
        </w:r>
      </w:del>
      <w:del w:id="18627" w:author="AbbVie14" w:date="2025-05-09T11:01:00Z">
        <w:r w:rsidRPr="00295E71" w:rsidR="00067450">
          <w:rPr>
            <w:sz w:val="22"/>
            <w:szCs w:val="22"/>
          </w:rPr>
          <w:delText xml:space="preserve"> </w:delText>
        </w:r>
      </w:del>
      <w:del w:id="18628" w:author="AbbVie14" w:date="2025-05-09T11:01:00Z">
        <w:r w:rsidRPr="00295E71">
          <w:rPr>
            <w:sz w:val="22"/>
            <w:szCs w:val="22"/>
          </w:rPr>
          <w:delText>e</w:delText>
        </w:r>
      </w:del>
      <w:del w:id="18629" w:author="AbbVie14" w:date="2025-05-09T11:01:00Z">
        <w:r w:rsidRPr="00295E71" w:rsidR="00067450">
          <w:rPr>
            <w:sz w:val="22"/>
            <w:szCs w:val="22"/>
          </w:rPr>
          <w:delText xml:space="preserve"> per pazienti con </w:delText>
        </w:r>
      </w:del>
      <w:del w:id="18630" w:author="AbbVie14" w:date="2025-05-09T11:01:00Z">
        <w:r w:rsidRPr="00295E71">
          <w:rPr>
            <w:sz w:val="22"/>
            <w:szCs w:val="22"/>
          </w:rPr>
          <w:delText xml:space="preserve">artrite psoriasica è di 40 mg di adalimumab a settimane alterne, somministrato in un’unica dose. </w:delText>
        </w:r>
      </w:del>
    </w:p>
    <w:p w:rsidR="006224C2" w:rsidRPr="00295E71" w:rsidP="00FE3C0F" w14:paraId="4F41FDBD" w14:textId="77777777">
      <w:pPr>
        <w:numPr>
          <w:ilvl w:val="12"/>
          <w:numId w:val="0"/>
        </w:numPr>
        <w:tabs>
          <w:tab w:val="left" w:pos="567"/>
        </w:tabs>
        <w:ind w:right="-2"/>
        <w:jc w:val="both"/>
        <w:rPr>
          <w:del w:id="18631" w:author="AbbVie14" w:date="2025-05-09T11:01:00Z"/>
          <w:sz w:val="22"/>
          <w:szCs w:val="22"/>
        </w:rPr>
      </w:pPr>
    </w:p>
    <w:p w:rsidR="006224C2" w:rsidRPr="00295E71" w:rsidP="00FE3C0F" w14:paraId="31B026A9" w14:textId="77777777">
      <w:pPr>
        <w:numPr>
          <w:ilvl w:val="12"/>
          <w:numId w:val="0"/>
        </w:numPr>
        <w:tabs>
          <w:tab w:val="left" w:pos="567"/>
        </w:tabs>
        <w:ind w:right="-2"/>
        <w:jc w:val="both"/>
        <w:rPr>
          <w:del w:id="18632" w:author="AbbVie14" w:date="2025-05-09T11:01:00Z"/>
          <w:sz w:val="22"/>
          <w:szCs w:val="22"/>
        </w:rPr>
      </w:pPr>
      <w:del w:id="18633" w:author="AbbVie14" w:date="2025-05-09T11:01:00Z">
        <w:r w:rsidRPr="00295E71">
          <w:rPr>
            <w:sz w:val="22"/>
            <w:szCs w:val="22"/>
          </w:rPr>
          <w:delText>Nell’artrite reumatoide, il metotressato viene continuato durante il trattamento con Humira. Se il medico decide che il metotressato non è appropriato, Humira può essere somministrato da solo.</w:delText>
        </w:r>
      </w:del>
    </w:p>
    <w:p w:rsidR="006224C2" w:rsidRPr="00295E71" w:rsidP="00FE3C0F" w14:paraId="4DC7E38E" w14:textId="77777777">
      <w:pPr>
        <w:numPr>
          <w:ilvl w:val="12"/>
          <w:numId w:val="0"/>
        </w:numPr>
        <w:tabs>
          <w:tab w:val="left" w:pos="567"/>
        </w:tabs>
        <w:ind w:right="-2"/>
        <w:jc w:val="both"/>
        <w:rPr>
          <w:del w:id="18634" w:author="AbbVie14" w:date="2025-05-09T11:01:00Z"/>
          <w:sz w:val="22"/>
          <w:szCs w:val="22"/>
        </w:rPr>
      </w:pPr>
    </w:p>
    <w:p w:rsidR="006224C2" w:rsidRPr="00295E71" w:rsidP="00FE3C0F" w14:paraId="0871A757" w14:textId="77777777">
      <w:pPr>
        <w:numPr>
          <w:ilvl w:val="12"/>
          <w:numId w:val="0"/>
        </w:numPr>
        <w:tabs>
          <w:tab w:val="left" w:pos="567"/>
        </w:tabs>
        <w:ind w:right="-2"/>
        <w:jc w:val="both"/>
        <w:rPr>
          <w:del w:id="18635" w:author="AbbVie14" w:date="2025-05-09T11:01:00Z"/>
          <w:sz w:val="22"/>
          <w:szCs w:val="22"/>
        </w:rPr>
      </w:pPr>
      <w:del w:id="18636" w:author="AbbVie14" w:date="2025-05-09T11:01:00Z">
        <w:r w:rsidRPr="00295E71">
          <w:rPr>
            <w:sz w:val="22"/>
            <w:szCs w:val="22"/>
          </w:rPr>
          <w:delText>Se è affetto da artrite reumatoide e non riceve metotressato in associazione al trattamento con Humira, il medico può decidere di prescriverle 40 mg di adalimumab ogni settimana</w:delText>
        </w:r>
      </w:del>
      <w:del w:id="18637" w:author="AbbVie14" w:date="2025-05-09T11:01:00Z">
        <w:r w:rsidRPr="00295E71" w:rsidR="00B309F2">
          <w:rPr>
            <w:sz w:val="22"/>
            <w:szCs w:val="22"/>
          </w:rPr>
          <w:delText xml:space="preserve"> o 80 mg a settimane alterne</w:delText>
        </w:r>
      </w:del>
      <w:del w:id="18638" w:author="AbbVie14" w:date="2025-05-09T11:01:00Z">
        <w:r w:rsidRPr="00295E71">
          <w:rPr>
            <w:sz w:val="22"/>
            <w:szCs w:val="22"/>
          </w:rPr>
          <w:delText>.</w:delText>
        </w:r>
      </w:del>
    </w:p>
    <w:p w:rsidR="006224C2" w:rsidRPr="00295E71" w:rsidP="00FE3C0F" w14:paraId="0B2D658A" w14:textId="77777777">
      <w:pPr>
        <w:numPr>
          <w:ilvl w:val="12"/>
          <w:numId w:val="0"/>
        </w:numPr>
        <w:tabs>
          <w:tab w:val="left" w:pos="567"/>
        </w:tabs>
        <w:ind w:right="-2"/>
        <w:jc w:val="both"/>
        <w:rPr>
          <w:del w:id="18639" w:author="AbbVie14" w:date="2025-05-09T11:01:00Z"/>
          <w:sz w:val="22"/>
          <w:szCs w:val="22"/>
        </w:rPr>
      </w:pPr>
    </w:p>
    <w:p w:rsidR="006224C2" w:rsidRPr="00295E71" w:rsidP="00FE3C0F" w14:paraId="679D03B2" w14:textId="77777777">
      <w:pPr>
        <w:pStyle w:val="BodyText2"/>
        <w:jc w:val="both"/>
        <w:rPr>
          <w:del w:id="18640" w:author="AbbVie14" w:date="2025-05-09T11:01:00Z"/>
          <w:u w:val="single"/>
        </w:rPr>
      </w:pPr>
      <w:del w:id="18641" w:author="AbbVie14" w:date="2025-05-09T11:01:00Z">
        <w:r w:rsidRPr="00295E71">
          <w:rPr>
            <w:u w:val="single"/>
          </w:rPr>
          <w:delText>Bambini</w:delText>
        </w:r>
      </w:del>
      <w:del w:id="18642" w:author="AbbVie14" w:date="2025-05-09T11:01:00Z">
        <w:r w:rsidRPr="00295E71" w:rsidR="00E84BA0">
          <w:rPr>
            <w:u w:val="single"/>
          </w:rPr>
          <w:delText>,</w:delText>
        </w:r>
      </w:del>
      <w:del w:id="18643" w:author="AbbVie14" w:date="2025-05-09T11:01:00Z">
        <w:r w:rsidRPr="00295E71">
          <w:rPr>
            <w:u w:val="single"/>
          </w:rPr>
          <w:delText xml:space="preserve"> </w:delText>
        </w:r>
      </w:del>
      <w:del w:id="18644" w:author="AbbVie14" w:date="2025-05-09T11:01:00Z">
        <w:r w:rsidRPr="00295E71" w:rsidR="00CF0A0D">
          <w:rPr>
            <w:u w:val="single"/>
          </w:rPr>
          <w:delText xml:space="preserve">adolescenti </w:delText>
        </w:r>
      </w:del>
      <w:del w:id="18645" w:author="AbbVie14" w:date="2025-05-09T11:01:00Z">
        <w:r w:rsidRPr="00295E71" w:rsidR="00E84BA0">
          <w:rPr>
            <w:u w:val="single"/>
          </w:rPr>
          <w:delText xml:space="preserve">e adulti </w:delText>
        </w:r>
      </w:del>
      <w:del w:id="18646" w:author="AbbVie14" w:date="2025-05-09T11:01:00Z">
        <w:r w:rsidRPr="00295E71">
          <w:rPr>
            <w:u w:val="single"/>
          </w:rPr>
          <w:delText>con artrite idiopatica giovanile poliarticolare</w:delText>
        </w:r>
      </w:del>
    </w:p>
    <w:p w:rsidR="006224C2" w:rsidRPr="00295E71" w:rsidP="00FE3C0F" w14:paraId="0DA3B615" w14:textId="77777777">
      <w:pPr>
        <w:pStyle w:val="BodyText2"/>
        <w:jc w:val="both"/>
        <w:rPr>
          <w:del w:id="18647" w:author="AbbVie14" w:date="2025-05-09T11:01:00Z"/>
        </w:rPr>
      </w:pPr>
    </w:p>
    <w:p w:rsidR="00BC55CA" w:rsidRPr="00295E71" w:rsidP="00FE3C0F" w14:paraId="5C8D051D" w14:textId="77777777">
      <w:pPr>
        <w:numPr>
          <w:ilvl w:val="12"/>
          <w:numId w:val="0"/>
        </w:numPr>
        <w:tabs>
          <w:tab w:val="left" w:pos="567"/>
        </w:tabs>
        <w:ind w:right="-2"/>
        <w:rPr>
          <w:del w:id="18648" w:author="AbbVie14" w:date="2025-05-09T11:01:00Z"/>
          <w:i/>
          <w:sz w:val="22"/>
          <w:szCs w:val="22"/>
        </w:rPr>
      </w:pPr>
      <w:del w:id="18649" w:author="AbbVie14" w:date="2025-05-09T11:01:00Z">
        <w:r w:rsidRPr="00295E71">
          <w:rPr>
            <w:i/>
            <w:sz w:val="22"/>
            <w:szCs w:val="22"/>
          </w:rPr>
          <w:delText xml:space="preserve">Bambini e adolescenti a partire da 2 anni di età e con peso compreso tra 10 kg e meno di 30 kg </w:delText>
        </w:r>
      </w:del>
    </w:p>
    <w:p w:rsidR="00BC55CA" w:rsidRPr="00295E71" w:rsidP="00FE3C0F" w14:paraId="290A204C" w14:textId="77777777">
      <w:pPr>
        <w:pStyle w:val="BodyText2"/>
        <w:rPr>
          <w:del w:id="18650" w:author="AbbVie14" w:date="2025-05-09T11:01:00Z"/>
        </w:rPr>
      </w:pPr>
    </w:p>
    <w:p w:rsidR="00BC55CA" w:rsidRPr="00295E71" w:rsidP="00FE3C0F" w14:paraId="0485D9A2" w14:textId="77777777">
      <w:pPr>
        <w:pStyle w:val="BodyText2"/>
        <w:rPr>
          <w:del w:id="18651" w:author="AbbVie14" w:date="2025-05-09T11:01:00Z"/>
        </w:rPr>
      </w:pPr>
      <w:del w:id="18652" w:author="AbbVie14" w:date="2025-05-09T11:01:00Z">
        <w:r w:rsidRPr="00295E71">
          <w:delText>La dose raccomandata di Humira è 20 mg a settimane alterne.</w:delText>
        </w:r>
      </w:del>
    </w:p>
    <w:p w:rsidR="00BC55CA" w:rsidRPr="00295E71" w:rsidP="00FE3C0F" w14:paraId="1DFABD0C" w14:textId="77777777">
      <w:pPr>
        <w:pStyle w:val="BodyText2"/>
        <w:rPr>
          <w:del w:id="18653" w:author="AbbVie14" w:date="2025-05-09T11:01:00Z"/>
        </w:rPr>
      </w:pPr>
    </w:p>
    <w:p w:rsidR="00BC55CA" w:rsidRPr="00295E71" w:rsidP="00FE3C0F" w14:paraId="37333ABE" w14:textId="77777777">
      <w:pPr>
        <w:numPr>
          <w:ilvl w:val="12"/>
          <w:numId w:val="0"/>
        </w:numPr>
        <w:tabs>
          <w:tab w:val="left" w:pos="567"/>
        </w:tabs>
        <w:ind w:right="-2"/>
        <w:rPr>
          <w:del w:id="18654" w:author="AbbVie14" w:date="2025-05-09T11:01:00Z"/>
          <w:i/>
          <w:sz w:val="22"/>
          <w:szCs w:val="22"/>
        </w:rPr>
      </w:pPr>
      <w:del w:id="18655" w:author="AbbVie14" w:date="2025-05-09T11:01:00Z">
        <w:r w:rsidRPr="00295E71">
          <w:rPr>
            <w:i/>
            <w:sz w:val="22"/>
            <w:szCs w:val="22"/>
          </w:rPr>
          <w:delText xml:space="preserve">Bambini, adolescenti e adulti a partire da 2 anni di età e con peso uguale o superiore a 30 kg </w:delText>
        </w:r>
      </w:del>
    </w:p>
    <w:p w:rsidR="00CF0A0D" w:rsidRPr="00295E71" w:rsidP="00FE3C0F" w14:paraId="43616C81" w14:textId="77777777">
      <w:pPr>
        <w:pStyle w:val="BodyText2"/>
        <w:rPr>
          <w:del w:id="18656" w:author="AbbVie14" w:date="2025-05-09T11:01:00Z"/>
        </w:rPr>
      </w:pPr>
    </w:p>
    <w:p w:rsidR="00CF0A0D" w:rsidRPr="00295E71" w:rsidP="00FE3C0F" w14:paraId="0B8C76C5" w14:textId="77777777">
      <w:pPr>
        <w:pStyle w:val="BodyText2"/>
        <w:jc w:val="both"/>
        <w:rPr>
          <w:del w:id="18657" w:author="AbbVie14" w:date="2025-05-09T11:01:00Z"/>
        </w:rPr>
      </w:pPr>
      <w:del w:id="18658" w:author="AbbVie14" w:date="2025-05-09T11:01:00Z">
        <w:r w:rsidRPr="00295E71">
          <w:delText>La dose raccomandata di Humira è 40 mg a settimane alterne.</w:delText>
        </w:r>
      </w:del>
    </w:p>
    <w:p w:rsidR="006224C2" w:rsidRPr="00295E71" w:rsidP="00FE3C0F" w14:paraId="26B5183E" w14:textId="77777777">
      <w:pPr>
        <w:numPr>
          <w:ilvl w:val="12"/>
          <w:numId w:val="0"/>
        </w:numPr>
        <w:tabs>
          <w:tab w:val="left" w:pos="567"/>
        </w:tabs>
        <w:ind w:right="-2"/>
        <w:jc w:val="both"/>
        <w:rPr>
          <w:del w:id="18659" w:author="AbbVie14" w:date="2025-05-09T11:01:00Z"/>
          <w:sz w:val="22"/>
          <w:szCs w:val="22"/>
        </w:rPr>
      </w:pPr>
    </w:p>
    <w:p w:rsidR="006224C2" w:rsidRPr="00295E71" w:rsidP="00FE3C0F" w14:paraId="0C6FD09A" w14:textId="77777777">
      <w:pPr>
        <w:numPr>
          <w:ilvl w:val="12"/>
          <w:numId w:val="0"/>
        </w:numPr>
        <w:ind w:right="-2"/>
        <w:rPr>
          <w:del w:id="18660" w:author="AbbVie14" w:date="2025-05-09T11:01:00Z"/>
          <w:sz w:val="22"/>
          <w:szCs w:val="22"/>
          <w:u w:val="single"/>
        </w:rPr>
      </w:pPr>
      <w:del w:id="18661" w:author="AbbVie14" w:date="2025-05-09T11:01:00Z">
        <w:r w:rsidRPr="00295E71">
          <w:rPr>
            <w:sz w:val="22"/>
            <w:szCs w:val="22"/>
            <w:u w:val="single"/>
          </w:rPr>
          <w:delText>Bambini</w:delText>
        </w:r>
      </w:del>
      <w:del w:id="18662" w:author="AbbVie14" w:date="2025-05-09T11:01:00Z">
        <w:r w:rsidRPr="00295E71" w:rsidR="00CF0A0D">
          <w:rPr>
            <w:sz w:val="22"/>
            <w:szCs w:val="22"/>
            <w:u w:val="single"/>
          </w:rPr>
          <w:delText>, adolescenti e adulti</w:delText>
        </w:r>
      </w:del>
      <w:del w:id="18663" w:author="AbbVie14" w:date="2025-05-09T11:01:00Z">
        <w:r w:rsidRPr="00295E71">
          <w:rPr>
            <w:sz w:val="22"/>
            <w:szCs w:val="22"/>
            <w:u w:val="single"/>
          </w:rPr>
          <w:delText xml:space="preserve"> con artrite associata ad entesite</w:delText>
        </w:r>
      </w:del>
    </w:p>
    <w:p w:rsidR="006224C2" w:rsidRPr="00295E71" w:rsidP="00FE3C0F" w14:paraId="38A261C3" w14:textId="77777777">
      <w:pPr>
        <w:numPr>
          <w:ilvl w:val="12"/>
          <w:numId w:val="0"/>
        </w:numPr>
        <w:ind w:right="-2"/>
        <w:rPr>
          <w:del w:id="18664" w:author="AbbVie14" w:date="2025-05-09T11:01:00Z"/>
          <w:sz w:val="22"/>
          <w:szCs w:val="22"/>
          <w:u w:val="single"/>
        </w:rPr>
      </w:pPr>
    </w:p>
    <w:p w:rsidR="00BC55CA" w:rsidRPr="00295E71" w:rsidP="00FE3C0F" w14:paraId="488D4A0F" w14:textId="77777777">
      <w:pPr>
        <w:numPr>
          <w:ilvl w:val="12"/>
          <w:numId w:val="0"/>
        </w:numPr>
        <w:ind w:right="-2"/>
        <w:rPr>
          <w:del w:id="18665" w:author="AbbVie14" w:date="2025-05-09T11:01:00Z"/>
          <w:sz w:val="22"/>
          <w:szCs w:val="22"/>
          <w:u w:val="single"/>
        </w:rPr>
      </w:pPr>
      <w:del w:id="18666" w:author="AbbVie14" w:date="2025-05-09T11:01:00Z">
        <w:r w:rsidRPr="00295E71">
          <w:rPr>
            <w:i/>
            <w:sz w:val="22"/>
            <w:szCs w:val="22"/>
          </w:rPr>
          <w:delText>Bambini e</w:delText>
        </w:r>
      </w:del>
      <w:del w:id="18667" w:author="AbbVie14" w:date="2025-05-09T11:01:00Z">
        <w:r w:rsidRPr="00295E71">
          <w:rPr>
            <w:i/>
          </w:rPr>
          <w:delText xml:space="preserve"> </w:delText>
        </w:r>
      </w:del>
      <w:del w:id="18668" w:author="AbbVie14" w:date="2025-05-09T11:01:00Z">
        <w:r w:rsidRPr="00295E71">
          <w:rPr>
            <w:i/>
            <w:sz w:val="22"/>
            <w:szCs w:val="22"/>
          </w:rPr>
          <w:delText>adolescenti a partire da 6 anni di età e con peso compreso tra 15 kg e meno di 30 kg</w:delText>
        </w:r>
      </w:del>
    </w:p>
    <w:p w:rsidR="00BC55CA" w:rsidRPr="00295E71" w:rsidP="00FE3C0F" w14:paraId="6F5F0194" w14:textId="77777777">
      <w:pPr>
        <w:numPr>
          <w:ilvl w:val="12"/>
          <w:numId w:val="0"/>
        </w:numPr>
        <w:ind w:right="-2"/>
        <w:rPr>
          <w:del w:id="18669" w:author="AbbVie14" w:date="2025-05-09T11:01:00Z"/>
          <w:sz w:val="22"/>
          <w:szCs w:val="22"/>
          <w:u w:val="single"/>
        </w:rPr>
      </w:pPr>
    </w:p>
    <w:p w:rsidR="00BC55CA" w:rsidRPr="00295E71" w:rsidP="00FE3C0F" w14:paraId="2ACC8CB1" w14:textId="77777777">
      <w:pPr>
        <w:numPr>
          <w:ilvl w:val="12"/>
          <w:numId w:val="0"/>
        </w:numPr>
        <w:ind w:right="-2"/>
        <w:rPr>
          <w:del w:id="18670" w:author="AbbVie14" w:date="2025-05-09T11:01:00Z"/>
          <w:sz w:val="22"/>
          <w:szCs w:val="22"/>
        </w:rPr>
      </w:pPr>
      <w:del w:id="18671" w:author="AbbVie14" w:date="2025-05-09T11:01:00Z">
        <w:r w:rsidRPr="00295E71">
          <w:rPr>
            <w:sz w:val="22"/>
            <w:szCs w:val="22"/>
          </w:rPr>
          <w:delText>La dose raccomandata di Humira è 20 mg a settimane alterne.</w:delText>
        </w:r>
      </w:del>
    </w:p>
    <w:p w:rsidR="00BC55CA" w:rsidRPr="00295E71" w:rsidP="00FE3C0F" w14:paraId="043E3AF2" w14:textId="77777777">
      <w:pPr>
        <w:numPr>
          <w:ilvl w:val="12"/>
          <w:numId w:val="0"/>
        </w:numPr>
        <w:ind w:right="-2"/>
        <w:rPr>
          <w:del w:id="18672" w:author="AbbVie14" w:date="2025-05-09T11:01:00Z"/>
          <w:sz w:val="22"/>
          <w:szCs w:val="22"/>
          <w:u w:val="single"/>
        </w:rPr>
      </w:pPr>
    </w:p>
    <w:p w:rsidR="00BC55CA" w:rsidRPr="00295E71" w:rsidP="00FE3C0F" w14:paraId="626804D1" w14:textId="77777777">
      <w:pPr>
        <w:numPr>
          <w:ilvl w:val="12"/>
          <w:numId w:val="0"/>
        </w:numPr>
        <w:ind w:right="-2"/>
        <w:rPr>
          <w:del w:id="18673" w:author="AbbVie14" w:date="2025-05-09T11:01:00Z"/>
          <w:sz w:val="22"/>
          <w:szCs w:val="22"/>
          <w:u w:val="single"/>
        </w:rPr>
      </w:pPr>
      <w:del w:id="18674" w:author="AbbVie14" w:date="2025-05-09T11:01:00Z">
        <w:r w:rsidRPr="00295E71">
          <w:rPr>
            <w:i/>
            <w:sz w:val="22"/>
            <w:szCs w:val="22"/>
          </w:rPr>
          <w:delText>Bambini, adolescenti e adulti a partire da 6 anni di età e con peso uguale o superiore a 30 kg</w:delText>
        </w:r>
      </w:del>
    </w:p>
    <w:p w:rsidR="00BC55CA" w:rsidRPr="00295E71" w:rsidP="00FE3C0F" w14:paraId="4B8DBAE3" w14:textId="77777777">
      <w:pPr>
        <w:numPr>
          <w:ilvl w:val="12"/>
          <w:numId w:val="0"/>
        </w:numPr>
        <w:ind w:right="-2"/>
        <w:rPr>
          <w:del w:id="18675" w:author="AbbVie14" w:date="2025-05-09T11:01:00Z"/>
          <w:sz w:val="22"/>
          <w:szCs w:val="22"/>
          <w:u w:val="single"/>
        </w:rPr>
      </w:pPr>
    </w:p>
    <w:p w:rsidR="006224C2" w:rsidRPr="00295E71" w:rsidP="00FE3C0F" w14:paraId="17478510" w14:textId="77777777">
      <w:pPr>
        <w:numPr>
          <w:ilvl w:val="12"/>
          <w:numId w:val="0"/>
        </w:numPr>
        <w:tabs>
          <w:tab w:val="left" w:pos="567"/>
        </w:tabs>
        <w:ind w:right="-2"/>
        <w:jc w:val="both"/>
        <w:rPr>
          <w:del w:id="18676" w:author="AbbVie14" w:date="2025-05-09T11:01:00Z"/>
          <w:sz w:val="22"/>
          <w:szCs w:val="22"/>
          <w:u w:val="single"/>
        </w:rPr>
      </w:pPr>
      <w:del w:id="18677" w:author="AbbVie14" w:date="2025-05-09T11:01:00Z">
        <w:r w:rsidRPr="00295E71">
          <w:rPr>
            <w:sz w:val="22"/>
            <w:szCs w:val="22"/>
          </w:rPr>
          <w:delText>La dose raccomandata di Humira è 40 mg a settimane alterne.</w:delText>
        </w:r>
      </w:del>
    </w:p>
    <w:p w:rsidR="00B309F2" w:rsidRPr="00295E71" w:rsidP="00FE3C0F" w14:paraId="2DC86E30" w14:textId="77777777">
      <w:pPr>
        <w:numPr>
          <w:ilvl w:val="12"/>
          <w:numId w:val="0"/>
        </w:numPr>
        <w:tabs>
          <w:tab w:val="left" w:pos="567"/>
        </w:tabs>
        <w:ind w:right="-2"/>
        <w:jc w:val="both"/>
        <w:rPr>
          <w:del w:id="18678" w:author="AbbVie14" w:date="2025-05-09T11:01:00Z"/>
          <w:sz w:val="22"/>
          <w:szCs w:val="22"/>
          <w:u w:val="single"/>
        </w:rPr>
      </w:pPr>
    </w:p>
    <w:p w:rsidR="006224C2" w:rsidRPr="00295E71" w:rsidP="00FE3C0F" w14:paraId="7D37E3D4" w14:textId="77777777">
      <w:pPr>
        <w:numPr>
          <w:ilvl w:val="12"/>
          <w:numId w:val="0"/>
        </w:numPr>
        <w:tabs>
          <w:tab w:val="left" w:pos="567"/>
        </w:tabs>
        <w:ind w:right="-2"/>
        <w:jc w:val="both"/>
        <w:rPr>
          <w:del w:id="18679" w:author="AbbVie14" w:date="2025-05-09T11:01:00Z"/>
          <w:sz w:val="22"/>
          <w:szCs w:val="22"/>
          <w:u w:val="single"/>
        </w:rPr>
      </w:pPr>
      <w:del w:id="18680" w:author="AbbVie14" w:date="2025-05-09T11:01:00Z">
        <w:r w:rsidRPr="00295E71">
          <w:rPr>
            <w:sz w:val="22"/>
            <w:szCs w:val="22"/>
            <w:u w:val="single"/>
          </w:rPr>
          <w:delText>Adulti con psoriasi</w:delText>
        </w:r>
      </w:del>
    </w:p>
    <w:p w:rsidR="006224C2" w:rsidRPr="00295E71" w:rsidP="00FE3C0F" w14:paraId="642C254A" w14:textId="77777777">
      <w:pPr>
        <w:numPr>
          <w:ilvl w:val="12"/>
          <w:numId w:val="0"/>
        </w:numPr>
        <w:tabs>
          <w:tab w:val="left" w:pos="567"/>
        </w:tabs>
        <w:ind w:right="-2"/>
        <w:jc w:val="both"/>
        <w:rPr>
          <w:del w:id="18681" w:author="AbbVie14" w:date="2025-05-09T11:01:00Z"/>
          <w:sz w:val="22"/>
          <w:szCs w:val="22"/>
        </w:rPr>
      </w:pPr>
    </w:p>
    <w:p w:rsidR="006224C2" w:rsidRPr="00295E71" w:rsidP="00FE3C0F" w14:paraId="0C9F69AB" w14:textId="77777777">
      <w:pPr>
        <w:numPr>
          <w:ilvl w:val="12"/>
          <w:numId w:val="0"/>
        </w:numPr>
        <w:tabs>
          <w:tab w:val="left" w:pos="567"/>
        </w:tabs>
        <w:ind w:right="-2"/>
        <w:jc w:val="both"/>
        <w:rPr>
          <w:del w:id="18682" w:author="AbbVie14" w:date="2025-05-09T11:01:00Z"/>
          <w:sz w:val="22"/>
          <w:szCs w:val="22"/>
        </w:rPr>
      </w:pPr>
      <w:del w:id="18683" w:author="AbbVie14" w:date="2025-05-09T11:01:00Z">
        <w:r w:rsidRPr="00295E71">
          <w:rPr>
            <w:sz w:val="22"/>
            <w:szCs w:val="22"/>
          </w:rPr>
          <w:delText xml:space="preserve">La dose abituale di Humira per gli adulti </w:delText>
        </w:r>
      </w:del>
      <w:del w:id="18684" w:author="AbbVie14" w:date="2025-05-09T11:01:00Z">
        <w:r w:rsidRPr="00295E71" w:rsidR="00067450">
          <w:rPr>
            <w:sz w:val="22"/>
            <w:szCs w:val="22"/>
          </w:rPr>
          <w:delText>con</w:delText>
        </w:r>
      </w:del>
      <w:del w:id="18685" w:author="AbbVie14" w:date="2025-05-09T11:01:00Z">
        <w:r w:rsidRPr="00295E71">
          <w:rPr>
            <w:sz w:val="22"/>
            <w:szCs w:val="22"/>
          </w:rPr>
          <w:delText xml:space="preserve"> psoriasi è una dose iniziale </w:delText>
        </w:r>
      </w:del>
      <w:del w:id="18686" w:author="AbbVie14" w:date="2025-05-09T11:01:00Z">
        <w:r w:rsidRPr="00295E71" w:rsidR="00067450">
          <w:rPr>
            <w:sz w:val="22"/>
            <w:szCs w:val="22"/>
          </w:rPr>
          <w:delText>di</w:delText>
        </w:r>
      </w:del>
      <w:del w:id="18687" w:author="AbbVie14" w:date="2025-05-09T11:01:00Z">
        <w:r w:rsidRPr="00295E71">
          <w:rPr>
            <w:sz w:val="22"/>
            <w:szCs w:val="22"/>
          </w:rPr>
          <w:delText xml:space="preserve"> 80 mg</w:delText>
        </w:r>
      </w:del>
      <w:del w:id="18688" w:author="AbbVie14" w:date="2025-05-09T11:01:00Z">
        <w:r w:rsidRPr="00295E71" w:rsidR="00067450">
          <w:rPr>
            <w:sz w:val="22"/>
            <w:szCs w:val="22"/>
          </w:rPr>
          <w:delText xml:space="preserve"> (tramite due iniezioni</w:delText>
        </w:r>
      </w:del>
      <w:del w:id="18689" w:author="AbbVie14" w:date="2025-05-09T11:01:00Z">
        <w:r w:rsidRPr="00295E71" w:rsidR="00B309F2">
          <w:rPr>
            <w:sz w:val="22"/>
            <w:szCs w:val="22"/>
          </w:rPr>
          <w:delText xml:space="preserve"> da 40 mg</w:delText>
        </w:r>
      </w:del>
      <w:del w:id="18690" w:author="AbbVie14" w:date="2025-05-09T11:01:00Z">
        <w:r w:rsidRPr="00295E71" w:rsidR="00067450">
          <w:rPr>
            <w:sz w:val="22"/>
            <w:szCs w:val="22"/>
          </w:rPr>
          <w:delText xml:space="preserve"> in un giorno)</w:delText>
        </w:r>
      </w:del>
      <w:del w:id="18691" w:author="AbbVie14" w:date="2025-05-09T11:01:00Z">
        <w:r w:rsidRPr="00295E71">
          <w:rPr>
            <w:sz w:val="22"/>
            <w:szCs w:val="22"/>
          </w:rPr>
          <w:delText xml:space="preserve">, seguita da una dose </w:delText>
        </w:r>
      </w:del>
      <w:del w:id="18692" w:author="AbbVie14" w:date="2025-05-09T11:01:00Z">
        <w:r w:rsidRPr="00295E71" w:rsidR="00067450">
          <w:rPr>
            <w:sz w:val="22"/>
            <w:szCs w:val="22"/>
          </w:rPr>
          <w:delText>di</w:delText>
        </w:r>
      </w:del>
      <w:del w:id="18693" w:author="AbbVie14" w:date="2025-05-09T11:01:00Z">
        <w:r w:rsidRPr="00295E71">
          <w:rPr>
            <w:sz w:val="22"/>
            <w:szCs w:val="22"/>
          </w:rPr>
          <w:delText xml:space="preserve"> 40 mg, somministrata a settimane alterne, ad iniziare dalla settimana successiva all’assunzione della dose iniziale. Deve continuare il trattamento con Humira per il tempo indicato dal medico. In </w:delText>
        </w:r>
      </w:del>
      <w:del w:id="18694" w:author="AbbVie14" w:date="2025-05-09T11:01:00Z">
        <w:r w:rsidRPr="00295E71" w:rsidR="001E6FA8">
          <w:rPr>
            <w:sz w:val="22"/>
            <w:szCs w:val="22"/>
          </w:rPr>
          <w:delText>funzione della</w:delText>
        </w:r>
      </w:del>
      <w:del w:id="18695" w:author="AbbVie14" w:date="2025-05-09T11:01:00Z">
        <w:r w:rsidRPr="00295E71">
          <w:rPr>
            <w:sz w:val="22"/>
            <w:szCs w:val="22"/>
          </w:rPr>
          <w:delText xml:space="preserve"> risposta clinica, il medico può aumentare </w:delText>
        </w:r>
      </w:del>
      <w:del w:id="18696" w:author="AbbVie14" w:date="2025-05-09T11:01:00Z">
        <w:r w:rsidRPr="00295E71" w:rsidR="00B309F2">
          <w:rPr>
            <w:sz w:val="22"/>
            <w:szCs w:val="22"/>
          </w:rPr>
          <w:delText>il</w:delText>
        </w:r>
      </w:del>
      <w:del w:id="18697" w:author="AbbVie14" w:date="2025-05-09T11:01:00Z">
        <w:r w:rsidRPr="00295E71">
          <w:rPr>
            <w:sz w:val="22"/>
            <w:szCs w:val="22"/>
          </w:rPr>
          <w:delText xml:space="preserve"> dos</w:delText>
        </w:r>
      </w:del>
      <w:del w:id="18698" w:author="AbbVie14" w:date="2025-05-09T11:01:00Z">
        <w:r w:rsidRPr="00295E71" w:rsidR="00B309F2">
          <w:rPr>
            <w:sz w:val="22"/>
            <w:szCs w:val="22"/>
          </w:rPr>
          <w:delText>aggio</w:delText>
        </w:r>
      </w:del>
      <w:del w:id="18699" w:author="AbbVie14" w:date="2025-05-09T11:01:00Z">
        <w:r w:rsidRPr="00295E71">
          <w:rPr>
            <w:sz w:val="22"/>
            <w:szCs w:val="22"/>
          </w:rPr>
          <w:delText xml:space="preserve"> a 40 mg ogni settimana</w:delText>
        </w:r>
      </w:del>
      <w:del w:id="18700" w:author="AbbVie14" w:date="2025-05-09T11:01:00Z">
        <w:r w:rsidRPr="00295E71" w:rsidR="00B309F2">
          <w:rPr>
            <w:sz w:val="22"/>
            <w:szCs w:val="22"/>
          </w:rPr>
          <w:delText xml:space="preserve"> o 80 mg a settimane alterne</w:delText>
        </w:r>
      </w:del>
      <w:del w:id="18701" w:author="AbbVie14" w:date="2025-05-09T11:01:00Z">
        <w:r w:rsidRPr="00295E71">
          <w:rPr>
            <w:sz w:val="22"/>
            <w:szCs w:val="22"/>
          </w:rPr>
          <w:delText>.</w:delText>
        </w:r>
      </w:del>
    </w:p>
    <w:p w:rsidR="006224C2" w:rsidRPr="00295E71" w:rsidP="00FE3C0F" w14:paraId="5AA57A2B" w14:textId="77777777">
      <w:pPr>
        <w:numPr>
          <w:ilvl w:val="12"/>
          <w:numId w:val="0"/>
        </w:numPr>
        <w:tabs>
          <w:tab w:val="left" w:pos="567"/>
        </w:tabs>
        <w:ind w:right="-2"/>
        <w:jc w:val="both"/>
        <w:rPr>
          <w:del w:id="18702" w:author="AbbVie14" w:date="2025-05-09T11:01:00Z"/>
          <w:sz w:val="22"/>
          <w:szCs w:val="22"/>
        </w:rPr>
      </w:pPr>
    </w:p>
    <w:p w:rsidR="006224C2" w:rsidRPr="00295E71" w:rsidP="00FE3C0F" w14:paraId="194CB48A" w14:textId="77777777">
      <w:pPr>
        <w:keepNext/>
        <w:rPr>
          <w:del w:id="18703" w:author="AbbVie14" w:date="2025-05-09T11:01:00Z"/>
          <w:sz w:val="22"/>
          <w:szCs w:val="22"/>
          <w:u w:val="single"/>
        </w:rPr>
      </w:pPr>
      <w:del w:id="18704" w:author="AbbVie14" w:date="2025-05-09T11:01:00Z">
        <w:r w:rsidRPr="00295E71">
          <w:rPr>
            <w:sz w:val="22"/>
            <w:szCs w:val="22"/>
            <w:u w:val="single"/>
          </w:rPr>
          <w:delText xml:space="preserve">Bambini </w:delText>
        </w:r>
      </w:del>
      <w:del w:id="18705" w:author="AbbVie14" w:date="2025-05-09T11:01:00Z">
        <w:r w:rsidRPr="00295E71" w:rsidR="00F47872">
          <w:rPr>
            <w:sz w:val="22"/>
            <w:szCs w:val="22"/>
            <w:u w:val="single"/>
          </w:rPr>
          <w:delText xml:space="preserve">e </w:delText>
        </w:r>
      </w:del>
      <w:del w:id="18706" w:author="AbbVie14" w:date="2025-05-09T11:01:00Z">
        <w:r w:rsidRPr="00295E71">
          <w:rPr>
            <w:sz w:val="22"/>
            <w:szCs w:val="22"/>
            <w:u w:val="single"/>
          </w:rPr>
          <w:delText xml:space="preserve">adolescenti </w:delText>
        </w:r>
      </w:del>
      <w:del w:id="18707" w:author="AbbVie14" w:date="2025-05-09T11:01:00Z">
        <w:r w:rsidRPr="00295E71" w:rsidR="00224E13">
          <w:rPr>
            <w:sz w:val="22"/>
            <w:szCs w:val="22"/>
            <w:u w:val="single"/>
          </w:rPr>
          <w:delText>con</w:delText>
        </w:r>
      </w:del>
      <w:del w:id="18708" w:author="AbbVie14" w:date="2025-05-09T11:01:00Z">
        <w:r w:rsidRPr="00295E71">
          <w:rPr>
            <w:sz w:val="22"/>
            <w:szCs w:val="22"/>
            <w:u w:val="single"/>
          </w:rPr>
          <w:delText xml:space="preserve"> psoriasi a placche</w:delText>
        </w:r>
      </w:del>
    </w:p>
    <w:p w:rsidR="006224C2" w:rsidRPr="00295E71" w:rsidP="00FE3C0F" w14:paraId="2EB6E1B5" w14:textId="77777777">
      <w:pPr>
        <w:keepNext/>
        <w:numPr>
          <w:ilvl w:val="12"/>
          <w:numId w:val="0"/>
        </w:numPr>
        <w:tabs>
          <w:tab w:val="left" w:pos="567"/>
        </w:tabs>
        <w:ind w:right="-2"/>
        <w:jc w:val="both"/>
        <w:rPr>
          <w:del w:id="18709" w:author="AbbVie14" w:date="2025-05-09T11:01:00Z"/>
          <w:sz w:val="22"/>
          <w:szCs w:val="22"/>
          <w:u w:val="single"/>
        </w:rPr>
      </w:pPr>
    </w:p>
    <w:p w:rsidR="00F47872" w:rsidRPr="00295E71" w:rsidP="00FE3C0F" w14:paraId="38FDB2D9" w14:textId="77777777">
      <w:pPr>
        <w:numPr>
          <w:ilvl w:val="12"/>
          <w:numId w:val="0"/>
        </w:numPr>
        <w:ind w:right="-2"/>
        <w:rPr>
          <w:del w:id="18710" w:author="AbbVie14" w:date="2025-05-09T11:01:00Z"/>
          <w:sz w:val="22"/>
          <w:szCs w:val="22"/>
          <w:u w:val="single"/>
        </w:rPr>
      </w:pPr>
      <w:del w:id="18711" w:author="AbbVie14" w:date="2025-05-09T11:01:00Z">
        <w:r w:rsidRPr="00295E71">
          <w:rPr>
            <w:i/>
            <w:sz w:val="22"/>
            <w:szCs w:val="22"/>
          </w:rPr>
          <w:delText>Bambini e adolescenti di età compresa tra 4 e 17 anni e con peso compreso tra 15 kg e meno di 30 kg</w:delText>
        </w:r>
      </w:del>
    </w:p>
    <w:p w:rsidR="00F47872" w:rsidRPr="00295E71" w:rsidP="00FE3C0F" w14:paraId="77C2FD5B" w14:textId="77777777">
      <w:pPr>
        <w:numPr>
          <w:ilvl w:val="12"/>
          <w:numId w:val="0"/>
        </w:numPr>
        <w:tabs>
          <w:tab w:val="left" w:pos="567"/>
        </w:tabs>
        <w:ind w:right="-2"/>
        <w:rPr>
          <w:del w:id="18712" w:author="AbbVie14" w:date="2025-05-09T11:01:00Z"/>
          <w:sz w:val="22"/>
          <w:szCs w:val="22"/>
        </w:rPr>
      </w:pPr>
    </w:p>
    <w:p w:rsidR="00F47872" w:rsidRPr="00295E71" w:rsidP="00FE3C0F" w14:paraId="0E7E73B0" w14:textId="77777777">
      <w:pPr>
        <w:numPr>
          <w:ilvl w:val="12"/>
          <w:numId w:val="0"/>
        </w:numPr>
        <w:tabs>
          <w:tab w:val="left" w:pos="567"/>
        </w:tabs>
        <w:ind w:right="-2"/>
        <w:rPr>
          <w:del w:id="18713" w:author="AbbVie14" w:date="2025-05-09T11:01:00Z"/>
          <w:sz w:val="22"/>
          <w:szCs w:val="22"/>
        </w:rPr>
      </w:pPr>
      <w:del w:id="18714" w:author="AbbVie14" w:date="2025-05-09T11:01:00Z">
        <w:r w:rsidRPr="00295E71">
          <w:rPr>
            <w:sz w:val="22"/>
            <w:szCs w:val="22"/>
          </w:rPr>
          <w:delText xml:space="preserve">La dose raccomandata di Humira è una dose iniziale di 20 mg, seguita da una dose di 20 mg la settimana seguente. Successivamente, la dose abituale è di 20 mg a settimane alterne. </w:delText>
        </w:r>
      </w:del>
    </w:p>
    <w:p w:rsidR="00F47872" w:rsidRPr="00295E71" w:rsidP="00FE3C0F" w14:paraId="2428E282" w14:textId="77777777">
      <w:pPr>
        <w:numPr>
          <w:ilvl w:val="12"/>
          <w:numId w:val="0"/>
        </w:numPr>
        <w:tabs>
          <w:tab w:val="left" w:pos="567"/>
        </w:tabs>
        <w:ind w:right="-2"/>
        <w:rPr>
          <w:del w:id="18715" w:author="AbbVie14" w:date="2025-05-09T11:01:00Z"/>
          <w:sz w:val="22"/>
          <w:szCs w:val="22"/>
        </w:rPr>
      </w:pPr>
    </w:p>
    <w:p w:rsidR="00F47872" w:rsidRPr="00295E71" w:rsidP="00FE3C0F" w14:paraId="4F865836" w14:textId="77777777">
      <w:pPr>
        <w:numPr>
          <w:ilvl w:val="12"/>
          <w:numId w:val="0"/>
        </w:numPr>
        <w:ind w:right="-2"/>
        <w:rPr>
          <w:del w:id="18716" w:author="AbbVie14" w:date="2025-05-09T11:01:00Z"/>
          <w:sz w:val="22"/>
          <w:szCs w:val="22"/>
          <w:u w:val="single"/>
        </w:rPr>
      </w:pPr>
      <w:del w:id="18717" w:author="AbbVie14" w:date="2025-05-09T11:01:00Z">
        <w:r w:rsidRPr="00295E71">
          <w:rPr>
            <w:i/>
            <w:sz w:val="22"/>
            <w:szCs w:val="22"/>
          </w:rPr>
          <w:delText>Bambini e adolescenti di età compresa tra 4 e 17 anni e con peso uguale o superiore a 30 kg</w:delText>
        </w:r>
      </w:del>
    </w:p>
    <w:p w:rsidR="00F47872" w:rsidRPr="00295E71" w:rsidP="00FE3C0F" w14:paraId="6FF2F84A" w14:textId="77777777">
      <w:pPr>
        <w:numPr>
          <w:ilvl w:val="12"/>
          <w:numId w:val="0"/>
        </w:numPr>
        <w:tabs>
          <w:tab w:val="left" w:pos="567"/>
        </w:tabs>
        <w:ind w:right="-2"/>
        <w:rPr>
          <w:del w:id="18718" w:author="AbbVie14" w:date="2025-05-09T11:01:00Z"/>
          <w:sz w:val="22"/>
          <w:szCs w:val="22"/>
        </w:rPr>
      </w:pPr>
    </w:p>
    <w:p w:rsidR="00F47872" w:rsidRPr="00295E71" w:rsidP="00FE3C0F" w14:paraId="572C2591" w14:textId="77777777">
      <w:pPr>
        <w:numPr>
          <w:ilvl w:val="12"/>
          <w:numId w:val="0"/>
        </w:numPr>
        <w:tabs>
          <w:tab w:val="left" w:pos="567"/>
        </w:tabs>
        <w:ind w:right="-2"/>
        <w:rPr>
          <w:del w:id="18719" w:author="AbbVie14" w:date="2025-05-09T11:01:00Z"/>
          <w:sz w:val="22"/>
          <w:szCs w:val="22"/>
        </w:rPr>
      </w:pPr>
      <w:del w:id="18720" w:author="AbbVie14" w:date="2025-05-09T11:01:00Z">
        <w:r w:rsidRPr="00295E71">
          <w:rPr>
            <w:sz w:val="22"/>
            <w:szCs w:val="22"/>
          </w:rPr>
          <w:delText>La dose raccomandata di Humira è una dose iniziale di 40 mg, seguita da una dose di 40 mg la settimana seguente. Successivamente, la dose abituale è di 40 mg a settimane alterne.</w:delText>
        </w:r>
      </w:del>
    </w:p>
    <w:p w:rsidR="006224C2" w:rsidRPr="00295E71" w:rsidP="00FE3C0F" w14:paraId="53AA2116" w14:textId="77777777">
      <w:pPr>
        <w:numPr>
          <w:ilvl w:val="12"/>
          <w:numId w:val="0"/>
        </w:numPr>
        <w:tabs>
          <w:tab w:val="left" w:pos="567"/>
        </w:tabs>
        <w:ind w:right="-2"/>
        <w:jc w:val="both"/>
        <w:rPr>
          <w:del w:id="18721" w:author="AbbVie14" w:date="2025-05-09T11:01:00Z"/>
          <w:sz w:val="22"/>
          <w:szCs w:val="22"/>
        </w:rPr>
      </w:pPr>
    </w:p>
    <w:p w:rsidR="006224C2" w:rsidRPr="00295E71" w:rsidP="00FE3C0F" w14:paraId="40C43B09" w14:textId="77777777">
      <w:pPr>
        <w:keepNext/>
        <w:numPr>
          <w:ilvl w:val="12"/>
          <w:numId w:val="0"/>
        </w:numPr>
        <w:tabs>
          <w:tab w:val="left" w:pos="567"/>
        </w:tabs>
        <w:ind w:right="-2"/>
        <w:jc w:val="both"/>
        <w:rPr>
          <w:del w:id="18722" w:author="AbbVie14" w:date="2025-05-09T11:01:00Z"/>
          <w:sz w:val="22"/>
          <w:szCs w:val="22"/>
          <w:u w:val="single"/>
        </w:rPr>
      </w:pPr>
      <w:del w:id="18723" w:author="AbbVie14" w:date="2025-05-09T11:01:00Z">
        <w:r w:rsidRPr="00295E71">
          <w:rPr>
            <w:sz w:val="22"/>
            <w:szCs w:val="22"/>
            <w:u w:val="single"/>
          </w:rPr>
          <w:delText xml:space="preserve">Adulti con </w:delText>
        </w:r>
      </w:del>
      <w:del w:id="18724" w:author="AbbVie14" w:date="2025-05-09T11:01:00Z">
        <w:r w:rsidRPr="00295E71" w:rsidR="00BC55CA">
          <w:rPr>
            <w:sz w:val="22"/>
            <w:szCs w:val="22"/>
            <w:u w:val="single"/>
          </w:rPr>
          <w:delText>i</w:delText>
        </w:r>
      </w:del>
      <w:del w:id="18725" w:author="AbbVie14" w:date="2025-05-09T11:01:00Z">
        <w:r w:rsidRPr="00295E71">
          <w:rPr>
            <w:sz w:val="22"/>
            <w:szCs w:val="22"/>
            <w:u w:val="single"/>
          </w:rPr>
          <w:delText xml:space="preserve">drosadenite </w:delText>
        </w:r>
      </w:del>
      <w:del w:id="18726" w:author="AbbVie14" w:date="2025-05-09T11:01:00Z">
        <w:r w:rsidRPr="00295E71" w:rsidR="00BC55CA">
          <w:rPr>
            <w:sz w:val="22"/>
            <w:szCs w:val="22"/>
            <w:u w:val="single"/>
          </w:rPr>
          <w:delText>s</w:delText>
        </w:r>
      </w:del>
      <w:del w:id="18727" w:author="AbbVie14" w:date="2025-05-09T11:01:00Z">
        <w:r w:rsidRPr="00295E71">
          <w:rPr>
            <w:sz w:val="22"/>
            <w:szCs w:val="22"/>
            <w:u w:val="single"/>
          </w:rPr>
          <w:delText>uppurativa</w:delText>
        </w:r>
      </w:del>
    </w:p>
    <w:p w:rsidR="006224C2" w:rsidRPr="00295E71" w:rsidP="00FE3C0F" w14:paraId="43198D47" w14:textId="77777777">
      <w:pPr>
        <w:keepNext/>
        <w:numPr>
          <w:ilvl w:val="12"/>
          <w:numId w:val="0"/>
        </w:numPr>
        <w:tabs>
          <w:tab w:val="left" w:pos="567"/>
        </w:tabs>
        <w:ind w:right="-2"/>
        <w:jc w:val="both"/>
        <w:rPr>
          <w:del w:id="18728" w:author="AbbVie14" w:date="2025-05-09T11:01:00Z"/>
          <w:sz w:val="22"/>
          <w:szCs w:val="22"/>
          <w:u w:val="single"/>
        </w:rPr>
      </w:pPr>
    </w:p>
    <w:p w:rsidR="006224C2" w:rsidRPr="00295E71" w:rsidP="00FE3C0F" w14:paraId="464DC1CC" w14:textId="77777777">
      <w:pPr>
        <w:keepNext/>
        <w:rPr>
          <w:del w:id="18729" w:author="AbbVie14" w:date="2025-05-09T11:01:00Z"/>
          <w:sz w:val="22"/>
          <w:szCs w:val="22"/>
        </w:rPr>
      </w:pPr>
      <w:del w:id="18730" w:author="AbbVie14" w:date="2025-05-09T11:01:00Z">
        <w:r w:rsidRPr="00295E71">
          <w:rPr>
            <w:sz w:val="22"/>
            <w:szCs w:val="22"/>
          </w:rPr>
          <w:delText xml:space="preserve">La dose abituale </w:delText>
        </w:r>
      </w:del>
      <w:del w:id="18731" w:author="AbbVie14" w:date="2025-05-09T11:01:00Z">
        <w:r w:rsidRPr="00295E71" w:rsidR="00F47872">
          <w:rPr>
            <w:sz w:val="22"/>
            <w:szCs w:val="22"/>
          </w:rPr>
          <w:delText xml:space="preserve">in caso di </w:delText>
        </w:r>
      </w:del>
      <w:del w:id="18732" w:author="AbbVie14" w:date="2025-05-09T11:01:00Z">
        <w:r w:rsidRPr="00295E71">
          <w:rPr>
            <w:sz w:val="22"/>
            <w:szCs w:val="22"/>
          </w:rPr>
          <w:delText>Idrosadenite Suppurativa è una dose iniziale di 160 mg (</w:delText>
        </w:r>
      </w:del>
      <w:del w:id="18733" w:author="AbbVie14" w:date="2025-05-09T11:01:00Z">
        <w:r w:rsidRPr="00295E71" w:rsidR="00F47872">
          <w:rPr>
            <w:sz w:val="22"/>
            <w:szCs w:val="22"/>
          </w:rPr>
          <w:delText>tramite quattro</w:delText>
        </w:r>
      </w:del>
      <w:del w:id="18734" w:author="AbbVie14" w:date="2025-05-09T11:01:00Z">
        <w:r w:rsidRPr="00295E71">
          <w:rPr>
            <w:sz w:val="22"/>
            <w:szCs w:val="22"/>
          </w:rPr>
          <w:delText xml:space="preserve"> iniezioni</w:delText>
        </w:r>
      </w:del>
      <w:del w:id="18735" w:author="AbbVie14" w:date="2025-05-09T11:01:00Z">
        <w:r w:rsidRPr="00295E71" w:rsidR="00B309F2">
          <w:rPr>
            <w:sz w:val="22"/>
            <w:szCs w:val="22"/>
          </w:rPr>
          <w:delText xml:space="preserve"> da 40 mg</w:delText>
        </w:r>
      </w:del>
      <w:del w:id="18736" w:author="AbbVie14" w:date="2025-05-09T11:01:00Z">
        <w:r w:rsidRPr="00295E71">
          <w:rPr>
            <w:sz w:val="22"/>
            <w:szCs w:val="22"/>
          </w:rPr>
          <w:delText xml:space="preserve"> in un giorno o </w:delText>
        </w:r>
      </w:del>
      <w:del w:id="18737" w:author="AbbVie14" w:date="2025-05-09T11:01:00Z">
        <w:r w:rsidRPr="00295E71" w:rsidR="00F47872">
          <w:rPr>
            <w:sz w:val="22"/>
            <w:szCs w:val="22"/>
          </w:rPr>
          <w:delText xml:space="preserve">due </w:delText>
        </w:r>
      </w:del>
      <w:del w:id="18738" w:author="AbbVie14" w:date="2025-05-09T11:01:00Z">
        <w:r w:rsidRPr="00295E71">
          <w:rPr>
            <w:sz w:val="22"/>
            <w:szCs w:val="22"/>
          </w:rPr>
          <w:delText>iniezioni</w:delText>
        </w:r>
      </w:del>
      <w:del w:id="18739" w:author="AbbVie14" w:date="2025-05-09T11:01:00Z">
        <w:r w:rsidRPr="00295E71" w:rsidR="00B309F2">
          <w:rPr>
            <w:sz w:val="22"/>
            <w:szCs w:val="22"/>
          </w:rPr>
          <w:delText xml:space="preserve"> da 40 mg</w:delText>
        </w:r>
      </w:del>
      <w:del w:id="18740" w:author="AbbVie14" w:date="2025-05-09T11:01:00Z">
        <w:r w:rsidRPr="00295E71">
          <w:rPr>
            <w:sz w:val="22"/>
            <w:szCs w:val="22"/>
          </w:rPr>
          <w:delText xml:space="preserve"> al giorno per due giorni consecutivi), seguita da una dose di 80 mg (</w:delText>
        </w:r>
      </w:del>
      <w:del w:id="18741" w:author="AbbVie14" w:date="2025-05-09T11:01:00Z">
        <w:r w:rsidRPr="00295E71" w:rsidR="00F47872">
          <w:rPr>
            <w:sz w:val="22"/>
            <w:szCs w:val="22"/>
          </w:rPr>
          <w:delText>tramite due</w:delText>
        </w:r>
      </w:del>
      <w:del w:id="18742" w:author="AbbVie14" w:date="2025-05-09T11:01:00Z">
        <w:r w:rsidRPr="00295E71">
          <w:rPr>
            <w:sz w:val="22"/>
            <w:szCs w:val="22"/>
          </w:rPr>
          <w:delText xml:space="preserve"> iniezioni</w:delText>
        </w:r>
      </w:del>
      <w:del w:id="18743" w:author="AbbVie14" w:date="2025-05-09T11:01:00Z">
        <w:r w:rsidRPr="00295E71" w:rsidR="00B309F2">
          <w:rPr>
            <w:sz w:val="22"/>
            <w:szCs w:val="22"/>
          </w:rPr>
          <w:delText xml:space="preserve"> da 40 mg</w:delText>
        </w:r>
      </w:del>
      <w:del w:id="18744" w:author="AbbVie14" w:date="2025-05-09T11:01:00Z">
        <w:r w:rsidRPr="00295E71">
          <w:rPr>
            <w:sz w:val="22"/>
            <w:szCs w:val="22"/>
          </w:rPr>
          <w:delText xml:space="preserve"> </w:delText>
        </w:r>
      </w:del>
      <w:del w:id="18745" w:author="AbbVie14" w:date="2025-05-09T11:01:00Z">
        <w:r w:rsidRPr="00295E71" w:rsidR="00F47872">
          <w:rPr>
            <w:sz w:val="22"/>
            <w:szCs w:val="22"/>
          </w:rPr>
          <w:delText>in un</w:delText>
        </w:r>
      </w:del>
      <w:del w:id="18746" w:author="AbbVie14" w:date="2025-05-09T11:01:00Z">
        <w:r w:rsidRPr="00295E71">
          <w:rPr>
            <w:sz w:val="22"/>
            <w:szCs w:val="22"/>
          </w:rPr>
          <w:delText xml:space="preserve"> giorno) due settimane dopo. Dopo altre due settimane, continuare con una dose di 40 mg a settimana</w:delText>
        </w:r>
      </w:del>
      <w:del w:id="18747" w:author="AbbVie14" w:date="2025-05-09T11:01:00Z">
        <w:r w:rsidRPr="00295E71" w:rsidR="00294FE9">
          <w:rPr>
            <w:sz w:val="22"/>
            <w:szCs w:val="22"/>
          </w:rPr>
          <w:delText xml:space="preserve"> o 80 mg a settimane alterne, come prescritto dal medico</w:delText>
        </w:r>
      </w:del>
      <w:del w:id="18748" w:author="AbbVie14" w:date="2025-05-09T11:01:00Z">
        <w:r w:rsidRPr="00295E71">
          <w:rPr>
            <w:sz w:val="22"/>
            <w:szCs w:val="22"/>
          </w:rPr>
          <w:delText xml:space="preserve">. Si raccomanda di utilizzare tutti i giorni una soluzione di lavaggio antisettica sulle aree interessate. </w:delText>
        </w:r>
      </w:del>
    </w:p>
    <w:p w:rsidR="006224C2" w:rsidRPr="00295E71" w:rsidP="00FE3C0F" w14:paraId="30108341" w14:textId="77777777">
      <w:pPr>
        <w:numPr>
          <w:ilvl w:val="12"/>
          <w:numId w:val="0"/>
        </w:numPr>
        <w:tabs>
          <w:tab w:val="left" w:pos="567"/>
        </w:tabs>
        <w:ind w:right="-2"/>
        <w:jc w:val="both"/>
        <w:rPr>
          <w:del w:id="18749" w:author="AbbVie14" w:date="2025-05-09T11:01:00Z"/>
          <w:sz w:val="22"/>
          <w:szCs w:val="22"/>
          <w:u w:val="single"/>
        </w:rPr>
      </w:pPr>
    </w:p>
    <w:p w:rsidR="006224C2" w:rsidRPr="00295E71" w:rsidP="00FE3C0F" w14:paraId="04882DC8" w14:textId="77777777">
      <w:pPr>
        <w:keepNext/>
        <w:keepLines/>
        <w:numPr>
          <w:ilvl w:val="12"/>
          <w:numId w:val="0"/>
        </w:numPr>
        <w:rPr>
          <w:del w:id="18750" w:author="AbbVie14" w:date="2025-05-09T11:01:00Z"/>
          <w:sz w:val="22"/>
          <w:szCs w:val="22"/>
          <w:u w:val="single"/>
        </w:rPr>
      </w:pPr>
      <w:del w:id="18751" w:author="AbbVie14" w:date="2025-05-09T11:01:00Z">
        <w:r w:rsidRPr="00295E71">
          <w:rPr>
            <w:sz w:val="22"/>
            <w:szCs w:val="22"/>
            <w:u w:val="single"/>
          </w:rPr>
          <w:delText>Adolescenti con idrosadenite suppurativa</w:delText>
        </w:r>
      </w:del>
      <w:del w:id="18752" w:author="AbbVie14" w:date="2025-05-09T11:01:00Z">
        <w:r w:rsidRPr="00295E71" w:rsidR="00616E39">
          <w:rPr>
            <w:sz w:val="22"/>
            <w:szCs w:val="22"/>
            <w:u w:val="single"/>
          </w:rPr>
          <w:delText xml:space="preserve"> di età compresa tra</w:delText>
        </w:r>
      </w:del>
      <w:del w:id="18753" w:author="AbbVie14" w:date="2025-05-09T11:01:00Z">
        <w:r w:rsidRPr="00295E71">
          <w:rPr>
            <w:sz w:val="22"/>
            <w:szCs w:val="22"/>
            <w:u w:val="single"/>
          </w:rPr>
          <w:delText xml:space="preserve"> 12</w:delText>
        </w:r>
      </w:del>
      <w:del w:id="18754" w:author="AbbVie14" w:date="2025-05-09T11:01:00Z">
        <w:r w:rsidRPr="00295E71" w:rsidR="00616E39">
          <w:rPr>
            <w:sz w:val="22"/>
            <w:szCs w:val="22"/>
            <w:u w:val="single"/>
          </w:rPr>
          <w:delText xml:space="preserve"> e 17</w:delText>
        </w:r>
      </w:del>
      <w:del w:id="18755" w:author="AbbVie14" w:date="2025-05-09T11:01:00Z">
        <w:r w:rsidRPr="00295E71">
          <w:rPr>
            <w:sz w:val="22"/>
            <w:szCs w:val="22"/>
            <w:u w:val="single"/>
          </w:rPr>
          <w:delText xml:space="preserve"> anni, </w:delText>
        </w:r>
      </w:del>
      <w:del w:id="18756" w:author="AbbVie14" w:date="2025-05-09T11:01:00Z">
        <w:r w:rsidRPr="00295E71" w:rsidR="00616E39">
          <w:rPr>
            <w:sz w:val="22"/>
            <w:szCs w:val="22"/>
            <w:u w:val="single"/>
          </w:rPr>
          <w:delText>con peso uguale o superiore a</w:delText>
        </w:r>
      </w:del>
      <w:del w:id="18757" w:author="AbbVie14" w:date="2025-05-09T11:01:00Z">
        <w:r w:rsidRPr="00295E71">
          <w:rPr>
            <w:sz w:val="22"/>
            <w:szCs w:val="22"/>
            <w:u w:val="single"/>
          </w:rPr>
          <w:delText xml:space="preserve"> 30 kg</w:delText>
        </w:r>
      </w:del>
    </w:p>
    <w:p w:rsidR="006224C2" w:rsidRPr="00295E71" w:rsidP="00FE3C0F" w14:paraId="77510AF9" w14:textId="77777777">
      <w:pPr>
        <w:keepNext/>
        <w:keepLines/>
        <w:numPr>
          <w:ilvl w:val="12"/>
          <w:numId w:val="0"/>
        </w:numPr>
        <w:rPr>
          <w:del w:id="18758" w:author="AbbVie14" w:date="2025-05-09T11:01:00Z"/>
          <w:sz w:val="22"/>
          <w:szCs w:val="22"/>
        </w:rPr>
      </w:pPr>
    </w:p>
    <w:p w:rsidR="006224C2" w:rsidRPr="00295E71" w:rsidP="00FE3C0F" w14:paraId="7B1EF0EF" w14:textId="77777777">
      <w:pPr>
        <w:keepNext/>
        <w:keepLines/>
        <w:numPr>
          <w:ilvl w:val="12"/>
          <w:numId w:val="0"/>
        </w:numPr>
        <w:jc w:val="both"/>
        <w:rPr>
          <w:del w:id="18759" w:author="AbbVie14" w:date="2025-05-09T11:01:00Z"/>
          <w:sz w:val="22"/>
          <w:szCs w:val="22"/>
        </w:rPr>
      </w:pPr>
      <w:del w:id="18760" w:author="AbbVie14" w:date="2025-05-09T11:01:00Z">
        <w:r w:rsidRPr="00295E71">
          <w:rPr>
            <w:sz w:val="22"/>
            <w:szCs w:val="22"/>
          </w:rPr>
          <w:delText>La dose raccomandata di Humira è una dose iniziale di 80 mg (</w:delText>
        </w:r>
      </w:del>
      <w:del w:id="18761" w:author="AbbVie14" w:date="2025-05-09T11:01:00Z">
        <w:r w:rsidRPr="00295E71" w:rsidR="00616E39">
          <w:rPr>
            <w:sz w:val="22"/>
            <w:szCs w:val="22"/>
          </w:rPr>
          <w:delText xml:space="preserve">tramite </w:delText>
        </w:r>
      </w:del>
      <w:del w:id="18762" w:author="AbbVie14" w:date="2025-05-09T11:01:00Z">
        <w:r w:rsidRPr="00295E71">
          <w:rPr>
            <w:sz w:val="22"/>
            <w:szCs w:val="22"/>
          </w:rPr>
          <w:delText>due iniezioni da 40 mg in un giorno), seguita da 40 mg somministrati a settimane alterne a partire da una settimana dopo la dose iniziale. In caso di risposta inadeguata</w:delText>
        </w:r>
      </w:del>
      <w:del w:id="18763" w:author="AbbVie14" w:date="2025-05-09T11:01:00Z">
        <w:r w:rsidRPr="00295E71" w:rsidR="00294FE9">
          <w:rPr>
            <w:sz w:val="22"/>
            <w:szCs w:val="22"/>
          </w:rPr>
          <w:delText xml:space="preserve"> a 40 mg di Humira a settimane alterne</w:delText>
        </w:r>
      </w:del>
      <w:del w:id="18764" w:author="AbbVie14" w:date="2025-05-09T11:01:00Z">
        <w:r w:rsidRPr="00295E71">
          <w:rPr>
            <w:sz w:val="22"/>
            <w:szCs w:val="22"/>
          </w:rPr>
          <w:delText xml:space="preserve">, il medico può aumentare </w:delText>
        </w:r>
      </w:del>
      <w:del w:id="18765" w:author="AbbVie14" w:date="2025-05-09T11:01:00Z">
        <w:r w:rsidRPr="00295E71" w:rsidR="00294FE9">
          <w:rPr>
            <w:sz w:val="22"/>
            <w:szCs w:val="22"/>
          </w:rPr>
          <w:delText>il</w:delText>
        </w:r>
      </w:del>
      <w:del w:id="18766" w:author="AbbVie14" w:date="2025-05-09T11:01:00Z">
        <w:r w:rsidRPr="00295E71">
          <w:rPr>
            <w:sz w:val="22"/>
            <w:szCs w:val="22"/>
          </w:rPr>
          <w:delText xml:space="preserve"> dos</w:delText>
        </w:r>
      </w:del>
      <w:del w:id="18767" w:author="AbbVie14" w:date="2025-05-09T11:01:00Z">
        <w:r w:rsidRPr="00295E71" w:rsidR="00294FE9">
          <w:rPr>
            <w:sz w:val="22"/>
            <w:szCs w:val="22"/>
          </w:rPr>
          <w:delText>aggio</w:delText>
        </w:r>
      </w:del>
      <w:del w:id="18768" w:author="AbbVie14" w:date="2025-05-09T11:01:00Z">
        <w:r w:rsidRPr="00295E71">
          <w:rPr>
            <w:sz w:val="22"/>
            <w:szCs w:val="22"/>
          </w:rPr>
          <w:delText xml:space="preserve"> a 40 mg ogni settimana</w:delText>
        </w:r>
      </w:del>
      <w:del w:id="18769" w:author="AbbVie14" w:date="2025-05-09T11:01:00Z">
        <w:r w:rsidRPr="00295E71" w:rsidR="00294FE9">
          <w:rPr>
            <w:sz w:val="22"/>
            <w:szCs w:val="22"/>
          </w:rPr>
          <w:delText xml:space="preserve"> o 80 mg a settimane alterne</w:delText>
        </w:r>
      </w:del>
      <w:del w:id="18770" w:author="AbbVie14" w:date="2025-05-09T11:01:00Z">
        <w:r w:rsidRPr="00295E71">
          <w:rPr>
            <w:sz w:val="22"/>
            <w:szCs w:val="22"/>
          </w:rPr>
          <w:delText>.</w:delText>
        </w:r>
      </w:del>
    </w:p>
    <w:p w:rsidR="006224C2" w:rsidRPr="00295E71" w:rsidP="00FE3C0F" w14:paraId="6D0DF20A" w14:textId="77777777">
      <w:pPr>
        <w:numPr>
          <w:ilvl w:val="12"/>
          <w:numId w:val="0"/>
        </w:numPr>
        <w:ind w:right="-2"/>
        <w:rPr>
          <w:del w:id="18771" w:author="AbbVie14" w:date="2025-05-09T11:01:00Z"/>
          <w:sz w:val="22"/>
          <w:szCs w:val="22"/>
        </w:rPr>
      </w:pPr>
    </w:p>
    <w:p w:rsidR="006224C2" w:rsidRPr="00295E71" w:rsidP="00FE3C0F" w14:paraId="4B0B5528" w14:textId="77777777">
      <w:pPr>
        <w:numPr>
          <w:ilvl w:val="12"/>
          <w:numId w:val="0"/>
        </w:numPr>
        <w:ind w:right="-2"/>
        <w:rPr>
          <w:del w:id="18772" w:author="AbbVie14" w:date="2025-05-09T11:01:00Z"/>
          <w:sz w:val="22"/>
          <w:szCs w:val="22"/>
        </w:rPr>
      </w:pPr>
      <w:del w:id="18773" w:author="AbbVie14" w:date="2025-05-09T11:01:00Z">
        <w:r w:rsidRPr="00295E71">
          <w:rPr>
            <w:sz w:val="22"/>
            <w:szCs w:val="22"/>
          </w:rPr>
          <w:delText>Si raccomanda di utilizzare tutti i giorni una soluzione di lavaggio antisettica sulle aree interessate.</w:delText>
        </w:r>
      </w:del>
    </w:p>
    <w:p w:rsidR="006224C2" w:rsidRPr="00295E71" w:rsidP="00FE3C0F" w14:paraId="0CCEAC30" w14:textId="77777777">
      <w:pPr>
        <w:numPr>
          <w:ilvl w:val="12"/>
          <w:numId w:val="0"/>
        </w:numPr>
        <w:ind w:right="-2"/>
        <w:rPr>
          <w:del w:id="18774" w:author="AbbVie14" w:date="2025-05-09T11:01:00Z"/>
          <w:sz w:val="22"/>
          <w:szCs w:val="22"/>
        </w:rPr>
      </w:pPr>
    </w:p>
    <w:p w:rsidR="006224C2" w:rsidRPr="00295E71" w:rsidP="00FE3C0F" w14:paraId="6FB059F1" w14:textId="77777777">
      <w:pPr>
        <w:keepNext/>
        <w:numPr>
          <w:ilvl w:val="12"/>
          <w:numId w:val="0"/>
        </w:numPr>
        <w:tabs>
          <w:tab w:val="left" w:pos="567"/>
        </w:tabs>
        <w:ind w:right="-2"/>
        <w:jc w:val="both"/>
        <w:rPr>
          <w:del w:id="18775" w:author="AbbVie14" w:date="2025-05-09T11:01:00Z"/>
          <w:sz w:val="22"/>
          <w:szCs w:val="22"/>
          <w:u w:val="single"/>
        </w:rPr>
      </w:pPr>
      <w:del w:id="18776" w:author="AbbVie14" w:date="2025-05-09T11:01:00Z">
        <w:r w:rsidRPr="00295E71">
          <w:rPr>
            <w:sz w:val="22"/>
            <w:szCs w:val="22"/>
            <w:u w:val="single"/>
          </w:rPr>
          <w:delText>Adulti con malattia di Crohn</w:delText>
        </w:r>
      </w:del>
    </w:p>
    <w:p w:rsidR="006224C2" w:rsidRPr="00295E71" w:rsidP="00FE3C0F" w14:paraId="5B776EB5" w14:textId="77777777">
      <w:pPr>
        <w:keepNext/>
        <w:numPr>
          <w:ilvl w:val="12"/>
          <w:numId w:val="0"/>
        </w:numPr>
        <w:tabs>
          <w:tab w:val="left" w:pos="567"/>
        </w:tabs>
        <w:ind w:right="-2"/>
        <w:jc w:val="both"/>
        <w:rPr>
          <w:del w:id="18777" w:author="AbbVie14" w:date="2025-05-09T11:01:00Z"/>
          <w:sz w:val="22"/>
          <w:szCs w:val="22"/>
        </w:rPr>
      </w:pPr>
    </w:p>
    <w:p w:rsidR="006224C2" w:rsidRPr="00295E71" w:rsidP="00FE3C0F" w14:paraId="0FDEEED9" w14:textId="77777777">
      <w:pPr>
        <w:keepNext/>
        <w:numPr>
          <w:ilvl w:val="12"/>
          <w:numId w:val="0"/>
        </w:numPr>
        <w:tabs>
          <w:tab w:val="left" w:pos="567"/>
        </w:tabs>
        <w:ind w:right="-2"/>
        <w:jc w:val="both"/>
        <w:rPr>
          <w:del w:id="18778" w:author="AbbVie14" w:date="2025-05-09T11:01:00Z"/>
          <w:sz w:val="22"/>
          <w:szCs w:val="22"/>
        </w:rPr>
      </w:pPr>
      <w:del w:id="18779" w:author="AbbVie14" w:date="2025-05-09T11:01:00Z">
        <w:r w:rsidRPr="00295E71">
          <w:rPr>
            <w:sz w:val="22"/>
            <w:szCs w:val="22"/>
          </w:rPr>
          <w:delText>La dose abituale in caso di malattia di Crohn è inizialmente di 80 mg</w:delText>
        </w:r>
      </w:del>
      <w:del w:id="18780" w:author="AbbVie14" w:date="2025-05-09T11:01:00Z">
        <w:r w:rsidRPr="00295E71" w:rsidR="00517498">
          <w:rPr>
            <w:sz w:val="22"/>
            <w:szCs w:val="22"/>
          </w:rPr>
          <w:delText xml:space="preserve"> (tramite due iniezioni</w:delText>
        </w:r>
      </w:del>
      <w:del w:id="18781" w:author="AbbVie14" w:date="2025-05-09T11:01:00Z">
        <w:r w:rsidRPr="00295E71" w:rsidR="00294FE9">
          <w:rPr>
            <w:sz w:val="22"/>
            <w:szCs w:val="22"/>
          </w:rPr>
          <w:delText xml:space="preserve"> da 40 mg</w:delText>
        </w:r>
      </w:del>
      <w:del w:id="18782" w:author="AbbVie14" w:date="2025-05-09T11:01:00Z">
        <w:r w:rsidRPr="00295E71" w:rsidR="00517498">
          <w:rPr>
            <w:sz w:val="22"/>
            <w:szCs w:val="22"/>
          </w:rPr>
          <w:delText xml:space="preserve"> in un giorno)</w:delText>
        </w:r>
      </w:del>
      <w:del w:id="18783" w:author="AbbVie14" w:date="2025-05-09T11:01:00Z">
        <w:r w:rsidRPr="00295E71">
          <w:rPr>
            <w:sz w:val="22"/>
            <w:szCs w:val="22"/>
          </w:rPr>
          <w:delText xml:space="preserve"> </w:delText>
        </w:r>
      </w:del>
      <w:del w:id="18784" w:author="AbbVie14" w:date="2025-05-09T11:01:00Z">
        <w:r w:rsidRPr="00295E71" w:rsidR="00517498">
          <w:rPr>
            <w:sz w:val="22"/>
            <w:szCs w:val="22"/>
          </w:rPr>
          <w:delText xml:space="preserve">seguita </w:delText>
        </w:r>
      </w:del>
      <w:del w:id="18785" w:author="AbbVie14" w:date="2025-05-09T11:01:00Z">
        <w:r w:rsidRPr="00295E71">
          <w:rPr>
            <w:sz w:val="22"/>
            <w:szCs w:val="22"/>
          </w:rPr>
          <w:delText xml:space="preserve">da 40 mg a settimane alterne, </w:delText>
        </w:r>
      </w:del>
      <w:del w:id="18786" w:author="AbbVie14" w:date="2025-05-09T11:01:00Z">
        <w:r w:rsidRPr="00295E71" w:rsidR="00517498">
          <w:rPr>
            <w:sz w:val="22"/>
            <w:szCs w:val="22"/>
          </w:rPr>
          <w:delText xml:space="preserve">dopo </w:delText>
        </w:r>
      </w:del>
      <w:del w:id="18787" w:author="AbbVie14" w:date="2025-05-09T11:01:00Z">
        <w:r w:rsidRPr="00295E71">
          <w:rPr>
            <w:sz w:val="22"/>
            <w:szCs w:val="22"/>
          </w:rPr>
          <w:delText xml:space="preserve">due settimane. </w:delText>
        </w:r>
      </w:del>
      <w:del w:id="18788" w:author="AbbVie14" w:date="2025-05-09T11:01:00Z">
        <w:r w:rsidRPr="00295E71" w:rsidR="00517498">
          <w:rPr>
            <w:sz w:val="22"/>
            <w:szCs w:val="22"/>
          </w:rPr>
          <w:delText>Nel caso sia necessaria</w:delText>
        </w:r>
      </w:del>
      <w:del w:id="18789" w:author="AbbVie14" w:date="2025-05-09T11:01:00Z">
        <w:r w:rsidRPr="00295E71">
          <w:rPr>
            <w:sz w:val="22"/>
            <w:szCs w:val="22"/>
          </w:rPr>
          <w:delText xml:space="preserve"> una risposta più rapida, il medico </w:delText>
        </w:r>
      </w:del>
      <w:del w:id="18790" w:author="AbbVie14" w:date="2025-05-09T11:01:00Z">
        <w:r w:rsidRPr="00295E71" w:rsidR="00517498">
          <w:rPr>
            <w:sz w:val="22"/>
            <w:szCs w:val="22"/>
          </w:rPr>
          <w:delText xml:space="preserve">può </w:delText>
        </w:r>
      </w:del>
      <w:del w:id="18791" w:author="AbbVie14" w:date="2025-05-09T11:01:00Z">
        <w:r w:rsidRPr="00295E71">
          <w:rPr>
            <w:sz w:val="22"/>
            <w:szCs w:val="22"/>
          </w:rPr>
          <w:delText>prescrivere una dose iniziale di 160 mg (</w:delText>
        </w:r>
      </w:del>
      <w:del w:id="18792" w:author="AbbVie14" w:date="2025-05-09T11:01:00Z">
        <w:r w:rsidRPr="00295E71" w:rsidR="00517498">
          <w:rPr>
            <w:sz w:val="22"/>
            <w:szCs w:val="22"/>
          </w:rPr>
          <w:delText>tramite quattro</w:delText>
        </w:r>
      </w:del>
      <w:del w:id="18793" w:author="AbbVie14" w:date="2025-05-09T11:01:00Z">
        <w:r w:rsidRPr="00295E71">
          <w:rPr>
            <w:sz w:val="22"/>
            <w:szCs w:val="22"/>
          </w:rPr>
          <w:delText xml:space="preserve"> iniezioni</w:delText>
        </w:r>
      </w:del>
      <w:del w:id="18794" w:author="AbbVie14" w:date="2025-05-09T11:01:00Z">
        <w:r w:rsidRPr="00295E71" w:rsidR="00294FE9">
          <w:rPr>
            <w:sz w:val="22"/>
            <w:szCs w:val="22"/>
          </w:rPr>
          <w:delText xml:space="preserve"> da 40 mg</w:delText>
        </w:r>
      </w:del>
      <w:del w:id="18795" w:author="AbbVie14" w:date="2025-05-09T11:01:00Z">
        <w:r w:rsidRPr="00295E71">
          <w:rPr>
            <w:sz w:val="22"/>
            <w:szCs w:val="22"/>
          </w:rPr>
          <w:delText xml:space="preserve"> in un giorno o </w:delText>
        </w:r>
      </w:del>
      <w:del w:id="18796" w:author="AbbVie14" w:date="2025-05-09T11:01:00Z">
        <w:r w:rsidRPr="00295E71" w:rsidR="00517498">
          <w:rPr>
            <w:sz w:val="22"/>
            <w:szCs w:val="22"/>
          </w:rPr>
          <w:delText>due</w:delText>
        </w:r>
      </w:del>
      <w:del w:id="18797" w:author="AbbVie14" w:date="2025-05-09T11:01:00Z">
        <w:r w:rsidRPr="00295E71">
          <w:rPr>
            <w:sz w:val="22"/>
            <w:szCs w:val="22"/>
          </w:rPr>
          <w:delText xml:space="preserve"> iniezioni</w:delText>
        </w:r>
      </w:del>
      <w:del w:id="18798" w:author="AbbVie14" w:date="2025-05-09T11:01:00Z">
        <w:r w:rsidRPr="00295E71" w:rsidR="00294FE9">
          <w:rPr>
            <w:sz w:val="22"/>
            <w:szCs w:val="22"/>
          </w:rPr>
          <w:delText xml:space="preserve"> da 40 mg</w:delText>
        </w:r>
      </w:del>
      <w:del w:id="18799" w:author="AbbVie14" w:date="2025-05-09T11:01:00Z">
        <w:r w:rsidRPr="00295E71">
          <w:rPr>
            <w:sz w:val="22"/>
            <w:szCs w:val="22"/>
          </w:rPr>
          <w:delText xml:space="preserve"> al giorno per due giorni consecutivi) seguita da 80 mg</w:delText>
        </w:r>
      </w:del>
      <w:del w:id="18800" w:author="AbbVie14" w:date="2025-05-09T11:01:00Z">
        <w:r w:rsidRPr="00295E71" w:rsidR="00517498">
          <w:rPr>
            <w:sz w:val="22"/>
            <w:szCs w:val="22"/>
          </w:rPr>
          <w:delText xml:space="preserve"> (tramite due iniezioni</w:delText>
        </w:r>
      </w:del>
      <w:del w:id="18801" w:author="AbbVie14" w:date="2025-05-09T11:01:00Z">
        <w:r w:rsidRPr="00295E71" w:rsidR="00294FE9">
          <w:rPr>
            <w:sz w:val="22"/>
            <w:szCs w:val="22"/>
          </w:rPr>
          <w:delText xml:space="preserve"> da 40 mg</w:delText>
        </w:r>
      </w:del>
      <w:del w:id="18802" w:author="AbbVie14" w:date="2025-05-09T11:01:00Z">
        <w:r w:rsidRPr="00295E71" w:rsidR="00517498">
          <w:rPr>
            <w:sz w:val="22"/>
            <w:szCs w:val="22"/>
          </w:rPr>
          <w:delText xml:space="preserve"> in un giorno)</w:delText>
        </w:r>
      </w:del>
      <w:del w:id="18803" w:author="AbbVie14" w:date="2025-05-09T11:01:00Z">
        <w:r w:rsidRPr="00295E71">
          <w:rPr>
            <w:sz w:val="22"/>
            <w:szCs w:val="22"/>
          </w:rPr>
          <w:delText xml:space="preserve"> </w:delText>
        </w:r>
      </w:del>
      <w:del w:id="18804" w:author="AbbVie14" w:date="2025-05-09T11:01:00Z">
        <w:r w:rsidRPr="00295E71" w:rsidR="00891083">
          <w:rPr>
            <w:sz w:val="22"/>
            <w:szCs w:val="22"/>
          </w:rPr>
          <w:delText xml:space="preserve">dopo </w:delText>
        </w:r>
      </w:del>
      <w:del w:id="18805" w:author="AbbVie14" w:date="2025-05-09T11:01:00Z">
        <w:r w:rsidRPr="00295E71">
          <w:rPr>
            <w:sz w:val="22"/>
            <w:szCs w:val="22"/>
          </w:rPr>
          <w:delText xml:space="preserve">due settimane e successivamente 40 mg a settimane alterne. In funzione della risposta clinica, il medico </w:delText>
        </w:r>
      </w:del>
      <w:del w:id="18806" w:author="AbbVie14" w:date="2025-05-09T11:01:00Z">
        <w:r w:rsidRPr="00295E71" w:rsidR="00517498">
          <w:rPr>
            <w:sz w:val="22"/>
            <w:szCs w:val="22"/>
          </w:rPr>
          <w:delText xml:space="preserve">può </w:delText>
        </w:r>
      </w:del>
      <w:del w:id="18807" w:author="AbbVie14" w:date="2025-05-09T11:01:00Z">
        <w:r w:rsidRPr="00295E71">
          <w:rPr>
            <w:sz w:val="22"/>
            <w:szCs w:val="22"/>
          </w:rPr>
          <w:delText xml:space="preserve">aumentare </w:delText>
        </w:r>
      </w:del>
      <w:del w:id="18808" w:author="AbbVie14" w:date="2025-05-09T11:01:00Z">
        <w:r w:rsidRPr="00295E71" w:rsidR="002D0546">
          <w:rPr>
            <w:sz w:val="22"/>
            <w:szCs w:val="22"/>
          </w:rPr>
          <w:delText>il</w:delText>
        </w:r>
      </w:del>
      <w:del w:id="18809" w:author="AbbVie14" w:date="2025-05-09T11:01:00Z">
        <w:r w:rsidRPr="00295E71">
          <w:rPr>
            <w:sz w:val="22"/>
            <w:szCs w:val="22"/>
          </w:rPr>
          <w:delText xml:space="preserve"> dos</w:delText>
        </w:r>
      </w:del>
      <w:del w:id="18810" w:author="AbbVie14" w:date="2025-05-09T11:01:00Z">
        <w:r w:rsidRPr="00295E71" w:rsidR="002D0546">
          <w:rPr>
            <w:sz w:val="22"/>
            <w:szCs w:val="22"/>
          </w:rPr>
          <w:delText>aggio</w:delText>
        </w:r>
      </w:del>
      <w:del w:id="18811" w:author="AbbVie14" w:date="2025-05-09T11:01:00Z">
        <w:r w:rsidRPr="00295E71">
          <w:rPr>
            <w:sz w:val="22"/>
            <w:szCs w:val="22"/>
          </w:rPr>
          <w:delText xml:space="preserve"> a 40 mg ogni settimana</w:delText>
        </w:r>
      </w:del>
      <w:del w:id="18812" w:author="AbbVie14" w:date="2025-05-09T11:01:00Z">
        <w:r w:rsidRPr="00295E71" w:rsidR="002D0546">
          <w:rPr>
            <w:sz w:val="22"/>
            <w:szCs w:val="22"/>
          </w:rPr>
          <w:delText xml:space="preserve"> o 80 mg a settimane alterne</w:delText>
        </w:r>
      </w:del>
      <w:del w:id="18813" w:author="AbbVie14" w:date="2025-05-09T11:01:00Z">
        <w:r w:rsidRPr="00295E71">
          <w:rPr>
            <w:sz w:val="22"/>
            <w:szCs w:val="22"/>
          </w:rPr>
          <w:delText xml:space="preserve">. </w:delText>
        </w:r>
      </w:del>
    </w:p>
    <w:p w:rsidR="006224C2" w:rsidRPr="00295E71" w:rsidP="00FE3C0F" w14:paraId="767DAD2E" w14:textId="77777777">
      <w:pPr>
        <w:tabs>
          <w:tab w:val="left" w:pos="567"/>
        </w:tabs>
        <w:jc w:val="both"/>
        <w:rPr>
          <w:del w:id="18814" w:author="AbbVie14" w:date="2025-05-09T11:01:00Z"/>
          <w:sz w:val="22"/>
          <w:szCs w:val="22"/>
        </w:rPr>
      </w:pPr>
    </w:p>
    <w:p w:rsidR="006224C2" w:rsidRPr="00295E71" w:rsidP="00FE3C0F" w14:paraId="4E69C04F" w14:textId="77777777">
      <w:pPr>
        <w:rPr>
          <w:del w:id="18815" w:author="AbbVie14" w:date="2025-05-09T11:01:00Z"/>
          <w:sz w:val="22"/>
          <w:szCs w:val="22"/>
          <w:u w:val="single"/>
        </w:rPr>
      </w:pPr>
      <w:del w:id="18816" w:author="AbbVie14" w:date="2025-05-09T11:01:00Z">
        <w:r w:rsidRPr="00295E71">
          <w:rPr>
            <w:sz w:val="22"/>
            <w:szCs w:val="22"/>
            <w:u w:val="single"/>
          </w:rPr>
          <w:delText xml:space="preserve">Bambini </w:delText>
        </w:r>
      </w:del>
      <w:del w:id="18817" w:author="AbbVie14" w:date="2025-05-09T11:01:00Z">
        <w:r w:rsidRPr="00295E71" w:rsidR="00FE69D9">
          <w:rPr>
            <w:sz w:val="22"/>
            <w:szCs w:val="22"/>
            <w:u w:val="single"/>
          </w:rPr>
          <w:delText xml:space="preserve">e </w:delText>
        </w:r>
      </w:del>
      <w:del w:id="18818" w:author="AbbVie14" w:date="2025-05-09T11:01:00Z">
        <w:r w:rsidRPr="00295E71">
          <w:rPr>
            <w:sz w:val="22"/>
            <w:szCs w:val="22"/>
            <w:u w:val="single"/>
          </w:rPr>
          <w:delText>adolescenti con malattia di Crohn</w:delText>
        </w:r>
      </w:del>
    </w:p>
    <w:p w:rsidR="006224C2" w:rsidRPr="00295E71" w14:paraId="4A03879E" w14:textId="77777777">
      <w:pPr>
        <w:pStyle w:val="BodyText2"/>
        <w:jc w:val="both"/>
        <w:rPr>
          <w:del w:id="18819" w:author="AbbVie14" w:date="2025-05-09T11:01:00Z"/>
        </w:rPr>
      </w:pPr>
    </w:p>
    <w:p w:rsidR="00A458C5" w:rsidRPr="00295E71" w:rsidP="00A458C5" w14:paraId="047687FA" w14:textId="77777777">
      <w:pPr>
        <w:numPr>
          <w:ilvl w:val="12"/>
          <w:numId w:val="0"/>
        </w:numPr>
        <w:ind w:right="-2"/>
        <w:rPr>
          <w:del w:id="18820" w:author="AbbVie14" w:date="2025-05-09T11:01:00Z"/>
          <w:i/>
          <w:sz w:val="22"/>
          <w:szCs w:val="22"/>
        </w:rPr>
      </w:pPr>
      <w:del w:id="18821" w:author="AbbVie14" w:date="2025-05-09T11:01:00Z">
        <w:r w:rsidRPr="00295E71">
          <w:rPr>
            <w:i/>
            <w:sz w:val="22"/>
            <w:szCs w:val="22"/>
          </w:rPr>
          <w:delText xml:space="preserve">Bambini ed adolescenti di età compresa tra 6 e 17 anni e con peso </w:delText>
        </w:r>
      </w:del>
      <w:del w:id="18822" w:author="AbbVie14" w:date="2025-05-09T11:01:00Z">
        <w:r w:rsidRPr="00295E71" w:rsidR="00CF0A0D">
          <w:rPr>
            <w:i/>
            <w:sz w:val="22"/>
            <w:szCs w:val="22"/>
          </w:rPr>
          <w:delText>inferiore</w:delText>
        </w:r>
      </w:del>
      <w:del w:id="18823" w:author="AbbVie14" w:date="2025-05-09T11:01:00Z">
        <w:r w:rsidRPr="00295E71">
          <w:rPr>
            <w:i/>
            <w:sz w:val="22"/>
            <w:szCs w:val="22"/>
          </w:rPr>
          <w:delText xml:space="preserve"> a 40 kg</w:delText>
        </w:r>
      </w:del>
    </w:p>
    <w:p w:rsidR="006224C2" w:rsidRPr="00295E71" w14:paraId="524B318D" w14:textId="77777777">
      <w:pPr>
        <w:pStyle w:val="BodyText2"/>
        <w:jc w:val="both"/>
        <w:rPr>
          <w:del w:id="18824" w:author="AbbVie14" w:date="2025-05-09T11:01:00Z"/>
        </w:rPr>
      </w:pPr>
    </w:p>
    <w:p w:rsidR="006224C2" w:rsidRPr="00295E71" w14:paraId="29B8BCC0" w14:textId="77777777">
      <w:pPr>
        <w:pStyle w:val="BodyText2"/>
        <w:jc w:val="both"/>
        <w:rPr>
          <w:del w:id="18825" w:author="AbbVie14" w:date="2025-05-09T11:01:00Z"/>
        </w:rPr>
      </w:pPr>
      <w:del w:id="18826" w:author="AbbVie14" w:date="2025-05-09T11:01:00Z">
        <w:r w:rsidRPr="00295E71">
          <w:delText>La</w:delText>
        </w:r>
      </w:del>
      <w:del w:id="18827" w:author="AbbVie14" w:date="2025-05-09T11:01:00Z">
        <w:r w:rsidRPr="00295E71" w:rsidR="00226BC4">
          <w:delText xml:space="preserve"> dose abituale è</w:delText>
        </w:r>
      </w:del>
      <w:del w:id="18828" w:author="AbbVie14" w:date="2025-05-09T11:01:00Z">
        <w:r w:rsidRPr="00295E71">
          <w:delText xml:space="preserve"> inizialmente</w:delText>
        </w:r>
      </w:del>
      <w:del w:id="18829" w:author="AbbVie14" w:date="2025-05-09T11:01:00Z">
        <w:r w:rsidRPr="00295E71" w:rsidR="00226BC4">
          <w:delText xml:space="preserve"> di 40 mg </w:delText>
        </w:r>
      </w:del>
      <w:del w:id="18830" w:author="AbbVie14" w:date="2025-05-09T11:01:00Z">
        <w:r w:rsidRPr="00295E71">
          <w:delText xml:space="preserve">seguita </w:delText>
        </w:r>
      </w:del>
      <w:del w:id="18831" w:author="AbbVie14" w:date="2025-05-09T11:01:00Z">
        <w:r w:rsidRPr="00295E71" w:rsidR="00226BC4">
          <w:delText>da 20 mg</w:delText>
        </w:r>
      </w:del>
      <w:del w:id="18832" w:author="AbbVie14" w:date="2025-05-09T11:01:00Z">
        <w:r w:rsidRPr="00295E71">
          <w:delText xml:space="preserve"> dopo</w:delText>
        </w:r>
      </w:del>
      <w:del w:id="18833" w:author="AbbVie14" w:date="2025-05-09T11:01:00Z">
        <w:r w:rsidRPr="00295E71" w:rsidR="00226BC4">
          <w:delText xml:space="preserve"> due settimane. Se è </w:delText>
        </w:r>
      </w:del>
      <w:del w:id="18834" w:author="AbbVie14" w:date="2025-05-09T11:01:00Z">
        <w:r w:rsidRPr="00295E71">
          <w:delText xml:space="preserve"> necessario indurre</w:delText>
        </w:r>
      </w:del>
      <w:del w:id="18835" w:author="AbbVie14" w:date="2025-05-09T11:01:00Z">
        <w:r w:rsidRPr="00295E71" w:rsidR="00226BC4">
          <w:delText xml:space="preserve"> una risposta più rapida, il medico può prescrivere una dose iniziale di 80 mg (</w:delText>
        </w:r>
      </w:del>
      <w:del w:id="18836" w:author="AbbVie14" w:date="2025-05-09T11:01:00Z">
        <w:r w:rsidRPr="00295E71">
          <w:delText xml:space="preserve">tramite </w:delText>
        </w:r>
      </w:del>
      <w:del w:id="18837" w:author="AbbVie14" w:date="2025-05-09T11:01:00Z">
        <w:r w:rsidRPr="00295E71" w:rsidR="00226BC4">
          <w:delText>due iniezioni</w:delText>
        </w:r>
      </w:del>
      <w:del w:id="18838" w:author="AbbVie14" w:date="2025-05-09T11:01:00Z">
        <w:r w:rsidRPr="00295E71" w:rsidR="002D0546">
          <w:delText xml:space="preserve"> da 40 mg</w:delText>
        </w:r>
      </w:del>
      <w:del w:id="18839" w:author="AbbVie14" w:date="2025-05-09T11:01:00Z">
        <w:r w:rsidRPr="00295E71" w:rsidR="00226BC4">
          <w:delText xml:space="preserve"> in un giorno) seguita da 40 mg </w:delText>
        </w:r>
      </w:del>
      <w:del w:id="18840" w:author="AbbVie14" w:date="2025-05-09T11:01:00Z">
        <w:r w:rsidRPr="00295E71" w:rsidR="00891083">
          <w:delText xml:space="preserve">dopo </w:delText>
        </w:r>
      </w:del>
      <w:del w:id="18841" w:author="AbbVie14" w:date="2025-05-09T11:01:00Z">
        <w:r w:rsidRPr="00295E71" w:rsidR="00226BC4">
          <w:delText>due settimane.</w:delText>
        </w:r>
      </w:del>
    </w:p>
    <w:p w:rsidR="006224C2" w:rsidRPr="00295E71" w14:paraId="2F2DD304" w14:textId="77777777">
      <w:pPr>
        <w:pStyle w:val="BodyText2"/>
        <w:jc w:val="both"/>
        <w:rPr>
          <w:del w:id="18842" w:author="AbbVie14" w:date="2025-05-09T11:01:00Z"/>
        </w:rPr>
      </w:pPr>
    </w:p>
    <w:p w:rsidR="006224C2" w:rsidRPr="00295E71" w14:paraId="0C04FBF3" w14:textId="77777777">
      <w:pPr>
        <w:pStyle w:val="BodyText2"/>
        <w:jc w:val="both"/>
        <w:rPr>
          <w:del w:id="18843" w:author="AbbVie14" w:date="2025-05-09T11:01:00Z"/>
        </w:rPr>
      </w:pPr>
      <w:del w:id="18844" w:author="AbbVie14" w:date="2025-05-09T11:01:00Z">
        <w:r w:rsidRPr="00295E71">
          <w:delText>Successivamente</w:delText>
        </w:r>
      </w:del>
      <w:del w:id="18845" w:author="AbbVie14" w:date="2025-05-09T11:01:00Z">
        <w:r w:rsidRPr="00295E71" w:rsidR="00226BC4">
          <w:delText xml:space="preserve">, la dose abituale è di 20 mg a settimane alterne. </w:delText>
        </w:r>
      </w:del>
      <w:del w:id="18846" w:author="AbbVie14" w:date="2025-05-09T11:01:00Z">
        <w:r w:rsidRPr="00295E71" w:rsidR="001E6FA8">
          <w:delText>In funzione</w:delText>
        </w:r>
      </w:del>
      <w:del w:id="18847" w:author="AbbVie14" w:date="2025-05-09T11:01:00Z">
        <w:r w:rsidRPr="00295E71" w:rsidR="00226BC4">
          <w:delText xml:space="preserve"> della risposta </w:delText>
        </w:r>
      </w:del>
      <w:del w:id="18848" w:author="AbbVie14" w:date="2025-05-09T11:01:00Z">
        <w:r w:rsidRPr="00295E71" w:rsidR="00A458C5">
          <w:delText>clinica</w:delText>
        </w:r>
      </w:del>
      <w:del w:id="18849" w:author="AbbVie14" w:date="2025-05-09T11:01:00Z">
        <w:r w:rsidRPr="00295E71" w:rsidR="00226BC4">
          <w:delText>, il medico può aumentare la frequenza della dose a 20 mg ogni settimana.</w:delText>
        </w:r>
      </w:del>
    </w:p>
    <w:p w:rsidR="006224C2" w:rsidRPr="00295E71" w14:paraId="3642554C" w14:textId="77777777">
      <w:pPr>
        <w:pStyle w:val="BodyText2"/>
        <w:jc w:val="both"/>
        <w:rPr>
          <w:del w:id="18850" w:author="AbbVie14" w:date="2025-05-09T11:01:00Z"/>
          <w:u w:val="single"/>
        </w:rPr>
      </w:pPr>
    </w:p>
    <w:p w:rsidR="007B1ABB" w:rsidRPr="00295E71" w:rsidP="007B1ABB" w14:paraId="29CF0B0B" w14:textId="77777777">
      <w:pPr>
        <w:numPr>
          <w:ilvl w:val="12"/>
          <w:numId w:val="0"/>
        </w:numPr>
        <w:ind w:right="-2"/>
        <w:rPr>
          <w:del w:id="18851" w:author="AbbVie14" w:date="2025-05-09T11:01:00Z"/>
          <w:i/>
          <w:sz w:val="22"/>
          <w:szCs w:val="22"/>
        </w:rPr>
      </w:pPr>
      <w:del w:id="18852" w:author="AbbVie14" w:date="2025-05-09T11:01:00Z">
        <w:r w:rsidRPr="00295E71">
          <w:rPr>
            <w:i/>
            <w:sz w:val="22"/>
            <w:szCs w:val="22"/>
          </w:rPr>
          <w:delText>Bambini e adolescenti di età compresa tra 6 e 17 anni e con peso uguale o superiore a 40 kg</w:delText>
        </w:r>
      </w:del>
    </w:p>
    <w:p w:rsidR="006224C2" w:rsidRPr="00295E71" w14:paraId="06E774F3" w14:textId="77777777">
      <w:pPr>
        <w:pStyle w:val="BodyText2"/>
        <w:jc w:val="both"/>
        <w:rPr>
          <w:del w:id="18853" w:author="AbbVie14" w:date="2025-05-09T11:01:00Z"/>
        </w:rPr>
      </w:pPr>
    </w:p>
    <w:p w:rsidR="006224C2" w:rsidRPr="00295E71" w14:paraId="787E3A7B" w14:textId="77777777">
      <w:pPr>
        <w:pStyle w:val="BodyText2"/>
        <w:jc w:val="both"/>
        <w:rPr>
          <w:del w:id="18854" w:author="AbbVie14" w:date="2025-05-09T11:01:00Z"/>
        </w:rPr>
      </w:pPr>
      <w:del w:id="18855" w:author="AbbVie14" w:date="2025-05-09T11:01:00Z">
        <w:r w:rsidRPr="00295E71">
          <w:delText>La</w:delText>
        </w:r>
      </w:del>
      <w:del w:id="18856" w:author="AbbVie14" w:date="2025-05-09T11:01:00Z">
        <w:r w:rsidRPr="00295E71" w:rsidR="00226BC4">
          <w:delText xml:space="preserve"> dose abituale è </w:delText>
        </w:r>
      </w:del>
      <w:del w:id="18857" w:author="AbbVie14" w:date="2025-05-09T11:01:00Z">
        <w:r w:rsidRPr="00295E71">
          <w:delText xml:space="preserve">inizialmente </w:delText>
        </w:r>
      </w:del>
      <w:del w:id="18858" w:author="AbbVie14" w:date="2025-05-09T11:01:00Z">
        <w:r w:rsidRPr="00295E71" w:rsidR="00226BC4">
          <w:delText>di 80 mg</w:delText>
        </w:r>
      </w:del>
      <w:del w:id="18859" w:author="AbbVie14" w:date="2025-05-09T11:01:00Z">
        <w:r w:rsidRPr="00295E71" w:rsidR="00763583">
          <w:delText xml:space="preserve"> (tramite due iniezioni</w:delText>
        </w:r>
      </w:del>
      <w:del w:id="18860" w:author="AbbVie14" w:date="2025-05-09T11:01:00Z">
        <w:r w:rsidRPr="00295E71" w:rsidR="002D0546">
          <w:delText xml:space="preserve"> da 40 mg</w:delText>
        </w:r>
      </w:del>
      <w:del w:id="18861" w:author="AbbVie14" w:date="2025-05-09T11:01:00Z">
        <w:r w:rsidRPr="00295E71" w:rsidR="00763583">
          <w:delText xml:space="preserve"> in un giorno) </w:delText>
        </w:r>
      </w:del>
      <w:del w:id="18862" w:author="AbbVie14" w:date="2025-05-09T11:01:00Z">
        <w:r w:rsidRPr="00295E71">
          <w:delText xml:space="preserve">seguita </w:delText>
        </w:r>
      </w:del>
      <w:del w:id="18863" w:author="AbbVie14" w:date="2025-05-09T11:01:00Z">
        <w:r w:rsidRPr="00295E71" w:rsidR="00226BC4">
          <w:delText xml:space="preserve">da 40 mg </w:delText>
        </w:r>
      </w:del>
      <w:del w:id="18864" w:author="AbbVie14" w:date="2025-05-09T11:01:00Z">
        <w:r w:rsidRPr="00295E71" w:rsidR="00891083">
          <w:delText xml:space="preserve">dopo </w:delText>
        </w:r>
      </w:del>
      <w:del w:id="18865" w:author="AbbVie14" w:date="2025-05-09T11:01:00Z">
        <w:r w:rsidRPr="00295E71" w:rsidR="00226BC4">
          <w:delText xml:space="preserve">due settimane. Se è </w:delText>
        </w:r>
      </w:del>
      <w:del w:id="18866" w:author="AbbVie14" w:date="2025-05-09T11:01:00Z">
        <w:r w:rsidRPr="00295E71">
          <w:delText xml:space="preserve">necessario indurre </w:delText>
        </w:r>
      </w:del>
      <w:del w:id="18867" w:author="AbbVie14" w:date="2025-05-09T11:01:00Z">
        <w:r w:rsidRPr="00295E71" w:rsidR="00226BC4">
          <w:delText>una risposta più rapida, il medico può prescrivere una dose iniziale di 160 mg (</w:delText>
        </w:r>
      </w:del>
      <w:del w:id="18868" w:author="AbbVie14" w:date="2025-05-09T11:01:00Z">
        <w:r w:rsidRPr="00295E71">
          <w:delText>tramite quattro</w:delText>
        </w:r>
      </w:del>
      <w:del w:id="18869" w:author="AbbVie14" w:date="2025-05-09T11:01:00Z">
        <w:r w:rsidRPr="00295E71" w:rsidR="00226BC4">
          <w:delText xml:space="preserve"> iniezioni</w:delText>
        </w:r>
      </w:del>
      <w:del w:id="18870" w:author="AbbVie14" w:date="2025-05-09T11:01:00Z">
        <w:r w:rsidRPr="00295E71" w:rsidR="002D0546">
          <w:delText xml:space="preserve"> da 40 mg</w:delText>
        </w:r>
      </w:del>
      <w:del w:id="18871" w:author="AbbVie14" w:date="2025-05-09T11:01:00Z">
        <w:r w:rsidRPr="00295E71" w:rsidR="00226BC4">
          <w:delText xml:space="preserve"> in un giorno o </w:delText>
        </w:r>
      </w:del>
      <w:del w:id="18872" w:author="AbbVie14" w:date="2025-05-09T11:01:00Z">
        <w:r w:rsidRPr="00295E71">
          <w:delText>due</w:delText>
        </w:r>
      </w:del>
      <w:del w:id="18873" w:author="AbbVie14" w:date="2025-05-09T11:01:00Z">
        <w:r w:rsidRPr="00295E71" w:rsidR="00226BC4">
          <w:delText xml:space="preserve"> iniezioni</w:delText>
        </w:r>
      </w:del>
      <w:del w:id="18874" w:author="AbbVie14" w:date="2025-05-09T11:01:00Z">
        <w:r w:rsidRPr="00295E71" w:rsidR="002D0546">
          <w:delText xml:space="preserve"> da 40 mg</w:delText>
        </w:r>
      </w:del>
      <w:del w:id="18875" w:author="AbbVie14" w:date="2025-05-09T11:01:00Z">
        <w:r w:rsidRPr="00295E71" w:rsidR="00226BC4">
          <w:delText xml:space="preserve"> al giorno per 2 giorni consecutivi) seguita da 80 mg </w:delText>
        </w:r>
      </w:del>
      <w:del w:id="18876" w:author="AbbVie14" w:date="2025-05-09T11:01:00Z">
        <w:r w:rsidRPr="00295E71" w:rsidR="00FF572E">
          <w:delText>(tramite due iniezioni</w:delText>
        </w:r>
      </w:del>
      <w:del w:id="18877" w:author="AbbVie14" w:date="2025-05-09T11:01:00Z">
        <w:r w:rsidRPr="00295E71" w:rsidR="002D0546">
          <w:delText xml:space="preserve"> da 40 mg</w:delText>
        </w:r>
      </w:del>
      <w:del w:id="18878" w:author="AbbVie14" w:date="2025-05-09T11:01:00Z">
        <w:r w:rsidRPr="00295E71" w:rsidR="00FF572E">
          <w:delText xml:space="preserve"> in un giorno) </w:delText>
        </w:r>
      </w:del>
      <w:del w:id="18879" w:author="AbbVie14" w:date="2025-05-09T11:01:00Z">
        <w:r w:rsidRPr="00295E71" w:rsidR="00891083">
          <w:delText xml:space="preserve">dopo </w:delText>
        </w:r>
      </w:del>
      <w:del w:id="18880" w:author="AbbVie14" w:date="2025-05-09T11:01:00Z">
        <w:r w:rsidRPr="00295E71" w:rsidR="00226BC4">
          <w:delText>due settimane.</w:delText>
        </w:r>
      </w:del>
    </w:p>
    <w:p w:rsidR="006224C2" w:rsidRPr="00295E71" w14:paraId="1D968755" w14:textId="77777777">
      <w:pPr>
        <w:pStyle w:val="BodyText2"/>
        <w:jc w:val="both"/>
        <w:rPr>
          <w:del w:id="18881" w:author="AbbVie14" w:date="2025-05-09T11:01:00Z"/>
        </w:rPr>
      </w:pPr>
    </w:p>
    <w:p w:rsidR="006224C2" w:rsidRPr="00295E71" w14:paraId="32D28B17" w14:textId="77777777">
      <w:pPr>
        <w:pStyle w:val="BodyText2"/>
        <w:jc w:val="both"/>
        <w:rPr>
          <w:del w:id="18882" w:author="AbbVie14" w:date="2025-05-09T11:01:00Z"/>
        </w:rPr>
      </w:pPr>
      <w:del w:id="18883" w:author="AbbVie14" w:date="2025-05-09T11:01:00Z">
        <w:r w:rsidRPr="00295E71">
          <w:delText>Successivamente</w:delText>
        </w:r>
      </w:del>
      <w:del w:id="18884" w:author="AbbVie14" w:date="2025-05-09T11:01:00Z">
        <w:r w:rsidRPr="00295E71" w:rsidR="00226BC4">
          <w:delText xml:space="preserve">, la dose abituale è di 40 mg a settimane alterne. </w:delText>
        </w:r>
      </w:del>
      <w:del w:id="18885" w:author="AbbVie14" w:date="2025-05-09T11:01:00Z">
        <w:r w:rsidRPr="00295E71" w:rsidR="001E6FA8">
          <w:delText>In funzione</w:delText>
        </w:r>
      </w:del>
      <w:del w:id="18886" w:author="AbbVie14" w:date="2025-05-09T11:01:00Z">
        <w:r w:rsidRPr="00295E71" w:rsidR="00226BC4">
          <w:delText xml:space="preserve"> della risposta </w:delText>
        </w:r>
      </w:del>
      <w:del w:id="18887" w:author="AbbVie14" w:date="2025-05-09T11:01:00Z">
        <w:r w:rsidRPr="00295E71" w:rsidR="007B1ABB">
          <w:delText>clinica</w:delText>
        </w:r>
      </w:del>
      <w:del w:id="18888" w:author="AbbVie14" w:date="2025-05-09T11:01:00Z">
        <w:r w:rsidRPr="00295E71" w:rsidR="00226BC4">
          <w:delText xml:space="preserve">, il medico può aumentare </w:delText>
        </w:r>
      </w:del>
      <w:del w:id="18889" w:author="AbbVie14" w:date="2025-05-09T11:01:00Z">
        <w:r w:rsidRPr="00295E71" w:rsidR="002D0546">
          <w:delText>il</w:delText>
        </w:r>
      </w:del>
      <w:del w:id="18890" w:author="AbbVie14" w:date="2025-05-09T11:01:00Z">
        <w:r w:rsidRPr="00295E71" w:rsidR="00226BC4">
          <w:delText xml:space="preserve"> dos</w:delText>
        </w:r>
      </w:del>
      <w:del w:id="18891" w:author="AbbVie14" w:date="2025-05-09T11:01:00Z">
        <w:r w:rsidRPr="00295E71" w:rsidR="002D0546">
          <w:delText>aggio</w:delText>
        </w:r>
      </w:del>
      <w:del w:id="18892" w:author="AbbVie14" w:date="2025-05-09T11:01:00Z">
        <w:r w:rsidRPr="00295E71" w:rsidR="00226BC4">
          <w:delText xml:space="preserve"> a 40 mg ogni settimana</w:delText>
        </w:r>
      </w:del>
      <w:del w:id="18893" w:author="AbbVie14" w:date="2025-05-09T11:01:00Z">
        <w:r w:rsidRPr="00295E71" w:rsidR="002D0546">
          <w:delText xml:space="preserve"> o 80 mg a settimane alterne</w:delText>
        </w:r>
      </w:del>
      <w:del w:id="18894" w:author="AbbVie14" w:date="2025-05-09T11:01:00Z">
        <w:r w:rsidRPr="00295E71" w:rsidR="00226BC4">
          <w:delText>.</w:delText>
        </w:r>
      </w:del>
    </w:p>
    <w:p w:rsidR="006224C2" w:rsidRPr="00295E71" w14:paraId="522EC892" w14:textId="77777777">
      <w:pPr>
        <w:pStyle w:val="BodyText2"/>
        <w:jc w:val="both"/>
        <w:rPr>
          <w:del w:id="18895" w:author="AbbVie14" w:date="2025-05-09T11:01:00Z"/>
        </w:rPr>
      </w:pPr>
    </w:p>
    <w:p w:rsidR="006224C2" w:rsidRPr="00295E71" w14:paraId="67D1735C" w14:textId="77777777">
      <w:pPr>
        <w:pStyle w:val="BodyText2"/>
        <w:jc w:val="both"/>
        <w:rPr>
          <w:del w:id="18896" w:author="AbbVie14" w:date="2025-05-09T11:01:00Z"/>
          <w:u w:val="single"/>
        </w:rPr>
      </w:pPr>
      <w:del w:id="18897" w:author="AbbVie14" w:date="2025-05-09T11:01:00Z">
        <w:r w:rsidRPr="00295E71">
          <w:rPr>
            <w:u w:val="single"/>
          </w:rPr>
          <w:delText>Adulti con colite ulcerosa</w:delText>
        </w:r>
      </w:del>
    </w:p>
    <w:p w:rsidR="006224C2" w:rsidRPr="00295E71" w14:paraId="694386F5" w14:textId="77777777">
      <w:pPr>
        <w:numPr>
          <w:ilvl w:val="12"/>
          <w:numId w:val="0"/>
        </w:numPr>
        <w:tabs>
          <w:tab w:val="left" w:pos="567"/>
        </w:tabs>
        <w:ind w:right="-2"/>
        <w:jc w:val="both"/>
        <w:rPr>
          <w:del w:id="18898" w:author="AbbVie14" w:date="2025-05-09T11:01:00Z"/>
          <w:sz w:val="22"/>
          <w:szCs w:val="22"/>
        </w:rPr>
      </w:pPr>
    </w:p>
    <w:p w:rsidR="006224C2" w:rsidRPr="00295E71" w14:paraId="5E9D4C7A" w14:textId="77777777">
      <w:pPr>
        <w:numPr>
          <w:ilvl w:val="12"/>
          <w:numId w:val="0"/>
        </w:numPr>
        <w:tabs>
          <w:tab w:val="left" w:pos="567"/>
        </w:tabs>
        <w:ind w:right="-2"/>
        <w:jc w:val="both"/>
        <w:rPr>
          <w:del w:id="18899" w:author="AbbVie14" w:date="2025-05-09T11:01:00Z"/>
          <w:sz w:val="22"/>
          <w:szCs w:val="22"/>
        </w:rPr>
      </w:pPr>
      <w:del w:id="18900" w:author="AbbVie14" w:date="2025-05-09T11:01:00Z">
        <w:r w:rsidRPr="00295E71">
          <w:rPr>
            <w:sz w:val="22"/>
            <w:szCs w:val="22"/>
          </w:rPr>
          <w:delText xml:space="preserve">La dose abituale di Humira per gli adulti </w:delText>
        </w:r>
      </w:del>
      <w:del w:id="18901" w:author="AbbVie14" w:date="2025-05-09T11:01:00Z">
        <w:r w:rsidRPr="00295E71" w:rsidR="00F7695C">
          <w:rPr>
            <w:sz w:val="22"/>
            <w:szCs w:val="22"/>
          </w:rPr>
          <w:delText>con</w:delText>
        </w:r>
      </w:del>
      <w:del w:id="18902" w:author="AbbVie14" w:date="2025-05-09T11:01:00Z">
        <w:r w:rsidRPr="00295E71">
          <w:rPr>
            <w:sz w:val="22"/>
            <w:szCs w:val="22"/>
          </w:rPr>
          <w:delText xml:space="preserve"> colite ulcerosa è </w:delText>
        </w:r>
      </w:del>
      <w:del w:id="18903" w:author="AbbVie14" w:date="2025-05-09T11:01:00Z">
        <w:r w:rsidRPr="00295E71" w:rsidR="00F7695C">
          <w:rPr>
            <w:sz w:val="22"/>
            <w:szCs w:val="22"/>
          </w:rPr>
          <w:delText>di</w:delText>
        </w:r>
      </w:del>
      <w:del w:id="18904" w:author="AbbVie14" w:date="2025-05-09T11:01:00Z">
        <w:r w:rsidRPr="00295E71">
          <w:rPr>
            <w:sz w:val="22"/>
            <w:szCs w:val="22"/>
          </w:rPr>
          <w:delText xml:space="preserve"> 160 mg</w:delText>
        </w:r>
      </w:del>
      <w:del w:id="18905" w:author="AbbVie14" w:date="2025-05-09T11:01:00Z">
        <w:r w:rsidRPr="00295E71" w:rsidR="00F7695C">
          <w:rPr>
            <w:sz w:val="22"/>
            <w:szCs w:val="22"/>
          </w:rPr>
          <w:delText xml:space="preserve"> (tramite quattro iniezioni</w:delText>
        </w:r>
      </w:del>
      <w:del w:id="18906" w:author="AbbVie14" w:date="2025-05-09T11:01:00Z">
        <w:r w:rsidRPr="00295E71" w:rsidR="002D0546">
          <w:rPr>
            <w:sz w:val="22"/>
            <w:szCs w:val="22"/>
          </w:rPr>
          <w:delText xml:space="preserve"> da 40 mg</w:delText>
        </w:r>
      </w:del>
      <w:del w:id="18907" w:author="AbbVie14" w:date="2025-05-09T11:01:00Z">
        <w:r w:rsidRPr="00295E71" w:rsidR="00F7695C">
          <w:rPr>
            <w:sz w:val="22"/>
            <w:szCs w:val="22"/>
          </w:rPr>
          <w:delText xml:space="preserve"> in un giorno o due iniezioni</w:delText>
        </w:r>
      </w:del>
      <w:del w:id="18908" w:author="AbbVie14" w:date="2025-05-09T11:01:00Z">
        <w:r w:rsidRPr="00295E71" w:rsidR="002D0546">
          <w:rPr>
            <w:sz w:val="22"/>
            <w:szCs w:val="22"/>
          </w:rPr>
          <w:delText xml:space="preserve"> da 40 mg</w:delText>
        </w:r>
      </w:del>
      <w:del w:id="18909" w:author="AbbVie14" w:date="2025-05-09T11:01:00Z">
        <w:r w:rsidRPr="00295E71" w:rsidR="00F7695C">
          <w:rPr>
            <w:sz w:val="22"/>
            <w:szCs w:val="22"/>
          </w:rPr>
          <w:delText xml:space="preserve"> al giorno per due giorni consecutivi)</w:delText>
        </w:r>
      </w:del>
      <w:del w:id="18910" w:author="AbbVie14" w:date="2025-05-09T11:01:00Z">
        <w:r w:rsidRPr="00295E71">
          <w:rPr>
            <w:sz w:val="22"/>
            <w:szCs w:val="22"/>
          </w:rPr>
          <w:delText xml:space="preserve"> alla settimana 0 e </w:delText>
        </w:r>
      </w:del>
      <w:del w:id="18911" w:author="AbbVie14" w:date="2025-05-09T11:01:00Z">
        <w:r w:rsidRPr="00295E71" w:rsidR="00F7695C">
          <w:rPr>
            <w:sz w:val="22"/>
            <w:szCs w:val="22"/>
          </w:rPr>
          <w:delText>di</w:delText>
        </w:r>
      </w:del>
      <w:del w:id="18912" w:author="AbbVie14" w:date="2025-05-09T11:01:00Z">
        <w:r w:rsidRPr="00295E71">
          <w:rPr>
            <w:sz w:val="22"/>
            <w:szCs w:val="22"/>
          </w:rPr>
          <w:delText xml:space="preserve"> 80 mg </w:delText>
        </w:r>
      </w:del>
      <w:del w:id="18913" w:author="AbbVie14" w:date="2025-05-09T11:01:00Z">
        <w:r w:rsidRPr="00295E71" w:rsidR="00BC55CA">
          <w:rPr>
            <w:sz w:val="22"/>
            <w:szCs w:val="22"/>
          </w:rPr>
          <w:delText>(tramite due iniezioni</w:delText>
        </w:r>
      </w:del>
      <w:del w:id="18914" w:author="AbbVie14" w:date="2025-05-09T11:01:00Z">
        <w:r w:rsidRPr="00295E71" w:rsidR="002D0546">
          <w:rPr>
            <w:sz w:val="22"/>
            <w:szCs w:val="22"/>
          </w:rPr>
          <w:delText xml:space="preserve"> da 40 mg</w:delText>
        </w:r>
      </w:del>
      <w:del w:id="18915" w:author="AbbVie14" w:date="2025-05-09T11:01:00Z">
        <w:r w:rsidRPr="00295E71" w:rsidR="00BC55CA">
          <w:rPr>
            <w:sz w:val="22"/>
            <w:szCs w:val="22"/>
          </w:rPr>
          <w:delText xml:space="preserve"> in un giorno) </w:delText>
        </w:r>
      </w:del>
      <w:del w:id="18916" w:author="AbbVie14" w:date="2025-05-09T11:01:00Z">
        <w:r w:rsidRPr="00295E71">
          <w:rPr>
            <w:sz w:val="22"/>
            <w:szCs w:val="22"/>
          </w:rPr>
          <w:delText xml:space="preserve">alla settimana 2 e successivamente </w:delText>
        </w:r>
      </w:del>
      <w:del w:id="18917" w:author="AbbVie14" w:date="2025-05-09T11:01:00Z">
        <w:r w:rsidRPr="00295E71" w:rsidR="00F7695C">
          <w:rPr>
            <w:sz w:val="22"/>
            <w:szCs w:val="22"/>
          </w:rPr>
          <w:delText>di</w:delText>
        </w:r>
      </w:del>
      <w:del w:id="18918" w:author="AbbVie14" w:date="2025-05-09T11:01:00Z">
        <w:r w:rsidRPr="00295E71">
          <w:rPr>
            <w:sz w:val="22"/>
            <w:szCs w:val="22"/>
          </w:rPr>
          <w:delText xml:space="preserve"> 40 mg a settimane alterne. In funzione della risposta clinica, il medico </w:delText>
        </w:r>
      </w:del>
      <w:del w:id="18919" w:author="AbbVie14" w:date="2025-05-09T11:01:00Z">
        <w:r w:rsidRPr="00295E71" w:rsidR="00F7695C">
          <w:rPr>
            <w:sz w:val="22"/>
            <w:szCs w:val="22"/>
          </w:rPr>
          <w:delText xml:space="preserve">può </w:delText>
        </w:r>
      </w:del>
      <w:del w:id="18920" w:author="AbbVie14" w:date="2025-05-09T11:01:00Z">
        <w:r w:rsidRPr="00295E71">
          <w:rPr>
            <w:sz w:val="22"/>
            <w:szCs w:val="22"/>
          </w:rPr>
          <w:delText xml:space="preserve">aumentare </w:delText>
        </w:r>
      </w:del>
      <w:del w:id="18921" w:author="AbbVie14" w:date="2025-05-09T11:01:00Z">
        <w:r w:rsidRPr="00295E71" w:rsidR="002D0546">
          <w:rPr>
            <w:sz w:val="22"/>
            <w:szCs w:val="22"/>
          </w:rPr>
          <w:delText>i</w:delText>
        </w:r>
      </w:del>
      <w:del w:id="18922" w:author="AbbVie14" w:date="2025-05-09T11:01:00Z">
        <w:r w:rsidRPr="00295E71">
          <w:rPr>
            <w:sz w:val="22"/>
            <w:szCs w:val="22"/>
          </w:rPr>
          <w:delText>l dos</w:delText>
        </w:r>
      </w:del>
      <w:del w:id="18923" w:author="AbbVie14" w:date="2025-05-09T11:01:00Z">
        <w:r w:rsidRPr="00295E71" w:rsidR="002D0546">
          <w:rPr>
            <w:sz w:val="22"/>
            <w:szCs w:val="22"/>
          </w:rPr>
          <w:delText>aggio</w:delText>
        </w:r>
      </w:del>
      <w:del w:id="18924" w:author="AbbVie14" w:date="2025-05-09T11:01:00Z">
        <w:r w:rsidRPr="00295E71">
          <w:rPr>
            <w:sz w:val="22"/>
            <w:szCs w:val="22"/>
          </w:rPr>
          <w:delText xml:space="preserve"> a 40 mg ogni settimana</w:delText>
        </w:r>
      </w:del>
      <w:del w:id="18925" w:author="AbbVie14" w:date="2025-05-09T11:01:00Z">
        <w:r w:rsidRPr="00295E71" w:rsidR="002D0546">
          <w:rPr>
            <w:sz w:val="22"/>
            <w:szCs w:val="22"/>
          </w:rPr>
          <w:delText xml:space="preserve"> o 80 mg a settimane alterne</w:delText>
        </w:r>
      </w:del>
      <w:del w:id="18926" w:author="AbbVie14" w:date="2025-05-09T11:01:00Z">
        <w:r w:rsidRPr="00295E71">
          <w:rPr>
            <w:sz w:val="22"/>
            <w:szCs w:val="22"/>
          </w:rPr>
          <w:delText>.</w:delText>
        </w:r>
      </w:del>
    </w:p>
    <w:p w:rsidR="006224C2" w:rsidRPr="007674FE" w14:paraId="538BDE9A" w14:textId="77777777">
      <w:pPr>
        <w:numPr>
          <w:ilvl w:val="12"/>
          <w:numId w:val="0"/>
        </w:numPr>
        <w:tabs>
          <w:tab w:val="left" w:pos="567"/>
        </w:tabs>
        <w:ind w:right="-2"/>
        <w:jc w:val="both"/>
        <w:rPr>
          <w:del w:id="18927" w:author="AbbVie14" w:date="2025-05-09T11:01:00Z"/>
          <w:sz w:val="22"/>
          <w:szCs w:val="22"/>
        </w:rPr>
      </w:pPr>
    </w:p>
    <w:p w:rsidR="007674FE" w:rsidRPr="00612824" w:rsidP="007674FE" w14:paraId="37E7A492" w14:textId="77777777">
      <w:pPr>
        <w:numPr>
          <w:ilvl w:val="12"/>
          <w:numId w:val="0"/>
        </w:numPr>
        <w:ind w:right="-2"/>
        <w:rPr>
          <w:del w:id="18928" w:author="AbbVie14" w:date="2025-05-09T11:01:00Z"/>
          <w:sz w:val="22"/>
          <w:szCs w:val="22"/>
          <w:u w:val="single"/>
        </w:rPr>
      </w:pPr>
      <w:del w:id="18929" w:author="AbbVie14" w:date="2025-05-09T11:01:00Z">
        <w:r w:rsidRPr="00612824">
          <w:rPr>
            <w:sz w:val="22"/>
            <w:szCs w:val="22"/>
            <w:u w:val="single"/>
          </w:rPr>
          <w:delText>Bambini e adolescenti con colite ulcerosa</w:delText>
        </w:r>
      </w:del>
    </w:p>
    <w:p w:rsidR="007674FE" w:rsidRPr="00612824" w:rsidP="007674FE" w14:paraId="4CA13AB9" w14:textId="77777777">
      <w:pPr>
        <w:numPr>
          <w:ilvl w:val="12"/>
          <w:numId w:val="0"/>
        </w:numPr>
        <w:ind w:right="-2"/>
        <w:rPr>
          <w:del w:id="18930" w:author="AbbVie14" w:date="2025-05-09T11:01:00Z"/>
          <w:sz w:val="22"/>
          <w:szCs w:val="22"/>
        </w:rPr>
      </w:pPr>
    </w:p>
    <w:p w:rsidR="007674FE" w:rsidRPr="00612824" w:rsidP="007674FE" w14:paraId="6056A232" w14:textId="77777777">
      <w:pPr>
        <w:numPr>
          <w:ilvl w:val="12"/>
          <w:numId w:val="0"/>
        </w:numPr>
        <w:ind w:right="-2"/>
        <w:rPr>
          <w:del w:id="18931" w:author="AbbVie14" w:date="2025-05-09T11:01:00Z"/>
          <w:i/>
          <w:iCs/>
          <w:sz w:val="22"/>
          <w:szCs w:val="22"/>
        </w:rPr>
      </w:pPr>
      <w:del w:id="18932" w:author="AbbVie14" w:date="2025-05-09T11:01:00Z">
        <w:r w:rsidRPr="00612824">
          <w:rPr>
            <w:i/>
            <w:sz w:val="22"/>
            <w:szCs w:val="22"/>
          </w:rPr>
          <w:delText xml:space="preserve">Bambini e adolescenti a partire dai 6 anni di età </w:delText>
        </w:r>
      </w:del>
      <w:del w:id="18933" w:author="AbbVie14" w:date="2025-05-09T11:01:00Z">
        <w:r w:rsidR="0002677C">
          <w:rPr>
            <w:i/>
            <w:sz w:val="22"/>
            <w:szCs w:val="22"/>
          </w:rPr>
          <w:delText>e con peso inferiore a</w:delText>
        </w:r>
      </w:del>
      <w:del w:id="18934" w:author="AbbVie14" w:date="2025-05-09T11:01:00Z">
        <w:r w:rsidRPr="00612824">
          <w:rPr>
            <w:i/>
            <w:sz w:val="22"/>
            <w:szCs w:val="22"/>
          </w:rPr>
          <w:delText xml:space="preserve"> 40 kg</w:delText>
        </w:r>
      </w:del>
    </w:p>
    <w:p w:rsidR="007674FE" w:rsidRPr="00612824" w:rsidP="007674FE" w14:paraId="769953F1" w14:textId="77777777">
      <w:pPr>
        <w:numPr>
          <w:ilvl w:val="12"/>
          <w:numId w:val="0"/>
        </w:numPr>
        <w:ind w:right="-2"/>
        <w:rPr>
          <w:del w:id="18935" w:author="AbbVie14" w:date="2025-05-09T11:01:00Z"/>
          <w:sz w:val="22"/>
          <w:szCs w:val="22"/>
        </w:rPr>
      </w:pPr>
    </w:p>
    <w:p w:rsidR="007674FE" w:rsidRPr="00612824" w:rsidP="007674FE" w14:paraId="73364773" w14:textId="77777777">
      <w:pPr>
        <w:numPr>
          <w:ilvl w:val="12"/>
          <w:numId w:val="0"/>
        </w:numPr>
        <w:ind w:right="-2"/>
        <w:rPr>
          <w:del w:id="18936" w:author="AbbVie14" w:date="2025-05-09T11:01:00Z"/>
          <w:sz w:val="22"/>
          <w:szCs w:val="22"/>
        </w:rPr>
      </w:pPr>
      <w:del w:id="18937" w:author="AbbVie14" w:date="2025-05-09T11:01:00Z">
        <w:r w:rsidRPr="00612824">
          <w:rPr>
            <w:sz w:val="22"/>
            <w:szCs w:val="22"/>
          </w:rPr>
          <w:delText>La dose abituale di Humira è di 80 mg (</w:delText>
        </w:r>
      </w:del>
      <w:del w:id="18938" w:author="AbbVie14" w:date="2025-05-09T11:01:00Z">
        <w:r w:rsidR="0002677C">
          <w:rPr>
            <w:sz w:val="22"/>
            <w:szCs w:val="22"/>
          </w:rPr>
          <w:delText xml:space="preserve">tramite </w:delText>
        </w:r>
      </w:del>
      <w:del w:id="18939" w:author="AbbVie14" w:date="2025-05-09T11:01:00Z">
        <w:r w:rsidRPr="00612824">
          <w:rPr>
            <w:sz w:val="22"/>
            <w:szCs w:val="22"/>
          </w:rPr>
          <w:delText xml:space="preserve">due iniezioni da 40 mg in un </w:delText>
        </w:r>
      </w:del>
      <w:del w:id="18940" w:author="AbbVie14" w:date="2025-05-09T11:01:00Z">
        <w:r w:rsidR="009D2CEC">
          <w:rPr>
            <w:sz w:val="22"/>
            <w:szCs w:val="22"/>
          </w:rPr>
          <w:delText>giorno</w:delText>
        </w:r>
      </w:del>
      <w:del w:id="18941" w:author="AbbVie14" w:date="2025-05-09T11:01:00Z">
        <w:r w:rsidRPr="00612824">
          <w:rPr>
            <w:sz w:val="22"/>
            <w:szCs w:val="22"/>
          </w:rPr>
          <w:delText>)</w:delText>
        </w:r>
      </w:del>
      <w:del w:id="18942" w:author="AbbVie14" w:date="2025-05-09T11:01:00Z">
        <w:r w:rsidR="0002677C">
          <w:rPr>
            <w:sz w:val="22"/>
            <w:szCs w:val="22"/>
          </w:rPr>
          <w:delText xml:space="preserve"> </w:delText>
        </w:r>
      </w:del>
      <w:del w:id="18943" w:author="AbbVie14" w:date="2025-05-09T11:01:00Z">
        <w:r w:rsidRPr="00612824">
          <w:rPr>
            <w:sz w:val="22"/>
            <w:szCs w:val="22"/>
          </w:rPr>
          <w:delText>seguita da 40 mg (</w:delText>
        </w:r>
      </w:del>
      <w:del w:id="18944" w:author="AbbVie14" w:date="2025-05-09T11:01:00Z">
        <w:r w:rsidR="0002677C">
          <w:rPr>
            <w:sz w:val="22"/>
            <w:szCs w:val="22"/>
          </w:rPr>
          <w:delText xml:space="preserve">tramite </w:delText>
        </w:r>
      </w:del>
      <w:del w:id="18945" w:author="AbbVie14" w:date="2025-05-09T11:01:00Z">
        <w:r w:rsidRPr="00612824">
          <w:rPr>
            <w:sz w:val="22"/>
            <w:szCs w:val="22"/>
          </w:rPr>
          <w:delText xml:space="preserve">una sola iniezione da 40 mg) </w:delText>
        </w:r>
      </w:del>
      <w:del w:id="18946" w:author="AbbVie14" w:date="2025-05-09T11:01:00Z">
        <w:r w:rsidR="0002677C">
          <w:rPr>
            <w:sz w:val="22"/>
            <w:szCs w:val="22"/>
          </w:rPr>
          <w:delText xml:space="preserve">dopo </w:delText>
        </w:r>
      </w:del>
      <w:del w:id="18947" w:author="AbbVie14" w:date="2025-05-09T11:01:00Z">
        <w:r w:rsidRPr="00612824">
          <w:rPr>
            <w:sz w:val="22"/>
            <w:szCs w:val="22"/>
          </w:rPr>
          <w:delText xml:space="preserve">due settimane. Successivamente, la dose abituale è di 40 mg </w:delText>
        </w:r>
      </w:del>
      <w:del w:id="18948" w:author="AbbVie14" w:date="2025-05-09T11:01:00Z">
        <w:r w:rsidR="0002677C">
          <w:rPr>
            <w:sz w:val="22"/>
            <w:szCs w:val="22"/>
          </w:rPr>
          <w:delText>a settimane alterne</w:delText>
        </w:r>
      </w:del>
      <w:del w:id="18949" w:author="AbbVie14" w:date="2025-05-09T11:01:00Z">
        <w:r w:rsidRPr="00612824">
          <w:rPr>
            <w:sz w:val="22"/>
            <w:szCs w:val="22"/>
          </w:rPr>
          <w:delText xml:space="preserve">. </w:delText>
        </w:r>
      </w:del>
    </w:p>
    <w:p w:rsidR="007674FE" w:rsidRPr="00612824" w:rsidP="007674FE" w14:paraId="045FED35" w14:textId="77777777">
      <w:pPr>
        <w:numPr>
          <w:ilvl w:val="12"/>
          <w:numId w:val="0"/>
        </w:numPr>
        <w:ind w:right="-2"/>
        <w:rPr>
          <w:del w:id="18950" w:author="AbbVie14" w:date="2025-05-09T11:01:00Z"/>
          <w:sz w:val="22"/>
          <w:szCs w:val="22"/>
        </w:rPr>
      </w:pPr>
    </w:p>
    <w:p w:rsidR="007674FE" w:rsidRPr="00612824" w:rsidP="007674FE" w14:paraId="6F1BC96A" w14:textId="77777777">
      <w:pPr>
        <w:numPr>
          <w:ilvl w:val="12"/>
          <w:numId w:val="0"/>
        </w:numPr>
        <w:ind w:right="-2"/>
        <w:rPr>
          <w:del w:id="18951" w:author="AbbVie14" w:date="2025-05-09T11:01:00Z"/>
          <w:sz w:val="22"/>
          <w:szCs w:val="22"/>
        </w:rPr>
      </w:pPr>
      <w:del w:id="18952" w:author="AbbVie14" w:date="2025-05-09T11:01:00Z">
        <w:r w:rsidRPr="00612824">
          <w:rPr>
            <w:sz w:val="22"/>
            <w:szCs w:val="22"/>
          </w:rPr>
          <w:delText xml:space="preserve">I pazienti che compiono 18 anni mentre assumono 40 mg </w:delText>
        </w:r>
      </w:del>
      <w:del w:id="18953" w:author="AbbVie14" w:date="2025-05-09T11:01:00Z">
        <w:r w:rsidR="0002677C">
          <w:rPr>
            <w:sz w:val="22"/>
            <w:szCs w:val="22"/>
          </w:rPr>
          <w:delText>a settimane alterne</w:delText>
        </w:r>
      </w:del>
      <w:del w:id="18954" w:author="AbbVie14" w:date="2025-05-09T11:01:00Z">
        <w:r w:rsidRPr="00612824">
          <w:rPr>
            <w:sz w:val="22"/>
            <w:szCs w:val="22"/>
          </w:rPr>
          <w:delText xml:space="preserve"> devono continuare la dose prescritta.</w:delText>
        </w:r>
      </w:del>
    </w:p>
    <w:p w:rsidR="007674FE" w:rsidRPr="00612824" w:rsidP="007674FE" w14:paraId="180AEC6F" w14:textId="77777777">
      <w:pPr>
        <w:numPr>
          <w:ilvl w:val="12"/>
          <w:numId w:val="0"/>
        </w:numPr>
        <w:ind w:right="-2"/>
        <w:rPr>
          <w:del w:id="18955" w:author="AbbVie14" w:date="2025-05-09T11:01:00Z"/>
          <w:sz w:val="22"/>
          <w:szCs w:val="22"/>
        </w:rPr>
      </w:pPr>
    </w:p>
    <w:p w:rsidR="007674FE" w:rsidRPr="00612824" w:rsidP="007674FE" w14:paraId="761D1ACA" w14:textId="77777777">
      <w:pPr>
        <w:numPr>
          <w:ilvl w:val="12"/>
          <w:numId w:val="0"/>
        </w:numPr>
        <w:ind w:right="-2"/>
        <w:rPr>
          <w:del w:id="18956" w:author="AbbVie14" w:date="2025-05-09T11:01:00Z"/>
          <w:i/>
          <w:iCs/>
          <w:sz w:val="22"/>
          <w:szCs w:val="22"/>
        </w:rPr>
      </w:pPr>
      <w:del w:id="18957" w:author="AbbVie14" w:date="2025-05-09T11:01:00Z">
        <w:r w:rsidRPr="00612824">
          <w:rPr>
            <w:i/>
            <w:sz w:val="22"/>
            <w:szCs w:val="22"/>
          </w:rPr>
          <w:delText xml:space="preserve">Bambini e adolescenti a partire dai 6 anni di età </w:delText>
        </w:r>
      </w:del>
      <w:del w:id="18958" w:author="AbbVie14" w:date="2025-05-09T11:01:00Z">
        <w:r w:rsidR="0002677C">
          <w:rPr>
            <w:i/>
            <w:sz w:val="22"/>
            <w:szCs w:val="22"/>
          </w:rPr>
          <w:delText>e con peso uguale o superiore a</w:delText>
        </w:r>
      </w:del>
      <w:del w:id="18959" w:author="AbbVie14" w:date="2025-05-09T11:01:00Z">
        <w:r w:rsidRPr="00612824">
          <w:rPr>
            <w:i/>
            <w:sz w:val="22"/>
            <w:szCs w:val="22"/>
          </w:rPr>
          <w:delText xml:space="preserve"> 40 kg</w:delText>
        </w:r>
      </w:del>
    </w:p>
    <w:p w:rsidR="007674FE" w:rsidRPr="00612824" w:rsidP="007674FE" w14:paraId="5599A7A0" w14:textId="77777777">
      <w:pPr>
        <w:numPr>
          <w:ilvl w:val="12"/>
          <w:numId w:val="0"/>
        </w:numPr>
        <w:ind w:right="-2"/>
        <w:rPr>
          <w:del w:id="18960" w:author="AbbVie14" w:date="2025-05-09T11:01:00Z"/>
          <w:i/>
          <w:iCs/>
          <w:sz w:val="22"/>
          <w:szCs w:val="22"/>
        </w:rPr>
      </w:pPr>
    </w:p>
    <w:p w:rsidR="007674FE" w:rsidRPr="00612824" w:rsidP="007674FE" w14:paraId="02C082DD" w14:textId="77777777">
      <w:pPr>
        <w:numPr>
          <w:ilvl w:val="12"/>
          <w:numId w:val="0"/>
        </w:numPr>
        <w:ind w:right="-2"/>
        <w:rPr>
          <w:del w:id="18961" w:author="AbbVie14" w:date="2025-05-09T11:01:00Z"/>
          <w:sz w:val="22"/>
          <w:szCs w:val="22"/>
        </w:rPr>
      </w:pPr>
      <w:del w:id="18962" w:author="AbbVie14" w:date="2025-05-09T11:01:00Z">
        <w:r w:rsidRPr="00612824">
          <w:rPr>
            <w:sz w:val="22"/>
            <w:szCs w:val="22"/>
          </w:rPr>
          <w:delText>La dose abituale di Humira è di 160 mg (</w:delText>
        </w:r>
      </w:del>
      <w:del w:id="18963" w:author="AbbVie14" w:date="2025-05-09T11:01:00Z">
        <w:r w:rsidR="0002677C">
          <w:rPr>
            <w:sz w:val="22"/>
            <w:szCs w:val="22"/>
          </w:rPr>
          <w:delText xml:space="preserve">tramite </w:delText>
        </w:r>
      </w:del>
      <w:del w:id="18964" w:author="AbbVie14" w:date="2025-05-09T11:01:00Z">
        <w:r w:rsidRPr="00612824">
          <w:rPr>
            <w:sz w:val="22"/>
            <w:szCs w:val="22"/>
          </w:rPr>
          <w:delText xml:space="preserve">quattro iniezioni da 40 mg in un </w:delText>
        </w:r>
      </w:del>
      <w:del w:id="18965" w:author="AbbVie14" w:date="2025-05-09T11:01:00Z">
        <w:r w:rsidR="009D2CEC">
          <w:rPr>
            <w:sz w:val="22"/>
            <w:szCs w:val="22"/>
          </w:rPr>
          <w:delText>giorno</w:delText>
        </w:r>
      </w:del>
      <w:del w:id="18966" w:author="AbbVie14" w:date="2025-05-09T11:01:00Z">
        <w:r w:rsidRPr="00612824">
          <w:rPr>
            <w:sz w:val="22"/>
            <w:szCs w:val="22"/>
          </w:rPr>
          <w:delText xml:space="preserve"> o due iniezioni da 40 mg al giorno per due giorni consecutivi) seguita da 80 mg (</w:delText>
        </w:r>
      </w:del>
      <w:del w:id="18967" w:author="AbbVie14" w:date="2025-05-09T11:01:00Z">
        <w:r w:rsidR="0002677C">
          <w:rPr>
            <w:sz w:val="22"/>
            <w:szCs w:val="22"/>
          </w:rPr>
          <w:delText xml:space="preserve">tramite </w:delText>
        </w:r>
      </w:del>
      <w:del w:id="18968" w:author="AbbVie14" w:date="2025-05-09T11:01:00Z">
        <w:r w:rsidRPr="00612824">
          <w:rPr>
            <w:sz w:val="22"/>
            <w:szCs w:val="22"/>
          </w:rPr>
          <w:delText xml:space="preserve">due iniezioni da 40 mg in un </w:delText>
        </w:r>
      </w:del>
      <w:del w:id="18969" w:author="AbbVie14" w:date="2025-05-09T11:01:00Z">
        <w:r w:rsidR="009D2CEC">
          <w:rPr>
            <w:sz w:val="22"/>
            <w:szCs w:val="22"/>
          </w:rPr>
          <w:delText>giorno</w:delText>
        </w:r>
      </w:del>
      <w:del w:id="18970" w:author="AbbVie14" w:date="2025-05-09T11:01:00Z">
        <w:r w:rsidRPr="00612824">
          <w:rPr>
            <w:sz w:val="22"/>
            <w:szCs w:val="22"/>
          </w:rPr>
          <w:delText xml:space="preserve">) </w:delText>
        </w:r>
      </w:del>
      <w:del w:id="18971" w:author="AbbVie14" w:date="2025-05-09T11:01:00Z">
        <w:r w:rsidR="0002677C">
          <w:rPr>
            <w:sz w:val="22"/>
            <w:szCs w:val="22"/>
          </w:rPr>
          <w:delText xml:space="preserve">dopo </w:delText>
        </w:r>
      </w:del>
      <w:del w:id="18972" w:author="AbbVie14" w:date="2025-05-09T11:01:00Z">
        <w:r w:rsidRPr="00612824">
          <w:rPr>
            <w:sz w:val="22"/>
            <w:szCs w:val="22"/>
          </w:rPr>
          <w:delText>due settimane. Successivamente la dose abituale è di 80 mg</w:delText>
        </w:r>
      </w:del>
      <w:del w:id="18973" w:author="AbbVie14" w:date="2025-05-09T11:01:00Z">
        <w:r w:rsidR="0002677C">
          <w:rPr>
            <w:sz w:val="22"/>
            <w:szCs w:val="22"/>
          </w:rPr>
          <w:delText xml:space="preserve"> a settimane alterne</w:delText>
        </w:r>
      </w:del>
      <w:del w:id="18974" w:author="AbbVie14" w:date="2025-05-09T11:01:00Z">
        <w:r w:rsidRPr="00612824">
          <w:rPr>
            <w:sz w:val="22"/>
            <w:szCs w:val="22"/>
          </w:rPr>
          <w:delText xml:space="preserve">. </w:delText>
        </w:r>
      </w:del>
    </w:p>
    <w:p w:rsidR="007674FE" w:rsidRPr="00612824" w:rsidP="007674FE" w14:paraId="2E6914AE" w14:textId="77777777">
      <w:pPr>
        <w:numPr>
          <w:ilvl w:val="12"/>
          <w:numId w:val="0"/>
        </w:numPr>
        <w:ind w:right="-2"/>
        <w:rPr>
          <w:del w:id="18975" w:author="AbbVie14" w:date="2025-05-09T11:01:00Z"/>
          <w:sz w:val="22"/>
          <w:szCs w:val="22"/>
        </w:rPr>
      </w:pPr>
    </w:p>
    <w:p w:rsidR="007674FE" w:rsidRPr="00612824" w:rsidP="007674FE" w14:paraId="104B1A21" w14:textId="77777777">
      <w:pPr>
        <w:rPr>
          <w:del w:id="18976" w:author="AbbVie14" w:date="2025-05-09T11:01:00Z"/>
          <w:sz w:val="22"/>
          <w:szCs w:val="22"/>
        </w:rPr>
      </w:pPr>
      <w:del w:id="18977" w:author="AbbVie14" w:date="2025-05-09T11:01:00Z">
        <w:r w:rsidRPr="00612824">
          <w:rPr>
            <w:sz w:val="22"/>
            <w:szCs w:val="22"/>
          </w:rPr>
          <w:delText>I pazienti che compiono 18 anni mentre</w:delText>
        </w:r>
      </w:del>
      <w:del w:id="18978" w:author="AbbVie14" w:date="2025-05-09T11:01:00Z">
        <w:r w:rsidRPr="000163E8" w:rsidR="000163E8">
          <w:rPr>
            <w:sz w:val="22"/>
            <w:szCs w:val="22"/>
          </w:rPr>
          <w:delText xml:space="preserve"> assumono 80 </w:delText>
        </w:r>
      </w:del>
      <w:del w:id="18979" w:author="AbbVie14" w:date="2025-05-09T11:01:00Z">
        <w:r w:rsidRPr="00612824">
          <w:rPr>
            <w:sz w:val="22"/>
            <w:szCs w:val="22"/>
          </w:rPr>
          <w:delText xml:space="preserve">mg </w:delText>
        </w:r>
      </w:del>
      <w:del w:id="18980" w:author="AbbVie14" w:date="2025-05-09T11:01:00Z">
        <w:r w:rsidR="0002677C">
          <w:rPr>
            <w:sz w:val="22"/>
            <w:szCs w:val="22"/>
          </w:rPr>
          <w:delText>a</w:delText>
        </w:r>
      </w:del>
      <w:del w:id="18981" w:author="AbbVie14" w:date="2025-05-09T11:01:00Z">
        <w:r w:rsidRPr="00612824">
          <w:rPr>
            <w:sz w:val="22"/>
            <w:szCs w:val="22"/>
          </w:rPr>
          <w:delText xml:space="preserve"> settimane </w:delText>
        </w:r>
      </w:del>
      <w:del w:id="18982" w:author="AbbVie14" w:date="2025-05-09T11:01:00Z">
        <w:r w:rsidR="0002677C">
          <w:rPr>
            <w:sz w:val="22"/>
            <w:szCs w:val="22"/>
          </w:rPr>
          <w:delText xml:space="preserve">alterne </w:delText>
        </w:r>
      </w:del>
      <w:del w:id="18983" w:author="AbbVie14" w:date="2025-05-09T11:01:00Z">
        <w:r w:rsidRPr="00612824">
          <w:rPr>
            <w:sz w:val="22"/>
            <w:szCs w:val="22"/>
          </w:rPr>
          <w:delText>devono continuare la dose prescritta.</w:delText>
        </w:r>
      </w:del>
    </w:p>
    <w:p w:rsidR="007674FE" w14:paraId="2C360FF9" w14:textId="77777777">
      <w:pPr>
        <w:keepNext/>
        <w:rPr>
          <w:del w:id="18984" w:author="AbbVie14" w:date="2025-05-09T11:01:00Z"/>
          <w:sz w:val="22"/>
          <w:szCs w:val="22"/>
          <w:u w:val="single"/>
        </w:rPr>
      </w:pPr>
    </w:p>
    <w:p w:rsidR="006224C2" w:rsidRPr="00295E71" w14:paraId="310F8ED6" w14:textId="77777777">
      <w:pPr>
        <w:keepNext/>
        <w:rPr>
          <w:del w:id="18985" w:author="AbbVie14" w:date="2025-05-09T11:01:00Z"/>
          <w:sz w:val="22"/>
          <w:szCs w:val="22"/>
          <w:u w:val="single"/>
        </w:rPr>
      </w:pPr>
      <w:del w:id="18986" w:author="AbbVie14" w:date="2025-05-09T11:01:00Z">
        <w:r w:rsidRPr="00295E71">
          <w:rPr>
            <w:sz w:val="22"/>
            <w:szCs w:val="22"/>
            <w:u w:val="single"/>
          </w:rPr>
          <w:delText>Adulti con uveite non infettiva</w:delText>
        </w:r>
      </w:del>
    </w:p>
    <w:p w:rsidR="006224C2" w:rsidRPr="00295E71" w14:paraId="3CE7773E" w14:textId="77777777">
      <w:pPr>
        <w:keepNext/>
        <w:numPr>
          <w:ilvl w:val="12"/>
          <w:numId w:val="0"/>
        </w:numPr>
        <w:tabs>
          <w:tab w:val="left" w:pos="567"/>
        </w:tabs>
        <w:ind w:right="-2"/>
        <w:jc w:val="both"/>
        <w:rPr>
          <w:del w:id="18987" w:author="AbbVie14" w:date="2025-05-09T11:01:00Z"/>
          <w:sz w:val="22"/>
          <w:szCs w:val="22"/>
        </w:rPr>
      </w:pPr>
    </w:p>
    <w:p w:rsidR="006224C2" w:rsidRPr="00295E71" w14:paraId="16D654A7" w14:textId="77777777">
      <w:pPr>
        <w:keepNext/>
        <w:numPr>
          <w:ilvl w:val="12"/>
          <w:numId w:val="0"/>
        </w:numPr>
        <w:tabs>
          <w:tab w:val="left" w:pos="567"/>
        </w:tabs>
        <w:ind w:right="-2"/>
        <w:jc w:val="both"/>
        <w:rPr>
          <w:del w:id="18988" w:author="AbbVie14" w:date="2025-05-09T11:01:00Z"/>
          <w:sz w:val="22"/>
          <w:szCs w:val="22"/>
        </w:rPr>
      </w:pPr>
      <w:del w:id="18989" w:author="AbbVie14" w:date="2025-05-09T11:01:00Z">
        <w:r w:rsidRPr="00295E71">
          <w:rPr>
            <w:sz w:val="22"/>
            <w:szCs w:val="22"/>
          </w:rPr>
          <w:delText xml:space="preserve">La dose abituale per gli adulti </w:delText>
        </w:r>
      </w:del>
      <w:del w:id="18990" w:author="AbbVie14" w:date="2025-05-09T11:01:00Z">
        <w:r w:rsidRPr="00295E71" w:rsidR="00A563D7">
          <w:rPr>
            <w:sz w:val="22"/>
            <w:szCs w:val="22"/>
          </w:rPr>
          <w:delText>con</w:delText>
        </w:r>
      </w:del>
      <w:del w:id="18991" w:author="AbbVie14" w:date="2025-05-09T11:01:00Z">
        <w:r w:rsidRPr="00295E71">
          <w:rPr>
            <w:sz w:val="22"/>
            <w:szCs w:val="22"/>
          </w:rPr>
          <w:delText xml:space="preserve"> uveite non infettiva è una dose iniziale </w:delText>
        </w:r>
      </w:del>
      <w:del w:id="18992" w:author="AbbVie14" w:date="2025-05-09T11:01:00Z">
        <w:r w:rsidRPr="00295E71" w:rsidR="00A563D7">
          <w:rPr>
            <w:sz w:val="22"/>
            <w:szCs w:val="22"/>
          </w:rPr>
          <w:delText>di</w:delText>
        </w:r>
      </w:del>
      <w:del w:id="18993" w:author="AbbVie14" w:date="2025-05-09T11:01:00Z">
        <w:r w:rsidRPr="00295E71">
          <w:rPr>
            <w:sz w:val="22"/>
            <w:szCs w:val="22"/>
          </w:rPr>
          <w:delText xml:space="preserve"> 80 mg</w:delText>
        </w:r>
      </w:del>
      <w:del w:id="18994" w:author="AbbVie14" w:date="2025-05-09T11:01:00Z">
        <w:r w:rsidRPr="00295E71" w:rsidR="00A563D7">
          <w:rPr>
            <w:sz w:val="22"/>
            <w:szCs w:val="22"/>
          </w:rPr>
          <w:delText xml:space="preserve"> (tramite due iniezioni in un giorno)</w:delText>
        </w:r>
      </w:del>
      <w:del w:id="18995" w:author="AbbVie14" w:date="2025-05-09T11:01:00Z">
        <w:r w:rsidRPr="00295E71">
          <w:rPr>
            <w:sz w:val="22"/>
            <w:szCs w:val="22"/>
          </w:rPr>
          <w:delText>, seguita da 40 mg somministrati a settimane alterne a partire da una settimana dopo la dose iniziale. Deve continuare a iniettarsi il trattamento con Humira per tutto il tempo indicato dal medico.</w:delText>
        </w:r>
      </w:del>
    </w:p>
    <w:p w:rsidR="006224C2" w:rsidRPr="00295E71" w14:paraId="377A36F4" w14:textId="77777777">
      <w:pPr>
        <w:numPr>
          <w:ilvl w:val="12"/>
          <w:numId w:val="0"/>
        </w:numPr>
        <w:tabs>
          <w:tab w:val="left" w:pos="567"/>
        </w:tabs>
        <w:ind w:right="-2"/>
        <w:jc w:val="both"/>
        <w:rPr>
          <w:del w:id="18996" w:author="AbbVie14" w:date="2025-05-09T11:01:00Z"/>
          <w:sz w:val="22"/>
          <w:szCs w:val="22"/>
        </w:rPr>
      </w:pPr>
    </w:p>
    <w:p w:rsidR="006224C2" w:rsidRPr="00295E71" w14:paraId="669AEF87" w14:textId="77777777">
      <w:pPr>
        <w:numPr>
          <w:ilvl w:val="12"/>
          <w:numId w:val="0"/>
        </w:numPr>
        <w:tabs>
          <w:tab w:val="left" w:pos="567"/>
        </w:tabs>
        <w:ind w:right="-2"/>
        <w:jc w:val="both"/>
        <w:rPr>
          <w:del w:id="18997" w:author="AbbVie14" w:date="2025-05-09T11:01:00Z"/>
          <w:sz w:val="22"/>
          <w:szCs w:val="22"/>
        </w:rPr>
      </w:pPr>
      <w:del w:id="18998" w:author="AbbVie14" w:date="2025-05-09T11:01:00Z">
        <w:r w:rsidRPr="00295E71">
          <w:rPr>
            <w:sz w:val="22"/>
            <w:szCs w:val="22"/>
          </w:rPr>
          <w:delText>Nell’uveite non infettiva, i corticosteroidi o gli altri farmaci che influiscono sul sistema immunitario potranno essere continuati durante il trattamento con Humira. Humira può essere somministrato in monoterapia.</w:delText>
        </w:r>
      </w:del>
    </w:p>
    <w:p w:rsidR="006224C2" w:rsidRPr="00295E71" w14:paraId="60E3F36B" w14:textId="77777777">
      <w:pPr>
        <w:numPr>
          <w:ilvl w:val="12"/>
          <w:numId w:val="0"/>
        </w:numPr>
        <w:tabs>
          <w:tab w:val="left" w:pos="567"/>
        </w:tabs>
        <w:ind w:right="-2"/>
        <w:jc w:val="both"/>
        <w:rPr>
          <w:del w:id="18999" w:author="AbbVie14" w:date="2025-05-09T11:01:00Z"/>
          <w:sz w:val="22"/>
          <w:szCs w:val="22"/>
        </w:rPr>
      </w:pPr>
    </w:p>
    <w:p w:rsidR="006224C2" w:rsidRPr="00295E71" w14:paraId="23FE46DC" w14:textId="77777777">
      <w:pPr>
        <w:numPr>
          <w:ilvl w:val="12"/>
          <w:numId w:val="0"/>
        </w:numPr>
        <w:ind w:right="-2"/>
        <w:rPr>
          <w:del w:id="19000" w:author="AbbVie14" w:date="2025-05-09T11:01:00Z"/>
          <w:sz w:val="22"/>
          <w:szCs w:val="22"/>
          <w:u w:val="single"/>
        </w:rPr>
      </w:pPr>
      <w:del w:id="19001" w:author="AbbVie14" w:date="2025-05-09T11:01:00Z">
        <w:r w:rsidRPr="00295E71">
          <w:rPr>
            <w:sz w:val="22"/>
            <w:szCs w:val="22"/>
            <w:u w:val="single"/>
          </w:rPr>
          <w:delText xml:space="preserve">Bambini </w:delText>
        </w:r>
      </w:del>
      <w:del w:id="19002" w:author="AbbVie14" w:date="2025-05-09T11:01:00Z">
        <w:r w:rsidRPr="00295E71" w:rsidR="00A563D7">
          <w:rPr>
            <w:sz w:val="22"/>
            <w:szCs w:val="22"/>
            <w:u w:val="single"/>
          </w:rPr>
          <w:delText>e adolescenti con</w:delText>
        </w:r>
      </w:del>
      <w:del w:id="19003" w:author="AbbVie14" w:date="2025-05-09T11:01:00Z">
        <w:r w:rsidRPr="00295E71">
          <w:rPr>
            <w:sz w:val="22"/>
            <w:szCs w:val="22"/>
            <w:u w:val="single"/>
          </w:rPr>
          <w:delText xml:space="preserve"> uveite cronica non infettiva </w:delText>
        </w:r>
      </w:del>
      <w:del w:id="19004" w:author="AbbVie14" w:date="2025-05-09T11:01:00Z">
        <w:r w:rsidRPr="00295E71" w:rsidR="00BC55CA">
          <w:rPr>
            <w:sz w:val="22"/>
            <w:szCs w:val="22"/>
            <w:u w:val="single"/>
          </w:rPr>
          <w:delText xml:space="preserve">a partire </w:delText>
        </w:r>
      </w:del>
      <w:del w:id="19005" w:author="AbbVie14" w:date="2025-05-09T11:01:00Z">
        <w:r w:rsidRPr="00295E71">
          <w:rPr>
            <w:sz w:val="22"/>
            <w:szCs w:val="22"/>
            <w:u w:val="single"/>
          </w:rPr>
          <w:delText>da 2 anni</w:delText>
        </w:r>
      </w:del>
      <w:del w:id="19006" w:author="AbbVie14" w:date="2025-05-09T11:01:00Z">
        <w:r w:rsidRPr="00295E71" w:rsidR="00BC55CA">
          <w:rPr>
            <w:sz w:val="22"/>
            <w:szCs w:val="22"/>
            <w:u w:val="single"/>
          </w:rPr>
          <w:delText xml:space="preserve"> </w:delText>
        </w:r>
      </w:del>
      <w:del w:id="19007" w:author="AbbVie14" w:date="2025-05-09T11:01:00Z">
        <w:r w:rsidRPr="00295E71">
          <w:rPr>
            <w:sz w:val="22"/>
            <w:szCs w:val="22"/>
            <w:u w:val="single"/>
          </w:rPr>
          <w:delText>d</w:delText>
        </w:r>
      </w:del>
      <w:del w:id="19008" w:author="AbbVie14" w:date="2025-05-09T11:01:00Z">
        <w:r w:rsidRPr="00295E71" w:rsidR="00BC55CA">
          <w:rPr>
            <w:sz w:val="22"/>
            <w:szCs w:val="22"/>
            <w:u w:val="single"/>
          </w:rPr>
          <w:delText xml:space="preserve">i </w:delText>
        </w:r>
      </w:del>
      <w:del w:id="19009" w:author="AbbVie14" w:date="2025-05-09T11:01:00Z">
        <w:r w:rsidRPr="00295E71">
          <w:rPr>
            <w:sz w:val="22"/>
            <w:szCs w:val="22"/>
            <w:u w:val="single"/>
          </w:rPr>
          <w:delText>età</w:delText>
        </w:r>
      </w:del>
    </w:p>
    <w:p w:rsidR="006224C2" w:rsidRPr="00295E71" w14:paraId="6CF12A7B" w14:textId="77777777">
      <w:pPr>
        <w:numPr>
          <w:ilvl w:val="12"/>
          <w:numId w:val="0"/>
        </w:numPr>
        <w:ind w:right="-2"/>
        <w:rPr>
          <w:del w:id="19010" w:author="AbbVie14" w:date="2025-05-09T11:01:00Z"/>
          <w:sz w:val="22"/>
          <w:szCs w:val="22"/>
          <w:u w:val="single"/>
        </w:rPr>
      </w:pPr>
    </w:p>
    <w:p w:rsidR="00A563D7" w:rsidRPr="00295E71" w:rsidP="00A563D7" w14:paraId="7AF7923D" w14:textId="77777777">
      <w:pPr>
        <w:numPr>
          <w:ilvl w:val="12"/>
          <w:numId w:val="0"/>
        </w:numPr>
        <w:ind w:right="-2"/>
        <w:rPr>
          <w:del w:id="19011" w:author="AbbVie14" w:date="2025-05-09T11:01:00Z"/>
          <w:i/>
          <w:sz w:val="22"/>
          <w:szCs w:val="22"/>
        </w:rPr>
      </w:pPr>
      <w:del w:id="19012" w:author="AbbVie14" w:date="2025-05-09T11:01:00Z">
        <w:r w:rsidRPr="00295E71">
          <w:rPr>
            <w:i/>
            <w:sz w:val="22"/>
            <w:szCs w:val="22"/>
          </w:rPr>
          <w:delText xml:space="preserve">Bambini e adolescenti </w:delText>
        </w:r>
      </w:del>
      <w:del w:id="19013" w:author="AbbVie14" w:date="2025-05-09T11:01:00Z">
        <w:r w:rsidRPr="00295E71" w:rsidR="00383ADC">
          <w:rPr>
            <w:i/>
            <w:sz w:val="22"/>
            <w:szCs w:val="22"/>
          </w:rPr>
          <w:delText>a partire da</w:delText>
        </w:r>
      </w:del>
      <w:del w:id="19014" w:author="AbbVie14" w:date="2025-05-09T11:01:00Z">
        <w:r w:rsidRPr="00295E71">
          <w:rPr>
            <w:i/>
            <w:sz w:val="22"/>
            <w:szCs w:val="22"/>
          </w:rPr>
          <w:delText xml:space="preserve"> 2 anni  e con peso inferiore a 30 kg</w:delText>
        </w:r>
      </w:del>
    </w:p>
    <w:p w:rsidR="006224C2" w:rsidRPr="00295E71" w14:paraId="06B21B2F" w14:textId="77777777">
      <w:pPr>
        <w:numPr>
          <w:ilvl w:val="12"/>
          <w:numId w:val="0"/>
        </w:numPr>
        <w:ind w:right="-2"/>
        <w:rPr>
          <w:del w:id="19015" w:author="AbbVie14" w:date="2025-05-09T11:01:00Z"/>
          <w:sz w:val="22"/>
          <w:szCs w:val="22"/>
        </w:rPr>
      </w:pPr>
    </w:p>
    <w:p w:rsidR="006224C2" w:rsidRPr="00295E71" w14:paraId="79C998A3" w14:textId="77777777">
      <w:pPr>
        <w:numPr>
          <w:ilvl w:val="12"/>
          <w:numId w:val="0"/>
        </w:numPr>
        <w:ind w:right="-2"/>
        <w:rPr>
          <w:del w:id="19016" w:author="AbbVie14" w:date="2025-05-09T11:01:00Z"/>
          <w:sz w:val="22"/>
          <w:szCs w:val="22"/>
        </w:rPr>
      </w:pPr>
      <w:del w:id="19017" w:author="AbbVie14" w:date="2025-05-09T11:01:00Z">
        <w:r w:rsidRPr="00295E71">
          <w:rPr>
            <w:sz w:val="22"/>
            <w:szCs w:val="22"/>
          </w:rPr>
          <w:delText>La dose abituale di Humira è di 20 mg somministrati a settimane alterne con metotressato.</w:delText>
        </w:r>
      </w:del>
    </w:p>
    <w:p w:rsidR="006224C2" w:rsidRPr="00295E71" w14:paraId="45F198C1" w14:textId="77777777">
      <w:pPr>
        <w:numPr>
          <w:ilvl w:val="12"/>
          <w:numId w:val="0"/>
        </w:numPr>
        <w:ind w:right="-2"/>
        <w:rPr>
          <w:del w:id="19018" w:author="AbbVie14" w:date="2025-05-09T11:01:00Z"/>
          <w:sz w:val="22"/>
          <w:szCs w:val="22"/>
        </w:rPr>
      </w:pPr>
    </w:p>
    <w:p w:rsidR="006224C2" w:rsidRPr="00295E71" w14:paraId="607E018C" w14:textId="77777777">
      <w:pPr>
        <w:numPr>
          <w:ilvl w:val="12"/>
          <w:numId w:val="0"/>
        </w:numPr>
        <w:ind w:right="-2"/>
        <w:rPr>
          <w:del w:id="19019" w:author="AbbVie14" w:date="2025-05-09T11:01:00Z"/>
          <w:sz w:val="22"/>
          <w:szCs w:val="22"/>
        </w:rPr>
      </w:pPr>
      <w:del w:id="19020" w:author="AbbVie14" w:date="2025-05-09T11:01:00Z">
        <w:r w:rsidRPr="00295E71">
          <w:rPr>
            <w:sz w:val="22"/>
            <w:szCs w:val="22"/>
          </w:rPr>
          <w:delText xml:space="preserve">Il medico potrebbe prescrivere anche una dose iniziale da 40 mg che </w:delText>
        </w:r>
      </w:del>
      <w:del w:id="19021" w:author="AbbVie14" w:date="2025-05-09T11:01:00Z">
        <w:r w:rsidRPr="00295E71" w:rsidR="00A563D7">
          <w:rPr>
            <w:sz w:val="22"/>
            <w:szCs w:val="22"/>
          </w:rPr>
          <w:delText xml:space="preserve">può </w:delText>
        </w:r>
      </w:del>
      <w:del w:id="19022" w:author="AbbVie14" w:date="2025-05-09T11:01:00Z">
        <w:r w:rsidRPr="00295E71">
          <w:rPr>
            <w:sz w:val="22"/>
            <w:szCs w:val="22"/>
          </w:rPr>
          <w:delText>essere somministrata una settimana prima dell’inizio della dose abituale.</w:delText>
        </w:r>
      </w:del>
    </w:p>
    <w:p w:rsidR="006224C2" w:rsidRPr="00295E71" w14:paraId="5D0E451A" w14:textId="77777777">
      <w:pPr>
        <w:numPr>
          <w:ilvl w:val="12"/>
          <w:numId w:val="0"/>
        </w:numPr>
        <w:ind w:right="-2"/>
        <w:rPr>
          <w:del w:id="19023" w:author="AbbVie14" w:date="2025-05-09T11:01:00Z"/>
          <w:sz w:val="22"/>
          <w:szCs w:val="22"/>
        </w:rPr>
      </w:pPr>
    </w:p>
    <w:p w:rsidR="006224C2" w:rsidRPr="00295E71" w:rsidP="00EE30BE" w14:paraId="077DF035" w14:textId="77777777">
      <w:pPr>
        <w:keepNext/>
        <w:numPr>
          <w:ilvl w:val="12"/>
          <w:numId w:val="0"/>
        </w:numPr>
        <w:ind w:right="-2"/>
        <w:rPr>
          <w:del w:id="19024" w:author="AbbVie14" w:date="2025-05-09T11:01:00Z"/>
          <w:sz w:val="22"/>
          <w:szCs w:val="22"/>
          <w:u w:val="single"/>
        </w:rPr>
      </w:pPr>
      <w:del w:id="19025" w:author="AbbVie14" w:date="2025-05-09T11:01:00Z">
        <w:r w:rsidRPr="00295E71">
          <w:rPr>
            <w:i/>
            <w:sz w:val="22"/>
            <w:szCs w:val="22"/>
          </w:rPr>
          <w:delText xml:space="preserve">Bambini e adolescenti </w:delText>
        </w:r>
      </w:del>
      <w:del w:id="19026" w:author="AbbVie14" w:date="2025-05-09T11:01:00Z">
        <w:r w:rsidRPr="00295E71" w:rsidR="00BC55CA">
          <w:rPr>
            <w:i/>
            <w:sz w:val="22"/>
            <w:szCs w:val="22"/>
          </w:rPr>
          <w:delText>a partire da 2 anni di età</w:delText>
        </w:r>
      </w:del>
      <w:del w:id="19027" w:author="AbbVie14" w:date="2025-05-09T11:01:00Z">
        <w:r w:rsidRPr="00295E71">
          <w:rPr>
            <w:i/>
            <w:sz w:val="22"/>
            <w:szCs w:val="22"/>
          </w:rPr>
          <w:delText xml:space="preserve">  e con peso uguale o superiore a 30 kg</w:delText>
        </w:r>
      </w:del>
    </w:p>
    <w:p w:rsidR="006224C2" w:rsidRPr="00295E71" w:rsidP="00EE30BE" w14:paraId="0574DB1A" w14:textId="77777777">
      <w:pPr>
        <w:keepNext/>
        <w:numPr>
          <w:ilvl w:val="12"/>
          <w:numId w:val="0"/>
        </w:numPr>
        <w:ind w:right="-2"/>
        <w:rPr>
          <w:del w:id="19028" w:author="AbbVie14" w:date="2025-05-09T11:01:00Z"/>
          <w:sz w:val="22"/>
          <w:szCs w:val="22"/>
        </w:rPr>
      </w:pPr>
    </w:p>
    <w:p w:rsidR="006224C2" w:rsidRPr="00295E71" w:rsidP="00EE30BE" w14:paraId="6F06309C" w14:textId="77777777">
      <w:pPr>
        <w:keepNext/>
        <w:numPr>
          <w:ilvl w:val="12"/>
          <w:numId w:val="0"/>
        </w:numPr>
        <w:ind w:right="-2"/>
        <w:rPr>
          <w:del w:id="19029" w:author="AbbVie14" w:date="2025-05-09T11:01:00Z"/>
          <w:sz w:val="22"/>
          <w:szCs w:val="22"/>
        </w:rPr>
      </w:pPr>
      <w:del w:id="19030" w:author="AbbVie14" w:date="2025-05-09T11:01:00Z">
        <w:r w:rsidRPr="00295E71">
          <w:rPr>
            <w:sz w:val="22"/>
            <w:szCs w:val="22"/>
          </w:rPr>
          <w:delText>La dose abituale di Humira è di 40 mg somministrati a settimane alterne con metotressato.</w:delText>
        </w:r>
      </w:del>
    </w:p>
    <w:p w:rsidR="006224C2" w:rsidRPr="00295E71" w14:paraId="5B83CB67" w14:textId="77777777">
      <w:pPr>
        <w:numPr>
          <w:ilvl w:val="12"/>
          <w:numId w:val="0"/>
        </w:numPr>
        <w:ind w:right="-2"/>
        <w:rPr>
          <w:del w:id="19031" w:author="AbbVie14" w:date="2025-05-09T11:01:00Z"/>
          <w:sz w:val="22"/>
          <w:szCs w:val="22"/>
        </w:rPr>
      </w:pPr>
    </w:p>
    <w:p w:rsidR="006224C2" w:rsidRPr="00295E71" w14:paraId="6A1F1CA3" w14:textId="77777777">
      <w:pPr>
        <w:numPr>
          <w:ilvl w:val="12"/>
          <w:numId w:val="0"/>
        </w:numPr>
        <w:tabs>
          <w:tab w:val="left" w:pos="567"/>
        </w:tabs>
        <w:ind w:right="-2"/>
        <w:jc w:val="both"/>
        <w:rPr>
          <w:del w:id="19032" w:author="AbbVie14" w:date="2025-05-09T11:01:00Z"/>
          <w:sz w:val="22"/>
          <w:szCs w:val="22"/>
        </w:rPr>
      </w:pPr>
      <w:del w:id="19033" w:author="AbbVie14" w:date="2025-05-09T11:01:00Z">
        <w:r w:rsidRPr="00295E71">
          <w:rPr>
            <w:sz w:val="22"/>
            <w:szCs w:val="22"/>
          </w:rPr>
          <w:delText xml:space="preserve">Il medico potrebbe prescrivere anche una dose iniziale da 80 mg che </w:delText>
        </w:r>
      </w:del>
      <w:del w:id="19034" w:author="AbbVie14" w:date="2025-05-09T11:01:00Z">
        <w:r w:rsidRPr="00295E71" w:rsidR="00A563D7">
          <w:rPr>
            <w:sz w:val="22"/>
            <w:szCs w:val="22"/>
          </w:rPr>
          <w:delText xml:space="preserve">può </w:delText>
        </w:r>
      </w:del>
      <w:del w:id="19035" w:author="AbbVie14" w:date="2025-05-09T11:01:00Z">
        <w:r w:rsidRPr="00295E71">
          <w:rPr>
            <w:sz w:val="22"/>
            <w:szCs w:val="22"/>
          </w:rPr>
          <w:delText>essere somministrata una settimana prima dell’inizio della dose abituale.</w:delText>
        </w:r>
      </w:del>
    </w:p>
    <w:p w:rsidR="006224C2" w:rsidRPr="00295E71" w14:paraId="469A7A79" w14:textId="77777777">
      <w:pPr>
        <w:numPr>
          <w:ilvl w:val="12"/>
          <w:numId w:val="0"/>
        </w:numPr>
        <w:tabs>
          <w:tab w:val="left" w:pos="567"/>
        </w:tabs>
        <w:ind w:right="-2"/>
        <w:jc w:val="both"/>
        <w:rPr>
          <w:del w:id="19036" w:author="AbbVie14" w:date="2025-05-09T11:01:00Z"/>
          <w:sz w:val="22"/>
          <w:szCs w:val="22"/>
        </w:rPr>
      </w:pPr>
    </w:p>
    <w:p w:rsidR="006224C2" w:rsidRPr="00295E71" w14:paraId="2F5944F5" w14:textId="77777777">
      <w:pPr>
        <w:numPr>
          <w:ilvl w:val="12"/>
          <w:numId w:val="0"/>
        </w:numPr>
        <w:tabs>
          <w:tab w:val="left" w:pos="567"/>
        </w:tabs>
        <w:ind w:right="-2"/>
        <w:jc w:val="both"/>
        <w:rPr>
          <w:del w:id="19037" w:author="AbbVie14" w:date="2025-05-09T11:01:00Z"/>
          <w:b/>
          <w:sz w:val="22"/>
          <w:szCs w:val="22"/>
        </w:rPr>
      </w:pPr>
      <w:del w:id="19038" w:author="AbbVie14" w:date="2025-05-09T11:01:00Z">
        <w:r w:rsidRPr="00295E71">
          <w:rPr>
            <w:b/>
            <w:sz w:val="22"/>
            <w:szCs w:val="22"/>
          </w:rPr>
          <w:delText>Modo e via di somministrazione</w:delText>
        </w:r>
      </w:del>
    </w:p>
    <w:p w:rsidR="006224C2" w:rsidRPr="00295E71" w14:paraId="0EB72C0C" w14:textId="77777777">
      <w:pPr>
        <w:numPr>
          <w:ilvl w:val="12"/>
          <w:numId w:val="0"/>
        </w:numPr>
        <w:tabs>
          <w:tab w:val="left" w:pos="567"/>
        </w:tabs>
        <w:ind w:right="-2"/>
        <w:jc w:val="both"/>
        <w:rPr>
          <w:del w:id="19039" w:author="AbbVie14" w:date="2025-05-09T11:01:00Z"/>
          <w:sz w:val="22"/>
          <w:szCs w:val="22"/>
        </w:rPr>
      </w:pPr>
    </w:p>
    <w:p w:rsidR="006224C2" w:rsidRPr="00295E71" w14:paraId="24216EF3" w14:textId="77777777">
      <w:pPr>
        <w:numPr>
          <w:ilvl w:val="12"/>
          <w:numId w:val="0"/>
        </w:numPr>
        <w:tabs>
          <w:tab w:val="left" w:pos="567"/>
        </w:tabs>
        <w:ind w:right="-2"/>
        <w:jc w:val="both"/>
        <w:rPr>
          <w:del w:id="19040" w:author="AbbVie14" w:date="2025-05-09T11:01:00Z"/>
          <w:sz w:val="22"/>
          <w:szCs w:val="22"/>
        </w:rPr>
      </w:pPr>
      <w:del w:id="19041" w:author="AbbVie14" w:date="2025-05-09T11:01:00Z">
        <w:r w:rsidRPr="00295E71">
          <w:rPr>
            <w:sz w:val="22"/>
            <w:szCs w:val="22"/>
          </w:rPr>
          <w:delText>Humira è somministrato per iniezione sotto la cute (per iniezione sottocutanea).</w:delText>
        </w:r>
      </w:del>
    </w:p>
    <w:p w:rsidR="006224C2" w:rsidRPr="00295E71" w14:paraId="31AA28A9" w14:textId="77777777">
      <w:pPr>
        <w:numPr>
          <w:ilvl w:val="12"/>
          <w:numId w:val="0"/>
        </w:numPr>
        <w:tabs>
          <w:tab w:val="left" w:pos="567"/>
        </w:tabs>
        <w:ind w:right="-2"/>
        <w:jc w:val="both"/>
        <w:rPr>
          <w:del w:id="19042" w:author="AbbVie14" w:date="2025-05-09T11:01:00Z"/>
          <w:sz w:val="22"/>
          <w:szCs w:val="22"/>
        </w:rPr>
      </w:pPr>
    </w:p>
    <w:p w:rsidR="006224C2" w:rsidRPr="00295E71" w14:paraId="67E6A0B3" w14:textId="77777777">
      <w:pPr>
        <w:tabs>
          <w:tab w:val="left" w:pos="567"/>
        </w:tabs>
        <w:jc w:val="both"/>
        <w:rPr>
          <w:del w:id="19043" w:author="AbbVie14" w:date="2025-05-09T11:01:00Z"/>
          <w:b/>
          <w:bCs/>
          <w:sz w:val="22"/>
          <w:szCs w:val="22"/>
        </w:rPr>
      </w:pPr>
      <w:del w:id="19044" w:author="AbbVie14" w:date="2025-05-09T11:01:00Z">
        <w:r w:rsidRPr="00295E71">
          <w:rPr>
            <w:b/>
            <w:bCs/>
            <w:sz w:val="22"/>
            <w:szCs w:val="22"/>
          </w:rPr>
          <w:delText>Come effettuare l’iniezione di Humira da solo</w:delText>
        </w:r>
      </w:del>
    </w:p>
    <w:p w:rsidR="006224C2" w:rsidRPr="00295E71" w14:paraId="15AFF3E8" w14:textId="77777777">
      <w:pPr>
        <w:tabs>
          <w:tab w:val="left" w:pos="567"/>
        </w:tabs>
        <w:jc w:val="both"/>
        <w:rPr>
          <w:del w:id="19045" w:author="AbbVie14" w:date="2025-05-09T11:01:00Z"/>
          <w:sz w:val="22"/>
          <w:szCs w:val="22"/>
          <w:u w:val="single"/>
        </w:rPr>
      </w:pPr>
    </w:p>
    <w:p w:rsidR="006224C2" w:rsidRPr="00295E71" w14:paraId="1A2CCEF2" w14:textId="77777777">
      <w:pPr>
        <w:pStyle w:val="BodyText3"/>
        <w:tabs>
          <w:tab w:val="left" w:pos="567"/>
        </w:tabs>
        <w:rPr>
          <w:del w:id="19046" w:author="AbbVie14" w:date="2025-05-09T11:01:00Z"/>
          <w:lang w:eastAsia="en-US"/>
        </w:rPr>
      </w:pPr>
      <w:del w:id="19047" w:author="AbbVie14" w:date="2025-05-09T11:01:00Z">
        <w:r w:rsidRPr="00295E71">
          <w:rPr>
            <w:lang w:eastAsia="en-US"/>
          </w:rPr>
          <w:delText>Le seguenti istruzioni spiegano come effettuare l’auto-iniezione di Humira utilizzando la penna pre-riempita. Legga attentamente le istruzioni e le segua passo dopo passo. Riceverà istruzioni dal medico o dal suo assistente sulla tecnica dell’auto-somministrazione. Non proceda all’iniezione da solo finché non è sicuro di aver capito come preparare ed eseguire la somministrazione. Dopo adeguate istruzioni l’iniezione può essere eseguita da lei o da altre persone quali, ad esempio, un familiare o un amico.</w:delText>
        </w:r>
      </w:del>
    </w:p>
    <w:p w:rsidR="006224C2" w:rsidRPr="00295E71" w14:paraId="440BCE37" w14:textId="77777777">
      <w:pPr>
        <w:tabs>
          <w:tab w:val="left" w:pos="567"/>
        </w:tabs>
        <w:jc w:val="both"/>
        <w:rPr>
          <w:del w:id="19048" w:author="AbbVie14" w:date="2025-05-09T11:01:00Z"/>
          <w:sz w:val="22"/>
          <w:szCs w:val="22"/>
        </w:rPr>
      </w:pPr>
    </w:p>
    <w:p w:rsidR="006224C2" w:rsidRPr="00295E71" w:rsidP="00FB547E" w14:paraId="13F2E595" w14:textId="77777777">
      <w:pPr>
        <w:keepNext/>
        <w:keepLines/>
        <w:tabs>
          <w:tab w:val="left" w:pos="567"/>
        </w:tabs>
        <w:rPr>
          <w:del w:id="19049" w:author="AbbVie14" w:date="2025-05-09T11:01:00Z"/>
          <w:sz w:val="22"/>
          <w:szCs w:val="22"/>
        </w:rPr>
      </w:pPr>
      <w:del w:id="19050" w:author="AbbVie14" w:date="2025-05-09T11:01:00Z">
        <w:r w:rsidRPr="00295E71">
          <w:rPr>
            <w:b/>
            <w:bCs/>
            <w:sz w:val="22"/>
            <w:szCs w:val="22"/>
          </w:rPr>
          <w:delText>Qual’è la procedura da seguire prima di auto-effettuarsi l’iniezione sottocutanea di Humira?</w:delText>
        </w:r>
      </w:del>
    </w:p>
    <w:p w:rsidR="006224C2" w:rsidRPr="00295E71" w:rsidP="00FB547E" w14:paraId="685E312F" w14:textId="77777777">
      <w:pPr>
        <w:keepNext/>
        <w:keepLines/>
        <w:tabs>
          <w:tab w:val="left" w:pos="567"/>
        </w:tabs>
        <w:rPr>
          <w:del w:id="19051" w:author="AbbVie14" w:date="2025-05-09T11:01:00Z"/>
          <w:sz w:val="22"/>
          <w:szCs w:val="22"/>
        </w:rPr>
      </w:pPr>
    </w:p>
    <w:p w:rsidR="006224C2" w:rsidRPr="00295E71" w:rsidP="00FB547E" w14:paraId="0091D0CA" w14:textId="77777777">
      <w:pPr>
        <w:keepNext/>
        <w:keepLines/>
        <w:numPr>
          <w:ilvl w:val="0"/>
          <w:numId w:val="27"/>
        </w:numPr>
        <w:tabs>
          <w:tab w:val="left" w:pos="567"/>
          <w:tab w:val="num" w:pos="600"/>
        </w:tabs>
        <w:ind w:left="600" w:hanging="600"/>
        <w:rPr>
          <w:del w:id="19052" w:author="AbbVie14" w:date="2025-05-09T11:01:00Z"/>
          <w:sz w:val="22"/>
          <w:szCs w:val="22"/>
        </w:rPr>
      </w:pPr>
      <w:del w:id="19053" w:author="AbbVie14" w:date="2025-05-09T11:01:00Z">
        <w:r w:rsidRPr="00295E71">
          <w:rPr>
            <w:sz w:val="22"/>
            <w:szCs w:val="22"/>
          </w:rPr>
          <w:delText>Si lavi accuratamente le mani.</w:delText>
        </w:r>
      </w:del>
    </w:p>
    <w:p w:rsidR="006224C2" w:rsidRPr="00295E71" w:rsidP="00FB547E" w14:paraId="75037A65" w14:textId="77777777">
      <w:pPr>
        <w:numPr>
          <w:ilvl w:val="0"/>
          <w:numId w:val="27"/>
        </w:numPr>
        <w:tabs>
          <w:tab w:val="left" w:pos="567"/>
          <w:tab w:val="num" w:pos="600"/>
        </w:tabs>
        <w:ind w:left="600" w:hanging="600"/>
        <w:rPr>
          <w:del w:id="19054" w:author="AbbVie14" w:date="2025-05-09T11:01:00Z"/>
          <w:sz w:val="22"/>
          <w:szCs w:val="22"/>
        </w:rPr>
      </w:pPr>
      <w:del w:id="19055" w:author="AbbVie14" w:date="2025-05-09T11:01:00Z">
        <w:r w:rsidRPr="00295E71">
          <w:rPr>
            <w:sz w:val="22"/>
            <w:szCs w:val="22"/>
          </w:rPr>
          <w:delText>Estragga dal frigorifero il contenitore monodose contenente la penna pre-riempita di Humira.</w:delText>
        </w:r>
      </w:del>
    </w:p>
    <w:p w:rsidR="006224C2" w:rsidRPr="00295E71" w:rsidP="00FB547E" w14:paraId="217B6A8F" w14:textId="77777777">
      <w:pPr>
        <w:numPr>
          <w:ilvl w:val="0"/>
          <w:numId w:val="27"/>
        </w:numPr>
        <w:tabs>
          <w:tab w:val="left" w:pos="567"/>
          <w:tab w:val="num" w:pos="600"/>
        </w:tabs>
        <w:ind w:left="600" w:hanging="600"/>
        <w:rPr>
          <w:del w:id="19056" w:author="AbbVie14" w:date="2025-05-09T11:01:00Z"/>
          <w:sz w:val="22"/>
          <w:szCs w:val="22"/>
        </w:rPr>
      </w:pPr>
      <w:del w:id="19057" w:author="AbbVie14" w:date="2025-05-09T11:01:00Z">
        <w:r w:rsidRPr="00295E71">
          <w:rPr>
            <w:sz w:val="22"/>
            <w:szCs w:val="22"/>
          </w:rPr>
          <w:delText>Non agiti o faccia cadere la penna pre-riempita.</w:delText>
        </w:r>
      </w:del>
    </w:p>
    <w:p w:rsidR="006224C2" w:rsidRPr="00295E71" w:rsidP="00FB547E" w14:paraId="16B3A454" w14:textId="77777777">
      <w:pPr>
        <w:keepNext/>
        <w:keepLines/>
        <w:numPr>
          <w:ilvl w:val="0"/>
          <w:numId w:val="27"/>
        </w:numPr>
        <w:tabs>
          <w:tab w:val="left" w:pos="567"/>
          <w:tab w:val="num" w:pos="600"/>
        </w:tabs>
        <w:ind w:left="600" w:hanging="600"/>
        <w:rPr>
          <w:del w:id="19058" w:author="AbbVie14" w:date="2025-05-09T11:01:00Z"/>
          <w:sz w:val="22"/>
          <w:szCs w:val="22"/>
        </w:rPr>
      </w:pPr>
      <w:del w:id="19059" w:author="AbbVie14" w:date="2025-05-09T11:01:00Z">
        <w:r w:rsidRPr="00295E71">
          <w:rPr>
            <w:sz w:val="22"/>
            <w:szCs w:val="22"/>
          </w:rPr>
          <w:delText>Disporre i seguenti oggetti su una superficie pulita</w:delText>
        </w:r>
      </w:del>
      <w:del w:id="19060" w:author="AbbVie14" w:date="2025-05-09T11:01:00Z">
        <w:r w:rsidRPr="00295E71" w:rsidR="00FE69D9">
          <w:rPr>
            <w:sz w:val="22"/>
            <w:szCs w:val="22"/>
          </w:rPr>
          <w:delText>.</w:delText>
        </w:r>
      </w:del>
    </w:p>
    <w:p w:rsidR="006224C2" w:rsidRPr="00295E71" w:rsidP="00FB547E" w14:paraId="04B3DCB9" w14:textId="77777777">
      <w:pPr>
        <w:keepNext/>
        <w:keepLines/>
        <w:tabs>
          <w:tab w:val="left" w:pos="567"/>
        </w:tabs>
        <w:rPr>
          <w:del w:id="19061" w:author="AbbVie14" w:date="2025-05-09T11:01:00Z"/>
          <w:sz w:val="22"/>
          <w:szCs w:val="22"/>
        </w:rPr>
      </w:pPr>
    </w:p>
    <w:p w:rsidR="006224C2" w:rsidRPr="00295E71" w:rsidP="00FB547E" w14:paraId="03274D26" w14:textId="77777777">
      <w:pPr>
        <w:keepNext/>
        <w:keepLines/>
        <w:numPr>
          <w:ilvl w:val="1"/>
          <w:numId w:val="28"/>
        </w:numPr>
        <w:tabs>
          <w:tab w:val="left" w:pos="567"/>
          <w:tab w:val="left" w:pos="1134"/>
        </w:tabs>
        <w:ind w:hanging="2184"/>
        <w:rPr>
          <w:del w:id="19062" w:author="AbbVie14" w:date="2025-05-09T11:01:00Z"/>
          <w:sz w:val="22"/>
          <w:szCs w:val="22"/>
        </w:rPr>
      </w:pPr>
      <w:del w:id="19063" w:author="AbbVie14" w:date="2025-05-09T11:01:00Z">
        <w:r w:rsidRPr="00295E71">
          <w:rPr>
            <w:sz w:val="22"/>
            <w:szCs w:val="22"/>
          </w:rPr>
          <w:delText>una penna pre-riempita di Humira</w:delText>
        </w:r>
      </w:del>
    </w:p>
    <w:p w:rsidR="006224C2" w:rsidRPr="00295E71" w:rsidP="00FB547E" w14:paraId="15C7572A" w14:textId="77777777">
      <w:pPr>
        <w:keepNext/>
        <w:keepLines/>
        <w:numPr>
          <w:ilvl w:val="1"/>
          <w:numId w:val="28"/>
        </w:numPr>
        <w:tabs>
          <w:tab w:val="left" w:pos="567"/>
          <w:tab w:val="left" w:pos="1134"/>
        </w:tabs>
        <w:ind w:hanging="2184"/>
        <w:rPr>
          <w:del w:id="19064" w:author="AbbVie14" w:date="2025-05-09T11:01:00Z"/>
          <w:sz w:val="22"/>
          <w:szCs w:val="22"/>
        </w:rPr>
      </w:pPr>
      <w:del w:id="19065" w:author="AbbVie14" w:date="2025-05-09T11:01:00Z">
        <w:r w:rsidRPr="00295E71">
          <w:rPr>
            <w:sz w:val="22"/>
            <w:szCs w:val="22"/>
          </w:rPr>
          <w:delText>un tampone imbevuto di alcool.</w:delText>
        </w:r>
      </w:del>
    </w:p>
    <w:p w:rsidR="006224C2" w:rsidRPr="00295E71" w14:paraId="1B67AE1E" w14:textId="77777777">
      <w:pPr>
        <w:tabs>
          <w:tab w:val="left" w:pos="567"/>
        </w:tabs>
        <w:rPr>
          <w:del w:id="19066" w:author="AbbVie14" w:date="2025-05-09T11:01:00Z"/>
          <w:sz w:val="22"/>
          <w:szCs w:val="22"/>
        </w:rPr>
      </w:pPr>
    </w:p>
    <w:tbl>
      <w:tblPr>
        <w:tblW w:w="0" w:type="auto"/>
        <w:jc w:val="center"/>
        <w:tblLook w:val="01E0"/>
      </w:tblPr>
      <w:tblGrid>
        <w:gridCol w:w="4572"/>
        <w:gridCol w:w="4498"/>
      </w:tblGrid>
      <w:tr w14:paraId="30C59C10" w14:textId="77777777">
        <w:tblPrEx>
          <w:tblW w:w="0" w:type="auto"/>
          <w:tblLook w:val="01E0"/>
        </w:tblPrEx>
        <w:trPr>
          <w:del w:id="19067" w:author="AbbVie14" w:date="2025-05-09T11:01:00Z"/>
        </w:trPr>
        <w:tc>
          <w:tcPr>
            <w:tcW w:w="4643" w:type="dxa"/>
          </w:tcPr>
          <w:p w:rsidR="006224C2" w:rsidRPr="00295E71" w14:paraId="738F86CB" w14:textId="77777777">
            <w:pPr>
              <w:tabs>
                <w:tab w:val="left" w:pos="562"/>
              </w:tabs>
              <w:suppressAutoHyphens/>
              <w:jc w:val="right"/>
              <w:rPr>
                <w:del w:id="19068" w:author="AbbVie14" w:date="2025-05-09T11:01:00Z"/>
                <w:i/>
                <w:sz w:val="22"/>
                <w:szCs w:val="22"/>
              </w:rPr>
            </w:pPr>
            <w:del w:id="19069" w:author="AbbVie14" w:date="2025-05-09T11:01:00Z">
              <w:r w:rsidRPr="00910CE7">
                <w:rPr>
                  <w:i/>
                  <w:noProof/>
                  <w:sz w:val="22"/>
                  <w:lang w:val="en-GB"/>
                </w:rPr>
                <w:drawing>
                  <wp:inline distT="0" distB="0" distL="0" distR="0">
                    <wp:extent cx="1666875" cy="1609725"/>
                    <wp:effectExtent l="19050" t="0" r="9525"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3"/>
                            <pic:cNvPicPr>
                              <a:picLocks noChangeAspect="1" noChangeArrowheads="1"/>
                            </pic:cNvPicPr>
                          </pic:nvPicPr>
                          <pic:blipFill>
                            <a:blip xmlns:r="http://schemas.openxmlformats.org/officeDocument/2006/relationships" r:embed="rId64" cstate="print"/>
                            <a:stretch>
                              <a:fillRect/>
                            </a:stretch>
                          </pic:blipFill>
                          <pic:spPr bwMode="auto">
                            <a:xfrm>
                              <a:off x="0" y="0"/>
                              <a:ext cx="1666875" cy="1609725"/>
                            </a:xfrm>
                            <a:prstGeom prst="rect">
                              <a:avLst/>
                            </a:prstGeom>
                            <a:noFill/>
                            <a:ln w="9525">
                              <a:noFill/>
                              <a:miter lim="800000"/>
                              <a:headEnd/>
                              <a:tailEnd/>
                            </a:ln>
                          </pic:spPr>
                        </pic:pic>
                      </a:graphicData>
                    </a:graphic>
                  </wp:inline>
                </w:drawing>
              </w:r>
            </w:del>
          </w:p>
        </w:tc>
        <w:tc>
          <w:tcPr>
            <w:tcW w:w="4644" w:type="dxa"/>
          </w:tcPr>
          <w:p w:rsidR="006224C2" w:rsidRPr="00295E71" w14:paraId="6433080A" w14:textId="77777777">
            <w:pPr>
              <w:tabs>
                <w:tab w:val="left" w:pos="562"/>
              </w:tabs>
              <w:suppressAutoHyphens/>
              <w:rPr>
                <w:del w:id="19070" w:author="AbbVie14" w:date="2025-05-09T11:01:00Z"/>
                <w:sz w:val="22"/>
                <w:szCs w:val="22"/>
              </w:rPr>
            </w:pPr>
          </w:p>
          <w:p w:rsidR="006224C2" w:rsidRPr="00295E71" w14:paraId="14C84FDC" w14:textId="77777777">
            <w:pPr>
              <w:tabs>
                <w:tab w:val="left" w:pos="562"/>
              </w:tabs>
              <w:suppressAutoHyphens/>
              <w:rPr>
                <w:del w:id="19071" w:author="AbbVie14" w:date="2025-05-09T11:01:00Z"/>
                <w:sz w:val="22"/>
                <w:szCs w:val="22"/>
              </w:rPr>
            </w:pPr>
          </w:p>
          <w:p w:rsidR="006224C2" w:rsidRPr="00295E71" w14:paraId="63AC77CC" w14:textId="77777777">
            <w:pPr>
              <w:tabs>
                <w:tab w:val="left" w:pos="562"/>
              </w:tabs>
              <w:suppressAutoHyphens/>
              <w:rPr>
                <w:del w:id="19072" w:author="AbbVie14" w:date="2025-05-09T11:01:00Z"/>
                <w:sz w:val="22"/>
                <w:szCs w:val="22"/>
              </w:rPr>
            </w:pPr>
            <w:del w:id="19073" w:author="AbbVie14" w:date="2025-05-09T11:01:00Z">
              <w:r w:rsidRPr="00295E71">
                <w:rPr>
                  <w:sz w:val="22"/>
                  <w:szCs w:val="22"/>
                </w:rPr>
                <w:delText>Tampone</w:delText>
              </w:r>
            </w:del>
          </w:p>
          <w:p w:rsidR="006224C2" w:rsidRPr="00295E71" w14:paraId="6A7CB4E2" w14:textId="77777777">
            <w:pPr>
              <w:tabs>
                <w:tab w:val="left" w:pos="562"/>
              </w:tabs>
              <w:suppressAutoHyphens/>
              <w:rPr>
                <w:del w:id="19074" w:author="AbbVie14" w:date="2025-05-09T11:01:00Z"/>
                <w:sz w:val="22"/>
                <w:szCs w:val="22"/>
              </w:rPr>
            </w:pPr>
          </w:p>
          <w:p w:rsidR="006224C2" w:rsidRPr="00295E71" w14:paraId="4D3431E5" w14:textId="77777777">
            <w:pPr>
              <w:tabs>
                <w:tab w:val="left" w:pos="562"/>
              </w:tabs>
              <w:suppressAutoHyphens/>
              <w:rPr>
                <w:del w:id="19075" w:author="AbbVie14" w:date="2025-05-09T11:01:00Z"/>
                <w:sz w:val="22"/>
                <w:szCs w:val="22"/>
              </w:rPr>
            </w:pPr>
          </w:p>
          <w:p w:rsidR="006224C2" w:rsidRPr="00295E71" w14:paraId="666AF854" w14:textId="77777777">
            <w:pPr>
              <w:tabs>
                <w:tab w:val="left" w:pos="562"/>
              </w:tabs>
              <w:suppressAutoHyphens/>
              <w:rPr>
                <w:del w:id="19076" w:author="AbbVie14" w:date="2025-05-09T11:01:00Z"/>
                <w:sz w:val="22"/>
                <w:szCs w:val="22"/>
              </w:rPr>
            </w:pPr>
            <w:del w:id="19077" w:author="AbbVie14" w:date="2025-05-09T11:01:00Z">
              <w:r w:rsidRPr="00295E71">
                <w:rPr>
                  <w:sz w:val="22"/>
                  <w:szCs w:val="22"/>
                </w:rPr>
                <w:delText>Finestra</w:delText>
              </w:r>
            </w:del>
          </w:p>
        </w:tc>
      </w:tr>
    </w:tbl>
    <w:p w:rsidR="006224C2" w:rsidRPr="00295E71" w14:paraId="2800DAB8" w14:textId="77777777">
      <w:pPr>
        <w:tabs>
          <w:tab w:val="left" w:pos="567"/>
        </w:tabs>
        <w:rPr>
          <w:del w:id="19078" w:author="AbbVie14" w:date="2025-05-09T11:01:00Z"/>
          <w:sz w:val="22"/>
          <w:szCs w:val="22"/>
        </w:rPr>
      </w:pPr>
    </w:p>
    <w:p w:rsidR="006224C2" w:rsidRPr="00295E71" w:rsidP="00FB547E" w14:paraId="43D39491" w14:textId="77777777">
      <w:pPr>
        <w:numPr>
          <w:ilvl w:val="0"/>
          <w:numId w:val="27"/>
        </w:numPr>
        <w:tabs>
          <w:tab w:val="left" w:pos="567"/>
        </w:tabs>
        <w:ind w:left="600" w:hanging="600"/>
        <w:rPr>
          <w:del w:id="19079" w:author="AbbVie14" w:date="2025-05-09T11:01:00Z"/>
          <w:sz w:val="22"/>
          <w:szCs w:val="22"/>
        </w:rPr>
      </w:pPr>
      <w:del w:id="19080" w:author="AbbVie14" w:date="2025-05-09T11:01:00Z">
        <w:r w:rsidRPr="00295E71">
          <w:rPr>
            <w:sz w:val="22"/>
            <w:szCs w:val="22"/>
          </w:rPr>
          <w:delText>Controlli la data di scadenza stampata sull’etichetta della penna pre-riempita (Scad.). Non utilizzi il prodotto nel caso in cui la data (di auto-iniezione) abbia oltrepassato il mese e l’anno di scadenza indicati.</w:delText>
        </w:r>
      </w:del>
    </w:p>
    <w:p w:rsidR="006224C2" w:rsidRPr="00295E71" w:rsidP="00FE69D9" w14:paraId="26F762B5" w14:textId="77777777">
      <w:pPr>
        <w:rPr>
          <w:del w:id="19081" w:author="AbbVie14" w:date="2025-05-09T11:01:00Z"/>
          <w:sz w:val="22"/>
          <w:szCs w:val="22"/>
        </w:rPr>
      </w:pPr>
    </w:p>
    <w:p w:rsidR="006224C2" w:rsidRPr="00295E71" w:rsidP="00FB547E" w14:paraId="7B928009" w14:textId="77777777">
      <w:pPr>
        <w:numPr>
          <w:ilvl w:val="0"/>
          <w:numId w:val="27"/>
        </w:numPr>
        <w:tabs>
          <w:tab w:val="left" w:pos="567"/>
        </w:tabs>
        <w:ind w:left="600" w:hanging="600"/>
        <w:rPr>
          <w:del w:id="19082" w:author="AbbVie14" w:date="2025-05-09T11:01:00Z"/>
          <w:sz w:val="22"/>
          <w:szCs w:val="22"/>
        </w:rPr>
      </w:pPr>
      <w:del w:id="19083" w:author="AbbVie14" w:date="2025-05-09T11:01:00Z">
        <w:r w:rsidRPr="00295E71">
          <w:rPr>
            <w:sz w:val="22"/>
            <w:szCs w:val="22"/>
          </w:rPr>
          <w:delText xml:space="preserve">Tenga la penna-preriempita con il tappo di colore grigio (contrassegnato con il numero ‘1’) rivolto verso l’alto. Controlli la soluzione di Humira attraverso la finestrella posta ai lati della penna pre-riempita per verificarne l’aspetto. La soluzione deve apparire limpida ed incolore. Quando appare torbida o ha cambiato colore, si intravedono in essa impurità o particelle sospese, la soluzione non deve essere utilizzata. Non usi una penna pre-riempita che sia stata congelata o lasciata esposta alla luce solare diretta. Rimuovere sia il tappo grigio che il tappo viola solo </w:delText>
        </w:r>
      </w:del>
      <w:del w:id="19084" w:author="AbbVie14" w:date="2025-05-09T11:01:00Z">
        <w:r w:rsidRPr="00295E71">
          <w:rPr>
            <w:b/>
            <w:bCs/>
            <w:sz w:val="22"/>
            <w:szCs w:val="22"/>
          </w:rPr>
          <w:delText>immediatamente</w:delText>
        </w:r>
      </w:del>
      <w:del w:id="19085" w:author="AbbVie14" w:date="2025-05-09T11:01:00Z">
        <w:r w:rsidRPr="00295E71">
          <w:rPr>
            <w:sz w:val="22"/>
            <w:szCs w:val="22"/>
          </w:rPr>
          <w:delText xml:space="preserve"> prima dell’iniezione.</w:delText>
        </w:r>
      </w:del>
    </w:p>
    <w:p w:rsidR="006224C2" w:rsidRPr="00295E71" w14:paraId="3E46C1A5" w14:textId="77777777">
      <w:pPr>
        <w:tabs>
          <w:tab w:val="left" w:pos="567"/>
        </w:tabs>
        <w:rPr>
          <w:del w:id="19086" w:author="AbbVie14" w:date="2025-05-09T11:01:00Z"/>
          <w:sz w:val="22"/>
          <w:szCs w:val="22"/>
        </w:rPr>
      </w:pPr>
    </w:p>
    <w:tbl>
      <w:tblPr>
        <w:tblW w:w="0" w:type="auto"/>
        <w:tblLook w:val="01E0"/>
      </w:tblPr>
      <w:tblGrid>
        <w:gridCol w:w="4577"/>
        <w:gridCol w:w="4493"/>
      </w:tblGrid>
      <w:tr w14:paraId="29D2DABD" w14:textId="77777777">
        <w:tblPrEx>
          <w:tblW w:w="0" w:type="auto"/>
          <w:tblLook w:val="01E0"/>
        </w:tblPrEx>
        <w:trPr>
          <w:del w:id="19087" w:author="AbbVie14" w:date="2025-05-09T11:01:00Z"/>
        </w:trPr>
        <w:tc>
          <w:tcPr>
            <w:tcW w:w="4643" w:type="dxa"/>
          </w:tcPr>
          <w:p w:rsidR="006224C2" w:rsidRPr="00295E71" w14:paraId="3B7FB1D4" w14:textId="77777777">
            <w:pPr>
              <w:suppressAutoHyphens/>
              <w:jc w:val="right"/>
              <w:rPr>
                <w:del w:id="19088" w:author="AbbVie14" w:date="2025-05-09T11:01:00Z"/>
                <w:sz w:val="22"/>
                <w:szCs w:val="22"/>
              </w:rPr>
            </w:pPr>
            <w:del w:id="19089" w:author="AbbVie14" w:date="2025-05-09T11:01:00Z">
              <w:r w:rsidRPr="00910CE7">
                <w:rPr>
                  <w:noProof/>
                  <w:sz w:val="22"/>
                  <w:lang w:val="en-GB"/>
                </w:rPr>
                <w:drawing>
                  <wp:inline distT="0" distB="0" distL="0" distR="0">
                    <wp:extent cx="1743075" cy="1781175"/>
                    <wp:effectExtent l="19050" t="0" r="9525"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24"/>
                            <pic:cNvPicPr>
                              <a:picLocks noChangeAspect="1" noChangeArrowheads="1"/>
                            </pic:cNvPicPr>
                          </pic:nvPicPr>
                          <pic:blipFill>
                            <a:blip xmlns:r="http://schemas.openxmlformats.org/officeDocument/2006/relationships" r:embed="rId65" cstate="print"/>
                            <a:stretch>
                              <a:fillRect/>
                            </a:stretch>
                          </pic:blipFill>
                          <pic:spPr bwMode="auto">
                            <a:xfrm>
                              <a:off x="0" y="0"/>
                              <a:ext cx="1743075" cy="1781175"/>
                            </a:xfrm>
                            <a:prstGeom prst="rect">
                              <a:avLst/>
                            </a:prstGeom>
                            <a:noFill/>
                            <a:ln w="9525">
                              <a:noFill/>
                              <a:miter lim="800000"/>
                              <a:headEnd/>
                              <a:tailEnd/>
                            </a:ln>
                          </pic:spPr>
                        </pic:pic>
                      </a:graphicData>
                    </a:graphic>
                  </wp:inline>
                </w:drawing>
              </w:r>
            </w:del>
          </w:p>
        </w:tc>
        <w:tc>
          <w:tcPr>
            <w:tcW w:w="4644" w:type="dxa"/>
          </w:tcPr>
          <w:p w:rsidR="006224C2" w:rsidRPr="00295E71" w14:paraId="2CD5F885" w14:textId="77777777">
            <w:pPr>
              <w:suppressAutoHyphens/>
              <w:rPr>
                <w:del w:id="19090" w:author="AbbVie14" w:date="2025-05-09T11:01:00Z"/>
                <w:sz w:val="22"/>
                <w:szCs w:val="22"/>
              </w:rPr>
            </w:pPr>
          </w:p>
          <w:p w:rsidR="006224C2" w:rsidRPr="00295E71" w14:paraId="27ABCC60" w14:textId="77777777">
            <w:pPr>
              <w:suppressAutoHyphens/>
              <w:rPr>
                <w:del w:id="19091" w:author="AbbVie14" w:date="2025-05-09T11:01:00Z"/>
                <w:sz w:val="22"/>
                <w:szCs w:val="22"/>
              </w:rPr>
            </w:pPr>
          </w:p>
          <w:p w:rsidR="006224C2" w:rsidRPr="00295E71" w14:paraId="04CC5259" w14:textId="77777777">
            <w:pPr>
              <w:suppressAutoHyphens/>
              <w:rPr>
                <w:del w:id="19092" w:author="AbbVie14" w:date="2025-05-09T11:01:00Z"/>
                <w:sz w:val="22"/>
                <w:szCs w:val="22"/>
              </w:rPr>
            </w:pPr>
          </w:p>
          <w:p w:rsidR="006224C2" w:rsidRPr="00295E71" w14:paraId="2D7FE125" w14:textId="77777777">
            <w:pPr>
              <w:suppressAutoHyphens/>
              <w:rPr>
                <w:del w:id="19093" w:author="AbbVie14" w:date="2025-05-09T11:01:00Z"/>
                <w:sz w:val="22"/>
                <w:szCs w:val="22"/>
              </w:rPr>
            </w:pPr>
            <w:del w:id="19094" w:author="AbbVie14" w:date="2025-05-09T11:01:00Z">
              <w:r w:rsidRPr="00295E71">
                <w:rPr>
                  <w:sz w:val="22"/>
                  <w:szCs w:val="22"/>
                </w:rPr>
                <w:delText>Finestra</w:delText>
              </w:r>
            </w:del>
          </w:p>
          <w:p w:rsidR="006224C2" w:rsidRPr="00295E71" w14:paraId="1DED26DA" w14:textId="77777777">
            <w:pPr>
              <w:suppressAutoHyphens/>
              <w:rPr>
                <w:del w:id="19095" w:author="AbbVie14" w:date="2025-05-09T11:01:00Z"/>
                <w:sz w:val="22"/>
                <w:szCs w:val="22"/>
              </w:rPr>
            </w:pPr>
          </w:p>
          <w:p w:rsidR="006224C2" w:rsidRPr="00295E71" w14:paraId="2DF84DF1" w14:textId="77777777">
            <w:pPr>
              <w:suppressAutoHyphens/>
              <w:rPr>
                <w:del w:id="19096" w:author="AbbVie14" w:date="2025-05-09T11:01:00Z"/>
                <w:sz w:val="22"/>
                <w:szCs w:val="22"/>
              </w:rPr>
            </w:pPr>
            <w:del w:id="19097" w:author="AbbVie14" w:date="2025-05-09T11:01:00Z">
              <w:r w:rsidRPr="00295E71">
                <w:rPr>
                  <w:sz w:val="22"/>
                  <w:szCs w:val="22"/>
                </w:rPr>
                <w:delText>Liquido limpido nella siringa</w:delText>
              </w:r>
            </w:del>
          </w:p>
        </w:tc>
      </w:tr>
    </w:tbl>
    <w:p w:rsidR="006224C2" w:rsidRPr="00295E71" w14:paraId="191E4361" w14:textId="77777777">
      <w:pPr>
        <w:jc w:val="center"/>
        <w:rPr>
          <w:del w:id="19098" w:author="AbbVie14" w:date="2025-05-09T11:01:00Z"/>
          <w:sz w:val="22"/>
          <w:szCs w:val="22"/>
        </w:rPr>
      </w:pPr>
    </w:p>
    <w:p w:rsidR="006224C2" w:rsidRPr="00295E71" w14:paraId="390B94FD" w14:textId="77777777">
      <w:pPr>
        <w:rPr>
          <w:del w:id="19099" w:author="AbbVie14" w:date="2025-05-09T11:01:00Z"/>
          <w:b/>
          <w:bCs/>
          <w:sz w:val="22"/>
          <w:szCs w:val="22"/>
          <w:lang w:eastAsia="en-US"/>
        </w:rPr>
      </w:pPr>
    </w:p>
    <w:p w:rsidR="006224C2" w:rsidRPr="00295E71" w14:paraId="0C5F82F5" w14:textId="77777777">
      <w:pPr>
        <w:pStyle w:val="Heading6"/>
        <w:keepLines/>
        <w:tabs>
          <w:tab w:val="left" w:pos="567"/>
        </w:tabs>
        <w:jc w:val="both"/>
        <w:rPr>
          <w:del w:id="19100" w:author="AbbVie14" w:date="2025-05-09T11:01:00Z"/>
          <w:lang w:val="it-IT" w:eastAsia="en-US"/>
        </w:rPr>
      </w:pPr>
      <w:del w:id="19101" w:author="AbbVie14" w:date="2025-05-09T11:01:00Z">
        <w:r w:rsidRPr="00295E71">
          <w:rPr>
            <w:lang w:val="it-IT" w:eastAsia="en-US"/>
          </w:rPr>
          <w:delText>In quale punto del corpo si deve praticare l’iniezione?</w:delText>
        </w:r>
      </w:del>
    </w:p>
    <w:p w:rsidR="006224C2" w:rsidRPr="00295E71" w14:paraId="472FAAB3" w14:textId="77777777">
      <w:pPr>
        <w:keepNext/>
        <w:keepLines/>
        <w:tabs>
          <w:tab w:val="left" w:pos="567"/>
        </w:tabs>
        <w:jc w:val="both"/>
        <w:rPr>
          <w:del w:id="19102" w:author="AbbVie14" w:date="2025-05-09T11:01:00Z"/>
          <w:sz w:val="22"/>
          <w:szCs w:val="22"/>
        </w:rPr>
      </w:pPr>
    </w:p>
    <w:p w:rsidR="006224C2" w:rsidRPr="00295E71" w:rsidP="00FB547E" w14:paraId="0AB469A0" w14:textId="77777777">
      <w:pPr>
        <w:keepNext/>
        <w:keepLines/>
        <w:numPr>
          <w:ilvl w:val="0"/>
          <w:numId w:val="29"/>
        </w:numPr>
        <w:tabs>
          <w:tab w:val="left" w:pos="567"/>
        </w:tabs>
        <w:ind w:left="600" w:hanging="600"/>
        <w:rPr>
          <w:del w:id="19103" w:author="AbbVie14" w:date="2025-05-09T11:01:00Z"/>
          <w:sz w:val="22"/>
          <w:szCs w:val="22"/>
        </w:rPr>
      </w:pPr>
      <w:del w:id="19104" w:author="AbbVie14" w:date="2025-05-09T11:01:00Z">
        <w:r w:rsidRPr="00295E71">
          <w:rPr>
            <w:sz w:val="22"/>
            <w:szCs w:val="22"/>
          </w:rPr>
          <w:delText>Scelga come sito di somministrazione una zona localizzata nella parte superiore della coscia o dello stomaco (ad eccezione della zona che si trova intorno all’ombelico).</w:delText>
        </w:r>
      </w:del>
      <w:del w:id="19105" w:author="AbbVie14" w:date="2025-05-09T11:01:00Z">
        <w:r w:rsidRPr="00295E71">
          <w:rPr>
            <w:sz w:val="22"/>
            <w:szCs w:val="22"/>
          </w:rPr>
          <w:br/>
        </w:r>
      </w:del>
    </w:p>
    <w:p w:rsidR="006224C2" w:rsidRPr="00295E71" w14:paraId="4644D55F" w14:textId="77777777">
      <w:pPr>
        <w:keepNext/>
        <w:keepLines/>
        <w:tabs>
          <w:tab w:val="left" w:pos="567"/>
        </w:tabs>
        <w:jc w:val="center"/>
        <w:rPr>
          <w:del w:id="19106" w:author="AbbVie14" w:date="2025-05-09T11:01:00Z"/>
          <w:sz w:val="22"/>
          <w:szCs w:val="22"/>
        </w:rPr>
      </w:pPr>
      <w:del w:id="19107" w:author="AbbVie14" w:date="2025-05-09T11:01:00Z">
        <w:r w:rsidRPr="00910CE7">
          <w:rPr>
            <w:noProof/>
            <w:sz w:val="22"/>
            <w:lang w:val="en-GB"/>
          </w:rPr>
          <w:drawing>
            <wp:inline distT="0" distB="0" distL="0" distR="0">
              <wp:extent cx="1666875" cy="1666875"/>
              <wp:effectExtent l="19050" t="0" r="9525"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25"/>
                      <pic:cNvPicPr>
                        <a:picLocks noChangeAspect="1" noChangeArrowheads="1"/>
                      </pic:cNvPicPr>
                    </pic:nvPicPr>
                    <pic:blipFill>
                      <a:blip xmlns:r="http://schemas.openxmlformats.org/officeDocument/2006/relationships" r:embed="rId66" cstate="print"/>
                      <a:stretch>
                        <a:fillRect/>
                      </a:stretch>
                    </pic:blipFill>
                    <pic:spPr bwMode="auto">
                      <a:xfrm>
                        <a:off x="0" y="0"/>
                        <a:ext cx="1666875" cy="1666875"/>
                      </a:xfrm>
                      <a:prstGeom prst="rect">
                        <a:avLst/>
                      </a:prstGeom>
                      <a:noFill/>
                      <a:ln w="9525">
                        <a:noFill/>
                        <a:miter lim="800000"/>
                        <a:headEnd/>
                        <a:tailEnd/>
                      </a:ln>
                    </pic:spPr>
                  </pic:pic>
                </a:graphicData>
              </a:graphic>
            </wp:inline>
          </w:drawing>
        </w:r>
      </w:del>
    </w:p>
    <w:p w:rsidR="006224C2" w:rsidRPr="00295E71" w14:paraId="59BA8AD5" w14:textId="77777777">
      <w:pPr>
        <w:tabs>
          <w:tab w:val="left" w:pos="567"/>
        </w:tabs>
        <w:rPr>
          <w:del w:id="19108" w:author="AbbVie14" w:date="2025-05-09T11:01:00Z"/>
          <w:sz w:val="22"/>
          <w:szCs w:val="22"/>
        </w:rPr>
      </w:pPr>
    </w:p>
    <w:p w:rsidR="006224C2" w:rsidRPr="00295E71" w:rsidP="00FE69D9" w14:paraId="646CE7BE" w14:textId="77777777">
      <w:pPr>
        <w:numPr>
          <w:ilvl w:val="0"/>
          <w:numId w:val="29"/>
        </w:numPr>
        <w:tabs>
          <w:tab w:val="left" w:pos="567"/>
        </w:tabs>
        <w:ind w:left="600" w:hanging="600"/>
        <w:rPr>
          <w:del w:id="19109" w:author="AbbVie14" w:date="2025-05-09T11:01:00Z"/>
          <w:sz w:val="22"/>
          <w:szCs w:val="22"/>
        </w:rPr>
      </w:pPr>
      <w:del w:id="19110" w:author="AbbVie14" w:date="2025-05-09T11:01:00Z">
        <w:r w:rsidRPr="00295E71">
          <w:rPr>
            <w:sz w:val="22"/>
            <w:szCs w:val="22"/>
          </w:rPr>
          <w:delText>Cambi ogni volta il sito di iniezione in maniera tale da evitare che una zona diventi dolorante. Ogni iniezione deve essere praticata ad una distanza di almeno 3 centimetri dall’ultimo sito di iniezione prescelto.</w:delText>
        </w:r>
      </w:del>
      <w:del w:id="19111" w:author="AbbVie14" w:date="2025-05-09T11:01:00Z">
        <w:r w:rsidRPr="00295E71">
          <w:rPr>
            <w:sz w:val="22"/>
            <w:szCs w:val="22"/>
          </w:rPr>
          <w:br/>
        </w:r>
      </w:del>
    </w:p>
    <w:p w:rsidR="006224C2" w:rsidRPr="00295E71" w:rsidP="00FB547E" w14:paraId="4103401C" w14:textId="77777777">
      <w:pPr>
        <w:numPr>
          <w:ilvl w:val="0"/>
          <w:numId w:val="29"/>
        </w:numPr>
        <w:tabs>
          <w:tab w:val="left" w:pos="567"/>
        </w:tabs>
        <w:ind w:left="600" w:hanging="600"/>
        <w:rPr>
          <w:del w:id="19112" w:author="AbbVie14" w:date="2025-05-09T11:01:00Z"/>
          <w:sz w:val="22"/>
          <w:szCs w:val="22"/>
        </w:rPr>
      </w:pPr>
      <w:del w:id="19113" w:author="AbbVie14" w:date="2025-05-09T11:01:00Z">
        <w:r w:rsidRPr="00295E71">
          <w:rPr>
            <w:sz w:val="22"/>
            <w:szCs w:val="22"/>
          </w:rPr>
          <w:delText>Non pratichi l’iniezione in una zona in cui la cute appaia arrossata, siano presenti ematomi, o risulti indurita. La comparsa di questi segni potrebbe indicare che è in atto un’infezione.</w:delText>
        </w:r>
      </w:del>
    </w:p>
    <w:p w:rsidR="006224C2" w:rsidRPr="00295E71" w14:paraId="34BF5514" w14:textId="77777777">
      <w:pPr>
        <w:tabs>
          <w:tab w:val="left" w:pos="567"/>
        </w:tabs>
        <w:jc w:val="both"/>
        <w:rPr>
          <w:del w:id="19114" w:author="AbbVie14" w:date="2025-05-09T11:01:00Z"/>
          <w:sz w:val="22"/>
          <w:szCs w:val="22"/>
        </w:rPr>
      </w:pPr>
    </w:p>
    <w:p w:rsidR="006224C2" w:rsidRPr="00295E71" w:rsidP="00FB547E" w14:paraId="2B2FB11D" w14:textId="77777777">
      <w:pPr>
        <w:pStyle w:val="Heading6"/>
        <w:keepNext w:val="0"/>
        <w:tabs>
          <w:tab w:val="left" w:pos="567"/>
        </w:tabs>
        <w:rPr>
          <w:del w:id="19115" w:author="AbbVie14" w:date="2025-05-09T11:01:00Z"/>
          <w:lang w:val="it-IT" w:eastAsia="en-US"/>
        </w:rPr>
      </w:pPr>
      <w:del w:id="19116" w:author="AbbVie14" w:date="2025-05-09T11:01:00Z">
        <w:r w:rsidRPr="00295E71">
          <w:rPr>
            <w:lang w:val="it-IT" w:eastAsia="en-US"/>
          </w:rPr>
          <w:delText>Come si deve praticare l’iniezione?</w:delText>
        </w:r>
      </w:del>
    </w:p>
    <w:p w:rsidR="006224C2" w:rsidRPr="00295E71" w:rsidP="00FB547E" w14:paraId="5FAA7EFF" w14:textId="77777777">
      <w:pPr>
        <w:tabs>
          <w:tab w:val="left" w:pos="567"/>
        </w:tabs>
        <w:rPr>
          <w:del w:id="19117" w:author="AbbVie14" w:date="2025-05-09T11:01:00Z"/>
          <w:sz w:val="22"/>
          <w:szCs w:val="22"/>
        </w:rPr>
      </w:pPr>
    </w:p>
    <w:p w:rsidR="006224C2" w:rsidRPr="00295E71" w:rsidP="00FB547E" w14:paraId="2AD6F832" w14:textId="77777777">
      <w:pPr>
        <w:numPr>
          <w:ilvl w:val="0"/>
          <w:numId w:val="30"/>
        </w:numPr>
        <w:tabs>
          <w:tab w:val="left" w:pos="567"/>
        </w:tabs>
        <w:ind w:left="600" w:hanging="600"/>
        <w:rPr>
          <w:del w:id="19118" w:author="AbbVie14" w:date="2025-05-09T11:01:00Z"/>
          <w:sz w:val="22"/>
          <w:szCs w:val="22"/>
        </w:rPr>
      </w:pPr>
      <w:del w:id="19119" w:author="AbbVie14" w:date="2025-05-09T11:01:00Z">
        <w:r w:rsidRPr="00295E71">
          <w:rPr>
            <w:sz w:val="22"/>
            <w:szCs w:val="22"/>
          </w:rPr>
          <w:delText>Pulisca accuratamente la cute utilizzando il tampone imbevuto di alcool presente nella confezione, strofinandola con un movimento circolare. Eviti di toccare di nuovo la zona prima di praticare l’iniezione.</w:delText>
        </w:r>
      </w:del>
    </w:p>
    <w:p w:rsidR="006224C2" w:rsidRPr="00295E71" w:rsidP="00FE69D9" w14:paraId="13FC5DCC" w14:textId="77777777">
      <w:pPr>
        <w:rPr>
          <w:del w:id="19120" w:author="AbbVie14" w:date="2025-05-09T11:01:00Z"/>
          <w:sz w:val="22"/>
          <w:szCs w:val="22"/>
        </w:rPr>
      </w:pPr>
    </w:p>
    <w:p w:rsidR="006224C2" w:rsidRPr="00295E71" w:rsidP="00FB547E" w14:paraId="53A72776" w14:textId="77777777">
      <w:pPr>
        <w:numPr>
          <w:ilvl w:val="0"/>
          <w:numId w:val="30"/>
        </w:numPr>
        <w:tabs>
          <w:tab w:val="left" w:pos="567"/>
        </w:tabs>
        <w:ind w:left="600" w:hanging="600"/>
        <w:rPr>
          <w:del w:id="19121" w:author="AbbVie14" w:date="2025-05-09T11:01:00Z"/>
          <w:sz w:val="22"/>
          <w:szCs w:val="22"/>
        </w:rPr>
      </w:pPr>
      <w:del w:id="19122" w:author="AbbVie14" w:date="2025-05-09T11:01:00Z">
        <w:r w:rsidRPr="00295E71">
          <w:rPr>
            <w:sz w:val="22"/>
            <w:szCs w:val="22"/>
          </w:rPr>
          <w:delText xml:space="preserve">Rimuovere sia il tappo grigio che il tappo viola solo </w:delText>
        </w:r>
      </w:del>
      <w:del w:id="19123" w:author="AbbVie14" w:date="2025-05-09T11:01:00Z">
        <w:r w:rsidRPr="00295E71">
          <w:rPr>
            <w:b/>
            <w:sz w:val="22"/>
            <w:szCs w:val="22"/>
          </w:rPr>
          <w:delText>immediatamente</w:delText>
        </w:r>
      </w:del>
      <w:del w:id="19124" w:author="AbbVie14" w:date="2025-05-09T11:01:00Z">
        <w:r w:rsidRPr="00295E71">
          <w:rPr>
            <w:sz w:val="22"/>
            <w:szCs w:val="22"/>
          </w:rPr>
          <w:delText xml:space="preserve"> prima dell’iniezione. Tenga il corpo grigio della penna pre-riempita con una mano. Posizioni la mano a metà della penna in modo che né il tappo grigio (1) né il tappo viola (2) siano coperti. Tenga la penna pre-riempita con il tappo grigio (1) rivolto verso l’alto. Con l’altra mano, tiri verso l’esterno il tappo di colore grigio (1), verifichi che la protezione nera che ricopre l’ago della siringa sia stata rimossa insieme al tappo, poi lo rimuova. Se alcune piccole gocce di liquido fuoriescono dall’ago, è normale. In questo modo la guaina bianca che ricopre l’ago risulterà esposta. Non tenti di toccare l’ago inserito nel cilindro della siringa. </w:delText>
        </w:r>
      </w:del>
      <w:del w:id="19125" w:author="AbbVie14" w:date="2025-05-09T11:01:00Z">
        <w:r w:rsidRPr="00295E71">
          <w:rPr>
            <w:b/>
            <w:bCs/>
            <w:sz w:val="22"/>
            <w:szCs w:val="22"/>
          </w:rPr>
          <w:delText xml:space="preserve">NON RIMETTA IL TAPPO </w:delText>
        </w:r>
      </w:del>
      <w:del w:id="19126" w:author="AbbVie14" w:date="2025-05-09T11:01:00Z">
        <w:r w:rsidRPr="00295E71">
          <w:rPr>
            <w:sz w:val="22"/>
            <w:szCs w:val="22"/>
          </w:rPr>
          <w:delText>poiché rischierebbe di danneggiare l’ago all’interno.</w:delText>
        </w:r>
      </w:del>
    </w:p>
    <w:p w:rsidR="006224C2" w:rsidRPr="00295E71" w14:paraId="4EA1B73A" w14:textId="77777777">
      <w:pPr>
        <w:tabs>
          <w:tab w:val="left" w:pos="567"/>
        </w:tabs>
        <w:jc w:val="both"/>
        <w:rPr>
          <w:del w:id="19127" w:author="AbbVie14" w:date="2025-05-09T11:01:00Z"/>
          <w:sz w:val="22"/>
          <w:szCs w:val="22"/>
        </w:rPr>
      </w:pPr>
    </w:p>
    <w:p w:rsidR="006224C2" w:rsidRPr="00295E71" w14:paraId="2CFF1259" w14:textId="77777777">
      <w:pPr>
        <w:tabs>
          <w:tab w:val="left" w:pos="567"/>
        </w:tabs>
        <w:jc w:val="center"/>
        <w:rPr>
          <w:del w:id="19128" w:author="AbbVie14" w:date="2025-05-09T11:01:00Z"/>
          <w:sz w:val="22"/>
          <w:szCs w:val="22"/>
        </w:rPr>
      </w:pPr>
      <w:del w:id="19129" w:author="AbbVie14" w:date="2025-05-09T11:01:00Z">
        <w:r w:rsidRPr="00910CE7">
          <w:rPr>
            <w:noProof/>
            <w:sz w:val="22"/>
            <w:lang w:val="en-GB"/>
          </w:rPr>
          <w:drawing>
            <wp:inline distT="0" distB="0" distL="0" distR="0">
              <wp:extent cx="2000250" cy="2038350"/>
              <wp:effectExtent l="1905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magine 26"/>
                      <pic:cNvPicPr>
                        <a:picLocks noChangeAspect="1" noChangeArrowheads="1"/>
                      </pic:cNvPicPr>
                    </pic:nvPicPr>
                    <pic:blipFill>
                      <a:blip xmlns:r="http://schemas.openxmlformats.org/officeDocument/2006/relationships" r:embed="rId67" cstate="print"/>
                      <a:stretch>
                        <a:fillRect/>
                      </a:stretch>
                    </pic:blipFill>
                    <pic:spPr bwMode="auto">
                      <a:xfrm>
                        <a:off x="0" y="0"/>
                        <a:ext cx="2000250" cy="2038350"/>
                      </a:xfrm>
                      <a:prstGeom prst="rect">
                        <a:avLst/>
                      </a:prstGeom>
                      <a:noFill/>
                      <a:ln w="9525">
                        <a:noFill/>
                        <a:miter lim="800000"/>
                        <a:headEnd/>
                        <a:tailEnd/>
                      </a:ln>
                    </pic:spPr>
                  </pic:pic>
                </a:graphicData>
              </a:graphic>
            </wp:inline>
          </w:drawing>
        </w:r>
      </w:del>
    </w:p>
    <w:p w:rsidR="006224C2" w:rsidRPr="00295E71" w:rsidP="00FE69D9" w14:paraId="506FB7D9" w14:textId="77777777">
      <w:pPr>
        <w:pStyle w:val="ListParagraph"/>
        <w:numPr>
          <w:ilvl w:val="0"/>
          <w:numId w:val="30"/>
        </w:numPr>
        <w:ind w:left="601" w:hanging="601"/>
        <w:rPr>
          <w:del w:id="19130" w:author="AbbVie14" w:date="2025-05-09T11:01:00Z"/>
          <w:sz w:val="22"/>
          <w:szCs w:val="22"/>
        </w:rPr>
      </w:pPr>
      <w:del w:id="19131" w:author="AbbVie14" w:date="2025-05-09T11:01:00Z">
        <w:r w:rsidRPr="00295E71">
          <w:rPr>
            <w:sz w:val="22"/>
            <w:szCs w:val="22"/>
          </w:rPr>
          <w:delText xml:space="preserve">Tolga il tappo di sicurezza di colore viola (contrassegnato con il numero ‘2’) per esporre il pulsante di attivazione di colore viola. La penna pre-riempita è ora pronta per l’uso. Non prema il pulsante di attivazione di colore viola fino a quando la siringa non sarà stata correttamente posizionata poiché rischierebbe di causare la fuoriuscita del farmaco. </w:delText>
        </w:r>
      </w:del>
      <w:del w:id="19132" w:author="AbbVie14" w:date="2025-05-09T11:01:00Z">
        <w:r w:rsidRPr="00295E71">
          <w:rPr>
            <w:b/>
            <w:bCs/>
            <w:sz w:val="22"/>
            <w:szCs w:val="22"/>
          </w:rPr>
          <w:delText>NON RIMETTA IL TAPPO poiché ciò potrebbe causare la fuoriuscita del farmaco dalla penna.</w:delText>
        </w:r>
      </w:del>
      <w:del w:id="19133" w:author="AbbVie14" w:date="2025-05-09T11:01:00Z">
        <w:r w:rsidRPr="00295E71">
          <w:rPr>
            <w:sz w:val="22"/>
            <w:szCs w:val="22"/>
          </w:rPr>
          <w:br/>
        </w:r>
      </w:del>
    </w:p>
    <w:p w:rsidR="006224C2" w:rsidRPr="00295E71" w:rsidP="00FB547E" w14:paraId="68ECDFAA" w14:textId="77777777">
      <w:pPr>
        <w:pStyle w:val="Heading6"/>
        <w:keepNext w:val="0"/>
        <w:tabs>
          <w:tab w:val="left" w:pos="567"/>
        </w:tabs>
        <w:rPr>
          <w:del w:id="19134" w:author="AbbVie14" w:date="2025-05-09T11:01:00Z"/>
          <w:lang w:val="it-IT" w:eastAsia="en-US"/>
        </w:rPr>
      </w:pPr>
      <w:del w:id="19135" w:author="AbbVie14" w:date="2025-05-09T11:01:00Z">
        <w:r w:rsidRPr="00295E71">
          <w:rPr>
            <w:lang w:val="it-IT" w:eastAsia="en-US"/>
          </w:rPr>
          <w:delText>Come si inietta il farmaco</w:delText>
        </w:r>
      </w:del>
    </w:p>
    <w:p w:rsidR="006224C2" w:rsidRPr="00295E71" w:rsidP="00FB547E" w14:paraId="624D62CF" w14:textId="77777777">
      <w:pPr>
        <w:tabs>
          <w:tab w:val="left" w:pos="567"/>
        </w:tabs>
        <w:rPr>
          <w:del w:id="19136" w:author="AbbVie14" w:date="2025-05-09T11:01:00Z"/>
          <w:sz w:val="22"/>
          <w:szCs w:val="22"/>
        </w:rPr>
      </w:pPr>
    </w:p>
    <w:p w:rsidR="006224C2" w:rsidRPr="00295E71" w:rsidP="00FB547E" w14:paraId="4DD4882C" w14:textId="77777777">
      <w:pPr>
        <w:numPr>
          <w:ilvl w:val="0"/>
          <w:numId w:val="31"/>
        </w:numPr>
        <w:tabs>
          <w:tab w:val="left" w:pos="567"/>
        </w:tabs>
        <w:ind w:left="600" w:hanging="600"/>
        <w:rPr>
          <w:del w:id="19137" w:author="AbbVie14" w:date="2025-05-09T11:01:00Z"/>
          <w:sz w:val="22"/>
          <w:szCs w:val="22"/>
        </w:rPr>
      </w:pPr>
      <w:del w:id="19138" w:author="AbbVie14" w:date="2025-05-09T11:01:00Z">
        <w:r w:rsidRPr="00295E71">
          <w:rPr>
            <w:sz w:val="22"/>
            <w:szCs w:val="22"/>
          </w:rPr>
          <w:delText>Con la mano libera, afferri delicatamente una parte consistente di cute scelta come sito di iniezione e già sterilizzata e la tenga saldamente (vedere la figura sottoriportata).</w:delText>
        </w:r>
      </w:del>
    </w:p>
    <w:p w:rsidR="006224C2" w:rsidRPr="00295E71" w:rsidP="00FB547E" w14:paraId="6D78EC2E" w14:textId="77777777">
      <w:pPr>
        <w:numPr>
          <w:ilvl w:val="0"/>
          <w:numId w:val="31"/>
        </w:numPr>
        <w:tabs>
          <w:tab w:val="left" w:pos="567"/>
        </w:tabs>
        <w:ind w:left="600" w:hanging="600"/>
        <w:rPr>
          <w:del w:id="19139" w:author="AbbVie14" w:date="2025-05-09T11:01:00Z"/>
          <w:sz w:val="22"/>
          <w:szCs w:val="22"/>
        </w:rPr>
      </w:pPr>
      <w:del w:id="19140" w:author="AbbVie14" w:date="2025-05-09T11:01:00Z">
        <w:r w:rsidRPr="00295E71">
          <w:rPr>
            <w:sz w:val="22"/>
            <w:szCs w:val="22"/>
          </w:rPr>
          <w:delText>Posizioni l’estremità bianca della penna pre-riempita ad angolo retto (90 gradi) rispetto alla cute, in maniera tale da potere vedere la finestrella presente sulla penna. La presenza di una o più bolle nella finestrella è normale.</w:delText>
        </w:r>
      </w:del>
    </w:p>
    <w:p w:rsidR="006224C2" w:rsidRPr="00295E71" w:rsidP="00FB547E" w14:paraId="530985A3" w14:textId="77777777">
      <w:pPr>
        <w:numPr>
          <w:ilvl w:val="0"/>
          <w:numId w:val="31"/>
        </w:numPr>
        <w:tabs>
          <w:tab w:val="left" w:pos="567"/>
        </w:tabs>
        <w:ind w:left="600" w:hanging="600"/>
        <w:rPr>
          <w:del w:id="19141" w:author="AbbVie14" w:date="2025-05-09T11:01:00Z"/>
          <w:sz w:val="22"/>
          <w:szCs w:val="22"/>
        </w:rPr>
      </w:pPr>
      <w:del w:id="19142" w:author="AbbVie14" w:date="2025-05-09T11:01:00Z">
        <w:r w:rsidRPr="00295E71">
          <w:rPr>
            <w:sz w:val="22"/>
            <w:szCs w:val="22"/>
          </w:rPr>
          <w:delText>Mentre tiene con la mano il cilindro della penna pre-riempita, applichi una leggera pressione contro il sito di iniezione (tenendo la penna saldamente in posizione senza muoverla).</w:delText>
        </w:r>
      </w:del>
    </w:p>
    <w:p w:rsidR="006224C2" w:rsidRPr="00295E71" w:rsidP="00FB547E" w14:paraId="2F58B1D5" w14:textId="77777777">
      <w:pPr>
        <w:numPr>
          <w:ilvl w:val="0"/>
          <w:numId w:val="31"/>
        </w:numPr>
        <w:tabs>
          <w:tab w:val="left" w:pos="567"/>
        </w:tabs>
        <w:ind w:left="600" w:hanging="600"/>
        <w:rPr>
          <w:del w:id="19143" w:author="AbbVie14" w:date="2025-05-09T11:01:00Z"/>
          <w:sz w:val="22"/>
          <w:szCs w:val="22"/>
        </w:rPr>
      </w:pPr>
      <w:del w:id="19144" w:author="AbbVie14" w:date="2025-05-09T11:01:00Z">
        <w:r w:rsidRPr="00295E71">
          <w:rPr>
            <w:sz w:val="22"/>
            <w:szCs w:val="22"/>
          </w:rPr>
          <w:delText>Con l’indice o con il pollice, prema il pulsante di colore viola posto sull’estremità superiore della penna quando è pronto ad effettuare l’iniezione (vedere la figura sottoriportata). A questo punto, nel momento in cui l’ago verrà rilasciato, sentirà un forte ‘click’ e percepirà una lieve puntura a mano a mano che l’ago penetra nella cute.</w:delText>
        </w:r>
      </w:del>
    </w:p>
    <w:p w:rsidR="006224C2" w:rsidRPr="00295E71" w:rsidP="00FB547E" w14:paraId="78AAF644" w14:textId="77777777">
      <w:pPr>
        <w:numPr>
          <w:ilvl w:val="0"/>
          <w:numId w:val="31"/>
        </w:numPr>
        <w:tabs>
          <w:tab w:val="left" w:pos="567"/>
        </w:tabs>
        <w:ind w:left="600" w:hanging="600"/>
        <w:rPr>
          <w:del w:id="19145" w:author="AbbVie14" w:date="2025-05-09T11:01:00Z"/>
          <w:sz w:val="22"/>
          <w:szCs w:val="22"/>
        </w:rPr>
      </w:pPr>
      <w:del w:id="19146" w:author="AbbVie14" w:date="2025-05-09T11:01:00Z">
        <w:r w:rsidRPr="00295E71">
          <w:rPr>
            <w:sz w:val="22"/>
            <w:szCs w:val="22"/>
          </w:rPr>
          <w:delText xml:space="preserve">Continui a tenere premuto il pulsante e lasci la penna pre-riempita in posizione applicando una pressione costante per circa </w:delText>
        </w:r>
      </w:del>
      <w:del w:id="19147" w:author="AbbVie14" w:date="2025-05-09T11:01:00Z">
        <w:r w:rsidRPr="00295E71">
          <w:rPr>
            <w:b/>
            <w:bCs/>
            <w:sz w:val="22"/>
            <w:szCs w:val="22"/>
          </w:rPr>
          <w:delText>10 secondi per essere certi che l’iniezione sia stata completata.</w:delText>
        </w:r>
      </w:del>
      <w:del w:id="19148" w:author="AbbVie14" w:date="2025-05-09T11:01:00Z">
        <w:r w:rsidRPr="00295E71">
          <w:rPr>
            <w:sz w:val="22"/>
            <w:szCs w:val="22"/>
          </w:rPr>
          <w:delText xml:space="preserve"> Non rimuova la penna pre-riempita mentre sta iniettando la soluzione.</w:delText>
        </w:r>
      </w:del>
    </w:p>
    <w:p w:rsidR="006224C2" w:rsidRPr="00295E71" w:rsidP="00FE69D9" w14:paraId="51B69041" w14:textId="77777777">
      <w:pPr>
        <w:tabs>
          <w:tab w:val="left" w:pos="567"/>
        </w:tabs>
        <w:rPr>
          <w:del w:id="19149" w:author="AbbVie14" w:date="2025-05-09T11:01:00Z"/>
          <w:sz w:val="22"/>
          <w:szCs w:val="22"/>
        </w:rPr>
      </w:pPr>
    </w:p>
    <w:tbl>
      <w:tblPr>
        <w:tblW w:w="0" w:type="auto"/>
        <w:jc w:val="center"/>
        <w:tblLook w:val="01E0"/>
      </w:tblPr>
      <w:tblGrid>
        <w:gridCol w:w="4539"/>
        <w:gridCol w:w="4531"/>
      </w:tblGrid>
      <w:tr w14:paraId="613F53AC" w14:textId="77777777">
        <w:tblPrEx>
          <w:tblW w:w="0" w:type="auto"/>
          <w:tblLook w:val="01E0"/>
        </w:tblPrEx>
        <w:trPr>
          <w:del w:id="19150" w:author="AbbVie14" w:date="2025-05-09T11:01:00Z"/>
        </w:trPr>
        <w:tc>
          <w:tcPr>
            <w:tcW w:w="4643" w:type="dxa"/>
          </w:tcPr>
          <w:p w:rsidR="006224C2" w:rsidRPr="00295E71" w14:paraId="63C8E9B3" w14:textId="77777777">
            <w:pPr>
              <w:tabs>
                <w:tab w:val="left" w:pos="562"/>
              </w:tabs>
              <w:suppressAutoHyphens/>
              <w:jc w:val="center"/>
              <w:rPr>
                <w:del w:id="19151" w:author="AbbVie14" w:date="2025-05-09T11:01:00Z"/>
                <w:sz w:val="22"/>
                <w:szCs w:val="22"/>
              </w:rPr>
            </w:pPr>
            <w:del w:id="19152" w:author="AbbVie14" w:date="2025-05-09T11:01:00Z">
              <w:r w:rsidRPr="00910CE7">
                <w:rPr>
                  <w:noProof/>
                  <w:sz w:val="22"/>
                  <w:lang w:val="en-GB"/>
                </w:rPr>
                <w:drawing>
                  <wp:inline distT="0" distB="0" distL="0" distR="0">
                    <wp:extent cx="1743075" cy="1676400"/>
                    <wp:effectExtent l="19050" t="0" r="9525"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7"/>
                            <pic:cNvPicPr>
                              <a:picLocks noChangeAspect="1" noChangeArrowheads="1"/>
                            </pic:cNvPicPr>
                          </pic:nvPicPr>
                          <pic:blipFill>
                            <a:blip xmlns:r="http://schemas.openxmlformats.org/officeDocument/2006/relationships" r:embed="rId68" cstate="print"/>
                            <a:stretch>
                              <a:fillRect/>
                            </a:stretch>
                          </pic:blipFill>
                          <pic:spPr bwMode="auto">
                            <a:xfrm>
                              <a:off x="0" y="0"/>
                              <a:ext cx="1743075" cy="1676400"/>
                            </a:xfrm>
                            <a:prstGeom prst="rect">
                              <a:avLst/>
                            </a:prstGeom>
                            <a:noFill/>
                            <a:ln w="9525">
                              <a:noFill/>
                              <a:miter lim="800000"/>
                              <a:headEnd/>
                              <a:tailEnd/>
                            </a:ln>
                          </pic:spPr>
                        </pic:pic>
                      </a:graphicData>
                    </a:graphic>
                  </wp:inline>
                </w:drawing>
              </w:r>
            </w:del>
          </w:p>
        </w:tc>
        <w:tc>
          <w:tcPr>
            <w:tcW w:w="4643" w:type="dxa"/>
          </w:tcPr>
          <w:p w:rsidR="006224C2" w:rsidRPr="00295E71" w14:paraId="2DBA5AEF" w14:textId="77777777">
            <w:pPr>
              <w:tabs>
                <w:tab w:val="left" w:pos="562"/>
              </w:tabs>
              <w:suppressAutoHyphens/>
              <w:jc w:val="center"/>
              <w:rPr>
                <w:del w:id="19153" w:author="AbbVie14" w:date="2025-05-09T11:01:00Z"/>
                <w:sz w:val="22"/>
                <w:szCs w:val="22"/>
              </w:rPr>
            </w:pPr>
            <w:del w:id="19154" w:author="AbbVie14" w:date="2025-05-09T11:01:00Z">
              <w:r w:rsidRPr="00910CE7">
                <w:rPr>
                  <w:noProof/>
                  <w:sz w:val="22"/>
                  <w:lang w:val="en-GB"/>
                </w:rPr>
                <w:drawing>
                  <wp:inline distT="0" distB="0" distL="0" distR="0">
                    <wp:extent cx="1666875" cy="1657350"/>
                    <wp:effectExtent l="19050" t="0" r="9525"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pic:cNvPicPr>
                              <a:picLocks noChangeAspect="1" noChangeArrowheads="1"/>
                            </pic:cNvPicPr>
                          </pic:nvPicPr>
                          <pic:blipFill>
                            <a:blip xmlns:r="http://schemas.openxmlformats.org/officeDocument/2006/relationships" r:embed="rId69" cstate="print"/>
                            <a:stretch>
                              <a:fillRect/>
                            </a:stretch>
                          </pic:blipFill>
                          <pic:spPr bwMode="auto">
                            <a:xfrm>
                              <a:off x="0" y="0"/>
                              <a:ext cx="1666875" cy="1657350"/>
                            </a:xfrm>
                            <a:prstGeom prst="rect">
                              <a:avLst/>
                            </a:prstGeom>
                            <a:noFill/>
                            <a:ln w="9525">
                              <a:noFill/>
                              <a:miter lim="800000"/>
                              <a:headEnd/>
                              <a:tailEnd/>
                            </a:ln>
                          </pic:spPr>
                        </pic:pic>
                      </a:graphicData>
                    </a:graphic>
                  </wp:inline>
                </w:drawing>
              </w:r>
            </w:del>
          </w:p>
        </w:tc>
      </w:tr>
    </w:tbl>
    <w:p w:rsidR="006224C2" w:rsidRPr="00295E71" w14:paraId="5579C6F3" w14:textId="77777777">
      <w:pPr>
        <w:tabs>
          <w:tab w:val="left" w:pos="567"/>
        </w:tabs>
        <w:rPr>
          <w:del w:id="19155" w:author="AbbVie14" w:date="2025-05-09T11:01:00Z"/>
          <w:sz w:val="22"/>
          <w:szCs w:val="22"/>
        </w:rPr>
      </w:pPr>
    </w:p>
    <w:p w:rsidR="006224C2" w:rsidRPr="00295E71" w:rsidP="00FB547E" w14:paraId="3BD22D79" w14:textId="77777777">
      <w:pPr>
        <w:numPr>
          <w:ilvl w:val="0"/>
          <w:numId w:val="31"/>
        </w:numPr>
        <w:tabs>
          <w:tab w:val="num" w:pos="567"/>
          <w:tab w:val="clear" w:pos="720"/>
        </w:tabs>
        <w:ind w:left="567" w:hanging="567"/>
        <w:rPr>
          <w:del w:id="19156" w:author="AbbVie14" w:date="2025-05-09T11:01:00Z"/>
          <w:sz w:val="22"/>
          <w:szCs w:val="22"/>
        </w:rPr>
      </w:pPr>
      <w:del w:id="19157" w:author="AbbVie14" w:date="2025-05-09T11:01:00Z">
        <w:r w:rsidRPr="00295E71">
          <w:rPr>
            <w:sz w:val="22"/>
            <w:szCs w:val="22"/>
          </w:rPr>
          <w:delText>Durante l’iniezione vedrà un indicatore giallo spostarsi all’interno della finestrella (posta ai lati della penna). L’iniezione è completata quando l’indicatore giallo non si sposterà più. L’indicatore giallo è parte dello stantuffo della siringa pre-riempita. Se l’indicatore giallo non appare all’interno della finestrella, lo stantuffo non è stato spinto</w:delText>
        </w:r>
      </w:del>
      <w:del w:id="19158" w:author="AbbVie14" w:date="2025-05-09T11:01:00Z">
        <w:r w:rsidRPr="00295E71" w:rsidR="007C144D">
          <w:rPr>
            <w:sz w:val="22"/>
            <w:szCs w:val="22"/>
          </w:rPr>
          <w:delText xml:space="preserve"> </w:delText>
        </w:r>
      </w:del>
      <w:del w:id="19159" w:author="AbbVie14" w:date="2025-05-09T11:01:00Z">
        <w:r w:rsidRPr="00295E71">
          <w:rPr>
            <w:sz w:val="22"/>
            <w:szCs w:val="22"/>
          </w:rPr>
          <w:delText>adeguatamente, e l’iniezione non è completa.</w:delText>
        </w:r>
      </w:del>
    </w:p>
    <w:p w:rsidR="006224C2" w:rsidRPr="00295E71" w:rsidP="00FB547E" w14:paraId="09274298" w14:textId="77777777">
      <w:pPr>
        <w:tabs>
          <w:tab w:val="left" w:pos="567"/>
        </w:tabs>
        <w:ind w:left="540" w:hanging="540"/>
        <w:rPr>
          <w:del w:id="19160" w:author="AbbVie14" w:date="2025-05-09T11:01:00Z"/>
          <w:sz w:val="22"/>
          <w:szCs w:val="22"/>
        </w:rPr>
      </w:pPr>
      <w:del w:id="19161" w:author="AbbVie14" w:date="2025-05-09T11:01:00Z">
        <w:r w:rsidRPr="00295E71">
          <w:rPr>
            <w:sz w:val="22"/>
            <w:szCs w:val="22"/>
          </w:rPr>
          <w:delText>7.</w:delText>
        </w:r>
      </w:del>
      <w:del w:id="19162" w:author="AbbVie14" w:date="2025-05-09T11:01:00Z">
        <w:r w:rsidRPr="00295E71">
          <w:rPr>
            <w:sz w:val="22"/>
            <w:szCs w:val="22"/>
          </w:rPr>
          <w:tab/>
          <w:delText>Estragga la penna pre-riempita dal sito di iniezione. La guaina di colore bianco posta a protezione dell’ago si sposterà sull’ago e si bloccherà sulla punta dell’ago, ricoprendola. Non tenti di toccare l’ago. La guaina di colore bianco ha la funzione di proteggerla dal contatto con l’ago.</w:delText>
        </w:r>
      </w:del>
    </w:p>
    <w:p w:rsidR="006224C2" w:rsidRPr="00295E71" w14:paraId="42326735" w14:textId="77777777">
      <w:pPr>
        <w:jc w:val="both"/>
        <w:rPr>
          <w:del w:id="19163" w:author="AbbVie14" w:date="2025-05-09T11:01:00Z"/>
          <w:sz w:val="22"/>
          <w:szCs w:val="22"/>
        </w:rPr>
      </w:pPr>
    </w:p>
    <w:tbl>
      <w:tblPr>
        <w:tblW w:w="0" w:type="auto"/>
        <w:jc w:val="center"/>
        <w:tblLook w:val="01E0"/>
      </w:tblPr>
      <w:tblGrid>
        <w:gridCol w:w="2886"/>
        <w:gridCol w:w="1689"/>
        <w:gridCol w:w="2826"/>
        <w:gridCol w:w="1669"/>
      </w:tblGrid>
      <w:tr w14:paraId="2E67B515" w14:textId="77777777">
        <w:tblPrEx>
          <w:tblW w:w="0" w:type="auto"/>
          <w:tblLook w:val="01E0"/>
        </w:tblPrEx>
        <w:trPr>
          <w:del w:id="19164" w:author="AbbVie14" w:date="2025-05-09T11:01:00Z"/>
        </w:trPr>
        <w:tc>
          <w:tcPr>
            <w:tcW w:w="2321" w:type="dxa"/>
          </w:tcPr>
          <w:p w:rsidR="006224C2" w:rsidRPr="00295E71" w14:paraId="22AE399E" w14:textId="77777777">
            <w:pPr>
              <w:pStyle w:val="EMEANormal"/>
              <w:rPr>
                <w:del w:id="19165" w:author="AbbVie14" w:date="2025-05-09T11:01:00Z"/>
                <w:lang w:val="it-IT"/>
              </w:rPr>
            </w:pPr>
            <w:del w:id="19166" w:author="AbbVie14" w:date="2025-05-09T11:01:00Z">
              <w:r w:rsidRPr="00910CE7">
                <w:rPr>
                  <w:noProof/>
                  <w:lang w:val="en-GB"/>
                </w:rPr>
                <w:drawing>
                  <wp:inline distT="0" distB="0" distL="0" distR="0">
                    <wp:extent cx="1666875" cy="1657350"/>
                    <wp:effectExtent l="19050" t="0" r="9525"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29"/>
                            <pic:cNvPicPr>
                              <a:picLocks noChangeAspect="1" noChangeArrowheads="1"/>
                            </pic:cNvPicPr>
                          </pic:nvPicPr>
                          <pic:blipFill>
                            <a:blip xmlns:r="http://schemas.openxmlformats.org/officeDocument/2006/relationships" r:embed="rId70" cstate="print"/>
                            <a:stretch>
                              <a:fillRect/>
                            </a:stretch>
                          </pic:blipFill>
                          <pic:spPr bwMode="auto">
                            <a:xfrm>
                              <a:off x="0" y="0"/>
                              <a:ext cx="1666875" cy="1657350"/>
                            </a:xfrm>
                            <a:prstGeom prst="rect">
                              <a:avLst/>
                            </a:prstGeom>
                            <a:noFill/>
                            <a:ln w="9525">
                              <a:noFill/>
                              <a:miter lim="800000"/>
                              <a:headEnd/>
                              <a:tailEnd/>
                            </a:ln>
                          </pic:spPr>
                        </pic:pic>
                      </a:graphicData>
                    </a:graphic>
                  </wp:inline>
                </w:drawing>
              </w:r>
            </w:del>
          </w:p>
        </w:tc>
        <w:tc>
          <w:tcPr>
            <w:tcW w:w="2322" w:type="dxa"/>
          </w:tcPr>
          <w:p w:rsidR="006224C2" w:rsidRPr="00295E71" w14:paraId="10E52251" w14:textId="77777777">
            <w:pPr>
              <w:pStyle w:val="EMEANormal"/>
              <w:rPr>
                <w:del w:id="19167" w:author="AbbVie14" w:date="2025-05-09T11:01:00Z"/>
                <w:lang w:val="it-IT"/>
              </w:rPr>
            </w:pPr>
          </w:p>
          <w:p w:rsidR="006224C2" w:rsidRPr="00295E71" w14:paraId="41622E94" w14:textId="77777777">
            <w:pPr>
              <w:pStyle w:val="EMEANormal"/>
              <w:rPr>
                <w:del w:id="19168" w:author="AbbVie14" w:date="2025-05-09T11:01:00Z"/>
                <w:lang w:val="it-IT"/>
              </w:rPr>
            </w:pPr>
            <w:del w:id="19169" w:author="AbbVie14" w:date="2025-05-09T11:01:00Z">
              <w:r w:rsidRPr="00295E71">
                <w:rPr>
                  <w:lang w:val="it-IT"/>
                </w:rPr>
                <w:delText>Guaina bianca di protezione dell’ago</w:delText>
              </w:r>
            </w:del>
          </w:p>
        </w:tc>
        <w:tc>
          <w:tcPr>
            <w:tcW w:w="2322" w:type="dxa"/>
          </w:tcPr>
          <w:p w:rsidR="006224C2" w:rsidRPr="00295E71" w14:paraId="6EA1C399" w14:textId="77777777">
            <w:pPr>
              <w:pStyle w:val="EMEANormal"/>
              <w:rPr>
                <w:del w:id="19170" w:author="AbbVie14" w:date="2025-05-09T11:01:00Z"/>
                <w:lang w:val="it-IT"/>
              </w:rPr>
            </w:pPr>
            <w:del w:id="19171" w:author="AbbVie14" w:date="2025-05-09T11:01:00Z">
              <w:r w:rsidRPr="00910CE7">
                <w:rPr>
                  <w:noProof/>
                  <w:lang w:val="en-GB"/>
                </w:rPr>
                <w:drawing>
                  <wp:inline distT="0" distB="0" distL="0" distR="0">
                    <wp:extent cx="1628775" cy="1657350"/>
                    <wp:effectExtent l="19050" t="0" r="9525"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magine 30"/>
                            <pic:cNvPicPr>
                              <a:picLocks noChangeAspect="1" noChangeArrowheads="1"/>
                            </pic:cNvPicPr>
                          </pic:nvPicPr>
                          <pic:blipFill>
                            <a:blip xmlns:r="http://schemas.openxmlformats.org/officeDocument/2006/relationships" r:embed="rId71" cstate="print"/>
                            <a:stretch>
                              <a:fillRect/>
                            </a:stretch>
                          </pic:blipFill>
                          <pic:spPr bwMode="auto">
                            <a:xfrm>
                              <a:off x="0" y="0"/>
                              <a:ext cx="1628775" cy="1657350"/>
                            </a:xfrm>
                            <a:prstGeom prst="rect">
                              <a:avLst/>
                            </a:prstGeom>
                            <a:noFill/>
                            <a:ln w="9525">
                              <a:noFill/>
                              <a:miter lim="800000"/>
                              <a:headEnd/>
                              <a:tailEnd/>
                            </a:ln>
                          </pic:spPr>
                        </pic:pic>
                      </a:graphicData>
                    </a:graphic>
                  </wp:inline>
                </w:drawing>
              </w:r>
            </w:del>
          </w:p>
        </w:tc>
        <w:tc>
          <w:tcPr>
            <w:tcW w:w="2322" w:type="dxa"/>
          </w:tcPr>
          <w:p w:rsidR="006224C2" w:rsidRPr="00295E71" w14:paraId="4ED9AAA2" w14:textId="77777777">
            <w:pPr>
              <w:pStyle w:val="EMEANormal"/>
              <w:rPr>
                <w:del w:id="19172" w:author="AbbVie14" w:date="2025-05-09T11:01:00Z"/>
                <w:lang w:val="it-IT"/>
              </w:rPr>
            </w:pPr>
          </w:p>
          <w:p w:rsidR="006224C2" w:rsidRPr="00295E71" w14:paraId="0F73F1FB" w14:textId="77777777">
            <w:pPr>
              <w:pStyle w:val="EMEANormal"/>
              <w:rPr>
                <w:del w:id="19173" w:author="AbbVie14" w:date="2025-05-09T11:01:00Z"/>
                <w:lang w:val="it-IT"/>
              </w:rPr>
            </w:pPr>
          </w:p>
          <w:p w:rsidR="006224C2" w:rsidRPr="00295E71" w14:paraId="6E16D796" w14:textId="77777777">
            <w:pPr>
              <w:pStyle w:val="EMEANormal"/>
              <w:rPr>
                <w:del w:id="19174" w:author="AbbVie14" w:date="2025-05-09T11:01:00Z"/>
                <w:lang w:val="it-IT"/>
              </w:rPr>
            </w:pPr>
          </w:p>
          <w:p w:rsidR="006224C2" w:rsidRPr="00295E71" w14:paraId="7D59988A" w14:textId="77777777">
            <w:pPr>
              <w:pStyle w:val="EMEANormal"/>
              <w:rPr>
                <w:del w:id="19175" w:author="AbbVie14" w:date="2025-05-09T11:01:00Z"/>
                <w:lang w:val="it-IT"/>
              </w:rPr>
            </w:pPr>
            <w:del w:id="19176" w:author="AbbVie14" w:date="2025-05-09T11:01:00Z">
              <w:r w:rsidRPr="00295E71">
                <w:rPr>
                  <w:lang w:val="it-IT"/>
                </w:rPr>
                <w:delText>Finestra</w:delText>
              </w:r>
            </w:del>
          </w:p>
          <w:p w:rsidR="006224C2" w:rsidRPr="00295E71" w14:paraId="713DDA7E" w14:textId="77777777">
            <w:pPr>
              <w:pStyle w:val="EMEANormal"/>
              <w:rPr>
                <w:del w:id="19177" w:author="AbbVie14" w:date="2025-05-09T11:01:00Z"/>
                <w:lang w:val="it-IT"/>
              </w:rPr>
            </w:pPr>
          </w:p>
          <w:p w:rsidR="006224C2" w:rsidRPr="00295E71" w14:paraId="6CF4176C" w14:textId="77777777">
            <w:pPr>
              <w:tabs>
                <w:tab w:val="left" w:pos="7370"/>
              </w:tabs>
              <w:suppressAutoHyphens/>
              <w:rPr>
                <w:del w:id="19178" w:author="AbbVie14" w:date="2025-05-09T11:01:00Z"/>
                <w:sz w:val="22"/>
                <w:szCs w:val="22"/>
              </w:rPr>
            </w:pPr>
            <w:del w:id="19179" w:author="AbbVie14" w:date="2025-05-09T11:01:00Z">
              <w:r w:rsidRPr="00295E71">
                <w:rPr>
                  <w:sz w:val="22"/>
                  <w:szCs w:val="22"/>
                </w:rPr>
                <w:delText>Indicatore giallo visibile</w:delText>
              </w:r>
            </w:del>
          </w:p>
          <w:p w:rsidR="006224C2" w:rsidRPr="00295E71" w14:paraId="6B33699E" w14:textId="77777777">
            <w:pPr>
              <w:pStyle w:val="EMEANormal"/>
              <w:rPr>
                <w:del w:id="19180" w:author="AbbVie14" w:date="2025-05-09T11:01:00Z"/>
                <w:lang w:val="it-IT"/>
              </w:rPr>
            </w:pPr>
          </w:p>
        </w:tc>
      </w:tr>
    </w:tbl>
    <w:p w:rsidR="006224C2" w:rsidRPr="00295E71" w14:paraId="5B9AA2A5" w14:textId="77777777">
      <w:pPr>
        <w:tabs>
          <w:tab w:val="left" w:pos="567"/>
        </w:tabs>
        <w:rPr>
          <w:del w:id="19181" w:author="AbbVie14" w:date="2025-05-09T11:01:00Z"/>
          <w:sz w:val="22"/>
          <w:szCs w:val="22"/>
        </w:rPr>
      </w:pPr>
    </w:p>
    <w:p w:rsidR="006224C2" w:rsidRPr="00295E71" w:rsidP="00FB547E" w14:paraId="565E80BC" w14:textId="77777777">
      <w:pPr>
        <w:tabs>
          <w:tab w:val="left" w:pos="567"/>
        </w:tabs>
        <w:ind w:left="600" w:hanging="600"/>
        <w:rPr>
          <w:del w:id="19182" w:author="AbbVie14" w:date="2025-05-09T11:01:00Z"/>
          <w:sz w:val="22"/>
          <w:szCs w:val="22"/>
        </w:rPr>
      </w:pPr>
      <w:del w:id="19183" w:author="AbbVie14" w:date="2025-05-09T11:01:00Z">
        <w:r w:rsidRPr="00295E71">
          <w:rPr>
            <w:sz w:val="22"/>
            <w:szCs w:val="22"/>
          </w:rPr>
          <w:delText>8.</w:delText>
        </w:r>
      </w:del>
      <w:del w:id="19184" w:author="AbbVie14" w:date="2025-05-09T11:01:00Z">
        <w:r w:rsidRPr="00295E71">
          <w:rPr>
            <w:sz w:val="22"/>
            <w:szCs w:val="22"/>
          </w:rPr>
          <w:tab/>
          <w:delText>Si potrebbe notare la presenza di una macchiolina di sangue sul sito di iniezione. In tal caso, con un batuffolo di cotone o una garza applichi una leggera pressione sul sito di iniezione per 10 secondi. Non strofini il sito di iniezione. Se lo desidera, può applicare un cerotto.</w:delText>
        </w:r>
      </w:del>
    </w:p>
    <w:p w:rsidR="006224C2" w:rsidRPr="00295E71" w:rsidP="00FB547E" w14:paraId="027DA29D" w14:textId="77777777">
      <w:pPr>
        <w:tabs>
          <w:tab w:val="left" w:pos="567"/>
        </w:tabs>
        <w:rPr>
          <w:del w:id="19185" w:author="AbbVie14" w:date="2025-05-09T11:01:00Z"/>
          <w:sz w:val="22"/>
          <w:szCs w:val="22"/>
        </w:rPr>
      </w:pPr>
    </w:p>
    <w:p w:rsidR="006224C2" w:rsidRPr="00295E71" w:rsidP="00FB547E" w14:paraId="28D40D3F" w14:textId="77777777">
      <w:pPr>
        <w:pStyle w:val="Heading6"/>
        <w:tabs>
          <w:tab w:val="left" w:pos="567"/>
        </w:tabs>
        <w:rPr>
          <w:del w:id="19186" w:author="AbbVie14" w:date="2025-05-09T11:01:00Z"/>
          <w:lang w:val="it-IT" w:eastAsia="en-US"/>
        </w:rPr>
      </w:pPr>
      <w:del w:id="19187" w:author="AbbVie14" w:date="2025-05-09T11:01:00Z">
        <w:r w:rsidRPr="00295E71">
          <w:rPr>
            <w:lang w:val="it-IT" w:eastAsia="en-US"/>
          </w:rPr>
          <w:delText>Come smaltire la penna</w:delText>
        </w:r>
      </w:del>
    </w:p>
    <w:p w:rsidR="006224C2" w:rsidRPr="00295E71" w:rsidP="00FB547E" w14:paraId="6A0CE3CE" w14:textId="77777777">
      <w:pPr>
        <w:keepNext/>
        <w:tabs>
          <w:tab w:val="left" w:pos="567"/>
        </w:tabs>
        <w:rPr>
          <w:del w:id="19188" w:author="AbbVie14" w:date="2025-05-09T11:01:00Z"/>
          <w:sz w:val="22"/>
          <w:szCs w:val="22"/>
        </w:rPr>
      </w:pPr>
    </w:p>
    <w:p w:rsidR="006224C2" w:rsidRPr="00295E71" w:rsidP="00FB547E" w14:paraId="0B8C5657" w14:textId="77777777">
      <w:pPr>
        <w:keepNext/>
        <w:numPr>
          <w:ilvl w:val="0"/>
          <w:numId w:val="32"/>
        </w:numPr>
        <w:tabs>
          <w:tab w:val="left" w:pos="567"/>
        </w:tabs>
        <w:rPr>
          <w:del w:id="19189" w:author="AbbVie14" w:date="2025-05-09T11:01:00Z"/>
          <w:sz w:val="22"/>
          <w:szCs w:val="22"/>
        </w:rPr>
      </w:pPr>
      <w:del w:id="19190" w:author="AbbVie14" w:date="2025-05-09T11:01:00Z">
        <w:r w:rsidRPr="00295E71">
          <w:rPr>
            <w:sz w:val="22"/>
            <w:szCs w:val="22"/>
          </w:rPr>
          <w:delText>Utilizzare ciascuna penna pre-riempita per una sola iniezione. Non rimettere nessuno dei tappi sulla penna pre-riempita.</w:delText>
        </w:r>
      </w:del>
    </w:p>
    <w:p w:rsidR="006224C2" w:rsidRPr="00295E71" w:rsidP="00FB547E" w14:paraId="21D90ECA" w14:textId="77777777">
      <w:pPr>
        <w:keepNext/>
        <w:numPr>
          <w:ilvl w:val="0"/>
          <w:numId w:val="32"/>
        </w:numPr>
        <w:tabs>
          <w:tab w:val="left" w:pos="567"/>
        </w:tabs>
        <w:rPr>
          <w:del w:id="19191" w:author="AbbVie14" w:date="2025-05-09T11:01:00Z"/>
          <w:sz w:val="22"/>
          <w:szCs w:val="22"/>
        </w:rPr>
      </w:pPr>
      <w:del w:id="19192" w:author="AbbVie14" w:date="2025-05-09T11:01:00Z">
        <w:r w:rsidRPr="00295E71">
          <w:rPr>
            <w:sz w:val="22"/>
            <w:szCs w:val="22"/>
          </w:rPr>
          <w:delText>Dopo l’iniezione di Humira, gettare immediatamente la penna pre-riempita utilizzata in un contenitore speciale secondo le istruzioni del medico, infermiere o farmacista.</w:delText>
        </w:r>
      </w:del>
    </w:p>
    <w:p w:rsidR="006224C2" w:rsidRPr="00295E71" w:rsidP="00FB547E" w14:paraId="1F19244A" w14:textId="77777777">
      <w:pPr>
        <w:keepNext/>
        <w:numPr>
          <w:ilvl w:val="0"/>
          <w:numId w:val="32"/>
        </w:numPr>
        <w:tabs>
          <w:tab w:val="left" w:pos="567"/>
        </w:tabs>
        <w:rPr>
          <w:del w:id="19193" w:author="AbbVie14" w:date="2025-05-09T11:01:00Z"/>
          <w:sz w:val="22"/>
          <w:szCs w:val="22"/>
        </w:rPr>
      </w:pPr>
      <w:del w:id="19194" w:author="AbbVie14" w:date="2025-05-09T11:01:00Z">
        <w:r w:rsidRPr="00295E71">
          <w:rPr>
            <w:sz w:val="22"/>
            <w:szCs w:val="22"/>
          </w:rPr>
          <w:delText>Tenga questo contenitore fuori dalla vista e dalla portata</w:delText>
        </w:r>
      </w:del>
      <w:del w:id="19195" w:author="AbbVie14" w:date="2025-05-09T11:01:00Z">
        <w:r w:rsidRPr="00295E71" w:rsidR="007C144D">
          <w:rPr>
            <w:sz w:val="22"/>
            <w:szCs w:val="22"/>
          </w:rPr>
          <w:delText xml:space="preserve"> </w:delText>
        </w:r>
      </w:del>
      <w:del w:id="19196" w:author="AbbVie14" w:date="2025-05-09T11:01:00Z">
        <w:r w:rsidRPr="00295E71">
          <w:rPr>
            <w:sz w:val="22"/>
            <w:szCs w:val="22"/>
          </w:rPr>
          <w:delText>dei bambini.</w:delText>
        </w:r>
      </w:del>
    </w:p>
    <w:p w:rsidR="006224C2" w:rsidRPr="00295E71" w:rsidP="00FB547E" w14:paraId="2291FA9C" w14:textId="77777777">
      <w:pPr>
        <w:tabs>
          <w:tab w:val="left" w:pos="567"/>
        </w:tabs>
        <w:rPr>
          <w:del w:id="19197" w:author="AbbVie14" w:date="2025-05-09T11:01:00Z"/>
          <w:sz w:val="22"/>
          <w:szCs w:val="22"/>
        </w:rPr>
      </w:pPr>
    </w:p>
    <w:p w:rsidR="006224C2" w:rsidRPr="00295E71" w:rsidP="00FB547E" w14:paraId="5547F056" w14:textId="77777777">
      <w:pPr>
        <w:tabs>
          <w:tab w:val="left" w:pos="567"/>
        </w:tabs>
        <w:rPr>
          <w:del w:id="19198" w:author="AbbVie14" w:date="2025-05-09T11:01:00Z"/>
          <w:b/>
          <w:bCs/>
          <w:sz w:val="22"/>
          <w:szCs w:val="22"/>
        </w:rPr>
      </w:pPr>
      <w:del w:id="19199" w:author="AbbVie14" w:date="2025-05-09T11:01:00Z">
        <w:r w:rsidRPr="00295E71">
          <w:rPr>
            <w:b/>
            <w:bCs/>
            <w:sz w:val="22"/>
            <w:szCs w:val="22"/>
          </w:rPr>
          <w:delText>Se usa più Humira di quanto deve</w:delText>
        </w:r>
      </w:del>
    </w:p>
    <w:p w:rsidR="006224C2" w:rsidRPr="00295E71" w:rsidP="00FB547E" w14:paraId="43DBFFE3" w14:textId="77777777">
      <w:pPr>
        <w:tabs>
          <w:tab w:val="left" w:pos="567"/>
        </w:tabs>
        <w:rPr>
          <w:del w:id="19200" w:author="AbbVie14" w:date="2025-05-09T11:01:00Z"/>
          <w:sz w:val="22"/>
          <w:szCs w:val="22"/>
        </w:rPr>
      </w:pPr>
    </w:p>
    <w:p w:rsidR="006224C2" w:rsidRPr="00295E71" w:rsidP="00FB547E" w14:paraId="69F48FD6" w14:textId="77777777">
      <w:pPr>
        <w:pStyle w:val="BodyText3"/>
        <w:tabs>
          <w:tab w:val="left" w:pos="567"/>
        </w:tabs>
        <w:jc w:val="left"/>
        <w:rPr>
          <w:del w:id="19201" w:author="AbbVie14" w:date="2025-05-09T11:01:00Z"/>
        </w:rPr>
      </w:pPr>
      <w:del w:id="19202" w:author="AbbVie14" w:date="2025-05-09T11:01:00Z">
        <w:r w:rsidRPr="00295E71">
          <w:delText>Se accidentalmente inietta Humira più frequentemente di quanto disposto dal medico o dal farmacista, contatti il medico o il farmacista informandolo di aver assunto più farmaco. Conservi sempre la scatola del farmaco o la penna pre-riempita, anche se vuote.</w:delText>
        </w:r>
      </w:del>
    </w:p>
    <w:p w:rsidR="006224C2" w:rsidRPr="00295E71" w:rsidP="00FB547E" w14:paraId="663F05EB" w14:textId="77777777">
      <w:pPr>
        <w:tabs>
          <w:tab w:val="left" w:pos="567"/>
        </w:tabs>
        <w:rPr>
          <w:del w:id="19203" w:author="AbbVie14" w:date="2025-05-09T11:01:00Z"/>
          <w:sz w:val="22"/>
          <w:szCs w:val="22"/>
        </w:rPr>
      </w:pPr>
    </w:p>
    <w:p w:rsidR="006224C2" w:rsidRPr="00295E71" w:rsidP="00FE69D9" w14:paraId="1AD2E7E8" w14:textId="77777777">
      <w:pPr>
        <w:keepNext/>
        <w:rPr>
          <w:del w:id="19204" w:author="AbbVie14" w:date="2025-05-09T11:01:00Z"/>
          <w:b/>
          <w:bCs/>
          <w:sz w:val="22"/>
          <w:szCs w:val="22"/>
        </w:rPr>
      </w:pPr>
      <w:del w:id="19205" w:author="AbbVie14" w:date="2025-05-09T11:01:00Z">
        <w:r w:rsidRPr="00295E71">
          <w:rPr>
            <w:b/>
            <w:bCs/>
            <w:sz w:val="22"/>
            <w:szCs w:val="22"/>
          </w:rPr>
          <w:delText>Se dimentica di usare Humira</w:delText>
        </w:r>
      </w:del>
    </w:p>
    <w:p w:rsidR="006224C2" w:rsidRPr="00295E71" w:rsidP="00FB547E" w14:paraId="28177976" w14:textId="77777777">
      <w:pPr>
        <w:keepNext/>
        <w:tabs>
          <w:tab w:val="left" w:pos="567"/>
        </w:tabs>
        <w:rPr>
          <w:del w:id="19206" w:author="AbbVie14" w:date="2025-05-09T11:01:00Z"/>
          <w:sz w:val="22"/>
          <w:szCs w:val="22"/>
        </w:rPr>
      </w:pPr>
    </w:p>
    <w:p w:rsidR="006224C2" w:rsidRPr="00295E71" w:rsidP="00FB547E" w14:paraId="279B76F7" w14:textId="77777777">
      <w:pPr>
        <w:keepNext/>
        <w:tabs>
          <w:tab w:val="left" w:pos="567"/>
        </w:tabs>
        <w:rPr>
          <w:del w:id="19207" w:author="AbbVie14" w:date="2025-05-09T11:01:00Z"/>
          <w:sz w:val="22"/>
          <w:szCs w:val="22"/>
        </w:rPr>
      </w:pPr>
      <w:del w:id="19208" w:author="AbbVie14" w:date="2025-05-09T11:01:00Z">
        <w:r w:rsidRPr="00295E71">
          <w:rPr>
            <w:sz w:val="22"/>
            <w:szCs w:val="22"/>
          </w:rPr>
          <w:delText>Se dimentica di fare un’iniezione, deve iniettarsi la dose successiva di Humira non appena se ne ricorda. Dopodiché riprenda la dose regolarmente secondo lo schema posologico stabilito.</w:delText>
        </w:r>
      </w:del>
    </w:p>
    <w:p w:rsidR="006224C2" w:rsidRPr="00295E71" w:rsidP="00FB547E" w14:paraId="122FA611" w14:textId="77777777">
      <w:pPr>
        <w:tabs>
          <w:tab w:val="left" w:pos="567"/>
        </w:tabs>
        <w:rPr>
          <w:del w:id="19209" w:author="AbbVie14" w:date="2025-05-09T11:01:00Z"/>
          <w:sz w:val="22"/>
          <w:szCs w:val="22"/>
        </w:rPr>
      </w:pPr>
    </w:p>
    <w:p w:rsidR="006224C2" w:rsidRPr="00295E71" w:rsidP="00FB547E" w14:paraId="4902A6D4" w14:textId="77777777">
      <w:pPr>
        <w:keepNext/>
        <w:tabs>
          <w:tab w:val="left" w:pos="567"/>
        </w:tabs>
        <w:rPr>
          <w:del w:id="19210" w:author="AbbVie14" w:date="2025-05-09T11:01:00Z"/>
          <w:b/>
          <w:sz w:val="22"/>
          <w:szCs w:val="22"/>
        </w:rPr>
      </w:pPr>
      <w:del w:id="19211" w:author="AbbVie14" w:date="2025-05-09T11:01:00Z">
        <w:r w:rsidRPr="00295E71">
          <w:rPr>
            <w:b/>
            <w:sz w:val="22"/>
            <w:szCs w:val="22"/>
          </w:rPr>
          <w:delText>Se interrompe il trattamento con Humira</w:delText>
        </w:r>
      </w:del>
    </w:p>
    <w:p w:rsidR="006224C2" w:rsidRPr="00295E71" w:rsidP="00FB547E" w14:paraId="05C6E5E4" w14:textId="77777777">
      <w:pPr>
        <w:keepNext/>
        <w:tabs>
          <w:tab w:val="left" w:pos="567"/>
        </w:tabs>
        <w:rPr>
          <w:del w:id="19212" w:author="AbbVie14" w:date="2025-05-09T11:01:00Z"/>
          <w:sz w:val="22"/>
          <w:szCs w:val="22"/>
        </w:rPr>
      </w:pPr>
    </w:p>
    <w:p w:rsidR="006224C2" w:rsidRPr="00295E71" w:rsidP="00FB547E" w14:paraId="3A6E0B42" w14:textId="77777777">
      <w:pPr>
        <w:keepNext/>
        <w:tabs>
          <w:tab w:val="left" w:pos="567"/>
        </w:tabs>
        <w:rPr>
          <w:del w:id="19213" w:author="AbbVie14" w:date="2025-05-09T11:01:00Z"/>
          <w:sz w:val="22"/>
          <w:szCs w:val="22"/>
        </w:rPr>
      </w:pPr>
      <w:del w:id="19214" w:author="AbbVie14" w:date="2025-05-09T11:01:00Z">
        <w:r w:rsidRPr="00295E71">
          <w:rPr>
            <w:sz w:val="22"/>
            <w:szCs w:val="22"/>
          </w:rPr>
          <w:delText>La decisione di interrompere l’uso di Humira deve essere discussa con il medico. I sintomi possono ritornare dopo l’interruzione.</w:delText>
        </w:r>
      </w:del>
    </w:p>
    <w:p w:rsidR="006224C2" w:rsidRPr="00295E71" w:rsidP="00FB547E" w14:paraId="2AB2BBFE" w14:textId="77777777">
      <w:pPr>
        <w:tabs>
          <w:tab w:val="left" w:pos="567"/>
        </w:tabs>
        <w:rPr>
          <w:del w:id="19215" w:author="AbbVie14" w:date="2025-05-09T11:01:00Z"/>
          <w:sz w:val="22"/>
          <w:szCs w:val="22"/>
        </w:rPr>
      </w:pPr>
    </w:p>
    <w:p w:rsidR="006224C2" w:rsidRPr="00295E71" w:rsidP="00FB547E" w14:paraId="25E2D106" w14:textId="77777777">
      <w:pPr>
        <w:tabs>
          <w:tab w:val="left" w:pos="567"/>
        </w:tabs>
        <w:rPr>
          <w:del w:id="19216" w:author="AbbVie14" w:date="2025-05-09T11:01:00Z"/>
          <w:sz w:val="22"/>
          <w:szCs w:val="22"/>
        </w:rPr>
      </w:pPr>
      <w:del w:id="19217" w:author="AbbVie14" w:date="2025-05-09T11:01:00Z">
        <w:r w:rsidRPr="00295E71">
          <w:rPr>
            <w:sz w:val="22"/>
            <w:szCs w:val="22"/>
          </w:rPr>
          <w:delText>Se ha qualsiasi dubbio sull’uso di questo medicinale, si rivolga al medico o al farmacista.</w:delText>
        </w:r>
      </w:del>
    </w:p>
    <w:p w:rsidR="006224C2" w:rsidRPr="00295E71" w14:paraId="09798D2E" w14:textId="77777777">
      <w:pPr>
        <w:tabs>
          <w:tab w:val="left" w:pos="567"/>
        </w:tabs>
        <w:jc w:val="both"/>
        <w:rPr>
          <w:del w:id="19218" w:author="AbbVie14" w:date="2025-05-09T11:01:00Z"/>
          <w:sz w:val="22"/>
          <w:szCs w:val="22"/>
        </w:rPr>
      </w:pPr>
    </w:p>
    <w:p w:rsidR="006224C2" w:rsidRPr="00295E71" w14:paraId="1729C174" w14:textId="77777777">
      <w:pPr>
        <w:numPr>
          <w:ilvl w:val="12"/>
          <w:numId w:val="0"/>
        </w:numPr>
        <w:tabs>
          <w:tab w:val="left" w:pos="567"/>
        </w:tabs>
        <w:ind w:right="-2"/>
        <w:jc w:val="both"/>
        <w:rPr>
          <w:del w:id="19219" w:author="AbbVie14" w:date="2025-05-09T11:01:00Z"/>
          <w:sz w:val="22"/>
          <w:szCs w:val="22"/>
        </w:rPr>
      </w:pPr>
    </w:p>
    <w:p w:rsidR="006224C2" w:rsidRPr="00295E71" w14:paraId="37EF4B45" w14:textId="77777777">
      <w:pPr>
        <w:numPr>
          <w:ilvl w:val="12"/>
          <w:numId w:val="0"/>
        </w:numPr>
        <w:tabs>
          <w:tab w:val="left" w:pos="567"/>
        </w:tabs>
        <w:ind w:left="567" w:right="-2" w:hanging="567"/>
        <w:jc w:val="both"/>
        <w:rPr>
          <w:del w:id="19220" w:author="AbbVie14" w:date="2025-05-09T11:01:00Z"/>
          <w:b/>
          <w:bCs/>
          <w:sz w:val="22"/>
          <w:szCs w:val="22"/>
        </w:rPr>
      </w:pPr>
      <w:del w:id="19221" w:author="AbbVie14" w:date="2025-05-09T11:01:00Z">
        <w:r w:rsidRPr="00295E71">
          <w:rPr>
            <w:b/>
            <w:bCs/>
            <w:sz w:val="22"/>
            <w:szCs w:val="22"/>
          </w:rPr>
          <w:delText>4.</w:delText>
        </w:r>
      </w:del>
      <w:del w:id="19222" w:author="AbbVie14" w:date="2025-05-09T11:01:00Z">
        <w:r w:rsidRPr="00295E71">
          <w:rPr>
            <w:b/>
            <w:bCs/>
            <w:sz w:val="22"/>
            <w:szCs w:val="22"/>
          </w:rPr>
          <w:tab/>
          <w:delText>Possibili effetti indesiderati</w:delText>
        </w:r>
      </w:del>
    </w:p>
    <w:p w:rsidR="006224C2" w:rsidRPr="00295E71" w14:paraId="72275E85" w14:textId="77777777">
      <w:pPr>
        <w:numPr>
          <w:ilvl w:val="12"/>
          <w:numId w:val="0"/>
        </w:numPr>
        <w:tabs>
          <w:tab w:val="left" w:pos="567"/>
        </w:tabs>
        <w:ind w:right="-2"/>
        <w:jc w:val="both"/>
        <w:rPr>
          <w:del w:id="19223" w:author="AbbVie14" w:date="2025-05-09T11:01:00Z"/>
          <w:sz w:val="22"/>
          <w:szCs w:val="22"/>
        </w:rPr>
      </w:pPr>
    </w:p>
    <w:p w:rsidR="006224C2" w:rsidRPr="00295E71" w14:paraId="6B6206F4" w14:textId="77777777">
      <w:pPr>
        <w:tabs>
          <w:tab w:val="left" w:pos="567"/>
        </w:tabs>
        <w:jc w:val="both"/>
        <w:rPr>
          <w:del w:id="19224" w:author="AbbVie14" w:date="2025-05-09T11:01:00Z"/>
          <w:sz w:val="22"/>
          <w:szCs w:val="22"/>
        </w:rPr>
      </w:pPr>
      <w:del w:id="19225" w:author="AbbVie14" w:date="2025-05-09T11:01:00Z">
        <w:r w:rsidRPr="00295E71">
          <w:rPr>
            <w:sz w:val="22"/>
            <w:szCs w:val="22"/>
          </w:rPr>
          <w:delText>Come tutti i medicinali, questo medicinale può causare effetti indesiderati sebbene non tutte le persone li manifestino. La maggior parte degli effetti indesiderati si presentano in forma da lieve a moderata. Tuttavia, alcuni possono essere gravi e richiedere trattamento. Effetti indesiderati possono manifestarsi fino a 4 mesi dall’ultima iniezione di Humira.</w:delText>
        </w:r>
      </w:del>
    </w:p>
    <w:p w:rsidR="006224C2" w:rsidRPr="00295E71" w14:paraId="2AB1BB8C" w14:textId="77777777">
      <w:pPr>
        <w:pStyle w:val="EndnoteText"/>
        <w:jc w:val="both"/>
        <w:rPr>
          <w:del w:id="19226" w:author="AbbVie14" w:date="2025-05-09T11:01:00Z"/>
          <w:lang w:val="it-IT" w:eastAsia="it-IT"/>
        </w:rPr>
      </w:pPr>
    </w:p>
    <w:p w:rsidR="006224C2" w:rsidRPr="00295E71" w14:paraId="7F74BBE7" w14:textId="77777777">
      <w:pPr>
        <w:tabs>
          <w:tab w:val="left" w:pos="567"/>
        </w:tabs>
        <w:jc w:val="both"/>
        <w:rPr>
          <w:del w:id="19227" w:author="AbbVie14" w:date="2025-05-09T11:01:00Z"/>
          <w:sz w:val="22"/>
          <w:szCs w:val="22"/>
        </w:rPr>
      </w:pPr>
      <w:del w:id="19228" w:author="AbbVie14" w:date="2025-05-09T11:01:00Z">
        <w:r w:rsidRPr="00295E71">
          <w:rPr>
            <w:sz w:val="22"/>
            <w:szCs w:val="22"/>
          </w:rPr>
          <w:delText>Informi immediatamente il medico se nota una qualsiasi delle seguenti reazioni</w:delText>
        </w:r>
      </w:del>
    </w:p>
    <w:p w:rsidR="006224C2" w:rsidRPr="00295E71" w14:paraId="3C598926" w14:textId="77777777">
      <w:pPr>
        <w:numPr>
          <w:ilvl w:val="0"/>
          <w:numId w:val="15"/>
        </w:numPr>
        <w:tabs>
          <w:tab w:val="left" w:pos="567"/>
        </w:tabs>
        <w:ind w:left="567" w:hanging="567"/>
        <w:jc w:val="both"/>
        <w:rPr>
          <w:del w:id="19229" w:author="AbbVie14" w:date="2025-05-09T11:01:00Z"/>
          <w:sz w:val="22"/>
          <w:szCs w:val="22"/>
        </w:rPr>
      </w:pPr>
      <w:del w:id="19230" w:author="AbbVie14" w:date="2025-05-09T11:01:00Z">
        <w:r w:rsidRPr="00295E71">
          <w:rPr>
            <w:sz w:val="22"/>
            <w:szCs w:val="22"/>
          </w:rPr>
          <w:delText>eruzione cutanea grave, orticaria o altri segni di reazione allergica;</w:delText>
        </w:r>
      </w:del>
    </w:p>
    <w:p w:rsidR="006224C2" w:rsidRPr="00295E71" w14:paraId="51EF56F0" w14:textId="77777777">
      <w:pPr>
        <w:numPr>
          <w:ilvl w:val="0"/>
          <w:numId w:val="15"/>
        </w:numPr>
        <w:tabs>
          <w:tab w:val="left" w:pos="567"/>
        </w:tabs>
        <w:ind w:left="567" w:hanging="567"/>
        <w:jc w:val="both"/>
        <w:rPr>
          <w:del w:id="19231" w:author="AbbVie14" w:date="2025-05-09T11:01:00Z"/>
          <w:sz w:val="22"/>
          <w:szCs w:val="22"/>
        </w:rPr>
      </w:pPr>
      <w:del w:id="19232" w:author="AbbVie14" w:date="2025-05-09T11:01:00Z">
        <w:r w:rsidRPr="00295E71">
          <w:rPr>
            <w:sz w:val="22"/>
            <w:szCs w:val="22"/>
          </w:rPr>
          <w:delText>gonfiore del viso, delle mani, dei piedi;</w:delText>
        </w:r>
      </w:del>
    </w:p>
    <w:p w:rsidR="006224C2" w:rsidRPr="00295E71" w14:paraId="65E710BF" w14:textId="77777777">
      <w:pPr>
        <w:numPr>
          <w:ilvl w:val="0"/>
          <w:numId w:val="15"/>
        </w:numPr>
        <w:tabs>
          <w:tab w:val="left" w:pos="567"/>
        </w:tabs>
        <w:ind w:left="567" w:hanging="567"/>
        <w:jc w:val="both"/>
        <w:rPr>
          <w:del w:id="19233" w:author="AbbVie14" w:date="2025-05-09T11:01:00Z"/>
          <w:sz w:val="22"/>
          <w:szCs w:val="22"/>
        </w:rPr>
      </w:pPr>
      <w:del w:id="19234" w:author="AbbVie14" w:date="2025-05-09T11:01:00Z">
        <w:r w:rsidRPr="00295E71">
          <w:rPr>
            <w:sz w:val="22"/>
            <w:szCs w:val="22"/>
          </w:rPr>
          <w:delText>difficoltà a respirare, difficoltà a</w:delText>
        </w:r>
      </w:del>
      <w:del w:id="19235" w:author="AbbVie14" w:date="2025-05-09T11:01:00Z">
        <w:r w:rsidRPr="00295E71" w:rsidR="001348F2">
          <w:rPr>
            <w:sz w:val="22"/>
            <w:szCs w:val="22"/>
          </w:rPr>
          <w:delText xml:space="preserve"> deglutire</w:delText>
        </w:r>
      </w:del>
      <w:del w:id="19236" w:author="AbbVie14" w:date="2025-05-09T11:01:00Z">
        <w:r w:rsidRPr="00295E71">
          <w:rPr>
            <w:sz w:val="22"/>
            <w:szCs w:val="22"/>
          </w:rPr>
          <w:delText>;</w:delText>
        </w:r>
      </w:del>
    </w:p>
    <w:p w:rsidR="006224C2" w:rsidRPr="00295E71" w14:paraId="6C7A6E3D" w14:textId="77777777">
      <w:pPr>
        <w:numPr>
          <w:ilvl w:val="0"/>
          <w:numId w:val="15"/>
        </w:numPr>
        <w:tabs>
          <w:tab w:val="left" w:pos="567"/>
        </w:tabs>
        <w:ind w:left="567" w:hanging="567"/>
        <w:jc w:val="both"/>
        <w:rPr>
          <w:del w:id="19237" w:author="AbbVie14" w:date="2025-05-09T11:01:00Z"/>
          <w:sz w:val="22"/>
          <w:szCs w:val="22"/>
        </w:rPr>
      </w:pPr>
      <w:del w:id="19238" w:author="AbbVie14" w:date="2025-05-09T11:01:00Z">
        <w:r w:rsidRPr="00295E71">
          <w:rPr>
            <w:sz w:val="22"/>
            <w:szCs w:val="22"/>
          </w:rPr>
          <w:delText>respiro corto sotto sforzo o in posizione sdraiata o piedi gonfi.</w:delText>
        </w:r>
      </w:del>
    </w:p>
    <w:p w:rsidR="006224C2" w:rsidRPr="00295E71" w14:paraId="2FE407DB" w14:textId="77777777">
      <w:pPr>
        <w:tabs>
          <w:tab w:val="left" w:pos="567"/>
        </w:tabs>
        <w:ind w:left="360"/>
        <w:jc w:val="both"/>
        <w:rPr>
          <w:del w:id="19239" w:author="AbbVie14" w:date="2025-05-09T11:01:00Z"/>
          <w:sz w:val="22"/>
          <w:szCs w:val="22"/>
        </w:rPr>
      </w:pPr>
    </w:p>
    <w:p w:rsidR="006224C2" w:rsidRPr="00295E71" w14:paraId="5A0E3366" w14:textId="77777777">
      <w:pPr>
        <w:keepNext/>
        <w:rPr>
          <w:del w:id="19240" w:author="AbbVie14" w:date="2025-05-09T11:01:00Z"/>
          <w:sz w:val="22"/>
          <w:szCs w:val="22"/>
        </w:rPr>
      </w:pPr>
      <w:del w:id="19241" w:author="AbbVie14" w:date="2025-05-09T11:01:00Z">
        <w:r w:rsidRPr="00295E71">
          <w:rPr>
            <w:sz w:val="22"/>
            <w:szCs w:val="22"/>
          </w:rPr>
          <w:delText>Informi appena possibile il medico se nota una qualsiasi delle seguenti reazioni</w:delText>
        </w:r>
      </w:del>
    </w:p>
    <w:p w:rsidR="006224C2" w:rsidRPr="00295E71" w14:paraId="6DD6BDE6" w14:textId="77777777">
      <w:pPr>
        <w:keepNext/>
        <w:numPr>
          <w:ilvl w:val="0"/>
          <w:numId w:val="14"/>
        </w:numPr>
        <w:tabs>
          <w:tab w:val="num" w:pos="540"/>
          <w:tab w:val="left" w:pos="567"/>
          <w:tab w:val="clear" w:pos="720"/>
          <w:tab w:val="left" w:pos="993"/>
        </w:tabs>
        <w:ind w:left="567" w:hanging="567"/>
        <w:jc w:val="both"/>
        <w:rPr>
          <w:del w:id="19242" w:author="AbbVie14" w:date="2025-05-09T11:01:00Z"/>
          <w:sz w:val="22"/>
          <w:szCs w:val="22"/>
        </w:rPr>
      </w:pPr>
      <w:del w:id="19243" w:author="AbbVie14" w:date="2025-05-09T11:01:00Z">
        <w:r w:rsidRPr="00295E71">
          <w:rPr>
            <w:sz w:val="22"/>
            <w:szCs w:val="22"/>
          </w:rPr>
          <w:delText>segni di infezione come febbre, sensazione di malessere, ferite, problemi dentali, bruciore nell’urinare;</w:delText>
        </w:r>
      </w:del>
    </w:p>
    <w:p w:rsidR="006224C2" w:rsidRPr="00295E71" w14:paraId="62400555" w14:textId="77777777">
      <w:pPr>
        <w:keepNext/>
        <w:numPr>
          <w:ilvl w:val="0"/>
          <w:numId w:val="14"/>
        </w:numPr>
        <w:tabs>
          <w:tab w:val="num" w:pos="540"/>
          <w:tab w:val="left" w:pos="567"/>
          <w:tab w:val="left" w:pos="993"/>
        </w:tabs>
        <w:ind w:left="567" w:hanging="567"/>
        <w:jc w:val="both"/>
        <w:rPr>
          <w:del w:id="19244" w:author="AbbVie14" w:date="2025-05-09T11:01:00Z"/>
          <w:sz w:val="22"/>
          <w:szCs w:val="22"/>
        </w:rPr>
      </w:pPr>
      <w:del w:id="19245" w:author="AbbVie14" w:date="2025-05-09T11:01:00Z">
        <w:r w:rsidRPr="00295E71">
          <w:rPr>
            <w:sz w:val="22"/>
            <w:szCs w:val="22"/>
          </w:rPr>
          <w:delText>stanchezza o debolezza;</w:delText>
        </w:r>
      </w:del>
    </w:p>
    <w:p w:rsidR="006224C2" w:rsidRPr="00295E71" w14:paraId="4D19738E" w14:textId="77777777">
      <w:pPr>
        <w:keepNext/>
        <w:numPr>
          <w:ilvl w:val="0"/>
          <w:numId w:val="14"/>
        </w:numPr>
        <w:tabs>
          <w:tab w:val="num" w:pos="540"/>
          <w:tab w:val="left" w:pos="567"/>
          <w:tab w:val="left" w:pos="993"/>
        </w:tabs>
        <w:ind w:left="567" w:hanging="567"/>
        <w:jc w:val="both"/>
        <w:rPr>
          <w:del w:id="19246" w:author="AbbVie14" w:date="2025-05-09T11:01:00Z"/>
          <w:sz w:val="22"/>
          <w:szCs w:val="22"/>
        </w:rPr>
      </w:pPr>
      <w:del w:id="19247" w:author="AbbVie14" w:date="2025-05-09T11:01:00Z">
        <w:r w:rsidRPr="00295E71">
          <w:rPr>
            <w:sz w:val="22"/>
            <w:szCs w:val="22"/>
          </w:rPr>
          <w:delText>tosse;</w:delText>
        </w:r>
      </w:del>
    </w:p>
    <w:p w:rsidR="006224C2" w:rsidRPr="00295E71" w14:paraId="6472FB15" w14:textId="77777777">
      <w:pPr>
        <w:keepNext/>
        <w:numPr>
          <w:ilvl w:val="0"/>
          <w:numId w:val="14"/>
        </w:numPr>
        <w:tabs>
          <w:tab w:val="num" w:pos="540"/>
          <w:tab w:val="left" w:pos="567"/>
          <w:tab w:val="left" w:pos="993"/>
        </w:tabs>
        <w:ind w:left="567" w:hanging="567"/>
        <w:jc w:val="both"/>
        <w:rPr>
          <w:del w:id="19248" w:author="AbbVie14" w:date="2025-05-09T11:01:00Z"/>
          <w:sz w:val="22"/>
          <w:szCs w:val="22"/>
        </w:rPr>
      </w:pPr>
      <w:del w:id="19249" w:author="AbbVie14" w:date="2025-05-09T11:01:00Z">
        <w:r w:rsidRPr="00295E71">
          <w:rPr>
            <w:sz w:val="22"/>
            <w:szCs w:val="22"/>
          </w:rPr>
          <w:delText>formicolio;</w:delText>
        </w:r>
      </w:del>
    </w:p>
    <w:p w:rsidR="006224C2" w:rsidRPr="00295E71" w14:paraId="2A172F12" w14:textId="77777777">
      <w:pPr>
        <w:keepNext/>
        <w:numPr>
          <w:ilvl w:val="0"/>
          <w:numId w:val="14"/>
        </w:numPr>
        <w:tabs>
          <w:tab w:val="num" w:pos="540"/>
          <w:tab w:val="left" w:pos="567"/>
          <w:tab w:val="left" w:pos="993"/>
        </w:tabs>
        <w:ind w:left="567" w:hanging="567"/>
        <w:jc w:val="both"/>
        <w:rPr>
          <w:del w:id="19250" w:author="AbbVie14" w:date="2025-05-09T11:01:00Z"/>
          <w:sz w:val="22"/>
          <w:szCs w:val="22"/>
        </w:rPr>
      </w:pPr>
      <w:del w:id="19251" w:author="AbbVie14" w:date="2025-05-09T11:01:00Z">
        <w:r w:rsidRPr="00295E71">
          <w:rPr>
            <w:sz w:val="22"/>
            <w:szCs w:val="22"/>
          </w:rPr>
          <w:delText>torpore;</w:delText>
        </w:r>
      </w:del>
    </w:p>
    <w:p w:rsidR="006224C2" w:rsidRPr="00295E71" w14:paraId="5675823B" w14:textId="77777777">
      <w:pPr>
        <w:keepNext/>
        <w:numPr>
          <w:ilvl w:val="0"/>
          <w:numId w:val="14"/>
        </w:numPr>
        <w:tabs>
          <w:tab w:val="num" w:pos="540"/>
          <w:tab w:val="left" w:pos="567"/>
          <w:tab w:val="left" w:pos="993"/>
        </w:tabs>
        <w:ind w:left="567" w:hanging="567"/>
        <w:jc w:val="both"/>
        <w:rPr>
          <w:del w:id="19252" w:author="AbbVie14" w:date="2025-05-09T11:01:00Z"/>
          <w:sz w:val="22"/>
          <w:szCs w:val="22"/>
        </w:rPr>
      </w:pPr>
      <w:del w:id="19253" w:author="AbbVie14" w:date="2025-05-09T11:01:00Z">
        <w:r w:rsidRPr="00295E71">
          <w:rPr>
            <w:sz w:val="22"/>
            <w:szCs w:val="22"/>
          </w:rPr>
          <w:delText>sdoppiamento della vista;</w:delText>
        </w:r>
      </w:del>
    </w:p>
    <w:p w:rsidR="006224C2" w:rsidRPr="00295E71" w14:paraId="7511F037" w14:textId="77777777">
      <w:pPr>
        <w:keepNext/>
        <w:numPr>
          <w:ilvl w:val="0"/>
          <w:numId w:val="14"/>
        </w:numPr>
        <w:tabs>
          <w:tab w:val="num" w:pos="540"/>
          <w:tab w:val="left" w:pos="567"/>
          <w:tab w:val="left" w:pos="993"/>
        </w:tabs>
        <w:ind w:left="567" w:hanging="567"/>
        <w:jc w:val="both"/>
        <w:rPr>
          <w:del w:id="19254" w:author="AbbVie14" w:date="2025-05-09T11:01:00Z"/>
          <w:sz w:val="22"/>
          <w:szCs w:val="22"/>
        </w:rPr>
      </w:pPr>
      <w:del w:id="19255" w:author="AbbVie14" w:date="2025-05-09T11:01:00Z">
        <w:r w:rsidRPr="00295E71">
          <w:rPr>
            <w:sz w:val="22"/>
            <w:szCs w:val="22"/>
          </w:rPr>
          <w:delText>debolezza delle braccia o gambe;</w:delText>
        </w:r>
      </w:del>
    </w:p>
    <w:p w:rsidR="006224C2" w:rsidRPr="00295E71" w14:paraId="4C396591" w14:textId="77777777">
      <w:pPr>
        <w:keepNext/>
        <w:numPr>
          <w:ilvl w:val="0"/>
          <w:numId w:val="14"/>
        </w:numPr>
        <w:tabs>
          <w:tab w:val="num" w:pos="540"/>
          <w:tab w:val="left" w:pos="567"/>
          <w:tab w:val="left" w:pos="993"/>
        </w:tabs>
        <w:ind w:left="567" w:hanging="567"/>
        <w:jc w:val="both"/>
        <w:rPr>
          <w:del w:id="19256" w:author="AbbVie14" w:date="2025-05-09T11:01:00Z"/>
          <w:sz w:val="22"/>
          <w:szCs w:val="22"/>
        </w:rPr>
      </w:pPr>
      <w:del w:id="19257" w:author="AbbVie14" w:date="2025-05-09T11:01:00Z">
        <w:r w:rsidRPr="00295E71">
          <w:rPr>
            <w:sz w:val="22"/>
            <w:szCs w:val="22"/>
          </w:rPr>
          <w:delText>gonfiore o piaga aperta che non guarisce;</w:delText>
        </w:r>
      </w:del>
    </w:p>
    <w:p w:rsidR="006224C2" w:rsidRPr="00295E71" w14:paraId="50FA419E" w14:textId="77777777">
      <w:pPr>
        <w:keepNext/>
        <w:numPr>
          <w:ilvl w:val="0"/>
          <w:numId w:val="14"/>
        </w:numPr>
        <w:tabs>
          <w:tab w:val="num" w:pos="540"/>
          <w:tab w:val="left" w:pos="567"/>
          <w:tab w:val="clear" w:pos="720"/>
        </w:tabs>
        <w:ind w:left="540" w:hanging="540"/>
        <w:jc w:val="both"/>
        <w:rPr>
          <w:del w:id="19258" w:author="AbbVie14" w:date="2025-05-09T11:01:00Z"/>
          <w:sz w:val="22"/>
          <w:szCs w:val="22"/>
        </w:rPr>
      </w:pPr>
      <w:del w:id="19259" w:author="AbbVie14" w:date="2025-05-09T11:01:00Z">
        <w:r w:rsidRPr="00295E71">
          <w:rPr>
            <w:sz w:val="22"/>
            <w:szCs w:val="22"/>
          </w:rPr>
          <w:delText xml:space="preserve">segni e sintomi che suggeriscono la comparsa di disturbi a carico del sistema emopoietico, come la presenza di febbre persistente, lividi, emorragie, pallore. </w:delText>
        </w:r>
      </w:del>
    </w:p>
    <w:p w:rsidR="006224C2" w:rsidRPr="00295E71" w14:paraId="2BB4315A" w14:textId="77777777">
      <w:pPr>
        <w:tabs>
          <w:tab w:val="left" w:pos="567"/>
        </w:tabs>
        <w:ind w:left="360"/>
        <w:jc w:val="both"/>
        <w:rPr>
          <w:del w:id="19260" w:author="AbbVie14" w:date="2025-05-09T11:01:00Z"/>
          <w:sz w:val="22"/>
          <w:szCs w:val="22"/>
        </w:rPr>
      </w:pPr>
    </w:p>
    <w:p w:rsidR="006224C2" w:rsidRPr="00295E71" w14:paraId="3AD61333" w14:textId="77777777">
      <w:pPr>
        <w:tabs>
          <w:tab w:val="left" w:pos="567"/>
        </w:tabs>
        <w:jc w:val="both"/>
        <w:rPr>
          <w:del w:id="19261" w:author="AbbVie14" w:date="2025-05-09T11:01:00Z"/>
          <w:sz w:val="22"/>
          <w:szCs w:val="22"/>
        </w:rPr>
      </w:pPr>
      <w:del w:id="19262" w:author="AbbVie14" w:date="2025-05-09T11:01:00Z">
        <w:r w:rsidRPr="00295E71">
          <w:rPr>
            <w:sz w:val="22"/>
            <w:szCs w:val="22"/>
          </w:rPr>
          <w:delText>I sintomi sopra descritti possono essere segni dei seguenti effetti indesiderati, che sono stati osservati con Humira</w:delText>
        </w:r>
      </w:del>
    </w:p>
    <w:p w:rsidR="006224C2" w:rsidRPr="00295E71" w14:paraId="41AB6CA2" w14:textId="77777777">
      <w:pPr>
        <w:pStyle w:val="EndnoteText"/>
        <w:jc w:val="both"/>
        <w:rPr>
          <w:del w:id="19263" w:author="AbbVie14" w:date="2025-05-09T11:01:00Z"/>
          <w:lang w:val="it-IT" w:eastAsia="it-IT"/>
        </w:rPr>
      </w:pPr>
    </w:p>
    <w:p w:rsidR="006224C2" w:rsidRPr="00295E71" w14:paraId="68736C46" w14:textId="77777777">
      <w:pPr>
        <w:keepNext/>
        <w:tabs>
          <w:tab w:val="left" w:pos="567"/>
        </w:tabs>
        <w:jc w:val="both"/>
        <w:rPr>
          <w:del w:id="19264" w:author="AbbVie14" w:date="2025-05-09T11:01:00Z"/>
          <w:sz w:val="22"/>
          <w:szCs w:val="22"/>
        </w:rPr>
      </w:pPr>
      <w:del w:id="19265" w:author="AbbVie14" w:date="2025-05-09T11:01:00Z">
        <w:r w:rsidRPr="00295E71">
          <w:rPr>
            <w:sz w:val="22"/>
            <w:szCs w:val="22"/>
          </w:rPr>
          <w:delText>Molto comuni (possono manifestarsi in più di 1 persona su 10)</w:delText>
        </w:r>
      </w:del>
    </w:p>
    <w:p w:rsidR="006224C2" w:rsidRPr="00295E71" w14:paraId="2F0DA913" w14:textId="77777777">
      <w:pPr>
        <w:keepNext/>
        <w:tabs>
          <w:tab w:val="left" w:pos="567"/>
        </w:tabs>
        <w:jc w:val="both"/>
        <w:rPr>
          <w:del w:id="19266" w:author="AbbVie14" w:date="2025-05-09T11:01:00Z"/>
          <w:sz w:val="22"/>
          <w:szCs w:val="22"/>
        </w:rPr>
      </w:pPr>
    </w:p>
    <w:p w:rsidR="006224C2" w:rsidRPr="00295E71" w14:paraId="3A1C0A1B" w14:textId="77777777">
      <w:pPr>
        <w:keepNext/>
        <w:numPr>
          <w:ilvl w:val="0"/>
          <w:numId w:val="14"/>
        </w:numPr>
        <w:tabs>
          <w:tab w:val="num" w:pos="540"/>
          <w:tab w:val="left" w:pos="567"/>
          <w:tab w:val="left" w:pos="993"/>
        </w:tabs>
        <w:ind w:left="567" w:hanging="567"/>
        <w:jc w:val="both"/>
        <w:rPr>
          <w:del w:id="19267" w:author="AbbVie14" w:date="2025-05-09T11:01:00Z"/>
          <w:sz w:val="22"/>
          <w:szCs w:val="22"/>
        </w:rPr>
      </w:pPr>
      <w:del w:id="19268" w:author="AbbVie14" w:date="2025-05-09T11:01:00Z">
        <w:r w:rsidRPr="00295E71">
          <w:rPr>
            <w:sz w:val="22"/>
            <w:szCs w:val="22"/>
          </w:rPr>
          <w:delText>reazioni nella sede d’iniezione (tra cui dolore, edema, arrossamento o prurito);</w:delText>
        </w:r>
      </w:del>
    </w:p>
    <w:p w:rsidR="006224C2" w:rsidRPr="00295E71" w14:paraId="60BC7D3B" w14:textId="77777777">
      <w:pPr>
        <w:keepNext/>
        <w:numPr>
          <w:ilvl w:val="0"/>
          <w:numId w:val="14"/>
        </w:numPr>
        <w:tabs>
          <w:tab w:val="num" w:pos="540"/>
          <w:tab w:val="left" w:pos="567"/>
          <w:tab w:val="left" w:pos="993"/>
        </w:tabs>
        <w:ind w:left="567" w:hanging="567"/>
        <w:jc w:val="both"/>
        <w:rPr>
          <w:del w:id="19269" w:author="AbbVie14" w:date="2025-05-09T11:01:00Z"/>
          <w:sz w:val="22"/>
          <w:szCs w:val="22"/>
        </w:rPr>
      </w:pPr>
      <w:del w:id="19270" w:author="AbbVie14" w:date="2025-05-09T11:01:00Z">
        <w:r w:rsidRPr="00295E71">
          <w:rPr>
            <w:sz w:val="22"/>
            <w:szCs w:val="22"/>
          </w:rPr>
          <w:delText>infezioni delle vie respiratorie (tra cui raffreddore, rinorrea, sinusite e polmonite);</w:delText>
        </w:r>
      </w:del>
    </w:p>
    <w:p w:rsidR="006224C2" w:rsidRPr="00295E71" w14:paraId="3A1D2EF4" w14:textId="77777777">
      <w:pPr>
        <w:keepNext/>
        <w:numPr>
          <w:ilvl w:val="0"/>
          <w:numId w:val="14"/>
        </w:numPr>
        <w:tabs>
          <w:tab w:val="num" w:pos="540"/>
          <w:tab w:val="left" w:pos="567"/>
          <w:tab w:val="left" w:pos="993"/>
        </w:tabs>
        <w:ind w:left="567" w:hanging="567"/>
        <w:jc w:val="both"/>
        <w:rPr>
          <w:del w:id="19271" w:author="AbbVie14" w:date="2025-05-09T11:01:00Z"/>
          <w:sz w:val="22"/>
          <w:szCs w:val="22"/>
        </w:rPr>
      </w:pPr>
      <w:del w:id="19272" w:author="AbbVie14" w:date="2025-05-09T11:01:00Z">
        <w:r w:rsidRPr="00295E71">
          <w:rPr>
            <w:sz w:val="22"/>
            <w:szCs w:val="22"/>
          </w:rPr>
          <w:delText>cefalea;</w:delText>
        </w:r>
      </w:del>
    </w:p>
    <w:p w:rsidR="006224C2" w:rsidRPr="00295E71" w14:paraId="0C9F1D69" w14:textId="77777777">
      <w:pPr>
        <w:keepNext/>
        <w:numPr>
          <w:ilvl w:val="0"/>
          <w:numId w:val="14"/>
        </w:numPr>
        <w:tabs>
          <w:tab w:val="num" w:pos="540"/>
          <w:tab w:val="left" w:pos="567"/>
          <w:tab w:val="left" w:pos="993"/>
        </w:tabs>
        <w:ind w:left="567" w:hanging="567"/>
        <w:jc w:val="both"/>
        <w:rPr>
          <w:del w:id="19273" w:author="AbbVie14" w:date="2025-05-09T11:01:00Z"/>
          <w:sz w:val="22"/>
          <w:szCs w:val="22"/>
        </w:rPr>
      </w:pPr>
      <w:del w:id="19274" w:author="AbbVie14" w:date="2025-05-09T11:01:00Z">
        <w:r w:rsidRPr="00295E71">
          <w:rPr>
            <w:sz w:val="22"/>
            <w:szCs w:val="22"/>
          </w:rPr>
          <w:delText>dolore addominale;</w:delText>
        </w:r>
      </w:del>
    </w:p>
    <w:p w:rsidR="006224C2" w:rsidRPr="00295E71" w14:paraId="4F3805A8" w14:textId="77777777">
      <w:pPr>
        <w:keepNext/>
        <w:numPr>
          <w:ilvl w:val="0"/>
          <w:numId w:val="14"/>
        </w:numPr>
        <w:tabs>
          <w:tab w:val="num" w:pos="540"/>
          <w:tab w:val="left" w:pos="567"/>
          <w:tab w:val="left" w:pos="993"/>
        </w:tabs>
        <w:ind w:left="567" w:hanging="567"/>
        <w:jc w:val="both"/>
        <w:rPr>
          <w:del w:id="19275" w:author="AbbVie14" w:date="2025-05-09T11:01:00Z"/>
          <w:sz w:val="22"/>
          <w:szCs w:val="22"/>
        </w:rPr>
      </w:pPr>
      <w:del w:id="19276" w:author="AbbVie14" w:date="2025-05-09T11:01:00Z">
        <w:r w:rsidRPr="00295E71">
          <w:rPr>
            <w:sz w:val="22"/>
            <w:szCs w:val="22"/>
          </w:rPr>
          <w:delText>nausea e vomito;</w:delText>
        </w:r>
      </w:del>
    </w:p>
    <w:p w:rsidR="006224C2" w:rsidRPr="00295E71" w14:paraId="333DE6EF" w14:textId="77777777">
      <w:pPr>
        <w:keepNext/>
        <w:numPr>
          <w:ilvl w:val="0"/>
          <w:numId w:val="14"/>
        </w:numPr>
        <w:tabs>
          <w:tab w:val="num" w:pos="540"/>
          <w:tab w:val="left" w:pos="567"/>
          <w:tab w:val="left" w:pos="993"/>
        </w:tabs>
        <w:ind w:left="567" w:hanging="567"/>
        <w:jc w:val="both"/>
        <w:rPr>
          <w:del w:id="19277" w:author="AbbVie14" w:date="2025-05-09T11:01:00Z"/>
          <w:sz w:val="22"/>
          <w:szCs w:val="22"/>
        </w:rPr>
      </w:pPr>
      <w:del w:id="19278" w:author="AbbVie14" w:date="2025-05-09T11:01:00Z">
        <w:r w:rsidRPr="00295E71">
          <w:rPr>
            <w:sz w:val="22"/>
            <w:szCs w:val="22"/>
          </w:rPr>
          <w:delText>eruzione cutanea;</w:delText>
        </w:r>
      </w:del>
    </w:p>
    <w:p w:rsidR="006224C2" w:rsidRPr="00295E71" w14:paraId="68D11DB0" w14:textId="77777777">
      <w:pPr>
        <w:keepNext/>
        <w:numPr>
          <w:ilvl w:val="0"/>
          <w:numId w:val="14"/>
        </w:numPr>
        <w:tabs>
          <w:tab w:val="num" w:pos="540"/>
          <w:tab w:val="left" w:pos="567"/>
          <w:tab w:val="left" w:pos="993"/>
        </w:tabs>
        <w:ind w:left="567" w:hanging="567"/>
        <w:jc w:val="both"/>
        <w:rPr>
          <w:del w:id="19279" w:author="AbbVie14" w:date="2025-05-09T11:01:00Z"/>
          <w:sz w:val="22"/>
          <w:szCs w:val="22"/>
        </w:rPr>
      </w:pPr>
      <w:del w:id="19280" w:author="AbbVie14" w:date="2025-05-09T11:01:00Z">
        <w:r w:rsidRPr="00295E71">
          <w:rPr>
            <w:sz w:val="22"/>
            <w:szCs w:val="22"/>
          </w:rPr>
          <w:delText>dolori muscoloscheletrici.</w:delText>
        </w:r>
      </w:del>
    </w:p>
    <w:p w:rsidR="006224C2" w:rsidRPr="00295E71" w14:paraId="396CD1FD" w14:textId="77777777">
      <w:pPr>
        <w:tabs>
          <w:tab w:val="left" w:pos="567"/>
          <w:tab w:val="left" w:pos="993"/>
        </w:tabs>
        <w:jc w:val="both"/>
        <w:rPr>
          <w:del w:id="19281" w:author="AbbVie14" w:date="2025-05-09T11:01:00Z"/>
          <w:sz w:val="22"/>
          <w:szCs w:val="22"/>
        </w:rPr>
      </w:pPr>
    </w:p>
    <w:p w:rsidR="006224C2" w:rsidRPr="00295E71" w14:paraId="1EC0A3B7" w14:textId="77777777">
      <w:pPr>
        <w:tabs>
          <w:tab w:val="left" w:pos="567"/>
        </w:tabs>
        <w:jc w:val="both"/>
        <w:rPr>
          <w:del w:id="19282" w:author="AbbVie14" w:date="2025-05-09T11:01:00Z"/>
          <w:sz w:val="22"/>
          <w:szCs w:val="22"/>
        </w:rPr>
      </w:pPr>
      <w:del w:id="19283" w:author="AbbVie14" w:date="2025-05-09T11:01:00Z">
        <w:r w:rsidRPr="00295E71">
          <w:rPr>
            <w:sz w:val="22"/>
            <w:szCs w:val="22"/>
          </w:rPr>
          <w:delText xml:space="preserve">Comuni (possono manifestarsi fino a 1 persona su 10) </w:delText>
        </w:r>
      </w:del>
    </w:p>
    <w:p w:rsidR="006224C2" w:rsidRPr="00295E71" w14:paraId="5F555DEC" w14:textId="77777777">
      <w:pPr>
        <w:tabs>
          <w:tab w:val="left" w:pos="567"/>
        </w:tabs>
        <w:jc w:val="both"/>
        <w:rPr>
          <w:del w:id="19284" w:author="AbbVie14" w:date="2025-05-09T11:01:00Z"/>
          <w:sz w:val="22"/>
          <w:szCs w:val="22"/>
        </w:rPr>
      </w:pPr>
    </w:p>
    <w:p w:rsidR="006224C2" w:rsidRPr="00295E71" w14:paraId="69011AA5" w14:textId="77777777">
      <w:pPr>
        <w:numPr>
          <w:ilvl w:val="0"/>
          <w:numId w:val="14"/>
        </w:numPr>
        <w:tabs>
          <w:tab w:val="num" w:pos="540"/>
          <w:tab w:val="left" w:pos="567"/>
          <w:tab w:val="left" w:pos="993"/>
        </w:tabs>
        <w:ind w:left="567" w:hanging="567"/>
        <w:jc w:val="both"/>
        <w:rPr>
          <w:del w:id="19285" w:author="AbbVie14" w:date="2025-05-09T11:01:00Z"/>
          <w:sz w:val="22"/>
          <w:szCs w:val="22"/>
        </w:rPr>
      </w:pPr>
      <w:del w:id="19286" w:author="AbbVie14" w:date="2025-05-09T11:01:00Z">
        <w:r w:rsidRPr="00295E71">
          <w:rPr>
            <w:sz w:val="22"/>
            <w:szCs w:val="22"/>
          </w:rPr>
          <w:delText xml:space="preserve">infezioni </w:delText>
        </w:r>
      </w:del>
      <w:del w:id="19287" w:author="AbbVie14" w:date="2025-05-09T11:01:00Z">
        <w:r w:rsidR="00B60005">
          <w:rPr>
            <w:sz w:val="22"/>
            <w:szCs w:val="22"/>
          </w:rPr>
          <w:delText>gravi</w:delText>
        </w:r>
      </w:del>
      <w:del w:id="19288" w:author="AbbVie14" w:date="2025-05-09T11:01:00Z">
        <w:r w:rsidRPr="00295E71" w:rsidR="00BC55CA">
          <w:rPr>
            <w:sz w:val="22"/>
            <w:szCs w:val="22"/>
          </w:rPr>
          <w:delText xml:space="preserve"> </w:delText>
        </w:r>
      </w:del>
      <w:del w:id="19289" w:author="AbbVie14" w:date="2025-05-09T11:01:00Z">
        <w:r w:rsidRPr="00295E71">
          <w:rPr>
            <w:sz w:val="22"/>
            <w:szCs w:val="22"/>
          </w:rPr>
          <w:delText>(tra cui setticemia ed influenza);</w:delText>
        </w:r>
      </w:del>
    </w:p>
    <w:p w:rsidR="00BC55CA" w:rsidRPr="00295E71" w:rsidP="00BC55CA" w14:paraId="6A682C11" w14:textId="77777777">
      <w:pPr>
        <w:numPr>
          <w:ilvl w:val="0"/>
          <w:numId w:val="14"/>
        </w:numPr>
        <w:tabs>
          <w:tab w:val="num" w:pos="540"/>
          <w:tab w:val="left" w:pos="567"/>
          <w:tab w:val="left" w:pos="993"/>
        </w:tabs>
        <w:ind w:left="567" w:hanging="567"/>
        <w:jc w:val="both"/>
        <w:rPr>
          <w:del w:id="19290" w:author="AbbVie14" w:date="2025-05-09T11:01:00Z"/>
          <w:sz w:val="22"/>
          <w:szCs w:val="22"/>
        </w:rPr>
      </w:pPr>
      <w:del w:id="19291" w:author="AbbVie14" w:date="2025-05-09T11:01:00Z">
        <w:r w:rsidRPr="00295E71">
          <w:rPr>
            <w:sz w:val="22"/>
            <w:szCs w:val="22"/>
          </w:rPr>
          <w:delText>infezioni intestinali (tra cui gastroenterite);</w:delText>
        </w:r>
      </w:del>
    </w:p>
    <w:p w:rsidR="006224C2" w:rsidRPr="00295E71" w14:paraId="396F793E" w14:textId="77777777">
      <w:pPr>
        <w:numPr>
          <w:ilvl w:val="0"/>
          <w:numId w:val="14"/>
        </w:numPr>
        <w:tabs>
          <w:tab w:val="num" w:pos="540"/>
          <w:tab w:val="left" w:pos="567"/>
          <w:tab w:val="left" w:pos="993"/>
        </w:tabs>
        <w:ind w:left="567" w:hanging="567"/>
        <w:jc w:val="both"/>
        <w:rPr>
          <w:del w:id="19292" w:author="AbbVie14" w:date="2025-05-09T11:01:00Z"/>
          <w:sz w:val="22"/>
          <w:szCs w:val="22"/>
        </w:rPr>
      </w:pPr>
      <w:del w:id="19293" w:author="AbbVie14" w:date="2025-05-09T11:01:00Z">
        <w:r w:rsidRPr="00295E71">
          <w:rPr>
            <w:sz w:val="22"/>
            <w:szCs w:val="22"/>
          </w:rPr>
          <w:delText>infezioni della pelle (tra cui cellulite e infezione da Herpes Zoster);</w:delText>
        </w:r>
      </w:del>
    </w:p>
    <w:p w:rsidR="006224C2" w:rsidRPr="00295E71" w14:paraId="048B1D0A" w14:textId="77777777">
      <w:pPr>
        <w:numPr>
          <w:ilvl w:val="0"/>
          <w:numId w:val="14"/>
        </w:numPr>
        <w:tabs>
          <w:tab w:val="num" w:pos="540"/>
          <w:tab w:val="left" w:pos="567"/>
          <w:tab w:val="left" w:pos="993"/>
        </w:tabs>
        <w:ind w:left="567" w:hanging="567"/>
        <w:jc w:val="both"/>
        <w:rPr>
          <w:del w:id="19294" w:author="AbbVie14" w:date="2025-05-09T11:01:00Z"/>
          <w:sz w:val="22"/>
          <w:szCs w:val="22"/>
        </w:rPr>
      </w:pPr>
      <w:del w:id="19295" w:author="AbbVie14" w:date="2025-05-09T11:01:00Z">
        <w:r w:rsidRPr="00295E71">
          <w:rPr>
            <w:sz w:val="22"/>
            <w:szCs w:val="22"/>
          </w:rPr>
          <w:delText>infezioni dell’orecchio;</w:delText>
        </w:r>
      </w:del>
    </w:p>
    <w:p w:rsidR="006224C2" w:rsidRPr="00295E71" w14:paraId="67E5B01E" w14:textId="77777777">
      <w:pPr>
        <w:numPr>
          <w:ilvl w:val="0"/>
          <w:numId w:val="14"/>
        </w:numPr>
        <w:tabs>
          <w:tab w:val="num" w:pos="540"/>
          <w:tab w:val="left" w:pos="567"/>
          <w:tab w:val="left" w:pos="993"/>
        </w:tabs>
        <w:ind w:left="567" w:hanging="567"/>
        <w:jc w:val="both"/>
        <w:rPr>
          <w:del w:id="19296" w:author="AbbVie14" w:date="2025-05-09T11:01:00Z"/>
          <w:sz w:val="22"/>
          <w:szCs w:val="22"/>
        </w:rPr>
      </w:pPr>
      <w:del w:id="19297" w:author="AbbVie14" w:date="2025-05-09T11:01:00Z">
        <w:r w:rsidRPr="00295E71">
          <w:rPr>
            <w:sz w:val="22"/>
            <w:szCs w:val="22"/>
          </w:rPr>
          <w:delText>infezioni orali (tra cui infezioni dei denti ed herpes simplex);</w:delText>
        </w:r>
      </w:del>
    </w:p>
    <w:p w:rsidR="006224C2" w:rsidRPr="00295E71" w14:paraId="71A26488" w14:textId="77777777">
      <w:pPr>
        <w:numPr>
          <w:ilvl w:val="0"/>
          <w:numId w:val="14"/>
        </w:numPr>
        <w:tabs>
          <w:tab w:val="num" w:pos="540"/>
          <w:tab w:val="left" w:pos="567"/>
          <w:tab w:val="left" w:pos="993"/>
        </w:tabs>
        <w:ind w:left="567" w:hanging="567"/>
        <w:jc w:val="both"/>
        <w:rPr>
          <w:del w:id="19298" w:author="AbbVie14" w:date="2025-05-09T11:01:00Z"/>
          <w:sz w:val="22"/>
          <w:szCs w:val="22"/>
        </w:rPr>
      </w:pPr>
      <w:del w:id="19299" w:author="AbbVie14" w:date="2025-05-09T11:01:00Z">
        <w:r w:rsidRPr="00295E71">
          <w:rPr>
            <w:sz w:val="22"/>
            <w:szCs w:val="22"/>
          </w:rPr>
          <w:delText>infezioni dell’apparato</w:delText>
        </w:r>
      </w:del>
      <w:del w:id="19300" w:author="AbbVie14" w:date="2025-05-09T11:01:00Z">
        <w:r w:rsidRPr="00295E71" w:rsidR="007C144D">
          <w:rPr>
            <w:sz w:val="22"/>
            <w:szCs w:val="22"/>
          </w:rPr>
          <w:delText xml:space="preserve"> </w:delText>
        </w:r>
      </w:del>
      <w:del w:id="19301" w:author="AbbVie14" w:date="2025-05-09T11:01:00Z">
        <w:r w:rsidRPr="00295E71">
          <w:rPr>
            <w:sz w:val="22"/>
            <w:szCs w:val="22"/>
          </w:rPr>
          <w:delText>riproduttivo;</w:delText>
        </w:r>
      </w:del>
    </w:p>
    <w:p w:rsidR="006224C2" w:rsidRPr="00295E71" w14:paraId="7DF7BC59" w14:textId="77777777">
      <w:pPr>
        <w:numPr>
          <w:ilvl w:val="0"/>
          <w:numId w:val="14"/>
        </w:numPr>
        <w:tabs>
          <w:tab w:val="num" w:pos="540"/>
          <w:tab w:val="left" w:pos="567"/>
          <w:tab w:val="left" w:pos="993"/>
        </w:tabs>
        <w:ind w:left="567" w:hanging="567"/>
        <w:jc w:val="both"/>
        <w:rPr>
          <w:del w:id="19302" w:author="AbbVie14" w:date="2025-05-09T11:01:00Z"/>
          <w:sz w:val="22"/>
          <w:szCs w:val="22"/>
        </w:rPr>
      </w:pPr>
      <w:del w:id="19303" w:author="AbbVie14" w:date="2025-05-09T11:01:00Z">
        <w:r w:rsidRPr="00295E71">
          <w:rPr>
            <w:sz w:val="22"/>
            <w:szCs w:val="22"/>
          </w:rPr>
          <w:delText>infezioni delle vie urinarie;</w:delText>
        </w:r>
      </w:del>
    </w:p>
    <w:p w:rsidR="006224C2" w:rsidRPr="00295E71" w14:paraId="2401A7C8" w14:textId="77777777">
      <w:pPr>
        <w:numPr>
          <w:ilvl w:val="0"/>
          <w:numId w:val="14"/>
        </w:numPr>
        <w:tabs>
          <w:tab w:val="num" w:pos="540"/>
          <w:tab w:val="left" w:pos="567"/>
          <w:tab w:val="left" w:pos="993"/>
        </w:tabs>
        <w:ind w:left="567" w:hanging="567"/>
        <w:jc w:val="both"/>
        <w:rPr>
          <w:del w:id="19304" w:author="AbbVie14" w:date="2025-05-09T11:01:00Z"/>
          <w:sz w:val="22"/>
          <w:szCs w:val="22"/>
        </w:rPr>
      </w:pPr>
      <w:del w:id="19305" w:author="AbbVie14" w:date="2025-05-09T11:01:00Z">
        <w:r w:rsidRPr="00295E71">
          <w:rPr>
            <w:sz w:val="22"/>
            <w:szCs w:val="22"/>
          </w:rPr>
          <w:delText>infezioni da miceti;</w:delText>
        </w:r>
      </w:del>
    </w:p>
    <w:p w:rsidR="006224C2" w:rsidRPr="00295E71" w14:paraId="6E8E6A76" w14:textId="77777777">
      <w:pPr>
        <w:numPr>
          <w:ilvl w:val="0"/>
          <w:numId w:val="14"/>
        </w:numPr>
        <w:tabs>
          <w:tab w:val="num" w:pos="540"/>
          <w:tab w:val="left" w:pos="567"/>
          <w:tab w:val="left" w:pos="993"/>
        </w:tabs>
        <w:ind w:left="567" w:hanging="567"/>
        <w:jc w:val="both"/>
        <w:rPr>
          <w:del w:id="19306" w:author="AbbVie14" w:date="2025-05-09T11:01:00Z"/>
          <w:sz w:val="22"/>
          <w:szCs w:val="22"/>
        </w:rPr>
      </w:pPr>
      <w:del w:id="19307" w:author="AbbVie14" w:date="2025-05-09T11:01:00Z">
        <w:r w:rsidRPr="00295E71">
          <w:rPr>
            <w:sz w:val="22"/>
            <w:szCs w:val="22"/>
          </w:rPr>
          <w:delText>infezioni a carico delle articolazioni;</w:delText>
        </w:r>
      </w:del>
    </w:p>
    <w:p w:rsidR="006224C2" w:rsidRPr="00295E71" w14:paraId="689723A8" w14:textId="77777777">
      <w:pPr>
        <w:numPr>
          <w:ilvl w:val="0"/>
          <w:numId w:val="14"/>
        </w:numPr>
        <w:tabs>
          <w:tab w:val="num" w:pos="540"/>
          <w:tab w:val="left" w:pos="567"/>
          <w:tab w:val="left" w:pos="993"/>
        </w:tabs>
        <w:ind w:left="567" w:hanging="567"/>
        <w:jc w:val="both"/>
        <w:rPr>
          <w:del w:id="19308" w:author="AbbVie14" w:date="2025-05-09T11:01:00Z"/>
          <w:sz w:val="22"/>
          <w:szCs w:val="22"/>
        </w:rPr>
      </w:pPr>
      <w:del w:id="19309" w:author="AbbVie14" w:date="2025-05-09T11:01:00Z">
        <w:r w:rsidRPr="00295E71">
          <w:rPr>
            <w:sz w:val="22"/>
            <w:szCs w:val="22"/>
          </w:rPr>
          <w:delText>tumori benigni;</w:delText>
        </w:r>
      </w:del>
    </w:p>
    <w:p w:rsidR="006224C2" w:rsidRPr="00295E71" w14:paraId="093FC85D" w14:textId="77777777">
      <w:pPr>
        <w:numPr>
          <w:ilvl w:val="0"/>
          <w:numId w:val="14"/>
        </w:numPr>
        <w:tabs>
          <w:tab w:val="num" w:pos="540"/>
          <w:tab w:val="left" w:pos="567"/>
          <w:tab w:val="left" w:pos="993"/>
        </w:tabs>
        <w:ind w:left="567" w:hanging="567"/>
        <w:jc w:val="both"/>
        <w:rPr>
          <w:del w:id="19310" w:author="AbbVie14" w:date="2025-05-09T11:01:00Z"/>
          <w:sz w:val="22"/>
          <w:szCs w:val="22"/>
        </w:rPr>
      </w:pPr>
      <w:del w:id="19311" w:author="AbbVie14" w:date="2025-05-09T11:01:00Z">
        <w:r w:rsidRPr="00295E71">
          <w:rPr>
            <w:sz w:val="22"/>
            <w:szCs w:val="22"/>
          </w:rPr>
          <w:delText>tumore della pelle;</w:delText>
        </w:r>
      </w:del>
    </w:p>
    <w:p w:rsidR="006224C2" w:rsidRPr="00295E71" w14:paraId="6EF65393" w14:textId="77777777">
      <w:pPr>
        <w:numPr>
          <w:ilvl w:val="0"/>
          <w:numId w:val="14"/>
        </w:numPr>
        <w:tabs>
          <w:tab w:val="num" w:pos="540"/>
          <w:tab w:val="left" w:pos="567"/>
          <w:tab w:val="left" w:pos="993"/>
        </w:tabs>
        <w:ind w:left="567" w:hanging="567"/>
        <w:jc w:val="both"/>
        <w:rPr>
          <w:del w:id="19312" w:author="AbbVie14" w:date="2025-05-09T11:01:00Z"/>
          <w:sz w:val="22"/>
          <w:szCs w:val="22"/>
        </w:rPr>
      </w:pPr>
      <w:del w:id="19313" w:author="AbbVie14" w:date="2025-05-09T11:01:00Z">
        <w:r w:rsidRPr="00295E71">
          <w:rPr>
            <w:sz w:val="22"/>
            <w:szCs w:val="22"/>
          </w:rPr>
          <w:delText>reazioni allergiche (tra cui allergia stagionale);</w:delText>
        </w:r>
      </w:del>
    </w:p>
    <w:p w:rsidR="006224C2" w:rsidRPr="00295E71" w14:paraId="7AF12CA7" w14:textId="77777777">
      <w:pPr>
        <w:numPr>
          <w:ilvl w:val="0"/>
          <w:numId w:val="14"/>
        </w:numPr>
        <w:tabs>
          <w:tab w:val="num" w:pos="540"/>
          <w:tab w:val="left" w:pos="567"/>
          <w:tab w:val="left" w:pos="993"/>
        </w:tabs>
        <w:ind w:left="567" w:hanging="567"/>
        <w:jc w:val="both"/>
        <w:rPr>
          <w:del w:id="19314" w:author="AbbVie14" w:date="2025-05-09T11:01:00Z"/>
          <w:sz w:val="22"/>
          <w:szCs w:val="22"/>
        </w:rPr>
      </w:pPr>
      <w:del w:id="19315" w:author="AbbVie14" w:date="2025-05-09T11:01:00Z">
        <w:r w:rsidRPr="00295E71">
          <w:rPr>
            <w:sz w:val="22"/>
            <w:szCs w:val="22"/>
          </w:rPr>
          <w:delText>disidratazione;</w:delText>
        </w:r>
      </w:del>
    </w:p>
    <w:p w:rsidR="006224C2" w:rsidRPr="00295E71" w14:paraId="114B056C" w14:textId="77777777">
      <w:pPr>
        <w:numPr>
          <w:ilvl w:val="0"/>
          <w:numId w:val="14"/>
        </w:numPr>
        <w:tabs>
          <w:tab w:val="num" w:pos="540"/>
          <w:tab w:val="left" w:pos="567"/>
          <w:tab w:val="left" w:pos="993"/>
        </w:tabs>
        <w:ind w:left="567" w:hanging="567"/>
        <w:jc w:val="both"/>
        <w:rPr>
          <w:del w:id="19316" w:author="AbbVie14" w:date="2025-05-09T11:01:00Z"/>
          <w:sz w:val="22"/>
          <w:szCs w:val="22"/>
        </w:rPr>
      </w:pPr>
      <w:del w:id="19317" w:author="AbbVie14" w:date="2025-05-09T11:01:00Z">
        <w:r w:rsidRPr="00295E71">
          <w:rPr>
            <w:sz w:val="22"/>
            <w:szCs w:val="22"/>
          </w:rPr>
          <w:delText>cambiamenti d’umore (tra cui depressione);</w:delText>
        </w:r>
      </w:del>
    </w:p>
    <w:p w:rsidR="006224C2" w:rsidRPr="00295E71" w14:paraId="061BB25E" w14:textId="77777777">
      <w:pPr>
        <w:numPr>
          <w:ilvl w:val="0"/>
          <w:numId w:val="14"/>
        </w:numPr>
        <w:tabs>
          <w:tab w:val="num" w:pos="540"/>
          <w:tab w:val="left" w:pos="567"/>
          <w:tab w:val="left" w:pos="993"/>
        </w:tabs>
        <w:ind w:left="567" w:hanging="567"/>
        <w:jc w:val="both"/>
        <w:rPr>
          <w:del w:id="19318" w:author="AbbVie14" w:date="2025-05-09T11:01:00Z"/>
          <w:sz w:val="22"/>
          <w:szCs w:val="22"/>
        </w:rPr>
      </w:pPr>
      <w:del w:id="19319" w:author="AbbVie14" w:date="2025-05-09T11:01:00Z">
        <w:r w:rsidRPr="00295E71">
          <w:rPr>
            <w:sz w:val="22"/>
            <w:szCs w:val="22"/>
          </w:rPr>
          <w:delText>ansia;</w:delText>
        </w:r>
      </w:del>
    </w:p>
    <w:p w:rsidR="006224C2" w:rsidRPr="00295E71" w14:paraId="6F96611D" w14:textId="77777777">
      <w:pPr>
        <w:numPr>
          <w:ilvl w:val="0"/>
          <w:numId w:val="14"/>
        </w:numPr>
        <w:tabs>
          <w:tab w:val="num" w:pos="540"/>
          <w:tab w:val="left" w:pos="567"/>
          <w:tab w:val="left" w:pos="993"/>
        </w:tabs>
        <w:ind w:left="567" w:hanging="567"/>
        <w:jc w:val="both"/>
        <w:rPr>
          <w:del w:id="19320" w:author="AbbVie14" w:date="2025-05-09T11:01:00Z"/>
          <w:sz w:val="22"/>
          <w:szCs w:val="22"/>
        </w:rPr>
      </w:pPr>
      <w:del w:id="19321" w:author="AbbVie14" w:date="2025-05-09T11:01:00Z">
        <w:r w:rsidRPr="00295E71">
          <w:rPr>
            <w:sz w:val="22"/>
            <w:szCs w:val="22"/>
          </w:rPr>
          <w:delText>disturbi del sonno;</w:delText>
        </w:r>
      </w:del>
    </w:p>
    <w:p w:rsidR="006224C2" w:rsidRPr="00295E71" w14:paraId="771892BD" w14:textId="77777777">
      <w:pPr>
        <w:numPr>
          <w:ilvl w:val="0"/>
          <w:numId w:val="14"/>
        </w:numPr>
        <w:tabs>
          <w:tab w:val="num" w:pos="540"/>
          <w:tab w:val="left" w:pos="567"/>
          <w:tab w:val="left" w:pos="993"/>
        </w:tabs>
        <w:ind w:left="567" w:hanging="567"/>
        <w:jc w:val="both"/>
        <w:rPr>
          <w:del w:id="19322" w:author="AbbVie14" w:date="2025-05-09T11:01:00Z"/>
          <w:sz w:val="22"/>
          <w:szCs w:val="22"/>
        </w:rPr>
      </w:pPr>
      <w:del w:id="19323" w:author="AbbVie14" w:date="2025-05-09T11:01:00Z">
        <w:r w:rsidRPr="00295E71">
          <w:rPr>
            <w:sz w:val="22"/>
            <w:szCs w:val="22"/>
          </w:rPr>
          <w:delText>disturbi della sensibilità come formicolii, sensazioni di fitte o intorpidimento;</w:delText>
        </w:r>
      </w:del>
    </w:p>
    <w:p w:rsidR="006224C2" w:rsidRPr="00295E71" w14:paraId="04C24A95" w14:textId="77777777">
      <w:pPr>
        <w:numPr>
          <w:ilvl w:val="0"/>
          <w:numId w:val="14"/>
        </w:numPr>
        <w:tabs>
          <w:tab w:val="num" w:pos="540"/>
          <w:tab w:val="left" w:pos="567"/>
          <w:tab w:val="left" w:pos="993"/>
        </w:tabs>
        <w:ind w:left="567" w:hanging="567"/>
        <w:jc w:val="both"/>
        <w:rPr>
          <w:del w:id="19324" w:author="AbbVie14" w:date="2025-05-09T11:01:00Z"/>
          <w:sz w:val="22"/>
          <w:szCs w:val="22"/>
        </w:rPr>
      </w:pPr>
      <w:del w:id="19325" w:author="AbbVie14" w:date="2025-05-09T11:01:00Z">
        <w:r w:rsidRPr="00295E71">
          <w:rPr>
            <w:sz w:val="22"/>
            <w:szCs w:val="22"/>
          </w:rPr>
          <w:delText>emicrania;</w:delText>
        </w:r>
      </w:del>
    </w:p>
    <w:p w:rsidR="006224C2" w:rsidRPr="00295E71" w14:paraId="2CB3FB97" w14:textId="77777777">
      <w:pPr>
        <w:numPr>
          <w:ilvl w:val="0"/>
          <w:numId w:val="14"/>
        </w:numPr>
        <w:tabs>
          <w:tab w:val="num" w:pos="540"/>
          <w:tab w:val="left" w:pos="567"/>
          <w:tab w:val="left" w:pos="993"/>
        </w:tabs>
        <w:ind w:left="567" w:hanging="567"/>
        <w:jc w:val="both"/>
        <w:rPr>
          <w:del w:id="19326" w:author="AbbVie14" w:date="2025-05-09T11:01:00Z"/>
          <w:sz w:val="22"/>
          <w:szCs w:val="22"/>
        </w:rPr>
      </w:pPr>
      <w:del w:id="19327" w:author="AbbVie14" w:date="2025-05-09T11:01:00Z">
        <w:r w:rsidRPr="00295E71">
          <w:rPr>
            <w:sz w:val="22"/>
            <w:szCs w:val="22"/>
          </w:rPr>
          <w:delText>compressione di radice nervosa (tra cui dolore lombare e dolore alle gambe);</w:delText>
        </w:r>
      </w:del>
    </w:p>
    <w:p w:rsidR="006224C2" w:rsidRPr="00295E71" w14:paraId="0FC791F2" w14:textId="77777777">
      <w:pPr>
        <w:numPr>
          <w:ilvl w:val="0"/>
          <w:numId w:val="14"/>
        </w:numPr>
        <w:tabs>
          <w:tab w:val="num" w:pos="540"/>
          <w:tab w:val="left" w:pos="567"/>
          <w:tab w:val="left" w:pos="993"/>
        </w:tabs>
        <w:ind w:left="567" w:hanging="567"/>
        <w:jc w:val="both"/>
        <w:rPr>
          <w:del w:id="19328" w:author="AbbVie14" w:date="2025-05-09T11:01:00Z"/>
          <w:sz w:val="22"/>
          <w:szCs w:val="22"/>
        </w:rPr>
      </w:pPr>
      <w:del w:id="19329" w:author="AbbVie14" w:date="2025-05-09T11:01:00Z">
        <w:r w:rsidRPr="00295E71">
          <w:rPr>
            <w:sz w:val="22"/>
            <w:szCs w:val="22"/>
          </w:rPr>
          <w:delText>disturbi visivi;</w:delText>
        </w:r>
      </w:del>
    </w:p>
    <w:p w:rsidR="006224C2" w:rsidRPr="00295E71" w14:paraId="7636AC54" w14:textId="77777777">
      <w:pPr>
        <w:numPr>
          <w:ilvl w:val="0"/>
          <w:numId w:val="14"/>
        </w:numPr>
        <w:tabs>
          <w:tab w:val="num" w:pos="540"/>
          <w:tab w:val="left" w:pos="567"/>
          <w:tab w:val="left" w:pos="993"/>
        </w:tabs>
        <w:ind w:left="567" w:hanging="567"/>
        <w:jc w:val="both"/>
        <w:rPr>
          <w:del w:id="19330" w:author="AbbVie14" w:date="2025-05-09T11:01:00Z"/>
          <w:sz w:val="22"/>
          <w:szCs w:val="22"/>
        </w:rPr>
      </w:pPr>
      <w:del w:id="19331" w:author="AbbVie14" w:date="2025-05-09T11:01:00Z">
        <w:r w:rsidRPr="00295E71">
          <w:rPr>
            <w:sz w:val="22"/>
            <w:szCs w:val="22"/>
          </w:rPr>
          <w:delText>infiammazione degli occhi;</w:delText>
        </w:r>
      </w:del>
    </w:p>
    <w:p w:rsidR="006224C2" w:rsidRPr="00295E71" w14:paraId="2A7E144B" w14:textId="77777777">
      <w:pPr>
        <w:numPr>
          <w:ilvl w:val="0"/>
          <w:numId w:val="14"/>
        </w:numPr>
        <w:tabs>
          <w:tab w:val="num" w:pos="540"/>
          <w:tab w:val="left" w:pos="567"/>
          <w:tab w:val="left" w:pos="993"/>
        </w:tabs>
        <w:ind w:left="567" w:hanging="567"/>
        <w:jc w:val="both"/>
        <w:rPr>
          <w:del w:id="19332" w:author="AbbVie14" w:date="2025-05-09T11:01:00Z"/>
          <w:sz w:val="22"/>
          <w:szCs w:val="22"/>
        </w:rPr>
      </w:pPr>
      <w:del w:id="19333" w:author="AbbVie14" w:date="2025-05-09T11:01:00Z">
        <w:r w:rsidRPr="00295E71">
          <w:rPr>
            <w:sz w:val="22"/>
            <w:szCs w:val="22"/>
          </w:rPr>
          <w:delText>infiammazione delle palpebre e tumefazione degli occhi;</w:delText>
        </w:r>
      </w:del>
    </w:p>
    <w:p w:rsidR="006224C2" w:rsidRPr="00295E71" w14:paraId="41DD4BCD" w14:textId="77777777">
      <w:pPr>
        <w:numPr>
          <w:ilvl w:val="0"/>
          <w:numId w:val="14"/>
        </w:numPr>
        <w:tabs>
          <w:tab w:val="num" w:pos="540"/>
          <w:tab w:val="left" w:pos="567"/>
          <w:tab w:val="left" w:pos="993"/>
        </w:tabs>
        <w:ind w:left="567" w:hanging="567"/>
        <w:jc w:val="both"/>
        <w:rPr>
          <w:del w:id="19334" w:author="AbbVie14" w:date="2025-05-09T11:01:00Z"/>
          <w:sz w:val="22"/>
          <w:szCs w:val="22"/>
        </w:rPr>
      </w:pPr>
      <w:del w:id="19335" w:author="AbbVie14" w:date="2025-05-09T11:01:00Z">
        <w:r w:rsidRPr="00295E71">
          <w:rPr>
            <w:sz w:val="22"/>
            <w:szCs w:val="22"/>
          </w:rPr>
          <w:delText>vertigini;</w:delText>
        </w:r>
      </w:del>
    </w:p>
    <w:p w:rsidR="006224C2" w:rsidRPr="00295E71" w14:paraId="61B1C70B" w14:textId="77777777">
      <w:pPr>
        <w:numPr>
          <w:ilvl w:val="0"/>
          <w:numId w:val="14"/>
        </w:numPr>
        <w:tabs>
          <w:tab w:val="num" w:pos="540"/>
          <w:tab w:val="left" w:pos="567"/>
          <w:tab w:val="left" w:pos="993"/>
        </w:tabs>
        <w:ind w:left="567" w:hanging="567"/>
        <w:jc w:val="both"/>
        <w:rPr>
          <w:del w:id="19336" w:author="AbbVie14" w:date="2025-05-09T11:01:00Z"/>
          <w:sz w:val="22"/>
          <w:szCs w:val="22"/>
        </w:rPr>
      </w:pPr>
      <w:del w:id="19337" w:author="AbbVie14" w:date="2025-05-09T11:01:00Z">
        <w:r w:rsidRPr="00295E71">
          <w:rPr>
            <w:sz w:val="22"/>
            <w:szCs w:val="22"/>
          </w:rPr>
          <w:delText>sensazione di battito cardiaco accelerato;</w:delText>
        </w:r>
      </w:del>
    </w:p>
    <w:p w:rsidR="006224C2" w:rsidRPr="00295E71" w14:paraId="7C2DED73" w14:textId="77777777">
      <w:pPr>
        <w:numPr>
          <w:ilvl w:val="0"/>
          <w:numId w:val="14"/>
        </w:numPr>
        <w:tabs>
          <w:tab w:val="num" w:pos="540"/>
          <w:tab w:val="left" w:pos="567"/>
          <w:tab w:val="left" w:pos="993"/>
        </w:tabs>
        <w:ind w:left="567" w:hanging="567"/>
        <w:jc w:val="both"/>
        <w:rPr>
          <w:del w:id="19338" w:author="AbbVie14" w:date="2025-05-09T11:01:00Z"/>
          <w:sz w:val="22"/>
          <w:szCs w:val="22"/>
        </w:rPr>
      </w:pPr>
      <w:del w:id="19339" w:author="AbbVie14" w:date="2025-05-09T11:01:00Z">
        <w:r w:rsidRPr="00295E71">
          <w:rPr>
            <w:sz w:val="22"/>
            <w:szCs w:val="22"/>
          </w:rPr>
          <w:delText>pressione del sangue elevata</w:delText>
        </w:r>
      </w:del>
      <w:del w:id="19340" w:author="AbbVie14" w:date="2025-05-09T11:01:00Z">
        <w:r w:rsidRPr="00295E71" w:rsidR="00226BC4">
          <w:rPr>
            <w:sz w:val="22"/>
            <w:szCs w:val="22"/>
          </w:rPr>
          <w:delText>;</w:delText>
        </w:r>
      </w:del>
    </w:p>
    <w:p w:rsidR="006224C2" w:rsidRPr="00295E71" w14:paraId="08FB49AB" w14:textId="77777777">
      <w:pPr>
        <w:numPr>
          <w:ilvl w:val="0"/>
          <w:numId w:val="14"/>
        </w:numPr>
        <w:tabs>
          <w:tab w:val="num" w:pos="540"/>
          <w:tab w:val="left" w:pos="567"/>
          <w:tab w:val="left" w:pos="993"/>
        </w:tabs>
        <w:ind w:left="567" w:hanging="567"/>
        <w:jc w:val="both"/>
        <w:rPr>
          <w:del w:id="19341" w:author="AbbVie14" w:date="2025-05-09T11:01:00Z"/>
          <w:sz w:val="22"/>
          <w:szCs w:val="22"/>
        </w:rPr>
      </w:pPr>
      <w:del w:id="19342" w:author="AbbVie14" w:date="2025-05-09T11:01:00Z">
        <w:r w:rsidRPr="00295E71">
          <w:rPr>
            <w:sz w:val="22"/>
            <w:szCs w:val="22"/>
          </w:rPr>
          <w:delText>vampate;</w:delText>
        </w:r>
      </w:del>
    </w:p>
    <w:p w:rsidR="006224C2" w:rsidRPr="00295E71" w14:paraId="2B45E663" w14:textId="77777777">
      <w:pPr>
        <w:numPr>
          <w:ilvl w:val="0"/>
          <w:numId w:val="14"/>
        </w:numPr>
        <w:tabs>
          <w:tab w:val="num" w:pos="540"/>
          <w:tab w:val="left" w:pos="567"/>
          <w:tab w:val="left" w:pos="993"/>
        </w:tabs>
        <w:ind w:left="567" w:hanging="567"/>
        <w:jc w:val="both"/>
        <w:rPr>
          <w:del w:id="19343" w:author="AbbVie14" w:date="2025-05-09T11:01:00Z"/>
          <w:sz w:val="22"/>
          <w:szCs w:val="22"/>
        </w:rPr>
      </w:pPr>
      <w:del w:id="19344" w:author="AbbVie14" w:date="2025-05-09T11:01:00Z">
        <w:r w:rsidRPr="00295E71">
          <w:rPr>
            <w:sz w:val="22"/>
            <w:szCs w:val="22"/>
          </w:rPr>
          <w:delText>ematoma;</w:delText>
        </w:r>
      </w:del>
    </w:p>
    <w:p w:rsidR="006224C2" w:rsidRPr="00295E71" w14:paraId="33A41F76" w14:textId="77777777">
      <w:pPr>
        <w:numPr>
          <w:ilvl w:val="0"/>
          <w:numId w:val="14"/>
        </w:numPr>
        <w:tabs>
          <w:tab w:val="num" w:pos="540"/>
          <w:tab w:val="left" w:pos="567"/>
          <w:tab w:val="left" w:pos="993"/>
        </w:tabs>
        <w:ind w:left="567" w:hanging="567"/>
        <w:jc w:val="both"/>
        <w:rPr>
          <w:del w:id="19345" w:author="AbbVie14" w:date="2025-05-09T11:01:00Z"/>
          <w:sz w:val="22"/>
          <w:szCs w:val="22"/>
        </w:rPr>
      </w:pPr>
      <w:del w:id="19346" w:author="AbbVie14" w:date="2025-05-09T11:01:00Z">
        <w:r w:rsidRPr="00295E71">
          <w:rPr>
            <w:sz w:val="22"/>
            <w:szCs w:val="22"/>
          </w:rPr>
          <w:delText>tosse;</w:delText>
        </w:r>
      </w:del>
    </w:p>
    <w:p w:rsidR="006224C2" w:rsidRPr="00295E71" w14:paraId="3A57ADE3" w14:textId="77777777">
      <w:pPr>
        <w:numPr>
          <w:ilvl w:val="0"/>
          <w:numId w:val="14"/>
        </w:numPr>
        <w:tabs>
          <w:tab w:val="num" w:pos="540"/>
          <w:tab w:val="left" w:pos="567"/>
          <w:tab w:val="left" w:pos="993"/>
        </w:tabs>
        <w:ind w:left="567" w:hanging="567"/>
        <w:jc w:val="both"/>
        <w:rPr>
          <w:del w:id="19347" w:author="AbbVie14" w:date="2025-05-09T11:01:00Z"/>
          <w:sz w:val="22"/>
          <w:szCs w:val="22"/>
        </w:rPr>
      </w:pPr>
      <w:del w:id="19348" w:author="AbbVie14" w:date="2025-05-09T11:01:00Z">
        <w:r w:rsidRPr="00295E71">
          <w:rPr>
            <w:sz w:val="22"/>
            <w:szCs w:val="22"/>
          </w:rPr>
          <w:delText>asma;</w:delText>
        </w:r>
      </w:del>
    </w:p>
    <w:p w:rsidR="006224C2" w:rsidRPr="00295E71" w14:paraId="50B6A3E6" w14:textId="77777777">
      <w:pPr>
        <w:numPr>
          <w:ilvl w:val="0"/>
          <w:numId w:val="14"/>
        </w:numPr>
        <w:tabs>
          <w:tab w:val="num" w:pos="540"/>
          <w:tab w:val="left" w:pos="567"/>
          <w:tab w:val="left" w:pos="993"/>
        </w:tabs>
        <w:ind w:left="567" w:hanging="567"/>
        <w:jc w:val="both"/>
        <w:rPr>
          <w:del w:id="19349" w:author="AbbVie14" w:date="2025-05-09T11:01:00Z"/>
          <w:sz w:val="22"/>
          <w:szCs w:val="22"/>
        </w:rPr>
      </w:pPr>
      <w:del w:id="19350" w:author="AbbVie14" w:date="2025-05-09T11:01:00Z">
        <w:r w:rsidRPr="00295E71">
          <w:rPr>
            <w:sz w:val="22"/>
            <w:szCs w:val="22"/>
          </w:rPr>
          <w:delText>fiato corto;</w:delText>
        </w:r>
      </w:del>
    </w:p>
    <w:p w:rsidR="006224C2" w:rsidRPr="00295E71" w14:paraId="09BA7E82" w14:textId="77777777">
      <w:pPr>
        <w:numPr>
          <w:ilvl w:val="0"/>
          <w:numId w:val="14"/>
        </w:numPr>
        <w:tabs>
          <w:tab w:val="num" w:pos="540"/>
          <w:tab w:val="left" w:pos="567"/>
          <w:tab w:val="left" w:pos="993"/>
        </w:tabs>
        <w:ind w:left="567" w:hanging="567"/>
        <w:jc w:val="both"/>
        <w:rPr>
          <w:del w:id="19351" w:author="AbbVie14" w:date="2025-05-09T11:01:00Z"/>
          <w:sz w:val="22"/>
          <w:szCs w:val="22"/>
        </w:rPr>
      </w:pPr>
      <w:del w:id="19352" w:author="AbbVie14" w:date="2025-05-09T11:01:00Z">
        <w:r w:rsidRPr="00295E71">
          <w:rPr>
            <w:sz w:val="22"/>
            <w:szCs w:val="22"/>
          </w:rPr>
          <w:delText>sanguinamento gastrointestinale;</w:delText>
        </w:r>
      </w:del>
    </w:p>
    <w:p w:rsidR="006224C2" w:rsidRPr="00295E71" w14:paraId="5293ED6F" w14:textId="77777777">
      <w:pPr>
        <w:numPr>
          <w:ilvl w:val="0"/>
          <w:numId w:val="14"/>
        </w:numPr>
        <w:tabs>
          <w:tab w:val="num" w:pos="540"/>
          <w:tab w:val="left" w:pos="567"/>
          <w:tab w:val="left" w:pos="993"/>
        </w:tabs>
        <w:ind w:left="567" w:hanging="567"/>
        <w:jc w:val="both"/>
        <w:rPr>
          <w:del w:id="19353" w:author="AbbVie14" w:date="2025-05-09T11:01:00Z"/>
          <w:sz w:val="22"/>
          <w:szCs w:val="22"/>
        </w:rPr>
      </w:pPr>
      <w:del w:id="19354" w:author="AbbVie14" w:date="2025-05-09T11:01:00Z">
        <w:r w:rsidRPr="00295E71">
          <w:rPr>
            <w:sz w:val="22"/>
            <w:szCs w:val="22"/>
          </w:rPr>
          <w:delText>dispepsia (indigestione, gonfiore, bruciore di stomaco);</w:delText>
        </w:r>
      </w:del>
    </w:p>
    <w:p w:rsidR="006224C2" w:rsidRPr="00295E71" w14:paraId="10089B9C" w14:textId="77777777">
      <w:pPr>
        <w:numPr>
          <w:ilvl w:val="0"/>
          <w:numId w:val="14"/>
        </w:numPr>
        <w:tabs>
          <w:tab w:val="num" w:pos="540"/>
          <w:tab w:val="left" w:pos="567"/>
          <w:tab w:val="left" w:pos="993"/>
        </w:tabs>
        <w:ind w:left="567" w:hanging="567"/>
        <w:jc w:val="both"/>
        <w:rPr>
          <w:del w:id="19355" w:author="AbbVie14" w:date="2025-05-09T11:01:00Z"/>
          <w:sz w:val="22"/>
          <w:szCs w:val="22"/>
        </w:rPr>
      </w:pPr>
      <w:del w:id="19356" w:author="AbbVie14" w:date="2025-05-09T11:01:00Z">
        <w:r w:rsidRPr="00295E71">
          <w:rPr>
            <w:sz w:val="22"/>
            <w:szCs w:val="22"/>
          </w:rPr>
          <w:delText>disturbo da reflusso acido;</w:delText>
        </w:r>
      </w:del>
    </w:p>
    <w:p w:rsidR="006224C2" w:rsidRPr="00295E71" w14:paraId="354672CF" w14:textId="77777777">
      <w:pPr>
        <w:numPr>
          <w:ilvl w:val="0"/>
          <w:numId w:val="14"/>
        </w:numPr>
        <w:tabs>
          <w:tab w:val="num" w:pos="540"/>
          <w:tab w:val="left" w:pos="567"/>
          <w:tab w:val="left" w:pos="993"/>
        </w:tabs>
        <w:ind w:left="567" w:hanging="567"/>
        <w:jc w:val="both"/>
        <w:rPr>
          <w:del w:id="19357" w:author="AbbVie14" w:date="2025-05-09T11:01:00Z"/>
          <w:sz w:val="22"/>
          <w:szCs w:val="22"/>
        </w:rPr>
      </w:pPr>
      <w:del w:id="19358" w:author="AbbVie14" w:date="2025-05-09T11:01:00Z">
        <w:r w:rsidRPr="00295E71">
          <w:rPr>
            <w:sz w:val="22"/>
            <w:szCs w:val="22"/>
          </w:rPr>
          <w:delText>sindrome sicca (tra cui secchezza degli occhi e bocca delle fauci);</w:delText>
        </w:r>
      </w:del>
    </w:p>
    <w:p w:rsidR="006224C2" w:rsidRPr="00295E71" w14:paraId="6AAF3F72" w14:textId="77777777">
      <w:pPr>
        <w:numPr>
          <w:ilvl w:val="0"/>
          <w:numId w:val="14"/>
        </w:numPr>
        <w:tabs>
          <w:tab w:val="num" w:pos="540"/>
          <w:tab w:val="left" w:pos="567"/>
          <w:tab w:val="left" w:pos="993"/>
        </w:tabs>
        <w:ind w:left="567" w:hanging="567"/>
        <w:jc w:val="both"/>
        <w:rPr>
          <w:del w:id="19359" w:author="AbbVie14" w:date="2025-05-09T11:01:00Z"/>
          <w:sz w:val="22"/>
          <w:szCs w:val="22"/>
        </w:rPr>
      </w:pPr>
      <w:del w:id="19360" w:author="AbbVie14" w:date="2025-05-09T11:01:00Z">
        <w:r w:rsidRPr="00295E71">
          <w:rPr>
            <w:sz w:val="22"/>
            <w:szCs w:val="22"/>
          </w:rPr>
          <w:delText>prurito;</w:delText>
        </w:r>
      </w:del>
    </w:p>
    <w:p w:rsidR="006224C2" w:rsidRPr="00295E71" w14:paraId="6021E6DB" w14:textId="77777777">
      <w:pPr>
        <w:numPr>
          <w:ilvl w:val="0"/>
          <w:numId w:val="14"/>
        </w:numPr>
        <w:tabs>
          <w:tab w:val="num" w:pos="540"/>
          <w:tab w:val="left" w:pos="567"/>
          <w:tab w:val="left" w:pos="993"/>
        </w:tabs>
        <w:ind w:left="567" w:hanging="567"/>
        <w:jc w:val="both"/>
        <w:rPr>
          <w:del w:id="19361" w:author="AbbVie14" w:date="2025-05-09T11:01:00Z"/>
          <w:sz w:val="22"/>
          <w:szCs w:val="22"/>
        </w:rPr>
      </w:pPr>
      <w:del w:id="19362" w:author="AbbVie14" w:date="2025-05-09T11:01:00Z">
        <w:r w:rsidRPr="00295E71">
          <w:rPr>
            <w:sz w:val="22"/>
            <w:szCs w:val="22"/>
          </w:rPr>
          <w:delText>eruzione cutanea pruriginosa;</w:delText>
        </w:r>
      </w:del>
    </w:p>
    <w:p w:rsidR="006224C2" w:rsidRPr="00295E71" w14:paraId="0FA255B9" w14:textId="77777777">
      <w:pPr>
        <w:numPr>
          <w:ilvl w:val="0"/>
          <w:numId w:val="14"/>
        </w:numPr>
        <w:tabs>
          <w:tab w:val="num" w:pos="540"/>
          <w:tab w:val="left" w:pos="567"/>
          <w:tab w:val="left" w:pos="993"/>
        </w:tabs>
        <w:ind w:left="567" w:hanging="567"/>
        <w:jc w:val="both"/>
        <w:rPr>
          <w:del w:id="19363" w:author="AbbVie14" w:date="2025-05-09T11:01:00Z"/>
          <w:sz w:val="22"/>
          <w:szCs w:val="22"/>
        </w:rPr>
      </w:pPr>
      <w:del w:id="19364" w:author="AbbVie14" w:date="2025-05-09T11:01:00Z">
        <w:r w:rsidRPr="00295E71">
          <w:rPr>
            <w:sz w:val="22"/>
            <w:szCs w:val="22"/>
          </w:rPr>
          <w:delText>contusione;</w:delText>
        </w:r>
      </w:del>
    </w:p>
    <w:p w:rsidR="006224C2" w:rsidRPr="00295E71" w14:paraId="61BF5ED7" w14:textId="77777777">
      <w:pPr>
        <w:numPr>
          <w:ilvl w:val="0"/>
          <w:numId w:val="14"/>
        </w:numPr>
        <w:tabs>
          <w:tab w:val="num" w:pos="540"/>
          <w:tab w:val="left" w:pos="567"/>
          <w:tab w:val="left" w:pos="993"/>
        </w:tabs>
        <w:ind w:left="567" w:hanging="567"/>
        <w:jc w:val="both"/>
        <w:rPr>
          <w:del w:id="19365" w:author="AbbVie14" w:date="2025-05-09T11:01:00Z"/>
          <w:sz w:val="22"/>
          <w:szCs w:val="22"/>
        </w:rPr>
      </w:pPr>
      <w:del w:id="19366" w:author="AbbVie14" w:date="2025-05-09T11:01:00Z">
        <w:r w:rsidRPr="00295E71">
          <w:rPr>
            <w:sz w:val="22"/>
            <w:szCs w:val="22"/>
          </w:rPr>
          <w:delText>infiammazione della pelle (come eczema);</w:delText>
        </w:r>
      </w:del>
    </w:p>
    <w:p w:rsidR="006224C2" w:rsidRPr="00295E71" w14:paraId="05A646A2" w14:textId="77777777">
      <w:pPr>
        <w:numPr>
          <w:ilvl w:val="0"/>
          <w:numId w:val="14"/>
        </w:numPr>
        <w:tabs>
          <w:tab w:val="num" w:pos="540"/>
          <w:tab w:val="left" w:pos="567"/>
          <w:tab w:val="left" w:pos="993"/>
        </w:tabs>
        <w:ind w:left="567" w:hanging="567"/>
        <w:jc w:val="both"/>
        <w:rPr>
          <w:del w:id="19367" w:author="AbbVie14" w:date="2025-05-09T11:01:00Z"/>
          <w:sz w:val="22"/>
          <w:szCs w:val="22"/>
        </w:rPr>
      </w:pPr>
      <w:del w:id="19368" w:author="AbbVie14" w:date="2025-05-09T11:01:00Z">
        <w:r w:rsidRPr="00295E71">
          <w:rPr>
            <w:sz w:val="22"/>
            <w:szCs w:val="22"/>
          </w:rPr>
          <w:delText>rottura delle unghie delle dita della mano e del piede;</w:delText>
        </w:r>
      </w:del>
    </w:p>
    <w:p w:rsidR="006224C2" w:rsidRPr="00295E71" w14:paraId="56F0773D" w14:textId="77777777">
      <w:pPr>
        <w:numPr>
          <w:ilvl w:val="0"/>
          <w:numId w:val="14"/>
        </w:numPr>
        <w:tabs>
          <w:tab w:val="num" w:pos="540"/>
          <w:tab w:val="left" w:pos="567"/>
          <w:tab w:val="left" w:pos="993"/>
        </w:tabs>
        <w:ind w:left="567" w:hanging="567"/>
        <w:jc w:val="both"/>
        <w:rPr>
          <w:del w:id="19369" w:author="AbbVie14" w:date="2025-05-09T11:01:00Z"/>
          <w:sz w:val="22"/>
          <w:szCs w:val="22"/>
        </w:rPr>
      </w:pPr>
      <w:del w:id="19370" w:author="AbbVie14" w:date="2025-05-09T11:01:00Z">
        <w:r w:rsidRPr="00295E71">
          <w:rPr>
            <w:sz w:val="22"/>
            <w:szCs w:val="22"/>
          </w:rPr>
          <w:delText>aumento della sudorazione;</w:delText>
        </w:r>
      </w:del>
    </w:p>
    <w:p w:rsidR="006224C2" w:rsidRPr="00295E71" w14:paraId="621B3673" w14:textId="77777777">
      <w:pPr>
        <w:numPr>
          <w:ilvl w:val="0"/>
          <w:numId w:val="14"/>
        </w:numPr>
        <w:tabs>
          <w:tab w:val="num" w:pos="540"/>
          <w:tab w:val="left" w:pos="567"/>
          <w:tab w:val="left" w:pos="993"/>
        </w:tabs>
        <w:ind w:left="567" w:hanging="567"/>
        <w:jc w:val="both"/>
        <w:rPr>
          <w:del w:id="19371" w:author="AbbVie14" w:date="2025-05-09T11:01:00Z"/>
          <w:sz w:val="22"/>
          <w:szCs w:val="22"/>
        </w:rPr>
      </w:pPr>
      <w:del w:id="19372" w:author="AbbVie14" w:date="2025-05-09T11:01:00Z">
        <w:r w:rsidRPr="00295E71">
          <w:rPr>
            <w:sz w:val="22"/>
            <w:szCs w:val="22"/>
          </w:rPr>
          <w:delText>perdita di capelli;</w:delText>
        </w:r>
      </w:del>
    </w:p>
    <w:p w:rsidR="006224C2" w:rsidRPr="00295E71" w14:paraId="4904CB12" w14:textId="77777777">
      <w:pPr>
        <w:numPr>
          <w:ilvl w:val="0"/>
          <w:numId w:val="14"/>
        </w:numPr>
        <w:tabs>
          <w:tab w:val="num" w:pos="540"/>
          <w:tab w:val="left" w:pos="567"/>
          <w:tab w:val="left" w:pos="993"/>
        </w:tabs>
        <w:ind w:left="567" w:hanging="567"/>
        <w:jc w:val="both"/>
        <w:rPr>
          <w:del w:id="19373" w:author="AbbVie14" w:date="2025-05-09T11:01:00Z"/>
          <w:sz w:val="22"/>
          <w:szCs w:val="22"/>
        </w:rPr>
      </w:pPr>
      <w:del w:id="19374" w:author="AbbVie14" w:date="2025-05-09T11:01:00Z">
        <w:r w:rsidRPr="00295E71">
          <w:rPr>
            <w:sz w:val="22"/>
            <w:szCs w:val="22"/>
          </w:rPr>
          <w:delText>insorgenza o peggioramento della psoriasi;</w:delText>
        </w:r>
      </w:del>
    </w:p>
    <w:p w:rsidR="006224C2" w:rsidRPr="00295E71" w14:paraId="57EF3D97" w14:textId="77777777">
      <w:pPr>
        <w:numPr>
          <w:ilvl w:val="0"/>
          <w:numId w:val="14"/>
        </w:numPr>
        <w:tabs>
          <w:tab w:val="num" w:pos="540"/>
          <w:tab w:val="left" w:pos="567"/>
          <w:tab w:val="left" w:pos="993"/>
        </w:tabs>
        <w:ind w:left="567" w:hanging="567"/>
        <w:jc w:val="both"/>
        <w:rPr>
          <w:del w:id="19375" w:author="AbbVie14" w:date="2025-05-09T11:01:00Z"/>
          <w:sz w:val="22"/>
          <w:szCs w:val="22"/>
        </w:rPr>
      </w:pPr>
      <w:del w:id="19376" w:author="AbbVie14" w:date="2025-05-09T11:01:00Z">
        <w:r w:rsidRPr="00295E71">
          <w:rPr>
            <w:sz w:val="22"/>
            <w:szCs w:val="22"/>
          </w:rPr>
          <w:delText>spasmi muscolari;</w:delText>
        </w:r>
      </w:del>
    </w:p>
    <w:p w:rsidR="006224C2" w:rsidRPr="00295E71" w14:paraId="101AB1B6" w14:textId="77777777">
      <w:pPr>
        <w:numPr>
          <w:ilvl w:val="0"/>
          <w:numId w:val="14"/>
        </w:numPr>
        <w:tabs>
          <w:tab w:val="num" w:pos="540"/>
          <w:tab w:val="left" w:pos="567"/>
          <w:tab w:val="left" w:pos="993"/>
        </w:tabs>
        <w:ind w:left="567" w:hanging="567"/>
        <w:jc w:val="both"/>
        <w:rPr>
          <w:del w:id="19377" w:author="AbbVie14" w:date="2025-05-09T11:01:00Z"/>
          <w:sz w:val="22"/>
          <w:szCs w:val="22"/>
        </w:rPr>
      </w:pPr>
      <w:del w:id="19378" w:author="AbbVie14" w:date="2025-05-09T11:01:00Z">
        <w:r w:rsidRPr="00295E71">
          <w:rPr>
            <w:sz w:val="22"/>
            <w:szCs w:val="22"/>
          </w:rPr>
          <w:delText>sangue nelle urine;</w:delText>
        </w:r>
      </w:del>
    </w:p>
    <w:p w:rsidR="006224C2" w:rsidRPr="00295E71" w14:paraId="6B203D26" w14:textId="77777777">
      <w:pPr>
        <w:numPr>
          <w:ilvl w:val="0"/>
          <w:numId w:val="14"/>
        </w:numPr>
        <w:tabs>
          <w:tab w:val="num" w:pos="540"/>
          <w:tab w:val="left" w:pos="567"/>
          <w:tab w:val="left" w:pos="993"/>
        </w:tabs>
        <w:ind w:left="567" w:hanging="567"/>
        <w:jc w:val="both"/>
        <w:rPr>
          <w:del w:id="19379" w:author="AbbVie14" w:date="2025-05-09T11:01:00Z"/>
          <w:sz w:val="22"/>
          <w:szCs w:val="22"/>
        </w:rPr>
      </w:pPr>
      <w:del w:id="19380" w:author="AbbVie14" w:date="2025-05-09T11:01:00Z">
        <w:r w:rsidRPr="00295E71">
          <w:rPr>
            <w:sz w:val="22"/>
            <w:szCs w:val="22"/>
          </w:rPr>
          <w:delText>problemi renali;</w:delText>
        </w:r>
      </w:del>
    </w:p>
    <w:p w:rsidR="006224C2" w:rsidRPr="00295E71" w14:paraId="4ED6D72F" w14:textId="77777777">
      <w:pPr>
        <w:numPr>
          <w:ilvl w:val="0"/>
          <w:numId w:val="14"/>
        </w:numPr>
        <w:tabs>
          <w:tab w:val="num" w:pos="540"/>
          <w:tab w:val="left" w:pos="567"/>
          <w:tab w:val="left" w:pos="993"/>
        </w:tabs>
        <w:ind w:left="567" w:hanging="567"/>
        <w:jc w:val="both"/>
        <w:rPr>
          <w:del w:id="19381" w:author="AbbVie14" w:date="2025-05-09T11:01:00Z"/>
          <w:sz w:val="22"/>
          <w:szCs w:val="22"/>
        </w:rPr>
      </w:pPr>
      <w:del w:id="19382" w:author="AbbVie14" w:date="2025-05-09T11:01:00Z">
        <w:r w:rsidRPr="00295E71">
          <w:rPr>
            <w:sz w:val="22"/>
            <w:szCs w:val="22"/>
          </w:rPr>
          <w:delText>dolore toracico;</w:delText>
        </w:r>
      </w:del>
    </w:p>
    <w:p w:rsidR="006224C2" w:rsidRPr="00295E71" w14:paraId="230A13FF" w14:textId="77777777">
      <w:pPr>
        <w:numPr>
          <w:ilvl w:val="0"/>
          <w:numId w:val="14"/>
        </w:numPr>
        <w:tabs>
          <w:tab w:val="num" w:pos="540"/>
          <w:tab w:val="left" w:pos="567"/>
          <w:tab w:val="left" w:pos="993"/>
        </w:tabs>
        <w:ind w:left="567" w:hanging="567"/>
        <w:jc w:val="both"/>
        <w:rPr>
          <w:del w:id="19383" w:author="AbbVie14" w:date="2025-05-09T11:01:00Z"/>
          <w:sz w:val="22"/>
          <w:szCs w:val="22"/>
        </w:rPr>
      </w:pPr>
      <w:del w:id="19384" w:author="AbbVie14" w:date="2025-05-09T11:01:00Z">
        <w:r w:rsidRPr="00295E71">
          <w:rPr>
            <w:sz w:val="22"/>
            <w:szCs w:val="22"/>
          </w:rPr>
          <w:delText>edema;</w:delText>
        </w:r>
      </w:del>
    </w:p>
    <w:p w:rsidR="006224C2" w:rsidRPr="00295E71" w14:paraId="54ADE305" w14:textId="77777777">
      <w:pPr>
        <w:numPr>
          <w:ilvl w:val="0"/>
          <w:numId w:val="14"/>
        </w:numPr>
        <w:tabs>
          <w:tab w:val="num" w:pos="540"/>
          <w:tab w:val="left" w:pos="567"/>
          <w:tab w:val="left" w:pos="993"/>
        </w:tabs>
        <w:ind w:left="567" w:hanging="567"/>
        <w:jc w:val="both"/>
        <w:rPr>
          <w:del w:id="19385" w:author="AbbVie14" w:date="2025-05-09T11:01:00Z"/>
          <w:sz w:val="22"/>
          <w:szCs w:val="22"/>
        </w:rPr>
      </w:pPr>
      <w:del w:id="19386" w:author="AbbVie14" w:date="2025-05-09T11:01:00Z">
        <w:r w:rsidRPr="00295E71">
          <w:rPr>
            <w:sz w:val="22"/>
            <w:szCs w:val="22"/>
          </w:rPr>
          <w:delText>febbre;</w:delText>
        </w:r>
      </w:del>
    </w:p>
    <w:p w:rsidR="006224C2" w:rsidRPr="00295E71" w14:paraId="2DEB184D" w14:textId="77777777">
      <w:pPr>
        <w:numPr>
          <w:ilvl w:val="0"/>
          <w:numId w:val="14"/>
        </w:numPr>
        <w:tabs>
          <w:tab w:val="num" w:pos="540"/>
          <w:tab w:val="left" w:pos="567"/>
          <w:tab w:val="left" w:pos="993"/>
        </w:tabs>
        <w:ind w:left="567" w:hanging="567"/>
        <w:jc w:val="both"/>
        <w:rPr>
          <w:del w:id="19387" w:author="AbbVie14" w:date="2025-05-09T11:01:00Z"/>
          <w:sz w:val="22"/>
          <w:szCs w:val="22"/>
        </w:rPr>
      </w:pPr>
      <w:del w:id="19388" w:author="AbbVie14" w:date="2025-05-09T11:01:00Z">
        <w:r w:rsidRPr="00295E71">
          <w:rPr>
            <w:sz w:val="22"/>
            <w:szCs w:val="22"/>
          </w:rPr>
          <w:delText>riduzione delle piastrine nel sangue che aumenta il rischio di emorragia o di contusioni;</w:delText>
        </w:r>
      </w:del>
    </w:p>
    <w:p w:rsidR="006224C2" w:rsidRPr="00295E71" w14:paraId="2F100183" w14:textId="77777777">
      <w:pPr>
        <w:numPr>
          <w:ilvl w:val="0"/>
          <w:numId w:val="14"/>
        </w:numPr>
        <w:tabs>
          <w:tab w:val="num" w:pos="540"/>
          <w:tab w:val="left" w:pos="567"/>
          <w:tab w:val="left" w:pos="993"/>
        </w:tabs>
        <w:ind w:left="567" w:hanging="567"/>
        <w:jc w:val="both"/>
        <w:rPr>
          <w:del w:id="19389" w:author="AbbVie14" w:date="2025-05-09T11:01:00Z"/>
          <w:sz w:val="22"/>
          <w:szCs w:val="22"/>
        </w:rPr>
      </w:pPr>
      <w:del w:id="19390" w:author="AbbVie14" w:date="2025-05-09T11:01:00Z">
        <w:r w:rsidRPr="00295E71">
          <w:rPr>
            <w:sz w:val="22"/>
            <w:szCs w:val="22"/>
          </w:rPr>
          <w:delText>difficoltà di cicatrizzazione.</w:delText>
        </w:r>
      </w:del>
    </w:p>
    <w:p w:rsidR="006224C2" w:rsidRPr="00295E71" w14:paraId="1416D9A1" w14:textId="77777777">
      <w:pPr>
        <w:pStyle w:val="EndnoteText"/>
        <w:jc w:val="both"/>
        <w:rPr>
          <w:del w:id="19391" w:author="AbbVie14" w:date="2025-05-09T11:01:00Z"/>
          <w:lang w:val="it-IT" w:eastAsia="it-IT"/>
        </w:rPr>
      </w:pPr>
    </w:p>
    <w:p w:rsidR="006224C2" w:rsidRPr="00295E71" w14:paraId="4BA7C390" w14:textId="77777777">
      <w:pPr>
        <w:tabs>
          <w:tab w:val="left" w:pos="567"/>
        </w:tabs>
        <w:jc w:val="both"/>
        <w:rPr>
          <w:del w:id="19392" w:author="AbbVie14" w:date="2025-05-09T11:01:00Z"/>
          <w:sz w:val="22"/>
          <w:szCs w:val="22"/>
        </w:rPr>
      </w:pPr>
      <w:del w:id="19393" w:author="AbbVie14" w:date="2025-05-09T11:01:00Z">
        <w:r w:rsidRPr="00295E71">
          <w:rPr>
            <w:sz w:val="22"/>
            <w:szCs w:val="22"/>
          </w:rPr>
          <w:delText xml:space="preserve">Non comuni (possono manifestarsi fino a 1 persona su 100) </w:delText>
        </w:r>
      </w:del>
    </w:p>
    <w:p w:rsidR="006224C2" w:rsidRPr="00295E71" w14:paraId="7E064F7D" w14:textId="77777777">
      <w:pPr>
        <w:tabs>
          <w:tab w:val="left" w:pos="567"/>
        </w:tabs>
        <w:jc w:val="both"/>
        <w:rPr>
          <w:del w:id="19394" w:author="AbbVie14" w:date="2025-05-09T11:01:00Z"/>
          <w:sz w:val="22"/>
          <w:szCs w:val="22"/>
        </w:rPr>
      </w:pPr>
    </w:p>
    <w:p w:rsidR="006224C2" w:rsidRPr="00295E71" w14:paraId="532468FE" w14:textId="77777777">
      <w:pPr>
        <w:numPr>
          <w:ilvl w:val="0"/>
          <w:numId w:val="14"/>
        </w:numPr>
        <w:tabs>
          <w:tab w:val="num" w:pos="540"/>
          <w:tab w:val="left" w:pos="567"/>
          <w:tab w:val="left" w:pos="993"/>
        </w:tabs>
        <w:ind w:left="567" w:hanging="567"/>
        <w:jc w:val="both"/>
        <w:rPr>
          <w:del w:id="19395" w:author="AbbVie14" w:date="2025-05-09T11:01:00Z"/>
          <w:sz w:val="22"/>
          <w:szCs w:val="22"/>
        </w:rPr>
      </w:pPr>
      <w:del w:id="19396" w:author="AbbVie14" w:date="2025-05-09T11:01:00Z">
        <w:r w:rsidRPr="00295E71">
          <w:rPr>
            <w:sz w:val="22"/>
            <w:szCs w:val="22"/>
          </w:rPr>
          <w:delText>infezioni opportunistiche (che includono la tubercolosi ed altre infezioni che si verificano quando si riducono le difese immunitarie);</w:delText>
        </w:r>
      </w:del>
    </w:p>
    <w:p w:rsidR="006224C2" w:rsidRPr="00295E71" w14:paraId="36DCB868" w14:textId="77777777">
      <w:pPr>
        <w:numPr>
          <w:ilvl w:val="0"/>
          <w:numId w:val="14"/>
        </w:numPr>
        <w:tabs>
          <w:tab w:val="num" w:pos="540"/>
          <w:tab w:val="left" w:pos="567"/>
          <w:tab w:val="left" w:pos="993"/>
        </w:tabs>
        <w:ind w:left="567" w:hanging="567"/>
        <w:jc w:val="both"/>
        <w:rPr>
          <w:del w:id="19397" w:author="AbbVie14" w:date="2025-05-09T11:01:00Z"/>
          <w:sz w:val="22"/>
          <w:szCs w:val="22"/>
        </w:rPr>
      </w:pPr>
      <w:del w:id="19398" w:author="AbbVie14" w:date="2025-05-09T11:01:00Z">
        <w:r w:rsidRPr="00295E71">
          <w:rPr>
            <w:sz w:val="22"/>
            <w:szCs w:val="22"/>
          </w:rPr>
          <w:delText>infezioni neurologiche (tra cui la meningite virale);</w:delText>
        </w:r>
      </w:del>
    </w:p>
    <w:p w:rsidR="006224C2" w:rsidRPr="00295E71" w14:paraId="4C9B4958" w14:textId="77777777">
      <w:pPr>
        <w:numPr>
          <w:ilvl w:val="0"/>
          <w:numId w:val="14"/>
        </w:numPr>
        <w:tabs>
          <w:tab w:val="num" w:pos="540"/>
          <w:tab w:val="left" w:pos="567"/>
          <w:tab w:val="left" w:pos="993"/>
        </w:tabs>
        <w:ind w:left="567" w:hanging="567"/>
        <w:jc w:val="both"/>
        <w:rPr>
          <w:del w:id="19399" w:author="AbbVie14" w:date="2025-05-09T11:01:00Z"/>
          <w:sz w:val="22"/>
          <w:szCs w:val="22"/>
        </w:rPr>
      </w:pPr>
      <w:del w:id="19400" w:author="AbbVie14" w:date="2025-05-09T11:01:00Z">
        <w:r w:rsidRPr="00295E71">
          <w:rPr>
            <w:sz w:val="22"/>
            <w:szCs w:val="22"/>
          </w:rPr>
          <w:delText>infezioni degli occhi;</w:delText>
        </w:r>
      </w:del>
    </w:p>
    <w:p w:rsidR="006224C2" w:rsidRPr="00295E71" w14:paraId="7C598D75" w14:textId="77777777">
      <w:pPr>
        <w:numPr>
          <w:ilvl w:val="0"/>
          <w:numId w:val="14"/>
        </w:numPr>
        <w:tabs>
          <w:tab w:val="num" w:pos="540"/>
          <w:tab w:val="left" w:pos="567"/>
          <w:tab w:val="left" w:pos="993"/>
        </w:tabs>
        <w:ind w:left="567" w:hanging="567"/>
        <w:jc w:val="both"/>
        <w:rPr>
          <w:del w:id="19401" w:author="AbbVie14" w:date="2025-05-09T11:01:00Z"/>
          <w:sz w:val="22"/>
          <w:szCs w:val="22"/>
        </w:rPr>
      </w:pPr>
      <w:del w:id="19402" w:author="AbbVie14" w:date="2025-05-09T11:01:00Z">
        <w:r w:rsidRPr="00295E71">
          <w:rPr>
            <w:sz w:val="22"/>
            <w:szCs w:val="22"/>
          </w:rPr>
          <w:delText>infezioni batteriche;</w:delText>
        </w:r>
      </w:del>
    </w:p>
    <w:p w:rsidR="006224C2" w:rsidRPr="00295E71" w14:paraId="1294AF34" w14:textId="77777777">
      <w:pPr>
        <w:numPr>
          <w:ilvl w:val="0"/>
          <w:numId w:val="14"/>
        </w:numPr>
        <w:tabs>
          <w:tab w:val="num" w:pos="540"/>
          <w:tab w:val="left" w:pos="567"/>
          <w:tab w:val="left" w:pos="993"/>
        </w:tabs>
        <w:ind w:left="567" w:hanging="567"/>
        <w:jc w:val="both"/>
        <w:rPr>
          <w:del w:id="19403" w:author="AbbVie14" w:date="2025-05-09T11:01:00Z"/>
          <w:sz w:val="22"/>
          <w:szCs w:val="22"/>
        </w:rPr>
      </w:pPr>
      <w:del w:id="19404" w:author="AbbVie14" w:date="2025-05-09T11:01:00Z">
        <w:r w:rsidRPr="00295E71">
          <w:rPr>
            <w:sz w:val="22"/>
            <w:szCs w:val="22"/>
          </w:rPr>
          <w:delText>diverticolite (infiammazione e infezione dell’intestino crasso);</w:delText>
        </w:r>
      </w:del>
    </w:p>
    <w:p w:rsidR="006224C2" w:rsidRPr="00295E71" w14:paraId="6D120E5E" w14:textId="77777777">
      <w:pPr>
        <w:numPr>
          <w:ilvl w:val="0"/>
          <w:numId w:val="14"/>
        </w:numPr>
        <w:tabs>
          <w:tab w:val="num" w:pos="540"/>
          <w:tab w:val="left" w:pos="567"/>
          <w:tab w:val="left" w:pos="993"/>
        </w:tabs>
        <w:ind w:left="567" w:hanging="567"/>
        <w:jc w:val="both"/>
        <w:rPr>
          <w:del w:id="19405" w:author="AbbVie14" w:date="2025-05-09T11:01:00Z"/>
          <w:sz w:val="22"/>
          <w:szCs w:val="22"/>
        </w:rPr>
      </w:pPr>
      <w:del w:id="19406" w:author="AbbVie14" w:date="2025-05-09T11:01:00Z">
        <w:r w:rsidRPr="00295E71">
          <w:rPr>
            <w:sz w:val="22"/>
            <w:szCs w:val="22"/>
          </w:rPr>
          <w:delText>tumori;</w:delText>
        </w:r>
      </w:del>
    </w:p>
    <w:p w:rsidR="006224C2" w:rsidRPr="00295E71" w14:paraId="68BE19FE" w14:textId="77777777">
      <w:pPr>
        <w:numPr>
          <w:ilvl w:val="0"/>
          <w:numId w:val="14"/>
        </w:numPr>
        <w:tabs>
          <w:tab w:val="num" w:pos="540"/>
          <w:tab w:val="left" w:pos="567"/>
          <w:tab w:val="left" w:pos="993"/>
        </w:tabs>
        <w:ind w:left="567" w:hanging="567"/>
        <w:jc w:val="both"/>
        <w:rPr>
          <w:del w:id="19407" w:author="AbbVie14" w:date="2025-05-09T11:01:00Z"/>
          <w:sz w:val="22"/>
          <w:szCs w:val="22"/>
        </w:rPr>
      </w:pPr>
      <w:del w:id="19408" w:author="AbbVie14" w:date="2025-05-09T11:01:00Z">
        <w:r w:rsidRPr="00295E71">
          <w:rPr>
            <w:sz w:val="22"/>
            <w:szCs w:val="22"/>
          </w:rPr>
          <w:delText>tumori del sistema linfatico;</w:delText>
        </w:r>
      </w:del>
    </w:p>
    <w:p w:rsidR="006224C2" w:rsidRPr="00295E71" w14:paraId="5FF80A33" w14:textId="77777777">
      <w:pPr>
        <w:numPr>
          <w:ilvl w:val="0"/>
          <w:numId w:val="14"/>
        </w:numPr>
        <w:tabs>
          <w:tab w:val="num" w:pos="540"/>
          <w:tab w:val="left" w:pos="567"/>
          <w:tab w:val="left" w:pos="993"/>
        </w:tabs>
        <w:ind w:left="567" w:hanging="567"/>
        <w:jc w:val="both"/>
        <w:rPr>
          <w:del w:id="19409" w:author="AbbVie14" w:date="2025-05-09T11:01:00Z"/>
          <w:sz w:val="22"/>
          <w:szCs w:val="22"/>
        </w:rPr>
      </w:pPr>
      <w:del w:id="19410" w:author="AbbVie14" w:date="2025-05-09T11:01:00Z">
        <w:r w:rsidRPr="00295E71">
          <w:rPr>
            <w:sz w:val="22"/>
            <w:szCs w:val="22"/>
          </w:rPr>
          <w:delText>melanoma;</w:delText>
        </w:r>
      </w:del>
    </w:p>
    <w:p w:rsidR="006224C2" w:rsidRPr="00295E71" w14:paraId="49AC3A11" w14:textId="77777777">
      <w:pPr>
        <w:numPr>
          <w:ilvl w:val="0"/>
          <w:numId w:val="14"/>
        </w:numPr>
        <w:tabs>
          <w:tab w:val="num" w:pos="540"/>
          <w:tab w:val="left" w:pos="567"/>
          <w:tab w:val="left" w:pos="993"/>
        </w:tabs>
        <w:ind w:left="567" w:hanging="567"/>
        <w:jc w:val="both"/>
        <w:rPr>
          <w:del w:id="19411" w:author="AbbVie14" w:date="2025-05-09T11:01:00Z"/>
          <w:sz w:val="22"/>
          <w:szCs w:val="22"/>
        </w:rPr>
      </w:pPr>
      <w:del w:id="19412" w:author="AbbVie14" w:date="2025-05-09T11:01:00Z">
        <w:r w:rsidRPr="00295E71">
          <w:rPr>
            <w:sz w:val="22"/>
            <w:szCs w:val="22"/>
          </w:rPr>
          <w:delText>disordini del sistema immunitario che possono colpire polmoni, cute e linfonodi (che si presentano più comunemente come sarcoidosi);</w:delText>
        </w:r>
      </w:del>
    </w:p>
    <w:p w:rsidR="006224C2" w:rsidRPr="00295E71" w14:paraId="6F3C7B75" w14:textId="77777777">
      <w:pPr>
        <w:numPr>
          <w:ilvl w:val="0"/>
          <w:numId w:val="14"/>
        </w:numPr>
        <w:tabs>
          <w:tab w:val="num" w:pos="540"/>
          <w:tab w:val="left" w:pos="567"/>
          <w:tab w:val="left" w:pos="993"/>
        </w:tabs>
        <w:ind w:left="567" w:hanging="567"/>
        <w:jc w:val="both"/>
        <w:rPr>
          <w:del w:id="19413" w:author="AbbVie14" w:date="2025-05-09T11:01:00Z"/>
          <w:sz w:val="22"/>
          <w:szCs w:val="22"/>
        </w:rPr>
      </w:pPr>
      <w:del w:id="19414" w:author="AbbVie14" w:date="2025-05-09T11:01:00Z">
        <w:r w:rsidRPr="00295E71">
          <w:rPr>
            <w:sz w:val="22"/>
            <w:szCs w:val="22"/>
          </w:rPr>
          <w:delText>vasculite (infiammazione dei vasi sanguigni);</w:delText>
        </w:r>
      </w:del>
    </w:p>
    <w:p w:rsidR="006224C2" w:rsidRPr="00295E71" w14:paraId="7E593D2C" w14:textId="77777777">
      <w:pPr>
        <w:numPr>
          <w:ilvl w:val="0"/>
          <w:numId w:val="14"/>
        </w:numPr>
        <w:tabs>
          <w:tab w:val="num" w:pos="540"/>
          <w:tab w:val="left" w:pos="567"/>
          <w:tab w:val="left" w:pos="993"/>
        </w:tabs>
        <w:ind w:left="567" w:hanging="567"/>
        <w:jc w:val="both"/>
        <w:rPr>
          <w:del w:id="19415" w:author="AbbVie14" w:date="2025-05-09T11:01:00Z"/>
          <w:sz w:val="22"/>
          <w:szCs w:val="22"/>
        </w:rPr>
      </w:pPr>
      <w:del w:id="19416" w:author="AbbVie14" w:date="2025-05-09T11:01:00Z">
        <w:r w:rsidRPr="00295E71">
          <w:rPr>
            <w:sz w:val="22"/>
            <w:szCs w:val="22"/>
          </w:rPr>
          <w:delText>tremore;</w:delText>
        </w:r>
      </w:del>
    </w:p>
    <w:p w:rsidR="006224C2" w:rsidRPr="00295E71" w14:paraId="408CC2FC" w14:textId="77777777">
      <w:pPr>
        <w:numPr>
          <w:ilvl w:val="0"/>
          <w:numId w:val="14"/>
        </w:numPr>
        <w:tabs>
          <w:tab w:val="num" w:pos="540"/>
          <w:tab w:val="left" w:pos="567"/>
          <w:tab w:val="left" w:pos="993"/>
        </w:tabs>
        <w:ind w:left="567" w:hanging="567"/>
        <w:jc w:val="both"/>
        <w:rPr>
          <w:del w:id="19417" w:author="AbbVie14" w:date="2025-05-09T11:01:00Z"/>
          <w:sz w:val="22"/>
          <w:szCs w:val="22"/>
        </w:rPr>
      </w:pPr>
      <w:del w:id="19418" w:author="AbbVie14" w:date="2025-05-09T11:01:00Z">
        <w:r w:rsidRPr="00295E71">
          <w:rPr>
            <w:sz w:val="22"/>
            <w:szCs w:val="22"/>
          </w:rPr>
          <w:delText>neuropatia;</w:delText>
        </w:r>
      </w:del>
    </w:p>
    <w:p w:rsidR="006224C2" w:rsidRPr="00295E71" w14:paraId="73211D14" w14:textId="77777777">
      <w:pPr>
        <w:numPr>
          <w:ilvl w:val="0"/>
          <w:numId w:val="14"/>
        </w:numPr>
        <w:tabs>
          <w:tab w:val="num" w:pos="540"/>
          <w:tab w:val="left" w:pos="567"/>
          <w:tab w:val="left" w:pos="993"/>
        </w:tabs>
        <w:ind w:left="567" w:hanging="567"/>
        <w:jc w:val="both"/>
        <w:rPr>
          <w:del w:id="19419" w:author="AbbVie14" w:date="2025-05-09T11:01:00Z"/>
          <w:sz w:val="22"/>
          <w:szCs w:val="22"/>
        </w:rPr>
      </w:pPr>
      <w:del w:id="19420" w:author="AbbVie14" w:date="2025-05-09T11:01:00Z">
        <w:r w:rsidRPr="00295E71">
          <w:rPr>
            <w:sz w:val="22"/>
            <w:szCs w:val="22"/>
          </w:rPr>
          <w:delText>ictus;</w:delText>
        </w:r>
      </w:del>
    </w:p>
    <w:p w:rsidR="006224C2" w:rsidRPr="00295E71" w14:paraId="586578CF" w14:textId="77777777">
      <w:pPr>
        <w:numPr>
          <w:ilvl w:val="0"/>
          <w:numId w:val="14"/>
        </w:numPr>
        <w:tabs>
          <w:tab w:val="num" w:pos="540"/>
          <w:tab w:val="left" w:pos="567"/>
          <w:tab w:val="left" w:pos="993"/>
        </w:tabs>
        <w:ind w:left="567" w:hanging="567"/>
        <w:jc w:val="both"/>
        <w:rPr>
          <w:del w:id="19421" w:author="AbbVie14" w:date="2025-05-09T11:01:00Z"/>
          <w:sz w:val="22"/>
          <w:szCs w:val="22"/>
        </w:rPr>
      </w:pPr>
      <w:del w:id="19422" w:author="AbbVie14" w:date="2025-05-09T11:01:00Z">
        <w:r w:rsidRPr="00295E71">
          <w:rPr>
            <w:sz w:val="22"/>
            <w:szCs w:val="22"/>
          </w:rPr>
          <w:delText>perdita dell’udito, ronzio;</w:delText>
        </w:r>
      </w:del>
    </w:p>
    <w:p w:rsidR="006224C2" w:rsidRPr="00295E71" w14:paraId="47D87072" w14:textId="77777777">
      <w:pPr>
        <w:numPr>
          <w:ilvl w:val="0"/>
          <w:numId w:val="14"/>
        </w:numPr>
        <w:tabs>
          <w:tab w:val="num" w:pos="540"/>
          <w:tab w:val="left" w:pos="567"/>
          <w:tab w:val="left" w:pos="993"/>
        </w:tabs>
        <w:ind w:left="567" w:hanging="567"/>
        <w:jc w:val="both"/>
        <w:rPr>
          <w:del w:id="19423" w:author="AbbVie14" w:date="2025-05-09T11:01:00Z"/>
          <w:sz w:val="22"/>
          <w:szCs w:val="22"/>
        </w:rPr>
      </w:pPr>
      <w:del w:id="19424" w:author="AbbVie14" w:date="2025-05-09T11:01:00Z">
        <w:r w:rsidRPr="00295E71">
          <w:rPr>
            <w:sz w:val="22"/>
            <w:szCs w:val="22"/>
          </w:rPr>
          <w:delText>sensazione di battito cardiaco irregolare come palpitazioni;</w:delText>
        </w:r>
      </w:del>
    </w:p>
    <w:p w:rsidR="006224C2" w:rsidRPr="00295E71" w14:paraId="555E97AF" w14:textId="77777777">
      <w:pPr>
        <w:numPr>
          <w:ilvl w:val="0"/>
          <w:numId w:val="14"/>
        </w:numPr>
        <w:tabs>
          <w:tab w:val="num" w:pos="540"/>
          <w:tab w:val="left" w:pos="567"/>
          <w:tab w:val="left" w:pos="993"/>
        </w:tabs>
        <w:ind w:left="567" w:hanging="567"/>
        <w:jc w:val="both"/>
        <w:rPr>
          <w:del w:id="19425" w:author="AbbVie14" w:date="2025-05-09T11:01:00Z"/>
          <w:sz w:val="22"/>
          <w:szCs w:val="22"/>
        </w:rPr>
      </w:pPr>
      <w:del w:id="19426" w:author="AbbVie14" w:date="2025-05-09T11:01:00Z">
        <w:r w:rsidRPr="00295E71">
          <w:rPr>
            <w:sz w:val="22"/>
            <w:szCs w:val="22"/>
          </w:rPr>
          <w:delText>problemi al cuore che possono causare fiato corto o gonfiore a livello delle caviglie;</w:delText>
        </w:r>
      </w:del>
    </w:p>
    <w:p w:rsidR="006224C2" w:rsidRPr="00295E71" w14:paraId="28EDFF59" w14:textId="77777777">
      <w:pPr>
        <w:numPr>
          <w:ilvl w:val="0"/>
          <w:numId w:val="14"/>
        </w:numPr>
        <w:tabs>
          <w:tab w:val="num" w:pos="540"/>
          <w:tab w:val="left" w:pos="567"/>
          <w:tab w:val="left" w:pos="993"/>
        </w:tabs>
        <w:ind w:left="567" w:hanging="567"/>
        <w:jc w:val="both"/>
        <w:rPr>
          <w:del w:id="19427" w:author="AbbVie14" w:date="2025-05-09T11:01:00Z"/>
          <w:sz w:val="22"/>
          <w:szCs w:val="22"/>
        </w:rPr>
      </w:pPr>
      <w:del w:id="19428" w:author="AbbVie14" w:date="2025-05-09T11:01:00Z">
        <w:r w:rsidRPr="00295E71">
          <w:rPr>
            <w:sz w:val="22"/>
            <w:szCs w:val="22"/>
          </w:rPr>
          <w:delText>infarto acuto del miocardio;</w:delText>
        </w:r>
      </w:del>
    </w:p>
    <w:p w:rsidR="006224C2" w:rsidRPr="00295E71" w14:paraId="4D69CCF4" w14:textId="77777777">
      <w:pPr>
        <w:numPr>
          <w:ilvl w:val="0"/>
          <w:numId w:val="14"/>
        </w:numPr>
        <w:tabs>
          <w:tab w:val="num" w:pos="540"/>
          <w:tab w:val="left" w:pos="567"/>
          <w:tab w:val="left" w:pos="993"/>
        </w:tabs>
        <w:ind w:left="567" w:hanging="567"/>
        <w:jc w:val="both"/>
        <w:rPr>
          <w:del w:id="19429" w:author="AbbVie14" w:date="2025-05-09T11:01:00Z"/>
          <w:sz w:val="22"/>
          <w:szCs w:val="22"/>
        </w:rPr>
      </w:pPr>
      <w:del w:id="19430" w:author="AbbVie14" w:date="2025-05-09T11:01:00Z">
        <w:r w:rsidRPr="00295E71">
          <w:rPr>
            <w:sz w:val="22"/>
            <w:szCs w:val="22"/>
          </w:rPr>
          <w:delText>formazione di una sacca nella parete di un’arteria principale, infiammazione e coagulo in una vena, ostruzione di un vaso sanguigno;</w:delText>
        </w:r>
      </w:del>
    </w:p>
    <w:p w:rsidR="006224C2" w:rsidRPr="00295E71" w14:paraId="6EE87B63" w14:textId="77777777">
      <w:pPr>
        <w:numPr>
          <w:ilvl w:val="0"/>
          <w:numId w:val="14"/>
        </w:numPr>
        <w:tabs>
          <w:tab w:val="num" w:pos="540"/>
          <w:tab w:val="left" w:pos="567"/>
          <w:tab w:val="left" w:pos="993"/>
        </w:tabs>
        <w:ind w:left="567" w:hanging="567"/>
        <w:jc w:val="both"/>
        <w:rPr>
          <w:del w:id="19431" w:author="AbbVie14" w:date="2025-05-09T11:01:00Z"/>
          <w:sz w:val="22"/>
          <w:szCs w:val="22"/>
        </w:rPr>
      </w:pPr>
      <w:del w:id="19432" w:author="AbbVie14" w:date="2025-05-09T11:01:00Z">
        <w:r w:rsidRPr="00295E71">
          <w:rPr>
            <w:sz w:val="22"/>
            <w:szCs w:val="22"/>
          </w:rPr>
          <w:delText>malattia polmonare che provoca fiato corto (inclusa infiammazione);</w:delText>
        </w:r>
      </w:del>
    </w:p>
    <w:p w:rsidR="006224C2" w:rsidRPr="00295E71" w14:paraId="67D2817E" w14:textId="77777777">
      <w:pPr>
        <w:numPr>
          <w:ilvl w:val="0"/>
          <w:numId w:val="14"/>
        </w:numPr>
        <w:tabs>
          <w:tab w:val="num" w:pos="540"/>
          <w:tab w:val="left" w:pos="567"/>
          <w:tab w:val="left" w:pos="993"/>
        </w:tabs>
        <w:ind w:left="567" w:hanging="567"/>
        <w:jc w:val="both"/>
        <w:rPr>
          <w:del w:id="19433" w:author="AbbVie14" w:date="2025-05-09T11:01:00Z"/>
          <w:sz w:val="22"/>
          <w:szCs w:val="22"/>
        </w:rPr>
      </w:pPr>
      <w:del w:id="19434" w:author="AbbVie14" w:date="2025-05-09T11:01:00Z">
        <w:r w:rsidRPr="00295E71">
          <w:rPr>
            <w:sz w:val="22"/>
            <w:szCs w:val="22"/>
          </w:rPr>
          <w:delText>embolia polmonare (occlusione di una arteria polmonare);</w:delText>
        </w:r>
      </w:del>
    </w:p>
    <w:p w:rsidR="006224C2" w:rsidRPr="00295E71" w14:paraId="11BEBAC8" w14:textId="77777777">
      <w:pPr>
        <w:numPr>
          <w:ilvl w:val="0"/>
          <w:numId w:val="14"/>
        </w:numPr>
        <w:tabs>
          <w:tab w:val="num" w:pos="540"/>
          <w:tab w:val="left" w:pos="567"/>
          <w:tab w:val="left" w:pos="993"/>
        </w:tabs>
        <w:ind w:left="567" w:hanging="567"/>
        <w:jc w:val="both"/>
        <w:rPr>
          <w:del w:id="19435" w:author="AbbVie14" w:date="2025-05-09T11:01:00Z"/>
          <w:sz w:val="22"/>
          <w:szCs w:val="22"/>
        </w:rPr>
      </w:pPr>
      <w:del w:id="19436" w:author="AbbVie14" w:date="2025-05-09T11:01:00Z">
        <w:r w:rsidRPr="00295E71">
          <w:rPr>
            <w:sz w:val="22"/>
            <w:szCs w:val="22"/>
          </w:rPr>
          <w:delText>versamento pleurico (anomala raccolta di liquido nello spazio pleurico);</w:delText>
        </w:r>
      </w:del>
    </w:p>
    <w:p w:rsidR="006224C2" w:rsidRPr="00295E71" w14:paraId="5D1055BC" w14:textId="77777777">
      <w:pPr>
        <w:numPr>
          <w:ilvl w:val="0"/>
          <w:numId w:val="14"/>
        </w:numPr>
        <w:tabs>
          <w:tab w:val="num" w:pos="540"/>
          <w:tab w:val="left" w:pos="567"/>
          <w:tab w:val="left" w:pos="993"/>
        </w:tabs>
        <w:ind w:left="567" w:hanging="567"/>
        <w:jc w:val="both"/>
        <w:rPr>
          <w:del w:id="19437" w:author="AbbVie14" w:date="2025-05-09T11:01:00Z"/>
          <w:sz w:val="22"/>
          <w:szCs w:val="22"/>
        </w:rPr>
      </w:pPr>
      <w:del w:id="19438" w:author="AbbVie14" w:date="2025-05-09T11:01:00Z">
        <w:r w:rsidRPr="00295E71">
          <w:rPr>
            <w:sz w:val="22"/>
            <w:szCs w:val="22"/>
          </w:rPr>
          <w:delText>infiammazione del pancreas che causa forti dolori all’addome ed alla schiena;</w:delText>
        </w:r>
      </w:del>
    </w:p>
    <w:p w:rsidR="006224C2" w:rsidRPr="00295E71" w14:paraId="56B5E749" w14:textId="77777777">
      <w:pPr>
        <w:numPr>
          <w:ilvl w:val="0"/>
          <w:numId w:val="14"/>
        </w:numPr>
        <w:tabs>
          <w:tab w:val="num" w:pos="540"/>
          <w:tab w:val="left" w:pos="567"/>
          <w:tab w:val="left" w:pos="993"/>
        </w:tabs>
        <w:ind w:left="567" w:hanging="567"/>
        <w:jc w:val="both"/>
        <w:rPr>
          <w:del w:id="19439" w:author="AbbVie14" w:date="2025-05-09T11:01:00Z"/>
          <w:sz w:val="22"/>
          <w:szCs w:val="22"/>
        </w:rPr>
      </w:pPr>
      <w:del w:id="19440" w:author="AbbVie14" w:date="2025-05-09T11:01:00Z">
        <w:r w:rsidRPr="00295E71">
          <w:rPr>
            <w:sz w:val="22"/>
            <w:szCs w:val="22"/>
          </w:rPr>
          <w:delText>difficoltà nella deglutizione;</w:delText>
        </w:r>
      </w:del>
    </w:p>
    <w:p w:rsidR="006224C2" w:rsidRPr="00295E71" w14:paraId="1B76BB21" w14:textId="77777777">
      <w:pPr>
        <w:numPr>
          <w:ilvl w:val="0"/>
          <w:numId w:val="14"/>
        </w:numPr>
        <w:tabs>
          <w:tab w:val="num" w:pos="540"/>
          <w:tab w:val="left" w:pos="567"/>
          <w:tab w:val="left" w:pos="993"/>
        </w:tabs>
        <w:ind w:left="567" w:hanging="567"/>
        <w:jc w:val="both"/>
        <w:rPr>
          <w:del w:id="19441" w:author="AbbVie14" w:date="2025-05-09T11:01:00Z"/>
          <w:sz w:val="22"/>
          <w:szCs w:val="22"/>
        </w:rPr>
      </w:pPr>
      <w:del w:id="19442" w:author="AbbVie14" w:date="2025-05-09T11:01:00Z">
        <w:r w:rsidRPr="00295E71">
          <w:rPr>
            <w:sz w:val="22"/>
            <w:szCs w:val="22"/>
          </w:rPr>
          <w:delText>edema facciale;</w:delText>
        </w:r>
      </w:del>
    </w:p>
    <w:p w:rsidR="006224C2" w:rsidRPr="00295E71" w14:paraId="34F5B223" w14:textId="77777777">
      <w:pPr>
        <w:numPr>
          <w:ilvl w:val="0"/>
          <w:numId w:val="14"/>
        </w:numPr>
        <w:tabs>
          <w:tab w:val="num" w:pos="540"/>
          <w:tab w:val="left" w:pos="567"/>
          <w:tab w:val="left" w:pos="993"/>
        </w:tabs>
        <w:ind w:left="567" w:hanging="567"/>
        <w:jc w:val="both"/>
        <w:rPr>
          <w:del w:id="19443" w:author="AbbVie14" w:date="2025-05-09T11:01:00Z"/>
          <w:sz w:val="22"/>
          <w:szCs w:val="22"/>
        </w:rPr>
      </w:pPr>
      <w:del w:id="19444" w:author="AbbVie14" w:date="2025-05-09T11:01:00Z">
        <w:r w:rsidRPr="00295E71">
          <w:rPr>
            <w:sz w:val="22"/>
            <w:szCs w:val="22"/>
          </w:rPr>
          <w:delText>infiammazione della cistifellea, calcoli alla cistifellea;</w:delText>
        </w:r>
      </w:del>
    </w:p>
    <w:p w:rsidR="006224C2" w:rsidRPr="00295E71" w14:paraId="50BFB7B0" w14:textId="77777777">
      <w:pPr>
        <w:numPr>
          <w:ilvl w:val="0"/>
          <w:numId w:val="14"/>
        </w:numPr>
        <w:tabs>
          <w:tab w:val="num" w:pos="540"/>
          <w:tab w:val="left" w:pos="567"/>
          <w:tab w:val="left" w:pos="993"/>
        </w:tabs>
        <w:ind w:left="567" w:hanging="567"/>
        <w:jc w:val="both"/>
        <w:rPr>
          <w:del w:id="19445" w:author="AbbVie14" w:date="2025-05-09T11:01:00Z"/>
          <w:sz w:val="22"/>
          <w:szCs w:val="22"/>
        </w:rPr>
      </w:pPr>
      <w:del w:id="19446" w:author="AbbVie14" w:date="2025-05-09T11:01:00Z">
        <w:r w:rsidRPr="00295E71">
          <w:rPr>
            <w:sz w:val="22"/>
            <w:szCs w:val="22"/>
          </w:rPr>
          <w:delText>fegato grasso;</w:delText>
        </w:r>
      </w:del>
    </w:p>
    <w:p w:rsidR="006224C2" w:rsidRPr="00295E71" w14:paraId="65F6C602" w14:textId="77777777">
      <w:pPr>
        <w:numPr>
          <w:ilvl w:val="0"/>
          <w:numId w:val="14"/>
        </w:numPr>
        <w:tabs>
          <w:tab w:val="num" w:pos="540"/>
          <w:tab w:val="left" w:pos="567"/>
          <w:tab w:val="left" w:pos="993"/>
        </w:tabs>
        <w:ind w:left="567" w:hanging="567"/>
        <w:jc w:val="both"/>
        <w:rPr>
          <w:del w:id="19447" w:author="AbbVie14" w:date="2025-05-09T11:01:00Z"/>
          <w:sz w:val="22"/>
          <w:szCs w:val="22"/>
        </w:rPr>
      </w:pPr>
      <w:del w:id="19448" w:author="AbbVie14" w:date="2025-05-09T11:01:00Z">
        <w:r w:rsidRPr="00295E71">
          <w:rPr>
            <w:sz w:val="22"/>
            <w:szCs w:val="22"/>
          </w:rPr>
          <w:delText>sudorazione notturna;</w:delText>
        </w:r>
      </w:del>
    </w:p>
    <w:p w:rsidR="006224C2" w:rsidRPr="00295E71" w14:paraId="47172A38" w14:textId="77777777">
      <w:pPr>
        <w:numPr>
          <w:ilvl w:val="0"/>
          <w:numId w:val="14"/>
        </w:numPr>
        <w:tabs>
          <w:tab w:val="num" w:pos="540"/>
          <w:tab w:val="left" w:pos="567"/>
          <w:tab w:val="left" w:pos="993"/>
        </w:tabs>
        <w:ind w:left="567" w:hanging="567"/>
        <w:jc w:val="both"/>
        <w:rPr>
          <w:del w:id="19449" w:author="AbbVie14" w:date="2025-05-09T11:01:00Z"/>
          <w:sz w:val="22"/>
          <w:szCs w:val="22"/>
        </w:rPr>
      </w:pPr>
      <w:del w:id="19450" w:author="AbbVie14" w:date="2025-05-09T11:01:00Z">
        <w:r w:rsidRPr="00295E71">
          <w:rPr>
            <w:sz w:val="22"/>
            <w:szCs w:val="22"/>
          </w:rPr>
          <w:delText>cicatrice;</w:delText>
        </w:r>
      </w:del>
    </w:p>
    <w:p w:rsidR="006224C2" w:rsidRPr="00295E71" w14:paraId="5EBB8AF9" w14:textId="77777777">
      <w:pPr>
        <w:numPr>
          <w:ilvl w:val="0"/>
          <w:numId w:val="14"/>
        </w:numPr>
        <w:tabs>
          <w:tab w:val="num" w:pos="540"/>
          <w:tab w:val="left" w:pos="567"/>
          <w:tab w:val="left" w:pos="993"/>
        </w:tabs>
        <w:ind w:left="567" w:hanging="567"/>
        <w:jc w:val="both"/>
        <w:rPr>
          <w:del w:id="19451" w:author="AbbVie14" w:date="2025-05-09T11:01:00Z"/>
          <w:sz w:val="22"/>
          <w:szCs w:val="22"/>
        </w:rPr>
      </w:pPr>
      <w:del w:id="19452" w:author="AbbVie14" w:date="2025-05-09T11:01:00Z">
        <w:r w:rsidRPr="00295E71">
          <w:rPr>
            <w:sz w:val="22"/>
            <w:szCs w:val="22"/>
          </w:rPr>
          <w:delText>anormale catabolismo muscolare;</w:delText>
        </w:r>
      </w:del>
    </w:p>
    <w:p w:rsidR="006224C2" w:rsidRPr="00295E71" w14:paraId="5BCF4A1F" w14:textId="77777777">
      <w:pPr>
        <w:numPr>
          <w:ilvl w:val="0"/>
          <w:numId w:val="14"/>
        </w:numPr>
        <w:tabs>
          <w:tab w:val="num" w:pos="540"/>
          <w:tab w:val="left" w:pos="567"/>
          <w:tab w:val="left" w:pos="993"/>
        </w:tabs>
        <w:ind w:left="567" w:hanging="567"/>
        <w:jc w:val="both"/>
        <w:rPr>
          <w:del w:id="19453" w:author="AbbVie14" w:date="2025-05-09T11:01:00Z"/>
          <w:sz w:val="22"/>
          <w:szCs w:val="22"/>
        </w:rPr>
      </w:pPr>
      <w:del w:id="19454" w:author="AbbVie14" w:date="2025-05-09T11:01:00Z">
        <w:r w:rsidRPr="00295E71">
          <w:rPr>
            <w:sz w:val="22"/>
            <w:szCs w:val="22"/>
          </w:rPr>
          <w:delText>lupus eritematoso sistemico (tra cui infiammazione della pelle, del cuore, del polmone, delle articolazioni e di altri organi);</w:delText>
        </w:r>
      </w:del>
    </w:p>
    <w:p w:rsidR="006224C2" w:rsidRPr="00295E71" w14:paraId="3A5B7508" w14:textId="77777777">
      <w:pPr>
        <w:numPr>
          <w:ilvl w:val="0"/>
          <w:numId w:val="14"/>
        </w:numPr>
        <w:tabs>
          <w:tab w:val="num" w:pos="540"/>
          <w:tab w:val="left" w:pos="567"/>
          <w:tab w:val="left" w:pos="993"/>
        </w:tabs>
        <w:ind w:left="567" w:hanging="567"/>
        <w:jc w:val="both"/>
        <w:rPr>
          <w:del w:id="19455" w:author="AbbVie14" w:date="2025-05-09T11:01:00Z"/>
          <w:sz w:val="22"/>
          <w:szCs w:val="22"/>
        </w:rPr>
      </w:pPr>
      <w:del w:id="19456" w:author="AbbVie14" w:date="2025-05-09T11:01:00Z">
        <w:r w:rsidRPr="00295E71">
          <w:rPr>
            <w:sz w:val="22"/>
            <w:szCs w:val="22"/>
          </w:rPr>
          <w:delText>sonno interrotto;</w:delText>
        </w:r>
      </w:del>
    </w:p>
    <w:p w:rsidR="006224C2" w:rsidRPr="00295E71" w14:paraId="61A591B7" w14:textId="77777777">
      <w:pPr>
        <w:numPr>
          <w:ilvl w:val="0"/>
          <w:numId w:val="14"/>
        </w:numPr>
        <w:tabs>
          <w:tab w:val="num" w:pos="540"/>
          <w:tab w:val="left" w:pos="567"/>
          <w:tab w:val="left" w:pos="993"/>
        </w:tabs>
        <w:ind w:left="567" w:hanging="567"/>
        <w:jc w:val="both"/>
        <w:rPr>
          <w:del w:id="19457" w:author="AbbVie14" w:date="2025-05-09T11:01:00Z"/>
          <w:sz w:val="22"/>
          <w:szCs w:val="22"/>
        </w:rPr>
      </w:pPr>
      <w:del w:id="19458" w:author="AbbVie14" w:date="2025-05-09T11:01:00Z">
        <w:r w:rsidRPr="00295E71">
          <w:rPr>
            <w:sz w:val="22"/>
            <w:szCs w:val="22"/>
          </w:rPr>
          <w:delText>impotenza;</w:delText>
        </w:r>
      </w:del>
    </w:p>
    <w:p w:rsidR="006224C2" w:rsidRPr="00295E71" w14:paraId="27D40335" w14:textId="77777777">
      <w:pPr>
        <w:numPr>
          <w:ilvl w:val="0"/>
          <w:numId w:val="14"/>
        </w:numPr>
        <w:tabs>
          <w:tab w:val="num" w:pos="540"/>
          <w:tab w:val="left" w:pos="567"/>
          <w:tab w:val="left" w:pos="993"/>
        </w:tabs>
        <w:ind w:left="567" w:hanging="567"/>
        <w:jc w:val="both"/>
        <w:rPr>
          <w:del w:id="19459" w:author="AbbVie14" w:date="2025-05-09T11:01:00Z"/>
          <w:sz w:val="22"/>
          <w:szCs w:val="22"/>
        </w:rPr>
      </w:pPr>
      <w:del w:id="19460" w:author="AbbVie14" w:date="2025-05-09T11:01:00Z">
        <w:r w:rsidRPr="00295E71">
          <w:rPr>
            <w:sz w:val="22"/>
            <w:szCs w:val="22"/>
          </w:rPr>
          <w:delText>infiammazioni.</w:delText>
        </w:r>
      </w:del>
    </w:p>
    <w:p w:rsidR="006224C2" w:rsidRPr="00295E71" w14:paraId="0B8BC70C" w14:textId="77777777">
      <w:pPr>
        <w:tabs>
          <w:tab w:val="left" w:pos="567"/>
        </w:tabs>
        <w:jc w:val="both"/>
        <w:rPr>
          <w:del w:id="19461" w:author="AbbVie14" w:date="2025-05-09T11:01:00Z"/>
          <w:sz w:val="22"/>
          <w:szCs w:val="22"/>
        </w:rPr>
      </w:pPr>
    </w:p>
    <w:p w:rsidR="006224C2" w:rsidRPr="00295E71" w14:paraId="0C5FD315" w14:textId="77777777">
      <w:pPr>
        <w:rPr>
          <w:del w:id="19462" w:author="AbbVie14" w:date="2025-05-09T11:01:00Z"/>
          <w:sz w:val="22"/>
          <w:szCs w:val="22"/>
        </w:rPr>
      </w:pPr>
      <w:del w:id="19463" w:author="AbbVie14" w:date="2025-05-09T11:01:00Z">
        <w:r w:rsidRPr="00295E71">
          <w:rPr>
            <w:sz w:val="22"/>
            <w:szCs w:val="22"/>
          </w:rPr>
          <w:delText>Rari (possono manifestarsi fino a 1 persona su 1.000)</w:delText>
        </w:r>
      </w:del>
    </w:p>
    <w:p w:rsidR="006224C2" w:rsidRPr="00295E71" w14:paraId="53317730" w14:textId="77777777">
      <w:pPr>
        <w:tabs>
          <w:tab w:val="left" w:pos="567"/>
          <w:tab w:val="left" w:pos="993"/>
        </w:tabs>
        <w:jc w:val="both"/>
        <w:rPr>
          <w:del w:id="19464" w:author="AbbVie14" w:date="2025-05-09T11:01:00Z"/>
          <w:sz w:val="22"/>
          <w:szCs w:val="22"/>
        </w:rPr>
      </w:pPr>
    </w:p>
    <w:p w:rsidR="006224C2" w:rsidRPr="00295E71" w14:paraId="2BB64CDF" w14:textId="77777777">
      <w:pPr>
        <w:numPr>
          <w:ilvl w:val="0"/>
          <w:numId w:val="14"/>
        </w:numPr>
        <w:tabs>
          <w:tab w:val="num" w:pos="540"/>
          <w:tab w:val="left" w:pos="567"/>
          <w:tab w:val="left" w:pos="993"/>
        </w:tabs>
        <w:ind w:left="567" w:hanging="567"/>
        <w:jc w:val="both"/>
        <w:rPr>
          <w:del w:id="19465" w:author="AbbVie14" w:date="2025-05-09T11:01:00Z"/>
          <w:sz w:val="22"/>
          <w:szCs w:val="22"/>
        </w:rPr>
      </w:pPr>
      <w:del w:id="19466" w:author="AbbVie14" w:date="2025-05-09T11:01:00Z">
        <w:r w:rsidRPr="00295E71">
          <w:rPr>
            <w:sz w:val="22"/>
            <w:szCs w:val="22"/>
          </w:rPr>
          <w:delText>leucemia (</w:delText>
        </w:r>
      </w:del>
      <w:del w:id="19467" w:author="AbbVie14" w:date="2025-05-09T11:01:00Z">
        <w:r w:rsidRPr="00295E71" w:rsidR="00435F3A">
          <w:rPr>
            <w:sz w:val="22"/>
            <w:szCs w:val="22"/>
          </w:rPr>
          <w:delText>un tumore che colpisce il sangue e il midollo osseo</w:delText>
        </w:r>
      </w:del>
      <w:del w:id="19468" w:author="AbbVie14" w:date="2025-05-09T11:01:00Z">
        <w:r w:rsidRPr="00295E71">
          <w:rPr>
            <w:sz w:val="22"/>
            <w:szCs w:val="22"/>
          </w:rPr>
          <w:delText>);</w:delText>
        </w:r>
      </w:del>
    </w:p>
    <w:p w:rsidR="006224C2" w:rsidRPr="00295E71" w14:paraId="0BAFD816" w14:textId="77777777">
      <w:pPr>
        <w:numPr>
          <w:ilvl w:val="0"/>
          <w:numId w:val="14"/>
        </w:numPr>
        <w:tabs>
          <w:tab w:val="num" w:pos="540"/>
          <w:tab w:val="left" w:pos="567"/>
          <w:tab w:val="left" w:pos="993"/>
        </w:tabs>
        <w:ind w:left="567" w:hanging="567"/>
        <w:jc w:val="both"/>
        <w:rPr>
          <w:del w:id="19469" w:author="AbbVie14" w:date="2025-05-09T11:01:00Z"/>
          <w:sz w:val="22"/>
          <w:szCs w:val="22"/>
        </w:rPr>
      </w:pPr>
      <w:del w:id="19470" w:author="AbbVie14" w:date="2025-05-09T11:01:00Z">
        <w:r w:rsidRPr="00295E71">
          <w:rPr>
            <w:sz w:val="22"/>
            <w:szCs w:val="22"/>
          </w:rPr>
          <w:delText>reazione allergica grave con shock;</w:delText>
        </w:r>
      </w:del>
    </w:p>
    <w:p w:rsidR="006224C2" w:rsidRPr="00295E71" w14:paraId="74018BFF" w14:textId="77777777">
      <w:pPr>
        <w:numPr>
          <w:ilvl w:val="0"/>
          <w:numId w:val="14"/>
        </w:numPr>
        <w:tabs>
          <w:tab w:val="num" w:pos="540"/>
          <w:tab w:val="left" w:pos="567"/>
          <w:tab w:val="left" w:pos="993"/>
        </w:tabs>
        <w:ind w:left="567" w:hanging="567"/>
        <w:jc w:val="both"/>
        <w:rPr>
          <w:del w:id="19471" w:author="AbbVie14" w:date="2025-05-09T11:01:00Z"/>
          <w:sz w:val="22"/>
          <w:szCs w:val="22"/>
        </w:rPr>
      </w:pPr>
      <w:del w:id="19472" w:author="AbbVie14" w:date="2025-05-09T11:01:00Z">
        <w:r w:rsidRPr="00295E71">
          <w:rPr>
            <w:sz w:val="22"/>
            <w:szCs w:val="22"/>
          </w:rPr>
          <w:delText>sclerosi multipla;</w:delText>
        </w:r>
      </w:del>
    </w:p>
    <w:p w:rsidR="006224C2" w:rsidRPr="00295E71" w14:paraId="7A64A4D4" w14:textId="77777777">
      <w:pPr>
        <w:numPr>
          <w:ilvl w:val="0"/>
          <w:numId w:val="14"/>
        </w:numPr>
        <w:tabs>
          <w:tab w:val="num" w:pos="540"/>
          <w:tab w:val="left" w:pos="567"/>
          <w:tab w:val="left" w:pos="993"/>
        </w:tabs>
        <w:ind w:left="567" w:hanging="567"/>
        <w:jc w:val="both"/>
        <w:rPr>
          <w:del w:id="19473" w:author="AbbVie14" w:date="2025-05-09T11:01:00Z"/>
          <w:sz w:val="22"/>
          <w:szCs w:val="22"/>
        </w:rPr>
      </w:pPr>
      <w:del w:id="19474" w:author="AbbVie14" w:date="2025-05-09T11:01:00Z">
        <w:r w:rsidRPr="00295E71">
          <w:rPr>
            <w:sz w:val="22"/>
            <w:szCs w:val="22"/>
          </w:rPr>
          <w:delText>disturbi neurologici (come infiammazione del nervo ottico e sindrome di Guillain-Barré che può causare debolezza muscolare, sensazioni anomale, formicolio alle braccia ed alla parte superiore del corpo);</w:delText>
        </w:r>
      </w:del>
    </w:p>
    <w:p w:rsidR="006224C2" w:rsidRPr="00295E71" w14:paraId="02144823" w14:textId="77777777">
      <w:pPr>
        <w:numPr>
          <w:ilvl w:val="0"/>
          <w:numId w:val="14"/>
        </w:numPr>
        <w:tabs>
          <w:tab w:val="num" w:pos="540"/>
          <w:tab w:val="left" w:pos="567"/>
          <w:tab w:val="left" w:pos="993"/>
        </w:tabs>
        <w:ind w:left="567" w:hanging="567"/>
        <w:jc w:val="both"/>
        <w:rPr>
          <w:del w:id="19475" w:author="AbbVie14" w:date="2025-05-09T11:01:00Z"/>
          <w:sz w:val="22"/>
          <w:szCs w:val="22"/>
        </w:rPr>
      </w:pPr>
      <w:del w:id="19476" w:author="AbbVie14" w:date="2025-05-09T11:01:00Z">
        <w:r w:rsidRPr="00295E71">
          <w:rPr>
            <w:sz w:val="22"/>
            <w:szCs w:val="22"/>
          </w:rPr>
          <w:delText>arresto cardiaco;</w:delText>
        </w:r>
      </w:del>
    </w:p>
    <w:p w:rsidR="006224C2" w:rsidRPr="00295E71" w14:paraId="5F202893" w14:textId="77777777">
      <w:pPr>
        <w:numPr>
          <w:ilvl w:val="0"/>
          <w:numId w:val="14"/>
        </w:numPr>
        <w:tabs>
          <w:tab w:val="num" w:pos="540"/>
          <w:tab w:val="left" w:pos="567"/>
          <w:tab w:val="left" w:pos="993"/>
        </w:tabs>
        <w:ind w:left="567" w:hanging="567"/>
        <w:jc w:val="both"/>
        <w:rPr>
          <w:del w:id="19477" w:author="AbbVie14" w:date="2025-05-09T11:01:00Z"/>
          <w:sz w:val="22"/>
          <w:szCs w:val="22"/>
        </w:rPr>
      </w:pPr>
      <w:del w:id="19478" w:author="AbbVie14" w:date="2025-05-09T11:01:00Z">
        <w:r w:rsidRPr="00295E71">
          <w:rPr>
            <w:sz w:val="22"/>
            <w:szCs w:val="22"/>
          </w:rPr>
          <w:delText>fibrosi polmonare (cicatrici del polmone);</w:delText>
        </w:r>
      </w:del>
    </w:p>
    <w:p w:rsidR="006224C2" w:rsidRPr="00295E71" w14:paraId="6FC182A4" w14:textId="77777777">
      <w:pPr>
        <w:numPr>
          <w:ilvl w:val="0"/>
          <w:numId w:val="14"/>
        </w:numPr>
        <w:tabs>
          <w:tab w:val="num" w:pos="540"/>
          <w:tab w:val="left" w:pos="567"/>
          <w:tab w:val="left" w:pos="993"/>
        </w:tabs>
        <w:ind w:left="567" w:hanging="567"/>
        <w:jc w:val="both"/>
        <w:rPr>
          <w:del w:id="19479" w:author="AbbVie14" w:date="2025-05-09T11:01:00Z"/>
          <w:sz w:val="22"/>
          <w:szCs w:val="22"/>
        </w:rPr>
      </w:pPr>
      <w:del w:id="19480" w:author="AbbVie14" w:date="2025-05-09T11:01:00Z">
        <w:r w:rsidRPr="00295E71">
          <w:rPr>
            <w:sz w:val="22"/>
            <w:szCs w:val="22"/>
          </w:rPr>
          <w:delText>perforazione intestinale;</w:delText>
        </w:r>
      </w:del>
    </w:p>
    <w:p w:rsidR="006224C2" w:rsidRPr="00295E71" w14:paraId="6DBDCC5B" w14:textId="77777777">
      <w:pPr>
        <w:numPr>
          <w:ilvl w:val="0"/>
          <w:numId w:val="14"/>
        </w:numPr>
        <w:tabs>
          <w:tab w:val="num" w:pos="540"/>
          <w:tab w:val="left" w:pos="567"/>
          <w:tab w:val="left" w:pos="993"/>
        </w:tabs>
        <w:ind w:left="567" w:hanging="567"/>
        <w:jc w:val="both"/>
        <w:rPr>
          <w:del w:id="19481" w:author="AbbVie14" w:date="2025-05-09T11:01:00Z"/>
          <w:sz w:val="22"/>
          <w:szCs w:val="22"/>
        </w:rPr>
      </w:pPr>
      <w:del w:id="19482" w:author="AbbVie14" w:date="2025-05-09T11:01:00Z">
        <w:r w:rsidRPr="00295E71">
          <w:rPr>
            <w:sz w:val="22"/>
            <w:szCs w:val="22"/>
          </w:rPr>
          <w:delText>epatite;</w:delText>
        </w:r>
      </w:del>
    </w:p>
    <w:p w:rsidR="006224C2" w:rsidRPr="00295E71" w14:paraId="2555A5CA" w14:textId="77777777">
      <w:pPr>
        <w:numPr>
          <w:ilvl w:val="0"/>
          <w:numId w:val="14"/>
        </w:numPr>
        <w:tabs>
          <w:tab w:val="num" w:pos="540"/>
          <w:tab w:val="left" w:pos="567"/>
          <w:tab w:val="left" w:pos="993"/>
        </w:tabs>
        <w:ind w:left="567" w:hanging="567"/>
        <w:jc w:val="both"/>
        <w:rPr>
          <w:del w:id="19483" w:author="AbbVie14" w:date="2025-05-09T11:01:00Z"/>
          <w:sz w:val="22"/>
          <w:szCs w:val="22"/>
        </w:rPr>
      </w:pPr>
      <w:del w:id="19484" w:author="AbbVie14" w:date="2025-05-09T11:01:00Z">
        <w:r w:rsidRPr="00295E71">
          <w:rPr>
            <w:sz w:val="22"/>
            <w:szCs w:val="22"/>
          </w:rPr>
          <w:delText>riattivazione dell’epatite B;</w:delText>
        </w:r>
      </w:del>
    </w:p>
    <w:p w:rsidR="006224C2" w:rsidRPr="00295E71" w14:paraId="61C5EB0E" w14:textId="77777777">
      <w:pPr>
        <w:numPr>
          <w:ilvl w:val="0"/>
          <w:numId w:val="14"/>
        </w:numPr>
        <w:tabs>
          <w:tab w:val="num" w:pos="540"/>
          <w:tab w:val="left" w:pos="567"/>
          <w:tab w:val="left" w:pos="993"/>
        </w:tabs>
        <w:ind w:left="567" w:hanging="567"/>
        <w:jc w:val="both"/>
        <w:rPr>
          <w:del w:id="19485" w:author="AbbVie14" w:date="2025-05-09T11:01:00Z"/>
          <w:sz w:val="22"/>
          <w:szCs w:val="22"/>
        </w:rPr>
      </w:pPr>
      <w:del w:id="19486" w:author="AbbVie14" w:date="2025-05-09T11:01:00Z">
        <w:r w:rsidRPr="00295E71">
          <w:rPr>
            <w:sz w:val="22"/>
            <w:szCs w:val="22"/>
          </w:rPr>
          <w:delText>epatite autoimmune (infiammazione del fegato causata dal proprio sistema immunitario);</w:delText>
        </w:r>
      </w:del>
    </w:p>
    <w:p w:rsidR="006224C2" w:rsidRPr="00295E71" w14:paraId="00D76C87" w14:textId="77777777">
      <w:pPr>
        <w:numPr>
          <w:ilvl w:val="0"/>
          <w:numId w:val="14"/>
        </w:numPr>
        <w:tabs>
          <w:tab w:val="num" w:pos="540"/>
          <w:tab w:val="left" w:pos="567"/>
          <w:tab w:val="left" w:pos="993"/>
        </w:tabs>
        <w:ind w:left="567" w:hanging="567"/>
        <w:jc w:val="both"/>
        <w:rPr>
          <w:del w:id="19487" w:author="AbbVie14" w:date="2025-05-09T11:01:00Z"/>
          <w:sz w:val="22"/>
          <w:szCs w:val="22"/>
        </w:rPr>
      </w:pPr>
      <w:del w:id="19488" w:author="AbbVie14" w:date="2025-05-09T11:01:00Z">
        <w:r w:rsidRPr="00295E71">
          <w:rPr>
            <w:sz w:val="22"/>
            <w:szCs w:val="22"/>
          </w:rPr>
          <w:delText>vasculite cutanea (infiammazione dei vasi sanguigni della pelle);</w:delText>
        </w:r>
      </w:del>
    </w:p>
    <w:p w:rsidR="006224C2" w:rsidRPr="00295E71" w14:paraId="636B34DB" w14:textId="77777777">
      <w:pPr>
        <w:numPr>
          <w:ilvl w:val="0"/>
          <w:numId w:val="14"/>
        </w:numPr>
        <w:tabs>
          <w:tab w:val="num" w:pos="540"/>
          <w:tab w:val="left" w:pos="567"/>
          <w:tab w:val="left" w:pos="993"/>
        </w:tabs>
        <w:ind w:left="567" w:hanging="567"/>
        <w:jc w:val="both"/>
        <w:rPr>
          <w:del w:id="19489" w:author="AbbVie14" w:date="2025-05-09T11:01:00Z"/>
          <w:sz w:val="22"/>
          <w:szCs w:val="22"/>
        </w:rPr>
      </w:pPr>
      <w:del w:id="19490" w:author="AbbVie14" w:date="2025-05-09T11:01:00Z">
        <w:r w:rsidRPr="00295E71">
          <w:rPr>
            <w:sz w:val="22"/>
            <w:szCs w:val="22"/>
          </w:rPr>
          <w:delText>sindrome di Stevens-Johnson (i sintomi precoci includono malessere, febbre, cefalea ed eruzione cutanea);</w:delText>
        </w:r>
      </w:del>
    </w:p>
    <w:p w:rsidR="006224C2" w:rsidRPr="00295E71" w14:paraId="22D7B025" w14:textId="77777777">
      <w:pPr>
        <w:numPr>
          <w:ilvl w:val="0"/>
          <w:numId w:val="14"/>
        </w:numPr>
        <w:tabs>
          <w:tab w:val="num" w:pos="540"/>
          <w:tab w:val="left" w:pos="567"/>
          <w:tab w:val="left" w:pos="993"/>
        </w:tabs>
        <w:ind w:left="567" w:hanging="567"/>
        <w:jc w:val="both"/>
        <w:rPr>
          <w:del w:id="19491" w:author="AbbVie14" w:date="2025-05-09T11:01:00Z"/>
          <w:sz w:val="22"/>
          <w:szCs w:val="22"/>
        </w:rPr>
      </w:pPr>
      <w:del w:id="19492" w:author="AbbVie14" w:date="2025-05-09T11:01:00Z">
        <w:r w:rsidRPr="00295E71">
          <w:rPr>
            <w:sz w:val="22"/>
            <w:szCs w:val="22"/>
          </w:rPr>
          <w:delText>edema facciale associato a reazioni allergiche;</w:delText>
        </w:r>
      </w:del>
    </w:p>
    <w:p w:rsidR="006224C2" w:rsidRPr="00295E71" w14:paraId="478D40AD" w14:textId="77777777">
      <w:pPr>
        <w:numPr>
          <w:ilvl w:val="0"/>
          <w:numId w:val="14"/>
        </w:numPr>
        <w:tabs>
          <w:tab w:val="num" w:pos="540"/>
          <w:tab w:val="left" w:pos="567"/>
          <w:tab w:val="left" w:pos="993"/>
        </w:tabs>
        <w:ind w:left="567" w:hanging="567"/>
        <w:jc w:val="both"/>
        <w:rPr>
          <w:del w:id="19493" w:author="AbbVie14" w:date="2025-05-09T11:01:00Z"/>
          <w:sz w:val="22"/>
          <w:szCs w:val="22"/>
        </w:rPr>
      </w:pPr>
      <w:del w:id="19494" w:author="AbbVie14" w:date="2025-05-09T11:01:00Z">
        <w:r w:rsidRPr="00295E71">
          <w:rPr>
            <w:sz w:val="22"/>
            <w:szCs w:val="22"/>
          </w:rPr>
          <w:delText>eritema multiforme (rash cutaneo infiammatorio);</w:delText>
        </w:r>
      </w:del>
    </w:p>
    <w:p w:rsidR="00BC55CA" w:rsidRPr="00295E71" w14:paraId="10F70065" w14:textId="77777777">
      <w:pPr>
        <w:numPr>
          <w:ilvl w:val="0"/>
          <w:numId w:val="14"/>
        </w:numPr>
        <w:tabs>
          <w:tab w:val="num" w:pos="540"/>
          <w:tab w:val="left" w:pos="567"/>
          <w:tab w:val="left" w:pos="993"/>
        </w:tabs>
        <w:ind w:left="567" w:hanging="567"/>
        <w:jc w:val="both"/>
        <w:rPr>
          <w:del w:id="19495" w:author="AbbVie14" w:date="2025-05-09T11:01:00Z"/>
          <w:sz w:val="22"/>
          <w:szCs w:val="22"/>
        </w:rPr>
      </w:pPr>
      <w:del w:id="19496" w:author="AbbVie14" w:date="2025-05-09T11:01:00Z">
        <w:r w:rsidRPr="00295E71">
          <w:rPr>
            <w:sz w:val="22"/>
            <w:szCs w:val="22"/>
          </w:rPr>
          <w:delText>sindrome simile al lupus;</w:delText>
        </w:r>
      </w:del>
    </w:p>
    <w:p w:rsidR="00B60005" w:rsidP="00BC55CA" w14:paraId="6ED6EA78" w14:textId="77777777">
      <w:pPr>
        <w:numPr>
          <w:ilvl w:val="0"/>
          <w:numId w:val="14"/>
        </w:numPr>
        <w:tabs>
          <w:tab w:val="num" w:pos="540"/>
          <w:tab w:val="left" w:pos="567"/>
          <w:tab w:val="left" w:pos="993"/>
        </w:tabs>
        <w:ind w:left="567" w:hanging="567"/>
        <w:jc w:val="both"/>
        <w:rPr>
          <w:del w:id="19497" w:author="AbbVie14" w:date="2025-05-09T11:01:00Z"/>
          <w:sz w:val="22"/>
          <w:szCs w:val="22"/>
        </w:rPr>
      </w:pPr>
      <w:del w:id="19498" w:author="AbbVie14" w:date="2025-05-09T11:01:00Z">
        <w:r w:rsidRPr="00295E71">
          <w:rPr>
            <w:sz w:val="22"/>
            <w:szCs w:val="22"/>
          </w:rPr>
          <w:delText>angioedema (gonfiore localizzato della pelle)</w:delText>
        </w:r>
      </w:del>
      <w:del w:id="19499" w:author="AbbVie14" w:date="2025-05-09T11:01:00Z">
        <w:r>
          <w:rPr>
            <w:sz w:val="22"/>
            <w:szCs w:val="22"/>
          </w:rPr>
          <w:delText>;</w:delText>
        </w:r>
      </w:del>
    </w:p>
    <w:p w:rsidR="00B60005" w:rsidRPr="00295E71" w:rsidP="00B60005" w14:paraId="45EDFE3F" w14:textId="77777777">
      <w:pPr>
        <w:numPr>
          <w:ilvl w:val="0"/>
          <w:numId w:val="14"/>
        </w:numPr>
        <w:tabs>
          <w:tab w:val="left" w:pos="567"/>
          <w:tab w:val="left" w:pos="993"/>
        </w:tabs>
        <w:ind w:hanging="720"/>
        <w:jc w:val="both"/>
        <w:rPr>
          <w:del w:id="19500" w:author="AbbVie14" w:date="2025-05-09T11:01:00Z"/>
          <w:sz w:val="22"/>
          <w:szCs w:val="22"/>
        </w:rPr>
      </w:pPr>
      <w:del w:id="19501" w:author="AbbVie14" w:date="2025-05-09T11:01:00Z">
        <w:r w:rsidRPr="00756246">
          <w:rPr>
            <w:sz w:val="22"/>
            <w:szCs w:val="22"/>
          </w:rPr>
          <w:delText>reazione cutanea lichenoide (</w:delText>
        </w:r>
      </w:del>
      <w:del w:id="19502" w:author="AbbVie14" w:date="2025-05-09T11:01:00Z">
        <w:r w:rsidR="00B82780">
          <w:rPr>
            <w:sz w:val="22"/>
            <w:szCs w:val="22"/>
          </w:rPr>
          <w:delText>eruzione</w:delText>
        </w:r>
      </w:del>
      <w:del w:id="19503" w:author="AbbVie14" w:date="2025-05-09T11:01:00Z">
        <w:r w:rsidRPr="00756246">
          <w:rPr>
            <w:sz w:val="22"/>
            <w:szCs w:val="22"/>
          </w:rPr>
          <w:delText xml:space="preserve"> cutane</w:delText>
        </w:r>
      </w:del>
      <w:del w:id="19504" w:author="AbbVie14" w:date="2025-05-09T11:01:00Z">
        <w:r w:rsidR="00B82780">
          <w:rPr>
            <w:sz w:val="22"/>
            <w:szCs w:val="22"/>
          </w:rPr>
          <w:delText>a</w:delText>
        </w:r>
      </w:del>
      <w:del w:id="19505" w:author="AbbVie14" w:date="2025-05-09T11:01:00Z">
        <w:r w:rsidRPr="00756246">
          <w:rPr>
            <w:sz w:val="22"/>
            <w:szCs w:val="22"/>
          </w:rPr>
          <w:delText xml:space="preserve"> ross</w:delText>
        </w:r>
      </w:del>
      <w:del w:id="19506" w:author="AbbVie14" w:date="2025-05-09T11:01:00Z">
        <w:r w:rsidR="00B82780">
          <w:rPr>
            <w:sz w:val="22"/>
            <w:szCs w:val="22"/>
          </w:rPr>
          <w:delText>o</w:delText>
        </w:r>
      </w:del>
      <w:del w:id="19507" w:author="AbbVie14" w:date="2025-05-09T11:01:00Z">
        <w:r w:rsidRPr="00756246">
          <w:rPr>
            <w:sz w:val="22"/>
            <w:szCs w:val="22"/>
          </w:rPr>
          <w:delText>-viola</w:delText>
        </w:r>
      </w:del>
      <w:del w:id="19508" w:author="AbbVie14" w:date="2025-05-09T11:01:00Z">
        <w:r w:rsidR="00B82780">
          <w:rPr>
            <w:sz w:val="22"/>
            <w:szCs w:val="22"/>
          </w:rPr>
          <w:delText>cea</w:delText>
        </w:r>
      </w:del>
      <w:del w:id="19509" w:author="AbbVie14" w:date="2025-05-09T11:01:00Z">
        <w:r w:rsidRPr="00756246">
          <w:rPr>
            <w:sz w:val="22"/>
            <w:szCs w:val="22"/>
          </w:rPr>
          <w:delText xml:space="preserve"> pruriginos</w:delText>
        </w:r>
      </w:del>
      <w:del w:id="19510" w:author="AbbVie14" w:date="2025-05-09T11:01:00Z">
        <w:r w:rsidR="00B82780">
          <w:rPr>
            <w:sz w:val="22"/>
            <w:szCs w:val="22"/>
          </w:rPr>
          <w:delText>a</w:delText>
        </w:r>
      </w:del>
      <w:del w:id="19511" w:author="AbbVie14" w:date="2025-05-09T11:01:00Z">
        <w:r w:rsidRPr="00756246">
          <w:rPr>
            <w:sz w:val="22"/>
            <w:szCs w:val="22"/>
          </w:rPr>
          <w:delText>)</w:delText>
        </w:r>
      </w:del>
      <w:del w:id="19512" w:author="AbbVie14" w:date="2025-05-09T11:01:00Z">
        <w:r w:rsidRPr="00295E71">
          <w:rPr>
            <w:sz w:val="22"/>
            <w:szCs w:val="22"/>
          </w:rPr>
          <w:delText>.</w:delText>
        </w:r>
      </w:del>
    </w:p>
    <w:p w:rsidR="006224C2" w:rsidRPr="00295E71" w14:paraId="563F8C14" w14:textId="77777777">
      <w:pPr>
        <w:pStyle w:val="EMEAFigureTitle"/>
        <w:tabs>
          <w:tab w:val="left" w:pos="993"/>
        </w:tabs>
        <w:suppressAutoHyphens w:val="0"/>
        <w:jc w:val="both"/>
        <w:rPr>
          <w:del w:id="19513" w:author="AbbVie14" w:date="2025-05-09T11:01:00Z"/>
          <w:lang w:val="it-IT" w:eastAsia="it-IT"/>
        </w:rPr>
      </w:pPr>
    </w:p>
    <w:p w:rsidR="006224C2" w:rsidRPr="00295E71" w14:paraId="5EEDC942" w14:textId="77777777">
      <w:pPr>
        <w:pStyle w:val="EMEAFigureTitle"/>
        <w:tabs>
          <w:tab w:val="left" w:pos="993"/>
        </w:tabs>
        <w:suppressAutoHyphens w:val="0"/>
        <w:jc w:val="both"/>
        <w:rPr>
          <w:del w:id="19514" w:author="AbbVie14" w:date="2025-05-09T11:01:00Z"/>
          <w:lang w:val="it-IT" w:eastAsia="it-IT"/>
        </w:rPr>
      </w:pPr>
      <w:del w:id="19515" w:author="AbbVie14" w:date="2025-05-09T11:01:00Z">
        <w:r w:rsidRPr="00295E71">
          <w:rPr>
            <w:lang w:val="it-IT" w:eastAsia="it-IT"/>
          </w:rPr>
          <w:delText>Non nota (la frequenza non può essere definita sulla base dei dati disponibili)</w:delText>
        </w:r>
      </w:del>
    </w:p>
    <w:p w:rsidR="006224C2" w:rsidRPr="00295E71" w14:paraId="634EDBB1" w14:textId="77777777">
      <w:pPr>
        <w:pStyle w:val="EMEAFigureTitle"/>
        <w:tabs>
          <w:tab w:val="left" w:pos="993"/>
        </w:tabs>
        <w:suppressAutoHyphens w:val="0"/>
        <w:jc w:val="both"/>
        <w:rPr>
          <w:del w:id="19516" w:author="AbbVie14" w:date="2025-05-09T11:01:00Z"/>
          <w:lang w:val="it-IT" w:eastAsia="it-IT"/>
        </w:rPr>
      </w:pPr>
    </w:p>
    <w:p w:rsidR="006224C2" w:rsidRPr="00295E71" w14:paraId="634EF2A9" w14:textId="77777777">
      <w:pPr>
        <w:numPr>
          <w:ilvl w:val="0"/>
          <w:numId w:val="14"/>
        </w:numPr>
        <w:tabs>
          <w:tab w:val="num" w:pos="540"/>
          <w:tab w:val="left" w:pos="567"/>
          <w:tab w:val="left" w:pos="993"/>
        </w:tabs>
        <w:ind w:left="567" w:hanging="567"/>
        <w:jc w:val="both"/>
        <w:rPr>
          <w:del w:id="19517" w:author="AbbVie14" w:date="2025-05-09T11:01:00Z"/>
          <w:sz w:val="22"/>
          <w:szCs w:val="22"/>
        </w:rPr>
      </w:pPr>
      <w:del w:id="19518" w:author="AbbVie14" w:date="2025-05-09T11:01:00Z">
        <w:r w:rsidRPr="00295E71">
          <w:rPr>
            <w:sz w:val="22"/>
            <w:szCs w:val="22"/>
          </w:rPr>
          <w:delText>linfoma epato-splenico a cellule T (un raro tumore del sangue che spesso risulta fatale);</w:delText>
        </w:r>
      </w:del>
    </w:p>
    <w:p w:rsidR="006224C2" w14:paraId="66C023AB" w14:textId="77777777">
      <w:pPr>
        <w:numPr>
          <w:ilvl w:val="0"/>
          <w:numId w:val="14"/>
        </w:numPr>
        <w:tabs>
          <w:tab w:val="num" w:pos="540"/>
          <w:tab w:val="left" w:pos="567"/>
          <w:tab w:val="left" w:pos="993"/>
        </w:tabs>
        <w:ind w:left="567" w:hanging="567"/>
        <w:jc w:val="both"/>
        <w:rPr>
          <w:del w:id="19519" w:author="AbbVie14" w:date="2025-05-09T11:01:00Z"/>
          <w:sz w:val="22"/>
          <w:szCs w:val="22"/>
        </w:rPr>
      </w:pPr>
      <w:del w:id="19520" w:author="AbbVie14" w:date="2025-05-09T11:01:00Z">
        <w:r w:rsidRPr="00295E71">
          <w:rPr>
            <w:sz w:val="22"/>
            <w:szCs w:val="22"/>
          </w:rPr>
          <w:delText>carcinoma a cellule di Merkel (un tipo di cancro della pelle);</w:delText>
        </w:r>
      </w:del>
    </w:p>
    <w:p w:rsidR="003E6A38" w:rsidRPr="00985ADA" w:rsidP="00985ADA" w14:paraId="742554FF" w14:textId="77777777">
      <w:pPr>
        <w:numPr>
          <w:ilvl w:val="0"/>
          <w:numId w:val="14"/>
        </w:numPr>
        <w:tabs>
          <w:tab w:val="num" w:pos="540"/>
          <w:tab w:val="left" w:pos="567"/>
          <w:tab w:val="left" w:pos="993"/>
        </w:tabs>
        <w:ind w:left="567" w:hanging="567"/>
        <w:jc w:val="both"/>
        <w:rPr>
          <w:del w:id="19521" w:author="AbbVie14" w:date="2025-05-09T11:01:00Z"/>
          <w:sz w:val="22"/>
          <w:szCs w:val="22"/>
        </w:rPr>
      </w:pPr>
      <w:del w:id="19522" w:author="AbbVie14" w:date="2025-05-09T11:01:00Z">
        <w:r w:rsidRPr="00C573CF">
          <w:rPr>
            <w:sz w:val="22"/>
            <w:szCs w:val="22"/>
          </w:rPr>
          <w:delText>sarcoma di Kaposi, una forma rara di cancro correlato a infezione da Herpes virus umano 8.</w:delText>
        </w:r>
      </w:del>
      <w:del w:id="19523" w:author="AbbVie14" w:date="2025-05-09T11:01:00Z">
        <w:r>
          <w:rPr>
            <w:sz w:val="22"/>
            <w:szCs w:val="22"/>
          </w:rPr>
          <w:delText xml:space="preserve"> </w:delText>
        </w:r>
      </w:del>
      <w:del w:id="19524" w:author="AbbVie14" w:date="2025-05-09T11:01:00Z">
        <w:r w:rsidRPr="00C573CF">
          <w:rPr>
            <w:sz w:val="22"/>
            <w:szCs w:val="22"/>
          </w:rPr>
          <w:delText>Il</w:delText>
        </w:r>
      </w:del>
      <w:del w:id="19525" w:author="AbbVie14" w:date="2025-05-09T11:01:00Z">
        <w:r>
          <w:rPr>
            <w:sz w:val="22"/>
            <w:szCs w:val="22"/>
          </w:rPr>
          <w:delText xml:space="preserve"> </w:delText>
        </w:r>
      </w:del>
      <w:del w:id="19526" w:author="AbbVie14" w:date="2025-05-09T11:01:00Z">
        <w:r w:rsidRPr="00C573CF">
          <w:rPr>
            <w:sz w:val="22"/>
            <w:szCs w:val="22"/>
          </w:rPr>
          <w:delText>sarcoma di Kaposi si manifesta più comunemente con lesioni viola sulla pelle</w:delText>
        </w:r>
      </w:del>
      <w:del w:id="19527" w:author="AbbVie14" w:date="2025-05-09T11:01:00Z">
        <w:r w:rsidR="00985ADA">
          <w:rPr>
            <w:sz w:val="22"/>
            <w:szCs w:val="22"/>
          </w:rPr>
          <w:delText>;</w:delText>
        </w:r>
      </w:del>
    </w:p>
    <w:p w:rsidR="006224C2" w:rsidRPr="00295E71" w14:paraId="573AC0D5" w14:textId="77777777">
      <w:pPr>
        <w:numPr>
          <w:ilvl w:val="0"/>
          <w:numId w:val="14"/>
        </w:numPr>
        <w:tabs>
          <w:tab w:val="num" w:pos="540"/>
          <w:tab w:val="left" w:pos="567"/>
          <w:tab w:val="left" w:pos="993"/>
        </w:tabs>
        <w:ind w:left="567" w:hanging="567"/>
        <w:jc w:val="both"/>
        <w:rPr>
          <w:del w:id="19528" w:author="AbbVie14" w:date="2025-05-09T11:01:00Z"/>
          <w:sz w:val="22"/>
          <w:szCs w:val="22"/>
        </w:rPr>
      </w:pPr>
      <w:del w:id="19529" w:author="AbbVie14" w:date="2025-05-09T11:01:00Z">
        <w:r w:rsidRPr="00295E71">
          <w:rPr>
            <w:sz w:val="22"/>
            <w:szCs w:val="22"/>
          </w:rPr>
          <w:delText>insufficienza epatica;</w:delText>
        </w:r>
      </w:del>
    </w:p>
    <w:p w:rsidR="006224C2" w14:paraId="04049183" w14:textId="77777777">
      <w:pPr>
        <w:numPr>
          <w:ilvl w:val="0"/>
          <w:numId w:val="14"/>
        </w:numPr>
        <w:tabs>
          <w:tab w:val="num" w:pos="540"/>
          <w:tab w:val="left" w:pos="567"/>
          <w:tab w:val="left" w:pos="993"/>
        </w:tabs>
        <w:ind w:left="567" w:hanging="567"/>
        <w:jc w:val="both"/>
        <w:rPr>
          <w:del w:id="19530" w:author="AbbVie14" w:date="2025-05-09T11:01:00Z"/>
          <w:sz w:val="22"/>
          <w:szCs w:val="22"/>
        </w:rPr>
      </w:pPr>
      <w:del w:id="19531" w:author="AbbVie14" w:date="2025-05-09T11:01:00Z">
        <w:r w:rsidRPr="00295E71">
          <w:rPr>
            <w:sz w:val="22"/>
            <w:szCs w:val="22"/>
          </w:rPr>
          <w:delText>peggioramento di una condizione chiamata dermatomiosite (che si manifesta come eruzione cutanea accompagnata da debolezza muscolare)</w:delText>
        </w:r>
      </w:del>
    </w:p>
    <w:p w:rsidR="00A01AD4" w:rsidRPr="00295E71" w14:paraId="3E4EF1CE" w14:textId="77777777">
      <w:pPr>
        <w:numPr>
          <w:ilvl w:val="0"/>
          <w:numId w:val="14"/>
        </w:numPr>
        <w:tabs>
          <w:tab w:val="num" w:pos="540"/>
          <w:tab w:val="left" w:pos="567"/>
          <w:tab w:val="left" w:pos="993"/>
        </w:tabs>
        <w:ind w:left="567" w:hanging="567"/>
        <w:jc w:val="both"/>
        <w:rPr>
          <w:del w:id="19532" w:author="AbbVie14" w:date="2025-05-09T11:01:00Z"/>
          <w:sz w:val="22"/>
          <w:szCs w:val="22"/>
        </w:rPr>
      </w:pPr>
      <w:del w:id="19533" w:author="AbbVie14" w:date="2025-05-09T11:01:00Z">
        <w:r w:rsidRPr="00A01AD4">
          <w:rPr>
            <w:sz w:val="22"/>
            <w:szCs w:val="22"/>
          </w:rPr>
          <w:delText>Aumento di peso (per la maggior parte dei pazienti l’aumento di peso è stato basso)</w:delText>
        </w:r>
      </w:del>
    </w:p>
    <w:p w:rsidR="006224C2" w:rsidRPr="00295E71" w14:paraId="759F53E9" w14:textId="77777777">
      <w:pPr>
        <w:pStyle w:val="EMEAFigureTitle"/>
        <w:tabs>
          <w:tab w:val="left" w:pos="993"/>
        </w:tabs>
        <w:suppressAutoHyphens w:val="0"/>
        <w:jc w:val="both"/>
        <w:rPr>
          <w:del w:id="19534" w:author="AbbVie14" w:date="2025-05-09T11:01:00Z"/>
          <w:lang w:val="it-IT" w:eastAsia="it-IT"/>
        </w:rPr>
      </w:pPr>
    </w:p>
    <w:p w:rsidR="006224C2" w:rsidRPr="00295E71" w:rsidP="00FB547E" w14:paraId="7C62F6F2" w14:textId="77777777">
      <w:pPr>
        <w:pStyle w:val="EMEAFigureTitle"/>
        <w:tabs>
          <w:tab w:val="left" w:pos="993"/>
        </w:tabs>
        <w:suppressAutoHyphens w:val="0"/>
        <w:jc w:val="both"/>
        <w:rPr>
          <w:del w:id="19535" w:author="AbbVie14" w:date="2025-05-09T11:01:00Z"/>
          <w:lang w:val="it-IT"/>
        </w:rPr>
      </w:pPr>
      <w:del w:id="19536" w:author="AbbVie14" w:date="2025-05-09T11:01:00Z">
        <w:r w:rsidRPr="00295E71">
          <w:rPr>
            <w:lang w:val="it-IT" w:eastAsia="it-IT"/>
          </w:rPr>
          <w:delText>Alcuni degli effetti indesiderati</w:delText>
        </w:r>
      </w:del>
      <w:del w:id="19537" w:author="AbbVie14" w:date="2025-05-09T11:01:00Z">
        <w:r w:rsidRPr="00295E71" w:rsidR="007C144D">
          <w:rPr>
            <w:lang w:val="it-IT" w:eastAsia="it-IT"/>
          </w:rPr>
          <w:delText xml:space="preserve"> </w:delText>
        </w:r>
      </w:del>
      <w:del w:id="19538" w:author="AbbVie14" w:date="2025-05-09T11:01:00Z">
        <w:r w:rsidRPr="00295E71">
          <w:rPr>
            <w:lang w:val="it-IT" w:eastAsia="it-IT"/>
          </w:rPr>
          <w:delText>osservati con Humira possono essere</w:delText>
        </w:r>
      </w:del>
      <w:del w:id="19539" w:author="AbbVie14" w:date="2025-05-09T11:01:00Z">
        <w:r w:rsidRPr="00295E71" w:rsidR="007C144D">
          <w:rPr>
            <w:lang w:val="it-IT" w:eastAsia="it-IT"/>
          </w:rPr>
          <w:delText xml:space="preserve"> </w:delText>
        </w:r>
      </w:del>
      <w:del w:id="19540" w:author="AbbVie14" w:date="2025-05-09T11:01:00Z">
        <w:r w:rsidRPr="00295E71">
          <w:rPr>
            <w:lang w:val="it-IT" w:eastAsia="it-IT"/>
          </w:rPr>
          <w:delText>asintomatici e possono essere individuati solo attraverso gli esami del sangue.</w:delText>
        </w:r>
      </w:del>
      <w:del w:id="19541" w:author="AbbVie14" w:date="2025-05-09T11:01:00Z">
        <w:r w:rsidRPr="00295E71">
          <w:rPr>
            <w:lang w:val="it-IT"/>
          </w:rPr>
          <w:delText>Questi includono:</w:delText>
        </w:r>
      </w:del>
    </w:p>
    <w:p w:rsidR="006224C2" w:rsidRPr="00295E71" w14:paraId="7BA891EE" w14:textId="77777777">
      <w:pPr>
        <w:rPr>
          <w:del w:id="19542" w:author="AbbVie14" w:date="2025-05-09T11:01:00Z"/>
          <w:sz w:val="22"/>
          <w:szCs w:val="22"/>
        </w:rPr>
      </w:pPr>
    </w:p>
    <w:p w:rsidR="006224C2" w:rsidRPr="00295E71" w14:paraId="0CF34695" w14:textId="77777777">
      <w:pPr>
        <w:tabs>
          <w:tab w:val="left" w:pos="567"/>
          <w:tab w:val="left" w:pos="993"/>
        </w:tabs>
        <w:jc w:val="both"/>
        <w:rPr>
          <w:del w:id="19543" w:author="AbbVie14" w:date="2025-05-09T11:01:00Z"/>
          <w:sz w:val="22"/>
          <w:szCs w:val="22"/>
        </w:rPr>
      </w:pPr>
      <w:del w:id="19544" w:author="AbbVie14" w:date="2025-05-09T11:01:00Z">
        <w:r w:rsidRPr="00295E71">
          <w:rPr>
            <w:sz w:val="22"/>
            <w:szCs w:val="22"/>
          </w:rPr>
          <w:delText>Molto comuni (possono manifestarsi in più di 1 persona su 10)</w:delText>
        </w:r>
      </w:del>
    </w:p>
    <w:p w:rsidR="006224C2" w:rsidRPr="00295E71" w14:paraId="6BE783FD" w14:textId="77777777">
      <w:pPr>
        <w:tabs>
          <w:tab w:val="left" w:pos="567"/>
          <w:tab w:val="left" w:pos="993"/>
        </w:tabs>
        <w:jc w:val="both"/>
        <w:rPr>
          <w:del w:id="19545" w:author="AbbVie14" w:date="2025-05-09T11:01:00Z"/>
          <w:sz w:val="22"/>
          <w:szCs w:val="22"/>
        </w:rPr>
      </w:pPr>
    </w:p>
    <w:p w:rsidR="006224C2" w:rsidRPr="00295E71" w14:paraId="2BBF7427" w14:textId="77777777">
      <w:pPr>
        <w:numPr>
          <w:ilvl w:val="0"/>
          <w:numId w:val="14"/>
        </w:numPr>
        <w:tabs>
          <w:tab w:val="num" w:pos="540"/>
          <w:tab w:val="left" w:pos="567"/>
          <w:tab w:val="left" w:pos="993"/>
        </w:tabs>
        <w:ind w:left="567" w:hanging="567"/>
        <w:jc w:val="both"/>
        <w:rPr>
          <w:del w:id="19546" w:author="AbbVie14" w:date="2025-05-09T11:01:00Z"/>
          <w:sz w:val="22"/>
          <w:szCs w:val="22"/>
        </w:rPr>
      </w:pPr>
      <w:del w:id="19547" w:author="AbbVie14" w:date="2025-05-09T11:01:00Z">
        <w:r w:rsidRPr="00295E71">
          <w:rPr>
            <w:sz w:val="22"/>
            <w:szCs w:val="22"/>
          </w:rPr>
          <w:delText>bassa conta dei globuli bianchi;</w:delText>
        </w:r>
      </w:del>
    </w:p>
    <w:p w:rsidR="006224C2" w:rsidRPr="00295E71" w14:paraId="6AD7BDBA" w14:textId="77777777">
      <w:pPr>
        <w:numPr>
          <w:ilvl w:val="0"/>
          <w:numId w:val="14"/>
        </w:numPr>
        <w:tabs>
          <w:tab w:val="num" w:pos="540"/>
          <w:tab w:val="left" w:pos="567"/>
          <w:tab w:val="left" w:pos="993"/>
        </w:tabs>
        <w:ind w:left="567" w:hanging="567"/>
        <w:jc w:val="both"/>
        <w:rPr>
          <w:del w:id="19548" w:author="AbbVie14" w:date="2025-05-09T11:01:00Z"/>
          <w:sz w:val="22"/>
          <w:szCs w:val="22"/>
        </w:rPr>
      </w:pPr>
      <w:del w:id="19549" w:author="AbbVie14" w:date="2025-05-09T11:01:00Z">
        <w:r w:rsidRPr="00295E71">
          <w:rPr>
            <w:sz w:val="22"/>
            <w:szCs w:val="22"/>
          </w:rPr>
          <w:delText>bassa conta dei globuli rossi;</w:delText>
        </w:r>
      </w:del>
    </w:p>
    <w:p w:rsidR="006224C2" w:rsidRPr="00295E71" w14:paraId="7196864C" w14:textId="77777777">
      <w:pPr>
        <w:numPr>
          <w:ilvl w:val="0"/>
          <w:numId w:val="14"/>
        </w:numPr>
        <w:tabs>
          <w:tab w:val="num" w:pos="540"/>
          <w:tab w:val="left" w:pos="567"/>
          <w:tab w:val="left" w:pos="993"/>
        </w:tabs>
        <w:ind w:left="567" w:hanging="567"/>
        <w:jc w:val="both"/>
        <w:rPr>
          <w:del w:id="19550" w:author="AbbVie14" w:date="2025-05-09T11:01:00Z"/>
          <w:sz w:val="22"/>
          <w:szCs w:val="22"/>
        </w:rPr>
      </w:pPr>
      <w:del w:id="19551" w:author="AbbVie14" w:date="2025-05-09T11:01:00Z">
        <w:r w:rsidRPr="00295E71">
          <w:rPr>
            <w:sz w:val="22"/>
            <w:szCs w:val="22"/>
          </w:rPr>
          <w:delText>aumento dei lipidi nel sangue;</w:delText>
        </w:r>
      </w:del>
    </w:p>
    <w:p w:rsidR="006224C2" w:rsidRPr="00295E71" w14:paraId="36AB0A05" w14:textId="77777777">
      <w:pPr>
        <w:numPr>
          <w:ilvl w:val="0"/>
          <w:numId w:val="14"/>
        </w:numPr>
        <w:tabs>
          <w:tab w:val="num" w:pos="540"/>
          <w:tab w:val="left" w:pos="567"/>
          <w:tab w:val="left" w:pos="993"/>
        </w:tabs>
        <w:ind w:left="567" w:hanging="567"/>
        <w:jc w:val="both"/>
        <w:rPr>
          <w:del w:id="19552" w:author="AbbVie14" w:date="2025-05-09T11:01:00Z"/>
          <w:sz w:val="22"/>
          <w:szCs w:val="22"/>
        </w:rPr>
      </w:pPr>
      <w:del w:id="19553" w:author="AbbVie14" w:date="2025-05-09T11:01:00Z">
        <w:r w:rsidRPr="00295E71">
          <w:rPr>
            <w:sz w:val="22"/>
            <w:szCs w:val="22"/>
          </w:rPr>
          <w:delText>aumento degli enzimi epatici.</w:delText>
        </w:r>
      </w:del>
    </w:p>
    <w:p w:rsidR="006224C2" w:rsidRPr="00295E71" w14:paraId="5AAC37C2" w14:textId="77777777">
      <w:pPr>
        <w:tabs>
          <w:tab w:val="left" w:pos="567"/>
          <w:tab w:val="left" w:pos="993"/>
        </w:tabs>
        <w:jc w:val="both"/>
        <w:rPr>
          <w:del w:id="19554" w:author="AbbVie14" w:date="2025-05-09T11:01:00Z"/>
          <w:sz w:val="22"/>
          <w:szCs w:val="22"/>
        </w:rPr>
      </w:pPr>
    </w:p>
    <w:p w:rsidR="006224C2" w:rsidRPr="00295E71" w14:paraId="1BE3F46E" w14:textId="77777777">
      <w:pPr>
        <w:pStyle w:val="EMEAFigureTitle"/>
        <w:tabs>
          <w:tab w:val="left" w:pos="993"/>
        </w:tabs>
        <w:suppressAutoHyphens w:val="0"/>
        <w:jc w:val="both"/>
        <w:rPr>
          <w:del w:id="19555" w:author="AbbVie14" w:date="2025-05-09T11:01:00Z"/>
          <w:lang w:val="it-IT" w:eastAsia="it-IT"/>
        </w:rPr>
      </w:pPr>
      <w:del w:id="19556" w:author="AbbVie14" w:date="2025-05-09T11:01:00Z">
        <w:r w:rsidRPr="00295E71">
          <w:rPr>
            <w:lang w:val="it-IT" w:eastAsia="it-IT"/>
          </w:rPr>
          <w:delText>Comuni (possono manifestarsi fino a 1 persona su 10)</w:delText>
        </w:r>
      </w:del>
    </w:p>
    <w:p w:rsidR="006224C2" w:rsidRPr="00295E71" w14:paraId="1324E978" w14:textId="77777777">
      <w:pPr>
        <w:pStyle w:val="EMEANormal"/>
        <w:jc w:val="both"/>
        <w:rPr>
          <w:del w:id="19557" w:author="AbbVie14" w:date="2025-05-09T11:01:00Z"/>
          <w:lang w:val="it-IT" w:eastAsia="it-IT"/>
        </w:rPr>
      </w:pPr>
    </w:p>
    <w:p w:rsidR="006224C2" w:rsidRPr="00295E71" w14:paraId="0A1D5B57" w14:textId="77777777">
      <w:pPr>
        <w:numPr>
          <w:ilvl w:val="0"/>
          <w:numId w:val="14"/>
        </w:numPr>
        <w:tabs>
          <w:tab w:val="num" w:pos="540"/>
          <w:tab w:val="left" w:pos="567"/>
          <w:tab w:val="left" w:pos="993"/>
        </w:tabs>
        <w:ind w:left="567" w:hanging="567"/>
        <w:jc w:val="both"/>
        <w:rPr>
          <w:del w:id="19558" w:author="AbbVie14" w:date="2025-05-09T11:01:00Z"/>
          <w:sz w:val="22"/>
          <w:szCs w:val="22"/>
        </w:rPr>
      </w:pPr>
      <w:del w:id="19559" w:author="AbbVie14" w:date="2025-05-09T11:01:00Z">
        <w:r w:rsidRPr="00295E71">
          <w:rPr>
            <w:sz w:val="22"/>
            <w:szCs w:val="22"/>
          </w:rPr>
          <w:delText>aumento della conta dei globuli bianchi;</w:delText>
        </w:r>
      </w:del>
    </w:p>
    <w:p w:rsidR="006224C2" w:rsidRPr="00295E71" w14:paraId="2345DBAB" w14:textId="77777777">
      <w:pPr>
        <w:numPr>
          <w:ilvl w:val="0"/>
          <w:numId w:val="14"/>
        </w:numPr>
        <w:tabs>
          <w:tab w:val="num" w:pos="540"/>
          <w:tab w:val="left" w:pos="567"/>
          <w:tab w:val="left" w:pos="993"/>
        </w:tabs>
        <w:ind w:left="567" w:hanging="567"/>
        <w:jc w:val="both"/>
        <w:rPr>
          <w:del w:id="19560" w:author="AbbVie14" w:date="2025-05-09T11:01:00Z"/>
          <w:sz w:val="22"/>
          <w:szCs w:val="22"/>
        </w:rPr>
      </w:pPr>
      <w:del w:id="19561" w:author="AbbVie14" w:date="2025-05-09T11:01:00Z">
        <w:r w:rsidRPr="00295E71">
          <w:rPr>
            <w:sz w:val="22"/>
            <w:szCs w:val="22"/>
          </w:rPr>
          <w:delText>riduzione della conta delle piastrine;</w:delText>
        </w:r>
      </w:del>
    </w:p>
    <w:p w:rsidR="006224C2" w:rsidRPr="00295E71" w14:paraId="4A08F867" w14:textId="77777777">
      <w:pPr>
        <w:numPr>
          <w:ilvl w:val="0"/>
          <w:numId w:val="14"/>
        </w:numPr>
        <w:tabs>
          <w:tab w:val="num" w:pos="540"/>
          <w:tab w:val="left" w:pos="567"/>
          <w:tab w:val="left" w:pos="993"/>
        </w:tabs>
        <w:ind w:left="567" w:hanging="567"/>
        <w:jc w:val="both"/>
        <w:rPr>
          <w:del w:id="19562" w:author="AbbVie14" w:date="2025-05-09T11:01:00Z"/>
          <w:sz w:val="22"/>
          <w:szCs w:val="22"/>
        </w:rPr>
      </w:pPr>
      <w:del w:id="19563" w:author="AbbVie14" w:date="2025-05-09T11:01:00Z">
        <w:r w:rsidRPr="00295E71">
          <w:rPr>
            <w:sz w:val="22"/>
            <w:szCs w:val="22"/>
          </w:rPr>
          <w:delText>aumento dell’acido urico nel sangue;</w:delText>
        </w:r>
      </w:del>
    </w:p>
    <w:p w:rsidR="006224C2" w:rsidRPr="00295E71" w14:paraId="552E539E" w14:textId="77777777">
      <w:pPr>
        <w:numPr>
          <w:ilvl w:val="0"/>
          <w:numId w:val="14"/>
        </w:numPr>
        <w:tabs>
          <w:tab w:val="num" w:pos="540"/>
          <w:tab w:val="left" w:pos="567"/>
          <w:tab w:val="left" w:pos="993"/>
        </w:tabs>
        <w:ind w:left="567" w:hanging="567"/>
        <w:jc w:val="both"/>
        <w:rPr>
          <w:del w:id="19564" w:author="AbbVie14" w:date="2025-05-09T11:01:00Z"/>
          <w:sz w:val="22"/>
          <w:szCs w:val="22"/>
        </w:rPr>
      </w:pPr>
      <w:del w:id="19565" w:author="AbbVie14" w:date="2025-05-09T11:01:00Z">
        <w:r w:rsidRPr="00295E71">
          <w:rPr>
            <w:sz w:val="22"/>
            <w:szCs w:val="22"/>
          </w:rPr>
          <w:delText>alterazione del sodio nel sangue;</w:delText>
        </w:r>
      </w:del>
    </w:p>
    <w:p w:rsidR="006224C2" w:rsidRPr="00295E71" w14:paraId="6D4ACA2F" w14:textId="77777777">
      <w:pPr>
        <w:numPr>
          <w:ilvl w:val="0"/>
          <w:numId w:val="14"/>
        </w:numPr>
        <w:tabs>
          <w:tab w:val="num" w:pos="540"/>
          <w:tab w:val="left" w:pos="567"/>
          <w:tab w:val="left" w:pos="993"/>
        </w:tabs>
        <w:ind w:left="567" w:hanging="567"/>
        <w:jc w:val="both"/>
        <w:rPr>
          <w:del w:id="19566" w:author="AbbVie14" w:date="2025-05-09T11:01:00Z"/>
          <w:sz w:val="22"/>
          <w:szCs w:val="22"/>
        </w:rPr>
      </w:pPr>
      <w:del w:id="19567" w:author="AbbVie14" w:date="2025-05-09T11:01:00Z">
        <w:r w:rsidRPr="00295E71">
          <w:rPr>
            <w:sz w:val="22"/>
            <w:szCs w:val="22"/>
          </w:rPr>
          <w:delText>riduzione del calcio nel sangue;</w:delText>
        </w:r>
      </w:del>
    </w:p>
    <w:p w:rsidR="006224C2" w:rsidRPr="00295E71" w14:paraId="693B5B97" w14:textId="77777777">
      <w:pPr>
        <w:numPr>
          <w:ilvl w:val="0"/>
          <w:numId w:val="14"/>
        </w:numPr>
        <w:tabs>
          <w:tab w:val="num" w:pos="540"/>
          <w:tab w:val="left" w:pos="567"/>
          <w:tab w:val="left" w:pos="993"/>
        </w:tabs>
        <w:ind w:left="567" w:hanging="567"/>
        <w:jc w:val="both"/>
        <w:rPr>
          <w:del w:id="19568" w:author="AbbVie14" w:date="2025-05-09T11:01:00Z"/>
          <w:sz w:val="22"/>
          <w:szCs w:val="22"/>
        </w:rPr>
      </w:pPr>
      <w:del w:id="19569" w:author="AbbVie14" w:date="2025-05-09T11:01:00Z">
        <w:r w:rsidRPr="00295E71">
          <w:rPr>
            <w:sz w:val="22"/>
            <w:szCs w:val="22"/>
          </w:rPr>
          <w:delText>riduzione del fosforo nel sangue;</w:delText>
        </w:r>
      </w:del>
    </w:p>
    <w:p w:rsidR="006224C2" w:rsidRPr="00295E71" w14:paraId="2535AD10" w14:textId="77777777">
      <w:pPr>
        <w:numPr>
          <w:ilvl w:val="0"/>
          <w:numId w:val="14"/>
        </w:numPr>
        <w:tabs>
          <w:tab w:val="num" w:pos="540"/>
          <w:tab w:val="left" w:pos="567"/>
          <w:tab w:val="left" w:pos="993"/>
        </w:tabs>
        <w:ind w:left="567" w:hanging="567"/>
        <w:jc w:val="both"/>
        <w:rPr>
          <w:del w:id="19570" w:author="AbbVie14" w:date="2025-05-09T11:01:00Z"/>
          <w:sz w:val="22"/>
          <w:szCs w:val="22"/>
        </w:rPr>
      </w:pPr>
      <w:del w:id="19571" w:author="AbbVie14" w:date="2025-05-09T11:01:00Z">
        <w:r w:rsidRPr="00295E71">
          <w:rPr>
            <w:sz w:val="22"/>
            <w:szCs w:val="22"/>
          </w:rPr>
          <w:delText>aumento dello zucchero nel sangue;</w:delText>
        </w:r>
      </w:del>
    </w:p>
    <w:p w:rsidR="006224C2" w:rsidRPr="00295E71" w14:paraId="173D064C" w14:textId="77777777">
      <w:pPr>
        <w:numPr>
          <w:ilvl w:val="0"/>
          <w:numId w:val="14"/>
        </w:numPr>
        <w:tabs>
          <w:tab w:val="num" w:pos="540"/>
          <w:tab w:val="left" w:pos="567"/>
          <w:tab w:val="left" w:pos="993"/>
        </w:tabs>
        <w:ind w:left="567" w:hanging="567"/>
        <w:jc w:val="both"/>
        <w:rPr>
          <w:del w:id="19572" w:author="AbbVie14" w:date="2025-05-09T11:01:00Z"/>
          <w:sz w:val="22"/>
          <w:szCs w:val="22"/>
        </w:rPr>
      </w:pPr>
      <w:del w:id="19573" w:author="AbbVie14" w:date="2025-05-09T11:01:00Z">
        <w:r w:rsidRPr="00295E71">
          <w:rPr>
            <w:sz w:val="22"/>
            <w:szCs w:val="22"/>
          </w:rPr>
          <w:delText>aumento della lattatodeidrogenasi nel sangue;</w:delText>
        </w:r>
      </w:del>
    </w:p>
    <w:p w:rsidR="00BC55CA" w:rsidRPr="00295E71" w14:paraId="1B275007" w14:textId="77777777">
      <w:pPr>
        <w:numPr>
          <w:ilvl w:val="0"/>
          <w:numId w:val="14"/>
        </w:numPr>
        <w:tabs>
          <w:tab w:val="num" w:pos="540"/>
          <w:tab w:val="left" w:pos="567"/>
          <w:tab w:val="left" w:pos="993"/>
        </w:tabs>
        <w:ind w:left="567" w:hanging="567"/>
        <w:jc w:val="both"/>
        <w:rPr>
          <w:del w:id="19574" w:author="AbbVie14" w:date="2025-05-09T11:01:00Z"/>
          <w:sz w:val="22"/>
          <w:szCs w:val="22"/>
        </w:rPr>
      </w:pPr>
      <w:del w:id="19575" w:author="AbbVie14" w:date="2025-05-09T11:01:00Z">
        <w:r w:rsidRPr="00295E71">
          <w:rPr>
            <w:sz w:val="22"/>
            <w:szCs w:val="22"/>
          </w:rPr>
          <w:delText>presenza di autoanticorpinel sangue;</w:delText>
        </w:r>
      </w:del>
    </w:p>
    <w:p w:rsidR="00BC55CA" w:rsidRPr="00295E71" w:rsidP="00BC55CA" w14:paraId="4E35DBC8" w14:textId="77777777">
      <w:pPr>
        <w:numPr>
          <w:ilvl w:val="0"/>
          <w:numId w:val="14"/>
        </w:numPr>
        <w:tabs>
          <w:tab w:val="num" w:pos="540"/>
          <w:tab w:val="left" w:pos="567"/>
          <w:tab w:val="left" w:pos="993"/>
        </w:tabs>
        <w:ind w:left="567" w:hanging="567"/>
        <w:jc w:val="both"/>
        <w:rPr>
          <w:del w:id="19576" w:author="AbbVie14" w:date="2025-05-09T11:01:00Z"/>
          <w:sz w:val="22"/>
          <w:szCs w:val="22"/>
        </w:rPr>
      </w:pPr>
      <w:del w:id="19577" w:author="AbbVie14" w:date="2025-05-09T11:01:00Z">
        <w:r w:rsidRPr="00295E71">
          <w:rPr>
            <w:sz w:val="22"/>
            <w:szCs w:val="22"/>
          </w:rPr>
          <w:delText>riduzione del potassio nel sangue.</w:delText>
        </w:r>
      </w:del>
    </w:p>
    <w:p w:rsidR="00BC55CA" w:rsidRPr="00295E71" w:rsidP="00BC55CA" w14:paraId="033D6D30" w14:textId="77777777">
      <w:pPr>
        <w:tabs>
          <w:tab w:val="left" w:pos="567"/>
          <w:tab w:val="left" w:pos="993"/>
        </w:tabs>
        <w:ind w:left="567"/>
        <w:jc w:val="both"/>
        <w:rPr>
          <w:del w:id="19578" w:author="AbbVie14" w:date="2025-05-09T11:01:00Z"/>
          <w:sz w:val="22"/>
          <w:szCs w:val="22"/>
        </w:rPr>
      </w:pPr>
    </w:p>
    <w:p w:rsidR="00BC55CA" w:rsidRPr="00295E71" w:rsidP="00BC55CA" w14:paraId="669282A2" w14:textId="77777777">
      <w:pPr>
        <w:tabs>
          <w:tab w:val="left" w:pos="567"/>
          <w:tab w:val="left" w:pos="993"/>
        </w:tabs>
        <w:jc w:val="both"/>
        <w:rPr>
          <w:del w:id="19579" w:author="AbbVie14" w:date="2025-05-09T11:01:00Z"/>
          <w:sz w:val="22"/>
          <w:szCs w:val="22"/>
        </w:rPr>
      </w:pPr>
      <w:del w:id="19580" w:author="AbbVie14" w:date="2025-05-09T11:01:00Z">
        <w:r w:rsidRPr="0020624D">
          <w:rPr>
            <w:sz w:val="22"/>
            <w:szCs w:val="22"/>
          </w:rPr>
          <w:delText>Non comuni</w:delText>
        </w:r>
      </w:del>
      <w:del w:id="19581" w:author="AbbVie14" w:date="2025-05-09T11:01:00Z">
        <w:r w:rsidRPr="00295E71">
          <w:rPr>
            <w:sz w:val="22"/>
            <w:szCs w:val="22"/>
          </w:rPr>
          <w:delText xml:space="preserve"> (possono manifestarsi fino a 1 persona su 100)</w:delText>
        </w:r>
      </w:del>
    </w:p>
    <w:p w:rsidR="00BC55CA" w:rsidRPr="00295E71" w:rsidP="00BC55CA" w14:paraId="1DAA6389" w14:textId="77777777">
      <w:pPr>
        <w:tabs>
          <w:tab w:val="left" w:pos="567"/>
          <w:tab w:val="left" w:pos="993"/>
        </w:tabs>
        <w:jc w:val="both"/>
        <w:rPr>
          <w:del w:id="19582" w:author="AbbVie14" w:date="2025-05-09T11:01:00Z"/>
          <w:sz w:val="22"/>
          <w:szCs w:val="22"/>
        </w:rPr>
      </w:pPr>
    </w:p>
    <w:p w:rsidR="006224C2" w:rsidRPr="00295E71" w:rsidP="00BC55CA" w14:paraId="2CB951B7" w14:textId="77777777">
      <w:pPr>
        <w:numPr>
          <w:ilvl w:val="0"/>
          <w:numId w:val="14"/>
        </w:numPr>
        <w:tabs>
          <w:tab w:val="num" w:pos="540"/>
          <w:tab w:val="left" w:pos="567"/>
          <w:tab w:val="left" w:pos="993"/>
        </w:tabs>
        <w:ind w:left="567" w:hanging="567"/>
        <w:jc w:val="both"/>
        <w:rPr>
          <w:del w:id="19583" w:author="AbbVie14" w:date="2025-05-09T11:01:00Z"/>
          <w:sz w:val="22"/>
          <w:szCs w:val="22"/>
        </w:rPr>
      </w:pPr>
      <w:del w:id="19584" w:author="AbbVie14" w:date="2025-05-09T11:01:00Z">
        <w:r w:rsidRPr="00295E71">
          <w:rPr>
            <w:sz w:val="22"/>
            <w:szCs w:val="22"/>
          </w:rPr>
          <w:delText>livelli elevati di bilirubina nel sangue (esame epatico del sangue).</w:delText>
        </w:r>
      </w:del>
    </w:p>
    <w:p w:rsidR="006224C2" w:rsidRPr="00295E71" w14:paraId="5C80B63E" w14:textId="77777777">
      <w:pPr>
        <w:tabs>
          <w:tab w:val="left" w:pos="567"/>
          <w:tab w:val="left" w:pos="993"/>
        </w:tabs>
        <w:jc w:val="both"/>
        <w:rPr>
          <w:del w:id="19585" w:author="AbbVie14" w:date="2025-05-09T11:01:00Z"/>
          <w:sz w:val="22"/>
          <w:szCs w:val="22"/>
        </w:rPr>
      </w:pPr>
    </w:p>
    <w:p w:rsidR="006224C2" w:rsidRPr="00295E71" w14:paraId="50DC3D6B" w14:textId="77777777">
      <w:pPr>
        <w:pStyle w:val="EMEAFigureTitle"/>
        <w:tabs>
          <w:tab w:val="left" w:pos="993"/>
        </w:tabs>
        <w:suppressAutoHyphens w:val="0"/>
        <w:jc w:val="both"/>
        <w:rPr>
          <w:del w:id="19586" w:author="AbbVie14" w:date="2025-05-09T11:01:00Z"/>
          <w:lang w:val="it-IT" w:eastAsia="it-IT"/>
        </w:rPr>
      </w:pPr>
      <w:del w:id="19587" w:author="AbbVie14" w:date="2025-05-09T11:01:00Z">
        <w:r w:rsidRPr="00295E71">
          <w:rPr>
            <w:lang w:val="it-IT" w:eastAsia="it-IT"/>
          </w:rPr>
          <w:delText>Rari (possono manifestarsi fino a 1 persona su 1.000)</w:delText>
        </w:r>
      </w:del>
    </w:p>
    <w:p w:rsidR="006224C2" w:rsidRPr="00295E71" w14:paraId="2C2D03FE" w14:textId="77777777">
      <w:pPr>
        <w:pStyle w:val="EMEANormal"/>
        <w:jc w:val="both"/>
        <w:rPr>
          <w:del w:id="19588" w:author="AbbVie14" w:date="2025-05-09T11:01:00Z"/>
          <w:lang w:val="it-IT" w:eastAsia="it-IT"/>
        </w:rPr>
      </w:pPr>
    </w:p>
    <w:p w:rsidR="006224C2" w:rsidRPr="00295E71" w14:paraId="55FF041C" w14:textId="77777777">
      <w:pPr>
        <w:numPr>
          <w:ilvl w:val="0"/>
          <w:numId w:val="14"/>
        </w:numPr>
        <w:tabs>
          <w:tab w:val="num" w:pos="540"/>
          <w:tab w:val="left" w:pos="567"/>
          <w:tab w:val="left" w:pos="993"/>
        </w:tabs>
        <w:ind w:left="567" w:hanging="567"/>
        <w:jc w:val="both"/>
        <w:rPr>
          <w:del w:id="19589" w:author="AbbVie14" w:date="2025-05-09T11:01:00Z"/>
          <w:sz w:val="22"/>
          <w:szCs w:val="22"/>
        </w:rPr>
      </w:pPr>
      <w:del w:id="19590" w:author="AbbVie14" w:date="2025-05-09T11:01:00Z">
        <w:r w:rsidRPr="00295E71">
          <w:rPr>
            <w:sz w:val="22"/>
            <w:szCs w:val="22"/>
          </w:rPr>
          <w:delText>bassa conta dei globuli bianchi, dei globuli rossi e delle piastrine.</w:delText>
        </w:r>
      </w:del>
    </w:p>
    <w:p w:rsidR="006224C2" w:rsidRPr="00295E71" w14:paraId="334D8209" w14:textId="77777777">
      <w:pPr>
        <w:tabs>
          <w:tab w:val="left" w:pos="567"/>
        </w:tabs>
        <w:jc w:val="both"/>
        <w:rPr>
          <w:del w:id="19591" w:author="AbbVie14" w:date="2025-05-09T11:01:00Z"/>
          <w:sz w:val="22"/>
          <w:szCs w:val="22"/>
        </w:rPr>
      </w:pPr>
    </w:p>
    <w:p w:rsidR="006224C2" w:rsidRPr="00295E71" w14:paraId="3F826145" w14:textId="77777777">
      <w:pPr>
        <w:keepNext/>
        <w:numPr>
          <w:ilvl w:val="12"/>
          <w:numId w:val="0"/>
        </w:numPr>
        <w:tabs>
          <w:tab w:val="left" w:pos="567"/>
        </w:tabs>
        <w:ind w:right="-2"/>
        <w:jc w:val="both"/>
        <w:rPr>
          <w:del w:id="19592" w:author="AbbVie14" w:date="2025-05-09T11:01:00Z"/>
          <w:b/>
          <w:sz w:val="22"/>
          <w:szCs w:val="22"/>
        </w:rPr>
      </w:pPr>
      <w:del w:id="19593" w:author="AbbVie14" w:date="2025-05-09T11:01:00Z">
        <w:r w:rsidRPr="00295E71">
          <w:rPr>
            <w:b/>
            <w:sz w:val="22"/>
            <w:szCs w:val="22"/>
          </w:rPr>
          <w:delText>Segnalazione degli effetti indesiderati</w:delText>
        </w:r>
      </w:del>
    </w:p>
    <w:p w:rsidR="006224C2" w:rsidRPr="00295E71" w14:paraId="07DA7148" w14:textId="77777777">
      <w:pPr>
        <w:numPr>
          <w:ilvl w:val="12"/>
          <w:numId w:val="0"/>
        </w:numPr>
        <w:tabs>
          <w:tab w:val="left" w:pos="567"/>
        </w:tabs>
        <w:ind w:right="-2"/>
        <w:jc w:val="both"/>
        <w:rPr>
          <w:del w:id="19594" w:author="AbbVie14" w:date="2025-05-09T11:01:00Z"/>
          <w:sz w:val="22"/>
          <w:szCs w:val="22"/>
        </w:rPr>
      </w:pPr>
      <w:del w:id="19595" w:author="AbbVie14" w:date="2025-05-09T11:01:00Z">
        <w:r w:rsidRPr="00295E71">
          <w:rPr>
            <w:sz w:val="22"/>
            <w:szCs w:val="22"/>
          </w:rPr>
          <w:delText>Se manifesta un</w:delText>
        </w:r>
      </w:del>
      <w:del w:id="19596" w:author="AbbVie14" w:date="2025-05-09T11:01:00Z">
        <w:r w:rsidRPr="00295E71" w:rsidR="007C144D">
          <w:rPr>
            <w:sz w:val="22"/>
            <w:szCs w:val="22"/>
          </w:rPr>
          <w:delText xml:space="preserve"> </w:delText>
        </w:r>
      </w:del>
      <w:del w:id="19597" w:author="AbbVie14" w:date="2025-05-09T11:01:00Z">
        <w:r w:rsidRPr="00295E71">
          <w:rPr>
            <w:sz w:val="22"/>
            <w:szCs w:val="22"/>
          </w:rPr>
          <w:delText xml:space="preserve">qualsiasi effetto indesiderato, compresi quelli non elencati in questo foglio, si rivolga al medico o al farmacista. Può inoltre segnalare gli effetti indesiderati direttamente tramite il </w:delText>
        </w:r>
      </w:del>
      <w:del w:id="19598" w:author="AbbVie14" w:date="2025-05-09T11:01:00Z">
        <w:r w:rsidRPr="00295E71">
          <w:rPr>
            <w:sz w:val="22"/>
            <w:szCs w:val="22"/>
            <w:highlight w:val="lightGray"/>
          </w:rPr>
          <w:delText>sistema nazionale di segnalazione riportato nell’</w:delText>
        </w:r>
      </w:del>
      <w:del w:id="19599" w:author="AbbVie14" w:date="2025-05-09T11:01:00Z">
        <w:r>
          <w:fldChar w:fldCharType="begin"/>
        </w:r>
      </w:del>
      <w:del w:id="19600" w:author="AbbVie14" w:date="2025-05-09T11:01:00Z">
        <w:r>
          <w:delInstrText>HYPERLINK "http://www.ema.europa.eu/docs/en_GB/document_library/Template_or_form/2013/03/WC500139752.doc"</w:delInstrText>
        </w:r>
      </w:del>
      <w:del w:id="19601" w:author="AbbVie14" w:date="2025-05-09T11:01:00Z">
        <w:r>
          <w:fldChar w:fldCharType="separate"/>
        </w:r>
      </w:del>
      <w:del w:id="19602" w:author="AbbVie14" w:date="2025-05-09T11:01:00Z">
        <w:r w:rsidRPr="00295E71">
          <w:rPr>
            <w:rStyle w:val="Hyperlink"/>
            <w:sz w:val="22"/>
            <w:szCs w:val="22"/>
            <w:highlight w:val="lightGray"/>
          </w:rPr>
          <w:delText>allegato V</w:delText>
        </w:r>
      </w:del>
      <w:del w:id="19603" w:author="AbbVie14" w:date="2025-05-09T11:01:00Z">
        <w:r>
          <w:fldChar w:fldCharType="end"/>
        </w:r>
      </w:del>
      <w:del w:id="19604" w:author="AbbVie14" w:date="2025-05-09T11:01:00Z">
        <w:r w:rsidRPr="00295E71">
          <w:rPr>
            <w:sz w:val="22"/>
            <w:szCs w:val="22"/>
            <w:highlight w:val="lightGray"/>
          </w:rPr>
          <w:delText>.</w:delText>
        </w:r>
      </w:del>
      <w:del w:id="19605" w:author="AbbVie14" w:date="2025-05-09T11:01:00Z">
        <w:r w:rsidRPr="00295E71">
          <w:rPr>
            <w:sz w:val="22"/>
            <w:szCs w:val="22"/>
          </w:rPr>
          <w:delText xml:space="preserve"> Segnalando gli effetti indesiderati può contribuire a fornire maggiori informazioni sulla sicurezza di questo medicinale.</w:delText>
        </w:r>
      </w:del>
    </w:p>
    <w:p w:rsidR="006224C2" w:rsidRPr="00295E71" w14:paraId="62388922" w14:textId="77777777">
      <w:pPr>
        <w:numPr>
          <w:ilvl w:val="12"/>
          <w:numId w:val="0"/>
        </w:numPr>
        <w:tabs>
          <w:tab w:val="left" w:pos="567"/>
        </w:tabs>
        <w:ind w:right="-2"/>
        <w:jc w:val="both"/>
        <w:rPr>
          <w:del w:id="19606" w:author="AbbVie14" w:date="2025-05-09T11:01:00Z"/>
          <w:sz w:val="22"/>
          <w:szCs w:val="22"/>
        </w:rPr>
      </w:pPr>
    </w:p>
    <w:p w:rsidR="006224C2" w:rsidRPr="00295E71" w14:paraId="2DF1BD1D" w14:textId="77777777">
      <w:pPr>
        <w:numPr>
          <w:ilvl w:val="12"/>
          <w:numId w:val="0"/>
        </w:numPr>
        <w:tabs>
          <w:tab w:val="left" w:pos="567"/>
        </w:tabs>
        <w:ind w:right="-2"/>
        <w:jc w:val="both"/>
        <w:rPr>
          <w:del w:id="19607" w:author="AbbVie14" w:date="2025-05-09T11:01:00Z"/>
          <w:sz w:val="22"/>
          <w:szCs w:val="22"/>
        </w:rPr>
      </w:pPr>
    </w:p>
    <w:p w:rsidR="006224C2" w:rsidRPr="00295E71" w14:paraId="2DF0BA42" w14:textId="77777777">
      <w:pPr>
        <w:numPr>
          <w:ilvl w:val="12"/>
          <w:numId w:val="0"/>
        </w:numPr>
        <w:tabs>
          <w:tab w:val="left" w:pos="567"/>
        </w:tabs>
        <w:ind w:left="567" w:right="-2" w:hanging="567"/>
        <w:jc w:val="both"/>
        <w:rPr>
          <w:del w:id="19608" w:author="AbbVie14" w:date="2025-05-09T11:01:00Z"/>
          <w:b/>
          <w:bCs/>
          <w:sz w:val="22"/>
          <w:szCs w:val="22"/>
        </w:rPr>
      </w:pPr>
      <w:del w:id="19609" w:author="AbbVie14" w:date="2025-05-09T11:01:00Z">
        <w:r w:rsidRPr="00295E71">
          <w:rPr>
            <w:b/>
            <w:bCs/>
            <w:sz w:val="22"/>
            <w:szCs w:val="22"/>
          </w:rPr>
          <w:delText>5.</w:delText>
        </w:r>
      </w:del>
      <w:del w:id="19610" w:author="AbbVie14" w:date="2025-05-09T11:01:00Z">
        <w:r w:rsidRPr="00295E71">
          <w:rPr>
            <w:b/>
            <w:bCs/>
            <w:sz w:val="22"/>
            <w:szCs w:val="22"/>
          </w:rPr>
          <w:tab/>
          <w:delText>Come conservare Humira</w:delText>
        </w:r>
      </w:del>
    </w:p>
    <w:p w:rsidR="006224C2" w:rsidRPr="00295E71" w14:paraId="07263CB6" w14:textId="77777777">
      <w:pPr>
        <w:numPr>
          <w:ilvl w:val="12"/>
          <w:numId w:val="0"/>
        </w:numPr>
        <w:tabs>
          <w:tab w:val="left" w:pos="567"/>
        </w:tabs>
        <w:ind w:right="-2"/>
        <w:jc w:val="both"/>
        <w:rPr>
          <w:del w:id="19611" w:author="AbbVie14" w:date="2025-05-09T11:01:00Z"/>
          <w:sz w:val="22"/>
          <w:szCs w:val="22"/>
        </w:rPr>
      </w:pPr>
    </w:p>
    <w:p w:rsidR="006224C2" w:rsidRPr="00295E71" w14:paraId="60F3D793" w14:textId="77777777">
      <w:pPr>
        <w:numPr>
          <w:ilvl w:val="12"/>
          <w:numId w:val="0"/>
        </w:numPr>
        <w:tabs>
          <w:tab w:val="left" w:pos="567"/>
        </w:tabs>
        <w:ind w:right="-2"/>
        <w:jc w:val="both"/>
        <w:rPr>
          <w:del w:id="19612" w:author="AbbVie14" w:date="2025-05-09T11:01:00Z"/>
          <w:sz w:val="22"/>
          <w:szCs w:val="22"/>
        </w:rPr>
      </w:pPr>
      <w:del w:id="19613" w:author="AbbVie14" w:date="2025-05-09T11:01:00Z">
        <w:r w:rsidRPr="00295E71">
          <w:rPr>
            <w:sz w:val="22"/>
            <w:szCs w:val="22"/>
          </w:rPr>
          <w:delText>Conservi questo medicinale fuori dalla vista e dalla portata dei bambini.</w:delText>
        </w:r>
      </w:del>
    </w:p>
    <w:p w:rsidR="006224C2" w:rsidRPr="00295E71" w14:paraId="05A20ADB" w14:textId="77777777">
      <w:pPr>
        <w:numPr>
          <w:ilvl w:val="12"/>
          <w:numId w:val="0"/>
        </w:numPr>
        <w:tabs>
          <w:tab w:val="left" w:pos="567"/>
        </w:tabs>
        <w:ind w:right="-2"/>
        <w:jc w:val="both"/>
        <w:rPr>
          <w:del w:id="19614" w:author="AbbVie14" w:date="2025-05-09T11:01:00Z"/>
          <w:sz w:val="22"/>
          <w:szCs w:val="22"/>
        </w:rPr>
      </w:pPr>
    </w:p>
    <w:p w:rsidR="006224C2" w:rsidRPr="00295E71" w14:paraId="34872EFA" w14:textId="77777777">
      <w:pPr>
        <w:numPr>
          <w:ilvl w:val="12"/>
          <w:numId w:val="0"/>
        </w:numPr>
        <w:tabs>
          <w:tab w:val="left" w:pos="567"/>
        </w:tabs>
        <w:ind w:right="-2"/>
        <w:jc w:val="both"/>
        <w:rPr>
          <w:del w:id="19615" w:author="AbbVie14" w:date="2025-05-09T11:01:00Z"/>
          <w:sz w:val="22"/>
          <w:szCs w:val="22"/>
        </w:rPr>
      </w:pPr>
      <w:del w:id="19616" w:author="AbbVie14" w:date="2025-05-09T11:01:00Z">
        <w:r w:rsidRPr="00295E71">
          <w:rPr>
            <w:sz w:val="22"/>
            <w:szCs w:val="22"/>
          </w:rPr>
          <w:delText>Non usi questo medicinale dopo la data di scadenza che è riportata sull’etichetta/blister/scatola dopo la scritta Scad.</w:delText>
        </w:r>
      </w:del>
    </w:p>
    <w:p w:rsidR="006224C2" w:rsidRPr="00295E71" w14:paraId="4122083C" w14:textId="77777777">
      <w:pPr>
        <w:numPr>
          <w:ilvl w:val="12"/>
          <w:numId w:val="0"/>
        </w:numPr>
        <w:tabs>
          <w:tab w:val="left" w:pos="567"/>
        </w:tabs>
        <w:ind w:right="-2"/>
        <w:jc w:val="both"/>
        <w:rPr>
          <w:del w:id="19617" w:author="AbbVie14" w:date="2025-05-09T11:01:00Z"/>
          <w:sz w:val="22"/>
          <w:szCs w:val="22"/>
        </w:rPr>
      </w:pPr>
    </w:p>
    <w:p w:rsidR="0097741F" w:rsidRPr="00295E71" w14:paraId="51A2B05A" w14:textId="77777777">
      <w:pPr>
        <w:numPr>
          <w:ilvl w:val="12"/>
          <w:numId w:val="0"/>
        </w:numPr>
        <w:tabs>
          <w:tab w:val="left" w:pos="567"/>
        </w:tabs>
        <w:ind w:right="-2"/>
        <w:jc w:val="both"/>
        <w:rPr>
          <w:del w:id="19618" w:author="AbbVie14" w:date="2025-05-09T11:01:00Z"/>
          <w:sz w:val="22"/>
          <w:szCs w:val="22"/>
        </w:rPr>
      </w:pPr>
      <w:del w:id="19619" w:author="AbbVie14" w:date="2025-05-09T11:01:00Z">
        <w:r w:rsidRPr="00295E71">
          <w:rPr>
            <w:sz w:val="22"/>
            <w:szCs w:val="22"/>
          </w:rPr>
          <w:delText>Conservare in frigorifero (2</w:delText>
        </w:r>
      </w:del>
      <w:del w:id="19620" w:author="AbbVie14" w:date="2025-05-09T11:01:00Z">
        <w:r w:rsidRPr="00295E71">
          <w:rPr>
            <w:rFonts w:ascii="Symbol" w:hAnsi="Symbol"/>
            <w:sz w:val="22"/>
            <w:szCs w:val="22"/>
          </w:rPr>
          <w:sym w:font="Symbol" w:char="F0B0"/>
        </w:r>
      </w:del>
      <w:del w:id="19621" w:author="AbbVie14" w:date="2025-05-09T11:01:00Z">
        <w:r w:rsidRPr="00295E71">
          <w:rPr>
            <w:sz w:val="22"/>
            <w:szCs w:val="22"/>
          </w:rPr>
          <w:delText>C – 8</w:delText>
        </w:r>
      </w:del>
      <w:del w:id="19622" w:author="AbbVie14" w:date="2025-05-09T11:01:00Z">
        <w:r w:rsidRPr="00295E71">
          <w:rPr>
            <w:rFonts w:ascii="Symbol" w:hAnsi="Symbol"/>
            <w:sz w:val="22"/>
            <w:szCs w:val="22"/>
          </w:rPr>
          <w:sym w:font="Symbol" w:char="F0B0"/>
        </w:r>
      </w:del>
      <w:del w:id="19623" w:author="AbbVie14" w:date="2025-05-09T11:01:00Z">
        <w:r w:rsidRPr="00295E71">
          <w:rPr>
            <w:sz w:val="22"/>
            <w:szCs w:val="22"/>
          </w:rPr>
          <w:delText xml:space="preserve">C). Non congelare. </w:delText>
        </w:r>
      </w:del>
    </w:p>
    <w:p w:rsidR="0097741F" w:rsidRPr="00295E71" w14:paraId="69543C44" w14:textId="77777777">
      <w:pPr>
        <w:numPr>
          <w:ilvl w:val="12"/>
          <w:numId w:val="0"/>
        </w:numPr>
        <w:tabs>
          <w:tab w:val="left" w:pos="567"/>
        </w:tabs>
        <w:ind w:right="-2"/>
        <w:jc w:val="both"/>
        <w:rPr>
          <w:del w:id="19624" w:author="AbbVie14" w:date="2025-05-09T11:01:00Z"/>
          <w:sz w:val="22"/>
          <w:szCs w:val="22"/>
        </w:rPr>
      </w:pPr>
    </w:p>
    <w:p w:rsidR="006224C2" w:rsidRPr="00295E71" w14:paraId="5F98F928" w14:textId="77777777">
      <w:pPr>
        <w:numPr>
          <w:ilvl w:val="12"/>
          <w:numId w:val="0"/>
        </w:numPr>
        <w:tabs>
          <w:tab w:val="left" w:pos="567"/>
        </w:tabs>
        <w:ind w:right="-2"/>
        <w:jc w:val="both"/>
        <w:rPr>
          <w:del w:id="19625" w:author="AbbVie14" w:date="2025-05-09T11:01:00Z"/>
          <w:sz w:val="22"/>
          <w:szCs w:val="22"/>
        </w:rPr>
      </w:pPr>
      <w:del w:id="19626" w:author="AbbVie14" w:date="2025-05-09T11:01:00Z">
        <w:r w:rsidRPr="00295E71">
          <w:rPr>
            <w:sz w:val="22"/>
            <w:szCs w:val="22"/>
          </w:rPr>
          <w:delText>Tenere</w:delText>
        </w:r>
      </w:del>
      <w:del w:id="19627" w:author="AbbVie14" w:date="2025-05-09T11:01:00Z">
        <w:r w:rsidRPr="00295E71" w:rsidR="00226BC4">
          <w:rPr>
            <w:sz w:val="22"/>
            <w:szCs w:val="22"/>
          </w:rPr>
          <w:delText xml:space="preserve"> la penna pre-riempita nell’</w:delText>
        </w:r>
      </w:del>
      <w:del w:id="19628" w:author="AbbVie14" w:date="2025-05-09T11:01:00Z">
        <w:r w:rsidRPr="00295E71">
          <w:delText>imballaggio esterno</w:delText>
        </w:r>
      </w:del>
      <w:del w:id="19629" w:author="AbbVie14" w:date="2025-05-09T11:01:00Z">
        <w:r w:rsidRPr="00295E71" w:rsidR="00226BC4">
          <w:rPr>
            <w:sz w:val="22"/>
            <w:szCs w:val="22"/>
          </w:rPr>
          <w:delText xml:space="preserve"> per proteggere il medicinale dalla luce.</w:delText>
        </w:r>
      </w:del>
    </w:p>
    <w:p w:rsidR="006224C2" w:rsidRPr="00295E71" w14:paraId="0A9B686C" w14:textId="77777777">
      <w:pPr>
        <w:numPr>
          <w:ilvl w:val="12"/>
          <w:numId w:val="0"/>
        </w:numPr>
        <w:tabs>
          <w:tab w:val="left" w:pos="567"/>
        </w:tabs>
        <w:ind w:right="-2"/>
        <w:jc w:val="both"/>
        <w:rPr>
          <w:del w:id="19630" w:author="AbbVie14" w:date="2025-05-09T11:01:00Z"/>
          <w:sz w:val="22"/>
          <w:szCs w:val="22"/>
        </w:rPr>
      </w:pPr>
    </w:p>
    <w:p w:rsidR="006224C2" w:rsidRPr="00295E71" w14:paraId="0701B880" w14:textId="77777777">
      <w:pPr>
        <w:keepNext/>
        <w:numPr>
          <w:ilvl w:val="12"/>
          <w:numId w:val="0"/>
        </w:numPr>
        <w:tabs>
          <w:tab w:val="left" w:pos="567"/>
        </w:tabs>
        <w:ind w:right="-2"/>
        <w:jc w:val="both"/>
        <w:rPr>
          <w:del w:id="19631" w:author="AbbVie14" w:date="2025-05-09T11:01:00Z"/>
          <w:sz w:val="22"/>
          <w:szCs w:val="22"/>
        </w:rPr>
      </w:pPr>
      <w:del w:id="19632" w:author="AbbVie14" w:date="2025-05-09T11:01:00Z">
        <w:r w:rsidRPr="00295E71">
          <w:rPr>
            <w:sz w:val="22"/>
            <w:szCs w:val="22"/>
          </w:rPr>
          <w:delText>Condizioni di conservazione alternative:</w:delText>
        </w:r>
      </w:del>
    </w:p>
    <w:p w:rsidR="006224C2" w:rsidRPr="00295E71" w14:paraId="680FC1FE" w14:textId="77777777">
      <w:pPr>
        <w:keepNext/>
        <w:numPr>
          <w:ilvl w:val="12"/>
          <w:numId w:val="0"/>
        </w:numPr>
        <w:tabs>
          <w:tab w:val="left" w:pos="567"/>
        </w:tabs>
        <w:ind w:right="-2"/>
        <w:jc w:val="both"/>
        <w:rPr>
          <w:del w:id="19633" w:author="AbbVie14" w:date="2025-05-09T11:01:00Z"/>
          <w:sz w:val="22"/>
          <w:szCs w:val="22"/>
        </w:rPr>
      </w:pPr>
    </w:p>
    <w:p w:rsidR="006224C2" w:rsidRPr="00295E71" w14:paraId="3F920FA8" w14:textId="77777777">
      <w:pPr>
        <w:keepNext/>
        <w:numPr>
          <w:ilvl w:val="12"/>
          <w:numId w:val="0"/>
        </w:numPr>
        <w:tabs>
          <w:tab w:val="left" w:pos="567"/>
        </w:tabs>
        <w:ind w:right="-2"/>
        <w:jc w:val="both"/>
        <w:rPr>
          <w:del w:id="19634" w:author="AbbVie14" w:date="2025-05-09T11:01:00Z"/>
          <w:sz w:val="22"/>
          <w:szCs w:val="22"/>
        </w:rPr>
      </w:pPr>
      <w:del w:id="19635" w:author="AbbVie14" w:date="2025-05-09T11:01:00Z">
        <w:r w:rsidRPr="00295E71">
          <w:rPr>
            <w:sz w:val="22"/>
            <w:szCs w:val="22"/>
          </w:rPr>
          <w:delText xml:space="preserve">Quando necessario (per esempio quando viaggia) una singola penna pre-riempita può essere conservata a temperatura ambiente (fino a 25°C) per un periodo massimo di 14 giorni – assicurarsi di proteggere il medicinale dalla luce. Una volta che viene rimossa dal frigorifero per essere conservata a temperatura ambiente, la penna </w:delText>
        </w:r>
      </w:del>
      <w:del w:id="19636" w:author="AbbVie14" w:date="2025-05-09T11:01:00Z">
        <w:r w:rsidRPr="00295E71">
          <w:rPr>
            <w:b/>
            <w:sz w:val="22"/>
            <w:szCs w:val="22"/>
          </w:rPr>
          <w:delText>deve essere usata entro 14 giorni o buttata via</w:delText>
        </w:r>
      </w:del>
      <w:del w:id="19637" w:author="AbbVie14" w:date="2025-05-09T11:01:00Z">
        <w:r w:rsidRPr="00295E71">
          <w:rPr>
            <w:sz w:val="22"/>
            <w:szCs w:val="22"/>
          </w:rPr>
          <w:delText>, anche se viene posta di nuovo nel frigorifero.</w:delText>
        </w:r>
      </w:del>
    </w:p>
    <w:p w:rsidR="00FE69D9" w:rsidRPr="00295E71" w14:paraId="616F6676" w14:textId="77777777">
      <w:pPr>
        <w:keepNext/>
        <w:numPr>
          <w:ilvl w:val="12"/>
          <w:numId w:val="0"/>
        </w:numPr>
        <w:tabs>
          <w:tab w:val="left" w:pos="567"/>
        </w:tabs>
        <w:ind w:right="-2"/>
        <w:jc w:val="both"/>
        <w:rPr>
          <w:del w:id="19638" w:author="AbbVie14" w:date="2025-05-09T11:01:00Z"/>
          <w:sz w:val="22"/>
          <w:szCs w:val="22"/>
        </w:rPr>
      </w:pPr>
    </w:p>
    <w:p w:rsidR="006224C2" w:rsidRPr="00295E71" w14:paraId="09BAB32F" w14:textId="77777777">
      <w:pPr>
        <w:numPr>
          <w:ilvl w:val="12"/>
          <w:numId w:val="0"/>
        </w:numPr>
        <w:tabs>
          <w:tab w:val="left" w:pos="567"/>
        </w:tabs>
        <w:ind w:right="-2"/>
        <w:jc w:val="both"/>
        <w:rPr>
          <w:del w:id="19639" w:author="AbbVie14" w:date="2025-05-09T11:01:00Z"/>
          <w:sz w:val="22"/>
          <w:szCs w:val="22"/>
        </w:rPr>
      </w:pPr>
      <w:del w:id="19640" w:author="AbbVie14" w:date="2025-05-09T11:01:00Z">
        <w:r w:rsidRPr="00295E71">
          <w:rPr>
            <w:sz w:val="22"/>
            <w:szCs w:val="22"/>
          </w:rPr>
          <w:delText>Deve registrare la data in cui la penna viene tolta dal frigorifero la prima volta e la data dopo la quale la penna deve essere buttata via.</w:delText>
        </w:r>
      </w:del>
    </w:p>
    <w:p w:rsidR="006224C2" w:rsidRPr="00295E71" w14:paraId="5A78BE48" w14:textId="77777777">
      <w:pPr>
        <w:numPr>
          <w:ilvl w:val="12"/>
          <w:numId w:val="0"/>
        </w:numPr>
        <w:tabs>
          <w:tab w:val="left" w:pos="567"/>
        </w:tabs>
        <w:ind w:right="-2"/>
        <w:jc w:val="both"/>
        <w:rPr>
          <w:del w:id="19641" w:author="AbbVie14" w:date="2025-05-09T11:01:00Z"/>
          <w:sz w:val="22"/>
          <w:szCs w:val="22"/>
        </w:rPr>
      </w:pPr>
    </w:p>
    <w:p w:rsidR="006224C2" w:rsidRPr="00295E71" w14:paraId="6528B070" w14:textId="77777777">
      <w:pPr>
        <w:numPr>
          <w:ilvl w:val="12"/>
          <w:numId w:val="0"/>
        </w:numPr>
        <w:tabs>
          <w:tab w:val="left" w:pos="0"/>
        </w:tabs>
        <w:ind w:right="-2"/>
        <w:jc w:val="both"/>
        <w:rPr>
          <w:del w:id="19642" w:author="AbbVie14" w:date="2025-05-09T11:01:00Z"/>
          <w:sz w:val="22"/>
          <w:szCs w:val="22"/>
        </w:rPr>
      </w:pPr>
      <w:del w:id="19643" w:author="AbbVie14" w:date="2025-05-09T11:01:00Z">
        <w:r w:rsidRPr="00295E71">
          <w:rPr>
            <w:sz w:val="22"/>
            <w:szCs w:val="22"/>
          </w:rPr>
          <w:delText xml:space="preserve">Non getti alcun medicinale nell’acqua di scarico e nei rifiuti domestici. Chieda al medico o al farmacista come eliminare i medicinali che non utilizza più. Questo aiuterà a proteggere l’ambiente. </w:delText>
        </w:r>
      </w:del>
    </w:p>
    <w:p w:rsidR="006224C2" w:rsidRPr="00295E71" w14:paraId="6505A22F" w14:textId="77777777">
      <w:pPr>
        <w:numPr>
          <w:ilvl w:val="12"/>
          <w:numId w:val="0"/>
        </w:numPr>
        <w:tabs>
          <w:tab w:val="left" w:pos="567"/>
        </w:tabs>
        <w:ind w:left="567" w:right="-2" w:hanging="567"/>
        <w:jc w:val="both"/>
        <w:rPr>
          <w:del w:id="19644" w:author="AbbVie14" w:date="2025-05-09T11:01:00Z"/>
          <w:sz w:val="22"/>
          <w:szCs w:val="22"/>
        </w:rPr>
      </w:pPr>
    </w:p>
    <w:p w:rsidR="006224C2" w:rsidRPr="00295E71" w14:paraId="242BDBB0" w14:textId="77777777">
      <w:pPr>
        <w:numPr>
          <w:ilvl w:val="12"/>
          <w:numId w:val="0"/>
        </w:numPr>
        <w:tabs>
          <w:tab w:val="left" w:pos="567"/>
        </w:tabs>
        <w:ind w:left="567" w:right="-2" w:hanging="567"/>
        <w:jc w:val="both"/>
        <w:rPr>
          <w:del w:id="19645" w:author="AbbVie14" w:date="2025-05-09T11:01:00Z"/>
          <w:sz w:val="22"/>
          <w:szCs w:val="22"/>
        </w:rPr>
      </w:pPr>
    </w:p>
    <w:p w:rsidR="006224C2" w:rsidRPr="00295E71" w14:paraId="4197B705" w14:textId="77777777">
      <w:pPr>
        <w:numPr>
          <w:ilvl w:val="12"/>
          <w:numId w:val="0"/>
        </w:numPr>
        <w:tabs>
          <w:tab w:val="left" w:pos="567"/>
        </w:tabs>
        <w:ind w:left="567" w:right="-2" w:hanging="567"/>
        <w:jc w:val="both"/>
        <w:rPr>
          <w:del w:id="19646" w:author="AbbVie14" w:date="2025-05-09T11:01:00Z"/>
          <w:b/>
          <w:bCs/>
          <w:sz w:val="22"/>
          <w:szCs w:val="22"/>
        </w:rPr>
      </w:pPr>
      <w:del w:id="19647" w:author="AbbVie14" w:date="2025-05-09T11:01:00Z">
        <w:r w:rsidRPr="00295E71">
          <w:rPr>
            <w:b/>
            <w:bCs/>
            <w:sz w:val="22"/>
            <w:szCs w:val="22"/>
          </w:rPr>
          <w:delText>6.</w:delText>
        </w:r>
      </w:del>
      <w:del w:id="19648" w:author="AbbVie14" w:date="2025-05-09T11:01:00Z">
        <w:r w:rsidRPr="00295E71">
          <w:rPr>
            <w:b/>
            <w:bCs/>
            <w:sz w:val="22"/>
            <w:szCs w:val="22"/>
          </w:rPr>
          <w:tab/>
          <w:delText>Contenuto della confezione e altre informazioni</w:delText>
        </w:r>
      </w:del>
    </w:p>
    <w:p w:rsidR="006224C2" w:rsidRPr="00295E71" w14:paraId="74550A9D" w14:textId="77777777">
      <w:pPr>
        <w:numPr>
          <w:ilvl w:val="12"/>
          <w:numId w:val="0"/>
        </w:numPr>
        <w:tabs>
          <w:tab w:val="left" w:pos="567"/>
        </w:tabs>
        <w:ind w:right="-2"/>
        <w:jc w:val="both"/>
        <w:rPr>
          <w:del w:id="19649" w:author="AbbVie14" w:date="2025-05-09T11:01:00Z"/>
          <w:sz w:val="22"/>
          <w:szCs w:val="22"/>
        </w:rPr>
      </w:pPr>
    </w:p>
    <w:p w:rsidR="006224C2" w:rsidRPr="00295E71" w14:paraId="7D851408" w14:textId="77777777">
      <w:pPr>
        <w:pStyle w:val="Heading8"/>
        <w:keepNext w:val="0"/>
        <w:tabs>
          <w:tab w:val="left" w:pos="567"/>
        </w:tabs>
        <w:jc w:val="both"/>
        <w:rPr>
          <w:del w:id="19650" w:author="AbbVie14" w:date="2025-05-09T11:01:00Z"/>
        </w:rPr>
      </w:pPr>
      <w:del w:id="19651" w:author="AbbVie14" w:date="2025-05-09T11:01:00Z">
        <w:r w:rsidRPr="00295E71">
          <w:delText>Cosa contiene Humira</w:delText>
        </w:r>
      </w:del>
    </w:p>
    <w:p w:rsidR="006224C2" w:rsidRPr="00295E71" w14:paraId="755E5F6E" w14:textId="77777777">
      <w:pPr>
        <w:numPr>
          <w:ilvl w:val="12"/>
          <w:numId w:val="0"/>
        </w:numPr>
        <w:tabs>
          <w:tab w:val="left" w:pos="567"/>
        </w:tabs>
        <w:ind w:right="-2"/>
        <w:jc w:val="both"/>
        <w:rPr>
          <w:del w:id="19652" w:author="AbbVie14" w:date="2025-05-09T11:01:00Z"/>
          <w:sz w:val="22"/>
          <w:szCs w:val="22"/>
        </w:rPr>
      </w:pPr>
    </w:p>
    <w:p w:rsidR="006224C2" w:rsidRPr="00295E71" w:rsidP="00F57FE5" w14:paraId="407FE7C9" w14:textId="77777777">
      <w:pPr>
        <w:tabs>
          <w:tab w:val="left" w:pos="567"/>
        </w:tabs>
        <w:ind w:right="-2"/>
        <w:jc w:val="both"/>
        <w:rPr>
          <w:del w:id="19653" w:author="AbbVie14" w:date="2025-05-09T11:01:00Z"/>
          <w:sz w:val="22"/>
          <w:szCs w:val="22"/>
        </w:rPr>
      </w:pPr>
      <w:del w:id="19654" w:author="AbbVie14" w:date="2025-05-09T11:01:00Z">
        <w:r w:rsidRPr="00295E71">
          <w:rPr>
            <w:sz w:val="22"/>
            <w:szCs w:val="22"/>
          </w:rPr>
          <w:delText>Il principio attivo è adalimumab.</w:delText>
        </w:r>
      </w:del>
    </w:p>
    <w:p w:rsidR="006224C2" w:rsidRPr="00295E71" w:rsidP="00F57FE5" w14:paraId="05EBE85C" w14:textId="77777777">
      <w:pPr>
        <w:tabs>
          <w:tab w:val="left" w:pos="567"/>
        </w:tabs>
        <w:ind w:right="-2"/>
        <w:jc w:val="both"/>
        <w:rPr>
          <w:del w:id="19655" w:author="AbbVie14" w:date="2025-05-09T11:01:00Z"/>
          <w:sz w:val="22"/>
          <w:szCs w:val="22"/>
        </w:rPr>
      </w:pPr>
      <w:del w:id="19656" w:author="AbbVie14" w:date="2025-05-09T11:01:00Z">
        <w:r w:rsidRPr="00295E71">
          <w:rPr>
            <w:sz w:val="22"/>
            <w:szCs w:val="22"/>
          </w:rPr>
          <w:delText>Gli eccipienti sono mannitolo, acido citrico monoidrato, sodio citrato, sodio fosfato monobasico diidrato, sodio fosfato dibasico diidrato, sodio cloruro, polisorbato 80, sodio idrossido e acqua per preparazioni iniettabili.</w:delText>
        </w:r>
      </w:del>
    </w:p>
    <w:p w:rsidR="006224C2" w:rsidRPr="00295E71" w14:paraId="463DB8D6" w14:textId="77777777">
      <w:pPr>
        <w:numPr>
          <w:ilvl w:val="12"/>
          <w:numId w:val="0"/>
        </w:numPr>
        <w:tabs>
          <w:tab w:val="left" w:pos="567"/>
        </w:tabs>
        <w:ind w:right="-2"/>
        <w:jc w:val="both"/>
        <w:rPr>
          <w:del w:id="19657" w:author="AbbVie14" w:date="2025-05-09T11:01:00Z"/>
          <w:sz w:val="22"/>
          <w:szCs w:val="22"/>
        </w:rPr>
      </w:pPr>
    </w:p>
    <w:p w:rsidR="006224C2" w:rsidRPr="00295E71" w:rsidP="00EE30BE" w14:paraId="48E8B20C" w14:textId="77777777">
      <w:pPr>
        <w:pStyle w:val="Heading8"/>
        <w:tabs>
          <w:tab w:val="left" w:pos="567"/>
        </w:tabs>
        <w:jc w:val="both"/>
        <w:rPr>
          <w:del w:id="19658" w:author="AbbVie14" w:date="2025-05-09T11:01:00Z"/>
        </w:rPr>
      </w:pPr>
      <w:del w:id="19659" w:author="AbbVie14" w:date="2025-05-09T11:01:00Z">
        <w:r w:rsidRPr="00295E71">
          <w:delText>Descrizione dell’aspetto di Humira penna-preriempita e contenuto della confezione</w:delText>
        </w:r>
      </w:del>
    </w:p>
    <w:p w:rsidR="006224C2" w:rsidRPr="00295E71" w:rsidP="00EE30BE" w14:paraId="22035B11" w14:textId="77777777">
      <w:pPr>
        <w:keepNext/>
        <w:numPr>
          <w:ilvl w:val="12"/>
          <w:numId w:val="0"/>
        </w:numPr>
        <w:tabs>
          <w:tab w:val="left" w:pos="567"/>
        </w:tabs>
        <w:ind w:right="-2"/>
        <w:jc w:val="both"/>
        <w:rPr>
          <w:del w:id="19660" w:author="AbbVie14" w:date="2025-05-09T11:01:00Z"/>
          <w:sz w:val="22"/>
          <w:szCs w:val="22"/>
        </w:rPr>
      </w:pPr>
    </w:p>
    <w:p w:rsidR="006224C2" w:rsidRPr="00295E71" w:rsidP="00EE30BE" w14:paraId="75C95372" w14:textId="77777777">
      <w:pPr>
        <w:keepNext/>
        <w:numPr>
          <w:ilvl w:val="12"/>
          <w:numId w:val="0"/>
        </w:numPr>
        <w:tabs>
          <w:tab w:val="left" w:pos="567"/>
        </w:tabs>
        <w:ind w:right="-2"/>
        <w:jc w:val="both"/>
        <w:rPr>
          <w:del w:id="19661" w:author="AbbVie14" w:date="2025-05-09T11:01:00Z"/>
          <w:sz w:val="22"/>
          <w:szCs w:val="22"/>
        </w:rPr>
      </w:pPr>
      <w:del w:id="19662" w:author="AbbVie14" w:date="2025-05-09T11:01:00Z">
        <w:r w:rsidRPr="00295E71">
          <w:rPr>
            <w:sz w:val="22"/>
            <w:szCs w:val="22"/>
          </w:rPr>
          <w:delText>Humira 40 mg soluzione iniettabile in penne pre-riempite è fornito come soluzione sterile di 40 mg di adalimumab disciolti in 0,8 ml di soluzione.</w:delText>
        </w:r>
      </w:del>
    </w:p>
    <w:p w:rsidR="006224C2" w:rsidRPr="00295E71" w:rsidP="00EE30BE" w14:paraId="47932610" w14:textId="77777777">
      <w:pPr>
        <w:keepNext/>
        <w:numPr>
          <w:ilvl w:val="12"/>
          <w:numId w:val="0"/>
        </w:numPr>
        <w:tabs>
          <w:tab w:val="left" w:pos="567"/>
        </w:tabs>
        <w:ind w:right="-2"/>
        <w:jc w:val="both"/>
        <w:rPr>
          <w:del w:id="19663" w:author="AbbVie14" w:date="2025-05-09T11:01:00Z"/>
          <w:sz w:val="22"/>
          <w:szCs w:val="22"/>
        </w:rPr>
      </w:pPr>
    </w:p>
    <w:p w:rsidR="006224C2" w:rsidRPr="00295E71" w14:paraId="73281225" w14:textId="77777777">
      <w:pPr>
        <w:rPr>
          <w:del w:id="19664" w:author="AbbVie14" w:date="2025-05-09T11:01:00Z"/>
          <w:sz w:val="22"/>
          <w:szCs w:val="22"/>
        </w:rPr>
      </w:pPr>
      <w:del w:id="19665" w:author="AbbVie14" w:date="2025-05-09T11:01:00Z">
        <w:r w:rsidRPr="00295E71">
          <w:rPr>
            <w:sz w:val="22"/>
            <w:szCs w:val="22"/>
          </w:rPr>
          <w:delText>La penna pre-riempita di Humira è una penna monouso di colore grigio e viola contenente una siringa di vetro in cui è presente Humira. La penna è dotata di due tappi – uno grigio contrassegnato con il numero ‘1’ e l’altro di colore viola contrassegnato con il numero ‘2’. Su ogni parete della penna c’è una finestrella attraverso la quale si può intravedere la soluzione di Humira presente all’interno della siringa.</w:delText>
        </w:r>
      </w:del>
    </w:p>
    <w:p w:rsidR="006224C2" w:rsidRPr="00295E71" w14:paraId="634D0994" w14:textId="77777777">
      <w:pPr>
        <w:numPr>
          <w:ilvl w:val="12"/>
          <w:numId w:val="0"/>
        </w:numPr>
        <w:tabs>
          <w:tab w:val="left" w:pos="567"/>
        </w:tabs>
        <w:ind w:right="-2"/>
        <w:jc w:val="both"/>
        <w:rPr>
          <w:del w:id="19666" w:author="AbbVie14" w:date="2025-05-09T11:01:00Z"/>
          <w:sz w:val="22"/>
          <w:szCs w:val="22"/>
        </w:rPr>
      </w:pPr>
    </w:p>
    <w:p w:rsidR="006F32E5" w:rsidRPr="00295E71" w14:paraId="1D756196" w14:textId="77777777">
      <w:pPr>
        <w:numPr>
          <w:ilvl w:val="12"/>
          <w:numId w:val="0"/>
        </w:numPr>
        <w:tabs>
          <w:tab w:val="left" w:pos="567"/>
        </w:tabs>
        <w:ind w:right="-2"/>
        <w:jc w:val="both"/>
        <w:rPr>
          <w:del w:id="19667" w:author="AbbVie14" w:date="2025-05-09T11:01:00Z"/>
          <w:sz w:val="22"/>
          <w:szCs w:val="22"/>
        </w:rPr>
      </w:pPr>
      <w:del w:id="19668" w:author="AbbVie14" w:date="2025-05-09T11:01:00Z">
        <w:r w:rsidRPr="00295E71">
          <w:rPr>
            <w:sz w:val="22"/>
            <w:szCs w:val="22"/>
          </w:rPr>
          <w:delText>La penna pre-riempita di Humira è disponibile in confezioni contenenti 1, 2, 4 e 6 penne pre-riempite. La confezione da 1 penna pre-riempita contiene 2 tamponi imbevuti di alcool (1 di scorta). Le confezioni da 2, 4 e 6 penne pre-riempite vengono fornite con 1 tampone imbevuto di alcool per ogni penna pre-riempita.</w:delText>
        </w:r>
      </w:del>
    </w:p>
    <w:p w:rsidR="006F32E5" w:rsidRPr="00295E71" w14:paraId="3B2D83C5" w14:textId="77777777">
      <w:pPr>
        <w:numPr>
          <w:ilvl w:val="12"/>
          <w:numId w:val="0"/>
        </w:numPr>
        <w:tabs>
          <w:tab w:val="left" w:pos="567"/>
        </w:tabs>
        <w:ind w:right="-2"/>
        <w:jc w:val="both"/>
        <w:rPr>
          <w:del w:id="19669" w:author="AbbVie14" w:date="2025-05-09T11:01:00Z"/>
          <w:sz w:val="22"/>
          <w:szCs w:val="22"/>
        </w:rPr>
      </w:pPr>
    </w:p>
    <w:p w:rsidR="006F32E5" w:rsidRPr="00295E71" w14:paraId="5C24F2F5" w14:textId="77777777">
      <w:pPr>
        <w:numPr>
          <w:ilvl w:val="12"/>
          <w:numId w:val="0"/>
        </w:numPr>
        <w:tabs>
          <w:tab w:val="left" w:pos="567"/>
        </w:tabs>
        <w:ind w:right="-2"/>
        <w:jc w:val="both"/>
        <w:rPr>
          <w:del w:id="19670" w:author="AbbVie14" w:date="2025-05-09T11:01:00Z"/>
          <w:sz w:val="22"/>
          <w:szCs w:val="22"/>
        </w:rPr>
      </w:pPr>
      <w:del w:id="19671" w:author="AbbVie14" w:date="2025-05-09T11:01:00Z">
        <w:r w:rsidRPr="00295E71">
          <w:rPr>
            <w:sz w:val="22"/>
            <w:szCs w:val="22"/>
          </w:rPr>
          <w:delText xml:space="preserve">È possibile che non tutte le confezioni siano commercializzate. </w:delText>
        </w:r>
      </w:del>
    </w:p>
    <w:p w:rsidR="006F32E5" w:rsidRPr="00295E71" w14:paraId="10898B68" w14:textId="77777777">
      <w:pPr>
        <w:numPr>
          <w:ilvl w:val="12"/>
          <w:numId w:val="0"/>
        </w:numPr>
        <w:tabs>
          <w:tab w:val="left" w:pos="567"/>
        </w:tabs>
        <w:ind w:right="-2"/>
        <w:jc w:val="both"/>
        <w:rPr>
          <w:del w:id="19672" w:author="AbbVie14" w:date="2025-05-09T11:01:00Z"/>
          <w:sz w:val="22"/>
          <w:szCs w:val="22"/>
        </w:rPr>
      </w:pPr>
    </w:p>
    <w:p w:rsidR="006224C2" w:rsidRPr="00295E71" w14:paraId="07B5C590" w14:textId="77777777">
      <w:pPr>
        <w:numPr>
          <w:ilvl w:val="12"/>
          <w:numId w:val="0"/>
        </w:numPr>
        <w:tabs>
          <w:tab w:val="left" w:pos="567"/>
        </w:tabs>
        <w:ind w:right="-2"/>
        <w:jc w:val="both"/>
        <w:rPr>
          <w:del w:id="19673" w:author="AbbVie14" w:date="2025-05-09T11:01:00Z"/>
          <w:sz w:val="22"/>
          <w:szCs w:val="22"/>
        </w:rPr>
      </w:pPr>
      <w:del w:id="19674" w:author="AbbVie14" w:date="2025-05-09T11:01:00Z">
        <w:r w:rsidRPr="00295E71">
          <w:rPr>
            <w:sz w:val="22"/>
            <w:szCs w:val="22"/>
          </w:rPr>
          <w:delText xml:space="preserve">Humira </w:delText>
        </w:r>
      </w:del>
      <w:del w:id="19675" w:author="AbbVie14" w:date="2025-05-09T11:01:00Z">
        <w:r w:rsidRPr="00295E71" w:rsidR="006F32E5">
          <w:rPr>
            <w:sz w:val="22"/>
            <w:szCs w:val="22"/>
          </w:rPr>
          <w:delText xml:space="preserve">può essere </w:delText>
        </w:r>
      </w:del>
      <w:del w:id="19676" w:author="AbbVie14" w:date="2025-05-09T11:01:00Z">
        <w:r w:rsidRPr="00295E71">
          <w:rPr>
            <w:sz w:val="22"/>
            <w:szCs w:val="22"/>
          </w:rPr>
          <w:delText>disponibile in flaconcino, in siringa pre-riempita</w:delText>
        </w:r>
      </w:del>
      <w:del w:id="19677" w:author="AbbVie14" w:date="2025-05-09T11:01:00Z">
        <w:r w:rsidRPr="00295E71" w:rsidR="006F32E5">
          <w:rPr>
            <w:sz w:val="22"/>
            <w:szCs w:val="22"/>
          </w:rPr>
          <w:delText xml:space="preserve"> </w:delText>
        </w:r>
      </w:del>
      <w:del w:id="19678" w:author="AbbVie14" w:date="2025-05-09T11:01:00Z">
        <w:r w:rsidRPr="00295E71">
          <w:rPr>
            <w:sz w:val="22"/>
            <w:szCs w:val="22"/>
          </w:rPr>
          <w:delText>e</w:delText>
        </w:r>
      </w:del>
      <w:del w:id="19679" w:author="AbbVie14" w:date="2025-05-09T11:01:00Z">
        <w:r w:rsidRPr="00295E71" w:rsidR="006F32E5">
          <w:rPr>
            <w:sz w:val="22"/>
            <w:szCs w:val="22"/>
          </w:rPr>
          <w:delText>/o</w:delText>
        </w:r>
      </w:del>
      <w:del w:id="19680" w:author="AbbVie14" w:date="2025-05-09T11:01:00Z">
        <w:r w:rsidRPr="00295E71">
          <w:rPr>
            <w:sz w:val="22"/>
            <w:szCs w:val="22"/>
          </w:rPr>
          <w:delText xml:space="preserve"> in penna pre-riempita.</w:delText>
        </w:r>
      </w:del>
    </w:p>
    <w:p w:rsidR="006224C2" w:rsidRPr="00295E71" w14:paraId="6368E24D" w14:textId="77777777">
      <w:pPr>
        <w:numPr>
          <w:ilvl w:val="12"/>
          <w:numId w:val="0"/>
        </w:numPr>
        <w:tabs>
          <w:tab w:val="left" w:pos="567"/>
        </w:tabs>
        <w:ind w:right="-2"/>
        <w:jc w:val="both"/>
        <w:rPr>
          <w:del w:id="19681" w:author="AbbVie14" w:date="2025-05-09T11:01:00Z"/>
          <w:sz w:val="22"/>
          <w:szCs w:val="22"/>
        </w:rPr>
      </w:pPr>
    </w:p>
    <w:p w:rsidR="006224C2" w:rsidRPr="00295E71" w14:paraId="49BE9EA1" w14:textId="77777777">
      <w:pPr>
        <w:pStyle w:val="Heading8"/>
        <w:keepLines/>
        <w:tabs>
          <w:tab w:val="left" w:pos="567"/>
        </w:tabs>
        <w:jc w:val="both"/>
        <w:rPr>
          <w:del w:id="19682" w:author="AbbVie14" w:date="2025-05-09T11:01:00Z"/>
        </w:rPr>
      </w:pPr>
      <w:del w:id="19683" w:author="AbbVie14" w:date="2025-05-09T11:01:00Z">
        <w:r w:rsidRPr="00295E71">
          <w:delText>Titolare dell’autorizzazione all’immissione in commercio</w:delText>
        </w:r>
      </w:del>
    </w:p>
    <w:p w:rsidR="006224C2" w:rsidRPr="00295E71" w14:paraId="30D86D97" w14:textId="77777777">
      <w:pPr>
        <w:keepNext/>
        <w:keepLines/>
        <w:numPr>
          <w:ilvl w:val="12"/>
          <w:numId w:val="0"/>
        </w:numPr>
        <w:tabs>
          <w:tab w:val="left" w:pos="567"/>
        </w:tabs>
        <w:ind w:right="-2"/>
        <w:jc w:val="both"/>
        <w:rPr>
          <w:del w:id="19684" w:author="AbbVie14" w:date="2025-05-09T11:01:00Z"/>
          <w:sz w:val="22"/>
          <w:szCs w:val="22"/>
        </w:rPr>
      </w:pPr>
    </w:p>
    <w:p w:rsidR="0016286C" w:rsidRPr="0002593D" w:rsidP="0016286C" w14:paraId="79F1114B" w14:textId="77777777">
      <w:pPr>
        <w:tabs>
          <w:tab w:val="left" w:pos="567"/>
        </w:tabs>
        <w:jc w:val="both"/>
        <w:rPr>
          <w:del w:id="19685" w:author="AbbVie14" w:date="2025-05-09T11:01:00Z"/>
          <w:sz w:val="22"/>
          <w:szCs w:val="22"/>
          <w:lang w:val="de-DE"/>
        </w:rPr>
      </w:pPr>
      <w:del w:id="19686" w:author="AbbVie14" w:date="2025-05-09T11:01:00Z">
        <w:r w:rsidRPr="00295E71">
          <w:rPr>
            <w:sz w:val="22"/>
            <w:szCs w:val="22"/>
          </w:rPr>
          <w:delText xml:space="preserve">AbbVie Deutschland GmbH &amp; Co. </w:delText>
        </w:r>
      </w:del>
      <w:del w:id="19687" w:author="AbbVie14" w:date="2025-05-09T11:01:00Z">
        <w:r w:rsidRPr="0002593D">
          <w:rPr>
            <w:sz w:val="22"/>
            <w:szCs w:val="22"/>
            <w:lang w:val="de-DE"/>
          </w:rPr>
          <w:delText>KG</w:delText>
        </w:r>
      </w:del>
    </w:p>
    <w:p w:rsidR="0016286C" w:rsidRPr="0002593D" w:rsidP="0016286C" w14:paraId="3031697A" w14:textId="77777777">
      <w:pPr>
        <w:tabs>
          <w:tab w:val="left" w:pos="567"/>
        </w:tabs>
        <w:jc w:val="both"/>
        <w:rPr>
          <w:del w:id="19688" w:author="AbbVie14" w:date="2025-05-09T11:01:00Z"/>
          <w:sz w:val="22"/>
          <w:szCs w:val="22"/>
          <w:lang w:val="de-DE"/>
        </w:rPr>
      </w:pPr>
      <w:del w:id="19689" w:author="AbbVie14" w:date="2025-05-09T11:01:00Z">
        <w:r w:rsidRPr="0002593D">
          <w:rPr>
            <w:sz w:val="22"/>
            <w:szCs w:val="22"/>
            <w:lang w:val="de-DE"/>
          </w:rPr>
          <w:delText>Knollstrasse</w:delText>
        </w:r>
      </w:del>
    </w:p>
    <w:p w:rsidR="0016286C" w:rsidRPr="0002593D" w:rsidP="0016286C" w14:paraId="72A83147" w14:textId="77777777">
      <w:pPr>
        <w:tabs>
          <w:tab w:val="left" w:pos="567"/>
        </w:tabs>
        <w:jc w:val="both"/>
        <w:rPr>
          <w:del w:id="19690" w:author="AbbVie14" w:date="2025-05-09T11:01:00Z"/>
          <w:sz w:val="22"/>
          <w:szCs w:val="22"/>
          <w:lang w:val="de-DE"/>
        </w:rPr>
      </w:pPr>
      <w:del w:id="19691" w:author="AbbVie14" w:date="2025-05-09T11:01:00Z">
        <w:r w:rsidRPr="0002593D">
          <w:rPr>
            <w:sz w:val="22"/>
            <w:szCs w:val="22"/>
            <w:lang w:val="de-DE"/>
          </w:rPr>
          <w:delText>67061 Ludwigshafen</w:delText>
        </w:r>
      </w:del>
    </w:p>
    <w:p w:rsidR="0016286C" w:rsidRPr="0002593D" w:rsidP="0016286C" w14:paraId="39776755" w14:textId="77777777">
      <w:pPr>
        <w:tabs>
          <w:tab w:val="left" w:pos="567"/>
        </w:tabs>
        <w:jc w:val="both"/>
        <w:rPr>
          <w:del w:id="19692" w:author="AbbVie14" w:date="2025-05-09T11:01:00Z"/>
          <w:sz w:val="22"/>
          <w:szCs w:val="22"/>
          <w:lang w:val="de-DE"/>
        </w:rPr>
      </w:pPr>
      <w:del w:id="19693" w:author="AbbVie14" w:date="2025-05-09T11:01:00Z">
        <w:r w:rsidRPr="0002593D">
          <w:rPr>
            <w:sz w:val="22"/>
            <w:szCs w:val="22"/>
            <w:lang w:val="de-DE"/>
          </w:rPr>
          <w:delText>Germania</w:delText>
        </w:r>
      </w:del>
    </w:p>
    <w:p w:rsidR="006224C2" w:rsidRPr="0002593D" w14:paraId="34C3E924" w14:textId="77777777">
      <w:pPr>
        <w:numPr>
          <w:ilvl w:val="12"/>
          <w:numId w:val="0"/>
        </w:numPr>
        <w:tabs>
          <w:tab w:val="left" w:pos="567"/>
        </w:tabs>
        <w:ind w:right="-2"/>
        <w:jc w:val="both"/>
        <w:rPr>
          <w:del w:id="19694" w:author="AbbVie14" w:date="2025-05-09T11:01:00Z"/>
          <w:sz w:val="22"/>
          <w:szCs w:val="22"/>
          <w:lang w:val="de-DE"/>
        </w:rPr>
      </w:pPr>
    </w:p>
    <w:p w:rsidR="006224C2" w:rsidRPr="0002593D" w14:paraId="5AD3EBEF" w14:textId="77777777">
      <w:pPr>
        <w:rPr>
          <w:del w:id="19695" w:author="AbbVie14" w:date="2025-05-09T11:01:00Z"/>
          <w:b/>
          <w:sz w:val="22"/>
          <w:szCs w:val="22"/>
          <w:lang w:val="de-DE"/>
        </w:rPr>
      </w:pPr>
      <w:del w:id="19696" w:author="AbbVie14" w:date="2025-05-09T11:01:00Z">
        <w:r w:rsidRPr="0002593D">
          <w:rPr>
            <w:b/>
            <w:sz w:val="22"/>
            <w:szCs w:val="22"/>
            <w:lang w:val="de-DE"/>
          </w:rPr>
          <w:delText>Produttore</w:delText>
        </w:r>
      </w:del>
    </w:p>
    <w:p w:rsidR="006224C2" w:rsidRPr="0002593D" w14:paraId="0F0F1235" w14:textId="77777777">
      <w:pPr>
        <w:numPr>
          <w:ilvl w:val="12"/>
          <w:numId w:val="0"/>
        </w:numPr>
        <w:tabs>
          <w:tab w:val="left" w:pos="567"/>
        </w:tabs>
        <w:ind w:right="-2"/>
        <w:jc w:val="both"/>
        <w:rPr>
          <w:del w:id="19697" w:author="AbbVie14" w:date="2025-05-09T11:01:00Z"/>
          <w:sz w:val="22"/>
          <w:szCs w:val="22"/>
          <w:lang w:val="de-DE"/>
        </w:rPr>
      </w:pPr>
    </w:p>
    <w:p w:rsidR="006224C2" w:rsidRPr="00F01EAB" w14:paraId="503A41B0" w14:textId="77777777">
      <w:pPr>
        <w:rPr>
          <w:del w:id="19698" w:author="AbbVie14" w:date="2025-05-09T11:01:00Z"/>
          <w:sz w:val="22"/>
          <w:szCs w:val="22"/>
        </w:rPr>
      </w:pPr>
      <w:del w:id="19699" w:author="AbbVie14" w:date="2025-05-09T11:01:00Z">
        <w:r w:rsidRPr="00F01EAB">
          <w:rPr>
            <w:sz w:val="22"/>
            <w:szCs w:val="22"/>
          </w:rPr>
          <w:delText>AbbVie Biotechnology GmbH</w:delText>
        </w:r>
      </w:del>
    </w:p>
    <w:p w:rsidR="006224C2" w:rsidRPr="00F01EAB" w14:paraId="65F6CCE2" w14:textId="77777777">
      <w:pPr>
        <w:numPr>
          <w:ilvl w:val="12"/>
          <w:numId w:val="0"/>
        </w:numPr>
        <w:tabs>
          <w:tab w:val="left" w:pos="720"/>
        </w:tabs>
        <w:rPr>
          <w:del w:id="19700" w:author="AbbVie14" w:date="2025-05-09T11:01:00Z"/>
          <w:sz w:val="22"/>
          <w:szCs w:val="22"/>
        </w:rPr>
      </w:pPr>
      <w:del w:id="19701" w:author="AbbVie14" w:date="2025-05-09T11:01:00Z">
        <w:r w:rsidRPr="00F01EAB">
          <w:rPr>
            <w:sz w:val="22"/>
            <w:szCs w:val="22"/>
          </w:rPr>
          <w:delText>Knollstrasse</w:delText>
        </w:r>
      </w:del>
    </w:p>
    <w:p w:rsidR="006224C2" w:rsidRPr="00F01EAB" w14:paraId="481EF309" w14:textId="77777777">
      <w:pPr>
        <w:numPr>
          <w:ilvl w:val="12"/>
          <w:numId w:val="0"/>
        </w:numPr>
        <w:tabs>
          <w:tab w:val="left" w:pos="720"/>
        </w:tabs>
        <w:rPr>
          <w:del w:id="19702" w:author="AbbVie14" w:date="2025-05-09T11:01:00Z"/>
          <w:sz w:val="22"/>
          <w:szCs w:val="22"/>
        </w:rPr>
      </w:pPr>
      <w:del w:id="19703" w:author="AbbVie14" w:date="2025-05-09T11:01:00Z">
        <w:r w:rsidRPr="00F01EAB">
          <w:rPr>
            <w:sz w:val="22"/>
            <w:szCs w:val="22"/>
          </w:rPr>
          <w:delText>67061 Ludwigshafen</w:delText>
        </w:r>
      </w:del>
    </w:p>
    <w:p w:rsidR="006224C2" w:rsidRPr="00295E71" w14:paraId="665E808D" w14:textId="77777777">
      <w:pPr>
        <w:numPr>
          <w:ilvl w:val="12"/>
          <w:numId w:val="0"/>
        </w:numPr>
        <w:tabs>
          <w:tab w:val="left" w:pos="720"/>
        </w:tabs>
        <w:rPr>
          <w:del w:id="19704" w:author="AbbVie14" w:date="2025-05-09T11:01:00Z"/>
          <w:sz w:val="22"/>
          <w:szCs w:val="22"/>
        </w:rPr>
      </w:pPr>
      <w:del w:id="19705" w:author="AbbVie14" w:date="2025-05-09T11:01:00Z">
        <w:r w:rsidRPr="00295E71">
          <w:rPr>
            <w:sz w:val="22"/>
            <w:szCs w:val="22"/>
          </w:rPr>
          <w:delText>Germania</w:delText>
        </w:r>
      </w:del>
    </w:p>
    <w:p w:rsidR="006224C2" w:rsidRPr="00295E71" w14:paraId="52768AB9" w14:textId="77777777">
      <w:pPr>
        <w:numPr>
          <w:ilvl w:val="12"/>
          <w:numId w:val="0"/>
        </w:numPr>
        <w:tabs>
          <w:tab w:val="left" w:pos="567"/>
        </w:tabs>
        <w:ind w:right="-2"/>
        <w:jc w:val="both"/>
        <w:rPr>
          <w:del w:id="19706" w:author="AbbVie14" w:date="2025-05-09T11:01:00Z"/>
          <w:sz w:val="22"/>
          <w:szCs w:val="22"/>
        </w:rPr>
      </w:pPr>
    </w:p>
    <w:p w:rsidR="006224C2" w:rsidRPr="00295E71" w14:paraId="28B4AB75" w14:textId="77777777">
      <w:pPr>
        <w:numPr>
          <w:ilvl w:val="12"/>
          <w:numId w:val="0"/>
        </w:numPr>
        <w:tabs>
          <w:tab w:val="left" w:pos="567"/>
        </w:tabs>
        <w:ind w:right="-2"/>
        <w:jc w:val="both"/>
        <w:rPr>
          <w:del w:id="19707" w:author="AbbVie14" w:date="2025-05-09T11:01:00Z"/>
          <w:sz w:val="22"/>
          <w:szCs w:val="22"/>
        </w:rPr>
      </w:pPr>
      <w:del w:id="19708" w:author="AbbVie14" w:date="2025-05-09T11:01:00Z">
        <w:r w:rsidRPr="00295E71">
          <w:rPr>
            <w:sz w:val="22"/>
            <w:szCs w:val="22"/>
          </w:rPr>
          <w:delText xml:space="preserve">Per ulteriori informazioni su questo medicinale, contatti il rappresentante locale del titolare dell’autorizzazione all’immissione in commercio: </w:delText>
        </w:r>
      </w:del>
    </w:p>
    <w:p w:rsidR="006224C2" w:rsidRPr="00295E71" w14:paraId="36226F96" w14:textId="77777777">
      <w:pPr>
        <w:rPr>
          <w:del w:id="19709" w:author="AbbVie14" w:date="2025-05-09T11:01:00Z"/>
          <w:sz w:val="22"/>
          <w:szCs w:val="22"/>
          <w:lang w:eastAsia="en-US"/>
        </w:rPr>
      </w:pPr>
    </w:p>
    <w:tbl>
      <w:tblPr>
        <w:tblW w:w="9356" w:type="dxa"/>
        <w:tblInd w:w="-34" w:type="dxa"/>
        <w:tblLayout w:type="fixed"/>
        <w:tblLook w:val="0000"/>
      </w:tblPr>
      <w:tblGrid>
        <w:gridCol w:w="34"/>
        <w:gridCol w:w="4610"/>
        <w:gridCol w:w="34"/>
        <w:gridCol w:w="4678"/>
      </w:tblGrid>
      <w:tr w14:paraId="2F18760E" w14:textId="77777777" w:rsidTr="001F79B0">
        <w:tblPrEx>
          <w:tblW w:w="9356" w:type="dxa"/>
          <w:tblInd w:w="-34" w:type="dxa"/>
          <w:tblLayout w:type="fixed"/>
          <w:tblLook w:val="0000"/>
        </w:tblPrEx>
        <w:trPr>
          <w:del w:id="19710" w:author="AbbVie14" w:date="2025-05-09T11:01:00Z"/>
        </w:trPr>
        <w:tc>
          <w:tcPr>
            <w:tcW w:w="4644" w:type="dxa"/>
            <w:gridSpan w:val="2"/>
          </w:tcPr>
          <w:p w:rsidR="00235869" w:rsidRPr="00BD646C" w:rsidP="001F79B0" w14:paraId="621F9D4A" w14:textId="77777777">
            <w:pPr>
              <w:rPr>
                <w:del w:id="19711" w:author="AbbVie14" w:date="2025-05-09T11:01:00Z"/>
                <w:b/>
                <w:bCs/>
                <w:sz w:val="22"/>
                <w:szCs w:val="22"/>
                <w:lang w:val="fr-BE"/>
              </w:rPr>
            </w:pPr>
            <w:del w:id="19712" w:author="AbbVie14" w:date="2025-05-09T11:01:00Z">
              <w:r w:rsidRPr="00BD646C">
                <w:rPr>
                  <w:b/>
                  <w:bCs/>
                  <w:sz w:val="22"/>
                  <w:szCs w:val="22"/>
                  <w:lang w:val="fr-BE"/>
                </w:rPr>
                <w:delText>België/Belgique/Belgien</w:delText>
              </w:r>
            </w:del>
          </w:p>
          <w:p w:rsidR="00235869" w:rsidRPr="00BD646C" w:rsidP="001F79B0" w14:paraId="71E20AE1" w14:textId="77777777">
            <w:pPr>
              <w:rPr>
                <w:del w:id="19713" w:author="AbbVie14" w:date="2025-05-09T11:01:00Z"/>
                <w:bCs/>
                <w:sz w:val="22"/>
                <w:szCs w:val="22"/>
                <w:lang w:val="fr-FR"/>
              </w:rPr>
            </w:pPr>
            <w:del w:id="19714" w:author="AbbVie14" w:date="2025-05-09T11:01:00Z">
              <w:r w:rsidRPr="00BD646C">
                <w:rPr>
                  <w:bCs/>
                  <w:sz w:val="22"/>
                  <w:szCs w:val="22"/>
                  <w:lang w:val="fr-FR"/>
                </w:rPr>
                <w:delText>AbbVie SA</w:delText>
              </w:r>
            </w:del>
          </w:p>
          <w:p w:rsidR="00235869" w:rsidRPr="00BD646C" w:rsidP="001F79B0" w14:paraId="07C84244" w14:textId="77777777">
            <w:pPr>
              <w:rPr>
                <w:del w:id="19715" w:author="AbbVie14" w:date="2025-05-09T11:01:00Z"/>
                <w:sz w:val="22"/>
                <w:szCs w:val="22"/>
                <w:lang w:val="fr-FR"/>
              </w:rPr>
            </w:pPr>
            <w:del w:id="19716" w:author="AbbVie14" w:date="2025-05-09T11:01:00Z">
              <w:r w:rsidRPr="00BD646C">
                <w:rPr>
                  <w:bCs/>
                  <w:sz w:val="22"/>
                  <w:szCs w:val="22"/>
                  <w:lang w:val="fr-FR"/>
                </w:rPr>
                <w:delText xml:space="preserve">Tél/Tel: +32 10 </w:delText>
              </w:r>
            </w:del>
            <w:del w:id="19717" w:author="AbbVie14" w:date="2025-05-09T11:01:00Z">
              <w:r w:rsidRPr="00BD646C">
                <w:rPr>
                  <w:sz w:val="22"/>
                  <w:szCs w:val="22"/>
                  <w:lang w:val="fr-FR"/>
                </w:rPr>
                <w:delText>477811</w:delText>
              </w:r>
            </w:del>
          </w:p>
          <w:p w:rsidR="00235869" w:rsidRPr="00BD646C" w:rsidP="001F79B0" w14:paraId="28A2ED2B" w14:textId="77777777">
            <w:pPr>
              <w:rPr>
                <w:del w:id="19718" w:author="AbbVie14" w:date="2025-05-09T11:01:00Z"/>
                <w:bCs/>
                <w:sz w:val="22"/>
                <w:szCs w:val="22"/>
                <w:lang w:val="fr-FR"/>
              </w:rPr>
            </w:pPr>
          </w:p>
        </w:tc>
        <w:tc>
          <w:tcPr>
            <w:tcW w:w="4678" w:type="dxa"/>
            <w:gridSpan w:val="2"/>
          </w:tcPr>
          <w:p w:rsidR="00235869" w:rsidRPr="00BD646C" w:rsidP="001F79B0" w14:paraId="0D714285" w14:textId="77777777">
            <w:pPr>
              <w:rPr>
                <w:del w:id="19719" w:author="AbbVie14" w:date="2025-05-09T11:01:00Z"/>
                <w:b/>
                <w:bCs/>
                <w:sz w:val="22"/>
                <w:szCs w:val="22"/>
                <w:lang w:val="lt-LT"/>
              </w:rPr>
            </w:pPr>
            <w:del w:id="19720" w:author="AbbVie14" w:date="2025-05-09T11:01:00Z">
              <w:r w:rsidRPr="00BD646C">
                <w:rPr>
                  <w:b/>
                  <w:bCs/>
                  <w:sz w:val="22"/>
                  <w:szCs w:val="22"/>
                  <w:lang w:val="lt-LT"/>
                </w:rPr>
                <w:delText>Lietuva</w:delText>
              </w:r>
            </w:del>
          </w:p>
          <w:p w:rsidR="00235869" w:rsidRPr="00BD646C" w:rsidP="001F79B0" w14:paraId="4D11AF20" w14:textId="77777777">
            <w:pPr>
              <w:rPr>
                <w:del w:id="19721" w:author="AbbVie14" w:date="2025-05-09T11:01:00Z"/>
                <w:bCs/>
                <w:sz w:val="22"/>
                <w:szCs w:val="22"/>
                <w:lang w:val="lv-LV"/>
              </w:rPr>
            </w:pPr>
            <w:del w:id="19722" w:author="AbbVie14" w:date="2025-05-09T11:01:00Z">
              <w:r w:rsidRPr="00BD646C">
                <w:rPr>
                  <w:bCs/>
                  <w:sz w:val="22"/>
                  <w:szCs w:val="22"/>
                  <w:lang w:val="lv-LV"/>
                </w:rPr>
                <w:delText xml:space="preserve">AbbVie UAB </w:delText>
              </w:r>
            </w:del>
          </w:p>
          <w:p w:rsidR="00235869" w:rsidRPr="00BD646C" w:rsidP="001F79B0" w14:paraId="3A782B0D" w14:textId="77777777">
            <w:pPr>
              <w:rPr>
                <w:del w:id="19723" w:author="AbbVie14" w:date="2025-05-09T11:01:00Z"/>
                <w:bCs/>
                <w:sz w:val="22"/>
                <w:szCs w:val="22"/>
                <w:lang w:val="lv-LV"/>
              </w:rPr>
            </w:pPr>
            <w:del w:id="19724" w:author="AbbVie14" w:date="2025-05-09T11:01:00Z">
              <w:r w:rsidRPr="00BD646C">
                <w:rPr>
                  <w:bCs/>
                  <w:sz w:val="22"/>
                  <w:szCs w:val="22"/>
                  <w:lang w:val="lv-LV"/>
                </w:rPr>
                <w:delText>Tel: +370 5 205 3023</w:delText>
              </w:r>
            </w:del>
          </w:p>
        </w:tc>
      </w:tr>
      <w:tr w14:paraId="244C2C8C" w14:textId="77777777" w:rsidTr="001F79B0">
        <w:tblPrEx>
          <w:tblW w:w="9356" w:type="dxa"/>
          <w:tblInd w:w="-34" w:type="dxa"/>
          <w:tblLayout w:type="fixed"/>
          <w:tblLook w:val="0000"/>
        </w:tblPrEx>
        <w:trPr>
          <w:del w:id="19725" w:author="AbbVie14" w:date="2025-05-09T11:01:00Z"/>
        </w:trPr>
        <w:tc>
          <w:tcPr>
            <w:tcW w:w="4644" w:type="dxa"/>
            <w:gridSpan w:val="2"/>
          </w:tcPr>
          <w:p w:rsidR="00235869" w:rsidRPr="00BD646C" w:rsidP="001F79B0" w14:paraId="5875B2E1" w14:textId="77777777">
            <w:pPr>
              <w:rPr>
                <w:del w:id="19726" w:author="AbbVie14" w:date="2025-05-09T11:01:00Z"/>
                <w:b/>
                <w:bCs/>
                <w:sz w:val="22"/>
                <w:szCs w:val="22"/>
                <w:lang w:val="bg-BG"/>
              </w:rPr>
            </w:pPr>
            <w:del w:id="19727" w:author="AbbVie14" w:date="2025-05-09T11:01:00Z">
              <w:r w:rsidRPr="00BD646C">
                <w:rPr>
                  <w:b/>
                  <w:bCs/>
                  <w:sz w:val="22"/>
                  <w:szCs w:val="22"/>
                  <w:lang w:val="bg-BG"/>
                </w:rPr>
                <w:delText>България</w:delText>
              </w:r>
            </w:del>
          </w:p>
          <w:p w:rsidR="00235869" w:rsidRPr="00BD646C" w:rsidP="001F79B0" w14:paraId="365C39A1" w14:textId="77777777">
            <w:pPr>
              <w:rPr>
                <w:del w:id="19728" w:author="AbbVie14" w:date="2025-05-09T11:01:00Z"/>
                <w:sz w:val="22"/>
                <w:szCs w:val="22"/>
                <w:lang w:val="da-DK"/>
              </w:rPr>
            </w:pPr>
            <w:del w:id="19729" w:author="AbbVie14" w:date="2025-05-09T11:01:00Z">
              <w:r w:rsidRPr="00BD646C">
                <w:rPr>
                  <w:sz w:val="22"/>
                  <w:szCs w:val="22"/>
                  <w:lang w:val="sk-SK"/>
                </w:rPr>
                <w:delText>АбВи ЕООД</w:delText>
              </w:r>
            </w:del>
          </w:p>
          <w:p w:rsidR="00235869" w:rsidRPr="00BD646C" w:rsidP="001F79B0" w14:paraId="0B1BB1CE" w14:textId="77777777">
            <w:pPr>
              <w:rPr>
                <w:del w:id="19730" w:author="AbbVie14" w:date="2025-05-09T11:01:00Z"/>
                <w:bCs/>
                <w:sz w:val="22"/>
                <w:szCs w:val="22"/>
                <w:lang w:val="da-DK"/>
              </w:rPr>
            </w:pPr>
            <w:del w:id="19731" w:author="AbbVie14" w:date="2025-05-09T11:01:00Z">
              <w:r w:rsidRPr="00BD646C">
                <w:rPr>
                  <w:sz w:val="22"/>
                  <w:szCs w:val="22"/>
                  <w:lang w:val="sk-SK"/>
                </w:rPr>
                <w:delText>Тел</w:delText>
              </w:r>
            </w:del>
            <w:del w:id="19732" w:author="AbbVie14" w:date="2025-05-09T11:01:00Z">
              <w:r w:rsidRPr="00BD646C">
                <w:rPr>
                  <w:sz w:val="22"/>
                  <w:szCs w:val="22"/>
                </w:rPr>
                <w:delText>.:+359 2 90 30 430</w:delText>
              </w:r>
            </w:del>
          </w:p>
        </w:tc>
        <w:tc>
          <w:tcPr>
            <w:tcW w:w="4678" w:type="dxa"/>
            <w:gridSpan w:val="2"/>
          </w:tcPr>
          <w:p w:rsidR="00235869" w:rsidRPr="00BD646C" w:rsidP="001F79B0" w14:paraId="4080D6EC" w14:textId="77777777">
            <w:pPr>
              <w:rPr>
                <w:del w:id="19733" w:author="AbbVie14" w:date="2025-05-09T11:01:00Z"/>
                <w:b/>
                <w:bCs/>
                <w:sz w:val="22"/>
                <w:szCs w:val="22"/>
                <w:lang w:val="de-DE"/>
              </w:rPr>
            </w:pPr>
            <w:del w:id="19734" w:author="AbbVie14" w:date="2025-05-09T11:01:00Z">
              <w:r w:rsidRPr="00BD646C">
                <w:rPr>
                  <w:b/>
                  <w:bCs/>
                  <w:sz w:val="22"/>
                  <w:szCs w:val="22"/>
                  <w:lang w:val="de-DE"/>
                </w:rPr>
                <w:delText>Luxembourg/Luxemburg</w:delText>
              </w:r>
            </w:del>
          </w:p>
          <w:p w:rsidR="00235869" w:rsidRPr="00BD646C" w:rsidP="001F79B0" w14:paraId="29C1E038" w14:textId="77777777">
            <w:pPr>
              <w:rPr>
                <w:del w:id="19735" w:author="AbbVie14" w:date="2025-05-09T11:01:00Z"/>
                <w:bCs/>
                <w:sz w:val="22"/>
                <w:szCs w:val="22"/>
                <w:lang w:val="de-DE"/>
              </w:rPr>
            </w:pPr>
            <w:del w:id="19736" w:author="AbbVie14" w:date="2025-05-09T11:01:00Z">
              <w:r w:rsidRPr="00BD646C">
                <w:rPr>
                  <w:bCs/>
                  <w:sz w:val="22"/>
                  <w:szCs w:val="22"/>
                  <w:lang w:val="de-DE"/>
                </w:rPr>
                <w:delText>AbbVie SA</w:delText>
              </w:r>
            </w:del>
          </w:p>
          <w:p w:rsidR="00235869" w:rsidRPr="00BD646C" w:rsidP="001F79B0" w14:paraId="0DC39EEF" w14:textId="77777777">
            <w:pPr>
              <w:rPr>
                <w:del w:id="19737" w:author="AbbVie14" w:date="2025-05-09T11:01:00Z"/>
                <w:bCs/>
                <w:sz w:val="22"/>
                <w:szCs w:val="22"/>
                <w:lang w:val="de-DE"/>
              </w:rPr>
            </w:pPr>
            <w:del w:id="19738" w:author="AbbVie14" w:date="2025-05-09T11:01:00Z">
              <w:r w:rsidRPr="00BD646C">
                <w:rPr>
                  <w:bCs/>
                  <w:sz w:val="22"/>
                  <w:szCs w:val="22"/>
                  <w:lang w:val="de-DE"/>
                </w:rPr>
                <w:delText>Belgique/Belgien</w:delText>
              </w:r>
            </w:del>
          </w:p>
          <w:p w:rsidR="00235869" w:rsidRPr="00BD646C" w:rsidP="001F79B0" w14:paraId="24B50174" w14:textId="77777777">
            <w:pPr>
              <w:rPr>
                <w:del w:id="19739" w:author="AbbVie14" w:date="2025-05-09T11:01:00Z"/>
                <w:bCs/>
                <w:sz w:val="22"/>
                <w:szCs w:val="22"/>
                <w:lang w:val="fr-FR"/>
              </w:rPr>
            </w:pPr>
            <w:del w:id="19740" w:author="AbbVie14" w:date="2025-05-09T11:01:00Z">
              <w:r w:rsidRPr="00BD646C">
                <w:rPr>
                  <w:bCs/>
                  <w:sz w:val="22"/>
                  <w:szCs w:val="22"/>
                  <w:lang w:val="fr-FR"/>
                </w:rPr>
                <w:delText>Tél/Tel: +32 10 477811</w:delText>
              </w:r>
            </w:del>
          </w:p>
          <w:p w:rsidR="00235869" w:rsidRPr="00BD646C" w:rsidP="001F79B0" w14:paraId="4F0595AF" w14:textId="77777777">
            <w:pPr>
              <w:rPr>
                <w:del w:id="19741" w:author="AbbVie14" w:date="2025-05-09T11:01:00Z"/>
                <w:bCs/>
                <w:sz w:val="22"/>
                <w:szCs w:val="22"/>
                <w:lang w:val="fr-FR"/>
              </w:rPr>
            </w:pPr>
          </w:p>
        </w:tc>
      </w:tr>
      <w:tr w14:paraId="1EF0EA52" w14:textId="77777777" w:rsidTr="001F79B0">
        <w:tblPrEx>
          <w:tblW w:w="9356" w:type="dxa"/>
          <w:tblInd w:w="-34" w:type="dxa"/>
          <w:tblLayout w:type="fixed"/>
          <w:tblLook w:val="0000"/>
        </w:tblPrEx>
        <w:trPr>
          <w:del w:id="19742" w:author="AbbVie14" w:date="2025-05-09T11:01:00Z"/>
        </w:trPr>
        <w:tc>
          <w:tcPr>
            <w:tcW w:w="4644" w:type="dxa"/>
            <w:gridSpan w:val="2"/>
          </w:tcPr>
          <w:p w:rsidR="00235869" w:rsidRPr="00BD646C" w:rsidP="001F79B0" w14:paraId="1955C5C3" w14:textId="77777777">
            <w:pPr>
              <w:rPr>
                <w:del w:id="19743" w:author="AbbVie14" w:date="2025-05-09T11:01:00Z"/>
                <w:b/>
                <w:bCs/>
                <w:sz w:val="22"/>
                <w:szCs w:val="22"/>
                <w:lang w:val="sk-SK"/>
              </w:rPr>
            </w:pPr>
            <w:del w:id="19744" w:author="AbbVie14" w:date="2025-05-09T11:01:00Z">
              <w:r w:rsidRPr="00BD646C">
                <w:rPr>
                  <w:b/>
                  <w:bCs/>
                  <w:sz w:val="22"/>
                  <w:szCs w:val="22"/>
                  <w:lang w:val="sk-SK"/>
                </w:rPr>
                <w:delText>Česká republika</w:delText>
              </w:r>
            </w:del>
          </w:p>
          <w:p w:rsidR="00235869" w:rsidRPr="00BD646C" w:rsidP="001F79B0" w14:paraId="0A908796" w14:textId="77777777">
            <w:pPr>
              <w:rPr>
                <w:del w:id="19745" w:author="AbbVie14" w:date="2025-05-09T11:01:00Z"/>
                <w:bCs/>
                <w:sz w:val="22"/>
                <w:szCs w:val="22"/>
                <w:lang w:val="sk-SK"/>
              </w:rPr>
            </w:pPr>
            <w:del w:id="19746" w:author="AbbVie14" w:date="2025-05-09T11:01:00Z">
              <w:r w:rsidRPr="00BD646C">
                <w:rPr>
                  <w:bCs/>
                  <w:sz w:val="22"/>
                  <w:szCs w:val="22"/>
                  <w:lang w:val="sk-SK"/>
                </w:rPr>
                <w:delText xml:space="preserve">AbbVie s.r.o. </w:delText>
              </w:r>
            </w:del>
          </w:p>
          <w:p w:rsidR="00235869" w:rsidRPr="00BD646C" w:rsidP="001F79B0" w14:paraId="65AE2C61" w14:textId="77777777">
            <w:pPr>
              <w:rPr>
                <w:del w:id="19747" w:author="AbbVie14" w:date="2025-05-09T11:01:00Z"/>
                <w:bCs/>
                <w:sz w:val="22"/>
                <w:szCs w:val="22"/>
                <w:lang w:val="sk-SK"/>
              </w:rPr>
            </w:pPr>
            <w:del w:id="19748" w:author="AbbVie14" w:date="2025-05-09T11:01:00Z">
              <w:r w:rsidRPr="00BD646C">
                <w:rPr>
                  <w:bCs/>
                  <w:sz w:val="22"/>
                  <w:szCs w:val="22"/>
                  <w:lang w:val="sk-SK"/>
                </w:rPr>
                <w:delText>Tel: +420 233 098 111</w:delText>
              </w:r>
            </w:del>
          </w:p>
        </w:tc>
        <w:tc>
          <w:tcPr>
            <w:tcW w:w="4678" w:type="dxa"/>
            <w:gridSpan w:val="2"/>
          </w:tcPr>
          <w:p w:rsidR="00235869" w:rsidRPr="00BD646C" w:rsidP="001F79B0" w14:paraId="65E9697E" w14:textId="77777777">
            <w:pPr>
              <w:rPr>
                <w:del w:id="19749" w:author="AbbVie14" w:date="2025-05-09T11:01:00Z"/>
                <w:b/>
                <w:bCs/>
                <w:sz w:val="22"/>
                <w:szCs w:val="22"/>
                <w:lang w:val="hu-HU"/>
              </w:rPr>
            </w:pPr>
            <w:del w:id="19750" w:author="AbbVie14" w:date="2025-05-09T11:01:00Z">
              <w:r w:rsidRPr="00BD646C">
                <w:rPr>
                  <w:b/>
                  <w:bCs/>
                  <w:sz w:val="22"/>
                  <w:szCs w:val="22"/>
                  <w:lang w:val="hu-HU"/>
                </w:rPr>
                <w:delText>Magyarország</w:delText>
              </w:r>
            </w:del>
          </w:p>
          <w:p w:rsidR="00235869" w:rsidRPr="00BD646C" w:rsidP="001F79B0" w14:paraId="4680E1F6" w14:textId="77777777">
            <w:pPr>
              <w:rPr>
                <w:del w:id="19751" w:author="AbbVie14" w:date="2025-05-09T11:01:00Z"/>
                <w:bCs/>
                <w:sz w:val="22"/>
                <w:szCs w:val="22"/>
                <w:lang w:val="hu-HU"/>
              </w:rPr>
            </w:pPr>
            <w:del w:id="19752" w:author="AbbVie14" w:date="2025-05-09T11:01:00Z">
              <w:r w:rsidRPr="00BD646C">
                <w:rPr>
                  <w:bCs/>
                  <w:sz w:val="22"/>
                  <w:szCs w:val="22"/>
                  <w:lang w:val="hu-HU"/>
                </w:rPr>
                <w:delText>AbbVie Kft.</w:delText>
              </w:r>
            </w:del>
          </w:p>
          <w:p w:rsidR="00235869" w:rsidRPr="00BD646C" w:rsidP="001F79B0" w14:paraId="59697661" w14:textId="77777777">
            <w:pPr>
              <w:rPr>
                <w:del w:id="19753" w:author="AbbVie14" w:date="2025-05-09T11:01:00Z"/>
                <w:bCs/>
                <w:sz w:val="22"/>
                <w:szCs w:val="22"/>
                <w:lang w:val="hu-HU"/>
              </w:rPr>
            </w:pPr>
            <w:del w:id="19754" w:author="AbbVie14" w:date="2025-05-09T11:01:00Z">
              <w:r w:rsidRPr="00BD646C">
                <w:rPr>
                  <w:bCs/>
                  <w:sz w:val="22"/>
                  <w:szCs w:val="22"/>
                  <w:lang w:val="hu-HU"/>
                </w:rPr>
                <w:delText>Tel.:+36 1 455 8600</w:delText>
              </w:r>
            </w:del>
          </w:p>
          <w:p w:rsidR="00235869" w:rsidRPr="00BD646C" w:rsidP="001F79B0" w14:paraId="3DEF432D" w14:textId="77777777">
            <w:pPr>
              <w:rPr>
                <w:del w:id="19755" w:author="AbbVie14" w:date="2025-05-09T11:01:00Z"/>
                <w:bCs/>
                <w:sz w:val="22"/>
                <w:szCs w:val="22"/>
                <w:lang w:val="hu-HU"/>
              </w:rPr>
            </w:pPr>
          </w:p>
        </w:tc>
      </w:tr>
      <w:tr w14:paraId="757B58C0" w14:textId="77777777" w:rsidTr="001F79B0">
        <w:tblPrEx>
          <w:tblW w:w="9356" w:type="dxa"/>
          <w:tblInd w:w="-34" w:type="dxa"/>
          <w:tblLayout w:type="fixed"/>
          <w:tblLook w:val="0000"/>
        </w:tblPrEx>
        <w:trPr>
          <w:trHeight w:val="737"/>
          <w:del w:id="19756" w:author="AbbVie14" w:date="2025-05-09T11:01:00Z"/>
        </w:trPr>
        <w:tc>
          <w:tcPr>
            <w:tcW w:w="4644" w:type="dxa"/>
            <w:gridSpan w:val="2"/>
          </w:tcPr>
          <w:p w:rsidR="00235869" w:rsidRPr="008B6641" w:rsidP="001F79B0" w14:paraId="1B59FE85" w14:textId="77777777">
            <w:pPr>
              <w:rPr>
                <w:del w:id="19757" w:author="AbbVie14" w:date="2025-05-09T11:01:00Z"/>
                <w:b/>
                <w:bCs/>
                <w:sz w:val="22"/>
                <w:szCs w:val="22"/>
                <w:lang w:val="it-IT"/>
                <w:rPrChange w:id="19758" w:author="AbbVie14" w:date="2025-05-13T14:31:00Z">
                  <w:rPr>
                    <w:b/>
                    <w:bCs/>
                    <w:sz w:val="22"/>
                    <w:szCs w:val="22"/>
                    <w:lang w:val="en-US"/>
                  </w:rPr>
                </w:rPrChange>
              </w:rPr>
            </w:pPr>
            <w:del w:id="19759" w:author="AbbVie14" w:date="2025-05-09T11:01:00Z">
              <w:r w:rsidRPr="008B6641">
                <w:rPr>
                  <w:b/>
                  <w:bCs/>
                  <w:sz w:val="22"/>
                  <w:szCs w:val="22"/>
                  <w:lang w:val="it-IT"/>
                  <w:rPrChange w:id="19760" w:author="AbbVie14" w:date="2025-05-13T14:31:00Z">
                    <w:rPr>
                      <w:b/>
                      <w:bCs/>
                      <w:sz w:val="22"/>
                      <w:szCs w:val="22"/>
                      <w:lang w:val="en-US"/>
                    </w:rPr>
                  </w:rPrChange>
                </w:rPr>
                <w:delText>Danmark</w:delText>
              </w:r>
            </w:del>
          </w:p>
          <w:p w:rsidR="00235869" w:rsidRPr="008B6641" w:rsidP="001F79B0" w14:paraId="6685E6AB" w14:textId="77777777">
            <w:pPr>
              <w:rPr>
                <w:del w:id="19761" w:author="AbbVie14" w:date="2025-05-09T11:01:00Z"/>
                <w:bCs/>
                <w:sz w:val="22"/>
                <w:szCs w:val="22"/>
                <w:lang w:val="it-IT"/>
                <w:rPrChange w:id="19762" w:author="AbbVie14" w:date="2025-05-13T14:31:00Z">
                  <w:rPr>
                    <w:bCs/>
                    <w:sz w:val="22"/>
                    <w:szCs w:val="22"/>
                    <w:lang w:val="en-US"/>
                  </w:rPr>
                </w:rPrChange>
              </w:rPr>
            </w:pPr>
            <w:del w:id="19763" w:author="AbbVie14" w:date="2025-05-09T11:01:00Z">
              <w:r w:rsidRPr="008B6641">
                <w:rPr>
                  <w:bCs/>
                  <w:sz w:val="22"/>
                  <w:szCs w:val="22"/>
                  <w:lang w:val="it-IT"/>
                  <w:rPrChange w:id="19764" w:author="AbbVie14" w:date="2025-05-13T14:31:00Z">
                    <w:rPr>
                      <w:bCs/>
                      <w:sz w:val="22"/>
                      <w:szCs w:val="22"/>
                      <w:lang w:val="en-US"/>
                    </w:rPr>
                  </w:rPrChange>
                </w:rPr>
                <w:delText>AbbVie A/S</w:delText>
              </w:r>
            </w:del>
          </w:p>
          <w:p w:rsidR="00235869" w:rsidRPr="00BD646C" w:rsidP="001F79B0" w14:paraId="39EF0A5C" w14:textId="77777777">
            <w:pPr>
              <w:rPr>
                <w:del w:id="19765" w:author="AbbVie14" w:date="2025-05-09T11:01:00Z"/>
                <w:bCs/>
                <w:sz w:val="22"/>
                <w:szCs w:val="22"/>
                <w:lang w:val="sk-SK"/>
              </w:rPr>
            </w:pPr>
            <w:del w:id="19766" w:author="AbbVie14" w:date="2025-05-09T11:01:00Z">
              <w:r w:rsidRPr="008B6641">
                <w:rPr>
                  <w:bCs/>
                  <w:sz w:val="22"/>
                  <w:szCs w:val="22"/>
                  <w:lang w:val="it-IT"/>
                  <w:rPrChange w:id="19767" w:author="AbbVie14" w:date="2025-05-13T14:31:00Z">
                    <w:rPr>
                      <w:bCs/>
                      <w:sz w:val="22"/>
                      <w:szCs w:val="22"/>
                      <w:lang w:val="en-US"/>
                    </w:rPr>
                  </w:rPrChange>
                </w:rPr>
                <w:delText>Tlf: +45 72 30-20-28</w:delText>
              </w:r>
            </w:del>
          </w:p>
        </w:tc>
        <w:tc>
          <w:tcPr>
            <w:tcW w:w="4678" w:type="dxa"/>
            <w:gridSpan w:val="2"/>
          </w:tcPr>
          <w:p w:rsidR="00235869" w:rsidRPr="00BD646C" w:rsidP="001F79B0" w14:paraId="226D35E7" w14:textId="77777777">
            <w:pPr>
              <w:rPr>
                <w:del w:id="19768" w:author="AbbVie14" w:date="2025-05-09T11:01:00Z"/>
                <w:b/>
                <w:bCs/>
                <w:sz w:val="22"/>
                <w:szCs w:val="22"/>
                <w:lang w:val="mt-MT"/>
              </w:rPr>
            </w:pPr>
            <w:del w:id="19769" w:author="AbbVie14" w:date="2025-05-09T11:01:00Z">
              <w:r w:rsidRPr="00BD646C">
                <w:rPr>
                  <w:b/>
                  <w:bCs/>
                  <w:sz w:val="22"/>
                  <w:szCs w:val="22"/>
                  <w:lang w:val="mt-MT"/>
                </w:rPr>
                <w:delText>Malta</w:delText>
              </w:r>
            </w:del>
          </w:p>
          <w:p w:rsidR="00235869" w:rsidRPr="00BD646C" w:rsidP="001F79B0" w14:paraId="52B9A786" w14:textId="77777777">
            <w:pPr>
              <w:rPr>
                <w:del w:id="19770" w:author="AbbVie14" w:date="2025-05-09T11:01:00Z"/>
                <w:bCs/>
                <w:sz w:val="22"/>
                <w:szCs w:val="22"/>
                <w:lang w:val="sk-SK"/>
              </w:rPr>
            </w:pPr>
            <w:del w:id="19771" w:author="AbbVie14" w:date="2025-05-09T11:01:00Z">
              <w:r w:rsidRPr="00BD646C">
                <w:rPr>
                  <w:bCs/>
                  <w:sz w:val="22"/>
                  <w:szCs w:val="22"/>
                  <w:lang w:val="sk-SK"/>
                </w:rPr>
                <w:delText xml:space="preserve">V.J.Salomone Pharma Limited </w:delText>
              </w:r>
            </w:del>
          </w:p>
          <w:p w:rsidR="00235869" w:rsidRPr="00BD646C" w:rsidP="001F79B0" w14:paraId="375C99E5" w14:textId="77777777">
            <w:pPr>
              <w:rPr>
                <w:del w:id="19772" w:author="AbbVie14" w:date="2025-05-09T11:01:00Z"/>
                <w:bCs/>
                <w:sz w:val="22"/>
                <w:szCs w:val="22"/>
                <w:lang w:val="sk-SK"/>
              </w:rPr>
            </w:pPr>
            <w:del w:id="19773" w:author="AbbVie14" w:date="2025-05-09T11:01:00Z">
              <w:r w:rsidRPr="00BD646C">
                <w:rPr>
                  <w:bCs/>
                  <w:sz w:val="22"/>
                  <w:szCs w:val="22"/>
                  <w:lang w:val="sk-SK"/>
                </w:rPr>
                <w:delText xml:space="preserve">Tel: </w:delText>
              </w:r>
            </w:del>
            <w:del w:id="19774" w:author="AbbVie14" w:date="2025-05-09T11:01:00Z">
              <w:r w:rsidRPr="00455317">
                <w:rPr>
                  <w:bCs/>
                  <w:sz w:val="22"/>
                  <w:szCs w:val="22"/>
                </w:rPr>
                <w:delText>+356 21220174</w:delText>
              </w:r>
            </w:del>
          </w:p>
          <w:p w:rsidR="00235869" w:rsidRPr="00BD646C" w:rsidP="001F79B0" w14:paraId="7688B457" w14:textId="77777777">
            <w:pPr>
              <w:rPr>
                <w:del w:id="19775" w:author="AbbVie14" w:date="2025-05-09T11:01:00Z"/>
                <w:bCs/>
                <w:sz w:val="22"/>
                <w:szCs w:val="22"/>
                <w:lang w:val="sk-SK"/>
              </w:rPr>
            </w:pPr>
          </w:p>
        </w:tc>
      </w:tr>
      <w:tr w14:paraId="16171FE0" w14:textId="77777777" w:rsidTr="001F79B0">
        <w:tblPrEx>
          <w:tblW w:w="9356" w:type="dxa"/>
          <w:tblInd w:w="-34" w:type="dxa"/>
          <w:tblLayout w:type="fixed"/>
          <w:tblLook w:val="0000"/>
        </w:tblPrEx>
        <w:trPr>
          <w:del w:id="19776" w:author="AbbVie14" w:date="2025-05-09T11:01:00Z"/>
        </w:trPr>
        <w:tc>
          <w:tcPr>
            <w:tcW w:w="4644" w:type="dxa"/>
            <w:gridSpan w:val="2"/>
          </w:tcPr>
          <w:p w:rsidR="00235869" w:rsidRPr="00BD646C" w:rsidP="001F79B0" w14:paraId="1808B45D" w14:textId="77777777">
            <w:pPr>
              <w:rPr>
                <w:del w:id="19777" w:author="AbbVie14" w:date="2025-05-09T11:01:00Z"/>
                <w:b/>
                <w:bCs/>
                <w:sz w:val="22"/>
                <w:szCs w:val="22"/>
                <w:lang w:val="de-DE"/>
              </w:rPr>
            </w:pPr>
            <w:del w:id="19778" w:author="AbbVie14" w:date="2025-05-09T11:01:00Z">
              <w:r w:rsidRPr="00BD646C">
                <w:rPr>
                  <w:b/>
                  <w:bCs/>
                  <w:sz w:val="22"/>
                  <w:szCs w:val="22"/>
                  <w:lang w:val="de-DE"/>
                </w:rPr>
                <w:delText>Deutschland</w:delText>
              </w:r>
            </w:del>
          </w:p>
          <w:p w:rsidR="00235869" w:rsidRPr="00BD646C" w:rsidP="001F79B0" w14:paraId="20FC1BF1" w14:textId="77777777">
            <w:pPr>
              <w:rPr>
                <w:del w:id="19779" w:author="AbbVie14" w:date="2025-05-09T11:01:00Z"/>
                <w:bCs/>
                <w:sz w:val="22"/>
                <w:szCs w:val="22"/>
                <w:lang w:val="de-DE"/>
              </w:rPr>
            </w:pPr>
            <w:del w:id="19780" w:author="AbbVie14" w:date="2025-05-09T11:01:00Z">
              <w:r w:rsidRPr="00BD646C">
                <w:rPr>
                  <w:sz w:val="22"/>
                  <w:szCs w:val="22"/>
                  <w:lang w:val="de-DE"/>
                </w:rPr>
                <w:delText xml:space="preserve">AbbVie Deutschland </w:delText>
              </w:r>
            </w:del>
            <w:del w:id="19781" w:author="AbbVie14" w:date="2025-05-09T11:01:00Z">
              <w:r w:rsidRPr="00BD646C">
                <w:rPr>
                  <w:bCs/>
                  <w:sz w:val="22"/>
                  <w:szCs w:val="22"/>
                  <w:lang w:val="de-DE"/>
                </w:rPr>
                <w:delText>GmbH &amp; Co. KG</w:delText>
              </w:r>
            </w:del>
          </w:p>
          <w:p w:rsidR="00235869" w:rsidRPr="00BD646C" w:rsidP="001F79B0" w14:paraId="02C8C352" w14:textId="77777777">
            <w:pPr>
              <w:rPr>
                <w:del w:id="19782" w:author="AbbVie14" w:date="2025-05-09T11:01:00Z"/>
                <w:sz w:val="22"/>
                <w:szCs w:val="22"/>
                <w:lang w:val="de-DE"/>
              </w:rPr>
            </w:pPr>
            <w:del w:id="19783" w:author="AbbVie14" w:date="2025-05-09T11:01:00Z">
              <w:r w:rsidRPr="00BD646C">
                <w:rPr>
                  <w:sz w:val="22"/>
                  <w:szCs w:val="22"/>
                  <w:lang w:val="de-DE"/>
                </w:rPr>
                <w:delText>Tel: 00800 222843 33 (gebührenfrei)</w:delText>
              </w:r>
            </w:del>
          </w:p>
          <w:p w:rsidR="00235869" w:rsidRPr="00BD646C" w:rsidP="001F79B0" w14:paraId="6AF9E14D" w14:textId="77777777">
            <w:pPr>
              <w:rPr>
                <w:del w:id="19784" w:author="AbbVie14" w:date="2025-05-09T11:01:00Z"/>
                <w:sz w:val="22"/>
                <w:szCs w:val="22"/>
                <w:lang w:val="de-DE"/>
              </w:rPr>
            </w:pPr>
            <w:del w:id="19785" w:author="AbbVie14" w:date="2025-05-09T11:01:00Z">
              <w:r w:rsidRPr="00BD646C">
                <w:rPr>
                  <w:sz w:val="22"/>
                  <w:szCs w:val="22"/>
                  <w:lang w:val="de-DE"/>
                </w:rPr>
                <w:delText>Tel: +49 (0) 611 / 1720-0</w:delText>
              </w:r>
            </w:del>
          </w:p>
          <w:p w:rsidR="00235869" w:rsidRPr="00BD646C" w:rsidP="001F79B0" w14:paraId="0F452FE1" w14:textId="77777777">
            <w:pPr>
              <w:rPr>
                <w:del w:id="19786" w:author="AbbVie14" w:date="2025-05-09T11:01:00Z"/>
                <w:sz w:val="22"/>
                <w:szCs w:val="22"/>
                <w:lang w:val="de-DE"/>
              </w:rPr>
            </w:pPr>
          </w:p>
        </w:tc>
        <w:tc>
          <w:tcPr>
            <w:tcW w:w="4678" w:type="dxa"/>
            <w:gridSpan w:val="2"/>
          </w:tcPr>
          <w:p w:rsidR="00235869" w:rsidRPr="00BD646C" w:rsidP="001F79B0" w14:paraId="6C4A7A51" w14:textId="77777777">
            <w:pPr>
              <w:rPr>
                <w:del w:id="19787" w:author="AbbVie14" w:date="2025-05-09T11:01:00Z"/>
                <w:b/>
                <w:bCs/>
                <w:sz w:val="22"/>
                <w:szCs w:val="22"/>
                <w:lang w:val="nl-NL"/>
              </w:rPr>
            </w:pPr>
            <w:del w:id="19788" w:author="AbbVie14" w:date="2025-05-09T11:01:00Z">
              <w:r w:rsidRPr="00BD646C">
                <w:rPr>
                  <w:b/>
                  <w:bCs/>
                  <w:sz w:val="22"/>
                  <w:szCs w:val="22"/>
                  <w:lang w:val="nl-NL"/>
                </w:rPr>
                <w:delText>Nederland</w:delText>
              </w:r>
            </w:del>
          </w:p>
          <w:p w:rsidR="00235869" w:rsidRPr="00BD646C" w:rsidP="001F79B0" w14:paraId="00435C62" w14:textId="77777777">
            <w:pPr>
              <w:rPr>
                <w:del w:id="19789" w:author="AbbVie14" w:date="2025-05-09T11:01:00Z"/>
                <w:bCs/>
                <w:sz w:val="22"/>
                <w:szCs w:val="22"/>
                <w:lang w:val="de-DE"/>
              </w:rPr>
            </w:pPr>
            <w:del w:id="19790" w:author="AbbVie14" w:date="2025-05-09T11:01:00Z">
              <w:r w:rsidRPr="00BD646C">
                <w:rPr>
                  <w:bCs/>
                  <w:sz w:val="22"/>
                  <w:szCs w:val="22"/>
                  <w:lang w:val="de-DE"/>
                </w:rPr>
                <w:delText>AbbVie B.V.</w:delText>
              </w:r>
            </w:del>
          </w:p>
          <w:p w:rsidR="00235869" w:rsidRPr="00BD646C" w:rsidP="001F79B0" w14:paraId="333BBEE5" w14:textId="77777777">
            <w:pPr>
              <w:rPr>
                <w:del w:id="19791" w:author="AbbVie14" w:date="2025-05-09T11:01:00Z"/>
                <w:bCs/>
                <w:sz w:val="22"/>
                <w:szCs w:val="22"/>
                <w:lang w:val="de-DE"/>
              </w:rPr>
            </w:pPr>
            <w:del w:id="19792" w:author="AbbVie14" w:date="2025-05-09T11:01:00Z">
              <w:r w:rsidRPr="00BD646C">
                <w:rPr>
                  <w:bCs/>
                  <w:sz w:val="22"/>
                  <w:szCs w:val="22"/>
                  <w:lang w:val="de-DE"/>
                </w:rPr>
                <w:delText>Tel: +31 (0)88 322 2843</w:delText>
              </w:r>
            </w:del>
          </w:p>
        </w:tc>
      </w:tr>
      <w:tr w14:paraId="5D4E8649" w14:textId="77777777" w:rsidTr="001F79B0">
        <w:tblPrEx>
          <w:tblW w:w="9356" w:type="dxa"/>
          <w:tblInd w:w="-34" w:type="dxa"/>
          <w:tblLayout w:type="fixed"/>
          <w:tblLook w:val="0000"/>
        </w:tblPrEx>
        <w:trPr>
          <w:del w:id="19793" w:author="AbbVie14" w:date="2025-05-09T11:01:00Z"/>
        </w:trPr>
        <w:tc>
          <w:tcPr>
            <w:tcW w:w="4644" w:type="dxa"/>
            <w:gridSpan w:val="2"/>
          </w:tcPr>
          <w:p w:rsidR="00235869" w:rsidRPr="00BD646C" w:rsidP="001F79B0" w14:paraId="102E9D95" w14:textId="77777777">
            <w:pPr>
              <w:rPr>
                <w:del w:id="19794" w:author="AbbVie14" w:date="2025-05-09T11:01:00Z"/>
                <w:b/>
                <w:bCs/>
                <w:sz w:val="22"/>
                <w:szCs w:val="22"/>
                <w:lang w:val="et-EE"/>
              </w:rPr>
            </w:pPr>
            <w:del w:id="19795" w:author="AbbVie14" w:date="2025-05-09T11:01:00Z">
              <w:r w:rsidRPr="00BD646C">
                <w:rPr>
                  <w:b/>
                  <w:bCs/>
                  <w:sz w:val="22"/>
                  <w:szCs w:val="22"/>
                  <w:lang w:val="et-EE"/>
                </w:rPr>
                <w:delText>Eesti</w:delText>
              </w:r>
            </w:del>
          </w:p>
          <w:p w:rsidR="00235869" w:rsidRPr="00BD646C" w:rsidP="001F79B0" w14:paraId="6760225C" w14:textId="77777777">
            <w:pPr>
              <w:rPr>
                <w:del w:id="19796" w:author="AbbVie14" w:date="2025-05-09T11:01:00Z"/>
                <w:bCs/>
                <w:sz w:val="22"/>
                <w:szCs w:val="22"/>
                <w:lang w:val="et-EE"/>
              </w:rPr>
            </w:pPr>
            <w:del w:id="19797" w:author="AbbVie14" w:date="2025-05-09T11:01:00Z">
              <w:r w:rsidRPr="00BD646C">
                <w:rPr>
                  <w:bCs/>
                  <w:sz w:val="22"/>
                  <w:szCs w:val="22"/>
                  <w:lang w:val="et-EE"/>
                </w:rPr>
                <w:delText xml:space="preserve">AbbVie </w:delText>
              </w:r>
            </w:del>
            <w:del w:id="19798" w:author="AbbVie14" w:date="2025-05-09T11:01:00Z">
              <w:r w:rsidRPr="00BD646C">
                <w:rPr>
                  <w:bCs/>
                  <w:sz w:val="22"/>
                  <w:szCs w:val="22"/>
                  <w:lang w:val="sk-SK"/>
                </w:rPr>
                <w:delText>OÜ</w:delText>
              </w:r>
            </w:del>
            <w:del w:id="19799" w:author="AbbVie14" w:date="2025-05-09T11:01:00Z">
              <w:r w:rsidRPr="00BD646C">
                <w:rPr>
                  <w:bCs/>
                  <w:sz w:val="22"/>
                  <w:szCs w:val="22"/>
                  <w:lang w:val="et-EE"/>
                </w:rPr>
                <w:delText xml:space="preserve"> </w:delText>
              </w:r>
            </w:del>
          </w:p>
          <w:p w:rsidR="00235869" w:rsidRPr="00BD646C" w:rsidP="001F79B0" w14:paraId="6E131D54" w14:textId="77777777">
            <w:pPr>
              <w:rPr>
                <w:del w:id="19800" w:author="AbbVie14" w:date="2025-05-09T11:01:00Z"/>
                <w:bCs/>
                <w:sz w:val="22"/>
                <w:szCs w:val="22"/>
                <w:lang w:val="lv-LV"/>
              </w:rPr>
            </w:pPr>
            <w:del w:id="19801" w:author="AbbVie14" w:date="2025-05-09T11:01:00Z">
              <w:r w:rsidRPr="00BD646C">
                <w:rPr>
                  <w:bCs/>
                  <w:sz w:val="22"/>
                  <w:szCs w:val="22"/>
                  <w:lang w:val="et-EE"/>
                </w:rPr>
                <w:delText>Tel: +372 623 1011</w:delText>
              </w:r>
            </w:del>
          </w:p>
        </w:tc>
        <w:tc>
          <w:tcPr>
            <w:tcW w:w="4678" w:type="dxa"/>
            <w:gridSpan w:val="2"/>
          </w:tcPr>
          <w:p w:rsidR="00235869" w:rsidRPr="00CC1FF9" w:rsidP="001F79B0" w14:paraId="6E590DA8" w14:textId="77777777">
            <w:pPr>
              <w:rPr>
                <w:del w:id="19802" w:author="AbbVie14" w:date="2025-05-09T11:01:00Z"/>
                <w:b/>
                <w:bCs/>
                <w:sz w:val="22"/>
                <w:szCs w:val="22"/>
              </w:rPr>
            </w:pPr>
            <w:del w:id="19803" w:author="AbbVie14" w:date="2025-05-09T11:01:00Z">
              <w:r w:rsidRPr="00CC1FF9">
                <w:rPr>
                  <w:b/>
                  <w:bCs/>
                  <w:sz w:val="22"/>
                  <w:szCs w:val="22"/>
                </w:rPr>
                <w:delText>Norge</w:delText>
              </w:r>
            </w:del>
          </w:p>
          <w:p w:rsidR="00235869" w:rsidRPr="00BD646C" w:rsidP="001F79B0" w14:paraId="696DE6D5" w14:textId="77777777">
            <w:pPr>
              <w:rPr>
                <w:del w:id="19804" w:author="AbbVie14" w:date="2025-05-09T11:01:00Z"/>
                <w:bCs/>
                <w:sz w:val="22"/>
                <w:szCs w:val="22"/>
                <w:lang w:val="sk-SK"/>
              </w:rPr>
            </w:pPr>
            <w:del w:id="19805" w:author="AbbVie14" w:date="2025-05-09T11:01:00Z">
              <w:r w:rsidRPr="00BD646C">
                <w:rPr>
                  <w:bCs/>
                  <w:sz w:val="22"/>
                  <w:szCs w:val="22"/>
                  <w:lang w:val="sk-SK"/>
                </w:rPr>
                <w:delText>AbbVie AS</w:delText>
              </w:r>
            </w:del>
          </w:p>
          <w:p w:rsidR="00235869" w:rsidRPr="00BD646C" w:rsidP="001F79B0" w14:paraId="383D5C83" w14:textId="77777777">
            <w:pPr>
              <w:rPr>
                <w:del w:id="19806" w:author="AbbVie14" w:date="2025-05-09T11:01:00Z"/>
                <w:bCs/>
                <w:sz w:val="22"/>
                <w:szCs w:val="22"/>
                <w:lang w:val="sk-SK"/>
              </w:rPr>
            </w:pPr>
            <w:del w:id="19807" w:author="AbbVie14" w:date="2025-05-09T11:01:00Z">
              <w:r w:rsidRPr="00BD646C">
                <w:rPr>
                  <w:bCs/>
                  <w:sz w:val="22"/>
                  <w:szCs w:val="22"/>
                  <w:lang w:val="sk-SK"/>
                </w:rPr>
                <w:delText>Tlf: +47 67 81 80 00</w:delText>
              </w:r>
            </w:del>
          </w:p>
          <w:p w:rsidR="00235869" w:rsidRPr="00BD646C" w:rsidP="001F79B0" w14:paraId="2512CCFB" w14:textId="77777777">
            <w:pPr>
              <w:rPr>
                <w:del w:id="19808" w:author="AbbVie14" w:date="2025-05-09T11:01:00Z"/>
                <w:bCs/>
                <w:sz w:val="22"/>
                <w:szCs w:val="22"/>
                <w:lang w:val="sk-SK"/>
              </w:rPr>
            </w:pPr>
          </w:p>
        </w:tc>
      </w:tr>
      <w:tr w14:paraId="11E7B192" w14:textId="77777777" w:rsidTr="001F79B0">
        <w:tblPrEx>
          <w:tblW w:w="9356" w:type="dxa"/>
          <w:tblInd w:w="-34" w:type="dxa"/>
          <w:tblLayout w:type="fixed"/>
          <w:tblLook w:val="0000"/>
        </w:tblPrEx>
        <w:trPr>
          <w:trHeight w:val="794"/>
          <w:del w:id="19809" w:author="AbbVie14" w:date="2025-05-09T11:01:00Z"/>
        </w:trPr>
        <w:tc>
          <w:tcPr>
            <w:tcW w:w="4644" w:type="dxa"/>
            <w:gridSpan w:val="2"/>
          </w:tcPr>
          <w:p w:rsidR="00235869" w:rsidRPr="00BD646C" w:rsidP="001F79B0" w14:paraId="288274D7" w14:textId="77777777">
            <w:pPr>
              <w:rPr>
                <w:del w:id="19810" w:author="AbbVie14" w:date="2025-05-09T11:01:00Z"/>
                <w:b/>
                <w:bCs/>
                <w:sz w:val="22"/>
                <w:szCs w:val="22"/>
                <w:lang w:val="el-GR"/>
              </w:rPr>
            </w:pPr>
            <w:del w:id="19811" w:author="AbbVie14" w:date="2025-05-09T11:01:00Z">
              <w:r w:rsidRPr="00BD646C">
                <w:rPr>
                  <w:b/>
                  <w:bCs/>
                  <w:sz w:val="22"/>
                  <w:szCs w:val="22"/>
                  <w:lang w:val="el-GR"/>
                </w:rPr>
                <w:delText>Ελλάδα</w:delText>
              </w:r>
            </w:del>
          </w:p>
          <w:p w:rsidR="00235869" w:rsidRPr="00BD646C" w:rsidP="001F79B0" w14:paraId="2FC9192C" w14:textId="77777777">
            <w:pPr>
              <w:rPr>
                <w:del w:id="19812" w:author="AbbVie14" w:date="2025-05-09T11:01:00Z"/>
                <w:bCs/>
                <w:sz w:val="22"/>
                <w:szCs w:val="22"/>
                <w:lang w:val="el-GR"/>
              </w:rPr>
            </w:pPr>
            <w:del w:id="19813" w:author="AbbVie14" w:date="2025-05-09T11:01:00Z">
              <w:r w:rsidRPr="00BD646C">
                <w:rPr>
                  <w:bCs/>
                  <w:sz w:val="22"/>
                  <w:szCs w:val="22"/>
                  <w:lang w:val="et-EE"/>
                </w:rPr>
                <w:delText xml:space="preserve">AbbVie </w:delText>
              </w:r>
            </w:del>
            <w:del w:id="19814" w:author="AbbVie14" w:date="2025-05-09T11:01:00Z">
              <w:r w:rsidRPr="00BD646C">
                <w:rPr>
                  <w:sz w:val="22"/>
                  <w:szCs w:val="22"/>
                  <w:lang w:val="el-GR"/>
                </w:rPr>
                <w:delText>ΦΑΡΜΑΚΕΥΤΙΚΗ Α.Ε.</w:delText>
              </w:r>
            </w:del>
          </w:p>
          <w:p w:rsidR="00235869" w:rsidRPr="00BD646C" w:rsidP="001F79B0" w14:paraId="50D7883F" w14:textId="77777777">
            <w:pPr>
              <w:rPr>
                <w:del w:id="19815" w:author="AbbVie14" w:date="2025-05-09T11:01:00Z"/>
                <w:bCs/>
                <w:sz w:val="22"/>
                <w:szCs w:val="22"/>
                <w:lang w:val="sk-SK"/>
              </w:rPr>
            </w:pPr>
            <w:del w:id="19816" w:author="AbbVie14" w:date="2025-05-09T11:01:00Z">
              <w:r w:rsidRPr="00BD646C">
                <w:rPr>
                  <w:bCs/>
                  <w:sz w:val="22"/>
                  <w:szCs w:val="22"/>
                  <w:lang w:val="el-GR"/>
                </w:rPr>
                <w:delText xml:space="preserve">Τηλ: +30 </w:delText>
              </w:r>
            </w:del>
            <w:del w:id="19817" w:author="AbbVie14" w:date="2025-05-09T11:01:00Z">
              <w:r w:rsidRPr="00BD646C">
                <w:rPr>
                  <w:bCs/>
                  <w:sz w:val="22"/>
                  <w:szCs w:val="22"/>
                  <w:lang w:val="sk-SK"/>
                </w:rPr>
                <w:delText>214 4165 555</w:delText>
              </w:r>
            </w:del>
          </w:p>
        </w:tc>
        <w:tc>
          <w:tcPr>
            <w:tcW w:w="4678" w:type="dxa"/>
            <w:gridSpan w:val="2"/>
          </w:tcPr>
          <w:p w:rsidR="00235869" w:rsidRPr="00BD646C" w:rsidP="001F79B0" w14:paraId="7792BBDD" w14:textId="77777777">
            <w:pPr>
              <w:rPr>
                <w:del w:id="19818" w:author="AbbVie14" w:date="2025-05-09T11:01:00Z"/>
                <w:b/>
                <w:bCs/>
                <w:sz w:val="22"/>
                <w:szCs w:val="22"/>
                <w:lang w:val="de-DE"/>
              </w:rPr>
            </w:pPr>
            <w:del w:id="19819" w:author="AbbVie14" w:date="2025-05-09T11:01:00Z">
              <w:r w:rsidRPr="00BD646C">
                <w:rPr>
                  <w:b/>
                  <w:bCs/>
                  <w:sz w:val="22"/>
                  <w:szCs w:val="22"/>
                  <w:lang w:val="de-DE"/>
                </w:rPr>
                <w:delText>Österreich</w:delText>
              </w:r>
            </w:del>
          </w:p>
          <w:p w:rsidR="00235869" w:rsidRPr="00BD646C" w:rsidP="001F79B0" w14:paraId="533E0B77" w14:textId="77777777">
            <w:pPr>
              <w:rPr>
                <w:del w:id="19820" w:author="AbbVie14" w:date="2025-05-09T11:01:00Z"/>
                <w:bCs/>
                <w:sz w:val="22"/>
                <w:szCs w:val="22"/>
                <w:lang w:val="de-DE"/>
              </w:rPr>
            </w:pPr>
            <w:del w:id="19821" w:author="AbbVie14" w:date="2025-05-09T11:01:00Z">
              <w:r w:rsidRPr="00BD646C">
                <w:rPr>
                  <w:bCs/>
                  <w:sz w:val="22"/>
                  <w:szCs w:val="22"/>
                  <w:lang w:val="de-DE"/>
                </w:rPr>
                <w:delText xml:space="preserve">AbbVie GmbH </w:delText>
              </w:r>
            </w:del>
          </w:p>
          <w:p w:rsidR="00235869" w:rsidRPr="00BD646C" w:rsidP="001F79B0" w14:paraId="0E4AA994" w14:textId="77777777">
            <w:pPr>
              <w:rPr>
                <w:del w:id="19822" w:author="AbbVie14" w:date="2025-05-09T11:01:00Z"/>
                <w:bCs/>
                <w:sz w:val="22"/>
                <w:szCs w:val="22"/>
                <w:lang w:val="de-DE"/>
              </w:rPr>
            </w:pPr>
            <w:del w:id="19823" w:author="AbbVie14" w:date="2025-05-09T11:01:00Z">
              <w:r w:rsidRPr="00BD646C">
                <w:rPr>
                  <w:bCs/>
                  <w:sz w:val="22"/>
                  <w:szCs w:val="22"/>
                  <w:lang w:val="de-DE"/>
                </w:rPr>
                <w:delText>Tel: +43 1 20589-0</w:delText>
              </w:r>
            </w:del>
          </w:p>
          <w:p w:rsidR="00235869" w:rsidRPr="00BD646C" w:rsidP="001F79B0" w14:paraId="615841F8" w14:textId="77777777">
            <w:pPr>
              <w:rPr>
                <w:del w:id="19824" w:author="AbbVie14" w:date="2025-05-09T11:01:00Z"/>
                <w:bCs/>
                <w:sz w:val="22"/>
                <w:szCs w:val="22"/>
                <w:lang w:val="de-DE"/>
              </w:rPr>
            </w:pPr>
          </w:p>
        </w:tc>
      </w:tr>
      <w:tr w14:paraId="1B47A14F" w14:textId="77777777" w:rsidTr="001F79B0">
        <w:tblPrEx>
          <w:tblW w:w="9356" w:type="dxa"/>
          <w:tblInd w:w="-34" w:type="dxa"/>
          <w:tblLayout w:type="fixed"/>
          <w:tblLook w:val="0000"/>
        </w:tblPrEx>
        <w:trPr>
          <w:gridBefore w:val="1"/>
          <w:wBefore w:w="34" w:type="dxa"/>
          <w:del w:id="19825" w:author="AbbVie14" w:date="2025-05-09T11:01:00Z"/>
        </w:trPr>
        <w:tc>
          <w:tcPr>
            <w:tcW w:w="4644" w:type="dxa"/>
            <w:gridSpan w:val="2"/>
          </w:tcPr>
          <w:p w:rsidR="00235869" w:rsidRPr="00BD646C" w:rsidP="001F79B0" w14:paraId="0093E5CA" w14:textId="77777777">
            <w:pPr>
              <w:rPr>
                <w:del w:id="19826" w:author="AbbVie14" w:date="2025-05-09T11:01:00Z"/>
                <w:b/>
                <w:bCs/>
                <w:sz w:val="22"/>
                <w:szCs w:val="22"/>
                <w:lang w:val="es-ES"/>
              </w:rPr>
            </w:pPr>
            <w:del w:id="19827" w:author="AbbVie14" w:date="2025-05-09T11:01:00Z">
              <w:r w:rsidRPr="00BD646C">
                <w:rPr>
                  <w:b/>
                  <w:bCs/>
                  <w:sz w:val="22"/>
                  <w:szCs w:val="22"/>
                  <w:lang w:val="es-ES"/>
                </w:rPr>
                <w:delText>España</w:delText>
              </w:r>
            </w:del>
          </w:p>
          <w:p w:rsidR="00235869" w:rsidRPr="00BD646C" w:rsidP="001F79B0" w14:paraId="44E32F41" w14:textId="77777777">
            <w:pPr>
              <w:rPr>
                <w:del w:id="19828" w:author="AbbVie14" w:date="2025-05-09T11:01:00Z"/>
                <w:sz w:val="22"/>
                <w:szCs w:val="22"/>
                <w:lang w:val="es-ES"/>
              </w:rPr>
            </w:pPr>
            <w:del w:id="19829" w:author="AbbVie14" w:date="2025-05-09T11:01:00Z">
              <w:r w:rsidRPr="00BD646C">
                <w:rPr>
                  <w:sz w:val="22"/>
                  <w:szCs w:val="22"/>
                  <w:lang w:val="es-ES"/>
                </w:rPr>
                <w:delText xml:space="preserve">AbbVie </w:delText>
              </w:r>
            </w:del>
            <w:del w:id="19830" w:author="AbbVie14" w:date="2025-05-09T11:01:00Z">
              <w:r w:rsidRPr="00BD646C">
                <w:rPr>
                  <w:bCs/>
                  <w:sz w:val="22"/>
                  <w:szCs w:val="22"/>
                  <w:lang w:val="es-ES"/>
                </w:rPr>
                <w:delText>Spain</w:delText>
              </w:r>
            </w:del>
            <w:del w:id="19831" w:author="AbbVie14" w:date="2025-05-09T11:01:00Z">
              <w:r w:rsidRPr="00BD646C">
                <w:rPr>
                  <w:sz w:val="22"/>
                  <w:szCs w:val="22"/>
                  <w:lang w:val="es-ES"/>
                </w:rPr>
                <w:delText>, S.L.U</w:delText>
              </w:r>
            </w:del>
            <w:del w:id="19832" w:author="AbbVie14" w:date="2025-05-09T11:01:00Z">
              <w:r w:rsidRPr="00BD646C">
                <w:rPr>
                  <w:bCs/>
                  <w:sz w:val="22"/>
                  <w:szCs w:val="22"/>
                  <w:lang w:val="es-ES"/>
                </w:rPr>
                <w:delText>.</w:delText>
              </w:r>
            </w:del>
          </w:p>
          <w:p w:rsidR="00235869" w:rsidRPr="00BD646C" w:rsidP="001F79B0" w14:paraId="5A98A548" w14:textId="77777777">
            <w:pPr>
              <w:rPr>
                <w:del w:id="19833" w:author="AbbVie14" w:date="2025-05-09T11:01:00Z"/>
                <w:bCs/>
                <w:sz w:val="22"/>
                <w:szCs w:val="22"/>
                <w:lang w:val="pl-PL"/>
              </w:rPr>
            </w:pPr>
            <w:del w:id="19834" w:author="AbbVie14" w:date="2025-05-09T11:01:00Z">
              <w:r w:rsidRPr="00BD646C">
                <w:rPr>
                  <w:bCs/>
                  <w:sz w:val="22"/>
                  <w:szCs w:val="22"/>
                  <w:lang w:val="pt-PT"/>
                </w:rPr>
                <w:delText>Tel: +34 91 384 09 10</w:delText>
              </w:r>
            </w:del>
          </w:p>
        </w:tc>
        <w:tc>
          <w:tcPr>
            <w:tcW w:w="4678" w:type="dxa"/>
          </w:tcPr>
          <w:p w:rsidR="00235869" w:rsidRPr="00BD646C" w:rsidP="001F79B0" w14:paraId="2D09AA34" w14:textId="77777777">
            <w:pPr>
              <w:rPr>
                <w:del w:id="19835" w:author="AbbVie14" w:date="2025-05-09T11:01:00Z"/>
                <w:b/>
                <w:bCs/>
                <w:iCs/>
                <w:sz w:val="22"/>
                <w:szCs w:val="22"/>
                <w:lang w:val="pl-PL"/>
              </w:rPr>
            </w:pPr>
            <w:del w:id="19836" w:author="AbbVie14" w:date="2025-05-09T11:01:00Z">
              <w:r w:rsidRPr="00BD646C">
                <w:rPr>
                  <w:b/>
                  <w:bCs/>
                  <w:iCs/>
                  <w:sz w:val="22"/>
                  <w:szCs w:val="22"/>
                  <w:lang w:val="pl-PL"/>
                </w:rPr>
                <w:delText>Polska</w:delText>
              </w:r>
            </w:del>
          </w:p>
          <w:p w:rsidR="00235869" w:rsidRPr="00BD646C" w:rsidP="001F79B0" w14:paraId="66D347B5" w14:textId="77777777">
            <w:pPr>
              <w:rPr>
                <w:del w:id="19837" w:author="AbbVie14" w:date="2025-05-09T11:01:00Z"/>
                <w:bCs/>
                <w:sz w:val="22"/>
                <w:szCs w:val="22"/>
                <w:lang w:val="pl-PL"/>
              </w:rPr>
            </w:pPr>
            <w:del w:id="19838" w:author="AbbVie14" w:date="2025-05-09T11:01:00Z">
              <w:r w:rsidRPr="00BD646C">
                <w:rPr>
                  <w:bCs/>
                  <w:sz w:val="22"/>
                  <w:szCs w:val="22"/>
                  <w:lang w:val="pl-PL"/>
                </w:rPr>
                <w:delText>AbbVie Sp. z o.o.</w:delText>
              </w:r>
            </w:del>
          </w:p>
          <w:p w:rsidR="00235869" w:rsidRPr="00BD646C" w:rsidP="001F79B0" w14:paraId="5272DB25" w14:textId="77777777">
            <w:pPr>
              <w:rPr>
                <w:del w:id="19839" w:author="AbbVie14" w:date="2025-05-09T11:01:00Z"/>
                <w:bCs/>
                <w:sz w:val="22"/>
                <w:szCs w:val="22"/>
                <w:lang w:val="pl-PL"/>
              </w:rPr>
            </w:pPr>
            <w:del w:id="19840" w:author="AbbVie14" w:date="2025-05-09T11:01:00Z">
              <w:r w:rsidRPr="00BD646C">
                <w:rPr>
                  <w:sz w:val="22"/>
                  <w:szCs w:val="22"/>
                  <w:lang w:val="es-ES"/>
                </w:rPr>
                <w:delText xml:space="preserve">Tel.: +48 22 </w:delText>
              </w:r>
            </w:del>
            <w:del w:id="19841" w:author="AbbVie14" w:date="2025-05-09T11:01:00Z">
              <w:r w:rsidRPr="00BD646C">
                <w:rPr>
                  <w:bCs/>
                  <w:sz w:val="22"/>
                  <w:szCs w:val="22"/>
                  <w:lang w:val="pl-PL"/>
                </w:rPr>
                <w:delText xml:space="preserve">372 78 00 </w:delText>
              </w:r>
            </w:del>
          </w:p>
          <w:p w:rsidR="00235869" w:rsidRPr="00BD646C" w:rsidP="001F79B0" w14:paraId="1B4E05F7" w14:textId="77777777">
            <w:pPr>
              <w:rPr>
                <w:del w:id="19842" w:author="AbbVie14" w:date="2025-05-09T11:01:00Z"/>
                <w:bCs/>
                <w:sz w:val="22"/>
                <w:szCs w:val="22"/>
                <w:lang w:val="pl-PL"/>
              </w:rPr>
            </w:pPr>
          </w:p>
        </w:tc>
      </w:tr>
      <w:tr w14:paraId="063B25CB" w14:textId="77777777" w:rsidTr="001F79B0">
        <w:tblPrEx>
          <w:tblW w:w="9356" w:type="dxa"/>
          <w:tblInd w:w="-34" w:type="dxa"/>
          <w:tblLayout w:type="fixed"/>
          <w:tblLook w:val="0000"/>
        </w:tblPrEx>
        <w:trPr>
          <w:trHeight w:val="734"/>
          <w:del w:id="19843" w:author="AbbVie14" w:date="2025-05-09T11:01:00Z"/>
        </w:trPr>
        <w:tc>
          <w:tcPr>
            <w:tcW w:w="4678" w:type="dxa"/>
            <w:gridSpan w:val="3"/>
          </w:tcPr>
          <w:p w:rsidR="00235869" w:rsidRPr="00BD646C" w:rsidP="001F79B0" w14:paraId="26041F9A" w14:textId="77777777">
            <w:pPr>
              <w:rPr>
                <w:del w:id="19844" w:author="AbbVie14" w:date="2025-05-09T11:01:00Z"/>
                <w:b/>
                <w:bCs/>
                <w:sz w:val="22"/>
                <w:szCs w:val="22"/>
                <w:lang w:val="fr-FR"/>
              </w:rPr>
            </w:pPr>
            <w:del w:id="19845" w:author="AbbVie14" w:date="2025-05-09T11:01:00Z">
              <w:r w:rsidRPr="00BD646C">
                <w:rPr>
                  <w:b/>
                  <w:bCs/>
                  <w:sz w:val="22"/>
                  <w:szCs w:val="22"/>
                  <w:lang w:val="fr-FR"/>
                </w:rPr>
                <w:delText>France</w:delText>
              </w:r>
            </w:del>
          </w:p>
          <w:p w:rsidR="00235869" w:rsidRPr="00BD646C" w:rsidP="001F79B0" w14:paraId="073D30DD" w14:textId="77777777">
            <w:pPr>
              <w:rPr>
                <w:del w:id="19846" w:author="AbbVie14" w:date="2025-05-09T11:01:00Z"/>
                <w:bCs/>
                <w:sz w:val="22"/>
                <w:szCs w:val="22"/>
                <w:lang w:val="fr-FR"/>
              </w:rPr>
            </w:pPr>
            <w:del w:id="19847" w:author="AbbVie14" w:date="2025-05-09T11:01:00Z">
              <w:r w:rsidRPr="00BD646C">
                <w:rPr>
                  <w:bCs/>
                  <w:sz w:val="22"/>
                  <w:szCs w:val="22"/>
                  <w:lang w:val="fr-FR"/>
                </w:rPr>
                <w:delText>AbbVie</w:delText>
              </w:r>
            </w:del>
          </w:p>
          <w:p w:rsidR="00235869" w:rsidRPr="00BD646C" w:rsidP="001F79B0" w14:paraId="51884090" w14:textId="77777777">
            <w:pPr>
              <w:rPr>
                <w:del w:id="19848" w:author="AbbVie14" w:date="2025-05-09T11:01:00Z"/>
                <w:bCs/>
                <w:sz w:val="22"/>
                <w:szCs w:val="22"/>
                <w:lang w:val="fr-FR"/>
              </w:rPr>
            </w:pPr>
            <w:del w:id="19849" w:author="AbbVie14" w:date="2025-05-09T11:01:00Z">
              <w:r w:rsidRPr="00BD646C">
                <w:rPr>
                  <w:bCs/>
                  <w:sz w:val="22"/>
                  <w:szCs w:val="22"/>
                  <w:lang w:val="fr-FR"/>
                </w:rPr>
                <w:delText>Tél: +33 (0) 1 45 60 13 00</w:delText>
              </w:r>
            </w:del>
          </w:p>
        </w:tc>
        <w:tc>
          <w:tcPr>
            <w:tcW w:w="4678" w:type="dxa"/>
          </w:tcPr>
          <w:p w:rsidR="00235869" w:rsidRPr="00BD646C" w:rsidP="001F79B0" w14:paraId="7321A994" w14:textId="77777777">
            <w:pPr>
              <w:rPr>
                <w:del w:id="19850" w:author="AbbVie14" w:date="2025-05-09T11:01:00Z"/>
                <w:b/>
                <w:bCs/>
                <w:sz w:val="22"/>
                <w:szCs w:val="22"/>
                <w:lang w:val="pt-PT"/>
              </w:rPr>
            </w:pPr>
            <w:del w:id="19851" w:author="AbbVie14" w:date="2025-05-09T11:01:00Z">
              <w:r w:rsidRPr="00BD646C">
                <w:rPr>
                  <w:b/>
                  <w:bCs/>
                  <w:sz w:val="22"/>
                  <w:szCs w:val="22"/>
                  <w:lang w:val="pt-PT"/>
                </w:rPr>
                <w:delText>Portugal</w:delText>
              </w:r>
            </w:del>
          </w:p>
          <w:p w:rsidR="00235869" w:rsidRPr="00BD646C" w:rsidP="001F79B0" w14:paraId="6D7387BA" w14:textId="77777777">
            <w:pPr>
              <w:rPr>
                <w:del w:id="19852" w:author="AbbVie14" w:date="2025-05-09T11:01:00Z"/>
                <w:bCs/>
                <w:sz w:val="22"/>
                <w:szCs w:val="22"/>
                <w:lang w:val="fr-FR"/>
              </w:rPr>
            </w:pPr>
            <w:del w:id="19853" w:author="AbbVie14" w:date="2025-05-09T11:01:00Z">
              <w:r w:rsidRPr="00BD646C">
                <w:rPr>
                  <w:bCs/>
                  <w:sz w:val="22"/>
                  <w:szCs w:val="22"/>
                  <w:lang w:val="fr-FR"/>
                </w:rPr>
                <w:delText xml:space="preserve">AbbVie, Lda. </w:delText>
              </w:r>
            </w:del>
          </w:p>
          <w:p w:rsidR="00235869" w:rsidRPr="00BD646C" w:rsidP="001F79B0" w14:paraId="042AD93E" w14:textId="77777777">
            <w:pPr>
              <w:rPr>
                <w:del w:id="19854" w:author="AbbVie14" w:date="2025-05-09T11:01:00Z"/>
                <w:sz w:val="22"/>
                <w:szCs w:val="22"/>
                <w:lang w:val="fr-FR"/>
              </w:rPr>
            </w:pPr>
            <w:del w:id="19855" w:author="AbbVie14" w:date="2025-05-09T11:01:00Z">
              <w:r w:rsidRPr="00BD646C">
                <w:rPr>
                  <w:sz w:val="22"/>
                  <w:szCs w:val="22"/>
                  <w:lang w:val="fr-FR"/>
                </w:rPr>
                <w:delText>Tel: +351 (0)21 1908400</w:delText>
              </w:r>
            </w:del>
          </w:p>
          <w:p w:rsidR="00235869" w:rsidRPr="00BD646C" w:rsidP="001F79B0" w14:paraId="7ADCDDEF" w14:textId="77777777">
            <w:pPr>
              <w:rPr>
                <w:del w:id="19856" w:author="AbbVie14" w:date="2025-05-09T11:01:00Z"/>
                <w:sz w:val="22"/>
                <w:szCs w:val="22"/>
                <w:lang w:val="fr-FR"/>
              </w:rPr>
            </w:pPr>
          </w:p>
        </w:tc>
      </w:tr>
      <w:tr w14:paraId="7BDA62F9" w14:textId="77777777" w:rsidTr="001F79B0">
        <w:tblPrEx>
          <w:tblW w:w="9356" w:type="dxa"/>
          <w:tblInd w:w="-34" w:type="dxa"/>
          <w:tblLayout w:type="fixed"/>
          <w:tblLook w:val="0000"/>
        </w:tblPrEx>
        <w:trPr>
          <w:gridBefore w:val="1"/>
          <w:wBefore w:w="34" w:type="dxa"/>
          <w:del w:id="19857" w:author="AbbVie14" w:date="2025-05-09T11:01:00Z"/>
        </w:trPr>
        <w:tc>
          <w:tcPr>
            <w:tcW w:w="4644" w:type="dxa"/>
            <w:gridSpan w:val="2"/>
          </w:tcPr>
          <w:p w:rsidR="00235869" w:rsidRPr="00D16F00" w:rsidP="001F79B0" w14:paraId="26259BEA" w14:textId="77777777">
            <w:pPr>
              <w:rPr>
                <w:del w:id="19858" w:author="AbbVie14" w:date="2025-05-09T11:01:00Z"/>
                <w:sz w:val="22"/>
                <w:szCs w:val="22"/>
              </w:rPr>
            </w:pPr>
            <w:del w:id="19859" w:author="AbbVie14" w:date="2025-05-09T11:01:00Z">
              <w:r w:rsidRPr="00D16F00">
                <w:rPr>
                  <w:b/>
                  <w:bCs/>
                  <w:sz w:val="22"/>
                  <w:szCs w:val="22"/>
                </w:rPr>
                <w:delText xml:space="preserve">Hrvatska </w:delText>
              </w:r>
            </w:del>
          </w:p>
          <w:p w:rsidR="00235869" w:rsidRPr="00BD646C" w:rsidP="001F79B0" w14:paraId="0BDB1835" w14:textId="77777777">
            <w:pPr>
              <w:rPr>
                <w:del w:id="19860" w:author="AbbVie14" w:date="2025-05-09T11:01:00Z"/>
                <w:sz w:val="22"/>
                <w:szCs w:val="22"/>
                <w:lang w:val="hr-HR"/>
              </w:rPr>
            </w:pPr>
            <w:del w:id="19861" w:author="AbbVie14" w:date="2025-05-09T11:01:00Z">
              <w:r w:rsidRPr="00BD646C">
                <w:rPr>
                  <w:sz w:val="22"/>
                  <w:szCs w:val="22"/>
                  <w:lang w:val="hr-HR"/>
                </w:rPr>
                <w:delText>AbbVie d.o.o.</w:delText>
              </w:r>
            </w:del>
          </w:p>
          <w:p w:rsidR="00235869" w:rsidRPr="00BD646C" w:rsidP="001F79B0" w14:paraId="6F3C6592" w14:textId="77777777">
            <w:pPr>
              <w:rPr>
                <w:del w:id="19862" w:author="AbbVie14" w:date="2025-05-09T11:01:00Z"/>
                <w:bCs/>
                <w:sz w:val="22"/>
                <w:szCs w:val="22"/>
              </w:rPr>
            </w:pPr>
            <w:del w:id="19863" w:author="AbbVie14" w:date="2025-05-09T11:01:00Z">
              <w:r w:rsidRPr="00BD646C">
                <w:rPr>
                  <w:sz w:val="22"/>
                  <w:szCs w:val="22"/>
                  <w:lang w:val="hr-HR"/>
                </w:rPr>
                <w:delText xml:space="preserve">Tel + 385 (0)1 </w:delText>
              </w:r>
            </w:del>
            <w:del w:id="19864" w:author="AbbVie14" w:date="2025-05-09T11:01:00Z">
              <w:r w:rsidRPr="008B6641">
                <w:rPr>
                  <w:sz w:val="22"/>
                  <w:szCs w:val="22"/>
                  <w:lang w:val="it-IT"/>
                  <w:rPrChange w:id="19865" w:author="AbbVie14" w:date="2025-05-13T14:31:00Z">
                    <w:rPr>
                      <w:sz w:val="22"/>
                      <w:szCs w:val="22"/>
                      <w:lang w:val="en-US"/>
                    </w:rPr>
                  </w:rPrChange>
                </w:rPr>
                <w:delText>5625 501</w:delText>
              </w:r>
            </w:del>
          </w:p>
        </w:tc>
        <w:tc>
          <w:tcPr>
            <w:tcW w:w="4678" w:type="dxa"/>
          </w:tcPr>
          <w:p w:rsidR="00235869" w:rsidRPr="00BD646C" w:rsidP="001F79B0" w14:paraId="7B117457" w14:textId="77777777">
            <w:pPr>
              <w:rPr>
                <w:del w:id="19866" w:author="AbbVie14" w:date="2025-05-09T11:01:00Z"/>
                <w:b/>
                <w:bCs/>
                <w:sz w:val="22"/>
                <w:szCs w:val="22"/>
              </w:rPr>
            </w:pPr>
            <w:del w:id="19867" w:author="AbbVie14" w:date="2025-05-09T11:01:00Z">
              <w:r w:rsidRPr="00BD646C">
                <w:rPr>
                  <w:b/>
                  <w:bCs/>
                  <w:sz w:val="22"/>
                  <w:szCs w:val="22"/>
                </w:rPr>
                <w:delText>România</w:delText>
              </w:r>
            </w:del>
          </w:p>
          <w:p w:rsidR="00235869" w:rsidRPr="00BD646C" w:rsidP="001F79B0" w14:paraId="67A939CB" w14:textId="77777777">
            <w:pPr>
              <w:rPr>
                <w:del w:id="19868" w:author="AbbVie14" w:date="2025-05-09T11:01:00Z"/>
                <w:sz w:val="22"/>
                <w:szCs w:val="22"/>
              </w:rPr>
            </w:pPr>
            <w:del w:id="19869" w:author="AbbVie14" w:date="2025-05-09T11:01:00Z">
              <w:r w:rsidRPr="00BD646C">
                <w:rPr>
                  <w:sz w:val="22"/>
                  <w:szCs w:val="22"/>
                </w:rPr>
                <w:delText>AbbVie S.R.L.</w:delText>
              </w:r>
            </w:del>
          </w:p>
          <w:p w:rsidR="00235869" w:rsidRPr="00BD646C" w:rsidP="001F79B0" w14:paraId="621B1B41" w14:textId="77777777">
            <w:pPr>
              <w:rPr>
                <w:del w:id="19870" w:author="AbbVie14" w:date="2025-05-09T11:01:00Z"/>
                <w:sz w:val="22"/>
                <w:szCs w:val="22"/>
                <w:lang w:val="pl-PL"/>
              </w:rPr>
            </w:pPr>
            <w:del w:id="19871" w:author="AbbVie14" w:date="2025-05-09T11:01:00Z">
              <w:r w:rsidRPr="00BD646C">
                <w:rPr>
                  <w:sz w:val="22"/>
                  <w:szCs w:val="22"/>
                  <w:lang w:val="pl-PL"/>
                </w:rPr>
                <w:delText>Tel: +40 21 529 30 35</w:delText>
              </w:r>
            </w:del>
          </w:p>
          <w:p w:rsidR="00235869" w:rsidRPr="00BD646C" w:rsidP="001F79B0" w14:paraId="44F165C7" w14:textId="77777777">
            <w:pPr>
              <w:rPr>
                <w:del w:id="19872" w:author="AbbVie14" w:date="2025-05-09T11:01:00Z"/>
                <w:sz w:val="22"/>
                <w:szCs w:val="22"/>
                <w:lang w:val="pl-PL"/>
              </w:rPr>
            </w:pPr>
          </w:p>
        </w:tc>
      </w:tr>
      <w:tr w14:paraId="7F868355" w14:textId="77777777" w:rsidTr="001F79B0">
        <w:tblPrEx>
          <w:tblW w:w="9356" w:type="dxa"/>
          <w:tblInd w:w="-34" w:type="dxa"/>
          <w:tblLayout w:type="fixed"/>
          <w:tblLook w:val="0000"/>
        </w:tblPrEx>
        <w:trPr>
          <w:gridBefore w:val="1"/>
          <w:wBefore w:w="34" w:type="dxa"/>
          <w:del w:id="19873" w:author="AbbVie14" w:date="2025-05-09T11:01:00Z"/>
        </w:trPr>
        <w:tc>
          <w:tcPr>
            <w:tcW w:w="4644" w:type="dxa"/>
            <w:gridSpan w:val="2"/>
          </w:tcPr>
          <w:p w:rsidR="00235869" w:rsidRPr="00BD646C" w:rsidP="001F79B0" w14:paraId="0413E8F1" w14:textId="77777777">
            <w:pPr>
              <w:rPr>
                <w:del w:id="19874" w:author="AbbVie14" w:date="2025-05-09T11:01:00Z"/>
                <w:b/>
                <w:bCs/>
                <w:sz w:val="22"/>
                <w:szCs w:val="22"/>
                <w:lang w:val="sk-SK"/>
              </w:rPr>
            </w:pPr>
            <w:del w:id="19875" w:author="AbbVie14" w:date="2025-05-09T11:01:00Z">
              <w:r w:rsidRPr="00BD646C">
                <w:rPr>
                  <w:b/>
                  <w:bCs/>
                  <w:sz w:val="22"/>
                  <w:szCs w:val="22"/>
                  <w:lang w:val="sk-SK"/>
                </w:rPr>
                <w:delText>Ireland</w:delText>
              </w:r>
            </w:del>
          </w:p>
          <w:p w:rsidR="00235869" w:rsidRPr="00BD646C" w:rsidP="001F79B0" w14:paraId="0ADC0A0B" w14:textId="77777777">
            <w:pPr>
              <w:rPr>
                <w:del w:id="19876" w:author="AbbVie14" w:date="2025-05-09T11:01:00Z"/>
                <w:bCs/>
                <w:sz w:val="22"/>
                <w:szCs w:val="22"/>
                <w:lang w:val="sk-SK"/>
              </w:rPr>
            </w:pPr>
            <w:del w:id="19877" w:author="AbbVie14" w:date="2025-05-09T11:01:00Z">
              <w:r w:rsidRPr="00BD646C">
                <w:rPr>
                  <w:bCs/>
                  <w:sz w:val="22"/>
                  <w:szCs w:val="22"/>
                  <w:lang w:val="sk-SK"/>
                </w:rPr>
                <w:delText xml:space="preserve">AbbVie Limited </w:delText>
              </w:r>
            </w:del>
          </w:p>
          <w:p w:rsidR="00235869" w:rsidRPr="00BD646C" w:rsidP="001F79B0" w14:paraId="367A0D15" w14:textId="77777777">
            <w:pPr>
              <w:rPr>
                <w:del w:id="19878" w:author="AbbVie14" w:date="2025-05-09T11:01:00Z"/>
                <w:bCs/>
                <w:sz w:val="22"/>
                <w:szCs w:val="22"/>
                <w:lang w:val="sk-SK"/>
              </w:rPr>
            </w:pPr>
            <w:del w:id="19879" w:author="AbbVie14" w:date="2025-05-09T11:01:00Z">
              <w:r w:rsidRPr="00BD646C">
                <w:rPr>
                  <w:bCs/>
                  <w:sz w:val="22"/>
                  <w:szCs w:val="22"/>
                  <w:lang w:val="pt-PT"/>
                </w:rPr>
                <w:delText>Tel: +353 (0)1 428790</w:delText>
              </w:r>
            </w:del>
            <w:del w:id="19880" w:author="AbbVie14" w:date="2025-05-09T11:01:00Z">
              <w:r w:rsidR="00FB403F">
                <w:rPr>
                  <w:bCs/>
                  <w:sz w:val="22"/>
                  <w:szCs w:val="22"/>
                  <w:lang w:val="pt-PT"/>
                </w:rPr>
                <w:delText>0</w:delText>
              </w:r>
            </w:del>
          </w:p>
        </w:tc>
        <w:tc>
          <w:tcPr>
            <w:tcW w:w="4678" w:type="dxa"/>
          </w:tcPr>
          <w:p w:rsidR="00235869" w:rsidRPr="00BD646C" w:rsidP="001F79B0" w14:paraId="0354A43E" w14:textId="77777777">
            <w:pPr>
              <w:rPr>
                <w:del w:id="19881" w:author="AbbVie14" w:date="2025-05-09T11:01:00Z"/>
                <w:b/>
                <w:bCs/>
                <w:sz w:val="22"/>
                <w:szCs w:val="22"/>
                <w:lang w:val="sl-SI"/>
              </w:rPr>
            </w:pPr>
            <w:del w:id="19882" w:author="AbbVie14" w:date="2025-05-09T11:01:00Z">
              <w:r w:rsidRPr="00BD646C">
                <w:rPr>
                  <w:b/>
                  <w:bCs/>
                  <w:sz w:val="22"/>
                  <w:szCs w:val="22"/>
                  <w:lang w:val="sl-SI"/>
                </w:rPr>
                <w:delText>Slovenija</w:delText>
              </w:r>
            </w:del>
          </w:p>
          <w:p w:rsidR="00235869" w:rsidRPr="00BD646C" w:rsidP="001F79B0" w14:paraId="612D882F" w14:textId="77777777">
            <w:pPr>
              <w:rPr>
                <w:del w:id="19883" w:author="AbbVie14" w:date="2025-05-09T11:01:00Z"/>
                <w:bCs/>
                <w:sz w:val="22"/>
                <w:szCs w:val="22"/>
                <w:lang w:val="sl-SI"/>
              </w:rPr>
            </w:pPr>
            <w:del w:id="19884" w:author="AbbVie14" w:date="2025-05-09T11:01:00Z">
              <w:r w:rsidRPr="00BD646C">
                <w:rPr>
                  <w:bCs/>
                  <w:sz w:val="22"/>
                  <w:szCs w:val="22"/>
                  <w:lang w:val="sl-SI"/>
                </w:rPr>
                <w:delText xml:space="preserve">AbbVie </w:delText>
              </w:r>
            </w:del>
            <w:del w:id="19885" w:author="AbbVie14" w:date="2025-05-09T11:01:00Z">
              <w:r w:rsidRPr="00BD646C">
                <w:rPr>
                  <w:sz w:val="22"/>
                  <w:szCs w:val="22"/>
                  <w:lang w:val="sl-SI"/>
                </w:rPr>
                <w:delText>Biofarmacevtska družba d.o.o.</w:delText>
              </w:r>
            </w:del>
          </w:p>
          <w:p w:rsidR="00235869" w:rsidRPr="00BD646C" w:rsidP="001F79B0" w14:paraId="2ACE4C9E" w14:textId="77777777">
            <w:pPr>
              <w:rPr>
                <w:del w:id="19886" w:author="AbbVie14" w:date="2025-05-09T11:01:00Z"/>
                <w:bCs/>
                <w:sz w:val="22"/>
                <w:szCs w:val="22"/>
                <w:lang w:val="sl-SI"/>
              </w:rPr>
            </w:pPr>
            <w:del w:id="19887" w:author="AbbVie14" w:date="2025-05-09T11:01:00Z">
              <w:r w:rsidRPr="00BD646C">
                <w:rPr>
                  <w:bCs/>
                  <w:sz w:val="22"/>
                  <w:szCs w:val="22"/>
                  <w:lang w:val="sl-SI"/>
                </w:rPr>
                <w:delText>Tel: +386 (1)32 08 060</w:delText>
              </w:r>
            </w:del>
          </w:p>
          <w:p w:rsidR="00235869" w:rsidRPr="00BD646C" w:rsidP="001F79B0" w14:paraId="475E1633" w14:textId="77777777">
            <w:pPr>
              <w:rPr>
                <w:del w:id="19888" w:author="AbbVie14" w:date="2025-05-09T11:01:00Z"/>
                <w:bCs/>
                <w:sz w:val="22"/>
                <w:szCs w:val="22"/>
                <w:lang w:val="sl-SI"/>
              </w:rPr>
            </w:pPr>
          </w:p>
        </w:tc>
      </w:tr>
      <w:tr w14:paraId="03677EE8" w14:textId="77777777" w:rsidTr="001F79B0">
        <w:tblPrEx>
          <w:tblW w:w="9356" w:type="dxa"/>
          <w:tblInd w:w="-34" w:type="dxa"/>
          <w:tblLayout w:type="fixed"/>
          <w:tblLook w:val="0000"/>
        </w:tblPrEx>
        <w:trPr>
          <w:gridBefore w:val="1"/>
          <w:wBefore w:w="34" w:type="dxa"/>
          <w:del w:id="19889" w:author="AbbVie14" w:date="2025-05-09T11:01:00Z"/>
        </w:trPr>
        <w:tc>
          <w:tcPr>
            <w:tcW w:w="4644" w:type="dxa"/>
            <w:gridSpan w:val="2"/>
          </w:tcPr>
          <w:p w:rsidR="00235869" w:rsidRPr="00BD646C" w:rsidP="001F79B0" w14:paraId="666947CA" w14:textId="77777777">
            <w:pPr>
              <w:rPr>
                <w:del w:id="19890" w:author="AbbVie14" w:date="2025-05-09T11:01:00Z"/>
                <w:b/>
                <w:bCs/>
                <w:sz w:val="22"/>
                <w:szCs w:val="22"/>
                <w:lang w:val="is-IS"/>
              </w:rPr>
            </w:pPr>
            <w:del w:id="19891" w:author="AbbVie14" w:date="2025-05-09T11:01:00Z">
              <w:r w:rsidRPr="00BD646C">
                <w:rPr>
                  <w:b/>
                  <w:bCs/>
                  <w:sz w:val="22"/>
                  <w:szCs w:val="22"/>
                  <w:lang w:val="is-IS"/>
                </w:rPr>
                <w:delText>Ísland</w:delText>
              </w:r>
            </w:del>
          </w:p>
          <w:p w:rsidR="00235869" w:rsidRPr="00BD646C" w:rsidP="001F79B0" w14:paraId="6FF41095" w14:textId="77777777">
            <w:pPr>
              <w:rPr>
                <w:del w:id="19892" w:author="AbbVie14" w:date="2025-05-09T11:01:00Z"/>
                <w:bCs/>
                <w:sz w:val="22"/>
                <w:szCs w:val="22"/>
                <w:lang w:val="sk-SK"/>
              </w:rPr>
            </w:pPr>
            <w:del w:id="19893" w:author="AbbVie14" w:date="2025-05-09T11:01:00Z">
              <w:r w:rsidRPr="00BD646C">
                <w:rPr>
                  <w:bCs/>
                  <w:sz w:val="22"/>
                  <w:szCs w:val="22"/>
                  <w:lang w:val="sk-SK"/>
                </w:rPr>
                <w:delText>Vistor hf.</w:delText>
              </w:r>
            </w:del>
          </w:p>
          <w:p w:rsidR="00235869" w:rsidRPr="00BD646C" w:rsidP="001F79B0" w14:paraId="012D1C2B" w14:textId="77777777">
            <w:pPr>
              <w:rPr>
                <w:del w:id="19894" w:author="AbbVie14" w:date="2025-05-09T11:01:00Z"/>
                <w:bCs/>
                <w:sz w:val="22"/>
                <w:szCs w:val="22"/>
                <w:lang w:val="sk-SK"/>
              </w:rPr>
            </w:pPr>
            <w:del w:id="19895" w:author="AbbVie14" w:date="2025-05-09T11:01:00Z">
              <w:r w:rsidRPr="00BD646C">
                <w:rPr>
                  <w:bCs/>
                  <w:sz w:val="22"/>
                  <w:szCs w:val="22"/>
                  <w:lang w:val="sk-SK"/>
                </w:rPr>
                <w:delText>Tel: +354 535 7000</w:delText>
              </w:r>
            </w:del>
          </w:p>
        </w:tc>
        <w:tc>
          <w:tcPr>
            <w:tcW w:w="4678" w:type="dxa"/>
          </w:tcPr>
          <w:p w:rsidR="00235869" w:rsidRPr="00BD646C" w:rsidP="001F79B0" w14:paraId="3A9E50CC" w14:textId="77777777">
            <w:pPr>
              <w:rPr>
                <w:del w:id="19896" w:author="AbbVie14" w:date="2025-05-09T11:01:00Z"/>
                <w:b/>
                <w:bCs/>
                <w:sz w:val="22"/>
                <w:szCs w:val="22"/>
                <w:lang w:val="sk-SK"/>
              </w:rPr>
            </w:pPr>
            <w:del w:id="19897" w:author="AbbVie14" w:date="2025-05-09T11:01:00Z">
              <w:r w:rsidRPr="00BD646C">
                <w:rPr>
                  <w:b/>
                  <w:bCs/>
                  <w:sz w:val="22"/>
                  <w:szCs w:val="22"/>
                  <w:lang w:val="sk-SK"/>
                </w:rPr>
                <w:delText>Slovenská republika</w:delText>
              </w:r>
            </w:del>
          </w:p>
          <w:p w:rsidR="00235869" w:rsidRPr="00BD646C" w:rsidP="001F79B0" w14:paraId="668E7E45" w14:textId="77777777">
            <w:pPr>
              <w:rPr>
                <w:del w:id="19898" w:author="AbbVie14" w:date="2025-05-09T11:01:00Z"/>
                <w:bCs/>
                <w:sz w:val="22"/>
                <w:szCs w:val="22"/>
                <w:lang w:val="sk-SK"/>
              </w:rPr>
            </w:pPr>
            <w:del w:id="19899" w:author="AbbVie14" w:date="2025-05-09T11:01:00Z">
              <w:r w:rsidRPr="00BD646C">
                <w:rPr>
                  <w:bCs/>
                  <w:sz w:val="22"/>
                  <w:szCs w:val="22"/>
                  <w:lang w:val="sk-SK"/>
                </w:rPr>
                <w:delText>AbbVie s.r.o.</w:delText>
              </w:r>
            </w:del>
          </w:p>
          <w:p w:rsidR="00235869" w:rsidRPr="00BD646C" w:rsidP="001F79B0" w14:paraId="038F1268" w14:textId="77777777">
            <w:pPr>
              <w:rPr>
                <w:del w:id="19900" w:author="AbbVie14" w:date="2025-05-09T11:01:00Z"/>
                <w:bCs/>
                <w:sz w:val="22"/>
                <w:szCs w:val="22"/>
                <w:lang w:val="sk-SK"/>
              </w:rPr>
            </w:pPr>
            <w:del w:id="19901" w:author="AbbVie14" w:date="2025-05-09T11:01:00Z">
              <w:r w:rsidRPr="00BD646C">
                <w:rPr>
                  <w:bCs/>
                  <w:sz w:val="22"/>
                  <w:szCs w:val="22"/>
                  <w:lang w:val="sk-SK"/>
                </w:rPr>
                <w:delText>Tel: +421 2 5050 0777</w:delText>
              </w:r>
            </w:del>
          </w:p>
          <w:p w:rsidR="00235869" w:rsidRPr="00BD646C" w:rsidP="001F79B0" w14:paraId="22C1E47E" w14:textId="77777777">
            <w:pPr>
              <w:rPr>
                <w:del w:id="19902" w:author="AbbVie14" w:date="2025-05-09T11:01:00Z"/>
                <w:bCs/>
                <w:sz w:val="22"/>
                <w:szCs w:val="22"/>
                <w:lang w:val="sk-SK"/>
              </w:rPr>
            </w:pPr>
          </w:p>
        </w:tc>
      </w:tr>
      <w:tr w14:paraId="2B0720FD" w14:textId="77777777" w:rsidTr="001F79B0">
        <w:tblPrEx>
          <w:tblW w:w="9356" w:type="dxa"/>
          <w:tblInd w:w="-34" w:type="dxa"/>
          <w:tblLayout w:type="fixed"/>
          <w:tblLook w:val="0000"/>
        </w:tblPrEx>
        <w:trPr>
          <w:gridBefore w:val="1"/>
          <w:wBefore w:w="34" w:type="dxa"/>
          <w:del w:id="19903" w:author="AbbVie14" w:date="2025-05-09T11:01:00Z"/>
        </w:trPr>
        <w:tc>
          <w:tcPr>
            <w:tcW w:w="4644" w:type="dxa"/>
            <w:gridSpan w:val="2"/>
          </w:tcPr>
          <w:p w:rsidR="00235869" w:rsidRPr="00BD646C" w:rsidP="001F79B0" w14:paraId="347C488C" w14:textId="77777777">
            <w:pPr>
              <w:rPr>
                <w:del w:id="19904" w:author="AbbVie14" w:date="2025-05-09T11:01:00Z"/>
                <w:b/>
                <w:bCs/>
                <w:sz w:val="22"/>
                <w:szCs w:val="22"/>
              </w:rPr>
            </w:pPr>
            <w:del w:id="19905" w:author="AbbVie14" w:date="2025-05-09T11:01:00Z">
              <w:r w:rsidRPr="00BD646C">
                <w:rPr>
                  <w:b/>
                  <w:bCs/>
                  <w:sz w:val="22"/>
                  <w:szCs w:val="22"/>
                </w:rPr>
                <w:delText>Italia</w:delText>
              </w:r>
            </w:del>
          </w:p>
          <w:p w:rsidR="00235869" w:rsidRPr="00BD646C" w:rsidP="001F79B0" w14:paraId="1EF7FA87" w14:textId="77777777">
            <w:pPr>
              <w:rPr>
                <w:del w:id="19906" w:author="AbbVie14" w:date="2025-05-09T11:01:00Z"/>
                <w:bCs/>
                <w:sz w:val="22"/>
                <w:szCs w:val="22"/>
                <w:lang w:val="pt-PT"/>
              </w:rPr>
            </w:pPr>
            <w:del w:id="19907" w:author="AbbVie14" w:date="2025-05-09T11:01:00Z">
              <w:r w:rsidRPr="00BD646C">
                <w:rPr>
                  <w:bCs/>
                  <w:sz w:val="22"/>
                  <w:szCs w:val="22"/>
                  <w:lang w:val="pt-PT"/>
                </w:rPr>
                <w:delText xml:space="preserve">AbbVie S.r.l. </w:delText>
              </w:r>
            </w:del>
          </w:p>
          <w:p w:rsidR="00235869" w:rsidRPr="00BD646C" w:rsidP="001F79B0" w14:paraId="2A52D474" w14:textId="77777777">
            <w:pPr>
              <w:rPr>
                <w:del w:id="19908" w:author="AbbVie14" w:date="2025-05-09T11:01:00Z"/>
                <w:bCs/>
                <w:sz w:val="22"/>
                <w:szCs w:val="22"/>
                <w:lang w:val="fi-FI"/>
              </w:rPr>
            </w:pPr>
            <w:del w:id="19909" w:author="AbbVie14" w:date="2025-05-09T11:01:00Z">
              <w:r w:rsidRPr="00BD646C">
                <w:rPr>
                  <w:bCs/>
                  <w:sz w:val="22"/>
                  <w:szCs w:val="22"/>
                  <w:lang w:val="fr-FR"/>
                </w:rPr>
                <w:delText>Tel: +39 06 928921</w:delText>
              </w:r>
            </w:del>
          </w:p>
        </w:tc>
        <w:tc>
          <w:tcPr>
            <w:tcW w:w="4678" w:type="dxa"/>
          </w:tcPr>
          <w:p w:rsidR="00235869" w:rsidRPr="00BD646C" w:rsidP="001F79B0" w14:paraId="46AD1D96" w14:textId="77777777">
            <w:pPr>
              <w:rPr>
                <w:del w:id="19910" w:author="AbbVie14" w:date="2025-05-09T11:01:00Z"/>
                <w:b/>
                <w:bCs/>
                <w:sz w:val="22"/>
                <w:szCs w:val="22"/>
                <w:lang w:val="fi-FI"/>
              </w:rPr>
            </w:pPr>
            <w:del w:id="19911" w:author="AbbVie14" w:date="2025-05-09T11:01:00Z">
              <w:r w:rsidRPr="00BD646C">
                <w:rPr>
                  <w:b/>
                  <w:bCs/>
                  <w:sz w:val="22"/>
                  <w:szCs w:val="22"/>
                  <w:lang w:val="fi-FI"/>
                </w:rPr>
                <w:delText>Suomi/Finland</w:delText>
              </w:r>
            </w:del>
          </w:p>
          <w:p w:rsidR="00235869" w:rsidRPr="00BD646C" w:rsidP="001F79B0" w14:paraId="7A54ED36" w14:textId="77777777">
            <w:pPr>
              <w:rPr>
                <w:del w:id="19912" w:author="AbbVie14" w:date="2025-05-09T11:01:00Z"/>
                <w:bCs/>
                <w:sz w:val="22"/>
                <w:szCs w:val="22"/>
                <w:lang w:val="de-CH"/>
              </w:rPr>
            </w:pPr>
            <w:del w:id="19913" w:author="AbbVie14" w:date="2025-05-09T11:01:00Z">
              <w:r w:rsidRPr="00BD646C">
                <w:rPr>
                  <w:bCs/>
                  <w:sz w:val="22"/>
                  <w:szCs w:val="22"/>
                  <w:lang w:val="sk-SK"/>
                </w:rPr>
                <w:delText>AbbVie Oy</w:delText>
              </w:r>
            </w:del>
          </w:p>
          <w:p w:rsidR="00235869" w:rsidRPr="00BD646C" w:rsidP="001F79B0" w14:paraId="271D3C23" w14:textId="77777777">
            <w:pPr>
              <w:rPr>
                <w:del w:id="19914" w:author="AbbVie14" w:date="2025-05-09T11:01:00Z"/>
                <w:bCs/>
                <w:sz w:val="22"/>
                <w:szCs w:val="22"/>
                <w:lang w:val="sk-SK"/>
              </w:rPr>
            </w:pPr>
            <w:del w:id="19915" w:author="AbbVie14" w:date="2025-05-09T11:01:00Z">
              <w:r w:rsidRPr="00BD646C">
                <w:rPr>
                  <w:bCs/>
                  <w:sz w:val="22"/>
                  <w:szCs w:val="22"/>
                  <w:lang w:val="sk-SK"/>
                </w:rPr>
                <w:delText>Puh/Tel: +358 (0)10 2411 200</w:delText>
              </w:r>
            </w:del>
          </w:p>
          <w:p w:rsidR="00235869" w:rsidRPr="00BD646C" w:rsidP="001F79B0" w14:paraId="2798C696" w14:textId="77777777">
            <w:pPr>
              <w:rPr>
                <w:del w:id="19916" w:author="AbbVie14" w:date="2025-05-09T11:01:00Z"/>
                <w:sz w:val="22"/>
                <w:szCs w:val="22"/>
                <w:lang w:val="sk-SK"/>
              </w:rPr>
            </w:pPr>
          </w:p>
        </w:tc>
      </w:tr>
      <w:tr w14:paraId="6F8D92CC" w14:textId="77777777" w:rsidTr="001F79B0">
        <w:tblPrEx>
          <w:tblW w:w="9356" w:type="dxa"/>
          <w:tblInd w:w="-34" w:type="dxa"/>
          <w:tblLayout w:type="fixed"/>
          <w:tblLook w:val="0000"/>
        </w:tblPrEx>
        <w:trPr>
          <w:gridBefore w:val="1"/>
          <w:wBefore w:w="34" w:type="dxa"/>
          <w:cantSplit/>
          <w:trHeight w:val="887"/>
          <w:del w:id="19917" w:author="AbbVie14" w:date="2025-05-09T11:01:00Z"/>
        </w:trPr>
        <w:tc>
          <w:tcPr>
            <w:tcW w:w="4644" w:type="dxa"/>
            <w:gridSpan w:val="2"/>
          </w:tcPr>
          <w:p w:rsidR="00235869" w:rsidRPr="00BD646C" w:rsidP="001F79B0" w14:paraId="4B89621A" w14:textId="77777777">
            <w:pPr>
              <w:rPr>
                <w:del w:id="19918" w:author="AbbVie14" w:date="2025-05-09T11:01:00Z"/>
                <w:b/>
                <w:bCs/>
                <w:sz w:val="22"/>
                <w:szCs w:val="22"/>
                <w:lang w:val="el-GR"/>
              </w:rPr>
            </w:pPr>
            <w:del w:id="19919" w:author="AbbVie14" w:date="2025-05-09T11:01:00Z">
              <w:r w:rsidRPr="00BD646C">
                <w:rPr>
                  <w:b/>
                  <w:bCs/>
                  <w:sz w:val="22"/>
                  <w:szCs w:val="22"/>
                  <w:lang w:val="el-GR"/>
                </w:rPr>
                <w:delText>Κύπρος</w:delText>
              </w:r>
            </w:del>
          </w:p>
          <w:p w:rsidR="00235869" w:rsidRPr="00BD646C" w:rsidP="001F79B0" w14:paraId="70855144" w14:textId="77777777">
            <w:pPr>
              <w:rPr>
                <w:del w:id="19920" w:author="AbbVie14" w:date="2025-05-09T11:01:00Z"/>
                <w:bCs/>
                <w:sz w:val="22"/>
                <w:szCs w:val="22"/>
                <w:lang w:val="el-GR"/>
              </w:rPr>
            </w:pPr>
            <w:del w:id="19921" w:author="AbbVie14" w:date="2025-05-09T11:01:00Z">
              <w:r w:rsidRPr="00BD646C">
                <w:rPr>
                  <w:bCs/>
                  <w:sz w:val="22"/>
                  <w:szCs w:val="22"/>
                  <w:lang w:val="sk-SK"/>
                </w:rPr>
                <w:delText xml:space="preserve">Lifepharma (Z.A.M.) </w:delText>
              </w:r>
            </w:del>
            <w:del w:id="19922" w:author="AbbVie14" w:date="2025-05-09T11:01:00Z">
              <w:r w:rsidRPr="00BD646C">
                <w:rPr>
                  <w:bCs/>
                  <w:sz w:val="22"/>
                  <w:szCs w:val="22"/>
                </w:rPr>
                <w:delText>Ltd</w:delText>
              </w:r>
            </w:del>
          </w:p>
          <w:p w:rsidR="00235869" w:rsidRPr="00BD646C" w:rsidP="001F79B0" w14:paraId="458B8507" w14:textId="77777777">
            <w:pPr>
              <w:rPr>
                <w:del w:id="19923" w:author="AbbVie14" w:date="2025-05-09T11:01:00Z"/>
                <w:bCs/>
                <w:sz w:val="22"/>
                <w:szCs w:val="22"/>
                <w:lang w:val="lv-LV"/>
              </w:rPr>
            </w:pPr>
            <w:del w:id="19924" w:author="AbbVie14" w:date="2025-05-09T11:01:00Z">
              <w:r w:rsidRPr="00BD646C">
                <w:rPr>
                  <w:bCs/>
                  <w:sz w:val="22"/>
                  <w:szCs w:val="22"/>
                  <w:lang w:val="el-GR"/>
                </w:rPr>
                <w:delText>Τηλ.: +357 22 34 74 40</w:delText>
              </w:r>
            </w:del>
          </w:p>
        </w:tc>
        <w:tc>
          <w:tcPr>
            <w:tcW w:w="4678" w:type="dxa"/>
          </w:tcPr>
          <w:p w:rsidR="00235869" w:rsidRPr="00BD646C" w:rsidP="001F79B0" w14:paraId="147B49F8" w14:textId="77777777">
            <w:pPr>
              <w:rPr>
                <w:del w:id="19925" w:author="AbbVie14" w:date="2025-05-09T11:01:00Z"/>
                <w:b/>
                <w:bCs/>
                <w:sz w:val="22"/>
                <w:szCs w:val="22"/>
                <w:lang w:val="sk-SK"/>
              </w:rPr>
            </w:pPr>
            <w:del w:id="19926" w:author="AbbVie14" w:date="2025-05-09T11:01:00Z">
              <w:r w:rsidRPr="00BD646C">
                <w:rPr>
                  <w:b/>
                  <w:bCs/>
                  <w:sz w:val="22"/>
                  <w:szCs w:val="22"/>
                  <w:lang w:val="sk-SK"/>
                </w:rPr>
                <w:delText>Sverige</w:delText>
              </w:r>
            </w:del>
          </w:p>
          <w:p w:rsidR="00235869" w:rsidRPr="00BD646C" w:rsidP="001F79B0" w14:paraId="58D15C33" w14:textId="77777777">
            <w:pPr>
              <w:rPr>
                <w:del w:id="19927" w:author="AbbVie14" w:date="2025-05-09T11:01:00Z"/>
                <w:bCs/>
                <w:sz w:val="22"/>
                <w:szCs w:val="22"/>
                <w:lang w:val="pt-PT"/>
              </w:rPr>
            </w:pPr>
            <w:del w:id="19928" w:author="AbbVie14" w:date="2025-05-09T11:01:00Z">
              <w:r w:rsidRPr="00BD646C">
                <w:rPr>
                  <w:bCs/>
                  <w:sz w:val="22"/>
                  <w:szCs w:val="22"/>
                  <w:lang w:val="pt-PT"/>
                </w:rPr>
                <w:delText>AbbVie AB</w:delText>
              </w:r>
            </w:del>
          </w:p>
          <w:p w:rsidR="00235869" w:rsidRPr="00BD646C" w:rsidP="001F79B0" w14:paraId="72CAF7B3" w14:textId="77777777">
            <w:pPr>
              <w:rPr>
                <w:del w:id="19929" w:author="AbbVie14" w:date="2025-05-09T11:01:00Z"/>
                <w:bCs/>
                <w:sz w:val="22"/>
                <w:szCs w:val="22"/>
                <w:lang w:val="sk-SK"/>
              </w:rPr>
            </w:pPr>
            <w:del w:id="19930" w:author="AbbVie14" w:date="2025-05-09T11:01:00Z">
              <w:r w:rsidRPr="00BD646C">
                <w:rPr>
                  <w:bCs/>
                  <w:sz w:val="22"/>
                  <w:szCs w:val="22"/>
                  <w:lang w:val="da-DK"/>
                </w:rPr>
                <w:delText>Tel: +46 (0)8 684 44 600</w:delText>
              </w:r>
            </w:del>
          </w:p>
        </w:tc>
      </w:tr>
      <w:tr w14:paraId="02A5F6DE" w14:textId="77777777" w:rsidTr="001F79B0">
        <w:tblPrEx>
          <w:tblW w:w="9356" w:type="dxa"/>
          <w:tblInd w:w="-34" w:type="dxa"/>
          <w:tblLayout w:type="fixed"/>
          <w:tblLook w:val="0000"/>
        </w:tblPrEx>
        <w:trPr>
          <w:gridBefore w:val="1"/>
          <w:wBefore w:w="34" w:type="dxa"/>
          <w:cantSplit/>
          <w:trHeight w:val="761"/>
          <w:del w:id="19931" w:author="AbbVie14" w:date="2025-05-09T11:01:00Z"/>
        </w:trPr>
        <w:tc>
          <w:tcPr>
            <w:tcW w:w="4644" w:type="dxa"/>
            <w:gridSpan w:val="2"/>
          </w:tcPr>
          <w:p w:rsidR="00235869" w:rsidRPr="00BD646C" w:rsidP="001F79B0" w14:paraId="25459738" w14:textId="77777777">
            <w:pPr>
              <w:rPr>
                <w:del w:id="19932" w:author="AbbVie14" w:date="2025-05-09T11:01:00Z"/>
                <w:b/>
                <w:bCs/>
                <w:sz w:val="22"/>
                <w:szCs w:val="22"/>
                <w:lang w:val="lv-LV"/>
              </w:rPr>
            </w:pPr>
            <w:del w:id="19933" w:author="AbbVie14" w:date="2025-05-09T11:01:00Z">
              <w:r w:rsidRPr="00BD646C">
                <w:rPr>
                  <w:b/>
                  <w:bCs/>
                  <w:sz w:val="22"/>
                  <w:szCs w:val="22"/>
                  <w:lang w:val="lv-LV"/>
                </w:rPr>
                <w:delText>Latvija</w:delText>
              </w:r>
            </w:del>
          </w:p>
          <w:p w:rsidR="00235869" w:rsidRPr="00BD646C" w:rsidP="001F79B0" w14:paraId="79C7039A" w14:textId="77777777">
            <w:pPr>
              <w:rPr>
                <w:del w:id="19934" w:author="AbbVie14" w:date="2025-05-09T11:01:00Z"/>
                <w:bCs/>
                <w:sz w:val="22"/>
                <w:szCs w:val="22"/>
                <w:lang w:val="lv-LV"/>
              </w:rPr>
            </w:pPr>
            <w:del w:id="19935" w:author="AbbVie14" w:date="2025-05-09T11:01:00Z">
              <w:r w:rsidRPr="00BD646C">
                <w:rPr>
                  <w:bCs/>
                  <w:sz w:val="22"/>
                  <w:szCs w:val="22"/>
                  <w:lang w:val="lv-LV"/>
                </w:rPr>
                <w:delText xml:space="preserve">AbbVie SIA </w:delText>
              </w:r>
            </w:del>
          </w:p>
          <w:p w:rsidR="00235869" w:rsidRPr="00BD646C" w:rsidP="001F79B0" w14:paraId="62E216FD" w14:textId="77777777">
            <w:pPr>
              <w:rPr>
                <w:del w:id="19936" w:author="AbbVie14" w:date="2025-05-09T11:01:00Z"/>
                <w:bCs/>
                <w:sz w:val="22"/>
                <w:szCs w:val="22"/>
                <w:lang w:val="lv-LV"/>
              </w:rPr>
            </w:pPr>
            <w:del w:id="19937" w:author="AbbVie14" w:date="2025-05-09T11:01:00Z">
              <w:r w:rsidRPr="00BD646C">
                <w:rPr>
                  <w:bCs/>
                  <w:sz w:val="22"/>
                  <w:szCs w:val="22"/>
                  <w:lang w:val="lv-LV"/>
                </w:rPr>
                <w:delText>Tel: +371 67605000</w:delText>
              </w:r>
            </w:del>
          </w:p>
        </w:tc>
        <w:tc>
          <w:tcPr>
            <w:tcW w:w="4678" w:type="dxa"/>
          </w:tcPr>
          <w:p w:rsidR="00235869" w:rsidRPr="00BD646C" w:rsidP="001F79B0" w14:paraId="1698E56B" w14:textId="77777777">
            <w:pPr>
              <w:rPr>
                <w:del w:id="19938" w:author="AbbVie14" w:date="2025-05-09T11:01:00Z"/>
                <w:b/>
                <w:bCs/>
                <w:sz w:val="22"/>
                <w:szCs w:val="22"/>
                <w:lang w:val="sk-SK"/>
              </w:rPr>
            </w:pPr>
          </w:p>
        </w:tc>
      </w:tr>
    </w:tbl>
    <w:p w:rsidR="006224C2" w:rsidRPr="00357925" w14:paraId="33FC5095" w14:textId="77777777">
      <w:pPr>
        <w:rPr>
          <w:del w:id="19939" w:author="AbbVie14" w:date="2025-05-09T11:01:00Z"/>
          <w:sz w:val="22"/>
          <w:szCs w:val="22"/>
          <w:lang w:val="en-US"/>
        </w:rPr>
      </w:pPr>
    </w:p>
    <w:p w:rsidR="006224C2" w:rsidRPr="00295E71" w:rsidP="00910CE7" w14:paraId="71AC24DE" w14:textId="77777777">
      <w:pPr>
        <w:keepNext/>
        <w:numPr>
          <w:ilvl w:val="12"/>
          <w:numId w:val="0"/>
        </w:numPr>
        <w:tabs>
          <w:tab w:val="left" w:pos="567"/>
        </w:tabs>
        <w:jc w:val="both"/>
        <w:rPr>
          <w:del w:id="19940" w:author="AbbVie14" w:date="2025-05-09T11:01:00Z"/>
          <w:sz w:val="22"/>
          <w:szCs w:val="22"/>
        </w:rPr>
      </w:pPr>
      <w:del w:id="19941" w:author="AbbVie14" w:date="2025-05-09T11:01:00Z">
        <w:r w:rsidRPr="00295E71">
          <w:rPr>
            <w:b/>
            <w:bCs/>
            <w:sz w:val="22"/>
            <w:szCs w:val="22"/>
          </w:rPr>
          <w:delText xml:space="preserve">Questo foglio illustrativo è stato </w:delText>
        </w:r>
      </w:del>
      <w:del w:id="19942" w:author="AbbVie14" w:date="2025-05-09T11:01:00Z">
        <w:r w:rsidRPr="00295E71">
          <w:rPr>
            <w:b/>
            <w:sz w:val="22"/>
            <w:szCs w:val="22"/>
          </w:rPr>
          <w:delText>aggiornato</w:delText>
        </w:r>
      </w:del>
      <w:del w:id="19943" w:author="AbbVie14" w:date="2025-05-09T11:01:00Z">
        <w:r w:rsidRPr="00295E71">
          <w:rPr>
            <w:b/>
            <w:bCs/>
            <w:sz w:val="22"/>
            <w:szCs w:val="22"/>
          </w:rPr>
          <w:delText>il</w:delText>
        </w:r>
      </w:del>
    </w:p>
    <w:p w:rsidR="006224C2" w:rsidRPr="00295E71" w:rsidP="00910CE7" w14:paraId="740F4717" w14:textId="77777777">
      <w:pPr>
        <w:keepNext/>
        <w:numPr>
          <w:ilvl w:val="12"/>
          <w:numId w:val="0"/>
        </w:numPr>
        <w:tabs>
          <w:tab w:val="left" w:pos="567"/>
        </w:tabs>
        <w:jc w:val="both"/>
        <w:rPr>
          <w:del w:id="19944" w:author="AbbVie14" w:date="2025-05-09T11:01:00Z"/>
          <w:sz w:val="22"/>
          <w:szCs w:val="22"/>
        </w:rPr>
      </w:pPr>
    </w:p>
    <w:p w:rsidR="006224C2" w:rsidRPr="00295E71" w:rsidP="00910CE7" w14:paraId="092733AC" w14:textId="77777777">
      <w:pPr>
        <w:keepNext/>
        <w:numPr>
          <w:ilvl w:val="12"/>
          <w:numId w:val="0"/>
        </w:numPr>
        <w:tabs>
          <w:tab w:val="left" w:pos="567"/>
        </w:tabs>
        <w:jc w:val="both"/>
        <w:rPr>
          <w:del w:id="19945" w:author="AbbVie14" w:date="2025-05-09T11:01:00Z"/>
          <w:sz w:val="22"/>
          <w:szCs w:val="22"/>
        </w:rPr>
      </w:pPr>
      <w:del w:id="19946" w:author="AbbVie14" w:date="2025-05-09T11:01:00Z">
        <w:r w:rsidRPr="00295E71">
          <w:rPr>
            <w:sz w:val="22"/>
            <w:szCs w:val="22"/>
          </w:rPr>
          <w:delText xml:space="preserve">Informazioni più dettagliate su questo medicinale sono disponibili sul sito web dell’Agenzia europea dei medicinali: </w:delText>
        </w:r>
      </w:del>
      <w:del w:id="19947" w:author="AbbVie14" w:date="2025-05-09T11:01:00Z">
        <w:r>
          <w:fldChar w:fldCharType="begin"/>
        </w:r>
      </w:del>
      <w:del w:id="19948" w:author="AbbVie14" w:date="2025-05-09T11:01:00Z">
        <w:r>
          <w:delInstrText>HYPERLINK "http://www.ema.europa.eu/"</w:delInstrText>
        </w:r>
      </w:del>
      <w:del w:id="19949" w:author="AbbVie14" w:date="2025-05-09T11:01:00Z">
        <w:r>
          <w:fldChar w:fldCharType="separate"/>
        </w:r>
      </w:del>
      <w:del w:id="19950" w:author="AbbVie14" w:date="2025-05-09T11:01:00Z">
        <w:r w:rsidRPr="00295E71">
          <w:rPr>
            <w:rStyle w:val="Hyperlink"/>
            <w:sz w:val="22"/>
            <w:szCs w:val="22"/>
          </w:rPr>
          <w:delText>http://www.ema.europa.eu/</w:delText>
        </w:r>
      </w:del>
      <w:del w:id="19951" w:author="AbbVie14" w:date="2025-05-09T11:01:00Z">
        <w:r>
          <w:fldChar w:fldCharType="end"/>
        </w:r>
      </w:del>
      <w:del w:id="19952" w:author="AbbVie14" w:date="2025-05-09T11:01:00Z">
        <w:r w:rsidRPr="00295E71">
          <w:rPr>
            <w:sz w:val="22"/>
            <w:szCs w:val="22"/>
          </w:rPr>
          <w:delText>.</w:delText>
        </w:r>
      </w:del>
    </w:p>
    <w:p w:rsidR="006224C2" w:rsidRPr="00295E71" w14:paraId="3FF5F9C4" w14:textId="77777777">
      <w:pPr>
        <w:numPr>
          <w:ilvl w:val="12"/>
          <w:numId w:val="0"/>
        </w:numPr>
        <w:tabs>
          <w:tab w:val="left" w:pos="567"/>
        </w:tabs>
        <w:ind w:right="-2"/>
        <w:jc w:val="both"/>
        <w:rPr>
          <w:del w:id="19953" w:author="AbbVie14" w:date="2025-05-09T11:01:00Z"/>
          <w:sz w:val="22"/>
          <w:szCs w:val="22"/>
        </w:rPr>
      </w:pPr>
    </w:p>
    <w:p w:rsidR="006224C2" w:rsidRPr="00295E71" w14:paraId="5A7BBB74" w14:textId="77777777">
      <w:pPr>
        <w:numPr>
          <w:ilvl w:val="12"/>
          <w:numId w:val="0"/>
        </w:numPr>
        <w:tabs>
          <w:tab w:val="left" w:pos="567"/>
        </w:tabs>
        <w:ind w:right="-2"/>
        <w:jc w:val="both"/>
        <w:rPr>
          <w:del w:id="19954" w:author="AbbVie14" w:date="2025-05-09T11:01:00Z"/>
          <w:sz w:val="22"/>
          <w:szCs w:val="22"/>
        </w:rPr>
      </w:pPr>
      <w:del w:id="19955" w:author="AbbVie14" w:date="2025-05-09T11:01:00Z">
        <w:r w:rsidRPr="00295E71">
          <w:rPr>
            <w:b/>
            <w:color w:val="000000"/>
            <w:sz w:val="22"/>
            <w:szCs w:val="22"/>
          </w:rPr>
          <w:delText xml:space="preserve">Per ascoltare o richiedere una copia di questo foglio illustrativo in </w:delText>
        </w:r>
      </w:del>
      <w:del w:id="19956" w:author="AbbVie14" w:date="2025-05-09T11:01:00Z">
        <w:r w:rsidRPr="00295E71">
          <w:rPr>
            <w:b/>
            <w:color w:val="000000"/>
            <w:sz w:val="22"/>
            <w:szCs w:val="22"/>
            <w:shd w:val="clear" w:color="auto" w:fill="A6A6A6"/>
          </w:rPr>
          <w:delText>&lt;Braille&gt;, &lt; stampa a caratteri grandi&gt; o &lt;audio</w:delText>
        </w:r>
      </w:del>
      <w:del w:id="19957" w:author="AbbVie14" w:date="2025-05-09T11:01:00Z">
        <w:r w:rsidRPr="00295E71">
          <w:rPr>
            <w:b/>
            <w:color w:val="000000"/>
            <w:sz w:val="22"/>
            <w:szCs w:val="22"/>
            <w:highlight w:val="darkGray"/>
          </w:rPr>
          <w:delText>&gt;</w:delText>
        </w:r>
      </w:del>
      <w:del w:id="19958" w:author="AbbVie14" w:date="2025-05-09T11:01:00Z">
        <w:r w:rsidRPr="00295E71">
          <w:rPr>
            <w:b/>
            <w:color w:val="000000"/>
            <w:sz w:val="22"/>
            <w:szCs w:val="22"/>
          </w:rPr>
          <w:delText xml:space="preserve">, contattare il rappresentante locale del </w:delText>
        </w:r>
      </w:del>
      <w:del w:id="19959" w:author="AbbVie14" w:date="2025-05-09T11:01:00Z">
        <w:r w:rsidRPr="00295E71">
          <w:rPr>
            <w:b/>
            <w:sz w:val="22"/>
            <w:szCs w:val="22"/>
          </w:rPr>
          <w:delText>titolare dell’autorizzazione all’immissione in commercio.</w:delText>
        </w:r>
      </w:del>
    </w:p>
    <w:p w:rsidR="00C26956" w:rsidRPr="00295E71" w:rsidP="00C26956" w14:paraId="57D33684" w14:textId="77777777">
      <w:pPr>
        <w:jc w:val="center"/>
        <w:rPr>
          <w:b/>
          <w:sz w:val="22"/>
          <w:szCs w:val="22"/>
        </w:rPr>
      </w:pPr>
      <w:del w:id="19960" w:author="AbbVie14" w:date="2025-05-09T11:01:00Z">
        <w:r w:rsidRPr="00295E71">
          <w:rPr>
            <w:sz w:val="22"/>
            <w:szCs w:val="22"/>
          </w:rPr>
          <w:br w:type="page"/>
        </w:r>
      </w:del>
      <w:r w:rsidRPr="00295E71">
        <w:rPr>
          <w:b/>
          <w:sz w:val="22"/>
          <w:szCs w:val="22"/>
        </w:rPr>
        <w:t>Foglio illustrativo: informazioni per il paziente</w:t>
      </w:r>
    </w:p>
    <w:p w:rsidR="00C26956" w:rsidRPr="00295E71" w:rsidP="00C26956" w14:paraId="5CDF5CF0" w14:textId="77777777">
      <w:pPr>
        <w:pStyle w:val="Title"/>
        <w:tabs>
          <w:tab w:val="left" w:pos="567"/>
        </w:tabs>
        <w:rPr>
          <w:b w:val="0"/>
          <w:sz w:val="22"/>
          <w:szCs w:val="22"/>
        </w:rPr>
      </w:pPr>
    </w:p>
    <w:p w:rsidR="00C26956" w:rsidRPr="00295E71" w:rsidP="00C26956" w14:paraId="7FFD4E1B" w14:textId="77777777">
      <w:pPr>
        <w:pStyle w:val="Title"/>
        <w:tabs>
          <w:tab w:val="left" w:pos="567"/>
        </w:tabs>
        <w:rPr>
          <w:b w:val="0"/>
          <w:bCs w:val="0"/>
          <w:sz w:val="22"/>
          <w:szCs w:val="22"/>
        </w:rPr>
      </w:pPr>
      <w:r w:rsidRPr="00295E71">
        <w:rPr>
          <w:sz w:val="22"/>
          <w:szCs w:val="22"/>
        </w:rPr>
        <w:t xml:space="preserve">Humira </w:t>
      </w:r>
      <w:r w:rsidRPr="00295E71">
        <w:rPr>
          <w:bCs w:val="0"/>
          <w:sz w:val="22"/>
          <w:szCs w:val="22"/>
        </w:rPr>
        <w:t>40 mg soluzione iniettabile in siringa pre-riempita</w:t>
      </w:r>
    </w:p>
    <w:p w:rsidR="00C26956" w:rsidRPr="00295E71" w:rsidP="00C26956" w14:paraId="33AA69BB" w14:textId="77777777">
      <w:pPr>
        <w:numPr>
          <w:ilvl w:val="12"/>
          <w:numId w:val="0"/>
        </w:numPr>
        <w:tabs>
          <w:tab w:val="left" w:pos="567"/>
        </w:tabs>
        <w:ind w:right="-2"/>
        <w:jc w:val="center"/>
        <w:rPr>
          <w:bCs/>
          <w:sz w:val="22"/>
          <w:szCs w:val="22"/>
        </w:rPr>
      </w:pPr>
      <w:r w:rsidRPr="00295E71">
        <w:rPr>
          <w:bCs/>
          <w:sz w:val="22"/>
          <w:szCs w:val="22"/>
        </w:rPr>
        <w:t>adalimumab</w:t>
      </w:r>
    </w:p>
    <w:p w:rsidR="00C26956" w:rsidRPr="00295E71" w:rsidP="00C26956" w14:paraId="2BA6F198" w14:textId="77777777">
      <w:pPr>
        <w:numPr>
          <w:ilvl w:val="12"/>
          <w:numId w:val="0"/>
        </w:numPr>
        <w:tabs>
          <w:tab w:val="left" w:pos="567"/>
        </w:tabs>
        <w:ind w:right="-2"/>
        <w:rPr>
          <w:bCs/>
          <w:sz w:val="22"/>
          <w:szCs w:val="22"/>
        </w:rPr>
      </w:pPr>
    </w:p>
    <w:p w:rsidR="00C26956" w:rsidRPr="00295E71" w:rsidP="00C26956" w14:paraId="3E8F12B6" w14:textId="77777777">
      <w:pPr>
        <w:pStyle w:val="Heading8"/>
        <w:keepNext w:val="0"/>
        <w:tabs>
          <w:tab w:val="left" w:pos="567"/>
        </w:tabs>
        <w:jc w:val="both"/>
      </w:pPr>
      <w:r w:rsidRPr="00295E71">
        <w:t>Legga attentamente questo foglio prima di usare questo medicinale perchè contiene importanti informazioni per lei</w:t>
      </w:r>
    </w:p>
    <w:p w:rsidR="00C26956" w:rsidRPr="00295E71" w:rsidP="00C26956" w14:paraId="11CD9654" w14:textId="77777777">
      <w:pPr>
        <w:numPr>
          <w:ilvl w:val="0"/>
          <w:numId w:val="1"/>
        </w:numPr>
        <w:tabs>
          <w:tab w:val="left" w:pos="567"/>
        </w:tabs>
        <w:ind w:left="927" w:right="-2" w:hanging="567"/>
        <w:jc w:val="both"/>
        <w:rPr>
          <w:sz w:val="22"/>
          <w:szCs w:val="22"/>
        </w:rPr>
      </w:pPr>
      <w:r w:rsidRPr="00295E71">
        <w:rPr>
          <w:sz w:val="22"/>
          <w:szCs w:val="22"/>
        </w:rPr>
        <w:t>Conservi questo foglio. Potrebbe avere bisogno di leggerlo di nuovo.</w:t>
      </w:r>
    </w:p>
    <w:p w:rsidR="00C26956" w:rsidRPr="00295E71" w:rsidP="00C26956" w14:paraId="170CCF90" w14:textId="77777777">
      <w:pPr>
        <w:numPr>
          <w:ilvl w:val="0"/>
          <w:numId w:val="1"/>
        </w:numPr>
        <w:tabs>
          <w:tab w:val="left" w:pos="567"/>
        </w:tabs>
        <w:ind w:left="927" w:right="-2" w:hanging="567"/>
        <w:jc w:val="both"/>
        <w:rPr>
          <w:sz w:val="22"/>
          <w:szCs w:val="22"/>
        </w:rPr>
      </w:pPr>
      <w:r w:rsidRPr="00295E71">
        <w:rPr>
          <w:sz w:val="22"/>
          <w:szCs w:val="22"/>
        </w:rPr>
        <w:t>Il medico le consegnerà una</w:t>
      </w:r>
      <w:r w:rsidR="00E15A82">
        <w:rPr>
          <w:b/>
          <w:sz w:val="22"/>
          <w:szCs w:val="22"/>
        </w:rPr>
        <w:t xml:space="preserve"> </w:t>
      </w:r>
      <w:r w:rsidRPr="000D0B9B" w:rsidR="00E15A82">
        <w:rPr>
          <w:b/>
          <w:sz w:val="22"/>
          <w:szCs w:val="22"/>
        </w:rPr>
        <w:t>Scheda Promemoria per il Paziente</w:t>
      </w:r>
      <w:r w:rsidRPr="00295E71">
        <w:rPr>
          <w:sz w:val="22"/>
          <w:szCs w:val="22"/>
        </w:rPr>
        <w:t xml:space="preserve">, che contiene importanti informazioni sulla sicurezza, che ha bisogno di sapere prima della somministrazione di Humira e durante il trattamento con Humira. Conservi questa </w:t>
      </w:r>
      <w:r w:rsidRPr="000D0B9B" w:rsidR="00E15A82">
        <w:rPr>
          <w:b/>
          <w:sz w:val="22"/>
          <w:szCs w:val="22"/>
        </w:rPr>
        <w:t>Scheda Promemoria per il Paziente</w:t>
      </w:r>
      <w:r w:rsidRPr="00295E71">
        <w:rPr>
          <w:sz w:val="22"/>
          <w:szCs w:val="22"/>
        </w:rPr>
        <w:t>.</w:t>
      </w:r>
    </w:p>
    <w:p w:rsidR="00C26956" w:rsidRPr="00295E71" w:rsidP="00C26956" w14:paraId="61837FE2" w14:textId="77777777">
      <w:pPr>
        <w:numPr>
          <w:ilvl w:val="0"/>
          <w:numId w:val="1"/>
        </w:numPr>
        <w:tabs>
          <w:tab w:val="left" w:pos="567"/>
        </w:tabs>
        <w:ind w:left="927" w:right="-2" w:hanging="567"/>
        <w:jc w:val="both"/>
        <w:rPr>
          <w:sz w:val="22"/>
          <w:szCs w:val="22"/>
        </w:rPr>
      </w:pPr>
      <w:r w:rsidRPr="00295E71">
        <w:rPr>
          <w:sz w:val="22"/>
          <w:szCs w:val="22"/>
        </w:rPr>
        <w:t xml:space="preserve">Se ha qualsiasi dubbio, si rivolga al medico o al farmacista. </w:t>
      </w:r>
    </w:p>
    <w:p w:rsidR="00C26956" w:rsidRPr="00295E71" w:rsidP="00C26956" w14:paraId="0CCDE044" w14:textId="77777777">
      <w:pPr>
        <w:numPr>
          <w:ilvl w:val="0"/>
          <w:numId w:val="1"/>
        </w:numPr>
        <w:tabs>
          <w:tab w:val="left" w:pos="567"/>
        </w:tabs>
        <w:ind w:left="927" w:right="-2" w:hanging="567"/>
        <w:jc w:val="both"/>
        <w:rPr>
          <w:sz w:val="22"/>
          <w:szCs w:val="22"/>
        </w:rPr>
      </w:pPr>
      <w:r w:rsidRPr="00295E71">
        <w:rPr>
          <w:sz w:val="22"/>
          <w:szCs w:val="22"/>
        </w:rPr>
        <w:t>Questo medicinale è stato prescritto soltanto per lei. Non lo dia ad altre persone, anche se i sintomi della malattia sono uguali ai suoi, perchè potrebbe essere pericoloso.</w:t>
      </w:r>
    </w:p>
    <w:p w:rsidR="00C26956" w:rsidRPr="00295E71" w:rsidP="00C26956" w14:paraId="5121380A" w14:textId="77777777">
      <w:pPr>
        <w:numPr>
          <w:ilvl w:val="0"/>
          <w:numId w:val="1"/>
        </w:numPr>
        <w:tabs>
          <w:tab w:val="left" w:pos="567"/>
        </w:tabs>
        <w:ind w:left="927" w:right="-2" w:hanging="567"/>
        <w:jc w:val="both"/>
        <w:rPr>
          <w:sz w:val="22"/>
          <w:szCs w:val="22"/>
        </w:rPr>
      </w:pPr>
      <w:r w:rsidRPr="00295E71">
        <w:rPr>
          <w:sz w:val="22"/>
          <w:szCs w:val="22"/>
        </w:rPr>
        <w:t>Se si manifesta un qualsiasi effetto indesiderato, compresi quelli non elencati in questo foglio, si rivolga al medico o al farmacista. Vedere paragrafo 4.</w:t>
      </w:r>
    </w:p>
    <w:p w:rsidR="00C26956" w:rsidRPr="00295E71" w:rsidP="00C26956" w14:paraId="026FBF56" w14:textId="77777777">
      <w:pPr>
        <w:numPr>
          <w:ilvl w:val="12"/>
          <w:numId w:val="0"/>
        </w:numPr>
        <w:tabs>
          <w:tab w:val="left" w:pos="567"/>
        </w:tabs>
        <w:ind w:left="360" w:right="-2"/>
        <w:jc w:val="both"/>
        <w:rPr>
          <w:sz w:val="22"/>
          <w:szCs w:val="22"/>
          <w:u w:val="single"/>
        </w:rPr>
      </w:pPr>
    </w:p>
    <w:p w:rsidR="00C26956" w:rsidRPr="00295E71" w:rsidP="00C26956" w14:paraId="140C08B5" w14:textId="77777777">
      <w:pPr>
        <w:numPr>
          <w:ilvl w:val="12"/>
          <w:numId w:val="0"/>
        </w:numPr>
        <w:tabs>
          <w:tab w:val="left" w:pos="567"/>
        </w:tabs>
        <w:ind w:left="360" w:right="-2"/>
        <w:jc w:val="both"/>
        <w:rPr>
          <w:b/>
          <w:bCs/>
          <w:sz w:val="22"/>
          <w:szCs w:val="22"/>
        </w:rPr>
      </w:pPr>
      <w:r w:rsidRPr="00295E71">
        <w:rPr>
          <w:b/>
          <w:bCs/>
          <w:sz w:val="22"/>
          <w:szCs w:val="22"/>
        </w:rPr>
        <w:t xml:space="preserve">Contenuto di questo foglio </w:t>
      </w:r>
    </w:p>
    <w:p w:rsidR="00C26956" w:rsidRPr="00295E71" w:rsidP="00C26956" w14:paraId="2CB6BFA7" w14:textId="77777777">
      <w:pPr>
        <w:tabs>
          <w:tab w:val="left" w:pos="567"/>
        </w:tabs>
        <w:ind w:left="927" w:right="-29" w:hanging="567"/>
        <w:jc w:val="both"/>
        <w:rPr>
          <w:sz w:val="22"/>
          <w:szCs w:val="22"/>
        </w:rPr>
      </w:pPr>
      <w:r w:rsidRPr="00295E71">
        <w:rPr>
          <w:sz w:val="22"/>
          <w:szCs w:val="22"/>
        </w:rPr>
        <w:t>1.</w:t>
      </w:r>
      <w:r w:rsidRPr="00295E71">
        <w:rPr>
          <w:sz w:val="22"/>
          <w:szCs w:val="22"/>
        </w:rPr>
        <w:tab/>
      </w:r>
      <w:r w:rsidR="00D968EE">
        <w:rPr>
          <w:sz w:val="22"/>
          <w:szCs w:val="22"/>
        </w:rPr>
        <w:tab/>
      </w:r>
      <w:r w:rsidRPr="00295E71">
        <w:rPr>
          <w:sz w:val="22"/>
          <w:szCs w:val="22"/>
        </w:rPr>
        <w:t>Cos’è Humira e a cosa serve</w:t>
      </w:r>
    </w:p>
    <w:p w:rsidR="00C26956" w:rsidRPr="00295E71" w:rsidP="00C26956" w14:paraId="79E3477A" w14:textId="77777777">
      <w:pPr>
        <w:tabs>
          <w:tab w:val="left" w:pos="567"/>
        </w:tabs>
        <w:ind w:left="927" w:right="-29" w:hanging="567"/>
        <w:jc w:val="both"/>
        <w:rPr>
          <w:sz w:val="22"/>
          <w:szCs w:val="22"/>
        </w:rPr>
      </w:pPr>
      <w:r w:rsidRPr="00295E71">
        <w:rPr>
          <w:sz w:val="22"/>
          <w:szCs w:val="22"/>
        </w:rPr>
        <w:t>2.</w:t>
      </w:r>
      <w:r w:rsidRPr="00295E71">
        <w:rPr>
          <w:sz w:val="22"/>
          <w:szCs w:val="22"/>
        </w:rPr>
        <w:tab/>
      </w:r>
      <w:r w:rsidR="00D968EE">
        <w:rPr>
          <w:sz w:val="22"/>
          <w:szCs w:val="22"/>
        </w:rPr>
        <w:tab/>
      </w:r>
      <w:r w:rsidRPr="00295E71">
        <w:rPr>
          <w:sz w:val="22"/>
          <w:szCs w:val="22"/>
        </w:rPr>
        <w:t>Cosa deve sapere prima di usare Humira</w:t>
      </w:r>
    </w:p>
    <w:p w:rsidR="00C26956" w:rsidRPr="00295E71" w:rsidP="00C26956" w14:paraId="1F39FD0C" w14:textId="77777777">
      <w:pPr>
        <w:tabs>
          <w:tab w:val="left" w:pos="567"/>
        </w:tabs>
        <w:ind w:left="927" w:right="-29" w:hanging="567"/>
        <w:jc w:val="both"/>
        <w:rPr>
          <w:sz w:val="22"/>
          <w:szCs w:val="22"/>
        </w:rPr>
      </w:pPr>
      <w:r w:rsidRPr="00295E71">
        <w:rPr>
          <w:sz w:val="22"/>
          <w:szCs w:val="22"/>
        </w:rPr>
        <w:t>3.</w:t>
      </w:r>
      <w:r w:rsidRPr="00295E71">
        <w:rPr>
          <w:sz w:val="22"/>
          <w:szCs w:val="22"/>
        </w:rPr>
        <w:tab/>
      </w:r>
      <w:r w:rsidR="00D968EE">
        <w:rPr>
          <w:sz w:val="22"/>
          <w:szCs w:val="22"/>
        </w:rPr>
        <w:tab/>
      </w:r>
      <w:r w:rsidRPr="00295E71">
        <w:rPr>
          <w:sz w:val="22"/>
          <w:szCs w:val="22"/>
        </w:rPr>
        <w:t>Come usare Humira</w:t>
      </w:r>
    </w:p>
    <w:p w:rsidR="00C26956" w:rsidRPr="00295E71" w:rsidP="00C26956" w14:paraId="0EAD743A" w14:textId="77777777">
      <w:pPr>
        <w:tabs>
          <w:tab w:val="left" w:pos="567"/>
        </w:tabs>
        <w:ind w:left="927" w:right="-29" w:hanging="567"/>
        <w:jc w:val="both"/>
        <w:rPr>
          <w:sz w:val="22"/>
          <w:szCs w:val="22"/>
        </w:rPr>
      </w:pPr>
      <w:r w:rsidRPr="00295E71">
        <w:rPr>
          <w:sz w:val="22"/>
          <w:szCs w:val="22"/>
        </w:rPr>
        <w:t>4.</w:t>
      </w:r>
      <w:r w:rsidRPr="00295E71">
        <w:rPr>
          <w:sz w:val="22"/>
          <w:szCs w:val="22"/>
        </w:rPr>
        <w:tab/>
      </w:r>
      <w:r w:rsidR="00D968EE">
        <w:rPr>
          <w:sz w:val="22"/>
          <w:szCs w:val="22"/>
        </w:rPr>
        <w:tab/>
      </w:r>
      <w:r w:rsidRPr="00295E71">
        <w:rPr>
          <w:sz w:val="22"/>
          <w:szCs w:val="22"/>
        </w:rPr>
        <w:t>Possibili effetti indesiderati</w:t>
      </w:r>
    </w:p>
    <w:p w:rsidR="00C26956" w:rsidRPr="00295E71" w:rsidP="00C26956" w14:paraId="2F5097C2" w14:textId="77777777">
      <w:pPr>
        <w:tabs>
          <w:tab w:val="left" w:pos="567"/>
        </w:tabs>
        <w:ind w:left="927" w:right="-29" w:hanging="567"/>
        <w:jc w:val="both"/>
        <w:rPr>
          <w:sz w:val="22"/>
          <w:szCs w:val="22"/>
        </w:rPr>
      </w:pPr>
      <w:r w:rsidRPr="00295E71">
        <w:rPr>
          <w:sz w:val="22"/>
          <w:szCs w:val="22"/>
        </w:rPr>
        <w:t>5.</w:t>
      </w:r>
      <w:r w:rsidRPr="00295E71">
        <w:rPr>
          <w:sz w:val="22"/>
          <w:szCs w:val="22"/>
        </w:rPr>
        <w:tab/>
      </w:r>
      <w:r w:rsidR="00D968EE">
        <w:rPr>
          <w:sz w:val="22"/>
          <w:szCs w:val="22"/>
        </w:rPr>
        <w:tab/>
      </w:r>
      <w:r w:rsidRPr="00295E71">
        <w:rPr>
          <w:sz w:val="22"/>
          <w:szCs w:val="22"/>
        </w:rPr>
        <w:t>Come conservare Humira</w:t>
      </w:r>
    </w:p>
    <w:p w:rsidR="00C26956" w:rsidRPr="00295E71" w:rsidP="00C26956" w14:paraId="41DABA47" w14:textId="77777777">
      <w:pPr>
        <w:tabs>
          <w:tab w:val="left" w:pos="567"/>
        </w:tabs>
        <w:ind w:left="927" w:right="-29" w:hanging="567"/>
        <w:jc w:val="both"/>
        <w:rPr>
          <w:sz w:val="22"/>
          <w:szCs w:val="22"/>
        </w:rPr>
      </w:pPr>
      <w:r w:rsidRPr="00295E71">
        <w:rPr>
          <w:sz w:val="22"/>
          <w:szCs w:val="22"/>
        </w:rPr>
        <w:t>6.</w:t>
      </w:r>
      <w:r w:rsidRPr="00295E71">
        <w:rPr>
          <w:sz w:val="22"/>
          <w:szCs w:val="22"/>
        </w:rPr>
        <w:tab/>
      </w:r>
      <w:r w:rsidR="00D968EE">
        <w:rPr>
          <w:sz w:val="22"/>
          <w:szCs w:val="22"/>
        </w:rPr>
        <w:tab/>
      </w:r>
      <w:r w:rsidRPr="00295E71">
        <w:rPr>
          <w:sz w:val="22"/>
          <w:szCs w:val="22"/>
        </w:rPr>
        <w:t>Contenuto della confezione e altre informazioni</w:t>
      </w:r>
    </w:p>
    <w:p w:rsidR="00C26956" w:rsidRPr="00295E71" w:rsidP="00F57FE5" w14:paraId="7F291699" w14:textId="77777777">
      <w:pPr>
        <w:ind w:left="927" w:right="-29" w:hanging="567"/>
        <w:jc w:val="both"/>
        <w:rPr>
          <w:sz w:val="22"/>
          <w:szCs w:val="22"/>
        </w:rPr>
      </w:pPr>
      <w:r w:rsidRPr="00295E71">
        <w:rPr>
          <w:sz w:val="22"/>
          <w:szCs w:val="22"/>
        </w:rPr>
        <w:t xml:space="preserve">7. </w:t>
      </w:r>
      <w:r w:rsidR="00D968EE">
        <w:rPr>
          <w:sz w:val="22"/>
          <w:szCs w:val="22"/>
        </w:rPr>
        <w:tab/>
      </w:r>
      <w:r w:rsidR="006A7685">
        <w:rPr>
          <w:sz w:val="22"/>
          <w:szCs w:val="22"/>
        </w:rPr>
        <w:t>Iniezione di Humira</w:t>
      </w:r>
    </w:p>
    <w:p w:rsidR="00C26956" w:rsidRPr="00295E71" w:rsidP="00C26956" w14:paraId="6654DF7E" w14:textId="77777777">
      <w:pPr>
        <w:numPr>
          <w:ilvl w:val="12"/>
          <w:numId w:val="0"/>
        </w:numPr>
        <w:tabs>
          <w:tab w:val="left" w:pos="567"/>
        </w:tabs>
        <w:ind w:left="360" w:right="-2"/>
        <w:jc w:val="both"/>
        <w:rPr>
          <w:sz w:val="22"/>
          <w:szCs w:val="22"/>
        </w:rPr>
      </w:pPr>
    </w:p>
    <w:p w:rsidR="00C26956" w:rsidRPr="00295E71" w:rsidP="00C26956" w14:paraId="610EE4F9" w14:textId="77777777">
      <w:pPr>
        <w:numPr>
          <w:ilvl w:val="12"/>
          <w:numId w:val="0"/>
        </w:numPr>
        <w:tabs>
          <w:tab w:val="left" w:pos="567"/>
        </w:tabs>
        <w:ind w:left="360" w:right="-2"/>
        <w:jc w:val="both"/>
        <w:rPr>
          <w:sz w:val="22"/>
          <w:szCs w:val="22"/>
        </w:rPr>
      </w:pPr>
    </w:p>
    <w:p w:rsidR="00C26956" w:rsidRPr="00295E71" w:rsidP="00C26956" w14:paraId="13731C7F" w14:textId="77777777">
      <w:pPr>
        <w:numPr>
          <w:ilvl w:val="12"/>
          <w:numId w:val="0"/>
        </w:numPr>
        <w:tabs>
          <w:tab w:val="left" w:pos="567"/>
        </w:tabs>
        <w:ind w:left="927" w:right="-2" w:hanging="567"/>
        <w:jc w:val="both"/>
        <w:rPr>
          <w:b/>
          <w:bCs/>
          <w:sz w:val="22"/>
          <w:szCs w:val="22"/>
        </w:rPr>
      </w:pPr>
      <w:r w:rsidRPr="00295E71">
        <w:rPr>
          <w:b/>
          <w:bCs/>
          <w:sz w:val="22"/>
          <w:szCs w:val="22"/>
        </w:rPr>
        <w:t>1.</w:t>
      </w:r>
      <w:r w:rsidRPr="00295E71">
        <w:rPr>
          <w:b/>
          <w:bCs/>
          <w:sz w:val="22"/>
          <w:szCs w:val="22"/>
        </w:rPr>
        <w:tab/>
      </w:r>
      <w:r w:rsidR="00D968EE">
        <w:rPr>
          <w:b/>
          <w:bCs/>
          <w:sz w:val="22"/>
          <w:szCs w:val="22"/>
        </w:rPr>
        <w:tab/>
      </w:r>
      <w:r w:rsidRPr="00295E71">
        <w:rPr>
          <w:b/>
          <w:bCs/>
          <w:sz w:val="22"/>
          <w:szCs w:val="22"/>
        </w:rPr>
        <w:t>Cos’è Humira e a cosa serve</w:t>
      </w:r>
    </w:p>
    <w:p w:rsidR="00C26956" w:rsidRPr="00295E71" w:rsidP="00C26956" w14:paraId="4218E72A" w14:textId="77777777">
      <w:pPr>
        <w:numPr>
          <w:ilvl w:val="12"/>
          <w:numId w:val="0"/>
        </w:numPr>
        <w:tabs>
          <w:tab w:val="left" w:pos="567"/>
        </w:tabs>
        <w:ind w:left="360" w:right="-2"/>
        <w:jc w:val="both"/>
        <w:rPr>
          <w:sz w:val="22"/>
          <w:szCs w:val="22"/>
        </w:rPr>
      </w:pPr>
    </w:p>
    <w:p w:rsidR="00C26956" w:rsidRPr="00295E71" w:rsidP="00C26956" w14:paraId="5069047B" w14:textId="77777777">
      <w:pPr>
        <w:tabs>
          <w:tab w:val="left" w:pos="567"/>
        </w:tabs>
        <w:ind w:left="360"/>
        <w:jc w:val="both"/>
        <w:rPr>
          <w:sz w:val="22"/>
          <w:szCs w:val="22"/>
        </w:rPr>
      </w:pPr>
      <w:r w:rsidRPr="00295E71">
        <w:rPr>
          <w:sz w:val="22"/>
          <w:szCs w:val="22"/>
        </w:rPr>
        <w:t xml:space="preserve">Humira contiene il principio attivo adalimumab. </w:t>
      </w:r>
    </w:p>
    <w:p w:rsidR="00C26956" w:rsidRPr="00295E71" w:rsidP="00C26956" w14:paraId="67DDD4CC" w14:textId="77777777">
      <w:pPr>
        <w:tabs>
          <w:tab w:val="left" w:pos="567"/>
        </w:tabs>
        <w:ind w:left="360"/>
        <w:jc w:val="both"/>
        <w:rPr>
          <w:sz w:val="22"/>
          <w:szCs w:val="22"/>
        </w:rPr>
      </w:pPr>
    </w:p>
    <w:p w:rsidR="00C26956" w:rsidRPr="00295E71" w:rsidP="00C26956" w14:paraId="44398873" w14:textId="77777777">
      <w:pPr>
        <w:tabs>
          <w:tab w:val="left" w:pos="567"/>
        </w:tabs>
        <w:ind w:left="360"/>
        <w:rPr>
          <w:sz w:val="22"/>
          <w:szCs w:val="22"/>
        </w:rPr>
      </w:pPr>
      <w:r w:rsidRPr="00295E71">
        <w:rPr>
          <w:sz w:val="22"/>
          <w:szCs w:val="22"/>
        </w:rPr>
        <w:t>Humira è utilizzato per il trattamento di</w:t>
      </w:r>
    </w:p>
    <w:p w:rsidR="00C26956" w:rsidRPr="00295E71" w:rsidP="00C26956" w14:paraId="6E3484A8" w14:textId="77777777">
      <w:pPr>
        <w:tabs>
          <w:tab w:val="left" w:pos="567"/>
        </w:tabs>
        <w:ind w:left="360"/>
        <w:jc w:val="both"/>
        <w:rPr>
          <w:sz w:val="22"/>
          <w:szCs w:val="22"/>
        </w:rPr>
      </w:pPr>
    </w:p>
    <w:p w:rsidR="00C26956" w:rsidRPr="00295E71" w:rsidP="00C26956" w14:paraId="6FD21BE9" w14:textId="77777777">
      <w:pPr>
        <w:pStyle w:val="ListParagraph"/>
        <w:numPr>
          <w:ilvl w:val="0"/>
          <w:numId w:val="132"/>
        </w:numPr>
        <w:tabs>
          <w:tab w:val="left" w:pos="567"/>
        </w:tabs>
        <w:ind w:left="1080"/>
        <w:jc w:val="both"/>
        <w:rPr>
          <w:sz w:val="22"/>
          <w:szCs w:val="22"/>
        </w:rPr>
      </w:pPr>
      <w:r w:rsidRPr="00295E71">
        <w:rPr>
          <w:sz w:val="22"/>
          <w:szCs w:val="22"/>
        </w:rPr>
        <w:t>Artrite reumatoide</w:t>
      </w:r>
    </w:p>
    <w:p w:rsidR="00C26956" w:rsidRPr="00295E71" w:rsidP="00C26956" w14:paraId="6A85B5A6" w14:textId="77777777">
      <w:pPr>
        <w:pStyle w:val="ListParagraph"/>
        <w:numPr>
          <w:ilvl w:val="0"/>
          <w:numId w:val="132"/>
        </w:numPr>
        <w:tabs>
          <w:tab w:val="left" w:pos="567"/>
        </w:tabs>
        <w:ind w:left="1080"/>
        <w:jc w:val="both"/>
        <w:rPr>
          <w:sz w:val="22"/>
          <w:szCs w:val="22"/>
        </w:rPr>
      </w:pPr>
      <w:r w:rsidRPr="00295E71">
        <w:rPr>
          <w:sz w:val="22"/>
          <w:szCs w:val="22"/>
        </w:rPr>
        <w:t xml:space="preserve">Artrite idiopatica giovanile poliarticolare </w:t>
      </w:r>
    </w:p>
    <w:p w:rsidR="00C26956" w:rsidRPr="00295E71" w:rsidP="00C26956" w14:paraId="269692D3" w14:textId="77777777">
      <w:pPr>
        <w:pStyle w:val="ListParagraph"/>
        <w:numPr>
          <w:ilvl w:val="0"/>
          <w:numId w:val="132"/>
        </w:numPr>
        <w:tabs>
          <w:tab w:val="left" w:pos="567"/>
        </w:tabs>
        <w:ind w:left="1080"/>
        <w:jc w:val="both"/>
        <w:rPr>
          <w:sz w:val="22"/>
          <w:szCs w:val="22"/>
        </w:rPr>
      </w:pPr>
      <w:r w:rsidRPr="00295E71">
        <w:rPr>
          <w:sz w:val="22"/>
          <w:szCs w:val="22"/>
        </w:rPr>
        <w:t>Artrite associata ad entesite</w:t>
      </w:r>
    </w:p>
    <w:p w:rsidR="00C26956" w:rsidRPr="00295E71" w:rsidP="00C26956" w14:paraId="798B633E" w14:textId="77777777">
      <w:pPr>
        <w:pStyle w:val="ListParagraph"/>
        <w:numPr>
          <w:ilvl w:val="0"/>
          <w:numId w:val="132"/>
        </w:numPr>
        <w:tabs>
          <w:tab w:val="left" w:pos="567"/>
        </w:tabs>
        <w:ind w:left="1080"/>
        <w:jc w:val="both"/>
        <w:rPr>
          <w:sz w:val="22"/>
          <w:szCs w:val="22"/>
        </w:rPr>
      </w:pPr>
      <w:r w:rsidRPr="00295E71">
        <w:rPr>
          <w:sz w:val="22"/>
          <w:szCs w:val="22"/>
        </w:rPr>
        <w:t xml:space="preserve">Spondilite anchilosante </w:t>
      </w:r>
    </w:p>
    <w:p w:rsidR="00C26956" w:rsidRPr="00295E71" w:rsidP="00C26956" w14:paraId="736B435F" w14:textId="77777777">
      <w:pPr>
        <w:pStyle w:val="ListParagraph"/>
        <w:numPr>
          <w:ilvl w:val="0"/>
          <w:numId w:val="132"/>
        </w:numPr>
        <w:ind w:left="927" w:hanging="207"/>
        <w:jc w:val="both"/>
        <w:rPr>
          <w:sz w:val="22"/>
          <w:szCs w:val="22"/>
        </w:rPr>
      </w:pPr>
      <w:r w:rsidRPr="00295E71">
        <w:rPr>
          <w:sz w:val="22"/>
          <w:szCs w:val="22"/>
        </w:rPr>
        <w:t>Spondiloartrite assiale senza evidenza radiografica della spondilite anchilosante</w:t>
      </w:r>
    </w:p>
    <w:p w:rsidR="00C26956" w:rsidRPr="00295E71" w:rsidP="00C26956" w14:paraId="75048B78" w14:textId="77777777">
      <w:pPr>
        <w:pStyle w:val="ListParagraph"/>
        <w:numPr>
          <w:ilvl w:val="0"/>
          <w:numId w:val="132"/>
        </w:numPr>
        <w:tabs>
          <w:tab w:val="left" w:pos="567"/>
        </w:tabs>
        <w:ind w:left="1080"/>
        <w:jc w:val="both"/>
        <w:rPr>
          <w:sz w:val="22"/>
          <w:szCs w:val="22"/>
        </w:rPr>
      </w:pPr>
      <w:r w:rsidRPr="00295E71">
        <w:rPr>
          <w:sz w:val="22"/>
          <w:szCs w:val="22"/>
        </w:rPr>
        <w:t>Artrite psoriasica</w:t>
      </w:r>
    </w:p>
    <w:p w:rsidR="00C26956" w:rsidRPr="00295E71" w:rsidP="00C26956" w14:paraId="4A677374" w14:textId="77777777">
      <w:pPr>
        <w:pStyle w:val="ListParagraph"/>
        <w:numPr>
          <w:ilvl w:val="0"/>
          <w:numId w:val="132"/>
        </w:numPr>
        <w:tabs>
          <w:tab w:val="left" w:pos="567"/>
        </w:tabs>
        <w:ind w:left="1080"/>
        <w:jc w:val="both"/>
        <w:rPr>
          <w:sz w:val="22"/>
          <w:szCs w:val="22"/>
        </w:rPr>
      </w:pPr>
      <w:r w:rsidRPr="00295E71">
        <w:rPr>
          <w:sz w:val="22"/>
          <w:szCs w:val="22"/>
        </w:rPr>
        <w:t>Psoriasi a placche</w:t>
      </w:r>
    </w:p>
    <w:p w:rsidR="00C26956" w:rsidRPr="00295E71" w:rsidP="00C26956" w14:paraId="7DC50287" w14:textId="77777777">
      <w:pPr>
        <w:pStyle w:val="ListParagraph"/>
        <w:numPr>
          <w:ilvl w:val="0"/>
          <w:numId w:val="132"/>
        </w:numPr>
        <w:tabs>
          <w:tab w:val="left" w:pos="567"/>
        </w:tabs>
        <w:ind w:left="1080"/>
        <w:jc w:val="both"/>
        <w:rPr>
          <w:sz w:val="22"/>
          <w:szCs w:val="22"/>
        </w:rPr>
      </w:pPr>
      <w:r w:rsidRPr="00295E71">
        <w:rPr>
          <w:sz w:val="22"/>
          <w:szCs w:val="22"/>
        </w:rPr>
        <w:t>Idrosadenite suppurativa</w:t>
      </w:r>
    </w:p>
    <w:p w:rsidR="00C26956" w:rsidRPr="00295E71" w:rsidP="00C26956" w14:paraId="09FEE9A3" w14:textId="77777777">
      <w:pPr>
        <w:pStyle w:val="ListParagraph"/>
        <w:numPr>
          <w:ilvl w:val="0"/>
          <w:numId w:val="132"/>
        </w:numPr>
        <w:tabs>
          <w:tab w:val="left" w:pos="567"/>
        </w:tabs>
        <w:ind w:left="1080"/>
        <w:jc w:val="both"/>
        <w:rPr>
          <w:sz w:val="22"/>
          <w:szCs w:val="22"/>
        </w:rPr>
      </w:pPr>
      <w:r w:rsidRPr="00295E71">
        <w:rPr>
          <w:sz w:val="22"/>
          <w:szCs w:val="22"/>
        </w:rPr>
        <w:t>Malattia di Crohn</w:t>
      </w:r>
    </w:p>
    <w:p w:rsidR="00C26956" w:rsidRPr="00295E71" w:rsidP="00C26956" w14:paraId="1355B79B" w14:textId="77777777">
      <w:pPr>
        <w:pStyle w:val="ListParagraph"/>
        <w:numPr>
          <w:ilvl w:val="0"/>
          <w:numId w:val="132"/>
        </w:numPr>
        <w:tabs>
          <w:tab w:val="left" w:pos="567"/>
        </w:tabs>
        <w:ind w:left="1080"/>
        <w:jc w:val="both"/>
        <w:rPr>
          <w:sz w:val="22"/>
          <w:szCs w:val="22"/>
        </w:rPr>
      </w:pPr>
      <w:r w:rsidRPr="00295E71">
        <w:rPr>
          <w:sz w:val="22"/>
          <w:szCs w:val="22"/>
        </w:rPr>
        <w:t>Colite ulcerosa</w:t>
      </w:r>
    </w:p>
    <w:p w:rsidR="00C26956" w:rsidRPr="00295E71" w:rsidP="00C26956" w14:paraId="5A718149" w14:textId="77777777">
      <w:pPr>
        <w:pStyle w:val="ListParagraph"/>
        <w:numPr>
          <w:ilvl w:val="0"/>
          <w:numId w:val="132"/>
        </w:numPr>
        <w:tabs>
          <w:tab w:val="left" w:pos="567"/>
        </w:tabs>
        <w:ind w:left="1080"/>
        <w:jc w:val="both"/>
        <w:rPr>
          <w:sz w:val="22"/>
          <w:szCs w:val="22"/>
        </w:rPr>
      </w:pPr>
      <w:r w:rsidRPr="00295E71">
        <w:rPr>
          <w:sz w:val="22"/>
          <w:szCs w:val="22"/>
        </w:rPr>
        <w:t>Uveite non infettiva</w:t>
      </w:r>
    </w:p>
    <w:p w:rsidR="00C26956" w:rsidRPr="00295E71" w:rsidP="00C26956" w14:paraId="4F79AE67" w14:textId="77777777">
      <w:pPr>
        <w:tabs>
          <w:tab w:val="left" w:pos="567"/>
        </w:tabs>
        <w:ind w:left="360"/>
        <w:jc w:val="both"/>
        <w:rPr>
          <w:sz w:val="22"/>
          <w:szCs w:val="22"/>
        </w:rPr>
      </w:pPr>
    </w:p>
    <w:p w:rsidR="00C26956" w:rsidRPr="00295E71" w:rsidP="00C26956" w14:paraId="0A2479F1" w14:textId="77777777">
      <w:pPr>
        <w:tabs>
          <w:tab w:val="left" w:pos="567"/>
        </w:tabs>
        <w:ind w:left="360"/>
        <w:jc w:val="both"/>
        <w:rPr>
          <w:sz w:val="22"/>
          <w:szCs w:val="22"/>
        </w:rPr>
      </w:pPr>
      <w:r w:rsidRPr="00295E71">
        <w:rPr>
          <w:sz w:val="22"/>
          <w:szCs w:val="22"/>
        </w:rPr>
        <w:t>Il principio attivo contenuto in Humira, adalimumab, è un anticorpo monoclonale umano. Gli anticorpi monoclonali sono proteine che si legano ad un bersaglio specifico.</w:t>
      </w:r>
    </w:p>
    <w:p w:rsidR="00C26956" w:rsidRPr="00295E71" w:rsidP="00C26956" w14:paraId="3466C1D5" w14:textId="77777777">
      <w:pPr>
        <w:tabs>
          <w:tab w:val="left" w:pos="567"/>
        </w:tabs>
        <w:ind w:left="360"/>
        <w:jc w:val="both"/>
        <w:rPr>
          <w:sz w:val="22"/>
          <w:szCs w:val="22"/>
        </w:rPr>
      </w:pPr>
    </w:p>
    <w:p w:rsidR="00C26956" w:rsidRPr="00295E71" w:rsidP="00C26956" w14:paraId="6526D375" w14:textId="77777777">
      <w:pPr>
        <w:tabs>
          <w:tab w:val="left" w:pos="567"/>
        </w:tabs>
        <w:ind w:left="360"/>
        <w:jc w:val="both"/>
        <w:rPr>
          <w:noProof/>
          <w:color w:val="000000"/>
          <w:sz w:val="22"/>
          <w:szCs w:val="22"/>
        </w:rPr>
      </w:pPr>
      <w:r w:rsidRPr="00295E71">
        <w:rPr>
          <w:sz w:val="22"/>
          <w:szCs w:val="22"/>
        </w:rPr>
        <w:t>Il bersaglio di adalimumab è una proteina denominata fattore di necrosi tumorale (TNF</w:t>
      </w:r>
      <w:r w:rsidRPr="00295E71">
        <w:rPr>
          <w:noProof/>
          <w:color w:val="000000"/>
          <w:sz w:val="22"/>
          <w:szCs w:val="22"/>
        </w:rPr>
        <w:t>α</w:t>
      </w:r>
      <w:r w:rsidRPr="00295E71">
        <w:rPr>
          <w:sz w:val="22"/>
          <w:szCs w:val="22"/>
        </w:rPr>
        <w:t>), che è coinvolto nel sistema immunitario (di difesa) ed è presente a concentrazioni maggiori nelle malattie infiammatorie elencate sopra. Attraverso il legame al TNF</w:t>
      </w:r>
      <w:r w:rsidRPr="00295E71">
        <w:rPr>
          <w:noProof/>
          <w:color w:val="000000"/>
          <w:sz w:val="22"/>
          <w:szCs w:val="22"/>
        </w:rPr>
        <w:t>α, Humira diminuisce il processo infiammatorio di queste malattie.</w:t>
      </w:r>
    </w:p>
    <w:p w:rsidR="00C26956" w:rsidRPr="00295E71" w:rsidP="00C26956" w14:paraId="1D8B097F" w14:textId="77777777">
      <w:pPr>
        <w:pStyle w:val="EndnoteText"/>
        <w:ind w:left="360"/>
        <w:jc w:val="both"/>
        <w:rPr>
          <w:lang w:val="it-IT" w:eastAsia="it-IT"/>
        </w:rPr>
      </w:pPr>
    </w:p>
    <w:p w:rsidR="00C26956" w:rsidRPr="00295E71" w:rsidP="00C26956" w14:paraId="79F80661" w14:textId="77777777">
      <w:pPr>
        <w:ind w:left="360"/>
        <w:jc w:val="both"/>
        <w:rPr>
          <w:b/>
          <w:sz w:val="22"/>
          <w:szCs w:val="22"/>
        </w:rPr>
      </w:pPr>
      <w:r w:rsidRPr="00295E71">
        <w:rPr>
          <w:b/>
          <w:sz w:val="22"/>
          <w:szCs w:val="22"/>
        </w:rPr>
        <w:t>Artrite reumatoide</w:t>
      </w:r>
    </w:p>
    <w:p w:rsidR="00C26956" w:rsidRPr="00295E71" w:rsidP="00C26956" w14:paraId="3B19AEC0" w14:textId="77777777">
      <w:pPr>
        <w:ind w:left="360"/>
        <w:jc w:val="both"/>
        <w:rPr>
          <w:sz w:val="22"/>
          <w:szCs w:val="22"/>
        </w:rPr>
      </w:pPr>
    </w:p>
    <w:p w:rsidR="00C26956" w:rsidRPr="00295E71" w:rsidP="00C26956" w14:paraId="6351CACC" w14:textId="77777777">
      <w:pPr>
        <w:ind w:left="360"/>
        <w:jc w:val="both"/>
        <w:rPr>
          <w:sz w:val="22"/>
          <w:szCs w:val="22"/>
        </w:rPr>
      </w:pPr>
      <w:r w:rsidRPr="00295E71">
        <w:rPr>
          <w:sz w:val="22"/>
          <w:szCs w:val="22"/>
        </w:rPr>
        <w:t>L’artrite reumatoide è una patologia infiammatoria delle articolazioni.</w:t>
      </w:r>
    </w:p>
    <w:p w:rsidR="00C26956" w:rsidRPr="00295E71" w:rsidP="00C26956" w14:paraId="53DDE626" w14:textId="77777777">
      <w:pPr>
        <w:ind w:left="360"/>
        <w:jc w:val="both"/>
        <w:rPr>
          <w:sz w:val="22"/>
          <w:szCs w:val="22"/>
        </w:rPr>
      </w:pPr>
    </w:p>
    <w:p w:rsidR="00C26956" w:rsidRPr="00295E71" w:rsidP="00C26956" w14:paraId="02D32B2E" w14:textId="77777777">
      <w:pPr>
        <w:tabs>
          <w:tab w:val="left" w:pos="567"/>
        </w:tabs>
        <w:ind w:left="360"/>
        <w:jc w:val="both"/>
        <w:rPr>
          <w:sz w:val="22"/>
          <w:szCs w:val="22"/>
        </w:rPr>
      </w:pPr>
      <w:r w:rsidRPr="00295E71">
        <w:rPr>
          <w:sz w:val="22"/>
          <w:szCs w:val="22"/>
        </w:rPr>
        <w:t>Humira è usato per trattare l’artrite reumatoide di grado da moderato a severo negli adulti.</w:t>
      </w:r>
    </w:p>
    <w:p w:rsidR="00C26956" w:rsidRPr="00295E71" w:rsidP="00C26956" w14:paraId="7A2C4259" w14:textId="77777777">
      <w:pPr>
        <w:tabs>
          <w:tab w:val="left" w:pos="567"/>
        </w:tabs>
        <w:ind w:left="360"/>
        <w:jc w:val="both"/>
        <w:rPr>
          <w:sz w:val="22"/>
          <w:szCs w:val="22"/>
        </w:rPr>
      </w:pPr>
      <w:r w:rsidRPr="00295E71">
        <w:rPr>
          <w:sz w:val="22"/>
          <w:szCs w:val="22"/>
        </w:rPr>
        <w:t>Inizialmente possono essere assunti altri farmaci modificanti la malattia, quali il metotressato. Se la risposta a tali farmaci non è soddisfacente, le verrà dato Humira.</w:t>
      </w:r>
    </w:p>
    <w:p w:rsidR="00C26956" w:rsidRPr="00295E71" w:rsidP="00C26956" w14:paraId="0EFA4AD8" w14:textId="77777777">
      <w:pPr>
        <w:tabs>
          <w:tab w:val="left" w:pos="567"/>
        </w:tabs>
        <w:ind w:left="360"/>
        <w:jc w:val="both"/>
        <w:rPr>
          <w:sz w:val="22"/>
          <w:szCs w:val="22"/>
        </w:rPr>
      </w:pPr>
    </w:p>
    <w:p w:rsidR="00C26956" w:rsidRPr="00295E71" w:rsidP="00C26956" w14:paraId="33160A46" w14:textId="77777777">
      <w:pPr>
        <w:tabs>
          <w:tab w:val="left" w:pos="567"/>
        </w:tabs>
        <w:ind w:left="360"/>
        <w:jc w:val="both"/>
        <w:rPr>
          <w:sz w:val="22"/>
          <w:szCs w:val="22"/>
        </w:rPr>
      </w:pPr>
      <w:r w:rsidRPr="00295E71">
        <w:rPr>
          <w:sz w:val="22"/>
          <w:szCs w:val="22"/>
        </w:rPr>
        <w:t>Humira può essere anche utilizzato per il trattamento dell’artrite reumatoide grave, attiva e progressiva senza precedente trattamento con metotressato.</w:t>
      </w:r>
    </w:p>
    <w:p w:rsidR="00C26956" w:rsidRPr="00295E71" w:rsidP="00C26956" w14:paraId="6F94F60B" w14:textId="77777777">
      <w:pPr>
        <w:tabs>
          <w:tab w:val="left" w:pos="567"/>
        </w:tabs>
        <w:ind w:left="360"/>
        <w:jc w:val="both"/>
        <w:rPr>
          <w:sz w:val="22"/>
          <w:szCs w:val="22"/>
        </w:rPr>
      </w:pPr>
    </w:p>
    <w:p w:rsidR="00C26956" w:rsidRPr="00295E71" w:rsidP="00C26956" w14:paraId="40B0034D" w14:textId="77777777">
      <w:pPr>
        <w:tabs>
          <w:tab w:val="left" w:pos="567"/>
        </w:tabs>
        <w:ind w:left="360"/>
        <w:jc w:val="both"/>
        <w:rPr>
          <w:sz w:val="22"/>
          <w:szCs w:val="22"/>
        </w:rPr>
      </w:pPr>
      <w:r w:rsidRPr="00295E71">
        <w:rPr>
          <w:sz w:val="22"/>
          <w:szCs w:val="22"/>
        </w:rPr>
        <w:t>Humira può rallentare la progressione del danno alle articolazioni causato dalla malattia infiammatoria e può aiutarle a muoversi più liberamente.</w:t>
      </w:r>
    </w:p>
    <w:p w:rsidR="00C26956" w:rsidRPr="00295E71" w:rsidP="00C26956" w14:paraId="3B7B6BD4" w14:textId="77777777">
      <w:pPr>
        <w:pStyle w:val="EndnoteText"/>
        <w:ind w:left="360"/>
        <w:jc w:val="both"/>
        <w:rPr>
          <w:lang w:val="it-IT" w:eastAsia="it-IT"/>
        </w:rPr>
      </w:pPr>
    </w:p>
    <w:p w:rsidR="00C26956" w:rsidRPr="00295E71" w:rsidP="00C26956" w14:paraId="08E4691A" w14:textId="77777777">
      <w:pPr>
        <w:tabs>
          <w:tab w:val="left" w:pos="567"/>
        </w:tabs>
        <w:ind w:left="360"/>
        <w:jc w:val="both"/>
        <w:rPr>
          <w:sz w:val="22"/>
          <w:szCs w:val="22"/>
        </w:rPr>
      </w:pPr>
      <w:r w:rsidRPr="00295E71">
        <w:rPr>
          <w:sz w:val="22"/>
          <w:szCs w:val="22"/>
        </w:rPr>
        <w:t>Il medico deciderà se Humira deve essere assunto con il metotressato oppure da solo.</w:t>
      </w:r>
    </w:p>
    <w:p w:rsidR="00C26956" w:rsidRPr="00295E71" w:rsidP="00C26956" w14:paraId="3DA0D00E" w14:textId="77777777">
      <w:pPr>
        <w:numPr>
          <w:ilvl w:val="12"/>
          <w:numId w:val="0"/>
        </w:numPr>
        <w:tabs>
          <w:tab w:val="left" w:pos="567"/>
        </w:tabs>
        <w:ind w:left="360" w:right="-2"/>
        <w:jc w:val="both"/>
        <w:rPr>
          <w:sz w:val="22"/>
          <w:szCs w:val="22"/>
        </w:rPr>
      </w:pPr>
    </w:p>
    <w:p w:rsidR="00C26956" w:rsidRPr="00295E71" w:rsidP="00C26956" w14:paraId="5D5A791C" w14:textId="77777777">
      <w:pPr>
        <w:numPr>
          <w:ilvl w:val="12"/>
          <w:numId w:val="0"/>
        </w:numPr>
        <w:tabs>
          <w:tab w:val="left" w:pos="567"/>
        </w:tabs>
        <w:ind w:left="360" w:right="-2"/>
        <w:jc w:val="both"/>
        <w:rPr>
          <w:b/>
          <w:sz w:val="22"/>
          <w:szCs w:val="22"/>
        </w:rPr>
      </w:pPr>
      <w:r w:rsidRPr="00295E71">
        <w:rPr>
          <w:b/>
          <w:sz w:val="22"/>
          <w:szCs w:val="22"/>
        </w:rPr>
        <w:t xml:space="preserve">Artrite idiopatica giovanile poliarticolare </w:t>
      </w:r>
    </w:p>
    <w:p w:rsidR="00C26956" w:rsidRPr="00295E71" w:rsidP="00C26956" w14:paraId="72E500B5" w14:textId="77777777">
      <w:pPr>
        <w:numPr>
          <w:ilvl w:val="12"/>
          <w:numId w:val="0"/>
        </w:numPr>
        <w:tabs>
          <w:tab w:val="left" w:pos="567"/>
        </w:tabs>
        <w:ind w:left="360" w:right="-2"/>
        <w:jc w:val="both"/>
        <w:rPr>
          <w:sz w:val="22"/>
          <w:szCs w:val="22"/>
        </w:rPr>
      </w:pPr>
    </w:p>
    <w:p w:rsidR="00C26956" w:rsidRPr="00295E71" w:rsidP="00C26956" w14:paraId="56592247" w14:textId="77777777">
      <w:pPr>
        <w:numPr>
          <w:ilvl w:val="12"/>
          <w:numId w:val="0"/>
        </w:numPr>
        <w:tabs>
          <w:tab w:val="left" w:pos="567"/>
        </w:tabs>
        <w:ind w:left="360" w:right="-2"/>
        <w:jc w:val="both"/>
        <w:rPr>
          <w:sz w:val="22"/>
          <w:szCs w:val="22"/>
        </w:rPr>
      </w:pPr>
      <w:r w:rsidRPr="00295E71">
        <w:rPr>
          <w:sz w:val="22"/>
          <w:szCs w:val="22"/>
        </w:rPr>
        <w:t>L’artrite idiopatica giovanile poliarticolare è una malattia infiammatoria delle articolazioni.</w:t>
      </w:r>
    </w:p>
    <w:p w:rsidR="00C26956" w:rsidRPr="00295E71" w:rsidP="00C26956" w14:paraId="3484E7D1" w14:textId="77777777">
      <w:pPr>
        <w:numPr>
          <w:ilvl w:val="12"/>
          <w:numId w:val="0"/>
        </w:numPr>
        <w:tabs>
          <w:tab w:val="left" w:pos="567"/>
        </w:tabs>
        <w:ind w:left="360" w:right="-2"/>
        <w:jc w:val="both"/>
        <w:rPr>
          <w:sz w:val="22"/>
          <w:szCs w:val="22"/>
        </w:rPr>
      </w:pPr>
    </w:p>
    <w:p w:rsidR="00C26956" w:rsidRPr="00295E71" w:rsidP="00C26956" w14:paraId="69BE1796" w14:textId="77777777">
      <w:pPr>
        <w:tabs>
          <w:tab w:val="left" w:pos="567"/>
        </w:tabs>
        <w:ind w:left="360"/>
        <w:jc w:val="both"/>
        <w:rPr>
          <w:sz w:val="22"/>
          <w:szCs w:val="22"/>
        </w:rPr>
      </w:pPr>
      <w:r w:rsidRPr="00295E71">
        <w:rPr>
          <w:sz w:val="22"/>
          <w:szCs w:val="22"/>
        </w:rPr>
        <w:t>Humira è usato per trattare l’artrite idiopatica giovanile poliarticolare nei pazienti di età pari o superiore a 2 anni. Inizialmente possono essere assunti altri farmaci modificanti la malattia, come il metotressato. Se la risposta a questi farmaci non dovesse essere adeguata, le verrà dato Humira.</w:t>
      </w:r>
    </w:p>
    <w:p w:rsidR="00C26956" w:rsidRPr="00295E71" w:rsidP="00C26956" w14:paraId="3C9BCD74" w14:textId="77777777">
      <w:pPr>
        <w:tabs>
          <w:tab w:val="left" w:pos="567"/>
        </w:tabs>
        <w:ind w:left="360"/>
        <w:jc w:val="both"/>
        <w:rPr>
          <w:sz w:val="22"/>
          <w:szCs w:val="22"/>
        </w:rPr>
      </w:pPr>
      <w:r w:rsidRPr="00295E71">
        <w:rPr>
          <w:sz w:val="22"/>
          <w:szCs w:val="22"/>
        </w:rPr>
        <w:t>Il medico deciderà se Humira deve essere assunto con il metotressato oppure da solo.</w:t>
      </w:r>
    </w:p>
    <w:p w:rsidR="00C26956" w:rsidRPr="00295E71" w:rsidP="00C26956" w14:paraId="4025AD90" w14:textId="77777777">
      <w:pPr>
        <w:tabs>
          <w:tab w:val="left" w:pos="567"/>
        </w:tabs>
        <w:ind w:left="360"/>
        <w:jc w:val="both"/>
        <w:rPr>
          <w:sz w:val="22"/>
          <w:szCs w:val="22"/>
        </w:rPr>
      </w:pPr>
    </w:p>
    <w:p w:rsidR="00C26956" w:rsidRPr="00295E71" w:rsidP="00C26956" w14:paraId="00803FAA" w14:textId="77777777">
      <w:pPr>
        <w:tabs>
          <w:tab w:val="left" w:pos="567"/>
        </w:tabs>
        <w:ind w:left="360"/>
        <w:rPr>
          <w:b/>
          <w:sz w:val="22"/>
          <w:szCs w:val="22"/>
        </w:rPr>
      </w:pPr>
      <w:r w:rsidRPr="00295E71">
        <w:rPr>
          <w:b/>
          <w:sz w:val="22"/>
          <w:szCs w:val="22"/>
        </w:rPr>
        <w:t>Artrite associata ad entesite</w:t>
      </w:r>
    </w:p>
    <w:p w:rsidR="00C26956" w:rsidRPr="00295E71" w:rsidP="00C26956" w14:paraId="531701C6" w14:textId="77777777">
      <w:pPr>
        <w:tabs>
          <w:tab w:val="left" w:pos="567"/>
        </w:tabs>
        <w:ind w:left="360"/>
        <w:rPr>
          <w:sz w:val="22"/>
          <w:szCs w:val="22"/>
        </w:rPr>
      </w:pPr>
    </w:p>
    <w:p w:rsidR="00C26956" w:rsidRPr="00295E71" w:rsidP="00C26956" w14:paraId="34ABD86E" w14:textId="77777777">
      <w:pPr>
        <w:tabs>
          <w:tab w:val="left" w:pos="567"/>
        </w:tabs>
        <w:ind w:left="360"/>
        <w:rPr>
          <w:sz w:val="22"/>
          <w:szCs w:val="22"/>
        </w:rPr>
      </w:pPr>
      <w:r w:rsidRPr="00295E71">
        <w:rPr>
          <w:sz w:val="22"/>
          <w:szCs w:val="22"/>
        </w:rPr>
        <w:t>L’artrite associata ad entesite è una malattia infiammatoria delle articolazioni e delle zone nelle quali i tendini si legano alle ossa.</w:t>
      </w:r>
    </w:p>
    <w:p w:rsidR="00C26956" w:rsidRPr="00295E71" w:rsidP="00C26956" w14:paraId="3F9ACE8D" w14:textId="77777777">
      <w:pPr>
        <w:tabs>
          <w:tab w:val="left" w:pos="567"/>
        </w:tabs>
        <w:ind w:left="360"/>
        <w:rPr>
          <w:sz w:val="22"/>
          <w:szCs w:val="22"/>
        </w:rPr>
      </w:pPr>
    </w:p>
    <w:p w:rsidR="00C26956" w:rsidRPr="00295E71" w:rsidP="00C26956" w14:paraId="30F2C1DA" w14:textId="77777777">
      <w:pPr>
        <w:tabs>
          <w:tab w:val="left" w:pos="567"/>
        </w:tabs>
        <w:ind w:left="360"/>
        <w:rPr>
          <w:sz w:val="22"/>
          <w:szCs w:val="22"/>
        </w:rPr>
      </w:pPr>
      <w:r w:rsidRPr="00295E71">
        <w:rPr>
          <w:sz w:val="22"/>
          <w:szCs w:val="22"/>
        </w:rPr>
        <w:t xml:space="preserve">Humira è usato per trattare l’artrite associata ad entesite in pazienti di età pari o superiore a 6 anni. </w:t>
      </w:r>
    </w:p>
    <w:p w:rsidR="00C26956" w:rsidRPr="00295E71" w:rsidP="00C26956" w14:paraId="6C039EBC" w14:textId="77777777">
      <w:pPr>
        <w:numPr>
          <w:ilvl w:val="12"/>
          <w:numId w:val="0"/>
        </w:numPr>
        <w:tabs>
          <w:tab w:val="left" w:pos="567"/>
        </w:tabs>
        <w:ind w:left="360" w:right="-2"/>
        <w:jc w:val="both"/>
        <w:rPr>
          <w:sz w:val="22"/>
          <w:szCs w:val="22"/>
        </w:rPr>
      </w:pPr>
      <w:r w:rsidRPr="00295E71">
        <w:rPr>
          <w:sz w:val="22"/>
          <w:szCs w:val="22"/>
        </w:rPr>
        <w:t>Inizialmente possono essere assunti altri farmaci modificanti la malattia, come il metotressato. Se la risposta a questi farmaci non dovesse essere adeguata, le verrà dato Humira.</w:t>
      </w:r>
    </w:p>
    <w:p w:rsidR="00C26956" w:rsidRPr="00295E71" w:rsidP="00C26956" w14:paraId="61ED8AA1" w14:textId="77777777">
      <w:pPr>
        <w:tabs>
          <w:tab w:val="left" w:pos="567"/>
        </w:tabs>
        <w:ind w:left="360"/>
        <w:jc w:val="both"/>
        <w:rPr>
          <w:sz w:val="22"/>
          <w:szCs w:val="22"/>
        </w:rPr>
      </w:pPr>
    </w:p>
    <w:p w:rsidR="00C26956" w:rsidRPr="00295E71" w:rsidP="00C26956" w14:paraId="70EC37E6" w14:textId="77777777">
      <w:pPr>
        <w:numPr>
          <w:ilvl w:val="12"/>
          <w:numId w:val="0"/>
        </w:numPr>
        <w:tabs>
          <w:tab w:val="left" w:pos="567"/>
        </w:tabs>
        <w:ind w:left="360" w:right="-2"/>
        <w:jc w:val="both"/>
        <w:rPr>
          <w:b/>
          <w:sz w:val="22"/>
          <w:szCs w:val="22"/>
        </w:rPr>
      </w:pPr>
      <w:r w:rsidRPr="00295E71">
        <w:rPr>
          <w:b/>
          <w:sz w:val="22"/>
          <w:szCs w:val="22"/>
        </w:rPr>
        <w:t>Spondilite anchilosante e spondiloartrite assiale senza evidenza radiografica di spondilite anchilosante</w:t>
      </w:r>
    </w:p>
    <w:p w:rsidR="00C26956" w:rsidRPr="00295E71" w:rsidP="00C26956" w14:paraId="31296499" w14:textId="77777777">
      <w:pPr>
        <w:numPr>
          <w:ilvl w:val="12"/>
          <w:numId w:val="0"/>
        </w:numPr>
        <w:tabs>
          <w:tab w:val="left" w:pos="567"/>
        </w:tabs>
        <w:ind w:left="360" w:right="-2"/>
        <w:jc w:val="both"/>
        <w:rPr>
          <w:sz w:val="22"/>
          <w:szCs w:val="22"/>
        </w:rPr>
      </w:pPr>
    </w:p>
    <w:p w:rsidR="00C26956" w:rsidRPr="00295E71" w:rsidP="00C26956" w14:paraId="1C0506BE" w14:textId="77777777">
      <w:pPr>
        <w:numPr>
          <w:ilvl w:val="12"/>
          <w:numId w:val="0"/>
        </w:numPr>
        <w:tabs>
          <w:tab w:val="left" w:pos="567"/>
        </w:tabs>
        <w:ind w:left="360" w:right="-2"/>
        <w:jc w:val="both"/>
        <w:rPr>
          <w:sz w:val="22"/>
          <w:szCs w:val="22"/>
        </w:rPr>
      </w:pPr>
      <w:r w:rsidRPr="00295E71">
        <w:rPr>
          <w:sz w:val="22"/>
          <w:szCs w:val="22"/>
        </w:rPr>
        <w:t>La spondilite anchilosante e la spondiloartrite assiale senza evidenza radiografica di spondilite anchilosante sono infiammazioni della colonna vertebrale.</w:t>
      </w:r>
    </w:p>
    <w:p w:rsidR="00C26956" w:rsidRPr="00295E71" w:rsidP="00C26956" w14:paraId="07E0739B" w14:textId="77777777">
      <w:pPr>
        <w:numPr>
          <w:ilvl w:val="12"/>
          <w:numId w:val="0"/>
        </w:numPr>
        <w:tabs>
          <w:tab w:val="left" w:pos="567"/>
        </w:tabs>
        <w:ind w:left="360" w:right="-2"/>
        <w:jc w:val="both"/>
        <w:rPr>
          <w:sz w:val="22"/>
          <w:szCs w:val="22"/>
        </w:rPr>
      </w:pPr>
    </w:p>
    <w:p w:rsidR="00C26956" w:rsidRPr="00295E71" w:rsidP="00C26956" w14:paraId="48BFA6D9" w14:textId="77777777">
      <w:pPr>
        <w:numPr>
          <w:ilvl w:val="12"/>
          <w:numId w:val="0"/>
        </w:numPr>
        <w:tabs>
          <w:tab w:val="left" w:pos="567"/>
        </w:tabs>
        <w:ind w:left="360" w:right="-2"/>
        <w:jc w:val="both"/>
        <w:rPr>
          <w:sz w:val="22"/>
          <w:szCs w:val="22"/>
        </w:rPr>
      </w:pPr>
      <w:r w:rsidRPr="00295E71">
        <w:rPr>
          <w:sz w:val="22"/>
          <w:szCs w:val="22"/>
        </w:rPr>
        <w:t>Humira è usato per trattare la spondilite anchilosante e la spondiloartrite assiale senza evidenza radiografica della spondilite anchilosante di grado severo negli adulti. Inizialmente possono essere assunti altri farmaci. Se la risposta a questi farmaci non dovesse essere adeguata, le verrà dato Humira.</w:t>
      </w:r>
    </w:p>
    <w:p w:rsidR="00C26956" w:rsidRPr="00295E71" w:rsidP="00C26956" w14:paraId="7B70ACBE" w14:textId="77777777">
      <w:pPr>
        <w:numPr>
          <w:ilvl w:val="12"/>
          <w:numId w:val="0"/>
        </w:numPr>
        <w:tabs>
          <w:tab w:val="left" w:pos="567"/>
        </w:tabs>
        <w:ind w:left="360" w:right="-2"/>
        <w:jc w:val="both"/>
        <w:rPr>
          <w:sz w:val="22"/>
          <w:szCs w:val="22"/>
        </w:rPr>
      </w:pPr>
    </w:p>
    <w:p w:rsidR="00C26956" w:rsidRPr="00295E71" w:rsidP="00C26956" w14:paraId="2C9FF407" w14:textId="77777777">
      <w:pPr>
        <w:numPr>
          <w:ilvl w:val="12"/>
          <w:numId w:val="0"/>
        </w:numPr>
        <w:tabs>
          <w:tab w:val="left" w:pos="567"/>
        </w:tabs>
        <w:ind w:left="360" w:right="-2"/>
        <w:jc w:val="both"/>
        <w:rPr>
          <w:b/>
          <w:sz w:val="22"/>
          <w:szCs w:val="22"/>
        </w:rPr>
      </w:pPr>
      <w:r w:rsidRPr="00295E71">
        <w:rPr>
          <w:b/>
          <w:sz w:val="22"/>
          <w:szCs w:val="22"/>
        </w:rPr>
        <w:t>Artrite psoriasica</w:t>
      </w:r>
    </w:p>
    <w:p w:rsidR="00C26956" w:rsidRPr="00295E71" w:rsidP="00C26956" w14:paraId="0F6185E4" w14:textId="77777777">
      <w:pPr>
        <w:numPr>
          <w:ilvl w:val="12"/>
          <w:numId w:val="0"/>
        </w:numPr>
        <w:tabs>
          <w:tab w:val="left" w:pos="567"/>
        </w:tabs>
        <w:ind w:left="360" w:right="-2"/>
        <w:jc w:val="both"/>
        <w:rPr>
          <w:sz w:val="22"/>
          <w:szCs w:val="22"/>
        </w:rPr>
      </w:pPr>
    </w:p>
    <w:p w:rsidR="00C26956" w:rsidRPr="00295E71" w:rsidP="00C26956" w14:paraId="2B5A2B09" w14:textId="77777777">
      <w:pPr>
        <w:numPr>
          <w:ilvl w:val="12"/>
          <w:numId w:val="0"/>
        </w:numPr>
        <w:tabs>
          <w:tab w:val="left" w:pos="567"/>
        </w:tabs>
        <w:ind w:left="360" w:right="-2"/>
        <w:jc w:val="both"/>
        <w:rPr>
          <w:sz w:val="22"/>
          <w:szCs w:val="22"/>
        </w:rPr>
      </w:pPr>
      <w:r w:rsidRPr="00295E71">
        <w:rPr>
          <w:sz w:val="22"/>
          <w:szCs w:val="22"/>
        </w:rPr>
        <w:t>L’artrite psoriasica è una malattia infiammatoria delle articolazioni solitamente associata alla psoriasi.</w:t>
      </w:r>
    </w:p>
    <w:p w:rsidR="00C26956" w:rsidRPr="00295E71" w:rsidP="00C26956" w14:paraId="3D31BC61" w14:textId="77777777">
      <w:pPr>
        <w:numPr>
          <w:ilvl w:val="12"/>
          <w:numId w:val="0"/>
        </w:numPr>
        <w:tabs>
          <w:tab w:val="left" w:pos="567"/>
        </w:tabs>
        <w:ind w:left="360" w:right="-2"/>
        <w:jc w:val="both"/>
        <w:rPr>
          <w:sz w:val="22"/>
          <w:szCs w:val="22"/>
        </w:rPr>
      </w:pPr>
    </w:p>
    <w:p w:rsidR="00C26956" w:rsidRPr="00295E71" w:rsidP="00C26956" w14:paraId="3814B359" w14:textId="77777777">
      <w:pPr>
        <w:numPr>
          <w:ilvl w:val="12"/>
          <w:numId w:val="0"/>
        </w:numPr>
        <w:tabs>
          <w:tab w:val="left" w:pos="567"/>
        </w:tabs>
        <w:ind w:left="360" w:right="-2"/>
        <w:jc w:val="both"/>
        <w:rPr>
          <w:sz w:val="22"/>
          <w:szCs w:val="22"/>
        </w:rPr>
      </w:pPr>
      <w:r w:rsidRPr="00295E71">
        <w:rPr>
          <w:sz w:val="22"/>
          <w:szCs w:val="22"/>
        </w:rPr>
        <w:t>Humira è usato per trattare l’artrite psoriasica negli adulti. Humira può rallentare il danno alle articolazioni causato dalla malattia e può aiutarle a muoversi più liberamente. Inizialmente possono essere assunti altri farmaci. Se la risposta a questi farmaci non dovesse essere adeguata, le verrà dato Humira.</w:t>
      </w:r>
    </w:p>
    <w:p w:rsidR="00C26956" w:rsidRPr="00295E71" w:rsidP="00C26956" w14:paraId="0D313C92" w14:textId="77777777">
      <w:pPr>
        <w:numPr>
          <w:ilvl w:val="12"/>
          <w:numId w:val="0"/>
        </w:numPr>
        <w:tabs>
          <w:tab w:val="left" w:pos="567"/>
        </w:tabs>
        <w:ind w:left="360" w:right="-2"/>
        <w:jc w:val="both"/>
        <w:rPr>
          <w:sz w:val="22"/>
          <w:szCs w:val="22"/>
        </w:rPr>
      </w:pPr>
    </w:p>
    <w:p w:rsidR="00C26956" w:rsidRPr="00295E71" w:rsidP="00C26956" w14:paraId="34ED5B59" w14:textId="77777777">
      <w:pPr>
        <w:numPr>
          <w:ilvl w:val="12"/>
          <w:numId w:val="0"/>
        </w:numPr>
        <w:tabs>
          <w:tab w:val="left" w:pos="567"/>
        </w:tabs>
        <w:ind w:left="360" w:right="-2"/>
        <w:jc w:val="both"/>
        <w:rPr>
          <w:b/>
          <w:sz w:val="22"/>
          <w:szCs w:val="22"/>
        </w:rPr>
      </w:pPr>
      <w:r w:rsidRPr="00295E71">
        <w:rPr>
          <w:b/>
          <w:sz w:val="22"/>
          <w:szCs w:val="22"/>
        </w:rPr>
        <w:t>Psoriasi a placche</w:t>
      </w:r>
    </w:p>
    <w:p w:rsidR="00C26956" w:rsidRPr="00295E71" w:rsidP="00C26956" w14:paraId="10D6228D" w14:textId="77777777">
      <w:pPr>
        <w:numPr>
          <w:ilvl w:val="12"/>
          <w:numId w:val="0"/>
        </w:numPr>
        <w:tabs>
          <w:tab w:val="left" w:pos="567"/>
        </w:tabs>
        <w:ind w:left="360" w:right="-2"/>
        <w:jc w:val="both"/>
        <w:rPr>
          <w:sz w:val="22"/>
          <w:szCs w:val="22"/>
        </w:rPr>
      </w:pPr>
    </w:p>
    <w:p w:rsidR="00C26956" w:rsidRPr="00295E71" w:rsidP="00C26956" w14:paraId="01F83E10" w14:textId="77777777">
      <w:pPr>
        <w:numPr>
          <w:ilvl w:val="12"/>
          <w:numId w:val="0"/>
        </w:numPr>
        <w:tabs>
          <w:tab w:val="left" w:pos="567"/>
        </w:tabs>
        <w:ind w:left="360" w:right="-2"/>
        <w:jc w:val="both"/>
        <w:rPr>
          <w:sz w:val="22"/>
          <w:szCs w:val="22"/>
        </w:rPr>
      </w:pPr>
      <w:r w:rsidRPr="00295E71">
        <w:rPr>
          <w:sz w:val="22"/>
          <w:szCs w:val="22"/>
        </w:rPr>
        <w:t xml:space="preserve">La psoriasi a placche è una condizione della pelle che causa chiazze rossastre, squamose e indurite di pelle ricoperta da squame argentee. La psoriasi a placche può anche colpire le unghie, </w:t>
      </w:r>
      <w:r w:rsidRPr="00295E71">
        <w:rPr>
          <w:sz w:val="22"/>
          <w:szCs w:val="22"/>
        </w:rPr>
        <w:t xml:space="preserve">provocandone la rottura, l’ispessimento e il sollevamento dal letto dell’unghia, che può essere doloroso. </w:t>
      </w:r>
    </w:p>
    <w:p w:rsidR="00B83439" w:rsidRPr="00295E71" w:rsidP="00C26956" w14:paraId="2B71A030" w14:textId="77777777">
      <w:pPr>
        <w:numPr>
          <w:ilvl w:val="12"/>
          <w:numId w:val="0"/>
        </w:numPr>
        <w:tabs>
          <w:tab w:val="left" w:pos="567"/>
        </w:tabs>
        <w:ind w:left="360" w:right="-2"/>
        <w:jc w:val="both"/>
        <w:rPr>
          <w:sz w:val="22"/>
          <w:szCs w:val="22"/>
        </w:rPr>
      </w:pPr>
    </w:p>
    <w:p w:rsidR="00C26956" w:rsidRPr="00295E71" w:rsidP="00C26956" w14:paraId="411B2A01" w14:textId="77777777">
      <w:pPr>
        <w:numPr>
          <w:ilvl w:val="12"/>
          <w:numId w:val="0"/>
        </w:numPr>
        <w:tabs>
          <w:tab w:val="left" w:pos="567"/>
        </w:tabs>
        <w:ind w:left="360" w:right="-2"/>
        <w:jc w:val="both"/>
        <w:rPr>
          <w:sz w:val="22"/>
          <w:szCs w:val="22"/>
        </w:rPr>
      </w:pPr>
      <w:r w:rsidRPr="00295E71">
        <w:rPr>
          <w:sz w:val="22"/>
          <w:szCs w:val="22"/>
        </w:rPr>
        <w:t xml:space="preserve">Humira è usato per trattare </w:t>
      </w:r>
    </w:p>
    <w:p w:rsidR="00C26956" w:rsidRPr="00295E71" w:rsidP="00C26956" w14:paraId="4A274DAB" w14:textId="77777777">
      <w:pPr>
        <w:pStyle w:val="ListParagraph"/>
        <w:numPr>
          <w:ilvl w:val="0"/>
          <w:numId w:val="95"/>
        </w:numPr>
        <w:tabs>
          <w:tab w:val="left" w:pos="567"/>
        </w:tabs>
        <w:ind w:left="1080" w:right="-2"/>
        <w:jc w:val="both"/>
        <w:rPr>
          <w:sz w:val="22"/>
          <w:szCs w:val="22"/>
        </w:rPr>
      </w:pPr>
      <w:r w:rsidRPr="00295E71">
        <w:rPr>
          <w:sz w:val="22"/>
          <w:szCs w:val="22"/>
        </w:rPr>
        <w:t>la psoriasi a placche cronica di grado da moderato a severo negli adulti e</w:t>
      </w:r>
    </w:p>
    <w:p w:rsidR="00C26956" w:rsidRPr="00295E71" w:rsidP="00C26956" w14:paraId="60DB62C6" w14:textId="77777777">
      <w:pPr>
        <w:pStyle w:val="ListParagraph"/>
        <w:numPr>
          <w:ilvl w:val="0"/>
          <w:numId w:val="95"/>
        </w:numPr>
        <w:tabs>
          <w:tab w:val="left" w:pos="567"/>
        </w:tabs>
        <w:ind w:left="927" w:right="-2" w:hanging="207"/>
        <w:jc w:val="both"/>
        <w:rPr>
          <w:sz w:val="22"/>
          <w:szCs w:val="22"/>
        </w:rPr>
      </w:pPr>
      <w:r w:rsidRPr="00295E71">
        <w:rPr>
          <w:sz w:val="22"/>
          <w:szCs w:val="22"/>
        </w:rPr>
        <w:t>la psoriasi a placche cronica di grado severo in bambini e adolescenti dai 4 ai 17 anni nei quali la terapia topica e le fototerapie non abbiano funzionato in modo ottimale o non siano indicate.</w:t>
      </w:r>
    </w:p>
    <w:p w:rsidR="00C26956" w:rsidRPr="00295E71" w:rsidP="00C26956" w14:paraId="5B6934F9" w14:textId="77777777">
      <w:pPr>
        <w:numPr>
          <w:ilvl w:val="12"/>
          <w:numId w:val="0"/>
        </w:numPr>
        <w:tabs>
          <w:tab w:val="left" w:pos="567"/>
        </w:tabs>
        <w:ind w:left="360" w:right="-2"/>
        <w:jc w:val="both"/>
        <w:rPr>
          <w:sz w:val="22"/>
          <w:szCs w:val="22"/>
        </w:rPr>
      </w:pPr>
    </w:p>
    <w:p w:rsidR="00C26956" w:rsidRPr="00295E71" w:rsidP="00C26956" w14:paraId="6E2215A3" w14:textId="77777777">
      <w:pPr>
        <w:keepNext/>
        <w:numPr>
          <w:ilvl w:val="12"/>
          <w:numId w:val="0"/>
        </w:numPr>
        <w:tabs>
          <w:tab w:val="left" w:pos="567"/>
        </w:tabs>
        <w:ind w:left="360" w:right="-2"/>
        <w:jc w:val="both"/>
        <w:rPr>
          <w:b/>
          <w:sz w:val="22"/>
          <w:szCs w:val="22"/>
        </w:rPr>
      </w:pPr>
      <w:r w:rsidRPr="00295E71">
        <w:rPr>
          <w:b/>
          <w:sz w:val="22"/>
          <w:szCs w:val="22"/>
        </w:rPr>
        <w:t>Idrosadenite Suppurativa</w:t>
      </w:r>
    </w:p>
    <w:p w:rsidR="00C26956" w:rsidRPr="00295E71" w:rsidP="00C26956" w14:paraId="2CA4FE9C" w14:textId="77777777">
      <w:pPr>
        <w:keepNext/>
        <w:numPr>
          <w:ilvl w:val="12"/>
          <w:numId w:val="0"/>
        </w:numPr>
        <w:tabs>
          <w:tab w:val="left" w:pos="567"/>
        </w:tabs>
        <w:ind w:left="360" w:right="-2"/>
        <w:jc w:val="both"/>
        <w:rPr>
          <w:sz w:val="22"/>
          <w:szCs w:val="22"/>
        </w:rPr>
      </w:pPr>
    </w:p>
    <w:p w:rsidR="00C26956" w:rsidRPr="00295E71" w:rsidP="00C26956" w14:paraId="50C86BD4" w14:textId="77777777">
      <w:pPr>
        <w:keepNext/>
        <w:numPr>
          <w:ilvl w:val="12"/>
          <w:numId w:val="0"/>
        </w:numPr>
        <w:tabs>
          <w:tab w:val="left" w:pos="567"/>
        </w:tabs>
        <w:ind w:left="360" w:right="-2"/>
        <w:jc w:val="both"/>
        <w:rPr>
          <w:sz w:val="22"/>
          <w:szCs w:val="22"/>
        </w:rPr>
      </w:pPr>
      <w:r w:rsidRPr="00295E71">
        <w:rPr>
          <w:sz w:val="22"/>
          <w:szCs w:val="22"/>
        </w:rPr>
        <w:t>L’Idrosadenite Suppurativa (chiamata a volte acne inversa) è una malattia infiammatoria cronica della pelle e spesso è dolorosa. I sintomi possono includere noduli dolorosi e ascessi (cisti) che possono drenare pus. Più frequentemente colpisce aree specifiche della pelle, come la regione sottomammaria, le ascelle, l’interno cosce, l’inguine e le natiche. Nelle aree colpite si possono anche formare delle cicatrici.</w:t>
      </w:r>
    </w:p>
    <w:p w:rsidR="00C26956" w:rsidRPr="00295E71" w:rsidP="00C26956" w14:paraId="33DD96F5" w14:textId="77777777">
      <w:pPr>
        <w:numPr>
          <w:ilvl w:val="12"/>
          <w:numId w:val="0"/>
        </w:numPr>
        <w:tabs>
          <w:tab w:val="left" w:pos="567"/>
        </w:tabs>
        <w:ind w:left="360" w:right="-2"/>
        <w:jc w:val="both"/>
        <w:rPr>
          <w:sz w:val="22"/>
          <w:szCs w:val="22"/>
        </w:rPr>
      </w:pPr>
    </w:p>
    <w:p w:rsidR="00C26956" w:rsidRPr="00295E71" w:rsidP="00C26956" w14:paraId="56F500E8" w14:textId="77777777">
      <w:pPr>
        <w:ind w:left="360"/>
        <w:rPr>
          <w:sz w:val="22"/>
          <w:szCs w:val="22"/>
        </w:rPr>
      </w:pPr>
      <w:r w:rsidRPr="00295E71">
        <w:rPr>
          <w:sz w:val="22"/>
          <w:szCs w:val="22"/>
        </w:rPr>
        <w:t>Humira è utilizzato per trattare</w:t>
      </w:r>
    </w:p>
    <w:p w:rsidR="00C26956" w:rsidRPr="00295E71" w:rsidP="00C26956" w14:paraId="10309E33" w14:textId="77777777">
      <w:pPr>
        <w:pStyle w:val="ListParagraph"/>
        <w:numPr>
          <w:ilvl w:val="0"/>
          <w:numId w:val="112"/>
        </w:numPr>
        <w:tabs>
          <w:tab w:val="left" w:pos="567"/>
        </w:tabs>
        <w:ind w:left="1080" w:right="-2"/>
        <w:jc w:val="both"/>
        <w:rPr>
          <w:sz w:val="22"/>
          <w:szCs w:val="22"/>
        </w:rPr>
      </w:pPr>
      <w:r w:rsidRPr="00295E71">
        <w:rPr>
          <w:sz w:val="22"/>
          <w:szCs w:val="22"/>
        </w:rPr>
        <w:t>l’Idrosadenite Suppurativa di grado da moderato a severo negli adulti e</w:t>
      </w:r>
    </w:p>
    <w:p w:rsidR="00C26956" w:rsidRPr="00295E71" w:rsidP="00C26956" w14:paraId="3431BCCE" w14:textId="77777777">
      <w:pPr>
        <w:pStyle w:val="ListParagraph"/>
        <w:numPr>
          <w:ilvl w:val="0"/>
          <w:numId w:val="112"/>
        </w:numPr>
        <w:tabs>
          <w:tab w:val="left" w:pos="567"/>
        </w:tabs>
        <w:ind w:left="1080" w:right="-2"/>
        <w:jc w:val="both"/>
        <w:rPr>
          <w:sz w:val="22"/>
          <w:szCs w:val="22"/>
        </w:rPr>
      </w:pPr>
      <w:r w:rsidRPr="00295E71">
        <w:rPr>
          <w:sz w:val="22"/>
          <w:szCs w:val="22"/>
        </w:rPr>
        <w:t>l’Idrosadenite Suppurativa di grado da moderato a severo negli adolescenti di età compresa tra 12 e 17 anni.</w:t>
      </w:r>
    </w:p>
    <w:p w:rsidR="00C26956" w:rsidRPr="00295E71" w:rsidP="00C26956" w14:paraId="7325001A" w14:textId="77777777">
      <w:pPr>
        <w:ind w:left="360"/>
        <w:rPr>
          <w:sz w:val="22"/>
          <w:szCs w:val="22"/>
        </w:rPr>
      </w:pPr>
    </w:p>
    <w:p w:rsidR="00C26956" w:rsidRPr="00295E71" w:rsidP="00C26956" w14:paraId="6D81DA68" w14:textId="77777777">
      <w:pPr>
        <w:pStyle w:val="ListParagraph"/>
        <w:tabs>
          <w:tab w:val="left" w:pos="0"/>
        </w:tabs>
        <w:ind w:left="360" w:right="-2"/>
        <w:jc w:val="both"/>
        <w:rPr>
          <w:sz w:val="22"/>
          <w:szCs w:val="22"/>
        </w:rPr>
      </w:pPr>
      <w:r w:rsidRPr="00295E71">
        <w:rPr>
          <w:sz w:val="22"/>
          <w:szCs w:val="22"/>
        </w:rPr>
        <w:t>Humira può ridurre il numero di noduli e di ascessi provocati dalla malattia. Inizialmente possono essere assunti altri farmaci. Se la risposta a questi farmaci non dovesse essere adeguata, le verrà dato Humira.</w:t>
      </w:r>
    </w:p>
    <w:p w:rsidR="00C26956" w:rsidRPr="00295E71" w:rsidP="00C26956" w14:paraId="29A4B674" w14:textId="77777777">
      <w:pPr>
        <w:ind w:left="360"/>
        <w:rPr>
          <w:sz w:val="22"/>
          <w:szCs w:val="22"/>
        </w:rPr>
      </w:pPr>
    </w:p>
    <w:p w:rsidR="00C26956" w:rsidRPr="00295E71" w:rsidP="00C26956" w14:paraId="2EF83E8F" w14:textId="77777777">
      <w:pPr>
        <w:ind w:left="360"/>
        <w:rPr>
          <w:sz w:val="22"/>
          <w:szCs w:val="22"/>
          <w:u w:val="single"/>
        </w:rPr>
      </w:pPr>
      <w:r w:rsidRPr="00295E71">
        <w:rPr>
          <w:b/>
          <w:sz w:val="22"/>
          <w:szCs w:val="22"/>
        </w:rPr>
        <w:t>Malattia di Crohn</w:t>
      </w:r>
    </w:p>
    <w:p w:rsidR="00C26956" w:rsidRPr="00295E71" w:rsidP="00C26956" w14:paraId="0484B331" w14:textId="77777777">
      <w:pPr>
        <w:pStyle w:val="EMEANormal"/>
        <w:keepNext/>
        <w:ind w:left="360"/>
        <w:jc w:val="both"/>
        <w:rPr>
          <w:lang w:val="it-IT"/>
        </w:rPr>
      </w:pPr>
    </w:p>
    <w:p w:rsidR="00C26956" w:rsidRPr="00295E71" w:rsidP="00C26956" w14:paraId="71DB1DF6" w14:textId="77777777">
      <w:pPr>
        <w:pStyle w:val="EMEANormal"/>
        <w:keepNext/>
        <w:ind w:left="360"/>
        <w:jc w:val="both"/>
        <w:rPr>
          <w:lang w:val="it-IT"/>
        </w:rPr>
      </w:pPr>
      <w:r w:rsidRPr="00295E71">
        <w:rPr>
          <w:lang w:val="it-IT"/>
        </w:rPr>
        <w:t>La malattia di Crohn è un’infiammazione del tratto digerente.</w:t>
      </w:r>
    </w:p>
    <w:p w:rsidR="00C26956" w:rsidRPr="00295E71" w:rsidP="00C26956" w14:paraId="7E196B49" w14:textId="77777777">
      <w:pPr>
        <w:pStyle w:val="EMEANormal"/>
        <w:ind w:left="360"/>
        <w:jc w:val="both"/>
        <w:rPr>
          <w:lang w:val="it-IT"/>
        </w:rPr>
      </w:pPr>
    </w:p>
    <w:p w:rsidR="00C26956" w:rsidRPr="00295E71" w:rsidP="00C26956" w14:paraId="3035D8B7" w14:textId="77777777">
      <w:pPr>
        <w:numPr>
          <w:ilvl w:val="12"/>
          <w:numId w:val="0"/>
        </w:numPr>
        <w:tabs>
          <w:tab w:val="left" w:pos="567"/>
        </w:tabs>
        <w:ind w:left="360" w:right="-2"/>
        <w:jc w:val="both"/>
        <w:rPr>
          <w:sz w:val="22"/>
          <w:szCs w:val="22"/>
        </w:rPr>
      </w:pPr>
      <w:r w:rsidRPr="00295E71">
        <w:rPr>
          <w:sz w:val="22"/>
          <w:szCs w:val="22"/>
        </w:rPr>
        <w:t>Humira è usato per trattare</w:t>
      </w:r>
    </w:p>
    <w:p w:rsidR="00C26956" w:rsidRPr="00295E71" w:rsidP="00C26956" w14:paraId="1CC7AE70" w14:textId="77777777">
      <w:pPr>
        <w:pStyle w:val="ListParagraph"/>
        <w:numPr>
          <w:ilvl w:val="0"/>
          <w:numId w:val="96"/>
        </w:numPr>
        <w:tabs>
          <w:tab w:val="left" w:pos="567"/>
        </w:tabs>
        <w:ind w:left="1130" w:right="-2"/>
        <w:jc w:val="both"/>
        <w:rPr>
          <w:sz w:val="22"/>
          <w:szCs w:val="22"/>
        </w:rPr>
      </w:pPr>
      <w:r w:rsidRPr="00295E71">
        <w:rPr>
          <w:sz w:val="22"/>
          <w:szCs w:val="22"/>
        </w:rPr>
        <w:t xml:space="preserve">la malattia di Crohn di grado da moderato a severo negli adulti e </w:t>
      </w:r>
    </w:p>
    <w:p w:rsidR="00C26956" w:rsidRPr="00295E71" w:rsidP="00C26956" w14:paraId="337BBCE1" w14:textId="77777777">
      <w:pPr>
        <w:pStyle w:val="ListParagraph"/>
        <w:numPr>
          <w:ilvl w:val="0"/>
          <w:numId w:val="96"/>
        </w:numPr>
        <w:tabs>
          <w:tab w:val="left" w:pos="567"/>
        </w:tabs>
        <w:ind w:left="927" w:right="-2" w:hanging="141"/>
        <w:jc w:val="both"/>
        <w:rPr>
          <w:sz w:val="22"/>
          <w:szCs w:val="22"/>
        </w:rPr>
      </w:pPr>
      <w:r w:rsidRPr="00295E71">
        <w:rPr>
          <w:sz w:val="22"/>
          <w:szCs w:val="22"/>
        </w:rPr>
        <w:t xml:space="preserve">la malattia di Crohn di grado da moderato a severo nei bambini e negli adolescenti di età compresa tra 6 e 17 anni. </w:t>
      </w:r>
    </w:p>
    <w:p w:rsidR="00C26956" w:rsidRPr="00295E71" w:rsidP="00C26956" w14:paraId="2D09D470" w14:textId="77777777">
      <w:pPr>
        <w:tabs>
          <w:tab w:val="left" w:pos="0"/>
        </w:tabs>
        <w:ind w:left="360" w:right="-2"/>
        <w:jc w:val="both"/>
        <w:rPr>
          <w:sz w:val="22"/>
          <w:szCs w:val="22"/>
        </w:rPr>
      </w:pPr>
    </w:p>
    <w:p w:rsidR="00C26956" w:rsidRPr="00295E71" w:rsidP="00C26956" w14:paraId="6D279836" w14:textId="77777777">
      <w:pPr>
        <w:tabs>
          <w:tab w:val="left" w:pos="0"/>
        </w:tabs>
        <w:ind w:left="360" w:right="-2"/>
        <w:jc w:val="both"/>
        <w:rPr>
          <w:sz w:val="22"/>
          <w:szCs w:val="22"/>
        </w:rPr>
      </w:pPr>
      <w:r w:rsidRPr="00295E71">
        <w:rPr>
          <w:sz w:val="22"/>
          <w:szCs w:val="22"/>
        </w:rPr>
        <w:t>Inizialmente possono essere assunti altri farmaci. Se la risposta a questi farmaci non dovesse essere adeguata, le verrà dato Humira.</w:t>
      </w:r>
    </w:p>
    <w:p w:rsidR="00C26956" w:rsidRPr="00295E71" w:rsidP="00C26956" w14:paraId="2307536B" w14:textId="77777777">
      <w:pPr>
        <w:numPr>
          <w:ilvl w:val="12"/>
          <w:numId w:val="0"/>
        </w:numPr>
        <w:tabs>
          <w:tab w:val="left" w:pos="567"/>
        </w:tabs>
        <w:ind w:left="360" w:right="-2"/>
        <w:jc w:val="both"/>
        <w:rPr>
          <w:sz w:val="22"/>
          <w:szCs w:val="22"/>
        </w:rPr>
      </w:pPr>
    </w:p>
    <w:p w:rsidR="00C26956" w:rsidRPr="00295E71" w:rsidP="00C26956" w14:paraId="6B17F6D3" w14:textId="77777777">
      <w:pPr>
        <w:keepNext/>
        <w:ind w:left="360"/>
        <w:rPr>
          <w:b/>
          <w:sz w:val="22"/>
          <w:szCs w:val="22"/>
        </w:rPr>
      </w:pPr>
      <w:r w:rsidRPr="00295E71">
        <w:rPr>
          <w:b/>
          <w:sz w:val="22"/>
          <w:szCs w:val="22"/>
        </w:rPr>
        <w:t>Colite ulcerosa</w:t>
      </w:r>
    </w:p>
    <w:p w:rsidR="00C26956" w:rsidRPr="00295E71" w:rsidP="00C26956" w14:paraId="1164FD62" w14:textId="77777777">
      <w:pPr>
        <w:keepNext/>
        <w:numPr>
          <w:ilvl w:val="12"/>
          <w:numId w:val="0"/>
        </w:numPr>
        <w:tabs>
          <w:tab w:val="left" w:pos="567"/>
        </w:tabs>
        <w:ind w:left="360" w:right="-2"/>
        <w:jc w:val="both"/>
        <w:rPr>
          <w:sz w:val="22"/>
          <w:szCs w:val="22"/>
          <w:u w:val="single"/>
        </w:rPr>
      </w:pPr>
    </w:p>
    <w:p w:rsidR="00C26956" w:rsidRPr="00295E71" w:rsidP="00C26956" w14:paraId="6A594E79" w14:textId="77777777">
      <w:pPr>
        <w:keepNext/>
        <w:numPr>
          <w:ilvl w:val="12"/>
          <w:numId w:val="0"/>
        </w:numPr>
        <w:tabs>
          <w:tab w:val="left" w:pos="567"/>
        </w:tabs>
        <w:ind w:left="360" w:right="-2"/>
        <w:jc w:val="both"/>
        <w:rPr>
          <w:sz w:val="22"/>
          <w:szCs w:val="22"/>
          <w:u w:val="single"/>
        </w:rPr>
      </w:pPr>
      <w:r w:rsidRPr="00295E71">
        <w:rPr>
          <w:sz w:val="22"/>
          <w:szCs w:val="22"/>
        </w:rPr>
        <w:t>La colite ulcerosa è un’infiammazione dell’intestino crasso.</w:t>
      </w:r>
    </w:p>
    <w:p w:rsidR="00C26956" w:rsidRPr="00295E71" w:rsidP="00C26956" w14:paraId="7F2468CC" w14:textId="77777777">
      <w:pPr>
        <w:numPr>
          <w:ilvl w:val="12"/>
          <w:numId w:val="0"/>
        </w:numPr>
        <w:tabs>
          <w:tab w:val="left" w:pos="567"/>
        </w:tabs>
        <w:ind w:left="360" w:right="-2"/>
        <w:jc w:val="both"/>
        <w:rPr>
          <w:sz w:val="22"/>
          <w:szCs w:val="22"/>
          <w:u w:val="single"/>
        </w:rPr>
      </w:pPr>
    </w:p>
    <w:p w:rsidR="007674FE" w:rsidP="00C26956" w14:paraId="32D54914" w14:textId="77777777">
      <w:pPr>
        <w:numPr>
          <w:ilvl w:val="12"/>
          <w:numId w:val="0"/>
        </w:numPr>
        <w:tabs>
          <w:tab w:val="left" w:pos="567"/>
        </w:tabs>
        <w:ind w:left="360" w:right="-2"/>
        <w:jc w:val="both"/>
        <w:rPr>
          <w:sz w:val="22"/>
          <w:szCs w:val="22"/>
        </w:rPr>
      </w:pPr>
      <w:r w:rsidRPr="00295E71">
        <w:rPr>
          <w:sz w:val="22"/>
          <w:szCs w:val="22"/>
        </w:rPr>
        <w:t>Humira è usato per trattare</w:t>
      </w:r>
    </w:p>
    <w:p w:rsidR="007674FE" w:rsidRPr="004E19B6" w:rsidP="00612824" w14:paraId="3B615E8E" w14:textId="77777777">
      <w:pPr>
        <w:pStyle w:val="ListParagraph"/>
        <w:numPr>
          <w:ilvl w:val="0"/>
          <w:numId w:val="157"/>
        </w:numPr>
        <w:tabs>
          <w:tab w:val="left" w:pos="567"/>
        </w:tabs>
        <w:ind w:right="-2"/>
        <w:jc w:val="both"/>
        <w:rPr>
          <w:sz w:val="22"/>
          <w:szCs w:val="22"/>
        </w:rPr>
      </w:pPr>
      <w:r w:rsidRPr="004E19B6">
        <w:rPr>
          <w:sz w:val="22"/>
          <w:szCs w:val="22"/>
        </w:rPr>
        <w:t>la colite ulcerosa di grado da moderato a severo negli adulti</w:t>
      </w:r>
      <w:r w:rsidR="00126944">
        <w:rPr>
          <w:sz w:val="22"/>
          <w:szCs w:val="22"/>
        </w:rPr>
        <w:t xml:space="preserve"> e</w:t>
      </w:r>
    </w:p>
    <w:p w:rsidR="007674FE" w:rsidRPr="004E19B6" w:rsidP="00612824" w14:paraId="217542B5" w14:textId="77777777">
      <w:pPr>
        <w:pStyle w:val="ListParagraph"/>
        <w:numPr>
          <w:ilvl w:val="0"/>
          <w:numId w:val="157"/>
        </w:numPr>
        <w:tabs>
          <w:tab w:val="left" w:pos="567"/>
        </w:tabs>
        <w:ind w:right="-2"/>
        <w:jc w:val="both"/>
        <w:rPr>
          <w:sz w:val="22"/>
          <w:szCs w:val="22"/>
        </w:rPr>
      </w:pPr>
      <w:r w:rsidRPr="00612824">
        <w:rPr>
          <w:sz w:val="22"/>
          <w:szCs w:val="22"/>
        </w:rPr>
        <w:t>la colite ulcerosa di grado da moderato a severo nei bambini e negli adolescenti di età compresa tra 6 e 17 anni</w:t>
      </w:r>
      <w:r w:rsidRPr="004E19B6" w:rsidR="00C26956">
        <w:rPr>
          <w:sz w:val="22"/>
          <w:szCs w:val="22"/>
        </w:rPr>
        <w:t xml:space="preserve">. </w:t>
      </w:r>
    </w:p>
    <w:p w:rsidR="007674FE" w:rsidP="00C26956" w14:paraId="2A8CDA6B" w14:textId="77777777">
      <w:pPr>
        <w:numPr>
          <w:ilvl w:val="12"/>
          <w:numId w:val="0"/>
        </w:numPr>
        <w:tabs>
          <w:tab w:val="left" w:pos="567"/>
        </w:tabs>
        <w:ind w:left="360" w:right="-2"/>
        <w:jc w:val="both"/>
        <w:rPr>
          <w:sz w:val="22"/>
          <w:szCs w:val="22"/>
        </w:rPr>
      </w:pPr>
    </w:p>
    <w:p w:rsidR="00C26956" w:rsidRPr="00295E71" w:rsidP="00C26956" w14:paraId="78A40B57" w14:textId="77777777">
      <w:pPr>
        <w:numPr>
          <w:ilvl w:val="12"/>
          <w:numId w:val="0"/>
        </w:numPr>
        <w:tabs>
          <w:tab w:val="left" w:pos="567"/>
        </w:tabs>
        <w:ind w:left="360" w:right="-2"/>
        <w:jc w:val="both"/>
        <w:rPr>
          <w:sz w:val="22"/>
          <w:szCs w:val="22"/>
        </w:rPr>
      </w:pPr>
      <w:r w:rsidRPr="00295E71">
        <w:rPr>
          <w:sz w:val="22"/>
          <w:szCs w:val="22"/>
        </w:rPr>
        <w:t>Inizialmente possono essere assunti altri farmaci. Se la risposta a questi farmaci non dovesse essere adeguata, le verrà dato Humira.</w:t>
      </w:r>
    </w:p>
    <w:p w:rsidR="00C26956" w:rsidRPr="00295E71" w:rsidP="00C26956" w14:paraId="48540BF4" w14:textId="77777777">
      <w:pPr>
        <w:numPr>
          <w:ilvl w:val="12"/>
          <w:numId w:val="0"/>
        </w:numPr>
        <w:tabs>
          <w:tab w:val="left" w:pos="567"/>
        </w:tabs>
        <w:ind w:left="360" w:right="-2"/>
        <w:jc w:val="both"/>
        <w:rPr>
          <w:sz w:val="22"/>
          <w:szCs w:val="22"/>
        </w:rPr>
      </w:pPr>
    </w:p>
    <w:p w:rsidR="00C26956" w:rsidRPr="00295E71" w:rsidP="00C26956" w14:paraId="5B5B7983" w14:textId="77777777">
      <w:pPr>
        <w:numPr>
          <w:ilvl w:val="12"/>
          <w:numId w:val="0"/>
        </w:numPr>
        <w:tabs>
          <w:tab w:val="left" w:pos="567"/>
        </w:tabs>
        <w:ind w:left="360" w:right="-2"/>
        <w:jc w:val="both"/>
        <w:rPr>
          <w:b/>
          <w:sz w:val="22"/>
          <w:szCs w:val="22"/>
        </w:rPr>
      </w:pPr>
      <w:r w:rsidRPr="00295E71">
        <w:rPr>
          <w:b/>
          <w:sz w:val="22"/>
          <w:szCs w:val="22"/>
        </w:rPr>
        <w:t>Uveite non infettiva</w:t>
      </w:r>
    </w:p>
    <w:p w:rsidR="00C26956" w:rsidRPr="00295E71" w:rsidP="00C26956" w14:paraId="5F5189AE" w14:textId="77777777">
      <w:pPr>
        <w:numPr>
          <w:ilvl w:val="12"/>
          <w:numId w:val="0"/>
        </w:numPr>
        <w:tabs>
          <w:tab w:val="left" w:pos="567"/>
        </w:tabs>
        <w:ind w:left="360" w:right="-2"/>
        <w:jc w:val="both"/>
        <w:rPr>
          <w:sz w:val="22"/>
          <w:szCs w:val="22"/>
          <w:u w:val="single"/>
        </w:rPr>
      </w:pPr>
    </w:p>
    <w:p w:rsidR="00C26956" w:rsidRPr="00295E71" w:rsidP="00C26956" w14:paraId="561BB20D" w14:textId="77777777">
      <w:pPr>
        <w:numPr>
          <w:ilvl w:val="12"/>
          <w:numId w:val="0"/>
        </w:numPr>
        <w:tabs>
          <w:tab w:val="left" w:pos="567"/>
        </w:tabs>
        <w:ind w:left="360" w:right="-2"/>
        <w:jc w:val="both"/>
        <w:rPr>
          <w:sz w:val="22"/>
          <w:szCs w:val="22"/>
        </w:rPr>
      </w:pPr>
      <w:r w:rsidRPr="00295E71">
        <w:rPr>
          <w:sz w:val="22"/>
          <w:szCs w:val="22"/>
        </w:rPr>
        <w:t>L’uveite non infettiva è una malattia infiammatoria che colpisce alcune parti dell’occhio.</w:t>
      </w:r>
    </w:p>
    <w:p w:rsidR="00C26956" w:rsidRPr="00295E71" w:rsidP="00C26956" w14:paraId="7F8A6E64" w14:textId="77777777">
      <w:pPr>
        <w:numPr>
          <w:ilvl w:val="12"/>
          <w:numId w:val="0"/>
        </w:numPr>
        <w:tabs>
          <w:tab w:val="left" w:pos="567"/>
        </w:tabs>
        <w:ind w:left="927" w:right="-2" w:hanging="567"/>
        <w:jc w:val="both"/>
        <w:rPr>
          <w:sz w:val="22"/>
          <w:szCs w:val="22"/>
        </w:rPr>
      </w:pPr>
    </w:p>
    <w:p w:rsidR="00C26956" w:rsidRPr="00295E71" w:rsidP="00C26956" w14:paraId="7CB9F214" w14:textId="77777777">
      <w:pPr>
        <w:numPr>
          <w:ilvl w:val="12"/>
          <w:numId w:val="0"/>
        </w:numPr>
        <w:tabs>
          <w:tab w:val="left" w:pos="567"/>
        </w:tabs>
        <w:ind w:left="360" w:right="-2"/>
        <w:jc w:val="both"/>
        <w:rPr>
          <w:sz w:val="22"/>
          <w:szCs w:val="22"/>
        </w:rPr>
      </w:pPr>
      <w:r w:rsidRPr="00295E71">
        <w:rPr>
          <w:sz w:val="22"/>
          <w:szCs w:val="22"/>
        </w:rPr>
        <w:t>Humira è impiegato per il trattamento di:</w:t>
      </w:r>
    </w:p>
    <w:p w:rsidR="00C26956" w:rsidRPr="00295E71" w:rsidP="00C26956" w14:paraId="0488DDEF" w14:textId="77777777">
      <w:pPr>
        <w:pStyle w:val="ListParagraph"/>
        <w:numPr>
          <w:ilvl w:val="0"/>
          <w:numId w:val="124"/>
        </w:numPr>
        <w:tabs>
          <w:tab w:val="left" w:pos="567"/>
        </w:tabs>
        <w:ind w:left="927" w:right="-2" w:hanging="207"/>
        <w:jc w:val="both"/>
        <w:rPr>
          <w:sz w:val="22"/>
          <w:szCs w:val="22"/>
        </w:rPr>
      </w:pPr>
      <w:r w:rsidRPr="00295E71">
        <w:rPr>
          <w:sz w:val="22"/>
          <w:szCs w:val="22"/>
        </w:rPr>
        <w:t xml:space="preserve">adulti con uveite non infettiva con infiammazione che interessa il fondo dell’occhio </w:t>
      </w:r>
    </w:p>
    <w:p w:rsidR="00C26956" w:rsidRPr="00295E71" w:rsidP="00C26956" w14:paraId="11B6C643" w14:textId="77777777">
      <w:pPr>
        <w:pStyle w:val="ListParagraph"/>
        <w:numPr>
          <w:ilvl w:val="0"/>
          <w:numId w:val="124"/>
        </w:numPr>
        <w:tabs>
          <w:tab w:val="left" w:pos="567"/>
        </w:tabs>
        <w:ind w:left="927" w:right="-2" w:hanging="207"/>
        <w:jc w:val="both"/>
        <w:rPr>
          <w:sz w:val="22"/>
          <w:szCs w:val="22"/>
        </w:rPr>
      </w:pPr>
      <w:r w:rsidRPr="00295E71">
        <w:rPr>
          <w:sz w:val="22"/>
          <w:szCs w:val="22"/>
        </w:rPr>
        <w:t xml:space="preserve">bambini dai 2 anni di età con uveite cronica non infettiva con infiammazione che interessa la parte anteriore dell’occhio </w:t>
      </w:r>
    </w:p>
    <w:p w:rsidR="00C26956" w:rsidRPr="00295E71" w:rsidP="00C26956" w14:paraId="2BE0A0CD" w14:textId="77777777">
      <w:pPr>
        <w:numPr>
          <w:ilvl w:val="12"/>
          <w:numId w:val="0"/>
        </w:numPr>
        <w:tabs>
          <w:tab w:val="left" w:pos="567"/>
        </w:tabs>
        <w:ind w:left="360" w:right="-2"/>
        <w:jc w:val="both"/>
        <w:rPr>
          <w:sz w:val="22"/>
          <w:szCs w:val="22"/>
        </w:rPr>
      </w:pPr>
    </w:p>
    <w:p w:rsidR="00C26956" w:rsidRPr="00295E71" w:rsidP="00C26956" w14:paraId="6385B59B" w14:textId="77777777">
      <w:pPr>
        <w:numPr>
          <w:ilvl w:val="12"/>
          <w:numId w:val="0"/>
        </w:numPr>
        <w:tabs>
          <w:tab w:val="left" w:pos="567"/>
        </w:tabs>
        <w:ind w:left="360" w:right="-2"/>
        <w:jc w:val="both"/>
        <w:rPr>
          <w:sz w:val="22"/>
          <w:szCs w:val="22"/>
        </w:rPr>
      </w:pPr>
      <w:r w:rsidRPr="00295E71">
        <w:rPr>
          <w:sz w:val="22"/>
          <w:szCs w:val="22"/>
        </w:rPr>
        <w:t>Questa infiammazione può portare a una diminuzione della visione e/o alla presenza di corpi mobili nell’occhio (punti neri o linee sottili che si muovono attraverso il campo visivo). Humira agisce riducendo questa infiammazione.</w:t>
      </w:r>
    </w:p>
    <w:p w:rsidR="00C26956" w:rsidRPr="00295E71" w:rsidP="00C26956" w14:paraId="1B94F30C" w14:textId="77777777">
      <w:pPr>
        <w:numPr>
          <w:ilvl w:val="12"/>
          <w:numId w:val="0"/>
        </w:numPr>
        <w:tabs>
          <w:tab w:val="left" w:pos="567"/>
        </w:tabs>
        <w:ind w:left="360" w:right="-2"/>
        <w:jc w:val="both"/>
        <w:rPr>
          <w:sz w:val="22"/>
          <w:szCs w:val="22"/>
        </w:rPr>
      </w:pPr>
    </w:p>
    <w:p w:rsidR="00C26956" w:rsidRPr="00295E71" w:rsidP="00C26956" w14:paraId="3C3CD0E0" w14:textId="77777777">
      <w:pPr>
        <w:numPr>
          <w:ilvl w:val="12"/>
          <w:numId w:val="0"/>
        </w:numPr>
        <w:tabs>
          <w:tab w:val="left" w:pos="567"/>
        </w:tabs>
        <w:ind w:left="360" w:right="-2"/>
        <w:jc w:val="both"/>
        <w:rPr>
          <w:sz w:val="22"/>
          <w:szCs w:val="22"/>
        </w:rPr>
      </w:pPr>
      <w:r w:rsidRPr="00295E71">
        <w:rPr>
          <w:sz w:val="22"/>
          <w:szCs w:val="22"/>
        </w:rPr>
        <w:t>Inizialmente possono essere assunti altri farmaci. Se la risposta a questi farmaci non dovesse essere adeguata, le verrà dato Humira.</w:t>
      </w:r>
    </w:p>
    <w:p w:rsidR="00C26956" w:rsidRPr="00295E71" w:rsidP="00C26956" w14:paraId="04260017" w14:textId="77777777">
      <w:pPr>
        <w:numPr>
          <w:ilvl w:val="12"/>
          <w:numId w:val="0"/>
        </w:numPr>
        <w:tabs>
          <w:tab w:val="left" w:pos="567"/>
        </w:tabs>
        <w:ind w:left="360" w:right="-2"/>
        <w:jc w:val="both"/>
        <w:rPr>
          <w:sz w:val="22"/>
          <w:szCs w:val="22"/>
        </w:rPr>
      </w:pPr>
    </w:p>
    <w:p w:rsidR="00C26956" w:rsidRPr="00295E71" w:rsidP="00C26956" w14:paraId="40DE163F" w14:textId="77777777">
      <w:pPr>
        <w:numPr>
          <w:ilvl w:val="12"/>
          <w:numId w:val="0"/>
        </w:numPr>
        <w:tabs>
          <w:tab w:val="left" w:pos="567"/>
        </w:tabs>
        <w:ind w:left="360" w:right="-2"/>
        <w:jc w:val="both"/>
        <w:rPr>
          <w:sz w:val="22"/>
          <w:szCs w:val="22"/>
        </w:rPr>
      </w:pPr>
    </w:p>
    <w:p w:rsidR="00C26956" w:rsidRPr="00295E71" w:rsidP="00C26956" w14:paraId="230848F4" w14:textId="77777777">
      <w:pPr>
        <w:numPr>
          <w:ilvl w:val="12"/>
          <w:numId w:val="0"/>
        </w:numPr>
        <w:tabs>
          <w:tab w:val="left" w:pos="567"/>
        </w:tabs>
        <w:ind w:left="927" w:right="-2" w:hanging="567"/>
        <w:jc w:val="both"/>
        <w:rPr>
          <w:b/>
          <w:bCs/>
          <w:sz w:val="22"/>
          <w:szCs w:val="22"/>
        </w:rPr>
      </w:pPr>
      <w:r w:rsidRPr="00295E71">
        <w:rPr>
          <w:b/>
          <w:bCs/>
          <w:sz w:val="22"/>
          <w:szCs w:val="22"/>
        </w:rPr>
        <w:t>2.</w:t>
      </w:r>
      <w:r w:rsidRPr="00295E71">
        <w:rPr>
          <w:b/>
          <w:bCs/>
          <w:sz w:val="22"/>
          <w:szCs w:val="22"/>
        </w:rPr>
        <w:tab/>
      </w:r>
      <w:r w:rsidR="00D968EE">
        <w:rPr>
          <w:b/>
          <w:bCs/>
          <w:sz w:val="22"/>
          <w:szCs w:val="22"/>
        </w:rPr>
        <w:tab/>
      </w:r>
      <w:r w:rsidRPr="00295E71">
        <w:rPr>
          <w:b/>
          <w:bCs/>
          <w:sz w:val="22"/>
          <w:szCs w:val="22"/>
        </w:rPr>
        <w:t>Cosa deve sapere prima di usare Humira</w:t>
      </w:r>
    </w:p>
    <w:p w:rsidR="00C26956" w:rsidRPr="00295E71" w:rsidP="00C26956" w14:paraId="0FE378DC" w14:textId="77777777">
      <w:pPr>
        <w:numPr>
          <w:ilvl w:val="12"/>
          <w:numId w:val="0"/>
        </w:numPr>
        <w:tabs>
          <w:tab w:val="left" w:pos="567"/>
        </w:tabs>
        <w:ind w:left="360" w:right="-2"/>
        <w:jc w:val="both"/>
        <w:rPr>
          <w:sz w:val="22"/>
          <w:szCs w:val="22"/>
        </w:rPr>
      </w:pPr>
    </w:p>
    <w:p w:rsidR="00C26956" w:rsidRPr="00295E71" w:rsidP="00C26956" w14:paraId="24A03696" w14:textId="77777777">
      <w:pPr>
        <w:numPr>
          <w:ilvl w:val="12"/>
          <w:numId w:val="0"/>
        </w:numPr>
        <w:tabs>
          <w:tab w:val="left" w:pos="567"/>
        </w:tabs>
        <w:ind w:left="360"/>
        <w:jc w:val="both"/>
        <w:rPr>
          <w:b/>
          <w:bCs/>
          <w:sz w:val="22"/>
          <w:szCs w:val="22"/>
        </w:rPr>
      </w:pPr>
      <w:r w:rsidRPr="00295E71">
        <w:rPr>
          <w:b/>
          <w:bCs/>
          <w:sz w:val="22"/>
          <w:szCs w:val="22"/>
        </w:rPr>
        <w:t>Non usi Humira</w:t>
      </w:r>
    </w:p>
    <w:p w:rsidR="00C26956" w:rsidRPr="00295E71" w:rsidP="00C26956" w14:paraId="315AE7D8" w14:textId="77777777">
      <w:pPr>
        <w:pStyle w:val="EndnoteText"/>
        <w:numPr>
          <w:ilvl w:val="12"/>
          <w:numId w:val="0"/>
        </w:numPr>
        <w:ind w:left="360"/>
        <w:jc w:val="both"/>
        <w:rPr>
          <w:lang w:val="it-IT"/>
        </w:rPr>
      </w:pPr>
    </w:p>
    <w:p w:rsidR="00C26956" w:rsidRPr="00295E71" w:rsidP="00910CE7" w14:paraId="077D0AA9" w14:textId="77777777">
      <w:pPr>
        <w:numPr>
          <w:ilvl w:val="1"/>
          <w:numId w:val="5"/>
        </w:numPr>
        <w:tabs>
          <w:tab w:val="left" w:pos="540"/>
        </w:tabs>
        <w:jc w:val="both"/>
        <w:rPr>
          <w:sz w:val="22"/>
          <w:szCs w:val="22"/>
        </w:rPr>
      </w:pPr>
      <w:r w:rsidRPr="00295E71">
        <w:rPr>
          <w:sz w:val="22"/>
          <w:szCs w:val="22"/>
        </w:rPr>
        <w:t>Se è allergico ad adalimumab o ad uno qualsiasi degli altri componenti di questo medicinale (elencati al paragrafo 6).</w:t>
      </w:r>
    </w:p>
    <w:p w:rsidR="00C26956" w:rsidRPr="00295E71" w:rsidP="00C26956" w14:paraId="630EA9EB" w14:textId="77777777">
      <w:pPr>
        <w:tabs>
          <w:tab w:val="left" w:pos="567"/>
        </w:tabs>
        <w:ind w:left="360"/>
        <w:jc w:val="both"/>
        <w:rPr>
          <w:sz w:val="22"/>
          <w:szCs w:val="22"/>
        </w:rPr>
      </w:pPr>
    </w:p>
    <w:p w:rsidR="00C26956" w:rsidRPr="00295E71" w:rsidP="00910CE7" w14:paraId="449982DF" w14:textId="77777777">
      <w:pPr>
        <w:numPr>
          <w:ilvl w:val="1"/>
          <w:numId w:val="5"/>
        </w:numPr>
        <w:tabs>
          <w:tab w:val="left" w:pos="540"/>
        </w:tabs>
        <w:jc w:val="both"/>
        <w:rPr>
          <w:sz w:val="22"/>
          <w:szCs w:val="22"/>
        </w:rPr>
      </w:pPr>
      <w:r w:rsidRPr="00295E71">
        <w:rPr>
          <w:sz w:val="22"/>
          <w:szCs w:val="22"/>
        </w:rPr>
        <w:t>In presenza di tubercolosi attiva o altre infezioni gravi (vedere “Avvertenze e precauzioni”). È importante comunicare al medico se ha segni o sintomi di infezione, per esempio, febbre, ferite, sensazione di stanchezza, problemi dentali.</w:t>
      </w:r>
    </w:p>
    <w:p w:rsidR="00C26956" w:rsidRPr="00295E71" w:rsidP="00C26956" w14:paraId="503E916F" w14:textId="77777777">
      <w:pPr>
        <w:pStyle w:val="EndnoteText"/>
        <w:ind w:left="360"/>
        <w:jc w:val="both"/>
        <w:rPr>
          <w:lang w:val="it-IT" w:eastAsia="it-IT"/>
        </w:rPr>
      </w:pPr>
    </w:p>
    <w:p w:rsidR="00C26956" w:rsidRPr="00295E71" w:rsidP="00910CE7" w14:paraId="0B5E22CC" w14:textId="77777777">
      <w:pPr>
        <w:numPr>
          <w:ilvl w:val="1"/>
          <w:numId w:val="5"/>
        </w:numPr>
        <w:tabs>
          <w:tab w:val="left" w:pos="540"/>
        </w:tabs>
        <w:jc w:val="both"/>
        <w:rPr>
          <w:sz w:val="22"/>
          <w:szCs w:val="22"/>
        </w:rPr>
      </w:pPr>
      <w:r w:rsidRPr="00295E71">
        <w:rPr>
          <w:sz w:val="22"/>
          <w:szCs w:val="22"/>
        </w:rPr>
        <w:t>In presenza di insufficienza cardiaca moderata o grave. È importante riferire al medico se c’è stata o è presente una condizione cardiaca grave (vedere “Avvertenze e precauzioni”).</w:t>
      </w:r>
    </w:p>
    <w:p w:rsidR="00C26956" w:rsidRPr="00295E71" w:rsidP="00C26956" w14:paraId="3569ACEC" w14:textId="77777777">
      <w:pPr>
        <w:tabs>
          <w:tab w:val="left" w:pos="567"/>
        </w:tabs>
        <w:ind w:left="360"/>
        <w:jc w:val="both"/>
        <w:rPr>
          <w:sz w:val="22"/>
          <w:szCs w:val="22"/>
        </w:rPr>
      </w:pPr>
    </w:p>
    <w:p w:rsidR="00C26956" w:rsidRPr="00295E71" w:rsidP="00C26956" w14:paraId="321BB825" w14:textId="77777777">
      <w:pPr>
        <w:tabs>
          <w:tab w:val="left" w:pos="567"/>
        </w:tabs>
        <w:ind w:left="360"/>
        <w:jc w:val="both"/>
        <w:rPr>
          <w:b/>
          <w:bCs/>
          <w:sz w:val="22"/>
          <w:szCs w:val="22"/>
        </w:rPr>
      </w:pPr>
      <w:r w:rsidRPr="00295E71">
        <w:rPr>
          <w:b/>
          <w:bCs/>
          <w:sz w:val="22"/>
          <w:szCs w:val="22"/>
        </w:rPr>
        <w:t>Avvertenze e precauzioni</w:t>
      </w:r>
    </w:p>
    <w:p w:rsidR="00C26956" w:rsidRPr="00295E71" w:rsidP="00C26956" w14:paraId="6C74382F" w14:textId="77777777">
      <w:pPr>
        <w:tabs>
          <w:tab w:val="left" w:pos="567"/>
        </w:tabs>
        <w:ind w:left="360"/>
        <w:jc w:val="both"/>
        <w:rPr>
          <w:bCs/>
          <w:sz w:val="22"/>
          <w:szCs w:val="22"/>
        </w:rPr>
      </w:pPr>
    </w:p>
    <w:p w:rsidR="00C26956" w:rsidRPr="00295E71" w:rsidP="00C26956" w14:paraId="419C4D9F" w14:textId="77777777">
      <w:pPr>
        <w:tabs>
          <w:tab w:val="left" w:pos="540"/>
        </w:tabs>
        <w:ind w:left="360"/>
        <w:jc w:val="both"/>
        <w:rPr>
          <w:sz w:val="22"/>
          <w:szCs w:val="22"/>
        </w:rPr>
      </w:pPr>
      <w:r w:rsidRPr="00295E71">
        <w:rPr>
          <w:sz w:val="22"/>
          <w:szCs w:val="22"/>
        </w:rPr>
        <w:t>Si rivolga al medico o al farmacista prima di usare Humira.</w:t>
      </w:r>
    </w:p>
    <w:p w:rsidR="00C26956" w:rsidRPr="00295E71" w:rsidP="00C26956" w14:paraId="245AB1FE" w14:textId="77777777">
      <w:pPr>
        <w:tabs>
          <w:tab w:val="left" w:pos="540"/>
        </w:tabs>
        <w:ind w:left="360"/>
        <w:jc w:val="both"/>
        <w:rPr>
          <w:sz w:val="22"/>
          <w:szCs w:val="22"/>
        </w:rPr>
      </w:pPr>
    </w:p>
    <w:p w:rsidR="00C26956" w:rsidRPr="00295E71" w:rsidP="00C26956" w14:paraId="466B1FF6" w14:textId="77777777">
      <w:pPr>
        <w:tabs>
          <w:tab w:val="left" w:pos="540"/>
        </w:tabs>
        <w:ind w:left="360"/>
        <w:rPr>
          <w:sz w:val="22"/>
          <w:szCs w:val="22"/>
          <w:u w:val="single"/>
        </w:rPr>
      </w:pPr>
      <w:r w:rsidRPr="00295E71">
        <w:rPr>
          <w:sz w:val="22"/>
          <w:szCs w:val="22"/>
          <w:u w:val="single"/>
        </w:rPr>
        <w:t>Reazioni allergiche</w:t>
      </w:r>
    </w:p>
    <w:p w:rsidR="00C26956" w:rsidRPr="00295E71" w:rsidP="00C26956" w14:paraId="16B5ED2C" w14:textId="77777777">
      <w:pPr>
        <w:tabs>
          <w:tab w:val="left" w:pos="540"/>
        </w:tabs>
        <w:ind w:left="360"/>
        <w:jc w:val="both"/>
        <w:rPr>
          <w:sz w:val="22"/>
          <w:szCs w:val="22"/>
        </w:rPr>
      </w:pPr>
    </w:p>
    <w:p w:rsidR="00C26956" w:rsidRPr="00295E71" w:rsidP="00C26956" w14:paraId="5C586B6D" w14:textId="77777777">
      <w:pPr>
        <w:numPr>
          <w:ilvl w:val="0"/>
          <w:numId w:val="5"/>
        </w:numPr>
        <w:tabs>
          <w:tab w:val="clear" w:pos="360"/>
          <w:tab w:val="left" w:pos="540"/>
        </w:tabs>
        <w:ind w:left="900" w:hanging="540"/>
        <w:jc w:val="both"/>
        <w:rPr>
          <w:sz w:val="22"/>
          <w:szCs w:val="22"/>
        </w:rPr>
      </w:pPr>
      <w:r w:rsidRPr="00295E71">
        <w:rPr>
          <w:sz w:val="22"/>
          <w:szCs w:val="22"/>
        </w:rPr>
        <w:t>In caso di reazioni allergiche con sintomi quali senso d’oppressione toracica, respiro sibilante, capogiro, gonfiore o eruzione cutanea, non assuma più Humira e contatti il medico immediatamente considerato che, in rari casi, queste reazioni possono essere pericolose per la vita.</w:t>
      </w:r>
    </w:p>
    <w:p w:rsidR="00C26956" w:rsidRPr="00295E71" w:rsidP="00C26956" w14:paraId="471E2883" w14:textId="77777777">
      <w:pPr>
        <w:tabs>
          <w:tab w:val="left" w:pos="540"/>
        </w:tabs>
        <w:ind w:left="900"/>
        <w:jc w:val="both"/>
        <w:rPr>
          <w:sz w:val="22"/>
          <w:szCs w:val="22"/>
        </w:rPr>
      </w:pPr>
    </w:p>
    <w:p w:rsidR="00C26956" w:rsidRPr="00295E71" w:rsidP="00C26956" w14:paraId="6B05035A" w14:textId="77777777">
      <w:pPr>
        <w:tabs>
          <w:tab w:val="left" w:pos="540"/>
        </w:tabs>
        <w:ind w:left="360"/>
        <w:jc w:val="both"/>
        <w:rPr>
          <w:sz w:val="22"/>
          <w:szCs w:val="22"/>
        </w:rPr>
      </w:pPr>
      <w:r w:rsidRPr="00295E71">
        <w:rPr>
          <w:sz w:val="22"/>
          <w:szCs w:val="22"/>
          <w:u w:val="single"/>
        </w:rPr>
        <w:t>Infezioni</w:t>
      </w:r>
    </w:p>
    <w:p w:rsidR="00C26956" w:rsidRPr="00295E71" w:rsidP="00C26956" w14:paraId="3A5E84C3" w14:textId="77777777">
      <w:pPr>
        <w:pStyle w:val="EndnoteText"/>
        <w:tabs>
          <w:tab w:val="num" w:pos="930"/>
        </w:tabs>
        <w:ind w:left="360"/>
        <w:jc w:val="both"/>
        <w:rPr>
          <w:lang w:val="it-IT" w:eastAsia="it-IT"/>
        </w:rPr>
      </w:pPr>
    </w:p>
    <w:p w:rsidR="00C26956" w:rsidRPr="00295E71" w:rsidP="00C26956" w14:paraId="57180A6D" w14:textId="77777777">
      <w:pPr>
        <w:numPr>
          <w:ilvl w:val="0"/>
          <w:numId w:val="5"/>
        </w:numPr>
        <w:tabs>
          <w:tab w:val="clear" w:pos="360"/>
          <w:tab w:val="left" w:pos="540"/>
        </w:tabs>
        <w:ind w:left="900" w:hanging="540"/>
        <w:jc w:val="both"/>
        <w:rPr>
          <w:sz w:val="22"/>
          <w:szCs w:val="22"/>
        </w:rPr>
      </w:pPr>
      <w:r w:rsidRPr="00295E71">
        <w:rPr>
          <w:sz w:val="22"/>
          <w:szCs w:val="22"/>
        </w:rPr>
        <w:t>In caso d’infezione, comprese infezioni a lungo termine o infezioni localizzate in una parte del corpo (per esempio, ulcere alle gambe) consulti il medico prima di iniziare il trattamento con Humira. Se ha dubbi, contatti il medico.</w:t>
      </w:r>
    </w:p>
    <w:p w:rsidR="00C26956" w:rsidRPr="00295E71" w:rsidP="00C26956" w14:paraId="5054CC6A" w14:textId="77777777">
      <w:pPr>
        <w:pStyle w:val="EndnoteText"/>
        <w:ind w:left="360"/>
        <w:jc w:val="both"/>
        <w:rPr>
          <w:lang w:val="it-IT" w:eastAsia="it-IT"/>
        </w:rPr>
      </w:pPr>
    </w:p>
    <w:p w:rsidR="00C26956" w:rsidRPr="00295E71" w:rsidP="00C26956" w14:paraId="6032F006" w14:textId="77777777">
      <w:pPr>
        <w:numPr>
          <w:ilvl w:val="0"/>
          <w:numId w:val="5"/>
        </w:numPr>
        <w:tabs>
          <w:tab w:val="clear" w:pos="360"/>
          <w:tab w:val="left" w:pos="540"/>
        </w:tabs>
        <w:ind w:left="900" w:hanging="540"/>
        <w:jc w:val="both"/>
        <w:rPr>
          <w:sz w:val="22"/>
          <w:szCs w:val="22"/>
        </w:rPr>
      </w:pPr>
      <w:r w:rsidRPr="00295E71">
        <w:rPr>
          <w:sz w:val="22"/>
          <w:szCs w:val="22"/>
        </w:rPr>
        <w:t>È possibile contrarre più facilmente infezioni durante il trattamento con Humira. Questo rischio può aumentare se ha problemi ai polmoni. Queste infezioni possono essere gravi ed includere:</w:t>
      </w:r>
    </w:p>
    <w:p w:rsidR="00C26956" w:rsidRPr="00295E71" w:rsidP="00C26956" w14:paraId="1D2EF724" w14:textId="77777777">
      <w:pPr>
        <w:tabs>
          <w:tab w:val="left" w:pos="540"/>
        </w:tabs>
        <w:ind w:left="900"/>
        <w:jc w:val="both"/>
        <w:rPr>
          <w:sz w:val="22"/>
          <w:szCs w:val="22"/>
        </w:rPr>
      </w:pPr>
      <w:r w:rsidRPr="00295E71">
        <w:rPr>
          <w:sz w:val="22"/>
          <w:szCs w:val="22"/>
        </w:rPr>
        <w:t xml:space="preserve"> </w:t>
      </w:r>
    </w:p>
    <w:p w:rsidR="00C26956" w:rsidRPr="00295E71" w:rsidP="00C26956" w14:paraId="2DCBD534" w14:textId="77777777">
      <w:pPr>
        <w:pStyle w:val="ListParagraph"/>
        <w:numPr>
          <w:ilvl w:val="0"/>
          <w:numId w:val="5"/>
        </w:numPr>
        <w:tabs>
          <w:tab w:val="clear" w:pos="360"/>
          <w:tab w:val="left" w:pos="540"/>
          <w:tab w:val="num" w:pos="2340"/>
        </w:tabs>
        <w:ind w:left="1260"/>
        <w:jc w:val="both"/>
        <w:rPr>
          <w:sz w:val="22"/>
          <w:szCs w:val="22"/>
        </w:rPr>
      </w:pPr>
      <w:r w:rsidRPr="00295E71">
        <w:rPr>
          <w:sz w:val="22"/>
          <w:szCs w:val="22"/>
        </w:rPr>
        <w:t>tubercolosi</w:t>
      </w:r>
    </w:p>
    <w:p w:rsidR="00C26956" w:rsidRPr="00295E71" w:rsidP="00C26956" w14:paraId="7FBEFD69" w14:textId="77777777">
      <w:pPr>
        <w:pStyle w:val="ListParagraph"/>
        <w:numPr>
          <w:ilvl w:val="0"/>
          <w:numId w:val="5"/>
        </w:numPr>
        <w:tabs>
          <w:tab w:val="clear" w:pos="360"/>
          <w:tab w:val="left" w:pos="540"/>
          <w:tab w:val="num" w:pos="1620"/>
        </w:tabs>
        <w:ind w:left="1260"/>
        <w:jc w:val="both"/>
        <w:rPr>
          <w:sz w:val="22"/>
          <w:szCs w:val="22"/>
        </w:rPr>
      </w:pPr>
      <w:r w:rsidRPr="00295E71">
        <w:rPr>
          <w:sz w:val="22"/>
          <w:szCs w:val="22"/>
        </w:rPr>
        <w:t>infezioni causate da virus, funghi, parassiti o batteri</w:t>
      </w:r>
    </w:p>
    <w:p w:rsidR="00C26956" w:rsidRPr="00295E71" w:rsidP="00C26956" w14:paraId="5D0C96F6" w14:textId="77777777">
      <w:pPr>
        <w:pStyle w:val="ListParagraph"/>
        <w:tabs>
          <w:tab w:val="left" w:pos="540"/>
        </w:tabs>
        <w:ind w:left="1969"/>
        <w:jc w:val="both"/>
        <w:rPr>
          <w:sz w:val="22"/>
          <w:szCs w:val="22"/>
        </w:rPr>
      </w:pPr>
    </w:p>
    <w:p w:rsidR="00C26956" w:rsidRPr="00295E71" w:rsidP="00C26956" w14:paraId="470831E9" w14:textId="77777777">
      <w:pPr>
        <w:pStyle w:val="ListParagraph"/>
        <w:numPr>
          <w:ilvl w:val="0"/>
          <w:numId w:val="5"/>
        </w:numPr>
        <w:tabs>
          <w:tab w:val="clear" w:pos="360"/>
          <w:tab w:val="left" w:pos="540"/>
          <w:tab w:val="num" w:pos="1260"/>
        </w:tabs>
        <w:ind w:left="1260"/>
        <w:jc w:val="both"/>
        <w:rPr>
          <w:sz w:val="22"/>
          <w:szCs w:val="22"/>
        </w:rPr>
      </w:pPr>
      <w:r w:rsidRPr="00295E71">
        <w:rPr>
          <w:sz w:val="22"/>
          <w:szCs w:val="22"/>
        </w:rPr>
        <w:t>gravi infezioni del sangue(sepsi)</w:t>
      </w:r>
    </w:p>
    <w:p w:rsidR="00C26956" w:rsidRPr="00295E71" w:rsidP="00C26956" w14:paraId="206F899E" w14:textId="77777777">
      <w:pPr>
        <w:tabs>
          <w:tab w:val="left" w:pos="540"/>
        </w:tabs>
        <w:ind w:left="540"/>
        <w:jc w:val="both"/>
        <w:rPr>
          <w:sz w:val="22"/>
          <w:szCs w:val="22"/>
        </w:rPr>
      </w:pPr>
    </w:p>
    <w:p w:rsidR="00C26956" w:rsidRPr="00295E71" w:rsidP="00C26956" w14:paraId="71FF414C" w14:textId="77777777">
      <w:pPr>
        <w:tabs>
          <w:tab w:val="left" w:pos="540"/>
        </w:tabs>
        <w:ind w:left="567"/>
        <w:jc w:val="both"/>
        <w:rPr>
          <w:sz w:val="22"/>
          <w:szCs w:val="22"/>
        </w:rPr>
      </w:pPr>
      <w:r w:rsidRPr="00295E71">
        <w:rPr>
          <w:sz w:val="22"/>
          <w:szCs w:val="22"/>
        </w:rPr>
        <w:t>In rari casi, queste infezioni possono essere rischiose per la vita del paziente. È importante comunicare al medico la presenza di sintomi quali febbre, ferite, sensazione di stanchezza o problemi dentali. Il medico potrebbe dirle di interrompere Humira per un periodo di tempo.</w:t>
      </w:r>
    </w:p>
    <w:p w:rsidR="00C26956" w:rsidRPr="00295E71" w:rsidP="00C26956" w14:paraId="6878E4B6" w14:textId="77777777">
      <w:pPr>
        <w:tabs>
          <w:tab w:val="left" w:pos="540"/>
        </w:tabs>
        <w:ind w:left="540"/>
        <w:jc w:val="both"/>
      </w:pPr>
    </w:p>
    <w:p w:rsidR="00C26956" w:rsidRPr="00295E71" w:rsidP="00C26956" w14:paraId="00EB0DBC" w14:textId="77777777">
      <w:pPr>
        <w:pStyle w:val="ListParagraph"/>
        <w:numPr>
          <w:ilvl w:val="0"/>
          <w:numId w:val="5"/>
        </w:numPr>
        <w:tabs>
          <w:tab w:val="clear" w:pos="360"/>
          <w:tab w:val="num" w:pos="567"/>
        </w:tabs>
        <w:ind w:left="567" w:hanging="567"/>
        <w:rPr>
          <w:sz w:val="22"/>
          <w:szCs w:val="22"/>
        </w:rPr>
      </w:pPr>
      <w:r w:rsidRPr="00295E71">
        <w:rPr>
          <w:sz w:val="22"/>
          <w:szCs w:val="22"/>
        </w:rPr>
        <w:t>Informi il medico se vive o viaggia in regioni dove le infezioni fungine sono molto comuni (ad esempio istoplasmosi, coccidioidomicosi o blastomicosi).</w:t>
      </w:r>
    </w:p>
    <w:p w:rsidR="00C26956" w:rsidRPr="00295E71" w:rsidP="00C26956" w14:paraId="547AA330" w14:textId="77777777">
      <w:pPr>
        <w:pStyle w:val="ListParagraph"/>
        <w:tabs>
          <w:tab w:val="num" w:pos="567"/>
        </w:tabs>
        <w:ind w:left="360"/>
        <w:rPr>
          <w:sz w:val="22"/>
          <w:szCs w:val="22"/>
        </w:rPr>
      </w:pPr>
    </w:p>
    <w:p w:rsidR="00C26956" w:rsidRPr="00295E71" w:rsidP="00C26956" w14:paraId="7FD3439F" w14:textId="77777777">
      <w:pPr>
        <w:pStyle w:val="ListParagraph"/>
        <w:numPr>
          <w:ilvl w:val="0"/>
          <w:numId w:val="5"/>
        </w:numPr>
        <w:tabs>
          <w:tab w:val="clear" w:pos="360"/>
          <w:tab w:val="num" w:pos="567"/>
        </w:tabs>
        <w:ind w:left="567" w:hanging="567"/>
        <w:rPr>
          <w:sz w:val="22"/>
          <w:szCs w:val="22"/>
        </w:rPr>
      </w:pPr>
      <w:r w:rsidRPr="00295E71">
        <w:rPr>
          <w:sz w:val="22"/>
          <w:szCs w:val="22"/>
        </w:rPr>
        <w:t>Informi il medico se ha avuto infezioni che continuano a ripresentarsi o se ha altre patologie che aumentano il rischio di infezione.</w:t>
      </w:r>
    </w:p>
    <w:p w:rsidR="00C26956" w:rsidRPr="00295E71" w:rsidP="00C26956" w14:paraId="66D63899" w14:textId="77777777">
      <w:pPr>
        <w:pStyle w:val="ListParagraph"/>
        <w:tabs>
          <w:tab w:val="num" w:pos="567"/>
        </w:tabs>
        <w:rPr>
          <w:sz w:val="22"/>
          <w:szCs w:val="22"/>
        </w:rPr>
      </w:pPr>
    </w:p>
    <w:p w:rsidR="00C26956" w:rsidRPr="00295E71" w:rsidP="00F57FE5" w14:paraId="43463FF1" w14:textId="77777777">
      <w:pPr>
        <w:pStyle w:val="ListParagraph"/>
        <w:keepNext/>
        <w:keepLines/>
        <w:numPr>
          <w:ilvl w:val="0"/>
          <w:numId w:val="5"/>
        </w:numPr>
        <w:tabs>
          <w:tab w:val="clear" w:pos="360"/>
          <w:tab w:val="num" w:pos="567"/>
        </w:tabs>
        <w:ind w:left="567" w:hanging="567"/>
        <w:rPr>
          <w:sz w:val="22"/>
          <w:szCs w:val="22"/>
        </w:rPr>
      </w:pPr>
      <w:r w:rsidRPr="00295E71">
        <w:rPr>
          <w:sz w:val="22"/>
          <w:szCs w:val="22"/>
        </w:rPr>
        <w:t>Se ha più di 65 anni, potrebbe contrarre infezioni più facilmente mentre assume Humira. Lei e il medico dovete prestare particolare attenzione ai segni di infezione durante il trattamento con Humira. È importante comunicare al medico se manifesta sintomi di infezioni quali febbre, ferite, sensazione di stanchezza o problemi dentali.</w:t>
      </w:r>
    </w:p>
    <w:p w:rsidR="00C26956" w:rsidRPr="00295E71" w:rsidP="00C26956" w14:paraId="790FCBC7" w14:textId="77777777">
      <w:pPr>
        <w:tabs>
          <w:tab w:val="left" w:pos="540"/>
        </w:tabs>
        <w:ind w:left="540"/>
        <w:jc w:val="both"/>
      </w:pPr>
    </w:p>
    <w:p w:rsidR="00C26956" w:rsidRPr="00295E71" w:rsidP="00C26956" w14:paraId="6E097937" w14:textId="77777777">
      <w:pPr>
        <w:pStyle w:val="ListParagraph"/>
        <w:keepNext/>
        <w:ind w:left="0"/>
        <w:rPr>
          <w:sz w:val="22"/>
          <w:szCs w:val="22"/>
          <w:u w:val="single"/>
        </w:rPr>
      </w:pPr>
      <w:r w:rsidRPr="00295E71">
        <w:rPr>
          <w:sz w:val="22"/>
          <w:szCs w:val="22"/>
          <w:u w:val="single"/>
        </w:rPr>
        <w:t>Tubercolosi</w:t>
      </w:r>
    </w:p>
    <w:p w:rsidR="00C26956" w:rsidRPr="00295E71" w:rsidP="00C26956" w14:paraId="7C7C30C8" w14:textId="77777777">
      <w:pPr>
        <w:pStyle w:val="ListParagraph"/>
        <w:keepNext/>
        <w:ind w:left="360"/>
        <w:rPr>
          <w:sz w:val="22"/>
          <w:szCs w:val="22"/>
        </w:rPr>
      </w:pPr>
      <w:r w:rsidRPr="00295E71">
        <w:rPr>
          <w:sz w:val="22"/>
          <w:szCs w:val="22"/>
        </w:rPr>
        <w:tab/>
      </w:r>
    </w:p>
    <w:p w:rsidR="00C26956" w:rsidRPr="00295E71" w:rsidP="00C26956" w14:paraId="436867F6" w14:textId="77777777">
      <w:pPr>
        <w:pStyle w:val="ListParagraph"/>
        <w:keepNext/>
        <w:numPr>
          <w:ilvl w:val="0"/>
          <w:numId w:val="5"/>
        </w:numPr>
        <w:tabs>
          <w:tab w:val="clear" w:pos="360"/>
        </w:tabs>
        <w:ind w:left="567" w:hanging="567"/>
        <w:rPr>
          <w:sz w:val="22"/>
          <w:szCs w:val="22"/>
        </w:rPr>
      </w:pPr>
      <w:r w:rsidRPr="00295E71">
        <w:rPr>
          <w:sz w:val="22"/>
          <w:szCs w:val="22"/>
        </w:rPr>
        <w:t>È molto importante comunicare al medico se ha mai avuto la tubercolosi, o se è stato a contatto con qualcuno che ha avuto la tubercolosi. Non deve assumere Humira se è affetto da tubercolosi attiva.</w:t>
      </w:r>
    </w:p>
    <w:p w:rsidR="00C26956" w:rsidRPr="00295E71" w:rsidP="00C26956" w14:paraId="17691339" w14:textId="77777777">
      <w:pPr>
        <w:tabs>
          <w:tab w:val="left" w:pos="540"/>
        </w:tabs>
        <w:ind w:left="540"/>
        <w:jc w:val="both"/>
      </w:pPr>
    </w:p>
    <w:p w:rsidR="00C26956" w:rsidRPr="00295E71" w:rsidP="00DA64C8" w14:paraId="351336CB" w14:textId="77777777">
      <w:pPr>
        <w:numPr>
          <w:ilvl w:val="0"/>
          <w:numId w:val="5"/>
        </w:numPr>
        <w:tabs>
          <w:tab w:val="clear" w:pos="360"/>
          <w:tab w:val="left" w:pos="1418"/>
        </w:tabs>
        <w:ind w:left="1418" w:hanging="567"/>
        <w:jc w:val="both"/>
        <w:rPr>
          <w:sz w:val="22"/>
          <w:szCs w:val="22"/>
        </w:rPr>
      </w:pPr>
      <w:r w:rsidRPr="00295E71">
        <w:rPr>
          <w:sz w:val="22"/>
          <w:szCs w:val="22"/>
        </w:rPr>
        <w:t>Poiché si sono verificati dei casi di tubercolosi in pazienti sottoposti a trattamento con Humira, il medico dovrà controllare se presenta segni o sintomi tipici della tubercolosi prima di iniziare la terapia con Humira. Questo comporterà la raccolta di una valutazione medica dettagliata che includa la sua anamnesi e appropriati esami clinici (per es. una radiografia del torace e il test alla tubercolina). L’esecuzione e i risultati di tali esami devono essere registrati nella</w:t>
      </w:r>
      <w:r w:rsidR="00E15A82">
        <w:rPr>
          <w:b/>
          <w:sz w:val="22"/>
          <w:szCs w:val="22"/>
        </w:rPr>
        <w:t xml:space="preserve"> </w:t>
      </w:r>
      <w:r w:rsidRPr="000D0B9B" w:rsidR="00E15A82">
        <w:rPr>
          <w:b/>
          <w:sz w:val="22"/>
          <w:szCs w:val="22"/>
        </w:rPr>
        <w:t>Scheda Promemoria per il Paziente</w:t>
      </w:r>
      <w:r w:rsidRPr="00295E71">
        <w:rPr>
          <w:sz w:val="22"/>
          <w:szCs w:val="22"/>
        </w:rPr>
        <w:t xml:space="preserve">. </w:t>
      </w:r>
    </w:p>
    <w:p w:rsidR="00C26956" w:rsidRPr="00295E71" w:rsidP="00DA64C8" w14:paraId="3D29CF5B" w14:textId="77777777">
      <w:pPr>
        <w:numPr>
          <w:ilvl w:val="0"/>
          <w:numId w:val="5"/>
        </w:numPr>
        <w:tabs>
          <w:tab w:val="clear" w:pos="360"/>
          <w:tab w:val="left" w:pos="1418"/>
        </w:tabs>
        <w:ind w:left="1418" w:hanging="567"/>
        <w:jc w:val="both"/>
        <w:rPr>
          <w:sz w:val="22"/>
          <w:szCs w:val="22"/>
        </w:rPr>
      </w:pPr>
      <w:r w:rsidRPr="00295E71">
        <w:rPr>
          <w:sz w:val="22"/>
          <w:szCs w:val="22"/>
        </w:rPr>
        <w:t xml:space="preserve">La tubercolosi si può manifestare durante la terapia nonostante lei abbia ricevuto un trattamento per la prevenzione della tubercolosi. </w:t>
      </w:r>
    </w:p>
    <w:p w:rsidR="00C26956" w:rsidRPr="00295E71" w:rsidP="00DA64C8" w14:paraId="0804A616" w14:textId="77777777">
      <w:pPr>
        <w:pStyle w:val="ListParagraph"/>
        <w:numPr>
          <w:ilvl w:val="0"/>
          <w:numId w:val="5"/>
        </w:numPr>
        <w:tabs>
          <w:tab w:val="clear" w:pos="360"/>
          <w:tab w:val="left" w:pos="1418"/>
        </w:tabs>
        <w:ind w:left="1418" w:hanging="567"/>
        <w:rPr>
          <w:sz w:val="22"/>
          <w:szCs w:val="22"/>
        </w:rPr>
      </w:pPr>
      <w:r w:rsidRPr="00295E71">
        <w:rPr>
          <w:sz w:val="22"/>
          <w:szCs w:val="22"/>
        </w:rPr>
        <w:t>Contatti immediatamente il medico se durante o dopo la terapia compaiono sintomi di tubercolosi (ad esempio tosse che non scompare, perdita di peso, mancanza di energia, febbre leggera) o di altre infezioni.</w:t>
      </w:r>
    </w:p>
    <w:p w:rsidR="00C26956" w:rsidRPr="00295E71" w:rsidP="00C26956" w14:paraId="35644D2B" w14:textId="77777777">
      <w:pPr>
        <w:rPr>
          <w:sz w:val="22"/>
          <w:szCs w:val="22"/>
        </w:rPr>
      </w:pPr>
    </w:p>
    <w:p w:rsidR="00C26956" w:rsidRPr="00295E71" w:rsidP="00C26956" w14:paraId="63F146C8" w14:textId="77777777">
      <w:pPr>
        <w:rPr>
          <w:sz w:val="22"/>
          <w:szCs w:val="22"/>
          <w:u w:val="single"/>
        </w:rPr>
      </w:pPr>
      <w:r w:rsidRPr="00295E71">
        <w:rPr>
          <w:sz w:val="22"/>
          <w:szCs w:val="22"/>
          <w:u w:val="single"/>
        </w:rPr>
        <w:t>Epatite B</w:t>
      </w:r>
    </w:p>
    <w:p w:rsidR="00C26956" w:rsidRPr="00295E71" w:rsidP="00C26956" w14:paraId="3A355088" w14:textId="77777777">
      <w:pPr>
        <w:rPr>
          <w:sz w:val="22"/>
          <w:szCs w:val="22"/>
        </w:rPr>
      </w:pPr>
    </w:p>
    <w:p w:rsidR="00C26956" w:rsidRPr="00295E71" w:rsidP="00C26956" w14:paraId="2A5F3E22" w14:textId="77777777">
      <w:pPr>
        <w:numPr>
          <w:ilvl w:val="0"/>
          <w:numId w:val="5"/>
        </w:numPr>
        <w:tabs>
          <w:tab w:val="clear" w:pos="360"/>
          <w:tab w:val="left" w:pos="540"/>
        </w:tabs>
        <w:ind w:left="540" w:hanging="540"/>
        <w:jc w:val="both"/>
        <w:rPr>
          <w:sz w:val="22"/>
          <w:szCs w:val="22"/>
        </w:rPr>
      </w:pPr>
      <w:r w:rsidRPr="00295E71">
        <w:rPr>
          <w:sz w:val="22"/>
          <w:szCs w:val="22"/>
        </w:rPr>
        <w:t xml:space="preserve">Comunichi al medico se lei è portatore del virus dell’epatite B (HBV), se ha un’infezione in fase attiva da virus dell’epatite B o se pensa di poter essere a rischio di contrarre il virus dell’epatite B. </w:t>
      </w:r>
    </w:p>
    <w:p w:rsidR="00C26956" w:rsidRPr="00295E71" w:rsidP="00C26956" w14:paraId="22DF7831" w14:textId="77777777">
      <w:pPr>
        <w:pStyle w:val="ListParagraph"/>
        <w:numPr>
          <w:ilvl w:val="1"/>
          <w:numId w:val="5"/>
        </w:numPr>
        <w:rPr>
          <w:sz w:val="22"/>
          <w:szCs w:val="22"/>
        </w:rPr>
      </w:pPr>
      <w:r w:rsidRPr="00295E71">
        <w:rPr>
          <w:sz w:val="22"/>
          <w:szCs w:val="22"/>
        </w:rPr>
        <w:t xml:space="preserve">Il medico la deve testare per l’infezione da virus dell’epatite B. Nei portatori di HBV, l’assunzione di Humira può indurre il virus ad attivarsi nuovamente. </w:t>
      </w:r>
    </w:p>
    <w:p w:rsidR="00C26956" w:rsidRPr="00295E71" w:rsidP="00C26956" w14:paraId="7212C178" w14:textId="77777777">
      <w:pPr>
        <w:pStyle w:val="ListParagraph"/>
        <w:numPr>
          <w:ilvl w:val="1"/>
          <w:numId w:val="5"/>
        </w:numPr>
        <w:rPr>
          <w:sz w:val="22"/>
          <w:szCs w:val="22"/>
        </w:rPr>
      </w:pPr>
      <w:r w:rsidRPr="00295E71">
        <w:rPr>
          <w:sz w:val="22"/>
          <w:szCs w:val="22"/>
        </w:rPr>
        <w:t>In alcuni rari casi, soprattutto se il paziente è sottoposto a terapia con altri farmaci che sopprimono il sistema immunitario, la riattivazione del virus dell’epatite B può mettere a repentaglio la vita del paziente.</w:t>
      </w:r>
    </w:p>
    <w:p w:rsidR="00C26956" w:rsidRPr="00295E71" w:rsidP="00C26956" w14:paraId="54951858" w14:textId="77777777">
      <w:pPr>
        <w:tabs>
          <w:tab w:val="left" w:pos="540"/>
        </w:tabs>
        <w:jc w:val="both"/>
        <w:rPr>
          <w:sz w:val="22"/>
          <w:szCs w:val="22"/>
        </w:rPr>
      </w:pPr>
    </w:p>
    <w:p w:rsidR="00514E08" w:rsidRPr="0020624D" w:rsidP="0020624D" w14:paraId="76D3DCA1" w14:textId="77777777">
      <w:pPr>
        <w:tabs>
          <w:tab w:val="left" w:pos="540"/>
        </w:tabs>
        <w:rPr>
          <w:sz w:val="22"/>
          <w:szCs w:val="22"/>
          <w:u w:val="single"/>
        </w:rPr>
      </w:pPr>
      <w:r w:rsidRPr="0020624D">
        <w:rPr>
          <w:sz w:val="22"/>
          <w:szCs w:val="22"/>
          <w:u w:val="single"/>
        </w:rPr>
        <w:t>Interventi chirurgici o procedure dentistiche</w:t>
      </w:r>
    </w:p>
    <w:p w:rsidR="00C26956" w:rsidRPr="00295E71" w:rsidP="00C26956" w14:paraId="38C40593" w14:textId="77777777">
      <w:pPr>
        <w:tabs>
          <w:tab w:val="left" w:pos="567"/>
        </w:tabs>
        <w:jc w:val="both"/>
        <w:rPr>
          <w:sz w:val="22"/>
          <w:szCs w:val="22"/>
        </w:rPr>
      </w:pPr>
    </w:p>
    <w:p w:rsidR="00C26956" w:rsidRPr="00295E71" w:rsidP="00C26956" w14:paraId="5316A042" w14:textId="77777777">
      <w:pPr>
        <w:numPr>
          <w:ilvl w:val="0"/>
          <w:numId w:val="5"/>
        </w:numPr>
        <w:tabs>
          <w:tab w:val="clear" w:pos="360"/>
          <w:tab w:val="left" w:pos="540"/>
        </w:tabs>
        <w:ind w:left="540" w:hanging="540"/>
        <w:jc w:val="both"/>
        <w:rPr>
          <w:sz w:val="22"/>
          <w:szCs w:val="22"/>
        </w:rPr>
      </w:pPr>
      <w:r w:rsidRPr="00295E71">
        <w:rPr>
          <w:sz w:val="22"/>
          <w:szCs w:val="22"/>
        </w:rPr>
        <w:t>Prima di un intervento chirurgico o procedure dentistiche, informi il medico che sta prendendo Humira. Il medico potrebbe consigliare la sospensione temporanea di Humira.</w:t>
      </w:r>
    </w:p>
    <w:p w:rsidR="00C26956" w:rsidRPr="00295E71" w:rsidP="00C26956" w14:paraId="260EE53C" w14:textId="77777777">
      <w:pPr>
        <w:tabs>
          <w:tab w:val="left" w:pos="540"/>
        </w:tabs>
        <w:jc w:val="both"/>
        <w:rPr>
          <w:sz w:val="22"/>
          <w:szCs w:val="22"/>
        </w:rPr>
      </w:pPr>
    </w:p>
    <w:p w:rsidR="00C26956" w:rsidRPr="00295E71" w:rsidP="00C26956" w14:paraId="247CFFCC" w14:textId="77777777">
      <w:pPr>
        <w:tabs>
          <w:tab w:val="left" w:pos="540"/>
        </w:tabs>
        <w:jc w:val="both"/>
        <w:rPr>
          <w:sz w:val="22"/>
          <w:szCs w:val="22"/>
        </w:rPr>
      </w:pPr>
      <w:r w:rsidRPr="00295E71">
        <w:rPr>
          <w:sz w:val="22"/>
          <w:szCs w:val="22"/>
          <w:u w:val="single"/>
        </w:rPr>
        <w:t>Malattie demielinizzanti</w:t>
      </w:r>
    </w:p>
    <w:p w:rsidR="00C26956" w:rsidRPr="00295E71" w:rsidP="00C26956" w14:paraId="6A6DF625" w14:textId="77777777">
      <w:pPr>
        <w:tabs>
          <w:tab w:val="left" w:pos="540"/>
        </w:tabs>
        <w:jc w:val="both"/>
        <w:rPr>
          <w:sz w:val="22"/>
          <w:szCs w:val="22"/>
          <w:u w:val="single"/>
        </w:rPr>
      </w:pPr>
    </w:p>
    <w:p w:rsidR="00C26956" w:rsidRPr="00295E71" w:rsidP="00C26956" w14:paraId="1788DCC2" w14:textId="77777777">
      <w:pPr>
        <w:numPr>
          <w:ilvl w:val="0"/>
          <w:numId w:val="5"/>
        </w:numPr>
        <w:tabs>
          <w:tab w:val="clear" w:pos="360"/>
          <w:tab w:val="left" w:pos="540"/>
        </w:tabs>
        <w:ind w:left="540" w:hanging="540"/>
        <w:jc w:val="both"/>
        <w:rPr>
          <w:sz w:val="22"/>
          <w:szCs w:val="22"/>
        </w:rPr>
      </w:pPr>
      <w:r w:rsidRPr="00295E71">
        <w:rPr>
          <w:sz w:val="22"/>
          <w:szCs w:val="22"/>
        </w:rPr>
        <w:t>Se è affetto da o sviluppa una malattia demielinizzante (malattia che colpisce lo strato isolante attorno ai nervi, come la sclerosi multipla), il medico deciderà se è il caso di iniziare o continuare a ricevere il trattamento con Humira. Informi il medico immediatamente nel caso in cui lei manifesti sintomi quali variazioni nella visione, debolezza di braccia o gambe o intorpidimento o formicolio che interessi qualsiasi parte del corpo.</w:t>
      </w:r>
    </w:p>
    <w:p w:rsidR="00C26956" w:rsidRPr="00295E71" w:rsidP="00C26956" w14:paraId="7889C6DB" w14:textId="77777777">
      <w:pPr>
        <w:tabs>
          <w:tab w:val="left" w:pos="540"/>
          <w:tab w:val="left" w:pos="567"/>
        </w:tabs>
        <w:ind w:left="540" w:hanging="483"/>
        <w:jc w:val="both"/>
        <w:rPr>
          <w:sz w:val="22"/>
          <w:szCs w:val="22"/>
        </w:rPr>
      </w:pPr>
    </w:p>
    <w:p w:rsidR="00C26956" w:rsidRPr="00295E71" w:rsidP="00C26956" w14:paraId="589EAB3B" w14:textId="77777777">
      <w:pPr>
        <w:tabs>
          <w:tab w:val="left" w:pos="540"/>
          <w:tab w:val="left" w:pos="567"/>
        </w:tabs>
        <w:ind w:left="540" w:hanging="483"/>
        <w:jc w:val="both"/>
        <w:rPr>
          <w:sz w:val="22"/>
          <w:szCs w:val="22"/>
          <w:u w:val="single"/>
        </w:rPr>
      </w:pPr>
      <w:r w:rsidRPr="00295E71">
        <w:rPr>
          <w:sz w:val="22"/>
          <w:szCs w:val="22"/>
          <w:u w:val="single"/>
        </w:rPr>
        <w:t>Vaccinazioni</w:t>
      </w:r>
    </w:p>
    <w:p w:rsidR="00C26956" w:rsidRPr="00295E71" w:rsidP="00C26956" w14:paraId="5A1BD105" w14:textId="77777777">
      <w:pPr>
        <w:tabs>
          <w:tab w:val="left" w:pos="540"/>
          <w:tab w:val="left" w:pos="567"/>
        </w:tabs>
        <w:ind w:left="540" w:hanging="483"/>
        <w:jc w:val="both"/>
        <w:rPr>
          <w:sz w:val="22"/>
          <w:szCs w:val="22"/>
        </w:rPr>
      </w:pPr>
    </w:p>
    <w:p w:rsidR="00C26956" w:rsidRPr="00295E71" w:rsidP="00C26956" w14:paraId="782E9DCE" w14:textId="77777777">
      <w:pPr>
        <w:numPr>
          <w:ilvl w:val="0"/>
          <w:numId w:val="5"/>
        </w:numPr>
        <w:tabs>
          <w:tab w:val="clear" w:pos="360"/>
          <w:tab w:val="left" w:pos="540"/>
        </w:tabs>
        <w:ind w:left="540" w:hanging="540"/>
        <w:jc w:val="both"/>
        <w:rPr>
          <w:sz w:val="22"/>
          <w:szCs w:val="22"/>
        </w:rPr>
      </w:pPr>
      <w:r w:rsidRPr="00295E71">
        <w:rPr>
          <w:sz w:val="22"/>
          <w:szCs w:val="22"/>
        </w:rPr>
        <w:t xml:space="preserve">Certi vaccini possono causare infezioni e non devono essere somministrati durante il trattamento con Humira. </w:t>
      </w:r>
    </w:p>
    <w:p w:rsidR="00514E08" w:rsidP="0020624D" w14:paraId="2F68E4BE" w14:textId="77777777">
      <w:pPr>
        <w:tabs>
          <w:tab w:val="left" w:pos="540"/>
        </w:tabs>
        <w:ind w:left="540"/>
        <w:jc w:val="both"/>
        <w:rPr>
          <w:sz w:val="22"/>
          <w:szCs w:val="22"/>
        </w:rPr>
      </w:pPr>
    </w:p>
    <w:p w:rsidR="00C26956" w:rsidRPr="00295E71" w:rsidP="00C26956" w14:paraId="661C1F11" w14:textId="77777777">
      <w:pPr>
        <w:numPr>
          <w:ilvl w:val="1"/>
          <w:numId w:val="5"/>
        </w:numPr>
        <w:tabs>
          <w:tab w:val="clear" w:pos="1440"/>
        </w:tabs>
        <w:ind w:left="1418"/>
        <w:jc w:val="both"/>
        <w:rPr>
          <w:sz w:val="22"/>
          <w:szCs w:val="22"/>
        </w:rPr>
      </w:pPr>
      <w:r w:rsidRPr="00295E71">
        <w:rPr>
          <w:sz w:val="22"/>
          <w:szCs w:val="22"/>
        </w:rPr>
        <w:t>Consulti il medico prima di sottoporsi a vaccinazioni.</w:t>
      </w:r>
    </w:p>
    <w:p w:rsidR="00C26956" w:rsidRPr="00295E71" w:rsidP="00C26956" w14:paraId="5FE0CB68" w14:textId="77777777">
      <w:pPr>
        <w:numPr>
          <w:ilvl w:val="1"/>
          <w:numId w:val="5"/>
        </w:numPr>
        <w:tabs>
          <w:tab w:val="left" w:pos="540"/>
        </w:tabs>
        <w:jc w:val="both"/>
        <w:rPr>
          <w:sz w:val="22"/>
          <w:szCs w:val="22"/>
        </w:rPr>
      </w:pPr>
      <w:r w:rsidRPr="00295E71">
        <w:rPr>
          <w:sz w:val="22"/>
          <w:szCs w:val="22"/>
        </w:rPr>
        <w:t xml:space="preserve">Si raccomanda, se possibile, di sottoporre i bambini a tutte le vaccinazioni previste per la loro età prima di iniziare il trattamento con Humira. </w:t>
      </w:r>
    </w:p>
    <w:p w:rsidR="00C26956" w:rsidRPr="00295E71" w:rsidP="00C26956" w14:paraId="4DE834C4" w14:textId="77777777">
      <w:pPr>
        <w:numPr>
          <w:ilvl w:val="1"/>
          <w:numId w:val="5"/>
        </w:numPr>
        <w:tabs>
          <w:tab w:val="left" w:pos="540"/>
        </w:tabs>
        <w:jc w:val="both"/>
        <w:rPr>
          <w:sz w:val="22"/>
          <w:szCs w:val="22"/>
        </w:rPr>
      </w:pPr>
      <w:r w:rsidRPr="00295E71">
        <w:rPr>
          <w:sz w:val="22"/>
          <w:szCs w:val="22"/>
        </w:rPr>
        <w:t>Se ha assunto Humira durante la gravidanza, il bambino potrebbe avere un maggior rischio di contrarre tale infezione fino a circa 5 mesi dopo l’ultima somministrazione di Humira effettuata. È importante che lei riferisca al pediatra o ad altro operatore sanitario del suo utilizzo di Humira durante la gravidanza, cosicché possano decidere quando il bambino deve ricevere qualsiasi tipo di vaccinazione.</w:t>
      </w:r>
    </w:p>
    <w:p w:rsidR="00C26956" w:rsidRPr="00295E71" w:rsidP="00C26956" w14:paraId="603D10D4" w14:textId="77777777">
      <w:pPr>
        <w:ind w:left="1418"/>
        <w:jc w:val="both"/>
        <w:rPr>
          <w:sz w:val="22"/>
          <w:szCs w:val="22"/>
        </w:rPr>
      </w:pPr>
    </w:p>
    <w:p w:rsidR="00C26956" w:rsidRPr="00295E71" w:rsidP="00C26956" w14:paraId="21BB75C0" w14:textId="77777777">
      <w:pPr>
        <w:rPr>
          <w:sz w:val="22"/>
          <w:szCs w:val="22"/>
          <w:u w:val="single"/>
        </w:rPr>
      </w:pPr>
      <w:r w:rsidRPr="00295E71">
        <w:rPr>
          <w:sz w:val="22"/>
          <w:szCs w:val="22"/>
          <w:u w:val="single"/>
        </w:rPr>
        <w:t>Insufficienza cardiaca</w:t>
      </w:r>
    </w:p>
    <w:p w:rsidR="00C26956" w:rsidRPr="00295E71" w:rsidP="00C26956" w14:paraId="2FA10D55" w14:textId="77777777">
      <w:pPr>
        <w:rPr>
          <w:u w:val="single"/>
        </w:rPr>
      </w:pPr>
    </w:p>
    <w:p w:rsidR="00C26956" w:rsidRPr="00295E71" w:rsidP="00C26956" w14:paraId="508953C3" w14:textId="77777777">
      <w:pPr>
        <w:numPr>
          <w:ilvl w:val="0"/>
          <w:numId w:val="5"/>
        </w:numPr>
        <w:tabs>
          <w:tab w:val="clear" w:pos="360"/>
          <w:tab w:val="left" w:pos="540"/>
        </w:tabs>
        <w:ind w:left="540" w:hanging="540"/>
        <w:jc w:val="both"/>
        <w:rPr>
          <w:sz w:val="22"/>
          <w:szCs w:val="22"/>
        </w:rPr>
      </w:pPr>
      <w:r w:rsidRPr="00295E71">
        <w:rPr>
          <w:sz w:val="22"/>
          <w:szCs w:val="22"/>
        </w:rPr>
        <w:t>In caso di lieve insufficienza cardiaca e di concomitante trattamento con Humira, il medico dovrà attentamente valutare e seguire lo stato del suo cuore. È importante informare il medico in merito a eventuali problemi al cuore, sia passati che presenti. Se appaiono nuovi sintomi di insufficienza cardiaca o se i sintomi già esistenti dovessero peggiorare (per esempio, respiro corto o gonfiore dei piedi), contatti immediatamente il medico. Il medico deciderà se è possibile usare Humira.</w:t>
      </w:r>
    </w:p>
    <w:p w:rsidR="00C26956" w:rsidRPr="00295E71" w:rsidP="00C26956" w14:paraId="3F5F5088" w14:textId="77777777">
      <w:pPr>
        <w:tabs>
          <w:tab w:val="left" w:pos="567"/>
        </w:tabs>
        <w:jc w:val="both"/>
        <w:rPr>
          <w:sz w:val="22"/>
          <w:szCs w:val="22"/>
        </w:rPr>
      </w:pPr>
    </w:p>
    <w:p w:rsidR="00C26956" w:rsidRPr="00295E71" w:rsidP="00C26956" w14:paraId="46A15270" w14:textId="77777777">
      <w:pPr>
        <w:tabs>
          <w:tab w:val="left" w:pos="0"/>
        </w:tabs>
        <w:jc w:val="both"/>
        <w:rPr>
          <w:sz w:val="22"/>
          <w:szCs w:val="22"/>
          <w:u w:val="single"/>
        </w:rPr>
      </w:pPr>
      <w:r w:rsidRPr="00295E71">
        <w:rPr>
          <w:sz w:val="22"/>
          <w:szCs w:val="22"/>
          <w:u w:val="single"/>
        </w:rPr>
        <w:t>Febbre, lividi, emorragie o pallore</w:t>
      </w:r>
    </w:p>
    <w:p w:rsidR="00C26956" w:rsidRPr="00295E71" w:rsidP="00C26956" w14:paraId="35E47525" w14:textId="77777777">
      <w:pPr>
        <w:tabs>
          <w:tab w:val="left" w:pos="567"/>
        </w:tabs>
        <w:jc w:val="both"/>
        <w:rPr>
          <w:sz w:val="22"/>
          <w:szCs w:val="22"/>
        </w:rPr>
      </w:pPr>
    </w:p>
    <w:p w:rsidR="00C26956" w:rsidRPr="00295E71" w:rsidP="00C26956" w14:paraId="186ED9D8" w14:textId="77777777">
      <w:pPr>
        <w:numPr>
          <w:ilvl w:val="0"/>
          <w:numId w:val="5"/>
        </w:numPr>
        <w:tabs>
          <w:tab w:val="clear" w:pos="360"/>
          <w:tab w:val="left" w:pos="540"/>
        </w:tabs>
        <w:ind w:left="540" w:hanging="540"/>
        <w:jc w:val="both"/>
        <w:rPr>
          <w:sz w:val="22"/>
          <w:szCs w:val="22"/>
        </w:rPr>
      </w:pPr>
      <w:r w:rsidRPr="00295E71">
        <w:rPr>
          <w:sz w:val="22"/>
          <w:szCs w:val="22"/>
        </w:rPr>
        <w:t xml:space="preserve">In alcuni pazienti l’organismo può non essere in grado di produrre un quantitativo di cellule ematiche sufficiente e tale da combattere le infezioni o ad arrestare un’emorragia. Il medico potrebbe decidere di interrompere la terapia. Nel caso in cui lei abbia febbre persistente, lividi o facilità di </w:t>
      </w:r>
      <w:r w:rsidRPr="00295E71" w:rsidR="002E3E62">
        <w:rPr>
          <w:sz w:val="22"/>
          <w:szCs w:val="22"/>
        </w:rPr>
        <w:t xml:space="preserve">sanguinamento </w:t>
      </w:r>
      <w:r w:rsidRPr="00295E71">
        <w:rPr>
          <w:sz w:val="22"/>
          <w:szCs w:val="22"/>
        </w:rPr>
        <w:t xml:space="preserve">o pallore, si rivolga immediatamente al medico. </w:t>
      </w:r>
    </w:p>
    <w:p w:rsidR="00DA64C8" w:rsidP="00C26956" w14:paraId="6FA7FF4B" w14:textId="77777777">
      <w:pPr>
        <w:tabs>
          <w:tab w:val="left" w:pos="540"/>
        </w:tabs>
        <w:jc w:val="both"/>
        <w:rPr>
          <w:sz w:val="22"/>
          <w:szCs w:val="22"/>
          <w:u w:val="single"/>
        </w:rPr>
      </w:pPr>
    </w:p>
    <w:p w:rsidR="00C26956" w:rsidRPr="00295E71" w:rsidP="00C26956" w14:paraId="1AF9D98F" w14:textId="77777777">
      <w:pPr>
        <w:tabs>
          <w:tab w:val="left" w:pos="540"/>
        </w:tabs>
        <w:jc w:val="both"/>
        <w:rPr>
          <w:sz w:val="22"/>
          <w:szCs w:val="22"/>
          <w:u w:val="single"/>
        </w:rPr>
      </w:pPr>
      <w:r w:rsidRPr="00295E71">
        <w:rPr>
          <w:sz w:val="22"/>
          <w:szCs w:val="22"/>
          <w:u w:val="single"/>
        </w:rPr>
        <w:t>Tumori</w:t>
      </w:r>
    </w:p>
    <w:p w:rsidR="00C26956" w:rsidRPr="00295E71" w:rsidP="00C26956" w14:paraId="7E1BF96B" w14:textId="77777777">
      <w:pPr>
        <w:tabs>
          <w:tab w:val="left" w:pos="540"/>
        </w:tabs>
        <w:jc w:val="both"/>
        <w:rPr>
          <w:sz w:val="22"/>
          <w:szCs w:val="22"/>
          <w:u w:val="single"/>
        </w:rPr>
      </w:pPr>
    </w:p>
    <w:p w:rsidR="00C26956" w:rsidRPr="00295E71" w:rsidP="00C26956" w14:paraId="123C8019" w14:textId="77777777">
      <w:pPr>
        <w:pStyle w:val="ListParagraph"/>
        <w:numPr>
          <w:ilvl w:val="0"/>
          <w:numId w:val="5"/>
        </w:numPr>
        <w:ind w:left="539" w:hanging="539"/>
        <w:rPr>
          <w:sz w:val="22"/>
          <w:szCs w:val="22"/>
        </w:rPr>
      </w:pPr>
      <w:r w:rsidRPr="00295E71">
        <w:rPr>
          <w:sz w:val="22"/>
          <w:szCs w:val="22"/>
        </w:rPr>
        <w:tab/>
        <w:t xml:space="preserve">Nei pazienti, sia bambini sia adulti, sottoposti a trattamento con Humira o con altri farmaci anti-TNF, si sono manifestati molto raramente alcuni tipi di tumori. </w:t>
      </w:r>
    </w:p>
    <w:p w:rsidR="00C26956" w:rsidRPr="00295E71" w:rsidP="00C26956" w14:paraId="360B0D3C" w14:textId="77777777">
      <w:pPr>
        <w:pStyle w:val="ListParagraph"/>
        <w:numPr>
          <w:ilvl w:val="1"/>
          <w:numId w:val="5"/>
        </w:numPr>
        <w:rPr>
          <w:sz w:val="22"/>
          <w:szCs w:val="22"/>
        </w:rPr>
      </w:pPr>
      <w:r w:rsidRPr="00295E71">
        <w:rPr>
          <w:sz w:val="22"/>
          <w:szCs w:val="22"/>
        </w:rPr>
        <w:t xml:space="preserve">I pazienti con artrite reumatoide di grave entità da molto tempo possono presentare un rischio superiore alla media di sviluppare un linfoma (un tumore che colpisce il sistema linfatico) e leucemia (un tumore che colpisce il sangue e il midollo osseo). </w:t>
      </w:r>
    </w:p>
    <w:p w:rsidR="00C26956" w:rsidRPr="00295E71" w:rsidP="00C26956" w14:paraId="61077B94" w14:textId="77777777">
      <w:pPr>
        <w:pStyle w:val="ListParagraph"/>
        <w:numPr>
          <w:ilvl w:val="1"/>
          <w:numId w:val="5"/>
        </w:numPr>
        <w:rPr>
          <w:sz w:val="22"/>
          <w:szCs w:val="22"/>
        </w:rPr>
      </w:pPr>
      <w:r w:rsidRPr="00295E71">
        <w:rPr>
          <w:sz w:val="22"/>
          <w:szCs w:val="22"/>
        </w:rPr>
        <w:t xml:space="preserve">Se lei assume Humira, il rischio di contrarre linfomi, leucemia o altri tumori può aumentare. In rare circostanze, nei pazienti sottoposti a terapia con Humira, è stato osservato un tipo non comune e grave di linfoma. Alcuni di questi pazienti erano anche in terapia con azatioprina o 6-mercaptopurina. </w:t>
      </w:r>
    </w:p>
    <w:p w:rsidR="00C26956" w:rsidRPr="00295E71" w:rsidP="00C26956" w14:paraId="771CD339" w14:textId="77777777">
      <w:pPr>
        <w:pStyle w:val="ListParagraph"/>
        <w:numPr>
          <w:ilvl w:val="1"/>
          <w:numId w:val="5"/>
        </w:numPr>
        <w:rPr>
          <w:sz w:val="22"/>
          <w:szCs w:val="22"/>
        </w:rPr>
      </w:pPr>
      <w:r w:rsidRPr="00295E71">
        <w:rPr>
          <w:sz w:val="22"/>
          <w:szCs w:val="22"/>
        </w:rPr>
        <w:t>Avvisi il medico se sta assumendo azatioprina o 6-mercaptopurina con Humira.</w:t>
      </w:r>
    </w:p>
    <w:p w:rsidR="00C26956" w:rsidRPr="00295E71" w:rsidP="00C26956" w14:paraId="27E03894" w14:textId="77777777">
      <w:pPr>
        <w:pStyle w:val="ListParagraph"/>
        <w:numPr>
          <w:ilvl w:val="1"/>
          <w:numId w:val="5"/>
        </w:numPr>
        <w:rPr>
          <w:sz w:val="22"/>
          <w:szCs w:val="22"/>
        </w:rPr>
      </w:pPr>
      <w:r>
        <w:rPr>
          <w:sz w:val="22"/>
          <w:szCs w:val="22"/>
        </w:rPr>
        <w:t>N</w:t>
      </w:r>
      <w:r w:rsidRPr="00295E71">
        <w:rPr>
          <w:sz w:val="22"/>
          <w:szCs w:val="22"/>
        </w:rPr>
        <w:t xml:space="preserve">ei pazienti che assumono Humira, sono stati osservati casi di carcinoma cutaneo non melanotico. </w:t>
      </w:r>
    </w:p>
    <w:p w:rsidR="00C26956" w:rsidRPr="00295E71" w:rsidP="00C26956" w14:paraId="5FE75DCE" w14:textId="77777777">
      <w:pPr>
        <w:pStyle w:val="ListParagraph"/>
        <w:numPr>
          <w:ilvl w:val="1"/>
          <w:numId w:val="5"/>
        </w:numPr>
        <w:rPr>
          <w:sz w:val="22"/>
          <w:szCs w:val="22"/>
        </w:rPr>
      </w:pPr>
      <w:r w:rsidRPr="00295E71">
        <w:rPr>
          <w:sz w:val="22"/>
          <w:szCs w:val="22"/>
        </w:rPr>
        <w:t>Se dovessero comparire nuove lesioni cutanee nel corso della terapia o successivamente ad essa o se l’aspetto delle lesioni già esistenti si dovesse modificare, lo riferisca al medico.</w:t>
      </w:r>
    </w:p>
    <w:p w:rsidR="00C26956" w:rsidRPr="00295E71" w:rsidP="00C26956" w14:paraId="4A069215" w14:textId="77777777">
      <w:pPr>
        <w:rPr>
          <w:sz w:val="22"/>
          <w:szCs w:val="22"/>
        </w:rPr>
      </w:pPr>
    </w:p>
    <w:p w:rsidR="00C26956" w:rsidRPr="00295E71" w:rsidP="00C26956" w14:paraId="791F1F32" w14:textId="77777777">
      <w:pPr>
        <w:numPr>
          <w:ilvl w:val="0"/>
          <w:numId w:val="5"/>
        </w:numPr>
        <w:tabs>
          <w:tab w:val="clear" w:pos="360"/>
          <w:tab w:val="left" w:pos="540"/>
        </w:tabs>
        <w:ind w:left="540" w:hanging="540"/>
        <w:jc w:val="both"/>
        <w:rPr>
          <w:sz w:val="22"/>
          <w:szCs w:val="22"/>
        </w:rPr>
      </w:pPr>
      <w:r w:rsidRPr="00295E71">
        <w:rPr>
          <w:sz w:val="22"/>
          <w:szCs w:val="22"/>
        </w:rPr>
        <w:t>Ci sono stati casi di neoplasie, oltre al linfoma, in pazienti con uno specifico tipo di malattia del polmone chiamata Malattia Polmonare Cronica Ostruttiva (COPD) trattati con un altro anti-TNF. Se soffre di COPD, o fuma molto, deve discutere con il medico se è appropriato il trattamento con un anti-TNF.</w:t>
      </w:r>
    </w:p>
    <w:p w:rsidR="00C26956" w:rsidRPr="00295E71" w:rsidP="00C26956" w14:paraId="39FCACC3" w14:textId="77777777">
      <w:pPr>
        <w:tabs>
          <w:tab w:val="left" w:pos="540"/>
        </w:tabs>
        <w:ind w:left="540"/>
        <w:jc w:val="both"/>
        <w:rPr>
          <w:sz w:val="22"/>
          <w:szCs w:val="22"/>
        </w:rPr>
      </w:pPr>
    </w:p>
    <w:p w:rsidR="00C26956" w:rsidRPr="0020624D" w:rsidP="00C26956" w14:paraId="2D7C8863" w14:textId="77777777">
      <w:pPr>
        <w:tabs>
          <w:tab w:val="left" w:pos="540"/>
        </w:tabs>
        <w:jc w:val="both"/>
        <w:rPr>
          <w:sz w:val="22"/>
          <w:szCs w:val="22"/>
          <w:u w:val="single"/>
        </w:rPr>
      </w:pPr>
      <w:r w:rsidRPr="0020624D">
        <w:rPr>
          <w:sz w:val="22"/>
          <w:szCs w:val="22"/>
          <w:u w:val="single"/>
        </w:rPr>
        <w:t>Malattia autoimmune</w:t>
      </w:r>
    </w:p>
    <w:p w:rsidR="00C26956" w:rsidRPr="00295E71" w:rsidP="00C26956" w14:paraId="1D8905C0" w14:textId="77777777">
      <w:pPr>
        <w:tabs>
          <w:tab w:val="left" w:pos="540"/>
        </w:tabs>
        <w:ind w:left="540"/>
        <w:jc w:val="both"/>
        <w:rPr>
          <w:sz w:val="22"/>
          <w:szCs w:val="22"/>
        </w:rPr>
      </w:pPr>
    </w:p>
    <w:p w:rsidR="00C26956" w:rsidRPr="00295E71" w:rsidP="00C26956" w14:paraId="2CAE4AAD" w14:textId="77777777">
      <w:pPr>
        <w:numPr>
          <w:ilvl w:val="0"/>
          <w:numId w:val="5"/>
        </w:numPr>
        <w:tabs>
          <w:tab w:val="clear" w:pos="360"/>
          <w:tab w:val="left" w:pos="540"/>
        </w:tabs>
        <w:ind w:left="540" w:hanging="540"/>
        <w:jc w:val="both"/>
        <w:rPr>
          <w:sz w:val="22"/>
          <w:szCs w:val="22"/>
        </w:rPr>
      </w:pPr>
      <w:r w:rsidRPr="00295E71">
        <w:rPr>
          <w:sz w:val="22"/>
          <w:szCs w:val="22"/>
        </w:rPr>
        <w:t>Raramente, il trattamento con Humira può portare alla manifestazione di una sindrome come il lupus. Informi il medico qualora si manifestino sintomi come eruzione cutanea persistente di natura inspiegabile, febbre, dolore alle articolazioni o affaticamento.</w:t>
      </w:r>
    </w:p>
    <w:p w:rsidR="00C26956" w:rsidRPr="00295E71" w:rsidP="00C26956" w14:paraId="3573A3F8" w14:textId="77777777">
      <w:pPr>
        <w:pStyle w:val="EndnoteText"/>
        <w:jc w:val="both"/>
        <w:rPr>
          <w:lang w:val="it-IT"/>
        </w:rPr>
      </w:pPr>
    </w:p>
    <w:p w:rsidR="00C26956" w:rsidRPr="00295E71" w:rsidP="00C26956" w14:paraId="306621C2" w14:textId="77777777">
      <w:pPr>
        <w:jc w:val="both"/>
        <w:rPr>
          <w:b/>
          <w:sz w:val="22"/>
          <w:szCs w:val="22"/>
          <w:lang w:eastAsia="en-US"/>
        </w:rPr>
      </w:pPr>
      <w:r w:rsidRPr="00295E71">
        <w:rPr>
          <w:b/>
          <w:sz w:val="22"/>
          <w:szCs w:val="22"/>
          <w:lang w:eastAsia="en-US"/>
        </w:rPr>
        <w:t>Bambini e adolescenti</w:t>
      </w:r>
    </w:p>
    <w:p w:rsidR="00C26956" w:rsidRPr="00295E71" w:rsidP="00C26956" w14:paraId="5929DFF3" w14:textId="77777777">
      <w:pPr>
        <w:jc w:val="both"/>
        <w:rPr>
          <w:sz w:val="22"/>
          <w:szCs w:val="22"/>
          <w:lang w:eastAsia="en-US"/>
        </w:rPr>
      </w:pPr>
    </w:p>
    <w:p w:rsidR="00C26956" w:rsidRPr="00295E71" w:rsidP="00C26956" w14:paraId="36814A44" w14:textId="77777777">
      <w:pPr>
        <w:numPr>
          <w:ilvl w:val="0"/>
          <w:numId w:val="49"/>
        </w:numPr>
        <w:tabs>
          <w:tab w:val="num" w:pos="540"/>
          <w:tab w:val="clear" w:pos="720"/>
        </w:tabs>
        <w:ind w:left="540" w:hanging="540"/>
        <w:jc w:val="both"/>
        <w:rPr>
          <w:sz w:val="22"/>
          <w:szCs w:val="22"/>
          <w:lang w:eastAsia="en-US"/>
        </w:rPr>
      </w:pPr>
      <w:r w:rsidRPr="00295E71">
        <w:rPr>
          <w:sz w:val="22"/>
          <w:szCs w:val="22"/>
          <w:lang w:eastAsia="en-US"/>
        </w:rPr>
        <w:t>Vaccinazioni: se possibile, i bambini dovrebbero aver già fatto tutte le vaccinazioni prima di usare Humira.</w:t>
      </w:r>
    </w:p>
    <w:p w:rsidR="00C26956" w:rsidRPr="00295E71" w:rsidP="00C26956" w14:paraId="190AD624" w14:textId="77777777">
      <w:pPr>
        <w:jc w:val="both"/>
        <w:rPr>
          <w:sz w:val="22"/>
          <w:szCs w:val="22"/>
          <w:lang w:eastAsia="en-US"/>
        </w:rPr>
      </w:pPr>
    </w:p>
    <w:p w:rsidR="00C26956" w:rsidRPr="00295E71" w:rsidP="00C26956" w14:paraId="4FC5E8D6" w14:textId="77777777">
      <w:pPr>
        <w:pStyle w:val="Heading9"/>
        <w:jc w:val="both"/>
        <w:rPr>
          <w:sz w:val="22"/>
          <w:szCs w:val="22"/>
          <w:lang w:val="it-IT" w:eastAsia="en-US"/>
        </w:rPr>
      </w:pPr>
      <w:r w:rsidRPr="00295E71">
        <w:rPr>
          <w:sz w:val="22"/>
          <w:szCs w:val="22"/>
          <w:lang w:val="it-IT" w:eastAsia="en-US"/>
        </w:rPr>
        <w:t>Altri medicinali e Humira</w:t>
      </w:r>
    </w:p>
    <w:p w:rsidR="00C26956" w:rsidRPr="00295E71" w:rsidP="00C26956" w14:paraId="768237B3" w14:textId="77777777">
      <w:pPr>
        <w:keepNext/>
        <w:jc w:val="both"/>
        <w:rPr>
          <w:sz w:val="22"/>
          <w:szCs w:val="22"/>
          <w:lang w:eastAsia="en-US"/>
        </w:rPr>
      </w:pPr>
    </w:p>
    <w:p w:rsidR="00C26956" w:rsidRPr="00295E71" w:rsidP="00C26956" w14:paraId="7C9FC5AF" w14:textId="77777777">
      <w:pPr>
        <w:keepNext/>
        <w:jc w:val="both"/>
        <w:rPr>
          <w:sz w:val="22"/>
          <w:szCs w:val="22"/>
          <w:lang w:eastAsia="en-US"/>
        </w:rPr>
      </w:pPr>
      <w:r w:rsidRPr="00295E71">
        <w:rPr>
          <w:sz w:val="22"/>
          <w:szCs w:val="22"/>
        </w:rPr>
        <w:t>Informi il medico o il farmacista se sta assumendo, ha recentemente assunto o potrebbe assumere qualsiasi altro medicinale.</w:t>
      </w:r>
    </w:p>
    <w:p w:rsidR="00C26956" w:rsidRPr="00295E71" w:rsidP="00C26956" w14:paraId="186FCDED" w14:textId="77777777">
      <w:pPr>
        <w:keepNext/>
        <w:jc w:val="both"/>
        <w:rPr>
          <w:sz w:val="22"/>
          <w:szCs w:val="22"/>
        </w:rPr>
      </w:pPr>
    </w:p>
    <w:p w:rsidR="00C26956" w:rsidRPr="00295E71" w:rsidP="00C26956" w14:paraId="143BC09C" w14:textId="77777777">
      <w:pPr>
        <w:rPr>
          <w:sz w:val="22"/>
          <w:szCs w:val="22"/>
        </w:rPr>
      </w:pPr>
      <w:r w:rsidRPr="00295E71">
        <w:rPr>
          <w:sz w:val="22"/>
          <w:szCs w:val="22"/>
        </w:rPr>
        <w:t>Non usi Humira con medicinali che contengono i seguenti principi attivi a causa del rischio aumentato di avere infezioni gravi:</w:t>
      </w:r>
    </w:p>
    <w:p w:rsidR="00C26956" w:rsidRPr="00295E71" w:rsidP="00C26956" w14:paraId="5358ED66" w14:textId="77777777">
      <w:pPr>
        <w:pStyle w:val="ListParagraph"/>
        <w:numPr>
          <w:ilvl w:val="0"/>
          <w:numId w:val="49"/>
        </w:numPr>
        <w:rPr>
          <w:sz w:val="22"/>
          <w:szCs w:val="22"/>
        </w:rPr>
      </w:pPr>
      <w:r w:rsidRPr="00295E71">
        <w:rPr>
          <w:sz w:val="22"/>
          <w:szCs w:val="22"/>
        </w:rPr>
        <w:t>anakinra</w:t>
      </w:r>
    </w:p>
    <w:p w:rsidR="00C26956" w:rsidRPr="00295E71" w:rsidP="00C26956" w14:paraId="15983BE6" w14:textId="77777777">
      <w:pPr>
        <w:pStyle w:val="ListParagraph"/>
        <w:numPr>
          <w:ilvl w:val="0"/>
          <w:numId w:val="49"/>
        </w:numPr>
        <w:rPr>
          <w:sz w:val="22"/>
          <w:szCs w:val="22"/>
        </w:rPr>
      </w:pPr>
      <w:r w:rsidRPr="00295E71">
        <w:rPr>
          <w:sz w:val="22"/>
          <w:szCs w:val="22"/>
        </w:rPr>
        <w:t>abatacept</w:t>
      </w:r>
    </w:p>
    <w:p w:rsidR="00C26956" w:rsidRPr="00295E71" w:rsidP="00C26956" w14:paraId="0C3E91DE" w14:textId="77777777">
      <w:pPr>
        <w:keepNext/>
        <w:jc w:val="both"/>
        <w:rPr>
          <w:sz w:val="22"/>
          <w:szCs w:val="22"/>
        </w:rPr>
      </w:pPr>
    </w:p>
    <w:p w:rsidR="00C26956" w:rsidRPr="00295E71" w:rsidP="00C26956" w14:paraId="576EA4AC" w14:textId="77777777">
      <w:pPr>
        <w:jc w:val="both"/>
        <w:rPr>
          <w:sz w:val="22"/>
          <w:szCs w:val="22"/>
        </w:rPr>
      </w:pPr>
      <w:r w:rsidRPr="00295E71">
        <w:rPr>
          <w:sz w:val="22"/>
          <w:szCs w:val="22"/>
        </w:rPr>
        <w:t>Humira può essere assunto con:</w:t>
      </w:r>
    </w:p>
    <w:p w:rsidR="00C26956" w:rsidRPr="00295E71" w:rsidP="00C26956" w14:paraId="4AB04F13" w14:textId="77777777">
      <w:pPr>
        <w:pStyle w:val="ListParagraph"/>
        <w:numPr>
          <w:ilvl w:val="0"/>
          <w:numId w:val="137"/>
        </w:numPr>
        <w:jc w:val="both"/>
        <w:rPr>
          <w:sz w:val="22"/>
          <w:szCs w:val="22"/>
        </w:rPr>
      </w:pPr>
      <w:r w:rsidRPr="00295E71">
        <w:rPr>
          <w:sz w:val="22"/>
          <w:szCs w:val="22"/>
        </w:rPr>
        <w:t xml:space="preserve">metotressato </w:t>
      </w:r>
    </w:p>
    <w:p w:rsidR="00C26956" w:rsidRPr="00295E71" w:rsidP="00C26956" w14:paraId="68D657A7" w14:textId="77777777">
      <w:pPr>
        <w:pStyle w:val="ListParagraph"/>
        <w:numPr>
          <w:ilvl w:val="0"/>
          <w:numId w:val="137"/>
        </w:numPr>
        <w:jc w:val="both"/>
        <w:rPr>
          <w:sz w:val="22"/>
          <w:szCs w:val="22"/>
        </w:rPr>
      </w:pPr>
      <w:r w:rsidRPr="00295E71">
        <w:rPr>
          <w:sz w:val="22"/>
          <w:szCs w:val="22"/>
        </w:rPr>
        <w:t>altri farmaci antireumatici modificanti la malattia (ad esempio sulfasalazina, idrossiclorochina, leflunomide e sali d’oro per via parenterale)</w:t>
      </w:r>
    </w:p>
    <w:p w:rsidR="00C26956" w:rsidRPr="00295E71" w:rsidP="00C26956" w14:paraId="01ED9403" w14:textId="77777777">
      <w:pPr>
        <w:pStyle w:val="ListParagraph"/>
        <w:numPr>
          <w:ilvl w:val="0"/>
          <w:numId w:val="137"/>
        </w:numPr>
        <w:jc w:val="both"/>
        <w:rPr>
          <w:sz w:val="22"/>
          <w:szCs w:val="22"/>
        </w:rPr>
      </w:pPr>
      <w:r w:rsidRPr="00295E71">
        <w:rPr>
          <w:sz w:val="22"/>
          <w:szCs w:val="22"/>
        </w:rPr>
        <w:t>steroidi o analgesici, compresi i farmaci anti-infiammatori non steroidei (FANS).</w:t>
      </w:r>
    </w:p>
    <w:p w:rsidR="00C26956" w:rsidRPr="00295E71" w:rsidP="00C26956" w14:paraId="1253F19D" w14:textId="77777777">
      <w:pPr>
        <w:jc w:val="both"/>
        <w:rPr>
          <w:sz w:val="22"/>
          <w:szCs w:val="22"/>
        </w:rPr>
      </w:pPr>
    </w:p>
    <w:p w:rsidR="00C26956" w:rsidRPr="00295E71" w:rsidP="00C26956" w14:paraId="3968C232" w14:textId="77777777">
      <w:pPr>
        <w:numPr>
          <w:ilvl w:val="12"/>
          <w:numId w:val="0"/>
        </w:numPr>
        <w:tabs>
          <w:tab w:val="left" w:pos="567"/>
        </w:tabs>
        <w:ind w:right="-2"/>
        <w:jc w:val="both"/>
        <w:rPr>
          <w:sz w:val="22"/>
          <w:szCs w:val="22"/>
        </w:rPr>
      </w:pPr>
      <w:r w:rsidRPr="00295E71">
        <w:rPr>
          <w:sz w:val="22"/>
          <w:szCs w:val="22"/>
        </w:rPr>
        <w:t>Se ha dubbi, si rivolga al medico.</w:t>
      </w:r>
    </w:p>
    <w:p w:rsidR="00C26956" w:rsidRPr="00295E71" w:rsidP="00C26956" w14:paraId="02EEBE73" w14:textId="77777777">
      <w:pPr>
        <w:numPr>
          <w:ilvl w:val="12"/>
          <w:numId w:val="0"/>
        </w:numPr>
        <w:tabs>
          <w:tab w:val="left" w:pos="567"/>
        </w:tabs>
        <w:ind w:right="-2"/>
        <w:jc w:val="both"/>
        <w:rPr>
          <w:sz w:val="22"/>
          <w:szCs w:val="22"/>
        </w:rPr>
      </w:pPr>
    </w:p>
    <w:p w:rsidR="00C26956" w:rsidRPr="00295E71" w:rsidP="00C26956" w14:paraId="1C0D03CB" w14:textId="77777777">
      <w:pPr>
        <w:pStyle w:val="Heading9"/>
        <w:tabs>
          <w:tab w:val="left" w:pos="567"/>
        </w:tabs>
        <w:jc w:val="both"/>
        <w:rPr>
          <w:sz w:val="22"/>
          <w:szCs w:val="22"/>
          <w:lang w:val="it-IT" w:eastAsia="en-US"/>
        </w:rPr>
      </w:pPr>
      <w:r w:rsidRPr="00295E71">
        <w:rPr>
          <w:sz w:val="22"/>
          <w:szCs w:val="22"/>
          <w:lang w:val="it-IT" w:eastAsia="en-US"/>
        </w:rPr>
        <w:t>Gravidanza e allattamento</w:t>
      </w:r>
    </w:p>
    <w:p w:rsidR="00C26956" w:rsidRPr="00295E71" w:rsidP="00C26956" w14:paraId="3A573733" w14:textId="77777777">
      <w:pPr>
        <w:keepNext/>
        <w:numPr>
          <w:ilvl w:val="12"/>
          <w:numId w:val="0"/>
        </w:numPr>
        <w:tabs>
          <w:tab w:val="left" w:pos="567"/>
        </w:tabs>
        <w:ind w:right="-2"/>
        <w:jc w:val="both"/>
        <w:rPr>
          <w:sz w:val="22"/>
          <w:szCs w:val="22"/>
        </w:rPr>
      </w:pPr>
    </w:p>
    <w:p w:rsidR="00C26956" w:rsidP="007E6E3E" w14:paraId="3EED6FB3" w14:textId="77777777">
      <w:pPr>
        <w:pStyle w:val="ListParagraph"/>
        <w:keepNext/>
        <w:numPr>
          <w:ilvl w:val="0"/>
          <w:numId w:val="146"/>
        </w:numPr>
        <w:tabs>
          <w:tab w:val="left" w:pos="567"/>
        </w:tabs>
        <w:ind w:left="426" w:right="-2"/>
        <w:jc w:val="both"/>
        <w:rPr>
          <w:sz w:val="22"/>
          <w:szCs w:val="22"/>
        </w:rPr>
      </w:pPr>
      <w:r>
        <w:rPr>
          <w:sz w:val="22"/>
          <w:szCs w:val="22"/>
        </w:rPr>
        <w:t>Deve considerare l’utilizzo di</w:t>
      </w:r>
      <w:r w:rsidRPr="00FC5B3E">
        <w:rPr>
          <w:sz w:val="22"/>
          <w:szCs w:val="22"/>
        </w:rPr>
        <w:t xml:space="preserve"> un’adeguata misura contraccettiva </w:t>
      </w:r>
      <w:r>
        <w:rPr>
          <w:sz w:val="22"/>
          <w:szCs w:val="22"/>
        </w:rPr>
        <w:t xml:space="preserve">per prevenire una gravidanza </w:t>
      </w:r>
      <w:r w:rsidRPr="00FC5B3E">
        <w:rPr>
          <w:sz w:val="22"/>
          <w:szCs w:val="22"/>
        </w:rPr>
        <w:t xml:space="preserve">e </w:t>
      </w:r>
      <w:r>
        <w:rPr>
          <w:sz w:val="22"/>
          <w:szCs w:val="22"/>
        </w:rPr>
        <w:t xml:space="preserve">continuarne l’utilizzo </w:t>
      </w:r>
      <w:r w:rsidRPr="00FC5B3E">
        <w:rPr>
          <w:sz w:val="22"/>
          <w:szCs w:val="22"/>
        </w:rPr>
        <w:t xml:space="preserve">per almeno 5 mesi dopo l’ultima terapia con </w:t>
      </w:r>
      <w:r>
        <w:rPr>
          <w:sz w:val="22"/>
          <w:szCs w:val="22"/>
        </w:rPr>
        <w:t>Humira</w:t>
      </w:r>
      <w:r w:rsidRPr="00FC5B3E">
        <w:rPr>
          <w:sz w:val="22"/>
          <w:szCs w:val="22"/>
        </w:rPr>
        <w:t xml:space="preserve">. </w:t>
      </w:r>
    </w:p>
    <w:p w:rsidR="00FC5B3E" w:rsidRPr="00FC5B3E" w:rsidP="00FC5B3E" w14:paraId="35E30D81" w14:textId="77777777">
      <w:pPr>
        <w:pStyle w:val="ListParagraph"/>
        <w:keepNext/>
        <w:numPr>
          <w:ilvl w:val="0"/>
          <w:numId w:val="146"/>
        </w:numPr>
        <w:tabs>
          <w:tab w:val="left" w:pos="567"/>
        </w:tabs>
        <w:ind w:left="426" w:right="-2"/>
        <w:jc w:val="both"/>
        <w:rPr>
          <w:sz w:val="22"/>
          <w:szCs w:val="22"/>
        </w:rPr>
      </w:pPr>
      <w:r w:rsidRPr="00FC5B3E">
        <w:rPr>
          <w:sz w:val="22"/>
          <w:szCs w:val="22"/>
        </w:rPr>
        <w:t xml:space="preserve">Se è in corso una gravidanza, se sospetta o sta pianificando una gravidanza chieda consiglio al suo medico </w:t>
      </w:r>
      <w:r w:rsidR="00E36447">
        <w:rPr>
          <w:sz w:val="22"/>
          <w:szCs w:val="22"/>
        </w:rPr>
        <w:t>circa l’assunzione di</w:t>
      </w:r>
      <w:r w:rsidRPr="00FC5B3E">
        <w:rPr>
          <w:sz w:val="22"/>
          <w:szCs w:val="22"/>
        </w:rPr>
        <w:t xml:space="preserve"> questo medicinale.</w:t>
      </w:r>
    </w:p>
    <w:p w:rsidR="00FC5B3E" w:rsidRPr="00FC5B3E" w:rsidP="00FC5B3E" w14:paraId="6289E1C8" w14:textId="77777777">
      <w:pPr>
        <w:pStyle w:val="ListParagraph"/>
        <w:keepNext/>
        <w:numPr>
          <w:ilvl w:val="0"/>
          <w:numId w:val="146"/>
        </w:numPr>
        <w:tabs>
          <w:tab w:val="left" w:pos="567"/>
        </w:tabs>
        <w:ind w:left="426" w:right="-2"/>
        <w:jc w:val="both"/>
        <w:rPr>
          <w:sz w:val="22"/>
          <w:szCs w:val="22"/>
        </w:rPr>
      </w:pPr>
      <w:r w:rsidRPr="00FC5B3E">
        <w:rPr>
          <w:sz w:val="22"/>
          <w:szCs w:val="22"/>
        </w:rPr>
        <w:t>Humira deve essere usato durante la gravidanza solo se necessario.</w:t>
      </w:r>
    </w:p>
    <w:p w:rsidR="00FC5B3E" w:rsidRPr="00FC5B3E" w:rsidP="00FC5B3E" w14:paraId="5EA7A047" w14:textId="77777777">
      <w:pPr>
        <w:pStyle w:val="ListParagraph"/>
        <w:keepNext/>
        <w:numPr>
          <w:ilvl w:val="0"/>
          <w:numId w:val="146"/>
        </w:numPr>
        <w:tabs>
          <w:tab w:val="left" w:pos="567"/>
        </w:tabs>
        <w:ind w:left="426" w:right="-2"/>
        <w:jc w:val="both"/>
        <w:rPr>
          <w:sz w:val="22"/>
          <w:szCs w:val="22"/>
        </w:rPr>
      </w:pPr>
      <w:r w:rsidRPr="00FC5B3E">
        <w:rPr>
          <w:sz w:val="22"/>
          <w:szCs w:val="22"/>
        </w:rPr>
        <w:t xml:space="preserve">Secondo uno studio sulla gravidanza, non è stato riscontrato un rischio maggiore di difetti alla nascita </w:t>
      </w:r>
      <w:r w:rsidR="00E36447">
        <w:rPr>
          <w:sz w:val="22"/>
          <w:szCs w:val="22"/>
        </w:rPr>
        <w:t>quando la madre aveva ricevuto Humira durante la gravidanza,</w:t>
      </w:r>
      <w:r w:rsidRPr="00FC5B3E" w:rsidR="00E36447">
        <w:rPr>
          <w:sz w:val="22"/>
          <w:szCs w:val="22"/>
        </w:rPr>
        <w:t xml:space="preserve"> </w:t>
      </w:r>
      <w:r w:rsidRPr="00FC5B3E">
        <w:rPr>
          <w:sz w:val="22"/>
          <w:szCs w:val="22"/>
        </w:rPr>
        <w:t>rispetto a madri che avevano la stessa patologia ma che non avevano ricevuto Humira.</w:t>
      </w:r>
    </w:p>
    <w:p w:rsidR="00FC5B3E" w:rsidRPr="00FC5B3E" w:rsidP="007E6E3E" w14:paraId="5FBCAFD7" w14:textId="77777777">
      <w:pPr>
        <w:pStyle w:val="ListParagraph"/>
        <w:keepNext/>
        <w:numPr>
          <w:ilvl w:val="0"/>
          <w:numId w:val="146"/>
        </w:numPr>
        <w:tabs>
          <w:tab w:val="left" w:pos="567"/>
        </w:tabs>
        <w:ind w:left="426" w:right="-2"/>
        <w:jc w:val="both"/>
        <w:rPr>
          <w:sz w:val="22"/>
          <w:szCs w:val="22"/>
        </w:rPr>
      </w:pPr>
      <w:r w:rsidRPr="00FC5B3E">
        <w:rPr>
          <w:sz w:val="22"/>
          <w:szCs w:val="22"/>
        </w:rPr>
        <w:t>Humira può essere usato durante l’allattamento con latte materno</w:t>
      </w:r>
      <w:r>
        <w:rPr>
          <w:sz w:val="22"/>
          <w:szCs w:val="22"/>
        </w:rPr>
        <w:t>.</w:t>
      </w:r>
    </w:p>
    <w:p w:rsidR="00FC5B3E" w:rsidP="007E6E3E" w14:paraId="64B2A218" w14:textId="77777777">
      <w:pPr>
        <w:pStyle w:val="ListParagraph"/>
        <w:keepNext/>
        <w:numPr>
          <w:ilvl w:val="0"/>
          <w:numId w:val="146"/>
        </w:numPr>
        <w:tabs>
          <w:tab w:val="left" w:pos="567"/>
        </w:tabs>
        <w:ind w:left="426" w:right="-2"/>
        <w:jc w:val="both"/>
        <w:rPr>
          <w:sz w:val="22"/>
          <w:szCs w:val="22"/>
        </w:rPr>
      </w:pPr>
      <w:r w:rsidRPr="00295E71">
        <w:rPr>
          <w:sz w:val="22"/>
          <w:szCs w:val="22"/>
        </w:rPr>
        <w:t>Se assu</w:t>
      </w:r>
      <w:r w:rsidR="003D1249">
        <w:rPr>
          <w:sz w:val="22"/>
          <w:szCs w:val="22"/>
        </w:rPr>
        <w:t>me</w:t>
      </w:r>
      <w:r w:rsidRPr="00295E71">
        <w:rPr>
          <w:sz w:val="22"/>
          <w:szCs w:val="22"/>
        </w:rPr>
        <w:t xml:space="preserve"> Humira durante la gravidanza, il bambino potrebbe avere un maggior rischio di contrarre un’infezione. </w:t>
      </w:r>
    </w:p>
    <w:p w:rsidR="00C26956" w:rsidRPr="00295E71" w:rsidP="007E6E3E" w14:paraId="34016E80" w14:textId="77777777">
      <w:pPr>
        <w:pStyle w:val="ListParagraph"/>
        <w:keepNext/>
        <w:numPr>
          <w:ilvl w:val="0"/>
          <w:numId w:val="146"/>
        </w:numPr>
        <w:tabs>
          <w:tab w:val="left" w:pos="567"/>
        </w:tabs>
        <w:ind w:left="426" w:right="-2"/>
        <w:jc w:val="both"/>
        <w:rPr>
          <w:sz w:val="22"/>
          <w:szCs w:val="22"/>
        </w:rPr>
      </w:pPr>
      <w:r w:rsidRPr="00295E71">
        <w:rPr>
          <w:sz w:val="22"/>
          <w:szCs w:val="22"/>
        </w:rPr>
        <w:t xml:space="preserve">É importante che lei riferisca al pediatra o ad altro operatore sanitario del suo utilizzo di Humira durante la gravidanza, prima che il bambino riceva qualsiasi tipo di vaccinazione. Per ulteriori informazioni </w:t>
      </w:r>
      <w:r w:rsidR="00FC5B3E">
        <w:rPr>
          <w:sz w:val="22"/>
          <w:szCs w:val="22"/>
        </w:rPr>
        <w:t>su</w:t>
      </w:r>
      <w:r w:rsidR="00B6380B">
        <w:rPr>
          <w:sz w:val="22"/>
          <w:szCs w:val="22"/>
        </w:rPr>
        <w:t>lle vaccinazioni</w:t>
      </w:r>
      <w:r w:rsidR="00FC5B3E">
        <w:rPr>
          <w:sz w:val="22"/>
          <w:szCs w:val="22"/>
        </w:rPr>
        <w:t xml:space="preserve"> consulti la sezione </w:t>
      </w:r>
      <w:r w:rsidRPr="00383EC6" w:rsidR="00FC5B3E">
        <w:rPr>
          <w:sz w:val="22"/>
          <w:szCs w:val="22"/>
        </w:rPr>
        <w:t>“Avvertenze e precauzioni</w:t>
      </w:r>
      <w:r w:rsidR="00FC5B3E">
        <w:rPr>
          <w:sz w:val="22"/>
          <w:szCs w:val="22"/>
        </w:rPr>
        <w:t>”.</w:t>
      </w:r>
    </w:p>
    <w:p w:rsidR="00C26956" w:rsidRPr="00295E71" w:rsidP="00C26956" w14:paraId="35F9010A" w14:textId="77777777">
      <w:pPr>
        <w:pStyle w:val="Heading8"/>
        <w:keepNext w:val="0"/>
        <w:tabs>
          <w:tab w:val="left" w:pos="567"/>
        </w:tabs>
        <w:jc w:val="both"/>
        <w:rPr>
          <w:b w:val="0"/>
        </w:rPr>
      </w:pPr>
    </w:p>
    <w:p w:rsidR="00C26956" w:rsidRPr="00295E71" w:rsidP="00C26956" w14:paraId="2CA99CA0" w14:textId="77777777">
      <w:pPr>
        <w:pStyle w:val="Heading8"/>
        <w:keepNext w:val="0"/>
        <w:tabs>
          <w:tab w:val="left" w:pos="567"/>
        </w:tabs>
        <w:jc w:val="both"/>
      </w:pPr>
      <w:r w:rsidRPr="00295E71">
        <w:t>Guida di veicoli e utilizzo di macchinari</w:t>
      </w:r>
    </w:p>
    <w:p w:rsidR="00C26956" w:rsidRPr="00295E71" w:rsidP="00C26956" w14:paraId="01EA5E40" w14:textId="77777777">
      <w:pPr>
        <w:numPr>
          <w:ilvl w:val="12"/>
          <w:numId w:val="0"/>
        </w:numPr>
        <w:tabs>
          <w:tab w:val="left" w:pos="567"/>
        </w:tabs>
        <w:ind w:right="-2"/>
        <w:jc w:val="both"/>
        <w:rPr>
          <w:sz w:val="22"/>
          <w:szCs w:val="22"/>
        </w:rPr>
      </w:pPr>
    </w:p>
    <w:p w:rsidR="00C26956" w:rsidP="00C26956" w14:paraId="172E729A" w14:textId="77777777">
      <w:pPr>
        <w:numPr>
          <w:ilvl w:val="12"/>
          <w:numId w:val="0"/>
        </w:numPr>
        <w:tabs>
          <w:tab w:val="left" w:pos="567"/>
        </w:tabs>
        <w:ind w:right="-2"/>
        <w:jc w:val="both"/>
        <w:rPr>
          <w:ins w:id="19961" w:author="AbbVie14" w:date="2025-05-09T11:14:00Z"/>
          <w:sz w:val="22"/>
          <w:szCs w:val="22"/>
        </w:rPr>
      </w:pPr>
      <w:r w:rsidRPr="00295E71">
        <w:rPr>
          <w:sz w:val="22"/>
          <w:szCs w:val="22"/>
        </w:rPr>
        <w:t xml:space="preserve">Humira può avere un piccolo effetto marginale sulla sua capacità di guidare, andare in bicicletta o utilizzare macchinari. In seguito all’assunzione di Humira, si possono avere disturbi della vista e la sensazione che l’ambiente in cui ci si trova ruoti.  </w:t>
      </w:r>
    </w:p>
    <w:p w:rsidR="00703B41" w:rsidP="00C26956" w14:paraId="6BEF3E02" w14:textId="77777777">
      <w:pPr>
        <w:numPr>
          <w:ilvl w:val="12"/>
          <w:numId w:val="0"/>
        </w:numPr>
        <w:tabs>
          <w:tab w:val="left" w:pos="567"/>
        </w:tabs>
        <w:ind w:right="-2"/>
        <w:jc w:val="both"/>
        <w:rPr>
          <w:ins w:id="19962" w:author="AbbVie14" w:date="2025-05-09T11:14:00Z"/>
          <w:sz w:val="22"/>
          <w:szCs w:val="22"/>
        </w:rPr>
      </w:pPr>
    </w:p>
    <w:p w:rsidR="00703B41" w:rsidRPr="005835DB" w:rsidP="00703B41" w14:paraId="542ACF2E" w14:textId="77777777">
      <w:pPr>
        <w:pStyle w:val="BodyText2"/>
        <w:keepNext/>
        <w:jc w:val="both"/>
        <w:rPr>
          <w:ins w:id="19963" w:author="AbbVie14" w:date="2025-05-09T11:15:00Z"/>
          <w:b/>
          <w:bCs/>
        </w:rPr>
      </w:pPr>
      <w:ins w:id="19964" w:author="AbbVie14" w:date="2025-05-09T11:15:00Z">
        <w:r w:rsidRPr="005835DB">
          <w:rPr>
            <w:b/>
            <w:bCs/>
          </w:rPr>
          <w:t>Humira contiene polisorbato</w:t>
        </w:r>
      </w:ins>
    </w:p>
    <w:p w:rsidR="00703B41" w:rsidP="00703B41" w14:paraId="095B0CAD" w14:textId="77777777">
      <w:pPr>
        <w:pStyle w:val="BodyText2"/>
        <w:keepNext/>
        <w:jc w:val="both"/>
        <w:rPr>
          <w:ins w:id="19965" w:author="AbbVie14" w:date="2025-05-09T11:15:00Z"/>
        </w:rPr>
      </w:pPr>
    </w:p>
    <w:p w:rsidR="00703B41" w:rsidRPr="00703B41" w14:paraId="05021115" w14:textId="77777777">
      <w:pPr>
        <w:numPr>
          <w:ilvl w:val="0"/>
          <w:numId w:val="0"/>
        </w:numPr>
        <w:tabs>
          <w:tab w:val="left" w:pos="567"/>
        </w:tabs>
        <w:autoSpaceDE w:val="0"/>
        <w:autoSpaceDN w:val="0"/>
        <w:adjustRightInd w:val="0"/>
        <w:ind w:right="0"/>
        <w:jc w:val="both"/>
        <w:pPrChange w:id="19966" w:author="AbbVie14" w:date="2025-05-09T11:15:00Z">
          <w:pPr>
            <w:numPr>
              <w:ilvl w:val="12"/>
              <w:numId w:val="0"/>
            </w:numPr>
            <w:tabs>
              <w:tab w:val="left" w:pos="567"/>
            </w:tabs>
            <w:ind w:right="-2"/>
            <w:jc w:val="both"/>
          </w:pPr>
        </w:pPrChange>
        <w:rPr>
          <w:sz w:val="24"/>
          <w:szCs w:val="24"/>
          <w:rPrChange w:id="19967" w:author="AbbVie14" w:date="2025-05-09T11:15:00Z">
            <w:rPr>
              <w:sz w:val="22"/>
              <w:szCs w:val="22"/>
            </w:rPr>
          </w:rPrChange>
        </w:rPr>
      </w:pPr>
      <w:ins w:id="19968" w:author="AbbVie14" w:date="2025-05-09T11:15:00Z">
        <w:r w:rsidRPr="00BE2419">
          <w:rPr>
            <w:color w:val="000000"/>
            <w:sz w:val="22"/>
            <w:szCs w:val="22"/>
            <w:highlight w:val="none"/>
            <w:rPrChange w:id="19969" w:author="AbbVie14" w:date="2025-05-09T11:33:00Z">
              <w:rPr>
                <w:color w:val="000000"/>
                <w:sz w:val="22"/>
                <w:szCs w:val="22"/>
                <w:highlight w:val="yellow"/>
              </w:rPr>
            </w:rPrChange>
          </w:rPr>
          <w:t xml:space="preserve">Questo medicinale contiene 0,4 mg di polisorbato 80 per ogni dose </w:t>
        </w:r>
      </w:ins>
      <w:ins w:id="19970" w:author="AbbVie14" w:date="2025-05-09T11:33:00Z">
        <w:r w:rsidR="00BE2419">
          <w:rPr>
            <w:color w:val="000000"/>
            <w:sz w:val="22"/>
            <w:szCs w:val="22"/>
          </w:rPr>
          <w:t>d</w:t>
        </w:r>
      </w:ins>
      <w:ins w:id="19971" w:author="AbbVie14" w:date="2025-05-09T11:15:00Z">
        <w:r w:rsidRPr="00BE2419">
          <w:rPr>
            <w:color w:val="000000"/>
            <w:sz w:val="22"/>
            <w:szCs w:val="22"/>
            <w:highlight w:val="none"/>
            <w:rPrChange w:id="19972" w:author="AbbVie14" w:date="2025-05-09T11:33:00Z">
              <w:rPr>
                <w:color w:val="000000"/>
                <w:sz w:val="22"/>
                <w:szCs w:val="22"/>
                <w:highlight w:val="yellow"/>
              </w:rPr>
            </w:rPrChange>
          </w:rPr>
          <w:t>a 40 mg.</w:t>
        </w:r>
      </w:ins>
      <w:ins w:id="19973" w:author="AbbVie14" w:date="2025-05-09T11:15:00Z">
        <w:r w:rsidRPr="00BE2419">
          <w:rPr>
            <w:color w:val="000000"/>
            <w:sz w:val="22"/>
            <w:szCs w:val="22"/>
          </w:rPr>
          <w:t xml:space="preserve"> I polisorba</w:t>
        </w:r>
      </w:ins>
      <w:ins w:id="19974" w:author="AbbVie14" w:date="2025-05-09T11:34:00Z">
        <w:r w:rsidR="00BE2419">
          <w:rPr>
            <w:color w:val="000000"/>
            <w:sz w:val="22"/>
            <w:szCs w:val="22"/>
          </w:rPr>
          <w:t>ti possono provocare</w:t>
        </w:r>
      </w:ins>
      <w:ins w:id="19975" w:author="AbbVie14" w:date="2025-05-09T11:15:00Z">
        <w:r w:rsidRPr="00BE2419">
          <w:rPr>
            <w:color w:val="000000"/>
            <w:sz w:val="22"/>
            <w:szCs w:val="22"/>
          </w:rPr>
          <w:t xml:space="preserve"> reazioni allergiche. Informi il medico se ha allergie note.</w:t>
        </w:r>
      </w:ins>
    </w:p>
    <w:p w:rsidR="00C26956" w:rsidRPr="00295E71" w:rsidP="00C26956" w14:paraId="3B560A00" w14:textId="77777777">
      <w:pPr>
        <w:rPr>
          <w:sz w:val="22"/>
          <w:szCs w:val="22"/>
        </w:rPr>
      </w:pPr>
    </w:p>
    <w:p w:rsidR="00C26956" w:rsidRPr="00295E71" w:rsidP="00C26956" w14:paraId="6ECA84C1" w14:textId="77777777">
      <w:pPr>
        <w:rPr>
          <w:sz w:val="22"/>
          <w:szCs w:val="22"/>
        </w:rPr>
      </w:pPr>
    </w:p>
    <w:p w:rsidR="00C26956" w:rsidRPr="00295E71" w:rsidP="00C26956" w14:paraId="6A53C963" w14:textId="77777777">
      <w:pPr>
        <w:keepNext/>
        <w:rPr>
          <w:b/>
          <w:bCs/>
          <w:sz w:val="22"/>
          <w:szCs w:val="22"/>
        </w:rPr>
      </w:pPr>
      <w:r w:rsidRPr="00295E71">
        <w:rPr>
          <w:b/>
          <w:bCs/>
          <w:sz w:val="22"/>
          <w:szCs w:val="22"/>
        </w:rPr>
        <w:t>3.</w:t>
      </w:r>
      <w:r w:rsidRPr="00295E71">
        <w:rPr>
          <w:b/>
          <w:bCs/>
          <w:sz w:val="22"/>
          <w:szCs w:val="22"/>
        </w:rPr>
        <w:tab/>
        <w:t>Come usare Humira</w:t>
      </w:r>
    </w:p>
    <w:p w:rsidR="00C26956" w:rsidRPr="00295E71" w:rsidP="00C26956" w14:paraId="2B61BCBF" w14:textId="77777777">
      <w:pPr>
        <w:keepNext/>
        <w:numPr>
          <w:ilvl w:val="12"/>
          <w:numId w:val="0"/>
        </w:numPr>
        <w:tabs>
          <w:tab w:val="left" w:pos="567"/>
        </w:tabs>
        <w:ind w:right="-2"/>
        <w:jc w:val="both"/>
        <w:rPr>
          <w:sz w:val="22"/>
          <w:szCs w:val="22"/>
        </w:rPr>
      </w:pPr>
    </w:p>
    <w:p w:rsidR="00C26956" w:rsidRPr="00295E71" w:rsidP="00C26956" w14:paraId="5F92C6CC" w14:textId="77777777">
      <w:pPr>
        <w:keepNext/>
        <w:numPr>
          <w:ilvl w:val="12"/>
          <w:numId w:val="0"/>
        </w:numPr>
        <w:tabs>
          <w:tab w:val="left" w:pos="567"/>
        </w:tabs>
        <w:ind w:right="-2"/>
        <w:rPr>
          <w:sz w:val="22"/>
          <w:szCs w:val="22"/>
        </w:rPr>
      </w:pPr>
      <w:r w:rsidRPr="00295E71">
        <w:rPr>
          <w:sz w:val="22"/>
          <w:szCs w:val="22"/>
        </w:rPr>
        <w:t xml:space="preserve">Usi questo medicinale seguendo sempre esattamente le istruzioni del medico o del farmacista. Se ha dubbi, consulti il medico o il farmacista. </w:t>
      </w:r>
    </w:p>
    <w:p w:rsidR="00C26956" w:rsidRPr="00295E71" w:rsidP="00C26956" w14:paraId="1CE17107" w14:textId="77777777">
      <w:pPr>
        <w:keepNext/>
        <w:numPr>
          <w:ilvl w:val="12"/>
          <w:numId w:val="0"/>
        </w:numPr>
        <w:tabs>
          <w:tab w:val="left" w:pos="567"/>
        </w:tabs>
        <w:ind w:right="-2"/>
        <w:rPr>
          <w:sz w:val="22"/>
          <w:szCs w:val="22"/>
        </w:rPr>
      </w:pPr>
    </w:p>
    <w:p w:rsidR="00C26956" w:rsidRPr="00295E71" w:rsidP="00C26956" w14:paraId="0FB9E91F" w14:textId="77777777">
      <w:pPr>
        <w:keepNext/>
        <w:numPr>
          <w:ilvl w:val="12"/>
          <w:numId w:val="0"/>
        </w:numPr>
        <w:tabs>
          <w:tab w:val="left" w:pos="567"/>
        </w:tabs>
        <w:ind w:right="-2"/>
        <w:rPr>
          <w:sz w:val="22"/>
          <w:szCs w:val="22"/>
        </w:rPr>
      </w:pPr>
      <w:r w:rsidRPr="00295E71">
        <w:rPr>
          <w:sz w:val="22"/>
          <w:szCs w:val="22"/>
        </w:rPr>
        <w:t>Le dosi raccomandate di Humira in ciascuna indicazione approvata sono elencate nella seguente tabella. Il medico potrebbe prescrivere un’altra concentrazione di Humira se necessita di una dose differente.</w:t>
      </w:r>
    </w:p>
    <w:p w:rsidR="00C26956" w:rsidRPr="00295E71" w:rsidP="00C26956" w14:paraId="6A30F9FD" w14:textId="77777777">
      <w:pPr>
        <w:numPr>
          <w:ilvl w:val="12"/>
          <w:numId w:val="0"/>
        </w:numPr>
        <w:tabs>
          <w:tab w:val="left" w:pos="567"/>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0"/>
        <w:gridCol w:w="3021"/>
        <w:gridCol w:w="3029"/>
      </w:tblGrid>
      <w:tr w14:paraId="58E2A0BC" w14:textId="77777777" w:rsidTr="009D52F1">
        <w:tblPrEx>
          <w:tblW w:w="0" w:type="auto"/>
          <w:tblLook w:val="04A0"/>
        </w:tblPrEx>
        <w:tc>
          <w:tcPr>
            <w:tcW w:w="9286" w:type="dxa"/>
            <w:gridSpan w:val="3"/>
          </w:tcPr>
          <w:p w:rsidR="00C26956" w:rsidRPr="00295E71" w:rsidP="009D52F1" w14:paraId="73F353CC" w14:textId="77777777">
            <w:pPr>
              <w:keepNext/>
              <w:numPr>
                <w:ilvl w:val="12"/>
                <w:numId w:val="0"/>
              </w:numPr>
              <w:ind w:right="-2"/>
              <w:rPr>
                <w:b/>
                <w:sz w:val="22"/>
                <w:szCs w:val="22"/>
              </w:rPr>
            </w:pPr>
            <w:r w:rsidRPr="00295E71">
              <w:rPr>
                <w:b/>
                <w:sz w:val="22"/>
                <w:szCs w:val="22"/>
              </w:rPr>
              <w:t>Artrite reumatoide, artrite psoriasica, spondilite anchilosante o spondiloartrite assiale senza evidenza radiografica di spondilite anchilosante</w:t>
            </w:r>
          </w:p>
        </w:tc>
      </w:tr>
      <w:tr w14:paraId="2CE8314E" w14:textId="77777777" w:rsidTr="009D52F1">
        <w:tblPrEx>
          <w:tblW w:w="0" w:type="auto"/>
          <w:tblLook w:val="04A0"/>
        </w:tblPrEx>
        <w:tc>
          <w:tcPr>
            <w:tcW w:w="3094" w:type="dxa"/>
          </w:tcPr>
          <w:p w:rsidR="00C26956" w:rsidRPr="00295E71" w:rsidP="009D52F1" w14:paraId="093D2E3B" w14:textId="77777777">
            <w:pPr>
              <w:keepNext/>
              <w:numPr>
                <w:ilvl w:val="12"/>
                <w:numId w:val="0"/>
              </w:numPr>
              <w:ind w:right="-2"/>
              <w:rPr>
                <w:sz w:val="22"/>
                <w:szCs w:val="22"/>
              </w:rPr>
            </w:pPr>
          </w:p>
          <w:p w:rsidR="00C26956" w:rsidRPr="00295E71" w:rsidP="009D52F1" w14:paraId="0B23506C" w14:textId="77777777">
            <w:pPr>
              <w:keepNext/>
              <w:numPr>
                <w:ilvl w:val="12"/>
                <w:numId w:val="0"/>
              </w:numPr>
              <w:ind w:right="-2"/>
              <w:rPr>
                <w:sz w:val="22"/>
                <w:szCs w:val="22"/>
              </w:rPr>
            </w:pPr>
            <w:r w:rsidRPr="00295E71">
              <w:rPr>
                <w:b/>
                <w:sz w:val="22"/>
                <w:szCs w:val="22"/>
              </w:rPr>
              <w:t>Età o peso corporeo</w:t>
            </w:r>
          </w:p>
        </w:tc>
        <w:tc>
          <w:tcPr>
            <w:tcW w:w="3096" w:type="dxa"/>
          </w:tcPr>
          <w:p w:rsidR="00C26956" w:rsidRPr="00295E71" w:rsidP="009D52F1" w14:paraId="64D1018B" w14:textId="77777777">
            <w:pPr>
              <w:keepNext/>
              <w:numPr>
                <w:ilvl w:val="12"/>
                <w:numId w:val="0"/>
              </w:numPr>
              <w:ind w:right="-2"/>
              <w:rPr>
                <w:sz w:val="22"/>
                <w:szCs w:val="22"/>
              </w:rPr>
            </w:pPr>
            <w:r w:rsidRPr="00295E71">
              <w:rPr>
                <w:b/>
                <w:sz w:val="22"/>
                <w:szCs w:val="22"/>
              </w:rPr>
              <w:t>Che quantità ne va assunta e con che frequenza?</w:t>
            </w:r>
          </w:p>
        </w:tc>
        <w:tc>
          <w:tcPr>
            <w:tcW w:w="3096" w:type="dxa"/>
          </w:tcPr>
          <w:p w:rsidR="00C26956" w:rsidRPr="00295E71" w:rsidP="009D52F1" w14:paraId="4135282F" w14:textId="77777777">
            <w:pPr>
              <w:keepNext/>
              <w:numPr>
                <w:ilvl w:val="12"/>
                <w:numId w:val="0"/>
              </w:numPr>
              <w:ind w:right="-2"/>
              <w:rPr>
                <w:sz w:val="22"/>
                <w:szCs w:val="22"/>
              </w:rPr>
            </w:pPr>
          </w:p>
          <w:p w:rsidR="00C26956" w:rsidRPr="00295E71" w:rsidP="009D52F1" w14:paraId="2F536220" w14:textId="77777777">
            <w:pPr>
              <w:keepNext/>
              <w:numPr>
                <w:ilvl w:val="12"/>
                <w:numId w:val="0"/>
              </w:numPr>
              <w:ind w:right="-2"/>
              <w:rPr>
                <w:sz w:val="22"/>
                <w:szCs w:val="22"/>
              </w:rPr>
            </w:pPr>
            <w:r w:rsidRPr="00295E71">
              <w:rPr>
                <w:b/>
                <w:sz w:val="22"/>
                <w:szCs w:val="22"/>
              </w:rPr>
              <w:t>Note</w:t>
            </w:r>
          </w:p>
        </w:tc>
      </w:tr>
      <w:tr w14:paraId="30930DAD" w14:textId="77777777" w:rsidTr="009D52F1">
        <w:tblPrEx>
          <w:tblW w:w="0" w:type="auto"/>
          <w:tblLook w:val="04A0"/>
        </w:tblPrEx>
        <w:tc>
          <w:tcPr>
            <w:tcW w:w="3094" w:type="dxa"/>
          </w:tcPr>
          <w:p w:rsidR="00C26956" w:rsidRPr="00295E71" w:rsidP="009D52F1" w14:paraId="62B84258" w14:textId="77777777">
            <w:pPr>
              <w:keepNext/>
              <w:numPr>
                <w:ilvl w:val="12"/>
                <w:numId w:val="0"/>
              </w:numPr>
              <w:ind w:right="-2"/>
              <w:rPr>
                <w:sz w:val="22"/>
                <w:szCs w:val="22"/>
              </w:rPr>
            </w:pPr>
            <w:r w:rsidRPr="00295E71">
              <w:rPr>
                <w:sz w:val="22"/>
                <w:szCs w:val="22"/>
              </w:rPr>
              <w:t>Adulti</w:t>
            </w:r>
          </w:p>
        </w:tc>
        <w:tc>
          <w:tcPr>
            <w:tcW w:w="3096" w:type="dxa"/>
          </w:tcPr>
          <w:p w:rsidR="00C26956" w:rsidRPr="00295E71" w:rsidP="009D52F1" w14:paraId="51D60EF9" w14:textId="77777777">
            <w:pPr>
              <w:keepNext/>
              <w:numPr>
                <w:ilvl w:val="12"/>
                <w:numId w:val="0"/>
              </w:numPr>
              <w:ind w:right="-2"/>
              <w:rPr>
                <w:sz w:val="22"/>
                <w:szCs w:val="22"/>
              </w:rPr>
            </w:pPr>
            <w:r w:rsidRPr="00295E71">
              <w:rPr>
                <w:sz w:val="22"/>
                <w:szCs w:val="22"/>
              </w:rPr>
              <w:t>40 mg a settimane alterne</w:t>
            </w:r>
          </w:p>
        </w:tc>
        <w:tc>
          <w:tcPr>
            <w:tcW w:w="3096" w:type="dxa"/>
          </w:tcPr>
          <w:p w:rsidR="00C26956" w:rsidRPr="00295E71" w:rsidP="009D52F1" w14:paraId="1C093A9B" w14:textId="77777777">
            <w:pPr>
              <w:keepNext/>
              <w:numPr>
                <w:ilvl w:val="12"/>
                <w:numId w:val="0"/>
              </w:numPr>
              <w:tabs>
                <w:tab w:val="left" w:pos="567"/>
              </w:tabs>
              <w:ind w:right="-2"/>
              <w:rPr>
                <w:sz w:val="22"/>
                <w:szCs w:val="22"/>
              </w:rPr>
            </w:pPr>
            <w:r w:rsidRPr="00295E71">
              <w:rPr>
                <w:sz w:val="22"/>
                <w:szCs w:val="22"/>
              </w:rPr>
              <w:t>Nell’artrite reumatoide si continua ad assumere il metotressato durante il trattamento con Humira. Se il medico decide che il metotressato non è appropriato, Humira può essere somministrato da solo.</w:t>
            </w:r>
          </w:p>
          <w:p w:rsidR="00C26956" w:rsidRPr="00295E71" w:rsidP="009D52F1" w14:paraId="2919FF1D" w14:textId="77777777">
            <w:pPr>
              <w:keepNext/>
              <w:numPr>
                <w:ilvl w:val="12"/>
                <w:numId w:val="0"/>
              </w:numPr>
              <w:ind w:right="-2"/>
              <w:rPr>
                <w:sz w:val="22"/>
                <w:szCs w:val="22"/>
              </w:rPr>
            </w:pPr>
          </w:p>
          <w:p w:rsidR="00C26956" w:rsidRPr="00295E71" w:rsidP="009D52F1" w14:paraId="655CB4DA" w14:textId="77777777">
            <w:pPr>
              <w:keepNext/>
              <w:numPr>
                <w:ilvl w:val="12"/>
                <w:numId w:val="0"/>
              </w:numPr>
              <w:ind w:right="-2"/>
              <w:rPr>
                <w:sz w:val="22"/>
                <w:szCs w:val="22"/>
              </w:rPr>
            </w:pPr>
            <w:r w:rsidRPr="00295E71">
              <w:rPr>
                <w:sz w:val="22"/>
                <w:szCs w:val="22"/>
              </w:rPr>
              <w:t>Se è affetto da artrite reumatoide e non assume metotressato in associazione ad Humira, il medico può decidere di prescriverle 40 mg di Humira ogni settimana</w:t>
            </w:r>
            <w:r w:rsidRPr="00295E71" w:rsidR="002D0546">
              <w:rPr>
                <w:sz w:val="22"/>
                <w:szCs w:val="22"/>
              </w:rPr>
              <w:t xml:space="preserve"> o 80 mg a settimane alterne</w:t>
            </w:r>
            <w:r w:rsidRPr="00295E71">
              <w:rPr>
                <w:sz w:val="22"/>
                <w:szCs w:val="22"/>
              </w:rPr>
              <w:t>.</w:t>
            </w:r>
          </w:p>
        </w:tc>
      </w:tr>
    </w:tbl>
    <w:p w:rsidR="00C26956" w:rsidRPr="00295E71" w:rsidP="00C26956" w14:paraId="148070B4" w14:textId="77777777">
      <w:pPr>
        <w:numPr>
          <w:ilvl w:val="12"/>
          <w:numId w:val="0"/>
        </w:numPr>
        <w:tabs>
          <w:tab w:val="left" w:pos="567"/>
        </w:tabs>
        <w:ind w:right="-2"/>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9"/>
        <w:gridCol w:w="3024"/>
        <w:gridCol w:w="3017"/>
      </w:tblGrid>
      <w:tr w14:paraId="5A4B03ED" w14:textId="77777777" w:rsidTr="009D52F1">
        <w:tblPrEx>
          <w:tblW w:w="0" w:type="auto"/>
          <w:tblLook w:val="04A0"/>
        </w:tblPrEx>
        <w:tc>
          <w:tcPr>
            <w:tcW w:w="9286" w:type="dxa"/>
            <w:gridSpan w:val="3"/>
          </w:tcPr>
          <w:p w:rsidR="00C26956" w:rsidRPr="00295E71" w:rsidP="009D52F1" w14:paraId="1E706E7A" w14:textId="77777777">
            <w:pPr>
              <w:numPr>
                <w:ilvl w:val="12"/>
                <w:numId w:val="0"/>
              </w:numPr>
              <w:ind w:right="-2"/>
              <w:rPr>
                <w:sz w:val="22"/>
                <w:szCs w:val="22"/>
              </w:rPr>
            </w:pPr>
            <w:r w:rsidRPr="00295E71">
              <w:rPr>
                <w:b/>
                <w:sz w:val="22"/>
                <w:szCs w:val="22"/>
              </w:rPr>
              <w:t>Artrite idiopatica giovanile poliarticolare</w:t>
            </w:r>
          </w:p>
        </w:tc>
      </w:tr>
      <w:tr w14:paraId="6A340A8C" w14:textId="77777777" w:rsidTr="009D52F1">
        <w:tblPrEx>
          <w:tblW w:w="0" w:type="auto"/>
          <w:tblLook w:val="04A0"/>
        </w:tblPrEx>
        <w:tc>
          <w:tcPr>
            <w:tcW w:w="3094" w:type="dxa"/>
          </w:tcPr>
          <w:p w:rsidR="00C26956" w:rsidRPr="00295E71" w:rsidP="009D52F1" w14:paraId="0AE2917D" w14:textId="77777777">
            <w:pPr>
              <w:numPr>
                <w:ilvl w:val="12"/>
                <w:numId w:val="0"/>
              </w:numPr>
              <w:ind w:right="-2"/>
              <w:rPr>
                <w:sz w:val="22"/>
                <w:szCs w:val="22"/>
              </w:rPr>
            </w:pPr>
          </w:p>
          <w:p w:rsidR="00C26956" w:rsidRPr="00295E71" w:rsidP="009D52F1" w14:paraId="30F41B96" w14:textId="77777777">
            <w:pPr>
              <w:numPr>
                <w:ilvl w:val="12"/>
                <w:numId w:val="0"/>
              </w:numPr>
              <w:ind w:right="-2"/>
              <w:rPr>
                <w:sz w:val="22"/>
                <w:szCs w:val="22"/>
              </w:rPr>
            </w:pPr>
            <w:r w:rsidRPr="00295E71">
              <w:rPr>
                <w:b/>
                <w:sz w:val="22"/>
                <w:szCs w:val="22"/>
              </w:rPr>
              <w:t>Età o peso corporeo</w:t>
            </w:r>
          </w:p>
        </w:tc>
        <w:tc>
          <w:tcPr>
            <w:tcW w:w="3096" w:type="dxa"/>
          </w:tcPr>
          <w:p w:rsidR="00C26956" w:rsidRPr="00295E71" w:rsidP="009D52F1" w14:paraId="1FD325A8" w14:textId="77777777">
            <w:pPr>
              <w:numPr>
                <w:ilvl w:val="12"/>
                <w:numId w:val="0"/>
              </w:numPr>
              <w:ind w:right="-2"/>
              <w:rPr>
                <w:sz w:val="22"/>
                <w:szCs w:val="22"/>
              </w:rPr>
            </w:pPr>
            <w:r w:rsidRPr="00295E71">
              <w:rPr>
                <w:b/>
                <w:sz w:val="22"/>
                <w:szCs w:val="22"/>
              </w:rPr>
              <w:t>Che quantità ne va assunta e con che frequenza?</w:t>
            </w:r>
          </w:p>
        </w:tc>
        <w:tc>
          <w:tcPr>
            <w:tcW w:w="3096" w:type="dxa"/>
          </w:tcPr>
          <w:p w:rsidR="00C26956" w:rsidRPr="00295E71" w:rsidP="009D52F1" w14:paraId="0258618C" w14:textId="77777777">
            <w:pPr>
              <w:numPr>
                <w:ilvl w:val="12"/>
                <w:numId w:val="0"/>
              </w:numPr>
              <w:ind w:right="-2"/>
              <w:rPr>
                <w:b/>
                <w:sz w:val="22"/>
                <w:szCs w:val="22"/>
              </w:rPr>
            </w:pPr>
          </w:p>
          <w:p w:rsidR="00C26956" w:rsidRPr="00295E71" w:rsidP="009D52F1" w14:paraId="13A2DE3A" w14:textId="77777777">
            <w:pPr>
              <w:numPr>
                <w:ilvl w:val="12"/>
                <w:numId w:val="0"/>
              </w:numPr>
              <w:ind w:right="-2"/>
              <w:rPr>
                <w:sz w:val="22"/>
                <w:szCs w:val="22"/>
              </w:rPr>
            </w:pPr>
            <w:r w:rsidRPr="00295E71">
              <w:rPr>
                <w:b/>
                <w:sz w:val="22"/>
                <w:szCs w:val="22"/>
              </w:rPr>
              <w:t>Note</w:t>
            </w:r>
          </w:p>
        </w:tc>
      </w:tr>
      <w:tr w14:paraId="71136D3E" w14:textId="77777777" w:rsidTr="009D52F1">
        <w:tblPrEx>
          <w:tblW w:w="0" w:type="auto"/>
          <w:tblLook w:val="04A0"/>
        </w:tblPrEx>
        <w:tc>
          <w:tcPr>
            <w:tcW w:w="3094" w:type="dxa"/>
          </w:tcPr>
          <w:p w:rsidR="00C26956" w:rsidRPr="00295E71" w:rsidP="009D52F1" w14:paraId="69858588" w14:textId="77777777">
            <w:pPr>
              <w:numPr>
                <w:ilvl w:val="12"/>
                <w:numId w:val="0"/>
              </w:numPr>
              <w:ind w:right="-2"/>
              <w:rPr>
                <w:sz w:val="22"/>
                <w:szCs w:val="22"/>
              </w:rPr>
            </w:pPr>
            <w:r w:rsidRPr="00295E71">
              <w:rPr>
                <w:sz w:val="22"/>
                <w:szCs w:val="22"/>
              </w:rPr>
              <w:t>Bambini, adolescenti e adulti a partire da 2 anni di età e con peso uguale o superiore a 30 kg</w:t>
            </w:r>
          </w:p>
        </w:tc>
        <w:tc>
          <w:tcPr>
            <w:tcW w:w="3096" w:type="dxa"/>
          </w:tcPr>
          <w:p w:rsidR="00C26956" w:rsidRPr="00295E71" w:rsidP="009D52F1" w14:paraId="4260A918" w14:textId="77777777">
            <w:pPr>
              <w:numPr>
                <w:ilvl w:val="12"/>
                <w:numId w:val="0"/>
              </w:numPr>
              <w:ind w:right="-2"/>
              <w:rPr>
                <w:sz w:val="22"/>
                <w:szCs w:val="22"/>
              </w:rPr>
            </w:pPr>
            <w:r w:rsidRPr="00295E71">
              <w:rPr>
                <w:sz w:val="22"/>
                <w:szCs w:val="22"/>
              </w:rPr>
              <w:t>40 mg a settimane alterne</w:t>
            </w:r>
          </w:p>
        </w:tc>
        <w:tc>
          <w:tcPr>
            <w:tcW w:w="3096" w:type="dxa"/>
          </w:tcPr>
          <w:p w:rsidR="00C26956" w:rsidRPr="00295E71" w:rsidP="009D52F1" w14:paraId="1143CCC5" w14:textId="77777777">
            <w:pPr>
              <w:numPr>
                <w:ilvl w:val="12"/>
                <w:numId w:val="0"/>
              </w:numPr>
              <w:ind w:right="-2"/>
              <w:rPr>
                <w:sz w:val="22"/>
                <w:szCs w:val="22"/>
              </w:rPr>
            </w:pPr>
            <w:r w:rsidRPr="00295E71">
              <w:rPr>
                <w:sz w:val="22"/>
                <w:szCs w:val="22"/>
              </w:rPr>
              <w:t>Non pertinente</w:t>
            </w:r>
          </w:p>
        </w:tc>
      </w:tr>
      <w:tr w14:paraId="326A4FC1" w14:textId="77777777" w:rsidTr="009D52F1">
        <w:tblPrEx>
          <w:tblW w:w="0" w:type="auto"/>
          <w:tblLook w:val="04A0"/>
        </w:tblPrEx>
        <w:tc>
          <w:tcPr>
            <w:tcW w:w="3094" w:type="dxa"/>
          </w:tcPr>
          <w:p w:rsidR="00C26956" w:rsidRPr="00295E71" w:rsidP="009D52F1" w14:paraId="1152CEE6" w14:textId="77777777">
            <w:pPr>
              <w:numPr>
                <w:ilvl w:val="12"/>
                <w:numId w:val="0"/>
              </w:numPr>
              <w:ind w:right="-2"/>
              <w:rPr>
                <w:sz w:val="22"/>
                <w:szCs w:val="22"/>
              </w:rPr>
            </w:pPr>
            <w:r w:rsidRPr="00295E71">
              <w:rPr>
                <w:sz w:val="22"/>
                <w:szCs w:val="22"/>
              </w:rPr>
              <w:t>Bambini e adolescenti a partire da 2 anni di età e con peso compreso tra 10 kg e meno di 30 kg</w:t>
            </w:r>
          </w:p>
        </w:tc>
        <w:tc>
          <w:tcPr>
            <w:tcW w:w="3096" w:type="dxa"/>
          </w:tcPr>
          <w:p w:rsidR="00C26956" w:rsidRPr="00295E71" w:rsidP="009D52F1" w14:paraId="30D80C45" w14:textId="77777777">
            <w:pPr>
              <w:numPr>
                <w:ilvl w:val="12"/>
                <w:numId w:val="0"/>
              </w:numPr>
              <w:ind w:right="-2"/>
              <w:rPr>
                <w:sz w:val="22"/>
                <w:szCs w:val="22"/>
              </w:rPr>
            </w:pPr>
            <w:r w:rsidRPr="00295E71">
              <w:rPr>
                <w:sz w:val="22"/>
                <w:szCs w:val="22"/>
              </w:rPr>
              <w:t>20 mg a settimane alterne</w:t>
            </w:r>
          </w:p>
        </w:tc>
        <w:tc>
          <w:tcPr>
            <w:tcW w:w="3096" w:type="dxa"/>
          </w:tcPr>
          <w:p w:rsidR="00C26956" w:rsidRPr="00295E71" w:rsidP="009D52F1" w14:paraId="6B5B8E2D" w14:textId="77777777">
            <w:pPr>
              <w:numPr>
                <w:ilvl w:val="12"/>
                <w:numId w:val="0"/>
              </w:numPr>
              <w:ind w:right="-2"/>
              <w:rPr>
                <w:sz w:val="22"/>
                <w:szCs w:val="22"/>
              </w:rPr>
            </w:pPr>
            <w:r w:rsidRPr="00295E71">
              <w:rPr>
                <w:sz w:val="22"/>
                <w:szCs w:val="22"/>
              </w:rPr>
              <w:t>Non pertinente</w:t>
            </w:r>
          </w:p>
        </w:tc>
      </w:tr>
    </w:tbl>
    <w:p w:rsidR="00C26956" w:rsidRPr="00295E71" w:rsidP="00C26956" w14:paraId="33827F3F" w14:textId="77777777">
      <w:pPr>
        <w:numPr>
          <w:ilvl w:val="12"/>
          <w:numId w:val="0"/>
        </w:numPr>
        <w:tabs>
          <w:tab w:val="left" w:pos="567"/>
        </w:tabs>
        <w:ind w:right="-2"/>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9"/>
        <w:gridCol w:w="3024"/>
        <w:gridCol w:w="3017"/>
      </w:tblGrid>
      <w:tr w14:paraId="4BB86744" w14:textId="77777777" w:rsidTr="009D52F1">
        <w:tblPrEx>
          <w:tblW w:w="0" w:type="auto"/>
          <w:tblLook w:val="04A0"/>
        </w:tblPrEx>
        <w:tc>
          <w:tcPr>
            <w:tcW w:w="9286" w:type="dxa"/>
            <w:gridSpan w:val="3"/>
          </w:tcPr>
          <w:p w:rsidR="00C26956" w:rsidRPr="00295E71" w:rsidP="009D52F1" w14:paraId="30586F73" w14:textId="77777777">
            <w:pPr>
              <w:numPr>
                <w:ilvl w:val="12"/>
                <w:numId w:val="0"/>
              </w:numPr>
              <w:ind w:right="-2"/>
              <w:rPr>
                <w:b/>
                <w:sz w:val="22"/>
                <w:szCs w:val="22"/>
              </w:rPr>
            </w:pPr>
            <w:r w:rsidRPr="00295E71">
              <w:rPr>
                <w:b/>
                <w:sz w:val="22"/>
                <w:szCs w:val="22"/>
              </w:rPr>
              <w:t>Artrite associata ad entesite</w:t>
            </w:r>
          </w:p>
        </w:tc>
      </w:tr>
      <w:tr w14:paraId="5F6D04EB" w14:textId="77777777" w:rsidTr="009D52F1">
        <w:tblPrEx>
          <w:tblW w:w="0" w:type="auto"/>
          <w:tblLook w:val="04A0"/>
        </w:tblPrEx>
        <w:tc>
          <w:tcPr>
            <w:tcW w:w="3094" w:type="dxa"/>
          </w:tcPr>
          <w:p w:rsidR="00C26956" w:rsidRPr="00295E71" w:rsidP="009D52F1" w14:paraId="7C5E8965" w14:textId="77777777">
            <w:pPr>
              <w:numPr>
                <w:ilvl w:val="12"/>
                <w:numId w:val="0"/>
              </w:numPr>
              <w:ind w:right="-2"/>
              <w:rPr>
                <w:sz w:val="22"/>
                <w:szCs w:val="22"/>
              </w:rPr>
            </w:pPr>
            <w:r w:rsidRPr="00295E71">
              <w:rPr>
                <w:b/>
                <w:sz w:val="22"/>
                <w:szCs w:val="22"/>
              </w:rPr>
              <w:t>Età o peso corporeo</w:t>
            </w:r>
          </w:p>
        </w:tc>
        <w:tc>
          <w:tcPr>
            <w:tcW w:w="3096" w:type="dxa"/>
          </w:tcPr>
          <w:p w:rsidR="00C26956" w:rsidRPr="00295E71" w:rsidP="009D52F1" w14:paraId="51C9E4E5" w14:textId="77777777">
            <w:pPr>
              <w:numPr>
                <w:ilvl w:val="12"/>
                <w:numId w:val="0"/>
              </w:numPr>
              <w:ind w:right="-2"/>
              <w:rPr>
                <w:sz w:val="22"/>
                <w:szCs w:val="22"/>
              </w:rPr>
            </w:pPr>
            <w:r w:rsidRPr="00295E71">
              <w:rPr>
                <w:b/>
                <w:sz w:val="22"/>
                <w:szCs w:val="22"/>
              </w:rPr>
              <w:t>Che quantità ne va assunta e con che frequenza?</w:t>
            </w:r>
          </w:p>
        </w:tc>
        <w:tc>
          <w:tcPr>
            <w:tcW w:w="3096" w:type="dxa"/>
          </w:tcPr>
          <w:p w:rsidR="00C26956" w:rsidRPr="00295E71" w:rsidP="009D52F1" w14:paraId="495F131C" w14:textId="77777777">
            <w:pPr>
              <w:numPr>
                <w:ilvl w:val="12"/>
                <w:numId w:val="0"/>
              </w:numPr>
              <w:ind w:right="-2"/>
              <w:rPr>
                <w:sz w:val="22"/>
                <w:szCs w:val="22"/>
              </w:rPr>
            </w:pPr>
            <w:r w:rsidRPr="00295E71">
              <w:rPr>
                <w:b/>
                <w:sz w:val="22"/>
                <w:szCs w:val="22"/>
              </w:rPr>
              <w:t>Note</w:t>
            </w:r>
          </w:p>
        </w:tc>
      </w:tr>
      <w:tr w14:paraId="3815FA56" w14:textId="77777777" w:rsidTr="009D52F1">
        <w:tblPrEx>
          <w:tblW w:w="0" w:type="auto"/>
          <w:tblLook w:val="04A0"/>
        </w:tblPrEx>
        <w:tc>
          <w:tcPr>
            <w:tcW w:w="3094" w:type="dxa"/>
          </w:tcPr>
          <w:p w:rsidR="00C26956" w:rsidRPr="00295E71" w:rsidP="009D52F1" w14:paraId="74628CDA" w14:textId="77777777">
            <w:pPr>
              <w:numPr>
                <w:ilvl w:val="12"/>
                <w:numId w:val="0"/>
              </w:numPr>
              <w:ind w:right="-2"/>
              <w:rPr>
                <w:sz w:val="22"/>
                <w:szCs w:val="22"/>
              </w:rPr>
            </w:pPr>
            <w:r w:rsidRPr="00295E71">
              <w:rPr>
                <w:sz w:val="22"/>
                <w:szCs w:val="22"/>
              </w:rPr>
              <w:t>Bambini, adolescenti e adulti a partire da 6 anni di età e con peso uguale o superiore a 30 kg</w:t>
            </w:r>
          </w:p>
        </w:tc>
        <w:tc>
          <w:tcPr>
            <w:tcW w:w="3096" w:type="dxa"/>
          </w:tcPr>
          <w:p w:rsidR="00C26956" w:rsidRPr="00295E71" w:rsidP="009D52F1" w14:paraId="03C26D1A" w14:textId="77777777">
            <w:pPr>
              <w:numPr>
                <w:ilvl w:val="12"/>
                <w:numId w:val="0"/>
              </w:numPr>
              <w:ind w:right="-2"/>
              <w:rPr>
                <w:sz w:val="22"/>
                <w:szCs w:val="22"/>
              </w:rPr>
            </w:pPr>
            <w:r w:rsidRPr="00295E71">
              <w:rPr>
                <w:sz w:val="22"/>
                <w:szCs w:val="22"/>
              </w:rPr>
              <w:t>40 mg a settimane alterne</w:t>
            </w:r>
          </w:p>
        </w:tc>
        <w:tc>
          <w:tcPr>
            <w:tcW w:w="3096" w:type="dxa"/>
          </w:tcPr>
          <w:p w:rsidR="00C26956" w:rsidRPr="00295E71" w:rsidP="009D52F1" w14:paraId="54E0331E" w14:textId="77777777">
            <w:pPr>
              <w:numPr>
                <w:ilvl w:val="12"/>
                <w:numId w:val="0"/>
              </w:numPr>
              <w:ind w:right="-2"/>
              <w:rPr>
                <w:sz w:val="22"/>
                <w:szCs w:val="22"/>
              </w:rPr>
            </w:pPr>
            <w:r w:rsidRPr="00295E71">
              <w:rPr>
                <w:sz w:val="22"/>
                <w:szCs w:val="22"/>
              </w:rPr>
              <w:t>Non pertinente</w:t>
            </w:r>
          </w:p>
        </w:tc>
      </w:tr>
      <w:tr w14:paraId="765FAAFD" w14:textId="77777777" w:rsidTr="009D52F1">
        <w:tblPrEx>
          <w:tblW w:w="0" w:type="auto"/>
          <w:tblLook w:val="04A0"/>
        </w:tblPrEx>
        <w:tc>
          <w:tcPr>
            <w:tcW w:w="3094" w:type="dxa"/>
          </w:tcPr>
          <w:p w:rsidR="00C26956" w:rsidRPr="00295E71" w:rsidP="009D52F1" w14:paraId="3E31996C" w14:textId="77777777">
            <w:pPr>
              <w:numPr>
                <w:ilvl w:val="12"/>
                <w:numId w:val="0"/>
              </w:numPr>
              <w:ind w:right="-2"/>
              <w:rPr>
                <w:sz w:val="22"/>
                <w:szCs w:val="22"/>
              </w:rPr>
            </w:pPr>
            <w:r w:rsidRPr="00295E71">
              <w:rPr>
                <w:sz w:val="22"/>
                <w:szCs w:val="22"/>
              </w:rPr>
              <w:t>Bambini e adolescenti a partire da 6 anni di età e con peso compreso tra 15 kg e meno di 30 kg</w:t>
            </w:r>
          </w:p>
        </w:tc>
        <w:tc>
          <w:tcPr>
            <w:tcW w:w="3096" w:type="dxa"/>
          </w:tcPr>
          <w:p w:rsidR="00C26956" w:rsidRPr="00295E71" w:rsidP="009D52F1" w14:paraId="0FD79875" w14:textId="77777777">
            <w:pPr>
              <w:numPr>
                <w:ilvl w:val="12"/>
                <w:numId w:val="0"/>
              </w:numPr>
              <w:ind w:right="-2"/>
              <w:rPr>
                <w:sz w:val="22"/>
                <w:szCs w:val="22"/>
              </w:rPr>
            </w:pPr>
            <w:r w:rsidRPr="00295E71">
              <w:rPr>
                <w:sz w:val="22"/>
                <w:szCs w:val="22"/>
              </w:rPr>
              <w:t>20 mg a settimane alterne</w:t>
            </w:r>
          </w:p>
        </w:tc>
        <w:tc>
          <w:tcPr>
            <w:tcW w:w="3096" w:type="dxa"/>
          </w:tcPr>
          <w:p w:rsidR="00C26956" w:rsidRPr="00295E71" w:rsidP="009D52F1" w14:paraId="5D007A46" w14:textId="77777777">
            <w:pPr>
              <w:numPr>
                <w:ilvl w:val="12"/>
                <w:numId w:val="0"/>
              </w:numPr>
              <w:ind w:right="-2"/>
              <w:rPr>
                <w:sz w:val="22"/>
                <w:szCs w:val="22"/>
              </w:rPr>
            </w:pPr>
            <w:r w:rsidRPr="00295E71">
              <w:rPr>
                <w:sz w:val="22"/>
                <w:szCs w:val="22"/>
              </w:rPr>
              <w:t>Non pertinente</w:t>
            </w:r>
          </w:p>
        </w:tc>
      </w:tr>
    </w:tbl>
    <w:p w:rsidR="00C26956" w:rsidRPr="00295E71" w:rsidP="00C26956" w14:paraId="4F2FAAC3" w14:textId="77777777">
      <w:pPr>
        <w:numPr>
          <w:ilvl w:val="12"/>
          <w:numId w:val="0"/>
        </w:numPr>
        <w:tabs>
          <w:tab w:val="left" w:pos="567"/>
        </w:tabs>
        <w:ind w:right="-2"/>
        <w:jc w:val="both"/>
        <w:rPr>
          <w:sz w:val="22"/>
          <w:szCs w:val="22"/>
          <w:u w:val="single"/>
        </w:rPr>
      </w:pPr>
    </w:p>
    <w:tbl>
      <w:tblPr>
        <w:tblStyle w:val="TableGrid"/>
        <w:tblW w:w="0" w:type="auto"/>
        <w:tblLook w:val="04A0"/>
      </w:tblPr>
      <w:tblGrid>
        <w:gridCol w:w="3014"/>
        <w:gridCol w:w="3031"/>
        <w:gridCol w:w="3015"/>
      </w:tblGrid>
      <w:tr w14:paraId="4A9CA902" w14:textId="77777777" w:rsidTr="009D52F1">
        <w:tblPrEx>
          <w:tblW w:w="0" w:type="auto"/>
          <w:tblLook w:val="04A0"/>
        </w:tblPrEx>
        <w:tc>
          <w:tcPr>
            <w:tcW w:w="3070" w:type="dxa"/>
          </w:tcPr>
          <w:p w:rsidR="00C26956" w:rsidRPr="00295E71" w:rsidP="009D52F1" w14:paraId="72B6E89B" w14:textId="77777777">
            <w:pPr>
              <w:numPr>
                <w:ilvl w:val="12"/>
                <w:numId w:val="0"/>
              </w:numPr>
              <w:tabs>
                <w:tab w:val="clear" w:pos="562"/>
                <w:tab w:val="left" w:pos="567"/>
              </w:tabs>
              <w:ind w:right="-2"/>
              <w:jc w:val="both"/>
              <w:rPr>
                <w:sz w:val="22"/>
                <w:szCs w:val="22"/>
                <w:u w:val="single"/>
              </w:rPr>
            </w:pPr>
            <w:r w:rsidRPr="00295E71">
              <w:rPr>
                <w:b/>
                <w:sz w:val="22"/>
                <w:szCs w:val="22"/>
              </w:rPr>
              <w:t>Psoriasi a placche</w:t>
            </w:r>
          </w:p>
        </w:tc>
        <w:tc>
          <w:tcPr>
            <w:tcW w:w="3070" w:type="dxa"/>
          </w:tcPr>
          <w:p w:rsidR="00C26956" w:rsidRPr="00295E71" w:rsidP="009D52F1" w14:paraId="6E06867B" w14:textId="77777777">
            <w:pPr>
              <w:numPr>
                <w:ilvl w:val="12"/>
                <w:numId w:val="0"/>
              </w:numPr>
              <w:tabs>
                <w:tab w:val="clear" w:pos="562"/>
                <w:tab w:val="left" w:pos="567"/>
              </w:tabs>
              <w:ind w:right="-2"/>
              <w:jc w:val="both"/>
              <w:rPr>
                <w:sz w:val="22"/>
                <w:szCs w:val="22"/>
                <w:u w:val="single"/>
              </w:rPr>
            </w:pPr>
          </w:p>
        </w:tc>
        <w:tc>
          <w:tcPr>
            <w:tcW w:w="3070" w:type="dxa"/>
          </w:tcPr>
          <w:p w:rsidR="00C26956" w:rsidRPr="00295E71" w:rsidP="009D52F1" w14:paraId="0B620669" w14:textId="77777777">
            <w:pPr>
              <w:numPr>
                <w:ilvl w:val="12"/>
                <w:numId w:val="0"/>
              </w:numPr>
              <w:tabs>
                <w:tab w:val="clear" w:pos="562"/>
                <w:tab w:val="left" w:pos="567"/>
              </w:tabs>
              <w:ind w:right="-2"/>
              <w:jc w:val="both"/>
              <w:rPr>
                <w:sz w:val="22"/>
                <w:szCs w:val="22"/>
                <w:u w:val="single"/>
              </w:rPr>
            </w:pPr>
          </w:p>
        </w:tc>
      </w:tr>
      <w:tr w14:paraId="687EB676" w14:textId="77777777" w:rsidTr="009D52F1">
        <w:tblPrEx>
          <w:tblW w:w="0" w:type="auto"/>
          <w:tblLook w:val="04A0"/>
        </w:tblPrEx>
        <w:tc>
          <w:tcPr>
            <w:tcW w:w="3070" w:type="dxa"/>
          </w:tcPr>
          <w:p w:rsidR="00C26956" w:rsidRPr="00295E71" w:rsidP="009D52F1" w14:paraId="770C9AC6" w14:textId="77777777">
            <w:pPr>
              <w:numPr>
                <w:ilvl w:val="12"/>
                <w:numId w:val="0"/>
              </w:numPr>
              <w:tabs>
                <w:tab w:val="clear" w:pos="562"/>
                <w:tab w:val="left" w:pos="567"/>
              </w:tabs>
              <w:ind w:right="-2"/>
              <w:jc w:val="both"/>
              <w:rPr>
                <w:sz w:val="22"/>
                <w:szCs w:val="22"/>
                <w:u w:val="single"/>
              </w:rPr>
            </w:pPr>
            <w:r w:rsidRPr="00295E71">
              <w:rPr>
                <w:b/>
                <w:sz w:val="22"/>
                <w:szCs w:val="22"/>
              </w:rPr>
              <w:t>Età o peso corporeo</w:t>
            </w:r>
          </w:p>
        </w:tc>
        <w:tc>
          <w:tcPr>
            <w:tcW w:w="3070" w:type="dxa"/>
          </w:tcPr>
          <w:p w:rsidR="00C26956" w:rsidRPr="00295E71" w:rsidP="009D52F1" w14:paraId="399A9118" w14:textId="77777777">
            <w:pPr>
              <w:numPr>
                <w:ilvl w:val="12"/>
                <w:numId w:val="0"/>
              </w:numPr>
              <w:tabs>
                <w:tab w:val="clear" w:pos="562"/>
                <w:tab w:val="left" w:pos="567"/>
              </w:tabs>
              <w:ind w:right="-2"/>
              <w:jc w:val="both"/>
              <w:rPr>
                <w:sz w:val="22"/>
                <w:szCs w:val="22"/>
                <w:u w:val="single"/>
              </w:rPr>
            </w:pPr>
            <w:r w:rsidRPr="00295E71">
              <w:rPr>
                <w:b/>
                <w:sz w:val="22"/>
                <w:szCs w:val="22"/>
              </w:rPr>
              <w:t>Che quantità ne va assunta e con che frequenza?</w:t>
            </w:r>
          </w:p>
        </w:tc>
        <w:tc>
          <w:tcPr>
            <w:tcW w:w="3070" w:type="dxa"/>
          </w:tcPr>
          <w:p w:rsidR="00C26956" w:rsidRPr="00295E71" w:rsidP="009D52F1" w14:paraId="79BD2699" w14:textId="77777777">
            <w:pPr>
              <w:numPr>
                <w:ilvl w:val="12"/>
                <w:numId w:val="0"/>
              </w:numPr>
              <w:tabs>
                <w:tab w:val="clear" w:pos="562"/>
                <w:tab w:val="left" w:pos="567"/>
              </w:tabs>
              <w:ind w:right="-2"/>
              <w:jc w:val="both"/>
              <w:rPr>
                <w:sz w:val="22"/>
                <w:szCs w:val="22"/>
                <w:u w:val="single"/>
              </w:rPr>
            </w:pPr>
            <w:r w:rsidRPr="00295E71">
              <w:rPr>
                <w:b/>
                <w:sz w:val="22"/>
                <w:szCs w:val="22"/>
              </w:rPr>
              <w:t>Note</w:t>
            </w:r>
          </w:p>
        </w:tc>
      </w:tr>
      <w:tr w14:paraId="43D8DBBB" w14:textId="77777777" w:rsidTr="009D52F1">
        <w:tblPrEx>
          <w:tblW w:w="0" w:type="auto"/>
          <w:tblLook w:val="04A0"/>
        </w:tblPrEx>
        <w:tc>
          <w:tcPr>
            <w:tcW w:w="3070" w:type="dxa"/>
          </w:tcPr>
          <w:p w:rsidR="00C26956" w:rsidRPr="00295E71" w:rsidP="009D52F1" w14:paraId="602AC8DF" w14:textId="77777777">
            <w:pPr>
              <w:numPr>
                <w:ilvl w:val="12"/>
                <w:numId w:val="0"/>
              </w:numPr>
              <w:rPr>
                <w:sz w:val="22"/>
                <w:szCs w:val="22"/>
              </w:rPr>
            </w:pPr>
            <w:r w:rsidRPr="00295E71">
              <w:rPr>
                <w:sz w:val="22"/>
                <w:szCs w:val="22"/>
              </w:rPr>
              <w:t>Adulti</w:t>
            </w:r>
          </w:p>
          <w:p w:rsidR="00C26956" w:rsidRPr="00295E71" w:rsidP="009D52F1" w14:paraId="64690474" w14:textId="77777777">
            <w:pPr>
              <w:numPr>
                <w:ilvl w:val="12"/>
                <w:numId w:val="0"/>
              </w:numPr>
              <w:tabs>
                <w:tab w:val="clear" w:pos="562"/>
                <w:tab w:val="left" w:pos="567"/>
              </w:tabs>
              <w:jc w:val="both"/>
              <w:rPr>
                <w:sz w:val="22"/>
                <w:szCs w:val="22"/>
                <w:u w:val="single"/>
              </w:rPr>
            </w:pPr>
          </w:p>
        </w:tc>
        <w:tc>
          <w:tcPr>
            <w:tcW w:w="3070" w:type="dxa"/>
          </w:tcPr>
          <w:p w:rsidR="00C26956" w:rsidRPr="00295E71" w:rsidP="00147E2C" w14:paraId="2BDCB022" w14:textId="77777777">
            <w:pPr>
              <w:numPr>
                <w:ilvl w:val="12"/>
                <w:numId w:val="0"/>
              </w:numPr>
              <w:jc w:val="both"/>
              <w:rPr>
                <w:sz w:val="22"/>
                <w:szCs w:val="22"/>
                <w:u w:val="single"/>
              </w:rPr>
            </w:pPr>
            <w:r w:rsidRPr="00295E71">
              <w:rPr>
                <w:sz w:val="22"/>
                <w:szCs w:val="22"/>
              </w:rPr>
              <w:t>Una dose iniziale di 80 mg (due iniezioni di 40 mg in un giorno) seguita da una dose di 40 mg, somministrata a settimane alterne, a cominciare dalla settimana successiva all’assunzione della dose iniziale.</w:t>
            </w:r>
          </w:p>
        </w:tc>
        <w:tc>
          <w:tcPr>
            <w:tcW w:w="3070" w:type="dxa"/>
          </w:tcPr>
          <w:p w:rsidR="00C26956" w:rsidRPr="00295E71" w14:paraId="4C5DC199" w14:textId="77777777">
            <w:pPr>
              <w:numPr>
                <w:ilvl w:val="12"/>
                <w:numId w:val="0"/>
              </w:numPr>
              <w:tabs>
                <w:tab w:val="clear" w:pos="562"/>
                <w:tab w:val="left" w:pos="567"/>
              </w:tabs>
              <w:jc w:val="both"/>
              <w:rPr>
                <w:sz w:val="22"/>
                <w:szCs w:val="22"/>
                <w:u w:val="single"/>
              </w:rPr>
            </w:pPr>
            <w:r w:rsidRPr="00295E71">
              <w:rPr>
                <w:sz w:val="22"/>
                <w:szCs w:val="22"/>
              </w:rPr>
              <w:t xml:space="preserve">In caso di  risposta inadeguata, il medico potrebbe aumentare </w:t>
            </w:r>
            <w:r w:rsidRPr="00295E71" w:rsidR="002D0546">
              <w:rPr>
                <w:sz w:val="22"/>
                <w:szCs w:val="22"/>
              </w:rPr>
              <w:t>il</w:t>
            </w:r>
            <w:r w:rsidRPr="00295E71">
              <w:rPr>
                <w:sz w:val="22"/>
                <w:szCs w:val="22"/>
              </w:rPr>
              <w:t xml:space="preserve"> dos</w:t>
            </w:r>
            <w:r w:rsidRPr="00295E71" w:rsidR="002D0546">
              <w:rPr>
                <w:sz w:val="22"/>
                <w:szCs w:val="22"/>
              </w:rPr>
              <w:t>aggio</w:t>
            </w:r>
            <w:r w:rsidRPr="00295E71">
              <w:rPr>
                <w:sz w:val="22"/>
                <w:szCs w:val="22"/>
              </w:rPr>
              <w:t xml:space="preserve"> a 40 mg ogni settimana</w:t>
            </w:r>
            <w:r w:rsidRPr="00295E71" w:rsidR="002D0546">
              <w:rPr>
                <w:sz w:val="22"/>
                <w:szCs w:val="22"/>
              </w:rPr>
              <w:t xml:space="preserve"> o 80 mg a settimane alterne</w:t>
            </w:r>
            <w:r w:rsidRPr="00295E71">
              <w:rPr>
                <w:sz w:val="22"/>
                <w:szCs w:val="22"/>
              </w:rPr>
              <w:t>.</w:t>
            </w:r>
          </w:p>
        </w:tc>
      </w:tr>
      <w:tr w14:paraId="5EBEBA8D" w14:textId="77777777" w:rsidTr="009D52F1">
        <w:tblPrEx>
          <w:tblW w:w="0" w:type="auto"/>
          <w:tblLook w:val="04A0"/>
        </w:tblPrEx>
        <w:tc>
          <w:tcPr>
            <w:tcW w:w="3070" w:type="dxa"/>
          </w:tcPr>
          <w:p w:rsidR="00C26956" w:rsidRPr="00295E71" w:rsidP="009D52F1" w14:paraId="717263E8" w14:textId="77777777">
            <w:pPr>
              <w:keepNext/>
              <w:numPr>
                <w:ilvl w:val="12"/>
                <w:numId w:val="0"/>
              </w:numPr>
              <w:tabs>
                <w:tab w:val="clear" w:pos="562"/>
                <w:tab w:val="left" w:pos="567"/>
              </w:tabs>
              <w:ind w:right="-2"/>
              <w:jc w:val="both"/>
              <w:rPr>
                <w:sz w:val="22"/>
                <w:szCs w:val="22"/>
                <w:u w:val="single"/>
              </w:rPr>
            </w:pPr>
            <w:r w:rsidRPr="00295E71">
              <w:rPr>
                <w:sz w:val="22"/>
                <w:szCs w:val="22"/>
              </w:rPr>
              <w:t>Bambini e adolescenti di età compresa tra 4 e 17 anni e con peso uguale o superiore a 30 kg</w:t>
            </w:r>
          </w:p>
        </w:tc>
        <w:tc>
          <w:tcPr>
            <w:tcW w:w="3070" w:type="dxa"/>
          </w:tcPr>
          <w:p w:rsidR="00C26956" w:rsidRPr="00295E71" w:rsidP="009D52F1" w14:paraId="4C6FA65A" w14:textId="77777777">
            <w:pPr>
              <w:keepNext/>
              <w:numPr>
                <w:ilvl w:val="12"/>
                <w:numId w:val="0"/>
              </w:numPr>
              <w:ind w:right="-2"/>
              <w:jc w:val="both"/>
              <w:rPr>
                <w:sz w:val="22"/>
                <w:szCs w:val="22"/>
              </w:rPr>
            </w:pPr>
            <w:r w:rsidRPr="00295E71">
              <w:rPr>
                <w:sz w:val="22"/>
                <w:szCs w:val="22"/>
              </w:rPr>
              <w:t>Una dose iniziale di 40 mg, seguita da 40 mg dopo una settimana.</w:t>
            </w:r>
          </w:p>
          <w:p w:rsidR="00C26956" w:rsidRPr="00295E71" w:rsidP="009D52F1" w14:paraId="724DBA43" w14:textId="77777777">
            <w:pPr>
              <w:keepNext/>
              <w:numPr>
                <w:ilvl w:val="12"/>
                <w:numId w:val="0"/>
              </w:numPr>
              <w:ind w:right="-2"/>
              <w:jc w:val="both"/>
              <w:rPr>
                <w:sz w:val="22"/>
                <w:szCs w:val="22"/>
              </w:rPr>
            </w:pPr>
          </w:p>
          <w:p w:rsidR="00C26956" w:rsidRPr="00295E71" w:rsidP="009D52F1" w14:paraId="2AEF87F0" w14:textId="77777777">
            <w:pPr>
              <w:keepNext/>
              <w:numPr>
                <w:ilvl w:val="12"/>
                <w:numId w:val="0"/>
              </w:numPr>
              <w:ind w:right="-2"/>
              <w:jc w:val="both"/>
              <w:rPr>
                <w:sz w:val="22"/>
                <w:szCs w:val="22"/>
              </w:rPr>
            </w:pPr>
            <w:r w:rsidRPr="00295E71">
              <w:rPr>
                <w:sz w:val="22"/>
                <w:szCs w:val="22"/>
              </w:rPr>
              <w:t>Successivamente</w:t>
            </w:r>
            <w:r w:rsidRPr="00295E71">
              <w:rPr>
                <w:rFonts w:asciiTheme="minorHAnsi" w:eastAsiaTheme="minorHAnsi" w:hAnsiTheme="minorHAnsi" w:cstheme="minorBidi"/>
                <w:sz w:val="22"/>
                <w:szCs w:val="22"/>
                <w:lang w:eastAsia="en-US"/>
              </w:rPr>
              <w:t xml:space="preserve">, </w:t>
            </w:r>
            <w:r w:rsidRPr="00295E71">
              <w:rPr>
                <w:sz w:val="22"/>
                <w:szCs w:val="22"/>
              </w:rPr>
              <w:t>la dose abituale è di 40 mg a settimane alterne.</w:t>
            </w:r>
          </w:p>
          <w:p w:rsidR="00C26956" w:rsidRPr="00295E71" w:rsidP="009D52F1" w14:paraId="423ED5BC" w14:textId="77777777">
            <w:pPr>
              <w:keepNext/>
              <w:numPr>
                <w:ilvl w:val="12"/>
                <w:numId w:val="0"/>
              </w:numPr>
              <w:ind w:right="-2"/>
              <w:jc w:val="both"/>
              <w:rPr>
                <w:sz w:val="22"/>
                <w:szCs w:val="22"/>
                <w:u w:val="single"/>
              </w:rPr>
            </w:pPr>
          </w:p>
        </w:tc>
        <w:tc>
          <w:tcPr>
            <w:tcW w:w="3070" w:type="dxa"/>
          </w:tcPr>
          <w:p w:rsidR="00C26956" w:rsidRPr="00295E71" w:rsidP="009D52F1" w14:paraId="7F9A5513" w14:textId="77777777">
            <w:pPr>
              <w:keepNext/>
              <w:numPr>
                <w:ilvl w:val="12"/>
                <w:numId w:val="0"/>
              </w:numPr>
              <w:tabs>
                <w:tab w:val="clear" w:pos="562"/>
                <w:tab w:val="left" w:pos="567"/>
              </w:tabs>
              <w:ind w:right="-2"/>
              <w:jc w:val="both"/>
              <w:rPr>
                <w:sz w:val="22"/>
                <w:szCs w:val="22"/>
                <w:u w:val="single"/>
              </w:rPr>
            </w:pPr>
            <w:r w:rsidRPr="00295E71">
              <w:rPr>
                <w:sz w:val="22"/>
                <w:szCs w:val="22"/>
              </w:rPr>
              <w:t>Non pertinente</w:t>
            </w:r>
          </w:p>
        </w:tc>
      </w:tr>
      <w:tr w14:paraId="30D9529B" w14:textId="77777777" w:rsidTr="009D52F1">
        <w:tblPrEx>
          <w:tblW w:w="0" w:type="auto"/>
          <w:tblLook w:val="04A0"/>
        </w:tblPrEx>
        <w:tc>
          <w:tcPr>
            <w:tcW w:w="3070" w:type="dxa"/>
          </w:tcPr>
          <w:p w:rsidR="00C26956" w:rsidRPr="00295E71" w:rsidP="009D52F1" w14:paraId="5607AEC7" w14:textId="77777777">
            <w:pPr>
              <w:numPr>
                <w:ilvl w:val="12"/>
                <w:numId w:val="0"/>
              </w:numPr>
              <w:ind w:right="-2"/>
              <w:jc w:val="both"/>
              <w:rPr>
                <w:sz w:val="22"/>
                <w:szCs w:val="22"/>
              </w:rPr>
            </w:pPr>
            <w:r w:rsidRPr="00295E71">
              <w:rPr>
                <w:sz w:val="22"/>
                <w:szCs w:val="22"/>
              </w:rPr>
              <w:t>Bambini e adolescenti di età compresa tra 4 e 17 anni e con peso compreso tra 15 kg e meno di 30 kg</w:t>
            </w:r>
          </w:p>
        </w:tc>
        <w:tc>
          <w:tcPr>
            <w:tcW w:w="3070" w:type="dxa"/>
          </w:tcPr>
          <w:p w:rsidR="00C26956" w:rsidRPr="00295E71" w:rsidP="009D52F1" w14:paraId="7FC8F649" w14:textId="77777777">
            <w:pPr>
              <w:numPr>
                <w:ilvl w:val="12"/>
                <w:numId w:val="0"/>
              </w:numPr>
              <w:ind w:right="-2"/>
              <w:rPr>
                <w:sz w:val="22"/>
                <w:szCs w:val="22"/>
              </w:rPr>
            </w:pPr>
            <w:r w:rsidRPr="00295E71">
              <w:rPr>
                <w:sz w:val="22"/>
                <w:szCs w:val="22"/>
              </w:rPr>
              <w:t>Una dose iniziale di 20 mg, seguita da 20 mg dopo una settimana.</w:t>
            </w:r>
          </w:p>
          <w:p w:rsidR="00C26956" w:rsidRPr="00295E71" w:rsidP="009D52F1" w14:paraId="5B9D413C" w14:textId="77777777">
            <w:pPr>
              <w:numPr>
                <w:ilvl w:val="12"/>
                <w:numId w:val="0"/>
              </w:numPr>
              <w:ind w:right="-2"/>
              <w:rPr>
                <w:sz w:val="22"/>
                <w:szCs w:val="22"/>
              </w:rPr>
            </w:pPr>
          </w:p>
          <w:p w:rsidR="00C26956" w:rsidRPr="00295E71" w:rsidP="009D52F1" w14:paraId="3ADC783C" w14:textId="77777777">
            <w:pPr>
              <w:numPr>
                <w:ilvl w:val="12"/>
                <w:numId w:val="0"/>
              </w:numPr>
              <w:ind w:right="-2"/>
              <w:rPr>
                <w:sz w:val="22"/>
                <w:szCs w:val="22"/>
              </w:rPr>
            </w:pPr>
            <w:r w:rsidRPr="00295E71">
              <w:rPr>
                <w:sz w:val="22"/>
                <w:szCs w:val="22"/>
              </w:rPr>
              <w:t>Successivamente</w:t>
            </w:r>
            <w:r w:rsidRPr="00295E71">
              <w:rPr>
                <w:rFonts w:asciiTheme="minorHAnsi" w:eastAsiaTheme="minorHAnsi" w:hAnsiTheme="minorHAnsi" w:cstheme="minorBidi"/>
                <w:sz w:val="22"/>
                <w:szCs w:val="22"/>
                <w:lang w:eastAsia="en-US"/>
              </w:rPr>
              <w:t xml:space="preserve">, </w:t>
            </w:r>
            <w:r w:rsidRPr="00295E71">
              <w:rPr>
                <w:sz w:val="22"/>
                <w:szCs w:val="22"/>
              </w:rPr>
              <w:t>la dose abituale è di 20 mg a settimane alterne.</w:t>
            </w:r>
          </w:p>
        </w:tc>
        <w:tc>
          <w:tcPr>
            <w:tcW w:w="3070" w:type="dxa"/>
          </w:tcPr>
          <w:p w:rsidR="00C26956" w:rsidRPr="00295E71" w:rsidP="009D52F1" w14:paraId="36FD5CAE" w14:textId="77777777">
            <w:pPr>
              <w:numPr>
                <w:ilvl w:val="12"/>
                <w:numId w:val="0"/>
              </w:numPr>
              <w:tabs>
                <w:tab w:val="clear" w:pos="562"/>
                <w:tab w:val="left" w:pos="567"/>
              </w:tabs>
              <w:ind w:right="-2"/>
              <w:jc w:val="both"/>
              <w:rPr>
                <w:sz w:val="22"/>
                <w:szCs w:val="22"/>
                <w:u w:val="single"/>
              </w:rPr>
            </w:pPr>
            <w:r w:rsidRPr="00295E71">
              <w:rPr>
                <w:sz w:val="22"/>
                <w:szCs w:val="22"/>
              </w:rPr>
              <w:t>Non pertinente</w:t>
            </w:r>
          </w:p>
        </w:tc>
      </w:tr>
    </w:tbl>
    <w:p w:rsidR="00C26956" w:rsidRPr="00295E71" w:rsidP="00C26956" w14:paraId="1C42E485" w14:textId="77777777">
      <w:pPr>
        <w:numPr>
          <w:ilvl w:val="12"/>
          <w:numId w:val="0"/>
        </w:numPr>
        <w:tabs>
          <w:tab w:val="left" w:pos="567"/>
        </w:tabs>
        <w:ind w:right="-2"/>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7"/>
        <w:gridCol w:w="3023"/>
        <w:gridCol w:w="3020"/>
      </w:tblGrid>
      <w:tr w14:paraId="7E122F6A" w14:textId="77777777" w:rsidTr="009D52F1">
        <w:tblPrEx>
          <w:tblW w:w="0" w:type="auto"/>
          <w:tblLook w:val="04A0"/>
        </w:tblPrEx>
        <w:tc>
          <w:tcPr>
            <w:tcW w:w="9286" w:type="dxa"/>
            <w:gridSpan w:val="3"/>
          </w:tcPr>
          <w:p w:rsidR="00C26956" w:rsidRPr="00295E71" w:rsidP="009D52F1" w14:paraId="4D457E7C" w14:textId="77777777">
            <w:pPr>
              <w:numPr>
                <w:ilvl w:val="12"/>
                <w:numId w:val="0"/>
              </w:numPr>
              <w:ind w:right="-2"/>
              <w:rPr>
                <w:b/>
                <w:sz w:val="22"/>
                <w:szCs w:val="22"/>
              </w:rPr>
            </w:pPr>
            <w:r w:rsidRPr="00295E71">
              <w:rPr>
                <w:b/>
                <w:sz w:val="22"/>
                <w:szCs w:val="22"/>
              </w:rPr>
              <w:t>Idrosadenite suppurativa</w:t>
            </w:r>
          </w:p>
        </w:tc>
      </w:tr>
      <w:tr w14:paraId="40C1D0FA" w14:textId="77777777" w:rsidTr="009D52F1">
        <w:tblPrEx>
          <w:tblW w:w="0" w:type="auto"/>
          <w:tblLook w:val="04A0"/>
        </w:tblPrEx>
        <w:tc>
          <w:tcPr>
            <w:tcW w:w="3094" w:type="dxa"/>
          </w:tcPr>
          <w:p w:rsidR="00C26956" w:rsidRPr="00295E71" w:rsidP="009D52F1" w14:paraId="1AB1E395" w14:textId="77777777">
            <w:pPr>
              <w:numPr>
                <w:ilvl w:val="12"/>
                <w:numId w:val="0"/>
              </w:numPr>
              <w:ind w:right="-2"/>
              <w:rPr>
                <w:sz w:val="22"/>
                <w:szCs w:val="22"/>
              </w:rPr>
            </w:pPr>
            <w:r w:rsidRPr="00295E71">
              <w:rPr>
                <w:b/>
                <w:sz w:val="22"/>
                <w:szCs w:val="22"/>
              </w:rPr>
              <w:t>Età o peso corporeo</w:t>
            </w:r>
          </w:p>
        </w:tc>
        <w:tc>
          <w:tcPr>
            <w:tcW w:w="3096" w:type="dxa"/>
          </w:tcPr>
          <w:p w:rsidR="00C26956" w:rsidRPr="00295E71" w:rsidP="009D52F1" w14:paraId="35747829" w14:textId="77777777">
            <w:pPr>
              <w:numPr>
                <w:ilvl w:val="12"/>
                <w:numId w:val="0"/>
              </w:numPr>
              <w:ind w:right="-2"/>
              <w:rPr>
                <w:sz w:val="22"/>
                <w:szCs w:val="22"/>
              </w:rPr>
            </w:pPr>
            <w:r w:rsidRPr="00295E71">
              <w:rPr>
                <w:b/>
                <w:sz w:val="22"/>
                <w:szCs w:val="22"/>
              </w:rPr>
              <w:t>Che quantità ne va assunta e con che frequenza?</w:t>
            </w:r>
          </w:p>
        </w:tc>
        <w:tc>
          <w:tcPr>
            <w:tcW w:w="3096" w:type="dxa"/>
          </w:tcPr>
          <w:p w:rsidR="00C26956" w:rsidRPr="00295E71" w:rsidP="009D52F1" w14:paraId="50329D1A" w14:textId="77777777">
            <w:pPr>
              <w:numPr>
                <w:ilvl w:val="12"/>
                <w:numId w:val="0"/>
              </w:numPr>
              <w:ind w:right="-2"/>
              <w:rPr>
                <w:sz w:val="22"/>
                <w:szCs w:val="22"/>
              </w:rPr>
            </w:pPr>
            <w:r w:rsidRPr="00295E71">
              <w:rPr>
                <w:b/>
                <w:sz w:val="22"/>
                <w:szCs w:val="22"/>
              </w:rPr>
              <w:t>Note</w:t>
            </w:r>
          </w:p>
        </w:tc>
      </w:tr>
      <w:tr w14:paraId="7C9FC818" w14:textId="77777777" w:rsidTr="009D52F1">
        <w:tblPrEx>
          <w:tblW w:w="0" w:type="auto"/>
          <w:tblLook w:val="04A0"/>
        </w:tblPrEx>
        <w:tc>
          <w:tcPr>
            <w:tcW w:w="3094" w:type="dxa"/>
          </w:tcPr>
          <w:p w:rsidR="00C26956" w:rsidRPr="00295E71" w:rsidP="009D52F1" w14:paraId="667ADB30" w14:textId="77777777">
            <w:pPr>
              <w:numPr>
                <w:ilvl w:val="12"/>
                <w:numId w:val="0"/>
              </w:numPr>
              <w:ind w:right="-2"/>
              <w:rPr>
                <w:sz w:val="22"/>
                <w:szCs w:val="22"/>
              </w:rPr>
            </w:pPr>
            <w:r w:rsidRPr="00295E71">
              <w:rPr>
                <w:sz w:val="22"/>
                <w:szCs w:val="22"/>
              </w:rPr>
              <w:t>Adulti</w:t>
            </w:r>
          </w:p>
        </w:tc>
        <w:tc>
          <w:tcPr>
            <w:tcW w:w="3096" w:type="dxa"/>
          </w:tcPr>
          <w:p w:rsidR="00C26956" w:rsidRPr="00295E71" w:rsidP="009D52F1" w14:paraId="1237AE83" w14:textId="77777777">
            <w:pPr>
              <w:numPr>
                <w:ilvl w:val="12"/>
                <w:numId w:val="0"/>
              </w:numPr>
              <w:ind w:right="-2"/>
              <w:rPr>
                <w:sz w:val="22"/>
                <w:szCs w:val="22"/>
              </w:rPr>
            </w:pPr>
            <w:r w:rsidRPr="00295E71">
              <w:rPr>
                <w:sz w:val="22"/>
                <w:szCs w:val="22"/>
              </w:rPr>
              <w:t>Una dose iniziale di 160 mg (quattro iniezioni da 40 mg in un giorno o due iniezioni da 40 mg al giorno per due giorni consecutivi), seguita da una dose di 80 mg (due iniezioni da 40 mg lo stesso giorno) due settimane dopo. Dopo altre due settimane, continuare con una dose di 40 mg a settimana</w:t>
            </w:r>
            <w:r w:rsidRPr="00295E71" w:rsidR="002D0546">
              <w:rPr>
                <w:sz w:val="22"/>
                <w:szCs w:val="22"/>
              </w:rPr>
              <w:t xml:space="preserve"> o 80 mg a settimane alterne, come prescritto dal medico</w:t>
            </w:r>
            <w:r w:rsidRPr="00295E71">
              <w:rPr>
                <w:sz w:val="22"/>
                <w:szCs w:val="22"/>
              </w:rPr>
              <w:t xml:space="preserve">. </w:t>
            </w:r>
          </w:p>
        </w:tc>
        <w:tc>
          <w:tcPr>
            <w:tcW w:w="3096" w:type="dxa"/>
          </w:tcPr>
          <w:p w:rsidR="00C26956" w:rsidRPr="00295E71" w:rsidP="009D52F1" w14:paraId="7D2E848B" w14:textId="77777777">
            <w:pPr>
              <w:numPr>
                <w:ilvl w:val="12"/>
                <w:numId w:val="0"/>
              </w:numPr>
              <w:ind w:right="-2"/>
              <w:rPr>
                <w:sz w:val="22"/>
                <w:szCs w:val="22"/>
              </w:rPr>
            </w:pPr>
            <w:r w:rsidRPr="00295E71">
              <w:rPr>
                <w:sz w:val="22"/>
                <w:szCs w:val="22"/>
              </w:rPr>
              <w:t xml:space="preserve">Si raccomanda di utilizzare tutti i giorni una soluzione di lavaggio antisettica sulle aree interessate. </w:t>
            </w:r>
          </w:p>
        </w:tc>
      </w:tr>
      <w:tr w14:paraId="666BFE8C" w14:textId="77777777" w:rsidTr="009D52F1">
        <w:tblPrEx>
          <w:tblW w:w="0" w:type="auto"/>
          <w:tblLook w:val="04A0"/>
        </w:tblPrEx>
        <w:tc>
          <w:tcPr>
            <w:tcW w:w="3094" w:type="dxa"/>
          </w:tcPr>
          <w:p w:rsidR="00C26956" w:rsidRPr="00295E71" w:rsidP="009D52F1" w14:paraId="18CC4DD0" w14:textId="77777777">
            <w:pPr>
              <w:numPr>
                <w:ilvl w:val="12"/>
                <w:numId w:val="0"/>
              </w:numPr>
              <w:ind w:right="-2"/>
              <w:rPr>
                <w:sz w:val="22"/>
                <w:szCs w:val="22"/>
              </w:rPr>
            </w:pPr>
            <w:r w:rsidRPr="00295E71">
              <w:rPr>
                <w:sz w:val="22"/>
                <w:szCs w:val="22"/>
              </w:rPr>
              <w:t>Adolescenti di età compresa tra  12 e 17 anni, con peso uguale o superiore a 30 kg</w:t>
            </w:r>
          </w:p>
          <w:p w:rsidR="00C26956" w:rsidRPr="00295E71" w:rsidP="009D52F1" w14:paraId="70D1D93C" w14:textId="77777777">
            <w:pPr>
              <w:numPr>
                <w:ilvl w:val="12"/>
                <w:numId w:val="0"/>
              </w:numPr>
              <w:ind w:right="-2"/>
              <w:rPr>
                <w:sz w:val="22"/>
                <w:szCs w:val="22"/>
              </w:rPr>
            </w:pPr>
          </w:p>
        </w:tc>
        <w:tc>
          <w:tcPr>
            <w:tcW w:w="3096" w:type="dxa"/>
          </w:tcPr>
          <w:p w:rsidR="00C26956" w:rsidRPr="00295E71" w:rsidP="009D52F1" w14:paraId="3D87C73C" w14:textId="77777777">
            <w:pPr>
              <w:numPr>
                <w:ilvl w:val="12"/>
                <w:numId w:val="0"/>
              </w:numPr>
              <w:ind w:right="-2"/>
              <w:rPr>
                <w:sz w:val="22"/>
                <w:szCs w:val="22"/>
              </w:rPr>
            </w:pPr>
            <w:r w:rsidRPr="00295E71">
              <w:rPr>
                <w:sz w:val="22"/>
                <w:szCs w:val="22"/>
              </w:rPr>
              <w:t>Una dose iniziale di 80 mg (due iniezioni da 40 mg in un giorno), seguita da 40 mg a settimane alterne a partire da una settimana dopo la dose iniziale.</w:t>
            </w:r>
          </w:p>
        </w:tc>
        <w:tc>
          <w:tcPr>
            <w:tcW w:w="3096" w:type="dxa"/>
          </w:tcPr>
          <w:p w:rsidR="00C26956" w:rsidRPr="00295E71" w:rsidP="009D52F1" w14:paraId="1CF32D21" w14:textId="77777777">
            <w:pPr>
              <w:numPr>
                <w:ilvl w:val="12"/>
                <w:numId w:val="0"/>
              </w:numPr>
              <w:ind w:right="-2"/>
              <w:rPr>
                <w:sz w:val="22"/>
                <w:szCs w:val="22"/>
              </w:rPr>
            </w:pPr>
            <w:r w:rsidRPr="00295E71">
              <w:rPr>
                <w:sz w:val="22"/>
                <w:szCs w:val="22"/>
              </w:rPr>
              <w:t>In caso di risposta inadeguata</w:t>
            </w:r>
            <w:r w:rsidRPr="00295E71" w:rsidR="002D0546">
              <w:rPr>
                <w:sz w:val="22"/>
                <w:szCs w:val="22"/>
              </w:rPr>
              <w:t xml:space="preserve"> a 40 mg di Humira a settimane alterne</w:t>
            </w:r>
            <w:r w:rsidRPr="00295E71">
              <w:rPr>
                <w:sz w:val="22"/>
                <w:szCs w:val="22"/>
              </w:rPr>
              <w:t xml:space="preserve">, il medico può aumentare </w:t>
            </w:r>
            <w:r w:rsidRPr="00295E71" w:rsidR="002D0546">
              <w:rPr>
                <w:sz w:val="22"/>
                <w:szCs w:val="22"/>
              </w:rPr>
              <w:t>il</w:t>
            </w:r>
            <w:r w:rsidRPr="00295E71">
              <w:rPr>
                <w:sz w:val="22"/>
                <w:szCs w:val="22"/>
              </w:rPr>
              <w:t xml:space="preserve"> dos</w:t>
            </w:r>
            <w:r w:rsidRPr="00295E71" w:rsidR="002D0546">
              <w:rPr>
                <w:sz w:val="22"/>
                <w:szCs w:val="22"/>
              </w:rPr>
              <w:t>aggio</w:t>
            </w:r>
            <w:r w:rsidRPr="00295E71">
              <w:rPr>
                <w:sz w:val="22"/>
                <w:szCs w:val="22"/>
              </w:rPr>
              <w:t xml:space="preserve"> a 40 mg ogni settimana</w:t>
            </w:r>
            <w:r w:rsidRPr="00295E71" w:rsidR="002D0546">
              <w:rPr>
                <w:sz w:val="22"/>
                <w:szCs w:val="22"/>
              </w:rPr>
              <w:t xml:space="preserve"> o 80 mg a settimane alterne</w:t>
            </w:r>
            <w:r w:rsidRPr="00295E71">
              <w:rPr>
                <w:sz w:val="22"/>
                <w:szCs w:val="22"/>
              </w:rPr>
              <w:t>.</w:t>
            </w:r>
          </w:p>
          <w:p w:rsidR="00C26956" w:rsidRPr="00295E71" w:rsidP="009D52F1" w14:paraId="381706C8" w14:textId="77777777">
            <w:pPr>
              <w:numPr>
                <w:ilvl w:val="12"/>
                <w:numId w:val="0"/>
              </w:numPr>
              <w:ind w:right="-2"/>
              <w:rPr>
                <w:sz w:val="22"/>
                <w:szCs w:val="22"/>
              </w:rPr>
            </w:pPr>
            <w:r w:rsidRPr="00295E71">
              <w:rPr>
                <w:sz w:val="22"/>
                <w:szCs w:val="22"/>
              </w:rPr>
              <w:t>Si raccomanda di utilizzare tutti i giorni una soluzione di lavaggio antisettica sulle aree interessate.</w:t>
            </w:r>
          </w:p>
        </w:tc>
      </w:tr>
    </w:tbl>
    <w:p w:rsidR="00C26956" w:rsidRPr="00295E71" w:rsidP="00C26956" w14:paraId="58111D2B" w14:textId="77777777">
      <w:pPr>
        <w:numPr>
          <w:ilvl w:val="12"/>
          <w:numId w:val="0"/>
        </w:numPr>
        <w:tabs>
          <w:tab w:val="left" w:pos="567"/>
        </w:tabs>
        <w:ind w:right="-2"/>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2"/>
        <w:gridCol w:w="3038"/>
        <w:gridCol w:w="3010"/>
      </w:tblGrid>
      <w:tr w14:paraId="3D9950CF" w14:textId="77777777" w:rsidTr="009D52F1">
        <w:tblPrEx>
          <w:tblW w:w="0" w:type="auto"/>
          <w:tblLook w:val="04A0"/>
        </w:tblPrEx>
        <w:tc>
          <w:tcPr>
            <w:tcW w:w="9286" w:type="dxa"/>
            <w:gridSpan w:val="3"/>
          </w:tcPr>
          <w:p w:rsidR="00C26956" w:rsidRPr="00295E71" w:rsidP="009D52F1" w14:paraId="2398F26F" w14:textId="77777777">
            <w:pPr>
              <w:keepNext/>
              <w:numPr>
                <w:ilvl w:val="12"/>
                <w:numId w:val="0"/>
              </w:numPr>
              <w:ind w:right="-2"/>
              <w:rPr>
                <w:sz w:val="22"/>
                <w:szCs w:val="22"/>
              </w:rPr>
            </w:pPr>
            <w:r w:rsidRPr="00295E71">
              <w:rPr>
                <w:sz w:val="22"/>
                <w:szCs w:val="22"/>
              </w:rPr>
              <w:br w:type="page"/>
            </w:r>
            <w:r w:rsidRPr="00295E71">
              <w:rPr>
                <w:b/>
                <w:sz w:val="22"/>
                <w:szCs w:val="22"/>
              </w:rPr>
              <w:t>Malattia di Crohn</w:t>
            </w:r>
          </w:p>
        </w:tc>
      </w:tr>
      <w:tr w14:paraId="0BDBD8D4" w14:textId="77777777" w:rsidTr="009D52F1">
        <w:tblPrEx>
          <w:tblW w:w="0" w:type="auto"/>
          <w:tblLook w:val="04A0"/>
        </w:tblPrEx>
        <w:tc>
          <w:tcPr>
            <w:tcW w:w="3094" w:type="dxa"/>
          </w:tcPr>
          <w:p w:rsidR="00C26956" w:rsidRPr="00295E71" w:rsidP="009D52F1" w14:paraId="3DBDEFCA" w14:textId="77777777">
            <w:pPr>
              <w:keepNext/>
              <w:numPr>
                <w:ilvl w:val="12"/>
                <w:numId w:val="0"/>
              </w:numPr>
              <w:ind w:right="-2"/>
              <w:rPr>
                <w:sz w:val="22"/>
                <w:szCs w:val="22"/>
              </w:rPr>
            </w:pPr>
            <w:r w:rsidRPr="00295E71">
              <w:rPr>
                <w:b/>
                <w:sz w:val="22"/>
                <w:szCs w:val="22"/>
              </w:rPr>
              <w:t>Età o peso corporeo</w:t>
            </w:r>
          </w:p>
        </w:tc>
        <w:tc>
          <w:tcPr>
            <w:tcW w:w="3096" w:type="dxa"/>
          </w:tcPr>
          <w:p w:rsidR="00C26956" w:rsidRPr="00295E71" w:rsidP="009D52F1" w14:paraId="3AA4E303" w14:textId="77777777">
            <w:pPr>
              <w:keepNext/>
              <w:numPr>
                <w:ilvl w:val="12"/>
                <w:numId w:val="0"/>
              </w:numPr>
              <w:ind w:right="-2"/>
              <w:rPr>
                <w:sz w:val="22"/>
                <w:szCs w:val="22"/>
              </w:rPr>
            </w:pPr>
            <w:r w:rsidRPr="00295E71">
              <w:rPr>
                <w:b/>
                <w:sz w:val="22"/>
                <w:szCs w:val="22"/>
              </w:rPr>
              <w:t>Che quantità ne va assunta e con che frequenza?</w:t>
            </w:r>
          </w:p>
        </w:tc>
        <w:tc>
          <w:tcPr>
            <w:tcW w:w="3096" w:type="dxa"/>
          </w:tcPr>
          <w:p w:rsidR="00C26956" w:rsidRPr="00295E71" w:rsidP="009D52F1" w14:paraId="62A5C0A1" w14:textId="77777777">
            <w:pPr>
              <w:keepNext/>
              <w:numPr>
                <w:ilvl w:val="12"/>
                <w:numId w:val="0"/>
              </w:numPr>
              <w:ind w:right="-2"/>
              <w:rPr>
                <w:sz w:val="22"/>
                <w:szCs w:val="22"/>
              </w:rPr>
            </w:pPr>
            <w:r w:rsidRPr="00295E71">
              <w:rPr>
                <w:b/>
                <w:sz w:val="22"/>
                <w:szCs w:val="22"/>
              </w:rPr>
              <w:t>Note</w:t>
            </w:r>
          </w:p>
        </w:tc>
      </w:tr>
      <w:tr w14:paraId="7DEFCB5F" w14:textId="77777777" w:rsidTr="009D52F1">
        <w:tblPrEx>
          <w:tblW w:w="0" w:type="auto"/>
          <w:tblLook w:val="04A0"/>
        </w:tblPrEx>
        <w:tc>
          <w:tcPr>
            <w:tcW w:w="3094" w:type="dxa"/>
          </w:tcPr>
          <w:p w:rsidR="00C26956" w:rsidRPr="00295E71" w:rsidP="009D52F1" w14:paraId="0C19E58E" w14:textId="77777777">
            <w:pPr>
              <w:keepNext/>
              <w:numPr>
                <w:ilvl w:val="12"/>
                <w:numId w:val="0"/>
              </w:numPr>
              <w:ind w:right="-2"/>
              <w:rPr>
                <w:sz w:val="22"/>
                <w:szCs w:val="22"/>
              </w:rPr>
            </w:pPr>
            <w:r w:rsidRPr="00295E71">
              <w:rPr>
                <w:sz w:val="22"/>
                <w:szCs w:val="22"/>
              </w:rPr>
              <w:t>Bambini, adolescenti e adulti a partire da 6 anni di età con peso pari o superiore a 40 kg</w:t>
            </w:r>
          </w:p>
        </w:tc>
        <w:tc>
          <w:tcPr>
            <w:tcW w:w="3096" w:type="dxa"/>
          </w:tcPr>
          <w:p w:rsidR="00C26956" w:rsidRPr="00295E71" w:rsidP="009D52F1" w14:paraId="58883653" w14:textId="77777777">
            <w:pPr>
              <w:keepNext/>
              <w:rPr>
                <w:sz w:val="22"/>
                <w:szCs w:val="22"/>
              </w:rPr>
            </w:pPr>
            <w:r w:rsidRPr="00295E71">
              <w:rPr>
                <w:sz w:val="22"/>
                <w:szCs w:val="22"/>
              </w:rPr>
              <w:t>Una dose iniziale di 80 mg (due iniezioni da 40 mg in un giorno) seguita da 40 mg dopo due settimane.</w:t>
            </w:r>
          </w:p>
          <w:p w:rsidR="00C26956" w:rsidRPr="00295E71" w:rsidP="009D52F1" w14:paraId="7C9901C3" w14:textId="77777777">
            <w:pPr>
              <w:keepNext/>
              <w:rPr>
                <w:sz w:val="22"/>
                <w:szCs w:val="22"/>
              </w:rPr>
            </w:pPr>
          </w:p>
          <w:p w:rsidR="00C26956" w:rsidRPr="00295E71" w:rsidP="009D52F1" w14:paraId="14E5A076" w14:textId="77777777">
            <w:pPr>
              <w:keepNext/>
              <w:numPr>
                <w:ilvl w:val="12"/>
                <w:numId w:val="0"/>
              </w:numPr>
              <w:rPr>
                <w:sz w:val="22"/>
                <w:szCs w:val="22"/>
              </w:rPr>
            </w:pPr>
            <w:r w:rsidRPr="00295E71">
              <w:rPr>
                <w:sz w:val="22"/>
                <w:szCs w:val="22"/>
              </w:rPr>
              <w:t>Se è necessario indurre una risposta più rapida, il medico potrebbe prescrivere una dose iniziale di 160 mg (quattro iniezioni da 40 mg in un giorno o due iniezioni da 40 mg al giorno per due giorni consecutivi), seguita da 80 mg (due iniezioni da 40 mg in un giorno) dopo due settimane.</w:t>
            </w:r>
          </w:p>
          <w:p w:rsidR="00C26956" w:rsidRPr="00295E71" w:rsidP="009D52F1" w14:paraId="484983D7" w14:textId="77777777">
            <w:pPr>
              <w:keepNext/>
              <w:numPr>
                <w:ilvl w:val="12"/>
                <w:numId w:val="0"/>
              </w:numPr>
              <w:rPr>
                <w:sz w:val="22"/>
                <w:szCs w:val="22"/>
              </w:rPr>
            </w:pPr>
          </w:p>
          <w:p w:rsidR="00C26956" w:rsidRPr="00295E71" w:rsidP="009D52F1" w14:paraId="4753B90E" w14:textId="77777777">
            <w:pPr>
              <w:keepNext/>
              <w:numPr>
                <w:ilvl w:val="12"/>
                <w:numId w:val="0"/>
              </w:numPr>
              <w:ind w:right="-2"/>
              <w:rPr>
                <w:sz w:val="22"/>
                <w:szCs w:val="22"/>
              </w:rPr>
            </w:pPr>
            <w:r w:rsidRPr="00295E71">
              <w:rPr>
                <w:sz w:val="22"/>
                <w:szCs w:val="22"/>
              </w:rPr>
              <w:t>Successivamente, la dose abituale è di 40 mg a settimane alterne.</w:t>
            </w:r>
          </w:p>
        </w:tc>
        <w:tc>
          <w:tcPr>
            <w:tcW w:w="3096" w:type="dxa"/>
          </w:tcPr>
          <w:p w:rsidR="00C26956" w:rsidRPr="00295E71" w:rsidP="003E69B9" w14:paraId="71EF21C7" w14:textId="77777777">
            <w:pPr>
              <w:keepNext/>
              <w:numPr>
                <w:ilvl w:val="12"/>
                <w:numId w:val="0"/>
              </w:numPr>
              <w:spacing w:before="100" w:beforeAutospacing="1" w:after="100" w:afterAutospacing="1"/>
              <w:ind w:right="-2"/>
              <w:rPr>
                <w:sz w:val="22"/>
                <w:szCs w:val="22"/>
              </w:rPr>
            </w:pPr>
            <w:r w:rsidRPr="00295E71">
              <w:rPr>
                <w:sz w:val="22"/>
                <w:szCs w:val="22"/>
              </w:rPr>
              <w:t xml:space="preserve">Il medico potrebbe aumentare </w:t>
            </w:r>
            <w:r w:rsidRPr="00295E71" w:rsidR="002D0546">
              <w:rPr>
                <w:sz w:val="22"/>
                <w:szCs w:val="22"/>
              </w:rPr>
              <w:t>il</w:t>
            </w:r>
            <w:r w:rsidRPr="00295E71">
              <w:rPr>
                <w:sz w:val="22"/>
                <w:szCs w:val="22"/>
              </w:rPr>
              <w:t xml:space="preserve"> dos</w:t>
            </w:r>
            <w:r w:rsidRPr="00295E71" w:rsidR="002D0546">
              <w:rPr>
                <w:sz w:val="22"/>
                <w:szCs w:val="22"/>
              </w:rPr>
              <w:t>aggio</w:t>
            </w:r>
            <w:r w:rsidRPr="00295E71">
              <w:rPr>
                <w:sz w:val="22"/>
                <w:szCs w:val="22"/>
              </w:rPr>
              <w:t xml:space="preserve"> a 40 mg ogni settimana</w:t>
            </w:r>
            <w:r w:rsidRPr="00295E71" w:rsidR="002D0546">
              <w:rPr>
                <w:sz w:val="22"/>
                <w:szCs w:val="22"/>
              </w:rPr>
              <w:t xml:space="preserve"> o 80 mg a settimane alterne</w:t>
            </w:r>
            <w:r w:rsidRPr="00295E71">
              <w:rPr>
                <w:sz w:val="22"/>
                <w:szCs w:val="22"/>
              </w:rPr>
              <w:t>.</w:t>
            </w:r>
          </w:p>
        </w:tc>
      </w:tr>
      <w:tr w14:paraId="049C0F7B" w14:textId="77777777" w:rsidTr="009D52F1">
        <w:tblPrEx>
          <w:tblW w:w="0" w:type="auto"/>
          <w:tblLook w:val="04A0"/>
        </w:tblPrEx>
        <w:tc>
          <w:tcPr>
            <w:tcW w:w="3094" w:type="dxa"/>
          </w:tcPr>
          <w:p w:rsidR="00C26956" w:rsidRPr="00295E71" w:rsidP="009D52F1" w14:paraId="7359F3EB" w14:textId="77777777">
            <w:pPr>
              <w:numPr>
                <w:ilvl w:val="12"/>
                <w:numId w:val="0"/>
              </w:numPr>
              <w:ind w:right="-2"/>
              <w:rPr>
                <w:sz w:val="22"/>
                <w:szCs w:val="22"/>
              </w:rPr>
            </w:pPr>
            <w:r w:rsidRPr="00295E71">
              <w:rPr>
                <w:sz w:val="22"/>
                <w:szCs w:val="22"/>
              </w:rPr>
              <w:t>Bambini e adolescenti di età compresa tra 6 e 17 anni e con peso inferiore a 40 kg</w:t>
            </w:r>
          </w:p>
        </w:tc>
        <w:tc>
          <w:tcPr>
            <w:tcW w:w="3096" w:type="dxa"/>
          </w:tcPr>
          <w:p w:rsidR="00C26956" w:rsidRPr="00295E71" w:rsidP="009D52F1" w14:paraId="5CEF7AAD" w14:textId="77777777">
            <w:pPr>
              <w:rPr>
                <w:sz w:val="22"/>
                <w:szCs w:val="22"/>
              </w:rPr>
            </w:pPr>
            <w:r w:rsidRPr="00295E71">
              <w:rPr>
                <w:sz w:val="22"/>
                <w:szCs w:val="22"/>
              </w:rPr>
              <w:t>Una dose iniziale di 40 mg seguita da 20 mg dopo due settimane.</w:t>
            </w:r>
          </w:p>
          <w:p w:rsidR="00C26956" w:rsidRPr="00295E71" w:rsidP="009D52F1" w14:paraId="6A4225DF" w14:textId="77777777">
            <w:pPr>
              <w:rPr>
                <w:sz w:val="22"/>
                <w:szCs w:val="22"/>
              </w:rPr>
            </w:pPr>
          </w:p>
          <w:p w:rsidR="00C26956" w:rsidRPr="00295E71" w:rsidP="009D52F1" w14:paraId="06B3D2DA" w14:textId="77777777">
            <w:pPr>
              <w:rPr>
                <w:sz w:val="22"/>
                <w:szCs w:val="22"/>
              </w:rPr>
            </w:pPr>
            <w:r w:rsidRPr="00295E71">
              <w:rPr>
                <w:sz w:val="22"/>
                <w:szCs w:val="22"/>
              </w:rPr>
              <w:t>Se è necessario indurre una risposta più rapida, il medico potrebbe prescrivere una dose iniziale di 80 mg (due iniezioni da 40 mg in un giorno), seguita da 40 mg dopo due settimane.</w:t>
            </w:r>
          </w:p>
          <w:p w:rsidR="00C26956" w:rsidRPr="00295E71" w:rsidP="009D52F1" w14:paraId="3BACABD2" w14:textId="77777777">
            <w:pPr>
              <w:rPr>
                <w:sz w:val="22"/>
                <w:szCs w:val="22"/>
              </w:rPr>
            </w:pPr>
          </w:p>
          <w:p w:rsidR="00C26956" w:rsidRPr="00295E71" w:rsidP="009D52F1" w14:paraId="6A485AB9" w14:textId="77777777">
            <w:pPr>
              <w:numPr>
                <w:ilvl w:val="12"/>
                <w:numId w:val="0"/>
              </w:numPr>
              <w:ind w:right="-2"/>
              <w:rPr>
                <w:sz w:val="22"/>
                <w:szCs w:val="22"/>
              </w:rPr>
            </w:pPr>
            <w:r w:rsidRPr="00295E71">
              <w:rPr>
                <w:sz w:val="22"/>
                <w:szCs w:val="22"/>
              </w:rPr>
              <w:t>Successivamente, la dose abituale è di 20 mg a settimane alterne.</w:t>
            </w:r>
          </w:p>
        </w:tc>
        <w:tc>
          <w:tcPr>
            <w:tcW w:w="3096" w:type="dxa"/>
          </w:tcPr>
          <w:p w:rsidR="00C26956" w:rsidRPr="00295E71" w:rsidP="003E69B9" w14:paraId="74CD5753" w14:textId="77777777">
            <w:pPr>
              <w:numPr>
                <w:ilvl w:val="12"/>
                <w:numId w:val="0"/>
              </w:numPr>
              <w:spacing w:before="100" w:beforeAutospacing="1" w:after="100" w:afterAutospacing="1"/>
              <w:ind w:right="-2"/>
              <w:rPr>
                <w:sz w:val="22"/>
                <w:szCs w:val="22"/>
              </w:rPr>
            </w:pPr>
            <w:r w:rsidRPr="00295E71">
              <w:rPr>
                <w:sz w:val="22"/>
                <w:szCs w:val="22"/>
              </w:rPr>
              <w:t>Il medico potrebbe aumentare la frequenza della dose a 20 mg ogni settimana.</w:t>
            </w:r>
          </w:p>
        </w:tc>
      </w:tr>
    </w:tbl>
    <w:p w:rsidR="00C26956" w:rsidRPr="00295E71" w:rsidP="00C26956" w14:paraId="720A8CC4" w14:textId="77777777">
      <w:pPr>
        <w:numPr>
          <w:ilvl w:val="12"/>
          <w:numId w:val="0"/>
        </w:numPr>
        <w:tabs>
          <w:tab w:val="left" w:pos="567"/>
        </w:tabs>
        <w:ind w:right="-2"/>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1"/>
        <w:gridCol w:w="3038"/>
        <w:gridCol w:w="3011"/>
      </w:tblGrid>
      <w:tr w14:paraId="080B9B77" w14:textId="77777777" w:rsidTr="009D52F1">
        <w:tblPrEx>
          <w:tblW w:w="0" w:type="auto"/>
          <w:tblLook w:val="04A0"/>
        </w:tblPrEx>
        <w:tc>
          <w:tcPr>
            <w:tcW w:w="9286" w:type="dxa"/>
            <w:gridSpan w:val="3"/>
          </w:tcPr>
          <w:p w:rsidR="00C26956" w:rsidRPr="00295E71" w:rsidP="009D52F1" w14:paraId="19C7260E" w14:textId="77777777">
            <w:pPr>
              <w:numPr>
                <w:ilvl w:val="12"/>
                <w:numId w:val="0"/>
              </w:numPr>
              <w:ind w:right="-2"/>
              <w:rPr>
                <w:b/>
                <w:sz w:val="22"/>
                <w:szCs w:val="22"/>
              </w:rPr>
            </w:pPr>
            <w:r w:rsidRPr="00295E71">
              <w:rPr>
                <w:b/>
                <w:sz w:val="22"/>
                <w:szCs w:val="22"/>
              </w:rPr>
              <w:t>Colite ulcerosa</w:t>
            </w:r>
          </w:p>
        </w:tc>
      </w:tr>
      <w:tr w14:paraId="468786B0" w14:textId="77777777" w:rsidTr="009D52F1">
        <w:tblPrEx>
          <w:tblW w:w="0" w:type="auto"/>
          <w:tblLook w:val="04A0"/>
        </w:tblPrEx>
        <w:tc>
          <w:tcPr>
            <w:tcW w:w="3094" w:type="dxa"/>
          </w:tcPr>
          <w:p w:rsidR="00C26956" w:rsidRPr="00295E71" w:rsidP="009D52F1" w14:paraId="4057D66F" w14:textId="77777777">
            <w:pPr>
              <w:numPr>
                <w:ilvl w:val="12"/>
                <w:numId w:val="0"/>
              </w:numPr>
              <w:ind w:right="-2"/>
              <w:rPr>
                <w:sz w:val="22"/>
                <w:szCs w:val="22"/>
              </w:rPr>
            </w:pPr>
            <w:r w:rsidRPr="00295E71">
              <w:rPr>
                <w:b/>
                <w:sz w:val="22"/>
                <w:szCs w:val="22"/>
              </w:rPr>
              <w:t>Età o peso corporeo</w:t>
            </w:r>
          </w:p>
        </w:tc>
        <w:tc>
          <w:tcPr>
            <w:tcW w:w="3096" w:type="dxa"/>
          </w:tcPr>
          <w:p w:rsidR="00C26956" w:rsidRPr="00295E71" w:rsidP="009D52F1" w14:paraId="04CA2EA1" w14:textId="77777777">
            <w:pPr>
              <w:numPr>
                <w:ilvl w:val="12"/>
                <w:numId w:val="0"/>
              </w:numPr>
              <w:ind w:right="-2"/>
              <w:rPr>
                <w:sz w:val="22"/>
                <w:szCs w:val="22"/>
              </w:rPr>
            </w:pPr>
            <w:r w:rsidRPr="00295E71">
              <w:rPr>
                <w:b/>
                <w:sz w:val="22"/>
                <w:szCs w:val="22"/>
              </w:rPr>
              <w:t>Che quantità ne va assunta e con che frequenza?</w:t>
            </w:r>
          </w:p>
        </w:tc>
        <w:tc>
          <w:tcPr>
            <w:tcW w:w="3096" w:type="dxa"/>
          </w:tcPr>
          <w:p w:rsidR="00C26956" w:rsidRPr="00295E71" w:rsidP="009D52F1" w14:paraId="5B6B82D8" w14:textId="77777777">
            <w:pPr>
              <w:numPr>
                <w:ilvl w:val="12"/>
                <w:numId w:val="0"/>
              </w:numPr>
              <w:ind w:right="-2"/>
              <w:rPr>
                <w:sz w:val="22"/>
                <w:szCs w:val="22"/>
              </w:rPr>
            </w:pPr>
            <w:r w:rsidRPr="00295E71">
              <w:rPr>
                <w:b/>
                <w:sz w:val="22"/>
                <w:szCs w:val="22"/>
              </w:rPr>
              <w:t>Note</w:t>
            </w:r>
          </w:p>
        </w:tc>
      </w:tr>
      <w:tr w14:paraId="39076BD8" w14:textId="77777777" w:rsidTr="009D52F1">
        <w:tblPrEx>
          <w:tblW w:w="0" w:type="auto"/>
          <w:tblLook w:val="04A0"/>
        </w:tblPrEx>
        <w:tc>
          <w:tcPr>
            <w:tcW w:w="3094" w:type="dxa"/>
          </w:tcPr>
          <w:p w:rsidR="00C26956" w:rsidRPr="00295E71" w:rsidP="009D52F1" w14:paraId="5846EF31" w14:textId="77777777">
            <w:pPr>
              <w:numPr>
                <w:ilvl w:val="12"/>
                <w:numId w:val="0"/>
              </w:numPr>
              <w:ind w:right="-2"/>
              <w:rPr>
                <w:sz w:val="22"/>
                <w:szCs w:val="22"/>
              </w:rPr>
            </w:pPr>
            <w:r w:rsidRPr="00295E71">
              <w:rPr>
                <w:sz w:val="22"/>
                <w:szCs w:val="22"/>
              </w:rPr>
              <w:t>Adulti</w:t>
            </w:r>
          </w:p>
        </w:tc>
        <w:tc>
          <w:tcPr>
            <w:tcW w:w="3096" w:type="dxa"/>
          </w:tcPr>
          <w:p w:rsidR="00C26956" w:rsidRPr="00295E71" w:rsidP="009D52F1" w14:paraId="3453222A" w14:textId="77777777">
            <w:pPr>
              <w:numPr>
                <w:ilvl w:val="12"/>
                <w:numId w:val="0"/>
              </w:numPr>
              <w:rPr>
                <w:sz w:val="22"/>
                <w:szCs w:val="22"/>
              </w:rPr>
            </w:pPr>
            <w:r w:rsidRPr="00295E71">
              <w:rPr>
                <w:sz w:val="22"/>
                <w:szCs w:val="22"/>
              </w:rPr>
              <w:t>Una dose iniziale di 160 mg (quattro iniezioni da 40 mg in un giorno o due iniezioni da 40 mg al giorno per due giorni consecutivi), seguita da 80 mg (due iniezioni da 40 mg in un giorno) dopo due settimane.</w:t>
            </w:r>
          </w:p>
          <w:p w:rsidR="00C26956" w:rsidRPr="00295E71" w:rsidP="009D52F1" w14:paraId="7452664B" w14:textId="77777777">
            <w:pPr>
              <w:numPr>
                <w:ilvl w:val="12"/>
                <w:numId w:val="0"/>
              </w:numPr>
              <w:rPr>
                <w:sz w:val="22"/>
                <w:szCs w:val="22"/>
              </w:rPr>
            </w:pPr>
          </w:p>
          <w:p w:rsidR="00C26956" w:rsidRPr="00295E71" w:rsidP="009D52F1" w14:paraId="182B3E90" w14:textId="77777777">
            <w:pPr>
              <w:numPr>
                <w:ilvl w:val="12"/>
                <w:numId w:val="0"/>
              </w:numPr>
              <w:rPr>
                <w:sz w:val="22"/>
                <w:szCs w:val="22"/>
              </w:rPr>
            </w:pPr>
            <w:r w:rsidRPr="00295E71">
              <w:rPr>
                <w:sz w:val="22"/>
                <w:szCs w:val="22"/>
              </w:rPr>
              <w:t>Successivamente, la dose abituale è di 40 mg a settimane alterne.</w:t>
            </w:r>
          </w:p>
        </w:tc>
        <w:tc>
          <w:tcPr>
            <w:tcW w:w="3096" w:type="dxa"/>
          </w:tcPr>
          <w:p w:rsidR="00C26956" w:rsidRPr="00295E71" w:rsidP="003E69B9" w14:paraId="4E0BE2C5" w14:textId="77777777">
            <w:pPr>
              <w:numPr>
                <w:ilvl w:val="12"/>
                <w:numId w:val="0"/>
              </w:numPr>
              <w:ind w:right="-2"/>
              <w:rPr>
                <w:sz w:val="22"/>
                <w:szCs w:val="22"/>
              </w:rPr>
            </w:pPr>
            <w:r w:rsidRPr="00295E71">
              <w:rPr>
                <w:sz w:val="22"/>
                <w:szCs w:val="22"/>
              </w:rPr>
              <w:t xml:space="preserve">Il medico potrebbe aumentare </w:t>
            </w:r>
            <w:r w:rsidRPr="00295E71" w:rsidR="002D0546">
              <w:rPr>
                <w:sz w:val="22"/>
                <w:szCs w:val="22"/>
              </w:rPr>
              <w:t>il</w:t>
            </w:r>
            <w:r w:rsidRPr="00295E71">
              <w:rPr>
                <w:sz w:val="22"/>
                <w:szCs w:val="22"/>
              </w:rPr>
              <w:t xml:space="preserve"> </w:t>
            </w:r>
            <w:r w:rsidRPr="00295E71" w:rsidR="002D0546">
              <w:rPr>
                <w:sz w:val="22"/>
                <w:szCs w:val="22"/>
              </w:rPr>
              <w:t xml:space="preserve">dosaggio </w:t>
            </w:r>
            <w:r w:rsidRPr="00295E71">
              <w:rPr>
                <w:sz w:val="22"/>
                <w:szCs w:val="22"/>
              </w:rPr>
              <w:t>a 40 mg ogni settimana</w:t>
            </w:r>
            <w:r w:rsidRPr="00295E71" w:rsidR="002D0546">
              <w:rPr>
                <w:sz w:val="22"/>
                <w:szCs w:val="22"/>
              </w:rPr>
              <w:t xml:space="preserve"> o 80 mg a settimane alterne</w:t>
            </w:r>
            <w:r w:rsidRPr="00295E71">
              <w:rPr>
                <w:sz w:val="22"/>
                <w:szCs w:val="22"/>
              </w:rPr>
              <w:t>.</w:t>
            </w:r>
          </w:p>
        </w:tc>
      </w:tr>
      <w:tr w14:paraId="3D8E8772" w14:textId="77777777" w:rsidTr="009D52F1">
        <w:tblPrEx>
          <w:tblW w:w="0" w:type="auto"/>
          <w:tblLook w:val="04A0"/>
        </w:tblPrEx>
        <w:tc>
          <w:tcPr>
            <w:tcW w:w="3094" w:type="dxa"/>
          </w:tcPr>
          <w:p w:rsidR="00803E02" w:rsidRPr="00803E02" w:rsidP="00803E02" w14:paraId="6CC113DC" w14:textId="77777777">
            <w:pPr>
              <w:numPr>
                <w:ilvl w:val="12"/>
                <w:numId w:val="0"/>
              </w:numPr>
              <w:ind w:right="-2"/>
              <w:rPr>
                <w:sz w:val="22"/>
                <w:szCs w:val="22"/>
              </w:rPr>
            </w:pPr>
            <w:r w:rsidRPr="00612824">
              <w:rPr>
                <w:sz w:val="22"/>
                <w:szCs w:val="22"/>
              </w:rPr>
              <w:t xml:space="preserve">Bambini e adolescenti a partire da 6 anni di età </w:t>
            </w:r>
            <w:r w:rsidR="00B41B39">
              <w:rPr>
                <w:sz w:val="22"/>
                <w:szCs w:val="22"/>
              </w:rPr>
              <w:t>e con peso inferiore a</w:t>
            </w:r>
            <w:r w:rsidRPr="00612824">
              <w:rPr>
                <w:sz w:val="22"/>
                <w:szCs w:val="22"/>
              </w:rPr>
              <w:t xml:space="preserve"> 40 kg</w:t>
            </w:r>
          </w:p>
        </w:tc>
        <w:tc>
          <w:tcPr>
            <w:tcW w:w="3096" w:type="dxa"/>
          </w:tcPr>
          <w:p w:rsidR="00803E02" w:rsidRPr="00612824" w:rsidP="00803E02" w14:paraId="4623C952" w14:textId="77777777">
            <w:pPr>
              <w:numPr>
                <w:ilvl w:val="12"/>
                <w:numId w:val="0"/>
              </w:numPr>
              <w:rPr>
                <w:sz w:val="22"/>
                <w:szCs w:val="22"/>
              </w:rPr>
            </w:pPr>
            <w:r>
              <w:rPr>
                <w:sz w:val="22"/>
                <w:szCs w:val="22"/>
              </w:rPr>
              <w:t>Una dose iniziale</w:t>
            </w:r>
            <w:r w:rsidRPr="00612824">
              <w:rPr>
                <w:sz w:val="22"/>
                <w:szCs w:val="22"/>
              </w:rPr>
              <w:t xml:space="preserve"> di 80 mg (due iniezioni da 40 mg in un </w:t>
            </w:r>
            <w:r w:rsidR="009D2CEC">
              <w:rPr>
                <w:sz w:val="22"/>
                <w:szCs w:val="22"/>
              </w:rPr>
              <w:t>giorno</w:t>
            </w:r>
            <w:r w:rsidRPr="00612824">
              <w:rPr>
                <w:sz w:val="22"/>
                <w:szCs w:val="22"/>
              </w:rPr>
              <w:t>), seguita da 40 mg (una iniezione da 40 mg)</w:t>
            </w:r>
            <w:r>
              <w:rPr>
                <w:sz w:val="22"/>
                <w:szCs w:val="22"/>
              </w:rPr>
              <w:t xml:space="preserve"> dopo</w:t>
            </w:r>
            <w:r w:rsidRPr="00612824">
              <w:rPr>
                <w:sz w:val="22"/>
                <w:szCs w:val="22"/>
              </w:rPr>
              <w:t xml:space="preserve"> due settimane.</w:t>
            </w:r>
          </w:p>
          <w:p w:rsidR="00803E02" w:rsidRPr="00612824" w:rsidP="00803E02" w14:paraId="65EF25EE" w14:textId="77777777">
            <w:pPr>
              <w:numPr>
                <w:ilvl w:val="12"/>
                <w:numId w:val="0"/>
              </w:numPr>
              <w:rPr>
                <w:sz w:val="22"/>
                <w:szCs w:val="22"/>
              </w:rPr>
            </w:pPr>
          </w:p>
          <w:p w:rsidR="00803E02" w:rsidRPr="00803E02" w:rsidP="00803E02" w14:paraId="228EFED1" w14:textId="77777777">
            <w:pPr>
              <w:numPr>
                <w:ilvl w:val="12"/>
                <w:numId w:val="0"/>
              </w:numPr>
              <w:rPr>
                <w:sz w:val="22"/>
                <w:szCs w:val="22"/>
              </w:rPr>
            </w:pPr>
            <w:r w:rsidRPr="00612824">
              <w:rPr>
                <w:sz w:val="22"/>
                <w:szCs w:val="22"/>
              </w:rPr>
              <w:t xml:space="preserve">Successivamente, la dose abituale è di 40 mg </w:t>
            </w:r>
            <w:r w:rsidR="00B41B39">
              <w:rPr>
                <w:sz w:val="22"/>
                <w:szCs w:val="22"/>
              </w:rPr>
              <w:t>a settimane alterne</w:t>
            </w:r>
            <w:r w:rsidRPr="00612824">
              <w:rPr>
                <w:sz w:val="22"/>
                <w:szCs w:val="22"/>
              </w:rPr>
              <w:t>.</w:t>
            </w:r>
          </w:p>
        </w:tc>
        <w:tc>
          <w:tcPr>
            <w:tcW w:w="3096" w:type="dxa"/>
          </w:tcPr>
          <w:p w:rsidR="00803E02" w:rsidRPr="00803E02" w:rsidP="00803E02" w14:paraId="62D26C38" w14:textId="77777777">
            <w:pPr>
              <w:numPr>
                <w:ilvl w:val="12"/>
                <w:numId w:val="0"/>
              </w:numPr>
              <w:ind w:right="-2"/>
              <w:rPr>
                <w:sz w:val="22"/>
                <w:szCs w:val="22"/>
              </w:rPr>
            </w:pPr>
            <w:r>
              <w:rPr>
                <w:sz w:val="22"/>
                <w:szCs w:val="22"/>
              </w:rPr>
              <w:t>Si d</w:t>
            </w:r>
            <w:r w:rsidRPr="00612824">
              <w:rPr>
                <w:sz w:val="22"/>
                <w:szCs w:val="22"/>
              </w:rPr>
              <w:t>eve continuare a</w:t>
            </w:r>
            <w:r w:rsidR="00DB1DD1">
              <w:rPr>
                <w:sz w:val="22"/>
                <w:szCs w:val="22"/>
              </w:rPr>
              <w:t xml:space="preserve">d assumere </w:t>
            </w:r>
            <w:r w:rsidRPr="00612824">
              <w:rPr>
                <w:sz w:val="22"/>
                <w:szCs w:val="22"/>
              </w:rPr>
              <w:t>Humira alla dose abituale, anche dopo aver compiuto 18 anni</w:t>
            </w:r>
            <w:r w:rsidR="00DB1DD1">
              <w:rPr>
                <w:sz w:val="22"/>
                <w:szCs w:val="22"/>
              </w:rPr>
              <w:t xml:space="preserve"> di età</w:t>
            </w:r>
            <w:r w:rsidRPr="00612824">
              <w:rPr>
                <w:sz w:val="22"/>
                <w:szCs w:val="22"/>
              </w:rPr>
              <w:t>.</w:t>
            </w:r>
          </w:p>
        </w:tc>
      </w:tr>
      <w:tr w14:paraId="79C7022C" w14:textId="77777777" w:rsidTr="009D52F1">
        <w:tblPrEx>
          <w:tblW w:w="0" w:type="auto"/>
          <w:tblLook w:val="04A0"/>
        </w:tblPrEx>
        <w:tc>
          <w:tcPr>
            <w:tcW w:w="3094" w:type="dxa"/>
          </w:tcPr>
          <w:p w:rsidR="00803E02" w:rsidRPr="00803E02" w:rsidP="00803E02" w14:paraId="1FEEF7DC" w14:textId="77777777">
            <w:pPr>
              <w:numPr>
                <w:ilvl w:val="12"/>
                <w:numId w:val="0"/>
              </w:numPr>
              <w:ind w:right="-2"/>
              <w:rPr>
                <w:sz w:val="22"/>
                <w:szCs w:val="22"/>
              </w:rPr>
            </w:pPr>
            <w:r w:rsidRPr="00612824">
              <w:rPr>
                <w:sz w:val="22"/>
                <w:szCs w:val="22"/>
              </w:rPr>
              <w:t xml:space="preserve">Bambini e adolescenti a partire da 6 anni di età </w:t>
            </w:r>
            <w:r w:rsidR="00B92654">
              <w:rPr>
                <w:sz w:val="22"/>
                <w:szCs w:val="22"/>
              </w:rPr>
              <w:t xml:space="preserve">e </w:t>
            </w:r>
            <w:r w:rsidRPr="00295E71" w:rsidR="00B41B39">
              <w:rPr>
                <w:sz w:val="22"/>
                <w:szCs w:val="22"/>
              </w:rPr>
              <w:t>con peso pari o superiore a</w:t>
            </w:r>
            <w:r w:rsidRPr="00612824">
              <w:rPr>
                <w:sz w:val="22"/>
                <w:szCs w:val="22"/>
              </w:rPr>
              <w:t xml:space="preserve"> 40 kg</w:t>
            </w:r>
          </w:p>
        </w:tc>
        <w:tc>
          <w:tcPr>
            <w:tcW w:w="3096" w:type="dxa"/>
          </w:tcPr>
          <w:p w:rsidR="00803E02" w:rsidRPr="00612824" w:rsidP="00803E02" w14:paraId="2DA7656D" w14:textId="77777777">
            <w:pPr>
              <w:numPr>
                <w:ilvl w:val="12"/>
                <w:numId w:val="0"/>
              </w:numPr>
              <w:rPr>
                <w:sz w:val="22"/>
                <w:szCs w:val="22"/>
              </w:rPr>
            </w:pPr>
            <w:r>
              <w:rPr>
                <w:sz w:val="22"/>
                <w:szCs w:val="22"/>
              </w:rPr>
              <w:t xml:space="preserve">Una </w:t>
            </w:r>
            <w:r w:rsidRPr="00612824">
              <w:rPr>
                <w:sz w:val="22"/>
                <w:szCs w:val="22"/>
              </w:rPr>
              <w:t>dose</w:t>
            </w:r>
            <w:r>
              <w:rPr>
                <w:sz w:val="22"/>
                <w:szCs w:val="22"/>
              </w:rPr>
              <w:t xml:space="preserve"> iniziale</w:t>
            </w:r>
            <w:r w:rsidRPr="00612824">
              <w:rPr>
                <w:sz w:val="22"/>
                <w:szCs w:val="22"/>
              </w:rPr>
              <w:t xml:space="preserve"> di 160 mg (quattro iniezioni da 40 mg in un </w:t>
            </w:r>
            <w:r w:rsidR="009D2CEC">
              <w:rPr>
                <w:sz w:val="22"/>
                <w:szCs w:val="22"/>
              </w:rPr>
              <w:t>giorno</w:t>
            </w:r>
            <w:r w:rsidRPr="00612824">
              <w:rPr>
                <w:sz w:val="22"/>
                <w:szCs w:val="22"/>
              </w:rPr>
              <w:t xml:space="preserve"> o due iniezioni da 40 mg al giorno per due giorni consecutivi), seguita da 80 mg (due iniezioni da 40 mg in un </w:t>
            </w:r>
            <w:r w:rsidR="009D2CEC">
              <w:rPr>
                <w:sz w:val="22"/>
                <w:szCs w:val="22"/>
              </w:rPr>
              <w:t>giorno</w:t>
            </w:r>
            <w:r w:rsidRPr="00612824">
              <w:rPr>
                <w:sz w:val="22"/>
                <w:szCs w:val="22"/>
              </w:rPr>
              <w:t xml:space="preserve">) </w:t>
            </w:r>
            <w:r>
              <w:rPr>
                <w:sz w:val="22"/>
                <w:szCs w:val="22"/>
              </w:rPr>
              <w:t xml:space="preserve">dopo </w:t>
            </w:r>
            <w:r w:rsidRPr="00612824">
              <w:rPr>
                <w:sz w:val="22"/>
                <w:szCs w:val="22"/>
              </w:rPr>
              <w:t>due settimane.</w:t>
            </w:r>
          </w:p>
          <w:p w:rsidR="00803E02" w:rsidRPr="00612824" w:rsidP="00803E02" w14:paraId="09EACA69" w14:textId="77777777">
            <w:pPr>
              <w:numPr>
                <w:ilvl w:val="12"/>
                <w:numId w:val="0"/>
              </w:numPr>
              <w:rPr>
                <w:sz w:val="22"/>
                <w:szCs w:val="22"/>
              </w:rPr>
            </w:pPr>
          </w:p>
          <w:p w:rsidR="00803E02" w:rsidRPr="00803E02" w:rsidP="00803E02" w14:paraId="0F63E062" w14:textId="77777777">
            <w:pPr>
              <w:numPr>
                <w:ilvl w:val="12"/>
                <w:numId w:val="0"/>
              </w:numPr>
              <w:rPr>
                <w:sz w:val="22"/>
                <w:szCs w:val="22"/>
              </w:rPr>
            </w:pPr>
            <w:r w:rsidRPr="00612824">
              <w:rPr>
                <w:sz w:val="22"/>
                <w:szCs w:val="22"/>
              </w:rPr>
              <w:t xml:space="preserve">Successivamente, la dose abituale è di 80 mg </w:t>
            </w:r>
            <w:r w:rsidR="00B41B39">
              <w:rPr>
                <w:sz w:val="22"/>
                <w:szCs w:val="22"/>
              </w:rPr>
              <w:t>a settimane alterne</w:t>
            </w:r>
            <w:r w:rsidRPr="00612824">
              <w:rPr>
                <w:sz w:val="22"/>
                <w:szCs w:val="22"/>
              </w:rPr>
              <w:t>.</w:t>
            </w:r>
          </w:p>
        </w:tc>
        <w:tc>
          <w:tcPr>
            <w:tcW w:w="3096" w:type="dxa"/>
          </w:tcPr>
          <w:p w:rsidR="00803E02" w:rsidRPr="00803E02" w:rsidP="00803E02" w14:paraId="05A3D8F6" w14:textId="77777777">
            <w:pPr>
              <w:numPr>
                <w:ilvl w:val="12"/>
                <w:numId w:val="0"/>
              </w:numPr>
              <w:ind w:right="-2"/>
              <w:rPr>
                <w:sz w:val="22"/>
                <w:szCs w:val="22"/>
              </w:rPr>
            </w:pPr>
            <w:r>
              <w:rPr>
                <w:sz w:val="22"/>
                <w:szCs w:val="22"/>
              </w:rPr>
              <w:t>Si deve</w:t>
            </w:r>
            <w:r w:rsidRPr="00612824">
              <w:rPr>
                <w:sz w:val="22"/>
                <w:szCs w:val="22"/>
              </w:rPr>
              <w:t xml:space="preserve"> continuare a</w:t>
            </w:r>
            <w:r w:rsidR="00DB1DD1">
              <w:rPr>
                <w:sz w:val="22"/>
                <w:szCs w:val="22"/>
              </w:rPr>
              <w:t>d assumere</w:t>
            </w:r>
            <w:r w:rsidRPr="00612824">
              <w:rPr>
                <w:sz w:val="22"/>
                <w:szCs w:val="22"/>
              </w:rPr>
              <w:t xml:space="preserve"> Humira alla dose abituale, anche dopo aver compiuto 18 anni</w:t>
            </w:r>
            <w:r w:rsidR="00DB1DD1">
              <w:rPr>
                <w:sz w:val="22"/>
                <w:szCs w:val="22"/>
              </w:rPr>
              <w:t xml:space="preserve"> di età</w:t>
            </w:r>
            <w:r w:rsidRPr="00612824">
              <w:rPr>
                <w:sz w:val="22"/>
                <w:szCs w:val="22"/>
              </w:rPr>
              <w:t>.</w:t>
            </w:r>
          </w:p>
        </w:tc>
      </w:tr>
    </w:tbl>
    <w:p w:rsidR="00C26956" w:rsidRPr="00295E71" w:rsidP="00C26956" w14:paraId="62AB43A6" w14:textId="77777777">
      <w:pPr>
        <w:keepNext/>
        <w:keepLines/>
        <w:numPr>
          <w:ilvl w:val="12"/>
          <w:numId w:val="0"/>
        </w:numPr>
        <w:tabs>
          <w:tab w:val="left" w:pos="567"/>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4"/>
        <w:gridCol w:w="3018"/>
        <w:gridCol w:w="3028"/>
      </w:tblGrid>
      <w:tr w14:paraId="7A7C25A4" w14:textId="77777777" w:rsidTr="009D52F1">
        <w:tblPrEx>
          <w:tblW w:w="0" w:type="auto"/>
          <w:tblLook w:val="04A0"/>
        </w:tblPrEx>
        <w:tc>
          <w:tcPr>
            <w:tcW w:w="9286" w:type="dxa"/>
            <w:gridSpan w:val="3"/>
          </w:tcPr>
          <w:p w:rsidR="00C26956" w:rsidRPr="00295E71" w:rsidP="009D52F1" w14:paraId="5F4F2646" w14:textId="77777777">
            <w:pPr>
              <w:keepNext/>
              <w:keepLines/>
              <w:numPr>
                <w:ilvl w:val="12"/>
                <w:numId w:val="0"/>
              </w:numPr>
              <w:ind w:right="-2"/>
              <w:rPr>
                <w:b/>
                <w:sz w:val="22"/>
                <w:szCs w:val="22"/>
              </w:rPr>
            </w:pPr>
            <w:r w:rsidRPr="00295E71">
              <w:rPr>
                <w:b/>
                <w:sz w:val="22"/>
                <w:szCs w:val="22"/>
              </w:rPr>
              <w:t>Uveite non-infettiva</w:t>
            </w:r>
          </w:p>
        </w:tc>
      </w:tr>
      <w:tr w14:paraId="65381DEA" w14:textId="77777777" w:rsidTr="009D52F1">
        <w:tblPrEx>
          <w:tblW w:w="0" w:type="auto"/>
          <w:tblLook w:val="04A0"/>
        </w:tblPrEx>
        <w:tc>
          <w:tcPr>
            <w:tcW w:w="3094" w:type="dxa"/>
          </w:tcPr>
          <w:p w:rsidR="00C26956" w:rsidRPr="00295E71" w:rsidP="009D52F1" w14:paraId="07BCF918" w14:textId="77777777">
            <w:pPr>
              <w:keepNext/>
              <w:keepLines/>
              <w:numPr>
                <w:ilvl w:val="12"/>
                <w:numId w:val="0"/>
              </w:numPr>
              <w:ind w:right="-2"/>
              <w:rPr>
                <w:sz w:val="22"/>
                <w:szCs w:val="22"/>
              </w:rPr>
            </w:pPr>
            <w:r w:rsidRPr="00295E71">
              <w:rPr>
                <w:b/>
                <w:sz w:val="22"/>
                <w:szCs w:val="22"/>
              </w:rPr>
              <w:t>Età o peso corporeo</w:t>
            </w:r>
          </w:p>
        </w:tc>
        <w:tc>
          <w:tcPr>
            <w:tcW w:w="3096" w:type="dxa"/>
          </w:tcPr>
          <w:p w:rsidR="00C26956" w:rsidRPr="00295E71" w:rsidP="009D52F1" w14:paraId="77ACD293" w14:textId="77777777">
            <w:pPr>
              <w:keepNext/>
              <w:keepLines/>
              <w:tabs>
                <w:tab w:val="left" w:pos="0"/>
              </w:tabs>
              <w:rPr>
                <w:sz w:val="22"/>
                <w:szCs w:val="22"/>
              </w:rPr>
            </w:pPr>
            <w:r w:rsidRPr="00295E71">
              <w:rPr>
                <w:b/>
                <w:sz w:val="22"/>
                <w:szCs w:val="22"/>
              </w:rPr>
              <w:t>Che quantità ne va assunta e con che frequenza?</w:t>
            </w:r>
          </w:p>
        </w:tc>
        <w:tc>
          <w:tcPr>
            <w:tcW w:w="3096" w:type="dxa"/>
          </w:tcPr>
          <w:p w:rsidR="00C26956" w:rsidRPr="00295E71" w:rsidP="009D52F1" w14:paraId="3C174ED5" w14:textId="77777777">
            <w:pPr>
              <w:keepNext/>
              <w:keepLines/>
              <w:numPr>
                <w:ilvl w:val="12"/>
                <w:numId w:val="0"/>
              </w:numPr>
              <w:rPr>
                <w:sz w:val="22"/>
                <w:szCs w:val="22"/>
              </w:rPr>
            </w:pPr>
            <w:r w:rsidRPr="00295E71">
              <w:rPr>
                <w:b/>
                <w:sz w:val="22"/>
                <w:szCs w:val="22"/>
              </w:rPr>
              <w:t>Note</w:t>
            </w:r>
          </w:p>
        </w:tc>
      </w:tr>
      <w:tr w14:paraId="07B458B4" w14:textId="77777777" w:rsidTr="009D52F1">
        <w:tblPrEx>
          <w:tblW w:w="0" w:type="auto"/>
          <w:tblLook w:val="04A0"/>
        </w:tblPrEx>
        <w:tc>
          <w:tcPr>
            <w:tcW w:w="3094" w:type="dxa"/>
          </w:tcPr>
          <w:p w:rsidR="00C26956" w:rsidRPr="00295E71" w:rsidP="009D52F1" w14:paraId="34E0805C" w14:textId="77777777">
            <w:pPr>
              <w:keepNext/>
              <w:keepLines/>
              <w:numPr>
                <w:ilvl w:val="12"/>
                <w:numId w:val="0"/>
              </w:numPr>
              <w:ind w:right="-2"/>
              <w:rPr>
                <w:sz w:val="22"/>
                <w:szCs w:val="22"/>
              </w:rPr>
            </w:pPr>
            <w:r w:rsidRPr="00295E71">
              <w:rPr>
                <w:sz w:val="22"/>
                <w:szCs w:val="22"/>
              </w:rPr>
              <w:t>Adulti</w:t>
            </w:r>
          </w:p>
        </w:tc>
        <w:tc>
          <w:tcPr>
            <w:tcW w:w="3096" w:type="dxa"/>
          </w:tcPr>
          <w:p w:rsidR="00C26956" w:rsidRPr="00295E71" w:rsidP="009D52F1" w14:paraId="23A927E9" w14:textId="77777777">
            <w:pPr>
              <w:keepNext/>
              <w:keepLines/>
              <w:tabs>
                <w:tab w:val="left" w:pos="0"/>
              </w:tabs>
              <w:rPr>
                <w:sz w:val="22"/>
                <w:szCs w:val="22"/>
              </w:rPr>
            </w:pPr>
            <w:r w:rsidRPr="00295E71">
              <w:rPr>
                <w:sz w:val="22"/>
                <w:szCs w:val="22"/>
              </w:rPr>
              <w:t>Una dose iniziale di 80 mg (due iniezioni da 40 mg in un giorno), seguita da 40 mg a settimane alterne a partire da una settimana dopo la dose iniziale.</w:t>
            </w:r>
          </w:p>
        </w:tc>
        <w:tc>
          <w:tcPr>
            <w:tcW w:w="3096" w:type="dxa"/>
          </w:tcPr>
          <w:p w:rsidR="00C26956" w:rsidRPr="00295E71" w:rsidP="009D52F1" w14:paraId="2B6CCAFF" w14:textId="77777777">
            <w:pPr>
              <w:keepNext/>
              <w:keepLines/>
              <w:numPr>
                <w:ilvl w:val="12"/>
                <w:numId w:val="0"/>
              </w:numPr>
              <w:rPr>
                <w:sz w:val="22"/>
                <w:szCs w:val="22"/>
              </w:rPr>
            </w:pPr>
            <w:r w:rsidRPr="00295E71">
              <w:rPr>
                <w:sz w:val="22"/>
                <w:szCs w:val="22"/>
              </w:rPr>
              <w:t>I corticosteroidi o gli altri farmaci che influiscono sul sistema immunitario potranno essere continuati durante il trattamento con Humira. Humira può essere somministrato in monoterapia.</w:t>
            </w:r>
          </w:p>
        </w:tc>
      </w:tr>
      <w:tr w14:paraId="18D3735E" w14:textId="77777777" w:rsidTr="009D52F1">
        <w:tblPrEx>
          <w:tblW w:w="0" w:type="auto"/>
          <w:tblLook w:val="04A0"/>
        </w:tblPrEx>
        <w:tc>
          <w:tcPr>
            <w:tcW w:w="3094" w:type="dxa"/>
          </w:tcPr>
          <w:p w:rsidR="00C26956" w:rsidRPr="00295E71" w:rsidP="009D52F1" w14:paraId="2CBBB07B" w14:textId="77777777">
            <w:pPr>
              <w:numPr>
                <w:ilvl w:val="12"/>
                <w:numId w:val="0"/>
              </w:numPr>
              <w:ind w:right="-2"/>
              <w:rPr>
                <w:sz w:val="22"/>
                <w:szCs w:val="22"/>
              </w:rPr>
            </w:pPr>
            <w:r w:rsidRPr="00295E71">
              <w:rPr>
                <w:sz w:val="22"/>
                <w:szCs w:val="22"/>
              </w:rPr>
              <w:t>Bambini e adolescenti a partire da 2 anni di età e con peso inferiore a 30 kg</w:t>
            </w:r>
          </w:p>
        </w:tc>
        <w:tc>
          <w:tcPr>
            <w:tcW w:w="3096" w:type="dxa"/>
          </w:tcPr>
          <w:p w:rsidR="00C26956" w:rsidRPr="00295E71" w:rsidP="009D52F1" w14:paraId="376E3647" w14:textId="77777777">
            <w:pPr>
              <w:tabs>
                <w:tab w:val="left" w:pos="0"/>
              </w:tabs>
              <w:rPr>
                <w:sz w:val="22"/>
                <w:szCs w:val="22"/>
              </w:rPr>
            </w:pPr>
            <w:r w:rsidRPr="00295E71">
              <w:rPr>
                <w:sz w:val="22"/>
                <w:szCs w:val="22"/>
              </w:rPr>
              <w:t>20 mg a settimane alterne</w:t>
            </w:r>
          </w:p>
        </w:tc>
        <w:tc>
          <w:tcPr>
            <w:tcW w:w="3096" w:type="dxa"/>
          </w:tcPr>
          <w:p w:rsidR="00C26956" w:rsidRPr="00295E71" w:rsidP="003E69B9" w14:paraId="1A25023C" w14:textId="77777777">
            <w:pPr>
              <w:numPr>
                <w:ilvl w:val="12"/>
                <w:numId w:val="0"/>
              </w:numPr>
              <w:ind w:right="-2"/>
              <w:rPr>
                <w:sz w:val="22"/>
                <w:szCs w:val="22"/>
              </w:rPr>
            </w:pPr>
            <w:r w:rsidRPr="00295E71">
              <w:rPr>
                <w:sz w:val="22"/>
                <w:szCs w:val="22"/>
              </w:rPr>
              <w:t>Il medico potrebbe prescrivere una dose iniziale da 40 mg da somministrare una settimana prima dell’inizio della dose abituale da 20 mg a settimane alterne. L’uso di Humira è raccomandato in associazione al metotressato.</w:t>
            </w:r>
          </w:p>
        </w:tc>
      </w:tr>
      <w:tr w14:paraId="5CB2FFB3" w14:textId="77777777" w:rsidTr="009D52F1">
        <w:tblPrEx>
          <w:tblW w:w="0" w:type="auto"/>
          <w:tblLook w:val="04A0"/>
        </w:tblPrEx>
        <w:tc>
          <w:tcPr>
            <w:tcW w:w="3094" w:type="dxa"/>
          </w:tcPr>
          <w:p w:rsidR="00C26956" w:rsidRPr="00295E71" w:rsidP="009D52F1" w14:paraId="02FDA023" w14:textId="77777777">
            <w:pPr>
              <w:numPr>
                <w:ilvl w:val="12"/>
                <w:numId w:val="0"/>
              </w:numPr>
              <w:ind w:right="-2"/>
              <w:rPr>
                <w:sz w:val="22"/>
                <w:szCs w:val="22"/>
              </w:rPr>
            </w:pPr>
            <w:r w:rsidRPr="00295E71">
              <w:rPr>
                <w:sz w:val="22"/>
                <w:szCs w:val="22"/>
              </w:rPr>
              <w:t>Bambini e adolescenti a partire da 2 anni di età e con peso di almeno  30 kg</w:t>
            </w:r>
          </w:p>
        </w:tc>
        <w:tc>
          <w:tcPr>
            <w:tcW w:w="3096" w:type="dxa"/>
          </w:tcPr>
          <w:p w:rsidR="00C26956" w:rsidRPr="00295E71" w:rsidP="009D52F1" w14:paraId="56F52106" w14:textId="77777777">
            <w:pPr>
              <w:tabs>
                <w:tab w:val="left" w:pos="0"/>
              </w:tabs>
              <w:rPr>
                <w:sz w:val="22"/>
                <w:szCs w:val="22"/>
              </w:rPr>
            </w:pPr>
            <w:r w:rsidRPr="00295E71">
              <w:rPr>
                <w:sz w:val="22"/>
                <w:szCs w:val="22"/>
              </w:rPr>
              <w:t>40 mg a settimane alterne</w:t>
            </w:r>
          </w:p>
        </w:tc>
        <w:tc>
          <w:tcPr>
            <w:tcW w:w="3096" w:type="dxa"/>
          </w:tcPr>
          <w:p w:rsidR="00C26956" w:rsidRPr="00295E71" w:rsidP="003E69B9" w14:paraId="1500D9DF" w14:textId="77777777">
            <w:pPr>
              <w:numPr>
                <w:ilvl w:val="12"/>
                <w:numId w:val="0"/>
              </w:numPr>
              <w:ind w:right="-2"/>
              <w:rPr>
                <w:sz w:val="22"/>
                <w:szCs w:val="22"/>
              </w:rPr>
            </w:pPr>
            <w:r w:rsidRPr="00295E71">
              <w:rPr>
                <w:sz w:val="22"/>
                <w:szCs w:val="22"/>
              </w:rPr>
              <w:t>Il medico potrebbe prescrivere una dose iniziale da 80 mg da somministrare una settimana prima dell’inizio della dose abituale da 40 mg a settimane alterne. L’uso di Humira è raccomandato in associazione al metotressato.</w:t>
            </w:r>
          </w:p>
        </w:tc>
      </w:tr>
    </w:tbl>
    <w:p w:rsidR="00C26956" w:rsidRPr="00295E71" w:rsidP="00C26956" w14:paraId="5A085F00" w14:textId="77777777">
      <w:pPr>
        <w:numPr>
          <w:ilvl w:val="12"/>
          <w:numId w:val="0"/>
        </w:numPr>
        <w:tabs>
          <w:tab w:val="left" w:pos="567"/>
        </w:tabs>
        <w:ind w:right="-2"/>
        <w:jc w:val="both"/>
        <w:rPr>
          <w:sz w:val="22"/>
          <w:szCs w:val="22"/>
        </w:rPr>
      </w:pPr>
    </w:p>
    <w:p w:rsidR="00C26956" w:rsidRPr="00295E71" w:rsidP="00C26956" w14:paraId="0E316F33" w14:textId="77777777">
      <w:pPr>
        <w:numPr>
          <w:ilvl w:val="12"/>
          <w:numId w:val="0"/>
        </w:numPr>
        <w:tabs>
          <w:tab w:val="left" w:pos="567"/>
        </w:tabs>
        <w:ind w:right="-2"/>
        <w:jc w:val="both"/>
        <w:rPr>
          <w:b/>
          <w:sz w:val="22"/>
          <w:szCs w:val="22"/>
        </w:rPr>
      </w:pPr>
      <w:r w:rsidRPr="00295E71">
        <w:rPr>
          <w:b/>
          <w:sz w:val="22"/>
          <w:szCs w:val="22"/>
        </w:rPr>
        <w:t>Modo e via di somministrazione</w:t>
      </w:r>
    </w:p>
    <w:p w:rsidR="00C26956" w:rsidRPr="00295E71" w:rsidP="00C26956" w14:paraId="1983B618" w14:textId="77777777">
      <w:pPr>
        <w:numPr>
          <w:ilvl w:val="12"/>
          <w:numId w:val="0"/>
        </w:numPr>
        <w:tabs>
          <w:tab w:val="left" w:pos="567"/>
        </w:tabs>
        <w:ind w:right="-2"/>
        <w:jc w:val="both"/>
        <w:rPr>
          <w:sz w:val="22"/>
          <w:szCs w:val="22"/>
        </w:rPr>
      </w:pPr>
    </w:p>
    <w:p w:rsidR="00C26956" w:rsidRPr="00295E71" w:rsidP="00C26956" w14:paraId="6CED83E4" w14:textId="77777777">
      <w:pPr>
        <w:numPr>
          <w:ilvl w:val="12"/>
          <w:numId w:val="0"/>
        </w:numPr>
        <w:tabs>
          <w:tab w:val="left" w:pos="567"/>
        </w:tabs>
        <w:ind w:right="-2"/>
        <w:jc w:val="both"/>
        <w:rPr>
          <w:sz w:val="22"/>
          <w:szCs w:val="22"/>
        </w:rPr>
      </w:pPr>
      <w:r w:rsidRPr="00295E71">
        <w:rPr>
          <w:sz w:val="22"/>
          <w:szCs w:val="22"/>
        </w:rPr>
        <w:t>Humira è somministrato per iniezione sotto la cute (per iniezione sottocutanea).</w:t>
      </w:r>
    </w:p>
    <w:p w:rsidR="00C26956" w:rsidRPr="00295E71" w:rsidP="00C26956" w14:paraId="6EE9C579" w14:textId="77777777">
      <w:pPr>
        <w:tabs>
          <w:tab w:val="left" w:pos="567"/>
        </w:tabs>
        <w:jc w:val="both"/>
        <w:rPr>
          <w:sz w:val="22"/>
          <w:szCs w:val="22"/>
        </w:rPr>
      </w:pPr>
    </w:p>
    <w:p w:rsidR="00C26956" w:rsidRPr="00295E71" w:rsidP="00C26956" w14:paraId="1949B8B5" w14:textId="77777777">
      <w:pPr>
        <w:tabs>
          <w:tab w:val="left" w:pos="567"/>
        </w:tabs>
        <w:jc w:val="both"/>
        <w:rPr>
          <w:b/>
          <w:sz w:val="22"/>
          <w:szCs w:val="22"/>
        </w:rPr>
      </w:pPr>
      <w:r w:rsidRPr="00295E71">
        <w:rPr>
          <w:b/>
          <w:sz w:val="22"/>
          <w:szCs w:val="22"/>
        </w:rPr>
        <w:t>Istruzioni dettagliate su come somministrare Humira sono descritte nel paragrafo 7 ‘</w:t>
      </w:r>
      <w:r w:rsidR="003B3E86">
        <w:rPr>
          <w:b/>
          <w:sz w:val="22"/>
          <w:szCs w:val="22"/>
        </w:rPr>
        <w:t>Iniezione di Humira</w:t>
      </w:r>
      <w:r w:rsidRPr="00295E71">
        <w:rPr>
          <w:b/>
          <w:sz w:val="22"/>
          <w:szCs w:val="22"/>
        </w:rPr>
        <w:t>’.</w:t>
      </w:r>
    </w:p>
    <w:p w:rsidR="00C26956" w:rsidRPr="00295E71" w:rsidP="00C26956" w14:paraId="3C3FB412" w14:textId="77777777">
      <w:pPr>
        <w:pStyle w:val="EndnoteText"/>
        <w:jc w:val="both"/>
        <w:rPr>
          <w:lang w:val="it-IT" w:eastAsia="it-IT"/>
        </w:rPr>
      </w:pPr>
    </w:p>
    <w:p w:rsidR="00C26956" w:rsidRPr="00295E71" w:rsidP="00C26956" w14:paraId="72EBF8D8" w14:textId="77777777">
      <w:pPr>
        <w:tabs>
          <w:tab w:val="left" w:pos="567"/>
        </w:tabs>
        <w:jc w:val="both"/>
        <w:rPr>
          <w:b/>
          <w:bCs/>
          <w:sz w:val="22"/>
          <w:szCs w:val="22"/>
        </w:rPr>
      </w:pPr>
      <w:r w:rsidRPr="00295E71">
        <w:rPr>
          <w:b/>
          <w:bCs/>
          <w:sz w:val="22"/>
          <w:szCs w:val="22"/>
        </w:rPr>
        <w:t>Se usa più Humira di quanto deve</w:t>
      </w:r>
    </w:p>
    <w:p w:rsidR="00C26956" w:rsidRPr="00295E71" w:rsidP="00C26956" w14:paraId="61B65C4B" w14:textId="77777777">
      <w:pPr>
        <w:pStyle w:val="EndnoteText"/>
        <w:jc w:val="both"/>
        <w:rPr>
          <w:lang w:val="it-IT" w:eastAsia="it-IT"/>
        </w:rPr>
      </w:pPr>
    </w:p>
    <w:p w:rsidR="00C26956" w:rsidRPr="00295E71" w:rsidP="00C26956" w14:paraId="2BFFA3C1" w14:textId="77777777">
      <w:pPr>
        <w:pStyle w:val="BodyText3"/>
        <w:tabs>
          <w:tab w:val="left" w:pos="567"/>
        </w:tabs>
      </w:pPr>
      <w:r w:rsidRPr="00295E71">
        <w:t>Se accidentalmente inietta Humira più frequentemente di quanto disposto dal medico o dal farmacista, contatti il medico o il farmacista informandoli di aver assunto più farmaco. Conservi sempre la scatola del farmaco, anche se vuota.</w:t>
      </w:r>
    </w:p>
    <w:p w:rsidR="00C26956" w:rsidRPr="00295E71" w:rsidP="00C26956" w14:paraId="0939FC48" w14:textId="77777777">
      <w:pPr>
        <w:pStyle w:val="EndnoteText"/>
        <w:jc w:val="both"/>
        <w:rPr>
          <w:lang w:val="it-IT" w:eastAsia="it-IT"/>
        </w:rPr>
      </w:pPr>
    </w:p>
    <w:p w:rsidR="00C26956" w:rsidRPr="00295E71" w:rsidP="00986889" w14:paraId="10900F7B" w14:textId="77777777">
      <w:pPr>
        <w:keepNext/>
        <w:tabs>
          <w:tab w:val="left" w:pos="567"/>
        </w:tabs>
        <w:jc w:val="both"/>
        <w:rPr>
          <w:b/>
          <w:bCs/>
          <w:sz w:val="22"/>
          <w:szCs w:val="22"/>
        </w:rPr>
      </w:pPr>
      <w:r w:rsidRPr="00295E71">
        <w:rPr>
          <w:b/>
          <w:bCs/>
          <w:sz w:val="22"/>
          <w:szCs w:val="22"/>
        </w:rPr>
        <w:t>Se dimentica di usare Humira</w:t>
      </w:r>
    </w:p>
    <w:p w:rsidR="00C26956" w:rsidRPr="00295E71" w:rsidP="00986889" w14:paraId="01AE9371" w14:textId="77777777">
      <w:pPr>
        <w:pStyle w:val="EndnoteText"/>
        <w:keepNext/>
        <w:jc w:val="both"/>
        <w:rPr>
          <w:lang w:val="it-IT" w:eastAsia="it-IT"/>
        </w:rPr>
      </w:pPr>
    </w:p>
    <w:p w:rsidR="00C26956" w:rsidRPr="00295E71" w:rsidP="00C26956" w14:paraId="215AFA8B" w14:textId="77777777">
      <w:pPr>
        <w:tabs>
          <w:tab w:val="left" w:pos="567"/>
        </w:tabs>
        <w:jc w:val="both"/>
        <w:rPr>
          <w:sz w:val="22"/>
          <w:szCs w:val="22"/>
        </w:rPr>
      </w:pPr>
      <w:r w:rsidRPr="00295E71">
        <w:rPr>
          <w:sz w:val="22"/>
          <w:szCs w:val="22"/>
        </w:rPr>
        <w:t>Se dimentica di fare un’iniezione, deve iniettarsi la dose successiva di Humira non appena se ne ricorda. Dopodiché riprenda la dose regolarmente secondo lo schema posologico stabilito.</w:t>
      </w:r>
    </w:p>
    <w:p w:rsidR="00C26956" w:rsidRPr="00295E71" w:rsidP="00C26956" w14:paraId="3A4A6B95" w14:textId="77777777">
      <w:pPr>
        <w:tabs>
          <w:tab w:val="left" w:pos="567"/>
        </w:tabs>
        <w:jc w:val="both"/>
        <w:rPr>
          <w:sz w:val="22"/>
          <w:szCs w:val="22"/>
        </w:rPr>
      </w:pPr>
    </w:p>
    <w:p w:rsidR="00C26956" w:rsidRPr="00295E71" w:rsidP="00C26956" w14:paraId="540E0FBD" w14:textId="77777777">
      <w:pPr>
        <w:tabs>
          <w:tab w:val="left" w:pos="567"/>
        </w:tabs>
        <w:jc w:val="both"/>
        <w:rPr>
          <w:b/>
          <w:sz w:val="22"/>
          <w:szCs w:val="22"/>
        </w:rPr>
      </w:pPr>
      <w:r w:rsidRPr="00295E71">
        <w:rPr>
          <w:b/>
          <w:sz w:val="22"/>
          <w:szCs w:val="22"/>
        </w:rPr>
        <w:t>Se interrompe il trattamento con Humira</w:t>
      </w:r>
    </w:p>
    <w:p w:rsidR="00C26956" w:rsidRPr="00295E71" w:rsidP="00C26956" w14:paraId="3A7EB2FB" w14:textId="77777777">
      <w:pPr>
        <w:tabs>
          <w:tab w:val="left" w:pos="567"/>
        </w:tabs>
        <w:jc w:val="both"/>
        <w:rPr>
          <w:sz w:val="22"/>
          <w:szCs w:val="22"/>
        </w:rPr>
      </w:pPr>
    </w:p>
    <w:p w:rsidR="00C26956" w:rsidRPr="00295E71" w:rsidP="00C26956" w14:paraId="29A5218C" w14:textId="77777777">
      <w:pPr>
        <w:tabs>
          <w:tab w:val="left" w:pos="567"/>
        </w:tabs>
        <w:jc w:val="both"/>
        <w:rPr>
          <w:sz w:val="22"/>
          <w:szCs w:val="22"/>
        </w:rPr>
      </w:pPr>
      <w:r w:rsidRPr="00295E71">
        <w:rPr>
          <w:sz w:val="22"/>
          <w:szCs w:val="22"/>
        </w:rPr>
        <w:t>La decisione di interrompere l’uso di Humira deve essere discussa con il medico. I sintomi possono ritornare se smette di usare Humira.</w:t>
      </w:r>
    </w:p>
    <w:p w:rsidR="00C26956" w:rsidRPr="00295E71" w:rsidP="00C26956" w14:paraId="3F04D3F2" w14:textId="77777777">
      <w:pPr>
        <w:tabs>
          <w:tab w:val="left" w:pos="567"/>
        </w:tabs>
        <w:jc w:val="both"/>
        <w:rPr>
          <w:sz w:val="22"/>
          <w:szCs w:val="22"/>
        </w:rPr>
      </w:pPr>
    </w:p>
    <w:p w:rsidR="00C26956" w:rsidRPr="00295E71" w:rsidP="00C26956" w14:paraId="3743CDD2" w14:textId="77777777">
      <w:pPr>
        <w:tabs>
          <w:tab w:val="left" w:pos="567"/>
        </w:tabs>
        <w:jc w:val="both"/>
        <w:rPr>
          <w:sz w:val="22"/>
          <w:szCs w:val="22"/>
        </w:rPr>
      </w:pPr>
      <w:r w:rsidRPr="00295E71">
        <w:rPr>
          <w:sz w:val="22"/>
          <w:szCs w:val="22"/>
        </w:rPr>
        <w:t>Se ha qualsiasi dubbio sull’uso di questo medicinale, si rivolga al medico o al farmacista.</w:t>
      </w:r>
    </w:p>
    <w:p w:rsidR="00C26956" w:rsidRPr="00295E71" w:rsidP="00C26956" w14:paraId="3F3BC223" w14:textId="77777777">
      <w:pPr>
        <w:jc w:val="both"/>
        <w:rPr>
          <w:sz w:val="22"/>
          <w:szCs w:val="22"/>
        </w:rPr>
      </w:pPr>
    </w:p>
    <w:p w:rsidR="00C26956" w:rsidRPr="00295E71" w:rsidP="00C26956" w14:paraId="7293922D" w14:textId="77777777">
      <w:pPr>
        <w:jc w:val="both"/>
        <w:rPr>
          <w:sz w:val="22"/>
          <w:szCs w:val="22"/>
        </w:rPr>
      </w:pPr>
    </w:p>
    <w:p w:rsidR="00C26956" w:rsidRPr="00295E71" w:rsidP="00F048D7" w14:paraId="225BC3E8" w14:textId="77777777">
      <w:pPr>
        <w:keepNext/>
        <w:keepLines/>
        <w:numPr>
          <w:ilvl w:val="12"/>
          <w:numId w:val="0"/>
        </w:numPr>
        <w:tabs>
          <w:tab w:val="left" w:pos="567"/>
        </w:tabs>
        <w:ind w:left="567" w:right="-2" w:hanging="567"/>
        <w:jc w:val="both"/>
        <w:rPr>
          <w:b/>
          <w:bCs/>
          <w:sz w:val="22"/>
          <w:szCs w:val="22"/>
        </w:rPr>
      </w:pPr>
      <w:r w:rsidRPr="00295E71">
        <w:rPr>
          <w:b/>
          <w:bCs/>
          <w:sz w:val="22"/>
          <w:szCs w:val="22"/>
        </w:rPr>
        <w:t>4.</w:t>
      </w:r>
      <w:r w:rsidRPr="00295E71">
        <w:rPr>
          <w:b/>
          <w:bCs/>
          <w:sz w:val="22"/>
          <w:szCs w:val="22"/>
        </w:rPr>
        <w:tab/>
        <w:t>Possibili effetti indesiderati</w:t>
      </w:r>
    </w:p>
    <w:p w:rsidR="00C26956" w:rsidRPr="00295E71" w:rsidP="00F048D7" w14:paraId="357762FD" w14:textId="77777777">
      <w:pPr>
        <w:keepNext/>
        <w:keepLines/>
        <w:numPr>
          <w:ilvl w:val="12"/>
          <w:numId w:val="0"/>
        </w:numPr>
        <w:tabs>
          <w:tab w:val="left" w:pos="567"/>
        </w:tabs>
        <w:ind w:right="-2"/>
        <w:jc w:val="both"/>
        <w:rPr>
          <w:sz w:val="22"/>
          <w:szCs w:val="22"/>
        </w:rPr>
      </w:pPr>
    </w:p>
    <w:p w:rsidR="00C26956" w:rsidP="00F048D7" w14:paraId="401D573B" w14:textId="77777777">
      <w:pPr>
        <w:pStyle w:val="EndnoteText"/>
        <w:keepNext/>
        <w:keepLines/>
        <w:jc w:val="both"/>
        <w:rPr>
          <w:lang w:val="it-IT"/>
        </w:rPr>
      </w:pPr>
      <w:r w:rsidRPr="00295E71">
        <w:rPr>
          <w:lang w:val="it-IT"/>
        </w:rPr>
        <w:t>Come tutti i medicinali, questo medicinale può causare effetti indesiderati sebbene non tutte le persone li manifestino. La maggior parte degli effetti indesiderati si presenta in forma da lieve a moderata. Tuttavia, alcuni possono essere gravi e richiedere trattamento. Effetti indesiderati possono manifestarsi fino a 4 mesi dall’ultima iniezione di Humira.</w:t>
      </w:r>
    </w:p>
    <w:p w:rsidR="00514E08" w:rsidRPr="0020624D" w:rsidP="0020624D" w14:paraId="40A84BAC" w14:textId="77777777">
      <w:pPr>
        <w:rPr>
          <w:lang w:eastAsia="en-US"/>
        </w:rPr>
      </w:pPr>
    </w:p>
    <w:p w:rsidR="00C26956" w:rsidP="00C26956" w14:paraId="136BEC24" w14:textId="77777777">
      <w:pPr>
        <w:tabs>
          <w:tab w:val="left" w:pos="567"/>
        </w:tabs>
        <w:jc w:val="both"/>
        <w:rPr>
          <w:b/>
          <w:sz w:val="22"/>
          <w:szCs w:val="22"/>
        </w:rPr>
      </w:pPr>
      <w:r w:rsidRPr="00295E71">
        <w:rPr>
          <w:b/>
          <w:sz w:val="22"/>
          <w:szCs w:val="22"/>
        </w:rPr>
        <w:t>Informi immediatamente il medico se nota una qualsiasi delle seguenti reazioni</w:t>
      </w:r>
    </w:p>
    <w:p w:rsidR="00DA64C8" w:rsidRPr="00295E71" w:rsidP="00C26956" w14:paraId="2E4ECEB6" w14:textId="77777777">
      <w:pPr>
        <w:tabs>
          <w:tab w:val="left" w:pos="567"/>
        </w:tabs>
        <w:jc w:val="both"/>
        <w:rPr>
          <w:b/>
          <w:sz w:val="22"/>
          <w:szCs w:val="22"/>
        </w:rPr>
      </w:pPr>
    </w:p>
    <w:p w:rsidR="00C26956" w:rsidRPr="00295E71" w:rsidP="00C26956" w14:paraId="205CE759" w14:textId="77777777">
      <w:pPr>
        <w:numPr>
          <w:ilvl w:val="0"/>
          <w:numId w:val="15"/>
        </w:numPr>
        <w:tabs>
          <w:tab w:val="left" w:pos="567"/>
        </w:tabs>
        <w:ind w:left="567" w:hanging="567"/>
        <w:jc w:val="both"/>
        <w:rPr>
          <w:sz w:val="22"/>
          <w:szCs w:val="22"/>
        </w:rPr>
      </w:pPr>
      <w:r w:rsidRPr="00295E71">
        <w:rPr>
          <w:sz w:val="22"/>
          <w:szCs w:val="22"/>
        </w:rPr>
        <w:t>eruzione cutanea grave, orticaria o altri segni di reazione allergica</w:t>
      </w:r>
    </w:p>
    <w:p w:rsidR="00C26956" w:rsidRPr="00295E71" w:rsidP="00C26956" w14:paraId="272402E5" w14:textId="77777777">
      <w:pPr>
        <w:numPr>
          <w:ilvl w:val="0"/>
          <w:numId w:val="15"/>
        </w:numPr>
        <w:tabs>
          <w:tab w:val="left" w:pos="567"/>
        </w:tabs>
        <w:ind w:left="567" w:hanging="567"/>
        <w:jc w:val="both"/>
        <w:rPr>
          <w:sz w:val="22"/>
          <w:szCs w:val="22"/>
        </w:rPr>
      </w:pPr>
      <w:r w:rsidRPr="00295E71">
        <w:rPr>
          <w:sz w:val="22"/>
          <w:szCs w:val="22"/>
        </w:rPr>
        <w:t>gonfiore del viso, delle mani, dei piedi</w:t>
      </w:r>
    </w:p>
    <w:p w:rsidR="00C26956" w:rsidRPr="00295E71" w:rsidP="00C26956" w14:paraId="2B8FE28F" w14:textId="77777777">
      <w:pPr>
        <w:numPr>
          <w:ilvl w:val="0"/>
          <w:numId w:val="15"/>
        </w:numPr>
        <w:tabs>
          <w:tab w:val="left" w:pos="567"/>
        </w:tabs>
        <w:ind w:left="567" w:hanging="567"/>
        <w:jc w:val="both"/>
        <w:rPr>
          <w:sz w:val="22"/>
          <w:szCs w:val="22"/>
        </w:rPr>
      </w:pPr>
      <w:r w:rsidRPr="00295E71">
        <w:rPr>
          <w:sz w:val="22"/>
          <w:szCs w:val="22"/>
        </w:rPr>
        <w:t>difficoltà a respirare, difficoltà a deglutire</w:t>
      </w:r>
    </w:p>
    <w:p w:rsidR="00C26956" w:rsidRPr="00295E71" w:rsidP="00C26956" w14:paraId="49F359D8" w14:textId="77777777">
      <w:pPr>
        <w:numPr>
          <w:ilvl w:val="0"/>
          <w:numId w:val="15"/>
        </w:numPr>
        <w:tabs>
          <w:tab w:val="left" w:pos="567"/>
        </w:tabs>
        <w:ind w:left="567" w:hanging="567"/>
        <w:jc w:val="both"/>
        <w:rPr>
          <w:sz w:val="22"/>
          <w:szCs w:val="22"/>
        </w:rPr>
      </w:pPr>
      <w:r w:rsidRPr="00295E71">
        <w:rPr>
          <w:sz w:val="22"/>
          <w:szCs w:val="22"/>
        </w:rPr>
        <w:t>respiro corto sotto sforzo o in posizione sdraiata o piedi gonfi</w:t>
      </w:r>
    </w:p>
    <w:p w:rsidR="00C26956" w:rsidRPr="00295E71" w:rsidP="00C26956" w14:paraId="17CAA1C4" w14:textId="77777777">
      <w:pPr>
        <w:tabs>
          <w:tab w:val="left" w:pos="567"/>
        </w:tabs>
        <w:ind w:left="360"/>
        <w:jc w:val="both"/>
        <w:rPr>
          <w:sz w:val="22"/>
          <w:szCs w:val="22"/>
        </w:rPr>
      </w:pPr>
    </w:p>
    <w:p w:rsidR="00C26956" w:rsidRPr="00295E71" w:rsidP="00C26956" w14:paraId="53AC9E10" w14:textId="77777777">
      <w:pPr>
        <w:tabs>
          <w:tab w:val="left" w:pos="567"/>
        </w:tabs>
        <w:jc w:val="both"/>
        <w:rPr>
          <w:b/>
          <w:sz w:val="22"/>
          <w:szCs w:val="22"/>
        </w:rPr>
      </w:pPr>
      <w:r w:rsidRPr="00295E71">
        <w:rPr>
          <w:b/>
          <w:sz w:val="22"/>
          <w:szCs w:val="22"/>
        </w:rPr>
        <w:t>Informi appena possibile il medico se nota una qualsiasi delle seguenti reazioni</w:t>
      </w:r>
    </w:p>
    <w:p w:rsidR="00C26956" w:rsidRPr="00295E71" w:rsidP="00C26956" w14:paraId="2038BF0E" w14:textId="77777777">
      <w:pPr>
        <w:tabs>
          <w:tab w:val="left" w:pos="567"/>
        </w:tabs>
        <w:jc w:val="both"/>
        <w:rPr>
          <w:sz w:val="22"/>
          <w:szCs w:val="22"/>
        </w:rPr>
      </w:pPr>
    </w:p>
    <w:p w:rsidR="00C26956" w:rsidRPr="00295E71" w:rsidP="00C26956" w14:paraId="3C063D80" w14:textId="77777777">
      <w:pPr>
        <w:numPr>
          <w:ilvl w:val="0"/>
          <w:numId w:val="14"/>
        </w:numPr>
        <w:tabs>
          <w:tab w:val="num" w:pos="540"/>
          <w:tab w:val="left" w:pos="567"/>
          <w:tab w:val="clear" w:pos="720"/>
          <w:tab w:val="left" w:pos="993"/>
        </w:tabs>
        <w:ind w:left="567" w:hanging="567"/>
        <w:jc w:val="both"/>
        <w:rPr>
          <w:sz w:val="22"/>
          <w:szCs w:val="22"/>
        </w:rPr>
      </w:pPr>
      <w:r w:rsidRPr="00295E71">
        <w:rPr>
          <w:sz w:val="22"/>
          <w:szCs w:val="22"/>
        </w:rPr>
        <w:t>segni di infezione come febbre, sensazione di malessere, ferite, problemi dentali, bruciore nell’urinare</w:t>
      </w:r>
    </w:p>
    <w:p w:rsidR="00C26956" w:rsidRPr="00295E71" w:rsidP="00C26956" w14:paraId="567220EE" w14:textId="77777777">
      <w:pPr>
        <w:numPr>
          <w:ilvl w:val="0"/>
          <w:numId w:val="14"/>
        </w:numPr>
        <w:tabs>
          <w:tab w:val="num" w:pos="540"/>
          <w:tab w:val="left" w:pos="567"/>
          <w:tab w:val="left" w:pos="993"/>
        </w:tabs>
        <w:ind w:left="567" w:hanging="567"/>
        <w:jc w:val="both"/>
        <w:rPr>
          <w:sz w:val="22"/>
          <w:szCs w:val="22"/>
        </w:rPr>
      </w:pPr>
      <w:r w:rsidRPr="00295E71">
        <w:rPr>
          <w:sz w:val="22"/>
          <w:szCs w:val="22"/>
        </w:rPr>
        <w:t>stanchezza o debolezza</w:t>
      </w:r>
    </w:p>
    <w:p w:rsidR="00C26956" w:rsidRPr="00295E71" w:rsidP="00C26956" w14:paraId="73662499" w14:textId="77777777">
      <w:pPr>
        <w:numPr>
          <w:ilvl w:val="0"/>
          <w:numId w:val="14"/>
        </w:numPr>
        <w:tabs>
          <w:tab w:val="num" w:pos="540"/>
          <w:tab w:val="left" w:pos="567"/>
          <w:tab w:val="left" w:pos="993"/>
        </w:tabs>
        <w:ind w:left="567" w:hanging="567"/>
        <w:jc w:val="both"/>
        <w:rPr>
          <w:sz w:val="22"/>
          <w:szCs w:val="22"/>
        </w:rPr>
      </w:pPr>
      <w:r w:rsidRPr="00295E71">
        <w:rPr>
          <w:sz w:val="22"/>
          <w:szCs w:val="22"/>
        </w:rPr>
        <w:t>tosse</w:t>
      </w:r>
    </w:p>
    <w:p w:rsidR="00C26956" w:rsidRPr="00295E71" w:rsidP="00C26956" w14:paraId="3096EF21" w14:textId="77777777">
      <w:pPr>
        <w:numPr>
          <w:ilvl w:val="0"/>
          <w:numId w:val="14"/>
        </w:numPr>
        <w:tabs>
          <w:tab w:val="num" w:pos="540"/>
          <w:tab w:val="left" w:pos="567"/>
          <w:tab w:val="left" w:pos="993"/>
        </w:tabs>
        <w:ind w:left="567" w:hanging="567"/>
        <w:jc w:val="both"/>
        <w:rPr>
          <w:sz w:val="22"/>
          <w:szCs w:val="22"/>
        </w:rPr>
      </w:pPr>
      <w:r w:rsidRPr="00295E71">
        <w:rPr>
          <w:sz w:val="22"/>
          <w:szCs w:val="22"/>
        </w:rPr>
        <w:t>formicolio</w:t>
      </w:r>
    </w:p>
    <w:p w:rsidR="00C26956" w:rsidRPr="00295E71" w:rsidP="00C26956" w14:paraId="29608E0C" w14:textId="77777777">
      <w:pPr>
        <w:numPr>
          <w:ilvl w:val="0"/>
          <w:numId w:val="14"/>
        </w:numPr>
        <w:tabs>
          <w:tab w:val="num" w:pos="540"/>
          <w:tab w:val="left" w:pos="567"/>
          <w:tab w:val="left" w:pos="993"/>
        </w:tabs>
        <w:ind w:left="567" w:hanging="567"/>
        <w:jc w:val="both"/>
        <w:rPr>
          <w:sz w:val="22"/>
          <w:szCs w:val="22"/>
        </w:rPr>
      </w:pPr>
      <w:r w:rsidRPr="00295E71">
        <w:rPr>
          <w:sz w:val="22"/>
          <w:szCs w:val="22"/>
        </w:rPr>
        <w:t>torpore</w:t>
      </w:r>
    </w:p>
    <w:p w:rsidR="00C26956" w:rsidRPr="00295E71" w:rsidP="00C26956" w14:paraId="783619A7" w14:textId="77777777">
      <w:pPr>
        <w:numPr>
          <w:ilvl w:val="0"/>
          <w:numId w:val="14"/>
        </w:numPr>
        <w:tabs>
          <w:tab w:val="num" w:pos="540"/>
          <w:tab w:val="left" w:pos="567"/>
          <w:tab w:val="left" w:pos="993"/>
        </w:tabs>
        <w:ind w:left="567" w:hanging="567"/>
        <w:jc w:val="both"/>
        <w:rPr>
          <w:sz w:val="22"/>
          <w:szCs w:val="22"/>
        </w:rPr>
      </w:pPr>
      <w:r w:rsidRPr="00295E71">
        <w:rPr>
          <w:sz w:val="22"/>
          <w:szCs w:val="22"/>
        </w:rPr>
        <w:t>sdoppiamento della vista</w:t>
      </w:r>
    </w:p>
    <w:p w:rsidR="00C26956" w:rsidRPr="00295E71" w:rsidP="00C26956" w14:paraId="4E831DD1" w14:textId="77777777">
      <w:pPr>
        <w:numPr>
          <w:ilvl w:val="0"/>
          <w:numId w:val="14"/>
        </w:numPr>
        <w:tabs>
          <w:tab w:val="num" w:pos="540"/>
          <w:tab w:val="left" w:pos="567"/>
          <w:tab w:val="left" w:pos="993"/>
        </w:tabs>
        <w:ind w:left="567" w:hanging="567"/>
        <w:jc w:val="both"/>
        <w:rPr>
          <w:sz w:val="22"/>
          <w:szCs w:val="22"/>
        </w:rPr>
      </w:pPr>
      <w:r w:rsidRPr="00295E71">
        <w:rPr>
          <w:sz w:val="22"/>
          <w:szCs w:val="22"/>
        </w:rPr>
        <w:t>debolezza delle braccia o gambe</w:t>
      </w:r>
    </w:p>
    <w:p w:rsidR="00C26956" w:rsidRPr="00295E71" w:rsidP="00C26956" w14:paraId="171BC866" w14:textId="77777777">
      <w:pPr>
        <w:numPr>
          <w:ilvl w:val="0"/>
          <w:numId w:val="14"/>
        </w:numPr>
        <w:tabs>
          <w:tab w:val="num" w:pos="540"/>
          <w:tab w:val="left" w:pos="567"/>
          <w:tab w:val="left" w:pos="993"/>
        </w:tabs>
        <w:ind w:left="567" w:hanging="567"/>
        <w:jc w:val="both"/>
        <w:rPr>
          <w:sz w:val="22"/>
          <w:szCs w:val="22"/>
        </w:rPr>
      </w:pPr>
      <w:r w:rsidRPr="00295E71">
        <w:rPr>
          <w:sz w:val="22"/>
          <w:szCs w:val="22"/>
        </w:rPr>
        <w:t>gonfiore o piaga aperta che non guarisce</w:t>
      </w:r>
    </w:p>
    <w:p w:rsidR="00C26956" w:rsidRPr="00295E71" w:rsidP="00C26956" w14:paraId="1FE3B2FE" w14:textId="77777777">
      <w:pPr>
        <w:numPr>
          <w:ilvl w:val="0"/>
          <w:numId w:val="14"/>
        </w:numPr>
        <w:tabs>
          <w:tab w:val="num" w:pos="540"/>
          <w:tab w:val="left" w:pos="567"/>
          <w:tab w:val="clear" w:pos="720"/>
        </w:tabs>
        <w:ind w:left="540" w:hanging="540"/>
        <w:jc w:val="both"/>
        <w:rPr>
          <w:sz w:val="22"/>
          <w:szCs w:val="22"/>
        </w:rPr>
      </w:pPr>
      <w:r w:rsidRPr="00295E71">
        <w:rPr>
          <w:sz w:val="22"/>
          <w:szCs w:val="22"/>
        </w:rPr>
        <w:t>segni e sintomi che suggeriscono la comparsa di disturbi a carico del sistema emopoietico, come la presenza di febbre persistente, lividi, emorragie, pallore</w:t>
      </w:r>
    </w:p>
    <w:p w:rsidR="00C26956" w:rsidRPr="00295E71" w:rsidP="00C26956" w14:paraId="7D568E1D" w14:textId="77777777">
      <w:pPr>
        <w:tabs>
          <w:tab w:val="left" w:pos="567"/>
        </w:tabs>
        <w:ind w:left="360"/>
        <w:jc w:val="both"/>
        <w:rPr>
          <w:sz w:val="22"/>
          <w:szCs w:val="22"/>
        </w:rPr>
      </w:pPr>
    </w:p>
    <w:p w:rsidR="00C26956" w:rsidRPr="00295E71" w:rsidP="00C26956" w14:paraId="7C96F88D" w14:textId="77777777">
      <w:pPr>
        <w:rPr>
          <w:sz w:val="22"/>
          <w:szCs w:val="22"/>
        </w:rPr>
      </w:pPr>
      <w:r w:rsidRPr="00295E71">
        <w:rPr>
          <w:sz w:val="22"/>
          <w:szCs w:val="22"/>
        </w:rPr>
        <w:t>I sintomi sopra descritti possono essere segni dei seguenti effetti indesiderati, che sono stati osservati con Humira</w:t>
      </w:r>
    </w:p>
    <w:p w:rsidR="00C26956" w:rsidRPr="00295E71" w:rsidP="00C26956" w14:paraId="46CA298A" w14:textId="77777777">
      <w:pPr>
        <w:pStyle w:val="EndnoteText"/>
        <w:jc w:val="both"/>
        <w:rPr>
          <w:lang w:val="it-IT" w:eastAsia="it-IT"/>
        </w:rPr>
      </w:pPr>
    </w:p>
    <w:p w:rsidR="00C26956" w:rsidRPr="00295E71" w:rsidP="00C26956" w14:paraId="54A877C3" w14:textId="77777777">
      <w:pPr>
        <w:tabs>
          <w:tab w:val="left" w:pos="567"/>
        </w:tabs>
        <w:jc w:val="both"/>
        <w:rPr>
          <w:sz w:val="22"/>
          <w:szCs w:val="22"/>
        </w:rPr>
      </w:pPr>
      <w:r w:rsidRPr="00295E71">
        <w:rPr>
          <w:b/>
          <w:sz w:val="22"/>
          <w:szCs w:val="22"/>
        </w:rPr>
        <w:t>Molto comuni</w:t>
      </w:r>
      <w:r w:rsidRPr="00295E71">
        <w:rPr>
          <w:sz w:val="22"/>
          <w:szCs w:val="22"/>
        </w:rPr>
        <w:t xml:space="preserve"> (possono manifestarsi in più di 1 persona su 10)</w:t>
      </w:r>
    </w:p>
    <w:p w:rsidR="00C26956" w:rsidRPr="00295E71" w:rsidP="00C26956" w14:paraId="5E074B81" w14:textId="77777777">
      <w:pPr>
        <w:tabs>
          <w:tab w:val="left" w:pos="567"/>
        </w:tabs>
        <w:jc w:val="both"/>
        <w:rPr>
          <w:sz w:val="22"/>
          <w:szCs w:val="22"/>
        </w:rPr>
      </w:pPr>
    </w:p>
    <w:p w:rsidR="00C26956" w:rsidRPr="00295E71" w:rsidP="00C26956" w14:paraId="58E881A2"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reazioni nella sede d’iniezione (tra cui dolore, edema, arrossamento o prurito)</w:t>
      </w:r>
    </w:p>
    <w:p w:rsidR="00C26956" w:rsidRPr="00295E71" w:rsidP="00C26956" w14:paraId="6AC201A9"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delle vie respiratorie (tra cui raffreddore, rinorrea, sinusite e polmonite)</w:t>
      </w:r>
    </w:p>
    <w:p w:rsidR="00C26956" w:rsidRPr="00295E71" w:rsidP="00C26956" w14:paraId="2FC69A1F" w14:textId="77777777">
      <w:pPr>
        <w:numPr>
          <w:ilvl w:val="0"/>
          <w:numId w:val="14"/>
        </w:numPr>
        <w:tabs>
          <w:tab w:val="num" w:pos="540"/>
          <w:tab w:val="left" w:pos="567"/>
          <w:tab w:val="left" w:pos="993"/>
        </w:tabs>
        <w:ind w:left="567" w:hanging="567"/>
        <w:jc w:val="both"/>
        <w:rPr>
          <w:sz w:val="22"/>
          <w:szCs w:val="22"/>
        </w:rPr>
      </w:pPr>
      <w:r w:rsidRPr="00295E71">
        <w:rPr>
          <w:sz w:val="22"/>
          <w:szCs w:val="22"/>
        </w:rPr>
        <w:t>cefalea</w:t>
      </w:r>
    </w:p>
    <w:p w:rsidR="00C26956" w:rsidRPr="00295E71" w:rsidP="00C26956" w14:paraId="7113560D"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addominale</w:t>
      </w:r>
    </w:p>
    <w:p w:rsidR="00C26956" w:rsidRPr="00295E71" w:rsidP="00C26956" w14:paraId="0DD912CF" w14:textId="77777777">
      <w:pPr>
        <w:numPr>
          <w:ilvl w:val="0"/>
          <w:numId w:val="14"/>
        </w:numPr>
        <w:tabs>
          <w:tab w:val="num" w:pos="540"/>
          <w:tab w:val="left" w:pos="567"/>
          <w:tab w:val="left" w:pos="993"/>
        </w:tabs>
        <w:ind w:left="567" w:hanging="567"/>
        <w:jc w:val="both"/>
        <w:rPr>
          <w:sz w:val="22"/>
          <w:szCs w:val="22"/>
        </w:rPr>
      </w:pPr>
      <w:r w:rsidRPr="00295E71">
        <w:rPr>
          <w:sz w:val="22"/>
          <w:szCs w:val="22"/>
        </w:rPr>
        <w:t>nausea e vomito</w:t>
      </w:r>
    </w:p>
    <w:p w:rsidR="00C26956" w:rsidRPr="00295E71" w:rsidP="00C26956" w14:paraId="5BB339D5" w14:textId="77777777">
      <w:pPr>
        <w:numPr>
          <w:ilvl w:val="0"/>
          <w:numId w:val="14"/>
        </w:numPr>
        <w:tabs>
          <w:tab w:val="num" w:pos="540"/>
          <w:tab w:val="left" w:pos="567"/>
          <w:tab w:val="left" w:pos="993"/>
        </w:tabs>
        <w:ind w:left="567" w:hanging="567"/>
        <w:jc w:val="both"/>
        <w:rPr>
          <w:sz w:val="22"/>
          <w:szCs w:val="22"/>
        </w:rPr>
      </w:pPr>
      <w:r w:rsidRPr="00295E71">
        <w:rPr>
          <w:sz w:val="22"/>
          <w:szCs w:val="22"/>
        </w:rPr>
        <w:t>eruzione cutanea</w:t>
      </w:r>
    </w:p>
    <w:p w:rsidR="00C26956" w:rsidRPr="00295E71" w:rsidP="00C26956" w14:paraId="05BE87C9"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muscoloscheletrico</w:t>
      </w:r>
    </w:p>
    <w:p w:rsidR="00C26956" w:rsidRPr="00295E71" w:rsidP="00C26956" w14:paraId="796BD09B" w14:textId="77777777">
      <w:pPr>
        <w:pStyle w:val="EndnoteText"/>
        <w:jc w:val="both"/>
        <w:rPr>
          <w:lang w:val="it-IT" w:eastAsia="it-IT"/>
        </w:rPr>
      </w:pPr>
    </w:p>
    <w:p w:rsidR="00C26956" w:rsidRPr="00295E71" w:rsidP="00986889" w14:paraId="382EB90E" w14:textId="77777777">
      <w:pPr>
        <w:keepNext/>
        <w:tabs>
          <w:tab w:val="left" w:pos="567"/>
        </w:tabs>
        <w:jc w:val="both"/>
        <w:rPr>
          <w:sz w:val="22"/>
          <w:szCs w:val="22"/>
        </w:rPr>
      </w:pPr>
      <w:r w:rsidRPr="00295E71">
        <w:rPr>
          <w:b/>
          <w:sz w:val="22"/>
          <w:szCs w:val="22"/>
        </w:rPr>
        <w:t>Comuni</w:t>
      </w:r>
      <w:r w:rsidRPr="00295E71">
        <w:rPr>
          <w:sz w:val="22"/>
          <w:szCs w:val="22"/>
        </w:rPr>
        <w:t xml:space="preserve"> (possono manifestarsi fino a 1 persona su 10) </w:t>
      </w:r>
    </w:p>
    <w:p w:rsidR="00C26956" w:rsidRPr="00295E71" w:rsidP="00986889" w14:paraId="737E138B" w14:textId="77777777">
      <w:pPr>
        <w:keepNext/>
        <w:tabs>
          <w:tab w:val="left" w:pos="567"/>
        </w:tabs>
        <w:jc w:val="both"/>
        <w:rPr>
          <w:sz w:val="22"/>
          <w:szCs w:val="22"/>
        </w:rPr>
      </w:pPr>
    </w:p>
    <w:p w:rsidR="00C26956" w:rsidRPr="00295E71" w:rsidP="00986889" w14:paraId="46C0A3F2"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 xml:space="preserve">infezioni </w:t>
      </w:r>
      <w:r w:rsidR="00384DEF">
        <w:rPr>
          <w:sz w:val="22"/>
          <w:szCs w:val="22"/>
        </w:rPr>
        <w:t>gravi</w:t>
      </w:r>
      <w:r w:rsidRPr="00295E71">
        <w:rPr>
          <w:sz w:val="22"/>
          <w:szCs w:val="22"/>
        </w:rPr>
        <w:t xml:space="preserve"> (tra cui setticemia ed influenza)</w:t>
      </w:r>
    </w:p>
    <w:p w:rsidR="00C26956" w:rsidRPr="00295E71" w:rsidP="00C26956" w14:paraId="675E5CD8"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intestinali (tra cui gastroenterite)</w:t>
      </w:r>
    </w:p>
    <w:p w:rsidR="00C26956" w:rsidRPr="00295E71" w:rsidP="00C26956" w14:paraId="2A1CB3D2"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della pelle (tra cui cellulite e infezione da Herpes Zoster)</w:t>
      </w:r>
    </w:p>
    <w:p w:rsidR="00C26956" w:rsidRPr="00295E71" w:rsidP="00C26956" w14:paraId="2A2B419A"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dell’orecchio</w:t>
      </w:r>
    </w:p>
    <w:p w:rsidR="00C26956" w:rsidRPr="00295E71" w:rsidP="00C26956" w14:paraId="58808144"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orali (tra cui infezioni dei denti ed herpes simplex)</w:t>
      </w:r>
    </w:p>
    <w:p w:rsidR="00C26956" w:rsidRPr="00295E71" w:rsidP="00C26956" w14:paraId="54EC031D"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dell’apparato riproduttivo</w:t>
      </w:r>
    </w:p>
    <w:p w:rsidR="00C26956" w:rsidRPr="00295E71" w:rsidP="00C26956" w14:paraId="7D406193"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delle vie urinarie</w:t>
      </w:r>
    </w:p>
    <w:p w:rsidR="00C26956" w:rsidRPr="00295E71" w:rsidP="00C26956" w14:paraId="29EC2FC7"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da miceti</w:t>
      </w:r>
    </w:p>
    <w:p w:rsidR="00C26956" w:rsidRPr="00295E71" w:rsidP="00C26956" w14:paraId="64F1A402"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a carico delle articolazioni</w:t>
      </w:r>
    </w:p>
    <w:p w:rsidR="00C26956" w:rsidRPr="00295E71" w:rsidP="00C26956" w14:paraId="252DBBD7"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 benigni</w:t>
      </w:r>
    </w:p>
    <w:p w:rsidR="00C26956" w:rsidRPr="00295E71" w:rsidP="00C26956" w14:paraId="668BFC26"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tumore della pelle</w:t>
      </w:r>
    </w:p>
    <w:p w:rsidR="00C26956" w:rsidRPr="00295E71" w:rsidP="00C26956" w14:paraId="23551DDD"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reazioni allergiche (tra cui allergia stagionale)</w:t>
      </w:r>
    </w:p>
    <w:p w:rsidR="00C26956" w:rsidRPr="00295E71" w:rsidP="00C26956" w14:paraId="13677BE2" w14:textId="77777777">
      <w:pPr>
        <w:numPr>
          <w:ilvl w:val="0"/>
          <w:numId w:val="14"/>
        </w:numPr>
        <w:tabs>
          <w:tab w:val="num" w:pos="540"/>
          <w:tab w:val="left" w:pos="567"/>
          <w:tab w:val="left" w:pos="993"/>
        </w:tabs>
        <w:ind w:left="567" w:hanging="567"/>
        <w:jc w:val="both"/>
        <w:rPr>
          <w:sz w:val="22"/>
          <w:szCs w:val="22"/>
        </w:rPr>
      </w:pPr>
      <w:r w:rsidRPr="00295E71">
        <w:rPr>
          <w:sz w:val="22"/>
          <w:szCs w:val="22"/>
        </w:rPr>
        <w:t>disidratazione</w:t>
      </w:r>
    </w:p>
    <w:p w:rsidR="00C26956" w:rsidRPr="00295E71" w:rsidP="00C26956" w14:paraId="0408435B" w14:textId="77777777">
      <w:pPr>
        <w:numPr>
          <w:ilvl w:val="0"/>
          <w:numId w:val="14"/>
        </w:numPr>
        <w:tabs>
          <w:tab w:val="num" w:pos="540"/>
          <w:tab w:val="left" w:pos="567"/>
          <w:tab w:val="left" w:pos="993"/>
        </w:tabs>
        <w:ind w:left="567" w:hanging="567"/>
        <w:jc w:val="both"/>
        <w:rPr>
          <w:sz w:val="22"/>
          <w:szCs w:val="22"/>
        </w:rPr>
      </w:pPr>
      <w:r w:rsidRPr="00295E71">
        <w:rPr>
          <w:sz w:val="22"/>
          <w:szCs w:val="22"/>
        </w:rPr>
        <w:t>cambiamenti d’umore (tra cui depressione)</w:t>
      </w:r>
    </w:p>
    <w:p w:rsidR="00C26956" w:rsidRPr="00295E71" w:rsidP="00C26956" w14:paraId="4C0C9AA7" w14:textId="77777777">
      <w:pPr>
        <w:numPr>
          <w:ilvl w:val="0"/>
          <w:numId w:val="14"/>
        </w:numPr>
        <w:tabs>
          <w:tab w:val="num" w:pos="540"/>
          <w:tab w:val="left" w:pos="567"/>
          <w:tab w:val="left" w:pos="993"/>
        </w:tabs>
        <w:ind w:left="567" w:hanging="567"/>
        <w:jc w:val="both"/>
        <w:rPr>
          <w:sz w:val="22"/>
          <w:szCs w:val="22"/>
        </w:rPr>
      </w:pPr>
      <w:r w:rsidRPr="00295E71">
        <w:rPr>
          <w:sz w:val="22"/>
          <w:szCs w:val="22"/>
        </w:rPr>
        <w:t>ansia</w:t>
      </w:r>
    </w:p>
    <w:p w:rsidR="00C26956" w:rsidRPr="00295E71" w:rsidP="00C26956" w14:paraId="1A95D309"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del sonno</w:t>
      </w:r>
    </w:p>
    <w:p w:rsidR="00C26956" w:rsidRPr="00295E71" w:rsidP="00C26956" w14:paraId="00CDB5FF"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della sensibilità come formicolii, sensazione di fitte o intorpidimento</w:t>
      </w:r>
    </w:p>
    <w:p w:rsidR="00C26956" w:rsidRPr="00295E71" w:rsidP="00C26956" w14:paraId="6ECBB42D" w14:textId="77777777">
      <w:pPr>
        <w:numPr>
          <w:ilvl w:val="0"/>
          <w:numId w:val="14"/>
        </w:numPr>
        <w:tabs>
          <w:tab w:val="num" w:pos="540"/>
          <w:tab w:val="left" w:pos="567"/>
          <w:tab w:val="left" w:pos="993"/>
        </w:tabs>
        <w:ind w:left="567" w:hanging="567"/>
        <w:jc w:val="both"/>
        <w:rPr>
          <w:sz w:val="22"/>
          <w:szCs w:val="22"/>
        </w:rPr>
      </w:pPr>
      <w:r w:rsidRPr="00295E71">
        <w:rPr>
          <w:sz w:val="22"/>
          <w:szCs w:val="22"/>
        </w:rPr>
        <w:t>emicrania</w:t>
      </w:r>
    </w:p>
    <w:p w:rsidR="00C26956" w:rsidRPr="00295E71" w:rsidP="00C26956" w14:paraId="17CC1990" w14:textId="77777777">
      <w:pPr>
        <w:numPr>
          <w:ilvl w:val="0"/>
          <w:numId w:val="14"/>
        </w:numPr>
        <w:tabs>
          <w:tab w:val="num" w:pos="540"/>
          <w:tab w:val="left" w:pos="567"/>
          <w:tab w:val="left" w:pos="993"/>
        </w:tabs>
        <w:ind w:left="567" w:hanging="567"/>
        <w:jc w:val="both"/>
        <w:rPr>
          <w:sz w:val="22"/>
          <w:szCs w:val="22"/>
        </w:rPr>
      </w:pPr>
      <w:r w:rsidRPr="00295E71">
        <w:rPr>
          <w:sz w:val="22"/>
          <w:szCs w:val="22"/>
        </w:rPr>
        <w:t>compressione di radice nervosa (tra cui dolore lombare e dolore alle gambe)</w:t>
      </w:r>
    </w:p>
    <w:p w:rsidR="00C26956" w:rsidRPr="00295E71" w:rsidP="00C26956" w14:paraId="0BFD6808"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visivi</w:t>
      </w:r>
    </w:p>
    <w:p w:rsidR="00C26956" w:rsidRPr="00295E71" w:rsidP="00C26956" w14:paraId="138CAFA9"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degli occhi</w:t>
      </w:r>
    </w:p>
    <w:p w:rsidR="00C26956" w:rsidRPr="00295E71" w:rsidP="00C26956" w14:paraId="173B9514"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delle palpebre e tumefazione degli occhi</w:t>
      </w:r>
    </w:p>
    <w:p w:rsidR="00C26956" w:rsidRPr="00295E71" w:rsidP="00C26956" w14:paraId="63D2D9F5" w14:textId="77777777">
      <w:pPr>
        <w:numPr>
          <w:ilvl w:val="0"/>
          <w:numId w:val="14"/>
        </w:numPr>
        <w:tabs>
          <w:tab w:val="num" w:pos="540"/>
          <w:tab w:val="left" w:pos="567"/>
          <w:tab w:val="left" w:pos="993"/>
        </w:tabs>
        <w:ind w:left="567" w:hanging="567"/>
        <w:jc w:val="both"/>
        <w:rPr>
          <w:sz w:val="22"/>
          <w:szCs w:val="22"/>
        </w:rPr>
      </w:pPr>
      <w:r w:rsidRPr="00295E71">
        <w:rPr>
          <w:sz w:val="22"/>
          <w:szCs w:val="22"/>
        </w:rPr>
        <w:t>vertigini (sensazione di capogiro o rotazione)</w:t>
      </w:r>
    </w:p>
    <w:p w:rsidR="00C26956" w:rsidRPr="00295E71" w:rsidP="00C26956" w14:paraId="2B0086F6" w14:textId="77777777">
      <w:pPr>
        <w:numPr>
          <w:ilvl w:val="0"/>
          <w:numId w:val="14"/>
        </w:numPr>
        <w:tabs>
          <w:tab w:val="num" w:pos="540"/>
          <w:tab w:val="left" w:pos="567"/>
          <w:tab w:val="left" w:pos="993"/>
        </w:tabs>
        <w:ind w:left="567" w:hanging="567"/>
        <w:jc w:val="both"/>
        <w:rPr>
          <w:sz w:val="22"/>
          <w:szCs w:val="22"/>
        </w:rPr>
      </w:pPr>
      <w:r w:rsidRPr="00295E71">
        <w:rPr>
          <w:sz w:val="22"/>
          <w:szCs w:val="22"/>
        </w:rPr>
        <w:t>sensazione di battito cardiaco accelerato</w:t>
      </w:r>
    </w:p>
    <w:p w:rsidR="00C26956" w:rsidRPr="00295E71" w:rsidP="00C26956" w14:paraId="4E4667FA" w14:textId="77777777">
      <w:pPr>
        <w:numPr>
          <w:ilvl w:val="0"/>
          <w:numId w:val="14"/>
        </w:numPr>
        <w:tabs>
          <w:tab w:val="num" w:pos="540"/>
          <w:tab w:val="left" w:pos="567"/>
          <w:tab w:val="left" w:pos="993"/>
        </w:tabs>
        <w:ind w:left="567" w:hanging="567"/>
        <w:jc w:val="both"/>
        <w:rPr>
          <w:sz w:val="22"/>
          <w:szCs w:val="22"/>
        </w:rPr>
      </w:pPr>
      <w:r w:rsidRPr="00295E71">
        <w:rPr>
          <w:sz w:val="22"/>
          <w:szCs w:val="22"/>
        </w:rPr>
        <w:t>pressione del sangue elevata</w:t>
      </w:r>
    </w:p>
    <w:p w:rsidR="00C26956" w:rsidRPr="00295E71" w:rsidP="00C26956" w14:paraId="7E0FCF23" w14:textId="77777777">
      <w:pPr>
        <w:numPr>
          <w:ilvl w:val="0"/>
          <w:numId w:val="14"/>
        </w:numPr>
        <w:tabs>
          <w:tab w:val="num" w:pos="540"/>
          <w:tab w:val="left" w:pos="567"/>
          <w:tab w:val="left" w:pos="993"/>
        </w:tabs>
        <w:ind w:left="567" w:hanging="567"/>
        <w:jc w:val="both"/>
        <w:rPr>
          <w:sz w:val="22"/>
          <w:szCs w:val="22"/>
        </w:rPr>
      </w:pPr>
      <w:r w:rsidRPr="00295E71">
        <w:rPr>
          <w:sz w:val="22"/>
          <w:szCs w:val="22"/>
        </w:rPr>
        <w:t>vampate</w:t>
      </w:r>
    </w:p>
    <w:p w:rsidR="00C26956" w:rsidRPr="00295E71" w:rsidP="00C26956" w14:paraId="3F8A7271" w14:textId="77777777">
      <w:pPr>
        <w:numPr>
          <w:ilvl w:val="0"/>
          <w:numId w:val="14"/>
        </w:numPr>
        <w:tabs>
          <w:tab w:val="num" w:pos="540"/>
          <w:tab w:val="left" w:pos="567"/>
          <w:tab w:val="left" w:pos="993"/>
        </w:tabs>
        <w:ind w:left="567" w:hanging="567"/>
        <w:jc w:val="both"/>
        <w:rPr>
          <w:sz w:val="22"/>
          <w:szCs w:val="22"/>
        </w:rPr>
      </w:pPr>
      <w:r w:rsidRPr="00295E71">
        <w:rPr>
          <w:sz w:val="22"/>
          <w:szCs w:val="22"/>
        </w:rPr>
        <w:t>ematoma (accumulo di sangue al di fuori dei vasi sanguigni)</w:t>
      </w:r>
    </w:p>
    <w:p w:rsidR="00C26956" w:rsidRPr="00295E71" w:rsidP="00C26956" w14:paraId="3D55354A" w14:textId="77777777">
      <w:pPr>
        <w:numPr>
          <w:ilvl w:val="0"/>
          <w:numId w:val="14"/>
        </w:numPr>
        <w:tabs>
          <w:tab w:val="num" w:pos="540"/>
          <w:tab w:val="left" w:pos="567"/>
          <w:tab w:val="left" w:pos="993"/>
        </w:tabs>
        <w:ind w:left="567" w:hanging="567"/>
        <w:jc w:val="both"/>
        <w:rPr>
          <w:sz w:val="22"/>
          <w:szCs w:val="22"/>
        </w:rPr>
      </w:pPr>
      <w:r w:rsidRPr="00295E71">
        <w:rPr>
          <w:sz w:val="22"/>
          <w:szCs w:val="22"/>
        </w:rPr>
        <w:t>tosse</w:t>
      </w:r>
    </w:p>
    <w:p w:rsidR="00C26956" w:rsidRPr="00295E71" w:rsidP="00C26956" w14:paraId="08EA225D" w14:textId="77777777">
      <w:pPr>
        <w:numPr>
          <w:ilvl w:val="0"/>
          <w:numId w:val="14"/>
        </w:numPr>
        <w:tabs>
          <w:tab w:val="num" w:pos="540"/>
          <w:tab w:val="left" w:pos="567"/>
          <w:tab w:val="left" w:pos="993"/>
        </w:tabs>
        <w:ind w:left="567" w:hanging="567"/>
        <w:jc w:val="both"/>
        <w:rPr>
          <w:sz w:val="22"/>
          <w:szCs w:val="22"/>
        </w:rPr>
      </w:pPr>
      <w:r w:rsidRPr="00295E71">
        <w:rPr>
          <w:sz w:val="22"/>
          <w:szCs w:val="22"/>
        </w:rPr>
        <w:t>asma</w:t>
      </w:r>
    </w:p>
    <w:p w:rsidR="00C26956" w:rsidRPr="00295E71" w:rsidP="00C26956" w14:paraId="19351265" w14:textId="77777777">
      <w:pPr>
        <w:numPr>
          <w:ilvl w:val="0"/>
          <w:numId w:val="14"/>
        </w:numPr>
        <w:tabs>
          <w:tab w:val="num" w:pos="540"/>
          <w:tab w:val="left" w:pos="567"/>
          <w:tab w:val="left" w:pos="993"/>
        </w:tabs>
        <w:ind w:left="567" w:hanging="567"/>
        <w:jc w:val="both"/>
        <w:rPr>
          <w:sz w:val="22"/>
          <w:szCs w:val="22"/>
        </w:rPr>
      </w:pPr>
      <w:r w:rsidRPr="00295E71">
        <w:rPr>
          <w:sz w:val="22"/>
          <w:szCs w:val="22"/>
        </w:rPr>
        <w:t>fiato corto</w:t>
      </w:r>
    </w:p>
    <w:p w:rsidR="00C26956" w:rsidRPr="00295E71" w:rsidP="00C26956" w14:paraId="240F608B" w14:textId="77777777">
      <w:pPr>
        <w:numPr>
          <w:ilvl w:val="0"/>
          <w:numId w:val="14"/>
        </w:numPr>
        <w:tabs>
          <w:tab w:val="num" w:pos="540"/>
          <w:tab w:val="left" w:pos="567"/>
          <w:tab w:val="left" w:pos="993"/>
        </w:tabs>
        <w:ind w:left="567" w:hanging="567"/>
        <w:jc w:val="both"/>
        <w:rPr>
          <w:sz w:val="22"/>
          <w:szCs w:val="22"/>
        </w:rPr>
      </w:pPr>
      <w:r w:rsidRPr="00295E71">
        <w:rPr>
          <w:sz w:val="22"/>
          <w:szCs w:val="22"/>
        </w:rPr>
        <w:t>sanguinamento gastrointestinale</w:t>
      </w:r>
    </w:p>
    <w:p w:rsidR="00C26956" w:rsidRPr="00295E71" w:rsidP="00C26956" w14:paraId="7CF782A5" w14:textId="77777777">
      <w:pPr>
        <w:numPr>
          <w:ilvl w:val="0"/>
          <w:numId w:val="14"/>
        </w:numPr>
        <w:tabs>
          <w:tab w:val="num" w:pos="540"/>
          <w:tab w:val="left" w:pos="567"/>
          <w:tab w:val="left" w:pos="993"/>
        </w:tabs>
        <w:ind w:left="567" w:hanging="567"/>
        <w:jc w:val="both"/>
        <w:rPr>
          <w:sz w:val="22"/>
          <w:szCs w:val="22"/>
        </w:rPr>
      </w:pPr>
      <w:r w:rsidRPr="00295E71">
        <w:rPr>
          <w:sz w:val="22"/>
          <w:szCs w:val="22"/>
        </w:rPr>
        <w:t>dispepsia (indigestione, gonfiore, bruciore di stomaco)</w:t>
      </w:r>
    </w:p>
    <w:p w:rsidR="00C26956" w:rsidRPr="00295E71" w:rsidP="00C26956" w14:paraId="3E5BDF17"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disturbo da reflusso acido</w:t>
      </w:r>
    </w:p>
    <w:p w:rsidR="00C26956" w:rsidRPr="00295E71" w:rsidP="00C26956" w14:paraId="658A459A"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sicca (tra cui secchezza degli occhi e della bocca)</w:t>
      </w:r>
    </w:p>
    <w:p w:rsidR="00C26956" w:rsidRPr="00295E71" w:rsidP="00C26956" w14:paraId="049D1365" w14:textId="77777777">
      <w:pPr>
        <w:numPr>
          <w:ilvl w:val="0"/>
          <w:numId w:val="14"/>
        </w:numPr>
        <w:tabs>
          <w:tab w:val="num" w:pos="540"/>
          <w:tab w:val="left" w:pos="567"/>
          <w:tab w:val="left" w:pos="993"/>
        </w:tabs>
        <w:ind w:left="567" w:hanging="567"/>
        <w:jc w:val="both"/>
        <w:rPr>
          <w:sz w:val="22"/>
          <w:szCs w:val="22"/>
        </w:rPr>
      </w:pPr>
      <w:r w:rsidRPr="00295E71">
        <w:rPr>
          <w:sz w:val="22"/>
          <w:szCs w:val="22"/>
        </w:rPr>
        <w:t>prurito</w:t>
      </w:r>
    </w:p>
    <w:p w:rsidR="00C26956" w:rsidRPr="00295E71" w:rsidP="00C26956" w14:paraId="18FDB321" w14:textId="77777777">
      <w:pPr>
        <w:numPr>
          <w:ilvl w:val="0"/>
          <w:numId w:val="14"/>
        </w:numPr>
        <w:tabs>
          <w:tab w:val="num" w:pos="540"/>
          <w:tab w:val="left" w:pos="567"/>
          <w:tab w:val="left" w:pos="993"/>
        </w:tabs>
        <w:ind w:left="567" w:hanging="567"/>
        <w:jc w:val="both"/>
        <w:rPr>
          <w:sz w:val="22"/>
          <w:szCs w:val="22"/>
        </w:rPr>
      </w:pPr>
      <w:r w:rsidRPr="00295E71">
        <w:rPr>
          <w:sz w:val="22"/>
          <w:szCs w:val="22"/>
        </w:rPr>
        <w:t>eruzione cutanea pruriginosa</w:t>
      </w:r>
    </w:p>
    <w:p w:rsidR="00C26956" w:rsidRPr="00295E71" w:rsidP="00C26956" w14:paraId="57CDBD9F" w14:textId="77777777">
      <w:pPr>
        <w:numPr>
          <w:ilvl w:val="0"/>
          <w:numId w:val="14"/>
        </w:numPr>
        <w:tabs>
          <w:tab w:val="num" w:pos="540"/>
          <w:tab w:val="left" w:pos="567"/>
          <w:tab w:val="left" w:pos="993"/>
        </w:tabs>
        <w:ind w:left="567" w:hanging="567"/>
        <w:jc w:val="both"/>
        <w:rPr>
          <w:sz w:val="22"/>
          <w:szCs w:val="22"/>
        </w:rPr>
      </w:pPr>
      <w:r w:rsidRPr="00295E71">
        <w:rPr>
          <w:sz w:val="22"/>
          <w:szCs w:val="22"/>
        </w:rPr>
        <w:t>contusione</w:t>
      </w:r>
    </w:p>
    <w:p w:rsidR="00C26956" w:rsidRPr="00295E71" w:rsidP="00C26956" w14:paraId="0AF0654A"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della pelle (come eczema)</w:t>
      </w:r>
    </w:p>
    <w:p w:rsidR="00C26956" w:rsidRPr="00295E71" w:rsidP="00C26956" w14:paraId="436A8A45" w14:textId="77777777">
      <w:pPr>
        <w:numPr>
          <w:ilvl w:val="0"/>
          <w:numId w:val="14"/>
        </w:numPr>
        <w:tabs>
          <w:tab w:val="num" w:pos="540"/>
          <w:tab w:val="left" w:pos="567"/>
          <w:tab w:val="left" w:pos="993"/>
        </w:tabs>
        <w:ind w:left="567" w:hanging="567"/>
        <w:jc w:val="both"/>
        <w:rPr>
          <w:sz w:val="22"/>
          <w:szCs w:val="22"/>
        </w:rPr>
      </w:pPr>
      <w:r w:rsidRPr="00295E71">
        <w:rPr>
          <w:sz w:val="22"/>
          <w:szCs w:val="22"/>
        </w:rPr>
        <w:t>rottura delle unghie delle dita della mano e del piede</w:t>
      </w:r>
    </w:p>
    <w:p w:rsidR="00C26956" w:rsidRPr="00295E71" w:rsidP="00C26956" w14:paraId="6947505B"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sudorazione</w:t>
      </w:r>
    </w:p>
    <w:p w:rsidR="00C26956" w:rsidRPr="00295E71" w:rsidP="00C26956" w14:paraId="6FE2A459" w14:textId="77777777">
      <w:pPr>
        <w:numPr>
          <w:ilvl w:val="0"/>
          <w:numId w:val="14"/>
        </w:numPr>
        <w:tabs>
          <w:tab w:val="num" w:pos="540"/>
          <w:tab w:val="left" w:pos="567"/>
          <w:tab w:val="left" w:pos="993"/>
        </w:tabs>
        <w:ind w:left="567" w:hanging="567"/>
        <w:jc w:val="both"/>
        <w:rPr>
          <w:sz w:val="22"/>
          <w:szCs w:val="22"/>
        </w:rPr>
      </w:pPr>
      <w:r w:rsidRPr="00295E71">
        <w:rPr>
          <w:sz w:val="22"/>
          <w:szCs w:val="22"/>
        </w:rPr>
        <w:t>perdita di capelli</w:t>
      </w:r>
    </w:p>
    <w:p w:rsidR="00C26956" w:rsidRPr="00295E71" w:rsidP="00C26956" w14:paraId="64C7DCBF" w14:textId="77777777">
      <w:pPr>
        <w:numPr>
          <w:ilvl w:val="0"/>
          <w:numId w:val="14"/>
        </w:numPr>
        <w:tabs>
          <w:tab w:val="num" w:pos="540"/>
          <w:tab w:val="left" w:pos="567"/>
          <w:tab w:val="left" w:pos="993"/>
        </w:tabs>
        <w:ind w:left="567" w:hanging="567"/>
        <w:jc w:val="both"/>
        <w:rPr>
          <w:sz w:val="22"/>
          <w:szCs w:val="22"/>
        </w:rPr>
      </w:pPr>
      <w:r w:rsidRPr="00295E71">
        <w:rPr>
          <w:sz w:val="22"/>
          <w:szCs w:val="22"/>
        </w:rPr>
        <w:t>insorgenza o peggioramento della psoriasi</w:t>
      </w:r>
    </w:p>
    <w:p w:rsidR="00C26956" w:rsidRPr="00295E71" w:rsidP="00C26956" w14:paraId="626C734F" w14:textId="77777777">
      <w:pPr>
        <w:numPr>
          <w:ilvl w:val="0"/>
          <w:numId w:val="14"/>
        </w:numPr>
        <w:tabs>
          <w:tab w:val="num" w:pos="540"/>
          <w:tab w:val="left" w:pos="567"/>
          <w:tab w:val="left" w:pos="993"/>
        </w:tabs>
        <w:ind w:left="567" w:hanging="567"/>
        <w:jc w:val="both"/>
        <w:rPr>
          <w:sz w:val="22"/>
          <w:szCs w:val="22"/>
        </w:rPr>
      </w:pPr>
      <w:r w:rsidRPr="00295E71">
        <w:rPr>
          <w:sz w:val="22"/>
          <w:szCs w:val="22"/>
        </w:rPr>
        <w:t>spasmi muscolari</w:t>
      </w:r>
    </w:p>
    <w:p w:rsidR="00C26956" w:rsidRPr="00295E71" w:rsidP="00C26956" w14:paraId="75909B6D" w14:textId="77777777">
      <w:pPr>
        <w:numPr>
          <w:ilvl w:val="0"/>
          <w:numId w:val="14"/>
        </w:numPr>
        <w:tabs>
          <w:tab w:val="num" w:pos="540"/>
          <w:tab w:val="left" w:pos="567"/>
          <w:tab w:val="left" w:pos="993"/>
        </w:tabs>
        <w:ind w:left="567" w:hanging="567"/>
        <w:jc w:val="both"/>
        <w:rPr>
          <w:sz w:val="22"/>
          <w:szCs w:val="22"/>
        </w:rPr>
      </w:pPr>
      <w:r w:rsidRPr="00295E71">
        <w:rPr>
          <w:sz w:val="22"/>
          <w:szCs w:val="22"/>
        </w:rPr>
        <w:t>sangue nelle urine</w:t>
      </w:r>
    </w:p>
    <w:p w:rsidR="00C26956" w:rsidRPr="00295E71" w:rsidP="00C26956" w14:paraId="47A79CDC" w14:textId="77777777">
      <w:pPr>
        <w:numPr>
          <w:ilvl w:val="0"/>
          <w:numId w:val="14"/>
        </w:numPr>
        <w:tabs>
          <w:tab w:val="num" w:pos="540"/>
          <w:tab w:val="left" w:pos="567"/>
          <w:tab w:val="left" w:pos="993"/>
        </w:tabs>
        <w:ind w:left="567" w:hanging="567"/>
        <w:jc w:val="both"/>
        <w:rPr>
          <w:sz w:val="22"/>
          <w:szCs w:val="22"/>
        </w:rPr>
      </w:pPr>
      <w:r w:rsidRPr="00295E71">
        <w:rPr>
          <w:sz w:val="22"/>
          <w:szCs w:val="22"/>
        </w:rPr>
        <w:t>problemi renali</w:t>
      </w:r>
    </w:p>
    <w:p w:rsidR="00C26956" w:rsidRPr="00295E71" w:rsidP="00C26956" w14:paraId="04396BEF"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toracico</w:t>
      </w:r>
    </w:p>
    <w:p w:rsidR="00C26956" w:rsidRPr="00295E71" w:rsidP="00C26956" w14:paraId="29EE524B"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(accumulo di liquidi)</w:t>
      </w:r>
    </w:p>
    <w:p w:rsidR="00C26956" w:rsidRPr="00295E71" w:rsidP="00C26956" w14:paraId="36D7D001" w14:textId="77777777">
      <w:pPr>
        <w:numPr>
          <w:ilvl w:val="0"/>
          <w:numId w:val="14"/>
        </w:numPr>
        <w:tabs>
          <w:tab w:val="num" w:pos="540"/>
          <w:tab w:val="left" w:pos="567"/>
          <w:tab w:val="left" w:pos="993"/>
        </w:tabs>
        <w:ind w:left="567" w:hanging="567"/>
        <w:jc w:val="both"/>
        <w:rPr>
          <w:sz w:val="22"/>
          <w:szCs w:val="22"/>
        </w:rPr>
      </w:pPr>
      <w:r w:rsidRPr="00295E71">
        <w:rPr>
          <w:sz w:val="22"/>
          <w:szCs w:val="22"/>
        </w:rPr>
        <w:t>febbre</w:t>
      </w:r>
    </w:p>
    <w:p w:rsidR="00C26956" w:rsidRPr="00295E71" w:rsidP="00C26956" w14:paraId="10537827"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delle piastrine nel sangue che aumenta il rischio di emorragia o di contusioni</w:t>
      </w:r>
    </w:p>
    <w:p w:rsidR="00C26956" w:rsidRPr="00295E71" w:rsidP="00C26956" w14:paraId="6D353613" w14:textId="77777777">
      <w:pPr>
        <w:numPr>
          <w:ilvl w:val="0"/>
          <w:numId w:val="14"/>
        </w:numPr>
        <w:tabs>
          <w:tab w:val="num" w:pos="540"/>
          <w:tab w:val="left" w:pos="567"/>
          <w:tab w:val="left" w:pos="993"/>
        </w:tabs>
        <w:ind w:left="567" w:hanging="567"/>
        <w:jc w:val="both"/>
        <w:rPr>
          <w:sz w:val="22"/>
          <w:szCs w:val="22"/>
        </w:rPr>
      </w:pPr>
      <w:r w:rsidRPr="00295E71">
        <w:rPr>
          <w:sz w:val="22"/>
          <w:szCs w:val="22"/>
        </w:rPr>
        <w:t>difficoltà di cicatrizzazione</w:t>
      </w:r>
    </w:p>
    <w:p w:rsidR="00C26956" w:rsidRPr="00295E71" w:rsidP="00C26956" w14:paraId="2D6862CD" w14:textId="77777777">
      <w:pPr>
        <w:pStyle w:val="EndnoteText"/>
        <w:jc w:val="both"/>
        <w:rPr>
          <w:lang w:val="it-IT" w:eastAsia="it-IT"/>
        </w:rPr>
      </w:pPr>
    </w:p>
    <w:p w:rsidR="00C26956" w:rsidRPr="00295E71" w:rsidP="00986889" w14:paraId="18A31B88" w14:textId="77777777">
      <w:pPr>
        <w:keepNext/>
        <w:tabs>
          <w:tab w:val="left" w:pos="567"/>
        </w:tabs>
        <w:jc w:val="both"/>
        <w:rPr>
          <w:sz w:val="22"/>
          <w:szCs w:val="22"/>
        </w:rPr>
      </w:pPr>
      <w:r w:rsidRPr="00295E71">
        <w:rPr>
          <w:b/>
          <w:sz w:val="22"/>
          <w:szCs w:val="22"/>
        </w:rPr>
        <w:t>Non comuni</w:t>
      </w:r>
      <w:r w:rsidRPr="00295E71">
        <w:rPr>
          <w:sz w:val="22"/>
          <w:szCs w:val="22"/>
        </w:rPr>
        <w:t xml:space="preserve"> (possono manifestarsi fino a 1 persona su 100) </w:t>
      </w:r>
    </w:p>
    <w:p w:rsidR="00C26956" w:rsidRPr="00295E71" w:rsidP="00986889" w14:paraId="4463E7B4" w14:textId="77777777">
      <w:pPr>
        <w:keepNext/>
        <w:tabs>
          <w:tab w:val="left" w:pos="567"/>
        </w:tabs>
        <w:jc w:val="both"/>
        <w:rPr>
          <w:sz w:val="22"/>
          <w:szCs w:val="22"/>
        </w:rPr>
      </w:pPr>
    </w:p>
    <w:p w:rsidR="00C26956" w:rsidRPr="00295E71" w:rsidP="00C26956" w14:paraId="47BCC02D"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opportunistiche (che includono la tubercolosi ed altre infezioni che si verificano quando si riducono le difese immunitarie)</w:t>
      </w:r>
    </w:p>
    <w:p w:rsidR="00C26956" w:rsidRPr="00295E71" w:rsidP="00C26956" w14:paraId="2F256BBF"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neurologiche (tra cui la meningite virale)</w:t>
      </w:r>
    </w:p>
    <w:p w:rsidR="00C26956" w:rsidRPr="00295E71" w:rsidP="00C26956" w14:paraId="49A3395B"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degli occhi</w:t>
      </w:r>
    </w:p>
    <w:p w:rsidR="00C26956" w:rsidRPr="00295E71" w:rsidP="00C26956" w14:paraId="15DC3007"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batteriche</w:t>
      </w:r>
    </w:p>
    <w:p w:rsidR="00C26956" w:rsidRPr="00295E71" w:rsidP="00C26956" w14:paraId="3B2B3976" w14:textId="77777777">
      <w:pPr>
        <w:numPr>
          <w:ilvl w:val="0"/>
          <w:numId w:val="14"/>
        </w:numPr>
        <w:tabs>
          <w:tab w:val="num" w:pos="540"/>
          <w:tab w:val="left" w:pos="567"/>
          <w:tab w:val="left" w:pos="993"/>
        </w:tabs>
        <w:ind w:left="567" w:hanging="567"/>
        <w:jc w:val="both"/>
        <w:rPr>
          <w:sz w:val="22"/>
          <w:szCs w:val="22"/>
        </w:rPr>
      </w:pPr>
      <w:r w:rsidRPr="00295E71">
        <w:rPr>
          <w:sz w:val="22"/>
          <w:szCs w:val="22"/>
        </w:rPr>
        <w:t>diverticolite (infiammazione e infezione dell’intestino crasso)</w:t>
      </w:r>
    </w:p>
    <w:p w:rsidR="00C26956" w:rsidRPr="00295E71" w:rsidP="00C26956" w14:paraId="04483132"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w:t>
      </w:r>
    </w:p>
    <w:p w:rsidR="00C26956" w:rsidRPr="00295E71" w:rsidP="00C26956" w14:paraId="60941006"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 del sistema linfatico</w:t>
      </w:r>
    </w:p>
    <w:p w:rsidR="00C26956" w:rsidRPr="00295E71" w:rsidP="00C26956" w14:paraId="2B378D3F" w14:textId="77777777">
      <w:pPr>
        <w:numPr>
          <w:ilvl w:val="0"/>
          <w:numId w:val="14"/>
        </w:numPr>
        <w:tabs>
          <w:tab w:val="num" w:pos="540"/>
          <w:tab w:val="left" w:pos="567"/>
          <w:tab w:val="left" w:pos="993"/>
        </w:tabs>
        <w:ind w:left="567" w:hanging="567"/>
        <w:jc w:val="both"/>
        <w:rPr>
          <w:sz w:val="22"/>
          <w:szCs w:val="22"/>
        </w:rPr>
      </w:pPr>
      <w:r w:rsidRPr="00295E71">
        <w:rPr>
          <w:sz w:val="22"/>
          <w:szCs w:val="22"/>
        </w:rPr>
        <w:t>melanoma</w:t>
      </w:r>
    </w:p>
    <w:p w:rsidR="00C26956" w:rsidRPr="00295E71" w:rsidP="00C26956" w14:paraId="0D328647" w14:textId="77777777">
      <w:pPr>
        <w:numPr>
          <w:ilvl w:val="0"/>
          <w:numId w:val="14"/>
        </w:numPr>
        <w:tabs>
          <w:tab w:val="num" w:pos="540"/>
          <w:tab w:val="left" w:pos="567"/>
          <w:tab w:val="left" w:pos="993"/>
        </w:tabs>
        <w:ind w:left="567" w:hanging="567"/>
        <w:jc w:val="both"/>
        <w:rPr>
          <w:sz w:val="22"/>
          <w:szCs w:val="22"/>
        </w:rPr>
      </w:pPr>
      <w:r w:rsidRPr="00295E71">
        <w:rPr>
          <w:sz w:val="22"/>
          <w:szCs w:val="22"/>
        </w:rPr>
        <w:t>disordini del sistema immunitario che possono colpire polmoni, cute e linfonodi (che si presentano più comunemente come sarcoidosi)</w:t>
      </w:r>
    </w:p>
    <w:p w:rsidR="00C26956" w:rsidRPr="00295E71" w:rsidP="00C26956" w14:paraId="665603D8" w14:textId="77777777">
      <w:pPr>
        <w:numPr>
          <w:ilvl w:val="0"/>
          <w:numId w:val="14"/>
        </w:numPr>
        <w:tabs>
          <w:tab w:val="num" w:pos="540"/>
          <w:tab w:val="left" w:pos="567"/>
          <w:tab w:val="left" w:pos="993"/>
        </w:tabs>
        <w:ind w:left="567" w:hanging="567"/>
        <w:jc w:val="both"/>
        <w:rPr>
          <w:sz w:val="22"/>
          <w:szCs w:val="22"/>
        </w:rPr>
      </w:pPr>
      <w:r w:rsidRPr="00295E71">
        <w:rPr>
          <w:sz w:val="22"/>
          <w:szCs w:val="22"/>
        </w:rPr>
        <w:t>vasculite (infiammazione dei vasi sanguigni)</w:t>
      </w:r>
    </w:p>
    <w:p w:rsidR="00C26956" w:rsidRPr="00295E71" w:rsidP="00C26956" w14:paraId="0CDE5C33" w14:textId="77777777">
      <w:pPr>
        <w:numPr>
          <w:ilvl w:val="0"/>
          <w:numId w:val="14"/>
        </w:numPr>
        <w:tabs>
          <w:tab w:val="num" w:pos="540"/>
          <w:tab w:val="left" w:pos="567"/>
          <w:tab w:val="left" w:pos="993"/>
        </w:tabs>
        <w:ind w:left="567" w:hanging="567"/>
        <w:jc w:val="both"/>
        <w:rPr>
          <w:sz w:val="22"/>
          <w:szCs w:val="22"/>
        </w:rPr>
      </w:pPr>
      <w:r w:rsidRPr="00295E71">
        <w:rPr>
          <w:sz w:val="22"/>
          <w:szCs w:val="22"/>
        </w:rPr>
        <w:t>tremore (agitazione)</w:t>
      </w:r>
    </w:p>
    <w:p w:rsidR="00C26956" w:rsidRPr="00295E71" w:rsidP="00C26956" w14:paraId="4983C520" w14:textId="77777777">
      <w:pPr>
        <w:numPr>
          <w:ilvl w:val="0"/>
          <w:numId w:val="14"/>
        </w:numPr>
        <w:tabs>
          <w:tab w:val="num" w:pos="540"/>
          <w:tab w:val="left" w:pos="567"/>
          <w:tab w:val="left" w:pos="993"/>
        </w:tabs>
        <w:ind w:left="567" w:hanging="567"/>
        <w:jc w:val="both"/>
        <w:rPr>
          <w:sz w:val="22"/>
          <w:szCs w:val="22"/>
        </w:rPr>
      </w:pPr>
      <w:r w:rsidRPr="00295E71">
        <w:rPr>
          <w:sz w:val="22"/>
          <w:szCs w:val="22"/>
        </w:rPr>
        <w:t>neuropatia (disturbi del sistema nervoso)</w:t>
      </w:r>
    </w:p>
    <w:p w:rsidR="00C26956" w:rsidRPr="00295E71" w:rsidP="00C26956" w14:paraId="5F2E4A18" w14:textId="77777777">
      <w:pPr>
        <w:numPr>
          <w:ilvl w:val="0"/>
          <w:numId w:val="14"/>
        </w:numPr>
        <w:tabs>
          <w:tab w:val="num" w:pos="540"/>
          <w:tab w:val="left" w:pos="567"/>
          <w:tab w:val="left" w:pos="993"/>
        </w:tabs>
        <w:ind w:left="567" w:hanging="567"/>
        <w:jc w:val="both"/>
        <w:rPr>
          <w:sz w:val="22"/>
          <w:szCs w:val="22"/>
        </w:rPr>
      </w:pPr>
      <w:r w:rsidRPr="00295E71">
        <w:rPr>
          <w:sz w:val="22"/>
          <w:szCs w:val="22"/>
        </w:rPr>
        <w:t>ictus</w:t>
      </w:r>
    </w:p>
    <w:p w:rsidR="00C26956" w:rsidRPr="00295E71" w:rsidP="00C26956" w14:paraId="0DDD6306" w14:textId="77777777">
      <w:pPr>
        <w:numPr>
          <w:ilvl w:val="0"/>
          <w:numId w:val="14"/>
        </w:numPr>
        <w:tabs>
          <w:tab w:val="num" w:pos="540"/>
          <w:tab w:val="left" w:pos="567"/>
          <w:tab w:val="left" w:pos="993"/>
        </w:tabs>
        <w:ind w:left="567" w:hanging="567"/>
        <w:jc w:val="both"/>
        <w:rPr>
          <w:sz w:val="22"/>
          <w:szCs w:val="22"/>
        </w:rPr>
      </w:pPr>
      <w:r w:rsidRPr="00295E71">
        <w:rPr>
          <w:sz w:val="22"/>
          <w:szCs w:val="22"/>
        </w:rPr>
        <w:t>perdita dell’udito, ronzio</w:t>
      </w:r>
    </w:p>
    <w:p w:rsidR="00C26956" w:rsidRPr="00295E71" w:rsidP="00C26956" w14:paraId="012C8AAA" w14:textId="77777777">
      <w:pPr>
        <w:numPr>
          <w:ilvl w:val="0"/>
          <w:numId w:val="14"/>
        </w:numPr>
        <w:tabs>
          <w:tab w:val="num" w:pos="540"/>
          <w:tab w:val="left" w:pos="567"/>
          <w:tab w:val="left" w:pos="993"/>
        </w:tabs>
        <w:ind w:left="567" w:hanging="567"/>
        <w:jc w:val="both"/>
        <w:rPr>
          <w:sz w:val="22"/>
          <w:szCs w:val="22"/>
        </w:rPr>
      </w:pPr>
      <w:r w:rsidRPr="00295E71">
        <w:rPr>
          <w:sz w:val="22"/>
          <w:szCs w:val="22"/>
        </w:rPr>
        <w:t>sensazione di battito cardiaco irregolare come palpitazioni</w:t>
      </w:r>
    </w:p>
    <w:p w:rsidR="00C26956" w:rsidRPr="00295E71" w:rsidP="00C26956" w14:paraId="24D0590D" w14:textId="77777777">
      <w:pPr>
        <w:numPr>
          <w:ilvl w:val="0"/>
          <w:numId w:val="14"/>
        </w:numPr>
        <w:tabs>
          <w:tab w:val="num" w:pos="540"/>
          <w:tab w:val="left" w:pos="567"/>
          <w:tab w:val="left" w:pos="993"/>
        </w:tabs>
        <w:ind w:left="567" w:hanging="567"/>
        <w:jc w:val="both"/>
        <w:rPr>
          <w:sz w:val="22"/>
          <w:szCs w:val="22"/>
        </w:rPr>
      </w:pPr>
      <w:r w:rsidRPr="00295E71">
        <w:rPr>
          <w:sz w:val="22"/>
          <w:szCs w:val="22"/>
        </w:rPr>
        <w:t>problemi al cuore che possono causare fiato corto o gonfiore a livello delle caviglie</w:t>
      </w:r>
    </w:p>
    <w:p w:rsidR="00C26956" w:rsidRPr="00295E71" w:rsidP="00C26956" w14:paraId="67F51187" w14:textId="77777777">
      <w:pPr>
        <w:numPr>
          <w:ilvl w:val="0"/>
          <w:numId w:val="14"/>
        </w:numPr>
        <w:tabs>
          <w:tab w:val="num" w:pos="540"/>
          <w:tab w:val="left" w:pos="567"/>
          <w:tab w:val="left" w:pos="993"/>
        </w:tabs>
        <w:ind w:left="567" w:hanging="567"/>
        <w:jc w:val="both"/>
        <w:rPr>
          <w:sz w:val="22"/>
          <w:szCs w:val="22"/>
        </w:rPr>
      </w:pPr>
      <w:r w:rsidRPr="00295E71">
        <w:rPr>
          <w:sz w:val="22"/>
          <w:szCs w:val="22"/>
        </w:rPr>
        <w:t>infarto acuto del miocardio</w:t>
      </w:r>
    </w:p>
    <w:p w:rsidR="00C26956" w:rsidRPr="00295E71" w:rsidP="00C26956" w14:paraId="3FAE4A29" w14:textId="77777777">
      <w:pPr>
        <w:numPr>
          <w:ilvl w:val="0"/>
          <w:numId w:val="14"/>
        </w:numPr>
        <w:tabs>
          <w:tab w:val="num" w:pos="540"/>
          <w:tab w:val="left" w:pos="567"/>
          <w:tab w:val="left" w:pos="993"/>
        </w:tabs>
        <w:ind w:left="567" w:hanging="567"/>
        <w:jc w:val="both"/>
        <w:rPr>
          <w:sz w:val="22"/>
          <w:szCs w:val="22"/>
        </w:rPr>
      </w:pPr>
      <w:r w:rsidRPr="00295E71">
        <w:rPr>
          <w:sz w:val="22"/>
          <w:szCs w:val="22"/>
        </w:rPr>
        <w:t>formazione di una sacca nella parete di un’arteria principale, infiammazione e coagulo in una vena, ostruzione di un vaso sanguigno</w:t>
      </w:r>
    </w:p>
    <w:p w:rsidR="00C26956" w:rsidRPr="00295E71" w:rsidP="00C26956" w14:paraId="1C5FEE73" w14:textId="77777777">
      <w:pPr>
        <w:numPr>
          <w:ilvl w:val="0"/>
          <w:numId w:val="14"/>
        </w:numPr>
        <w:tabs>
          <w:tab w:val="num" w:pos="540"/>
          <w:tab w:val="left" w:pos="567"/>
          <w:tab w:val="left" w:pos="993"/>
        </w:tabs>
        <w:ind w:left="567" w:hanging="567"/>
        <w:jc w:val="both"/>
        <w:rPr>
          <w:sz w:val="22"/>
          <w:szCs w:val="22"/>
        </w:rPr>
      </w:pPr>
      <w:r w:rsidRPr="00295E71">
        <w:rPr>
          <w:sz w:val="22"/>
          <w:szCs w:val="22"/>
        </w:rPr>
        <w:t>malattia polmonare che provoca fiato corto (inclusa infiammazione)</w:t>
      </w:r>
    </w:p>
    <w:p w:rsidR="00C26956" w:rsidRPr="00295E71" w:rsidP="00C26956" w14:paraId="274B664E" w14:textId="77777777">
      <w:pPr>
        <w:numPr>
          <w:ilvl w:val="0"/>
          <w:numId w:val="14"/>
        </w:numPr>
        <w:tabs>
          <w:tab w:val="num" w:pos="540"/>
          <w:tab w:val="left" w:pos="567"/>
          <w:tab w:val="left" w:pos="993"/>
        </w:tabs>
        <w:ind w:left="567" w:hanging="567"/>
        <w:jc w:val="both"/>
        <w:rPr>
          <w:sz w:val="22"/>
          <w:szCs w:val="22"/>
        </w:rPr>
      </w:pPr>
      <w:r w:rsidRPr="00295E71">
        <w:rPr>
          <w:sz w:val="22"/>
          <w:szCs w:val="22"/>
        </w:rPr>
        <w:t>embolia polmonare (occlusione di una arteria polmonare)</w:t>
      </w:r>
    </w:p>
    <w:p w:rsidR="00C26956" w:rsidRPr="00295E71" w:rsidP="00C26956" w14:paraId="12A07E7A" w14:textId="77777777">
      <w:pPr>
        <w:numPr>
          <w:ilvl w:val="0"/>
          <w:numId w:val="14"/>
        </w:numPr>
        <w:tabs>
          <w:tab w:val="num" w:pos="540"/>
          <w:tab w:val="left" w:pos="567"/>
          <w:tab w:val="left" w:pos="993"/>
        </w:tabs>
        <w:ind w:left="567" w:hanging="567"/>
        <w:jc w:val="both"/>
        <w:rPr>
          <w:sz w:val="22"/>
          <w:szCs w:val="22"/>
        </w:rPr>
      </w:pPr>
      <w:r w:rsidRPr="00295E71">
        <w:rPr>
          <w:sz w:val="22"/>
          <w:szCs w:val="22"/>
        </w:rPr>
        <w:t>versamento pleurico (anomala raccolta di liquido nello spazio pleurico)</w:t>
      </w:r>
    </w:p>
    <w:p w:rsidR="00C26956" w:rsidRPr="00295E71" w:rsidP="00C26956" w14:paraId="3220D461"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 pancreas che causa forti dolori all’addome ed alla schiena</w:t>
      </w:r>
    </w:p>
    <w:p w:rsidR="00C26956" w:rsidRPr="00295E71" w:rsidP="00C26956" w14:paraId="308060B6" w14:textId="77777777">
      <w:pPr>
        <w:numPr>
          <w:ilvl w:val="0"/>
          <w:numId w:val="14"/>
        </w:numPr>
        <w:tabs>
          <w:tab w:val="num" w:pos="540"/>
          <w:tab w:val="left" w:pos="567"/>
          <w:tab w:val="left" w:pos="993"/>
        </w:tabs>
        <w:ind w:left="567" w:hanging="567"/>
        <w:jc w:val="both"/>
        <w:rPr>
          <w:sz w:val="22"/>
          <w:szCs w:val="22"/>
        </w:rPr>
      </w:pPr>
      <w:r w:rsidRPr="00295E71">
        <w:rPr>
          <w:sz w:val="22"/>
          <w:szCs w:val="22"/>
        </w:rPr>
        <w:t>difficoltà nella deglutizione</w:t>
      </w:r>
    </w:p>
    <w:p w:rsidR="00C26956" w:rsidRPr="00295E71" w:rsidP="00C26956" w14:paraId="480AE6EE"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facciale (gonfiore del viso)</w:t>
      </w:r>
    </w:p>
    <w:p w:rsidR="00C26956" w:rsidRPr="00295E71" w:rsidP="00C26956" w14:paraId="654A16DE"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della cistifellea, calcoli alla cistifellea</w:t>
      </w:r>
    </w:p>
    <w:p w:rsidR="00C26956" w:rsidRPr="00295E71" w:rsidP="00C26956" w14:paraId="665C3DC1" w14:textId="77777777">
      <w:pPr>
        <w:numPr>
          <w:ilvl w:val="0"/>
          <w:numId w:val="14"/>
        </w:numPr>
        <w:tabs>
          <w:tab w:val="num" w:pos="540"/>
          <w:tab w:val="left" w:pos="567"/>
          <w:tab w:val="left" w:pos="993"/>
        </w:tabs>
        <w:ind w:left="567" w:hanging="567"/>
        <w:jc w:val="both"/>
        <w:rPr>
          <w:sz w:val="22"/>
          <w:szCs w:val="22"/>
        </w:rPr>
      </w:pPr>
      <w:r w:rsidRPr="00295E71">
        <w:rPr>
          <w:sz w:val="22"/>
          <w:szCs w:val="22"/>
        </w:rPr>
        <w:t>fegato grasso</w:t>
      </w:r>
    </w:p>
    <w:p w:rsidR="00C26956" w:rsidRPr="00295E71" w:rsidP="00C26956" w14:paraId="7BB9FFA8" w14:textId="77777777">
      <w:pPr>
        <w:numPr>
          <w:ilvl w:val="0"/>
          <w:numId w:val="14"/>
        </w:numPr>
        <w:tabs>
          <w:tab w:val="num" w:pos="540"/>
          <w:tab w:val="left" w:pos="567"/>
          <w:tab w:val="left" w:pos="993"/>
        </w:tabs>
        <w:ind w:left="567" w:hanging="567"/>
        <w:jc w:val="both"/>
        <w:rPr>
          <w:sz w:val="22"/>
          <w:szCs w:val="22"/>
        </w:rPr>
      </w:pPr>
      <w:r w:rsidRPr="00295E71">
        <w:rPr>
          <w:sz w:val="22"/>
          <w:szCs w:val="22"/>
        </w:rPr>
        <w:t>sudorazione notturna</w:t>
      </w:r>
    </w:p>
    <w:p w:rsidR="00C26956" w:rsidRPr="00295E71" w:rsidP="00C26956" w14:paraId="2991DB79" w14:textId="77777777">
      <w:pPr>
        <w:numPr>
          <w:ilvl w:val="0"/>
          <w:numId w:val="14"/>
        </w:numPr>
        <w:tabs>
          <w:tab w:val="num" w:pos="540"/>
          <w:tab w:val="left" w:pos="567"/>
          <w:tab w:val="left" w:pos="993"/>
        </w:tabs>
        <w:ind w:left="567" w:hanging="567"/>
        <w:jc w:val="both"/>
        <w:rPr>
          <w:sz w:val="22"/>
          <w:szCs w:val="22"/>
        </w:rPr>
      </w:pPr>
      <w:r w:rsidRPr="00295E71">
        <w:rPr>
          <w:sz w:val="22"/>
          <w:szCs w:val="22"/>
        </w:rPr>
        <w:t>cicatrice</w:t>
      </w:r>
    </w:p>
    <w:p w:rsidR="00C26956" w:rsidRPr="00295E71" w:rsidP="00C26956" w14:paraId="5B9D8C25" w14:textId="77777777">
      <w:pPr>
        <w:numPr>
          <w:ilvl w:val="0"/>
          <w:numId w:val="14"/>
        </w:numPr>
        <w:tabs>
          <w:tab w:val="num" w:pos="540"/>
          <w:tab w:val="left" w:pos="567"/>
          <w:tab w:val="left" w:pos="993"/>
        </w:tabs>
        <w:ind w:left="567" w:hanging="567"/>
        <w:jc w:val="both"/>
        <w:rPr>
          <w:sz w:val="22"/>
          <w:szCs w:val="22"/>
        </w:rPr>
      </w:pPr>
      <w:r w:rsidRPr="00295E71">
        <w:rPr>
          <w:sz w:val="22"/>
          <w:szCs w:val="22"/>
        </w:rPr>
        <w:t>anormale catabolismo muscolare</w:t>
      </w:r>
    </w:p>
    <w:p w:rsidR="00C26956" w:rsidRPr="00295E71" w:rsidP="00C26956" w14:paraId="46164374" w14:textId="77777777">
      <w:pPr>
        <w:numPr>
          <w:ilvl w:val="0"/>
          <w:numId w:val="14"/>
        </w:numPr>
        <w:tabs>
          <w:tab w:val="num" w:pos="540"/>
          <w:tab w:val="left" w:pos="567"/>
          <w:tab w:val="left" w:pos="993"/>
        </w:tabs>
        <w:ind w:left="567" w:hanging="567"/>
        <w:jc w:val="both"/>
        <w:rPr>
          <w:sz w:val="22"/>
          <w:szCs w:val="22"/>
        </w:rPr>
      </w:pPr>
      <w:r w:rsidRPr="00295E71">
        <w:rPr>
          <w:sz w:val="22"/>
          <w:szCs w:val="22"/>
        </w:rPr>
        <w:t>lupus eritematoso sistemico (tra cui infiammazione della pelle, del cuore, del polmone, delle articolazioni e di altri organi)</w:t>
      </w:r>
    </w:p>
    <w:p w:rsidR="00C26956" w:rsidRPr="00295E71" w:rsidP="00C26956" w14:paraId="5F269513" w14:textId="77777777">
      <w:pPr>
        <w:numPr>
          <w:ilvl w:val="0"/>
          <w:numId w:val="14"/>
        </w:numPr>
        <w:tabs>
          <w:tab w:val="num" w:pos="540"/>
          <w:tab w:val="left" w:pos="567"/>
          <w:tab w:val="left" w:pos="993"/>
        </w:tabs>
        <w:ind w:left="567" w:hanging="567"/>
        <w:jc w:val="both"/>
        <w:rPr>
          <w:sz w:val="22"/>
          <w:szCs w:val="22"/>
        </w:rPr>
      </w:pPr>
      <w:r w:rsidRPr="00295E71">
        <w:rPr>
          <w:sz w:val="22"/>
          <w:szCs w:val="22"/>
        </w:rPr>
        <w:t>sonno interrotto</w:t>
      </w:r>
    </w:p>
    <w:p w:rsidR="00C26956" w:rsidRPr="00295E71" w:rsidP="00C26956" w14:paraId="6631F53B" w14:textId="77777777">
      <w:pPr>
        <w:numPr>
          <w:ilvl w:val="0"/>
          <w:numId w:val="14"/>
        </w:numPr>
        <w:tabs>
          <w:tab w:val="num" w:pos="540"/>
          <w:tab w:val="left" w:pos="567"/>
          <w:tab w:val="left" w:pos="993"/>
        </w:tabs>
        <w:ind w:left="567" w:hanging="567"/>
        <w:jc w:val="both"/>
        <w:rPr>
          <w:sz w:val="22"/>
          <w:szCs w:val="22"/>
        </w:rPr>
      </w:pPr>
      <w:r w:rsidRPr="00295E71">
        <w:rPr>
          <w:sz w:val="22"/>
          <w:szCs w:val="22"/>
        </w:rPr>
        <w:t>impotenza</w:t>
      </w:r>
    </w:p>
    <w:p w:rsidR="00C26956" w:rsidRPr="00295E71" w:rsidP="00C26956" w14:paraId="2599D7E3"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infiammazioni</w:t>
      </w:r>
    </w:p>
    <w:p w:rsidR="00C26956" w:rsidRPr="00295E71" w:rsidP="00C26956" w14:paraId="19FBF82F" w14:textId="77777777">
      <w:pPr>
        <w:tabs>
          <w:tab w:val="left" w:pos="567"/>
        </w:tabs>
        <w:jc w:val="both"/>
        <w:rPr>
          <w:sz w:val="22"/>
          <w:szCs w:val="22"/>
        </w:rPr>
      </w:pPr>
    </w:p>
    <w:p w:rsidR="00C26956" w:rsidRPr="00295E71" w:rsidP="00C26956" w14:paraId="726CD8F2" w14:textId="77777777">
      <w:pPr>
        <w:rPr>
          <w:sz w:val="22"/>
          <w:szCs w:val="22"/>
        </w:rPr>
      </w:pPr>
      <w:r w:rsidRPr="00295E71">
        <w:rPr>
          <w:b/>
          <w:sz w:val="22"/>
          <w:szCs w:val="22"/>
        </w:rPr>
        <w:t>Rari</w:t>
      </w:r>
      <w:r w:rsidRPr="00295E71">
        <w:rPr>
          <w:sz w:val="22"/>
          <w:szCs w:val="22"/>
        </w:rPr>
        <w:t xml:space="preserve"> (possono manifestarsi fino a 1 persona su 1.000)</w:t>
      </w:r>
    </w:p>
    <w:p w:rsidR="00C26956" w:rsidRPr="00295E71" w:rsidP="00C26956" w14:paraId="54CBACC1" w14:textId="77777777">
      <w:pPr>
        <w:tabs>
          <w:tab w:val="left" w:pos="567"/>
          <w:tab w:val="left" w:pos="993"/>
        </w:tabs>
        <w:jc w:val="both"/>
        <w:rPr>
          <w:sz w:val="22"/>
          <w:szCs w:val="22"/>
        </w:rPr>
      </w:pPr>
    </w:p>
    <w:p w:rsidR="00C26956" w:rsidRPr="00295E71" w:rsidP="00C26956" w14:paraId="24AF573C" w14:textId="77777777">
      <w:pPr>
        <w:numPr>
          <w:ilvl w:val="0"/>
          <w:numId w:val="14"/>
        </w:numPr>
        <w:tabs>
          <w:tab w:val="num" w:pos="540"/>
          <w:tab w:val="left" w:pos="567"/>
          <w:tab w:val="left" w:pos="993"/>
        </w:tabs>
        <w:ind w:left="567" w:hanging="567"/>
        <w:jc w:val="both"/>
        <w:rPr>
          <w:sz w:val="22"/>
          <w:szCs w:val="22"/>
        </w:rPr>
      </w:pPr>
      <w:r w:rsidRPr="00295E71">
        <w:rPr>
          <w:sz w:val="22"/>
          <w:szCs w:val="22"/>
        </w:rPr>
        <w:t>leucemia (un tumore che colpisce il sangue e il midollo osseo)</w:t>
      </w:r>
    </w:p>
    <w:p w:rsidR="00C26956" w:rsidRPr="00295E71" w:rsidP="00C26956" w14:paraId="75B25A95"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reazione allergica grave con shock</w:t>
      </w:r>
    </w:p>
    <w:p w:rsidR="00C26956" w:rsidRPr="00295E71" w:rsidP="00C26956" w14:paraId="5649F266" w14:textId="77777777">
      <w:pPr>
        <w:numPr>
          <w:ilvl w:val="0"/>
          <w:numId w:val="14"/>
        </w:numPr>
        <w:tabs>
          <w:tab w:val="num" w:pos="540"/>
          <w:tab w:val="left" w:pos="567"/>
          <w:tab w:val="left" w:pos="993"/>
        </w:tabs>
        <w:ind w:left="567" w:hanging="567"/>
        <w:jc w:val="both"/>
        <w:rPr>
          <w:sz w:val="22"/>
          <w:szCs w:val="22"/>
        </w:rPr>
      </w:pPr>
      <w:r w:rsidRPr="00295E71">
        <w:rPr>
          <w:sz w:val="22"/>
          <w:szCs w:val="22"/>
        </w:rPr>
        <w:t>sclerosi multipla</w:t>
      </w:r>
    </w:p>
    <w:p w:rsidR="00C26956" w:rsidRPr="00295E71" w:rsidP="00C26956" w14:paraId="6DE51F06"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neurologici (come infiammazione del nervo ottico e sindrome di Guillain-Barré che può causare debolezza muscolare, sensazioni anomale, formicolio alle braccia ed alla parte superiore del corpo)</w:t>
      </w:r>
    </w:p>
    <w:p w:rsidR="00C26956" w:rsidRPr="00295E71" w:rsidP="00C26956" w14:paraId="09E41F92" w14:textId="77777777">
      <w:pPr>
        <w:numPr>
          <w:ilvl w:val="0"/>
          <w:numId w:val="14"/>
        </w:numPr>
        <w:tabs>
          <w:tab w:val="num" w:pos="540"/>
          <w:tab w:val="left" w:pos="567"/>
          <w:tab w:val="left" w:pos="993"/>
        </w:tabs>
        <w:ind w:left="567" w:hanging="567"/>
        <w:jc w:val="both"/>
        <w:rPr>
          <w:sz w:val="22"/>
          <w:szCs w:val="22"/>
        </w:rPr>
      </w:pPr>
      <w:r w:rsidRPr="00295E71">
        <w:rPr>
          <w:sz w:val="22"/>
          <w:szCs w:val="22"/>
        </w:rPr>
        <w:t>arresto cardiaco</w:t>
      </w:r>
    </w:p>
    <w:p w:rsidR="00C26956" w:rsidRPr="00295E71" w:rsidP="00C26956" w14:paraId="0F9BD738" w14:textId="77777777">
      <w:pPr>
        <w:numPr>
          <w:ilvl w:val="0"/>
          <w:numId w:val="14"/>
        </w:numPr>
        <w:tabs>
          <w:tab w:val="num" w:pos="540"/>
          <w:tab w:val="left" w:pos="567"/>
          <w:tab w:val="left" w:pos="993"/>
        </w:tabs>
        <w:ind w:left="567" w:hanging="567"/>
        <w:jc w:val="both"/>
        <w:rPr>
          <w:sz w:val="22"/>
          <w:szCs w:val="22"/>
        </w:rPr>
      </w:pPr>
      <w:r w:rsidRPr="00295E71">
        <w:rPr>
          <w:sz w:val="22"/>
          <w:szCs w:val="22"/>
        </w:rPr>
        <w:t>fibrosi polmonare (cicatrici del polmone)</w:t>
      </w:r>
    </w:p>
    <w:p w:rsidR="00C26956" w:rsidRPr="00295E71" w:rsidP="00C26956" w14:paraId="689C3524" w14:textId="77777777">
      <w:pPr>
        <w:numPr>
          <w:ilvl w:val="0"/>
          <w:numId w:val="14"/>
        </w:numPr>
        <w:tabs>
          <w:tab w:val="num" w:pos="540"/>
          <w:tab w:val="left" w:pos="567"/>
          <w:tab w:val="left" w:pos="993"/>
        </w:tabs>
        <w:ind w:left="567" w:hanging="567"/>
        <w:jc w:val="both"/>
        <w:rPr>
          <w:sz w:val="22"/>
          <w:szCs w:val="22"/>
        </w:rPr>
      </w:pPr>
      <w:r w:rsidRPr="00295E71">
        <w:rPr>
          <w:sz w:val="22"/>
          <w:szCs w:val="22"/>
        </w:rPr>
        <w:t>perforazione intestinale (buco nell’intestino)</w:t>
      </w:r>
    </w:p>
    <w:p w:rsidR="00C26956" w:rsidRPr="00295E71" w:rsidP="00C26956" w14:paraId="4BAF8FF4" w14:textId="77777777">
      <w:pPr>
        <w:numPr>
          <w:ilvl w:val="0"/>
          <w:numId w:val="14"/>
        </w:numPr>
        <w:tabs>
          <w:tab w:val="num" w:pos="540"/>
          <w:tab w:val="left" w:pos="567"/>
          <w:tab w:val="left" w:pos="993"/>
        </w:tabs>
        <w:ind w:left="567" w:hanging="567"/>
        <w:jc w:val="both"/>
        <w:rPr>
          <w:sz w:val="22"/>
          <w:szCs w:val="22"/>
        </w:rPr>
      </w:pPr>
      <w:r w:rsidRPr="00295E71">
        <w:rPr>
          <w:sz w:val="22"/>
          <w:szCs w:val="22"/>
        </w:rPr>
        <w:t>epatite</w:t>
      </w:r>
    </w:p>
    <w:p w:rsidR="00C26956" w:rsidRPr="00295E71" w:rsidP="00C26956" w14:paraId="2932505E" w14:textId="77777777">
      <w:pPr>
        <w:numPr>
          <w:ilvl w:val="0"/>
          <w:numId w:val="14"/>
        </w:numPr>
        <w:tabs>
          <w:tab w:val="num" w:pos="540"/>
          <w:tab w:val="left" w:pos="567"/>
          <w:tab w:val="left" w:pos="993"/>
        </w:tabs>
        <w:ind w:left="567" w:hanging="567"/>
        <w:jc w:val="both"/>
        <w:rPr>
          <w:sz w:val="22"/>
          <w:szCs w:val="22"/>
        </w:rPr>
      </w:pPr>
      <w:r w:rsidRPr="00295E71">
        <w:rPr>
          <w:sz w:val="22"/>
          <w:szCs w:val="22"/>
        </w:rPr>
        <w:t>riattivazione dell’epatite B</w:t>
      </w:r>
    </w:p>
    <w:p w:rsidR="00C26956" w:rsidRPr="00295E71" w:rsidP="00C26956" w14:paraId="0A41FFFE" w14:textId="77777777">
      <w:pPr>
        <w:numPr>
          <w:ilvl w:val="0"/>
          <w:numId w:val="14"/>
        </w:numPr>
        <w:tabs>
          <w:tab w:val="num" w:pos="540"/>
          <w:tab w:val="left" w:pos="567"/>
          <w:tab w:val="left" w:pos="993"/>
        </w:tabs>
        <w:ind w:left="567" w:hanging="567"/>
        <w:jc w:val="both"/>
        <w:rPr>
          <w:sz w:val="22"/>
          <w:szCs w:val="22"/>
        </w:rPr>
      </w:pPr>
      <w:r w:rsidRPr="00295E71">
        <w:rPr>
          <w:sz w:val="22"/>
          <w:szCs w:val="22"/>
        </w:rPr>
        <w:t>epatite autoimmune (infiammazione del fegato causata dal proprio sistema immunitario);</w:t>
      </w:r>
    </w:p>
    <w:p w:rsidR="00C26956" w:rsidRPr="00295E71" w:rsidP="00C26956" w14:paraId="21065E96" w14:textId="77777777">
      <w:pPr>
        <w:numPr>
          <w:ilvl w:val="0"/>
          <w:numId w:val="14"/>
        </w:numPr>
        <w:tabs>
          <w:tab w:val="num" w:pos="540"/>
          <w:tab w:val="left" w:pos="567"/>
          <w:tab w:val="left" w:pos="993"/>
        </w:tabs>
        <w:ind w:left="567" w:hanging="567"/>
        <w:jc w:val="both"/>
        <w:rPr>
          <w:sz w:val="22"/>
          <w:szCs w:val="22"/>
        </w:rPr>
      </w:pPr>
      <w:r w:rsidRPr="00295E71">
        <w:rPr>
          <w:sz w:val="22"/>
          <w:szCs w:val="22"/>
        </w:rPr>
        <w:t>vasculite cutanea (infiammazione dei vasi sanguigni della pelle)</w:t>
      </w:r>
    </w:p>
    <w:p w:rsidR="00C26956" w:rsidRPr="00295E71" w:rsidP="00C26956" w14:paraId="0C675386"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di Stevens-Johnson (i sintomi precoci includono malessere, febbre, cefalea ed eruzione cutanea)</w:t>
      </w:r>
    </w:p>
    <w:p w:rsidR="00C26956" w:rsidRPr="00295E71" w:rsidP="00C26956" w14:paraId="72FBE38A"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facciale (gonfiore del viso)  associato a reazioni allergiche</w:t>
      </w:r>
    </w:p>
    <w:p w:rsidR="00C26956" w:rsidRPr="00295E71" w:rsidP="00C26956" w14:paraId="44551740" w14:textId="77777777">
      <w:pPr>
        <w:numPr>
          <w:ilvl w:val="0"/>
          <w:numId w:val="14"/>
        </w:numPr>
        <w:tabs>
          <w:tab w:val="num" w:pos="540"/>
          <w:tab w:val="left" w:pos="567"/>
          <w:tab w:val="left" w:pos="993"/>
        </w:tabs>
        <w:ind w:left="567" w:hanging="567"/>
        <w:jc w:val="both"/>
        <w:rPr>
          <w:sz w:val="22"/>
          <w:szCs w:val="22"/>
        </w:rPr>
      </w:pPr>
      <w:r w:rsidRPr="00295E71">
        <w:rPr>
          <w:sz w:val="22"/>
          <w:szCs w:val="22"/>
        </w:rPr>
        <w:t>eritema multiforme (rash cutaneo infiammatorio)</w:t>
      </w:r>
    </w:p>
    <w:p w:rsidR="00C26956" w:rsidRPr="00295E71" w:rsidP="00C26956" w14:paraId="0F69BE4E"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simile al lupus</w:t>
      </w:r>
    </w:p>
    <w:p w:rsidR="00C26956" w:rsidP="00C26956" w14:paraId="66B677D2" w14:textId="77777777">
      <w:pPr>
        <w:numPr>
          <w:ilvl w:val="0"/>
          <w:numId w:val="14"/>
        </w:numPr>
        <w:tabs>
          <w:tab w:val="num" w:pos="540"/>
          <w:tab w:val="left" w:pos="567"/>
          <w:tab w:val="left" w:pos="993"/>
        </w:tabs>
        <w:ind w:left="567" w:hanging="567"/>
        <w:jc w:val="both"/>
        <w:rPr>
          <w:sz w:val="22"/>
          <w:szCs w:val="22"/>
        </w:rPr>
      </w:pPr>
      <w:r w:rsidRPr="00295E71">
        <w:rPr>
          <w:sz w:val="22"/>
          <w:szCs w:val="22"/>
        </w:rPr>
        <w:t>angioedema (gonfiore localizzato della pelle)</w:t>
      </w:r>
    </w:p>
    <w:p w:rsidR="000D55F0" w:rsidRPr="00295E71" w:rsidP="000D55F0" w14:paraId="011FAA0E" w14:textId="77777777">
      <w:pPr>
        <w:numPr>
          <w:ilvl w:val="0"/>
          <w:numId w:val="14"/>
        </w:numPr>
        <w:tabs>
          <w:tab w:val="left" w:pos="567"/>
          <w:tab w:val="left" w:pos="993"/>
        </w:tabs>
        <w:ind w:hanging="720"/>
        <w:jc w:val="both"/>
        <w:rPr>
          <w:sz w:val="22"/>
          <w:szCs w:val="22"/>
        </w:rPr>
      </w:pPr>
      <w:r w:rsidRPr="00756246">
        <w:rPr>
          <w:sz w:val="22"/>
          <w:szCs w:val="22"/>
        </w:rPr>
        <w:t>reazione cutanea lichenoide (</w:t>
      </w:r>
      <w:r w:rsidR="00C6039F">
        <w:rPr>
          <w:sz w:val="22"/>
          <w:szCs w:val="22"/>
        </w:rPr>
        <w:t>eruzione</w:t>
      </w:r>
      <w:r w:rsidRPr="00756246">
        <w:rPr>
          <w:sz w:val="22"/>
          <w:szCs w:val="22"/>
        </w:rPr>
        <w:t xml:space="preserve"> cutane</w:t>
      </w:r>
      <w:r w:rsidR="00C6039F">
        <w:rPr>
          <w:sz w:val="22"/>
          <w:szCs w:val="22"/>
        </w:rPr>
        <w:t>a</w:t>
      </w:r>
      <w:r w:rsidRPr="00756246">
        <w:rPr>
          <w:sz w:val="22"/>
          <w:szCs w:val="22"/>
        </w:rPr>
        <w:t xml:space="preserve"> ross</w:t>
      </w:r>
      <w:r w:rsidR="00C6039F">
        <w:rPr>
          <w:sz w:val="22"/>
          <w:szCs w:val="22"/>
        </w:rPr>
        <w:t>o</w:t>
      </w:r>
      <w:r w:rsidRPr="00756246">
        <w:rPr>
          <w:sz w:val="22"/>
          <w:szCs w:val="22"/>
        </w:rPr>
        <w:t>-viola</w:t>
      </w:r>
      <w:r w:rsidR="00C6039F">
        <w:rPr>
          <w:sz w:val="22"/>
          <w:szCs w:val="22"/>
        </w:rPr>
        <w:t>cea</w:t>
      </w:r>
      <w:r w:rsidRPr="00756246">
        <w:rPr>
          <w:sz w:val="22"/>
          <w:szCs w:val="22"/>
        </w:rPr>
        <w:t xml:space="preserve"> pruriginos</w:t>
      </w:r>
      <w:r w:rsidR="00C6039F">
        <w:rPr>
          <w:sz w:val="22"/>
          <w:szCs w:val="22"/>
        </w:rPr>
        <w:t>a</w:t>
      </w:r>
      <w:r w:rsidRPr="00756246">
        <w:rPr>
          <w:sz w:val="22"/>
          <w:szCs w:val="22"/>
        </w:rPr>
        <w:t>)</w:t>
      </w:r>
    </w:p>
    <w:p w:rsidR="00C26956" w:rsidRPr="00295E71" w:rsidP="00C26956" w14:paraId="36CB8ABE" w14:textId="77777777">
      <w:pPr>
        <w:tabs>
          <w:tab w:val="left" w:pos="567"/>
          <w:tab w:val="left" w:pos="993"/>
        </w:tabs>
        <w:jc w:val="both"/>
        <w:rPr>
          <w:sz w:val="22"/>
          <w:szCs w:val="22"/>
        </w:rPr>
      </w:pPr>
    </w:p>
    <w:p w:rsidR="00C26956" w:rsidRPr="00295E71" w:rsidP="00C26956" w14:paraId="39966295" w14:textId="77777777">
      <w:pPr>
        <w:rPr>
          <w:sz w:val="22"/>
          <w:szCs w:val="22"/>
        </w:rPr>
      </w:pPr>
      <w:r w:rsidRPr="00295E71">
        <w:rPr>
          <w:b/>
          <w:sz w:val="22"/>
          <w:szCs w:val="22"/>
        </w:rPr>
        <w:t>Non nota</w:t>
      </w:r>
      <w:r w:rsidRPr="00295E71">
        <w:rPr>
          <w:sz w:val="22"/>
          <w:szCs w:val="22"/>
        </w:rPr>
        <w:t xml:space="preserve"> (la frequenza non può essere definita sulla base dei dati disponibili)</w:t>
      </w:r>
    </w:p>
    <w:p w:rsidR="00C26956" w:rsidRPr="00295E71" w:rsidP="00C26956" w14:paraId="5950BEFA" w14:textId="77777777">
      <w:pPr>
        <w:pStyle w:val="EMEAFigureTitle"/>
        <w:tabs>
          <w:tab w:val="left" w:pos="993"/>
        </w:tabs>
        <w:suppressAutoHyphens w:val="0"/>
        <w:jc w:val="both"/>
        <w:rPr>
          <w:lang w:val="it-IT" w:eastAsia="it-IT"/>
        </w:rPr>
      </w:pPr>
    </w:p>
    <w:p w:rsidR="00C26956" w:rsidRPr="00295E71" w:rsidP="00C26956" w14:paraId="09BB564A" w14:textId="77777777">
      <w:pPr>
        <w:numPr>
          <w:ilvl w:val="0"/>
          <w:numId w:val="14"/>
        </w:numPr>
        <w:tabs>
          <w:tab w:val="num" w:pos="540"/>
          <w:tab w:val="left" w:pos="567"/>
          <w:tab w:val="left" w:pos="993"/>
        </w:tabs>
        <w:ind w:left="567" w:hanging="567"/>
        <w:jc w:val="both"/>
        <w:rPr>
          <w:sz w:val="22"/>
          <w:szCs w:val="22"/>
        </w:rPr>
      </w:pPr>
      <w:r w:rsidRPr="00295E71">
        <w:rPr>
          <w:sz w:val="22"/>
          <w:szCs w:val="22"/>
        </w:rPr>
        <w:t>linfoma epato-splenico a cellule T (un raro tumore del sangue che spesso risulta fatale)</w:t>
      </w:r>
    </w:p>
    <w:p w:rsidR="00C26956" w:rsidP="00C26956" w14:paraId="72EA03B6" w14:textId="77777777">
      <w:pPr>
        <w:numPr>
          <w:ilvl w:val="0"/>
          <w:numId w:val="14"/>
        </w:numPr>
        <w:tabs>
          <w:tab w:val="num" w:pos="540"/>
          <w:tab w:val="left" w:pos="567"/>
          <w:tab w:val="left" w:pos="993"/>
        </w:tabs>
        <w:ind w:left="567" w:hanging="567"/>
        <w:jc w:val="both"/>
        <w:rPr>
          <w:sz w:val="22"/>
          <w:szCs w:val="22"/>
        </w:rPr>
      </w:pPr>
      <w:r w:rsidRPr="00295E71">
        <w:rPr>
          <w:sz w:val="22"/>
          <w:szCs w:val="22"/>
        </w:rPr>
        <w:t>carcinoma a cellule di Merkel (un tipo di cancro della pelle)</w:t>
      </w:r>
    </w:p>
    <w:p w:rsidR="003E6A38" w:rsidRPr="00985ADA" w:rsidP="00985ADA" w14:paraId="169D4B1D" w14:textId="77777777">
      <w:pPr>
        <w:numPr>
          <w:ilvl w:val="0"/>
          <w:numId w:val="14"/>
        </w:numPr>
        <w:tabs>
          <w:tab w:val="num" w:pos="540"/>
          <w:tab w:val="left" w:pos="567"/>
          <w:tab w:val="left" w:pos="993"/>
        </w:tabs>
        <w:ind w:left="567" w:hanging="567"/>
        <w:jc w:val="both"/>
        <w:rPr>
          <w:sz w:val="22"/>
          <w:szCs w:val="22"/>
        </w:rPr>
      </w:pPr>
      <w:r w:rsidRPr="00C573CF">
        <w:rPr>
          <w:sz w:val="22"/>
          <w:szCs w:val="22"/>
        </w:rPr>
        <w:t>sarcoma di Kaposi, una forma rara di cancro correlato a infezione da Herpes virus umano 8.</w:t>
      </w:r>
      <w:r>
        <w:rPr>
          <w:sz w:val="22"/>
          <w:szCs w:val="22"/>
        </w:rPr>
        <w:t xml:space="preserve"> </w:t>
      </w:r>
      <w:r w:rsidRPr="00C573CF">
        <w:rPr>
          <w:sz w:val="22"/>
          <w:szCs w:val="22"/>
        </w:rPr>
        <w:t>Il</w:t>
      </w:r>
      <w:r>
        <w:rPr>
          <w:sz w:val="22"/>
          <w:szCs w:val="22"/>
        </w:rPr>
        <w:t xml:space="preserve"> </w:t>
      </w:r>
      <w:r w:rsidRPr="00C573CF">
        <w:rPr>
          <w:sz w:val="22"/>
          <w:szCs w:val="22"/>
        </w:rPr>
        <w:t>sarcoma di Kaposi si manifesta più comunemente con lesioni viola sulla pelle</w:t>
      </w:r>
    </w:p>
    <w:p w:rsidR="00C26956" w:rsidRPr="00295E71" w:rsidP="00C26956" w14:paraId="2B5763E4" w14:textId="77777777">
      <w:pPr>
        <w:numPr>
          <w:ilvl w:val="0"/>
          <w:numId w:val="14"/>
        </w:numPr>
        <w:tabs>
          <w:tab w:val="num" w:pos="540"/>
          <w:tab w:val="left" w:pos="567"/>
          <w:tab w:val="left" w:pos="993"/>
        </w:tabs>
        <w:ind w:left="567" w:hanging="567"/>
        <w:jc w:val="both"/>
        <w:rPr>
          <w:sz w:val="22"/>
          <w:szCs w:val="22"/>
        </w:rPr>
      </w:pPr>
      <w:r w:rsidRPr="00295E71">
        <w:rPr>
          <w:sz w:val="22"/>
          <w:szCs w:val="22"/>
        </w:rPr>
        <w:t>insufficienza epatica</w:t>
      </w:r>
    </w:p>
    <w:p w:rsidR="00C26956" w:rsidP="00C26956" w14:paraId="529FD8D3" w14:textId="77777777">
      <w:pPr>
        <w:numPr>
          <w:ilvl w:val="0"/>
          <w:numId w:val="14"/>
        </w:numPr>
        <w:tabs>
          <w:tab w:val="num" w:pos="540"/>
          <w:tab w:val="left" w:pos="567"/>
          <w:tab w:val="left" w:pos="993"/>
        </w:tabs>
        <w:ind w:left="567" w:hanging="567"/>
        <w:jc w:val="both"/>
        <w:rPr>
          <w:sz w:val="22"/>
          <w:szCs w:val="22"/>
        </w:rPr>
      </w:pPr>
      <w:r w:rsidRPr="00295E71">
        <w:rPr>
          <w:sz w:val="22"/>
          <w:szCs w:val="22"/>
        </w:rPr>
        <w:t>peggioramento di una condizione chiamata dermatomiosite (che si manifesta come eruzione cutanea accompagnata da debolezza muscolare)</w:t>
      </w:r>
    </w:p>
    <w:p w:rsidR="00A01AD4" w:rsidRPr="00295E71" w:rsidP="00C26956" w14:paraId="594DFCEE" w14:textId="77777777">
      <w:pPr>
        <w:numPr>
          <w:ilvl w:val="0"/>
          <w:numId w:val="14"/>
        </w:numPr>
        <w:tabs>
          <w:tab w:val="num" w:pos="540"/>
          <w:tab w:val="left" w:pos="567"/>
          <w:tab w:val="left" w:pos="993"/>
        </w:tabs>
        <w:ind w:left="567" w:hanging="567"/>
        <w:jc w:val="both"/>
        <w:rPr>
          <w:sz w:val="22"/>
          <w:szCs w:val="22"/>
        </w:rPr>
      </w:pPr>
      <w:r w:rsidRPr="00A01AD4">
        <w:rPr>
          <w:sz w:val="22"/>
          <w:szCs w:val="22"/>
        </w:rPr>
        <w:t>Aumento di peso (per la maggior parte dei pazienti l’aumento di peso è stato basso)</w:t>
      </w:r>
    </w:p>
    <w:p w:rsidR="00C26956" w:rsidRPr="00295E71" w:rsidP="00C26956" w14:paraId="1FED0DFB" w14:textId="77777777">
      <w:pPr>
        <w:pStyle w:val="EMEAFigureTitle"/>
        <w:tabs>
          <w:tab w:val="left" w:pos="993"/>
        </w:tabs>
        <w:suppressAutoHyphens w:val="0"/>
        <w:jc w:val="both"/>
        <w:rPr>
          <w:lang w:val="it-IT" w:eastAsia="it-IT"/>
        </w:rPr>
      </w:pPr>
    </w:p>
    <w:p w:rsidR="00C26956" w:rsidRPr="00295E71" w:rsidP="00C26956" w14:paraId="643E0FA7" w14:textId="77777777">
      <w:pPr>
        <w:pStyle w:val="EMEAFigureTitle"/>
        <w:tabs>
          <w:tab w:val="left" w:pos="993"/>
        </w:tabs>
        <w:suppressAutoHyphens w:val="0"/>
        <w:jc w:val="both"/>
        <w:rPr>
          <w:lang w:val="it-IT" w:eastAsia="it-IT"/>
        </w:rPr>
      </w:pPr>
      <w:r w:rsidRPr="00295E71">
        <w:rPr>
          <w:lang w:val="it-IT" w:eastAsia="it-IT"/>
        </w:rPr>
        <w:t>Alcuni degli effetti indesiderati osservati con Humira possono essere asintomatici e possono essere individuati solo attraverso gli esami del sangue.</w:t>
      </w:r>
    </w:p>
    <w:p w:rsidR="00C26956" w:rsidRPr="00295E71" w:rsidP="00C26956" w14:paraId="3BEB5FB9" w14:textId="77777777">
      <w:pPr>
        <w:tabs>
          <w:tab w:val="left" w:pos="567"/>
          <w:tab w:val="left" w:pos="993"/>
        </w:tabs>
        <w:jc w:val="both"/>
        <w:rPr>
          <w:sz w:val="22"/>
          <w:szCs w:val="22"/>
        </w:rPr>
      </w:pPr>
      <w:r w:rsidRPr="00295E71">
        <w:rPr>
          <w:sz w:val="22"/>
          <w:szCs w:val="22"/>
        </w:rPr>
        <w:t>Questi includono:</w:t>
      </w:r>
    </w:p>
    <w:p w:rsidR="00C26956" w:rsidRPr="00295E71" w:rsidP="00C26956" w14:paraId="4FC3FED1" w14:textId="77777777">
      <w:pPr>
        <w:tabs>
          <w:tab w:val="left" w:pos="567"/>
          <w:tab w:val="left" w:pos="993"/>
        </w:tabs>
        <w:jc w:val="both"/>
        <w:rPr>
          <w:sz w:val="22"/>
          <w:szCs w:val="22"/>
        </w:rPr>
      </w:pPr>
    </w:p>
    <w:p w:rsidR="00C26956" w:rsidRPr="00295E71" w:rsidP="00C26956" w14:paraId="2D138420" w14:textId="77777777">
      <w:pPr>
        <w:tabs>
          <w:tab w:val="left" w:pos="567"/>
          <w:tab w:val="left" w:pos="993"/>
        </w:tabs>
        <w:jc w:val="both"/>
        <w:rPr>
          <w:sz w:val="22"/>
          <w:szCs w:val="22"/>
        </w:rPr>
      </w:pPr>
      <w:r w:rsidRPr="00295E71">
        <w:rPr>
          <w:b/>
          <w:sz w:val="22"/>
          <w:szCs w:val="22"/>
        </w:rPr>
        <w:t>Molto comuni</w:t>
      </w:r>
      <w:r w:rsidRPr="00295E71">
        <w:rPr>
          <w:sz w:val="22"/>
          <w:szCs w:val="22"/>
        </w:rPr>
        <w:t xml:space="preserve"> (possono manifestarsi in più di 1 persona su 10)</w:t>
      </w:r>
    </w:p>
    <w:p w:rsidR="00C26956" w:rsidRPr="00295E71" w:rsidP="00C26956" w14:paraId="60C07E30" w14:textId="77777777">
      <w:pPr>
        <w:tabs>
          <w:tab w:val="left" w:pos="567"/>
          <w:tab w:val="left" w:pos="993"/>
        </w:tabs>
        <w:jc w:val="both"/>
        <w:rPr>
          <w:sz w:val="22"/>
          <w:szCs w:val="22"/>
        </w:rPr>
      </w:pPr>
    </w:p>
    <w:p w:rsidR="00C26956" w:rsidRPr="00295E71" w:rsidP="00C26956" w14:paraId="53B5EAFA" w14:textId="77777777">
      <w:pPr>
        <w:numPr>
          <w:ilvl w:val="0"/>
          <w:numId w:val="14"/>
        </w:numPr>
        <w:tabs>
          <w:tab w:val="num" w:pos="540"/>
          <w:tab w:val="left" w:pos="567"/>
          <w:tab w:val="left" w:pos="993"/>
        </w:tabs>
        <w:ind w:left="567" w:hanging="567"/>
        <w:jc w:val="both"/>
        <w:rPr>
          <w:sz w:val="22"/>
          <w:szCs w:val="22"/>
        </w:rPr>
      </w:pPr>
      <w:r w:rsidRPr="00295E71">
        <w:rPr>
          <w:sz w:val="22"/>
          <w:szCs w:val="22"/>
        </w:rPr>
        <w:t>bassa conta dei globuli bianchi</w:t>
      </w:r>
    </w:p>
    <w:p w:rsidR="00C26956" w:rsidRPr="00295E71" w:rsidP="00C26956" w14:paraId="0504561C" w14:textId="77777777">
      <w:pPr>
        <w:numPr>
          <w:ilvl w:val="0"/>
          <w:numId w:val="14"/>
        </w:numPr>
        <w:tabs>
          <w:tab w:val="num" w:pos="540"/>
          <w:tab w:val="left" w:pos="567"/>
          <w:tab w:val="left" w:pos="993"/>
        </w:tabs>
        <w:ind w:left="567" w:hanging="567"/>
        <w:jc w:val="both"/>
        <w:rPr>
          <w:sz w:val="22"/>
          <w:szCs w:val="22"/>
        </w:rPr>
      </w:pPr>
      <w:r w:rsidRPr="00295E71">
        <w:rPr>
          <w:sz w:val="22"/>
          <w:szCs w:val="22"/>
        </w:rPr>
        <w:t>bassa conta dei globuli rossi</w:t>
      </w:r>
    </w:p>
    <w:p w:rsidR="00C26956" w:rsidRPr="00295E71" w:rsidP="00C26956" w14:paraId="1268291F"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dei lipidi nel sangue</w:t>
      </w:r>
    </w:p>
    <w:p w:rsidR="00C26956" w:rsidRPr="00295E71" w:rsidP="00C26956" w14:paraId="40FE3F89"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degli enzimi epatici</w:t>
      </w:r>
    </w:p>
    <w:p w:rsidR="00C26956" w:rsidRPr="00295E71" w:rsidP="00C26956" w14:paraId="74D84A3A" w14:textId="77777777">
      <w:pPr>
        <w:tabs>
          <w:tab w:val="left" w:pos="567"/>
          <w:tab w:val="left" w:pos="993"/>
        </w:tabs>
        <w:jc w:val="both"/>
        <w:rPr>
          <w:sz w:val="22"/>
          <w:szCs w:val="22"/>
        </w:rPr>
      </w:pPr>
    </w:p>
    <w:p w:rsidR="00C26956" w:rsidRPr="00295E71" w:rsidP="00C26956" w14:paraId="28A47CA5" w14:textId="77777777">
      <w:pPr>
        <w:pStyle w:val="EMEAFigureTitle"/>
        <w:tabs>
          <w:tab w:val="left" w:pos="993"/>
        </w:tabs>
        <w:suppressAutoHyphens w:val="0"/>
        <w:jc w:val="both"/>
        <w:rPr>
          <w:lang w:val="it-IT" w:eastAsia="it-IT"/>
        </w:rPr>
      </w:pPr>
      <w:r w:rsidRPr="00295E71">
        <w:rPr>
          <w:b/>
          <w:lang w:val="it-IT" w:eastAsia="it-IT"/>
        </w:rPr>
        <w:t>Comuni</w:t>
      </w:r>
      <w:r w:rsidRPr="00295E71">
        <w:rPr>
          <w:lang w:val="it-IT" w:eastAsia="it-IT"/>
        </w:rPr>
        <w:t xml:space="preserve"> (possono manifestarsi fino a 1 persona su 10):</w:t>
      </w:r>
    </w:p>
    <w:p w:rsidR="00C26956" w:rsidRPr="00295E71" w:rsidP="00C26956" w14:paraId="494E9D3C" w14:textId="77777777">
      <w:pPr>
        <w:pStyle w:val="EMEANormal"/>
        <w:jc w:val="both"/>
        <w:rPr>
          <w:lang w:val="it-IT" w:eastAsia="it-IT"/>
        </w:rPr>
      </w:pPr>
    </w:p>
    <w:p w:rsidR="00C26956" w:rsidRPr="00295E71" w:rsidP="00C26956" w14:paraId="67F2D1B9"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conta dei globuli bianchi</w:t>
      </w:r>
    </w:p>
    <w:p w:rsidR="00C26956" w:rsidRPr="00295E71" w:rsidP="00C26956" w14:paraId="6964989F"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della conta delle piastrine</w:t>
      </w:r>
    </w:p>
    <w:p w:rsidR="00C26956" w:rsidRPr="00295E71" w:rsidP="00C26956" w14:paraId="533FF39D"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dell’acido urico nel sangue</w:t>
      </w:r>
    </w:p>
    <w:p w:rsidR="00C26956" w:rsidRPr="00295E71" w:rsidP="00C26956" w14:paraId="57719E6F" w14:textId="77777777">
      <w:pPr>
        <w:numPr>
          <w:ilvl w:val="0"/>
          <w:numId w:val="14"/>
        </w:numPr>
        <w:tabs>
          <w:tab w:val="num" w:pos="540"/>
          <w:tab w:val="left" w:pos="567"/>
          <w:tab w:val="left" w:pos="993"/>
        </w:tabs>
        <w:ind w:left="567" w:hanging="567"/>
        <w:jc w:val="both"/>
        <w:rPr>
          <w:sz w:val="22"/>
          <w:szCs w:val="22"/>
        </w:rPr>
      </w:pPr>
      <w:r w:rsidRPr="00295E71">
        <w:rPr>
          <w:sz w:val="22"/>
          <w:szCs w:val="22"/>
        </w:rPr>
        <w:t>alterazione del sodio nel sangue</w:t>
      </w:r>
    </w:p>
    <w:p w:rsidR="00C26956" w:rsidRPr="00295E71" w:rsidP="00C26956" w14:paraId="3CD7DE58"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calcio nel sangue</w:t>
      </w:r>
    </w:p>
    <w:p w:rsidR="00C26956" w:rsidRPr="00295E71" w:rsidP="00C26956" w14:paraId="40799D87"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fosforo nel sangue</w:t>
      </w:r>
    </w:p>
    <w:p w:rsidR="00C26956" w:rsidRPr="00295E71" w:rsidP="00C26956" w14:paraId="149D096E"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dello zucchero nel sangue</w:t>
      </w:r>
    </w:p>
    <w:p w:rsidR="00C26956" w:rsidRPr="00295E71" w:rsidP="00C26956" w14:paraId="677F7C14"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lattatodeidrogenasi nel sangue</w:t>
      </w:r>
    </w:p>
    <w:p w:rsidR="00C26956" w:rsidRPr="00295E71" w:rsidP="00C26956" w14:paraId="20C7F12C" w14:textId="77777777">
      <w:pPr>
        <w:numPr>
          <w:ilvl w:val="0"/>
          <w:numId w:val="14"/>
        </w:numPr>
        <w:tabs>
          <w:tab w:val="num" w:pos="540"/>
          <w:tab w:val="left" w:pos="567"/>
          <w:tab w:val="left" w:pos="993"/>
        </w:tabs>
        <w:ind w:left="567" w:hanging="567"/>
        <w:jc w:val="both"/>
        <w:rPr>
          <w:sz w:val="22"/>
          <w:szCs w:val="22"/>
        </w:rPr>
      </w:pPr>
      <w:r w:rsidRPr="00295E71">
        <w:rPr>
          <w:sz w:val="22"/>
          <w:szCs w:val="22"/>
        </w:rPr>
        <w:t>presenza di autoanticorpi nel sangue</w:t>
      </w:r>
    </w:p>
    <w:p w:rsidR="00C26956" w:rsidRPr="00295E71" w:rsidP="00C26956" w14:paraId="317BD9A9"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potassio nel sangue</w:t>
      </w:r>
    </w:p>
    <w:p w:rsidR="00C26956" w:rsidRPr="00295E71" w:rsidP="00C26956" w14:paraId="7759F677" w14:textId="77777777">
      <w:pPr>
        <w:tabs>
          <w:tab w:val="left" w:pos="567"/>
          <w:tab w:val="left" w:pos="993"/>
        </w:tabs>
        <w:ind w:left="567"/>
        <w:jc w:val="both"/>
        <w:rPr>
          <w:sz w:val="22"/>
          <w:szCs w:val="22"/>
        </w:rPr>
      </w:pPr>
    </w:p>
    <w:p w:rsidR="00C26956" w:rsidRPr="00295E71" w:rsidP="00C26956" w14:paraId="51513DC6" w14:textId="77777777">
      <w:pPr>
        <w:tabs>
          <w:tab w:val="left" w:pos="567"/>
          <w:tab w:val="left" w:pos="993"/>
        </w:tabs>
        <w:jc w:val="both"/>
        <w:rPr>
          <w:sz w:val="22"/>
          <w:szCs w:val="22"/>
        </w:rPr>
      </w:pPr>
      <w:r w:rsidRPr="00295E71">
        <w:rPr>
          <w:b/>
          <w:sz w:val="22"/>
          <w:szCs w:val="22"/>
        </w:rPr>
        <w:t>Non comuni</w:t>
      </w:r>
      <w:r w:rsidRPr="00295E71">
        <w:rPr>
          <w:sz w:val="22"/>
          <w:szCs w:val="22"/>
        </w:rPr>
        <w:t xml:space="preserve"> (possono manifestarsi fino a 1 persona su 100)</w:t>
      </w:r>
    </w:p>
    <w:p w:rsidR="00C26956" w:rsidRPr="00295E71" w:rsidP="00C26956" w14:paraId="34BBA93A" w14:textId="77777777">
      <w:pPr>
        <w:tabs>
          <w:tab w:val="left" w:pos="567"/>
          <w:tab w:val="left" w:pos="993"/>
        </w:tabs>
        <w:jc w:val="both"/>
        <w:rPr>
          <w:sz w:val="22"/>
          <w:szCs w:val="22"/>
        </w:rPr>
      </w:pPr>
    </w:p>
    <w:p w:rsidR="00C26956" w:rsidRPr="00295E71" w:rsidP="00C26956" w14:paraId="1E57D6D0" w14:textId="77777777">
      <w:pPr>
        <w:pStyle w:val="ListParagraph"/>
        <w:numPr>
          <w:ilvl w:val="0"/>
          <w:numId w:val="134"/>
        </w:numPr>
        <w:ind w:left="567" w:hanging="539"/>
        <w:jc w:val="both"/>
        <w:rPr>
          <w:sz w:val="22"/>
          <w:szCs w:val="22"/>
        </w:rPr>
      </w:pPr>
      <w:r w:rsidRPr="00295E71">
        <w:rPr>
          <w:sz w:val="22"/>
          <w:szCs w:val="22"/>
        </w:rPr>
        <w:t>livelli elevati di bilirubina nel sangue (esame epatico del sangue).</w:t>
      </w:r>
    </w:p>
    <w:p w:rsidR="00C26956" w:rsidRPr="00295E71" w:rsidP="00C26956" w14:paraId="2AD89AA4" w14:textId="77777777">
      <w:pPr>
        <w:tabs>
          <w:tab w:val="left" w:pos="567"/>
          <w:tab w:val="left" w:pos="993"/>
        </w:tabs>
        <w:jc w:val="both"/>
        <w:rPr>
          <w:sz w:val="22"/>
          <w:szCs w:val="22"/>
        </w:rPr>
      </w:pPr>
    </w:p>
    <w:p w:rsidR="00C26956" w:rsidRPr="00295E71" w:rsidP="00C26956" w14:paraId="52B15E71" w14:textId="77777777">
      <w:pPr>
        <w:pStyle w:val="EMEAFigureTitle"/>
        <w:tabs>
          <w:tab w:val="left" w:pos="993"/>
        </w:tabs>
        <w:suppressAutoHyphens w:val="0"/>
        <w:jc w:val="both"/>
        <w:rPr>
          <w:lang w:val="it-IT" w:eastAsia="it-IT"/>
        </w:rPr>
      </w:pPr>
      <w:r w:rsidRPr="00295E71">
        <w:rPr>
          <w:b/>
          <w:lang w:val="it-IT" w:eastAsia="it-IT"/>
        </w:rPr>
        <w:t>Rari</w:t>
      </w:r>
      <w:r w:rsidRPr="00295E71">
        <w:rPr>
          <w:lang w:val="it-IT" w:eastAsia="it-IT"/>
        </w:rPr>
        <w:t xml:space="preserve"> (possono manifestarsi fino a 1 persona su 1.000):</w:t>
      </w:r>
    </w:p>
    <w:p w:rsidR="00C26956" w:rsidRPr="00295E71" w:rsidP="00C26956" w14:paraId="7980FF39" w14:textId="77777777">
      <w:pPr>
        <w:pStyle w:val="EMEANormal"/>
        <w:jc w:val="both"/>
        <w:rPr>
          <w:lang w:val="it-IT" w:eastAsia="it-IT"/>
        </w:rPr>
      </w:pPr>
    </w:p>
    <w:p w:rsidR="00C26956" w:rsidRPr="00295E71" w:rsidP="00C26956" w14:paraId="64CC164E" w14:textId="77777777">
      <w:pPr>
        <w:numPr>
          <w:ilvl w:val="0"/>
          <w:numId w:val="14"/>
        </w:numPr>
        <w:tabs>
          <w:tab w:val="num" w:pos="540"/>
          <w:tab w:val="left" w:pos="567"/>
          <w:tab w:val="left" w:pos="993"/>
        </w:tabs>
        <w:ind w:left="567" w:hanging="567"/>
        <w:jc w:val="both"/>
        <w:rPr>
          <w:sz w:val="22"/>
          <w:szCs w:val="22"/>
        </w:rPr>
      </w:pPr>
      <w:r w:rsidRPr="00295E71">
        <w:rPr>
          <w:sz w:val="22"/>
          <w:szCs w:val="22"/>
        </w:rPr>
        <w:t>bassa conta dei globuli bianchi, dei globuli rossi e delle piastrine.</w:t>
      </w:r>
    </w:p>
    <w:p w:rsidR="00C26956" w:rsidRPr="00295E71" w:rsidP="00C26956" w14:paraId="04809E0F" w14:textId="77777777">
      <w:pPr>
        <w:tabs>
          <w:tab w:val="left" w:pos="567"/>
        </w:tabs>
        <w:jc w:val="both"/>
        <w:rPr>
          <w:sz w:val="22"/>
          <w:szCs w:val="22"/>
        </w:rPr>
      </w:pPr>
    </w:p>
    <w:p w:rsidR="00C26956" w:rsidRPr="00295E71" w:rsidP="00C26956" w14:paraId="553C5241" w14:textId="77777777">
      <w:pPr>
        <w:numPr>
          <w:ilvl w:val="12"/>
          <w:numId w:val="0"/>
        </w:numPr>
        <w:tabs>
          <w:tab w:val="left" w:pos="567"/>
        </w:tabs>
        <w:ind w:right="-2"/>
        <w:jc w:val="both"/>
        <w:rPr>
          <w:b/>
          <w:sz w:val="22"/>
          <w:szCs w:val="22"/>
        </w:rPr>
      </w:pPr>
      <w:r w:rsidRPr="00295E71">
        <w:rPr>
          <w:b/>
          <w:sz w:val="22"/>
          <w:szCs w:val="22"/>
        </w:rPr>
        <w:t>Segnalazione degli effetti indesiderati</w:t>
      </w:r>
    </w:p>
    <w:p w:rsidR="00C26956" w:rsidRPr="00295E71" w:rsidP="00C26956" w14:paraId="062C7949" w14:textId="77777777">
      <w:pPr>
        <w:numPr>
          <w:ilvl w:val="12"/>
          <w:numId w:val="0"/>
        </w:numPr>
        <w:tabs>
          <w:tab w:val="left" w:pos="567"/>
        </w:tabs>
        <w:ind w:right="-2"/>
        <w:jc w:val="both"/>
        <w:rPr>
          <w:sz w:val="22"/>
          <w:szCs w:val="22"/>
        </w:rPr>
      </w:pPr>
      <w:r w:rsidRPr="00295E71">
        <w:rPr>
          <w:sz w:val="22"/>
          <w:szCs w:val="22"/>
        </w:rPr>
        <w:t xml:space="preserve">Se manifesta un qualsiasi effetto indesiderato, compresi quelli non elencati in questo foglio, si rivolga al medico o al farmacista. Può inoltre segnalare gli effetti indesiderati direttamente tramite </w:t>
      </w:r>
      <w:r w:rsidRPr="00295E71">
        <w:rPr>
          <w:sz w:val="22"/>
          <w:szCs w:val="22"/>
          <w:highlight w:val="lightGray"/>
        </w:rPr>
        <w:t>il sistema nazionale</w:t>
      </w:r>
      <w:r w:rsidRPr="00295E71">
        <w:rPr>
          <w:sz w:val="22"/>
          <w:szCs w:val="22"/>
        </w:rPr>
        <w:t xml:space="preserve"> </w:t>
      </w:r>
      <w:r w:rsidRPr="00295E71">
        <w:rPr>
          <w:sz w:val="22"/>
          <w:szCs w:val="22"/>
          <w:highlight w:val="lightGray"/>
        </w:rPr>
        <w:t>di segnalazione riportato nell’</w:t>
      </w:r>
      <w:hyperlink r:id="rId72" w:history="1">
        <w:r w:rsidRPr="00295E71">
          <w:rPr>
            <w:rStyle w:val="Hyperlink"/>
            <w:sz w:val="22"/>
            <w:szCs w:val="22"/>
            <w:highlight w:val="lightGray"/>
          </w:rPr>
          <w:t>allegato V</w:t>
        </w:r>
      </w:hyperlink>
      <w:r w:rsidRPr="00295E71">
        <w:rPr>
          <w:sz w:val="22"/>
          <w:szCs w:val="22"/>
          <w:highlight w:val="lightGray"/>
        </w:rPr>
        <w:t>.</w:t>
      </w:r>
      <w:r w:rsidRPr="00295E71">
        <w:rPr>
          <w:sz w:val="22"/>
          <w:szCs w:val="22"/>
        </w:rPr>
        <w:t xml:space="preserve"> Segnalando gli effetti indesiderati può contribuire a fornire maggiori informazioni sulla sicurezza di questo medicinale.</w:t>
      </w:r>
    </w:p>
    <w:p w:rsidR="00C26956" w:rsidRPr="00295E71" w:rsidP="00C26956" w14:paraId="733587AF" w14:textId="77777777">
      <w:pPr>
        <w:numPr>
          <w:ilvl w:val="12"/>
          <w:numId w:val="0"/>
        </w:numPr>
        <w:tabs>
          <w:tab w:val="left" w:pos="567"/>
        </w:tabs>
        <w:ind w:right="-2"/>
        <w:jc w:val="both"/>
        <w:rPr>
          <w:sz w:val="22"/>
          <w:szCs w:val="22"/>
        </w:rPr>
      </w:pPr>
    </w:p>
    <w:p w:rsidR="00C26956" w:rsidRPr="00295E71" w:rsidP="00C26956" w14:paraId="67A33E2E" w14:textId="77777777">
      <w:pPr>
        <w:numPr>
          <w:ilvl w:val="12"/>
          <w:numId w:val="0"/>
        </w:numPr>
        <w:tabs>
          <w:tab w:val="left" w:pos="567"/>
        </w:tabs>
        <w:ind w:right="-2"/>
        <w:jc w:val="both"/>
        <w:rPr>
          <w:sz w:val="22"/>
          <w:szCs w:val="22"/>
        </w:rPr>
      </w:pPr>
    </w:p>
    <w:p w:rsidR="00C26956" w:rsidRPr="00295E71" w:rsidP="00C26956" w14:paraId="7C95636B" w14:textId="77777777">
      <w:pPr>
        <w:numPr>
          <w:ilvl w:val="12"/>
          <w:numId w:val="0"/>
        </w:numPr>
        <w:tabs>
          <w:tab w:val="left" w:pos="567"/>
        </w:tabs>
        <w:ind w:left="567" w:right="-2" w:hanging="567"/>
        <w:jc w:val="both"/>
        <w:rPr>
          <w:b/>
          <w:bCs/>
          <w:sz w:val="22"/>
          <w:szCs w:val="22"/>
        </w:rPr>
      </w:pPr>
      <w:r w:rsidRPr="00295E71">
        <w:rPr>
          <w:b/>
          <w:bCs/>
          <w:sz w:val="22"/>
          <w:szCs w:val="22"/>
        </w:rPr>
        <w:t>5.</w:t>
      </w:r>
      <w:r w:rsidRPr="00295E71">
        <w:rPr>
          <w:b/>
          <w:bCs/>
          <w:sz w:val="22"/>
          <w:szCs w:val="22"/>
        </w:rPr>
        <w:tab/>
        <w:t>Come conservare Humira</w:t>
      </w:r>
    </w:p>
    <w:p w:rsidR="00C26956" w:rsidRPr="00295E71" w:rsidP="00C26956" w14:paraId="0A13F19E" w14:textId="77777777">
      <w:pPr>
        <w:numPr>
          <w:ilvl w:val="12"/>
          <w:numId w:val="0"/>
        </w:numPr>
        <w:tabs>
          <w:tab w:val="left" w:pos="567"/>
        </w:tabs>
        <w:ind w:right="-2"/>
        <w:jc w:val="both"/>
        <w:rPr>
          <w:sz w:val="22"/>
          <w:szCs w:val="22"/>
        </w:rPr>
      </w:pPr>
    </w:p>
    <w:p w:rsidR="00C26956" w:rsidRPr="00295E71" w:rsidP="00C26956" w14:paraId="3A28E3AF" w14:textId="77777777">
      <w:pPr>
        <w:numPr>
          <w:ilvl w:val="12"/>
          <w:numId w:val="0"/>
        </w:numPr>
        <w:tabs>
          <w:tab w:val="left" w:pos="567"/>
        </w:tabs>
        <w:ind w:right="-2"/>
        <w:jc w:val="both"/>
        <w:rPr>
          <w:sz w:val="22"/>
          <w:szCs w:val="22"/>
        </w:rPr>
      </w:pPr>
      <w:r w:rsidRPr="00295E71">
        <w:rPr>
          <w:sz w:val="22"/>
          <w:szCs w:val="22"/>
        </w:rPr>
        <w:t>Conservi questo medicinale fuori dalla vista e dalla portata dei bambini.</w:t>
      </w:r>
    </w:p>
    <w:p w:rsidR="00C26956" w:rsidRPr="00295E71" w:rsidP="00C26956" w14:paraId="4DB38DA2" w14:textId="77777777">
      <w:pPr>
        <w:numPr>
          <w:ilvl w:val="12"/>
          <w:numId w:val="0"/>
        </w:numPr>
        <w:tabs>
          <w:tab w:val="left" w:pos="567"/>
        </w:tabs>
        <w:ind w:right="-2"/>
        <w:jc w:val="both"/>
        <w:rPr>
          <w:sz w:val="22"/>
          <w:szCs w:val="22"/>
        </w:rPr>
      </w:pPr>
    </w:p>
    <w:p w:rsidR="00C26956" w:rsidRPr="00295E71" w:rsidP="00C26956" w14:paraId="7C4D709E" w14:textId="77777777">
      <w:pPr>
        <w:numPr>
          <w:ilvl w:val="12"/>
          <w:numId w:val="0"/>
        </w:numPr>
        <w:tabs>
          <w:tab w:val="left" w:pos="567"/>
        </w:tabs>
        <w:ind w:right="-2"/>
        <w:jc w:val="both"/>
        <w:rPr>
          <w:sz w:val="22"/>
          <w:szCs w:val="22"/>
        </w:rPr>
      </w:pPr>
      <w:r w:rsidRPr="00295E71">
        <w:rPr>
          <w:sz w:val="22"/>
          <w:szCs w:val="22"/>
        </w:rPr>
        <w:t xml:space="preserve">Non usi questo medicinale dopo la data di scadenza che è riportata sull’etichetta/blister/scatola dopo la scritta Scad. </w:t>
      </w:r>
    </w:p>
    <w:p w:rsidR="00C26956" w:rsidRPr="00295E71" w:rsidP="00C26956" w14:paraId="41E64566" w14:textId="77777777">
      <w:pPr>
        <w:numPr>
          <w:ilvl w:val="12"/>
          <w:numId w:val="0"/>
        </w:numPr>
        <w:tabs>
          <w:tab w:val="left" w:pos="567"/>
        </w:tabs>
        <w:ind w:right="-2"/>
        <w:jc w:val="both"/>
        <w:rPr>
          <w:sz w:val="22"/>
          <w:szCs w:val="22"/>
        </w:rPr>
      </w:pPr>
    </w:p>
    <w:p w:rsidR="00C26956" w:rsidRPr="00295E71" w:rsidP="00C26956" w14:paraId="3A013864" w14:textId="77777777">
      <w:pPr>
        <w:numPr>
          <w:ilvl w:val="12"/>
          <w:numId w:val="0"/>
        </w:numPr>
        <w:tabs>
          <w:tab w:val="left" w:pos="567"/>
        </w:tabs>
        <w:ind w:right="-2"/>
        <w:jc w:val="both"/>
        <w:rPr>
          <w:sz w:val="22"/>
          <w:szCs w:val="22"/>
        </w:rPr>
      </w:pPr>
      <w:r w:rsidRPr="00295E71">
        <w:rPr>
          <w:sz w:val="22"/>
          <w:szCs w:val="22"/>
        </w:rPr>
        <w:t>Conservare in frigorifero (2</w:t>
      </w:r>
      <w:r w:rsidRPr="00295E71">
        <w:rPr>
          <w:rFonts w:ascii="Symbol" w:hAnsi="Symbol"/>
          <w:sz w:val="22"/>
          <w:szCs w:val="22"/>
        </w:rPr>
        <w:sym w:font="Symbol" w:char="F0B0"/>
      </w:r>
      <w:r w:rsidRPr="00295E71">
        <w:rPr>
          <w:sz w:val="22"/>
          <w:szCs w:val="22"/>
        </w:rPr>
        <w:t>C – 8</w:t>
      </w:r>
      <w:r w:rsidRPr="00295E71">
        <w:rPr>
          <w:rFonts w:ascii="Symbol" w:hAnsi="Symbol"/>
          <w:sz w:val="22"/>
          <w:szCs w:val="22"/>
        </w:rPr>
        <w:sym w:font="Symbol" w:char="F0B0"/>
      </w:r>
      <w:r w:rsidRPr="00295E71">
        <w:rPr>
          <w:sz w:val="22"/>
          <w:szCs w:val="22"/>
        </w:rPr>
        <w:t xml:space="preserve">C). Non congelare. </w:t>
      </w:r>
    </w:p>
    <w:p w:rsidR="00C26956" w:rsidRPr="00295E71" w:rsidP="00C26956" w14:paraId="5BDD221A" w14:textId="77777777">
      <w:pPr>
        <w:numPr>
          <w:ilvl w:val="12"/>
          <w:numId w:val="0"/>
        </w:numPr>
        <w:tabs>
          <w:tab w:val="left" w:pos="567"/>
        </w:tabs>
        <w:ind w:right="-2"/>
        <w:jc w:val="both"/>
        <w:rPr>
          <w:sz w:val="22"/>
          <w:szCs w:val="22"/>
        </w:rPr>
      </w:pPr>
    </w:p>
    <w:p w:rsidR="00C26956" w:rsidRPr="00295E71" w:rsidP="00C26956" w14:paraId="4D722E1D" w14:textId="77777777">
      <w:pPr>
        <w:numPr>
          <w:ilvl w:val="12"/>
          <w:numId w:val="0"/>
        </w:numPr>
        <w:tabs>
          <w:tab w:val="left" w:pos="567"/>
        </w:tabs>
        <w:ind w:right="-2"/>
        <w:jc w:val="both"/>
        <w:rPr>
          <w:sz w:val="22"/>
          <w:szCs w:val="22"/>
        </w:rPr>
      </w:pPr>
      <w:r w:rsidRPr="00295E71">
        <w:rPr>
          <w:sz w:val="22"/>
          <w:szCs w:val="22"/>
        </w:rPr>
        <w:t xml:space="preserve">Tenere la siringa </w:t>
      </w:r>
      <w:r w:rsidRPr="00295E71" w:rsidR="0097741F">
        <w:rPr>
          <w:sz w:val="22"/>
          <w:szCs w:val="22"/>
        </w:rPr>
        <w:t>pre-riempita</w:t>
      </w:r>
      <w:r w:rsidRPr="00295E71">
        <w:rPr>
          <w:sz w:val="22"/>
          <w:szCs w:val="22"/>
        </w:rPr>
        <w:t xml:space="preserve"> nell’imballaggio esterno per proteggere il medicinale dalla luce.</w:t>
      </w:r>
    </w:p>
    <w:p w:rsidR="00C26956" w:rsidRPr="00295E71" w:rsidP="00C26956" w14:paraId="305FF33D" w14:textId="77777777">
      <w:pPr>
        <w:numPr>
          <w:ilvl w:val="12"/>
          <w:numId w:val="0"/>
        </w:numPr>
        <w:tabs>
          <w:tab w:val="left" w:pos="567"/>
        </w:tabs>
        <w:ind w:right="-2"/>
        <w:jc w:val="both"/>
        <w:rPr>
          <w:sz w:val="22"/>
          <w:szCs w:val="22"/>
        </w:rPr>
      </w:pPr>
    </w:p>
    <w:p w:rsidR="00C26956" w:rsidRPr="00295E71" w:rsidP="00C26956" w14:paraId="6C0349CB" w14:textId="77777777">
      <w:pPr>
        <w:numPr>
          <w:ilvl w:val="12"/>
          <w:numId w:val="0"/>
        </w:numPr>
        <w:tabs>
          <w:tab w:val="left" w:pos="567"/>
        </w:tabs>
        <w:ind w:right="-2"/>
        <w:jc w:val="both"/>
        <w:rPr>
          <w:sz w:val="22"/>
          <w:szCs w:val="22"/>
        </w:rPr>
      </w:pPr>
      <w:r w:rsidRPr="00295E71">
        <w:rPr>
          <w:sz w:val="22"/>
          <w:szCs w:val="22"/>
        </w:rPr>
        <w:t>Condizioni di conservazione alternative:</w:t>
      </w:r>
    </w:p>
    <w:p w:rsidR="00C26956" w:rsidRPr="00295E71" w:rsidP="00C26956" w14:paraId="5532DA65" w14:textId="77777777">
      <w:pPr>
        <w:numPr>
          <w:ilvl w:val="12"/>
          <w:numId w:val="0"/>
        </w:numPr>
        <w:tabs>
          <w:tab w:val="left" w:pos="567"/>
        </w:tabs>
        <w:ind w:right="-2"/>
        <w:jc w:val="both"/>
        <w:rPr>
          <w:sz w:val="22"/>
          <w:szCs w:val="22"/>
        </w:rPr>
      </w:pPr>
    </w:p>
    <w:p w:rsidR="00C26956" w:rsidRPr="00295E71" w:rsidP="00C26956" w14:paraId="1AF13307" w14:textId="77777777">
      <w:pPr>
        <w:numPr>
          <w:ilvl w:val="12"/>
          <w:numId w:val="0"/>
        </w:numPr>
        <w:tabs>
          <w:tab w:val="left" w:pos="567"/>
        </w:tabs>
        <w:ind w:right="-2"/>
        <w:jc w:val="both"/>
        <w:rPr>
          <w:sz w:val="22"/>
          <w:szCs w:val="22"/>
        </w:rPr>
      </w:pPr>
      <w:r w:rsidRPr="00295E71">
        <w:rPr>
          <w:sz w:val="22"/>
          <w:szCs w:val="22"/>
        </w:rPr>
        <w:t xml:space="preserve">Quando necessario (per esempio quando viaggia) una singola siringa pre-riempita può essere conservata a temperatura ambiente (fino a 25°C) per un periodo massimo di 14 giorni – assicurarsi di proteggere il medicinale dalla luce. Una volta che viene rimossa dal frigorifero per essere conservata a temperatura ambiente, la siringa </w:t>
      </w:r>
      <w:r w:rsidRPr="00295E71">
        <w:rPr>
          <w:b/>
          <w:sz w:val="22"/>
          <w:szCs w:val="22"/>
        </w:rPr>
        <w:t>deve essere usata entro 14 giorni o buttata via</w:t>
      </w:r>
      <w:r w:rsidRPr="00295E71">
        <w:rPr>
          <w:sz w:val="22"/>
          <w:szCs w:val="22"/>
        </w:rPr>
        <w:t>, anche se viene posta di nuovo nel frigorifero.</w:t>
      </w:r>
    </w:p>
    <w:p w:rsidR="00C26956" w:rsidRPr="00295E71" w:rsidP="00C26956" w14:paraId="323F6152" w14:textId="77777777">
      <w:pPr>
        <w:numPr>
          <w:ilvl w:val="12"/>
          <w:numId w:val="0"/>
        </w:numPr>
        <w:tabs>
          <w:tab w:val="left" w:pos="567"/>
        </w:tabs>
        <w:ind w:right="-2"/>
        <w:jc w:val="both"/>
        <w:rPr>
          <w:sz w:val="22"/>
          <w:szCs w:val="22"/>
        </w:rPr>
      </w:pPr>
    </w:p>
    <w:p w:rsidR="00C26956" w:rsidRPr="00295E71" w:rsidP="00C26956" w14:paraId="44854F18" w14:textId="77777777">
      <w:pPr>
        <w:numPr>
          <w:ilvl w:val="12"/>
          <w:numId w:val="0"/>
        </w:numPr>
        <w:tabs>
          <w:tab w:val="left" w:pos="567"/>
        </w:tabs>
        <w:ind w:right="-2"/>
        <w:jc w:val="both"/>
        <w:rPr>
          <w:sz w:val="22"/>
          <w:szCs w:val="22"/>
        </w:rPr>
      </w:pPr>
      <w:r w:rsidRPr="00295E71">
        <w:rPr>
          <w:sz w:val="22"/>
          <w:szCs w:val="22"/>
        </w:rPr>
        <w:t xml:space="preserve">Deve registrare la data in cui la siringa viene tolta dal frigorifero la prima volta e la data dopo la quale la siringa deve essere buttata via. </w:t>
      </w:r>
    </w:p>
    <w:p w:rsidR="00C26956" w:rsidRPr="00295E71" w:rsidP="00C26956" w14:paraId="4938306C" w14:textId="77777777">
      <w:pPr>
        <w:numPr>
          <w:ilvl w:val="12"/>
          <w:numId w:val="0"/>
        </w:numPr>
        <w:tabs>
          <w:tab w:val="left" w:pos="567"/>
        </w:tabs>
        <w:ind w:right="-2"/>
        <w:jc w:val="both"/>
        <w:rPr>
          <w:sz w:val="22"/>
          <w:szCs w:val="22"/>
        </w:rPr>
      </w:pPr>
    </w:p>
    <w:p w:rsidR="00C26956" w:rsidRPr="00295E71" w:rsidP="00C26956" w14:paraId="0BA67DDF" w14:textId="77777777">
      <w:pPr>
        <w:suppressAutoHyphens/>
        <w:jc w:val="both"/>
        <w:rPr>
          <w:sz w:val="22"/>
          <w:szCs w:val="22"/>
        </w:rPr>
      </w:pPr>
      <w:r w:rsidRPr="00295E71">
        <w:rPr>
          <w:sz w:val="22"/>
          <w:szCs w:val="22"/>
        </w:rPr>
        <w:t xml:space="preserve">Non getti alcun medicinale nell’acqua di scarico e nei rifiuti domestici. Chieda al medico o al farmacista come eliminare i medicinali che non utilizza più. Questo aiuterà a proteggere l’ambiente. </w:t>
      </w:r>
    </w:p>
    <w:p w:rsidR="00C26956" w:rsidRPr="00295E71" w:rsidP="00C26956" w14:paraId="0D37974D" w14:textId="77777777">
      <w:pPr>
        <w:numPr>
          <w:ilvl w:val="12"/>
          <w:numId w:val="0"/>
        </w:numPr>
        <w:tabs>
          <w:tab w:val="left" w:pos="567"/>
        </w:tabs>
        <w:ind w:right="-2"/>
        <w:jc w:val="both"/>
        <w:rPr>
          <w:sz w:val="22"/>
          <w:szCs w:val="22"/>
        </w:rPr>
      </w:pPr>
    </w:p>
    <w:p w:rsidR="00C26956" w:rsidRPr="00295E71" w:rsidP="00C26956" w14:paraId="28B41CCC" w14:textId="77777777">
      <w:pPr>
        <w:rPr>
          <w:sz w:val="22"/>
          <w:szCs w:val="22"/>
        </w:rPr>
      </w:pPr>
    </w:p>
    <w:p w:rsidR="00C26956" w:rsidRPr="00295E71" w:rsidP="00F57FE5" w14:paraId="20C17DF3" w14:textId="77777777">
      <w:pPr>
        <w:keepNext/>
        <w:keepLines/>
        <w:rPr>
          <w:b/>
          <w:bCs/>
          <w:sz w:val="22"/>
          <w:szCs w:val="22"/>
        </w:rPr>
      </w:pPr>
      <w:r w:rsidRPr="00295E71">
        <w:rPr>
          <w:b/>
          <w:bCs/>
          <w:sz w:val="22"/>
          <w:szCs w:val="22"/>
        </w:rPr>
        <w:t>6.</w:t>
      </w:r>
      <w:r w:rsidRPr="00295E71">
        <w:rPr>
          <w:b/>
          <w:bCs/>
          <w:sz w:val="22"/>
          <w:szCs w:val="22"/>
        </w:rPr>
        <w:tab/>
        <w:t>Contenuto della confezione e altre informazioni</w:t>
      </w:r>
    </w:p>
    <w:p w:rsidR="00C26956" w:rsidRPr="00295E71" w:rsidP="00F57FE5" w14:paraId="3A09A3D3" w14:textId="77777777">
      <w:pPr>
        <w:keepNext/>
        <w:keepLines/>
        <w:numPr>
          <w:ilvl w:val="12"/>
          <w:numId w:val="0"/>
        </w:numPr>
        <w:tabs>
          <w:tab w:val="left" w:pos="567"/>
        </w:tabs>
        <w:ind w:right="-2"/>
        <w:jc w:val="both"/>
        <w:rPr>
          <w:sz w:val="22"/>
          <w:szCs w:val="22"/>
        </w:rPr>
      </w:pPr>
    </w:p>
    <w:p w:rsidR="00C26956" w:rsidRPr="00295E71" w:rsidP="00F57FE5" w14:paraId="1EDEB99C" w14:textId="77777777">
      <w:pPr>
        <w:pStyle w:val="Heading8"/>
        <w:keepLines/>
        <w:tabs>
          <w:tab w:val="left" w:pos="567"/>
        </w:tabs>
        <w:jc w:val="both"/>
      </w:pPr>
      <w:r w:rsidRPr="00295E71">
        <w:t>Cosa contiene Humira</w:t>
      </w:r>
    </w:p>
    <w:p w:rsidR="00C26956" w:rsidRPr="00295E71" w:rsidP="00F57FE5" w14:paraId="618354FC" w14:textId="77777777">
      <w:pPr>
        <w:keepNext/>
        <w:keepLines/>
        <w:jc w:val="both"/>
        <w:rPr>
          <w:sz w:val="22"/>
          <w:szCs w:val="22"/>
        </w:rPr>
      </w:pPr>
    </w:p>
    <w:p w:rsidR="00C26956" w:rsidRPr="00295E71" w:rsidP="00F57FE5" w14:paraId="0660340C" w14:textId="77777777">
      <w:pPr>
        <w:keepNext/>
        <w:keepLines/>
        <w:tabs>
          <w:tab w:val="left" w:pos="567"/>
        </w:tabs>
        <w:ind w:right="-2"/>
        <w:jc w:val="both"/>
        <w:rPr>
          <w:sz w:val="22"/>
          <w:szCs w:val="22"/>
        </w:rPr>
      </w:pPr>
      <w:r w:rsidRPr="00295E71">
        <w:rPr>
          <w:sz w:val="22"/>
          <w:szCs w:val="22"/>
        </w:rPr>
        <w:t>Il principio attivo è adalimumab.</w:t>
      </w:r>
    </w:p>
    <w:p w:rsidR="00C26956" w:rsidRPr="00295E71" w:rsidP="00F57FE5" w14:paraId="33B96470" w14:textId="77777777">
      <w:pPr>
        <w:keepNext/>
        <w:keepLines/>
        <w:tabs>
          <w:tab w:val="left" w:pos="567"/>
        </w:tabs>
        <w:ind w:right="-2"/>
        <w:jc w:val="both"/>
        <w:rPr>
          <w:sz w:val="22"/>
          <w:szCs w:val="22"/>
        </w:rPr>
      </w:pPr>
      <w:r w:rsidRPr="00295E71">
        <w:rPr>
          <w:sz w:val="22"/>
          <w:szCs w:val="22"/>
        </w:rPr>
        <w:t>Gli eccipienti sono mannitolo, polisorbato 80 e acqua per preparazioni iniettabili.</w:t>
      </w:r>
    </w:p>
    <w:p w:rsidR="00C26956" w:rsidRPr="00295E71" w:rsidP="00C26956" w14:paraId="6A4ED961" w14:textId="77777777">
      <w:pPr>
        <w:numPr>
          <w:ilvl w:val="12"/>
          <w:numId w:val="0"/>
        </w:numPr>
        <w:tabs>
          <w:tab w:val="left" w:pos="567"/>
        </w:tabs>
        <w:ind w:right="-2"/>
        <w:jc w:val="both"/>
        <w:rPr>
          <w:sz w:val="22"/>
          <w:szCs w:val="22"/>
        </w:rPr>
      </w:pPr>
    </w:p>
    <w:p w:rsidR="00C26956" w:rsidRPr="00295E71" w:rsidP="00C26956" w14:paraId="6DF63D05" w14:textId="77777777">
      <w:pPr>
        <w:pStyle w:val="Heading8"/>
        <w:keepNext w:val="0"/>
        <w:tabs>
          <w:tab w:val="left" w:pos="567"/>
        </w:tabs>
        <w:jc w:val="both"/>
      </w:pPr>
      <w:r w:rsidRPr="00295E71">
        <w:t>Descrizione dell’aspetto di Humira siringa pre-riempita e contenuto della confezione</w:t>
      </w:r>
    </w:p>
    <w:p w:rsidR="00C26956" w:rsidRPr="00295E71" w:rsidP="00C26956" w14:paraId="1A8FE068" w14:textId="77777777">
      <w:pPr>
        <w:numPr>
          <w:ilvl w:val="12"/>
          <w:numId w:val="0"/>
        </w:numPr>
        <w:tabs>
          <w:tab w:val="left" w:pos="567"/>
        </w:tabs>
        <w:ind w:right="-2"/>
        <w:jc w:val="both"/>
        <w:rPr>
          <w:sz w:val="22"/>
          <w:szCs w:val="22"/>
        </w:rPr>
      </w:pPr>
    </w:p>
    <w:p w:rsidR="00C26956" w:rsidRPr="00295E71" w:rsidP="00C26956" w14:paraId="1CA0A55D" w14:textId="77777777">
      <w:pPr>
        <w:numPr>
          <w:ilvl w:val="12"/>
          <w:numId w:val="0"/>
        </w:numPr>
        <w:tabs>
          <w:tab w:val="left" w:pos="567"/>
        </w:tabs>
        <w:ind w:right="-2"/>
        <w:jc w:val="both"/>
        <w:rPr>
          <w:sz w:val="22"/>
          <w:szCs w:val="22"/>
        </w:rPr>
      </w:pPr>
      <w:r w:rsidRPr="00295E71">
        <w:rPr>
          <w:sz w:val="22"/>
          <w:szCs w:val="22"/>
        </w:rPr>
        <w:t>Humira 40 mg soluzione iniettabile in siringhe pre-riempite è fornito come soluzione sterile di 40 mg di adalimumab disciolti in 0,4 ml di soluzione.</w:t>
      </w:r>
    </w:p>
    <w:p w:rsidR="00C26956" w:rsidRPr="00295E71" w:rsidP="00C26956" w14:paraId="59F4A15F" w14:textId="77777777">
      <w:pPr>
        <w:numPr>
          <w:ilvl w:val="12"/>
          <w:numId w:val="0"/>
        </w:numPr>
        <w:tabs>
          <w:tab w:val="left" w:pos="567"/>
        </w:tabs>
        <w:ind w:right="-2"/>
        <w:jc w:val="both"/>
        <w:rPr>
          <w:sz w:val="22"/>
          <w:szCs w:val="22"/>
        </w:rPr>
      </w:pPr>
    </w:p>
    <w:p w:rsidR="00C26956" w:rsidRPr="00295E71" w:rsidP="00C26956" w14:paraId="18DFA962" w14:textId="77777777">
      <w:pPr>
        <w:numPr>
          <w:ilvl w:val="12"/>
          <w:numId w:val="0"/>
        </w:numPr>
        <w:tabs>
          <w:tab w:val="left" w:pos="567"/>
        </w:tabs>
        <w:ind w:right="-2"/>
        <w:jc w:val="both"/>
        <w:rPr>
          <w:sz w:val="22"/>
          <w:szCs w:val="22"/>
        </w:rPr>
      </w:pPr>
      <w:r w:rsidRPr="00295E71">
        <w:rPr>
          <w:sz w:val="22"/>
          <w:szCs w:val="22"/>
        </w:rPr>
        <w:t>Humira siringa pre-riempita è composta da una soluzione di adalimumab contenuta in una siringa di vetro.</w:t>
      </w:r>
    </w:p>
    <w:p w:rsidR="00C26956" w:rsidRPr="00295E71" w:rsidP="00C26956" w14:paraId="5771CF58" w14:textId="77777777">
      <w:pPr>
        <w:numPr>
          <w:ilvl w:val="12"/>
          <w:numId w:val="0"/>
        </w:numPr>
        <w:tabs>
          <w:tab w:val="left" w:pos="567"/>
        </w:tabs>
        <w:ind w:right="-2"/>
        <w:jc w:val="both"/>
        <w:rPr>
          <w:sz w:val="22"/>
          <w:szCs w:val="22"/>
        </w:rPr>
      </w:pPr>
      <w:r w:rsidRPr="00295E71">
        <w:rPr>
          <w:sz w:val="22"/>
          <w:szCs w:val="22"/>
        </w:rPr>
        <w:t xml:space="preserve">Ogni confezione contiene 1, 2, 4 o 6 siringhe pre-riempite con rispettivamente 1, 2, 4 o 6 tamponi imbevuti di alcool. </w:t>
      </w:r>
    </w:p>
    <w:p w:rsidR="00C26956" w:rsidRPr="00295E71" w:rsidP="00C26956" w14:paraId="442C4C65" w14:textId="77777777">
      <w:pPr>
        <w:numPr>
          <w:ilvl w:val="12"/>
          <w:numId w:val="0"/>
        </w:numPr>
        <w:tabs>
          <w:tab w:val="left" w:pos="567"/>
        </w:tabs>
        <w:ind w:right="-2"/>
        <w:jc w:val="both"/>
        <w:rPr>
          <w:sz w:val="22"/>
          <w:szCs w:val="22"/>
        </w:rPr>
      </w:pPr>
    </w:p>
    <w:p w:rsidR="00C26956" w:rsidRPr="00295E71" w:rsidP="00C26956" w14:paraId="727B87F8" w14:textId="77777777">
      <w:pPr>
        <w:numPr>
          <w:ilvl w:val="12"/>
          <w:numId w:val="0"/>
        </w:numPr>
        <w:tabs>
          <w:tab w:val="left" w:pos="567"/>
        </w:tabs>
        <w:ind w:right="-2"/>
        <w:jc w:val="both"/>
        <w:rPr>
          <w:sz w:val="22"/>
          <w:szCs w:val="22"/>
        </w:rPr>
      </w:pPr>
      <w:r w:rsidRPr="00295E71">
        <w:rPr>
          <w:sz w:val="22"/>
          <w:szCs w:val="22"/>
        </w:rPr>
        <w:t>È possibile che non tutte le confezioni siano commercializzate.</w:t>
      </w:r>
    </w:p>
    <w:p w:rsidR="00C26956" w:rsidRPr="00295E71" w:rsidP="00C26956" w14:paraId="081C27AA" w14:textId="77777777">
      <w:pPr>
        <w:numPr>
          <w:ilvl w:val="12"/>
          <w:numId w:val="0"/>
        </w:numPr>
        <w:tabs>
          <w:tab w:val="left" w:pos="567"/>
        </w:tabs>
        <w:ind w:right="-2"/>
        <w:jc w:val="both"/>
        <w:rPr>
          <w:sz w:val="22"/>
          <w:szCs w:val="22"/>
        </w:rPr>
      </w:pPr>
    </w:p>
    <w:p w:rsidR="00C26956" w:rsidRPr="00295E71" w:rsidP="00C26956" w14:paraId="3B2A4DE5" w14:textId="77777777">
      <w:pPr>
        <w:numPr>
          <w:ilvl w:val="12"/>
          <w:numId w:val="0"/>
        </w:numPr>
        <w:tabs>
          <w:tab w:val="left" w:pos="567"/>
        </w:tabs>
        <w:ind w:right="-2"/>
        <w:jc w:val="both"/>
        <w:rPr>
          <w:sz w:val="22"/>
          <w:szCs w:val="22"/>
        </w:rPr>
      </w:pPr>
      <w:r w:rsidRPr="00295E71">
        <w:rPr>
          <w:sz w:val="22"/>
          <w:szCs w:val="22"/>
        </w:rPr>
        <w:t>Humira può essere disponibile in flaconcino, in siringa pre-riempita e/o in penna pre-riempita.</w:t>
      </w:r>
    </w:p>
    <w:p w:rsidR="00C26956" w:rsidRPr="00295E71" w:rsidP="00C26956" w14:paraId="60FB1950" w14:textId="77777777">
      <w:pPr>
        <w:numPr>
          <w:ilvl w:val="12"/>
          <w:numId w:val="0"/>
        </w:numPr>
        <w:tabs>
          <w:tab w:val="left" w:pos="567"/>
        </w:tabs>
        <w:ind w:right="-2"/>
        <w:jc w:val="both"/>
        <w:rPr>
          <w:sz w:val="22"/>
          <w:szCs w:val="22"/>
        </w:rPr>
      </w:pPr>
    </w:p>
    <w:p w:rsidR="00C26956" w:rsidRPr="00295E71" w:rsidP="00C26956" w14:paraId="1C070B13" w14:textId="77777777">
      <w:pPr>
        <w:pStyle w:val="Heading8"/>
        <w:keepNext w:val="0"/>
        <w:tabs>
          <w:tab w:val="left" w:pos="567"/>
        </w:tabs>
        <w:jc w:val="both"/>
      </w:pPr>
      <w:r w:rsidRPr="00295E71">
        <w:t>Titolare dell’autorizzazione all’immissione in commercio</w:t>
      </w:r>
    </w:p>
    <w:p w:rsidR="00C26956" w:rsidRPr="00295E71" w:rsidP="00C26956" w14:paraId="554098CA" w14:textId="77777777">
      <w:pPr>
        <w:numPr>
          <w:ilvl w:val="12"/>
          <w:numId w:val="0"/>
        </w:numPr>
        <w:tabs>
          <w:tab w:val="left" w:pos="567"/>
        </w:tabs>
        <w:ind w:right="-2"/>
        <w:jc w:val="both"/>
        <w:rPr>
          <w:sz w:val="22"/>
          <w:szCs w:val="22"/>
        </w:rPr>
      </w:pPr>
    </w:p>
    <w:p w:rsidR="00BF3FF1" w:rsidRPr="00295E71" w:rsidP="00BF3FF1" w14:paraId="2A3262C3" w14:textId="77777777">
      <w:pPr>
        <w:tabs>
          <w:tab w:val="left" w:pos="567"/>
        </w:tabs>
        <w:jc w:val="both"/>
        <w:rPr>
          <w:sz w:val="22"/>
          <w:szCs w:val="22"/>
        </w:rPr>
      </w:pPr>
      <w:r w:rsidRPr="00295E71">
        <w:rPr>
          <w:sz w:val="22"/>
          <w:szCs w:val="22"/>
        </w:rPr>
        <w:t>AbbVie Deutschland GmbH &amp; Co. KG</w:t>
      </w:r>
    </w:p>
    <w:p w:rsidR="00BF3FF1" w:rsidRPr="00295E71" w:rsidP="00BF3FF1" w14:paraId="6A03A376" w14:textId="77777777">
      <w:pPr>
        <w:tabs>
          <w:tab w:val="left" w:pos="567"/>
        </w:tabs>
        <w:jc w:val="both"/>
        <w:rPr>
          <w:sz w:val="22"/>
          <w:szCs w:val="22"/>
        </w:rPr>
      </w:pPr>
      <w:r w:rsidRPr="00295E71">
        <w:rPr>
          <w:sz w:val="22"/>
          <w:szCs w:val="22"/>
        </w:rPr>
        <w:t>Knollstrasse</w:t>
      </w:r>
    </w:p>
    <w:p w:rsidR="00BF3FF1" w:rsidRPr="00295E71" w:rsidP="00BF3FF1" w14:paraId="28A2D0CB" w14:textId="77777777">
      <w:pPr>
        <w:tabs>
          <w:tab w:val="left" w:pos="567"/>
        </w:tabs>
        <w:jc w:val="both"/>
        <w:rPr>
          <w:sz w:val="22"/>
          <w:szCs w:val="22"/>
        </w:rPr>
      </w:pPr>
      <w:r w:rsidRPr="00295E71">
        <w:rPr>
          <w:sz w:val="22"/>
          <w:szCs w:val="22"/>
        </w:rPr>
        <w:t>67061 Ludwigshafen</w:t>
      </w:r>
    </w:p>
    <w:p w:rsidR="00BF3FF1" w:rsidRPr="00295E71" w:rsidP="00BF3FF1" w14:paraId="0930B6F1" w14:textId="77777777">
      <w:pPr>
        <w:tabs>
          <w:tab w:val="left" w:pos="567"/>
        </w:tabs>
        <w:jc w:val="both"/>
        <w:rPr>
          <w:sz w:val="22"/>
          <w:szCs w:val="22"/>
        </w:rPr>
      </w:pPr>
      <w:r w:rsidRPr="00295E71">
        <w:rPr>
          <w:sz w:val="22"/>
          <w:szCs w:val="22"/>
        </w:rPr>
        <w:t>Germania</w:t>
      </w:r>
    </w:p>
    <w:p w:rsidR="00C26956" w:rsidRPr="00295E71" w:rsidP="00C26956" w14:paraId="2CE7020F" w14:textId="77777777">
      <w:pPr>
        <w:numPr>
          <w:ilvl w:val="12"/>
          <w:numId w:val="0"/>
        </w:numPr>
        <w:tabs>
          <w:tab w:val="left" w:pos="567"/>
        </w:tabs>
        <w:ind w:right="-2"/>
        <w:jc w:val="both"/>
        <w:rPr>
          <w:sz w:val="22"/>
          <w:szCs w:val="22"/>
        </w:rPr>
      </w:pPr>
    </w:p>
    <w:p w:rsidR="00C26956" w:rsidRPr="00295E71" w:rsidP="00986889" w14:paraId="3546D05E" w14:textId="77777777">
      <w:pPr>
        <w:pStyle w:val="Heading8"/>
        <w:tabs>
          <w:tab w:val="left" w:pos="567"/>
        </w:tabs>
        <w:jc w:val="both"/>
      </w:pPr>
      <w:r w:rsidRPr="00295E71">
        <w:t>Produttore</w:t>
      </w:r>
    </w:p>
    <w:p w:rsidR="00C26956" w:rsidRPr="00295E71" w:rsidP="00986889" w14:paraId="78B47498" w14:textId="77777777">
      <w:pPr>
        <w:keepNext/>
        <w:numPr>
          <w:ilvl w:val="12"/>
          <w:numId w:val="0"/>
        </w:numPr>
        <w:tabs>
          <w:tab w:val="left" w:pos="567"/>
        </w:tabs>
        <w:ind w:right="-2"/>
        <w:jc w:val="both"/>
        <w:rPr>
          <w:sz w:val="22"/>
          <w:szCs w:val="22"/>
        </w:rPr>
      </w:pPr>
    </w:p>
    <w:p w:rsidR="00C26956" w:rsidRPr="00295E71" w:rsidP="00986889" w14:paraId="3DE9F23D" w14:textId="77777777">
      <w:pPr>
        <w:keepNext/>
        <w:rPr>
          <w:sz w:val="22"/>
          <w:szCs w:val="22"/>
        </w:rPr>
      </w:pPr>
      <w:r w:rsidRPr="00295E71">
        <w:rPr>
          <w:sz w:val="22"/>
          <w:szCs w:val="22"/>
        </w:rPr>
        <w:t>AbbVie Biotechnology GmbH</w:t>
      </w:r>
    </w:p>
    <w:p w:rsidR="00C26956" w:rsidRPr="00295E71" w:rsidP="00C26956" w14:paraId="52FEF449" w14:textId="77777777">
      <w:pPr>
        <w:numPr>
          <w:ilvl w:val="12"/>
          <w:numId w:val="0"/>
        </w:numPr>
        <w:tabs>
          <w:tab w:val="left" w:pos="720"/>
        </w:tabs>
        <w:rPr>
          <w:sz w:val="22"/>
          <w:szCs w:val="22"/>
        </w:rPr>
      </w:pPr>
      <w:r w:rsidRPr="00295E71">
        <w:rPr>
          <w:sz w:val="22"/>
          <w:szCs w:val="22"/>
        </w:rPr>
        <w:t>Knollstrasse</w:t>
      </w:r>
    </w:p>
    <w:p w:rsidR="00C26956" w:rsidRPr="00295E71" w:rsidP="00C26956" w14:paraId="19EE8477" w14:textId="77777777">
      <w:pPr>
        <w:numPr>
          <w:ilvl w:val="12"/>
          <w:numId w:val="0"/>
        </w:numPr>
        <w:tabs>
          <w:tab w:val="left" w:pos="720"/>
        </w:tabs>
        <w:rPr>
          <w:sz w:val="22"/>
          <w:szCs w:val="22"/>
        </w:rPr>
      </w:pPr>
      <w:r w:rsidRPr="00295E71">
        <w:rPr>
          <w:sz w:val="22"/>
          <w:szCs w:val="22"/>
        </w:rPr>
        <w:t>67061 Ludwigshafen</w:t>
      </w:r>
    </w:p>
    <w:p w:rsidR="00C26956" w:rsidRPr="00295E71" w:rsidP="00C26956" w14:paraId="6E5C8AF1" w14:textId="77777777">
      <w:pPr>
        <w:numPr>
          <w:ilvl w:val="12"/>
          <w:numId w:val="0"/>
        </w:numPr>
        <w:tabs>
          <w:tab w:val="left" w:pos="720"/>
        </w:tabs>
        <w:rPr>
          <w:sz w:val="22"/>
          <w:szCs w:val="22"/>
        </w:rPr>
      </w:pPr>
      <w:r w:rsidRPr="00295E71">
        <w:rPr>
          <w:sz w:val="22"/>
          <w:szCs w:val="22"/>
        </w:rPr>
        <w:t>Germania</w:t>
      </w:r>
    </w:p>
    <w:p w:rsidR="00C26956" w:rsidRPr="00295E71" w:rsidP="00C26956" w14:paraId="6F4B24DA" w14:textId="77777777">
      <w:pPr>
        <w:numPr>
          <w:ilvl w:val="12"/>
          <w:numId w:val="0"/>
        </w:numPr>
        <w:tabs>
          <w:tab w:val="left" w:pos="567"/>
        </w:tabs>
        <w:ind w:right="-2"/>
        <w:jc w:val="both"/>
        <w:rPr>
          <w:sz w:val="22"/>
          <w:szCs w:val="22"/>
        </w:rPr>
      </w:pPr>
    </w:p>
    <w:p w:rsidR="00C26956" w:rsidRPr="00295E71" w:rsidP="00C26956" w14:paraId="30D1AF37" w14:textId="77777777">
      <w:pPr>
        <w:numPr>
          <w:ilvl w:val="12"/>
          <w:numId w:val="0"/>
        </w:numPr>
        <w:tabs>
          <w:tab w:val="left" w:pos="567"/>
        </w:tabs>
        <w:ind w:right="-2"/>
        <w:jc w:val="both"/>
        <w:rPr>
          <w:sz w:val="22"/>
          <w:szCs w:val="22"/>
        </w:rPr>
      </w:pPr>
      <w:r w:rsidRPr="00295E71">
        <w:rPr>
          <w:sz w:val="22"/>
          <w:szCs w:val="22"/>
        </w:rPr>
        <w:t>Per ulteriori informazioni su questo medicinale, contatti il rappresentante locale del titolare dell’autorizzazione all’immissione in commercio:</w:t>
      </w:r>
    </w:p>
    <w:p w:rsidR="00C26956" w:rsidRPr="00295E71" w:rsidP="00C26956" w14:paraId="773B99BC" w14:textId="77777777">
      <w:pPr>
        <w:rPr>
          <w:sz w:val="22"/>
          <w:szCs w:val="22"/>
          <w:lang w:eastAsia="en-US"/>
        </w:rPr>
      </w:pPr>
    </w:p>
    <w:tbl>
      <w:tblPr>
        <w:tblW w:w="9356" w:type="dxa"/>
        <w:tblInd w:w="-34" w:type="dxa"/>
        <w:tblLayout w:type="fixed"/>
        <w:tblLook w:val="0000"/>
      </w:tblPr>
      <w:tblGrid>
        <w:gridCol w:w="34"/>
        <w:gridCol w:w="4610"/>
        <w:gridCol w:w="34"/>
        <w:gridCol w:w="4678"/>
      </w:tblGrid>
      <w:tr w14:paraId="5A6D891A" w14:textId="77777777" w:rsidTr="001F79B0">
        <w:tblPrEx>
          <w:tblW w:w="9356" w:type="dxa"/>
          <w:tblInd w:w="-34" w:type="dxa"/>
          <w:tblLayout w:type="fixed"/>
          <w:tblLook w:val="0000"/>
        </w:tblPrEx>
        <w:tc>
          <w:tcPr>
            <w:tcW w:w="4644" w:type="dxa"/>
            <w:gridSpan w:val="2"/>
          </w:tcPr>
          <w:p w:rsidR="00235869" w:rsidRPr="00BD646C" w:rsidP="001F79B0" w14:paraId="4485A972" w14:textId="77777777">
            <w:pPr>
              <w:rPr>
                <w:b/>
                <w:bCs/>
                <w:sz w:val="22"/>
                <w:szCs w:val="22"/>
                <w:lang w:val="fr-BE"/>
              </w:rPr>
            </w:pPr>
            <w:r w:rsidRPr="00BD646C">
              <w:rPr>
                <w:b/>
                <w:bCs/>
                <w:sz w:val="22"/>
                <w:szCs w:val="22"/>
                <w:lang w:val="fr-BE"/>
              </w:rPr>
              <w:t>België</w:t>
            </w:r>
            <w:r w:rsidRPr="00BD646C">
              <w:rPr>
                <w:b/>
                <w:bCs/>
                <w:sz w:val="22"/>
                <w:szCs w:val="22"/>
                <w:lang w:val="fr-BE"/>
              </w:rPr>
              <w:t>/Belgique/</w:t>
            </w:r>
            <w:r w:rsidRPr="00BD646C">
              <w:rPr>
                <w:b/>
                <w:bCs/>
                <w:sz w:val="22"/>
                <w:szCs w:val="22"/>
                <w:lang w:val="fr-BE"/>
              </w:rPr>
              <w:t>Belgien</w:t>
            </w:r>
          </w:p>
          <w:p w:rsidR="00235869" w:rsidRPr="00BD646C" w:rsidP="001F79B0" w14:paraId="56C266D6" w14:textId="77777777">
            <w:pPr>
              <w:rPr>
                <w:bCs/>
                <w:sz w:val="22"/>
                <w:szCs w:val="22"/>
                <w:lang w:val="fr-FR"/>
              </w:rPr>
            </w:pPr>
            <w:r w:rsidRPr="00BD646C">
              <w:rPr>
                <w:bCs/>
                <w:sz w:val="22"/>
                <w:szCs w:val="22"/>
                <w:lang w:val="fr-FR"/>
              </w:rPr>
              <w:t>AbbVie SA</w:t>
            </w:r>
          </w:p>
          <w:p w:rsidR="00235869" w:rsidRPr="00BD646C" w:rsidP="001F79B0" w14:paraId="7AEFF336" w14:textId="77777777">
            <w:pPr>
              <w:rPr>
                <w:sz w:val="22"/>
                <w:szCs w:val="22"/>
                <w:lang w:val="fr-FR"/>
              </w:rPr>
            </w:pPr>
            <w:r w:rsidRPr="00BD646C">
              <w:rPr>
                <w:bCs/>
                <w:sz w:val="22"/>
                <w:szCs w:val="22"/>
                <w:lang w:val="fr-FR"/>
              </w:rPr>
              <w:t>Tél/</w:t>
            </w:r>
            <w:r w:rsidRPr="00BD646C">
              <w:rPr>
                <w:bCs/>
                <w:sz w:val="22"/>
                <w:szCs w:val="22"/>
                <w:lang w:val="fr-FR"/>
              </w:rPr>
              <w:t>Tel:</w:t>
            </w:r>
            <w:r w:rsidRPr="00BD646C">
              <w:rPr>
                <w:bCs/>
                <w:sz w:val="22"/>
                <w:szCs w:val="22"/>
                <w:lang w:val="fr-FR"/>
              </w:rPr>
              <w:t xml:space="preserve"> +32 10 </w:t>
            </w:r>
            <w:r w:rsidRPr="00BD646C">
              <w:rPr>
                <w:sz w:val="22"/>
                <w:szCs w:val="22"/>
                <w:lang w:val="fr-FR"/>
              </w:rPr>
              <w:t>477811</w:t>
            </w:r>
          </w:p>
          <w:p w:rsidR="00235869" w:rsidRPr="00BD646C" w:rsidP="001F79B0" w14:paraId="625245CB" w14:textId="77777777">
            <w:pPr>
              <w:rPr>
                <w:bCs/>
                <w:sz w:val="22"/>
                <w:szCs w:val="22"/>
                <w:lang w:val="fr-FR"/>
              </w:rPr>
            </w:pPr>
          </w:p>
        </w:tc>
        <w:tc>
          <w:tcPr>
            <w:tcW w:w="4678" w:type="dxa"/>
            <w:gridSpan w:val="2"/>
          </w:tcPr>
          <w:p w:rsidR="00235869" w:rsidRPr="00BD646C" w:rsidP="001F79B0" w14:paraId="094C5B3C" w14:textId="77777777">
            <w:pPr>
              <w:rPr>
                <w:b/>
                <w:bCs/>
                <w:sz w:val="22"/>
                <w:szCs w:val="22"/>
                <w:lang w:val="lt-LT"/>
              </w:rPr>
            </w:pPr>
            <w:r w:rsidRPr="00BD646C">
              <w:rPr>
                <w:b/>
                <w:bCs/>
                <w:sz w:val="22"/>
                <w:szCs w:val="22"/>
                <w:lang w:val="lt-LT"/>
              </w:rPr>
              <w:t>Lietuva</w:t>
            </w:r>
          </w:p>
          <w:p w:rsidR="00235869" w:rsidRPr="00BD646C" w:rsidP="001F79B0" w14:paraId="5154C225" w14:textId="77777777">
            <w:pPr>
              <w:rPr>
                <w:bCs/>
                <w:sz w:val="22"/>
                <w:szCs w:val="22"/>
                <w:lang w:val="lv-LV"/>
              </w:rPr>
            </w:pPr>
            <w:r w:rsidRPr="00BD646C">
              <w:rPr>
                <w:bCs/>
                <w:sz w:val="22"/>
                <w:szCs w:val="22"/>
                <w:lang w:val="lv-LV"/>
              </w:rPr>
              <w:t xml:space="preserve">AbbVie UAB </w:t>
            </w:r>
          </w:p>
          <w:p w:rsidR="00235869" w:rsidRPr="00BD646C" w:rsidP="001F79B0" w14:paraId="3BA8EBDE" w14:textId="77777777">
            <w:pPr>
              <w:rPr>
                <w:bCs/>
                <w:sz w:val="22"/>
                <w:szCs w:val="22"/>
                <w:lang w:val="lv-LV"/>
              </w:rPr>
            </w:pPr>
            <w:r w:rsidRPr="00BD646C">
              <w:rPr>
                <w:bCs/>
                <w:sz w:val="22"/>
                <w:szCs w:val="22"/>
                <w:lang w:val="lv-LV"/>
              </w:rPr>
              <w:t>Tel: +370 5 205 3023</w:t>
            </w:r>
          </w:p>
        </w:tc>
      </w:tr>
      <w:tr w14:paraId="620C2F39" w14:textId="77777777" w:rsidTr="001F79B0">
        <w:tblPrEx>
          <w:tblW w:w="9356" w:type="dxa"/>
          <w:tblInd w:w="-34" w:type="dxa"/>
          <w:tblLayout w:type="fixed"/>
          <w:tblLook w:val="0000"/>
        </w:tblPrEx>
        <w:tc>
          <w:tcPr>
            <w:tcW w:w="4644" w:type="dxa"/>
            <w:gridSpan w:val="2"/>
          </w:tcPr>
          <w:p w:rsidR="00235869" w:rsidRPr="00BD646C" w:rsidP="001F79B0" w14:paraId="3731820A" w14:textId="77777777">
            <w:pPr>
              <w:rPr>
                <w:b/>
                <w:bCs/>
                <w:sz w:val="22"/>
                <w:szCs w:val="22"/>
                <w:lang w:val="bg-BG"/>
              </w:rPr>
            </w:pPr>
            <w:r w:rsidRPr="00BD646C">
              <w:rPr>
                <w:b/>
                <w:bCs/>
                <w:sz w:val="22"/>
                <w:szCs w:val="22"/>
                <w:lang w:val="bg-BG"/>
              </w:rPr>
              <w:t>България</w:t>
            </w:r>
          </w:p>
          <w:p w:rsidR="00235869" w:rsidRPr="00BD646C" w:rsidP="001F79B0" w14:paraId="01567A13" w14:textId="77777777">
            <w:pPr>
              <w:rPr>
                <w:sz w:val="22"/>
                <w:szCs w:val="22"/>
                <w:lang w:val="da-DK"/>
              </w:rPr>
            </w:pPr>
            <w:r w:rsidRPr="00BD646C">
              <w:rPr>
                <w:sz w:val="22"/>
                <w:szCs w:val="22"/>
                <w:lang w:val="sk-SK"/>
              </w:rPr>
              <w:t>АбВи ЕООД</w:t>
            </w:r>
          </w:p>
          <w:p w:rsidR="00235869" w:rsidRPr="00BD646C" w:rsidP="001F79B0" w14:paraId="6D95E678" w14:textId="77777777">
            <w:pPr>
              <w:rPr>
                <w:bCs/>
                <w:sz w:val="22"/>
                <w:szCs w:val="22"/>
                <w:lang w:val="da-DK"/>
              </w:rPr>
            </w:pPr>
            <w:r w:rsidRPr="00BD646C">
              <w:rPr>
                <w:sz w:val="22"/>
                <w:szCs w:val="22"/>
                <w:lang w:val="sk-SK"/>
              </w:rPr>
              <w:t>Тел</w:t>
            </w:r>
            <w:r w:rsidRPr="00BD646C">
              <w:rPr>
                <w:sz w:val="22"/>
                <w:szCs w:val="22"/>
              </w:rPr>
              <w:t>.:+359 2 90 30 430</w:t>
            </w:r>
          </w:p>
        </w:tc>
        <w:tc>
          <w:tcPr>
            <w:tcW w:w="4678" w:type="dxa"/>
            <w:gridSpan w:val="2"/>
          </w:tcPr>
          <w:p w:rsidR="00235869" w:rsidRPr="00BD646C" w:rsidP="001F79B0" w14:paraId="2AB772F2" w14:textId="77777777">
            <w:pPr>
              <w:rPr>
                <w:b/>
                <w:bCs/>
                <w:sz w:val="22"/>
                <w:szCs w:val="22"/>
                <w:lang w:val="de-DE"/>
              </w:rPr>
            </w:pPr>
            <w:r w:rsidRPr="00BD646C">
              <w:rPr>
                <w:b/>
                <w:bCs/>
                <w:sz w:val="22"/>
                <w:szCs w:val="22"/>
                <w:lang w:val="de-DE"/>
              </w:rPr>
              <w:t>Luxembourg/Luxemburg</w:t>
            </w:r>
          </w:p>
          <w:p w:rsidR="00235869" w:rsidRPr="00BD646C" w:rsidP="001F79B0" w14:paraId="5AC17BC3" w14:textId="77777777">
            <w:pPr>
              <w:rPr>
                <w:bCs/>
                <w:sz w:val="22"/>
                <w:szCs w:val="22"/>
                <w:lang w:val="de-DE"/>
              </w:rPr>
            </w:pPr>
            <w:r w:rsidRPr="00BD646C">
              <w:rPr>
                <w:bCs/>
                <w:sz w:val="22"/>
                <w:szCs w:val="22"/>
                <w:lang w:val="de-DE"/>
              </w:rPr>
              <w:t>AbbVie SA</w:t>
            </w:r>
          </w:p>
          <w:p w:rsidR="00235869" w:rsidRPr="00BD646C" w:rsidP="001F79B0" w14:paraId="4BB5DD7A" w14:textId="77777777">
            <w:pPr>
              <w:rPr>
                <w:bCs/>
                <w:sz w:val="22"/>
                <w:szCs w:val="22"/>
                <w:lang w:val="de-DE"/>
              </w:rPr>
            </w:pPr>
            <w:r w:rsidRPr="00BD646C">
              <w:rPr>
                <w:bCs/>
                <w:sz w:val="22"/>
                <w:szCs w:val="22"/>
                <w:lang w:val="de-DE"/>
              </w:rPr>
              <w:t>Belgique/Belgien</w:t>
            </w:r>
          </w:p>
          <w:p w:rsidR="00235869" w:rsidRPr="00BD646C" w:rsidP="001F79B0" w14:paraId="1AFE71E8" w14:textId="77777777">
            <w:pPr>
              <w:rPr>
                <w:bCs/>
                <w:sz w:val="22"/>
                <w:szCs w:val="22"/>
                <w:lang w:val="fr-FR"/>
              </w:rPr>
            </w:pPr>
            <w:r w:rsidRPr="00BD646C">
              <w:rPr>
                <w:bCs/>
                <w:sz w:val="22"/>
                <w:szCs w:val="22"/>
                <w:lang w:val="fr-FR"/>
              </w:rPr>
              <w:t>Tél/</w:t>
            </w:r>
            <w:r w:rsidRPr="00BD646C">
              <w:rPr>
                <w:bCs/>
                <w:sz w:val="22"/>
                <w:szCs w:val="22"/>
                <w:lang w:val="fr-FR"/>
              </w:rPr>
              <w:t>Tel:</w:t>
            </w:r>
            <w:r w:rsidRPr="00BD646C">
              <w:rPr>
                <w:bCs/>
                <w:sz w:val="22"/>
                <w:szCs w:val="22"/>
                <w:lang w:val="fr-FR"/>
              </w:rPr>
              <w:t xml:space="preserve"> +32 10 477811</w:t>
            </w:r>
          </w:p>
          <w:p w:rsidR="00235869" w:rsidRPr="00BD646C" w:rsidP="001F79B0" w14:paraId="2E6489EE" w14:textId="77777777">
            <w:pPr>
              <w:rPr>
                <w:bCs/>
                <w:sz w:val="22"/>
                <w:szCs w:val="22"/>
                <w:lang w:val="fr-FR"/>
              </w:rPr>
            </w:pPr>
          </w:p>
        </w:tc>
      </w:tr>
      <w:tr w14:paraId="261A7435" w14:textId="77777777" w:rsidTr="001F79B0">
        <w:tblPrEx>
          <w:tblW w:w="9356" w:type="dxa"/>
          <w:tblInd w:w="-34" w:type="dxa"/>
          <w:tblLayout w:type="fixed"/>
          <w:tblLook w:val="0000"/>
        </w:tblPrEx>
        <w:tc>
          <w:tcPr>
            <w:tcW w:w="4644" w:type="dxa"/>
            <w:gridSpan w:val="2"/>
          </w:tcPr>
          <w:p w:rsidR="00235869" w:rsidRPr="00BD646C" w:rsidP="001F79B0" w14:paraId="087C8DA7" w14:textId="77777777">
            <w:pPr>
              <w:rPr>
                <w:b/>
                <w:bCs/>
                <w:sz w:val="22"/>
                <w:szCs w:val="22"/>
                <w:lang w:val="sk-SK"/>
              </w:rPr>
            </w:pPr>
            <w:r w:rsidRPr="00BD646C">
              <w:rPr>
                <w:b/>
                <w:bCs/>
                <w:sz w:val="22"/>
                <w:szCs w:val="22"/>
                <w:lang w:val="sk-SK"/>
              </w:rPr>
              <w:t>Česká republika</w:t>
            </w:r>
          </w:p>
          <w:p w:rsidR="00235869" w:rsidRPr="00BD646C" w:rsidP="001F79B0" w14:paraId="2D530162" w14:textId="77777777">
            <w:pPr>
              <w:rPr>
                <w:bCs/>
                <w:sz w:val="22"/>
                <w:szCs w:val="22"/>
                <w:lang w:val="sk-SK"/>
              </w:rPr>
            </w:pPr>
            <w:r w:rsidRPr="00BD646C">
              <w:rPr>
                <w:bCs/>
                <w:sz w:val="22"/>
                <w:szCs w:val="22"/>
                <w:lang w:val="sk-SK"/>
              </w:rPr>
              <w:t xml:space="preserve">AbbVie s.r.o. </w:t>
            </w:r>
          </w:p>
          <w:p w:rsidR="00235869" w:rsidRPr="00BD646C" w:rsidP="001F79B0" w14:paraId="6468CB8A" w14:textId="77777777">
            <w:pPr>
              <w:rPr>
                <w:bCs/>
                <w:sz w:val="22"/>
                <w:szCs w:val="22"/>
                <w:lang w:val="sk-SK"/>
              </w:rPr>
            </w:pPr>
            <w:r w:rsidRPr="00BD646C">
              <w:rPr>
                <w:bCs/>
                <w:sz w:val="22"/>
                <w:szCs w:val="22"/>
                <w:lang w:val="sk-SK"/>
              </w:rPr>
              <w:t>Tel: +420 233 098 111</w:t>
            </w:r>
          </w:p>
        </w:tc>
        <w:tc>
          <w:tcPr>
            <w:tcW w:w="4678" w:type="dxa"/>
            <w:gridSpan w:val="2"/>
          </w:tcPr>
          <w:p w:rsidR="00235869" w:rsidRPr="00BD646C" w:rsidP="001F79B0" w14:paraId="23555D27" w14:textId="77777777">
            <w:pPr>
              <w:rPr>
                <w:b/>
                <w:bCs/>
                <w:sz w:val="22"/>
                <w:szCs w:val="22"/>
                <w:lang w:val="hu-HU"/>
              </w:rPr>
            </w:pPr>
            <w:r w:rsidRPr="00BD646C">
              <w:rPr>
                <w:b/>
                <w:bCs/>
                <w:sz w:val="22"/>
                <w:szCs w:val="22"/>
                <w:lang w:val="hu-HU"/>
              </w:rPr>
              <w:t>Magyarország</w:t>
            </w:r>
          </w:p>
          <w:p w:rsidR="00235869" w:rsidRPr="00BD646C" w:rsidP="001F79B0" w14:paraId="1CE369DA" w14:textId="77777777">
            <w:pPr>
              <w:rPr>
                <w:bCs/>
                <w:sz w:val="22"/>
                <w:szCs w:val="22"/>
                <w:lang w:val="hu-HU"/>
              </w:rPr>
            </w:pPr>
            <w:r w:rsidRPr="00BD646C">
              <w:rPr>
                <w:bCs/>
                <w:sz w:val="22"/>
                <w:szCs w:val="22"/>
                <w:lang w:val="hu-HU"/>
              </w:rPr>
              <w:t>AbbVie Kft.</w:t>
            </w:r>
          </w:p>
          <w:p w:rsidR="00235869" w:rsidRPr="00BD646C" w:rsidP="001F79B0" w14:paraId="5B608B03" w14:textId="77777777">
            <w:pPr>
              <w:rPr>
                <w:bCs/>
                <w:sz w:val="22"/>
                <w:szCs w:val="22"/>
                <w:lang w:val="hu-HU"/>
              </w:rPr>
            </w:pPr>
            <w:r w:rsidRPr="00BD646C">
              <w:rPr>
                <w:bCs/>
                <w:sz w:val="22"/>
                <w:szCs w:val="22"/>
                <w:lang w:val="hu-HU"/>
              </w:rPr>
              <w:t>Tel.:+36 1 455 8600</w:t>
            </w:r>
          </w:p>
          <w:p w:rsidR="00235869" w:rsidRPr="00BD646C" w:rsidP="001F79B0" w14:paraId="21C1E27C" w14:textId="77777777">
            <w:pPr>
              <w:rPr>
                <w:bCs/>
                <w:sz w:val="22"/>
                <w:szCs w:val="22"/>
                <w:lang w:val="hu-HU"/>
              </w:rPr>
            </w:pPr>
          </w:p>
        </w:tc>
      </w:tr>
      <w:tr w14:paraId="17FDA2FD" w14:textId="77777777" w:rsidTr="001F79B0">
        <w:tblPrEx>
          <w:tblW w:w="9356" w:type="dxa"/>
          <w:tblInd w:w="-34" w:type="dxa"/>
          <w:tblLayout w:type="fixed"/>
          <w:tblLook w:val="0000"/>
        </w:tblPrEx>
        <w:trPr>
          <w:trHeight w:val="737"/>
        </w:trPr>
        <w:tc>
          <w:tcPr>
            <w:tcW w:w="4644" w:type="dxa"/>
            <w:gridSpan w:val="2"/>
          </w:tcPr>
          <w:p w:rsidR="00235869" w:rsidRPr="00BD646C" w:rsidP="001F79B0" w14:paraId="5FE8E1D4" w14:textId="77777777">
            <w:pPr>
              <w:rPr>
                <w:b/>
                <w:bCs/>
                <w:sz w:val="22"/>
                <w:szCs w:val="22"/>
                <w:lang w:val="en-US"/>
              </w:rPr>
            </w:pPr>
            <w:r w:rsidRPr="00BD646C">
              <w:rPr>
                <w:b/>
                <w:bCs/>
                <w:sz w:val="22"/>
                <w:szCs w:val="22"/>
                <w:lang w:val="en-US"/>
              </w:rPr>
              <w:t>Danmark</w:t>
            </w:r>
          </w:p>
          <w:p w:rsidR="00235869" w:rsidRPr="00BD646C" w:rsidP="001F79B0" w14:paraId="042C7449" w14:textId="77777777">
            <w:pPr>
              <w:rPr>
                <w:bCs/>
                <w:sz w:val="22"/>
                <w:szCs w:val="22"/>
                <w:lang w:val="en-US"/>
              </w:rPr>
            </w:pPr>
            <w:r w:rsidRPr="00BD646C">
              <w:rPr>
                <w:bCs/>
                <w:sz w:val="22"/>
                <w:szCs w:val="22"/>
                <w:lang w:val="en-US"/>
              </w:rPr>
              <w:t>AbbVie A/S</w:t>
            </w:r>
          </w:p>
          <w:p w:rsidR="00235869" w:rsidRPr="00BD646C" w:rsidP="001F79B0" w14:paraId="3875C812" w14:textId="77777777">
            <w:pPr>
              <w:rPr>
                <w:bCs/>
                <w:sz w:val="22"/>
                <w:szCs w:val="22"/>
                <w:lang w:val="sk-SK"/>
              </w:rPr>
            </w:pPr>
            <w:r w:rsidRPr="00BD646C">
              <w:rPr>
                <w:bCs/>
                <w:sz w:val="22"/>
                <w:szCs w:val="22"/>
                <w:lang w:val="en-US"/>
              </w:rPr>
              <w:t>Tlf</w:t>
            </w:r>
            <w:ins w:id="19976" w:author="AbbVie14" w:date="2025-05-09T11:16:00Z">
              <w:r w:rsidR="00703B41">
                <w:rPr>
                  <w:bCs/>
                  <w:sz w:val="22"/>
                  <w:szCs w:val="22"/>
                  <w:lang w:val="en-US"/>
                </w:rPr>
                <w:t>.</w:t>
              </w:r>
            </w:ins>
            <w:r w:rsidRPr="00BD646C">
              <w:rPr>
                <w:bCs/>
                <w:sz w:val="22"/>
                <w:szCs w:val="22"/>
                <w:lang w:val="en-US"/>
              </w:rPr>
              <w:t>: +45 72 30-20-28</w:t>
            </w:r>
          </w:p>
        </w:tc>
        <w:tc>
          <w:tcPr>
            <w:tcW w:w="4678" w:type="dxa"/>
            <w:gridSpan w:val="2"/>
          </w:tcPr>
          <w:p w:rsidR="00235869" w:rsidRPr="00BD646C" w:rsidP="001F79B0" w14:paraId="1989332F" w14:textId="77777777">
            <w:pPr>
              <w:rPr>
                <w:b/>
                <w:bCs/>
                <w:sz w:val="22"/>
                <w:szCs w:val="22"/>
                <w:lang w:val="mt-MT"/>
              </w:rPr>
            </w:pPr>
            <w:r w:rsidRPr="00BD646C">
              <w:rPr>
                <w:b/>
                <w:bCs/>
                <w:sz w:val="22"/>
                <w:szCs w:val="22"/>
                <w:lang w:val="mt-MT"/>
              </w:rPr>
              <w:t>Malta</w:t>
            </w:r>
          </w:p>
          <w:p w:rsidR="00235869" w:rsidRPr="00BD646C" w:rsidP="001F79B0" w14:paraId="3F7D40FB" w14:textId="77777777">
            <w:pPr>
              <w:rPr>
                <w:bCs/>
                <w:sz w:val="22"/>
                <w:szCs w:val="22"/>
                <w:lang w:val="sk-SK"/>
              </w:rPr>
            </w:pPr>
            <w:r w:rsidRPr="00BD646C">
              <w:rPr>
                <w:bCs/>
                <w:sz w:val="22"/>
                <w:szCs w:val="22"/>
                <w:lang w:val="sk-SK"/>
              </w:rPr>
              <w:t xml:space="preserve">V.J.Salomone Pharma Limited </w:t>
            </w:r>
          </w:p>
          <w:p w:rsidR="00235869" w:rsidRPr="00BD646C" w:rsidP="001F79B0" w14:paraId="4332ABC9" w14:textId="77777777">
            <w:pPr>
              <w:rPr>
                <w:bCs/>
                <w:sz w:val="22"/>
                <w:szCs w:val="22"/>
                <w:lang w:val="sk-SK"/>
              </w:rPr>
            </w:pPr>
            <w:r w:rsidRPr="00BD646C">
              <w:rPr>
                <w:bCs/>
                <w:sz w:val="22"/>
                <w:szCs w:val="22"/>
                <w:lang w:val="sk-SK"/>
              </w:rPr>
              <w:t xml:space="preserve">Tel: </w:t>
            </w:r>
            <w:r w:rsidRPr="00455317">
              <w:rPr>
                <w:bCs/>
                <w:sz w:val="22"/>
                <w:szCs w:val="22"/>
                <w:lang w:val="en-GB"/>
              </w:rPr>
              <w:t>+356 21220174</w:t>
            </w:r>
          </w:p>
          <w:p w:rsidR="00235869" w:rsidRPr="00BD646C" w:rsidP="001F79B0" w14:paraId="09F50641" w14:textId="77777777">
            <w:pPr>
              <w:rPr>
                <w:bCs/>
                <w:sz w:val="22"/>
                <w:szCs w:val="22"/>
                <w:lang w:val="sk-SK"/>
              </w:rPr>
            </w:pPr>
          </w:p>
        </w:tc>
      </w:tr>
      <w:tr w14:paraId="3C0EAC15" w14:textId="77777777" w:rsidTr="001F79B0">
        <w:tblPrEx>
          <w:tblW w:w="9356" w:type="dxa"/>
          <w:tblInd w:w="-34" w:type="dxa"/>
          <w:tblLayout w:type="fixed"/>
          <w:tblLook w:val="0000"/>
        </w:tblPrEx>
        <w:tc>
          <w:tcPr>
            <w:tcW w:w="4644" w:type="dxa"/>
            <w:gridSpan w:val="2"/>
          </w:tcPr>
          <w:p w:rsidR="00235869" w:rsidRPr="00BD646C" w:rsidP="001F79B0" w14:paraId="7862804D" w14:textId="77777777">
            <w:pPr>
              <w:rPr>
                <w:b/>
                <w:bCs/>
                <w:sz w:val="22"/>
                <w:szCs w:val="22"/>
                <w:lang w:val="de-DE"/>
              </w:rPr>
            </w:pPr>
            <w:r w:rsidRPr="00BD646C">
              <w:rPr>
                <w:b/>
                <w:bCs/>
                <w:sz w:val="22"/>
                <w:szCs w:val="22"/>
                <w:lang w:val="de-DE"/>
              </w:rPr>
              <w:t>Deutschland</w:t>
            </w:r>
          </w:p>
          <w:p w:rsidR="00235869" w:rsidRPr="00BD646C" w:rsidP="001F79B0" w14:paraId="75E0F33E" w14:textId="77777777">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rsidR="00235869" w:rsidRPr="00BD646C" w:rsidP="001F79B0" w14:paraId="51E099AB" w14:textId="77777777">
            <w:pPr>
              <w:rPr>
                <w:sz w:val="22"/>
                <w:szCs w:val="22"/>
                <w:lang w:val="de-DE"/>
              </w:rPr>
            </w:pPr>
            <w:r w:rsidRPr="00BD646C">
              <w:rPr>
                <w:sz w:val="22"/>
                <w:szCs w:val="22"/>
                <w:lang w:val="de-DE"/>
              </w:rPr>
              <w:t>Tel: 00800 222843 33 (gebührenfrei)</w:t>
            </w:r>
          </w:p>
          <w:p w:rsidR="00235869" w:rsidRPr="00BD646C" w:rsidP="001F79B0" w14:paraId="3074109C" w14:textId="77777777">
            <w:pPr>
              <w:rPr>
                <w:sz w:val="22"/>
                <w:szCs w:val="22"/>
                <w:lang w:val="de-DE"/>
              </w:rPr>
            </w:pPr>
            <w:r w:rsidRPr="00BD646C">
              <w:rPr>
                <w:sz w:val="22"/>
                <w:szCs w:val="22"/>
                <w:lang w:val="de-DE"/>
              </w:rPr>
              <w:t>Tel: +49 (0) 611 / 1720-0</w:t>
            </w:r>
          </w:p>
          <w:p w:rsidR="00235869" w:rsidRPr="00BD646C" w:rsidP="001F79B0" w14:paraId="6FAE0231" w14:textId="77777777">
            <w:pPr>
              <w:rPr>
                <w:sz w:val="22"/>
                <w:szCs w:val="22"/>
                <w:lang w:val="de-DE"/>
              </w:rPr>
            </w:pPr>
          </w:p>
        </w:tc>
        <w:tc>
          <w:tcPr>
            <w:tcW w:w="4678" w:type="dxa"/>
            <w:gridSpan w:val="2"/>
          </w:tcPr>
          <w:p w:rsidR="00235869" w:rsidRPr="00BD646C" w:rsidP="001F79B0" w14:paraId="0197039F" w14:textId="77777777">
            <w:pPr>
              <w:rPr>
                <w:b/>
                <w:bCs/>
                <w:sz w:val="22"/>
                <w:szCs w:val="22"/>
                <w:lang w:val="nl-NL"/>
              </w:rPr>
            </w:pPr>
            <w:r w:rsidRPr="00BD646C">
              <w:rPr>
                <w:b/>
                <w:bCs/>
                <w:sz w:val="22"/>
                <w:szCs w:val="22"/>
                <w:lang w:val="nl-NL"/>
              </w:rPr>
              <w:t>Nederland</w:t>
            </w:r>
          </w:p>
          <w:p w:rsidR="00235869" w:rsidRPr="00BD646C" w:rsidP="001F79B0" w14:paraId="19729AF1" w14:textId="77777777">
            <w:pPr>
              <w:rPr>
                <w:bCs/>
                <w:sz w:val="22"/>
                <w:szCs w:val="22"/>
                <w:lang w:val="de-DE"/>
              </w:rPr>
            </w:pPr>
            <w:r w:rsidRPr="00BD646C">
              <w:rPr>
                <w:bCs/>
                <w:sz w:val="22"/>
                <w:szCs w:val="22"/>
                <w:lang w:val="de-DE"/>
              </w:rPr>
              <w:t>AbbVie B.V.</w:t>
            </w:r>
          </w:p>
          <w:p w:rsidR="00235869" w:rsidRPr="00BD646C" w:rsidP="001F79B0" w14:paraId="5CAEE186" w14:textId="77777777">
            <w:pPr>
              <w:rPr>
                <w:bCs/>
                <w:sz w:val="22"/>
                <w:szCs w:val="22"/>
                <w:lang w:val="de-DE"/>
              </w:rPr>
            </w:pPr>
            <w:r w:rsidRPr="00BD646C">
              <w:rPr>
                <w:bCs/>
                <w:sz w:val="22"/>
                <w:szCs w:val="22"/>
                <w:lang w:val="de-DE"/>
              </w:rPr>
              <w:t>Tel: +31 (0)88 322 2843</w:t>
            </w:r>
          </w:p>
        </w:tc>
      </w:tr>
      <w:tr w14:paraId="6C7A6D03" w14:textId="77777777" w:rsidTr="001F79B0">
        <w:tblPrEx>
          <w:tblW w:w="9356" w:type="dxa"/>
          <w:tblInd w:w="-34" w:type="dxa"/>
          <w:tblLayout w:type="fixed"/>
          <w:tblLook w:val="0000"/>
        </w:tblPrEx>
        <w:tc>
          <w:tcPr>
            <w:tcW w:w="4644" w:type="dxa"/>
            <w:gridSpan w:val="2"/>
          </w:tcPr>
          <w:p w:rsidR="00235869" w:rsidRPr="00BD646C" w:rsidP="001F79B0" w14:paraId="19EC6E0F" w14:textId="77777777">
            <w:pPr>
              <w:rPr>
                <w:b/>
                <w:bCs/>
                <w:sz w:val="22"/>
                <w:szCs w:val="22"/>
                <w:lang w:val="et-EE"/>
              </w:rPr>
            </w:pPr>
            <w:r w:rsidRPr="00BD646C">
              <w:rPr>
                <w:b/>
                <w:bCs/>
                <w:sz w:val="22"/>
                <w:szCs w:val="22"/>
                <w:lang w:val="et-EE"/>
              </w:rPr>
              <w:t>Eesti</w:t>
            </w:r>
          </w:p>
          <w:p w:rsidR="00235869" w:rsidRPr="00BD646C" w:rsidP="001F79B0" w14:paraId="1E46F36B" w14:textId="77777777">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rsidR="00235869" w:rsidRPr="00BD646C" w:rsidP="001F79B0" w14:paraId="22F50BAA" w14:textId="77777777">
            <w:pPr>
              <w:rPr>
                <w:bCs/>
                <w:sz w:val="22"/>
                <w:szCs w:val="22"/>
                <w:lang w:val="lv-LV"/>
              </w:rPr>
            </w:pPr>
            <w:r w:rsidRPr="00BD646C">
              <w:rPr>
                <w:bCs/>
                <w:sz w:val="22"/>
                <w:szCs w:val="22"/>
                <w:lang w:val="et-EE"/>
              </w:rPr>
              <w:t>Tel: +372 623 1011</w:t>
            </w:r>
          </w:p>
        </w:tc>
        <w:tc>
          <w:tcPr>
            <w:tcW w:w="4678" w:type="dxa"/>
            <w:gridSpan w:val="2"/>
          </w:tcPr>
          <w:p w:rsidR="00235869" w:rsidRPr="00BD646C" w:rsidP="001F79B0" w14:paraId="2DCD50A6" w14:textId="77777777">
            <w:pPr>
              <w:rPr>
                <w:b/>
                <w:bCs/>
                <w:sz w:val="22"/>
                <w:szCs w:val="22"/>
                <w:lang w:val="nb-NO"/>
              </w:rPr>
            </w:pPr>
            <w:r w:rsidRPr="00BD646C">
              <w:rPr>
                <w:b/>
                <w:bCs/>
                <w:sz w:val="22"/>
                <w:szCs w:val="22"/>
                <w:lang w:val="nb-NO"/>
              </w:rPr>
              <w:t>Norge</w:t>
            </w:r>
          </w:p>
          <w:p w:rsidR="00235869" w:rsidRPr="00BD646C" w:rsidP="001F79B0" w14:paraId="389BCC9E" w14:textId="77777777">
            <w:pPr>
              <w:rPr>
                <w:bCs/>
                <w:sz w:val="22"/>
                <w:szCs w:val="22"/>
                <w:lang w:val="sk-SK"/>
              </w:rPr>
            </w:pPr>
            <w:r w:rsidRPr="00BD646C">
              <w:rPr>
                <w:bCs/>
                <w:sz w:val="22"/>
                <w:szCs w:val="22"/>
                <w:lang w:val="sk-SK"/>
              </w:rPr>
              <w:t>AbbVie AS</w:t>
            </w:r>
          </w:p>
          <w:p w:rsidR="00235869" w:rsidRPr="00BD646C" w:rsidP="001F79B0" w14:paraId="4C059AD8" w14:textId="77777777">
            <w:pPr>
              <w:rPr>
                <w:bCs/>
                <w:sz w:val="22"/>
                <w:szCs w:val="22"/>
                <w:lang w:val="sk-SK"/>
              </w:rPr>
            </w:pPr>
            <w:r w:rsidRPr="00BD646C">
              <w:rPr>
                <w:bCs/>
                <w:sz w:val="22"/>
                <w:szCs w:val="22"/>
                <w:lang w:val="sk-SK"/>
              </w:rPr>
              <w:t>Tlf: +47 67 81 80 00</w:t>
            </w:r>
          </w:p>
          <w:p w:rsidR="00235869" w:rsidRPr="00BD646C" w:rsidP="001F79B0" w14:paraId="0E123B52" w14:textId="77777777">
            <w:pPr>
              <w:rPr>
                <w:bCs/>
                <w:sz w:val="22"/>
                <w:szCs w:val="22"/>
                <w:lang w:val="sk-SK"/>
              </w:rPr>
            </w:pPr>
          </w:p>
        </w:tc>
      </w:tr>
      <w:tr w14:paraId="45A73551" w14:textId="77777777" w:rsidTr="001F79B0">
        <w:tblPrEx>
          <w:tblW w:w="9356" w:type="dxa"/>
          <w:tblInd w:w="-34" w:type="dxa"/>
          <w:tblLayout w:type="fixed"/>
          <w:tblLook w:val="0000"/>
        </w:tblPrEx>
        <w:trPr>
          <w:trHeight w:val="794"/>
        </w:trPr>
        <w:tc>
          <w:tcPr>
            <w:tcW w:w="4644" w:type="dxa"/>
            <w:gridSpan w:val="2"/>
          </w:tcPr>
          <w:p w:rsidR="00235869" w:rsidRPr="00BD646C" w:rsidP="001F79B0" w14:paraId="2FB4FD15" w14:textId="77777777">
            <w:pPr>
              <w:rPr>
                <w:b/>
                <w:bCs/>
                <w:sz w:val="22"/>
                <w:szCs w:val="22"/>
                <w:lang w:val="el-GR"/>
              </w:rPr>
            </w:pPr>
            <w:r w:rsidRPr="00BD646C">
              <w:rPr>
                <w:b/>
                <w:bCs/>
                <w:sz w:val="22"/>
                <w:szCs w:val="22"/>
                <w:lang w:val="el-GR"/>
              </w:rPr>
              <w:t>Ελλάδα</w:t>
            </w:r>
          </w:p>
          <w:p w:rsidR="00235869" w:rsidRPr="00BD646C" w:rsidP="001F79B0" w14:paraId="4D5DE52C" w14:textId="77777777">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rsidR="00235869" w:rsidRPr="00BD646C" w:rsidP="001F79B0" w14:paraId="262D9AF5" w14:textId="77777777">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rsidR="00235869" w:rsidRPr="00BD646C" w:rsidP="001F79B0" w14:paraId="3E9E77E7" w14:textId="77777777">
            <w:pPr>
              <w:rPr>
                <w:b/>
                <w:bCs/>
                <w:sz w:val="22"/>
                <w:szCs w:val="22"/>
                <w:lang w:val="de-DE"/>
              </w:rPr>
            </w:pPr>
            <w:r w:rsidRPr="00BD646C">
              <w:rPr>
                <w:b/>
                <w:bCs/>
                <w:sz w:val="22"/>
                <w:szCs w:val="22"/>
                <w:lang w:val="de-DE"/>
              </w:rPr>
              <w:t>Österreich</w:t>
            </w:r>
          </w:p>
          <w:p w:rsidR="00235869" w:rsidRPr="00BD646C" w:rsidP="001F79B0" w14:paraId="606ABD05" w14:textId="77777777">
            <w:pPr>
              <w:rPr>
                <w:bCs/>
                <w:sz w:val="22"/>
                <w:szCs w:val="22"/>
                <w:lang w:val="de-DE"/>
              </w:rPr>
            </w:pPr>
            <w:r w:rsidRPr="00BD646C">
              <w:rPr>
                <w:bCs/>
                <w:sz w:val="22"/>
                <w:szCs w:val="22"/>
                <w:lang w:val="de-DE"/>
              </w:rPr>
              <w:t xml:space="preserve">AbbVie GmbH </w:t>
            </w:r>
          </w:p>
          <w:p w:rsidR="00235869" w:rsidRPr="00BD646C" w:rsidP="001F79B0" w14:paraId="79E25C6D" w14:textId="77777777">
            <w:pPr>
              <w:rPr>
                <w:bCs/>
                <w:sz w:val="22"/>
                <w:szCs w:val="22"/>
                <w:lang w:val="de-DE"/>
              </w:rPr>
            </w:pPr>
            <w:r w:rsidRPr="00BD646C">
              <w:rPr>
                <w:bCs/>
                <w:sz w:val="22"/>
                <w:szCs w:val="22"/>
                <w:lang w:val="de-DE"/>
              </w:rPr>
              <w:t>Tel: +43 1 20589-0</w:t>
            </w:r>
          </w:p>
          <w:p w:rsidR="00235869" w:rsidRPr="00BD646C" w:rsidP="001F79B0" w14:paraId="7C00CC36" w14:textId="77777777">
            <w:pPr>
              <w:rPr>
                <w:bCs/>
                <w:sz w:val="22"/>
                <w:szCs w:val="22"/>
                <w:lang w:val="de-DE"/>
              </w:rPr>
            </w:pPr>
          </w:p>
        </w:tc>
      </w:tr>
      <w:tr w14:paraId="743F2C72"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3AB54E73" w14:textId="77777777">
            <w:pPr>
              <w:rPr>
                <w:b/>
                <w:bCs/>
                <w:sz w:val="22"/>
                <w:szCs w:val="22"/>
                <w:lang w:val="es-ES"/>
              </w:rPr>
            </w:pPr>
            <w:r w:rsidRPr="00BD646C">
              <w:rPr>
                <w:b/>
                <w:bCs/>
                <w:sz w:val="22"/>
                <w:szCs w:val="22"/>
                <w:lang w:val="es-ES"/>
              </w:rPr>
              <w:t>España</w:t>
            </w:r>
          </w:p>
          <w:p w:rsidR="00235869" w:rsidRPr="00BD646C" w:rsidP="001F79B0" w14:paraId="588F6C70" w14:textId="77777777">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rsidR="00235869" w:rsidRPr="00BD646C" w:rsidP="001F79B0" w14:paraId="113FFCA7" w14:textId="77777777">
            <w:pPr>
              <w:rPr>
                <w:bCs/>
                <w:sz w:val="22"/>
                <w:szCs w:val="22"/>
                <w:lang w:val="pl-PL"/>
              </w:rPr>
            </w:pPr>
            <w:r w:rsidRPr="00BD646C">
              <w:rPr>
                <w:bCs/>
                <w:sz w:val="22"/>
                <w:szCs w:val="22"/>
                <w:lang w:val="pt-PT"/>
              </w:rPr>
              <w:t>Tel: +34 91 384 09 10</w:t>
            </w:r>
          </w:p>
        </w:tc>
        <w:tc>
          <w:tcPr>
            <w:tcW w:w="4678" w:type="dxa"/>
          </w:tcPr>
          <w:p w:rsidR="00235869" w:rsidRPr="00BD646C" w:rsidP="001F79B0" w14:paraId="5ECC3EB9" w14:textId="77777777">
            <w:pPr>
              <w:rPr>
                <w:b/>
                <w:bCs/>
                <w:iCs/>
                <w:sz w:val="22"/>
                <w:szCs w:val="22"/>
                <w:lang w:val="pl-PL"/>
              </w:rPr>
            </w:pPr>
            <w:r w:rsidRPr="00BD646C">
              <w:rPr>
                <w:b/>
                <w:bCs/>
                <w:iCs/>
                <w:sz w:val="22"/>
                <w:szCs w:val="22"/>
                <w:lang w:val="pl-PL"/>
              </w:rPr>
              <w:t>Polska</w:t>
            </w:r>
          </w:p>
          <w:p w:rsidR="00235869" w:rsidRPr="00BD646C" w:rsidP="001F79B0" w14:paraId="5C8F37EA" w14:textId="77777777">
            <w:pPr>
              <w:rPr>
                <w:bCs/>
                <w:sz w:val="22"/>
                <w:szCs w:val="22"/>
                <w:lang w:val="pl-PL"/>
              </w:rPr>
            </w:pPr>
            <w:r w:rsidRPr="00BD646C">
              <w:rPr>
                <w:bCs/>
                <w:sz w:val="22"/>
                <w:szCs w:val="22"/>
                <w:lang w:val="pl-PL"/>
              </w:rPr>
              <w:t>AbbVie Sp. z o.o.</w:t>
            </w:r>
          </w:p>
          <w:p w:rsidR="00235869" w:rsidRPr="00BD646C" w:rsidP="001F79B0" w14:paraId="7D60FDBF" w14:textId="77777777">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rsidR="00235869" w:rsidRPr="00BD646C" w:rsidP="001F79B0" w14:paraId="0CF37E41" w14:textId="77777777">
            <w:pPr>
              <w:rPr>
                <w:bCs/>
                <w:sz w:val="22"/>
                <w:szCs w:val="22"/>
                <w:lang w:val="pl-PL"/>
              </w:rPr>
            </w:pPr>
          </w:p>
        </w:tc>
      </w:tr>
      <w:tr w14:paraId="4CBF5A99" w14:textId="77777777" w:rsidTr="001F79B0">
        <w:tblPrEx>
          <w:tblW w:w="9356" w:type="dxa"/>
          <w:tblInd w:w="-34" w:type="dxa"/>
          <w:tblLayout w:type="fixed"/>
          <w:tblLook w:val="0000"/>
        </w:tblPrEx>
        <w:trPr>
          <w:trHeight w:val="734"/>
        </w:trPr>
        <w:tc>
          <w:tcPr>
            <w:tcW w:w="4678" w:type="dxa"/>
            <w:gridSpan w:val="3"/>
          </w:tcPr>
          <w:p w:rsidR="00235869" w:rsidRPr="00BD646C" w:rsidP="001F79B0" w14:paraId="36991164" w14:textId="77777777">
            <w:pPr>
              <w:rPr>
                <w:b/>
                <w:bCs/>
                <w:sz w:val="22"/>
                <w:szCs w:val="22"/>
                <w:lang w:val="fr-FR"/>
              </w:rPr>
            </w:pPr>
            <w:r w:rsidRPr="00BD646C">
              <w:rPr>
                <w:b/>
                <w:bCs/>
                <w:sz w:val="22"/>
                <w:szCs w:val="22"/>
                <w:lang w:val="fr-FR"/>
              </w:rPr>
              <w:t>France</w:t>
            </w:r>
          </w:p>
          <w:p w:rsidR="00235869" w:rsidRPr="00BD646C" w:rsidP="001F79B0" w14:paraId="293D0C76" w14:textId="77777777">
            <w:pPr>
              <w:rPr>
                <w:bCs/>
                <w:sz w:val="22"/>
                <w:szCs w:val="22"/>
                <w:lang w:val="fr-FR"/>
              </w:rPr>
            </w:pPr>
            <w:r w:rsidRPr="00BD646C">
              <w:rPr>
                <w:bCs/>
                <w:sz w:val="22"/>
                <w:szCs w:val="22"/>
                <w:lang w:val="fr-FR"/>
              </w:rPr>
              <w:t>AbbVie</w:t>
            </w:r>
          </w:p>
          <w:p w:rsidR="00235869" w:rsidRPr="00BD646C" w:rsidP="001F79B0" w14:paraId="2613CA42" w14:textId="77777777">
            <w:pPr>
              <w:rPr>
                <w:bCs/>
                <w:sz w:val="22"/>
                <w:szCs w:val="22"/>
                <w:lang w:val="fr-FR"/>
              </w:rPr>
            </w:pPr>
            <w:r w:rsidRPr="00BD646C">
              <w:rPr>
                <w:bCs/>
                <w:sz w:val="22"/>
                <w:szCs w:val="22"/>
                <w:lang w:val="fr-FR"/>
              </w:rPr>
              <w:t>Tél:</w:t>
            </w:r>
            <w:r w:rsidRPr="00BD646C">
              <w:rPr>
                <w:bCs/>
                <w:sz w:val="22"/>
                <w:szCs w:val="22"/>
                <w:lang w:val="fr-FR"/>
              </w:rPr>
              <w:t xml:space="preserve"> +33 (0) 1 45 60 13 00</w:t>
            </w:r>
          </w:p>
        </w:tc>
        <w:tc>
          <w:tcPr>
            <w:tcW w:w="4678" w:type="dxa"/>
          </w:tcPr>
          <w:p w:rsidR="00235869" w:rsidRPr="00BD646C" w:rsidP="001F79B0" w14:paraId="60431313" w14:textId="77777777">
            <w:pPr>
              <w:rPr>
                <w:b/>
                <w:bCs/>
                <w:sz w:val="22"/>
                <w:szCs w:val="22"/>
                <w:lang w:val="pt-PT"/>
              </w:rPr>
            </w:pPr>
            <w:r w:rsidRPr="00BD646C">
              <w:rPr>
                <w:b/>
                <w:bCs/>
                <w:sz w:val="22"/>
                <w:szCs w:val="22"/>
                <w:lang w:val="pt-PT"/>
              </w:rPr>
              <w:t>Portugal</w:t>
            </w:r>
          </w:p>
          <w:p w:rsidR="00235869" w:rsidRPr="00BD646C" w:rsidP="001F79B0" w14:paraId="083FBC96" w14:textId="77777777">
            <w:pPr>
              <w:rPr>
                <w:bCs/>
                <w:sz w:val="22"/>
                <w:szCs w:val="22"/>
                <w:lang w:val="fr-FR"/>
              </w:rPr>
            </w:pPr>
            <w:r w:rsidRPr="00BD646C">
              <w:rPr>
                <w:bCs/>
                <w:sz w:val="22"/>
                <w:szCs w:val="22"/>
                <w:lang w:val="fr-FR"/>
              </w:rPr>
              <w:t xml:space="preserve">AbbVie, </w:t>
            </w:r>
            <w:r w:rsidRPr="00BD646C">
              <w:rPr>
                <w:bCs/>
                <w:sz w:val="22"/>
                <w:szCs w:val="22"/>
                <w:lang w:val="fr-FR"/>
              </w:rPr>
              <w:t>Lda</w:t>
            </w:r>
            <w:r w:rsidRPr="00BD646C">
              <w:rPr>
                <w:bCs/>
                <w:sz w:val="22"/>
                <w:szCs w:val="22"/>
                <w:lang w:val="fr-FR"/>
              </w:rPr>
              <w:t xml:space="preserve">. </w:t>
            </w:r>
          </w:p>
          <w:p w:rsidR="00235869" w:rsidRPr="00BD646C" w:rsidP="001F79B0" w14:paraId="10328390" w14:textId="77777777">
            <w:pPr>
              <w:rPr>
                <w:sz w:val="22"/>
                <w:szCs w:val="22"/>
                <w:lang w:val="fr-FR"/>
              </w:rPr>
            </w:pPr>
            <w:r w:rsidRPr="00BD646C">
              <w:rPr>
                <w:sz w:val="22"/>
                <w:szCs w:val="22"/>
                <w:lang w:val="fr-FR"/>
              </w:rPr>
              <w:t>Tel:</w:t>
            </w:r>
            <w:r w:rsidRPr="00BD646C">
              <w:rPr>
                <w:sz w:val="22"/>
                <w:szCs w:val="22"/>
                <w:lang w:val="fr-FR"/>
              </w:rPr>
              <w:t xml:space="preserve"> +351 (0)21 1908400</w:t>
            </w:r>
          </w:p>
          <w:p w:rsidR="00235869" w:rsidRPr="00BD646C" w:rsidP="001F79B0" w14:paraId="7CEDE035" w14:textId="77777777">
            <w:pPr>
              <w:rPr>
                <w:sz w:val="22"/>
                <w:szCs w:val="22"/>
                <w:lang w:val="fr-FR"/>
              </w:rPr>
            </w:pPr>
          </w:p>
        </w:tc>
      </w:tr>
      <w:tr w14:paraId="0D070ED7" w14:textId="77777777" w:rsidTr="001F79B0">
        <w:tblPrEx>
          <w:tblW w:w="9356" w:type="dxa"/>
          <w:tblInd w:w="-34" w:type="dxa"/>
          <w:tblLayout w:type="fixed"/>
          <w:tblLook w:val="0000"/>
        </w:tblPrEx>
        <w:trPr>
          <w:gridBefore w:val="1"/>
          <w:wBefore w:w="34" w:type="dxa"/>
        </w:trPr>
        <w:tc>
          <w:tcPr>
            <w:tcW w:w="4644" w:type="dxa"/>
            <w:gridSpan w:val="2"/>
          </w:tcPr>
          <w:p w:rsidR="00235869" w:rsidRPr="00D16F00" w:rsidP="001F79B0" w14:paraId="64037779" w14:textId="77777777">
            <w:pPr>
              <w:rPr>
                <w:sz w:val="22"/>
                <w:szCs w:val="22"/>
              </w:rPr>
            </w:pPr>
            <w:r w:rsidRPr="00D16F00">
              <w:rPr>
                <w:b/>
                <w:bCs/>
                <w:sz w:val="22"/>
                <w:szCs w:val="22"/>
              </w:rPr>
              <w:t xml:space="preserve">Hrvatska </w:t>
            </w:r>
          </w:p>
          <w:p w:rsidR="00235869" w:rsidRPr="00BD646C" w:rsidP="001F79B0" w14:paraId="740B3944" w14:textId="77777777">
            <w:pPr>
              <w:rPr>
                <w:sz w:val="22"/>
                <w:szCs w:val="22"/>
                <w:lang w:val="hr-HR"/>
              </w:rPr>
            </w:pPr>
            <w:r w:rsidRPr="00BD646C">
              <w:rPr>
                <w:sz w:val="22"/>
                <w:szCs w:val="22"/>
                <w:lang w:val="hr-HR"/>
              </w:rPr>
              <w:t>AbbVie d.o.o.</w:t>
            </w:r>
          </w:p>
          <w:p w:rsidR="00235869" w:rsidRPr="00BD646C" w:rsidP="001F79B0" w14:paraId="6DA0DD83" w14:textId="77777777">
            <w:pPr>
              <w:rPr>
                <w:bCs/>
                <w:sz w:val="22"/>
                <w:szCs w:val="22"/>
              </w:rPr>
            </w:pPr>
            <w:r w:rsidRPr="00BD646C">
              <w:rPr>
                <w:sz w:val="22"/>
                <w:szCs w:val="22"/>
                <w:lang w:val="hr-HR"/>
              </w:rPr>
              <w:t xml:space="preserve">Tel + 385 (0)1 </w:t>
            </w:r>
            <w:r w:rsidRPr="00BD646C">
              <w:rPr>
                <w:sz w:val="22"/>
                <w:szCs w:val="22"/>
                <w:lang w:val="en-US"/>
              </w:rPr>
              <w:t>5625 501</w:t>
            </w:r>
          </w:p>
        </w:tc>
        <w:tc>
          <w:tcPr>
            <w:tcW w:w="4678" w:type="dxa"/>
          </w:tcPr>
          <w:p w:rsidR="00235869" w:rsidRPr="00BD646C" w:rsidP="001F79B0" w14:paraId="4F5ED583" w14:textId="77777777">
            <w:pPr>
              <w:rPr>
                <w:b/>
                <w:bCs/>
                <w:sz w:val="22"/>
                <w:szCs w:val="22"/>
              </w:rPr>
            </w:pPr>
            <w:r w:rsidRPr="00BD646C">
              <w:rPr>
                <w:b/>
                <w:bCs/>
                <w:sz w:val="22"/>
                <w:szCs w:val="22"/>
              </w:rPr>
              <w:t>România</w:t>
            </w:r>
          </w:p>
          <w:p w:rsidR="00235869" w:rsidRPr="00BD646C" w:rsidP="001F79B0" w14:paraId="0431E43A" w14:textId="77777777">
            <w:pPr>
              <w:rPr>
                <w:sz w:val="22"/>
                <w:szCs w:val="22"/>
              </w:rPr>
            </w:pPr>
            <w:r w:rsidRPr="00BD646C">
              <w:rPr>
                <w:sz w:val="22"/>
                <w:szCs w:val="22"/>
              </w:rPr>
              <w:t>AbbVie S.R.L.</w:t>
            </w:r>
          </w:p>
          <w:p w:rsidR="00235869" w:rsidRPr="00BD646C" w:rsidP="001F79B0" w14:paraId="090D2C30" w14:textId="77777777">
            <w:pPr>
              <w:rPr>
                <w:sz w:val="22"/>
                <w:szCs w:val="22"/>
                <w:lang w:val="pl-PL"/>
              </w:rPr>
            </w:pPr>
            <w:r w:rsidRPr="00BD646C">
              <w:rPr>
                <w:sz w:val="22"/>
                <w:szCs w:val="22"/>
                <w:lang w:val="pl-PL"/>
              </w:rPr>
              <w:t>Tel: +40 21 529 30 35</w:t>
            </w:r>
          </w:p>
          <w:p w:rsidR="00235869" w:rsidRPr="00BD646C" w:rsidP="001F79B0" w14:paraId="5964D9DE" w14:textId="77777777">
            <w:pPr>
              <w:rPr>
                <w:sz w:val="22"/>
                <w:szCs w:val="22"/>
                <w:lang w:val="pl-PL"/>
              </w:rPr>
            </w:pPr>
          </w:p>
        </w:tc>
      </w:tr>
      <w:tr w14:paraId="02C9C1FE"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62D104E0" w14:textId="77777777">
            <w:pPr>
              <w:rPr>
                <w:b/>
                <w:bCs/>
                <w:sz w:val="22"/>
                <w:szCs w:val="22"/>
                <w:lang w:val="sk-SK"/>
              </w:rPr>
            </w:pPr>
            <w:r w:rsidRPr="00BD646C">
              <w:rPr>
                <w:b/>
                <w:bCs/>
                <w:sz w:val="22"/>
                <w:szCs w:val="22"/>
                <w:lang w:val="sk-SK"/>
              </w:rPr>
              <w:t>Ireland</w:t>
            </w:r>
          </w:p>
          <w:p w:rsidR="00235869" w:rsidRPr="00BD646C" w:rsidP="001F79B0" w14:paraId="07B4FD1D" w14:textId="77777777">
            <w:pPr>
              <w:rPr>
                <w:bCs/>
                <w:sz w:val="22"/>
                <w:szCs w:val="22"/>
                <w:lang w:val="sk-SK"/>
              </w:rPr>
            </w:pPr>
            <w:r w:rsidRPr="00BD646C">
              <w:rPr>
                <w:bCs/>
                <w:sz w:val="22"/>
                <w:szCs w:val="22"/>
                <w:lang w:val="sk-SK"/>
              </w:rPr>
              <w:t xml:space="preserve">AbbVie Limited </w:t>
            </w:r>
          </w:p>
          <w:p w:rsidR="00235869" w:rsidRPr="00BD646C" w:rsidP="001F79B0" w14:paraId="455EFF0D" w14:textId="77777777">
            <w:pPr>
              <w:rPr>
                <w:bCs/>
                <w:sz w:val="22"/>
                <w:szCs w:val="22"/>
                <w:lang w:val="sk-SK"/>
              </w:rPr>
            </w:pPr>
            <w:r w:rsidRPr="00BD646C">
              <w:rPr>
                <w:bCs/>
                <w:sz w:val="22"/>
                <w:szCs w:val="22"/>
                <w:lang w:val="pt-PT"/>
              </w:rPr>
              <w:t>Tel: +353 (0)1 42879</w:t>
            </w:r>
            <w:r w:rsidR="00FB403F">
              <w:rPr>
                <w:bCs/>
                <w:sz w:val="22"/>
                <w:szCs w:val="22"/>
                <w:lang w:val="pt-PT"/>
              </w:rPr>
              <w:t>0</w:t>
            </w:r>
            <w:r w:rsidRPr="00BD646C">
              <w:rPr>
                <w:bCs/>
                <w:sz w:val="22"/>
                <w:szCs w:val="22"/>
                <w:lang w:val="pt-PT"/>
              </w:rPr>
              <w:t>0</w:t>
            </w:r>
          </w:p>
        </w:tc>
        <w:tc>
          <w:tcPr>
            <w:tcW w:w="4678" w:type="dxa"/>
          </w:tcPr>
          <w:p w:rsidR="00235869" w:rsidRPr="00BD646C" w:rsidP="001F79B0" w14:paraId="686B746E" w14:textId="77777777">
            <w:pPr>
              <w:rPr>
                <w:b/>
                <w:bCs/>
                <w:sz w:val="22"/>
                <w:szCs w:val="22"/>
                <w:lang w:val="sl-SI"/>
              </w:rPr>
            </w:pPr>
            <w:r w:rsidRPr="00BD646C">
              <w:rPr>
                <w:b/>
                <w:bCs/>
                <w:sz w:val="22"/>
                <w:szCs w:val="22"/>
                <w:lang w:val="sl-SI"/>
              </w:rPr>
              <w:t>Slovenija</w:t>
            </w:r>
          </w:p>
          <w:p w:rsidR="00235869" w:rsidRPr="00BD646C" w:rsidP="001F79B0" w14:paraId="7D5E9093" w14:textId="77777777">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rsidR="00235869" w:rsidRPr="00BD646C" w:rsidP="001F79B0" w14:paraId="2FDD57D5" w14:textId="77777777">
            <w:pPr>
              <w:rPr>
                <w:bCs/>
                <w:sz w:val="22"/>
                <w:szCs w:val="22"/>
                <w:lang w:val="sl-SI"/>
              </w:rPr>
            </w:pPr>
            <w:r w:rsidRPr="00BD646C">
              <w:rPr>
                <w:bCs/>
                <w:sz w:val="22"/>
                <w:szCs w:val="22"/>
                <w:lang w:val="sl-SI"/>
              </w:rPr>
              <w:t>Tel: +386 (1)32 08 060</w:t>
            </w:r>
          </w:p>
          <w:p w:rsidR="00235869" w:rsidRPr="00BD646C" w:rsidP="001F79B0" w14:paraId="597F46BE" w14:textId="77777777">
            <w:pPr>
              <w:rPr>
                <w:bCs/>
                <w:sz w:val="22"/>
                <w:szCs w:val="22"/>
                <w:lang w:val="sl-SI"/>
              </w:rPr>
            </w:pPr>
          </w:p>
        </w:tc>
      </w:tr>
      <w:tr w14:paraId="79903AA7"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235869" w14:paraId="1123CE05" w14:textId="77777777">
            <w:pPr>
              <w:keepNext/>
              <w:rPr>
                <w:b/>
                <w:bCs/>
                <w:sz w:val="22"/>
                <w:szCs w:val="22"/>
                <w:lang w:val="is-IS"/>
              </w:rPr>
            </w:pPr>
            <w:r w:rsidRPr="00BD646C">
              <w:rPr>
                <w:b/>
                <w:bCs/>
                <w:sz w:val="22"/>
                <w:szCs w:val="22"/>
                <w:lang w:val="is-IS"/>
              </w:rPr>
              <w:t>Ísland</w:t>
            </w:r>
          </w:p>
          <w:p w:rsidR="00235869" w:rsidRPr="00BD646C" w:rsidP="00235869" w14:paraId="25A357C2" w14:textId="77777777">
            <w:pPr>
              <w:keepNext/>
              <w:rPr>
                <w:bCs/>
                <w:sz w:val="22"/>
                <w:szCs w:val="22"/>
                <w:lang w:val="sk-SK"/>
              </w:rPr>
            </w:pPr>
            <w:r w:rsidRPr="00BD646C">
              <w:rPr>
                <w:bCs/>
                <w:sz w:val="22"/>
                <w:szCs w:val="22"/>
                <w:lang w:val="sk-SK"/>
              </w:rPr>
              <w:t xml:space="preserve">Vistor </w:t>
            </w:r>
            <w:del w:id="19977" w:author="AbbVie14" w:date="2025-05-09T11:16:00Z">
              <w:r w:rsidRPr="00BD646C">
                <w:rPr>
                  <w:bCs/>
                  <w:sz w:val="22"/>
                  <w:szCs w:val="22"/>
                  <w:lang w:val="sk-SK"/>
                </w:rPr>
                <w:delText>hf.</w:delText>
              </w:r>
            </w:del>
          </w:p>
          <w:p w:rsidR="00235869" w:rsidRPr="00BD646C" w:rsidP="00235869" w14:paraId="066A71F7" w14:textId="77777777">
            <w:pPr>
              <w:keepNext/>
              <w:rPr>
                <w:bCs/>
                <w:sz w:val="22"/>
                <w:szCs w:val="22"/>
                <w:lang w:val="sk-SK"/>
              </w:rPr>
            </w:pPr>
            <w:r w:rsidRPr="00BD646C">
              <w:rPr>
                <w:bCs/>
                <w:sz w:val="22"/>
                <w:szCs w:val="22"/>
                <w:lang w:val="sk-SK"/>
              </w:rPr>
              <w:t>Tel: +354 535 7000</w:t>
            </w:r>
          </w:p>
        </w:tc>
        <w:tc>
          <w:tcPr>
            <w:tcW w:w="4678" w:type="dxa"/>
          </w:tcPr>
          <w:p w:rsidR="00235869" w:rsidRPr="00BD646C" w:rsidP="00235869" w14:paraId="3CA2C4F5" w14:textId="77777777">
            <w:pPr>
              <w:keepNext/>
              <w:rPr>
                <w:b/>
                <w:bCs/>
                <w:sz w:val="22"/>
                <w:szCs w:val="22"/>
                <w:lang w:val="sk-SK"/>
              </w:rPr>
            </w:pPr>
            <w:r w:rsidRPr="00BD646C">
              <w:rPr>
                <w:b/>
                <w:bCs/>
                <w:sz w:val="22"/>
                <w:szCs w:val="22"/>
                <w:lang w:val="sk-SK"/>
              </w:rPr>
              <w:t>Slovenská republika</w:t>
            </w:r>
          </w:p>
          <w:p w:rsidR="00235869" w:rsidRPr="00BD646C" w:rsidP="00235869" w14:paraId="4B6AB5A2" w14:textId="77777777">
            <w:pPr>
              <w:keepNext/>
              <w:rPr>
                <w:bCs/>
                <w:sz w:val="22"/>
                <w:szCs w:val="22"/>
                <w:lang w:val="sk-SK"/>
              </w:rPr>
            </w:pPr>
            <w:r w:rsidRPr="00BD646C">
              <w:rPr>
                <w:bCs/>
                <w:sz w:val="22"/>
                <w:szCs w:val="22"/>
                <w:lang w:val="sk-SK"/>
              </w:rPr>
              <w:t>AbbVie s.r.o.</w:t>
            </w:r>
          </w:p>
          <w:p w:rsidR="00235869" w:rsidRPr="00BD646C" w:rsidP="00235869" w14:paraId="57C6DE65" w14:textId="77777777">
            <w:pPr>
              <w:keepNext/>
              <w:rPr>
                <w:bCs/>
                <w:sz w:val="22"/>
                <w:szCs w:val="22"/>
                <w:lang w:val="sk-SK"/>
              </w:rPr>
            </w:pPr>
            <w:r w:rsidRPr="00BD646C">
              <w:rPr>
                <w:bCs/>
                <w:sz w:val="22"/>
                <w:szCs w:val="22"/>
                <w:lang w:val="sk-SK"/>
              </w:rPr>
              <w:t>Tel: +421 2 5050 0777</w:t>
            </w:r>
          </w:p>
          <w:p w:rsidR="00235869" w:rsidRPr="00BD646C" w:rsidP="00235869" w14:paraId="034E9AAB" w14:textId="77777777">
            <w:pPr>
              <w:keepNext/>
              <w:rPr>
                <w:bCs/>
                <w:sz w:val="22"/>
                <w:szCs w:val="22"/>
                <w:lang w:val="sk-SK"/>
              </w:rPr>
            </w:pPr>
          </w:p>
        </w:tc>
      </w:tr>
      <w:tr w14:paraId="05ACC2BE"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2D272324" w14:textId="77777777">
            <w:pPr>
              <w:rPr>
                <w:b/>
                <w:bCs/>
                <w:sz w:val="22"/>
                <w:szCs w:val="22"/>
              </w:rPr>
            </w:pPr>
            <w:r w:rsidRPr="00BD646C">
              <w:rPr>
                <w:b/>
                <w:bCs/>
                <w:sz w:val="22"/>
                <w:szCs w:val="22"/>
              </w:rPr>
              <w:t>Italia</w:t>
            </w:r>
          </w:p>
          <w:p w:rsidR="00235869" w:rsidRPr="00BD646C" w:rsidP="001F79B0" w14:paraId="517BDA0B" w14:textId="77777777">
            <w:pPr>
              <w:rPr>
                <w:bCs/>
                <w:sz w:val="22"/>
                <w:szCs w:val="22"/>
                <w:lang w:val="pt-PT"/>
              </w:rPr>
            </w:pPr>
            <w:r w:rsidRPr="00BD646C">
              <w:rPr>
                <w:bCs/>
                <w:sz w:val="22"/>
                <w:szCs w:val="22"/>
                <w:lang w:val="pt-PT"/>
              </w:rPr>
              <w:t xml:space="preserve">AbbVie S.r.l. </w:t>
            </w:r>
          </w:p>
          <w:p w:rsidR="00235869" w:rsidRPr="00BD646C" w:rsidP="001F79B0" w14:paraId="1768BA28" w14:textId="77777777">
            <w:pPr>
              <w:rPr>
                <w:bCs/>
                <w:sz w:val="22"/>
                <w:szCs w:val="22"/>
                <w:lang w:val="fi-FI"/>
              </w:rPr>
            </w:pPr>
            <w:r w:rsidRPr="00BD646C">
              <w:rPr>
                <w:bCs/>
                <w:sz w:val="22"/>
                <w:szCs w:val="22"/>
                <w:lang w:val="fr-FR"/>
              </w:rPr>
              <w:t>Tel:</w:t>
            </w:r>
            <w:r w:rsidRPr="00BD646C">
              <w:rPr>
                <w:bCs/>
                <w:sz w:val="22"/>
                <w:szCs w:val="22"/>
                <w:lang w:val="fr-FR"/>
              </w:rPr>
              <w:t xml:space="preserve"> +39 06 928921</w:t>
            </w:r>
          </w:p>
        </w:tc>
        <w:tc>
          <w:tcPr>
            <w:tcW w:w="4678" w:type="dxa"/>
          </w:tcPr>
          <w:p w:rsidR="00235869" w:rsidRPr="00BD646C" w:rsidP="001F79B0" w14:paraId="27BA4210" w14:textId="77777777">
            <w:pPr>
              <w:rPr>
                <w:b/>
                <w:bCs/>
                <w:sz w:val="22"/>
                <w:szCs w:val="22"/>
                <w:lang w:val="fi-FI"/>
              </w:rPr>
            </w:pPr>
            <w:r w:rsidRPr="00BD646C">
              <w:rPr>
                <w:b/>
                <w:bCs/>
                <w:sz w:val="22"/>
                <w:szCs w:val="22"/>
                <w:lang w:val="fi-FI"/>
              </w:rPr>
              <w:t>Suomi/Finland</w:t>
            </w:r>
          </w:p>
          <w:p w:rsidR="00235869" w:rsidRPr="00BD646C" w:rsidP="001F79B0" w14:paraId="2F8515C3" w14:textId="77777777">
            <w:pPr>
              <w:rPr>
                <w:bCs/>
                <w:sz w:val="22"/>
                <w:szCs w:val="22"/>
                <w:lang w:val="de-CH"/>
              </w:rPr>
            </w:pPr>
            <w:r w:rsidRPr="00BD646C">
              <w:rPr>
                <w:bCs/>
                <w:sz w:val="22"/>
                <w:szCs w:val="22"/>
                <w:lang w:val="sk-SK"/>
              </w:rPr>
              <w:t>AbbVie Oy</w:t>
            </w:r>
          </w:p>
          <w:p w:rsidR="00235869" w:rsidRPr="00BD646C" w:rsidP="001F79B0" w14:paraId="1FA0AB4A" w14:textId="77777777">
            <w:pPr>
              <w:rPr>
                <w:bCs/>
                <w:sz w:val="22"/>
                <w:szCs w:val="22"/>
                <w:lang w:val="sk-SK"/>
              </w:rPr>
            </w:pPr>
            <w:r w:rsidRPr="00BD646C">
              <w:rPr>
                <w:bCs/>
                <w:sz w:val="22"/>
                <w:szCs w:val="22"/>
                <w:lang w:val="sk-SK"/>
              </w:rPr>
              <w:t>Puh/Tel: +358 (0)10 2411 200</w:t>
            </w:r>
          </w:p>
          <w:p w:rsidR="00235869" w:rsidRPr="00BD646C" w:rsidP="001F79B0" w14:paraId="71D7FA5D" w14:textId="77777777">
            <w:pPr>
              <w:rPr>
                <w:sz w:val="22"/>
                <w:szCs w:val="22"/>
                <w:lang w:val="sk-SK"/>
              </w:rPr>
            </w:pPr>
          </w:p>
        </w:tc>
      </w:tr>
      <w:tr w14:paraId="0E2AB9EF"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235869" w:rsidRPr="00BD646C" w:rsidP="001F79B0" w14:paraId="4FB7975D" w14:textId="77777777">
            <w:pPr>
              <w:rPr>
                <w:b/>
                <w:bCs/>
                <w:sz w:val="22"/>
                <w:szCs w:val="22"/>
                <w:lang w:val="el-GR"/>
              </w:rPr>
            </w:pPr>
            <w:r w:rsidRPr="00BD646C">
              <w:rPr>
                <w:b/>
                <w:bCs/>
                <w:sz w:val="22"/>
                <w:szCs w:val="22"/>
                <w:lang w:val="el-GR"/>
              </w:rPr>
              <w:t>Κύπρος</w:t>
            </w:r>
          </w:p>
          <w:p w:rsidR="00235869" w:rsidRPr="00BD646C" w:rsidP="001F79B0" w14:paraId="5136A84C" w14:textId="77777777">
            <w:pPr>
              <w:rPr>
                <w:bCs/>
                <w:sz w:val="22"/>
                <w:szCs w:val="22"/>
                <w:lang w:val="el-GR"/>
              </w:rPr>
            </w:pPr>
            <w:r w:rsidRPr="00BD646C">
              <w:rPr>
                <w:bCs/>
                <w:sz w:val="22"/>
                <w:szCs w:val="22"/>
                <w:lang w:val="sk-SK"/>
              </w:rPr>
              <w:t xml:space="preserve">Lifepharma (Z.A.M.) </w:t>
            </w:r>
            <w:r w:rsidRPr="00BD646C">
              <w:rPr>
                <w:bCs/>
                <w:sz w:val="22"/>
                <w:szCs w:val="22"/>
              </w:rPr>
              <w:t>Ltd</w:t>
            </w:r>
          </w:p>
          <w:p w:rsidR="00235869" w:rsidRPr="00BD646C" w:rsidP="001F79B0" w14:paraId="38E33976" w14:textId="77777777">
            <w:pPr>
              <w:rPr>
                <w:bCs/>
                <w:sz w:val="22"/>
                <w:szCs w:val="22"/>
                <w:lang w:val="lv-LV"/>
              </w:rPr>
            </w:pPr>
            <w:r w:rsidRPr="00BD646C">
              <w:rPr>
                <w:bCs/>
                <w:sz w:val="22"/>
                <w:szCs w:val="22"/>
                <w:lang w:val="el-GR"/>
              </w:rPr>
              <w:t>Τηλ.: +357 22 34 74 40</w:t>
            </w:r>
          </w:p>
        </w:tc>
        <w:tc>
          <w:tcPr>
            <w:tcW w:w="4678" w:type="dxa"/>
          </w:tcPr>
          <w:p w:rsidR="00235869" w:rsidRPr="00BD646C" w:rsidP="001F79B0" w14:paraId="00203325" w14:textId="77777777">
            <w:pPr>
              <w:rPr>
                <w:b/>
                <w:bCs/>
                <w:sz w:val="22"/>
                <w:szCs w:val="22"/>
                <w:lang w:val="sk-SK"/>
              </w:rPr>
            </w:pPr>
            <w:r w:rsidRPr="00BD646C">
              <w:rPr>
                <w:b/>
                <w:bCs/>
                <w:sz w:val="22"/>
                <w:szCs w:val="22"/>
                <w:lang w:val="sk-SK"/>
              </w:rPr>
              <w:t>Sverige</w:t>
            </w:r>
          </w:p>
          <w:p w:rsidR="00235869" w:rsidRPr="00BD646C" w:rsidP="001F79B0" w14:paraId="6E56CCA8" w14:textId="77777777">
            <w:pPr>
              <w:rPr>
                <w:bCs/>
                <w:sz w:val="22"/>
                <w:szCs w:val="22"/>
                <w:lang w:val="pt-PT"/>
              </w:rPr>
            </w:pPr>
            <w:r w:rsidRPr="00BD646C">
              <w:rPr>
                <w:bCs/>
                <w:sz w:val="22"/>
                <w:szCs w:val="22"/>
                <w:lang w:val="pt-PT"/>
              </w:rPr>
              <w:t>AbbVie AB</w:t>
            </w:r>
          </w:p>
          <w:p w:rsidR="00235869" w:rsidRPr="00BD646C" w:rsidP="001F79B0" w14:paraId="12F64E68" w14:textId="77777777">
            <w:pPr>
              <w:rPr>
                <w:bCs/>
                <w:sz w:val="22"/>
                <w:szCs w:val="22"/>
                <w:lang w:val="sk-SK"/>
              </w:rPr>
            </w:pPr>
            <w:r w:rsidRPr="00BD646C">
              <w:rPr>
                <w:bCs/>
                <w:sz w:val="22"/>
                <w:szCs w:val="22"/>
                <w:lang w:val="da-DK"/>
              </w:rPr>
              <w:t>Tel: +46 (0)8 684 44 600</w:t>
            </w:r>
          </w:p>
        </w:tc>
      </w:tr>
      <w:tr w14:paraId="76D6E7CC"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235869" w:rsidRPr="00BD646C" w:rsidP="001F79B0" w14:paraId="182BCA9C" w14:textId="77777777">
            <w:pPr>
              <w:rPr>
                <w:b/>
                <w:bCs/>
                <w:sz w:val="22"/>
                <w:szCs w:val="22"/>
                <w:lang w:val="lv-LV"/>
              </w:rPr>
            </w:pPr>
            <w:r w:rsidRPr="00BD646C">
              <w:rPr>
                <w:b/>
                <w:bCs/>
                <w:sz w:val="22"/>
                <w:szCs w:val="22"/>
                <w:lang w:val="lv-LV"/>
              </w:rPr>
              <w:t>Latvija</w:t>
            </w:r>
          </w:p>
          <w:p w:rsidR="00235869" w:rsidRPr="00BD646C" w:rsidP="001F79B0" w14:paraId="630892C5" w14:textId="77777777">
            <w:pPr>
              <w:rPr>
                <w:bCs/>
                <w:sz w:val="22"/>
                <w:szCs w:val="22"/>
                <w:lang w:val="lv-LV"/>
              </w:rPr>
            </w:pPr>
            <w:r w:rsidRPr="00BD646C">
              <w:rPr>
                <w:bCs/>
                <w:sz w:val="22"/>
                <w:szCs w:val="22"/>
                <w:lang w:val="lv-LV"/>
              </w:rPr>
              <w:t xml:space="preserve">AbbVie SIA </w:t>
            </w:r>
          </w:p>
          <w:p w:rsidR="00235869" w:rsidRPr="00BD646C" w:rsidP="001F79B0" w14:paraId="5AF37013" w14:textId="77777777">
            <w:pPr>
              <w:rPr>
                <w:bCs/>
                <w:sz w:val="22"/>
                <w:szCs w:val="22"/>
                <w:lang w:val="lv-LV"/>
              </w:rPr>
            </w:pPr>
            <w:r w:rsidRPr="00BD646C">
              <w:rPr>
                <w:bCs/>
                <w:sz w:val="22"/>
                <w:szCs w:val="22"/>
                <w:lang w:val="lv-LV"/>
              </w:rPr>
              <w:t>Tel: +371 67605000</w:t>
            </w:r>
          </w:p>
        </w:tc>
        <w:tc>
          <w:tcPr>
            <w:tcW w:w="4678" w:type="dxa"/>
          </w:tcPr>
          <w:p w:rsidR="00235869" w:rsidRPr="00BD646C" w:rsidP="001F79B0" w14:paraId="481F60F1" w14:textId="77777777">
            <w:pPr>
              <w:rPr>
                <w:b/>
                <w:bCs/>
                <w:sz w:val="22"/>
                <w:szCs w:val="22"/>
                <w:lang w:val="sk-SK"/>
              </w:rPr>
            </w:pPr>
          </w:p>
        </w:tc>
      </w:tr>
    </w:tbl>
    <w:p w:rsidR="00C26956" w:rsidRPr="00357925" w:rsidP="00C26956" w14:paraId="2D876CAE" w14:textId="77777777">
      <w:pPr>
        <w:rPr>
          <w:sz w:val="22"/>
          <w:szCs w:val="22"/>
          <w:lang w:val="en-US"/>
        </w:rPr>
      </w:pPr>
    </w:p>
    <w:p w:rsidR="00C26956" w:rsidRPr="00295E71" w:rsidP="00C26956" w14:paraId="3F611485" w14:textId="77777777">
      <w:pPr>
        <w:pStyle w:val="Title"/>
        <w:keepNext/>
        <w:tabs>
          <w:tab w:val="left" w:pos="567"/>
        </w:tabs>
        <w:jc w:val="both"/>
        <w:rPr>
          <w:b w:val="0"/>
          <w:sz w:val="22"/>
          <w:szCs w:val="22"/>
        </w:rPr>
      </w:pPr>
      <w:r w:rsidRPr="00295E71">
        <w:rPr>
          <w:sz w:val="22"/>
          <w:szCs w:val="22"/>
        </w:rPr>
        <w:t>Questo foglio illustrativo è stato aggiornato il</w:t>
      </w:r>
    </w:p>
    <w:p w:rsidR="00C26956" w:rsidRPr="00295E71" w:rsidP="00C26956" w14:paraId="0A5D0CD5" w14:textId="77777777">
      <w:pPr>
        <w:pStyle w:val="Title"/>
        <w:keepNext/>
        <w:tabs>
          <w:tab w:val="left" w:pos="567"/>
        </w:tabs>
        <w:jc w:val="both"/>
        <w:rPr>
          <w:b w:val="0"/>
          <w:sz w:val="22"/>
          <w:szCs w:val="22"/>
        </w:rPr>
      </w:pPr>
    </w:p>
    <w:p w:rsidR="00C26956" w:rsidRPr="00295E71" w:rsidP="00C26956" w14:paraId="2EC20B0A" w14:textId="77777777">
      <w:pPr>
        <w:keepNext/>
        <w:rPr>
          <w:sz w:val="22"/>
          <w:szCs w:val="22"/>
        </w:rPr>
      </w:pPr>
      <w:r w:rsidRPr="00295E71">
        <w:rPr>
          <w:sz w:val="22"/>
          <w:szCs w:val="22"/>
        </w:rPr>
        <w:t xml:space="preserve">Informazioni più dettagliate su questo medicinale sono disponibili sul sito web dell’Agenzia europea dei medicinali: </w:t>
      </w:r>
      <w:ins w:id="19978" w:author="AbbVie14" w:date="2025-05-09T11:17:00Z">
        <w:r w:rsidR="00703B41">
          <w:rPr>
            <w:sz w:val="22"/>
            <w:szCs w:val="22"/>
          </w:rPr>
          <w:fldChar w:fldCharType="begin"/>
        </w:r>
      </w:ins>
      <w:ins w:id="19979" w:author="AbbVie14" w:date="2025-05-09T11:17:00Z">
        <w:r w:rsidR="00703B41">
          <w:rPr>
            <w:sz w:val="22"/>
            <w:szCs w:val="22"/>
          </w:rPr>
          <w:instrText>HYPERLINK "</w:instrText>
        </w:r>
      </w:ins>
      <w:r w:rsidRPr="00703B41" w:rsidR="00703B41">
        <w:rPr>
          <w:rStyle w:val="Hyperlink"/>
          <w:sz w:val="22"/>
          <w:szCs w:val="22"/>
        </w:rPr>
        <w:instrText>http</w:instrText>
      </w:r>
      <w:ins w:id="19980" w:author="AbbVie14" w:date="2025-05-09T11:17:00Z">
        <w:r w:rsidRPr="00703B41" w:rsidR="00703B41">
          <w:rPr>
            <w:rStyle w:val="Hyperlink"/>
            <w:sz w:val="22"/>
            <w:szCs w:val="22"/>
          </w:rPr>
          <w:instrText>s</w:instrText>
        </w:r>
      </w:ins>
      <w:r w:rsidRPr="00703B41" w:rsidR="00703B41">
        <w:rPr>
          <w:rStyle w:val="Hyperlink"/>
          <w:sz w:val="22"/>
          <w:szCs w:val="22"/>
        </w:rPr>
        <w:instrText>://www.ema.europa.eu</w:instrText>
      </w:r>
      <w:ins w:id="19981" w:author="AbbVie14" w:date="2025-05-09T11:17:00Z">
        <w:r w:rsidR="00703B41">
          <w:rPr>
            <w:sz w:val="22"/>
            <w:szCs w:val="22"/>
          </w:rPr>
          <w:instrText>"</w:instrText>
        </w:r>
      </w:ins>
      <w:ins w:id="19982" w:author="AbbVie14" w:date="2025-05-09T11:17:00Z">
        <w:r w:rsidR="00703B41">
          <w:rPr>
            <w:sz w:val="22"/>
            <w:szCs w:val="22"/>
          </w:rPr>
          <w:fldChar w:fldCharType="separate"/>
        </w:r>
      </w:ins>
      <w:r w:rsidRPr="00703B41" w:rsidR="00703B41">
        <w:rPr>
          <w:rStyle w:val="Hyperlink"/>
          <w:sz w:val="22"/>
          <w:szCs w:val="22"/>
        </w:rPr>
        <w:t>http</w:t>
      </w:r>
      <w:ins w:id="19983" w:author="AbbVie14" w:date="2025-05-09T11:17:00Z">
        <w:r w:rsidRPr="00703B41" w:rsidR="00703B41">
          <w:rPr>
            <w:rStyle w:val="Hyperlink"/>
            <w:sz w:val="22"/>
            <w:szCs w:val="22"/>
          </w:rPr>
          <w:t>s</w:t>
        </w:r>
      </w:ins>
      <w:r w:rsidRPr="00703B41" w:rsidR="00703B41">
        <w:rPr>
          <w:rStyle w:val="Hyperlink"/>
          <w:sz w:val="22"/>
          <w:szCs w:val="22"/>
        </w:rPr>
        <w:t>://www.ema.europa.eu</w:t>
      </w:r>
      <w:ins w:id="19984" w:author="AbbVie14" w:date="2025-05-09T11:17:00Z">
        <w:r w:rsidR="00703B41">
          <w:rPr>
            <w:sz w:val="22"/>
            <w:szCs w:val="22"/>
          </w:rPr>
          <w:fldChar w:fldCharType="end"/>
        </w:r>
      </w:ins>
      <w:r w:rsidRPr="00295E71">
        <w:rPr>
          <w:rStyle w:val="Hyperlink"/>
          <w:sz w:val="22"/>
          <w:szCs w:val="22"/>
        </w:rPr>
        <w:t>/</w:t>
      </w:r>
      <w:r w:rsidRPr="00295E71">
        <w:rPr>
          <w:sz w:val="22"/>
          <w:szCs w:val="22"/>
        </w:rPr>
        <w:t>.</w:t>
      </w:r>
    </w:p>
    <w:p w:rsidR="00C26956" w:rsidRPr="00295E71" w:rsidP="00C26956" w14:paraId="652E594B" w14:textId="77777777">
      <w:pPr>
        <w:rPr>
          <w:snapToGrid w:val="0"/>
          <w:kern w:val="32"/>
          <w:sz w:val="22"/>
          <w:szCs w:val="22"/>
          <w:lang w:eastAsia="fr-LU"/>
        </w:rPr>
      </w:pPr>
    </w:p>
    <w:p w:rsidR="00C26956" w:rsidRPr="00295E71" w:rsidP="00C26956" w14:paraId="3E248A35" w14:textId="77777777">
      <w:pPr>
        <w:rPr>
          <w:snapToGrid w:val="0"/>
          <w:kern w:val="32"/>
          <w:sz w:val="22"/>
          <w:szCs w:val="22"/>
          <w:lang w:eastAsia="fr-LU"/>
        </w:rPr>
      </w:pPr>
      <w:r w:rsidRPr="00295E71">
        <w:rPr>
          <w:b/>
          <w:color w:val="000000"/>
          <w:sz w:val="22"/>
          <w:szCs w:val="22"/>
        </w:rPr>
        <w:t xml:space="preserve">Per ascoltare o richiedere una copia di questo foglio illustrativo in </w:t>
      </w:r>
      <w:r w:rsidRPr="00295E71">
        <w:rPr>
          <w:b/>
          <w:color w:val="000000"/>
          <w:sz w:val="22"/>
          <w:szCs w:val="22"/>
          <w:shd w:val="clear" w:color="auto" w:fill="A6A6A6"/>
        </w:rPr>
        <w:t>&lt;Braille&gt;, &lt; stampa a caratteri grandi&gt; o &lt;audio</w:t>
      </w:r>
      <w:r w:rsidRPr="00295E71">
        <w:rPr>
          <w:b/>
          <w:color w:val="000000"/>
          <w:sz w:val="22"/>
          <w:szCs w:val="22"/>
          <w:highlight w:val="darkGray"/>
        </w:rPr>
        <w:t>&gt;</w:t>
      </w:r>
      <w:r w:rsidRPr="00295E71">
        <w:rPr>
          <w:b/>
          <w:color w:val="000000"/>
          <w:sz w:val="22"/>
          <w:szCs w:val="22"/>
        </w:rPr>
        <w:t xml:space="preserve">, contattare il rappresentante locale del </w:t>
      </w:r>
      <w:r w:rsidRPr="00295E71">
        <w:rPr>
          <w:b/>
          <w:sz w:val="22"/>
          <w:szCs w:val="22"/>
        </w:rPr>
        <w:t>titolare dell’autorizzazione all’immissione in commercio.</w:t>
      </w:r>
    </w:p>
    <w:p w:rsidR="00C26956" w:rsidRPr="00295E71" w:rsidP="00C26956" w14:paraId="1AD6E5AD" w14:textId="77777777">
      <w:pPr>
        <w:pStyle w:val="Title"/>
        <w:tabs>
          <w:tab w:val="left" w:pos="567"/>
        </w:tabs>
        <w:rPr>
          <w:b w:val="0"/>
          <w:sz w:val="22"/>
          <w:szCs w:val="22"/>
        </w:rPr>
      </w:pPr>
    </w:p>
    <w:p w:rsidR="00C26956" w:rsidRPr="00295E71" w:rsidP="00C26956" w14:paraId="4135F032" w14:textId="77777777">
      <w:pPr>
        <w:pStyle w:val="Title"/>
        <w:tabs>
          <w:tab w:val="left" w:pos="567"/>
        </w:tabs>
        <w:rPr>
          <w:b w:val="0"/>
          <w:sz w:val="22"/>
          <w:szCs w:val="22"/>
        </w:rPr>
      </w:pPr>
    </w:p>
    <w:p w:rsidR="00C26956" w:rsidRPr="00295E71" w:rsidP="00C26956" w14:paraId="4D4C798B" w14:textId="77777777">
      <w:pPr>
        <w:keepNext/>
        <w:rPr>
          <w:bCs/>
          <w:sz w:val="22"/>
          <w:szCs w:val="22"/>
        </w:rPr>
      </w:pPr>
      <w:r w:rsidRPr="00295E71">
        <w:rPr>
          <w:b/>
          <w:bCs/>
          <w:sz w:val="22"/>
          <w:szCs w:val="22"/>
        </w:rPr>
        <w:t>7.</w:t>
      </w:r>
      <w:r w:rsidRPr="00295E71">
        <w:rPr>
          <w:b/>
          <w:bCs/>
          <w:sz w:val="22"/>
          <w:szCs w:val="22"/>
        </w:rPr>
        <w:tab/>
      </w:r>
      <w:r w:rsidR="00753B5D">
        <w:rPr>
          <w:b/>
          <w:bCs/>
          <w:sz w:val="22"/>
          <w:szCs w:val="22"/>
        </w:rPr>
        <w:t>Iniezione di Humira</w:t>
      </w:r>
    </w:p>
    <w:p w:rsidR="00C26956" w:rsidRPr="00295E71" w:rsidP="00C26956" w14:paraId="09DF9900" w14:textId="77777777">
      <w:pPr>
        <w:keepNext/>
        <w:rPr>
          <w:bCs/>
          <w:sz w:val="22"/>
          <w:szCs w:val="22"/>
        </w:rPr>
      </w:pPr>
    </w:p>
    <w:p w:rsidR="00C26956" w:rsidRPr="00295E71" w:rsidP="00C26956" w14:paraId="61FD3DC2" w14:textId="77777777">
      <w:pPr>
        <w:pStyle w:val="ListParagraph"/>
        <w:keepNext/>
        <w:numPr>
          <w:ilvl w:val="0"/>
          <w:numId w:val="123"/>
        </w:numPr>
        <w:jc w:val="both"/>
        <w:rPr>
          <w:sz w:val="22"/>
          <w:szCs w:val="22"/>
        </w:rPr>
      </w:pPr>
      <w:r w:rsidRPr="00295E71">
        <w:rPr>
          <w:sz w:val="22"/>
          <w:szCs w:val="22"/>
        </w:rPr>
        <w:t xml:space="preserve">Le seguenti istruzioni spiegano come effettuare l’auto-iniezione sottocutanea di Humira utilizzando la siringa pre-riempita. Prima di tutto legga attentamente le istruzioni e le segua passo dopo passo. </w:t>
      </w:r>
    </w:p>
    <w:p w:rsidR="00C26956" w:rsidRPr="00295E71" w:rsidP="00C26956" w14:paraId="4B37347C" w14:textId="77777777">
      <w:pPr>
        <w:pStyle w:val="ListParagraph"/>
        <w:keepNext/>
        <w:tabs>
          <w:tab w:val="left" w:pos="567"/>
        </w:tabs>
        <w:jc w:val="both"/>
        <w:rPr>
          <w:sz w:val="22"/>
          <w:szCs w:val="22"/>
        </w:rPr>
      </w:pPr>
    </w:p>
    <w:p w:rsidR="00C26956" w:rsidRPr="00295E71" w:rsidP="00C26956" w14:paraId="1FE5604D" w14:textId="77777777">
      <w:pPr>
        <w:pStyle w:val="ListParagraph"/>
        <w:keepNext/>
        <w:numPr>
          <w:ilvl w:val="0"/>
          <w:numId w:val="123"/>
        </w:numPr>
        <w:jc w:val="both"/>
        <w:rPr>
          <w:sz w:val="22"/>
          <w:szCs w:val="22"/>
        </w:rPr>
      </w:pPr>
      <w:r w:rsidRPr="00295E71">
        <w:rPr>
          <w:sz w:val="22"/>
          <w:szCs w:val="22"/>
        </w:rPr>
        <w:t xml:space="preserve">Riceverà istruzioni dal medico, dall’infermiere o dal farmacista sulla tecnica dell’auto-somministrazione. </w:t>
      </w:r>
    </w:p>
    <w:p w:rsidR="00C26956" w:rsidRPr="00295E71" w:rsidP="00C26956" w14:paraId="3DAC28FD" w14:textId="77777777">
      <w:pPr>
        <w:pStyle w:val="ListParagraph"/>
        <w:keepNext/>
        <w:rPr>
          <w:sz w:val="22"/>
          <w:szCs w:val="22"/>
        </w:rPr>
      </w:pPr>
    </w:p>
    <w:p w:rsidR="00C26956" w:rsidRPr="00295E71" w:rsidP="00C26956" w14:paraId="10AD4289" w14:textId="77777777">
      <w:pPr>
        <w:pStyle w:val="ListParagraph"/>
        <w:keepNext/>
        <w:numPr>
          <w:ilvl w:val="0"/>
          <w:numId w:val="123"/>
        </w:numPr>
        <w:jc w:val="both"/>
        <w:rPr>
          <w:sz w:val="22"/>
          <w:szCs w:val="22"/>
        </w:rPr>
      </w:pPr>
      <w:r w:rsidRPr="00295E71">
        <w:rPr>
          <w:sz w:val="22"/>
          <w:szCs w:val="22"/>
        </w:rPr>
        <w:t>Non proceda all’iniezione da solo finché non è sicuro di aver capito come preparare ed eseguire l’iniezione.</w:t>
      </w:r>
    </w:p>
    <w:p w:rsidR="00C26956" w:rsidRPr="00295E71" w:rsidP="00C26956" w14:paraId="61DE4654" w14:textId="77777777">
      <w:pPr>
        <w:pStyle w:val="ListParagraph"/>
        <w:keepNext/>
        <w:rPr>
          <w:sz w:val="22"/>
          <w:szCs w:val="22"/>
        </w:rPr>
      </w:pPr>
    </w:p>
    <w:p w:rsidR="00C26956" w:rsidRPr="00295E71" w:rsidP="00C26956" w14:paraId="273CE613" w14:textId="77777777">
      <w:pPr>
        <w:pStyle w:val="ListParagraph"/>
        <w:keepNext/>
        <w:numPr>
          <w:ilvl w:val="0"/>
          <w:numId w:val="123"/>
        </w:numPr>
        <w:jc w:val="both"/>
        <w:rPr>
          <w:sz w:val="22"/>
          <w:szCs w:val="22"/>
        </w:rPr>
      </w:pPr>
      <w:r w:rsidRPr="00295E71">
        <w:rPr>
          <w:sz w:val="22"/>
          <w:szCs w:val="22"/>
        </w:rPr>
        <w:t>Dopo adeguate istruzioni l’iniezione può essere eseguita da lei o da altre persone quali, ad esempio, un familiare o un amico.</w:t>
      </w:r>
    </w:p>
    <w:p w:rsidR="00C26956" w:rsidRPr="00295E71" w:rsidP="00C26956" w14:paraId="66532D68" w14:textId="77777777">
      <w:pPr>
        <w:pStyle w:val="ListParagraph"/>
        <w:keepNext/>
        <w:rPr>
          <w:sz w:val="22"/>
          <w:szCs w:val="22"/>
        </w:rPr>
      </w:pPr>
    </w:p>
    <w:p w:rsidR="00C26956" w:rsidRPr="00295E71" w:rsidP="00C26956" w14:paraId="2001EC10" w14:textId="77777777">
      <w:pPr>
        <w:pStyle w:val="ListParagraph"/>
        <w:keepNext/>
        <w:numPr>
          <w:ilvl w:val="0"/>
          <w:numId w:val="123"/>
        </w:numPr>
        <w:tabs>
          <w:tab w:val="left" w:pos="567"/>
        </w:tabs>
        <w:jc w:val="both"/>
        <w:rPr>
          <w:sz w:val="22"/>
          <w:szCs w:val="22"/>
        </w:rPr>
      </w:pPr>
      <w:r w:rsidRPr="00295E71">
        <w:rPr>
          <w:sz w:val="22"/>
          <w:szCs w:val="22"/>
        </w:rPr>
        <w:tab/>
        <w:t>Usi ciascuna siringa pre-riempita esclusivamente per una sola iniezione.</w:t>
      </w:r>
    </w:p>
    <w:p w:rsidR="00C26956" w:rsidRPr="00295E71" w:rsidP="00C26956" w14:paraId="04C9F044" w14:textId="77777777">
      <w:pPr>
        <w:tabs>
          <w:tab w:val="left" w:pos="567"/>
        </w:tabs>
        <w:jc w:val="both"/>
        <w:rPr>
          <w:sz w:val="22"/>
          <w:szCs w:val="22"/>
        </w:rPr>
      </w:pPr>
    </w:p>
    <w:p w:rsidR="00C26956" w:rsidRPr="00295E71" w:rsidP="00C26956" w14:paraId="52131AFF" w14:textId="77777777">
      <w:pPr>
        <w:keepNext/>
        <w:rPr>
          <w:b/>
          <w:sz w:val="22"/>
          <w:szCs w:val="22"/>
        </w:rPr>
      </w:pPr>
      <w:r w:rsidRPr="00295E71">
        <w:rPr>
          <w:b/>
          <w:sz w:val="22"/>
          <w:szCs w:val="22"/>
        </w:rPr>
        <w:t>Siringa pre-riempita di Humira</w:t>
      </w:r>
    </w:p>
    <w:p w:rsidR="00C26956" w:rsidRPr="00295E71" w:rsidP="00C26956" w14:paraId="41FF8E9D" w14:textId="77777777">
      <w:pPr>
        <w:keepNext/>
        <w:rPr>
          <w:sz w:val="22"/>
          <w:szCs w:val="22"/>
        </w:rPr>
      </w:pPr>
    </w:p>
    <w:p w:rsidR="00C26956" w:rsidRPr="00295E71" w:rsidP="00C26956" w14:paraId="040EFF0C" w14:textId="77777777">
      <w:pPr>
        <w:keepNext/>
        <w:rPr>
          <w:b/>
          <w:sz w:val="22"/>
          <w:szCs w:val="22"/>
        </w:rPr>
      </w:pPr>
      <w:r w:rsidRPr="00295E71">
        <w:rPr>
          <w:b/>
          <w:sz w:val="22"/>
          <w:szCs w:val="22"/>
        </w:rPr>
        <w:tab/>
      </w:r>
      <w:r w:rsidRPr="00295E71">
        <w:rPr>
          <w:b/>
          <w:sz w:val="22"/>
          <w:szCs w:val="22"/>
        </w:rPr>
        <w:tab/>
        <w:t>Stantuffo</w:t>
      </w:r>
      <w:r w:rsidRPr="00295E71">
        <w:rPr>
          <w:b/>
          <w:sz w:val="22"/>
          <w:szCs w:val="22"/>
        </w:rPr>
        <w:tab/>
      </w:r>
      <w:r w:rsidRPr="00295E71">
        <w:rPr>
          <w:b/>
          <w:sz w:val="22"/>
          <w:szCs w:val="22"/>
        </w:rPr>
        <w:tab/>
        <w:t>Impugnatura per le dita</w:t>
      </w:r>
      <w:r w:rsidRPr="00295E71">
        <w:rPr>
          <w:b/>
          <w:sz w:val="22"/>
          <w:szCs w:val="22"/>
        </w:rPr>
        <w:tab/>
        <w:t>Tappo dell’ago</w:t>
      </w:r>
    </w:p>
    <w:p w:rsidR="00C26956" w:rsidP="00C26956" w14:paraId="4E5B12F3" w14:textId="77777777">
      <w:pPr>
        <w:keepNext/>
        <w:jc w:val="center"/>
        <w:rPr>
          <w:sz w:val="22"/>
          <w:szCs w:val="22"/>
        </w:rPr>
      </w:pPr>
    </w:p>
    <w:p w:rsidR="006334C7" w:rsidRPr="00295E71" w:rsidP="00C26956" w14:paraId="16F2D8D5" w14:textId="77777777">
      <w:pPr>
        <w:keepNext/>
        <w:jc w:val="center"/>
        <w:rPr>
          <w:sz w:val="22"/>
          <w:szCs w:val="22"/>
        </w:rPr>
      </w:pPr>
      <w:r w:rsidRPr="00910CE7">
        <w:rPr>
          <w:noProof/>
          <w:lang w:val="en-GB"/>
        </w:rPr>
        <w:drawing>
          <wp:inline distT="0" distB="0" distL="0" distR="0">
            <wp:extent cx="3364992" cy="1478124"/>
            <wp:effectExtent l="0" t="0" r="6985"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Humira_Exploded_Syringe_Only_new grey.jpg"/>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rsidR="00C26956" w:rsidRPr="00295E71" w:rsidP="00C26956" w14:paraId="7D753413" w14:textId="77777777">
      <w:pPr>
        <w:rPr>
          <w:sz w:val="22"/>
          <w:szCs w:val="22"/>
        </w:rPr>
      </w:pPr>
    </w:p>
    <w:p w:rsidR="00C26956" w:rsidRPr="00295E71" w:rsidP="00C26956" w14:paraId="145BAECC" w14:textId="77777777">
      <w:pPr>
        <w:pStyle w:val="EMEAHeadingLeaflet"/>
        <w:keepNext/>
        <w:spacing w:beforeLines="0" w:afterLines="0"/>
        <w:rPr>
          <w:rFonts w:ascii="Times New Roman" w:hAnsi="Times New Roman"/>
          <w:szCs w:val="22"/>
          <w:lang w:val="it-IT"/>
        </w:rPr>
      </w:pPr>
      <w:r w:rsidRPr="00295E71">
        <w:rPr>
          <w:rFonts w:ascii="Times New Roman" w:hAnsi="Times New Roman"/>
          <w:szCs w:val="22"/>
          <w:lang w:val="it-IT"/>
        </w:rPr>
        <w:t>Non usi la siringa pre-riempita e si rivolga al medico o al farmacista se</w:t>
      </w:r>
    </w:p>
    <w:p w:rsidR="00C26956" w:rsidRPr="00295E71" w:rsidP="00C26956" w14:paraId="1C4D7F2F" w14:textId="77777777">
      <w:pPr>
        <w:pStyle w:val="EMEANormal"/>
        <w:rPr>
          <w:lang w:val="it-IT"/>
        </w:rPr>
      </w:pPr>
    </w:p>
    <w:p w:rsidR="00C26956" w:rsidRPr="00295E71" w:rsidP="00C26956" w14:paraId="6414F4F4"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soluzione appare torbida, ha cambiato colore, o presenta flocculi e particelle</w:t>
      </w:r>
    </w:p>
    <w:p w:rsidR="00C26956" w:rsidRPr="00295E71" w:rsidP="00C26956" w14:paraId="13062E67"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è stata oltrepassata la data di scadenza (Scad.) </w:t>
      </w:r>
    </w:p>
    <w:p w:rsidR="00C26956" w:rsidRPr="00295E71" w:rsidP="00C26956" w14:paraId="6F2EDF43"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soluzione è stata congelata o lasciata esposta alla luce solare diretta</w:t>
      </w:r>
    </w:p>
    <w:p w:rsidR="00C26956" w:rsidRPr="00295E71" w:rsidP="00C26956" w14:paraId="7437EFDE"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siringa pre-riempita è caduta o è stata danneggiata</w:t>
      </w:r>
    </w:p>
    <w:p w:rsidR="00C26956" w:rsidRPr="00295E71" w:rsidP="00C26956" w14:paraId="20FA1275" w14:textId="77777777">
      <w:pPr>
        <w:pStyle w:val="EMEANormal"/>
        <w:rPr>
          <w:lang w:val="it-IT"/>
        </w:rPr>
      </w:pPr>
    </w:p>
    <w:p w:rsidR="00C26956" w:rsidRPr="00295E71" w:rsidP="00C26956" w14:paraId="34A2E141" w14:textId="77777777">
      <w:pPr>
        <w:pStyle w:val="EMEAHeadingLeaflet"/>
        <w:keepNext/>
        <w:tabs>
          <w:tab w:val="left" w:pos="0"/>
        </w:tabs>
        <w:spacing w:beforeLines="0" w:afterLines="0"/>
        <w:rPr>
          <w:rFonts w:ascii="Times New Roman" w:hAnsi="Times New Roman"/>
          <w:szCs w:val="22"/>
          <w:lang w:val="it-IT"/>
        </w:rPr>
      </w:pPr>
      <w:r w:rsidRPr="00295E71">
        <w:rPr>
          <w:rFonts w:ascii="Times New Roman" w:hAnsi="Times New Roman"/>
          <w:szCs w:val="22"/>
          <w:lang w:val="it-IT"/>
        </w:rPr>
        <w:t>Rimuova il tappo dell’ago solo immediatamente prima dell’iniezione. Tenga Humira fuori dalla vista e dalla portata dei bambini.</w:t>
      </w:r>
    </w:p>
    <w:p w:rsidR="00C26956" w:rsidRPr="00295E71" w:rsidP="00C26956" w14:paraId="67A850C7" w14:textId="77777777">
      <w:pPr>
        <w:pStyle w:val="EMEANormal"/>
        <w:rPr>
          <w:lang w:val="it-I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64B5C548" w14:textId="77777777" w:rsidTr="009D52F1">
        <w:tblPrEx>
          <w:tblW w:w="9287" w:type="dxa"/>
          <w:tblLayout w:type="fixed"/>
          <w:tblLook w:val="04A0"/>
        </w:tblPrEx>
        <w:tc>
          <w:tcPr>
            <w:tcW w:w="9287" w:type="dxa"/>
            <w:gridSpan w:val="2"/>
            <w:tcBorders>
              <w:top w:val="single" w:sz="4" w:space="0" w:color="auto"/>
              <w:left w:val="single" w:sz="4" w:space="0" w:color="auto"/>
              <w:bottom w:val="single" w:sz="4" w:space="0" w:color="auto"/>
              <w:right w:val="single" w:sz="4" w:space="0" w:color="auto"/>
            </w:tcBorders>
          </w:tcPr>
          <w:p w:rsidR="00C26956" w:rsidRPr="00295E71" w:rsidP="00986889" w14:paraId="3F2FDE26" w14:textId="77777777">
            <w:pPr>
              <w:pStyle w:val="EMEAHeadingLeaflet"/>
              <w:keepNext/>
              <w:spacing w:beforeLines="0" w:afterLines="0"/>
              <w:rPr>
                <w:rFonts w:ascii="Times New Roman" w:hAnsi="Times New Roman"/>
                <w:szCs w:val="22"/>
                <w:lang w:val="it-IT"/>
              </w:rPr>
            </w:pPr>
            <w:r w:rsidRPr="00295E71">
              <w:rPr>
                <w:rFonts w:ascii="Times New Roman" w:hAnsi="Times New Roman"/>
                <w:szCs w:val="22"/>
                <w:lang w:val="it-IT"/>
              </w:rPr>
              <w:br w:type="page"/>
              <w:t>STEP 1</w:t>
            </w:r>
          </w:p>
          <w:p w:rsidR="00C26956" w:rsidRPr="00295E71" w:rsidP="00986889" w14:paraId="2A6A3B50" w14:textId="77777777">
            <w:pPr>
              <w:pStyle w:val="EMEANormal"/>
              <w:keepNext/>
              <w:rPr>
                <w:lang w:val="it-IT"/>
              </w:rPr>
            </w:pPr>
          </w:p>
          <w:p w:rsidR="00C26956" w:rsidRPr="00295E71" w:rsidP="00986889" w14:paraId="487227EE" w14:textId="77777777">
            <w:pPr>
              <w:pStyle w:val="EMEAHeadingLeaflet"/>
              <w:keepNext/>
              <w:spacing w:beforeLines="0" w:afterLines="0"/>
              <w:rPr>
                <w:rFonts w:ascii="Times New Roman" w:hAnsi="Times New Roman"/>
                <w:b w:val="0"/>
                <w:bCs/>
                <w:szCs w:val="22"/>
                <w:lang w:val="it-IT"/>
              </w:rPr>
            </w:pPr>
            <w:r w:rsidRPr="00295E71">
              <w:rPr>
                <w:rFonts w:ascii="Times New Roman" w:hAnsi="Times New Roman"/>
                <w:b w:val="0"/>
                <w:bCs/>
                <w:szCs w:val="22"/>
                <w:lang w:val="it-IT"/>
              </w:rPr>
              <w:t>Tolga Humira dal frigorifero.</w:t>
            </w:r>
          </w:p>
          <w:p w:rsidR="00C26956" w:rsidRPr="00295E71" w:rsidP="00986889" w14:paraId="5E72B452" w14:textId="77777777">
            <w:pPr>
              <w:pStyle w:val="EMEANormal"/>
              <w:keepNext/>
              <w:rPr>
                <w:lang w:val="it-IT"/>
              </w:rPr>
            </w:pPr>
          </w:p>
          <w:p w:rsidR="00C26956" w:rsidRPr="00295E71" w:rsidP="00986889" w14:paraId="717C85FA" w14:textId="77777777">
            <w:pPr>
              <w:pStyle w:val="EMEAHeadingLeaflet"/>
              <w:keepNext/>
              <w:spacing w:beforeLines="0" w:afterLines="0"/>
              <w:rPr>
                <w:rFonts w:ascii="Times New Roman" w:hAnsi="Times New Roman"/>
                <w:szCs w:val="22"/>
                <w:lang w:val="it-IT"/>
              </w:rPr>
            </w:pPr>
            <w:r w:rsidRPr="00295E71">
              <w:rPr>
                <w:rFonts w:ascii="Times New Roman" w:hAnsi="Times New Roman"/>
                <w:b w:val="0"/>
                <w:szCs w:val="22"/>
                <w:lang w:val="it-IT"/>
              </w:rPr>
              <w:t xml:space="preserve">Prima di effettuare l’iniezione, lasci Humira a temperatura ambiente per </w:t>
            </w:r>
            <w:r w:rsidRPr="00295E71">
              <w:rPr>
                <w:rFonts w:ascii="Times New Roman" w:hAnsi="Times New Roman"/>
                <w:szCs w:val="22"/>
                <w:lang w:val="it-IT"/>
              </w:rPr>
              <w:t>15-30 minuti</w:t>
            </w:r>
            <w:r w:rsidRPr="00295E71">
              <w:rPr>
                <w:rFonts w:ascii="Times New Roman" w:hAnsi="Times New Roman"/>
                <w:b w:val="0"/>
                <w:szCs w:val="22"/>
                <w:lang w:val="it-IT"/>
              </w:rPr>
              <w:t>.</w:t>
            </w:r>
          </w:p>
          <w:p w:rsidR="00C26956" w:rsidRPr="00295E71" w:rsidP="00986889" w14:paraId="512CC001" w14:textId="77777777">
            <w:pPr>
              <w:pStyle w:val="EMEAHeadingLeaflet"/>
              <w:keepNext/>
              <w:numPr>
                <w:ilvl w:val="0"/>
                <w:numId w:val="101"/>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rimuova il tappo dell’ago mentre attende cheHumira raggiunga la temperatura ambiente</w:t>
            </w:r>
          </w:p>
          <w:p w:rsidR="00C26956" w:rsidRPr="00295E71" w:rsidP="00986889" w14:paraId="3CCECDB1" w14:textId="77777777">
            <w:pPr>
              <w:pStyle w:val="EMEANormal"/>
              <w:keepNext/>
              <w:numPr>
                <w:ilvl w:val="0"/>
                <w:numId w:val="101"/>
              </w:numPr>
              <w:tabs>
                <w:tab w:val="clear" w:pos="562"/>
                <w:tab w:val="left" w:pos="720"/>
              </w:tabs>
              <w:rPr>
                <w:lang w:val="it-IT"/>
              </w:rPr>
            </w:pPr>
            <w:r w:rsidRPr="00295E71">
              <w:rPr>
                <w:b/>
                <w:lang w:val="it-IT"/>
              </w:rPr>
              <w:t xml:space="preserve">Non </w:t>
            </w:r>
            <w:r w:rsidRPr="00295E71">
              <w:rPr>
                <w:lang w:val="it-IT"/>
              </w:rPr>
              <w:t>riscaldi Humira in altri modi. Ad esempio,</w:t>
            </w:r>
            <w:r w:rsidRPr="00295E71">
              <w:rPr>
                <w:b/>
                <w:lang w:val="it-IT"/>
              </w:rPr>
              <w:t xml:space="preserve"> non</w:t>
            </w:r>
            <w:r w:rsidRPr="00295E71">
              <w:rPr>
                <w:lang w:val="it-IT"/>
              </w:rPr>
              <w:t xml:space="preserve"> riscaldi nel microonde o nell’acqua calda.</w:t>
            </w:r>
          </w:p>
        </w:tc>
      </w:tr>
      <w:tr w14:paraId="68177035" w14:textId="77777777" w:rsidTr="009D52F1">
        <w:tblPrEx>
          <w:tblW w:w="9287" w:type="dxa"/>
          <w:tblLayout w:type="fixed"/>
          <w:tblLook w:val="04A0"/>
        </w:tblPrEx>
        <w:tc>
          <w:tcPr>
            <w:tcW w:w="3708" w:type="dxa"/>
            <w:tcBorders>
              <w:top w:val="single" w:sz="4" w:space="0" w:color="auto"/>
              <w:left w:val="single" w:sz="4" w:space="0" w:color="auto"/>
              <w:bottom w:val="single" w:sz="4" w:space="0" w:color="auto"/>
              <w:right w:val="nil"/>
            </w:tcBorders>
          </w:tcPr>
          <w:p w:rsidR="00C26956" w:rsidRPr="00295E71" w:rsidP="00986889" w14:paraId="2C5E4E06" w14:textId="77777777">
            <w:pPr>
              <w:pStyle w:val="EMEANormal"/>
              <w:keepNext/>
              <w:rPr>
                <w:b/>
                <w:lang w:val="it-IT"/>
              </w:rPr>
            </w:pPr>
            <w:r w:rsidRPr="00295E71">
              <w:rPr>
                <w:b/>
                <w:lang w:val="it-IT"/>
              </w:rPr>
              <w:t xml:space="preserve">STEP 2 </w:t>
            </w:r>
          </w:p>
          <w:p w:rsidR="00C26956" w:rsidRPr="00295E71" w:rsidP="00986889" w14:paraId="38E4011D" w14:textId="77777777">
            <w:pPr>
              <w:pStyle w:val="EMEANormal"/>
              <w:keepNext/>
              <w:rPr>
                <w:lang w:val="it-IT"/>
              </w:rPr>
            </w:pPr>
          </w:p>
          <w:p w:rsidR="00C26956" w:rsidRPr="00295E71" w:rsidP="00986889" w14:paraId="1E0B9393" w14:textId="77777777">
            <w:pPr>
              <w:pStyle w:val="EMEANormal"/>
              <w:keepNext/>
              <w:rPr>
                <w:b/>
                <w:lang w:val="it-IT"/>
              </w:rPr>
            </w:pPr>
            <w:r w:rsidRPr="00295E71">
              <w:rPr>
                <w:b/>
                <w:lang w:val="it-IT"/>
              </w:rPr>
              <w:t xml:space="preserve">           Siringa</w:t>
            </w:r>
          </w:p>
          <w:p w:rsidR="00C26956" w:rsidP="00986889" w14:paraId="3D29204E" w14:textId="77777777">
            <w:pPr>
              <w:pStyle w:val="EMEANormal"/>
              <w:keepNext/>
              <w:rPr>
                <w:lang w:val="it-IT"/>
              </w:rPr>
            </w:pPr>
          </w:p>
          <w:p w:rsidR="007E53D3" w:rsidRPr="00295E71" w:rsidP="00986889" w14:paraId="6DC92920" w14:textId="77777777">
            <w:pPr>
              <w:pStyle w:val="EMEANormal"/>
              <w:keepNext/>
              <w:rPr>
                <w:lang w:val="it-IT"/>
              </w:rPr>
            </w:pPr>
            <w:r w:rsidRPr="00910CE7">
              <w:rPr>
                <w:noProof/>
                <w:lang w:val="en-GB"/>
              </w:rPr>
              <w:drawing>
                <wp:inline distT="0" distB="0" distL="0" distR="0">
                  <wp:extent cx="2139696" cy="1980383"/>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TEP_2_SYRINGE_IFU_SETUP_new grey.jpg"/>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39696" cy="1980383"/>
                          </a:xfrm>
                          <a:prstGeom prst="rect">
                            <a:avLst/>
                          </a:prstGeom>
                        </pic:spPr>
                      </pic:pic>
                    </a:graphicData>
                  </a:graphic>
                </wp:inline>
              </w:drawing>
            </w:r>
          </w:p>
          <w:p w:rsidR="00C26956" w:rsidRPr="00295E71" w:rsidP="00986889" w14:paraId="593B93D4" w14:textId="77777777">
            <w:pPr>
              <w:pStyle w:val="EMEANormal"/>
              <w:keepNext/>
              <w:rPr>
                <w:b/>
                <w:lang w:val="it-IT"/>
              </w:rPr>
            </w:pPr>
            <w:r w:rsidRPr="00295E71">
              <w:rPr>
                <w:b/>
                <w:lang w:val="it-IT"/>
              </w:rPr>
              <w:t xml:space="preserve">                Tampone</w:t>
            </w:r>
          </w:p>
        </w:tc>
        <w:tc>
          <w:tcPr>
            <w:tcW w:w="5579" w:type="dxa"/>
            <w:tcBorders>
              <w:top w:val="single" w:sz="4" w:space="0" w:color="auto"/>
              <w:left w:val="nil"/>
              <w:bottom w:val="single" w:sz="4" w:space="0" w:color="auto"/>
              <w:right w:val="single" w:sz="4" w:space="0" w:color="auto"/>
            </w:tcBorders>
          </w:tcPr>
          <w:p w:rsidR="00C26956" w:rsidRPr="00295E71" w:rsidP="00986889" w14:paraId="5DA318BC"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bCs/>
                <w:szCs w:val="22"/>
                <w:lang w:val="it-IT"/>
              </w:rPr>
              <w:t>Controlli la data di scadenza (Scad.).</w:t>
            </w:r>
            <w:r w:rsidRPr="00295E71">
              <w:rPr>
                <w:rFonts w:ascii="Times New Roman" w:hAnsi="Times New Roman"/>
                <w:bCs/>
                <w:szCs w:val="22"/>
                <w:lang w:val="it-IT"/>
              </w:rPr>
              <w:t>Non</w:t>
            </w:r>
            <w:r w:rsidRPr="00295E71">
              <w:rPr>
                <w:rFonts w:ascii="Times New Roman" w:hAnsi="Times New Roman"/>
                <w:b w:val="0"/>
                <w:szCs w:val="22"/>
                <w:lang w:val="it-IT"/>
              </w:rPr>
              <w:t xml:space="preserve"> usi la siringa pre-riempita se è stata oltrepassata la data di scadenza(Scad.).</w:t>
            </w:r>
          </w:p>
          <w:p w:rsidR="00C26956" w:rsidRPr="00295E71" w:rsidP="00986889" w14:paraId="54F8D3A4" w14:textId="77777777">
            <w:pPr>
              <w:pStyle w:val="EMEANormal"/>
              <w:keepNext/>
              <w:rPr>
                <w:lang w:val="it-IT"/>
              </w:rPr>
            </w:pPr>
          </w:p>
          <w:p w:rsidR="00C26956" w:rsidRPr="00295E71" w:rsidP="00986889" w14:paraId="68DC1145"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Disponga i seguenti oggetti su una superficie pulita e piana</w:t>
            </w:r>
          </w:p>
          <w:p w:rsidR="00C26956" w:rsidRPr="00295E71" w:rsidP="00986889" w14:paraId="5D8F63F9" w14:textId="77777777">
            <w:pPr>
              <w:pStyle w:val="EMEANormal"/>
              <w:keepNext/>
              <w:spacing w:line="260" w:lineRule="exact"/>
              <w:ind w:left="357" w:hanging="357"/>
              <w:outlineLvl w:val="0"/>
              <w:rPr>
                <w:lang w:val="it-IT"/>
              </w:rPr>
            </w:pPr>
          </w:p>
          <w:p w:rsidR="00C26956" w:rsidRPr="00295E71" w:rsidP="00986889" w14:paraId="60FB347A" w14:textId="77777777">
            <w:pPr>
              <w:pStyle w:val="EMEAHeadingLeaflet"/>
              <w:keepNext/>
              <w:numPr>
                <w:ilvl w:val="0"/>
                <w:numId w:val="102"/>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 xml:space="preserve">1 siringa monouso pre-riempita </w:t>
            </w:r>
          </w:p>
          <w:p w:rsidR="00C26956" w:rsidRPr="00295E71" w:rsidP="00986889" w14:paraId="2019112D" w14:textId="77777777">
            <w:pPr>
              <w:pStyle w:val="EMEAHeadingLeaflet"/>
              <w:keepNext/>
              <w:numPr>
                <w:ilvl w:val="0"/>
                <w:numId w:val="102"/>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1 tampone imbevuto d’alcool</w:t>
            </w:r>
          </w:p>
          <w:p w:rsidR="00C26956" w:rsidRPr="00295E71" w:rsidP="00986889" w14:paraId="7CB4B18D" w14:textId="77777777">
            <w:pPr>
              <w:pStyle w:val="EMEANormal"/>
              <w:keepNext/>
              <w:rPr>
                <w:lang w:val="it-IT"/>
              </w:rPr>
            </w:pPr>
          </w:p>
          <w:p w:rsidR="00C26956" w:rsidRPr="00295E71" w:rsidP="00986889" w14:paraId="3B0C75FE" w14:textId="77777777">
            <w:pPr>
              <w:pStyle w:val="EMEANormal"/>
              <w:keepNext/>
              <w:rPr>
                <w:lang w:val="it-IT"/>
              </w:rPr>
            </w:pPr>
            <w:r w:rsidRPr="00295E71">
              <w:rPr>
                <w:lang w:val="it-IT"/>
              </w:rPr>
              <w:t>Si lavi e si asciughi le mani.</w:t>
            </w:r>
          </w:p>
        </w:tc>
      </w:tr>
    </w:tbl>
    <w:p w:rsidR="00C26956" w:rsidRPr="00295E71" w:rsidP="00C26956" w14:paraId="66388069" w14:textId="77777777">
      <w:pPr>
        <w:keepNext/>
        <w:rPr>
          <w:sz w:val="22"/>
          <w:szCs w:val="22"/>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3D300E30" w14:textId="77777777" w:rsidTr="009D52F1">
        <w:tblPrEx>
          <w:tblW w:w="9287" w:type="dxa"/>
          <w:tblLayout w:type="fixed"/>
          <w:tblLook w:val="04A0"/>
        </w:tblPrEx>
        <w:tc>
          <w:tcPr>
            <w:tcW w:w="3708" w:type="dxa"/>
            <w:tcBorders>
              <w:top w:val="single" w:sz="4" w:space="0" w:color="auto"/>
              <w:left w:val="single" w:sz="4" w:space="0" w:color="auto"/>
              <w:bottom w:val="single" w:sz="4" w:space="0" w:color="auto"/>
              <w:right w:val="nil"/>
            </w:tcBorders>
          </w:tcPr>
          <w:p w:rsidR="00C26956" w:rsidRPr="00295E71" w:rsidP="009D52F1" w14:paraId="20A33036" w14:textId="77777777">
            <w:pPr>
              <w:pStyle w:val="EMEANormal"/>
              <w:keepNext/>
              <w:rPr>
                <w:lang w:val="it-IT"/>
              </w:rPr>
            </w:pPr>
            <w:r w:rsidRPr="00295E71">
              <w:rPr>
                <w:lang w:val="it-IT"/>
              </w:rPr>
              <w:br w:type="page"/>
            </w:r>
            <w:r w:rsidRPr="00295E71">
              <w:rPr>
                <w:b/>
                <w:lang w:val="it-IT"/>
              </w:rPr>
              <w:t>STEP 3</w:t>
            </w:r>
          </w:p>
          <w:p w:rsidR="00C26956" w:rsidRPr="00295E71" w:rsidP="009D52F1" w14:paraId="2F7D48F5" w14:textId="77777777">
            <w:pPr>
              <w:pStyle w:val="EMEANormal"/>
              <w:keepNext/>
              <w:rPr>
                <w:lang w:val="it-IT"/>
              </w:rPr>
            </w:pPr>
          </w:p>
          <w:p w:rsidR="00C26956" w:rsidRPr="00295E71" w:rsidP="009D52F1" w14:paraId="7464A176" w14:textId="77777777">
            <w:pPr>
              <w:pStyle w:val="EMEANormal"/>
              <w:keepNext/>
              <w:rPr>
                <w:b/>
                <w:lang w:val="it-IT"/>
              </w:rPr>
            </w:pPr>
            <w:r w:rsidRPr="00295E71">
              <w:rPr>
                <w:b/>
                <w:lang w:val="it-IT"/>
              </w:rPr>
              <w:t>Aree di iniezione</w:t>
            </w:r>
          </w:p>
          <w:p w:rsidR="00C26956" w:rsidRPr="00295E71" w:rsidP="009D52F1" w14:paraId="5393307D" w14:textId="77777777">
            <w:pPr>
              <w:pStyle w:val="EMEANormal"/>
              <w:keepNext/>
              <w:rPr>
                <w:lang w:val="it-IT"/>
              </w:rPr>
            </w:pPr>
            <w:r w:rsidRPr="00910CE7">
              <w:rPr>
                <w:noProof/>
                <w:lang w:val="en-GB"/>
              </w:rPr>
              <w:drawing>
                <wp:inline distT="0" distB="0" distL="0" distR="0">
                  <wp:extent cx="2276475" cy="2381250"/>
                  <wp:effectExtent l="0" t="0" r="9525" b="0"/>
                  <wp:docPr id="42" name="Picture 42"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 descr="STEP3_grey"/>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rsidR="00C26956" w:rsidRPr="00295E71" w:rsidP="009D52F1" w14:paraId="50B818BB" w14:textId="77777777">
            <w:pPr>
              <w:pStyle w:val="EMEANormal"/>
              <w:keepNext/>
              <w:rPr>
                <w:b/>
                <w:lang w:val="it-IT"/>
              </w:rPr>
            </w:pPr>
            <w:r w:rsidRPr="00295E71">
              <w:rPr>
                <w:b/>
                <w:lang w:val="it-IT"/>
              </w:rPr>
              <w:t>Aree di iniezione</w:t>
            </w:r>
          </w:p>
        </w:tc>
        <w:tc>
          <w:tcPr>
            <w:tcW w:w="5579" w:type="dxa"/>
            <w:tcBorders>
              <w:top w:val="single" w:sz="4" w:space="0" w:color="auto"/>
              <w:left w:val="nil"/>
              <w:bottom w:val="single" w:sz="4" w:space="0" w:color="auto"/>
              <w:right w:val="single" w:sz="4" w:space="0" w:color="auto"/>
            </w:tcBorders>
          </w:tcPr>
          <w:p w:rsidR="00C26956" w:rsidRPr="00295E71" w:rsidP="009D52F1" w14:paraId="4199984C" w14:textId="77777777">
            <w:pPr>
              <w:tabs>
                <w:tab w:val="left" w:pos="567"/>
              </w:tabs>
              <w:jc w:val="both"/>
              <w:rPr>
                <w:sz w:val="22"/>
                <w:szCs w:val="22"/>
                <w:lang w:eastAsia="en-US"/>
              </w:rPr>
            </w:pPr>
            <w:r w:rsidRPr="00295E71">
              <w:rPr>
                <w:sz w:val="22"/>
                <w:szCs w:val="22"/>
                <w:lang w:eastAsia="en-US"/>
              </w:rPr>
              <w:t>Scel</w:t>
            </w:r>
            <w:r w:rsidRPr="00295E71">
              <w:rPr>
                <w:sz w:val="22"/>
                <w:szCs w:val="22"/>
              </w:rPr>
              <w:t>ga</w:t>
            </w:r>
            <w:r w:rsidRPr="00295E71">
              <w:rPr>
                <w:sz w:val="22"/>
                <w:szCs w:val="22"/>
                <w:lang w:eastAsia="en-US"/>
              </w:rPr>
              <w:t xml:space="preserve"> un sito di iniezione:</w:t>
            </w:r>
          </w:p>
          <w:p w:rsidR="00C26956" w:rsidRPr="00295E71" w:rsidP="009D52F1" w14:paraId="3C7477B2" w14:textId="77777777">
            <w:pPr>
              <w:tabs>
                <w:tab w:val="left" w:pos="567"/>
              </w:tabs>
              <w:jc w:val="both"/>
              <w:rPr>
                <w:sz w:val="22"/>
                <w:szCs w:val="22"/>
              </w:rPr>
            </w:pPr>
          </w:p>
          <w:p w:rsidR="00C26956" w:rsidRPr="00295E71" w:rsidP="009D52F1" w14:paraId="5B20CA91"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Sulla parte anteriore della coscia o</w:t>
            </w:r>
          </w:p>
          <w:p w:rsidR="00C26956" w:rsidRPr="00295E71" w:rsidP="009D52F1" w14:paraId="140813E4"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Sulla pancia (addome) ad almeno 5 cm dall’ombelico </w:t>
            </w:r>
          </w:p>
          <w:p w:rsidR="00C26956" w:rsidRPr="00295E71" w:rsidP="009D52F1" w14:paraId="14EFC4EF"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Ad almeno 3 cm dall’ultimo sito di iniezione</w:t>
            </w:r>
          </w:p>
          <w:p w:rsidR="00C26956" w:rsidRPr="00295E71" w:rsidP="009D52F1" w14:paraId="4D62B3A7" w14:textId="77777777">
            <w:pPr>
              <w:pStyle w:val="EMEANormal"/>
              <w:rPr>
                <w:lang w:val="it-IT"/>
              </w:rPr>
            </w:pPr>
          </w:p>
          <w:p w:rsidR="00C26956" w:rsidRPr="00295E71" w:rsidP="009D52F1" w14:paraId="5E92FBA9" w14:textId="77777777">
            <w:pPr>
              <w:pStyle w:val="EMEAHeadingLeaflet"/>
              <w:keepNext/>
              <w:spacing w:beforeLines="0" w:afterLines="0"/>
              <w:rPr>
                <w:rFonts w:ascii="Times New Roman" w:hAnsi="Times New Roman"/>
                <w:b w:val="0"/>
                <w:bCs/>
                <w:szCs w:val="22"/>
                <w:lang w:val="it-IT"/>
              </w:rPr>
            </w:pPr>
            <w:r w:rsidRPr="00295E71">
              <w:rPr>
                <w:rFonts w:ascii="Times New Roman" w:hAnsi="Times New Roman"/>
                <w:b w:val="0"/>
                <w:bCs/>
                <w:szCs w:val="22"/>
                <w:lang w:val="it-IT"/>
              </w:rPr>
              <w:t>Strofini il sito di iniezione con movimenti circolari, utilizzando il tampone imbevuto di alcool.</w:t>
            </w:r>
          </w:p>
          <w:p w:rsidR="00C26956" w:rsidRPr="00295E71" w:rsidP="009D52F1" w14:paraId="47CD751C" w14:textId="77777777">
            <w:pPr>
              <w:pStyle w:val="EMEANormal"/>
              <w:rPr>
                <w:lang w:val="it-IT"/>
              </w:rPr>
            </w:pPr>
          </w:p>
          <w:p w:rsidR="00C26956" w:rsidRPr="00295E71" w:rsidP="009D52F1" w14:paraId="30129089"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inietti attraverso i vestiti</w:t>
            </w:r>
          </w:p>
          <w:p w:rsidR="00C26956" w:rsidRPr="00295E71" w:rsidP="009D52F1" w14:paraId="533F97AF" w14:textId="77777777">
            <w:pPr>
              <w:pStyle w:val="EMEANormal"/>
              <w:keepNext/>
              <w:numPr>
                <w:ilvl w:val="0"/>
                <w:numId w:val="103"/>
              </w:numPr>
              <w:tabs>
                <w:tab w:val="clear" w:pos="562"/>
                <w:tab w:val="left" w:pos="757"/>
              </w:tabs>
              <w:rPr>
                <w:lang w:val="it-IT"/>
              </w:rPr>
            </w:pPr>
            <w:r w:rsidRPr="00295E71">
              <w:rPr>
                <w:b/>
                <w:lang w:val="it-IT"/>
              </w:rPr>
              <w:t xml:space="preserve">Non </w:t>
            </w:r>
            <w:r w:rsidRPr="00295E71">
              <w:rPr>
                <w:lang w:val="it-IT"/>
              </w:rPr>
              <w:t>inietti nei punti in cui la pelle appare arrossata o indurita, sono presenti ematomi,ulcere, cicatrici, smagliature o in aree con psoriasi a placche</w:t>
            </w:r>
          </w:p>
          <w:p w:rsidR="00C26956" w:rsidRPr="00295E71" w:rsidP="009D52F1" w14:paraId="49AAEC17" w14:textId="77777777">
            <w:pPr>
              <w:pStyle w:val="EMEAHeadingLeaflet"/>
              <w:keepNext/>
              <w:tabs>
                <w:tab w:val="clear" w:pos="562"/>
                <w:tab w:val="left" w:pos="757"/>
              </w:tabs>
              <w:spacing w:before="240" w:after="240"/>
              <w:ind w:left="757"/>
              <w:rPr>
                <w:rFonts w:ascii="Times New Roman" w:hAnsi="Times New Roman"/>
                <w:b w:val="0"/>
                <w:szCs w:val="22"/>
                <w:lang w:val="it-IT"/>
              </w:rPr>
            </w:pPr>
          </w:p>
        </w:tc>
      </w:tr>
      <w:tr w14:paraId="6F9D54BA" w14:textId="77777777" w:rsidTr="009D52F1">
        <w:tblPrEx>
          <w:tblW w:w="9287" w:type="dxa"/>
          <w:tblLayout w:type="fixed"/>
          <w:tblLook w:val="04A0"/>
        </w:tblPrEx>
        <w:tc>
          <w:tcPr>
            <w:tcW w:w="3708" w:type="dxa"/>
            <w:tcBorders>
              <w:top w:val="single" w:sz="4" w:space="0" w:color="auto"/>
              <w:left w:val="single" w:sz="4" w:space="0" w:color="auto"/>
              <w:bottom w:val="single" w:sz="4" w:space="0" w:color="auto"/>
              <w:right w:val="nil"/>
            </w:tcBorders>
            <w:hideMark/>
          </w:tcPr>
          <w:p w:rsidR="00C26956" w:rsidRPr="00295E71" w:rsidP="009D52F1" w14:paraId="779D2D7D" w14:textId="77777777">
            <w:pPr>
              <w:pStyle w:val="EMEANormal"/>
              <w:rPr>
                <w:lang w:val="it-IT"/>
              </w:rPr>
            </w:pPr>
            <w:r w:rsidRPr="00295E71">
              <w:rPr>
                <w:b/>
                <w:lang w:val="it-IT"/>
              </w:rPr>
              <w:t>STEP 4</w:t>
            </w:r>
          </w:p>
          <w:p w:rsidR="009E0317" w:rsidRPr="00295E71" w:rsidP="009E0317" w14:paraId="63E6FD62" w14:textId="77777777">
            <w:pPr>
              <w:pStyle w:val="EMEANormal"/>
              <w:spacing w:before="100" w:beforeAutospacing="1" w:after="100" w:afterAutospacing="1"/>
              <w:rPr>
                <w:b/>
                <w:lang w:val="it-IT"/>
              </w:rPr>
            </w:pPr>
            <w:r w:rsidRPr="00910CE7">
              <w:rPr>
                <w:b/>
                <w:noProof/>
                <w:lang w:val="en-GB"/>
              </w:rPr>
              <w:drawing>
                <wp:inline distT="0" distB="0" distL="0" distR="0">
                  <wp:extent cx="2011855" cy="1563624"/>
                  <wp:effectExtent l="0" t="0" r="762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STEP_4_SYRINGE_IFU_UNCAP_new grey.jpg"/>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11855" cy="1563624"/>
                          </a:xfrm>
                          <a:prstGeom prst="rect">
                            <a:avLst/>
                          </a:prstGeom>
                        </pic:spPr>
                      </pic:pic>
                    </a:graphicData>
                  </a:graphic>
                </wp:inline>
              </w:drawing>
            </w:r>
          </w:p>
        </w:tc>
        <w:tc>
          <w:tcPr>
            <w:tcW w:w="5579" w:type="dxa"/>
            <w:tcBorders>
              <w:top w:val="single" w:sz="4" w:space="0" w:color="auto"/>
              <w:left w:val="nil"/>
              <w:bottom w:val="single" w:sz="4" w:space="0" w:color="auto"/>
              <w:right w:val="single" w:sz="4" w:space="0" w:color="auto"/>
            </w:tcBorders>
          </w:tcPr>
          <w:p w:rsidR="00C26956" w:rsidRPr="00295E71" w:rsidP="009D52F1" w14:paraId="2F9384E0" w14:textId="77777777">
            <w:pPr>
              <w:pStyle w:val="EMEAHeadingLeaflet"/>
              <w:keepNext/>
              <w:spacing w:beforeLines="0" w:afterLines="0"/>
              <w:rPr>
                <w:rFonts w:ascii="Times New Roman" w:hAnsi="Times New Roman"/>
                <w:b w:val="0"/>
                <w:bCs/>
                <w:szCs w:val="22"/>
                <w:lang w:val="it-IT"/>
              </w:rPr>
            </w:pPr>
            <w:r w:rsidRPr="00295E71">
              <w:rPr>
                <w:rFonts w:ascii="Times New Roman" w:hAnsi="Times New Roman"/>
                <w:b w:val="0"/>
                <w:bCs/>
                <w:szCs w:val="22"/>
                <w:lang w:val="it-IT"/>
              </w:rPr>
              <w:t>Impugni la siringa pre-riempita con una mano.</w:t>
            </w:r>
          </w:p>
          <w:p w:rsidR="00C26956" w:rsidRPr="00295E71" w:rsidP="009D52F1" w14:paraId="495D4AE9" w14:textId="77777777">
            <w:pPr>
              <w:pStyle w:val="EMEANormal"/>
              <w:rPr>
                <w:lang w:val="it-IT"/>
              </w:rPr>
            </w:pPr>
          </w:p>
          <w:p w:rsidR="00C26956" w:rsidRPr="00295E71" w:rsidP="009D52F1" w14:paraId="1B0F95B4" w14:textId="77777777">
            <w:pPr>
              <w:pStyle w:val="EMEAHeadingLeaflet"/>
              <w:keepNext/>
              <w:spacing w:beforeLines="0" w:afterLines="0"/>
              <w:rPr>
                <w:rFonts w:ascii="Times New Roman" w:hAnsi="Times New Roman"/>
                <w:b w:val="0"/>
                <w:bCs/>
                <w:szCs w:val="22"/>
                <w:lang w:val="it-IT"/>
              </w:rPr>
            </w:pPr>
            <w:r w:rsidRPr="00295E71">
              <w:rPr>
                <w:rFonts w:ascii="Times New Roman" w:hAnsi="Times New Roman"/>
                <w:b w:val="0"/>
                <w:bCs/>
                <w:szCs w:val="22"/>
                <w:lang w:val="it-IT"/>
              </w:rPr>
              <w:t>Controlli il liquido nella siringa pre-riempita.</w:t>
            </w:r>
          </w:p>
          <w:p w:rsidR="00C26956" w:rsidRPr="00295E71" w:rsidP="009D52F1" w14:paraId="3FEED1B0" w14:textId="77777777">
            <w:pPr>
              <w:pStyle w:val="EMEANormal"/>
              <w:rPr>
                <w:lang w:val="it-IT"/>
              </w:rPr>
            </w:pPr>
          </w:p>
          <w:p w:rsidR="00C26956" w:rsidRPr="00295E71" w:rsidP="009D52F1" w14:paraId="47EF28B9" w14:textId="77777777">
            <w:pPr>
              <w:pStyle w:val="EMEAHeadingLeaflet"/>
              <w:keepNext/>
              <w:numPr>
                <w:ilvl w:val="0"/>
                <w:numId w:val="105"/>
              </w:numPr>
              <w:tabs>
                <w:tab w:val="clear" w:pos="562"/>
                <w:tab w:val="left" w:pos="792"/>
                <w:tab w:val="left" w:pos="1647"/>
              </w:tabs>
              <w:spacing w:beforeLines="0" w:afterLines="0"/>
              <w:ind w:left="792"/>
              <w:rPr>
                <w:rFonts w:ascii="Times New Roman" w:hAnsi="Times New Roman"/>
                <w:b w:val="0"/>
                <w:bCs/>
                <w:szCs w:val="22"/>
                <w:lang w:val="it-IT"/>
              </w:rPr>
            </w:pPr>
            <w:r w:rsidRPr="00295E71">
              <w:rPr>
                <w:rFonts w:ascii="Times New Roman" w:hAnsi="Times New Roman"/>
                <w:b w:val="0"/>
                <w:bCs/>
                <w:szCs w:val="22"/>
                <w:lang w:val="it-IT"/>
              </w:rPr>
              <w:t>Si assicuri che il liquido sia chiaro e incolore</w:t>
            </w:r>
          </w:p>
          <w:p w:rsidR="00C26956" w:rsidRPr="00295E71" w:rsidP="009D52F1" w14:paraId="3CFA2E9A" w14:textId="77777777">
            <w:pPr>
              <w:pStyle w:val="EMEAHeadingLeaflet"/>
              <w:keepNext/>
              <w:numPr>
                <w:ilvl w:val="0"/>
                <w:numId w:val="105"/>
              </w:numPr>
              <w:tabs>
                <w:tab w:val="clear" w:pos="562"/>
                <w:tab w:val="left" w:pos="792"/>
                <w:tab w:val="left" w:pos="1647"/>
              </w:tabs>
              <w:spacing w:beforeLines="0" w:afterLines="0"/>
              <w:ind w:left="792"/>
              <w:rPr>
                <w:rFonts w:ascii="Times New Roman" w:hAnsi="Times New Roman"/>
                <w:b w:val="0"/>
                <w:bCs/>
                <w:szCs w:val="22"/>
                <w:lang w:val="it-IT"/>
              </w:rPr>
            </w:pPr>
            <w:r w:rsidRPr="00295E71">
              <w:rPr>
                <w:rFonts w:ascii="Times New Roman" w:hAnsi="Times New Roman"/>
                <w:szCs w:val="22"/>
                <w:lang w:val="it-IT"/>
              </w:rPr>
              <w:t>Non</w:t>
            </w:r>
            <w:r w:rsidRPr="00295E71">
              <w:rPr>
                <w:rFonts w:ascii="Times New Roman" w:hAnsi="Times New Roman"/>
                <w:b w:val="0"/>
                <w:bCs/>
                <w:szCs w:val="22"/>
                <w:lang w:val="it-IT"/>
              </w:rPr>
              <w:t xml:space="preserve"> usi la siringa pre-riempita se il liquido è opaco o contiene particelle</w:t>
            </w:r>
          </w:p>
          <w:p w:rsidR="00C26956" w:rsidRPr="00295E71" w:rsidP="009D52F1" w14:paraId="64DAAB46" w14:textId="77777777">
            <w:pPr>
              <w:pStyle w:val="ListParagraph"/>
              <w:numPr>
                <w:ilvl w:val="0"/>
                <w:numId w:val="105"/>
              </w:numPr>
              <w:ind w:left="792"/>
              <w:rPr>
                <w:bCs/>
                <w:sz w:val="22"/>
                <w:szCs w:val="22"/>
                <w:lang w:eastAsia="en-US"/>
              </w:rPr>
            </w:pPr>
            <w:r w:rsidRPr="00295E71">
              <w:rPr>
                <w:b/>
                <w:sz w:val="22"/>
                <w:szCs w:val="22"/>
              </w:rPr>
              <w:t>Non</w:t>
            </w:r>
            <w:r w:rsidRPr="00295E71">
              <w:rPr>
                <w:bCs/>
                <w:sz w:val="22"/>
                <w:szCs w:val="22"/>
              </w:rPr>
              <w:t xml:space="preserve"> usi </w:t>
            </w:r>
            <w:r w:rsidRPr="00295E71">
              <w:rPr>
                <w:bCs/>
                <w:sz w:val="22"/>
                <w:szCs w:val="22"/>
                <w:lang w:eastAsia="en-US"/>
              </w:rPr>
              <w:t>la siringa pre-riempita se è caduta o è schiacciata</w:t>
            </w:r>
          </w:p>
          <w:p w:rsidR="00C26956" w:rsidRPr="00295E71" w:rsidP="009D52F1" w14:paraId="33E99AC3" w14:textId="77777777">
            <w:pPr>
              <w:ind w:left="360"/>
              <w:rPr>
                <w:bCs/>
                <w:sz w:val="22"/>
                <w:szCs w:val="22"/>
                <w:lang w:eastAsia="en-US"/>
              </w:rPr>
            </w:pPr>
          </w:p>
          <w:p w:rsidR="00C26956" w:rsidRPr="00295E71" w:rsidP="009D52F1" w14:paraId="23E2E7C2" w14:textId="77777777">
            <w:pPr>
              <w:pStyle w:val="EMEAHeadingLeaflet"/>
              <w:keepNext/>
              <w:spacing w:beforeLines="0" w:afterLines="0"/>
              <w:rPr>
                <w:rFonts w:ascii="Times New Roman" w:hAnsi="Times New Roman"/>
                <w:b w:val="0"/>
                <w:bCs/>
                <w:szCs w:val="22"/>
                <w:lang w:val="it-IT"/>
              </w:rPr>
            </w:pPr>
            <w:r w:rsidRPr="00295E71">
              <w:rPr>
                <w:rFonts w:ascii="Times New Roman" w:hAnsi="Times New Roman"/>
                <w:b w:val="0"/>
                <w:bCs/>
                <w:szCs w:val="22"/>
                <w:lang w:val="it-IT"/>
              </w:rPr>
              <w:t>Rimuova il tappo dall’ago della siringa delicatamente con l’altra mano. Getti il tappo. Non riutilizzi il tappo.</w:t>
            </w:r>
          </w:p>
          <w:p w:rsidR="00C26956" w:rsidRPr="00295E71" w:rsidP="009D52F1" w14:paraId="52E1CACD" w14:textId="77777777">
            <w:pPr>
              <w:pStyle w:val="EMEANormal"/>
              <w:rPr>
                <w:lang w:val="it-IT"/>
              </w:rPr>
            </w:pPr>
          </w:p>
          <w:p w:rsidR="00C26956" w:rsidRPr="00732563" w:rsidP="00732563" w14:paraId="3B2E05B2" w14:textId="77777777">
            <w:pPr>
              <w:pStyle w:val="ListParagraph"/>
              <w:numPr>
                <w:ilvl w:val="0"/>
                <w:numId w:val="121"/>
              </w:numPr>
              <w:tabs>
                <w:tab w:val="left" w:pos="792"/>
              </w:tabs>
              <w:suppressAutoHyphens/>
              <w:ind w:left="792"/>
              <w:contextualSpacing/>
              <w:rPr>
                <w:bCs/>
                <w:sz w:val="22"/>
                <w:szCs w:val="22"/>
              </w:rPr>
            </w:pPr>
            <w:r w:rsidRPr="00295E71">
              <w:rPr>
                <w:b/>
                <w:sz w:val="22"/>
                <w:szCs w:val="22"/>
              </w:rPr>
              <w:t>Non</w:t>
            </w:r>
            <w:r w:rsidRPr="00295E71">
              <w:rPr>
                <w:bCs/>
                <w:sz w:val="22"/>
                <w:szCs w:val="22"/>
              </w:rPr>
              <w:t xml:space="preserve"> tocchi l’ago con le dita, e si assicuri che l’ago non entri in contatto con alcunché</w:t>
            </w:r>
          </w:p>
        </w:tc>
      </w:tr>
      <w:tr w14:paraId="0769F684" w14:textId="77777777" w:rsidTr="009D52F1">
        <w:tblPrEx>
          <w:tblW w:w="9287" w:type="dxa"/>
          <w:tblLayout w:type="fixed"/>
          <w:tblLook w:val="04A0"/>
        </w:tblPrEx>
        <w:tc>
          <w:tcPr>
            <w:tcW w:w="3708" w:type="dxa"/>
            <w:tcBorders>
              <w:top w:val="single" w:sz="4" w:space="0" w:color="auto"/>
              <w:left w:val="single" w:sz="4" w:space="0" w:color="auto"/>
              <w:bottom w:val="single" w:sz="4" w:space="0" w:color="auto"/>
              <w:right w:val="nil"/>
            </w:tcBorders>
            <w:hideMark/>
          </w:tcPr>
          <w:p w:rsidR="00C26956" w:rsidRPr="00295E71" w:rsidP="009D52F1" w14:paraId="01C86653" w14:textId="77777777">
            <w:pPr>
              <w:pStyle w:val="EMEANormal"/>
              <w:keepNext/>
              <w:rPr>
                <w:lang w:val="it-IT"/>
              </w:rPr>
            </w:pPr>
            <w:r w:rsidRPr="00295E71">
              <w:rPr>
                <w:b/>
                <w:lang w:val="it-IT"/>
              </w:rPr>
              <w:t>STEP 5</w:t>
            </w:r>
          </w:p>
          <w:p w:rsidR="00C26956" w:rsidRPr="00295E71" w:rsidP="009D52F1" w14:paraId="000A3049" w14:textId="77777777">
            <w:pPr>
              <w:pStyle w:val="EMEANormal"/>
              <w:keepNext/>
              <w:rPr>
                <w:lang w:val="it-IT"/>
              </w:rPr>
            </w:pPr>
            <w:r w:rsidRPr="00910CE7">
              <w:rPr>
                <w:noProof/>
                <w:lang w:val="en-GB"/>
              </w:rPr>
              <w:drawing>
                <wp:inline distT="0" distB="0" distL="0" distR="0">
                  <wp:extent cx="1990725" cy="1971675"/>
                  <wp:effectExtent l="0" t="0" r="9525" b="9525"/>
                  <wp:docPr id="51" name="Picture 51"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 descr="STEP_5_SYRINGE_IFU_FILLING_grey"/>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0725" cy="197167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rsidR="00C26956" w:rsidRPr="00295E71" w:rsidP="009D52F1" w14:paraId="21EB017E" w14:textId="77777777">
            <w:pPr>
              <w:pStyle w:val="EMEANormal"/>
              <w:keepNext/>
              <w:tabs>
                <w:tab w:val="left" w:pos="0"/>
              </w:tabs>
              <w:rPr>
                <w:lang w:val="it-IT"/>
              </w:rPr>
            </w:pPr>
            <w:r w:rsidRPr="00295E71">
              <w:rPr>
                <w:lang w:val="it-IT"/>
              </w:rPr>
              <w:t>Impugni la siringa pre-riempita con l’ago rivolto verso l’alto.</w:t>
            </w:r>
          </w:p>
          <w:p w:rsidR="00C26956" w:rsidRPr="00295E71" w:rsidP="009D52F1" w14:paraId="4FA50640" w14:textId="77777777">
            <w:pPr>
              <w:pStyle w:val="EMEANormal"/>
              <w:keepNext/>
              <w:tabs>
                <w:tab w:val="left" w:pos="0"/>
              </w:tabs>
              <w:rPr>
                <w:lang w:val="it-IT"/>
              </w:rPr>
            </w:pPr>
          </w:p>
          <w:p w:rsidR="00C26956" w:rsidRPr="00295E71" w:rsidP="009D52F1" w14:paraId="08ED9910" w14:textId="77777777">
            <w:pPr>
              <w:pStyle w:val="EMEABullet2"/>
              <w:keepNext/>
              <w:numPr>
                <w:ilvl w:val="0"/>
                <w:numId w:val="14"/>
              </w:numPr>
              <w:tabs>
                <w:tab w:val="clear" w:pos="567"/>
              </w:tabs>
              <w:rPr>
                <w:szCs w:val="22"/>
                <w:lang w:val="it-IT"/>
              </w:rPr>
            </w:pPr>
            <w:r w:rsidRPr="00295E71">
              <w:rPr>
                <w:szCs w:val="22"/>
                <w:lang w:val="it-IT"/>
              </w:rPr>
              <w:t>Tenga la siringa pre-riempita all’altezza degli occhi con una mano, in modo da vedere l’aria contenuta nella siringa pre-riempita</w:t>
            </w:r>
          </w:p>
          <w:p w:rsidR="00C26956" w:rsidRPr="00295E71" w:rsidP="009D52F1" w14:paraId="1E15A17A" w14:textId="77777777">
            <w:pPr>
              <w:pStyle w:val="EMEANormal"/>
              <w:keepNext/>
              <w:rPr>
                <w:lang w:val="it-IT"/>
              </w:rPr>
            </w:pPr>
          </w:p>
          <w:p w:rsidR="00C26956" w:rsidRPr="00295E71" w:rsidP="009D52F1" w14:paraId="3EE094AB" w14:textId="77777777">
            <w:pPr>
              <w:pStyle w:val="EMEANormal"/>
              <w:keepNext/>
              <w:rPr>
                <w:lang w:val="it-IT"/>
              </w:rPr>
            </w:pPr>
            <w:r w:rsidRPr="00295E71">
              <w:rPr>
                <w:lang w:val="it-IT"/>
              </w:rPr>
              <w:t xml:space="preserve">Spinga lentamente lo stantuffo per far uscire l’aria attraverso l’ago. </w:t>
            </w:r>
          </w:p>
          <w:p w:rsidR="00C26956" w:rsidRPr="00295E71" w:rsidP="009D52F1" w14:paraId="48B44BAC" w14:textId="77777777">
            <w:pPr>
              <w:pStyle w:val="EMEANormal"/>
              <w:keepNext/>
              <w:rPr>
                <w:lang w:val="it-IT"/>
              </w:rPr>
            </w:pPr>
          </w:p>
          <w:p w:rsidR="00C26956" w:rsidRPr="00295E71" w:rsidP="009D52F1" w14:paraId="47C7E05F" w14:textId="77777777">
            <w:pPr>
              <w:pStyle w:val="EMEABullet2"/>
              <w:keepNext/>
              <w:numPr>
                <w:ilvl w:val="0"/>
                <w:numId w:val="14"/>
              </w:numPr>
              <w:tabs>
                <w:tab w:val="clear" w:pos="567"/>
                <w:tab w:val="clear" w:pos="720"/>
                <w:tab w:val="num" w:pos="792"/>
              </w:tabs>
              <w:ind w:left="792"/>
              <w:rPr>
                <w:szCs w:val="22"/>
                <w:lang w:val="it-IT"/>
              </w:rPr>
            </w:pPr>
            <w:r w:rsidRPr="00295E71">
              <w:rPr>
                <w:szCs w:val="22"/>
                <w:lang w:val="it-IT"/>
              </w:rPr>
              <w:t>È normale vedere una goccia di liquido alla fine dell’ago</w:t>
            </w:r>
          </w:p>
          <w:p w:rsidR="00C26956" w:rsidRPr="00295E71" w:rsidP="009D52F1" w14:paraId="59F78303" w14:textId="77777777">
            <w:pPr>
              <w:pStyle w:val="EMEANormal"/>
              <w:keepNext/>
              <w:rPr>
                <w:lang w:val="it-IT"/>
              </w:rPr>
            </w:pPr>
          </w:p>
        </w:tc>
      </w:tr>
    </w:tbl>
    <w:p w:rsidR="00C26956" w:rsidRPr="00295E71" w:rsidP="00C26956" w14:paraId="0722D310" w14:textId="77777777">
      <w:pPr>
        <w:keepNex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0B4624EF" w14:textId="77777777" w:rsidTr="009D52F1">
        <w:tblPrEx>
          <w:tblW w:w="0" w:type="auto"/>
          <w:tblLayout w:type="fixed"/>
          <w:tblLook w:val="04A0"/>
        </w:tblPrEx>
        <w:tc>
          <w:tcPr>
            <w:tcW w:w="3708" w:type="dxa"/>
            <w:tcBorders>
              <w:top w:val="single" w:sz="4" w:space="0" w:color="auto"/>
              <w:left w:val="single" w:sz="4" w:space="0" w:color="auto"/>
              <w:bottom w:val="single" w:sz="4" w:space="0" w:color="auto"/>
              <w:right w:val="nil"/>
            </w:tcBorders>
            <w:hideMark/>
          </w:tcPr>
          <w:p w:rsidR="00C26956" w:rsidRPr="00295E71" w:rsidP="009D52F1" w14:paraId="5E07CDA0" w14:textId="77777777">
            <w:pPr>
              <w:pStyle w:val="EMEANormal"/>
              <w:keepNext/>
              <w:rPr>
                <w:lang w:val="it-IT"/>
              </w:rPr>
            </w:pPr>
            <w:r w:rsidRPr="00295E71">
              <w:rPr>
                <w:b/>
                <w:lang w:val="it-IT"/>
              </w:rPr>
              <w:t>STEP 6</w:t>
            </w:r>
          </w:p>
          <w:p w:rsidR="00C26956" w:rsidRPr="00295E71" w:rsidP="009D52F1" w14:paraId="6C685188" w14:textId="77777777">
            <w:pPr>
              <w:pStyle w:val="EMEANormal"/>
              <w:keepNext/>
              <w:spacing w:before="100" w:beforeAutospacing="1" w:after="100" w:afterAutospacing="1"/>
              <w:rPr>
                <w:b/>
                <w:lang w:val="it-IT"/>
              </w:rPr>
            </w:pPr>
            <w:r w:rsidRPr="00910CE7">
              <w:rPr>
                <w:noProof/>
                <w:lang w:val="en-GB"/>
              </w:rPr>
              <w:drawing>
                <wp:inline distT="0" distB="0" distL="0" distR="0">
                  <wp:extent cx="2247900" cy="2143125"/>
                  <wp:effectExtent l="0" t="0" r="0" b="9525"/>
                  <wp:docPr id="53" name="Picture 53"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 descr="STEP_6_SYRINGE_IFU_PRE-INJECTION_grey"/>
                          <pic:cNvPicPr>
                            <a:picLocks noChangeAspect="1" noChangeArrowheads="1"/>
                          </pic:cNvPicPr>
                        </pic:nvPicPr>
                        <pic:blipFill>
                          <a:blip xmlns:r="http://schemas.openxmlformats.org/officeDocument/2006/relationships" r:embed="rId7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7900" cy="214312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rsidR="00C26956" w:rsidRPr="00295E71" w:rsidP="009D52F1" w14:paraId="790CC983" w14:textId="77777777">
            <w:pPr>
              <w:keepNext/>
              <w:rPr>
                <w:sz w:val="22"/>
                <w:szCs w:val="22"/>
              </w:rPr>
            </w:pPr>
            <w:r w:rsidRPr="00295E71">
              <w:rPr>
                <w:sz w:val="22"/>
                <w:szCs w:val="22"/>
              </w:rPr>
              <w:t xml:space="preserve">Impugni la siringa pre-riempita con una mano tra il pollice e l’indice, come una matita. </w:t>
            </w:r>
          </w:p>
          <w:p w:rsidR="00C26956" w:rsidRPr="00295E71" w:rsidP="009D52F1" w14:paraId="7A9B9136" w14:textId="77777777">
            <w:pPr>
              <w:keepNext/>
              <w:rPr>
                <w:sz w:val="22"/>
                <w:szCs w:val="22"/>
              </w:rPr>
            </w:pPr>
          </w:p>
          <w:p w:rsidR="00C26956" w:rsidRPr="00295E71" w:rsidP="009D52F1" w14:paraId="3D1EB0BD" w14:textId="77777777">
            <w:pPr>
              <w:keepNext/>
              <w:rPr>
                <w:sz w:val="22"/>
                <w:szCs w:val="22"/>
              </w:rPr>
            </w:pPr>
            <w:r w:rsidRPr="00295E71">
              <w:rPr>
                <w:sz w:val="22"/>
                <w:szCs w:val="22"/>
              </w:rPr>
              <w:t>Con l’altra mano afferri la pelle in corrispondenza del sito di iniezione per sollevarla e la tenga saldamente</w:t>
            </w:r>
          </w:p>
          <w:p w:rsidR="00C26956" w:rsidRPr="00295E71" w:rsidP="009D52F1" w14:paraId="5D6F20B2" w14:textId="77777777">
            <w:pPr>
              <w:keepNext/>
              <w:spacing w:before="100" w:beforeAutospacing="1" w:after="100" w:afterAutospacing="1"/>
              <w:rPr>
                <w:sz w:val="22"/>
                <w:szCs w:val="22"/>
              </w:rPr>
            </w:pPr>
          </w:p>
        </w:tc>
      </w:tr>
      <w:tr w14:paraId="2681D38E" w14:textId="77777777" w:rsidTr="009D52F1">
        <w:tblPrEx>
          <w:tblW w:w="0" w:type="auto"/>
          <w:tblLayout w:type="fixed"/>
          <w:tblLook w:val="04A0"/>
        </w:tblPrEx>
        <w:tc>
          <w:tcPr>
            <w:tcW w:w="3708" w:type="dxa"/>
            <w:tcBorders>
              <w:top w:val="single" w:sz="4" w:space="0" w:color="auto"/>
              <w:left w:val="single" w:sz="4" w:space="0" w:color="auto"/>
              <w:bottom w:val="single" w:sz="4" w:space="0" w:color="auto"/>
              <w:right w:val="nil"/>
            </w:tcBorders>
            <w:hideMark/>
          </w:tcPr>
          <w:p w:rsidR="00C26956" w:rsidRPr="00295E71" w:rsidP="009D52F1" w14:paraId="1D039741" w14:textId="77777777">
            <w:pPr>
              <w:pStyle w:val="EMEANormal"/>
              <w:rPr>
                <w:lang w:val="it-IT"/>
              </w:rPr>
            </w:pPr>
            <w:r w:rsidRPr="00295E71">
              <w:rPr>
                <w:b/>
                <w:lang w:val="it-IT"/>
              </w:rPr>
              <w:t>STEP 7</w:t>
            </w:r>
          </w:p>
          <w:p w:rsidR="00C26956" w:rsidRPr="00295E71" w:rsidP="009D52F1" w14:paraId="2DCE5575" w14:textId="77777777">
            <w:pPr>
              <w:pStyle w:val="EMEANormal"/>
              <w:spacing w:before="100" w:beforeAutospacing="1" w:after="100" w:afterAutospacing="1"/>
              <w:ind w:left="-360"/>
              <w:rPr>
                <w:b/>
                <w:lang w:val="it-IT"/>
              </w:rPr>
            </w:pPr>
            <w:r w:rsidRPr="00910CE7">
              <w:rPr>
                <w:noProof/>
                <w:lang w:val="en-GB"/>
              </w:rPr>
              <w:drawing>
                <wp:inline distT="0" distB="0" distL="0" distR="0">
                  <wp:extent cx="2181225" cy="2676525"/>
                  <wp:effectExtent l="0" t="0" r="9525" b="9525"/>
                  <wp:docPr id="101" name="Picture 101"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2" descr="STEP_7_SYRINGE_IFU_ABDOMEN-THIGH_grey"/>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81225" cy="267652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rsidR="00C26956" w:rsidRPr="00295E71" w:rsidP="009D52F1" w14:paraId="5FB12FDC" w14:textId="77777777">
            <w:pPr>
              <w:rPr>
                <w:sz w:val="22"/>
                <w:szCs w:val="22"/>
              </w:rPr>
            </w:pPr>
            <w:r w:rsidRPr="00295E71">
              <w:rPr>
                <w:sz w:val="22"/>
                <w:szCs w:val="22"/>
              </w:rPr>
              <w:t>Inserisca completamente l’ago nella pelle con un’inclinazione di circa 45° con un movimento rapido e deciso.</w:t>
            </w:r>
          </w:p>
          <w:p w:rsidR="00C26956" w:rsidRPr="00295E71" w:rsidP="009D52F1" w14:paraId="2B85FA44" w14:textId="77777777">
            <w:pPr>
              <w:rPr>
                <w:sz w:val="22"/>
                <w:szCs w:val="22"/>
              </w:rPr>
            </w:pPr>
          </w:p>
          <w:p w:rsidR="00C26956" w:rsidRPr="00295E71" w:rsidP="009D52F1" w14:paraId="4DDED965" w14:textId="77777777">
            <w:pPr>
              <w:numPr>
                <w:ilvl w:val="0"/>
                <w:numId w:val="122"/>
              </w:numPr>
              <w:tabs>
                <w:tab w:val="left" w:pos="792"/>
              </w:tabs>
              <w:suppressAutoHyphens/>
              <w:ind w:left="792"/>
              <w:rPr>
                <w:sz w:val="22"/>
                <w:szCs w:val="22"/>
              </w:rPr>
            </w:pPr>
            <w:r w:rsidRPr="00295E71">
              <w:rPr>
                <w:sz w:val="22"/>
                <w:szCs w:val="22"/>
              </w:rPr>
              <w:t>Quando l’ago è inserito, rilasci la pelle.</w:t>
            </w:r>
          </w:p>
          <w:p w:rsidR="00C26956" w:rsidRPr="00295E71" w:rsidP="009D52F1" w14:paraId="7946D799" w14:textId="77777777">
            <w:pPr>
              <w:rPr>
                <w:sz w:val="22"/>
                <w:szCs w:val="22"/>
              </w:rPr>
            </w:pPr>
          </w:p>
          <w:p w:rsidR="00C26956" w:rsidRPr="00295E71" w:rsidP="009D52F1" w14:paraId="2DC9F59B" w14:textId="77777777">
            <w:pPr>
              <w:rPr>
                <w:sz w:val="22"/>
                <w:szCs w:val="22"/>
              </w:rPr>
            </w:pPr>
            <w:r w:rsidRPr="00295E71">
              <w:rPr>
                <w:sz w:val="22"/>
                <w:szCs w:val="22"/>
              </w:rPr>
              <w:t>Spinga completamente lo stantuffo fino a quando tutto il liquido è stato iniettato e la siringa pre-riempita è vuota.</w:t>
            </w:r>
          </w:p>
          <w:p w:rsidR="00C26956" w:rsidRPr="00295E71" w:rsidP="009D52F1" w14:paraId="37DFF9E0" w14:textId="77777777">
            <w:pPr>
              <w:pStyle w:val="EMEANormal"/>
              <w:rPr>
                <w:lang w:val="it-IT"/>
              </w:rPr>
            </w:pPr>
          </w:p>
        </w:tc>
      </w:tr>
      <w:tr w14:paraId="0084741A" w14:textId="77777777" w:rsidTr="009D52F1">
        <w:tblPrEx>
          <w:tblW w:w="0" w:type="auto"/>
          <w:tblLayout w:type="fixed"/>
          <w:tblLook w:val="04A0"/>
        </w:tblPrEx>
        <w:tc>
          <w:tcPr>
            <w:tcW w:w="3708" w:type="dxa"/>
            <w:tcBorders>
              <w:top w:val="single" w:sz="4" w:space="0" w:color="auto"/>
              <w:left w:val="single" w:sz="4" w:space="0" w:color="auto"/>
              <w:bottom w:val="single" w:sz="4" w:space="0" w:color="auto"/>
              <w:right w:val="nil"/>
            </w:tcBorders>
            <w:hideMark/>
          </w:tcPr>
          <w:p w:rsidR="00C26956" w:rsidRPr="00295E71" w:rsidP="009D52F1" w14:paraId="5D9DA582" w14:textId="77777777">
            <w:pPr>
              <w:pStyle w:val="EMEANormal"/>
              <w:keepNext/>
              <w:rPr>
                <w:lang w:val="it-IT"/>
              </w:rPr>
            </w:pPr>
            <w:r w:rsidRPr="00295E71">
              <w:rPr>
                <w:b/>
                <w:lang w:val="it-IT"/>
              </w:rPr>
              <w:t>STEP 8</w:t>
            </w:r>
          </w:p>
          <w:p w:rsidR="00C26956" w:rsidRPr="00732563" w:rsidP="00732563" w14:paraId="03E34B8A" w14:textId="77777777">
            <w:pPr>
              <w:pStyle w:val="EMEANormal"/>
              <w:keepNext/>
              <w:rPr>
                <w:lang w:val="it-IT"/>
              </w:rPr>
            </w:pPr>
          </w:p>
          <w:p w:rsidR="00292106" w:rsidRPr="00295E71" w:rsidP="00292106" w14:paraId="41D5A268" w14:textId="77777777">
            <w:pPr>
              <w:pStyle w:val="EMEANormal"/>
              <w:keepNext/>
              <w:spacing w:before="100" w:beforeAutospacing="1" w:after="100" w:afterAutospacing="1"/>
              <w:rPr>
                <w:b/>
                <w:lang w:val="it-IT"/>
              </w:rPr>
            </w:pPr>
            <w:r w:rsidRPr="00910CE7">
              <w:rPr>
                <w:b/>
                <w:noProof/>
                <w:lang w:val="en-GB"/>
              </w:rPr>
              <w:drawing>
                <wp:inline distT="0" distB="0" distL="0" distR="0">
                  <wp:extent cx="1985089" cy="2093976"/>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TEP_8_SYRINGE_IFU_WITHDRAW_grey.REV 06Sep18.jpg"/>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5089" cy="2093976"/>
                          </a:xfrm>
                          <a:prstGeom prst="rect">
                            <a:avLst/>
                          </a:prstGeom>
                        </pic:spPr>
                      </pic:pic>
                    </a:graphicData>
                  </a:graphic>
                </wp:inline>
              </w:drawing>
            </w:r>
            <w:r>
              <w:rPr>
                <w:b/>
                <w:lang w:val="it-IT"/>
              </w:rPr>
              <w:t xml:space="preserve">             Batuffolo di cotone</w:t>
            </w:r>
          </w:p>
        </w:tc>
        <w:tc>
          <w:tcPr>
            <w:tcW w:w="5579" w:type="dxa"/>
            <w:tcBorders>
              <w:top w:val="single" w:sz="4" w:space="0" w:color="auto"/>
              <w:left w:val="nil"/>
              <w:bottom w:val="single" w:sz="4" w:space="0" w:color="auto"/>
              <w:right w:val="single" w:sz="4" w:space="0" w:color="auto"/>
            </w:tcBorders>
          </w:tcPr>
          <w:p w:rsidR="00C26956" w:rsidRPr="00295E71" w:rsidP="009D52F1" w14:paraId="3BC44F3E" w14:textId="77777777">
            <w:pPr>
              <w:pStyle w:val="EMEANormal"/>
              <w:keepNext/>
              <w:rPr>
                <w:lang w:val="it-IT"/>
              </w:rPr>
            </w:pPr>
            <w:r w:rsidRPr="00295E71">
              <w:rPr>
                <w:lang w:val="it-IT"/>
              </w:rPr>
              <w:t>Quando la siringa è vuota, rimuova lentamente l’ago dalla pelle, mantenendo la stessa angolazione di quando è stato inserito.</w:t>
            </w:r>
          </w:p>
          <w:p w:rsidR="00C26956" w:rsidRPr="00295E71" w:rsidP="009D52F1" w14:paraId="7520C0BB" w14:textId="77777777">
            <w:pPr>
              <w:pStyle w:val="EMEANormal"/>
              <w:keepNext/>
              <w:rPr>
                <w:lang w:val="it-IT"/>
              </w:rPr>
            </w:pPr>
          </w:p>
          <w:p w:rsidR="00C26956" w:rsidRPr="00295E71" w:rsidP="009D52F1" w14:paraId="048EC384" w14:textId="77777777">
            <w:pPr>
              <w:pStyle w:val="EMEANormal"/>
              <w:keepNext/>
              <w:rPr>
                <w:lang w:val="it-IT"/>
              </w:rPr>
            </w:pPr>
            <w:r w:rsidRPr="00295E71">
              <w:rPr>
                <w:lang w:val="it-IT"/>
              </w:rPr>
              <w:t>Dopo aver effettuato l’iniezione, prema con un batuffolo di cotone o garza sulla pelle sul sito di iniezione.</w:t>
            </w:r>
          </w:p>
          <w:p w:rsidR="00C26956" w:rsidRPr="00295E71" w:rsidP="009D52F1" w14:paraId="73EF62E9" w14:textId="77777777">
            <w:pPr>
              <w:pStyle w:val="EMEANormal"/>
              <w:keepNext/>
              <w:rPr>
                <w:lang w:val="it-IT"/>
              </w:rPr>
            </w:pPr>
          </w:p>
          <w:p w:rsidR="00C26956" w:rsidRPr="00295E71" w:rsidP="009D52F1" w14:paraId="41B27B2E" w14:textId="77777777">
            <w:pPr>
              <w:pStyle w:val="EMEABullet2"/>
              <w:keepNext/>
              <w:numPr>
                <w:ilvl w:val="0"/>
                <w:numId w:val="14"/>
              </w:numPr>
              <w:tabs>
                <w:tab w:val="clear" w:pos="567"/>
                <w:tab w:val="clear" w:pos="720"/>
                <w:tab w:val="num" w:pos="882"/>
              </w:tabs>
              <w:ind w:left="900" w:hanging="378"/>
              <w:rPr>
                <w:szCs w:val="22"/>
                <w:lang w:val="it-IT"/>
              </w:rPr>
            </w:pPr>
            <w:r w:rsidRPr="00295E71">
              <w:rPr>
                <w:b/>
                <w:szCs w:val="22"/>
                <w:lang w:val="it-IT"/>
              </w:rPr>
              <w:t>Non</w:t>
            </w:r>
            <w:r w:rsidRPr="00295E71">
              <w:rPr>
                <w:szCs w:val="22"/>
                <w:lang w:val="it-IT"/>
              </w:rPr>
              <w:t xml:space="preserve"> strofini</w:t>
            </w:r>
          </w:p>
          <w:p w:rsidR="00C26956" w:rsidRPr="00295E71" w:rsidP="009D52F1" w14:paraId="772C7B55" w14:textId="77777777">
            <w:pPr>
              <w:pStyle w:val="EMEABullet2"/>
              <w:keepNext/>
              <w:numPr>
                <w:ilvl w:val="0"/>
                <w:numId w:val="14"/>
              </w:numPr>
              <w:tabs>
                <w:tab w:val="clear" w:pos="567"/>
                <w:tab w:val="clear" w:pos="720"/>
                <w:tab w:val="num" w:pos="882"/>
              </w:tabs>
              <w:ind w:left="900" w:hanging="378"/>
              <w:rPr>
                <w:szCs w:val="22"/>
                <w:lang w:val="it-IT"/>
              </w:rPr>
            </w:pPr>
            <w:r w:rsidRPr="00295E71">
              <w:rPr>
                <w:szCs w:val="22"/>
                <w:lang w:val="it-IT"/>
              </w:rPr>
              <w:t>È normale che si verifichi un leggero sanguinamento al sito di iniezione</w:t>
            </w:r>
          </w:p>
        </w:tc>
      </w:tr>
    </w:tbl>
    <w:p w:rsidR="00C26956" w:rsidRPr="00295E71" w:rsidP="00C26956" w14:paraId="7466C59C" w14:textId="77777777">
      <w:pPr>
        <w:keepNex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7"/>
      </w:tblGrid>
      <w:tr w14:paraId="46A52108" w14:textId="77777777" w:rsidTr="009D52F1">
        <w:tblPrEx>
          <w:tblW w:w="0" w:type="auto"/>
          <w:tblLayout w:type="fixed"/>
          <w:tblLook w:val="04A0"/>
        </w:tblPrEx>
        <w:tc>
          <w:tcPr>
            <w:tcW w:w="9287" w:type="dxa"/>
            <w:tcBorders>
              <w:top w:val="single" w:sz="4" w:space="0" w:color="auto"/>
              <w:left w:val="single" w:sz="4" w:space="0" w:color="auto"/>
              <w:bottom w:val="single" w:sz="4" w:space="0" w:color="auto"/>
              <w:right w:val="single" w:sz="4" w:space="0" w:color="auto"/>
            </w:tcBorders>
          </w:tcPr>
          <w:p w:rsidR="00C26956" w:rsidRPr="00295E71" w:rsidP="009D52F1" w14:paraId="25B7EC68" w14:textId="77777777">
            <w:pPr>
              <w:keepNext/>
              <w:rPr>
                <w:sz w:val="22"/>
                <w:szCs w:val="22"/>
              </w:rPr>
            </w:pPr>
            <w:r w:rsidRPr="00295E71">
              <w:rPr>
                <w:b/>
                <w:sz w:val="22"/>
                <w:szCs w:val="22"/>
              </w:rPr>
              <w:t>STEP 9</w:t>
            </w:r>
          </w:p>
          <w:p w:rsidR="00C26956" w:rsidRPr="00295E71" w:rsidP="009D52F1" w14:paraId="1BF52507" w14:textId="77777777">
            <w:pPr>
              <w:keepNext/>
              <w:rPr>
                <w:sz w:val="22"/>
                <w:szCs w:val="22"/>
              </w:rPr>
            </w:pPr>
          </w:p>
          <w:p w:rsidR="00C26956" w:rsidRPr="00295E71" w:rsidP="009D52F1" w14:paraId="269A4FD1"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Getti via la siringa pre-riempita usata in un contenitore speciale, secondo le istruzioni del medico, dell’infermiere o del farmacista. Non reincappucci </w:t>
            </w:r>
            <w:r w:rsidRPr="00295E71">
              <w:rPr>
                <w:rFonts w:ascii="Times New Roman" w:hAnsi="Times New Roman"/>
                <w:szCs w:val="22"/>
                <w:lang w:val="it-IT"/>
              </w:rPr>
              <w:t>mai</w:t>
            </w:r>
            <w:r w:rsidRPr="00295E71">
              <w:rPr>
                <w:rFonts w:ascii="Times New Roman" w:hAnsi="Times New Roman"/>
                <w:b w:val="0"/>
                <w:szCs w:val="22"/>
                <w:lang w:val="it-IT"/>
              </w:rPr>
              <w:t xml:space="preserve"> l’ago.</w:t>
            </w:r>
          </w:p>
          <w:p w:rsidR="00C26956" w:rsidRPr="00295E71" w:rsidP="009D52F1" w14:paraId="08F4C957" w14:textId="77777777">
            <w:pPr>
              <w:pStyle w:val="EMEANormal"/>
              <w:rPr>
                <w:lang w:val="it-IT"/>
              </w:rPr>
            </w:pPr>
          </w:p>
          <w:p w:rsidR="00C26956" w:rsidRPr="00295E71" w:rsidP="009D52F1" w14:paraId="31DCBBDD" w14:textId="77777777">
            <w:pPr>
              <w:pStyle w:val="EMEAHeadingLeaflet"/>
              <w:keepNext/>
              <w:numPr>
                <w:ilvl w:val="0"/>
                <w:numId w:val="109"/>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ricicli o getti la siringa pre-riempita nei rifiuti domestici</w:t>
            </w:r>
          </w:p>
          <w:p w:rsidR="00C26956" w:rsidRPr="00295E71" w:rsidP="009D52F1" w14:paraId="7C1FDC08" w14:textId="77777777">
            <w:pPr>
              <w:pStyle w:val="EMEANormal"/>
              <w:keepNext/>
              <w:numPr>
                <w:ilvl w:val="0"/>
                <w:numId w:val="109"/>
              </w:numPr>
              <w:tabs>
                <w:tab w:val="clear" w:pos="562"/>
                <w:tab w:val="left" w:pos="720"/>
              </w:tabs>
              <w:rPr>
                <w:lang w:val="it-IT"/>
              </w:rPr>
            </w:pPr>
            <w:r w:rsidRPr="00295E71">
              <w:rPr>
                <w:lang w:val="it-IT"/>
              </w:rPr>
              <w:t xml:space="preserve">Tenga </w:t>
            </w:r>
            <w:r w:rsidRPr="00295E71">
              <w:rPr>
                <w:b/>
                <w:lang w:val="it-IT"/>
              </w:rPr>
              <w:t>sempre</w:t>
            </w:r>
            <w:r w:rsidRPr="00295E71">
              <w:rPr>
                <w:lang w:val="it-IT"/>
              </w:rPr>
              <w:t xml:space="preserve"> la siringa pre-riempita e il contenitore per rifiuti speciali fuori dalla vista e dalla portata dei bambini.</w:t>
            </w:r>
          </w:p>
          <w:p w:rsidR="00C26956" w:rsidRPr="00295E71" w:rsidP="009D52F1" w14:paraId="6D491B6F" w14:textId="77777777">
            <w:pPr>
              <w:pStyle w:val="EMEANormal"/>
              <w:keepNext/>
              <w:tabs>
                <w:tab w:val="clear" w:pos="562"/>
                <w:tab w:val="left" w:pos="720"/>
              </w:tabs>
              <w:ind w:left="720"/>
              <w:rPr>
                <w:lang w:val="it-IT"/>
              </w:rPr>
            </w:pPr>
          </w:p>
          <w:p w:rsidR="00C26956" w:rsidRPr="00295E71" w:rsidP="009D52F1" w14:paraId="28AE6D55" w14:textId="77777777">
            <w:pPr>
              <w:pStyle w:val="EMEANormal"/>
              <w:keepNext/>
              <w:rPr>
                <w:lang w:val="it-IT"/>
              </w:rPr>
            </w:pPr>
            <w:r w:rsidRPr="00295E71">
              <w:rPr>
                <w:lang w:val="it-IT"/>
              </w:rPr>
              <w:t>Il cappuccio dell’ago, il tampone imbevuto d’alcool, il batuffolo di cotone o garza, il blister e la confezione possono essere smaltiti nei rifiuti domestici.</w:t>
            </w:r>
          </w:p>
        </w:tc>
      </w:tr>
    </w:tbl>
    <w:p w:rsidR="004424F3" w:rsidP="00C26956" w14:paraId="47F110DD" w14:textId="77777777">
      <w:pPr>
        <w:pStyle w:val="Title"/>
        <w:tabs>
          <w:tab w:val="left" w:pos="567"/>
        </w:tabs>
        <w:rPr>
          <w:sz w:val="22"/>
          <w:szCs w:val="22"/>
        </w:rPr>
      </w:pPr>
    </w:p>
    <w:p w:rsidR="004424F3" w:rsidP="004424F3" w14:paraId="0620C9C7" w14:textId="77777777">
      <w:r>
        <w:br w:type="page"/>
      </w:r>
    </w:p>
    <w:p w:rsidR="006224C2" w:rsidRPr="00295E71" w:rsidP="00C26956" w14:paraId="32E98274" w14:textId="77777777">
      <w:pPr>
        <w:jc w:val="center"/>
        <w:rPr>
          <w:b/>
          <w:sz w:val="22"/>
          <w:szCs w:val="22"/>
        </w:rPr>
      </w:pPr>
      <w:r w:rsidRPr="00295E71">
        <w:rPr>
          <w:b/>
          <w:sz w:val="22"/>
          <w:szCs w:val="22"/>
        </w:rPr>
        <w:t>Foglio illustrativo: informazioni per il paziente</w:t>
      </w:r>
    </w:p>
    <w:p w:rsidR="006224C2" w:rsidRPr="00295E71" w14:paraId="433E6798" w14:textId="77777777">
      <w:pPr>
        <w:pStyle w:val="Title"/>
        <w:tabs>
          <w:tab w:val="left" w:pos="567"/>
        </w:tabs>
        <w:rPr>
          <w:sz w:val="22"/>
          <w:szCs w:val="22"/>
        </w:rPr>
      </w:pPr>
    </w:p>
    <w:p w:rsidR="006224C2" w:rsidRPr="00295E71" w14:paraId="4C1908B0" w14:textId="77777777">
      <w:pPr>
        <w:pStyle w:val="Title"/>
        <w:tabs>
          <w:tab w:val="left" w:pos="567"/>
        </w:tabs>
        <w:rPr>
          <w:b w:val="0"/>
          <w:bCs w:val="0"/>
          <w:sz w:val="22"/>
          <w:szCs w:val="22"/>
        </w:rPr>
      </w:pPr>
      <w:r w:rsidRPr="00295E71">
        <w:rPr>
          <w:sz w:val="22"/>
          <w:szCs w:val="22"/>
        </w:rPr>
        <w:t>Humira</w:t>
      </w:r>
      <w:r w:rsidRPr="00295E71" w:rsidR="00EB5AB2">
        <w:rPr>
          <w:sz w:val="22"/>
          <w:szCs w:val="22"/>
        </w:rPr>
        <w:t xml:space="preserve"> </w:t>
      </w:r>
      <w:r w:rsidRPr="00295E71">
        <w:rPr>
          <w:bCs w:val="0"/>
          <w:sz w:val="22"/>
          <w:szCs w:val="22"/>
        </w:rPr>
        <w:t>40 mg soluzione iniettabile in penna pre-riempita</w:t>
      </w:r>
    </w:p>
    <w:p w:rsidR="006224C2" w:rsidRPr="00295E71" w14:paraId="776F12F0" w14:textId="77777777">
      <w:pPr>
        <w:pStyle w:val="Title"/>
        <w:tabs>
          <w:tab w:val="left" w:pos="567"/>
        </w:tabs>
        <w:rPr>
          <w:b w:val="0"/>
          <w:bCs w:val="0"/>
          <w:sz w:val="22"/>
          <w:szCs w:val="22"/>
        </w:rPr>
      </w:pPr>
      <w:r w:rsidRPr="00295E71">
        <w:rPr>
          <w:b w:val="0"/>
          <w:bCs w:val="0"/>
          <w:sz w:val="22"/>
          <w:szCs w:val="22"/>
        </w:rPr>
        <w:t>adalimumab</w:t>
      </w:r>
    </w:p>
    <w:p w:rsidR="006224C2" w:rsidRPr="00295E71" w14:paraId="7B367A91" w14:textId="77777777">
      <w:pPr>
        <w:tabs>
          <w:tab w:val="left" w:pos="567"/>
        </w:tabs>
        <w:jc w:val="center"/>
        <w:rPr>
          <w:sz w:val="22"/>
          <w:szCs w:val="22"/>
        </w:rPr>
      </w:pPr>
    </w:p>
    <w:p w:rsidR="006224C2" w:rsidRPr="00295E71" w14:paraId="740916C4" w14:textId="77777777">
      <w:pPr>
        <w:pStyle w:val="Heading8"/>
        <w:keepNext w:val="0"/>
        <w:tabs>
          <w:tab w:val="left" w:pos="567"/>
        </w:tabs>
        <w:jc w:val="both"/>
      </w:pPr>
      <w:r w:rsidRPr="00295E71">
        <w:t>Legga attentamente questo foglio prima di usare questo medicinale perchè contiene importanti informazioni per lei</w:t>
      </w:r>
    </w:p>
    <w:p w:rsidR="006224C2" w:rsidRPr="00295E71" w14:paraId="1BBB546B" w14:textId="77777777">
      <w:pPr>
        <w:numPr>
          <w:ilvl w:val="0"/>
          <w:numId w:val="1"/>
        </w:numPr>
        <w:tabs>
          <w:tab w:val="left" w:pos="567"/>
        </w:tabs>
        <w:ind w:left="567" w:right="-2" w:hanging="567"/>
        <w:jc w:val="both"/>
        <w:rPr>
          <w:sz w:val="22"/>
          <w:szCs w:val="22"/>
        </w:rPr>
      </w:pPr>
      <w:r w:rsidRPr="00295E71">
        <w:rPr>
          <w:sz w:val="22"/>
          <w:szCs w:val="22"/>
        </w:rPr>
        <w:t>Conservi questo foglio. Potrebbe avere bisogno di leggerlo di nuovo.</w:t>
      </w:r>
    </w:p>
    <w:p w:rsidR="006224C2" w:rsidRPr="00295E71" w14:paraId="7CA2400B" w14:textId="77777777">
      <w:pPr>
        <w:numPr>
          <w:ilvl w:val="0"/>
          <w:numId w:val="1"/>
        </w:numPr>
        <w:tabs>
          <w:tab w:val="left" w:pos="567"/>
        </w:tabs>
        <w:ind w:left="567" w:right="-2" w:hanging="567"/>
        <w:jc w:val="both"/>
        <w:rPr>
          <w:sz w:val="22"/>
          <w:szCs w:val="22"/>
        </w:rPr>
      </w:pPr>
      <w:r w:rsidRPr="00295E71">
        <w:rPr>
          <w:sz w:val="22"/>
          <w:szCs w:val="22"/>
        </w:rPr>
        <w:t>Il medico le consegnerà una</w:t>
      </w:r>
      <w:r w:rsidR="004A0228">
        <w:rPr>
          <w:b/>
          <w:sz w:val="22"/>
          <w:szCs w:val="22"/>
        </w:rPr>
        <w:t xml:space="preserve"> </w:t>
      </w:r>
      <w:r w:rsidRPr="000D0B9B" w:rsidR="004A0228">
        <w:rPr>
          <w:b/>
          <w:sz w:val="22"/>
          <w:szCs w:val="22"/>
        </w:rPr>
        <w:t>Scheda Promemoria per il Paziente</w:t>
      </w:r>
      <w:r w:rsidRPr="00295E71">
        <w:rPr>
          <w:sz w:val="22"/>
          <w:szCs w:val="22"/>
        </w:rPr>
        <w:t>, che contiene importanti informazioni sulla sicurezza, che ha bisogno di sapere prima di iniziare ad assumere Humira e durante il trattamento con Humira. Conservi questa</w:t>
      </w:r>
      <w:r w:rsidR="004A0228">
        <w:rPr>
          <w:b/>
          <w:sz w:val="22"/>
          <w:szCs w:val="22"/>
        </w:rPr>
        <w:t xml:space="preserve"> </w:t>
      </w:r>
      <w:r w:rsidRPr="000D0B9B" w:rsidR="004A0228">
        <w:rPr>
          <w:b/>
          <w:sz w:val="22"/>
          <w:szCs w:val="22"/>
        </w:rPr>
        <w:t>Scheda Promemoria per il Paziente</w:t>
      </w:r>
      <w:r w:rsidRPr="00295E71">
        <w:rPr>
          <w:sz w:val="22"/>
          <w:szCs w:val="22"/>
        </w:rPr>
        <w:t>.</w:t>
      </w:r>
    </w:p>
    <w:p w:rsidR="006224C2" w:rsidRPr="00295E71" w14:paraId="777FE885" w14:textId="77777777">
      <w:pPr>
        <w:numPr>
          <w:ilvl w:val="0"/>
          <w:numId w:val="1"/>
        </w:numPr>
        <w:tabs>
          <w:tab w:val="left" w:pos="567"/>
        </w:tabs>
        <w:ind w:left="567" w:right="-2" w:hanging="567"/>
        <w:jc w:val="both"/>
        <w:rPr>
          <w:sz w:val="22"/>
          <w:szCs w:val="22"/>
        </w:rPr>
      </w:pPr>
      <w:r w:rsidRPr="00295E71">
        <w:rPr>
          <w:sz w:val="22"/>
          <w:szCs w:val="22"/>
        </w:rPr>
        <w:t xml:space="preserve">Se ha qualsiasi dubbio, si rivolga al medico o al farmacista. </w:t>
      </w:r>
    </w:p>
    <w:p w:rsidR="006224C2" w:rsidRPr="00295E71" w14:paraId="01082058" w14:textId="77777777">
      <w:pPr>
        <w:numPr>
          <w:ilvl w:val="0"/>
          <w:numId w:val="1"/>
        </w:numPr>
        <w:tabs>
          <w:tab w:val="left" w:pos="567"/>
        </w:tabs>
        <w:ind w:left="567" w:right="-2" w:hanging="567"/>
        <w:jc w:val="both"/>
        <w:rPr>
          <w:sz w:val="22"/>
          <w:szCs w:val="22"/>
        </w:rPr>
      </w:pPr>
      <w:r w:rsidRPr="00295E71">
        <w:rPr>
          <w:sz w:val="22"/>
          <w:szCs w:val="22"/>
        </w:rPr>
        <w:t>Questo medicinale è stato prescritto soltanto per lei. Non lo dia ad altre persone, anche se i sintomi della malattia sono uguali ai suoi, perché potrebbe essere pericoloso.</w:t>
      </w:r>
    </w:p>
    <w:p w:rsidR="006224C2" w:rsidRPr="00295E71" w14:paraId="2FCD8458" w14:textId="77777777">
      <w:pPr>
        <w:numPr>
          <w:ilvl w:val="0"/>
          <w:numId w:val="1"/>
        </w:numPr>
        <w:tabs>
          <w:tab w:val="left" w:pos="567"/>
        </w:tabs>
        <w:ind w:left="567" w:right="-2" w:hanging="567"/>
        <w:jc w:val="both"/>
        <w:rPr>
          <w:sz w:val="22"/>
          <w:szCs w:val="22"/>
        </w:rPr>
      </w:pPr>
      <w:r w:rsidRPr="00295E71">
        <w:rPr>
          <w:sz w:val="22"/>
          <w:szCs w:val="22"/>
        </w:rPr>
        <w:t>Se si manifesta un qualsiasi effetto indesiderato, compresi quelli non elencati in questo foglio, si rivolga al medico o al farmacista. Vedere paragrafo 4.</w:t>
      </w:r>
    </w:p>
    <w:p w:rsidR="006224C2" w:rsidRPr="00295E71" w14:paraId="7A5AFC88" w14:textId="77777777">
      <w:pPr>
        <w:numPr>
          <w:ilvl w:val="12"/>
          <w:numId w:val="0"/>
        </w:numPr>
        <w:tabs>
          <w:tab w:val="left" w:pos="567"/>
        </w:tabs>
        <w:ind w:right="-2"/>
        <w:jc w:val="both"/>
        <w:rPr>
          <w:sz w:val="22"/>
          <w:szCs w:val="22"/>
          <w:u w:val="single"/>
        </w:rPr>
      </w:pPr>
    </w:p>
    <w:p w:rsidR="006224C2" w:rsidRPr="00295E71" w14:paraId="0F96ED93" w14:textId="77777777">
      <w:pPr>
        <w:numPr>
          <w:ilvl w:val="12"/>
          <w:numId w:val="0"/>
        </w:numPr>
        <w:tabs>
          <w:tab w:val="left" w:pos="567"/>
        </w:tabs>
        <w:ind w:right="-2"/>
        <w:jc w:val="both"/>
        <w:rPr>
          <w:b/>
          <w:bCs/>
          <w:sz w:val="22"/>
          <w:szCs w:val="22"/>
        </w:rPr>
      </w:pPr>
      <w:r w:rsidRPr="00295E71">
        <w:rPr>
          <w:b/>
          <w:bCs/>
          <w:sz w:val="22"/>
          <w:szCs w:val="22"/>
        </w:rPr>
        <w:t>Contenuto di questo foglio</w:t>
      </w:r>
    </w:p>
    <w:p w:rsidR="006224C2" w:rsidRPr="00295E71" w14:paraId="2C24DB86" w14:textId="77777777">
      <w:pPr>
        <w:tabs>
          <w:tab w:val="left" w:pos="567"/>
        </w:tabs>
        <w:ind w:left="567" w:right="-29" w:hanging="567"/>
        <w:jc w:val="both"/>
        <w:rPr>
          <w:sz w:val="22"/>
          <w:szCs w:val="22"/>
        </w:rPr>
      </w:pPr>
      <w:r w:rsidRPr="00295E71">
        <w:rPr>
          <w:sz w:val="22"/>
          <w:szCs w:val="22"/>
        </w:rPr>
        <w:t>1.</w:t>
      </w:r>
      <w:r w:rsidRPr="00295E71">
        <w:rPr>
          <w:sz w:val="22"/>
          <w:szCs w:val="22"/>
        </w:rPr>
        <w:tab/>
        <w:t>Cos’è Humira e a cosa serve</w:t>
      </w:r>
    </w:p>
    <w:p w:rsidR="006224C2" w:rsidRPr="00295E71" w14:paraId="1D066339" w14:textId="77777777">
      <w:pPr>
        <w:tabs>
          <w:tab w:val="left" w:pos="567"/>
        </w:tabs>
        <w:ind w:left="567" w:right="-29" w:hanging="567"/>
        <w:jc w:val="both"/>
        <w:rPr>
          <w:sz w:val="22"/>
          <w:szCs w:val="22"/>
        </w:rPr>
      </w:pPr>
      <w:r w:rsidRPr="00295E71">
        <w:rPr>
          <w:sz w:val="22"/>
          <w:szCs w:val="22"/>
        </w:rPr>
        <w:t>2.</w:t>
      </w:r>
      <w:r w:rsidRPr="00295E71">
        <w:rPr>
          <w:sz w:val="22"/>
          <w:szCs w:val="22"/>
        </w:rPr>
        <w:tab/>
        <w:t>Cosa deve sapere prima di usare Humira</w:t>
      </w:r>
    </w:p>
    <w:p w:rsidR="006224C2" w:rsidRPr="00295E71" w14:paraId="19193662" w14:textId="77777777">
      <w:pPr>
        <w:tabs>
          <w:tab w:val="left" w:pos="567"/>
        </w:tabs>
        <w:ind w:left="567" w:right="-29" w:hanging="567"/>
        <w:jc w:val="both"/>
        <w:rPr>
          <w:sz w:val="22"/>
          <w:szCs w:val="22"/>
        </w:rPr>
      </w:pPr>
      <w:r w:rsidRPr="00295E71">
        <w:rPr>
          <w:sz w:val="22"/>
          <w:szCs w:val="22"/>
        </w:rPr>
        <w:t>3.</w:t>
      </w:r>
      <w:r w:rsidRPr="00295E71">
        <w:rPr>
          <w:sz w:val="22"/>
          <w:szCs w:val="22"/>
        </w:rPr>
        <w:tab/>
        <w:t>Come usare Humira</w:t>
      </w:r>
    </w:p>
    <w:p w:rsidR="006224C2" w:rsidRPr="00295E71" w14:paraId="77481BAC" w14:textId="77777777">
      <w:pPr>
        <w:tabs>
          <w:tab w:val="left" w:pos="567"/>
        </w:tabs>
        <w:ind w:left="567" w:right="-29" w:hanging="567"/>
        <w:jc w:val="both"/>
        <w:rPr>
          <w:sz w:val="22"/>
          <w:szCs w:val="22"/>
        </w:rPr>
      </w:pPr>
      <w:r w:rsidRPr="00295E71">
        <w:rPr>
          <w:sz w:val="22"/>
          <w:szCs w:val="22"/>
        </w:rPr>
        <w:t>4.</w:t>
      </w:r>
      <w:r w:rsidRPr="00295E71">
        <w:rPr>
          <w:sz w:val="22"/>
          <w:szCs w:val="22"/>
        </w:rPr>
        <w:tab/>
        <w:t>Possibili effetti indesiderati</w:t>
      </w:r>
    </w:p>
    <w:p w:rsidR="006224C2" w:rsidRPr="00295E71" w14:paraId="245AA007" w14:textId="77777777">
      <w:pPr>
        <w:tabs>
          <w:tab w:val="left" w:pos="567"/>
        </w:tabs>
        <w:ind w:left="567" w:right="-29" w:hanging="567"/>
        <w:jc w:val="both"/>
        <w:rPr>
          <w:sz w:val="22"/>
          <w:szCs w:val="22"/>
        </w:rPr>
      </w:pPr>
      <w:r w:rsidRPr="00295E71">
        <w:rPr>
          <w:sz w:val="22"/>
          <w:szCs w:val="22"/>
        </w:rPr>
        <w:t>5.</w:t>
      </w:r>
      <w:r w:rsidRPr="00295E71">
        <w:rPr>
          <w:sz w:val="22"/>
          <w:szCs w:val="22"/>
        </w:rPr>
        <w:tab/>
        <w:t>Come conservare Humira</w:t>
      </w:r>
    </w:p>
    <w:p w:rsidR="006224C2" w:rsidRPr="00295E71" w14:paraId="43BA00D6" w14:textId="77777777">
      <w:pPr>
        <w:tabs>
          <w:tab w:val="left" w:pos="567"/>
        </w:tabs>
        <w:ind w:left="567" w:right="-29" w:hanging="567"/>
        <w:jc w:val="both"/>
        <w:rPr>
          <w:sz w:val="22"/>
          <w:szCs w:val="22"/>
        </w:rPr>
      </w:pPr>
      <w:r w:rsidRPr="00295E71">
        <w:rPr>
          <w:sz w:val="22"/>
          <w:szCs w:val="22"/>
        </w:rPr>
        <w:t>6.</w:t>
      </w:r>
      <w:r w:rsidRPr="00295E71">
        <w:rPr>
          <w:sz w:val="22"/>
          <w:szCs w:val="22"/>
        </w:rPr>
        <w:tab/>
        <w:t>Contenuto della confezione e altre informazioni</w:t>
      </w:r>
    </w:p>
    <w:p w:rsidR="006224C2" w:rsidRPr="00295E71" w14:paraId="51BEF8D8" w14:textId="77777777">
      <w:pPr>
        <w:tabs>
          <w:tab w:val="left" w:pos="567"/>
        </w:tabs>
        <w:ind w:left="567" w:right="-29" w:hanging="567"/>
        <w:jc w:val="both"/>
        <w:rPr>
          <w:sz w:val="22"/>
          <w:szCs w:val="22"/>
        </w:rPr>
      </w:pPr>
      <w:r w:rsidRPr="00295E71">
        <w:rPr>
          <w:sz w:val="22"/>
          <w:szCs w:val="22"/>
        </w:rPr>
        <w:t>7.</w:t>
      </w:r>
      <w:r w:rsidRPr="00295E71">
        <w:rPr>
          <w:sz w:val="22"/>
          <w:szCs w:val="22"/>
        </w:rPr>
        <w:tab/>
      </w:r>
      <w:r w:rsidR="001D0983">
        <w:rPr>
          <w:sz w:val="22"/>
          <w:szCs w:val="22"/>
        </w:rPr>
        <w:t>Iniezione di Humira</w:t>
      </w:r>
    </w:p>
    <w:p w:rsidR="006224C2" w:rsidRPr="00295E71" w14:paraId="265D4DE9" w14:textId="77777777">
      <w:pPr>
        <w:numPr>
          <w:ilvl w:val="12"/>
          <w:numId w:val="0"/>
        </w:numPr>
        <w:tabs>
          <w:tab w:val="left" w:pos="567"/>
        </w:tabs>
        <w:ind w:right="-2"/>
        <w:jc w:val="both"/>
        <w:rPr>
          <w:sz w:val="22"/>
          <w:szCs w:val="22"/>
        </w:rPr>
      </w:pPr>
    </w:p>
    <w:p w:rsidR="006224C2" w:rsidRPr="00295E71" w14:paraId="6482BC82" w14:textId="77777777">
      <w:pPr>
        <w:numPr>
          <w:ilvl w:val="12"/>
          <w:numId w:val="0"/>
        </w:numPr>
        <w:tabs>
          <w:tab w:val="left" w:pos="567"/>
        </w:tabs>
        <w:ind w:right="-2"/>
        <w:jc w:val="both"/>
        <w:rPr>
          <w:sz w:val="22"/>
          <w:szCs w:val="22"/>
        </w:rPr>
      </w:pPr>
    </w:p>
    <w:p w:rsidR="006224C2" w:rsidRPr="00295E71" w14:paraId="0686B167" w14:textId="77777777">
      <w:pPr>
        <w:numPr>
          <w:ilvl w:val="12"/>
          <w:numId w:val="0"/>
        </w:numPr>
        <w:tabs>
          <w:tab w:val="left" w:pos="567"/>
        </w:tabs>
        <w:ind w:left="567" w:right="-2" w:hanging="567"/>
        <w:jc w:val="both"/>
        <w:rPr>
          <w:b/>
          <w:bCs/>
          <w:sz w:val="22"/>
          <w:szCs w:val="22"/>
        </w:rPr>
      </w:pPr>
      <w:r w:rsidRPr="00295E71">
        <w:rPr>
          <w:b/>
          <w:bCs/>
          <w:sz w:val="22"/>
          <w:szCs w:val="22"/>
        </w:rPr>
        <w:t>1.</w:t>
      </w:r>
      <w:r w:rsidRPr="00295E71">
        <w:rPr>
          <w:b/>
          <w:bCs/>
          <w:sz w:val="22"/>
          <w:szCs w:val="22"/>
        </w:rPr>
        <w:tab/>
        <w:t>Cos’è Humira e a cosa serve</w:t>
      </w:r>
    </w:p>
    <w:p w:rsidR="006224C2" w:rsidRPr="00295E71" w14:paraId="78507EA7" w14:textId="77777777">
      <w:pPr>
        <w:tabs>
          <w:tab w:val="left" w:pos="567"/>
        </w:tabs>
        <w:jc w:val="both"/>
        <w:rPr>
          <w:sz w:val="22"/>
          <w:szCs w:val="22"/>
        </w:rPr>
      </w:pPr>
    </w:p>
    <w:p w:rsidR="006224C2" w:rsidRPr="00295E71" w14:paraId="4317BC63" w14:textId="77777777">
      <w:pPr>
        <w:tabs>
          <w:tab w:val="left" w:pos="567"/>
        </w:tabs>
        <w:jc w:val="both"/>
        <w:rPr>
          <w:sz w:val="22"/>
          <w:szCs w:val="22"/>
        </w:rPr>
      </w:pPr>
      <w:r w:rsidRPr="00295E71">
        <w:rPr>
          <w:sz w:val="22"/>
          <w:szCs w:val="22"/>
        </w:rPr>
        <w:t>Humira contiene il principio attivo adalimumab</w:t>
      </w:r>
      <w:r w:rsidRPr="00295E71" w:rsidR="008725C3">
        <w:rPr>
          <w:sz w:val="22"/>
          <w:szCs w:val="22"/>
        </w:rPr>
        <w:t>.</w:t>
      </w:r>
    </w:p>
    <w:p w:rsidR="006224C2" w:rsidRPr="00295E71" w14:paraId="00A2F537" w14:textId="77777777">
      <w:pPr>
        <w:tabs>
          <w:tab w:val="left" w:pos="567"/>
        </w:tabs>
        <w:jc w:val="both"/>
        <w:rPr>
          <w:sz w:val="22"/>
          <w:szCs w:val="22"/>
        </w:rPr>
      </w:pPr>
    </w:p>
    <w:p w:rsidR="006224C2" w:rsidRPr="00295E71" w14:paraId="06A5EAE4" w14:textId="77777777">
      <w:pPr>
        <w:tabs>
          <w:tab w:val="left" w:pos="567"/>
        </w:tabs>
        <w:rPr>
          <w:sz w:val="22"/>
          <w:szCs w:val="22"/>
        </w:rPr>
      </w:pPr>
      <w:r w:rsidRPr="00295E71">
        <w:rPr>
          <w:sz w:val="22"/>
          <w:szCs w:val="22"/>
        </w:rPr>
        <w:t>Humira è utilizzato per il trattamento di</w:t>
      </w:r>
    </w:p>
    <w:p w:rsidR="006224C2" w:rsidRPr="00295E71" w14:paraId="2630F13E" w14:textId="77777777">
      <w:pPr>
        <w:pStyle w:val="ListParagraph"/>
        <w:numPr>
          <w:ilvl w:val="0"/>
          <w:numId w:val="38"/>
        </w:numPr>
        <w:tabs>
          <w:tab w:val="clear" w:pos="720"/>
          <w:tab w:val="left" w:pos="851"/>
          <w:tab w:val="num" w:pos="993"/>
        </w:tabs>
        <w:rPr>
          <w:sz w:val="22"/>
          <w:szCs w:val="22"/>
        </w:rPr>
      </w:pPr>
      <w:r w:rsidRPr="00295E71">
        <w:rPr>
          <w:sz w:val="22"/>
          <w:szCs w:val="22"/>
        </w:rPr>
        <w:t>Artrite reumatoide</w:t>
      </w:r>
    </w:p>
    <w:p w:rsidR="006224C2" w:rsidRPr="00295E71" w14:paraId="3EA39047" w14:textId="77777777">
      <w:pPr>
        <w:pStyle w:val="ListParagraph"/>
        <w:numPr>
          <w:ilvl w:val="0"/>
          <w:numId w:val="38"/>
        </w:numPr>
        <w:tabs>
          <w:tab w:val="clear" w:pos="720"/>
          <w:tab w:val="left" w:pos="851"/>
          <w:tab w:val="num" w:pos="993"/>
        </w:tabs>
        <w:rPr>
          <w:sz w:val="22"/>
          <w:szCs w:val="22"/>
        </w:rPr>
      </w:pPr>
      <w:r w:rsidRPr="00295E71">
        <w:rPr>
          <w:sz w:val="22"/>
          <w:szCs w:val="22"/>
        </w:rPr>
        <w:t>Artrite idiopatica giovanile poliarticolare</w:t>
      </w:r>
    </w:p>
    <w:p w:rsidR="006224C2" w:rsidRPr="00295E71" w14:paraId="23E2C98D" w14:textId="77777777">
      <w:pPr>
        <w:pStyle w:val="ListParagraph"/>
        <w:numPr>
          <w:ilvl w:val="0"/>
          <w:numId w:val="38"/>
        </w:numPr>
        <w:tabs>
          <w:tab w:val="clear" w:pos="720"/>
          <w:tab w:val="left" w:pos="851"/>
          <w:tab w:val="num" w:pos="993"/>
        </w:tabs>
        <w:rPr>
          <w:sz w:val="22"/>
          <w:szCs w:val="22"/>
        </w:rPr>
      </w:pPr>
      <w:r w:rsidRPr="00295E71">
        <w:rPr>
          <w:sz w:val="22"/>
          <w:szCs w:val="22"/>
        </w:rPr>
        <w:t>Artrite associata ad entesite</w:t>
      </w:r>
    </w:p>
    <w:p w:rsidR="006224C2" w:rsidRPr="00295E71" w14:paraId="4E5AE89C" w14:textId="77777777">
      <w:pPr>
        <w:pStyle w:val="ListParagraph"/>
        <w:numPr>
          <w:ilvl w:val="0"/>
          <w:numId w:val="38"/>
        </w:numPr>
        <w:tabs>
          <w:tab w:val="clear" w:pos="720"/>
          <w:tab w:val="left" w:pos="851"/>
          <w:tab w:val="num" w:pos="993"/>
        </w:tabs>
        <w:rPr>
          <w:sz w:val="22"/>
          <w:szCs w:val="22"/>
        </w:rPr>
      </w:pPr>
      <w:r w:rsidRPr="00295E71">
        <w:rPr>
          <w:sz w:val="22"/>
          <w:szCs w:val="22"/>
        </w:rPr>
        <w:t>Spondilite anchilosante</w:t>
      </w:r>
    </w:p>
    <w:p w:rsidR="006224C2" w:rsidRPr="00295E71" w14:paraId="109A7FF7" w14:textId="77777777">
      <w:pPr>
        <w:pStyle w:val="ListParagraph"/>
        <w:numPr>
          <w:ilvl w:val="0"/>
          <w:numId w:val="38"/>
        </w:numPr>
        <w:tabs>
          <w:tab w:val="clear" w:pos="720"/>
          <w:tab w:val="left" w:pos="851"/>
          <w:tab w:val="num" w:pos="993"/>
        </w:tabs>
        <w:rPr>
          <w:sz w:val="22"/>
          <w:szCs w:val="22"/>
        </w:rPr>
      </w:pPr>
      <w:r w:rsidRPr="00295E71">
        <w:rPr>
          <w:sz w:val="22"/>
          <w:szCs w:val="22"/>
        </w:rPr>
        <w:t>Spondiloartrite assiale senza evidenza radiografica di spondilite anchilosante</w:t>
      </w:r>
    </w:p>
    <w:p w:rsidR="006224C2" w:rsidRPr="00295E71" w14:paraId="122BF1A9" w14:textId="77777777">
      <w:pPr>
        <w:pStyle w:val="ListParagraph"/>
        <w:numPr>
          <w:ilvl w:val="0"/>
          <w:numId w:val="38"/>
        </w:numPr>
        <w:tabs>
          <w:tab w:val="clear" w:pos="720"/>
          <w:tab w:val="left" w:pos="851"/>
          <w:tab w:val="num" w:pos="993"/>
        </w:tabs>
        <w:rPr>
          <w:sz w:val="22"/>
          <w:szCs w:val="22"/>
        </w:rPr>
      </w:pPr>
      <w:r w:rsidRPr="00295E71">
        <w:rPr>
          <w:sz w:val="22"/>
          <w:szCs w:val="22"/>
        </w:rPr>
        <w:t>Artrite psoriasica</w:t>
      </w:r>
    </w:p>
    <w:p w:rsidR="006224C2" w:rsidRPr="00295E71" w14:paraId="3AE2AC73" w14:textId="77777777">
      <w:pPr>
        <w:pStyle w:val="ListParagraph"/>
        <w:numPr>
          <w:ilvl w:val="0"/>
          <w:numId w:val="38"/>
        </w:numPr>
        <w:tabs>
          <w:tab w:val="clear" w:pos="720"/>
          <w:tab w:val="left" w:pos="851"/>
          <w:tab w:val="num" w:pos="993"/>
        </w:tabs>
        <w:rPr>
          <w:sz w:val="22"/>
          <w:szCs w:val="22"/>
        </w:rPr>
      </w:pPr>
      <w:r w:rsidRPr="00295E71">
        <w:rPr>
          <w:sz w:val="22"/>
          <w:szCs w:val="22"/>
        </w:rPr>
        <w:t>Psoriasi a placche</w:t>
      </w:r>
    </w:p>
    <w:p w:rsidR="006224C2" w:rsidRPr="00295E71" w14:paraId="24FE7944" w14:textId="77777777">
      <w:pPr>
        <w:pStyle w:val="ListParagraph"/>
        <w:numPr>
          <w:ilvl w:val="0"/>
          <w:numId w:val="38"/>
        </w:numPr>
        <w:tabs>
          <w:tab w:val="clear" w:pos="720"/>
          <w:tab w:val="left" w:pos="851"/>
          <w:tab w:val="num" w:pos="993"/>
        </w:tabs>
        <w:rPr>
          <w:sz w:val="22"/>
          <w:szCs w:val="22"/>
        </w:rPr>
      </w:pPr>
      <w:r w:rsidRPr="00295E71">
        <w:rPr>
          <w:sz w:val="22"/>
          <w:szCs w:val="22"/>
        </w:rPr>
        <w:t>Idrosadenite suppurativa</w:t>
      </w:r>
    </w:p>
    <w:p w:rsidR="006224C2" w:rsidRPr="00295E71" w14:paraId="517EF61A" w14:textId="77777777">
      <w:pPr>
        <w:pStyle w:val="ListParagraph"/>
        <w:numPr>
          <w:ilvl w:val="0"/>
          <w:numId w:val="38"/>
        </w:numPr>
        <w:tabs>
          <w:tab w:val="clear" w:pos="720"/>
          <w:tab w:val="left" w:pos="851"/>
          <w:tab w:val="num" w:pos="993"/>
        </w:tabs>
        <w:rPr>
          <w:sz w:val="22"/>
          <w:szCs w:val="22"/>
        </w:rPr>
      </w:pPr>
      <w:r w:rsidRPr="00295E71">
        <w:rPr>
          <w:sz w:val="22"/>
          <w:szCs w:val="22"/>
        </w:rPr>
        <w:t>Malattia di Crohn</w:t>
      </w:r>
    </w:p>
    <w:p w:rsidR="006224C2" w:rsidRPr="00295E71" w14:paraId="0EB41977" w14:textId="77777777">
      <w:pPr>
        <w:pStyle w:val="ListParagraph"/>
        <w:numPr>
          <w:ilvl w:val="0"/>
          <w:numId w:val="38"/>
        </w:numPr>
        <w:tabs>
          <w:tab w:val="clear" w:pos="720"/>
          <w:tab w:val="left" w:pos="851"/>
          <w:tab w:val="num" w:pos="993"/>
        </w:tabs>
        <w:rPr>
          <w:sz w:val="22"/>
          <w:szCs w:val="22"/>
        </w:rPr>
      </w:pPr>
      <w:r w:rsidRPr="00295E71">
        <w:rPr>
          <w:sz w:val="22"/>
          <w:szCs w:val="22"/>
        </w:rPr>
        <w:t>Colite ulcerosa</w:t>
      </w:r>
    </w:p>
    <w:p w:rsidR="006224C2" w:rsidRPr="00295E71" w14:paraId="2E41B1CA" w14:textId="77777777">
      <w:pPr>
        <w:pStyle w:val="ListParagraph"/>
        <w:numPr>
          <w:ilvl w:val="0"/>
          <w:numId w:val="38"/>
        </w:numPr>
        <w:tabs>
          <w:tab w:val="left" w:pos="851"/>
        </w:tabs>
        <w:rPr>
          <w:sz w:val="22"/>
          <w:szCs w:val="22"/>
        </w:rPr>
      </w:pPr>
      <w:r w:rsidRPr="00295E71">
        <w:rPr>
          <w:sz w:val="22"/>
          <w:szCs w:val="22"/>
        </w:rPr>
        <w:t>Uveite non infettiva</w:t>
      </w:r>
    </w:p>
    <w:p w:rsidR="006224C2" w:rsidRPr="00295E71" w14:paraId="294E57C5" w14:textId="77777777">
      <w:pPr>
        <w:tabs>
          <w:tab w:val="left" w:pos="567"/>
        </w:tabs>
        <w:rPr>
          <w:sz w:val="22"/>
          <w:szCs w:val="22"/>
        </w:rPr>
      </w:pPr>
    </w:p>
    <w:p w:rsidR="008725C3" w:rsidRPr="00295E71" w:rsidP="008725C3" w14:paraId="3D89DBAF" w14:textId="77777777">
      <w:pPr>
        <w:tabs>
          <w:tab w:val="left" w:pos="567"/>
        </w:tabs>
        <w:jc w:val="both"/>
        <w:rPr>
          <w:sz w:val="22"/>
          <w:szCs w:val="22"/>
        </w:rPr>
      </w:pPr>
      <w:r w:rsidRPr="00295E71">
        <w:rPr>
          <w:sz w:val="22"/>
          <w:szCs w:val="22"/>
        </w:rPr>
        <w:t>Il principio attivo contenuto in Humira, adalimumab, è un anticorpo monoclonale umano. Gli anticorpi monoclonali sono proteine che si legano ad un bersaglio specifico.</w:t>
      </w:r>
    </w:p>
    <w:p w:rsidR="008725C3" w:rsidRPr="00295E71" w:rsidP="008725C3" w14:paraId="6CBDAE79" w14:textId="77777777">
      <w:pPr>
        <w:tabs>
          <w:tab w:val="left" w:pos="567"/>
        </w:tabs>
        <w:jc w:val="both"/>
        <w:rPr>
          <w:sz w:val="22"/>
          <w:szCs w:val="22"/>
        </w:rPr>
      </w:pPr>
    </w:p>
    <w:p w:rsidR="006224C2" w:rsidRPr="00295E71" w14:paraId="43DB595C" w14:textId="77777777">
      <w:pPr>
        <w:tabs>
          <w:tab w:val="left" w:pos="567"/>
        </w:tabs>
        <w:jc w:val="both"/>
        <w:rPr>
          <w:sz w:val="22"/>
          <w:szCs w:val="22"/>
        </w:rPr>
      </w:pPr>
      <w:r w:rsidRPr="00295E71">
        <w:rPr>
          <w:sz w:val="22"/>
          <w:szCs w:val="22"/>
        </w:rPr>
        <w:t>Il bersaglio di adalimumab è una proteina denominata fattore di necrosi tumorale (TNF</w:t>
      </w:r>
      <w:r w:rsidRPr="00295E71">
        <w:rPr>
          <w:noProof/>
          <w:color w:val="000000"/>
          <w:sz w:val="22"/>
          <w:szCs w:val="22"/>
        </w:rPr>
        <w:t>α</w:t>
      </w:r>
      <w:r w:rsidRPr="00295E71">
        <w:rPr>
          <w:sz w:val="22"/>
          <w:szCs w:val="22"/>
        </w:rPr>
        <w:t>), che è coinvolto nel sistema immunitario (di difesa) ed è presente a concentrazioni maggiori nelle malattie infiammatorie elencate sopra. Attraverso il legame al TNF</w:t>
      </w:r>
      <w:r w:rsidRPr="00295E71">
        <w:rPr>
          <w:noProof/>
          <w:color w:val="000000"/>
          <w:sz w:val="22"/>
          <w:szCs w:val="22"/>
        </w:rPr>
        <w:t>α, Humira diminuisce il processo infiammatorio di queste malattie.</w:t>
      </w:r>
    </w:p>
    <w:p w:rsidR="0039372B" w:rsidRPr="00295E71" w14:paraId="50FFEC92" w14:textId="77777777">
      <w:pPr>
        <w:tabs>
          <w:tab w:val="left" w:pos="567"/>
        </w:tabs>
        <w:jc w:val="both"/>
        <w:rPr>
          <w:b/>
          <w:sz w:val="22"/>
          <w:szCs w:val="22"/>
        </w:rPr>
      </w:pPr>
    </w:p>
    <w:p w:rsidR="006224C2" w:rsidRPr="00295E71" w14:paraId="05238831" w14:textId="77777777">
      <w:pPr>
        <w:tabs>
          <w:tab w:val="left" w:pos="567"/>
        </w:tabs>
        <w:jc w:val="both"/>
        <w:rPr>
          <w:b/>
          <w:sz w:val="22"/>
          <w:szCs w:val="22"/>
        </w:rPr>
      </w:pPr>
      <w:r w:rsidRPr="00295E71">
        <w:rPr>
          <w:b/>
          <w:sz w:val="22"/>
          <w:szCs w:val="22"/>
        </w:rPr>
        <w:t>Artrite reumatoide</w:t>
      </w:r>
    </w:p>
    <w:p w:rsidR="006224C2" w:rsidRPr="00295E71" w14:paraId="3F2C6989" w14:textId="77777777">
      <w:pPr>
        <w:tabs>
          <w:tab w:val="left" w:pos="567"/>
        </w:tabs>
        <w:jc w:val="both"/>
        <w:rPr>
          <w:sz w:val="22"/>
          <w:szCs w:val="22"/>
        </w:rPr>
      </w:pPr>
    </w:p>
    <w:p w:rsidR="006224C2" w:rsidRPr="00295E71" w14:paraId="25D98D47" w14:textId="77777777">
      <w:pPr>
        <w:tabs>
          <w:tab w:val="left" w:pos="567"/>
        </w:tabs>
        <w:jc w:val="both"/>
        <w:rPr>
          <w:sz w:val="22"/>
          <w:szCs w:val="22"/>
        </w:rPr>
      </w:pPr>
      <w:r w:rsidRPr="00295E71">
        <w:rPr>
          <w:sz w:val="22"/>
          <w:szCs w:val="22"/>
        </w:rPr>
        <w:t>L’artrite reumatoide è una patologia infiammatoria delle articolazioni.</w:t>
      </w:r>
    </w:p>
    <w:p w:rsidR="006224C2" w:rsidRPr="00295E71" w14:paraId="260DB4D6" w14:textId="77777777">
      <w:pPr>
        <w:tabs>
          <w:tab w:val="left" w:pos="567"/>
        </w:tabs>
        <w:jc w:val="both"/>
        <w:rPr>
          <w:sz w:val="22"/>
          <w:szCs w:val="22"/>
        </w:rPr>
      </w:pPr>
    </w:p>
    <w:p w:rsidR="006224C2" w:rsidRPr="00295E71" w14:paraId="76DF39A0" w14:textId="77777777">
      <w:pPr>
        <w:tabs>
          <w:tab w:val="left" w:pos="567"/>
        </w:tabs>
        <w:jc w:val="both"/>
        <w:rPr>
          <w:sz w:val="22"/>
          <w:szCs w:val="22"/>
        </w:rPr>
      </w:pPr>
      <w:r w:rsidRPr="00295E71">
        <w:rPr>
          <w:sz w:val="22"/>
          <w:szCs w:val="22"/>
        </w:rPr>
        <w:t>Humira è usato per trattare l’artrite reumatoide di grado da moderato a severo negli adulti.</w:t>
      </w:r>
    </w:p>
    <w:p w:rsidR="006224C2" w:rsidRPr="00295E71" w14:paraId="6CB29EB1" w14:textId="77777777">
      <w:pPr>
        <w:tabs>
          <w:tab w:val="left" w:pos="567"/>
        </w:tabs>
        <w:jc w:val="both"/>
        <w:rPr>
          <w:sz w:val="22"/>
          <w:szCs w:val="22"/>
        </w:rPr>
      </w:pPr>
      <w:r w:rsidRPr="00295E71">
        <w:rPr>
          <w:sz w:val="22"/>
          <w:szCs w:val="22"/>
        </w:rPr>
        <w:t>Inizialmente possono essere assunti altri farmaci modificanti la malattia, quali il metotressato. Se la risposta a tali farmaci non è soddisfacente, le verrà dato Humira.</w:t>
      </w:r>
    </w:p>
    <w:p w:rsidR="006224C2" w:rsidRPr="00295E71" w14:paraId="1B7ED7FA" w14:textId="77777777">
      <w:pPr>
        <w:tabs>
          <w:tab w:val="left" w:pos="567"/>
        </w:tabs>
        <w:jc w:val="both"/>
        <w:rPr>
          <w:sz w:val="22"/>
          <w:szCs w:val="22"/>
        </w:rPr>
      </w:pPr>
    </w:p>
    <w:p w:rsidR="006224C2" w:rsidRPr="00295E71" w14:paraId="6C30460B" w14:textId="77777777">
      <w:pPr>
        <w:tabs>
          <w:tab w:val="left" w:pos="567"/>
        </w:tabs>
        <w:jc w:val="both"/>
        <w:rPr>
          <w:sz w:val="22"/>
          <w:szCs w:val="22"/>
        </w:rPr>
      </w:pPr>
      <w:r w:rsidRPr="00295E71">
        <w:rPr>
          <w:sz w:val="22"/>
          <w:szCs w:val="22"/>
        </w:rPr>
        <w:t>Humira può essere anche utilizzato per il trattamento dell’artrite reumatoide severa, attiva e progressiva senza precedente trattamento con metotressato.</w:t>
      </w:r>
    </w:p>
    <w:p w:rsidR="006224C2" w:rsidRPr="00295E71" w14:paraId="12FC04FE" w14:textId="77777777">
      <w:pPr>
        <w:tabs>
          <w:tab w:val="left" w:pos="567"/>
        </w:tabs>
        <w:jc w:val="both"/>
        <w:rPr>
          <w:sz w:val="22"/>
          <w:szCs w:val="22"/>
        </w:rPr>
      </w:pPr>
    </w:p>
    <w:p w:rsidR="006224C2" w:rsidRPr="00295E71" w14:paraId="69583473" w14:textId="77777777">
      <w:pPr>
        <w:tabs>
          <w:tab w:val="left" w:pos="567"/>
        </w:tabs>
        <w:jc w:val="both"/>
        <w:rPr>
          <w:sz w:val="22"/>
          <w:szCs w:val="22"/>
        </w:rPr>
      </w:pPr>
      <w:r w:rsidRPr="00295E71">
        <w:rPr>
          <w:sz w:val="22"/>
          <w:szCs w:val="22"/>
        </w:rPr>
        <w:t>Humira può rallentare la progressione del danno alle articolazioni causato dalla malattia infiammatoria e può aiutarle a muoversi più liberamente.</w:t>
      </w:r>
    </w:p>
    <w:p w:rsidR="006224C2" w:rsidRPr="00295E71" w14:paraId="77E1181C" w14:textId="77777777">
      <w:pPr>
        <w:tabs>
          <w:tab w:val="left" w:pos="567"/>
        </w:tabs>
        <w:jc w:val="both"/>
        <w:rPr>
          <w:sz w:val="22"/>
          <w:szCs w:val="22"/>
        </w:rPr>
      </w:pPr>
    </w:p>
    <w:p w:rsidR="006224C2" w:rsidRPr="00295E71" w14:paraId="1166DF70" w14:textId="77777777">
      <w:pPr>
        <w:tabs>
          <w:tab w:val="left" w:pos="567"/>
        </w:tabs>
        <w:jc w:val="both"/>
        <w:rPr>
          <w:sz w:val="22"/>
          <w:szCs w:val="22"/>
        </w:rPr>
      </w:pPr>
      <w:r w:rsidRPr="00295E71">
        <w:rPr>
          <w:sz w:val="22"/>
          <w:szCs w:val="22"/>
        </w:rPr>
        <w:t>Il medico deciderà se Humira deve essere assunto con il metotressato oppure da solo.</w:t>
      </w:r>
    </w:p>
    <w:p w:rsidR="006224C2" w:rsidRPr="00295E71" w14:paraId="32968981" w14:textId="77777777">
      <w:pPr>
        <w:numPr>
          <w:ilvl w:val="12"/>
          <w:numId w:val="0"/>
        </w:numPr>
        <w:tabs>
          <w:tab w:val="left" w:pos="567"/>
        </w:tabs>
        <w:ind w:right="-2"/>
        <w:jc w:val="both"/>
        <w:rPr>
          <w:sz w:val="22"/>
          <w:szCs w:val="22"/>
        </w:rPr>
      </w:pPr>
    </w:p>
    <w:p w:rsidR="006224C2" w:rsidRPr="00295E71" w14:paraId="5425EE15" w14:textId="77777777">
      <w:pPr>
        <w:numPr>
          <w:ilvl w:val="12"/>
          <w:numId w:val="0"/>
        </w:numPr>
        <w:tabs>
          <w:tab w:val="left" w:pos="567"/>
        </w:tabs>
        <w:ind w:right="-2"/>
        <w:jc w:val="both"/>
        <w:rPr>
          <w:b/>
          <w:sz w:val="22"/>
          <w:szCs w:val="22"/>
        </w:rPr>
      </w:pPr>
      <w:r w:rsidRPr="00295E71">
        <w:rPr>
          <w:b/>
          <w:sz w:val="22"/>
          <w:szCs w:val="22"/>
        </w:rPr>
        <w:t>Artrite idiopatica giovanile poliarticolare</w:t>
      </w:r>
    </w:p>
    <w:p w:rsidR="006224C2" w:rsidRPr="00295E71" w14:paraId="4E2B7BC3" w14:textId="77777777">
      <w:pPr>
        <w:numPr>
          <w:ilvl w:val="12"/>
          <w:numId w:val="0"/>
        </w:numPr>
        <w:tabs>
          <w:tab w:val="left" w:pos="567"/>
        </w:tabs>
        <w:ind w:right="-2"/>
        <w:jc w:val="both"/>
        <w:rPr>
          <w:sz w:val="22"/>
          <w:szCs w:val="22"/>
        </w:rPr>
      </w:pPr>
    </w:p>
    <w:p w:rsidR="006224C2" w:rsidRPr="00295E71" w14:paraId="7537C366" w14:textId="77777777">
      <w:pPr>
        <w:numPr>
          <w:ilvl w:val="12"/>
          <w:numId w:val="0"/>
        </w:numPr>
        <w:tabs>
          <w:tab w:val="left" w:pos="567"/>
        </w:tabs>
        <w:ind w:right="-2"/>
        <w:jc w:val="both"/>
        <w:rPr>
          <w:sz w:val="22"/>
          <w:szCs w:val="22"/>
        </w:rPr>
      </w:pPr>
      <w:r w:rsidRPr="00295E71">
        <w:rPr>
          <w:sz w:val="22"/>
          <w:szCs w:val="22"/>
        </w:rPr>
        <w:t>L’artrite idiopatica giovanile poliarticolare è una malattia infiammatoria delle articolazioni.</w:t>
      </w:r>
    </w:p>
    <w:p w:rsidR="006224C2" w:rsidRPr="00295E71" w14:paraId="77501EE8" w14:textId="77777777">
      <w:pPr>
        <w:numPr>
          <w:ilvl w:val="12"/>
          <w:numId w:val="0"/>
        </w:numPr>
        <w:tabs>
          <w:tab w:val="left" w:pos="567"/>
        </w:tabs>
        <w:ind w:right="-2"/>
        <w:jc w:val="both"/>
        <w:rPr>
          <w:sz w:val="22"/>
          <w:szCs w:val="22"/>
        </w:rPr>
      </w:pPr>
    </w:p>
    <w:p w:rsidR="006224C2" w:rsidRPr="00295E71" w14:paraId="57BE980D" w14:textId="77777777">
      <w:pPr>
        <w:tabs>
          <w:tab w:val="left" w:pos="567"/>
        </w:tabs>
        <w:jc w:val="both"/>
        <w:rPr>
          <w:sz w:val="22"/>
          <w:szCs w:val="22"/>
        </w:rPr>
      </w:pPr>
      <w:r w:rsidRPr="00295E71">
        <w:rPr>
          <w:sz w:val="22"/>
          <w:szCs w:val="22"/>
        </w:rPr>
        <w:t>Humira è usato per trattare l’artrite idiopatica giovanile poliarticolare nei pazienti di età pari o superiore a 2 anni Inizialmente possono essere assunti altri farmaci modificanti la malattia, come il metotressato. Se la risposta a questi farmaci non dovesse essere adeguata, le verrà dato Humira.</w:t>
      </w:r>
    </w:p>
    <w:p w:rsidR="006224C2" w:rsidRPr="00295E71" w14:paraId="45DC089C" w14:textId="77777777">
      <w:pPr>
        <w:tabs>
          <w:tab w:val="left" w:pos="567"/>
        </w:tabs>
        <w:jc w:val="both"/>
        <w:rPr>
          <w:sz w:val="22"/>
          <w:szCs w:val="22"/>
        </w:rPr>
      </w:pPr>
    </w:p>
    <w:p w:rsidR="006224C2" w:rsidRPr="00295E71" w14:paraId="25431301" w14:textId="77777777">
      <w:pPr>
        <w:tabs>
          <w:tab w:val="left" w:pos="567"/>
        </w:tabs>
        <w:jc w:val="both"/>
        <w:rPr>
          <w:sz w:val="22"/>
          <w:szCs w:val="22"/>
        </w:rPr>
      </w:pPr>
      <w:r w:rsidRPr="00295E71">
        <w:rPr>
          <w:sz w:val="22"/>
          <w:szCs w:val="22"/>
        </w:rPr>
        <w:t>Il medico deciderà se Humira deve essere assunto con il metotressato oppure da solo.</w:t>
      </w:r>
    </w:p>
    <w:p w:rsidR="006224C2" w:rsidRPr="00295E71" w14:paraId="193CC809" w14:textId="77777777">
      <w:pPr>
        <w:tabs>
          <w:tab w:val="left" w:pos="567"/>
        </w:tabs>
        <w:rPr>
          <w:sz w:val="22"/>
          <w:szCs w:val="22"/>
        </w:rPr>
      </w:pPr>
    </w:p>
    <w:p w:rsidR="006224C2" w:rsidRPr="00295E71" w14:paraId="4BD2BD5D" w14:textId="77777777">
      <w:pPr>
        <w:tabs>
          <w:tab w:val="left" w:pos="567"/>
        </w:tabs>
        <w:rPr>
          <w:b/>
          <w:sz w:val="22"/>
          <w:szCs w:val="22"/>
        </w:rPr>
      </w:pPr>
      <w:r w:rsidRPr="00295E71">
        <w:rPr>
          <w:b/>
          <w:sz w:val="22"/>
          <w:szCs w:val="22"/>
        </w:rPr>
        <w:t>Art</w:t>
      </w:r>
      <w:r w:rsidRPr="00295E71" w:rsidR="00F32448">
        <w:rPr>
          <w:b/>
          <w:sz w:val="22"/>
          <w:szCs w:val="22"/>
        </w:rPr>
        <w:t>r</w:t>
      </w:r>
      <w:r w:rsidRPr="00295E71">
        <w:rPr>
          <w:b/>
          <w:sz w:val="22"/>
          <w:szCs w:val="22"/>
        </w:rPr>
        <w:t>ite associata ad entesite</w:t>
      </w:r>
    </w:p>
    <w:p w:rsidR="006224C2" w:rsidRPr="00295E71" w14:paraId="6EB7662F" w14:textId="77777777">
      <w:pPr>
        <w:tabs>
          <w:tab w:val="left" w:pos="567"/>
        </w:tabs>
        <w:rPr>
          <w:b/>
          <w:sz w:val="22"/>
          <w:szCs w:val="22"/>
        </w:rPr>
      </w:pPr>
    </w:p>
    <w:p w:rsidR="006224C2" w:rsidRPr="00295E71" w14:paraId="0CD80B45" w14:textId="77777777">
      <w:pPr>
        <w:tabs>
          <w:tab w:val="left" w:pos="567"/>
        </w:tabs>
        <w:rPr>
          <w:sz w:val="22"/>
          <w:szCs w:val="22"/>
        </w:rPr>
      </w:pPr>
      <w:r w:rsidRPr="00295E71">
        <w:rPr>
          <w:sz w:val="22"/>
          <w:szCs w:val="22"/>
        </w:rPr>
        <w:t>L’artrite associata ad entesite è una malattia infiammatoria delle articolazioni e delle zone nelle quali i tendini si legano alle ossa.</w:t>
      </w:r>
    </w:p>
    <w:p w:rsidR="006224C2" w:rsidRPr="00295E71" w14:paraId="573502A6" w14:textId="77777777">
      <w:pPr>
        <w:tabs>
          <w:tab w:val="left" w:pos="567"/>
        </w:tabs>
        <w:rPr>
          <w:sz w:val="22"/>
          <w:szCs w:val="22"/>
        </w:rPr>
      </w:pPr>
    </w:p>
    <w:p w:rsidR="006224C2" w:rsidRPr="00295E71" w14:paraId="27B37711" w14:textId="77777777">
      <w:pPr>
        <w:tabs>
          <w:tab w:val="left" w:pos="567"/>
        </w:tabs>
        <w:rPr>
          <w:sz w:val="22"/>
          <w:szCs w:val="22"/>
        </w:rPr>
      </w:pPr>
      <w:r w:rsidRPr="00295E71">
        <w:rPr>
          <w:sz w:val="22"/>
          <w:szCs w:val="22"/>
        </w:rPr>
        <w:t xml:space="preserve">Humira è usato per trattare l’artrite associata ad entesite in pazienti di età pari o superiore a 6 anni. </w:t>
      </w:r>
    </w:p>
    <w:p w:rsidR="006224C2" w:rsidRPr="00295E71" w14:paraId="2AEB9C12" w14:textId="77777777">
      <w:pPr>
        <w:numPr>
          <w:ilvl w:val="12"/>
          <w:numId w:val="0"/>
        </w:numPr>
        <w:tabs>
          <w:tab w:val="left" w:pos="567"/>
        </w:tabs>
        <w:ind w:right="-2"/>
        <w:jc w:val="both"/>
        <w:rPr>
          <w:sz w:val="22"/>
          <w:szCs w:val="22"/>
        </w:rPr>
      </w:pPr>
      <w:r w:rsidRPr="00295E71">
        <w:rPr>
          <w:sz w:val="22"/>
          <w:szCs w:val="22"/>
        </w:rPr>
        <w:t>Inizialmente possono essereassunti altri farmaci modificanti la malattia, come il metotressato. Se la risposta a questi farmaci non dovesse essere adeguata, leverrà dato Humira.</w:t>
      </w:r>
    </w:p>
    <w:p w:rsidR="006224C2" w:rsidRPr="00295E71" w14:paraId="2BCF30A9" w14:textId="77777777">
      <w:pPr>
        <w:numPr>
          <w:ilvl w:val="12"/>
          <w:numId w:val="0"/>
        </w:numPr>
        <w:tabs>
          <w:tab w:val="left" w:pos="567"/>
        </w:tabs>
        <w:ind w:right="-2"/>
        <w:jc w:val="both"/>
        <w:rPr>
          <w:sz w:val="22"/>
          <w:szCs w:val="22"/>
          <w:u w:val="single"/>
        </w:rPr>
      </w:pPr>
    </w:p>
    <w:p w:rsidR="006224C2" w:rsidRPr="00295E71" w14:paraId="468AA03B" w14:textId="77777777">
      <w:pPr>
        <w:numPr>
          <w:ilvl w:val="12"/>
          <w:numId w:val="0"/>
        </w:numPr>
        <w:tabs>
          <w:tab w:val="left" w:pos="567"/>
        </w:tabs>
        <w:ind w:right="-2"/>
        <w:jc w:val="both"/>
        <w:rPr>
          <w:b/>
          <w:sz w:val="22"/>
          <w:szCs w:val="22"/>
        </w:rPr>
      </w:pPr>
      <w:r w:rsidRPr="00295E71">
        <w:rPr>
          <w:b/>
          <w:sz w:val="22"/>
          <w:szCs w:val="22"/>
        </w:rPr>
        <w:t>Spondilite anchilosante e spondiloartrite assiale senza evidenza radiografica di spondilite anchilosante</w:t>
      </w:r>
    </w:p>
    <w:p w:rsidR="006224C2" w:rsidRPr="00295E71" w14:paraId="4F31D34C" w14:textId="77777777">
      <w:pPr>
        <w:numPr>
          <w:ilvl w:val="12"/>
          <w:numId w:val="0"/>
        </w:numPr>
        <w:tabs>
          <w:tab w:val="left" w:pos="567"/>
        </w:tabs>
        <w:ind w:right="-2"/>
        <w:jc w:val="both"/>
        <w:rPr>
          <w:sz w:val="22"/>
          <w:szCs w:val="22"/>
        </w:rPr>
      </w:pPr>
    </w:p>
    <w:p w:rsidR="006224C2" w:rsidRPr="00295E71" w14:paraId="4583D89C" w14:textId="77777777">
      <w:pPr>
        <w:numPr>
          <w:ilvl w:val="12"/>
          <w:numId w:val="0"/>
        </w:numPr>
        <w:tabs>
          <w:tab w:val="left" w:pos="567"/>
        </w:tabs>
        <w:ind w:right="-2"/>
        <w:jc w:val="both"/>
        <w:rPr>
          <w:sz w:val="22"/>
          <w:szCs w:val="22"/>
        </w:rPr>
      </w:pPr>
      <w:r w:rsidRPr="00295E71">
        <w:rPr>
          <w:sz w:val="22"/>
          <w:szCs w:val="22"/>
        </w:rPr>
        <w:t>La spondilite anchilosante e la spondiloartrite assiale senza evidenza radiografica di spondilite anchilosante sono infiammazioni della colonna vertebrale.</w:t>
      </w:r>
    </w:p>
    <w:p w:rsidR="006224C2" w:rsidRPr="00295E71" w14:paraId="6E19B5E1" w14:textId="77777777">
      <w:pPr>
        <w:numPr>
          <w:ilvl w:val="12"/>
          <w:numId w:val="0"/>
        </w:numPr>
        <w:tabs>
          <w:tab w:val="left" w:pos="567"/>
        </w:tabs>
        <w:ind w:right="-2"/>
        <w:jc w:val="both"/>
        <w:rPr>
          <w:sz w:val="22"/>
          <w:szCs w:val="22"/>
        </w:rPr>
      </w:pPr>
    </w:p>
    <w:p w:rsidR="006224C2" w:rsidRPr="00295E71" w14:paraId="6B637771" w14:textId="77777777">
      <w:pPr>
        <w:numPr>
          <w:ilvl w:val="12"/>
          <w:numId w:val="0"/>
        </w:numPr>
        <w:tabs>
          <w:tab w:val="left" w:pos="567"/>
        </w:tabs>
        <w:ind w:right="-2"/>
        <w:jc w:val="both"/>
        <w:rPr>
          <w:sz w:val="22"/>
          <w:szCs w:val="22"/>
        </w:rPr>
      </w:pPr>
      <w:r w:rsidRPr="00295E71">
        <w:rPr>
          <w:sz w:val="22"/>
          <w:szCs w:val="22"/>
        </w:rPr>
        <w:t>Humira è usato per trattare la spondilite anchilosante e la spondiloartrite assiale senza evidenza radiografica della spondilite anchilosante di grado severo negli adulti.Inizialmente possono essere assunti altri farmaci. Se la risposta a questi farmaci non dovesse essere adeguata, le verrà dato Humira.</w:t>
      </w:r>
    </w:p>
    <w:p w:rsidR="006224C2" w:rsidRPr="00295E71" w14:paraId="61EA09E2" w14:textId="77777777">
      <w:pPr>
        <w:numPr>
          <w:ilvl w:val="12"/>
          <w:numId w:val="0"/>
        </w:numPr>
        <w:tabs>
          <w:tab w:val="left" w:pos="567"/>
        </w:tabs>
        <w:ind w:right="-2"/>
        <w:jc w:val="both"/>
        <w:rPr>
          <w:sz w:val="22"/>
          <w:szCs w:val="22"/>
          <w:u w:val="single"/>
        </w:rPr>
      </w:pPr>
    </w:p>
    <w:p w:rsidR="006224C2" w:rsidRPr="00295E71" w:rsidP="00FB547E" w14:paraId="6A8A093A" w14:textId="77777777">
      <w:pPr>
        <w:numPr>
          <w:ilvl w:val="12"/>
          <w:numId w:val="0"/>
        </w:numPr>
        <w:tabs>
          <w:tab w:val="left" w:pos="567"/>
          <w:tab w:val="left" w:pos="5160"/>
        </w:tabs>
        <w:ind w:right="-2"/>
        <w:jc w:val="both"/>
        <w:rPr>
          <w:b/>
          <w:sz w:val="22"/>
          <w:szCs w:val="22"/>
        </w:rPr>
      </w:pPr>
      <w:r w:rsidRPr="00295E71">
        <w:rPr>
          <w:b/>
          <w:sz w:val="22"/>
          <w:szCs w:val="22"/>
        </w:rPr>
        <w:t>Artrite psoriasica</w:t>
      </w:r>
      <w:r w:rsidRPr="00295E71" w:rsidR="000B328C">
        <w:rPr>
          <w:b/>
          <w:sz w:val="22"/>
          <w:szCs w:val="22"/>
        </w:rPr>
        <w:tab/>
      </w:r>
    </w:p>
    <w:p w:rsidR="006224C2" w:rsidRPr="00295E71" w14:paraId="4C90E603" w14:textId="77777777">
      <w:pPr>
        <w:numPr>
          <w:ilvl w:val="12"/>
          <w:numId w:val="0"/>
        </w:numPr>
        <w:tabs>
          <w:tab w:val="left" w:pos="567"/>
        </w:tabs>
        <w:ind w:right="-2"/>
        <w:jc w:val="both"/>
        <w:rPr>
          <w:sz w:val="22"/>
          <w:szCs w:val="22"/>
        </w:rPr>
      </w:pPr>
    </w:p>
    <w:p w:rsidR="006224C2" w:rsidRPr="00295E71" w14:paraId="6DD4E92A" w14:textId="77777777">
      <w:pPr>
        <w:numPr>
          <w:ilvl w:val="12"/>
          <w:numId w:val="0"/>
        </w:numPr>
        <w:tabs>
          <w:tab w:val="left" w:pos="567"/>
        </w:tabs>
        <w:ind w:right="-2"/>
        <w:jc w:val="both"/>
        <w:rPr>
          <w:sz w:val="22"/>
          <w:szCs w:val="22"/>
        </w:rPr>
      </w:pPr>
      <w:r w:rsidRPr="00295E71">
        <w:rPr>
          <w:sz w:val="22"/>
          <w:szCs w:val="22"/>
        </w:rPr>
        <w:t>L’artrite psoriasica è una malattia infiammatoria delle articolazioni solitamente associata alla psoriasi.</w:t>
      </w:r>
    </w:p>
    <w:p w:rsidR="006224C2" w:rsidRPr="00295E71" w14:paraId="1C01D590" w14:textId="77777777">
      <w:pPr>
        <w:numPr>
          <w:ilvl w:val="12"/>
          <w:numId w:val="0"/>
        </w:numPr>
        <w:tabs>
          <w:tab w:val="left" w:pos="567"/>
        </w:tabs>
        <w:ind w:right="-2"/>
        <w:jc w:val="both"/>
        <w:rPr>
          <w:sz w:val="22"/>
          <w:szCs w:val="22"/>
        </w:rPr>
      </w:pPr>
    </w:p>
    <w:p w:rsidR="006224C2" w:rsidRPr="00295E71" w14:paraId="0D6ABEF8" w14:textId="77777777">
      <w:pPr>
        <w:numPr>
          <w:ilvl w:val="12"/>
          <w:numId w:val="0"/>
        </w:numPr>
        <w:tabs>
          <w:tab w:val="left" w:pos="567"/>
        </w:tabs>
        <w:ind w:right="-2"/>
        <w:jc w:val="both"/>
        <w:rPr>
          <w:sz w:val="22"/>
          <w:szCs w:val="22"/>
        </w:rPr>
      </w:pPr>
      <w:r w:rsidRPr="00295E71">
        <w:rPr>
          <w:sz w:val="22"/>
          <w:szCs w:val="22"/>
        </w:rPr>
        <w:t>Humira è usato per trattare l’artrite psoriasica negli adulti. Humira può rallentare il danno alle articolazioni causato dalla malattia e può aiutarle a muoversi più liberamente. Inizialmente possono essere assunti altri farmaci. Se la risposta a questi farmaci non dovesse essere adeguata, le verrà dato Humira.</w:t>
      </w:r>
    </w:p>
    <w:p w:rsidR="006224C2" w:rsidRPr="00295E71" w14:paraId="532CF8C6" w14:textId="77777777">
      <w:pPr>
        <w:numPr>
          <w:ilvl w:val="12"/>
          <w:numId w:val="0"/>
        </w:numPr>
        <w:tabs>
          <w:tab w:val="left" w:pos="567"/>
        </w:tabs>
        <w:ind w:right="-2"/>
        <w:jc w:val="both"/>
        <w:rPr>
          <w:sz w:val="22"/>
          <w:szCs w:val="22"/>
        </w:rPr>
      </w:pPr>
    </w:p>
    <w:p w:rsidR="006224C2" w:rsidRPr="00295E71" w14:paraId="7F50A51C" w14:textId="77777777">
      <w:pPr>
        <w:numPr>
          <w:ilvl w:val="12"/>
          <w:numId w:val="0"/>
        </w:numPr>
        <w:tabs>
          <w:tab w:val="left" w:pos="567"/>
        </w:tabs>
        <w:ind w:right="-2"/>
        <w:jc w:val="both"/>
        <w:rPr>
          <w:b/>
          <w:color w:val="000000"/>
          <w:sz w:val="22"/>
          <w:szCs w:val="22"/>
        </w:rPr>
      </w:pPr>
      <w:r w:rsidRPr="00295E71">
        <w:rPr>
          <w:b/>
          <w:color w:val="000000"/>
          <w:sz w:val="22"/>
          <w:szCs w:val="22"/>
        </w:rPr>
        <w:t>Psoriasi a placche</w:t>
      </w:r>
    </w:p>
    <w:p w:rsidR="006224C2" w:rsidRPr="00295E71" w14:paraId="53DB1390" w14:textId="77777777">
      <w:pPr>
        <w:numPr>
          <w:ilvl w:val="12"/>
          <w:numId w:val="0"/>
        </w:numPr>
        <w:tabs>
          <w:tab w:val="left" w:pos="567"/>
        </w:tabs>
        <w:ind w:right="-2"/>
        <w:jc w:val="both"/>
        <w:rPr>
          <w:color w:val="000000"/>
          <w:sz w:val="22"/>
          <w:szCs w:val="22"/>
        </w:rPr>
      </w:pPr>
    </w:p>
    <w:p w:rsidR="006224C2" w:rsidRPr="00295E71" w14:paraId="168A66D6" w14:textId="77777777">
      <w:pPr>
        <w:numPr>
          <w:ilvl w:val="12"/>
          <w:numId w:val="0"/>
        </w:numPr>
        <w:tabs>
          <w:tab w:val="left" w:pos="567"/>
        </w:tabs>
        <w:ind w:right="-2"/>
        <w:jc w:val="both"/>
        <w:rPr>
          <w:color w:val="000000"/>
          <w:sz w:val="22"/>
          <w:szCs w:val="22"/>
        </w:rPr>
      </w:pPr>
      <w:r w:rsidRPr="00295E71">
        <w:rPr>
          <w:color w:val="000000"/>
          <w:sz w:val="22"/>
          <w:szCs w:val="22"/>
        </w:rPr>
        <w:t xml:space="preserve">La psoriasi a placche è una condizione della pelle che causa chiazze rossastre, squamose e </w:t>
      </w:r>
      <w:r w:rsidRPr="00295E71">
        <w:rPr>
          <w:sz w:val="22"/>
          <w:szCs w:val="22"/>
        </w:rPr>
        <w:t>indurite</w:t>
      </w:r>
      <w:r w:rsidRPr="00295E71">
        <w:rPr>
          <w:color w:val="000000"/>
          <w:sz w:val="22"/>
          <w:szCs w:val="22"/>
        </w:rPr>
        <w:t xml:space="preserve"> di pelle ricoperta da squame argentee. </w:t>
      </w:r>
      <w:r w:rsidRPr="00295E71">
        <w:rPr>
          <w:sz w:val="22"/>
          <w:szCs w:val="22"/>
        </w:rPr>
        <w:t>La psoriasi a placche può anche colpire le unghie, provocandone la rottura, l’ispessimento e il sollevamento dal letto dell’unghia, che può essere doloroso.</w:t>
      </w:r>
    </w:p>
    <w:p w:rsidR="006224C2" w:rsidRPr="00295E71" w14:paraId="5697EC51" w14:textId="77777777">
      <w:pPr>
        <w:numPr>
          <w:ilvl w:val="12"/>
          <w:numId w:val="0"/>
        </w:numPr>
        <w:tabs>
          <w:tab w:val="left" w:pos="567"/>
        </w:tabs>
        <w:ind w:right="-2"/>
        <w:jc w:val="both"/>
        <w:rPr>
          <w:color w:val="000000"/>
          <w:sz w:val="22"/>
          <w:szCs w:val="22"/>
        </w:rPr>
      </w:pPr>
    </w:p>
    <w:p w:rsidR="006224C2" w:rsidRPr="00295E71" w:rsidP="00F048D7" w14:paraId="1D51D1B2" w14:textId="77777777">
      <w:pPr>
        <w:keepNext/>
        <w:keepLines/>
        <w:numPr>
          <w:ilvl w:val="12"/>
          <w:numId w:val="0"/>
        </w:numPr>
        <w:tabs>
          <w:tab w:val="left" w:pos="567"/>
        </w:tabs>
        <w:jc w:val="both"/>
        <w:rPr>
          <w:sz w:val="22"/>
          <w:szCs w:val="22"/>
        </w:rPr>
      </w:pPr>
      <w:r w:rsidRPr="00295E71">
        <w:rPr>
          <w:sz w:val="22"/>
          <w:szCs w:val="22"/>
        </w:rPr>
        <w:t xml:space="preserve">Humira è usato per trattare </w:t>
      </w:r>
    </w:p>
    <w:p w:rsidR="006224C2" w:rsidRPr="00295E71" w:rsidP="00F048D7" w14:paraId="66E64D36" w14:textId="77777777">
      <w:pPr>
        <w:pStyle w:val="ListParagraph"/>
        <w:keepNext/>
        <w:keepLines/>
        <w:numPr>
          <w:ilvl w:val="0"/>
          <w:numId w:val="95"/>
        </w:numPr>
        <w:tabs>
          <w:tab w:val="left" w:pos="567"/>
        </w:tabs>
        <w:jc w:val="both"/>
        <w:rPr>
          <w:sz w:val="22"/>
          <w:szCs w:val="22"/>
        </w:rPr>
      </w:pPr>
      <w:r w:rsidRPr="00295E71">
        <w:rPr>
          <w:sz w:val="22"/>
          <w:szCs w:val="22"/>
        </w:rPr>
        <w:t xml:space="preserve">la psoriasi a placche </w:t>
      </w:r>
      <w:r w:rsidRPr="00295E71" w:rsidR="00B83439">
        <w:rPr>
          <w:sz w:val="22"/>
          <w:szCs w:val="22"/>
        </w:rPr>
        <w:t xml:space="preserve">cronica </w:t>
      </w:r>
      <w:r w:rsidRPr="00295E71">
        <w:rPr>
          <w:sz w:val="22"/>
          <w:szCs w:val="22"/>
        </w:rPr>
        <w:t>di grado da moderato a severo negli adulti e</w:t>
      </w:r>
    </w:p>
    <w:p w:rsidR="006224C2" w:rsidRPr="00295E71" w:rsidP="00F048D7" w14:paraId="2C2D0F9F" w14:textId="77777777">
      <w:pPr>
        <w:pStyle w:val="ListParagraph"/>
        <w:keepNext/>
        <w:keepLines/>
        <w:numPr>
          <w:ilvl w:val="0"/>
          <w:numId w:val="95"/>
        </w:numPr>
        <w:tabs>
          <w:tab w:val="left" w:pos="567"/>
        </w:tabs>
        <w:ind w:left="567" w:hanging="207"/>
        <w:jc w:val="both"/>
        <w:rPr>
          <w:sz w:val="22"/>
          <w:szCs w:val="22"/>
        </w:rPr>
      </w:pPr>
      <w:r w:rsidRPr="00295E71">
        <w:rPr>
          <w:sz w:val="22"/>
          <w:szCs w:val="22"/>
        </w:rPr>
        <w:t>la psoriasi a placche cronica di grado severo in bambini e adolescenti dai 4 ai 17 anni nei quali la terapia topica e le fototerapie non abbiano funzionato in modo ottimale o non siano indicate.</w:t>
      </w:r>
    </w:p>
    <w:p w:rsidR="006224C2" w:rsidRPr="00295E71" w14:paraId="57BD1C07" w14:textId="77777777">
      <w:pPr>
        <w:numPr>
          <w:ilvl w:val="12"/>
          <w:numId w:val="0"/>
        </w:numPr>
        <w:tabs>
          <w:tab w:val="left" w:pos="567"/>
        </w:tabs>
        <w:ind w:right="-2"/>
        <w:jc w:val="both"/>
        <w:rPr>
          <w:sz w:val="22"/>
          <w:szCs w:val="22"/>
          <w:u w:val="single"/>
        </w:rPr>
      </w:pPr>
    </w:p>
    <w:p w:rsidR="006224C2" w:rsidRPr="00295E71" w14:paraId="0CE92D82" w14:textId="77777777">
      <w:pPr>
        <w:keepNext/>
        <w:rPr>
          <w:b/>
          <w:sz w:val="22"/>
          <w:szCs w:val="22"/>
        </w:rPr>
      </w:pPr>
      <w:r w:rsidRPr="00295E71">
        <w:rPr>
          <w:b/>
          <w:sz w:val="22"/>
          <w:szCs w:val="22"/>
        </w:rPr>
        <w:t>Idrosadenite Suppurativa</w:t>
      </w:r>
    </w:p>
    <w:p w:rsidR="006224C2" w:rsidRPr="00295E71" w14:paraId="68839C75" w14:textId="77777777">
      <w:pPr>
        <w:keepNext/>
        <w:numPr>
          <w:ilvl w:val="12"/>
          <w:numId w:val="0"/>
        </w:numPr>
        <w:tabs>
          <w:tab w:val="left" w:pos="567"/>
        </w:tabs>
        <w:ind w:right="-2"/>
        <w:jc w:val="both"/>
        <w:rPr>
          <w:sz w:val="22"/>
          <w:szCs w:val="22"/>
        </w:rPr>
      </w:pPr>
    </w:p>
    <w:p w:rsidR="006224C2" w:rsidRPr="00295E71" w14:paraId="1C16123E" w14:textId="77777777">
      <w:pPr>
        <w:keepNext/>
        <w:numPr>
          <w:ilvl w:val="12"/>
          <w:numId w:val="0"/>
        </w:numPr>
        <w:tabs>
          <w:tab w:val="left" w:pos="567"/>
        </w:tabs>
        <w:ind w:right="-2"/>
        <w:jc w:val="both"/>
        <w:rPr>
          <w:sz w:val="22"/>
          <w:szCs w:val="22"/>
        </w:rPr>
      </w:pPr>
      <w:r w:rsidRPr="00295E71">
        <w:rPr>
          <w:sz w:val="22"/>
          <w:szCs w:val="22"/>
        </w:rPr>
        <w:t>L’Idrosadenite Suppurativa (chiamata a volte acne inversa) è una malattia infiammatoria cronica della pelle e spesso è dolorosa. I sintomi possono includere noduli dolorosi e ascessi (cisti) che possono drenare pus. Più frequentemente colpisce aree specifiche della pelle, come la regione sottomammaria, le ascelle, l’interno cosce, l’inguine e le natiche. Nelle aree colpite si possono anche formare delle cicatrici.</w:t>
      </w:r>
    </w:p>
    <w:p w:rsidR="006224C2" w:rsidRPr="00295E71" w14:paraId="15C690EB" w14:textId="77777777">
      <w:pPr>
        <w:numPr>
          <w:ilvl w:val="12"/>
          <w:numId w:val="0"/>
        </w:numPr>
        <w:tabs>
          <w:tab w:val="left" w:pos="567"/>
        </w:tabs>
        <w:ind w:right="-2"/>
        <w:jc w:val="both"/>
        <w:rPr>
          <w:sz w:val="22"/>
          <w:szCs w:val="22"/>
        </w:rPr>
      </w:pPr>
    </w:p>
    <w:p w:rsidR="006224C2" w:rsidRPr="00295E71" w14:paraId="7DB24A47" w14:textId="77777777">
      <w:pPr>
        <w:numPr>
          <w:ilvl w:val="12"/>
          <w:numId w:val="0"/>
        </w:numPr>
        <w:tabs>
          <w:tab w:val="left" w:pos="567"/>
        </w:tabs>
        <w:ind w:right="-2"/>
        <w:jc w:val="both"/>
        <w:rPr>
          <w:sz w:val="22"/>
          <w:szCs w:val="22"/>
        </w:rPr>
      </w:pPr>
      <w:r w:rsidRPr="00295E71">
        <w:rPr>
          <w:sz w:val="22"/>
          <w:szCs w:val="22"/>
        </w:rPr>
        <w:t xml:space="preserve">Humira è utilizzato per trattare </w:t>
      </w:r>
    </w:p>
    <w:p w:rsidR="006224C2" w:rsidRPr="00295E71" w14:paraId="3BD88DDD" w14:textId="77777777">
      <w:pPr>
        <w:pStyle w:val="ListParagraph"/>
        <w:numPr>
          <w:ilvl w:val="0"/>
          <w:numId w:val="112"/>
        </w:numPr>
        <w:tabs>
          <w:tab w:val="left" w:pos="567"/>
        </w:tabs>
        <w:ind w:right="-2"/>
        <w:jc w:val="both"/>
        <w:rPr>
          <w:sz w:val="22"/>
          <w:szCs w:val="22"/>
        </w:rPr>
      </w:pPr>
      <w:r w:rsidRPr="00295E71">
        <w:rPr>
          <w:sz w:val="22"/>
          <w:szCs w:val="22"/>
        </w:rPr>
        <w:t>l’Idrosadenite Suppurativa di grado da moderato a severo negli adulti e</w:t>
      </w:r>
    </w:p>
    <w:p w:rsidR="006224C2" w:rsidRPr="00295E71" w14:paraId="7DC72BBA" w14:textId="77777777">
      <w:pPr>
        <w:pStyle w:val="ListParagraph"/>
        <w:numPr>
          <w:ilvl w:val="0"/>
          <w:numId w:val="112"/>
        </w:numPr>
        <w:tabs>
          <w:tab w:val="left" w:pos="567"/>
        </w:tabs>
        <w:ind w:right="-2"/>
        <w:jc w:val="both"/>
        <w:rPr>
          <w:sz w:val="22"/>
          <w:szCs w:val="22"/>
        </w:rPr>
      </w:pPr>
      <w:r w:rsidRPr="00295E71">
        <w:rPr>
          <w:sz w:val="22"/>
          <w:szCs w:val="22"/>
        </w:rPr>
        <w:t xml:space="preserve">l’Idrosadenite Suppurativa di grado da moderato a severo negli adolescenti </w:t>
      </w:r>
      <w:r w:rsidRPr="00295E71" w:rsidR="007F4DC4">
        <w:rPr>
          <w:sz w:val="22"/>
          <w:szCs w:val="22"/>
        </w:rPr>
        <w:t>di età compresa tra</w:t>
      </w:r>
      <w:r w:rsidRPr="00295E71">
        <w:rPr>
          <w:sz w:val="22"/>
          <w:szCs w:val="22"/>
        </w:rPr>
        <w:t xml:space="preserve"> 12</w:t>
      </w:r>
      <w:r w:rsidRPr="00295E71" w:rsidR="007F4DC4">
        <w:rPr>
          <w:sz w:val="22"/>
          <w:szCs w:val="22"/>
        </w:rPr>
        <w:t xml:space="preserve"> e 17</w:t>
      </w:r>
      <w:r w:rsidRPr="00295E71">
        <w:rPr>
          <w:sz w:val="22"/>
          <w:szCs w:val="22"/>
        </w:rPr>
        <w:t xml:space="preserve"> anni.</w:t>
      </w:r>
    </w:p>
    <w:p w:rsidR="006224C2" w:rsidRPr="00295E71" w14:paraId="5CE5739B" w14:textId="77777777">
      <w:pPr>
        <w:pStyle w:val="ListParagraph"/>
        <w:tabs>
          <w:tab w:val="left" w:pos="0"/>
        </w:tabs>
        <w:ind w:left="0" w:right="-2"/>
        <w:jc w:val="both"/>
        <w:rPr>
          <w:sz w:val="22"/>
          <w:szCs w:val="22"/>
        </w:rPr>
      </w:pPr>
    </w:p>
    <w:p w:rsidR="006224C2" w:rsidRPr="00295E71" w14:paraId="6990F705" w14:textId="77777777">
      <w:pPr>
        <w:pStyle w:val="ListParagraph"/>
        <w:tabs>
          <w:tab w:val="left" w:pos="0"/>
        </w:tabs>
        <w:ind w:left="0" w:right="-2"/>
        <w:jc w:val="both"/>
        <w:rPr>
          <w:sz w:val="22"/>
          <w:szCs w:val="22"/>
        </w:rPr>
      </w:pPr>
      <w:r w:rsidRPr="00295E71">
        <w:rPr>
          <w:sz w:val="22"/>
          <w:szCs w:val="22"/>
        </w:rPr>
        <w:t>Humira può ridurre il numero di noduli e di ascessi provocati dalla malattia, e il dolore che spesso è associato a questa malattia. Inizialmente possono essere assunti altri farmaci. Se la risposta a questi farmaci non dovesse essere adeguata, le verrà dato Humira.</w:t>
      </w:r>
    </w:p>
    <w:p w:rsidR="006224C2" w:rsidRPr="00295E71" w14:paraId="7961625D" w14:textId="77777777">
      <w:pPr>
        <w:rPr>
          <w:sz w:val="22"/>
          <w:szCs w:val="22"/>
          <w:u w:val="single"/>
          <w:lang w:eastAsia="en-US"/>
        </w:rPr>
      </w:pPr>
    </w:p>
    <w:p w:rsidR="006224C2" w:rsidRPr="00295E71" w14:paraId="28078B0A" w14:textId="77777777">
      <w:pPr>
        <w:pStyle w:val="EMEANormal"/>
        <w:jc w:val="both"/>
        <w:rPr>
          <w:u w:val="single"/>
          <w:lang w:val="it-IT"/>
        </w:rPr>
      </w:pPr>
      <w:r w:rsidRPr="00295E71">
        <w:rPr>
          <w:b/>
          <w:lang w:val="it-IT"/>
        </w:rPr>
        <w:t>Malattia di Crohn</w:t>
      </w:r>
    </w:p>
    <w:p w:rsidR="006224C2" w:rsidRPr="00295E71" w14:paraId="446DBED9" w14:textId="77777777">
      <w:pPr>
        <w:pStyle w:val="EMEANormal"/>
        <w:jc w:val="both"/>
        <w:rPr>
          <w:lang w:val="it-IT"/>
        </w:rPr>
      </w:pPr>
    </w:p>
    <w:p w:rsidR="006224C2" w:rsidRPr="00295E71" w14:paraId="413F57DC" w14:textId="77777777">
      <w:pPr>
        <w:pStyle w:val="EMEANormal"/>
        <w:jc w:val="both"/>
        <w:rPr>
          <w:lang w:val="it-IT"/>
        </w:rPr>
      </w:pPr>
      <w:r w:rsidRPr="00295E71">
        <w:rPr>
          <w:lang w:val="it-IT"/>
        </w:rPr>
        <w:t>La malattia di Crohn è un’infiammazione del tratto digerente.</w:t>
      </w:r>
    </w:p>
    <w:p w:rsidR="006224C2" w:rsidRPr="00295E71" w14:paraId="361A6246" w14:textId="77777777">
      <w:pPr>
        <w:pStyle w:val="EMEANormal"/>
        <w:jc w:val="both"/>
        <w:rPr>
          <w:lang w:val="it-IT"/>
        </w:rPr>
      </w:pPr>
    </w:p>
    <w:p w:rsidR="006224C2" w:rsidRPr="00295E71" w14:paraId="2D38D89E" w14:textId="77777777">
      <w:pPr>
        <w:numPr>
          <w:ilvl w:val="12"/>
          <w:numId w:val="0"/>
        </w:numPr>
        <w:tabs>
          <w:tab w:val="left" w:pos="567"/>
        </w:tabs>
        <w:ind w:right="-2"/>
        <w:jc w:val="both"/>
        <w:rPr>
          <w:sz w:val="22"/>
          <w:szCs w:val="22"/>
        </w:rPr>
      </w:pPr>
      <w:r w:rsidRPr="00295E71">
        <w:rPr>
          <w:sz w:val="22"/>
          <w:szCs w:val="22"/>
        </w:rPr>
        <w:t>Humira è usato per trattare</w:t>
      </w:r>
    </w:p>
    <w:p w:rsidR="006224C2" w:rsidRPr="00295E71" w14:paraId="78DB0049" w14:textId="77777777">
      <w:pPr>
        <w:pStyle w:val="ListParagraph"/>
        <w:numPr>
          <w:ilvl w:val="0"/>
          <w:numId w:val="96"/>
        </w:numPr>
        <w:tabs>
          <w:tab w:val="left" w:pos="567"/>
        </w:tabs>
        <w:ind w:right="-2"/>
        <w:jc w:val="both"/>
        <w:rPr>
          <w:sz w:val="22"/>
          <w:szCs w:val="22"/>
        </w:rPr>
      </w:pPr>
      <w:r w:rsidRPr="00295E71">
        <w:rPr>
          <w:sz w:val="22"/>
          <w:szCs w:val="22"/>
        </w:rPr>
        <w:t>la malattia di Crohn</w:t>
      </w:r>
      <w:r w:rsidRPr="00295E71" w:rsidR="008C4140">
        <w:rPr>
          <w:sz w:val="22"/>
          <w:szCs w:val="22"/>
        </w:rPr>
        <w:t xml:space="preserve"> </w:t>
      </w:r>
      <w:r w:rsidRPr="00295E71">
        <w:rPr>
          <w:sz w:val="22"/>
          <w:szCs w:val="22"/>
        </w:rPr>
        <w:t xml:space="preserve">di grado da moderato a severo negli adulti e </w:t>
      </w:r>
    </w:p>
    <w:p w:rsidR="006224C2" w:rsidRPr="00295E71" w14:paraId="04A6D706" w14:textId="77777777">
      <w:pPr>
        <w:pStyle w:val="ListParagraph"/>
        <w:numPr>
          <w:ilvl w:val="0"/>
          <w:numId w:val="96"/>
        </w:numPr>
        <w:tabs>
          <w:tab w:val="left" w:pos="567"/>
        </w:tabs>
        <w:ind w:left="567" w:right="-2" w:hanging="141"/>
        <w:jc w:val="both"/>
        <w:rPr>
          <w:sz w:val="22"/>
          <w:szCs w:val="22"/>
        </w:rPr>
      </w:pPr>
      <w:r w:rsidRPr="00295E71">
        <w:rPr>
          <w:sz w:val="22"/>
          <w:szCs w:val="22"/>
        </w:rPr>
        <w:t xml:space="preserve">la malattia di Crohn di grado da moderato a severo nei bambini e negli adolescenti di età compresa tra 6 e 17 anni. </w:t>
      </w:r>
    </w:p>
    <w:p w:rsidR="006224C2" w:rsidRPr="00295E71" w14:paraId="0F93C73E" w14:textId="77777777">
      <w:pPr>
        <w:tabs>
          <w:tab w:val="left" w:pos="0"/>
        </w:tabs>
        <w:ind w:right="-2"/>
        <w:jc w:val="both"/>
        <w:rPr>
          <w:sz w:val="22"/>
          <w:szCs w:val="22"/>
        </w:rPr>
      </w:pPr>
    </w:p>
    <w:p w:rsidR="006224C2" w:rsidRPr="00295E71" w14:paraId="334F42A2" w14:textId="77777777">
      <w:pPr>
        <w:tabs>
          <w:tab w:val="left" w:pos="0"/>
        </w:tabs>
        <w:ind w:right="-2"/>
        <w:jc w:val="both"/>
        <w:rPr>
          <w:sz w:val="22"/>
          <w:szCs w:val="22"/>
        </w:rPr>
      </w:pPr>
      <w:r w:rsidRPr="00295E71">
        <w:rPr>
          <w:sz w:val="22"/>
          <w:szCs w:val="22"/>
        </w:rPr>
        <w:t>Inizialmente possono essere assunti altri farmaci. Se la risposta a questi farmaci non dovesse essere adeguata, le verrà dato Humira.</w:t>
      </w:r>
    </w:p>
    <w:p w:rsidR="006224C2" w:rsidRPr="00295E71" w14:paraId="02BC01AB" w14:textId="77777777">
      <w:pPr>
        <w:numPr>
          <w:ilvl w:val="12"/>
          <w:numId w:val="0"/>
        </w:numPr>
        <w:tabs>
          <w:tab w:val="left" w:pos="567"/>
        </w:tabs>
        <w:ind w:right="-2"/>
        <w:jc w:val="both"/>
        <w:rPr>
          <w:sz w:val="22"/>
          <w:szCs w:val="22"/>
        </w:rPr>
      </w:pPr>
    </w:p>
    <w:p w:rsidR="006224C2" w:rsidRPr="00295E71" w14:paraId="0198B52C" w14:textId="77777777">
      <w:pPr>
        <w:keepNext/>
        <w:rPr>
          <w:b/>
          <w:sz w:val="22"/>
          <w:szCs w:val="22"/>
        </w:rPr>
      </w:pPr>
      <w:r w:rsidRPr="00295E71">
        <w:rPr>
          <w:b/>
          <w:sz w:val="22"/>
          <w:szCs w:val="22"/>
        </w:rPr>
        <w:t>Colite ulcerosa</w:t>
      </w:r>
    </w:p>
    <w:p w:rsidR="006224C2" w:rsidRPr="00295E71" w14:paraId="5A6B075E" w14:textId="77777777">
      <w:pPr>
        <w:keepNext/>
        <w:numPr>
          <w:ilvl w:val="12"/>
          <w:numId w:val="0"/>
        </w:numPr>
        <w:tabs>
          <w:tab w:val="left" w:pos="567"/>
        </w:tabs>
        <w:ind w:right="-2"/>
        <w:jc w:val="both"/>
        <w:rPr>
          <w:sz w:val="22"/>
          <w:szCs w:val="22"/>
          <w:u w:val="single"/>
        </w:rPr>
      </w:pPr>
    </w:p>
    <w:p w:rsidR="006224C2" w:rsidRPr="00295E71" w14:paraId="57067C54" w14:textId="77777777">
      <w:pPr>
        <w:keepNext/>
        <w:numPr>
          <w:ilvl w:val="12"/>
          <w:numId w:val="0"/>
        </w:numPr>
        <w:tabs>
          <w:tab w:val="left" w:pos="567"/>
        </w:tabs>
        <w:ind w:right="-2"/>
        <w:jc w:val="both"/>
        <w:rPr>
          <w:sz w:val="22"/>
          <w:szCs w:val="22"/>
          <w:u w:val="single"/>
        </w:rPr>
      </w:pPr>
      <w:r w:rsidRPr="00295E71">
        <w:rPr>
          <w:sz w:val="22"/>
          <w:szCs w:val="22"/>
        </w:rPr>
        <w:t>La colite ulcerosa è un’infiammazione dell’intestino crasso.</w:t>
      </w:r>
    </w:p>
    <w:p w:rsidR="006224C2" w:rsidRPr="00295E71" w14:paraId="2EDC91C9" w14:textId="77777777">
      <w:pPr>
        <w:numPr>
          <w:ilvl w:val="12"/>
          <w:numId w:val="0"/>
        </w:numPr>
        <w:tabs>
          <w:tab w:val="left" w:pos="567"/>
        </w:tabs>
        <w:ind w:right="-2"/>
        <w:jc w:val="both"/>
        <w:rPr>
          <w:sz w:val="22"/>
          <w:szCs w:val="22"/>
          <w:u w:val="single"/>
        </w:rPr>
      </w:pPr>
    </w:p>
    <w:p w:rsidR="00803E02" w14:paraId="5ED19BBE" w14:textId="77777777">
      <w:pPr>
        <w:numPr>
          <w:ilvl w:val="12"/>
          <w:numId w:val="0"/>
        </w:numPr>
        <w:tabs>
          <w:tab w:val="left" w:pos="567"/>
        </w:tabs>
        <w:ind w:right="-2"/>
        <w:jc w:val="both"/>
        <w:rPr>
          <w:sz w:val="22"/>
          <w:szCs w:val="22"/>
        </w:rPr>
      </w:pPr>
      <w:r w:rsidRPr="00295E71">
        <w:rPr>
          <w:sz w:val="22"/>
          <w:szCs w:val="22"/>
        </w:rPr>
        <w:t xml:space="preserve">Humira è usato per trattare </w:t>
      </w:r>
    </w:p>
    <w:p w:rsidR="00803E02" w:rsidRPr="00C04163" w:rsidP="00C04163" w14:paraId="2A50AC0E" w14:textId="77777777">
      <w:pPr>
        <w:pStyle w:val="ListParagraph"/>
        <w:numPr>
          <w:ilvl w:val="0"/>
          <w:numId w:val="122"/>
        </w:numPr>
        <w:tabs>
          <w:tab w:val="left" w:pos="567"/>
        </w:tabs>
        <w:ind w:right="-2"/>
        <w:jc w:val="both"/>
        <w:rPr>
          <w:sz w:val="22"/>
          <w:szCs w:val="22"/>
        </w:rPr>
      </w:pPr>
      <w:r w:rsidRPr="00C04163">
        <w:rPr>
          <w:sz w:val="22"/>
          <w:szCs w:val="22"/>
        </w:rPr>
        <w:t>la colite ulcerosa di grado da moderato a severo negli adulti</w:t>
      </w:r>
      <w:r w:rsidR="00126944">
        <w:rPr>
          <w:sz w:val="22"/>
          <w:szCs w:val="22"/>
        </w:rPr>
        <w:t xml:space="preserve"> e</w:t>
      </w:r>
    </w:p>
    <w:p w:rsidR="00803E02" w:rsidRPr="00C04163" w:rsidP="00C04163" w14:paraId="73E55B5E" w14:textId="77777777">
      <w:pPr>
        <w:pStyle w:val="ListParagraph"/>
        <w:numPr>
          <w:ilvl w:val="0"/>
          <w:numId w:val="122"/>
        </w:numPr>
        <w:tabs>
          <w:tab w:val="left" w:pos="567"/>
        </w:tabs>
        <w:ind w:right="-2"/>
        <w:jc w:val="both"/>
        <w:rPr>
          <w:sz w:val="22"/>
          <w:szCs w:val="22"/>
        </w:rPr>
      </w:pPr>
      <w:r w:rsidRPr="00C04163">
        <w:rPr>
          <w:sz w:val="22"/>
          <w:szCs w:val="22"/>
        </w:rPr>
        <w:t>la colite ulcerosa di grado da moderato a severo nei bambini e negli adolescenti di età compresa tra 6 e 17 anni</w:t>
      </w:r>
      <w:r w:rsidRPr="00C04163" w:rsidR="00226BC4">
        <w:rPr>
          <w:sz w:val="22"/>
          <w:szCs w:val="22"/>
        </w:rPr>
        <w:t xml:space="preserve">. </w:t>
      </w:r>
    </w:p>
    <w:p w:rsidR="00803E02" w14:paraId="40EF0D86" w14:textId="77777777">
      <w:pPr>
        <w:numPr>
          <w:ilvl w:val="12"/>
          <w:numId w:val="0"/>
        </w:numPr>
        <w:tabs>
          <w:tab w:val="left" w:pos="567"/>
        </w:tabs>
        <w:ind w:right="-2"/>
        <w:jc w:val="both"/>
        <w:rPr>
          <w:sz w:val="22"/>
          <w:szCs w:val="22"/>
        </w:rPr>
      </w:pPr>
    </w:p>
    <w:p w:rsidR="006224C2" w:rsidRPr="00295E71" w14:paraId="2DE6A892" w14:textId="77777777">
      <w:pPr>
        <w:numPr>
          <w:ilvl w:val="12"/>
          <w:numId w:val="0"/>
        </w:numPr>
        <w:tabs>
          <w:tab w:val="left" w:pos="567"/>
        </w:tabs>
        <w:ind w:right="-2"/>
        <w:jc w:val="both"/>
        <w:rPr>
          <w:sz w:val="22"/>
          <w:szCs w:val="22"/>
        </w:rPr>
      </w:pPr>
      <w:r w:rsidRPr="00295E71">
        <w:rPr>
          <w:sz w:val="22"/>
          <w:szCs w:val="22"/>
        </w:rPr>
        <w:t>Inizialmente possono essere assunti altri farmaci. Se la risposta a questi farmaci non dovesse essere adeguata, le verrà dato Humira.</w:t>
      </w:r>
    </w:p>
    <w:p w:rsidR="006224C2" w:rsidRPr="00295E71" w14:paraId="04DDA92E" w14:textId="77777777">
      <w:pPr>
        <w:numPr>
          <w:ilvl w:val="12"/>
          <w:numId w:val="0"/>
        </w:numPr>
        <w:tabs>
          <w:tab w:val="left" w:pos="567"/>
        </w:tabs>
        <w:ind w:right="-2"/>
        <w:jc w:val="both"/>
        <w:rPr>
          <w:sz w:val="22"/>
          <w:szCs w:val="22"/>
        </w:rPr>
      </w:pPr>
    </w:p>
    <w:p w:rsidR="006224C2" w:rsidRPr="00295E71" w14:paraId="46B00FC5" w14:textId="77777777">
      <w:pPr>
        <w:numPr>
          <w:ilvl w:val="12"/>
          <w:numId w:val="0"/>
        </w:numPr>
        <w:tabs>
          <w:tab w:val="left" w:pos="567"/>
        </w:tabs>
        <w:ind w:right="-2"/>
        <w:jc w:val="both"/>
        <w:rPr>
          <w:b/>
          <w:sz w:val="22"/>
          <w:szCs w:val="22"/>
        </w:rPr>
      </w:pPr>
      <w:r w:rsidRPr="00295E71">
        <w:rPr>
          <w:b/>
          <w:sz w:val="22"/>
          <w:szCs w:val="22"/>
        </w:rPr>
        <w:t>Uveite non infettiva</w:t>
      </w:r>
    </w:p>
    <w:p w:rsidR="006224C2" w:rsidRPr="00295E71" w14:paraId="6B59CC09" w14:textId="77777777">
      <w:pPr>
        <w:numPr>
          <w:ilvl w:val="12"/>
          <w:numId w:val="0"/>
        </w:numPr>
        <w:tabs>
          <w:tab w:val="left" w:pos="567"/>
        </w:tabs>
        <w:ind w:right="-2"/>
        <w:jc w:val="both"/>
        <w:rPr>
          <w:sz w:val="22"/>
          <w:szCs w:val="22"/>
          <w:u w:val="single"/>
        </w:rPr>
      </w:pPr>
    </w:p>
    <w:p w:rsidR="006224C2" w:rsidRPr="00295E71" w14:paraId="6EF55C71" w14:textId="77777777">
      <w:pPr>
        <w:numPr>
          <w:ilvl w:val="12"/>
          <w:numId w:val="0"/>
        </w:numPr>
        <w:tabs>
          <w:tab w:val="left" w:pos="567"/>
        </w:tabs>
        <w:ind w:right="-2"/>
        <w:jc w:val="both"/>
        <w:rPr>
          <w:sz w:val="22"/>
          <w:szCs w:val="22"/>
        </w:rPr>
      </w:pPr>
      <w:r w:rsidRPr="00295E71">
        <w:rPr>
          <w:sz w:val="22"/>
          <w:szCs w:val="22"/>
        </w:rPr>
        <w:t>L’uveite non infettiva è una malattia infiammatoria che colpisce alcune parti dell’occhio.</w:t>
      </w:r>
    </w:p>
    <w:p w:rsidR="006224C2" w:rsidRPr="00295E71" w14:paraId="55E85FE6" w14:textId="77777777">
      <w:pPr>
        <w:numPr>
          <w:ilvl w:val="12"/>
          <w:numId w:val="0"/>
        </w:numPr>
        <w:tabs>
          <w:tab w:val="left" w:pos="567"/>
        </w:tabs>
        <w:ind w:right="-2"/>
        <w:jc w:val="both"/>
        <w:rPr>
          <w:sz w:val="22"/>
          <w:szCs w:val="22"/>
        </w:rPr>
      </w:pPr>
    </w:p>
    <w:p w:rsidR="006224C2" w:rsidRPr="00295E71" w14:paraId="4EB3D657" w14:textId="77777777">
      <w:pPr>
        <w:numPr>
          <w:ilvl w:val="12"/>
          <w:numId w:val="0"/>
        </w:numPr>
        <w:tabs>
          <w:tab w:val="left" w:pos="567"/>
        </w:tabs>
        <w:ind w:right="-2"/>
        <w:jc w:val="both"/>
        <w:rPr>
          <w:sz w:val="22"/>
          <w:szCs w:val="22"/>
        </w:rPr>
      </w:pPr>
      <w:r w:rsidRPr="00295E71">
        <w:rPr>
          <w:sz w:val="22"/>
          <w:szCs w:val="22"/>
        </w:rPr>
        <w:t>Humira è impiegato per il trattamento di:</w:t>
      </w:r>
    </w:p>
    <w:p w:rsidR="006224C2" w:rsidRPr="00295E71" w14:paraId="6432B500" w14:textId="77777777">
      <w:pPr>
        <w:pStyle w:val="ListParagraph"/>
        <w:numPr>
          <w:ilvl w:val="0"/>
          <w:numId w:val="125"/>
        </w:numPr>
        <w:tabs>
          <w:tab w:val="left" w:pos="567"/>
        </w:tabs>
        <w:ind w:left="567" w:right="-2"/>
        <w:jc w:val="both"/>
        <w:rPr>
          <w:sz w:val="22"/>
          <w:szCs w:val="22"/>
        </w:rPr>
      </w:pPr>
      <w:r w:rsidRPr="00295E71">
        <w:rPr>
          <w:sz w:val="22"/>
          <w:szCs w:val="22"/>
        </w:rPr>
        <w:t xml:space="preserve">Adulti </w:t>
      </w:r>
      <w:r w:rsidRPr="00295E71" w:rsidR="00224E13">
        <w:rPr>
          <w:sz w:val="22"/>
          <w:szCs w:val="22"/>
        </w:rPr>
        <w:t>con</w:t>
      </w:r>
      <w:r w:rsidRPr="00295E71">
        <w:rPr>
          <w:sz w:val="22"/>
          <w:szCs w:val="22"/>
        </w:rPr>
        <w:t xml:space="preserve"> uveite non infettiva con infiammazione che interessa il fondo dell’occhio </w:t>
      </w:r>
    </w:p>
    <w:p w:rsidR="006224C2" w:rsidRPr="00295E71" w14:paraId="0856A256" w14:textId="77777777">
      <w:pPr>
        <w:pStyle w:val="ListParagraph"/>
        <w:numPr>
          <w:ilvl w:val="0"/>
          <w:numId w:val="125"/>
        </w:numPr>
        <w:tabs>
          <w:tab w:val="left" w:pos="567"/>
        </w:tabs>
        <w:ind w:left="567" w:right="-2"/>
        <w:jc w:val="both"/>
        <w:rPr>
          <w:sz w:val="22"/>
          <w:szCs w:val="22"/>
        </w:rPr>
      </w:pPr>
      <w:r w:rsidRPr="00295E71">
        <w:rPr>
          <w:sz w:val="22"/>
          <w:szCs w:val="22"/>
        </w:rPr>
        <w:t>Bambini dai 2 anni di età con uveite cronica non infettiva con infiammazione che interessa la parte anteriore dell’occhio</w:t>
      </w:r>
    </w:p>
    <w:p w:rsidR="006224C2" w:rsidRPr="00295E71" w14:paraId="7E9E6ED7" w14:textId="77777777">
      <w:pPr>
        <w:numPr>
          <w:ilvl w:val="12"/>
          <w:numId w:val="0"/>
        </w:numPr>
        <w:tabs>
          <w:tab w:val="left" w:pos="567"/>
        </w:tabs>
        <w:ind w:right="-2"/>
        <w:jc w:val="both"/>
        <w:rPr>
          <w:sz w:val="22"/>
          <w:szCs w:val="22"/>
        </w:rPr>
      </w:pPr>
    </w:p>
    <w:p w:rsidR="006224C2" w:rsidRPr="00295E71" w14:paraId="1F0F37C0" w14:textId="77777777">
      <w:pPr>
        <w:numPr>
          <w:ilvl w:val="12"/>
          <w:numId w:val="0"/>
        </w:numPr>
        <w:tabs>
          <w:tab w:val="left" w:pos="567"/>
        </w:tabs>
        <w:ind w:right="-2"/>
        <w:jc w:val="both"/>
        <w:rPr>
          <w:sz w:val="22"/>
          <w:szCs w:val="22"/>
        </w:rPr>
      </w:pPr>
      <w:r w:rsidRPr="00295E71">
        <w:rPr>
          <w:sz w:val="22"/>
          <w:szCs w:val="22"/>
        </w:rPr>
        <w:t xml:space="preserve">Questa infiammazione può portare a una diminuzione della visione e/o alla presenza di corpi mobili nell’occhio (punti neri o linee sottili che si muovono attraverso il campo visivo). Humira agisce </w:t>
      </w:r>
      <w:r w:rsidRPr="00295E71">
        <w:rPr>
          <w:sz w:val="22"/>
          <w:szCs w:val="22"/>
        </w:rPr>
        <w:t>riducendo questa infiammazione.</w:t>
      </w:r>
      <w:r w:rsidRPr="00295E71" w:rsidR="008C4140">
        <w:rPr>
          <w:sz w:val="22"/>
          <w:szCs w:val="22"/>
        </w:rPr>
        <w:t xml:space="preserve"> </w:t>
      </w:r>
      <w:r w:rsidRPr="00295E71">
        <w:rPr>
          <w:sz w:val="22"/>
          <w:szCs w:val="22"/>
        </w:rPr>
        <w:t xml:space="preserve">Inizialmente possono essere assunti altri farmaci. Se la risposta a questi farmaci non dovesse essere adeguata, </w:t>
      </w:r>
      <w:r w:rsidRPr="00295E71" w:rsidR="008C4140">
        <w:rPr>
          <w:sz w:val="22"/>
          <w:szCs w:val="22"/>
        </w:rPr>
        <w:t>l</w:t>
      </w:r>
      <w:r w:rsidRPr="00295E71">
        <w:rPr>
          <w:sz w:val="22"/>
          <w:szCs w:val="22"/>
        </w:rPr>
        <w:t>e verrà dato Humira.</w:t>
      </w:r>
    </w:p>
    <w:p w:rsidR="006224C2" w:rsidRPr="00295E71" w14:paraId="25DA8E27" w14:textId="77777777">
      <w:pPr>
        <w:numPr>
          <w:ilvl w:val="12"/>
          <w:numId w:val="0"/>
        </w:numPr>
        <w:tabs>
          <w:tab w:val="left" w:pos="567"/>
        </w:tabs>
        <w:ind w:right="-2"/>
        <w:jc w:val="both"/>
        <w:rPr>
          <w:sz w:val="22"/>
          <w:szCs w:val="22"/>
        </w:rPr>
      </w:pPr>
    </w:p>
    <w:p w:rsidR="006224C2" w:rsidRPr="00295E71" w14:paraId="4C8C39FF" w14:textId="77777777">
      <w:pPr>
        <w:numPr>
          <w:ilvl w:val="12"/>
          <w:numId w:val="0"/>
        </w:numPr>
        <w:tabs>
          <w:tab w:val="left" w:pos="567"/>
        </w:tabs>
        <w:ind w:right="-2"/>
        <w:jc w:val="both"/>
        <w:rPr>
          <w:sz w:val="22"/>
          <w:szCs w:val="22"/>
        </w:rPr>
      </w:pPr>
    </w:p>
    <w:p w:rsidR="006224C2" w:rsidRPr="00295E71" w:rsidP="005F3CB6" w14:paraId="3A99BE95" w14:textId="77777777">
      <w:pPr>
        <w:keepNext/>
        <w:numPr>
          <w:ilvl w:val="12"/>
          <w:numId w:val="0"/>
        </w:numPr>
        <w:tabs>
          <w:tab w:val="left" w:pos="567"/>
        </w:tabs>
        <w:ind w:left="567" w:right="-2" w:hanging="567"/>
        <w:jc w:val="both"/>
        <w:rPr>
          <w:b/>
          <w:bCs/>
          <w:sz w:val="22"/>
          <w:szCs w:val="22"/>
        </w:rPr>
      </w:pPr>
      <w:r w:rsidRPr="00295E71">
        <w:rPr>
          <w:b/>
          <w:bCs/>
          <w:sz w:val="22"/>
          <w:szCs w:val="22"/>
        </w:rPr>
        <w:t>2.</w:t>
      </w:r>
      <w:r w:rsidRPr="00295E71">
        <w:rPr>
          <w:b/>
          <w:bCs/>
          <w:sz w:val="22"/>
          <w:szCs w:val="22"/>
        </w:rPr>
        <w:tab/>
        <w:t>Cosa deve sapere prima di usare Humira</w:t>
      </w:r>
    </w:p>
    <w:p w:rsidR="006224C2" w:rsidRPr="00295E71" w:rsidP="005F3CB6" w14:paraId="373136E4" w14:textId="77777777">
      <w:pPr>
        <w:keepNext/>
        <w:numPr>
          <w:ilvl w:val="12"/>
          <w:numId w:val="0"/>
        </w:numPr>
        <w:tabs>
          <w:tab w:val="left" w:pos="567"/>
        </w:tabs>
        <w:ind w:right="-2"/>
        <w:jc w:val="both"/>
        <w:rPr>
          <w:sz w:val="22"/>
          <w:szCs w:val="22"/>
        </w:rPr>
      </w:pPr>
    </w:p>
    <w:p w:rsidR="006224C2" w:rsidRPr="00295E71" w:rsidP="005F3CB6" w14:paraId="76139DB8" w14:textId="77777777">
      <w:pPr>
        <w:keepNext/>
        <w:numPr>
          <w:ilvl w:val="12"/>
          <w:numId w:val="0"/>
        </w:numPr>
        <w:tabs>
          <w:tab w:val="left" w:pos="567"/>
        </w:tabs>
        <w:jc w:val="both"/>
        <w:rPr>
          <w:b/>
          <w:bCs/>
          <w:sz w:val="22"/>
          <w:szCs w:val="22"/>
        </w:rPr>
      </w:pPr>
      <w:r w:rsidRPr="00295E71">
        <w:rPr>
          <w:b/>
          <w:bCs/>
          <w:sz w:val="22"/>
          <w:szCs w:val="22"/>
        </w:rPr>
        <w:t>Non usi Humira:</w:t>
      </w:r>
    </w:p>
    <w:p w:rsidR="006224C2" w:rsidRPr="00295E71" w14:paraId="69969454" w14:textId="77777777">
      <w:pPr>
        <w:pStyle w:val="EndnoteText"/>
        <w:numPr>
          <w:ilvl w:val="12"/>
          <w:numId w:val="0"/>
        </w:numPr>
        <w:jc w:val="both"/>
        <w:rPr>
          <w:lang w:val="it-IT"/>
        </w:rPr>
      </w:pPr>
    </w:p>
    <w:p w:rsidR="006224C2" w:rsidRPr="00295E71" w14:paraId="50C5375A" w14:textId="77777777">
      <w:pPr>
        <w:numPr>
          <w:ilvl w:val="0"/>
          <w:numId w:val="5"/>
        </w:numPr>
        <w:tabs>
          <w:tab w:val="clear" w:pos="360"/>
          <w:tab w:val="left" w:pos="540"/>
        </w:tabs>
        <w:ind w:left="540" w:hanging="540"/>
        <w:jc w:val="both"/>
        <w:rPr>
          <w:sz w:val="22"/>
          <w:szCs w:val="22"/>
        </w:rPr>
      </w:pPr>
      <w:r w:rsidRPr="00295E71">
        <w:rPr>
          <w:sz w:val="22"/>
          <w:szCs w:val="22"/>
        </w:rPr>
        <w:t>se è allergico ad adalimumab o ad uno qualsiasi degli altri componenti di questo medicinale (elencati al paragrafo 6).</w:t>
      </w:r>
    </w:p>
    <w:p w:rsidR="006224C2" w:rsidRPr="00295E71" w14:paraId="38E9538F" w14:textId="77777777">
      <w:pPr>
        <w:tabs>
          <w:tab w:val="left" w:pos="567"/>
        </w:tabs>
        <w:jc w:val="both"/>
        <w:rPr>
          <w:sz w:val="22"/>
          <w:szCs w:val="22"/>
        </w:rPr>
      </w:pPr>
    </w:p>
    <w:p w:rsidR="006224C2" w:rsidRPr="00295E71" w14:paraId="6A3762F3" w14:textId="77777777">
      <w:pPr>
        <w:numPr>
          <w:ilvl w:val="0"/>
          <w:numId w:val="5"/>
        </w:numPr>
        <w:tabs>
          <w:tab w:val="clear" w:pos="360"/>
          <w:tab w:val="left" w:pos="540"/>
        </w:tabs>
        <w:ind w:left="540" w:hanging="540"/>
        <w:jc w:val="both"/>
        <w:rPr>
          <w:sz w:val="22"/>
          <w:szCs w:val="22"/>
        </w:rPr>
      </w:pPr>
      <w:r w:rsidRPr="00295E71">
        <w:rPr>
          <w:sz w:val="22"/>
          <w:szCs w:val="22"/>
        </w:rPr>
        <w:t>in presenza di tubercolosi attiva</w:t>
      </w:r>
      <w:r w:rsidRPr="00295E71" w:rsidR="00F32448">
        <w:rPr>
          <w:sz w:val="22"/>
          <w:szCs w:val="22"/>
        </w:rPr>
        <w:t xml:space="preserve"> </w:t>
      </w:r>
      <w:r w:rsidRPr="00295E71">
        <w:rPr>
          <w:sz w:val="22"/>
          <w:szCs w:val="22"/>
        </w:rPr>
        <w:t>o altre infezioni gravi (vedere “Avvertenze e precauzioni”). È importante comunicare al medico se ha segni o sintomi di infezione, per esempio febbre, ferite, sensazione di stanchezza, problemi dentali.</w:t>
      </w:r>
    </w:p>
    <w:p w:rsidR="006224C2" w:rsidRPr="00295E71" w14:paraId="69DBE17C" w14:textId="77777777">
      <w:pPr>
        <w:tabs>
          <w:tab w:val="left" w:pos="567"/>
        </w:tabs>
        <w:jc w:val="both"/>
        <w:rPr>
          <w:sz w:val="22"/>
          <w:szCs w:val="22"/>
        </w:rPr>
      </w:pPr>
    </w:p>
    <w:p w:rsidR="006224C2" w:rsidRPr="00295E71" w14:paraId="336650C0" w14:textId="77777777">
      <w:pPr>
        <w:numPr>
          <w:ilvl w:val="0"/>
          <w:numId w:val="5"/>
        </w:numPr>
        <w:tabs>
          <w:tab w:val="clear" w:pos="360"/>
          <w:tab w:val="left" w:pos="540"/>
        </w:tabs>
        <w:ind w:left="540" w:hanging="540"/>
        <w:jc w:val="both"/>
        <w:rPr>
          <w:sz w:val="22"/>
          <w:szCs w:val="22"/>
        </w:rPr>
      </w:pPr>
      <w:r w:rsidRPr="00295E71">
        <w:rPr>
          <w:sz w:val="22"/>
          <w:szCs w:val="22"/>
        </w:rPr>
        <w:t>in presenza di insufficienza cardiaca moderata o severa. È importante riferire al medico se c’è stata o è presente una condizione cardiaca grave (vedere “Avvertenze e precauzioni”).</w:t>
      </w:r>
    </w:p>
    <w:p w:rsidR="006224C2" w:rsidRPr="00295E71" w14:paraId="7734B581" w14:textId="77777777">
      <w:pPr>
        <w:pStyle w:val="EndnoteText"/>
        <w:jc w:val="both"/>
        <w:rPr>
          <w:lang w:val="it-IT" w:eastAsia="it-IT"/>
        </w:rPr>
      </w:pPr>
    </w:p>
    <w:p w:rsidR="006224C2" w:rsidRPr="00295E71" w14:paraId="3C241B50" w14:textId="77777777">
      <w:pPr>
        <w:keepNext/>
        <w:rPr>
          <w:b/>
          <w:bCs/>
          <w:sz w:val="22"/>
          <w:szCs w:val="22"/>
        </w:rPr>
      </w:pPr>
      <w:r w:rsidRPr="00295E71">
        <w:rPr>
          <w:b/>
          <w:bCs/>
          <w:sz w:val="22"/>
          <w:szCs w:val="22"/>
        </w:rPr>
        <w:t>Avvertenze e precauzioni</w:t>
      </w:r>
    </w:p>
    <w:p w:rsidR="006224C2" w:rsidRPr="00295E71" w14:paraId="503892DE" w14:textId="77777777">
      <w:pPr>
        <w:pStyle w:val="EndnoteText"/>
        <w:keepNext/>
        <w:jc w:val="both"/>
        <w:rPr>
          <w:lang w:val="it-IT"/>
        </w:rPr>
      </w:pPr>
    </w:p>
    <w:p w:rsidR="006224C2" w:rsidRPr="00295E71" w14:paraId="25674171" w14:textId="77777777">
      <w:pPr>
        <w:keepNext/>
        <w:tabs>
          <w:tab w:val="left" w:pos="540"/>
        </w:tabs>
        <w:jc w:val="both"/>
        <w:rPr>
          <w:sz w:val="22"/>
          <w:szCs w:val="22"/>
        </w:rPr>
      </w:pPr>
      <w:r w:rsidRPr="00295E71">
        <w:rPr>
          <w:sz w:val="22"/>
          <w:szCs w:val="22"/>
        </w:rPr>
        <w:t>Si rivolga al medico o al farmacista prima di usare Humira.</w:t>
      </w:r>
    </w:p>
    <w:p w:rsidR="006224C2" w:rsidRPr="00295E71" w14:paraId="05464A05" w14:textId="77777777">
      <w:pPr>
        <w:tabs>
          <w:tab w:val="left" w:pos="540"/>
        </w:tabs>
        <w:rPr>
          <w:sz w:val="22"/>
          <w:szCs w:val="22"/>
          <w:u w:val="single"/>
        </w:rPr>
      </w:pPr>
    </w:p>
    <w:p w:rsidR="006224C2" w:rsidRPr="00295E71" w14:paraId="74925D9B" w14:textId="77777777">
      <w:pPr>
        <w:tabs>
          <w:tab w:val="left" w:pos="540"/>
        </w:tabs>
        <w:rPr>
          <w:sz w:val="22"/>
          <w:szCs w:val="22"/>
          <w:u w:val="single"/>
        </w:rPr>
      </w:pPr>
      <w:r w:rsidRPr="00295E71">
        <w:rPr>
          <w:sz w:val="22"/>
          <w:szCs w:val="22"/>
          <w:u w:val="single"/>
        </w:rPr>
        <w:t>Reazioni allergiche</w:t>
      </w:r>
    </w:p>
    <w:p w:rsidR="006224C2" w:rsidRPr="00295E71" w14:paraId="2E1E0190" w14:textId="77777777">
      <w:pPr>
        <w:tabs>
          <w:tab w:val="left" w:pos="540"/>
        </w:tabs>
        <w:jc w:val="both"/>
        <w:rPr>
          <w:sz w:val="22"/>
          <w:szCs w:val="22"/>
        </w:rPr>
      </w:pPr>
    </w:p>
    <w:p w:rsidR="006224C2" w:rsidRPr="00295E71" w14:paraId="502ECDB3" w14:textId="77777777">
      <w:pPr>
        <w:numPr>
          <w:ilvl w:val="0"/>
          <w:numId w:val="5"/>
        </w:numPr>
        <w:tabs>
          <w:tab w:val="clear" w:pos="360"/>
          <w:tab w:val="left" w:pos="540"/>
        </w:tabs>
        <w:ind w:left="540" w:hanging="540"/>
        <w:rPr>
          <w:sz w:val="22"/>
          <w:szCs w:val="22"/>
        </w:rPr>
      </w:pPr>
      <w:r w:rsidRPr="00295E71">
        <w:rPr>
          <w:sz w:val="22"/>
          <w:szCs w:val="22"/>
        </w:rPr>
        <w:t>In caso di reazioni allergiche con sintomi quali senso d’oppressione toracica, respiro sibilante, capogiro, gonfiore o eruzione cutanea, non assuma più Humira e contatti il medico immediatamente</w:t>
      </w:r>
      <w:r w:rsidRPr="00295E71" w:rsidR="00D47021">
        <w:rPr>
          <w:sz w:val="22"/>
          <w:szCs w:val="22"/>
        </w:rPr>
        <w:t xml:space="preserve"> considerato che, in rari casi, queste reazioni possono essere pericolose per la vita</w:t>
      </w:r>
      <w:r w:rsidRPr="00295E71">
        <w:rPr>
          <w:sz w:val="22"/>
          <w:szCs w:val="22"/>
        </w:rPr>
        <w:t>.</w:t>
      </w:r>
      <w:r w:rsidRPr="00295E71">
        <w:rPr>
          <w:sz w:val="22"/>
          <w:szCs w:val="22"/>
        </w:rPr>
        <w:br/>
      </w:r>
    </w:p>
    <w:p w:rsidR="006224C2" w:rsidRPr="00295E71" w14:paraId="2E962472" w14:textId="77777777">
      <w:pPr>
        <w:tabs>
          <w:tab w:val="left" w:pos="540"/>
        </w:tabs>
        <w:rPr>
          <w:sz w:val="22"/>
          <w:szCs w:val="22"/>
          <w:u w:val="single"/>
        </w:rPr>
      </w:pPr>
      <w:r w:rsidRPr="00295E71">
        <w:rPr>
          <w:sz w:val="22"/>
          <w:szCs w:val="22"/>
          <w:u w:val="single"/>
        </w:rPr>
        <w:t>Infezioni</w:t>
      </w:r>
    </w:p>
    <w:p w:rsidR="006224C2" w:rsidRPr="00295E71" w14:paraId="5100E9C7" w14:textId="77777777">
      <w:pPr>
        <w:tabs>
          <w:tab w:val="left" w:pos="540"/>
        </w:tabs>
        <w:rPr>
          <w:sz w:val="22"/>
          <w:szCs w:val="22"/>
          <w:u w:val="single"/>
        </w:rPr>
      </w:pPr>
    </w:p>
    <w:p w:rsidR="006224C2" w:rsidRPr="00295E71" w14:paraId="2B155242" w14:textId="77777777">
      <w:pPr>
        <w:numPr>
          <w:ilvl w:val="0"/>
          <w:numId w:val="5"/>
        </w:numPr>
        <w:tabs>
          <w:tab w:val="clear" w:pos="360"/>
          <w:tab w:val="left" w:pos="540"/>
        </w:tabs>
        <w:ind w:left="540" w:hanging="540"/>
        <w:jc w:val="both"/>
        <w:rPr>
          <w:sz w:val="22"/>
          <w:szCs w:val="22"/>
        </w:rPr>
      </w:pPr>
      <w:r w:rsidRPr="00295E71">
        <w:rPr>
          <w:sz w:val="22"/>
          <w:szCs w:val="22"/>
        </w:rPr>
        <w:t>In caso d’infezione, comprese infezioni a lungo termine o infezioni localizzate in una parte del corpo (per esempio, ulcere alle gambe) consulti il medico prima di iniziare il trattamento con Humira. Se ha dubbi, contatti il medico.</w:t>
      </w:r>
    </w:p>
    <w:p w:rsidR="006224C2" w:rsidRPr="00295E71" w14:paraId="6C017515" w14:textId="77777777">
      <w:pPr>
        <w:pStyle w:val="EndnoteText"/>
        <w:jc w:val="both"/>
        <w:rPr>
          <w:lang w:val="it-IT" w:eastAsia="it-IT"/>
        </w:rPr>
      </w:pPr>
    </w:p>
    <w:p w:rsidR="006224C2" w:rsidRPr="00295E71" w14:paraId="0EF58EEF" w14:textId="77777777">
      <w:pPr>
        <w:numPr>
          <w:ilvl w:val="0"/>
          <w:numId w:val="5"/>
        </w:numPr>
        <w:tabs>
          <w:tab w:val="clear" w:pos="360"/>
          <w:tab w:val="left" w:pos="540"/>
        </w:tabs>
        <w:ind w:left="540" w:hanging="540"/>
        <w:jc w:val="both"/>
        <w:rPr>
          <w:sz w:val="22"/>
          <w:szCs w:val="22"/>
        </w:rPr>
      </w:pPr>
      <w:r w:rsidRPr="00295E71">
        <w:rPr>
          <w:sz w:val="22"/>
          <w:szCs w:val="22"/>
        </w:rPr>
        <w:t>È possibile contrarre più facilmente infezioni durante il trattamento con Humira. Questo rischio può aumentare se ha problemi ai polmoni. Queste infezioni possono essere gravi ed includere:</w:t>
      </w:r>
    </w:p>
    <w:p w:rsidR="006224C2" w:rsidRPr="00295E71" w14:paraId="7D79144D" w14:textId="77777777">
      <w:pPr>
        <w:pStyle w:val="ListParagraph"/>
        <w:rPr>
          <w:sz w:val="22"/>
          <w:szCs w:val="22"/>
        </w:rPr>
      </w:pPr>
    </w:p>
    <w:p w:rsidR="006224C2" w:rsidRPr="00295E71" w14:paraId="290CD7FE" w14:textId="77777777">
      <w:pPr>
        <w:pStyle w:val="ListParagraph"/>
        <w:numPr>
          <w:ilvl w:val="0"/>
          <w:numId w:val="97"/>
        </w:numPr>
        <w:tabs>
          <w:tab w:val="left" w:pos="540"/>
        </w:tabs>
        <w:jc w:val="both"/>
        <w:rPr>
          <w:sz w:val="22"/>
          <w:szCs w:val="22"/>
        </w:rPr>
      </w:pPr>
      <w:r w:rsidRPr="00295E71">
        <w:rPr>
          <w:sz w:val="22"/>
          <w:szCs w:val="22"/>
        </w:rPr>
        <w:t>tubercolosi</w:t>
      </w:r>
    </w:p>
    <w:p w:rsidR="006224C2" w:rsidRPr="00295E71" w14:paraId="6CC6F53A" w14:textId="77777777">
      <w:pPr>
        <w:pStyle w:val="ListParagraph"/>
        <w:numPr>
          <w:ilvl w:val="0"/>
          <w:numId w:val="97"/>
        </w:numPr>
        <w:tabs>
          <w:tab w:val="left" w:pos="540"/>
        </w:tabs>
        <w:jc w:val="both"/>
        <w:rPr>
          <w:sz w:val="22"/>
          <w:szCs w:val="22"/>
        </w:rPr>
      </w:pPr>
      <w:r w:rsidRPr="00295E71">
        <w:rPr>
          <w:sz w:val="22"/>
          <w:szCs w:val="22"/>
        </w:rPr>
        <w:t>infezioni causate da virus, funghi, parassiti o batteri</w:t>
      </w:r>
    </w:p>
    <w:p w:rsidR="006224C2" w:rsidRPr="00295E71" w:rsidP="00FB547E" w14:paraId="27BA96A0" w14:textId="77777777">
      <w:pPr>
        <w:pStyle w:val="ListParagraph"/>
        <w:tabs>
          <w:tab w:val="left" w:pos="540"/>
        </w:tabs>
        <w:ind w:left="1069"/>
        <w:jc w:val="both"/>
        <w:rPr>
          <w:sz w:val="22"/>
          <w:szCs w:val="22"/>
        </w:rPr>
      </w:pPr>
    </w:p>
    <w:p w:rsidR="006224C2" w:rsidRPr="00295E71" w14:paraId="3C3148F9" w14:textId="77777777">
      <w:pPr>
        <w:pStyle w:val="ListParagraph"/>
        <w:numPr>
          <w:ilvl w:val="0"/>
          <w:numId w:val="97"/>
        </w:numPr>
        <w:tabs>
          <w:tab w:val="left" w:pos="540"/>
        </w:tabs>
        <w:jc w:val="both"/>
        <w:rPr>
          <w:sz w:val="22"/>
          <w:szCs w:val="22"/>
        </w:rPr>
      </w:pPr>
      <w:r w:rsidRPr="00295E71">
        <w:rPr>
          <w:sz w:val="22"/>
          <w:szCs w:val="22"/>
        </w:rPr>
        <w:t>g</w:t>
      </w:r>
      <w:r w:rsidRPr="00295E71" w:rsidR="00226BC4">
        <w:rPr>
          <w:sz w:val="22"/>
          <w:szCs w:val="22"/>
        </w:rPr>
        <w:t>ravi infezioni del sangue(sepsi)</w:t>
      </w:r>
    </w:p>
    <w:p w:rsidR="006224C2" w:rsidRPr="00295E71" w14:paraId="49C951EC" w14:textId="77777777">
      <w:pPr>
        <w:pStyle w:val="ListParagraph"/>
        <w:tabs>
          <w:tab w:val="left" w:pos="540"/>
        </w:tabs>
        <w:ind w:left="1069"/>
        <w:jc w:val="both"/>
        <w:rPr>
          <w:sz w:val="22"/>
          <w:szCs w:val="22"/>
        </w:rPr>
      </w:pPr>
    </w:p>
    <w:p w:rsidR="006224C2" w:rsidRPr="00295E71" w14:paraId="4B589FED" w14:textId="77777777">
      <w:pPr>
        <w:tabs>
          <w:tab w:val="left" w:pos="540"/>
        </w:tabs>
        <w:ind w:left="567"/>
        <w:jc w:val="both"/>
        <w:rPr>
          <w:sz w:val="22"/>
          <w:szCs w:val="22"/>
        </w:rPr>
      </w:pPr>
      <w:r w:rsidRPr="00295E71">
        <w:rPr>
          <w:sz w:val="22"/>
          <w:szCs w:val="22"/>
        </w:rPr>
        <w:t>In rari casi, queste infezioni possono essere rischiose per la vita del paziente. È importante comunicare al medico se manifesta sintomi quali febbre, ferite, sensazione di stanchezza o problemi dentali. Il medico potrebbe dirle di interrompere Humira per un periodo di tempo.</w:t>
      </w:r>
    </w:p>
    <w:p w:rsidR="006224C2" w:rsidRPr="00295E71" w14:paraId="21FC3518" w14:textId="77777777">
      <w:pPr>
        <w:pStyle w:val="ListParagraph"/>
        <w:ind w:left="360"/>
        <w:rPr>
          <w:sz w:val="22"/>
          <w:szCs w:val="22"/>
        </w:rPr>
      </w:pPr>
    </w:p>
    <w:p w:rsidR="006224C2" w:rsidRPr="00295E71" w14:paraId="638DA612" w14:textId="77777777">
      <w:pPr>
        <w:pStyle w:val="ListParagraph"/>
        <w:numPr>
          <w:ilvl w:val="0"/>
          <w:numId w:val="5"/>
        </w:numPr>
        <w:tabs>
          <w:tab w:val="clear" w:pos="360"/>
          <w:tab w:val="num" w:pos="567"/>
        </w:tabs>
        <w:ind w:left="567" w:hanging="567"/>
        <w:rPr>
          <w:sz w:val="22"/>
          <w:szCs w:val="22"/>
        </w:rPr>
      </w:pPr>
      <w:r w:rsidRPr="00295E71">
        <w:rPr>
          <w:sz w:val="22"/>
          <w:szCs w:val="22"/>
        </w:rPr>
        <w:t>Informi il medico se vive o viaggia in regioni dove le infezioni fungine sono molto comuni (ad esempio istoplasmosi, coccidioidomicosi o blastomicosi).</w:t>
      </w:r>
    </w:p>
    <w:p w:rsidR="006224C2" w:rsidRPr="00295E71" w14:paraId="4C28DDE6" w14:textId="77777777">
      <w:pPr>
        <w:pStyle w:val="ListParagraph"/>
        <w:tabs>
          <w:tab w:val="num" w:pos="567"/>
        </w:tabs>
        <w:ind w:left="360"/>
        <w:rPr>
          <w:sz w:val="22"/>
          <w:szCs w:val="22"/>
        </w:rPr>
      </w:pPr>
    </w:p>
    <w:p w:rsidR="006224C2" w:rsidRPr="00295E71" w14:paraId="56D5A6D5" w14:textId="77777777">
      <w:pPr>
        <w:pStyle w:val="ListParagraph"/>
        <w:numPr>
          <w:ilvl w:val="0"/>
          <w:numId w:val="5"/>
        </w:numPr>
        <w:tabs>
          <w:tab w:val="clear" w:pos="360"/>
          <w:tab w:val="num" w:pos="567"/>
        </w:tabs>
        <w:ind w:left="567" w:hanging="567"/>
        <w:rPr>
          <w:sz w:val="22"/>
          <w:szCs w:val="22"/>
        </w:rPr>
      </w:pPr>
      <w:r w:rsidRPr="00295E71">
        <w:rPr>
          <w:sz w:val="22"/>
          <w:szCs w:val="22"/>
        </w:rPr>
        <w:t>Informi il medico se ha avuto infezioni che continuano a ripresentarsi o se ha altre patologie che aumentano il rischio di infezione.</w:t>
      </w:r>
    </w:p>
    <w:p w:rsidR="006224C2" w:rsidRPr="00295E71" w14:paraId="5D6E10E5" w14:textId="77777777">
      <w:pPr>
        <w:pStyle w:val="ListParagraph"/>
        <w:tabs>
          <w:tab w:val="num" w:pos="567"/>
        </w:tabs>
        <w:rPr>
          <w:sz w:val="22"/>
          <w:szCs w:val="22"/>
        </w:rPr>
      </w:pPr>
    </w:p>
    <w:p w:rsidR="006224C2" w:rsidRPr="00295E71" w14:paraId="628B0106" w14:textId="77777777">
      <w:pPr>
        <w:pStyle w:val="ListParagraph"/>
        <w:numPr>
          <w:ilvl w:val="0"/>
          <w:numId w:val="5"/>
        </w:numPr>
        <w:tabs>
          <w:tab w:val="clear" w:pos="360"/>
          <w:tab w:val="num" w:pos="567"/>
        </w:tabs>
        <w:ind w:left="567" w:hanging="567"/>
        <w:rPr>
          <w:sz w:val="22"/>
          <w:szCs w:val="22"/>
        </w:rPr>
      </w:pPr>
      <w:r w:rsidRPr="00295E71">
        <w:rPr>
          <w:sz w:val="22"/>
          <w:szCs w:val="22"/>
        </w:rPr>
        <w:t>Se ha più di 65 anni, potrebbe contrarre infezioni più facilmente mentre</w:t>
      </w:r>
      <w:r w:rsidRPr="00295E71" w:rsidR="00F32448">
        <w:rPr>
          <w:sz w:val="22"/>
          <w:szCs w:val="22"/>
        </w:rPr>
        <w:t xml:space="preserve"> </w:t>
      </w:r>
      <w:r w:rsidRPr="00295E71">
        <w:rPr>
          <w:sz w:val="22"/>
          <w:szCs w:val="22"/>
        </w:rPr>
        <w:t>assume Humira. Lei e il medico dovete prestare particolare attenzione ai segni di infezione durante il trattamento con Humira. È importante comunicare al medico se manifesta sintomi di infezioni quali febbre, ferite, sensazione di stanchezza o problemi dentali.</w:t>
      </w:r>
    </w:p>
    <w:p w:rsidR="006224C2" w:rsidRPr="00295E71" w14:paraId="09B3293C" w14:textId="77777777">
      <w:pPr>
        <w:pStyle w:val="ListParagraph"/>
        <w:rPr>
          <w:sz w:val="22"/>
          <w:szCs w:val="22"/>
        </w:rPr>
      </w:pPr>
    </w:p>
    <w:p w:rsidR="006224C2" w:rsidRPr="00295E71" w:rsidP="005F3CB6" w14:paraId="3941A569" w14:textId="77777777">
      <w:pPr>
        <w:pStyle w:val="ListParagraph"/>
        <w:keepNext/>
        <w:ind w:left="0"/>
        <w:rPr>
          <w:sz w:val="22"/>
          <w:szCs w:val="22"/>
          <w:u w:val="single"/>
        </w:rPr>
      </w:pPr>
      <w:r w:rsidRPr="00295E71">
        <w:rPr>
          <w:sz w:val="22"/>
          <w:szCs w:val="22"/>
          <w:u w:val="single"/>
        </w:rPr>
        <w:t>Tubercolosi</w:t>
      </w:r>
    </w:p>
    <w:p w:rsidR="006224C2" w:rsidRPr="00295E71" w:rsidP="005F3CB6" w14:paraId="267372FB" w14:textId="77777777">
      <w:pPr>
        <w:pStyle w:val="ListParagraph"/>
        <w:keepNext/>
        <w:ind w:left="360"/>
        <w:rPr>
          <w:sz w:val="22"/>
          <w:szCs w:val="22"/>
        </w:rPr>
      </w:pPr>
      <w:r w:rsidRPr="00295E71">
        <w:rPr>
          <w:sz w:val="22"/>
          <w:szCs w:val="22"/>
        </w:rPr>
        <w:tab/>
      </w:r>
    </w:p>
    <w:p w:rsidR="006224C2" w:rsidRPr="00295E71" w:rsidP="005F3CB6" w14:paraId="360EC5C0" w14:textId="77777777">
      <w:pPr>
        <w:pStyle w:val="ListParagraph"/>
        <w:keepNext/>
        <w:numPr>
          <w:ilvl w:val="0"/>
          <w:numId w:val="5"/>
        </w:numPr>
        <w:tabs>
          <w:tab w:val="clear" w:pos="360"/>
        </w:tabs>
        <w:ind w:left="567" w:hanging="567"/>
        <w:rPr>
          <w:sz w:val="22"/>
          <w:szCs w:val="22"/>
        </w:rPr>
      </w:pPr>
      <w:r w:rsidRPr="00295E71">
        <w:rPr>
          <w:sz w:val="22"/>
          <w:szCs w:val="22"/>
        </w:rPr>
        <w:t>È molto importante comunicare al medico se ha mai avuto la tubercolosi, o se è stato a contatto con qualcuno che ha avuto la tubercolosi. Non deve assumere Humira se è affetto da tubercolosi attiva.</w:t>
      </w:r>
    </w:p>
    <w:p w:rsidR="006224C2" w:rsidRPr="00295E71" w14:paraId="6FC523EC" w14:textId="77777777">
      <w:pPr>
        <w:tabs>
          <w:tab w:val="left" w:pos="540"/>
        </w:tabs>
        <w:ind w:left="540"/>
        <w:jc w:val="both"/>
        <w:rPr>
          <w:sz w:val="22"/>
          <w:szCs w:val="22"/>
        </w:rPr>
      </w:pPr>
    </w:p>
    <w:p w:rsidR="006224C2" w:rsidRPr="00295E71" w14:paraId="79001861" w14:textId="77777777">
      <w:pPr>
        <w:pStyle w:val="ListParagraph"/>
        <w:numPr>
          <w:ilvl w:val="1"/>
          <w:numId w:val="5"/>
        </w:numPr>
        <w:rPr>
          <w:sz w:val="22"/>
          <w:szCs w:val="22"/>
        </w:rPr>
      </w:pPr>
      <w:r w:rsidRPr="00295E71">
        <w:rPr>
          <w:sz w:val="22"/>
          <w:szCs w:val="22"/>
        </w:rPr>
        <w:t>Poiché si sono verificati dei casi di tubercolosi in pazienti sottoposti a trattamento con Humira, il medico dovrà controllare se presenta segni o sintomi tipici della tubercolosi prima di iniziare la terapia con Humira. Questo comporterà una valutazione medica approfondita del la sua anamnesi e appropriati esami clinici (ad esempio una radiografia del torace e il test alla tubercolina). L’esecuzione e i risultati di tali esami devono essere registrati nella</w:t>
      </w:r>
      <w:r w:rsidR="004A0228">
        <w:rPr>
          <w:b/>
          <w:sz w:val="22"/>
          <w:szCs w:val="22"/>
        </w:rPr>
        <w:t xml:space="preserve"> </w:t>
      </w:r>
      <w:r w:rsidRPr="000D0B9B" w:rsidR="004A0228">
        <w:rPr>
          <w:b/>
          <w:sz w:val="22"/>
          <w:szCs w:val="22"/>
        </w:rPr>
        <w:t>Scheda Promemoria per il Paziente</w:t>
      </w:r>
      <w:r w:rsidRPr="00295E71">
        <w:rPr>
          <w:sz w:val="22"/>
          <w:szCs w:val="22"/>
        </w:rPr>
        <w:t xml:space="preserve">.  </w:t>
      </w:r>
    </w:p>
    <w:p w:rsidR="006224C2" w:rsidRPr="00295E71" w14:paraId="13B446FD" w14:textId="77777777">
      <w:pPr>
        <w:pStyle w:val="ListParagraph"/>
        <w:numPr>
          <w:ilvl w:val="1"/>
          <w:numId w:val="5"/>
        </w:numPr>
        <w:rPr>
          <w:sz w:val="22"/>
          <w:szCs w:val="22"/>
        </w:rPr>
      </w:pPr>
      <w:r w:rsidRPr="00295E71">
        <w:rPr>
          <w:sz w:val="22"/>
          <w:szCs w:val="22"/>
        </w:rPr>
        <w:t xml:space="preserve">La tubercolosi si può manifestare durante la terapia nonostante lei abbia ricevuto un trattamento per la prevenzione della tubercolosi. </w:t>
      </w:r>
    </w:p>
    <w:p w:rsidR="006224C2" w:rsidRPr="00295E71" w14:paraId="0614143B" w14:textId="77777777">
      <w:pPr>
        <w:pStyle w:val="ListParagraph"/>
        <w:numPr>
          <w:ilvl w:val="1"/>
          <w:numId w:val="5"/>
        </w:numPr>
        <w:rPr>
          <w:sz w:val="22"/>
          <w:szCs w:val="22"/>
        </w:rPr>
      </w:pPr>
      <w:r w:rsidRPr="00295E71">
        <w:rPr>
          <w:sz w:val="22"/>
          <w:szCs w:val="22"/>
        </w:rPr>
        <w:t>Contatti immediatamente il medico se durante o dopo la terapia compaiono sintomi di tubercolosi (ad esempio tosse che non scompare, perdita di peso, mancanza di energia, febbre leggera) o di altre infezioni.</w:t>
      </w:r>
    </w:p>
    <w:p w:rsidR="006224C2" w:rsidRPr="00295E71" w14:paraId="4B58D760" w14:textId="77777777">
      <w:pPr>
        <w:rPr>
          <w:sz w:val="22"/>
          <w:szCs w:val="22"/>
          <w:u w:val="single"/>
        </w:rPr>
      </w:pPr>
    </w:p>
    <w:p w:rsidR="006224C2" w:rsidRPr="00295E71" w14:paraId="2A4B63B4" w14:textId="77777777">
      <w:pPr>
        <w:rPr>
          <w:sz w:val="22"/>
          <w:szCs w:val="22"/>
          <w:u w:val="single"/>
        </w:rPr>
      </w:pPr>
      <w:r w:rsidRPr="00295E71">
        <w:rPr>
          <w:sz w:val="22"/>
          <w:szCs w:val="22"/>
          <w:u w:val="single"/>
        </w:rPr>
        <w:t>Epatite B</w:t>
      </w:r>
    </w:p>
    <w:p w:rsidR="006224C2" w:rsidRPr="00295E71" w14:paraId="293CC476" w14:textId="77777777">
      <w:pPr>
        <w:rPr>
          <w:sz w:val="22"/>
          <w:szCs w:val="22"/>
          <w:u w:val="single"/>
        </w:rPr>
      </w:pPr>
    </w:p>
    <w:p w:rsidR="006224C2" w:rsidRPr="00295E71" w14:paraId="1B49B511" w14:textId="77777777">
      <w:pPr>
        <w:pStyle w:val="ListParagraph"/>
        <w:numPr>
          <w:ilvl w:val="0"/>
          <w:numId w:val="5"/>
        </w:numPr>
        <w:rPr>
          <w:sz w:val="22"/>
          <w:szCs w:val="22"/>
        </w:rPr>
      </w:pPr>
      <w:r w:rsidRPr="00295E71">
        <w:rPr>
          <w:sz w:val="22"/>
          <w:szCs w:val="22"/>
        </w:rPr>
        <w:t xml:space="preserve">Comunichi al medico se lei è portatore del virus dell’epatite B (HBV), se ha un’infezione in fase attiva da virus dell’epatite B o se pensa di poter essere a rischio di contrarre il virus dell’epatite B. </w:t>
      </w:r>
    </w:p>
    <w:p w:rsidR="006224C2" w:rsidRPr="00295E71" w14:paraId="75B40A9D" w14:textId="77777777">
      <w:pPr>
        <w:pStyle w:val="ListParagraph"/>
        <w:ind w:left="360"/>
        <w:rPr>
          <w:sz w:val="22"/>
          <w:szCs w:val="22"/>
        </w:rPr>
      </w:pPr>
    </w:p>
    <w:p w:rsidR="006224C2" w:rsidRPr="00295E71" w14:paraId="17082724" w14:textId="77777777">
      <w:pPr>
        <w:pStyle w:val="ListParagraph"/>
        <w:numPr>
          <w:ilvl w:val="1"/>
          <w:numId w:val="5"/>
        </w:numPr>
        <w:rPr>
          <w:sz w:val="22"/>
          <w:szCs w:val="22"/>
        </w:rPr>
      </w:pPr>
      <w:r w:rsidRPr="00295E71">
        <w:rPr>
          <w:sz w:val="22"/>
          <w:szCs w:val="22"/>
        </w:rPr>
        <w:t xml:space="preserve">Il medico la deve testare per l’infezione da virus dell’epatite B. Nei portatori di HBV, l’assunzione di Humira può indurre il virus ad attivarsi nuovamente. </w:t>
      </w:r>
    </w:p>
    <w:p w:rsidR="006224C2" w:rsidRPr="00295E71" w14:paraId="2ED25E88" w14:textId="77777777">
      <w:pPr>
        <w:pStyle w:val="ListParagraph"/>
        <w:numPr>
          <w:ilvl w:val="1"/>
          <w:numId w:val="5"/>
        </w:numPr>
        <w:rPr>
          <w:sz w:val="22"/>
          <w:szCs w:val="22"/>
        </w:rPr>
      </w:pPr>
      <w:r w:rsidRPr="00295E71">
        <w:rPr>
          <w:sz w:val="22"/>
          <w:szCs w:val="22"/>
        </w:rPr>
        <w:t>In alcuni rari casi, soprattutto se il paziente è sottoposto a terapia con altri farmaci che sopprimono il sistema immunitario, la riattivazione del virus dell’epatite B può mettere a repentaglio la vita del paziente.</w:t>
      </w:r>
    </w:p>
    <w:p w:rsidR="006224C2" w:rsidRPr="00295E71" w14:paraId="578141B3" w14:textId="77777777">
      <w:pPr>
        <w:tabs>
          <w:tab w:val="left" w:pos="567"/>
        </w:tabs>
        <w:ind w:left="567"/>
        <w:rPr>
          <w:sz w:val="22"/>
          <w:szCs w:val="22"/>
        </w:rPr>
      </w:pPr>
    </w:p>
    <w:p w:rsidR="006224C2" w:rsidRPr="00295E71" w14:paraId="14C25602" w14:textId="77777777">
      <w:pPr>
        <w:tabs>
          <w:tab w:val="left" w:pos="540"/>
        </w:tabs>
        <w:rPr>
          <w:sz w:val="22"/>
          <w:szCs w:val="22"/>
          <w:u w:val="single"/>
        </w:rPr>
      </w:pPr>
      <w:r w:rsidRPr="00295E71">
        <w:rPr>
          <w:sz w:val="22"/>
          <w:szCs w:val="22"/>
          <w:u w:val="single"/>
        </w:rPr>
        <w:t>Interventi chirurgici</w:t>
      </w:r>
      <w:r w:rsidRPr="00295E71" w:rsidR="00E94242">
        <w:rPr>
          <w:sz w:val="22"/>
          <w:szCs w:val="22"/>
          <w:u w:val="single"/>
        </w:rPr>
        <w:t xml:space="preserve"> o procedure dentistiche</w:t>
      </w:r>
    </w:p>
    <w:p w:rsidR="006224C2" w:rsidRPr="00295E71" w14:paraId="7E6A465E" w14:textId="77777777">
      <w:pPr>
        <w:tabs>
          <w:tab w:val="left" w:pos="567"/>
        </w:tabs>
        <w:ind w:left="567"/>
        <w:jc w:val="both"/>
        <w:rPr>
          <w:sz w:val="22"/>
          <w:szCs w:val="22"/>
        </w:rPr>
      </w:pPr>
    </w:p>
    <w:p w:rsidR="006224C2" w:rsidRPr="00295E71" w14:paraId="4E1A7477" w14:textId="77777777">
      <w:pPr>
        <w:numPr>
          <w:ilvl w:val="0"/>
          <w:numId w:val="5"/>
        </w:numPr>
        <w:tabs>
          <w:tab w:val="clear" w:pos="360"/>
          <w:tab w:val="left" w:pos="540"/>
        </w:tabs>
        <w:ind w:left="540" w:hanging="540"/>
        <w:jc w:val="both"/>
        <w:rPr>
          <w:sz w:val="22"/>
          <w:szCs w:val="22"/>
        </w:rPr>
      </w:pPr>
      <w:r w:rsidRPr="00295E71">
        <w:rPr>
          <w:sz w:val="22"/>
          <w:szCs w:val="22"/>
        </w:rPr>
        <w:t>Prima di un intervento chirurgico o procedure dentistiche, informi il medico che sta assumendo Humira. Il medico potrebbe consigliarle la sospensione temporanea di Humira.</w:t>
      </w:r>
    </w:p>
    <w:p w:rsidR="006224C2" w:rsidRPr="00295E71" w14:paraId="67F2DDDB" w14:textId="77777777">
      <w:pPr>
        <w:tabs>
          <w:tab w:val="left" w:pos="540"/>
        </w:tabs>
        <w:ind w:left="540"/>
        <w:rPr>
          <w:sz w:val="22"/>
          <w:szCs w:val="22"/>
          <w:u w:val="single"/>
        </w:rPr>
      </w:pPr>
    </w:p>
    <w:p w:rsidR="006224C2" w:rsidRPr="00295E71" w14:paraId="6B361896" w14:textId="77777777">
      <w:pPr>
        <w:tabs>
          <w:tab w:val="left" w:pos="540"/>
        </w:tabs>
        <w:rPr>
          <w:sz w:val="22"/>
          <w:szCs w:val="22"/>
          <w:u w:val="single"/>
        </w:rPr>
      </w:pPr>
      <w:r w:rsidRPr="00295E71">
        <w:rPr>
          <w:sz w:val="22"/>
          <w:szCs w:val="22"/>
          <w:u w:val="single"/>
        </w:rPr>
        <w:t>Malattie demielinizzanti</w:t>
      </w:r>
    </w:p>
    <w:p w:rsidR="006224C2" w:rsidRPr="00295E71" w14:paraId="155A2044" w14:textId="77777777">
      <w:pPr>
        <w:tabs>
          <w:tab w:val="left" w:pos="540"/>
        </w:tabs>
        <w:jc w:val="both"/>
        <w:rPr>
          <w:sz w:val="22"/>
          <w:szCs w:val="22"/>
        </w:rPr>
      </w:pPr>
    </w:p>
    <w:p w:rsidR="006224C2" w:rsidRPr="00295E71" w14:paraId="3D94883A" w14:textId="77777777">
      <w:pPr>
        <w:numPr>
          <w:ilvl w:val="0"/>
          <w:numId w:val="5"/>
        </w:numPr>
        <w:tabs>
          <w:tab w:val="clear" w:pos="360"/>
          <w:tab w:val="left" w:pos="540"/>
        </w:tabs>
        <w:ind w:left="540" w:hanging="540"/>
        <w:jc w:val="both"/>
        <w:rPr>
          <w:sz w:val="22"/>
          <w:szCs w:val="22"/>
        </w:rPr>
      </w:pPr>
      <w:r w:rsidRPr="00295E71">
        <w:rPr>
          <w:sz w:val="22"/>
          <w:szCs w:val="22"/>
        </w:rPr>
        <w:t>Se è affetto da o sviluppa</w:t>
      </w:r>
      <w:r w:rsidRPr="00295E71" w:rsidR="001A0454">
        <w:rPr>
          <w:sz w:val="22"/>
          <w:szCs w:val="22"/>
        </w:rPr>
        <w:t xml:space="preserve"> una malattia demielinizzante (malattia che colpisce lo strato isolante attorno ai nervi, come la sclerosi multipla)</w:t>
      </w:r>
      <w:r w:rsidRPr="00295E71">
        <w:rPr>
          <w:sz w:val="22"/>
          <w:szCs w:val="22"/>
        </w:rPr>
        <w:t>, il medico deciderà se è il caso di iniziare o continuare a ricevere il trattamento con Humira. Informi il medico immediatamente nel caso in cui lei manifesti sintomi quali variazioni nella visione, debolezza di braccia o gambe o intorpidimento o formicolio che interessi qualsiasi parte del corpo.</w:t>
      </w:r>
    </w:p>
    <w:p w:rsidR="006224C2" w:rsidRPr="00295E71" w14:paraId="063AE367" w14:textId="77777777">
      <w:pPr>
        <w:tabs>
          <w:tab w:val="left" w:pos="540"/>
          <w:tab w:val="left" w:pos="567"/>
        </w:tabs>
        <w:ind w:left="540" w:hanging="483"/>
        <w:jc w:val="both"/>
        <w:rPr>
          <w:sz w:val="22"/>
          <w:szCs w:val="22"/>
        </w:rPr>
      </w:pPr>
    </w:p>
    <w:p w:rsidR="006224C2" w:rsidRPr="00295E71" w14:paraId="1C32A117" w14:textId="77777777">
      <w:pPr>
        <w:tabs>
          <w:tab w:val="left" w:pos="540"/>
          <w:tab w:val="left" w:pos="567"/>
        </w:tabs>
        <w:ind w:left="540" w:hanging="483"/>
        <w:jc w:val="both"/>
        <w:rPr>
          <w:sz w:val="22"/>
          <w:szCs w:val="22"/>
          <w:u w:val="single"/>
        </w:rPr>
      </w:pPr>
      <w:r w:rsidRPr="00295E71">
        <w:rPr>
          <w:sz w:val="22"/>
          <w:szCs w:val="22"/>
          <w:u w:val="single"/>
        </w:rPr>
        <w:t>Vaccinazioni</w:t>
      </w:r>
    </w:p>
    <w:p w:rsidR="006224C2" w:rsidRPr="00295E71" w14:paraId="5D5AAB72" w14:textId="77777777">
      <w:pPr>
        <w:tabs>
          <w:tab w:val="left" w:pos="540"/>
          <w:tab w:val="left" w:pos="567"/>
        </w:tabs>
        <w:ind w:left="540" w:hanging="483"/>
        <w:jc w:val="both"/>
        <w:rPr>
          <w:sz w:val="22"/>
          <w:szCs w:val="22"/>
          <w:u w:val="single"/>
        </w:rPr>
      </w:pPr>
    </w:p>
    <w:p w:rsidR="006224C2" w:rsidRPr="00295E71" w14:paraId="7A70282D" w14:textId="77777777">
      <w:pPr>
        <w:numPr>
          <w:ilvl w:val="0"/>
          <w:numId w:val="5"/>
        </w:numPr>
        <w:tabs>
          <w:tab w:val="clear" w:pos="360"/>
          <w:tab w:val="left" w:pos="540"/>
        </w:tabs>
        <w:ind w:left="597" w:hanging="540"/>
        <w:jc w:val="both"/>
        <w:rPr>
          <w:sz w:val="22"/>
          <w:szCs w:val="22"/>
        </w:rPr>
      </w:pPr>
      <w:r w:rsidRPr="00295E71">
        <w:rPr>
          <w:sz w:val="22"/>
          <w:szCs w:val="22"/>
        </w:rPr>
        <w:t xml:space="preserve">Certi vaccini possono causare infezioni e non devono essere somministrati durante il trattamento con Humira. </w:t>
      </w:r>
    </w:p>
    <w:p w:rsidR="006224C2" w:rsidRPr="00295E71" w14:paraId="3BC2388A" w14:textId="77777777">
      <w:pPr>
        <w:tabs>
          <w:tab w:val="left" w:pos="540"/>
        </w:tabs>
        <w:ind w:left="597"/>
        <w:jc w:val="both"/>
        <w:rPr>
          <w:sz w:val="22"/>
          <w:szCs w:val="22"/>
        </w:rPr>
      </w:pPr>
    </w:p>
    <w:p w:rsidR="006224C2" w:rsidRPr="00295E71" w14:paraId="24FFD915" w14:textId="77777777">
      <w:pPr>
        <w:numPr>
          <w:ilvl w:val="1"/>
          <w:numId w:val="5"/>
        </w:numPr>
        <w:tabs>
          <w:tab w:val="left" w:pos="540"/>
        </w:tabs>
        <w:jc w:val="both"/>
        <w:rPr>
          <w:sz w:val="22"/>
          <w:szCs w:val="22"/>
        </w:rPr>
      </w:pPr>
      <w:r w:rsidRPr="00295E71">
        <w:rPr>
          <w:sz w:val="22"/>
          <w:szCs w:val="22"/>
        </w:rPr>
        <w:t>Consulti il medico prima di sottoporsi a vaccinazioni.</w:t>
      </w:r>
    </w:p>
    <w:p w:rsidR="006224C2" w:rsidRPr="00295E71" w14:paraId="0637B108" w14:textId="77777777">
      <w:pPr>
        <w:numPr>
          <w:ilvl w:val="1"/>
          <w:numId w:val="5"/>
        </w:numPr>
        <w:tabs>
          <w:tab w:val="left" w:pos="540"/>
        </w:tabs>
        <w:jc w:val="both"/>
        <w:rPr>
          <w:sz w:val="22"/>
          <w:szCs w:val="22"/>
        </w:rPr>
      </w:pPr>
      <w:r w:rsidRPr="00295E71">
        <w:rPr>
          <w:sz w:val="22"/>
          <w:szCs w:val="22"/>
        </w:rPr>
        <w:t>Si raccomanda, se possibile, di sottoporre i bambini a tutte le vaccinazioni previste per la loro età prima di iniziare il trattamento con Humira.</w:t>
      </w:r>
      <w:r w:rsidRPr="00295E71" w:rsidR="00226BC4">
        <w:rPr>
          <w:sz w:val="22"/>
          <w:szCs w:val="22"/>
        </w:rPr>
        <w:t xml:space="preserve">. </w:t>
      </w:r>
    </w:p>
    <w:p w:rsidR="006224C2" w:rsidRPr="00295E71" w14:paraId="218F2E70" w14:textId="77777777">
      <w:pPr>
        <w:numPr>
          <w:ilvl w:val="1"/>
          <w:numId w:val="5"/>
        </w:numPr>
        <w:tabs>
          <w:tab w:val="left" w:pos="540"/>
        </w:tabs>
        <w:jc w:val="both"/>
        <w:rPr>
          <w:sz w:val="22"/>
          <w:szCs w:val="22"/>
        </w:rPr>
      </w:pPr>
      <w:r w:rsidRPr="00295E71">
        <w:rPr>
          <w:sz w:val="22"/>
          <w:szCs w:val="22"/>
        </w:rPr>
        <w:t>Se ha assunto Humira durante la gravidanza, il bambino potrebbe avere un maggior rischio di contrarre tale infezione fino a circa 5 mesi dopo l’ultima somministrazione di Humira effettuata. È importante che lei riferisca al pediatra o ad altro operatore sanitario del suo utilizzo di Humira durante la gravidanza, cosicché possano decidere quando il bambino deve ricevere qualsiasi tipo di vaccinazione.</w:t>
      </w:r>
    </w:p>
    <w:p w:rsidR="006224C2" w:rsidRPr="00295E71" w14:paraId="0CF550D0" w14:textId="77777777">
      <w:pPr>
        <w:tabs>
          <w:tab w:val="left" w:pos="567"/>
        </w:tabs>
        <w:rPr>
          <w:sz w:val="22"/>
          <w:szCs w:val="22"/>
          <w:u w:val="single"/>
        </w:rPr>
      </w:pPr>
    </w:p>
    <w:p w:rsidR="006224C2" w:rsidRPr="00295E71" w:rsidP="005F3CB6" w14:paraId="3A29F209" w14:textId="77777777">
      <w:pPr>
        <w:keepNext/>
        <w:tabs>
          <w:tab w:val="left" w:pos="567"/>
        </w:tabs>
        <w:rPr>
          <w:sz w:val="22"/>
          <w:szCs w:val="22"/>
          <w:u w:val="single"/>
        </w:rPr>
      </w:pPr>
      <w:r w:rsidRPr="00295E71">
        <w:rPr>
          <w:sz w:val="22"/>
          <w:szCs w:val="22"/>
          <w:u w:val="single"/>
        </w:rPr>
        <w:t>Insufficienza cardiaca</w:t>
      </w:r>
    </w:p>
    <w:p w:rsidR="00D20987" w:rsidRPr="00295E71" w:rsidP="005F3CB6" w14:paraId="76371F21" w14:textId="77777777">
      <w:pPr>
        <w:keepNext/>
        <w:tabs>
          <w:tab w:val="left" w:pos="567"/>
        </w:tabs>
        <w:rPr>
          <w:sz w:val="22"/>
          <w:szCs w:val="22"/>
          <w:u w:val="single"/>
        </w:rPr>
      </w:pPr>
    </w:p>
    <w:p w:rsidR="00D20987" w:rsidRPr="00295E71" w:rsidP="005F3CB6" w14:paraId="3BB2295A" w14:textId="77777777">
      <w:pPr>
        <w:keepNext/>
        <w:numPr>
          <w:ilvl w:val="1"/>
          <w:numId w:val="5"/>
        </w:numPr>
        <w:tabs>
          <w:tab w:val="left" w:pos="540"/>
          <w:tab w:val="num" w:pos="567"/>
          <w:tab w:val="clear" w:pos="1440"/>
        </w:tabs>
        <w:ind w:left="567" w:hanging="567"/>
        <w:jc w:val="both"/>
        <w:rPr>
          <w:sz w:val="22"/>
          <w:szCs w:val="22"/>
        </w:rPr>
      </w:pPr>
      <w:r w:rsidRPr="00295E71">
        <w:rPr>
          <w:sz w:val="22"/>
          <w:szCs w:val="22"/>
        </w:rPr>
        <w:t xml:space="preserve">In caso abbia una lieve insufficienza cardiaca e venga trattato con Humira, lo stato della sua insufficienza cardiaca deve essere monitorato attentamente dal medico. </w:t>
      </w:r>
      <w:r w:rsidRPr="00295E71" w:rsidR="00ED0249">
        <w:rPr>
          <w:sz w:val="22"/>
          <w:szCs w:val="22"/>
        </w:rPr>
        <w:t>È importante riferire al medico se ha avuto o ha una condizione cardiaca grave</w:t>
      </w:r>
      <w:r w:rsidRPr="00295E71" w:rsidR="00D60EDB">
        <w:rPr>
          <w:sz w:val="22"/>
          <w:szCs w:val="22"/>
        </w:rPr>
        <w:t xml:space="preserve">. </w:t>
      </w:r>
      <w:r w:rsidRPr="00295E71">
        <w:rPr>
          <w:sz w:val="22"/>
          <w:szCs w:val="22"/>
        </w:rPr>
        <w:t>Se sviluppa nuovi sintomi di insufficienza cardiaca o se i sintomi già esistenti dovessero peggiorare (ad es. respiro corto o gonfiore dei piedi), contatti immediatamente il medico. Il medico deciderà se può assumere Humira.</w:t>
      </w:r>
    </w:p>
    <w:p w:rsidR="003D1508" w:rsidRPr="00295E71" w:rsidP="00FB547E" w14:paraId="3CE93EFB" w14:textId="77777777">
      <w:pPr>
        <w:tabs>
          <w:tab w:val="left" w:pos="540"/>
        </w:tabs>
        <w:ind w:left="1080"/>
        <w:jc w:val="both"/>
        <w:rPr>
          <w:sz w:val="22"/>
          <w:szCs w:val="22"/>
        </w:rPr>
      </w:pPr>
    </w:p>
    <w:p w:rsidR="003D1508" w:rsidRPr="00295E71" w:rsidP="00FB547E" w14:paraId="5B22027E" w14:textId="77777777">
      <w:pPr>
        <w:tabs>
          <w:tab w:val="left" w:pos="0"/>
        </w:tabs>
        <w:jc w:val="both"/>
        <w:rPr>
          <w:sz w:val="22"/>
          <w:szCs w:val="22"/>
          <w:u w:val="single"/>
        </w:rPr>
      </w:pPr>
      <w:r w:rsidRPr="00295E71">
        <w:rPr>
          <w:sz w:val="22"/>
          <w:szCs w:val="22"/>
          <w:u w:val="single"/>
        </w:rPr>
        <w:t>Febbre, lividi, emorragie o pallore</w:t>
      </w:r>
    </w:p>
    <w:p w:rsidR="003D1508" w:rsidRPr="00295E71" w:rsidP="00FB547E" w14:paraId="42C67769" w14:textId="77777777">
      <w:pPr>
        <w:pStyle w:val="ListParagraph"/>
        <w:tabs>
          <w:tab w:val="left" w:pos="540"/>
        </w:tabs>
        <w:ind w:left="360"/>
        <w:jc w:val="both"/>
        <w:rPr>
          <w:sz w:val="22"/>
          <w:szCs w:val="22"/>
        </w:rPr>
      </w:pPr>
    </w:p>
    <w:p w:rsidR="006224C2" w:rsidRPr="00295E71" w:rsidP="003D1508" w14:paraId="52DFD69A" w14:textId="77777777">
      <w:pPr>
        <w:pStyle w:val="ListParagraph"/>
        <w:numPr>
          <w:ilvl w:val="0"/>
          <w:numId w:val="5"/>
        </w:numPr>
        <w:ind w:left="539" w:hanging="539"/>
        <w:rPr>
          <w:sz w:val="22"/>
          <w:szCs w:val="22"/>
        </w:rPr>
      </w:pPr>
      <w:r w:rsidRPr="00295E71">
        <w:rPr>
          <w:sz w:val="22"/>
          <w:szCs w:val="22"/>
        </w:rPr>
        <w:tab/>
        <w:t xml:space="preserve">In alcuni pazienti l’organismo può non essere in grado di produrre un quantitativo di cellule ematiche sufficiente e tale da combattere le infezioni o ad arrestare un’emorragia. </w:t>
      </w:r>
      <w:r w:rsidRPr="00295E71" w:rsidR="003D1508">
        <w:rPr>
          <w:sz w:val="22"/>
          <w:szCs w:val="22"/>
        </w:rPr>
        <w:t xml:space="preserve">Il medico </w:t>
      </w:r>
      <w:r w:rsidRPr="00295E71">
        <w:rPr>
          <w:sz w:val="22"/>
          <w:szCs w:val="22"/>
        </w:rPr>
        <w:t>potrebbe decidere di interrompere la terapia.</w:t>
      </w:r>
      <w:r w:rsidRPr="00295E71" w:rsidR="003D1508">
        <w:rPr>
          <w:sz w:val="22"/>
          <w:szCs w:val="22"/>
        </w:rPr>
        <w:t xml:space="preserve"> Nel caso in cui abbia febbre persistente, lividi o facilità di </w:t>
      </w:r>
      <w:r w:rsidRPr="00295E71" w:rsidR="002E3E62">
        <w:rPr>
          <w:sz w:val="22"/>
          <w:szCs w:val="22"/>
        </w:rPr>
        <w:t xml:space="preserve">sanguinamento </w:t>
      </w:r>
      <w:r w:rsidRPr="00295E71" w:rsidR="003D1508">
        <w:rPr>
          <w:sz w:val="22"/>
          <w:szCs w:val="22"/>
        </w:rPr>
        <w:t>o pallore, si rivolga immediatamente al medico.</w:t>
      </w:r>
      <w:r w:rsidRPr="00295E71">
        <w:rPr>
          <w:sz w:val="22"/>
          <w:szCs w:val="22"/>
        </w:rPr>
        <w:br/>
      </w:r>
    </w:p>
    <w:p w:rsidR="006224C2" w:rsidRPr="00295E71" w14:paraId="7038BB84" w14:textId="77777777">
      <w:pPr>
        <w:rPr>
          <w:sz w:val="22"/>
          <w:szCs w:val="22"/>
        </w:rPr>
      </w:pPr>
      <w:r w:rsidRPr="00295E71">
        <w:rPr>
          <w:sz w:val="22"/>
          <w:szCs w:val="22"/>
          <w:u w:val="single"/>
        </w:rPr>
        <w:t>Tumori</w:t>
      </w:r>
    </w:p>
    <w:p w:rsidR="006224C2" w:rsidRPr="00295E71" w14:paraId="4B7EB488" w14:textId="77777777">
      <w:pPr>
        <w:pStyle w:val="ListParagraph"/>
        <w:ind w:left="539"/>
        <w:rPr>
          <w:sz w:val="22"/>
          <w:szCs w:val="22"/>
        </w:rPr>
      </w:pPr>
    </w:p>
    <w:p w:rsidR="006224C2" w:rsidRPr="00295E71" w14:paraId="56E0AFBA" w14:textId="77777777">
      <w:pPr>
        <w:numPr>
          <w:ilvl w:val="0"/>
          <w:numId w:val="5"/>
        </w:numPr>
        <w:tabs>
          <w:tab w:val="clear" w:pos="360"/>
          <w:tab w:val="left" w:pos="540"/>
        </w:tabs>
        <w:ind w:left="540" w:hanging="540"/>
        <w:jc w:val="both"/>
        <w:rPr>
          <w:sz w:val="22"/>
          <w:szCs w:val="22"/>
        </w:rPr>
      </w:pPr>
      <w:r w:rsidRPr="00295E71">
        <w:rPr>
          <w:sz w:val="22"/>
          <w:szCs w:val="22"/>
        </w:rPr>
        <w:t xml:space="preserve">Nei pazienti, bambini e adulti, sottoposti a trattamento con Humira o con altri farmaci anti-TNF, si sono manifestati molto raramente alcuni tipi di tumori. </w:t>
      </w:r>
    </w:p>
    <w:p w:rsidR="006224C2" w:rsidRPr="00295E71" w14:paraId="04C2691C" w14:textId="77777777">
      <w:pPr>
        <w:numPr>
          <w:ilvl w:val="1"/>
          <w:numId w:val="5"/>
        </w:numPr>
        <w:tabs>
          <w:tab w:val="left" w:pos="540"/>
        </w:tabs>
        <w:jc w:val="both"/>
        <w:rPr>
          <w:sz w:val="22"/>
          <w:szCs w:val="22"/>
        </w:rPr>
      </w:pPr>
      <w:r w:rsidRPr="00295E71">
        <w:rPr>
          <w:sz w:val="22"/>
          <w:szCs w:val="22"/>
        </w:rPr>
        <w:t xml:space="preserve">I pazienti </w:t>
      </w:r>
      <w:r w:rsidRPr="00295E71" w:rsidR="00224E13">
        <w:rPr>
          <w:sz w:val="22"/>
          <w:szCs w:val="22"/>
        </w:rPr>
        <w:t>con</w:t>
      </w:r>
      <w:r w:rsidRPr="00295E71">
        <w:rPr>
          <w:sz w:val="22"/>
          <w:szCs w:val="22"/>
        </w:rPr>
        <w:t xml:space="preserve"> artrite reumatoide di grave entità da molto tempo possono presentare un rischio superiore alla media di sviluppare un linfoma (un tumore che colpisce il sistema linfatico) e leucemia (un tumore che colpisce il sangue e il midollo osseo). </w:t>
      </w:r>
    </w:p>
    <w:p w:rsidR="006224C2" w:rsidRPr="00295E71" w14:paraId="31471849" w14:textId="77777777">
      <w:pPr>
        <w:numPr>
          <w:ilvl w:val="1"/>
          <w:numId w:val="5"/>
        </w:numPr>
        <w:tabs>
          <w:tab w:val="left" w:pos="540"/>
        </w:tabs>
        <w:jc w:val="both"/>
        <w:rPr>
          <w:sz w:val="22"/>
          <w:szCs w:val="22"/>
        </w:rPr>
      </w:pPr>
      <w:r w:rsidRPr="00295E71">
        <w:rPr>
          <w:sz w:val="22"/>
          <w:szCs w:val="22"/>
        </w:rPr>
        <w:t xml:space="preserve">Se lei assume Humira, il rischio di contrarre linfomi, leucemia o altri tumori può aumentare. In rare circostanze, nei pazienti sottoposti a terapia con Humira, è stato osservato un tipo non comune e grave di linfoma. Alcuni di questi pazienti erano anche in terapia con azatioprina o 6-mercaptopurina. </w:t>
      </w:r>
    </w:p>
    <w:p w:rsidR="006224C2" w:rsidRPr="00295E71" w14:paraId="0F7B7C71" w14:textId="77777777">
      <w:pPr>
        <w:numPr>
          <w:ilvl w:val="1"/>
          <w:numId w:val="5"/>
        </w:numPr>
        <w:tabs>
          <w:tab w:val="left" w:pos="540"/>
        </w:tabs>
        <w:jc w:val="both"/>
        <w:rPr>
          <w:sz w:val="22"/>
          <w:szCs w:val="22"/>
        </w:rPr>
      </w:pPr>
      <w:r w:rsidRPr="00295E71">
        <w:rPr>
          <w:sz w:val="22"/>
          <w:szCs w:val="22"/>
        </w:rPr>
        <w:t>Avvisi il medico se sta assumendo azatioprina o 6-mercaptopurina con Humira.</w:t>
      </w:r>
    </w:p>
    <w:p w:rsidR="006224C2" w:rsidRPr="00295E71" w14:paraId="0F61BF50" w14:textId="77777777">
      <w:pPr>
        <w:numPr>
          <w:ilvl w:val="1"/>
          <w:numId w:val="5"/>
        </w:numPr>
        <w:tabs>
          <w:tab w:val="left" w:pos="540"/>
        </w:tabs>
        <w:jc w:val="both"/>
        <w:rPr>
          <w:sz w:val="22"/>
          <w:szCs w:val="22"/>
        </w:rPr>
      </w:pPr>
      <w:r w:rsidRPr="00295E71">
        <w:rPr>
          <w:sz w:val="22"/>
          <w:szCs w:val="22"/>
        </w:rPr>
        <w:t xml:space="preserve">Nei pazienti che assumono Humira, sono stati osservati casi di carcinoma cutaneo non melanocitico. </w:t>
      </w:r>
    </w:p>
    <w:p w:rsidR="006224C2" w:rsidRPr="00295E71" w14:paraId="33F525BF" w14:textId="77777777">
      <w:pPr>
        <w:numPr>
          <w:ilvl w:val="1"/>
          <w:numId w:val="5"/>
        </w:numPr>
        <w:tabs>
          <w:tab w:val="left" w:pos="540"/>
        </w:tabs>
        <w:jc w:val="both"/>
        <w:rPr>
          <w:sz w:val="22"/>
          <w:szCs w:val="22"/>
        </w:rPr>
      </w:pPr>
      <w:r w:rsidRPr="00295E71">
        <w:rPr>
          <w:sz w:val="22"/>
          <w:szCs w:val="22"/>
        </w:rPr>
        <w:t>Se dovessero comparire nuove lesioni cutanee nel corso della terapia o successivamente ad essa o se l’aspetto delle lesioni già esistenti si dovesse modificare, lo riferisca al medico.</w:t>
      </w:r>
    </w:p>
    <w:p w:rsidR="006224C2" w:rsidRPr="00295E71" w14:paraId="5EB5E760" w14:textId="77777777">
      <w:pPr>
        <w:tabs>
          <w:tab w:val="left" w:pos="567"/>
        </w:tabs>
        <w:jc w:val="both"/>
        <w:rPr>
          <w:sz w:val="22"/>
          <w:szCs w:val="22"/>
        </w:rPr>
      </w:pPr>
    </w:p>
    <w:p w:rsidR="006224C2" w:rsidRPr="00295E71" w14:paraId="037A49A9" w14:textId="77777777">
      <w:pPr>
        <w:numPr>
          <w:ilvl w:val="0"/>
          <w:numId w:val="5"/>
        </w:numPr>
        <w:tabs>
          <w:tab w:val="clear" w:pos="360"/>
          <w:tab w:val="left" w:pos="540"/>
        </w:tabs>
        <w:ind w:left="540" w:hanging="540"/>
        <w:jc w:val="both"/>
        <w:rPr>
          <w:sz w:val="22"/>
          <w:szCs w:val="22"/>
        </w:rPr>
      </w:pPr>
      <w:r w:rsidRPr="00295E71">
        <w:rPr>
          <w:sz w:val="22"/>
          <w:szCs w:val="22"/>
        </w:rPr>
        <w:t>Ci sono stati casi di neoplasie, oltre al linfoma, in pazienti con uno specifico tipo di malattia del polmone chiamata Malattia Polmonare Cronica Ostruttiva (COPD) trattati con un altro anti-TNF. Se soffre di COPD, o fuma molto, deve discutere con il medico se è appropriato il trattamento con un anti-TNF.</w:t>
      </w:r>
    </w:p>
    <w:p w:rsidR="006224C2" w:rsidRPr="00295E71" w14:paraId="05688E92" w14:textId="77777777">
      <w:pPr>
        <w:tabs>
          <w:tab w:val="left" w:pos="540"/>
        </w:tabs>
        <w:jc w:val="both"/>
        <w:rPr>
          <w:sz w:val="22"/>
          <w:szCs w:val="22"/>
        </w:rPr>
      </w:pPr>
    </w:p>
    <w:p w:rsidR="00522CBB" w:rsidRPr="00295E71" w:rsidP="00522CBB" w14:paraId="17323708" w14:textId="77777777">
      <w:pPr>
        <w:tabs>
          <w:tab w:val="left" w:pos="540"/>
        </w:tabs>
        <w:jc w:val="both"/>
        <w:rPr>
          <w:sz w:val="22"/>
          <w:szCs w:val="22"/>
        </w:rPr>
      </w:pPr>
      <w:r w:rsidRPr="00295E71">
        <w:rPr>
          <w:sz w:val="22"/>
          <w:szCs w:val="22"/>
        </w:rPr>
        <w:t>Malattia autoimmune</w:t>
      </w:r>
    </w:p>
    <w:p w:rsidR="00522CBB" w:rsidRPr="00295E71" w:rsidP="00522CBB" w14:paraId="7C75E606" w14:textId="77777777">
      <w:pPr>
        <w:tabs>
          <w:tab w:val="left" w:pos="540"/>
        </w:tabs>
        <w:jc w:val="both"/>
        <w:rPr>
          <w:sz w:val="22"/>
          <w:szCs w:val="22"/>
        </w:rPr>
      </w:pPr>
    </w:p>
    <w:p w:rsidR="00522CBB" w:rsidRPr="00295E71" w:rsidP="00522CBB" w14:paraId="52067641" w14:textId="77777777">
      <w:pPr>
        <w:pStyle w:val="ListParagraph"/>
        <w:numPr>
          <w:ilvl w:val="0"/>
          <w:numId w:val="136"/>
        </w:numPr>
        <w:jc w:val="both"/>
        <w:rPr>
          <w:sz w:val="22"/>
          <w:szCs w:val="22"/>
        </w:rPr>
      </w:pPr>
      <w:r w:rsidRPr="00295E71">
        <w:rPr>
          <w:sz w:val="22"/>
          <w:szCs w:val="22"/>
        </w:rPr>
        <w:t>Raramente, il trattamento con Humira può portare alla manifestazione di una sindrome come il lupus. Informi il medico qualora si manifestino sintomi come eruzione cutanea persistente di natura inspiegabile, febbre, dolore alle articolazioni o affaticamento.</w:t>
      </w:r>
    </w:p>
    <w:p w:rsidR="00522CBB" w:rsidRPr="00295E71" w:rsidP="00522CBB" w14:paraId="5CF3820A" w14:textId="77777777">
      <w:pPr>
        <w:jc w:val="both"/>
        <w:rPr>
          <w:b/>
          <w:sz w:val="22"/>
          <w:szCs w:val="22"/>
          <w:lang w:eastAsia="en-US"/>
        </w:rPr>
      </w:pPr>
    </w:p>
    <w:p w:rsidR="006224C2" w:rsidRPr="00295E71" w:rsidP="00522CBB" w14:paraId="04D09F17" w14:textId="77777777">
      <w:pPr>
        <w:jc w:val="both"/>
        <w:rPr>
          <w:b/>
          <w:sz w:val="22"/>
          <w:szCs w:val="22"/>
          <w:lang w:eastAsia="en-US"/>
        </w:rPr>
      </w:pPr>
      <w:r w:rsidRPr="00295E71">
        <w:rPr>
          <w:b/>
          <w:sz w:val="22"/>
          <w:szCs w:val="22"/>
          <w:lang w:eastAsia="en-US"/>
        </w:rPr>
        <w:t>Bambini e adolescenti</w:t>
      </w:r>
    </w:p>
    <w:p w:rsidR="006224C2" w:rsidRPr="00295E71" w14:paraId="5273E695" w14:textId="77777777">
      <w:pPr>
        <w:jc w:val="both"/>
        <w:rPr>
          <w:sz w:val="22"/>
          <w:szCs w:val="22"/>
          <w:lang w:eastAsia="en-US"/>
        </w:rPr>
      </w:pPr>
    </w:p>
    <w:p w:rsidR="006224C2" w:rsidRPr="00295E71" w14:paraId="4361C8EE" w14:textId="77777777">
      <w:pPr>
        <w:numPr>
          <w:ilvl w:val="0"/>
          <w:numId w:val="49"/>
        </w:numPr>
        <w:tabs>
          <w:tab w:val="num" w:pos="540"/>
          <w:tab w:val="clear" w:pos="720"/>
        </w:tabs>
        <w:ind w:left="540" w:hanging="540"/>
        <w:jc w:val="both"/>
        <w:rPr>
          <w:sz w:val="22"/>
          <w:szCs w:val="22"/>
          <w:lang w:eastAsia="en-US"/>
        </w:rPr>
      </w:pPr>
      <w:r w:rsidRPr="00295E71">
        <w:rPr>
          <w:sz w:val="22"/>
          <w:szCs w:val="22"/>
          <w:lang w:eastAsia="en-US"/>
        </w:rPr>
        <w:t>Vaccinazioni: se possibile, i bambini devono aver già fatto tutte le vaccinazioni prima di usare Humira.</w:t>
      </w:r>
    </w:p>
    <w:p w:rsidR="006224C2" w:rsidRPr="00295E71" w14:paraId="19663465" w14:textId="77777777">
      <w:pPr>
        <w:pStyle w:val="EndnoteText"/>
        <w:jc w:val="both"/>
        <w:rPr>
          <w:lang w:val="it-IT"/>
        </w:rPr>
      </w:pPr>
    </w:p>
    <w:p w:rsidR="006224C2" w:rsidRPr="00295E71" w14:paraId="00F4C9AE" w14:textId="77777777">
      <w:pPr>
        <w:pStyle w:val="Heading9"/>
        <w:keepNext w:val="0"/>
        <w:jc w:val="both"/>
        <w:rPr>
          <w:sz w:val="22"/>
          <w:szCs w:val="22"/>
          <w:lang w:val="it-IT" w:eastAsia="en-US"/>
        </w:rPr>
      </w:pPr>
      <w:r w:rsidRPr="00295E71">
        <w:rPr>
          <w:sz w:val="22"/>
          <w:szCs w:val="22"/>
          <w:lang w:val="it-IT" w:eastAsia="en-US"/>
        </w:rPr>
        <w:t>Altri medicinali e Humira</w:t>
      </w:r>
    </w:p>
    <w:p w:rsidR="006224C2" w:rsidRPr="00295E71" w14:paraId="49E9DA86" w14:textId="77777777">
      <w:pPr>
        <w:jc w:val="both"/>
        <w:rPr>
          <w:sz w:val="22"/>
          <w:szCs w:val="22"/>
          <w:lang w:eastAsia="en-US"/>
        </w:rPr>
      </w:pPr>
    </w:p>
    <w:p w:rsidR="006224C2" w:rsidRPr="00295E71" w14:paraId="2B711701" w14:textId="77777777">
      <w:pPr>
        <w:jc w:val="both"/>
        <w:rPr>
          <w:sz w:val="22"/>
          <w:szCs w:val="22"/>
          <w:lang w:eastAsia="en-US"/>
        </w:rPr>
      </w:pPr>
      <w:r w:rsidRPr="00295E71">
        <w:rPr>
          <w:sz w:val="22"/>
          <w:szCs w:val="22"/>
        </w:rPr>
        <w:t>Informi il medico o il farmacista se sta assumendo, ha recentemente assunto o potrebbe assumere qualsiasi altro medicinale.</w:t>
      </w:r>
    </w:p>
    <w:p w:rsidR="006224C2" w:rsidRPr="00295E71" w14:paraId="2C8C5BE1" w14:textId="77777777">
      <w:pPr>
        <w:jc w:val="both"/>
        <w:rPr>
          <w:sz w:val="22"/>
          <w:szCs w:val="22"/>
        </w:rPr>
      </w:pPr>
    </w:p>
    <w:p w:rsidR="006224C2" w:rsidRPr="00295E71" w:rsidP="00F048D7" w14:paraId="1FAD8A67" w14:textId="77777777">
      <w:pPr>
        <w:keepNext/>
        <w:keepLines/>
        <w:rPr>
          <w:sz w:val="22"/>
          <w:szCs w:val="22"/>
        </w:rPr>
      </w:pPr>
      <w:r w:rsidRPr="00295E71">
        <w:rPr>
          <w:sz w:val="22"/>
          <w:szCs w:val="22"/>
        </w:rPr>
        <w:t>Non usi Humira con medicinali che contengono i seguenti principi attivi</w:t>
      </w:r>
      <w:r w:rsidRPr="00295E71" w:rsidR="00434CDC">
        <w:rPr>
          <w:sz w:val="22"/>
          <w:szCs w:val="22"/>
        </w:rPr>
        <w:t xml:space="preserve"> a causa del rischio aumentato di avere infezioni gravi</w:t>
      </w:r>
      <w:r w:rsidRPr="00295E71">
        <w:rPr>
          <w:sz w:val="22"/>
          <w:szCs w:val="22"/>
        </w:rPr>
        <w:t>:</w:t>
      </w:r>
    </w:p>
    <w:p w:rsidR="006224C2" w:rsidRPr="00295E71" w:rsidP="00F048D7" w14:paraId="5FA345B7" w14:textId="77777777">
      <w:pPr>
        <w:pStyle w:val="ListParagraph"/>
        <w:keepNext/>
        <w:keepLines/>
        <w:numPr>
          <w:ilvl w:val="0"/>
          <w:numId w:val="49"/>
        </w:numPr>
        <w:rPr>
          <w:sz w:val="22"/>
          <w:szCs w:val="22"/>
        </w:rPr>
      </w:pPr>
      <w:r w:rsidRPr="00295E71">
        <w:rPr>
          <w:sz w:val="22"/>
          <w:szCs w:val="22"/>
        </w:rPr>
        <w:t>anakinra</w:t>
      </w:r>
    </w:p>
    <w:p w:rsidR="006224C2" w:rsidRPr="00295E71" w:rsidP="00F048D7" w14:paraId="15B67572" w14:textId="77777777">
      <w:pPr>
        <w:pStyle w:val="ListParagraph"/>
        <w:keepNext/>
        <w:keepLines/>
        <w:numPr>
          <w:ilvl w:val="0"/>
          <w:numId w:val="49"/>
        </w:numPr>
        <w:rPr>
          <w:sz w:val="22"/>
          <w:szCs w:val="22"/>
        </w:rPr>
      </w:pPr>
      <w:r w:rsidRPr="00295E71">
        <w:rPr>
          <w:sz w:val="22"/>
          <w:szCs w:val="22"/>
        </w:rPr>
        <w:t>abatacept</w:t>
      </w:r>
    </w:p>
    <w:p w:rsidR="006224C2" w:rsidRPr="00295E71" w14:paraId="13C4427A" w14:textId="77777777">
      <w:pPr>
        <w:jc w:val="both"/>
        <w:rPr>
          <w:sz w:val="22"/>
          <w:szCs w:val="22"/>
        </w:rPr>
      </w:pPr>
    </w:p>
    <w:p w:rsidR="006224C2" w:rsidRPr="00295E71" w14:paraId="6B36EE4D" w14:textId="77777777">
      <w:pPr>
        <w:jc w:val="both"/>
        <w:rPr>
          <w:sz w:val="22"/>
          <w:szCs w:val="22"/>
        </w:rPr>
      </w:pPr>
      <w:r w:rsidRPr="00295E71">
        <w:rPr>
          <w:sz w:val="22"/>
          <w:szCs w:val="22"/>
        </w:rPr>
        <w:t>Humira può essere assunto con:</w:t>
      </w:r>
    </w:p>
    <w:p w:rsidR="006224C2" w:rsidRPr="00295E71" w14:paraId="3560F1B7" w14:textId="77777777">
      <w:pPr>
        <w:pStyle w:val="ListParagraph"/>
        <w:numPr>
          <w:ilvl w:val="0"/>
          <w:numId w:val="98"/>
        </w:numPr>
        <w:jc w:val="both"/>
        <w:rPr>
          <w:sz w:val="22"/>
          <w:szCs w:val="22"/>
        </w:rPr>
      </w:pPr>
      <w:r w:rsidRPr="00295E71">
        <w:rPr>
          <w:sz w:val="22"/>
          <w:szCs w:val="22"/>
        </w:rPr>
        <w:t>metotressato</w:t>
      </w:r>
    </w:p>
    <w:p w:rsidR="006224C2" w:rsidRPr="00295E71" w14:paraId="6325C921" w14:textId="77777777">
      <w:pPr>
        <w:pStyle w:val="ListParagraph"/>
        <w:numPr>
          <w:ilvl w:val="0"/>
          <w:numId w:val="98"/>
        </w:numPr>
        <w:jc w:val="both"/>
        <w:rPr>
          <w:sz w:val="22"/>
          <w:szCs w:val="22"/>
        </w:rPr>
      </w:pPr>
      <w:r w:rsidRPr="00295E71">
        <w:rPr>
          <w:sz w:val="22"/>
          <w:szCs w:val="22"/>
        </w:rPr>
        <w:t>altri farmaci antireumatici modificanti la malattia (ad esempio sulfasalazina, idrossiclorochina, leflunomide e sali d’oro per via parenterale)</w:t>
      </w:r>
    </w:p>
    <w:p w:rsidR="006224C2" w:rsidRPr="00295E71" w14:paraId="3BA1D40D" w14:textId="77777777">
      <w:pPr>
        <w:pStyle w:val="ListParagraph"/>
        <w:numPr>
          <w:ilvl w:val="0"/>
          <w:numId w:val="98"/>
        </w:numPr>
        <w:jc w:val="both"/>
        <w:rPr>
          <w:sz w:val="22"/>
          <w:szCs w:val="22"/>
        </w:rPr>
      </w:pPr>
      <w:r w:rsidRPr="00295E71">
        <w:rPr>
          <w:sz w:val="22"/>
          <w:szCs w:val="22"/>
        </w:rPr>
        <w:t>steroidi o analgesici, compresi i farmaci anti-infiammatori non steroidei (FANS).</w:t>
      </w:r>
    </w:p>
    <w:p w:rsidR="006224C2" w:rsidRPr="00295E71" w14:paraId="4A50C120" w14:textId="77777777">
      <w:pPr>
        <w:jc w:val="both"/>
        <w:rPr>
          <w:sz w:val="22"/>
          <w:szCs w:val="22"/>
        </w:rPr>
      </w:pPr>
    </w:p>
    <w:p w:rsidR="006224C2" w:rsidRPr="00295E71" w14:paraId="170DD0A1" w14:textId="77777777">
      <w:pPr>
        <w:numPr>
          <w:ilvl w:val="12"/>
          <w:numId w:val="0"/>
        </w:numPr>
        <w:tabs>
          <w:tab w:val="left" w:pos="567"/>
        </w:tabs>
        <w:ind w:right="-2"/>
        <w:jc w:val="both"/>
        <w:rPr>
          <w:sz w:val="22"/>
          <w:szCs w:val="22"/>
        </w:rPr>
      </w:pPr>
      <w:r w:rsidRPr="00295E71">
        <w:rPr>
          <w:sz w:val="22"/>
          <w:szCs w:val="22"/>
        </w:rPr>
        <w:t>Se ha dubbi, si rivolga al medico.</w:t>
      </w:r>
    </w:p>
    <w:p w:rsidR="006224C2" w:rsidRPr="00295E71" w14:paraId="08096877" w14:textId="77777777">
      <w:pPr>
        <w:jc w:val="both"/>
        <w:rPr>
          <w:sz w:val="22"/>
          <w:szCs w:val="22"/>
        </w:rPr>
      </w:pPr>
    </w:p>
    <w:p w:rsidR="006224C2" w:rsidRPr="00295E71" w14:paraId="6BF944A4" w14:textId="77777777">
      <w:pPr>
        <w:pStyle w:val="Heading9"/>
        <w:keepNext w:val="0"/>
        <w:tabs>
          <w:tab w:val="left" w:pos="567"/>
        </w:tabs>
        <w:jc w:val="both"/>
        <w:rPr>
          <w:sz w:val="22"/>
          <w:szCs w:val="22"/>
          <w:lang w:val="it-IT" w:eastAsia="en-US"/>
        </w:rPr>
      </w:pPr>
      <w:r w:rsidRPr="00295E71">
        <w:rPr>
          <w:sz w:val="22"/>
          <w:szCs w:val="22"/>
          <w:lang w:val="it-IT" w:eastAsia="en-US"/>
        </w:rPr>
        <w:t>Gravidanza e allattamento</w:t>
      </w:r>
    </w:p>
    <w:p w:rsidR="008103C4" w:rsidP="007E6E3E" w14:paraId="54CB363F" w14:textId="77777777">
      <w:pPr>
        <w:pStyle w:val="ListParagraph"/>
        <w:tabs>
          <w:tab w:val="left" w:pos="567"/>
        </w:tabs>
        <w:ind w:left="426" w:right="-2"/>
        <w:jc w:val="both"/>
        <w:rPr>
          <w:sz w:val="22"/>
          <w:szCs w:val="22"/>
        </w:rPr>
      </w:pPr>
    </w:p>
    <w:p w:rsidR="006224C2" w:rsidP="007E6E3E" w14:paraId="12ECF3AB" w14:textId="77777777">
      <w:pPr>
        <w:pStyle w:val="ListParagraph"/>
        <w:numPr>
          <w:ilvl w:val="0"/>
          <w:numId w:val="148"/>
        </w:numPr>
        <w:tabs>
          <w:tab w:val="left" w:pos="567"/>
        </w:tabs>
        <w:ind w:left="426" w:right="-2"/>
        <w:jc w:val="both"/>
        <w:rPr>
          <w:sz w:val="22"/>
          <w:szCs w:val="22"/>
        </w:rPr>
      </w:pPr>
      <w:r>
        <w:rPr>
          <w:sz w:val="22"/>
          <w:szCs w:val="22"/>
        </w:rPr>
        <w:t xml:space="preserve">Deve considerare l’utilizzo di </w:t>
      </w:r>
      <w:r w:rsidRPr="00EF5B6F" w:rsidR="00226BC4">
        <w:rPr>
          <w:sz w:val="22"/>
          <w:szCs w:val="22"/>
        </w:rPr>
        <w:t xml:space="preserve">un’adeguata misura contraccettiva </w:t>
      </w:r>
      <w:r>
        <w:rPr>
          <w:sz w:val="22"/>
          <w:szCs w:val="22"/>
        </w:rPr>
        <w:t>per prevenire una gravidanza</w:t>
      </w:r>
      <w:r w:rsidRPr="00EF5B6F" w:rsidR="00226BC4">
        <w:rPr>
          <w:sz w:val="22"/>
          <w:szCs w:val="22"/>
        </w:rPr>
        <w:t xml:space="preserve"> e </w:t>
      </w:r>
      <w:r>
        <w:rPr>
          <w:sz w:val="22"/>
          <w:szCs w:val="22"/>
        </w:rPr>
        <w:t xml:space="preserve">continuarne l’utilizzo </w:t>
      </w:r>
      <w:r w:rsidRPr="00EF5B6F" w:rsidR="00226BC4">
        <w:rPr>
          <w:sz w:val="22"/>
          <w:szCs w:val="22"/>
        </w:rPr>
        <w:t xml:space="preserve">per almeno 5 mesi dopo l’ultima </w:t>
      </w:r>
      <w:r w:rsidRPr="005452FE" w:rsidR="008103C4">
        <w:rPr>
          <w:sz w:val="22"/>
          <w:szCs w:val="22"/>
        </w:rPr>
        <w:t xml:space="preserve">terapia con </w:t>
      </w:r>
      <w:r>
        <w:rPr>
          <w:sz w:val="22"/>
          <w:szCs w:val="22"/>
        </w:rPr>
        <w:t>Humira.</w:t>
      </w:r>
    </w:p>
    <w:p w:rsidR="008103C4" w:rsidRPr="008103C4" w:rsidP="008103C4" w14:paraId="274CA65D" w14:textId="77777777">
      <w:pPr>
        <w:pStyle w:val="ListParagraph"/>
        <w:numPr>
          <w:ilvl w:val="0"/>
          <w:numId w:val="148"/>
        </w:numPr>
        <w:tabs>
          <w:tab w:val="left" w:pos="567"/>
        </w:tabs>
        <w:ind w:left="426" w:right="-2"/>
        <w:jc w:val="both"/>
        <w:rPr>
          <w:sz w:val="22"/>
          <w:szCs w:val="22"/>
        </w:rPr>
      </w:pPr>
      <w:r w:rsidRPr="008103C4">
        <w:rPr>
          <w:sz w:val="22"/>
          <w:szCs w:val="22"/>
        </w:rPr>
        <w:t xml:space="preserve">Se è in corso una gravidanza, se sospetta o sta pianificando una gravidanza chieda consiglio al suo medico </w:t>
      </w:r>
      <w:r w:rsidR="00E36447">
        <w:rPr>
          <w:sz w:val="22"/>
          <w:szCs w:val="22"/>
        </w:rPr>
        <w:t>circa l’assunzione di</w:t>
      </w:r>
      <w:r w:rsidRPr="008103C4">
        <w:rPr>
          <w:sz w:val="22"/>
          <w:szCs w:val="22"/>
        </w:rPr>
        <w:t xml:space="preserve"> questo medicinale.</w:t>
      </w:r>
    </w:p>
    <w:p w:rsidR="008103C4" w:rsidRPr="008103C4" w:rsidP="008103C4" w14:paraId="4296FCF3" w14:textId="77777777">
      <w:pPr>
        <w:pStyle w:val="ListParagraph"/>
        <w:numPr>
          <w:ilvl w:val="0"/>
          <w:numId w:val="148"/>
        </w:numPr>
        <w:tabs>
          <w:tab w:val="left" w:pos="567"/>
        </w:tabs>
        <w:ind w:left="426" w:right="-2"/>
        <w:jc w:val="both"/>
        <w:rPr>
          <w:sz w:val="22"/>
          <w:szCs w:val="22"/>
        </w:rPr>
      </w:pPr>
      <w:r w:rsidRPr="008103C4">
        <w:rPr>
          <w:sz w:val="22"/>
          <w:szCs w:val="22"/>
        </w:rPr>
        <w:t>Humira deve essere usato durante la gravidanza solo se necessario.</w:t>
      </w:r>
    </w:p>
    <w:p w:rsidR="008103C4" w:rsidRPr="008103C4" w:rsidP="008103C4" w14:paraId="3572D4D6" w14:textId="77777777">
      <w:pPr>
        <w:pStyle w:val="ListParagraph"/>
        <w:numPr>
          <w:ilvl w:val="0"/>
          <w:numId w:val="148"/>
        </w:numPr>
        <w:tabs>
          <w:tab w:val="left" w:pos="567"/>
        </w:tabs>
        <w:ind w:left="426" w:right="-2"/>
        <w:jc w:val="both"/>
        <w:rPr>
          <w:sz w:val="22"/>
          <w:szCs w:val="22"/>
        </w:rPr>
      </w:pPr>
      <w:r w:rsidRPr="008103C4">
        <w:rPr>
          <w:sz w:val="22"/>
          <w:szCs w:val="22"/>
        </w:rPr>
        <w:t xml:space="preserve">Secondo uno studio sulla gravidanza, non è stato riscontrato un rischio maggiore di difetti alla nascita </w:t>
      </w:r>
      <w:r w:rsidR="00E36447">
        <w:rPr>
          <w:sz w:val="22"/>
          <w:szCs w:val="22"/>
        </w:rPr>
        <w:t>quando la madre aveva ricevuto Humira durante la gravidanza,</w:t>
      </w:r>
      <w:r w:rsidRPr="00FC5B3E" w:rsidR="00E36447">
        <w:rPr>
          <w:sz w:val="22"/>
          <w:szCs w:val="22"/>
        </w:rPr>
        <w:t xml:space="preserve"> </w:t>
      </w:r>
      <w:r w:rsidRPr="008103C4">
        <w:rPr>
          <w:sz w:val="22"/>
          <w:szCs w:val="22"/>
        </w:rPr>
        <w:t>rispetto a madri che avevano la stessa patologia ma che non avevano ricevuto Humira.</w:t>
      </w:r>
    </w:p>
    <w:p w:rsidR="008103C4" w:rsidRPr="008103C4" w:rsidP="008103C4" w14:paraId="115BF86D" w14:textId="77777777">
      <w:pPr>
        <w:pStyle w:val="ListParagraph"/>
        <w:numPr>
          <w:ilvl w:val="0"/>
          <w:numId w:val="148"/>
        </w:numPr>
        <w:tabs>
          <w:tab w:val="left" w:pos="567"/>
        </w:tabs>
        <w:ind w:left="426" w:right="-2"/>
        <w:jc w:val="both"/>
        <w:rPr>
          <w:sz w:val="22"/>
          <w:szCs w:val="22"/>
        </w:rPr>
      </w:pPr>
      <w:r w:rsidRPr="008103C4">
        <w:rPr>
          <w:sz w:val="22"/>
          <w:szCs w:val="22"/>
        </w:rPr>
        <w:t>Humira può essere usato durante l’allattamento con latte materno.</w:t>
      </w:r>
    </w:p>
    <w:p w:rsidR="008103C4" w:rsidP="007E6E3E" w14:paraId="1056298B" w14:textId="77777777">
      <w:pPr>
        <w:pStyle w:val="ListParagraph"/>
        <w:numPr>
          <w:ilvl w:val="0"/>
          <w:numId w:val="148"/>
        </w:numPr>
        <w:tabs>
          <w:tab w:val="left" w:pos="567"/>
        </w:tabs>
        <w:ind w:left="426" w:right="-2"/>
        <w:jc w:val="both"/>
        <w:rPr>
          <w:sz w:val="22"/>
          <w:szCs w:val="22"/>
        </w:rPr>
      </w:pPr>
      <w:r w:rsidRPr="00295E71">
        <w:rPr>
          <w:sz w:val="22"/>
          <w:szCs w:val="22"/>
        </w:rPr>
        <w:t>Se assu</w:t>
      </w:r>
      <w:r w:rsidR="00D54866">
        <w:rPr>
          <w:sz w:val="22"/>
          <w:szCs w:val="22"/>
        </w:rPr>
        <w:t>me</w:t>
      </w:r>
      <w:r w:rsidRPr="00295E71">
        <w:rPr>
          <w:sz w:val="22"/>
          <w:szCs w:val="22"/>
        </w:rPr>
        <w:t xml:space="preserve"> Humira durante la gravidanza, il bambino potrebbe avere un maggior rischio di contrarre un’infezione. </w:t>
      </w:r>
    </w:p>
    <w:p w:rsidR="006224C2" w:rsidRPr="00295E71" w:rsidP="007E6E3E" w14:paraId="548478F6" w14:textId="77777777">
      <w:pPr>
        <w:pStyle w:val="ListParagraph"/>
        <w:numPr>
          <w:ilvl w:val="0"/>
          <w:numId w:val="148"/>
        </w:numPr>
        <w:tabs>
          <w:tab w:val="left" w:pos="567"/>
        </w:tabs>
        <w:ind w:left="426" w:right="-2"/>
        <w:jc w:val="both"/>
        <w:rPr>
          <w:sz w:val="22"/>
          <w:szCs w:val="22"/>
        </w:rPr>
      </w:pPr>
      <w:r w:rsidRPr="00295E71">
        <w:rPr>
          <w:sz w:val="22"/>
          <w:szCs w:val="22"/>
        </w:rPr>
        <w:t xml:space="preserve">È importante che riferisca al pediatra o ad altro operatore sanitario del suo utilizzo di Humira durante la gravidanza prima che il bambino riceva qualsiasi tipo di vaccinazione.  Per ulteriori informazioni </w:t>
      </w:r>
      <w:r w:rsidR="00B6380B">
        <w:rPr>
          <w:sz w:val="22"/>
          <w:szCs w:val="22"/>
        </w:rPr>
        <w:t>sulle vaccinazioni</w:t>
      </w:r>
      <w:r w:rsidR="008103C4">
        <w:rPr>
          <w:sz w:val="22"/>
          <w:szCs w:val="22"/>
        </w:rPr>
        <w:t xml:space="preserve"> </w:t>
      </w:r>
      <w:r w:rsidRPr="00295E71" w:rsidR="008103C4">
        <w:rPr>
          <w:sz w:val="22"/>
          <w:szCs w:val="22"/>
        </w:rPr>
        <w:t xml:space="preserve">consulti la sezione </w:t>
      </w:r>
      <w:r w:rsidRPr="00383EC6" w:rsidR="008103C4">
        <w:rPr>
          <w:sz w:val="22"/>
          <w:szCs w:val="22"/>
        </w:rPr>
        <w:t>“Avvertenze e precauzioni</w:t>
      </w:r>
      <w:r w:rsidR="008103C4">
        <w:rPr>
          <w:sz w:val="22"/>
          <w:szCs w:val="22"/>
        </w:rPr>
        <w:t>”</w:t>
      </w:r>
      <w:r w:rsidRPr="00295E71">
        <w:rPr>
          <w:sz w:val="22"/>
          <w:szCs w:val="22"/>
        </w:rPr>
        <w:t>.</w:t>
      </w:r>
    </w:p>
    <w:p w:rsidR="006224C2" w:rsidRPr="00295E71" w14:paraId="7921496F" w14:textId="77777777">
      <w:pPr>
        <w:numPr>
          <w:ilvl w:val="12"/>
          <w:numId w:val="0"/>
        </w:numPr>
        <w:tabs>
          <w:tab w:val="left" w:pos="567"/>
        </w:tabs>
        <w:ind w:right="-2"/>
        <w:jc w:val="both"/>
        <w:rPr>
          <w:sz w:val="22"/>
          <w:szCs w:val="22"/>
        </w:rPr>
      </w:pPr>
    </w:p>
    <w:p w:rsidR="006224C2" w:rsidRPr="00295E71" w14:paraId="0D0B1FE3" w14:textId="77777777">
      <w:pPr>
        <w:pStyle w:val="Heading8"/>
        <w:keepNext w:val="0"/>
        <w:tabs>
          <w:tab w:val="left" w:pos="567"/>
        </w:tabs>
        <w:jc w:val="both"/>
      </w:pPr>
      <w:r w:rsidRPr="00295E71">
        <w:t>Guida di veicoli e utilizzo di macchinari</w:t>
      </w:r>
    </w:p>
    <w:p w:rsidR="006224C2" w:rsidRPr="00295E71" w14:paraId="7ED304FA" w14:textId="77777777">
      <w:pPr>
        <w:numPr>
          <w:ilvl w:val="12"/>
          <w:numId w:val="0"/>
        </w:numPr>
        <w:tabs>
          <w:tab w:val="left" w:pos="567"/>
        </w:tabs>
        <w:ind w:right="-2"/>
        <w:jc w:val="both"/>
        <w:rPr>
          <w:sz w:val="22"/>
          <w:szCs w:val="22"/>
        </w:rPr>
      </w:pPr>
    </w:p>
    <w:p w:rsidR="006224C2" w:rsidRPr="00295E71" w14:paraId="0072EFE6" w14:textId="77777777">
      <w:pPr>
        <w:numPr>
          <w:ilvl w:val="12"/>
          <w:numId w:val="0"/>
        </w:numPr>
        <w:tabs>
          <w:tab w:val="left" w:pos="567"/>
        </w:tabs>
        <w:ind w:right="-2"/>
        <w:jc w:val="both"/>
        <w:rPr>
          <w:sz w:val="22"/>
          <w:szCs w:val="22"/>
        </w:rPr>
      </w:pPr>
      <w:r w:rsidRPr="00295E71">
        <w:rPr>
          <w:sz w:val="22"/>
          <w:szCs w:val="22"/>
        </w:rPr>
        <w:t xml:space="preserve">Humira può avere un piccolo effetto marginale sulla sua capacità di guidare, andare in bicicletta o utilizzare macchinari. In seguito all’assunzione di Humira, si possono avere disturbi della vista e la sensazione che l’ambiente in cui ci si trova ruoti. </w:t>
      </w:r>
    </w:p>
    <w:p w:rsidR="00703B41" w:rsidP="00703B41" w14:paraId="5469EE72" w14:textId="77777777">
      <w:pPr>
        <w:pStyle w:val="BodyText2"/>
        <w:keepNext/>
        <w:jc w:val="both"/>
        <w:rPr>
          <w:ins w:id="19985" w:author="AbbVie14" w:date="2025-05-09T11:17:00Z"/>
          <w:b/>
          <w:bCs/>
        </w:rPr>
      </w:pPr>
    </w:p>
    <w:p w:rsidR="00703B41" w:rsidRPr="005835DB" w:rsidP="00703B41" w14:paraId="7EED657A" w14:textId="77777777">
      <w:pPr>
        <w:pStyle w:val="BodyText2"/>
        <w:keepNext/>
        <w:jc w:val="both"/>
        <w:rPr>
          <w:ins w:id="19986" w:author="AbbVie14" w:date="2025-05-09T11:17:00Z"/>
          <w:b/>
          <w:bCs/>
        </w:rPr>
      </w:pPr>
      <w:ins w:id="19987" w:author="AbbVie14" w:date="2025-05-09T11:17:00Z">
        <w:r w:rsidRPr="005835DB">
          <w:rPr>
            <w:b/>
            <w:bCs/>
          </w:rPr>
          <w:t>Humira contiene polisorbato</w:t>
        </w:r>
      </w:ins>
    </w:p>
    <w:p w:rsidR="00703B41" w:rsidP="00703B41" w14:paraId="745AEB5C" w14:textId="77777777">
      <w:pPr>
        <w:pStyle w:val="BodyText2"/>
        <w:keepNext/>
        <w:jc w:val="both"/>
        <w:rPr>
          <w:ins w:id="19988" w:author="AbbVie14" w:date="2025-05-09T11:17:00Z"/>
        </w:rPr>
      </w:pPr>
    </w:p>
    <w:p w:rsidR="00703B41" w:rsidRPr="00295E71" w:rsidP="00703B41" w14:paraId="5F0413F1" w14:textId="77777777">
      <w:pPr>
        <w:tabs>
          <w:tab w:val="left" w:pos="567"/>
        </w:tabs>
        <w:autoSpaceDE w:val="0"/>
        <w:autoSpaceDN w:val="0"/>
        <w:adjustRightInd w:val="0"/>
        <w:jc w:val="both"/>
        <w:rPr>
          <w:ins w:id="19989" w:author="AbbVie14" w:date="2025-05-09T11:17:00Z"/>
        </w:rPr>
      </w:pPr>
      <w:ins w:id="19990" w:author="AbbVie14" w:date="2025-05-09T11:17:00Z">
        <w:r w:rsidRPr="00BE2419">
          <w:rPr>
            <w:color w:val="000000"/>
            <w:sz w:val="22"/>
            <w:szCs w:val="22"/>
            <w:highlight w:val="none"/>
            <w:rPrChange w:id="19991" w:author="AbbVie14" w:date="2025-05-09T11:35:00Z">
              <w:rPr>
                <w:color w:val="000000"/>
                <w:sz w:val="22"/>
                <w:szCs w:val="22"/>
                <w:highlight w:val="yellow"/>
              </w:rPr>
            </w:rPrChange>
          </w:rPr>
          <w:t xml:space="preserve">Questo medicinale contiene 0,4 mg di polisorbato 80 per ogni dose </w:t>
        </w:r>
      </w:ins>
      <w:ins w:id="19992" w:author="AbbVie14" w:date="2025-05-09T11:35:00Z">
        <w:r w:rsidR="00BE2419">
          <w:rPr>
            <w:color w:val="000000"/>
            <w:sz w:val="22"/>
            <w:szCs w:val="22"/>
          </w:rPr>
          <w:t>d</w:t>
        </w:r>
      </w:ins>
      <w:ins w:id="19993" w:author="AbbVie14" w:date="2025-05-09T11:17:00Z">
        <w:r w:rsidRPr="00BE2419">
          <w:rPr>
            <w:color w:val="000000"/>
            <w:sz w:val="22"/>
            <w:szCs w:val="22"/>
            <w:highlight w:val="none"/>
            <w:rPrChange w:id="19994" w:author="AbbVie14" w:date="2025-05-09T11:35:00Z">
              <w:rPr>
                <w:color w:val="000000"/>
                <w:sz w:val="22"/>
                <w:szCs w:val="22"/>
                <w:highlight w:val="yellow"/>
              </w:rPr>
            </w:rPrChange>
          </w:rPr>
          <w:t xml:space="preserve">a </w:t>
        </w:r>
      </w:ins>
      <w:ins w:id="19995" w:author="AbbVie14" w:date="2025-05-09T11:18:00Z">
        <w:r w:rsidRPr="00BE2419">
          <w:rPr>
            <w:color w:val="000000"/>
            <w:sz w:val="22"/>
            <w:szCs w:val="22"/>
            <w:highlight w:val="none"/>
            <w:rPrChange w:id="19996" w:author="AbbVie14" w:date="2025-05-09T11:35:00Z">
              <w:rPr>
                <w:color w:val="000000"/>
                <w:sz w:val="22"/>
                <w:szCs w:val="22"/>
                <w:highlight w:val="yellow"/>
              </w:rPr>
            </w:rPrChange>
          </w:rPr>
          <w:t>4</w:t>
        </w:r>
      </w:ins>
      <w:ins w:id="19997" w:author="AbbVie14" w:date="2025-05-09T11:17:00Z">
        <w:r w:rsidRPr="00BE2419">
          <w:rPr>
            <w:color w:val="000000"/>
            <w:sz w:val="22"/>
            <w:szCs w:val="22"/>
            <w:highlight w:val="none"/>
            <w:rPrChange w:id="19998" w:author="AbbVie14" w:date="2025-05-09T11:35:00Z">
              <w:rPr>
                <w:color w:val="000000"/>
                <w:sz w:val="22"/>
                <w:szCs w:val="22"/>
                <w:highlight w:val="yellow"/>
              </w:rPr>
            </w:rPrChange>
          </w:rPr>
          <w:t>0 mg.</w:t>
        </w:r>
      </w:ins>
      <w:ins w:id="19999" w:author="AbbVie14" w:date="2025-05-09T11:17:00Z">
        <w:r w:rsidRPr="00BE2419">
          <w:rPr>
            <w:color w:val="000000"/>
            <w:sz w:val="22"/>
            <w:szCs w:val="22"/>
          </w:rPr>
          <w:t xml:space="preserve"> I polisorbat</w:t>
        </w:r>
      </w:ins>
      <w:ins w:id="20000" w:author="AbbVie14" w:date="2025-05-09T11:35:00Z">
        <w:r w:rsidR="00BE2419">
          <w:rPr>
            <w:color w:val="000000"/>
            <w:sz w:val="22"/>
            <w:szCs w:val="22"/>
          </w:rPr>
          <w:t>i possono provo</w:t>
        </w:r>
      </w:ins>
      <w:ins w:id="20001" w:author="AbbVie14" w:date="2025-05-09T11:36:00Z">
        <w:r w:rsidR="00BE2419">
          <w:rPr>
            <w:color w:val="000000"/>
            <w:sz w:val="22"/>
            <w:szCs w:val="22"/>
          </w:rPr>
          <w:t>care rea</w:t>
        </w:r>
      </w:ins>
      <w:ins w:id="20002" w:author="AbbVie14" w:date="2025-05-09T11:17:00Z">
        <w:r w:rsidRPr="00BE2419">
          <w:rPr>
            <w:color w:val="000000"/>
            <w:sz w:val="22"/>
            <w:szCs w:val="22"/>
          </w:rPr>
          <w:t>zioni allergiche. Informi il medico se ha allergie note.</w:t>
        </w:r>
      </w:ins>
    </w:p>
    <w:p w:rsidR="005F3CB6" w:rsidRPr="00295E71" w14:paraId="3A7DF791" w14:textId="77777777">
      <w:pPr>
        <w:keepNext/>
        <w:numPr>
          <w:ilvl w:val="12"/>
          <w:numId w:val="0"/>
        </w:numPr>
        <w:tabs>
          <w:tab w:val="left" w:pos="567"/>
        </w:tabs>
        <w:ind w:left="567" w:hanging="567"/>
        <w:jc w:val="both"/>
        <w:rPr>
          <w:b/>
          <w:bCs/>
          <w:sz w:val="22"/>
          <w:szCs w:val="22"/>
        </w:rPr>
      </w:pPr>
    </w:p>
    <w:p w:rsidR="005F3CB6" w:rsidRPr="00295E71" w14:paraId="0D8F488D" w14:textId="77777777">
      <w:pPr>
        <w:keepNext/>
        <w:numPr>
          <w:ilvl w:val="12"/>
          <w:numId w:val="0"/>
        </w:numPr>
        <w:tabs>
          <w:tab w:val="left" w:pos="567"/>
        </w:tabs>
        <w:ind w:left="567" w:hanging="567"/>
        <w:jc w:val="both"/>
        <w:rPr>
          <w:b/>
          <w:bCs/>
          <w:sz w:val="22"/>
          <w:szCs w:val="22"/>
        </w:rPr>
      </w:pPr>
    </w:p>
    <w:p w:rsidR="006224C2" w:rsidRPr="00295E71" w14:paraId="4CDEF8A7" w14:textId="77777777">
      <w:pPr>
        <w:keepNext/>
        <w:numPr>
          <w:ilvl w:val="12"/>
          <w:numId w:val="0"/>
        </w:numPr>
        <w:tabs>
          <w:tab w:val="left" w:pos="567"/>
        </w:tabs>
        <w:ind w:left="567" w:hanging="567"/>
        <w:jc w:val="both"/>
        <w:rPr>
          <w:b/>
          <w:bCs/>
          <w:sz w:val="22"/>
          <w:szCs w:val="22"/>
        </w:rPr>
      </w:pPr>
      <w:r w:rsidRPr="00295E71">
        <w:rPr>
          <w:b/>
          <w:bCs/>
          <w:sz w:val="22"/>
          <w:szCs w:val="22"/>
        </w:rPr>
        <w:t>3.</w:t>
      </w:r>
      <w:r w:rsidRPr="00295E71">
        <w:rPr>
          <w:b/>
          <w:bCs/>
          <w:sz w:val="22"/>
          <w:szCs w:val="22"/>
        </w:rPr>
        <w:tab/>
        <w:t>Come usare Humira</w:t>
      </w:r>
    </w:p>
    <w:p w:rsidR="006224C2" w:rsidRPr="00295E71" w14:paraId="20F5F7AF" w14:textId="77777777">
      <w:pPr>
        <w:keepNext/>
        <w:numPr>
          <w:ilvl w:val="12"/>
          <w:numId w:val="0"/>
        </w:numPr>
        <w:tabs>
          <w:tab w:val="left" w:pos="567"/>
        </w:tabs>
        <w:jc w:val="both"/>
        <w:rPr>
          <w:sz w:val="22"/>
          <w:szCs w:val="22"/>
        </w:rPr>
      </w:pPr>
    </w:p>
    <w:p w:rsidR="006224C2" w:rsidRPr="00295E71" w14:paraId="172BC653" w14:textId="77777777">
      <w:pPr>
        <w:keepNext/>
        <w:numPr>
          <w:ilvl w:val="12"/>
          <w:numId w:val="0"/>
        </w:numPr>
        <w:tabs>
          <w:tab w:val="left" w:pos="567"/>
        </w:tabs>
        <w:jc w:val="both"/>
        <w:rPr>
          <w:sz w:val="22"/>
          <w:szCs w:val="22"/>
        </w:rPr>
      </w:pPr>
      <w:r w:rsidRPr="00295E71">
        <w:rPr>
          <w:sz w:val="22"/>
          <w:szCs w:val="22"/>
        </w:rPr>
        <w:t>Usi questo medicinale seguendo sempre esattamente le istruzioni del medico o del farmacista. Se ha dubbi, consulti il medico o il farmacista.</w:t>
      </w:r>
    </w:p>
    <w:p w:rsidR="006224C2" w:rsidRPr="00295E71" w14:paraId="05641827" w14:textId="77777777">
      <w:pPr>
        <w:numPr>
          <w:ilvl w:val="12"/>
          <w:numId w:val="0"/>
        </w:numPr>
        <w:tabs>
          <w:tab w:val="left" w:pos="567"/>
        </w:tabs>
        <w:ind w:right="-2"/>
        <w:jc w:val="both"/>
        <w:rPr>
          <w:sz w:val="22"/>
          <w:szCs w:val="22"/>
        </w:rPr>
      </w:pPr>
    </w:p>
    <w:p w:rsidR="006224C2" w:rsidRPr="00295E71" w14:paraId="6BFF33E8" w14:textId="77777777">
      <w:pPr>
        <w:numPr>
          <w:ilvl w:val="12"/>
          <w:numId w:val="0"/>
        </w:numPr>
        <w:tabs>
          <w:tab w:val="left" w:pos="567"/>
        </w:tabs>
        <w:ind w:right="-2"/>
        <w:rPr>
          <w:sz w:val="22"/>
          <w:szCs w:val="22"/>
        </w:rPr>
      </w:pPr>
      <w:r w:rsidRPr="00295E71">
        <w:rPr>
          <w:sz w:val="22"/>
          <w:szCs w:val="22"/>
        </w:rPr>
        <w:t>Le dosi raccomandate di Humira in ciascuna indicazione approvata sono elencate nella seguente tabella.</w:t>
      </w:r>
      <w:r w:rsidRPr="00295E71" w:rsidR="00434CDC">
        <w:rPr>
          <w:sz w:val="22"/>
          <w:szCs w:val="22"/>
        </w:rPr>
        <w:t xml:space="preserve"> </w:t>
      </w:r>
      <w:r w:rsidRPr="00295E71" w:rsidR="00434CDC">
        <w:rPr>
          <w:sz w:val="22"/>
          <w:szCs w:val="22"/>
        </w:rPr>
        <w:tab/>
        <w:t>Il medico potrebbe prescrivere un’altra concentrazione di Humira se necessita di una dose differente.</w:t>
      </w:r>
    </w:p>
    <w:p w:rsidR="006224C2" w:rsidRPr="00295E71" w14:paraId="38773DC6" w14:textId="77777777">
      <w:pPr>
        <w:numPr>
          <w:ilvl w:val="12"/>
          <w:numId w:val="0"/>
        </w:numPr>
        <w:tabs>
          <w:tab w:val="left" w:pos="567"/>
        </w:tabs>
        <w:ind w:right="-2"/>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1"/>
        <w:gridCol w:w="3020"/>
        <w:gridCol w:w="3029"/>
      </w:tblGrid>
      <w:tr w14:paraId="2767AB3E" w14:textId="77777777">
        <w:tblPrEx>
          <w:tblW w:w="0" w:type="auto"/>
          <w:tblLook w:val="04A0"/>
        </w:tblPrEx>
        <w:tc>
          <w:tcPr>
            <w:tcW w:w="9287" w:type="dxa"/>
            <w:gridSpan w:val="3"/>
          </w:tcPr>
          <w:p w:rsidR="006224C2" w:rsidRPr="00295E71" w:rsidP="005F3CB6" w14:paraId="51899D62" w14:textId="77777777">
            <w:pPr>
              <w:keepNext/>
              <w:numPr>
                <w:ilvl w:val="12"/>
                <w:numId w:val="0"/>
              </w:numPr>
              <w:ind w:right="-2"/>
              <w:rPr>
                <w:b/>
                <w:sz w:val="22"/>
                <w:szCs w:val="22"/>
              </w:rPr>
            </w:pPr>
            <w:r w:rsidRPr="00295E71">
              <w:rPr>
                <w:b/>
                <w:sz w:val="22"/>
                <w:szCs w:val="22"/>
              </w:rPr>
              <w:t>Artrite reumatoide, artrite psoriasica, spondilite anchilosante o spondiloartrite assiale senza evidenza radiografica di spondilite anchilosante</w:t>
            </w:r>
          </w:p>
        </w:tc>
      </w:tr>
      <w:tr w14:paraId="2864CB17" w14:textId="77777777">
        <w:tblPrEx>
          <w:tblW w:w="0" w:type="auto"/>
          <w:tblLook w:val="04A0"/>
        </w:tblPrEx>
        <w:tc>
          <w:tcPr>
            <w:tcW w:w="3095" w:type="dxa"/>
          </w:tcPr>
          <w:p w:rsidR="006224C2" w:rsidRPr="00295E71" w:rsidP="005F3CB6" w14:paraId="4F213FEA" w14:textId="77777777">
            <w:pPr>
              <w:keepNext/>
              <w:numPr>
                <w:ilvl w:val="12"/>
                <w:numId w:val="0"/>
              </w:numPr>
              <w:ind w:right="-2"/>
              <w:rPr>
                <w:sz w:val="22"/>
                <w:szCs w:val="22"/>
              </w:rPr>
            </w:pPr>
            <w:r w:rsidRPr="00295E71">
              <w:rPr>
                <w:b/>
                <w:sz w:val="22"/>
                <w:szCs w:val="22"/>
              </w:rPr>
              <w:t>Età o peso corporeo</w:t>
            </w:r>
          </w:p>
        </w:tc>
        <w:tc>
          <w:tcPr>
            <w:tcW w:w="3096" w:type="dxa"/>
          </w:tcPr>
          <w:p w:rsidR="006224C2" w:rsidRPr="00295E71" w:rsidP="005F3CB6" w14:paraId="499DDE68" w14:textId="77777777">
            <w:pPr>
              <w:keepNext/>
              <w:numPr>
                <w:ilvl w:val="12"/>
                <w:numId w:val="0"/>
              </w:numPr>
              <w:ind w:right="-2"/>
              <w:rPr>
                <w:sz w:val="22"/>
                <w:szCs w:val="22"/>
              </w:rPr>
            </w:pPr>
            <w:r w:rsidRPr="00295E71">
              <w:rPr>
                <w:b/>
                <w:sz w:val="22"/>
                <w:szCs w:val="22"/>
              </w:rPr>
              <w:t>Che quantità ne va assunta e con che frequenza?</w:t>
            </w:r>
          </w:p>
        </w:tc>
        <w:tc>
          <w:tcPr>
            <w:tcW w:w="3096" w:type="dxa"/>
          </w:tcPr>
          <w:p w:rsidR="006224C2" w:rsidRPr="00295E71" w:rsidP="005F3CB6" w14:paraId="486A12EC" w14:textId="77777777">
            <w:pPr>
              <w:keepNext/>
              <w:numPr>
                <w:ilvl w:val="12"/>
                <w:numId w:val="0"/>
              </w:numPr>
              <w:ind w:right="-2"/>
              <w:rPr>
                <w:sz w:val="22"/>
                <w:szCs w:val="22"/>
              </w:rPr>
            </w:pPr>
            <w:r w:rsidRPr="00295E71">
              <w:rPr>
                <w:b/>
                <w:sz w:val="22"/>
                <w:szCs w:val="22"/>
              </w:rPr>
              <w:t>Note</w:t>
            </w:r>
          </w:p>
        </w:tc>
      </w:tr>
      <w:tr w14:paraId="2DE21D1C" w14:textId="77777777">
        <w:tblPrEx>
          <w:tblW w:w="0" w:type="auto"/>
          <w:tblLook w:val="04A0"/>
        </w:tblPrEx>
        <w:tc>
          <w:tcPr>
            <w:tcW w:w="3095" w:type="dxa"/>
          </w:tcPr>
          <w:p w:rsidR="006224C2" w:rsidRPr="00295E71" w:rsidP="005F3CB6" w14:paraId="3DD005A6" w14:textId="77777777">
            <w:pPr>
              <w:keepNext/>
              <w:numPr>
                <w:ilvl w:val="12"/>
                <w:numId w:val="0"/>
              </w:numPr>
              <w:ind w:right="-2"/>
              <w:rPr>
                <w:sz w:val="22"/>
                <w:szCs w:val="22"/>
              </w:rPr>
            </w:pPr>
            <w:r w:rsidRPr="00295E71">
              <w:rPr>
                <w:sz w:val="22"/>
                <w:szCs w:val="22"/>
              </w:rPr>
              <w:t>Adulti</w:t>
            </w:r>
          </w:p>
        </w:tc>
        <w:tc>
          <w:tcPr>
            <w:tcW w:w="3096" w:type="dxa"/>
          </w:tcPr>
          <w:p w:rsidR="006224C2" w:rsidRPr="00295E71" w:rsidP="005F3CB6" w14:paraId="70759867" w14:textId="77777777">
            <w:pPr>
              <w:keepNext/>
              <w:numPr>
                <w:ilvl w:val="12"/>
                <w:numId w:val="0"/>
              </w:numPr>
              <w:ind w:right="-2"/>
              <w:rPr>
                <w:sz w:val="22"/>
                <w:szCs w:val="22"/>
              </w:rPr>
            </w:pPr>
            <w:r w:rsidRPr="00295E71">
              <w:rPr>
                <w:sz w:val="22"/>
                <w:szCs w:val="22"/>
              </w:rPr>
              <w:t>40 mg a settimane alterne</w:t>
            </w:r>
          </w:p>
        </w:tc>
        <w:tc>
          <w:tcPr>
            <w:tcW w:w="3096" w:type="dxa"/>
          </w:tcPr>
          <w:p w:rsidR="006224C2" w:rsidRPr="00295E71" w:rsidP="005F3CB6" w14:paraId="6A64A538" w14:textId="77777777">
            <w:pPr>
              <w:keepNext/>
              <w:numPr>
                <w:ilvl w:val="12"/>
                <w:numId w:val="0"/>
              </w:numPr>
              <w:tabs>
                <w:tab w:val="left" w:pos="567"/>
              </w:tabs>
              <w:ind w:right="-2"/>
              <w:rPr>
                <w:sz w:val="22"/>
                <w:szCs w:val="22"/>
              </w:rPr>
            </w:pPr>
            <w:r w:rsidRPr="00295E71">
              <w:rPr>
                <w:sz w:val="22"/>
                <w:szCs w:val="22"/>
              </w:rPr>
              <w:t>Nell’artrite reumatoide si continua ad assumere il metotressato durante il trattamento con Humira. Se il medico decide che il metotressato non è appropriato, Humira può essere somministrato da solo.</w:t>
            </w:r>
          </w:p>
          <w:p w:rsidR="006224C2" w:rsidRPr="00295E71" w:rsidP="005F3CB6" w14:paraId="322354A6" w14:textId="77777777">
            <w:pPr>
              <w:keepNext/>
              <w:numPr>
                <w:ilvl w:val="12"/>
                <w:numId w:val="0"/>
              </w:numPr>
              <w:ind w:right="-2"/>
              <w:rPr>
                <w:sz w:val="22"/>
                <w:szCs w:val="22"/>
              </w:rPr>
            </w:pPr>
          </w:p>
          <w:p w:rsidR="006224C2" w:rsidRPr="00295E71" w:rsidP="002D0546" w14:paraId="10732F16" w14:textId="77777777">
            <w:pPr>
              <w:keepNext/>
              <w:numPr>
                <w:ilvl w:val="12"/>
                <w:numId w:val="0"/>
              </w:numPr>
              <w:ind w:right="-2"/>
              <w:rPr>
                <w:sz w:val="22"/>
                <w:szCs w:val="22"/>
              </w:rPr>
            </w:pPr>
            <w:r w:rsidRPr="00295E71">
              <w:rPr>
                <w:sz w:val="22"/>
                <w:szCs w:val="22"/>
              </w:rPr>
              <w:t>Se è affetto da artrite reumatoide e non</w:t>
            </w:r>
            <w:r w:rsidRPr="00295E71" w:rsidR="00096642">
              <w:rPr>
                <w:sz w:val="22"/>
                <w:szCs w:val="22"/>
              </w:rPr>
              <w:t xml:space="preserve"> </w:t>
            </w:r>
            <w:r w:rsidRPr="00295E71">
              <w:rPr>
                <w:sz w:val="22"/>
                <w:szCs w:val="22"/>
              </w:rPr>
              <w:t>assume metotressato in associazione ad Humira, il medico può decidere di prescriverle 40 mg di Humira ogni settimana</w:t>
            </w:r>
            <w:r w:rsidRPr="00295E71" w:rsidR="002D0546">
              <w:rPr>
                <w:sz w:val="22"/>
                <w:szCs w:val="22"/>
              </w:rPr>
              <w:t xml:space="preserve"> o 80 mg a settimane alterne</w:t>
            </w:r>
            <w:r w:rsidRPr="00295E71">
              <w:rPr>
                <w:sz w:val="22"/>
                <w:szCs w:val="22"/>
              </w:rPr>
              <w:t>.</w:t>
            </w:r>
          </w:p>
        </w:tc>
      </w:tr>
    </w:tbl>
    <w:p w:rsidR="006224C2" w:rsidRPr="00295E71" w14:paraId="568384E6" w14:textId="77777777">
      <w:pPr>
        <w:numPr>
          <w:ilvl w:val="12"/>
          <w:numId w:val="0"/>
        </w:numPr>
        <w:tabs>
          <w:tab w:val="left" w:pos="567"/>
        </w:tabs>
        <w:ind w:right="-2"/>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0"/>
        <w:gridCol w:w="3023"/>
        <w:gridCol w:w="3017"/>
      </w:tblGrid>
      <w:tr w14:paraId="0741D4BE" w14:textId="77777777">
        <w:tblPrEx>
          <w:tblW w:w="0" w:type="auto"/>
          <w:tblLook w:val="04A0"/>
        </w:tblPrEx>
        <w:tc>
          <w:tcPr>
            <w:tcW w:w="9287" w:type="dxa"/>
            <w:gridSpan w:val="3"/>
          </w:tcPr>
          <w:p w:rsidR="006224C2" w:rsidRPr="00295E71" w14:paraId="0E8E6192" w14:textId="77777777">
            <w:pPr>
              <w:numPr>
                <w:ilvl w:val="12"/>
                <w:numId w:val="0"/>
              </w:numPr>
              <w:ind w:right="-2"/>
              <w:rPr>
                <w:sz w:val="22"/>
                <w:szCs w:val="22"/>
              </w:rPr>
            </w:pPr>
            <w:r w:rsidRPr="00295E71">
              <w:rPr>
                <w:b/>
                <w:sz w:val="22"/>
                <w:szCs w:val="22"/>
              </w:rPr>
              <w:t>Artrite idiopatica giovanile poliarticolare</w:t>
            </w:r>
          </w:p>
        </w:tc>
      </w:tr>
      <w:tr w14:paraId="77E0A454" w14:textId="77777777">
        <w:tblPrEx>
          <w:tblW w:w="0" w:type="auto"/>
          <w:tblLook w:val="04A0"/>
        </w:tblPrEx>
        <w:tc>
          <w:tcPr>
            <w:tcW w:w="3095" w:type="dxa"/>
          </w:tcPr>
          <w:p w:rsidR="006224C2" w:rsidRPr="00295E71" w14:paraId="038B2111" w14:textId="77777777">
            <w:pPr>
              <w:numPr>
                <w:ilvl w:val="12"/>
                <w:numId w:val="0"/>
              </w:numPr>
              <w:ind w:right="-2"/>
              <w:rPr>
                <w:sz w:val="22"/>
                <w:szCs w:val="22"/>
              </w:rPr>
            </w:pPr>
            <w:r w:rsidRPr="00295E71">
              <w:rPr>
                <w:b/>
                <w:sz w:val="22"/>
                <w:szCs w:val="22"/>
              </w:rPr>
              <w:t>Età o peso corporeo</w:t>
            </w:r>
          </w:p>
        </w:tc>
        <w:tc>
          <w:tcPr>
            <w:tcW w:w="3096" w:type="dxa"/>
          </w:tcPr>
          <w:p w:rsidR="006224C2" w:rsidRPr="00295E71" w14:paraId="0B804AD1" w14:textId="77777777">
            <w:pPr>
              <w:numPr>
                <w:ilvl w:val="12"/>
                <w:numId w:val="0"/>
              </w:numPr>
              <w:ind w:right="-2"/>
              <w:rPr>
                <w:sz w:val="22"/>
                <w:szCs w:val="22"/>
              </w:rPr>
            </w:pPr>
            <w:r w:rsidRPr="00295E71">
              <w:rPr>
                <w:b/>
                <w:sz w:val="22"/>
                <w:szCs w:val="22"/>
              </w:rPr>
              <w:t xml:space="preserve"> Che quantità ne va assunta e con che frequenza?</w:t>
            </w:r>
          </w:p>
        </w:tc>
        <w:tc>
          <w:tcPr>
            <w:tcW w:w="3096" w:type="dxa"/>
          </w:tcPr>
          <w:p w:rsidR="006224C2" w:rsidRPr="00295E71" w14:paraId="53C2EBE5" w14:textId="77777777">
            <w:pPr>
              <w:numPr>
                <w:ilvl w:val="12"/>
                <w:numId w:val="0"/>
              </w:numPr>
              <w:ind w:right="-2"/>
              <w:rPr>
                <w:sz w:val="22"/>
                <w:szCs w:val="22"/>
              </w:rPr>
            </w:pPr>
            <w:r w:rsidRPr="00295E71">
              <w:rPr>
                <w:b/>
                <w:sz w:val="22"/>
                <w:szCs w:val="22"/>
              </w:rPr>
              <w:t>Note</w:t>
            </w:r>
          </w:p>
        </w:tc>
      </w:tr>
      <w:tr w14:paraId="5FFBF94B" w14:textId="77777777">
        <w:tblPrEx>
          <w:tblW w:w="0" w:type="auto"/>
          <w:tblLook w:val="04A0"/>
        </w:tblPrEx>
        <w:tc>
          <w:tcPr>
            <w:tcW w:w="3095" w:type="dxa"/>
          </w:tcPr>
          <w:p w:rsidR="006224C2" w:rsidRPr="00295E71" w:rsidP="00522CBB" w14:paraId="000D1930" w14:textId="77777777">
            <w:pPr>
              <w:numPr>
                <w:ilvl w:val="12"/>
                <w:numId w:val="0"/>
              </w:numPr>
              <w:ind w:right="-2"/>
              <w:rPr>
                <w:sz w:val="22"/>
                <w:szCs w:val="22"/>
              </w:rPr>
            </w:pPr>
            <w:r w:rsidRPr="00295E71">
              <w:rPr>
                <w:sz w:val="22"/>
                <w:szCs w:val="22"/>
              </w:rPr>
              <w:t xml:space="preserve">Bambini, adolescenti </w:t>
            </w:r>
            <w:r w:rsidRPr="00295E71" w:rsidR="00226BC4">
              <w:rPr>
                <w:sz w:val="22"/>
                <w:szCs w:val="22"/>
              </w:rPr>
              <w:t xml:space="preserve">e adulti </w:t>
            </w:r>
            <w:r w:rsidRPr="00295E71" w:rsidR="00522CBB">
              <w:rPr>
                <w:sz w:val="22"/>
                <w:szCs w:val="22"/>
              </w:rPr>
              <w:t xml:space="preserve">a partire da </w:t>
            </w:r>
            <w:r w:rsidRPr="00295E71">
              <w:rPr>
                <w:sz w:val="22"/>
                <w:szCs w:val="22"/>
              </w:rPr>
              <w:t xml:space="preserve">2 </w:t>
            </w:r>
            <w:r w:rsidRPr="00295E71" w:rsidR="00226BC4">
              <w:rPr>
                <w:sz w:val="22"/>
                <w:szCs w:val="22"/>
              </w:rPr>
              <w:t xml:space="preserve">anni </w:t>
            </w:r>
            <w:r w:rsidRPr="00295E71" w:rsidR="00522CBB">
              <w:rPr>
                <w:sz w:val="22"/>
                <w:szCs w:val="22"/>
              </w:rPr>
              <w:t xml:space="preserve">di età </w:t>
            </w:r>
            <w:r w:rsidRPr="00295E71">
              <w:rPr>
                <w:sz w:val="22"/>
                <w:szCs w:val="22"/>
              </w:rPr>
              <w:t>e con peso uguale o superiore a 30 kg</w:t>
            </w:r>
          </w:p>
        </w:tc>
        <w:tc>
          <w:tcPr>
            <w:tcW w:w="3096" w:type="dxa"/>
          </w:tcPr>
          <w:p w:rsidR="006224C2" w:rsidRPr="00295E71" w14:paraId="118C04DB" w14:textId="77777777">
            <w:pPr>
              <w:numPr>
                <w:ilvl w:val="12"/>
                <w:numId w:val="0"/>
              </w:numPr>
              <w:ind w:right="-2"/>
              <w:rPr>
                <w:sz w:val="22"/>
                <w:szCs w:val="22"/>
              </w:rPr>
            </w:pPr>
            <w:r w:rsidRPr="00295E71">
              <w:rPr>
                <w:sz w:val="22"/>
                <w:szCs w:val="22"/>
              </w:rPr>
              <w:t>40 mg a settimane alterne</w:t>
            </w:r>
          </w:p>
        </w:tc>
        <w:tc>
          <w:tcPr>
            <w:tcW w:w="3096" w:type="dxa"/>
          </w:tcPr>
          <w:p w:rsidR="006224C2" w:rsidRPr="00295E71" w14:paraId="43A304CD" w14:textId="77777777">
            <w:pPr>
              <w:numPr>
                <w:ilvl w:val="12"/>
                <w:numId w:val="0"/>
              </w:numPr>
              <w:ind w:right="-2"/>
              <w:rPr>
                <w:sz w:val="22"/>
                <w:szCs w:val="22"/>
              </w:rPr>
            </w:pPr>
            <w:r w:rsidRPr="00295E71">
              <w:rPr>
                <w:sz w:val="22"/>
                <w:szCs w:val="22"/>
              </w:rPr>
              <w:t>Non pertinente</w:t>
            </w:r>
          </w:p>
        </w:tc>
      </w:tr>
      <w:tr w14:paraId="75226598" w14:textId="77777777">
        <w:tblPrEx>
          <w:tblW w:w="0" w:type="auto"/>
          <w:tblLook w:val="04A0"/>
        </w:tblPrEx>
        <w:tc>
          <w:tcPr>
            <w:tcW w:w="3095" w:type="dxa"/>
          </w:tcPr>
          <w:p w:rsidR="006224C2" w:rsidRPr="00295E71" w:rsidP="00434CDC" w14:paraId="60978B2F" w14:textId="77777777">
            <w:pPr>
              <w:numPr>
                <w:ilvl w:val="12"/>
                <w:numId w:val="0"/>
              </w:numPr>
              <w:ind w:right="-2"/>
              <w:rPr>
                <w:sz w:val="22"/>
                <w:szCs w:val="22"/>
              </w:rPr>
            </w:pPr>
            <w:r w:rsidRPr="00295E71">
              <w:rPr>
                <w:sz w:val="22"/>
                <w:szCs w:val="22"/>
              </w:rPr>
              <w:t>Bambini</w:t>
            </w:r>
            <w:r w:rsidRPr="00295E71" w:rsidR="00434CDC">
              <w:rPr>
                <w:sz w:val="22"/>
                <w:szCs w:val="22"/>
              </w:rPr>
              <w:t xml:space="preserve"> e adolescenti</w:t>
            </w:r>
            <w:r w:rsidRPr="00295E71">
              <w:rPr>
                <w:sz w:val="22"/>
                <w:szCs w:val="22"/>
              </w:rPr>
              <w:t xml:space="preserve"> </w:t>
            </w:r>
            <w:r w:rsidRPr="00295E71" w:rsidR="00522CBB">
              <w:rPr>
                <w:sz w:val="22"/>
                <w:szCs w:val="22"/>
              </w:rPr>
              <w:t>a partire da</w:t>
            </w:r>
            <w:r w:rsidRPr="00295E71">
              <w:rPr>
                <w:sz w:val="22"/>
                <w:szCs w:val="22"/>
              </w:rPr>
              <w:t xml:space="preserve"> 2</w:t>
            </w:r>
            <w:r w:rsidRPr="00295E71" w:rsidR="007A44F1">
              <w:rPr>
                <w:sz w:val="22"/>
                <w:szCs w:val="22"/>
              </w:rPr>
              <w:t xml:space="preserve"> anni</w:t>
            </w:r>
            <w:r w:rsidRPr="00295E71">
              <w:rPr>
                <w:sz w:val="22"/>
                <w:szCs w:val="22"/>
              </w:rPr>
              <w:t xml:space="preserve"> </w:t>
            </w:r>
            <w:r w:rsidRPr="00295E71" w:rsidR="000A1DE8">
              <w:rPr>
                <w:sz w:val="22"/>
                <w:szCs w:val="22"/>
              </w:rPr>
              <w:t xml:space="preserve">di età </w:t>
            </w:r>
            <w:r w:rsidRPr="00295E71">
              <w:rPr>
                <w:sz w:val="22"/>
                <w:szCs w:val="22"/>
              </w:rPr>
              <w:t xml:space="preserve">e </w:t>
            </w:r>
            <w:r w:rsidRPr="00295E71" w:rsidR="00434CDC">
              <w:rPr>
                <w:sz w:val="22"/>
                <w:szCs w:val="22"/>
              </w:rPr>
              <w:t>con peso compreso tra 10 kg e meno di 30 kg</w:t>
            </w:r>
          </w:p>
        </w:tc>
        <w:tc>
          <w:tcPr>
            <w:tcW w:w="3096" w:type="dxa"/>
          </w:tcPr>
          <w:p w:rsidR="006224C2" w:rsidRPr="00295E71" w14:paraId="30C37B38" w14:textId="77777777">
            <w:pPr>
              <w:numPr>
                <w:ilvl w:val="12"/>
                <w:numId w:val="0"/>
              </w:numPr>
              <w:ind w:right="-2"/>
              <w:rPr>
                <w:sz w:val="22"/>
                <w:szCs w:val="22"/>
              </w:rPr>
            </w:pPr>
            <w:r w:rsidRPr="00295E71">
              <w:rPr>
                <w:sz w:val="22"/>
                <w:szCs w:val="22"/>
              </w:rPr>
              <w:t>20 mg a settimane alterne</w:t>
            </w:r>
          </w:p>
        </w:tc>
        <w:tc>
          <w:tcPr>
            <w:tcW w:w="3096" w:type="dxa"/>
          </w:tcPr>
          <w:p w:rsidR="006224C2" w:rsidRPr="00295E71" w14:paraId="565AD175" w14:textId="77777777">
            <w:pPr>
              <w:numPr>
                <w:ilvl w:val="12"/>
                <w:numId w:val="0"/>
              </w:numPr>
              <w:ind w:right="-2"/>
              <w:rPr>
                <w:sz w:val="22"/>
                <w:szCs w:val="22"/>
              </w:rPr>
            </w:pPr>
            <w:r w:rsidRPr="00295E71">
              <w:rPr>
                <w:sz w:val="22"/>
                <w:szCs w:val="22"/>
              </w:rPr>
              <w:t>Non pertinente</w:t>
            </w:r>
          </w:p>
        </w:tc>
      </w:tr>
    </w:tbl>
    <w:p w:rsidR="006224C2" w:rsidRPr="00295E71" w14:paraId="43A06E3B" w14:textId="77777777">
      <w:pPr>
        <w:numPr>
          <w:ilvl w:val="12"/>
          <w:numId w:val="0"/>
        </w:numPr>
        <w:tabs>
          <w:tab w:val="left" w:pos="567"/>
        </w:tabs>
        <w:ind w:right="-2"/>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9"/>
        <w:gridCol w:w="3024"/>
        <w:gridCol w:w="3017"/>
      </w:tblGrid>
      <w:tr w14:paraId="46E97469" w14:textId="77777777">
        <w:tblPrEx>
          <w:tblW w:w="0" w:type="auto"/>
          <w:tblLook w:val="04A0"/>
        </w:tblPrEx>
        <w:tc>
          <w:tcPr>
            <w:tcW w:w="9286" w:type="dxa"/>
            <w:gridSpan w:val="3"/>
          </w:tcPr>
          <w:p w:rsidR="006224C2" w:rsidRPr="00295E71" w14:paraId="7CB1AA91" w14:textId="77777777">
            <w:pPr>
              <w:numPr>
                <w:ilvl w:val="12"/>
                <w:numId w:val="0"/>
              </w:numPr>
              <w:ind w:right="-2"/>
              <w:rPr>
                <w:b/>
                <w:sz w:val="22"/>
                <w:szCs w:val="22"/>
              </w:rPr>
            </w:pPr>
            <w:r w:rsidRPr="00295E71">
              <w:rPr>
                <w:b/>
                <w:sz w:val="22"/>
                <w:szCs w:val="22"/>
              </w:rPr>
              <w:t>Artrite associata ad entesite</w:t>
            </w:r>
          </w:p>
        </w:tc>
      </w:tr>
      <w:tr w14:paraId="346B5919" w14:textId="77777777">
        <w:tblPrEx>
          <w:tblW w:w="0" w:type="auto"/>
          <w:tblLook w:val="04A0"/>
        </w:tblPrEx>
        <w:tc>
          <w:tcPr>
            <w:tcW w:w="3094" w:type="dxa"/>
          </w:tcPr>
          <w:p w:rsidR="006224C2" w:rsidRPr="00295E71" w14:paraId="0523C42D" w14:textId="77777777">
            <w:pPr>
              <w:numPr>
                <w:ilvl w:val="12"/>
                <w:numId w:val="0"/>
              </w:numPr>
              <w:ind w:right="-2"/>
              <w:rPr>
                <w:sz w:val="22"/>
                <w:szCs w:val="22"/>
              </w:rPr>
            </w:pPr>
            <w:r w:rsidRPr="00295E71">
              <w:rPr>
                <w:b/>
                <w:sz w:val="22"/>
                <w:szCs w:val="22"/>
              </w:rPr>
              <w:t>Età o peso corporeo</w:t>
            </w:r>
          </w:p>
        </w:tc>
        <w:tc>
          <w:tcPr>
            <w:tcW w:w="3096" w:type="dxa"/>
          </w:tcPr>
          <w:p w:rsidR="006224C2" w:rsidRPr="00295E71" w14:paraId="4829B8A1" w14:textId="77777777">
            <w:pPr>
              <w:numPr>
                <w:ilvl w:val="12"/>
                <w:numId w:val="0"/>
              </w:numPr>
              <w:ind w:right="-2"/>
              <w:rPr>
                <w:sz w:val="22"/>
                <w:szCs w:val="22"/>
              </w:rPr>
            </w:pPr>
            <w:r w:rsidRPr="00295E71">
              <w:rPr>
                <w:b/>
                <w:sz w:val="22"/>
                <w:szCs w:val="22"/>
              </w:rPr>
              <w:t>Che quantità ne va assunta e con che frequenza?</w:t>
            </w:r>
          </w:p>
        </w:tc>
        <w:tc>
          <w:tcPr>
            <w:tcW w:w="3096" w:type="dxa"/>
          </w:tcPr>
          <w:p w:rsidR="006224C2" w:rsidRPr="00295E71" w14:paraId="039CE0DE" w14:textId="77777777">
            <w:pPr>
              <w:numPr>
                <w:ilvl w:val="12"/>
                <w:numId w:val="0"/>
              </w:numPr>
              <w:ind w:right="-2"/>
              <w:rPr>
                <w:sz w:val="22"/>
                <w:szCs w:val="22"/>
              </w:rPr>
            </w:pPr>
            <w:r w:rsidRPr="00295E71">
              <w:rPr>
                <w:b/>
                <w:sz w:val="22"/>
                <w:szCs w:val="22"/>
              </w:rPr>
              <w:t>Note</w:t>
            </w:r>
          </w:p>
        </w:tc>
      </w:tr>
      <w:tr w14:paraId="069710A0" w14:textId="77777777">
        <w:tblPrEx>
          <w:tblW w:w="0" w:type="auto"/>
          <w:tblLook w:val="04A0"/>
        </w:tblPrEx>
        <w:tc>
          <w:tcPr>
            <w:tcW w:w="3094" w:type="dxa"/>
          </w:tcPr>
          <w:p w:rsidR="006224C2" w:rsidRPr="00295E71" w:rsidP="000A1DE8" w14:paraId="1545F39E" w14:textId="77777777">
            <w:pPr>
              <w:numPr>
                <w:ilvl w:val="12"/>
                <w:numId w:val="0"/>
              </w:numPr>
              <w:ind w:right="-2"/>
              <w:rPr>
                <w:sz w:val="22"/>
                <w:szCs w:val="22"/>
              </w:rPr>
            </w:pPr>
            <w:r w:rsidRPr="00295E71">
              <w:rPr>
                <w:sz w:val="22"/>
                <w:szCs w:val="22"/>
              </w:rPr>
              <w:t xml:space="preserve">Bambini, adolescenti e adulti </w:t>
            </w:r>
            <w:r w:rsidRPr="00295E71" w:rsidR="000A1DE8">
              <w:rPr>
                <w:sz w:val="22"/>
                <w:szCs w:val="22"/>
              </w:rPr>
              <w:t>a partire da</w:t>
            </w:r>
            <w:r w:rsidRPr="00295E71">
              <w:rPr>
                <w:sz w:val="22"/>
                <w:szCs w:val="22"/>
              </w:rPr>
              <w:t xml:space="preserve"> 6 anni</w:t>
            </w:r>
            <w:r w:rsidRPr="00295E71" w:rsidR="007A44F1">
              <w:rPr>
                <w:sz w:val="22"/>
                <w:szCs w:val="22"/>
              </w:rPr>
              <w:t xml:space="preserve"> </w:t>
            </w:r>
            <w:r w:rsidRPr="00295E71" w:rsidR="000A1DE8">
              <w:rPr>
                <w:sz w:val="22"/>
                <w:szCs w:val="22"/>
              </w:rPr>
              <w:t xml:space="preserve">di età </w:t>
            </w:r>
            <w:r w:rsidRPr="00295E71" w:rsidR="007A44F1">
              <w:rPr>
                <w:sz w:val="22"/>
                <w:szCs w:val="22"/>
              </w:rPr>
              <w:t>e con peso uguale o superiore a 30 kg</w:t>
            </w:r>
          </w:p>
        </w:tc>
        <w:tc>
          <w:tcPr>
            <w:tcW w:w="3096" w:type="dxa"/>
          </w:tcPr>
          <w:p w:rsidR="006224C2" w:rsidRPr="00295E71" w14:paraId="379FBE94" w14:textId="77777777">
            <w:pPr>
              <w:numPr>
                <w:ilvl w:val="12"/>
                <w:numId w:val="0"/>
              </w:numPr>
              <w:ind w:right="-2"/>
              <w:rPr>
                <w:sz w:val="22"/>
                <w:szCs w:val="22"/>
              </w:rPr>
            </w:pPr>
            <w:r w:rsidRPr="00295E71">
              <w:rPr>
                <w:sz w:val="22"/>
                <w:szCs w:val="22"/>
              </w:rPr>
              <w:t>40 mg a settimane alterne</w:t>
            </w:r>
          </w:p>
        </w:tc>
        <w:tc>
          <w:tcPr>
            <w:tcW w:w="3096" w:type="dxa"/>
          </w:tcPr>
          <w:p w:rsidR="006224C2" w:rsidRPr="00295E71" w14:paraId="065F06DD" w14:textId="77777777">
            <w:pPr>
              <w:numPr>
                <w:ilvl w:val="12"/>
                <w:numId w:val="0"/>
              </w:numPr>
              <w:ind w:right="-2"/>
              <w:rPr>
                <w:sz w:val="22"/>
                <w:szCs w:val="22"/>
              </w:rPr>
            </w:pPr>
            <w:r w:rsidRPr="00295E71">
              <w:rPr>
                <w:sz w:val="22"/>
                <w:szCs w:val="22"/>
              </w:rPr>
              <w:t>Non pertinente</w:t>
            </w:r>
          </w:p>
        </w:tc>
      </w:tr>
      <w:tr w14:paraId="37C59BAA" w14:textId="77777777">
        <w:tblPrEx>
          <w:tblW w:w="0" w:type="auto"/>
          <w:tblLook w:val="04A0"/>
        </w:tblPrEx>
        <w:tc>
          <w:tcPr>
            <w:tcW w:w="3094" w:type="dxa"/>
          </w:tcPr>
          <w:p w:rsidR="007A44F1" w:rsidRPr="00295E71" w:rsidP="000A1DE8" w14:paraId="6C657069" w14:textId="77777777">
            <w:pPr>
              <w:numPr>
                <w:ilvl w:val="12"/>
                <w:numId w:val="0"/>
              </w:numPr>
              <w:ind w:right="-2"/>
              <w:rPr>
                <w:sz w:val="22"/>
                <w:szCs w:val="22"/>
              </w:rPr>
            </w:pPr>
            <w:r w:rsidRPr="00295E71">
              <w:rPr>
                <w:sz w:val="22"/>
                <w:szCs w:val="22"/>
              </w:rPr>
              <w:t xml:space="preserve">Bambini e adolescenti </w:t>
            </w:r>
            <w:r w:rsidRPr="00295E71" w:rsidR="000A1DE8">
              <w:rPr>
                <w:sz w:val="22"/>
                <w:szCs w:val="22"/>
              </w:rPr>
              <w:t>a partire da</w:t>
            </w:r>
            <w:r w:rsidRPr="00295E71">
              <w:rPr>
                <w:sz w:val="22"/>
                <w:szCs w:val="22"/>
              </w:rPr>
              <w:t xml:space="preserve"> </w:t>
            </w:r>
            <w:r w:rsidRPr="00295E71" w:rsidR="00CB57D3">
              <w:rPr>
                <w:sz w:val="22"/>
                <w:szCs w:val="22"/>
              </w:rPr>
              <w:t>6</w:t>
            </w:r>
            <w:r w:rsidRPr="00295E71">
              <w:rPr>
                <w:sz w:val="22"/>
                <w:szCs w:val="22"/>
              </w:rPr>
              <w:t xml:space="preserve"> anni </w:t>
            </w:r>
            <w:r w:rsidRPr="00295E71" w:rsidR="000A1DE8">
              <w:rPr>
                <w:sz w:val="22"/>
                <w:szCs w:val="22"/>
              </w:rPr>
              <w:t xml:space="preserve">di età </w:t>
            </w:r>
            <w:r w:rsidRPr="00295E71">
              <w:rPr>
                <w:sz w:val="22"/>
                <w:szCs w:val="22"/>
              </w:rPr>
              <w:t>e con peso compreso tra 1</w:t>
            </w:r>
            <w:r w:rsidRPr="00295E71" w:rsidR="00CB57D3">
              <w:rPr>
                <w:sz w:val="22"/>
                <w:szCs w:val="22"/>
              </w:rPr>
              <w:t>5</w:t>
            </w:r>
            <w:r w:rsidRPr="00295E71">
              <w:rPr>
                <w:sz w:val="22"/>
                <w:szCs w:val="22"/>
              </w:rPr>
              <w:t xml:space="preserve"> kg e meno di 30 kg</w:t>
            </w:r>
          </w:p>
        </w:tc>
        <w:tc>
          <w:tcPr>
            <w:tcW w:w="3096" w:type="dxa"/>
          </w:tcPr>
          <w:p w:rsidR="007A44F1" w:rsidRPr="00295E71" w14:paraId="0A966562" w14:textId="77777777">
            <w:pPr>
              <w:numPr>
                <w:ilvl w:val="12"/>
                <w:numId w:val="0"/>
              </w:numPr>
              <w:ind w:right="-2"/>
              <w:rPr>
                <w:sz w:val="22"/>
                <w:szCs w:val="22"/>
              </w:rPr>
            </w:pPr>
            <w:r w:rsidRPr="00295E71">
              <w:rPr>
                <w:sz w:val="22"/>
                <w:szCs w:val="22"/>
              </w:rPr>
              <w:t>20 mg a settimane alterne</w:t>
            </w:r>
          </w:p>
        </w:tc>
        <w:tc>
          <w:tcPr>
            <w:tcW w:w="3096" w:type="dxa"/>
          </w:tcPr>
          <w:p w:rsidR="007A44F1" w:rsidRPr="00295E71" w14:paraId="46BC102E" w14:textId="77777777">
            <w:pPr>
              <w:numPr>
                <w:ilvl w:val="12"/>
                <w:numId w:val="0"/>
              </w:numPr>
              <w:ind w:right="-2"/>
              <w:rPr>
                <w:sz w:val="22"/>
                <w:szCs w:val="22"/>
              </w:rPr>
            </w:pPr>
            <w:r w:rsidRPr="00295E71">
              <w:rPr>
                <w:sz w:val="22"/>
                <w:szCs w:val="22"/>
              </w:rPr>
              <w:t>Non pertinente</w:t>
            </w:r>
          </w:p>
        </w:tc>
      </w:tr>
    </w:tbl>
    <w:p w:rsidR="006224C2" w:rsidRPr="00295E71" w14:paraId="32F19243" w14:textId="77777777">
      <w:pPr>
        <w:numPr>
          <w:ilvl w:val="12"/>
          <w:numId w:val="0"/>
        </w:numPr>
        <w:tabs>
          <w:tab w:val="left" w:pos="567"/>
        </w:tabs>
        <w:ind w:right="-2"/>
        <w:jc w:val="both"/>
        <w:rPr>
          <w:sz w:val="22"/>
          <w:szCs w:val="22"/>
          <w:u w:val="single"/>
        </w:rPr>
      </w:pPr>
    </w:p>
    <w:tbl>
      <w:tblPr>
        <w:tblStyle w:val="TableGrid"/>
        <w:tblW w:w="0" w:type="auto"/>
        <w:tblLook w:val="04A0"/>
      </w:tblPr>
      <w:tblGrid>
        <w:gridCol w:w="3014"/>
        <w:gridCol w:w="3031"/>
        <w:gridCol w:w="3015"/>
      </w:tblGrid>
      <w:tr w14:paraId="42B1160A" w14:textId="77777777" w:rsidTr="0057772A">
        <w:tblPrEx>
          <w:tblW w:w="0" w:type="auto"/>
          <w:tblLook w:val="04A0"/>
        </w:tblPrEx>
        <w:tc>
          <w:tcPr>
            <w:tcW w:w="3070" w:type="dxa"/>
          </w:tcPr>
          <w:p w:rsidR="0057772A" w:rsidRPr="00295E71" w14:paraId="7884F572" w14:textId="77777777">
            <w:pPr>
              <w:numPr>
                <w:ilvl w:val="12"/>
                <w:numId w:val="0"/>
              </w:numPr>
              <w:tabs>
                <w:tab w:val="clear" w:pos="562"/>
                <w:tab w:val="left" w:pos="567"/>
              </w:tabs>
              <w:ind w:right="-2"/>
              <w:jc w:val="both"/>
              <w:rPr>
                <w:sz w:val="22"/>
                <w:szCs w:val="22"/>
                <w:u w:val="single"/>
              </w:rPr>
            </w:pPr>
            <w:r w:rsidRPr="00295E71">
              <w:rPr>
                <w:b/>
                <w:sz w:val="22"/>
                <w:szCs w:val="22"/>
              </w:rPr>
              <w:t>Psoriasi a placche</w:t>
            </w:r>
          </w:p>
        </w:tc>
        <w:tc>
          <w:tcPr>
            <w:tcW w:w="3070" w:type="dxa"/>
          </w:tcPr>
          <w:p w:rsidR="0057772A" w:rsidRPr="00295E71" w14:paraId="1FC8FFD7" w14:textId="77777777">
            <w:pPr>
              <w:numPr>
                <w:ilvl w:val="12"/>
                <w:numId w:val="0"/>
              </w:numPr>
              <w:tabs>
                <w:tab w:val="clear" w:pos="562"/>
                <w:tab w:val="left" w:pos="567"/>
              </w:tabs>
              <w:ind w:right="-2"/>
              <w:jc w:val="both"/>
              <w:rPr>
                <w:sz w:val="22"/>
                <w:szCs w:val="22"/>
                <w:u w:val="single"/>
              </w:rPr>
            </w:pPr>
          </w:p>
        </w:tc>
        <w:tc>
          <w:tcPr>
            <w:tcW w:w="3070" w:type="dxa"/>
          </w:tcPr>
          <w:p w:rsidR="0057772A" w:rsidRPr="00295E71" w14:paraId="7D0BA475" w14:textId="77777777">
            <w:pPr>
              <w:numPr>
                <w:ilvl w:val="12"/>
                <w:numId w:val="0"/>
              </w:numPr>
              <w:tabs>
                <w:tab w:val="clear" w:pos="562"/>
                <w:tab w:val="left" w:pos="567"/>
              </w:tabs>
              <w:ind w:right="-2"/>
              <w:jc w:val="both"/>
              <w:rPr>
                <w:sz w:val="22"/>
                <w:szCs w:val="22"/>
                <w:u w:val="single"/>
              </w:rPr>
            </w:pPr>
          </w:p>
        </w:tc>
      </w:tr>
      <w:tr w14:paraId="77475207" w14:textId="77777777" w:rsidTr="0057772A">
        <w:tblPrEx>
          <w:tblW w:w="0" w:type="auto"/>
          <w:tblLook w:val="04A0"/>
        </w:tblPrEx>
        <w:tc>
          <w:tcPr>
            <w:tcW w:w="3070" w:type="dxa"/>
          </w:tcPr>
          <w:p w:rsidR="0057772A" w:rsidRPr="00295E71" w14:paraId="1EA74917" w14:textId="77777777">
            <w:pPr>
              <w:numPr>
                <w:ilvl w:val="12"/>
                <w:numId w:val="0"/>
              </w:numPr>
              <w:tabs>
                <w:tab w:val="clear" w:pos="562"/>
                <w:tab w:val="left" w:pos="567"/>
              </w:tabs>
              <w:ind w:right="-2"/>
              <w:jc w:val="both"/>
              <w:rPr>
                <w:sz w:val="22"/>
                <w:szCs w:val="22"/>
                <w:u w:val="single"/>
              </w:rPr>
            </w:pPr>
            <w:r w:rsidRPr="00295E71">
              <w:rPr>
                <w:b/>
                <w:sz w:val="22"/>
                <w:szCs w:val="22"/>
              </w:rPr>
              <w:t>Età o peso corporeo</w:t>
            </w:r>
          </w:p>
        </w:tc>
        <w:tc>
          <w:tcPr>
            <w:tcW w:w="3070" w:type="dxa"/>
          </w:tcPr>
          <w:p w:rsidR="0057772A" w:rsidRPr="00295E71" w14:paraId="12ABA776" w14:textId="77777777">
            <w:pPr>
              <w:numPr>
                <w:ilvl w:val="12"/>
                <w:numId w:val="0"/>
              </w:numPr>
              <w:tabs>
                <w:tab w:val="clear" w:pos="562"/>
                <w:tab w:val="left" w:pos="567"/>
              </w:tabs>
              <w:ind w:right="-2"/>
              <w:jc w:val="both"/>
              <w:rPr>
                <w:sz w:val="22"/>
                <w:szCs w:val="22"/>
                <w:u w:val="single"/>
              </w:rPr>
            </w:pPr>
            <w:r w:rsidRPr="00295E71">
              <w:rPr>
                <w:b/>
                <w:sz w:val="22"/>
                <w:szCs w:val="22"/>
              </w:rPr>
              <w:t>Che quantità ne va assunta e con che frequenza?</w:t>
            </w:r>
          </w:p>
        </w:tc>
        <w:tc>
          <w:tcPr>
            <w:tcW w:w="3070" w:type="dxa"/>
          </w:tcPr>
          <w:p w:rsidR="0057772A" w:rsidRPr="00295E71" w14:paraId="5E4424DE" w14:textId="77777777">
            <w:pPr>
              <w:numPr>
                <w:ilvl w:val="12"/>
                <w:numId w:val="0"/>
              </w:numPr>
              <w:tabs>
                <w:tab w:val="clear" w:pos="562"/>
                <w:tab w:val="left" w:pos="567"/>
              </w:tabs>
              <w:ind w:right="-2"/>
              <w:jc w:val="both"/>
              <w:rPr>
                <w:sz w:val="22"/>
                <w:szCs w:val="22"/>
                <w:u w:val="single"/>
              </w:rPr>
            </w:pPr>
            <w:r w:rsidRPr="00295E71">
              <w:rPr>
                <w:b/>
                <w:sz w:val="22"/>
                <w:szCs w:val="22"/>
              </w:rPr>
              <w:t>Note</w:t>
            </w:r>
          </w:p>
        </w:tc>
      </w:tr>
      <w:tr w14:paraId="34C7ED8C" w14:textId="77777777" w:rsidTr="0057772A">
        <w:tblPrEx>
          <w:tblW w:w="0" w:type="auto"/>
          <w:tblLook w:val="04A0"/>
        </w:tblPrEx>
        <w:tc>
          <w:tcPr>
            <w:tcW w:w="3070" w:type="dxa"/>
          </w:tcPr>
          <w:p w:rsidR="0057772A" w:rsidRPr="00295E71" w:rsidP="005F3CB6" w14:paraId="0622E0A4" w14:textId="77777777">
            <w:pPr>
              <w:numPr>
                <w:ilvl w:val="12"/>
                <w:numId w:val="0"/>
              </w:numPr>
              <w:rPr>
                <w:sz w:val="22"/>
                <w:szCs w:val="22"/>
              </w:rPr>
            </w:pPr>
            <w:r w:rsidRPr="00295E71">
              <w:rPr>
                <w:sz w:val="22"/>
                <w:szCs w:val="22"/>
              </w:rPr>
              <w:t>Adulti</w:t>
            </w:r>
          </w:p>
          <w:p w:rsidR="0057772A" w:rsidRPr="00295E71" w:rsidP="005F3CB6" w14:paraId="03109E11" w14:textId="77777777">
            <w:pPr>
              <w:numPr>
                <w:ilvl w:val="12"/>
                <w:numId w:val="0"/>
              </w:numPr>
              <w:tabs>
                <w:tab w:val="clear" w:pos="562"/>
                <w:tab w:val="left" w:pos="567"/>
              </w:tabs>
              <w:jc w:val="both"/>
              <w:rPr>
                <w:sz w:val="22"/>
                <w:szCs w:val="22"/>
                <w:u w:val="single"/>
              </w:rPr>
            </w:pPr>
          </w:p>
        </w:tc>
        <w:tc>
          <w:tcPr>
            <w:tcW w:w="3070" w:type="dxa"/>
          </w:tcPr>
          <w:p w:rsidR="0057772A" w:rsidRPr="00295E71" w:rsidP="00147E2C" w14:paraId="2F8CA547" w14:textId="77777777">
            <w:pPr>
              <w:numPr>
                <w:ilvl w:val="12"/>
                <w:numId w:val="0"/>
              </w:numPr>
              <w:jc w:val="both"/>
              <w:rPr>
                <w:sz w:val="22"/>
                <w:szCs w:val="22"/>
                <w:u w:val="single"/>
              </w:rPr>
            </w:pPr>
            <w:r w:rsidRPr="00295E71">
              <w:rPr>
                <w:sz w:val="22"/>
                <w:szCs w:val="22"/>
              </w:rPr>
              <w:t>Una dose iniziale di 80 mg (due iniezioni di 40 mg in un giorno) seguita da una dose di 40 mg, somministrata a settimane alterne, a cominciare dalla settimana successiva all’assunzione della dose iniziale.</w:t>
            </w:r>
          </w:p>
        </w:tc>
        <w:tc>
          <w:tcPr>
            <w:tcW w:w="3070" w:type="dxa"/>
          </w:tcPr>
          <w:p w:rsidR="0057772A" w:rsidRPr="00295E71" w:rsidP="003E69B9" w14:paraId="41AD69FD" w14:textId="77777777">
            <w:pPr>
              <w:numPr>
                <w:ilvl w:val="12"/>
                <w:numId w:val="0"/>
              </w:numPr>
              <w:jc w:val="both"/>
              <w:rPr>
                <w:sz w:val="22"/>
                <w:szCs w:val="22"/>
                <w:u w:val="single"/>
              </w:rPr>
            </w:pPr>
            <w:r w:rsidRPr="00295E71">
              <w:rPr>
                <w:sz w:val="22"/>
                <w:szCs w:val="22"/>
              </w:rPr>
              <w:t xml:space="preserve">In </w:t>
            </w:r>
            <w:r w:rsidRPr="00295E71" w:rsidR="00096642">
              <w:rPr>
                <w:sz w:val="22"/>
                <w:szCs w:val="22"/>
              </w:rPr>
              <w:t xml:space="preserve">caso di </w:t>
            </w:r>
            <w:r w:rsidRPr="00295E71">
              <w:rPr>
                <w:sz w:val="22"/>
                <w:szCs w:val="22"/>
              </w:rPr>
              <w:t xml:space="preserve"> risposta </w:t>
            </w:r>
            <w:r w:rsidRPr="00295E71" w:rsidR="00096642">
              <w:rPr>
                <w:sz w:val="22"/>
                <w:szCs w:val="22"/>
              </w:rPr>
              <w:t>inadeguata</w:t>
            </w:r>
            <w:r w:rsidRPr="00295E71">
              <w:rPr>
                <w:sz w:val="22"/>
                <w:szCs w:val="22"/>
              </w:rPr>
              <w:t xml:space="preserve">, il medico potrebbe aumentare </w:t>
            </w:r>
            <w:r w:rsidRPr="00295E71" w:rsidR="002D0546">
              <w:rPr>
                <w:sz w:val="22"/>
                <w:szCs w:val="22"/>
              </w:rPr>
              <w:t xml:space="preserve"> il </w:t>
            </w:r>
            <w:r w:rsidRPr="00295E71">
              <w:rPr>
                <w:sz w:val="22"/>
                <w:szCs w:val="22"/>
              </w:rPr>
              <w:t>dos</w:t>
            </w:r>
            <w:r w:rsidRPr="00295E71" w:rsidR="002D0546">
              <w:rPr>
                <w:sz w:val="22"/>
                <w:szCs w:val="22"/>
              </w:rPr>
              <w:t>aggio</w:t>
            </w:r>
            <w:r w:rsidRPr="00295E71">
              <w:rPr>
                <w:sz w:val="22"/>
                <w:szCs w:val="22"/>
              </w:rPr>
              <w:t xml:space="preserve"> a 40 mg ogni settimana</w:t>
            </w:r>
            <w:r w:rsidRPr="00295E71" w:rsidR="002D0546">
              <w:rPr>
                <w:sz w:val="22"/>
                <w:szCs w:val="22"/>
              </w:rPr>
              <w:t xml:space="preserve"> o 80 mg a settimane alterne</w:t>
            </w:r>
            <w:r w:rsidRPr="00295E71">
              <w:rPr>
                <w:sz w:val="22"/>
                <w:szCs w:val="22"/>
              </w:rPr>
              <w:t>.</w:t>
            </w:r>
          </w:p>
        </w:tc>
      </w:tr>
      <w:tr w14:paraId="49B5979A" w14:textId="77777777" w:rsidTr="0057772A">
        <w:tblPrEx>
          <w:tblW w:w="0" w:type="auto"/>
          <w:tblLook w:val="04A0"/>
        </w:tblPrEx>
        <w:tc>
          <w:tcPr>
            <w:tcW w:w="3070" w:type="dxa"/>
          </w:tcPr>
          <w:p w:rsidR="0057772A" w:rsidRPr="00295E71" w:rsidP="005F3CB6" w14:paraId="74F0D724" w14:textId="77777777">
            <w:pPr>
              <w:keepNext/>
              <w:numPr>
                <w:ilvl w:val="12"/>
                <w:numId w:val="0"/>
              </w:numPr>
              <w:tabs>
                <w:tab w:val="clear" w:pos="562"/>
                <w:tab w:val="left" w:pos="567"/>
              </w:tabs>
              <w:ind w:right="-2"/>
              <w:jc w:val="both"/>
              <w:rPr>
                <w:sz w:val="22"/>
                <w:szCs w:val="22"/>
                <w:u w:val="single"/>
              </w:rPr>
            </w:pPr>
            <w:r w:rsidRPr="00295E71">
              <w:rPr>
                <w:sz w:val="22"/>
                <w:szCs w:val="22"/>
              </w:rPr>
              <w:t>Bambini e adolescenti di età compresa tra 4 e 17 anni e con peso uguale o superiore a 30 kg</w:t>
            </w:r>
          </w:p>
        </w:tc>
        <w:tc>
          <w:tcPr>
            <w:tcW w:w="3070" w:type="dxa"/>
          </w:tcPr>
          <w:p w:rsidR="0057772A" w:rsidRPr="00295E71" w:rsidP="005F3CB6" w14:paraId="567A84A0" w14:textId="77777777">
            <w:pPr>
              <w:keepNext/>
              <w:numPr>
                <w:ilvl w:val="12"/>
                <w:numId w:val="0"/>
              </w:numPr>
              <w:ind w:right="-2"/>
              <w:jc w:val="both"/>
              <w:rPr>
                <w:sz w:val="22"/>
                <w:szCs w:val="22"/>
              </w:rPr>
            </w:pPr>
            <w:r w:rsidRPr="00295E71">
              <w:rPr>
                <w:sz w:val="22"/>
                <w:szCs w:val="22"/>
              </w:rPr>
              <w:t>Una dose iniziale di 40 mg, segui</w:t>
            </w:r>
            <w:r w:rsidRPr="00295E71" w:rsidR="00CB57D3">
              <w:rPr>
                <w:sz w:val="22"/>
                <w:szCs w:val="22"/>
              </w:rPr>
              <w:t>t</w:t>
            </w:r>
            <w:r w:rsidRPr="00295E71">
              <w:rPr>
                <w:sz w:val="22"/>
                <w:szCs w:val="22"/>
              </w:rPr>
              <w:t>a da 40 mg dopo una settimana.</w:t>
            </w:r>
          </w:p>
          <w:p w:rsidR="001E05A2" w:rsidRPr="00295E71" w:rsidP="005F3CB6" w14:paraId="353ED467" w14:textId="77777777">
            <w:pPr>
              <w:keepNext/>
              <w:numPr>
                <w:ilvl w:val="12"/>
                <w:numId w:val="0"/>
              </w:numPr>
              <w:ind w:right="-2"/>
              <w:jc w:val="both"/>
              <w:rPr>
                <w:sz w:val="22"/>
                <w:szCs w:val="22"/>
              </w:rPr>
            </w:pPr>
          </w:p>
          <w:p w:rsidR="001E05A2" w:rsidRPr="00295E71" w:rsidP="005F3CB6" w14:paraId="46674AEF" w14:textId="77777777">
            <w:pPr>
              <w:keepNext/>
              <w:numPr>
                <w:ilvl w:val="12"/>
                <w:numId w:val="0"/>
              </w:numPr>
              <w:ind w:right="-2"/>
              <w:jc w:val="both"/>
              <w:rPr>
                <w:sz w:val="22"/>
                <w:szCs w:val="22"/>
              </w:rPr>
            </w:pPr>
            <w:r w:rsidRPr="00295E71">
              <w:rPr>
                <w:sz w:val="22"/>
                <w:szCs w:val="22"/>
              </w:rPr>
              <w:t>Successivamente</w:t>
            </w:r>
            <w:r w:rsidRPr="00295E71">
              <w:rPr>
                <w:rFonts w:asciiTheme="minorHAnsi" w:eastAsiaTheme="minorHAnsi" w:hAnsiTheme="minorHAnsi" w:cstheme="minorBidi"/>
                <w:sz w:val="22"/>
                <w:szCs w:val="22"/>
                <w:lang w:eastAsia="en-US"/>
              </w:rPr>
              <w:t xml:space="preserve">, </w:t>
            </w:r>
            <w:r w:rsidRPr="00295E71">
              <w:rPr>
                <w:sz w:val="22"/>
                <w:szCs w:val="22"/>
              </w:rPr>
              <w:t>la dose abituale è di 40 mg a settimane alterne.</w:t>
            </w:r>
          </w:p>
          <w:p w:rsidR="0057772A" w:rsidRPr="00295E71" w:rsidP="005F3CB6" w14:paraId="03B292A9" w14:textId="77777777">
            <w:pPr>
              <w:keepNext/>
              <w:numPr>
                <w:ilvl w:val="12"/>
                <w:numId w:val="0"/>
              </w:numPr>
              <w:ind w:right="-2"/>
              <w:jc w:val="both"/>
              <w:rPr>
                <w:sz w:val="22"/>
                <w:szCs w:val="22"/>
                <w:u w:val="single"/>
              </w:rPr>
            </w:pPr>
          </w:p>
        </w:tc>
        <w:tc>
          <w:tcPr>
            <w:tcW w:w="3070" w:type="dxa"/>
          </w:tcPr>
          <w:p w:rsidR="0057772A" w:rsidRPr="00295E71" w:rsidP="005F3CB6" w14:paraId="74B11D15" w14:textId="77777777">
            <w:pPr>
              <w:keepNext/>
              <w:numPr>
                <w:ilvl w:val="12"/>
                <w:numId w:val="0"/>
              </w:numPr>
              <w:tabs>
                <w:tab w:val="clear" w:pos="562"/>
                <w:tab w:val="left" w:pos="567"/>
              </w:tabs>
              <w:ind w:right="-2"/>
              <w:jc w:val="both"/>
              <w:rPr>
                <w:sz w:val="22"/>
                <w:szCs w:val="22"/>
                <w:u w:val="single"/>
              </w:rPr>
            </w:pPr>
            <w:r w:rsidRPr="00295E71">
              <w:rPr>
                <w:sz w:val="22"/>
                <w:szCs w:val="22"/>
              </w:rPr>
              <w:t>Non pertinente</w:t>
            </w:r>
          </w:p>
        </w:tc>
      </w:tr>
      <w:tr w14:paraId="4A8CBE12" w14:textId="77777777" w:rsidTr="0057772A">
        <w:tblPrEx>
          <w:tblW w:w="0" w:type="auto"/>
          <w:tblLook w:val="04A0"/>
        </w:tblPrEx>
        <w:tc>
          <w:tcPr>
            <w:tcW w:w="3070" w:type="dxa"/>
          </w:tcPr>
          <w:p w:rsidR="00CB57D3" w:rsidRPr="00295E71" w:rsidP="00CB57D3" w14:paraId="5685DB37" w14:textId="77777777">
            <w:pPr>
              <w:numPr>
                <w:ilvl w:val="12"/>
                <w:numId w:val="0"/>
              </w:numPr>
              <w:ind w:right="-2"/>
              <w:jc w:val="both"/>
              <w:rPr>
                <w:sz w:val="22"/>
                <w:szCs w:val="22"/>
              </w:rPr>
            </w:pPr>
            <w:r w:rsidRPr="00295E71">
              <w:rPr>
                <w:sz w:val="22"/>
                <w:szCs w:val="22"/>
              </w:rPr>
              <w:t>Bambini e adolescenti di età compresa tra 4 e 17 anni e con peso compreso tra 15 kg e meno di 30 kg</w:t>
            </w:r>
          </w:p>
        </w:tc>
        <w:tc>
          <w:tcPr>
            <w:tcW w:w="3070" w:type="dxa"/>
          </w:tcPr>
          <w:p w:rsidR="00CB57D3" w:rsidRPr="00295E71" w:rsidP="008000B1" w14:paraId="6837B8E0" w14:textId="77777777">
            <w:pPr>
              <w:numPr>
                <w:ilvl w:val="12"/>
                <w:numId w:val="0"/>
              </w:numPr>
              <w:ind w:right="-2"/>
              <w:rPr>
                <w:sz w:val="22"/>
                <w:szCs w:val="22"/>
              </w:rPr>
            </w:pPr>
            <w:r w:rsidRPr="00295E71">
              <w:rPr>
                <w:sz w:val="22"/>
                <w:szCs w:val="22"/>
              </w:rPr>
              <w:t>Una dose iniziale di 20 mg, seguita da 20 mg dopo una settimana.</w:t>
            </w:r>
          </w:p>
          <w:p w:rsidR="00CB57D3" w:rsidRPr="00295E71" w:rsidP="008000B1" w14:paraId="3CBC58CB" w14:textId="77777777">
            <w:pPr>
              <w:numPr>
                <w:ilvl w:val="12"/>
                <w:numId w:val="0"/>
              </w:numPr>
              <w:ind w:right="-2"/>
              <w:rPr>
                <w:sz w:val="22"/>
                <w:szCs w:val="22"/>
              </w:rPr>
            </w:pPr>
          </w:p>
          <w:p w:rsidR="00CB57D3" w:rsidRPr="00295E71" w:rsidP="008000B1" w14:paraId="20A74169" w14:textId="77777777">
            <w:pPr>
              <w:numPr>
                <w:ilvl w:val="12"/>
                <w:numId w:val="0"/>
              </w:numPr>
              <w:ind w:right="-2"/>
              <w:rPr>
                <w:sz w:val="22"/>
                <w:szCs w:val="22"/>
              </w:rPr>
            </w:pPr>
            <w:r w:rsidRPr="00295E71">
              <w:rPr>
                <w:sz w:val="22"/>
                <w:szCs w:val="22"/>
              </w:rPr>
              <w:t>Successivamente</w:t>
            </w:r>
            <w:r w:rsidRPr="00295E71" w:rsidR="001E05A2">
              <w:rPr>
                <w:rFonts w:asciiTheme="minorHAnsi" w:eastAsiaTheme="minorHAnsi" w:hAnsiTheme="minorHAnsi" w:cstheme="minorBidi"/>
                <w:sz w:val="22"/>
                <w:szCs w:val="22"/>
                <w:lang w:eastAsia="en-US"/>
              </w:rPr>
              <w:t xml:space="preserve">, </w:t>
            </w:r>
            <w:r w:rsidRPr="00295E71" w:rsidR="001E05A2">
              <w:rPr>
                <w:sz w:val="22"/>
                <w:szCs w:val="22"/>
              </w:rPr>
              <w:t>la dose abituale è di 20 mg a settimane alterne.</w:t>
            </w:r>
          </w:p>
        </w:tc>
        <w:tc>
          <w:tcPr>
            <w:tcW w:w="3070" w:type="dxa"/>
          </w:tcPr>
          <w:p w:rsidR="00CB57D3" w:rsidRPr="00295E71" w14:paraId="4B850E91" w14:textId="77777777">
            <w:pPr>
              <w:numPr>
                <w:ilvl w:val="12"/>
                <w:numId w:val="0"/>
              </w:numPr>
              <w:tabs>
                <w:tab w:val="clear" w:pos="562"/>
                <w:tab w:val="left" w:pos="567"/>
              </w:tabs>
              <w:ind w:right="-2"/>
              <w:jc w:val="both"/>
              <w:rPr>
                <w:sz w:val="22"/>
                <w:szCs w:val="22"/>
                <w:u w:val="single"/>
              </w:rPr>
            </w:pPr>
            <w:r w:rsidRPr="00295E71">
              <w:rPr>
                <w:sz w:val="22"/>
                <w:szCs w:val="22"/>
              </w:rPr>
              <w:t>Non pertinente</w:t>
            </w:r>
          </w:p>
        </w:tc>
      </w:tr>
    </w:tbl>
    <w:p w:rsidR="0057772A" w:rsidRPr="00295E71" w14:paraId="146499E0" w14:textId="77777777">
      <w:pPr>
        <w:numPr>
          <w:ilvl w:val="12"/>
          <w:numId w:val="0"/>
        </w:numPr>
        <w:tabs>
          <w:tab w:val="left" w:pos="567"/>
        </w:tabs>
        <w:ind w:right="-2"/>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8"/>
        <w:gridCol w:w="3022"/>
        <w:gridCol w:w="3020"/>
      </w:tblGrid>
      <w:tr w14:paraId="47BD751A" w14:textId="77777777">
        <w:tblPrEx>
          <w:tblW w:w="0" w:type="auto"/>
          <w:tblLook w:val="04A0"/>
        </w:tblPrEx>
        <w:tc>
          <w:tcPr>
            <w:tcW w:w="9287" w:type="dxa"/>
            <w:gridSpan w:val="3"/>
          </w:tcPr>
          <w:p w:rsidR="006224C2" w:rsidRPr="00295E71" w14:paraId="726FD7FA" w14:textId="77777777">
            <w:pPr>
              <w:numPr>
                <w:ilvl w:val="12"/>
                <w:numId w:val="0"/>
              </w:numPr>
              <w:ind w:right="-2"/>
              <w:rPr>
                <w:b/>
                <w:sz w:val="22"/>
                <w:szCs w:val="22"/>
              </w:rPr>
            </w:pPr>
            <w:r w:rsidRPr="00295E71">
              <w:rPr>
                <w:b/>
                <w:sz w:val="22"/>
                <w:szCs w:val="22"/>
              </w:rPr>
              <w:t>Idrosadenite suppurativa</w:t>
            </w:r>
          </w:p>
        </w:tc>
      </w:tr>
      <w:tr w14:paraId="5060835E" w14:textId="77777777">
        <w:tblPrEx>
          <w:tblW w:w="0" w:type="auto"/>
          <w:tblLook w:val="04A0"/>
        </w:tblPrEx>
        <w:tc>
          <w:tcPr>
            <w:tcW w:w="3095" w:type="dxa"/>
          </w:tcPr>
          <w:p w:rsidR="006224C2" w:rsidRPr="00295E71" w14:paraId="4A4233D9" w14:textId="77777777">
            <w:pPr>
              <w:numPr>
                <w:ilvl w:val="12"/>
                <w:numId w:val="0"/>
              </w:numPr>
              <w:ind w:right="-2"/>
              <w:rPr>
                <w:sz w:val="22"/>
                <w:szCs w:val="22"/>
              </w:rPr>
            </w:pPr>
            <w:r w:rsidRPr="00295E71">
              <w:rPr>
                <w:b/>
                <w:sz w:val="22"/>
                <w:szCs w:val="22"/>
              </w:rPr>
              <w:t>Età o peso corporeo</w:t>
            </w:r>
          </w:p>
        </w:tc>
        <w:tc>
          <w:tcPr>
            <w:tcW w:w="3096" w:type="dxa"/>
          </w:tcPr>
          <w:p w:rsidR="006224C2" w:rsidRPr="00295E71" w14:paraId="68CBD7A8" w14:textId="77777777">
            <w:pPr>
              <w:numPr>
                <w:ilvl w:val="12"/>
                <w:numId w:val="0"/>
              </w:numPr>
              <w:ind w:right="-2"/>
              <w:rPr>
                <w:sz w:val="22"/>
                <w:szCs w:val="22"/>
              </w:rPr>
            </w:pPr>
            <w:r w:rsidRPr="00295E71">
              <w:rPr>
                <w:b/>
                <w:sz w:val="22"/>
                <w:szCs w:val="22"/>
              </w:rPr>
              <w:t xml:space="preserve"> Che quantità ne va assunta e con che frequenza?</w:t>
            </w:r>
          </w:p>
        </w:tc>
        <w:tc>
          <w:tcPr>
            <w:tcW w:w="3096" w:type="dxa"/>
          </w:tcPr>
          <w:p w:rsidR="006224C2" w:rsidRPr="00295E71" w14:paraId="6F1D4156" w14:textId="77777777">
            <w:pPr>
              <w:numPr>
                <w:ilvl w:val="12"/>
                <w:numId w:val="0"/>
              </w:numPr>
              <w:ind w:right="-2"/>
              <w:rPr>
                <w:sz w:val="22"/>
                <w:szCs w:val="22"/>
              </w:rPr>
            </w:pPr>
            <w:r w:rsidRPr="00295E71">
              <w:rPr>
                <w:b/>
                <w:sz w:val="22"/>
                <w:szCs w:val="22"/>
              </w:rPr>
              <w:t>Note</w:t>
            </w:r>
          </w:p>
        </w:tc>
      </w:tr>
      <w:tr w14:paraId="13247991" w14:textId="77777777">
        <w:tblPrEx>
          <w:tblW w:w="0" w:type="auto"/>
          <w:tblLook w:val="04A0"/>
        </w:tblPrEx>
        <w:tc>
          <w:tcPr>
            <w:tcW w:w="3095" w:type="dxa"/>
          </w:tcPr>
          <w:p w:rsidR="006224C2" w:rsidRPr="00295E71" w14:paraId="219C8232" w14:textId="77777777">
            <w:pPr>
              <w:numPr>
                <w:ilvl w:val="12"/>
                <w:numId w:val="0"/>
              </w:numPr>
              <w:ind w:right="-2"/>
              <w:rPr>
                <w:sz w:val="22"/>
                <w:szCs w:val="22"/>
              </w:rPr>
            </w:pPr>
            <w:r w:rsidRPr="00295E71">
              <w:rPr>
                <w:sz w:val="22"/>
                <w:szCs w:val="22"/>
              </w:rPr>
              <w:t>Adulti</w:t>
            </w:r>
          </w:p>
        </w:tc>
        <w:tc>
          <w:tcPr>
            <w:tcW w:w="3096" w:type="dxa"/>
          </w:tcPr>
          <w:p w:rsidR="006224C2" w:rsidRPr="00295E71" w:rsidP="002D0546" w14:paraId="0C3B71DD" w14:textId="77777777">
            <w:pPr>
              <w:numPr>
                <w:ilvl w:val="12"/>
                <w:numId w:val="0"/>
              </w:numPr>
              <w:ind w:right="-2"/>
              <w:rPr>
                <w:sz w:val="22"/>
                <w:szCs w:val="22"/>
              </w:rPr>
            </w:pPr>
            <w:r w:rsidRPr="00295E71">
              <w:rPr>
                <w:sz w:val="22"/>
                <w:szCs w:val="22"/>
              </w:rPr>
              <w:t>Una dose iniziale di 160 mg (</w:t>
            </w:r>
            <w:r w:rsidRPr="00295E71" w:rsidR="00B2153B">
              <w:rPr>
                <w:sz w:val="22"/>
                <w:szCs w:val="22"/>
              </w:rPr>
              <w:t>quattro</w:t>
            </w:r>
            <w:r w:rsidRPr="00295E71">
              <w:rPr>
                <w:sz w:val="22"/>
                <w:szCs w:val="22"/>
              </w:rPr>
              <w:t xml:space="preserve"> iniezioni da 40 mg in un giorno o </w:t>
            </w:r>
            <w:r w:rsidRPr="00295E71" w:rsidR="00B2153B">
              <w:rPr>
                <w:sz w:val="22"/>
                <w:szCs w:val="22"/>
              </w:rPr>
              <w:t>due</w:t>
            </w:r>
            <w:r w:rsidRPr="00295E71">
              <w:rPr>
                <w:sz w:val="22"/>
                <w:szCs w:val="22"/>
              </w:rPr>
              <w:t xml:space="preserve"> iniezioni da 40 mg al giorno per due giorni consecutivi), seguita da una dose di 80 mg (</w:t>
            </w:r>
            <w:r w:rsidRPr="00295E71" w:rsidR="00B2153B">
              <w:rPr>
                <w:sz w:val="22"/>
                <w:szCs w:val="22"/>
              </w:rPr>
              <w:t>due</w:t>
            </w:r>
            <w:r w:rsidRPr="00295E71">
              <w:rPr>
                <w:sz w:val="22"/>
                <w:szCs w:val="22"/>
              </w:rPr>
              <w:t xml:space="preserve"> iniezioni da 40 mg lo stesso giorno) due settimane dopo. Dopo altre due settimane, continuare con una dose di 40 mg a settimana</w:t>
            </w:r>
            <w:r w:rsidRPr="00295E71" w:rsidR="002D0546">
              <w:rPr>
                <w:sz w:val="22"/>
                <w:szCs w:val="22"/>
              </w:rPr>
              <w:t xml:space="preserve"> o 80 mg a settimane alterne, come prescritto dal medico</w:t>
            </w:r>
            <w:r w:rsidRPr="00295E71">
              <w:rPr>
                <w:sz w:val="22"/>
                <w:szCs w:val="22"/>
              </w:rPr>
              <w:t xml:space="preserve">. </w:t>
            </w:r>
          </w:p>
        </w:tc>
        <w:tc>
          <w:tcPr>
            <w:tcW w:w="3096" w:type="dxa"/>
          </w:tcPr>
          <w:p w:rsidR="006224C2" w:rsidRPr="00295E71" w14:paraId="5F8BD984" w14:textId="77777777">
            <w:pPr>
              <w:numPr>
                <w:ilvl w:val="12"/>
                <w:numId w:val="0"/>
              </w:numPr>
              <w:ind w:right="-2"/>
              <w:rPr>
                <w:sz w:val="22"/>
                <w:szCs w:val="22"/>
              </w:rPr>
            </w:pPr>
            <w:r w:rsidRPr="00295E71">
              <w:rPr>
                <w:sz w:val="22"/>
                <w:szCs w:val="22"/>
              </w:rPr>
              <w:t xml:space="preserve">Si raccomanda di utilizzare tutti i giorni una soluzione di lavaggio antisettica sulle aree interessate. </w:t>
            </w:r>
          </w:p>
        </w:tc>
      </w:tr>
      <w:tr w14:paraId="76F6F830" w14:textId="77777777">
        <w:tblPrEx>
          <w:tblW w:w="0" w:type="auto"/>
          <w:tblLook w:val="04A0"/>
        </w:tblPrEx>
        <w:tc>
          <w:tcPr>
            <w:tcW w:w="3095" w:type="dxa"/>
          </w:tcPr>
          <w:p w:rsidR="006224C2" w:rsidRPr="00295E71" w14:paraId="795876A1" w14:textId="77777777">
            <w:pPr>
              <w:numPr>
                <w:ilvl w:val="12"/>
                <w:numId w:val="0"/>
              </w:numPr>
              <w:ind w:right="-2"/>
              <w:rPr>
                <w:sz w:val="22"/>
                <w:szCs w:val="22"/>
              </w:rPr>
            </w:pPr>
            <w:r w:rsidRPr="00295E71">
              <w:rPr>
                <w:sz w:val="22"/>
                <w:szCs w:val="22"/>
              </w:rPr>
              <w:t xml:space="preserve">Adolescenti </w:t>
            </w:r>
            <w:r w:rsidRPr="00295E71" w:rsidR="008045A7">
              <w:rPr>
                <w:sz w:val="22"/>
                <w:szCs w:val="22"/>
              </w:rPr>
              <w:t xml:space="preserve">di età compresa tra </w:t>
            </w:r>
            <w:r w:rsidRPr="00295E71">
              <w:rPr>
                <w:sz w:val="22"/>
                <w:szCs w:val="22"/>
              </w:rPr>
              <w:t xml:space="preserve"> 12</w:t>
            </w:r>
            <w:r w:rsidRPr="00295E71" w:rsidR="008045A7">
              <w:rPr>
                <w:sz w:val="22"/>
                <w:szCs w:val="22"/>
              </w:rPr>
              <w:t xml:space="preserve"> e 17</w:t>
            </w:r>
            <w:r w:rsidRPr="00295E71">
              <w:rPr>
                <w:sz w:val="22"/>
                <w:szCs w:val="22"/>
              </w:rPr>
              <w:t xml:space="preserve"> anni, </w:t>
            </w:r>
            <w:r w:rsidRPr="00295E71" w:rsidR="008045A7">
              <w:rPr>
                <w:sz w:val="22"/>
                <w:szCs w:val="22"/>
              </w:rPr>
              <w:t>con peso uguale o superiore a</w:t>
            </w:r>
            <w:r w:rsidRPr="00295E71">
              <w:rPr>
                <w:sz w:val="22"/>
                <w:szCs w:val="22"/>
              </w:rPr>
              <w:t xml:space="preserve"> 30 kg</w:t>
            </w:r>
          </w:p>
          <w:p w:rsidR="006224C2" w:rsidRPr="00295E71" w14:paraId="51CBFF37" w14:textId="77777777">
            <w:pPr>
              <w:numPr>
                <w:ilvl w:val="12"/>
                <w:numId w:val="0"/>
              </w:numPr>
              <w:ind w:right="-2"/>
              <w:rPr>
                <w:sz w:val="22"/>
                <w:szCs w:val="22"/>
              </w:rPr>
            </w:pPr>
          </w:p>
        </w:tc>
        <w:tc>
          <w:tcPr>
            <w:tcW w:w="3096" w:type="dxa"/>
          </w:tcPr>
          <w:p w:rsidR="006224C2" w:rsidRPr="00295E71" w:rsidP="00B2153B" w14:paraId="1A0ABD38" w14:textId="77777777">
            <w:pPr>
              <w:numPr>
                <w:ilvl w:val="12"/>
                <w:numId w:val="0"/>
              </w:numPr>
              <w:ind w:right="-2"/>
              <w:rPr>
                <w:sz w:val="22"/>
                <w:szCs w:val="22"/>
              </w:rPr>
            </w:pPr>
            <w:r w:rsidRPr="00295E71">
              <w:rPr>
                <w:sz w:val="22"/>
                <w:szCs w:val="22"/>
              </w:rPr>
              <w:t>Una dose iniziale di 80 mg (</w:t>
            </w:r>
            <w:r w:rsidRPr="00295E71" w:rsidR="00B2153B">
              <w:rPr>
                <w:sz w:val="22"/>
                <w:szCs w:val="22"/>
              </w:rPr>
              <w:t>due</w:t>
            </w:r>
            <w:r w:rsidRPr="00295E71">
              <w:rPr>
                <w:sz w:val="22"/>
                <w:szCs w:val="22"/>
              </w:rPr>
              <w:t xml:space="preserve"> iniezioni da 40 mg in un giorno), seguita da 40 mg a settimane alterne a partire da una settimana dopo la dose iniziale.</w:t>
            </w:r>
          </w:p>
        </w:tc>
        <w:tc>
          <w:tcPr>
            <w:tcW w:w="3096" w:type="dxa"/>
          </w:tcPr>
          <w:p w:rsidR="006224C2" w:rsidRPr="00295E71" w14:paraId="2909D7D3" w14:textId="77777777">
            <w:pPr>
              <w:numPr>
                <w:ilvl w:val="12"/>
                <w:numId w:val="0"/>
              </w:numPr>
              <w:ind w:right="-2"/>
              <w:rPr>
                <w:sz w:val="22"/>
                <w:szCs w:val="22"/>
              </w:rPr>
            </w:pPr>
            <w:r w:rsidRPr="00295E71">
              <w:rPr>
                <w:sz w:val="22"/>
                <w:szCs w:val="22"/>
              </w:rPr>
              <w:t>In caso di risposta inadeguata</w:t>
            </w:r>
            <w:r w:rsidRPr="00295E71" w:rsidR="002D0546">
              <w:rPr>
                <w:sz w:val="22"/>
                <w:szCs w:val="22"/>
              </w:rPr>
              <w:t xml:space="preserve"> a 40 mg di Humira a settimane alterne</w:t>
            </w:r>
            <w:r w:rsidRPr="00295E71">
              <w:rPr>
                <w:sz w:val="22"/>
                <w:szCs w:val="22"/>
              </w:rPr>
              <w:t xml:space="preserve">, il medico può aumentare </w:t>
            </w:r>
            <w:r w:rsidRPr="00295E71" w:rsidR="002D0546">
              <w:rPr>
                <w:sz w:val="22"/>
                <w:szCs w:val="22"/>
              </w:rPr>
              <w:t>il</w:t>
            </w:r>
            <w:r w:rsidRPr="00295E71">
              <w:rPr>
                <w:sz w:val="22"/>
                <w:szCs w:val="22"/>
              </w:rPr>
              <w:t xml:space="preserve"> dos</w:t>
            </w:r>
            <w:r w:rsidRPr="00295E71" w:rsidR="002D0546">
              <w:rPr>
                <w:sz w:val="22"/>
                <w:szCs w:val="22"/>
              </w:rPr>
              <w:t>aggio</w:t>
            </w:r>
            <w:r w:rsidRPr="00295E71">
              <w:rPr>
                <w:sz w:val="22"/>
                <w:szCs w:val="22"/>
              </w:rPr>
              <w:t xml:space="preserve"> a 40 mg ogni settimana</w:t>
            </w:r>
            <w:r w:rsidRPr="00295E71" w:rsidR="002D0546">
              <w:rPr>
                <w:sz w:val="22"/>
                <w:szCs w:val="22"/>
              </w:rPr>
              <w:t xml:space="preserve"> o 80 mg a settimane alterne</w:t>
            </w:r>
            <w:r w:rsidRPr="00295E71">
              <w:rPr>
                <w:sz w:val="22"/>
                <w:szCs w:val="22"/>
              </w:rPr>
              <w:t>.</w:t>
            </w:r>
          </w:p>
          <w:p w:rsidR="006224C2" w:rsidRPr="00295E71" w14:paraId="79A98241" w14:textId="77777777">
            <w:pPr>
              <w:numPr>
                <w:ilvl w:val="12"/>
                <w:numId w:val="0"/>
              </w:numPr>
              <w:ind w:right="-2"/>
              <w:rPr>
                <w:sz w:val="22"/>
                <w:szCs w:val="22"/>
              </w:rPr>
            </w:pPr>
            <w:r w:rsidRPr="00295E71">
              <w:rPr>
                <w:sz w:val="22"/>
                <w:szCs w:val="22"/>
              </w:rPr>
              <w:t>Si raccomanda di utilizzare tutti i giorni una soluzione di lavaggio antisettica sulle aree interessate.</w:t>
            </w:r>
          </w:p>
        </w:tc>
      </w:tr>
    </w:tbl>
    <w:p w:rsidR="006224C2" w:rsidRPr="00295E71" w14:paraId="7B9C3DF3" w14:textId="77777777">
      <w:pPr>
        <w:numPr>
          <w:ilvl w:val="12"/>
          <w:numId w:val="0"/>
        </w:numPr>
        <w:tabs>
          <w:tab w:val="left" w:pos="567"/>
        </w:tabs>
        <w:ind w:right="-2"/>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2"/>
        <w:gridCol w:w="3038"/>
        <w:gridCol w:w="3010"/>
      </w:tblGrid>
      <w:tr w14:paraId="385ECBA4" w14:textId="77777777">
        <w:tblPrEx>
          <w:tblW w:w="0" w:type="auto"/>
          <w:tblLook w:val="04A0"/>
        </w:tblPrEx>
        <w:tc>
          <w:tcPr>
            <w:tcW w:w="9286" w:type="dxa"/>
            <w:gridSpan w:val="3"/>
          </w:tcPr>
          <w:p w:rsidR="006224C2" w:rsidRPr="00295E71" w:rsidP="005F3CB6" w14:paraId="34017E80" w14:textId="77777777">
            <w:pPr>
              <w:keepNext/>
              <w:numPr>
                <w:ilvl w:val="12"/>
                <w:numId w:val="0"/>
              </w:numPr>
              <w:ind w:right="-2"/>
              <w:rPr>
                <w:sz w:val="22"/>
                <w:szCs w:val="22"/>
              </w:rPr>
            </w:pPr>
            <w:r w:rsidRPr="00295E71">
              <w:rPr>
                <w:sz w:val="22"/>
                <w:szCs w:val="22"/>
              </w:rPr>
              <w:br w:type="page"/>
            </w:r>
            <w:r w:rsidRPr="00295E71">
              <w:rPr>
                <w:b/>
                <w:sz w:val="22"/>
                <w:szCs w:val="22"/>
              </w:rPr>
              <w:t>Malattia di Crohn</w:t>
            </w:r>
          </w:p>
        </w:tc>
      </w:tr>
      <w:tr w14:paraId="7A817B70" w14:textId="77777777">
        <w:tblPrEx>
          <w:tblW w:w="0" w:type="auto"/>
          <w:tblLook w:val="04A0"/>
        </w:tblPrEx>
        <w:tc>
          <w:tcPr>
            <w:tcW w:w="3094" w:type="dxa"/>
          </w:tcPr>
          <w:p w:rsidR="006224C2" w:rsidRPr="00295E71" w:rsidP="005F3CB6" w14:paraId="27B735EF" w14:textId="77777777">
            <w:pPr>
              <w:keepNext/>
              <w:numPr>
                <w:ilvl w:val="12"/>
                <w:numId w:val="0"/>
              </w:numPr>
              <w:ind w:right="-2"/>
              <w:rPr>
                <w:sz w:val="22"/>
                <w:szCs w:val="22"/>
              </w:rPr>
            </w:pPr>
            <w:r w:rsidRPr="00295E71">
              <w:rPr>
                <w:b/>
                <w:sz w:val="22"/>
                <w:szCs w:val="22"/>
              </w:rPr>
              <w:t>Età o peso corporeo</w:t>
            </w:r>
          </w:p>
        </w:tc>
        <w:tc>
          <w:tcPr>
            <w:tcW w:w="3096" w:type="dxa"/>
          </w:tcPr>
          <w:p w:rsidR="006224C2" w:rsidRPr="00295E71" w:rsidP="005F3CB6" w14:paraId="3A9CE61F" w14:textId="77777777">
            <w:pPr>
              <w:keepNext/>
              <w:numPr>
                <w:ilvl w:val="12"/>
                <w:numId w:val="0"/>
              </w:numPr>
              <w:ind w:right="-2"/>
              <w:rPr>
                <w:sz w:val="22"/>
                <w:szCs w:val="22"/>
              </w:rPr>
            </w:pPr>
            <w:r w:rsidRPr="00295E71">
              <w:rPr>
                <w:b/>
                <w:sz w:val="22"/>
                <w:szCs w:val="22"/>
              </w:rPr>
              <w:t>Che quantità ne va assunta e con che frequenza?</w:t>
            </w:r>
          </w:p>
        </w:tc>
        <w:tc>
          <w:tcPr>
            <w:tcW w:w="3096" w:type="dxa"/>
          </w:tcPr>
          <w:p w:rsidR="006224C2" w:rsidRPr="00295E71" w:rsidP="005F3CB6" w14:paraId="3034F400" w14:textId="77777777">
            <w:pPr>
              <w:keepNext/>
              <w:numPr>
                <w:ilvl w:val="12"/>
                <w:numId w:val="0"/>
              </w:numPr>
              <w:ind w:right="-2"/>
              <w:rPr>
                <w:sz w:val="22"/>
                <w:szCs w:val="22"/>
              </w:rPr>
            </w:pPr>
            <w:r w:rsidRPr="00295E71">
              <w:rPr>
                <w:b/>
                <w:sz w:val="22"/>
                <w:szCs w:val="22"/>
              </w:rPr>
              <w:t>Note</w:t>
            </w:r>
          </w:p>
        </w:tc>
      </w:tr>
      <w:tr w14:paraId="7C38A606" w14:textId="77777777">
        <w:tblPrEx>
          <w:tblW w:w="0" w:type="auto"/>
          <w:tblLook w:val="04A0"/>
        </w:tblPrEx>
        <w:tc>
          <w:tcPr>
            <w:tcW w:w="3094" w:type="dxa"/>
          </w:tcPr>
          <w:p w:rsidR="006224C2" w:rsidRPr="00295E71" w:rsidP="005F3CB6" w14:paraId="546976EA" w14:textId="77777777">
            <w:pPr>
              <w:keepNext/>
              <w:numPr>
                <w:ilvl w:val="12"/>
                <w:numId w:val="0"/>
              </w:numPr>
              <w:ind w:right="-2"/>
              <w:rPr>
                <w:sz w:val="22"/>
                <w:szCs w:val="22"/>
              </w:rPr>
            </w:pPr>
            <w:r w:rsidRPr="00295E71">
              <w:rPr>
                <w:sz w:val="22"/>
                <w:szCs w:val="22"/>
              </w:rPr>
              <w:t>Bambini</w:t>
            </w:r>
            <w:r w:rsidRPr="00295E71" w:rsidR="008045A7">
              <w:rPr>
                <w:sz w:val="22"/>
                <w:szCs w:val="22"/>
              </w:rPr>
              <w:t>,</w:t>
            </w:r>
            <w:r w:rsidRPr="00295E71">
              <w:rPr>
                <w:sz w:val="22"/>
                <w:szCs w:val="22"/>
              </w:rPr>
              <w:t xml:space="preserve"> adolescenti</w:t>
            </w:r>
            <w:r w:rsidRPr="00295E71" w:rsidR="008045A7">
              <w:rPr>
                <w:sz w:val="22"/>
                <w:szCs w:val="22"/>
              </w:rPr>
              <w:t xml:space="preserve"> e adulti</w:t>
            </w:r>
            <w:r w:rsidRPr="00295E71">
              <w:rPr>
                <w:sz w:val="22"/>
                <w:szCs w:val="22"/>
              </w:rPr>
              <w:t xml:space="preserve"> </w:t>
            </w:r>
            <w:r w:rsidRPr="00295E71" w:rsidR="00B2153B">
              <w:rPr>
                <w:sz w:val="22"/>
                <w:szCs w:val="22"/>
              </w:rPr>
              <w:t xml:space="preserve">a partire da </w:t>
            </w:r>
            <w:r w:rsidRPr="00295E71">
              <w:rPr>
                <w:sz w:val="22"/>
                <w:szCs w:val="22"/>
              </w:rPr>
              <w:t xml:space="preserve">6 anni </w:t>
            </w:r>
            <w:r w:rsidRPr="00295E71" w:rsidR="00B2153B">
              <w:rPr>
                <w:sz w:val="22"/>
                <w:szCs w:val="22"/>
              </w:rPr>
              <w:t xml:space="preserve">di età </w:t>
            </w:r>
            <w:r w:rsidRPr="00295E71" w:rsidR="008045A7">
              <w:rPr>
                <w:sz w:val="22"/>
                <w:szCs w:val="22"/>
              </w:rPr>
              <w:t xml:space="preserve">con peso </w:t>
            </w:r>
            <w:r w:rsidRPr="00295E71" w:rsidR="00B2153B">
              <w:rPr>
                <w:sz w:val="22"/>
                <w:szCs w:val="22"/>
              </w:rPr>
              <w:t xml:space="preserve">pari o </w:t>
            </w:r>
            <w:r w:rsidRPr="00295E71" w:rsidR="008045A7">
              <w:rPr>
                <w:sz w:val="22"/>
                <w:szCs w:val="22"/>
              </w:rPr>
              <w:t>superiore a</w:t>
            </w:r>
            <w:r w:rsidRPr="00295E71">
              <w:rPr>
                <w:sz w:val="22"/>
                <w:szCs w:val="22"/>
              </w:rPr>
              <w:t xml:space="preserve"> 40 kg</w:t>
            </w:r>
          </w:p>
        </w:tc>
        <w:tc>
          <w:tcPr>
            <w:tcW w:w="3096" w:type="dxa"/>
          </w:tcPr>
          <w:p w:rsidR="006224C2" w:rsidRPr="00295E71" w:rsidP="005F3CB6" w14:paraId="6D03D954" w14:textId="77777777">
            <w:pPr>
              <w:keepNext/>
              <w:rPr>
                <w:sz w:val="22"/>
                <w:szCs w:val="22"/>
              </w:rPr>
            </w:pPr>
            <w:r w:rsidRPr="00295E71">
              <w:rPr>
                <w:sz w:val="22"/>
                <w:szCs w:val="22"/>
              </w:rPr>
              <w:t xml:space="preserve">Una dose iniziale di 80 mg (due iniezioni da 40 mg in un giorno) seguita da 40 mg </w:t>
            </w:r>
            <w:r w:rsidRPr="00295E71" w:rsidR="00891083">
              <w:rPr>
                <w:sz w:val="22"/>
                <w:szCs w:val="22"/>
              </w:rPr>
              <w:t xml:space="preserve">dopo </w:t>
            </w:r>
            <w:r w:rsidRPr="00295E71">
              <w:rPr>
                <w:sz w:val="22"/>
                <w:szCs w:val="22"/>
              </w:rPr>
              <w:t>due settimane.</w:t>
            </w:r>
          </w:p>
          <w:p w:rsidR="006224C2" w:rsidRPr="00295E71" w:rsidP="005F3CB6" w14:paraId="47B5620D" w14:textId="77777777">
            <w:pPr>
              <w:keepNext/>
              <w:rPr>
                <w:sz w:val="22"/>
                <w:szCs w:val="22"/>
              </w:rPr>
            </w:pPr>
          </w:p>
          <w:p w:rsidR="006224C2" w:rsidRPr="00295E71" w:rsidP="005F3CB6" w14:paraId="147F745A" w14:textId="77777777">
            <w:pPr>
              <w:keepNext/>
              <w:numPr>
                <w:ilvl w:val="12"/>
                <w:numId w:val="0"/>
              </w:numPr>
              <w:rPr>
                <w:sz w:val="22"/>
                <w:szCs w:val="22"/>
              </w:rPr>
            </w:pPr>
            <w:r w:rsidRPr="00295E71">
              <w:rPr>
                <w:sz w:val="22"/>
                <w:szCs w:val="22"/>
              </w:rPr>
              <w:t xml:space="preserve">Se è necessario indurre una risposta più rapida, il medico potrebbe prescrivere una dose iniziale di 160 mg (quattro iniezioni da 40 mg in un giorno o due iniezioni da 40 mg al giorno per due giorni consecutivi), seguita da 80 mg (due iniezioni da 40 mg in un giorno) </w:t>
            </w:r>
            <w:r w:rsidRPr="00295E71" w:rsidR="00891083">
              <w:rPr>
                <w:sz w:val="22"/>
                <w:szCs w:val="22"/>
              </w:rPr>
              <w:t xml:space="preserve">dopo </w:t>
            </w:r>
            <w:r w:rsidRPr="00295E71">
              <w:rPr>
                <w:sz w:val="22"/>
                <w:szCs w:val="22"/>
              </w:rPr>
              <w:t>due settimane.</w:t>
            </w:r>
          </w:p>
          <w:p w:rsidR="006224C2" w:rsidRPr="00295E71" w:rsidP="005F3CB6" w14:paraId="789F5C2F" w14:textId="77777777">
            <w:pPr>
              <w:keepNext/>
              <w:numPr>
                <w:ilvl w:val="12"/>
                <w:numId w:val="0"/>
              </w:numPr>
              <w:rPr>
                <w:sz w:val="22"/>
                <w:szCs w:val="22"/>
              </w:rPr>
            </w:pPr>
          </w:p>
          <w:p w:rsidR="006224C2" w:rsidRPr="00295E71" w:rsidP="005F3CB6" w14:paraId="14A07FD2" w14:textId="77777777">
            <w:pPr>
              <w:keepNext/>
              <w:numPr>
                <w:ilvl w:val="12"/>
                <w:numId w:val="0"/>
              </w:numPr>
              <w:ind w:right="-2"/>
              <w:rPr>
                <w:sz w:val="22"/>
                <w:szCs w:val="22"/>
              </w:rPr>
            </w:pPr>
            <w:r w:rsidRPr="00295E71">
              <w:rPr>
                <w:sz w:val="22"/>
                <w:szCs w:val="22"/>
              </w:rPr>
              <w:t>Successivamente, la dose abituale è di 40 mg a settimane alterne.</w:t>
            </w:r>
          </w:p>
        </w:tc>
        <w:tc>
          <w:tcPr>
            <w:tcW w:w="3096" w:type="dxa"/>
          </w:tcPr>
          <w:p w:rsidR="006224C2" w:rsidRPr="00295E71" w:rsidP="003E69B9" w14:paraId="6C5461CB" w14:textId="77777777">
            <w:pPr>
              <w:keepNext/>
              <w:numPr>
                <w:ilvl w:val="12"/>
                <w:numId w:val="0"/>
              </w:numPr>
              <w:spacing w:before="100" w:beforeAutospacing="1" w:after="100" w:afterAutospacing="1"/>
              <w:ind w:right="-2"/>
              <w:rPr>
                <w:sz w:val="22"/>
                <w:szCs w:val="22"/>
              </w:rPr>
            </w:pPr>
            <w:r w:rsidRPr="00295E71">
              <w:rPr>
                <w:sz w:val="22"/>
                <w:szCs w:val="22"/>
              </w:rPr>
              <w:t xml:space="preserve">Il medico potrebbe aumentare </w:t>
            </w:r>
            <w:r w:rsidRPr="00295E71" w:rsidR="00DE1DA3">
              <w:rPr>
                <w:sz w:val="22"/>
                <w:szCs w:val="22"/>
              </w:rPr>
              <w:t>il</w:t>
            </w:r>
            <w:r w:rsidRPr="00295E71">
              <w:rPr>
                <w:sz w:val="22"/>
                <w:szCs w:val="22"/>
              </w:rPr>
              <w:t xml:space="preserve"> dos</w:t>
            </w:r>
            <w:r w:rsidRPr="00295E71" w:rsidR="00DE1DA3">
              <w:rPr>
                <w:sz w:val="22"/>
                <w:szCs w:val="22"/>
              </w:rPr>
              <w:t>aggio</w:t>
            </w:r>
            <w:r w:rsidRPr="00295E71">
              <w:rPr>
                <w:sz w:val="22"/>
                <w:szCs w:val="22"/>
              </w:rPr>
              <w:t xml:space="preserve"> a 40 mg ogni settimana</w:t>
            </w:r>
            <w:r w:rsidRPr="00295E71" w:rsidR="00DE1DA3">
              <w:rPr>
                <w:sz w:val="22"/>
                <w:szCs w:val="22"/>
              </w:rPr>
              <w:t xml:space="preserve"> o 80 mg a settimane alterne</w:t>
            </w:r>
            <w:r w:rsidRPr="00295E71">
              <w:rPr>
                <w:sz w:val="22"/>
                <w:szCs w:val="22"/>
              </w:rPr>
              <w:t>.</w:t>
            </w:r>
          </w:p>
        </w:tc>
      </w:tr>
      <w:tr w14:paraId="4AA5AB28" w14:textId="77777777">
        <w:tblPrEx>
          <w:tblW w:w="0" w:type="auto"/>
          <w:tblLook w:val="04A0"/>
        </w:tblPrEx>
        <w:tc>
          <w:tcPr>
            <w:tcW w:w="3094" w:type="dxa"/>
          </w:tcPr>
          <w:p w:rsidR="006224C2" w:rsidRPr="00295E71" w:rsidP="008045A7" w14:paraId="244628FF" w14:textId="77777777">
            <w:pPr>
              <w:numPr>
                <w:ilvl w:val="12"/>
                <w:numId w:val="0"/>
              </w:numPr>
              <w:ind w:right="-2"/>
              <w:rPr>
                <w:sz w:val="22"/>
                <w:szCs w:val="22"/>
              </w:rPr>
            </w:pPr>
            <w:r w:rsidRPr="00295E71">
              <w:rPr>
                <w:sz w:val="22"/>
                <w:szCs w:val="22"/>
              </w:rPr>
              <w:t xml:space="preserve">Bambini e adolescenti di età </w:t>
            </w:r>
            <w:r w:rsidRPr="00295E71" w:rsidR="008045A7">
              <w:rPr>
                <w:sz w:val="22"/>
                <w:szCs w:val="22"/>
              </w:rPr>
              <w:t>compresa tra</w:t>
            </w:r>
            <w:r w:rsidRPr="00295E71">
              <w:rPr>
                <w:sz w:val="22"/>
                <w:szCs w:val="22"/>
              </w:rPr>
              <w:t xml:space="preserve"> 6 </w:t>
            </w:r>
            <w:r w:rsidRPr="00295E71" w:rsidR="008045A7">
              <w:rPr>
                <w:sz w:val="22"/>
                <w:szCs w:val="22"/>
              </w:rPr>
              <w:t xml:space="preserve">e 17 </w:t>
            </w:r>
            <w:r w:rsidRPr="00295E71">
              <w:rPr>
                <w:sz w:val="22"/>
                <w:szCs w:val="22"/>
              </w:rPr>
              <w:t xml:space="preserve">anni </w:t>
            </w:r>
            <w:r w:rsidRPr="00295E71" w:rsidR="008045A7">
              <w:rPr>
                <w:sz w:val="22"/>
                <w:szCs w:val="22"/>
              </w:rPr>
              <w:t>e con peso inferiore a</w:t>
            </w:r>
            <w:r w:rsidRPr="00295E71">
              <w:rPr>
                <w:sz w:val="22"/>
                <w:szCs w:val="22"/>
              </w:rPr>
              <w:t xml:space="preserve"> 40 kg</w:t>
            </w:r>
          </w:p>
        </w:tc>
        <w:tc>
          <w:tcPr>
            <w:tcW w:w="3096" w:type="dxa"/>
          </w:tcPr>
          <w:p w:rsidR="006224C2" w:rsidRPr="00295E71" w14:paraId="329F7902" w14:textId="77777777">
            <w:pPr>
              <w:rPr>
                <w:sz w:val="22"/>
                <w:szCs w:val="22"/>
              </w:rPr>
            </w:pPr>
            <w:r w:rsidRPr="00295E71">
              <w:rPr>
                <w:sz w:val="22"/>
                <w:szCs w:val="22"/>
              </w:rPr>
              <w:t>Una dose iniziale di 40 mg</w:t>
            </w:r>
            <w:r w:rsidRPr="00295E71" w:rsidR="00511E63">
              <w:rPr>
                <w:sz w:val="22"/>
                <w:szCs w:val="22"/>
              </w:rPr>
              <w:t xml:space="preserve"> </w:t>
            </w:r>
            <w:r w:rsidRPr="00295E71">
              <w:rPr>
                <w:sz w:val="22"/>
                <w:szCs w:val="22"/>
              </w:rPr>
              <w:t xml:space="preserve">seguita da 20 mg </w:t>
            </w:r>
            <w:r w:rsidRPr="00295E71" w:rsidR="00891083">
              <w:rPr>
                <w:sz w:val="22"/>
                <w:szCs w:val="22"/>
              </w:rPr>
              <w:t xml:space="preserve">dopo </w:t>
            </w:r>
            <w:r w:rsidRPr="00295E71">
              <w:rPr>
                <w:sz w:val="22"/>
                <w:szCs w:val="22"/>
              </w:rPr>
              <w:t>due settimane.</w:t>
            </w:r>
          </w:p>
          <w:p w:rsidR="006224C2" w:rsidRPr="00295E71" w14:paraId="2AF20850" w14:textId="77777777">
            <w:pPr>
              <w:rPr>
                <w:sz w:val="22"/>
                <w:szCs w:val="22"/>
              </w:rPr>
            </w:pPr>
          </w:p>
          <w:p w:rsidR="006224C2" w:rsidRPr="00295E71" w14:paraId="22359C96" w14:textId="77777777">
            <w:pPr>
              <w:rPr>
                <w:sz w:val="22"/>
                <w:szCs w:val="22"/>
              </w:rPr>
            </w:pPr>
            <w:r w:rsidRPr="00295E71">
              <w:rPr>
                <w:sz w:val="22"/>
                <w:szCs w:val="22"/>
              </w:rPr>
              <w:t xml:space="preserve">Se è necessario indurre una risposta più rapida, il medico potrebbe prescrivere una dose iniziale di 80 mg (due iniezioni da 40 mg in un giorno), seguita da 40 mg </w:t>
            </w:r>
            <w:r w:rsidRPr="00295E71" w:rsidR="00891083">
              <w:rPr>
                <w:sz w:val="22"/>
                <w:szCs w:val="22"/>
              </w:rPr>
              <w:t xml:space="preserve">dopo </w:t>
            </w:r>
            <w:r w:rsidRPr="00295E71">
              <w:rPr>
                <w:sz w:val="22"/>
                <w:szCs w:val="22"/>
              </w:rPr>
              <w:t>due settimane.</w:t>
            </w:r>
          </w:p>
          <w:p w:rsidR="006224C2" w:rsidRPr="00295E71" w14:paraId="7DC4F0D1" w14:textId="77777777">
            <w:pPr>
              <w:rPr>
                <w:sz w:val="22"/>
                <w:szCs w:val="22"/>
              </w:rPr>
            </w:pPr>
          </w:p>
          <w:p w:rsidR="006224C2" w:rsidRPr="00295E71" w14:paraId="07578953" w14:textId="77777777">
            <w:pPr>
              <w:numPr>
                <w:ilvl w:val="12"/>
                <w:numId w:val="0"/>
              </w:numPr>
              <w:ind w:right="-2"/>
              <w:rPr>
                <w:sz w:val="22"/>
                <w:szCs w:val="22"/>
              </w:rPr>
            </w:pPr>
            <w:r w:rsidRPr="00295E71">
              <w:rPr>
                <w:sz w:val="22"/>
                <w:szCs w:val="22"/>
              </w:rPr>
              <w:t>Successivamente, la dose abituale è di 20 mg a settimane alterne.</w:t>
            </w:r>
          </w:p>
        </w:tc>
        <w:tc>
          <w:tcPr>
            <w:tcW w:w="3096" w:type="dxa"/>
          </w:tcPr>
          <w:p w:rsidR="006224C2" w:rsidRPr="00295E71" w:rsidP="003E69B9" w14:paraId="443BF152" w14:textId="77777777">
            <w:pPr>
              <w:numPr>
                <w:ilvl w:val="12"/>
                <w:numId w:val="0"/>
              </w:numPr>
              <w:spacing w:before="100" w:beforeAutospacing="1" w:after="100" w:afterAutospacing="1"/>
              <w:ind w:right="-2"/>
              <w:rPr>
                <w:sz w:val="22"/>
                <w:szCs w:val="22"/>
              </w:rPr>
            </w:pPr>
            <w:r w:rsidRPr="00295E71">
              <w:rPr>
                <w:sz w:val="22"/>
                <w:szCs w:val="22"/>
              </w:rPr>
              <w:t>Il medico potrebbe aumentare la frequenza della dose a 20 mg ogni settimana.</w:t>
            </w:r>
          </w:p>
        </w:tc>
      </w:tr>
    </w:tbl>
    <w:p w:rsidR="006224C2" w:rsidRPr="00295E71" w14:paraId="50A40B9A" w14:textId="77777777">
      <w:pPr>
        <w:numPr>
          <w:ilvl w:val="12"/>
          <w:numId w:val="0"/>
        </w:numPr>
        <w:tabs>
          <w:tab w:val="left" w:pos="567"/>
        </w:tabs>
        <w:ind w:right="-2"/>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1"/>
        <w:gridCol w:w="3038"/>
        <w:gridCol w:w="3011"/>
      </w:tblGrid>
      <w:tr w14:paraId="6D5797F1" w14:textId="77777777" w:rsidTr="00803E02">
        <w:tblPrEx>
          <w:tblW w:w="0" w:type="auto"/>
          <w:tblLook w:val="04A0"/>
        </w:tblPrEx>
        <w:tc>
          <w:tcPr>
            <w:tcW w:w="9286" w:type="dxa"/>
            <w:gridSpan w:val="3"/>
          </w:tcPr>
          <w:p w:rsidR="006224C2" w:rsidRPr="00295E71" w14:paraId="405DE644" w14:textId="77777777">
            <w:pPr>
              <w:numPr>
                <w:ilvl w:val="12"/>
                <w:numId w:val="0"/>
              </w:numPr>
              <w:ind w:right="-2"/>
              <w:rPr>
                <w:b/>
                <w:sz w:val="22"/>
                <w:szCs w:val="22"/>
              </w:rPr>
            </w:pPr>
            <w:r w:rsidRPr="00295E71">
              <w:rPr>
                <w:b/>
                <w:sz w:val="22"/>
                <w:szCs w:val="22"/>
              </w:rPr>
              <w:t>Colite ulcerosa</w:t>
            </w:r>
          </w:p>
        </w:tc>
      </w:tr>
      <w:tr w14:paraId="299DDE29" w14:textId="77777777" w:rsidTr="00803E02">
        <w:tblPrEx>
          <w:tblW w:w="0" w:type="auto"/>
          <w:tblLook w:val="04A0"/>
        </w:tblPrEx>
        <w:tc>
          <w:tcPr>
            <w:tcW w:w="3094" w:type="dxa"/>
          </w:tcPr>
          <w:p w:rsidR="006224C2" w:rsidRPr="00295E71" w14:paraId="546CDF34" w14:textId="77777777">
            <w:pPr>
              <w:numPr>
                <w:ilvl w:val="12"/>
                <w:numId w:val="0"/>
              </w:numPr>
              <w:ind w:right="-2"/>
              <w:rPr>
                <w:sz w:val="22"/>
                <w:szCs w:val="22"/>
              </w:rPr>
            </w:pPr>
            <w:r w:rsidRPr="00295E71">
              <w:rPr>
                <w:b/>
                <w:sz w:val="22"/>
                <w:szCs w:val="22"/>
              </w:rPr>
              <w:t>Età o peso corporeo</w:t>
            </w:r>
          </w:p>
        </w:tc>
        <w:tc>
          <w:tcPr>
            <w:tcW w:w="3096" w:type="dxa"/>
          </w:tcPr>
          <w:p w:rsidR="006224C2" w:rsidRPr="00295E71" w14:paraId="6FBBA208" w14:textId="77777777">
            <w:pPr>
              <w:numPr>
                <w:ilvl w:val="12"/>
                <w:numId w:val="0"/>
              </w:numPr>
              <w:ind w:right="-2"/>
              <w:rPr>
                <w:sz w:val="22"/>
                <w:szCs w:val="22"/>
              </w:rPr>
            </w:pPr>
            <w:r w:rsidRPr="00295E71">
              <w:rPr>
                <w:b/>
                <w:sz w:val="22"/>
                <w:szCs w:val="22"/>
              </w:rPr>
              <w:t>Che quantità ne va assunta e con che frequenza?</w:t>
            </w:r>
          </w:p>
        </w:tc>
        <w:tc>
          <w:tcPr>
            <w:tcW w:w="3096" w:type="dxa"/>
          </w:tcPr>
          <w:p w:rsidR="006224C2" w:rsidRPr="00295E71" w14:paraId="0C440C70" w14:textId="77777777">
            <w:pPr>
              <w:numPr>
                <w:ilvl w:val="12"/>
                <w:numId w:val="0"/>
              </w:numPr>
              <w:ind w:right="-2"/>
              <w:rPr>
                <w:sz w:val="22"/>
                <w:szCs w:val="22"/>
              </w:rPr>
            </w:pPr>
            <w:r w:rsidRPr="00295E71">
              <w:rPr>
                <w:b/>
                <w:sz w:val="22"/>
                <w:szCs w:val="22"/>
              </w:rPr>
              <w:t>Note</w:t>
            </w:r>
          </w:p>
        </w:tc>
      </w:tr>
      <w:tr w14:paraId="382D50B4" w14:textId="77777777" w:rsidTr="00803E02">
        <w:tblPrEx>
          <w:tblW w:w="0" w:type="auto"/>
          <w:tblLook w:val="04A0"/>
        </w:tblPrEx>
        <w:tc>
          <w:tcPr>
            <w:tcW w:w="3094" w:type="dxa"/>
          </w:tcPr>
          <w:p w:rsidR="006224C2" w:rsidRPr="00295E71" w14:paraId="28608A96" w14:textId="77777777">
            <w:pPr>
              <w:numPr>
                <w:ilvl w:val="12"/>
                <w:numId w:val="0"/>
              </w:numPr>
              <w:ind w:right="-2"/>
              <w:rPr>
                <w:sz w:val="22"/>
                <w:szCs w:val="22"/>
              </w:rPr>
            </w:pPr>
            <w:r w:rsidRPr="00295E71">
              <w:rPr>
                <w:sz w:val="22"/>
                <w:szCs w:val="22"/>
              </w:rPr>
              <w:t>Adulti</w:t>
            </w:r>
          </w:p>
        </w:tc>
        <w:tc>
          <w:tcPr>
            <w:tcW w:w="3096" w:type="dxa"/>
          </w:tcPr>
          <w:p w:rsidR="006224C2" w:rsidRPr="00295E71" w14:paraId="1AB15F1B" w14:textId="77777777">
            <w:pPr>
              <w:numPr>
                <w:ilvl w:val="12"/>
                <w:numId w:val="0"/>
              </w:numPr>
              <w:rPr>
                <w:sz w:val="22"/>
                <w:szCs w:val="22"/>
              </w:rPr>
            </w:pPr>
            <w:r w:rsidRPr="00295E71">
              <w:rPr>
                <w:sz w:val="22"/>
                <w:szCs w:val="22"/>
              </w:rPr>
              <w:t xml:space="preserve">Una dose iniziale di 160 mg (quattro iniezioni da 40 mg in un giorno o due iniezioni da 40 mg al giorno per due giorni consecutivi), seguita da 80 mg (due iniezioni da 40 mg in un giorno) </w:t>
            </w:r>
            <w:r w:rsidRPr="00295E71" w:rsidR="00891083">
              <w:rPr>
                <w:sz w:val="22"/>
                <w:szCs w:val="22"/>
              </w:rPr>
              <w:t xml:space="preserve">dopo </w:t>
            </w:r>
            <w:r w:rsidRPr="00295E71">
              <w:rPr>
                <w:sz w:val="22"/>
                <w:szCs w:val="22"/>
              </w:rPr>
              <w:t>due settimane.</w:t>
            </w:r>
          </w:p>
          <w:p w:rsidR="006224C2" w:rsidRPr="00295E71" w14:paraId="219A54A5" w14:textId="77777777">
            <w:pPr>
              <w:numPr>
                <w:ilvl w:val="12"/>
                <w:numId w:val="0"/>
              </w:numPr>
              <w:rPr>
                <w:sz w:val="22"/>
                <w:szCs w:val="22"/>
              </w:rPr>
            </w:pPr>
          </w:p>
          <w:p w:rsidR="006224C2" w:rsidRPr="00295E71" w14:paraId="38ADFC82" w14:textId="77777777">
            <w:pPr>
              <w:numPr>
                <w:ilvl w:val="12"/>
                <w:numId w:val="0"/>
              </w:numPr>
              <w:rPr>
                <w:sz w:val="22"/>
                <w:szCs w:val="22"/>
              </w:rPr>
            </w:pPr>
            <w:r w:rsidRPr="00295E71">
              <w:rPr>
                <w:sz w:val="22"/>
                <w:szCs w:val="22"/>
              </w:rPr>
              <w:t>Successivamente, la dose abituale è di 40 mg a settimane alterne.</w:t>
            </w:r>
          </w:p>
        </w:tc>
        <w:tc>
          <w:tcPr>
            <w:tcW w:w="3096" w:type="dxa"/>
          </w:tcPr>
          <w:p w:rsidR="006224C2" w:rsidRPr="00295E71" w:rsidP="003E69B9" w14:paraId="05BCD468" w14:textId="77777777">
            <w:pPr>
              <w:numPr>
                <w:ilvl w:val="12"/>
                <w:numId w:val="0"/>
              </w:numPr>
              <w:ind w:right="-2"/>
              <w:rPr>
                <w:sz w:val="22"/>
                <w:szCs w:val="22"/>
              </w:rPr>
            </w:pPr>
            <w:r w:rsidRPr="00295E71">
              <w:rPr>
                <w:sz w:val="22"/>
                <w:szCs w:val="22"/>
              </w:rPr>
              <w:t xml:space="preserve">Il medico potrebbe aumentare </w:t>
            </w:r>
            <w:r w:rsidRPr="00295E71" w:rsidR="00DE1DA3">
              <w:rPr>
                <w:sz w:val="22"/>
                <w:szCs w:val="22"/>
              </w:rPr>
              <w:t xml:space="preserve">il </w:t>
            </w:r>
            <w:r w:rsidRPr="00295E71">
              <w:rPr>
                <w:sz w:val="22"/>
                <w:szCs w:val="22"/>
              </w:rPr>
              <w:t>dos</w:t>
            </w:r>
            <w:r w:rsidRPr="00295E71" w:rsidR="00DE1DA3">
              <w:rPr>
                <w:sz w:val="22"/>
                <w:szCs w:val="22"/>
              </w:rPr>
              <w:t>aggio</w:t>
            </w:r>
            <w:r w:rsidRPr="00295E71">
              <w:rPr>
                <w:sz w:val="22"/>
                <w:szCs w:val="22"/>
              </w:rPr>
              <w:t xml:space="preserve"> a 40 mg ogni settimana</w:t>
            </w:r>
            <w:r w:rsidRPr="00295E71" w:rsidR="00DE1DA3">
              <w:rPr>
                <w:sz w:val="22"/>
                <w:szCs w:val="22"/>
              </w:rPr>
              <w:t xml:space="preserve"> o 80 mg a settimane alterne</w:t>
            </w:r>
            <w:r w:rsidRPr="00295E71">
              <w:rPr>
                <w:sz w:val="22"/>
                <w:szCs w:val="22"/>
              </w:rPr>
              <w:t>.</w:t>
            </w:r>
          </w:p>
        </w:tc>
      </w:tr>
      <w:tr w14:paraId="5009BACC" w14:textId="77777777" w:rsidTr="00803E02">
        <w:tblPrEx>
          <w:tblW w:w="0" w:type="auto"/>
          <w:tblLook w:val="04A0"/>
        </w:tblPrEx>
        <w:tc>
          <w:tcPr>
            <w:tcW w:w="3094" w:type="dxa"/>
          </w:tcPr>
          <w:p w:rsidR="00803E02" w:rsidRPr="00803E02" w:rsidP="00803E02" w14:paraId="3D7DE8B3" w14:textId="77777777">
            <w:pPr>
              <w:numPr>
                <w:ilvl w:val="12"/>
                <w:numId w:val="0"/>
              </w:numPr>
              <w:ind w:right="-2"/>
              <w:rPr>
                <w:sz w:val="22"/>
                <w:szCs w:val="22"/>
              </w:rPr>
            </w:pPr>
            <w:r w:rsidRPr="00612824">
              <w:rPr>
                <w:sz w:val="22"/>
                <w:szCs w:val="22"/>
              </w:rPr>
              <w:t xml:space="preserve">Bambini e adolescenti a partire dai 6 anni di età </w:t>
            </w:r>
            <w:r w:rsidR="00D13CC2">
              <w:rPr>
                <w:sz w:val="22"/>
                <w:szCs w:val="22"/>
              </w:rPr>
              <w:t>con peso inferiore a</w:t>
            </w:r>
            <w:r w:rsidRPr="00612824">
              <w:rPr>
                <w:sz w:val="22"/>
                <w:szCs w:val="22"/>
              </w:rPr>
              <w:t xml:space="preserve"> 40 kg</w:t>
            </w:r>
          </w:p>
        </w:tc>
        <w:tc>
          <w:tcPr>
            <w:tcW w:w="3096" w:type="dxa"/>
          </w:tcPr>
          <w:p w:rsidR="00803E02" w:rsidRPr="00612824" w:rsidP="00803E02" w14:paraId="2254F6AB" w14:textId="77777777">
            <w:pPr>
              <w:numPr>
                <w:ilvl w:val="12"/>
                <w:numId w:val="0"/>
              </w:numPr>
              <w:rPr>
                <w:sz w:val="22"/>
                <w:szCs w:val="22"/>
              </w:rPr>
            </w:pPr>
            <w:r>
              <w:rPr>
                <w:sz w:val="22"/>
                <w:szCs w:val="22"/>
              </w:rPr>
              <w:t>Una</w:t>
            </w:r>
            <w:r w:rsidRPr="00612824">
              <w:rPr>
                <w:sz w:val="22"/>
                <w:szCs w:val="22"/>
              </w:rPr>
              <w:t xml:space="preserve"> dose </w:t>
            </w:r>
            <w:r>
              <w:rPr>
                <w:sz w:val="22"/>
                <w:szCs w:val="22"/>
              </w:rPr>
              <w:t xml:space="preserve">iniziale </w:t>
            </w:r>
            <w:r w:rsidRPr="00612824">
              <w:rPr>
                <w:sz w:val="22"/>
                <w:szCs w:val="22"/>
              </w:rPr>
              <w:t xml:space="preserve">di 80 mg (due iniezioni da 40 mg in un </w:t>
            </w:r>
            <w:r w:rsidR="009D2CEC">
              <w:rPr>
                <w:sz w:val="22"/>
                <w:szCs w:val="22"/>
              </w:rPr>
              <w:t>giorno</w:t>
            </w:r>
            <w:r w:rsidRPr="00612824">
              <w:rPr>
                <w:sz w:val="22"/>
                <w:szCs w:val="22"/>
              </w:rPr>
              <w:t xml:space="preserve">), seguita da 40 mg (una iniezione da 40 mg) </w:t>
            </w:r>
            <w:r>
              <w:rPr>
                <w:sz w:val="22"/>
                <w:szCs w:val="22"/>
              </w:rPr>
              <w:t xml:space="preserve">dopo </w:t>
            </w:r>
            <w:r w:rsidRPr="00612824">
              <w:rPr>
                <w:sz w:val="22"/>
                <w:szCs w:val="22"/>
              </w:rPr>
              <w:t>due settimane.</w:t>
            </w:r>
          </w:p>
          <w:p w:rsidR="00803E02" w:rsidRPr="00612824" w:rsidP="00803E02" w14:paraId="3087B738" w14:textId="77777777">
            <w:pPr>
              <w:numPr>
                <w:ilvl w:val="12"/>
                <w:numId w:val="0"/>
              </w:numPr>
              <w:rPr>
                <w:sz w:val="22"/>
                <w:szCs w:val="22"/>
              </w:rPr>
            </w:pPr>
          </w:p>
          <w:p w:rsidR="00803E02" w:rsidRPr="00803E02" w:rsidP="00803E02" w14:paraId="618CA28D" w14:textId="77777777">
            <w:pPr>
              <w:numPr>
                <w:ilvl w:val="12"/>
                <w:numId w:val="0"/>
              </w:numPr>
              <w:rPr>
                <w:sz w:val="22"/>
                <w:szCs w:val="22"/>
              </w:rPr>
            </w:pPr>
            <w:r w:rsidRPr="00612824">
              <w:rPr>
                <w:sz w:val="22"/>
                <w:szCs w:val="22"/>
              </w:rPr>
              <w:t xml:space="preserve">Successivamente, la dose abituale è di 40 mg </w:t>
            </w:r>
            <w:r w:rsidR="00D13CC2">
              <w:rPr>
                <w:sz w:val="22"/>
                <w:szCs w:val="22"/>
              </w:rPr>
              <w:t>a settimane alterne</w:t>
            </w:r>
            <w:r w:rsidRPr="00612824">
              <w:rPr>
                <w:sz w:val="22"/>
                <w:szCs w:val="22"/>
              </w:rPr>
              <w:t>.</w:t>
            </w:r>
          </w:p>
        </w:tc>
        <w:tc>
          <w:tcPr>
            <w:tcW w:w="3096" w:type="dxa"/>
          </w:tcPr>
          <w:p w:rsidR="00803E02" w:rsidRPr="00803E02" w:rsidP="00803E02" w14:paraId="6B44F8CD" w14:textId="77777777">
            <w:pPr>
              <w:numPr>
                <w:ilvl w:val="12"/>
                <w:numId w:val="0"/>
              </w:numPr>
              <w:ind w:right="-2"/>
              <w:rPr>
                <w:sz w:val="22"/>
                <w:szCs w:val="22"/>
              </w:rPr>
            </w:pPr>
            <w:r>
              <w:rPr>
                <w:sz w:val="22"/>
                <w:szCs w:val="22"/>
              </w:rPr>
              <w:t>Si d</w:t>
            </w:r>
            <w:r w:rsidRPr="00612824">
              <w:rPr>
                <w:sz w:val="22"/>
                <w:szCs w:val="22"/>
              </w:rPr>
              <w:t>eve continuare a</w:t>
            </w:r>
            <w:r>
              <w:rPr>
                <w:sz w:val="22"/>
                <w:szCs w:val="22"/>
              </w:rPr>
              <w:t>d assumere</w:t>
            </w:r>
            <w:r w:rsidRPr="00612824">
              <w:rPr>
                <w:sz w:val="22"/>
                <w:szCs w:val="22"/>
              </w:rPr>
              <w:t xml:space="preserve"> Humira alla dose abituale, anche dopo aver compiuto 18 anni</w:t>
            </w:r>
            <w:r>
              <w:rPr>
                <w:sz w:val="22"/>
                <w:szCs w:val="22"/>
              </w:rPr>
              <w:t xml:space="preserve"> di età</w:t>
            </w:r>
            <w:r w:rsidRPr="00612824">
              <w:rPr>
                <w:sz w:val="22"/>
                <w:szCs w:val="22"/>
              </w:rPr>
              <w:t>.</w:t>
            </w:r>
          </w:p>
        </w:tc>
      </w:tr>
      <w:tr w14:paraId="20F10EF3" w14:textId="77777777" w:rsidTr="00803E02">
        <w:tblPrEx>
          <w:tblW w:w="0" w:type="auto"/>
          <w:tblLook w:val="04A0"/>
        </w:tblPrEx>
        <w:tc>
          <w:tcPr>
            <w:tcW w:w="3094" w:type="dxa"/>
          </w:tcPr>
          <w:p w:rsidR="00803E02" w:rsidRPr="00803E02" w:rsidP="00803E02" w14:paraId="204FF45C" w14:textId="77777777">
            <w:pPr>
              <w:numPr>
                <w:ilvl w:val="12"/>
                <w:numId w:val="0"/>
              </w:numPr>
              <w:ind w:right="-2"/>
              <w:rPr>
                <w:sz w:val="22"/>
                <w:szCs w:val="22"/>
              </w:rPr>
            </w:pPr>
            <w:r w:rsidRPr="00612824">
              <w:rPr>
                <w:sz w:val="22"/>
                <w:szCs w:val="22"/>
              </w:rPr>
              <w:t xml:space="preserve">Bambini e adolescenti a partire dai 6 anni di età </w:t>
            </w:r>
            <w:r w:rsidRPr="00295E71" w:rsidR="00D13CC2">
              <w:rPr>
                <w:sz w:val="22"/>
                <w:szCs w:val="22"/>
              </w:rPr>
              <w:t xml:space="preserve">con peso </w:t>
            </w:r>
            <w:r w:rsidR="00D13CC2">
              <w:rPr>
                <w:sz w:val="22"/>
                <w:szCs w:val="22"/>
              </w:rPr>
              <w:t>uguale</w:t>
            </w:r>
            <w:r w:rsidRPr="00295E71" w:rsidR="00D13CC2">
              <w:rPr>
                <w:sz w:val="22"/>
                <w:szCs w:val="22"/>
              </w:rPr>
              <w:t xml:space="preserve"> o superiore a 40 kg</w:t>
            </w:r>
          </w:p>
        </w:tc>
        <w:tc>
          <w:tcPr>
            <w:tcW w:w="3096" w:type="dxa"/>
          </w:tcPr>
          <w:p w:rsidR="00803E02" w:rsidRPr="00612824" w:rsidP="00803E02" w14:paraId="365E3581" w14:textId="77777777">
            <w:pPr>
              <w:numPr>
                <w:ilvl w:val="12"/>
                <w:numId w:val="0"/>
              </w:numPr>
              <w:rPr>
                <w:sz w:val="22"/>
                <w:szCs w:val="22"/>
              </w:rPr>
            </w:pPr>
            <w:r>
              <w:rPr>
                <w:sz w:val="22"/>
                <w:szCs w:val="22"/>
              </w:rPr>
              <w:t>Una</w:t>
            </w:r>
            <w:r w:rsidRPr="00612824">
              <w:rPr>
                <w:sz w:val="22"/>
                <w:szCs w:val="22"/>
              </w:rPr>
              <w:t xml:space="preserve"> dose</w:t>
            </w:r>
            <w:r>
              <w:rPr>
                <w:sz w:val="22"/>
                <w:szCs w:val="22"/>
              </w:rPr>
              <w:t xml:space="preserve"> iniziale</w:t>
            </w:r>
            <w:r w:rsidRPr="00612824">
              <w:rPr>
                <w:sz w:val="22"/>
                <w:szCs w:val="22"/>
              </w:rPr>
              <w:t xml:space="preserve"> di 160 mg (quattro iniezioni da 40 mg in un </w:t>
            </w:r>
            <w:r w:rsidR="009D2CEC">
              <w:rPr>
                <w:sz w:val="22"/>
                <w:szCs w:val="22"/>
              </w:rPr>
              <w:t>giorno</w:t>
            </w:r>
            <w:r w:rsidRPr="00612824">
              <w:rPr>
                <w:sz w:val="22"/>
                <w:szCs w:val="22"/>
              </w:rPr>
              <w:t xml:space="preserve"> o due iniezioni da 40 mg al giorno per due giorni consecutivi), seguita da 80 mg (due iniezioni da 40 mg in un </w:t>
            </w:r>
            <w:r w:rsidR="009D2CEC">
              <w:rPr>
                <w:sz w:val="22"/>
                <w:szCs w:val="22"/>
              </w:rPr>
              <w:t>giorno</w:t>
            </w:r>
            <w:r w:rsidRPr="00612824">
              <w:rPr>
                <w:sz w:val="22"/>
                <w:szCs w:val="22"/>
              </w:rPr>
              <w:t xml:space="preserve">) </w:t>
            </w:r>
            <w:r>
              <w:rPr>
                <w:sz w:val="22"/>
                <w:szCs w:val="22"/>
              </w:rPr>
              <w:t xml:space="preserve">dopo </w:t>
            </w:r>
            <w:r w:rsidRPr="00612824">
              <w:rPr>
                <w:sz w:val="22"/>
                <w:szCs w:val="22"/>
              </w:rPr>
              <w:t>due settimane.</w:t>
            </w:r>
          </w:p>
          <w:p w:rsidR="00803E02" w:rsidRPr="00612824" w:rsidP="00803E02" w14:paraId="573765A9" w14:textId="77777777">
            <w:pPr>
              <w:numPr>
                <w:ilvl w:val="12"/>
                <w:numId w:val="0"/>
              </w:numPr>
              <w:rPr>
                <w:sz w:val="22"/>
                <w:szCs w:val="22"/>
              </w:rPr>
            </w:pPr>
          </w:p>
          <w:p w:rsidR="00803E02" w:rsidRPr="00803E02" w:rsidP="00803E02" w14:paraId="0343EF65" w14:textId="77777777">
            <w:pPr>
              <w:numPr>
                <w:ilvl w:val="12"/>
                <w:numId w:val="0"/>
              </w:numPr>
              <w:rPr>
                <w:sz w:val="22"/>
                <w:szCs w:val="22"/>
              </w:rPr>
            </w:pPr>
            <w:r w:rsidRPr="00612824">
              <w:rPr>
                <w:sz w:val="22"/>
                <w:szCs w:val="22"/>
              </w:rPr>
              <w:t xml:space="preserve">Successivamente, la dose abituale è di 80 mg </w:t>
            </w:r>
            <w:r w:rsidR="00D13CC2">
              <w:rPr>
                <w:sz w:val="22"/>
                <w:szCs w:val="22"/>
              </w:rPr>
              <w:t>a settimane alterne</w:t>
            </w:r>
            <w:r w:rsidRPr="00612824">
              <w:rPr>
                <w:sz w:val="22"/>
                <w:szCs w:val="22"/>
              </w:rPr>
              <w:t>.</w:t>
            </w:r>
          </w:p>
        </w:tc>
        <w:tc>
          <w:tcPr>
            <w:tcW w:w="3096" w:type="dxa"/>
          </w:tcPr>
          <w:p w:rsidR="00803E02" w:rsidRPr="00803E02" w:rsidP="00803E02" w14:paraId="6043B7DA" w14:textId="77777777">
            <w:pPr>
              <w:numPr>
                <w:ilvl w:val="12"/>
                <w:numId w:val="0"/>
              </w:numPr>
              <w:ind w:right="-2"/>
              <w:rPr>
                <w:sz w:val="22"/>
                <w:szCs w:val="22"/>
              </w:rPr>
            </w:pPr>
            <w:r>
              <w:rPr>
                <w:sz w:val="22"/>
                <w:szCs w:val="22"/>
              </w:rPr>
              <w:t>Si d</w:t>
            </w:r>
            <w:r w:rsidRPr="00612824">
              <w:rPr>
                <w:sz w:val="22"/>
                <w:szCs w:val="22"/>
              </w:rPr>
              <w:t>eve continuare a</w:t>
            </w:r>
            <w:r>
              <w:rPr>
                <w:sz w:val="22"/>
                <w:szCs w:val="22"/>
              </w:rPr>
              <w:t>d assumere</w:t>
            </w:r>
            <w:r w:rsidRPr="00612824">
              <w:rPr>
                <w:sz w:val="22"/>
                <w:szCs w:val="22"/>
              </w:rPr>
              <w:t xml:space="preserve"> Humira alla dose abituale, anche dopo aver compiuto 18 anni</w:t>
            </w:r>
            <w:r>
              <w:rPr>
                <w:sz w:val="22"/>
                <w:szCs w:val="22"/>
              </w:rPr>
              <w:t xml:space="preserve"> di età</w:t>
            </w:r>
            <w:r w:rsidRPr="00612824">
              <w:rPr>
                <w:sz w:val="22"/>
                <w:szCs w:val="22"/>
              </w:rPr>
              <w:t>.</w:t>
            </w:r>
          </w:p>
        </w:tc>
      </w:tr>
    </w:tbl>
    <w:p w:rsidR="006224C2" w:rsidRPr="00295E71" w:rsidP="00DD14E3" w14:paraId="5AD74835" w14:textId="77777777">
      <w:pPr>
        <w:keepNext/>
        <w:keepLines/>
        <w:numPr>
          <w:ilvl w:val="12"/>
          <w:numId w:val="0"/>
        </w:numPr>
        <w:tabs>
          <w:tab w:val="left" w:pos="567"/>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4"/>
        <w:gridCol w:w="3018"/>
        <w:gridCol w:w="3028"/>
      </w:tblGrid>
      <w:tr w14:paraId="05179890" w14:textId="77777777" w:rsidTr="00E63DC2">
        <w:tblPrEx>
          <w:tblW w:w="0" w:type="auto"/>
          <w:tblLook w:val="04A0"/>
        </w:tblPrEx>
        <w:tc>
          <w:tcPr>
            <w:tcW w:w="9286" w:type="dxa"/>
            <w:gridSpan w:val="3"/>
          </w:tcPr>
          <w:p w:rsidR="006224C2" w:rsidRPr="00295E71" w:rsidP="00DD14E3" w14:paraId="0FFA017B" w14:textId="77777777">
            <w:pPr>
              <w:keepNext/>
              <w:keepLines/>
              <w:numPr>
                <w:ilvl w:val="12"/>
                <w:numId w:val="0"/>
              </w:numPr>
              <w:ind w:right="-2"/>
              <w:rPr>
                <w:b/>
                <w:sz w:val="22"/>
                <w:szCs w:val="22"/>
              </w:rPr>
            </w:pPr>
            <w:r w:rsidRPr="00295E71">
              <w:rPr>
                <w:b/>
                <w:sz w:val="22"/>
                <w:szCs w:val="22"/>
              </w:rPr>
              <w:t>Uveite non-infettiva</w:t>
            </w:r>
          </w:p>
        </w:tc>
      </w:tr>
      <w:tr w14:paraId="5549D042" w14:textId="77777777" w:rsidTr="00E63DC2">
        <w:tblPrEx>
          <w:tblW w:w="0" w:type="auto"/>
          <w:tblLook w:val="04A0"/>
        </w:tblPrEx>
        <w:tc>
          <w:tcPr>
            <w:tcW w:w="3094" w:type="dxa"/>
          </w:tcPr>
          <w:p w:rsidR="006224C2" w:rsidRPr="00295E71" w:rsidP="00DD14E3" w14:paraId="75448DB9" w14:textId="77777777">
            <w:pPr>
              <w:keepNext/>
              <w:keepLines/>
              <w:numPr>
                <w:ilvl w:val="12"/>
                <w:numId w:val="0"/>
              </w:numPr>
              <w:ind w:right="-2"/>
              <w:rPr>
                <w:sz w:val="22"/>
                <w:szCs w:val="22"/>
              </w:rPr>
            </w:pPr>
            <w:r w:rsidRPr="00295E71">
              <w:rPr>
                <w:b/>
                <w:sz w:val="22"/>
                <w:szCs w:val="22"/>
              </w:rPr>
              <w:t>Età o peso corporeo</w:t>
            </w:r>
          </w:p>
        </w:tc>
        <w:tc>
          <w:tcPr>
            <w:tcW w:w="3096" w:type="dxa"/>
          </w:tcPr>
          <w:p w:rsidR="006224C2" w:rsidRPr="00295E71" w:rsidP="00DD14E3" w14:paraId="61FDE200" w14:textId="77777777">
            <w:pPr>
              <w:keepNext/>
              <w:keepLines/>
              <w:tabs>
                <w:tab w:val="left" w:pos="0"/>
              </w:tabs>
              <w:rPr>
                <w:sz w:val="22"/>
                <w:szCs w:val="22"/>
              </w:rPr>
            </w:pPr>
            <w:r w:rsidRPr="00295E71">
              <w:rPr>
                <w:b/>
                <w:sz w:val="22"/>
                <w:szCs w:val="22"/>
              </w:rPr>
              <w:t>Che quantità ne va assunta e con che frequenza?</w:t>
            </w:r>
          </w:p>
        </w:tc>
        <w:tc>
          <w:tcPr>
            <w:tcW w:w="3096" w:type="dxa"/>
          </w:tcPr>
          <w:p w:rsidR="006224C2" w:rsidRPr="00295E71" w:rsidP="00DD14E3" w14:paraId="63D3F423" w14:textId="77777777">
            <w:pPr>
              <w:keepNext/>
              <w:keepLines/>
              <w:numPr>
                <w:ilvl w:val="12"/>
                <w:numId w:val="0"/>
              </w:numPr>
              <w:rPr>
                <w:sz w:val="22"/>
                <w:szCs w:val="22"/>
              </w:rPr>
            </w:pPr>
            <w:r w:rsidRPr="00295E71">
              <w:rPr>
                <w:b/>
                <w:sz w:val="22"/>
                <w:szCs w:val="22"/>
              </w:rPr>
              <w:t>Note</w:t>
            </w:r>
          </w:p>
        </w:tc>
      </w:tr>
      <w:tr w14:paraId="6461A2BF" w14:textId="77777777" w:rsidTr="00E63DC2">
        <w:tblPrEx>
          <w:tblW w:w="0" w:type="auto"/>
          <w:tblLook w:val="04A0"/>
        </w:tblPrEx>
        <w:tc>
          <w:tcPr>
            <w:tcW w:w="3094" w:type="dxa"/>
          </w:tcPr>
          <w:p w:rsidR="006224C2" w:rsidRPr="00295E71" w:rsidP="00DD14E3" w14:paraId="0BC76340" w14:textId="77777777">
            <w:pPr>
              <w:keepNext/>
              <w:keepLines/>
              <w:numPr>
                <w:ilvl w:val="12"/>
                <w:numId w:val="0"/>
              </w:numPr>
              <w:ind w:right="-2"/>
              <w:rPr>
                <w:sz w:val="22"/>
                <w:szCs w:val="22"/>
              </w:rPr>
            </w:pPr>
            <w:r w:rsidRPr="00295E71">
              <w:rPr>
                <w:sz w:val="22"/>
                <w:szCs w:val="22"/>
              </w:rPr>
              <w:t>Adulti</w:t>
            </w:r>
          </w:p>
        </w:tc>
        <w:tc>
          <w:tcPr>
            <w:tcW w:w="3096" w:type="dxa"/>
          </w:tcPr>
          <w:p w:rsidR="006224C2" w:rsidRPr="00295E71" w:rsidP="00DD14E3" w14:paraId="7B37379B" w14:textId="77777777">
            <w:pPr>
              <w:keepNext/>
              <w:keepLines/>
              <w:tabs>
                <w:tab w:val="left" w:pos="0"/>
              </w:tabs>
              <w:rPr>
                <w:sz w:val="22"/>
                <w:szCs w:val="22"/>
              </w:rPr>
            </w:pPr>
            <w:r w:rsidRPr="00295E71">
              <w:rPr>
                <w:sz w:val="22"/>
                <w:szCs w:val="22"/>
              </w:rPr>
              <w:t>Una dose iniziale di 80 mg (due iniezioni da 40 mg in un giorno), seguita da 40 mg a settimane alterne a partire da una settimana dopo la dose iniziale.</w:t>
            </w:r>
          </w:p>
        </w:tc>
        <w:tc>
          <w:tcPr>
            <w:tcW w:w="3096" w:type="dxa"/>
          </w:tcPr>
          <w:p w:rsidR="006224C2" w:rsidRPr="00295E71" w:rsidP="00DD14E3" w14:paraId="105D3FB4" w14:textId="77777777">
            <w:pPr>
              <w:keepNext/>
              <w:keepLines/>
              <w:numPr>
                <w:ilvl w:val="12"/>
                <w:numId w:val="0"/>
              </w:numPr>
              <w:rPr>
                <w:sz w:val="22"/>
                <w:szCs w:val="22"/>
              </w:rPr>
            </w:pPr>
            <w:r w:rsidRPr="00295E71">
              <w:rPr>
                <w:sz w:val="22"/>
                <w:szCs w:val="22"/>
              </w:rPr>
              <w:t>I corticosteroidi o gli altri farmaci che influiscono sul sistema immunitario potranno essere continuati durante il trattamento con Humira. Humira può essere somministrato in monoterapia.</w:t>
            </w:r>
          </w:p>
        </w:tc>
      </w:tr>
      <w:tr w14:paraId="15F115EE" w14:textId="77777777" w:rsidTr="00E63DC2">
        <w:tblPrEx>
          <w:tblW w:w="0" w:type="auto"/>
          <w:tblLook w:val="04A0"/>
        </w:tblPrEx>
        <w:tc>
          <w:tcPr>
            <w:tcW w:w="3094" w:type="dxa"/>
          </w:tcPr>
          <w:p w:rsidR="00E63DC2" w:rsidRPr="00295E71" w:rsidP="00511E63" w14:paraId="10AD68BC" w14:textId="77777777">
            <w:pPr>
              <w:numPr>
                <w:ilvl w:val="12"/>
                <w:numId w:val="0"/>
              </w:numPr>
              <w:ind w:right="-2"/>
              <w:rPr>
                <w:sz w:val="22"/>
                <w:szCs w:val="22"/>
              </w:rPr>
            </w:pPr>
            <w:r w:rsidRPr="00295E71">
              <w:rPr>
                <w:sz w:val="22"/>
                <w:szCs w:val="22"/>
              </w:rPr>
              <w:t xml:space="preserve">Bambini </w:t>
            </w:r>
            <w:r w:rsidRPr="00295E71" w:rsidR="008045A7">
              <w:rPr>
                <w:sz w:val="22"/>
                <w:szCs w:val="22"/>
              </w:rPr>
              <w:t xml:space="preserve">e adolescenti </w:t>
            </w:r>
            <w:r w:rsidRPr="00295E71" w:rsidR="00511E63">
              <w:rPr>
                <w:sz w:val="22"/>
                <w:szCs w:val="22"/>
              </w:rPr>
              <w:t xml:space="preserve">a partire </w:t>
            </w:r>
            <w:r w:rsidRPr="00295E71">
              <w:rPr>
                <w:sz w:val="22"/>
                <w:szCs w:val="22"/>
              </w:rPr>
              <w:t>da 2 anni di età e con peso inferiore a 30 kg</w:t>
            </w:r>
          </w:p>
        </w:tc>
        <w:tc>
          <w:tcPr>
            <w:tcW w:w="3096" w:type="dxa"/>
          </w:tcPr>
          <w:p w:rsidR="00E63DC2" w:rsidRPr="00295E71" w14:paraId="6797A4A0" w14:textId="77777777">
            <w:pPr>
              <w:tabs>
                <w:tab w:val="left" w:pos="0"/>
              </w:tabs>
              <w:rPr>
                <w:sz w:val="22"/>
                <w:szCs w:val="22"/>
              </w:rPr>
            </w:pPr>
            <w:r w:rsidRPr="00295E71">
              <w:rPr>
                <w:sz w:val="22"/>
                <w:szCs w:val="22"/>
              </w:rPr>
              <w:t>20 mg a settimane alterne</w:t>
            </w:r>
          </w:p>
        </w:tc>
        <w:tc>
          <w:tcPr>
            <w:tcW w:w="3096" w:type="dxa"/>
          </w:tcPr>
          <w:p w:rsidR="00E63DC2" w:rsidRPr="00295E71" w:rsidP="003E69B9" w14:paraId="3F936E09" w14:textId="77777777">
            <w:pPr>
              <w:numPr>
                <w:ilvl w:val="12"/>
                <w:numId w:val="0"/>
              </w:numPr>
              <w:ind w:right="-2"/>
              <w:rPr>
                <w:sz w:val="22"/>
                <w:szCs w:val="22"/>
              </w:rPr>
            </w:pPr>
            <w:r w:rsidRPr="00295E71">
              <w:rPr>
                <w:sz w:val="22"/>
                <w:szCs w:val="22"/>
              </w:rPr>
              <w:t>Il medico potrebbe prescrivere una dose iniziale da 40 mg da somministrare una settimana prima dell’inizio della dose abituale da 20 mg a settimane alterne. L’uso di Humira è raccomandato in associazione al metotressato.</w:t>
            </w:r>
          </w:p>
        </w:tc>
      </w:tr>
      <w:tr w14:paraId="4269C418" w14:textId="77777777" w:rsidTr="00E63DC2">
        <w:tblPrEx>
          <w:tblW w:w="0" w:type="auto"/>
          <w:tblLook w:val="04A0"/>
        </w:tblPrEx>
        <w:tc>
          <w:tcPr>
            <w:tcW w:w="3094" w:type="dxa"/>
          </w:tcPr>
          <w:p w:rsidR="00E63DC2" w:rsidRPr="00295E71" w:rsidP="00E83247" w14:paraId="5CE309F3" w14:textId="77777777">
            <w:pPr>
              <w:numPr>
                <w:ilvl w:val="12"/>
                <w:numId w:val="0"/>
              </w:numPr>
              <w:ind w:right="-2"/>
              <w:rPr>
                <w:sz w:val="22"/>
                <w:szCs w:val="22"/>
              </w:rPr>
            </w:pPr>
            <w:r w:rsidRPr="00295E71">
              <w:rPr>
                <w:sz w:val="22"/>
                <w:szCs w:val="22"/>
              </w:rPr>
              <w:t>Bambini</w:t>
            </w:r>
            <w:r w:rsidRPr="00295E71" w:rsidR="008045A7">
              <w:rPr>
                <w:sz w:val="22"/>
                <w:szCs w:val="22"/>
              </w:rPr>
              <w:t xml:space="preserve"> e adolescenti </w:t>
            </w:r>
            <w:r w:rsidRPr="00295E71" w:rsidR="007F717F">
              <w:rPr>
                <w:sz w:val="22"/>
                <w:szCs w:val="22"/>
              </w:rPr>
              <w:t>a partire</w:t>
            </w:r>
            <w:r w:rsidRPr="00295E71" w:rsidR="00096642">
              <w:rPr>
                <w:sz w:val="22"/>
                <w:szCs w:val="22"/>
              </w:rPr>
              <w:t xml:space="preserve"> </w:t>
            </w:r>
            <w:r w:rsidRPr="00295E71">
              <w:rPr>
                <w:sz w:val="22"/>
                <w:szCs w:val="22"/>
              </w:rPr>
              <w:t xml:space="preserve">da 2 anni di età e con peso </w:t>
            </w:r>
            <w:r w:rsidRPr="00295E71" w:rsidR="00E83247">
              <w:rPr>
                <w:sz w:val="22"/>
                <w:szCs w:val="22"/>
              </w:rPr>
              <w:t xml:space="preserve">di almeno </w:t>
            </w:r>
            <w:r w:rsidRPr="00295E71">
              <w:rPr>
                <w:sz w:val="22"/>
                <w:szCs w:val="22"/>
              </w:rPr>
              <w:t xml:space="preserve"> 30 kg</w:t>
            </w:r>
          </w:p>
        </w:tc>
        <w:tc>
          <w:tcPr>
            <w:tcW w:w="3096" w:type="dxa"/>
          </w:tcPr>
          <w:p w:rsidR="00E63DC2" w:rsidRPr="00295E71" w14:paraId="0D019BDA" w14:textId="77777777">
            <w:pPr>
              <w:tabs>
                <w:tab w:val="left" w:pos="0"/>
              </w:tabs>
              <w:rPr>
                <w:sz w:val="22"/>
                <w:szCs w:val="22"/>
              </w:rPr>
            </w:pPr>
            <w:r w:rsidRPr="00295E71">
              <w:rPr>
                <w:sz w:val="22"/>
                <w:szCs w:val="22"/>
              </w:rPr>
              <w:t>40 mg a settimane alterne</w:t>
            </w:r>
          </w:p>
        </w:tc>
        <w:tc>
          <w:tcPr>
            <w:tcW w:w="3096" w:type="dxa"/>
          </w:tcPr>
          <w:p w:rsidR="00E63DC2" w:rsidRPr="00295E71" w:rsidP="003E69B9" w14:paraId="11C4B53E" w14:textId="77777777">
            <w:pPr>
              <w:numPr>
                <w:ilvl w:val="12"/>
                <w:numId w:val="0"/>
              </w:numPr>
              <w:ind w:right="-2"/>
              <w:rPr>
                <w:sz w:val="22"/>
                <w:szCs w:val="22"/>
              </w:rPr>
            </w:pPr>
            <w:r w:rsidRPr="00295E71">
              <w:rPr>
                <w:sz w:val="22"/>
                <w:szCs w:val="22"/>
              </w:rPr>
              <w:t>Il medico potrebbe prescrivere una dose iniziale da 80 mg da somministrare una settimana prima dell’inizio della dose abituale da 40 mg a settimane alterne. L’uso di Humira è raccomandato in associazione al metotressato.</w:t>
            </w:r>
          </w:p>
        </w:tc>
      </w:tr>
    </w:tbl>
    <w:p w:rsidR="006224C2" w:rsidRPr="00295E71" w14:paraId="6E94ABE0" w14:textId="77777777">
      <w:pPr>
        <w:numPr>
          <w:ilvl w:val="12"/>
          <w:numId w:val="0"/>
        </w:numPr>
        <w:tabs>
          <w:tab w:val="left" w:pos="567"/>
        </w:tabs>
        <w:ind w:right="-2"/>
        <w:jc w:val="both"/>
        <w:rPr>
          <w:sz w:val="22"/>
          <w:szCs w:val="22"/>
        </w:rPr>
      </w:pPr>
    </w:p>
    <w:p w:rsidR="006224C2" w:rsidRPr="00295E71" w14:paraId="5892A470" w14:textId="77777777">
      <w:pPr>
        <w:numPr>
          <w:ilvl w:val="12"/>
          <w:numId w:val="0"/>
        </w:numPr>
        <w:tabs>
          <w:tab w:val="left" w:pos="567"/>
        </w:tabs>
        <w:ind w:right="-2"/>
        <w:jc w:val="both"/>
        <w:rPr>
          <w:b/>
          <w:sz w:val="22"/>
          <w:szCs w:val="22"/>
        </w:rPr>
      </w:pPr>
      <w:r w:rsidRPr="00295E71">
        <w:rPr>
          <w:b/>
          <w:sz w:val="22"/>
          <w:szCs w:val="22"/>
        </w:rPr>
        <w:t>Modo e via di somministrazione</w:t>
      </w:r>
    </w:p>
    <w:p w:rsidR="006224C2" w:rsidRPr="00295E71" w14:paraId="0CBB4477" w14:textId="77777777">
      <w:pPr>
        <w:numPr>
          <w:ilvl w:val="12"/>
          <w:numId w:val="0"/>
        </w:numPr>
        <w:tabs>
          <w:tab w:val="left" w:pos="567"/>
        </w:tabs>
        <w:ind w:right="-2"/>
        <w:jc w:val="both"/>
        <w:rPr>
          <w:sz w:val="22"/>
          <w:szCs w:val="22"/>
        </w:rPr>
      </w:pPr>
    </w:p>
    <w:p w:rsidR="006224C2" w:rsidRPr="00295E71" w14:paraId="073E52AA" w14:textId="77777777">
      <w:pPr>
        <w:numPr>
          <w:ilvl w:val="12"/>
          <w:numId w:val="0"/>
        </w:numPr>
        <w:tabs>
          <w:tab w:val="left" w:pos="567"/>
        </w:tabs>
        <w:ind w:right="-2"/>
        <w:jc w:val="both"/>
        <w:rPr>
          <w:sz w:val="22"/>
          <w:szCs w:val="22"/>
        </w:rPr>
      </w:pPr>
      <w:r w:rsidRPr="00295E71">
        <w:rPr>
          <w:sz w:val="22"/>
          <w:szCs w:val="22"/>
        </w:rPr>
        <w:t>Humira è somministrato per iniezione sotto la cute (per iniezione sottocutanea).</w:t>
      </w:r>
    </w:p>
    <w:p w:rsidR="006224C2" w:rsidRPr="00295E71" w14:paraId="7CF5F788" w14:textId="77777777">
      <w:pPr>
        <w:numPr>
          <w:ilvl w:val="12"/>
          <w:numId w:val="0"/>
        </w:numPr>
        <w:tabs>
          <w:tab w:val="left" w:pos="567"/>
        </w:tabs>
        <w:ind w:right="-2"/>
        <w:jc w:val="both"/>
        <w:rPr>
          <w:sz w:val="22"/>
          <w:szCs w:val="22"/>
        </w:rPr>
      </w:pPr>
    </w:p>
    <w:p w:rsidR="006224C2" w:rsidRPr="00295E71" w14:paraId="032609F5" w14:textId="77777777">
      <w:pPr>
        <w:numPr>
          <w:ilvl w:val="12"/>
          <w:numId w:val="0"/>
        </w:numPr>
        <w:tabs>
          <w:tab w:val="left" w:pos="567"/>
        </w:tabs>
        <w:ind w:right="-2"/>
        <w:rPr>
          <w:b/>
          <w:sz w:val="22"/>
          <w:szCs w:val="22"/>
        </w:rPr>
      </w:pPr>
      <w:r w:rsidRPr="00295E71">
        <w:rPr>
          <w:b/>
          <w:sz w:val="22"/>
          <w:szCs w:val="22"/>
        </w:rPr>
        <w:t>Istruzioni dettagliate su come somministrare Humira sono descritte nel paragrafo 7 ‘</w:t>
      </w:r>
      <w:r w:rsidR="00B44E4B">
        <w:rPr>
          <w:b/>
          <w:sz w:val="22"/>
          <w:szCs w:val="22"/>
        </w:rPr>
        <w:t>Iniezione di Humira</w:t>
      </w:r>
      <w:r w:rsidRPr="00295E71">
        <w:rPr>
          <w:b/>
          <w:sz w:val="22"/>
          <w:szCs w:val="22"/>
        </w:rPr>
        <w:t>’.</w:t>
      </w:r>
    </w:p>
    <w:p w:rsidR="006224C2" w:rsidRPr="00295E71" w14:paraId="65589EB2" w14:textId="77777777">
      <w:pPr>
        <w:tabs>
          <w:tab w:val="left" w:pos="567"/>
        </w:tabs>
        <w:jc w:val="both"/>
        <w:rPr>
          <w:sz w:val="22"/>
          <w:szCs w:val="22"/>
        </w:rPr>
      </w:pPr>
    </w:p>
    <w:p w:rsidR="006224C2" w:rsidRPr="00295E71" w14:paraId="13CCF054" w14:textId="77777777">
      <w:pPr>
        <w:tabs>
          <w:tab w:val="left" w:pos="567"/>
        </w:tabs>
        <w:jc w:val="both"/>
        <w:rPr>
          <w:b/>
          <w:bCs/>
          <w:sz w:val="22"/>
          <w:szCs w:val="22"/>
        </w:rPr>
      </w:pPr>
      <w:r w:rsidRPr="00295E71">
        <w:rPr>
          <w:b/>
          <w:bCs/>
          <w:sz w:val="22"/>
          <w:szCs w:val="22"/>
        </w:rPr>
        <w:t>Se usa più Humira di quanto deve</w:t>
      </w:r>
    </w:p>
    <w:p w:rsidR="006224C2" w:rsidRPr="00295E71" w14:paraId="382C92F1" w14:textId="77777777">
      <w:pPr>
        <w:tabs>
          <w:tab w:val="left" w:pos="567"/>
        </w:tabs>
        <w:jc w:val="both"/>
        <w:rPr>
          <w:sz w:val="22"/>
          <w:szCs w:val="22"/>
        </w:rPr>
      </w:pPr>
    </w:p>
    <w:p w:rsidR="006224C2" w:rsidRPr="00295E71" w14:paraId="210E0BE2" w14:textId="77777777">
      <w:pPr>
        <w:pStyle w:val="BodyText3"/>
        <w:tabs>
          <w:tab w:val="left" w:pos="567"/>
        </w:tabs>
      </w:pPr>
      <w:r w:rsidRPr="00295E71">
        <w:t>Se accidentalmente inietta Humira più frequentemente di quanto disposto dal medico o dal farmacista, contatti il medico o il farmacista informandoli di aver assunto più farmaco. Conservi sempre la scatola del farmaco, anche se vuota.</w:t>
      </w:r>
    </w:p>
    <w:p w:rsidR="006224C2" w:rsidRPr="00295E71" w14:paraId="32EA98E5" w14:textId="77777777">
      <w:pPr>
        <w:tabs>
          <w:tab w:val="left" w:pos="567"/>
        </w:tabs>
        <w:jc w:val="both"/>
        <w:rPr>
          <w:sz w:val="22"/>
          <w:szCs w:val="22"/>
        </w:rPr>
      </w:pPr>
    </w:p>
    <w:p w:rsidR="006224C2" w:rsidRPr="00295E71" w14:paraId="6CF86114" w14:textId="77777777">
      <w:pPr>
        <w:keepNext/>
        <w:rPr>
          <w:b/>
          <w:bCs/>
          <w:sz w:val="22"/>
          <w:szCs w:val="22"/>
        </w:rPr>
      </w:pPr>
      <w:r w:rsidRPr="00295E71">
        <w:rPr>
          <w:b/>
          <w:bCs/>
          <w:sz w:val="22"/>
          <w:szCs w:val="22"/>
        </w:rPr>
        <w:t>Se dimentica di usare Humira</w:t>
      </w:r>
    </w:p>
    <w:p w:rsidR="006224C2" w:rsidRPr="00295E71" w14:paraId="0FB13EF2" w14:textId="77777777">
      <w:pPr>
        <w:keepNext/>
        <w:tabs>
          <w:tab w:val="left" w:pos="567"/>
        </w:tabs>
        <w:jc w:val="both"/>
        <w:rPr>
          <w:sz w:val="22"/>
          <w:szCs w:val="22"/>
        </w:rPr>
      </w:pPr>
    </w:p>
    <w:p w:rsidR="006224C2" w:rsidRPr="00295E71" w14:paraId="1DC87500" w14:textId="77777777">
      <w:pPr>
        <w:keepNext/>
        <w:tabs>
          <w:tab w:val="left" w:pos="567"/>
        </w:tabs>
        <w:jc w:val="both"/>
        <w:rPr>
          <w:sz w:val="22"/>
          <w:szCs w:val="22"/>
        </w:rPr>
      </w:pPr>
      <w:r w:rsidRPr="00295E71">
        <w:rPr>
          <w:sz w:val="22"/>
          <w:szCs w:val="22"/>
        </w:rPr>
        <w:t>Se dimentica di fare un’iniezione, deve iniettarsi la dose successiva di Humira non appena se ne ricorda. Dopodiché riprenda la dose regolarmente secondo lo schema posologico stabilito.</w:t>
      </w:r>
    </w:p>
    <w:p w:rsidR="006224C2" w:rsidRPr="00295E71" w14:paraId="2E3D457C" w14:textId="77777777">
      <w:pPr>
        <w:tabs>
          <w:tab w:val="left" w:pos="567"/>
        </w:tabs>
        <w:jc w:val="both"/>
        <w:rPr>
          <w:sz w:val="22"/>
          <w:szCs w:val="22"/>
        </w:rPr>
      </w:pPr>
    </w:p>
    <w:p w:rsidR="006224C2" w:rsidRPr="00295E71" w14:paraId="7F9F80A2" w14:textId="77777777">
      <w:pPr>
        <w:tabs>
          <w:tab w:val="left" w:pos="567"/>
        </w:tabs>
        <w:jc w:val="both"/>
        <w:rPr>
          <w:b/>
          <w:sz w:val="22"/>
          <w:szCs w:val="22"/>
        </w:rPr>
      </w:pPr>
      <w:r w:rsidRPr="00295E71">
        <w:rPr>
          <w:b/>
          <w:sz w:val="22"/>
          <w:szCs w:val="22"/>
        </w:rPr>
        <w:t>Se interrompe il trattamento con Humira</w:t>
      </w:r>
    </w:p>
    <w:p w:rsidR="006224C2" w:rsidRPr="00295E71" w14:paraId="2516B7D8" w14:textId="77777777">
      <w:pPr>
        <w:tabs>
          <w:tab w:val="left" w:pos="567"/>
        </w:tabs>
        <w:jc w:val="both"/>
        <w:rPr>
          <w:sz w:val="22"/>
          <w:szCs w:val="22"/>
        </w:rPr>
      </w:pPr>
    </w:p>
    <w:p w:rsidR="006224C2" w:rsidRPr="00295E71" w14:paraId="7397B002" w14:textId="77777777">
      <w:pPr>
        <w:tabs>
          <w:tab w:val="left" w:pos="567"/>
        </w:tabs>
        <w:jc w:val="both"/>
        <w:rPr>
          <w:sz w:val="22"/>
          <w:szCs w:val="22"/>
        </w:rPr>
      </w:pPr>
      <w:r w:rsidRPr="00295E71">
        <w:rPr>
          <w:sz w:val="22"/>
          <w:szCs w:val="22"/>
        </w:rPr>
        <w:t>La decisione di interrompere l’uso di Humira deve essere discussa con il medico. I sintomi possono ritornare se smette di usare Humira.</w:t>
      </w:r>
    </w:p>
    <w:p w:rsidR="006224C2" w:rsidRPr="00295E71" w14:paraId="1D483510" w14:textId="77777777">
      <w:pPr>
        <w:tabs>
          <w:tab w:val="left" w:pos="567"/>
        </w:tabs>
        <w:jc w:val="both"/>
        <w:rPr>
          <w:sz w:val="22"/>
          <w:szCs w:val="22"/>
        </w:rPr>
      </w:pPr>
    </w:p>
    <w:p w:rsidR="006224C2" w:rsidRPr="00295E71" w14:paraId="762875DC" w14:textId="77777777">
      <w:pPr>
        <w:tabs>
          <w:tab w:val="left" w:pos="567"/>
        </w:tabs>
        <w:jc w:val="both"/>
        <w:rPr>
          <w:sz w:val="22"/>
          <w:szCs w:val="22"/>
        </w:rPr>
      </w:pPr>
      <w:r w:rsidRPr="00295E71">
        <w:rPr>
          <w:sz w:val="22"/>
          <w:szCs w:val="22"/>
        </w:rPr>
        <w:t>Se ha qualsiasi dubbio sull’uso di questo medicinale, si rivolga al medico o al farmacista.</w:t>
      </w:r>
    </w:p>
    <w:p w:rsidR="006224C2" w:rsidRPr="00295E71" w14:paraId="093E6AF7" w14:textId="77777777">
      <w:pPr>
        <w:tabs>
          <w:tab w:val="left" w:pos="567"/>
        </w:tabs>
        <w:jc w:val="both"/>
        <w:rPr>
          <w:sz w:val="22"/>
          <w:szCs w:val="22"/>
        </w:rPr>
      </w:pPr>
    </w:p>
    <w:p w:rsidR="006224C2" w:rsidRPr="00295E71" w14:paraId="3A9A4AE4" w14:textId="77777777">
      <w:pPr>
        <w:numPr>
          <w:ilvl w:val="12"/>
          <w:numId w:val="0"/>
        </w:numPr>
        <w:tabs>
          <w:tab w:val="left" w:pos="567"/>
        </w:tabs>
        <w:ind w:right="-2"/>
        <w:jc w:val="both"/>
        <w:rPr>
          <w:sz w:val="22"/>
          <w:szCs w:val="22"/>
        </w:rPr>
      </w:pPr>
    </w:p>
    <w:p w:rsidR="006224C2" w:rsidRPr="00295E71" w:rsidP="00F048D7" w14:paraId="4C37D968" w14:textId="77777777">
      <w:pPr>
        <w:keepNext/>
        <w:keepLines/>
        <w:numPr>
          <w:ilvl w:val="12"/>
          <w:numId w:val="0"/>
        </w:numPr>
        <w:tabs>
          <w:tab w:val="left" w:pos="567"/>
        </w:tabs>
        <w:ind w:left="567" w:right="-2" w:hanging="567"/>
        <w:jc w:val="both"/>
        <w:rPr>
          <w:b/>
          <w:bCs/>
          <w:sz w:val="22"/>
          <w:szCs w:val="22"/>
        </w:rPr>
      </w:pPr>
      <w:r w:rsidRPr="00295E71">
        <w:rPr>
          <w:b/>
          <w:bCs/>
          <w:sz w:val="22"/>
          <w:szCs w:val="22"/>
        </w:rPr>
        <w:t>4.</w:t>
      </w:r>
      <w:r w:rsidRPr="00295E71">
        <w:rPr>
          <w:b/>
          <w:bCs/>
          <w:sz w:val="22"/>
          <w:szCs w:val="22"/>
        </w:rPr>
        <w:tab/>
        <w:t>Possibili effetti indesiderati</w:t>
      </w:r>
    </w:p>
    <w:p w:rsidR="006224C2" w:rsidRPr="00295E71" w:rsidP="00F048D7" w14:paraId="159C36B0" w14:textId="77777777">
      <w:pPr>
        <w:keepNext/>
        <w:keepLines/>
        <w:numPr>
          <w:ilvl w:val="12"/>
          <w:numId w:val="0"/>
        </w:numPr>
        <w:tabs>
          <w:tab w:val="left" w:pos="567"/>
        </w:tabs>
        <w:ind w:right="-2"/>
        <w:jc w:val="both"/>
        <w:rPr>
          <w:sz w:val="22"/>
          <w:szCs w:val="22"/>
        </w:rPr>
      </w:pPr>
    </w:p>
    <w:p w:rsidR="006224C2" w:rsidRPr="00295E71" w:rsidP="00F048D7" w14:paraId="24EAB17D" w14:textId="77777777">
      <w:pPr>
        <w:keepNext/>
        <w:keepLines/>
        <w:tabs>
          <w:tab w:val="left" w:pos="567"/>
        </w:tabs>
        <w:jc w:val="both"/>
        <w:rPr>
          <w:sz w:val="22"/>
          <w:szCs w:val="22"/>
        </w:rPr>
      </w:pPr>
      <w:r w:rsidRPr="00295E71">
        <w:rPr>
          <w:sz w:val="22"/>
          <w:szCs w:val="22"/>
        </w:rPr>
        <w:t>Come tutti i medicinali, questo medicinale può causare effetti indesiderati sebbene non tutte le persone li manifestino. La maggior parte degli effetti indesiderati si presenta in forma da lieve a moderata. Tuttavia, alcuni possono essere gravi e richiedere trattamento. Effetti indesiderati possono manifestarsi fino a 4 mesi dall’ultima iniezione di Humira.</w:t>
      </w:r>
    </w:p>
    <w:p w:rsidR="006224C2" w:rsidRPr="00295E71" w14:paraId="5AA7E10D" w14:textId="77777777">
      <w:pPr>
        <w:pStyle w:val="EndnoteText"/>
        <w:jc w:val="both"/>
        <w:rPr>
          <w:lang w:val="it-IT" w:eastAsia="it-IT"/>
        </w:rPr>
      </w:pPr>
    </w:p>
    <w:p w:rsidR="006224C2" w:rsidRPr="00295E71" w14:paraId="757184FD" w14:textId="77777777">
      <w:pPr>
        <w:tabs>
          <w:tab w:val="left" w:pos="567"/>
        </w:tabs>
        <w:jc w:val="both"/>
        <w:rPr>
          <w:b/>
          <w:sz w:val="22"/>
          <w:szCs w:val="22"/>
        </w:rPr>
      </w:pPr>
      <w:r w:rsidRPr="00295E71">
        <w:rPr>
          <w:b/>
          <w:sz w:val="22"/>
          <w:szCs w:val="22"/>
        </w:rPr>
        <w:t>Informi immediatamente il medico se nota una qualsiasi delle seguenti reazioni</w:t>
      </w:r>
    </w:p>
    <w:p w:rsidR="006224C2" w:rsidRPr="00295E71" w14:paraId="1F07D2E0" w14:textId="77777777">
      <w:pPr>
        <w:tabs>
          <w:tab w:val="left" w:pos="567"/>
        </w:tabs>
        <w:jc w:val="both"/>
        <w:rPr>
          <w:b/>
          <w:sz w:val="22"/>
          <w:szCs w:val="22"/>
        </w:rPr>
      </w:pPr>
    </w:p>
    <w:p w:rsidR="006224C2" w:rsidRPr="00295E71" w14:paraId="0A31A3AF" w14:textId="77777777">
      <w:pPr>
        <w:numPr>
          <w:ilvl w:val="0"/>
          <w:numId w:val="15"/>
        </w:numPr>
        <w:tabs>
          <w:tab w:val="left" w:pos="567"/>
        </w:tabs>
        <w:ind w:left="567" w:hanging="567"/>
        <w:jc w:val="both"/>
        <w:rPr>
          <w:sz w:val="22"/>
          <w:szCs w:val="22"/>
        </w:rPr>
      </w:pPr>
      <w:r w:rsidRPr="00295E71">
        <w:rPr>
          <w:sz w:val="22"/>
          <w:szCs w:val="22"/>
        </w:rPr>
        <w:t>eruzione cutanea grave, orticaria o altri segni di reazione allergica</w:t>
      </w:r>
    </w:p>
    <w:p w:rsidR="006224C2" w:rsidRPr="00295E71" w14:paraId="2D612EEB" w14:textId="77777777">
      <w:pPr>
        <w:numPr>
          <w:ilvl w:val="0"/>
          <w:numId w:val="15"/>
        </w:numPr>
        <w:tabs>
          <w:tab w:val="left" w:pos="567"/>
        </w:tabs>
        <w:ind w:left="567" w:hanging="567"/>
        <w:jc w:val="both"/>
        <w:rPr>
          <w:sz w:val="22"/>
          <w:szCs w:val="22"/>
        </w:rPr>
      </w:pPr>
      <w:r w:rsidRPr="00295E71">
        <w:rPr>
          <w:sz w:val="22"/>
          <w:szCs w:val="22"/>
        </w:rPr>
        <w:t>gonfiore del viso, delle mani, dei piedi</w:t>
      </w:r>
    </w:p>
    <w:p w:rsidR="006224C2" w:rsidRPr="00295E71" w14:paraId="0451A5A5" w14:textId="77777777">
      <w:pPr>
        <w:numPr>
          <w:ilvl w:val="0"/>
          <w:numId w:val="15"/>
        </w:numPr>
        <w:tabs>
          <w:tab w:val="left" w:pos="567"/>
        </w:tabs>
        <w:ind w:left="567" w:hanging="567"/>
        <w:jc w:val="both"/>
        <w:rPr>
          <w:sz w:val="22"/>
          <w:szCs w:val="22"/>
        </w:rPr>
      </w:pPr>
      <w:r w:rsidRPr="00295E71">
        <w:rPr>
          <w:sz w:val="22"/>
          <w:szCs w:val="22"/>
        </w:rPr>
        <w:t>difficoltà a respirare, difficoltà a</w:t>
      </w:r>
      <w:r w:rsidRPr="00295E71" w:rsidR="001348F2">
        <w:rPr>
          <w:sz w:val="22"/>
          <w:szCs w:val="22"/>
        </w:rPr>
        <w:t xml:space="preserve"> deglutire</w:t>
      </w:r>
    </w:p>
    <w:p w:rsidR="006224C2" w:rsidRPr="00295E71" w14:paraId="4B4C6E3A" w14:textId="77777777">
      <w:pPr>
        <w:numPr>
          <w:ilvl w:val="0"/>
          <w:numId w:val="15"/>
        </w:numPr>
        <w:tabs>
          <w:tab w:val="left" w:pos="567"/>
        </w:tabs>
        <w:ind w:left="567" w:hanging="567"/>
        <w:jc w:val="both"/>
        <w:rPr>
          <w:sz w:val="22"/>
          <w:szCs w:val="22"/>
        </w:rPr>
      </w:pPr>
      <w:r w:rsidRPr="00295E71">
        <w:rPr>
          <w:sz w:val="22"/>
          <w:szCs w:val="22"/>
        </w:rPr>
        <w:t>respiro corto sotto sforzo o in posizione sdraiata o piedi gonfi</w:t>
      </w:r>
    </w:p>
    <w:p w:rsidR="006224C2" w:rsidRPr="00295E71" w14:paraId="4E2D8541" w14:textId="77777777">
      <w:pPr>
        <w:tabs>
          <w:tab w:val="left" w:pos="567"/>
        </w:tabs>
        <w:ind w:left="360"/>
        <w:jc w:val="both"/>
        <w:rPr>
          <w:sz w:val="22"/>
          <w:szCs w:val="22"/>
        </w:rPr>
      </w:pPr>
    </w:p>
    <w:p w:rsidR="006224C2" w:rsidRPr="00295E71" w14:paraId="435DF4D1" w14:textId="77777777">
      <w:pPr>
        <w:rPr>
          <w:b/>
          <w:sz w:val="22"/>
          <w:szCs w:val="22"/>
        </w:rPr>
      </w:pPr>
      <w:r w:rsidRPr="00295E71">
        <w:rPr>
          <w:b/>
          <w:sz w:val="22"/>
          <w:szCs w:val="22"/>
        </w:rPr>
        <w:t>Informi appena possibile il medico se nota una qualsiasi delle seguenti reazioni</w:t>
      </w:r>
    </w:p>
    <w:p w:rsidR="006224C2" w:rsidRPr="00295E71" w14:paraId="0685C67A" w14:textId="77777777">
      <w:pPr>
        <w:rPr>
          <w:b/>
          <w:sz w:val="22"/>
          <w:szCs w:val="22"/>
        </w:rPr>
      </w:pPr>
    </w:p>
    <w:p w:rsidR="006224C2" w:rsidRPr="00295E71" w14:paraId="551BF3E9" w14:textId="77777777">
      <w:pPr>
        <w:numPr>
          <w:ilvl w:val="0"/>
          <w:numId w:val="14"/>
        </w:numPr>
        <w:tabs>
          <w:tab w:val="num" w:pos="540"/>
          <w:tab w:val="left" w:pos="567"/>
          <w:tab w:val="clear" w:pos="720"/>
          <w:tab w:val="left" w:pos="993"/>
        </w:tabs>
        <w:ind w:left="567" w:hanging="567"/>
        <w:jc w:val="both"/>
        <w:rPr>
          <w:sz w:val="22"/>
          <w:szCs w:val="22"/>
        </w:rPr>
      </w:pPr>
      <w:r w:rsidRPr="00295E71">
        <w:rPr>
          <w:sz w:val="22"/>
          <w:szCs w:val="22"/>
        </w:rPr>
        <w:t>segni di infezione come febbre, sensazione di malessere, ferite, problemi dentali, bruciore nell’urinare</w:t>
      </w:r>
    </w:p>
    <w:p w:rsidR="006224C2" w:rsidRPr="00295E71" w14:paraId="2C691753" w14:textId="77777777">
      <w:pPr>
        <w:numPr>
          <w:ilvl w:val="0"/>
          <w:numId w:val="14"/>
        </w:numPr>
        <w:tabs>
          <w:tab w:val="num" w:pos="540"/>
          <w:tab w:val="left" w:pos="567"/>
          <w:tab w:val="left" w:pos="993"/>
        </w:tabs>
        <w:ind w:left="567" w:hanging="567"/>
        <w:jc w:val="both"/>
        <w:rPr>
          <w:sz w:val="22"/>
          <w:szCs w:val="22"/>
        </w:rPr>
      </w:pPr>
      <w:r w:rsidRPr="00295E71">
        <w:rPr>
          <w:sz w:val="22"/>
          <w:szCs w:val="22"/>
        </w:rPr>
        <w:t>stanchezza o debolezza</w:t>
      </w:r>
    </w:p>
    <w:p w:rsidR="006224C2" w:rsidRPr="00295E71" w14:paraId="56B09149" w14:textId="77777777">
      <w:pPr>
        <w:numPr>
          <w:ilvl w:val="0"/>
          <w:numId w:val="14"/>
        </w:numPr>
        <w:tabs>
          <w:tab w:val="num" w:pos="540"/>
          <w:tab w:val="left" w:pos="567"/>
          <w:tab w:val="left" w:pos="993"/>
        </w:tabs>
        <w:ind w:left="567" w:hanging="567"/>
        <w:jc w:val="both"/>
        <w:rPr>
          <w:sz w:val="22"/>
          <w:szCs w:val="22"/>
        </w:rPr>
      </w:pPr>
      <w:r w:rsidRPr="00295E71">
        <w:rPr>
          <w:sz w:val="22"/>
          <w:szCs w:val="22"/>
        </w:rPr>
        <w:t>tosse</w:t>
      </w:r>
    </w:p>
    <w:p w:rsidR="006224C2" w:rsidRPr="00295E71" w14:paraId="4EC277F5" w14:textId="77777777">
      <w:pPr>
        <w:numPr>
          <w:ilvl w:val="0"/>
          <w:numId w:val="14"/>
        </w:numPr>
        <w:tabs>
          <w:tab w:val="num" w:pos="540"/>
          <w:tab w:val="left" w:pos="567"/>
          <w:tab w:val="left" w:pos="993"/>
        </w:tabs>
        <w:ind w:left="567" w:hanging="567"/>
        <w:jc w:val="both"/>
        <w:rPr>
          <w:sz w:val="22"/>
          <w:szCs w:val="22"/>
        </w:rPr>
      </w:pPr>
      <w:r w:rsidRPr="00295E71">
        <w:rPr>
          <w:sz w:val="22"/>
          <w:szCs w:val="22"/>
        </w:rPr>
        <w:t>formicolio</w:t>
      </w:r>
    </w:p>
    <w:p w:rsidR="006224C2" w:rsidRPr="00295E71" w14:paraId="1580D510" w14:textId="77777777">
      <w:pPr>
        <w:numPr>
          <w:ilvl w:val="0"/>
          <w:numId w:val="14"/>
        </w:numPr>
        <w:tabs>
          <w:tab w:val="num" w:pos="540"/>
          <w:tab w:val="left" w:pos="567"/>
          <w:tab w:val="left" w:pos="993"/>
        </w:tabs>
        <w:ind w:left="567" w:hanging="567"/>
        <w:jc w:val="both"/>
        <w:rPr>
          <w:sz w:val="22"/>
          <w:szCs w:val="22"/>
        </w:rPr>
      </w:pPr>
      <w:r w:rsidRPr="00295E71">
        <w:rPr>
          <w:sz w:val="22"/>
          <w:szCs w:val="22"/>
        </w:rPr>
        <w:t>torpore</w:t>
      </w:r>
    </w:p>
    <w:p w:rsidR="006224C2" w:rsidRPr="00295E71" w14:paraId="0A7A7F3D" w14:textId="77777777">
      <w:pPr>
        <w:numPr>
          <w:ilvl w:val="0"/>
          <w:numId w:val="14"/>
        </w:numPr>
        <w:tabs>
          <w:tab w:val="num" w:pos="540"/>
          <w:tab w:val="left" w:pos="567"/>
          <w:tab w:val="left" w:pos="993"/>
        </w:tabs>
        <w:ind w:left="567" w:hanging="567"/>
        <w:jc w:val="both"/>
        <w:rPr>
          <w:sz w:val="22"/>
          <w:szCs w:val="22"/>
        </w:rPr>
      </w:pPr>
      <w:r w:rsidRPr="00295E71">
        <w:rPr>
          <w:sz w:val="22"/>
          <w:szCs w:val="22"/>
        </w:rPr>
        <w:t>sdoppiamento della vista</w:t>
      </w:r>
    </w:p>
    <w:p w:rsidR="006224C2" w:rsidRPr="00295E71" w14:paraId="186FF206" w14:textId="77777777">
      <w:pPr>
        <w:numPr>
          <w:ilvl w:val="0"/>
          <w:numId w:val="14"/>
        </w:numPr>
        <w:tabs>
          <w:tab w:val="num" w:pos="540"/>
          <w:tab w:val="left" w:pos="567"/>
          <w:tab w:val="left" w:pos="993"/>
        </w:tabs>
        <w:ind w:left="567" w:hanging="567"/>
        <w:jc w:val="both"/>
        <w:rPr>
          <w:sz w:val="22"/>
          <w:szCs w:val="22"/>
        </w:rPr>
      </w:pPr>
      <w:r w:rsidRPr="00295E71">
        <w:rPr>
          <w:sz w:val="22"/>
          <w:szCs w:val="22"/>
        </w:rPr>
        <w:t>debolezza delle braccia o gambe</w:t>
      </w:r>
    </w:p>
    <w:p w:rsidR="006224C2" w:rsidRPr="00295E71" w14:paraId="19A47FC3" w14:textId="77777777">
      <w:pPr>
        <w:numPr>
          <w:ilvl w:val="0"/>
          <w:numId w:val="14"/>
        </w:numPr>
        <w:tabs>
          <w:tab w:val="num" w:pos="540"/>
          <w:tab w:val="left" w:pos="567"/>
          <w:tab w:val="left" w:pos="993"/>
        </w:tabs>
        <w:ind w:left="567" w:hanging="567"/>
        <w:jc w:val="both"/>
        <w:rPr>
          <w:sz w:val="22"/>
          <w:szCs w:val="22"/>
        </w:rPr>
      </w:pPr>
      <w:r w:rsidRPr="00295E71">
        <w:rPr>
          <w:sz w:val="22"/>
          <w:szCs w:val="22"/>
        </w:rPr>
        <w:t>gonfiore o piaga aperta che non guarisce</w:t>
      </w:r>
    </w:p>
    <w:p w:rsidR="006224C2" w:rsidRPr="00295E71" w14:paraId="56C61C6D" w14:textId="77777777">
      <w:pPr>
        <w:numPr>
          <w:ilvl w:val="0"/>
          <w:numId w:val="14"/>
        </w:numPr>
        <w:tabs>
          <w:tab w:val="num" w:pos="540"/>
          <w:tab w:val="left" w:pos="567"/>
          <w:tab w:val="clear" w:pos="720"/>
        </w:tabs>
        <w:ind w:left="540" w:hanging="540"/>
        <w:jc w:val="both"/>
        <w:rPr>
          <w:sz w:val="22"/>
          <w:szCs w:val="22"/>
        </w:rPr>
      </w:pPr>
      <w:r w:rsidRPr="00295E71">
        <w:rPr>
          <w:sz w:val="22"/>
          <w:szCs w:val="22"/>
        </w:rPr>
        <w:t xml:space="preserve">segni e sintomi che suggeriscono la comparsa di disturbi a carico del sistema emopoietico, come la presenza di febbre persistente, lividi, emorragie, pallore </w:t>
      </w:r>
    </w:p>
    <w:p w:rsidR="006224C2" w:rsidRPr="00295E71" w14:paraId="093D7178" w14:textId="77777777">
      <w:pPr>
        <w:tabs>
          <w:tab w:val="left" w:pos="567"/>
        </w:tabs>
        <w:ind w:left="360"/>
        <w:jc w:val="both"/>
        <w:rPr>
          <w:sz w:val="22"/>
          <w:szCs w:val="22"/>
        </w:rPr>
      </w:pPr>
    </w:p>
    <w:p w:rsidR="006224C2" w:rsidRPr="00295E71" w14:paraId="1536C357" w14:textId="77777777">
      <w:pPr>
        <w:tabs>
          <w:tab w:val="left" w:pos="567"/>
        </w:tabs>
        <w:jc w:val="both"/>
        <w:rPr>
          <w:sz w:val="22"/>
          <w:szCs w:val="22"/>
        </w:rPr>
      </w:pPr>
      <w:r w:rsidRPr="00295E71">
        <w:rPr>
          <w:sz w:val="22"/>
          <w:szCs w:val="22"/>
        </w:rPr>
        <w:t>I sintomi sopra descritti possono essere segni dei seguenti effetti indesiderati, che sono stati osservati con Humira.</w:t>
      </w:r>
    </w:p>
    <w:p w:rsidR="006224C2" w:rsidRPr="00295E71" w14:paraId="70F0A3AA" w14:textId="77777777">
      <w:pPr>
        <w:pStyle w:val="EndnoteText"/>
        <w:jc w:val="both"/>
        <w:rPr>
          <w:lang w:val="it-IT" w:eastAsia="it-IT"/>
        </w:rPr>
      </w:pPr>
    </w:p>
    <w:p w:rsidR="006224C2" w:rsidRPr="00295E71" w14:paraId="5AC3A066" w14:textId="77777777">
      <w:pPr>
        <w:keepNext/>
        <w:tabs>
          <w:tab w:val="left" w:pos="567"/>
        </w:tabs>
        <w:jc w:val="both"/>
        <w:rPr>
          <w:sz w:val="22"/>
          <w:szCs w:val="22"/>
        </w:rPr>
      </w:pPr>
      <w:r w:rsidRPr="00295E71">
        <w:rPr>
          <w:b/>
          <w:sz w:val="22"/>
          <w:szCs w:val="22"/>
        </w:rPr>
        <w:t>Molto comuni</w:t>
      </w:r>
      <w:r w:rsidRPr="00295E71">
        <w:rPr>
          <w:sz w:val="22"/>
          <w:szCs w:val="22"/>
        </w:rPr>
        <w:t xml:space="preserve"> (possono manifestarsi in più di 1 persona su 10)</w:t>
      </w:r>
    </w:p>
    <w:p w:rsidR="006224C2" w:rsidRPr="00295E71" w14:paraId="1DED5BC6" w14:textId="77777777">
      <w:pPr>
        <w:keepNext/>
        <w:tabs>
          <w:tab w:val="left" w:pos="567"/>
        </w:tabs>
        <w:jc w:val="both"/>
        <w:rPr>
          <w:sz w:val="22"/>
          <w:szCs w:val="22"/>
        </w:rPr>
      </w:pPr>
    </w:p>
    <w:p w:rsidR="006224C2" w:rsidRPr="00295E71" w14:paraId="35E671EE"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reazioni nella sede d’iniezione (tra cui dolore, edema, arrossamento o prurito)</w:t>
      </w:r>
    </w:p>
    <w:p w:rsidR="006224C2" w:rsidRPr="00295E71" w14:paraId="64AD775F"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infezioni delle vie respiratorie (tra cui raffreddore, rinorrea, sinusite e polmonite)</w:t>
      </w:r>
    </w:p>
    <w:p w:rsidR="006224C2" w:rsidRPr="00295E71" w14:paraId="6DC97564"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cefalea</w:t>
      </w:r>
    </w:p>
    <w:p w:rsidR="006224C2" w:rsidRPr="00295E71" w14:paraId="64A95D29"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addominale</w:t>
      </w:r>
    </w:p>
    <w:p w:rsidR="006224C2" w:rsidRPr="00295E71" w14:paraId="5067D405" w14:textId="77777777">
      <w:pPr>
        <w:numPr>
          <w:ilvl w:val="0"/>
          <w:numId w:val="14"/>
        </w:numPr>
        <w:tabs>
          <w:tab w:val="num" w:pos="540"/>
          <w:tab w:val="left" w:pos="567"/>
          <w:tab w:val="left" w:pos="993"/>
        </w:tabs>
        <w:ind w:left="567" w:hanging="567"/>
        <w:jc w:val="both"/>
        <w:rPr>
          <w:sz w:val="22"/>
          <w:szCs w:val="22"/>
        </w:rPr>
      </w:pPr>
      <w:r w:rsidRPr="00295E71">
        <w:rPr>
          <w:sz w:val="22"/>
          <w:szCs w:val="22"/>
        </w:rPr>
        <w:t>nausea e vomito</w:t>
      </w:r>
    </w:p>
    <w:p w:rsidR="006224C2" w:rsidRPr="00295E71" w14:paraId="3A3DB3C3" w14:textId="77777777">
      <w:pPr>
        <w:numPr>
          <w:ilvl w:val="0"/>
          <w:numId w:val="14"/>
        </w:numPr>
        <w:tabs>
          <w:tab w:val="num" w:pos="540"/>
          <w:tab w:val="left" w:pos="567"/>
          <w:tab w:val="left" w:pos="993"/>
        </w:tabs>
        <w:ind w:left="567" w:hanging="567"/>
        <w:jc w:val="both"/>
        <w:rPr>
          <w:sz w:val="22"/>
          <w:szCs w:val="22"/>
        </w:rPr>
      </w:pPr>
      <w:r w:rsidRPr="00295E71">
        <w:rPr>
          <w:sz w:val="22"/>
          <w:szCs w:val="22"/>
        </w:rPr>
        <w:t>eruzione cutanea</w:t>
      </w:r>
    </w:p>
    <w:p w:rsidR="006224C2" w:rsidRPr="00295E71" w14:paraId="6C26018D"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muscoloscheletrico</w:t>
      </w:r>
    </w:p>
    <w:p w:rsidR="006224C2" w:rsidRPr="00295E71" w14:paraId="09166388" w14:textId="77777777">
      <w:pPr>
        <w:tabs>
          <w:tab w:val="left" w:pos="567"/>
          <w:tab w:val="left" w:pos="993"/>
        </w:tabs>
        <w:jc w:val="both"/>
        <w:rPr>
          <w:sz w:val="22"/>
          <w:szCs w:val="22"/>
        </w:rPr>
      </w:pPr>
    </w:p>
    <w:p w:rsidR="006224C2" w:rsidRPr="00295E71" w:rsidP="00986889" w14:paraId="3AF4FBB3" w14:textId="77777777">
      <w:pPr>
        <w:keepNext/>
        <w:tabs>
          <w:tab w:val="left" w:pos="567"/>
        </w:tabs>
        <w:jc w:val="both"/>
        <w:rPr>
          <w:sz w:val="22"/>
          <w:szCs w:val="22"/>
        </w:rPr>
      </w:pPr>
      <w:r w:rsidRPr="00295E71">
        <w:rPr>
          <w:b/>
          <w:sz w:val="22"/>
          <w:szCs w:val="22"/>
        </w:rPr>
        <w:t>Comuni</w:t>
      </w:r>
      <w:r w:rsidRPr="00295E71">
        <w:rPr>
          <w:sz w:val="22"/>
          <w:szCs w:val="22"/>
        </w:rPr>
        <w:t xml:space="preserve"> (possono manifestarsi fino a 1 persona su 10)</w:t>
      </w:r>
    </w:p>
    <w:p w:rsidR="006224C2" w:rsidRPr="00295E71" w:rsidP="00986889" w14:paraId="6368CAB5" w14:textId="77777777">
      <w:pPr>
        <w:keepNext/>
        <w:tabs>
          <w:tab w:val="left" w:pos="567"/>
        </w:tabs>
        <w:jc w:val="both"/>
        <w:rPr>
          <w:sz w:val="22"/>
          <w:szCs w:val="22"/>
        </w:rPr>
      </w:pPr>
    </w:p>
    <w:p w:rsidR="006224C2" w:rsidRPr="00295E71" w:rsidP="00986889" w14:paraId="463562F0"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 xml:space="preserve">infezioni </w:t>
      </w:r>
      <w:r w:rsidR="00B44E4B">
        <w:rPr>
          <w:sz w:val="22"/>
          <w:szCs w:val="22"/>
        </w:rPr>
        <w:t>gravi</w:t>
      </w:r>
      <w:r w:rsidRPr="00295E71" w:rsidR="00086B53">
        <w:rPr>
          <w:sz w:val="22"/>
          <w:szCs w:val="22"/>
        </w:rPr>
        <w:t xml:space="preserve"> </w:t>
      </w:r>
      <w:r w:rsidRPr="00295E71">
        <w:rPr>
          <w:sz w:val="22"/>
          <w:szCs w:val="22"/>
        </w:rPr>
        <w:t>(tra cui setticemia ed influenza)</w:t>
      </w:r>
    </w:p>
    <w:p w:rsidR="00086B53" w:rsidRPr="00295E71" w14:paraId="09215B38"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intestinali (tra cui gastroenterite)</w:t>
      </w:r>
    </w:p>
    <w:p w:rsidR="006224C2" w:rsidRPr="00295E71" w14:paraId="5FB53880"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della pelle (tra cui cellulite e infezione da Herpes Zoster)</w:t>
      </w:r>
    </w:p>
    <w:p w:rsidR="006224C2" w:rsidRPr="00295E71" w14:paraId="46457971"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dell’orecchio</w:t>
      </w:r>
    </w:p>
    <w:p w:rsidR="006224C2" w:rsidRPr="00295E71" w14:paraId="7250AFF3"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orali (tra cui infezioni dei denti ed herpes simplex)</w:t>
      </w:r>
    </w:p>
    <w:p w:rsidR="006224C2" w:rsidRPr="00295E71" w14:paraId="1C7AFD8F"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dell’apparato</w:t>
      </w:r>
      <w:r w:rsidRPr="00295E71" w:rsidR="00096642">
        <w:rPr>
          <w:sz w:val="22"/>
          <w:szCs w:val="22"/>
        </w:rPr>
        <w:t xml:space="preserve"> </w:t>
      </w:r>
      <w:r w:rsidRPr="00295E71">
        <w:rPr>
          <w:sz w:val="22"/>
          <w:szCs w:val="22"/>
        </w:rPr>
        <w:t>riproduttivo</w:t>
      </w:r>
    </w:p>
    <w:p w:rsidR="006224C2" w:rsidRPr="00295E71" w14:paraId="355E093A"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delle vie urinarie</w:t>
      </w:r>
    </w:p>
    <w:p w:rsidR="006224C2" w:rsidRPr="00295E71" w14:paraId="7394CB56"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da miceti</w:t>
      </w:r>
    </w:p>
    <w:p w:rsidR="006224C2" w:rsidRPr="00295E71" w14:paraId="2E499735"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a carico delle articolazioni</w:t>
      </w:r>
    </w:p>
    <w:p w:rsidR="006224C2" w:rsidRPr="00295E71" w14:paraId="583A948F"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 benigni</w:t>
      </w:r>
    </w:p>
    <w:p w:rsidR="006224C2" w:rsidRPr="00295E71" w14:paraId="5A6216A7"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tumore della pelle</w:t>
      </w:r>
    </w:p>
    <w:p w:rsidR="006224C2" w:rsidRPr="00295E71" w14:paraId="000BE34E"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reazioni allergiche (tra cui allergia stagionale)</w:t>
      </w:r>
    </w:p>
    <w:p w:rsidR="006224C2" w:rsidRPr="00295E71" w14:paraId="631BEA9F" w14:textId="77777777">
      <w:pPr>
        <w:numPr>
          <w:ilvl w:val="0"/>
          <w:numId w:val="14"/>
        </w:numPr>
        <w:tabs>
          <w:tab w:val="num" w:pos="540"/>
          <w:tab w:val="left" w:pos="567"/>
          <w:tab w:val="left" w:pos="993"/>
        </w:tabs>
        <w:ind w:left="567" w:hanging="567"/>
        <w:jc w:val="both"/>
        <w:rPr>
          <w:sz w:val="22"/>
          <w:szCs w:val="22"/>
        </w:rPr>
      </w:pPr>
      <w:r w:rsidRPr="00295E71">
        <w:rPr>
          <w:sz w:val="22"/>
          <w:szCs w:val="22"/>
        </w:rPr>
        <w:t>disidratazione</w:t>
      </w:r>
    </w:p>
    <w:p w:rsidR="006224C2" w:rsidRPr="00295E71" w14:paraId="4104B3F3" w14:textId="77777777">
      <w:pPr>
        <w:numPr>
          <w:ilvl w:val="0"/>
          <w:numId w:val="14"/>
        </w:numPr>
        <w:tabs>
          <w:tab w:val="num" w:pos="540"/>
          <w:tab w:val="left" w:pos="567"/>
          <w:tab w:val="left" w:pos="993"/>
        </w:tabs>
        <w:ind w:left="567" w:hanging="567"/>
        <w:jc w:val="both"/>
        <w:rPr>
          <w:sz w:val="22"/>
          <w:szCs w:val="22"/>
        </w:rPr>
      </w:pPr>
      <w:r w:rsidRPr="00295E71">
        <w:rPr>
          <w:sz w:val="22"/>
          <w:szCs w:val="22"/>
        </w:rPr>
        <w:t>cambiamenti d’umore (tra cui depressione)</w:t>
      </w:r>
    </w:p>
    <w:p w:rsidR="006224C2" w:rsidRPr="00295E71" w14:paraId="6C783EC0" w14:textId="77777777">
      <w:pPr>
        <w:numPr>
          <w:ilvl w:val="0"/>
          <w:numId w:val="14"/>
        </w:numPr>
        <w:tabs>
          <w:tab w:val="num" w:pos="540"/>
          <w:tab w:val="left" w:pos="567"/>
          <w:tab w:val="left" w:pos="993"/>
        </w:tabs>
        <w:ind w:left="567" w:hanging="567"/>
        <w:jc w:val="both"/>
        <w:rPr>
          <w:sz w:val="22"/>
          <w:szCs w:val="22"/>
        </w:rPr>
      </w:pPr>
      <w:r w:rsidRPr="00295E71">
        <w:rPr>
          <w:sz w:val="22"/>
          <w:szCs w:val="22"/>
        </w:rPr>
        <w:t>ansia</w:t>
      </w:r>
    </w:p>
    <w:p w:rsidR="006224C2" w:rsidRPr="00295E71" w14:paraId="5C0C44E8"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del sonno</w:t>
      </w:r>
    </w:p>
    <w:p w:rsidR="006224C2" w:rsidRPr="00295E71" w14:paraId="5DBC6D8B"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della sensibilità come formicolii, sensazione di fitte o intorpidimento</w:t>
      </w:r>
    </w:p>
    <w:p w:rsidR="006224C2" w:rsidRPr="00295E71" w14:paraId="20C3519A" w14:textId="77777777">
      <w:pPr>
        <w:numPr>
          <w:ilvl w:val="0"/>
          <w:numId w:val="14"/>
        </w:numPr>
        <w:tabs>
          <w:tab w:val="num" w:pos="540"/>
          <w:tab w:val="left" w:pos="567"/>
          <w:tab w:val="left" w:pos="993"/>
        </w:tabs>
        <w:ind w:left="567" w:hanging="567"/>
        <w:jc w:val="both"/>
        <w:rPr>
          <w:sz w:val="22"/>
          <w:szCs w:val="22"/>
        </w:rPr>
      </w:pPr>
      <w:r w:rsidRPr="00295E71">
        <w:rPr>
          <w:sz w:val="22"/>
          <w:szCs w:val="22"/>
        </w:rPr>
        <w:t>emicrania</w:t>
      </w:r>
    </w:p>
    <w:p w:rsidR="006224C2" w:rsidRPr="00295E71" w14:paraId="001E4E33" w14:textId="77777777">
      <w:pPr>
        <w:numPr>
          <w:ilvl w:val="0"/>
          <w:numId w:val="14"/>
        </w:numPr>
        <w:tabs>
          <w:tab w:val="num" w:pos="540"/>
          <w:tab w:val="left" w:pos="567"/>
          <w:tab w:val="left" w:pos="993"/>
        </w:tabs>
        <w:ind w:left="567" w:hanging="567"/>
        <w:jc w:val="both"/>
        <w:rPr>
          <w:sz w:val="22"/>
          <w:szCs w:val="22"/>
        </w:rPr>
      </w:pPr>
      <w:r w:rsidRPr="00295E71">
        <w:rPr>
          <w:sz w:val="22"/>
          <w:szCs w:val="22"/>
        </w:rPr>
        <w:t>compressione di radice nervosa (tra cui dolore lombare e dolore alle gambe)</w:t>
      </w:r>
    </w:p>
    <w:p w:rsidR="006224C2" w:rsidRPr="00295E71" w14:paraId="25AAB86C"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visivi</w:t>
      </w:r>
    </w:p>
    <w:p w:rsidR="006224C2" w:rsidRPr="00295E71" w14:paraId="2171BC10"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degli occhi</w:t>
      </w:r>
    </w:p>
    <w:p w:rsidR="006224C2" w:rsidRPr="00295E71" w14:paraId="234875D9"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delle palpebre e tumefazione degli occhi</w:t>
      </w:r>
    </w:p>
    <w:p w:rsidR="006224C2" w:rsidRPr="00295E71" w14:paraId="2DDDDCFA" w14:textId="77777777">
      <w:pPr>
        <w:numPr>
          <w:ilvl w:val="0"/>
          <w:numId w:val="14"/>
        </w:numPr>
        <w:tabs>
          <w:tab w:val="num" w:pos="540"/>
          <w:tab w:val="left" w:pos="567"/>
          <w:tab w:val="left" w:pos="993"/>
        </w:tabs>
        <w:ind w:left="567" w:hanging="567"/>
        <w:jc w:val="both"/>
        <w:rPr>
          <w:sz w:val="22"/>
          <w:szCs w:val="22"/>
        </w:rPr>
      </w:pPr>
      <w:r w:rsidRPr="00295E71">
        <w:rPr>
          <w:sz w:val="22"/>
          <w:szCs w:val="22"/>
        </w:rPr>
        <w:t>vertigini (sensazione di capogiro o rotazione)</w:t>
      </w:r>
    </w:p>
    <w:p w:rsidR="006224C2" w:rsidRPr="00295E71" w14:paraId="33731FD0" w14:textId="77777777">
      <w:pPr>
        <w:numPr>
          <w:ilvl w:val="0"/>
          <w:numId w:val="14"/>
        </w:numPr>
        <w:tabs>
          <w:tab w:val="num" w:pos="540"/>
          <w:tab w:val="left" w:pos="567"/>
          <w:tab w:val="left" w:pos="993"/>
        </w:tabs>
        <w:ind w:left="567" w:hanging="567"/>
        <w:jc w:val="both"/>
        <w:rPr>
          <w:sz w:val="22"/>
          <w:szCs w:val="22"/>
        </w:rPr>
      </w:pPr>
      <w:r w:rsidRPr="00295E71">
        <w:rPr>
          <w:sz w:val="22"/>
          <w:szCs w:val="22"/>
        </w:rPr>
        <w:t>sensazione di battito cardiaco accelerato</w:t>
      </w:r>
    </w:p>
    <w:p w:rsidR="006224C2" w:rsidRPr="00295E71" w14:paraId="629842DB" w14:textId="77777777">
      <w:pPr>
        <w:numPr>
          <w:ilvl w:val="0"/>
          <w:numId w:val="14"/>
        </w:numPr>
        <w:tabs>
          <w:tab w:val="num" w:pos="540"/>
          <w:tab w:val="left" w:pos="567"/>
          <w:tab w:val="left" w:pos="993"/>
        </w:tabs>
        <w:ind w:left="567" w:hanging="567"/>
        <w:jc w:val="both"/>
        <w:rPr>
          <w:sz w:val="22"/>
          <w:szCs w:val="22"/>
        </w:rPr>
      </w:pPr>
      <w:r w:rsidRPr="00295E71">
        <w:rPr>
          <w:sz w:val="22"/>
          <w:szCs w:val="22"/>
        </w:rPr>
        <w:t>pressione del sangue elevata</w:t>
      </w:r>
    </w:p>
    <w:p w:rsidR="006224C2" w:rsidRPr="00295E71" w14:paraId="0649B2AA" w14:textId="77777777">
      <w:pPr>
        <w:numPr>
          <w:ilvl w:val="0"/>
          <w:numId w:val="14"/>
        </w:numPr>
        <w:tabs>
          <w:tab w:val="num" w:pos="540"/>
          <w:tab w:val="left" w:pos="567"/>
          <w:tab w:val="left" w:pos="993"/>
        </w:tabs>
        <w:ind w:left="567" w:hanging="567"/>
        <w:jc w:val="both"/>
        <w:rPr>
          <w:sz w:val="22"/>
          <w:szCs w:val="22"/>
        </w:rPr>
      </w:pPr>
      <w:r w:rsidRPr="00295E71">
        <w:rPr>
          <w:sz w:val="22"/>
          <w:szCs w:val="22"/>
        </w:rPr>
        <w:t>vampate</w:t>
      </w:r>
    </w:p>
    <w:p w:rsidR="006224C2" w:rsidRPr="00295E71" w14:paraId="5457D4D6" w14:textId="77777777">
      <w:pPr>
        <w:numPr>
          <w:ilvl w:val="0"/>
          <w:numId w:val="14"/>
        </w:numPr>
        <w:tabs>
          <w:tab w:val="num" w:pos="540"/>
          <w:tab w:val="left" w:pos="567"/>
          <w:tab w:val="left" w:pos="993"/>
        </w:tabs>
        <w:ind w:left="567" w:hanging="567"/>
        <w:jc w:val="both"/>
        <w:rPr>
          <w:sz w:val="22"/>
          <w:szCs w:val="22"/>
        </w:rPr>
      </w:pPr>
      <w:r w:rsidRPr="00295E71">
        <w:rPr>
          <w:sz w:val="22"/>
          <w:szCs w:val="22"/>
        </w:rPr>
        <w:t>ematoma (accumulo di sangue al di fuori dei vasi sanguigni)</w:t>
      </w:r>
    </w:p>
    <w:p w:rsidR="006224C2" w:rsidRPr="00295E71" w14:paraId="488CEE9B" w14:textId="77777777">
      <w:pPr>
        <w:numPr>
          <w:ilvl w:val="0"/>
          <w:numId w:val="14"/>
        </w:numPr>
        <w:tabs>
          <w:tab w:val="num" w:pos="540"/>
          <w:tab w:val="left" w:pos="567"/>
          <w:tab w:val="left" w:pos="993"/>
        </w:tabs>
        <w:ind w:left="567" w:hanging="567"/>
        <w:jc w:val="both"/>
        <w:rPr>
          <w:sz w:val="22"/>
          <w:szCs w:val="22"/>
        </w:rPr>
      </w:pPr>
      <w:r w:rsidRPr="00295E71">
        <w:rPr>
          <w:sz w:val="22"/>
          <w:szCs w:val="22"/>
        </w:rPr>
        <w:t>tosse</w:t>
      </w:r>
    </w:p>
    <w:p w:rsidR="006224C2" w:rsidRPr="00295E71" w14:paraId="61AA9A7B" w14:textId="77777777">
      <w:pPr>
        <w:numPr>
          <w:ilvl w:val="0"/>
          <w:numId w:val="14"/>
        </w:numPr>
        <w:tabs>
          <w:tab w:val="num" w:pos="540"/>
          <w:tab w:val="left" w:pos="567"/>
          <w:tab w:val="left" w:pos="993"/>
        </w:tabs>
        <w:ind w:left="567" w:hanging="567"/>
        <w:jc w:val="both"/>
        <w:rPr>
          <w:sz w:val="22"/>
          <w:szCs w:val="22"/>
        </w:rPr>
      </w:pPr>
      <w:r w:rsidRPr="00295E71">
        <w:rPr>
          <w:sz w:val="22"/>
          <w:szCs w:val="22"/>
        </w:rPr>
        <w:t>asma</w:t>
      </w:r>
    </w:p>
    <w:p w:rsidR="006224C2" w:rsidRPr="00295E71" w14:paraId="68F54948" w14:textId="77777777">
      <w:pPr>
        <w:numPr>
          <w:ilvl w:val="0"/>
          <w:numId w:val="14"/>
        </w:numPr>
        <w:tabs>
          <w:tab w:val="num" w:pos="540"/>
          <w:tab w:val="left" w:pos="567"/>
          <w:tab w:val="left" w:pos="993"/>
        </w:tabs>
        <w:ind w:left="567" w:hanging="567"/>
        <w:jc w:val="both"/>
        <w:rPr>
          <w:sz w:val="22"/>
          <w:szCs w:val="22"/>
        </w:rPr>
      </w:pPr>
      <w:r w:rsidRPr="00295E71">
        <w:rPr>
          <w:sz w:val="22"/>
          <w:szCs w:val="22"/>
        </w:rPr>
        <w:t>fiato corto</w:t>
      </w:r>
    </w:p>
    <w:p w:rsidR="006224C2" w:rsidRPr="00295E71" w14:paraId="25093EE0" w14:textId="77777777">
      <w:pPr>
        <w:numPr>
          <w:ilvl w:val="0"/>
          <w:numId w:val="14"/>
        </w:numPr>
        <w:tabs>
          <w:tab w:val="num" w:pos="540"/>
          <w:tab w:val="left" w:pos="567"/>
          <w:tab w:val="left" w:pos="993"/>
        </w:tabs>
        <w:ind w:left="567" w:hanging="567"/>
        <w:jc w:val="both"/>
        <w:rPr>
          <w:sz w:val="22"/>
          <w:szCs w:val="22"/>
        </w:rPr>
      </w:pPr>
      <w:r w:rsidRPr="00295E71">
        <w:rPr>
          <w:sz w:val="22"/>
          <w:szCs w:val="22"/>
        </w:rPr>
        <w:t>sanguinamento gastrointestinale</w:t>
      </w:r>
    </w:p>
    <w:p w:rsidR="006224C2" w:rsidRPr="00295E71" w14:paraId="6EBDEA8B" w14:textId="77777777">
      <w:pPr>
        <w:numPr>
          <w:ilvl w:val="0"/>
          <w:numId w:val="14"/>
        </w:numPr>
        <w:tabs>
          <w:tab w:val="num" w:pos="540"/>
          <w:tab w:val="left" w:pos="567"/>
          <w:tab w:val="left" w:pos="993"/>
        </w:tabs>
        <w:ind w:left="567" w:hanging="567"/>
        <w:jc w:val="both"/>
        <w:rPr>
          <w:sz w:val="22"/>
          <w:szCs w:val="22"/>
        </w:rPr>
      </w:pPr>
      <w:r w:rsidRPr="00295E71">
        <w:rPr>
          <w:sz w:val="22"/>
          <w:szCs w:val="22"/>
        </w:rPr>
        <w:t>dispepsia (indigestione, gonfiore, bruciore di stomaco)</w:t>
      </w:r>
    </w:p>
    <w:p w:rsidR="006224C2" w:rsidRPr="00295E71" w14:paraId="06DBC82B"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disturbo da reflusso acido</w:t>
      </w:r>
    </w:p>
    <w:p w:rsidR="006224C2" w:rsidRPr="00295E71" w14:paraId="389ABBDD"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sicca (tra cui secchezza degli occhi e della bocca)</w:t>
      </w:r>
    </w:p>
    <w:p w:rsidR="006224C2" w:rsidRPr="00295E71" w14:paraId="2325E780" w14:textId="77777777">
      <w:pPr>
        <w:numPr>
          <w:ilvl w:val="0"/>
          <w:numId w:val="14"/>
        </w:numPr>
        <w:tabs>
          <w:tab w:val="num" w:pos="540"/>
          <w:tab w:val="left" w:pos="567"/>
          <w:tab w:val="left" w:pos="993"/>
        </w:tabs>
        <w:ind w:left="567" w:hanging="567"/>
        <w:jc w:val="both"/>
        <w:rPr>
          <w:sz w:val="22"/>
          <w:szCs w:val="22"/>
        </w:rPr>
      </w:pPr>
      <w:r w:rsidRPr="00295E71">
        <w:rPr>
          <w:sz w:val="22"/>
          <w:szCs w:val="22"/>
        </w:rPr>
        <w:t>prurito</w:t>
      </w:r>
    </w:p>
    <w:p w:rsidR="006224C2" w:rsidRPr="00295E71" w14:paraId="002EE7A8" w14:textId="77777777">
      <w:pPr>
        <w:numPr>
          <w:ilvl w:val="0"/>
          <w:numId w:val="14"/>
        </w:numPr>
        <w:tabs>
          <w:tab w:val="num" w:pos="540"/>
          <w:tab w:val="left" w:pos="567"/>
          <w:tab w:val="left" w:pos="993"/>
        </w:tabs>
        <w:ind w:left="567" w:hanging="567"/>
        <w:jc w:val="both"/>
        <w:rPr>
          <w:sz w:val="22"/>
          <w:szCs w:val="22"/>
        </w:rPr>
      </w:pPr>
      <w:r w:rsidRPr="00295E71">
        <w:rPr>
          <w:sz w:val="22"/>
          <w:szCs w:val="22"/>
        </w:rPr>
        <w:t>eruzione cutanea pruriginosa</w:t>
      </w:r>
    </w:p>
    <w:p w:rsidR="006224C2" w:rsidRPr="00295E71" w14:paraId="2279B674" w14:textId="77777777">
      <w:pPr>
        <w:numPr>
          <w:ilvl w:val="0"/>
          <w:numId w:val="14"/>
        </w:numPr>
        <w:tabs>
          <w:tab w:val="num" w:pos="540"/>
          <w:tab w:val="left" w:pos="567"/>
          <w:tab w:val="left" w:pos="993"/>
        </w:tabs>
        <w:ind w:left="567" w:hanging="567"/>
        <w:jc w:val="both"/>
        <w:rPr>
          <w:sz w:val="22"/>
          <w:szCs w:val="22"/>
        </w:rPr>
      </w:pPr>
      <w:r w:rsidRPr="00295E71">
        <w:rPr>
          <w:sz w:val="22"/>
          <w:szCs w:val="22"/>
        </w:rPr>
        <w:t>contusione</w:t>
      </w:r>
    </w:p>
    <w:p w:rsidR="006224C2" w:rsidRPr="00295E71" w14:paraId="3259503E"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della pelle (come eczema)</w:t>
      </w:r>
    </w:p>
    <w:p w:rsidR="006224C2" w:rsidRPr="00295E71" w14:paraId="2768230E" w14:textId="77777777">
      <w:pPr>
        <w:numPr>
          <w:ilvl w:val="0"/>
          <w:numId w:val="14"/>
        </w:numPr>
        <w:tabs>
          <w:tab w:val="num" w:pos="540"/>
          <w:tab w:val="left" w:pos="567"/>
          <w:tab w:val="left" w:pos="993"/>
        </w:tabs>
        <w:ind w:left="567" w:hanging="567"/>
        <w:jc w:val="both"/>
        <w:rPr>
          <w:sz w:val="22"/>
          <w:szCs w:val="22"/>
        </w:rPr>
      </w:pPr>
      <w:r w:rsidRPr="00295E71">
        <w:rPr>
          <w:sz w:val="22"/>
          <w:szCs w:val="22"/>
        </w:rPr>
        <w:t>rottura delle unghie delle dita della mano e del piede</w:t>
      </w:r>
    </w:p>
    <w:p w:rsidR="006224C2" w:rsidRPr="00295E71" w14:paraId="6115A354"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sudorazione</w:t>
      </w:r>
    </w:p>
    <w:p w:rsidR="006224C2" w:rsidRPr="00295E71" w14:paraId="1627C627" w14:textId="77777777">
      <w:pPr>
        <w:numPr>
          <w:ilvl w:val="0"/>
          <w:numId w:val="14"/>
        </w:numPr>
        <w:tabs>
          <w:tab w:val="num" w:pos="540"/>
          <w:tab w:val="left" w:pos="567"/>
          <w:tab w:val="left" w:pos="993"/>
        </w:tabs>
        <w:ind w:left="567" w:hanging="567"/>
        <w:jc w:val="both"/>
        <w:rPr>
          <w:sz w:val="22"/>
          <w:szCs w:val="22"/>
        </w:rPr>
      </w:pPr>
      <w:r w:rsidRPr="00295E71">
        <w:rPr>
          <w:sz w:val="22"/>
          <w:szCs w:val="22"/>
        </w:rPr>
        <w:t>perdita di capelli</w:t>
      </w:r>
    </w:p>
    <w:p w:rsidR="006224C2" w:rsidRPr="00295E71" w14:paraId="0EE98A95" w14:textId="77777777">
      <w:pPr>
        <w:numPr>
          <w:ilvl w:val="0"/>
          <w:numId w:val="14"/>
        </w:numPr>
        <w:tabs>
          <w:tab w:val="num" w:pos="540"/>
          <w:tab w:val="left" w:pos="567"/>
          <w:tab w:val="left" w:pos="993"/>
        </w:tabs>
        <w:ind w:left="567" w:hanging="567"/>
        <w:jc w:val="both"/>
        <w:rPr>
          <w:sz w:val="22"/>
          <w:szCs w:val="22"/>
        </w:rPr>
      </w:pPr>
      <w:r w:rsidRPr="00295E71">
        <w:rPr>
          <w:sz w:val="22"/>
          <w:szCs w:val="22"/>
        </w:rPr>
        <w:t>insorgenza o peggioramento della psoriasi</w:t>
      </w:r>
    </w:p>
    <w:p w:rsidR="006224C2" w:rsidRPr="00295E71" w14:paraId="30762363" w14:textId="77777777">
      <w:pPr>
        <w:numPr>
          <w:ilvl w:val="0"/>
          <w:numId w:val="14"/>
        </w:numPr>
        <w:tabs>
          <w:tab w:val="num" w:pos="540"/>
          <w:tab w:val="left" w:pos="567"/>
          <w:tab w:val="left" w:pos="993"/>
        </w:tabs>
        <w:ind w:left="567" w:hanging="567"/>
        <w:jc w:val="both"/>
        <w:rPr>
          <w:sz w:val="22"/>
          <w:szCs w:val="22"/>
        </w:rPr>
      </w:pPr>
      <w:r w:rsidRPr="00295E71">
        <w:rPr>
          <w:sz w:val="22"/>
          <w:szCs w:val="22"/>
        </w:rPr>
        <w:t>spasmi muscolari</w:t>
      </w:r>
    </w:p>
    <w:p w:rsidR="006224C2" w:rsidRPr="00295E71" w14:paraId="3F385BB7" w14:textId="77777777">
      <w:pPr>
        <w:numPr>
          <w:ilvl w:val="0"/>
          <w:numId w:val="14"/>
        </w:numPr>
        <w:tabs>
          <w:tab w:val="num" w:pos="540"/>
          <w:tab w:val="left" w:pos="567"/>
          <w:tab w:val="left" w:pos="993"/>
        </w:tabs>
        <w:ind w:left="567" w:hanging="567"/>
        <w:jc w:val="both"/>
        <w:rPr>
          <w:sz w:val="22"/>
          <w:szCs w:val="22"/>
        </w:rPr>
      </w:pPr>
      <w:r w:rsidRPr="00295E71">
        <w:rPr>
          <w:sz w:val="22"/>
          <w:szCs w:val="22"/>
        </w:rPr>
        <w:t>sangue nelle urine</w:t>
      </w:r>
    </w:p>
    <w:p w:rsidR="006224C2" w:rsidRPr="00295E71" w14:paraId="702351A5" w14:textId="77777777">
      <w:pPr>
        <w:numPr>
          <w:ilvl w:val="0"/>
          <w:numId w:val="14"/>
        </w:numPr>
        <w:tabs>
          <w:tab w:val="num" w:pos="540"/>
          <w:tab w:val="left" w:pos="567"/>
          <w:tab w:val="left" w:pos="993"/>
        </w:tabs>
        <w:ind w:left="567" w:hanging="567"/>
        <w:jc w:val="both"/>
        <w:rPr>
          <w:sz w:val="22"/>
          <w:szCs w:val="22"/>
        </w:rPr>
      </w:pPr>
      <w:r w:rsidRPr="00295E71">
        <w:rPr>
          <w:sz w:val="22"/>
          <w:szCs w:val="22"/>
        </w:rPr>
        <w:t>problemi renali</w:t>
      </w:r>
    </w:p>
    <w:p w:rsidR="006224C2" w:rsidRPr="00295E71" w14:paraId="160022CD"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toracico</w:t>
      </w:r>
    </w:p>
    <w:p w:rsidR="006224C2" w:rsidRPr="00295E71" w14:paraId="1E43CFB1"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(accumulo di liquidi)</w:t>
      </w:r>
    </w:p>
    <w:p w:rsidR="006224C2" w:rsidRPr="00295E71" w14:paraId="2A837C23" w14:textId="77777777">
      <w:pPr>
        <w:numPr>
          <w:ilvl w:val="0"/>
          <w:numId w:val="14"/>
        </w:numPr>
        <w:tabs>
          <w:tab w:val="num" w:pos="540"/>
          <w:tab w:val="left" w:pos="567"/>
          <w:tab w:val="left" w:pos="993"/>
        </w:tabs>
        <w:ind w:left="567" w:hanging="567"/>
        <w:jc w:val="both"/>
        <w:rPr>
          <w:sz w:val="22"/>
          <w:szCs w:val="22"/>
        </w:rPr>
      </w:pPr>
      <w:r w:rsidRPr="00295E71">
        <w:rPr>
          <w:sz w:val="22"/>
          <w:szCs w:val="22"/>
        </w:rPr>
        <w:t>febbre</w:t>
      </w:r>
    </w:p>
    <w:p w:rsidR="006224C2" w:rsidRPr="00295E71" w14:paraId="113E2575"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delle piastrine nel sangue</w:t>
      </w:r>
      <w:r w:rsidRPr="00295E71" w:rsidR="00096642">
        <w:rPr>
          <w:sz w:val="22"/>
          <w:szCs w:val="22"/>
        </w:rPr>
        <w:t xml:space="preserve"> </w:t>
      </w:r>
      <w:r w:rsidRPr="00295E71">
        <w:rPr>
          <w:sz w:val="22"/>
          <w:szCs w:val="22"/>
        </w:rPr>
        <w:t>che aumenta il rischio di emorragia o di contusioni</w:t>
      </w:r>
    </w:p>
    <w:p w:rsidR="006224C2" w:rsidRPr="00295E71" w14:paraId="182FABB5" w14:textId="77777777">
      <w:pPr>
        <w:numPr>
          <w:ilvl w:val="0"/>
          <w:numId w:val="14"/>
        </w:numPr>
        <w:tabs>
          <w:tab w:val="num" w:pos="540"/>
          <w:tab w:val="left" w:pos="567"/>
          <w:tab w:val="left" w:pos="993"/>
        </w:tabs>
        <w:ind w:left="567" w:hanging="567"/>
        <w:jc w:val="both"/>
        <w:rPr>
          <w:sz w:val="22"/>
          <w:szCs w:val="22"/>
        </w:rPr>
      </w:pPr>
      <w:r w:rsidRPr="00295E71">
        <w:rPr>
          <w:sz w:val="22"/>
          <w:szCs w:val="22"/>
        </w:rPr>
        <w:t>difficoltà di cicatrizzazione</w:t>
      </w:r>
    </w:p>
    <w:p w:rsidR="006224C2" w:rsidRPr="00295E71" w14:paraId="77DB0D0D" w14:textId="77777777">
      <w:pPr>
        <w:pStyle w:val="EndnoteText"/>
        <w:jc w:val="both"/>
        <w:rPr>
          <w:lang w:val="it-IT" w:eastAsia="it-IT"/>
        </w:rPr>
      </w:pPr>
    </w:p>
    <w:p w:rsidR="006224C2" w:rsidRPr="00295E71" w:rsidP="00986889" w14:paraId="2990A4CF" w14:textId="77777777">
      <w:pPr>
        <w:keepNext/>
        <w:tabs>
          <w:tab w:val="left" w:pos="567"/>
        </w:tabs>
        <w:jc w:val="both"/>
        <w:rPr>
          <w:sz w:val="22"/>
          <w:szCs w:val="22"/>
        </w:rPr>
      </w:pPr>
      <w:r w:rsidRPr="00295E71">
        <w:rPr>
          <w:b/>
          <w:sz w:val="22"/>
          <w:szCs w:val="22"/>
        </w:rPr>
        <w:t>Non comuni</w:t>
      </w:r>
      <w:r w:rsidRPr="00295E71">
        <w:rPr>
          <w:sz w:val="22"/>
          <w:szCs w:val="22"/>
        </w:rPr>
        <w:t xml:space="preserve"> (possono manifestarsi fino a 1 persona su 100)</w:t>
      </w:r>
    </w:p>
    <w:p w:rsidR="006224C2" w:rsidRPr="00295E71" w:rsidP="00986889" w14:paraId="2D0F610F" w14:textId="77777777">
      <w:pPr>
        <w:keepNext/>
        <w:tabs>
          <w:tab w:val="left" w:pos="567"/>
        </w:tabs>
        <w:jc w:val="both"/>
        <w:rPr>
          <w:sz w:val="22"/>
          <w:szCs w:val="22"/>
        </w:rPr>
      </w:pPr>
    </w:p>
    <w:p w:rsidR="006224C2" w:rsidRPr="00295E71" w14:paraId="420B3758"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opportunistiche (che includono la tubercolosi ed altre infezioni che si verificano quando si riducono le difese immunitarie)</w:t>
      </w:r>
    </w:p>
    <w:p w:rsidR="006224C2" w:rsidRPr="00295E71" w14:paraId="4356FBF7"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neurologiche (tra cui la meningite virale)</w:t>
      </w:r>
    </w:p>
    <w:p w:rsidR="006224C2" w:rsidRPr="00295E71" w14:paraId="7B0D1A21"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degli occhi</w:t>
      </w:r>
    </w:p>
    <w:p w:rsidR="006224C2" w:rsidRPr="00295E71" w14:paraId="40B0574E"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batteriche</w:t>
      </w:r>
    </w:p>
    <w:p w:rsidR="006224C2" w:rsidRPr="00295E71" w14:paraId="481213CB" w14:textId="77777777">
      <w:pPr>
        <w:numPr>
          <w:ilvl w:val="0"/>
          <w:numId w:val="14"/>
        </w:numPr>
        <w:tabs>
          <w:tab w:val="num" w:pos="540"/>
          <w:tab w:val="left" w:pos="567"/>
          <w:tab w:val="left" w:pos="993"/>
        </w:tabs>
        <w:ind w:left="567" w:hanging="567"/>
        <w:jc w:val="both"/>
        <w:rPr>
          <w:sz w:val="22"/>
          <w:szCs w:val="22"/>
        </w:rPr>
      </w:pPr>
      <w:r w:rsidRPr="00295E71">
        <w:rPr>
          <w:sz w:val="22"/>
          <w:szCs w:val="22"/>
        </w:rPr>
        <w:t>diverticolite (infiammazione e infezione dell’intestino crasso)</w:t>
      </w:r>
    </w:p>
    <w:p w:rsidR="006224C2" w:rsidRPr="00295E71" w14:paraId="788E1F05"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w:t>
      </w:r>
    </w:p>
    <w:p w:rsidR="006224C2" w:rsidRPr="00295E71" w14:paraId="7F48FF92"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 del sistema linfatico</w:t>
      </w:r>
    </w:p>
    <w:p w:rsidR="006224C2" w:rsidRPr="00295E71" w14:paraId="2E816E83" w14:textId="77777777">
      <w:pPr>
        <w:numPr>
          <w:ilvl w:val="0"/>
          <w:numId w:val="14"/>
        </w:numPr>
        <w:tabs>
          <w:tab w:val="num" w:pos="540"/>
          <w:tab w:val="left" w:pos="567"/>
          <w:tab w:val="left" w:pos="993"/>
        </w:tabs>
        <w:ind w:left="567" w:hanging="567"/>
        <w:jc w:val="both"/>
        <w:rPr>
          <w:sz w:val="22"/>
          <w:szCs w:val="22"/>
        </w:rPr>
      </w:pPr>
      <w:r w:rsidRPr="00295E71">
        <w:rPr>
          <w:sz w:val="22"/>
          <w:szCs w:val="22"/>
        </w:rPr>
        <w:t>melanoma</w:t>
      </w:r>
    </w:p>
    <w:p w:rsidR="006224C2" w:rsidRPr="00295E71" w14:paraId="367975C7" w14:textId="77777777">
      <w:pPr>
        <w:numPr>
          <w:ilvl w:val="0"/>
          <w:numId w:val="14"/>
        </w:numPr>
        <w:tabs>
          <w:tab w:val="num" w:pos="540"/>
          <w:tab w:val="left" w:pos="567"/>
          <w:tab w:val="left" w:pos="993"/>
        </w:tabs>
        <w:ind w:left="567" w:hanging="567"/>
        <w:jc w:val="both"/>
        <w:rPr>
          <w:sz w:val="22"/>
          <w:szCs w:val="22"/>
        </w:rPr>
      </w:pPr>
      <w:r w:rsidRPr="00295E71">
        <w:rPr>
          <w:sz w:val="22"/>
          <w:szCs w:val="22"/>
        </w:rPr>
        <w:t>disordini del sistema immunitario che possono colpire polmoni, cute e linfonodi (che si presentano più comunemente come sarcoidosi)</w:t>
      </w:r>
    </w:p>
    <w:p w:rsidR="006224C2" w:rsidRPr="00295E71" w14:paraId="6CA81321" w14:textId="77777777">
      <w:pPr>
        <w:numPr>
          <w:ilvl w:val="0"/>
          <w:numId w:val="14"/>
        </w:numPr>
        <w:tabs>
          <w:tab w:val="num" w:pos="540"/>
          <w:tab w:val="left" w:pos="567"/>
          <w:tab w:val="left" w:pos="993"/>
        </w:tabs>
        <w:ind w:left="567" w:hanging="567"/>
        <w:jc w:val="both"/>
        <w:rPr>
          <w:sz w:val="22"/>
          <w:szCs w:val="22"/>
        </w:rPr>
      </w:pPr>
      <w:r w:rsidRPr="00295E71">
        <w:rPr>
          <w:sz w:val="22"/>
          <w:szCs w:val="22"/>
        </w:rPr>
        <w:t>vasculite (infiammazione dei vasi sanguigni)</w:t>
      </w:r>
    </w:p>
    <w:p w:rsidR="006224C2" w:rsidRPr="00295E71" w14:paraId="06F2CFE7" w14:textId="77777777">
      <w:pPr>
        <w:numPr>
          <w:ilvl w:val="0"/>
          <w:numId w:val="14"/>
        </w:numPr>
        <w:tabs>
          <w:tab w:val="num" w:pos="540"/>
          <w:tab w:val="left" w:pos="567"/>
          <w:tab w:val="left" w:pos="993"/>
        </w:tabs>
        <w:ind w:left="567" w:hanging="567"/>
        <w:jc w:val="both"/>
        <w:rPr>
          <w:sz w:val="22"/>
          <w:szCs w:val="22"/>
        </w:rPr>
      </w:pPr>
      <w:r w:rsidRPr="00295E71">
        <w:rPr>
          <w:sz w:val="22"/>
          <w:szCs w:val="22"/>
        </w:rPr>
        <w:t>tremore (agitazione)</w:t>
      </w:r>
    </w:p>
    <w:p w:rsidR="006224C2" w:rsidRPr="00295E71" w14:paraId="2C1E8E96" w14:textId="77777777">
      <w:pPr>
        <w:numPr>
          <w:ilvl w:val="0"/>
          <w:numId w:val="14"/>
        </w:numPr>
        <w:tabs>
          <w:tab w:val="num" w:pos="540"/>
          <w:tab w:val="left" w:pos="567"/>
          <w:tab w:val="left" w:pos="993"/>
        </w:tabs>
        <w:ind w:left="567" w:hanging="567"/>
        <w:jc w:val="both"/>
        <w:rPr>
          <w:sz w:val="22"/>
          <w:szCs w:val="22"/>
        </w:rPr>
      </w:pPr>
      <w:r w:rsidRPr="00295E71">
        <w:rPr>
          <w:sz w:val="22"/>
          <w:szCs w:val="22"/>
        </w:rPr>
        <w:t>neuropatia (disturbi del sistema nervoso)</w:t>
      </w:r>
    </w:p>
    <w:p w:rsidR="006224C2" w:rsidRPr="00295E71" w14:paraId="2B50D6C7" w14:textId="77777777">
      <w:pPr>
        <w:numPr>
          <w:ilvl w:val="0"/>
          <w:numId w:val="14"/>
        </w:numPr>
        <w:tabs>
          <w:tab w:val="num" w:pos="540"/>
          <w:tab w:val="left" w:pos="567"/>
          <w:tab w:val="left" w:pos="993"/>
        </w:tabs>
        <w:ind w:left="567" w:hanging="567"/>
        <w:jc w:val="both"/>
        <w:rPr>
          <w:sz w:val="22"/>
          <w:szCs w:val="22"/>
        </w:rPr>
      </w:pPr>
      <w:r w:rsidRPr="00295E71">
        <w:rPr>
          <w:sz w:val="22"/>
          <w:szCs w:val="22"/>
        </w:rPr>
        <w:t>ictus</w:t>
      </w:r>
    </w:p>
    <w:p w:rsidR="006224C2" w:rsidRPr="00295E71" w14:paraId="574C524E" w14:textId="77777777">
      <w:pPr>
        <w:numPr>
          <w:ilvl w:val="0"/>
          <w:numId w:val="14"/>
        </w:numPr>
        <w:tabs>
          <w:tab w:val="num" w:pos="540"/>
          <w:tab w:val="left" w:pos="567"/>
          <w:tab w:val="left" w:pos="993"/>
        </w:tabs>
        <w:ind w:left="567" w:hanging="567"/>
        <w:jc w:val="both"/>
        <w:rPr>
          <w:sz w:val="22"/>
          <w:szCs w:val="22"/>
        </w:rPr>
      </w:pPr>
      <w:r w:rsidRPr="00295E71">
        <w:rPr>
          <w:sz w:val="22"/>
          <w:szCs w:val="22"/>
        </w:rPr>
        <w:t>perdita dell’udito, ronzio</w:t>
      </w:r>
    </w:p>
    <w:p w:rsidR="006224C2" w:rsidRPr="00295E71" w14:paraId="25FE5527" w14:textId="77777777">
      <w:pPr>
        <w:numPr>
          <w:ilvl w:val="0"/>
          <w:numId w:val="14"/>
        </w:numPr>
        <w:tabs>
          <w:tab w:val="num" w:pos="540"/>
          <w:tab w:val="left" w:pos="567"/>
          <w:tab w:val="left" w:pos="993"/>
        </w:tabs>
        <w:ind w:left="567" w:hanging="567"/>
        <w:jc w:val="both"/>
        <w:rPr>
          <w:sz w:val="22"/>
          <w:szCs w:val="22"/>
        </w:rPr>
      </w:pPr>
      <w:r w:rsidRPr="00295E71">
        <w:rPr>
          <w:sz w:val="22"/>
          <w:szCs w:val="22"/>
        </w:rPr>
        <w:t>sensazione di battito cardiaco irregolare come palpitazioni</w:t>
      </w:r>
    </w:p>
    <w:p w:rsidR="006224C2" w:rsidRPr="00295E71" w14:paraId="29157257" w14:textId="77777777">
      <w:pPr>
        <w:numPr>
          <w:ilvl w:val="0"/>
          <w:numId w:val="14"/>
        </w:numPr>
        <w:tabs>
          <w:tab w:val="num" w:pos="540"/>
          <w:tab w:val="left" w:pos="567"/>
          <w:tab w:val="left" w:pos="993"/>
        </w:tabs>
        <w:ind w:left="567" w:hanging="567"/>
        <w:jc w:val="both"/>
        <w:rPr>
          <w:sz w:val="22"/>
          <w:szCs w:val="22"/>
        </w:rPr>
      </w:pPr>
      <w:r w:rsidRPr="00295E71">
        <w:rPr>
          <w:sz w:val="22"/>
          <w:szCs w:val="22"/>
        </w:rPr>
        <w:t>problemi al cuore che possono causare fiato corto o gonfiore a livello delle caviglie</w:t>
      </w:r>
    </w:p>
    <w:p w:rsidR="006224C2" w:rsidRPr="00295E71" w14:paraId="36D03DC9" w14:textId="77777777">
      <w:pPr>
        <w:numPr>
          <w:ilvl w:val="0"/>
          <w:numId w:val="14"/>
        </w:numPr>
        <w:tabs>
          <w:tab w:val="num" w:pos="540"/>
          <w:tab w:val="left" w:pos="567"/>
          <w:tab w:val="left" w:pos="993"/>
        </w:tabs>
        <w:ind w:left="567" w:hanging="567"/>
        <w:jc w:val="both"/>
        <w:rPr>
          <w:sz w:val="22"/>
          <w:szCs w:val="22"/>
        </w:rPr>
      </w:pPr>
      <w:r w:rsidRPr="00295E71">
        <w:rPr>
          <w:sz w:val="22"/>
          <w:szCs w:val="22"/>
        </w:rPr>
        <w:t>infarto acuto del miocardio</w:t>
      </w:r>
    </w:p>
    <w:p w:rsidR="006224C2" w:rsidRPr="00295E71" w14:paraId="6DDF1B1D" w14:textId="77777777">
      <w:pPr>
        <w:numPr>
          <w:ilvl w:val="0"/>
          <w:numId w:val="14"/>
        </w:numPr>
        <w:tabs>
          <w:tab w:val="num" w:pos="540"/>
          <w:tab w:val="left" w:pos="567"/>
          <w:tab w:val="left" w:pos="993"/>
        </w:tabs>
        <w:ind w:left="567" w:hanging="567"/>
        <w:jc w:val="both"/>
        <w:rPr>
          <w:sz w:val="22"/>
          <w:szCs w:val="22"/>
        </w:rPr>
      </w:pPr>
      <w:r w:rsidRPr="00295E71">
        <w:rPr>
          <w:sz w:val="22"/>
          <w:szCs w:val="22"/>
        </w:rPr>
        <w:t>formazione di una sacca nella parete di un’arteria principale, infiammazione e coagulo in una vena, ostruzione di un vaso sanguigno</w:t>
      </w:r>
    </w:p>
    <w:p w:rsidR="006224C2" w:rsidRPr="00295E71" w14:paraId="2320123C" w14:textId="77777777">
      <w:pPr>
        <w:numPr>
          <w:ilvl w:val="0"/>
          <w:numId w:val="14"/>
        </w:numPr>
        <w:tabs>
          <w:tab w:val="num" w:pos="540"/>
          <w:tab w:val="left" w:pos="567"/>
          <w:tab w:val="left" w:pos="993"/>
        </w:tabs>
        <w:ind w:left="567" w:hanging="567"/>
        <w:jc w:val="both"/>
        <w:rPr>
          <w:sz w:val="22"/>
          <w:szCs w:val="22"/>
        </w:rPr>
      </w:pPr>
      <w:r w:rsidRPr="00295E71">
        <w:rPr>
          <w:sz w:val="22"/>
          <w:szCs w:val="22"/>
        </w:rPr>
        <w:t>malattia polmonare che provoca fiato corto (inclusa infiammazione)</w:t>
      </w:r>
    </w:p>
    <w:p w:rsidR="006224C2" w:rsidRPr="00295E71" w14:paraId="20685473" w14:textId="77777777">
      <w:pPr>
        <w:numPr>
          <w:ilvl w:val="0"/>
          <w:numId w:val="14"/>
        </w:numPr>
        <w:tabs>
          <w:tab w:val="num" w:pos="540"/>
          <w:tab w:val="left" w:pos="567"/>
          <w:tab w:val="left" w:pos="993"/>
        </w:tabs>
        <w:ind w:left="567" w:hanging="567"/>
        <w:jc w:val="both"/>
        <w:rPr>
          <w:sz w:val="22"/>
          <w:szCs w:val="22"/>
        </w:rPr>
      </w:pPr>
      <w:r w:rsidRPr="00295E71">
        <w:rPr>
          <w:sz w:val="22"/>
          <w:szCs w:val="22"/>
        </w:rPr>
        <w:t>embolia polmonare (occlusione di una arteria polmonare)</w:t>
      </w:r>
    </w:p>
    <w:p w:rsidR="006224C2" w:rsidRPr="00295E71" w14:paraId="5D7C92A6" w14:textId="77777777">
      <w:pPr>
        <w:numPr>
          <w:ilvl w:val="0"/>
          <w:numId w:val="14"/>
        </w:numPr>
        <w:tabs>
          <w:tab w:val="num" w:pos="540"/>
          <w:tab w:val="left" w:pos="567"/>
          <w:tab w:val="left" w:pos="993"/>
        </w:tabs>
        <w:ind w:left="567" w:hanging="567"/>
        <w:jc w:val="both"/>
        <w:rPr>
          <w:sz w:val="22"/>
          <w:szCs w:val="22"/>
        </w:rPr>
      </w:pPr>
      <w:r w:rsidRPr="00295E71">
        <w:rPr>
          <w:sz w:val="22"/>
          <w:szCs w:val="22"/>
        </w:rPr>
        <w:t>versamento pleurico (anomala raccolta di liquido nello spazio pleurico)</w:t>
      </w:r>
    </w:p>
    <w:p w:rsidR="006224C2" w:rsidRPr="00295E71" w14:paraId="0F12C01A"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 pancreas che causa forti dolori all’addome ed alla schiena</w:t>
      </w:r>
    </w:p>
    <w:p w:rsidR="006224C2" w:rsidRPr="00295E71" w14:paraId="5D605818" w14:textId="77777777">
      <w:pPr>
        <w:numPr>
          <w:ilvl w:val="0"/>
          <w:numId w:val="14"/>
        </w:numPr>
        <w:tabs>
          <w:tab w:val="num" w:pos="540"/>
          <w:tab w:val="left" w:pos="567"/>
          <w:tab w:val="left" w:pos="993"/>
        </w:tabs>
        <w:ind w:left="567" w:hanging="567"/>
        <w:jc w:val="both"/>
        <w:rPr>
          <w:sz w:val="22"/>
          <w:szCs w:val="22"/>
        </w:rPr>
      </w:pPr>
      <w:r w:rsidRPr="00295E71">
        <w:rPr>
          <w:sz w:val="22"/>
          <w:szCs w:val="22"/>
        </w:rPr>
        <w:t>difficoltà nella deglutizione</w:t>
      </w:r>
    </w:p>
    <w:p w:rsidR="006224C2" w:rsidRPr="00295E71" w14:paraId="542088D4"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facciale (gonfiore del viso)</w:t>
      </w:r>
    </w:p>
    <w:p w:rsidR="006224C2" w:rsidRPr="00295E71" w14:paraId="7F2E0D5F"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della cistifellea, calcoli alla cistifellea</w:t>
      </w:r>
    </w:p>
    <w:p w:rsidR="006224C2" w:rsidRPr="00295E71" w14:paraId="24C3E5FB" w14:textId="77777777">
      <w:pPr>
        <w:numPr>
          <w:ilvl w:val="0"/>
          <w:numId w:val="14"/>
        </w:numPr>
        <w:tabs>
          <w:tab w:val="num" w:pos="540"/>
          <w:tab w:val="left" w:pos="567"/>
          <w:tab w:val="left" w:pos="993"/>
        </w:tabs>
        <w:ind w:left="567" w:hanging="567"/>
        <w:jc w:val="both"/>
        <w:rPr>
          <w:sz w:val="22"/>
          <w:szCs w:val="22"/>
        </w:rPr>
      </w:pPr>
      <w:r w:rsidRPr="00295E71">
        <w:rPr>
          <w:sz w:val="22"/>
          <w:szCs w:val="22"/>
        </w:rPr>
        <w:t>fegato grasso</w:t>
      </w:r>
    </w:p>
    <w:p w:rsidR="006224C2" w:rsidRPr="00295E71" w14:paraId="0A5A9A64" w14:textId="77777777">
      <w:pPr>
        <w:numPr>
          <w:ilvl w:val="0"/>
          <w:numId w:val="14"/>
        </w:numPr>
        <w:tabs>
          <w:tab w:val="num" w:pos="540"/>
          <w:tab w:val="left" w:pos="567"/>
          <w:tab w:val="left" w:pos="993"/>
        </w:tabs>
        <w:ind w:left="567" w:hanging="567"/>
        <w:jc w:val="both"/>
        <w:rPr>
          <w:sz w:val="22"/>
          <w:szCs w:val="22"/>
        </w:rPr>
      </w:pPr>
      <w:r w:rsidRPr="00295E71">
        <w:rPr>
          <w:sz w:val="22"/>
          <w:szCs w:val="22"/>
        </w:rPr>
        <w:t>sudorazione notturna</w:t>
      </w:r>
    </w:p>
    <w:p w:rsidR="006224C2" w:rsidRPr="00295E71" w14:paraId="50E19763" w14:textId="77777777">
      <w:pPr>
        <w:numPr>
          <w:ilvl w:val="0"/>
          <w:numId w:val="14"/>
        </w:numPr>
        <w:tabs>
          <w:tab w:val="num" w:pos="540"/>
          <w:tab w:val="left" w:pos="567"/>
          <w:tab w:val="left" w:pos="993"/>
        </w:tabs>
        <w:ind w:left="567" w:hanging="567"/>
        <w:jc w:val="both"/>
        <w:rPr>
          <w:sz w:val="22"/>
          <w:szCs w:val="22"/>
        </w:rPr>
      </w:pPr>
      <w:r w:rsidRPr="00295E71">
        <w:rPr>
          <w:sz w:val="22"/>
          <w:szCs w:val="22"/>
        </w:rPr>
        <w:t>cicatrice</w:t>
      </w:r>
    </w:p>
    <w:p w:rsidR="006224C2" w:rsidRPr="00295E71" w14:paraId="79799F7B" w14:textId="77777777">
      <w:pPr>
        <w:numPr>
          <w:ilvl w:val="0"/>
          <w:numId w:val="14"/>
        </w:numPr>
        <w:tabs>
          <w:tab w:val="num" w:pos="540"/>
          <w:tab w:val="left" w:pos="567"/>
          <w:tab w:val="left" w:pos="993"/>
        </w:tabs>
        <w:ind w:left="567" w:hanging="567"/>
        <w:jc w:val="both"/>
        <w:rPr>
          <w:sz w:val="22"/>
          <w:szCs w:val="22"/>
        </w:rPr>
      </w:pPr>
      <w:r w:rsidRPr="00295E71">
        <w:rPr>
          <w:sz w:val="22"/>
          <w:szCs w:val="22"/>
        </w:rPr>
        <w:t>anormale catabolismo muscolare</w:t>
      </w:r>
    </w:p>
    <w:p w:rsidR="006224C2" w:rsidRPr="00295E71" w14:paraId="49E82ED0" w14:textId="77777777">
      <w:pPr>
        <w:numPr>
          <w:ilvl w:val="0"/>
          <w:numId w:val="14"/>
        </w:numPr>
        <w:tabs>
          <w:tab w:val="num" w:pos="540"/>
          <w:tab w:val="left" w:pos="567"/>
          <w:tab w:val="left" w:pos="993"/>
        </w:tabs>
        <w:ind w:left="567" w:hanging="567"/>
        <w:jc w:val="both"/>
        <w:rPr>
          <w:sz w:val="22"/>
          <w:szCs w:val="22"/>
        </w:rPr>
      </w:pPr>
      <w:r w:rsidRPr="00295E71">
        <w:rPr>
          <w:sz w:val="22"/>
          <w:szCs w:val="22"/>
        </w:rPr>
        <w:t>lupus eritematoso sistemico (tra cui infiammazione della pelle, del cuore, del polmone, delle articolazioni e di altri organi)</w:t>
      </w:r>
    </w:p>
    <w:p w:rsidR="006224C2" w:rsidRPr="00295E71" w14:paraId="6B58C896" w14:textId="77777777">
      <w:pPr>
        <w:numPr>
          <w:ilvl w:val="0"/>
          <w:numId w:val="14"/>
        </w:numPr>
        <w:tabs>
          <w:tab w:val="num" w:pos="540"/>
          <w:tab w:val="left" w:pos="567"/>
          <w:tab w:val="left" w:pos="993"/>
        </w:tabs>
        <w:ind w:left="567" w:hanging="567"/>
        <w:jc w:val="both"/>
        <w:rPr>
          <w:sz w:val="22"/>
          <w:szCs w:val="22"/>
        </w:rPr>
      </w:pPr>
      <w:r w:rsidRPr="00295E71">
        <w:rPr>
          <w:sz w:val="22"/>
          <w:szCs w:val="22"/>
        </w:rPr>
        <w:t>sonno interrotto</w:t>
      </w:r>
    </w:p>
    <w:p w:rsidR="006224C2" w:rsidRPr="00295E71" w14:paraId="48141954" w14:textId="77777777">
      <w:pPr>
        <w:numPr>
          <w:ilvl w:val="0"/>
          <w:numId w:val="14"/>
        </w:numPr>
        <w:tabs>
          <w:tab w:val="num" w:pos="540"/>
          <w:tab w:val="left" w:pos="567"/>
          <w:tab w:val="left" w:pos="993"/>
        </w:tabs>
        <w:ind w:left="567" w:hanging="567"/>
        <w:jc w:val="both"/>
        <w:rPr>
          <w:sz w:val="22"/>
          <w:szCs w:val="22"/>
        </w:rPr>
      </w:pPr>
      <w:r w:rsidRPr="00295E71">
        <w:rPr>
          <w:sz w:val="22"/>
          <w:szCs w:val="22"/>
        </w:rPr>
        <w:t>impotenza</w:t>
      </w:r>
    </w:p>
    <w:p w:rsidR="006224C2" w:rsidRPr="00295E71" w14:paraId="461C88A7"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infiammazioni</w:t>
      </w:r>
    </w:p>
    <w:p w:rsidR="006224C2" w:rsidRPr="00295E71" w14:paraId="4FB3400A" w14:textId="77777777">
      <w:pPr>
        <w:tabs>
          <w:tab w:val="left" w:pos="567"/>
        </w:tabs>
        <w:jc w:val="both"/>
        <w:rPr>
          <w:sz w:val="22"/>
          <w:szCs w:val="22"/>
        </w:rPr>
      </w:pPr>
    </w:p>
    <w:p w:rsidR="006224C2" w:rsidRPr="00295E71" w14:paraId="2AACA384" w14:textId="77777777">
      <w:pPr>
        <w:tabs>
          <w:tab w:val="left" w:pos="567"/>
        </w:tabs>
        <w:jc w:val="both"/>
        <w:rPr>
          <w:sz w:val="22"/>
          <w:szCs w:val="22"/>
        </w:rPr>
      </w:pPr>
      <w:r w:rsidRPr="00295E71">
        <w:rPr>
          <w:b/>
          <w:sz w:val="22"/>
          <w:szCs w:val="22"/>
        </w:rPr>
        <w:t>Rari</w:t>
      </w:r>
      <w:r w:rsidRPr="00295E71">
        <w:rPr>
          <w:sz w:val="22"/>
          <w:szCs w:val="22"/>
        </w:rPr>
        <w:t xml:space="preserve"> (possono manifestarsi fino a 1 persona su 1.000)</w:t>
      </w:r>
    </w:p>
    <w:p w:rsidR="006224C2" w:rsidRPr="00295E71" w14:paraId="3C09B74D" w14:textId="77777777">
      <w:pPr>
        <w:tabs>
          <w:tab w:val="left" w:pos="567"/>
          <w:tab w:val="left" w:pos="993"/>
        </w:tabs>
        <w:jc w:val="both"/>
        <w:rPr>
          <w:sz w:val="22"/>
          <w:szCs w:val="22"/>
        </w:rPr>
      </w:pPr>
    </w:p>
    <w:p w:rsidR="006224C2" w:rsidRPr="00295E71" w14:paraId="5BC9CF3A" w14:textId="77777777">
      <w:pPr>
        <w:numPr>
          <w:ilvl w:val="0"/>
          <w:numId w:val="14"/>
        </w:numPr>
        <w:tabs>
          <w:tab w:val="num" w:pos="540"/>
          <w:tab w:val="left" w:pos="567"/>
          <w:tab w:val="left" w:pos="993"/>
        </w:tabs>
        <w:ind w:left="567" w:hanging="567"/>
        <w:jc w:val="both"/>
        <w:rPr>
          <w:sz w:val="22"/>
          <w:szCs w:val="22"/>
        </w:rPr>
      </w:pPr>
      <w:r w:rsidRPr="00295E71">
        <w:rPr>
          <w:sz w:val="22"/>
          <w:szCs w:val="22"/>
        </w:rPr>
        <w:t>leucemia (</w:t>
      </w:r>
      <w:r w:rsidRPr="00295E71" w:rsidR="00435F3A">
        <w:rPr>
          <w:sz w:val="22"/>
          <w:szCs w:val="22"/>
        </w:rPr>
        <w:t>un tumore che colpisce il sangue e il midollo osseo</w:t>
      </w:r>
      <w:r w:rsidRPr="00295E71">
        <w:rPr>
          <w:sz w:val="22"/>
          <w:szCs w:val="22"/>
        </w:rPr>
        <w:t>)</w:t>
      </w:r>
    </w:p>
    <w:p w:rsidR="006224C2" w:rsidRPr="00295E71" w14:paraId="681FBE22"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reazione allergica grave con shock</w:t>
      </w:r>
    </w:p>
    <w:p w:rsidR="006224C2" w:rsidRPr="00295E71" w14:paraId="24CE04EE" w14:textId="77777777">
      <w:pPr>
        <w:numPr>
          <w:ilvl w:val="0"/>
          <w:numId w:val="14"/>
        </w:numPr>
        <w:tabs>
          <w:tab w:val="num" w:pos="540"/>
          <w:tab w:val="left" w:pos="567"/>
          <w:tab w:val="left" w:pos="993"/>
        </w:tabs>
        <w:ind w:left="567" w:hanging="567"/>
        <w:jc w:val="both"/>
        <w:rPr>
          <w:sz w:val="22"/>
          <w:szCs w:val="22"/>
        </w:rPr>
      </w:pPr>
      <w:r w:rsidRPr="00295E71">
        <w:rPr>
          <w:sz w:val="22"/>
          <w:szCs w:val="22"/>
        </w:rPr>
        <w:t>sclerosi multipla</w:t>
      </w:r>
    </w:p>
    <w:p w:rsidR="006224C2" w:rsidRPr="00295E71" w14:paraId="0E9FEB7E"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neurologici (come infiammazione del nervo ottico e sindrome di Guillain-Barré che può causare debolezza muscolare, sensazioni anomale, formicolio alle braccia ed alla parte superiore del corpo)</w:t>
      </w:r>
    </w:p>
    <w:p w:rsidR="006224C2" w:rsidRPr="00295E71" w14:paraId="2819E9C3" w14:textId="77777777">
      <w:pPr>
        <w:numPr>
          <w:ilvl w:val="0"/>
          <w:numId w:val="14"/>
        </w:numPr>
        <w:tabs>
          <w:tab w:val="num" w:pos="540"/>
          <w:tab w:val="left" w:pos="567"/>
          <w:tab w:val="left" w:pos="993"/>
        </w:tabs>
        <w:ind w:left="567" w:hanging="567"/>
        <w:jc w:val="both"/>
        <w:rPr>
          <w:sz w:val="22"/>
          <w:szCs w:val="22"/>
        </w:rPr>
      </w:pPr>
      <w:r w:rsidRPr="00295E71">
        <w:rPr>
          <w:sz w:val="22"/>
          <w:szCs w:val="22"/>
        </w:rPr>
        <w:t>arresto cardiaco</w:t>
      </w:r>
    </w:p>
    <w:p w:rsidR="006224C2" w:rsidRPr="00295E71" w14:paraId="05299F08" w14:textId="77777777">
      <w:pPr>
        <w:numPr>
          <w:ilvl w:val="0"/>
          <w:numId w:val="14"/>
        </w:numPr>
        <w:tabs>
          <w:tab w:val="num" w:pos="540"/>
          <w:tab w:val="left" w:pos="567"/>
          <w:tab w:val="left" w:pos="993"/>
        </w:tabs>
        <w:ind w:left="567" w:hanging="567"/>
        <w:jc w:val="both"/>
        <w:rPr>
          <w:sz w:val="22"/>
          <w:szCs w:val="22"/>
        </w:rPr>
      </w:pPr>
      <w:r w:rsidRPr="00295E71">
        <w:rPr>
          <w:sz w:val="22"/>
          <w:szCs w:val="22"/>
        </w:rPr>
        <w:t>fibrosi polmonare (cicatrici del polmone)</w:t>
      </w:r>
    </w:p>
    <w:p w:rsidR="006224C2" w:rsidRPr="00295E71" w14:paraId="28C6AA6F" w14:textId="77777777">
      <w:pPr>
        <w:numPr>
          <w:ilvl w:val="0"/>
          <w:numId w:val="14"/>
        </w:numPr>
        <w:tabs>
          <w:tab w:val="num" w:pos="540"/>
          <w:tab w:val="left" w:pos="567"/>
          <w:tab w:val="left" w:pos="993"/>
        </w:tabs>
        <w:ind w:left="567" w:hanging="567"/>
        <w:jc w:val="both"/>
        <w:rPr>
          <w:sz w:val="22"/>
          <w:szCs w:val="22"/>
        </w:rPr>
      </w:pPr>
      <w:r w:rsidRPr="00295E71">
        <w:rPr>
          <w:sz w:val="22"/>
          <w:szCs w:val="22"/>
        </w:rPr>
        <w:t>perforazione intestinale (buco nell’intestino)</w:t>
      </w:r>
    </w:p>
    <w:p w:rsidR="006224C2" w:rsidRPr="00295E71" w14:paraId="68852476" w14:textId="77777777">
      <w:pPr>
        <w:numPr>
          <w:ilvl w:val="0"/>
          <w:numId w:val="14"/>
        </w:numPr>
        <w:tabs>
          <w:tab w:val="num" w:pos="540"/>
          <w:tab w:val="left" w:pos="567"/>
          <w:tab w:val="left" w:pos="993"/>
        </w:tabs>
        <w:ind w:left="567" w:hanging="567"/>
        <w:jc w:val="both"/>
        <w:rPr>
          <w:sz w:val="22"/>
          <w:szCs w:val="22"/>
        </w:rPr>
      </w:pPr>
      <w:r w:rsidRPr="00295E71">
        <w:rPr>
          <w:sz w:val="22"/>
          <w:szCs w:val="22"/>
        </w:rPr>
        <w:t>epatite</w:t>
      </w:r>
    </w:p>
    <w:p w:rsidR="006224C2" w:rsidRPr="00295E71" w14:paraId="56D4AF4A" w14:textId="77777777">
      <w:pPr>
        <w:numPr>
          <w:ilvl w:val="0"/>
          <w:numId w:val="14"/>
        </w:numPr>
        <w:tabs>
          <w:tab w:val="num" w:pos="540"/>
          <w:tab w:val="left" w:pos="567"/>
          <w:tab w:val="left" w:pos="993"/>
        </w:tabs>
        <w:ind w:left="567" w:hanging="567"/>
        <w:jc w:val="both"/>
        <w:rPr>
          <w:sz w:val="22"/>
          <w:szCs w:val="22"/>
        </w:rPr>
      </w:pPr>
      <w:r w:rsidRPr="00295E71">
        <w:rPr>
          <w:sz w:val="22"/>
          <w:szCs w:val="22"/>
        </w:rPr>
        <w:t>riattivazione dell’epatite B</w:t>
      </w:r>
    </w:p>
    <w:p w:rsidR="006224C2" w:rsidRPr="00295E71" w14:paraId="38557D5B" w14:textId="77777777">
      <w:pPr>
        <w:numPr>
          <w:ilvl w:val="0"/>
          <w:numId w:val="14"/>
        </w:numPr>
        <w:tabs>
          <w:tab w:val="num" w:pos="540"/>
          <w:tab w:val="left" w:pos="567"/>
          <w:tab w:val="left" w:pos="993"/>
        </w:tabs>
        <w:ind w:left="567" w:hanging="567"/>
        <w:jc w:val="both"/>
        <w:rPr>
          <w:sz w:val="22"/>
          <w:szCs w:val="22"/>
        </w:rPr>
      </w:pPr>
      <w:r w:rsidRPr="00295E71">
        <w:rPr>
          <w:sz w:val="22"/>
          <w:szCs w:val="22"/>
        </w:rPr>
        <w:t>epatite autoimmune (infiammazione del fegato causata dal proprio sistema immunitario)</w:t>
      </w:r>
    </w:p>
    <w:p w:rsidR="006224C2" w:rsidRPr="00295E71" w14:paraId="42B6CCDF" w14:textId="77777777">
      <w:pPr>
        <w:numPr>
          <w:ilvl w:val="0"/>
          <w:numId w:val="14"/>
        </w:numPr>
        <w:tabs>
          <w:tab w:val="num" w:pos="540"/>
          <w:tab w:val="left" w:pos="567"/>
          <w:tab w:val="left" w:pos="993"/>
        </w:tabs>
        <w:ind w:left="567" w:hanging="567"/>
        <w:jc w:val="both"/>
        <w:rPr>
          <w:sz w:val="22"/>
          <w:szCs w:val="22"/>
        </w:rPr>
      </w:pPr>
      <w:r w:rsidRPr="00295E71">
        <w:rPr>
          <w:sz w:val="22"/>
          <w:szCs w:val="22"/>
        </w:rPr>
        <w:t>vasculite cutanea (infiammazione dei vasi sanguigni della pelle)</w:t>
      </w:r>
    </w:p>
    <w:p w:rsidR="006224C2" w:rsidRPr="00295E71" w14:paraId="79DE656B"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di Stevens-Johnson (i sintomi precoci includono malessere, febbre, cefalea ed eruzione cutanea)</w:t>
      </w:r>
    </w:p>
    <w:p w:rsidR="006224C2" w:rsidRPr="00295E71" w14:paraId="63E5B4FA"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facciale (gonfiore del viso) associato a reazioni allergiche</w:t>
      </w:r>
    </w:p>
    <w:p w:rsidR="006224C2" w:rsidRPr="00295E71" w14:paraId="7E5CC571" w14:textId="77777777">
      <w:pPr>
        <w:numPr>
          <w:ilvl w:val="0"/>
          <w:numId w:val="14"/>
        </w:numPr>
        <w:tabs>
          <w:tab w:val="num" w:pos="540"/>
          <w:tab w:val="left" w:pos="567"/>
          <w:tab w:val="left" w:pos="993"/>
        </w:tabs>
        <w:ind w:left="567" w:hanging="567"/>
        <w:jc w:val="both"/>
        <w:rPr>
          <w:sz w:val="22"/>
          <w:szCs w:val="22"/>
        </w:rPr>
      </w:pPr>
      <w:r w:rsidRPr="00295E71">
        <w:rPr>
          <w:sz w:val="22"/>
          <w:szCs w:val="22"/>
        </w:rPr>
        <w:t>eritema multiforme (rash cutaneo infiammatorio)</w:t>
      </w:r>
    </w:p>
    <w:p w:rsidR="006224C2" w:rsidRPr="00295E71" w14:paraId="480F6C19"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simile al lupus</w:t>
      </w:r>
    </w:p>
    <w:p w:rsidR="00086B53" w14:paraId="12B2D23A" w14:textId="77777777">
      <w:pPr>
        <w:numPr>
          <w:ilvl w:val="0"/>
          <w:numId w:val="14"/>
        </w:numPr>
        <w:tabs>
          <w:tab w:val="num" w:pos="540"/>
          <w:tab w:val="left" w:pos="567"/>
          <w:tab w:val="left" w:pos="993"/>
        </w:tabs>
        <w:ind w:left="567" w:hanging="567"/>
        <w:jc w:val="both"/>
        <w:rPr>
          <w:sz w:val="22"/>
          <w:szCs w:val="22"/>
        </w:rPr>
      </w:pPr>
      <w:r w:rsidRPr="00295E71">
        <w:rPr>
          <w:sz w:val="22"/>
          <w:szCs w:val="22"/>
        </w:rPr>
        <w:t>angioedema (gonfiore localizzato della pelle)</w:t>
      </w:r>
    </w:p>
    <w:p w:rsidR="00B44E4B" w:rsidRPr="00295E71" w:rsidP="00B44E4B" w14:paraId="7137B80F" w14:textId="77777777">
      <w:pPr>
        <w:numPr>
          <w:ilvl w:val="0"/>
          <w:numId w:val="14"/>
        </w:numPr>
        <w:tabs>
          <w:tab w:val="left" w:pos="567"/>
          <w:tab w:val="left" w:pos="993"/>
        </w:tabs>
        <w:ind w:hanging="720"/>
        <w:jc w:val="both"/>
        <w:rPr>
          <w:sz w:val="22"/>
          <w:szCs w:val="22"/>
        </w:rPr>
      </w:pPr>
      <w:r w:rsidRPr="00756246">
        <w:rPr>
          <w:sz w:val="22"/>
          <w:szCs w:val="22"/>
        </w:rPr>
        <w:t>reazione cutanea lichenoide (</w:t>
      </w:r>
      <w:r w:rsidR="00C6039F">
        <w:rPr>
          <w:sz w:val="22"/>
          <w:szCs w:val="22"/>
        </w:rPr>
        <w:t>eruzione</w:t>
      </w:r>
      <w:r w:rsidRPr="00756246">
        <w:rPr>
          <w:sz w:val="22"/>
          <w:szCs w:val="22"/>
        </w:rPr>
        <w:t xml:space="preserve"> cutane</w:t>
      </w:r>
      <w:r w:rsidR="00C6039F">
        <w:rPr>
          <w:sz w:val="22"/>
          <w:szCs w:val="22"/>
        </w:rPr>
        <w:t xml:space="preserve">a </w:t>
      </w:r>
      <w:r w:rsidRPr="00756246">
        <w:rPr>
          <w:sz w:val="22"/>
          <w:szCs w:val="22"/>
        </w:rPr>
        <w:t>ross</w:t>
      </w:r>
      <w:r w:rsidR="00C6039F">
        <w:rPr>
          <w:sz w:val="22"/>
          <w:szCs w:val="22"/>
        </w:rPr>
        <w:t>o</w:t>
      </w:r>
      <w:r w:rsidRPr="00756246">
        <w:rPr>
          <w:sz w:val="22"/>
          <w:szCs w:val="22"/>
        </w:rPr>
        <w:t>-viola</w:t>
      </w:r>
      <w:r w:rsidR="00C6039F">
        <w:rPr>
          <w:sz w:val="22"/>
          <w:szCs w:val="22"/>
        </w:rPr>
        <w:t>cea</w:t>
      </w:r>
      <w:r w:rsidRPr="00756246">
        <w:rPr>
          <w:sz w:val="22"/>
          <w:szCs w:val="22"/>
        </w:rPr>
        <w:t xml:space="preserve"> pruriginos</w:t>
      </w:r>
      <w:r w:rsidR="00C6039F">
        <w:rPr>
          <w:sz w:val="22"/>
          <w:szCs w:val="22"/>
        </w:rPr>
        <w:t>a</w:t>
      </w:r>
      <w:r w:rsidRPr="00756246">
        <w:rPr>
          <w:sz w:val="22"/>
          <w:szCs w:val="22"/>
        </w:rPr>
        <w:t>)</w:t>
      </w:r>
    </w:p>
    <w:p w:rsidR="006224C2" w:rsidRPr="00295E71" w14:paraId="019D121C" w14:textId="77777777">
      <w:pPr>
        <w:pStyle w:val="EMEAFigureTitle"/>
        <w:tabs>
          <w:tab w:val="left" w:pos="993"/>
        </w:tabs>
        <w:suppressAutoHyphens w:val="0"/>
        <w:jc w:val="both"/>
        <w:rPr>
          <w:lang w:val="it-IT" w:eastAsia="it-IT"/>
        </w:rPr>
      </w:pPr>
    </w:p>
    <w:p w:rsidR="006224C2" w:rsidRPr="00295E71" w14:paraId="01CC7CFD" w14:textId="77777777">
      <w:pPr>
        <w:pStyle w:val="EMEAFigureTitle"/>
        <w:tabs>
          <w:tab w:val="left" w:pos="993"/>
        </w:tabs>
        <w:suppressAutoHyphens w:val="0"/>
        <w:jc w:val="both"/>
        <w:rPr>
          <w:lang w:val="it-IT" w:eastAsia="it-IT"/>
        </w:rPr>
      </w:pPr>
      <w:r w:rsidRPr="00295E71">
        <w:rPr>
          <w:b/>
          <w:lang w:val="it-IT" w:eastAsia="it-IT"/>
        </w:rPr>
        <w:t>Non nota</w:t>
      </w:r>
      <w:r w:rsidRPr="00295E71">
        <w:rPr>
          <w:lang w:val="it-IT" w:eastAsia="it-IT"/>
        </w:rPr>
        <w:t xml:space="preserve"> (la frequenza non può essere definita sulla base dei dati disponibili)</w:t>
      </w:r>
    </w:p>
    <w:p w:rsidR="006224C2" w:rsidRPr="00295E71" w14:paraId="1CE3ADF6" w14:textId="77777777">
      <w:pPr>
        <w:pStyle w:val="EMEAFigureTitle"/>
        <w:tabs>
          <w:tab w:val="left" w:pos="993"/>
        </w:tabs>
        <w:suppressAutoHyphens w:val="0"/>
        <w:jc w:val="both"/>
        <w:rPr>
          <w:lang w:val="it-IT" w:eastAsia="it-IT"/>
        </w:rPr>
      </w:pPr>
    </w:p>
    <w:p w:rsidR="006224C2" w:rsidRPr="00295E71" w14:paraId="6595703F" w14:textId="77777777">
      <w:pPr>
        <w:numPr>
          <w:ilvl w:val="0"/>
          <w:numId w:val="14"/>
        </w:numPr>
        <w:tabs>
          <w:tab w:val="num" w:pos="540"/>
          <w:tab w:val="left" w:pos="567"/>
          <w:tab w:val="left" w:pos="993"/>
        </w:tabs>
        <w:ind w:left="567" w:hanging="567"/>
        <w:jc w:val="both"/>
        <w:rPr>
          <w:sz w:val="22"/>
          <w:szCs w:val="22"/>
        </w:rPr>
      </w:pPr>
      <w:r w:rsidRPr="00295E71">
        <w:rPr>
          <w:sz w:val="22"/>
          <w:szCs w:val="22"/>
        </w:rPr>
        <w:t>linfoma epato-splenico a cellule T (un raro tumore del sangue che spesso risulta fatale)</w:t>
      </w:r>
    </w:p>
    <w:p w:rsidR="006224C2" w14:paraId="31000315" w14:textId="77777777">
      <w:pPr>
        <w:numPr>
          <w:ilvl w:val="0"/>
          <w:numId w:val="14"/>
        </w:numPr>
        <w:tabs>
          <w:tab w:val="num" w:pos="540"/>
          <w:tab w:val="left" w:pos="567"/>
          <w:tab w:val="left" w:pos="993"/>
        </w:tabs>
        <w:ind w:left="567" w:hanging="567"/>
        <w:jc w:val="both"/>
        <w:rPr>
          <w:sz w:val="22"/>
          <w:szCs w:val="22"/>
        </w:rPr>
      </w:pPr>
      <w:r w:rsidRPr="00295E71">
        <w:rPr>
          <w:sz w:val="22"/>
          <w:szCs w:val="22"/>
        </w:rPr>
        <w:t>carcinoma a cellule di Merkel (un tipo di cancro della pelle)</w:t>
      </w:r>
    </w:p>
    <w:p w:rsidR="003E6A38" w:rsidRPr="00985ADA" w:rsidP="00985ADA" w14:paraId="688304DC" w14:textId="77777777">
      <w:pPr>
        <w:numPr>
          <w:ilvl w:val="0"/>
          <w:numId w:val="14"/>
        </w:numPr>
        <w:tabs>
          <w:tab w:val="num" w:pos="540"/>
          <w:tab w:val="left" w:pos="567"/>
          <w:tab w:val="left" w:pos="993"/>
        </w:tabs>
        <w:ind w:left="567" w:hanging="567"/>
        <w:jc w:val="both"/>
        <w:rPr>
          <w:sz w:val="22"/>
          <w:szCs w:val="22"/>
        </w:rPr>
      </w:pPr>
      <w:r w:rsidRPr="00C573CF">
        <w:rPr>
          <w:sz w:val="22"/>
          <w:szCs w:val="22"/>
        </w:rPr>
        <w:t>sarcoma di Kaposi, una forma rara di cancro correlato a infezione da Herpes virus umano 8.</w:t>
      </w:r>
      <w:r>
        <w:rPr>
          <w:sz w:val="22"/>
          <w:szCs w:val="22"/>
        </w:rPr>
        <w:t xml:space="preserve"> </w:t>
      </w:r>
      <w:r w:rsidRPr="00C573CF">
        <w:rPr>
          <w:sz w:val="22"/>
          <w:szCs w:val="22"/>
        </w:rPr>
        <w:t>Il</w:t>
      </w:r>
      <w:r>
        <w:rPr>
          <w:sz w:val="22"/>
          <w:szCs w:val="22"/>
        </w:rPr>
        <w:t xml:space="preserve"> </w:t>
      </w:r>
      <w:r w:rsidRPr="00C573CF">
        <w:rPr>
          <w:sz w:val="22"/>
          <w:szCs w:val="22"/>
        </w:rPr>
        <w:t>sarcoma di Kaposi si manifesta più comunemente con lesioni viola sulla pelle</w:t>
      </w:r>
    </w:p>
    <w:p w:rsidR="006224C2" w:rsidRPr="00295E71" w14:paraId="055E49A9" w14:textId="77777777">
      <w:pPr>
        <w:numPr>
          <w:ilvl w:val="0"/>
          <w:numId w:val="14"/>
        </w:numPr>
        <w:tabs>
          <w:tab w:val="num" w:pos="540"/>
          <w:tab w:val="left" w:pos="567"/>
          <w:tab w:val="left" w:pos="993"/>
        </w:tabs>
        <w:ind w:left="567" w:hanging="567"/>
        <w:jc w:val="both"/>
        <w:rPr>
          <w:sz w:val="22"/>
          <w:szCs w:val="22"/>
        </w:rPr>
      </w:pPr>
      <w:r w:rsidRPr="00295E71">
        <w:rPr>
          <w:sz w:val="22"/>
          <w:szCs w:val="22"/>
        </w:rPr>
        <w:t>insufficienza epatica</w:t>
      </w:r>
    </w:p>
    <w:p w:rsidR="006224C2" w14:paraId="0D3C94CA" w14:textId="77777777">
      <w:pPr>
        <w:numPr>
          <w:ilvl w:val="0"/>
          <w:numId w:val="14"/>
        </w:numPr>
        <w:tabs>
          <w:tab w:val="num" w:pos="540"/>
          <w:tab w:val="left" w:pos="567"/>
          <w:tab w:val="left" w:pos="993"/>
        </w:tabs>
        <w:ind w:left="567" w:hanging="567"/>
        <w:jc w:val="both"/>
        <w:rPr>
          <w:sz w:val="22"/>
          <w:szCs w:val="22"/>
        </w:rPr>
      </w:pPr>
      <w:r w:rsidRPr="00295E71">
        <w:rPr>
          <w:sz w:val="22"/>
          <w:szCs w:val="22"/>
        </w:rPr>
        <w:t>peggioramento di una condizione chiamata dermatomiosite (che si manifesta come eruzione cutanea accompagnata da debolezza muscolare)</w:t>
      </w:r>
    </w:p>
    <w:p w:rsidR="00A01AD4" w:rsidRPr="00295E71" w14:paraId="6824CC4B" w14:textId="77777777">
      <w:pPr>
        <w:numPr>
          <w:ilvl w:val="0"/>
          <w:numId w:val="14"/>
        </w:numPr>
        <w:tabs>
          <w:tab w:val="num" w:pos="540"/>
          <w:tab w:val="left" w:pos="567"/>
          <w:tab w:val="left" w:pos="993"/>
        </w:tabs>
        <w:ind w:left="567" w:hanging="567"/>
        <w:jc w:val="both"/>
        <w:rPr>
          <w:sz w:val="22"/>
          <w:szCs w:val="22"/>
        </w:rPr>
      </w:pPr>
      <w:r w:rsidRPr="00A01AD4">
        <w:rPr>
          <w:sz w:val="22"/>
          <w:szCs w:val="22"/>
        </w:rPr>
        <w:t>Aumento di peso (per la maggior parte dei pazienti l’aumento di peso è stato basso)</w:t>
      </w:r>
    </w:p>
    <w:p w:rsidR="006224C2" w:rsidRPr="00295E71" w14:paraId="66BE3AF3" w14:textId="77777777">
      <w:pPr>
        <w:pStyle w:val="EMEAFigureTitle"/>
        <w:tabs>
          <w:tab w:val="left" w:pos="993"/>
        </w:tabs>
        <w:suppressAutoHyphens w:val="0"/>
        <w:jc w:val="both"/>
        <w:rPr>
          <w:lang w:val="it-IT" w:eastAsia="it-IT"/>
        </w:rPr>
      </w:pPr>
    </w:p>
    <w:p w:rsidR="006224C2" w:rsidRPr="00295E71" w14:paraId="2AE87716" w14:textId="77777777">
      <w:pPr>
        <w:pStyle w:val="EMEAFigureTitle"/>
        <w:tabs>
          <w:tab w:val="left" w:pos="993"/>
        </w:tabs>
        <w:suppressAutoHyphens w:val="0"/>
        <w:jc w:val="both"/>
        <w:rPr>
          <w:lang w:val="it-IT" w:eastAsia="it-IT"/>
        </w:rPr>
      </w:pPr>
      <w:r w:rsidRPr="00295E71">
        <w:rPr>
          <w:lang w:val="it-IT" w:eastAsia="it-IT"/>
        </w:rPr>
        <w:t>Alcuni degli effetti indesiderati osservati con Humira possono essere asintomatici e possono essere individuati solo attraverso gli esami del sangue.</w:t>
      </w:r>
    </w:p>
    <w:p w:rsidR="006224C2" w:rsidRPr="00295E71" w14:paraId="332D55AB" w14:textId="77777777">
      <w:pPr>
        <w:tabs>
          <w:tab w:val="left" w:pos="567"/>
          <w:tab w:val="left" w:pos="993"/>
        </w:tabs>
        <w:jc w:val="both"/>
        <w:rPr>
          <w:sz w:val="22"/>
          <w:szCs w:val="22"/>
        </w:rPr>
      </w:pPr>
      <w:r w:rsidRPr="00295E71">
        <w:rPr>
          <w:sz w:val="22"/>
          <w:szCs w:val="22"/>
        </w:rPr>
        <w:t>Questi includono:</w:t>
      </w:r>
    </w:p>
    <w:p w:rsidR="006224C2" w:rsidRPr="00295E71" w14:paraId="6D3C5051" w14:textId="77777777">
      <w:pPr>
        <w:tabs>
          <w:tab w:val="left" w:pos="567"/>
          <w:tab w:val="left" w:pos="993"/>
        </w:tabs>
        <w:jc w:val="both"/>
        <w:rPr>
          <w:sz w:val="22"/>
          <w:szCs w:val="22"/>
        </w:rPr>
      </w:pPr>
    </w:p>
    <w:p w:rsidR="006224C2" w:rsidRPr="00295E71" w:rsidP="003C45F2" w14:paraId="3DE23367" w14:textId="77777777">
      <w:pPr>
        <w:keepNext/>
        <w:keepLines/>
        <w:tabs>
          <w:tab w:val="left" w:pos="567"/>
          <w:tab w:val="left" w:pos="993"/>
        </w:tabs>
        <w:jc w:val="both"/>
        <w:rPr>
          <w:sz w:val="22"/>
          <w:szCs w:val="22"/>
        </w:rPr>
      </w:pPr>
      <w:r w:rsidRPr="00295E71">
        <w:rPr>
          <w:b/>
          <w:sz w:val="22"/>
          <w:szCs w:val="22"/>
        </w:rPr>
        <w:t>Molto comuni</w:t>
      </w:r>
      <w:r w:rsidRPr="00295E71">
        <w:rPr>
          <w:sz w:val="22"/>
          <w:szCs w:val="22"/>
        </w:rPr>
        <w:t xml:space="preserve"> (possono manifestarsi in più di 1 persona su 10)</w:t>
      </w:r>
    </w:p>
    <w:p w:rsidR="006224C2" w:rsidRPr="00295E71" w:rsidP="003C45F2" w14:paraId="29DAD98D" w14:textId="77777777">
      <w:pPr>
        <w:keepNext/>
        <w:keepLines/>
        <w:tabs>
          <w:tab w:val="left" w:pos="567"/>
          <w:tab w:val="left" w:pos="993"/>
        </w:tabs>
        <w:jc w:val="both"/>
        <w:rPr>
          <w:sz w:val="22"/>
          <w:szCs w:val="22"/>
        </w:rPr>
      </w:pPr>
    </w:p>
    <w:p w:rsidR="006224C2" w:rsidRPr="00295E71" w:rsidP="003C45F2" w14:paraId="4BD8B59D" w14:textId="77777777">
      <w:pPr>
        <w:keepNext/>
        <w:keepLines/>
        <w:numPr>
          <w:ilvl w:val="0"/>
          <w:numId w:val="14"/>
        </w:numPr>
        <w:tabs>
          <w:tab w:val="num" w:pos="540"/>
          <w:tab w:val="left" w:pos="567"/>
          <w:tab w:val="left" w:pos="993"/>
        </w:tabs>
        <w:ind w:left="567" w:hanging="567"/>
        <w:jc w:val="both"/>
        <w:rPr>
          <w:sz w:val="22"/>
          <w:szCs w:val="22"/>
        </w:rPr>
      </w:pPr>
      <w:r w:rsidRPr="00295E71">
        <w:rPr>
          <w:sz w:val="22"/>
          <w:szCs w:val="22"/>
        </w:rPr>
        <w:t>bassa conta dei globuli bianchi</w:t>
      </w:r>
    </w:p>
    <w:p w:rsidR="006224C2" w:rsidRPr="00295E71" w:rsidP="003C45F2" w14:paraId="53BC1523" w14:textId="77777777">
      <w:pPr>
        <w:keepNext/>
        <w:keepLines/>
        <w:numPr>
          <w:ilvl w:val="0"/>
          <w:numId w:val="14"/>
        </w:numPr>
        <w:tabs>
          <w:tab w:val="num" w:pos="540"/>
          <w:tab w:val="left" w:pos="567"/>
          <w:tab w:val="left" w:pos="993"/>
        </w:tabs>
        <w:ind w:left="567" w:hanging="567"/>
        <w:jc w:val="both"/>
        <w:rPr>
          <w:sz w:val="22"/>
          <w:szCs w:val="22"/>
        </w:rPr>
      </w:pPr>
      <w:r w:rsidRPr="00295E71">
        <w:rPr>
          <w:sz w:val="22"/>
          <w:szCs w:val="22"/>
        </w:rPr>
        <w:t>bassa conta dei globuli rossi</w:t>
      </w:r>
    </w:p>
    <w:p w:rsidR="006224C2" w:rsidRPr="00295E71" w:rsidP="003C45F2" w14:paraId="7183B608" w14:textId="77777777">
      <w:pPr>
        <w:keepNext/>
        <w:keepLines/>
        <w:numPr>
          <w:ilvl w:val="0"/>
          <w:numId w:val="14"/>
        </w:numPr>
        <w:tabs>
          <w:tab w:val="num" w:pos="540"/>
          <w:tab w:val="left" w:pos="567"/>
          <w:tab w:val="left" w:pos="993"/>
        </w:tabs>
        <w:ind w:left="567" w:hanging="567"/>
        <w:jc w:val="both"/>
        <w:rPr>
          <w:sz w:val="22"/>
          <w:szCs w:val="22"/>
        </w:rPr>
      </w:pPr>
      <w:r w:rsidRPr="00295E71">
        <w:rPr>
          <w:sz w:val="22"/>
          <w:szCs w:val="22"/>
        </w:rPr>
        <w:t>aumento dei lipidi nel sangue</w:t>
      </w:r>
    </w:p>
    <w:p w:rsidR="006224C2" w:rsidRPr="00295E71" w:rsidP="003C45F2" w14:paraId="64EB3456" w14:textId="77777777">
      <w:pPr>
        <w:keepNext/>
        <w:keepLines/>
        <w:numPr>
          <w:ilvl w:val="0"/>
          <w:numId w:val="14"/>
        </w:numPr>
        <w:tabs>
          <w:tab w:val="num" w:pos="540"/>
          <w:tab w:val="left" w:pos="567"/>
          <w:tab w:val="left" w:pos="993"/>
        </w:tabs>
        <w:ind w:left="567" w:hanging="567"/>
        <w:jc w:val="both"/>
        <w:rPr>
          <w:sz w:val="22"/>
          <w:szCs w:val="22"/>
        </w:rPr>
      </w:pPr>
      <w:r w:rsidRPr="00295E71">
        <w:rPr>
          <w:sz w:val="22"/>
          <w:szCs w:val="22"/>
        </w:rPr>
        <w:t>aumento degli enzimi epatici</w:t>
      </w:r>
    </w:p>
    <w:p w:rsidR="006224C2" w:rsidRPr="00295E71" w14:paraId="2E43A295" w14:textId="77777777">
      <w:pPr>
        <w:tabs>
          <w:tab w:val="left" w:pos="567"/>
          <w:tab w:val="left" w:pos="993"/>
        </w:tabs>
        <w:jc w:val="both"/>
        <w:rPr>
          <w:sz w:val="22"/>
          <w:szCs w:val="22"/>
        </w:rPr>
      </w:pPr>
    </w:p>
    <w:p w:rsidR="006224C2" w:rsidRPr="00295E71" w14:paraId="73C0F1B6" w14:textId="77777777">
      <w:pPr>
        <w:pStyle w:val="EMEAFigureTitle"/>
        <w:tabs>
          <w:tab w:val="left" w:pos="993"/>
        </w:tabs>
        <w:suppressAutoHyphens w:val="0"/>
        <w:jc w:val="both"/>
        <w:rPr>
          <w:lang w:val="it-IT" w:eastAsia="it-IT"/>
        </w:rPr>
      </w:pPr>
      <w:r w:rsidRPr="00295E71">
        <w:rPr>
          <w:b/>
          <w:lang w:val="it-IT" w:eastAsia="it-IT"/>
        </w:rPr>
        <w:t>Comuni</w:t>
      </w:r>
      <w:r w:rsidRPr="00295E71">
        <w:rPr>
          <w:lang w:val="it-IT" w:eastAsia="it-IT"/>
        </w:rPr>
        <w:t xml:space="preserve"> (possono manifestarsi fino a 1 persona su 10)</w:t>
      </w:r>
    </w:p>
    <w:p w:rsidR="006224C2" w:rsidRPr="00295E71" w14:paraId="4C05CD2D" w14:textId="77777777">
      <w:pPr>
        <w:pStyle w:val="EMEANormal"/>
        <w:jc w:val="both"/>
        <w:rPr>
          <w:lang w:val="it-IT" w:eastAsia="it-IT"/>
        </w:rPr>
      </w:pPr>
    </w:p>
    <w:p w:rsidR="006224C2" w:rsidRPr="00295E71" w14:paraId="159D0D25"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conta dei globuli bianchi</w:t>
      </w:r>
    </w:p>
    <w:p w:rsidR="006224C2" w:rsidRPr="00295E71" w14:paraId="450DF718"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della conta delle piastrine</w:t>
      </w:r>
    </w:p>
    <w:p w:rsidR="006224C2" w:rsidRPr="00295E71" w14:paraId="43CD2577"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dell’acido urico nel sangue</w:t>
      </w:r>
    </w:p>
    <w:p w:rsidR="006224C2" w:rsidRPr="00295E71" w14:paraId="30232697" w14:textId="77777777">
      <w:pPr>
        <w:numPr>
          <w:ilvl w:val="0"/>
          <w:numId w:val="14"/>
        </w:numPr>
        <w:tabs>
          <w:tab w:val="num" w:pos="540"/>
          <w:tab w:val="left" w:pos="567"/>
          <w:tab w:val="left" w:pos="993"/>
        </w:tabs>
        <w:ind w:left="567" w:hanging="567"/>
        <w:jc w:val="both"/>
        <w:rPr>
          <w:sz w:val="22"/>
          <w:szCs w:val="22"/>
        </w:rPr>
      </w:pPr>
      <w:r w:rsidRPr="00295E71">
        <w:rPr>
          <w:sz w:val="22"/>
          <w:szCs w:val="22"/>
        </w:rPr>
        <w:t>alterazione del sodio nel sangue</w:t>
      </w:r>
    </w:p>
    <w:p w:rsidR="006224C2" w:rsidRPr="00295E71" w14:paraId="4F8C38F5"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calcio nel sangue</w:t>
      </w:r>
    </w:p>
    <w:p w:rsidR="006224C2" w:rsidRPr="00295E71" w14:paraId="5172017E"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fosforo nel sangue</w:t>
      </w:r>
    </w:p>
    <w:p w:rsidR="006224C2" w:rsidRPr="00295E71" w14:paraId="1DB02D98"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dello zucchero nel sangue</w:t>
      </w:r>
    </w:p>
    <w:p w:rsidR="006224C2" w:rsidRPr="00295E71" w14:paraId="0AD1EC80"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lattatodeidrogenasi nel sangue</w:t>
      </w:r>
    </w:p>
    <w:p w:rsidR="006224C2" w:rsidRPr="00295E71" w14:paraId="326A9A88" w14:textId="77777777">
      <w:pPr>
        <w:numPr>
          <w:ilvl w:val="0"/>
          <w:numId w:val="14"/>
        </w:numPr>
        <w:tabs>
          <w:tab w:val="num" w:pos="540"/>
          <w:tab w:val="left" w:pos="567"/>
          <w:tab w:val="left" w:pos="993"/>
        </w:tabs>
        <w:ind w:left="567" w:hanging="567"/>
        <w:jc w:val="both"/>
        <w:rPr>
          <w:sz w:val="22"/>
          <w:szCs w:val="22"/>
        </w:rPr>
      </w:pPr>
      <w:r w:rsidRPr="00295E71">
        <w:rPr>
          <w:sz w:val="22"/>
          <w:szCs w:val="22"/>
        </w:rPr>
        <w:t>presenza di autoanticorpi</w:t>
      </w:r>
      <w:r w:rsidRPr="00295E71" w:rsidR="00096642">
        <w:rPr>
          <w:sz w:val="22"/>
          <w:szCs w:val="22"/>
        </w:rPr>
        <w:t xml:space="preserve"> </w:t>
      </w:r>
      <w:r w:rsidRPr="00295E71">
        <w:rPr>
          <w:sz w:val="22"/>
          <w:szCs w:val="22"/>
        </w:rPr>
        <w:t>nel sangue</w:t>
      </w:r>
    </w:p>
    <w:p w:rsidR="00086B53" w:rsidRPr="00295E71" w:rsidP="00086B53" w14:paraId="3EB71771"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potassio nel sangue</w:t>
      </w:r>
    </w:p>
    <w:p w:rsidR="00086B53" w:rsidRPr="00295E71" w:rsidP="00FB547E" w14:paraId="110B2132" w14:textId="77777777">
      <w:pPr>
        <w:tabs>
          <w:tab w:val="left" w:pos="567"/>
          <w:tab w:val="left" w:pos="993"/>
        </w:tabs>
        <w:ind w:left="567"/>
        <w:jc w:val="both"/>
        <w:rPr>
          <w:sz w:val="22"/>
          <w:szCs w:val="22"/>
        </w:rPr>
      </w:pPr>
    </w:p>
    <w:p w:rsidR="00086B53" w:rsidRPr="00295E71" w:rsidP="00086B53" w14:paraId="73053827" w14:textId="77777777">
      <w:pPr>
        <w:tabs>
          <w:tab w:val="left" w:pos="567"/>
          <w:tab w:val="left" w:pos="993"/>
        </w:tabs>
        <w:jc w:val="both"/>
        <w:rPr>
          <w:sz w:val="22"/>
          <w:szCs w:val="22"/>
        </w:rPr>
      </w:pPr>
      <w:r w:rsidRPr="00295E71">
        <w:rPr>
          <w:b/>
          <w:sz w:val="22"/>
          <w:szCs w:val="22"/>
        </w:rPr>
        <w:t>Non comuni</w:t>
      </w:r>
      <w:r w:rsidRPr="00295E71">
        <w:rPr>
          <w:sz w:val="22"/>
          <w:szCs w:val="22"/>
        </w:rPr>
        <w:t xml:space="preserve"> (possono manifestarsi fino a 1 persona su 100)</w:t>
      </w:r>
    </w:p>
    <w:p w:rsidR="00086B53" w:rsidRPr="00295E71" w:rsidP="00086B53" w14:paraId="2A482AD4" w14:textId="77777777">
      <w:pPr>
        <w:tabs>
          <w:tab w:val="left" w:pos="567"/>
          <w:tab w:val="left" w:pos="993"/>
        </w:tabs>
        <w:jc w:val="both"/>
        <w:rPr>
          <w:sz w:val="22"/>
          <w:szCs w:val="22"/>
        </w:rPr>
      </w:pPr>
    </w:p>
    <w:p w:rsidR="00086B53" w:rsidRPr="00295E71" w:rsidP="00FB547E" w14:paraId="2D9FC7D4" w14:textId="77777777">
      <w:pPr>
        <w:pStyle w:val="ListParagraph"/>
        <w:numPr>
          <w:ilvl w:val="0"/>
          <w:numId w:val="134"/>
        </w:numPr>
        <w:ind w:left="567" w:hanging="539"/>
        <w:jc w:val="both"/>
        <w:rPr>
          <w:sz w:val="22"/>
          <w:szCs w:val="22"/>
        </w:rPr>
      </w:pPr>
      <w:r w:rsidRPr="00295E71">
        <w:rPr>
          <w:sz w:val="22"/>
          <w:szCs w:val="22"/>
        </w:rPr>
        <w:t>livelli elevati di bilirubina nel sangue (esame epatico del sangue)</w:t>
      </w:r>
    </w:p>
    <w:p w:rsidR="006224C2" w:rsidRPr="00295E71" w14:paraId="65C1EE6C" w14:textId="77777777">
      <w:pPr>
        <w:tabs>
          <w:tab w:val="left" w:pos="567"/>
          <w:tab w:val="left" w:pos="993"/>
        </w:tabs>
        <w:jc w:val="both"/>
        <w:rPr>
          <w:sz w:val="22"/>
          <w:szCs w:val="22"/>
        </w:rPr>
      </w:pPr>
    </w:p>
    <w:p w:rsidR="006224C2" w:rsidRPr="00295E71" w14:paraId="5BE4A057" w14:textId="77777777">
      <w:pPr>
        <w:pStyle w:val="EMEAFigureTitle"/>
        <w:tabs>
          <w:tab w:val="left" w:pos="993"/>
        </w:tabs>
        <w:suppressAutoHyphens w:val="0"/>
        <w:jc w:val="both"/>
        <w:rPr>
          <w:lang w:val="it-IT" w:eastAsia="it-IT"/>
        </w:rPr>
      </w:pPr>
      <w:r w:rsidRPr="00295E71">
        <w:rPr>
          <w:b/>
          <w:lang w:val="it-IT" w:eastAsia="it-IT"/>
        </w:rPr>
        <w:t xml:space="preserve">Rari </w:t>
      </w:r>
      <w:r w:rsidRPr="00295E71">
        <w:rPr>
          <w:lang w:val="it-IT" w:eastAsia="it-IT"/>
        </w:rPr>
        <w:t>(possono manifestarsi fino a 1 persona su 1.000)</w:t>
      </w:r>
    </w:p>
    <w:p w:rsidR="006224C2" w:rsidRPr="00295E71" w14:paraId="6CE81427" w14:textId="77777777">
      <w:pPr>
        <w:pStyle w:val="EMEANormal"/>
        <w:jc w:val="both"/>
        <w:rPr>
          <w:lang w:val="it-IT" w:eastAsia="it-IT"/>
        </w:rPr>
      </w:pPr>
    </w:p>
    <w:p w:rsidR="006224C2" w:rsidRPr="00295E71" w14:paraId="1E5A0140" w14:textId="77777777">
      <w:pPr>
        <w:numPr>
          <w:ilvl w:val="0"/>
          <w:numId w:val="14"/>
        </w:numPr>
        <w:tabs>
          <w:tab w:val="num" w:pos="540"/>
          <w:tab w:val="left" w:pos="567"/>
          <w:tab w:val="left" w:pos="993"/>
        </w:tabs>
        <w:ind w:left="567" w:hanging="567"/>
        <w:jc w:val="both"/>
        <w:rPr>
          <w:sz w:val="22"/>
          <w:szCs w:val="22"/>
        </w:rPr>
      </w:pPr>
      <w:r w:rsidRPr="00295E71">
        <w:rPr>
          <w:sz w:val="22"/>
          <w:szCs w:val="22"/>
        </w:rPr>
        <w:t>bassa conta dei globuli bianchi, dei globuli rossi e delle piastrine</w:t>
      </w:r>
    </w:p>
    <w:p w:rsidR="006224C2" w:rsidRPr="00295E71" w14:paraId="7DEEA912" w14:textId="77777777">
      <w:pPr>
        <w:tabs>
          <w:tab w:val="left" w:pos="567"/>
          <w:tab w:val="left" w:pos="993"/>
        </w:tabs>
        <w:jc w:val="both"/>
        <w:rPr>
          <w:sz w:val="22"/>
          <w:szCs w:val="22"/>
        </w:rPr>
      </w:pPr>
    </w:p>
    <w:p w:rsidR="006224C2" w:rsidRPr="00295E71" w14:paraId="47D919EA" w14:textId="77777777">
      <w:pPr>
        <w:keepNext/>
        <w:numPr>
          <w:ilvl w:val="12"/>
          <w:numId w:val="0"/>
        </w:numPr>
        <w:tabs>
          <w:tab w:val="left" w:pos="567"/>
        </w:tabs>
        <w:jc w:val="both"/>
        <w:rPr>
          <w:b/>
          <w:sz w:val="22"/>
          <w:szCs w:val="22"/>
        </w:rPr>
      </w:pPr>
      <w:r w:rsidRPr="00295E71">
        <w:rPr>
          <w:b/>
          <w:sz w:val="22"/>
          <w:szCs w:val="22"/>
        </w:rPr>
        <w:t>Segnalazione degli effetti indesiderati</w:t>
      </w:r>
    </w:p>
    <w:p w:rsidR="006224C2" w:rsidRPr="00295E71" w14:paraId="6EC401F1" w14:textId="77777777">
      <w:pPr>
        <w:numPr>
          <w:ilvl w:val="12"/>
          <w:numId w:val="0"/>
        </w:numPr>
        <w:tabs>
          <w:tab w:val="left" w:pos="567"/>
        </w:tabs>
        <w:ind w:right="-2"/>
        <w:jc w:val="both"/>
        <w:rPr>
          <w:sz w:val="22"/>
          <w:szCs w:val="22"/>
        </w:rPr>
      </w:pPr>
      <w:r w:rsidRPr="00295E71">
        <w:rPr>
          <w:sz w:val="22"/>
          <w:szCs w:val="22"/>
        </w:rPr>
        <w:t xml:space="preserve">Se manifesta un qualsiasi effetto indesiderato, compresi quelli non elencati in questo foglio, si rivolga al medico o al farmacista. Può inoltre segnalare gli effetti indesiderati direttamente tramite il </w:t>
      </w:r>
      <w:r w:rsidRPr="00295E71">
        <w:rPr>
          <w:sz w:val="22"/>
          <w:szCs w:val="22"/>
          <w:highlight w:val="lightGray"/>
        </w:rPr>
        <w:t>sistema nazionale di segnalazione riportato nell’</w:t>
      </w:r>
      <w:hyperlink r:id="rId74" w:history="1">
        <w:r w:rsidRPr="00295E71">
          <w:rPr>
            <w:rStyle w:val="Hyperlink"/>
            <w:sz w:val="22"/>
            <w:szCs w:val="22"/>
            <w:highlight w:val="lightGray"/>
          </w:rPr>
          <w:t>allegato V</w:t>
        </w:r>
      </w:hyperlink>
      <w:r w:rsidRPr="00295E71">
        <w:rPr>
          <w:sz w:val="22"/>
          <w:szCs w:val="22"/>
          <w:highlight w:val="lightGray"/>
        </w:rPr>
        <w:t>.</w:t>
      </w:r>
      <w:r w:rsidRPr="00295E71">
        <w:rPr>
          <w:sz w:val="22"/>
          <w:szCs w:val="22"/>
        </w:rPr>
        <w:t xml:space="preserve"> Segnalando gli effetti indesiderati può contribuire a fornire maggiori informazioni sulla sicurezza di questo medicinale.</w:t>
      </w:r>
    </w:p>
    <w:p w:rsidR="006224C2" w:rsidRPr="00295E71" w14:paraId="708B75E1" w14:textId="77777777">
      <w:pPr>
        <w:numPr>
          <w:ilvl w:val="12"/>
          <w:numId w:val="0"/>
        </w:numPr>
        <w:tabs>
          <w:tab w:val="left" w:pos="567"/>
        </w:tabs>
        <w:ind w:right="-2"/>
        <w:jc w:val="both"/>
        <w:rPr>
          <w:sz w:val="22"/>
          <w:szCs w:val="22"/>
        </w:rPr>
      </w:pPr>
    </w:p>
    <w:p w:rsidR="006224C2" w:rsidRPr="00295E71" w14:paraId="31363858" w14:textId="77777777">
      <w:pPr>
        <w:numPr>
          <w:ilvl w:val="12"/>
          <w:numId w:val="0"/>
        </w:numPr>
        <w:tabs>
          <w:tab w:val="left" w:pos="567"/>
        </w:tabs>
        <w:ind w:right="-2"/>
        <w:jc w:val="both"/>
        <w:rPr>
          <w:sz w:val="22"/>
          <w:szCs w:val="22"/>
        </w:rPr>
      </w:pPr>
    </w:p>
    <w:p w:rsidR="006224C2" w:rsidRPr="00295E71" w14:paraId="081C4856" w14:textId="77777777">
      <w:pPr>
        <w:keepNext/>
        <w:numPr>
          <w:ilvl w:val="12"/>
          <w:numId w:val="0"/>
        </w:numPr>
        <w:tabs>
          <w:tab w:val="left" w:pos="567"/>
        </w:tabs>
        <w:ind w:left="567" w:right="-2" w:hanging="567"/>
        <w:jc w:val="both"/>
        <w:rPr>
          <w:b/>
          <w:bCs/>
          <w:sz w:val="22"/>
          <w:szCs w:val="22"/>
        </w:rPr>
      </w:pPr>
      <w:r w:rsidRPr="00295E71">
        <w:rPr>
          <w:b/>
          <w:bCs/>
          <w:sz w:val="22"/>
          <w:szCs w:val="22"/>
        </w:rPr>
        <w:t>5.</w:t>
      </w:r>
      <w:r w:rsidRPr="00295E71">
        <w:rPr>
          <w:b/>
          <w:bCs/>
          <w:sz w:val="22"/>
          <w:szCs w:val="22"/>
        </w:rPr>
        <w:tab/>
        <w:t>Come conservare Humira</w:t>
      </w:r>
    </w:p>
    <w:p w:rsidR="006224C2" w:rsidRPr="00295E71" w14:paraId="400FBFD8" w14:textId="77777777">
      <w:pPr>
        <w:keepNext/>
        <w:numPr>
          <w:ilvl w:val="12"/>
          <w:numId w:val="0"/>
        </w:numPr>
        <w:tabs>
          <w:tab w:val="left" w:pos="567"/>
        </w:tabs>
        <w:ind w:right="-2"/>
        <w:jc w:val="both"/>
        <w:rPr>
          <w:sz w:val="22"/>
          <w:szCs w:val="22"/>
        </w:rPr>
      </w:pPr>
    </w:p>
    <w:p w:rsidR="006224C2" w:rsidRPr="00295E71" w14:paraId="373F8894" w14:textId="77777777">
      <w:pPr>
        <w:keepNext/>
        <w:numPr>
          <w:ilvl w:val="12"/>
          <w:numId w:val="0"/>
        </w:numPr>
        <w:tabs>
          <w:tab w:val="left" w:pos="567"/>
        </w:tabs>
        <w:ind w:right="-2"/>
        <w:rPr>
          <w:sz w:val="22"/>
          <w:szCs w:val="22"/>
        </w:rPr>
      </w:pPr>
      <w:r w:rsidRPr="00295E71">
        <w:rPr>
          <w:sz w:val="22"/>
          <w:szCs w:val="22"/>
        </w:rPr>
        <w:t>Conservi questo medicinale fuori dalla vista e dalla portata dei bambini.</w:t>
      </w:r>
    </w:p>
    <w:p w:rsidR="006224C2" w:rsidRPr="00295E71" w14:paraId="1B6757B5" w14:textId="77777777">
      <w:pPr>
        <w:numPr>
          <w:ilvl w:val="12"/>
          <w:numId w:val="0"/>
        </w:numPr>
        <w:tabs>
          <w:tab w:val="left" w:pos="567"/>
        </w:tabs>
        <w:ind w:right="-2"/>
        <w:rPr>
          <w:sz w:val="22"/>
          <w:szCs w:val="22"/>
        </w:rPr>
      </w:pPr>
    </w:p>
    <w:p w:rsidR="006224C2" w:rsidRPr="00295E71" w14:paraId="669C683C" w14:textId="77777777">
      <w:pPr>
        <w:numPr>
          <w:ilvl w:val="12"/>
          <w:numId w:val="0"/>
        </w:numPr>
        <w:tabs>
          <w:tab w:val="left" w:pos="567"/>
        </w:tabs>
        <w:ind w:right="-2"/>
        <w:rPr>
          <w:sz w:val="22"/>
          <w:szCs w:val="22"/>
        </w:rPr>
      </w:pPr>
      <w:r w:rsidRPr="00295E71">
        <w:rPr>
          <w:sz w:val="22"/>
          <w:szCs w:val="22"/>
        </w:rPr>
        <w:t>Non usi questo medicinale dopo la data di scadenza che è riportata sull’etichetta/blister/scatola dopo la scritta Scad.</w:t>
      </w:r>
    </w:p>
    <w:p w:rsidR="006224C2" w:rsidRPr="00295E71" w14:paraId="1957A974" w14:textId="77777777">
      <w:pPr>
        <w:numPr>
          <w:ilvl w:val="12"/>
          <w:numId w:val="0"/>
        </w:numPr>
        <w:tabs>
          <w:tab w:val="left" w:pos="567"/>
        </w:tabs>
        <w:ind w:right="-2"/>
        <w:rPr>
          <w:sz w:val="22"/>
          <w:szCs w:val="22"/>
        </w:rPr>
      </w:pPr>
    </w:p>
    <w:p w:rsidR="006224C2" w:rsidRPr="00295E71" w14:paraId="530C90F2" w14:textId="77777777">
      <w:pPr>
        <w:numPr>
          <w:ilvl w:val="12"/>
          <w:numId w:val="0"/>
        </w:numPr>
        <w:tabs>
          <w:tab w:val="left" w:pos="567"/>
        </w:tabs>
        <w:ind w:right="-2"/>
        <w:rPr>
          <w:sz w:val="22"/>
          <w:szCs w:val="22"/>
        </w:rPr>
      </w:pPr>
      <w:r w:rsidRPr="00295E71">
        <w:rPr>
          <w:sz w:val="22"/>
          <w:szCs w:val="22"/>
        </w:rPr>
        <w:t>Conservare in frigorifero (2</w:t>
      </w:r>
      <w:r w:rsidRPr="00295E71">
        <w:rPr>
          <w:rFonts w:ascii="Symbol" w:hAnsi="Symbol"/>
          <w:sz w:val="22"/>
          <w:szCs w:val="22"/>
        </w:rPr>
        <w:sym w:font="Symbol" w:char="F0B0"/>
      </w:r>
      <w:r w:rsidRPr="00295E71">
        <w:rPr>
          <w:sz w:val="22"/>
          <w:szCs w:val="22"/>
        </w:rPr>
        <w:t>C – 8</w:t>
      </w:r>
      <w:r w:rsidRPr="00295E71">
        <w:rPr>
          <w:rFonts w:ascii="Symbol" w:hAnsi="Symbol"/>
          <w:sz w:val="22"/>
          <w:szCs w:val="22"/>
        </w:rPr>
        <w:sym w:font="Symbol" w:char="F0B0"/>
      </w:r>
      <w:r w:rsidRPr="00295E71">
        <w:rPr>
          <w:sz w:val="22"/>
          <w:szCs w:val="22"/>
        </w:rPr>
        <w:t>C). Non congelare.</w:t>
      </w:r>
    </w:p>
    <w:p w:rsidR="006224C2" w:rsidRPr="00295E71" w14:paraId="24216A88" w14:textId="77777777">
      <w:pPr>
        <w:numPr>
          <w:ilvl w:val="12"/>
          <w:numId w:val="0"/>
        </w:numPr>
        <w:tabs>
          <w:tab w:val="left" w:pos="567"/>
        </w:tabs>
        <w:ind w:right="-2"/>
        <w:rPr>
          <w:sz w:val="22"/>
          <w:szCs w:val="22"/>
        </w:rPr>
      </w:pPr>
    </w:p>
    <w:p w:rsidR="006224C2" w:rsidRPr="00295E71" w14:paraId="3100BC59" w14:textId="77777777">
      <w:pPr>
        <w:numPr>
          <w:ilvl w:val="12"/>
          <w:numId w:val="0"/>
        </w:numPr>
        <w:tabs>
          <w:tab w:val="left" w:pos="567"/>
        </w:tabs>
        <w:ind w:right="-2"/>
        <w:rPr>
          <w:sz w:val="22"/>
          <w:szCs w:val="22"/>
        </w:rPr>
      </w:pPr>
      <w:r w:rsidRPr="00295E71">
        <w:rPr>
          <w:sz w:val="22"/>
          <w:szCs w:val="22"/>
        </w:rPr>
        <w:t>Tenere</w:t>
      </w:r>
      <w:r w:rsidRPr="00295E71" w:rsidR="00226BC4">
        <w:rPr>
          <w:sz w:val="22"/>
          <w:szCs w:val="22"/>
        </w:rPr>
        <w:t xml:space="preserve"> la penna pre-riempita nell’</w:t>
      </w:r>
      <w:r w:rsidRPr="00295E71">
        <w:t>imballaggio esterno</w:t>
      </w:r>
      <w:r w:rsidRPr="00295E71" w:rsidR="00226BC4">
        <w:rPr>
          <w:sz w:val="22"/>
          <w:szCs w:val="22"/>
        </w:rPr>
        <w:t xml:space="preserve"> per proteggere il medicinale dalla luce.</w:t>
      </w:r>
    </w:p>
    <w:p w:rsidR="006224C2" w:rsidRPr="00295E71" w14:paraId="04466D1D" w14:textId="77777777">
      <w:pPr>
        <w:numPr>
          <w:ilvl w:val="12"/>
          <w:numId w:val="0"/>
        </w:numPr>
        <w:tabs>
          <w:tab w:val="left" w:pos="567"/>
        </w:tabs>
        <w:ind w:right="-2"/>
        <w:rPr>
          <w:sz w:val="22"/>
          <w:szCs w:val="22"/>
        </w:rPr>
      </w:pPr>
    </w:p>
    <w:p w:rsidR="006224C2" w:rsidRPr="00295E71" w14:paraId="1CD4AFA7" w14:textId="77777777">
      <w:pPr>
        <w:keepNext/>
        <w:numPr>
          <w:ilvl w:val="12"/>
          <w:numId w:val="0"/>
        </w:numPr>
        <w:tabs>
          <w:tab w:val="left" w:pos="567"/>
        </w:tabs>
        <w:ind w:right="-2"/>
        <w:rPr>
          <w:sz w:val="22"/>
          <w:szCs w:val="22"/>
        </w:rPr>
      </w:pPr>
      <w:r w:rsidRPr="00295E71">
        <w:rPr>
          <w:sz w:val="22"/>
          <w:szCs w:val="22"/>
        </w:rPr>
        <w:t>Condizioni di conservazione alternative:</w:t>
      </w:r>
    </w:p>
    <w:p w:rsidR="006224C2" w:rsidRPr="00295E71" w14:paraId="26636366" w14:textId="77777777">
      <w:pPr>
        <w:keepNext/>
        <w:numPr>
          <w:ilvl w:val="12"/>
          <w:numId w:val="0"/>
        </w:numPr>
        <w:tabs>
          <w:tab w:val="left" w:pos="567"/>
        </w:tabs>
        <w:ind w:right="-2"/>
        <w:rPr>
          <w:sz w:val="22"/>
          <w:szCs w:val="22"/>
        </w:rPr>
      </w:pPr>
    </w:p>
    <w:p w:rsidR="006224C2" w:rsidRPr="00295E71" w14:paraId="4DE90FB4" w14:textId="77777777">
      <w:pPr>
        <w:keepNext/>
        <w:numPr>
          <w:ilvl w:val="12"/>
          <w:numId w:val="0"/>
        </w:numPr>
        <w:tabs>
          <w:tab w:val="left" w:pos="567"/>
        </w:tabs>
        <w:ind w:right="-2"/>
        <w:rPr>
          <w:sz w:val="22"/>
          <w:szCs w:val="22"/>
        </w:rPr>
      </w:pPr>
      <w:r w:rsidRPr="00295E71">
        <w:rPr>
          <w:sz w:val="22"/>
          <w:szCs w:val="22"/>
        </w:rPr>
        <w:t xml:space="preserve">Quando necessario (per esempio quando viaggia) una singola penna pre-riempita può essere conservata a temperatura ambiente (fino a 25°C) per un periodo massimo di 14 giorni – assicurarsi di proteggere il medicinale dalla luce. Una volta che viene rimossa dal frigorifero per essere conservata a temperatura ambiente, la penna </w:t>
      </w:r>
      <w:r w:rsidRPr="00295E71">
        <w:rPr>
          <w:b/>
          <w:sz w:val="22"/>
          <w:szCs w:val="22"/>
        </w:rPr>
        <w:t>deve essere usata entro 14 giorni o buttata via</w:t>
      </w:r>
      <w:r w:rsidRPr="00295E71">
        <w:rPr>
          <w:sz w:val="22"/>
          <w:szCs w:val="22"/>
        </w:rPr>
        <w:t>, anche se viene posta di nuovo nel frigorifero.</w:t>
      </w:r>
    </w:p>
    <w:p w:rsidR="006224C2" w:rsidRPr="00295E71" w14:paraId="010C4975" w14:textId="77777777">
      <w:pPr>
        <w:numPr>
          <w:ilvl w:val="12"/>
          <w:numId w:val="0"/>
        </w:numPr>
        <w:tabs>
          <w:tab w:val="left" w:pos="567"/>
        </w:tabs>
        <w:ind w:right="-2"/>
        <w:rPr>
          <w:sz w:val="22"/>
          <w:szCs w:val="22"/>
        </w:rPr>
      </w:pPr>
    </w:p>
    <w:p w:rsidR="006224C2" w:rsidRPr="00295E71" w14:paraId="4F6AB18B" w14:textId="77777777">
      <w:pPr>
        <w:numPr>
          <w:ilvl w:val="12"/>
          <w:numId w:val="0"/>
        </w:numPr>
        <w:tabs>
          <w:tab w:val="left" w:pos="567"/>
        </w:tabs>
        <w:ind w:right="-2"/>
        <w:rPr>
          <w:sz w:val="22"/>
          <w:szCs w:val="22"/>
        </w:rPr>
      </w:pPr>
      <w:r w:rsidRPr="00295E71">
        <w:rPr>
          <w:sz w:val="22"/>
          <w:szCs w:val="22"/>
        </w:rPr>
        <w:t>Deve registrare la data in cui la penna viene tolta dal frigorifero la prima volta e la data dopo la quale la penna deve essere buttata via.</w:t>
      </w:r>
    </w:p>
    <w:p w:rsidR="006224C2" w:rsidRPr="00295E71" w14:paraId="4B2A097F" w14:textId="77777777">
      <w:pPr>
        <w:numPr>
          <w:ilvl w:val="12"/>
          <w:numId w:val="0"/>
        </w:numPr>
        <w:tabs>
          <w:tab w:val="left" w:pos="567"/>
        </w:tabs>
        <w:ind w:right="-2"/>
        <w:rPr>
          <w:sz w:val="22"/>
          <w:szCs w:val="22"/>
        </w:rPr>
      </w:pPr>
    </w:p>
    <w:p w:rsidR="006224C2" w:rsidRPr="00295E71" w14:paraId="26BB36F0" w14:textId="77777777">
      <w:pPr>
        <w:numPr>
          <w:ilvl w:val="12"/>
          <w:numId w:val="0"/>
        </w:numPr>
        <w:tabs>
          <w:tab w:val="left" w:pos="0"/>
        </w:tabs>
        <w:ind w:right="-2"/>
        <w:rPr>
          <w:sz w:val="22"/>
          <w:szCs w:val="22"/>
        </w:rPr>
      </w:pPr>
      <w:r w:rsidRPr="00295E71">
        <w:rPr>
          <w:sz w:val="22"/>
          <w:szCs w:val="22"/>
        </w:rPr>
        <w:t xml:space="preserve">Non getti alcun medicinale nell’acqua di scarico e nei rifiuti domestici. Chieda al medico o al farmacista come eliminare i medicinali che non utilizza più. Questo aiuterà a proteggere l’ambiente. </w:t>
      </w:r>
    </w:p>
    <w:p w:rsidR="006224C2" w:rsidRPr="00295E71" w14:paraId="77375AF1" w14:textId="77777777">
      <w:pPr>
        <w:numPr>
          <w:ilvl w:val="12"/>
          <w:numId w:val="0"/>
        </w:numPr>
        <w:tabs>
          <w:tab w:val="left" w:pos="567"/>
        </w:tabs>
        <w:ind w:left="567" w:right="-2" w:hanging="567"/>
        <w:jc w:val="both"/>
        <w:rPr>
          <w:sz w:val="22"/>
          <w:szCs w:val="22"/>
        </w:rPr>
      </w:pPr>
    </w:p>
    <w:p w:rsidR="006224C2" w:rsidRPr="00295E71" w14:paraId="21A8D3E0" w14:textId="77777777">
      <w:pPr>
        <w:numPr>
          <w:ilvl w:val="12"/>
          <w:numId w:val="0"/>
        </w:numPr>
        <w:tabs>
          <w:tab w:val="left" w:pos="567"/>
        </w:tabs>
        <w:ind w:left="567" w:right="-2" w:hanging="567"/>
        <w:jc w:val="both"/>
        <w:rPr>
          <w:sz w:val="22"/>
          <w:szCs w:val="22"/>
        </w:rPr>
      </w:pPr>
    </w:p>
    <w:p w:rsidR="006224C2" w:rsidRPr="00295E71" w14:paraId="64D509D2" w14:textId="77777777">
      <w:pPr>
        <w:rPr>
          <w:b/>
          <w:bCs/>
          <w:sz w:val="22"/>
          <w:szCs w:val="22"/>
        </w:rPr>
      </w:pPr>
      <w:r w:rsidRPr="00295E71">
        <w:rPr>
          <w:b/>
          <w:bCs/>
          <w:sz w:val="22"/>
          <w:szCs w:val="22"/>
        </w:rPr>
        <w:t>6.</w:t>
      </w:r>
      <w:r w:rsidRPr="00295E71">
        <w:rPr>
          <w:b/>
          <w:bCs/>
          <w:sz w:val="22"/>
          <w:szCs w:val="22"/>
        </w:rPr>
        <w:tab/>
        <w:t>Contenuto della confezione e altre informazioni</w:t>
      </w:r>
    </w:p>
    <w:p w:rsidR="006224C2" w:rsidRPr="00295E71" w14:paraId="5BE6A823" w14:textId="77777777">
      <w:pPr>
        <w:numPr>
          <w:ilvl w:val="12"/>
          <w:numId w:val="0"/>
        </w:numPr>
        <w:tabs>
          <w:tab w:val="left" w:pos="567"/>
        </w:tabs>
        <w:ind w:right="-2"/>
        <w:jc w:val="both"/>
        <w:rPr>
          <w:sz w:val="22"/>
          <w:szCs w:val="22"/>
        </w:rPr>
      </w:pPr>
    </w:p>
    <w:p w:rsidR="006224C2" w:rsidRPr="00295E71" w14:paraId="3ACD214E" w14:textId="77777777">
      <w:pPr>
        <w:pStyle w:val="Heading8"/>
        <w:keepNext w:val="0"/>
        <w:tabs>
          <w:tab w:val="left" w:pos="567"/>
        </w:tabs>
        <w:jc w:val="both"/>
      </w:pPr>
      <w:r w:rsidRPr="00295E71">
        <w:t>Cosa contiene Humira</w:t>
      </w:r>
    </w:p>
    <w:p w:rsidR="006224C2" w:rsidRPr="00295E71" w14:paraId="6A8377F6" w14:textId="77777777">
      <w:pPr>
        <w:numPr>
          <w:ilvl w:val="12"/>
          <w:numId w:val="0"/>
        </w:numPr>
        <w:tabs>
          <w:tab w:val="left" w:pos="567"/>
        </w:tabs>
        <w:ind w:right="-2"/>
        <w:jc w:val="both"/>
        <w:rPr>
          <w:sz w:val="22"/>
          <w:szCs w:val="22"/>
        </w:rPr>
      </w:pPr>
    </w:p>
    <w:p w:rsidR="006224C2" w:rsidRPr="00295E71" w:rsidP="00FB547E" w14:paraId="509E1546" w14:textId="77777777">
      <w:pPr>
        <w:tabs>
          <w:tab w:val="left" w:pos="567"/>
        </w:tabs>
        <w:ind w:right="-2"/>
        <w:jc w:val="both"/>
        <w:rPr>
          <w:sz w:val="22"/>
          <w:szCs w:val="22"/>
        </w:rPr>
      </w:pPr>
      <w:r w:rsidRPr="00295E71">
        <w:rPr>
          <w:sz w:val="22"/>
          <w:szCs w:val="22"/>
        </w:rPr>
        <w:t>Il principio attivo è adalimumab.</w:t>
      </w:r>
    </w:p>
    <w:p w:rsidR="006224C2" w:rsidRPr="00295E71" w:rsidP="00FB547E" w14:paraId="5BA2F066" w14:textId="77777777">
      <w:pPr>
        <w:tabs>
          <w:tab w:val="left" w:pos="567"/>
        </w:tabs>
        <w:ind w:right="-2"/>
        <w:jc w:val="both"/>
        <w:rPr>
          <w:sz w:val="22"/>
          <w:szCs w:val="22"/>
        </w:rPr>
      </w:pPr>
      <w:r w:rsidRPr="00295E71">
        <w:rPr>
          <w:sz w:val="22"/>
          <w:szCs w:val="22"/>
        </w:rPr>
        <w:t>Gli eccipienti sono mannitolo, polisorbato 80 e acqua per preparazioni iniettabili.</w:t>
      </w:r>
    </w:p>
    <w:p w:rsidR="006224C2" w:rsidRPr="00295E71" w14:paraId="14ED6E52" w14:textId="77777777">
      <w:pPr>
        <w:numPr>
          <w:ilvl w:val="12"/>
          <w:numId w:val="0"/>
        </w:numPr>
        <w:tabs>
          <w:tab w:val="left" w:pos="567"/>
        </w:tabs>
        <w:ind w:right="-2"/>
        <w:jc w:val="both"/>
        <w:rPr>
          <w:sz w:val="22"/>
          <w:szCs w:val="22"/>
        </w:rPr>
      </w:pPr>
    </w:p>
    <w:p w:rsidR="006224C2" w:rsidRPr="00295E71" w14:paraId="73ADFD87" w14:textId="77777777">
      <w:pPr>
        <w:pStyle w:val="Heading8"/>
        <w:keepNext w:val="0"/>
        <w:tabs>
          <w:tab w:val="left" w:pos="567"/>
        </w:tabs>
        <w:jc w:val="both"/>
      </w:pPr>
      <w:r w:rsidRPr="00295E71">
        <w:t>Descrizione dell’aspetto di Humira penna-preriempita e contenuto della confezione</w:t>
      </w:r>
    </w:p>
    <w:p w:rsidR="006224C2" w:rsidRPr="00295E71" w14:paraId="74E417A8" w14:textId="77777777">
      <w:pPr>
        <w:numPr>
          <w:ilvl w:val="12"/>
          <w:numId w:val="0"/>
        </w:numPr>
        <w:tabs>
          <w:tab w:val="left" w:pos="567"/>
        </w:tabs>
        <w:ind w:right="-2"/>
        <w:jc w:val="both"/>
        <w:rPr>
          <w:sz w:val="22"/>
          <w:szCs w:val="22"/>
        </w:rPr>
      </w:pPr>
    </w:p>
    <w:p w:rsidR="006224C2" w:rsidRPr="00295E71" w14:paraId="6D6C6C5C" w14:textId="77777777">
      <w:pPr>
        <w:numPr>
          <w:ilvl w:val="12"/>
          <w:numId w:val="0"/>
        </w:numPr>
        <w:tabs>
          <w:tab w:val="left" w:pos="567"/>
        </w:tabs>
        <w:ind w:right="-2"/>
        <w:rPr>
          <w:sz w:val="22"/>
          <w:szCs w:val="22"/>
        </w:rPr>
      </w:pPr>
      <w:r w:rsidRPr="00295E71">
        <w:rPr>
          <w:sz w:val="22"/>
          <w:szCs w:val="22"/>
        </w:rPr>
        <w:t>Humira 40 mg soluzione iniettabile in penna pre-riempita è fornito come soluzione sterile di 40 mg di adalimumab disciolti in 0,4 ml di soluzione.</w:t>
      </w:r>
    </w:p>
    <w:p w:rsidR="006224C2" w:rsidRPr="00295E71" w14:paraId="7385E7A6" w14:textId="77777777">
      <w:pPr>
        <w:numPr>
          <w:ilvl w:val="12"/>
          <w:numId w:val="0"/>
        </w:numPr>
        <w:tabs>
          <w:tab w:val="left" w:pos="567"/>
        </w:tabs>
        <w:ind w:right="-2"/>
        <w:rPr>
          <w:sz w:val="22"/>
          <w:szCs w:val="22"/>
        </w:rPr>
      </w:pPr>
    </w:p>
    <w:p w:rsidR="006224C2" w:rsidRPr="00295E71" w14:paraId="7314D099" w14:textId="77777777">
      <w:pPr>
        <w:numPr>
          <w:ilvl w:val="12"/>
          <w:numId w:val="0"/>
        </w:numPr>
        <w:tabs>
          <w:tab w:val="left" w:pos="567"/>
        </w:tabs>
        <w:ind w:right="-2"/>
        <w:rPr>
          <w:sz w:val="22"/>
          <w:szCs w:val="22"/>
        </w:rPr>
      </w:pPr>
      <w:r w:rsidRPr="00295E71">
        <w:rPr>
          <w:sz w:val="22"/>
          <w:szCs w:val="22"/>
        </w:rPr>
        <w:t>La penna pre-riempita di Humira è una penna monouso di colore grigio e viola contenente una siringa di vetro in cui è presente Humira. La penna è dotata di due tappi – uno grigio contrassegnato con il numero ‘1’ e l’altro di colore viola contrassegnato con il numero ‘2’. Su ogni parete della penna c’è una finestrella attraverso la quale si può intravedere la soluzione di Humira presente all’interno della siringa.</w:t>
      </w:r>
    </w:p>
    <w:p w:rsidR="006224C2" w:rsidRPr="00295E71" w14:paraId="0093832F" w14:textId="77777777">
      <w:pPr>
        <w:numPr>
          <w:ilvl w:val="12"/>
          <w:numId w:val="0"/>
        </w:numPr>
        <w:tabs>
          <w:tab w:val="left" w:pos="567"/>
        </w:tabs>
        <w:ind w:right="-2"/>
        <w:rPr>
          <w:sz w:val="22"/>
          <w:szCs w:val="22"/>
        </w:rPr>
      </w:pPr>
    </w:p>
    <w:p w:rsidR="006224C2" w:rsidRPr="00295E71" w14:paraId="361C5075" w14:textId="77777777">
      <w:pPr>
        <w:rPr>
          <w:sz w:val="22"/>
          <w:szCs w:val="22"/>
        </w:rPr>
      </w:pPr>
      <w:r w:rsidRPr="00295E71">
        <w:rPr>
          <w:sz w:val="22"/>
          <w:szCs w:val="22"/>
        </w:rPr>
        <w:t>La penna pre-riempita di Humira è disponibile in confezioni contenenti 1, 2, 4 e 6 penne pre-riempite. La confezione da 1 penna pre-riempita contiene 2 tamponi imbevuti di alcool (1 di scorta). Le confezioni da 2, 4 e 6 penne pre-riempite vengono fornite con 1 tampone imbevuto di alcool per ogni penna pre-riempita. È possibile che non tutte le confezioni siano commercializzate.</w:t>
      </w:r>
    </w:p>
    <w:p w:rsidR="006224C2" w:rsidRPr="00295E71" w14:paraId="77475CB0" w14:textId="77777777">
      <w:pPr>
        <w:numPr>
          <w:ilvl w:val="12"/>
          <w:numId w:val="0"/>
        </w:numPr>
        <w:tabs>
          <w:tab w:val="left" w:pos="567"/>
        </w:tabs>
        <w:ind w:right="-2"/>
        <w:rPr>
          <w:sz w:val="22"/>
          <w:szCs w:val="22"/>
        </w:rPr>
      </w:pPr>
    </w:p>
    <w:p w:rsidR="006224C2" w:rsidRPr="00295E71" w14:paraId="07BBBC7C" w14:textId="77777777">
      <w:pPr>
        <w:numPr>
          <w:ilvl w:val="12"/>
          <w:numId w:val="0"/>
        </w:numPr>
        <w:tabs>
          <w:tab w:val="left" w:pos="567"/>
        </w:tabs>
        <w:ind w:right="-2"/>
        <w:rPr>
          <w:sz w:val="22"/>
          <w:szCs w:val="22"/>
        </w:rPr>
      </w:pPr>
      <w:r w:rsidRPr="00295E71">
        <w:rPr>
          <w:sz w:val="22"/>
          <w:szCs w:val="22"/>
        </w:rPr>
        <w:t xml:space="preserve">Humira </w:t>
      </w:r>
      <w:r w:rsidRPr="00295E71" w:rsidR="006F32E5">
        <w:rPr>
          <w:sz w:val="22"/>
          <w:szCs w:val="22"/>
        </w:rPr>
        <w:t xml:space="preserve">può essere </w:t>
      </w:r>
      <w:r w:rsidRPr="00295E71">
        <w:rPr>
          <w:sz w:val="22"/>
          <w:szCs w:val="22"/>
        </w:rPr>
        <w:t>disponibile in flaconcino, in siringa pre-riempita e</w:t>
      </w:r>
      <w:r w:rsidRPr="00295E71" w:rsidR="006F32E5">
        <w:rPr>
          <w:sz w:val="22"/>
          <w:szCs w:val="22"/>
        </w:rPr>
        <w:t>/o</w:t>
      </w:r>
      <w:r w:rsidRPr="00295E71">
        <w:rPr>
          <w:sz w:val="22"/>
          <w:szCs w:val="22"/>
        </w:rPr>
        <w:t xml:space="preserve"> in penna pre-riempita.</w:t>
      </w:r>
    </w:p>
    <w:p w:rsidR="006224C2" w:rsidRPr="00295E71" w14:paraId="483A8DEE" w14:textId="77777777">
      <w:pPr>
        <w:numPr>
          <w:ilvl w:val="12"/>
          <w:numId w:val="0"/>
        </w:numPr>
        <w:tabs>
          <w:tab w:val="left" w:pos="567"/>
        </w:tabs>
        <w:ind w:right="-2"/>
        <w:jc w:val="both"/>
        <w:rPr>
          <w:sz w:val="22"/>
          <w:szCs w:val="22"/>
        </w:rPr>
      </w:pPr>
    </w:p>
    <w:p w:rsidR="006224C2" w:rsidRPr="00295E71" w:rsidP="00D968EE" w14:paraId="0963B5BC" w14:textId="77777777">
      <w:pPr>
        <w:pStyle w:val="Heading8"/>
        <w:keepLines/>
        <w:tabs>
          <w:tab w:val="left" w:pos="567"/>
        </w:tabs>
        <w:jc w:val="both"/>
      </w:pPr>
      <w:r w:rsidRPr="00295E71">
        <w:t>Titolare dell’autorizzazione all’immissione in commercio</w:t>
      </w:r>
    </w:p>
    <w:p w:rsidR="006224C2" w:rsidRPr="00295E71" w:rsidP="00D968EE" w14:paraId="513FB1B5" w14:textId="77777777">
      <w:pPr>
        <w:keepNext/>
        <w:keepLines/>
        <w:numPr>
          <w:ilvl w:val="12"/>
          <w:numId w:val="0"/>
        </w:numPr>
        <w:tabs>
          <w:tab w:val="left" w:pos="567"/>
        </w:tabs>
        <w:ind w:right="-2"/>
        <w:jc w:val="both"/>
        <w:rPr>
          <w:sz w:val="22"/>
          <w:szCs w:val="22"/>
        </w:rPr>
      </w:pPr>
    </w:p>
    <w:p w:rsidR="005C4AF2" w:rsidRPr="00295E71" w:rsidP="00910CE7" w14:paraId="13914060" w14:textId="77777777">
      <w:pPr>
        <w:keepNext/>
        <w:tabs>
          <w:tab w:val="left" w:pos="567"/>
        </w:tabs>
        <w:jc w:val="both"/>
        <w:rPr>
          <w:sz w:val="22"/>
          <w:szCs w:val="22"/>
        </w:rPr>
      </w:pPr>
      <w:r w:rsidRPr="00295E71">
        <w:rPr>
          <w:sz w:val="22"/>
          <w:szCs w:val="22"/>
        </w:rPr>
        <w:t>AbbVie Deutschland GmbH &amp; Co. KG</w:t>
      </w:r>
    </w:p>
    <w:p w:rsidR="005C4AF2" w:rsidRPr="00295E71" w:rsidP="00910CE7" w14:paraId="465F71A0" w14:textId="77777777">
      <w:pPr>
        <w:keepNext/>
        <w:tabs>
          <w:tab w:val="left" w:pos="567"/>
        </w:tabs>
        <w:jc w:val="both"/>
        <w:rPr>
          <w:sz w:val="22"/>
          <w:szCs w:val="22"/>
        </w:rPr>
      </w:pPr>
      <w:r w:rsidRPr="00295E71">
        <w:rPr>
          <w:sz w:val="22"/>
          <w:szCs w:val="22"/>
        </w:rPr>
        <w:t>Knollstrasse</w:t>
      </w:r>
    </w:p>
    <w:p w:rsidR="005C4AF2" w:rsidRPr="00295E71" w:rsidP="00910CE7" w14:paraId="5696DD4B" w14:textId="77777777">
      <w:pPr>
        <w:keepNext/>
        <w:tabs>
          <w:tab w:val="left" w:pos="567"/>
        </w:tabs>
        <w:jc w:val="both"/>
        <w:rPr>
          <w:sz w:val="22"/>
          <w:szCs w:val="22"/>
        </w:rPr>
      </w:pPr>
      <w:r w:rsidRPr="00295E71">
        <w:rPr>
          <w:sz w:val="22"/>
          <w:szCs w:val="22"/>
        </w:rPr>
        <w:t>67061 Ludwigshafen</w:t>
      </w:r>
    </w:p>
    <w:p w:rsidR="005C4AF2" w:rsidRPr="00295E71" w:rsidP="00910CE7" w14:paraId="74B45BBD" w14:textId="77777777">
      <w:pPr>
        <w:keepNext/>
        <w:tabs>
          <w:tab w:val="left" w:pos="567"/>
        </w:tabs>
        <w:jc w:val="both"/>
        <w:rPr>
          <w:sz w:val="22"/>
          <w:szCs w:val="22"/>
        </w:rPr>
      </w:pPr>
      <w:r w:rsidRPr="00295E71">
        <w:rPr>
          <w:sz w:val="22"/>
          <w:szCs w:val="22"/>
        </w:rPr>
        <w:t>Germania</w:t>
      </w:r>
    </w:p>
    <w:p w:rsidR="006224C2" w:rsidRPr="00295E71" w14:paraId="4630452A" w14:textId="77777777">
      <w:pPr>
        <w:numPr>
          <w:ilvl w:val="12"/>
          <w:numId w:val="0"/>
        </w:numPr>
        <w:tabs>
          <w:tab w:val="left" w:pos="567"/>
        </w:tabs>
        <w:ind w:right="-2"/>
        <w:jc w:val="both"/>
        <w:rPr>
          <w:sz w:val="22"/>
          <w:szCs w:val="22"/>
        </w:rPr>
      </w:pPr>
    </w:p>
    <w:p w:rsidR="006224C2" w:rsidRPr="00295E71" w14:paraId="44DA3E7D" w14:textId="77777777">
      <w:pPr>
        <w:rPr>
          <w:b/>
          <w:sz w:val="22"/>
          <w:szCs w:val="22"/>
        </w:rPr>
      </w:pPr>
      <w:r w:rsidRPr="00295E71">
        <w:rPr>
          <w:b/>
          <w:sz w:val="22"/>
          <w:szCs w:val="22"/>
        </w:rPr>
        <w:t>Produttore</w:t>
      </w:r>
    </w:p>
    <w:p w:rsidR="006224C2" w:rsidRPr="00295E71" w14:paraId="039C2046" w14:textId="77777777">
      <w:pPr>
        <w:numPr>
          <w:ilvl w:val="12"/>
          <w:numId w:val="0"/>
        </w:numPr>
        <w:tabs>
          <w:tab w:val="left" w:pos="567"/>
        </w:tabs>
        <w:ind w:right="-2"/>
        <w:jc w:val="both"/>
        <w:rPr>
          <w:sz w:val="22"/>
          <w:szCs w:val="22"/>
        </w:rPr>
      </w:pPr>
    </w:p>
    <w:p w:rsidR="006224C2" w:rsidRPr="00295E71" w14:paraId="178ECF43" w14:textId="77777777">
      <w:pPr>
        <w:rPr>
          <w:sz w:val="22"/>
          <w:szCs w:val="22"/>
        </w:rPr>
      </w:pPr>
      <w:r w:rsidRPr="00295E71">
        <w:rPr>
          <w:sz w:val="22"/>
          <w:szCs w:val="22"/>
        </w:rPr>
        <w:t>AbbVie Biotechnology GmbH</w:t>
      </w:r>
    </w:p>
    <w:p w:rsidR="006224C2" w:rsidRPr="00295E71" w14:paraId="5CB1E8CC" w14:textId="77777777">
      <w:pPr>
        <w:numPr>
          <w:ilvl w:val="12"/>
          <w:numId w:val="0"/>
        </w:numPr>
        <w:tabs>
          <w:tab w:val="left" w:pos="720"/>
        </w:tabs>
        <w:rPr>
          <w:sz w:val="22"/>
          <w:szCs w:val="22"/>
        </w:rPr>
      </w:pPr>
      <w:r w:rsidRPr="00295E71">
        <w:rPr>
          <w:sz w:val="22"/>
          <w:szCs w:val="22"/>
        </w:rPr>
        <w:t>Knollstrasse</w:t>
      </w:r>
    </w:p>
    <w:p w:rsidR="006224C2" w:rsidRPr="00295E71" w14:paraId="303CC170" w14:textId="77777777">
      <w:pPr>
        <w:numPr>
          <w:ilvl w:val="12"/>
          <w:numId w:val="0"/>
        </w:numPr>
        <w:tabs>
          <w:tab w:val="left" w:pos="720"/>
        </w:tabs>
        <w:rPr>
          <w:sz w:val="22"/>
          <w:szCs w:val="22"/>
        </w:rPr>
      </w:pPr>
      <w:r w:rsidRPr="00295E71">
        <w:rPr>
          <w:sz w:val="22"/>
          <w:szCs w:val="22"/>
        </w:rPr>
        <w:t>67061 Ludwigshafen</w:t>
      </w:r>
    </w:p>
    <w:p w:rsidR="006224C2" w:rsidRPr="00295E71" w14:paraId="25D5ABAC" w14:textId="77777777">
      <w:pPr>
        <w:numPr>
          <w:ilvl w:val="12"/>
          <w:numId w:val="0"/>
        </w:numPr>
        <w:tabs>
          <w:tab w:val="left" w:pos="720"/>
        </w:tabs>
        <w:rPr>
          <w:sz w:val="22"/>
          <w:szCs w:val="22"/>
        </w:rPr>
      </w:pPr>
      <w:r w:rsidRPr="00295E71">
        <w:rPr>
          <w:sz w:val="22"/>
          <w:szCs w:val="22"/>
        </w:rPr>
        <w:t>Germania</w:t>
      </w:r>
    </w:p>
    <w:p w:rsidR="006224C2" w:rsidRPr="00295E71" w14:paraId="1127B1FD" w14:textId="77777777">
      <w:pPr>
        <w:numPr>
          <w:ilvl w:val="12"/>
          <w:numId w:val="0"/>
        </w:numPr>
        <w:tabs>
          <w:tab w:val="left" w:pos="567"/>
        </w:tabs>
        <w:ind w:right="-2"/>
        <w:jc w:val="both"/>
        <w:rPr>
          <w:sz w:val="22"/>
          <w:szCs w:val="22"/>
        </w:rPr>
      </w:pPr>
    </w:p>
    <w:p w:rsidR="006224C2" w:rsidRPr="00295E71" w14:paraId="3AE3FBD8" w14:textId="77777777">
      <w:pPr>
        <w:numPr>
          <w:ilvl w:val="12"/>
          <w:numId w:val="0"/>
        </w:numPr>
        <w:tabs>
          <w:tab w:val="left" w:pos="567"/>
        </w:tabs>
        <w:ind w:right="-2"/>
        <w:jc w:val="both"/>
        <w:rPr>
          <w:sz w:val="22"/>
          <w:szCs w:val="22"/>
        </w:rPr>
      </w:pPr>
      <w:r w:rsidRPr="00295E71">
        <w:rPr>
          <w:sz w:val="22"/>
          <w:szCs w:val="22"/>
        </w:rPr>
        <w:t xml:space="preserve">Per ulteriori informazioni su questo medicinale, contatti il rappresentante locale del titolare dell’autorizzazione all’immissione in commercio: </w:t>
      </w:r>
    </w:p>
    <w:p w:rsidR="006224C2" w14:paraId="57416B81" w14:textId="77777777">
      <w:pPr>
        <w:rPr>
          <w:sz w:val="22"/>
          <w:szCs w:val="22"/>
          <w:lang w:eastAsia="en-US"/>
        </w:rPr>
      </w:pPr>
    </w:p>
    <w:tbl>
      <w:tblPr>
        <w:tblW w:w="9356" w:type="dxa"/>
        <w:tblInd w:w="-34" w:type="dxa"/>
        <w:tblLayout w:type="fixed"/>
        <w:tblLook w:val="0000"/>
      </w:tblPr>
      <w:tblGrid>
        <w:gridCol w:w="34"/>
        <w:gridCol w:w="4610"/>
        <w:gridCol w:w="34"/>
        <w:gridCol w:w="4678"/>
      </w:tblGrid>
      <w:tr w14:paraId="4D20A9C9" w14:textId="77777777" w:rsidTr="001F79B0">
        <w:tblPrEx>
          <w:tblW w:w="9356" w:type="dxa"/>
          <w:tblInd w:w="-34" w:type="dxa"/>
          <w:tblLayout w:type="fixed"/>
          <w:tblLook w:val="0000"/>
        </w:tblPrEx>
        <w:tc>
          <w:tcPr>
            <w:tcW w:w="4644" w:type="dxa"/>
            <w:gridSpan w:val="2"/>
          </w:tcPr>
          <w:p w:rsidR="00235869" w:rsidRPr="00BD646C" w:rsidP="001F79B0" w14:paraId="03C60C22" w14:textId="77777777">
            <w:pPr>
              <w:rPr>
                <w:b/>
                <w:bCs/>
                <w:sz w:val="22"/>
                <w:szCs w:val="22"/>
                <w:lang w:val="fr-BE"/>
              </w:rPr>
            </w:pPr>
            <w:r w:rsidRPr="00BD646C">
              <w:rPr>
                <w:b/>
                <w:bCs/>
                <w:sz w:val="22"/>
                <w:szCs w:val="22"/>
                <w:lang w:val="fr-BE"/>
              </w:rPr>
              <w:t>België</w:t>
            </w:r>
            <w:r w:rsidRPr="00BD646C">
              <w:rPr>
                <w:b/>
                <w:bCs/>
                <w:sz w:val="22"/>
                <w:szCs w:val="22"/>
                <w:lang w:val="fr-BE"/>
              </w:rPr>
              <w:t>/Belgique/</w:t>
            </w:r>
            <w:r w:rsidRPr="00BD646C">
              <w:rPr>
                <w:b/>
                <w:bCs/>
                <w:sz w:val="22"/>
                <w:szCs w:val="22"/>
                <w:lang w:val="fr-BE"/>
              </w:rPr>
              <w:t>Belgien</w:t>
            </w:r>
          </w:p>
          <w:p w:rsidR="00235869" w:rsidRPr="00BD646C" w:rsidP="001F79B0" w14:paraId="5FCC26C7" w14:textId="77777777">
            <w:pPr>
              <w:rPr>
                <w:bCs/>
                <w:sz w:val="22"/>
                <w:szCs w:val="22"/>
                <w:lang w:val="fr-FR"/>
              </w:rPr>
            </w:pPr>
            <w:r w:rsidRPr="00BD646C">
              <w:rPr>
                <w:bCs/>
                <w:sz w:val="22"/>
                <w:szCs w:val="22"/>
                <w:lang w:val="fr-FR"/>
              </w:rPr>
              <w:t>AbbVie SA</w:t>
            </w:r>
          </w:p>
          <w:p w:rsidR="00235869" w:rsidRPr="00BD646C" w:rsidP="001F79B0" w14:paraId="35F88380" w14:textId="77777777">
            <w:pPr>
              <w:rPr>
                <w:sz w:val="22"/>
                <w:szCs w:val="22"/>
                <w:lang w:val="fr-FR"/>
              </w:rPr>
            </w:pPr>
            <w:r w:rsidRPr="00BD646C">
              <w:rPr>
                <w:bCs/>
                <w:sz w:val="22"/>
                <w:szCs w:val="22"/>
                <w:lang w:val="fr-FR"/>
              </w:rPr>
              <w:t>Tél/</w:t>
            </w:r>
            <w:r w:rsidRPr="00BD646C">
              <w:rPr>
                <w:bCs/>
                <w:sz w:val="22"/>
                <w:szCs w:val="22"/>
                <w:lang w:val="fr-FR"/>
              </w:rPr>
              <w:t>Tel:</w:t>
            </w:r>
            <w:r w:rsidRPr="00BD646C">
              <w:rPr>
                <w:bCs/>
                <w:sz w:val="22"/>
                <w:szCs w:val="22"/>
                <w:lang w:val="fr-FR"/>
              </w:rPr>
              <w:t xml:space="preserve"> +32 10 </w:t>
            </w:r>
            <w:r w:rsidRPr="00BD646C">
              <w:rPr>
                <w:sz w:val="22"/>
                <w:szCs w:val="22"/>
                <w:lang w:val="fr-FR"/>
              </w:rPr>
              <w:t>477811</w:t>
            </w:r>
          </w:p>
          <w:p w:rsidR="00235869" w:rsidRPr="00BD646C" w:rsidP="001F79B0" w14:paraId="19D98BDC" w14:textId="77777777">
            <w:pPr>
              <w:rPr>
                <w:bCs/>
                <w:sz w:val="22"/>
                <w:szCs w:val="22"/>
                <w:lang w:val="fr-FR"/>
              </w:rPr>
            </w:pPr>
          </w:p>
        </w:tc>
        <w:tc>
          <w:tcPr>
            <w:tcW w:w="4678" w:type="dxa"/>
            <w:gridSpan w:val="2"/>
          </w:tcPr>
          <w:p w:rsidR="00235869" w:rsidRPr="00BD646C" w:rsidP="001F79B0" w14:paraId="49D73FE7" w14:textId="77777777">
            <w:pPr>
              <w:rPr>
                <w:b/>
                <w:bCs/>
                <w:sz w:val="22"/>
                <w:szCs w:val="22"/>
                <w:lang w:val="lt-LT"/>
              </w:rPr>
            </w:pPr>
            <w:r w:rsidRPr="00BD646C">
              <w:rPr>
                <w:b/>
                <w:bCs/>
                <w:sz w:val="22"/>
                <w:szCs w:val="22"/>
                <w:lang w:val="lt-LT"/>
              </w:rPr>
              <w:t>Lietuva</w:t>
            </w:r>
          </w:p>
          <w:p w:rsidR="00235869" w:rsidRPr="00BD646C" w:rsidP="001F79B0" w14:paraId="61BB579C" w14:textId="77777777">
            <w:pPr>
              <w:rPr>
                <w:bCs/>
                <w:sz w:val="22"/>
                <w:szCs w:val="22"/>
                <w:lang w:val="lv-LV"/>
              </w:rPr>
            </w:pPr>
            <w:r w:rsidRPr="00BD646C">
              <w:rPr>
                <w:bCs/>
                <w:sz w:val="22"/>
                <w:szCs w:val="22"/>
                <w:lang w:val="lv-LV"/>
              </w:rPr>
              <w:t xml:space="preserve">AbbVie UAB </w:t>
            </w:r>
          </w:p>
          <w:p w:rsidR="00235869" w:rsidRPr="00BD646C" w:rsidP="001F79B0" w14:paraId="6B1CDB94" w14:textId="77777777">
            <w:pPr>
              <w:rPr>
                <w:bCs/>
                <w:sz w:val="22"/>
                <w:szCs w:val="22"/>
                <w:lang w:val="lv-LV"/>
              </w:rPr>
            </w:pPr>
            <w:r w:rsidRPr="00BD646C">
              <w:rPr>
                <w:bCs/>
                <w:sz w:val="22"/>
                <w:szCs w:val="22"/>
                <w:lang w:val="lv-LV"/>
              </w:rPr>
              <w:t>Tel: +370 5 205 3023</w:t>
            </w:r>
          </w:p>
        </w:tc>
      </w:tr>
      <w:tr w14:paraId="372B6310" w14:textId="77777777" w:rsidTr="001F79B0">
        <w:tblPrEx>
          <w:tblW w:w="9356" w:type="dxa"/>
          <w:tblInd w:w="-34" w:type="dxa"/>
          <w:tblLayout w:type="fixed"/>
          <w:tblLook w:val="0000"/>
        </w:tblPrEx>
        <w:tc>
          <w:tcPr>
            <w:tcW w:w="4644" w:type="dxa"/>
            <w:gridSpan w:val="2"/>
          </w:tcPr>
          <w:p w:rsidR="00235869" w:rsidRPr="00BD646C" w:rsidP="001F79B0" w14:paraId="791E68F2" w14:textId="77777777">
            <w:pPr>
              <w:rPr>
                <w:b/>
                <w:bCs/>
                <w:sz w:val="22"/>
                <w:szCs w:val="22"/>
                <w:lang w:val="bg-BG"/>
              </w:rPr>
            </w:pPr>
            <w:r w:rsidRPr="00BD646C">
              <w:rPr>
                <w:b/>
                <w:bCs/>
                <w:sz w:val="22"/>
                <w:szCs w:val="22"/>
                <w:lang w:val="bg-BG"/>
              </w:rPr>
              <w:t>България</w:t>
            </w:r>
          </w:p>
          <w:p w:rsidR="00235869" w:rsidRPr="00BD646C" w:rsidP="001F79B0" w14:paraId="1EACFF75" w14:textId="77777777">
            <w:pPr>
              <w:rPr>
                <w:sz w:val="22"/>
                <w:szCs w:val="22"/>
                <w:lang w:val="da-DK"/>
              </w:rPr>
            </w:pPr>
            <w:r w:rsidRPr="00BD646C">
              <w:rPr>
                <w:sz w:val="22"/>
                <w:szCs w:val="22"/>
                <w:lang w:val="sk-SK"/>
              </w:rPr>
              <w:t>АбВи ЕООД</w:t>
            </w:r>
          </w:p>
          <w:p w:rsidR="00235869" w:rsidRPr="00BD646C" w:rsidP="001F79B0" w14:paraId="6DD0E293" w14:textId="77777777">
            <w:pPr>
              <w:rPr>
                <w:bCs/>
                <w:sz w:val="22"/>
                <w:szCs w:val="22"/>
                <w:lang w:val="da-DK"/>
              </w:rPr>
            </w:pPr>
            <w:r w:rsidRPr="00BD646C">
              <w:rPr>
                <w:sz w:val="22"/>
                <w:szCs w:val="22"/>
                <w:lang w:val="sk-SK"/>
              </w:rPr>
              <w:t>Тел</w:t>
            </w:r>
            <w:r w:rsidRPr="00BD646C">
              <w:rPr>
                <w:sz w:val="22"/>
                <w:szCs w:val="22"/>
              </w:rPr>
              <w:t>.:+359 2 90 30 430</w:t>
            </w:r>
          </w:p>
        </w:tc>
        <w:tc>
          <w:tcPr>
            <w:tcW w:w="4678" w:type="dxa"/>
            <w:gridSpan w:val="2"/>
          </w:tcPr>
          <w:p w:rsidR="00235869" w:rsidRPr="00BD646C" w:rsidP="001F79B0" w14:paraId="01910EA7" w14:textId="77777777">
            <w:pPr>
              <w:rPr>
                <w:b/>
                <w:bCs/>
                <w:sz w:val="22"/>
                <w:szCs w:val="22"/>
                <w:lang w:val="de-DE"/>
              </w:rPr>
            </w:pPr>
            <w:r w:rsidRPr="00BD646C">
              <w:rPr>
                <w:b/>
                <w:bCs/>
                <w:sz w:val="22"/>
                <w:szCs w:val="22"/>
                <w:lang w:val="de-DE"/>
              </w:rPr>
              <w:t>Luxembourg/Luxemburg</w:t>
            </w:r>
          </w:p>
          <w:p w:rsidR="00235869" w:rsidRPr="00BD646C" w:rsidP="001F79B0" w14:paraId="34EBC9DA" w14:textId="77777777">
            <w:pPr>
              <w:rPr>
                <w:bCs/>
                <w:sz w:val="22"/>
                <w:szCs w:val="22"/>
                <w:lang w:val="de-DE"/>
              </w:rPr>
            </w:pPr>
            <w:r w:rsidRPr="00BD646C">
              <w:rPr>
                <w:bCs/>
                <w:sz w:val="22"/>
                <w:szCs w:val="22"/>
                <w:lang w:val="de-DE"/>
              </w:rPr>
              <w:t>AbbVie SA</w:t>
            </w:r>
          </w:p>
          <w:p w:rsidR="00235869" w:rsidRPr="00BD646C" w:rsidP="001F79B0" w14:paraId="54AB77FA" w14:textId="77777777">
            <w:pPr>
              <w:rPr>
                <w:bCs/>
                <w:sz w:val="22"/>
                <w:szCs w:val="22"/>
                <w:lang w:val="de-DE"/>
              </w:rPr>
            </w:pPr>
            <w:r w:rsidRPr="00BD646C">
              <w:rPr>
                <w:bCs/>
                <w:sz w:val="22"/>
                <w:szCs w:val="22"/>
                <w:lang w:val="de-DE"/>
              </w:rPr>
              <w:t>Belgique/Belgien</w:t>
            </w:r>
          </w:p>
          <w:p w:rsidR="00235869" w:rsidRPr="00BD646C" w:rsidP="001F79B0" w14:paraId="5126979C" w14:textId="77777777">
            <w:pPr>
              <w:rPr>
                <w:bCs/>
                <w:sz w:val="22"/>
                <w:szCs w:val="22"/>
                <w:lang w:val="fr-FR"/>
              </w:rPr>
            </w:pPr>
            <w:r w:rsidRPr="00BD646C">
              <w:rPr>
                <w:bCs/>
                <w:sz w:val="22"/>
                <w:szCs w:val="22"/>
                <w:lang w:val="fr-FR"/>
              </w:rPr>
              <w:t>Tél/</w:t>
            </w:r>
            <w:r w:rsidRPr="00BD646C">
              <w:rPr>
                <w:bCs/>
                <w:sz w:val="22"/>
                <w:szCs w:val="22"/>
                <w:lang w:val="fr-FR"/>
              </w:rPr>
              <w:t>Tel:</w:t>
            </w:r>
            <w:r w:rsidRPr="00BD646C">
              <w:rPr>
                <w:bCs/>
                <w:sz w:val="22"/>
                <w:szCs w:val="22"/>
                <w:lang w:val="fr-FR"/>
              </w:rPr>
              <w:t xml:space="preserve"> +32 10 477811</w:t>
            </w:r>
          </w:p>
          <w:p w:rsidR="00235869" w:rsidRPr="00BD646C" w:rsidP="001F79B0" w14:paraId="50931F7A" w14:textId="77777777">
            <w:pPr>
              <w:rPr>
                <w:bCs/>
                <w:sz w:val="22"/>
                <w:szCs w:val="22"/>
                <w:lang w:val="fr-FR"/>
              </w:rPr>
            </w:pPr>
          </w:p>
        </w:tc>
      </w:tr>
      <w:tr w14:paraId="1254ACA8" w14:textId="77777777" w:rsidTr="001F79B0">
        <w:tblPrEx>
          <w:tblW w:w="9356" w:type="dxa"/>
          <w:tblInd w:w="-34" w:type="dxa"/>
          <w:tblLayout w:type="fixed"/>
          <w:tblLook w:val="0000"/>
        </w:tblPrEx>
        <w:tc>
          <w:tcPr>
            <w:tcW w:w="4644" w:type="dxa"/>
            <w:gridSpan w:val="2"/>
          </w:tcPr>
          <w:p w:rsidR="00235869" w:rsidRPr="00BD646C" w:rsidP="001F79B0" w14:paraId="16842B31" w14:textId="77777777">
            <w:pPr>
              <w:rPr>
                <w:b/>
                <w:bCs/>
                <w:sz w:val="22"/>
                <w:szCs w:val="22"/>
                <w:lang w:val="sk-SK"/>
              </w:rPr>
            </w:pPr>
            <w:r w:rsidRPr="00BD646C">
              <w:rPr>
                <w:b/>
                <w:bCs/>
                <w:sz w:val="22"/>
                <w:szCs w:val="22"/>
                <w:lang w:val="sk-SK"/>
              </w:rPr>
              <w:t>Česká republika</w:t>
            </w:r>
          </w:p>
          <w:p w:rsidR="00235869" w:rsidRPr="00BD646C" w:rsidP="001F79B0" w14:paraId="6779AA20" w14:textId="77777777">
            <w:pPr>
              <w:rPr>
                <w:bCs/>
                <w:sz w:val="22"/>
                <w:szCs w:val="22"/>
                <w:lang w:val="sk-SK"/>
              </w:rPr>
            </w:pPr>
            <w:r w:rsidRPr="00BD646C">
              <w:rPr>
                <w:bCs/>
                <w:sz w:val="22"/>
                <w:szCs w:val="22"/>
                <w:lang w:val="sk-SK"/>
              </w:rPr>
              <w:t xml:space="preserve">AbbVie s.r.o. </w:t>
            </w:r>
          </w:p>
          <w:p w:rsidR="00235869" w:rsidRPr="00BD646C" w:rsidP="001F79B0" w14:paraId="418077B9" w14:textId="77777777">
            <w:pPr>
              <w:rPr>
                <w:bCs/>
                <w:sz w:val="22"/>
                <w:szCs w:val="22"/>
                <w:lang w:val="sk-SK"/>
              </w:rPr>
            </w:pPr>
            <w:r w:rsidRPr="00BD646C">
              <w:rPr>
                <w:bCs/>
                <w:sz w:val="22"/>
                <w:szCs w:val="22"/>
                <w:lang w:val="sk-SK"/>
              </w:rPr>
              <w:t>Tel: +420 233 098 111</w:t>
            </w:r>
          </w:p>
        </w:tc>
        <w:tc>
          <w:tcPr>
            <w:tcW w:w="4678" w:type="dxa"/>
            <w:gridSpan w:val="2"/>
          </w:tcPr>
          <w:p w:rsidR="00235869" w:rsidRPr="00BD646C" w:rsidP="001F79B0" w14:paraId="787DD5D6" w14:textId="77777777">
            <w:pPr>
              <w:rPr>
                <w:b/>
                <w:bCs/>
                <w:sz w:val="22"/>
                <w:szCs w:val="22"/>
                <w:lang w:val="hu-HU"/>
              </w:rPr>
            </w:pPr>
            <w:r w:rsidRPr="00BD646C">
              <w:rPr>
                <w:b/>
                <w:bCs/>
                <w:sz w:val="22"/>
                <w:szCs w:val="22"/>
                <w:lang w:val="hu-HU"/>
              </w:rPr>
              <w:t>Magyarország</w:t>
            </w:r>
          </w:p>
          <w:p w:rsidR="00235869" w:rsidRPr="00BD646C" w:rsidP="001F79B0" w14:paraId="0E816696" w14:textId="77777777">
            <w:pPr>
              <w:rPr>
                <w:bCs/>
                <w:sz w:val="22"/>
                <w:szCs w:val="22"/>
                <w:lang w:val="hu-HU"/>
              </w:rPr>
            </w:pPr>
            <w:r w:rsidRPr="00BD646C">
              <w:rPr>
                <w:bCs/>
                <w:sz w:val="22"/>
                <w:szCs w:val="22"/>
                <w:lang w:val="hu-HU"/>
              </w:rPr>
              <w:t>AbbVie Kft.</w:t>
            </w:r>
          </w:p>
          <w:p w:rsidR="00235869" w:rsidRPr="00BD646C" w:rsidP="001F79B0" w14:paraId="15493514" w14:textId="77777777">
            <w:pPr>
              <w:rPr>
                <w:bCs/>
                <w:sz w:val="22"/>
                <w:szCs w:val="22"/>
                <w:lang w:val="hu-HU"/>
              </w:rPr>
            </w:pPr>
            <w:r w:rsidRPr="00BD646C">
              <w:rPr>
                <w:bCs/>
                <w:sz w:val="22"/>
                <w:szCs w:val="22"/>
                <w:lang w:val="hu-HU"/>
              </w:rPr>
              <w:t>Tel.:+36 1 455 8600</w:t>
            </w:r>
          </w:p>
          <w:p w:rsidR="00235869" w:rsidRPr="00BD646C" w:rsidP="001F79B0" w14:paraId="3485F6AA" w14:textId="77777777">
            <w:pPr>
              <w:rPr>
                <w:bCs/>
                <w:sz w:val="22"/>
                <w:szCs w:val="22"/>
                <w:lang w:val="hu-HU"/>
              </w:rPr>
            </w:pPr>
          </w:p>
        </w:tc>
      </w:tr>
      <w:tr w14:paraId="68682EDC" w14:textId="77777777" w:rsidTr="001F79B0">
        <w:tblPrEx>
          <w:tblW w:w="9356" w:type="dxa"/>
          <w:tblInd w:w="-34" w:type="dxa"/>
          <w:tblLayout w:type="fixed"/>
          <w:tblLook w:val="0000"/>
        </w:tblPrEx>
        <w:trPr>
          <w:trHeight w:val="737"/>
        </w:trPr>
        <w:tc>
          <w:tcPr>
            <w:tcW w:w="4644" w:type="dxa"/>
            <w:gridSpan w:val="2"/>
          </w:tcPr>
          <w:p w:rsidR="00235869" w:rsidRPr="00BD646C" w:rsidP="001F79B0" w14:paraId="557054CA" w14:textId="77777777">
            <w:pPr>
              <w:rPr>
                <w:b/>
                <w:bCs/>
                <w:sz w:val="22"/>
                <w:szCs w:val="22"/>
                <w:lang w:val="en-US"/>
              </w:rPr>
            </w:pPr>
            <w:r w:rsidRPr="00BD646C">
              <w:rPr>
                <w:b/>
                <w:bCs/>
                <w:sz w:val="22"/>
                <w:szCs w:val="22"/>
                <w:lang w:val="en-US"/>
              </w:rPr>
              <w:t>Danmark</w:t>
            </w:r>
          </w:p>
          <w:p w:rsidR="00235869" w:rsidRPr="00BD646C" w:rsidP="001F79B0" w14:paraId="5171A638" w14:textId="77777777">
            <w:pPr>
              <w:rPr>
                <w:bCs/>
                <w:sz w:val="22"/>
                <w:szCs w:val="22"/>
                <w:lang w:val="en-US"/>
              </w:rPr>
            </w:pPr>
            <w:r w:rsidRPr="00BD646C">
              <w:rPr>
                <w:bCs/>
                <w:sz w:val="22"/>
                <w:szCs w:val="22"/>
                <w:lang w:val="en-US"/>
              </w:rPr>
              <w:t>AbbVie A/S</w:t>
            </w:r>
          </w:p>
          <w:p w:rsidR="00235869" w:rsidRPr="00BD646C" w:rsidP="001F79B0" w14:paraId="10028E36" w14:textId="77777777">
            <w:pPr>
              <w:rPr>
                <w:bCs/>
                <w:sz w:val="22"/>
                <w:szCs w:val="22"/>
                <w:lang w:val="sk-SK"/>
              </w:rPr>
            </w:pPr>
            <w:r w:rsidRPr="00BD646C">
              <w:rPr>
                <w:bCs/>
                <w:sz w:val="22"/>
                <w:szCs w:val="22"/>
                <w:lang w:val="en-US"/>
              </w:rPr>
              <w:t>Tlf</w:t>
            </w:r>
            <w:ins w:id="20003" w:author="AbbVie14" w:date="2025-05-09T11:18:00Z">
              <w:r w:rsidR="00703B41">
                <w:rPr>
                  <w:bCs/>
                  <w:sz w:val="22"/>
                  <w:szCs w:val="22"/>
                  <w:lang w:val="en-US"/>
                </w:rPr>
                <w:t>.</w:t>
              </w:r>
            </w:ins>
            <w:r w:rsidRPr="00BD646C">
              <w:rPr>
                <w:bCs/>
                <w:sz w:val="22"/>
                <w:szCs w:val="22"/>
                <w:lang w:val="en-US"/>
              </w:rPr>
              <w:t>: +45 72 30-20-28</w:t>
            </w:r>
          </w:p>
        </w:tc>
        <w:tc>
          <w:tcPr>
            <w:tcW w:w="4678" w:type="dxa"/>
            <w:gridSpan w:val="2"/>
          </w:tcPr>
          <w:p w:rsidR="00235869" w:rsidRPr="00BD646C" w:rsidP="001F79B0" w14:paraId="4D165541" w14:textId="77777777">
            <w:pPr>
              <w:rPr>
                <w:b/>
                <w:bCs/>
                <w:sz w:val="22"/>
                <w:szCs w:val="22"/>
                <w:lang w:val="mt-MT"/>
              </w:rPr>
            </w:pPr>
            <w:r w:rsidRPr="00BD646C">
              <w:rPr>
                <w:b/>
                <w:bCs/>
                <w:sz w:val="22"/>
                <w:szCs w:val="22"/>
                <w:lang w:val="mt-MT"/>
              </w:rPr>
              <w:t>Malta</w:t>
            </w:r>
          </w:p>
          <w:p w:rsidR="00235869" w:rsidRPr="00BD646C" w:rsidP="001F79B0" w14:paraId="6CD17BD2" w14:textId="77777777">
            <w:pPr>
              <w:rPr>
                <w:bCs/>
                <w:sz w:val="22"/>
                <w:szCs w:val="22"/>
                <w:lang w:val="sk-SK"/>
              </w:rPr>
            </w:pPr>
            <w:r w:rsidRPr="00BD646C">
              <w:rPr>
                <w:bCs/>
                <w:sz w:val="22"/>
                <w:szCs w:val="22"/>
                <w:lang w:val="sk-SK"/>
              </w:rPr>
              <w:t xml:space="preserve">V.J.Salomone Pharma Limited </w:t>
            </w:r>
          </w:p>
          <w:p w:rsidR="00235869" w:rsidRPr="00BD646C" w:rsidP="001F79B0" w14:paraId="3B8825FE" w14:textId="77777777">
            <w:pPr>
              <w:rPr>
                <w:bCs/>
                <w:sz w:val="22"/>
                <w:szCs w:val="22"/>
                <w:lang w:val="sk-SK"/>
              </w:rPr>
            </w:pPr>
            <w:r w:rsidRPr="00BD646C">
              <w:rPr>
                <w:bCs/>
                <w:sz w:val="22"/>
                <w:szCs w:val="22"/>
                <w:lang w:val="sk-SK"/>
              </w:rPr>
              <w:t xml:space="preserve">Tel: </w:t>
            </w:r>
            <w:r w:rsidRPr="00455317">
              <w:rPr>
                <w:bCs/>
                <w:sz w:val="22"/>
                <w:szCs w:val="22"/>
                <w:lang w:val="en-GB"/>
              </w:rPr>
              <w:t>+356 21220174</w:t>
            </w:r>
          </w:p>
          <w:p w:rsidR="00235869" w:rsidRPr="00BD646C" w:rsidP="001F79B0" w14:paraId="7126611B" w14:textId="77777777">
            <w:pPr>
              <w:rPr>
                <w:bCs/>
                <w:sz w:val="22"/>
                <w:szCs w:val="22"/>
                <w:lang w:val="sk-SK"/>
              </w:rPr>
            </w:pPr>
          </w:p>
        </w:tc>
      </w:tr>
      <w:tr w14:paraId="31689009" w14:textId="77777777" w:rsidTr="001F79B0">
        <w:tblPrEx>
          <w:tblW w:w="9356" w:type="dxa"/>
          <w:tblInd w:w="-34" w:type="dxa"/>
          <w:tblLayout w:type="fixed"/>
          <w:tblLook w:val="0000"/>
        </w:tblPrEx>
        <w:tc>
          <w:tcPr>
            <w:tcW w:w="4644" w:type="dxa"/>
            <w:gridSpan w:val="2"/>
          </w:tcPr>
          <w:p w:rsidR="00235869" w:rsidRPr="00BD646C" w:rsidP="001F79B0" w14:paraId="7FDA970B" w14:textId="77777777">
            <w:pPr>
              <w:rPr>
                <w:b/>
                <w:bCs/>
                <w:sz w:val="22"/>
                <w:szCs w:val="22"/>
                <w:lang w:val="de-DE"/>
              </w:rPr>
            </w:pPr>
            <w:r w:rsidRPr="00BD646C">
              <w:rPr>
                <w:b/>
                <w:bCs/>
                <w:sz w:val="22"/>
                <w:szCs w:val="22"/>
                <w:lang w:val="de-DE"/>
              </w:rPr>
              <w:t>Deutschland</w:t>
            </w:r>
          </w:p>
          <w:p w:rsidR="00235869" w:rsidRPr="00BD646C" w:rsidP="001F79B0" w14:paraId="7FE17B20" w14:textId="77777777">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rsidR="00235869" w:rsidRPr="00BD646C" w:rsidP="001F79B0" w14:paraId="083D7DD4" w14:textId="77777777">
            <w:pPr>
              <w:rPr>
                <w:sz w:val="22"/>
                <w:szCs w:val="22"/>
                <w:lang w:val="de-DE"/>
              </w:rPr>
            </w:pPr>
            <w:r w:rsidRPr="00BD646C">
              <w:rPr>
                <w:sz w:val="22"/>
                <w:szCs w:val="22"/>
                <w:lang w:val="de-DE"/>
              </w:rPr>
              <w:t>Tel: 00800 222843 33 (gebührenfrei)</w:t>
            </w:r>
          </w:p>
          <w:p w:rsidR="00235869" w:rsidRPr="00BD646C" w:rsidP="001F79B0" w14:paraId="3A10E397" w14:textId="77777777">
            <w:pPr>
              <w:rPr>
                <w:sz w:val="22"/>
                <w:szCs w:val="22"/>
                <w:lang w:val="de-DE"/>
              </w:rPr>
            </w:pPr>
            <w:r w:rsidRPr="00BD646C">
              <w:rPr>
                <w:sz w:val="22"/>
                <w:szCs w:val="22"/>
                <w:lang w:val="de-DE"/>
              </w:rPr>
              <w:t>Tel: +49 (0) 611 / 1720-0</w:t>
            </w:r>
          </w:p>
          <w:p w:rsidR="00235869" w:rsidRPr="00BD646C" w:rsidP="001F79B0" w14:paraId="34F7ECD3" w14:textId="77777777">
            <w:pPr>
              <w:rPr>
                <w:sz w:val="22"/>
                <w:szCs w:val="22"/>
                <w:lang w:val="de-DE"/>
              </w:rPr>
            </w:pPr>
          </w:p>
        </w:tc>
        <w:tc>
          <w:tcPr>
            <w:tcW w:w="4678" w:type="dxa"/>
            <w:gridSpan w:val="2"/>
          </w:tcPr>
          <w:p w:rsidR="00235869" w:rsidRPr="00BD646C" w:rsidP="001F79B0" w14:paraId="264533BE" w14:textId="77777777">
            <w:pPr>
              <w:rPr>
                <w:b/>
                <w:bCs/>
                <w:sz w:val="22"/>
                <w:szCs w:val="22"/>
                <w:lang w:val="nl-NL"/>
              </w:rPr>
            </w:pPr>
            <w:r w:rsidRPr="00BD646C">
              <w:rPr>
                <w:b/>
                <w:bCs/>
                <w:sz w:val="22"/>
                <w:szCs w:val="22"/>
                <w:lang w:val="nl-NL"/>
              </w:rPr>
              <w:t>Nederland</w:t>
            </w:r>
          </w:p>
          <w:p w:rsidR="00235869" w:rsidRPr="00BD646C" w:rsidP="001F79B0" w14:paraId="47DED8BD" w14:textId="77777777">
            <w:pPr>
              <w:rPr>
                <w:bCs/>
                <w:sz w:val="22"/>
                <w:szCs w:val="22"/>
                <w:lang w:val="de-DE"/>
              </w:rPr>
            </w:pPr>
            <w:r w:rsidRPr="00BD646C">
              <w:rPr>
                <w:bCs/>
                <w:sz w:val="22"/>
                <w:szCs w:val="22"/>
                <w:lang w:val="de-DE"/>
              </w:rPr>
              <w:t>AbbVie B.V.</w:t>
            </w:r>
          </w:p>
          <w:p w:rsidR="00235869" w:rsidRPr="00BD646C" w:rsidP="001F79B0" w14:paraId="4B2DA6E6" w14:textId="77777777">
            <w:pPr>
              <w:rPr>
                <w:bCs/>
                <w:sz w:val="22"/>
                <w:szCs w:val="22"/>
                <w:lang w:val="de-DE"/>
              </w:rPr>
            </w:pPr>
            <w:r w:rsidRPr="00BD646C">
              <w:rPr>
                <w:bCs/>
                <w:sz w:val="22"/>
                <w:szCs w:val="22"/>
                <w:lang w:val="de-DE"/>
              </w:rPr>
              <w:t>Tel: +31 (0)88 322 2843</w:t>
            </w:r>
          </w:p>
        </w:tc>
      </w:tr>
      <w:tr w14:paraId="2F1F0A31" w14:textId="77777777" w:rsidTr="001F79B0">
        <w:tblPrEx>
          <w:tblW w:w="9356" w:type="dxa"/>
          <w:tblInd w:w="-34" w:type="dxa"/>
          <w:tblLayout w:type="fixed"/>
          <w:tblLook w:val="0000"/>
        </w:tblPrEx>
        <w:tc>
          <w:tcPr>
            <w:tcW w:w="4644" w:type="dxa"/>
            <w:gridSpan w:val="2"/>
          </w:tcPr>
          <w:p w:rsidR="00235869" w:rsidRPr="00BD646C" w:rsidP="001F79B0" w14:paraId="136A71E1" w14:textId="77777777">
            <w:pPr>
              <w:rPr>
                <w:b/>
                <w:bCs/>
                <w:sz w:val="22"/>
                <w:szCs w:val="22"/>
                <w:lang w:val="et-EE"/>
              </w:rPr>
            </w:pPr>
            <w:r w:rsidRPr="00BD646C">
              <w:rPr>
                <w:b/>
                <w:bCs/>
                <w:sz w:val="22"/>
                <w:szCs w:val="22"/>
                <w:lang w:val="et-EE"/>
              </w:rPr>
              <w:t>Eesti</w:t>
            </w:r>
          </w:p>
          <w:p w:rsidR="00235869" w:rsidRPr="00BD646C" w:rsidP="001F79B0" w14:paraId="759F7896" w14:textId="77777777">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rsidR="00235869" w:rsidRPr="00BD646C" w:rsidP="001F79B0" w14:paraId="01E20703" w14:textId="77777777">
            <w:pPr>
              <w:rPr>
                <w:bCs/>
                <w:sz w:val="22"/>
                <w:szCs w:val="22"/>
                <w:lang w:val="lv-LV"/>
              </w:rPr>
            </w:pPr>
            <w:r w:rsidRPr="00BD646C">
              <w:rPr>
                <w:bCs/>
                <w:sz w:val="22"/>
                <w:szCs w:val="22"/>
                <w:lang w:val="et-EE"/>
              </w:rPr>
              <w:t>Tel: +372 623 1011</w:t>
            </w:r>
          </w:p>
        </w:tc>
        <w:tc>
          <w:tcPr>
            <w:tcW w:w="4678" w:type="dxa"/>
            <w:gridSpan w:val="2"/>
          </w:tcPr>
          <w:p w:rsidR="00235869" w:rsidRPr="00BD646C" w:rsidP="001F79B0" w14:paraId="57339C96" w14:textId="77777777">
            <w:pPr>
              <w:rPr>
                <w:b/>
                <w:bCs/>
                <w:sz w:val="22"/>
                <w:szCs w:val="22"/>
                <w:lang w:val="nb-NO"/>
              </w:rPr>
            </w:pPr>
            <w:r w:rsidRPr="00BD646C">
              <w:rPr>
                <w:b/>
                <w:bCs/>
                <w:sz w:val="22"/>
                <w:szCs w:val="22"/>
                <w:lang w:val="nb-NO"/>
              </w:rPr>
              <w:t>Norge</w:t>
            </w:r>
          </w:p>
          <w:p w:rsidR="00235869" w:rsidRPr="00BD646C" w:rsidP="001F79B0" w14:paraId="720AFD8F" w14:textId="77777777">
            <w:pPr>
              <w:rPr>
                <w:bCs/>
                <w:sz w:val="22"/>
                <w:szCs w:val="22"/>
                <w:lang w:val="sk-SK"/>
              </w:rPr>
            </w:pPr>
            <w:r w:rsidRPr="00BD646C">
              <w:rPr>
                <w:bCs/>
                <w:sz w:val="22"/>
                <w:szCs w:val="22"/>
                <w:lang w:val="sk-SK"/>
              </w:rPr>
              <w:t>AbbVie AS</w:t>
            </w:r>
          </w:p>
          <w:p w:rsidR="00235869" w:rsidRPr="00BD646C" w:rsidP="001F79B0" w14:paraId="2AAE4A57" w14:textId="77777777">
            <w:pPr>
              <w:rPr>
                <w:bCs/>
                <w:sz w:val="22"/>
                <w:szCs w:val="22"/>
                <w:lang w:val="sk-SK"/>
              </w:rPr>
            </w:pPr>
            <w:r w:rsidRPr="00BD646C">
              <w:rPr>
                <w:bCs/>
                <w:sz w:val="22"/>
                <w:szCs w:val="22"/>
                <w:lang w:val="sk-SK"/>
              </w:rPr>
              <w:t>Tlf: +47 67 81 80 00</w:t>
            </w:r>
          </w:p>
          <w:p w:rsidR="00235869" w:rsidRPr="00BD646C" w:rsidP="001F79B0" w14:paraId="7B66BAF4" w14:textId="77777777">
            <w:pPr>
              <w:rPr>
                <w:bCs/>
                <w:sz w:val="22"/>
                <w:szCs w:val="22"/>
                <w:lang w:val="sk-SK"/>
              </w:rPr>
            </w:pPr>
          </w:p>
        </w:tc>
      </w:tr>
      <w:tr w14:paraId="61D9F4A0" w14:textId="77777777" w:rsidTr="001F79B0">
        <w:tblPrEx>
          <w:tblW w:w="9356" w:type="dxa"/>
          <w:tblInd w:w="-34" w:type="dxa"/>
          <w:tblLayout w:type="fixed"/>
          <w:tblLook w:val="0000"/>
        </w:tblPrEx>
        <w:trPr>
          <w:trHeight w:val="794"/>
        </w:trPr>
        <w:tc>
          <w:tcPr>
            <w:tcW w:w="4644" w:type="dxa"/>
            <w:gridSpan w:val="2"/>
          </w:tcPr>
          <w:p w:rsidR="00235869" w:rsidRPr="00BD646C" w:rsidP="001F79B0" w14:paraId="54D6D4D6" w14:textId="77777777">
            <w:pPr>
              <w:rPr>
                <w:b/>
                <w:bCs/>
                <w:sz w:val="22"/>
                <w:szCs w:val="22"/>
                <w:lang w:val="el-GR"/>
              </w:rPr>
            </w:pPr>
            <w:r w:rsidRPr="00BD646C">
              <w:rPr>
                <w:b/>
                <w:bCs/>
                <w:sz w:val="22"/>
                <w:szCs w:val="22"/>
                <w:lang w:val="el-GR"/>
              </w:rPr>
              <w:t>Ελλάδα</w:t>
            </w:r>
          </w:p>
          <w:p w:rsidR="00235869" w:rsidRPr="00BD646C" w:rsidP="001F79B0" w14:paraId="50B00A2E" w14:textId="77777777">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rsidR="00235869" w:rsidRPr="00BD646C" w:rsidP="001F79B0" w14:paraId="0C836AE5" w14:textId="77777777">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rsidR="00235869" w:rsidRPr="00BD646C" w:rsidP="001F79B0" w14:paraId="28A8810D" w14:textId="77777777">
            <w:pPr>
              <w:rPr>
                <w:b/>
                <w:bCs/>
                <w:sz w:val="22"/>
                <w:szCs w:val="22"/>
                <w:lang w:val="de-DE"/>
              </w:rPr>
            </w:pPr>
            <w:r w:rsidRPr="00BD646C">
              <w:rPr>
                <w:b/>
                <w:bCs/>
                <w:sz w:val="22"/>
                <w:szCs w:val="22"/>
                <w:lang w:val="de-DE"/>
              </w:rPr>
              <w:t>Österreich</w:t>
            </w:r>
          </w:p>
          <w:p w:rsidR="00235869" w:rsidRPr="00BD646C" w:rsidP="001F79B0" w14:paraId="636B897E" w14:textId="77777777">
            <w:pPr>
              <w:rPr>
                <w:bCs/>
                <w:sz w:val="22"/>
                <w:szCs w:val="22"/>
                <w:lang w:val="de-DE"/>
              </w:rPr>
            </w:pPr>
            <w:r w:rsidRPr="00BD646C">
              <w:rPr>
                <w:bCs/>
                <w:sz w:val="22"/>
                <w:szCs w:val="22"/>
                <w:lang w:val="de-DE"/>
              </w:rPr>
              <w:t xml:space="preserve">AbbVie GmbH </w:t>
            </w:r>
          </w:p>
          <w:p w:rsidR="00235869" w:rsidRPr="00BD646C" w:rsidP="001F79B0" w14:paraId="2F868256" w14:textId="77777777">
            <w:pPr>
              <w:rPr>
                <w:bCs/>
                <w:sz w:val="22"/>
                <w:szCs w:val="22"/>
                <w:lang w:val="de-DE"/>
              </w:rPr>
            </w:pPr>
            <w:r w:rsidRPr="00BD646C">
              <w:rPr>
                <w:bCs/>
                <w:sz w:val="22"/>
                <w:szCs w:val="22"/>
                <w:lang w:val="de-DE"/>
              </w:rPr>
              <w:t>Tel: +43 1 20589-0</w:t>
            </w:r>
          </w:p>
          <w:p w:rsidR="00235869" w:rsidRPr="00BD646C" w:rsidP="001F79B0" w14:paraId="5642F5BB" w14:textId="77777777">
            <w:pPr>
              <w:rPr>
                <w:bCs/>
                <w:sz w:val="22"/>
                <w:szCs w:val="22"/>
                <w:lang w:val="de-DE"/>
              </w:rPr>
            </w:pPr>
          </w:p>
        </w:tc>
      </w:tr>
      <w:tr w14:paraId="1E251909"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018A9B56" w14:textId="77777777">
            <w:pPr>
              <w:rPr>
                <w:b/>
                <w:bCs/>
                <w:sz w:val="22"/>
                <w:szCs w:val="22"/>
                <w:lang w:val="es-ES"/>
              </w:rPr>
            </w:pPr>
            <w:r w:rsidRPr="00BD646C">
              <w:rPr>
                <w:b/>
                <w:bCs/>
                <w:sz w:val="22"/>
                <w:szCs w:val="22"/>
                <w:lang w:val="es-ES"/>
              </w:rPr>
              <w:t>España</w:t>
            </w:r>
          </w:p>
          <w:p w:rsidR="00235869" w:rsidRPr="00BD646C" w:rsidP="001F79B0" w14:paraId="3D75D35C" w14:textId="77777777">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rsidR="00235869" w:rsidRPr="00BD646C" w:rsidP="001F79B0" w14:paraId="6C3A5533" w14:textId="77777777">
            <w:pPr>
              <w:rPr>
                <w:bCs/>
                <w:sz w:val="22"/>
                <w:szCs w:val="22"/>
                <w:lang w:val="pl-PL"/>
              </w:rPr>
            </w:pPr>
            <w:r w:rsidRPr="00BD646C">
              <w:rPr>
                <w:bCs/>
                <w:sz w:val="22"/>
                <w:szCs w:val="22"/>
                <w:lang w:val="pt-PT"/>
              </w:rPr>
              <w:t>Tel: +34 91 384 09 10</w:t>
            </w:r>
          </w:p>
        </w:tc>
        <w:tc>
          <w:tcPr>
            <w:tcW w:w="4678" w:type="dxa"/>
          </w:tcPr>
          <w:p w:rsidR="00235869" w:rsidRPr="00BD646C" w:rsidP="001F79B0" w14:paraId="14E37699" w14:textId="77777777">
            <w:pPr>
              <w:rPr>
                <w:b/>
                <w:bCs/>
                <w:iCs/>
                <w:sz w:val="22"/>
                <w:szCs w:val="22"/>
                <w:lang w:val="pl-PL"/>
              </w:rPr>
            </w:pPr>
            <w:r w:rsidRPr="00BD646C">
              <w:rPr>
                <w:b/>
                <w:bCs/>
                <w:iCs/>
                <w:sz w:val="22"/>
                <w:szCs w:val="22"/>
                <w:lang w:val="pl-PL"/>
              </w:rPr>
              <w:t>Polska</w:t>
            </w:r>
          </w:p>
          <w:p w:rsidR="00235869" w:rsidRPr="00BD646C" w:rsidP="001F79B0" w14:paraId="754982CD" w14:textId="77777777">
            <w:pPr>
              <w:rPr>
                <w:bCs/>
                <w:sz w:val="22"/>
                <w:szCs w:val="22"/>
                <w:lang w:val="pl-PL"/>
              </w:rPr>
            </w:pPr>
            <w:r w:rsidRPr="00BD646C">
              <w:rPr>
                <w:bCs/>
                <w:sz w:val="22"/>
                <w:szCs w:val="22"/>
                <w:lang w:val="pl-PL"/>
              </w:rPr>
              <w:t>AbbVie Sp. z o.o.</w:t>
            </w:r>
          </w:p>
          <w:p w:rsidR="00235869" w:rsidRPr="00BD646C" w:rsidP="001F79B0" w14:paraId="202BEDA8" w14:textId="77777777">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rsidR="00235869" w:rsidRPr="00BD646C" w:rsidP="001F79B0" w14:paraId="5049112F" w14:textId="77777777">
            <w:pPr>
              <w:rPr>
                <w:bCs/>
                <w:sz w:val="22"/>
                <w:szCs w:val="22"/>
                <w:lang w:val="pl-PL"/>
              </w:rPr>
            </w:pPr>
          </w:p>
        </w:tc>
      </w:tr>
      <w:tr w14:paraId="454BBF62" w14:textId="77777777" w:rsidTr="001F79B0">
        <w:tblPrEx>
          <w:tblW w:w="9356" w:type="dxa"/>
          <w:tblInd w:w="-34" w:type="dxa"/>
          <w:tblLayout w:type="fixed"/>
          <w:tblLook w:val="0000"/>
        </w:tblPrEx>
        <w:trPr>
          <w:trHeight w:val="734"/>
        </w:trPr>
        <w:tc>
          <w:tcPr>
            <w:tcW w:w="4678" w:type="dxa"/>
            <w:gridSpan w:val="3"/>
          </w:tcPr>
          <w:p w:rsidR="00235869" w:rsidRPr="00BD646C" w:rsidP="001F79B0" w14:paraId="103E2366" w14:textId="77777777">
            <w:pPr>
              <w:rPr>
                <w:b/>
                <w:bCs/>
                <w:sz w:val="22"/>
                <w:szCs w:val="22"/>
                <w:lang w:val="fr-FR"/>
              </w:rPr>
            </w:pPr>
            <w:r w:rsidRPr="00BD646C">
              <w:rPr>
                <w:b/>
                <w:bCs/>
                <w:sz w:val="22"/>
                <w:szCs w:val="22"/>
                <w:lang w:val="fr-FR"/>
              </w:rPr>
              <w:t>France</w:t>
            </w:r>
          </w:p>
          <w:p w:rsidR="00235869" w:rsidRPr="00BD646C" w:rsidP="001F79B0" w14:paraId="3AE0AB37" w14:textId="77777777">
            <w:pPr>
              <w:rPr>
                <w:bCs/>
                <w:sz w:val="22"/>
                <w:szCs w:val="22"/>
                <w:lang w:val="fr-FR"/>
              </w:rPr>
            </w:pPr>
            <w:r w:rsidRPr="00BD646C">
              <w:rPr>
                <w:bCs/>
                <w:sz w:val="22"/>
                <w:szCs w:val="22"/>
                <w:lang w:val="fr-FR"/>
              </w:rPr>
              <w:t>AbbVie</w:t>
            </w:r>
          </w:p>
          <w:p w:rsidR="00235869" w:rsidRPr="00BD646C" w:rsidP="001F79B0" w14:paraId="5815286F" w14:textId="77777777">
            <w:pPr>
              <w:rPr>
                <w:bCs/>
                <w:sz w:val="22"/>
                <w:szCs w:val="22"/>
                <w:lang w:val="fr-FR"/>
              </w:rPr>
            </w:pPr>
            <w:r w:rsidRPr="00BD646C">
              <w:rPr>
                <w:bCs/>
                <w:sz w:val="22"/>
                <w:szCs w:val="22"/>
                <w:lang w:val="fr-FR"/>
              </w:rPr>
              <w:t>Tél:</w:t>
            </w:r>
            <w:r w:rsidRPr="00BD646C">
              <w:rPr>
                <w:bCs/>
                <w:sz w:val="22"/>
                <w:szCs w:val="22"/>
                <w:lang w:val="fr-FR"/>
              </w:rPr>
              <w:t xml:space="preserve"> +33 (0) 1 45 60 13 00</w:t>
            </w:r>
          </w:p>
        </w:tc>
        <w:tc>
          <w:tcPr>
            <w:tcW w:w="4678" w:type="dxa"/>
          </w:tcPr>
          <w:p w:rsidR="00235869" w:rsidRPr="00BD646C" w:rsidP="001F79B0" w14:paraId="3EBD00CB" w14:textId="77777777">
            <w:pPr>
              <w:rPr>
                <w:b/>
                <w:bCs/>
                <w:sz w:val="22"/>
                <w:szCs w:val="22"/>
                <w:lang w:val="pt-PT"/>
              </w:rPr>
            </w:pPr>
            <w:r w:rsidRPr="00BD646C">
              <w:rPr>
                <w:b/>
                <w:bCs/>
                <w:sz w:val="22"/>
                <w:szCs w:val="22"/>
                <w:lang w:val="pt-PT"/>
              </w:rPr>
              <w:t>Portugal</w:t>
            </w:r>
          </w:p>
          <w:p w:rsidR="00235869" w:rsidRPr="00BD646C" w:rsidP="001F79B0" w14:paraId="73D436BF" w14:textId="77777777">
            <w:pPr>
              <w:rPr>
                <w:bCs/>
                <w:sz w:val="22"/>
                <w:szCs w:val="22"/>
                <w:lang w:val="fr-FR"/>
              </w:rPr>
            </w:pPr>
            <w:r w:rsidRPr="00BD646C">
              <w:rPr>
                <w:bCs/>
                <w:sz w:val="22"/>
                <w:szCs w:val="22"/>
                <w:lang w:val="fr-FR"/>
              </w:rPr>
              <w:t xml:space="preserve">AbbVie, </w:t>
            </w:r>
            <w:r w:rsidRPr="00BD646C">
              <w:rPr>
                <w:bCs/>
                <w:sz w:val="22"/>
                <w:szCs w:val="22"/>
                <w:lang w:val="fr-FR"/>
              </w:rPr>
              <w:t>Lda</w:t>
            </w:r>
            <w:r w:rsidRPr="00BD646C">
              <w:rPr>
                <w:bCs/>
                <w:sz w:val="22"/>
                <w:szCs w:val="22"/>
                <w:lang w:val="fr-FR"/>
              </w:rPr>
              <w:t xml:space="preserve">. </w:t>
            </w:r>
          </w:p>
          <w:p w:rsidR="00235869" w:rsidRPr="00BD646C" w:rsidP="001F79B0" w14:paraId="2F4536C6" w14:textId="77777777">
            <w:pPr>
              <w:rPr>
                <w:sz w:val="22"/>
                <w:szCs w:val="22"/>
                <w:lang w:val="fr-FR"/>
              </w:rPr>
            </w:pPr>
            <w:r w:rsidRPr="00BD646C">
              <w:rPr>
                <w:sz w:val="22"/>
                <w:szCs w:val="22"/>
                <w:lang w:val="fr-FR"/>
              </w:rPr>
              <w:t>Tel:</w:t>
            </w:r>
            <w:r w:rsidRPr="00BD646C">
              <w:rPr>
                <w:sz w:val="22"/>
                <w:szCs w:val="22"/>
                <w:lang w:val="fr-FR"/>
              </w:rPr>
              <w:t xml:space="preserve"> +351 (0)21 1908400</w:t>
            </w:r>
          </w:p>
          <w:p w:rsidR="00235869" w:rsidRPr="00BD646C" w:rsidP="001F79B0" w14:paraId="0D53074D" w14:textId="77777777">
            <w:pPr>
              <w:rPr>
                <w:sz w:val="22"/>
                <w:szCs w:val="22"/>
                <w:lang w:val="fr-FR"/>
              </w:rPr>
            </w:pPr>
          </w:p>
        </w:tc>
      </w:tr>
      <w:tr w14:paraId="137FDF9F" w14:textId="77777777" w:rsidTr="001F79B0">
        <w:tblPrEx>
          <w:tblW w:w="9356" w:type="dxa"/>
          <w:tblInd w:w="-34" w:type="dxa"/>
          <w:tblLayout w:type="fixed"/>
          <w:tblLook w:val="0000"/>
        </w:tblPrEx>
        <w:trPr>
          <w:gridBefore w:val="1"/>
          <w:wBefore w:w="34" w:type="dxa"/>
        </w:trPr>
        <w:tc>
          <w:tcPr>
            <w:tcW w:w="4644" w:type="dxa"/>
            <w:gridSpan w:val="2"/>
          </w:tcPr>
          <w:p w:rsidR="00235869" w:rsidRPr="00D16F00" w:rsidP="001F79B0" w14:paraId="05F9E51A" w14:textId="77777777">
            <w:pPr>
              <w:rPr>
                <w:sz w:val="22"/>
                <w:szCs w:val="22"/>
              </w:rPr>
            </w:pPr>
            <w:r w:rsidRPr="00D16F00">
              <w:rPr>
                <w:b/>
                <w:bCs/>
                <w:sz w:val="22"/>
                <w:szCs w:val="22"/>
              </w:rPr>
              <w:t xml:space="preserve">Hrvatska </w:t>
            </w:r>
          </w:p>
          <w:p w:rsidR="00235869" w:rsidRPr="00BD646C" w:rsidP="001F79B0" w14:paraId="5ED6C965" w14:textId="77777777">
            <w:pPr>
              <w:rPr>
                <w:sz w:val="22"/>
                <w:szCs w:val="22"/>
                <w:lang w:val="hr-HR"/>
              </w:rPr>
            </w:pPr>
            <w:r w:rsidRPr="00BD646C">
              <w:rPr>
                <w:sz w:val="22"/>
                <w:szCs w:val="22"/>
                <w:lang w:val="hr-HR"/>
              </w:rPr>
              <w:t>AbbVie d.o.o.</w:t>
            </w:r>
          </w:p>
          <w:p w:rsidR="00235869" w:rsidRPr="00BD646C" w:rsidP="001F79B0" w14:paraId="70F9154F" w14:textId="77777777">
            <w:pPr>
              <w:rPr>
                <w:bCs/>
                <w:sz w:val="22"/>
                <w:szCs w:val="22"/>
              </w:rPr>
            </w:pPr>
            <w:r w:rsidRPr="00BD646C">
              <w:rPr>
                <w:sz w:val="22"/>
                <w:szCs w:val="22"/>
                <w:lang w:val="hr-HR"/>
              </w:rPr>
              <w:t xml:space="preserve">Tel + 385 (0)1 </w:t>
            </w:r>
            <w:r w:rsidRPr="00BD646C">
              <w:rPr>
                <w:sz w:val="22"/>
                <w:szCs w:val="22"/>
                <w:lang w:val="en-US"/>
              </w:rPr>
              <w:t>5625 501</w:t>
            </w:r>
          </w:p>
        </w:tc>
        <w:tc>
          <w:tcPr>
            <w:tcW w:w="4678" w:type="dxa"/>
          </w:tcPr>
          <w:p w:rsidR="00235869" w:rsidRPr="00BD646C" w:rsidP="001F79B0" w14:paraId="1EB36DF0" w14:textId="77777777">
            <w:pPr>
              <w:rPr>
                <w:b/>
                <w:bCs/>
                <w:sz w:val="22"/>
                <w:szCs w:val="22"/>
              </w:rPr>
            </w:pPr>
            <w:r w:rsidRPr="00BD646C">
              <w:rPr>
                <w:b/>
                <w:bCs/>
                <w:sz w:val="22"/>
                <w:szCs w:val="22"/>
              </w:rPr>
              <w:t>România</w:t>
            </w:r>
          </w:p>
          <w:p w:rsidR="00235869" w:rsidRPr="00BD646C" w:rsidP="001F79B0" w14:paraId="648D5BF0" w14:textId="77777777">
            <w:pPr>
              <w:rPr>
                <w:sz w:val="22"/>
                <w:szCs w:val="22"/>
              </w:rPr>
            </w:pPr>
            <w:r w:rsidRPr="00BD646C">
              <w:rPr>
                <w:sz w:val="22"/>
                <w:szCs w:val="22"/>
              </w:rPr>
              <w:t>AbbVie S.R.L.</w:t>
            </w:r>
          </w:p>
          <w:p w:rsidR="00235869" w:rsidRPr="00BD646C" w:rsidP="001F79B0" w14:paraId="1E0CF888" w14:textId="77777777">
            <w:pPr>
              <w:rPr>
                <w:sz w:val="22"/>
                <w:szCs w:val="22"/>
                <w:lang w:val="pl-PL"/>
              </w:rPr>
            </w:pPr>
            <w:r w:rsidRPr="00BD646C">
              <w:rPr>
                <w:sz w:val="22"/>
                <w:szCs w:val="22"/>
                <w:lang w:val="pl-PL"/>
              </w:rPr>
              <w:t>Tel: +40 21 529 30 35</w:t>
            </w:r>
          </w:p>
          <w:p w:rsidR="00235869" w:rsidRPr="00BD646C" w:rsidP="001F79B0" w14:paraId="72A733EC" w14:textId="77777777">
            <w:pPr>
              <w:rPr>
                <w:sz w:val="22"/>
                <w:szCs w:val="22"/>
                <w:lang w:val="pl-PL"/>
              </w:rPr>
            </w:pPr>
          </w:p>
        </w:tc>
      </w:tr>
      <w:tr w14:paraId="06F15B3D"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2BB2860B" w14:textId="77777777">
            <w:pPr>
              <w:rPr>
                <w:b/>
                <w:bCs/>
                <w:sz w:val="22"/>
                <w:szCs w:val="22"/>
                <w:lang w:val="sk-SK"/>
              </w:rPr>
            </w:pPr>
            <w:r w:rsidRPr="00BD646C">
              <w:rPr>
                <w:b/>
                <w:bCs/>
                <w:sz w:val="22"/>
                <w:szCs w:val="22"/>
                <w:lang w:val="sk-SK"/>
              </w:rPr>
              <w:t>Ireland</w:t>
            </w:r>
          </w:p>
          <w:p w:rsidR="00235869" w:rsidRPr="00BD646C" w:rsidP="001F79B0" w14:paraId="7ACD1F12" w14:textId="77777777">
            <w:pPr>
              <w:rPr>
                <w:bCs/>
                <w:sz w:val="22"/>
                <w:szCs w:val="22"/>
                <w:lang w:val="sk-SK"/>
              </w:rPr>
            </w:pPr>
            <w:r w:rsidRPr="00BD646C">
              <w:rPr>
                <w:bCs/>
                <w:sz w:val="22"/>
                <w:szCs w:val="22"/>
                <w:lang w:val="sk-SK"/>
              </w:rPr>
              <w:t xml:space="preserve">AbbVie Limited </w:t>
            </w:r>
          </w:p>
          <w:p w:rsidR="00235869" w:rsidRPr="00BD646C" w:rsidP="001F79B0" w14:paraId="2A2DF5E5" w14:textId="77777777">
            <w:pPr>
              <w:rPr>
                <w:bCs/>
                <w:sz w:val="22"/>
                <w:szCs w:val="22"/>
                <w:lang w:val="sk-SK"/>
              </w:rPr>
            </w:pPr>
            <w:r w:rsidRPr="00BD646C">
              <w:rPr>
                <w:bCs/>
                <w:sz w:val="22"/>
                <w:szCs w:val="22"/>
                <w:lang w:val="pt-PT"/>
              </w:rPr>
              <w:t>Tel: +353 (0)1 42879</w:t>
            </w:r>
            <w:r w:rsidR="00FB403F">
              <w:rPr>
                <w:bCs/>
                <w:sz w:val="22"/>
                <w:szCs w:val="22"/>
                <w:lang w:val="pt-PT"/>
              </w:rPr>
              <w:t>0</w:t>
            </w:r>
            <w:r w:rsidRPr="00BD646C">
              <w:rPr>
                <w:bCs/>
                <w:sz w:val="22"/>
                <w:szCs w:val="22"/>
                <w:lang w:val="pt-PT"/>
              </w:rPr>
              <w:t>0</w:t>
            </w:r>
          </w:p>
        </w:tc>
        <w:tc>
          <w:tcPr>
            <w:tcW w:w="4678" w:type="dxa"/>
          </w:tcPr>
          <w:p w:rsidR="00235869" w:rsidRPr="00BD646C" w:rsidP="001F79B0" w14:paraId="403F0B83" w14:textId="77777777">
            <w:pPr>
              <w:rPr>
                <w:b/>
                <w:bCs/>
                <w:sz w:val="22"/>
                <w:szCs w:val="22"/>
                <w:lang w:val="sl-SI"/>
              </w:rPr>
            </w:pPr>
            <w:r w:rsidRPr="00BD646C">
              <w:rPr>
                <w:b/>
                <w:bCs/>
                <w:sz w:val="22"/>
                <w:szCs w:val="22"/>
                <w:lang w:val="sl-SI"/>
              </w:rPr>
              <w:t>Slovenija</w:t>
            </w:r>
          </w:p>
          <w:p w:rsidR="00235869" w:rsidRPr="00BD646C" w:rsidP="001F79B0" w14:paraId="4DA978B4" w14:textId="77777777">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rsidR="00235869" w:rsidRPr="00BD646C" w:rsidP="001F79B0" w14:paraId="7988829B" w14:textId="77777777">
            <w:pPr>
              <w:rPr>
                <w:bCs/>
                <w:sz w:val="22"/>
                <w:szCs w:val="22"/>
                <w:lang w:val="sl-SI"/>
              </w:rPr>
            </w:pPr>
            <w:r w:rsidRPr="00BD646C">
              <w:rPr>
                <w:bCs/>
                <w:sz w:val="22"/>
                <w:szCs w:val="22"/>
                <w:lang w:val="sl-SI"/>
              </w:rPr>
              <w:t>Tel: +386 (1)32 08 060</w:t>
            </w:r>
          </w:p>
          <w:p w:rsidR="00235869" w:rsidRPr="00BD646C" w:rsidP="001F79B0" w14:paraId="05075FC2" w14:textId="77777777">
            <w:pPr>
              <w:rPr>
                <w:bCs/>
                <w:sz w:val="22"/>
                <w:szCs w:val="22"/>
                <w:lang w:val="sl-SI"/>
              </w:rPr>
            </w:pPr>
          </w:p>
        </w:tc>
      </w:tr>
      <w:tr w14:paraId="4B228F32"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7445EAC1" w14:textId="77777777">
            <w:pPr>
              <w:rPr>
                <w:b/>
                <w:bCs/>
                <w:sz w:val="22"/>
                <w:szCs w:val="22"/>
                <w:lang w:val="is-IS"/>
              </w:rPr>
            </w:pPr>
            <w:r w:rsidRPr="00BD646C">
              <w:rPr>
                <w:b/>
                <w:bCs/>
                <w:sz w:val="22"/>
                <w:szCs w:val="22"/>
                <w:lang w:val="is-IS"/>
              </w:rPr>
              <w:t>Ísland</w:t>
            </w:r>
          </w:p>
          <w:p w:rsidR="00235869" w:rsidRPr="00BD646C" w:rsidP="001F79B0" w14:paraId="394BE5C6" w14:textId="77777777">
            <w:pPr>
              <w:rPr>
                <w:bCs/>
                <w:sz w:val="22"/>
                <w:szCs w:val="22"/>
                <w:lang w:val="sk-SK"/>
              </w:rPr>
            </w:pPr>
            <w:r w:rsidRPr="00BD646C">
              <w:rPr>
                <w:bCs/>
                <w:sz w:val="22"/>
                <w:szCs w:val="22"/>
                <w:lang w:val="sk-SK"/>
              </w:rPr>
              <w:t xml:space="preserve">Vistor </w:t>
            </w:r>
            <w:del w:id="20004" w:author="AbbVie14" w:date="2025-05-09T11:18:00Z">
              <w:r w:rsidRPr="00BD646C">
                <w:rPr>
                  <w:bCs/>
                  <w:sz w:val="22"/>
                  <w:szCs w:val="22"/>
                  <w:lang w:val="sk-SK"/>
                </w:rPr>
                <w:delText>hf.</w:delText>
              </w:r>
            </w:del>
          </w:p>
          <w:p w:rsidR="00235869" w:rsidRPr="00BD646C" w:rsidP="001F79B0" w14:paraId="2FBAB9EB" w14:textId="77777777">
            <w:pPr>
              <w:rPr>
                <w:bCs/>
                <w:sz w:val="22"/>
                <w:szCs w:val="22"/>
                <w:lang w:val="sk-SK"/>
              </w:rPr>
            </w:pPr>
            <w:r w:rsidRPr="00BD646C">
              <w:rPr>
                <w:bCs/>
                <w:sz w:val="22"/>
                <w:szCs w:val="22"/>
                <w:lang w:val="sk-SK"/>
              </w:rPr>
              <w:t>Tel: +354 535 7000</w:t>
            </w:r>
          </w:p>
        </w:tc>
        <w:tc>
          <w:tcPr>
            <w:tcW w:w="4678" w:type="dxa"/>
          </w:tcPr>
          <w:p w:rsidR="00235869" w:rsidRPr="00BD646C" w:rsidP="001F79B0" w14:paraId="297B2FCF" w14:textId="77777777">
            <w:pPr>
              <w:rPr>
                <w:b/>
                <w:bCs/>
                <w:sz w:val="22"/>
                <w:szCs w:val="22"/>
                <w:lang w:val="sk-SK"/>
              </w:rPr>
            </w:pPr>
            <w:r w:rsidRPr="00BD646C">
              <w:rPr>
                <w:b/>
                <w:bCs/>
                <w:sz w:val="22"/>
                <w:szCs w:val="22"/>
                <w:lang w:val="sk-SK"/>
              </w:rPr>
              <w:t>Slovenská republika</w:t>
            </w:r>
          </w:p>
          <w:p w:rsidR="00235869" w:rsidRPr="00BD646C" w:rsidP="001F79B0" w14:paraId="75E5DDF4" w14:textId="77777777">
            <w:pPr>
              <w:rPr>
                <w:bCs/>
                <w:sz w:val="22"/>
                <w:szCs w:val="22"/>
                <w:lang w:val="sk-SK"/>
              </w:rPr>
            </w:pPr>
            <w:r w:rsidRPr="00BD646C">
              <w:rPr>
                <w:bCs/>
                <w:sz w:val="22"/>
                <w:szCs w:val="22"/>
                <w:lang w:val="sk-SK"/>
              </w:rPr>
              <w:t>AbbVie s.r.o.</w:t>
            </w:r>
          </w:p>
          <w:p w:rsidR="00235869" w:rsidRPr="00BD646C" w:rsidP="001F79B0" w14:paraId="0E80DDF8" w14:textId="77777777">
            <w:pPr>
              <w:rPr>
                <w:bCs/>
                <w:sz w:val="22"/>
                <w:szCs w:val="22"/>
                <w:lang w:val="sk-SK"/>
              </w:rPr>
            </w:pPr>
            <w:r w:rsidRPr="00BD646C">
              <w:rPr>
                <w:bCs/>
                <w:sz w:val="22"/>
                <w:szCs w:val="22"/>
                <w:lang w:val="sk-SK"/>
              </w:rPr>
              <w:t>Tel: +421 2 5050 0777</w:t>
            </w:r>
          </w:p>
          <w:p w:rsidR="00235869" w:rsidRPr="00BD646C" w:rsidP="001F79B0" w14:paraId="00D01E2F" w14:textId="77777777">
            <w:pPr>
              <w:rPr>
                <w:bCs/>
                <w:sz w:val="22"/>
                <w:szCs w:val="22"/>
                <w:lang w:val="sk-SK"/>
              </w:rPr>
            </w:pPr>
          </w:p>
        </w:tc>
      </w:tr>
      <w:tr w14:paraId="133DF699"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07DC4BC2" w14:textId="77777777">
            <w:pPr>
              <w:rPr>
                <w:b/>
                <w:bCs/>
                <w:sz w:val="22"/>
                <w:szCs w:val="22"/>
              </w:rPr>
            </w:pPr>
            <w:r w:rsidRPr="00BD646C">
              <w:rPr>
                <w:b/>
                <w:bCs/>
                <w:sz w:val="22"/>
                <w:szCs w:val="22"/>
              </w:rPr>
              <w:t>Italia</w:t>
            </w:r>
          </w:p>
          <w:p w:rsidR="00235869" w:rsidRPr="00BD646C" w:rsidP="001F79B0" w14:paraId="29530135" w14:textId="77777777">
            <w:pPr>
              <w:rPr>
                <w:bCs/>
                <w:sz w:val="22"/>
                <w:szCs w:val="22"/>
                <w:lang w:val="pt-PT"/>
              </w:rPr>
            </w:pPr>
            <w:r w:rsidRPr="00BD646C">
              <w:rPr>
                <w:bCs/>
                <w:sz w:val="22"/>
                <w:szCs w:val="22"/>
                <w:lang w:val="pt-PT"/>
              </w:rPr>
              <w:t xml:space="preserve">AbbVie S.r.l. </w:t>
            </w:r>
          </w:p>
          <w:p w:rsidR="00235869" w:rsidRPr="00BD646C" w:rsidP="001F79B0" w14:paraId="70621CC7" w14:textId="77777777">
            <w:pPr>
              <w:rPr>
                <w:bCs/>
                <w:sz w:val="22"/>
                <w:szCs w:val="22"/>
                <w:lang w:val="fi-FI"/>
              </w:rPr>
            </w:pPr>
            <w:r w:rsidRPr="00BD646C">
              <w:rPr>
                <w:bCs/>
                <w:sz w:val="22"/>
                <w:szCs w:val="22"/>
                <w:lang w:val="fr-FR"/>
              </w:rPr>
              <w:t>Tel:</w:t>
            </w:r>
            <w:r w:rsidRPr="00BD646C">
              <w:rPr>
                <w:bCs/>
                <w:sz w:val="22"/>
                <w:szCs w:val="22"/>
                <w:lang w:val="fr-FR"/>
              </w:rPr>
              <w:t xml:space="preserve"> +39 06 928921</w:t>
            </w:r>
          </w:p>
        </w:tc>
        <w:tc>
          <w:tcPr>
            <w:tcW w:w="4678" w:type="dxa"/>
          </w:tcPr>
          <w:p w:rsidR="00235869" w:rsidRPr="00BD646C" w:rsidP="001F79B0" w14:paraId="7EF6E5EA" w14:textId="77777777">
            <w:pPr>
              <w:rPr>
                <w:b/>
                <w:bCs/>
                <w:sz w:val="22"/>
                <w:szCs w:val="22"/>
                <w:lang w:val="fi-FI"/>
              </w:rPr>
            </w:pPr>
            <w:r w:rsidRPr="00BD646C">
              <w:rPr>
                <w:b/>
                <w:bCs/>
                <w:sz w:val="22"/>
                <w:szCs w:val="22"/>
                <w:lang w:val="fi-FI"/>
              </w:rPr>
              <w:t>Suomi/Finland</w:t>
            </w:r>
          </w:p>
          <w:p w:rsidR="00235869" w:rsidRPr="00BD646C" w:rsidP="001F79B0" w14:paraId="60DF4A4D" w14:textId="77777777">
            <w:pPr>
              <w:rPr>
                <w:bCs/>
                <w:sz w:val="22"/>
                <w:szCs w:val="22"/>
                <w:lang w:val="de-CH"/>
              </w:rPr>
            </w:pPr>
            <w:r w:rsidRPr="00BD646C">
              <w:rPr>
                <w:bCs/>
                <w:sz w:val="22"/>
                <w:szCs w:val="22"/>
                <w:lang w:val="sk-SK"/>
              </w:rPr>
              <w:t>AbbVie Oy</w:t>
            </w:r>
          </w:p>
          <w:p w:rsidR="00235869" w:rsidRPr="00BD646C" w:rsidP="001F79B0" w14:paraId="71325565" w14:textId="77777777">
            <w:pPr>
              <w:rPr>
                <w:bCs/>
                <w:sz w:val="22"/>
                <w:szCs w:val="22"/>
                <w:lang w:val="sk-SK"/>
              </w:rPr>
            </w:pPr>
            <w:r w:rsidRPr="00BD646C">
              <w:rPr>
                <w:bCs/>
                <w:sz w:val="22"/>
                <w:szCs w:val="22"/>
                <w:lang w:val="sk-SK"/>
              </w:rPr>
              <w:t>Puh/Tel: +358 (0)10 2411 200</w:t>
            </w:r>
          </w:p>
          <w:p w:rsidR="00235869" w:rsidRPr="00BD646C" w:rsidP="001F79B0" w14:paraId="3302F356" w14:textId="77777777">
            <w:pPr>
              <w:rPr>
                <w:sz w:val="22"/>
                <w:szCs w:val="22"/>
                <w:lang w:val="sk-SK"/>
              </w:rPr>
            </w:pPr>
          </w:p>
        </w:tc>
      </w:tr>
      <w:tr w14:paraId="31C3680C"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235869" w:rsidRPr="00BD646C" w:rsidP="001F79B0" w14:paraId="4B2A0294" w14:textId="77777777">
            <w:pPr>
              <w:rPr>
                <w:b/>
                <w:bCs/>
                <w:sz w:val="22"/>
                <w:szCs w:val="22"/>
                <w:lang w:val="el-GR"/>
              </w:rPr>
            </w:pPr>
            <w:r w:rsidRPr="00BD646C">
              <w:rPr>
                <w:b/>
                <w:bCs/>
                <w:sz w:val="22"/>
                <w:szCs w:val="22"/>
                <w:lang w:val="el-GR"/>
              </w:rPr>
              <w:t>Κύπρος</w:t>
            </w:r>
          </w:p>
          <w:p w:rsidR="00235869" w:rsidRPr="00BD646C" w:rsidP="001F79B0" w14:paraId="25B1CE0B" w14:textId="77777777">
            <w:pPr>
              <w:rPr>
                <w:bCs/>
                <w:sz w:val="22"/>
                <w:szCs w:val="22"/>
                <w:lang w:val="el-GR"/>
              </w:rPr>
            </w:pPr>
            <w:r w:rsidRPr="00BD646C">
              <w:rPr>
                <w:bCs/>
                <w:sz w:val="22"/>
                <w:szCs w:val="22"/>
                <w:lang w:val="sk-SK"/>
              </w:rPr>
              <w:t xml:space="preserve">Lifepharma (Z.A.M.) </w:t>
            </w:r>
            <w:r w:rsidRPr="00BD646C">
              <w:rPr>
                <w:bCs/>
                <w:sz w:val="22"/>
                <w:szCs w:val="22"/>
              </w:rPr>
              <w:t>Ltd</w:t>
            </w:r>
          </w:p>
          <w:p w:rsidR="00235869" w:rsidRPr="00BD646C" w:rsidP="001F79B0" w14:paraId="313A5383" w14:textId="77777777">
            <w:pPr>
              <w:rPr>
                <w:bCs/>
                <w:sz w:val="22"/>
                <w:szCs w:val="22"/>
                <w:lang w:val="lv-LV"/>
              </w:rPr>
            </w:pPr>
            <w:r w:rsidRPr="00BD646C">
              <w:rPr>
                <w:bCs/>
                <w:sz w:val="22"/>
                <w:szCs w:val="22"/>
                <w:lang w:val="el-GR"/>
              </w:rPr>
              <w:t>Τηλ.: +357 22 34 74 40</w:t>
            </w:r>
          </w:p>
        </w:tc>
        <w:tc>
          <w:tcPr>
            <w:tcW w:w="4678" w:type="dxa"/>
          </w:tcPr>
          <w:p w:rsidR="00235869" w:rsidRPr="00BD646C" w:rsidP="001F79B0" w14:paraId="25A2A86D" w14:textId="77777777">
            <w:pPr>
              <w:rPr>
                <w:b/>
                <w:bCs/>
                <w:sz w:val="22"/>
                <w:szCs w:val="22"/>
                <w:lang w:val="sk-SK"/>
              </w:rPr>
            </w:pPr>
            <w:r w:rsidRPr="00BD646C">
              <w:rPr>
                <w:b/>
                <w:bCs/>
                <w:sz w:val="22"/>
                <w:szCs w:val="22"/>
                <w:lang w:val="sk-SK"/>
              </w:rPr>
              <w:t>Sverige</w:t>
            </w:r>
          </w:p>
          <w:p w:rsidR="00235869" w:rsidRPr="00BD646C" w:rsidP="001F79B0" w14:paraId="6C241D49" w14:textId="77777777">
            <w:pPr>
              <w:rPr>
                <w:bCs/>
                <w:sz w:val="22"/>
                <w:szCs w:val="22"/>
                <w:lang w:val="pt-PT"/>
              </w:rPr>
            </w:pPr>
            <w:r w:rsidRPr="00BD646C">
              <w:rPr>
                <w:bCs/>
                <w:sz w:val="22"/>
                <w:szCs w:val="22"/>
                <w:lang w:val="pt-PT"/>
              </w:rPr>
              <w:t>AbbVie AB</w:t>
            </w:r>
          </w:p>
          <w:p w:rsidR="00235869" w:rsidRPr="00BD646C" w:rsidP="001F79B0" w14:paraId="4084627F" w14:textId="77777777">
            <w:pPr>
              <w:rPr>
                <w:bCs/>
                <w:sz w:val="22"/>
                <w:szCs w:val="22"/>
                <w:lang w:val="sk-SK"/>
              </w:rPr>
            </w:pPr>
            <w:r w:rsidRPr="00BD646C">
              <w:rPr>
                <w:bCs/>
                <w:sz w:val="22"/>
                <w:szCs w:val="22"/>
                <w:lang w:val="da-DK"/>
              </w:rPr>
              <w:t>Tel: +46 (0)8 684 44 600</w:t>
            </w:r>
          </w:p>
        </w:tc>
      </w:tr>
      <w:tr w14:paraId="020BCE58"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235869" w:rsidRPr="00BD646C" w:rsidP="001F79B0" w14:paraId="307B59E5" w14:textId="77777777">
            <w:pPr>
              <w:rPr>
                <w:b/>
                <w:bCs/>
                <w:sz w:val="22"/>
                <w:szCs w:val="22"/>
                <w:lang w:val="lv-LV"/>
              </w:rPr>
            </w:pPr>
            <w:r w:rsidRPr="00BD646C">
              <w:rPr>
                <w:b/>
                <w:bCs/>
                <w:sz w:val="22"/>
                <w:szCs w:val="22"/>
                <w:lang w:val="lv-LV"/>
              </w:rPr>
              <w:t>Latvija</w:t>
            </w:r>
          </w:p>
          <w:p w:rsidR="00235869" w:rsidRPr="00BD646C" w:rsidP="001F79B0" w14:paraId="07346F40" w14:textId="77777777">
            <w:pPr>
              <w:rPr>
                <w:bCs/>
                <w:sz w:val="22"/>
                <w:szCs w:val="22"/>
                <w:lang w:val="lv-LV"/>
              </w:rPr>
            </w:pPr>
            <w:r w:rsidRPr="00BD646C">
              <w:rPr>
                <w:bCs/>
                <w:sz w:val="22"/>
                <w:szCs w:val="22"/>
                <w:lang w:val="lv-LV"/>
              </w:rPr>
              <w:t xml:space="preserve">AbbVie SIA </w:t>
            </w:r>
          </w:p>
          <w:p w:rsidR="00235869" w:rsidRPr="00BD646C" w:rsidP="001F79B0" w14:paraId="019CA18D" w14:textId="77777777">
            <w:pPr>
              <w:rPr>
                <w:bCs/>
                <w:sz w:val="22"/>
                <w:szCs w:val="22"/>
                <w:lang w:val="lv-LV"/>
              </w:rPr>
            </w:pPr>
            <w:r w:rsidRPr="00BD646C">
              <w:rPr>
                <w:bCs/>
                <w:sz w:val="22"/>
                <w:szCs w:val="22"/>
                <w:lang w:val="lv-LV"/>
              </w:rPr>
              <w:t>Tel: +371 67605000</w:t>
            </w:r>
          </w:p>
        </w:tc>
        <w:tc>
          <w:tcPr>
            <w:tcW w:w="4678" w:type="dxa"/>
          </w:tcPr>
          <w:p w:rsidR="00235869" w:rsidRPr="00BD646C" w:rsidP="001F79B0" w14:paraId="70EE53A5" w14:textId="77777777">
            <w:pPr>
              <w:rPr>
                <w:b/>
                <w:bCs/>
                <w:sz w:val="22"/>
                <w:szCs w:val="22"/>
                <w:lang w:val="sk-SK"/>
              </w:rPr>
            </w:pPr>
          </w:p>
        </w:tc>
      </w:tr>
    </w:tbl>
    <w:p w:rsidR="006224C2" w:rsidRPr="00357925" w14:paraId="19F7A61E" w14:textId="77777777">
      <w:pPr>
        <w:rPr>
          <w:sz w:val="22"/>
          <w:szCs w:val="22"/>
          <w:lang w:val="en-US"/>
        </w:rPr>
      </w:pPr>
    </w:p>
    <w:p w:rsidR="006224C2" w:rsidRPr="00295E71" w14:paraId="4CAC7D74" w14:textId="77777777">
      <w:pPr>
        <w:numPr>
          <w:ilvl w:val="12"/>
          <w:numId w:val="0"/>
        </w:numPr>
        <w:tabs>
          <w:tab w:val="left" w:pos="567"/>
        </w:tabs>
        <w:ind w:right="-2"/>
        <w:jc w:val="both"/>
        <w:rPr>
          <w:sz w:val="22"/>
          <w:szCs w:val="22"/>
        </w:rPr>
      </w:pPr>
      <w:r w:rsidRPr="00295E71">
        <w:rPr>
          <w:b/>
          <w:bCs/>
          <w:sz w:val="22"/>
          <w:szCs w:val="22"/>
        </w:rPr>
        <w:t xml:space="preserve">Questo foglio illustrativo è stato </w:t>
      </w:r>
      <w:r w:rsidRPr="00295E71">
        <w:rPr>
          <w:b/>
          <w:sz w:val="22"/>
          <w:szCs w:val="22"/>
        </w:rPr>
        <w:t>aggiornato</w:t>
      </w:r>
      <w:r w:rsidRPr="00295E71" w:rsidR="00096642">
        <w:rPr>
          <w:b/>
          <w:sz w:val="22"/>
          <w:szCs w:val="22"/>
        </w:rPr>
        <w:t xml:space="preserve"> </w:t>
      </w:r>
      <w:r w:rsidRPr="00295E71">
        <w:rPr>
          <w:b/>
          <w:bCs/>
          <w:sz w:val="22"/>
          <w:szCs w:val="22"/>
        </w:rPr>
        <w:t>il</w:t>
      </w:r>
    </w:p>
    <w:p w:rsidR="006224C2" w:rsidRPr="00295E71" w14:paraId="1055B099" w14:textId="77777777">
      <w:pPr>
        <w:numPr>
          <w:ilvl w:val="12"/>
          <w:numId w:val="0"/>
        </w:numPr>
        <w:tabs>
          <w:tab w:val="left" w:pos="567"/>
        </w:tabs>
        <w:ind w:right="-2"/>
        <w:jc w:val="both"/>
        <w:rPr>
          <w:sz w:val="22"/>
          <w:szCs w:val="22"/>
        </w:rPr>
      </w:pPr>
    </w:p>
    <w:p w:rsidR="006224C2" w:rsidRPr="00295E71" w14:paraId="42648ECF" w14:textId="77777777">
      <w:pPr>
        <w:numPr>
          <w:ilvl w:val="12"/>
          <w:numId w:val="0"/>
        </w:numPr>
        <w:tabs>
          <w:tab w:val="left" w:pos="567"/>
        </w:tabs>
        <w:ind w:right="-2"/>
        <w:jc w:val="both"/>
        <w:rPr>
          <w:sz w:val="22"/>
          <w:szCs w:val="22"/>
        </w:rPr>
      </w:pPr>
      <w:r w:rsidRPr="00295E71">
        <w:rPr>
          <w:sz w:val="22"/>
          <w:szCs w:val="22"/>
        </w:rPr>
        <w:t xml:space="preserve">Informazioni più dettagliate su questo medicinale sono disponibili sul sito web dell’Agenzia europea dei medicinali: </w:t>
      </w:r>
      <w:ins w:id="20005" w:author="AbbVie14" w:date="2025-05-09T11:19:00Z">
        <w:r w:rsidR="00703B41">
          <w:rPr>
            <w:sz w:val="22"/>
            <w:szCs w:val="22"/>
          </w:rPr>
          <w:fldChar w:fldCharType="begin"/>
        </w:r>
      </w:ins>
      <w:ins w:id="20006" w:author="AbbVie14" w:date="2025-05-09T11:19:00Z">
        <w:r w:rsidR="00703B41">
          <w:rPr>
            <w:sz w:val="22"/>
            <w:szCs w:val="22"/>
          </w:rPr>
          <w:instrText>HYPERLINK "</w:instrText>
        </w:r>
      </w:ins>
      <w:r w:rsidRPr="00703B41" w:rsidR="00703B41">
        <w:rPr>
          <w:rStyle w:val="Hyperlink"/>
          <w:sz w:val="22"/>
          <w:szCs w:val="22"/>
        </w:rPr>
        <w:instrText>http</w:instrText>
      </w:r>
      <w:ins w:id="20007" w:author="AbbVie14" w:date="2025-05-09T11:19:00Z">
        <w:r w:rsidRPr="00703B41" w:rsidR="00703B41">
          <w:rPr>
            <w:rStyle w:val="Hyperlink"/>
            <w:sz w:val="22"/>
            <w:szCs w:val="22"/>
          </w:rPr>
          <w:instrText>s</w:instrText>
        </w:r>
      </w:ins>
      <w:r w:rsidRPr="00703B41" w:rsidR="00703B41">
        <w:rPr>
          <w:rStyle w:val="Hyperlink"/>
          <w:sz w:val="22"/>
          <w:szCs w:val="22"/>
        </w:rPr>
        <w:instrText>://www.ema.europa.eu/</w:instrText>
      </w:r>
      <w:ins w:id="20008" w:author="AbbVie14" w:date="2025-05-09T11:19:00Z">
        <w:r w:rsidR="00703B41">
          <w:rPr>
            <w:sz w:val="22"/>
            <w:szCs w:val="22"/>
          </w:rPr>
          <w:instrText>"</w:instrText>
        </w:r>
      </w:ins>
      <w:ins w:id="20009" w:author="AbbVie14" w:date="2025-05-09T11:19:00Z">
        <w:r w:rsidR="00703B41">
          <w:rPr>
            <w:sz w:val="22"/>
            <w:szCs w:val="22"/>
          </w:rPr>
          <w:fldChar w:fldCharType="separate"/>
        </w:r>
      </w:ins>
      <w:r w:rsidRPr="00703B41" w:rsidR="00703B41">
        <w:rPr>
          <w:rStyle w:val="Hyperlink"/>
          <w:sz w:val="22"/>
          <w:szCs w:val="22"/>
        </w:rPr>
        <w:t>http</w:t>
      </w:r>
      <w:ins w:id="20010" w:author="AbbVie14" w:date="2025-05-09T11:19:00Z">
        <w:r w:rsidRPr="00703B41" w:rsidR="00703B41">
          <w:rPr>
            <w:rStyle w:val="Hyperlink"/>
            <w:sz w:val="22"/>
            <w:szCs w:val="22"/>
          </w:rPr>
          <w:t>s</w:t>
        </w:r>
      </w:ins>
      <w:r w:rsidRPr="00703B41" w:rsidR="00703B41">
        <w:rPr>
          <w:rStyle w:val="Hyperlink"/>
          <w:sz w:val="22"/>
          <w:szCs w:val="22"/>
        </w:rPr>
        <w:t>://www.ema.europa.eu/</w:t>
      </w:r>
      <w:ins w:id="20011" w:author="AbbVie14" w:date="2025-05-09T11:19:00Z">
        <w:r w:rsidR="00703B41">
          <w:rPr>
            <w:sz w:val="22"/>
            <w:szCs w:val="22"/>
          </w:rPr>
          <w:fldChar w:fldCharType="end"/>
        </w:r>
      </w:ins>
      <w:r w:rsidRPr="00295E71">
        <w:rPr>
          <w:sz w:val="22"/>
          <w:szCs w:val="22"/>
        </w:rPr>
        <w:t>.</w:t>
      </w:r>
    </w:p>
    <w:p w:rsidR="006224C2" w:rsidRPr="00295E71" w14:paraId="26C78201" w14:textId="77777777">
      <w:pPr>
        <w:ind w:right="-449"/>
        <w:rPr>
          <w:noProof/>
          <w:sz w:val="22"/>
          <w:szCs w:val="22"/>
        </w:rPr>
      </w:pPr>
    </w:p>
    <w:p w:rsidR="006224C2" w:rsidRPr="009E4F57" w14:paraId="4ED31BEE" w14:textId="77777777">
      <w:pPr>
        <w:numPr>
          <w:ilvl w:val="12"/>
          <w:numId w:val="0"/>
        </w:numPr>
        <w:ind w:right="-2"/>
        <w:rPr>
          <w:b/>
          <w:sz w:val="22"/>
          <w:szCs w:val="22"/>
        </w:rPr>
      </w:pPr>
      <w:r w:rsidRPr="0020624D">
        <w:rPr>
          <w:b/>
          <w:color w:val="000000"/>
          <w:sz w:val="22"/>
          <w:szCs w:val="22"/>
        </w:rPr>
        <w:t xml:space="preserve">Per ascoltare o richiedere una copia di questo foglio illustrativo in </w:t>
      </w:r>
      <w:r w:rsidRPr="0020624D">
        <w:rPr>
          <w:b/>
          <w:color w:val="000000"/>
          <w:sz w:val="22"/>
          <w:szCs w:val="22"/>
          <w:shd w:val="clear" w:color="auto" w:fill="A6A6A6"/>
        </w:rPr>
        <w:t>&lt;Braille&gt;, &lt; stampa a caratteri grandi&gt; o &lt;audio</w:t>
      </w:r>
      <w:r w:rsidRPr="0020624D">
        <w:rPr>
          <w:b/>
          <w:color w:val="000000"/>
          <w:sz w:val="22"/>
          <w:szCs w:val="22"/>
          <w:highlight w:val="darkGray"/>
        </w:rPr>
        <w:t>&gt;</w:t>
      </w:r>
      <w:r w:rsidRPr="0020624D">
        <w:rPr>
          <w:b/>
          <w:color w:val="000000"/>
          <w:sz w:val="22"/>
          <w:szCs w:val="22"/>
        </w:rPr>
        <w:t xml:space="preserve">, contattare il rappresentante locale del </w:t>
      </w:r>
      <w:r w:rsidRPr="0020624D">
        <w:rPr>
          <w:b/>
          <w:sz w:val="22"/>
          <w:szCs w:val="22"/>
        </w:rPr>
        <w:t>titolare dell’autorizzazione all’immissione in commercio</w:t>
      </w:r>
      <w:r w:rsidRPr="0020624D">
        <w:rPr>
          <w:b/>
          <w:color w:val="000000"/>
          <w:sz w:val="22"/>
          <w:szCs w:val="22"/>
        </w:rPr>
        <w:t>.</w:t>
      </w:r>
    </w:p>
    <w:p w:rsidR="006224C2" w:rsidRPr="00295E71" w14:paraId="13E362D0" w14:textId="77777777">
      <w:pPr>
        <w:ind w:right="-449"/>
        <w:rPr>
          <w:noProof/>
          <w:sz w:val="22"/>
          <w:szCs w:val="22"/>
        </w:rPr>
      </w:pPr>
    </w:p>
    <w:p w:rsidR="006224C2" w:rsidRPr="00295E71" w14:paraId="155287E1" w14:textId="77777777">
      <w:pPr>
        <w:rPr>
          <w:b/>
          <w:snapToGrid w:val="0"/>
          <w:kern w:val="32"/>
          <w:sz w:val="22"/>
          <w:szCs w:val="22"/>
          <w:lang w:eastAsia="fr-LU"/>
        </w:rPr>
      </w:pPr>
    </w:p>
    <w:p w:rsidR="006224C2" w:rsidRPr="00295E71" w14:paraId="1A336CB3" w14:textId="77777777">
      <w:pPr>
        <w:pStyle w:val="No-numheading3Agency"/>
        <w:spacing w:before="0" w:after="0"/>
        <w:rPr>
          <w:rFonts w:ascii="Times New Roman" w:hAnsi="Times New Roman"/>
          <w:szCs w:val="22"/>
          <w:lang w:val="it-IT"/>
        </w:rPr>
      </w:pPr>
      <w:r w:rsidRPr="00295E71">
        <w:rPr>
          <w:rFonts w:ascii="Times New Roman" w:hAnsi="Times New Roman"/>
          <w:szCs w:val="22"/>
          <w:lang w:val="it-IT"/>
        </w:rPr>
        <w:t xml:space="preserve">7. </w:t>
      </w:r>
      <w:r w:rsidRPr="00295E71">
        <w:rPr>
          <w:rFonts w:ascii="Times New Roman" w:hAnsi="Times New Roman"/>
          <w:szCs w:val="22"/>
          <w:lang w:val="it-IT"/>
        </w:rPr>
        <w:tab/>
      </w:r>
      <w:r w:rsidR="0012484B">
        <w:rPr>
          <w:rFonts w:ascii="Times New Roman" w:hAnsi="Times New Roman"/>
          <w:szCs w:val="22"/>
          <w:lang w:val="it-IT"/>
        </w:rPr>
        <w:t>Iniezione di Humira</w:t>
      </w:r>
      <w:r w:rsidRPr="00295E71" w:rsidR="00086B53">
        <w:rPr>
          <w:rFonts w:ascii="Times New Roman" w:hAnsi="Times New Roman"/>
          <w:szCs w:val="22"/>
          <w:lang w:val="it-IT"/>
        </w:rPr>
        <w:t xml:space="preserve"> </w:t>
      </w:r>
    </w:p>
    <w:p w:rsidR="006224C2" w:rsidRPr="00295E71" w14:paraId="41DDDE14" w14:textId="77777777">
      <w:pPr>
        <w:pStyle w:val="BodytextAgency"/>
        <w:rPr>
          <w:rFonts w:ascii="Times New Roman" w:hAnsi="Times New Roman"/>
          <w:sz w:val="22"/>
          <w:szCs w:val="22"/>
          <w:lang w:val="it-IT"/>
        </w:rPr>
      </w:pPr>
    </w:p>
    <w:p w:rsidR="006224C2" w:rsidRPr="00295E71" w14:paraId="779D70F1" w14:textId="77777777">
      <w:pPr>
        <w:numPr>
          <w:ilvl w:val="0"/>
          <w:numId w:val="99"/>
        </w:numPr>
        <w:suppressAutoHyphens/>
        <w:rPr>
          <w:sz w:val="22"/>
          <w:szCs w:val="22"/>
        </w:rPr>
      </w:pPr>
      <w:r w:rsidRPr="00295E71">
        <w:rPr>
          <w:sz w:val="22"/>
          <w:szCs w:val="22"/>
        </w:rPr>
        <w:t xml:space="preserve">Le </w:t>
      </w:r>
      <w:r w:rsidRPr="00295E71">
        <w:rPr>
          <w:sz w:val="22"/>
          <w:szCs w:val="22"/>
          <w:lang w:eastAsia="en-US"/>
        </w:rPr>
        <w:t>seguenti istruzioni spiegano come effettuare l’auto-iniezione</w:t>
      </w:r>
      <w:r w:rsidRPr="00295E71" w:rsidR="007256B3">
        <w:rPr>
          <w:sz w:val="22"/>
          <w:szCs w:val="22"/>
          <w:lang w:eastAsia="en-US"/>
        </w:rPr>
        <w:t xml:space="preserve"> sottocutanea</w:t>
      </w:r>
      <w:r w:rsidRPr="00295E71">
        <w:rPr>
          <w:sz w:val="22"/>
          <w:szCs w:val="22"/>
          <w:lang w:eastAsia="en-US"/>
        </w:rPr>
        <w:t xml:space="preserve"> di Humira utilizzando la penna pre-riempita. Prima di tutto legga attentamente le istruzioni e le segua passo dopo passo</w:t>
      </w:r>
      <w:r w:rsidRPr="00295E71">
        <w:rPr>
          <w:sz w:val="22"/>
          <w:szCs w:val="22"/>
        </w:rPr>
        <w:t xml:space="preserve">. </w:t>
      </w:r>
    </w:p>
    <w:p w:rsidR="006224C2" w:rsidRPr="00295E71" w14:paraId="6E02B8EC" w14:textId="77777777">
      <w:pPr>
        <w:ind w:left="720"/>
        <w:rPr>
          <w:sz w:val="22"/>
          <w:szCs w:val="22"/>
        </w:rPr>
      </w:pPr>
    </w:p>
    <w:p w:rsidR="006224C2" w:rsidRPr="00295E71" w14:paraId="797D1ACF" w14:textId="77777777">
      <w:pPr>
        <w:numPr>
          <w:ilvl w:val="0"/>
          <w:numId w:val="99"/>
        </w:numPr>
        <w:suppressAutoHyphens/>
        <w:rPr>
          <w:sz w:val="22"/>
          <w:szCs w:val="22"/>
        </w:rPr>
      </w:pPr>
      <w:r w:rsidRPr="00295E71">
        <w:rPr>
          <w:sz w:val="22"/>
          <w:szCs w:val="22"/>
          <w:lang w:eastAsia="en-US"/>
        </w:rPr>
        <w:t>Riceverà istruzioni dal medico, dall’infermiere o dal farmacista sulla tecnica dell’auto-somministrazione</w:t>
      </w:r>
      <w:r w:rsidRPr="00295E71">
        <w:rPr>
          <w:sz w:val="22"/>
          <w:szCs w:val="22"/>
        </w:rPr>
        <w:t xml:space="preserve">. </w:t>
      </w:r>
    </w:p>
    <w:p w:rsidR="006224C2" w:rsidRPr="00295E71" w14:paraId="4F7A78C0" w14:textId="77777777">
      <w:pPr>
        <w:ind w:left="720"/>
        <w:rPr>
          <w:sz w:val="22"/>
          <w:szCs w:val="22"/>
        </w:rPr>
      </w:pPr>
    </w:p>
    <w:p w:rsidR="006224C2" w:rsidRPr="00295E71" w14:paraId="287739D7" w14:textId="77777777">
      <w:pPr>
        <w:numPr>
          <w:ilvl w:val="0"/>
          <w:numId w:val="99"/>
        </w:numPr>
        <w:suppressAutoHyphens/>
        <w:rPr>
          <w:sz w:val="22"/>
          <w:szCs w:val="22"/>
        </w:rPr>
      </w:pPr>
      <w:r w:rsidRPr="00295E71">
        <w:rPr>
          <w:sz w:val="22"/>
          <w:szCs w:val="22"/>
        </w:rPr>
        <w:t xml:space="preserve">Non proceda all’iniezione da solo finché non è sicuro di aver capito come preparare ed eseguire l’iniezione. </w:t>
      </w:r>
    </w:p>
    <w:p w:rsidR="006224C2" w:rsidRPr="00295E71" w14:paraId="00F2A9A7" w14:textId="77777777">
      <w:pPr>
        <w:ind w:left="720"/>
        <w:rPr>
          <w:sz w:val="22"/>
          <w:szCs w:val="22"/>
        </w:rPr>
      </w:pPr>
    </w:p>
    <w:p w:rsidR="006224C2" w:rsidRPr="00295E71" w14:paraId="78631626" w14:textId="77777777">
      <w:pPr>
        <w:numPr>
          <w:ilvl w:val="0"/>
          <w:numId w:val="99"/>
        </w:numPr>
        <w:suppressAutoHyphens/>
        <w:rPr>
          <w:sz w:val="22"/>
          <w:szCs w:val="22"/>
        </w:rPr>
      </w:pPr>
      <w:r w:rsidRPr="00295E71">
        <w:rPr>
          <w:sz w:val="22"/>
          <w:szCs w:val="22"/>
          <w:lang w:eastAsia="en-US"/>
        </w:rPr>
        <w:t>Dopo adeguate istruzioni l’iniezione può essere eseguita da lei o da altre persone quali, ad esempio, un familiare o un amico</w:t>
      </w:r>
      <w:r w:rsidRPr="00295E71">
        <w:rPr>
          <w:sz w:val="22"/>
          <w:szCs w:val="22"/>
        </w:rPr>
        <w:t>.</w:t>
      </w:r>
    </w:p>
    <w:p w:rsidR="006224C2" w:rsidRPr="00295E71" w14:paraId="0C55AFA3" w14:textId="77777777">
      <w:pPr>
        <w:ind w:left="720"/>
        <w:rPr>
          <w:sz w:val="22"/>
          <w:szCs w:val="22"/>
        </w:rPr>
      </w:pPr>
    </w:p>
    <w:p w:rsidR="006224C2" w:rsidRPr="00295E71" w14:paraId="4E3FBA95" w14:textId="77777777">
      <w:pPr>
        <w:pStyle w:val="EMEAHeadingLeaflet"/>
        <w:numPr>
          <w:ilvl w:val="0"/>
          <w:numId w:val="99"/>
        </w:numPr>
        <w:tabs>
          <w:tab w:val="clear" w:pos="562"/>
        </w:tabs>
        <w:spacing w:beforeLines="0" w:afterLines="0"/>
        <w:rPr>
          <w:rFonts w:ascii="Times New Roman" w:hAnsi="Times New Roman"/>
          <w:b w:val="0"/>
          <w:szCs w:val="22"/>
          <w:lang w:val="it-IT"/>
        </w:rPr>
      </w:pPr>
      <w:r w:rsidRPr="00295E71">
        <w:rPr>
          <w:rFonts w:ascii="Times New Roman" w:hAnsi="Times New Roman"/>
          <w:b w:val="0"/>
          <w:szCs w:val="22"/>
          <w:lang w:val="it-IT"/>
        </w:rPr>
        <w:t>Usi ciascuna penna pre-riempita esclusivamente per una sola iniezione.</w:t>
      </w:r>
    </w:p>
    <w:p w:rsidR="006224C2" w:rsidRPr="00295E71" w14:paraId="7DE5D312" w14:textId="77777777">
      <w:pPr>
        <w:pStyle w:val="EMEANormal"/>
        <w:rPr>
          <w:lang w:val="it-IT"/>
        </w:rPr>
      </w:pPr>
    </w:p>
    <w:p w:rsidR="006224C2" w:rsidRPr="00295E71" w14:paraId="74DF5DC9" w14:textId="77777777">
      <w:pPr>
        <w:pStyle w:val="EMEANormal"/>
        <w:keepNext/>
        <w:rPr>
          <w:b/>
          <w:lang w:val="it-IT"/>
        </w:rPr>
      </w:pPr>
      <w:r w:rsidRPr="00295E71">
        <w:rPr>
          <w:b/>
          <w:lang w:val="it-IT"/>
        </w:rPr>
        <w:t>Humira Penna pre-riempita</w:t>
      </w:r>
    </w:p>
    <w:p w:rsidR="006224C2" w:rsidRPr="00295E71" w14:paraId="381DD8CA" w14:textId="77777777">
      <w:pPr>
        <w:pStyle w:val="EMEANormal"/>
        <w:keepNext/>
        <w:rPr>
          <w:lang w:val="it-IT"/>
        </w:rPr>
      </w:pPr>
    </w:p>
    <w:p w:rsidR="006224C2" w:rsidRPr="00295E71" w14:paraId="6C127F18" w14:textId="77777777">
      <w:pPr>
        <w:pStyle w:val="EMEANormal"/>
        <w:keepNext/>
        <w:rPr>
          <w:b/>
          <w:lang w:val="it-IT"/>
        </w:rPr>
      </w:pPr>
      <w:r w:rsidRPr="00295E71">
        <w:rPr>
          <w:b/>
          <w:lang w:val="it-IT"/>
        </w:rPr>
        <w:t xml:space="preserve">Tappo grigio 1     Guaina bianca </w:t>
      </w:r>
    </w:p>
    <w:p w:rsidR="006224C2" w:rsidRPr="00295E71" w14:paraId="1CA2A106" w14:textId="77777777">
      <w:pPr>
        <w:pStyle w:val="EMEANormal"/>
        <w:keepNext/>
        <w:rPr>
          <w:b/>
          <w:lang w:val="it-IT"/>
        </w:rPr>
      </w:pPr>
      <w:r w:rsidRPr="00295E71">
        <w:rPr>
          <w:b/>
          <w:lang w:val="it-IT"/>
        </w:rPr>
        <w:tab/>
      </w:r>
      <w:r w:rsidRPr="00295E71">
        <w:rPr>
          <w:b/>
          <w:lang w:val="it-IT"/>
        </w:rPr>
        <w:tab/>
      </w:r>
      <w:r w:rsidRPr="00295E71">
        <w:rPr>
          <w:b/>
          <w:lang w:val="it-IT"/>
        </w:rPr>
        <w:tab/>
        <w:t xml:space="preserve">   che ricopre l'ago      Freccia bianca             </w:t>
      </w:r>
      <w:r w:rsidRPr="00295E71">
        <w:rPr>
          <w:b/>
          <w:lang w:val="it-IT"/>
        </w:rPr>
        <w:tab/>
      </w:r>
      <w:r w:rsidRPr="00295E71">
        <w:rPr>
          <w:b/>
          <w:lang w:val="it-IT"/>
        </w:rPr>
        <w:tab/>
      </w:r>
      <w:r w:rsidRPr="00295E71">
        <w:rPr>
          <w:b/>
          <w:lang w:val="it-IT"/>
        </w:rPr>
        <w:tab/>
        <w:t xml:space="preserve">        Tappo viola 2</w:t>
      </w:r>
    </w:p>
    <w:p w:rsidR="006224C2" w:rsidRPr="00295E71" w14:paraId="26082CD6" w14:textId="77777777">
      <w:pPr>
        <w:pStyle w:val="EMEANormal"/>
        <w:keepNext/>
        <w:rPr>
          <w:b/>
          <w:lang w:val="it-IT"/>
        </w:rPr>
      </w:pPr>
    </w:p>
    <w:p w:rsidR="006224C2" w:rsidRPr="00295E71" w14:paraId="22ACD66D" w14:textId="77777777">
      <w:pPr>
        <w:pStyle w:val="EMEANormal"/>
        <w:keepNext/>
        <w:rPr>
          <w:lang w:val="it-IT"/>
        </w:rPr>
      </w:pPr>
      <w:r w:rsidRPr="00910CE7">
        <w:rPr>
          <w:noProof/>
          <w:lang w:val="en-GB"/>
        </w:rPr>
        <w:drawing>
          <wp:inline distT="0" distB="0" distL="0" distR="0">
            <wp:extent cx="5886450" cy="1438275"/>
            <wp:effectExtent l="0" t="0" r="0" b="0"/>
            <wp:docPr id="79" name="Picture 43"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1" descr="HUMIRAPEN_grey"/>
                    <pic:cNvPicPr>
                      <a:picLocks noChangeAspect="1" noChangeArrowheads="1"/>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886450" cy="1438275"/>
                    </a:xfrm>
                    <a:prstGeom prst="rect">
                      <a:avLst/>
                    </a:prstGeom>
                    <a:noFill/>
                    <a:ln>
                      <a:noFill/>
                    </a:ln>
                  </pic:spPr>
                </pic:pic>
              </a:graphicData>
            </a:graphic>
          </wp:inline>
        </w:drawing>
      </w:r>
    </w:p>
    <w:p w:rsidR="006224C2" w:rsidRPr="00295E71" w14:paraId="5BAACE6A" w14:textId="77777777">
      <w:pPr>
        <w:pStyle w:val="EMEANormal"/>
        <w:rPr>
          <w:b/>
          <w:lang w:val="it-IT"/>
        </w:rPr>
      </w:pPr>
      <w:r w:rsidRPr="00295E71">
        <w:rPr>
          <w:b/>
          <w:lang w:val="it-IT"/>
        </w:rPr>
        <w:t xml:space="preserve">                              Ago           Finestra per l’ispezione                    Pulsante di attivazione viola     </w:t>
      </w:r>
    </w:p>
    <w:p w:rsidR="006224C2" w:rsidRPr="00295E71" w14:paraId="42BDA8E7" w14:textId="77777777">
      <w:pPr>
        <w:pStyle w:val="EMEANormal"/>
        <w:rPr>
          <w:b/>
          <w:lang w:val="it-IT"/>
        </w:rPr>
      </w:pPr>
    </w:p>
    <w:p w:rsidR="006224C2" w:rsidRPr="00295E71" w:rsidP="00D968EE" w14:paraId="01056B15" w14:textId="77777777">
      <w:pPr>
        <w:pStyle w:val="EMEAHeadingLeaflet"/>
        <w:keepNext/>
        <w:spacing w:beforeLines="0" w:afterLines="0"/>
        <w:rPr>
          <w:rFonts w:ascii="Times New Roman" w:hAnsi="Times New Roman"/>
          <w:szCs w:val="22"/>
          <w:lang w:val="it-IT"/>
        </w:rPr>
      </w:pPr>
      <w:r w:rsidRPr="00295E71">
        <w:rPr>
          <w:rFonts w:ascii="Times New Roman" w:hAnsi="Times New Roman"/>
          <w:szCs w:val="22"/>
          <w:lang w:val="it-IT"/>
        </w:rPr>
        <w:t>Non usi la penna pre-riempita e si rivolga al medico o al farmacista se</w:t>
      </w:r>
    </w:p>
    <w:p w:rsidR="006224C2" w:rsidRPr="00295E71" w:rsidP="00910CE7" w14:paraId="47E9AAD8" w14:textId="77777777">
      <w:pPr>
        <w:pStyle w:val="EMEANormal"/>
        <w:keepNext/>
        <w:rPr>
          <w:lang w:val="it-IT"/>
        </w:rPr>
      </w:pPr>
    </w:p>
    <w:p w:rsidR="006224C2" w:rsidRPr="00295E71" w:rsidP="00D968EE" w14:paraId="6A4BEC5F"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soluzione appare torbida, ha cambiato colore, o presenta flocculi e particelle</w:t>
      </w:r>
    </w:p>
    <w:p w:rsidR="006224C2" w:rsidRPr="00295E71" w:rsidP="00D968EE" w14:paraId="7DB7DDE3"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è stata oltrepassata la data di scadenza (Scad.) </w:t>
      </w:r>
    </w:p>
    <w:p w:rsidR="006224C2" w:rsidRPr="00295E71" w:rsidP="00D968EE" w14:paraId="11C84474"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soluzione è stata congelata o lasciata esposta alla luce solare diretta</w:t>
      </w:r>
    </w:p>
    <w:p w:rsidR="006224C2" w:rsidRPr="00295E71" w:rsidP="00D968EE" w14:paraId="4AF6DAB3"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penna pre-riempita è caduta o è stata danneggiata</w:t>
      </w:r>
    </w:p>
    <w:p w:rsidR="006224C2" w:rsidRPr="00295E71" w14:paraId="7B30E695" w14:textId="77777777">
      <w:pPr>
        <w:pStyle w:val="EMEANormal"/>
        <w:rPr>
          <w:lang w:val="it-IT"/>
        </w:rPr>
      </w:pPr>
    </w:p>
    <w:p w:rsidR="006224C2" w:rsidRPr="00295E71" w14:paraId="1E0ACF01" w14:textId="77777777">
      <w:pPr>
        <w:pStyle w:val="EMEAHeadingLeaflet"/>
        <w:keepNext/>
        <w:tabs>
          <w:tab w:val="left" w:pos="0"/>
          <w:tab w:val="clear" w:pos="562"/>
        </w:tabs>
        <w:spacing w:beforeLines="0" w:afterLines="0"/>
        <w:rPr>
          <w:rFonts w:ascii="Times New Roman" w:hAnsi="Times New Roman"/>
          <w:szCs w:val="22"/>
          <w:lang w:val="it-IT"/>
        </w:rPr>
      </w:pPr>
      <w:r w:rsidRPr="00295E71">
        <w:rPr>
          <w:rFonts w:ascii="Times New Roman" w:hAnsi="Times New Roman"/>
          <w:szCs w:val="22"/>
          <w:lang w:val="it-IT"/>
        </w:rPr>
        <w:t>Rimuovere il tappo solo immediatamente prima dell’iniezione. Tenere Humira fuori dalla vista e dalla portata dei bambini.</w:t>
      </w:r>
    </w:p>
    <w:p w:rsidR="006224C2" w:rsidRPr="00295E71" w14:paraId="1FB409FE" w14:textId="77777777">
      <w:pPr>
        <w:pStyle w:val="EMEANormal"/>
        <w:rPr>
          <w:lang w:val="it-I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4EF75FE3" w14:textId="77777777">
        <w:tblPrEx>
          <w:tblW w:w="9287" w:type="dxa"/>
          <w:tblLayout w:type="fixed"/>
          <w:tblLook w:val="04A0"/>
        </w:tblPrEx>
        <w:tc>
          <w:tcPr>
            <w:tcW w:w="9287" w:type="dxa"/>
            <w:gridSpan w:val="2"/>
            <w:tcBorders>
              <w:bottom w:val="single" w:sz="4" w:space="0" w:color="auto"/>
            </w:tcBorders>
          </w:tcPr>
          <w:p w:rsidR="006224C2" w:rsidRPr="00295E71" w:rsidP="005F3CB6" w14:paraId="58F02AB1" w14:textId="77777777">
            <w:pPr>
              <w:pStyle w:val="EMEAHeadingLeaflet"/>
              <w:spacing w:beforeLines="0" w:afterLines="0"/>
              <w:rPr>
                <w:rFonts w:ascii="Times New Roman" w:hAnsi="Times New Roman"/>
                <w:szCs w:val="22"/>
                <w:lang w:val="it-IT"/>
              </w:rPr>
            </w:pPr>
            <w:r w:rsidRPr="00295E71">
              <w:rPr>
                <w:rFonts w:ascii="Times New Roman" w:hAnsi="Times New Roman"/>
                <w:szCs w:val="22"/>
                <w:lang w:val="it-IT"/>
              </w:rPr>
              <w:t>STEP 1</w:t>
            </w:r>
          </w:p>
          <w:p w:rsidR="006224C2" w:rsidRPr="00295E71" w:rsidP="005F3CB6" w14:paraId="10A2A4D7" w14:textId="77777777">
            <w:pPr>
              <w:pStyle w:val="EMEANormal"/>
              <w:rPr>
                <w:lang w:val="it-IT"/>
              </w:rPr>
            </w:pPr>
          </w:p>
          <w:p w:rsidR="006224C2" w:rsidRPr="00295E71" w:rsidP="005F3CB6" w14:paraId="4A9A8C18"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Prenda Humira dal frigorifero.</w:t>
            </w:r>
          </w:p>
          <w:p w:rsidR="006224C2" w:rsidRPr="00295E71" w:rsidP="005F3CB6" w14:paraId="25FD5335" w14:textId="77777777">
            <w:pPr>
              <w:pStyle w:val="EMEANormal"/>
              <w:rPr>
                <w:lang w:val="it-IT"/>
              </w:rPr>
            </w:pPr>
          </w:p>
          <w:p w:rsidR="006224C2" w:rsidRPr="00295E71" w:rsidP="005F3CB6" w14:paraId="026DCD9B"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Prima dell’iniezione lasci Humira a temperatura ambiente per </w:t>
            </w:r>
            <w:r w:rsidRPr="00295E71">
              <w:rPr>
                <w:rFonts w:ascii="Times New Roman" w:hAnsi="Times New Roman"/>
                <w:szCs w:val="22"/>
                <w:lang w:val="it-IT"/>
              </w:rPr>
              <w:t>15 - 30 minuti</w:t>
            </w:r>
            <w:r w:rsidRPr="00295E71">
              <w:rPr>
                <w:rFonts w:ascii="Times New Roman" w:hAnsi="Times New Roman"/>
                <w:b w:val="0"/>
                <w:szCs w:val="22"/>
                <w:lang w:val="it-IT"/>
              </w:rPr>
              <w:t>.</w:t>
            </w:r>
          </w:p>
          <w:p w:rsidR="006224C2" w:rsidRPr="00295E71" w:rsidP="005F3CB6" w14:paraId="4975735F" w14:textId="77777777">
            <w:pPr>
              <w:pStyle w:val="EMEANormal"/>
              <w:rPr>
                <w:lang w:val="it-IT"/>
              </w:rPr>
            </w:pPr>
          </w:p>
          <w:p w:rsidR="006224C2" w:rsidRPr="00295E71" w:rsidP="005F3CB6" w14:paraId="39D7E8F8" w14:textId="77777777">
            <w:pPr>
              <w:pStyle w:val="EMEAHeadingLeaflet"/>
              <w:numPr>
                <w:ilvl w:val="0"/>
                <w:numId w:val="101"/>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rimuova il tappo grigio e il tappo viola mentre Humira raggiunge la temperatura ambiente</w:t>
            </w:r>
          </w:p>
          <w:p w:rsidR="006224C2" w:rsidRPr="00295E71" w:rsidP="005F3CB6" w14:paraId="2B113A54" w14:textId="77777777">
            <w:pPr>
              <w:pStyle w:val="EMEANormal"/>
              <w:numPr>
                <w:ilvl w:val="0"/>
                <w:numId w:val="101"/>
              </w:numPr>
              <w:tabs>
                <w:tab w:val="clear" w:pos="562"/>
                <w:tab w:val="left" w:pos="720"/>
              </w:tabs>
              <w:rPr>
                <w:lang w:val="it-IT"/>
              </w:rPr>
            </w:pPr>
            <w:r w:rsidRPr="00295E71">
              <w:rPr>
                <w:b/>
                <w:lang w:val="it-IT"/>
              </w:rPr>
              <w:t xml:space="preserve">Non </w:t>
            </w:r>
            <w:r w:rsidRPr="00295E71">
              <w:rPr>
                <w:lang w:val="it-IT"/>
              </w:rPr>
              <w:t xml:space="preserve">riscaldi Humira in nessun altro modo. Ad esempio, </w:t>
            </w:r>
            <w:r w:rsidRPr="00295E71">
              <w:rPr>
                <w:b/>
                <w:lang w:val="it-IT"/>
              </w:rPr>
              <w:t>non</w:t>
            </w:r>
            <w:r w:rsidRPr="00295E71">
              <w:rPr>
                <w:lang w:val="it-IT"/>
              </w:rPr>
              <w:t xml:space="preserve"> riscaldi Humira nel microonde o nell’acqua calda</w:t>
            </w:r>
          </w:p>
        </w:tc>
      </w:tr>
      <w:tr w14:paraId="0BEECC46" w14:textId="77777777">
        <w:tblPrEx>
          <w:tblW w:w="9287" w:type="dxa"/>
          <w:tblLayout w:type="fixed"/>
          <w:tblLook w:val="04A0"/>
        </w:tblPrEx>
        <w:tc>
          <w:tcPr>
            <w:tcW w:w="3708" w:type="dxa"/>
            <w:tcBorders>
              <w:right w:val="nil"/>
            </w:tcBorders>
          </w:tcPr>
          <w:p w:rsidR="006224C2" w:rsidRPr="00295E71" w:rsidP="005F3CB6" w14:paraId="03266A39" w14:textId="77777777">
            <w:pPr>
              <w:pStyle w:val="EMEANormal"/>
              <w:keepNext/>
              <w:rPr>
                <w:b/>
                <w:lang w:val="it-IT"/>
              </w:rPr>
            </w:pPr>
            <w:r w:rsidRPr="00295E71">
              <w:rPr>
                <w:lang w:val="it-IT"/>
              </w:rPr>
              <w:br w:type="page"/>
            </w:r>
            <w:r w:rsidRPr="00295E71">
              <w:rPr>
                <w:b/>
                <w:lang w:val="it-IT"/>
              </w:rPr>
              <w:t xml:space="preserve">STEP 2 </w:t>
            </w:r>
          </w:p>
          <w:p w:rsidR="006224C2" w:rsidRPr="00295E71" w:rsidP="005F3CB6" w14:paraId="73C5CF9D" w14:textId="77777777">
            <w:pPr>
              <w:pStyle w:val="EMEANormal"/>
              <w:keepNext/>
              <w:rPr>
                <w:b/>
                <w:lang w:val="it-IT"/>
              </w:rPr>
            </w:pPr>
          </w:p>
          <w:p w:rsidR="006224C2" w:rsidRPr="00295E71" w:rsidP="005F3CB6" w14:paraId="06BAC21C" w14:textId="77777777">
            <w:pPr>
              <w:pStyle w:val="EMEANormal"/>
              <w:keepNext/>
              <w:rPr>
                <w:b/>
                <w:lang w:val="it-IT"/>
              </w:rPr>
            </w:pPr>
            <w:r w:rsidRPr="00295E71">
              <w:rPr>
                <w:b/>
                <w:lang w:val="it-IT"/>
              </w:rPr>
              <w:t>Penna</w:t>
            </w:r>
          </w:p>
          <w:p w:rsidR="006224C2" w:rsidRPr="00295E71" w:rsidP="005F3CB6" w14:paraId="45B57155" w14:textId="77777777">
            <w:pPr>
              <w:pStyle w:val="EMEANormal"/>
              <w:keepNext/>
              <w:rPr>
                <w:noProof/>
                <w:lang w:val="it-IT"/>
              </w:rPr>
            </w:pPr>
            <w:r w:rsidRPr="00910CE7">
              <w:rPr>
                <w:noProof/>
                <w:lang w:val="en-GB"/>
              </w:rPr>
              <w:drawing>
                <wp:inline distT="0" distB="0" distL="0" distR="0">
                  <wp:extent cx="2162175" cy="2286000"/>
                  <wp:effectExtent l="0" t="0" r="0" b="0"/>
                  <wp:docPr id="80" name="Picture 79"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2" descr="STEP2_grey"/>
                          <pic:cNvPicPr>
                            <a:picLocks noChangeAspect="1" noChangeArrowheads="1"/>
                          </pic:cNvPicPr>
                        </pic:nvPicPr>
                        <pic:blipFill>
                          <a:blip xmlns:r="http://schemas.openxmlformats.org/officeDocument/2006/relationships" r:embed="rId7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175" cy="2286000"/>
                          </a:xfrm>
                          <a:prstGeom prst="rect">
                            <a:avLst/>
                          </a:prstGeom>
                          <a:noFill/>
                          <a:ln>
                            <a:noFill/>
                          </a:ln>
                        </pic:spPr>
                      </pic:pic>
                    </a:graphicData>
                  </a:graphic>
                </wp:inline>
              </w:drawing>
            </w:r>
          </w:p>
          <w:p w:rsidR="006224C2" w:rsidRPr="00295E71" w:rsidP="005F3CB6" w14:paraId="5CC99674" w14:textId="77777777">
            <w:pPr>
              <w:pStyle w:val="EMEANormal"/>
              <w:keepNext/>
              <w:rPr>
                <w:b/>
                <w:lang w:val="it-IT"/>
              </w:rPr>
            </w:pPr>
            <w:r w:rsidRPr="00295E71">
              <w:rPr>
                <w:b/>
                <w:lang w:val="it-IT"/>
              </w:rPr>
              <w:t xml:space="preserve">                Tampone</w:t>
            </w:r>
          </w:p>
        </w:tc>
        <w:tc>
          <w:tcPr>
            <w:tcW w:w="5579" w:type="dxa"/>
            <w:tcBorders>
              <w:left w:val="nil"/>
            </w:tcBorders>
          </w:tcPr>
          <w:p w:rsidR="006224C2" w:rsidRPr="00295E71" w:rsidP="005F3CB6" w14:paraId="3C9DD268" w14:textId="77777777">
            <w:pPr>
              <w:pStyle w:val="EMEAHeadingLeaflet"/>
              <w:keepNext/>
              <w:spacing w:beforeLines="0" w:afterLines="0"/>
              <w:rPr>
                <w:rFonts w:ascii="Times New Roman" w:hAnsi="Times New Roman"/>
                <w:b w:val="0"/>
                <w:szCs w:val="22"/>
                <w:lang w:val="it-IT"/>
              </w:rPr>
            </w:pPr>
          </w:p>
          <w:p w:rsidR="006224C2" w:rsidRPr="00295E71" w:rsidP="005F3CB6" w14:paraId="0D9DB9B3"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Controlli la data di scadenza (Scad.). </w:t>
            </w:r>
            <w:r w:rsidRPr="00295E71">
              <w:rPr>
                <w:rFonts w:ascii="Times New Roman" w:hAnsi="Times New Roman"/>
                <w:szCs w:val="22"/>
                <w:lang w:val="it-IT"/>
              </w:rPr>
              <w:t>Non</w:t>
            </w:r>
            <w:r w:rsidRPr="00295E71">
              <w:rPr>
                <w:rFonts w:ascii="Times New Roman" w:hAnsi="Times New Roman"/>
                <w:b w:val="0"/>
                <w:szCs w:val="22"/>
                <w:lang w:val="it-IT"/>
              </w:rPr>
              <w:t xml:space="preserve"> usi la penna pre-riempita se è stata oltrepassata la data di scadenza.</w:t>
            </w:r>
          </w:p>
          <w:p w:rsidR="006224C2" w:rsidRPr="00295E71" w:rsidP="005F3CB6" w14:paraId="76E9BA4D" w14:textId="77777777">
            <w:pPr>
              <w:pStyle w:val="EMEANormal"/>
              <w:keepNext/>
              <w:rPr>
                <w:lang w:val="it-IT"/>
              </w:rPr>
            </w:pPr>
          </w:p>
          <w:p w:rsidR="006224C2" w:rsidRPr="00295E71" w:rsidP="005F3CB6" w14:paraId="7F9D179A"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Disponga i seguenti oggetti su una superficie piana e pulita </w:t>
            </w:r>
          </w:p>
          <w:p w:rsidR="006224C2" w:rsidRPr="00295E71" w:rsidP="005F3CB6" w14:paraId="489F640F" w14:textId="77777777">
            <w:pPr>
              <w:pStyle w:val="EMEANormal"/>
              <w:keepNext/>
              <w:rPr>
                <w:lang w:val="it-IT"/>
              </w:rPr>
            </w:pPr>
          </w:p>
          <w:p w:rsidR="006224C2" w:rsidRPr="00295E71" w:rsidP="005F3CB6" w14:paraId="25CE69B2" w14:textId="77777777">
            <w:pPr>
              <w:pStyle w:val="EMEAHeadingLeaflet"/>
              <w:keepNext/>
              <w:numPr>
                <w:ilvl w:val="0"/>
                <w:numId w:val="102"/>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1 penna pre-riempita monouso </w:t>
            </w:r>
          </w:p>
          <w:p w:rsidR="006224C2" w:rsidRPr="00295E71" w:rsidP="005F3CB6" w14:paraId="7AB987C2" w14:textId="77777777">
            <w:pPr>
              <w:pStyle w:val="EMEAHeadingLeaflet"/>
              <w:keepNext/>
              <w:numPr>
                <w:ilvl w:val="0"/>
                <w:numId w:val="102"/>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1 tampone imbevuto di alcool</w:t>
            </w:r>
          </w:p>
          <w:p w:rsidR="006224C2" w:rsidRPr="00295E71" w:rsidP="005F3CB6" w14:paraId="3A9A2339" w14:textId="77777777">
            <w:pPr>
              <w:pStyle w:val="EMEANormal"/>
              <w:keepNext/>
              <w:rPr>
                <w:lang w:val="it-IT"/>
              </w:rPr>
            </w:pPr>
          </w:p>
          <w:p w:rsidR="006224C2" w:rsidRPr="00295E71" w:rsidP="005F3CB6" w14:paraId="46462463" w14:textId="77777777">
            <w:pPr>
              <w:pStyle w:val="EMEANormal"/>
              <w:keepNext/>
              <w:rPr>
                <w:lang w:val="it-IT"/>
              </w:rPr>
            </w:pPr>
            <w:r w:rsidRPr="00295E71">
              <w:rPr>
                <w:lang w:val="it-IT"/>
              </w:rPr>
              <w:t>Si lavi ed asciughi le mani.</w:t>
            </w:r>
          </w:p>
        </w:tc>
      </w:tr>
      <w:tr w14:paraId="2B3923FF" w14:textId="77777777">
        <w:tblPrEx>
          <w:tblW w:w="9287" w:type="dxa"/>
          <w:tblLayout w:type="fixed"/>
          <w:tblLook w:val="04A0"/>
        </w:tblPrEx>
        <w:tc>
          <w:tcPr>
            <w:tcW w:w="3708" w:type="dxa"/>
            <w:tcBorders>
              <w:right w:val="nil"/>
            </w:tcBorders>
          </w:tcPr>
          <w:p w:rsidR="006224C2" w:rsidRPr="00295E71" w14:paraId="631F58E4" w14:textId="77777777">
            <w:pPr>
              <w:pStyle w:val="EMEANormal"/>
              <w:rPr>
                <w:b/>
                <w:lang w:val="it-IT"/>
              </w:rPr>
            </w:pPr>
            <w:r w:rsidRPr="00295E71">
              <w:rPr>
                <w:b/>
                <w:lang w:val="it-IT"/>
              </w:rPr>
              <w:t>STEP 3</w:t>
            </w:r>
          </w:p>
          <w:p w:rsidR="006224C2" w:rsidRPr="00295E71" w14:paraId="44A21D43" w14:textId="77777777">
            <w:pPr>
              <w:pStyle w:val="EMEANormal"/>
              <w:rPr>
                <w:b/>
                <w:lang w:val="it-IT"/>
              </w:rPr>
            </w:pPr>
          </w:p>
          <w:p w:rsidR="006224C2" w:rsidRPr="00295E71" w14:paraId="1A49658A" w14:textId="77777777">
            <w:pPr>
              <w:pStyle w:val="EMEANormal"/>
              <w:rPr>
                <w:b/>
                <w:lang w:val="it-IT"/>
              </w:rPr>
            </w:pPr>
            <w:r w:rsidRPr="00295E71">
              <w:rPr>
                <w:b/>
                <w:lang w:val="it-IT"/>
              </w:rPr>
              <w:t>Aree di somministrazione</w:t>
            </w:r>
          </w:p>
          <w:p w:rsidR="006224C2" w:rsidRPr="00295E71" w14:paraId="0CC91C94" w14:textId="77777777">
            <w:pPr>
              <w:pStyle w:val="EMEANormal"/>
              <w:rPr>
                <w:noProof/>
                <w:lang w:val="it-IT"/>
              </w:rPr>
            </w:pPr>
            <w:r w:rsidRPr="00910CE7">
              <w:rPr>
                <w:noProof/>
                <w:lang w:val="en-GB"/>
              </w:rPr>
              <w:drawing>
                <wp:inline distT="0" distB="0" distL="0" distR="0">
                  <wp:extent cx="2276475" cy="2381250"/>
                  <wp:effectExtent l="0" t="0" r="0" b="0"/>
                  <wp:docPr id="81" name="Picture 80"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3" descr="STEP3_grey"/>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rsidR="006224C2" w:rsidRPr="00295E71" w14:paraId="1A5A0B25" w14:textId="77777777">
            <w:pPr>
              <w:pStyle w:val="EMEANormal"/>
              <w:rPr>
                <w:b/>
                <w:lang w:val="it-IT"/>
              </w:rPr>
            </w:pPr>
            <w:r w:rsidRPr="00295E71">
              <w:rPr>
                <w:b/>
                <w:lang w:val="it-IT"/>
              </w:rPr>
              <w:t>Aree di somministrazione</w:t>
            </w:r>
          </w:p>
        </w:tc>
        <w:tc>
          <w:tcPr>
            <w:tcW w:w="5579" w:type="dxa"/>
            <w:tcBorders>
              <w:left w:val="nil"/>
            </w:tcBorders>
          </w:tcPr>
          <w:p w:rsidR="006224C2" w:rsidRPr="00295E71" w14:paraId="0B6A58D2" w14:textId="77777777">
            <w:pPr>
              <w:pStyle w:val="EMEAHeadingLeaflet"/>
              <w:spacing w:beforeLines="0" w:afterLines="0"/>
              <w:rPr>
                <w:rFonts w:ascii="Times New Roman" w:hAnsi="Times New Roman"/>
                <w:b w:val="0"/>
                <w:szCs w:val="22"/>
                <w:lang w:val="it-IT"/>
              </w:rPr>
            </w:pPr>
          </w:p>
          <w:p w:rsidR="006224C2" w:rsidRPr="00295E71" w14:paraId="09DE239E"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Scelga un sito di somministrazione:</w:t>
            </w:r>
          </w:p>
          <w:p w:rsidR="006224C2" w:rsidRPr="00295E71" w14:paraId="2A092823" w14:textId="77777777">
            <w:pPr>
              <w:pStyle w:val="EMEANormal"/>
              <w:rPr>
                <w:lang w:val="it-IT"/>
              </w:rPr>
            </w:pPr>
          </w:p>
          <w:p w:rsidR="006224C2" w:rsidRPr="00295E71" w14:paraId="3C5581FC" w14:textId="77777777">
            <w:pPr>
              <w:pStyle w:val="EMEAHeadingLeaflet"/>
              <w:numPr>
                <w:ilvl w:val="0"/>
                <w:numId w:val="103"/>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Sulla parte anteriore della coscia o</w:t>
            </w:r>
          </w:p>
          <w:p w:rsidR="006224C2" w:rsidRPr="00295E71" w14:paraId="37686E06" w14:textId="77777777">
            <w:pPr>
              <w:pStyle w:val="EMEAHeadingLeaflet"/>
              <w:numPr>
                <w:ilvl w:val="0"/>
                <w:numId w:val="103"/>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Sulla pancia (addome) ad una distanza di almeno 5 cm dall’ombelico</w:t>
            </w:r>
          </w:p>
          <w:p w:rsidR="006224C2" w:rsidRPr="00295E71" w14:paraId="3C51AEFA" w14:textId="77777777">
            <w:pPr>
              <w:pStyle w:val="EMEAHeadingLeafle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Ad una distanza di almeno 3 centimetri dall’ultimo sito di iniezione prescelto</w:t>
            </w:r>
          </w:p>
          <w:p w:rsidR="006224C2" w:rsidRPr="00295E71" w14:paraId="24B27BA6" w14:textId="77777777">
            <w:pPr>
              <w:pStyle w:val="EMEANormal"/>
              <w:rPr>
                <w:lang w:val="it-IT"/>
              </w:rPr>
            </w:pPr>
          </w:p>
          <w:p w:rsidR="006224C2" w:rsidRPr="00295E71" w14:paraId="6E3E4613"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Pulisca accuratamente il sito di iniezione con movimenti circolari utilizzando il tampone imbevuto di alcool.</w:t>
            </w:r>
          </w:p>
          <w:p w:rsidR="006224C2" w:rsidRPr="00295E71" w14:paraId="66133EA3" w14:textId="77777777">
            <w:pPr>
              <w:pStyle w:val="EMEANormal"/>
              <w:rPr>
                <w:lang w:val="it-IT"/>
              </w:rPr>
            </w:pPr>
          </w:p>
          <w:p w:rsidR="006224C2" w:rsidRPr="00295E71" w14:paraId="0B56D73F" w14:textId="77777777">
            <w:pPr>
              <w:pStyle w:val="EMEAHeadingLeaflet"/>
              <w:numPr>
                <w:ilvl w:val="0"/>
                <w:numId w:val="104"/>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iniettare attraverso i vestiti</w:t>
            </w:r>
          </w:p>
          <w:p w:rsidR="006224C2" w:rsidRPr="00295E71" w14:paraId="1D8C522C" w14:textId="77777777">
            <w:pPr>
              <w:pStyle w:val="EMEANormal"/>
              <w:numPr>
                <w:ilvl w:val="0"/>
                <w:numId w:val="104"/>
              </w:numPr>
              <w:tabs>
                <w:tab w:val="clear" w:pos="562"/>
                <w:tab w:val="left" w:pos="757"/>
              </w:tabs>
              <w:ind w:left="757"/>
              <w:rPr>
                <w:lang w:val="it-IT"/>
              </w:rPr>
            </w:pPr>
            <w:r w:rsidRPr="00295E71">
              <w:rPr>
                <w:b/>
                <w:lang w:val="it-IT"/>
              </w:rPr>
              <w:t xml:space="preserve">Non </w:t>
            </w:r>
            <w:r w:rsidRPr="00295E71">
              <w:rPr>
                <w:lang w:val="it-IT"/>
              </w:rPr>
              <w:t>iniettare su pelle lesa, contusa, arrossata, indurita, che presenta cicatrici, smagliature o in aree con psoriasi a placche</w:t>
            </w:r>
          </w:p>
        </w:tc>
      </w:tr>
      <w:tr w14:paraId="6D3EBBFC" w14:textId="77777777">
        <w:tblPrEx>
          <w:tblW w:w="9287" w:type="dxa"/>
          <w:tblLayout w:type="fixed"/>
          <w:tblLook w:val="04A0"/>
        </w:tblPrEx>
        <w:tc>
          <w:tcPr>
            <w:tcW w:w="3708" w:type="dxa"/>
            <w:tcBorders>
              <w:right w:val="nil"/>
            </w:tcBorders>
          </w:tcPr>
          <w:p w:rsidR="006224C2" w:rsidRPr="00295E71" w:rsidP="001108AC" w14:paraId="4A26C873" w14:textId="77777777">
            <w:pPr>
              <w:pStyle w:val="EMEANormal"/>
              <w:rPr>
                <w:b/>
                <w:lang w:val="it-IT"/>
              </w:rPr>
            </w:pPr>
            <w:r w:rsidRPr="00295E71">
              <w:rPr>
                <w:b/>
                <w:lang w:val="it-IT"/>
              </w:rPr>
              <w:t>STEP 4</w:t>
            </w:r>
          </w:p>
          <w:p w:rsidR="006224C2" w:rsidRPr="00295E71" w:rsidP="001108AC" w14:paraId="4CE4C34F" w14:textId="77777777">
            <w:pPr>
              <w:pStyle w:val="EMEANormal"/>
              <w:rPr>
                <w:b/>
                <w:lang w:val="it-IT"/>
              </w:rPr>
            </w:pPr>
          </w:p>
          <w:p w:rsidR="006224C2" w:rsidRPr="00295E71" w:rsidP="001108AC" w14:paraId="7F259E3D" w14:textId="77777777">
            <w:pPr>
              <w:pStyle w:val="EMEANormal"/>
              <w:rPr>
                <w:lang w:val="it-IT"/>
              </w:rPr>
            </w:pPr>
            <w:r w:rsidRPr="00910CE7">
              <w:rPr>
                <w:noProof/>
                <w:lang w:val="en-GB"/>
              </w:rPr>
              <w:drawing>
                <wp:inline distT="0" distB="0" distL="0" distR="0">
                  <wp:extent cx="2209800" cy="2047875"/>
                  <wp:effectExtent l="0" t="0" r="0" b="0"/>
                  <wp:docPr id="82" name="Picture 81"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4" descr="STEP4_grey"/>
                          <pic:cNvPicPr>
                            <a:picLocks noChangeAspect="1" noChangeArrowheads="1"/>
                          </pic:cNvPicPr>
                        </pic:nvPicPr>
                        <pic:blipFill>
                          <a:blip xmlns:r="http://schemas.openxmlformats.org/officeDocument/2006/relationships" r:embed="rId7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9800" cy="2047875"/>
                          </a:xfrm>
                          <a:prstGeom prst="rect">
                            <a:avLst/>
                          </a:prstGeom>
                          <a:noFill/>
                          <a:ln>
                            <a:noFill/>
                          </a:ln>
                        </pic:spPr>
                      </pic:pic>
                    </a:graphicData>
                  </a:graphic>
                </wp:inline>
              </w:drawing>
            </w:r>
          </w:p>
        </w:tc>
        <w:tc>
          <w:tcPr>
            <w:tcW w:w="5579" w:type="dxa"/>
            <w:tcBorders>
              <w:left w:val="nil"/>
            </w:tcBorders>
          </w:tcPr>
          <w:p w:rsidR="006224C2" w:rsidRPr="00295E71" w:rsidP="001108AC" w14:paraId="6134839E" w14:textId="77777777">
            <w:pPr>
              <w:pStyle w:val="EMEAHeadingLeaflet"/>
              <w:spacing w:beforeLines="0" w:afterLines="0"/>
              <w:rPr>
                <w:rFonts w:ascii="Times New Roman" w:hAnsi="Times New Roman"/>
                <w:b w:val="0"/>
                <w:szCs w:val="22"/>
                <w:lang w:val="it-IT"/>
              </w:rPr>
            </w:pPr>
          </w:p>
          <w:p w:rsidR="006224C2" w:rsidRPr="00295E71" w:rsidP="001108AC" w14:paraId="36AA2F2C"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Tenga la penna pre-riempita con il tappo grigio (1) rivolto verso l’alto. </w:t>
            </w:r>
          </w:p>
          <w:p w:rsidR="006224C2" w:rsidRPr="00295E71" w:rsidP="001108AC" w14:paraId="39E07E9B" w14:textId="77777777">
            <w:pPr>
              <w:pStyle w:val="EMEANormal"/>
              <w:rPr>
                <w:lang w:val="it-IT"/>
              </w:rPr>
            </w:pPr>
          </w:p>
          <w:p w:rsidR="006224C2" w:rsidRPr="00295E71" w:rsidP="001108AC" w14:paraId="7465CF0E"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Controlli attraverso la finestra di ispezione.</w:t>
            </w:r>
          </w:p>
          <w:p w:rsidR="006224C2" w:rsidRPr="00295E71" w:rsidP="001108AC" w14:paraId="00C5489F" w14:textId="77777777">
            <w:pPr>
              <w:pStyle w:val="EMEANormal"/>
              <w:rPr>
                <w:lang w:val="it-IT"/>
              </w:rPr>
            </w:pPr>
          </w:p>
          <w:p w:rsidR="006224C2" w:rsidRPr="00295E71" w:rsidP="001108AC" w14:paraId="2B7FAB0B" w14:textId="77777777">
            <w:pPr>
              <w:pStyle w:val="EMEAHeadingLeaflet"/>
              <w:numPr>
                <w:ilvl w:val="0"/>
                <w:numId w:val="105"/>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È normale notare la presenza di una o più bolle nella finestra</w:t>
            </w:r>
          </w:p>
          <w:p w:rsidR="006224C2" w:rsidRPr="00295E71" w:rsidP="001108AC" w14:paraId="5BD19013" w14:textId="77777777">
            <w:pPr>
              <w:pStyle w:val="EMEAHeadingLeaflet"/>
              <w:numPr>
                <w:ilvl w:val="0"/>
                <w:numId w:val="105"/>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Si assicuri che la soluzione sia limpida ed incolore</w:t>
            </w:r>
          </w:p>
          <w:p w:rsidR="006224C2" w:rsidRPr="00295E71" w:rsidP="001108AC" w14:paraId="11910E65" w14:textId="77777777">
            <w:pPr>
              <w:pStyle w:val="EMEAHeadingLeaflet"/>
              <w:numPr>
                <w:ilvl w:val="0"/>
                <w:numId w:val="105"/>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usi la penna pre-riempita se la soluzione appare torbida o presenta particelle</w:t>
            </w:r>
          </w:p>
          <w:p w:rsidR="006224C2" w:rsidRPr="00295E71" w:rsidP="001108AC" w14:paraId="04E200A0" w14:textId="77777777">
            <w:pPr>
              <w:pStyle w:val="EMEANormal"/>
              <w:numPr>
                <w:ilvl w:val="0"/>
                <w:numId w:val="105"/>
              </w:numPr>
              <w:tabs>
                <w:tab w:val="clear" w:pos="562"/>
                <w:tab w:val="left" w:pos="757"/>
              </w:tabs>
              <w:rPr>
                <w:lang w:val="it-IT"/>
              </w:rPr>
            </w:pPr>
            <w:r w:rsidRPr="00295E71">
              <w:rPr>
                <w:b/>
                <w:lang w:val="it-IT"/>
              </w:rPr>
              <w:t xml:space="preserve">Non </w:t>
            </w:r>
            <w:r w:rsidRPr="00295E71">
              <w:rPr>
                <w:lang w:val="it-IT"/>
              </w:rPr>
              <w:t>usaresela penna pre-riempita è caduta o è stata danneggiata</w:t>
            </w:r>
          </w:p>
        </w:tc>
      </w:tr>
      <w:tr w14:paraId="5429A5B0" w14:textId="77777777">
        <w:tblPrEx>
          <w:tblW w:w="9287" w:type="dxa"/>
          <w:tblLayout w:type="fixed"/>
          <w:tblLook w:val="04A0"/>
        </w:tblPrEx>
        <w:tc>
          <w:tcPr>
            <w:tcW w:w="3708" w:type="dxa"/>
            <w:tcBorders>
              <w:right w:val="nil"/>
            </w:tcBorders>
          </w:tcPr>
          <w:p w:rsidR="006224C2" w:rsidRPr="00295E71" w:rsidP="001108AC" w14:paraId="1ABEA5CA" w14:textId="77777777">
            <w:pPr>
              <w:pStyle w:val="EMEANormal"/>
              <w:keepNext/>
              <w:rPr>
                <w:lang w:val="it-IT"/>
              </w:rPr>
            </w:pPr>
            <w:r w:rsidRPr="00295E71">
              <w:rPr>
                <w:lang w:val="it-IT"/>
              </w:rPr>
              <w:br w:type="page"/>
            </w:r>
            <w:r w:rsidRPr="00295E71">
              <w:rPr>
                <w:b/>
                <w:lang w:val="it-IT"/>
              </w:rPr>
              <w:t>STEP 5</w:t>
            </w:r>
          </w:p>
          <w:p w:rsidR="006224C2" w:rsidRPr="00295E71" w:rsidP="001108AC" w14:paraId="1EEAF7F3" w14:textId="77777777">
            <w:pPr>
              <w:pStyle w:val="EMEANormal"/>
              <w:keepNext/>
              <w:rPr>
                <w:lang w:val="it-IT"/>
              </w:rPr>
            </w:pPr>
          </w:p>
          <w:p w:rsidR="006224C2" w:rsidRPr="00295E71" w:rsidP="001108AC" w14:paraId="3736D648" w14:textId="77777777">
            <w:pPr>
              <w:pStyle w:val="EMEANormal"/>
              <w:keepNext/>
              <w:spacing w:after="100" w:afterAutospacing="1"/>
              <w:rPr>
                <w:b/>
                <w:lang w:val="it-IT"/>
              </w:rPr>
            </w:pPr>
            <w:r w:rsidRPr="00295E71">
              <w:rPr>
                <w:b/>
                <w:lang w:val="it-IT"/>
              </w:rPr>
              <w:t>Tappo 1</w:t>
            </w:r>
          </w:p>
          <w:p w:rsidR="006224C2" w:rsidRPr="00295E71" w:rsidP="001108AC" w14:paraId="4DC75A0D" w14:textId="77777777">
            <w:pPr>
              <w:pStyle w:val="EMEANormal"/>
              <w:keepNext/>
              <w:rPr>
                <w:noProof/>
                <w:lang w:val="it-IT"/>
              </w:rPr>
            </w:pPr>
            <w:r w:rsidRPr="00910CE7">
              <w:rPr>
                <w:noProof/>
                <w:lang w:val="en-GB"/>
              </w:rPr>
              <w:drawing>
                <wp:inline distT="0" distB="0" distL="0" distR="0">
                  <wp:extent cx="2028825" cy="1847850"/>
                  <wp:effectExtent l="0" t="0" r="0" b="0"/>
                  <wp:docPr id="83" name="Picture 82"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5" descr="EU_IFU_STEP5_grey"/>
                          <pic:cNvPicPr>
                            <a:picLocks noChangeAspect="1" noChangeArrowheads="1"/>
                          </pic:cNvPicPr>
                        </pic:nvPicPr>
                        <pic:blipFill>
                          <a:blip xmlns:r="http://schemas.openxmlformats.org/officeDocument/2006/relationships" r:embed="rId7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28825" cy="1847850"/>
                          </a:xfrm>
                          <a:prstGeom prst="rect">
                            <a:avLst/>
                          </a:prstGeom>
                          <a:noFill/>
                          <a:ln>
                            <a:noFill/>
                          </a:ln>
                        </pic:spPr>
                      </pic:pic>
                    </a:graphicData>
                  </a:graphic>
                </wp:inline>
              </w:drawing>
            </w:r>
          </w:p>
          <w:p w:rsidR="006224C2" w:rsidRPr="00295E71" w:rsidP="001108AC" w14:paraId="73D69304" w14:textId="77777777">
            <w:pPr>
              <w:pStyle w:val="EMEANormal"/>
              <w:keepNext/>
              <w:rPr>
                <w:b/>
                <w:lang w:val="it-IT"/>
              </w:rPr>
            </w:pPr>
            <w:r w:rsidRPr="00295E71">
              <w:rPr>
                <w:b/>
                <w:lang w:val="it-IT"/>
              </w:rPr>
              <w:t xml:space="preserve">                                            Tappo 2</w:t>
            </w:r>
          </w:p>
        </w:tc>
        <w:tc>
          <w:tcPr>
            <w:tcW w:w="5579" w:type="dxa"/>
            <w:tcBorders>
              <w:left w:val="nil"/>
            </w:tcBorders>
          </w:tcPr>
          <w:p w:rsidR="006224C2" w:rsidRPr="00295E71" w:rsidP="001108AC" w14:paraId="09D2E8AF" w14:textId="77777777">
            <w:pPr>
              <w:pStyle w:val="EMEAHeadingLeaflet"/>
              <w:keepNext/>
              <w:spacing w:beforeLines="0" w:afterLines="0"/>
              <w:rPr>
                <w:rFonts w:ascii="Times New Roman" w:hAnsi="Times New Roman"/>
                <w:b w:val="0"/>
                <w:szCs w:val="22"/>
                <w:lang w:val="it-IT"/>
              </w:rPr>
            </w:pPr>
          </w:p>
          <w:p w:rsidR="006224C2" w:rsidRPr="00295E71" w:rsidP="001108AC" w14:paraId="7B352829"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Rimuova il tappo grigio (1). Getti via il tappo. Non rimetta il tappo.</w:t>
            </w:r>
          </w:p>
          <w:p w:rsidR="006224C2" w:rsidRPr="00295E71" w:rsidP="001108AC" w14:paraId="41529BA4" w14:textId="77777777">
            <w:pPr>
              <w:pStyle w:val="EMEANormal"/>
              <w:keepNext/>
              <w:rPr>
                <w:lang w:val="it-IT"/>
              </w:rPr>
            </w:pPr>
          </w:p>
          <w:p w:rsidR="006224C2" w:rsidRPr="00295E71" w:rsidP="001108AC" w14:paraId="1929A80A" w14:textId="77777777">
            <w:pPr>
              <w:pStyle w:val="EMEAHeadingLeaflet"/>
              <w:keepNext/>
              <w:numPr>
                <w:ilvl w:val="0"/>
                <w:numId w:val="106"/>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Verifichi che la protezione nera che ricopre l’ago della siringa sia stata rimossa insieme al tappo </w:t>
            </w:r>
          </w:p>
          <w:p w:rsidR="006224C2" w:rsidRPr="00295E71" w:rsidP="001108AC" w14:paraId="6E2049B8" w14:textId="77777777">
            <w:pPr>
              <w:pStyle w:val="EMEAHeadingLeaflet"/>
              <w:keepNext/>
              <w:numPr>
                <w:ilvl w:val="0"/>
                <w:numId w:val="106"/>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È normale che alcune piccole gocce di liquido fuoriescano dall’ago </w:t>
            </w:r>
          </w:p>
          <w:p w:rsidR="006224C2" w:rsidRPr="00295E71" w:rsidP="001108AC" w14:paraId="67B8F9A0" w14:textId="77777777">
            <w:pPr>
              <w:pStyle w:val="EMEANormal"/>
              <w:keepNext/>
              <w:rPr>
                <w:lang w:val="it-IT"/>
              </w:rPr>
            </w:pPr>
          </w:p>
          <w:p w:rsidR="006224C2" w:rsidRPr="00295E71" w:rsidP="001108AC" w14:paraId="3E4D4A9D"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Rimuova il tappo viola (2). Getti via il tappo. Non rimetta il tappo.</w:t>
            </w:r>
          </w:p>
          <w:p w:rsidR="006224C2" w:rsidRPr="00295E71" w:rsidP="001108AC" w14:paraId="36343A8F" w14:textId="77777777">
            <w:pPr>
              <w:pStyle w:val="EMEANormal"/>
              <w:keepNext/>
              <w:rPr>
                <w:lang w:val="it-IT"/>
              </w:rPr>
            </w:pPr>
          </w:p>
          <w:p w:rsidR="006224C2" w:rsidRPr="00295E71" w:rsidP="001108AC" w14:paraId="0CB74B68" w14:textId="77777777">
            <w:pPr>
              <w:pStyle w:val="EMEANormal"/>
              <w:keepNext/>
              <w:rPr>
                <w:lang w:val="it-IT"/>
              </w:rPr>
            </w:pPr>
            <w:r w:rsidRPr="00295E71">
              <w:rPr>
                <w:lang w:val="it-IT"/>
              </w:rPr>
              <w:t>La penna pre-riempita è ora pronta per l’uso.</w:t>
            </w:r>
          </w:p>
          <w:p w:rsidR="006224C2" w:rsidRPr="00295E71" w:rsidP="001108AC" w14:paraId="6ED484E2" w14:textId="77777777">
            <w:pPr>
              <w:pStyle w:val="EMEANormal"/>
              <w:keepNext/>
              <w:rPr>
                <w:lang w:val="it-IT"/>
              </w:rPr>
            </w:pPr>
          </w:p>
          <w:p w:rsidR="006224C2" w:rsidRPr="00295E71" w:rsidP="001108AC" w14:paraId="69FAC377" w14:textId="77777777">
            <w:pPr>
              <w:pStyle w:val="EMEANormal"/>
              <w:keepNext/>
              <w:rPr>
                <w:lang w:val="it-IT"/>
              </w:rPr>
            </w:pPr>
            <w:r w:rsidRPr="00295E71">
              <w:rPr>
                <w:lang w:val="it-IT"/>
              </w:rPr>
              <w:t>Ruoti la penna pre-riempita in modo che la freccia bianca sia rivolta verso il sito di iniezione.</w:t>
            </w:r>
          </w:p>
        </w:tc>
      </w:tr>
      <w:tr w14:paraId="39F16589" w14:textId="77777777">
        <w:tblPrEx>
          <w:tblW w:w="9287" w:type="dxa"/>
          <w:tblLayout w:type="fixed"/>
          <w:tblLook w:val="04A0"/>
        </w:tblPrEx>
        <w:tc>
          <w:tcPr>
            <w:tcW w:w="3708" w:type="dxa"/>
            <w:tcBorders>
              <w:right w:val="nil"/>
            </w:tcBorders>
          </w:tcPr>
          <w:p w:rsidR="006224C2" w:rsidRPr="00295E71" w14:paraId="5CC63BA2" w14:textId="77777777">
            <w:pPr>
              <w:pStyle w:val="EMEANormal"/>
              <w:rPr>
                <w:b/>
                <w:lang w:val="it-IT"/>
              </w:rPr>
            </w:pPr>
            <w:r w:rsidRPr="00295E71">
              <w:rPr>
                <w:b/>
                <w:lang w:val="it-IT"/>
              </w:rPr>
              <w:t>STEP 6</w:t>
            </w:r>
          </w:p>
          <w:p w:rsidR="006224C2" w:rsidRPr="00295E71" w14:paraId="3BEAA8DE" w14:textId="77777777">
            <w:pPr>
              <w:pStyle w:val="EMEANormal"/>
              <w:rPr>
                <w:lang w:val="it-IT"/>
              </w:rPr>
            </w:pPr>
            <w:r w:rsidRPr="00910CE7">
              <w:rPr>
                <w:noProof/>
                <w:lang w:val="en-GB"/>
              </w:rPr>
              <w:drawing>
                <wp:inline distT="0" distB="0" distL="0" distR="0">
                  <wp:extent cx="2257425" cy="2143125"/>
                  <wp:effectExtent l="0" t="0" r="0" b="0"/>
                  <wp:docPr id="84" name="Picture 83"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6" descr="STEP6_grey"/>
                          <pic:cNvPicPr>
                            <a:picLocks noChangeAspect="1" noChangeArrowheads="1"/>
                          </pic:cNvPicPr>
                        </pic:nvPicPr>
                        <pic:blipFill>
                          <a:blip xmlns:r="http://schemas.openxmlformats.org/officeDocument/2006/relationships" r:embed="rId7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57425" cy="2143125"/>
                          </a:xfrm>
                          <a:prstGeom prst="rect">
                            <a:avLst/>
                          </a:prstGeom>
                          <a:noFill/>
                          <a:ln>
                            <a:noFill/>
                          </a:ln>
                        </pic:spPr>
                      </pic:pic>
                    </a:graphicData>
                  </a:graphic>
                </wp:inline>
              </w:drawing>
            </w:r>
          </w:p>
        </w:tc>
        <w:tc>
          <w:tcPr>
            <w:tcW w:w="5579" w:type="dxa"/>
            <w:tcBorders>
              <w:left w:val="nil"/>
            </w:tcBorders>
          </w:tcPr>
          <w:p w:rsidR="006224C2" w:rsidRPr="00295E71" w14:paraId="345D1F85" w14:textId="77777777">
            <w:pPr>
              <w:pStyle w:val="EMEAHeadingLeaflet"/>
              <w:spacing w:beforeLines="0" w:afterLines="0"/>
              <w:rPr>
                <w:rFonts w:ascii="Times New Roman" w:hAnsi="Times New Roman"/>
                <w:b w:val="0"/>
                <w:szCs w:val="22"/>
                <w:lang w:val="it-IT"/>
              </w:rPr>
            </w:pPr>
          </w:p>
          <w:p w:rsidR="006224C2" w:rsidRPr="00295E71" w14:paraId="738F071B"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Con l</w:t>
            </w:r>
            <w:r w:rsidRPr="00295E71" w:rsidR="00E35781">
              <w:rPr>
                <w:rFonts w:ascii="Times New Roman" w:hAnsi="Times New Roman"/>
                <w:b w:val="0"/>
                <w:szCs w:val="22"/>
                <w:lang w:val="it-IT"/>
              </w:rPr>
              <w:t>’</w:t>
            </w:r>
            <w:r w:rsidRPr="00295E71">
              <w:rPr>
                <w:rFonts w:ascii="Times New Roman" w:hAnsi="Times New Roman"/>
                <w:b w:val="0"/>
                <w:szCs w:val="22"/>
                <w:lang w:val="it-IT"/>
              </w:rPr>
              <w:t>a</w:t>
            </w:r>
            <w:r w:rsidRPr="00295E71" w:rsidR="00E35781">
              <w:rPr>
                <w:rFonts w:ascii="Times New Roman" w:hAnsi="Times New Roman"/>
                <w:b w:val="0"/>
                <w:szCs w:val="22"/>
                <w:lang w:val="it-IT"/>
              </w:rPr>
              <w:t>ltra</w:t>
            </w:r>
            <w:r w:rsidRPr="00295E71">
              <w:rPr>
                <w:rFonts w:ascii="Times New Roman" w:hAnsi="Times New Roman"/>
                <w:b w:val="0"/>
                <w:szCs w:val="22"/>
                <w:lang w:val="it-IT"/>
              </w:rPr>
              <w:t xml:space="preserve"> mano, afferri la pelle nel sito di iniezione per creare una zona rialzata e la tenga saldamente</w:t>
            </w:r>
            <w:r w:rsidR="00B96E2D">
              <w:rPr>
                <w:rFonts w:ascii="Times New Roman" w:hAnsi="Times New Roman"/>
                <w:b w:val="0"/>
                <w:szCs w:val="22"/>
                <w:lang w:val="it-IT"/>
              </w:rPr>
              <w:t xml:space="preserve"> fino </w:t>
            </w:r>
            <w:r w:rsidR="00754EC9">
              <w:rPr>
                <w:rFonts w:ascii="Times New Roman" w:hAnsi="Times New Roman"/>
                <w:b w:val="0"/>
                <w:szCs w:val="22"/>
                <w:lang w:val="it-IT"/>
              </w:rPr>
              <w:t>a quando l’iniezione è completa</w:t>
            </w:r>
            <w:r w:rsidRPr="00295E71">
              <w:rPr>
                <w:rFonts w:ascii="Times New Roman" w:hAnsi="Times New Roman"/>
                <w:b w:val="0"/>
                <w:szCs w:val="22"/>
                <w:lang w:val="it-IT"/>
              </w:rPr>
              <w:t>.</w:t>
            </w:r>
          </w:p>
          <w:p w:rsidR="006224C2" w:rsidRPr="00295E71" w14:paraId="51109630" w14:textId="77777777">
            <w:pPr>
              <w:pStyle w:val="EMEANormal"/>
              <w:rPr>
                <w:lang w:val="it-IT"/>
              </w:rPr>
            </w:pPr>
          </w:p>
          <w:p w:rsidR="006224C2" w:rsidRPr="00295E71" w14:paraId="045E8130"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Posizioni la freccia bianca verso il sito di iniezione (coscia o addome).</w:t>
            </w:r>
          </w:p>
          <w:p w:rsidR="006224C2" w:rsidRPr="00295E71" w14:paraId="388EC86F" w14:textId="77777777">
            <w:pPr>
              <w:pStyle w:val="EMEANormal"/>
              <w:rPr>
                <w:lang w:val="it-IT"/>
              </w:rPr>
            </w:pPr>
          </w:p>
          <w:p w:rsidR="006224C2" w:rsidRPr="00295E71" w14:paraId="58AC146D"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Posizioni la guaina bianca che ricopre l’ago ad angolo retto </w:t>
            </w:r>
            <w:r w:rsidRPr="00295E71">
              <w:rPr>
                <w:rFonts w:ascii="Times New Roman" w:hAnsi="Times New Roman"/>
                <w:szCs w:val="22"/>
                <w:lang w:val="it-IT"/>
              </w:rPr>
              <w:t>(angolo a 90˚)</w:t>
            </w:r>
            <w:r w:rsidRPr="00295E71">
              <w:rPr>
                <w:rFonts w:ascii="Times New Roman" w:hAnsi="Times New Roman"/>
                <w:b w:val="0"/>
                <w:szCs w:val="22"/>
                <w:lang w:val="it-IT"/>
              </w:rPr>
              <w:t xml:space="preserve"> rispetto al sito di iniezione.</w:t>
            </w:r>
          </w:p>
          <w:p w:rsidR="006224C2" w:rsidRPr="00295E71" w14:paraId="5C988C16" w14:textId="77777777">
            <w:pPr>
              <w:pStyle w:val="EMEANormal"/>
              <w:rPr>
                <w:lang w:val="it-IT"/>
              </w:rPr>
            </w:pPr>
          </w:p>
          <w:p w:rsidR="006224C2" w14:paraId="634316CF" w14:textId="77777777">
            <w:pPr>
              <w:pStyle w:val="EMEANormal"/>
              <w:rPr>
                <w:lang w:val="it-IT"/>
              </w:rPr>
            </w:pPr>
            <w:r w:rsidRPr="00295E71">
              <w:rPr>
                <w:lang w:val="it-IT"/>
              </w:rPr>
              <w:t>Tenga la penna pre-riempita in modo da riuscire a vedere la finestra di ispezione.</w:t>
            </w:r>
          </w:p>
          <w:p w:rsidR="00B96E2D" w14:paraId="1FCEF5D7" w14:textId="77777777">
            <w:pPr>
              <w:pStyle w:val="EMEANormal"/>
              <w:rPr>
                <w:lang w:val="it-IT"/>
              </w:rPr>
            </w:pPr>
          </w:p>
          <w:p w:rsidR="00B96E2D" w:rsidRPr="00295E71" w:rsidP="00AC258B" w14:paraId="61BA0F7F" w14:textId="77777777">
            <w:pPr>
              <w:pStyle w:val="EMEANormal"/>
              <w:rPr>
                <w:lang w:val="it-IT"/>
              </w:rPr>
            </w:pPr>
            <w:r w:rsidRPr="0002593D">
              <w:rPr>
                <w:b/>
                <w:bCs/>
                <w:lang w:val="it-IT"/>
              </w:rPr>
              <w:t>Non</w:t>
            </w:r>
            <w:r>
              <w:rPr>
                <w:lang w:val="it-IT"/>
              </w:rPr>
              <w:t xml:space="preserve"> prema il pulsante di attivazione viola fino a quando non è pronto </w:t>
            </w:r>
            <w:r w:rsidR="00754EC9">
              <w:rPr>
                <w:lang w:val="it-IT"/>
              </w:rPr>
              <w:t>ad</w:t>
            </w:r>
            <w:r>
              <w:rPr>
                <w:lang w:val="it-IT"/>
              </w:rPr>
              <w:t xml:space="preserve"> effettuare l’iniezione.</w:t>
            </w:r>
          </w:p>
        </w:tc>
      </w:tr>
      <w:tr w14:paraId="683F3A3F" w14:textId="77777777">
        <w:tblPrEx>
          <w:tblW w:w="9287" w:type="dxa"/>
          <w:tblLayout w:type="fixed"/>
          <w:tblLook w:val="04A0"/>
        </w:tblPrEx>
        <w:tc>
          <w:tcPr>
            <w:tcW w:w="3708" w:type="dxa"/>
            <w:tcBorders>
              <w:right w:val="nil"/>
            </w:tcBorders>
          </w:tcPr>
          <w:p w:rsidR="006224C2" w:rsidRPr="00295E71" w:rsidP="001108AC" w14:paraId="7CD10FE8" w14:textId="77777777">
            <w:pPr>
              <w:pStyle w:val="EMEANormal"/>
              <w:jc w:val="both"/>
              <w:rPr>
                <w:b/>
                <w:lang w:val="it-IT"/>
              </w:rPr>
            </w:pPr>
            <w:r w:rsidRPr="00295E71">
              <w:rPr>
                <w:b/>
                <w:lang w:val="it-IT"/>
              </w:rPr>
              <w:t>STEP 7</w:t>
            </w:r>
          </w:p>
          <w:p w:rsidR="006224C2" w:rsidRPr="00295E71" w:rsidP="001108AC" w14:paraId="7B5C40FF" w14:textId="77777777">
            <w:pPr>
              <w:pStyle w:val="EMEANormal"/>
              <w:jc w:val="both"/>
              <w:rPr>
                <w:b/>
                <w:lang w:val="it-IT"/>
              </w:rPr>
            </w:pPr>
          </w:p>
          <w:p w:rsidR="006224C2" w:rsidRPr="00295E71" w:rsidP="001108AC" w14:paraId="1D367172" w14:textId="77777777">
            <w:pPr>
              <w:pStyle w:val="EMEANormal"/>
              <w:rPr>
                <w:b/>
                <w:lang w:val="it-IT"/>
              </w:rPr>
            </w:pPr>
            <w:r w:rsidRPr="00295E71">
              <w:rPr>
                <w:b/>
                <w:lang w:val="it-IT"/>
              </w:rPr>
              <w:t xml:space="preserve">                             10 Secondi                             </w:t>
            </w:r>
          </w:p>
          <w:p w:rsidR="006224C2" w:rsidRPr="00295E71" w:rsidP="001108AC" w14:paraId="4CAAF12A" w14:textId="77777777">
            <w:pPr>
              <w:pStyle w:val="EMEANormal"/>
              <w:rPr>
                <w:lang w:val="it-IT"/>
              </w:rPr>
            </w:pPr>
            <w:r w:rsidRPr="00910CE7">
              <w:rPr>
                <w:noProof/>
                <w:lang w:val="en-GB"/>
              </w:rPr>
              <w:drawing>
                <wp:inline distT="0" distB="0" distL="0" distR="0">
                  <wp:extent cx="2219325" cy="2781300"/>
                  <wp:effectExtent l="0" t="0" r="0" b="0"/>
                  <wp:docPr id="85" name="Picture 85"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7" descr="STEP7a_grey"/>
                          <pic:cNvPicPr>
                            <a:picLocks noChangeAspect="1" noChangeArrowheads="1"/>
                          </pic:cNvPicPr>
                        </pic:nvPicPr>
                        <pic:blipFill>
                          <a:blip xmlns:r="http://schemas.openxmlformats.org/officeDocument/2006/relationships" r:embed="rId8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9325" cy="2781300"/>
                          </a:xfrm>
                          <a:prstGeom prst="rect">
                            <a:avLst/>
                          </a:prstGeom>
                          <a:noFill/>
                          <a:ln>
                            <a:noFill/>
                          </a:ln>
                        </pic:spPr>
                      </pic:pic>
                    </a:graphicData>
                  </a:graphic>
                </wp:inline>
              </w:drawing>
            </w:r>
          </w:p>
        </w:tc>
        <w:tc>
          <w:tcPr>
            <w:tcW w:w="5579" w:type="dxa"/>
            <w:tcBorders>
              <w:left w:val="nil"/>
            </w:tcBorders>
          </w:tcPr>
          <w:p w:rsidR="006224C2" w:rsidRPr="00295E71" w:rsidP="001108AC" w14:paraId="54F2AE6D" w14:textId="77777777">
            <w:pPr>
              <w:pStyle w:val="EMEAHeadingLeaflet"/>
              <w:spacing w:beforeLines="0" w:afterLines="0"/>
              <w:rPr>
                <w:rFonts w:ascii="Times New Roman" w:hAnsi="Times New Roman"/>
                <w:szCs w:val="22"/>
                <w:lang w:val="it-IT"/>
              </w:rPr>
            </w:pPr>
          </w:p>
          <w:p w:rsidR="006224C2" w:rsidP="001108AC" w14:paraId="7D1A6116" w14:textId="77777777">
            <w:pPr>
              <w:pStyle w:val="EMEAHeadingLeaflet"/>
              <w:spacing w:beforeLines="0" w:afterLines="0"/>
              <w:rPr>
                <w:rFonts w:ascii="Times New Roman" w:hAnsi="Times New Roman"/>
                <w:b w:val="0"/>
                <w:szCs w:val="22"/>
                <w:lang w:val="it-IT"/>
              </w:rPr>
            </w:pPr>
            <w:r w:rsidRPr="00295E71">
              <w:rPr>
                <w:rFonts w:ascii="Times New Roman" w:hAnsi="Times New Roman"/>
                <w:szCs w:val="22"/>
                <w:lang w:val="it-IT"/>
              </w:rPr>
              <w:t xml:space="preserve">Prema </w:t>
            </w:r>
            <w:r w:rsidR="00B96E2D">
              <w:rPr>
                <w:rFonts w:ascii="Times New Roman" w:hAnsi="Times New Roman"/>
                <w:szCs w:val="22"/>
                <w:lang w:val="it-IT"/>
              </w:rPr>
              <w:t xml:space="preserve">saldamente </w:t>
            </w:r>
            <w:r w:rsidRPr="0002593D">
              <w:rPr>
                <w:rFonts w:ascii="Times New Roman" w:hAnsi="Times New Roman"/>
                <w:bCs/>
                <w:szCs w:val="22"/>
                <w:lang w:val="it-IT"/>
              </w:rPr>
              <w:t>la penna pre-riempita</w:t>
            </w:r>
            <w:r w:rsidRPr="00295E71">
              <w:rPr>
                <w:rFonts w:ascii="Times New Roman" w:hAnsi="Times New Roman"/>
                <w:b w:val="0"/>
                <w:szCs w:val="22"/>
                <w:lang w:val="it-IT"/>
              </w:rPr>
              <w:t xml:space="preserve"> contro il sito di iniezione</w:t>
            </w:r>
            <w:r w:rsidR="00B96E2D">
              <w:rPr>
                <w:rFonts w:ascii="Times New Roman" w:hAnsi="Times New Roman"/>
                <w:b w:val="0"/>
                <w:szCs w:val="22"/>
                <w:lang w:val="it-IT"/>
              </w:rPr>
              <w:t xml:space="preserve"> prima di iniziare l’iniezione</w:t>
            </w:r>
            <w:r w:rsidRPr="00295E71">
              <w:rPr>
                <w:rFonts w:ascii="Times New Roman" w:hAnsi="Times New Roman"/>
                <w:b w:val="0"/>
                <w:szCs w:val="22"/>
                <w:lang w:val="it-IT"/>
              </w:rPr>
              <w:t>.</w:t>
            </w:r>
          </w:p>
          <w:p w:rsidR="00B96E2D" w:rsidRPr="00B96E2D" w:rsidP="0002593D" w14:paraId="780B92DB" w14:textId="77777777">
            <w:pPr>
              <w:pStyle w:val="EMEANormal"/>
              <w:rPr>
                <w:lang w:val="it-IT"/>
              </w:rPr>
            </w:pPr>
            <w:r w:rsidRPr="0002593D">
              <w:rPr>
                <w:b/>
                <w:bCs/>
                <w:lang w:val="it-IT"/>
              </w:rPr>
              <w:t>Continui a tenere premuto</w:t>
            </w:r>
            <w:r>
              <w:rPr>
                <w:lang w:val="it-IT"/>
              </w:rPr>
              <w:t xml:space="preserve"> per impedire alla penna pre-riempita di allontanarsi dalla pelle durante l’iniezione.</w:t>
            </w:r>
          </w:p>
          <w:p w:rsidR="006224C2" w:rsidRPr="00295E71" w:rsidP="001108AC" w14:paraId="6F0DE426" w14:textId="77777777">
            <w:pPr>
              <w:pStyle w:val="EMEANormal"/>
              <w:rPr>
                <w:lang w:val="it-IT"/>
              </w:rPr>
            </w:pPr>
          </w:p>
          <w:p w:rsidR="006224C2" w:rsidRPr="00295E71" w:rsidP="001108AC" w14:paraId="02F68B1B" w14:textId="77777777">
            <w:pPr>
              <w:pStyle w:val="EMEAHeadingLeaflet"/>
              <w:spacing w:beforeLines="0" w:afterLines="0"/>
              <w:rPr>
                <w:rFonts w:ascii="Times New Roman" w:hAnsi="Times New Roman"/>
                <w:b w:val="0"/>
                <w:szCs w:val="22"/>
                <w:lang w:val="it-IT"/>
              </w:rPr>
            </w:pPr>
            <w:r w:rsidRPr="00295E71">
              <w:rPr>
                <w:rFonts w:ascii="Times New Roman" w:hAnsi="Times New Roman"/>
                <w:szCs w:val="22"/>
                <w:lang w:val="it-IT"/>
              </w:rPr>
              <w:t>Prema</w:t>
            </w:r>
            <w:r w:rsidRPr="00295E71">
              <w:rPr>
                <w:rFonts w:ascii="Times New Roman" w:hAnsi="Times New Roman"/>
                <w:b w:val="0"/>
                <w:szCs w:val="22"/>
                <w:lang w:val="it-IT"/>
              </w:rPr>
              <w:t xml:space="preserve"> il pulsante di attivazione viola e conti lentamente per </w:t>
            </w:r>
            <w:r w:rsidRPr="00295E71">
              <w:rPr>
                <w:rFonts w:ascii="Times New Roman" w:hAnsi="Times New Roman"/>
                <w:szCs w:val="22"/>
                <w:lang w:val="it-IT"/>
              </w:rPr>
              <w:t>10</w:t>
            </w:r>
            <w:r w:rsidRPr="00295E71">
              <w:rPr>
                <w:rFonts w:ascii="Times New Roman" w:hAnsi="Times New Roman"/>
                <w:b w:val="0"/>
                <w:szCs w:val="22"/>
                <w:lang w:val="it-IT"/>
              </w:rPr>
              <w:t xml:space="preserve"> secondi.</w:t>
            </w:r>
          </w:p>
          <w:p w:rsidR="006224C2" w:rsidRPr="00295E71" w:rsidP="001108AC" w14:paraId="474343AE" w14:textId="77777777">
            <w:pPr>
              <w:pStyle w:val="EMEANormal"/>
              <w:rPr>
                <w:lang w:val="it-IT"/>
              </w:rPr>
            </w:pPr>
          </w:p>
          <w:p w:rsidR="006224C2" w:rsidRPr="00295E71" w:rsidP="001108AC" w14:paraId="7A883EE1" w14:textId="77777777">
            <w:pPr>
              <w:pStyle w:val="EMEAHeadingLeaflet"/>
              <w:numPr>
                <w:ilvl w:val="0"/>
                <w:numId w:val="107"/>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 xml:space="preserve">Un forte </w:t>
            </w:r>
            <w:r w:rsidRPr="00295E71">
              <w:rPr>
                <w:rFonts w:ascii="Times New Roman" w:hAnsi="Times New Roman"/>
                <w:szCs w:val="22"/>
                <w:lang w:val="it-IT"/>
              </w:rPr>
              <w:t>“click”</w:t>
            </w:r>
            <w:r w:rsidRPr="00295E71">
              <w:rPr>
                <w:rFonts w:ascii="Times New Roman" w:hAnsi="Times New Roman"/>
                <w:b w:val="0"/>
                <w:szCs w:val="22"/>
                <w:lang w:val="it-IT"/>
              </w:rPr>
              <w:t xml:space="preserve"> indicherà l’inizio dell’iniezione</w:t>
            </w:r>
          </w:p>
          <w:p w:rsidR="006224C2" w:rsidRPr="00295E71" w:rsidP="001108AC" w14:paraId="57E13852" w14:textId="77777777">
            <w:pPr>
              <w:pStyle w:val="EMEAHeadingLeaflet"/>
              <w:numPr>
                <w:ilvl w:val="0"/>
                <w:numId w:val="107"/>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szCs w:val="22"/>
                <w:lang w:val="it-IT"/>
              </w:rPr>
              <w:t>Continui a tenere premuta</w:t>
            </w:r>
            <w:r w:rsidRPr="00295E71">
              <w:rPr>
                <w:rFonts w:ascii="Times New Roman" w:hAnsi="Times New Roman"/>
                <w:b w:val="0"/>
                <w:szCs w:val="22"/>
                <w:lang w:val="it-IT"/>
              </w:rPr>
              <w:t xml:space="preserve"> la penna pre-riempita </w:t>
            </w:r>
            <w:r w:rsidRPr="0002593D" w:rsidR="00B96E2D">
              <w:rPr>
                <w:rFonts w:ascii="Times New Roman" w:hAnsi="Times New Roman"/>
                <w:bCs/>
                <w:szCs w:val="22"/>
                <w:lang w:val="it-IT"/>
              </w:rPr>
              <w:t>saldamente</w:t>
            </w:r>
            <w:r w:rsidR="00B96E2D">
              <w:rPr>
                <w:rFonts w:ascii="Times New Roman" w:hAnsi="Times New Roman"/>
                <w:b w:val="0"/>
                <w:szCs w:val="22"/>
                <w:lang w:val="it-IT"/>
              </w:rPr>
              <w:t xml:space="preserve"> </w:t>
            </w:r>
            <w:r w:rsidRPr="00295E71">
              <w:rPr>
                <w:rFonts w:ascii="Times New Roman" w:hAnsi="Times New Roman"/>
                <w:b w:val="0"/>
                <w:szCs w:val="22"/>
                <w:lang w:val="it-IT"/>
              </w:rPr>
              <w:t>contro il sito di iniezione</w:t>
            </w:r>
            <w:r w:rsidR="00B96E2D">
              <w:rPr>
                <w:rFonts w:ascii="Times New Roman" w:hAnsi="Times New Roman"/>
                <w:b w:val="0"/>
                <w:szCs w:val="22"/>
                <w:lang w:val="it-IT"/>
              </w:rPr>
              <w:t xml:space="preserve"> </w:t>
            </w:r>
            <w:r w:rsidR="00754EC9">
              <w:rPr>
                <w:rFonts w:ascii="Times New Roman" w:hAnsi="Times New Roman"/>
                <w:b w:val="0"/>
                <w:szCs w:val="22"/>
                <w:lang w:val="it-IT"/>
              </w:rPr>
              <w:t>fino a quando l’iniezione è completa</w:t>
            </w:r>
            <w:r w:rsidRPr="00295E71">
              <w:rPr>
                <w:rFonts w:ascii="Times New Roman" w:hAnsi="Times New Roman"/>
                <w:b w:val="0"/>
                <w:szCs w:val="22"/>
                <w:lang w:val="it-IT"/>
              </w:rPr>
              <w:t xml:space="preserve">. </w:t>
            </w:r>
          </w:p>
          <w:p w:rsidR="006224C2" w:rsidRPr="00295E71" w:rsidP="001108AC" w14:paraId="763A81EB" w14:textId="77777777">
            <w:pPr>
              <w:pStyle w:val="EMEANormal"/>
              <w:rPr>
                <w:lang w:val="it-IT"/>
              </w:rPr>
            </w:pPr>
          </w:p>
          <w:p w:rsidR="006224C2" w:rsidRPr="00295E71" w:rsidP="001108AC" w14:paraId="3D97164C" w14:textId="77777777">
            <w:pPr>
              <w:pStyle w:val="EMEANormal"/>
              <w:rPr>
                <w:lang w:val="it-IT"/>
              </w:rPr>
            </w:pPr>
            <w:r w:rsidRPr="00295E71">
              <w:rPr>
                <w:lang w:val="it-IT"/>
              </w:rPr>
              <w:t>L’iniezione sarà completa quando l’indicatore giallo avrà smesso di muoversi.</w:t>
            </w:r>
          </w:p>
        </w:tc>
      </w:tr>
      <w:tr w14:paraId="18D3663A" w14:textId="77777777">
        <w:tblPrEx>
          <w:tblW w:w="9287" w:type="dxa"/>
          <w:tblLayout w:type="fixed"/>
          <w:tblLook w:val="04A0"/>
        </w:tblPrEx>
        <w:tc>
          <w:tcPr>
            <w:tcW w:w="3708" w:type="dxa"/>
            <w:tcBorders>
              <w:right w:val="nil"/>
            </w:tcBorders>
          </w:tcPr>
          <w:p w:rsidR="006224C2" w:rsidRPr="00295E71" w:rsidP="001108AC" w14:paraId="5CAA7E84" w14:textId="77777777">
            <w:pPr>
              <w:pStyle w:val="EMEANormal"/>
              <w:keepNext/>
              <w:rPr>
                <w:b/>
                <w:lang w:val="it-IT"/>
              </w:rPr>
            </w:pPr>
            <w:r w:rsidRPr="00295E71">
              <w:rPr>
                <w:lang w:val="it-IT"/>
              </w:rPr>
              <w:br w:type="page"/>
            </w:r>
            <w:r w:rsidRPr="00295E71">
              <w:rPr>
                <w:b/>
                <w:lang w:val="it-IT"/>
              </w:rPr>
              <w:t>STEP 8</w:t>
            </w:r>
          </w:p>
          <w:p w:rsidR="006224C2" w:rsidRPr="00295E71" w:rsidP="001108AC" w14:paraId="13C482EB" w14:textId="77777777">
            <w:pPr>
              <w:pStyle w:val="EMEANormal"/>
              <w:keepNext/>
              <w:rPr>
                <w:b/>
                <w:lang w:val="it-IT"/>
              </w:rPr>
            </w:pPr>
          </w:p>
          <w:p w:rsidR="006224C2" w:rsidRPr="00295E71" w:rsidP="001108AC" w14:paraId="74DF3999" w14:textId="77777777">
            <w:pPr>
              <w:pStyle w:val="EMEANormal"/>
              <w:keepNext/>
              <w:rPr>
                <w:lang w:val="it-IT"/>
              </w:rPr>
            </w:pPr>
            <w:r w:rsidRPr="00910CE7">
              <w:rPr>
                <w:noProof/>
                <w:lang w:val="en-GB"/>
              </w:rPr>
              <w:drawing>
                <wp:inline distT="0" distB="0" distL="0" distR="0">
                  <wp:extent cx="2028825" cy="1809750"/>
                  <wp:effectExtent l="0" t="0" r="0" b="0"/>
                  <wp:docPr id="86" name="Picture 86"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 descr="STEP8_grey"/>
                          <pic:cNvPicPr>
                            <a:picLocks noChangeAspect="1" noChangeArrowheads="1"/>
                          </pic:cNvPicPr>
                        </pic:nvPicPr>
                        <pic:blipFill>
                          <a:blip xmlns:r="http://schemas.openxmlformats.org/officeDocument/2006/relationships" r:embed="rId8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28825" cy="1809750"/>
                          </a:xfrm>
                          <a:prstGeom prst="rect">
                            <a:avLst/>
                          </a:prstGeom>
                          <a:noFill/>
                          <a:ln>
                            <a:noFill/>
                          </a:ln>
                        </pic:spPr>
                      </pic:pic>
                    </a:graphicData>
                  </a:graphic>
                </wp:inline>
              </w:drawing>
            </w:r>
          </w:p>
        </w:tc>
        <w:tc>
          <w:tcPr>
            <w:tcW w:w="5579" w:type="dxa"/>
            <w:tcBorders>
              <w:left w:val="nil"/>
            </w:tcBorders>
          </w:tcPr>
          <w:p w:rsidR="006224C2" w:rsidRPr="00295E71" w:rsidP="001108AC" w14:paraId="32B1A6AF" w14:textId="77777777">
            <w:pPr>
              <w:pStyle w:val="EMEAHeadingLeaflet"/>
              <w:keepNext/>
              <w:spacing w:beforeLines="0" w:afterLines="0"/>
              <w:rPr>
                <w:rFonts w:ascii="Times New Roman" w:hAnsi="Times New Roman"/>
                <w:b w:val="0"/>
                <w:szCs w:val="22"/>
                <w:lang w:val="it-IT"/>
              </w:rPr>
            </w:pPr>
          </w:p>
          <w:p w:rsidR="006224C2" w:rsidP="001108AC" w14:paraId="6454440A"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Una volta completata l’iniezione, estragga lentamente la penna pre-riempita dalla pelle. La guaina bianca che ricopre l’ago coprirà la punta dell’ago.</w:t>
            </w:r>
          </w:p>
          <w:p w:rsidR="00B96E2D" w:rsidRPr="00B96E2D" w:rsidP="0002593D" w14:paraId="0FC323E1" w14:textId="77777777">
            <w:pPr>
              <w:pStyle w:val="EMEANormal"/>
              <w:numPr>
                <w:ilvl w:val="0"/>
                <w:numId w:val="152"/>
              </w:numPr>
              <w:ind w:left="574"/>
              <w:rPr>
                <w:lang w:val="it-IT"/>
              </w:rPr>
            </w:pPr>
            <w:r>
              <w:rPr>
                <w:lang w:val="it-IT"/>
              </w:rPr>
              <w:t>La presenza di una piccola quantità di liquido sul sito di iniezione è normale</w:t>
            </w:r>
          </w:p>
          <w:p w:rsidR="006224C2" w:rsidRPr="00295E71" w:rsidP="001108AC" w14:paraId="4C4425F6" w14:textId="77777777">
            <w:pPr>
              <w:pStyle w:val="EMEANormal"/>
              <w:keepNext/>
              <w:rPr>
                <w:lang w:val="it-IT"/>
              </w:rPr>
            </w:pPr>
          </w:p>
          <w:p w:rsidR="006224C2" w:rsidRPr="00295E71" w:rsidP="001108AC" w14:paraId="6D71232F" w14:textId="77777777">
            <w:pPr>
              <w:pStyle w:val="EMEANormal"/>
              <w:keepNext/>
              <w:rPr>
                <w:lang w:val="it-IT"/>
              </w:rPr>
            </w:pPr>
            <w:r w:rsidRPr="00295E71">
              <w:rPr>
                <w:lang w:val="it-IT"/>
              </w:rPr>
              <w:t>Se nel sito di iniezione è presente più di qualche goccia, si rivolga al medico, all’infermiere o al farmacista.</w:t>
            </w:r>
          </w:p>
          <w:p w:rsidR="006224C2" w:rsidRPr="00295E71" w:rsidP="001108AC" w14:paraId="285FB398" w14:textId="77777777">
            <w:pPr>
              <w:pStyle w:val="EMEANormal"/>
              <w:keepNext/>
              <w:rPr>
                <w:lang w:val="it-IT"/>
              </w:rPr>
            </w:pPr>
          </w:p>
          <w:p w:rsidR="006224C2" w:rsidRPr="00295E71" w:rsidP="001108AC" w14:paraId="7A7988E2"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Dopo aver completato l’iniezione, applichi un batuffolo di cotone o una garza sulla pelle nel sito di iniezione.</w:t>
            </w:r>
          </w:p>
          <w:p w:rsidR="006224C2" w:rsidRPr="00295E71" w:rsidP="001108AC" w14:paraId="23854EEC" w14:textId="77777777">
            <w:pPr>
              <w:pStyle w:val="EMEANormal"/>
              <w:keepNext/>
              <w:rPr>
                <w:lang w:val="it-IT"/>
              </w:rPr>
            </w:pPr>
          </w:p>
          <w:p w:rsidR="006224C2" w:rsidRPr="00295E71" w:rsidP="001108AC" w14:paraId="4C318149" w14:textId="77777777">
            <w:pPr>
              <w:pStyle w:val="EMEAHeadingLeaflet"/>
              <w:keepNext/>
              <w:numPr>
                <w:ilvl w:val="0"/>
                <w:numId w:val="108"/>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strofini</w:t>
            </w:r>
          </w:p>
          <w:p w:rsidR="006224C2" w:rsidRPr="00295E71" w:rsidP="001108AC" w14:paraId="2239A749" w14:textId="77777777">
            <w:pPr>
              <w:pStyle w:val="EMEANormal"/>
              <w:keepNext/>
              <w:numPr>
                <w:ilvl w:val="0"/>
                <w:numId w:val="108"/>
              </w:numPr>
              <w:tabs>
                <w:tab w:val="clear" w:pos="562"/>
                <w:tab w:val="left" w:pos="757"/>
              </w:tabs>
              <w:ind w:left="757"/>
              <w:rPr>
                <w:lang w:val="it-IT"/>
              </w:rPr>
            </w:pPr>
            <w:r w:rsidRPr="00295E71">
              <w:rPr>
                <w:lang w:val="it-IT"/>
              </w:rPr>
              <w:t xml:space="preserve">E’ normale che si verifichi un leggero sanguinamento al sito di iniezione </w:t>
            </w:r>
          </w:p>
        </w:tc>
      </w:tr>
      <w:tr w14:paraId="2A753810" w14:textId="77777777">
        <w:tblPrEx>
          <w:tblW w:w="9287" w:type="dxa"/>
          <w:tblLayout w:type="fixed"/>
          <w:tblLook w:val="04A0"/>
        </w:tblPrEx>
        <w:tc>
          <w:tcPr>
            <w:tcW w:w="9287" w:type="dxa"/>
            <w:gridSpan w:val="2"/>
          </w:tcPr>
          <w:p w:rsidR="006224C2" w:rsidRPr="00295E71" w14:paraId="01057639" w14:textId="77777777">
            <w:pPr>
              <w:rPr>
                <w:b/>
                <w:sz w:val="22"/>
                <w:szCs w:val="22"/>
              </w:rPr>
            </w:pPr>
            <w:r w:rsidRPr="00295E71">
              <w:rPr>
                <w:b/>
                <w:sz w:val="22"/>
                <w:szCs w:val="22"/>
              </w:rPr>
              <w:t>STEP 9</w:t>
            </w:r>
          </w:p>
          <w:p w:rsidR="006224C2" w:rsidRPr="00295E71" w14:paraId="49951032" w14:textId="77777777">
            <w:pPr>
              <w:rPr>
                <w:b/>
                <w:sz w:val="22"/>
                <w:szCs w:val="22"/>
              </w:rPr>
            </w:pPr>
          </w:p>
          <w:p w:rsidR="006224C2" w:rsidRPr="00295E71" w14:paraId="769B1D70"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Getti la penna pre-riempita utilizzata in un contenitore speciale seguendo le istruzioni del medico, dell’infermiere o del farmacista.</w:t>
            </w:r>
          </w:p>
          <w:p w:rsidR="006224C2" w:rsidRPr="00295E71" w14:paraId="37C53DBC" w14:textId="77777777">
            <w:pPr>
              <w:pStyle w:val="EMEANormal"/>
              <w:rPr>
                <w:lang w:val="it-IT"/>
              </w:rPr>
            </w:pPr>
          </w:p>
          <w:p w:rsidR="006224C2" w:rsidRPr="00295E71" w14:paraId="24DE2C71" w14:textId="77777777">
            <w:pPr>
              <w:pStyle w:val="EMEAHeadingLeaflet"/>
              <w:keepNext/>
              <w:numPr>
                <w:ilvl w:val="0"/>
                <w:numId w:val="109"/>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ricicli o getti la penna pre-riempita tra i rifiuti domestici</w:t>
            </w:r>
          </w:p>
          <w:p w:rsidR="006224C2" w:rsidRPr="00295E71" w14:paraId="7A5BA80A" w14:textId="77777777">
            <w:pPr>
              <w:pStyle w:val="EMEANormal"/>
              <w:numPr>
                <w:ilvl w:val="0"/>
                <w:numId w:val="109"/>
              </w:numPr>
              <w:tabs>
                <w:tab w:val="clear" w:pos="562"/>
                <w:tab w:val="left" w:pos="720"/>
              </w:tabs>
              <w:rPr>
                <w:lang w:val="it-IT"/>
              </w:rPr>
            </w:pPr>
            <w:r w:rsidRPr="00295E71">
              <w:rPr>
                <w:lang w:val="it-IT"/>
              </w:rPr>
              <w:t>Tenga</w:t>
            </w:r>
            <w:r w:rsidRPr="00295E71">
              <w:rPr>
                <w:b/>
                <w:lang w:val="it-IT"/>
              </w:rPr>
              <w:t xml:space="preserve"> sempre </w:t>
            </w:r>
            <w:r w:rsidRPr="00295E71">
              <w:rPr>
                <w:lang w:val="it-IT"/>
              </w:rPr>
              <w:t>la penna pre-riempita e il contenitore speciale fuori dalla vista e dalla portata dei bambini</w:t>
            </w:r>
          </w:p>
          <w:p w:rsidR="006224C2" w:rsidRPr="00295E71" w14:paraId="294A824B" w14:textId="77777777">
            <w:pPr>
              <w:pStyle w:val="EMEANormal"/>
              <w:rPr>
                <w:lang w:val="it-IT"/>
              </w:rPr>
            </w:pPr>
            <w:r w:rsidRPr="00295E71">
              <w:rPr>
                <w:lang w:val="it-IT"/>
              </w:rPr>
              <w:t>I tappi, i tamponi imbevuti di alcool, il batuffolo di cotone o la garza, il blister e il confezionamento possono essere gettati nei rifiuti domestici.</w:t>
            </w:r>
          </w:p>
        </w:tc>
      </w:tr>
    </w:tbl>
    <w:p w:rsidR="003C45F2" w:rsidRPr="00295E71" w14:paraId="6DF475DB" w14:textId="77777777">
      <w:pPr>
        <w:jc w:val="center"/>
        <w:rPr>
          <w:b/>
          <w:snapToGrid w:val="0"/>
          <w:kern w:val="32"/>
          <w:sz w:val="22"/>
          <w:szCs w:val="22"/>
          <w:lang w:eastAsia="fr-LU"/>
        </w:rPr>
      </w:pPr>
    </w:p>
    <w:p w:rsidR="003C45F2" w:rsidRPr="00295E71" w:rsidP="003C45F2" w14:paraId="565A4DAA" w14:textId="77777777">
      <w:pPr>
        <w:rPr>
          <w:snapToGrid w:val="0"/>
          <w:lang w:eastAsia="fr-LU"/>
        </w:rPr>
      </w:pPr>
      <w:r w:rsidRPr="00295E71">
        <w:rPr>
          <w:snapToGrid w:val="0"/>
          <w:lang w:eastAsia="fr-LU"/>
        </w:rPr>
        <w:br w:type="page"/>
      </w:r>
    </w:p>
    <w:p w:rsidR="006224C2" w:rsidRPr="00295E71" w14:paraId="61625D61" w14:textId="77777777">
      <w:pPr>
        <w:jc w:val="center"/>
        <w:rPr>
          <w:b/>
          <w:sz w:val="22"/>
          <w:szCs w:val="22"/>
        </w:rPr>
      </w:pPr>
      <w:r w:rsidRPr="00295E71">
        <w:rPr>
          <w:b/>
          <w:sz w:val="22"/>
          <w:szCs w:val="22"/>
        </w:rPr>
        <w:t>Foglio illustrativo: informazioni per il paziente</w:t>
      </w:r>
    </w:p>
    <w:p w:rsidR="006224C2" w:rsidRPr="00295E71" w14:paraId="15A53E4A" w14:textId="77777777">
      <w:pPr>
        <w:pStyle w:val="Title"/>
        <w:tabs>
          <w:tab w:val="left" w:pos="567"/>
        </w:tabs>
        <w:rPr>
          <w:sz w:val="22"/>
          <w:szCs w:val="22"/>
        </w:rPr>
      </w:pPr>
    </w:p>
    <w:p w:rsidR="006224C2" w:rsidRPr="00295E71" w14:paraId="7F534D82" w14:textId="77777777">
      <w:pPr>
        <w:pStyle w:val="Title"/>
        <w:tabs>
          <w:tab w:val="left" w:pos="567"/>
        </w:tabs>
        <w:rPr>
          <w:b w:val="0"/>
          <w:bCs w:val="0"/>
          <w:sz w:val="22"/>
          <w:szCs w:val="22"/>
        </w:rPr>
      </w:pPr>
      <w:r w:rsidRPr="00295E71">
        <w:rPr>
          <w:sz w:val="22"/>
          <w:szCs w:val="22"/>
        </w:rPr>
        <w:t>Humira</w:t>
      </w:r>
      <w:r w:rsidRPr="00295E71" w:rsidR="00EB5AB2">
        <w:rPr>
          <w:sz w:val="22"/>
          <w:szCs w:val="22"/>
        </w:rPr>
        <w:t xml:space="preserve"> </w:t>
      </w:r>
      <w:r w:rsidRPr="00295E71">
        <w:rPr>
          <w:bCs w:val="0"/>
          <w:sz w:val="22"/>
          <w:szCs w:val="22"/>
        </w:rPr>
        <w:t>80 mg soluzione iniettabile in siringa pre-riempita</w:t>
      </w:r>
    </w:p>
    <w:p w:rsidR="006224C2" w:rsidRPr="00295E71" w14:paraId="39D17002" w14:textId="77777777">
      <w:pPr>
        <w:numPr>
          <w:ilvl w:val="12"/>
          <w:numId w:val="0"/>
        </w:numPr>
        <w:tabs>
          <w:tab w:val="left" w:pos="567"/>
        </w:tabs>
        <w:ind w:right="-2"/>
        <w:jc w:val="center"/>
        <w:rPr>
          <w:bCs/>
          <w:sz w:val="22"/>
          <w:szCs w:val="22"/>
        </w:rPr>
      </w:pPr>
      <w:r w:rsidRPr="00295E71">
        <w:rPr>
          <w:bCs/>
          <w:sz w:val="22"/>
          <w:szCs w:val="22"/>
        </w:rPr>
        <w:t>adalimumab</w:t>
      </w:r>
    </w:p>
    <w:p w:rsidR="006224C2" w:rsidRPr="00295E71" w14:paraId="32C2D944" w14:textId="77777777">
      <w:pPr>
        <w:numPr>
          <w:ilvl w:val="12"/>
          <w:numId w:val="0"/>
        </w:numPr>
        <w:tabs>
          <w:tab w:val="left" w:pos="567"/>
        </w:tabs>
        <w:ind w:right="-2"/>
        <w:rPr>
          <w:b/>
          <w:bCs/>
          <w:sz w:val="22"/>
          <w:szCs w:val="22"/>
          <w:u w:val="single"/>
        </w:rPr>
      </w:pPr>
    </w:p>
    <w:p w:rsidR="006224C2" w:rsidRPr="00295E71" w14:paraId="7815C5B0" w14:textId="77777777">
      <w:pPr>
        <w:pStyle w:val="Heading8"/>
        <w:keepNext w:val="0"/>
        <w:tabs>
          <w:tab w:val="left" w:pos="567"/>
        </w:tabs>
        <w:jc w:val="both"/>
      </w:pPr>
      <w:r w:rsidRPr="00295E71">
        <w:t>Legga attentamente questo foglio prima di usare questo medicinale perchè contiene importanti informazioni per lei</w:t>
      </w:r>
    </w:p>
    <w:p w:rsidR="006224C2" w:rsidRPr="00295E71" w14:paraId="764DF5C8" w14:textId="77777777">
      <w:pPr>
        <w:numPr>
          <w:ilvl w:val="0"/>
          <w:numId w:val="1"/>
        </w:numPr>
        <w:tabs>
          <w:tab w:val="left" w:pos="567"/>
        </w:tabs>
        <w:ind w:left="567" w:right="-2" w:hanging="567"/>
        <w:jc w:val="both"/>
        <w:rPr>
          <w:sz w:val="22"/>
          <w:szCs w:val="22"/>
        </w:rPr>
      </w:pPr>
      <w:r w:rsidRPr="00295E71">
        <w:rPr>
          <w:sz w:val="22"/>
          <w:szCs w:val="22"/>
        </w:rPr>
        <w:t>Conservi questo foglio. Potrebbe avere bisogno di leggerlo di nuovo.</w:t>
      </w:r>
    </w:p>
    <w:p w:rsidR="006224C2" w:rsidRPr="00295E71" w14:paraId="27DAFBCF" w14:textId="77777777">
      <w:pPr>
        <w:numPr>
          <w:ilvl w:val="0"/>
          <w:numId w:val="1"/>
        </w:numPr>
        <w:tabs>
          <w:tab w:val="left" w:pos="567"/>
        </w:tabs>
        <w:ind w:left="567" w:right="-2" w:hanging="567"/>
        <w:jc w:val="both"/>
        <w:rPr>
          <w:sz w:val="22"/>
          <w:szCs w:val="22"/>
        </w:rPr>
      </w:pPr>
      <w:r w:rsidRPr="00295E71">
        <w:rPr>
          <w:sz w:val="22"/>
          <w:szCs w:val="22"/>
        </w:rPr>
        <w:t>Il medico le consegnerà una</w:t>
      </w:r>
      <w:r w:rsidR="004A0228">
        <w:rPr>
          <w:b/>
          <w:bCs/>
          <w:sz w:val="22"/>
          <w:szCs w:val="22"/>
        </w:rPr>
        <w:t xml:space="preserve"> </w:t>
      </w:r>
      <w:r w:rsidRPr="000D0B9B" w:rsidR="004A0228">
        <w:rPr>
          <w:b/>
          <w:sz w:val="22"/>
          <w:szCs w:val="22"/>
        </w:rPr>
        <w:t>Scheda Promemoria per il Paziente</w:t>
      </w:r>
      <w:r w:rsidRPr="00295E71">
        <w:rPr>
          <w:sz w:val="22"/>
          <w:szCs w:val="22"/>
        </w:rPr>
        <w:t>, che contiene importanti informazioni sulla sicurezza, che ha bisogno di sapere prima di iniziare ad assumere Humira e durante il trattamento con Humira. Conservi questa</w:t>
      </w:r>
      <w:r w:rsidR="004A0228">
        <w:rPr>
          <w:b/>
          <w:bCs/>
          <w:sz w:val="22"/>
          <w:szCs w:val="22"/>
        </w:rPr>
        <w:t xml:space="preserve"> </w:t>
      </w:r>
      <w:r w:rsidRPr="000D0B9B" w:rsidR="004A0228">
        <w:rPr>
          <w:b/>
          <w:sz w:val="22"/>
          <w:szCs w:val="22"/>
        </w:rPr>
        <w:t>Scheda Promemoria per il Paziente</w:t>
      </w:r>
      <w:r w:rsidRPr="00295E71">
        <w:rPr>
          <w:sz w:val="22"/>
          <w:szCs w:val="22"/>
        </w:rPr>
        <w:t>.</w:t>
      </w:r>
    </w:p>
    <w:p w:rsidR="006224C2" w:rsidRPr="00295E71" w14:paraId="16FAFB4F" w14:textId="77777777">
      <w:pPr>
        <w:numPr>
          <w:ilvl w:val="0"/>
          <w:numId w:val="1"/>
        </w:numPr>
        <w:tabs>
          <w:tab w:val="left" w:pos="567"/>
        </w:tabs>
        <w:ind w:left="567" w:right="-2" w:hanging="567"/>
        <w:jc w:val="both"/>
        <w:rPr>
          <w:sz w:val="22"/>
          <w:szCs w:val="22"/>
        </w:rPr>
      </w:pPr>
      <w:r w:rsidRPr="00295E71">
        <w:rPr>
          <w:sz w:val="22"/>
          <w:szCs w:val="22"/>
        </w:rPr>
        <w:t xml:space="preserve">Se ha qualsiasi dubbio, si rivolga al medico o al farmacista. </w:t>
      </w:r>
    </w:p>
    <w:p w:rsidR="006224C2" w:rsidRPr="00295E71" w14:paraId="3587C7A3" w14:textId="77777777">
      <w:pPr>
        <w:numPr>
          <w:ilvl w:val="0"/>
          <w:numId w:val="1"/>
        </w:numPr>
        <w:tabs>
          <w:tab w:val="left" w:pos="567"/>
        </w:tabs>
        <w:ind w:left="567" w:right="-2" w:hanging="567"/>
        <w:jc w:val="both"/>
        <w:rPr>
          <w:sz w:val="22"/>
          <w:szCs w:val="22"/>
        </w:rPr>
      </w:pPr>
      <w:r w:rsidRPr="00295E71">
        <w:rPr>
          <w:sz w:val="22"/>
          <w:szCs w:val="22"/>
        </w:rPr>
        <w:t>Questo medicinale è stato prescritto soltanto per lei. Non lo dia ad altre persone, anche se i sintomi della malattia sono uguali ai suoi, perchè potrebbe essere pericoloso.</w:t>
      </w:r>
    </w:p>
    <w:p w:rsidR="006224C2" w:rsidRPr="00295E71" w14:paraId="35028C10" w14:textId="77777777">
      <w:pPr>
        <w:numPr>
          <w:ilvl w:val="0"/>
          <w:numId w:val="1"/>
        </w:numPr>
        <w:tabs>
          <w:tab w:val="left" w:pos="567"/>
        </w:tabs>
        <w:ind w:left="567" w:right="-2" w:hanging="567"/>
        <w:jc w:val="both"/>
        <w:rPr>
          <w:sz w:val="22"/>
          <w:szCs w:val="22"/>
        </w:rPr>
      </w:pPr>
      <w:r w:rsidRPr="00295E71">
        <w:rPr>
          <w:sz w:val="22"/>
          <w:szCs w:val="22"/>
        </w:rPr>
        <w:t>Se si manifesta un qualsiasi effetto indesiderato, compresi quelli non elencati in questo foglio, si rivolga al medico o al farmacista. Vedere paragrafo 4.</w:t>
      </w:r>
    </w:p>
    <w:p w:rsidR="006224C2" w:rsidRPr="00295E71" w14:paraId="3DC3FF1B" w14:textId="77777777">
      <w:pPr>
        <w:numPr>
          <w:ilvl w:val="12"/>
          <w:numId w:val="0"/>
        </w:numPr>
        <w:tabs>
          <w:tab w:val="left" w:pos="567"/>
        </w:tabs>
        <w:ind w:right="-2"/>
        <w:jc w:val="both"/>
        <w:rPr>
          <w:sz w:val="22"/>
          <w:szCs w:val="22"/>
          <w:u w:val="single"/>
        </w:rPr>
      </w:pPr>
    </w:p>
    <w:p w:rsidR="006224C2" w:rsidRPr="00295E71" w14:paraId="231E789D" w14:textId="77777777">
      <w:pPr>
        <w:numPr>
          <w:ilvl w:val="12"/>
          <w:numId w:val="0"/>
        </w:numPr>
        <w:tabs>
          <w:tab w:val="left" w:pos="567"/>
        </w:tabs>
        <w:ind w:right="-2"/>
        <w:jc w:val="both"/>
        <w:rPr>
          <w:b/>
          <w:bCs/>
          <w:sz w:val="22"/>
          <w:szCs w:val="22"/>
        </w:rPr>
      </w:pPr>
      <w:r w:rsidRPr="00295E71">
        <w:rPr>
          <w:b/>
          <w:bCs/>
          <w:sz w:val="22"/>
          <w:szCs w:val="22"/>
        </w:rPr>
        <w:t xml:space="preserve">Contenuto di questo foglio </w:t>
      </w:r>
    </w:p>
    <w:p w:rsidR="006224C2" w:rsidRPr="00295E71" w14:paraId="6305F5A7" w14:textId="77777777">
      <w:pPr>
        <w:tabs>
          <w:tab w:val="left" w:pos="567"/>
        </w:tabs>
        <w:ind w:left="567" w:right="-29" w:hanging="567"/>
        <w:jc w:val="both"/>
        <w:rPr>
          <w:sz w:val="22"/>
          <w:szCs w:val="22"/>
        </w:rPr>
      </w:pPr>
      <w:r w:rsidRPr="00295E71">
        <w:rPr>
          <w:sz w:val="22"/>
          <w:szCs w:val="22"/>
        </w:rPr>
        <w:t>1.</w:t>
      </w:r>
      <w:r w:rsidRPr="00295E71">
        <w:rPr>
          <w:sz w:val="22"/>
          <w:szCs w:val="22"/>
        </w:rPr>
        <w:tab/>
        <w:t>Cos’è Humira e a cosa serve</w:t>
      </w:r>
    </w:p>
    <w:p w:rsidR="006224C2" w:rsidRPr="00295E71" w14:paraId="76ADE09B" w14:textId="77777777">
      <w:pPr>
        <w:tabs>
          <w:tab w:val="left" w:pos="567"/>
        </w:tabs>
        <w:ind w:left="567" w:right="-29" w:hanging="567"/>
        <w:jc w:val="both"/>
        <w:rPr>
          <w:sz w:val="22"/>
          <w:szCs w:val="22"/>
        </w:rPr>
      </w:pPr>
      <w:r w:rsidRPr="00295E71">
        <w:rPr>
          <w:sz w:val="22"/>
          <w:szCs w:val="22"/>
        </w:rPr>
        <w:t>2.</w:t>
      </w:r>
      <w:r w:rsidRPr="00295E71">
        <w:rPr>
          <w:sz w:val="22"/>
          <w:szCs w:val="22"/>
        </w:rPr>
        <w:tab/>
        <w:t>Cosa deve sapere prima di usare Humira</w:t>
      </w:r>
    </w:p>
    <w:p w:rsidR="006224C2" w:rsidRPr="00295E71" w14:paraId="078E8B74" w14:textId="77777777">
      <w:pPr>
        <w:tabs>
          <w:tab w:val="left" w:pos="567"/>
        </w:tabs>
        <w:ind w:left="567" w:right="-29" w:hanging="567"/>
        <w:jc w:val="both"/>
        <w:rPr>
          <w:sz w:val="22"/>
          <w:szCs w:val="22"/>
        </w:rPr>
      </w:pPr>
      <w:r w:rsidRPr="00295E71">
        <w:rPr>
          <w:sz w:val="22"/>
          <w:szCs w:val="22"/>
        </w:rPr>
        <w:t>3.</w:t>
      </w:r>
      <w:r w:rsidRPr="00295E71">
        <w:rPr>
          <w:sz w:val="22"/>
          <w:szCs w:val="22"/>
        </w:rPr>
        <w:tab/>
        <w:t>Come usare Humira</w:t>
      </w:r>
    </w:p>
    <w:p w:rsidR="006224C2" w:rsidRPr="00295E71" w14:paraId="02889F69" w14:textId="77777777">
      <w:pPr>
        <w:tabs>
          <w:tab w:val="left" w:pos="567"/>
        </w:tabs>
        <w:ind w:left="567" w:right="-29" w:hanging="567"/>
        <w:jc w:val="both"/>
        <w:rPr>
          <w:sz w:val="22"/>
          <w:szCs w:val="22"/>
        </w:rPr>
      </w:pPr>
      <w:r w:rsidRPr="00295E71">
        <w:rPr>
          <w:sz w:val="22"/>
          <w:szCs w:val="22"/>
        </w:rPr>
        <w:t>4.</w:t>
      </w:r>
      <w:r w:rsidRPr="00295E71">
        <w:rPr>
          <w:sz w:val="22"/>
          <w:szCs w:val="22"/>
        </w:rPr>
        <w:tab/>
        <w:t>Possibili effetti indesiderati</w:t>
      </w:r>
    </w:p>
    <w:p w:rsidR="006224C2" w:rsidRPr="00295E71" w14:paraId="4E583072" w14:textId="77777777">
      <w:pPr>
        <w:tabs>
          <w:tab w:val="left" w:pos="567"/>
        </w:tabs>
        <w:ind w:left="567" w:right="-29" w:hanging="567"/>
        <w:jc w:val="both"/>
        <w:rPr>
          <w:sz w:val="22"/>
          <w:szCs w:val="22"/>
        </w:rPr>
      </w:pPr>
      <w:r w:rsidRPr="00295E71">
        <w:rPr>
          <w:sz w:val="22"/>
          <w:szCs w:val="22"/>
        </w:rPr>
        <w:t>5.</w:t>
      </w:r>
      <w:r w:rsidRPr="00295E71">
        <w:rPr>
          <w:sz w:val="22"/>
          <w:szCs w:val="22"/>
        </w:rPr>
        <w:tab/>
        <w:t>Come conservare Humira</w:t>
      </w:r>
    </w:p>
    <w:p w:rsidR="006224C2" w:rsidRPr="00295E71" w14:paraId="28477330" w14:textId="77777777">
      <w:pPr>
        <w:tabs>
          <w:tab w:val="left" w:pos="567"/>
        </w:tabs>
        <w:ind w:left="567" w:right="-29" w:hanging="567"/>
        <w:jc w:val="both"/>
        <w:rPr>
          <w:sz w:val="22"/>
          <w:szCs w:val="22"/>
        </w:rPr>
      </w:pPr>
      <w:r w:rsidRPr="00295E71">
        <w:rPr>
          <w:sz w:val="22"/>
          <w:szCs w:val="22"/>
        </w:rPr>
        <w:t>6.</w:t>
      </w:r>
      <w:r w:rsidRPr="00295E71">
        <w:rPr>
          <w:sz w:val="22"/>
          <w:szCs w:val="22"/>
        </w:rPr>
        <w:tab/>
        <w:t>Contenuto della confezione e altre informazioni</w:t>
      </w:r>
    </w:p>
    <w:p w:rsidR="006224C2" w:rsidRPr="00295E71" w14:paraId="581AC6E3" w14:textId="77777777">
      <w:pPr>
        <w:tabs>
          <w:tab w:val="left" w:pos="708"/>
        </w:tabs>
        <w:ind w:left="567" w:right="-29" w:hanging="567"/>
        <w:rPr>
          <w:sz w:val="22"/>
          <w:szCs w:val="22"/>
        </w:rPr>
      </w:pPr>
      <w:r w:rsidRPr="00295E71">
        <w:rPr>
          <w:sz w:val="22"/>
          <w:szCs w:val="22"/>
        </w:rPr>
        <w:t>7.</w:t>
      </w:r>
      <w:r w:rsidRPr="00295E71">
        <w:rPr>
          <w:sz w:val="22"/>
          <w:szCs w:val="22"/>
        </w:rPr>
        <w:tab/>
      </w:r>
      <w:r w:rsidR="00E02D6F">
        <w:rPr>
          <w:sz w:val="22"/>
          <w:szCs w:val="22"/>
        </w:rPr>
        <w:t>Iniezione di Humira</w:t>
      </w:r>
    </w:p>
    <w:p w:rsidR="006224C2" w:rsidRPr="00295E71" w14:paraId="164CD320" w14:textId="77777777">
      <w:pPr>
        <w:numPr>
          <w:ilvl w:val="12"/>
          <w:numId w:val="0"/>
        </w:numPr>
        <w:tabs>
          <w:tab w:val="left" w:pos="567"/>
        </w:tabs>
        <w:ind w:right="-2"/>
        <w:jc w:val="both"/>
        <w:rPr>
          <w:sz w:val="22"/>
          <w:szCs w:val="22"/>
        </w:rPr>
      </w:pPr>
    </w:p>
    <w:p w:rsidR="006224C2" w:rsidRPr="00295E71" w14:paraId="1C4C323E" w14:textId="77777777">
      <w:pPr>
        <w:numPr>
          <w:ilvl w:val="12"/>
          <w:numId w:val="0"/>
        </w:numPr>
        <w:tabs>
          <w:tab w:val="left" w:pos="567"/>
        </w:tabs>
        <w:ind w:right="-2"/>
        <w:jc w:val="both"/>
        <w:rPr>
          <w:sz w:val="22"/>
          <w:szCs w:val="22"/>
        </w:rPr>
      </w:pPr>
    </w:p>
    <w:p w:rsidR="006224C2" w:rsidRPr="00295E71" w14:paraId="3230302B" w14:textId="77777777">
      <w:pPr>
        <w:numPr>
          <w:ilvl w:val="12"/>
          <w:numId w:val="0"/>
        </w:numPr>
        <w:tabs>
          <w:tab w:val="left" w:pos="567"/>
        </w:tabs>
        <w:ind w:left="567" w:right="-2" w:hanging="567"/>
        <w:jc w:val="both"/>
        <w:rPr>
          <w:b/>
          <w:bCs/>
          <w:sz w:val="22"/>
          <w:szCs w:val="22"/>
        </w:rPr>
      </w:pPr>
      <w:r w:rsidRPr="00295E71">
        <w:rPr>
          <w:b/>
          <w:bCs/>
          <w:sz w:val="22"/>
          <w:szCs w:val="22"/>
        </w:rPr>
        <w:t>1.</w:t>
      </w:r>
      <w:r w:rsidRPr="00295E71">
        <w:rPr>
          <w:b/>
          <w:bCs/>
          <w:sz w:val="22"/>
          <w:szCs w:val="22"/>
        </w:rPr>
        <w:tab/>
        <w:t>Cos’è Humira e a cosa serve</w:t>
      </w:r>
    </w:p>
    <w:p w:rsidR="006224C2" w:rsidRPr="00295E71" w14:paraId="7DB4AB92" w14:textId="77777777">
      <w:pPr>
        <w:numPr>
          <w:ilvl w:val="12"/>
          <w:numId w:val="0"/>
        </w:numPr>
        <w:tabs>
          <w:tab w:val="left" w:pos="567"/>
        </w:tabs>
        <w:ind w:right="-2"/>
        <w:jc w:val="both"/>
        <w:rPr>
          <w:sz w:val="22"/>
          <w:szCs w:val="22"/>
        </w:rPr>
      </w:pPr>
    </w:p>
    <w:p w:rsidR="006224C2" w:rsidRPr="00295E71" w14:paraId="17270AF5" w14:textId="77777777">
      <w:pPr>
        <w:tabs>
          <w:tab w:val="left" w:pos="567"/>
        </w:tabs>
        <w:jc w:val="both"/>
        <w:rPr>
          <w:sz w:val="22"/>
          <w:szCs w:val="22"/>
        </w:rPr>
      </w:pPr>
      <w:r w:rsidRPr="00295E71">
        <w:rPr>
          <w:sz w:val="22"/>
          <w:szCs w:val="22"/>
        </w:rPr>
        <w:t>Humira contiene il principio attivo adalimumab</w:t>
      </w:r>
      <w:r w:rsidRPr="00295E71" w:rsidR="00AF061F">
        <w:rPr>
          <w:sz w:val="22"/>
          <w:szCs w:val="22"/>
        </w:rPr>
        <w:t>.</w:t>
      </w:r>
    </w:p>
    <w:p w:rsidR="006224C2" w:rsidRPr="00295E71" w14:paraId="4FDC29DA" w14:textId="77777777">
      <w:pPr>
        <w:tabs>
          <w:tab w:val="left" w:pos="567"/>
        </w:tabs>
        <w:jc w:val="both"/>
        <w:rPr>
          <w:sz w:val="22"/>
          <w:szCs w:val="22"/>
        </w:rPr>
      </w:pPr>
    </w:p>
    <w:p w:rsidR="00DE1DA3" w:rsidRPr="00295E71" w14:paraId="4C3E69A9" w14:textId="77777777">
      <w:pPr>
        <w:tabs>
          <w:tab w:val="left" w:pos="567"/>
        </w:tabs>
        <w:jc w:val="both"/>
        <w:rPr>
          <w:sz w:val="22"/>
          <w:szCs w:val="22"/>
        </w:rPr>
      </w:pPr>
      <w:r w:rsidRPr="00295E71">
        <w:rPr>
          <w:sz w:val="22"/>
          <w:szCs w:val="22"/>
        </w:rPr>
        <w:t>Humira è utilizzato per il trattamento di</w:t>
      </w:r>
    </w:p>
    <w:p w:rsidR="00DE1DA3" w:rsidRPr="00295E71" w14:paraId="11684D97" w14:textId="77777777">
      <w:pPr>
        <w:numPr>
          <w:ilvl w:val="0"/>
          <w:numId w:val="114"/>
        </w:numPr>
        <w:tabs>
          <w:tab w:val="left" w:pos="708"/>
        </w:tabs>
        <w:suppressAutoHyphens/>
        <w:ind w:left="720"/>
        <w:rPr>
          <w:sz w:val="22"/>
          <w:szCs w:val="22"/>
        </w:rPr>
      </w:pPr>
      <w:r w:rsidRPr="00295E71">
        <w:rPr>
          <w:sz w:val="22"/>
          <w:szCs w:val="22"/>
        </w:rPr>
        <w:t>Artrite reumatoide</w:t>
      </w:r>
    </w:p>
    <w:p w:rsidR="006224C2" w:rsidRPr="00295E71" w14:paraId="6975617C" w14:textId="77777777">
      <w:pPr>
        <w:numPr>
          <w:ilvl w:val="0"/>
          <w:numId w:val="114"/>
        </w:numPr>
        <w:tabs>
          <w:tab w:val="left" w:pos="708"/>
        </w:tabs>
        <w:suppressAutoHyphens/>
        <w:ind w:left="720"/>
        <w:rPr>
          <w:sz w:val="22"/>
          <w:szCs w:val="22"/>
        </w:rPr>
      </w:pPr>
      <w:r w:rsidRPr="00295E71">
        <w:rPr>
          <w:sz w:val="22"/>
          <w:szCs w:val="22"/>
        </w:rPr>
        <w:t>Psoriasi a placche</w:t>
      </w:r>
    </w:p>
    <w:p w:rsidR="006224C2" w:rsidRPr="00295E71" w14:paraId="5729C4C3" w14:textId="77777777">
      <w:pPr>
        <w:numPr>
          <w:ilvl w:val="0"/>
          <w:numId w:val="114"/>
        </w:numPr>
        <w:tabs>
          <w:tab w:val="left" w:pos="708"/>
        </w:tabs>
        <w:suppressAutoHyphens/>
        <w:ind w:left="720"/>
        <w:rPr>
          <w:sz w:val="22"/>
          <w:szCs w:val="22"/>
        </w:rPr>
      </w:pPr>
      <w:r w:rsidRPr="00295E71">
        <w:rPr>
          <w:sz w:val="22"/>
          <w:szCs w:val="22"/>
        </w:rPr>
        <w:t>Idrosadenite suppurativa</w:t>
      </w:r>
    </w:p>
    <w:p w:rsidR="006224C2" w:rsidRPr="00295E71" w14:paraId="786E4A33" w14:textId="77777777">
      <w:pPr>
        <w:numPr>
          <w:ilvl w:val="0"/>
          <w:numId w:val="114"/>
        </w:numPr>
        <w:tabs>
          <w:tab w:val="left" w:pos="708"/>
        </w:tabs>
        <w:suppressAutoHyphens/>
        <w:ind w:left="720"/>
        <w:rPr>
          <w:sz w:val="22"/>
          <w:szCs w:val="22"/>
        </w:rPr>
      </w:pPr>
      <w:r w:rsidRPr="00295E71">
        <w:rPr>
          <w:sz w:val="22"/>
          <w:szCs w:val="22"/>
        </w:rPr>
        <w:t>Malattia di Crohn</w:t>
      </w:r>
    </w:p>
    <w:p w:rsidR="006224C2" w:rsidRPr="00295E71" w14:paraId="3A216CCE" w14:textId="77777777">
      <w:pPr>
        <w:numPr>
          <w:ilvl w:val="0"/>
          <w:numId w:val="114"/>
        </w:numPr>
        <w:tabs>
          <w:tab w:val="left" w:pos="708"/>
        </w:tabs>
        <w:suppressAutoHyphens/>
        <w:ind w:left="720"/>
        <w:rPr>
          <w:sz w:val="22"/>
          <w:szCs w:val="22"/>
        </w:rPr>
      </w:pPr>
      <w:r w:rsidRPr="00295E71">
        <w:rPr>
          <w:sz w:val="22"/>
          <w:szCs w:val="22"/>
        </w:rPr>
        <w:t>Colite ulcerosa</w:t>
      </w:r>
    </w:p>
    <w:p w:rsidR="006224C2" w:rsidRPr="00295E71" w14:paraId="2F57F26E" w14:textId="77777777">
      <w:pPr>
        <w:numPr>
          <w:ilvl w:val="0"/>
          <w:numId w:val="114"/>
        </w:numPr>
        <w:tabs>
          <w:tab w:val="left" w:pos="708"/>
        </w:tabs>
        <w:suppressAutoHyphens/>
        <w:ind w:left="720"/>
        <w:rPr>
          <w:sz w:val="22"/>
          <w:szCs w:val="22"/>
        </w:rPr>
      </w:pPr>
      <w:r w:rsidRPr="00295E71">
        <w:rPr>
          <w:iCs/>
          <w:sz w:val="22"/>
          <w:szCs w:val="22"/>
        </w:rPr>
        <w:t>Uveite non-infettiva</w:t>
      </w:r>
    </w:p>
    <w:p w:rsidR="006224C2" w:rsidRPr="00295E71" w14:paraId="5BFC2666" w14:textId="77777777">
      <w:pPr>
        <w:tabs>
          <w:tab w:val="left" w:pos="567"/>
        </w:tabs>
        <w:jc w:val="both"/>
        <w:rPr>
          <w:sz w:val="22"/>
          <w:szCs w:val="22"/>
        </w:rPr>
      </w:pPr>
    </w:p>
    <w:p w:rsidR="00AF061F" w:rsidRPr="00295E71" w:rsidP="00AF061F" w14:paraId="7359F8FC" w14:textId="77777777">
      <w:pPr>
        <w:tabs>
          <w:tab w:val="left" w:pos="567"/>
        </w:tabs>
        <w:jc w:val="both"/>
        <w:rPr>
          <w:sz w:val="22"/>
          <w:szCs w:val="22"/>
        </w:rPr>
      </w:pPr>
      <w:r w:rsidRPr="00295E71">
        <w:rPr>
          <w:sz w:val="22"/>
          <w:szCs w:val="22"/>
        </w:rPr>
        <w:t>Il principio attivo contenuto in Humira, adalimumab, è un anticorpo monoclonale umano. Gli anticorpi monoclonali sono proteine che si legano ad un bersaglio specifico.</w:t>
      </w:r>
    </w:p>
    <w:p w:rsidR="00AF061F" w:rsidRPr="00295E71" w:rsidP="00AF061F" w14:paraId="5DB1C4E5" w14:textId="77777777">
      <w:pPr>
        <w:tabs>
          <w:tab w:val="left" w:pos="567"/>
        </w:tabs>
        <w:jc w:val="both"/>
        <w:rPr>
          <w:sz w:val="22"/>
          <w:szCs w:val="22"/>
        </w:rPr>
      </w:pPr>
    </w:p>
    <w:p w:rsidR="00AF061F" w:rsidRPr="00295E71" w:rsidP="00AF061F" w14:paraId="07DB6E05" w14:textId="77777777">
      <w:pPr>
        <w:pStyle w:val="EndnoteText"/>
        <w:jc w:val="both"/>
        <w:rPr>
          <w:noProof/>
          <w:color w:val="000000"/>
          <w:lang w:val="it-IT"/>
        </w:rPr>
      </w:pPr>
      <w:r w:rsidRPr="00295E71">
        <w:rPr>
          <w:lang w:val="it-IT"/>
        </w:rPr>
        <w:t>Il bersaglio di adalimumab è una proteina denominata fattore di necrosi tumorale (TNF</w:t>
      </w:r>
      <w:r w:rsidRPr="00295E71">
        <w:rPr>
          <w:noProof/>
          <w:color w:val="000000"/>
          <w:lang w:val="it-IT"/>
        </w:rPr>
        <w:t>α</w:t>
      </w:r>
      <w:r w:rsidRPr="00295E71">
        <w:rPr>
          <w:lang w:val="it-IT"/>
        </w:rPr>
        <w:t>), che è coinvolto nel sistema immunitario (di difesa) ed è presente a concentrazioni maggiori nelle malattie infiammatorie elencate sopra. Attraverso il legame al TNF</w:t>
      </w:r>
      <w:r w:rsidRPr="00295E71">
        <w:rPr>
          <w:noProof/>
          <w:color w:val="000000"/>
          <w:lang w:val="it-IT"/>
        </w:rPr>
        <w:t>α, Humira diminuisce il processo infiammatorio di queste malattie.</w:t>
      </w:r>
    </w:p>
    <w:p w:rsidR="006224C2" w:rsidRPr="00295E71" w14:paraId="08186DB7" w14:textId="77777777">
      <w:pPr>
        <w:numPr>
          <w:ilvl w:val="12"/>
          <w:numId w:val="0"/>
        </w:numPr>
        <w:tabs>
          <w:tab w:val="left" w:pos="567"/>
        </w:tabs>
        <w:ind w:right="-2"/>
        <w:jc w:val="both"/>
        <w:rPr>
          <w:sz w:val="22"/>
          <w:szCs w:val="22"/>
        </w:rPr>
      </w:pPr>
    </w:p>
    <w:p w:rsidR="00BE2BB8" w:rsidRPr="00295E71" w:rsidP="00BE2BB8" w14:paraId="2C35CC4A" w14:textId="77777777">
      <w:pPr>
        <w:numPr>
          <w:ilvl w:val="12"/>
          <w:numId w:val="0"/>
        </w:numPr>
        <w:tabs>
          <w:tab w:val="left" w:pos="567"/>
        </w:tabs>
        <w:ind w:right="-2"/>
        <w:jc w:val="both"/>
        <w:rPr>
          <w:b/>
          <w:sz w:val="22"/>
          <w:szCs w:val="22"/>
        </w:rPr>
      </w:pPr>
      <w:r w:rsidRPr="00295E71">
        <w:rPr>
          <w:b/>
          <w:sz w:val="22"/>
          <w:szCs w:val="22"/>
        </w:rPr>
        <w:t>Artrite reumatoide</w:t>
      </w:r>
    </w:p>
    <w:p w:rsidR="00BE2BB8" w:rsidRPr="00295E71" w:rsidP="00BE2BB8" w14:paraId="26EAFF50" w14:textId="77777777">
      <w:pPr>
        <w:numPr>
          <w:ilvl w:val="12"/>
          <w:numId w:val="0"/>
        </w:numPr>
        <w:tabs>
          <w:tab w:val="left" w:pos="567"/>
        </w:tabs>
        <w:ind w:right="-2"/>
        <w:jc w:val="both"/>
        <w:rPr>
          <w:sz w:val="22"/>
          <w:szCs w:val="22"/>
        </w:rPr>
      </w:pPr>
    </w:p>
    <w:p w:rsidR="00BE2BB8" w:rsidRPr="00295E71" w:rsidP="00BE2BB8" w14:paraId="20515E08" w14:textId="77777777">
      <w:pPr>
        <w:numPr>
          <w:ilvl w:val="12"/>
          <w:numId w:val="0"/>
        </w:numPr>
        <w:tabs>
          <w:tab w:val="left" w:pos="567"/>
        </w:tabs>
        <w:ind w:right="-2"/>
        <w:jc w:val="both"/>
        <w:rPr>
          <w:sz w:val="22"/>
          <w:szCs w:val="22"/>
        </w:rPr>
      </w:pPr>
      <w:r w:rsidRPr="00295E71">
        <w:rPr>
          <w:sz w:val="22"/>
          <w:szCs w:val="22"/>
        </w:rPr>
        <w:t>L’artrite reumatoide è una patologia infiammatoria delle articolazioni.</w:t>
      </w:r>
    </w:p>
    <w:p w:rsidR="00BE2BB8" w:rsidRPr="00295E71" w:rsidP="00BE2BB8" w14:paraId="6C9114B2" w14:textId="77777777">
      <w:pPr>
        <w:numPr>
          <w:ilvl w:val="12"/>
          <w:numId w:val="0"/>
        </w:numPr>
        <w:tabs>
          <w:tab w:val="left" w:pos="567"/>
        </w:tabs>
        <w:ind w:right="-2"/>
        <w:jc w:val="both"/>
        <w:rPr>
          <w:sz w:val="22"/>
          <w:szCs w:val="22"/>
        </w:rPr>
      </w:pPr>
    </w:p>
    <w:p w:rsidR="00BE2BB8" w:rsidRPr="00295E71" w:rsidP="00BE2BB8" w14:paraId="14D3EEEC" w14:textId="77777777">
      <w:pPr>
        <w:numPr>
          <w:ilvl w:val="12"/>
          <w:numId w:val="0"/>
        </w:numPr>
        <w:tabs>
          <w:tab w:val="left" w:pos="567"/>
        </w:tabs>
        <w:ind w:right="-2"/>
        <w:jc w:val="both"/>
        <w:rPr>
          <w:sz w:val="22"/>
          <w:szCs w:val="22"/>
        </w:rPr>
      </w:pPr>
      <w:r w:rsidRPr="00295E71">
        <w:rPr>
          <w:sz w:val="22"/>
          <w:szCs w:val="22"/>
        </w:rPr>
        <w:t>Humira è usato per trattare l’artrite reumatoide di grado da moderato a severo negli adulti.</w:t>
      </w:r>
    </w:p>
    <w:p w:rsidR="00BE2BB8" w:rsidRPr="00295E71" w:rsidP="00BE2BB8" w14:paraId="218189C3" w14:textId="77777777">
      <w:pPr>
        <w:numPr>
          <w:ilvl w:val="12"/>
          <w:numId w:val="0"/>
        </w:numPr>
        <w:tabs>
          <w:tab w:val="left" w:pos="567"/>
        </w:tabs>
        <w:ind w:right="-2"/>
        <w:jc w:val="both"/>
        <w:rPr>
          <w:sz w:val="22"/>
          <w:szCs w:val="22"/>
        </w:rPr>
      </w:pPr>
      <w:r w:rsidRPr="00295E71">
        <w:rPr>
          <w:sz w:val="22"/>
          <w:szCs w:val="22"/>
        </w:rPr>
        <w:t>Inizialmente possono essere assunti altri farmaci modificanti la malattia, quali il metotressato. Se la risposta a tali farmaci non è soddisfacente, le verrà dato Humira.</w:t>
      </w:r>
    </w:p>
    <w:p w:rsidR="00BE2BB8" w:rsidRPr="00295E71" w:rsidP="00BE2BB8" w14:paraId="018EAFE5" w14:textId="77777777">
      <w:pPr>
        <w:numPr>
          <w:ilvl w:val="12"/>
          <w:numId w:val="0"/>
        </w:numPr>
        <w:tabs>
          <w:tab w:val="left" w:pos="567"/>
        </w:tabs>
        <w:ind w:right="-2"/>
        <w:jc w:val="both"/>
        <w:rPr>
          <w:sz w:val="22"/>
          <w:szCs w:val="22"/>
        </w:rPr>
      </w:pPr>
    </w:p>
    <w:p w:rsidR="00BE2BB8" w:rsidRPr="00295E71" w:rsidP="00BE2BB8" w14:paraId="59FEA48E" w14:textId="77777777">
      <w:pPr>
        <w:numPr>
          <w:ilvl w:val="12"/>
          <w:numId w:val="0"/>
        </w:numPr>
        <w:tabs>
          <w:tab w:val="left" w:pos="567"/>
        </w:tabs>
        <w:ind w:right="-2"/>
        <w:jc w:val="both"/>
        <w:rPr>
          <w:sz w:val="22"/>
          <w:szCs w:val="22"/>
        </w:rPr>
      </w:pPr>
      <w:r w:rsidRPr="00295E71">
        <w:rPr>
          <w:sz w:val="22"/>
          <w:szCs w:val="22"/>
        </w:rPr>
        <w:t>Humira può essere anche utilizzato per il trattamento dell’artrite reumatoide grave, attiva e progressiva senza precedente trattamento con metotressato.</w:t>
      </w:r>
    </w:p>
    <w:p w:rsidR="00BE2BB8" w:rsidRPr="00295E71" w:rsidP="00BE2BB8" w14:paraId="18FBB68E" w14:textId="77777777">
      <w:pPr>
        <w:numPr>
          <w:ilvl w:val="12"/>
          <w:numId w:val="0"/>
        </w:numPr>
        <w:tabs>
          <w:tab w:val="left" w:pos="567"/>
        </w:tabs>
        <w:ind w:right="-2"/>
        <w:jc w:val="both"/>
        <w:rPr>
          <w:sz w:val="22"/>
          <w:szCs w:val="22"/>
        </w:rPr>
      </w:pPr>
    </w:p>
    <w:p w:rsidR="00BE2BB8" w:rsidRPr="00295E71" w:rsidP="00BE2BB8" w14:paraId="0B9711CC" w14:textId="77777777">
      <w:pPr>
        <w:numPr>
          <w:ilvl w:val="12"/>
          <w:numId w:val="0"/>
        </w:numPr>
        <w:tabs>
          <w:tab w:val="left" w:pos="567"/>
        </w:tabs>
        <w:ind w:right="-2"/>
        <w:jc w:val="both"/>
        <w:rPr>
          <w:sz w:val="22"/>
          <w:szCs w:val="22"/>
        </w:rPr>
      </w:pPr>
      <w:r w:rsidRPr="00295E71">
        <w:rPr>
          <w:sz w:val="22"/>
          <w:szCs w:val="22"/>
        </w:rPr>
        <w:t>Humira può rallentare la progressione del danno alle articolazioni causato dalla malattia infiammatoria e può aiutarle a muoversi più liberamente.</w:t>
      </w:r>
    </w:p>
    <w:p w:rsidR="00BE2BB8" w:rsidRPr="00295E71" w:rsidP="00BE2BB8" w14:paraId="3D927908" w14:textId="77777777">
      <w:pPr>
        <w:numPr>
          <w:ilvl w:val="12"/>
          <w:numId w:val="0"/>
        </w:numPr>
        <w:tabs>
          <w:tab w:val="left" w:pos="567"/>
        </w:tabs>
        <w:ind w:right="-2"/>
        <w:jc w:val="both"/>
        <w:rPr>
          <w:sz w:val="22"/>
          <w:szCs w:val="22"/>
        </w:rPr>
      </w:pPr>
    </w:p>
    <w:p w:rsidR="00BE2BB8" w:rsidRPr="00295E71" w:rsidP="00BE2BB8" w14:paraId="3739EB0B" w14:textId="77777777">
      <w:pPr>
        <w:numPr>
          <w:ilvl w:val="12"/>
          <w:numId w:val="0"/>
        </w:numPr>
        <w:tabs>
          <w:tab w:val="left" w:pos="567"/>
        </w:tabs>
        <w:ind w:right="-2"/>
        <w:jc w:val="both"/>
        <w:rPr>
          <w:sz w:val="22"/>
          <w:szCs w:val="22"/>
        </w:rPr>
      </w:pPr>
      <w:r w:rsidRPr="00295E71">
        <w:rPr>
          <w:sz w:val="22"/>
          <w:szCs w:val="22"/>
        </w:rPr>
        <w:t>Il medico deciderà se Humira deve essere assunto con il metotressato oppure da solo.</w:t>
      </w:r>
    </w:p>
    <w:p w:rsidR="00BE2BB8" w:rsidRPr="00295E71" w:rsidP="00BE2BB8" w14:paraId="43FAD53F" w14:textId="77777777">
      <w:pPr>
        <w:numPr>
          <w:ilvl w:val="12"/>
          <w:numId w:val="0"/>
        </w:numPr>
        <w:tabs>
          <w:tab w:val="left" w:pos="567"/>
        </w:tabs>
        <w:ind w:right="-2"/>
        <w:jc w:val="both"/>
        <w:rPr>
          <w:b/>
          <w:bCs/>
          <w:sz w:val="22"/>
          <w:szCs w:val="22"/>
        </w:rPr>
      </w:pPr>
    </w:p>
    <w:p w:rsidR="006224C2" w:rsidRPr="00295E71" w14:paraId="08D399F9" w14:textId="77777777">
      <w:pPr>
        <w:numPr>
          <w:ilvl w:val="12"/>
          <w:numId w:val="0"/>
        </w:numPr>
        <w:tabs>
          <w:tab w:val="left" w:pos="567"/>
        </w:tabs>
        <w:ind w:right="-2"/>
        <w:jc w:val="both"/>
        <w:rPr>
          <w:b/>
          <w:bCs/>
          <w:sz w:val="22"/>
          <w:szCs w:val="22"/>
        </w:rPr>
      </w:pPr>
      <w:r w:rsidRPr="00295E71">
        <w:rPr>
          <w:b/>
          <w:bCs/>
          <w:sz w:val="22"/>
          <w:szCs w:val="22"/>
        </w:rPr>
        <w:t>Psoriasi a placche</w:t>
      </w:r>
    </w:p>
    <w:p w:rsidR="006224C2" w:rsidRPr="00295E71" w14:paraId="38C68EE5" w14:textId="77777777">
      <w:pPr>
        <w:numPr>
          <w:ilvl w:val="12"/>
          <w:numId w:val="0"/>
        </w:numPr>
        <w:tabs>
          <w:tab w:val="left" w:pos="567"/>
        </w:tabs>
        <w:ind w:right="-2"/>
        <w:jc w:val="both"/>
        <w:rPr>
          <w:sz w:val="22"/>
          <w:szCs w:val="22"/>
        </w:rPr>
      </w:pPr>
    </w:p>
    <w:p w:rsidR="006224C2" w:rsidRPr="00295E71" w14:paraId="3464ABD4" w14:textId="77777777">
      <w:pPr>
        <w:numPr>
          <w:ilvl w:val="12"/>
          <w:numId w:val="0"/>
        </w:numPr>
        <w:tabs>
          <w:tab w:val="left" w:pos="567"/>
        </w:tabs>
        <w:ind w:right="-2"/>
        <w:jc w:val="both"/>
        <w:rPr>
          <w:sz w:val="22"/>
          <w:szCs w:val="22"/>
        </w:rPr>
      </w:pPr>
      <w:r w:rsidRPr="00295E71">
        <w:rPr>
          <w:sz w:val="22"/>
          <w:szCs w:val="22"/>
        </w:rPr>
        <w:t>La psoriasi a placche è una condizione della pelle che causa chiazze rossastre, squamose e indurite di pelle ricoperta da squame argentee.La psoriasi a placche può anche colpire le unghie, provocandone la rottura, l’ispessimento e il sollevamento dal letto dell’unghia, che può essere doloroso.</w:t>
      </w:r>
    </w:p>
    <w:p w:rsidR="006224C2" w:rsidRPr="00295E71" w14:paraId="1520A62E" w14:textId="77777777">
      <w:pPr>
        <w:numPr>
          <w:ilvl w:val="12"/>
          <w:numId w:val="0"/>
        </w:numPr>
        <w:tabs>
          <w:tab w:val="left" w:pos="567"/>
        </w:tabs>
        <w:ind w:right="-2"/>
        <w:jc w:val="both"/>
        <w:rPr>
          <w:sz w:val="22"/>
          <w:szCs w:val="22"/>
        </w:rPr>
      </w:pPr>
    </w:p>
    <w:p w:rsidR="006224C2" w:rsidRPr="00295E71" w14:paraId="2093F51A" w14:textId="77777777">
      <w:pPr>
        <w:numPr>
          <w:ilvl w:val="12"/>
          <w:numId w:val="0"/>
        </w:numPr>
        <w:tabs>
          <w:tab w:val="left" w:pos="567"/>
        </w:tabs>
        <w:ind w:right="-2"/>
        <w:jc w:val="both"/>
        <w:rPr>
          <w:sz w:val="22"/>
          <w:szCs w:val="22"/>
        </w:rPr>
      </w:pPr>
      <w:r w:rsidRPr="00295E71">
        <w:rPr>
          <w:sz w:val="22"/>
          <w:szCs w:val="22"/>
        </w:rPr>
        <w:t xml:space="preserve">Humira è usato per trattare la psoriasi a placche cronica di grado da moderato a severo negli adulti. </w:t>
      </w:r>
    </w:p>
    <w:p w:rsidR="006224C2" w:rsidRPr="00295E71" w14:paraId="672E975F" w14:textId="77777777">
      <w:pPr>
        <w:numPr>
          <w:ilvl w:val="12"/>
          <w:numId w:val="0"/>
        </w:numPr>
        <w:tabs>
          <w:tab w:val="left" w:pos="567"/>
        </w:tabs>
        <w:ind w:right="-2"/>
        <w:jc w:val="both"/>
        <w:rPr>
          <w:sz w:val="22"/>
          <w:szCs w:val="22"/>
        </w:rPr>
      </w:pPr>
    </w:p>
    <w:p w:rsidR="006224C2" w:rsidRPr="00295E71" w14:paraId="017208CF" w14:textId="77777777">
      <w:pPr>
        <w:rPr>
          <w:b/>
          <w:bCs/>
          <w:sz w:val="22"/>
          <w:szCs w:val="22"/>
        </w:rPr>
      </w:pPr>
      <w:r w:rsidRPr="00295E71">
        <w:rPr>
          <w:b/>
          <w:bCs/>
          <w:sz w:val="22"/>
          <w:szCs w:val="22"/>
        </w:rPr>
        <w:t>Idrosadenite Suppurativa</w:t>
      </w:r>
    </w:p>
    <w:p w:rsidR="006224C2" w:rsidRPr="00295E71" w14:paraId="0EC892E4" w14:textId="77777777">
      <w:pPr>
        <w:numPr>
          <w:ilvl w:val="12"/>
          <w:numId w:val="0"/>
        </w:numPr>
        <w:tabs>
          <w:tab w:val="left" w:pos="567"/>
        </w:tabs>
        <w:ind w:right="-2"/>
        <w:jc w:val="both"/>
        <w:rPr>
          <w:sz w:val="22"/>
          <w:szCs w:val="22"/>
        </w:rPr>
      </w:pPr>
    </w:p>
    <w:p w:rsidR="006224C2" w:rsidRPr="00295E71" w14:paraId="3FB7F651" w14:textId="77777777">
      <w:pPr>
        <w:numPr>
          <w:ilvl w:val="12"/>
          <w:numId w:val="0"/>
        </w:numPr>
        <w:tabs>
          <w:tab w:val="left" w:pos="567"/>
        </w:tabs>
        <w:ind w:right="-2"/>
        <w:jc w:val="both"/>
        <w:rPr>
          <w:sz w:val="22"/>
          <w:szCs w:val="22"/>
        </w:rPr>
      </w:pPr>
      <w:r w:rsidRPr="00295E71">
        <w:rPr>
          <w:sz w:val="22"/>
          <w:szCs w:val="22"/>
        </w:rPr>
        <w:t>L’Idrosadenite Suppurativa (chiamata a volte acne inversa) è una malattia infiammatoria cronica della pelle e spesso è dolorosa. I sintomi possono includere noduli dolorosi e ascessi (cisti) che possono drenare pus. Più frequentemente colpisce aree specifiche della pelle, come la regione sottomammaria, le ascelle, l’interno cosce, l’inguine e le natiche. Nelle aree colpite si possono anche formare delle cicatrici.</w:t>
      </w:r>
    </w:p>
    <w:p w:rsidR="006224C2" w:rsidRPr="00295E71" w14:paraId="0F715D54" w14:textId="77777777">
      <w:pPr>
        <w:numPr>
          <w:ilvl w:val="12"/>
          <w:numId w:val="0"/>
        </w:numPr>
        <w:tabs>
          <w:tab w:val="left" w:pos="567"/>
        </w:tabs>
        <w:ind w:right="-2"/>
        <w:jc w:val="both"/>
        <w:rPr>
          <w:sz w:val="22"/>
          <w:szCs w:val="22"/>
        </w:rPr>
      </w:pPr>
    </w:p>
    <w:p w:rsidR="006224C2" w:rsidRPr="00295E71" w14:paraId="0B161DDC" w14:textId="77777777">
      <w:pPr>
        <w:rPr>
          <w:sz w:val="22"/>
          <w:szCs w:val="22"/>
        </w:rPr>
      </w:pPr>
      <w:r w:rsidRPr="00295E71">
        <w:rPr>
          <w:sz w:val="22"/>
          <w:szCs w:val="22"/>
        </w:rPr>
        <w:t xml:space="preserve">Humira è utilizzato per trattare: </w:t>
      </w:r>
    </w:p>
    <w:p w:rsidR="006224C2" w:rsidRPr="00295E71" w14:paraId="6A843931" w14:textId="77777777">
      <w:pPr>
        <w:pStyle w:val="ListParagraph"/>
        <w:numPr>
          <w:ilvl w:val="0"/>
          <w:numId w:val="115"/>
        </w:numPr>
        <w:rPr>
          <w:sz w:val="22"/>
          <w:szCs w:val="22"/>
        </w:rPr>
      </w:pPr>
      <w:r w:rsidRPr="00295E71">
        <w:rPr>
          <w:sz w:val="22"/>
          <w:szCs w:val="22"/>
        </w:rPr>
        <w:t xml:space="preserve">L’Idrosadenite Suppurativa di grado da moderato a severo negli adulti e </w:t>
      </w:r>
    </w:p>
    <w:p w:rsidR="006224C2" w:rsidRPr="00295E71" w14:paraId="6D92F672" w14:textId="77777777">
      <w:pPr>
        <w:pStyle w:val="ListParagraph"/>
        <w:numPr>
          <w:ilvl w:val="0"/>
          <w:numId w:val="115"/>
        </w:numPr>
        <w:rPr>
          <w:sz w:val="22"/>
          <w:szCs w:val="22"/>
        </w:rPr>
      </w:pPr>
      <w:r w:rsidRPr="00295E71">
        <w:rPr>
          <w:sz w:val="22"/>
          <w:szCs w:val="22"/>
        </w:rPr>
        <w:t xml:space="preserve">L’Idrosadenite Suppurativa di grado da moderato a severo negli adolescenti </w:t>
      </w:r>
      <w:r w:rsidRPr="00295E71" w:rsidR="00AF4627">
        <w:rPr>
          <w:sz w:val="22"/>
          <w:szCs w:val="22"/>
        </w:rPr>
        <w:t xml:space="preserve">di età compresa tra </w:t>
      </w:r>
      <w:r w:rsidRPr="00295E71">
        <w:rPr>
          <w:sz w:val="22"/>
          <w:szCs w:val="22"/>
        </w:rPr>
        <w:t>12 </w:t>
      </w:r>
      <w:r w:rsidRPr="00295E71" w:rsidR="00AF4627">
        <w:rPr>
          <w:sz w:val="22"/>
          <w:szCs w:val="22"/>
        </w:rPr>
        <w:t xml:space="preserve">e 17 </w:t>
      </w:r>
      <w:r w:rsidRPr="00295E71">
        <w:rPr>
          <w:sz w:val="22"/>
          <w:szCs w:val="22"/>
        </w:rPr>
        <w:t xml:space="preserve">anni. </w:t>
      </w:r>
    </w:p>
    <w:p w:rsidR="006224C2" w:rsidRPr="00295E71" w14:paraId="3A0577F7" w14:textId="77777777">
      <w:pPr>
        <w:rPr>
          <w:sz w:val="22"/>
          <w:szCs w:val="22"/>
        </w:rPr>
      </w:pPr>
    </w:p>
    <w:p w:rsidR="006224C2" w:rsidRPr="00295E71" w14:paraId="7ED7FEA4" w14:textId="77777777">
      <w:pPr>
        <w:rPr>
          <w:sz w:val="22"/>
          <w:szCs w:val="22"/>
        </w:rPr>
      </w:pPr>
      <w:r w:rsidRPr="00295E71">
        <w:rPr>
          <w:sz w:val="22"/>
          <w:szCs w:val="22"/>
        </w:rPr>
        <w:t>Humira può ridurre il numero di noduli e di ascessi provocati dalla malattia e il dolore che spesso è associato a questa malattia. Inizialmente possono essere assunti altri medicinali. Se la risposta a questi farmaci non dovesse essere adeguata, le verrà dato Humira.</w:t>
      </w:r>
    </w:p>
    <w:p w:rsidR="006224C2" w:rsidRPr="00295E71" w14:paraId="3F50D775" w14:textId="77777777">
      <w:pPr>
        <w:pStyle w:val="EMEANormal"/>
        <w:jc w:val="both"/>
        <w:rPr>
          <w:u w:val="single"/>
          <w:lang w:val="it-IT"/>
        </w:rPr>
      </w:pPr>
    </w:p>
    <w:p w:rsidR="006224C2" w:rsidRPr="00295E71" w14:paraId="1B668357" w14:textId="77777777">
      <w:pPr>
        <w:keepNext/>
        <w:rPr>
          <w:b/>
          <w:bCs/>
          <w:sz w:val="22"/>
          <w:szCs w:val="22"/>
        </w:rPr>
      </w:pPr>
      <w:r w:rsidRPr="00295E71">
        <w:rPr>
          <w:b/>
          <w:bCs/>
          <w:sz w:val="22"/>
          <w:szCs w:val="22"/>
        </w:rPr>
        <w:t>Malattia di Crohn</w:t>
      </w:r>
    </w:p>
    <w:p w:rsidR="006224C2" w:rsidRPr="00295E71" w14:paraId="46C9604B" w14:textId="77777777">
      <w:pPr>
        <w:pStyle w:val="EMEANormal"/>
        <w:keepNext/>
        <w:jc w:val="both"/>
        <w:rPr>
          <w:lang w:val="it-IT"/>
        </w:rPr>
      </w:pPr>
    </w:p>
    <w:p w:rsidR="006224C2" w:rsidRPr="00295E71" w14:paraId="36800639" w14:textId="77777777">
      <w:pPr>
        <w:pStyle w:val="EMEANormal"/>
        <w:keepNext/>
        <w:jc w:val="both"/>
        <w:rPr>
          <w:lang w:val="it-IT"/>
        </w:rPr>
      </w:pPr>
      <w:r w:rsidRPr="00295E71">
        <w:rPr>
          <w:lang w:val="it-IT"/>
        </w:rPr>
        <w:t>La malattia di Crohn è un’infiammazione del tratto digerente.</w:t>
      </w:r>
    </w:p>
    <w:p w:rsidR="006224C2" w:rsidRPr="00295E71" w14:paraId="687B7E8A" w14:textId="77777777">
      <w:pPr>
        <w:pStyle w:val="EMEANormal"/>
        <w:jc w:val="both"/>
        <w:rPr>
          <w:lang w:val="it-IT"/>
        </w:rPr>
      </w:pPr>
    </w:p>
    <w:p w:rsidR="006224C2" w:rsidRPr="00295E71" w14:paraId="64B2590F" w14:textId="77777777">
      <w:pPr>
        <w:numPr>
          <w:ilvl w:val="12"/>
          <w:numId w:val="0"/>
        </w:numPr>
        <w:tabs>
          <w:tab w:val="left" w:pos="567"/>
        </w:tabs>
        <w:ind w:right="-2"/>
        <w:jc w:val="both"/>
        <w:rPr>
          <w:sz w:val="22"/>
          <w:szCs w:val="22"/>
        </w:rPr>
      </w:pPr>
      <w:r w:rsidRPr="00295E71">
        <w:rPr>
          <w:sz w:val="22"/>
          <w:szCs w:val="22"/>
        </w:rPr>
        <w:t>Humira è usato per trattare:</w:t>
      </w:r>
    </w:p>
    <w:p w:rsidR="006224C2" w:rsidRPr="00295E71" w14:paraId="290F87FE" w14:textId="77777777">
      <w:pPr>
        <w:pStyle w:val="ListParagraph"/>
        <w:numPr>
          <w:ilvl w:val="0"/>
          <w:numId w:val="116"/>
        </w:numPr>
        <w:ind w:left="720"/>
        <w:jc w:val="both"/>
        <w:rPr>
          <w:sz w:val="22"/>
          <w:szCs w:val="22"/>
        </w:rPr>
      </w:pPr>
      <w:r w:rsidRPr="00295E71">
        <w:rPr>
          <w:sz w:val="22"/>
          <w:szCs w:val="22"/>
        </w:rPr>
        <w:t xml:space="preserve">la Malattia di Crohn </w:t>
      </w:r>
      <w:r w:rsidRPr="00295E71" w:rsidR="00A7233A">
        <w:rPr>
          <w:sz w:val="22"/>
          <w:szCs w:val="22"/>
        </w:rPr>
        <w:t xml:space="preserve">di grado da moderato a severo </w:t>
      </w:r>
      <w:r w:rsidRPr="00295E71">
        <w:rPr>
          <w:sz w:val="22"/>
          <w:szCs w:val="22"/>
        </w:rPr>
        <w:t>negli adulti</w:t>
      </w:r>
    </w:p>
    <w:p w:rsidR="006224C2" w:rsidRPr="00295E71" w14:paraId="53E0D232" w14:textId="77777777">
      <w:pPr>
        <w:pStyle w:val="ListParagraph"/>
        <w:numPr>
          <w:ilvl w:val="0"/>
          <w:numId w:val="116"/>
        </w:numPr>
        <w:ind w:left="720"/>
        <w:jc w:val="both"/>
        <w:rPr>
          <w:sz w:val="22"/>
          <w:szCs w:val="22"/>
        </w:rPr>
      </w:pPr>
      <w:r w:rsidRPr="00295E71">
        <w:rPr>
          <w:sz w:val="22"/>
          <w:szCs w:val="22"/>
        </w:rPr>
        <w:t xml:space="preserve">la Malattia di Crohn </w:t>
      </w:r>
      <w:r w:rsidRPr="00295E71" w:rsidR="00A7233A">
        <w:rPr>
          <w:sz w:val="22"/>
          <w:szCs w:val="22"/>
        </w:rPr>
        <w:t xml:space="preserve">di grado da moderato a severo </w:t>
      </w:r>
      <w:r w:rsidRPr="00295E71">
        <w:rPr>
          <w:sz w:val="22"/>
          <w:szCs w:val="22"/>
        </w:rPr>
        <w:t xml:space="preserve">nei bambini e adolescenti di età </w:t>
      </w:r>
      <w:r w:rsidRPr="00295E71" w:rsidR="00A7233A">
        <w:rPr>
          <w:sz w:val="22"/>
          <w:szCs w:val="22"/>
        </w:rPr>
        <w:t xml:space="preserve">compresa tra </w:t>
      </w:r>
      <w:r w:rsidRPr="00295E71">
        <w:rPr>
          <w:sz w:val="22"/>
          <w:szCs w:val="22"/>
        </w:rPr>
        <w:t xml:space="preserve">6 </w:t>
      </w:r>
      <w:r w:rsidRPr="00295E71" w:rsidR="00A7233A">
        <w:rPr>
          <w:sz w:val="22"/>
          <w:szCs w:val="22"/>
        </w:rPr>
        <w:t>e</w:t>
      </w:r>
      <w:r w:rsidRPr="00295E71">
        <w:rPr>
          <w:sz w:val="22"/>
          <w:szCs w:val="22"/>
        </w:rPr>
        <w:t xml:space="preserve"> 17 anni. </w:t>
      </w:r>
    </w:p>
    <w:p w:rsidR="006224C2" w:rsidRPr="00295E71" w14:paraId="72ECA778" w14:textId="77777777">
      <w:pPr>
        <w:tabs>
          <w:tab w:val="left" w:pos="567"/>
        </w:tabs>
        <w:ind w:right="-2"/>
        <w:jc w:val="both"/>
        <w:rPr>
          <w:sz w:val="22"/>
          <w:szCs w:val="22"/>
        </w:rPr>
      </w:pPr>
    </w:p>
    <w:p w:rsidR="006224C2" w:rsidRPr="00295E71" w14:paraId="7BE1A897" w14:textId="77777777">
      <w:pPr>
        <w:tabs>
          <w:tab w:val="left" w:pos="567"/>
        </w:tabs>
        <w:ind w:right="-2"/>
        <w:jc w:val="both"/>
        <w:rPr>
          <w:sz w:val="22"/>
          <w:szCs w:val="22"/>
        </w:rPr>
      </w:pPr>
      <w:r w:rsidRPr="00295E71">
        <w:rPr>
          <w:sz w:val="22"/>
          <w:szCs w:val="22"/>
        </w:rPr>
        <w:t>Inizialmente possono essere</w:t>
      </w:r>
      <w:r w:rsidRPr="00295E71" w:rsidR="005E21DA">
        <w:rPr>
          <w:sz w:val="22"/>
          <w:szCs w:val="22"/>
        </w:rPr>
        <w:t xml:space="preserve"> </w:t>
      </w:r>
      <w:r w:rsidRPr="00295E71">
        <w:rPr>
          <w:sz w:val="22"/>
          <w:szCs w:val="22"/>
        </w:rPr>
        <w:t>assunti altri farmaci. Se la risposta a questi farmaci non dovesse essere adeguata, le verrà dato</w:t>
      </w:r>
      <w:r w:rsidRPr="00295E71" w:rsidR="005E21DA">
        <w:rPr>
          <w:sz w:val="22"/>
          <w:szCs w:val="22"/>
        </w:rPr>
        <w:t xml:space="preserve"> </w:t>
      </w:r>
      <w:r w:rsidRPr="00295E71">
        <w:rPr>
          <w:sz w:val="22"/>
          <w:szCs w:val="22"/>
        </w:rPr>
        <w:t>Humira per trattare la malattia di Crohn.</w:t>
      </w:r>
    </w:p>
    <w:p w:rsidR="006224C2" w:rsidRPr="00295E71" w14:paraId="1B0DAEC1" w14:textId="77777777">
      <w:pPr>
        <w:numPr>
          <w:ilvl w:val="12"/>
          <w:numId w:val="0"/>
        </w:numPr>
        <w:tabs>
          <w:tab w:val="left" w:pos="567"/>
        </w:tabs>
        <w:ind w:right="-2"/>
        <w:jc w:val="both"/>
        <w:rPr>
          <w:sz w:val="22"/>
          <w:szCs w:val="22"/>
        </w:rPr>
      </w:pPr>
    </w:p>
    <w:p w:rsidR="006224C2" w:rsidRPr="00295E71" w14:paraId="76F5EC5D" w14:textId="77777777">
      <w:pPr>
        <w:keepNext/>
        <w:rPr>
          <w:b/>
          <w:bCs/>
          <w:sz w:val="22"/>
          <w:szCs w:val="22"/>
        </w:rPr>
      </w:pPr>
      <w:r w:rsidRPr="00295E71">
        <w:rPr>
          <w:b/>
          <w:bCs/>
          <w:sz w:val="22"/>
          <w:szCs w:val="22"/>
        </w:rPr>
        <w:t>Colite ulcerosa</w:t>
      </w:r>
    </w:p>
    <w:p w:rsidR="006224C2" w:rsidRPr="00295E71" w14:paraId="5379AC36" w14:textId="77777777">
      <w:pPr>
        <w:keepNext/>
        <w:numPr>
          <w:ilvl w:val="12"/>
          <w:numId w:val="0"/>
        </w:numPr>
        <w:tabs>
          <w:tab w:val="left" w:pos="567"/>
        </w:tabs>
        <w:ind w:right="-2"/>
        <w:jc w:val="both"/>
        <w:rPr>
          <w:sz w:val="22"/>
          <w:szCs w:val="22"/>
          <w:u w:val="single"/>
        </w:rPr>
      </w:pPr>
    </w:p>
    <w:p w:rsidR="006224C2" w:rsidRPr="00295E71" w14:paraId="7DD07A57" w14:textId="77777777">
      <w:pPr>
        <w:keepNext/>
        <w:numPr>
          <w:ilvl w:val="12"/>
          <w:numId w:val="0"/>
        </w:numPr>
        <w:tabs>
          <w:tab w:val="left" w:pos="567"/>
        </w:tabs>
        <w:ind w:right="-2"/>
        <w:jc w:val="both"/>
        <w:rPr>
          <w:sz w:val="22"/>
          <w:szCs w:val="22"/>
          <w:u w:val="single"/>
        </w:rPr>
      </w:pPr>
      <w:r w:rsidRPr="00295E71">
        <w:rPr>
          <w:sz w:val="22"/>
          <w:szCs w:val="22"/>
        </w:rPr>
        <w:t>La colite ulcerosa è un’infiammazione dell’intestino crasso.</w:t>
      </w:r>
    </w:p>
    <w:p w:rsidR="006224C2" w:rsidRPr="00295E71" w14:paraId="41F25CEF" w14:textId="77777777">
      <w:pPr>
        <w:numPr>
          <w:ilvl w:val="12"/>
          <w:numId w:val="0"/>
        </w:numPr>
        <w:tabs>
          <w:tab w:val="left" w:pos="567"/>
        </w:tabs>
        <w:ind w:right="-2"/>
        <w:jc w:val="both"/>
        <w:rPr>
          <w:sz w:val="22"/>
          <w:szCs w:val="22"/>
          <w:u w:val="single"/>
        </w:rPr>
      </w:pPr>
    </w:p>
    <w:p w:rsidR="00803E02" w14:paraId="09E40416" w14:textId="77777777">
      <w:pPr>
        <w:numPr>
          <w:ilvl w:val="12"/>
          <w:numId w:val="0"/>
        </w:numPr>
        <w:tabs>
          <w:tab w:val="left" w:pos="567"/>
        </w:tabs>
        <w:ind w:right="-2"/>
        <w:jc w:val="both"/>
        <w:rPr>
          <w:sz w:val="22"/>
          <w:szCs w:val="22"/>
        </w:rPr>
      </w:pPr>
      <w:r w:rsidRPr="00295E71">
        <w:rPr>
          <w:sz w:val="22"/>
          <w:szCs w:val="22"/>
        </w:rPr>
        <w:t xml:space="preserve">Humira è usato per trattare </w:t>
      </w:r>
    </w:p>
    <w:p w:rsidR="00803E02" w:rsidRPr="00612824" w:rsidP="00612824" w14:paraId="0B7D6982" w14:textId="77777777">
      <w:pPr>
        <w:pStyle w:val="ListParagraph"/>
        <w:numPr>
          <w:ilvl w:val="0"/>
          <w:numId w:val="160"/>
        </w:numPr>
        <w:tabs>
          <w:tab w:val="left" w:pos="720"/>
        </w:tabs>
        <w:ind w:right="-2"/>
        <w:jc w:val="both"/>
        <w:rPr>
          <w:sz w:val="22"/>
          <w:szCs w:val="22"/>
        </w:rPr>
      </w:pPr>
      <w:r w:rsidRPr="00612824">
        <w:rPr>
          <w:sz w:val="22"/>
          <w:szCs w:val="22"/>
        </w:rPr>
        <w:t xml:space="preserve">la colite ulcerosa </w:t>
      </w:r>
      <w:r w:rsidRPr="00612824" w:rsidR="001D62D6">
        <w:rPr>
          <w:sz w:val="22"/>
          <w:szCs w:val="22"/>
        </w:rPr>
        <w:t xml:space="preserve">di grado da moderato a severo </w:t>
      </w:r>
      <w:r w:rsidRPr="00612824">
        <w:rPr>
          <w:sz w:val="22"/>
          <w:szCs w:val="22"/>
        </w:rPr>
        <w:t>negli adulti</w:t>
      </w:r>
      <w:r w:rsidR="00126944">
        <w:rPr>
          <w:sz w:val="22"/>
          <w:szCs w:val="22"/>
        </w:rPr>
        <w:t xml:space="preserve"> e</w:t>
      </w:r>
    </w:p>
    <w:p w:rsidR="00803E02" w:rsidRPr="00612824" w:rsidP="00612824" w14:paraId="65454577" w14:textId="77777777">
      <w:pPr>
        <w:pStyle w:val="ListParagraph"/>
        <w:numPr>
          <w:ilvl w:val="0"/>
          <w:numId w:val="160"/>
        </w:numPr>
        <w:tabs>
          <w:tab w:val="left" w:pos="720"/>
        </w:tabs>
        <w:ind w:right="-2"/>
        <w:jc w:val="both"/>
        <w:rPr>
          <w:sz w:val="22"/>
          <w:szCs w:val="22"/>
        </w:rPr>
      </w:pPr>
      <w:r w:rsidRPr="00612824">
        <w:rPr>
          <w:sz w:val="22"/>
          <w:szCs w:val="22"/>
        </w:rPr>
        <w:t>la colite ulcerosa di grado da moderato a severo nei bambini e negli adolescenti di età compresa tra 6 e 17 anni</w:t>
      </w:r>
      <w:r w:rsidRPr="00612824" w:rsidR="00226BC4">
        <w:rPr>
          <w:sz w:val="22"/>
          <w:szCs w:val="22"/>
        </w:rPr>
        <w:t xml:space="preserve"> </w:t>
      </w:r>
    </w:p>
    <w:p w:rsidR="00803E02" w14:paraId="2D86CAA3" w14:textId="77777777">
      <w:pPr>
        <w:numPr>
          <w:ilvl w:val="12"/>
          <w:numId w:val="0"/>
        </w:numPr>
        <w:tabs>
          <w:tab w:val="left" w:pos="567"/>
        </w:tabs>
        <w:ind w:right="-2"/>
        <w:jc w:val="both"/>
        <w:rPr>
          <w:sz w:val="22"/>
          <w:szCs w:val="22"/>
        </w:rPr>
      </w:pPr>
    </w:p>
    <w:p w:rsidR="006224C2" w:rsidRPr="00295E71" w14:paraId="271891FA" w14:textId="77777777">
      <w:pPr>
        <w:numPr>
          <w:ilvl w:val="12"/>
          <w:numId w:val="0"/>
        </w:numPr>
        <w:tabs>
          <w:tab w:val="left" w:pos="567"/>
        </w:tabs>
        <w:ind w:right="-2"/>
        <w:jc w:val="both"/>
        <w:rPr>
          <w:sz w:val="22"/>
          <w:szCs w:val="22"/>
        </w:rPr>
      </w:pPr>
      <w:r w:rsidRPr="00295E71">
        <w:rPr>
          <w:sz w:val="22"/>
          <w:szCs w:val="22"/>
        </w:rPr>
        <w:t>Inizialmente possono essere assunti altri farmaci. Se la risposta a questi farmaci non dovesse essere adeguata, le verrà dato Humira.</w:t>
      </w:r>
    </w:p>
    <w:p w:rsidR="006224C2" w:rsidRPr="00295E71" w14:paraId="74A4F796" w14:textId="77777777">
      <w:pPr>
        <w:numPr>
          <w:ilvl w:val="12"/>
          <w:numId w:val="0"/>
        </w:numPr>
        <w:tabs>
          <w:tab w:val="left" w:pos="567"/>
        </w:tabs>
        <w:ind w:right="-2"/>
        <w:jc w:val="both"/>
        <w:rPr>
          <w:sz w:val="22"/>
          <w:szCs w:val="22"/>
        </w:rPr>
      </w:pPr>
    </w:p>
    <w:p w:rsidR="006224C2" w:rsidRPr="00295E71" w14:paraId="77BB388A" w14:textId="77777777">
      <w:pPr>
        <w:numPr>
          <w:ilvl w:val="12"/>
          <w:numId w:val="0"/>
        </w:numPr>
        <w:tabs>
          <w:tab w:val="left" w:pos="567"/>
        </w:tabs>
        <w:ind w:right="-2"/>
        <w:jc w:val="both"/>
        <w:rPr>
          <w:b/>
          <w:bCs/>
          <w:sz w:val="22"/>
          <w:szCs w:val="22"/>
        </w:rPr>
      </w:pPr>
      <w:r w:rsidRPr="00295E71">
        <w:rPr>
          <w:b/>
          <w:bCs/>
          <w:sz w:val="22"/>
          <w:szCs w:val="22"/>
        </w:rPr>
        <w:t>Uveite non infettiva</w:t>
      </w:r>
    </w:p>
    <w:p w:rsidR="006224C2" w:rsidRPr="00295E71" w14:paraId="6474FA7F" w14:textId="77777777">
      <w:pPr>
        <w:numPr>
          <w:ilvl w:val="12"/>
          <w:numId w:val="0"/>
        </w:numPr>
        <w:tabs>
          <w:tab w:val="left" w:pos="567"/>
        </w:tabs>
        <w:ind w:right="-2"/>
        <w:jc w:val="both"/>
        <w:rPr>
          <w:sz w:val="22"/>
          <w:szCs w:val="22"/>
          <w:u w:val="single"/>
        </w:rPr>
      </w:pPr>
    </w:p>
    <w:p w:rsidR="006224C2" w:rsidRPr="00295E71" w14:paraId="76BAB76B" w14:textId="77777777">
      <w:pPr>
        <w:numPr>
          <w:ilvl w:val="12"/>
          <w:numId w:val="0"/>
        </w:numPr>
        <w:tabs>
          <w:tab w:val="left" w:pos="567"/>
        </w:tabs>
        <w:ind w:right="-2"/>
        <w:jc w:val="both"/>
        <w:rPr>
          <w:sz w:val="22"/>
          <w:szCs w:val="22"/>
        </w:rPr>
      </w:pPr>
      <w:r w:rsidRPr="00295E71">
        <w:rPr>
          <w:sz w:val="22"/>
          <w:szCs w:val="22"/>
        </w:rPr>
        <w:t>L’uveite non infettiva è una malattia infiammatoria che colpisce alcune parti dell’occhio.</w:t>
      </w:r>
    </w:p>
    <w:p w:rsidR="006224C2" w:rsidRPr="00295E71" w14:paraId="741B898A" w14:textId="77777777">
      <w:pPr>
        <w:numPr>
          <w:ilvl w:val="12"/>
          <w:numId w:val="0"/>
        </w:numPr>
        <w:tabs>
          <w:tab w:val="left" w:pos="567"/>
        </w:tabs>
        <w:ind w:left="567" w:right="-2" w:hanging="567"/>
        <w:jc w:val="both"/>
        <w:rPr>
          <w:sz w:val="22"/>
          <w:szCs w:val="22"/>
        </w:rPr>
      </w:pPr>
    </w:p>
    <w:p w:rsidR="006224C2" w:rsidRPr="00295E71" w14:paraId="5F787522" w14:textId="77777777">
      <w:pPr>
        <w:numPr>
          <w:ilvl w:val="12"/>
          <w:numId w:val="0"/>
        </w:numPr>
        <w:tabs>
          <w:tab w:val="left" w:pos="567"/>
        </w:tabs>
        <w:ind w:right="-2"/>
        <w:jc w:val="both"/>
        <w:rPr>
          <w:sz w:val="22"/>
          <w:szCs w:val="22"/>
        </w:rPr>
      </w:pPr>
      <w:r w:rsidRPr="00295E71">
        <w:rPr>
          <w:sz w:val="22"/>
          <w:szCs w:val="22"/>
        </w:rPr>
        <w:t>Humira è impiegato per il trattamento di:</w:t>
      </w:r>
    </w:p>
    <w:p w:rsidR="006224C2" w:rsidRPr="00295E71" w14:paraId="2B3278E3" w14:textId="77777777">
      <w:pPr>
        <w:pStyle w:val="ListParagraph"/>
        <w:numPr>
          <w:ilvl w:val="0"/>
          <w:numId w:val="126"/>
        </w:numPr>
        <w:tabs>
          <w:tab w:val="left" w:pos="567"/>
        </w:tabs>
        <w:ind w:left="567" w:right="-2"/>
        <w:jc w:val="both"/>
        <w:rPr>
          <w:sz w:val="22"/>
          <w:szCs w:val="22"/>
        </w:rPr>
      </w:pPr>
      <w:r w:rsidRPr="00295E71">
        <w:rPr>
          <w:sz w:val="22"/>
          <w:szCs w:val="22"/>
        </w:rPr>
        <w:t xml:space="preserve">Adulti </w:t>
      </w:r>
      <w:r w:rsidRPr="00295E71" w:rsidR="00224E13">
        <w:rPr>
          <w:sz w:val="22"/>
          <w:szCs w:val="22"/>
        </w:rPr>
        <w:t>con</w:t>
      </w:r>
      <w:r w:rsidRPr="00295E71">
        <w:rPr>
          <w:sz w:val="22"/>
          <w:szCs w:val="22"/>
        </w:rPr>
        <w:t xml:space="preserve"> uveite non infettiva con infiammazione che interessa il fondo dell’occhio </w:t>
      </w:r>
    </w:p>
    <w:p w:rsidR="006224C2" w:rsidRPr="00295E71" w14:paraId="4A5466A5" w14:textId="77777777">
      <w:pPr>
        <w:pStyle w:val="ListParagraph"/>
        <w:numPr>
          <w:ilvl w:val="0"/>
          <w:numId w:val="126"/>
        </w:numPr>
        <w:tabs>
          <w:tab w:val="left" w:pos="567"/>
        </w:tabs>
        <w:ind w:left="567" w:right="-2"/>
        <w:jc w:val="both"/>
        <w:rPr>
          <w:sz w:val="22"/>
          <w:szCs w:val="22"/>
        </w:rPr>
      </w:pPr>
      <w:r w:rsidRPr="00295E71">
        <w:rPr>
          <w:sz w:val="22"/>
          <w:szCs w:val="22"/>
        </w:rPr>
        <w:t>Bambini dai 2 anni di età con uveite cronica non infettiva con infiammazione che interessa la parte anteriore dell’occhio</w:t>
      </w:r>
    </w:p>
    <w:p w:rsidR="006224C2" w:rsidRPr="00295E71" w14:paraId="22F29B0A" w14:textId="77777777">
      <w:pPr>
        <w:numPr>
          <w:ilvl w:val="12"/>
          <w:numId w:val="0"/>
        </w:numPr>
        <w:tabs>
          <w:tab w:val="left" w:pos="567"/>
        </w:tabs>
        <w:ind w:right="-2"/>
        <w:jc w:val="both"/>
        <w:rPr>
          <w:sz w:val="22"/>
          <w:szCs w:val="22"/>
        </w:rPr>
      </w:pPr>
    </w:p>
    <w:p w:rsidR="006224C2" w:rsidRPr="00295E71" w14:paraId="503292F7" w14:textId="77777777">
      <w:pPr>
        <w:numPr>
          <w:ilvl w:val="12"/>
          <w:numId w:val="0"/>
        </w:numPr>
        <w:tabs>
          <w:tab w:val="left" w:pos="567"/>
        </w:tabs>
        <w:ind w:right="-2"/>
        <w:jc w:val="both"/>
        <w:rPr>
          <w:sz w:val="22"/>
          <w:szCs w:val="22"/>
        </w:rPr>
      </w:pPr>
      <w:r w:rsidRPr="00295E71">
        <w:rPr>
          <w:sz w:val="22"/>
          <w:szCs w:val="22"/>
        </w:rPr>
        <w:t>Questa infiammazione può portare a una diminuzione della visione e/o alla presenza di corpi mobili nell’occhio (punti neri o linee sottili che si muovono attraverso il campo visivo). Humira agisce riducendo questa infiammazione. Le verranno prima somministrati altri farmaci. Nel caso in cui Lei non risponda in maniera sufficientemente adeguata a questi farmaci, le verrà somministrato Humira.</w:t>
      </w:r>
    </w:p>
    <w:p w:rsidR="006224C2" w:rsidRPr="00295E71" w14:paraId="3F3D00BF" w14:textId="77777777">
      <w:pPr>
        <w:numPr>
          <w:ilvl w:val="12"/>
          <w:numId w:val="0"/>
        </w:numPr>
        <w:tabs>
          <w:tab w:val="left" w:pos="567"/>
        </w:tabs>
        <w:ind w:right="-2"/>
        <w:jc w:val="both"/>
        <w:rPr>
          <w:sz w:val="22"/>
          <w:szCs w:val="22"/>
        </w:rPr>
      </w:pPr>
    </w:p>
    <w:p w:rsidR="006224C2" w:rsidRPr="00295E71" w14:paraId="22527242" w14:textId="77777777">
      <w:pPr>
        <w:numPr>
          <w:ilvl w:val="12"/>
          <w:numId w:val="0"/>
        </w:numPr>
        <w:tabs>
          <w:tab w:val="left" w:pos="567"/>
        </w:tabs>
        <w:ind w:right="-2"/>
        <w:jc w:val="both"/>
        <w:rPr>
          <w:sz w:val="22"/>
          <w:szCs w:val="22"/>
        </w:rPr>
      </w:pPr>
    </w:p>
    <w:p w:rsidR="006224C2" w:rsidRPr="00295E71" w14:paraId="4FF623C5" w14:textId="77777777">
      <w:pPr>
        <w:numPr>
          <w:ilvl w:val="12"/>
          <w:numId w:val="0"/>
        </w:numPr>
        <w:tabs>
          <w:tab w:val="left" w:pos="567"/>
        </w:tabs>
        <w:ind w:left="567" w:right="-2" w:hanging="567"/>
        <w:jc w:val="both"/>
        <w:rPr>
          <w:b/>
          <w:bCs/>
          <w:sz w:val="22"/>
          <w:szCs w:val="22"/>
        </w:rPr>
      </w:pPr>
      <w:r w:rsidRPr="00295E71">
        <w:rPr>
          <w:b/>
          <w:bCs/>
          <w:sz w:val="22"/>
          <w:szCs w:val="22"/>
        </w:rPr>
        <w:t>2.</w:t>
      </w:r>
      <w:r w:rsidRPr="00295E71">
        <w:rPr>
          <w:b/>
          <w:bCs/>
          <w:sz w:val="22"/>
          <w:szCs w:val="22"/>
        </w:rPr>
        <w:tab/>
        <w:t>Cosa deve sapere prima di usare Humira</w:t>
      </w:r>
    </w:p>
    <w:p w:rsidR="006224C2" w:rsidRPr="00295E71" w14:paraId="30C71595" w14:textId="77777777">
      <w:pPr>
        <w:numPr>
          <w:ilvl w:val="12"/>
          <w:numId w:val="0"/>
        </w:numPr>
        <w:tabs>
          <w:tab w:val="left" w:pos="567"/>
        </w:tabs>
        <w:ind w:right="-2"/>
        <w:jc w:val="both"/>
        <w:rPr>
          <w:sz w:val="22"/>
          <w:szCs w:val="22"/>
        </w:rPr>
      </w:pPr>
    </w:p>
    <w:p w:rsidR="006224C2" w:rsidRPr="00295E71" w14:paraId="6093C6E0" w14:textId="77777777">
      <w:pPr>
        <w:numPr>
          <w:ilvl w:val="12"/>
          <w:numId w:val="0"/>
        </w:numPr>
        <w:tabs>
          <w:tab w:val="left" w:pos="567"/>
        </w:tabs>
        <w:jc w:val="both"/>
        <w:rPr>
          <w:b/>
          <w:bCs/>
          <w:sz w:val="22"/>
          <w:szCs w:val="22"/>
        </w:rPr>
      </w:pPr>
      <w:r w:rsidRPr="00295E71">
        <w:rPr>
          <w:b/>
          <w:bCs/>
          <w:sz w:val="22"/>
          <w:szCs w:val="22"/>
        </w:rPr>
        <w:t>Non usi Humira:</w:t>
      </w:r>
    </w:p>
    <w:p w:rsidR="006224C2" w:rsidRPr="00295E71" w14:paraId="20415FBC" w14:textId="77777777">
      <w:pPr>
        <w:pStyle w:val="EndnoteText"/>
        <w:numPr>
          <w:ilvl w:val="12"/>
          <w:numId w:val="0"/>
        </w:numPr>
        <w:jc w:val="both"/>
        <w:rPr>
          <w:lang w:val="it-IT"/>
        </w:rPr>
      </w:pPr>
    </w:p>
    <w:p w:rsidR="006224C2" w:rsidRPr="00295E71" w14:paraId="07027968" w14:textId="77777777">
      <w:pPr>
        <w:numPr>
          <w:ilvl w:val="0"/>
          <w:numId w:val="5"/>
        </w:numPr>
        <w:tabs>
          <w:tab w:val="clear" w:pos="360"/>
          <w:tab w:val="left" w:pos="540"/>
        </w:tabs>
        <w:ind w:left="540" w:hanging="540"/>
        <w:jc w:val="both"/>
        <w:rPr>
          <w:sz w:val="22"/>
          <w:szCs w:val="22"/>
        </w:rPr>
      </w:pPr>
      <w:r w:rsidRPr="00295E71">
        <w:rPr>
          <w:sz w:val="22"/>
          <w:szCs w:val="22"/>
        </w:rPr>
        <w:t>Se è allergico ad adalimumab o ad uno qualsiasi degli altri componenti di questo medicinale (elencati al paragrafo 6).</w:t>
      </w:r>
    </w:p>
    <w:p w:rsidR="006224C2" w:rsidRPr="00295E71" w14:paraId="04F8308D" w14:textId="77777777">
      <w:pPr>
        <w:tabs>
          <w:tab w:val="left" w:pos="567"/>
        </w:tabs>
        <w:jc w:val="both"/>
        <w:rPr>
          <w:sz w:val="22"/>
          <w:szCs w:val="22"/>
        </w:rPr>
      </w:pPr>
    </w:p>
    <w:p w:rsidR="006224C2" w:rsidRPr="00295E71" w14:paraId="406B3351" w14:textId="77777777">
      <w:pPr>
        <w:numPr>
          <w:ilvl w:val="0"/>
          <w:numId w:val="5"/>
        </w:numPr>
        <w:tabs>
          <w:tab w:val="clear" w:pos="360"/>
          <w:tab w:val="left" w:pos="540"/>
        </w:tabs>
        <w:ind w:left="540" w:hanging="540"/>
        <w:jc w:val="both"/>
        <w:rPr>
          <w:sz w:val="22"/>
          <w:szCs w:val="22"/>
        </w:rPr>
      </w:pPr>
      <w:r w:rsidRPr="00295E71">
        <w:rPr>
          <w:sz w:val="22"/>
          <w:szCs w:val="22"/>
        </w:rPr>
        <w:t>In presenza di tubercolosi attiva o altre infezioni gravi (vedere “Avvertenze e precauzioni”). È importante comunicare al medico se ha segni o sintomi di infezione, come per esempio febbre, ferite, sensazione di stanchezza, problemi dentali.</w:t>
      </w:r>
    </w:p>
    <w:p w:rsidR="006224C2" w:rsidRPr="00295E71" w14:paraId="6B9C76B3" w14:textId="77777777">
      <w:pPr>
        <w:pStyle w:val="EndnoteText"/>
        <w:jc w:val="both"/>
        <w:rPr>
          <w:lang w:val="it-IT" w:eastAsia="it-IT"/>
        </w:rPr>
      </w:pPr>
    </w:p>
    <w:p w:rsidR="006224C2" w:rsidRPr="00295E71" w14:paraId="6C82ADC8" w14:textId="77777777">
      <w:pPr>
        <w:numPr>
          <w:ilvl w:val="0"/>
          <w:numId w:val="5"/>
        </w:numPr>
        <w:tabs>
          <w:tab w:val="clear" w:pos="360"/>
          <w:tab w:val="left" w:pos="540"/>
        </w:tabs>
        <w:ind w:left="540" w:hanging="540"/>
        <w:jc w:val="both"/>
        <w:rPr>
          <w:sz w:val="22"/>
          <w:szCs w:val="22"/>
        </w:rPr>
      </w:pPr>
      <w:r w:rsidRPr="00295E71">
        <w:rPr>
          <w:sz w:val="22"/>
          <w:szCs w:val="22"/>
        </w:rPr>
        <w:t>In presenza di insufficienza cardiaca moderata o severa. È importante riferire al medico se c’è stata o è presente una condizione cardiaca grave (vedere “Avvertenze e precauzioni”).</w:t>
      </w:r>
    </w:p>
    <w:p w:rsidR="006224C2" w:rsidRPr="00295E71" w14:paraId="6C51BC21" w14:textId="77777777">
      <w:pPr>
        <w:tabs>
          <w:tab w:val="left" w:pos="567"/>
        </w:tabs>
        <w:jc w:val="both"/>
        <w:rPr>
          <w:sz w:val="22"/>
          <w:szCs w:val="22"/>
        </w:rPr>
      </w:pPr>
    </w:p>
    <w:p w:rsidR="006224C2" w:rsidRPr="00295E71" w14:paraId="16AB1C2D" w14:textId="77777777">
      <w:pPr>
        <w:keepNext/>
        <w:tabs>
          <w:tab w:val="left" w:pos="567"/>
        </w:tabs>
        <w:jc w:val="both"/>
        <w:rPr>
          <w:b/>
          <w:bCs/>
          <w:sz w:val="22"/>
          <w:szCs w:val="22"/>
        </w:rPr>
      </w:pPr>
      <w:r w:rsidRPr="00295E71">
        <w:rPr>
          <w:b/>
          <w:bCs/>
          <w:sz w:val="22"/>
          <w:szCs w:val="22"/>
        </w:rPr>
        <w:t>Avvertenze e precauzioni</w:t>
      </w:r>
    </w:p>
    <w:p w:rsidR="006224C2" w:rsidRPr="00295E71" w14:paraId="3D64AA43" w14:textId="77777777">
      <w:pPr>
        <w:keepNext/>
        <w:tabs>
          <w:tab w:val="left" w:pos="567"/>
        </w:tabs>
        <w:jc w:val="both"/>
        <w:rPr>
          <w:b/>
          <w:bCs/>
          <w:sz w:val="22"/>
          <w:szCs w:val="22"/>
        </w:rPr>
      </w:pPr>
    </w:p>
    <w:p w:rsidR="006224C2" w:rsidRPr="00295E71" w14:paraId="59E4A3DB" w14:textId="77777777">
      <w:pPr>
        <w:keepNext/>
        <w:tabs>
          <w:tab w:val="left" w:pos="540"/>
        </w:tabs>
        <w:jc w:val="both"/>
        <w:rPr>
          <w:sz w:val="22"/>
          <w:szCs w:val="22"/>
        </w:rPr>
      </w:pPr>
      <w:r w:rsidRPr="00295E71">
        <w:rPr>
          <w:sz w:val="22"/>
          <w:szCs w:val="22"/>
        </w:rPr>
        <w:t>Si rivolga al medico o al farmacista prima di usare Humira</w:t>
      </w:r>
    </w:p>
    <w:p w:rsidR="006224C2" w:rsidRPr="00295E71" w14:paraId="336EE865" w14:textId="77777777">
      <w:pPr>
        <w:tabs>
          <w:tab w:val="left" w:pos="540"/>
        </w:tabs>
        <w:jc w:val="both"/>
        <w:rPr>
          <w:sz w:val="22"/>
          <w:szCs w:val="22"/>
        </w:rPr>
      </w:pPr>
    </w:p>
    <w:p w:rsidR="006224C2" w:rsidRPr="00295E71" w14:paraId="40D62A61" w14:textId="77777777">
      <w:pPr>
        <w:tabs>
          <w:tab w:val="left" w:pos="540"/>
        </w:tabs>
        <w:jc w:val="both"/>
        <w:rPr>
          <w:sz w:val="22"/>
          <w:szCs w:val="22"/>
          <w:u w:val="single"/>
        </w:rPr>
      </w:pPr>
      <w:r w:rsidRPr="00295E71">
        <w:rPr>
          <w:sz w:val="22"/>
          <w:szCs w:val="22"/>
          <w:u w:val="single"/>
        </w:rPr>
        <w:t>Reazioni allergiche</w:t>
      </w:r>
    </w:p>
    <w:p w:rsidR="006224C2" w:rsidRPr="00295E71" w14:paraId="7324B436" w14:textId="77777777">
      <w:pPr>
        <w:tabs>
          <w:tab w:val="left" w:pos="540"/>
        </w:tabs>
        <w:jc w:val="both"/>
        <w:rPr>
          <w:sz w:val="22"/>
          <w:szCs w:val="22"/>
        </w:rPr>
      </w:pPr>
    </w:p>
    <w:p w:rsidR="006224C2" w:rsidRPr="00295E71" w14:paraId="622267D0" w14:textId="77777777">
      <w:pPr>
        <w:numPr>
          <w:ilvl w:val="0"/>
          <w:numId w:val="5"/>
        </w:numPr>
        <w:tabs>
          <w:tab w:val="clear" w:pos="360"/>
          <w:tab w:val="left" w:pos="540"/>
        </w:tabs>
        <w:ind w:left="540" w:hanging="540"/>
        <w:jc w:val="both"/>
        <w:rPr>
          <w:sz w:val="22"/>
          <w:szCs w:val="22"/>
        </w:rPr>
      </w:pPr>
      <w:r w:rsidRPr="00295E71">
        <w:rPr>
          <w:sz w:val="22"/>
          <w:szCs w:val="22"/>
        </w:rPr>
        <w:t>In caso di reazioni allergiche con sintomi quali senso d’oppressione toracica, respiro sibilante, capogiro, gonfiore o eruzione cutanea, non assuma più Humira e contatti il medico immediatamente</w:t>
      </w:r>
      <w:r w:rsidRPr="00295E71" w:rsidR="00980CA1">
        <w:rPr>
          <w:sz w:val="22"/>
          <w:szCs w:val="22"/>
        </w:rPr>
        <w:t xml:space="preserve"> considerato che, in rari casi, queste reazioni possono essere pericolose per la vita</w:t>
      </w:r>
      <w:r w:rsidRPr="00295E71">
        <w:rPr>
          <w:sz w:val="22"/>
          <w:szCs w:val="22"/>
        </w:rPr>
        <w:t>.</w:t>
      </w:r>
    </w:p>
    <w:p w:rsidR="006224C2" w:rsidRPr="00295E71" w14:paraId="5CF57B7D" w14:textId="77777777">
      <w:pPr>
        <w:pStyle w:val="EndnoteText"/>
        <w:tabs>
          <w:tab w:val="num" w:pos="930"/>
        </w:tabs>
        <w:jc w:val="both"/>
        <w:rPr>
          <w:lang w:val="it-IT" w:eastAsia="it-IT"/>
        </w:rPr>
      </w:pPr>
    </w:p>
    <w:p w:rsidR="006224C2" w:rsidRPr="00295E71" w14:paraId="508F5DF3" w14:textId="77777777">
      <w:pPr>
        <w:tabs>
          <w:tab w:val="left" w:pos="540"/>
        </w:tabs>
        <w:jc w:val="both"/>
        <w:rPr>
          <w:sz w:val="22"/>
          <w:szCs w:val="22"/>
          <w:u w:val="single"/>
        </w:rPr>
      </w:pPr>
      <w:r w:rsidRPr="00295E71">
        <w:rPr>
          <w:sz w:val="22"/>
          <w:szCs w:val="22"/>
          <w:u w:val="single"/>
        </w:rPr>
        <w:t>Infezioni</w:t>
      </w:r>
    </w:p>
    <w:p w:rsidR="006224C2" w:rsidRPr="00295E71" w14:paraId="27141091" w14:textId="77777777">
      <w:pPr>
        <w:pStyle w:val="ListParagraph"/>
        <w:rPr>
          <w:sz w:val="22"/>
          <w:szCs w:val="22"/>
        </w:rPr>
      </w:pPr>
    </w:p>
    <w:p w:rsidR="006224C2" w:rsidRPr="00295E71" w14:paraId="47CC439F" w14:textId="77777777">
      <w:pPr>
        <w:numPr>
          <w:ilvl w:val="0"/>
          <w:numId w:val="5"/>
        </w:numPr>
        <w:tabs>
          <w:tab w:val="clear" w:pos="360"/>
          <w:tab w:val="left" w:pos="540"/>
        </w:tabs>
        <w:ind w:left="540" w:hanging="540"/>
        <w:jc w:val="both"/>
        <w:rPr>
          <w:sz w:val="22"/>
          <w:szCs w:val="22"/>
        </w:rPr>
      </w:pPr>
      <w:r w:rsidRPr="00295E71">
        <w:rPr>
          <w:sz w:val="22"/>
          <w:szCs w:val="22"/>
        </w:rPr>
        <w:t>In caso d’infezione, comprese infezioni a lungo termine o un’infezione in una parte del corpo (per esempio, ulcere alle gambe) consulti il medico prima di iniziare il trattamento con Humira. Se ha dubbi, contatti il medico.</w:t>
      </w:r>
    </w:p>
    <w:p w:rsidR="006224C2" w:rsidRPr="00295E71" w14:paraId="024B0667" w14:textId="77777777">
      <w:pPr>
        <w:pStyle w:val="EndnoteText"/>
        <w:jc w:val="both"/>
        <w:rPr>
          <w:lang w:val="it-IT" w:eastAsia="it-IT"/>
        </w:rPr>
      </w:pPr>
    </w:p>
    <w:p w:rsidR="006224C2" w:rsidRPr="00295E71" w14:paraId="13415684" w14:textId="77777777">
      <w:pPr>
        <w:numPr>
          <w:ilvl w:val="0"/>
          <w:numId w:val="5"/>
        </w:numPr>
        <w:tabs>
          <w:tab w:val="clear" w:pos="360"/>
          <w:tab w:val="left" w:pos="540"/>
        </w:tabs>
        <w:ind w:left="540" w:hanging="540"/>
        <w:jc w:val="both"/>
        <w:rPr>
          <w:sz w:val="22"/>
          <w:szCs w:val="22"/>
        </w:rPr>
      </w:pPr>
      <w:r w:rsidRPr="00295E71">
        <w:rPr>
          <w:sz w:val="22"/>
          <w:szCs w:val="22"/>
        </w:rPr>
        <w:t>È possibile contrarre più facilmente infezioni durante il trattamento con Humira. Questo rischio può aumentare se ha problemi ai</w:t>
      </w:r>
      <w:r w:rsidRPr="00295E71" w:rsidR="005E21DA">
        <w:rPr>
          <w:sz w:val="22"/>
          <w:szCs w:val="22"/>
        </w:rPr>
        <w:t xml:space="preserve"> </w:t>
      </w:r>
      <w:r w:rsidRPr="00295E71">
        <w:rPr>
          <w:sz w:val="22"/>
          <w:szCs w:val="22"/>
        </w:rPr>
        <w:t>polmoni. Queste infezioni possono essere gravi ed includere:</w:t>
      </w:r>
    </w:p>
    <w:p w:rsidR="006224C2" w:rsidRPr="00295E71" w14:paraId="4CA0C92A" w14:textId="77777777">
      <w:pPr>
        <w:pStyle w:val="ListParagraph"/>
        <w:rPr>
          <w:sz w:val="22"/>
          <w:szCs w:val="22"/>
        </w:rPr>
      </w:pPr>
    </w:p>
    <w:p w:rsidR="006224C2" w:rsidRPr="00295E71" w14:paraId="4F523E7A" w14:textId="77777777">
      <w:pPr>
        <w:numPr>
          <w:ilvl w:val="1"/>
          <w:numId w:val="5"/>
        </w:numPr>
        <w:tabs>
          <w:tab w:val="left" w:pos="540"/>
        </w:tabs>
        <w:jc w:val="both"/>
        <w:rPr>
          <w:sz w:val="22"/>
          <w:szCs w:val="22"/>
        </w:rPr>
      </w:pPr>
      <w:r w:rsidRPr="00295E71">
        <w:rPr>
          <w:sz w:val="22"/>
          <w:szCs w:val="22"/>
        </w:rPr>
        <w:t xml:space="preserve">tubercolosi, </w:t>
      </w:r>
    </w:p>
    <w:p w:rsidR="006224C2" w:rsidRPr="00295E71" w14:paraId="2133AF94" w14:textId="77777777">
      <w:pPr>
        <w:tabs>
          <w:tab w:val="left" w:pos="540"/>
        </w:tabs>
        <w:ind w:left="1080"/>
        <w:jc w:val="both"/>
        <w:rPr>
          <w:sz w:val="22"/>
          <w:szCs w:val="22"/>
        </w:rPr>
      </w:pPr>
    </w:p>
    <w:p w:rsidR="006224C2" w:rsidRPr="00295E71" w14:paraId="56E391C3" w14:textId="77777777">
      <w:pPr>
        <w:numPr>
          <w:ilvl w:val="1"/>
          <w:numId w:val="5"/>
        </w:numPr>
        <w:tabs>
          <w:tab w:val="left" w:pos="540"/>
        </w:tabs>
        <w:jc w:val="both"/>
        <w:rPr>
          <w:sz w:val="22"/>
          <w:szCs w:val="22"/>
        </w:rPr>
      </w:pPr>
      <w:r w:rsidRPr="00295E71">
        <w:rPr>
          <w:sz w:val="22"/>
          <w:szCs w:val="22"/>
        </w:rPr>
        <w:t>infezioni causate da virus, funghi, parassiti o batteri,</w:t>
      </w:r>
    </w:p>
    <w:p w:rsidR="006224C2" w:rsidRPr="00295E71" w14:paraId="735BCD3D" w14:textId="77777777">
      <w:pPr>
        <w:tabs>
          <w:tab w:val="left" w:pos="540"/>
        </w:tabs>
        <w:ind w:left="1080"/>
        <w:jc w:val="both"/>
        <w:rPr>
          <w:sz w:val="22"/>
          <w:szCs w:val="22"/>
        </w:rPr>
      </w:pPr>
    </w:p>
    <w:p w:rsidR="006224C2" w:rsidRPr="00295E71" w14:paraId="23DD907A" w14:textId="77777777">
      <w:pPr>
        <w:numPr>
          <w:ilvl w:val="1"/>
          <w:numId w:val="5"/>
        </w:numPr>
        <w:tabs>
          <w:tab w:val="left" w:pos="540"/>
        </w:tabs>
        <w:jc w:val="both"/>
        <w:rPr>
          <w:sz w:val="22"/>
          <w:szCs w:val="22"/>
        </w:rPr>
      </w:pPr>
      <w:r w:rsidRPr="00295E71">
        <w:rPr>
          <w:sz w:val="22"/>
          <w:szCs w:val="22"/>
        </w:rPr>
        <w:t xml:space="preserve">infezioni gravi nel sangue (sepsi) </w:t>
      </w:r>
    </w:p>
    <w:p w:rsidR="006224C2" w:rsidRPr="00295E71" w14:paraId="05FC60C8" w14:textId="77777777">
      <w:pPr>
        <w:tabs>
          <w:tab w:val="left" w:pos="540"/>
        </w:tabs>
        <w:ind w:left="1440"/>
        <w:jc w:val="both"/>
        <w:rPr>
          <w:sz w:val="22"/>
          <w:szCs w:val="22"/>
        </w:rPr>
      </w:pPr>
    </w:p>
    <w:p w:rsidR="006224C2" w:rsidRPr="00295E71" w14:paraId="3E197E92" w14:textId="77777777">
      <w:pPr>
        <w:tabs>
          <w:tab w:val="left" w:pos="540"/>
        </w:tabs>
        <w:ind w:left="567"/>
        <w:jc w:val="both"/>
        <w:rPr>
          <w:sz w:val="22"/>
          <w:szCs w:val="22"/>
        </w:rPr>
      </w:pPr>
      <w:r w:rsidRPr="00295E71">
        <w:rPr>
          <w:sz w:val="22"/>
          <w:szCs w:val="22"/>
        </w:rPr>
        <w:t>In rari casi, queste infezioni possono essere rischiose per la vita del paziente. È importante comunicare al medico se manifesta sintomi quali febbre, ferite, sensazione di stanchezza o problemi dentali. Il medico potrebbe dirle di interrompere Humira per un periodo di tempo.</w:t>
      </w:r>
    </w:p>
    <w:p w:rsidR="006224C2" w:rsidRPr="00295E71" w14:paraId="73197D6E" w14:textId="77777777">
      <w:pPr>
        <w:pStyle w:val="ListParagraph"/>
        <w:ind w:left="360"/>
        <w:rPr>
          <w:sz w:val="22"/>
          <w:szCs w:val="22"/>
        </w:rPr>
      </w:pPr>
    </w:p>
    <w:p w:rsidR="006224C2" w:rsidRPr="00295E71" w14:paraId="33EDCF5C" w14:textId="77777777">
      <w:pPr>
        <w:pStyle w:val="ListParagraph"/>
        <w:numPr>
          <w:ilvl w:val="0"/>
          <w:numId w:val="5"/>
        </w:numPr>
        <w:tabs>
          <w:tab w:val="clear" w:pos="360"/>
          <w:tab w:val="num" w:pos="567"/>
        </w:tabs>
        <w:ind w:left="567" w:hanging="567"/>
        <w:rPr>
          <w:sz w:val="22"/>
          <w:szCs w:val="22"/>
        </w:rPr>
      </w:pPr>
      <w:r w:rsidRPr="00295E71">
        <w:rPr>
          <w:sz w:val="22"/>
          <w:szCs w:val="22"/>
        </w:rPr>
        <w:t>Informi il medico se vive o viaggia in regioni dove le infezioni fungine sono molto comuni (ad esempio istoplasmosi, coccidioidomicosi o blastomicosi).</w:t>
      </w:r>
    </w:p>
    <w:p w:rsidR="006224C2" w:rsidRPr="00295E71" w14:paraId="4538D390" w14:textId="77777777">
      <w:pPr>
        <w:pStyle w:val="ListParagraph"/>
        <w:tabs>
          <w:tab w:val="num" w:pos="567"/>
        </w:tabs>
        <w:ind w:left="360"/>
        <w:rPr>
          <w:sz w:val="22"/>
          <w:szCs w:val="22"/>
        </w:rPr>
      </w:pPr>
    </w:p>
    <w:p w:rsidR="006224C2" w:rsidRPr="00295E71" w14:paraId="30191EAB" w14:textId="77777777">
      <w:pPr>
        <w:pStyle w:val="ListParagraph"/>
        <w:numPr>
          <w:ilvl w:val="0"/>
          <w:numId w:val="5"/>
        </w:numPr>
        <w:tabs>
          <w:tab w:val="clear" w:pos="360"/>
          <w:tab w:val="num" w:pos="567"/>
        </w:tabs>
        <w:ind w:left="567" w:hanging="567"/>
        <w:rPr>
          <w:sz w:val="22"/>
          <w:szCs w:val="22"/>
        </w:rPr>
      </w:pPr>
      <w:r w:rsidRPr="00295E71">
        <w:rPr>
          <w:sz w:val="22"/>
          <w:szCs w:val="22"/>
        </w:rPr>
        <w:t>Informi il medico se ha avuto infezioni che continuano a ripresentarsi o se ha altre patologie che aumentano il rischio di infezione.</w:t>
      </w:r>
    </w:p>
    <w:p w:rsidR="006224C2" w:rsidRPr="00295E71" w14:paraId="4EBA5A6A" w14:textId="77777777">
      <w:pPr>
        <w:pStyle w:val="ListParagraph"/>
        <w:tabs>
          <w:tab w:val="num" w:pos="567"/>
        </w:tabs>
        <w:rPr>
          <w:sz w:val="22"/>
          <w:szCs w:val="22"/>
        </w:rPr>
      </w:pPr>
    </w:p>
    <w:p w:rsidR="006224C2" w:rsidRPr="00295E71" w14:paraId="5E2B7B9C" w14:textId="77777777">
      <w:pPr>
        <w:pStyle w:val="ListParagraph"/>
        <w:numPr>
          <w:ilvl w:val="0"/>
          <w:numId w:val="5"/>
        </w:numPr>
        <w:tabs>
          <w:tab w:val="clear" w:pos="360"/>
          <w:tab w:val="num" w:pos="567"/>
        </w:tabs>
        <w:ind w:left="567" w:hanging="567"/>
        <w:rPr>
          <w:sz w:val="22"/>
          <w:szCs w:val="22"/>
        </w:rPr>
      </w:pPr>
      <w:r w:rsidRPr="00295E71">
        <w:rPr>
          <w:sz w:val="22"/>
          <w:szCs w:val="22"/>
        </w:rPr>
        <w:t>Se ha più di 65 anni, potrebbe contrarre infezioni più facilmente mentre</w:t>
      </w:r>
      <w:r w:rsidRPr="00295E71" w:rsidR="005E21DA">
        <w:rPr>
          <w:sz w:val="22"/>
          <w:szCs w:val="22"/>
        </w:rPr>
        <w:t xml:space="preserve"> </w:t>
      </w:r>
      <w:r w:rsidRPr="00295E71">
        <w:rPr>
          <w:sz w:val="22"/>
          <w:szCs w:val="22"/>
        </w:rPr>
        <w:t>assume Humira. Lei e il medico dovete prestare particolare attenzione ai segni di infezione durante il trattamento con Humira. È importante comunicare al medico se manifesta sintomi di infezioni quali febbre, ferite, sensazione di stanchezza o problemi dentali.</w:t>
      </w:r>
    </w:p>
    <w:p w:rsidR="006224C2" w:rsidRPr="00295E71" w14:paraId="4531E71D" w14:textId="77777777">
      <w:pPr>
        <w:pStyle w:val="EMEANormal"/>
        <w:rPr>
          <w:lang w:val="it-IT"/>
        </w:rPr>
      </w:pPr>
    </w:p>
    <w:p w:rsidR="006224C2" w:rsidRPr="00295E71" w14:paraId="267C1C67" w14:textId="77777777">
      <w:pPr>
        <w:pStyle w:val="ListParagraph"/>
        <w:ind w:left="0"/>
        <w:rPr>
          <w:sz w:val="22"/>
          <w:szCs w:val="22"/>
          <w:u w:val="single"/>
        </w:rPr>
      </w:pPr>
      <w:r w:rsidRPr="00295E71">
        <w:rPr>
          <w:sz w:val="22"/>
          <w:szCs w:val="22"/>
          <w:u w:val="single"/>
        </w:rPr>
        <w:t>Tubercolosi</w:t>
      </w:r>
    </w:p>
    <w:p w:rsidR="006224C2" w:rsidRPr="00295E71" w14:paraId="025A5F3B" w14:textId="77777777">
      <w:pPr>
        <w:pStyle w:val="ListParagraph"/>
        <w:ind w:left="360"/>
        <w:rPr>
          <w:sz w:val="22"/>
          <w:szCs w:val="22"/>
        </w:rPr>
      </w:pPr>
      <w:r w:rsidRPr="00295E71">
        <w:rPr>
          <w:sz w:val="22"/>
          <w:szCs w:val="22"/>
        </w:rPr>
        <w:tab/>
      </w:r>
    </w:p>
    <w:p w:rsidR="006224C2" w:rsidRPr="00295E71" w14:paraId="60041CAB" w14:textId="77777777">
      <w:pPr>
        <w:pStyle w:val="ListParagraph"/>
        <w:numPr>
          <w:ilvl w:val="0"/>
          <w:numId w:val="5"/>
        </w:numPr>
        <w:tabs>
          <w:tab w:val="clear" w:pos="360"/>
        </w:tabs>
        <w:ind w:left="567" w:hanging="567"/>
        <w:rPr>
          <w:sz w:val="22"/>
          <w:szCs w:val="22"/>
        </w:rPr>
      </w:pPr>
      <w:r w:rsidRPr="00295E71">
        <w:rPr>
          <w:sz w:val="22"/>
          <w:szCs w:val="22"/>
        </w:rPr>
        <w:t>È molto importante comunicare al medico se ha mai avuto la tubercolosi, o se è stato a contatto con qualcuno che ha avuto la tubercolosi. Non deve assumere Humira se è affetto da tubercolosi attiva.</w:t>
      </w:r>
    </w:p>
    <w:p w:rsidR="006224C2" w:rsidRPr="00295E71" w14:paraId="18CCBBD8" w14:textId="77777777">
      <w:pPr>
        <w:tabs>
          <w:tab w:val="left" w:pos="540"/>
        </w:tabs>
        <w:ind w:left="540"/>
        <w:jc w:val="both"/>
        <w:rPr>
          <w:sz w:val="22"/>
          <w:szCs w:val="22"/>
        </w:rPr>
      </w:pPr>
    </w:p>
    <w:p w:rsidR="006224C2" w:rsidRPr="00295E71" w14:paraId="014F1148" w14:textId="77777777">
      <w:pPr>
        <w:pStyle w:val="ListParagraph"/>
        <w:numPr>
          <w:ilvl w:val="1"/>
          <w:numId w:val="5"/>
        </w:numPr>
        <w:rPr>
          <w:sz w:val="22"/>
          <w:szCs w:val="22"/>
        </w:rPr>
      </w:pPr>
      <w:r w:rsidRPr="00295E71">
        <w:rPr>
          <w:sz w:val="22"/>
          <w:szCs w:val="22"/>
        </w:rPr>
        <w:t>Poiché si sono verificati dei casi di tubercolosi in pazienti sottoposti a trattamento con Humira, il medico dovrà controllare se presenta segni o sintomi tipici della tubercolosi prima di iniziare la terapia con Humira. Questo comporterà una valutazione medica approfondita del la sua anamnesi e appropriati esami clinici (ad esempio una radiografia del torace e il test alla tubercolina). L’esecuzione e i risultati di tali esami devono essere registrati nella</w:t>
      </w:r>
      <w:r w:rsidR="004A0228">
        <w:rPr>
          <w:b/>
          <w:sz w:val="22"/>
          <w:szCs w:val="22"/>
        </w:rPr>
        <w:t xml:space="preserve"> </w:t>
      </w:r>
      <w:r w:rsidRPr="000D0B9B" w:rsidR="004A0228">
        <w:rPr>
          <w:b/>
          <w:sz w:val="22"/>
          <w:szCs w:val="22"/>
        </w:rPr>
        <w:t>Scheda Promemoria per il Paziente</w:t>
      </w:r>
      <w:r w:rsidRPr="00295E71">
        <w:rPr>
          <w:sz w:val="22"/>
          <w:szCs w:val="22"/>
        </w:rPr>
        <w:t xml:space="preserve">.  </w:t>
      </w:r>
    </w:p>
    <w:p w:rsidR="006224C2" w:rsidRPr="00295E71" w14:paraId="5156B964" w14:textId="77777777">
      <w:pPr>
        <w:pStyle w:val="ListParagraph"/>
        <w:ind w:left="1440"/>
        <w:rPr>
          <w:sz w:val="22"/>
          <w:szCs w:val="22"/>
        </w:rPr>
      </w:pPr>
    </w:p>
    <w:p w:rsidR="006224C2" w:rsidRPr="00295E71" w14:paraId="0713210D" w14:textId="77777777">
      <w:pPr>
        <w:pStyle w:val="ListParagraph"/>
        <w:numPr>
          <w:ilvl w:val="1"/>
          <w:numId w:val="5"/>
        </w:numPr>
        <w:rPr>
          <w:sz w:val="22"/>
          <w:szCs w:val="22"/>
        </w:rPr>
      </w:pPr>
      <w:r w:rsidRPr="00295E71">
        <w:rPr>
          <w:sz w:val="22"/>
          <w:szCs w:val="22"/>
        </w:rPr>
        <w:t xml:space="preserve">La tubercolosi si può manifestare durante la terapia nonostante lei abbia ricevuto un trattamento per la prevenzione della tubercolosi. </w:t>
      </w:r>
    </w:p>
    <w:p w:rsidR="006224C2" w:rsidRPr="00295E71" w14:paraId="03E7A7FF" w14:textId="77777777">
      <w:pPr>
        <w:pStyle w:val="ListParagraph"/>
        <w:rPr>
          <w:sz w:val="22"/>
          <w:szCs w:val="22"/>
        </w:rPr>
      </w:pPr>
    </w:p>
    <w:p w:rsidR="006224C2" w:rsidRPr="00295E71" w14:paraId="6924A4EC" w14:textId="77777777">
      <w:pPr>
        <w:pStyle w:val="ListParagraph"/>
        <w:numPr>
          <w:ilvl w:val="1"/>
          <w:numId w:val="5"/>
        </w:numPr>
        <w:rPr>
          <w:sz w:val="22"/>
          <w:szCs w:val="22"/>
        </w:rPr>
      </w:pPr>
      <w:r w:rsidRPr="00295E71">
        <w:rPr>
          <w:sz w:val="22"/>
          <w:szCs w:val="22"/>
        </w:rPr>
        <w:t>Contatti immediatamente il medico se durante o dopo la terapia compaiono sintomi di tubercolosi (ad esempio tosse che non scompare, perdita di peso, mancanza di energia, febbre leggera) o di altre infezioni.</w:t>
      </w:r>
    </w:p>
    <w:p w:rsidR="006224C2" w:rsidRPr="00295E71" w14:paraId="3DD7CFEB" w14:textId="77777777">
      <w:pPr>
        <w:pStyle w:val="ListParagraph"/>
        <w:rPr>
          <w:sz w:val="22"/>
          <w:szCs w:val="22"/>
        </w:rPr>
      </w:pPr>
    </w:p>
    <w:p w:rsidR="006224C2" w:rsidRPr="00295E71" w14:paraId="1B505093" w14:textId="77777777">
      <w:pPr>
        <w:rPr>
          <w:sz w:val="22"/>
          <w:szCs w:val="22"/>
          <w:u w:val="single"/>
        </w:rPr>
      </w:pPr>
      <w:r w:rsidRPr="00295E71">
        <w:rPr>
          <w:sz w:val="22"/>
          <w:szCs w:val="22"/>
          <w:u w:val="single"/>
        </w:rPr>
        <w:t>Epatite B</w:t>
      </w:r>
    </w:p>
    <w:p w:rsidR="006224C2" w:rsidRPr="00295E71" w14:paraId="732FE7F3" w14:textId="77777777">
      <w:pPr>
        <w:rPr>
          <w:sz w:val="22"/>
          <w:szCs w:val="22"/>
          <w:u w:val="single"/>
        </w:rPr>
      </w:pPr>
    </w:p>
    <w:p w:rsidR="006224C2" w:rsidRPr="00295E71" w14:paraId="0FE2393C" w14:textId="77777777">
      <w:pPr>
        <w:pStyle w:val="ListParagraph"/>
        <w:numPr>
          <w:ilvl w:val="0"/>
          <w:numId w:val="5"/>
        </w:numPr>
        <w:rPr>
          <w:sz w:val="22"/>
          <w:szCs w:val="22"/>
        </w:rPr>
      </w:pPr>
      <w:r w:rsidRPr="00295E71">
        <w:rPr>
          <w:sz w:val="22"/>
          <w:szCs w:val="22"/>
        </w:rPr>
        <w:t xml:space="preserve">Comunichi al medico se lei è portatore del virus dell’epatite B (HBV), se ha un’infezione in fase attiva da virus dell’epatite B o se pensa di poter essere a rischio di contrarre il virus dell’epatite B. </w:t>
      </w:r>
    </w:p>
    <w:p w:rsidR="006224C2" w:rsidRPr="00295E71" w14:paraId="74BA7242" w14:textId="77777777">
      <w:pPr>
        <w:pStyle w:val="ListParagraph"/>
        <w:ind w:left="360"/>
        <w:rPr>
          <w:sz w:val="22"/>
          <w:szCs w:val="22"/>
        </w:rPr>
      </w:pPr>
    </w:p>
    <w:p w:rsidR="006224C2" w:rsidRPr="00295E71" w14:paraId="2FBE4869" w14:textId="77777777">
      <w:pPr>
        <w:pStyle w:val="ListParagraph"/>
        <w:numPr>
          <w:ilvl w:val="1"/>
          <w:numId w:val="5"/>
        </w:numPr>
        <w:rPr>
          <w:sz w:val="22"/>
          <w:szCs w:val="22"/>
        </w:rPr>
      </w:pPr>
      <w:r w:rsidRPr="00295E71">
        <w:rPr>
          <w:sz w:val="22"/>
          <w:szCs w:val="22"/>
        </w:rPr>
        <w:t xml:space="preserve">Il medico la deve testare per l’infezione da virus dell’epatite B. Nei portatori di HBV, l’assunzione di Humira può indurre il virus ad attivarsi nuovamente. </w:t>
      </w:r>
    </w:p>
    <w:p w:rsidR="006224C2" w:rsidRPr="00295E71" w14:paraId="31ECB67E" w14:textId="77777777">
      <w:pPr>
        <w:pStyle w:val="ListParagraph"/>
        <w:ind w:left="1440"/>
        <w:rPr>
          <w:sz w:val="22"/>
          <w:szCs w:val="22"/>
        </w:rPr>
      </w:pPr>
    </w:p>
    <w:p w:rsidR="006224C2" w:rsidRPr="00295E71" w14:paraId="6121CB26" w14:textId="77777777">
      <w:pPr>
        <w:pStyle w:val="ListParagraph"/>
        <w:numPr>
          <w:ilvl w:val="1"/>
          <w:numId w:val="5"/>
        </w:numPr>
        <w:rPr>
          <w:sz w:val="22"/>
          <w:szCs w:val="22"/>
        </w:rPr>
      </w:pPr>
      <w:r w:rsidRPr="00295E71">
        <w:rPr>
          <w:sz w:val="22"/>
          <w:szCs w:val="22"/>
        </w:rPr>
        <w:t>In alcuni rari casi, soprattutto se il paziente è sottoposto a terapia con altri farmaci che sopprimono il sistema immunitario, la riattivazione del virus dell’epatite B può mettere a repentaglio la vita del paziente.</w:t>
      </w:r>
    </w:p>
    <w:p w:rsidR="006224C2" w:rsidRPr="00295E71" w14:paraId="687B66AA" w14:textId="77777777">
      <w:pPr>
        <w:pStyle w:val="ListParagraph"/>
        <w:rPr>
          <w:sz w:val="22"/>
          <w:szCs w:val="22"/>
        </w:rPr>
      </w:pPr>
    </w:p>
    <w:p w:rsidR="006224C2" w:rsidRPr="00295E71" w14:paraId="611E7D3E" w14:textId="77777777">
      <w:pPr>
        <w:tabs>
          <w:tab w:val="left" w:pos="540"/>
        </w:tabs>
        <w:rPr>
          <w:sz w:val="22"/>
          <w:szCs w:val="22"/>
          <w:u w:val="single"/>
        </w:rPr>
      </w:pPr>
      <w:r w:rsidRPr="00295E71">
        <w:rPr>
          <w:sz w:val="22"/>
          <w:szCs w:val="22"/>
          <w:u w:val="single"/>
        </w:rPr>
        <w:t>Interventi chirurgici</w:t>
      </w:r>
      <w:r w:rsidRPr="00295E71" w:rsidR="000E43C3">
        <w:rPr>
          <w:sz w:val="22"/>
          <w:szCs w:val="22"/>
          <w:u w:val="single"/>
        </w:rPr>
        <w:t xml:space="preserve"> o procedure dentistiche</w:t>
      </w:r>
    </w:p>
    <w:p w:rsidR="006224C2" w:rsidRPr="00295E71" w14:paraId="69B7AC88" w14:textId="77777777">
      <w:pPr>
        <w:tabs>
          <w:tab w:val="left" w:pos="567"/>
        </w:tabs>
        <w:ind w:left="567"/>
        <w:jc w:val="both"/>
        <w:rPr>
          <w:sz w:val="22"/>
          <w:szCs w:val="22"/>
        </w:rPr>
      </w:pPr>
    </w:p>
    <w:p w:rsidR="006224C2" w:rsidRPr="00295E71" w14:paraId="4662C4A8" w14:textId="77777777">
      <w:pPr>
        <w:numPr>
          <w:ilvl w:val="0"/>
          <w:numId w:val="5"/>
        </w:numPr>
        <w:tabs>
          <w:tab w:val="clear" w:pos="360"/>
          <w:tab w:val="left" w:pos="540"/>
        </w:tabs>
        <w:ind w:left="540" w:hanging="540"/>
        <w:jc w:val="both"/>
        <w:rPr>
          <w:sz w:val="22"/>
          <w:szCs w:val="22"/>
        </w:rPr>
      </w:pPr>
      <w:r w:rsidRPr="00295E71">
        <w:rPr>
          <w:sz w:val="22"/>
          <w:szCs w:val="22"/>
        </w:rPr>
        <w:t xml:space="preserve">Prima di un intervento chirurgico o </w:t>
      </w:r>
      <w:r w:rsidRPr="00295E71" w:rsidR="000E43C3">
        <w:rPr>
          <w:sz w:val="22"/>
          <w:szCs w:val="22"/>
        </w:rPr>
        <w:t xml:space="preserve">di </w:t>
      </w:r>
      <w:r w:rsidRPr="00295E71">
        <w:rPr>
          <w:sz w:val="22"/>
          <w:szCs w:val="22"/>
        </w:rPr>
        <w:t>procedure dentistiche, informi il medico che sta assumendo Humira. Il medico potrebbe consigliarle la sospensione temporanea di Humira.</w:t>
      </w:r>
    </w:p>
    <w:p w:rsidR="006224C2" w:rsidRPr="00295E71" w14:paraId="561F4669" w14:textId="77777777">
      <w:pPr>
        <w:tabs>
          <w:tab w:val="left" w:pos="540"/>
        </w:tabs>
        <w:ind w:left="540"/>
        <w:rPr>
          <w:sz w:val="22"/>
          <w:szCs w:val="22"/>
          <w:u w:val="single"/>
        </w:rPr>
      </w:pPr>
    </w:p>
    <w:p w:rsidR="006224C2" w:rsidRPr="00295E71" w14:paraId="08DCFAC5" w14:textId="77777777">
      <w:pPr>
        <w:tabs>
          <w:tab w:val="left" w:pos="540"/>
        </w:tabs>
        <w:rPr>
          <w:sz w:val="22"/>
          <w:szCs w:val="22"/>
          <w:u w:val="single"/>
        </w:rPr>
      </w:pPr>
      <w:r w:rsidRPr="00295E71">
        <w:rPr>
          <w:sz w:val="22"/>
          <w:szCs w:val="22"/>
          <w:u w:val="single"/>
        </w:rPr>
        <w:t>Malattie demielinizzanti</w:t>
      </w:r>
    </w:p>
    <w:p w:rsidR="006224C2" w:rsidRPr="00295E71" w14:paraId="208D1C21" w14:textId="77777777">
      <w:pPr>
        <w:tabs>
          <w:tab w:val="left" w:pos="540"/>
        </w:tabs>
        <w:jc w:val="both"/>
        <w:rPr>
          <w:sz w:val="22"/>
          <w:szCs w:val="22"/>
        </w:rPr>
      </w:pPr>
    </w:p>
    <w:p w:rsidR="006224C2" w:rsidRPr="00295E71" w14:paraId="607CD92E" w14:textId="77777777">
      <w:pPr>
        <w:numPr>
          <w:ilvl w:val="0"/>
          <w:numId w:val="5"/>
        </w:numPr>
        <w:tabs>
          <w:tab w:val="clear" w:pos="360"/>
          <w:tab w:val="left" w:pos="540"/>
        </w:tabs>
        <w:ind w:left="540" w:hanging="540"/>
        <w:jc w:val="both"/>
        <w:rPr>
          <w:sz w:val="22"/>
          <w:szCs w:val="22"/>
        </w:rPr>
      </w:pPr>
      <w:r w:rsidRPr="00295E71">
        <w:rPr>
          <w:sz w:val="22"/>
          <w:szCs w:val="22"/>
        </w:rPr>
        <w:t>Se è affetto da o sviluppa</w:t>
      </w:r>
      <w:r w:rsidRPr="00295E71" w:rsidR="000E43C3">
        <w:rPr>
          <w:sz w:val="22"/>
          <w:szCs w:val="22"/>
        </w:rPr>
        <w:t xml:space="preserve"> una</w:t>
      </w:r>
      <w:r w:rsidRPr="00295E71">
        <w:rPr>
          <w:sz w:val="22"/>
          <w:szCs w:val="22"/>
        </w:rPr>
        <w:t xml:space="preserve"> malattia demielinizzante</w:t>
      </w:r>
      <w:r w:rsidRPr="00295E71" w:rsidR="000E43C3">
        <w:rPr>
          <w:sz w:val="22"/>
          <w:szCs w:val="22"/>
        </w:rPr>
        <w:t xml:space="preserve"> (malattia che colpisce lo strato isolante attorno ai nervi, come la sclerosi multipla)</w:t>
      </w:r>
      <w:r w:rsidRPr="00295E71">
        <w:rPr>
          <w:sz w:val="22"/>
          <w:szCs w:val="22"/>
        </w:rPr>
        <w:t>, il medico deciderà se è il caso di iniziare o continuare a ricevere il trattamento con Humira. Informi il medico immediatamente nel caso in cui lei manifesti sintomi quali variazioni nella visione, debolezza di braccia o gambe o intorpidimento o formicolio che interessi qualsiasi parte del corpo.</w:t>
      </w:r>
    </w:p>
    <w:p w:rsidR="006224C2" w:rsidRPr="00295E71" w14:paraId="30A4A695" w14:textId="77777777">
      <w:pPr>
        <w:tabs>
          <w:tab w:val="left" w:pos="540"/>
          <w:tab w:val="left" w:pos="567"/>
        </w:tabs>
        <w:ind w:left="540" w:hanging="483"/>
        <w:jc w:val="both"/>
        <w:rPr>
          <w:sz w:val="22"/>
          <w:szCs w:val="22"/>
        </w:rPr>
      </w:pPr>
    </w:p>
    <w:p w:rsidR="006224C2" w:rsidRPr="00295E71" w:rsidP="00C04163" w14:paraId="3797790C" w14:textId="77777777">
      <w:pPr>
        <w:keepNext/>
        <w:tabs>
          <w:tab w:val="left" w:pos="540"/>
          <w:tab w:val="left" w:pos="567"/>
        </w:tabs>
        <w:ind w:left="540" w:hanging="483"/>
        <w:jc w:val="both"/>
        <w:rPr>
          <w:sz w:val="22"/>
          <w:szCs w:val="22"/>
          <w:u w:val="single"/>
        </w:rPr>
      </w:pPr>
      <w:r w:rsidRPr="00295E71">
        <w:rPr>
          <w:sz w:val="22"/>
          <w:szCs w:val="22"/>
          <w:u w:val="single"/>
        </w:rPr>
        <w:t>Vaccinazioni</w:t>
      </w:r>
    </w:p>
    <w:p w:rsidR="006224C2" w:rsidRPr="00295E71" w:rsidP="00C04163" w14:paraId="490B8FCF" w14:textId="77777777">
      <w:pPr>
        <w:keepNext/>
        <w:tabs>
          <w:tab w:val="left" w:pos="540"/>
          <w:tab w:val="left" w:pos="567"/>
        </w:tabs>
        <w:ind w:left="540" w:hanging="483"/>
        <w:jc w:val="both"/>
        <w:rPr>
          <w:sz w:val="22"/>
          <w:szCs w:val="22"/>
          <w:u w:val="single"/>
        </w:rPr>
      </w:pPr>
    </w:p>
    <w:p w:rsidR="006224C2" w:rsidRPr="00295E71" w14:paraId="5B98D8DB" w14:textId="77777777">
      <w:pPr>
        <w:numPr>
          <w:ilvl w:val="0"/>
          <w:numId w:val="5"/>
        </w:numPr>
        <w:tabs>
          <w:tab w:val="clear" w:pos="360"/>
          <w:tab w:val="left" w:pos="540"/>
        </w:tabs>
        <w:ind w:left="597" w:hanging="540"/>
        <w:jc w:val="both"/>
        <w:rPr>
          <w:sz w:val="22"/>
          <w:szCs w:val="22"/>
        </w:rPr>
      </w:pPr>
      <w:r w:rsidRPr="00295E71">
        <w:rPr>
          <w:sz w:val="22"/>
          <w:szCs w:val="22"/>
        </w:rPr>
        <w:t xml:space="preserve">Certi vaccini possono causare infezioni e non devono essere somministrati durante il trattamento con Humira. </w:t>
      </w:r>
    </w:p>
    <w:p w:rsidR="006224C2" w:rsidRPr="00295E71" w14:paraId="11C42F8A" w14:textId="77777777">
      <w:pPr>
        <w:tabs>
          <w:tab w:val="left" w:pos="540"/>
        </w:tabs>
        <w:ind w:left="597"/>
        <w:jc w:val="both"/>
        <w:rPr>
          <w:sz w:val="22"/>
          <w:szCs w:val="22"/>
        </w:rPr>
      </w:pPr>
    </w:p>
    <w:p w:rsidR="006224C2" w:rsidRPr="00295E71" w14:paraId="2E607CC7" w14:textId="77777777">
      <w:pPr>
        <w:numPr>
          <w:ilvl w:val="1"/>
          <w:numId w:val="5"/>
        </w:numPr>
        <w:tabs>
          <w:tab w:val="left" w:pos="540"/>
        </w:tabs>
        <w:jc w:val="both"/>
        <w:rPr>
          <w:sz w:val="22"/>
          <w:szCs w:val="22"/>
        </w:rPr>
      </w:pPr>
      <w:r w:rsidRPr="00295E71">
        <w:rPr>
          <w:sz w:val="22"/>
          <w:szCs w:val="22"/>
        </w:rPr>
        <w:t>Consulti il medico prima di sottoporsi a vaccinazioni.</w:t>
      </w:r>
    </w:p>
    <w:p w:rsidR="006224C2" w:rsidRPr="00295E71" w14:paraId="469FA83F" w14:textId="77777777">
      <w:pPr>
        <w:tabs>
          <w:tab w:val="left" w:pos="540"/>
        </w:tabs>
        <w:ind w:left="1080"/>
        <w:jc w:val="both"/>
        <w:rPr>
          <w:sz w:val="22"/>
          <w:szCs w:val="22"/>
        </w:rPr>
      </w:pPr>
    </w:p>
    <w:p w:rsidR="006224C2" w:rsidRPr="00295E71" w14:paraId="76065D70" w14:textId="77777777">
      <w:pPr>
        <w:numPr>
          <w:ilvl w:val="1"/>
          <w:numId w:val="5"/>
        </w:numPr>
        <w:tabs>
          <w:tab w:val="left" w:pos="540"/>
        </w:tabs>
        <w:jc w:val="both"/>
        <w:rPr>
          <w:sz w:val="22"/>
          <w:szCs w:val="22"/>
        </w:rPr>
      </w:pPr>
      <w:r w:rsidRPr="00295E71">
        <w:rPr>
          <w:sz w:val="22"/>
          <w:szCs w:val="22"/>
        </w:rPr>
        <w:t>Si raccomanda, se possibile, di sottoporre i bambini a tutte le vaccinazioni previste per la loro età prima di iniziare il trattamento con Humira.</w:t>
      </w:r>
    </w:p>
    <w:p w:rsidR="006224C2" w:rsidRPr="00295E71" w14:paraId="6D3B88BF" w14:textId="77777777">
      <w:pPr>
        <w:tabs>
          <w:tab w:val="left" w:pos="540"/>
        </w:tabs>
        <w:jc w:val="both"/>
        <w:rPr>
          <w:sz w:val="22"/>
          <w:szCs w:val="22"/>
        </w:rPr>
      </w:pPr>
    </w:p>
    <w:p w:rsidR="006224C2" w:rsidRPr="00295E71" w14:paraId="1FF9F95B" w14:textId="77777777">
      <w:pPr>
        <w:numPr>
          <w:ilvl w:val="1"/>
          <w:numId w:val="5"/>
        </w:numPr>
        <w:tabs>
          <w:tab w:val="left" w:pos="540"/>
        </w:tabs>
        <w:jc w:val="both"/>
        <w:rPr>
          <w:sz w:val="22"/>
          <w:szCs w:val="22"/>
        </w:rPr>
      </w:pPr>
      <w:r w:rsidRPr="00295E71">
        <w:rPr>
          <w:sz w:val="22"/>
          <w:szCs w:val="22"/>
        </w:rPr>
        <w:t>Se ha assunto Humira durante la gravidanza, il bambino potrebbe avere un maggior rischio di contrarre tale infezione fino a circa 5 mesi dopo l’ultima somministrazione di Humira effettuata. È importante che lei riferisca al pediatra o ad altro operatore sanitario del suo utilizzo di Humira durante la gravidanza, cosicché possano decidere quando il bambino deve ricevere qualsiasi tipo di vaccinazione.</w:t>
      </w:r>
    </w:p>
    <w:p w:rsidR="006224C2" w:rsidRPr="00295E71" w14:paraId="53DFD62C" w14:textId="77777777">
      <w:pPr>
        <w:pStyle w:val="ListParagraph"/>
        <w:rPr>
          <w:sz w:val="22"/>
          <w:szCs w:val="22"/>
        </w:rPr>
      </w:pPr>
    </w:p>
    <w:p w:rsidR="006224C2" w:rsidRPr="00295E71" w14:paraId="4D284614" w14:textId="77777777">
      <w:pPr>
        <w:tabs>
          <w:tab w:val="left" w:pos="567"/>
        </w:tabs>
        <w:rPr>
          <w:sz w:val="22"/>
          <w:szCs w:val="22"/>
          <w:u w:val="single"/>
        </w:rPr>
      </w:pPr>
      <w:r w:rsidRPr="00295E71">
        <w:rPr>
          <w:sz w:val="22"/>
          <w:szCs w:val="22"/>
          <w:u w:val="single"/>
        </w:rPr>
        <w:t>Insufficienza cardiaca</w:t>
      </w:r>
    </w:p>
    <w:p w:rsidR="006224C2" w:rsidRPr="00295E71" w14:paraId="1D153CEB" w14:textId="77777777">
      <w:pPr>
        <w:tabs>
          <w:tab w:val="left" w:pos="567"/>
        </w:tabs>
        <w:rPr>
          <w:sz w:val="22"/>
          <w:szCs w:val="22"/>
        </w:rPr>
      </w:pPr>
    </w:p>
    <w:p w:rsidR="006224C2" w:rsidRPr="00295E71" w14:paraId="52CEBA11" w14:textId="77777777">
      <w:pPr>
        <w:tabs>
          <w:tab w:val="left" w:pos="567"/>
        </w:tabs>
        <w:jc w:val="both"/>
        <w:rPr>
          <w:sz w:val="22"/>
          <w:szCs w:val="22"/>
        </w:rPr>
      </w:pPr>
    </w:p>
    <w:p w:rsidR="000E43C3" w:rsidRPr="00295E71" w:rsidP="00FB547E" w14:paraId="5FC50EF1" w14:textId="77777777">
      <w:pPr>
        <w:numPr>
          <w:ilvl w:val="1"/>
          <w:numId w:val="5"/>
        </w:numPr>
        <w:tabs>
          <w:tab w:val="left" w:pos="540"/>
          <w:tab w:val="num" w:pos="851"/>
          <w:tab w:val="clear" w:pos="1440"/>
        </w:tabs>
        <w:ind w:left="851" w:hanging="284"/>
        <w:jc w:val="both"/>
        <w:rPr>
          <w:sz w:val="22"/>
          <w:szCs w:val="22"/>
        </w:rPr>
      </w:pPr>
      <w:r w:rsidRPr="00295E71">
        <w:rPr>
          <w:sz w:val="22"/>
          <w:szCs w:val="22"/>
        </w:rPr>
        <w:t>In caso abbia una lieve insufficienza cardiaca e venga trattato con Humira, lo stato della sua insufficienza cardiaca deve essere monitorato attentamente dal medico. E’ importante informare il medico se ha avuto o ha una grave condizione cardiaca. Se sviluppa nuovi sintomi di insufficienza cardiaca o se i sintomi già esistenti dovessero peggiorare (ad es. respiro corto o gonfiore dei piedi), contatti immediatamente il medico. Il medico deciderà se deve assumere Humira.</w:t>
      </w:r>
    </w:p>
    <w:p w:rsidR="000E43C3" w:rsidRPr="00295E71" w:rsidP="000E43C3" w14:paraId="25DB1B8E" w14:textId="77777777">
      <w:pPr>
        <w:jc w:val="both"/>
        <w:rPr>
          <w:sz w:val="22"/>
          <w:szCs w:val="22"/>
        </w:rPr>
      </w:pPr>
    </w:p>
    <w:p w:rsidR="000E43C3" w:rsidRPr="00295E71" w:rsidP="000E43C3" w14:paraId="61BCCE8E" w14:textId="77777777">
      <w:pPr>
        <w:jc w:val="both"/>
        <w:rPr>
          <w:sz w:val="22"/>
          <w:szCs w:val="22"/>
        </w:rPr>
      </w:pPr>
      <w:r w:rsidRPr="00295E71">
        <w:rPr>
          <w:sz w:val="22"/>
          <w:szCs w:val="22"/>
          <w:u w:val="single"/>
        </w:rPr>
        <w:t>Febbre, lividi, emorragie o pallore</w:t>
      </w:r>
    </w:p>
    <w:p w:rsidR="006224C2" w:rsidRPr="00295E71" w14:paraId="234D11BA" w14:textId="77777777">
      <w:pPr>
        <w:tabs>
          <w:tab w:val="left" w:pos="540"/>
        </w:tabs>
        <w:ind w:left="540"/>
        <w:jc w:val="both"/>
        <w:rPr>
          <w:sz w:val="22"/>
          <w:szCs w:val="22"/>
        </w:rPr>
      </w:pPr>
    </w:p>
    <w:p w:rsidR="006224C2" w:rsidRPr="00295E71" w14:paraId="5EADD4E0" w14:textId="77777777">
      <w:pPr>
        <w:numPr>
          <w:ilvl w:val="0"/>
          <w:numId w:val="5"/>
        </w:numPr>
        <w:tabs>
          <w:tab w:val="clear" w:pos="360"/>
          <w:tab w:val="left" w:pos="540"/>
        </w:tabs>
        <w:ind w:left="540" w:hanging="540"/>
        <w:jc w:val="both"/>
        <w:rPr>
          <w:sz w:val="22"/>
          <w:szCs w:val="22"/>
        </w:rPr>
      </w:pPr>
      <w:r w:rsidRPr="00295E71">
        <w:rPr>
          <w:sz w:val="22"/>
          <w:szCs w:val="22"/>
        </w:rPr>
        <w:t xml:space="preserve">In alcuni pazienti l’organismo può non essere in grado di produrre un quantitativo di cellule ematiche sufficiente e tale da combattere le infezioni o ad arrestare un’emorragia. </w:t>
      </w:r>
      <w:r w:rsidRPr="00295E71" w:rsidR="000E43C3">
        <w:rPr>
          <w:sz w:val="22"/>
          <w:szCs w:val="22"/>
        </w:rPr>
        <w:t xml:space="preserve">Il medico </w:t>
      </w:r>
      <w:r w:rsidRPr="00295E71">
        <w:rPr>
          <w:sz w:val="22"/>
          <w:szCs w:val="22"/>
        </w:rPr>
        <w:t>potrebbe decidere di interrompere la terapia.</w:t>
      </w:r>
      <w:r w:rsidRPr="00295E71" w:rsidR="000E43C3">
        <w:rPr>
          <w:sz w:val="22"/>
          <w:szCs w:val="22"/>
        </w:rPr>
        <w:t xml:space="preserve"> Nel caso in cui abbia febbre persistente, lividi o facilità di </w:t>
      </w:r>
      <w:r w:rsidRPr="00295E71" w:rsidR="002E3E62">
        <w:rPr>
          <w:sz w:val="22"/>
          <w:szCs w:val="22"/>
        </w:rPr>
        <w:t xml:space="preserve">sanguinamento </w:t>
      </w:r>
      <w:r w:rsidRPr="00295E71" w:rsidR="000E43C3">
        <w:rPr>
          <w:sz w:val="22"/>
          <w:szCs w:val="22"/>
        </w:rPr>
        <w:t>o pallore, si rivolga immediatamente al medico.</w:t>
      </w:r>
    </w:p>
    <w:p w:rsidR="006224C2" w:rsidRPr="00295E71" w14:paraId="4DCC7A14" w14:textId="77777777">
      <w:pPr>
        <w:pStyle w:val="ListParagraph"/>
        <w:rPr>
          <w:sz w:val="22"/>
          <w:szCs w:val="22"/>
        </w:rPr>
      </w:pPr>
    </w:p>
    <w:p w:rsidR="006224C2" w:rsidRPr="00295E71" w14:paraId="38742FE7" w14:textId="77777777">
      <w:pPr>
        <w:tabs>
          <w:tab w:val="left" w:pos="540"/>
        </w:tabs>
        <w:jc w:val="both"/>
        <w:rPr>
          <w:sz w:val="22"/>
          <w:szCs w:val="22"/>
          <w:u w:val="single"/>
        </w:rPr>
      </w:pPr>
      <w:r w:rsidRPr="00295E71">
        <w:rPr>
          <w:sz w:val="22"/>
          <w:szCs w:val="22"/>
          <w:u w:val="single"/>
        </w:rPr>
        <w:t>Tumori</w:t>
      </w:r>
    </w:p>
    <w:p w:rsidR="006224C2" w:rsidRPr="00295E71" w14:paraId="5C5E7434" w14:textId="77777777">
      <w:pPr>
        <w:tabs>
          <w:tab w:val="left" w:pos="540"/>
        </w:tabs>
        <w:jc w:val="both"/>
        <w:rPr>
          <w:sz w:val="22"/>
          <w:szCs w:val="22"/>
        </w:rPr>
      </w:pPr>
    </w:p>
    <w:p w:rsidR="006224C2" w:rsidRPr="00295E71" w14:paraId="2E9CCD14" w14:textId="77777777">
      <w:pPr>
        <w:pStyle w:val="ListParagraph"/>
        <w:numPr>
          <w:ilvl w:val="0"/>
          <w:numId w:val="5"/>
        </w:numPr>
        <w:ind w:left="539" w:hanging="539"/>
        <w:rPr>
          <w:sz w:val="22"/>
          <w:szCs w:val="22"/>
        </w:rPr>
      </w:pPr>
      <w:r w:rsidRPr="00295E71">
        <w:rPr>
          <w:sz w:val="22"/>
          <w:szCs w:val="22"/>
        </w:rPr>
        <w:tab/>
        <w:t xml:space="preserve">Nei pazienti, sia bambini sia adulti, sottoposti a trattamento con Humira o con altri farmaci anti-TNF, si sono manifestati molto raramente alcuni tipi di tumori. </w:t>
      </w:r>
    </w:p>
    <w:p w:rsidR="006224C2" w:rsidRPr="00295E71" w14:paraId="5074381B" w14:textId="77777777">
      <w:pPr>
        <w:pStyle w:val="ListParagraph"/>
        <w:ind w:left="539"/>
        <w:rPr>
          <w:sz w:val="22"/>
          <w:szCs w:val="22"/>
        </w:rPr>
      </w:pPr>
    </w:p>
    <w:p w:rsidR="006224C2" w:rsidRPr="00295E71" w14:paraId="1599345C" w14:textId="77777777">
      <w:pPr>
        <w:numPr>
          <w:ilvl w:val="0"/>
          <w:numId w:val="5"/>
        </w:numPr>
        <w:tabs>
          <w:tab w:val="clear" w:pos="360"/>
          <w:tab w:val="left" w:pos="540"/>
        </w:tabs>
        <w:ind w:left="1080" w:hanging="540"/>
        <w:jc w:val="both"/>
        <w:rPr>
          <w:sz w:val="22"/>
          <w:szCs w:val="22"/>
        </w:rPr>
      </w:pPr>
      <w:r w:rsidRPr="00295E71">
        <w:rPr>
          <w:sz w:val="22"/>
          <w:szCs w:val="22"/>
        </w:rPr>
        <w:t xml:space="preserve">I pazienti </w:t>
      </w:r>
      <w:r w:rsidRPr="00295E71" w:rsidR="00224E13">
        <w:rPr>
          <w:sz w:val="22"/>
          <w:szCs w:val="22"/>
        </w:rPr>
        <w:t>con</w:t>
      </w:r>
      <w:r w:rsidRPr="00295E71">
        <w:rPr>
          <w:sz w:val="22"/>
          <w:szCs w:val="22"/>
        </w:rPr>
        <w:t xml:space="preserve"> artrite reumatoide di grave entità da molto tempo possono presentare un rischio superiore alla media di sviluppare un linfoma (un tumore che colpisce il sistema linfatico) e leucemia (un tumore che colpisce il sangue e il midollo osseo). </w:t>
      </w:r>
    </w:p>
    <w:p w:rsidR="006224C2" w:rsidRPr="00295E71" w14:paraId="317A6B04" w14:textId="77777777">
      <w:pPr>
        <w:tabs>
          <w:tab w:val="left" w:pos="540"/>
        </w:tabs>
        <w:ind w:left="540"/>
        <w:jc w:val="both"/>
        <w:rPr>
          <w:sz w:val="22"/>
          <w:szCs w:val="22"/>
        </w:rPr>
      </w:pPr>
    </w:p>
    <w:p w:rsidR="006224C2" w:rsidRPr="00295E71" w14:paraId="406837C5" w14:textId="77777777">
      <w:pPr>
        <w:numPr>
          <w:ilvl w:val="0"/>
          <w:numId w:val="5"/>
        </w:numPr>
        <w:tabs>
          <w:tab w:val="clear" w:pos="360"/>
          <w:tab w:val="left" w:pos="540"/>
        </w:tabs>
        <w:ind w:left="1080" w:hanging="540"/>
        <w:jc w:val="both"/>
        <w:rPr>
          <w:sz w:val="22"/>
          <w:szCs w:val="22"/>
        </w:rPr>
      </w:pPr>
      <w:r w:rsidRPr="00295E71">
        <w:rPr>
          <w:sz w:val="22"/>
          <w:szCs w:val="22"/>
        </w:rPr>
        <w:t xml:space="preserve">Se lei assume Humira, il rischio di contrarre linfomi, leucemia o altri tumori può aumentare. In rare circostanze, nei pazienti sottoposti a terapia con Humira, è stato osservato un tipo di linfomanon comune e grave. Alcuni di questi pazienti erano anche in terapia con azatioprina o 6-mercaptopurina. </w:t>
      </w:r>
    </w:p>
    <w:p w:rsidR="006224C2" w:rsidRPr="00295E71" w14:paraId="793046B2" w14:textId="77777777">
      <w:pPr>
        <w:tabs>
          <w:tab w:val="left" w:pos="540"/>
        </w:tabs>
        <w:ind w:left="540"/>
        <w:jc w:val="both"/>
        <w:rPr>
          <w:sz w:val="22"/>
          <w:szCs w:val="22"/>
        </w:rPr>
      </w:pPr>
    </w:p>
    <w:p w:rsidR="006224C2" w:rsidRPr="00295E71" w14:paraId="4C151B77" w14:textId="77777777">
      <w:pPr>
        <w:numPr>
          <w:ilvl w:val="0"/>
          <w:numId w:val="5"/>
        </w:numPr>
        <w:tabs>
          <w:tab w:val="clear" w:pos="360"/>
          <w:tab w:val="left" w:pos="540"/>
        </w:tabs>
        <w:ind w:left="1080" w:hanging="540"/>
        <w:jc w:val="both"/>
        <w:rPr>
          <w:sz w:val="22"/>
          <w:szCs w:val="22"/>
        </w:rPr>
      </w:pPr>
      <w:r w:rsidRPr="00295E71">
        <w:rPr>
          <w:sz w:val="22"/>
          <w:szCs w:val="22"/>
        </w:rPr>
        <w:t xml:space="preserve">Avvisi il medico se sta assumendo azatioprina o 6-mercaptopurina con Humira. </w:t>
      </w:r>
    </w:p>
    <w:p w:rsidR="006224C2" w:rsidRPr="00295E71" w14:paraId="60CB875C" w14:textId="77777777">
      <w:pPr>
        <w:tabs>
          <w:tab w:val="left" w:pos="540"/>
        </w:tabs>
        <w:ind w:left="540"/>
        <w:jc w:val="both"/>
        <w:rPr>
          <w:sz w:val="22"/>
          <w:szCs w:val="22"/>
        </w:rPr>
      </w:pPr>
    </w:p>
    <w:p w:rsidR="006224C2" w:rsidRPr="00295E71" w14:paraId="7B14BA2C" w14:textId="77777777">
      <w:pPr>
        <w:numPr>
          <w:ilvl w:val="0"/>
          <w:numId w:val="5"/>
        </w:numPr>
        <w:tabs>
          <w:tab w:val="clear" w:pos="360"/>
          <w:tab w:val="left" w:pos="540"/>
        </w:tabs>
        <w:ind w:left="1080" w:hanging="540"/>
        <w:jc w:val="both"/>
        <w:rPr>
          <w:sz w:val="22"/>
          <w:szCs w:val="22"/>
        </w:rPr>
      </w:pPr>
      <w:r>
        <w:rPr>
          <w:sz w:val="22"/>
          <w:szCs w:val="22"/>
        </w:rPr>
        <w:t>N</w:t>
      </w:r>
      <w:r w:rsidRPr="00295E71" w:rsidR="00351417">
        <w:rPr>
          <w:sz w:val="22"/>
          <w:szCs w:val="22"/>
        </w:rPr>
        <w:t>ei</w:t>
      </w:r>
      <w:r w:rsidRPr="00295E71" w:rsidR="00226BC4">
        <w:rPr>
          <w:sz w:val="22"/>
          <w:szCs w:val="22"/>
        </w:rPr>
        <w:t xml:space="preserve"> pazienti che assumono Humira, sono stati osservati casi di carcinoma cutaneo non melanocitico. </w:t>
      </w:r>
    </w:p>
    <w:p w:rsidR="006224C2" w:rsidRPr="00295E71" w14:paraId="65371D72" w14:textId="77777777">
      <w:pPr>
        <w:tabs>
          <w:tab w:val="left" w:pos="540"/>
        </w:tabs>
        <w:ind w:left="540"/>
        <w:jc w:val="both"/>
        <w:rPr>
          <w:sz w:val="22"/>
          <w:szCs w:val="22"/>
        </w:rPr>
      </w:pPr>
    </w:p>
    <w:p w:rsidR="006224C2" w:rsidRPr="00295E71" w14:paraId="0E719B2C" w14:textId="77777777">
      <w:pPr>
        <w:numPr>
          <w:ilvl w:val="0"/>
          <w:numId w:val="5"/>
        </w:numPr>
        <w:tabs>
          <w:tab w:val="clear" w:pos="360"/>
          <w:tab w:val="left" w:pos="540"/>
        </w:tabs>
        <w:ind w:left="1080" w:hanging="540"/>
        <w:jc w:val="both"/>
        <w:rPr>
          <w:sz w:val="22"/>
          <w:szCs w:val="22"/>
        </w:rPr>
      </w:pPr>
      <w:r w:rsidRPr="00295E71">
        <w:rPr>
          <w:sz w:val="22"/>
          <w:szCs w:val="22"/>
        </w:rPr>
        <w:t>Se dovessero comparire nuove lesioni cutanee nel corso della terapia o successivamente ad essa o se l’aspetto delle lesioni già esistenti si dovesse modificare, lo riferisca al medico.</w:t>
      </w:r>
    </w:p>
    <w:p w:rsidR="006224C2" w:rsidRPr="00295E71" w14:paraId="375AAB05" w14:textId="77777777">
      <w:pPr>
        <w:rPr>
          <w:sz w:val="22"/>
          <w:szCs w:val="22"/>
        </w:rPr>
      </w:pPr>
    </w:p>
    <w:p w:rsidR="00351417" w:rsidRPr="00295E71" w:rsidP="00351417" w14:paraId="2C5FB5F6" w14:textId="77777777">
      <w:pPr>
        <w:numPr>
          <w:ilvl w:val="0"/>
          <w:numId w:val="5"/>
        </w:numPr>
        <w:tabs>
          <w:tab w:val="clear" w:pos="360"/>
          <w:tab w:val="left" w:pos="540"/>
          <w:tab w:val="num" w:pos="1134"/>
        </w:tabs>
        <w:jc w:val="both"/>
        <w:rPr>
          <w:sz w:val="22"/>
          <w:szCs w:val="22"/>
        </w:rPr>
      </w:pPr>
      <w:r w:rsidRPr="00295E71">
        <w:rPr>
          <w:sz w:val="22"/>
          <w:szCs w:val="22"/>
        </w:rPr>
        <w:t xml:space="preserve">Ci sono stati casi di neoplasie, oltre al linfoma, in pazienti con uno specifico tipo di malattia del polmone chiamata Malattia Polmonare Cronica Ostruttiva (COPD) trattati con un altro anti-TNF. </w:t>
      </w:r>
      <w:r w:rsidRPr="00295E71">
        <w:rPr>
          <w:sz w:val="22"/>
          <w:szCs w:val="22"/>
        </w:rPr>
        <w:t>Se soffre di COPD, o fuma molto, deve discutere con il medico se è appropriato il trattamento con un anti-TNF.</w:t>
      </w:r>
    </w:p>
    <w:p w:rsidR="00351417" w:rsidRPr="00295E71" w:rsidP="00351417" w14:paraId="6ED45B5B" w14:textId="77777777">
      <w:pPr>
        <w:tabs>
          <w:tab w:val="left" w:pos="540"/>
        </w:tabs>
        <w:jc w:val="both"/>
        <w:rPr>
          <w:sz w:val="22"/>
          <w:szCs w:val="22"/>
        </w:rPr>
      </w:pPr>
    </w:p>
    <w:p w:rsidR="00351417" w:rsidRPr="00295E71" w:rsidP="00F57FE5" w14:paraId="63C1ACB7" w14:textId="77777777">
      <w:pPr>
        <w:keepNext/>
        <w:keepLines/>
        <w:tabs>
          <w:tab w:val="left" w:pos="540"/>
        </w:tabs>
        <w:jc w:val="both"/>
        <w:rPr>
          <w:sz w:val="22"/>
          <w:szCs w:val="22"/>
          <w:u w:val="single"/>
        </w:rPr>
      </w:pPr>
      <w:r w:rsidRPr="00295E71">
        <w:rPr>
          <w:sz w:val="22"/>
          <w:szCs w:val="22"/>
          <w:u w:val="single"/>
        </w:rPr>
        <w:t>Malattia autoimmune</w:t>
      </w:r>
    </w:p>
    <w:p w:rsidR="00351417" w:rsidRPr="00295E71" w:rsidP="00F57FE5" w14:paraId="180BCFA9" w14:textId="77777777">
      <w:pPr>
        <w:keepNext/>
        <w:keepLines/>
        <w:tabs>
          <w:tab w:val="left" w:pos="540"/>
        </w:tabs>
        <w:jc w:val="both"/>
        <w:rPr>
          <w:sz w:val="22"/>
          <w:szCs w:val="22"/>
        </w:rPr>
      </w:pPr>
    </w:p>
    <w:p w:rsidR="00351417" w:rsidRPr="00295E71" w:rsidP="00F57FE5" w14:paraId="182A3E72" w14:textId="77777777">
      <w:pPr>
        <w:pStyle w:val="ListParagraph"/>
        <w:keepNext/>
        <w:keepLines/>
        <w:numPr>
          <w:ilvl w:val="0"/>
          <w:numId w:val="133"/>
        </w:numPr>
        <w:tabs>
          <w:tab w:val="left" w:pos="540"/>
        </w:tabs>
        <w:jc w:val="both"/>
        <w:rPr>
          <w:sz w:val="22"/>
          <w:szCs w:val="22"/>
        </w:rPr>
      </w:pPr>
      <w:r w:rsidRPr="00295E71">
        <w:rPr>
          <w:sz w:val="22"/>
          <w:szCs w:val="22"/>
        </w:rPr>
        <w:t>Raramente, il trattamento con Humira può portare alla manifestazione di una sindrome come il lupus. Informi il medico qualora si manifestino sintomi come eruzione cutanea persistente di natura inspiegabile, febbre, dolore alle articolazioni o affaticamento.</w:t>
      </w:r>
    </w:p>
    <w:p w:rsidR="006224C2" w:rsidRPr="00295E71" w14:paraId="27AA49CC" w14:textId="77777777">
      <w:pPr>
        <w:pStyle w:val="EndnoteText"/>
        <w:jc w:val="both"/>
        <w:rPr>
          <w:lang w:val="it-IT"/>
        </w:rPr>
      </w:pPr>
    </w:p>
    <w:p w:rsidR="006224C2" w:rsidRPr="00295E71" w14:paraId="4ADDDB4B" w14:textId="77777777">
      <w:pPr>
        <w:jc w:val="both"/>
        <w:rPr>
          <w:b/>
          <w:sz w:val="22"/>
          <w:szCs w:val="22"/>
          <w:lang w:eastAsia="en-US"/>
        </w:rPr>
      </w:pPr>
      <w:r w:rsidRPr="00295E71">
        <w:rPr>
          <w:b/>
          <w:sz w:val="22"/>
          <w:szCs w:val="22"/>
          <w:lang w:eastAsia="en-US"/>
        </w:rPr>
        <w:t>Bambini e adolescenti</w:t>
      </w:r>
    </w:p>
    <w:p w:rsidR="006224C2" w:rsidRPr="00295E71" w14:paraId="3C32B153" w14:textId="77777777">
      <w:pPr>
        <w:jc w:val="both"/>
        <w:rPr>
          <w:sz w:val="22"/>
          <w:szCs w:val="22"/>
          <w:lang w:eastAsia="en-US"/>
        </w:rPr>
      </w:pPr>
    </w:p>
    <w:p w:rsidR="006224C2" w:rsidRPr="00295E71" w14:paraId="7FC99843" w14:textId="77777777">
      <w:pPr>
        <w:numPr>
          <w:ilvl w:val="0"/>
          <w:numId w:val="49"/>
        </w:numPr>
        <w:tabs>
          <w:tab w:val="num" w:pos="540"/>
          <w:tab w:val="clear" w:pos="720"/>
        </w:tabs>
        <w:ind w:left="540" w:hanging="540"/>
        <w:jc w:val="both"/>
        <w:rPr>
          <w:sz w:val="22"/>
          <w:szCs w:val="22"/>
          <w:lang w:eastAsia="en-US"/>
        </w:rPr>
      </w:pPr>
      <w:r w:rsidRPr="00295E71">
        <w:rPr>
          <w:sz w:val="22"/>
          <w:szCs w:val="22"/>
          <w:lang w:eastAsia="en-US"/>
        </w:rPr>
        <w:t>Vaccinazioni: se possibile, i bambini devono aver già fatto tutte le vaccinazioni prima di usare Humira.</w:t>
      </w:r>
    </w:p>
    <w:p w:rsidR="006224C2" w:rsidRPr="00295E71" w14:paraId="73E33DBE" w14:textId="77777777">
      <w:pPr>
        <w:jc w:val="both"/>
        <w:rPr>
          <w:sz w:val="22"/>
          <w:szCs w:val="22"/>
          <w:lang w:eastAsia="en-US"/>
        </w:rPr>
      </w:pPr>
    </w:p>
    <w:p w:rsidR="006224C2" w:rsidRPr="00295E71" w14:paraId="6FC4A884" w14:textId="77777777">
      <w:pPr>
        <w:pStyle w:val="Heading9"/>
        <w:keepNext w:val="0"/>
        <w:jc w:val="both"/>
        <w:rPr>
          <w:sz w:val="22"/>
          <w:szCs w:val="22"/>
          <w:lang w:val="it-IT" w:eastAsia="en-US"/>
        </w:rPr>
      </w:pPr>
      <w:r w:rsidRPr="00295E71">
        <w:rPr>
          <w:sz w:val="22"/>
          <w:szCs w:val="22"/>
          <w:lang w:val="it-IT" w:eastAsia="en-US"/>
        </w:rPr>
        <w:t>Altri medicinali e Humira</w:t>
      </w:r>
    </w:p>
    <w:p w:rsidR="006224C2" w:rsidRPr="00295E71" w14:paraId="6681D1F4" w14:textId="77777777">
      <w:pPr>
        <w:jc w:val="both"/>
        <w:rPr>
          <w:sz w:val="22"/>
          <w:szCs w:val="22"/>
          <w:lang w:eastAsia="en-US"/>
        </w:rPr>
      </w:pPr>
    </w:p>
    <w:p w:rsidR="006224C2" w:rsidRPr="00295E71" w14:paraId="1D605D2D" w14:textId="77777777">
      <w:pPr>
        <w:jc w:val="both"/>
        <w:rPr>
          <w:sz w:val="22"/>
          <w:szCs w:val="22"/>
        </w:rPr>
      </w:pPr>
      <w:r w:rsidRPr="00295E71">
        <w:rPr>
          <w:sz w:val="22"/>
          <w:szCs w:val="22"/>
        </w:rPr>
        <w:t>Informi il medico o il farmacista se sta assumendo, ha recentemente assunto o potrebbe assumere qualsiasi altro medicinale.</w:t>
      </w:r>
    </w:p>
    <w:p w:rsidR="006224C2" w:rsidRPr="00295E71" w14:paraId="14E35188" w14:textId="77777777">
      <w:pPr>
        <w:jc w:val="both"/>
        <w:rPr>
          <w:sz w:val="22"/>
          <w:szCs w:val="22"/>
          <w:lang w:eastAsia="en-US"/>
        </w:rPr>
      </w:pPr>
    </w:p>
    <w:p w:rsidR="006224C2" w:rsidRPr="00295E71" w14:paraId="6FBB7B23" w14:textId="77777777">
      <w:pPr>
        <w:jc w:val="both"/>
        <w:rPr>
          <w:sz w:val="22"/>
          <w:szCs w:val="22"/>
        </w:rPr>
      </w:pPr>
      <w:r w:rsidRPr="00295E71">
        <w:rPr>
          <w:sz w:val="22"/>
          <w:szCs w:val="22"/>
        </w:rPr>
        <w:t>Non usi Humira con medicinali che contengono i seguenti principi attivi a causa del rischio aumentato di avere infezioni gravi</w:t>
      </w:r>
      <w:r w:rsidRPr="00295E71" w:rsidR="00226BC4">
        <w:rPr>
          <w:sz w:val="22"/>
          <w:szCs w:val="22"/>
        </w:rPr>
        <w:t>:</w:t>
      </w:r>
    </w:p>
    <w:p w:rsidR="006224C2" w:rsidRPr="00295E71" w14:paraId="066FD86B" w14:textId="77777777">
      <w:pPr>
        <w:pStyle w:val="ListParagraph"/>
        <w:numPr>
          <w:ilvl w:val="0"/>
          <w:numId w:val="49"/>
        </w:numPr>
        <w:jc w:val="both"/>
        <w:rPr>
          <w:sz w:val="22"/>
          <w:szCs w:val="22"/>
        </w:rPr>
      </w:pPr>
      <w:r w:rsidRPr="00295E71">
        <w:rPr>
          <w:sz w:val="22"/>
          <w:szCs w:val="22"/>
        </w:rPr>
        <w:t xml:space="preserve">anakinra </w:t>
      </w:r>
    </w:p>
    <w:p w:rsidR="006224C2" w:rsidRPr="00295E71" w14:paraId="0BCE272A" w14:textId="77777777">
      <w:pPr>
        <w:pStyle w:val="ListParagraph"/>
        <w:numPr>
          <w:ilvl w:val="0"/>
          <w:numId w:val="49"/>
        </w:numPr>
        <w:jc w:val="both"/>
        <w:rPr>
          <w:sz w:val="22"/>
          <w:szCs w:val="22"/>
        </w:rPr>
      </w:pPr>
      <w:r w:rsidRPr="00295E71">
        <w:rPr>
          <w:sz w:val="22"/>
          <w:szCs w:val="22"/>
        </w:rPr>
        <w:t xml:space="preserve">abatacept. </w:t>
      </w:r>
    </w:p>
    <w:p w:rsidR="006224C2" w:rsidRPr="00295E71" w14:paraId="7EC122C3" w14:textId="77777777">
      <w:pPr>
        <w:jc w:val="both"/>
        <w:rPr>
          <w:sz w:val="22"/>
          <w:szCs w:val="22"/>
        </w:rPr>
      </w:pPr>
    </w:p>
    <w:p w:rsidR="006224C2" w:rsidRPr="00295E71" w14:paraId="525F8EFF" w14:textId="77777777">
      <w:pPr>
        <w:jc w:val="both"/>
        <w:rPr>
          <w:sz w:val="22"/>
          <w:szCs w:val="22"/>
        </w:rPr>
      </w:pPr>
      <w:r w:rsidRPr="00295E71">
        <w:rPr>
          <w:sz w:val="22"/>
          <w:szCs w:val="22"/>
        </w:rPr>
        <w:t>Humira può essere assunto con:</w:t>
      </w:r>
    </w:p>
    <w:p w:rsidR="006224C2" w:rsidRPr="00295E71" w14:paraId="36FDA5BA" w14:textId="77777777">
      <w:pPr>
        <w:pStyle w:val="ListParagraph"/>
        <w:numPr>
          <w:ilvl w:val="0"/>
          <w:numId w:val="119"/>
        </w:numPr>
        <w:jc w:val="both"/>
        <w:rPr>
          <w:sz w:val="22"/>
          <w:szCs w:val="22"/>
        </w:rPr>
      </w:pPr>
      <w:r w:rsidRPr="00295E71">
        <w:rPr>
          <w:sz w:val="22"/>
          <w:szCs w:val="22"/>
        </w:rPr>
        <w:t xml:space="preserve">metotressato </w:t>
      </w:r>
    </w:p>
    <w:p w:rsidR="006224C2" w:rsidRPr="00295E71" w14:paraId="3BCBA949" w14:textId="77777777">
      <w:pPr>
        <w:pStyle w:val="ListParagraph"/>
        <w:numPr>
          <w:ilvl w:val="0"/>
          <w:numId w:val="119"/>
        </w:numPr>
        <w:jc w:val="both"/>
        <w:rPr>
          <w:sz w:val="22"/>
          <w:szCs w:val="22"/>
        </w:rPr>
      </w:pPr>
      <w:r w:rsidRPr="00295E71">
        <w:rPr>
          <w:sz w:val="22"/>
          <w:szCs w:val="22"/>
        </w:rPr>
        <w:t xml:space="preserve">altri farmaci antireumatici modificanti la malattia (ad esempio sulfasalazina, idrossiclorochina, leflunomide e sali d’oro per via parenterale) </w:t>
      </w:r>
    </w:p>
    <w:p w:rsidR="006224C2" w:rsidRPr="00295E71" w14:paraId="0F2A31C2" w14:textId="77777777">
      <w:pPr>
        <w:pStyle w:val="ListParagraph"/>
        <w:numPr>
          <w:ilvl w:val="0"/>
          <w:numId w:val="119"/>
        </w:numPr>
        <w:jc w:val="both"/>
        <w:rPr>
          <w:sz w:val="22"/>
          <w:szCs w:val="22"/>
        </w:rPr>
      </w:pPr>
      <w:r w:rsidRPr="00295E71">
        <w:rPr>
          <w:sz w:val="22"/>
          <w:szCs w:val="22"/>
        </w:rPr>
        <w:t>steroidi o analgesici, compresi i farmaci anti-infiammatori non steroidei (FANS).</w:t>
      </w:r>
    </w:p>
    <w:p w:rsidR="000D3BA4" w:rsidRPr="00295E71" w14:paraId="60C3A9F4" w14:textId="77777777">
      <w:pPr>
        <w:numPr>
          <w:ilvl w:val="12"/>
          <w:numId w:val="0"/>
        </w:numPr>
        <w:tabs>
          <w:tab w:val="left" w:pos="567"/>
        </w:tabs>
        <w:ind w:right="-2"/>
        <w:jc w:val="both"/>
        <w:rPr>
          <w:sz w:val="22"/>
          <w:szCs w:val="22"/>
        </w:rPr>
      </w:pPr>
    </w:p>
    <w:p w:rsidR="006224C2" w:rsidRPr="00295E71" w14:paraId="4D5BE49C" w14:textId="77777777">
      <w:pPr>
        <w:numPr>
          <w:ilvl w:val="12"/>
          <w:numId w:val="0"/>
        </w:numPr>
        <w:tabs>
          <w:tab w:val="left" w:pos="567"/>
        </w:tabs>
        <w:ind w:right="-2"/>
        <w:jc w:val="both"/>
        <w:rPr>
          <w:sz w:val="22"/>
          <w:szCs w:val="22"/>
        </w:rPr>
      </w:pPr>
      <w:r w:rsidRPr="00295E71">
        <w:rPr>
          <w:sz w:val="22"/>
          <w:szCs w:val="22"/>
        </w:rPr>
        <w:t>Se ha dubbi, si rivolga al medico.</w:t>
      </w:r>
    </w:p>
    <w:p w:rsidR="006224C2" w:rsidRPr="00295E71" w14:paraId="595E0EE2" w14:textId="77777777">
      <w:pPr>
        <w:tabs>
          <w:tab w:val="left" w:pos="567"/>
        </w:tabs>
        <w:jc w:val="both"/>
        <w:rPr>
          <w:sz w:val="22"/>
          <w:szCs w:val="22"/>
        </w:rPr>
      </w:pPr>
    </w:p>
    <w:p w:rsidR="006224C2" w:rsidRPr="00295E71" w14:paraId="086DE89E" w14:textId="77777777">
      <w:pPr>
        <w:pStyle w:val="Heading9"/>
        <w:tabs>
          <w:tab w:val="left" w:pos="567"/>
        </w:tabs>
        <w:jc w:val="both"/>
        <w:rPr>
          <w:sz w:val="22"/>
          <w:szCs w:val="22"/>
          <w:lang w:val="it-IT" w:eastAsia="en-US"/>
        </w:rPr>
      </w:pPr>
      <w:r w:rsidRPr="00295E71">
        <w:rPr>
          <w:sz w:val="22"/>
          <w:szCs w:val="22"/>
          <w:lang w:val="it-IT" w:eastAsia="en-US"/>
        </w:rPr>
        <w:t>Gravidanza e allattamento</w:t>
      </w:r>
    </w:p>
    <w:p w:rsidR="006224C2" w:rsidRPr="00295E71" w14:paraId="7B81BA2E" w14:textId="77777777">
      <w:pPr>
        <w:keepNext/>
        <w:numPr>
          <w:ilvl w:val="12"/>
          <w:numId w:val="0"/>
        </w:numPr>
        <w:tabs>
          <w:tab w:val="left" w:pos="567"/>
        </w:tabs>
        <w:ind w:right="-2"/>
        <w:jc w:val="both"/>
        <w:rPr>
          <w:sz w:val="22"/>
          <w:szCs w:val="22"/>
        </w:rPr>
      </w:pPr>
    </w:p>
    <w:p w:rsidR="006224C2" w:rsidP="007E6E3E" w14:paraId="3AD06D2C" w14:textId="77777777">
      <w:pPr>
        <w:pStyle w:val="ListParagraph"/>
        <w:keepNext/>
        <w:numPr>
          <w:ilvl w:val="0"/>
          <w:numId w:val="149"/>
        </w:numPr>
        <w:tabs>
          <w:tab w:val="left" w:pos="567"/>
        </w:tabs>
        <w:ind w:left="426" w:right="-2"/>
        <w:jc w:val="both"/>
        <w:rPr>
          <w:sz w:val="22"/>
          <w:szCs w:val="22"/>
        </w:rPr>
      </w:pPr>
      <w:r>
        <w:rPr>
          <w:sz w:val="22"/>
          <w:szCs w:val="22"/>
        </w:rPr>
        <w:t>Deve considerare l’utilizzo di</w:t>
      </w:r>
      <w:r w:rsidRPr="0020014E" w:rsidR="00226BC4">
        <w:rPr>
          <w:sz w:val="22"/>
          <w:szCs w:val="22"/>
        </w:rPr>
        <w:t xml:space="preserve"> un’adeguata misura contraccettiva </w:t>
      </w:r>
      <w:r>
        <w:rPr>
          <w:sz w:val="22"/>
          <w:szCs w:val="22"/>
        </w:rPr>
        <w:t xml:space="preserve">per prevenire una gravidanza </w:t>
      </w:r>
      <w:r w:rsidRPr="0020014E" w:rsidR="00226BC4">
        <w:rPr>
          <w:sz w:val="22"/>
          <w:szCs w:val="22"/>
        </w:rPr>
        <w:t xml:space="preserve">e </w:t>
      </w:r>
      <w:r>
        <w:rPr>
          <w:sz w:val="22"/>
          <w:szCs w:val="22"/>
        </w:rPr>
        <w:t xml:space="preserve">continuarne l’utilizzo </w:t>
      </w:r>
      <w:r w:rsidRPr="0020014E" w:rsidR="00226BC4">
        <w:rPr>
          <w:sz w:val="22"/>
          <w:szCs w:val="22"/>
        </w:rPr>
        <w:t xml:space="preserve">per almeno 5 mesi dopo l’ultima terapia con </w:t>
      </w:r>
      <w:r>
        <w:rPr>
          <w:sz w:val="22"/>
          <w:szCs w:val="22"/>
        </w:rPr>
        <w:t>Humira</w:t>
      </w:r>
      <w:r w:rsidRPr="0020014E" w:rsidR="00226BC4">
        <w:rPr>
          <w:sz w:val="22"/>
          <w:szCs w:val="22"/>
        </w:rPr>
        <w:t>.</w:t>
      </w:r>
    </w:p>
    <w:p w:rsidR="00450FBB" w:rsidRPr="00450FBB" w:rsidP="00450FBB" w14:paraId="68F91191" w14:textId="77777777">
      <w:pPr>
        <w:pStyle w:val="ListParagraph"/>
        <w:keepNext/>
        <w:numPr>
          <w:ilvl w:val="0"/>
          <w:numId w:val="149"/>
        </w:numPr>
        <w:tabs>
          <w:tab w:val="left" w:pos="567"/>
        </w:tabs>
        <w:ind w:left="426" w:right="-2"/>
        <w:jc w:val="both"/>
        <w:rPr>
          <w:sz w:val="22"/>
          <w:szCs w:val="22"/>
        </w:rPr>
      </w:pPr>
      <w:r w:rsidRPr="00450FBB">
        <w:rPr>
          <w:sz w:val="22"/>
          <w:szCs w:val="22"/>
        </w:rPr>
        <w:t xml:space="preserve">Se è in corso una gravidanza, se sospetta o sta pianificando una gravidanza chieda consiglio al suo medico </w:t>
      </w:r>
      <w:r w:rsidR="00E36447">
        <w:rPr>
          <w:sz w:val="22"/>
          <w:szCs w:val="22"/>
        </w:rPr>
        <w:t>circa l’assunzione di</w:t>
      </w:r>
      <w:r w:rsidRPr="00450FBB">
        <w:rPr>
          <w:sz w:val="22"/>
          <w:szCs w:val="22"/>
        </w:rPr>
        <w:t xml:space="preserve"> questo medicinale.</w:t>
      </w:r>
    </w:p>
    <w:p w:rsidR="00450FBB" w:rsidRPr="00450FBB" w:rsidP="00450FBB" w14:paraId="3623C6B0" w14:textId="77777777">
      <w:pPr>
        <w:pStyle w:val="ListParagraph"/>
        <w:keepNext/>
        <w:numPr>
          <w:ilvl w:val="0"/>
          <w:numId w:val="149"/>
        </w:numPr>
        <w:tabs>
          <w:tab w:val="left" w:pos="567"/>
        </w:tabs>
        <w:ind w:left="426" w:right="-2"/>
        <w:jc w:val="both"/>
        <w:rPr>
          <w:sz w:val="22"/>
          <w:szCs w:val="22"/>
        </w:rPr>
      </w:pPr>
      <w:r w:rsidRPr="00450FBB">
        <w:rPr>
          <w:sz w:val="22"/>
          <w:szCs w:val="22"/>
        </w:rPr>
        <w:t>Humira deve essere usato durante la gravidanza solo se necessario.</w:t>
      </w:r>
    </w:p>
    <w:p w:rsidR="00450FBB" w:rsidRPr="00450FBB" w:rsidP="00450FBB" w14:paraId="158A0DB4" w14:textId="77777777">
      <w:pPr>
        <w:pStyle w:val="ListParagraph"/>
        <w:keepNext/>
        <w:numPr>
          <w:ilvl w:val="0"/>
          <w:numId w:val="149"/>
        </w:numPr>
        <w:tabs>
          <w:tab w:val="left" w:pos="567"/>
        </w:tabs>
        <w:ind w:left="426" w:right="-2"/>
        <w:jc w:val="both"/>
        <w:rPr>
          <w:sz w:val="22"/>
          <w:szCs w:val="22"/>
        </w:rPr>
      </w:pPr>
      <w:r w:rsidRPr="00450FBB">
        <w:rPr>
          <w:sz w:val="22"/>
          <w:szCs w:val="22"/>
        </w:rPr>
        <w:t xml:space="preserve">Secondo uno studio sulla gravidanza, non è stato riscontrato un rischio maggiore di difetti alla nascita </w:t>
      </w:r>
      <w:r w:rsidR="00E36447">
        <w:rPr>
          <w:sz w:val="22"/>
          <w:szCs w:val="22"/>
        </w:rPr>
        <w:t>quando la madre aveva ricevuto Humira durante la gravidanza,</w:t>
      </w:r>
      <w:r w:rsidRPr="00FC5B3E" w:rsidR="00E36447">
        <w:rPr>
          <w:sz w:val="22"/>
          <w:szCs w:val="22"/>
        </w:rPr>
        <w:t xml:space="preserve"> </w:t>
      </w:r>
      <w:r w:rsidRPr="00450FBB">
        <w:rPr>
          <w:sz w:val="22"/>
          <w:szCs w:val="22"/>
        </w:rPr>
        <w:t>rispetto a madri che avevano la stessa patologia ma che non avevano ricevuto Humira.</w:t>
      </w:r>
    </w:p>
    <w:p w:rsidR="00450FBB" w:rsidRPr="0020014E" w:rsidP="007E6E3E" w14:paraId="6C3C7BF8" w14:textId="77777777">
      <w:pPr>
        <w:pStyle w:val="ListParagraph"/>
        <w:keepNext/>
        <w:numPr>
          <w:ilvl w:val="0"/>
          <w:numId w:val="149"/>
        </w:numPr>
        <w:tabs>
          <w:tab w:val="left" w:pos="567"/>
        </w:tabs>
        <w:ind w:left="426" w:right="-2"/>
        <w:jc w:val="both"/>
        <w:rPr>
          <w:sz w:val="22"/>
          <w:szCs w:val="22"/>
        </w:rPr>
      </w:pPr>
      <w:r w:rsidRPr="00450FBB">
        <w:rPr>
          <w:sz w:val="22"/>
          <w:szCs w:val="22"/>
        </w:rPr>
        <w:t>Humira può essere usato durante l’allattamento con latte materno</w:t>
      </w:r>
      <w:r>
        <w:rPr>
          <w:sz w:val="22"/>
          <w:szCs w:val="22"/>
        </w:rPr>
        <w:t>.</w:t>
      </w:r>
    </w:p>
    <w:p w:rsidR="00450FBB" w:rsidP="007E6E3E" w14:paraId="676CC12B" w14:textId="77777777">
      <w:pPr>
        <w:pStyle w:val="ListParagraph"/>
        <w:keepNext/>
        <w:numPr>
          <w:ilvl w:val="0"/>
          <w:numId w:val="149"/>
        </w:numPr>
        <w:tabs>
          <w:tab w:val="left" w:pos="567"/>
        </w:tabs>
        <w:ind w:left="426" w:right="-2"/>
        <w:jc w:val="both"/>
      </w:pPr>
      <w:r w:rsidRPr="00295E71">
        <w:t>Se assu</w:t>
      </w:r>
      <w:r w:rsidR="00D54866">
        <w:t>me</w:t>
      </w:r>
      <w:r w:rsidRPr="00295E71">
        <w:t xml:space="preserve"> Humira durante la gravidanza, il bambino potrebbe avere un maggior rischio di contrarre un’infezione. </w:t>
      </w:r>
    </w:p>
    <w:p w:rsidR="006224C2" w:rsidRPr="00295E71" w:rsidP="007E6E3E" w14:paraId="523B7400" w14:textId="77777777">
      <w:pPr>
        <w:pStyle w:val="ListParagraph"/>
        <w:keepNext/>
        <w:numPr>
          <w:ilvl w:val="0"/>
          <w:numId w:val="149"/>
        </w:numPr>
        <w:tabs>
          <w:tab w:val="left" w:pos="567"/>
        </w:tabs>
        <w:ind w:left="426" w:right="-2"/>
        <w:jc w:val="both"/>
      </w:pPr>
      <w:r w:rsidRPr="00295E71">
        <w:t xml:space="preserve">É importante che lei riferisca al pediatra o ad altro operatore sanitario del suo utilizzo di Humira durante la gravidanza, prima che il bambino riceva qualsiasi tipo di vaccinazione. Per maggiori informazioni </w:t>
      </w:r>
      <w:r w:rsidR="00B6380B">
        <w:t>sulle vaccinazioni</w:t>
      </w:r>
      <w:r w:rsidR="00450FBB">
        <w:t xml:space="preserve"> </w:t>
      </w:r>
      <w:r w:rsidRPr="00295E71">
        <w:t>consulti la sezione</w:t>
      </w:r>
      <w:r w:rsidR="00450FBB">
        <w:t xml:space="preserve"> </w:t>
      </w:r>
      <w:r w:rsidRPr="00383EC6" w:rsidR="00450FBB">
        <w:rPr>
          <w:sz w:val="22"/>
          <w:szCs w:val="22"/>
        </w:rPr>
        <w:t>“Avvertenze e precauzioni”</w:t>
      </w:r>
      <w:r w:rsidRPr="00295E71">
        <w:t>.</w:t>
      </w:r>
    </w:p>
    <w:p w:rsidR="006224C2" w:rsidRPr="00295E71" w14:paraId="4DDDF49F" w14:textId="77777777">
      <w:pPr>
        <w:pStyle w:val="Heading8"/>
        <w:keepNext w:val="0"/>
        <w:tabs>
          <w:tab w:val="left" w:pos="567"/>
        </w:tabs>
        <w:jc w:val="both"/>
      </w:pPr>
    </w:p>
    <w:p w:rsidR="006224C2" w:rsidRPr="00295E71" w14:paraId="56FE62AF" w14:textId="77777777">
      <w:pPr>
        <w:pStyle w:val="Heading8"/>
        <w:keepNext w:val="0"/>
        <w:tabs>
          <w:tab w:val="left" w:pos="567"/>
        </w:tabs>
        <w:jc w:val="both"/>
      </w:pPr>
      <w:r w:rsidRPr="00295E71">
        <w:t>Guida di veicoli e utilizzo di macchinari</w:t>
      </w:r>
    </w:p>
    <w:p w:rsidR="006224C2" w:rsidRPr="00295E71" w14:paraId="781CB521" w14:textId="77777777">
      <w:pPr>
        <w:numPr>
          <w:ilvl w:val="12"/>
          <w:numId w:val="0"/>
        </w:numPr>
        <w:tabs>
          <w:tab w:val="left" w:pos="567"/>
        </w:tabs>
        <w:ind w:right="-2"/>
        <w:jc w:val="both"/>
        <w:rPr>
          <w:sz w:val="22"/>
          <w:szCs w:val="22"/>
        </w:rPr>
      </w:pPr>
    </w:p>
    <w:p w:rsidR="006224C2" w14:paraId="005D9FDD" w14:textId="77777777">
      <w:pPr>
        <w:numPr>
          <w:ilvl w:val="12"/>
          <w:numId w:val="0"/>
        </w:numPr>
        <w:tabs>
          <w:tab w:val="left" w:pos="567"/>
        </w:tabs>
        <w:ind w:right="-2"/>
        <w:jc w:val="both"/>
        <w:rPr>
          <w:ins w:id="20012" w:author="AbbVie14" w:date="2025-05-09T11:20:00Z"/>
          <w:sz w:val="22"/>
          <w:szCs w:val="22"/>
        </w:rPr>
      </w:pPr>
      <w:r w:rsidRPr="00295E71">
        <w:rPr>
          <w:sz w:val="22"/>
          <w:szCs w:val="22"/>
        </w:rPr>
        <w:t xml:space="preserve">Humira può influenzare, benché solo in maniera modesta, la sua capacità di guidare, andare in bicicletta o utilizzare macchinari. In seguito all’assunzione di Humira, si possono avere disturbi della vista e la sensazione che l’ambiente in cui ci si trova ruoti.  </w:t>
      </w:r>
    </w:p>
    <w:p w:rsidR="00703B41" w14:paraId="22CA91EA" w14:textId="77777777">
      <w:pPr>
        <w:numPr>
          <w:ilvl w:val="12"/>
          <w:numId w:val="0"/>
        </w:numPr>
        <w:tabs>
          <w:tab w:val="left" w:pos="567"/>
        </w:tabs>
        <w:ind w:right="-2"/>
        <w:jc w:val="both"/>
        <w:rPr>
          <w:ins w:id="20013" w:author="AbbVie14" w:date="2025-05-09T11:20:00Z"/>
          <w:sz w:val="22"/>
          <w:szCs w:val="22"/>
        </w:rPr>
      </w:pPr>
    </w:p>
    <w:p w:rsidR="00703B41" w:rsidRPr="005835DB" w:rsidP="00703B41" w14:paraId="504C936D" w14:textId="77777777">
      <w:pPr>
        <w:pStyle w:val="BodyText2"/>
        <w:keepNext/>
        <w:jc w:val="both"/>
        <w:rPr>
          <w:ins w:id="20014" w:author="AbbVie14" w:date="2025-05-09T11:20:00Z"/>
          <w:b/>
          <w:bCs/>
        </w:rPr>
      </w:pPr>
      <w:ins w:id="20015" w:author="AbbVie14" w:date="2025-05-09T11:20:00Z">
        <w:r w:rsidRPr="005835DB">
          <w:rPr>
            <w:b/>
            <w:bCs/>
          </w:rPr>
          <w:t>Humira contiene polisorbato</w:t>
        </w:r>
      </w:ins>
    </w:p>
    <w:p w:rsidR="00703B41" w:rsidP="00703B41" w14:paraId="24C0A786" w14:textId="77777777">
      <w:pPr>
        <w:pStyle w:val="BodyText2"/>
        <w:keepNext/>
        <w:jc w:val="both"/>
        <w:rPr>
          <w:ins w:id="20016" w:author="AbbVie14" w:date="2025-05-09T11:20:00Z"/>
        </w:rPr>
      </w:pPr>
    </w:p>
    <w:p w:rsidR="00703B41" w:rsidRPr="00703B41" w14:paraId="0DE77AE0" w14:textId="77777777">
      <w:pPr>
        <w:numPr>
          <w:ilvl w:val="0"/>
          <w:numId w:val="0"/>
        </w:numPr>
        <w:tabs>
          <w:tab w:val="left" w:pos="567"/>
        </w:tabs>
        <w:autoSpaceDE w:val="0"/>
        <w:autoSpaceDN w:val="0"/>
        <w:adjustRightInd w:val="0"/>
        <w:ind w:right="0"/>
        <w:jc w:val="both"/>
        <w:pPrChange w:id="20017" w:author="AbbVie14" w:date="2025-05-09T11:20:00Z">
          <w:pPr>
            <w:numPr>
              <w:ilvl w:val="12"/>
              <w:numId w:val="0"/>
            </w:numPr>
            <w:tabs>
              <w:tab w:val="left" w:pos="567"/>
            </w:tabs>
            <w:ind w:right="-2"/>
            <w:jc w:val="both"/>
          </w:pPr>
        </w:pPrChange>
        <w:rPr>
          <w:sz w:val="24"/>
          <w:szCs w:val="24"/>
          <w:rPrChange w:id="20018" w:author="AbbVie14" w:date="2025-05-09T11:20:00Z">
            <w:rPr>
              <w:sz w:val="22"/>
              <w:szCs w:val="22"/>
            </w:rPr>
          </w:rPrChange>
        </w:rPr>
      </w:pPr>
      <w:ins w:id="20019" w:author="AbbVie14" w:date="2025-05-09T11:20:00Z">
        <w:r w:rsidRPr="00BE2419">
          <w:rPr>
            <w:color w:val="000000"/>
            <w:sz w:val="22"/>
            <w:szCs w:val="22"/>
            <w:highlight w:val="none"/>
            <w:rPrChange w:id="20020" w:author="AbbVie14" w:date="2025-05-09T11:36:00Z">
              <w:rPr>
                <w:color w:val="000000"/>
                <w:sz w:val="22"/>
                <w:szCs w:val="22"/>
                <w:highlight w:val="yellow"/>
              </w:rPr>
            </w:rPrChange>
          </w:rPr>
          <w:t xml:space="preserve">Questo medicinale contiene 0,8 mg di polisorbato 80 per ogni dose </w:t>
        </w:r>
      </w:ins>
      <w:ins w:id="20021" w:author="AbbVie14" w:date="2025-05-09T11:37:00Z">
        <w:r w:rsidR="00BE2419">
          <w:rPr>
            <w:color w:val="000000"/>
            <w:sz w:val="22"/>
            <w:szCs w:val="22"/>
          </w:rPr>
          <w:t>d</w:t>
        </w:r>
      </w:ins>
      <w:ins w:id="20022" w:author="AbbVie14" w:date="2025-05-09T11:20:00Z">
        <w:r w:rsidRPr="00BE2419">
          <w:rPr>
            <w:color w:val="000000"/>
            <w:sz w:val="22"/>
            <w:szCs w:val="22"/>
            <w:highlight w:val="none"/>
            <w:rPrChange w:id="20023" w:author="AbbVie14" w:date="2025-05-09T11:36:00Z">
              <w:rPr>
                <w:color w:val="000000"/>
                <w:sz w:val="22"/>
                <w:szCs w:val="22"/>
                <w:highlight w:val="yellow"/>
              </w:rPr>
            </w:rPrChange>
          </w:rPr>
          <w:t>a 80 mg.</w:t>
        </w:r>
      </w:ins>
      <w:ins w:id="20024" w:author="AbbVie14" w:date="2025-05-09T11:20:00Z">
        <w:r w:rsidRPr="00BE2419">
          <w:rPr>
            <w:color w:val="000000"/>
            <w:sz w:val="22"/>
            <w:szCs w:val="22"/>
          </w:rPr>
          <w:t xml:space="preserve"> I</w:t>
        </w:r>
      </w:ins>
      <w:ins w:id="20025" w:author="AbbVie14" w:date="2025-05-09T11:37:00Z">
        <w:r w:rsidR="00BE2419">
          <w:rPr>
            <w:color w:val="000000"/>
            <w:sz w:val="22"/>
            <w:szCs w:val="22"/>
          </w:rPr>
          <w:t xml:space="preserve"> </w:t>
        </w:r>
      </w:ins>
      <w:ins w:id="20026" w:author="AbbVie14" w:date="2025-05-09T11:20:00Z">
        <w:r w:rsidRPr="00BE2419">
          <w:rPr>
            <w:color w:val="000000"/>
            <w:sz w:val="22"/>
            <w:szCs w:val="22"/>
          </w:rPr>
          <w:t>polisorbat</w:t>
        </w:r>
      </w:ins>
      <w:ins w:id="20027" w:author="AbbVie14" w:date="2025-05-09T11:37:00Z">
        <w:r w:rsidR="00BE2419">
          <w:rPr>
            <w:color w:val="000000"/>
            <w:sz w:val="22"/>
            <w:szCs w:val="22"/>
          </w:rPr>
          <w:t>i possono provocare</w:t>
        </w:r>
      </w:ins>
      <w:ins w:id="20028" w:author="AbbVie14" w:date="2025-05-09T11:20:00Z">
        <w:r w:rsidRPr="00BE2419">
          <w:rPr>
            <w:color w:val="000000"/>
            <w:sz w:val="22"/>
            <w:szCs w:val="22"/>
          </w:rPr>
          <w:t xml:space="preserve"> reazioni allergiche. Informi il medico se ha allergie note.</w:t>
        </w:r>
      </w:ins>
    </w:p>
    <w:p w:rsidR="006224C2" w:rsidRPr="00295E71" w14:paraId="0461A9E3" w14:textId="77777777">
      <w:pPr>
        <w:rPr>
          <w:sz w:val="22"/>
          <w:szCs w:val="22"/>
        </w:rPr>
      </w:pPr>
    </w:p>
    <w:p w:rsidR="001108AC" w:rsidRPr="00295E71" w14:paraId="31BF1A05" w14:textId="77777777">
      <w:pPr>
        <w:rPr>
          <w:sz w:val="22"/>
          <w:szCs w:val="22"/>
        </w:rPr>
      </w:pPr>
    </w:p>
    <w:p w:rsidR="006224C2" w:rsidRPr="00295E71" w14:paraId="0B560045" w14:textId="77777777">
      <w:pPr>
        <w:keepNext/>
        <w:rPr>
          <w:b/>
          <w:bCs/>
          <w:sz w:val="22"/>
          <w:szCs w:val="22"/>
        </w:rPr>
      </w:pPr>
      <w:r w:rsidRPr="00295E71">
        <w:rPr>
          <w:b/>
          <w:bCs/>
          <w:sz w:val="22"/>
          <w:szCs w:val="22"/>
        </w:rPr>
        <w:t>3.</w:t>
      </w:r>
      <w:r w:rsidRPr="00295E71">
        <w:rPr>
          <w:b/>
          <w:bCs/>
          <w:sz w:val="22"/>
          <w:szCs w:val="22"/>
        </w:rPr>
        <w:tab/>
        <w:t>Come usare Humira</w:t>
      </w:r>
    </w:p>
    <w:p w:rsidR="006224C2" w:rsidRPr="00295E71" w14:paraId="7D55115B" w14:textId="77777777">
      <w:pPr>
        <w:keepNext/>
        <w:numPr>
          <w:ilvl w:val="12"/>
          <w:numId w:val="0"/>
        </w:numPr>
        <w:tabs>
          <w:tab w:val="left" w:pos="567"/>
        </w:tabs>
        <w:ind w:right="-2"/>
        <w:jc w:val="both"/>
        <w:rPr>
          <w:sz w:val="22"/>
          <w:szCs w:val="22"/>
        </w:rPr>
      </w:pPr>
    </w:p>
    <w:p w:rsidR="006224C2" w:rsidRPr="00295E71" w14:paraId="4387DC66" w14:textId="77777777">
      <w:pPr>
        <w:keepNext/>
        <w:numPr>
          <w:ilvl w:val="12"/>
          <w:numId w:val="0"/>
        </w:numPr>
        <w:tabs>
          <w:tab w:val="left" w:pos="567"/>
        </w:tabs>
        <w:ind w:right="-2"/>
        <w:jc w:val="both"/>
        <w:rPr>
          <w:sz w:val="22"/>
          <w:szCs w:val="22"/>
        </w:rPr>
      </w:pPr>
      <w:r w:rsidRPr="00295E71">
        <w:rPr>
          <w:sz w:val="22"/>
          <w:szCs w:val="22"/>
        </w:rPr>
        <w:t>Usi questo medicinale seguendo sempre esattamente le istruzioni del medico o del farmacista. Se ha dubbi, consulti il medico o il farmacista.</w:t>
      </w:r>
    </w:p>
    <w:p w:rsidR="006224C2" w:rsidRPr="00295E71" w14:paraId="4E1F1723" w14:textId="77777777">
      <w:pPr>
        <w:numPr>
          <w:ilvl w:val="12"/>
          <w:numId w:val="0"/>
        </w:numPr>
        <w:tabs>
          <w:tab w:val="left" w:pos="567"/>
        </w:tabs>
        <w:ind w:right="-2"/>
        <w:jc w:val="both"/>
        <w:rPr>
          <w:sz w:val="22"/>
          <w:szCs w:val="22"/>
        </w:rPr>
      </w:pPr>
    </w:p>
    <w:p w:rsidR="006224C2" w:rsidRPr="00295E71" w14:paraId="19C76AA4" w14:textId="77777777">
      <w:pPr>
        <w:pStyle w:val="BodyText2"/>
        <w:jc w:val="both"/>
      </w:pPr>
      <w:r w:rsidRPr="00295E71">
        <w:t>Le dosi raccomandate di Humira per ciascuno degli usi approvati sono mostrate nella tabella sottostante.</w:t>
      </w:r>
      <w:r w:rsidR="009829F7">
        <w:t xml:space="preserve"> </w:t>
      </w:r>
      <w:r w:rsidRPr="00295E71">
        <w:t>Il medico potrebbe prescrivere un altro dosaggio di Humira in caso ne avesse bisogno.</w:t>
      </w:r>
    </w:p>
    <w:p w:rsidR="006224C2" w:rsidRPr="00295E71" w14:paraId="1252CFA7" w14:textId="77777777">
      <w:pPr>
        <w:numPr>
          <w:ilvl w:val="12"/>
          <w:numId w:val="0"/>
        </w:numPr>
        <w:tabs>
          <w:tab w:val="left" w:pos="567"/>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0"/>
        <w:gridCol w:w="3021"/>
        <w:gridCol w:w="3029"/>
      </w:tblGrid>
      <w:tr w14:paraId="06EA2540" w14:textId="77777777" w:rsidTr="00E249A1">
        <w:tblPrEx>
          <w:tblW w:w="0" w:type="auto"/>
          <w:tblLook w:val="04A0"/>
        </w:tblPrEx>
        <w:tc>
          <w:tcPr>
            <w:tcW w:w="9286" w:type="dxa"/>
            <w:gridSpan w:val="3"/>
          </w:tcPr>
          <w:p w:rsidR="00C47347" w:rsidRPr="00295E71" w:rsidP="00C47347" w14:paraId="0DF4E461" w14:textId="77777777">
            <w:pPr>
              <w:keepNext/>
              <w:numPr>
                <w:ilvl w:val="12"/>
                <w:numId w:val="0"/>
              </w:numPr>
              <w:ind w:right="-2"/>
              <w:rPr>
                <w:b/>
                <w:sz w:val="22"/>
                <w:szCs w:val="22"/>
              </w:rPr>
            </w:pPr>
            <w:r w:rsidRPr="00295E71">
              <w:rPr>
                <w:b/>
                <w:sz w:val="22"/>
                <w:szCs w:val="22"/>
              </w:rPr>
              <w:t>Artrite reumatoide</w:t>
            </w:r>
          </w:p>
        </w:tc>
      </w:tr>
      <w:tr w14:paraId="79296EC9" w14:textId="77777777" w:rsidTr="00E249A1">
        <w:tblPrEx>
          <w:tblW w:w="0" w:type="auto"/>
          <w:tblLook w:val="04A0"/>
        </w:tblPrEx>
        <w:tc>
          <w:tcPr>
            <w:tcW w:w="3094" w:type="dxa"/>
          </w:tcPr>
          <w:p w:rsidR="00C47347" w:rsidRPr="00295E71" w:rsidP="00E249A1" w14:paraId="5FA3AAB7" w14:textId="77777777">
            <w:pPr>
              <w:keepNext/>
              <w:numPr>
                <w:ilvl w:val="12"/>
                <w:numId w:val="0"/>
              </w:numPr>
              <w:ind w:right="-2"/>
              <w:rPr>
                <w:sz w:val="22"/>
                <w:szCs w:val="22"/>
              </w:rPr>
            </w:pPr>
          </w:p>
          <w:p w:rsidR="00C47347" w:rsidRPr="00295E71" w:rsidP="00E249A1" w14:paraId="24D91D9A" w14:textId="77777777">
            <w:pPr>
              <w:keepNext/>
              <w:numPr>
                <w:ilvl w:val="12"/>
                <w:numId w:val="0"/>
              </w:numPr>
              <w:ind w:right="-2"/>
              <w:rPr>
                <w:sz w:val="22"/>
                <w:szCs w:val="22"/>
              </w:rPr>
            </w:pPr>
            <w:r w:rsidRPr="00295E71">
              <w:rPr>
                <w:b/>
                <w:sz w:val="22"/>
                <w:szCs w:val="22"/>
              </w:rPr>
              <w:t>Età o peso corporeo</w:t>
            </w:r>
          </w:p>
        </w:tc>
        <w:tc>
          <w:tcPr>
            <w:tcW w:w="3096" w:type="dxa"/>
          </w:tcPr>
          <w:p w:rsidR="00C47347" w:rsidRPr="00295E71" w:rsidP="00E249A1" w14:paraId="38515EBC" w14:textId="77777777">
            <w:pPr>
              <w:keepNext/>
              <w:numPr>
                <w:ilvl w:val="12"/>
                <w:numId w:val="0"/>
              </w:numPr>
              <w:ind w:right="-2"/>
              <w:rPr>
                <w:sz w:val="22"/>
                <w:szCs w:val="22"/>
              </w:rPr>
            </w:pPr>
            <w:r w:rsidRPr="00295E71">
              <w:rPr>
                <w:b/>
                <w:sz w:val="22"/>
                <w:szCs w:val="22"/>
              </w:rPr>
              <w:t>Che quantità ne va assunta e con che frequenza?</w:t>
            </w:r>
          </w:p>
        </w:tc>
        <w:tc>
          <w:tcPr>
            <w:tcW w:w="3096" w:type="dxa"/>
          </w:tcPr>
          <w:p w:rsidR="00C47347" w:rsidRPr="00295E71" w:rsidP="00E249A1" w14:paraId="24AC1835" w14:textId="77777777">
            <w:pPr>
              <w:keepNext/>
              <w:numPr>
                <w:ilvl w:val="12"/>
                <w:numId w:val="0"/>
              </w:numPr>
              <w:ind w:right="-2"/>
              <w:rPr>
                <w:sz w:val="22"/>
                <w:szCs w:val="22"/>
              </w:rPr>
            </w:pPr>
            <w:r w:rsidRPr="00295E71">
              <w:rPr>
                <w:b/>
                <w:sz w:val="22"/>
                <w:szCs w:val="22"/>
              </w:rPr>
              <w:t>Note</w:t>
            </w:r>
          </w:p>
        </w:tc>
      </w:tr>
      <w:tr w14:paraId="3285C31A" w14:textId="77777777" w:rsidTr="00E249A1">
        <w:tblPrEx>
          <w:tblW w:w="0" w:type="auto"/>
          <w:tblLook w:val="04A0"/>
        </w:tblPrEx>
        <w:tc>
          <w:tcPr>
            <w:tcW w:w="3094" w:type="dxa"/>
          </w:tcPr>
          <w:p w:rsidR="00C47347" w:rsidRPr="00295E71" w:rsidP="00E249A1" w14:paraId="458C0470" w14:textId="77777777">
            <w:pPr>
              <w:keepNext/>
              <w:numPr>
                <w:ilvl w:val="12"/>
                <w:numId w:val="0"/>
              </w:numPr>
              <w:ind w:right="-2"/>
              <w:rPr>
                <w:sz w:val="22"/>
                <w:szCs w:val="22"/>
              </w:rPr>
            </w:pPr>
            <w:r w:rsidRPr="00295E71">
              <w:rPr>
                <w:sz w:val="22"/>
                <w:szCs w:val="22"/>
              </w:rPr>
              <w:t>Adulti</w:t>
            </w:r>
          </w:p>
        </w:tc>
        <w:tc>
          <w:tcPr>
            <w:tcW w:w="3096" w:type="dxa"/>
          </w:tcPr>
          <w:p w:rsidR="00C47347" w:rsidRPr="00295E71" w:rsidP="00E249A1" w14:paraId="27931A6D" w14:textId="77777777">
            <w:pPr>
              <w:keepNext/>
              <w:numPr>
                <w:ilvl w:val="12"/>
                <w:numId w:val="0"/>
              </w:numPr>
              <w:ind w:right="-2"/>
              <w:rPr>
                <w:sz w:val="22"/>
                <w:szCs w:val="22"/>
              </w:rPr>
            </w:pPr>
            <w:r w:rsidRPr="00295E71">
              <w:rPr>
                <w:sz w:val="22"/>
                <w:szCs w:val="22"/>
              </w:rPr>
              <w:t>40 mg a settimane alterne</w:t>
            </w:r>
          </w:p>
        </w:tc>
        <w:tc>
          <w:tcPr>
            <w:tcW w:w="3096" w:type="dxa"/>
          </w:tcPr>
          <w:p w:rsidR="00C47347" w:rsidRPr="00295E71" w:rsidP="00E249A1" w14:paraId="516983FD" w14:textId="77777777">
            <w:pPr>
              <w:keepNext/>
              <w:numPr>
                <w:ilvl w:val="12"/>
                <w:numId w:val="0"/>
              </w:numPr>
              <w:tabs>
                <w:tab w:val="left" w:pos="567"/>
              </w:tabs>
              <w:ind w:right="-2"/>
              <w:rPr>
                <w:sz w:val="22"/>
                <w:szCs w:val="22"/>
              </w:rPr>
            </w:pPr>
            <w:r w:rsidRPr="00295E71">
              <w:rPr>
                <w:sz w:val="22"/>
                <w:szCs w:val="22"/>
              </w:rPr>
              <w:t>Nell’artrite reumatoide si continua ad assumere il metotressato durante il trattamento con Humira. Se il medico decide che il metotressato non è appropriato, Humira può essere somministrato da solo.</w:t>
            </w:r>
          </w:p>
          <w:p w:rsidR="00C47347" w:rsidRPr="00295E71" w:rsidP="00E249A1" w14:paraId="57F96A2F" w14:textId="77777777">
            <w:pPr>
              <w:keepNext/>
              <w:numPr>
                <w:ilvl w:val="12"/>
                <w:numId w:val="0"/>
              </w:numPr>
              <w:ind w:right="-2"/>
              <w:rPr>
                <w:sz w:val="22"/>
                <w:szCs w:val="22"/>
              </w:rPr>
            </w:pPr>
          </w:p>
          <w:p w:rsidR="00C47347" w:rsidRPr="00295E71" w:rsidP="00E249A1" w14:paraId="166B6EC9" w14:textId="77777777">
            <w:pPr>
              <w:keepNext/>
              <w:numPr>
                <w:ilvl w:val="12"/>
                <w:numId w:val="0"/>
              </w:numPr>
              <w:ind w:right="-2"/>
              <w:rPr>
                <w:sz w:val="22"/>
                <w:szCs w:val="22"/>
              </w:rPr>
            </w:pPr>
            <w:r w:rsidRPr="00295E71">
              <w:rPr>
                <w:sz w:val="22"/>
                <w:szCs w:val="22"/>
              </w:rPr>
              <w:t>Se è affetto da artrite reumatoide e non assume metotressato in associazione ad Humira, il medico può decidere di prescriverle 40 mg di Humira ogni settimana o 80 mg a settimane alterne.</w:t>
            </w:r>
          </w:p>
        </w:tc>
      </w:tr>
    </w:tbl>
    <w:p w:rsidR="00C47347" w:rsidRPr="00295E71" w14:paraId="509A8B1F" w14:textId="77777777">
      <w:pPr>
        <w:numPr>
          <w:ilvl w:val="12"/>
          <w:numId w:val="0"/>
        </w:numPr>
        <w:tabs>
          <w:tab w:val="left" w:pos="567"/>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1"/>
        <w:gridCol w:w="3025"/>
        <w:gridCol w:w="3024"/>
      </w:tblGrid>
      <w:tr w14:paraId="1EA3CF7C" w14:textId="77777777">
        <w:tblPrEx>
          <w:tblW w:w="0" w:type="auto"/>
          <w:tblLook w:val="04A0"/>
        </w:tblPrEx>
        <w:tc>
          <w:tcPr>
            <w:tcW w:w="9287" w:type="dxa"/>
            <w:gridSpan w:val="3"/>
            <w:tcBorders>
              <w:top w:val="single" w:sz="4" w:space="0" w:color="auto"/>
              <w:left w:val="single" w:sz="4" w:space="0" w:color="auto"/>
              <w:bottom w:val="single" w:sz="4" w:space="0" w:color="auto"/>
              <w:right w:val="single" w:sz="4" w:space="0" w:color="auto"/>
            </w:tcBorders>
            <w:hideMark/>
          </w:tcPr>
          <w:p w:rsidR="006224C2" w:rsidRPr="00295E71" w14:paraId="53D7F376" w14:textId="77777777">
            <w:pPr>
              <w:numPr>
                <w:ilvl w:val="12"/>
                <w:numId w:val="0"/>
              </w:numPr>
              <w:tabs>
                <w:tab w:val="left" w:pos="567"/>
                <w:tab w:val="left" w:pos="708"/>
              </w:tabs>
              <w:ind w:right="-2"/>
              <w:rPr>
                <w:sz w:val="22"/>
                <w:szCs w:val="22"/>
              </w:rPr>
            </w:pPr>
            <w:r w:rsidRPr="00295E71">
              <w:rPr>
                <w:b/>
                <w:sz w:val="22"/>
                <w:szCs w:val="22"/>
              </w:rPr>
              <w:t>Psoriasi a placche</w:t>
            </w:r>
          </w:p>
        </w:tc>
      </w:tr>
      <w:tr w14:paraId="41E02E5C"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6224C2" w:rsidRPr="00295E71" w14:paraId="0D5B84D1" w14:textId="77777777">
            <w:pPr>
              <w:numPr>
                <w:ilvl w:val="12"/>
                <w:numId w:val="0"/>
              </w:numPr>
              <w:tabs>
                <w:tab w:val="left" w:pos="567"/>
                <w:tab w:val="left" w:pos="708"/>
              </w:tabs>
              <w:ind w:right="-2"/>
              <w:rPr>
                <w:sz w:val="22"/>
                <w:szCs w:val="22"/>
              </w:rPr>
            </w:pPr>
            <w:r w:rsidRPr="00295E71">
              <w:rPr>
                <w:b/>
                <w:sz w:val="22"/>
                <w:szCs w:val="22"/>
              </w:rPr>
              <w:t>Età o peso corporeo</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0B030552" w14:textId="77777777">
            <w:pPr>
              <w:numPr>
                <w:ilvl w:val="12"/>
                <w:numId w:val="0"/>
              </w:numPr>
              <w:tabs>
                <w:tab w:val="left" w:pos="567"/>
                <w:tab w:val="left" w:pos="708"/>
              </w:tabs>
              <w:ind w:right="-2"/>
              <w:rPr>
                <w:sz w:val="22"/>
                <w:szCs w:val="22"/>
              </w:rPr>
            </w:pPr>
            <w:r w:rsidRPr="00295E71">
              <w:rPr>
                <w:b/>
                <w:sz w:val="22"/>
                <w:szCs w:val="22"/>
              </w:rPr>
              <w:t>Che quantità ne va assunta e con che frequenza?</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0DEFC188" w14:textId="77777777">
            <w:pPr>
              <w:numPr>
                <w:ilvl w:val="12"/>
                <w:numId w:val="0"/>
              </w:numPr>
              <w:tabs>
                <w:tab w:val="left" w:pos="567"/>
                <w:tab w:val="left" w:pos="708"/>
              </w:tabs>
              <w:ind w:right="-2"/>
              <w:rPr>
                <w:sz w:val="22"/>
                <w:szCs w:val="22"/>
              </w:rPr>
            </w:pPr>
            <w:r w:rsidRPr="00295E71">
              <w:rPr>
                <w:b/>
                <w:sz w:val="22"/>
                <w:szCs w:val="22"/>
              </w:rPr>
              <w:t>Note</w:t>
            </w:r>
          </w:p>
        </w:tc>
      </w:tr>
      <w:tr w14:paraId="7D64B27F"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6224C2" w:rsidRPr="00295E71" w14:paraId="505F62DA" w14:textId="77777777">
            <w:pPr>
              <w:numPr>
                <w:ilvl w:val="12"/>
                <w:numId w:val="0"/>
              </w:numPr>
              <w:tabs>
                <w:tab w:val="left" w:pos="567"/>
                <w:tab w:val="left" w:pos="708"/>
              </w:tabs>
              <w:ind w:right="-2"/>
              <w:rPr>
                <w:sz w:val="22"/>
                <w:szCs w:val="22"/>
              </w:rPr>
            </w:pPr>
            <w:r w:rsidRPr="00295E71">
              <w:rPr>
                <w:sz w:val="22"/>
                <w:szCs w:val="22"/>
              </w:rPr>
              <w:t>Adulti</w:t>
            </w:r>
          </w:p>
          <w:p w:rsidR="006224C2" w:rsidRPr="00295E71" w14:paraId="76602074" w14:textId="77777777">
            <w:pPr>
              <w:numPr>
                <w:ilvl w:val="12"/>
                <w:numId w:val="0"/>
              </w:numPr>
              <w:tabs>
                <w:tab w:val="left" w:pos="708"/>
              </w:tabs>
              <w:ind w:right="-2"/>
              <w:rPr>
                <w:sz w:val="22"/>
                <w:szCs w:val="22"/>
              </w:rPr>
            </w:pP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60CA0B7C" w14:textId="77777777">
            <w:pPr>
              <w:numPr>
                <w:ilvl w:val="12"/>
                <w:numId w:val="0"/>
              </w:numPr>
              <w:tabs>
                <w:tab w:val="left" w:pos="708"/>
              </w:tabs>
              <w:rPr>
                <w:sz w:val="22"/>
                <w:szCs w:val="22"/>
              </w:rPr>
            </w:pPr>
            <w:r w:rsidRPr="00295E71">
              <w:rPr>
                <w:sz w:val="22"/>
                <w:szCs w:val="22"/>
              </w:rPr>
              <w:t>La prima dose da 80 mg (un’iniezione da 80 mg), seguita da 40 mg a settimane alterne, a partire da una settimana dopo l’assunzione della prima dose.</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rsidP="00C47347" w14:paraId="42276BF0" w14:textId="77777777">
            <w:pPr>
              <w:rPr>
                <w:sz w:val="22"/>
                <w:szCs w:val="22"/>
              </w:rPr>
            </w:pPr>
            <w:r w:rsidRPr="00295E71">
              <w:rPr>
                <w:sz w:val="22"/>
                <w:szCs w:val="22"/>
              </w:rPr>
              <w:t xml:space="preserve">Se ha una risposta insufficiente, il medico può aumentare </w:t>
            </w:r>
            <w:r w:rsidRPr="00295E71" w:rsidR="00C47347">
              <w:rPr>
                <w:sz w:val="22"/>
                <w:szCs w:val="22"/>
              </w:rPr>
              <w:t>il</w:t>
            </w:r>
            <w:r w:rsidRPr="00295E71">
              <w:rPr>
                <w:sz w:val="22"/>
                <w:szCs w:val="22"/>
              </w:rPr>
              <w:t xml:space="preserve"> dos</w:t>
            </w:r>
            <w:r w:rsidRPr="00295E71" w:rsidR="00C47347">
              <w:rPr>
                <w:sz w:val="22"/>
                <w:szCs w:val="22"/>
              </w:rPr>
              <w:t>aggio</w:t>
            </w:r>
            <w:r w:rsidRPr="00295E71">
              <w:rPr>
                <w:sz w:val="22"/>
                <w:szCs w:val="22"/>
              </w:rPr>
              <w:t xml:space="preserve"> fino a 40 mg ogni settimana</w:t>
            </w:r>
            <w:r w:rsidRPr="00295E71" w:rsidR="00C47347">
              <w:rPr>
                <w:sz w:val="22"/>
                <w:szCs w:val="22"/>
              </w:rPr>
              <w:t xml:space="preserve"> o 80 mg a settimane alterne</w:t>
            </w:r>
            <w:r w:rsidRPr="00295E71">
              <w:rPr>
                <w:sz w:val="22"/>
                <w:szCs w:val="22"/>
              </w:rPr>
              <w:t>.</w:t>
            </w:r>
          </w:p>
        </w:tc>
      </w:tr>
    </w:tbl>
    <w:p w:rsidR="006224C2" w:rsidRPr="00295E71" w14:paraId="1B20A9F3" w14:textId="77777777">
      <w:pPr>
        <w:numPr>
          <w:ilvl w:val="12"/>
          <w:numId w:val="0"/>
        </w:numPr>
        <w:tabs>
          <w:tab w:val="left" w:pos="708"/>
        </w:tabs>
        <w:ind w:right="-2"/>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5"/>
        <w:gridCol w:w="3023"/>
        <w:gridCol w:w="3022"/>
      </w:tblGrid>
      <w:tr w14:paraId="49485A4C" w14:textId="77777777">
        <w:tblPrEx>
          <w:tblW w:w="0" w:type="auto"/>
          <w:tblLook w:val="04A0"/>
        </w:tblPrEx>
        <w:tc>
          <w:tcPr>
            <w:tcW w:w="9286" w:type="dxa"/>
            <w:gridSpan w:val="3"/>
            <w:tcBorders>
              <w:top w:val="single" w:sz="4" w:space="0" w:color="auto"/>
              <w:left w:val="single" w:sz="4" w:space="0" w:color="auto"/>
              <w:bottom w:val="single" w:sz="4" w:space="0" w:color="auto"/>
              <w:right w:val="single" w:sz="4" w:space="0" w:color="auto"/>
            </w:tcBorders>
            <w:hideMark/>
          </w:tcPr>
          <w:p w:rsidR="006224C2" w:rsidRPr="00295E71" w:rsidP="001108AC" w14:paraId="4F2493D6" w14:textId="77777777">
            <w:pPr>
              <w:keepNext/>
              <w:numPr>
                <w:ilvl w:val="12"/>
                <w:numId w:val="0"/>
              </w:numPr>
              <w:tabs>
                <w:tab w:val="left" w:pos="708"/>
              </w:tabs>
              <w:ind w:right="-2"/>
              <w:rPr>
                <w:b/>
                <w:sz w:val="22"/>
                <w:szCs w:val="22"/>
              </w:rPr>
            </w:pPr>
            <w:r w:rsidRPr="00295E71">
              <w:rPr>
                <w:sz w:val="22"/>
                <w:szCs w:val="22"/>
                <w:lang w:eastAsia="en-US"/>
              </w:rPr>
              <w:br w:type="page"/>
            </w:r>
            <w:r w:rsidRPr="00295E71">
              <w:rPr>
                <w:b/>
                <w:sz w:val="22"/>
                <w:szCs w:val="22"/>
              </w:rPr>
              <w:t>Idr</w:t>
            </w:r>
            <w:r w:rsidRPr="00295E71" w:rsidR="00A54AF2">
              <w:rPr>
                <w:b/>
                <w:sz w:val="22"/>
                <w:szCs w:val="22"/>
              </w:rPr>
              <w:t>os</w:t>
            </w:r>
            <w:r w:rsidRPr="00295E71">
              <w:rPr>
                <w:b/>
                <w:sz w:val="22"/>
                <w:szCs w:val="22"/>
              </w:rPr>
              <w:t>adenite suppurativa</w:t>
            </w:r>
          </w:p>
        </w:tc>
      </w:tr>
      <w:tr w14:paraId="4D705459"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77BD027A" w14:textId="77777777">
            <w:pPr>
              <w:numPr>
                <w:ilvl w:val="12"/>
                <w:numId w:val="0"/>
              </w:numPr>
              <w:tabs>
                <w:tab w:val="left" w:pos="708"/>
              </w:tabs>
              <w:ind w:right="-2"/>
              <w:rPr>
                <w:sz w:val="22"/>
                <w:szCs w:val="22"/>
              </w:rPr>
            </w:pPr>
            <w:r w:rsidRPr="00295E71">
              <w:rPr>
                <w:b/>
                <w:sz w:val="22"/>
                <w:szCs w:val="22"/>
              </w:rPr>
              <w:t>Età o peso corporeo</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2914FF9A" w14:textId="77777777">
            <w:pPr>
              <w:numPr>
                <w:ilvl w:val="12"/>
                <w:numId w:val="0"/>
              </w:numPr>
              <w:tabs>
                <w:tab w:val="left" w:pos="708"/>
              </w:tabs>
              <w:ind w:right="-2"/>
              <w:rPr>
                <w:sz w:val="22"/>
                <w:szCs w:val="22"/>
              </w:rPr>
            </w:pPr>
            <w:r w:rsidRPr="00295E71">
              <w:rPr>
                <w:b/>
                <w:sz w:val="22"/>
                <w:szCs w:val="22"/>
              </w:rPr>
              <w:t>Che quantità ne va assunta e con che frequenza?</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rsidP="001108AC" w14:paraId="259E8566" w14:textId="77777777">
            <w:pPr>
              <w:keepNext/>
              <w:numPr>
                <w:ilvl w:val="12"/>
                <w:numId w:val="0"/>
              </w:numPr>
              <w:tabs>
                <w:tab w:val="left" w:pos="708"/>
              </w:tabs>
              <w:ind w:right="-2"/>
              <w:rPr>
                <w:sz w:val="22"/>
                <w:szCs w:val="22"/>
              </w:rPr>
            </w:pPr>
            <w:r w:rsidRPr="00295E71">
              <w:rPr>
                <w:b/>
                <w:sz w:val="22"/>
                <w:szCs w:val="22"/>
              </w:rPr>
              <w:t>Note</w:t>
            </w:r>
          </w:p>
        </w:tc>
      </w:tr>
      <w:tr w14:paraId="7E0D6465"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6960C04F" w14:textId="77777777">
            <w:pPr>
              <w:numPr>
                <w:ilvl w:val="12"/>
                <w:numId w:val="0"/>
              </w:numPr>
              <w:tabs>
                <w:tab w:val="left" w:pos="708"/>
              </w:tabs>
              <w:ind w:right="-2"/>
              <w:rPr>
                <w:sz w:val="22"/>
                <w:szCs w:val="22"/>
              </w:rPr>
            </w:pPr>
            <w:r w:rsidRPr="00295E71">
              <w:rPr>
                <w:sz w:val="22"/>
                <w:szCs w:val="22"/>
              </w:rPr>
              <w:t>Adulti</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3FBE78B5" w14:textId="77777777">
            <w:pPr>
              <w:numPr>
                <w:ilvl w:val="12"/>
                <w:numId w:val="0"/>
              </w:numPr>
              <w:tabs>
                <w:tab w:val="left" w:pos="708"/>
              </w:tabs>
              <w:ind w:right="-2"/>
              <w:rPr>
                <w:sz w:val="22"/>
                <w:szCs w:val="22"/>
              </w:rPr>
            </w:pPr>
            <w:r w:rsidRPr="00295E71">
              <w:rPr>
                <w:sz w:val="22"/>
                <w:szCs w:val="22"/>
              </w:rPr>
              <w:t>La prima dose da 160 mg (due iniezioni da 80 mg in un giorno o un’iniezione da 80 mg al giorno per due giorni consecutivi), seguita da una dose da 80 mg (un’iniezione da 80 mg) due settimane dopo. Dopo altre due settimane, continui con una dose di 40 mg ogni settimana</w:t>
            </w:r>
            <w:r w:rsidRPr="00295E71" w:rsidR="00C47347">
              <w:rPr>
                <w:sz w:val="22"/>
                <w:szCs w:val="22"/>
              </w:rPr>
              <w:t xml:space="preserve"> o 80 mg a </w:t>
            </w:r>
            <w:r w:rsidRPr="00295E71" w:rsidR="00C47347">
              <w:rPr>
                <w:sz w:val="22"/>
                <w:szCs w:val="22"/>
              </w:rPr>
              <w:t>settimane alterne, come prescritto dal medico</w:t>
            </w:r>
            <w:r w:rsidRPr="00295E71">
              <w:rPr>
                <w:sz w:val="22"/>
                <w:szCs w:val="22"/>
              </w:rPr>
              <w:t>.</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092981B6" w14:textId="77777777">
            <w:pPr>
              <w:pStyle w:val="gtcbodytext"/>
              <w:spacing w:before="0" w:after="0" w:line="240" w:lineRule="auto"/>
              <w:rPr>
                <w:sz w:val="22"/>
                <w:szCs w:val="22"/>
                <w:lang w:val="it-IT"/>
              </w:rPr>
            </w:pPr>
            <w:r w:rsidRPr="00295E71">
              <w:rPr>
                <w:sz w:val="22"/>
                <w:szCs w:val="22"/>
                <w:lang w:val="it-IT"/>
              </w:rPr>
              <w:t>Si consiglia di effettuare giornalmente un lavaggio antisettico sulle aree interessate.</w:t>
            </w:r>
          </w:p>
          <w:p w:rsidR="006224C2" w:rsidRPr="00295E71" w14:paraId="1861E14F" w14:textId="77777777">
            <w:pPr>
              <w:numPr>
                <w:ilvl w:val="12"/>
                <w:numId w:val="0"/>
              </w:numPr>
              <w:tabs>
                <w:tab w:val="left" w:pos="708"/>
              </w:tabs>
              <w:ind w:right="-2"/>
              <w:rPr>
                <w:sz w:val="22"/>
                <w:szCs w:val="22"/>
              </w:rPr>
            </w:pPr>
          </w:p>
        </w:tc>
      </w:tr>
      <w:tr w14:paraId="1CF427C0"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rsidP="000D3BA4" w14:paraId="62D16895" w14:textId="77777777">
            <w:pPr>
              <w:keepNext/>
              <w:numPr>
                <w:ilvl w:val="12"/>
                <w:numId w:val="0"/>
              </w:numPr>
              <w:tabs>
                <w:tab w:val="left" w:pos="708"/>
              </w:tabs>
              <w:ind w:right="-2"/>
              <w:rPr>
                <w:sz w:val="22"/>
                <w:szCs w:val="22"/>
              </w:rPr>
            </w:pPr>
            <w:r w:rsidRPr="00295E71">
              <w:rPr>
                <w:sz w:val="22"/>
                <w:szCs w:val="22"/>
              </w:rPr>
              <w:t xml:space="preserve">Adolescenti </w:t>
            </w:r>
            <w:r w:rsidRPr="00295E71" w:rsidR="000D3BA4">
              <w:rPr>
                <w:sz w:val="22"/>
                <w:szCs w:val="22"/>
              </w:rPr>
              <w:t>di età compresa tra</w:t>
            </w:r>
            <w:r w:rsidRPr="00295E71">
              <w:rPr>
                <w:sz w:val="22"/>
                <w:szCs w:val="22"/>
              </w:rPr>
              <w:t xml:space="preserve"> 12 </w:t>
            </w:r>
            <w:r w:rsidRPr="00295E71" w:rsidR="000D3BA4">
              <w:rPr>
                <w:sz w:val="22"/>
                <w:szCs w:val="22"/>
              </w:rPr>
              <w:t xml:space="preserve">e 17 </w:t>
            </w:r>
            <w:r w:rsidRPr="00295E71">
              <w:rPr>
                <w:sz w:val="22"/>
                <w:szCs w:val="22"/>
              </w:rPr>
              <w:t xml:space="preserve">anni </w:t>
            </w:r>
            <w:r w:rsidRPr="00295E71" w:rsidR="000D3BA4">
              <w:rPr>
                <w:sz w:val="22"/>
                <w:szCs w:val="22"/>
              </w:rPr>
              <w:t>con peso uguale o superiore a</w:t>
            </w:r>
            <w:r w:rsidRPr="00295E71">
              <w:rPr>
                <w:sz w:val="22"/>
                <w:szCs w:val="22"/>
              </w:rPr>
              <w:t xml:space="preserve"> 30 kg</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16A5F991" w14:textId="77777777">
            <w:pPr>
              <w:keepNext/>
              <w:numPr>
                <w:ilvl w:val="12"/>
                <w:numId w:val="0"/>
              </w:numPr>
              <w:tabs>
                <w:tab w:val="left" w:pos="708"/>
              </w:tabs>
              <w:ind w:right="-2"/>
              <w:rPr>
                <w:sz w:val="22"/>
                <w:szCs w:val="22"/>
              </w:rPr>
            </w:pPr>
            <w:r w:rsidRPr="00295E71">
              <w:rPr>
                <w:sz w:val="22"/>
                <w:szCs w:val="22"/>
              </w:rPr>
              <w:t>La prima dose da 80 mg (una iniezione da 80 mg), seguita da 40 mg a settimane alterne a partire da una settimana dopo.</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7863F68E" w14:textId="77777777">
            <w:pPr>
              <w:pStyle w:val="gtcbodytext"/>
              <w:keepNext/>
              <w:spacing w:before="0" w:after="0" w:line="240" w:lineRule="auto"/>
              <w:rPr>
                <w:sz w:val="22"/>
                <w:szCs w:val="22"/>
                <w:lang w:val="it-IT"/>
              </w:rPr>
            </w:pPr>
            <w:r w:rsidRPr="00295E71">
              <w:rPr>
                <w:sz w:val="22"/>
                <w:szCs w:val="22"/>
                <w:lang w:val="it-IT"/>
              </w:rPr>
              <w:t>Se ha una risposta insufficiente</w:t>
            </w:r>
            <w:r w:rsidRPr="00295E71" w:rsidR="00C47347">
              <w:rPr>
                <w:sz w:val="22"/>
                <w:szCs w:val="22"/>
                <w:lang w:val="it-IT"/>
              </w:rPr>
              <w:t xml:space="preserve"> a 40 mg di Humira a settimane alterne</w:t>
            </w:r>
            <w:r w:rsidRPr="00295E71">
              <w:rPr>
                <w:sz w:val="22"/>
                <w:szCs w:val="22"/>
                <w:lang w:val="it-IT"/>
              </w:rPr>
              <w:t xml:space="preserve">, il medico può aumentare </w:t>
            </w:r>
            <w:r w:rsidRPr="00295E71" w:rsidR="00C47347">
              <w:rPr>
                <w:sz w:val="22"/>
                <w:szCs w:val="22"/>
                <w:lang w:val="it-IT"/>
              </w:rPr>
              <w:t>il</w:t>
            </w:r>
            <w:r w:rsidRPr="00295E71">
              <w:rPr>
                <w:sz w:val="22"/>
                <w:szCs w:val="22"/>
                <w:lang w:val="it-IT"/>
              </w:rPr>
              <w:t xml:space="preserve"> dos</w:t>
            </w:r>
            <w:r w:rsidRPr="00295E71" w:rsidR="00C47347">
              <w:rPr>
                <w:sz w:val="22"/>
                <w:szCs w:val="22"/>
                <w:lang w:val="it-IT"/>
              </w:rPr>
              <w:t>aggio</w:t>
            </w:r>
            <w:r w:rsidRPr="00295E71">
              <w:rPr>
                <w:sz w:val="22"/>
                <w:szCs w:val="22"/>
                <w:lang w:val="it-IT"/>
              </w:rPr>
              <w:t xml:space="preserve"> fino a 40 mg ogni settimana</w:t>
            </w:r>
            <w:r w:rsidRPr="00295E71" w:rsidR="00C47347">
              <w:rPr>
                <w:sz w:val="22"/>
                <w:szCs w:val="22"/>
                <w:lang w:val="it-IT"/>
              </w:rPr>
              <w:t xml:space="preserve"> o 80 mg a settimane alterne</w:t>
            </w:r>
            <w:r w:rsidRPr="00295E71">
              <w:rPr>
                <w:sz w:val="22"/>
                <w:szCs w:val="22"/>
                <w:lang w:val="it-IT"/>
              </w:rPr>
              <w:t xml:space="preserve">. </w:t>
            </w:r>
          </w:p>
          <w:p w:rsidR="006224C2" w:rsidRPr="00295E71" w14:paraId="2DF69F59" w14:textId="77777777">
            <w:pPr>
              <w:pStyle w:val="gtcbodytext"/>
              <w:keepNext/>
              <w:spacing w:before="0" w:after="0" w:line="240" w:lineRule="auto"/>
              <w:rPr>
                <w:sz w:val="22"/>
                <w:szCs w:val="22"/>
                <w:lang w:val="it-IT"/>
              </w:rPr>
            </w:pPr>
          </w:p>
          <w:p w:rsidR="006224C2" w:rsidRPr="00295E71" w14:paraId="694BD340" w14:textId="77777777">
            <w:pPr>
              <w:pStyle w:val="gtcbodytext"/>
              <w:keepNext/>
              <w:spacing w:before="0" w:after="0" w:line="240" w:lineRule="auto"/>
              <w:rPr>
                <w:sz w:val="22"/>
                <w:szCs w:val="22"/>
                <w:lang w:val="it-IT"/>
              </w:rPr>
            </w:pPr>
            <w:r w:rsidRPr="00295E71">
              <w:rPr>
                <w:sz w:val="22"/>
                <w:szCs w:val="22"/>
                <w:lang w:val="it-IT"/>
              </w:rPr>
              <w:t>Si consiglia di effettuare giornalmente un lavaggio antisettico sulle aree interessate.</w:t>
            </w:r>
          </w:p>
        </w:tc>
      </w:tr>
    </w:tbl>
    <w:p w:rsidR="006224C2" w:rsidRPr="00295E71" w14:paraId="5DA5C0FF" w14:textId="77777777">
      <w:pPr>
        <w:numPr>
          <w:ilvl w:val="12"/>
          <w:numId w:val="0"/>
        </w:numPr>
        <w:tabs>
          <w:tab w:val="left" w:pos="708"/>
        </w:tabs>
        <w:ind w:right="-2"/>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2"/>
        <w:gridCol w:w="3038"/>
        <w:gridCol w:w="3010"/>
      </w:tblGrid>
      <w:tr w14:paraId="3A06266E" w14:textId="77777777">
        <w:tblPrEx>
          <w:tblW w:w="0" w:type="auto"/>
          <w:tblLook w:val="04A0"/>
        </w:tblPrEx>
        <w:tc>
          <w:tcPr>
            <w:tcW w:w="9286" w:type="dxa"/>
            <w:gridSpan w:val="3"/>
            <w:tcBorders>
              <w:top w:val="single" w:sz="4" w:space="0" w:color="auto"/>
              <w:left w:val="single" w:sz="4" w:space="0" w:color="auto"/>
              <w:bottom w:val="single" w:sz="4" w:space="0" w:color="auto"/>
              <w:right w:val="single" w:sz="4" w:space="0" w:color="auto"/>
            </w:tcBorders>
            <w:hideMark/>
          </w:tcPr>
          <w:p w:rsidR="006224C2" w:rsidRPr="00295E71" w14:paraId="3AE9E515" w14:textId="77777777">
            <w:pPr>
              <w:keepNext/>
              <w:numPr>
                <w:ilvl w:val="12"/>
                <w:numId w:val="0"/>
              </w:numPr>
              <w:tabs>
                <w:tab w:val="left" w:pos="708"/>
              </w:tabs>
              <w:spacing w:before="100" w:beforeAutospacing="1" w:after="100" w:afterAutospacing="1"/>
              <w:ind w:right="-2"/>
              <w:rPr>
                <w:sz w:val="22"/>
                <w:szCs w:val="22"/>
              </w:rPr>
            </w:pPr>
            <w:r w:rsidRPr="00295E71">
              <w:rPr>
                <w:sz w:val="22"/>
                <w:szCs w:val="22"/>
                <w:lang w:eastAsia="en-US"/>
              </w:rPr>
              <w:br w:type="page"/>
            </w:r>
            <w:r w:rsidRPr="00295E71">
              <w:rPr>
                <w:b/>
                <w:sz w:val="22"/>
                <w:szCs w:val="22"/>
              </w:rPr>
              <w:t>Malattia di Crohn</w:t>
            </w:r>
          </w:p>
        </w:tc>
      </w:tr>
      <w:tr w14:paraId="0FB16D39"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18FD0E99" w14:textId="77777777">
            <w:pPr>
              <w:numPr>
                <w:ilvl w:val="12"/>
                <w:numId w:val="0"/>
              </w:numPr>
              <w:tabs>
                <w:tab w:val="left" w:pos="708"/>
              </w:tabs>
              <w:ind w:right="-2"/>
              <w:rPr>
                <w:sz w:val="22"/>
                <w:szCs w:val="22"/>
              </w:rPr>
            </w:pPr>
            <w:r w:rsidRPr="00295E71">
              <w:rPr>
                <w:b/>
                <w:sz w:val="22"/>
                <w:szCs w:val="22"/>
              </w:rPr>
              <w:t>Età o peso corporeo</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3F25C5BE" w14:textId="77777777">
            <w:pPr>
              <w:keepNext/>
              <w:numPr>
                <w:ilvl w:val="12"/>
                <w:numId w:val="0"/>
              </w:numPr>
              <w:tabs>
                <w:tab w:val="left" w:pos="708"/>
              </w:tabs>
              <w:ind w:right="-2"/>
              <w:rPr>
                <w:sz w:val="22"/>
                <w:szCs w:val="22"/>
              </w:rPr>
            </w:pPr>
            <w:r w:rsidRPr="00295E71">
              <w:rPr>
                <w:b/>
                <w:sz w:val="22"/>
                <w:szCs w:val="22"/>
              </w:rPr>
              <w:t>Che quantità ne va assunta e con che frequenza?</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271FF2C6" w14:textId="77777777">
            <w:pPr>
              <w:keepNext/>
              <w:numPr>
                <w:ilvl w:val="12"/>
                <w:numId w:val="0"/>
              </w:numPr>
              <w:tabs>
                <w:tab w:val="left" w:pos="708"/>
              </w:tabs>
              <w:ind w:right="-2"/>
              <w:rPr>
                <w:sz w:val="22"/>
                <w:szCs w:val="22"/>
              </w:rPr>
            </w:pPr>
            <w:r w:rsidRPr="00295E71">
              <w:rPr>
                <w:b/>
                <w:sz w:val="22"/>
                <w:szCs w:val="22"/>
              </w:rPr>
              <w:t>Note</w:t>
            </w:r>
          </w:p>
        </w:tc>
      </w:tr>
      <w:tr w14:paraId="7D16C230"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rsidP="000D3BA4" w14:paraId="24B7EEA3" w14:textId="77777777">
            <w:pPr>
              <w:numPr>
                <w:ilvl w:val="12"/>
                <w:numId w:val="0"/>
              </w:numPr>
              <w:tabs>
                <w:tab w:val="left" w:pos="708"/>
              </w:tabs>
              <w:ind w:right="-2"/>
              <w:rPr>
                <w:sz w:val="22"/>
                <w:szCs w:val="22"/>
              </w:rPr>
            </w:pPr>
            <w:r w:rsidRPr="00295E71">
              <w:rPr>
                <w:sz w:val="22"/>
                <w:szCs w:val="22"/>
              </w:rPr>
              <w:t>Bambini</w:t>
            </w:r>
            <w:r w:rsidRPr="00295E71" w:rsidR="000D3BA4">
              <w:rPr>
                <w:sz w:val="22"/>
                <w:szCs w:val="22"/>
              </w:rPr>
              <w:t>,</w:t>
            </w:r>
            <w:r w:rsidRPr="00295E71">
              <w:rPr>
                <w:sz w:val="22"/>
                <w:szCs w:val="22"/>
              </w:rPr>
              <w:t xml:space="preserve"> adolescenti </w:t>
            </w:r>
            <w:r w:rsidRPr="00295E71" w:rsidR="000D3BA4">
              <w:rPr>
                <w:sz w:val="22"/>
                <w:szCs w:val="22"/>
              </w:rPr>
              <w:t xml:space="preserve">e adulti </w:t>
            </w:r>
            <w:r w:rsidRPr="00295E71">
              <w:rPr>
                <w:sz w:val="22"/>
                <w:szCs w:val="22"/>
              </w:rPr>
              <w:t xml:space="preserve">a partire dai 6 anni </w:t>
            </w:r>
            <w:r w:rsidRPr="00295E71" w:rsidR="00351417">
              <w:rPr>
                <w:sz w:val="22"/>
                <w:szCs w:val="22"/>
              </w:rPr>
              <w:t xml:space="preserve">di età </w:t>
            </w:r>
            <w:r w:rsidRPr="00295E71">
              <w:rPr>
                <w:sz w:val="22"/>
                <w:szCs w:val="22"/>
              </w:rPr>
              <w:t xml:space="preserve">con un peso </w:t>
            </w:r>
            <w:r w:rsidRPr="00295E71" w:rsidR="000D3BA4">
              <w:rPr>
                <w:sz w:val="22"/>
                <w:szCs w:val="22"/>
              </w:rPr>
              <w:t>uguale o superiore a</w:t>
            </w:r>
            <w:r w:rsidRPr="00295E71">
              <w:rPr>
                <w:sz w:val="22"/>
                <w:szCs w:val="22"/>
              </w:rPr>
              <w:t xml:space="preserve"> 40 kg</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3F4AAF44" w14:textId="77777777">
            <w:pPr>
              <w:rPr>
                <w:sz w:val="22"/>
                <w:szCs w:val="22"/>
              </w:rPr>
            </w:pPr>
            <w:r w:rsidRPr="00295E71">
              <w:rPr>
                <w:sz w:val="22"/>
                <w:szCs w:val="22"/>
              </w:rPr>
              <w:t>La prima dose da 80 mg (un’iniezione da 80 mg), seguita da 40 mg due settimane dopo.</w:t>
            </w:r>
          </w:p>
          <w:p w:rsidR="006224C2" w:rsidRPr="00295E71" w14:paraId="2F32AB8E" w14:textId="77777777">
            <w:pPr>
              <w:rPr>
                <w:sz w:val="22"/>
                <w:szCs w:val="22"/>
              </w:rPr>
            </w:pPr>
          </w:p>
          <w:p w:rsidR="006224C2" w:rsidRPr="00295E71" w14:paraId="45EC36FC" w14:textId="77777777">
            <w:pPr>
              <w:rPr>
                <w:sz w:val="22"/>
                <w:szCs w:val="22"/>
              </w:rPr>
            </w:pPr>
            <w:r w:rsidRPr="00295E71">
              <w:rPr>
                <w:sz w:val="22"/>
                <w:szCs w:val="22"/>
              </w:rPr>
              <w:t>Se è necessaria una risposta più rapida, il medico può prescrivere una prima dose da 160 mg (due iniezioni da 80 mg in un giorno o un’iniezione da 80 mg al giorno per due giorni consecutivi), seguita da 80 mg (un’iniezione da 80 mg) due settimane dopo.</w:t>
            </w:r>
          </w:p>
          <w:p w:rsidR="006224C2" w:rsidRPr="00295E71" w14:paraId="12063791" w14:textId="77777777">
            <w:pPr>
              <w:rPr>
                <w:sz w:val="22"/>
                <w:szCs w:val="22"/>
              </w:rPr>
            </w:pPr>
          </w:p>
          <w:p w:rsidR="006224C2" w:rsidRPr="00295E71" w14:paraId="138E7D3C" w14:textId="77777777">
            <w:pPr>
              <w:numPr>
                <w:ilvl w:val="12"/>
                <w:numId w:val="0"/>
              </w:numPr>
              <w:tabs>
                <w:tab w:val="left" w:pos="708"/>
              </w:tabs>
              <w:ind w:right="-2"/>
              <w:rPr>
                <w:sz w:val="22"/>
                <w:szCs w:val="22"/>
              </w:rPr>
            </w:pPr>
            <w:r w:rsidRPr="00295E71">
              <w:rPr>
                <w:sz w:val="22"/>
                <w:szCs w:val="22"/>
              </w:rPr>
              <w:t>Successivamente, la dose abituale è di 40 mg a settimane alterne.</w:t>
            </w:r>
          </w:p>
        </w:tc>
        <w:tc>
          <w:tcPr>
            <w:tcW w:w="3096" w:type="dxa"/>
            <w:tcBorders>
              <w:top w:val="single" w:sz="4" w:space="0" w:color="auto"/>
              <w:left w:val="single" w:sz="4" w:space="0" w:color="auto"/>
              <w:bottom w:val="single" w:sz="4" w:space="0" w:color="auto"/>
              <w:right w:val="single" w:sz="4" w:space="0" w:color="auto"/>
            </w:tcBorders>
          </w:tcPr>
          <w:p w:rsidR="006224C2" w:rsidRPr="00295E71" w:rsidP="00187400" w14:paraId="5C672C2E" w14:textId="77777777">
            <w:pPr>
              <w:rPr>
                <w:sz w:val="22"/>
                <w:szCs w:val="22"/>
              </w:rPr>
            </w:pPr>
            <w:r w:rsidRPr="00295E71">
              <w:rPr>
                <w:sz w:val="22"/>
                <w:szCs w:val="22"/>
              </w:rPr>
              <w:t xml:space="preserve">Il medico può aumentare </w:t>
            </w:r>
            <w:r w:rsidRPr="00295E71" w:rsidR="00187400">
              <w:rPr>
                <w:sz w:val="22"/>
                <w:szCs w:val="22"/>
              </w:rPr>
              <w:t>il</w:t>
            </w:r>
            <w:r w:rsidRPr="00295E71">
              <w:rPr>
                <w:sz w:val="22"/>
                <w:szCs w:val="22"/>
              </w:rPr>
              <w:t xml:space="preserve"> dos</w:t>
            </w:r>
            <w:r w:rsidRPr="00295E71" w:rsidR="00187400">
              <w:rPr>
                <w:sz w:val="22"/>
                <w:szCs w:val="22"/>
              </w:rPr>
              <w:t>aggio</w:t>
            </w:r>
            <w:r w:rsidRPr="00295E71">
              <w:rPr>
                <w:sz w:val="22"/>
                <w:szCs w:val="22"/>
              </w:rPr>
              <w:t xml:space="preserve"> fino a 40 mg ogni settimana</w:t>
            </w:r>
            <w:r w:rsidRPr="00295E71" w:rsidR="00C47347">
              <w:rPr>
                <w:sz w:val="22"/>
                <w:szCs w:val="22"/>
              </w:rPr>
              <w:t xml:space="preserve"> o 80 mg a settimane alterne</w:t>
            </w:r>
            <w:r w:rsidRPr="00295E71">
              <w:rPr>
                <w:sz w:val="22"/>
                <w:szCs w:val="22"/>
              </w:rPr>
              <w:t>.</w:t>
            </w:r>
          </w:p>
        </w:tc>
      </w:tr>
      <w:tr w14:paraId="322BE163"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rsidP="000D3BA4" w14:paraId="6D24B7B3" w14:textId="77777777">
            <w:pPr>
              <w:keepNext/>
              <w:numPr>
                <w:ilvl w:val="12"/>
                <w:numId w:val="0"/>
              </w:numPr>
              <w:tabs>
                <w:tab w:val="left" w:pos="708"/>
              </w:tabs>
              <w:ind w:right="-2"/>
              <w:rPr>
                <w:sz w:val="22"/>
                <w:szCs w:val="22"/>
              </w:rPr>
            </w:pPr>
            <w:r w:rsidRPr="00295E71">
              <w:rPr>
                <w:sz w:val="22"/>
                <w:szCs w:val="22"/>
              </w:rPr>
              <w:t xml:space="preserve">Bambini e adolescenti </w:t>
            </w:r>
            <w:r w:rsidRPr="00295E71" w:rsidR="000D3BA4">
              <w:rPr>
                <w:sz w:val="22"/>
                <w:szCs w:val="22"/>
              </w:rPr>
              <w:t>di età compresa tra</w:t>
            </w:r>
            <w:r w:rsidRPr="00295E71">
              <w:rPr>
                <w:sz w:val="22"/>
                <w:szCs w:val="22"/>
              </w:rPr>
              <w:t xml:space="preserve"> 6</w:t>
            </w:r>
            <w:r w:rsidRPr="00295E71" w:rsidR="000D3BA4">
              <w:rPr>
                <w:sz w:val="22"/>
                <w:szCs w:val="22"/>
              </w:rPr>
              <w:t xml:space="preserve"> e 17</w:t>
            </w:r>
            <w:r w:rsidRPr="00295E71">
              <w:rPr>
                <w:sz w:val="22"/>
                <w:szCs w:val="22"/>
              </w:rPr>
              <w:t xml:space="preserve"> anni con un peso </w:t>
            </w:r>
            <w:r w:rsidRPr="00295E71" w:rsidR="000D3BA4">
              <w:rPr>
                <w:sz w:val="22"/>
                <w:szCs w:val="22"/>
              </w:rPr>
              <w:t>minore</w:t>
            </w:r>
            <w:r w:rsidRPr="00295E71">
              <w:rPr>
                <w:sz w:val="22"/>
                <w:szCs w:val="22"/>
              </w:rPr>
              <w:t xml:space="preserve"> di 40 kg</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34A84F6E" w14:textId="77777777">
            <w:pPr>
              <w:keepNext/>
              <w:rPr>
                <w:sz w:val="22"/>
                <w:szCs w:val="22"/>
              </w:rPr>
            </w:pPr>
            <w:r w:rsidRPr="00295E71">
              <w:rPr>
                <w:sz w:val="22"/>
                <w:szCs w:val="22"/>
              </w:rPr>
              <w:t xml:space="preserve">La prima dose da 40 mg, seguita da 20 mg due settimane dopo. </w:t>
            </w:r>
          </w:p>
          <w:p w:rsidR="006224C2" w:rsidRPr="00295E71" w14:paraId="37FBFD1D" w14:textId="77777777">
            <w:pPr>
              <w:keepNext/>
              <w:rPr>
                <w:sz w:val="22"/>
                <w:szCs w:val="22"/>
              </w:rPr>
            </w:pPr>
          </w:p>
          <w:p w:rsidR="006224C2" w:rsidRPr="00295E71" w14:paraId="592A0651" w14:textId="77777777">
            <w:pPr>
              <w:keepNext/>
              <w:rPr>
                <w:sz w:val="22"/>
                <w:szCs w:val="22"/>
              </w:rPr>
            </w:pPr>
            <w:r w:rsidRPr="00295E71">
              <w:rPr>
                <w:sz w:val="22"/>
                <w:szCs w:val="22"/>
              </w:rPr>
              <w:t>Se è necessaria una risposta più rapida, il medico può prescrivere una prima dose da 80 mg (un’iniezione da 80 mg), seguita da 40 mg due settimane dopo.</w:t>
            </w:r>
          </w:p>
          <w:p w:rsidR="006224C2" w:rsidRPr="00295E71" w14:paraId="3C4147E3" w14:textId="77777777">
            <w:pPr>
              <w:keepNext/>
              <w:rPr>
                <w:sz w:val="22"/>
                <w:szCs w:val="22"/>
              </w:rPr>
            </w:pPr>
          </w:p>
          <w:p w:rsidR="006224C2" w:rsidRPr="00295E71" w14:paraId="2F6FAFF9" w14:textId="77777777">
            <w:pPr>
              <w:keepNext/>
              <w:numPr>
                <w:ilvl w:val="12"/>
                <w:numId w:val="0"/>
              </w:numPr>
              <w:tabs>
                <w:tab w:val="left" w:pos="708"/>
              </w:tabs>
              <w:ind w:right="-2"/>
              <w:rPr>
                <w:sz w:val="22"/>
                <w:szCs w:val="22"/>
              </w:rPr>
            </w:pPr>
            <w:r w:rsidRPr="00295E71">
              <w:rPr>
                <w:sz w:val="22"/>
                <w:szCs w:val="22"/>
              </w:rPr>
              <w:t>Successivamente, la dose abituale è di 20 mg a settimane alterne.</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6ABEBB7F" w14:textId="77777777">
            <w:pPr>
              <w:keepNext/>
              <w:rPr>
                <w:sz w:val="22"/>
                <w:szCs w:val="22"/>
              </w:rPr>
            </w:pPr>
            <w:r w:rsidRPr="00295E71">
              <w:rPr>
                <w:sz w:val="22"/>
                <w:szCs w:val="22"/>
              </w:rPr>
              <w:t>Il medico può aumentare la frequenza della dose fino a 20 mg ogni settimana.</w:t>
            </w:r>
          </w:p>
        </w:tc>
      </w:tr>
    </w:tbl>
    <w:p w:rsidR="006224C2" w:rsidRPr="00295E71" w14:paraId="58725C2B" w14:textId="77777777">
      <w:pPr>
        <w:numPr>
          <w:ilvl w:val="12"/>
          <w:numId w:val="0"/>
        </w:numPr>
        <w:tabs>
          <w:tab w:val="left" w:pos="708"/>
        </w:tabs>
        <w:ind w:right="-2"/>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1"/>
        <w:gridCol w:w="3038"/>
        <w:gridCol w:w="3011"/>
      </w:tblGrid>
      <w:tr w14:paraId="54A23CE3" w14:textId="77777777" w:rsidTr="00803E02">
        <w:tblPrEx>
          <w:tblW w:w="0" w:type="auto"/>
          <w:tblLook w:val="04A0"/>
        </w:tblPrEx>
        <w:tc>
          <w:tcPr>
            <w:tcW w:w="9286" w:type="dxa"/>
            <w:gridSpan w:val="3"/>
            <w:tcBorders>
              <w:top w:val="single" w:sz="4" w:space="0" w:color="auto"/>
              <w:left w:val="single" w:sz="4" w:space="0" w:color="auto"/>
              <w:bottom w:val="single" w:sz="4" w:space="0" w:color="auto"/>
              <w:right w:val="single" w:sz="4" w:space="0" w:color="auto"/>
            </w:tcBorders>
            <w:hideMark/>
          </w:tcPr>
          <w:p w:rsidR="006224C2" w:rsidRPr="00295E71" w14:paraId="3646C938" w14:textId="77777777">
            <w:pPr>
              <w:keepNext/>
              <w:numPr>
                <w:ilvl w:val="12"/>
                <w:numId w:val="0"/>
              </w:numPr>
              <w:tabs>
                <w:tab w:val="left" w:pos="708"/>
              </w:tabs>
              <w:ind w:right="-2"/>
              <w:rPr>
                <w:b/>
                <w:sz w:val="22"/>
                <w:szCs w:val="22"/>
              </w:rPr>
            </w:pPr>
            <w:r w:rsidRPr="00295E71">
              <w:rPr>
                <w:b/>
                <w:sz w:val="22"/>
                <w:szCs w:val="22"/>
              </w:rPr>
              <w:t>Colite ulcerosa</w:t>
            </w:r>
          </w:p>
        </w:tc>
      </w:tr>
      <w:tr w14:paraId="3A714605" w14:textId="77777777" w:rsidTr="00803E02">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6F06BE9B" w14:textId="77777777">
            <w:pPr>
              <w:keepNext/>
              <w:numPr>
                <w:ilvl w:val="12"/>
                <w:numId w:val="0"/>
              </w:numPr>
              <w:tabs>
                <w:tab w:val="left" w:pos="708"/>
              </w:tabs>
              <w:ind w:right="-2"/>
              <w:rPr>
                <w:sz w:val="22"/>
                <w:szCs w:val="22"/>
              </w:rPr>
            </w:pPr>
            <w:r w:rsidRPr="00295E71">
              <w:rPr>
                <w:b/>
                <w:sz w:val="22"/>
                <w:szCs w:val="22"/>
              </w:rPr>
              <w:t>Età o peso corporeo</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70CB40F5" w14:textId="77777777">
            <w:pPr>
              <w:keepNext/>
              <w:numPr>
                <w:ilvl w:val="12"/>
                <w:numId w:val="0"/>
              </w:numPr>
              <w:tabs>
                <w:tab w:val="left" w:pos="708"/>
              </w:tabs>
              <w:ind w:right="-2"/>
              <w:rPr>
                <w:sz w:val="22"/>
                <w:szCs w:val="22"/>
              </w:rPr>
            </w:pPr>
            <w:r w:rsidRPr="00295E71">
              <w:rPr>
                <w:b/>
                <w:sz w:val="22"/>
                <w:szCs w:val="22"/>
              </w:rPr>
              <w:t>Che quantità ne va assunta e con che frequenza?</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4087F290" w14:textId="77777777">
            <w:pPr>
              <w:keepNext/>
              <w:numPr>
                <w:ilvl w:val="12"/>
                <w:numId w:val="0"/>
              </w:numPr>
              <w:tabs>
                <w:tab w:val="left" w:pos="708"/>
              </w:tabs>
              <w:ind w:right="-2"/>
              <w:rPr>
                <w:sz w:val="22"/>
                <w:szCs w:val="22"/>
              </w:rPr>
            </w:pPr>
            <w:r w:rsidRPr="00295E71">
              <w:rPr>
                <w:b/>
                <w:sz w:val="22"/>
                <w:szCs w:val="22"/>
              </w:rPr>
              <w:t>Note</w:t>
            </w:r>
          </w:p>
        </w:tc>
      </w:tr>
      <w:tr w14:paraId="7F29AEAC" w14:textId="77777777" w:rsidTr="00803E02">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26980123" w14:textId="77777777">
            <w:pPr>
              <w:keepNext/>
              <w:numPr>
                <w:ilvl w:val="12"/>
                <w:numId w:val="0"/>
              </w:numPr>
              <w:tabs>
                <w:tab w:val="left" w:pos="708"/>
              </w:tabs>
              <w:ind w:right="-2"/>
              <w:rPr>
                <w:sz w:val="22"/>
                <w:szCs w:val="22"/>
              </w:rPr>
            </w:pPr>
            <w:r w:rsidRPr="00295E71">
              <w:rPr>
                <w:sz w:val="22"/>
                <w:szCs w:val="22"/>
              </w:rPr>
              <w:t>Adulti</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307074F5" w14:textId="77777777">
            <w:pPr>
              <w:keepNext/>
              <w:numPr>
                <w:ilvl w:val="12"/>
                <w:numId w:val="0"/>
              </w:numPr>
              <w:tabs>
                <w:tab w:val="left" w:pos="708"/>
              </w:tabs>
              <w:rPr>
                <w:sz w:val="22"/>
                <w:szCs w:val="22"/>
              </w:rPr>
            </w:pPr>
            <w:r w:rsidRPr="00295E71">
              <w:rPr>
                <w:sz w:val="22"/>
                <w:szCs w:val="22"/>
              </w:rPr>
              <w:t>La prima dose da 160 mg (due iniezioni da 80 mg in un giorno o un’iniezione da 80 mg al giorno per due giorni consecutivi), seguita da 80 mg (un’iniezione da 80 mg) due settimane dopo.</w:t>
            </w:r>
          </w:p>
          <w:p w:rsidR="006224C2" w:rsidRPr="00295E71" w14:paraId="65439B4A" w14:textId="77777777">
            <w:pPr>
              <w:keepNext/>
              <w:numPr>
                <w:ilvl w:val="12"/>
                <w:numId w:val="0"/>
              </w:numPr>
              <w:tabs>
                <w:tab w:val="left" w:pos="708"/>
              </w:tabs>
              <w:rPr>
                <w:sz w:val="22"/>
                <w:szCs w:val="22"/>
              </w:rPr>
            </w:pPr>
          </w:p>
          <w:p w:rsidR="006224C2" w:rsidRPr="00295E71" w14:paraId="6DA9603D" w14:textId="77777777">
            <w:pPr>
              <w:keepNext/>
              <w:numPr>
                <w:ilvl w:val="12"/>
                <w:numId w:val="0"/>
              </w:numPr>
              <w:tabs>
                <w:tab w:val="left" w:pos="708"/>
              </w:tabs>
              <w:rPr>
                <w:sz w:val="22"/>
                <w:szCs w:val="22"/>
              </w:rPr>
            </w:pPr>
            <w:r w:rsidRPr="00295E71">
              <w:rPr>
                <w:sz w:val="22"/>
                <w:szCs w:val="22"/>
              </w:rPr>
              <w:t>Successivamente, la dose abituale è di 40 mg a settimane alterne.</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rsidP="00187400" w14:paraId="15DDF5C1" w14:textId="77777777">
            <w:pPr>
              <w:keepNext/>
              <w:numPr>
                <w:ilvl w:val="12"/>
                <w:numId w:val="0"/>
              </w:numPr>
              <w:tabs>
                <w:tab w:val="left" w:pos="708"/>
              </w:tabs>
              <w:ind w:right="-2"/>
              <w:rPr>
                <w:sz w:val="22"/>
                <w:szCs w:val="22"/>
              </w:rPr>
            </w:pPr>
            <w:r w:rsidRPr="00295E71">
              <w:rPr>
                <w:sz w:val="22"/>
                <w:szCs w:val="22"/>
              </w:rPr>
              <w:t xml:space="preserve">Il medico può aumentare </w:t>
            </w:r>
            <w:r w:rsidRPr="00295E71" w:rsidR="00187400">
              <w:rPr>
                <w:sz w:val="22"/>
                <w:szCs w:val="22"/>
              </w:rPr>
              <w:t xml:space="preserve">il </w:t>
            </w:r>
            <w:r w:rsidRPr="00295E71">
              <w:rPr>
                <w:sz w:val="22"/>
                <w:szCs w:val="22"/>
              </w:rPr>
              <w:t>dos</w:t>
            </w:r>
            <w:r w:rsidRPr="00295E71" w:rsidR="00187400">
              <w:rPr>
                <w:sz w:val="22"/>
                <w:szCs w:val="22"/>
              </w:rPr>
              <w:t>aggio</w:t>
            </w:r>
            <w:r w:rsidRPr="00295E71">
              <w:rPr>
                <w:sz w:val="22"/>
                <w:szCs w:val="22"/>
              </w:rPr>
              <w:t xml:space="preserve"> fino a 40 mg ogni settimana</w:t>
            </w:r>
            <w:r w:rsidRPr="00295E71" w:rsidR="00187400">
              <w:rPr>
                <w:sz w:val="22"/>
                <w:szCs w:val="22"/>
              </w:rPr>
              <w:t xml:space="preserve"> o 80 mg a settimane alterne</w:t>
            </w:r>
            <w:r w:rsidRPr="00295E71">
              <w:rPr>
                <w:sz w:val="22"/>
                <w:szCs w:val="22"/>
              </w:rPr>
              <w:t>.</w:t>
            </w:r>
          </w:p>
        </w:tc>
      </w:tr>
      <w:tr w14:paraId="1F9C830C" w14:textId="77777777" w:rsidTr="00803E02">
        <w:tblPrEx>
          <w:tblW w:w="0" w:type="auto"/>
          <w:tblLook w:val="04A0"/>
        </w:tblPrEx>
        <w:tc>
          <w:tcPr>
            <w:tcW w:w="3094" w:type="dxa"/>
            <w:tcBorders>
              <w:top w:val="single" w:sz="4" w:space="0" w:color="auto"/>
              <w:left w:val="single" w:sz="4" w:space="0" w:color="auto"/>
              <w:bottom w:val="single" w:sz="4" w:space="0" w:color="auto"/>
              <w:right w:val="single" w:sz="4" w:space="0" w:color="auto"/>
            </w:tcBorders>
          </w:tcPr>
          <w:p w:rsidR="00803E02" w:rsidRPr="00803E02" w:rsidP="00803E02" w14:paraId="7D1EFA36" w14:textId="77777777">
            <w:pPr>
              <w:keepNext/>
              <w:numPr>
                <w:ilvl w:val="12"/>
                <w:numId w:val="0"/>
              </w:numPr>
              <w:tabs>
                <w:tab w:val="left" w:pos="708"/>
              </w:tabs>
              <w:ind w:right="-2"/>
              <w:rPr>
                <w:sz w:val="22"/>
                <w:szCs w:val="22"/>
              </w:rPr>
            </w:pPr>
            <w:r w:rsidRPr="00612824">
              <w:rPr>
                <w:sz w:val="22"/>
                <w:szCs w:val="22"/>
              </w:rPr>
              <w:t xml:space="preserve">Bambini e adolescenti a partire dai 6 anni di età </w:t>
            </w:r>
            <w:r w:rsidR="00952DAA">
              <w:rPr>
                <w:sz w:val="22"/>
                <w:szCs w:val="22"/>
              </w:rPr>
              <w:t xml:space="preserve">con peso inferiore a </w:t>
            </w:r>
            <w:r w:rsidRPr="00612824">
              <w:rPr>
                <w:sz w:val="22"/>
                <w:szCs w:val="22"/>
              </w:rPr>
              <w:t>40 kg</w:t>
            </w:r>
          </w:p>
        </w:tc>
        <w:tc>
          <w:tcPr>
            <w:tcW w:w="3096" w:type="dxa"/>
            <w:tcBorders>
              <w:top w:val="single" w:sz="4" w:space="0" w:color="auto"/>
              <w:left w:val="single" w:sz="4" w:space="0" w:color="auto"/>
              <w:bottom w:val="single" w:sz="4" w:space="0" w:color="auto"/>
              <w:right w:val="single" w:sz="4" w:space="0" w:color="auto"/>
            </w:tcBorders>
          </w:tcPr>
          <w:p w:rsidR="00803E02" w:rsidRPr="00612824" w:rsidP="00803E02" w14:paraId="2871E207" w14:textId="77777777">
            <w:pPr>
              <w:numPr>
                <w:ilvl w:val="12"/>
                <w:numId w:val="0"/>
              </w:numPr>
              <w:rPr>
                <w:sz w:val="22"/>
                <w:szCs w:val="22"/>
              </w:rPr>
            </w:pPr>
            <w:r>
              <w:rPr>
                <w:sz w:val="22"/>
                <w:szCs w:val="22"/>
              </w:rPr>
              <w:t>Una</w:t>
            </w:r>
            <w:r w:rsidRPr="00612824">
              <w:rPr>
                <w:sz w:val="22"/>
                <w:szCs w:val="22"/>
              </w:rPr>
              <w:t xml:space="preserve"> dose</w:t>
            </w:r>
            <w:r>
              <w:rPr>
                <w:sz w:val="22"/>
                <w:szCs w:val="22"/>
              </w:rPr>
              <w:t xml:space="preserve"> iniziale</w:t>
            </w:r>
            <w:r w:rsidRPr="00612824">
              <w:rPr>
                <w:sz w:val="22"/>
                <w:szCs w:val="22"/>
              </w:rPr>
              <w:t xml:space="preserve"> di 80 mg (una iniezione da 80 mg), seguita da 40 mg (una iniezione da 40 mg) due settimane dopo.</w:t>
            </w:r>
          </w:p>
          <w:p w:rsidR="00803E02" w:rsidRPr="00612824" w:rsidP="00803E02" w14:paraId="33F8FC7D" w14:textId="77777777">
            <w:pPr>
              <w:numPr>
                <w:ilvl w:val="12"/>
                <w:numId w:val="0"/>
              </w:numPr>
              <w:rPr>
                <w:sz w:val="22"/>
                <w:szCs w:val="22"/>
              </w:rPr>
            </w:pPr>
          </w:p>
          <w:p w:rsidR="00803E02" w:rsidRPr="00803E02" w:rsidP="00803E02" w14:paraId="71FB07FF" w14:textId="77777777">
            <w:pPr>
              <w:keepNext/>
              <w:numPr>
                <w:ilvl w:val="12"/>
                <w:numId w:val="0"/>
              </w:numPr>
              <w:tabs>
                <w:tab w:val="left" w:pos="708"/>
              </w:tabs>
              <w:rPr>
                <w:sz w:val="22"/>
                <w:szCs w:val="22"/>
              </w:rPr>
            </w:pPr>
            <w:r w:rsidRPr="00612824">
              <w:rPr>
                <w:sz w:val="22"/>
                <w:szCs w:val="22"/>
              </w:rPr>
              <w:t xml:space="preserve">Successivamente, la dose abituale è di 40 mg </w:t>
            </w:r>
            <w:r w:rsidR="00952DAA">
              <w:rPr>
                <w:sz w:val="22"/>
                <w:szCs w:val="22"/>
              </w:rPr>
              <w:t>a settimane alterne</w:t>
            </w:r>
            <w:r w:rsidRPr="00612824">
              <w:rPr>
                <w:sz w:val="22"/>
                <w:szCs w:val="22"/>
              </w:rPr>
              <w:t>.</w:t>
            </w:r>
          </w:p>
        </w:tc>
        <w:tc>
          <w:tcPr>
            <w:tcW w:w="3096" w:type="dxa"/>
            <w:tcBorders>
              <w:top w:val="single" w:sz="4" w:space="0" w:color="auto"/>
              <w:left w:val="single" w:sz="4" w:space="0" w:color="auto"/>
              <w:bottom w:val="single" w:sz="4" w:space="0" w:color="auto"/>
              <w:right w:val="single" w:sz="4" w:space="0" w:color="auto"/>
            </w:tcBorders>
          </w:tcPr>
          <w:p w:rsidR="00803E02" w:rsidRPr="00803E02" w:rsidP="00803E02" w14:paraId="466EB181" w14:textId="77777777">
            <w:pPr>
              <w:keepNext/>
              <w:numPr>
                <w:ilvl w:val="12"/>
                <w:numId w:val="0"/>
              </w:numPr>
              <w:tabs>
                <w:tab w:val="left" w:pos="708"/>
              </w:tabs>
              <w:ind w:right="-2"/>
              <w:rPr>
                <w:sz w:val="22"/>
                <w:szCs w:val="22"/>
              </w:rPr>
            </w:pPr>
            <w:r>
              <w:rPr>
                <w:sz w:val="22"/>
                <w:szCs w:val="22"/>
              </w:rPr>
              <w:t>Si d</w:t>
            </w:r>
            <w:r w:rsidRPr="00612824">
              <w:rPr>
                <w:sz w:val="22"/>
                <w:szCs w:val="22"/>
              </w:rPr>
              <w:t>eve continuare a</w:t>
            </w:r>
            <w:r>
              <w:rPr>
                <w:sz w:val="22"/>
                <w:szCs w:val="22"/>
              </w:rPr>
              <w:t>d assumere</w:t>
            </w:r>
            <w:r w:rsidRPr="00612824">
              <w:rPr>
                <w:sz w:val="22"/>
                <w:szCs w:val="22"/>
              </w:rPr>
              <w:t xml:space="preserve"> Humira alla dose abituale, anche dopo aver compiuto 18 anni</w:t>
            </w:r>
            <w:r>
              <w:rPr>
                <w:sz w:val="22"/>
                <w:szCs w:val="22"/>
              </w:rPr>
              <w:t xml:space="preserve"> di età</w:t>
            </w:r>
            <w:r w:rsidRPr="00612824">
              <w:rPr>
                <w:sz w:val="22"/>
                <w:szCs w:val="22"/>
              </w:rPr>
              <w:t>.</w:t>
            </w:r>
          </w:p>
        </w:tc>
      </w:tr>
      <w:tr w14:paraId="3912EBF6" w14:textId="77777777" w:rsidTr="00803E02">
        <w:tblPrEx>
          <w:tblW w:w="0" w:type="auto"/>
          <w:tblLook w:val="04A0"/>
        </w:tblPrEx>
        <w:tc>
          <w:tcPr>
            <w:tcW w:w="3094" w:type="dxa"/>
            <w:tcBorders>
              <w:top w:val="single" w:sz="4" w:space="0" w:color="auto"/>
              <w:left w:val="single" w:sz="4" w:space="0" w:color="auto"/>
              <w:bottom w:val="single" w:sz="4" w:space="0" w:color="auto"/>
              <w:right w:val="single" w:sz="4" w:space="0" w:color="auto"/>
            </w:tcBorders>
          </w:tcPr>
          <w:p w:rsidR="00803E02" w:rsidRPr="00803E02" w:rsidP="00803E02" w14:paraId="525C2D63" w14:textId="77777777">
            <w:pPr>
              <w:keepNext/>
              <w:numPr>
                <w:ilvl w:val="12"/>
                <w:numId w:val="0"/>
              </w:numPr>
              <w:tabs>
                <w:tab w:val="left" w:pos="708"/>
              </w:tabs>
              <w:ind w:right="-2"/>
              <w:rPr>
                <w:sz w:val="22"/>
                <w:szCs w:val="22"/>
              </w:rPr>
            </w:pPr>
            <w:r w:rsidRPr="00612824">
              <w:rPr>
                <w:sz w:val="22"/>
                <w:szCs w:val="22"/>
              </w:rPr>
              <w:t xml:space="preserve">Bambini e adolescenti a partire dai 6 anni di età </w:t>
            </w:r>
            <w:r w:rsidRPr="00295E71" w:rsidR="00952DAA">
              <w:rPr>
                <w:sz w:val="22"/>
                <w:szCs w:val="22"/>
              </w:rPr>
              <w:t>con un peso uguale o superiore a 40 kg</w:t>
            </w:r>
          </w:p>
        </w:tc>
        <w:tc>
          <w:tcPr>
            <w:tcW w:w="3096" w:type="dxa"/>
            <w:tcBorders>
              <w:top w:val="single" w:sz="4" w:space="0" w:color="auto"/>
              <w:left w:val="single" w:sz="4" w:space="0" w:color="auto"/>
              <w:bottom w:val="single" w:sz="4" w:space="0" w:color="auto"/>
              <w:right w:val="single" w:sz="4" w:space="0" w:color="auto"/>
            </w:tcBorders>
          </w:tcPr>
          <w:p w:rsidR="00803E02" w:rsidRPr="00612824" w:rsidP="00803E02" w14:paraId="35461A7D" w14:textId="77777777">
            <w:pPr>
              <w:numPr>
                <w:ilvl w:val="12"/>
                <w:numId w:val="0"/>
              </w:numPr>
              <w:rPr>
                <w:sz w:val="22"/>
                <w:szCs w:val="22"/>
              </w:rPr>
            </w:pPr>
            <w:r>
              <w:rPr>
                <w:sz w:val="22"/>
                <w:szCs w:val="22"/>
              </w:rPr>
              <w:t>Una</w:t>
            </w:r>
            <w:r w:rsidRPr="00612824">
              <w:rPr>
                <w:sz w:val="22"/>
                <w:szCs w:val="22"/>
              </w:rPr>
              <w:t xml:space="preserve"> dose </w:t>
            </w:r>
            <w:r>
              <w:rPr>
                <w:sz w:val="22"/>
                <w:szCs w:val="22"/>
              </w:rPr>
              <w:t xml:space="preserve">iniziale </w:t>
            </w:r>
            <w:r w:rsidRPr="00612824">
              <w:rPr>
                <w:sz w:val="22"/>
                <w:szCs w:val="22"/>
              </w:rPr>
              <w:t xml:space="preserve">di 160 mg (due iniezioni da 80 mg in un </w:t>
            </w:r>
            <w:r w:rsidR="009D2CEC">
              <w:rPr>
                <w:sz w:val="22"/>
                <w:szCs w:val="22"/>
              </w:rPr>
              <w:t>giorno</w:t>
            </w:r>
            <w:r w:rsidRPr="00612824">
              <w:rPr>
                <w:sz w:val="22"/>
                <w:szCs w:val="22"/>
              </w:rPr>
              <w:t xml:space="preserve"> o una iniezione da 80 mg al giorno per due giorni consecutivi), seguita da 80 mg (una iniezione da 80 mg) due settimane dopo.</w:t>
            </w:r>
          </w:p>
          <w:p w:rsidR="00803E02" w:rsidRPr="00612824" w:rsidP="00803E02" w14:paraId="5D72F9FC" w14:textId="77777777">
            <w:pPr>
              <w:numPr>
                <w:ilvl w:val="12"/>
                <w:numId w:val="0"/>
              </w:numPr>
              <w:rPr>
                <w:sz w:val="22"/>
                <w:szCs w:val="22"/>
              </w:rPr>
            </w:pPr>
          </w:p>
          <w:p w:rsidR="00803E02" w:rsidRPr="00803E02" w:rsidP="00803E02" w14:paraId="1EED2AD1" w14:textId="77777777">
            <w:pPr>
              <w:keepNext/>
              <w:numPr>
                <w:ilvl w:val="12"/>
                <w:numId w:val="0"/>
              </w:numPr>
              <w:tabs>
                <w:tab w:val="left" w:pos="708"/>
              </w:tabs>
              <w:rPr>
                <w:sz w:val="22"/>
                <w:szCs w:val="22"/>
              </w:rPr>
            </w:pPr>
            <w:r w:rsidRPr="00612824">
              <w:rPr>
                <w:sz w:val="22"/>
                <w:szCs w:val="22"/>
              </w:rPr>
              <w:t xml:space="preserve">Successivamente, la dose abituale è di 80 mg </w:t>
            </w:r>
            <w:r w:rsidR="00952DAA">
              <w:rPr>
                <w:sz w:val="22"/>
                <w:szCs w:val="22"/>
              </w:rPr>
              <w:t>a settimane alterne</w:t>
            </w:r>
            <w:r w:rsidRPr="00612824">
              <w:rPr>
                <w:sz w:val="22"/>
                <w:szCs w:val="22"/>
              </w:rPr>
              <w:t>.</w:t>
            </w:r>
          </w:p>
        </w:tc>
        <w:tc>
          <w:tcPr>
            <w:tcW w:w="3096" w:type="dxa"/>
            <w:tcBorders>
              <w:top w:val="single" w:sz="4" w:space="0" w:color="auto"/>
              <w:left w:val="single" w:sz="4" w:space="0" w:color="auto"/>
              <w:bottom w:val="single" w:sz="4" w:space="0" w:color="auto"/>
              <w:right w:val="single" w:sz="4" w:space="0" w:color="auto"/>
            </w:tcBorders>
          </w:tcPr>
          <w:p w:rsidR="00803E02" w:rsidRPr="00803E02" w:rsidP="00803E02" w14:paraId="0B90477B" w14:textId="77777777">
            <w:pPr>
              <w:keepNext/>
              <w:numPr>
                <w:ilvl w:val="12"/>
                <w:numId w:val="0"/>
              </w:numPr>
              <w:tabs>
                <w:tab w:val="left" w:pos="708"/>
              </w:tabs>
              <w:ind w:right="-2"/>
              <w:rPr>
                <w:sz w:val="22"/>
                <w:szCs w:val="22"/>
              </w:rPr>
            </w:pPr>
            <w:r>
              <w:rPr>
                <w:sz w:val="22"/>
                <w:szCs w:val="22"/>
              </w:rPr>
              <w:t>Si d</w:t>
            </w:r>
            <w:r w:rsidRPr="00612824">
              <w:rPr>
                <w:sz w:val="22"/>
                <w:szCs w:val="22"/>
              </w:rPr>
              <w:t>eve continuare a</w:t>
            </w:r>
            <w:r>
              <w:rPr>
                <w:sz w:val="22"/>
                <w:szCs w:val="22"/>
              </w:rPr>
              <w:t>d</w:t>
            </w:r>
            <w:r w:rsidRPr="00612824">
              <w:rPr>
                <w:sz w:val="22"/>
                <w:szCs w:val="22"/>
              </w:rPr>
              <w:t xml:space="preserve"> </w:t>
            </w:r>
            <w:r>
              <w:rPr>
                <w:sz w:val="22"/>
                <w:szCs w:val="22"/>
              </w:rPr>
              <w:t>assumere</w:t>
            </w:r>
            <w:r w:rsidRPr="00612824">
              <w:rPr>
                <w:sz w:val="22"/>
                <w:szCs w:val="22"/>
              </w:rPr>
              <w:t xml:space="preserve"> Humira alla dose abituale, anche dopo aver compiuto 18 anni</w:t>
            </w:r>
            <w:r>
              <w:rPr>
                <w:sz w:val="22"/>
                <w:szCs w:val="22"/>
              </w:rPr>
              <w:t xml:space="preserve"> di età</w:t>
            </w:r>
            <w:r w:rsidRPr="00612824">
              <w:rPr>
                <w:sz w:val="22"/>
                <w:szCs w:val="22"/>
              </w:rPr>
              <w:t>.</w:t>
            </w:r>
          </w:p>
        </w:tc>
      </w:tr>
    </w:tbl>
    <w:p w:rsidR="006224C2" w:rsidRPr="00295E71" w14:paraId="25F311A3" w14:textId="77777777">
      <w:pPr>
        <w:numPr>
          <w:ilvl w:val="12"/>
          <w:numId w:val="0"/>
        </w:numPr>
        <w:tabs>
          <w:tab w:val="left" w:pos="708"/>
        </w:tabs>
        <w:ind w:right="-2"/>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2"/>
        <w:gridCol w:w="3022"/>
        <w:gridCol w:w="3026"/>
      </w:tblGrid>
      <w:tr w14:paraId="6CD9E227" w14:textId="77777777">
        <w:tblPrEx>
          <w:tblW w:w="0" w:type="auto"/>
          <w:tblLook w:val="04A0"/>
        </w:tblPrEx>
        <w:tc>
          <w:tcPr>
            <w:tcW w:w="9286" w:type="dxa"/>
            <w:gridSpan w:val="3"/>
            <w:tcBorders>
              <w:top w:val="single" w:sz="4" w:space="0" w:color="auto"/>
              <w:left w:val="single" w:sz="4" w:space="0" w:color="auto"/>
              <w:bottom w:val="single" w:sz="4" w:space="0" w:color="auto"/>
              <w:right w:val="single" w:sz="4" w:space="0" w:color="auto"/>
            </w:tcBorders>
            <w:hideMark/>
          </w:tcPr>
          <w:p w:rsidR="006224C2" w:rsidRPr="00295E71" w14:paraId="78F868D0" w14:textId="77777777">
            <w:pPr>
              <w:numPr>
                <w:ilvl w:val="12"/>
                <w:numId w:val="0"/>
              </w:numPr>
              <w:tabs>
                <w:tab w:val="left" w:pos="708"/>
              </w:tabs>
              <w:ind w:right="-2"/>
              <w:rPr>
                <w:b/>
                <w:sz w:val="22"/>
                <w:szCs w:val="22"/>
              </w:rPr>
            </w:pPr>
            <w:r w:rsidRPr="00295E71">
              <w:rPr>
                <w:b/>
                <w:sz w:val="22"/>
                <w:szCs w:val="22"/>
              </w:rPr>
              <w:t>Uveite non infettiva</w:t>
            </w:r>
          </w:p>
        </w:tc>
      </w:tr>
      <w:tr w14:paraId="427BC3C3"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7DC5F643" w14:textId="77777777">
            <w:pPr>
              <w:numPr>
                <w:ilvl w:val="12"/>
                <w:numId w:val="0"/>
              </w:numPr>
              <w:tabs>
                <w:tab w:val="left" w:pos="708"/>
              </w:tabs>
              <w:ind w:right="-2"/>
              <w:rPr>
                <w:sz w:val="22"/>
                <w:szCs w:val="22"/>
              </w:rPr>
            </w:pPr>
            <w:r w:rsidRPr="00295E71">
              <w:rPr>
                <w:b/>
                <w:sz w:val="22"/>
                <w:szCs w:val="22"/>
              </w:rPr>
              <w:t>Età o peso corporeo</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2E857189" w14:textId="77777777">
            <w:pPr>
              <w:tabs>
                <w:tab w:val="left" w:pos="0"/>
              </w:tabs>
              <w:rPr>
                <w:sz w:val="22"/>
                <w:szCs w:val="22"/>
              </w:rPr>
            </w:pPr>
            <w:r w:rsidRPr="00295E71">
              <w:rPr>
                <w:b/>
                <w:sz w:val="22"/>
                <w:szCs w:val="22"/>
              </w:rPr>
              <w:t>Che quantità ne va assunta e con che frequenza?</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50615EB9" w14:textId="77777777">
            <w:pPr>
              <w:numPr>
                <w:ilvl w:val="12"/>
                <w:numId w:val="0"/>
              </w:numPr>
              <w:tabs>
                <w:tab w:val="left" w:pos="708"/>
              </w:tabs>
              <w:rPr>
                <w:sz w:val="22"/>
                <w:szCs w:val="22"/>
              </w:rPr>
            </w:pPr>
            <w:r w:rsidRPr="00295E71">
              <w:rPr>
                <w:b/>
                <w:sz w:val="22"/>
                <w:szCs w:val="22"/>
              </w:rPr>
              <w:t>Note</w:t>
            </w:r>
          </w:p>
        </w:tc>
      </w:tr>
      <w:tr w14:paraId="2A228343"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2111E08A" w14:textId="77777777">
            <w:pPr>
              <w:numPr>
                <w:ilvl w:val="12"/>
                <w:numId w:val="0"/>
              </w:numPr>
              <w:tabs>
                <w:tab w:val="left" w:pos="708"/>
              </w:tabs>
              <w:ind w:right="-2"/>
              <w:rPr>
                <w:sz w:val="22"/>
                <w:szCs w:val="22"/>
              </w:rPr>
            </w:pPr>
            <w:r w:rsidRPr="00295E71">
              <w:rPr>
                <w:sz w:val="22"/>
                <w:szCs w:val="22"/>
              </w:rPr>
              <w:t>Adulti</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45DFD9A9" w14:textId="77777777">
            <w:pPr>
              <w:tabs>
                <w:tab w:val="left" w:pos="0"/>
              </w:tabs>
              <w:rPr>
                <w:sz w:val="22"/>
                <w:szCs w:val="22"/>
              </w:rPr>
            </w:pPr>
            <w:r w:rsidRPr="00295E71">
              <w:rPr>
                <w:sz w:val="22"/>
                <w:szCs w:val="22"/>
              </w:rPr>
              <w:t>La prima dose da 80 mg (un’iniezione da 80 mg), seguita da 40 mg a settimane alterne a cominciare da una settimana dopo la prima dose.</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37AE05D5" w14:textId="77777777">
            <w:pPr>
              <w:numPr>
                <w:ilvl w:val="12"/>
                <w:numId w:val="0"/>
              </w:numPr>
              <w:tabs>
                <w:tab w:val="left" w:pos="708"/>
              </w:tabs>
              <w:rPr>
                <w:sz w:val="22"/>
                <w:szCs w:val="22"/>
              </w:rPr>
            </w:pPr>
            <w:r w:rsidRPr="00295E71">
              <w:rPr>
                <w:sz w:val="22"/>
                <w:szCs w:val="22"/>
              </w:rPr>
              <w:t>L’uso di corticosteroidi o altri medicinali che interessano il sistema immunitario può essere continuato mentre si usa Humira. Humira può anche essere somministrato da solo.</w:t>
            </w:r>
          </w:p>
        </w:tc>
      </w:tr>
      <w:tr w14:paraId="070CA211"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tcPr>
          <w:p w:rsidR="006224C2" w:rsidRPr="00295E71" w:rsidP="001B37E9" w14:paraId="091274BD" w14:textId="77777777">
            <w:pPr>
              <w:numPr>
                <w:ilvl w:val="12"/>
                <w:numId w:val="0"/>
              </w:numPr>
              <w:tabs>
                <w:tab w:val="left" w:pos="708"/>
              </w:tabs>
              <w:ind w:right="-2"/>
              <w:rPr>
                <w:sz w:val="22"/>
                <w:szCs w:val="22"/>
              </w:rPr>
            </w:pPr>
            <w:r w:rsidRPr="00295E71">
              <w:rPr>
                <w:sz w:val="22"/>
                <w:szCs w:val="22"/>
              </w:rPr>
              <w:t xml:space="preserve">Bambini </w:t>
            </w:r>
            <w:r w:rsidRPr="00295E71" w:rsidR="001B37E9">
              <w:rPr>
                <w:sz w:val="22"/>
                <w:szCs w:val="22"/>
              </w:rPr>
              <w:t xml:space="preserve">e adolescenti </w:t>
            </w:r>
            <w:r w:rsidRPr="00295E71" w:rsidR="00351417">
              <w:rPr>
                <w:sz w:val="22"/>
                <w:szCs w:val="22"/>
              </w:rPr>
              <w:t xml:space="preserve">a partire </w:t>
            </w:r>
            <w:r w:rsidRPr="00295E71">
              <w:rPr>
                <w:sz w:val="22"/>
                <w:szCs w:val="22"/>
              </w:rPr>
              <w:t>dai 2 anni</w:t>
            </w:r>
            <w:r w:rsidRPr="00295E71" w:rsidR="00E63DC2">
              <w:rPr>
                <w:sz w:val="22"/>
                <w:szCs w:val="22"/>
              </w:rPr>
              <w:t xml:space="preserve"> di età</w:t>
            </w:r>
            <w:r w:rsidRPr="00295E71">
              <w:rPr>
                <w:sz w:val="22"/>
                <w:szCs w:val="22"/>
              </w:rPr>
              <w:t xml:space="preserve"> e </w:t>
            </w:r>
            <w:r w:rsidRPr="00295E71" w:rsidR="00E63DC2">
              <w:rPr>
                <w:sz w:val="22"/>
                <w:szCs w:val="22"/>
              </w:rPr>
              <w:t>con peso inferiore a 30 kg</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24153082" w14:textId="77777777">
            <w:pPr>
              <w:tabs>
                <w:tab w:val="left" w:pos="0"/>
              </w:tabs>
              <w:rPr>
                <w:sz w:val="22"/>
                <w:szCs w:val="22"/>
              </w:rPr>
            </w:pPr>
            <w:r w:rsidRPr="00295E71">
              <w:rPr>
                <w:sz w:val="22"/>
                <w:szCs w:val="22"/>
              </w:rPr>
              <w:t>20 mg a settimane alterne</w:t>
            </w:r>
          </w:p>
        </w:tc>
        <w:tc>
          <w:tcPr>
            <w:tcW w:w="3096" w:type="dxa"/>
            <w:tcBorders>
              <w:top w:val="single" w:sz="4" w:space="0" w:color="auto"/>
              <w:left w:val="single" w:sz="4" w:space="0" w:color="auto"/>
              <w:bottom w:val="single" w:sz="4" w:space="0" w:color="auto"/>
              <w:right w:val="single" w:sz="4" w:space="0" w:color="auto"/>
            </w:tcBorders>
          </w:tcPr>
          <w:p w:rsidR="006224C2" w:rsidRPr="00295E71" w:rsidP="003E69B9" w14:paraId="5BF2A765" w14:textId="77777777">
            <w:pPr>
              <w:numPr>
                <w:ilvl w:val="12"/>
                <w:numId w:val="0"/>
              </w:numPr>
              <w:ind w:right="-2"/>
              <w:rPr>
                <w:sz w:val="22"/>
                <w:szCs w:val="22"/>
              </w:rPr>
            </w:pPr>
            <w:r w:rsidRPr="00295E71">
              <w:rPr>
                <w:sz w:val="22"/>
                <w:szCs w:val="22"/>
              </w:rPr>
              <w:t>Il medico potrebbe prescrivere una dose iniziale d</w:t>
            </w:r>
            <w:r w:rsidRPr="00295E71" w:rsidR="0023157B">
              <w:rPr>
                <w:sz w:val="22"/>
                <w:szCs w:val="22"/>
              </w:rPr>
              <w:t>a</w:t>
            </w:r>
            <w:r w:rsidRPr="00295E71">
              <w:rPr>
                <w:sz w:val="22"/>
                <w:szCs w:val="22"/>
              </w:rPr>
              <w:t xml:space="preserve"> 40 mg da somministrare una settimana prima dell’inizio della dose abituale da 20 mg</w:t>
            </w:r>
            <w:r w:rsidRPr="00295E71" w:rsidR="0023157B">
              <w:rPr>
                <w:sz w:val="22"/>
                <w:szCs w:val="22"/>
              </w:rPr>
              <w:t xml:space="preserve"> a settimane alterne</w:t>
            </w:r>
            <w:r w:rsidRPr="00295E71">
              <w:rPr>
                <w:sz w:val="22"/>
                <w:szCs w:val="22"/>
              </w:rPr>
              <w:t>. L’uso di Humira è raccomandato in associazione al metotressato.</w:t>
            </w:r>
          </w:p>
        </w:tc>
      </w:tr>
      <w:tr w14:paraId="0A3362DF"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tcPr>
          <w:p w:rsidR="006224C2" w:rsidRPr="00295E71" w:rsidP="001B37E9" w14:paraId="0AB20786" w14:textId="77777777">
            <w:pPr>
              <w:numPr>
                <w:ilvl w:val="12"/>
                <w:numId w:val="0"/>
              </w:numPr>
              <w:tabs>
                <w:tab w:val="left" w:pos="708"/>
              </w:tabs>
              <w:ind w:right="-2"/>
              <w:rPr>
                <w:sz w:val="22"/>
                <w:szCs w:val="22"/>
              </w:rPr>
            </w:pPr>
            <w:r w:rsidRPr="00295E71">
              <w:rPr>
                <w:sz w:val="22"/>
                <w:szCs w:val="22"/>
              </w:rPr>
              <w:t xml:space="preserve">Bambini </w:t>
            </w:r>
            <w:r w:rsidRPr="00295E71" w:rsidR="001B37E9">
              <w:rPr>
                <w:sz w:val="22"/>
                <w:szCs w:val="22"/>
              </w:rPr>
              <w:t xml:space="preserve">e adolescenti </w:t>
            </w:r>
            <w:r w:rsidRPr="00295E71" w:rsidR="00351417">
              <w:rPr>
                <w:sz w:val="22"/>
                <w:szCs w:val="22"/>
              </w:rPr>
              <w:t xml:space="preserve">a partire </w:t>
            </w:r>
            <w:r w:rsidRPr="00295E71">
              <w:rPr>
                <w:sz w:val="22"/>
                <w:szCs w:val="22"/>
              </w:rPr>
              <w:t>dai 2 anni</w:t>
            </w:r>
            <w:r w:rsidRPr="00295E71" w:rsidR="00E63DC2">
              <w:rPr>
                <w:sz w:val="22"/>
                <w:szCs w:val="22"/>
              </w:rPr>
              <w:t xml:space="preserve"> di età</w:t>
            </w:r>
            <w:r w:rsidRPr="00295E71">
              <w:rPr>
                <w:sz w:val="22"/>
                <w:szCs w:val="22"/>
              </w:rPr>
              <w:t xml:space="preserve"> e con peso</w:t>
            </w:r>
            <w:r w:rsidRPr="00295E71" w:rsidR="00E63DC2">
              <w:rPr>
                <w:sz w:val="22"/>
                <w:szCs w:val="22"/>
              </w:rPr>
              <w:t xml:space="preserve"> uguale o superiore a </w:t>
            </w:r>
            <w:r w:rsidRPr="00295E71">
              <w:rPr>
                <w:sz w:val="22"/>
                <w:szCs w:val="22"/>
              </w:rPr>
              <w:t>30 kg</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6AD74CA2" w14:textId="77777777">
            <w:pPr>
              <w:tabs>
                <w:tab w:val="left" w:pos="0"/>
              </w:tabs>
              <w:rPr>
                <w:sz w:val="22"/>
                <w:szCs w:val="22"/>
              </w:rPr>
            </w:pPr>
            <w:r w:rsidRPr="00295E71">
              <w:rPr>
                <w:sz w:val="22"/>
                <w:szCs w:val="22"/>
              </w:rPr>
              <w:t>40 mg a settimane alterne</w:t>
            </w:r>
          </w:p>
        </w:tc>
        <w:tc>
          <w:tcPr>
            <w:tcW w:w="3096" w:type="dxa"/>
            <w:tcBorders>
              <w:top w:val="single" w:sz="4" w:space="0" w:color="auto"/>
              <w:left w:val="single" w:sz="4" w:space="0" w:color="auto"/>
              <w:bottom w:val="single" w:sz="4" w:space="0" w:color="auto"/>
              <w:right w:val="single" w:sz="4" w:space="0" w:color="auto"/>
            </w:tcBorders>
          </w:tcPr>
          <w:p w:rsidR="006224C2" w:rsidRPr="00295E71" w:rsidP="003E69B9" w14:paraId="60A3E274" w14:textId="77777777">
            <w:pPr>
              <w:numPr>
                <w:ilvl w:val="12"/>
                <w:numId w:val="0"/>
              </w:numPr>
              <w:ind w:right="-2"/>
              <w:rPr>
                <w:sz w:val="22"/>
                <w:szCs w:val="22"/>
              </w:rPr>
            </w:pPr>
            <w:r w:rsidRPr="00295E71">
              <w:rPr>
                <w:sz w:val="22"/>
                <w:szCs w:val="22"/>
              </w:rPr>
              <w:t>Il medico potrebbe prescrivere una dose iniziale da 80 mg da somministrare una settimana prima dell’inizio della dose abituale da 40 mg</w:t>
            </w:r>
            <w:r w:rsidRPr="00295E71" w:rsidR="0023157B">
              <w:rPr>
                <w:sz w:val="22"/>
                <w:szCs w:val="22"/>
              </w:rPr>
              <w:t xml:space="preserve"> a settimane alterne</w:t>
            </w:r>
            <w:r w:rsidRPr="00295E71">
              <w:rPr>
                <w:sz w:val="22"/>
                <w:szCs w:val="22"/>
              </w:rPr>
              <w:t xml:space="preserve">. L’uso di Humira è </w:t>
            </w:r>
            <w:r w:rsidRPr="00295E71">
              <w:rPr>
                <w:sz w:val="22"/>
                <w:szCs w:val="22"/>
              </w:rPr>
              <w:t>raccomandato in associazione al metotressato.</w:t>
            </w:r>
          </w:p>
        </w:tc>
      </w:tr>
    </w:tbl>
    <w:p w:rsidR="006224C2" w:rsidRPr="00295E71" w14:paraId="7064B99C" w14:textId="77777777">
      <w:pPr>
        <w:numPr>
          <w:ilvl w:val="12"/>
          <w:numId w:val="0"/>
        </w:numPr>
        <w:tabs>
          <w:tab w:val="left" w:pos="567"/>
        </w:tabs>
        <w:ind w:right="-2"/>
        <w:jc w:val="both"/>
        <w:rPr>
          <w:sz w:val="22"/>
          <w:szCs w:val="22"/>
        </w:rPr>
      </w:pPr>
    </w:p>
    <w:p w:rsidR="006224C2" w:rsidRPr="00295E71" w:rsidP="00DD14E3" w14:paraId="63318324" w14:textId="77777777">
      <w:pPr>
        <w:keepNext/>
        <w:keepLines/>
        <w:numPr>
          <w:ilvl w:val="12"/>
          <w:numId w:val="0"/>
        </w:numPr>
        <w:tabs>
          <w:tab w:val="left" w:pos="567"/>
        </w:tabs>
        <w:ind w:right="-2"/>
        <w:jc w:val="both"/>
        <w:rPr>
          <w:b/>
          <w:sz w:val="22"/>
          <w:szCs w:val="22"/>
        </w:rPr>
      </w:pPr>
      <w:r w:rsidRPr="00295E71">
        <w:rPr>
          <w:b/>
          <w:sz w:val="22"/>
          <w:szCs w:val="22"/>
        </w:rPr>
        <w:t>Modo e via di somministrazione</w:t>
      </w:r>
    </w:p>
    <w:p w:rsidR="006224C2" w:rsidRPr="00295E71" w:rsidP="00DD14E3" w14:paraId="7D80E473" w14:textId="77777777">
      <w:pPr>
        <w:keepNext/>
        <w:keepLines/>
        <w:numPr>
          <w:ilvl w:val="12"/>
          <w:numId w:val="0"/>
        </w:numPr>
        <w:tabs>
          <w:tab w:val="left" w:pos="567"/>
        </w:tabs>
        <w:ind w:right="-2"/>
        <w:jc w:val="both"/>
        <w:rPr>
          <w:sz w:val="22"/>
          <w:szCs w:val="22"/>
        </w:rPr>
      </w:pPr>
    </w:p>
    <w:p w:rsidR="006224C2" w:rsidRPr="00295E71" w:rsidP="00DD14E3" w14:paraId="54C910F4" w14:textId="77777777">
      <w:pPr>
        <w:keepNext/>
        <w:keepLines/>
        <w:numPr>
          <w:ilvl w:val="12"/>
          <w:numId w:val="0"/>
        </w:numPr>
        <w:tabs>
          <w:tab w:val="left" w:pos="567"/>
        </w:tabs>
        <w:ind w:right="-2"/>
        <w:jc w:val="both"/>
        <w:rPr>
          <w:sz w:val="22"/>
          <w:szCs w:val="22"/>
        </w:rPr>
      </w:pPr>
      <w:r w:rsidRPr="00295E71">
        <w:rPr>
          <w:sz w:val="22"/>
          <w:szCs w:val="22"/>
        </w:rPr>
        <w:t>Humira è somministrato per iniezione sotto la cute (per iniezione sottocutanea).</w:t>
      </w:r>
    </w:p>
    <w:p w:rsidR="006224C2" w:rsidRPr="00295E71" w:rsidP="00DD14E3" w14:paraId="409C402D" w14:textId="77777777">
      <w:pPr>
        <w:keepNext/>
        <w:keepLines/>
        <w:tabs>
          <w:tab w:val="left" w:pos="567"/>
        </w:tabs>
        <w:jc w:val="both"/>
        <w:rPr>
          <w:b/>
          <w:bCs/>
          <w:sz w:val="22"/>
          <w:szCs w:val="22"/>
        </w:rPr>
      </w:pPr>
    </w:p>
    <w:p w:rsidR="006224C2" w:rsidRPr="00295E71" w14:paraId="4556C887" w14:textId="77777777">
      <w:pPr>
        <w:tabs>
          <w:tab w:val="left" w:pos="567"/>
        </w:tabs>
        <w:jc w:val="both"/>
        <w:rPr>
          <w:b/>
          <w:sz w:val="22"/>
          <w:szCs w:val="22"/>
        </w:rPr>
      </w:pPr>
      <w:r w:rsidRPr="00295E71">
        <w:rPr>
          <w:b/>
          <w:bCs/>
          <w:sz w:val="22"/>
          <w:szCs w:val="22"/>
        </w:rPr>
        <w:t>Istruzioni dettagliate per l’iniezione di Humira si trovano alla sezione 7 “</w:t>
      </w:r>
      <w:r w:rsidR="00117837">
        <w:rPr>
          <w:b/>
          <w:bCs/>
          <w:sz w:val="22"/>
          <w:szCs w:val="22"/>
        </w:rPr>
        <w:t>Iniezione di Humira</w:t>
      </w:r>
      <w:r w:rsidRPr="00295E71">
        <w:rPr>
          <w:b/>
          <w:bCs/>
          <w:sz w:val="22"/>
          <w:szCs w:val="22"/>
        </w:rPr>
        <w:t>”.</w:t>
      </w:r>
    </w:p>
    <w:p w:rsidR="006224C2" w:rsidRPr="00295E71" w14:paraId="2D57B624" w14:textId="77777777">
      <w:pPr>
        <w:tabs>
          <w:tab w:val="left" w:pos="567"/>
        </w:tabs>
        <w:jc w:val="both"/>
        <w:rPr>
          <w:sz w:val="22"/>
          <w:szCs w:val="22"/>
          <w:u w:val="single"/>
        </w:rPr>
      </w:pPr>
    </w:p>
    <w:p w:rsidR="006224C2" w:rsidRPr="00295E71" w14:paraId="18F3476A" w14:textId="77777777">
      <w:pPr>
        <w:tabs>
          <w:tab w:val="left" w:pos="567"/>
        </w:tabs>
        <w:jc w:val="both"/>
        <w:rPr>
          <w:b/>
          <w:bCs/>
          <w:sz w:val="22"/>
          <w:szCs w:val="22"/>
        </w:rPr>
      </w:pPr>
      <w:r w:rsidRPr="00295E71">
        <w:rPr>
          <w:b/>
          <w:bCs/>
          <w:sz w:val="22"/>
          <w:szCs w:val="22"/>
        </w:rPr>
        <w:t>Se usa più Humira di quanto deve</w:t>
      </w:r>
    </w:p>
    <w:p w:rsidR="006224C2" w:rsidRPr="00295E71" w14:paraId="48077A29" w14:textId="77777777">
      <w:pPr>
        <w:pStyle w:val="EndnoteText"/>
        <w:jc w:val="both"/>
        <w:rPr>
          <w:lang w:val="it-IT" w:eastAsia="it-IT"/>
        </w:rPr>
      </w:pPr>
    </w:p>
    <w:p w:rsidR="006224C2" w:rsidRPr="00295E71" w14:paraId="61E649C3" w14:textId="77777777">
      <w:pPr>
        <w:pStyle w:val="BodyText3"/>
        <w:tabs>
          <w:tab w:val="left" w:pos="567"/>
        </w:tabs>
      </w:pPr>
      <w:r w:rsidRPr="00295E71">
        <w:t>Se accidentalmente inietta Humira più frequentemente di quanto disposto dal medico o dal farmacista, contatti il medico o il farmacista informandoli di aver assunto più farmaco. Conservi sempre la scatola del farmaco, anche se vuota.</w:t>
      </w:r>
    </w:p>
    <w:p w:rsidR="006224C2" w:rsidRPr="00295E71" w14:paraId="5AA8B9FF" w14:textId="77777777">
      <w:pPr>
        <w:pStyle w:val="EndnoteText"/>
        <w:jc w:val="both"/>
        <w:rPr>
          <w:lang w:val="it-IT" w:eastAsia="it-IT"/>
        </w:rPr>
      </w:pPr>
    </w:p>
    <w:p w:rsidR="006224C2" w:rsidRPr="00295E71" w14:paraId="15F444A8" w14:textId="77777777">
      <w:pPr>
        <w:tabs>
          <w:tab w:val="left" w:pos="567"/>
        </w:tabs>
        <w:jc w:val="both"/>
        <w:rPr>
          <w:b/>
          <w:bCs/>
          <w:sz w:val="22"/>
          <w:szCs w:val="22"/>
        </w:rPr>
      </w:pPr>
      <w:r w:rsidRPr="00295E71">
        <w:rPr>
          <w:b/>
          <w:bCs/>
          <w:sz w:val="22"/>
          <w:szCs w:val="22"/>
        </w:rPr>
        <w:t>Se dimentica di usare Humira</w:t>
      </w:r>
    </w:p>
    <w:p w:rsidR="006224C2" w:rsidRPr="00295E71" w14:paraId="56FA8C6A" w14:textId="77777777">
      <w:pPr>
        <w:pStyle w:val="EndnoteText"/>
        <w:jc w:val="both"/>
        <w:rPr>
          <w:lang w:val="it-IT" w:eastAsia="it-IT"/>
        </w:rPr>
      </w:pPr>
    </w:p>
    <w:p w:rsidR="006224C2" w:rsidRPr="00295E71" w14:paraId="64E99EDD" w14:textId="77777777">
      <w:pPr>
        <w:tabs>
          <w:tab w:val="left" w:pos="567"/>
        </w:tabs>
        <w:jc w:val="both"/>
        <w:rPr>
          <w:sz w:val="22"/>
          <w:szCs w:val="22"/>
        </w:rPr>
      </w:pPr>
      <w:r w:rsidRPr="00295E71">
        <w:rPr>
          <w:sz w:val="22"/>
          <w:szCs w:val="22"/>
        </w:rPr>
        <w:t>Se dimentica di fare un’iniezione, deve iniettarsi la dose successiva di Humira non appena se ne ricorda. Dopodiché riprenda la dose regolarmente secondo lo schema posologico stabilito.</w:t>
      </w:r>
    </w:p>
    <w:p w:rsidR="006224C2" w:rsidRPr="00295E71" w14:paraId="718074C0" w14:textId="77777777">
      <w:pPr>
        <w:tabs>
          <w:tab w:val="left" w:pos="567"/>
        </w:tabs>
        <w:jc w:val="both"/>
        <w:rPr>
          <w:sz w:val="22"/>
          <w:szCs w:val="22"/>
        </w:rPr>
      </w:pPr>
    </w:p>
    <w:p w:rsidR="006224C2" w:rsidRPr="00295E71" w14:paraId="680BDC3D" w14:textId="77777777">
      <w:pPr>
        <w:keepNext/>
        <w:tabs>
          <w:tab w:val="left" w:pos="567"/>
        </w:tabs>
        <w:jc w:val="both"/>
        <w:rPr>
          <w:b/>
          <w:sz w:val="22"/>
          <w:szCs w:val="22"/>
        </w:rPr>
      </w:pPr>
      <w:r w:rsidRPr="00295E71">
        <w:rPr>
          <w:b/>
          <w:sz w:val="22"/>
          <w:szCs w:val="22"/>
        </w:rPr>
        <w:t>Se interrompe il trattamento con Humira</w:t>
      </w:r>
    </w:p>
    <w:p w:rsidR="006224C2" w:rsidRPr="00295E71" w14:paraId="2A0CFEFB" w14:textId="77777777">
      <w:pPr>
        <w:keepNext/>
        <w:tabs>
          <w:tab w:val="left" w:pos="567"/>
        </w:tabs>
        <w:jc w:val="both"/>
        <w:rPr>
          <w:sz w:val="22"/>
          <w:szCs w:val="22"/>
        </w:rPr>
      </w:pPr>
    </w:p>
    <w:p w:rsidR="006224C2" w:rsidRPr="00295E71" w14:paraId="4F9EAF76" w14:textId="77777777">
      <w:pPr>
        <w:keepNext/>
        <w:tabs>
          <w:tab w:val="left" w:pos="567"/>
        </w:tabs>
        <w:jc w:val="both"/>
        <w:rPr>
          <w:sz w:val="22"/>
          <w:szCs w:val="22"/>
        </w:rPr>
      </w:pPr>
      <w:r w:rsidRPr="00295E71">
        <w:rPr>
          <w:sz w:val="22"/>
          <w:szCs w:val="22"/>
        </w:rPr>
        <w:t>La decisione di interrompere l’uso di Humira deve essere discussa con il medico. I sintomi possono ritornare se interrompe l’assunzione di Humira.</w:t>
      </w:r>
    </w:p>
    <w:p w:rsidR="006224C2" w:rsidRPr="00295E71" w14:paraId="15BE1843" w14:textId="77777777">
      <w:pPr>
        <w:tabs>
          <w:tab w:val="left" w:pos="567"/>
        </w:tabs>
        <w:jc w:val="both"/>
        <w:rPr>
          <w:sz w:val="22"/>
          <w:szCs w:val="22"/>
        </w:rPr>
      </w:pPr>
    </w:p>
    <w:p w:rsidR="006224C2" w:rsidRPr="00295E71" w14:paraId="38B58660" w14:textId="77777777">
      <w:pPr>
        <w:tabs>
          <w:tab w:val="left" w:pos="567"/>
        </w:tabs>
        <w:jc w:val="both"/>
        <w:rPr>
          <w:sz w:val="22"/>
          <w:szCs w:val="22"/>
        </w:rPr>
      </w:pPr>
      <w:r w:rsidRPr="00295E71">
        <w:rPr>
          <w:sz w:val="22"/>
          <w:szCs w:val="22"/>
        </w:rPr>
        <w:t>Se ha qualsiasi dubbio sull’uso di questo medicinale, si rivolga al medico o al farmacista.</w:t>
      </w:r>
    </w:p>
    <w:p w:rsidR="006224C2" w:rsidRPr="00295E71" w14:paraId="26F0E805" w14:textId="77777777">
      <w:pPr>
        <w:jc w:val="both"/>
        <w:rPr>
          <w:sz w:val="22"/>
          <w:szCs w:val="22"/>
        </w:rPr>
      </w:pPr>
    </w:p>
    <w:p w:rsidR="006224C2" w:rsidRPr="00295E71" w14:paraId="0301C4D0" w14:textId="77777777">
      <w:pPr>
        <w:jc w:val="both"/>
        <w:rPr>
          <w:sz w:val="22"/>
          <w:szCs w:val="22"/>
        </w:rPr>
      </w:pPr>
    </w:p>
    <w:p w:rsidR="006224C2" w:rsidRPr="00295E71" w14:paraId="75E80D7E" w14:textId="77777777">
      <w:pPr>
        <w:keepNext/>
        <w:numPr>
          <w:ilvl w:val="12"/>
          <w:numId w:val="0"/>
        </w:numPr>
        <w:tabs>
          <w:tab w:val="left" w:pos="567"/>
        </w:tabs>
        <w:ind w:left="567" w:right="-2" w:hanging="567"/>
        <w:jc w:val="both"/>
        <w:rPr>
          <w:b/>
          <w:bCs/>
          <w:sz w:val="22"/>
          <w:szCs w:val="22"/>
        </w:rPr>
      </w:pPr>
      <w:r w:rsidRPr="00295E71">
        <w:rPr>
          <w:b/>
          <w:bCs/>
          <w:sz w:val="22"/>
          <w:szCs w:val="22"/>
        </w:rPr>
        <w:t>4.</w:t>
      </w:r>
      <w:r w:rsidRPr="00295E71">
        <w:rPr>
          <w:b/>
          <w:bCs/>
          <w:sz w:val="22"/>
          <w:szCs w:val="22"/>
        </w:rPr>
        <w:tab/>
        <w:t>Possibili effetti indesiderati</w:t>
      </w:r>
    </w:p>
    <w:p w:rsidR="006224C2" w:rsidRPr="00295E71" w14:paraId="625A81E0" w14:textId="77777777">
      <w:pPr>
        <w:keepNext/>
        <w:numPr>
          <w:ilvl w:val="12"/>
          <w:numId w:val="0"/>
        </w:numPr>
        <w:tabs>
          <w:tab w:val="left" w:pos="567"/>
        </w:tabs>
        <w:ind w:right="-2"/>
        <w:jc w:val="both"/>
        <w:rPr>
          <w:sz w:val="22"/>
          <w:szCs w:val="22"/>
        </w:rPr>
      </w:pPr>
    </w:p>
    <w:p w:rsidR="006224C2" w:rsidRPr="00295E71" w14:paraId="45355CE5" w14:textId="77777777">
      <w:pPr>
        <w:keepNext/>
        <w:tabs>
          <w:tab w:val="left" w:pos="567"/>
        </w:tabs>
        <w:jc w:val="both"/>
        <w:rPr>
          <w:sz w:val="22"/>
          <w:szCs w:val="22"/>
        </w:rPr>
      </w:pPr>
      <w:r w:rsidRPr="00295E71">
        <w:rPr>
          <w:sz w:val="22"/>
          <w:szCs w:val="22"/>
        </w:rPr>
        <w:t>Come tutti i medicinali, questo medicinale può causare effetti indesiderati sebbene non tutte le persone li manifestino. La maggior parte degli effetti indesiderati si presenta in forma da lieve a moderata. Tuttavia, alcuni possono essere gravi e richiedere trattamento. Effetti indesiderati possono manifestarsi fino a 4 mesi dall’ultima iniezione di Humira.</w:t>
      </w:r>
    </w:p>
    <w:p w:rsidR="006224C2" w:rsidRPr="00295E71" w14:paraId="2B3993F6" w14:textId="77777777">
      <w:pPr>
        <w:pStyle w:val="EndnoteText"/>
        <w:jc w:val="both"/>
        <w:rPr>
          <w:lang w:val="it-IT" w:eastAsia="it-IT"/>
        </w:rPr>
      </w:pPr>
    </w:p>
    <w:p w:rsidR="006224C2" w:rsidRPr="00295E71" w14:paraId="5AEE04E1" w14:textId="77777777">
      <w:pPr>
        <w:tabs>
          <w:tab w:val="left" w:pos="567"/>
        </w:tabs>
        <w:jc w:val="both"/>
        <w:rPr>
          <w:b/>
          <w:bCs/>
          <w:sz w:val="22"/>
          <w:szCs w:val="22"/>
        </w:rPr>
      </w:pPr>
      <w:r w:rsidRPr="00295E71">
        <w:rPr>
          <w:b/>
          <w:bCs/>
          <w:sz w:val="22"/>
          <w:szCs w:val="22"/>
        </w:rPr>
        <w:t>Informi immediatamente il medico se nota una qualsiasi delle seguenti reazioni</w:t>
      </w:r>
    </w:p>
    <w:p w:rsidR="006224C2" w:rsidRPr="00295E71" w14:paraId="783E14A3" w14:textId="77777777">
      <w:pPr>
        <w:tabs>
          <w:tab w:val="left" w:pos="567"/>
        </w:tabs>
        <w:jc w:val="both"/>
        <w:rPr>
          <w:b/>
          <w:bCs/>
          <w:sz w:val="22"/>
          <w:szCs w:val="22"/>
        </w:rPr>
      </w:pPr>
    </w:p>
    <w:p w:rsidR="006224C2" w:rsidRPr="00295E71" w14:paraId="00AA9672" w14:textId="77777777">
      <w:pPr>
        <w:numPr>
          <w:ilvl w:val="0"/>
          <w:numId w:val="15"/>
        </w:numPr>
        <w:tabs>
          <w:tab w:val="left" w:pos="567"/>
        </w:tabs>
        <w:ind w:left="567" w:hanging="567"/>
        <w:jc w:val="both"/>
        <w:rPr>
          <w:sz w:val="22"/>
          <w:szCs w:val="22"/>
        </w:rPr>
      </w:pPr>
      <w:r w:rsidRPr="00295E71">
        <w:rPr>
          <w:sz w:val="22"/>
          <w:szCs w:val="22"/>
        </w:rPr>
        <w:t>eruzione cutanea grave, orticaria o altri segni di reazione allergica</w:t>
      </w:r>
    </w:p>
    <w:p w:rsidR="006224C2" w:rsidRPr="00295E71" w14:paraId="2B5A562D" w14:textId="77777777">
      <w:pPr>
        <w:numPr>
          <w:ilvl w:val="0"/>
          <w:numId w:val="15"/>
        </w:numPr>
        <w:tabs>
          <w:tab w:val="left" w:pos="567"/>
        </w:tabs>
        <w:ind w:left="567" w:hanging="567"/>
        <w:jc w:val="both"/>
        <w:rPr>
          <w:sz w:val="22"/>
          <w:szCs w:val="22"/>
        </w:rPr>
      </w:pPr>
      <w:r w:rsidRPr="00295E71">
        <w:rPr>
          <w:sz w:val="22"/>
          <w:szCs w:val="22"/>
        </w:rPr>
        <w:t>gonfiore del viso, delle mani, dei piedi</w:t>
      </w:r>
    </w:p>
    <w:p w:rsidR="006224C2" w:rsidRPr="00295E71" w14:paraId="43A8D01E" w14:textId="77777777">
      <w:pPr>
        <w:numPr>
          <w:ilvl w:val="0"/>
          <w:numId w:val="15"/>
        </w:numPr>
        <w:tabs>
          <w:tab w:val="left" w:pos="567"/>
        </w:tabs>
        <w:ind w:left="567" w:hanging="567"/>
        <w:jc w:val="both"/>
        <w:rPr>
          <w:sz w:val="22"/>
          <w:szCs w:val="22"/>
        </w:rPr>
      </w:pPr>
      <w:r w:rsidRPr="00295E71">
        <w:rPr>
          <w:sz w:val="22"/>
          <w:szCs w:val="22"/>
        </w:rPr>
        <w:t>difficoltà a respirare, difficoltà a</w:t>
      </w:r>
      <w:r w:rsidRPr="00295E71" w:rsidR="001348F2">
        <w:rPr>
          <w:sz w:val="22"/>
          <w:szCs w:val="22"/>
        </w:rPr>
        <w:t xml:space="preserve"> deglutire</w:t>
      </w:r>
    </w:p>
    <w:p w:rsidR="006224C2" w:rsidRPr="00295E71" w14:paraId="3E44F716" w14:textId="77777777">
      <w:pPr>
        <w:numPr>
          <w:ilvl w:val="0"/>
          <w:numId w:val="15"/>
        </w:numPr>
        <w:tabs>
          <w:tab w:val="left" w:pos="567"/>
        </w:tabs>
        <w:ind w:left="567" w:hanging="567"/>
        <w:jc w:val="both"/>
        <w:rPr>
          <w:sz w:val="22"/>
          <w:szCs w:val="22"/>
        </w:rPr>
      </w:pPr>
      <w:r w:rsidRPr="00295E71">
        <w:rPr>
          <w:sz w:val="22"/>
          <w:szCs w:val="22"/>
        </w:rPr>
        <w:t>respiro corto durante l’attività fisica o in posizione sdraiata o piedi gonfi.</w:t>
      </w:r>
    </w:p>
    <w:p w:rsidR="006224C2" w:rsidRPr="00295E71" w14:paraId="76C7E39A" w14:textId="77777777">
      <w:pPr>
        <w:tabs>
          <w:tab w:val="left" w:pos="567"/>
        </w:tabs>
        <w:ind w:left="360"/>
        <w:jc w:val="both"/>
        <w:rPr>
          <w:sz w:val="22"/>
          <w:szCs w:val="22"/>
        </w:rPr>
      </w:pPr>
    </w:p>
    <w:p w:rsidR="006224C2" w:rsidRPr="00295E71" w14:paraId="6D737843" w14:textId="77777777">
      <w:pPr>
        <w:tabs>
          <w:tab w:val="left" w:pos="567"/>
        </w:tabs>
        <w:jc w:val="both"/>
        <w:rPr>
          <w:b/>
          <w:bCs/>
          <w:sz w:val="22"/>
          <w:szCs w:val="22"/>
        </w:rPr>
      </w:pPr>
      <w:r w:rsidRPr="00295E71">
        <w:rPr>
          <w:b/>
          <w:bCs/>
          <w:sz w:val="22"/>
          <w:szCs w:val="22"/>
        </w:rPr>
        <w:t>Informi appena possibile il medico se nota una qualsiasi delle seguenti reazioni</w:t>
      </w:r>
    </w:p>
    <w:p w:rsidR="006224C2" w:rsidRPr="00295E71" w14:paraId="01D9A325" w14:textId="77777777">
      <w:pPr>
        <w:tabs>
          <w:tab w:val="left" w:pos="567"/>
        </w:tabs>
        <w:jc w:val="both"/>
        <w:rPr>
          <w:b/>
          <w:bCs/>
          <w:sz w:val="22"/>
          <w:szCs w:val="22"/>
        </w:rPr>
      </w:pPr>
    </w:p>
    <w:p w:rsidR="006224C2" w:rsidRPr="00295E71" w14:paraId="15547F36" w14:textId="77777777">
      <w:pPr>
        <w:numPr>
          <w:ilvl w:val="0"/>
          <w:numId w:val="14"/>
        </w:numPr>
        <w:tabs>
          <w:tab w:val="num" w:pos="540"/>
          <w:tab w:val="left" w:pos="567"/>
          <w:tab w:val="clear" w:pos="720"/>
          <w:tab w:val="left" w:pos="993"/>
        </w:tabs>
        <w:ind w:left="567" w:hanging="567"/>
        <w:jc w:val="both"/>
        <w:rPr>
          <w:sz w:val="22"/>
          <w:szCs w:val="22"/>
        </w:rPr>
      </w:pPr>
      <w:r w:rsidRPr="00295E71">
        <w:rPr>
          <w:sz w:val="22"/>
          <w:szCs w:val="22"/>
        </w:rPr>
        <w:t>segni di infezione come febbre, sensazione di malessere, ferite, problemi dentali, bruciore nell’urinare</w:t>
      </w:r>
    </w:p>
    <w:p w:rsidR="006224C2" w:rsidRPr="00295E71" w14:paraId="65A0FA02" w14:textId="77777777">
      <w:pPr>
        <w:numPr>
          <w:ilvl w:val="0"/>
          <w:numId w:val="14"/>
        </w:numPr>
        <w:tabs>
          <w:tab w:val="num" w:pos="540"/>
          <w:tab w:val="left" w:pos="567"/>
          <w:tab w:val="left" w:pos="993"/>
        </w:tabs>
        <w:ind w:left="567" w:hanging="567"/>
        <w:jc w:val="both"/>
        <w:rPr>
          <w:sz w:val="22"/>
          <w:szCs w:val="22"/>
        </w:rPr>
      </w:pPr>
      <w:r w:rsidRPr="00295E71">
        <w:rPr>
          <w:sz w:val="22"/>
          <w:szCs w:val="22"/>
        </w:rPr>
        <w:t>stanchezza o debolezza</w:t>
      </w:r>
    </w:p>
    <w:p w:rsidR="006224C2" w:rsidRPr="00295E71" w14:paraId="6BA402D4" w14:textId="77777777">
      <w:pPr>
        <w:numPr>
          <w:ilvl w:val="0"/>
          <w:numId w:val="14"/>
        </w:numPr>
        <w:tabs>
          <w:tab w:val="num" w:pos="540"/>
          <w:tab w:val="left" w:pos="567"/>
          <w:tab w:val="left" w:pos="993"/>
        </w:tabs>
        <w:ind w:left="567" w:hanging="567"/>
        <w:jc w:val="both"/>
        <w:rPr>
          <w:sz w:val="22"/>
          <w:szCs w:val="22"/>
        </w:rPr>
      </w:pPr>
      <w:r w:rsidRPr="00295E71">
        <w:rPr>
          <w:sz w:val="22"/>
          <w:szCs w:val="22"/>
        </w:rPr>
        <w:t>tosse</w:t>
      </w:r>
    </w:p>
    <w:p w:rsidR="006224C2" w:rsidRPr="00295E71" w14:paraId="0E0D72A2" w14:textId="77777777">
      <w:pPr>
        <w:numPr>
          <w:ilvl w:val="0"/>
          <w:numId w:val="14"/>
        </w:numPr>
        <w:tabs>
          <w:tab w:val="num" w:pos="540"/>
          <w:tab w:val="left" w:pos="567"/>
          <w:tab w:val="left" w:pos="993"/>
        </w:tabs>
        <w:ind w:left="567" w:hanging="567"/>
        <w:jc w:val="both"/>
        <w:rPr>
          <w:sz w:val="22"/>
          <w:szCs w:val="22"/>
        </w:rPr>
      </w:pPr>
      <w:r w:rsidRPr="00295E71">
        <w:rPr>
          <w:sz w:val="22"/>
          <w:szCs w:val="22"/>
        </w:rPr>
        <w:t>formicolio</w:t>
      </w:r>
    </w:p>
    <w:p w:rsidR="006224C2" w:rsidRPr="00295E71" w14:paraId="34F36ED1" w14:textId="77777777">
      <w:pPr>
        <w:numPr>
          <w:ilvl w:val="0"/>
          <w:numId w:val="14"/>
        </w:numPr>
        <w:tabs>
          <w:tab w:val="num" w:pos="540"/>
          <w:tab w:val="left" w:pos="567"/>
          <w:tab w:val="left" w:pos="993"/>
        </w:tabs>
        <w:ind w:left="567" w:hanging="567"/>
        <w:jc w:val="both"/>
        <w:rPr>
          <w:sz w:val="22"/>
          <w:szCs w:val="22"/>
        </w:rPr>
      </w:pPr>
      <w:r w:rsidRPr="00295E71">
        <w:rPr>
          <w:sz w:val="22"/>
          <w:szCs w:val="22"/>
        </w:rPr>
        <w:t>torpore</w:t>
      </w:r>
    </w:p>
    <w:p w:rsidR="006224C2" w:rsidRPr="00295E71" w14:paraId="79EF2A14" w14:textId="77777777">
      <w:pPr>
        <w:numPr>
          <w:ilvl w:val="0"/>
          <w:numId w:val="14"/>
        </w:numPr>
        <w:tabs>
          <w:tab w:val="num" w:pos="540"/>
          <w:tab w:val="left" w:pos="567"/>
          <w:tab w:val="left" w:pos="993"/>
        </w:tabs>
        <w:ind w:left="567" w:hanging="567"/>
        <w:jc w:val="both"/>
        <w:rPr>
          <w:sz w:val="22"/>
          <w:szCs w:val="22"/>
        </w:rPr>
      </w:pPr>
      <w:r w:rsidRPr="00295E71">
        <w:rPr>
          <w:sz w:val="22"/>
          <w:szCs w:val="22"/>
        </w:rPr>
        <w:t>sdoppiamento della vista</w:t>
      </w:r>
    </w:p>
    <w:p w:rsidR="006224C2" w:rsidRPr="00295E71" w14:paraId="672E3F85" w14:textId="77777777">
      <w:pPr>
        <w:numPr>
          <w:ilvl w:val="0"/>
          <w:numId w:val="14"/>
        </w:numPr>
        <w:tabs>
          <w:tab w:val="num" w:pos="540"/>
          <w:tab w:val="left" w:pos="567"/>
          <w:tab w:val="left" w:pos="993"/>
        </w:tabs>
        <w:ind w:left="567" w:hanging="567"/>
        <w:jc w:val="both"/>
        <w:rPr>
          <w:sz w:val="22"/>
          <w:szCs w:val="22"/>
        </w:rPr>
      </w:pPr>
      <w:r w:rsidRPr="00295E71">
        <w:rPr>
          <w:sz w:val="22"/>
          <w:szCs w:val="22"/>
        </w:rPr>
        <w:t>debolezza delle braccia o gambe</w:t>
      </w:r>
    </w:p>
    <w:p w:rsidR="006224C2" w:rsidRPr="00295E71" w14:paraId="7447ADB3" w14:textId="77777777">
      <w:pPr>
        <w:numPr>
          <w:ilvl w:val="0"/>
          <w:numId w:val="14"/>
        </w:numPr>
        <w:tabs>
          <w:tab w:val="num" w:pos="540"/>
          <w:tab w:val="left" w:pos="567"/>
          <w:tab w:val="left" w:pos="993"/>
        </w:tabs>
        <w:ind w:left="567" w:hanging="567"/>
        <w:jc w:val="both"/>
        <w:rPr>
          <w:sz w:val="22"/>
          <w:szCs w:val="22"/>
        </w:rPr>
      </w:pPr>
      <w:r w:rsidRPr="00295E71">
        <w:rPr>
          <w:sz w:val="22"/>
          <w:szCs w:val="22"/>
        </w:rPr>
        <w:t>gonfiore o piaga aperta che non guarisce</w:t>
      </w:r>
    </w:p>
    <w:p w:rsidR="006224C2" w:rsidRPr="00295E71" w14:paraId="7CDFAACD" w14:textId="77777777">
      <w:pPr>
        <w:numPr>
          <w:ilvl w:val="0"/>
          <w:numId w:val="14"/>
        </w:numPr>
        <w:tabs>
          <w:tab w:val="num" w:pos="540"/>
          <w:tab w:val="left" w:pos="567"/>
          <w:tab w:val="clear" w:pos="720"/>
        </w:tabs>
        <w:ind w:left="540" w:hanging="540"/>
        <w:jc w:val="both"/>
        <w:rPr>
          <w:sz w:val="22"/>
          <w:szCs w:val="22"/>
        </w:rPr>
      </w:pPr>
      <w:r w:rsidRPr="00295E71">
        <w:rPr>
          <w:sz w:val="22"/>
          <w:szCs w:val="22"/>
        </w:rPr>
        <w:t>segni e sintomi che suggeriscono la comparsa di disturbi a carico del sistema emopoietico, come la presenza di febbre persistente, lividi, emorragie, pallore</w:t>
      </w:r>
    </w:p>
    <w:p w:rsidR="006224C2" w:rsidRPr="00295E71" w14:paraId="2BA88790" w14:textId="77777777">
      <w:pPr>
        <w:tabs>
          <w:tab w:val="left" w:pos="567"/>
        </w:tabs>
        <w:ind w:left="360"/>
        <w:jc w:val="both"/>
        <w:rPr>
          <w:sz w:val="22"/>
          <w:szCs w:val="22"/>
        </w:rPr>
      </w:pPr>
    </w:p>
    <w:p w:rsidR="006224C2" w:rsidRPr="00295E71" w14:paraId="7B657A59" w14:textId="77777777">
      <w:pPr>
        <w:rPr>
          <w:sz w:val="22"/>
          <w:szCs w:val="22"/>
        </w:rPr>
      </w:pPr>
      <w:r w:rsidRPr="00295E71">
        <w:rPr>
          <w:sz w:val="22"/>
          <w:szCs w:val="22"/>
        </w:rPr>
        <w:t>I sintomi sopra descritti possono essere segni dei seguenti effetti indesiderati, che sono stati osservati con Humira.</w:t>
      </w:r>
    </w:p>
    <w:p w:rsidR="006224C2" w:rsidRPr="00295E71" w14:paraId="7F139CC4" w14:textId="77777777">
      <w:pPr>
        <w:pStyle w:val="EndnoteText"/>
        <w:jc w:val="both"/>
        <w:rPr>
          <w:lang w:val="it-IT" w:eastAsia="it-IT"/>
        </w:rPr>
      </w:pPr>
    </w:p>
    <w:p w:rsidR="006224C2" w:rsidRPr="00295E71" w14:paraId="2E7215E6" w14:textId="77777777">
      <w:pPr>
        <w:tabs>
          <w:tab w:val="left" w:pos="567"/>
        </w:tabs>
        <w:jc w:val="both"/>
        <w:rPr>
          <w:sz w:val="22"/>
          <w:szCs w:val="22"/>
        </w:rPr>
      </w:pPr>
      <w:r w:rsidRPr="00295E71">
        <w:rPr>
          <w:b/>
          <w:bCs/>
          <w:sz w:val="22"/>
          <w:szCs w:val="22"/>
        </w:rPr>
        <w:t>Molto comuni</w:t>
      </w:r>
      <w:r w:rsidRPr="00295E71">
        <w:rPr>
          <w:sz w:val="22"/>
          <w:szCs w:val="22"/>
        </w:rPr>
        <w:t xml:space="preserve"> (possono manifestarsi in più di 1 persona su 10)</w:t>
      </w:r>
    </w:p>
    <w:p w:rsidR="006224C2" w:rsidRPr="00295E71" w14:paraId="69BED46C" w14:textId="77777777">
      <w:pPr>
        <w:tabs>
          <w:tab w:val="left" w:pos="567"/>
        </w:tabs>
        <w:jc w:val="both"/>
        <w:rPr>
          <w:sz w:val="22"/>
          <w:szCs w:val="22"/>
        </w:rPr>
      </w:pPr>
    </w:p>
    <w:p w:rsidR="006224C2" w:rsidRPr="00295E71" w14:paraId="58E81218"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reazioni nella sede d’iniezione (tra cui dolore, edema, arrossamento o prurito)</w:t>
      </w:r>
    </w:p>
    <w:p w:rsidR="006224C2" w:rsidRPr="00295E71" w14:paraId="5A0AFAE8"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delle vie respiratorie (tra cui raffreddore, rinorrea, sinusite e polmonite)</w:t>
      </w:r>
    </w:p>
    <w:p w:rsidR="006224C2" w:rsidRPr="00295E71" w14:paraId="72488E77" w14:textId="77777777">
      <w:pPr>
        <w:numPr>
          <w:ilvl w:val="0"/>
          <w:numId w:val="14"/>
        </w:numPr>
        <w:tabs>
          <w:tab w:val="num" w:pos="540"/>
          <w:tab w:val="left" w:pos="567"/>
          <w:tab w:val="left" w:pos="993"/>
        </w:tabs>
        <w:ind w:left="567" w:hanging="567"/>
        <w:jc w:val="both"/>
        <w:rPr>
          <w:sz w:val="22"/>
          <w:szCs w:val="22"/>
        </w:rPr>
      </w:pPr>
      <w:r w:rsidRPr="00295E71">
        <w:rPr>
          <w:sz w:val="22"/>
          <w:szCs w:val="22"/>
        </w:rPr>
        <w:t>cefalea</w:t>
      </w:r>
    </w:p>
    <w:p w:rsidR="006224C2" w:rsidRPr="00295E71" w14:paraId="648E528E"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addominale</w:t>
      </w:r>
    </w:p>
    <w:p w:rsidR="006224C2" w:rsidRPr="00295E71" w14:paraId="4301FE02" w14:textId="77777777">
      <w:pPr>
        <w:numPr>
          <w:ilvl w:val="0"/>
          <w:numId w:val="14"/>
        </w:numPr>
        <w:tabs>
          <w:tab w:val="num" w:pos="540"/>
          <w:tab w:val="left" w:pos="567"/>
          <w:tab w:val="left" w:pos="993"/>
        </w:tabs>
        <w:ind w:left="567" w:hanging="567"/>
        <w:jc w:val="both"/>
        <w:rPr>
          <w:sz w:val="22"/>
          <w:szCs w:val="22"/>
        </w:rPr>
      </w:pPr>
      <w:r w:rsidRPr="00295E71">
        <w:rPr>
          <w:sz w:val="22"/>
          <w:szCs w:val="22"/>
        </w:rPr>
        <w:t>nausea e vomito</w:t>
      </w:r>
    </w:p>
    <w:p w:rsidR="006224C2" w:rsidRPr="00295E71" w14:paraId="3E7A6632" w14:textId="77777777">
      <w:pPr>
        <w:numPr>
          <w:ilvl w:val="0"/>
          <w:numId w:val="14"/>
        </w:numPr>
        <w:tabs>
          <w:tab w:val="num" w:pos="540"/>
          <w:tab w:val="left" w:pos="567"/>
          <w:tab w:val="left" w:pos="993"/>
        </w:tabs>
        <w:ind w:left="567" w:hanging="567"/>
        <w:jc w:val="both"/>
        <w:rPr>
          <w:sz w:val="22"/>
          <w:szCs w:val="22"/>
        </w:rPr>
      </w:pPr>
      <w:r w:rsidRPr="00295E71">
        <w:rPr>
          <w:sz w:val="22"/>
          <w:szCs w:val="22"/>
        </w:rPr>
        <w:t>eruzione cutanea</w:t>
      </w:r>
    </w:p>
    <w:p w:rsidR="006224C2" w:rsidRPr="00295E71" w14:paraId="78AF7356"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muscoloscheletrico</w:t>
      </w:r>
    </w:p>
    <w:p w:rsidR="006224C2" w:rsidRPr="00295E71" w14:paraId="7DE8AF03" w14:textId="77777777">
      <w:pPr>
        <w:pStyle w:val="EndnoteText"/>
        <w:jc w:val="both"/>
        <w:rPr>
          <w:lang w:val="it-IT" w:eastAsia="it-IT"/>
        </w:rPr>
      </w:pPr>
    </w:p>
    <w:p w:rsidR="006224C2" w:rsidRPr="00295E71" w14:paraId="628F0132" w14:textId="77777777">
      <w:pPr>
        <w:tabs>
          <w:tab w:val="left" w:pos="567"/>
        </w:tabs>
        <w:jc w:val="both"/>
        <w:rPr>
          <w:sz w:val="22"/>
          <w:szCs w:val="22"/>
        </w:rPr>
      </w:pPr>
      <w:r w:rsidRPr="00295E71">
        <w:rPr>
          <w:b/>
          <w:bCs/>
          <w:sz w:val="22"/>
          <w:szCs w:val="22"/>
        </w:rPr>
        <w:t>Comuni</w:t>
      </w:r>
      <w:r w:rsidRPr="00295E71">
        <w:rPr>
          <w:sz w:val="22"/>
          <w:szCs w:val="22"/>
        </w:rPr>
        <w:t xml:space="preserve"> (possono manifestarsi fino a 1 persona su 10) </w:t>
      </w:r>
    </w:p>
    <w:p w:rsidR="006224C2" w:rsidRPr="00295E71" w14:paraId="232DC5CA" w14:textId="77777777">
      <w:pPr>
        <w:tabs>
          <w:tab w:val="left" w:pos="567"/>
        </w:tabs>
        <w:jc w:val="both"/>
        <w:rPr>
          <w:sz w:val="22"/>
          <w:szCs w:val="22"/>
        </w:rPr>
      </w:pPr>
    </w:p>
    <w:p w:rsidR="006224C2" w:rsidRPr="00295E71" w14:paraId="2E099C11"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infezioni </w:t>
      </w:r>
      <w:r w:rsidR="00AF0B06">
        <w:rPr>
          <w:sz w:val="22"/>
          <w:szCs w:val="22"/>
        </w:rPr>
        <w:t>gravi</w:t>
      </w:r>
      <w:r w:rsidRPr="00295E71">
        <w:rPr>
          <w:sz w:val="22"/>
          <w:szCs w:val="22"/>
        </w:rPr>
        <w:t xml:space="preserve"> (tra cui setticemia ed influenza)</w:t>
      </w:r>
    </w:p>
    <w:p w:rsidR="00351417" w:rsidRPr="00295E71" w14:paraId="41B50F2B"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intestinali (tra cui gastroenterite)</w:t>
      </w:r>
    </w:p>
    <w:p w:rsidR="006224C2" w:rsidRPr="00295E71" w14:paraId="5A13BA0A"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della pelle (tra cui cellulite e infezione da Herpes Zoster)</w:t>
      </w:r>
    </w:p>
    <w:p w:rsidR="006224C2" w:rsidRPr="00295E71" w14:paraId="41D4EE2B"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dell’orecchio</w:t>
      </w:r>
    </w:p>
    <w:p w:rsidR="006224C2" w:rsidRPr="00295E71" w14:paraId="20C1CDFA"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orali (tra cui infezioni dei denti ed herpes simplex)</w:t>
      </w:r>
    </w:p>
    <w:p w:rsidR="006224C2" w:rsidRPr="00295E71" w14:paraId="4607A7F1"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dell’apparato riproduttivo</w:t>
      </w:r>
    </w:p>
    <w:p w:rsidR="006224C2" w:rsidRPr="00295E71" w14:paraId="2EC2A444"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delle vie urinarie</w:t>
      </w:r>
    </w:p>
    <w:p w:rsidR="006224C2" w:rsidRPr="00295E71" w14:paraId="7C2484C3"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da miceti</w:t>
      </w:r>
    </w:p>
    <w:p w:rsidR="006224C2" w:rsidRPr="00295E71" w14:paraId="200638A9"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a carico delle articolazioni</w:t>
      </w:r>
    </w:p>
    <w:p w:rsidR="006224C2" w:rsidRPr="00295E71" w14:paraId="29B85CC6"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 benigni</w:t>
      </w:r>
    </w:p>
    <w:p w:rsidR="006224C2" w:rsidRPr="00295E71" w14:paraId="20CBE64F"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tumore della pelle;</w:t>
      </w:r>
    </w:p>
    <w:p w:rsidR="006224C2" w:rsidRPr="00295E71" w14:paraId="494F1806"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reazioni allergiche (tra cui allergia stagionale)</w:t>
      </w:r>
    </w:p>
    <w:p w:rsidR="006224C2" w:rsidRPr="00295E71" w14:paraId="7A598846" w14:textId="77777777">
      <w:pPr>
        <w:numPr>
          <w:ilvl w:val="0"/>
          <w:numId w:val="14"/>
        </w:numPr>
        <w:tabs>
          <w:tab w:val="num" w:pos="540"/>
          <w:tab w:val="left" w:pos="567"/>
          <w:tab w:val="left" w:pos="993"/>
        </w:tabs>
        <w:ind w:left="567" w:hanging="567"/>
        <w:jc w:val="both"/>
        <w:rPr>
          <w:sz w:val="22"/>
          <w:szCs w:val="22"/>
        </w:rPr>
      </w:pPr>
      <w:r w:rsidRPr="00295E71">
        <w:rPr>
          <w:sz w:val="22"/>
          <w:szCs w:val="22"/>
        </w:rPr>
        <w:t>disidratazione</w:t>
      </w:r>
    </w:p>
    <w:p w:rsidR="006224C2" w:rsidRPr="00295E71" w14:paraId="57CDED6C" w14:textId="77777777">
      <w:pPr>
        <w:numPr>
          <w:ilvl w:val="0"/>
          <w:numId w:val="14"/>
        </w:numPr>
        <w:tabs>
          <w:tab w:val="num" w:pos="540"/>
          <w:tab w:val="left" w:pos="567"/>
          <w:tab w:val="left" w:pos="993"/>
        </w:tabs>
        <w:ind w:left="567" w:hanging="567"/>
        <w:jc w:val="both"/>
        <w:rPr>
          <w:sz w:val="22"/>
          <w:szCs w:val="22"/>
        </w:rPr>
      </w:pPr>
      <w:r w:rsidRPr="00295E71">
        <w:rPr>
          <w:sz w:val="22"/>
          <w:szCs w:val="22"/>
        </w:rPr>
        <w:t>cambiamenti d’umore (tra cui depressione)</w:t>
      </w:r>
    </w:p>
    <w:p w:rsidR="006224C2" w:rsidRPr="00295E71" w14:paraId="121A3C27" w14:textId="77777777">
      <w:pPr>
        <w:numPr>
          <w:ilvl w:val="0"/>
          <w:numId w:val="14"/>
        </w:numPr>
        <w:tabs>
          <w:tab w:val="num" w:pos="540"/>
          <w:tab w:val="left" w:pos="567"/>
          <w:tab w:val="left" w:pos="993"/>
        </w:tabs>
        <w:ind w:left="567" w:hanging="567"/>
        <w:jc w:val="both"/>
        <w:rPr>
          <w:sz w:val="22"/>
          <w:szCs w:val="22"/>
        </w:rPr>
      </w:pPr>
      <w:r w:rsidRPr="00295E71">
        <w:rPr>
          <w:sz w:val="22"/>
          <w:szCs w:val="22"/>
        </w:rPr>
        <w:t>ansia</w:t>
      </w:r>
    </w:p>
    <w:p w:rsidR="006224C2" w:rsidRPr="00295E71" w14:paraId="13825792"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del sonno</w:t>
      </w:r>
    </w:p>
    <w:p w:rsidR="006224C2" w:rsidRPr="00295E71" w14:paraId="0A6646BF"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della sensibilità come formicolii, sensazione di fitte o intorpidimento</w:t>
      </w:r>
    </w:p>
    <w:p w:rsidR="006224C2" w:rsidRPr="00295E71" w14:paraId="10B4C48A" w14:textId="77777777">
      <w:pPr>
        <w:numPr>
          <w:ilvl w:val="0"/>
          <w:numId w:val="14"/>
        </w:numPr>
        <w:tabs>
          <w:tab w:val="num" w:pos="540"/>
          <w:tab w:val="left" w:pos="567"/>
          <w:tab w:val="left" w:pos="993"/>
        </w:tabs>
        <w:ind w:left="567" w:hanging="567"/>
        <w:jc w:val="both"/>
        <w:rPr>
          <w:sz w:val="22"/>
          <w:szCs w:val="22"/>
        </w:rPr>
      </w:pPr>
      <w:r w:rsidRPr="00295E71">
        <w:rPr>
          <w:sz w:val="22"/>
          <w:szCs w:val="22"/>
        </w:rPr>
        <w:t>emicrania</w:t>
      </w:r>
    </w:p>
    <w:p w:rsidR="006224C2" w:rsidRPr="00295E71" w14:paraId="01E489A0" w14:textId="77777777">
      <w:pPr>
        <w:numPr>
          <w:ilvl w:val="0"/>
          <w:numId w:val="14"/>
        </w:numPr>
        <w:tabs>
          <w:tab w:val="num" w:pos="540"/>
          <w:tab w:val="left" w:pos="567"/>
          <w:tab w:val="left" w:pos="993"/>
        </w:tabs>
        <w:ind w:left="567" w:hanging="567"/>
        <w:jc w:val="both"/>
        <w:rPr>
          <w:sz w:val="22"/>
          <w:szCs w:val="22"/>
        </w:rPr>
      </w:pPr>
      <w:r w:rsidRPr="00295E71">
        <w:rPr>
          <w:sz w:val="22"/>
          <w:szCs w:val="22"/>
        </w:rPr>
        <w:t>compressione di radice nervosa (tra cui dolore lombare e dolore alle gambe)</w:t>
      </w:r>
    </w:p>
    <w:p w:rsidR="006224C2" w:rsidRPr="00295E71" w14:paraId="37806809"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visivi</w:t>
      </w:r>
    </w:p>
    <w:p w:rsidR="006224C2" w:rsidRPr="00295E71" w14:paraId="542401DB"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degli occhi</w:t>
      </w:r>
    </w:p>
    <w:p w:rsidR="006224C2" w:rsidRPr="00295E71" w14:paraId="0467FE36"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delle palpebre e tumefazione degli occhi</w:t>
      </w:r>
    </w:p>
    <w:p w:rsidR="006224C2" w:rsidRPr="00295E71" w14:paraId="24901451" w14:textId="77777777">
      <w:pPr>
        <w:numPr>
          <w:ilvl w:val="0"/>
          <w:numId w:val="14"/>
        </w:numPr>
        <w:tabs>
          <w:tab w:val="num" w:pos="540"/>
          <w:tab w:val="left" w:pos="567"/>
          <w:tab w:val="left" w:pos="993"/>
        </w:tabs>
        <w:ind w:left="567" w:hanging="567"/>
        <w:jc w:val="both"/>
        <w:rPr>
          <w:sz w:val="22"/>
          <w:szCs w:val="22"/>
        </w:rPr>
      </w:pPr>
      <w:r w:rsidRPr="00295E71">
        <w:rPr>
          <w:sz w:val="22"/>
          <w:szCs w:val="22"/>
        </w:rPr>
        <w:t>vertigini (sensazione di capogiro o giramento di testa)</w:t>
      </w:r>
    </w:p>
    <w:p w:rsidR="006224C2" w:rsidRPr="00295E71" w14:paraId="466831D4" w14:textId="77777777">
      <w:pPr>
        <w:numPr>
          <w:ilvl w:val="0"/>
          <w:numId w:val="14"/>
        </w:numPr>
        <w:tabs>
          <w:tab w:val="num" w:pos="540"/>
          <w:tab w:val="left" w:pos="567"/>
          <w:tab w:val="left" w:pos="993"/>
        </w:tabs>
        <w:ind w:left="567" w:hanging="567"/>
        <w:jc w:val="both"/>
        <w:rPr>
          <w:sz w:val="22"/>
          <w:szCs w:val="22"/>
        </w:rPr>
      </w:pPr>
      <w:r w:rsidRPr="00295E71">
        <w:rPr>
          <w:sz w:val="22"/>
          <w:szCs w:val="22"/>
        </w:rPr>
        <w:t>sensazione di battito cardiaco accelerato</w:t>
      </w:r>
    </w:p>
    <w:p w:rsidR="006224C2" w:rsidRPr="00295E71" w14:paraId="264C7A05" w14:textId="77777777">
      <w:pPr>
        <w:numPr>
          <w:ilvl w:val="0"/>
          <w:numId w:val="14"/>
        </w:numPr>
        <w:tabs>
          <w:tab w:val="num" w:pos="540"/>
          <w:tab w:val="left" w:pos="567"/>
          <w:tab w:val="left" w:pos="993"/>
        </w:tabs>
        <w:ind w:left="567" w:hanging="567"/>
        <w:jc w:val="both"/>
        <w:rPr>
          <w:sz w:val="22"/>
          <w:szCs w:val="22"/>
        </w:rPr>
      </w:pPr>
      <w:r w:rsidRPr="00295E71">
        <w:rPr>
          <w:sz w:val="22"/>
          <w:szCs w:val="22"/>
        </w:rPr>
        <w:t>pressione del sangue elevata</w:t>
      </w:r>
    </w:p>
    <w:p w:rsidR="006224C2" w:rsidRPr="00295E71" w14:paraId="5EF1C9C9" w14:textId="77777777">
      <w:pPr>
        <w:numPr>
          <w:ilvl w:val="0"/>
          <w:numId w:val="14"/>
        </w:numPr>
        <w:tabs>
          <w:tab w:val="num" w:pos="540"/>
          <w:tab w:val="left" w:pos="567"/>
          <w:tab w:val="left" w:pos="993"/>
        </w:tabs>
        <w:ind w:left="567" w:hanging="567"/>
        <w:jc w:val="both"/>
        <w:rPr>
          <w:sz w:val="22"/>
          <w:szCs w:val="22"/>
        </w:rPr>
      </w:pPr>
      <w:r w:rsidRPr="00295E71">
        <w:rPr>
          <w:sz w:val="22"/>
          <w:szCs w:val="22"/>
        </w:rPr>
        <w:t>vampate</w:t>
      </w:r>
    </w:p>
    <w:p w:rsidR="006224C2" w:rsidRPr="00295E71" w14:paraId="7CD71828" w14:textId="77777777">
      <w:pPr>
        <w:numPr>
          <w:ilvl w:val="0"/>
          <w:numId w:val="14"/>
        </w:numPr>
        <w:tabs>
          <w:tab w:val="num" w:pos="540"/>
          <w:tab w:val="left" w:pos="567"/>
          <w:tab w:val="left" w:pos="993"/>
        </w:tabs>
        <w:ind w:left="567" w:hanging="567"/>
        <w:jc w:val="both"/>
        <w:rPr>
          <w:sz w:val="22"/>
          <w:szCs w:val="22"/>
        </w:rPr>
      </w:pPr>
      <w:r w:rsidRPr="00295E71">
        <w:rPr>
          <w:sz w:val="22"/>
          <w:szCs w:val="22"/>
        </w:rPr>
        <w:t>ematoma (accumulo di sangue fuori dai vasi sanguigni)</w:t>
      </w:r>
    </w:p>
    <w:p w:rsidR="006224C2" w:rsidRPr="00295E71" w14:paraId="62C6A533" w14:textId="77777777">
      <w:pPr>
        <w:numPr>
          <w:ilvl w:val="0"/>
          <w:numId w:val="14"/>
        </w:numPr>
        <w:tabs>
          <w:tab w:val="num" w:pos="540"/>
          <w:tab w:val="left" w:pos="567"/>
          <w:tab w:val="left" w:pos="993"/>
        </w:tabs>
        <w:ind w:left="567" w:hanging="567"/>
        <w:jc w:val="both"/>
        <w:rPr>
          <w:sz w:val="22"/>
          <w:szCs w:val="22"/>
        </w:rPr>
      </w:pPr>
      <w:r w:rsidRPr="00295E71">
        <w:rPr>
          <w:sz w:val="22"/>
          <w:szCs w:val="22"/>
        </w:rPr>
        <w:t>tosse</w:t>
      </w:r>
    </w:p>
    <w:p w:rsidR="006224C2" w:rsidRPr="00295E71" w14:paraId="79BC7A4D" w14:textId="77777777">
      <w:pPr>
        <w:numPr>
          <w:ilvl w:val="0"/>
          <w:numId w:val="14"/>
        </w:numPr>
        <w:tabs>
          <w:tab w:val="num" w:pos="540"/>
          <w:tab w:val="left" w:pos="567"/>
          <w:tab w:val="left" w:pos="993"/>
        </w:tabs>
        <w:ind w:left="567" w:hanging="567"/>
        <w:jc w:val="both"/>
        <w:rPr>
          <w:sz w:val="22"/>
          <w:szCs w:val="22"/>
        </w:rPr>
      </w:pPr>
      <w:r w:rsidRPr="00295E71">
        <w:rPr>
          <w:sz w:val="22"/>
          <w:szCs w:val="22"/>
        </w:rPr>
        <w:t>asma</w:t>
      </w:r>
    </w:p>
    <w:p w:rsidR="006224C2" w:rsidRPr="00295E71" w14:paraId="4EACE7F0" w14:textId="77777777">
      <w:pPr>
        <w:numPr>
          <w:ilvl w:val="0"/>
          <w:numId w:val="14"/>
        </w:numPr>
        <w:tabs>
          <w:tab w:val="num" w:pos="540"/>
          <w:tab w:val="left" w:pos="567"/>
          <w:tab w:val="left" w:pos="993"/>
        </w:tabs>
        <w:ind w:left="567" w:hanging="567"/>
        <w:jc w:val="both"/>
        <w:rPr>
          <w:sz w:val="22"/>
          <w:szCs w:val="22"/>
        </w:rPr>
      </w:pPr>
      <w:r w:rsidRPr="00295E71">
        <w:rPr>
          <w:sz w:val="22"/>
          <w:szCs w:val="22"/>
        </w:rPr>
        <w:t>fiato corto</w:t>
      </w:r>
    </w:p>
    <w:p w:rsidR="006224C2" w:rsidRPr="00295E71" w14:paraId="5A4AC7B7" w14:textId="77777777">
      <w:pPr>
        <w:numPr>
          <w:ilvl w:val="0"/>
          <w:numId w:val="14"/>
        </w:numPr>
        <w:tabs>
          <w:tab w:val="num" w:pos="540"/>
          <w:tab w:val="left" w:pos="567"/>
          <w:tab w:val="left" w:pos="993"/>
        </w:tabs>
        <w:ind w:left="567" w:hanging="567"/>
        <w:jc w:val="both"/>
        <w:rPr>
          <w:sz w:val="22"/>
          <w:szCs w:val="22"/>
        </w:rPr>
      </w:pPr>
      <w:r w:rsidRPr="00295E71">
        <w:rPr>
          <w:sz w:val="22"/>
          <w:szCs w:val="22"/>
        </w:rPr>
        <w:t>sanguinamento gastrointestinale</w:t>
      </w:r>
    </w:p>
    <w:p w:rsidR="006224C2" w:rsidRPr="00295E71" w14:paraId="01DC960B" w14:textId="77777777">
      <w:pPr>
        <w:numPr>
          <w:ilvl w:val="0"/>
          <w:numId w:val="14"/>
        </w:numPr>
        <w:tabs>
          <w:tab w:val="num" w:pos="540"/>
          <w:tab w:val="left" w:pos="567"/>
          <w:tab w:val="left" w:pos="993"/>
        </w:tabs>
        <w:ind w:left="567" w:hanging="567"/>
        <w:jc w:val="both"/>
        <w:rPr>
          <w:sz w:val="22"/>
          <w:szCs w:val="22"/>
        </w:rPr>
      </w:pPr>
      <w:r w:rsidRPr="00295E71">
        <w:rPr>
          <w:sz w:val="22"/>
          <w:szCs w:val="22"/>
        </w:rPr>
        <w:t>dispepsia (indigestione, gonfiore, bruciore di stomaco)</w:t>
      </w:r>
    </w:p>
    <w:p w:rsidR="006224C2" w:rsidRPr="00295E71" w14:paraId="0674E051"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disturbo da reflusso acido</w:t>
      </w:r>
    </w:p>
    <w:p w:rsidR="006224C2" w:rsidRPr="00295E71" w14:paraId="4CCE3F5F"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sicca (tra cui secchezza degli occhi e della bocca)</w:t>
      </w:r>
    </w:p>
    <w:p w:rsidR="006224C2" w:rsidRPr="00295E71" w14:paraId="1F61F5F9" w14:textId="77777777">
      <w:pPr>
        <w:numPr>
          <w:ilvl w:val="0"/>
          <w:numId w:val="14"/>
        </w:numPr>
        <w:tabs>
          <w:tab w:val="num" w:pos="540"/>
          <w:tab w:val="left" w:pos="567"/>
          <w:tab w:val="left" w:pos="993"/>
        </w:tabs>
        <w:ind w:left="567" w:hanging="567"/>
        <w:jc w:val="both"/>
        <w:rPr>
          <w:sz w:val="22"/>
          <w:szCs w:val="22"/>
        </w:rPr>
      </w:pPr>
      <w:r w:rsidRPr="00295E71">
        <w:rPr>
          <w:sz w:val="22"/>
          <w:szCs w:val="22"/>
        </w:rPr>
        <w:t>prurito</w:t>
      </w:r>
    </w:p>
    <w:p w:rsidR="006224C2" w:rsidRPr="00295E71" w14:paraId="0C260D2E" w14:textId="77777777">
      <w:pPr>
        <w:numPr>
          <w:ilvl w:val="0"/>
          <w:numId w:val="14"/>
        </w:numPr>
        <w:tabs>
          <w:tab w:val="num" w:pos="540"/>
          <w:tab w:val="left" w:pos="567"/>
          <w:tab w:val="left" w:pos="993"/>
        </w:tabs>
        <w:ind w:left="567" w:hanging="567"/>
        <w:jc w:val="both"/>
        <w:rPr>
          <w:sz w:val="22"/>
          <w:szCs w:val="22"/>
        </w:rPr>
      </w:pPr>
      <w:r w:rsidRPr="00295E71">
        <w:rPr>
          <w:sz w:val="22"/>
          <w:szCs w:val="22"/>
        </w:rPr>
        <w:t>eruzione cutanea pruriginosa</w:t>
      </w:r>
    </w:p>
    <w:p w:rsidR="006224C2" w:rsidRPr="00295E71" w14:paraId="2AD44846" w14:textId="77777777">
      <w:pPr>
        <w:numPr>
          <w:ilvl w:val="0"/>
          <w:numId w:val="14"/>
        </w:numPr>
        <w:tabs>
          <w:tab w:val="num" w:pos="540"/>
          <w:tab w:val="left" w:pos="567"/>
          <w:tab w:val="left" w:pos="993"/>
        </w:tabs>
        <w:ind w:left="567" w:hanging="567"/>
        <w:jc w:val="both"/>
        <w:rPr>
          <w:sz w:val="22"/>
          <w:szCs w:val="22"/>
        </w:rPr>
      </w:pPr>
      <w:r w:rsidRPr="00295E71">
        <w:rPr>
          <w:sz w:val="22"/>
          <w:szCs w:val="22"/>
        </w:rPr>
        <w:t>contusione</w:t>
      </w:r>
    </w:p>
    <w:p w:rsidR="006224C2" w:rsidRPr="00295E71" w14:paraId="2CE55F80"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della pelle (come eczema)</w:t>
      </w:r>
    </w:p>
    <w:p w:rsidR="006224C2" w:rsidRPr="00295E71" w14:paraId="768D8292" w14:textId="77777777">
      <w:pPr>
        <w:numPr>
          <w:ilvl w:val="0"/>
          <w:numId w:val="14"/>
        </w:numPr>
        <w:tabs>
          <w:tab w:val="num" w:pos="540"/>
          <w:tab w:val="left" w:pos="567"/>
          <w:tab w:val="left" w:pos="993"/>
        </w:tabs>
        <w:ind w:left="567" w:hanging="567"/>
        <w:jc w:val="both"/>
        <w:rPr>
          <w:sz w:val="22"/>
          <w:szCs w:val="22"/>
        </w:rPr>
      </w:pPr>
      <w:r w:rsidRPr="00295E71">
        <w:rPr>
          <w:sz w:val="22"/>
          <w:szCs w:val="22"/>
        </w:rPr>
        <w:t>rottura delle unghie delle dita della mano e del piede</w:t>
      </w:r>
    </w:p>
    <w:p w:rsidR="006224C2" w:rsidRPr="00295E71" w14:paraId="2DD70969"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sudorazione</w:t>
      </w:r>
    </w:p>
    <w:p w:rsidR="006224C2" w:rsidRPr="00295E71" w14:paraId="2D90CA0D" w14:textId="77777777">
      <w:pPr>
        <w:numPr>
          <w:ilvl w:val="0"/>
          <w:numId w:val="14"/>
        </w:numPr>
        <w:tabs>
          <w:tab w:val="num" w:pos="540"/>
          <w:tab w:val="left" w:pos="567"/>
          <w:tab w:val="left" w:pos="993"/>
        </w:tabs>
        <w:ind w:left="567" w:hanging="567"/>
        <w:jc w:val="both"/>
        <w:rPr>
          <w:sz w:val="22"/>
          <w:szCs w:val="22"/>
        </w:rPr>
      </w:pPr>
      <w:r w:rsidRPr="00295E71">
        <w:rPr>
          <w:sz w:val="22"/>
          <w:szCs w:val="22"/>
        </w:rPr>
        <w:t>perdita di capelli</w:t>
      </w:r>
    </w:p>
    <w:p w:rsidR="006224C2" w:rsidRPr="00295E71" w14:paraId="26A42473" w14:textId="77777777">
      <w:pPr>
        <w:numPr>
          <w:ilvl w:val="0"/>
          <w:numId w:val="14"/>
        </w:numPr>
        <w:tabs>
          <w:tab w:val="num" w:pos="540"/>
          <w:tab w:val="left" w:pos="567"/>
          <w:tab w:val="left" w:pos="993"/>
        </w:tabs>
        <w:ind w:left="567" w:hanging="567"/>
        <w:jc w:val="both"/>
        <w:rPr>
          <w:sz w:val="22"/>
          <w:szCs w:val="22"/>
        </w:rPr>
      </w:pPr>
      <w:r w:rsidRPr="00295E71">
        <w:rPr>
          <w:sz w:val="22"/>
          <w:szCs w:val="22"/>
        </w:rPr>
        <w:t>insorgenza o peggioramento della psoriasi</w:t>
      </w:r>
    </w:p>
    <w:p w:rsidR="006224C2" w:rsidRPr="00295E71" w14:paraId="02170D73" w14:textId="77777777">
      <w:pPr>
        <w:numPr>
          <w:ilvl w:val="0"/>
          <w:numId w:val="14"/>
        </w:numPr>
        <w:tabs>
          <w:tab w:val="num" w:pos="540"/>
          <w:tab w:val="left" w:pos="567"/>
          <w:tab w:val="left" w:pos="993"/>
        </w:tabs>
        <w:ind w:left="567" w:hanging="567"/>
        <w:jc w:val="both"/>
        <w:rPr>
          <w:sz w:val="22"/>
          <w:szCs w:val="22"/>
        </w:rPr>
      </w:pPr>
      <w:r w:rsidRPr="00295E71">
        <w:rPr>
          <w:sz w:val="22"/>
          <w:szCs w:val="22"/>
        </w:rPr>
        <w:t>spasmi muscolari</w:t>
      </w:r>
    </w:p>
    <w:p w:rsidR="006224C2" w:rsidRPr="00295E71" w14:paraId="496B94B2" w14:textId="77777777">
      <w:pPr>
        <w:numPr>
          <w:ilvl w:val="0"/>
          <w:numId w:val="14"/>
        </w:numPr>
        <w:tabs>
          <w:tab w:val="num" w:pos="540"/>
          <w:tab w:val="left" w:pos="567"/>
          <w:tab w:val="left" w:pos="993"/>
        </w:tabs>
        <w:ind w:left="567" w:hanging="567"/>
        <w:jc w:val="both"/>
        <w:rPr>
          <w:sz w:val="22"/>
          <w:szCs w:val="22"/>
        </w:rPr>
      </w:pPr>
      <w:r w:rsidRPr="00295E71">
        <w:rPr>
          <w:sz w:val="22"/>
          <w:szCs w:val="22"/>
        </w:rPr>
        <w:t>sangue nelle urine</w:t>
      </w:r>
    </w:p>
    <w:p w:rsidR="006224C2" w:rsidRPr="00295E71" w14:paraId="3F34590B" w14:textId="77777777">
      <w:pPr>
        <w:numPr>
          <w:ilvl w:val="0"/>
          <w:numId w:val="14"/>
        </w:numPr>
        <w:tabs>
          <w:tab w:val="num" w:pos="540"/>
          <w:tab w:val="left" w:pos="567"/>
          <w:tab w:val="left" w:pos="993"/>
        </w:tabs>
        <w:ind w:left="567" w:hanging="567"/>
        <w:jc w:val="both"/>
        <w:rPr>
          <w:sz w:val="22"/>
          <w:szCs w:val="22"/>
        </w:rPr>
      </w:pPr>
      <w:r w:rsidRPr="00295E71">
        <w:rPr>
          <w:sz w:val="22"/>
          <w:szCs w:val="22"/>
        </w:rPr>
        <w:t>problemi renali</w:t>
      </w:r>
    </w:p>
    <w:p w:rsidR="006224C2" w:rsidRPr="00295E71" w14:paraId="5648C673"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toracico</w:t>
      </w:r>
    </w:p>
    <w:p w:rsidR="006224C2" w:rsidRPr="00295E71" w14:paraId="40F2003F"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(gonfiore)</w:t>
      </w:r>
    </w:p>
    <w:p w:rsidR="006224C2" w:rsidRPr="00295E71" w14:paraId="1F003BE4" w14:textId="77777777">
      <w:pPr>
        <w:numPr>
          <w:ilvl w:val="0"/>
          <w:numId w:val="14"/>
        </w:numPr>
        <w:tabs>
          <w:tab w:val="num" w:pos="540"/>
          <w:tab w:val="left" w:pos="567"/>
          <w:tab w:val="left" w:pos="993"/>
        </w:tabs>
        <w:ind w:left="567" w:hanging="567"/>
        <w:jc w:val="both"/>
        <w:rPr>
          <w:sz w:val="22"/>
          <w:szCs w:val="22"/>
        </w:rPr>
      </w:pPr>
      <w:r w:rsidRPr="00295E71">
        <w:rPr>
          <w:sz w:val="22"/>
          <w:szCs w:val="22"/>
        </w:rPr>
        <w:t>febbre</w:t>
      </w:r>
    </w:p>
    <w:p w:rsidR="006224C2" w:rsidRPr="00295E71" w14:paraId="67066CD9"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delle piastrine nel sangue che aumenta il rischio di emorragia o di contusioni</w:t>
      </w:r>
    </w:p>
    <w:p w:rsidR="006224C2" w:rsidRPr="00295E71" w14:paraId="7C8AA48F" w14:textId="77777777">
      <w:pPr>
        <w:numPr>
          <w:ilvl w:val="0"/>
          <w:numId w:val="14"/>
        </w:numPr>
        <w:tabs>
          <w:tab w:val="num" w:pos="540"/>
          <w:tab w:val="left" w:pos="567"/>
          <w:tab w:val="left" w:pos="993"/>
        </w:tabs>
        <w:ind w:left="567" w:hanging="567"/>
        <w:jc w:val="both"/>
        <w:rPr>
          <w:sz w:val="22"/>
          <w:szCs w:val="22"/>
        </w:rPr>
      </w:pPr>
      <w:r w:rsidRPr="00295E71">
        <w:rPr>
          <w:sz w:val="22"/>
          <w:szCs w:val="22"/>
        </w:rPr>
        <w:t>difficoltà di cicatrizzazione</w:t>
      </w:r>
    </w:p>
    <w:p w:rsidR="006224C2" w:rsidRPr="00295E71" w14:paraId="6DD7F915" w14:textId="77777777">
      <w:pPr>
        <w:pStyle w:val="EndnoteText"/>
        <w:jc w:val="both"/>
        <w:rPr>
          <w:lang w:val="it-IT" w:eastAsia="it-IT"/>
        </w:rPr>
      </w:pPr>
    </w:p>
    <w:p w:rsidR="006224C2" w:rsidRPr="00295E71" w14:paraId="117B93A4" w14:textId="77777777">
      <w:pPr>
        <w:tabs>
          <w:tab w:val="left" w:pos="567"/>
        </w:tabs>
        <w:jc w:val="both"/>
        <w:rPr>
          <w:sz w:val="22"/>
          <w:szCs w:val="22"/>
        </w:rPr>
      </w:pPr>
      <w:r w:rsidRPr="00295E71">
        <w:rPr>
          <w:b/>
          <w:bCs/>
          <w:sz w:val="22"/>
          <w:szCs w:val="22"/>
        </w:rPr>
        <w:t>Non comuni</w:t>
      </w:r>
      <w:r w:rsidRPr="00295E71">
        <w:rPr>
          <w:sz w:val="22"/>
          <w:szCs w:val="22"/>
        </w:rPr>
        <w:t xml:space="preserve"> (possono manifestarsi fino a 1 persona su 100)</w:t>
      </w:r>
    </w:p>
    <w:p w:rsidR="006224C2" w:rsidRPr="00295E71" w14:paraId="4CDBBB8A" w14:textId="77777777">
      <w:pPr>
        <w:tabs>
          <w:tab w:val="left" w:pos="567"/>
        </w:tabs>
        <w:jc w:val="both"/>
        <w:rPr>
          <w:sz w:val="22"/>
          <w:szCs w:val="22"/>
        </w:rPr>
      </w:pPr>
    </w:p>
    <w:p w:rsidR="006224C2" w:rsidRPr="00295E71" w14:paraId="24B6897B"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opportunistiche (che includono la tubercolosi ed altre infezioni che si verificano quando si riducono le difese immunitarie)</w:t>
      </w:r>
    </w:p>
    <w:p w:rsidR="006224C2" w:rsidRPr="00295E71" w14:paraId="09C50030"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neurologiche (tra cui la meningite virale)</w:t>
      </w:r>
    </w:p>
    <w:p w:rsidR="006224C2" w:rsidRPr="00295E71" w14:paraId="65A4F65F"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degli occhi</w:t>
      </w:r>
    </w:p>
    <w:p w:rsidR="006224C2" w:rsidRPr="00295E71" w14:paraId="048C788D"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batteriche</w:t>
      </w:r>
    </w:p>
    <w:p w:rsidR="006224C2" w:rsidRPr="00295E71" w14:paraId="1BF96B21" w14:textId="77777777">
      <w:pPr>
        <w:numPr>
          <w:ilvl w:val="0"/>
          <w:numId w:val="14"/>
        </w:numPr>
        <w:tabs>
          <w:tab w:val="num" w:pos="540"/>
          <w:tab w:val="left" w:pos="567"/>
          <w:tab w:val="left" w:pos="993"/>
        </w:tabs>
        <w:ind w:left="567" w:hanging="567"/>
        <w:jc w:val="both"/>
        <w:rPr>
          <w:sz w:val="22"/>
          <w:szCs w:val="22"/>
        </w:rPr>
      </w:pPr>
      <w:r w:rsidRPr="00295E71">
        <w:rPr>
          <w:sz w:val="22"/>
          <w:szCs w:val="22"/>
        </w:rPr>
        <w:t>diverticolite (infiammazione e infezione dell’intestino crasso)</w:t>
      </w:r>
    </w:p>
    <w:p w:rsidR="006224C2" w:rsidRPr="00295E71" w14:paraId="4A8F836A"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w:t>
      </w:r>
    </w:p>
    <w:p w:rsidR="006224C2" w:rsidRPr="00295E71" w14:paraId="7EB15CB6"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 del sistema linfatico</w:t>
      </w:r>
    </w:p>
    <w:p w:rsidR="006224C2" w:rsidRPr="00295E71" w14:paraId="753E9ED6" w14:textId="77777777">
      <w:pPr>
        <w:numPr>
          <w:ilvl w:val="0"/>
          <w:numId w:val="14"/>
        </w:numPr>
        <w:tabs>
          <w:tab w:val="num" w:pos="540"/>
          <w:tab w:val="left" w:pos="567"/>
          <w:tab w:val="left" w:pos="993"/>
        </w:tabs>
        <w:ind w:left="567" w:hanging="567"/>
        <w:jc w:val="both"/>
        <w:rPr>
          <w:sz w:val="22"/>
          <w:szCs w:val="22"/>
        </w:rPr>
      </w:pPr>
      <w:r w:rsidRPr="00295E71">
        <w:rPr>
          <w:sz w:val="22"/>
          <w:szCs w:val="22"/>
        </w:rPr>
        <w:t>melanoma</w:t>
      </w:r>
    </w:p>
    <w:p w:rsidR="006224C2" w:rsidRPr="00295E71" w14:paraId="7E606728" w14:textId="77777777">
      <w:pPr>
        <w:numPr>
          <w:ilvl w:val="0"/>
          <w:numId w:val="14"/>
        </w:numPr>
        <w:tabs>
          <w:tab w:val="num" w:pos="540"/>
          <w:tab w:val="left" w:pos="567"/>
          <w:tab w:val="left" w:pos="993"/>
        </w:tabs>
        <w:ind w:left="567" w:hanging="567"/>
        <w:jc w:val="both"/>
        <w:rPr>
          <w:sz w:val="22"/>
          <w:szCs w:val="22"/>
        </w:rPr>
      </w:pPr>
      <w:r w:rsidRPr="00295E71">
        <w:rPr>
          <w:sz w:val="22"/>
          <w:szCs w:val="22"/>
        </w:rPr>
        <w:t>disordini del sistema immunitario che possono colpire polmoni, cute e linfonodi (che si presentano più comunemente come sarcoidosi)</w:t>
      </w:r>
    </w:p>
    <w:p w:rsidR="006224C2" w:rsidRPr="00295E71" w14:paraId="53626DA1" w14:textId="77777777">
      <w:pPr>
        <w:numPr>
          <w:ilvl w:val="0"/>
          <w:numId w:val="14"/>
        </w:numPr>
        <w:tabs>
          <w:tab w:val="num" w:pos="540"/>
          <w:tab w:val="left" w:pos="567"/>
          <w:tab w:val="left" w:pos="993"/>
        </w:tabs>
        <w:ind w:left="567" w:hanging="567"/>
        <w:jc w:val="both"/>
        <w:rPr>
          <w:sz w:val="22"/>
          <w:szCs w:val="22"/>
        </w:rPr>
      </w:pPr>
      <w:r w:rsidRPr="00295E71">
        <w:rPr>
          <w:sz w:val="22"/>
          <w:szCs w:val="22"/>
        </w:rPr>
        <w:t>vasculite (infiammazione dei vasi sanguigni)</w:t>
      </w:r>
    </w:p>
    <w:p w:rsidR="006224C2" w:rsidRPr="00295E71" w14:paraId="02149C53" w14:textId="77777777">
      <w:pPr>
        <w:numPr>
          <w:ilvl w:val="0"/>
          <w:numId w:val="14"/>
        </w:numPr>
        <w:tabs>
          <w:tab w:val="num" w:pos="540"/>
          <w:tab w:val="left" w:pos="567"/>
          <w:tab w:val="left" w:pos="993"/>
        </w:tabs>
        <w:ind w:left="567" w:hanging="567"/>
        <w:jc w:val="both"/>
        <w:rPr>
          <w:sz w:val="22"/>
          <w:szCs w:val="22"/>
        </w:rPr>
      </w:pPr>
      <w:r w:rsidRPr="00295E71">
        <w:rPr>
          <w:sz w:val="22"/>
          <w:szCs w:val="22"/>
        </w:rPr>
        <w:t>tremore</w:t>
      </w:r>
    </w:p>
    <w:p w:rsidR="006224C2" w:rsidRPr="00295E71" w14:paraId="6BBDBFAB" w14:textId="77777777">
      <w:pPr>
        <w:numPr>
          <w:ilvl w:val="0"/>
          <w:numId w:val="14"/>
        </w:numPr>
        <w:tabs>
          <w:tab w:val="num" w:pos="540"/>
          <w:tab w:val="left" w:pos="567"/>
          <w:tab w:val="left" w:pos="993"/>
        </w:tabs>
        <w:ind w:left="567" w:hanging="567"/>
        <w:jc w:val="both"/>
        <w:rPr>
          <w:sz w:val="22"/>
          <w:szCs w:val="22"/>
        </w:rPr>
      </w:pPr>
      <w:r w:rsidRPr="00295E71">
        <w:rPr>
          <w:sz w:val="22"/>
          <w:szCs w:val="22"/>
        </w:rPr>
        <w:t>neuropatia (disturbo a carico dei nervi)</w:t>
      </w:r>
    </w:p>
    <w:p w:rsidR="006224C2" w:rsidRPr="00295E71" w14:paraId="696EE0B5" w14:textId="77777777">
      <w:pPr>
        <w:numPr>
          <w:ilvl w:val="0"/>
          <w:numId w:val="14"/>
        </w:numPr>
        <w:tabs>
          <w:tab w:val="num" w:pos="540"/>
          <w:tab w:val="left" w:pos="567"/>
          <w:tab w:val="left" w:pos="993"/>
        </w:tabs>
        <w:ind w:left="567" w:hanging="567"/>
        <w:jc w:val="both"/>
        <w:rPr>
          <w:sz w:val="22"/>
          <w:szCs w:val="22"/>
        </w:rPr>
      </w:pPr>
      <w:r w:rsidRPr="00295E71">
        <w:rPr>
          <w:sz w:val="22"/>
          <w:szCs w:val="22"/>
        </w:rPr>
        <w:t>ictus</w:t>
      </w:r>
    </w:p>
    <w:p w:rsidR="006224C2" w:rsidRPr="00295E71" w14:paraId="5DAF6B93" w14:textId="77777777">
      <w:pPr>
        <w:numPr>
          <w:ilvl w:val="0"/>
          <w:numId w:val="14"/>
        </w:numPr>
        <w:tabs>
          <w:tab w:val="num" w:pos="540"/>
          <w:tab w:val="left" w:pos="567"/>
          <w:tab w:val="left" w:pos="993"/>
        </w:tabs>
        <w:ind w:left="567" w:hanging="567"/>
        <w:jc w:val="both"/>
        <w:rPr>
          <w:sz w:val="22"/>
          <w:szCs w:val="22"/>
        </w:rPr>
      </w:pPr>
      <w:r w:rsidRPr="00295E71">
        <w:rPr>
          <w:sz w:val="22"/>
          <w:szCs w:val="22"/>
        </w:rPr>
        <w:t>perdita dell’udito, ronzio</w:t>
      </w:r>
    </w:p>
    <w:p w:rsidR="006224C2" w:rsidRPr="00295E71" w14:paraId="2DBECEDB" w14:textId="77777777">
      <w:pPr>
        <w:numPr>
          <w:ilvl w:val="0"/>
          <w:numId w:val="14"/>
        </w:numPr>
        <w:tabs>
          <w:tab w:val="num" w:pos="540"/>
          <w:tab w:val="left" w:pos="567"/>
          <w:tab w:val="left" w:pos="993"/>
        </w:tabs>
        <w:ind w:left="567" w:hanging="567"/>
        <w:jc w:val="both"/>
        <w:rPr>
          <w:sz w:val="22"/>
          <w:szCs w:val="22"/>
        </w:rPr>
      </w:pPr>
      <w:r w:rsidRPr="00295E71">
        <w:rPr>
          <w:sz w:val="22"/>
          <w:szCs w:val="22"/>
        </w:rPr>
        <w:t>sensazione di battito cardiaco irregolare come palpitazioni</w:t>
      </w:r>
    </w:p>
    <w:p w:rsidR="006224C2" w:rsidRPr="00295E71" w14:paraId="0C1262FB" w14:textId="77777777">
      <w:pPr>
        <w:numPr>
          <w:ilvl w:val="0"/>
          <w:numId w:val="14"/>
        </w:numPr>
        <w:tabs>
          <w:tab w:val="num" w:pos="540"/>
          <w:tab w:val="left" w:pos="567"/>
          <w:tab w:val="left" w:pos="993"/>
        </w:tabs>
        <w:ind w:left="567" w:hanging="567"/>
        <w:jc w:val="both"/>
        <w:rPr>
          <w:sz w:val="22"/>
          <w:szCs w:val="22"/>
        </w:rPr>
      </w:pPr>
      <w:r w:rsidRPr="00295E71">
        <w:rPr>
          <w:sz w:val="22"/>
          <w:szCs w:val="22"/>
        </w:rPr>
        <w:t>problemi al cuore che possono causare fiato corto o gonfiore a livello delle caviglie</w:t>
      </w:r>
    </w:p>
    <w:p w:rsidR="006224C2" w:rsidRPr="00295E71" w14:paraId="386BEC3C" w14:textId="77777777">
      <w:pPr>
        <w:numPr>
          <w:ilvl w:val="0"/>
          <w:numId w:val="14"/>
        </w:numPr>
        <w:tabs>
          <w:tab w:val="num" w:pos="540"/>
          <w:tab w:val="left" w:pos="567"/>
          <w:tab w:val="left" w:pos="993"/>
        </w:tabs>
        <w:ind w:left="567" w:hanging="567"/>
        <w:jc w:val="both"/>
        <w:rPr>
          <w:sz w:val="22"/>
          <w:szCs w:val="22"/>
        </w:rPr>
      </w:pPr>
      <w:r w:rsidRPr="00295E71">
        <w:rPr>
          <w:sz w:val="22"/>
          <w:szCs w:val="22"/>
        </w:rPr>
        <w:t>infarto acuto del miocardio</w:t>
      </w:r>
    </w:p>
    <w:p w:rsidR="006224C2" w:rsidRPr="00295E71" w14:paraId="1F52845A" w14:textId="77777777">
      <w:pPr>
        <w:numPr>
          <w:ilvl w:val="0"/>
          <w:numId w:val="14"/>
        </w:numPr>
        <w:tabs>
          <w:tab w:val="num" w:pos="540"/>
          <w:tab w:val="left" w:pos="567"/>
          <w:tab w:val="left" w:pos="993"/>
        </w:tabs>
        <w:ind w:left="567" w:hanging="567"/>
        <w:jc w:val="both"/>
        <w:rPr>
          <w:sz w:val="22"/>
          <w:szCs w:val="22"/>
        </w:rPr>
      </w:pPr>
      <w:r w:rsidRPr="00295E71">
        <w:rPr>
          <w:sz w:val="22"/>
          <w:szCs w:val="22"/>
        </w:rPr>
        <w:t>formazione di una sacca nella parete di un’arteria principale, infiammazione e coagulo in una vena, ostruzione di un vaso sanguigno</w:t>
      </w:r>
    </w:p>
    <w:p w:rsidR="006224C2" w:rsidRPr="00295E71" w14:paraId="3BAC4045" w14:textId="77777777">
      <w:pPr>
        <w:numPr>
          <w:ilvl w:val="0"/>
          <w:numId w:val="14"/>
        </w:numPr>
        <w:tabs>
          <w:tab w:val="num" w:pos="540"/>
          <w:tab w:val="left" w:pos="567"/>
          <w:tab w:val="left" w:pos="993"/>
        </w:tabs>
        <w:ind w:left="567" w:hanging="567"/>
        <w:jc w:val="both"/>
        <w:rPr>
          <w:sz w:val="22"/>
          <w:szCs w:val="22"/>
        </w:rPr>
      </w:pPr>
      <w:r w:rsidRPr="00295E71">
        <w:rPr>
          <w:sz w:val="22"/>
          <w:szCs w:val="22"/>
        </w:rPr>
        <w:t>malattia polmonare che provoca fiato corto (inclusa infiammazione)</w:t>
      </w:r>
    </w:p>
    <w:p w:rsidR="006224C2" w:rsidRPr="00295E71" w14:paraId="5A2A6D28" w14:textId="77777777">
      <w:pPr>
        <w:numPr>
          <w:ilvl w:val="0"/>
          <w:numId w:val="14"/>
        </w:numPr>
        <w:tabs>
          <w:tab w:val="num" w:pos="540"/>
          <w:tab w:val="left" w:pos="567"/>
          <w:tab w:val="left" w:pos="993"/>
        </w:tabs>
        <w:ind w:left="567" w:hanging="567"/>
        <w:jc w:val="both"/>
        <w:rPr>
          <w:sz w:val="22"/>
          <w:szCs w:val="22"/>
        </w:rPr>
      </w:pPr>
      <w:r w:rsidRPr="00295E71">
        <w:rPr>
          <w:sz w:val="22"/>
          <w:szCs w:val="22"/>
        </w:rPr>
        <w:t>embolia polmonare (occlusione di una arteria polmonare)</w:t>
      </w:r>
    </w:p>
    <w:p w:rsidR="006224C2" w:rsidRPr="00295E71" w14:paraId="28AA8C6C" w14:textId="77777777">
      <w:pPr>
        <w:numPr>
          <w:ilvl w:val="0"/>
          <w:numId w:val="14"/>
        </w:numPr>
        <w:tabs>
          <w:tab w:val="num" w:pos="540"/>
          <w:tab w:val="left" w:pos="567"/>
          <w:tab w:val="left" w:pos="993"/>
        </w:tabs>
        <w:ind w:left="567" w:hanging="567"/>
        <w:jc w:val="both"/>
        <w:rPr>
          <w:sz w:val="22"/>
          <w:szCs w:val="22"/>
        </w:rPr>
      </w:pPr>
      <w:r w:rsidRPr="00295E71">
        <w:rPr>
          <w:sz w:val="22"/>
          <w:szCs w:val="22"/>
        </w:rPr>
        <w:t>versamento pleurico (anomala raccolta di liquido nello spazio pleurico)</w:t>
      </w:r>
    </w:p>
    <w:p w:rsidR="006224C2" w:rsidRPr="00295E71" w14:paraId="31D9CC80"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 pancreas che causa forti dolori all’addome ed alla schiena</w:t>
      </w:r>
    </w:p>
    <w:p w:rsidR="006224C2" w:rsidRPr="00295E71" w14:paraId="0B8705FF" w14:textId="77777777">
      <w:pPr>
        <w:numPr>
          <w:ilvl w:val="0"/>
          <w:numId w:val="14"/>
        </w:numPr>
        <w:tabs>
          <w:tab w:val="num" w:pos="540"/>
          <w:tab w:val="left" w:pos="567"/>
          <w:tab w:val="left" w:pos="993"/>
        </w:tabs>
        <w:ind w:left="567" w:hanging="567"/>
        <w:jc w:val="both"/>
        <w:rPr>
          <w:sz w:val="22"/>
          <w:szCs w:val="22"/>
        </w:rPr>
      </w:pPr>
      <w:r w:rsidRPr="00295E71">
        <w:rPr>
          <w:sz w:val="22"/>
          <w:szCs w:val="22"/>
        </w:rPr>
        <w:t>difficoltà nella deglutizione</w:t>
      </w:r>
    </w:p>
    <w:p w:rsidR="006224C2" w:rsidRPr="00295E71" w14:paraId="55FDC3A7"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facciale (gonfiore della faccia)</w:t>
      </w:r>
    </w:p>
    <w:p w:rsidR="006224C2" w:rsidRPr="00295E71" w14:paraId="0347CA78"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della cistifellea, calcoli alla cistifellea</w:t>
      </w:r>
    </w:p>
    <w:p w:rsidR="006224C2" w:rsidRPr="00295E71" w14:paraId="742F072D" w14:textId="77777777">
      <w:pPr>
        <w:numPr>
          <w:ilvl w:val="0"/>
          <w:numId w:val="14"/>
        </w:numPr>
        <w:tabs>
          <w:tab w:val="num" w:pos="540"/>
          <w:tab w:val="left" w:pos="567"/>
          <w:tab w:val="left" w:pos="993"/>
        </w:tabs>
        <w:ind w:left="567" w:hanging="567"/>
        <w:jc w:val="both"/>
        <w:rPr>
          <w:sz w:val="22"/>
          <w:szCs w:val="22"/>
        </w:rPr>
      </w:pPr>
      <w:r w:rsidRPr="00295E71">
        <w:rPr>
          <w:sz w:val="22"/>
          <w:szCs w:val="22"/>
        </w:rPr>
        <w:t>fegato grasso</w:t>
      </w:r>
    </w:p>
    <w:p w:rsidR="006224C2" w:rsidRPr="00295E71" w14:paraId="4B334249" w14:textId="77777777">
      <w:pPr>
        <w:numPr>
          <w:ilvl w:val="0"/>
          <w:numId w:val="14"/>
        </w:numPr>
        <w:tabs>
          <w:tab w:val="num" w:pos="540"/>
          <w:tab w:val="left" w:pos="567"/>
          <w:tab w:val="left" w:pos="993"/>
        </w:tabs>
        <w:ind w:left="567" w:hanging="567"/>
        <w:jc w:val="both"/>
        <w:rPr>
          <w:sz w:val="22"/>
          <w:szCs w:val="22"/>
        </w:rPr>
      </w:pPr>
      <w:r w:rsidRPr="00295E71">
        <w:rPr>
          <w:sz w:val="22"/>
          <w:szCs w:val="22"/>
        </w:rPr>
        <w:t>sudorazione notturna</w:t>
      </w:r>
    </w:p>
    <w:p w:rsidR="006224C2" w:rsidRPr="00295E71" w14:paraId="0882BB85" w14:textId="77777777">
      <w:pPr>
        <w:numPr>
          <w:ilvl w:val="0"/>
          <w:numId w:val="14"/>
        </w:numPr>
        <w:tabs>
          <w:tab w:val="num" w:pos="540"/>
          <w:tab w:val="left" w:pos="567"/>
          <w:tab w:val="left" w:pos="993"/>
        </w:tabs>
        <w:ind w:left="567" w:hanging="567"/>
        <w:jc w:val="both"/>
        <w:rPr>
          <w:sz w:val="22"/>
          <w:szCs w:val="22"/>
        </w:rPr>
      </w:pPr>
      <w:r w:rsidRPr="00295E71">
        <w:rPr>
          <w:sz w:val="22"/>
          <w:szCs w:val="22"/>
        </w:rPr>
        <w:t>cicatrice</w:t>
      </w:r>
    </w:p>
    <w:p w:rsidR="006224C2" w:rsidRPr="00295E71" w14:paraId="1A609E5B" w14:textId="77777777">
      <w:pPr>
        <w:numPr>
          <w:ilvl w:val="0"/>
          <w:numId w:val="14"/>
        </w:numPr>
        <w:tabs>
          <w:tab w:val="num" w:pos="540"/>
          <w:tab w:val="left" w:pos="567"/>
          <w:tab w:val="left" w:pos="993"/>
        </w:tabs>
        <w:ind w:left="567" w:hanging="567"/>
        <w:jc w:val="both"/>
        <w:rPr>
          <w:sz w:val="22"/>
          <w:szCs w:val="22"/>
        </w:rPr>
      </w:pPr>
      <w:r w:rsidRPr="00295E71">
        <w:rPr>
          <w:sz w:val="22"/>
          <w:szCs w:val="22"/>
        </w:rPr>
        <w:t>anormale catabolismo muscolare</w:t>
      </w:r>
    </w:p>
    <w:p w:rsidR="006224C2" w:rsidRPr="00295E71" w14:paraId="07A7D604" w14:textId="77777777">
      <w:pPr>
        <w:numPr>
          <w:ilvl w:val="0"/>
          <w:numId w:val="14"/>
        </w:numPr>
        <w:tabs>
          <w:tab w:val="num" w:pos="540"/>
          <w:tab w:val="left" w:pos="567"/>
          <w:tab w:val="left" w:pos="993"/>
        </w:tabs>
        <w:ind w:left="567" w:hanging="567"/>
        <w:jc w:val="both"/>
        <w:rPr>
          <w:sz w:val="22"/>
          <w:szCs w:val="22"/>
        </w:rPr>
      </w:pPr>
      <w:r w:rsidRPr="00295E71">
        <w:rPr>
          <w:sz w:val="22"/>
          <w:szCs w:val="22"/>
        </w:rPr>
        <w:t>lupus eritematoso sistemico (tra cui infiammazione della pelle, del cuore, del polmone, delle articolazioni e di altri organi)</w:t>
      </w:r>
    </w:p>
    <w:p w:rsidR="006224C2" w:rsidRPr="00295E71" w14:paraId="4CC9F978" w14:textId="77777777">
      <w:pPr>
        <w:numPr>
          <w:ilvl w:val="0"/>
          <w:numId w:val="14"/>
        </w:numPr>
        <w:tabs>
          <w:tab w:val="num" w:pos="540"/>
          <w:tab w:val="left" w:pos="567"/>
          <w:tab w:val="left" w:pos="993"/>
        </w:tabs>
        <w:ind w:left="567" w:hanging="567"/>
        <w:jc w:val="both"/>
        <w:rPr>
          <w:sz w:val="22"/>
          <w:szCs w:val="22"/>
        </w:rPr>
      </w:pPr>
      <w:r w:rsidRPr="00295E71">
        <w:rPr>
          <w:sz w:val="22"/>
          <w:szCs w:val="22"/>
        </w:rPr>
        <w:t>sonno interrotto</w:t>
      </w:r>
    </w:p>
    <w:p w:rsidR="006224C2" w:rsidRPr="00295E71" w14:paraId="7B745C43" w14:textId="77777777">
      <w:pPr>
        <w:numPr>
          <w:ilvl w:val="0"/>
          <w:numId w:val="14"/>
        </w:numPr>
        <w:tabs>
          <w:tab w:val="num" w:pos="540"/>
          <w:tab w:val="left" w:pos="567"/>
          <w:tab w:val="left" w:pos="993"/>
        </w:tabs>
        <w:ind w:left="567" w:hanging="567"/>
        <w:jc w:val="both"/>
        <w:rPr>
          <w:sz w:val="22"/>
          <w:szCs w:val="22"/>
        </w:rPr>
      </w:pPr>
      <w:r w:rsidRPr="00295E71">
        <w:rPr>
          <w:sz w:val="22"/>
          <w:szCs w:val="22"/>
        </w:rPr>
        <w:t>impotenza</w:t>
      </w:r>
    </w:p>
    <w:p w:rsidR="006224C2" w:rsidRPr="00295E71" w14:paraId="3A047738"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infiammazioni</w:t>
      </w:r>
    </w:p>
    <w:p w:rsidR="006224C2" w:rsidRPr="00295E71" w14:paraId="585E6301" w14:textId="77777777">
      <w:pPr>
        <w:tabs>
          <w:tab w:val="left" w:pos="567"/>
        </w:tabs>
        <w:jc w:val="both"/>
        <w:rPr>
          <w:sz w:val="22"/>
          <w:szCs w:val="22"/>
        </w:rPr>
      </w:pPr>
    </w:p>
    <w:p w:rsidR="006224C2" w:rsidRPr="00295E71" w14:paraId="3808F807" w14:textId="77777777">
      <w:pPr>
        <w:rPr>
          <w:sz w:val="22"/>
          <w:szCs w:val="22"/>
        </w:rPr>
      </w:pPr>
      <w:r w:rsidRPr="00295E71">
        <w:rPr>
          <w:b/>
          <w:bCs/>
          <w:sz w:val="22"/>
          <w:szCs w:val="22"/>
        </w:rPr>
        <w:t>Rari</w:t>
      </w:r>
      <w:r w:rsidRPr="00295E71">
        <w:rPr>
          <w:sz w:val="22"/>
          <w:szCs w:val="22"/>
        </w:rPr>
        <w:t xml:space="preserve"> (possono manifestarsi fino a 1 persona su 1.000)</w:t>
      </w:r>
    </w:p>
    <w:p w:rsidR="006224C2" w:rsidRPr="00295E71" w14:paraId="4B1FF624" w14:textId="77777777">
      <w:pPr>
        <w:tabs>
          <w:tab w:val="left" w:pos="567"/>
          <w:tab w:val="left" w:pos="993"/>
        </w:tabs>
        <w:jc w:val="both"/>
        <w:rPr>
          <w:sz w:val="22"/>
          <w:szCs w:val="22"/>
        </w:rPr>
      </w:pPr>
    </w:p>
    <w:p w:rsidR="006224C2" w:rsidRPr="00295E71" w14:paraId="24329580" w14:textId="77777777">
      <w:pPr>
        <w:numPr>
          <w:ilvl w:val="0"/>
          <w:numId w:val="14"/>
        </w:numPr>
        <w:tabs>
          <w:tab w:val="num" w:pos="540"/>
          <w:tab w:val="left" w:pos="567"/>
          <w:tab w:val="left" w:pos="993"/>
        </w:tabs>
        <w:ind w:left="567" w:hanging="567"/>
        <w:jc w:val="both"/>
        <w:rPr>
          <w:sz w:val="22"/>
          <w:szCs w:val="22"/>
        </w:rPr>
      </w:pPr>
      <w:r w:rsidRPr="00295E71">
        <w:rPr>
          <w:sz w:val="22"/>
          <w:szCs w:val="22"/>
        </w:rPr>
        <w:t>leucemia (</w:t>
      </w:r>
      <w:r w:rsidRPr="00295E71" w:rsidR="00435F3A">
        <w:rPr>
          <w:sz w:val="22"/>
          <w:szCs w:val="22"/>
        </w:rPr>
        <w:t>un tumore che colpisce il sangue e il midollo osseo</w:t>
      </w:r>
      <w:r w:rsidRPr="00295E71">
        <w:rPr>
          <w:sz w:val="22"/>
          <w:szCs w:val="22"/>
        </w:rPr>
        <w:t>)</w:t>
      </w:r>
    </w:p>
    <w:p w:rsidR="006224C2" w:rsidRPr="00295E71" w14:paraId="439E21D9"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reazione allergica grave con shock</w:t>
      </w:r>
    </w:p>
    <w:p w:rsidR="006224C2" w:rsidRPr="00295E71" w14:paraId="24854D36" w14:textId="77777777">
      <w:pPr>
        <w:numPr>
          <w:ilvl w:val="0"/>
          <w:numId w:val="14"/>
        </w:numPr>
        <w:tabs>
          <w:tab w:val="num" w:pos="540"/>
          <w:tab w:val="left" w:pos="567"/>
          <w:tab w:val="left" w:pos="993"/>
        </w:tabs>
        <w:ind w:left="567" w:hanging="567"/>
        <w:jc w:val="both"/>
        <w:rPr>
          <w:sz w:val="22"/>
          <w:szCs w:val="22"/>
        </w:rPr>
      </w:pPr>
      <w:r w:rsidRPr="00295E71">
        <w:rPr>
          <w:sz w:val="22"/>
          <w:szCs w:val="22"/>
        </w:rPr>
        <w:t>sclerosi multipla</w:t>
      </w:r>
    </w:p>
    <w:p w:rsidR="006224C2" w:rsidRPr="00295E71" w14:paraId="28EFE01E"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neurologici (come infiammazione del nervo ottico e sindrome di Guillain-Barré che può causare debolezza muscolare, sensazioni anomale, formicolio alle braccia ed alla parte superiore del corpo)</w:t>
      </w:r>
    </w:p>
    <w:p w:rsidR="006224C2" w:rsidRPr="00295E71" w14:paraId="1575AE07" w14:textId="77777777">
      <w:pPr>
        <w:numPr>
          <w:ilvl w:val="0"/>
          <w:numId w:val="14"/>
        </w:numPr>
        <w:tabs>
          <w:tab w:val="num" w:pos="540"/>
          <w:tab w:val="left" w:pos="567"/>
          <w:tab w:val="left" w:pos="993"/>
        </w:tabs>
        <w:ind w:left="567" w:hanging="567"/>
        <w:jc w:val="both"/>
        <w:rPr>
          <w:sz w:val="22"/>
          <w:szCs w:val="22"/>
        </w:rPr>
      </w:pPr>
      <w:r w:rsidRPr="00295E71">
        <w:rPr>
          <w:sz w:val="22"/>
          <w:szCs w:val="22"/>
        </w:rPr>
        <w:t>arresto cardiaco</w:t>
      </w:r>
    </w:p>
    <w:p w:rsidR="006224C2" w:rsidRPr="00295E71" w14:paraId="5EA1EED3" w14:textId="77777777">
      <w:pPr>
        <w:numPr>
          <w:ilvl w:val="0"/>
          <w:numId w:val="14"/>
        </w:numPr>
        <w:tabs>
          <w:tab w:val="num" w:pos="540"/>
          <w:tab w:val="left" w:pos="567"/>
          <w:tab w:val="left" w:pos="993"/>
        </w:tabs>
        <w:ind w:left="567" w:hanging="567"/>
        <w:jc w:val="both"/>
        <w:rPr>
          <w:sz w:val="22"/>
          <w:szCs w:val="22"/>
        </w:rPr>
      </w:pPr>
      <w:r w:rsidRPr="00295E71">
        <w:rPr>
          <w:sz w:val="22"/>
          <w:szCs w:val="22"/>
        </w:rPr>
        <w:t>fibrosi polmonare (cicatrici del polmone)</w:t>
      </w:r>
    </w:p>
    <w:p w:rsidR="006224C2" w:rsidRPr="00295E71" w14:paraId="0553FBE8" w14:textId="77777777">
      <w:pPr>
        <w:numPr>
          <w:ilvl w:val="0"/>
          <w:numId w:val="14"/>
        </w:numPr>
        <w:tabs>
          <w:tab w:val="num" w:pos="540"/>
          <w:tab w:val="left" w:pos="567"/>
          <w:tab w:val="left" w:pos="993"/>
        </w:tabs>
        <w:ind w:left="567" w:hanging="567"/>
        <w:jc w:val="both"/>
        <w:rPr>
          <w:sz w:val="22"/>
          <w:szCs w:val="22"/>
        </w:rPr>
      </w:pPr>
      <w:r w:rsidRPr="00295E71">
        <w:rPr>
          <w:sz w:val="22"/>
          <w:szCs w:val="22"/>
        </w:rPr>
        <w:t>perforazione intestinale (buco nell’intestino)</w:t>
      </w:r>
    </w:p>
    <w:p w:rsidR="006224C2" w:rsidRPr="00295E71" w14:paraId="01F3B24D" w14:textId="77777777">
      <w:pPr>
        <w:numPr>
          <w:ilvl w:val="0"/>
          <w:numId w:val="14"/>
        </w:numPr>
        <w:tabs>
          <w:tab w:val="num" w:pos="540"/>
          <w:tab w:val="left" w:pos="567"/>
          <w:tab w:val="left" w:pos="993"/>
        </w:tabs>
        <w:ind w:left="567" w:hanging="567"/>
        <w:jc w:val="both"/>
        <w:rPr>
          <w:sz w:val="22"/>
          <w:szCs w:val="22"/>
        </w:rPr>
      </w:pPr>
      <w:r w:rsidRPr="00295E71">
        <w:rPr>
          <w:sz w:val="22"/>
          <w:szCs w:val="22"/>
        </w:rPr>
        <w:t>epatite</w:t>
      </w:r>
    </w:p>
    <w:p w:rsidR="006224C2" w:rsidRPr="00295E71" w14:paraId="7D0BDE3B" w14:textId="77777777">
      <w:pPr>
        <w:numPr>
          <w:ilvl w:val="0"/>
          <w:numId w:val="14"/>
        </w:numPr>
        <w:tabs>
          <w:tab w:val="num" w:pos="540"/>
          <w:tab w:val="left" w:pos="567"/>
          <w:tab w:val="left" w:pos="993"/>
        </w:tabs>
        <w:ind w:left="567" w:hanging="567"/>
        <w:jc w:val="both"/>
        <w:rPr>
          <w:sz w:val="22"/>
          <w:szCs w:val="22"/>
        </w:rPr>
      </w:pPr>
      <w:r w:rsidRPr="00295E71">
        <w:rPr>
          <w:sz w:val="22"/>
          <w:szCs w:val="22"/>
        </w:rPr>
        <w:t>riattivazione dell’epatite B</w:t>
      </w:r>
    </w:p>
    <w:p w:rsidR="006224C2" w:rsidRPr="00295E71" w14:paraId="4B59685C" w14:textId="77777777">
      <w:pPr>
        <w:numPr>
          <w:ilvl w:val="0"/>
          <w:numId w:val="14"/>
        </w:numPr>
        <w:tabs>
          <w:tab w:val="num" w:pos="540"/>
          <w:tab w:val="left" w:pos="567"/>
          <w:tab w:val="left" w:pos="993"/>
        </w:tabs>
        <w:ind w:left="567" w:hanging="567"/>
        <w:jc w:val="both"/>
        <w:rPr>
          <w:sz w:val="22"/>
          <w:szCs w:val="22"/>
        </w:rPr>
      </w:pPr>
      <w:r w:rsidRPr="00295E71">
        <w:rPr>
          <w:sz w:val="22"/>
          <w:szCs w:val="22"/>
        </w:rPr>
        <w:t>epatite autoimmune (infiammazione del fegato causata dal proprio sistema immunitario);</w:t>
      </w:r>
    </w:p>
    <w:p w:rsidR="006224C2" w:rsidRPr="00295E71" w14:paraId="4005639E" w14:textId="77777777">
      <w:pPr>
        <w:numPr>
          <w:ilvl w:val="0"/>
          <w:numId w:val="14"/>
        </w:numPr>
        <w:tabs>
          <w:tab w:val="num" w:pos="540"/>
          <w:tab w:val="left" w:pos="567"/>
          <w:tab w:val="left" w:pos="993"/>
        </w:tabs>
        <w:ind w:left="567" w:hanging="567"/>
        <w:jc w:val="both"/>
        <w:rPr>
          <w:sz w:val="22"/>
          <w:szCs w:val="22"/>
        </w:rPr>
      </w:pPr>
      <w:r w:rsidRPr="00295E71">
        <w:rPr>
          <w:sz w:val="22"/>
          <w:szCs w:val="22"/>
        </w:rPr>
        <w:t>vasculite cutanea (infiammazione dei vasi sanguigni della pelle)</w:t>
      </w:r>
    </w:p>
    <w:p w:rsidR="006224C2" w:rsidRPr="00295E71" w14:paraId="29CB8834"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di Stevens-Johnson (i sintomi precoci includono malessere, febbre, cefalea ed eruzione cutanea)</w:t>
      </w:r>
    </w:p>
    <w:p w:rsidR="006224C2" w:rsidRPr="00295E71" w14:paraId="00350AA3"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facciale (gonfiore della faccia) associato a reazioni allergiche</w:t>
      </w:r>
    </w:p>
    <w:p w:rsidR="006224C2" w:rsidRPr="00295E71" w14:paraId="0DE5B73B" w14:textId="77777777">
      <w:pPr>
        <w:numPr>
          <w:ilvl w:val="0"/>
          <w:numId w:val="14"/>
        </w:numPr>
        <w:tabs>
          <w:tab w:val="num" w:pos="540"/>
          <w:tab w:val="left" w:pos="567"/>
          <w:tab w:val="left" w:pos="993"/>
        </w:tabs>
        <w:ind w:left="567" w:hanging="567"/>
        <w:jc w:val="both"/>
        <w:rPr>
          <w:sz w:val="22"/>
          <w:szCs w:val="22"/>
        </w:rPr>
      </w:pPr>
      <w:r w:rsidRPr="00295E71">
        <w:rPr>
          <w:sz w:val="22"/>
          <w:szCs w:val="22"/>
        </w:rPr>
        <w:t>eritema multiforme (rash cutaneo infiammatorio)</w:t>
      </w:r>
    </w:p>
    <w:p w:rsidR="006224C2" w:rsidRPr="00295E71" w14:paraId="40B305C3"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simile al lupus</w:t>
      </w:r>
    </w:p>
    <w:p w:rsidR="00351417" w14:paraId="2EF0DBF2" w14:textId="77777777">
      <w:pPr>
        <w:numPr>
          <w:ilvl w:val="0"/>
          <w:numId w:val="14"/>
        </w:numPr>
        <w:tabs>
          <w:tab w:val="num" w:pos="540"/>
          <w:tab w:val="left" w:pos="567"/>
          <w:tab w:val="left" w:pos="993"/>
        </w:tabs>
        <w:ind w:left="567" w:hanging="567"/>
        <w:jc w:val="both"/>
        <w:rPr>
          <w:sz w:val="22"/>
          <w:szCs w:val="22"/>
        </w:rPr>
      </w:pPr>
      <w:r w:rsidRPr="00295E71">
        <w:rPr>
          <w:sz w:val="22"/>
          <w:szCs w:val="22"/>
        </w:rPr>
        <w:t>angioedema (gonfiore localizzato della pelle)</w:t>
      </w:r>
    </w:p>
    <w:p w:rsidR="00FB4628" w:rsidRPr="00295E71" w:rsidP="00FB4628" w14:paraId="69329141" w14:textId="77777777">
      <w:pPr>
        <w:numPr>
          <w:ilvl w:val="0"/>
          <w:numId w:val="14"/>
        </w:numPr>
        <w:tabs>
          <w:tab w:val="left" w:pos="567"/>
          <w:tab w:val="left" w:pos="993"/>
        </w:tabs>
        <w:ind w:hanging="720"/>
        <w:jc w:val="both"/>
        <w:rPr>
          <w:sz w:val="22"/>
          <w:szCs w:val="22"/>
        </w:rPr>
      </w:pPr>
      <w:r w:rsidRPr="00756246">
        <w:rPr>
          <w:sz w:val="22"/>
          <w:szCs w:val="22"/>
        </w:rPr>
        <w:t>reazione cutanea lichenoide (</w:t>
      </w:r>
      <w:r w:rsidR="00C6039F">
        <w:rPr>
          <w:sz w:val="22"/>
          <w:szCs w:val="22"/>
        </w:rPr>
        <w:t xml:space="preserve">eruzione </w:t>
      </w:r>
      <w:r w:rsidRPr="00756246">
        <w:rPr>
          <w:sz w:val="22"/>
          <w:szCs w:val="22"/>
        </w:rPr>
        <w:t>cutane</w:t>
      </w:r>
      <w:r w:rsidR="00C6039F">
        <w:rPr>
          <w:sz w:val="22"/>
          <w:szCs w:val="22"/>
        </w:rPr>
        <w:t>a</w:t>
      </w:r>
      <w:r w:rsidRPr="00756246">
        <w:rPr>
          <w:sz w:val="22"/>
          <w:szCs w:val="22"/>
        </w:rPr>
        <w:t xml:space="preserve"> ross</w:t>
      </w:r>
      <w:r w:rsidR="00C6039F">
        <w:rPr>
          <w:sz w:val="22"/>
          <w:szCs w:val="22"/>
        </w:rPr>
        <w:t>o</w:t>
      </w:r>
      <w:r w:rsidRPr="00756246">
        <w:rPr>
          <w:sz w:val="22"/>
          <w:szCs w:val="22"/>
        </w:rPr>
        <w:t>-viola</w:t>
      </w:r>
      <w:r w:rsidR="00C6039F">
        <w:rPr>
          <w:sz w:val="22"/>
          <w:szCs w:val="22"/>
        </w:rPr>
        <w:t>cea</w:t>
      </w:r>
      <w:r w:rsidRPr="00756246">
        <w:rPr>
          <w:sz w:val="22"/>
          <w:szCs w:val="22"/>
        </w:rPr>
        <w:t xml:space="preserve"> pruriginos</w:t>
      </w:r>
      <w:r w:rsidR="00C6039F">
        <w:rPr>
          <w:sz w:val="22"/>
          <w:szCs w:val="22"/>
        </w:rPr>
        <w:t>a</w:t>
      </w:r>
      <w:r w:rsidRPr="00756246">
        <w:rPr>
          <w:sz w:val="22"/>
          <w:szCs w:val="22"/>
        </w:rPr>
        <w:t>)</w:t>
      </w:r>
    </w:p>
    <w:p w:rsidR="006224C2" w:rsidRPr="00295E71" w14:paraId="53FB493F" w14:textId="77777777">
      <w:pPr>
        <w:tabs>
          <w:tab w:val="left" w:pos="567"/>
          <w:tab w:val="left" w:pos="993"/>
        </w:tabs>
        <w:jc w:val="both"/>
        <w:rPr>
          <w:sz w:val="22"/>
          <w:szCs w:val="22"/>
        </w:rPr>
      </w:pPr>
    </w:p>
    <w:p w:rsidR="006224C2" w:rsidRPr="00295E71" w14:paraId="6A35DF89" w14:textId="77777777">
      <w:pPr>
        <w:keepNext/>
        <w:rPr>
          <w:sz w:val="22"/>
          <w:szCs w:val="22"/>
        </w:rPr>
      </w:pPr>
      <w:r w:rsidRPr="00295E71">
        <w:rPr>
          <w:b/>
          <w:bCs/>
          <w:sz w:val="22"/>
          <w:szCs w:val="22"/>
        </w:rPr>
        <w:t>Non nota</w:t>
      </w:r>
      <w:r w:rsidRPr="00295E71">
        <w:rPr>
          <w:sz w:val="22"/>
          <w:szCs w:val="22"/>
        </w:rPr>
        <w:t xml:space="preserve"> (la frequenza non può essere definita sulla base dei dati disponibili)</w:t>
      </w:r>
    </w:p>
    <w:p w:rsidR="006224C2" w:rsidRPr="00295E71" w14:paraId="2FCD68F5" w14:textId="77777777">
      <w:pPr>
        <w:pStyle w:val="EMEAFigureTitle"/>
        <w:keepNext/>
        <w:tabs>
          <w:tab w:val="left" w:pos="993"/>
        </w:tabs>
        <w:suppressAutoHyphens w:val="0"/>
        <w:jc w:val="both"/>
        <w:rPr>
          <w:lang w:val="it-IT" w:eastAsia="it-IT"/>
        </w:rPr>
      </w:pPr>
    </w:p>
    <w:p w:rsidR="006224C2" w:rsidRPr="00295E71" w14:paraId="76403ED7"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linfoma epato-splenico a cellule T (un raro tumore del sangue che spesso risulta fatale)</w:t>
      </w:r>
    </w:p>
    <w:p w:rsidR="006224C2" w14:paraId="19B7B505"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carcinoma a cellule di Merkel (un tipo di cancro della pelle)</w:t>
      </w:r>
    </w:p>
    <w:p w:rsidR="003E6A38" w:rsidRPr="00985ADA" w:rsidP="009D4221" w14:paraId="37A83E7C" w14:textId="77777777">
      <w:pPr>
        <w:numPr>
          <w:ilvl w:val="0"/>
          <w:numId w:val="14"/>
        </w:numPr>
        <w:tabs>
          <w:tab w:val="num" w:pos="540"/>
          <w:tab w:val="left" w:pos="567"/>
          <w:tab w:val="left" w:pos="993"/>
        </w:tabs>
        <w:ind w:left="567" w:hanging="567"/>
        <w:jc w:val="both"/>
        <w:rPr>
          <w:sz w:val="22"/>
          <w:szCs w:val="22"/>
        </w:rPr>
      </w:pPr>
      <w:r w:rsidRPr="00C573CF">
        <w:rPr>
          <w:sz w:val="22"/>
          <w:szCs w:val="22"/>
        </w:rPr>
        <w:t>sarcoma di Kaposi, una forma rara di cancro correlato a infezione da Herpes virus umano 8.</w:t>
      </w:r>
      <w:r>
        <w:rPr>
          <w:sz w:val="22"/>
          <w:szCs w:val="22"/>
        </w:rPr>
        <w:t xml:space="preserve"> </w:t>
      </w:r>
      <w:r w:rsidRPr="00C573CF">
        <w:rPr>
          <w:sz w:val="22"/>
          <w:szCs w:val="22"/>
        </w:rPr>
        <w:t>Il</w:t>
      </w:r>
      <w:r>
        <w:rPr>
          <w:sz w:val="22"/>
          <w:szCs w:val="22"/>
        </w:rPr>
        <w:t xml:space="preserve"> </w:t>
      </w:r>
      <w:r w:rsidRPr="00C573CF">
        <w:rPr>
          <w:sz w:val="22"/>
          <w:szCs w:val="22"/>
        </w:rPr>
        <w:t>sarcoma di Kaposi si manifesta più comunemente con lesioni viola sulla pelle</w:t>
      </w:r>
    </w:p>
    <w:p w:rsidR="006224C2" w:rsidRPr="00295E71" w14:paraId="4C71E154"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insufficienza epatica</w:t>
      </w:r>
    </w:p>
    <w:p w:rsidR="006224C2" w14:paraId="47DE3BE4"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peggioramento di una condizione chiamata dermatomiosite (che si manifesta come eruzione cutanea accompagnata da debolezza muscolare)</w:t>
      </w:r>
    </w:p>
    <w:p w:rsidR="00A01AD4" w:rsidRPr="00295E71" w14:paraId="33AC74A4" w14:textId="77777777">
      <w:pPr>
        <w:keepNext/>
        <w:numPr>
          <w:ilvl w:val="0"/>
          <w:numId w:val="14"/>
        </w:numPr>
        <w:tabs>
          <w:tab w:val="num" w:pos="540"/>
          <w:tab w:val="left" w:pos="567"/>
          <w:tab w:val="left" w:pos="993"/>
        </w:tabs>
        <w:ind w:left="567" w:hanging="567"/>
        <w:jc w:val="both"/>
        <w:rPr>
          <w:sz w:val="22"/>
          <w:szCs w:val="22"/>
        </w:rPr>
      </w:pPr>
      <w:r w:rsidRPr="00A01AD4">
        <w:rPr>
          <w:sz w:val="22"/>
          <w:szCs w:val="22"/>
        </w:rPr>
        <w:t>Aumento di peso (per la maggior parte dei pazienti l’aumento di peso è stato basso)</w:t>
      </w:r>
    </w:p>
    <w:p w:rsidR="006224C2" w:rsidRPr="00295E71" w14:paraId="7A03971C" w14:textId="77777777">
      <w:pPr>
        <w:pStyle w:val="EMEAFigureTitle"/>
        <w:tabs>
          <w:tab w:val="left" w:pos="993"/>
        </w:tabs>
        <w:suppressAutoHyphens w:val="0"/>
        <w:jc w:val="both"/>
        <w:rPr>
          <w:lang w:val="it-IT" w:eastAsia="it-IT"/>
        </w:rPr>
      </w:pPr>
    </w:p>
    <w:p w:rsidR="006224C2" w:rsidRPr="00295E71" w14:paraId="76C8FDB6" w14:textId="77777777">
      <w:pPr>
        <w:rPr>
          <w:sz w:val="22"/>
          <w:szCs w:val="22"/>
        </w:rPr>
      </w:pPr>
      <w:r w:rsidRPr="00295E71">
        <w:rPr>
          <w:sz w:val="22"/>
          <w:szCs w:val="22"/>
        </w:rPr>
        <w:t>Alcuni degli effetti indesiderati osservati con Humira possono essere asintomatici e possono essere individuati solo attraverso gli esami del sangue.</w:t>
      </w:r>
    </w:p>
    <w:p w:rsidR="006224C2" w:rsidRPr="00295E71" w14:paraId="17BA28BB" w14:textId="77777777">
      <w:pPr>
        <w:tabs>
          <w:tab w:val="left" w:pos="567"/>
          <w:tab w:val="left" w:pos="993"/>
        </w:tabs>
        <w:jc w:val="both"/>
        <w:rPr>
          <w:sz w:val="22"/>
          <w:szCs w:val="22"/>
        </w:rPr>
      </w:pPr>
      <w:r w:rsidRPr="00295E71">
        <w:rPr>
          <w:sz w:val="22"/>
          <w:szCs w:val="22"/>
        </w:rPr>
        <w:t>Questi includono:</w:t>
      </w:r>
    </w:p>
    <w:p w:rsidR="006224C2" w:rsidRPr="00295E71" w14:paraId="5BB939EA" w14:textId="77777777">
      <w:pPr>
        <w:tabs>
          <w:tab w:val="left" w:pos="567"/>
          <w:tab w:val="left" w:pos="993"/>
        </w:tabs>
        <w:jc w:val="both"/>
        <w:rPr>
          <w:sz w:val="22"/>
          <w:szCs w:val="22"/>
        </w:rPr>
      </w:pPr>
    </w:p>
    <w:p w:rsidR="006224C2" w:rsidRPr="00295E71" w14:paraId="6BEFB7BF" w14:textId="77777777">
      <w:pPr>
        <w:tabs>
          <w:tab w:val="left" w:pos="567"/>
          <w:tab w:val="left" w:pos="993"/>
        </w:tabs>
        <w:jc w:val="both"/>
        <w:rPr>
          <w:sz w:val="22"/>
          <w:szCs w:val="22"/>
        </w:rPr>
      </w:pPr>
      <w:r w:rsidRPr="00295E71">
        <w:rPr>
          <w:b/>
          <w:bCs/>
          <w:sz w:val="22"/>
          <w:szCs w:val="22"/>
        </w:rPr>
        <w:t>Molto comuni</w:t>
      </w:r>
      <w:r w:rsidRPr="00295E71">
        <w:rPr>
          <w:sz w:val="22"/>
          <w:szCs w:val="22"/>
        </w:rPr>
        <w:t xml:space="preserve"> (possono manifestarsi in più di 1 persona su 10)</w:t>
      </w:r>
    </w:p>
    <w:p w:rsidR="006224C2" w:rsidRPr="00295E71" w14:paraId="6669103F" w14:textId="77777777">
      <w:pPr>
        <w:tabs>
          <w:tab w:val="left" w:pos="567"/>
          <w:tab w:val="left" w:pos="993"/>
        </w:tabs>
        <w:jc w:val="both"/>
        <w:rPr>
          <w:sz w:val="22"/>
          <w:szCs w:val="22"/>
        </w:rPr>
      </w:pPr>
    </w:p>
    <w:p w:rsidR="006224C2" w:rsidRPr="00295E71" w14:paraId="67A13672" w14:textId="77777777">
      <w:pPr>
        <w:numPr>
          <w:ilvl w:val="0"/>
          <w:numId w:val="14"/>
        </w:numPr>
        <w:tabs>
          <w:tab w:val="num" w:pos="540"/>
          <w:tab w:val="left" w:pos="567"/>
          <w:tab w:val="left" w:pos="993"/>
        </w:tabs>
        <w:ind w:left="567" w:hanging="567"/>
        <w:jc w:val="both"/>
        <w:rPr>
          <w:sz w:val="22"/>
          <w:szCs w:val="22"/>
        </w:rPr>
      </w:pPr>
      <w:r w:rsidRPr="00295E71">
        <w:rPr>
          <w:sz w:val="22"/>
          <w:szCs w:val="22"/>
        </w:rPr>
        <w:t>bassa conta dei globuli bianchi</w:t>
      </w:r>
    </w:p>
    <w:p w:rsidR="006224C2" w:rsidRPr="00295E71" w14:paraId="2EB2B365" w14:textId="77777777">
      <w:pPr>
        <w:numPr>
          <w:ilvl w:val="0"/>
          <w:numId w:val="14"/>
        </w:numPr>
        <w:tabs>
          <w:tab w:val="num" w:pos="540"/>
          <w:tab w:val="left" w:pos="567"/>
          <w:tab w:val="left" w:pos="993"/>
        </w:tabs>
        <w:ind w:left="567" w:hanging="567"/>
        <w:jc w:val="both"/>
        <w:rPr>
          <w:sz w:val="22"/>
          <w:szCs w:val="22"/>
        </w:rPr>
      </w:pPr>
      <w:r w:rsidRPr="00295E71">
        <w:rPr>
          <w:sz w:val="22"/>
          <w:szCs w:val="22"/>
        </w:rPr>
        <w:t>bassa conta dei globuli rossi</w:t>
      </w:r>
    </w:p>
    <w:p w:rsidR="006224C2" w:rsidRPr="00295E71" w14:paraId="1898E676"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dei lipidi nel sangue</w:t>
      </w:r>
    </w:p>
    <w:p w:rsidR="006224C2" w:rsidRPr="00295E71" w14:paraId="3CCDFC42"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degli enzimi epatici</w:t>
      </w:r>
    </w:p>
    <w:p w:rsidR="006224C2" w:rsidRPr="00295E71" w14:paraId="45533D14" w14:textId="77777777">
      <w:pPr>
        <w:tabs>
          <w:tab w:val="left" w:pos="567"/>
          <w:tab w:val="left" w:pos="993"/>
        </w:tabs>
        <w:jc w:val="both"/>
        <w:rPr>
          <w:sz w:val="22"/>
          <w:szCs w:val="22"/>
        </w:rPr>
      </w:pPr>
    </w:p>
    <w:p w:rsidR="006224C2" w:rsidRPr="00295E71" w14:paraId="255AFE96" w14:textId="77777777">
      <w:pPr>
        <w:pStyle w:val="EMEAFigureTitle"/>
        <w:tabs>
          <w:tab w:val="left" w:pos="993"/>
        </w:tabs>
        <w:suppressAutoHyphens w:val="0"/>
        <w:jc w:val="both"/>
        <w:rPr>
          <w:lang w:val="it-IT" w:eastAsia="it-IT"/>
        </w:rPr>
      </w:pPr>
      <w:r w:rsidRPr="00295E71">
        <w:rPr>
          <w:b/>
          <w:bCs/>
          <w:lang w:val="it-IT" w:eastAsia="it-IT"/>
        </w:rPr>
        <w:t>Comuni</w:t>
      </w:r>
      <w:r w:rsidRPr="00295E71">
        <w:rPr>
          <w:lang w:val="it-IT" w:eastAsia="it-IT"/>
        </w:rPr>
        <w:t xml:space="preserve"> (possono manifestarsi fino a 1 persona su 10)</w:t>
      </w:r>
    </w:p>
    <w:p w:rsidR="006224C2" w:rsidRPr="00295E71" w14:paraId="2EE57D8F" w14:textId="77777777">
      <w:pPr>
        <w:pStyle w:val="EMEANormal"/>
        <w:jc w:val="both"/>
        <w:rPr>
          <w:lang w:val="it-IT" w:eastAsia="it-IT"/>
        </w:rPr>
      </w:pPr>
    </w:p>
    <w:p w:rsidR="006224C2" w:rsidRPr="00295E71" w14:paraId="350EB236"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conta dei globuli bianchi</w:t>
      </w:r>
    </w:p>
    <w:p w:rsidR="006224C2" w:rsidRPr="00295E71" w14:paraId="0FD7A49A"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della conta delle piastrine</w:t>
      </w:r>
    </w:p>
    <w:p w:rsidR="006224C2" w:rsidRPr="00295E71" w14:paraId="5ED25965"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dell’acido urico nel sangue</w:t>
      </w:r>
    </w:p>
    <w:p w:rsidR="006224C2" w:rsidRPr="00295E71" w14:paraId="46BC7366" w14:textId="77777777">
      <w:pPr>
        <w:numPr>
          <w:ilvl w:val="0"/>
          <w:numId w:val="14"/>
        </w:numPr>
        <w:tabs>
          <w:tab w:val="num" w:pos="540"/>
          <w:tab w:val="left" w:pos="567"/>
          <w:tab w:val="left" w:pos="993"/>
        </w:tabs>
        <w:ind w:left="567" w:hanging="567"/>
        <w:jc w:val="both"/>
        <w:rPr>
          <w:sz w:val="22"/>
          <w:szCs w:val="22"/>
        </w:rPr>
      </w:pPr>
      <w:r w:rsidRPr="00295E71">
        <w:rPr>
          <w:sz w:val="22"/>
          <w:szCs w:val="22"/>
        </w:rPr>
        <w:t>alterazione del sodio nel sangue</w:t>
      </w:r>
    </w:p>
    <w:p w:rsidR="006224C2" w:rsidRPr="00295E71" w14:paraId="46A3E59F"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calcio nel sangue</w:t>
      </w:r>
    </w:p>
    <w:p w:rsidR="006224C2" w:rsidRPr="00295E71" w14:paraId="18ACEF3D"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fosforo nel sangue</w:t>
      </w:r>
    </w:p>
    <w:p w:rsidR="006224C2" w:rsidRPr="00295E71" w14:paraId="3D62AEE8"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dello zucchero nel sangue</w:t>
      </w:r>
    </w:p>
    <w:p w:rsidR="006224C2" w:rsidRPr="00295E71" w14:paraId="0DDCD985"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lattatodeidrogenasi nel sangue</w:t>
      </w:r>
    </w:p>
    <w:p w:rsidR="006224C2" w:rsidRPr="00295E71" w14:paraId="6C91719F" w14:textId="77777777">
      <w:pPr>
        <w:numPr>
          <w:ilvl w:val="0"/>
          <w:numId w:val="14"/>
        </w:numPr>
        <w:tabs>
          <w:tab w:val="num" w:pos="540"/>
          <w:tab w:val="left" w:pos="567"/>
          <w:tab w:val="left" w:pos="993"/>
        </w:tabs>
        <w:ind w:left="567" w:hanging="567"/>
        <w:jc w:val="both"/>
        <w:rPr>
          <w:sz w:val="22"/>
          <w:szCs w:val="22"/>
        </w:rPr>
      </w:pPr>
      <w:r w:rsidRPr="00295E71">
        <w:rPr>
          <w:sz w:val="22"/>
          <w:szCs w:val="22"/>
        </w:rPr>
        <w:t>presenza di autoanticorpi nel sangue</w:t>
      </w:r>
    </w:p>
    <w:p w:rsidR="00351417" w:rsidRPr="00295E71" w14:paraId="22C0C458"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potassio nel sangue</w:t>
      </w:r>
    </w:p>
    <w:p w:rsidR="006224C2" w:rsidRPr="00295E71" w14:paraId="583926E1" w14:textId="77777777">
      <w:pPr>
        <w:tabs>
          <w:tab w:val="left" w:pos="567"/>
          <w:tab w:val="left" w:pos="993"/>
        </w:tabs>
        <w:jc w:val="both"/>
        <w:rPr>
          <w:sz w:val="22"/>
          <w:szCs w:val="22"/>
        </w:rPr>
      </w:pPr>
    </w:p>
    <w:p w:rsidR="00351417" w:rsidRPr="00295E71" w:rsidP="00910CE7" w14:paraId="23956772" w14:textId="77777777">
      <w:pPr>
        <w:keepNext/>
        <w:tabs>
          <w:tab w:val="left" w:pos="567"/>
          <w:tab w:val="left" w:pos="993"/>
        </w:tabs>
        <w:jc w:val="both"/>
        <w:rPr>
          <w:sz w:val="22"/>
          <w:szCs w:val="22"/>
        </w:rPr>
      </w:pPr>
      <w:r w:rsidRPr="00295E71">
        <w:rPr>
          <w:b/>
          <w:sz w:val="22"/>
          <w:szCs w:val="22"/>
        </w:rPr>
        <w:t>Non comuni</w:t>
      </w:r>
      <w:r w:rsidRPr="00295E71">
        <w:rPr>
          <w:sz w:val="22"/>
          <w:szCs w:val="22"/>
        </w:rPr>
        <w:t xml:space="preserve"> (possono manifestarsi fino a 1 persona su 100)</w:t>
      </w:r>
    </w:p>
    <w:p w:rsidR="00351417" w:rsidRPr="00295E71" w:rsidP="00910CE7" w14:paraId="35AE54DC" w14:textId="77777777">
      <w:pPr>
        <w:keepNext/>
        <w:tabs>
          <w:tab w:val="left" w:pos="567"/>
          <w:tab w:val="left" w:pos="993"/>
        </w:tabs>
        <w:jc w:val="both"/>
        <w:rPr>
          <w:sz w:val="22"/>
          <w:szCs w:val="22"/>
        </w:rPr>
      </w:pPr>
    </w:p>
    <w:p w:rsidR="00351417" w:rsidRPr="00295E71" w:rsidP="00910CE7" w14:paraId="7BFA4A98" w14:textId="77777777">
      <w:pPr>
        <w:pStyle w:val="ListParagraph"/>
        <w:keepNext/>
        <w:numPr>
          <w:ilvl w:val="0"/>
          <w:numId w:val="134"/>
        </w:numPr>
        <w:ind w:left="567" w:hanging="539"/>
        <w:jc w:val="both"/>
        <w:rPr>
          <w:sz w:val="22"/>
          <w:szCs w:val="22"/>
        </w:rPr>
      </w:pPr>
      <w:r w:rsidRPr="00295E71">
        <w:rPr>
          <w:sz w:val="22"/>
          <w:szCs w:val="22"/>
        </w:rPr>
        <w:t>livelli elevati di bilirubina nel sangue (esame epatico del sangue)</w:t>
      </w:r>
    </w:p>
    <w:p w:rsidR="00351417" w:rsidRPr="00295E71" w:rsidP="00910CE7" w14:paraId="4C0C9EC8" w14:textId="77777777">
      <w:pPr>
        <w:pStyle w:val="EMEAFigureTitle"/>
        <w:keepNext/>
        <w:tabs>
          <w:tab w:val="left" w:pos="993"/>
        </w:tabs>
        <w:suppressAutoHyphens w:val="0"/>
        <w:jc w:val="both"/>
        <w:rPr>
          <w:b/>
          <w:bCs/>
          <w:lang w:val="it-IT" w:eastAsia="it-IT"/>
        </w:rPr>
      </w:pPr>
    </w:p>
    <w:p w:rsidR="006224C2" w:rsidRPr="00295E71" w14:paraId="1B343859" w14:textId="77777777">
      <w:pPr>
        <w:pStyle w:val="EMEAFigureTitle"/>
        <w:tabs>
          <w:tab w:val="left" w:pos="993"/>
        </w:tabs>
        <w:suppressAutoHyphens w:val="0"/>
        <w:jc w:val="both"/>
        <w:rPr>
          <w:lang w:val="it-IT" w:eastAsia="it-IT"/>
        </w:rPr>
      </w:pPr>
      <w:r w:rsidRPr="00295E71">
        <w:rPr>
          <w:b/>
          <w:bCs/>
          <w:lang w:val="it-IT" w:eastAsia="it-IT"/>
        </w:rPr>
        <w:t>Rari</w:t>
      </w:r>
      <w:r w:rsidRPr="00295E71">
        <w:rPr>
          <w:lang w:val="it-IT" w:eastAsia="it-IT"/>
        </w:rPr>
        <w:t xml:space="preserve"> (possono manifestarsi fino a 1 persona su 1.000)</w:t>
      </w:r>
    </w:p>
    <w:p w:rsidR="006224C2" w:rsidRPr="00295E71" w14:paraId="3D627211" w14:textId="77777777">
      <w:pPr>
        <w:pStyle w:val="EMEANormal"/>
        <w:jc w:val="both"/>
        <w:rPr>
          <w:lang w:val="it-IT" w:eastAsia="it-IT"/>
        </w:rPr>
      </w:pPr>
    </w:p>
    <w:p w:rsidR="006224C2" w:rsidRPr="00295E71" w14:paraId="04BED7D0" w14:textId="77777777">
      <w:pPr>
        <w:numPr>
          <w:ilvl w:val="0"/>
          <w:numId w:val="14"/>
        </w:numPr>
        <w:tabs>
          <w:tab w:val="num" w:pos="540"/>
          <w:tab w:val="left" w:pos="567"/>
          <w:tab w:val="left" w:pos="993"/>
        </w:tabs>
        <w:ind w:left="567" w:hanging="567"/>
        <w:jc w:val="both"/>
        <w:rPr>
          <w:sz w:val="22"/>
          <w:szCs w:val="22"/>
        </w:rPr>
      </w:pPr>
      <w:r w:rsidRPr="00295E71">
        <w:rPr>
          <w:sz w:val="22"/>
          <w:szCs w:val="22"/>
        </w:rPr>
        <w:t>bassa conta dei globuli bianchi, dei globuli rossi e delle piastrine</w:t>
      </w:r>
    </w:p>
    <w:p w:rsidR="006224C2" w:rsidRPr="00295E71" w14:paraId="2869EDAD" w14:textId="77777777">
      <w:pPr>
        <w:tabs>
          <w:tab w:val="left" w:pos="567"/>
          <w:tab w:val="left" w:pos="993"/>
        </w:tabs>
        <w:jc w:val="both"/>
        <w:rPr>
          <w:sz w:val="22"/>
          <w:szCs w:val="22"/>
        </w:rPr>
      </w:pPr>
    </w:p>
    <w:p w:rsidR="006224C2" w:rsidRPr="00295E71" w:rsidP="00FB547E" w14:paraId="02CFD8A6" w14:textId="77777777">
      <w:pPr>
        <w:tabs>
          <w:tab w:val="left" w:pos="567"/>
          <w:tab w:val="left" w:pos="993"/>
        </w:tabs>
        <w:ind w:left="567"/>
        <w:jc w:val="both"/>
        <w:rPr>
          <w:sz w:val="22"/>
          <w:szCs w:val="22"/>
        </w:rPr>
      </w:pPr>
    </w:p>
    <w:p w:rsidR="006224C2" w:rsidRPr="00295E71" w:rsidP="00DD14E3" w14:paraId="7AB700C3" w14:textId="77777777">
      <w:pPr>
        <w:keepNext/>
        <w:keepLines/>
        <w:numPr>
          <w:ilvl w:val="12"/>
          <w:numId w:val="0"/>
        </w:numPr>
        <w:tabs>
          <w:tab w:val="left" w:pos="567"/>
        </w:tabs>
        <w:jc w:val="both"/>
        <w:rPr>
          <w:b/>
          <w:sz w:val="22"/>
          <w:szCs w:val="22"/>
        </w:rPr>
      </w:pPr>
      <w:r w:rsidRPr="00295E71">
        <w:rPr>
          <w:b/>
          <w:sz w:val="22"/>
          <w:szCs w:val="22"/>
        </w:rPr>
        <w:t>Segnalazione degli effetti indesiderati</w:t>
      </w:r>
    </w:p>
    <w:p w:rsidR="006224C2" w:rsidRPr="00295E71" w:rsidP="00DD14E3" w14:paraId="59A53C57" w14:textId="77777777">
      <w:pPr>
        <w:keepNext/>
        <w:keepLines/>
        <w:numPr>
          <w:ilvl w:val="12"/>
          <w:numId w:val="0"/>
        </w:numPr>
        <w:tabs>
          <w:tab w:val="left" w:pos="567"/>
        </w:tabs>
        <w:jc w:val="both"/>
        <w:rPr>
          <w:sz w:val="22"/>
          <w:szCs w:val="22"/>
        </w:rPr>
      </w:pPr>
      <w:r w:rsidRPr="00295E71">
        <w:rPr>
          <w:sz w:val="22"/>
          <w:szCs w:val="22"/>
        </w:rPr>
        <w:t xml:space="preserve">Se manifesta un qualsiasi effetto indesiderato, compresi quelli non elencati in questo foglio, si rivolga al medico o al farmacista. Può inoltre segnalare gli effetti indesiderati direttamente tramite il </w:t>
      </w:r>
      <w:r w:rsidRPr="00295E71">
        <w:rPr>
          <w:sz w:val="22"/>
          <w:szCs w:val="22"/>
          <w:highlight w:val="lightGray"/>
        </w:rPr>
        <w:t>sistema nazionale di segnalazione riportato nell’</w:t>
      </w:r>
      <w:hyperlink r:id="rId82" w:history="1">
        <w:r w:rsidRPr="00295E71">
          <w:rPr>
            <w:rStyle w:val="Hyperlink"/>
            <w:sz w:val="22"/>
            <w:szCs w:val="22"/>
            <w:highlight w:val="lightGray"/>
          </w:rPr>
          <w:t>allegato V</w:t>
        </w:r>
      </w:hyperlink>
      <w:r w:rsidRPr="00295E71">
        <w:rPr>
          <w:sz w:val="22"/>
          <w:szCs w:val="22"/>
          <w:highlight w:val="lightGray"/>
        </w:rPr>
        <w:t>.</w:t>
      </w:r>
      <w:r w:rsidRPr="00295E71">
        <w:rPr>
          <w:sz w:val="22"/>
          <w:szCs w:val="22"/>
        </w:rPr>
        <w:t xml:space="preserve"> Segnalando gli effetti indesiderati può contribuire a fornire maggiori informazioni sulla sicurezza di questo medicinale.</w:t>
      </w:r>
    </w:p>
    <w:p w:rsidR="006224C2" w:rsidRPr="00295E71" w14:paraId="3308BDFB" w14:textId="77777777">
      <w:pPr>
        <w:numPr>
          <w:ilvl w:val="12"/>
          <w:numId w:val="0"/>
        </w:numPr>
        <w:tabs>
          <w:tab w:val="left" w:pos="567"/>
        </w:tabs>
        <w:ind w:right="-2"/>
        <w:jc w:val="both"/>
        <w:rPr>
          <w:sz w:val="22"/>
          <w:szCs w:val="22"/>
        </w:rPr>
      </w:pPr>
    </w:p>
    <w:p w:rsidR="006224C2" w:rsidRPr="00295E71" w14:paraId="716D20FE" w14:textId="77777777">
      <w:pPr>
        <w:numPr>
          <w:ilvl w:val="12"/>
          <w:numId w:val="0"/>
        </w:numPr>
        <w:tabs>
          <w:tab w:val="left" w:pos="567"/>
        </w:tabs>
        <w:ind w:right="-2"/>
        <w:jc w:val="both"/>
        <w:rPr>
          <w:sz w:val="22"/>
          <w:szCs w:val="22"/>
        </w:rPr>
      </w:pPr>
    </w:p>
    <w:p w:rsidR="006224C2" w:rsidRPr="00295E71" w14:paraId="0297B62D" w14:textId="77777777">
      <w:pPr>
        <w:numPr>
          <w:ilvl w:val="12"/>
          <w:numId w:val="0"/>
        </w:numPr>
        <w:tabs>
          <w:tab w:val="left" w:pos="567"/>
        </w:tabs>
        <w:ind w:left="567" w:right="-2" w:hanging="567"/>
        <w:jc w:val="both"/>
        <w:rPr>
          <w:b/>
          <w:bCs/>
          <w:sz w:val="22"/>
          <w:szCs w:val="22"/>
        </w:rPr>
      </w:pPr>
      <w:r w:rsidRPr="00295E71">
        <w:rPr>
          <w:b/>
          <w:bCs/>
          <w:sz w:val="22"/>
          <w:szCs w:val="22"/>
        </w:rPr>
        <w:t>5.</w:t>
      </w:r>
      <w:r w:rsidRPr="00295E71">
        <w:rPr>
          <w:b/>
          <w:bCs/>
          <w:sz w:val="22"/>
          <w:szCs w:val="22"/>
        </w:rPr>
        <w:tab/>
        <w:t>Come conservare Humira</w:t>
      </w:r>
    </w:p>
    <w:p w:rsidR="006224C2" w:rsidRPr="00295E71" w14:paraId="1134803E" w14:textId="77777777">
      <w:pPr>
        <w:numPr>
          <w:ilvl w:val="12"/>
          <w:numId w:val="0"/>
        </w:numPr>
        <w:tabs>
          <w:tab w:val="left" w:pos="567"/>
        </w:tabs>
        <w:ind w:right="-2"/>
        <w:jc w:val="both"/>
        <w:rPr>
          <w:sz w:val="22"/>
          <w:szCs w:val="22"/>
        </w:rPr>
      </w:pPr>
    </w:p>
    <w:p w:rsidR="006224C2" w:rsidRPr="00295E71" w14:paraId="26287E3A" w14:textId="77777777">
      <w:pPr>
        <w:numPr>
          <w:ilvl w:val="12"/>
          <w:numId w:val="0"/>
        </w:numPr>
        <w:tabs>
          <w:tab w:val="left" w:pos="567"/>
        </w:tabs>
        <w:ind w:right="-2"/>
        <w:jc w:val="both"/>
        <w:rPr>
          <w:sz w:val="22"/>
          <w:szCs w:val="22"/>
        </w:rPr>
      </w:pPr>
      <w:r w:rsidRPr="00295E71">
        <w:rPr>
          <w:sz w:val="22"/>
          <w:szCs w:val="22"/>
        </w:rPr>
        <w:t>Conservi questo medicinale fuori dalla vista e dalla portata dei bambini.</w:t>
      </w:r>
    </w:p>
    <w:p w:rsidR="006224C2" w:rsidRPr="00295E71" w14:paraId="7A7F4E49" w14:textId="77777777">
      <w:pPr>
        <w:numPr>
          <w:ilvl w:val="12"/>
          <w:numId w:val="0"/>
        </w:numPr>
        <w:tabs>
          <w:tab w:val="left" w:pos="567"/>
        </w:tabs>
        <w:ind w:right="-2"/>
        <w:jc w:val="both"/>
        <w:rPr>
          <w:sz w:val="22"/>
          <w:szCs w:val="22"/>
        </w:rPr>
      </w:pPr>
    </w:p>
    <w:p w:rsidR="006224C2" w:rsidRPr="00295E71" w14:paraId="00EB30D9" w14:textId="77777777">
      <w:pPr>
        <w:numPr>
          <w:ilvl w:val="12"/>
          <w:numId w:val="0"/>
        </w:numPr>
        <w:tabs>
          <w:tab w:val="left" w:pos="567"/>
        </w:tabs>
        <w:ind w:right="-2"/>
        <w:jc w:val="both"/>
        <w:rPr>
          <w:sz w:val="22"/>
          <w:szCs w:val="22"/>
        </w:rPr>
      </w:pPr>
      <w:r w:rsidRPr="00295E71">
        <w:rPr>
          <w:sz w:val="22"/>
          <w:szCs w:val="22"/>
        </w:rPr>
        <w:t xml:space="preserve">Non usi questo medicinale dopo la data di scadenza che è riportata sull’etichetta/blister/scatola dopo la scritta Scad. </w:t>
      </w:r>
    </w:p>
    <w:p w:rsidR="006224C2" w:rsidRPr="00295E71" w14:paraId="59BD9EB7" w14:textId="77777777">
      <w:pPr>
        <w:numPr>
          <w:ilvl w:val="12"/>
          <w:numId w:val="0"/>
        </w:numPr>
        <w:tabs>
          <w:tab w:val="left" w:pos="567"/>
        </w:tabs>
        <w:ind w:right="-2"/>
        <w:jc w:val="both"/>
        <w:rPr>
          <w:sz w:val="22"/>
          <w:szCs w:val="22"/>
        </w:rPr>
      </w:pPr>
    </w:p>
    <w:p w:rsidR="006224C2" w:rsidRPr="00295E71" w14:paraId="5A7EC0ED" w14:textId="77777777">
      <w:pPr>
        <w:numPr>
          <w:ilvl w:val="12"/>
          <w:numId w:val="0"/>
        </w:numPr>
        <w:tabs>
          <w:tab w:val="left" w:pos="567"/>
        </w:tabs>
        <w:ind w:right="-2"/>
        <w:jc w:val="both"/>
        <w:rPr>
          <w:sz w:val="22"/>
          <w:szCs w:val="22"/>
        </w:rPr>
      </w:pPr>
      <w:r w:rsidRPr="00295E71">
        <w:rPr>
          <w:sz w:val="22"/>
          <w:szCs w:val="22"/>
        </w:rPr>
        <w:t>Conservare in frigorifero (2</w:t>
      </w:r>
      <w:r w:rsidRPr="00295E71">
        <w:rPr>
          <w:rFonts w:ascii="Symbol" w:hAnsi="Symbol"/>
          <w:sz w:val="22"/>
          <w:szCs w:val="22"/>
        </w:rPr>
        <w:sym w:font="Symbol" w:char="F0B0"/>
      </w:r>
      <w:r w:rsidRPr="00295E71">
        <w:rPr>
          <w:sz w:val="22"/>
          <w:szCs w:val="22"/>
        </w:rPr>
        <w:t>C – 8</w:t>
      </w:r>
      <w:r w:rsidRPr="00295E71">
        <w:rPr>
          <w:rFonts w:ascii="Symbol" w:hAnsi="Symbol"/>
          <w:sz w:val="22"/>
          <w:szCs w:val="22"/>
        </w:rPr>
        <w:sym w:font="Symbol" w:char="F0B0"/>
      </w:r>
      <w:r w:rsidRPr="00295E71">
        <w:rPr>
          <w:sz w:val="22"/>
          <w:szCs w:val="22"/>
        </w:rPr>
        <w:t xml:space="preserve">C). Non congelare. </w:t>
      </w:r>
    </w:p>
    <w:p w:rsidR="006224C2" w:rsidRPr="00295E71" w14:paraId="4BBC1F5C" w14:textId="77777777">
      <w:pPr>
        <w:numPr>
          <w:ilvl w:val="12"/>
          <w:numId w:val="0"/>
        </w:numPr>
        <w:tabs>
          <w:tab w:val="left" w:pos="567"/>
        </w:tabs>
        <w:ind w:right="-2"/>
        <w:jc w:val="both"/>
        <w:rPr>
          <w:sz w:val="22"/>
          <w:szCs w:val="22"/>
        </w:rPr>
      </w:pPr>
    </w:p>
    <w:p w:rsidR="006224C2" w:rsidRPr="00295E71" w14:paraId="0B0BEF68" w14:textId="77777777">
      <w:pPr>
        <w:numPr>
          <w:ilvl w:val="12"/>
          <w:numId w:val="0"/>
        </w:numPr>
        <w:tabs>
          <w:tab w:val="left" w:pos="567"/>
        </w:tabs>
        <w:ind w:right="-2"/>
        <w:jc w:val="both"/>
        <w:rPr>
          <w:sz w:val="22"/>
          <w:szCs w:val="22"/>
        </w:rPr>
      </w:pPr>
      <w:r w:rsidRPr="00295E71">
        <w:rPr>
          <w:sz w:val="22"/>
          <w:szCs w:val="22"/>
        </w:rPr>
        <w:t>Tenere</w:t>
      </w:r>
      <w:r w:rsidRPr="00295E71" w:rsidR="00226BC4">
        <w:rPr>
          <w:sz w:val="22"/>
          <w:szCs w:val="22"/>
        </w:rPr>
        <w:t xml:space="preserve"> la siringa pre-riempita nell’</w:t>
      </w:r>
      <w:r w:rsidRPr="00295E71">
        <w:t>imballaggio esterno</w:t>
      </w:r>
      <w:r w:rsidRPr="00295E71" w:rsidR="00226BC4">
        <w:rPr>
          <w:sz w:val="22"/>
          <w:szCs w:val="22"/>
        </w:rPr>
        <w:t xml:space="preserve"> per proteggere il medicinale dalla luce.</w:t>
      </w:r>
    </w:p>
    <w:p w:rsidR="006224C2" w:rsidRPr="00295E71" w14:paraId="63EC1A3B" w14:textId="77777777">
      <w:pPr>
        <w:numPr>
          <w:ilvl w:val="12"/>
          <w:numId w:val="0"/>
        </w:numPr>
        <w:tabs>
          <w:tab w:val="left" w:pos="567"/>
        </w:tabs>
        <w:ind w:right="-2"/>
        <w:jc w:val="both"/>
        <w:rPr>
          <w:sz w:val="22"/>
          <w:szCs w:val="22"/>
        </w:rPr>
      </w:pPr>
    </w:p>
    <w:p w:rsidR="006224C2" w:rsidRPr="00295E71" w14:paraId="73B74523" w14:textId="77777777">
      <w:pPr>
        <w:numPr>
          <w:ilvl w:val="12"/>
          <w:numId w:val="0"/>
        </w:numPr>
        <w:tabs>
          <w:tab w:val="left" w:pos="567"/>
        </w:tabs>
        <w:ind w:right="-2"/>
        <w:jc w:val="both"/>
        <w:rPr>
          <w:sz w:val="22"/>
          <w:szCs w:val="22"/>
        </w:rPr>
      </w:pPr>
      <w:r w:rsidRPr="00295E71">
        <w:rPr>
          <w:sz w:val="22"/>
          <w:szCs w:val="22"/>
        </w:rPr>
        <w:t>Condizioni di conservazione alternative:</w:t>
      </w:r>
    </w:p>
    <w:p w:rsidR="006224C2" w:rsidRPr="00295E71" w14:paraId="58E44BA5" w14:textId="77777777">
      <w:pPr>
        <w:numPr>
          <w:ilvl w:val="12"/>
          <w:numId w:val="0"/>
        </w:numPr>
        <w:tabs>
          <w:tab w:val="left" w:pos="567"/>
        </w:tabs>
        <w:ind w:right="-2"/>
        <w:jc w:val="both"/>
        <w:rPr>
          <w:sz w:val="22"/>
          <w:szCs w:val="22"/>
        </w:rPr>
      </w:pPr>
    </w:p>
    <w:p w:rsidR="006224C2" w:rsidRPr="00295E71" w14:paraId="4936E390" w14:textId="77777777">
      <w:pPr>
        <w:numPr>
          <w:ilvl w:val="12"/>
          <w:numId w:val="0"/>
        </w:numPr>
        <w:tabs>
          <w:tab w:val="left" w:pos="567"/>
        </w:tabs>
        <w:ind w:right="-2"/>
        <w:jc w:val="both"/>
        <w:rPr>
          <w:sz w:val="22"/>
          <w:szCs w:val="22"/>
        </w:rPr>
      </w:pPr>
      <w:r w:rsidRPr="00295E71">
        <w:rPr>
          <w:sz w:val="22"/>
          <w:szCs w:val="22"/>
        </w:rPr>
        <w:t xml:space="preserve">Quando necessario (per esempio quando viaggia) una singola siringa pre-riempita può essere conservata a temperatura ambiente (fino a 25°C) per un periodo massimo di 14 giorni – assicurarsi di proteggere il medicinale dalla luce. Una volta che viene rimossa dal frigorifero per essere conservata a temperatura ambiente, la siringa </w:t>
      </w:r>
      <w:r w:rsidRPr="00295E71">
        <w:rPr>
          <w:b/>
          <w:sz w:val="22"/>
          <w:szCs w:val="22"/>
        </w:rPr>
        <w:t>deve essere usata entro 14 giorni o buttata via</w:t>
      </w:r>
      <w:r w:rsidRPr="00295E71">
        <w:rPr>
          <w:sz w:val="22"/>
          <w:szCs w:val="22"/>
        </w:rPr>
        <w:t>, anche se viene posta di nuovo nel frigorifero.</w:t>
      </w:r>
    </w:p>
    <w:p w:rsidR="006224C2" w:rsidRPr="00295E71" w14:paraId="59C4F75C" w14:textId="77777777">
      <w:pPr>
        <w:numPr>
          <w:ilvl w:val="12"/>
          <w:numId w:val="0"/>
        </w:numPr>
        <w:tabs>
          <w:tab w:val="left" w:pos="567"/>
        </w:tabs>
        <w:ind w:right="-2"/>
        <w:jc w:val="both"/>
        <w:rPr>
          <w:sz w:val="22"/>
          <w:szCs w:val="22"/>
        </w:rPr>
      </w:pPr>
    </w:p>
    <w:p w:rsidR="006224C2" w:rsidRPr="00295E71" w14:paraId="74525B69" w14:textId="77777777">
      <w:pPr>
        <w:numPr>
          <w:ilvl w:val="12"/>
          <w:numId w:val="0"/>
        </w:numPr>
        <w:tabs>
          <w:tab w:val="left" w:pos="567"/>
        </w:tabs>
        <w:ind w:right="-2"/>
        <w:jc w:val="both"/>
        <w:rPr>
          <w:sz w:val="22"/>
          <w:szCs w:val="22"/>
        </w:rPr>
      </w:pPr>
      <w:r w:rsidRPr="00295E71">
        <w:rPr>
          <w:sz w:val="22"/>
          <w:szCs w:val="22"/>
        </w:rPr>
        <w:t xml:space="preserve">Deve registrare la data in cui la siringa viene tolta dal frigorifero la prima volta e la data dopo la quale la siringa deve essere buttata via. </w:t>
      </w:r>
    </w:p>
    <w:p w:rsidR="006224C2" w:rsidRPr="00295E71" w14:paraId="1689C6EE" w14:textId="77777777">
      <w:pPr>
        <w:numPr>
          <w:ilvl w:val="12"/>
          <w:numId w:val="0"/>
        </w:numPr>
        <w:tabs>
          <w:tab w:val="left" w:pos="567"/>
        </w:tabs>
        <w:ind w:right="-2"/>
        <w:jc w:val="both"/>
        <w:rPr>
          <w:sz w:val="22"/>
          <w:szCs w:val="22"/>
        </w:rPr>
      </w:pPr>
    </w:p>
    <w:p w:rsidR="006224C2" w:rsidRPr="00295E71" w14:paraId="3EA14EA2" w14:textId="77777777">
      <w:pPr>
        <w:suppressAutoHyphens/>
        <w:jc w:val="both"/>
        <w:rPr>
          <w:sz w:val="22"/>
          <w:szCs w:val="22"/>
        </w:rPr>
      </w:pPr>
      <w:r w:rsidRPr="00295E71">
        <w:rPr>
          <w:sz w:val="22"/>
          <w:szCs w:val="22"/>
        </w:rPr>
        <w:t xml:space="preserve">Non getti alcun medicinale nell’acqua di scarico e nei rifiuti domestici. Chieda al medico o al farmacista come eliminare i medicinali che non utilizza più. Questo aiuterà a proteggere l’ambiente. </w:t>
      </w:r>
    </w:p>
    <w:p w:rsidR="006224C2" w:rsidRPr="00295E71" w14:paraId="4D528334" w14:textId="77777777">
      <w:pPr>
        <w:numPr>
          <w:ilvl w:val="12"/>
          <w:numId w:val="0"/>
        </w:numPr>
        <w:tabs>
          <w:tab w:val="left" w:pos="567"/>
        </w:tabs>
        <w:ind w:right="-2"/>
        <w:jc w:val="both"/>
        <w:rPr>
          <w:sz w:val="22"/>
          <w:szCs w:val="22"/>
        </w:rPr>
      </w:pPr>
    </w:p>
    <w:p w:rsidR="006224C2" w:rsidRPr="00295E71" w14:paraId="7180405F" w14:textId="77777777">
      <w:pPr>
        <w:rPr>
          <w:sz w:val="22"/>
          <w:szCs w:val="22"/>
        </w:rPr>
      </w:pPr>
    </w:p>
    <w:p w:rsidR="006224C2" w:rsidRPr="00295E71" w14:paraId="60327E96" w14:textId="77777777">
      <w:pPr>
        <w:rPr>
          <w:b/>
          <w:bCs/>
          <w:sz w:val="22"/>
          <w:szCs w:val="22"/>
        </w:rPr>
      </w:pPr>
      <w:r w:rsidRPr="00295E71">
        <w:rPr>
          <w:b/>
          <w:bCs/>
          <w:sz w:val="22"/>
          <w:szCs w:val="22"/>
        </w:rPr>
        <w:t>6.</w:t>
      </w:r>
      <w:r w:rsidRPr="00295E71">
        <w:rPr>
          <w:b/>
          <w:bCs/>
          <w:sz w:val="22"/>
          <w:szCs w:val="22"/>
        </w:rPr>
        <w:tab/>
        <w:t>Contenuto della confezione e altre informazioni</w:t>
      </w:r>
    </w:p>
    <w:p w:rsidR="006224C2" w:rsidRPr="00295E71" w14:paraId="0C2F26EC" w14:textId="77777777">
      <w:pPr>
        <w:numPr>
          <w:ilvl w:val="12"/>
          <w:numId w:val="0"/>
        </w:numPr>
        <w:tabs>
          <w:tab w:val="left" w:pos="567"/>
        </w:tabs>
        <w:ind w:right="-2"/>
        <w:jc w:val="both"/>
        <w:rPr>
          <w:sz w:val="22"/>
          <w:szCs w:val="22"/>
        </w:rPr>
      </w:pPr>
    </w:p>
    <w:p w:rsidR="006224C2" w:rsidRPr="00295E71" w14:paraId="07F4EAD4" w14:textId="77777777">
      <w:pPr>
        <w:pStyle w:val="Heading8"/>
        <w:keepNext w:val="0"/>
        <w:tabs>
          <w:tab w:val="left" w:pos="567"/>
        </w:tabs>
        <w:jc w:val="both"/>
      </w:pPr>
      <w:r w:rsidRPr="00295E71">
        <w:t>Cosa contiene Humira</w:t>
      </w:r>
    </w:p>
    <w:p w:rsidR="006224C2" w:rsidRPr="00295E71" w14:paraId="59E1783E" w14:textId="77777777">
      <w:pPr>
        <w:jc w:val="both"/>
        <w:rPr>
          <w:sz w:val="22"/>
          <w:szCs w:val="22"/>
        </w:rPr>
      </w:pPr>
    </w:p>
    <w:p w:rsidR="006224C2" w:rsidRPr="00295E71" w:rsidP="00F57FE5" w14:paraId="39CEC953" w14:textId="77777777">
      <w:pPr>
        <w:tabs>
          <w:tab w:val="left" w:pos="567"/>
        </w:tabs>
        <w:ind w:right="-2"/>
        <w:jc w:val="both"/>
        <w:rPr>
          <w:sz w:val="22"/>
          <w:szCs w:val="22"/>
        </w:rPr>
      </w:pPr>
      <w:r w:rsidRPr="00295E71">
        <w:rPr>
          <w:sz w:val="22"/>
          <w:szCs w:val="22"/>
        </w:rPr>
        <w:t>Il principio attivo è adalimumab.</w:t>
      </w:r>
    </w:p>
    <w:p w:rsidR="006224C2" w:rsidRPr="00295E71" w:rsidP="00F57FE5" w14:paraId="4D0E5715" w14:textId="77777777">
      <w:pPr>
        <w:tabs>
          <w:tab w:val="left" w:pos="567"/>
        </w:tabs>
        <w:ind w:right="-2"/>
        <w:jc w:val="both"/>
        <w:rPr>
          <w:sz w:val="22"/>
          <w:szCs w:val="22"/>
        </w:rPr>
      </w:pPr>
      <w:r w:rsidRPr="00295E71">
        <w:rPr>
          <w:sz w:val="22"/>
          <w:szCs w:val="22"/>
        </w:rPr>
        <w:t>Gli eccipienti sono mannitolo, polisorbato 80 e acqua per preparazioni iniettabili.</w:t>
      </w:r>
    </w:p>
    <w:p w:rsidR="006224C2" w:rsidRPr="00295E71" w14:paraId="3A2FA9FB" w14:textId="77777777">
      <w:pPr>
        <w:numPr>
          <w:ilvl w:val="12"/>
          <w:numId w:val="0"/>
        </w:numPr>
        <w:tabs>
          <w:tab w:val="left" w:pos="567"/>
        </w:tabs>
        <w:ind w:right="-2"/>
        <w:jc w:val="both"/>
        <w:rPr>
          <w:sz w:val="22"/>
          <w:szCs w:val="22"/>
        </w:rPr>
      </w:pPr>
    </w:p>
    <w:p w:rsidR="006224C2" w:rsidRPr="00295E71" w14:paraId="5198C47F" w14:textId="77777777">
      <w:pPr>
        <w:pStyle w:val="Heading8"/>
        <w:keepNext w:val="0"/>
        <w:tabs>
          <w:tab w:val="left" w:pos="567"/>
        </w:tabs>
        <w:jc w:val="both"/>
      </w:pPr>
      <w:r w:rsidRPr="00295E71">
        <w:t>Descrizione dell’aspetto di Humira siringa pre-riempita e contenuto della confezione</w:t>
      </w:r>
    </w:p>
    <w:p w:rsidR="006224C2" w:rsidRPr="00295E71" w14:paraId="6CB70C75" w14:textId="77777777">
      <w:pPr>
        <w:numPr>
          <w:ilvl w:val="12"/>
          <w:numId w:val="0"/>
        </w:numPr>
        <w:tabs>
          <w:tab w:val="left" w:pos="567"/>
        </w:tabs>
        <w:ind w:right="-2"/>
        <w:jc w:val="both"/>
        <w:rPr>
          <w:sz w:val="22"/>
          <w:szCs w:val="22"/>
        </w:rPr>
      </w:pPr>
    </w:p>
    <w:p w:rsidR="006224C2" w:rsidRPr="00295E71" w14:paraId="4565D9EB" w14:textId="77777777">
      <w:pPr>
        <w:numPr>
          <w:ilvl w:val="12"/>
          <w:numId w:val="0"/>
        </w:numPr>
        <w:tabs>
          <w:tab w:val="left" w:pos="567"/>
        </w:tabs>
        <w:ind w:right="-2"/>
        <w:jc w:val="both"/>
        <w:rPr>
          <w:sz w:val="22"/>
          <w:szCs w:val="22"/>
        </w:rPr>
      </w:pPr>
      <w:r w:rsidRPr="00295E71">
        <w:rPr>
          <w:sz w:val="22"/>
          <w:szCs w:val="22"/>
        </w:rPr>
        <w:t>Humira 80 mg soluzione iniettabile in siringhe pre-riempite è fornito come soluzione sterile di 80 mg di adalimumab disciolti in 0,8 ml di soluzione.</w:t>
      </w:r>
    </w:p>
    <w:p w:rsidR="006224C2" w:rsidRPr="00295E71" w14:paraId="6F65D81F" w14:textId="77777777">
      <w:pPr>
        <w:numPr>
          <w:ilvl w:val="12"/>
          <w:numId w:val="0"/>
        </w:numPr>
        <w:tabs>
          <w:tab w:val="left" w:pos="567"/>
        </w:tabs>
        <w:ind w:right="-2"/>
        <w:jc w:val="both"/>
        <w:rPr>
          <w:sz w:val="22"/>
          <w:szCs w:val="22"/>
        </w:rPr>
      </w:pPr>
    </w:p>
    <w:p w:rsidR="006224C2" w:rsidRPr="00295E71" w14:paraId="31210F9B" w14:textId="77777777">
      <w:pPr>
        <w:numPr>
          <w:ilvl w:val="12"/>
          <w:numId w:val="0"/>
        </w:numPr>
        <w:tabs>
          <w:tab w:val="left" w:pos="567"/>
        </w:tabs>
        <w:ind w:right="-2"/>
        <w:jc w:val="both"/>
        <w:rPr>
          <w:sz w:val="22"/>
          <w:szCs w:val="22"/>
        </w:rPr>
      </w:pPr>
      <w:r w:rsidRPr="00295E71">
        <w:rPr>
          <w:sz w:val="22"/>
          <w:szCs w:val="22"/>
        </w:rPr>
        <w:t>Humira siringa pre-riempita è composta da una soluzione di adalimumab contenuta in una siringa di vetro.</w:t>
      </w:r>
    </w:p>
    <w:p w:rsidR="006224C2" w:rsidRPr="00295E71" w14:paraId="5C6067FA" w14:textId="77777777">
      <w:pPr>
        <w:numPr>
          <w:ilvl w:val="12"/>
          <w:numId w:val="0"/>
        </w:numPr>
        <w:tabs>
          <w:tab w:val="left" w:pos="567"/>
        </w:tabs>
        <w:ind w:right="-2"/>
        <w:jc w:val="both"/>
        <w:rPr>
          <w:sz w:val="22"/>
          <w:szCs w:val="22"/>
        </w:rPr>
      </w:pPr>
    </w:p>
    <w:p w:rsidR="006224C2" w:rsidRPr="00295E71" w14:paraId="7981C446" w14:textId="77777777">
      <w:pPr>
        <w:numPr>
          <w:ilvl w:val="12"/>
          <w:numId w:val="0"/>
        </w:numPr>
        <w:tabs>
          <w:tab w:val="left" w:pos="708"/>
        </w:tabs>
        <w:ind w:right="-2"/>
        <w:rPr>
          <w:sz w:val="22"/>
          <w:szCs w:val="22"/>
        </w:rPr>
      </w:pPr>
      <w:r w:rsidRPr="00295E71">
        <w:rPr>
          <w:sz w:val="22"/>
          <w:szCs w:val="22"/>
        </w:rPr>
        <w:t>La siringa pre-riempita di Humira è disponibile in una confezione che contiene 1 siringa pre-riempita per l’uso da parte dei pazienti con un tampone imbevuto di alcool.</w:t>
      </w:r>
    </w:p>
    <w:p w:rsidR="006224C2" w:rsidRPr="00295E71" w14:paraId="0253A533" w14:textId="77777777">
      <w:pPr>
        <w:numPr>
          <w:ilvl w:val="12"/>
          <w:numId w:val="0"/>
        </w:numPr>
        <w:tabs>
          <w:tab w:val="left" w:pos="567"/>
        </w:tabs>
        <w:ind w:right="-2"/>
        <w:jc w:val="both"/>
        <w:rPr>
          <w:sz w:val="22"/>
          <w:szCs w:val="22"/>
        </w:rPr>
      </w:pPr>
    </w:p>
    <w:p w:rsidR="006224C2" w:rsidRPr="00295E71" w14:paraId="5DF53B11" w14:textId="77777777">
      <w:pPr>
        <w:numPr>
          <w:ilvl w:val="12"/>
          <w:numId w:val="0"/>
        </w:numPr>
        <w:tabs>
          <w:tab w:val="left" w:pos="567"/>
        </w:tabs>
        <w:ind w:right="-2"/>
        <w:jc w:val="both"/>
        <w:rPr>
          <w:sz w:val="22"/>
          <w:szCs w:val="22"/>
        </w:rPr>
      </w:pPr>
      <w:r w:rsidRPr="00295E71">
        <w:rPr>
          <w:sz w:val="22"/>
          <w:szCs w:val="22"/>
        </w:rPr>
        <w:t xml:space="preserve">Humira </w:t>
      </w:r>
      <w:r w:rsidRPr="00295E71" w:rsidR="006F32E5">
        <w:rPr>
          <w:sz w:val="22"/>
          <w:szCs w:val="22"/>
        </w:rPr>
        <w:t xml:space="preserve">può essere </w:t>
      </w:r>
      <w:r w:rsidRPr="00295E71">
        <w:rPr>
          <w:sz w:val="22"/>
          <w:szCs w:val="22"/>
        </w:rPr>
        <w:t>disponibile in flaconcino, in siringa pre-riempita e</w:t>
      </w:r>
      <w:r w:rsidRPr="00295E71" w:rsidR="006F32E5">
        <w:rPr>
          <w:sz w:val="22"/>
          <w:szCs w:val="22"/>
        </w:rPr>
        <w:t>/o</w:t>
      </w:r>
      <w:r w:rsidRPr="00295E71">
        <w:rPr>
          <w:sz w:val="22"/>
          <w:szCs w:val="22"/>
        </w:rPr>
        <w:t xml:space="preserve"> in penna pre-riempita.</w:t>
      </w:r>
    </w:p>
    <w:p w:rsidR="006224C2" w:rsidRPr="00295E71" w14:paraId="23E7D518" w14:textId="77777777">
      <w:pPr>
        <w:numPr>
          <w:ilvl w:val="12"/>
          <w:numId w:val="0"/>
        </w:numPr>
        <w:tabs>
          <w:tab w:val="left" w:pos="567"/>
        </w:tabs>
        <w:ind w:right="-2"/>
        <w:jc w:val="both"/>
        <w:rPr>
          <w:sz w:val="22"/>
          <w:szCs w:val="22"/>
        </w:rPr>
      </w:pPr>
    </w:p>
    <w:p w:rsidR="006224C2" w:rsidRPr="00295E71" w:rsidP="003C45F2" w14:paraId="0FE6C300" w14:textId="77777777">
      <w:pPr>
        <w:pStyle w:val="Heading8"/>
        <w:keepLines/>
        <w:tabs>
          <w:tab w:val="left" w:pos="567"/>
        </w:tabs>
        <w:jc w:val="both"/>
      </w:pPr>
      <w:r w:rsidRPr="00295E71">
        <w:t>Titolare dell’autorizzazione all’immissione in commercio</w:t>
      </w:r>
    </w:p>
    <w:p w:rsidR="006224C2" w:rsidRPr="00295E71" w:rsidP="003C45F2" w14:paraId="22D3A334" w14:textId="77777777">
      <w:pPr>
        <w:keepNext/>
        <w:keepLines/>
        <w:numPr>
          <w:ilvl w:val="12"/>
          <w:numId w:val="0"/>
        </w:numPr>
        <w:tabs>
          <w:tab w:val="left" w:pos="567"/>
        </w:tabs>
        <w:ind w:right="-2"/>
        <w:jc w:val="both"/>
        <w:rPr>
          <w:sz w:val="22"/>
          <w:szCs w:val="22"/>
        </w:rPr>
      </w:pPr>
    </w:p>
    <w:p w:rsidR="00EA1B87" w:rsidRPr="00295E71" w:rsidP="00EA1B87" w14:paraId="2C28D151" w14:textId="77777777">
      <w:pPr>
        <w:tabs>
          <w:tab w:val="left" w:pos="567"/>
        </w:tabs>
        <w:jc w:val="both"/>
        <w:rPr>
          <w:sz w:val="22"/>
          <w:szCs w:val="22"/>
        </w:rPr>
      </w:pPr>
      <w:r w:rsidRPr="00295E71">
        <w:rPr>
          <w:sz w:val="22"/>
          <w:szCs w:val="22"/>
        </w:rPr>
        <w:t>AbbVie Deutschland GmbH &amp; Co. KG</w:t>
      </w:r>
    </w:p>
    <w:p w:rsidR="00EA1B87" w:rsidRPr="00295E71" w:rsidP="00EA1B87" w14:paraId="34F2D895" w14:textId="77777777">
      <w:pPr>
        <w:tabs>
          <w:tab w:val="left" w:pos="567"/>
        </w:tabs>
        <w:jc w:val="both"/>
        <w:rPr>
          <w:sz w:val="22"/>
          <w:szCs w:val="22"/>
        </w:rPr>
      </w:pPr>
      <w:r w:rsidRPr="00295E71">
        <w:rPr>
          <w:sz w:val="22"/>
          <w:szCs w:val="22"/>
        </w:rPr>
        <w:t>Knollstrasse</w:t>
      </w:r>
    </w:p>
    <w:p w:rsidR="00EA1B87" w:rsidRPr="00295E71" w:rsidP="00EA1B87" w14:paraId="636BA2E5" w14:textId="77777777">
      <w:pPr>
        <w:tabs>
          <w:tab w:val="left" w:pos="567"/>
        </w:tabs>
        <w:jc w:val="both"/>
        <w:rPr>
          <w:sz w:val="22"/>
          <w:szCs w:val="22"/>
        </w:rPr>
      </w:pPr>
      <w:r w:rsidRPr="00295E71">
        <w:rPr>
          <w:sz w:val="22"/>
          <w:szCs w:val="22"/>
        </w:rPr>
        <w:t>67061 Ludwigshafen</w:t>
      </w:r>
    </w:p>
    <w:p w:rsidR="00EA1B87" w:rsidRPr="00295E71" w:rsidP="00EA1B87" w14:paraId="33551212" w14:textId="77777777">
      <w:pPr>
        <w:tabs>
          <w:tab w:val="left" w:pos="567"/>
        </w:tabs>
        <w:jc w:val="both"/>
        <w:rPr>
          <w:sz w:val="22"/>
          <w:szCs w:val="22"/>
        </w:rPr>
      </w:pPr>
      <w:r w:rsidRPr="00295E71">
        <w:rPr>
          <w:sz w:val="22"/>
          <w:szCs w:val="22"/>
        </w:rPr>
        <w:t>Germania</w:t>
      </w:r>
    </w:p>
    <w:p w:rsidR="006224C2" w:rsidRPr="00295E71" w14:paraId="61A2FF13" w14:textId="77777777">
      <w:pPr>
        <w:numPr>
          <w:ilvl w:val="12"/>
          <w:numId w:val="0"/>
        </w:numPr>
        <w:tabs>
          <w:tab w:val="left" w:pos="567"/>
        </w:tabs>
        <w:ind w:right="-2"/>
        <w:jc w:val="both"/>
        <w:rPr>
          <w:sz w:val="22"/>
          <w:szCs w:val="22"/>
        </w:rPr>
      </w:pPr>
    </w:p>
    <w:p w:rsidR="006224C2" w:rsidRPr="00295E71" w14:paraId="45206121" w14:textId="77777777">
      <w:pPr>
        <w:pStyle w:val="Heading8"/>
        <w:keepNext w:val="0"/>
        <w:tabs>
          <w:tab w:val="left" w:pos="567"/>
        </w:tabs>
        <w:jc w:val="both"/>
      </w:pPr>
      <w:r w:rsidRPr="00295E71">
        <w:t>Produttore</w:t>
      </w:r>
    </w:p>
    <w:p w:rsidR="006224C2" w:rsidRPr="00295E71" w14:paraId="063B180B" w14:textId="77777777">
      <w:pPr>
        <w:numPr>
          <w:ilvl w:val="12"/>
          <w:numId w:val="0"/>
        </w:numPr>
        <w:tabs>
          <w:tab w:val="left" w:pos="567"/>
        </w:tabs>
        <w:ind w:right="-2"/>
        <w:jc w:val="both"/>
        <w:rPr>
          <w:sz w:val="22"/>
          <w:szCs w:val="22"/>
        </w:rPr>
      </w:pPr>
    </w:p>
    <w:p w:rsidR="006224C2" w:rsidRPr="00295E71" w14:paraId="24160470" w14:textId="77777777">
      <w:pPr>
        <w:rPr>
          <w:sz w:val="22"/>
          <w:szCs w:val="22"/>
        </w:rPr>
      </w:pPr>
      <w:r w:rsidRPr="00295E71">
        <w:rPr>
          <w:sz w:val="22"/>
          <w:szCs w:val="22"/>
        </w:rPr>
        <w:t>AbbVie Biotechnology GmbH</w:t>
      </w:r>
    </w:p>
    <w:p w:rsidR="006224C2" w:rsidRPr="00295E71" w14:paraId="7BB4F721" w14:textId="77777777">
      <w:pPr>
        <w:numPr>
          <w:ilvl w:val="12"/>
          <w:numId w:val="0"/>
        </w:numPr>
        <w:tabs>
          <w:tab w:val="left" w:pos="720"/>
        </w:tabs>
        <w:rPr>
          <w:sz w:val="22"/>
          <w:szCs w:val="22"/>
        </w:rPr>
      </w:pPr>
      <w:r w:rsidRPr="00295E71">
        <w:rPr>
          <w:sz w:val="22"/>
          <w:szCs w:val="22"/>
        </w:rPr>
        <w:t>Knollstrasse</w:t>
      </w:r>
    </w:p>
    <w:p w:rsidR="006224C2" w:rsidRPr="00295E71" w14:paraId="6879A0E6" w14:textId="77777777">
      <w:pPr>
        <w:numPr>
          <w:ilvl w:val="12"/>
          <w:numId w:val="0"/>
        </w:numPr>
        <w:tabs>
          <w:tab w:val="left" w:pos="720"/>
        </w:tabs>
        <w:rPr>
          <w:sz w:val="22"/>
          <w:szCs w:val="22"/>
        </w:rPr>
      </w:pPr>
      <w:r w:rsidRPr="00295E71">
        <w:rPr>
          <w:sz w:val="22"/>
          <w:szCs w:val="22"/>
        </w:rPr>
        <w:t>67061 Ludwigshafen</w:t>
      </w:r>
    </w:p>
    <w:p w:rsidR="006224C2" w:rsidRPr="00295E71" w14:paraId="1D1E97C2" w14:textId="77777777">
      <w:pPr>
        <w:numPr>
          <w:ilvl w:val="12"/>
          <w:numId w:val="0"/>
        </w:numPr>
        <w:tabs>
          <w:tab w:val="left" w:pos="720"/>
        </w:tabs>
        <w:rPr>
          <w:sz w:val="22"/>
          <w:szCs w:val="22"/>
        </w:rPr>
      </w:pPr>
      <w:r w:rsidRPr="00295E71">
        <w:rPr>
          <w:sz w:val="22"/>
          <w:szCs w:val="22"/>
        </w:rPr>
        <w:t>Germania</w:t>
      </w:r>
    </w:p>
    <w:p w:rsidR="006224C2" w:rsidRPr="00295E71" w14:paraId="39B0BF26" w14:textId="77777777">
      <w:pPr>
        <w:numPr>
          <w:ilvl w:val="12"/>
          <w:numId w:val="0"/>
        </w:numPr>
        <w:tabs>
          <w:tab w:val="left" w:pos="720"/>
        </w:tabs>
        <w:rPr>
          <w:sz w:val="22"/>
          <w:szCs w:val="22"/>
        </w:rPr>
      </w:pPr>
    </w:p>
    <w:p w:rsidR="006224C2" w:rsidRPr="00295E71" w14:paraId="4CA1EE32" w14:textId="77777777">
      <w:pPr>
        <w:rPr>
          <w:sz w:val="22"/>
          <w:szCs w:val="22"/>
        </w:rPr>
      </w:pPr>
      <w:r w:rsidRPr="00295E71">
        <w:rPr>
          <w:sz w:val="22"/>
          <w:szCs w:val="22"/>
        </w:rPr>
        <w:t>Per ulteriori informazioni su questo medicinale, contatti il rappresentante locale del titolare dell’autorizzazione all’immissione in commercio</w:t>
      </w:r>
    </w:p>
    <w:p w:rsidR="006224C2" w:rsidRPr="00295E71" w14:paraId="7B3BC263" w14:textId="77777777">
      <w:pPr>
        <w:rPr>
          <w:sz w:val="22"/>
          <w:szCs w:val="22"/>
          <w:lang w:eastAsia="en-US"/>
        </w:rPr>
      </w:pPr>
    </w:p>
    <w:tbl>
      <w:tblPr>
        <w:tblW w:w="9356" w:type="dxa"/>
        <w:tblInd w:w="-34" w:type="dxa"/>
        <w:tblLayout w:type="fixed"/>
        <w:tblLook w:val="0000"/>
      </w:tblPr>
      <w:tblGrid>
        <w:gridCol w:w="34"/>
        <w:gridCol w:w="4610"/>
        <w:gridCol w:w="34"/>
        <w:gridCol w:w="4678"/>
      </w:tblGrid>
      <w:tr w14:paraId="5CA6C88B" w14:textId="77777777" w:rsidTr="001F79B0">
        <w:tblPrEx>
          <w:tblW w:w="9356" w:type="dxa"/>
          <w:tblInd w:w="-34" w:type="dxa"/>
          <w:tblLayout w:type="fixed"/>
          <w:tblLook w:val="0000"/>
        </w:tblPrEx>
        <w:tc>
          <w:tcPr>
            <w:tcW w:w="4644" w:type="dxa"/>
            <w:gridSpan w:val="2"/>
          </w:tcPr>
          <w:p w:rsidR="00235869" w:rsidRPr="00BD646C" w:rsidP="001F79B0" w14:paraId="3E9D4215" w14:textId="77777777">
            <w:pPr>
              <w:rPr>
                <w:b/>
                <w:bCs/>
                <w:sz w:val="22"/>
                <w:szCs w:val="22"/>
                <w:lang w:val="fr-BE"/>
              </w:rPr>
            </w:pPr>
            <w:r w:rsidRPr="00BD646C">
              <w:rPr>
                <w:b/>
                <w:bCs/>
                <w:sz w:val="22"/>
                <w:szCs w:val="22"/>
                <w:lang w:val="fr-BE"/>
              </w:rPr>
              <w:t>België</w:t>
            </w:r>
            <w:r w:rsidRPr="00BD646C">
              <w:rPr>
                <w:b/>
                <w:bCs/>
                <w:sz w:val="22"/>
                <w:szCs w:val="22"/>
                <w:lang w:val="fr-BE"/>
              </w:rPr>
              <w:t>/Belgique/</w:t>
            </w:r>
            <w:r w:rsidRPr="00BD646C">
              <w:rPr>
                <w:b/>
                <w:bCs/>
                <w:sz w:val="22"/>
                <w:szCs w:val="22"/>
                <w:lang w:val="fr-BE"/>
              </w:rPr>
              <w:t>Belgien</w:t>
            </w:r>
          </w:p>
          <w:p w:rsidR="00235869" w:rsidRPr="00BD646C" w:rsidP="001F79B0" w14:paraId="31FCEBAF" w14:textId="77777777">
            <w:pPr>
              <w:rPr>
                <w:bCs/>
                <w:sz w:val="22"/>
                <w:szCs w:val="22"/>
                <w:lang w:val="fr-FR"/>
              </w:rPr>
            </w:pPr>
            <w:r w:rsidRPr="00BD646C">
              <w:rPr>
                <w:bCs/>
                <w:sz w:val="22"/>
                <w:szCs w:val="22"/>
                <w:lang w:val="fr-FR"/>
              </w:rPr>
              <w:t>AbbVie SA</w:t>
            </w:r>
          </w:p>
          <w:p w:rsidR="00235869" w:rsidRPr="00BD646C" w:rsidP="001F79B0" w14:paraId="4EEA5A10" w14:textId="77777777">
            <w:pPr>
              <w:rPr>
                <w:sz w:val="22"/>
                <w:szCs w:val="22"/>
                <w:lang w:val="fr-FR"/>
              </w:rPr>
            </w:pPr>
            <w:r w:rsidRPr="00BD646C">
              <w:rPr>
                <w:bCs/>
                <w:sz w:val="22"/>
                <w:szCs w:val="22"/>
                <w:lang w:val="fr-FR"/>
              </w:rPr>
              <w:t>Tél/</w:t>
            </w:r>
            <w:r w:rsidRPr="00BD646C">
              <w:rPr>
                <w:bCs/>
                <w:sz w:val="22"/>
                <w:szCs w:val="22"/>
                <w:lang w:val="fr-FR"/>
              </w:rPr>
              <w:t>Tel:</w:t>
            </w:r>
            <w:r w:rsidRPr="00BD646C">
              <w:rPr>
                <w:bCs/>
                <w:sz w:val="22"/>
                <w:szCs w:val="22"/>
                <w:lang w:val="fr-FR"/>
              </w:rPr>
              <w:t xml:space="preserve"> +32 10 </w:t>
            </w:r>
            <w:r w:rsidRPr="00BD646C">
              <w:rPr>
                <w:sz w:val="22"/>
                <w:szCs w:val="22"/>
                <w:lang w:val="fr-FR"/>
              </w:rPr>
              <w:t>477811</w:t>
            </w:r>
          </w:p>
          <w:p w:rsidR="00235869" w:rsidRPr="00BD646C" w:rsidP="001F79B0" w14:paraId="0F8DE837" w14:textId="77777777">
            <w:pPr>
              <w:rPr>
                <w:bCs/>
                <w:sz w:val="22"/>
                <w:szCs w:val="22"/>
                <w:lang w:val="fr-FR"/>
              </w:rPr>
            </w:pPr>
          </w:p>
        </w:tc>
        <w:tc>
          <w:tcPr>
            <w:tcW w:w="4678" w:type="dxa"/>
            <w:gridSpan w:val="2"/>
          </w:tcPr>
          <w:p w:rsidR="00235869" w:rsidRPr="00BD646C" w:rsidP="001F79B0" w14:paraId="521235A2" w14:textId="77777777">
            <w:pPr>
              <w:rPr>
                <w:b/>
                <w:bCs/>
                <w:sz w:val="22"/>
                <w:szCs w:val="22"/>
                <w:lang w:val="lt-LT"/>
              </w:rPr>
            </w:pPr>
            <w:r w:rsidRPr="00BD646C">
              <w:rPr>
                <w:b/>
                <w:bCs/>
                <w:sz w:val="22"/>
                <w:szCs w:val="22"/>
                <w:lang w:val="lt-LT"/>
              </w:rPr>
              <w:t>Lietuva</w:t>
            </w:r>
          </w:p>
          <w:p w:rsidR="00235869" w:rsidRPr="00BD646C" w:rsidP="001F79B0" w14:paraId="1FA075C6" w14:textId="77777777">
            <w:pPr>
              <w:rPr>
                <w:bCs/>
                <w:sz w:val="22"/>
                <w:szCs w:val="22"/>
                <w:lang w:val="lv-LV"/>
              </w:rPr>
            </w:pPr>
            <w:r w:rsidRPr="00BD646C">
              <w:rPr>
                <w:bCs/>
                <w:sz w:val="22"/>
                <w:szCs w:val="22"/>
                <w:lang w:val="lv-LV"/>
              </w:rPr>
              <w:t xml:space="preserve">AbbVie UAB </w:t>
            </w:r>
          </w:p>
          <w:p w:rsidR="00235869" w:rsidRPr="00BD646C" w:rsidP="001F79B0" w14:paraId="69D2F250" w14:textId="77777777">
            <w:pPr>
              <w:rPr>
                <w:bCs/>
                <w:sz w:val="22"/>
                <w:szCs w:val="22"/>
                <w:lang w:val="lv-LV"/>
              </w:rPr>
            </w:pPr>
            <w:r w:rsidRPr="00BD646C">
              <w:rPr>
                <w:bCs/>
                <w:sz w:val="22"/>
                <w:szCs w:val="22"/>
                <w:lang w:val="lv-LV"/>
              </w:rPr>
              <w:t>Tel: +370 5 205 3023</w:t>
            </w:r>
          </w:p>
        </w:tc>
      </w:tr>
      <w:tr w14:paraId="1DD425F7" w14:textId="77777777" w:rsidTr="001F79B0">
        <w:tblPrEx>
          <w:tblW w:w="9356" w:type="dxa"/>
          <w:tblInd w:w="-34" w:type="dxa"/>
          <w:tblLayout w:type="fixed"/>
          <w:tblLook w:val="0000"/>
        </w:tblPrEx>
        <w:tc>
          <w:tcPr>
            <w:tcW w:w="4644" w:type="dxa"/>
            <w:gridSpan w:val="2"/>
          </w:tcPr>
          <w:p w:rsidR="00235869" w:rsidRPr="00BD646C" w:rsidP="001F79B0" w14:paraId="05686267" w14:textId="77777777">
            <w:pPr>
              <w:rPr>
                <w:b/>
                <w:bCs/>
                <w:sz w:val="22"/>
                <w:szCs w:val="22"/>
                <w:lang w:val="bg-BG"/>
              </w:rPr>
            </w:pPr>
            <w:r w:rsidRPr="00BD646C">
              <w:rPr>
                <w:b/>
                <w:bCs/>
                <w:sz w:val="22"/>
                <w:szCs w:val="22"/>
                <w:lang w:val="bg-BG"/>
              </w:rPr>
              <w:t>България</w:t>
            </w:r>
          </w:p>
          <w:p w:rsidR="00235869" w:rsidRPr="00BD646C" w:rsidP="001F79B0" w14:paraId="1093BE19" w14:textId="77777777">
            <w:pPr>
              <w:rPr>
                <w:sz w:val="22"/>
                <w:szCs w:val="22"/>
                <w:lang w:val="da-DK"/>
              </w:rPr>
            </w:pPr>
            <w:r w:rsidRPr="00BD646C">
              <w:rPr>
                <w:sz w:val="22"/>
                <w:szCs w:val="22"/>
                <w:lang w:val="sk-SK"/>
              </w:rPr>
              <w:t>АбВи ЕООД</w:t>
            </w:r>
          </w:p>
          <w:p w:rsidR="00235869" w:rsidRPr="00BD646C" w:rsidP="001F79B0" w14:paraId="0EF06CCC" w14:textId="77777777">
            <w:pPr>
              <w:rPr>
                <w:bCs/>
                <w:sz w:val="22"/>
                <w:szCs w:val="22"/>
                <w:lang w:val="da-DK"/>
              </w:rPr>
            </w:pPr>
            <w:r w:rsidRPr="00BD646C">
              <w:rPr>
                <w:sz w:val="22"/>
                <w:szCs w:val="22"/>
                <w:lang w:val="sk-SK"/>
              </w:rPr>
              <w:t>Тел</w:t>
            </w:r>
            <w:r w:rsidRPr="00BD646C">
              <w:rPr>
                <w:sz w:val="22"/>
                <w:szCs w:val="22"/>
              </w:rPr>
              <w:t>.:+359 2 90 30 430</w:t>
            </w:r>
          </w:p>
        </w:tc>
        <w:tc>
          <w:tcPr>
            <w:tcW w:w="4678" w:type="dxa"/>
            <w:gridSpan w:val="2"/>
          </w:tcPr>
          <w:p w:rsidR="00235869" w:rsidRPr="00BD646C" w:rsidP="001F79B0" w14:paraId="388A8BED" w14:textId="77777777">
            <w:pPr>
              <w:rPr>
                <w:b/>
                <w:bCs/>
                <w:sz w:val="22"/>
                <w:szCs w:val="22"/>
                <w:lang w:val="de-DE"/>
              </w:rPr>
            </w:pPr>
            <w:r w:rsidRPr="00BD646C">
              <w:rPr>
                <w:b/>
                <w:bCs/>
                <w:sz w:val="22"/>
                <w:szCs w:val="22"/>
                <w:lang w:val="de-DE"/>
              </w:rPr>
              <w:t>Luxembourg/Luxemburg</w:t>
            </w:r>
          </w:p>
          <w:p w:rsidR="00235869" w:rsidRPr="00BD646C" w:rsidP="001F79B0" w14:paraId="3626D751" w14:textId="77777777">
            <w:pPr>
              <w:rPr>
                <w:bCs/>
                <w:sz w:val="22"/>
                <w:szCs w:val="22"/>
                <w:lang w:val="de-DE"/>
              </w:rPr>
            </w:pPr>
            <w:r w:rsidRPr="00BD646C">
              <w:rPr>
                <w:bCs/>
                <w:sz w:val="22"/>
                <w:szCs w:val="22"/>
                <w:lang w:val="de-DE"/>
              </w:rPr>
              <w:t>AbbVie SA</w:t>
            </w:r>
          </w:p>
          <w:p w:rsidR="00235869" w:rsidRPr="00BD646C" w:rsidP="001F79B0" w14:paraId="0B1F1E90" w14:textId="77777777">
            <w:pPr>
              <w:rPr>
                <w:bCs/>
                <w:sz w:val="22"/>
                <w:szCs w:val="22"/>
                <w:lang w:val="de-DE"/>
              </w:rPr>
            </w:pPr>
            <w:r w:rsidRPr="00BD646C">
              <w:rPr>
                <w:bCs/>
                <w:sz w:val="22"/>
                <w:szCs w:val="22"/>
                <w:lang w:val="de-DE"/>
              </w:rPr>
              <w:t>Belgique/Belgien</w:t>
            </w:r>
          </w:p>
          <w:p w:rsidR="00235869" w:rsidRPr="00BD646C" w:rsidP="001F79B0" w14:paraId="43E42F83" w14:textId="77777777">
            <w:pPr>
              <w:rPr>
                <w:bCs/>
                <w:sz w:val="22"/>
                <w:szCs w:val="22"/>
                <w:lang w:val="fr-FR"/>
              </w:rPr>
            </w:pPr>
            <w:r w:rsidRPr="00BD646C">
              <w:rPr>
                <w:bCs/>
                <w:sz w:val="22"/>
                <w:szCs w:val="22"/>
                <w:lang w:val="fr-FR"/>
              </w:rPr>
              <w:t>Tél/</w:t>
            </w:r>
            <w:r w:rsidRPr="00BD646C">
              <w:rPr>
                <w:bCs/>
                <w:sz w:val="22"/>
                <w:szCs w:val="22"/>
                <w:lang w:val="fr-FR"/>
              </w:rPr>
              <w:t>Tel:</w:t>
            </w:r>
            <w:r w:rsidRPr="00BD646C">
              <w:rPr>
                <w:bCs/>
                <w:sz w:val="22"/>
                <w:szCs w:val="22"/>
                <w:lang w:val="fr-FR"/>
              </w:rPr>
              <w:t xml:space="preserve"> +32 10 477811</w:t>
            </w:r>
          </w:p>
          <w:p w:rsidR="00235869" w:rsidRPr="00BD646C" w:rsidP="001F79B0" w14:paraId="23FF8D15" w14:textId="77777777">
            <w:pPr>
              <w:rPr>
                <w:bCs/>
                <w:sz w:val="22"/>
                <w:szCs w:val="22"/>
                <w:lang w:val="fr-FR"/>
              </w:rPr>
            </w:pPr>
          </w:p>
        </w:tc>
      </w:tr>
      <w:tr w14:paraId="7100FC30" w14:textId="77777777" w:rsidTr="001F79B0">
        <w:tblPrEx>
          <w:tblW w:w="9356" w:type="dxa"/>
          <w:tblInd w:w="-34" w:type="dxa"/>
          <w:tblLayout w:type="fixed"/>
          <w:tblLook w:val="0000"/>
        </w:tblPrEx>
        <w:tc>
          <w:tcPr>
            <w:tcW w:w="4644" w:type="dxa"/>
            <w:gridSpan w:val="2"/>
          </w:tcPr>
          <w:p w:rsidR="00235869" w:rsidRPr="00BD646C" w:rsidP="001F79B0" w14:paraId="6EC12535" w14:textId="77777777">
            <w:pPr>
              <w:rPr>
                <w:b/>
                <w:bCs/>
                <w:sz w:val="22"/>
                <w:szCs w:val="22"/>
                <w:lang w:val="sk-SK"/>
              </w:rPr>
            </w:pPr>
            <w:r w:rsidRPr="00BD646C">
              <w:rPr>
                <w:b/>
                <w:bCs/>
                <w:sz w:val="22"/>
                <w:szCs w:val="22"/>
                <w:lang w:val="sk-SK"/>
              </w:rPr>
              <w:t>Česká republika</w:t>
            </w:r>
          </w:p>
          <w:p w:rsidR="00235869" w:rsidRPr="00BD646C" w:rsidP="001F79B0" w14:paraId="02BD501A" w14:textId="77777777">
            <w:pPr>
              <w:rPr>
                <w:bCs/>
                <w:sz w:val="22"/>
                <w:szCs w:val="22"/>
                <w:lang w:val="sk-SK"/>
              </w:rPr>
            </w:pPr>
            <w:r w:rsidRPr="00BD646C">
              <w:rPr>
                <w:bCs/>
                <w:sz w:val="22"/>
                <w:szCs w:val="22"/>
                <w:lang w:val="sk-SK"/>
              </w:rPr>
              <w:t xml:space="preserve">AbbVie s.r.o. </w:t>
            </w:r>
          </w:p>
          <w:p w:rsidR="00235869" w:rsidRPr="00BD646C" w:rsidP="001F79B0" w14:paraId="33B6B403" w14:textId="77777777">
            <w:pPr>
              <w:rPr>
                <w:bCs/>
                <w:sz w:val="22"/>
                <w:szCs w:val="22"/>
                <w:lang w:val="sk-SK"/>
              </w:rPr>
            </w:pPr>
            <w:r w:rsidRPr="00BD646C">
              <w:rPr>
                <w:bCs/>
                <w:sz w:val="22"/>
                <w:szCs w:val="22"/>
                <w:lang w:val="sk-SK"/>
              </w:rPr>
              <w:t>Tel: +420 233 098 111</w:t>
            </w:r>
          </w:p>
        </w:tc>
        <w:tc>
          <w:tcPr>
            <w:tcW w:w="4678" w:type="dxa"/>
            <w:gridSpan w:val="2"/>
          </w:tcPr>
          <w:p w:rsidR="00235869" w:rsidRPr="00BD646C" w:rsidP="001F79B0" w14:paraId="0324A446" w14:textId="77777777">
            <w:pPr>
              <w:rPr>
                <w:b/>
                <w:bCs/>
                <w:sz w:val="22"/>
                <w:szCs w:val="22"/>
                <w:lang w:val="hu-HU"/>
              </w:rPr>
            </w:pPr>
            <w:r w:rsidRPr="00BD646C">
              <w:rPr>
                <w:b/>
                <w:bCs/>
                <w:sz w:val="22"/>
                <w:szCs w:val="22"/>
                <w:lang w:val="hu-HU"/>
              </w:rPr>
              <w:t>Magyarország</w:t>
            </w:r>
          </w:p>
          <w:p w:rsidR="00235869" w:rsidRPr="00BD646C" w:rsidP="001F79B0" w14:paraId="2FBEB8FE" w14:textId="77777777">
            <w:pPr>
              <w:rPr>
                <w:bCs/>
                <w:sz w:val="22"/>
                <w:szCs w:val="22"/>
                <w:lang w:val="hu-HU"/>
              </w:rPr>
            </w:pPr>
            <w:r w:rsidRPr="00BD646C">
              <w:rPr>
                <w:bCs/>
                <w:sz w:val="22"/>
                <w:szCs w:val="22"/>
                <w:lang w:val="hu-HU"/>
              </w:rPr>
              <w:t>AbbVie Kft.</w:t>
            </w:r>
          </w:p>
          <w:p w:rsidR="00235869" w:rsidRPr="00BD646C" w:rsidP="001F79B0" w14:paraId="42CBBE85" w14:textId="77777777">
            <w:pPr>
              <w:rPr>
                <w:bCs/>
                <w:sz w:val="22"/>
                <w:szCs w:val="22"/>
                <w:lang w:val="hu-HU"/>
              </w:rPr>
            </w:pPr>
            <w:r w:rsidRPr="00BD646C">
              <w:rPr>
                <w:bCs/>
                <w:sz w:val="22"/>
                <w:szCs w:val="22"/>
                <w:lang w:val="hu-HU"/>
              </w:rPr>
              <w:t>Tel.:+36 1 455 8600</w:t>
            </w:r>
          </w:p>
          <w:p w:rsidR="00235869" w:rsidRPr="00BD646C" w:rsidP="001F79B0" w14:paraId="1D58C16C" w14:textId="77777777">
            <w:pPr>
              <w:rPr>
                <w:bCs/>
                <w:sz w:val="22"/>
                <w:szCs w:val="22"/>
                <w:lang w:val="hu-HU"/>
              </w:rPr>
            </w:pPr>
          </w:p>
        </w:tc>
      </w:tr>
      <w:tr w14:paraId="083071B8" w14:textId="77777777" w:rsidTr="001F79B0">
        <w:tblPrEx>
          <w:tblW w:w="9356" w:type="dxa"/>
          <w:tblInd w:w="-34" w:type="dxa"/>
          <w:tblLayout w:type="fixed"/>
          <w:tblLook w:val="0000"/>
        </w:tblPrEx>
        <w:trPr>
          <w:trHeight w:val="737"/>
        </w:trPr>
        <w:tc>
          <w:tcPr>
            <w:tcW w:w="4644" w:type="dxa"/>
            <w:gridSpan w:val="2"/>
          </w:tcPr>
          <w:p w:rsidR="00235869" w:rsidRPr="00BD646C" w:rsidP="001F79B0" w14:paraId="4DD7A0DE" w14:textId="77777777">
            <w:pPr>
              <w:rPr>
                <w:b/>
                <w:bCs/>
                <w:sz w:val="22"/>
                <w:szCs w:val="22"/>
                <w:lang w:val="en-US"/>
              </w:rPr>
            </w:pPr>
            <w:r w:rsidRPr="00BD646C">
              <w:rPr>
                <w:b/>
                <w:bCs/>
                <w:sz w:val="22"/>
                <w:szCs w:val="22"/>
                <w:lang w:val="en-US"/>
              </w:rPr>
              <w:t>Danmark</w:t>
            </w:r>
          </w:p>
          <w:p w:rsidR="00235869" w:rsidRPr="00BD646C" w:rsidP="001F79B0" w14:paraId="64433FFC" w14:textId="77777777">
            <w:pPr>
              <w:rPr>
                <w:bCs/>
                <w:sz w:val="22"/>
                <w:szCs w:val="22"/>
                <w:lang w:val="en-US"/>
              </w:rPr>
            </w:pPr>
            <w:r w:rsidRPr="00BD646C">
              <w:rPr>
                <w:bCs/>
                <w:sz w:val="22"/>
                <w:szCs w:val="22"/>
                <w:lang w:val="en-US"/>
              </w:rPr>
              <w:t>AbbVie A/S</w:t>
            </w:r>
          </w:p>
          <w:p w:rsidR="00235869" w:rsidRPr="00BD646C" w:rsidP="001F79B0" w14:paraId="02FA9080" w14:textId="77777777">
            <w:pPr>
              <w:rPr>
                <w:bCs/>
                <w:sz w:val="22"/>
                <w:szCs w:val="22"/>
                <w:lang w:val="sk-SK"/>
              </w:rPr>
            </w:pPr>
            <w:r w:rsidRPr="00BD646C">
              <w:rPr>
                <w:bCs/>
                <w:sz w:val="22"/>
                <w:szCs w:val="22"/>
                <w:lang w:val="en-US"/>
              </w:rPr>
              <w:t>Tlf</w:t>
            </w:r>
            <w:ins w:id="20029" w:author="AbbVie14" w:date="2025-05-09T11:22:00Z">
              <w:r w:rsidR="002C1DC5">
                <w:rPr>
                  <w:bCs/>
                  <w:sz w:val="22"/>
                  <w:szCs w:val="22"/>
                  <w:lang w:val="en-US"/>
                </w:rPr>
                <w:t>.</w:t>
              </w:r>
            </w:ins>
            <w:r w:rsidRPr="00BD646C">
              <w:rPr>
                <w:bCs/>
                <w:sz w:val="22"/>
                <w:szCs w:val="22"/>
                <w:lang w:val="en-US"/>
              </w:rPr>
              <w:t>: +45 72 30-20-28</w:t>
            </w:r>
          </w:p>
        </w:tc>
        <w:tc>
          <w:tcPr>
            <w:tcW w:w="4678" w:type="dxa"/>
            <w:gridSpan w:val="2"/>
          </w:tcPr>
          <w:p w:rsidR="00235869" w:rsidRPr="00BD646C" w:rsidP="001F79B0" w14:paraId="61862BD4" w14:textId="77777777">
            <w:pPr>
              <w:rPr>
                <w:b/>
                <w:bCs/>
                <w:sz w:val="22"/>
                <w:szCs w:val="22"/>
                <w:lang w:val="mt-MT"/>
              </w:rPr>
            </w:pPr>
            <w:r w:rsidRPr="00BD646C">
              <w:rPr>
                <w:b/>
                <w:bCs/>
                <w:sz w:val="22"/>
                <w:szCs w:val="22"/>
                <w:lang w:val="mt-MT"/>
              </w:rPr>
              <w:t>Malta</w:t>
            </w:r>
          </w:p>
          <w:p w:rsidR="00235869" w:rsidRPr="00BD646C" w:rsidP="001F79B0" w14:paraId="734C6019" w14:textId="77777777">
            <w:pPr>
              <w:rPr>
                <w:bCs/>
                <w:sz w:val="22"/>
                <w:szCs w:val="22"/>
                <w:lang w:val="sk-SK"/>
              </w:rPr>
            </w:pPr>
            <w:r w:rsidRPr="00BD646C">
              <w:rPr>
                <w:bCs/>
                <w:sz w:val="22"/>
                <w:szCs w:val="22"/>
                <w:lang w:val="sk-SK"/>
              </w:rPr>
              <w:t xml:space="preserve">V.J.Salomone Pharma Limited </w:t>
            </w:r>
          </w:p>
          <w:p w:rsidR="00235869" w:rsidRPr="00BD646C" w:rsidP="001F79B0" w14:paraId="540F8821" w14:textId="77777777">
            <w:pPr>
              <w:rPr>
                <w:bCs/>
                <w:sz w:val="22"/>
                <w:szCs w:val="22"/>
                <w:lang w:val="sk-SK"/>
              </w:rPr>
            </w:pPr>
            <w:r w:rsidRPr="00BD646C">
              <w:rPr>
                <w:bCs/>
                <w:sz w:val="22"/>
                <w:szCs w:val="22"/>
                <w:lang w:val="sk-SK"/>
              </w:rPr>
              <w:t xml:space="preserve">Tel: </w:t>
            </w:r>
            <w:r w:rsidRPr="00455317">
              <w:rPr>
                <w:bCs/>
                <w:sz w:val="22"/>
                <w:szCs w:val="22"/>
                <w:lang w:val="en-GB"/>
              </w:rPr>
              <w:t>+356 21220174</w:t>
            </w:r>
          </w:p>
          <w:p w:rsidR="00235869" w:rsidRPr="00BD646C" w:rsidP="001F79B0" w14:paraId="72E64D4D" w14:textId="77777777">
            <w:pPr>
              <w:rPr>
                <w:bCs/>
                <w:sz w:val="22"/>
                <w:szCs w:val="22"/>
                <w:lang w:val="sk-SK"/>
              </w:rPr>
            </w:pPr>
          </w:p>
        </w:tc>
      </w:tr>
      <w:tr w14:paraId="6213E4BF" w14:textId="77777777" w:rsidTr="001F79B0">
        <w:tblPrEx>
          <w:tblW w:w="9356" w:type="dxa"/>
          <w:tblInd w:w="-34" w:type="dxa"/>
          <w:tblLayout w:type="fixed"/>
          <w:tblLook w:val="0000"/>
        </w:tblPrEx>
        <w:tc>
          <w:tcPr>
            <w:tcW w:w="4644" w:type="dxa"/>
            <w:gridSpan w:val="2"/>
          </w:tcPr>
          <w:p w:rsidR="00235869" w:rsidRPr="00BD646C" w:rsidP="001F79B0" w14:paraId="4587654D" w14:textId="77777777">
            <w:pPr>
              <w:rPr>
                <w:b/>
                <w:bCs/>
                <w:sz w:val="22"/>
                <w:szCs w:val="22"/>
                <w:lang w:val="de-DE"/>
              </w:rPr>
            </w:pPr>
            <w:r w:rsidRPr="00BD646C">
              <w:rPr>
                <w:b/>
                <w:bCs/>
                <w:sz w:val="22"/>
                <w:szCs w:val="22"/>
                <w:lang w:val="de-DE"/>
              </w:rPr>
              <w:t>Deutschland</w:t>
            </w:r>
          </w:p>
          <w:p w:rsidR="00235869" w:rsidRPr="00BD646C" w:rsidP="001F79B0" w14:paraId="7646236B" w14:textId="77777777">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rsidR="00235869" w:rsidRPr="00BD646C" w:rsidP="001F79B0" w14:paraId="7BC9C803" w14:textId="77777777">
            <w:pPr>
              <w:rPr>
                <w:sz w:val="22"/>
                <w:szCs w:val="22"/>
                <w:lang w:val="de-DE"/>
              </w:rPr>
            </w:pPr>
            <w:r w:rsidRPr="00BD646C">
              <w:rPr>
                <w:sz w:val="22"/>
                <w:szCs w:val="22"/>
                <w:lang w:val="de-DE"/>
              </w:rPr>
              <w:t>Tel: 00800 222843 33 (gebührenfrei)</w:t>
            </w:r>
          </w:p>
          <w:p w:rsidR="00235869" w:rsidRPr="00BD646C" w:rsidP="001F79B0" w14:paraId="070B1CF2" w14:textId="77777777">
            <w:pPr>
              <w:rPr>
                <w:sz w:val="22"/>
                <w:szCs w:val="22"/>
                <w:lang w:val="de-DE"/>
              </w:rPr>
            </w:pPr>
            <w:r w:rsidRPr="00BD646C">
              <w:rPr>
                <w:sz w:val="22"/>
                <w:szCs w:val="22"/>
                <w:lang w:val="de-DE"/>
              </w:rPr>
              <w:t>Tel: +49 (0) 611 / 1720-0</w:t>
            </w:r>
          </w:p>
          <w:p w:rsidR="00235869" w:rsidRPr="00BD646C" w:rsidP="001F79B0" w14:paraId="50621B26" w14:textId="77777777">
            <w:pPr>
              <w:rPr>
                <w:sz w:val="22"/>
                <w:szCs w:val="22"/>
                <w:lang w:val="de-DE"/>
              </w:rPr>
            </w:pPr>
          </w:p>
        </w:tc>
        <w:tc>
          <w:tcPr>
            <w:tcW w:w="4678" w:type="dxa"/>
            <w:gridSpan w:val="2"/>
          </w:tcPr>
          <w:p w:rsidR="00235869" w:rsidRPr="00BD646C" w:rsidP="001F79B0" w14:paraId="5EB85339" w14:textId="77777777">
            <w:pPr>
              <w:rPr>
                <w:b/>
                <w:bCs/>
                <w:sz w:val="22"/>
                <w:szCs w:val="22"/>
                <w:lang w:val="nl-NL"/>
              </w:rPr>
            </w:pPr>
            <w:r w:rsidRPr="00BD646C">
              <w:rPr>
                <w:b/>
                <w:bCs/>
                <w:sz w:val="22"/>
                <w:szCs w:val="22"/>
                <w:lang w:val="nl-NL"/>
              </w:rPr>
              <w:t>Nederland</w:t>
            </w:r>
          </w:p>
          <w:p w:rsidR="00235869" w:rsidRPr="00BD646C" w:rsidP="001F79B0" w14:paraId="605DAA6A" w14:textId="77777777">
            <w:pPr>
              <w:rPr>
                <w:bCs/>
                <w:sz w:val="22"/>
                <w:szCs w:val="22"/>
                <w:lang w:val="de-DE"/>
              </w:rPr>
            </w:pPr>
            <w:r w:rsidRPr="00BD646C">
              <w:rPr>
                <w:bCs/>
                <w:sz w:val="22"/>
                <w:szCs w:val="22"/>
                <w:lang w:val="de-DE"/>
              </w:rPr>
              <w:t>AbbVie B.V.</w:t>
            </w:r>
          </w:p>
          <w:p w:rsidR="00235869" w:rsidRPr="00BD646C" w:rsidP="001F79B0" w14:paraId="045F9641" w14:textId="77777777">
            <w:pPr>
              <w:rPr>
                <w:bCs/>
                <w:sz w:val="22"/>
                <w:szCs w:val="22"/>
                <w:lang w:val="de-DE"/>
              </w:rPr>
            </w:pPr>
            <w:r w:rsidRPr="00BD646C">
              <w:rPr>
                <w:bCs/>
                <w:sz w:val="22"/>
                <w:szCs w:val="22"/>
                <w:lang w:val="de-DE"/>
              </w:rPr>
              <w:t>Tel: +31 (0)88 322 2843</w:t>
            </w:r>
          </w:p>
        </w:tc>
      </w:tr>
      <w:tr w14:paraId="417C5887" w14:textId="77777777" w:rsidTr="001F79B0">
        <w:tblPrEx>
          <w:tblW w:w="9356" w:type="dxa"/>
          <w:tblInd w:w="-34" w:type="dxa"/>
          <w:tblLayout w:type="fixed"/>
          <w:tblLook w:val="0000"/>
        </w:tblPrEx>
        <w:tc>
          <w:tcPr>
            <w:tcW w:w="4644" w:type="dxa"/>
            <w:gridSpan w:val="2"/>
          </w:tcPr>
          <w:p w:rsidR="00235869" w:rsidRPr="00BD646C" w:rsidP="001F79B0" w14:paraId="303B68E0" w14:textId="77777777">
            <w:pPr>
              <w:rPr>
                <w:b/>
                <w:bCs/>
                <w:sz w:val="22"/>
                <w:szCs w:val="22"/>
                <w:lang w:val="et-EE"/>
              </w:rPr>
            </w:pPr>
            <w:r w:rsidRPr="00BD646C">
              <w:rPr>
                <w:b/>
                <w:bCs/>
                <w:sz w:val="22"/>
                <w:szCs w:val="22"/>
                <w:lang w:val="et-EE"/>
              </w:rPr>
              <w:t>Eesti</w:t>
            </w:r>
          </w:p>
          <w:p w:rsidR="00235869" w:rsidRPr="00BD646C" w:rsidP="001F79B0" w14:paraId="72332C05" w14:textId="77777777">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rsidR="00235869" w:rsidRPr="00BD646C" w:rsidP="001F79B0" w14:paraId="302CA312" w14:textId="77777777">
            <w:pPr>
              <w:rPr>
                <w:bCs/>
                <w:sz w:val="22"/>
                <w:szCs w:val="22"/>
                <w:lang w:val="lv-LV"/>
              </w:rPr>
            </w:pPr>
            <w:r w:rsidRPr="00BD646C">
              <w:rPr>
                <w:bCs/>
                <w:sz w:val="22"/>
                <w:szCs w:val="22"/>
                <w:lang w:val="et-EE"/>
              </w:rPr>
              <w:t>Tel: +372 623 1011</w:t>
            </w:r>
          </w:p>
        </w:tc>
        <w:tc>
          <w:tcPr>
            <w:tcW w:w="4678" w:type="dxa"/>
            <w:gridSpan w:val="2"/>
          </w:tcPr>
          <w:p w:rsidR="00235869" w:rsidRPr="00BD646C" w:rsidP="001F79B0" w14:paraId="3B78A8B4" w14:textId="77777777">
            <w:pPr>
              <w:rPr>
                <w:b/>
                <w:bCs/>
                <w:sz w:val="22"/>
                <w:szCs w:val="22"/>
                <w:lang w:val="nb-NO"/>
              </w:rPr>
            </w:pPr>
            <w:r w:rsidRPr="00BD646C">
              <w:rPr>
                <w:b/>
                <w:bCs/>
                <w:sz w:val="22"/>
                <w:szCs w:val="22"/>
                <w:lang w:val="nb-NO"/>
              </w:rPr>
              <w:t>Norge</w:t>
            </w:r>
          </w:p>
          <w:p w:rsidR="00235869" w:rsidRPr="00BD646C" w:rsidP="001F79B0" w14:paraId="1EECDFF4" w14:textId="77777777">
            <w:pPr>
              <w:rPr>
                <w:bCs/>
                <w:sz w:val="22"/>
                <w:szCs w:val="22"/>
                <w:lang w:val="sk-SK"/>
              </w:rPr>
            </w:pPr>
            <w:r w:rsidRPr="00BD646C">
              <w:rPr>
                <w:bCs/>
                <w:sz w:val="22"/>
                <w:szCs w:val="22"/>
                <w:lang w:val="sk-SK"/>
              </w:rPr>
              <w:t>AbbVie AS</w:t>
            </w:r>
          </w:p>
          <w:p w:rsidR="00235869" w:rsidRPr="00BD646C" w:rsidP="001F79B0" w14:paraId="00584FF6" w14:textId="77777777">
            <w:pPr>
              <w:rPr>
                <w:bCs/>
                <w:sz w:val="22"/>
                <w:szCs w:val="22"/>
                <w:lang w:val="sk-SK"/>
              </w:rPr>
            </w:pPr>
            <w:r w:rsidRPr="00BD646C">
              <w:rPr>
                <w:bCs/>
                <w:sz w:val="22"/>
                <w:szCs w:val="22"/>
                <w:lang w:val="sk-SK"/>
              </w:rPr>
              <w:t>Tlf: +47 67 81 80 00</w:t>
            </w:r>
          </w:p>
          <w:p w:rsidR="00235869" w:rsidRPr="00BD646C" w:rsidP="001F79B0" w14:paraId="57004C4F" w14:textId="77777777">
            <w:pPr>
              <w:rPr>
                <w:bCs/>
                <w:sz w:val="22"/>
                <w:szCs w:val="22"/>
                <w:lang w:val="sk-SK"/>
              </w:rPr>
            </w:pPr>
          </w:p>
        </w:tc>
      </w:tr>
      <w:tr w14:paraId="32237BE2" w14:textId="77777777" w:rsidTr="001F79B0">
        <w:tblPrEx>
          <w:tblW w:w="9356" w:type="dxa"/>
          <w:tblInd w:w="-34" w:type="dxa"/>
          <w:tblLayout w:type="fixed"/>
          <w:tblLook w:val="0000"/>
        </w:tblPrEx>
        <w:trPr>
          <w:trHeight w:val="794"/>
        </w:trPr>
        <w:tc>
          <w:tcPr>
            <w:tcW w:w="4644" w:type="dxa"/>
            <w:gridSpan w:val="2"/>
          </w:tcPr>
          <w:p w:rsidR="00235869" w:rsidRPr="00BD646C" w:rsidP="001F79B0" w14:paraId="5A5D157F" w14:textId="77777777">
            <w:pPr>
              <w:rPr>
                <w:b/>
                <w:bCs/>
                <w:sz w:val="22"/>
                <w:szCs w:val="22"/>
                <w:lang w:val="el-GR"/>
              </w:rPr>
            </w:pPr>
            <w:r w:rsidRPr="00BD646C">
              <w:rPr>
                <w:b/>
                <w:bCs/>
                <w:sz w:val="22"/>
                <w:szCs w:val="22"/>
                <w:lang w:val="el-GR"/>
              </w:rPr>
              <w:t>Ελλάδα</w:t>
            </w:r>
          </w:p>
          <w:p w:rsidR="00235869" w:rsidRPr="00BD646C" w:rsidP="001F79B0" w14:paraId="400E9CE7" w14:textId="77777777">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rsidR="00235869" w:rsidRPr="00BD646C" w:rsidP="001F79B0" w14:paraId="0BA615C0" w14:textId="77777777">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rsidR="00235869" w:rsidRPr="00BD646C" w:rsidP="001F79B0" w14:paraId="7D9D1354" w14:textId="77777777">
            <w:pPr>
              <w:rPr>
                <w:b/>
                <w:bCs/>
                <w:sz w:val="22"/>
                <w:szCs w:val="22"/>
                <w:lang w:val="de-DE"/>
              </w:rPr>
            </w:pPr>
            <w:r w:rsidRPr="00BD646C">
              <w:rPr>
                <w:b/>
                <w:bCs/>
                <w:sz w:val="22"/>
                <w:szCs w:val="22"/>
                <w:lang w:val="de-DE"/>
              </w:rPr>
              <w:t>Österreich</w:t>
            </w:r>
          </w:p>
          <w:p w:rsidR="00235869" w:rsidRPr="00BD646C" w:rsidP="001F79B0" w14:paraId="0DFB80A5" w14:textId="77777777">
            <w:pPr>
              <w:rPr>
                <w:bCs/>
                <w:sz w:val="22"/>
                <w:szCs w:val="22"/>
                <w:lang w:val="de-DE"/>
              </w:rPr>
            </w:pPr>
            <w:r w:rsidRPr="00BD646C">
              <w:rPr>
                <w:bCs/>
                <w:sz w:val="22"/>
                <w:szCs w:val="22"/>
                <w:lang w:val="de-DE"/>
              </w:rPr>
              <w:t xml:space="preserve">AbbVie GmbH </w:t>
            </w:r>
          </w:p>
          <w:p w:rsidR="00235869" w:rsidRPr="00BD646C" w:rsidP="001F79B0" w14:paraId="0482E8A0" w14:textId="77777777">
            <w:pPr>
              <w:rPr>
                <w:bCs/>
                <w:sz w:val="22"/>
                <w:szCs w:val="22"/>
                <w:lang w:val="de-DE"/>
              </w:rPr>
            </w:pPr>
            <w:r w:rsidRPr="00BD646C">
              <w:rPr>
                <w:bCs/>
                <w:sz w:val="22"/>
                <w:szCs w:val="22"/>
                <w:lang w:val="de-DE"/>
              </w:rPr>
              <w:t>Tel: +43 1 20589-0</w:t>
            </w:r>
          </w:p>
          <w:p w:rsidR="00235869" w:rsidRPr="00BD646C" w:rsidP="001F79B0" w14:paraId="2D22FBD2" w14:textId="77777777">
            <w:pPr>
              <w:rPr>
                <w:bCs/>
                <w:sz w:val="22"/>
                <w:szCs w:val="22"/>
                <w:lang w:val="de-DE"/>
              </w:rPr>
            </w:pPr>
          </w:p>
        </w:tc>
      </w:tr>
      <w:tr w14:paraId="2564FC55"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165469B7" w14:textId="77777777">
            <w:pPr>
              <w:rPr>
                <w:b/>
                <w:bCs/>
                <w:sz w:val="22"/>
                <w:szCs w:val="22"/>
                <w:lang w:val="es-ES"/>
              </w:rPr>
            </w:pPr>
            <w:r w:rsidRPr="00BD646C">
              <w:rPr>
                <w:b/>
                <w:bCs/>
                <w:sz w:val="22"/>
                <w:szCs w:val="22"/>
                <w:lang w:val="es-ES"/>
              </w:rPr>
              <w:t>España</w:t>
            </w:r>
          </w:p>
          <w:p w:rsidR="00235869" w:rsidRPr="00BD646C" w:rsidP="001F79B0" w14:paraId="3F685870" w14:textId="77777777">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rsidR="00235869" w:rsidRPr="00BD646C" w:rsidP="001F79B0" w14:paraId="21159B0E" w14:textId="77777777">
            <w:pPr>
              <w:rPr>
                <w:bCs/>
                <w:sz w:val="22"/>
                <w:szCs w:val="22"/>
                <w:lang w:val="pl-PL"/>
              </w:rPr>
            </w:pPr>
            <w:r w:rsidRPr="00BD646C">
              <w:rPr>
                <w:bCs/>
                <w:sz w:val="22"/>
                <w:szCs w:val="22"/>
                <w:lang w:val="pt-PT"/>
              </w:rPr>
              <w:t>Tel: +34 91 384 09 10</w:t>
            </w:r>
          </w:p>
        </w:tc>
        <w:tc>
          <w:tcPr>
            <w:tcW w:w="4678" w:type="dxa"/>
          </w:tcPr>
          <w:p w:rsidR="00235869" w:rsidRPr="00BD646C" w:rsidP="001F79B0" w14:paraId="54EA1DCF" w14:textId="77777777">
            <w:pPr>
              <w:rPr>
                <w:b/>
                <w:bCs/>
                <w:iCs/>
                <w:sz w:val="22"/>
                <w:szCs w:val="22"/>
                <w:lang w:val="pl-PL"/>
              </w:rPr>
            </w:pPr>
            <w:r w:rsidRPr="00BD646C">
              <w:rPr>
                <w:b/>
                <w:bCs/>
                <w:iCs/>
                <w:sz w:val="22"/>
                <w:szCs w:val="22"/>
                <w:lang w:val="pl-PL"/>
              </w:rPr>
              <w:t>Polska</w:t>
            </w:r>
          </w:p>
          <w:p w:rsidR="00235869" w:rsidRPr="00BD646C" w:rsidP="001F79B0" w14:paraId="3486711B" w14:textId="77777777">
            <w:pPr>
              <w:rPr>
                <w:bCs/>
                <w:sz w:val="22"/>
                <w:szCs w:val="22"/>
                <w:lang w:val="pl-PL"/>
              </w:rPr>
            </w:pPr>
            <w:r w:rsidRPr="00BD646C">
              <w:rPr>
                <w:bCs/>
                <w:sz w:val="22"/>
                <w:szCs w:val="22"/>
                <w:lang w:val="pl-PL"/>
              </w:rPr>
              <w:t>AbbVie Sp. z o.o.</w:t>
            </w:r>
          </w:p>
          <w:p w:rsidR="00235869" w:rsidRPr="00BD646C" w:rsidP="001F79B0" w14:paraId="24ADE9A9" w14:textId="77777777">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rsidR="00235869" w:rsidRPr="00BD646C" w:rsidP="001F79B0" w14:paraId="3EE9AB7F" w14:textId="77777777">
            <w:pPr>
              <w:rPr>
                <w:bCs/>
                <w:sz w:val="22"/>
                <w:szCs w:val="22"/>
                <w:lang w:val="pl-PL"/>
              </w:rPr>
            </w:pPr>
          </w:p>
        </w:tc>
      </w:tr>
      <w:tr w14:paraId="61CDAA2F" w14:textId="77777777" w:rsidTr="001F79B0">
        <w:tblPrEx>
          <w:tblW w:w="9356" w:type="dxa"/>
          <w:tblInd w:w="-34" w:type="dxa"/>
          <w:tblLayout w:type="fixed"/>
          <w:tblLook w:val="0000"/>
        </w:tblPrEx>
        <w:trPr>
          <w:trHeight w:val="734"/>
        </w:trPr>
        <w:tc>
          <w:tcPr>
            <w:tcW w:w="4678" w:type="dxa"/>
            <w:gridSpan w:val="3"/>
          </w:tcPr>
          <w:p w:rsidR="00235869" w:rsidRPr="00BD646C" w:rsidP="001F79B0" w14:paraId="2E311083" w14:textId="77777777">
            <w:pPr>
              <w:rPr>
                <w:b/>
                <w:bCs/>
                <w:sz w:val="22"/>
                <w:szCs w:val="22"/>
                <w:lang w:val="fr-FR"/>
              </w:rPr>
            </w:pPr>
            <w:r w:rsidRPr="00BD646C">
              <w:rPr>
                <w:b/>
                <w:bCs/>
                <w:sz w:val="22"/>
                <w:szCs w:val="22"/>
                <w:lang w:val="fr-FR"/>
              </w:rPr>
              <w:t>France</w:t>
            </w:r>
          </w:p>
          <w:p w:rsidR="00235869" w:rsidRPr="00BD646C" w:rsidP="001F79B0" w14:paraId="2B533DF2" w14:textId="77777777">
            <w:pPr>
              <w:rPr>
                <w:bCs/>
                <w:sz w:val="22"/>
                <w:szCs w:val="22"/>
                <w:lang w:val="fr-FR"/>
              </w:rPr>
            </w:pPr>
            <w:r w:rsidRPr="00BD646C">
              <w:rPr>
                <w:bCs/>
                <w:sz w:val="22"/>
                <w:szCs w:val="22"/>
                <w:lang w:val="fr-FR"/>
              </w:rPr>
              <w:t>AbbVie</w:t>
            </w:r>
          </w:p>
          <w:p w:rsidR="00235869" w:rsidRPr="00BD646C" w:rsidP="001F79B0" w14:paraId="337C23EA" w14:textId="77777777">
            <w:pPr>
              <w:rPr>
                <w:bCs/>
                <w:sz w:val="22"/>
                <w:szCs w:val="22"/>
                <w:lang w:val="fr-FR"/>
              </w:rPr>
            </w:pPr>
            <w:r w:rsidRPr="00BD646C">
              <w:rPr>
                <w:bCs/>
                <w:sz w:val="22"/>
                <w:szCs w:val="22"/>
                <w:lang w:val="fr-FR"/>
              </w:rPr>
              <w:t>Tél:</w:t>
            </w:r>
            <w:r w:rsidRPr="00BD646C">
              <w:rPr>
                <w:bCs/>
                <w:sz w:val="22"/>
                <w:szCs w:val="22"/>
                <w:lang w:val="fr-FR"/>
              </w:rPr>
              <w:t xml:space="preserve"> +33 (0) 1 45 60 13 00</w:t>
            </w:r>
          </w:p>
        </w:tc>
        <w:tc>
          <w:tcPr>
            <w:tcW w:w="4678" w:type="dxa"/>
          </w:tcPr>
          <w:p w:rsidR="00235869" w:rsidRPr="00BD646C" w:rsidP="001F79B0" w14:paraId="3C7A87EC" w14:textId="77777777">
            <w:pPr>
              <w:rPr>
                <w:b/>
                <w:bCs/>
                <w:sz w:val="22"/>
                <w:szCs w:val="22"/>
                <w:lang w:val="pt-PT"/>
              </w:rPr>
            </w:pPr>
            <w:r w:rsidRPr="00BD646C">
              <w:rPr>
                <w:b/>
                <w:bCs/>
                <w:sz w:val="22"/>
                <w:szCs w:val="22"/>
                <w:lang w:val="pt-PT"/>
              </w:rPr>
              <w:t>Portugal</w:t>
            </w:r>
          </w:p>
          <w:p w:rsidR="00235869" w:rsidRPr="00BD646C" w:rsidP="001F79B0" w14:paraId="43BD4040" w14:textId="77777777">
            <w:pPr>
              <w:rPr>
                <w:bCs/>
                <w:sz w:val="22"/>
                <w:szCs w:val="22"/>
                <w:lang w:val="fr-FR"/>
              </w:rPr>
            </w:pPr>
            <w:r w:rsidRPr="00BD646C">
              <w:rPr>
                <w:bCs/>
                <w:sz w:val="22"/>
                <w:szCs w:val="22"/>
                <w:lang w:val="fr-FR"/>
              </w:rPr>
              <w:t xml:space="preserve">AbbVie, </w:t>
            </w:r>
            <w:r w:rsidRPr="00BD646C">
              <w:rPr>
                <w:bCs/>
                <w:sz w:val="22"/>
                <w:szCs w:val="22"/>
                <w:lang w:val="fr-FR"/>
              </w:rPr>
              <w:t>Lda</w:t>
            </w:r>
            <w:r w:rsidRPr="00BD646C">
              <w:rPr>
                <w:bCs/>
                <w:sz w:val="22"/>
                <w:szCs w:val="22"/>
                <w:lang w:val="fr-FR"/>
              </w:rPr>
              <w:t xml:space="preserve">. </w:t>
            </w:r>
          </w:p>
          <w:p w:rsidR="00235869" w:rsidRPr="00BD646C" w:rsidP="001F79B0" w14:paraId="4E56B715" w14:textId="77777777">
            <w:pPr>
              <w:rPr>
                <w:sz w:val="22"/>
                <w:szCs w:val="22"/>
                <w:lang w:val="fr-FR"/>
              </w:rPr>
            </w:pPr>
            <w:r w:rsidRPr="00BD646C">
              <w:rPr>
                <w:sz w:val="22"/>
                <w:szCs w:val="22"/>
                <w:lang w:val="fr-FR"/>
              </w:rPr>
              <w:t>Tel:</w:t>
            </w:r>
            <w:r w:rsidRPr="00BD646C">
              <w:rPr>
                <w:sz w:val="22"/>
                <w:szCs w:val="22"/>
                <w:lang w:val="fr-FR"/>
              </w:rPr>
              <w:t xml:space="preserve"> +351 (0)21 1908400</w:t>
            </w:r>
          </w:p>
          <w:p w:rsidR="00235869" w:rsidRPr="00BD646C" w:rsidP="001F79B0" w14:paraId="6FBA86AE" w14:textId="77777777">
            <w:pPr>
              <w:rPr>
                <w:sz w:val="22"/>
                <w:szCs w:val="22"/>
                <w:lang w:val="fr-FR"/>
              </w:rPr>
            </w:pPr>
          </w:p>
        </w:tc>
      </w:tr>
      <w:tr w14:paraId="6A0E3FAF" w14:textId="77777777" w:rsidTr="001F79B0">
        <w:tblPrEx>
          <w:tblW w:w="9356" w:type="dxa"/>
          <w:tblInd w:w="-34" w:type="dxa"/>
          <w:tblLayout w:type="fixed"/>
          <w:tblLook w:val="0000"/>
        </w:tblPrEx>
        <w:trPr>
          <w:gridBefore w:val="1"/>
          <w:wBefore w:w="34" w:type="dxa"/>
        </w:trPr>
        <w:tc>
          <w:tcPr>
            <w:tcW w:w="4644" w:type="dxa"/>
            <w:gridSpan w:val="2"/>
          </w:tcPr>
          <w:p w:rsidR="00235869" w:rsidRPr="00D16F00" w:rsidP="001F79B0" w14:paraId="2A06B959" w14:textId="77777777">
            <w:pPr>
              <w:rPr>
                <w:sz w:val="22"/>
                <w:szCs w:val="22"/>
              </w:rPr>
            </w:pPr>
            <w:r w:rsidRPr="00D16F00">
              <w:rPr>
                <w:b/>
                <w:bCs/>
                <w:sz w:val="22"/>
                <w:szCs w:val="22"/>
              </w:rPr>
              <w:t xml:space="preserve">Hrvatska </w:t>
            </w:r>
          </w:p>
          <w:p w:rsidR="00235869" w:rsidRPr="00BD646C" w:rsidP="001F79B0" w14:paraId="5F0150DD" w14:textId="77777777">
            <w:pPr>
              <w:rPr>
                <w:sz w:val="22"/>
                <w:szCs w:val="22"/>
                <w:lang w:val="hr-HR"/>
              </w:rPr>
            </w:pPr>
            <w:r w:rsidRPr="00BD646C">
              <w:rPr>
                <w:sz w:val="22"/>
                <w:szCs w:val="22"/>
                <w:lang w:val="hr-HR"/>
              </w:rPr>
              <w:t>AbbVie d.o.o.</w:t>
            </w:r>
          </w:p>
          <w:p w:rsidR="00235869" w:rsidRPr="00BD646C" w:rsidP="001F79B0" w14:paraId="50881DB4" w14:textId="77777777">
            <w:pPr>
              <w:rPr>
                <w:bCs/>
                <w:sz w:val="22"/>
                <w:szCs w:val="22"/>
              </w:rPr>
            </w:pPr>
            <w:r w:rsidRPr="00BD646C">
              <w:rPr>
                <w:sz w:val="22"/>
                <w:szCs w:val="22"/>
                <w:lang w:val="hr-HR"/>
              </w:rPr>
              <w:t xml:space="preserve">Tel + 385 (0)1 </w:t>
            </w:r>
            <w:r w:rsidRPr="00BD646C">
              <w:rPr>
                <w:sz w:val="22"/>
                <w:szCs w:val="22"/>
                <w:lang w:val="en-US"/>
              </w:rPr>
              <w:t>5625 501</w:t>
            </w:r>
          </w:p>
        </w:tc>
        <w:tc>
          <w:tcPr>
            <w:tcW w:w="4678" w:type="dxa"/>
          </w:tcPr>
          <w:p w:rsidR="00235869" w:rsidRPr="00BD646C" w:rsidP="001F79B0" w14:paraId="10E8600E" w14:textId="77777777">
            <w:pPr>
              <w:rPr>
                <w:b/>
                <w:bCs/>
                <w:sz w:val="22"/>
                <w:szCs w:val="22"/>
              </w:rPr>
            </w:pPr>
            <w:r w:rsidRPr="00BD646C">
              <w:rPr>
                <w:b/>
                <w:bCs/>
                <w:sz w:val="22"/>
                <w:szCs w:val="22"/>
              </w:rPr>
              <w:t>România</w:t>
            </w:r>
          </w:p>
          <w:p w:rsidR="00235869" w:rsidRPr="00BD646C" w:rsidP="001F79B0" w14:paraId="3DB9AE83" w14:textId="77777777">
            <w:pPr>
              <w:rPr>
                <w:sz w:val="22"/>
                <w:szCs w:val="22"/>
              </w:rPr>
            </w:pPr>
            <w:r w:rsidRPr="00BD646C">
              <w:rPr>
                <w:sz w:val="22"/>
                <w:szCs w:val="22"/>
              </w:rPr>
              <w:t>AbbVie S.R.L.</w:t>
            </w:r>
          </w:p>
          <w:p w:rsidR="00235869" w:rsidRPr="00BD646C" w:rsidP="001F79B0" w14:paraId="17689EA0" w14:textId="77777777">
            <w:pPr>
              <w:rPr>
                <w:sz w:val="22"/>
                <w:szCs w:val="22"/>
                <w:lang w:val="pl-PL"/>
              </w:rPr>
            </w:pPr>
            <w:r w:rsidRPr="00BD646C">
              <w:rPr>
                <w:sz w:val="22"/>
                <w:szCs w:val="22"/>
                <w:lang w:val="pl-PL"/>
              </w:rPr>
              <w:t>Tel: +40 21 529 30 35</w:t>
            </w:r>
          </w:p>
          <w:p w:rsidR="00235869" w:rsidRPr="00BD646C" w:rsidP="001F79B0" w14:paraId="239A1B18" w14:textId="77777777">
            <w:pPr>
              <w:rPr>
                <w:sz w:val="22"/>
                <w:szCs w:val="22"/>
                <w:lang w:val="pl-PL"/>
              </w:rPr>
            </w:pPr>
          </w:p>
        </w:tc>
      </w:tr>
      <w:tr w14:paraId="698FD6D1"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3FADFFDB" w14:textId="77777777">
            <w:pPr>
              <w:rPr>
                <w:b/>
                <w:bCs/>
                <w:sz w:val="22"/>
                <w:szCs w:val="22"/>
                <w:lang w:val="sk-SK"/>
              </w:rPr>
            </w:pPr>
            <w:r w:rsidRPr="00BD646C">
              <w:rPr>
                <w:b/>
                <w:bCs/>
                <w:sz w:val="22"/>
                <w:szCs w:val="22"/>
                <w:lang w:val="sk-SK"/>
              </w:rPr>
              <w:t>Ireland</w:t>
            </w:r>
          </w:p>
          <w:p w:rsidR="00235869" w:rsidRPr="00BD646C" w:rsidP="001F79B0" w14:paraId="113D41E3" w14:textId="77777777">
            <w:pPr>
              <w:rPr>
                <w:bCs/>
                <w:sz w:val="22"/>
                <w:szCs w:val="22"/>
                <w:lang w:val="sk-SK"/>
              </w:rPr>
            </w:pPr>
            <w:r w:rsidRPr="00BD646C">
              <w:rPr>
                <w:bCs/>
                <w:sz w:val="22"/>
                <w:szCs w:val="22"/>
                <w:lang w:val="sk-SK"/>
              </w:rPr>
              <w:t xml:space="preserve">AbbVie Limited </w:t>
            </w:r>
          </w:p>
          <w:p w:rsidR="00235869" w:rsidRPr="00BD646C" w:rsidP="001F79B0" w14:paraId="76156652" w14:textId="77777777">
            <w:pPr>
              <w:rPr>
                <w:bCs/>
                <w:sz w:val="22"/>
                <w:szCs w:val="22"/>
                <w:lang w:val="sk-SK"/>
              </w:rPr>
            </w:pPr>
            <w:r w:rsidRPr="00BD646C">
              <w:rPr>
                <w:bCs/>
                <w:sz w:val="22"/>
                <w:szCs w:val="22"/>
                <w:lang w:val="pt-PT"/>
              </w:rPr>
              <w:t>Tel: +353 (0)1 428790</w:t>
            </w:r>
            <w:r w:rsidR="00FB403F">
              <w:rPr>
                <w:bCs/>
                <w:sz w:val="22"/>
                <w:szCs w:val="22"/>
                <w:lang w:val="pt-PT"/>
              </w:rPr>
              <w:t>0</w:t>
            </w:r>
          </w:p>
        </w:tc>
        <w:tc>
          <w:tcPr>
            <w:tcW w:w="4678" w:type="dxa"/>
          </w:tcPr>
          <w:p w:rsidR="00235869" w:rsidRPr="00BD646C" w:rsidP="001F79B0" w14:paraId="2E035538" w14:textId="77777777">
            <w:pPr>
              <w:rPr>
                <w:b/>
                <w:bCs/>
                <w:sz w:val="22"/>
                <w:szCs w:val="22"/>
                <w:lang w:val="sl-SI"/>
              </w:rPr>
            </w:pPr>
            <w:r w:rsidRPr="00BD646C">
              <w:rPr>
                <w:b/>
                <w:bCs/>
                <w:sz w:val="22"/>
                <w:szCs w:val="22"/>
                <w:lang w:val="sl-SI"/>
              </w:rPr>
              <w:t>Slovenija</w:t>
            </w:r>
          </w:p>
          <w:p w:rsidR="00235869" w:rsidRPr="00BD646C" w:rsidP="001F79B0" w14:paraId="50E921E1" w14:textId="77777777">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rsidR="00235869" w:rsidRPr="00BD646C" w:rsidP="001F79B0" w14:paraId="1AC59B18" w14:textId="77777777">
            <w:pPr>
              <w:rPr>
                <w:bCs/>
                <w:sz w:val="22"/>
                <w:szCs w:val="22"/>
                <w:lang w:val="sl-SI"/>
              </w:rPr>
            </w:pPr>
            <w:r w:rsidRPr="00BD646C">
              <w:rPr>
                <w:bCs/>
                <w:sz w:val="22"/>
                <w:szCs w:val="22"/>
                <w:lang w:val="sl-SI"/>
              </w:rPr>
              <w:t>Tel: +386 (1)32 08 060</w:t>
            </w:r>
          </w:p>
          <w:p w:rsidR="00235869" w:rsidRPr="00BD646C" w:rsidP="001F79B0" w14:paraId="29DB9FD7" w14:textId="77777777">
            <w:pPr>
              <w:rPr>
                <w:bCs/>
                <w:sz w:val="22"/>
                <w:szCs w:val="22"/>
                <w:lang w:val="sl-SI"/>
              </w:rPr>
            </w:pPr>
          </w:p>
        </w:tc>
      </w:tr>
      <w:tr w14:paraId="6466114E"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4E30F65A" w14:textId="77777777">
            <w:pPr>
              <w:rPr>
                <w:b/>
                <w:bCs/>
                <w:sz w:val="22"/>
                <w:szCs w:val="22"/>
                <w:lang w:val="is-IS"/>
              </w:rPr>
            </w:pPr>
            <w:r w:rsidRPr="00BD646C">
              <w:rPr>
                <w:b/>
                <w:bCs/>
                <w:sz w:val="22"/>
                <w:szCs w:val="22"/>
                <w:lang w:val="is-IS"/>
              </w:rPr>
              <w:t>Ísland</w:t>
            </w:r>
          </w:p>
          <w:p w:rsidR="00235869" w:rsidRPr="00BD646C" w:rsidP="001F79B0" w14:paraId="4767C026" w14:textId="77777777">
            <w:pPr>
              <w:rPr>
                <w:bCs/>
                <w:sz w:val="22"/>
                <w:szCs w:val="22"/>
                <w:lang w:val="sk-SK"/>
              </w:rPr>
            </w:pPr>
            <w:r w:rsidRPr="00BD646C">
              <w:rPr>
                <w:bCs/>
                <w:sz w:val="22"/>
                <w:szCs w:val="22"/>
                <w:lang w:val="sk-SK"/>
              </w:rPr>
              <w:t xml:space="preserve">Vistor </w:t>
            </w:r>
            <w:del w:id="20030" w:author="AbbVie14" w:date="2025-05-09T11:22:00Z">
              <w:r w:rsidRPr="00BD646C">
                <w:rPr>
                  <w:bCs/>
                  <w:sz w:val="22"/>
                  <w:szCs w:val="22"/>
                  <w:lang w:val="sk-SK"/>
                </w:rPr>
                <w:delText>hf.</w:delText>
              </w:r>
            </w:del>
          </w:p>
          <w:p w:rsidR="00235869" w:rsidRPr="00BD646C" w:rsidP="001F79B0" w14:paraId="72434965" w14:textId="77777777">
            <w:pPr>
              <w:rPr>
                <w:bCs/>
                <w:sz w:val="22"/>
                <w:szCs w:val="22"/>
                <w:lang w:val="sk-SK"/>
              </w:rPr>
            </w:pPr>
            <w:r w:rsidRPr="00BD646C">
              <w:rPr>
                <w:bCs/>
                <w:sz w:val="22"/>
                <w:szCs w:val="22"/>
                <w:lang w:val="sk-SK"/>
              </w:rPr>
              <w:t>Tel: +354 535 7000</w:t>
            </w:r>
          </w:p>
        </w:tc>
        <w:tc>
          <w:tcPr>
            <w:tcW w:w="4678" w:type="dxa"/>
          </w:tcPr>
          <w:p w:rsidR="00235869" w:rsidRPr="00BD646C" w:rsidP="001F79B0" w14:paraId="1A638E7F" w14:textId="77777777">
            <w:pPr>
              <w:rPr>
                <w:b/>
                <w:bCs/>
                <w:sz w:val="22"/>
                <w:szCs w:val="22"/>
                <w:lang w:val="sk-SK"/>
              </w:rPr>
            </w:pPr>
            <w:r w:rsidRPr="00BD646C">
              <w:rPr>
                <w:b/>
                <w:bCs/>
                <w:sz w:val="22"/>
                <w:szCs w:val="22"/>
                <w:lang w:val="sk-SK"/>
              </w:rPr>
              <w:t>Slovenská republika</w:t>
            </w:r>
          </w:p>
          <w:p w:rsidR="00235869" w:rsidRPr="00BD646C" w:rsidP="001F79B0" w14:paraId="785E59B4" w14:textId="77777777">
            <w:pPr>
              <w:rPr>
                <w:bCs/>
                <w:sz w:val="22"/>
                <w:szCs w:val="22"/>
                <w:lang w:val="sk-SK"/>
              </w:rPr>
            </w:pPr>
            <w:r w:rsidRPr="00BD646C">
              <w:rPr>
                <w:bCs/>
                <w:sz w:val="22"/>
                <w:szCs w:val="22"/>
                <w:lang w:val="sk-SK"/>
              </w:rPr>
              <w:t>AbbVie s.r.o.</w:t>
            </w:r>
          </w:p>
          <w:p w:rsidR="00235869" w:rsidRPr="00BD646C" w:rsidP="001F79B0" w14:paraId="56A437BD" w14:textId="77777777">
            <w:pPr>
              <w:rPr>
                <w:bCs/>
                <w:sz w:val="22"/>
                <w:szCs w:val="22"/>
                <w:lang w:val="sk-SK"/>
              </w:rPr>
            </w:pPr>
            <w:r w:rsidRPr="00BD646C">
              <w:rPr>
                <w:bCs/>
                <w:sz w:val="22"/>
                <w:szCs w:val="22"/>
                <w:lang w:val="sk-SK"/>
              </w:rPr>
              <w:t>Tel: +421 2 5050 0777</w:t>
            </w:r>
          </w:p>
          <w:p w:rsidR="00235869" w:rsidRPr="00BD646C" w:rsidP="001F79B0" w14:paraId="74FB367B" w14:textId="77777777">
            <w:pPr>
              <w:rPr>
                <w:bCs/>
                <w:sz w:val="22"/>
                <w:szCs w:val="22"/>
                <w:lang w:val="sk-SK"/>
              </w:rPr>
            </w:pPr>
          </w:p>
        </w:tc>
      </w:tr>
      <w:tr w14:paraId="5F2C8E79"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3AB2CAA8" w14:textId="77777777">
            <w:pPr>
              <w:rPr>
                <w:b/>
                <w:bCs/>
                <w:sz w:val="22"/>
                <w:szCs w:val="22"/>
              </w:rPr>
            </w:pPr>
            <w:r w:rsidRPr="00BD646C">
              <w:rPr>
                <w:b/>
                <w:bCs/>
                <w:sz w:val="22"/>
                <w:szCs w:val="22"/>
              </w:rPr>
              <w:t>Italia</w:t>
            </w:r>
          </w:p>
          <w:p w:rsidR="00235869" w:rsidRPr="00BD646C" w:rsidP="001F79B0" w14:paraId="78156964" w14:textId="77777777">
            <w:pPr>
              <w:rPr>
                <w:bCs/>
                <w:sz w:val="22"/>
                <w:szCs w:val="22"/>
                <w:lang w:val="pt-PT"/>
              </w:rPr>
            </w:pPr>
            <w:r w:rsidRPr="00BD646C">
              <w:rPr>
                <w:bCs/>
                <w:sz w:val="22"/>
                <w:szCs w:val="22"/>
                <w:lang w:val="pt-PT"/>
              </w:rPr>
              <w:t xml:space="preserve">AbbVie S.r.l. </w:t>
            </w:r>
          </w:p>
          <w:p w:rsidR="00235869" w:rsidRPr="00BD646C" w:rsidP="001F79B0" w14:paraId="687923C7" w14:textId="77777777">
            <w:pPr>
              <w:rPr>
                <w:bCs/>
                <w:sz w:val="22"/>
                <w:szCs w:val="22"/>
                <w:lang w:val="fi-FI"/>
              </w:rPr>
            </w:pPr>
            <w:r w:rsidRPr="00BD646C">
              <w:rPr>
                <w:bCs/>
                <w:sz w:val="22"/>
                <w:szCs w:val="22"/>
                <w:lang w:val="fr-FR"/>
              </w:rPr>
              <w:t>Tel:</w:t>
            </w:r>
            <w:r w:rsidRPr="00BD646C">
              <w:rPr>
                <w:bCs/>
                <w:sz w:val="22"/>
                <w:szCs w:val="22"/>
                <w:lang w:val="fr-FR"/>
              </w:rPr>
              <w:t xml:space="preserve"> +39 06 928921</w:t>
            </w:r>
          </w:p>
        </w:tc>
        <w:tc>
          <w:tcPr>
            <w:tcW w:w="4678" w:type="dxa"/>
          </w:tcPr>
          <w:p w:rsidR="00235869" w:rsidRPr="00BD646C" w:rsidP="001F79B0" w14:paraId="0A5E6C47" w14:textId="77777777">
            <w:pPr>
              <w:rPr>
                <w:b/>
                <w:bCs/>
                <w:sz w:val="22"/>
                <w:szCs w:val="22"/>
                <w:lang w:val="fi-FI"/>
              </w:rPr>
            </w:pPr>
            <w:r w:rsidRPr="00BD646C">
              <w:rPr>
                <w:b/>
                <w:bCs/>
                <w:sz w:val="22"/>
                <w:szCs w:val="22"/>
                <w:lang w:val="fi-FI"/>
              </w:rPr>
              <w:t>Suomi/Finland</w:t>
            </w:r>
          </w:p>
          <w:p w:rsidR="00235869" w:rsidRPr="00BD646C" w:rsidP="001F79B0" w14:paraId="636C913E" w14:textId="77777777">
            <w:pPr>
              <w:rPr>
                <w:bCs/>
                <w:sz w:val="22"/>
                <w:szCs w:val="22"/>
                <w:lang w:val="de-CH"/>
              </w:rPr>
            </w:pPr>
            <w:r w:rsidRPr="00BD646C">
              <w:rPr>
                <w:bCs/>
                <w:sz w:val="22"/>
                <w:szCs w:val="22"/>
                <w:lang w:val="sk-SK"/>
              </w:rPr>
              <w:t>AbbVie Oy</w:t>
            </w:r>
          </w:p>
          <w:p w:rsidR="00235869" w:rsidRPr="00BD646C" w:rsidP="001F79B0" w14:paraId="570CF33B" w14:textId="77777777">
            <w:pPr>
              <w:rPr>
                <w:bCs/>
                <w:sz w:val="22"/>
                <w:szCs w:val="22"/>
                <w:lang w:val="sk-SK"/>
              </w:rPr>
            </w:pPr>
            <w:r w:rsidRPr="00BD646C">
              <w:rPr>
                <w:bCs/>
                <w:sz w:val="22"/>
                <w:szCs w:val="22"/>
                <w:lang w:val="sk-SK"/>
              </w:rPr>
              <w:t>Puh/Tel: +358 (0)10 2411 200</w:t>
            </w:r>
          </w:p>
          <w:p w:rsidR="00235869" w:rsidRPr="00BD646C" w:rsidP="001F79B0" w14:paraId="26DBF401" w14:textId="77777777">
            <w:pPr>
              <w:rPr>
                <w:sz w:val="22"/>
                <w:szCs w:val="22"/>
                <w:lang w:val="sk-SK"/>
              </w:rPr>
            </w:pPr>
          </w:p>
        </w:tc>
      </w:tr>
      <w:tr w14:paraId="5583CDF8"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235869" w:rsidRPr="00BD646C" w:rsidP="001F79B0" w14:paraId="4B629611" w14:textId="77777777">
            <w:pPr>
              <w:rPr>
                <w:b/>
                <w:bCs/>
                <w:sz w:val="22"/>
                <w:szCs w:val="22"/>
                <w:lang w:val="el-GR"/>
              </w:rPr>
            </w:pPr>
            <w:r w:rsidRPr="00BD646C">
              <w:rPr>
                <w:b/>
                <w:bCs/>
                <w:sz w:val="22"/>
                <w:szCs w:val="22"/>
                <w:lang w:val="el-GR"/>
              </w:rPr>
              <w:t>Κύπρος</w:t>
            </w:r>
          </w:p>
          <w:p w:rsidR="00235869" w:rsidRPr="00BD646C" w:rsidP="001F79B0" w14:paraId="2023E969" w14:textId="77777777">
            <w:pPr>
              <w:rPr>
                <w:bCs/>
                <w:sz w:val="22"/>
                <w:szCs w:val="22"/>
                <w:lang w:val="el-GR"/>
              </w:rPr>
            </w:pPr>
            <w:r w:rsidRPr="00BD646C">
              <w:rPr>
                <w:bCs/>
                <w:sz w:val="22"/>
                <w:szCs w:val="22"/>
                <w:lang w:val="sk-SK"/>
              </w:rPr>
              <w:t xml:space="preserve">Lifepharma (Z.A.M.) </w:t>
            </w:r>
            <w:r w:rsidRPr="00BD646C">
              <w:rPr>
                <w:bCs/>
                <w:sz w:val="22"/>
                <w:szCs w:val="22"/>
              </w:rPr>
              <w:t>Ltd</w:t>
            </w:r>
          </w:p>
          <w:p w:rsidR="00235869" w:rsidRPr="00BD646C" w:rsidP="001F79B0" w14:paraId="1CBE35D1" w14:textId="77777777">
            <w:pPr>
              <w:rPr>
                <w:bCs/>
                <w:sz w:val="22"/>
                <w:szCs w:val="22"/>
                <w:lang w:val="lv-LV"/>
              </w:rPr>
            </w:pPr>
            <w:r w:rsidRPr="00BD646C">
              <w:rPr>
                <w:bCs/>
                <w:sz w:val="22"/>
                <w:szCs w:val="22"/>
                <w:lang w:val="el-GR"/>
              </w:rPr>
              <w:t>Τηλ.: +357 22 34 74 40</w:t>
            </w:r>
          </w:p>
        </w:tc>
        <w:tc>
          <w:tcPr>
            <w:tcW w:w="4678" w:type="dxa"/>
          </w:tcPr>
          <w:p w:rsidR="00235869" w:rsidRPr="00BD646C" w:rsidP="001F79B0" w14:paraId="48235024" w14:textId="77777777">
            <w:pPr>
              <w:rPr>
                <w:b/>
                <w:bCs/>
                <w:sz w:val="22"/>
                <w:szCs w:val="22"/>
                <w:lang w:val="sk-SK"/>
              </w:rPr>
            </w:pPr>
            <w:r w:rsidRPr="00BD646C">
              <w:rPr>
                <w:b/>
                <w:bCs/>
                <w:sz w:val="22"/>
                <w:szCs w:val="22"/>
                <w:lang w:val="sk-SK"/>
              </w:rPr>
              <w:t>Sverige</w:t>
            </w:r>
          </w:p>
          <w:p w:rsidR="00235869" w:rsidRPr="00BD646C" w:rsidP="001F79B0" w14:paraId="0DC65E48" w14:textId="77777777">
            <w:pPr>
              <w:rPr>
                <w:bCs/>
                <w:sz w:val="22"/>
                <w:szCs w:val="22"/>
                <w:lang w:val="pt-PT"/>
              </w:rPr>
            </w:pPr>
            <w:r w:rsidRPr="00BD646C">
              <w:rPr>
                <w:bCs/>
                <w:sz w:val="22"/>
                <w:szCs w:val="22"/>
                <w:lang w:val="pt-PT"/>
              </w:rPr>
              <w:t>AbbVie AB</w:t>
            </w:r>
          </w:p>
          <w:p w:rsidR="00235869" w:rsidRPr="00BD646C" w:rsidP="001F79B0" w14:paraId="0E1BA489" w14:textId="77777777">
            <w:pPr>
              <w:rPr>
                <w:bCs/>
                <w:sz w:val="22"/>
                <w:szCs w:val="22"/>
                <w:lang w:val="sk-SK"/>
              </w:rPr>
            </w:pPr>
            <w:r w:rsidRPr="00BD646C">
              <w:rPr>
                <w:bCs/>
                <w:sz w:val="22"/>
                <w:szCs w:val="22"/>
                <w:lang w:val="da-DK"/>
              </w:rPr>
              <w:t>Tel: +46 (0)8 684 44 600</w:t>
            </w:r>
          </w:p>
        </w:tc>
      </w:tr>
      <w:tr w14:paraId="619CA4EB"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235869" w:rsidRPr="00BD646C" w:rsidP="001F79B0" w14:paraId="3C8197C2" w14:textId="77777777">
            <w:pPr>
              <w:rPr>
                <w:b/>
                <w:bCs/>
                <w:sz w:val="22"/>
                <w:szCs w:val="22"/>
                <w:lang w:val="lv-LV"/>
              </w:rPr>
            </w:pPr>
            <w:r w:rsidRPr="00BD646C">
              <w:rPr>
                <w:b/>
                <w:bCs/>
                <w:sz w:val="22"/>
                <w:szCs w:val="22"/>
                <w:lang w:val="lv-LV"/>
              </w:rPr>
              <w:t>Latvija</w:t>
            </w:r>
          </w:p>
          <w:p w:rsidR="00235869" w:rsidRPr="00BD646C" w:rsidP="001F79B0" w14:paraId="52A7C032" w14:textId="77777777">
            <w:pPr>
              <w:rPr>
                <w:bCs/>
                <w:sz w:val="22"/>
                <w:szCs w:val="22"/>
                <w:lang w:val="lv-LV"/>
              </w:rPr>
            </w:pPr>
            <w:r w:rsidRPr="00BD646C">
              <w:rPr>
                <w:bCs/>
                <w:sz w:val="22"/>
                <w:szCs w:val="22"/>
                <w:lang w:val="lv-LV"/>
              </w:rPr>
              <w:t xml:space="preserve">AbbVie SIA </w:t>
            </w:r>
          </w:p>
          <w:p w:rsidR="00235869" w:rsidRPr="00BD646C" w:rsidP="001F79B0" w14:paraId="08852C63" w14:textId="77777777">
            <w:pPr>
              <w:rPr>
                <w:bCs/>
                <w:sz w:val="22"/>
                <w:szCs w:val="22"/>
                <w:lang w:val="lv-LV"/>
              </w:rPr>
            </w:pPr>
            <w:r w:rsidRPr="00BD646C">
              <w:rPr>
                <w:bCs/>
                <w:sz w:val="22"/>
                <w:szCs w:val="22"/>
                <w:lang w:val="lv-LV"/>
              </w:rPr>
              <w:t>Tel: +371 67605000</w:t>
            </w:r>
          </w:p>
        </w:tc>
        <w:tc>
          <w:tcPr>
            <w:tcW w:w="4678" w:type="dxa"/>
          </w:tcPr>
          <w:p w:rsidR="00235869" w:rsidRPr="00BD646C" w:rsidP="001F79B0" w14:paraId="78048CDB" w14:textId="77777777">
            <w:pPr>
              <w:rPr>
                <w:b/>
                <w:bCs/>
                <w:sz w:val="22"/>
                <w:szCs w:val="22"/>
                <w:lang w:val="sk-SK"/>
              </w:rPr>
            </w:pPr>
          </w:p>
        </w:tc>
      </w:tr>
    </w:tbl>
    <w:p w:rsidR="006224C2" w:rsidRPr="00357925" w14:paraId="516FB2D9" w14:textId="77777777">
      <w:pPr>
        <w:rPr>
          <w:sz w:val="22"/>
          <w:szCs w:val="22"/>
          <w:lang w:val="en-US"/>
        </w:rPr>
      </w:pPr>
    </w:p>
    <w:p w:rsidR="006224C2" w:rsidRPr="00295E71" w14:paraId="452D02C0" w14:textId="77777777">
      <w:pPr>
        <w:pStyle w:val="Title"/>
        <w:keepNext/>
        <w:tabs>
          <w:tab w:val="left" w:pos="567"/>
        </w:tabs>
        <w:jc w:val="both"/>
        <w:rPr>
          <w:b w:val="0"/>
          <w:sz w:val="22"/>
          <w:szCs w:val="22"/>
        </w:rPr>
      </w:pPr>
      <w:r w:rsidRPr="00295E71">
        <w:rPr>
          <w:sz w:val="22"/>
          <w:szCs w:val="22"/>
        </w:rPr>
        <w:t>Questo foglio illustrativo è stato aggiornato il</w:t>
      </w:r>
    </w:p>
    <w:p w:rsidR="006224C2" w:rsidRPr="00295E71" w14:paraId="6ACF6A5F" w14:textId="77777777">
      <w:pPr>
        <w:pStyle w:val="Title"/>
        <w:keepNext/>
        <w:tabs>
          <w:tab w:val="left" w:pos="567"/>
        </w:tabs>
        <w:jc w:val="both"/>
        <w:rPr>
          <w:b w:val="0"/>
          <w:sz w:val="22"/>
          <w:szCs w:val="22"/>
        </w:rPr>
      </w:pPr>
    </w:p>
    <w:p w:rsidR="006224C2" w:rsidRPr="00295E71" w14:paraId="3230AA8F" w14:textId="77777777">
      <w:pPr>
        <w:keepNext/>
        <w:rPr>
          <w:sz w:val="22"/>
          <w:szCs w:val="22"/>
        </w:rPr>
      </w:pPr>
      <w:r w:rsidRPr="00295E71">
        <w:rPr>
          <w:sz w:val="22"/>
          <w:szCs w:val="22"/>
        </w:rPr>
        <w:t xml:space="preserve">Informazioni più dettagliate su questo medicinale sono disponibili sul sito web dell’Agenzia europea dei medicinali: </w:t>
      </w:r>
      <w:ins w:id="20031" w:author="AbbVie14" w:date="2025-05-09T11:22:00Z">
        <w:r w:rsidR="002C1DC5">
          <w:rPr>
            <w:sz w:val="22"/>
            <w:szCs w:val="22"/>
          </w:rPr>
          <w:fldChar w:fldCharType="begin"/>
        </w:r>
      </w:ins>
      <w:ins w:id="20032" w:author="AbbVie14" w:date="2025-05-09T11:22:00Z">
        <w:r w:rsidR="002C1DC5">
          <w:rPr>
            <w:sz w:val="22"/>
            <w:szCs w:val="22"/>
          </w:rPr>
          <w:instrText>HYPERLINK "</w:instrText>
        </w:r>
      </w:ins>
      <w:r w:rsidRPr="002C1DC5" w:rsidR="002C1DC5">
        <w:rPr>
          <w:rStyle w:val="Hyperlink"/>
          <w:sz w:val="22"/>
          <w:szCs w:val="22"/>
        </w:rPr>
        <w:instrText>http</w:instrText>
      </w:r>
      <w:ins w:id="20033" w:author="AbbVie14" w:date="2025-05-09T11:22:00Z">
        <w:r w:rsidRPr="002C1DC5" w:rsidR="002C1DC5">
          <w:rPr>
            <w:rStyle w:val="Hyperlink"/>
            <w:sz w:val="22"/>
            <w:szCs w:val="22"/>
          </w:rPr>
          <w:instrText>s</w:instrText>
        </w:r>
      </w:ins>
      <w:r w:rsidRPr="002C1DC5" w:rsidR="002C1DC5">
        <w:rPr>
          <w:rStyle w:val="Hyperlink"/>
          <w:sz w:val="22"/>
          <w:szCs w:val="22"/>
        </w:rPr>
        <w:instrText>://www.ema.europa.eu</w:instrText>
      </w:r>
      <w:ins w:id="20034" w:author="AbbVie14" w:date="2025-05-09T11:22:00Z">
        <w:r w:rsidR="002C1DC5">
          <w:rPr>
            <w:sz w:val="22"/>
            <w:szCs w:val="22"/>
          </w:rPr>
          <w:instrText>"</w:instrText>
        </w:r>
      </w:ins>
      <w:ins w:id="20035" w:author="AbbVie14" w:date="2025-05-09T11:22:00Z">
        <w:r w:rsidR="002C1DC5">
          <w:rPr>
            <w:sz w:val="22"/>
            <w:szCs w:val="22"/>
          </w:rPr>
          <w:fldChar w:fldCharType="separate"/>
        </w:r>
      </w:ins>
      <w:r w:rsidRPr="002C1DC5" w:rsidR="002C1DC5">
        <w:rPr>
          <w:rStyle w:val="Hyperlink"/>
          <w:sz w:val="22"/>
          <w:szCs w:val="22"/>
        </w:rPr>
        <w:t>http</w:t>
      </w:r>
      <w:ins w:id="20036" w:author="AbbVie14" w:date="2025-05-09T11:22:00Z">
        <w:r w:rsidRPr="002C1DC5" w:rsidR="002C1DC5">
          <w:rPr>
            <w:rStyle w:val="Hyperlink"/>
            <w:sz w:val="22"/>
            <w:szCs w:val="22"/>
          </w:rPr>
          <w:t>s</w:t>
        </w:r>
      </w:ins>
      <w:r w:rsidRPr="002C1DC5" w:rsidR="002C1DC5">
        <w:rPr>
          <w:rStyle w:val="Hyperlink"/>
          <w:sz w:val="22"/>
          <w:szCs w:val="22"/>
        </w:rPr>
        <w:t>://www.ema.europa.eu</w:t>
      </w:r>
      <w:ins w:id="20037" w:author="AbbVie14" w:date="2025-05-09T11:22:00Z">
        <w:r w:rsidR="002C1DC5">
          <w:rPr>
            <w:sz w:val="22"/>
            <w:szCs w:val="22"/>
          </w:rPr>
          <w:fldChar w:fldCharType="end"/>
        </w:r>
      </w:ins>
      <w:r w:rsidRPr="00295E71">
        <w:rPr>
          <w:rStyle w:val="Hyperlink"/>
          <w:sz w:val="22"/>
          <w:szCs w:val="22"/>
        </w:rPr>
        <w:t>/</w:t>
      </w:r>
      <w:r w:rsidRPr="00295E71">
        <w:rPr>
          <w:sz w:val="22"/>
          <w:szCs w:val="22"/>
        </w:rPr>
        <w:t>.</w:t>
      </w:r>
    </w:p>
    <w:p w:rsidR="006224C2" w:rsidRPr="00295E71" w14:paraId="100C0718" w14:textId="77777777">
      <w:pPr>
        <w:rPr>
          <w:b/>
          <w:snapToGrid w:val="0"/>
          <w:kern w:val="32"/>
          <w:sz w:val="22"/>
          <w:szCs w:val="22"/>
          <w:lang w:eastAsia="fr-LU"/>
        </w:rPr>
      </w:pPr>
    </w:p>
    <w:p w:rsidR="006224C2" w:rsidRPr="009E4F57" w14:paraId="3878E0B6" w14:textId="77777777">
      <w:pPr>
        <w:rPr>
          <w:b/>
          <w:snapToGrid w:val="0"/>
          <w:kern w:val="32"/>
          <w:sz w:val="22"/>
          <w:szCs w:val="22"/>
          <w:lang w:eastAsia="fr-LU"/>
        </w:rPr>
      </w:pPr>
      <w:r w:rsidRPr="0020624D">
        <w:rPr>
          <w:b/>
          <w:color w:val="000000"/>
          <w:sz w:val="22"/>
          <w:szCs w:val="22"/>
        </w:rPr>
        <w:t xml:space="preserve">Per ascoltare o richiedere una copia di questo foglio illustrativo in </w:t>
      </w:r>
      <w:r w:rsidRPr="0020624D">
        <w:rPr>
          <w:b/>
          <w:color w:val="000000"/>
          <w:sz w:val="22"/>
          <w:szCs w:val="22"/>
          <w:shd w:val="clear" w:color="auto" w:fill="A6A6A6"/>
        </w:rPr>
        <w:t>&lt;Braille&gt;, &lt; stampa a caratteri grandi&gt; o &lt;audio</w:t>
      </w:r>
      <w:r w:rsidRPr="0020624D">
        <w:rPr>
          <w:b/>
          <w:color w:val="000000"/>
          <w:sz w:val="22"/>
          <w:szCs w:val="22"/>
          <w:highlight w:val="darkGray"/>
        </w:rPr>
        <w:t>&gt;</w:t>
      </w:r>
      <w:r w:rsidRPr="0020624D">
        <w:rPr>
          <w:b/>
          <w:color w:val="000000"/>
          <w:sz w:val="22"/>
          <w:szCs w:val="22"/>
        </w:rPr>
        <w:t xml:space="preserve">, contattare il rappresentante locale del </w:t>
      </w:r>
      <w:r w:rsidRPr="0020624D">
        <w:rPr>
          <w:b/>
          <w:sz w:val="22"/>
          <w:szCs w:val="22"/>
        </w:rPr>
        <w:t>titolare dell’autorizzazione all’immissione in commercio</w:t>
      </w:r>
      <w:r w:rsidRPr="0020624D">
        <w:rPr>
          <w:b/>
          <w:color w:val="000000"/>
          <w:sz w:val="22"/>
          <w:szCs w:val="22"/>
        </w:rPr>
        <w:t>.</w:t>
      </w:r>
    </w:p>
    <w:p w:rsidR="006224C2" w:rsidRPr="00295E71" w14:paraId="10517A6A" w14:textId="77777777">
      <w:pPr>
        <w:pStyle w:val="Title"/>
        <w:tabs>
          <w:tab w:val="left" w:pos="567"/>
        </w:tabs>
        <w:jc w:val="left"/>
        <w:rPr>
          <w:b w:val="0"/>
          <w:snapToGrid w:val="0"/>
          <w:kern w:val="32"/>
          <w:sz w:val="22"/>
          <w:szCs w:val="22"/>
          <w:lang w:eastAsia="fr-LU"/>
        </w:rPr>
      </w:pPr>
    </w:p>
    <w:p w:rsidR="006224C2" w:rsidRPr="00295E71" w14:paraId="20D1F540" w14:textId="77777777">
      <w:pPr>
        <w:numPr>
          <w:ilvl w:val="12"/>
          <w:numId w:val="0"/>
        </w:numPr>
        <w:ind w:right="-2"/>
        <w:rPr>
          <w:color w:val="000000"/>
          <w:sz w:val="22"/>
          <w:szCs w:val="22"/>
        </w:rPr>
      </w:pPr>
    </w:p>
    <w:p w:rsidR="006224C2" w:rsidRPr="00295E71" w14:paraId="31BA4954" w14:textId="77777777">
      <w:pPr>
        <w:keepNext/>
        <w:rPr>
          <w:bCs/>
          <w:sz w:val="22"/>
          <w:szCs w:val="22"/>
        </w:rPr>
      </w:pPr>
      <w:r w:rsidRPr="00295E71">
        <w:rPr>
          <w:b/>
          <w:bCs/>
          <w:sz w:val="22"/>
          <w:szCs w:val="22"/>
        </w:rPr>
        <w:t>7.</w:t>
      </w:r>
      <w:r w:rsidRPr="00295E71">
        <w:rPr>
          <w:b/>
          <w:bCs/>
          <w:sz w:val="22"/>
          <w:szCs w:val="22"/>
        </w:rPr>
        <w:tab/>
      </w:r>
      <w:r w:rsidR="007E064F">
        <w:rPr>
          <w:b/>
          <w:bCs/>
          <w:sz w:val="22"/>
          <w:szCs w:val="22"/>
        </w:rPr>
        <w:t>Iniezione di Humira</w:t>
      </w:r>
    </w:p>
    <w:p w:rsidR="006224C2" w:rsidRPr="00295E71" w14:paraId="529BF461" w14:textId="77777777">
      <w:pPr>
        <w:keepNext/>
        <w:rPr>
          <w:bCs/>
          <w:sz w:val="22"/>
          <w:szCs w:val="22"/>
        </w:rPr>
      </w:pPr>
    </w:p>
    <w:p w:rsidR="006224C2" w:rsidRPr="00295E71" w14:paraId="43FB1769" w14:textId="77777777">
      <w:pPr>
        <w:pStyle w:val="ListParagraph"/>
        <w:keepNext/>
        <w:numPr>
          <w:ilvl w:val="0"/>
          <w:numId w:val="123"/>
        </w:numPr>
        <w:jc w:val="both"/>
        <w:rPr>
          <w:sz w:val="22"/>
          <w:szCs w:val="22"/>
        </w:rPr>
      </w:pPr>
      <w:r w:rsidRPr="00295E71">
        <w:rPr>
          <w:sz w:val="22"/>
          <w:szCs w:val="22"/>
        </w:rPr>
        <w:t>Le seguenti istruzioni spiegano come effettuare l’auto-iniezione sottocutanea</w:t>
      </w:r>
      <w:r w:rsidRPr="00295E71" w:rsidR="00FD6D1C">
        <w:rPr>
          <w:sz w:val="22"/>
          <w:szCs w:val="22"/>
        </w:rPr>
        <w:t xml:space="preserve"> </w:t>
      </w:r>
      <w:r w:rsidRPr="00295E71">
        <w:rPr>
          <w:sz w:val="22"/>
          <w:szCs w:val="22"/>
        </w:rPr>
        <w:t xml:space="preserve">di Humira utilizzando la siringa pre-riempita. Prima di tutto legga attentamente le istruzioni e le segua passo dopo passo. </w:t>
      </w:r>
    </w:p>
    <w:p w:rsidR="006224C2" w:rsidRPr="00295E71" w14:paraId="12BDFFBF" w14:textId="77777777">
      <w:pPr>
        <w:pStyle w:val="ListParagraph"/>
        <w:keepNext/>
        <w:tabs>
          <w:tab w:val="left" w:pos="567"/>
        </w:tabs>
        <w:jc w:val="both"/>
        <w:rPr>
          <w:sz w:val="22"/>
          <w:szCs w:val="22"/>
        </w:rPr>
      </w:pPr>
    </w:p>
    <w:p w:rsidR="006224C2" w:rsidRPr="00295E71" w14:paraId="1E090BBE" w14:textId="77777777">
      <w:pPr>
        <w:pStyle w:val="ListParagraph"/>
        <w:keepNext/>
        <w:numPr>
          <w:ilvl w:val="0"/>
          <w:numId w:val="123"/>
        </w:numPr>
        <w:jc w:val="both"/>
        <w:rPr>
          <w:sz w:val="22"/>
          <w:szCs w:val="22"/>
        </w:rPr>
      </w:pPr>
      <w:r w:rsidRPr="00295E71">
        <w:rPr>
          <w:sz w:val="22"/>
          <w:szCs w:val="22"/>
        </w:rPr>
        <w:t>Riceverà istruzioni</w:t>
      </w:r>
      <w:r w:rsidRPr="00295E71" w:rsidR="005B0F02">
        <w:rPr>
          <w:sz w:val="22"/>
          <w:szCs w:val="22"/>
        </w:rPr>
        <w:t xml:space="preserve"> </w:t>
      </w:r>
      <w:r w:rsidRPr="00295E71">
        <w:rPr>
          <w:sz w:val="22"/>
          <w:szCs w:val="22"/>
        </w:rPr>
        <w:t xml:space="preserve">dal medico, dall’infermiere o dal farmacista sulla tecnica dell’auto-somministrazione. </w:t>
      </w:r>
    </w:p>
    <w:p w:rsidR="006224C2" w:rsidRPr="00295E71" w14:paraId="5C144B31" w14:textId="77777777">
      <w:pPr>
        <w:pStyle w:val="ListParagraph"/>
        <w:keepNext/>
        <w:rPr>
          <w:sz w:val="22"/>
          <w:szCs w:val="22"/>
        </w:rPr>
      </w:pPr>
    </w:p>
    <w:p w:rsidR="006224C2" w:rsidRPr="00295E71" w14:paraId="11958878" w14:textId="77777777">
      <w:pPr>
        <w:pStyle w:val="ListParagraph"/>
        <w:keepNext/>
        <w:numPr>
          <w:ilvl w:val="0"/>
          <w:numId w:val="123"/>
        </w:numPr>
        <w:jc w:val="both"/>
        <w:rPr>
          <w:sz w:val="22"/>
          <w:szCs w:val="22"/>
        </w:rPr>
      </w:pPr>
      <w:r w:rsidRPr="00295E71">
        <w:rPr>
          <w:sz w:val="22"/>
          <w:szCs w:val="22"/>
        </w:rPr>
        <w:t>Non proceda all’iniezione da solo finché non è sicuro di aver capito come preparare ed eseguire l’iniezione.</w:t>
      </w:r>
    </w:p>
    <w:p w:rsidR="006224C2" w:rsidRPr="00295E71" w14:paraId="30A12C20" w14:textId="77777777">
      <w:pPr>
        <w:pStyle w:val="ListParagraph"/>
        <w:keepNext/>
        <w:rPr>
          <w:sz w:val="22"/>
          <w:szCs w:val="22"/>
        </w:rPr>
      </w:pPr>
    </w:p>
    <w:p w:rsidR="006224C2" w:rsidRPr="00295E71" w14:paraId="32269ADF" w14:textId="77777777">
      <w:pPr>
        <w:pStyle w:val="ListParagraph"/>
        <w:keepNext/>
        <w:numPr>
          <w:ilvl w:val="0"/>
          <w:numId w:val="123"/>
        </w:numPr>
        <w:jc w:val="both"/>
        <w:rPr>
          <w:sz w:val="22"/>
          <w:szCs w:val="22"/>
        </w:rPr>
      </w:pPr>
      <w:r w:rsidRPr="00295E71">
        <w:rPr>
          <w:sz w:val="22"/>
          <w:szCs w:val="22"/>
        </w:rPr>
        <w:t>Dopo adeguate istruzioni</w:t>
      </w:r>
      <w:r w:rsidRPr="00295E71" w:rsidR="005B0F02">
        <w:rPr>
          <w:sz w:val="22"/>
          <w:szCs w:val="22"/>
        </w:rPr>
        <w:t xml:space="preserve"> </w:t>
      </w:r>
      <w:r w:rsidRPr="00295E71">
        <w:rPr>
          <w:sz w:val="22"/>
          <w:szCs w:val="22"/>
        </w:rPr>
        <w:t>l’iniezione può essere eseguita da lei o da altre persone quali, ad esempio, un familiare o un amico.</w:t>
      </w:r>
    </w:p>
    <w:p w:rsidR="006224C2" w:rsidRPr="00295E71" w14:paraId="0E102F49" w14:textId="77777777">
      <w:pPr>
        <w:pStyle w:val="ListParagraph"/>
        <w:keepNext/>
        <w:rPr>
          <w:sz w:val="22"/>
          <w:szCs w:val="22"/>
        </w:rPr>
      </w:pPr>
    </w:p>
    <w:p w:rsidR="006224C2" w:rsidRPr="00295E71" w14:paraId="1DF2C7EE" w14:textId="77777777">
      <w:pPr>
        <w:pStyle w:val="ListParagraph"/>
        <w:keepNext/>
        <w:numPr>
          <w:ilvl w:val="0"/>
          <w:numId w:val="123"/>
        </w:numPr>
        <w:tabs>
          <w:tab w:val="left" w:pos="567"/>
        </w:tabs>
        <w:jc w:val="both"/>
        <w:rPr>
          <w:sz w:val="22"/>
          <w:szCs w:val="22"/>
        </w:rPr>
      </w:pPr>
      <w:r w:rsidRPr="00295E71">
        <w:rPr>
          <w:sz w:val="22"/>
          <w:szCs w:val="22"/>
        </w:rPr>
        <w:tab/>
        <w:t>Usi ciascuna siringa pre-riempita esclusivamente per una sola iniezione.</w:t>
      </w:r>
    </w:p>
    <w:p w:rsidR="006224C2" w:rsidRPr="00295E71" w14:paraId="05ECC916" w14:textId="77777777">
      <w:pPr>
        <w:tabs>
          <w:tab w:val="left" w:pos="567"/>
        </w:tabs>
        <w:jc w:val="both"/>
        <w:rPr>
          <w:sz w:val="22"/>
          <w:szCs w:val="22"/>
        </w:rPr>
      </w:pPr>
    </w:p>
    <w:p w:rsidR="006224C2" w:rsidRPr="00295E71" w14:paraId="67EAF960" w14:textId="77777777">
      <w:pPr>
        <w:keepNext/>
        <w:rPr>
          <w:b/>
          <w:sz w:val="22"/>
          <w:szCs w:val="22"/>
        </w:rPr>
      </w:pPr>
      <w:r w:rsidRPr="00295E71">
        <w:rPr>
          <w:b/>
          <w:sz w:val="22"/>
          <w:szCs w:val="22"/>
        </w:rPr>
        <w:t>Siringa pre-riempita di Humira</w:t>
      </w:r>
    </w:p>
    <w:p w:rsidR="006224C2" w:rsidRPr="00295E71" w14:paraId="3C6DD468" w14:textId="77777777">
      <w:pPr>
        <w:keepNext/>
        <w:rPr>
          <w:b/>
          <w:sz w:val="22"/>
          <w:szCs w:val="22"/>
        </w:rPr>
      </w:pPr>
    </w:p>
    <w:p w:rsidR="006224C2" w:rsidRPr="00295E71" w14:paraId="5C7A6F46" w14:textId="77777777">
      <w:pPr>
        <w:keepNext/>
        <w:rPr>
          <w:b/>
          <w:sz w:val="22"/>
          <w:szCs w:val="22"/>
        </w:rPr>
      </w:pPr>
      <w:r w:rsidRPr="00295E71">
        <w:rPr>
          <w:b/>
          <w:sz w:val="22"/>
          <w:szCs w:val="22"/>
        </w:rPr>
        <w:tab/>
      </w:r>
      <w:r w:rsidRPr="00295E71">
        <w:rPr>
          <w:b/>
          <w:sz w:val="22"/>
          <w:szCs w:val="22"/>
        </w:rPr>
        <w:tab/>
        <w:t>Stantuffo</w:t>
      </w:r>
      <w:r w:rsidRPr="00295E71">
        <w:rPr>
          <w:b/>
          <w:sz w:val="22"/>
          <w:szCs w:val="22"/>
        </w:rPr>
        <w:tab/>
      </w:r>
      <w:r w:rsidRPr="00295E71">
        <w:rPr>
          <w:b/>
          <w:sz w:val="22"/>
          <w:szCs w:val="22"/>
        </w:rPr>
        <w:tab/>
        <w:t>Impugnatura per le dita</w:t>
      </w:r>
      <w:r w:rsidRPr="00295E71">
        <w:rPr>
          <w:b/>
          <w:sz w:val="22"/>
          <w:szCs w:val="22"/>
        </w:rPr>
        <w:tab/>
        <w:t>Tappo dell’ago</w:t>
      </w:r>
    </w:p>
    <w:p w:rsidR="006224C2" w14:paraId="600BB3EF" w14:textId="77777777">
      <w:pPr>
        <w:keepNext/>
        <w:jc w:val="center"/>
        <w:rPr>
          <w:sz w:val="22"/>
          <w:szCs w:val="22"/>
        </w:rPr>
      </w:pPr>
    </w:p>
    <w:p w:rsidR="00F43C19" w:rsidRPr="00295E71" w14:paraId="3C02BA0E" w14:textId="77777777">
      <w:pPr>
        <w:keepNext/>
        <w:jc w:val="center"/>
        <w:rPr>
          <w:sz w:val="22"/>
          <w:szCs w:val="22"/>
        </w:rPr>
      </w:pPr>
      <w:r w:rsidRPr="00910CE7">
        <w:rPr>
          <w:noProof/>
          <w:lang w:val="en-GB"/>
        </w:rPr>
        <w:drawing>
          <wp:inline distT="0" distB="0" distL="0" distR="0">
            <wp:extent cx="3364992" cy="1478124"/>
            <wp:effectExtent l="0" t="0" r="6985" b="825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Humira_Exploded_Syringe_Only_new grey.jpg"/>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rsidR="006224C2" w:rsidRPr="00295E71" w14:paraId="4FA889F2" w14:textId="77777777">
      <w:pPr>
        <w:rPr>
          <w:sz w:val="22"/>
          <w:szCs w:val="22"/>
        </w:rPr>
      </w:pPr>
    </w:p>
    <w:p w:rsidR="006224C2" w:rsidRPr="00295E71" w:rsidP="002C2C61" w14:paraId="0FC0E11C" w14:textId="77777777">
      <w:pPr>
        <w:pStyle w:val="EMEAHeadingLeaflet"/>
        <w:keepNext/>
        <w:spacing w:beforeLines="0" w:afterLines="0"/>
        <w:rPr>
          <w:rFonts w:ascii="Times New Roman" w:hAnsi="Times New Roman"/>
          <w:szCs w:val="22"/>
          <w:lang w:val="it-IT"/>
        </w:rPr>
      </w:pPr>
      <w:r w:rsidRPr="00295E71">
        <w:rPr>
          <w:rFonts w:ascii="Times New Roman" w:hAnsi="Times New Roman"/>
          <w:szCs w:val="22"/>
          <w:lang w:val="it-IT"/>
        </w:rPr>
        <w:t>Non usi la siringa pre-riempita e si rivolga al medico o al farmacista</w:t>
      </w:r>
      <w:r w:rsidRPr="00295E71" w:rsidR="005B0F02">
        <w:rPr>
          <w:rFonts w:ascii="Times New Roman" w:hAnsi="Times New Roman"/>
          <w:szCs w:val="22"/>
          <w:lang w:val="it-IT"/>
        </w:rPr>
        <w:t xml:space="preserve"> </w:t>
      </w:r>
      <w:r w:rsidRPr="00295E71">
        <w:rPr>
          <w:rFonts w:ascii="Times New Roman" w:hAnsi="Times New Roman"/>
          <w:szCs w:val="22"/>
          <w:lang w:val="it-IT"/>
        </w:rPr>
        <w:t>se</w:t>
      </w:r>
    </w:p>
    <w:p w:rsidR="006224C2" w:rsidRPr="00295E71" w:rsidP="00910CE7" w14:paraId="75889AA1" w14:textId="77777777">
      <w:pPr>
        <w:pStyle w:val="EMEANormal"/>
        <w:keepNext/>
        <w:rPr>
          <w:lang w:val="it-IT"/>
        </w:rPr>
      </w:pPr>
    </w:p>
    <w:p w:rsidR="006224C2" w:rsidRPr="00295E71" w:rsidP="002C2C61" w14:paraId="14A0F9D1"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soluzione appare torbida, ha cambiato colore, o presenta flocculi e particelle</w:t>
      </w:r>
    </w:p>
    <w:p w:rsidR="006224C2" w:rsidRPr="00295E71" w:rsidP="002C2C61" w14:paraId="7E9C8CFB"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è stata oltrepassata la data di scadenza (Scad.) </w:t>
      </w:r>
    </w:p>
    <w:p w:rsidR="006224C2" w:rsidRPr="00295E71" w:rsidP="002C2C61" w14:paraId="56D97304"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soluzione è stata congelata o lasciata esposta alla luce solare diretta</w:t>
      </w:r>
    </w:p>
    <w:p w:rsidR="006224C2" w:rsidRPr="00295E71" w14:paraId="6F1E47C7"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la </w:t>
      </w:r>
      <w:r w:rsidRPr="00295E71" w:rsidR="00C52E8A">
        <w:rPr>
          <w:rFonts w:ascii="Times New Roman" w:hAnsi="Times New Roman"/>
          <w:b w:val="0"/>
          <w:szCs w:val="22"/>
          <w:lang w:val="it-IT"/>
        </w:rPr>
        <w:t xml:space="preserve">siringa </w:t>
      </w:r>
      <w:r w:rsidRPr="00295E71">
        <w:rPr>
          <w:rFonts w:ascii="Times New Roman" w:hAnsi="Times New Roman"/>
          <w:b w:val="0"/>
          <w:szCs w:val="22"/>
          <w:lang w:val="it-IT"/>
        </w:rPr>
        <w:t>pre-riempita è caduta o è stata danneggiata</w:t>
      </w:r>
    </w:p>
    <w:p w:rsidR="006224C2" w:rsidRPr="00295E71" w14:paraId="77B489A3" w14:textId="77777777">
      <w:pPr>
        <w:pStyle w:val="EMEANormal"/>
        <w:rPr>
          <w:lang w:val="it-IT"/>
        </w:rPr>
      </w:pPr>
    </w:p>
    <w:p w:rsidR="006224C2" w:rsidRPr="00295E71" w14:paraId="6411253A" w14:textId="77777777">
      <w:pPr>
        <w:pStyle w:val="EMEAHeadingLeaflet"/>
        <w:keepNext/>
        <w:tabs>
          <w:tab w:val="left" w:pos="0"/>
        </w:tabs>
        <w:spacing w:beforeLines="0" w:afterLines="0"/>
        <w:rPr>
          <w:rFonts w:ascii="Times New Roman" w:hAnsi="Times New Roman"/>
          <w:szCs w:val="22"/>
          <w:lang w:val="it-IT"/>
        </w:rPr>
      </w:pPr>
      <w:r w:rsidRPr="00295E71">
        <w:rPr>
          <w:rFonts w:ascii="Times New Roman" w:hAnsi="Times New Roman"/>
          <w:szCs w:val="22"/>
          <w:lang w:val="it-IT"/>
        </w:rPr>
        <w:t>Rimuova il tappo dell’ago solo immediatamente prima dell’iniezione. Tenga Humira fuori dalla vista e dalla portata dei bambini.</w:t>
      </w:r>
    </w:p>
    <w:p w:rsidR="006224C2" w:rsidRPr="00295E71" w14:paraId="00CE1B62" w14:textId="77777777">
      <w:pPr>
        <w:pStyle w:val="EMEANormal"/>
        <w:rPr>
          <w:lang w:val="it-I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5C1826EA" w14:textId="77777777">
        <w:tblPrEx>
          <w:tblW w:w="9287" w:type="dxa"/>
          <w:tblLayout w:type="fixed"/>
          <w:tblLook w:val="04A0"/>
        </w:tblPrEx>
        <w:tc>
          <w:tcPr>
            <w:tcW w:w="9287" w:type="dxa"/>
            <w:gridSpan w:val="2"/>
            <w:tcBorders>
              <w:top w:val="single" w:sz="4" w:space="0" w:color="auto"/>
              <w:left w:val="single" w:sz="4" w:space="0" w:color="auto"/>
              <w:bottom w:val="single" w:sz="4" w:space="0" w:color="auto"/>
              <w:right w:val="single" w:sz="4" w:space="0" w:color="auto"/>
            </w:tcBorders>
          </w:tcPr>
          <w:p w:rsidR="006224C2" w:rsidRPr="00295E71" w14:paraId="7DFD34FF" w14:textId="77777777">
            <w:pPr>
              <w:pStyle w:val="EMEAHeadingLeaflet"/>
              <w:spacing w:beforeLines="0" w:afterLines="0"/>
              <w:rPr>
                <w:rFonts w:ascii="Times New Roman" w:hAnsi="Times New Roman"/>
                <w:szCs w:val="22"/>
                <w:lang w:val="it-IT"/>
              </w:rPr>
            </w:pPr>
            <w:r w:rsidRPr="00295E71">
              <w:rPr>
                <w:rFonts w:ascii="Times New Roman" w:hAnsi="Times New Roman"/>
                <w:szCs w:val="22"/>
                <w:lang w:val="it-IT"/>
              </w:rPr>
              <w:br w:type="page"/>
              <w:t>STEP 1</w:t>
            </w:r>
          </w:p>
          <w:p w:rsidR="006224C2" w:rsidRPr="00295E71" w14:paraId="75E715E4" w14:textId="77777777">
            <w:pPr>
              <w:pStyle w:val="EMEANormal"/>
              <w:rPr>
                <w:lang w:val="it-IT"/>
              </w:rPr>
            </w:pPr>
          </w:p>
          <w:p w:rsidR="006224C2" w:rsidRPr="00295E71" w14:paraId="3D3FCFED" w14:textId="77777777">
            <w:pPr>
              <w:pStyle w:val="EMEAHeadingLeaflet"/>
              <w:spacing w:beforeLines="0" w:afterLines="0"/>
              <w:rPr>
                <w:rFonts w:ascii="Times New Roman" w:hAnsi="Times New Roman"/>
                <w:b w:val="0"/>
                <w:bCs/>
                <w:szCs w:val="22"/>
                <w:lang w:val="it-IT"/>
              </w:rPr>
            </w:pPr>
            <w:r w:rsidRPr="00295E71">
              <w:rPr>
                <w:rFonts w:ascii="Times New Roman" w:hAnsi="Times New Roman"/>
                <w:b w:val="0"/>
                <w:bCs/>
                <w:szCs w:val="22"/>
                <w:lang w:val="it-IT"/>
              </w:rPr>
              <w:t>Tolga Humira dal frigorifero.</w:t>
            </w:r>
          </w:p>
          <w:p w:rsidR="006224C2" w:rsidRPr="00295E71" w14:paraId="541899ED" w14:textId="77777777">
            <w:pPr>
              <w:pStyle w:val="EMEANormal"/>
              <w:rPr>
                <w:lang w:val="it-IT"/>
              </w:rPr>
            </w:pPr>
          </w:p>
          <w:p w:rsidR="006224C2" w:rsidRPr="00295E71" w14:paraId="4ED60957" w14:textId="77777777">
            <w:pPr>
              <w:pStyle w:val="EMEAHeadingLeaflet"/>
              <w:spacing w:beforeLines="0" w:afterLines="0"/>
              <w:rPr>
                <w:rFonts w:ascii="Times New Roman" w:hAnsi="Times New Roman"/>
                <w:szCs w:val="22"/>
                <w:lang w:val="it-IT"/>
              </w:rPr>
            </w:pPr>
            <w:r w:rsidRPr="00295E71">
              <w:rPr>
                <w:rFonts w:ascii="Times New Roman" w:hAnsi="Times New Roman"/>
                <w:b w:val="0"/>
                <w:szCs w:val="22"/>
                <w:lang w:val="it-IT"/>
              </w:rPr>
              <w:t>Prima di effettuare l’iniezione, lasci</w:t>
            </w:r>
            <w:r w:rsidRPr="00295E71" w:rsidR="005B0F02">
              <w:rPr>
                <w:rFonts w:ascii="Times New Roman" w:hAnsi="Times New Roman"/>
                <w:b w:val="0"/>
                <w:szCs w:val="22"/>
                <w:lang w:val="it-IT"/>
              </w:rPr>
              <w:t xml:space="preserve"> </w:t>
            </w:r>
            <w:r w:rsidRPr="00295E71">
              <w:rPr>
                <w:rFonts w:ascii="Times New Roman" w:hAnsi="Times New Roman"/>
                <w:b w:val="0"/>
                <w:szCs w:val="22"/>
                <w:lang w:val="it-IT"/>
              </w:rPr>
              <w:t xml:space="preserve">Humira a temperatura ambiente per </w:t>
            </w:r>
            <w:r w:rsidRPr="00295E71">
              <w:rPr>
                <w:rFonts w:ascii="Times New Roman" w:hAnsi="Times New Roman"/>
                <w:szCs w:val="22"/>
                <w:lang w:val="it-IT"/>
              </w:rPr>
              <w:t>15-30 minuti</w:t>
            </w:r>
            <w:r w:rsidRPr="00295E71">
              <w:rPr>
                <w:rFonts w:ascii="Times New Roman" w:hAnsi="Times New Roman"/>
                <w:b w:val="0"/>
                <w:szCs w:val="22"/>
                <w:lang w:val="it-IT"/>
              </w:rPr>
              <w:t>.</w:t>
            </w:r>
          </w:p>
          <w:p w:rsidR="006224C2" w:rsidRPr="00295E71" w14:paraId="04312C32" w14:textId="77777777">
            <w:pPr>
              <w:pStyle w:val="EMEAHeadingLeaflet"/>
              <w:numPr>
                <w:ilvl w:val="0"/>
                <w:numId w:val="101"/>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rimuova</w:t>
            </w:r>
            <w:r w:rsidRPr="00295E71" w:rsidR="005B0F02">
              <w:rPr>
                <w:rFonts w:ascii="Times New Roman" w:hAnsi="Times New Roman"/>
                <w:b w:val="0"/>
                <w:szCs w:val="22"/>
                <w:lang w:val="it-IT"/>
              </w:rPr>
              <w:t xml:space="preserve"> </w:t>
            </w:r>
            <w:r w:rsidRPr="00295E71">
              <w:rPr>
                <w:rFonts w:ascii="Times New Roman" w:hAnsi="Times New Roman"/>
                <w:b w:val="0"/>
                <w:szCs w:val="22"/>
                <w:lang w:val="it-IT"/>
              </w:rPr>
              <w:t>il tappo dell’ago mentre</w:t>
            </w:r>
            <w:r w:rsidRPr="00295E71" w:rsidR="005B0F02">
              <w:rPr>
                <w:rFonts w:ascii="Times New Roman" w:hAnsi="Times New Roman"/>
                <w:b w:val="0"/>
                <w:szCs w:val="22"/>
                <w:lang w:val="it-IT"/>
              </w:rPr>
              <w:t xml:space="preserve"> </w:t>
            </w:r>
            <w:r w:rsidRPr="00295E71">
              <w:rPr>
                <w:rFonts w:ascii="Times New Roman" w:hAnsi="Times New Roman"/>
                <w:b w:val="0"/>
                <w:szCs w:val="22"/>
                <w:lang w:val="it-IT"/>
              </w:rPr>
              <w:t>attende che</w:t>
            </w:r>
            <w:r w:rsidR="009829F7">
              <w:rPr>
                <w:rFonts w:ascii="Times New Roman" w:hAnsi="Times New Roman"/>
                <w:b w:val="0"/>
                <w:szCs w:val="22"/>
                <w:lang w:val="it-IT"/>
              </w:rPr>
              <w:t xml:space="preserve"> </w:t>
            </w:r>
            <w:r w:rsidRPr="00295E71">
              <w:rPr>
                <w:rFonts w:ascii="Times New Roman" w:hAnsi="Times New Roman"/>
                <w:b w:val="0"/>
                <w:szCs w:val="22"/>
                <w:lang w:val="it-IT"/>
              </w:rPr>
              <w:t>Humira raggiunga la temperatura ambiente</w:t>
            </w:r>
          </w:p>
          <w:p w:rsidR="006224C2" w:rsidRPr="00295E71" w14:paraId="6D79289E" w14:textId="77777777">
            <w:pPr>
              <w:pStyle w:val="EMEANormal"/>
              <w:numPr>
                <w:ilvl w:val="0"/>
                <w:numId w:val="101"/>
              </w:numPr>
              <w:tabs>
                <w:tab w:val="clear" w:pos="562"/>
                <w:tab w:val="left" w:pos="720"/>
              </w:tabs>
              <w:rPr>
                <w:lang w:val="it-IT"/>
              </w:rPr>
            </w:pPr>
            <w:r w:rsidRPr="00295E71">
              <w:rPr>
                <w:b/>
                <w:lang w:val="it-IT"/>
              </w:rPr>
              <w:t xml:space="preserve">Non </w:t>
            </w:r>
            <w:r w:rsidRPr="00295E71">
              <w:rPr>
                <w:lang w:val="it-IT"/>
              </w:rPr>
              <w:t>riscaldi Humira in altri modi. Ad esempio,</w:t>
            </w:r>
            <w:r w:rsidRPr="00295E71">
              <w:rPr>
                <w:b/>
                <w:lang w:val="it-IT"/>
              </w:rPr>
              <w:t xml:space="preserve"> non</w:t>
            </w:r>
            <w:r w:rsidRPr="00295E71">
              <w:rPr>
                <w:lang w:val="it-IT"/>
              </w:rPr>
              <w:t xml:space="preserve"> riscaldi nel microonde o nell’acqua calda.</w:t>
            </w:r>
          </w:p>
        </w:tc>
      </w:tr>
      <w:tr w14:paraId="34764E6C" w14:textId="77777777">
        <w:tblPrEx>
          <w:tblW w:w="9287" w:type="dxa"/>
          <w:tblLayout w:type="fixed"/>
          <w:tblLook w:val="04A0"/>
        </w:tblPrEx>
        <w:tc>
          <w:tcPr>
            <w:tcW w:w="3708" w:type="dxa"/>
            <w:tcBorders>
              <w:top w:val="single" w:sz="4" w:space="0" w:color="auto"/>
              <w:left w:val="single" w:sz="4" w:space="0" w:color="auto"/>
              <w:bottom w:val="single" w:sz="4" w:space="0" w:color="auto"/>
              <w:right w:val="nil"/>
            </w:tcBorders>
          </w:tcPr>
          <w:p w:rsidR="006224C2" w:rsidRPr="00295E71" w14:paraId="2599C00B" w14:textId="77777777">
            <w:pPr>
              <w:pStyle w:val="EMEANormal"/>
              <w:keepNext/>
              <w:rPr>
                <w:b/>
                <w:lang w:val="it-IT"/>
              </w:rPr>
            </w:pPr>
            <w:r>
              <w:rPr>
                <w:b/>
                <w:lang w:val="it-IT"/>
              </w:rPr>
              <w:t>STEP 2</w:t>
            </w:r>
          </w:p>
          <w:p w:rsidR="006224C2" w:rsidRPr="00295E71" w14:paraId="16692217" w14:textId="77777777">
            <w:pPr>
              <w:pStyle w:val="EMEANormal"/>
              <w:keepNext/>
              <w:rPr>
                <w:b/>
                <w:lang w:val="it-IT"/>
              </w:rPr>
            </w:pPr>
          </w:p>
          <w:p w:rsidR="006224C2" w:rsidRPr="00295E71" w14:paraId="5A4D99C1" w14:textId="77777777">
            <w:pPr>
              <w:pStyle w:val="EMEANormal"/>
              <w:keepNext/>
              <w:rPr>
                <w:b/>
                <w:lang w:val="it-IT"/>
              </w:rPr>
            </w:pPr>
            <w:r w:rsidRPr="00295E71">
              <w:rPr>
                <w:b/>
                <w:lang w:val="it-IT"/>
              </w:rPr>
              <w:t xml:space="preserve">           Siringa</w:t>
            </w:r>
          </w:p>
          <w:p w:rsidR="006224C2" w14:paraId="6E10734D" w14:textId="77777777">
            <w:pPr>
              <w:pStyle w:val="EMEANormal"/>
              <w:keepNext/>
              <w:rPr>
                <w:lang w:val="it-IT"/>
              </w:rPr>
            </w:pPr>
          </w:p>
          <w:p w:rsidR="001B342C" w:rsidRPr="00295E71" w14:paraId="08244A49" w14:textId="77777777">
            <w:pPr>
              <w:pStyle w:val="EMEANormal"/>
              <w:keepNext/>
              <w:rPr>
                <w:lang w:val="it-IT"/>
              </w:rPr>
            </w:pPr>
            <w:r w:rsidRPr="00910CE7">
              <w:rPr>
                <w:noProof/>
                <w:lang w:val="en-GB"/>
              </w:rPr>
              <w:drawing>
                <wp:inline distT="0" distB="0" distL="0" distR="0">
                  <wp:extent cx="2217420" cy="2052320"/>
                  <wp:effectExtent l="0" t="0" r="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TEP_2_SYRINGE_IFU_SETUP_new grey.jpg"/>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rsidR="006224C2" w:rsidRPr="00295E71" w:rsidP="00732563" w14:paraId="734288FD" w14:textId="77777777">
            <w:pPr>
              <w:pStyle w:val="EMEANormal"/>
              <w:keepNext/>
              <w:rPr>
                <w:b/>
                <w:lang w:val="it-IT"/>
              </w:rPr>
            </w:pPr>
            <w:r w:rsidRPr="00295E71">
              <w:rPr>
                <w:b/>
                <w:lang w:val="it-IT"/>
              </w:rPr>
              <w:t xml:space="preserve">                Tampone</w:t>
            </w:r>
          </w:p>
        </w:tc>
        <w:tc>
          <w:tcPr>
            <w:tcW w:w="5579" w:type="dxa"/>
            <w:tcBorders>
              <w:top w:val="single" w:sz="4" w:space="0" w:color="auto"/>
              <w:left w:val="nil"/>
              <w:bottom w:val="single" w:sz="4" w:space="0" w:color="auto"/>
              <w:right w:val="single" w:sz="4" w:space="0" w:color="auto"/>
            </w:tcBorders>
          </w:tcPr>
          <w:p w:rsidR="006224C2" w:rsidRPr="00295E71" w14:paraId="5A8E5422"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bCs/>
                <w:szCs w:val="22"/>
                <w:lang w:val="it-IT"/>
              </w:rPr>
              <w:t>Controlli la data di scadenza (Scad.).</w:t>
            </w:r>
            <w:r w:rsidR="009829F7">
              <w:rPr>
                <w:rFonts w:ascii="Times New Roman" w:hAnsi="Times New Roman"/>
                <w:b w:val="0"/>
                <w:bCs/>
                <w:szCs w:val="22"/>
                <w:lang w:val="it-IT"/>
              </w:rPr>
              <w:t xml:space="preserve"> </w:t>
            </w:r>
            <w:r w:rsidRPr="00295E71">
              <w:rPr>
                <w:rFonts w:ascii="Times New Roman" w:hAnsi="Times New Roman"/>
                <w:bCs/>
                <w:szCs w:val="22"/>
                <w:lang w:val="it-IT"/>
              </w:rPr>
              <w:t>Non</w:t>
            </w:r>
            <w:r w:rsidRPr="00295E71">
              <w:rPr>
                <w:rFonts w:ascii="Times New Roman" w:hAnsi="Times New Roman"/>
                <w:b w:val="0"/>
                <w:szCs w:val="22"/>
                <w:lang w:val="it-IT"/>
              </w:rPr>
              <w:t xml:space="preserve"> usi la siringa pre-riempita se è stata oltrepassata la data di scadenza(Scad.).</w:t>
            </w:r>
          </w:p>
          <w:p w:rsidR="006224C2" w:rsidRPr="00295E71" w14:paraId="213E90DE" w14:textId="77777777">
            <w:pPr>
              <w:pStyle w:val="EMEANormal"/>
              <w:keepNext/>
              <w:rPr>
                <w:lang w:val="it-IT"/>
              </w:rPr>
            </w:pPr>
          </w:p>
          <w:p w:rsidR="006224C2" w:rsidRPr="00295E71" w14:paraId="7848596E"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Disponga i seguenti oggetti su una superficie pulita e piana</w:t>
            </w:r>
          </w:p>
          <w:p w:rsidR="006224C2" w:rsidRPr="00295E71" w14:paraId="0A9BC76D" w14:textId="77777777">
            <w:pPr>
              <w:pStyle w:val="EMEANormal"/>
              <w:keepNext/>
              <w:spacing w:line="260" w:lineRule="exact"/>
              <w:ind w:left="357" w:hanging="357"/>
              <w:outlineLvl w:val="0"/>
              <w:rPr>
                <w:lang w:val="it-IT"/>
              </w:rPr>
            </w:pPr>
          </w:p>
          <w:p w:rsidR="006224C2" w:rsidRPr="00295E71" w14:paraId="153E5AD2" w14:textId="77777777">
            <w:pPr>
              <w:pStyle w:val="EMEAHeadingLeaflet"/>
              <w:keepNext/>
              <w:numPr>
                <w:ilvl w:val="0"/>
                <w:numId w:val="102"/>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 xml:space="preserve">1 siringa monouso pre-riempita </w:t>
            </w:r>
          </w:p>
          <w:p w:rsidR="006224C2" w:rsidRPr="00295E71" w14:paraId="142EE2F0" w14:textId="77777777">
            <w:pPr>
              <w:pStyle w:val="EMEAHeadingLeaflet"/>
              <w:keepNext/>
              <w:numPr>
                <w:ilvl w:val="0"/>
                <w:numId w:val="102"/>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1 tampone imbevuto d’alcool</w:t>
            </w:r>
          </w:p>
          <w:p w:rsidR="006224C2" w:rsidRPr="00295E71" w14:paraId="65C4D0F3" w14:textId="77777777">
            <w:pPr>
              <w:pStyle w:val="EMEANormal"/>
              <w:keepNext/>
              <w:rPr>
                <w:lang w:val="it-IT"/>
              </w:rPr>
            </w:pPr>
          </w:p>
          <w:p w:rsidR="006224C2" w:rsidRPr="00295E71" w14:paraId="4A90EA38" w14:textId="77777777">
            <w:pPr>
              <w:pStyle w:val="EMEANormal"/>
              <w:keepNext/>
              <w:rPr>
                <w:lang w:val="it-IT"/>
              </w:rPr>
            </w:pPr>
            <w:r w:rsidRPr="00295E71">
              <w:rPr>
                <w:lang w:val="it-IT"/>
              </w:rPr>
              <w:t>Si lavi e si asciughi le mani.</w:t>
            </w:r>
          </w:p>
        </w:tc>
      </w:tr>
    </w:tbl>
    <w:p w:rsidR="006224C2" w:rsidRPr="00295E71" w14:paraId="39AB442D" w14:textId="77777777">
      <w:pPr>
        <w:keepNext/>
        <w:rPr>
          <w:sz w:val="22"/>
          <w:szCs w:val="22"/>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0360A5D8" w14:textId="77777777">
        <w:tblPrEx>
          <w:tblW w:w="9287" w:type="dxa"/>
          <w:tblLayout w:type="fixed"/>
          <w:tblLook w:val="04A0"/>
        </w:tblPrEx>
        <w:tc>
          <w:tcPr>
            <w:tcW w:w="3708" w:type="dxa"/>
            <w:tcBorders>
              <w:top w:val="single" w:sz="4" w:space="0" w:color="auto"/>
              <w:left w:val="single" w:sz="4" w:space="0" w:color="auto"/>
              <w:bottom w:val="single" w:sz="4" w:space="0" w:color="auto"/>
              <w:right w:val="nil"/>
            </w:tcBorders>
          </w:tcPr>
          <w:p w:rsidR="006224C2" w:rsidRPr="00295E71" w14:paraId="7A633C00" w14:textId="77777777">
            <w:pPr>
              <w:pStyle w:val="EMEANormal"/>
              <w:keepNext/>
              <w:rPr>
                <w:b/>
                <w:lang w:val="it-IT"/>
              </w:rPr>
            </w:pPr>
            <w:r w:rsidRPr="00295E71">
              <w:rPr>
                <w:lang w:val="it-IT"/>
              </w:rPr>
              <w:br w:type="page"/>
            </w:r>
            <w:r w:rsidRPr="00295E71">
              <w:rPr>
                <w:b/>
                <w:lang w:val="it-IT"/>
              </w:rPr>
              <w:t>STEP 3</w:t>
            </w:r>
          </w:p>
          <w:p w:rsidR="006224C2" w:rsidRPr="00295E71" w14:paraId="4C01BB0B" w14:textId="77777777">
            <w:pPr>
              <w:pStyle w:val="EMEANormal"/>
              <w:keepNext/>
              <w:rPr>
                <w:b/>
                <w:lang w:val="it-IT"/>
              </w:rPr>
            </w:pPr>
          </w:p>
          <w:p w:rsidR="006224C2" w:rsidRPr="00295E71" w14:paraId="79717653" w14:textId="77777777">
            <w:pPr>
              <w:pStyle w:val="EMEANormal"/>
              <w:keepNext/>
              <w:rPr>
                <w:b/>
                <w:lang w:val="it-IT"/>
              </w:rPr>
            </w:pPr>
            <w:r w:rsidRPr="00295E71">
              <w:rPr>
                <w:b/>
                <w:lang w:val="it-IT"/>
              </w:rPr>
              <w:t>Aree di iniezione</w:t>
            </w:r>
          </w:p>
          <w:p w:rsidR="006224C2" w:rsidRPr="00295E71" w14:paraId="10D54C7C" w14:textId="77777777">
            <w:pPr>
              <w:pStyle w:val="EMEANormal"/>
              <w:keepNext/>
              <w:rPr>
                <w:lang w:val="it-IT"/>
              </w:rPr>
            </w:pPr>
            <w:r w:rsidRPr="00910CE7">
              <w:rPr>
                <w:noProof/>
                <w:lang w:val="en-GB"/>
              </w:rPr>
              <w:drawing>
                <wp:inline distT="0" distB="0" distL="0" distR="0">
                  <wp:extent cx="2276475" cy="2381250"/>
                  <wp:effectExtent l="0" t="0" r="9525" b="0"/>
                  <wp:docPr id="61" name="Picture 61"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 descr="STEP3_grey"/>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rsidR="006224C2" w:rsidRPr="00295E71" w14:paraId="61E3EE1D" w14:textId="77777777">
            <w:pPr>
              <w:pStyle w:val="EMEANormal"/>
              <w:keepNext/>
              <w:rPr>
                <w:b/>
                <w:lang w:val="it-IT"/>
              </w:rPr>
            </w:pPr>
            <w:r w:rsidRPr="00295E71">
              <w:rPr>
                <w:b/>
                <w:lang w:val="it-IT"/>
              </w:rPr>
              <w:t>Aree di iniezione</w:t>
            </w:r>
          </w:p>
        </w:tc>
        <w:tc>
          <w:tcPr>
            <w:tcW w:w="5579" w:type="dxa"/>
            <w:tcBorders>
              <w:top w:val="single" w:sz="4" w:space="0" w:color="auto"/>
              <w:left w:val="nil"/>
              <w:bottom w:val="single" w:sz="4" w:space="0" w:color="auto"/>
              <w:right w:val="single" w:sz="4" w:space="0" w:color="auto"/>
            </w:tcBorders>
          </w:tcPr>
          <w:p w:rsidR="006224C2" w:rsidRPr="00295E71" w14:paraId="0032A9CD" w14:textId="77777777">
            <w:pPr>
              <w:tabs>
                <w:tab w:val="left" w:pos="567"/>
              </w:tabs>
              <w:jc w:val="both"/>
              <w:rPr>
                <w:sz w:val="22"/>
                <w:szCs w:val="22"/>
                <w:lang w:eastAsia="en-US"/>
              </w:rPr>
            </w:pPr>
            <w:r w:rsidRPr="00295E71">
              <w:rPr>
                <w:sz w:val="22"/>
                <w:szCs w:val="22"/>
                <w:lang w:eastAsia="en-US"/>
              </w:rPr>
              <w:t>Scel</w:t>
            </w:r>
            <w:r w:rsidRPr="00295E71">
              <w:rPr>
                <w:sz w:val="22"/>
                <w:szCs w:val="22"/>
              </w:rPr>
              <w:t>ga</w:t>
            </w:r>
            <w:r w:rsidRPr="00295E71">
              <w:rPr>
                <w:sz w:val="22"/>
                <w:szCs w:val="22"/>
                <w:lang w:eastAsia="en-US"/>
              </w:rPr>
              <w:t xml:space="preserve"> un sito di iniezione:</w:t>
            </w:r>
          </w:p>
          <w:p w:rsidR="006224C2" w:rsidRPr="00295E71" w14:paraId="32A8DA17" w14:textId="77777777">
            <w:pPr>
              <w:tabs>
                <w:tab w:val="left" w:pos="567"/>
              </w:tabs>
              <w:jc w:val="both"/>
              <w:rPr>
                <w:sz w:val="22"/>
                <w:szCs w:val="22"/>
              </w:rPr>
            </w:pPr>
          </w:p>
          <w:p w:rsidR="006224C2" w:rsidRPr="00295E71" w14:paraId="12C37C2D"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Sulla parte anteriore della coscia o</w:t>
            </w:r>
          </w:p>
          <w:p w:rsidR="006224C2" w:rsidRPr="00295E71" w14:paraId="707F87B6"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Sulla pancia (addome) ad almeno 5 cm dall’ombelico</w:t>
            </w:r>
            <w:r w:rsidRPr="00295E71" w:rsidR="00351417">
              <w:rPr>
                <w:rFonts w:ascii="Times New Roman" w:hAnsi="Times New Roman"/>
                <w:b w:val="0"/>
                <w:szCs w:val="22"/>
                <w:lang w:val="it-IT"/>
              </w:rPr>
              <w:t xml:space="preserve"> </w:t>
            </w:r>
          </w:p>
          <w:p w:rsidR="006224C2" w:rsidRPr="00295E71" w14:paraId="67864840"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Ad almeno 3 cm dall’ultimo sito di iniezione</w:t>
            </w:r>
          </w:p>
          <w:p w:rsidR="006224C2" w:rsidRPr="00295E71" w14:paraId="258EB843" w14:textId="77777777">
            <w:pPr>
              <w:pStyle w:val="EMEANormal"/>
              <w:rPr>
                <w:lang w:val="it-IT"/>
              </w:rPr>
            </w:pPr>
          </w:p>
          <w:p w:rsidR="006224C2" w:rsidRPr="00295E71" w14:paraId="6F3FA33A" w14:textId="77777777">
            <w:pPr>
              <w:pStyle w:val="EMEAHeadingLeaflet"/>
              <w:keepNext/>
              <w:spacing w:beforeLines="0" w:afterLines="0"/>
              <w:rPr>
                <w:rFonts w:ascii="Times New Roman" w:hAnsi="Times New Roman"/>
                <w:b w:val="0"/>
                <w:bCs/>
                <w:szCs w:val="22"/>
                <w:lang w:val="it-IT"/>
              </w:rPr>
            </w:pPr>
            <w:r w:rsidRPr="00295E71">
              <w:rPr>
                <w:rFonts w:ascii="Times New Roman" w:hAnsi="Times New Roman"/>
                <w:b w:val="0"/>
                <w:bCs/>
                <w:szCs w:val="22"/>
                <w:lang w:val="it-IT"/>
              </w:rPr>
              <w:t>Strofini il sito di iniezione con movimenti circolari, utilizzando il tampone imbevuto di alcool.</w:t>
            </w:r>
          </w:p>
          <w:p w:rsidR="006224C2" w:rsidRPr="00295E71" w14:paraId="7765CD72" w14:textId="77777777">
            <w:pPr>
              <w:pStyle w:val="EMEANormal"/>
              <w:rPr>
                <w:lang w:val="it-IT"/>
              </w:rPr>
            </w:pPr>
          </w:p>
          <w:p w:rsidR="006224C2" w:rsidRPr="00295E71" w14:paraId="1787857A" w14:textId="77777777">
            <w:pPr>
              <w:pStyle w:val="EMEAHeadingLeaflet"/>
              <w:keepNex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inietti attraverso i vestiti</w:t>
            </w:r>
          </w:p>
          <w:p w:rsidR="006224C2" w:rsidRPr="00295E71" w14:paraId="451864EC" w14:textId="77777777">
            <w:pPr>
              <w:pStyle w:val="EMEANormal"/>
              <w:keepNext/>
              <w:numPr>
                <w:ilvl w:val="0"/>
                <w:numId w:val="103"/>
              </w:numPr>
              <w:tabs>
                <w:tab w:val="clear" w:pos="562"/>
                <w:tab w:val="left" w:pos="757"/>
              </w:tabs>
              <w:rPr>
                <w:lang w:val="it-IT"/>
              </w:rPr>
            </w:pPr>
            <w:r w:rsidRPr="00295E71">
              <w:rPr>
                <w:b/>
                <w:lang w:val="it-IT"/>
              </w:rPr>
              <w:t xml:space="preserve">Non </w:t>
            </w:r>
            <w:r w:rsidRPr="00295E71">
              <w:rPr>
                <w:lang w:val="it-IT"/>
              </w:rPr>
              <w:t>inietti</w:t>
            </w:r>
            <w:r w:rsidRPr="00295E71" w:rsidR="005B0F02">
              <w:rPr>
                <w:lang w:val="it-IT"/>
              </w:rPr>
              <w:t xml:space="preserve"> </w:t>
            </w:r>
            <w:r w:rsidRPr="00295E71">
              <w:rPr>
                <w:lang w:val="it-IT"/>
              </w:rPr>
              <w:t>nei punti in cui la pelle appare arrossata o indurita, sono presenti ematomi,ulcere, cicatrici, smagliature o in aree con psoriasi a placche</w:t>
            </w:r>
          </w:p>
          <w:p w:rsidR="006224C2" w:rsidRPr="00295E71" w14:paraId="53E49623" w14:textId="77777777">
            <w:pPr>
              <w:pStyle w:val="EMEAHeadingLeaflet"/>
              <w:keepNext/>
              <w:tabs>
                <w:tab w:val="clear" w:pos="562"/>
                <w:tab w:val="left" w:pos="757"/>
              </w:tabs>
              <w:spacing w:before="240" w:after="240"/>
              <w:ind w:left="757"/>
              <w:rPr>
                <w:rFonts w:ascii="Times New Roman" w:hAnsi="Times New Roman"/>
                <w:b w:val="0"/>
                <w:szCs w:val="22"/>
                <w:lang w:val="it-IT"/>
              </w:rPr>
            </w:pPr>
          </w:p>
        </w:tc>
      </w:tr>
      <w:tr w14:paraId="7D4CDD3C" w14:textId="77777777">
        <w:tblPrEx>
          <w:tblW w:w="9287" w:type="dxa"/>
          <w:tblLayout w:type="fixed"/>
          <w:tblLook w:val="04A0"/>
        </w:tblPrEx>
        <w:tc>
          <w:tcPr>
            <w:tcW w:w="3708" w:type="dxa"/>
            <w:tcBorders>
              <w:top w:val="single" w:sz="4" w:space="0" w:color="auto"/>
              <w:left w:val="single" w:sz="4" w:space="0" w:color="auto"/>
              <w:bottom w:val="single" w:sz="4" w:space="0" w:color="auto"/>
              <w:right w:val="nil"/>
            </w:tcBorders>
            <w:hideMark/>
          </w:tcPr>
          <w:p w:rsidR="006224C2" w:rsidRPr="00295E71" w14:paraId="2DC6FCE0" w14:textId="77777777">
            <w:pPr>
              <w:pStyle w:val="EMEANormal"/>
              <w:rPr>
                <w:b/>
                <w:lang w:val="it-IT"/>
              </w:rPr>
            </w:pPr>
            <w:r w:rsidRPr="00295E71">
              <w:rPr>
                <w:b/>
                <w:lang w:val="it-IT"/>
              </w:rPr>
              <w:t>STEP 4</w:t>
            </w:r>
          </w:p>
          <w:p w:rsidR="00B94DA9" w:rsidRPr="00295E71" w:rsidP="00B94DA9" w14:paraId="45DFFA10" w14:textId="77777777">
            <w:pPr>
              <w:pStyle w:val="EMEANormal"/>
              <w:spacing w:before="100" w:beforeAutospacing="1" w:after="100" w:afterAutospacing="1"/>
              <w:rPr>
                <w:b/>
                <w:lang w:val="it-IT"/>
              </w:rPr>
            </w:pPr>
            <w:r w:rsidRPr="00910CE7">
              <w:rPr>
                <w:b/>
                <w:noProof/>
                <w:lang w:val="en-GB"/>
              </w:rPr>
              <w:drawing>
                <wp:inline distT="0" distB="0" distL="0" distR="0">
                  <wp:extent cx="2011680" cy="1563624"/>
                  <wp:effectExtent l="0" t="0" r="762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STEP_4_SYRINGE_IFU_UNCAP_new grey.jpg"/>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11680" cy="1563624"/>
                          </a:xfrm>
                          <a:prstGeom prst="rect">
                            <a:avLst/>
                          </a:prstGeom>
                        </pic:spPr>
                      </pic:pic>
                    </a:graphicData>
                  </a:graphic>
                </wp:inline>
              </w:drawing>
            </w:r>
          </w:p>
        </w:tc>
        <w:tc>
          <w:tcPr>
            <w:tcW w:w="5579" w:type="dxa"/>
            <w:tcBorders>
              <w:top w:val="single" w:sz="4" w:space="0" w:color="auto"/>
              <w:left w:val="nil"/>
              <w:bottom w:val="single" w:sz="4" w:space="0" w:color="auto"/>
              <w:right w:val="single" w:sz="4" w:space="0" w:color="auto"/>
            </w:tcBorders>
          </w:tcPr>
          <w:p w:rsidR="006224C2" w:rsidRPr="00804DB6" w14:paraId="3C8905BD" w14:textId="77777777">
            <w:pPr>
              <w:pStyle w:val="EMEAHeadingLeaflet"/>
              <w:keepNext/>
              <w:spacing w:beforeLines="0" w:afterLines="0"/>
              <w:rPr>
                <w:rFonts w:ascii="Times New Roman" w:hAnsi="Times New Roman"/>
                <w:b w:val="0"/>
                <w:bCs/>
                <w:szCs w:val="22"/>
                <w:lang w:val="it-IT"/>
              </w:rPr>
            </w:pPr>
            <w:r w:rsidRPr="00295E71">
              <w:rPr>
                <w:rFonts w:ascii="Times New Roman" w:hAnsi="Times New Roman"/>
                <w:b w:val="0"/>
                <w:bCs/>
                <w:szCs w:val="22"/>
                <w:lang w:val="it-IT"/>
              </w:rPr>
              <w:t>Impugni la siringa pre-riempita con una mano.</w:t>
            </w:r>
          </w:p>
          <w:p w:rsidR="006224C2" w:rsidRPr="00295E71" w14:paraId="6FADF9E6" w14:textId="77777777">
            <w:pPr>
              <w:pStyle w:val="EMEANormal"/>
              <w:rPr>
                <w:lang w:val="it-IT"/>
              </w:rPr>
            </w:pPr>
          </w:p>
          <w:p w:rsidR="006224C2" w:rsidRPr="00295E71" w14:paraId="0058EF62" w14:textId="77777777">
            <w:pPr>
              <w:pStyle w:val="EMEAHeadingLeaflet"/>
              <w:keepNext/>
              <w:spacing w:beforeLines="0" w:afterLines="0"/>
              <w:rPr>
                <w:rFonts w:ascii="Times New Roman" w:hAnsi="Times New Roman"/>
                <w:b w:val="0"/>
                <w:bCs/>
                <w:szCs w:val="22"/>
                <w:lang w:val="it-IT"/>
              </w:rPr>
            </w:pPr>
            <w:r w:rsidRPr="00295E71">
              <w:rPr>
                <w:rFonts w:ascii="Times New Roman" w:hAnsi="Times New Roman"/>
                <w:b w:val="0"/>
                <w:bCs/>
                <w:szCs w:val="22"/>
                <w:lang w:val="it-IT"/>
              </w:rPr>
              <w:t>Controlli il liquido nella siringa pre-riempita.</w:t>
            </w:r>
          </w:p>
          <w:p w:rsidR="006224C2" w:rsidRPr="00295E71" w14:paraId="6EE43BC5" w14:textId="77777777">
            <w:pPr>
              <w:pStyle w:val="EMEANormal"/>
              <w:rPr>
                <w:lang w:val="it-IT"/>
              </w:rPr>
            </w:pPr>
          </w:p>
          <w:p w:rsidR="006224C2" w:rsidRPr="00295E71" w14:paraId="44D5E51C" w14:textId="77777777">
            <w:pPr>
              <w:pStyle w:val="EMEAHeadingLeaflet"/>
              <w:keepNext/>
              <w:numPr>
                <w:ilvl w:val="0"/>
                <w:numId w:val="105"/>
              </w:numPr>
              <w:tabs>
                <w:tab w:val="clear" w:pos="562"/>
                <w:tab w:val="left" w:pos="792"/>
                <w:tab w:val="left" w:pos="1647"/>
              </w:tabs>
              <w:spacing w:beforeLines="0" w:afterLines="0"/>
              <w:ind w:left="792"/>
              <w:rPr>
                <w:rFonts w:ascii="Times New Roman" w:hAnsi="Times New Roman"/>
                <w:b w:val="0"/>
                <w:bCs/>
                <w:szCs w:val="22"/>
                <w:lang w:val="it-IT"/>
              </w:rPr>
            </w:pPr>
            <w:r w:rsidRPr="00295E71">
              <w:rPr>
                <w:rFonts w:ascii="Times New Roman" w:hAnsi="Times New Roman"/>
                <w:b w:val="0"/>
                <w:bCs/>
                <w:szCs w:val="22"/>
                <w:lang w:val="it-IT"/>
              </w:rPr>
              <w:t>Si assicuri che il liquido sia chiaro e incolore</w:t>
            </w:r>
          </w:p>
          <w:p w:rsidR="006224C2" w:rsidRPr="00295E71" w14:paraId="5CC344A7" w14:textId="77777777">
            <w:pPr>
              <w:pStyle w:val="EMEAHeadingLeaflet"/>
              <w:keepNext/>
              <w:numPr>
                <w:ilvl w:val="0"/>
                <w:numId w:val="105"/>
              </w:numPr>
              <w:tabs>
                <w:tab w:val="clear" w:pos="562"/>
                <w:tab w:val="left" w:pos="792"/>
                <w:tab w:val="left" w:pos="1647"/>
              </w:tabs>
              <w:spacing w:beforeLines="0" w:afterLines="0"/>
              <w:ind w:left="792"/>
              <w:rPr>
                <w:rFonts w:ascii="Times New Roman" w:hAnsi="Times New Roman"/>
                <w:b w:val="0"/>
                <w:bCs/>
                <w:szCs w:val="22"/>
                <w:lang w:val="it-IT"/>
              </w:rPr>
            </w:pPr>
            <w:r w:rsidRPr="00295E71">
              <w:rPr>
                <w:rFonts w:ascii="Times New Roman" w:hAnsi="Times New Roman"/>
                <w:szCs w:val="22"/>
                <w:lang w:val="it-IT"/>
              </w:rPr>
              <w:t>Non</w:t>
            </w:r>
            <w:r w:rsidRPr="00295E71">
              <w:rPr>
                <w:rFonts w:ascii="Times New Roman" w:hAnsi="Times New Roman"/>
                <w:b w:val="0"/>
                <w:bCs/>
                <w:szCs w:val="22"/>
                <w:lang w:val="it-IT"/>
              </w:rPr>
              <w:t xml:space="preserve"> usi la siringa pre-riempita se il liquido è opaco o contiene particelle</w:t>
            </w:r>
          </w:p>
          <w:p w:rsidR="006224C2" w:rsidRPr="00295E71" w14:paraId="4A2DA092" w14:textId="77777777">
            <w:pPr>
              <w:pStyle w:val="ListParagraph"/>
              <w:numPr>
                <w:ilvl w:val="0"/>
                <w:numId w:val="105"/>
              </w:numPr>
              <w:ind w:left="792"/>
              <w:rPr>
                <w:bCs/>
                <w:sz w:val="22"/>
                <w:szCs w:val="22"/>
                <w:lang w:eastAsia="en-US"/>
              </w:rPr>
            </w:pPr>
            <w:r w:rsidRPr="00295E71">
              <w:rPr>
                <w:b/>
                <w:sz w:val="22"/>
                <w:szCs w:val="22"/>
              </w:rPr>
              <w:t>Non</w:t>
            </w:r>
            <w:r w:rsidRPr="00295E71">
              <w:rPr>
                <w:bCs/>
                <w:sz w:val="22"/>
                <w:szCs w:val="22"/>
              </w:rPr>
              <w:t xml:space="preserve"> usi </w:t>
            </w:r>
            <w:r w:rsidRPr="00295E71">
              <w:rPr>
                <w:bCs/>
                <w:sz w:val="22"/>
                <w:szCs w:val="22"/>
                <w:lang w:eastAsia="en-US"/>
              </w:rPr>
              <w:t>la siringa pre-riempita se è caduta o è schiacciata</w:t>
            </w:r>
          </w:p>
          <w:p w:rsidR="006224C2" w:rsidRPr="00295E71" w14:paraId="5375DC13" w14:textId="77777777">
            <w:pPr>
              <w:ind w:left="360"/>
              <w:rPr>
                <w:bCs/>
                <w:sz w:val="22"/>
                <w:szCs w:val="22"/>
                <w:lang w:eastAsia="en-US"/>
              </w:rPr>
            </w:pPr>
          </w:p>
          <w:p w:rsidR="00804DB6" w:rsidRPr="00804DB6" w:rsidP="00804DB6" w14:paraId="6B88B957" w14:textId="77777777">
            <w:pPr>
              <w:pStyle w:val="EMEAHeadingLeaflet"/>
              <w:keepNext/>
              <w:spacing w:beforeLines="0" w:afterLines="0"/>
              <w:rPr>
                <w:lang w:val="it-IT"/>
              </w:rPr>
            </w:pPr>
            <w:r w:rsidRPr="00295E71">
              <w:rPr>
                <w:rFonts w:ascii="Times New Roman" w:hAnsi="Times New Roman"/>
                <w:b w:val="0"/>
                <w:bCs/>
                <w:szCs w:val="22"/>
                <w:lang w:val="it-IT"/>
              </w:rPr>
              <w:t>Rimuova il tappo dall’ago della siringa delicatamente con l’altra mano. Getti il tappo. Non riutilizzi il tappo.</w:t>
            </w:r>
          </w:p>
          <w:p w:rsidR="006224C2" w:rsidRPr="00295E71" w14:paraId="773B22C8" w14:textId="77777777">
            <w:pPr>
              <w:pStyle w:val="EMEANormal"/>
              <w:rPr>
                <w:lang w:val="it-IT"/>
              </w:rPr>
            </w:pPr>
          </w:p>
          <w:p w:rsidR="00732563" w:rsidRPr="00732563" w:rsidP="00732563" w14:paraId="32B24D51" w14:textId="77777777">
            <w:pPr>
              <w:pStyle w:val="ListParagraph"/>
              <w:numPr>
                <w:ilvl w:val="0"/>
                <w:numId w:val="121"/>
              </w:numPr>
              <w:tabs>
                <w:tab w:val="left" w:pos="792"/>
              </w:tabs>
              <w:suppressAutoHyphens/>
              <w:ind w:left="792"/>
              <w:contextualSpacing/>
              <w:rPr>
                <w:bCs/>
                <w:sz w:val="22"/>
                <w:szCs w:val="22"/>
              </w:rPr>
            </w:pPr>
            <w:r w:rsidRPr="00295E71">
              <w:rPr>
                <w:b/>
                <w:sz w:val="22"/>
                <w:szCs w:val="22"/>
              </w:rPr>
              <w:t>Non</w:t>
            </w:r>
            <w:r w:rsidRPr="00295E71">
              <w:rPr>
                <w:bCs/>
                <w:sz w:val="22"/>
                <w:szCs w:val="22"/>
              </w:rPr>
              <w:t xml:space="preserve"> tocchi l’ago con le dita, e si assicuri che l’ago non entri in contatto con alcunché</w:t>
            </w:r>
          </w:p>
        </w:tc>
      </w:tr>
      <w:tr w14:paraId="2190A982" w14:textId="77777777">
        <w:tblPrEx>
          <w:tblW w:w="9287" w:type="dxa"/>
          <w:tblLayout w:type="fixed"/>
          <w:tblLook w:val="04A0"/>
        </w:tblPrEx>
        <w:tc>
          <w:tcPr>
            <w:tcW w:w="3708" w:type="dxa"/>
            <w:tcBorders>
              <w:top w:val="single" w:sz="4" w:space="0" w:color="auto"/>
              <w:left w:val="single" w:sz="4" w:space="0" w:color="auto"/>
              <w:bottom w:val="single" w:sz="4" w:space="0" w:color="auto"/>
              <w:right w:val="nil"/>
            </w:tcBorders>
            <w:hideMark/>
          </w:tcPr>
          <w:p w:rsidR="006224C2" w:rsidRPr="00295E71" w14:paraId="08D04B93" w14:textId="77777777">
            <w:pPr>
              <w:pStyle w:val="EMEANormal"/>
              <w:keepNext/>
              <w:rPr>
                <w:b/>
                <w:lang w:val="it-IT"/>
              </w:rPr>
            </w:pPr>
            <w:r w:rsidRPr="00295E71">
              <w:rPr>
                <w:b/>
                <w:lang w:val="it-IT"/>
              </w:rPr>
              <w:t>STEP 5</w:t>
            </w:r>
          </w:p>
          <w:p w:rsidR="006224C2" w:rsidRPr="00295E71" w14:paraId="39EFF4C9" w14:textId="77777777">
            <w:pPr>
              <w:pStyle w:val="EMEANormal"/>
              <w:keepNext/>
              <w:rPr>
                <w:lang w:val="it-IT"/>
              </w:rPr>
            </w:pPr>
            <w:r w:rsidRPr="00910CE7">
              <w:rPr>
                <w:noProof/>
                <w:lang w:val="en-GB"/>
              </w:rPr>
              <w:drawing>
                <wp:inline distT="0" distB="0" distL="0" distR="0">
                  <wp:extent cx="1990725" cy="1971675"/>
                  <wp:effectExtent l="0" t="0" r="9525" b="9525"/>
                  <wp:docPr id="63" name="Picture 63"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4" descr="STEP_5_SYRINGE_IFU_FILLING_grey"/>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0725" cy="197167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rsidR="006224C2" w:rsidRPr="00295E71" w14:paraId="458E8734" w14:textId="77777777">
            <w:pPr>
              <w:pStyle w:val="EMEANormal"/>
              <w:keepNext/>
              <w:tabs>
                <w:tab w:val="left" w:pos="0"/>
              </w:tabs>
              <w:rPr>
                <w:lang w:val="it-IT"/>
              </w:rPr>
            </w:pPr>
            <w:r w:rsidRPr="00295E71">
              <w:rPr>
                <w:lang w:val="it-IT"/>
              </w:rPr>
              <w:t>Impugni la siringa pre-riempita con l’ago rivolto verso l’alto.</w:t>
            </w:r>
          </w:p>
          <w:p w:rsidR="006224C2" w:rsidRPr="00295E71" w14:paraId="07E5BAF9" w14:textId="77777777">
            <w:pPr>
              <w:pStyle w:val="EMEANormal"/>
              <w:keepNext/>
              <w:tabs>
                <w:tab w:val="left" w:pos="0"/>
              </w:tabs>
              <w:rPr>
                <w:lang w:val="it-IT"/>
              </w:rPr>
            </w:pPr>
          </w:p>
          <w:p w:rsidR="006224C2" w:rsidRPr="00295E71" w14:paraId="13429736" w14:textId="77777777">
            <w:pPr>
              <w:pStyle w:val="EMEABullet2"/>
              <w:keepNext/>
              <w:numPr>
                <w:ilvl w:val="0"/>
                <w:numId w:val="14"/>
              </w:numPr>
              <w:tabs>
                <w:tab w:val="clear" w:pos="567"/>
              </w:tabs>
              <w:rPr>
                <w:szCs w:val="22"/>
                <w:lang w:val="it-IT"/>
              </w:rPr>
            </w:pPr>
            <w:r w:rsidRPr="00295E71">
              <w:rPr>
                <w:szCs w:val="22"/>
                <w:lang w:val="it-IT"/>
              </w:rPr>
              <w:t>Tenga la siringa pre-riempita all’altezza degli occhi con una mano, in modo da vedere l’aria contenuta nella siringa pre-riempita</w:t>
            </w:r>
          </w:p>
          <w:p w:rsidR="006224C2" w:rsidRPr="00295E71" w14:paraId="7CAFA14B" w14:textId="77777777">
            <w:pPr>
              <w:pStyle w:val="EMEANormal"/>
              <w:keepNext/>
              <w:rPr>
                <w:lang w:val="it-IT"/>
              </w:rPr>
            </w:pPr>
          </w:p>
          <w:p w:rsidR="006224C2" w:rsidRPr="00295E71" w14:paraId="78CBC0AA" w14:textId="77777777">
            <w:pPr>
              <w:pStyle w:val="EMEANormal"/>
              <w:keepNext/>
              <w:rPr>
                <w:lang w:val="it-IT"/>
              </w:rPr>
            </w:pPr>
            <w:r w:rsidRPr="00295E71">
              <w:rPr>
                <w:lang w:val="it-IT"/>
              </w:rPr>
              <w:t>Spinga</w:t>
            </w:r>
            <w:r w:rsidRPr="00295E71" w:rsidR="005B0F02">
              <w:rPr>
                <w:lang w:val="it-IT"/>
              </w:rPr>
              <w:t xml:space="preserve"> </w:t>
            </w:r>
            <w:r w:rsidRPr="00295E71">
              <w:rPr>
                <w:lang w:val="it-IT"/>
              </w:rPr>
              <w:t xml:space="preserve">lentamente lo stantuffo per far uscire l’aria attraverso l’ago. </w:t>
            </w:r>
          </w:p>
          <w:p w:rsidR="006224C2" w:rsidRPr="00295E71" w14:paraId="3BAB34DE" w14:textId="77777777">
            <w:pPr>
              <w:pStyle w:val="EMEANormal"/>
              <w:keepNext/>
              <w:rPr>
                <w:lang w:val="it-IT"/>
              </w:rPr>
            </w:pPr>
          </w:p>
          <w:p w:rsidR="006224C2" w:rsidRPr="00295E71" w14:paraId="3217ECE9" w14:textId="77777777">
            <w:pPr>
              <w:pStyle w:val="EMEABullet2"/>
              <w:keepNext/>
              <w:numPr>
                <w:ilvl w:val="0"/>
                <w:numId w:val="14"/>
              </w:numPr>
              <w:tabs>
                <w:tab w:val="clear" w:pos="567"/>
                <w:tab w:val="clear" w:pos="720"/>
                <w:tab w:val="num" w:pos="792"/>
              </w:tabs>
              <w:ind w:left="792"/>
              <w:rPr>
                <w:szCs w:val="22"/>
                <w:lang w:val="it-IT"/>
              </w:rPr>
            </w:pPr>
            <w:r w:rsidRPr="00295E71">
              <w:rPr>
                <w:szCs w:val="22"/>
                <w:lang w:val="it-IT"/>
              </w:rPr>
              <w:t>È normale vedere una goccia di liquido alla fine dell’ago</w:t>
            </w:r>
          </w:p>
          <w:p w:rsidR="006224C2" w:rsidRPr="00295E71" w14:paraId="5AE86C54" w14:textId="77777777">
            <w:pPr>
              <w:pStyle w:val="EMEANormal"/>
              <w:keepNext/>
              <w:rPr>
                <w:lang w:val="it-IT"/>
              </w:rPr>
            </w:pPr>
          </w:p>
        </w:tc>
      </w:tr>
    </w:tbl>
    <w:p w:rsidR="006224C2" w:rsidRPr="00295E71" w14:paraId="45C3B5A5" w14:textId="77777777">
      <w:pPr>
        <w:keepNex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6AFB7490" w14:textId="77777777">
        <w:tblPrEx>
          <w:tblW w:w="0" w:type="auto"/>
          <w:tblLayout w:type="fixed"/>
          <w:tblLook w:val="04A0"/>
        </w:tblPrEx>
        <w:tc>
          <w:tcPr>
            <w:tcW w:w="3708" w:type="dxa"/>
            <w:tcBorders>
              <w:top w:val="single" w:sz="4" w:space="0" w:color="auto"/>
              <w:left w:val="single" w:sz="4" w:space="0" w:color="auto"/>
              <w:bottom w:val="single" w:sz="4" w:space="0" w:color="auto"/>
              <w:right w:val="nil"/>
            </w:tcBorders>
            <w:hideMark/>
          </w:tcPr>
          <w:p w:rsidR="006224C2" w:rsidRPr="00295E71" w14:paraId="001C577B" w14:textId="77777777">
            <w:pPr>
              <w:pStyle w:val="EMEANormal"/>
              <w:keepNext/>
              <w:rPr>
                <w:b/>
                <w:lang w:val="it-IT"/>
              </w:rPr>
            </w:pPr>
            <w:r w:rsidRPr="00295E71">
              <w:rPr>
                <w:b/>
                <w:lang w:val="it-IT"/>
              </w:rPr>
              <w:t>STEP 6</w:t>
            </w:r>
          </w:p>
          <w:p w:rsidR="006224C2" w:rsidRPr="00295E71" w14:paraId="5A54C9AC" w14:textId="77777777">
            <w:pPr>
              <w:pStyle w:val="EMEANormal"/>
              <w:keepNext/>
              <w:spacing w:before="100" w:beforeAutospacing="1" w:after="100" w:afterAutospacing="1"/>
              <w:rPr>
                <w:b/>
                <w:lang w:val="it-IT"/>
              </w:rPr>
            </w:pPr>
            <w:r w:rsidRPr="00910CE7">
              <w:rPr>
                <w:noProof/>
                <w:lang w:val="en-GB"/>
              </w:rPr>
              <w:drawing>
                <wp:inline distT="0" distB="0" distL="0" distR="0">
                  <wp:extent cx="2247900" cy="2143125"/>
                  <wp:effectExtent l="0" t="0" r="0" b="9525"/>
                  <wp:docPr id="65" name="Picture 65"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3" descr="STEP_6_SYRINGE_IFU_PRE-INJECTION_grey"/>
                          <pic:cNvPicPr>
                            <a:picLocks noChangeAspect="1" noChangeArrowheads="1"/>
                          </pic:cNvPicPr>
                        </pic:nvPicPr>
                        <pic:blipFill>
                          <a:blip xmlns:r="http://schemas.openxmlformats.org/officeDocument/2006/relationships" r:embed="rId7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7900" cy="214312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rsidR="006224C2" w:rsidRPr="00295E71" w14:paraId="01C9A9F9" w14:textId="77777777">
            <w:pPr>
              <w:keepNext/>
              <w:rPr>
                <w:sz w:val="22"/>
                <w:szCs w:val="22"/>
              </w:rPr>
            </w:pPr>
            <w:r w:rsidRPr="00295E71">
              <w:rPr>
                <w:sz w:val="22"/>
                <w:szCs w:val="22"/>
              </w:rPr>
              <w:t xml:space="preserve">Impugni la siringa pre-riempita con una mano tra il pollice e l’indice, come una matita. </w:t>
            </w:r>
          </w:p>
          <w:p w:rsidR="006224C2" w:rsidRPr="00295E71" w14:paraId="308A7932" w14:textId="77777777">
            <w:pPr>
              <w:keepNext/>
              <w:rPr>
                <w:sz w:val="22"/>
                <w:szCs w:val="22"/>
              </w:rPr>
            </w:pPr>
          </w:p>
          <w:p w:rsidR="006224C2" w:rsidRPr="00295E71" w14:paraId="4B582E6F" w14:textId="77777777">
            <w:pPr>
              <w:keepNext/>
              <w:rPr>
                <w:sz w:val="22"/>
                <w:szCs w:val="22"/>
              </w:rPr>
            </w:pPr>
            <w:r w:rsidRPr="00295E71">
              <w:rPr>
                <w:sz w:val="22"/>
                <w:szCs w:val="22"/>
              </w:rPr>
              <w:t>Con l’altra mano afferri la pelle in corrispondenza del sito di iniezione per sollevarla e la tenga saldamente</w:t>
            </w:r>
          </w:p>
          <w:p w:rsidR="006224C2" w:rsidRPr="00295E71" w14:paraId="10FA3CCE" w14:textId="77777777">
            <w:pPr>
              <w:keepNext/>
              <w:spacing w:before="100" w:beforeAutospacing="1" w:after="100" w:afterAutospacing="1"/>
              <w:rPr>
                <w:sz w:val="22"/>
                <w:szCs w:val="22"/>
              </w:rPr>
            </w:pPr>
          </w:p>
        </w:tc>
      </w:tr>
      <w:tr w14:paraId="17A4119F" w14:textId="77777777">
        <w:tblPrEx>
          <w:tblW w:w="0" w:type="auto"/>
          <w:tblLayout w:type="fixed"/>
          <w:tblLook w:val="04A0"/>
        </w:tblPrEx>
        <w:tc>
          <w:tcPr>
            <w:tcW w:w="3708" w:type="dxa"/>
            <w:tcBorders>
              <w:top w:val="single" w:sz="4" w:space="0" w:color="auto"/>
              <w:left w:val="single" w:sz="4" w:space="0" w:color="auto"/>
              <w:bottom w:val="single" w:sz="4" w:space="0" w:color="auto"/>
              <w:right w:val="nil"/>
            </w:tcBorders>
            <w:hideMark/>
          </w:tcPr>
          <w:p w:rsidR="006224C2" w:rsidRPr="00295E71" w14:paraId="4BB3AE53" w14:textId="77777777">
            <w:pPr>
              <w:pStyle w:val="EMEANormal"/>
              <w:rPr>
                <w:b/>
                <w:lang w:val="it-IT"/>
              </w:rPr>
            </w:pPr>
            <w:r w:rsidRPr="00295E71">
              <w:rPr>
                <w:b/>
                <w:lang w:val="it-IT"/>
              </w:rPr>
              <w:t>STEP 7</w:t>
            </w:r>
          </w:p>
          <w:p w:rsidR="006224C2" w:rsidRPr="00295E71" w14:paraId="4733834A" w14:textId="77777777">
            <w:pPr>
              <w:pStyle w:val="EMEANormal"/>
              <w:spacing w:before="100" w:beforeAutospacing="1" w:after="100" w:afterAutospacing="1"/>
              <w:ind w:left="-360"/>
              <w:rPr>
                <w:b/>
                <w:lang w:val="it-IT"/>
              </w:rPr>
            </w:pPr>
            <w:r w:rsidRPr="00910CE7">
              <w:rPr>
                <w:noProof/>
                <w:lang w:val="en-GB"/>
              </w:rPr>
              <w:drawing>
                <wp:inline distT="0" distB="0" distL="0" distR="0">
                  <wp:extent cx="2181225" cy="2676525"/>
                  <wp:effectExtent l="0" t="0" r="9525" b="9525"/>
                  <wp:docPr id="77" name="Picture 77"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 descr="STEP_7_SYRINGE_IFU_ABDOMEN-THIGH_grey"/>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81225" cy="2676525"/>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rsidR="006224C2" w:rsidRPr="00295E71" w14:paraId="1E407F42" w14:textId="77777777">
            <w:pPr>
              <w:rPr>
                <w:sz w:val="22"/>
                <w:szCs w:val="22"/>
              </w:rPr>
            </w:pPr>
            <w:r w:rsidRPr="00295E71">
              <w:rPr>
                <w:sz w:val="22"/>
                <w:szCs w:val="22"/>
              </w:rPr>
              <w:t>Inserisca completamente l’ago nella pelle con un’inclinazione di circa 45° con un movimento rapido e deciso.</w:t>
            </w:r>
          </w:p>
          <w:p w:rsidR="006224C2" w:rsidRPr="00295E71" w14:paraId="2B5EC47F" w14:textId="77777777">
            <w:pPr>
              <w:rPr>
                <w:sz w:val="22"/>
                <w:szCs w:val="22"/>
              </w:rPr>
            </w:pPr>
          </w:p>
          <w:p w:rsidR="006224C2" w:rsidRPr="00295E71" w14:paraId="6DA4F47B" w14:textId="77777777">
            <w:pPr>
              <w:numPr>
                <w:ilvl w:val="0"/>
                <w:numId w:val="122"/>
              </w:numPr>
              <w:tabs>
                <w:tab w:val="left" w:pos="792"/>
              </w:tabs>
              <w:suppressAutoHyphens/>
              <w:ind w:left="792"/>
              <w:rPr>
                <w:sz w:val="22"/>
                <w:szCs w:val="22"/>
              </w:rPr>
            </w:pPr>
            <w:r w:rsidRPr="00295E71">
              <w:rPr>
                <w:sz w:val="22"/>
                <w:szCs w:val="22"/>
              </w:rPr>
              <w:t>Quando l’ago è inserito, rilasci la pelle.</w:t>
            </w:r>
          </w:p>
          <w:p w:rsidR="006224C2" w:rsidRPr="00295E71" w14:paraId="6C44034C" w14:textId="77777777">
            <w:pPr>
              <w:rPr>
                <w:sz w:val="22"/>
                <w:szCs w:val="22"/>
              </w:rPr>
            </w:pPr>
          </w:p>
          <w:p w:rsidR="006224C2" w:rsidRPr="00295E71" w14:paraId="083F7B1D" w14:textId="77777777">
            <w:pPr>
              <w:rPr>
                <w:sz w:val="22"/>
                <w:szCs w:val="22"/>
              </w:rPr>
            </w:pPr>
            <w:r w:rsidRPr="00295E71">
              <w:rPr>
                <w:sz w:val="22"/>
                <w:szCs w:val="22"/>
              </w:rPr>
              <w:t>Spinga completamente lo stantuffo fino a quando tutto il liquido è stato iniettato e la siringa pre-riempita è vuota.</w:t>
            </w:r>
          </w:p>
          <w:p w:rsidR="006224C2" w:rsidRPr="00295E71" w14:paraId="0662CECC" w14:textId="77777777">
            <w:pPr>
              <w:pStyle w:val="EMEANormal"/>
              <w:rPr>
                <w:lang w:val="it-IT"/>
              </w:rPr>
            </w:pPr>
          </w:p>
        </w:tc>
      </w:tr>
      <w:tr w14:paraId="1284BF8C" w14:textId="77777777">
        <w:tblPrEx>
          <w:tblW w:w="0" w:type="auto"/>
          <w:tblLayout w:type="fixed"/>
          <w:tblLook w:val="04A0"/>
        </w:tblPrEx>
        <w:tc>
          <w:tcPr>
            <w:tcW w:w="3708" w:type="dxa"/>
            <w:tcBorders>
              <w:top w:val="single" w:sz="4" w:space="0" w:color="auto"/>
              <w:left w:val="single" w:sz="4" w:space="0" w:color="auto"/>
              <w:bottom w:val="single" w:sz="4" w:space="0" w:color="auto"/>
              <w:right w:val="nil"/>
            </w:tcBorders>
            <w:hideMark/>
          </w:tcPr>
          <w:p w:rsidR="006224C2" w:rsidRPr="00295E71" w14:paraId="0C44CC5E" w14:textId="77777777">
            <w:pPr>
              <w:pStyle w:val="EMEANormal"/>
              <w:keepNext/>
              <w:rPr>
                <w:b/>
                <w:lang w:val="it-IT"/>
              </w:rPr>
            </w:pPr>
            <w:r w:rsidRPr="00295E71">
              <w:rPr>
                <w:b/>
                <w:lang w:val="it-IT"/>
              </w:rPr>
              <w:t>STEP 8</w:t>
            </w:r>
          </w:p>
          <w:p w:rsidR="006224C2" w14:paraId="4660F030" w14:textId="77777777">
            <w:pPr>
              <w:pStyle w:val="EMEANormal"/>
              <w:keepNext/>
              <w:spacing w:before="100" w:beforeAutospacing="1" w:after="100" w:afterAutospacing="1"/>
              <w:rPr>
                <w:b/>
                <w:lang w:val="it-IT"/>
              </w:rPr>
            </w:pPr>
          </w:p>
          <w:p w:rsidR="00EE4D81" w:rsidRPr="00295E71" w:rsidP="00EE4D81" w14:paraId="0FEB4A91" w14:textId="77777777">
            <w:pPr>
              <w:pStyle w:val="EMEANormal"/>
              <w:keepNext/>
              <w:spacing w:before="100" w:beforeAutospacing="1" w:after="100" w:afterAutospacing="1"/>
              <w:rPr>
                <w:b/>
                <w:lang w:val="it-IT"/>
              </w:rPr>
            </w:pPr>
            <w:r w:rsidRPr="00910CE7">
              <w:rPr>
                <w:b/>
                <w:noProof/>
                <w:lang w:val="en-GB"/>
              </w:rPr>
              <w:drawing>
                <wp:inline distT="0" distB="0" distL="0" distR="0">
                  <wp:extent cx="1984248" cy="2093089"/>
                  <wp:effectExtent l="0" t="0" r="0" b="25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STEP_8_SYRINGE_IFU_WITHDRAW_grey.REV 06Sep18.jpg"/>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4248" cy="2093089"/>
                          </a:xfrm>
                          <a:prstGeom prst="rect">
                            <a:avLst/>
                          </a:prstGeom>
                        </pic:spPr>
                      </pic:pic>
                    </a:graphicData>
                  </a:graphic>
                </wp:inline>
              </w:drawing>
            </w:r>
            <w:r>
              <w:rPr>
                <w:b/>
                <w:lang w:val="it-IT"/>
              </w:rPr>
              <w:t>Batuffolo di cotone</w:t>
            </w:r>
          </w:p>
        </w:tc>
        <w:tc>
          <w:tcPr>
            <w:tcW w:w="5579" w:type="dxa"/>
            <w:tcBorders>
              <w:top w:val="single" w:sz="4" w:space="0" w:color="auto"/>
              <w:left w:val="nil"/>
              <w:bottom w:val="single" w:sz="4" w:space="0" w:color="auto"/>
              <w:right w:val="single" w:sz="4" w:space="0" w:color="auto"/>
            </w:tcBorders>
          </w:tcPr>
          <w:p w:rsidR="006224C2" w:rsidRPr="00295E71" w14:paraId="50984A15" w14:textId="77777777">
            <w:pPr>
              <w:pStyle w:val="EMEANormal"/>
              <w:keepNext/>
              <w:rPr>
                <w:lang w:val="it-IT"/>
              </w:rPr>
            </w:pPr>
            <w:r w:rsidRPr="00295E71">
              <w:rPr>
                <w:lang w:val="it-IT"/>
              </w:rPr>
              <w:t>Quando la siringa è vuota, rimuova lentamente l’ago dalla pelle, mantenendo la stessa angolazione di quando è stato inserito.</w:t>
            </w:r>
          </w:p>
          <w:p w:rsidR="006224C2" w:rsidRPr="00295E71" w14:paraId="7D5EE450" w14:textId="77777777">
            <w:pPr>
              <w:pStyle w:val="EMEANormal"/>
              <w:keepNext/>
              <w:rPr>
                <w:lang w:val="it-IT"/>
              </w:rPr>
            </w:pPr>
          </w:p>
          <w:p w:rsidR="006224C2" w:rsidRPr="00295E71" w14:paraId="3C69C55A" w14:textId="77777777">
            <w:pPr>
              <w:pStyle w:val="EMEANormal"/>
              <w:keepNext/>
              <w:rPr>
                <w:lang w:val="it-IT"/>
              </w:rPr>
            </w:pPr>
            <w:r w:rsidRPr="00295E71">
              <w:rPr>
                <w:lang w:val="it-IT"/>
              </w:rPr>
              <w:t>Dopo aver effettuato l’iniezione, prema con un batuffolo di cotone o garza sulla pelle sul sito di iniezione.</w:t>
            </w:r>
          </w:p>
          <w:p w:rsidR="006224C2" w:rsidRPr="00295E71" w14:paraId="40C4E3F0" w14:textId="77777777">
            <w:pPr>
              <w:pStyle w:val="EMEANormal"/>
              <w:keepNext/>
              <w:rPr>
                <w:lang w:val="it-IT"/>
              </w:rPr>
            </w:pPr>
          </w:p>
          <w:p w:rsidR="006224C2" w:rsidRPr="00295E71" w14:paraId="5C694AA6" w14:textId="77777777">
            <w:pPr>
              <w:pStyle w:val="EMEABullet2"/>
              <w:keepNext/>
              <w:numPr>
                <w:ilvl w:val="0"/>
                <w:numId w:val="14"/>
              </w:numPr>
              <w:tabs>
                <w:tab w:val="clear" w:pos="567"/>
                <w:tab w:val="clear" w:pos="720"/>
                <w:tab w:val="num" w:pos="882"/>
              </w:tabs>
              <w:ind w:left="900" w:hanging="378"/>
              <w:rPr>
                <w:szCs w:val="22"/>
                <w:lang w:val="it-IT"/>
              </w:rPr>
            </w:pPr>
            <w:r w:rsidRPr="00295E71">
              <w:rPr>
                <w:b/>
                <w:szCs w:val="22"/>
                <w:lang w:val="it-IT"/>
              </w:rPr>
              <w:t>Non</w:t>
            </w:r>
            <w:r w:rsidRPr="00295E71">
              <w:rPr>
                <w:szCs w:val="22"/>
                <w:lang w:val="it-IT"/>
              </w:rPr>
              <w:t xml:space="preserve"> strofini</w:t>
            </w:r>
          </w:p>
          <w:p w:rsidR="006224C2" w:rsidRPr="00295E71" w14:paraId="4E61A1B0" w14:textId="77777777">
            <w:pPr>
              <w:pStyle w:val="EMEABullet2"/>
              <w:keepNext/>
              <w:numPr>
                <w:ilvl w:val="0"/>
                <w:numId w:val="14"/>
              </w:numPr>
              <w:tabs>
                <w:tab w:val="clear" w:pos="567"/>
                <w:tab w:val="clear" w:pos="720"/>
                <w:tab w:val="num" w:pos="882"/>
              </w:tabs>
              <w:ind w:left="900" w:hanging="378"/>
              <w:rPr>
                <w:szCs w:val="22"/>
                <w:lang w:val="it-IT"/>
              </w:rPr>
            </w:pPr>
            <w:r w:rsidRPr="00295E71">
              <w:rPr>
                <w:szCs w:val="22"/>
                <w:lang w:val="it-IT"/>
              </w:rPr>
              <w:t>È normale che si verifichi un leggero sanguinamento al sito di iniezione</w:t>
            </w:r>
          </w:p>
        </w:tc>
      </w:tr>
    </w:tbl>
    <w:p w:rsidR="006224C2" w:rsidRPr="00295E71" w14:paraId="09B512D6" w14:textId="77777777">
      <w:pPr>
        <w:keepNex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7"/>
      </w:tblGrid>
      <w:tr w14:paraId="72D31173" w14:textId="77777777">
        <w:tblPrEx>
          <w:tblW w:w="0" w:type="auto"/>
          <w:tblLayout w:type="fixed"/>
          <w:tblLook w:val="04A0"/>
        </w:tblPrEx>
        <w:tc>
          <w:tcPr>
            <w:tcW w:w="9287" w:type="dxa"/>
            <w:tcBorders>
              <w:top w:val="single" w:sz="4" w:space="0" w:color="auto"/>
              <w:left w:val="single" w:sz="4" w:space="0" w:color="auto"/>
              <w:bottom w:val="single" w:sz="4" w:space="0" w:color="auto"/>
              <w:right w:val="single" w:sz="4" w:space="0" w:color="auto"/>
            </w:tcBorders>
          </w:tcPr>
          <w:p w:rsidR="006224C2" w:rsidRPr="00732563" w14:paraId="02A05F55" w14:textId="77777777">
            <w:pPr>
              <w:keepNext/>
              <w:rPr>
                <w:sz w:val="22"/>
                <w:szCs w:val="22"/>
              </w:rPr>
            </w:pPr>
            <w:r w:rsidRPr="00295E71">
              <w:rPr>
                <w:b/>
                <w:sz w:val="22"/>
                <w:szCs w:val="22"/>
              </w:rPr>
              <w:t>STEP 9</w:t>
            </w:r>
          </w:p>
          <w:p w:rsidR="006224C2" w:rsidRPr="00732563" w14:paraId="5D75ED36" w14:textId="77777777">
            <w:pPr>
              <w:keepNext/>
              <w:rPr>
                <w:sz w:val="22"/>
                <w:szCs w:val="22"/>
              </w:rPr>
            </w:pPr>
          </w:p>
          <w:p w:rsidR="006224C2" w:rsidRPr="00295E71" w14:paraId="101A0657"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Getti via la siringa pre-riempita usata in un contenitore speciale, secondo le istruzioni del medico, dell’infermiere o del farmacista. Non reincappucci </w:t>
            </w:r>
            <w:r w:rsidRPr="00295E71">
              <w:rPr>
                <w:rFonts w:ascii="Times New Roman" w:hAnsi="Times New Roman"/>
                <w:szCs w:val="22"/>
                <w:lang w:val="it-IT"/>
              </w:rPr>
              <w:t>mai</w:t>
            </w:r>
            <w:r w:rsidRPr="00295E71">
              <w:rPr>
                <w:rFonts w:ascii="Times New Roman" w:hAnsi="Times New Roman"/>
                <w:b w:val="0"/>
                <w:szCs w:val="22"/>
                <w:lang w:val="it-IT"/>
              </w:rPr>
              <w:t xml:space="preserve"> l’ago.</w:t>
            </w:r>
          </w:p>
          <w:p w:rsidR="006224C2" w:rsidRPr="00295E71" w14:paraId="5171FA4A" w14:textId="77777777">
            <w:pPr>
              <w:pStyle w:val="EMEANormal"/>
              <w:rPr>
                <w:lang w:val="it-IT"/>
              </w:rPr>
            </w:pPr>
          </w:p>
          <w:p w:rsidR="006224C2" w:rsidRPr="00295E71" w14:paraId="1C9BDC0D" w14:textId="77777777">
            <w:pPr>
              <w:pStyle w:val="EMEAHeadingLeaflet"/>
              <w:keepNext/>
              <w:numPr>
                <w:ilvl w:val="0"/>
                <w:numId w:val="109"/>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ricicli o getti la siringa pre-riempita nei rifiuti domestici</w:t>
            </w:r>
          </w:p>
          <w:p w:rsidR="006224C2" w:rsidRPr="00295E71" w14:paraId="2255992B" w14:textId="77777777">
            <w:pPr>
              <w:pStyle w:val="EMEANormal"/>
              <w:keepNext/>
              <w:numPr>
                <w:ilvl w:val="0"/>
                <w:numId w:val="109"/>
              </w:numPr>
              <w:tabs>
                <w:tab w:val="clear" w:pos="562"/>
                <w:tab w:val="left" w:pos="720"/>
              </w:tabs>
              <w:rPr>
                <w:lang w:val="it-IT"/>
              </w:rPr>
            </w:pPr>
            <w:r w:rsidRPr="00295E71">
              <w:rPr>
                <w:lang w:val="it-IT"/>
              </w:rPr>
              <w:t xml:space="preserve">Tenga </w:t>
            </w:r>
            <w:r w:rsidRPr="00295E71">
              <w:rPr>
                <w:b/>
                <w:lang w:val="it-IT"/>
              </w:rPr>
              <w:t>sempre</w:t>
            </w:r>
            <w:r w:rsidRPr="00295E71">
              <w:rPr>
                <w:lang w:val="it-IT"/>
              </w:rPr>
              <w:t xml:space="preserve"> la siringa pre-riempita e il contenitore per rifiuti speciali fuori dalla vista e dalla portata dei bambini.</w:t>
            </w:r>
          </w:p>
          <w:p w:rsidR="006224C2" w:rsidRPr="00295E71" w14:paraId="48E1D42C" w14:textId="77777777">
            <w:pPr>
              <w:pStyle w:val="EMEANormal"/>
              <w:keepNext/>
              <w:tabs>
                <w:tab w:val="clear" w:pos="562"/>
                <w:tab w:val="left" w:pos="720"/>
              </w:tabs>
              <w:ind w:left="720"/>
              <w:rPr>
                <w:lang w:val="it-IT"/>
              </w:rPr>
            </w:pPr>
          </w:p>
          <w:p w:rsidR="006224C2" w:rsidRPr="00295E71" w14:paraId="1A9575C0" w14:textId="77777777">
            <w:pPr>
              <w:pStyle w:val="EMEANormal"/>
              <w:keepNext/>
              <w:rPr>
                <w:lang w:val="it-IT"/>
              </w:rPr>
            </w:pPr>
            <w:r w:rsidRPr="00295E71">
              <w:rPr>
                <w:lang w:val="it-IT"/>
              </w:rPr>
              <w:t>Il cappuccio dell’ago, il tampone imbevuto d’alcool, il batuffolo di cotone o garza, il blister e la confezione possono essere smaltiti nei rifiuti domestici.</w:t>
            </w:r>
          </w:p>
        </w:tc>
      </w:tr>
    </w:tbl>
    <w:p w:rsidR="006224C2" w:rsidRPr="00295E71" w14:paraId="26516CA7" w14:textId="77777777">
      <w:pPr>
        <w:numPr>
          <w:ilvl w:val="12"/>
          <w:numId w:val="0"/>
        </w:numPr>
        <w:tabs>
          <w:tab w:val="left" w:pos="567"/>
        </w:tabs>
        <w:ind w:right="-2"/>
        <w:jc w:val="both"/>
        <w:rPr>
          <w:b/>
          <w:snapToGrid w:val="0"/>
          <w:kern w:val="32"/>
          <w:sz w:val="22"/>
          <w:szCs w:val="22"/>
          <w:lang w:eastAsia="fr-LU"/>
        </w:rPr>
      </w:pPr>
    </w:p>
    <w:p w:rsidR="004424F3" w:rsidP="004424F3" w14:paraId="1CC21085" w14:textId="77777777">
      <w:pPr>
        <w:rPr>
          <w:snapToGrid w:val="0"/>
          <w:sz w:val="22"/>
          <w:szCs w:val="22"/>
          <w:lang w:eastAsia="fr-LU"/>
        </w:rPr>
      </w:pPr>
      <w:r w:rsidRPr="00295E71">
        <w:rPr>
          <w:snapToGrid w:val="0"/>
          <w:sz w:val="22"/>
          <w:szCs w:val="22"/>
          <w:lang w:eastAsia="fr-LU"/>
        </w:rPr>
        <w:br w:type="page"/>
      </w:r>
    </w:p>
    <w:p w:rsidR="006224C2" w:rsidRPr="00295E71" w14:paraId="5C008D97" w14:textId="77777777">
      <w:pPr>
        <w:rPr>
          <w:b/>
          <w:snapToGrid w:val="0"/>
          <w:kern w:val="32"/>
          <w:sz w:val="22"/>
          <w:szCs w:val="22"/>
          <w:lang w:eastAsia="fr-LU"/>
        </w:rPr>
      </w:pPr>
    </w:p>
    <w:p w:rsidR="006224C2" w:rsidRPr="00295E71" w14:paraId="1C44BA71" w14:textId="77777777">
      <w:pPr>
        <w:jc w:val="center"/>
        <w:rPr>
          <w:b/>
          <w:sz w:val="22"/>
          <w:szCs w:val="22"/>
        </w:rPr>
      </w:pPr>
      <w:r w:rsidRPr="00295E71">
        <w:rPr>
          <w:b/>
          <w:sz w:val="22"/>
          <w:szCs w:val="22"/>
        </w:rPr>
        <w:t>Foglio illustrativo: informazioni per il paziente</w:t>
      </w:r>
    </w:p>
    <w:p w:rsidR="006224C2" w:rsidRPr="00295E71" w14:paraId="13B139B3" w14:textId="77777777">
      <w:pPr>
        <w:pStyle w:val="Title"/>
        <w:tabs>
          <w:tab w:val="left" w:pos="567"/>
        </w:tabs>
        <w:rPr>
          <w:sz w:val="22"/>
          <w:szCs w:val="22"/>
        </w:rPr>
      </w:pPr>
    </w:p>
    <w:p w:rsidR="006224C2" w:rsidRPr="00295E71" w14:paraId="10FF47CB" w14:textId="77777777">
      <w:pPr>
        <w:pStyle w:val="Title"/>
        <w:tabs>
          <w:tab w:val="left" w:pos="567"/>
        </w:tabs>
        <w:rPr>
          <w:b w:val="0"/>
          <w:bCs w:val="0"/>
          <w:sz w:val="22"/>
          <w:szCs w:val="22"/>
        </w:rPr>
      </w:pPr>
      <w:r w:rsidRPr="00295E71">
        <w:rPr>
          <w:sz w:val="22"/>
          <w:szCs w:val="22"/>
        </w:rPr>
        <w:t>Humira</w:t>
      </w:r>
      <w:r w:rsidRPr="00295E71" w:rsidR="0023157B">
        <w:rPr>
          <w:sz w:val="22"/>
          <w:szCs w:val="22"/>
        </w:rPr>
        <w:t xml:space="preserve"> </w:t>
      </w:r>
      <w:r w:rsidRPr="00295E71">
        <w:rPr>
          <w:bCs w:val="0"/>
          <w:sz w:val="22"/>
          <w:szCs w:val="22"/>
        </w:rPr>
        <w:t>80 mg soluzione iniettabile in penna pre-riempita</w:t>
      </w:r>
    </w:p>
    <w:p w:rsidR="006224C2" w:rsidRPr="00295E71" w14:paraId="2C720054" w14:textId="77777777">
      <w:pPr>
        <w:numPr>
          <w:ilvl w:val="12"/>
          <w:numId w:val="0"/>
        </w:numPr>
        <w:tabs>
          <w:tab w:val="left" w:pos="567"/>
        </w:tabs>
        <w:ind w:right="-2"/>
        <w:jc w:val="center"/>
        <w:rPr>
          <w:bCs/>
          <w:sz w:val="22"/>
          <w:szCs w:val="22"/>
        </w:rPr>
      </w:pPr>
      <w:r w:rsidRPr="00295E71">
        <w:rPr>
          <w:bCs/>
          <w:sz w:val="22"/>
          <w:szCs w:val="22"/>
        </w:rPr>
        <w:t>adalimumab</w:t>
      </w:r>
    </w:p>
    <w:p w:rsidR="006224C2" w:rsidRPr="00295E71" w14:paraId="2C83583B" w14:textId="77777777">
      <w:pPr>
        <w:numPr>
          <w:ilvl w:val="12"/>
          <w:numId w:val="0"/>
        </w:numPr>
        <w:tabs>
          <w:tab w:val="left" w:pos="567"/>
        </w:tabs>
        <w:ind w:right="-2"/>
        <w:rPr>
          <w:b/>
          <w:bCs/>
          <w:sz w:val="22"/>
          <w:szCs w:val="22"/>
          <w:u w:val="single"/>
        </w:rPr>
      </w:pPr>
    </w:p>
    <w:p w:rsidR="006224C2" w:rsidRPr="00295E71" w14:paraId="45DC8E60" w14:textId="77777777">
      <w:pPr>
        <w:pStyle w:val="Heading8"/>
        <w:keepNext w:val="0"/>
        <w:tabs>
          <w:tab w:val="left" w:pos="567"/>
        </w:tabs>
        <w:jc w:val="both"/>
      </w:pPr>
      <w:r w:rsidRPr="00295E71">
        <w:t>Legga attentamente questo foglio prima di usare questo medicinale perchè contiene importanti informazioni per lei</w:t>
      </w:r>
    </w:p>
    <w:p w:rsidR="006224C2" w:rsidRPr="00295E71" w14:paraId="394EC288" w14:textId="77777777">
      <w:pPr>
        <w:numPr>
          <w:ilvl w:val="0"/>
          <w:numId w:val="1"/>
        </w:numPr>
        <w:tabs>
          <w:tab w:val="left" w:pos="567"/>
        </w:tabs>
        <w:ind w:left="567" w:right="-2" w:hanging="567"/>
        <w:jc w:val="both"/>
        <w:rPr>
          <w:sz w:val="22"/>
          <w:szCs w:val="22"/>
        </w:rPr>
      </w:pPr>
      <w:r w:rsidRPr="00295E71">
        <w:rPr>
          <w:sz w:val="22"/>
          <w:szCs w:val="22"/>
        </w:rPr>
        <w:t>Conservi questo foglio. Potrebbe avere bisogno di leggerlo di nuovo.</w:t>
      </w:r>
    </w:p>
    <w:p w:rsidR="006224C2" w:rsidRPr="00295E71" w14:paraId="1D89A417" w14:textId="77777777">
      <w:pPr>
        <w:numPr>
          <w:ilvl w:val="0"/>
          <w:numId w:val="1"/>
        </w:numPr>
        <w:tabs>
          <w:tab w:val="left" w:pos="567"/>
        </w:tabs>
        <w:ind w:left="567" w:right="-2" w:hanging="567"/>
        <w:jc w:val="both"/>
        <w:rPr>
          <w:sz w:val="22"/>
          <w:szCs w:val="22"/>
        </w:rPr>
      </w:pPr>
      <w:r w:rsidRPr="00295E71">
        <w:rPr>
          <w:sz w:val="22"/>
          <w:szCs w:val="22"/>
        </w:rPr>
        <w:t>Il medico le consegnerà una</w:t>
      </w:r>
      <w:r w:rsidR="004A0228">
        <w:rPr>
          <w:b/>
          <w:bCs/>
          <w:sz w:val="22"/>
          <w:szCs w:val="22"/>
        </w:rPr>
        <w:t xml:space="preserve"> </w:t>
      </w:r>
      <w:r w:rsidRPr="000D0B9B" w:rsidR="004A0228">
        <w:rPr>
          <w:b/>
          <w:sz w:val="22"/>
          <w:szCs w:val="22"/>
        </w:rPr>
        <w:t>Scheda Promemoria per il Paziente</w:t>
      </w:r>
      <w:r w:rsidRPr="00295E71">
        <w:rPr>
          <w:sz w:val="22"/>
          <w:szCs w:val="22"/>
        </w:rPr>
        <w:t>, che contiene importanti informazioni sulla sicurezza, che ha bisogno di sapere prima di iniziare ad assumere Humira e durante il trattamento con Humira. Conservi questa</w:t>
      </w:r>
      <w:r w:rsidR="004A0228">
        <w:rPr>
          <w:b/>
          <w:bCs/>
          <w:sz w:val="22"/>
          <w:szCs w:val="22"/>
        </w:rPr>
        <w:t xml:space="preserve"> </w:t>
      </w:r>
      <w:r w:rsidRPr="000D0B9B" w:rsidR="004A0228">
        <w:rPr>
          <w:b/>
          <w:sz w:val="22"/>
          <w:szCs w:val="22"/>
        </w:rPr>
        <w:t>Scheda Promemoria per il Paziente</w:t>
      </w:r>
      <w:r w:rsidRPr="00295E71">
        <w:rPr>
          <w:sz w:val="22"/>
          <w:szCs w:val="22"/>
        </w:rPr>
        <w:t>.</w:t>
      </w:r>
    </w:p>
    <w:p w:rsidR="006224C2" w:rsidRPr="00295E71" w14:paraId="4468C12D" w14:textId="77777777">
      <w:pPr>
        <w:numPr>
          <w:ilvl w:val="0"/>
          <w:numId w:val="1"/>
        </w:numPr>
        <w:tabs>
          <w:tab w:val="left" w:pos="567"/>
        </w:tabs>
        <w:ind w:left="567" w:right="-2" w:hanging="567"/>
        <w:jc w:val="both"/>
        <w:rPr>
          <w:sz w:val="22"/>
          <w:szCs w:val="22"/>
        </w:rPr>
      </w:pPr>
      <w:r w:rsidRPr="00295E71">
        <w:rPr>
          <w:sz w:val="22"/>
          <w:szCs w:val="22"/>
        </w:rPr>
        <w:t xml:space="preserve">Se ha qualsiasi dubbio, si rivolga al medico o al farmacista. </w:t>
      </w:r>
    </w:p>
    <w:p w:rsidR="006224C2" w:rsidRPr="00295E71" w14:paraId="01C7A562" w14:textId="77777777">
      <w:pPr>
        <w:numPr>
          <w:ilvl w:val="0"/>
          <w:numId w:val="1"/>
        </w:numPr>
        <w:tabs>
          <w:tab w:val="left" w:pos="567"/>
        </w:tabs>
        <w:ind w:left="567" w:right="-2" w:hanging="567"/>
        <w:jc w:val="both"/>
        <w:rPr>
          <w:sz w:val="22"/>
          <w:szCs w:val="22"/>
        </w:rPr>
      </w:pPr>
      <w:r w:rsidRPr="00295E71">
        <w:rPr>
          <w:sz w:val="22"/>
          <w:szCs w:val="22"/>
        </w:rPr>
        <w:t>Questo medicinale è stato prescritto soltanto per lei. Non lo dia ad altre persone, anche se i sintomi della malattia sono uguali ai suoi, perchè potrebbe essere pericoloso.</w:t>
      </w:r>
    </w:p>
    <w:p w:rsidR="006224C2" w:rsidRPr="00295E71" w14:paraId="63203F65" w14:textId="77777777">
      <w:pPr>
        <w:numPr>
          <w:ilvl w:val="0"/>
          <w:numId w:val="1"/>
        </w:numPr>
        <w:tabs>
          <w:tab w:val="left" w:pos="567"/>
        </w:tabs>
        <w:ind w:left="567" w:right="-2" w:hanging="567"/>
        <w:jc w:val="both"/>
        <w:rPr>
          <w:sz w:val="22"/>
          <w:szCs w:val="22"/>
        </w:rPr>
      </w:pPr>
      <w:r w:rsidRPr="00295E71">
        <w:rPr>
          <w:sz w:val="22"/>
          <w:szCs w:val="22"/>
        </w:rPr>
        <w:t>Se si manifesta un qualsiasi effetto indesiderato, compresi quelli non elencati in questo foglio, si rivolga al medico o al farmacista. Vedere paragrafo 4.</w:t>
      </w:r>
    </w:p>
    <w:p w:rsidR="006224C2" w:rsidRPr="00295E71" w14:paraId="672CF8A2" w14:textId="77777777">
      <w:pPr>
        <w:numPr>
          <w:ilvl w:val="12"/>
          <w:numId w:val="0"/>
        </w:numPr>
        <w:tabs>
          <w:tab w:val="left" w:pos="567"/>
        </w:tabs>
        <w:ind w:right="-2"/>
        <w:jc w:val="both"/>
        <w:rPr>
          <w:sz w:val="22"/>
          <w:szCs w:val="22"/>
          <w:u w:val="single"/>
        </w:rPr>
      </w:pPr>
    </w:p>
    <w:p w:rsidR="006224C2" w:rsidRPr="00295E71" w14:paraId="434B41C2" w14:textId="77777777">
      <w:pPr>
        <w:numPr>
          <w:ilvl w:val="12"/>
          <w:numId w:val="0"/>
        </w:numPr>
        <w:tabs>
          <w:tab w:val="left" w:pos="567"/>
        </w:tabs>
        <w:ind w:right="-2"/>
        <w:jc w:val="both"/>
        <w:rPr>
          <w:b/>
          <w:bCs/>
          <w:sz w:val="22"/>
          <w:szCs w:val="22"/>
        </w:rPr>
      </w:pPr>
      <w:r w:rsidRPr="00295E71">
        <w:rPr>
          <w:b/>
          <w:bCs/>
          <w:sz w:val="22"/>
          <w:szCs w:val="22"/>
        </w:rPr>
        <w:t xml:space="preserve">Contenuto di questo foglio </w:t>
      </w:r>
    </w:p>
    <w:p w:rsidR="006224C2" w:rsidRPr="00295E71" w14:paraId="39268053" w14:textId="77777777">
      <w:pPr>
        <w:tabs>
          <w:tab w:val="left" w:pos="567"/>
        </w:tabs>
        <w:ind w:left="567" w:right="-29" w:hanging="567"/>
        <w:jc w:val="both"/>
        <w:rPr>
          <w:sz w:val="22"/>
          <w:szCs w:val="22"/>
        </w:rPr>
      </w:pPr>
      <w:r w:rsidRPr="00295E71">
        <w:rPr>
          <w:sz w:val="22"/>
          <w:szCs w:val="22"/>
        </w:rPr>
        <w:t>1.</w:t>
      </w:r>
      <w:r w:rsidRPr="00295E71">
        <w:rPr>
          <w:sz w:val="22"/>
          <w:szCs w:val="22"/>
        </w:rPr>
        <w:tab/>
        <w:t>Cos’è Humira e a cosa serve</w:t>
      </w:r>
    </w:p>
    <w:p w:rsidR="006224C2" w:rsidRPr="00295E71" w14:paraId="1515C99F" w14:textId="77777777">
      <w:pPr>
        <w:tabs>
          <w:tab w:val="left" w:pos="567"/>
        </w:tabs>
        <w:ind w:left="567" w:right="-29" w:hanging="567"/>
        <w:jc w:val="both"/>
        <w:rPr>
          <w:sz w:val="22"/>
          <w:szCs w:val="22"/>
        </w:rPr>
      </w:pPr>
      <w:r w:rsidRPr="00295E71">
        <w:rPr>
          <w:sz w:val="22"/>
          <w:szCs w:val="22"/>
        </w:rPr>
        <w:t>2.</w:t>
      </w:r>
      <w:r w:rsidRPr="00295E71">
        <w:rPr>
          <w:sz w:val="22"/>
          <w:szCs w:val="22"/>
        </w:rPr>
        <w:tab/>
        <w:t>Cosa deve sapere prima di usare Humira</w:t>
      </w:r>
    </w:p>
    <w:p w:rsidR="006224C2" w:rsidRPr="00295E71" w14:paraId="7FE48797" w14:textId="77777777">
      <w:pPr>
        <w:tabs>
          <w:tab w:val="left" w:pos="567"/>
        </w:tabs>
        <w:ind w:left="567" w:right="-29" w:hanging="567"/>
        <w:jc w:val="both"/>
        <w:rPr>
          <w:sz w:val="22"/>
          <w:szCs w:val="22"/>
        </w:rPr>
      </w:pPr>
      <w:r w:rsidRPr="00295E71">
        <w:rPr>
          <w:sz w:val="22"/>
          <w:szCs w:val="22"/>
        </w:rPr>
        <w:t>3.</w:t>
      </w:r>
      <w:r w:rsidRPr="00295E71">
        <w:rPr>
          <w:sz w:val="22"/>
          <w:szCs w:val="22"/>
        </w:rPr>
        <w:tab/>
        <w:t>Come usare Humira</w:t>
      </w:r>
    </w:p>
    <w:p w:rsidR="006224C2" w:rsidRPr="00295E71" w14:paraId="7D3299D9" w14:textId="77777777">
      <w:pPr>
        <w:tabs>
          <w:tab w:val="left" w:pos="567"/>
        </w:tabs>
        <w:ind w:left="567" w:right="-29" w:hanging="567"/>
        <w:jc w:val="both"/>
        <w:rPr>
          <w:sz w:val="22"/>
          <w:szCs w:val="22"/>
        </w:rPr>
      </w:pPr>
      <w:r w:rsidRPr="00295E71">
        <w:rPr>
          <w:sz w:val="22"/>
          <w:szCs w:val="22"/>
        </w:rPr>
        <w:t>4.</w:t>
      </w:r>
      <w:r w:rsidRPr="00295E71">
        <w:rPr>
          <w:sz w:val="22"/>
          <w:szCs w:val="22"/>
        </w:rPr>
        <w:tab/>
        <w:t>Possibili effetti indesiderati</w:t>
      </w:r>
    </w:p>
    <w:p w:rsidR="006224C2" w:rsidRPr="00295E71" w14:paraId="19450C8D" w14:textId="77777777">
      <w:pPr>
        <w:tabs>
          <w:tab w:val="left" w:pos="567"/>
        </w:tabs>
        <w:ind w:left="567" w:right="-29" w:hanging="567"/>
        <w:jc w:val="both"/>
        <w:rPr>
          <w:sz w:val="22"/>
          <w:szCs w:val="22"/>
        </w:rPr>
      </w:pPr>
      <w:r w:rsidRPr="00295E71">
        <w:rPr>
          <w:sz w:val="22"/>
          <w:szCs w:val="22"/>
        </w:rPr>
        <w:t>5.</w:t>
      </w:r>
      <w:r w:rsidRPr="00295E71">
        <w:rPr>
          <w:sz w:val="22"/>
          <w:szCs w:val="22"/>
        </w:rPr>
        <w:tab/>
        <w:t>Come conservare Humira</w:t>
      </w:r>
    </w:p>
    <w:p w:rsidR="006224C2" w:rsidRPr="00295E71" w14:paraId="08FF344C" w14:textId="77777777">
      <w:pPr>
        <w:tabs>
          <w:tab w:val="left" w:pos="567"/>
        </w:tabs>
        <w:ind w:left="567" w:right="-29" w:hanging="567"/>
        <w:jc w:val="both"/>
        <w:rPr>
          <w:sz w:val="22"/>
          <w:szCs w:val="22"/>
        </w:rPr>
      </w:pPr>
      <w:r w:rsidRPr="00295E71">
        <w:rPr>
          <w:sz w:val="22"/>
          <w:szCs w:val="22"/>
        </w:rPr>
        <w:t>6.</w:t>
      </w:r>
      <w:r w:rsidRPr="00295E71">
        <w:rPr>
          <w:sz w:val="22"/>
          <w:szCs w:val="22"/>
        </w:rPr>
        <w:tab/>
        <w:t>Contenuto della confezione e altre informazioni</w:t>
      </w:r>
    </w:p>
    <w:p w:rsidR="006224C2" w:rsidRPr="00295E71" w14:paraId="41860E7E" w14:textId="77777777">
      <w:pPr>
        <w:tabs>
          <w:tab w:val="left" w:pos="708"/>
        </w:tabs>
        <w:ind w:left="567" w:right="-29" w:hanging="567"/>
        <w:rPr>
          <w:sz w:val="22"/>
          <w:szCs w:val="22"/>
        </w:rPr>
      </w:pPr>
      <w:r w:rsidRPr="00295E71">
        <w:rPr>
          <w:sz w:val="22"/>
          <w:szCs w:val="22"/>
        </w:rPr>
        <w:t>7.</w:t>
      </w:r>
      <w:r w:rsidRPr="00295E71">
        <w:rPr>
          <w:sz w:val="22"/>
          <w:szCs w:val="22"/>
        </w:rPr>
        <w:tab/>
      </w:r>
      <w:r w:rsidR="008E4D1B">
        <w:rPr>
          <w:sz w:val="22"/>
          <w:szCs w:val="22"/>
        </w:rPr>
        <w:t>Iniezione di Humira</w:t>
      </w:r>
    </w:p>
    <w:p w:rsidR="006224C2" w:rsidRPr="00295E71" w14:paraId="4EE6CB2B" w14:textId="77777777">
      <w:pPr>
        <w:numPr>
          <w:ilvl w:val="12"/>
          <w:numId w:val="0"/>
        </w:numPr>
        <w:tabs>
          <w:tab w:val="left" w:pos="567"/>
        </w:tabs>
        <w:ind w:right="-2"/>
        <w:jc w:val="both"/>
        <w:rPr>
          <w:sz w:val="22"/>
          <w:szCs w:val="22"/>
        </w:rPr>
      </w:pPr>
    </w:p>
    <w:p w:rsidR="006224C2" w:rsidRPr="00295E71" w14:paraId="070D10D5" w14:textId="77777777">
      <w:pPr>
        <w:numPr>
          <w:ilvl w:val="12"/>
          <w:numId w:val="0"/>
        </w:numPr>
        <w:tabs>
          <w:tab w:val="left" w:pos="567"/>
        </w:tabs>
        <w:ind w:right="-2"/>
        <w:jc w:val="both"/>
        <w:rPr>
          <w:sz w:val="22"/>
          <w:szCs w:val="22"/>
        </w:rPr>
      </w:pPr>
    </w:p>
    <w:p w:rsidR="006224C2" w:rsidRPr="00295E71" w14:paraId="1B4B778D" w14:textId="77777777">
      <w:pPr>
        <w:numPr>
          <w:ilvl w:val="12"/>
          <w:numId w:val="0"/>
        </w:numPr>
        <w:tabs>
          <w:tab w:val="left" w:pos="567"/>
        </w:tabs>
        <w:ind w:left="567" w:right="-2" w:hanging="567"/>
        <w:jc w:val="both"/>
        <w:rPr>
          <w:b/>
          <w:bCs/>
          <w:sz w:val="22"/>
          <w:szCs w:val="22"/>
        </w:rPr>
      </w:pPr>
      <w:r w:rsidRPr="00295E71">
        <w:rPr>
          <w:b/>
          <w:bCs/>
          <w:sz w:val="22"/>
          <w:szCs w:val="22"/>
        </w:rPr>
        <w:t>1.</w:t>
      </w:r>
      <w:r w:rsidRPr="00295E71">
        <w:rPr>
          <w:b/>
          <w:bCs/>
          <w:sz w:val="22"/>
          <w:szCs w:val="22"/>
        </w:rPr>
        <w:tab/>
        <w:t>Cos’è Humira e a cosa serve</w:t>
      </w:r>
    </w:p>
    <w:p w:rsidR="006224C2" w:rsidRPr="00295E71" w14:paraId="39360A3B" w14:textId="77777777">
      <w:pPr>
        <w:numPr>
          <w:ilvl w:val="12"/>
          <w:numId w:val="0"/>
        </w:numPr>
        <w:tabs>
          <w:tab w:val="left" w:pos="567"/>
        </w:tabs>
        <w:ind w:right="-2"/>
        <w:jc w:val="both"/>
        <w:rPr>
          <w:sz w:val="22"/>
          <w:szCs w:val="22"/>
        </w:rPr>
      </w:pPr>
    </w:p>
    <w:p w:rsidR="006224C2" w:rsidRPr="00295E71" w14:paraId="69334123" w14:textId="77777777">
      <w:pPr>
        <w:tabs>
          <w:tab w:val="left" w:pos="567"/>
        </w:tabs>
        <w:jc w:val="both"/>
        <w:rPr>
          <w:sz w:val="22"/>
          <w:szCs w:val="22"/>
        </w:rPr>
      </w:pPr>
      <w:r w:rsidRPr="00295E71">
        <w:rPr>
          <w:sz w:val="22"/>
          <w:szCs w:val="22"/>
        </w:rPr>
        <w:t>Humira contiene il principio attivo adalimumab.</w:t>
      </w:r>
    </w:p>
    <w:p w:rsidR="006224C2" w:rsidRPr="00295E71" w14:paraId="6E56D565" w14:textId="77777777">
      <w:pPr>
        <w:tabs>
          <w:tab w:val="left" w:pos="567"/>
        </w:tabs>
        <w:jc w:val="both"/>
        <w:rPr>
          <w:sz w:val="22"/>
          <w:szCs w:val="22"/>
        </w:rPr>
      </w:pPr>
    </w:p>
    <w:p w:rsidR="006224C2" w:rsidRPr="00295E71" w14:paraId="1445834C" w14:textId="77777777">
      <w:pPr>
        <w:tabs>
          <w:tab w:val="left" w:pos="567"/>
        </w:tabs>
        <w:jc w:val="both"/>
        <w:rPr>
          <w:sz w:val="22"/>
          <w:szCs w:val="22"/>
        </w:rPr>
      </w:pPr>
      <w:r w:rsidRPr="00295E71">
        <w:rPr>
          <w:sz w:val="22"/>
          <w:szCs w:val="22"/>
        </w:rPr>
        <w:t>Humira è utilizzato per il trattamento di:</w:t>
      </w:r>
    </w:p>
    <w:p w:rsidR="00F52B5F" w:rsidRPr="00295E71" w:rsidP="00F52B5F" w14:paraId="49CABAF9" w14:textId="77777777">
      <w:pPr>
        <w:numPr>
          <w:ilvl w:val="0"/>
          <w:numId w:val="114"/>
        </w:numPr>
        <w:tabs>
          <w:tab w:val="left" w:pos="708"/>
        </w:tabs>
        <w:suppressAutoHyphens/>
        <w:ind w:left="720"/>
        <w:rPr>
          <w:sz w:val="22"/>
          <w:szCs w:val="22"/>
        </w:rPr>
      </w:pPr>
      <w:r w:rsidRPr="00295E71">
        <w:rPr>
          <w:sz w:val="22"/>
          <w:szCs w:val="22"/>
        </w:rPr>
        <w:t>Artrite reumatoide</w:t>
      </w:r>
    </w:p>
    <w:p w:rsidR="006224C2" w:rsidRPr="00295E71" w14:paraId="0173BD6D" w14:textId="77777777">
      <w:pPr>
        <w:numPr>
          <w:ilvl w:val="0"/>
          <w:numId w:val="114"/>
        </w:numPr>
        <w:tabs>
          <w:tab w:val="left" w:pos="708"/>
        </w:tabs>
        <w:suppressAutoHyphens/>
        <w:ind w:left="720"/>
        <w:rPr>
          <w:sz w:val="22"/>
          <w:szCs w:val="22"/>
        </w:rPr>
      </w:pPr>
      <w:r w:rsidRPr="00295E71">
        <w:rPr>
          <w:sz w:val="22"/>
          <w:szCs w:val="22"/>
        </w:rPr>
        <w:t>Psoriasi a placche</w:t>
      </w:r>
    </w:p>
    <w:p w:rsidR="006224C2" w:rsidRPr="00295E71" w14:paraId="50369F57" w14:textId="77777777">
      <w:pPr>
        <w:numPr>
          <w:ilvl w:val="0"/>
          <w:numId w:val="114"/>
        </w:numPr>
        <w:tabs>
          <w:tab w:val="left" w:pos="708"/>
        </w:tabs>
        <w:suppressAutoHyphens/>
        <w:ind w:left="720"/>
        <w:rPr>
          <w:sz w:val="22"/>
          <w:szCs w:val="22"/>
        </w:rPr>
      </w:pPr>
      <w:r w:rsidRPr="00295E71">
        <w:rPr>
          <w:sz w:val="22"/>
          <w:szCs w:val="22"/>
        </w:rPr>
        <w:t>Idrosadenite suppurativa</w:t>
      </w:r>
    </w:p>
    <w:p w:rsidR="006224C2" w:rsidRPr="00295E71" w14:paraId="5A8BB4E8" w14:textId="77777777">
      <w:pPr>
        <w:numPr>
          <w:ilvl w:val="0"/>
          <w:numId w:val="114"/>
        </w:numPr>
        <w:tabs>
          <w:tab w:val="left" w:pos="708"/>
        </w:tabs>
        <w:suppressAutoHyphens/>
        <w:ind w:left="720"/>
        <w:rPr>
          <w:sz w:val="22"/>
          <w:szCs w:val="22"/>
        </w:rPr>
      </w:pPr>
      <w:r w:rsidRPr="00295E71">
        <w:rPr>
          <w:sz w:val="22"/>
          <w:szCs w:val="22"/>
        </w:rPr>
        <w:t>Malattia di Crohn</w:t>
      </w:r>
    </w:p>
    <w:p w:rsidR="006224C2" w:rsidRPr="00295E71" w14:paraId="3CA80797" w14:textId="77777777">
      <w:pPr>
        <w:numPr>
          <w:ilvl w:val="0"/>
          <w:numId w:val="114"/>
        </w:numPr>
        <w:tabs>
          <w:tab w:val="left" w:pos="708"/>
        </w:tabs>
        <w:suppressAutoHyphens/>
        <w:ind w:left="720"/>
        <w:rPr>
          <w:sz w:val="22"/>
          <w:szCs w:val="22"/>
        </w:rPr>
      </w:pPr>
      <w:r w:rsidRPr="00295E71">
        <w:rPr>
          <w:sz w:val="22"/>
          <w:szCs w:val="22"/>
        </w:rPr>
        <w:t>Colite ulcerosa</w:t>
      </w:r>
    </w:p>
    <w:p w:rsidR="006224C2" w:rsidRPr="00295E71" w14:paraId="1538077F" w14:textId="77777777">
      <w:pPr>
        <w:numPr>
          <w:ilvl w:val="0"/>
          <w:numId w:val="114"/>
        </w:numPr>
        <w:tabs>
          <w:tab w:val="left" w:pos="708"/>
        </w:tabs>
        <w:suppressAutoHyphens/>
        <w:ind w:left="720"/>
        <w:rPr>
          <w:sz w:val="22"/>
          <w:szCs w:val="22"/>
        </w:rPr>
      </w:pPr>
      <w:r w:rsidRPr="00295E71">
        <w:rPr>
          <w:iCs/>
          <w:sz w:val="22"/>
          <w:szCs w:val="22"/>
        </w:rPr>
        <w:t>Uveite non-infettiva</w:t>
      </w:r>
    </w:p>
    <w:p w:rsidR="006224C2" w:rsidRPr="00295E71" w14:paraId="21844C3C" w14:textId="77777777">
      <w:pPr>
        <w:tabs>
          <w:tab w:val="left" w:pos="567"/>
        </w:tabs>
        <w:jc w:val="both"/>
        <w:rPr>
          <w:sz w:val="22"/>
          <w:szCs w:val="22"/>
        </w:rPr>
      </w:pPr>
    </w:p>
    <w:p w:rsidR="009F2CE7" w:rsidRPr="00295E71" w:rsidP="009F2CE7" w14:paraId="6B6D5D01" w14:textId="77777777">
      <w:pPr>
        <w:tabs>
          <w:tab w:val="left" w:pos="567"/>
        </w:tabs>
        <w:jc w:val="both"/>
        <w:rPr>
          <w:sz w:val="22"/>
          <w:szCs w:val="22"/>
        </w:rPr>
      </w:pPr>
      <w:r w:rsidRPr="00295E71">
        <w:rPr>
          <w:sz w:val="22"/>
          <w:szCs w:val="22"/>
        </w:rPr>
        <w:t>Il principio attivo contenuto in Humira, adalimumab, è un anticorpo monoclonale umano. Gli anticorpi monoclonali sono proteine che si legano ad un bersaglio specifico.</w:t>
      </w:r>
    </w:p>
    <w:p w:rsidR="009F2CE7" w:rsidRPr="00295E71" w:rsidP="009F2CE7" w14:paraId="5D95ECF1" w14:textId="77777777">
      <w:pPr>
        <w:tabs>
          <w:tab w:val="left" w:pos="567"/>
        </w:tabs>
        <w:jc w:val="both"/>
        <w:rPr>
          <w:sz w:val="22"/>
          <w:szCs w:val="22"/>
        </w:rPr>
      </w:pPr>
    </w:p>
    <w:p w:rsidR="006224C2" w:rsidRPr="00295E71" w:rsidP="009F2CE7" w14:paraId="5BAFC3DF" w14:textId="77777777">
      <w:pPr>
        <w:numPr>
          <w:ilvl w:val="12"/>
          <w:numId w:val="0"/>
        </w:numPr>
        <w:tabs>
          <w:tab w:val="left" w:pos="567"/>
        </w:tabs>
        <w:ind w:right="-2"/>
        <w:jc w:val="both"/>
        <w:rPr>
          <w:noProof/>
          <w:color w:val="000000"/>
          <w:sz w:val="22"/>
          <w:szCs w:val="22"/>
        </w:rPr>
      </w:pPr>
      <w:r w:rsidRPr="00295E71">
        <w:rPr>
          <w:sz w:val="22"/>
          <w:szCs w:val="22"/>
        </w:rPr>
        <w:t>Il bersaglio di adalimumab è una proteina denominata fattore di necrosi tumorale (TNF</w:t>
      </w:r>
      <w:r w:rsidRPr="00295E71">
        <w:rPr>
          <w:noProof/>
          <w:color w:val="000000"/>
          <w:sz w:val="22"/>
          <w:szCs w:val="22"/>
        </w:rPr>
        <w:t>α</w:t>
      </w:r>
      <w:r w:rsidRPr="00295E71">
        <w:rPr>
          <w:sz w:val="22"/>
          <w:szCs w:val="22"/>
        </w:rPr>
        <w:t>), che è coinvolto nel sistema immunitario (di difesa) ed è presente a concentrazioni maggiori nelle malattie infiammatorie elencate sopra. Attraverso il legame al TNF</w:t>
      </w:r>
      <w:r w:rsidRPr="00295E71">
        <w:rPr>
          <w:noProof/>
          <w:color w:val="000000"/>
          <w:sz w:val="22"/>
          <w:szCs w:val="22"/>
        </w:rPr>
        <w:t>α, Humira diminuisce il processo infiammatorio di queste malattie.</w:t>
      </w:r>
    </w:p>
    <w:p w:rsidR="009F2CE7" w:rsidRPr="00295E71" w:rsidP="009F2CE7" w14:paraId="00FA388D" w14:textId="77777777">
      <w:pPr>
        <w:numPr>
          <w:ilvl w:val="12"/>
          <w:numId w:val="0"/>
        </w:numPr>
        <w:tabs>
          <w:tab w:val="left" w:pos="567"/>
        </w:tabs>
        <w:ind w:right="-2"/>
        <w:jc w:val="both"/>
        <w:rPr>
          <w:sz w:val="22"/>
          <w:szCs w:val="22"/>
        </w:rPr>
      </w:pPr>
    </w:p>
    <w:p w:rsidR="00F52B5F" w:rsidRPr="00295E71" w:rsidP="00F52B5F" w14:paraId="1A583A57" w14:textId="77777777">
      <w:pPr>
        <w:numPr>
          <w:ilvl w:val="12"/>
          <w:numId w:val="0"/>
        </w:numPr>
        <w:tabs>
          <w:tab w:val="left" w:pos="567"/>
        </w:tabs>
        <w:ind w:right="-2"/>
        <w:jc w:val="both"/>
        <w:rPr>
          <w:b/>
          <w:sz w:val="22"/>
          <w:szCs w:val="22"/>
        </w:rPr>
      </w:pPr>
      <w:r w:rsidRPr="00295E71">
        <w:rPr>
          <w:b/>
          <w:sz w:val="22"/>
          <w:szCs w:val="22"/>
        </w:rPr>
        <w:t>Artrite reumatoide</w:t>
      </w:r>
    </w:p>
    <w:p w:rsidR="00F52B5F" w:rsidRPr="00295E71" w:rsidP="00F52B5F" w14:paraId="45C2C92A" w14:textId="77777777">
      <w:pPr>
        <w:numPr>
          <w:ilvl w:val="12"/>
          <w:numId w:val="0"/>
        </w:numPr>
        <w:tabs>
          <w:tab w:val="left" w:pos="567"/>
        </w:tabs>
        <w:ind w:right="-2"/>
        <w:jc w:val="both"/>
        <w:rPr>
          <w:sz w:val="22"/>
          <w:szCs w:val="22"/>
        </w:rPr>
      </w:pPr>
    </w:p>
    <w:p w:rsidR="00F52B5F" w:rsidRPr="00295E71" w:rsidP="00F52B5F" w14:paraId="5CAC2004" w14:textId="77777777">
      <w:pPr>
        <w:numPr>
          <w:ilvl w:val="12"/>
          <w:numId w:val="0"/>
        </w:numPr>
        <w:tabs>
          <w:tab w:val="left" w:pos="567"/>
        </w:tabs>
        <w:ind w:right="-2"/>
        <w:jc w:val="both"/>
        <w:rPr>
          <w:sz w:val="22"/>
          <w:szCs w:val="22"/>
        </w:rPr>
      </w:pPr>
      <w:r w:rsidRPr="00295E71">
        <w:rPr>
          <w:sz w:val="22"/>
          <w:szCs w:val="22"/>
        </w:rPr>
        <w:t>L’artrite reumatoide è una patologia infiammatoria delle articolazioni.</w:t>
      </w:r>
    </w:p>
    <w:p w:rsidR="00F52B5F" w:rsidRPr="00295E71" w:rsidP="00F52B5F" w14:paraId="5255342F" w14:textId="77777777">
      <w:pPr>
        <w:numPr>
          <w:ilvl w:val="12"/>
          <w:numId w:val="0"/>
        </w:numPr>
        <w:tabs>
          <w:tab w:val="left" w:pos="567"/>
        </w:tabs>
        <w:ind w:right="-2"/>
        <w:jc w:val="both"/>
        <w:rPr>
          <w:sz w:val="22"/>
          <w:szCs w:val="22"/>
        </w:rPr>
      </w:pPr>
    </w:p>
    <w:p w:rsidR="00F52B5F" w:rsidRPr="00295E71" w:rsidP="00F52B5F" w14:paraId="29BFDD25" w14:textId="77777777">
      <w:pPr>
        <w:numPr>
          <w:ilvl w:val="12"/>
          <w:numId w:val="0"/>
        </w:numPr>
        <w:tabs>
          <w:tab w:val="left" w:pos="567"/>
        </w:tabs>
        <w:ind w:right="-2"/>
        <w:jc w:val="both"/>
        <w:rPr>
          <w:sz w:val="22"/>
          <w:szCs w:val="22"/>
        </w:rPr>
      </w:pPr>
      <w:r w:rsidRPr="00295E71">
        <w:rPr>
          <w:sz w:val="22"/>
          <w:szCs w:val="22"/>
        </w:rPr>
        <w:t>Humira è usato per trattare l’artrite reumatoide di grado da moderato a severo negli adulti.</w:t>
      </w:r>
    </w:p>
    <w:p w:rsidR="00F52B5F" w:rsidRPr="00295E71" w:rsidP="00F52B5F" w14:paraId="4093A7C3" w14:textId="77777777">
      <w:pPr>
        <w:numPr>
          <w:ilvl w:val="12"/>
          <w:numId w:val="0"/>
        </w:numPr>
        <w:tabs>
          <w:tab w:val="left" w:pos="567"/>
        </w:tabs>
        <w:ind w:right="-2"/>
        <w:jc w:val="both"/>
        <w:rPr>
          <w:sz w:val="22"/>
          <w:szCs w:val="22"/>
        </w:rPr>
      </w:pPr>
      <w:r w:rsidRPr="00295E71">
        <w:rPr>
          <w:sz w:val="22"/>
          <w:szCs w:val="22"/>
        </w:rPr>
        <w:t>Inizialmente possono essere assunti altri farmaci modificanti la malattia, quali il metotressato. Se la risposta a tali farmaci non è soddisfacente, le verrà dato Humira.</w:t>
      </w:r>
    </w:p>
    <w:p w:rsidR="00F52B5F" w:rsidRPr="00295E71" w:rsidP="00F52B5F" w14:paraId="7B97BD13" w14:textId="77777777">
      <w:pPr>
        <w:numPr>
          <w:ilvl w:val="12"/>
          <w:numId w:val="0"/>
        </w:numPr>
        <w:tabs>
          <w:tab w:val="left" w:pos="567"/>
        </w:tabs>
        <w:ind w:right="-2"/>
        <w:jc w:val="both"/>
        <w:rPr>
          <w:sz w:val="22"/>
          <w:szCs w:val="22"/>
        </w:rPr>
      </w:pPr>
    </w:p>
    <w:p w:rsidR="00F52B5F" w:rsidRPr="00295E71" w:rsidP="00F52B5F" w14:paraId="073D8EEC" w14:textId="77777777">
      <w:pPr>
        <w:numPr>
          <w:ilvl w:val="12"/>
          <w:numId w:val="0"/>
        </w:numPr>
        <w:tabs>
          <w:tab w:val="left" w:pos="567"/>
        </w:tabs>
        <w:ind w:right="-2"/>
        <w:jc w:val="both"/>
        <w:rPr>
          <w:sz w:val="22"/>
          <w:szCs w:val="22"/>
        </w:rPr>
      </w:pPr>
      <w:r w:rsidRPr="00295E71">
        <w:rPr>
          <w:sz w:val="22"/>
          <w:szCs w:val="22"/>
        </w:rPr>
        <w:t>Humira può essere anche utilizzato per il trattamento dell’artrite reumatoide grave, attiva e progressiva senza precedente trattamento con metotressato.</w:t>
      </w:r>
    </w:p>
    <w:p w:rsidR="00F52B5F" w:rsidRPr="00295E71" w:rsidP="00F52B5F" w14:paraId="5FA0A184" w14:textId="77777777">
      <w:pPr>
        <w:numPr>
          <w:ilvl w:val="12"/>
          <w:numId w:val="0"/>
        </w:numPr>
        <w:tabs>
          <w:tab w:val="left" w:pos="567"/>
        </w:tabs>
        <w:ind w:right="-2"/>
        <w:jc w:val="both"/>
        <w:rPr>
          <w:sz w:val="22"/>
          <w:szCs w:val="22"/>
        </w:rPr>
      </w:pPr>
    </w:p>
    <w:p w:rsidR="00F52B5F" w:rsidRPr="00295E71" w:rsidP="00F52B5F" w14:paraId="30611E1E" w14:textId="77777777">
      <w:pPr>
        <w:numPr>
          <w:ilvl w:val="12"/>
          <w:numId w:val="0"/>
        </w:numPr>
        <w:tabs>
          <w:tab w:val="left" w:pos="567"/>
        </w:tabs>
        <w:ind w:right="-2"/>
        <w:jc w:val="both"/>
        <w:rPr>
          <w:sz w:val="22"/>
          <w:szCs w:val="22"/>
        </w:rPr>
      </w:pPr>
      <w:r w:rsidRPr="00295E71">
        <w:rPr>
          <w:sz w:val="22"/>
          <w:szCs w:val="22"/>
        </w:rPr>
        <w:t>Humira può rallentare la progressione del danno alle articolazioni causato dalla malattia infiammatoria e può aiutarle a muoversi più liberamente.</w:t>
      </w:r>
    </w:p>
    <w:p w:rsidR="00F52B5F" w:rsidRPr="00295E71" w:rsidP="00F52B5F" w14:paraId="18CD4496" w14:textId="77777777">
      <w:pPr>
        <w:numPr>
          <w:ilvl w:val="12"/>
          <w:numId w:val="0"/>
        </w:numPr>
        <w:tabs>
          <w:tab w:val="left" w:pos="567"/>
        </w:tabs>
        <w:ind w:right="-2"/>
        <w:jc w:val="both"/>
        <w:rPr>
          <w:sz w:val="22"/>
          <w:szCs w:val="22"/>
        </w:rPr>
      </w:pPr>
    </w:p>
    <w:p w:rsidR="00F52B5F" w:rsidRPr="00295E71" w:rsidP="00F52B5F" w14:paraId="15CCE03F" w14:textId="77777777">
      <w:pPr>
        <w:numPr>
          <w:ilvl w:val="12"/>
          <w:numId w:val="0"/>
        </w:numPr>
        <w:tabs>
          <w:tab w:val="left" w:pos="567"/>
        </w:tabs>
        <w:ind w:right="-2"/>
        <w:jc w:val="both"/>
        <w:rPr>
          <w:sz w:val="22"/>
          <w:szCs w:val="22"/>
        </w:rPr>
      </w:pPr>
      <w:r w:rsidRPr="00295E71">
        <w:rPr>
          <w:sz w:val="22"/>
          <w:szCs w:val="22"/>
        </w:rPr>
        <w:t>Il medico deciderà se Humira deve essere assunto con il metotressato oppure da solo.</w:t>
      </w:r>
    </w:p>
    <w:p w:rsidR="00F52B5F" w:rsidRPr="00295E71" w:rsidP="009F2CE7" w14:paraId="6FC39BBD" w14:textId="77777777">
      <w:pPr>
        <w:numPr>
          <w:ilvl w:val="12"/>
          <w:numId w:val="0"/>
        </w:numPr>
        <w:tabs>
          <w:tab w:val="left" w:pos="567"/>
        </w:tabs>
        <w:ind w:right="-2"/>
        <w:jc w:val="both"/>
        <w:rPr>
          <w:sz w:val="22"/>
          <w:szCs w:val="22"/>
        </w:rPr>
      </w:pPr>
    </w:p>
    <w:p w:rsidR="006224C2" w:rsidRPr="00295E71" w14:paraId="3E3A8D1C" w14:textId="77777777">
      <w:pPr>
        <w:numPr>
          <w:ilvl w:val="12"/>
          <w:numId w:val="0"/>
        </w:numPr>
        <w:tabs>
          <w:tab w:val="left" w:pos="567"/>
        </w:tabs>
        <w:ind w:right="-2"/>
        <w:jc w:val="both"/>
        <w:rPr>
          <w:b/>
          <w:bCs/>
          <w:sz w:val="22"/>
          <w:szCs w:val="22"/>
        </w:rPr>
      </w:pPr>
      <w:r w:rsidRPr="00295E71">
        <w:rPr>
          <w:b/>
          <w:bCs/>
          <w:sz w:val="22"/>
          <w:szCs w:val="22"/>
        </w:rPr>
        <w:t>Psoriasi a placche</w:t>
      </w:r>
    </w:p>
    <w:p w:rsidR="006224C2" w:rsidRPr="00295E71" w14:paraId="674430EE" w14:textId="77777777">
      <w:pPr>
        <w:numPr>
          <w:ilvl w:val="12"/>
          <w:numId w:val="0"/>
        </w:numPr>
        <w:tabs>
          <w:tab w:val="left" w:pos="567"/>
        </w:tabs>
        <w:ind w:right="-2"/>
        <w:jc w:val="both"/>
        <w:rPr>
          <w:sz w:val="22"/>
          <w:szCs w:val="22"/>
        </w:rPr>
      </w:pPr>
    </w:p>
    <w:p w:rsidR="006224C2" w:rsidRPr="00295E71" w14:paraId="3E15F86C" w14:textId="77777777">
      <w:pPr>
        <w:numPr>
          <w:ilvl w:val="12"/>
          <w:numId w:val="0"/>
        </w:numPr>
        <w:tabs>
          <w:tab w:val="left" w:pos="567"/>
        </w:tabs>
        <w:ind w:right="-2"/>
        <w:jc w:val="both"/>
        <w:rPr>
          <w:sz w:val="22"/>
          <w:szCs w:val="22"/>
        </w:rPr>
      </w:pPr>
      <w:r w:rsidRPr="00295E71">
        <w:rPr>
          <w:sz w:val="22"/>
          <w:szCs w:val="22"/>
        </w:rPr>
        <w:t>La psoriasi a placche è una condizione della pelle che causa chiazze rossastre, squamose e indurite di pelle ricoperta da squame argentee.La psoriasi a placche può anche colpire le unghie, provocandone la rottura, l’ispessimento e il sollevamento dal letto dell’unghia, che può essere doloroso.</w:t>
      </w:r>
    </w:p>
    <w:p w:rsidR="006224C2" w:rsidRPr="00295E71" w14:paraId="6BE81887" w14:textId="77777777">
      <w:pPr>
        <w:numPr>
          <w:ilvl w:val="12"/>
          <w:numId w:val="0"/>
        </w:numPr>
        <w:tabs>
          <w:tab w:val="left" w:pos="567"/>
        </w:tabs>
        <w:ind w:right="-2"/>
        <w:jc w:val="both"/>
        <w:rPr>
          <w:sz w:val="22"/>
          <w:szCs w:val="22"/>
        </w:rPr>
      </w:pPr>
    </w:p>
    <w:p w:rsidR="006224C2" w:rsidRPr="00295E71" w14:paraId="4201F651" w14:textId="77777777">
      <w:pPr>
        <w:numPr>
          <w:ilvl w:val="12"/>
          <w:numId w:val="0"/>
        </w:numPr>
        <w:tabs>
          <w:tab w:val="left" w:pos="567"/>
        </w:tabs>
        <w:ind w:right="-2"/>
        <w:jc w:val="both"/>
        <w:rPr>
          <w:sz w:val="22"/>
          <w:szCs w:val="22"/>
        </w:rPr>
      </w:pPr>
      <w:r w:rsidRPr="00295E71">
        <w:rPr>
          <w:sz w:val="22"/>
          <w:szCs w:val="22"/>
        </w:rPr>
        <w:t xml:space="preserve">Humira è usato per trattare la psoriasi a placche cronica di grado da moderato a severo negli adulti. </w:t>
      </w:r>
    </w:p>
    <w:p w:rsidR="006224C2" w:rsidRPr="00295E71" w14:paraId="60536441" w14:textId="77777777">
      <w:pPr>
        <w:numPr>
          <w:ilvl w:val="12"/>
          <w:numId w:val="0"/>
        </w:numPr>
        <w:tabs>
          <w:tab w:val="left" w:pos="567"/>
        </w:tabs>
        <w:ind w:right="-2"/>
        <w:jc w:val="both"/>
        <w:rPr>
          <w:sz w:val="22"/>
          <w:szCs w:val="22"/>
        </w:rPr>
      </w:pPr>
    </w:p>
    <w:p w:rsidR="006224C2" w:rsidRPr="00295E71" w:rsidP="001108AC" w14:paraId="7A3A01DA" w14:textId="77777777">
      <w:pPr>
        <w:keepNext/>
        <w:rPr>
          <w:b/>
          <w:bCs/>
          <w:sz w:val="22"/>
          <w:szCs w:val="22"/>
        </w:rPr>
      </w:pPr>
      <w:r w:rsidRPr="00295E71">
        <w:rPr>
          <w:b/>
          <w:bCs/>
          <w:sz w:val="22"/>
          <w:szCs w:val="22"/>
        </w:rPr>
        <w:t>Idrosadenite Suppurativa</w:t>
      </w:r>
    </w:p>
    <w:p w:rsidR="006224C2" w:rsidRPr="00295E71" w:rsidP="001108AC" w14:paraId="1E660C25" w14:textId="77777777">
      <w:pPr>
        <w:keepNext/>
        <w:numPr>
          <w:ilvl w:val="12"/>
          <w:numId w:val="0"/>
        </w:numPr>
        <w:tabs>
          <w:tab w:val="left" w:pos="567"/>
        </w:tabs>
        <w:ind w:right="-2"/>
        <w:jc w:val="both"/>
        <w:rPr>
          <w:sz w:val="22"/>
          <w:szCs w:val="22"/>
        </w:rPr>
      </w:pPr>
    </w:p>
    <w:p w:rsidR="006224C2" w:rsidRPr="00295E71" w:rsidP="001108AC" w14:paraId="4BECBC56" w14:textId="77777777">
      <w:pPr>
        <w:keepNext/>
        <w:numPr>
          <w:ilvl w:val="12"/>
          <w:numId w:val="0"/>
        </w:numPr>
        <w:tabs>
          <w:tab w:val="left" w:pos="567"/>
        </w:tabs>
        <w:ind w:right="-2"/>
        <w:jc w:val="both"/>
        <w:rPr>
          <w:sz w:val="22"/>
          <w:szCs w:val="22"/>
        </w:rPr>
      </w:pPr>
      <w:r w:rsidRPr="00295E71">
        <w:rPr>
          <w:sz w:val="22"/>
          <w:szCs w:val="22"/>
        </w:rPr>
        <w:t>L’Idrosadenite Suppurativa (chiamata a volte acne inversa) è una malattia infiammatoria cronica della pelle e spesso è dolorosa. I sintomi possono includere noduli dolorosi e ascessi (cisti) che possono drenare pus. Più frequentemente colpisce aree specifiche della pelle, come la regione sottomammaria, le ascelle, l’interno cosce, l’inguine e le natiche. Nelle aree colpite si possono anche formare delle cicatrici.</w:t>
      </w:r>
    </w:p>
    <w:p w:rsidR="006224C2" w:rsidRPr="00295E71" w14:paraId="5402015D" w14:textId="77777777">
      <w:pPr>
        <w:numPr>
          <w:ilvl w:val="12"/>
          <w:numId w:val="0"/>
        </w:numPr>
        <w:tabs>
          <w:tab w:val="left" w:pos="567"/>
        </w:tabs>
        <w:ind w:right="-2"/>
        <w:jc w:val="both"/>
        <w:rPr>
          <w:sz w:val="22"/>
          <w:szCs w:val="22"/>
        </w:rPr>
      </w:pPr>
    </w:p>
    <w:p w:rsidR="006224C2" w:rsidRPr="00295E71" w14:paraId="6BFB299E" w14:textId="77777777">
      <w:pPr>
        <w:rPr>
          <w:sz w:val="22"/>
          <w:szCs w:val="22"/>
        </w:rPr>
      </w:pPr>
      <w:r w:rsidRPr="00295E71">
        <w:rPr>
          <w:sz w:val="22"/>
          <w:szCs w:val="22"/>
        </w:rPr>
        <w:t xml:space="preserve">Humira è utilizzato per trattare: </w:t>
      </w:r>
    </w:p>
    <w:p w:rsidR="006224C2" w:rsidRPr="00295E71" w14:paraId="1D7894A0" w14:textId="77777777">
      <w:pPr>
        <w:pStyle w:val="ListParagraph"/>
        <w:numPr>
          <w:ilvl w:val="0"/>
          <w:numId w:val="115"/>
        </w:numPr>
        <w:rPr>
          <w:sz w:val="22"/>
          <w:szCs w:val="22"/>
        </w:rPr>
      </w:pPr>
      <w:r w:rsidRPr="00295E71">
        <w:rPr>
          <w:sz w:val="22"/>
          <w:szCs w:val="22"/>
        </w:rPr>
        <w:t xml:space="preserve">L’Idrosadenite Suppurativa di grado da moderato a severo negli adulti e </w:t>
      </w:r>
    </w:p>
    <w:p w:rsidR="006224C2" w:rsidRPr="00295E71" w14:paraId="35EA8C47" w14:textId="77777777">
      <w:pPr>
        <w:pStyle w:val="ListParagraph"/>
        <w:numPr>
          <w:ilvl w:val="0"/>
          <w:numId w:val="115"/>
        </w:numPr>
        <w:rPr>
          <w:sz w:val="22"/>
          <w:szCs w:val="22"/>
        </w:rPr>
      </w:pPr>
      <w:r w:rsidRPr="00295E71">
        <w:rPr>
          <w:sz w:val="22"/>
          <w:szCs w:val="22"/>
        </w:rPr>
        <w:t xml:space="preserve">L’Idrosadenite Suppurativa di grado da moderato a severo negli adolescenti di età compresa tra 12 e 17 anni. </w:t>
      </w:r>
    </w:p>
    <w:p w:rsidR="006224C2" w:rsidRPr="00295E71" w14:paraId="02144495" w14:textId="77777777">
      <w:pPr>
        <w:rPr>
          <w:sz w:val="22"/>
          <w:szCs w:val="22"/>
        </w:rPr>
      </w:pPr>
    </w:p>
    <w:p w:rsidR="006224C2" w:rsidRPr="00295E71" w14:paraId="5E97B1DD" w14:textId="77777777">
      <w:pPr>
        <w:rPr>
          <w:sz w:val="22"/>
          <w:szCs w:val="22"/>
        </w:rPr>
      </w:pPr>
      <w:r w:rsidRPr="00295E71">
        <w:rPr>
          <w:sz w:val="22"/>
          <w:szCs w:val="22"/>
        </w:rPr>
        <w:t>Humira può ridurre il numero di noduli e di ascessi provocati dalla malattia, e il dolore che spesso è associato a questa malattia. Inizialmente possono essere assunti altri medicinali. Se la risposta a questi farmaci non dovesse essere adeguata, le verrà dato Humira.</w:t>
      </w:r>
    </w:p>
    <w:p w:rsidR="006224C2" w:rsidRPr="00295E71" w14:paraId="7C8F4BCB" w14:textId="77777777">
      <w:pPr>
        <w:pStyle w:val="EMEANormal"/>
        <w:jc w:val="both"/>
        <w:rPr>
          <w:u w:val="single"/>
          <w:lang w:val="it-IT"/>
        </w:rPr>
      </w:pPr>
    </w:p>
    <w:p w:rsidR="006224C2" w:rsidRPr="00295E71" w14:paraId="205B99CB" w14:textId="77777777">
      <w:pPr>
        <w:keepNext/>
        <w:rPr>
          <w:b/>
          <w:bCs/>
          <w:sz w:val="22"/>
          <w:szCs w:val="22"/>
        </w:rPr>
      </w:pPr>
      <w:r w:rsidRPr="00295E71">
        <w:rPr>
          <w:b/>
          <w:bCs/>
          <w:sz w:val="22"/>
          <w:szCs w:val="22"/>
        </w:rPr>
        <w:t>Malattia di Crohn</w:t>
      </w:r>
    </w:p>
    <w:p w:rsidR="006224C2" w:rsidRPr="00295E71" w14:paraId="7527BBB6" w14:textId="77777777">
      <w:pPr>
        <w:pStyle w:val="EMEANormal"/>
        <w:keepNext/>
        <w:jc w:val="both"/>
        <w:rPr>
          <w:lang w:val="it-IT"/>
        </w:rPr>
      </w:pPr>
    </w:p>
    <w:p w:rsidR="006224C2" w:rsidRPr="00295E71" w14:paraId="10593373" w14:textId="77777777">
      <w:pPr>
        <w:pStyle w:val="EMEANormal"/>
        <w:keepNext/>
        <w:jc w:val="both"/>
        <w:rPr>
          <w:lang w:val="it-IT"/>
        </w:rPr>
      </w:pPr>
      <w:r w:rsidRPr="00295E71">
        <w:rPr>
          <w:lang w:val="it-IT"/>
        </w:rPr>
        <w:t>La malattia di Crohn è un’infiammazione del tratto digerente.</w:t>
      </w:r>
    </w:p>
    <w:p w:rsidR="006224C2" w:rsidRPr="00295E71" w14:paraId="49177FD8" w14:textId="77777777">
      <w:pPr>
        <w:pStyle w:val="EMEANormal"/>
        <w:jc w:val="both"/>
        <w:rPr>
          <w:lang w:val="it-IT"/>
        </w:rPr>
      </w:pPr>
    </w:p>
    <w:p w:rsidR="006224C2" w:rsidRPr="00295E71" w14:paraId="25905CBC" w14:textId="77777777">
      <w:pPr>
        <w:numPr>
          <w:ilvl w:val="12"/>
          <w:numId w:val="0"/>
        </w:numPr>
        <w:tabs>
          <w:tab w:val="left" w:pos="567"/>
        </w:tabs>
        <w:ind w:right="-2"/>
        <w:jc w:val="both"/>
        <w:rPr>
          <w:sz w:val="22"/>
          <w:szCs w:val="22"/>
        </w:rPr>
      </w:pPr>
      <w:r w:rsidRPr="00295E71">
        <w:rPr>
          <w:sz w:val="22"/>
          <w:szCs w:val="22"/>
        </w:rPr>
        <w:t>Humira è usato per trattare:</w:t>
      </w:r>
    </w:p>
    <w:p w:rsidR="006224C2" w:rsidRPr="00295E71" w14:paraId="2E4254EA" w14:textId="77777777">
      <w:pPr>
        <w:pStyle w:val="ListParagraph"/>
        <w:numPr>
          <w:ilvl w:val="0"/>
          <w:numId w:val="116"/>
        </w:numPr>
        <w:ind w:left="720"/>
        <w:jc w:val="both"/>
        <w:rPr>
          <w:sz w:val="22"/>
          <w:szCs w:val="22"/>
        </w:rPr>
      </w:pPr>
      <w:r w:rsidRPr="00295E71">
        <w:rPr>
          <w:sz w:val="22"/>
          <w:szCs w:val="22"/>
        </w:rPr>
        <w:t>la Malattia di Crohn di grado da moderato a severo</w:t>
      </w:r>
      <w:r w:rsidRPr="00295E71" w:rsidR="00A7233A">
        <w:rPr>
          <w:sz w:val="22"/>
          <w:szCs w:val="22"/>
        </w:rPr>
        <w:t xml:space="preserve"> </w:t>
      </w:r>
      <w:r w:rsidRPr="00295E71">
        <w:rPr>
          <w:sz w:val="22"/>
          <w:szCs w:val="22"/>
        </w:rPr>
        <w:t>negli adulti</w:t>
      </w:r>
    </w:p>
    <w:p w:rsidR="006224C2" w:rsidRPr="00295E71" w14:paraId="41C06CD3" w14:textId="77777777">
      <w:pPr>
        <w:pStyle w:val="ListParagraph"/>
        <w:numPr>
          <w:ilvl w:val="0"/>
          <w:numId w:val="116"/>
        </w:numPr>
        <w:ind w:left="720"/>
        <w:jc w:val="both"/>
        <w:rPr>
          <w:sz w:val="22"/>
          <w:szCs w:val="22"/>
        </w:rPr>
      </w:pPr>
      <w:r w:rsidRPr="00295E71">
        <w:rPr>
          <w:sz w:val="22"/>
          <w:szCs w:val="22"/>
        </w:rPr>
        <w:t>la Malattia di Crohn di grado da moderato a severo</w:t>
      </w:r>
      <w:r w:rsidRPr="00295E71" w:rsidR="00A7233A">
        <w:rPr>
          <w:sz w:val="22"/>
          <w:szCs w:val="22"/>
        </w:rPr>
        <w:t xml:space="preserve"> </w:t>
      </w:r>
      <w:r w:rsidRPr="00295E71">
        <w:rPr>
          <w:sz w:val="22"/>
          <w:szCs w:val="22"/>
        </w:rPr>
        <w:t xml:space="preserve">nei bambini e adolescenti di età compresa </w:t>
      </w:r>
      <w:r w:rsidRPr="00295E71" w:rsidR="00BC1DC2">
        <w:rPr>
          <w:sz w:val="22"/>
          <w:szCs w:val="22"/>
        </w:rPr>
        <w:t xml:space="preserve">tra </w:t>
      </w:r>
      <w:r w:rsidRPr="00295E71">
        <w:rPr>
          <w:sz w:val="22"/>
          <w:szCs w:val="22"/>
        </w:rPr>
        <w:t xml:space="preserve">6 </w:t>
      </w:r>
      <w:r w:rsidRPr="00295E71" w:rsidR="00BC1DC2">
        <w:rPr>
          <w:sz w:val="22"/>
          <w:szCs w:val="22"/>
        </w:rPr>
        <w:t xml:space="preserve">e </w:t>
      </w:r>
      <w:r w:rsidRPr="00295E71">
        <w:rPr>
          <w:sz w:val="22"/>
          <w:szCs w:val="22"/>
        </w:rPr>
        <w:t xml:space="preserve">17 anni. </w:t>
      </w:r>
    </w:p>
    <w:p w:rsidR="006224C2" w:rsidRPr="00295E71" w14:paraId="0E1BB000" w14:textId="77777777">
      <w:pPr>
        <w:tabs>
          <w:tab w:val="left" w:pos="567"/>
        </w:tabs>
        <w:ind w:right="-2"/>
        <w:jc w:val="both"/>
        <w:rPr>
          <w:sz w:val="22"/>
          <w:szCs w:val="22"/>
        </w:rPr>
      </w:pPr>
    </w:p>
    <w:p w:rsidR="006224C2" w:rsidRPr="00295E71" w14:paraId="573B9F34" w14:textId="77777777">
      <w:pPr>
        <w:tabs>
          <w:tab w:val="left" w:pos="567"/>
        </w:tabs>
        <w:ind w:right="-2"/>
        <w:jc w:val="both"/>
        <w:rPr>
          <w:sz w:val="22"/>
          <w:szCs w:val="22"/>
        </w:rPr>
      </w:pPr>
      <w:r w:rsidRPr="00295E71">
        <w:rPr>
          <w:sz w:val="22"/>
          <w:szCs w:val="22"/>
        </w:rPr>
        <w:t>Inizialmente possono essere</w:t>
      </w:r>
      <w:r w:rsidRPr="00295E71" w:rsidR="005B0F02">
        <w:rPr>
          <w:sz w:val="22"/>
          <w:szCs w:val="22"/>
        </w:rPr>
        <w:t xml:space="preserve"> </w:t>
      </w:r>
      <w:r w:rsidRPr="00295E71">
        <w:rPr>
          <w:sz w:val="22"/>
          <w:szCs w:val="22"/>
        </w:rPr>
        <w:t>assunti altri farmaci. Se la risposta a questi farmaci non dovesse essere adeguata, le verrà dato</w:t>
      </w:r>
      <w:r w:rsidRPr="00295E71" w:rsidR="005B0F02">
        <w:rPr>
          <w:sz w:val="22"/>
          <w:szCs w:val="22"/>
        </w:rPr>
        <w:t xml:space="preserve"> </w:t>
      </w:r>
      <w:r w:rsidRPr="00295E71">
        <w:rPr>
          <w:sz w:val="22"/>
          <w:szCs w:val="22"/>
        </w:rPr>
        <w:t>Humira per trattare la malattia di Crohn.</w:t>
      </w:r>
    </w:p>
    <w:p w:rsidR="006224C2" w:rsidRPr="00295E71" w14:paraId="2557785E" w14:textId="77777777">
      <w:pPr>
        <w:numPr>
          <w:ilvl w:val="12"/>
          <w:numId w:val="0"/>
        </w:numPr>
        <w:tabs>
          <w:tab w:val="left" w:pos="567"/>
        </w:tabs>
        <w:ind w:right="-2"/>
        <w:jc w:val="both"/>
        <w:rPr>
          <w:sz w:val="22"/>
          <w:szCs w:val="22"/>
        </w:rPr>
      </w:pPr>
    </w:p>
    <w:p w:rsidR="006224C2" w:rsidRPr="00295E71" w14:paraId="27B165E6" w14:textId="77777777">
      <w:pPr>
        <w:keepNext/>
        <w:rPr>
          <w:b/>
          <w:bCs/>
          <w:sz w:val="22"/>
          <w:szCs w:val="22"/>
        </w:rPr>
      </w:pPr>
      <w:r w:rsidRPr="00295E71">
        <w:rPr>
          <w:b/>
          <w:bCs/>
          <w:sz w:val="22"/>
          <w:szCs w:val="22"/>
        </w:rPr>
        <w:t>Colite ulcerosa</w:t>
      </w:r>
    </w:p>
    <w:p w:rsidR="006224C2" w:rsidRPr="00295E71" w14:paraId="5B9EE16D" w14:textId="77777777">
      <w:pPr>
        <w:keepNext/>
        <w:numPr>
          <w:ilvl w:val="12"/>
          <w:numId w:val="0"/>
        </w:numPr>
        <w:tabs>
          <w:tab w:val="left" w:pos="567"/>
        </w:tabs>
        <w:ind w:right="-2"/>
        <w:jc w:val="both"/>
        <w:rPr>
          <w:sz w:val="22"/>
          <w:szCs w:val="22"/>
          <w:u w:val="single"/>
        </w:rPr>
      </w:pPr>
    </w:p>
    <w:p w:rsidR="006224C2" w:rsidRPr="00295E71" w14:paraId="793AE743" w14:textId="77777777">
      <w:pPr>
        <w:keepNext/>
        <w:numPr>
          <w:ilvl w:val="12"/>
          <w:numId w:val="0"/>
        </w:numPr>
        <w:tabs>
          <w:tab w:val="left" w:pos="567"/>
        </w:tabs>
        <w:ind w:right="-2"/>
        <w:jc w:val="both"/>
        <w:rPr>
          <w:sz w:val="22"/>
          <w:szCs w:val="22"/>
          <w:u w:val="single"/>
        </w:rPr>
      </w:pPr>
      <w:r w:rsidRPr="00295E71">
        <w:rPr>
          <w:sz w:val="22"/>
          <w:szCs w:val="22"/>
        </w:rPr>
        <w:t>La colite ulcerosa è un’infiammazione dell’intestino crasso.</w:t>
      </w:r>
    </w:p>
    <w:p w:rsidR="006224C2" w:rsidRPr="00295E71" w14:paraId="63C6FF48" w14:textId="77777777">
      <w:pPr>
        <w:numPr>
          <w:ilvl w:val="12"/>
          <w:numId w:val="0"/>
        </w:numPr>
        <w:tabs>
          <w:tab w:val="left" w:pos="567"/>
        </w:tabs>
        <w:ind w:right="-2"/>
        <w:jc w:val="both"/>
        <w:rPr>
          <w:sz w:val="22"/>
          <w:szCs w:val="22"/>
          <w:u w:val="single"/>
        </w:rPr>
      </w:pPr>
    </w:p>
    <w:p w:rsidR="00803E02" w:rsidP="00803E02" w14:paraId="643C566E" w14:textId="77777777">
      <w:pPr>
        <w:numPr>
          <w:ilvl w:val="12"/>
          <w:numId w:val="0"/>
        </w:numPr>
        <w:tabs>
          <w:tab w:val="left" w:pos="567"/>
        </w:tabs>
        <w:ind w:right="-2"/>
        <w:jc w:val="both"/>
        <w:rPr>
          <w:sz w:val="22"/>
          <w:szCs w:val="22"/>
        </w:rPr>
      </w:pPr>
      <w:r>
        <w:rPr>
          <w:sz w:val="22"/>
          <w:szCs w:val="22"/>
        </w:rPr>
        <w:t>Humira è usato per trattare</w:t>
      </w:r>
    </w:p>
    <w:p w:rsidR="00602988" w:rsidP="00612824" w14:paraId="79CC9BAA" w14:textId="77777777">
      <w:pPr>
        <w:pStyle w:val="ListParagraph"/>
        <w:numPr>
          <w:ilvl w:val="0"/>
          <w:numId w:val="159"/>
        </w:numPr>
        <w:tabs>
          <w:tab w:val="left" w:pos="630"/>
        </w:tabs>
        <w:ind w:left="630" w:right="-2" w:hanging="270"/>
        <w:jc w:val="both"/>
        <w:rPr>
          <w:sz w:val="22"/>
          <w:szCs w:val="22"/>
        </w:rPr>
      </w:pPr>
      <w:r w:rsidRPr="00FF3F30">
        <w:rPr>
          <w:sz w:val="22"/>
          <w:szCs w:val="22"/>
        </w:rPr>
        <w:t>la colite ulcerosa di grado da moderato a severo negli adulti</w:t>
      </w:r>
      <w:r w:rsidR="00126944">
        <w:rPr>
          <w:sz w:val="22"/>
          <w:szCs w:val="22"/>
        </w:rPr>
        <w:t xml:space="preserve"> e</w:t>
      </w:r>
    </w:p>
    <w:p w:rsidR="00803E02" w:rsidRPr="00612824" w:rsidP="00612824" w14:paraId="397CC391" w14:textId="77777777">
      <w:pPr>
        <w:pStyle w:val="ListParagraph"/>
        <w:numPr>
          <w:ilvl w:val="0"/>
          <w:numId w:val="159"/>
        </w:numPr>
        <w:tabs>
          <w:tab w:val="left" w:pos="630"/>
        </w:tabs>
        <w:ind w:left="630" w:right="-2" w:hanging="270"/>
        <w:jc w:val="both"/>
        <w:rPr>
          <w:sz w:val="22"/>
          <w:szCs w:val="22"/>
        </w:rPr>
      </w:pPr>
      <w:r w:rsidRPr="00612824">
        <w:rPr>
          <w:sz w:val="22"/>
          <w:szCs w:val="22"/>
        </w:rPr>
        <w:t>la colite ulcerosa di grado da moderato a severo nei bambini e negli adolescenti di età compresa tra 6 e 17 anni.</w:t>
      </w:r>
    </w:p>
    <w:p w:rsidR="00602988" w14:paraId="0267606E" w14:textId="77777777">
      <w:pPr>
        <w:numPr>
          <w:ilvl w:val="12"/>
          <w:numId w:val="0"/>
        </w:numPr>
        <w:tabs>
          <w:tab w:val="left" w:pos="567"/>
        </w:tabs>
        <w:ind w:right="-2"/>
        <w:jc w:val="both"/>
        <w:rPr>
          <w:sz w:val="22"/>
          <w:szCs w:val="22"/>
        </w:rPr>
      </w:pPr>
    </w:p>
    <w:p w:rsidR="006224C2" w:rsidRPr="00295E71" w14:paraId="52EB0BC4" w14:textId="77777777">
      <w:pPr>
        <w:numPr>
          <w:ilvl w:val="12"/>
          <w:numId w:val="0"/>
        </w:numPr>
        <w:tabs>
          <w:tab w:val="left" w:pos="567"/>
        </w:tabs>
        <w:ind w:right="-2"/>
        <w:jc w:val="both"/>
        <w:rPr>
          <w:sz w:val="22"/>
          <w:szCs w:val="22"/>
        </w:rPr>
      </w:pPr>
      <w:r w:rsidRPr="00295E71">
        <w:rPr>
          <w:sz w:val="22"/>
          <w:szCs w:val="22"/>
        </w:rPr>
        <w:t>Inizialmente possono essere assunti altri farmaci. Se la risposta a questi farmaci non dovesse essere adeguata, le verrà dato Humira.</w:t>
      </w:r>
    </w:p>
    <w:p w:rsidR="006224C2" w:rsidRPr="00295E71" w14:paraId="1E2F33B3" w14:textId="77777777">
      <w:pPr>
        <w:numPr>
          <w:ilvl w:val="12"/>
          <w:numId w:val="0"/>
        </w:numPr>
        <w:tabs>
          <w:tab w:val="left" w:pos="567"/>
        </w:tabs>
        <w:ind w:right="-2"/>
        <w:jc w:val="both"/>
        <w:rPr>
          <w:sz w:val="22"/>
          <w:szCs w:val="22"/>
        </w:rPr>
      </w:pPr>
    </w:p>
    <w:p w:rsidR="006224C2" w:rsidRPr="00295E71" w14:paraId="13DF2E2D" w14:textId="77777777">
      <w:pPr>
        <w:numPr>
          <w:ilvl w:val="12"/>
          <w:numId w:val="0"/>
        </w:numPr>
        <w:tabs>
          <w:tab w:val="left" w:pos="567"/>
        </w:tabs>
        <w:ind w:right="-2"/>
        <w:jc w:val="both"/>
        <w:rPr>
          <w:b/>
          <w:bCs/>
          <w:sz w:val="22"/>
          <w:szCs w:val="22"/>
        </w:rPr>
      </w:pPr>
      <w:r w:rsidRPr="00295E71">
        <w:rPr>
          <w:b/>
          <w:bCs/>
          <w:sz w:val="22"/>
          <w:szCs w:val="22"/>
        </w:rPr>
        <w:t>Uveite non infettiva</w:t>
      </w:r>
    </w:p>
    <w:p w:rsidR="006224C2" w:rsidRPr="00295E71" w14:paraId="73FB2725" w14:textId="77777777">
      <w:pPr>
        <w:numPr>
          <w:ilvl w:val="12"/>
          <w:numId w:val="0"/>
        </w:numPr>
        <w:tabs>
          <w:tab w:val="left" w:pos="567"/>
        </w:tabs>
        <w:ind w:right="-2"/>
        <w:jc w:val="both"/>
        <w:rPr>
          <w:sz w:val="22"/>
          <w:szCs w:val="22"/>
          <w:u w:val="single"/>
        </w:rPr>
      </w:pPr>
    </w:p>
    <w:p w:rsidR="006224C2" w:rsidRPr="00295E71" w14:paraId="0519BC7E" w14:textId="77777777">
      <w:pPr>
        <w:numPr>
          <w:ilvl w:val="12"/>
          <w:numId w:val="0"/>
        </w:numPr>
        <w:tabs>
          <w:tab w:val="left" w:pos="567"/>
        </w:tabs>
        <w:ind w:right="-2"/>
        <w:jc w:val="both"/>
        <w:rPr>
          <w:sz w:val="22"/>
          <w:szCs w:val="22"/>
        </w:rPr>
      </w:pPr>
      <w:r w:rsidRPr="00295E71">
        <w:rPr>
          <w:sz w:val="22"/>
          <w:szCs w:val="22"/>
        </w:rPr>
        <w:t>L’uveite non infettiva è una malattia infiammatoria che colpisce alcune parti dell’occhio.</w:t>
      </w:r>
    </w:p>
    <w:p w:rsidR="006224C2" w:rsidRPr="00295E71" w14:paraId="4760DF9A" w14:textId="77777777">
      <w:pPr>
        <w:numPr>
          <w:ilvl w:val="12"/>
          <w:numId w:val="0"/>
        </w:numPr>
        <w:tabs>
          <w:tab w:val="left" w:pos="567"/>
        </w:tabs>
        <w:ind w:left="567" w:right="-2" w:hanging="567"/>
        <w:jc w:val="both"/>
        <w:rPr>
          <w:sz w:val="22"/>
          <w:szCs w:val="22"/>
        </w:rPr>
      </w:pPr>
    </w:p>
    <w:p w:rsidR="006224C2" w:rsidRPr="00295E71" w:rsidP="007C6FC4" w14:paraId="6A6EE8C4" w14:textId="77777777">
      <w:pPr>
        <w:keepNext/>
        <w:keepLines/>
        <w:numPr>
          <w:ilvl w:val="12"/>
          <w:numId w:val="0"/>
        </w:numPr>
        <w:tabs>
          <w:tab w:val="left" w:pos="567"/>
        </w:tabs>
        <w:jc w:val="both"/>
        <w:rPr>
          <w:sz w:val="22"/>
          <w:szCs w:val="22"/>
        </w:rPr>
      </w:pPr>
      <w:r w:rsidRPr="00295E71">
        <w:rPr>
          <w:sz w:val="22"/>
          <w:szCs w:val="22"/>
        </w:rPr>
        <w:t>Humira è impiegato per il trattamento di:</w:t>
      </w:r>
    </w:p>
    <w:p w:rsidR="006224C2" w:rsidRPr="00295E71" w:rsidP="007C6FC4" w14:paraId="3BE48E88" w14:textId="77777777">
      <w:pPr>
        <w:pStyle w:val="ListParagraph"/>
        <w:keepNext/>
        <w:keepLines/>
        <w:numPr>
          <w:ilvl w:val="0"/>
          <w:numId w:val="127"/>
        </w:numPr>
        <w:tabs>
          <w:tab w:val="left" w:pos="567"/>
        </w:tabs>
        <w:ind w:left="567"/>
        <w:jc w:val="both"/>
        <w:rPr>
          <w:sz w:val="22"/>
          <w:szCs w:val="22"/>
        </w:rPr>
      </w:pPr>
      <w:r w:rsidRPr="00295E71">
        <w:rPr>
          <w:sz w:val="22"/>
          <w:szCs w:val="22"/>
        </w:rPr>
        <w:t xml:space="preserve">Adulti </w:t>
      </w:r>
      <w:r w:rsidRPr="00295E71" w:rsidR="00224E13">
        <w:rPr>
          <w:sz w:val="22"/>
          <w:szCs w:val="22"/>
        </w:rPr>
        <w:t>con</w:t>
      </w:r>
      <w:r w:rsidRPr="00295E71">
        <w:rPr>
          <w:sz w:val="22"/>
          <w:szCs w:val="22"/>
        </w:rPr>
        <w:t xml:space="preserve"> uveite non infettiva con infiammazione che interessa il fondo dell’occhio. </w:t>
      </w:r>
    </w:p>
    <w:p w:rsidR="006224C2" w:rsidRPr="00295E71" w:rsidP="007C6FC4" w14:paraId="4A3CBD64" w14:textId="77777777">
      <w:pPr>
        <w:pStyle w:val="ListParagraph"/>
        <w:keepNext/>
        <w:keepLines/>
        <w:numPr>
          <w:ilvl w:val="0"/>
          <w:numId w:val="127"/>
        </w:numPr>
        <w:tabs>
          <w:tab w:val="left" w:pos="567"/>
        </w:tabs>
        <w:ind w:left="567"/>
        <w:jc w:val="both"/>
        <w:rPr>
          <w:sz w:val="22"/>
          <w:szCs w:val="22"/>
        </w:rPr>
      </w:pPr>
      <w:r w:rsidRPr="00295E71">
        <w:rPr>
          <w:sz w:val="22"/>
          <w:szCs w:val="22"/>
        </w:rPr>
        <w:t>Bambini dai 2 anni di età con uveite cronica non infettiva con infiammazione che interessa la parte anteriore dell’occhio</w:t>
      </w:r>
    </w:p>
    <w:p w:rsidR="006224C2" w:rsidRPr="00295E71" w14:paraId="173A71D5" w14:textId="77777777">
      <w:pPr>
        <w:numPr>
          <w:ilvl w:val="12"/>
          <w:numId w:val="0"/>
        </w:numPr>
        <w:tabs>
          <w:tab w:val="left" w:pos="567"/>
        </w:tabs>
        <w:ind w:right="-2"/>
        <w:jc w:val="both"/>
        <w:rPr>
          <w:sz w:val="22"/>
          <w:szCs w:val="22"/>
        </w:rPr>
      </w:pPr>
    </w:p>
    <w:p w:rsidR="006224C2" w:rsidRPr="00295E71" w14:paraId="382DBD50" w14:textId="77777777">
      <w:pPr>
        <w:numPr>
          <w:ilvl w:val="12"/>
          <w:numId w:val="0"/>
        </w:numPr>
        <w:tabs>
          <w:tab w:val="left" w:pos="567"/>
        </w:tabs>
        <w:ind w:right="-2"/>
        <w:jc w:val="both"/>
        <w:rPr>
          <w:sz w:val="22"/>
          <w:szCs w:val="22"/>
        </w:rPr>
      </w:pPr>
      <w:r w:rsidRPr="00295E71">
        <w:rPr>
          <w:sz w:val="22"/>
          <w:szCs w:val="22"/>
        </w:rPr>
        <w:t>Questa infiammazione può portare a una diminuzione della visione e/o alla presenza di corpi mobili nell’occhio (punti neri o linee sottili che si muovono attraverso il campo visivo). Humira agisce riducendo questa infiammazione. Le verranno prima somministrati altri farmaci. Nel caso in cui Lei non risponda in maniera sufficientemente adeguata a questi farmaci, le verrà somministrato Humira.</w:t>
      </w:r>
    </w:p>
    <w:p w:rsidR="006224C2" w:rsidRPr="00295E71" w14:paraId="4DC48419" w14:textId="77777777">
      <w:pPr>
        <w:numPr>
          <w:ilvl w:val="12"/>
          <w:numId w:val="0"/>
        </w:numPr>
        <w:tabs>
          <w:tab w:val="left" w:pos="567"/>
        </w:tabs>
        <w:ind w:right="-2"/>
        <w:jc w:val="both"/>
        <w:rPr>
          <w:sz w:val="22"/>
          <w:szCs w:val="22"/>
        </w:rPr>
      </w:pPr>
    </w:p>
    <w:p w:rsidR="006224C2" w:rsidRPr="00295E71" w14:paraId="070C8B5A" w14:textId="77777777">
      <w:pPr>
        <w:numPr>
          <w:ilvl w:val="12"/>
          <w:numId w:val="0"/>
        </w:numPr>
        <w:tabs>
          <w:tab w:val="left" w:pos="567"/>
        </w:tabs>
        <w:ind w:right="-2"/>
        <w:jc w:val="both"/>
        <w:rPr>
          <w:sz w:val="22"/>
          <w:szCs w:val="22"/>
        </w:rPr>
      </w:pPr>
    </w:p>
    <w:p w:rsidR="006224C2" w:rsidRPr="00295E71" w:rsidP="001108AC" w14:paraId="074AAE20" w14:textId="77777777">
      <w:pPr>
        <w:keepNext/>
        <w:numPr>
          <w:ilvl w:val="12"/>
          <w:numId w:val="0"/>
        </w:numPr>
        <w:tabs>
          <w:tab w:val="left" w:pos="567"/>
        </w:tabs>
        <w:ind w:left="567" w:right="-2" w:hanging="567"/>
        <w:jc w:val="both"/>
        <w:rPr>
          <w:b/>
          <w:bCs/>
          <w:sz w:val="22"/>
          <w:szCs w:val="22"/>
        </w:rPr>
      </w:pPr>
      <w:r w:rsidRPr="00295E71">
        <w:rPr>
          <w:b/>
          <w:bCs/>
          <w:sz w:val="22"/>
          <w:szCs w:val="22"/>
        </w:rPr>
        <w:t>2.</w:t>
      </w:r>
      <w:r w:rsidRPr="00295E71">
        <w:rPr>
          <w:b/>
          <w:bCs/>
          <w:sz w:val="22"/>
          <w:szCs w:val="22"/>
        </w:rPr>
        <w:tab/>
        <w:t>Cosa deve sapere prima di usare Humira</w:t>
      </w:r>
    </w:p>
    <w:p w:rsidR="006224C2" w:rsidRPr="00295E71" w:rsidP="001108AC" w14:paraId="5706BE77" w14:textId="77777777">
      <w:pPr>
        <w:keepNext/>
        <w:numPr>
          <w:ilvl w:val="12"/>
          <w:numId w:val="0"/>
        </w:numPr>
        <w:tabs>
          <w:tab w:val="left" w:pos="567"/>
        </w:tabs>
        <w:ind w:right="-2"/>
        <w:jc w:val="both"/>
        <w:rPr>
          <w:sz w:val="22"/>
          <w:szCs w:val="22"/>
        </w:rPr>
      </w:pPr>
    </w:p>
    <w:p w:rsidR="006224C2" w:rsidRPr="00295E71" w:rsidP="001108AC" w14:paraId="38C5C7F4" w14:textId="77777777">
      <w:pPr>
        <w:keepNext/>
        <w:numPr>
          <w:ilvl w:val="12"/>
          <w:numId w:val="0"/>
        </w:numPr>
        <w:tabs>
          <w:tab w:val="left" w:pos="567"/>
        </w:tabs>
        <w:jc w:val="both"/>
        <w:rPr>
          <w:b/>
          <w:bCs/>
          <w:sz w:val="22"/>
          <w:szCs w:val="22"/>
        </w:rPr>
      </w:pPr>
      <w:r w:rsidRPr="00295E71">
        <w:rPr>
          <w:b/>
          <w:bCs/>
          <w:sz w:val="22"/>
          <w:szCs w:val="22"/>
        </w:rPr>
        <w:t>Non usi Humira:</w:t>
      </w:r>
    </w:p>
    <w:p w:rsidR="006224C2" w:rsidRPr="00295E71" w:rsidP="001108AC" w14:paraId="1694A4A0" w14:textId="77777777">
      <w:pPr>
        <w:pStyle w:val="EndnoteText"/>
        <w:keepNext/>
        <w:numPr>
          <w:ilvl w:val="12"/>
          <w:numId w:val="0"/>
        </w:numPr>
        <w:jc w:val="both"/>
        <w:rPr>
          <w:lang w:val="it-IT"/>
        </w:rPr>
      </w:pPr>
    </w:p>
    <w:p w:rsidR="006224C2" w:rsidRPr="00295E71" w:rsidP="001108AC" w14:paraId="5F7C3E74" w14:textId="77777777">
      <w:pPr>
        <w:keepNext/>
        <w:numPr>
          <w:ilvl w:val="0"/>
          <w:numId w:val="5"/>
        </w:numPr>
        <w:tabs>
          <w:tab w:val="clear" w:pos="360"/>
          <w:tab w:val="left" w:pos="540"/>
        </w:tabs>
        <w:ind w:left="540" w:hanging="540"/>
        <w:jc w:val="both"/>
        <w:rPr>
          <w:sz w:val="22"/>
          <w:szCs w:val="22"/>
        </w:rPr>
      </w:pPr>
      <w:r w:rsidRPr="00295E71">
        <w:rPr>
          <w:sz w:val="22"/>
          <w:szCs w:val="22"/>
        </w:rPr>
        <w:t>Se è allergico ad adalimumab o ad uno qualsiasi degli altri componenti di questo medicinale (elencati al paragrafo 6).</w:t>
      </w:r>
    </w:p>
    <w:p w:rsidR="006224C2" w:rsidRPr="00295E71" w:rsidP="001108AC" w14:paraId="3C74C80D" w14:textId="77777777">
      <w:pPr>
        <w:keepNext/>
        <w:tabs>
          <w:tab w:val="left" w:pos="567"/>
        </w:tabs>
        <w:jc w:val="both"/>
        <w:rPr>
          <w:sz w:val="22"/>
          <w:szCs w:val="22"/>
        </w:rPr>
      </w:pPr>
    </w:p>
    <w:p w:rsidR="006224C2" w:rsidRPr="00295E71" w:rsidP="001108AC" w14:paraId="672B6161" w14:textId="77777777">
      <w:pPr>
        <w:keepNext/>
        <w:numPr>
          <w:ilvl w:val="0"/>
          <w:numId w:val="5"/>
        </w:numPr>
        <w:tabs>
          <w:tab w:val="clear" w:pos="360"/>
          <w:tab w:val="left" w:pos="540"/>
        </w:tabs>
        <w:ind w:left="540" w:hanging="540"/>
        <w:jc w:val="both"/>
        <w:rPr>
          <w:sz w:val="22"/>
          <w:szCs w:val="22"/>
        </w:rPr>
      </w:pPr>
      <w:r w:rsidRPr="00295E71">
        <w:rPr>
          <w:sz w:val="22"/>
          <w:szCs w:val="22"/>
        </w:rPr>
        <w:t>In presenza di tubercolosi attiva o altre infezioni gravi (vedere “Avvertenze e precauzioni”). È importante comunicare al medico se ha segni o sintomi di infezione, come per esempio febbre, ferite, sensazione di stanchezza, problemi dentali.</w:t>
      </w:r>
    </w:p>
    <w:p w:rsidR="006224C2" w:rsidRPr="00295E71" w:rsidP="001108AC" w14:paraId="0643AB18" w14:textId="77777777">
      <w:pPr>
        <w:pStyle w:val="EndnoteText"/>
        <w:keepNext/>
        <w:jc w:val="both"/>
        <w:rPr>
          <w:lang w:val="it-IT" w:eastAsia="it-IT"/>
        </w:rPr>
      </w:pPr>
    </w:p>
    <w:p w:rsidR="006224C2" w:rsidRPr="00295E71" w:rsidP="001108AC" w14:paraId="6D077DED" w14:textId="77777777">
      <w:pPr>
        <w:keepNext/>
        <w:numPr>
          <w:ilvl w:val="0"/>
          <w:numId w:val="5"/>
        </w:numPr>
        <w:tabs>
          <w:tab w:val="clear" w:pos="360"/>
          <w:tab w:val="left" w:pos="540"/>
        </w:tabs>
        <w:ind w:left="540" w:hanging="540"/>
        <w:jc w:val="both"/>
        <w:rPr>
          <w:sz w:val="22"/>
          <w:szCs w:val="22"/>
        </w:rPr>
      </w:pPr>
      <w:r w:rsidRPr="00295E71">
        <w:rPr>
          <w:sz w:val="22"/>
          <w:szCs w:val="22"/>
        </w:rPr>
        <w:t>In presenza di insufficienza cardiaca moderata o severa. È importante riferire al medico se c’è stata o è presente una condizione cardiaca grave (vedere “Avvertenze e precauzioni”).</w:t>
      </w:r>
    </w:p>
    <w:p w:rsidR="006224C2" w:rsidRPr="00295E71" w14:paraId="5376CE81" w14:textId="77777777">
      <w:pPr>
        <w:tabs>
          <w:tab w:val="left" w:pos="567"/>
        </w:tabs>
        <w:jc w:val="both"/>
        <w:rPr>
          <w:sz w:val="22"/>
          <w:szCs w:val="22"/>
        </w:rPr>
      </w:pPr>
    </w:p>
    <w:p w:rsidR="006224C2" w:rsidRPr="00295E71" w14:paraId="0FDD09CD" w14:textId="77777777">
      <w:pPr>
        <w:keepNext/>
        <w:tabs>
          <w:tab w:val="left" w:pos="567"/>
        </w:tabs>
        <w:jc w:val="both"/>
        <w:rPr>
          <w:b/>
          <w:bCs/>
          <w:sz w:val="22"/>
          <w:szCs w:val="22"/>
        </w:rPr>
      </w:pPr>
      <w:r w:rsidRPr="00295E71">
        <w:rPr>
          <w:b/>
          <w:bCs/>
          <w:sz w:val="22"/>
          <w:szCs w:val="22"/>
        </w:rPr>
        <w:t>Avvertenze e precauzioni</w:t>
      </w:r>
    </w:p>
    <w:p w:rsidR="006224C2" w:rsidRPr="00295E71" w14:paraId="2DCDB645" w14:textId="77777777">
      <w:pPr>
        <w:keepNext/>
        <w:tabs>
          <w:tab w:val="left" w:pos="567"/>
        </w:tabs>
        <w:jc w:val="both"/>
        <w:rPr>
          <w:b/>
          <w:bCs/>
          <w:sz w:val="22"/>
          <w:szCs w:val="22"/>
        </w:rPr>
      </w:pPr>
    </w:p>
    <w:p w:rsidR="006224C2" w:rsidRPr="00295E71" w14:paraId="47D642C4" w14:textId="77777777">
      <w:pPr>
        <w:keepNext/>
        <w:tabs>
          <w:tab w:val="left" w:pos="540"/>
        </w:tabs>
        <w:jc w:val="both"/>
        <w:rPr>
          <w:sz w:val="22"/>
          <w:szCs w:val="22"/>
        </w:rPr>
      </w:pPr>
      <w:r w:rsidRPr="00295E71">
        <w:rPr>
          <w:sz w:val="22"/>
          <w:szCs w:val="22"/>
        </w:rPr>
        <w:t>Si rivolga al medico o al farmacista prima di usare Humira</w:t>
      </w:r>
    </w:p>
    <w:p w:rsidR="006224C2" w:rsidRPr="00295E71" w14:paraId="01CC40E8" w14:textId="77777777">
      <w:pPr>
        <w:tabs>
          <w:tab w:val="left" w:pos="540"/>
        </w:tabs>
        <w:jc w:val="both"/>
        <w:rPr>
          <w:sz w:val="22"/>
          <w:szCs w:val="22"/>
        </w:rPr>
      </w:pPr>
    </w:p>
    <w:p w:rsidR="006224C2" w:rsidRPr="00295E71" w14:paraId="13E2C6BF" w14:textId="77777777">
      <w:pPr>
        <w:tabs>
          <w:tab w:val="left" w:pos="540"/>
        </w:tabs>
        <w:jc w:val="both"/>
        <w:rPr>
          <w:sz w:val="22"/>
          <w:szCs w:val="22"/>
          <w:u w:val="single"/>
        </w:rPr>
      </w:pPr>
      <w:r w:rsidRPr="00295E71">
        <w:rPr>
          <w:sz w:val="22"/>
          <w:szCs w:val="22"/>
          <w:u w:val="single"/>
        </w:rPr>
        <w:t>Reazioni allergiche</w:t>
      </w:r>
    </w:p>
    <w:p w:rsidR="006224C2" w:rsidRPr="00295E71" w14:paraId="7DEF4548" w14:textId="77777777">
      <w:pPr>
        <w:tabs>
          <w:tab w:val="left" w:pos="540"/>
        </w:tabs>
        <w:jc w:val="both"/>
        <w:rPr>
          <w:sz w:val="22"/>
          <w:szCs w:val="22"/>
        </w:rPr>
      </w:pPr>
    </w:p>
    <w:p w:rsidR="006224C2" w:rsidRPr="00295E71" w14:paraId="5F41DF54" w14:textId="77777777">
      <w:pPr>
        <w:numPr>
          <w:ilvl w:val="0"/>
          <w:numId w:val="5"/>
        </w:numPr>
        <w:tabs>
          <w:tab w:val="clear" w:pos="360"/>
          <w:tab w:val="left" w:pos="540"/>
        </w:tabs>
        <w:ind w:left="540" w:hanging="540"/>
        <w:jc w:val="both"/>
        <w:rPr>
          <w:sz w:val="22"/>
          <w:szCs w:val="22"/>
        </w:rPr>
      </w:pPr>
      <w:r w:rsidRPr="00295E71">
        <w:rPr>
          <w:sz w:val="22"/>
          <w:szCs w:val="22"/>
        </w:rPr>
        <w:t>In caso di reazioni allergiche con sintomi quali senso d’oppressione toracica, respiro sibilante, capogiro, gonfiore o eruzione cutanea, non assuma più Humira e contatti il medico immediatamente</w:t>
      </w:r>
      <w:r w:rsidRPr="00295E71" w:rsidR="00980CA1">
        <w:rPr>
          <w:sz w:val="22"/>
          <w:szCs w:val="22"/>
        </w:rPr>
        <w:t xml:space="preserve"> considerato che, in rari casi, queste reazioni possono essere pericolose per la vita</w:t>
      </w:r>
      <w:r w:rsidRPr="00295E71">
        <w:rPr>
          <w:sz w:val="22"/>
          <w:szCs w:val="22"/>
        </w:rPr>
        <w:t>.</w:t>
      </w:r>
    </w:p>
    <w:p w:rsidR="006224C2" w:rsidRPr="00295E71" w14:paraId="7D21833C" w14:textId="77777777">
      <w:pPr>
        <w:pStyle w:val="EndnoteText"/>
        <w:tabs>
          <w:tab w:val="num" w:pos="930"/>
        </w:tabs>
        <w:jc w:val="both"/>
        <w:rPr>
          <w:lang w:val="it-IT" w:eastAsia="it-IT"/>
        </w:rPr>
      </w:pPr>
    </w:p>
    <w:p w:rsidR="006224C2" w:rsidRPr="00295E71" w14:paraId="09B4A051" w14:textId="77777777">
      <w:pPr>
        <w:tabs>
          <w:tab w:val="left" w:pos="540"/>
        </w:tabs>
        <w:jc w:val="both"/>
        <w:rPr>
          <w:sz w:val="22"/>
          <w:szCs w:val="22"/>
          <w:u w:val="single"/>
        </w:rPr>
      </w:pPr>
      <w:r w:rsidRPr="00295E71">
        <w:rPr>
          <w:sz w:val="22"/>
          <w:szCs w:val="22"/>
          <w:u w:val="single"/>
        </w:rPr>
        <w:t>Infezioni</w:t>
      </w:r>
    </w:p>
    <w:p w:rsidR="006224C2" w:rsidRPr="00295E71" w14:paraId="7176FF4A" w14:textId="77777777">
      <w:pPr>
        <w:pStyle w:val="ListParagraph"/>
        <w:rPr>
          <w:sz w:val="22"/>
          <w:szCs w:val="22"/>
        </w:rPr>
      </w:pPr>
    </w:p>
    <w:p w:rsidR="006224C2" w:rsidRPr="00295E71" w14:paraId="7D2CBF1A" w14:textId="77777777">
      <w:pPr>
        <w:numPr>
          <w:ilvl w:val="0"/>
          <w:numId w:val="5"/>
        </w:numPr>
        <w:tabs>
          <w:tab w:val="clear" w:pos="360"/>
          <w:tab w:val="left" w:pos="540"/>
        </w:tabs>
        <w:ind w:left="540" w:hanging="540"/>
        <w:jc w:val="both"/>
        <w:rPr>
          <w:sz w:val="22"/>
          <w:szCs w:val="22"/>
        </w:rPr>
      </w:pPr>
      <w:r w:rsidRPr="00295E71">
        <w:rPr>
          <w:sz w:val="22"/>
          <w:szCs w:val="22"/>
        </w:rPr>
        <w:t>In caso d’infezione, comprese infezioni a lungo termine o un’infezione in una parte del corpo (per esempio, ulcere alle gambe) consulti il medico prima di iniziare il trattamento con Humira. Se ha dubbi, contatti il medico.</w:t>
      </w:r>
    </w:p>
    <w:p w:rsidR="006224C2" w:rsidRPr="00295E71" w14:paraId="38AC4726" w14:textId="77777777">
      <w:pPr>
        <w:pStyle w:val="EndnoteText"/>
        <w:jc w:val="both"/>
        <w:rPr>
          <w:lang w:val="it-IT" w:eastAsia="it-IT"/>
        </w:rPr>
      </w:pPr>
    </w:p>
    <w:p w:rsidR="006224C2" w:rsidRPr="00295E71" w14:paraId="44325CA3" w14:textId="77777777">
      <w:pPr>
        <w:numPr>
          <w:ilvl w:val="0"/>
          <w:numId w:val="5"/>
        </w:numPr>
        <w:tabs>
          <w:tab w:val="clear" w:pos="360"/>
          <w:tab w:val="left" w:pos="540"/>
        </w:tabs>
        <w:ind w:left="540" w:hanging="540"/>
        <w:jc w:val="both"/>
        <w:rPr>
          <w:sz w:val="22"/>
          <w:szCs w:val="22"/>
        </w:rPr>
      </w:pPr>
      <w:r w:rsidRPr="00295E71">
        <w:rPr>
          <w:sz w:val="22"/>
          <w:szCs w:val="22"/>
        </w:rPr>
        <w:t>È possibile contrarre più facilmente infezioni durante il trattamento con Humira. Questo rischio può aumentare se ha problemi ai</w:t>
      </w:r>
      <w:r w:rsidRPr="00295E71" w:rsidR="005B0F02">
        <w:rPr>
          <w:sz w:val="22"/>
          <w:szCs w:val="22"/>
        </w:rPr>
        <w:t xml:space="preserve"> </w:t>
      </w:r>
      <w:r w:rsidRPr="00295E71">
        <w:rPr>
          <w:sz w:val="22"/>
          <w:szCs w:val="22"/>
        </w:rPr>
        <w:t>polmoni. Queste infezioni possono essere gravi ed includere:</w:t>
      </w:r>
    </w:p>
    <w:p w:rsidR="006224C2" w:rsidRPr="00295E71" w:rsidP="009F2CE7" w14:paraId="5B18BF44" w14:textId="77777777">
      <w:pPr>
        <w:pStyle w:val="ListParagraph"/>
      </w:pPr>
    </w:p>
    <w:p w:rsidR="006224C2" w:rsidRPr="00295E71" w:rsidP="00495A97" w14:paraId="5F6E7CAD" w14:textId="77777777">
      <w:pPr>
        <w:numPr>
          <w:ilvl w:val="1"/>
          <w:numId w:val="5"/>
        </w:numPr>
        <w:tabs>
          <w:tab w:val="left" w:pos="540"/>
        </w:tabs>
        <w:jc w:val="both"/>
        <w:rPr>
          <w:sz w:val="22"/>
          <w:szCs w:val="22"/>
        </w:rPr>
      </w:pPr>
      <w:r w:rsidRPr="00295E71">
        <w:rPr>
          <w:sz w:val="22"/>
          <w:szCs w:val="22"/>
        </w:rPr>
        <w:t xml:space="preserve">tubercolosi, </w:t>
      </w:r>
    </w:p>
    <w:p w:rsidR="006224C2" w:rsidRPr="00295E71" w:rsidP="00495A97" w14:paraId="2CB1E50C" w14:textId="77777777">
      <w:pPr>
        <w:numPr>
          <w:ilvl w:val="1"/>
          <w:numId w:val="5"/>
        </w:numPr>
        <w:tabs>
          <w:tab w:val="left" w:pos="540"/>
        </w:tabs>
        <w:jc w:val="both"/>
        <w:rPr>
          <w:sz w:val="22"/>
          <w:szCs w:val="22"/>
        </w:rPr>
      </w:pPr>
      <w:r w:rsidRPr="00295E71">
        <w:rPr>
          <w:sz w:val="22"/>
          <w:szCs w:val="22"/>
        </w:rPr>
        <w:t>infezioni causate da virus, funghi, parassiti o batteri,</w:t>
      </w:r>
    </w:p>
    <w:p w:rsidR="006224C2" w:rsidRPr="00295E71" w14:paraId="3FACBBED" w14:textId="77777777">
      <w:pPr>
        <w:numPr>
          <w:ilvl w:val="1"/>
          <w:numId w:val="5"/>
        </w:numPr>
        <w:tabs>
          <w:tab w:val="left" w:pos="540"/>
        </w:tabs>
        <w:jc w:val="both"/>
        <w:rPr>
          <w:sz w:val="22"/>
          <w:szCs w:val="22"/>
        </w:rPr>
      </w:pPr>
      <w:r w:rsidRPr="00295E71">
        <w:rPr>
          <w:sz w:val="22"/>
          <w:szCs w:val="22"/>
        </w:rPr>
        <w:t xml:space="preserve">infezioni gravi nel sangue (sepsi) </w:t>
      </w:r>
    </w:p>
    <w:p w:rsidR="006224C2" w:rsidRPr="00295E71" w14:paraId="60B24046" w14:textId="77777777">
      <w:pPr>
        <w:tabs>
          <w:tab w:val="left" w:pos="540"/>
        </w:tabs>
        <w:ind w:left="1440"/>
        <w:jc w:val="both"/>
        <w:rPr>
          <w:sz w:val="22"/>
          <w:szCs w:val="22"/>
        </w:rPr>
      </w:pPr>
    </w:p>
    <w:p w:rsidR="006224C2" w:rsidRPr="00295E71" w14:paraId="31589AB7" w14:textId="77777777">
      <w:pPr>
        <w:tabs>
          <w:tab w:val="left" w:pos="540"/>
        </w:tabs>
        <w:ind w:left="567"/>
        <w:jc w:val="both"/>
        <w:rPr>
          <w:sz w:val="22"/>
          <w:szCs w:val="22"/>
        </w:rPr>
      </w:pPr>
      <w:r w:rsidRPr="00295E71">
        <w:rPr>
          <w:sz w:val="22"/>
          <w:szCs w:val="22"/>
        </w:rPr>
        <w:t>In rari casi, queste infezioni possono essere rischiose per la vita del paziente. È importante comunicare al medico se manifesta sintomi quali febbre, ferite, sensazione di stanchezza o problemi dentali. Il medico potrebbe dirle di interrompere Humira per un periodo di tempo.</w:t>
      </w:r>
    </w:p>
    <w:p w:rsidR="006224C2" w:rsidRPr="00295E71" w14:paraId="2F343DCA" w14:textId="77777777">
      <w:pPr>
        <w:pStyle w:val="ListParagraph"/>
        <w:ind w:left="360"/>
        <w:rPr>
          <w:sz w:val="22"/>
          <w:szCs w:val="22"/>
        </w:rPr>
      </w:pPr>
    </w:p>
    <w:p w:rsidR="006224C2" w:rsidRPr="00295E71" w14:paraId="02334A06" w14:textId="77777777">
      <w:pPr>
        <w:pStyle w:val="ListParagraph"/>
        <w:numPr>
          <w:ilvl w:val="0"/>
          <w:numId w:val="5"/>
        </w:numPr>
        <w:tabs>
          <w:tab w:val="clear" w:pos="360"/>
          <w:tab w:val="num" w:pos="567"/>
        </w:tabs>
        <w:ind w:left="567" w:hanging="567"/>
        <w:rPr>
          <w:sz w:val="22"/>
          <w:szCs w:val="22"/>
        </w:rPr>
      </w:pPr>
      <w:r w:rsidRPr="00295E71">
        <w:rPr>
          <w:sz w:val="22"/>
          <w:szCs w:val="22"/>
        </w:rPr>
        <w:t>Informi il medico se vive o viaggia in regioni dove le infezioni fungine sono molto comuni (ad esempio istoplasmosi, coccidioidomicosi o blastomicosi).</w:t>
      </w:r>
    </w:p>
    <w:p w:rsidR="006224C2" w:rsidRPr="00295E71" w14:paraId="04AB8147" w14:textId="77777777">
      <w:pPr>
        <w:pStyle w:val="ListParagraph"/>
        <w:tabs>
          <w:tab w:val="num" w:pos="567"/>
        </w:tabs>
        <w:ind w:left="360"/>
        <w:rPr>
          <w:sz w:val="22"/>
          <w:szCs w:val="22"/>
        </w:rPr>
      </w:pPr>
    </w:p>
    <w:p w:rsidR="006224C2" w:rsidRPr="00295E71" w14:paraId="428B4402" w14:textId="77777777">
      <w:pPr>
        <w:pStyle w:val="ListParagraph"/>
        <w:numPr>
          <w:ilvl w:val="0"/>
          <w:numId w:val="5"/>
        </w:numPr>
        <w:tabs>
          <w:tab w:val="clear" w:pos="360"/>
          <w:tab w:val="num" w:pos="567"/>
        </w:tabs>
        <w:ind w:left="567" w:hanging="567"/>
        <w:rPr>
          <w:sz w:val="22"/>
          <w:szCs w:val="22"/>
        </w:rPr>
      </w:pPr>
      <w:r w:rsidRPr="00295E71">
        <w:rPr>
          <w:sz w:val="22"/>
          <w:szCs w:val="22"/>
        </w:rPr>
        <w:t>Informi il medico se ha avuto infezioni che continuano a ripresentarsi o se ha altre patologie che aumentano il rischio di infezione.</w:t>
      </w:r>
    </w:p>
    <w:p w:rsidR="006224C2" w:rsidRPr="00295E71" w14:paraId="73BCC892" w14:textId="77777777">
      <w:pPr>
        <w:pStyle w:val="ListParagraph"/>
        <w:tabs>
          <w:tab w:val="num" w:pos="567"/>
        </w:tabs>
        <w:rPr>
          <w:sz w:val="22"/>
          <w:szCs w:val="22"/>
        </w:rPr>
      </w:pPr>
    </w:p>
    <w:p w:rsidR="006224C2" w:rsidRPr="00295E71" w14:paraId="2C678160" w14:textId="77777777">
      <w:pPr>
        <w:pStyle w:val="ListParagraph"/>
        <w:numPr>
          <w:ilvl w:val="0"/>
          <w:numId w:val="5"/>
        </w:numPr>
        <w:tabs>
          <w:tab w:val="clear" w:pos="360"/>
          <w:tab w:val="num" w:pos="567"/>
        </w:tabs>
        <w:ind w:left="567" w:hanging="567"/>
        <w:rPr>
          <w:sz w:val="22"/>
          <w:szCs w:val="22"/>
        </w:rPr>
      </w:pPr>
      <w:r w:rsidRPr="00295E71">
        <w:rPr>
          <w:sz w:val="22"/>
          <w:szCs w:val="22"/>
        </w:rPr>
        <w:t>Se ha più di 65 anni, potrebbe contrarre infezioni più facilmente mentre</w:t>
      </w:r>
      <w:r w:rsidRPr="00295E71" w:rsidR="005B0F02">
        <w:rPr>
          <w:sz w:val="22"/>
          <w:szCs w:val="22"/>
        </w:rPr>
        <w:t xml:space="preserve"> </w:t>
      </w:r>
      <w:r w:rsidRPr="00295E71">
        <w:rPr>
          <w:sz w:val="22"/>
          <w:szCs w:val="22"/>
        </w:rPr>
        <w:t>assume Humira. Lei e il medico dovete prestare particolare attenzione ai segni di infezione durante il trattamento con Humira. È importante comunicare al medico se manifesta sintomi di infezioni quali febbre, ferite, sensazione di stanchezza o problemi dentali.</w:t>
      </w:r>
    </w:p>
    <w:p w:rsidR="006224C2" w:rsidRPr="00295E71" w14:paraId="19DB0EED" w14:textId="77777777">
      <w:pPr>
        <w:pStyle w:val="EMEANormal"/>
        <w:rPr>
          <w:lang w:val="it-IT"/>
        </w:rPr>
      </w:pPr>
    </w:p>
    <w:p w:rsidR="006224C2" w:rsidRPr="00295E71" w:rsidP="001108AC" w14:paraId="03D865C7" w14:textId="77777777">
      <w:pPr>
        <w:pStyle w:val="ListParagraph"/>
        <w:keepNext/>
        <w:ind w:left="0"/>
        <w:rPr>
          <w:sz w:val="22"/>
          <w:szCs w:val="22"/>
          <w:u w:val="single"/>
        </w:rPr>
      </w:pPr>
      <w:r w:rsidRPr="00295E71">
        <w:rPr>
          <w:sz w:val="22"/>
          <w:szCs w:val="22"/>
          <w:u w:val="single"/>
        </w:rPr>
        <w:t>Tubercolosi</w:t>
      </w:r>
    </w:p>
    <w:p w:rsidR="006224C2" w:rsidRPr="00295E71" w:rsidP="001108AC" w14:paraId="1FC5484E" w14:textId="77777777">
      <w:pPr>
        <w:pStyle w:val="ListParagraph"/>
        <w:keepNext/>
        <w:ind w:left="360"/>
        <w:rPr>
          <w:sz w:val="22"/>
          <w:szCs w:val="22"/>
        </w:rPr>
      </w:pPr>
      <w:r w:rsidRPr="00295E71">
        <w:rPr>
          <w:sz w:val="22"/>
          <w:szCs w:val="22"/>
        </w:rPr>
        <w:tab/>
      </w:r>
    </w:p>
    <w:p w:rsidR="006224C2" w:rsidRPr="00295E71" w:rsidP="001108AC" w14:paraId="6E7396F9" w14:textId="77777777">
      <w:pPr>
        <w:pStyle w:val="ListParagraph"/>
        <w:keepNext/>
        <w:numPr>
          <w:ilvl w:val="0"/>
          <w:numId w:val="5"/>
        </w:numPr>
        <w:tabs>
          <w:tab w:val="clear" w:pos="360"/>
        </w:tabs>
        <w:ind w:left="567" w:hanging="567"/>
        <w:rPr>
          <w:sz w:val="22"/>
          <w:szCs w:val="22"/>
        </w:rPr>
      </w:pPr>
      <w:r w:rsidRPr="00295E71">
        <w:rPr>
          <w:sz w:val="22"/>
          <w:szCs w:val="22"/>
        </w:rPr>
        <w:t>È molto importante comunicare al medico se ha mai avuto la tubercolosi, o se è stato a contatto con qualcuno che ha avuto la tubercolosi. Non deve assumere Humira se è affetto da tubercolosi attiva.</w:t>
      </w:r>
    </w:p>
    <w:p w:rsidR="006224C2" w:rsidRPr="00295E71" w:rsidP="001108AC" w14:paraId="6373C8F7" w14:textId="77777777">
      <w:pPr>
        <w:keepNext/>
        <w:tabs>
          <w:tab w:val="left" w:pos="540"/>
        </w:tabs>
        <w:ind w:left="540"/>
        <w:jc w:val="both"/>
        <w:rPr>
          <w:sz w:val="22"/>
          <w:szCs w:val="22"/>
        </w:rPr>
      </w:pPr>
    </w:p>
    <w:p w:rsidR="006224C2" w:rsidRPr="00295E71" w:rsidP="00495A97" w14:paraId="6BF184F8" w14:textId="77777777">
      <w:pPr>
        <w:pStyle w:val="ListParagraph"/>
        <w:numPr>
          <w:ilvl w:val="1"/>
          <w:numId w:val="5"/>
        </w:numPr>
        <w:rPr>
          <w:sz w:val="22"/>
          <w:szCs w:val="22"/>
        </w:rPr>
      </w:pPr>
      <w:r w:rsidRPr="00295E71">
        <w:rPr>
          <w:sz w:val="22"/>
          <w:szCs w:val="22"/>
        </w:rPr>
        <w:t>Poiché si sono verificati dei casi di tubercolosi in pazienti sottoposti a trattamento con Humira, il medico dovrà controllare se presenta segni o sintomi tipici della tubercolosi prima di iniziare la terapia con Humira. Questo comporterà una valutazione medica approfondita della sua anamnesi e appropriati esami clinici (ad esempio una radiografia del torace e il test alla tubercolina). L’esecuzione e i risultati di tali esami devono essere registrati nella</w:t>
      </w:r>
      <w:r w:rsidR="004A0228">
        <w:rPr>
          <w:b/>
          <w:sz w:val="22"/>
          <w:szCs w:val="22"/>
        </w:rPr>
        <w:t xml:space="preserve"> </w:t>
      </w:r>
      <w:r w:rsidRPr="000D0B9B" w:rsidR="004A0228">
        <w:rPr>
          <w:b/>
          <w:sz w:val="22"/>
          <w:szCs w:val="22"/>
        </w:rPr>
        <w:t>Scheda Promemoria per il Paziente</w:t>
      </w:r>
      <w:r w:rsidRPr="00295E71">
        <w:rPr>
          <w:sz w:val="22"/>
          <w:szCs w:val="22"/>
        </w:rPr>
        <w:t xml:space="preserve">.  </w:t>
      </w:r>
    </w:p>
    <w:p w:rsidR="006224C2" w:rsidRPr="00295E71" w:rsidP="009F2CE7" w14:paraId="2B8704BF" w14:textId="77777777">
      <w:pPr>
        <w:pStyle w:val="ListParagraph"/>
        <w:ind w:left="1440"/>
        <w:rPr>
          <w:sz w:val="22"/>
          <w:szCs w:val="22"/>
        </w:rPr>
      </w:pPr>
    </w:p>
    <w:p w:rsidR="006224C2" w:rsidRPr="00295E71" w14:paraId="75CDE787" w14:textId="77777777">
      <w:pPr>
        <w:pStyle w:val="ListParagraph"/>
        <w:keepNext/>
        <w:keepLines/>
        <w:numPr>
          <w:ilvl w:val="1"/>
          <w:numId w:val="5"/>
        </w:numPr>
        <w:rPr>
          <w:sz w:val="22"/>
          <w:szCs w:val="22"/>
        </w:rPr>
      </w:pPr>
      <w:r w:rsidRPr="00295E71">
        <w:rPr>
          <w:sz w:val="22"/>
          <w:szCs w:val="22"/>
        </w:rPr>
        <w:t xml:space="preserve">La tubercolosi si può manifestare durante la terapia nonostante lei abbia ricevuto un trattamento per la prevenzione della tubercolosi. </w:t>
      </w:r>
    </w:p>
    <w:p w:rsidR="006224C2" w:rsidRPr="00295E71" w:rsidP="009F2CE7" w14:paraId="77382591" w14:textId="77777777">
      <w:pPr>
        <w:pStyle w:val="ListParagraph"/>
        <w:keepNext/>
        <w:keepLines/>
      </w:pPr>
    </w:p>
    <w:p w:rsidR="006224C2" w:rsidRPr="00295E71" w14:paraId="400631DF" w14:textId="77777777">
      <w:pPr>
        <w:pStyle w:val="ListParagraph"/>
        <w:keepNext/>
        <w:keepLines/>
        <w:numPr>
          <w:ilvl w:val="1"/>
          <w:numId w:val="5"/>
        </w:numPr>
        <w:rPr>
          <w:sz w:val="22"/>
          <w:szCs w:val="22"/>
        </w:rPr>
      </w:pPr>
      <w:r w:rsidRPr="00295E71">
        <w:rPr>
          <w:sz w:val="22"/>
          <w:szCs w:val="22"/>
        </w:rPr>
        <w:t>Contatti immediatamente il medico se durante o dopo la terapia compaiono sintomi di tubercolosi (ad esempio tosse che non scompare, perdita di peso, mancanza di energia, febbre leggera) o di altre infezioni.</w:t>
      </w:r>
    </w:p>
    <w:p w:rsidR="006224C2" w:rsidRPr="00295E71" w14:paraId="48B41E24" w14:textId="77777777">
      <w:pPr>
        <w:pStyle w:val="ListParagraph"/>
        <w:rPr>
          <w:sz w:val="22"/>
          <w:szCs w:val="22"/>
        </w:rPr>
      </w:pPr>
    </w:p>
    <w:p w:rsidR="006224C2" w:rsidRPr="00295E71" w14:paraId="40F514A8" w14:textId="77777777">
      <w:pPr>
        <w:rPr>
          <w:sz w:val="22"/>
          <w:szCs w:val="22"/>
          <w:u w:val="single"/>
        </w:rPr>
      </w:pPr>
      <w:r w:rsidRPr="00295E71">
        <w:rPr>
          <w:sz w:val="22"/>
          <w:szCs w:val="22"/>
          <w:u w:val="single"/>
        </w:rPr>
        <w:t>Epatite B</w:t>
      </w:r>
    </w:p>
    <w:p w:rsidR="006224C2" w:rsidRPr="00295E71" w14:paraId="1526591C" w14:textId="77777777">
      <w:pPr>
        <w:rPr>
          <w:sz w:val="22"/>
          <w:szCs w:val="22"/>
          <w:u w:val="single"/>
        </w:rPr>
      </w:pPr>
    </w:p>
    <w:p w:rsidR="006224C2" w:rsidRPr="00295E71" w14:paraId="7B35461C" w14:textId="77777777">
      <w:pPr>
        <w:pStyle w:val="ListParagraph"/>
        <w:numPr>
          <w:ilvl w:val="0"/>
          <w:numId w:val="5"/>
        </w:numPr>
        <w:rPr>
          <w:sz w:val="22"/>
          <w:szCs w:val="22"/>
        </w:rPr>
      </w:pPr>
      <w:r w:rsidRPr="00295E71">
        <w:rPr>
          <w:sz w:val="22"/>
          <w:szCs w:val="22"/>
        </w:rPr>
        <w:t xml:space="preserve">Comunichi al medico se lei è portatore del virus dell’epatite B (HBV), se ha un’infezione in fase attiva da virus dell’epatite B o se pensa di poter essere a rischio di contrarre il virus dell’epatite B. </w:t>
      </w:r>
    </w:p>
    <w:p w:rsidR="006224C2" w:rsidRPr="00295E71" w:rsidP="009F2CE7" w14:paraId="45CF9031" w14:textId="77777777">
      <w:pPr>
        <w:pStyle w:val="ListParagraph"/>
        <w:ind w:left="360"/>
      </w:pPr>
    </w:p>
    <w:p w:rsidR="006224C2" w:rsidRPr="00295E71" w14:paraId="46DB708E" w14:textId="77777777">
      <w:pPr>
        <w:pStyle w:val="ListParagraph"/>
        <w:numPr>
          <w:ilvl w:val="1"/>
          <w:numId w:val="5"/>
        </w:numPr>
        <w:rPr>
          <w:sz w:val="22"/>
          <w:szCs w:val="22"/>
        </w:rPr>
      </w:pPr>
      <w:r w:rsidRPr="00295E71">
        <w:rPr>
          <w:sz w:val="22"/>
          <w:szCs w:val="22"/>
        </w:rPr>
        <w:t xml:space="preserve">Il medico la deve testare per l’infezione da virus dell’epatite B. Nei portatori di HBV, l’assunzione di Humira può indurre il virus ad attivarsi nuovamente. </w:t>
      </w:r>
    </w:p>
    <w:p w:rsidR="009F2CE7" w:rsidRPr="00295E71" w:rsidP="009F2CE7" w14:paraId="6B79DFBC" w14:textId="77777777">
      <w:pPr>
        <w:pStyle w:val="ListParagraph"/>
        <w:ind w:left="1440"/>
        <w:rPr>
          <w:sz w:val="22"/>
          <w:szCs w:val="22"/>
        </w:rPr>
      </w:pPr>
    </w:p>
    <w:p w:rsidR="006224C2" w:rsidRPr="00295E71" w14:paraId="3D891B92" w14:textId="77777777">
      <w:pPr>
        <w:pStyle w:val="ListParagraph"/>
        <w:numPr>
          <w:ilvl w:val="1"/>
          <w:numId w:val="5"/>
        </w:numPr>
        <w:rPr>
          <w:sz w:val="22"/>
          <w:szCs w:val="22"/>
        </w:rPr>
      </w:pPr>
      <w:r w:rsidRPr="00295E71">
        <w:rPr>
          <w:sz w:val="22"/>
          <w:szCs w:val="22"/>
        </w:rPr>
        <w:t>In alcuni rari casi, soprattutto se il paziente è sottoposto a terapia con altri farmaci che sopprimono il sistema immunitario, la riattivazione del virus dell’epatite B può mettere a repentaglio la vita del paziente.</w:t>
      </w:r>
    </w:p>
    <w:p w:rsidR="006224C2" w:rsidRPr="00295E71" w14:paraId="4FF375A6" w14:textId="77777777">
      <w:pPr>
        <w:pStyle w:val="ListParagraph"/>
        <w:rPr>
          <w:sz w:val="22"/>
          <w:szCs w:val="22"/>
        </w:rPr>
      </w:pPr>
    </w:p>
    <w:p w:rsidR="006224C2" w:rsidRPr="00295E71" w14:paraId="49F53154" w14:textId="77777777">
      <w:pPr>
        <w:tabs>
          <w:tab w:val="left" w:pos="540"/>
        </w:tabs>
        <w:rPr>
          <w:sz w:val="22"/>
          <w:szCs w:val="22"/>
          <w:u w:val="single"/>
        </w:rPr>
      </w:pPr>
      <w:r w:rsidRPr="00295E71">
        <w:rPr>
          <w:sz w:val="22"/>
          <w:szCs w:val="22"/>
          <w:u w:val="single"/>
        </w:rPr>
        <w:t>Interventi chirurgici</w:t>
      </w:r>
      <w:r w:rsidRPr="00295E71" w:rsidR="009F2CE7">
        <w:rPr>
          <w:sz w:val="22"/>
          <w:szCs w:val="22"/>
          <w:u w:val="single"/>
        </w:rPr>
        <w:t xml:space="preserve"> o procedure dentistiche</w:t>
      </w:r>
    </w:p>
    <w:p w:rsidR="006224C2" w:rsidRPr="00295E71" w14:paraId="5E723D0E" w14:textId="77777777">
      <w:pPr>
        <w:tabs>
          <w:tab w:val="left" w:pos="567"/>
        </w:tabs>
        <w:ind w:left="567"/>
        <w:jc w:val="both"/>
        <w:rPr>
          <w:sz w:val="22"/>
          <w:szCs w:val="22"/>
        </w:rPr>
      </w:pPr>
    </w:p>
    <w:p w:rsidR="006224C2" w:rsidRPr="00295E71" w14:paraId="5F9D1E3F" w14:textId="77777777">
      <w:pPr>
        <w:numPr>
          <w:ilvl w:val="0"/>
          <w:numId w:val="5"/>
        </w:numPr>
        <w:tabs>
          <w:tab w:val="clear" w:pos="360"/>
          <w:tab w:val="left" w:pos="540"/>
        </w:tabs>
        <w:ind w:left="540" w:hanging="540"/>
        <w:jc w:val="both"/>
        <w:rPr>
          <w:sz w:val="22"/>
          <w:szCs w:val="22"/>
        </w:rPr>
      </w:pPr>
      <w:r w:rsidRPr="00295E71">
        <w:rPr>
          <w:sz w:val="22"/>
          <w:szCs w:val="22"/>
        </w:rPr>
        <w:t xml:space="preserve">Prima di un intervento chirurgico o </w:t>
      </w:r>
      <w:r w:rsidRPr="00295E71" w:rsidR="009F2CE7">
        <w:rPr>
          <w:sz w:val="22"/>
          <w:szCs w:val="22"/>
        </w:rPr>
        <w:t xml:space="preserve">di </w:t>
      </w:r>
      <w:r w:rsidRPr="00295E71">
        <w:rPr>
          <w:sz w:val="22"/>
          <w:szCs w:val="22"/>
        </w:rPr>
        <w:t>procedure dentistiche, informi il medico che sta assumendo Humira. Il medico potrebbe consigliarle la sospensione temporanea di Humira.</w:t>
      </w:r>
    </w:p>
    <w:p w:rsidR="006224C2" w:rsidRPr="00295E71" w14:paraId="299E40C3" w14:textId="77777777">
      <w:pPr>
        <w:tabs>
          <w:tab w:val="left" w:pos="540"/>
        </w:tabs>
        <w:ind w:left="540"/>
        <w:rPr>
          <w:sz w:val="22"/>
          <w:szCs w:val="22"/>
          <w:u w:val="single"/>
        </w:rPr>
      </w:pPr>
    </w:p>
    <w:p w:rsidR="006224C2" w:rsidRPr="00295E71" w14:paraId="37274591" w14:textId="77777777">
      <w:pPr>
        <w:tabs>
          <w:tab w:val="left" w:pos="540"/>
        </w:tabs>
        <w:rPr>
          <w:sz w:val="22"/>
          <w:szCs w:val="22"/>
          <w:u w:val="single"/>
        </w:rPr>
      </w:pPr>
      <w:r w:rsidRPr="00295E71">
        <w:rPr>
          <w:sz w:val="22"/>
          <w:szCs w:val="22"/>
          <w:u w:val="single"/>
        </w:rPr>
        <w:t>Malattie demielinizzanti</w:t>
      </w:r>
    </w:p>
    <w:p w:rsidR="006224C2" w:rsidRPr="00295E71" w14:paraId="78A4A583" w14:textId="77777777">
      <w:pPr>
        <w:tabs>
          <w:tab w:val="left" w:pos="540"/>
        </w:tabs>
        <w:jc w:val="both"/>
        <w:rPr>
          <w:sz w:val="22"/>
          <w:szCs w:val="22"/>
        </w:rPr>
      </w:pPr>
    </w:p>
    <w:p w:rsidR="006224C2" w:rsidRPr="00295E71" w14:paraId="5F6E8AA0" w14:textId="77777777">
      <w:pPr>
        <w:numPr>
          <w:ilvl w:val="0"/>
          <w:numId w:val="5"/>
        </w:numPr>
        <w:tabs>
          <w:tab w:val="clear" w:pos="360"/>
          <w:tab w:val="left" w:pos="540"/>
        </w:tabs>
        <w:ind w:left="540" w:hanging="540"/>
        <w:jc w:val="both"/>
        <w:rPr>
          <w:sz w:val="22"/>
          <w:szCs w:val="22"/>
        </w:rPr>
      </w:pPr>
      <w:r w:rsidRPr="00295E71">
        <w:rPr>
          <w:sz w:val="22"/>
          <w:szCs w:val="22"/>
        </w:rPr>
        <w:t>Se è affetto da o sviluppa</w:t>
      </w:r>
      <w:r w:rsidRPr="00295E71" w:rsidR="009F2CE7">
        <w:rPr>
          <w:sz w:val="22"/>
          <w:szCs w:val="22"/>
        </w:rPr>
        <w:t xml:space="preserve"> una</w:t>
      </w:r>
      <w:r w:rsidRPr="00295E71">
        <w:rPr>
          <w:sz w:val="22"/>
          <w:szCs w:val="22"/>
        </w:rPr>
        <w:t xml:space="preserve"> malattia demielinizzante</w:t>
      </w:r>
      <w:r w:rsidRPr="00295E71" w:rsidR="009F2CE7">
        <w:rPr>
          <w:sz w:val="22"/>
          <w:szCs w:val="22"/>
        </w:rPr>
        <w:t xml:space="preserve"> (malattia che colpisce lo strato isolante attorno ai nervi, come la sclerosi multipla)</w:t>
      </w:r>
      <w:r w:rsidRPr="00295E71">
        <w:rPr>
          <w:sz w:val="22"/>
          <w:szCs w:val="22"/>
        </w:rPr>
        <w:t>, il medico deciderà se è il caso di iniziare o continuare a ricevere il trattamento con Humira. Informi il medico immediatamente nel caso in cui lei manifesti sintomi quali variazioni nella visione, debolezza di braccia o gambe o intorpidimento o formicolio che interessi qualsiasi parte del corpo.</w:t>
      </w:r>
    </w:p>
    <w:p w:rsidR="006224C2" w:rsidRPr="00295E71" w14:paraId="2EC8F5AA" w14:textId="77777777">
      <w:pPr>
        <w:tabs>
          <w:tab w:val="left" w:pos="540"/>
          <w:tab w:val="left" w:pos="567"/>
        </w:tabs>
        <w:ind w:left="540" w:hanging="483"/>
        <w:jc w:val="both"/>
        <w:rPr>
          <w:sz w:val="22"/>
          <w:szCs w:val="22"/>
        </w:rPr>
      </w:pPr>
    </w:p>
    <w:p w:rsidR="006224C2" w:rsidRPr="00295E71" w:rsidP="007C6FC4" w14:paraId="6E8556EB" w14:textId="77777777">
      <w:pPr>
        <w:keepNext/>
        <w:keepLines/>
        <w:tabs>
          <w:tab w:val="left" w:pos="540"/>
          <w:tab w:val="left" w:pos="567"/>
        </w:tabs>
        <w:ind w:left="540" w:hanging="483"/>
        <w:jc w:val="both"/>
        <w:rPr>
          <w:sz w:val="22"/>
          <w:szCs w:val="22"/>
          <w:u w:val="single"/>
        </w:rPr>
      </w:pPr>
      <w:r w:rsidRPr="00295E71">
        <w:rPr>
          <w:sz w:val="22"/>
          <w:szCs w:val="22"/>
          <w:u w:val="single"/>
        </w:rPr>
        <w:t>Vaccinazioni</w:t>
      </w:r>
    </w:p>
    <w:p w:rsidR="006224C2" w:rsidRPr="00295E71" w:rsidP="007C6FC4" w14:paraId="0C645F40" w14:textId="77777777">
      <w:pPr>
        <w:keepNext/>
        <w:keepLines/>
        <w:tabs>
          <w:tab w:val="left" w:pos="540"/>
          <w:tab w:val="left" w:pos="567"/>
        </w:tabs>
        <w:ind w:left="540" w:hanging="483"/>
        <w:jc w:val="both"/>
        <w:rPr>
          <w:sz w:val="22"/>
          <w:szCs w:val="22"/>
          <w:u w:val="single"/>
        </w:rPr>
      </w:pPr>
    </w:p>
    <w:p w:rsidR="006224C2" w:rsidRPr="00295E71" w:rsidP="007C6FC4" w14:paraId="01A6C0B1" w14:textId="77777777">
      <w:pPr>
        <w:keepNext/>
        <w:keepLines/>
        <w:numPr>
          <w:ilvl w:val="0"/>
          <w:numId w:val="5"/>
        </w:numPr>
        <w:tabs>
          <w:tab w:val="clear" w:pos="360"/>
          <w:tab w:val="left" w:pos="540"/>
        </w:tabs>
        <w:ind w:left="597" w:hanging="540"/>
        <w:jc w:val="both"/>
        <w:rPr>
          <w:sz w:val="22"/>
          <w:szCs w:val="22"/>
        </w:rPr>
      </w:pPr>
      <w:r w:rsidRPr="00295E71">
        <w:rPr>
          <w:sz w:val="22"/>
          <w:szCs w:val="22"/>
        </w:rPr>
        <w:t xml:space="preserve">Certi vaccini possono causare infezioni e non devono essere somministrati durante il trattamento con Humira. </w:t>
      </w:r>
    </w:p>
    <w:p w:rsidR="006224C2" w:rsidRPr="00295E71" w:rsidP="007C6FC4" w14:paraId="753B00BE" w14:textId="77777777">
      <w:pPr>
        <w:keepNext/>
        <w:keepLines/>
        <w:tabs>
          <w:tab w:val="left" w:pos="540"/>
        </w:tabs>
        <w:ind w:left="597"/>
        <w:jc w:val="both"/>
        <w:rPr>
          <w:sz w:val="22"/>
          <w:szCs w:val="22"/>
        </w:rPr>
      </w:pPr>
    </w:p>
    <w:p w:rsidR="006224C2" w:rsidRPr="00295E71" w:rsidP="007C6FC4" w14:paraId="73986CF0" w14:textId="77777777">
      <w:pPr>
        <w:keepNext/>
        <w:keepLines/>
        <w:numPr>
          <w:ilvl w:val="1"/>
          <w:numId w:val="5"/>
        </w:numPr>
        <w:tabs>
          <w:tab w:val="left" w:pos="540"/>
        </w:tabs>
        <w:jc w:val="both"/>
        <w:rPr>
          <w:sz w:val="22"/>
          <w:szCs w:val="22"/>
        </w:rPr>
      </w:pPr>
      <w:r w:rsidRPr="00295E71">
        <w:rPr>
          <w:sz w:val="22"/>
          <w:szCs w:val="22"/>
        </w:rPr>
        <w:t>Consulti il medico prima di sottoporsi a vaccinazioni.</w:t>
      </w:r>
    </w:p>
    <w:p w:rsidR="006224C2" w:rsidRPr="00295E71" w:rsidP="009F2CE7" w14:paraId="39981891" w14:textId="77777777">
      <w:pPr>
        <w:tabs>
          <w:tab w:val="left" w:pos="540"/>
        </w:tabs>
        <w:ind w:left="1080"/>
        <w:jc w:val="both"/>
        <w:rPr>
          <w:sz w:val="22"/>
          <w:szCs w:val="22"/>
        </w:rPr>
      </w:pPr>
    </w:p>
    <w:p w:rsidR="006224C2" w:rsidRPr="00295E71" w14:paraId="1AF34360" w14:textId="77777777">
      <w:pPr>
        <w:numPr>
          <w:ilvl w:val="1"/>
          <w:numId w:val="5"/>
        </w:numPr>
        <w:tabs>
          <w:tab w:val="left" w:pos="540"/>
        </w:tabs>
        <w:jc w:val="both"/>
        <w:rPr>
          <w:sz w:val="22"/>
          <w:szCs w:val="22"/>
        </w:rPr>
      </w:pPr>
      <w:r w:rsidRPr="00295E71">
        <w:rPr>
          <w:sz w:val="22"/>
          <w:szCs w:val="22"/>
        </w:rPr>
        <w:t>Si raccomanda, se possibile, di sottoporre i bambini a tutte le vaccinazioni previste per la loro età prima di iniziare il trattamento con Humira.</w:t>
      </w:r>
    </w:p>
    <w:p w:rsidR="006224C2" w:rsidRPr="00295E71" w:rsidP="009F2CE7" w14:paraId="016C8568" w14:textId="77777777">
      <w:pPr>
        <w:tabs>
          <w:tab w:val="left" w:pos="540"/>
        </w:tabs>
        <w:jc w:val="both"/>
        <w:rPr>
          <w:sz w:val="22"/>
          <w:szCs w:val="22"/>
        </w:rPr>
      </w:pPr>
    </w:p>
    <w:p w:rsidR="006224C2" w:rsidRPr="00295E71" w14:paraId="3B469DDB" w14:textId="77777777">
      <w:pPr>
        <w:numPr>
          <w:ilvl w:val="1"/>
          <w:numId w:val="5"/>
        </w:numPr>
        <w:tabs>
          <w:tab w:val="left" w:pos="540"/>
        </w:tabs>
        <w:jc w:val="both"/>
        <w:rPr>
          <w:sz w:val="22"/>
          <w:szCs w:val="22"/>
        </w:rPr>
      </w:pPr>
      <w:r w:rsidRPr="00295E71">
        <w:rPr>
          <w:sz w:val="22"/>
          <w:szCs w:val="22"/>
        </w:rPr>
        <w:t>Se ha assunto Humira durante la gravidanza, il bambino potrebbe avere un maggior rischio di contrarre tale infezione fino a circa 5 mesi dopo l’ultima somministrazione di Humira effettuata. È importante che lei riferisca al pediatra o ad altro operatore sanitario del suo utilizzo di Humira durante la gravidanza, cosicché possano decidere quando il bambino deve ricevere qualsiasi tipo di vaccinazione.</w:t>
      </w:r>
    </w:p>
    <w:p w:rsidR="006224C2" w:rsidRPr="00295E71" w14:paraId="1F22A172" w14:textId="77777777">
      <w:pPr>
        <w:pStyle w:val="ListParagraph"/>
        <w:rPr>
          <w:sz w:val="22"/>
          <w:szCs w:val="22"/>
        </w:rPr>
      </w:pPr>
    </w:p>
    <w:p w:rsidR="006224C2" w:rsidRPr="00295E71" w14:paraId="0E984AEA" w14:textId="77777777">
      <w:pPr>
        <w:tabs>
          <w:tab w:val="left" w:pos="567"/>
        </w:tabs>
        <w:rPr>
          <w:sz w:val="22"/>
          <w:szCs w:val="22"/>
          <w:u w:val="single"/>
        </w:rPr>
      </w:pPr>
      <w:r w:rsidRPr="00295E71">
        <w:rPr>
          <w:sz w:val="22"/>
          <w:szCs w:val="22"/>
          <w:u w:val="single"/>
        </w:rPr>
        <w:t>Insufficienza cardiaca</w:t>
      </w:r>
    </w:p>
    <w:p w:rsidR="006224C2" w:rsidRPr="00295E71" w14:paraId="037EA4D7" w14:textId="77777777">
      <w:pPr>
        <w:tabs>
          <w:tab w:val="left" w:pos="567"/>
        </w:tabs>
        <w:rPr>
          <w:sz w:val="22"/>
          <w:szCs w:val="22"/>
        </w:rPr>
      </w:pPr>
    </w:p>
    <w:p w:rsidR="009F2CE7" w:rsidRPr="00295E71" w:rsidP="009F2CE7" w14:paraId="2C867791" w14:textId="77777777">
      <w:pPr>
        <w:numPr>
          <w:ilvl w:val="1"/>
          <w:numId w:val="5"/>
        </w:numPr>
        <w:tabs>
          <w:tab w:val="left" w:pos="540"/>
          <w:tab w:val="num" w:pos="868"/>
          <w:tab w:val="clear" w:pos="1440"/>
        </w:tabs>
        <w:ind w:left="882" w:hanging="315"/>
        <w:jc w:val="both"/>
        <w:rPr>
          <w:sz w:val="22"/>
          <w:szCs w:val="22"/>
        </w:rPr>
      </w:pPr>
      <w:r w:rsidRPr="00295E71">
        <w:rPr>
          <w:sz w:val="22"/>
          <w:szCs w:val="22"/>
        </w:rPr>
        <w:t>In caso abbia una lieve insufficienza cardiaca e venga trattato con Humira, lo stato della sua insufficienza cardiaca deve essere monitorato attentamente dal medico. E’ importante informare il medico se ha avuto o ha una condizione cardiaca grave. Se sviluppa nuovi sintomi di insufficienza cardiaca o se i sintomi già esistenti dovessero peggiorare (ad es. respiro corto o gonfiore dei piedi), contatti immediatamente il medico. Il medico deciderà se può assumere Humira.</w:t>
      </w:r>
    </w:p>
    <w:p w:rsidR="009F2CE7" w:rsidRPr="00295E71" w:rsidP="009F2CE7" w14:paraId="3DA5B6A4" w14:textId="77777777">
      <w:pPr>
        <w:tabs>
          <w:tab w:val="left" w:pos="540"/>
        </w:tabs>
        <w:ind w:left="540"/>
        <w:rPr>
          <w:sz w:val="22"/>
          <w:szCs w:val="22"/>
        </w:rPr>
      </w:pPr>
    </w:p>
    <w:p w:rsidR="009F2CE7" w:rsidRPr="00295E71" w:rsidP="009F2CE7" w14:paraId="195C7790" w14:textId="77777777">
      <w:pPr>
        <w:tabs>
          <w:tab w:val="left" w:pos="540"/>
        </w:tabs>
        <w:jc w:val="both"/>
        <w:rPr>
          <w:sz w:val="22"/>
          <w:szCs w:val="22"/>
          <w:u w:val="single"/>
        </w:rPr>
      </w:pPr>
    </w:p>
    <w:p w:rsidR="009F2CE7" w:rsidRPr="00295E71" w:rsidP="009F2CE7" w14:paraId="0B639BD1" w14:textId="77777777">
      <w:pPr>
        <w:tabs>
          <w:tab w:val="left" w:pos="540"/>
        </w:tabs>
        <w:jc w:val="both"/>
        <w:rPr>
          <w:sz w:val="22"/>
          <w:szCs w:val="22"/>
          <w:u w:val="single"/>
        </w:rPr>
      </w:pPr>
      <w:r w:rsidRPr="00295E71">
        <w:rPr>
          <w:sz w:val="22"/>
          <w:szCs w:val="22"/>
          <w:u w:val="single"/>
        </w:rPr>
        <w:t>Febbre, lividi, emorragie o pallore</w:t>
      </w:r>
    </w:p>
    <w:p w:rsidR="006224C2" w:rsidRPr="00295E71" w14:paraId="075D65DD" w14:textId="77777777">
      <w:pPr>
        <w:tabs>
          <w:tab w:val="left" w:pos="540"/>
        </w:tabs>
        <w:ind w:left="540"/>
        <w:jc w:val="both"/>
        <w:rPr>
          <w:sz w:val="22"/>
          <w:szCs w:val="22"/>
        </w:rPr>
      </w:pPr>
    </w:p>
    <w:p w:rsidR="006224C2" w:rsidRPr="00295E71" w14:paraId="251986F5" w14:textId="77777777">
      <w:pPr>
        <w:numPr>
          <w:ilvl w:val="0"/>
          <w:numId w:val="5"/>
        </w:numPr>
        <w:tabs>
          <w:tab w:val="clear" w:pos="360"/>
          <w:tab w:val="left" w:pos="540"/>
        </w:tabs>
        <w:ind w:left="540" w:hanging="540"/>
        <w:jc w:val="both"/>
        <w:rPr>
          <w:sz w:val="22"/>
          <w:szCs w:val="22"/>
        </w:rPr>
      </w:pPr>
      <w:r w:rsidRPr="00295E71">
        <w:rPr>
          <w:sz w:val="22"/>
          <w:szCs w:val="22"/>
        </w:rPr>
        <w:t>In alcuni pazienti l’organismo può non essere in grado di produrre un quantitativo di cellule ematiche sufficiente e tale da</w:t>
      </w:r>
      <w:r w:rsidRPr="00295E71" w:rsidR="009F2CE7">
        <w:rPr>
          <w:sz w:val="22"/>
          <w:szCs w:val="22"/>
        </w:rPr>
        <w:t xml:space="preserve"> </w:t>
      </w:r>
      <w:r w:rsidRPr="00295E71">
        <w:rPr>
          <w:sz w:val="22"/>
          <w:szCs w:val="22"/>
        </w:rPr>
        <w:t xml:space="preserve">combattere le infezioni o ad arrestare un’emorragia. </w:t>
      </w:r>
      <w:r w:rsidRPr="00295E71" w:rsidR="009F2CE7">
        <w:rPr>
          <w:sz w:val="22"/>
          <w:szCs w:val="22"/>
        </w:rPr>
        <w:t xml:space="preserve">Il medico </w:t>
      </w:r>
      <w:r w:rsidRPr="00295E71">
        <w:rPr>
          <w:sz w:val="22"/>
          <w:szCs w:val="22"/>
        </w:rPr>
        <w:t>potrebbe decidere di interrompere la terapia.</w:t>
      </w:r>
      <w:r w:rsidRPr="00295E71" w:rsidR="009F2CE7">
        <w:rPr>
          <w:sz w:val="22"/>
          <w:szCs w:val="22"/>
        </w:rPr>
        <w:t xml:space="preserve"> Nel caso in cui abbia febbre persistente,</w:t>
      </w:r>
      <w:r w:rsidRPr="00295E71" w:rsidR="002E7604">
        <w:rPr>
          <w:sz w:val="22"/>
          <w:szCs w:val="22"/>
        </w:rPr>
        <w:t xml:space="preserve"> </w:t>
      </w:r>
      <w:r w:rsidRPr="00295E71" w:rsidR="009F2CE7">
        <w:rPr>
          <w:sz w:val="22"/>
          <w:szCs w:val="22"/>
        </w:rPr>
        <w:t xml:space="preserve">lividi o facilità di </w:t>
      </w:r>
      <w:r w:rsidRPr="00295E71" w:rsidR="002E3E62">
        <w:rPr>
          <w:sz w:val="22"/>
          <w:szCs w:val="22"/>
        </w:rPr>
        <w:t xml:space="preserve">sanguinamento </w:t>
      </w:r>
      <w:r w:rsidRPr="00295E71" w:rsidR="009F2CE7">
        <w:rPr>
          <w:sz w:val="22"/>
          <w:szCs w:val="22"/>
        </w:rPr>
        <w:t>o pallore, si rivolga immediatamente al medico.</w:t>
      </w:r>
    </w:p>
    <w:p w:rsidR="006224C2" w:rsidRPr="00295E71" w14:paraId="5F5B3D45" w14:textId="77777777">
      <w:pPr>
        <w:pStyle w:val="ListParagraph"/>
        <w:rPr>
          <w:sz w:val="22"/>
          <w:szCs w:val="22"/>
        </w:rPr>
      </w:pPr>
    </w:p>
    <w:p w:rsidR="006224C2" w:rsidRPr="00295E71" w14:paraId="4A4A58DB" w14:textId="77777777">
      <w:pPr>
        <w:tabs>
          <w:tab w:val="left" w:pos="540"/>
        </w:tabs>
        <w:jc w:val="both"/>
        <w:rPr>
          <w:sz w:val="22"/>
          <w:szCs w:val="22"/>
          <w:u w:val="single"/>
        </w:rPr>
      </w:pPr>
      <w:r w:rsidRPr="00295E71">
        <w:rPr>
          <w:sz w:val="22"/>
          <w:szCs w:val="22"/>
          <w:u w:val="single"/>
        </w:rPr>
        <w:t>Tumori</w:t>
      </w:r>
    </w:p>
    <w:p w:rsidR="006224C2" w:rsidRPr="00295E71" w14:paraId="213FACC4" w14:textId="77777777">
      <w:pPr>
        <w:tabs>
          <w:tab w:val="left" w:pos="540"/>
        </w:tabs>
        <w:jc w:val="both"/>
        <w:rPr>
          <w:sz w:val="22"/>
          <w:szCs w:val="22"/>
        </w:rPr>
      </w:pPr>
    </w:p>
    <w:p w:rsidR="006224C2" w:rsidRPr="00295E71" w14:paraId="22D3A190" w14:textId="77777777">
      <w:pPr>
        <w:pStyle w:val="ListParagraph"/>
        <w:numPr>
          <w:ilvl w:val="0"/>
          <w:numId w:val="5"/>
        </w:numPr>
        <w:ind w:left="539" w:hanging="539"/>
        <w:rPr>
          <w:sz w:val="22"/>
          <w:szCs w:val="22"/>
        </w:rPr>
      </w:pPr>
      <w:r w:rsidRPr="00295E71">
        <w:rPr>
          <w:sz w:val="22"/>
          <w:szCs w:val="22"/>
        </w:rPr>
        <w:tab/>
        <w:t xml:space="preserve">Nei pazienti, sia bambini sia adulti, sottoposti a trattamento con Humira o con altri farmaci anti-TNF, si sono manifestati molto raramente alcuni tipi di tumori. </w:t>
      </w:r>
    </w:p>
    <w:p w:rsidR="006224C2" w:rsidRPr="00295E71" w14:paraId="2BE9DA4B" w14:textId="77777777">
      <w:pPr>
        <w:pStyle w:val="ListParagraph"/>
        <w:ind w:left="539"/>
        <w:rPr>
          <w:sz w:val="22"/>
          <w:szCs w:val="22"/>
        </w:rPr>
      </w:pPr>
    </w:p>
    <w:p w:rsidR="006224C2" w:rsidRPr="00295E71" w14:paraId="456845F0" w14:textId="77777777">
      <w:pPr>
        <w:numPr>
          <w:ilvl w:val="0"/>
          <w:numId w:val="5"/>
        </w:numPr>
        <w:tabs>
          <w:tab w:val="clear" w:pos="360"/>
          <w:tab w:val="left" w:pos="540"/>
        </w:tabs>
        <w:ind w:left="1080" w:hanging="540"/>
        <w:jc w:val="both"/>
        <w:rPr>
          <w:sz w:val="22"/>
          <w:szCs w:val="22"/>
        </w:rPr>
      </w:pPr>
      <w:r w:rsidRPr="00295E71">
        <w:rPr>
          <w:sz w:val="22"/>
          <w:szCs w:val="22"/>
        </w:rPr>
        <w:t xml:space="preserve">I pazienti </w:t>
      </w:r>
      <w:r w:rsidRPr="00295E71" w:rsidR="0035667C">
        <w:rPr>
          <w:sz w:val="22"/>
          <w:szCs w:val="22"/>
        </w:rPr>
        <w:t>con</w:t>
      </w:r>
      <w:r w:rsidRPr="00295E71">
        <w:rPr>
          <w:sz w:val="22"/>
          <w:szCs w:val="22"/>
        </w:rPr>
        <w:t xml:space="preserve"> artrite reumatoide di grave entità da molto tempo possono presentare un rischio superiore alla media di sviluppare un linfoma (un tumore che colpisce il sistema linfatico) e leucemia (un tumore che colpisce il sangue e il midollo osseo). </w:t>
      </w:r>
    </w:p>
    <w:p w:rsidR="006224C2" w:rsidRPr="00295E71" w:rsidP="0035667C" w14:paraId="4C4FE818" w14:textId="77777777">
      <w:pPr>
        <w:tabs>
          <w:tab w:val="left" w:pos="540"/>
        </w:tabs>
        <w:ind w:left="540"/>
        <w:jc w:val="both"/>
        <w:rPr>
          <w:sz w:val="22"/>
          <w:szCs w:val="22"/>
        </w:rPr>
      </w:pPr>
    </w:p>
    <w:p w:rsidR="006224C2" w:rsidRPr="00295E71" w14:paraId="3087CDBE" w14:textId="77777777">
      <w:pPr>
        <w:numPr>
          <w:ilvl w:val="0"/>
          <w:numId w:val="5"/>
        </w:numPr>
        <w:tabs>
          <w:tab w:val="clear" w:pos="360"/>
          <w:tab w:val="left" w:pos="540"/>
        </w:tabs>
        <w:ind w:left="1080" w:hanging="540"/>
        <w:jc w:val="both"/>
        <w:rPr>
          <w:sz w:val="22"/>
          <w:szCs w:val="22"/>
        </w:rPr>
      </w:pPr>
      <w:r w:rsidRPr="00295E71">
        <w:rPr>
          <w:sz w:val="22"/>
          <w:szCs w:val="22"/>
        </w:rPr>
        <w:t>Se lei assume Humira, il rischio di contrarre linfomi, leucemia o altri tumori può aumentare. In rare circostanze, nei pazienti sottoposti a terapia con Humira, è stato osservato un tipo di linfoma</w:t>
      </w:r>
      <w:r w:rsidRPr="00295E71" w:rsidR="005B0F02">
        <w:rPr>
          <w:sz w:val="22"/>
          <w:szCs w:val="22"/>
        </w:rPr>
        <w:t xml:space="preserve"> </w:t>
      </w:r>
      <w:r w:rsidRPr="00295E71">
        <w:rPr>
          <w:sz w:val="22"/>
          <w:szCs w:val="22"/>
        </w:rPr>
        <w:t xml:space="preserve">non comune e grave. Alcuni di questi pazienti erano anche in terapia con azatioprina o 6-mercaptopurina. </w:t>
      </w:r>
    </w:p>
    <w:p w:rsidR="006224C2" w:rsidRPr="00295E71" w:rsidP="0035667C" w14:paraId="64ECB083" w14:textId="77777777">
      <w:pPr>
        <w:tabs>
          <w:tab w:val="left" w:pos="540"/>
        </w:tabs>
        <w:ind w:left="540"/>
        <w:jc w:val="both"/>
        <w:rPr>
          <w:sz w:val="22"/>
          <w:szCs w:val="22"/>
        </w:rPr>
      </w:pPr>
    </w:p>
    <w:p w:rsidR="006224C2" w:rsidRPr="00295E71" w14:paraId="673C7E29" w14:textId="77777777">
      <w:pPr>
        <w:numPr>
          <w:ilvl w:val="0"/>
          <w:numId w:val="5"/>
        </w:numPr>
        <w:tabs>
          <w:tab w:val="clear" w:pos="360"/>
          <w:tab w:val="left" w:pos="540"/>
        </w:tabs>
        <w:ind w:left="1080" w:hanging="540"/>
        <w:jc w:val="both"/>
        <w:rPr>
          <w:sz w:val="22"/>
          <w:szCs w:val="22"/>
        </w:rPr>
      </w:pPr>
      <w:r w:rsidRPr="00295E71">
        <w:rPr>
          <w:sz w:val="22"/>
          <w:szCs w:val="22"/>
        </w:rPr>
        <w:t xml:space="preserve">Avvisi il medico se sta assumendo azatioprina o 6-mercaptopurina con Humira. </w:t>
      </w:r>
    </w:p>
    <w:p w:rsidR="006224C2" w:rsidRPr="00295E71" w:rsidP="0035667C" w14:paraId="16C0CC4E" w14:textId="77777777">
      <w:pPr>
        <w:tabs>
          <w:tab w:val="left" w:pos="540"/>
        </w:tabs>
        <w:ind w:left="540"/>
        <w:jc w:val="both"/>
        <w:rPr>
          <w:sz w:val="22"/>
          <w:szCs w:val="22"/>
        </w:rPr>
      </w:pPr>
    </w:p>
    <w:p w:rsidR="006224C2" w:rsidRPr="00295E71" w14:paraId="7D6A84E7" w14:textId="77777777">
      <w:pPr>
        <w:numPr>
          <w:ilvl w:val="0"/>
          <w:numId w:val="5"/>
        </w:numPr>
        <w:tabs>
          <w:tab w:val="clear" w:pos="360"/>
          <w:tab w:val="left" w:pos="540"/>
        </w:tabs>
        <w:ind w:left="1080" w:hanging="540"/>
        <w:jc w:val="both"/>
        <w:rPr>
          <w:sz w:val="22"/>
          <w:szCs w:val="22"/>
        </w:rPr>
      </w:pPr>
      <w:r>
        <w:rPr>
          <w:sz w:val="22"/>
          <w:szCs w:val="22"/>
        </w:rPr>
        <w:t>N</w:t>
      </w:r>
      <w:r w:rsidRPr="00295E71" w:rsidR="00226BC4">
        <w:rPr>
          <w:sz w:val="22"/>
          <w:szCs w:val="22"/>
        </w:rPr>
        <w:t xml:space="preserve">ei pazienti che assumono Humira, sono stati osservati casi di carcinoma cutaneo non melanocitico. </w:t>
      </w:r>
    </w:p>
    <w:p w:rsidR="006224C2" w:rsidRPr="00295E71" w:rsidP="0035667C" w14:paraId="7A799770" w14:textId="77777777">
      <w:pPr>
        <w:tabs>
          <w:tab w:val="left" w:pos="540"/>
        </w:tabs>
        <w:ind w:left="540"/>
        <w:jc w:val="both"/>
        <w:rPr>
          <w:sz w:val="22"/>
          <w:szCs w:val="22"/>
        </w:rPr>
      </w:pPr>
    </w:p>
    <w:p w:rsidR="006224C2" w:rsidRPr="00295E71" w14:paraId="25B397E7" w14:textId="77777777">
      <w:pPr>
        <w:numPr>
          <w:ilvl w:val="0"/>
          <w:numId w:val="5"/>
        </w:numPr>
        <w:tabs>
          <w:tab w:val="clear" w:pos="360"/>
          <w:tab w:val="left" w:pos="540"/>
        </w:tabs>
        <w:ind w:left="1080" w:hanging="540"/>
        <w:jc w:val="both"/>
        <w:rPr>
          <w:sz w:val="22"/>
          <w:szCs w:val="22"/>
        </w:rPr>
      </w:pPr>
      <w:r w:rsidRPr="00295E71">
        <w:rPr>
          <w:sz w:val="22"/>
          <w:szCs w:val="22"/>
        </w:rPr>
        <w:t>Se dovessero comparire nuove lesioni cutanee nel corso della terapia o successivamente ad essa o se l’aspetto delle lesioni già esistenti si dovesse modificare, lo riferisca al medico.</w:t>
      </w:r>
    </w:p>
    <w:p w:rsidR="006224C2" w:rsidRPr="00295E71" w14:paraId="75D74844" w14:textId="77777777">
      <w:pPr>
        <w:rPr>
          <w:sz w:val="22"/>
          <w:szCs w:val="22"/>
        </w:rPr>
      </w:pPr>
    </w:p>
    <w:p w:rsidR="006224C2" w:rsidRPr="00295E71" w14:paraId="5EFC4041" w14:textId="77777777">
      <w:pPr>
        <w:numPr>
          <w:ilvl w:val="0"/>
          <w:numId w:val="5"/>
        </w:numPr>
        <w:tabs>
          <w:tab w:val="clear" w:pos="360"/>
          <w:tab w:val="left" w:pos="540"/>
          <w:tab w:val="num" w:pos="1134"/>
        </w:tabs>
        <w:jc w:val="both"/>
        <w:rPr>
          <w:sz w:val="22"/>
          <w:szCs w:val="22"/>
        </w:rPr>
      </w:pPr>
      <w:r w:rsidRPr="00295E71">
        <w:rPr>
          <w:sz w:val="22"/>
          <w:szCs w:val="22"/>
        </w:rPr>
        <w:t xml:space="preserve">Ci sono stati casi di neoplasie, oltre al linfoma, in pazienti con uno specifico tipo di malattia del polmone chiamata Malattia Polmonare Cronica Ostruttiva (COPD) trattati con un altro anti-TNF. </w:t>
      </w:r>
      <w:r w:rsidRPr="00295E71">
        <w:rPr>
          <w:sz w:val="22"/>
          <w:szCs w:val="22"/>
        </w:rPr>
        <w:t>Se soffre di COPD, o fuma molto, deve discutere con il medico se è appropriato il trattamento con un anti-TNF.</w:t>
      </w:r>
    </w:p>
    <w:p w:rsidR="006224C2" w:rsidRPr="00295E71" w14:paraId="0E39D8A8" w14:textId="77777777">
      <w:pPr>
        <w:pStyle w:val="EndnoteText"/>
        <w:jc w:val="both"/>
        <w:rPr>
          <w:lang w:val="it-IT"/>
        </w:rPr>
      </w:pPr>
    </w:p>
    <w:p w:rsidR="0035667C" w:rsidRPr="00295E71" w:rsidP="00F57FE5" w14:paraId="5C394CBE" w14:textId="77777777">
      <w:pPr>
        <w:keepNext/>
        <w:keepLines/>
        <w:tabs>
          <w:tab w:val="left" w:pos="540"/>
        </w:tabs>
        <w:jc w:val="both"/>
        <w:rPr>
          <w:sz w:val="22"/>
          <w:szCs w:val="22"/>
        </w:rPr>
      </w:pPr>
      <w:r w:rsidRPr="00295E71">
        <w:rPr>
          <w:sz w:val="22"/>
          <w:szCs w:val="22"/>
        </w:rPr>
        <w:t>Malattia autoimmune</w:t>
      </w:r>
    </w:p>
    <w:p w:rsidR="0035667C" w:rsidRPr="00295E71" w:rsidP="00F57FE5" w14:paraId="1D41F934" w14:textId="77777777">
      <w:pPr>
        <w:keepNext/>
        <w:keepLines/>
        <w:tabs>
          <w:tab w:val="left" w:pos="540"/>
        </w:tabs>
        <w:jc w:val="both"/>
        <w:rPr>
          <w:sz w:val="22"/>
          <w:szCs w:val="22"/>
        </w:rPr>
      </w:pPr>
    </w:p>
    <w:p w:rsidR="0035667C" w:rsidRPr="00295E71" w:rsidP="00F57FE5" w14:paraId="0702141D" w14:textId="77777777">
      <w:pPr>
        <w:pStyle w:val="ListParagraph"/>
        <w:keepNext/>
        <w:keepLines/>
        <w:numPr>
          <w:ilvl w:val="0"/>
          <w:numId w:val="133"/>
        </w:numPr>
        <w:tabs>
          <w:tab w:val="left" w:pos="540"/>
        </w:tabs>
        <w:jc w:val="both"/>
        <w:rPr>
          <w:sz w:val="22"/>
          <w:szCs w:val="22"/>
        </w:rPr>
      </w:pPr>
      <w:r w:rsidRPr="00295E71">
        <w:rPr>
          <w:sz w:val="22"/>
          <w:szCs w:val="22"/>
        </w:rPr>
        <w:t>Raramente, il trattamento con Humira può portare alla manifestazione di una sindrome come il lupus. Informi il medico qualora si manifestino sintomi come eruzione cutanea persistente di natura inspiegabile, febbre, dolore alle articolazioni o affaticamento.</w:t>
      </w:r>
    </w:p>
    <w:p w:rsidR="0035667C" w:rsidRPr="00295E71" w14:paraId="75CA564D" w14:textId="77777777">
      <w:pPr>
        <w:jc w:val="both"/>
        <w:rPr>
          <w:b/>
          <w:sz w:val="22"/>
          <w:szCs w:val="22"/>
          <w:lang w:eastAsia="en-US"/>
        </w:rPr>
      </w:pPr>
    </w:p>
    <w:p w:rsidR="006224C2" w:rsidRPr="00295E71" w:rsidP="001108AC" w14:paraId="6E5DC9E5" w14:textId="77777777">
      <w:pPr>
        <w:keepNext/>
        <w:jc w:val="both"/>
        <w:rPr>
          <w:b/>
          <w:sz w:val="22"/>
          <w:szCs w:val="22"/>
          <w:lang w:eastAsia="en-US"/>
        </w:rPr>
      </w:pPr>
      <w:r w:rsidRPr="00295E71">
        <w:rPr>
          <w:b/>
          <w:sz w:val="22"/>
          <w:szCs w:val="22"/>
          <w:lang w:eastAsia="en-US"/>
        </w:rPr>
        <w:t>Bambini e adolescenti</w:t>
      </w:r>
    </w:p>
    <w:p w:rsidR="006224C2" w:rsidRPr="00295E71" w:rsidP="001108AC" w14:paraId="1F175532" w14:textId="77777777">
      <w:pPr>
        <w:keepNext/>
        <w:jc w:val="both"/>
        <w:rPr>
          <w:sz w:val="22"/>
          <w:szCs w:val="22"/>
          <w:lang w:eastAsia="en-US"/>
        </w:rPr>
      </w:pPr>
    </w:p>
    <w:p w:rsidR="006224C2" w:rsidRPr="00295E71" w:rsidP="001108AC" w14:paraId="5D2C3482" w14:textId="77777777">
      <w:pPr>
        <w:keepNext/>
        <w:numPr>
          <w:ilvl w:val="0"/>
          <w:numId w:val="49"/>
        </w:numPr>
        <w:tabs>
          <w:tab w:val="num" w:pos="540"/>
          <w:tab w:val="clear" w:pos="720"/>
        </w:tabs>
        <w:ind w:left="540" w:hanging="540"/>
        <w:jc w:val="both"/>
        <w:rPr>
          <w:sz w:val="22"/>
          <w:szCs w:val="22"/>
          <w:lang w:eastAsia="en-US"/>
        </w:rPr>
      </w:pPr>
      <w:r w:rsidRPr="00295E71">
        <w:rPr>
          <w:sz w:val="22"/>
          <w:szCs w:val="22"/>
          <w:lang w:eastAsia="en-US"/>
        </w:rPr>
        <w:t>Vaccinazioni: se possibile, i bambini devono aver già fatto tutte le vaccinazioni prima di usare Humira.</w:t>
      </w:r>
    </w:p>
    <w:p w:rsidR="006224C2" w:rsidRPr="00295E71" w14:paraId="03E734CC" w14:textId="77777777">
      <w:pPr>
        <w:jc w:val="both"/>
        <w:rPr>
          <w:sz w:val="22"/>
          <w:szCs w:val="22"/>
          <w:lang w:eastAsia="en-US"/>
        </w:rPr>
      </w:pPr>
    </w:p>
    <w:p w:rsidR="006224C2" w:rsidRPr="00295E71" w14:paraId="57E13A38" w14:textId="77777777">
      <w:pPr>
        <w:pStyle w:val="Heading9"/>
        <w:keepNext w:val="0"/>
        <w:jc w:val="both"/>
        <w:rPr>
          <w:sz w:val="22"/>
          <w:szCs w:val="22"/>
          <w:lang w:val="it-IT" w:eastAsia="en-US"/>
        </w:rPr>
      </w:pPr>
      <w:r w:rsidRPr="00295E71">
        <w:rPr>
          <w:sz w:val="22"/>
          <w:szCs w:val="22"/>
          <w:lang w:val="it-IT" w:eastAsia="en-US"/>
        </w:rPr>
        <w:t>Altri medicinali e Humira</w:t>
      </w:r>
    </w:p>
    <w:p w:rsidR="006224C2" w:rsidRPr="00295E71" w14:paraId="76835473" w14:textId="77777777">
      <w:pPr>
        <w:jc w:val="both"/>
        <w:rPr>
          <w:sz w:val="22"/>
          <w:szCs w:val="22"/>
          <w:lang w:eastAsia="en-US"/>
        </w:rPr>
      </w:pPr>
    </w:p>
    <w:p w:rsidR="006224C2" w:rsidRPr="00295E71" w14:paraId="274BC560" w14:textId="77777777">
      <w:pPr>
        <w:jc w:val="both"/>
        <w:rPr>
          <w:sz w:val="22"/>
          <w:szCs w:val="22"/>
        </w:rPr>
      </w:pPr>
      <w:r w:rsidRPr="00295E71">
        <w:rPr>
          <w:sz w:val="22"/>
          <w:szCs w:val="22"/>
        </w:rPr>
        <w:t>Informi il medico o il farmacista se sta assumendo, ha recentemente assunto o potrebbe assumere qualsiasi altro medicinale.</w:t>
      </w:r>
    </w:p>
    <w:p w:rsidR="006224C2" w:rsidRPr="00295E71" w14:paraId="20DFC89F" w14:textId="77777777">
      <w:pPr>
        <w:jc w:val="both"/>
        <w:rPr>
          <w:sz w:val="22"/>
          <w:szCs w:val="22"/>
          <w:lang w:eastAsia="en-US"/>
        </w:rPr>
      </w:pPr>
    </w:p>
    <w:p w:rsidR="006224C2" w:rsidRPr="00295E71" w14:paraId="44203FF2" w14:textId="77777777">
      <w:pPr>
        <w:jc w:val="both"/>
        <w:rPr>
          <w:sz w:val="22"/>
          <w:szCs w:val="22"/>
        </w:rPr>
      </w:pPr>
      <w:r w:rsidRPr="00295E71">
        <w:rPr>
          <w:sz w:val="22"/>
          <w:szCs w:val="22"/>
        </w:rPr>
        <w:t>Non usi Humira con medicinali che contengono i seguenti principi attivi a causa del rischio aumentato di avere infezioni gravi</w:t>
      </w:r>
      <w:r w:rsidRPr="00295E71" w:rsidR="00226BC4">
        <w:rPr>
          <w:sz w:val="22"/>
          <w:szCs w:val="22"/>
        </w:rPr>
        <w:t>:</w:t>
      </w:r>
    </w:p>
    <w:p w:rsidR="006224C2" w:rsidRPr="00295E71" w14:paraId="24420BFF" w14:textId="77777777">
      <w:pPr>
        <w:pStyle w:val="ListParagraph"/>
        <w:numPr>
          <w:ilvl w:val="0"/>
          <w:numId w:val="49"/>
        </w:numPr>
        <w:jc w:val="both"/>
        <w:rPr>
          <w:sz w:val="22"/>
          <w:szCs w:val="22"/>
        </w:rPr>
      </w:pPr>
      <w:r w:rsidRPr="00295E71">
        <w:rPr>
          <w:sz w:val="22"/>
          <w:szCs w:val="22"/>
        </w:rPr>
        <w:t xml:space="preserve">anakinra </w:t>
      </w:r>
    </w:p>
    <w:p w:rsidR="006224C2" w:rsidRPr="00295E71" w14:paraId="14D2EA64" w14:textId="77777777">
      <w:pPr>
        <w:pStyle w:val="ListParagraph"/>
        <w:numPr>
          <w:ilvl w:val="0"/>
          <w:numId w:val="49"/>
        </w:numPr>
        <w:jc w:val="both"/>
        <w:rPr>
          <w:sz w:val="22"/>
          <w:szCs w:val="22"/>
        </w:rPr>
      </w:pPr>
      <w:r w:rsidRPr="00295E71">
        <w:rPr>
          <w:sz w:val="22"/>
          <w:szCs w:val="22"/>
        </w:rPr>
        <w:t xml:space="preserve">abatacept. </w:t>
      </w:r>
    </w:p>
    <w:p w:rsidR="006224C2" w:rsidRPr="00295E71" w14:paraId="7A76AD01" w14:textId="77777777">
      <w:pPr>
        <w:jc w:val="both"/>
        <w:rPr>
          <w:sz w:val="22"/>
          <w:szCs w:val="22"/>
        </w:rPr>
      </w:pPr>
    </w:p>
    <w:p w:rsidR="006224C2" w:rsidRPr="00295E71" w14:paraId="35D805C9" w14:textId="77777777">
      <w:pPr>
        <w:jc w:val="both"/>
        <w:rPr>
          <w:sz w:val="22"/>
          <w:szCs w:val="22"/>
        </w:rPr>
      </w:pPr>
      <w:r w:rsidRPr="00295E71">
        <w:rPr>
          <w:sz w:val="22"/>
          <w:szCs w:val="22"/>
        </w:rPr>
        <w:t>Humira può essere assunto con:</w:t>
      </w:r>
    </w:p>
    <w:p w:rsidR="006224C2" w:rsidRPr="00295E71" w14:paraId="3B62C4C4" w14:textId="77777777">
      <w:pPr>
        <w:pStyle w:val="ListParagraph"/>
        <w:numPr>
          <w:ilvl w:val="0"/>
          <w:numId w:val="119"/>
        </w:numPr>
        <w:jc w:val="both"/>
        <w:rPr>
          <w:sz w:val="22"/>
          <w:szCs w:val="22"/>
        </w:rPr>
      </w:pPr>
      <w:r w:rsidRPr="00295E71">
        <w:rPr>
          <w:sz w:val="22"/>
          <w:szCs w:val="22"/>
        </w:rPr>
        <w:t xml:space="preserve">metotressato </w:t>
      </w:r>
    </w:p>
    <w:p w:rsidR="006224C2" w:rsidRPr="00295E71" w14:paraId="57235763" w14:textId="77777777">
      <w:pPr>
        <w:pStyle w:val="ListParagraph"/>
        <w:numPr>
          <w:ilvl w:val="0"/>
          <w:numId w:val="119"/>
        </w:numPr>
        <w:jc w:val="both"/>
        <w:rPr>
          <w:sz w:val="22"/>
          <w:szCs w:val="22"/>
        </w:rPr>
      </w:pPr>
      <w:r w:rsidRPr="00295E71">
        <w:rPr>
          <w:sz w:val="22"/>
          <w:szCs w:val="22"/>
        </w:rPr>
        <w:t xml:space="preserve">altri farmaci antireumatici modificanti la malattia (ad esempio sulfasalazina, idrossiclorochina, leflunomide e sali d’oro per via parenterale) </w:t>
      </w:r>
    </w:p>
    <w:p w:rsidR="006224C2" w:rsidRPr="00295E71" w14:paraId="01DC560C" w14:textId="77777777">
      <w:pPr>
        <w:pStyle w:val="ListParagraph"/>
        <w:numPr>
          <w:ilvl w:val="0"/>
          <w:numId w:val="119"/>
        </w:numPr>
        <w:jc w:val="both"/>
        <w:rPr>
          <w:sz w:val="22"/>
          <w:szCs w:val="22"/>
        </w:rPr>
      </w:pPr>
      <w:r w:rsidRPr="00295E71">
        <w:rPr>
          <w:sz w:val="22"/>
          <w:szCs w:val="22"/>
        </w:rPr>
        <w:t>steroidi o analgesici, compresi i farmaci anti-infiammatori non steroidei (FANS).</w:t>
      </w:r>
    </w:p>
    <w:p w:rsidR="006224C2" w:rsidRPr="00295E71" w14:paraId="7CDDBF1B" w14:textId="77777777">
      <w:pPr>
        <w:numPr>
          <w:ilvl w:val="12"/>
          <w:numId w:val="0"/>
        </w:numPr>
        <w:tabs>
          <w:tab w:val="left" w:pos="567"/>
        </w:tabs>
        <w:ind w:right="-2"/>
        <w:jc w:val="both"/>
        <w:rPr>
          <w:sz w:val="22"/>
          <w:szCs w:val="22"/>
        </w:rPr>
      </w:pPr>
      <w:r w:rsidRPr="00295E71">
        <w:rPr>
          <w:sz w:val="22"/>
          <w:szCs w:val="22"/>
        </w:rPr>
        <w:t>Se ha dubbi, si rivolga al medico.</w:t>
      </w:r>
    </w:p>
    <w:p w:rsidR="006224C2" w:rsidRPr="00295E71" w14:paraId="61F96A37" w14:textId="77777777">
      <w:pPr>
        <w:tabs>
          <w:tab w:val="left" w:pos="567"/>
        </w:tabs>
        <w:jc w:val="both"/>
        <w:rPr>
          <w:sz w:val="22"/>
          <w:szCs w:val="22"/>
        </w:rPr>
      </w:pPr>
    </w:p>
    <w:p w:rsidR="006224C2" w:rsidRPr="00295E71" w14:paraId="386CB70B" w14:textId="77777777">
      <w:pPr>
        <w:pStyle w:val="Heading9"/>
        <w:tabs>
          <w:tab w:val="left" w:pos="567"/>
        </w:tabs>
        <w:jc w:val="both"/>
        <w:rPr>
          <w:sz w:val="22"/>
          <w:szCs w:val="22"/>
          <w:lang w:val="it-IT" w:eastAsia="en-US"/>
        </w:rPr>
      </w:pPr>
      <w:r w:rsidRPr="00295E71">
        <w:rPr>
          <w:sz w:val="22"/>
          <w:szCs w:val="22"/>
          <w:lang w:val="it-IT" w:eastAsia="en-US"/>
        </w:rPr>
        <w:t>Gravidanza e allattamento</w:t>
      </w:r>
    </w:p>
    <w:p w:rsidR="006224C2" w:rsidRPr="00295E71" w14:paraId="3DB6EC86" w14:textId="77777777">
      <w:pPr>
        <w:keepNext/>
        <w:numPr>
          <w:ilvl w:val="12"/>
          <w:numId w:val="0"/>
        </w:numPr>
        <w:tabs>
          <w:tab w:val="left" w:pos="567"/>
        </w:tabs>
        <w:ind w:right="-2"/>
        <w:jc w:val="both"/>
        <w:rPr>
          <w:sz w:val="22"/>
          <w:szCs w:val="22"/>
        </w:rPr>
      </w:pPr>
    </w:p>
    <w:p w:rsidR="006224C2" w:rsidP="007E6E3E" w14:paraId="2D9CAE1E" w14:textId="77777777">
      <w:pPr>
        <w:pStyle w:val="ListParagraph"/>
        <w:keepNext/>
        <w:numPr>
          <w:ilvl w:val="0"/>
          <w:numId w:val="151"/>
        </w:numPr>
        <w:ind w:left="426" w:right="-2"/>
        <w:jc w:val="both"/>
        <w:rPr>
          <w:sz w:val="22"/>
          <w:szCs w:val="22"/>
        </w:rPr>
      </w:pPr>
      <w:r>
        <w:rPr>
          <w:sz w:val="22"/>
          <w:szCs w:val="22"/>
        </w:rPr>
        <w:t>Deve considerare l’utilizzo di</w:t>
      </w:r>
      <w:r w:rsidRPr="00450FBB" w:rsidR="00226BC4">
        <w:rPr>
          <w:sz w:val="22"/>
          <w:szCs w:val="22"/>
        </w:rPr>
        <w:t xml:space="preserve"> un’adeguata misura contraccettiva </w:t>
      </w:r>
      <w:r>
        <w:rPr>
          <w:sz w:val="22"/>
          <w:szCs w:val="22"/>
        </w:rPr>
        <w:t>per prevenire una gravidanza</w:t>
      </w:r>
      <w:r w:rsidRPr="00450FBB" w:rsidR="00226BC4">
        <w:rPr>
          <w:sz w:val="22"/>
          <w:szCs w:val="22"/>
        </w:rPr>
        <w:t xml:space="preserve"> e </w:t>
      </w:r>
      <w:r>
        <w:rPr>
          <w:sz w:val="22"/>
          <w:szCs w:val="22"/>
        </w:rPr>
        <w:t xml:space="preserve">continuarne l’utilizzo </w:t>
      </w:r>
      <w:r w:rsidRPr="00450FBB" w:rsidR="00226BC4">
        <w:rPr>
          <w:sz w:val="22"/>
          <w:szCs w:val="22"/>
        </w:rPr>
        <w:t>per almeno 5 mesi dopo l’ultima terapia con</w:t>
      </w:r>
      <w:r>
        <w:rPr>
          <w:sz w:val="22"/>
          <w:szCs w:val="22"/>
        </w:rPr>
        <w:t xml:space="preserve"> Humira</w:t>
      </w:r>
      <w:r w:rsidRPr="00450FBB" w:rsidR="00226BC4">
        <w:rPr>
          <w:sz w:val="22"/>
          <w:szCs w:val="22"/>
        </w:rPr>
        <w:t>.</w:t>
      </w:r>
    </w:p>
    <w:p w:rsidR="00450FBB" w:rsidRPr="00450FBB" w:rsidP="00450FBB" w14:paraId="6ED07BC7" w14:textId="77777777">
      <w:pPr>
        <w:pStyle w:val="ListParagraph"/>
        <w:keepNext/>
        <w:numPr>
          <w:ilvl w:val="0"/>
          <w:numId w:val="151"/>
        </w:numPr>
        <w:ind w:left="426" w:right="-2"/>
        <w:jc w:val="both"/>
        <w:rPr>
          <w:sz w:val="22"/>
          <w:szCs w:val="22"/>
        </w:rPr>
      </w:pPr>
      <w:r w:rsidRPr="00450FBB">
        <w:rPr>
          <w:sz w:val="22"/>
          <w:szCs w:val="22"/>
        </w:rPr>
        <w:t xml:space="preserve">Se è in corso una gravidanza, se sospetta o sta pianificando una gravidanza chieda consiglio al suo medico </w:t>
      </w:r>
      <w:r w:rsidR="00E36447">
        <w:rPr>
          <w:sz w:val="22"/>
          <w:szCs w:val="22"/>
        </w:rPr>
        <w:t>circa l’assunzione di</w:t>
      </w:r>
      <w:r w:rsidRPr="00450FBB">
        <w:rPr>
          <w:sz w:val="22"/>
          <w:szCs w:val="22"/>
        </w:rPr>
        <w:t xml:space="preserve"> questo medicinale.</w:t>
      </w:r>
    </w:p>
    <w:p w:rsidR="00450FBB" w:rsidRPr="00450FBB" w:rsidP="00450FBB" w14:paraId="4F297B0D" w14:textId="77777777">
      <w:pPr>
        <w:pStyle w:val="ListParagraph"/>
        <w:keepNext/>
        <w:numPr>
          <w:ilvl w:val="0"/>
          <w:numId w:val="151"/>
        </w:numPr>
        <w:ind w:left="426" w:right="-2"/>
        <w:jc w:val="both"/>
        <w:rPr>
          <w:sz w:val="22"/>
          <w:szCs w:val="22"/>
        </w:rPr>
      </w:pPr>
      <w:r w:rsidRPr="00450FBB">
        <w:rPr>
          <w:sz w:val="22"/>
          <w:szCs w:val="22"/>
        </w:rPr>
        <w:t>Humira deve essere usato durante la gravidanza solo se necessario.</w:t>
      </w:r>
    </w:p>
    <w:p w:rsidR="00450FBB" w:rsidRPr="00450FBB" w:rsidP="00450FBB" w14:paraId="05628202" w14:textId="77777777">
      <w:pPr>
        <w:pStyle w:val="ListParagraph"/>
        <w:keepNext/>
        <w:numPr>
          <w:ilvl w:val="0"/>
          <w:numId w:val="151"/>
        </w:numPr>
        <w:ind w:left="426" w:right="-2"/>
        <w:jc w:val="both"/>
        <w:rPr>
          <w:sz w:val="22"/>
          <w:szCs w:val="22"/>
        </w:rPr>
      </w:pPr>
      <w:r w:rsidRPr="00450FBB">
        <w:rPr>
          <w:sz w:val="22"/>
          <w:szCs w:val="22"/>
        </w:rPr>
        <w:t xml:space="preserve">Secondo uno studio sulla gravidanza, non è stato riscontrato un rischio maggiore di difetti alla nascita </w:t>
      </w:r>
      <w:r w:rsidR="00E36447">
        <w:rPr>
          <w:sz w:val="22"/>
          <w:szCs w:val="22"/>
        </w:rPr>
        <w:t>quando la madre aveva ricevuto Humira durante la gravidanza,</w:t>
      </w:r>
      <w:r w:rsidRPr="00FC5B3E" w:rsidR="00E36447">
        <w:rPr>
          <w:sz w:val="22"/>
          <w:szCs w:val="22"/>
        </w:rPr>
        <w:t xml:space="preserve"> </w:t>
      </w:r>
      <w:r w:rsidRPr="00450FBB">
        <w:rPr>
          <w:sz w:val="22"/>
          <w:szCs w:val="22"/>
        </w:rPr>
        <w:t>rispetto a madri che avevano la stessa patologia ma che non avevano ricevuto Humira.</w:t>
      </w:r>
    </w:p>
    <w:p w:rsidR="00450FBB" w:rsidRPr="00450FBB" w:rsidP="00450FBB" w14:paraId="2F2249DD" w14:textId="77777777">
      <w:pPr>
        <w:pStyle w:val="ListParagraph"/>
        <w:keepNext/>
        <w:numPr>
          <w:ilvl w:val="0"/>
          <w:numId w:val="151"/>
        </w:numPr>
        <w:ind w:left="426" w:right="-2"/>
        <w:jc w:val="both"/>
        <w:rPr>
          <w:sz w:val="22"/>
          <w:szCs w:val="22"/>
        </w:rPr>
      </w:pPr>
      <w:r w:rsidRPr="00450FBB">
        <w:rPr>
          <w:sz w:val="22"/>
          <w:szCs w:val="22"/>
        </w:rPr>
        <w:t>Humira può essere usato durante l’allattamento con latte materno.</w:t>
      </w:r>
    </w:p>
    <w:p w:rsidR="00450FBB" w:rsidP="007E6E3E" w14:paraId="51787388" w14:textId="77777777">
      <w:pPr>
        <w:pStyle w:val="ListParagraph"/>
        <w:keepNext/>
        <w:numPr>
          <w:ilvl w:val="0"/>
          <w:numId w:val="151"/>
        </w:numPr>
        <w:ind w:left="426" w:right="-2"/>
        <w:jc w:val="both"/>
      </w:pPr>
      <w:r w:rsidRPr="00450FBB">
        <w:rPr>
          <w:sz w:val="22"/>
          <w:szCs w:val="22"/>
        </w:rPr>
        <w:t>Se</w:t>
      </w:r>
      <w:r w:rsidRPr="00295E71">
        <w:t xml:space="preserve"> assu</w:t>
      </w:r>
      <w:r w:rsidR="00D54866">
        <w:t>me</w:t>
      </w:r>
      <w:r w:rsidRPr="00295E71">
        <w:t xml:space="preserve"> Humira durante la gravidanza, il bambino potrebbe avere un maggior rischio di contrarre un’infezione. </w:t>
      </w:r>
    </w:p>
    <w:p w:rsidR="006224C2" w:rsidRPr="00295E71" w:rsidP="007E6E3E" w14:paraId="14F516DA" w14:textId="77777777">
      <w:pPr>
        <w:pStyle w:val="ListParagraph"/>
        <w:keepNext/>
        <w:numPr>
          <w:ilvl w:val="0"/>
          <w:numId w:val="151"/>
        </w:numPr>
        <w:ind w:left="426" w:right="-2"/>
        <w:jc w:val="both"/>
      </w:pPr>
      <w:r w:rsidRPr="00295E71">
        <w:t xml:space="preserve">É importante che lei riferisca al pediatra o ad altro operatore sanitario del suo utilizzo di Humira durante la gravidanza, prima che il bambino riceva qualsiasi tipo di vaccinazione. Per maggiori informazioni </w:t>
      </w:r>
      <w:r w:rsidR="007015FB">
        <w:t xml:space="preserve">sulle vaccinazioni </w:t>
      </w:r>
      <w:r w:rsidRPr="00295E71">
        <w:t xml:space="preserve">consulti la sezione </w:t>
      </w:r>
      <w:r w:rsidRPr="00383EC6" w:rsidR="007015FB">
        <w:rPr>
          <w:sz w:val="22"/>
          <w:szCs w:val="22"/>
        </w:rPr>
        <w:t>“Avvertenze e precauzioni</w:t>
      </w:r>
      <w:r w:rsidR="007015FB">
        <w:rPr>
          <w:sz w:val="22"/>
          <w:szCs w:val="22"/>
        </w:rPr>
        <w:t>”</w:t>
      </w:r>
      <w:r w:rsidRPr="00295E71">
        <w:t>.</w:t>
      </w:r>
    </w:p>
    <w:p w:rsidR="006224C2" w:rsidRPr="00295E71" w14:paraId="197A78FF" w14:textId="77777777">
      <w:pPr>
        <w:pStyle w:val="Heading8"/>
        <w:keepNext w:val="0"/>
        <w:tabs>
          <w:tab w:val="left" w:pos="567"/>
        </w:tabs>
        <w:jc w:val="both"/>
      </w:pPr>
    </w:p>
    <w:p w:rsidR="006224C2" w:rsidRPr="00295E71" w14:paraId="0A809346" w14:textId="77777777">
      <w:pPr>
        <w:pStyle w:val="Heading8"/>
        <w:keepNext w:val="0"/>
        <w:tabs>
          <w:tab w:val="left" w:pos="567"/>
        </w:tabs>
        <w:jc w:val="both"/>
      </w:pPr>
      <w:r w:rsidRPr="00295E71">
        <w:t>Guida di veicoli e utilizzo di macchinari</w:t>
      </w:r>
    </w:p>
    <w:p w:rsidR="006224C2" w:rsidRPr="00295E71" w14:paraId="019EA698" w14:textId="77777777">
      <w:pPr>
        <w:numPr>
          <w:ilvl w:val="12"/>
          <w:numId w:val="0"/>
        </w:numPr>
        <w:tabs>
          <w:tab w:val="left" w:pos="567"/>
        </w:tabs>
        <w:ind w:right="-2"/>
        <w:jc w:val="both"/>
        <w:rPr>
          <w:sz w:val="22"/>
          <w:szCs w:val="22"/>
        </w:rPr>
      </w:pPr>
    </w:p>
    <w:p w:rsidR="006224C2" w14:paraId="3E69D79B" w14:textId="77777777">
      <w:pPr>
        <w:numPr>
          <w:ilvl w:val="12"/>
          <w:numId w:val="0"/>
        </w:numPr>
        <w:tabs>
          <w:tab w:val="left" w:pos="567"/>
        </w:tabs>
        <w:ind w:right="-2"/>
        <w:jc w:val="both"/>
        <w:rPr>
          <w:ins w:id="20038" w:author="AbbVie14" w:date="2025-05-09T11:23:00Z"/>
          <w:sz w:val="22"/>
          <w:szCs w:val="22"/>
        </w:rPr>
      </w:pPr>
      <w:r w:rsidRPr="00295E71">
        <w:rPr>
          <w:sz w:val="22"/>
          <w:szCs w:val="22"/>
        </w:rPr>
        <w:t xml:space="preserve">Humira può influenzare, benché solo in maniera modesta, la sua capacità di guidare, andare in bicicletta o utilizzare macchinari. In seguito all’assunzione di Humira, si possono avere disturbi della vista e la sensazione che l’ambiente in cui ci si trova ruoti.  </w:t>
      </w:r>
    </w:p>
    <w:p w:rsidR="002C1DC5" w14:paraId="7D812C99" w14:textId="77777777">
      <w:pPr>
        <w:numPr>
          <w:ilvl w:val="12"/>
          <w:numId w:val="0"/>
        </w:numPr>
        <w:tabs>
          <w:tab w:val="left" w:pos="567"/>
        </w:tabs>
        <w:ind w:right="-2"/>
        <w:jc w:val="both"/>
        <w:rPr>
          <w:ins w:id="20039" w:author="AbbVie14" w:date="2025-05-09T11:23:00Z"/>
          <w:sz w:val="22"/>
          <w:szCs w:val="22"/>
        </w:rPr>
      </w:pPr>
    </w:p>
    <w:p w:rsidR="002C1DC5" w:rsidRPr="005835DB" w:rsidP="002C1DC5" w14:paraId="5F98E656" w14:textId="77777777">
      <w:pPr>
        <w:pStyle w:val="BodyText2"/>
        <w:keepNext/>
        <w:jc w:val="both"/>
        <w:rPr>
          <w:ins w:id="20040" w:author="AbbVie14" w:date="2025-05-09T11:23:00Z"/>
          <w:b/>
          <w:bCs/>
        </w:rPr>
      </w:pPr>
      <w:ins w:id="20041" w:author="AbbVie14" w:date="2025-05-09T11:23:00Z">
        <w:r w:rsidRPr="005835DB">
          <w:rPr>
            <w:b/>
            <w:bCs/>
          </w:rPr>
          <w:t>Humira contiene polisorbato</w:t>
        </w:r>
      </w:ins>
    </w:p>
    <w:p w:rsidR="002C1DC5" w:rsidP="002C1DC5" w14:paraId="07C95BB8" w14:textId="77777777">
      <w:pPr>
        <w:pStyle w:val="BodyText2"/>
        <w:keepNext/>
        <w:jc w:val="both"/>
        <w:rPr>
          <w:ins w:id="20042" w:author="AbbVie14" w:date="2025-05-09T11:23:00Z"/>
        </w:rPr>
      </w:pPr>
    </w:p>
    <w:p w:rsidR="002C1DC5" w:rsidRPr="002C1DC5" w14:paraId="52D05997" w14:textId="77777777">
      <w:pPr>
        <w:numPr>
          <w:ilvl w:val="0"/>
          <w:numId w:val="0"/>
        </w:numPr>
        <w:tabs>
          <w:tab w:val="left" w:pos="567"/>
        </w:tabs>
        <w:autoSpaceDE w:val="0"/>
        <w:autoSpaceDN w:val="0"/>
        <w:adjustRightInd w:val="0"/>
        <w:ind w:right="0"/>
        <w:jc w:val="both"/>
        <w:pPrChange w:id="20043" w:author="AbbVie14" w:date="2025-05-09T11:23:00Z">
          <w:pPr>
            <w:numPr>
              <w:ilvl w:val="12"/>
              <w:numId w:val="0"/>
            </w:numPr>
            <w:tabs>
              <w:tab w:val="left" w:pos="567"/>
            </w:tabs>
            <w:ind w:right="-2"/>
            <w:jc w:val="both"/>
          </w:pPr>
        </w:pPrChange>
        <w:rPr>
          <w:sz w:val="24"/>
          <w:szCs w:val="24"/>
          <w:rPrChange w:id="20044" w:author="AbbVie14" w:date="2025-05-09T11:23:00Z">
            <w:rPr>
              <w:sz w:val="22"/>
              <w:szCs w:val="22"/>
            </w:rPr>
          </w:rPrChange>
        </w:rPr>
      </w:pPr>
      <w:ins w:id="20045" w:author="AbbVie14" w:date="2025-05-09T11:23:00Z">
        <w:r w:rsidRPr="00BE2419">
          <w:rPr>
            <w:color w:val="000000"/>
            <w:sz w:val="22"/>
            <w:szCs w:val="22"/>
            <w:highlight w:val="none"/>
            <w:rPrChange w:id="20046" w:author="AbbVie14" w:date="2025-05-09T11:37:00Z">
              <w:rPr>
                <w:color w:val="000000"/>
                <w:sz w:val="22"/>
                <w:szCs w:val="22"/>
                <w:highlight w:val="yellow"/>
              </w:rPr>
            </w:rPrChange>
          </w:rPr>
          <w:t xml:space="preserve">Questo medicinale contiene 0,8 mg di polisorbato 80 per ogni dose </w:t>
        </w:r>
      </w:ins>
      <w:ins w:id="20047" w:author="AbbVie14" w:date="2025-05-09T11:37:00Z">
        <w:r w:rsidR="00BE2419">
          <w:rPr>
            <w:color w:val="000000"/>
            <w:sz w:val="22"/>
            <w:szCs w:val="22"/>
          </w:rPr>
          <w:t>d</w:t>
        </w:r>
      </w:ins>
      <w:ins w:id="20048" w:author="AbbVie14" w:date="2025-05-09T11:23:00Z">
        <w:r w:rsidRPr="00BE2419">
          <w:rPr>
            <w:color w:val="000000"/>
            <w:sz w:val="22"/>
            <w:szCs w:val="22"/>
            <w:highlight w:val="none"/>
            <w:rPrChange w:id="20049" w:author="AbbVie14" w:date="2025-05-09T11:37:00Z">
              <w:rPr>
                <w:color w:val="000000"/>
                <w:sz w:val="22"/>
                <w:szCs w:val="22"/>
                <w:highlight w:val="yellow"/>
              </w:rPr>
            </w:rPrChange>
          </w:rPr>
          <w:t>a 80 mg.</w:t>
        </w:r>
      </w:ins>
      <w:ins w:id="20050" w:author="AbbVie14" w:date="2025-05-09T11:23:00Z">
        <w:r w:rsidRPr="00BE2419">
          <w:rPr>
            <w:color w:val="000000"/>
            <w:sz w:val="22"/>
            <w:szCs w:val="22"/>
          </w:rPr>
          <w:t xml:space="preserve"> I polisorbat</w:t>
        </w:r>
      </w:ins>
      <w:ins w:id="20051" w:author="AbbVie14" w:date="2025-05-09T11:38:00Z">
        <w:r w:rsidR="00BE2419">
          <w:rPr>
            <w:color w:val="000000"/>
            <w:sz w:val="22"/>
            <w:szCs w:val="22"/>
          </w:rPr>
          <w:t xml:space="preserve">i possono provocare </w:t>
        </w:r>
      </w:ins>
      <w:ins w:id="20052" w:author="AbbVie14" w:date="2025-05-09T11:23:00Z">
        <w:r w:rsidRPr="00BE2419">
          <w:rPr>
            <w:color w:val="000000"/>
            <w:sz w:val="22"/>
            <w:szCs w:val="22"/>
          </w:rPr>
          <w:t>reazioni allergiche. Informi il medico se ha allergie note.</w:t>
        </w:r>
      </w:ins>
    </w:p>
    <w:p w:rsidR="006224C2" w:rsidRPr="00295E71" w14:paraId="1E09D517" w14:textId="77777777">
      <w:pPr>
        <w:rPr>
          <w:sz w:val="22"/>
          <w:szCs w:val="22"/>
        </w:rPr>
      </w:pPr>
    </w:p>
    <w:p w:rsidR="001108AC" w:rsidRPr="00295E71" w14:paraId="7A40A805" w14:textId="77777777">
      <w:pPr>
        <w:rPr>
          <w:sz w:val="22"/>
          <w:szCs w:val="22"/>
        </w:rPr>
      </w:pPr>
    </w:p>
    <w:p w:rsidR="006224C2" w:rsidRPr="00295E71" w14:paraId="1D7AD1C3" w14:textId="77777777">
      <w:pPr>
        <w:keepNext/>
        <w:rPr>
          <w:b/>
          <w:bCs/>
          <w:sz w:val="22"/>
          <w:szCs w:val="22"/>
        </w:rPr>
      </w:pPr>
      <w:r w:rsidRPr="00295E71">
        <w:rPr>
          <w:b/>
          <w:bCs/>
          <w:sz w:val="22"/>
          <w:szCs w:val="22"/>
        </w:rPr>
        <w:t>3.</w:t>
      </w:r>
      <w:r w:rsidRPr="00295E71">
        <w:rPr>
          <w:b/>
          <w:bCs/>
          <w:sz w:val="22"/>
          <w:szCs w:val="22"/>
        </w:rPr>
        <w:tab/>
        <w:t>Come usare Humira</w:t>
      </w:r>
    </w:p>
    <w:p w:rsidR="006224C2" w:rsidRPr="00295E71" w14:paraId="0BCDE8C1" w14:textId="77777777">
      <w:pPr>
        <w:keepNext/>
        <w:numPr>
          <w:ilvl w:val="12"/>
          <w:numId w:val="0"/>
        </w:numPr>
        <w:tabs>
          <w:tab w:val="left" w:pos="567"/>
        </w:tabs>
        <w:ind w:right="-2"/>
        <w:jc w:val="both"/>
        <w:rPr>
          <w:sz w:val="22"/>
          <w:szCs w:val="22"/>
        </w:rPr>
      </w:pPr>
    </w:p>
    <w:p w:rsidR="006224C2" w:rsidRPr="00295E71" w14:paraId="7566EF74" w14:textId="77777777">
      <w:pPr>
        <w:keepNext/>
        <w:numPr>
          <w:ilvl w:val="12"/>
          <w:numId w:val="0"/>
        </w:numPr>
        <w:tabs>
          <w:tab w:val="left" w:pos="567"/>
        </w:tabs>
        <w:ind w:right="-2"/>
        <w:jc w:val="both"/>
        <w:rPr>
          <w:sz w:val="22"/>
          <w:szCs w:val="22"/>
        </w:rPr>
      </w:pPr>
      <w:r w:rsidRPr="00295E71">
        <w:rPr>
          <w:sz w:val="22"/>
          <w:szCs w:val="22"/>
        </w:rPr>
        <w:t>Usi questo medicinale seguendo sempre esattamente le istruzioni del medico o del farmacista. Se ha dubbi, consulti il medico o il farmacista.</w:t>
      </w:r>
    </w:p>
    <w:p w:rsidR="006224C2" w:rsidRPr="00295E71" w14:paraId="08FD2FF4" w14:textId="77777777">
      <w:pPr>
        <w:numPr>
          <w:ilvl w:val="12"/>
          <w:numId w:val="0"/>
        </w:numPr>
        <w:tabs>
          <w:tab w:val="left" w:pos="567"/>
        </w:tabs>
        <w:ind w:right="-2"/>
        <w:jc w:val="both"/>
        <w:rPr>
          <w:sz w:val="22"/>
          <w:szCs w:val="22"/>
        </w:rPr>
      </w:pPr>
    </w:p>
    <w:p w:rsidR="006224C2" w:rsidRPr="00295E71" w14:paraId="74254C06" w14:textId="77777777">
      <w:pPr>
        <w:pStyle w:val="BodyText2"/>
        <w:jc w:val="both"/>
      </w:pPr>
      <w:r w:rsidRPr="00295E71">
        <w:t>Le dosi raccomandate di Humira per ciascuno degli usi approvati sono mostrate nella tabella sottostante.Il medico potrebbe prescrivere un altro dosaggio di Humira in caso ne avesse bisogno.</w:t>
      </w:r>
    </w:p>
    <w:p w:rsidR="00F52B5F" w:rsidRPr="00295E71" w14:paraId="55E27EB6" w14:textId="77777777">
      <w:pPr>
        <w:pStyle w:val="BodyText2"/>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0"/>
        <w:gridCol w:w="3021"/>
        <w:gridCol w:w="3029"/>
      </w:tblGrid>
      <w:tr w14:paraId="1498C0EC" w14:textId="77777777" w:rsidTr="00E249A1">
        <w:tblPrEx>
          <w:tblW w:w="0" w:type="auto"/>
          <w:tblLook w:val="04A0"/>
        </w:tblPrEx>
        <w:tc>
          <w:tcPr>
            <w:tcW w:w="9286" w:type="dxa"/>
            <w:gridSpan w:val="3"/>
          </w:tcPr>
          <w:p w:rsidR="00F52B5F" w:rsidRPr="00295E71" w:rsidP="00E249A1" w14:paraId="6D23E1C2" w14:textId="77777777">
            <w:pPr>
              <w:keepNext/>
              <w:numPr>
                <w:ilvl w:val="12"/>
                <w:numId w:val="0"/>
              </w:numPr>
              <w:ind w:right="-2"/>
              <w:rPr>
                <w:b/>
                <w:sz w:val="22"/>
                <w:szCs w:val="22"/>
              </w:rPr>
            </w:pPr>
            <w:r w:rsidRPr="00295E71">
              <w:rPr>
                <w:b/>
                <w:sz w:val="22"/>
                <w:szCs w:val="22"/>
              </w:rPr>
              <w:t>Artrite reumatoide</w:t>
            </w:r>
          </w:p>
        </w:tc>
      </w:tr>
      <w:tr w14:paraId="542C3342" w14:textId="77777777" w:rsidTr="00E249A1">
        <w:tblPrEx>
          <w:tblW w:w="0" w:type="auto"/>
          <w:tblLook w:val="04A0"/>
        </w:tblPrEx>
        <w:tc>
          <w:tcPr>
            <w:tcW w:w="3094" w:type="dxa"/>
          </w:tcPr>
          <w:p w:rsidR="00F52B5F" w:rsidRPr="00295E71" w:rsidP="00E249A1" w14:paraId="432DD183" w14:textId="77777777">
            <w:pPr>
              <w:keepNext/>
              <w:numPr>
                <w:ilvl w:val="12"/>
                <w:numId w:val="0"/>
              </w:numPr>
              <w:ind w:right="-2"/>
              <w:rPr>
                <w:sz w:val="22"/>
                <w:szCs w:val="22"/>
              </w:rPr>
            </w:pPr>
          </w:p>
          <w:p w:rsidR="00F52B5F" w:rsidRPr="00295E71" w:rsidP="00E249A1" w14:paraId="4FCB55C5" w14:textId="77777777">
            <w:pPr>
              <w:keepNext/>
              <w:numPr>
                <w:ilvl w:val="12"/>
                <w:numId w:val="0"/>
              </w:numPr>
              <w:ind w:right="-2"/>
              <w:rPr>
                <w:sz w:val="22"/>
                <w:szCs w:val="22"/>
              </w:rPr>
            </w:pPr>
            <w:r w:rsidRPr="00295E71">
              <w:rPr>
                <w:b/>
                <w:sz w:val="22"/>
                <w:szCs w:val="22"/>
              </w:rPr>
              <w:t>Età o peso corporeo</w:t>
            </w:r>
          </w:p>
        </w:tc>
        <w:tc>
          <w:tcPr>
            <w:tcW w:w="3096" w:type="dxa"/>
          </w:tcPr>
          <w:p w:rsidR="00F52B5F" w:rsidRPr="00295E71" w:rsidP="00E249A1" w14:paraId="46A655D6" w14:textId="77777777">
            <w:pPr>
              <w:keepNext/>
              <w:numPr>
                <w:ilvl w:val="12"/>
                <w:numId w:val="0"/>
              </w:numPr>
              <w:ind w:right="-2"/>
              <w:rPr>
                <w:sz w:val="22"/>
                <w:szCs w:val="22"/>
              </w:rPr>
            </w:pPr>
            <w:r w:rsidRPr="00295E71">
              <w:rPr>
                <w:b/>
                <w:sz w:val="22"/>
                <w:szCs w:val="22"/>
              </w:rPr>
              <w:t>Che quantità ne va assunta e con che frequenza?</w:t>
            </w:r>
          </w:p>
        </w:tc>
        <w:tc>
          <w:tcPr>
            <w:tcW w:w="3096" w:type="dxa"/>
          </w:tcPr>
          <w:p w:rsidR="00F52B5F" w:rsidRPr="00295E71" w:rsidP="00E249A1" w14:paraId="7637C277" w14:textId="77777777">
            <w:pPr>
              <w:keepNext/>
              <w:numPr>
                <w:ilvl w:val="12"/>
                <w:numId w:val="0"/>
              </w:numPr>
              <w:ind w:right="-2"/>
              <w:rPr>
                <w:sz w:val="22"/>
                <w:szCs w:val="22"/>
              </w:rPr>
            </w:pPr>
            <w:r w:rsidRPr="00295E71">
              <w:rPr>
                <w:b/>
                <w:sz w:val="22"/>
                <w:szCs w:val="22"/>
              </w:rPr>
              <w:t>Note</w:t>
            </w:r>
          </w:p>
        </w:tc>
      </w:tr>
      <w:tr w14:paraId="1F4802EB" w14:textId="77777777" w:rsidTr="00E249A1">
        <w:tblPrEx>
          <w:tblW w:w="0" w:type="auto"/>
          <w:tblLook w:val="04A0"/>
        </w:tblPrEx>
        <w:tc>
          <w:tcPr>
            <w:tcW w:w="3094" w:type="dxa"/>
          </w:tcPr>
          <w:p w:rsidR="00F52B5F" w:rsidRPr="00295E71" w:rsidP="00E249A1" w14:paraId="3EB757B3" w14:textId="77777777">
            <w:pPr>
              <w:keepNext/>
              <w:numPr>
                <w:ilvl w:val="12"/>
                <w:numId w:val="0"/>
              </w:numPr>
              <w:ind w:right="-2"/>
              <w:rPr>
                <w:sz w:val="22"/>
                <w:szCs w:val="22"/>
              </w:rPr>
            </w:pPr>
            <w:r w:rsidRPr="00295E71">
              <w:rPr>
                <w:sz w:val="22"/>
                <w:szCs w:val="22"/>
              </w:rPr>
              <w:t>Adulti</w:t>
            </w:r>
          </w:p>
        </w:tc>
        <w:tc>
          <w:tcPr>
            <w:tcW w:w="3096" w:type="dxa"/>
          </w:tcPr>
          <w:p w:rsidR="00F52B5F" w:rsidRPr="00295E71" w:rsidP="00E249A1" w14:paraId="1AAC3703" w14:textId="77777777">
            <w:pPr>
              <w:keepNext/>
              <w:numPr>
                <w:ilvl w:val="12"/>
                <w:numId w:val="0"/>
              </w:numPr>
              <w:ind w:right="-2"/>
              <w:rPr>
                <w:sz w:val="22"/>
                <w:szCs w:val="22"/>
              </w:rPr>
            </w:pPr>
            <w:r w:rsidRPr="00295E71">
              <w:rPr>
                <w:sz w:val="22"/>
                <w:szCs w:val="22"/>
              </w:rPr>
              <w:t>40 mg a settimane alterne</w:t>
            </w:r>
          </w:p>
        </w:tc>
        <w:tc>
          <w:tcPr>
            <w:tcW w:w="3096" w:type="dxa"/>
          </w:tcPr>
          <w:p w:rsidR="00F52B5F" w:rsidRPr="00295E71" w:rsidP="00E249A1" w14:paraId="5BC71E6B" w14:textId="77777777">
            <w:pPr>
              <w:keepNext/>
              <w:numPr>
                <w:ilvl w:val="12"/>
                <w:numId w:val="0"/>
              </w:numPr>
              <w:tabs>
                <w:tab w:val="left" w:pos="567"/>
              </w:tabs>
              <w:ind w:right="-2"/>
              <w:rPr>
                <w:sz w:val="22"/>
                <w:szCs w:val="22"/>
              </w:rPr>
            </w:pPr>
            <w:r w:rsidRPr="00295E71">
              <w:rPr>
                <w:sz w:val="22"/>
                <w:szCs w:val="22"/>
              </w:rPr>
              <w:t>Nell’artrite reumatoide si continua ad assumere il metotressato durante il trattamento con Humira. Se il medico decide che il metotressato non è appropriato, Humira può essere somministrato da solo.</w:t>
            </w:r>
          </w:p>
          <w:p w:rsidR="00F52B5F" w:rsidRPr="00295E71" w:rsidP="00E249A1" w14:paraId="00E6CEC9" w14:textId="77777777">
            <w:pPr>
              <w:keepNext/>
              <w:numPr>
                <w:ilvl w:val="12"/>
                <w:numId w:val="0"/>
              </w:numPr>
              <w:ind w:right="-2"/>
              <w:rPr>
                <w:sz w:val="22"/>
                <w:szCs w:val="22"/>
              </w:rPr>
            </w:pPr>
          </w:p>
          <w:p w:rsidR="00F52B5F" w:rsidRPr="00295E71" w:rsidP="00E249A1" w14:paraId="31979551" w14:textId="77777777">
            <w:pPr>
              <w:keepNext/>
              <w:numPr>
                <w:ilvl w:val="12"/>
                <w:numId w:val="0"/>
              </w:numPr>
              <w:ind w:right="-2"/>
              <w:rPr>
                <w:sz w:val="22"/>
                <w:szCs w:val="22"/>
              </w:rPr>
            </w:pPr>
            <w:r w:rsidRPr="00295E71">
              <w:rPr>
                <w:sz w:val="22"/>
                <w:szCs w:val="22"/>
              </w:rPr>
              <w:t>Se è affetto da artrite reumatoide e non assume metotressato in associazione ad Humira, il medico può decidere di prescriverle 40 mg di Humira ogni settimana o 80 mg a settimane alterne.</w:t>
            </w:r>
          </w:p>
        </w:tc>
      </w:tr>
    </w:tbl>
    <w:p w:rsidR="00F52B5F" w:rsidRPr="00295E71" w14:paraId="28A4C315" w14:textId="77777777">
      <w:pPr>
        <w:numPr>
          <w:ilvl w:val="12"/>
          <w:numId w:val="0"/>
        </w:numPr>
        <w:tabs>
          <w:tab w:val="left" w:pos="567"/>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1"/>
        <w:gridCol w:w="3025"/>
        <w:gridCol w:w="3024"/>
      </w:tblGrid>
      <w:tr w14:paraId="57B11722" w14:textId="77777777">
        <w:tblPrEx>
          <w:tblW w:w="0" w:type="auto"/>
          <w:tblLook w:val="04A0"/>
        </w:tblPrEx>
        <w:tc>
          <w:tcPr>
            <w:tcW w:w="9287" w:type="dxa"/>
            <w:gridSpan w:val="3"/>
            <w:tcBorders>
              <w:top w:val="single" w:sz="4" w:space="0" w:color="auto"/>
              <w:left w:val="single" w:sz="4" w:space="0" w:color="auto"/>
              <w:bottom w:val="single" w:sz="4" w:space="0" w:color="auto"/>
              <w:right w:val="single" w:sz="4" w:space="0" w:color="auto"/>
            </w:tcBorders>
            <w:hideMark/>
          </w:tcPr>
          <w:p w:rsidR="006224C2" w:rsidRPr="00295E71" w:rsidP="001108AC" w14:paraId="53DCC652" w14:textId="77777777">
            <w:pPr>
              <w:keepNext/>
              <w:numPr>
                <w:ilvl w:val="12"/>
                <w:numId w:val="0"/>
              </w:numPr>
              <w:tabs>
                <w:tab w:val="left" w:pos="567"/>
                <w:tab w:val="left" w:pos="708"/>
              </w:tabs>
              <w:ind w:right="-2"/>
              <w:rPr>
                <w:sz w:val="22"/>
                <w:szCs w:val="22"/>
              </w:rPr>
            </w:pPr>
            <w:r w:rsidRPr="00295E71">
              <w:rPr>
                <w:b/>
                <w:sz w:val="22"/>
                <w:szCs w:val="22"/>
              </w:rPr>
              <w:t>Psoriasi a placche</w:t>
            </w:r>
          </w:p>
        </w:tc>
      </w:tr>
      <w:tr w14:paraId="3B6F77DD"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6224C2" w:rsidRPr="00295E71" w14:paraId="3FD165B1" w14:textId="77777777">
            <w:pPr>
              <w:numPr>
                <w:ilvl w:val="12"/>
                <w:numId w:val="0"/>
              </w:numPr>
              <w:tabs>
                <w:tab w:val="left" w:pos="567"/>
                <w:tab w:val="left" w:pos="708"/>
              </w:tabs>
              <w:ind w:right="-2"/>
              <w:rPr>
                <w:sz w:val="22"/>
                <w:szCs w:val="22"/>
              </w:rPr>
            </w:pPr>
            <w:r w:rsidRPr="00295E71">
              <w:rPr>
                <w:b/>
                <w:sz w:val="22"/>
                <w:szCs w:val="22"/>
              </w:rPr>
              <w:t>Età o peso corporeo</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rsidP="001108AC" w14:paraId="5F37182E" w14:textId="77777777">
            <w:pPr>
              <w:keepNext/>
              <w:numPr>
                <w:ilvl w:val="12"/>
                <w:numId w:val="0"/>
              </w:numPr>
              <w:tabs>
                <w:tab w:val="left" w:pos="567"/>
                <w:tab w:val="left" w:pos="708"/>
              </w:tabs>
              <w:ind w:right="-2"/>
              <w:rPr>
                <w:sz w:val="22"/>
                <w:szCs w:val="22"/>
              </w:rPr>
            </w:pPr>
            <w:r w:rsidRPr="00295E71">
              <w:rPr>
                <w:b/>
                <w:sz w:val="22"/>
                <w:szCs w:val="22"/>
              </w:rPr>
              <w:t>Che quantità ne va assunta e con che frequenza?</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rsidP="001108AC" w14:paraId="5FA79797" w14:textId="77777777">
            <w:pPr>
              <w:keepNext/>
              <w:numPr>
                <w:ilvl w:val="12"/>
                <w:numId w:val="0"/>
              </w:numPr>
              <w:tabs>
                <w:tab w:val="left" w:pos="567"/>
                <w:tab w:val="left" w:pos="708"/>
              </w:tabs>
              <w:ind w:right="-2"/>
              <w:rPr>
                <w:sz w:val="22"/>
                <w:szCs w:val="22"/>
              </w:rPr>
            </w:pPr>
            <w:r w:rsidRPr="00295E71">
              <w:rPr>
                <w:b/>
                <w:sz w:val="22"/>
                <w:szCs w:val="22"/>
              </w:rPr>
              <w:t>Note</w:t>
            </w:r>
          </w:p>
        </w:tc>
      </w:tr>
      <w:tr w14:paraId="0D803022"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6224C2" w:rsidRPr="00295E71" w14:paraId="3E56245D" w14:textId="77777777">
            <w:pPr>
              <w:numPr>
                <w:ilvl w:val="12"/>
                <w:numId w:val="0"/>
              </w:numPr>
              <w:tabs>
                <w:tab w:val="left" w:pos="567"/>
                <w:tab w:val="left" w:pos="708"/>
              </w:tabs>
              <w:ind w:right="-2"/>
              <w:rPr>
                <w:sz w:val="22"/>
                <w:szCs w:val="22"/>
              </w:rPr>
            </w:pPr>
            <w:r w:rsidRPr="00295E71">
              <w:rPr>
                <w:sz w:val="22"/>
                <w:szCs w:val="22"/>
              </w:rPr>
              <w:t>Adulti</w:t>
            </w:r>
          </w:p>
          <w:p w:rsidR="006224C2" w:rsidRPr="00295E71" w14:paraId="09BDDDC7" w14:textId="77777777">
            <w:pPr>
              <w:numPr>
                <w:ilvl w:val="12"/>
                <w:numId w:val="0"/>
              </w:numPr>
              <w:tabs>
                <w:tab w:val="left" w:pos="708"/>
              </w:tabs>
              <w:ind w:right="-2"/>
              <w:rPr>
                <w:sz w:val="22"/>
                <w:szCs w:val="22"/>
              </w:rPr>
            </w:pP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53F1D48A" w14:textId="77777777">
            <w:pPr>
              <w:numPr>
                <w:ilvl w:val="12"/>
                <w:numId w:val="0"/>
              </w:numPr>
              <w:tabs>
                <w:tab w:val="left" w:pos="708"/>
              </w:tabs>
              <w:rPr>
                <w:sz w:val="22"/>
                <w:szCs w:val="22"/>
              </w:rPr>
            </w:pPr>
            <w:r w:rsidRPr="00295E71">
              <w:rPr>
                <w:sz w:val="22"/>
                <w:szCs w:val="22"/>
              </w:rPr>
              <w:t>La prima dose da 80 mg (un’iniezione da 80 mg), seguita da 40 mg a settimane alterne, a partire da una settimana dopo l’assunzione della prima dose.</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rsidP="001676B4" w14:paraId="7F738347" w14:textId="77777777">
            <w:pPr>
              <w:rPr>
                <w:sz w:val="22"/>
                <w:szCs w:val="22"/>
              </w:rPr>
            </w:pPr>
            <w:r w:rsidRPr="00295E71">
              <w:rPr>
                <w:sz w:val="22"/>
                <w:szCs w:val="22"/>
              </w:rPr>
              <w:t xml:space="preserve">Se ha una risposta insufficiente, il medico può aumentare </w:t>
            </w:r>
            <w:r w:rsidRPr="00295E71" w:rsidR="001676B4">
              <w:rPr>
                <w:sz w:val="22"/>
                <w:szCs w:val="22"/>
              </w:rPr>
              <w:t>il</w:t>
            </w:r>
            <w:r w:rsidRPr="00295E71">
              <w:rPr>
                <w:sz w:val="22"/>
                <w:szCs w:val="22"/>
              </w:rPr>
              <w:t xml:space="preserve"> dos</w:t>
            </w:r>
            <w:r w:rsidRPr="00295E71" w:rsidR="001676B4">
              <w:rPr>
                <w:sz w:val="22"/>
                <w:szCs w:val="22"/>
              </w:rPr>
              <w:t>aggio</w:t>
            </w:r>
            <w:r w:rsidRPr="00295E71">
              <w:rPr>
                <w:sz w:val="22"/>
                <w:szCs w:val="22"/>
              </w:rPr>
              <w:t xml:space="preserve"> fino a 40 mg ogni settimana</w:t>
            </w:r>
            <w:r w:rsidRPr="00295E71" w:rsidR="001676B4">
              <w:rPr>
                <w:sz w:val="22"/>
                <w:szCs w:val="22"/>
              </w:rPr>
              <w:t xml:space="preserve"> o 80 mg a settimane alterne</w:t>
            </w:r>
            <w:r w:rsidRPr="00295E71">
              <w:rPr>
                <w:sz w:val="22"/>
                <w:szCs w:val="22"/>
              </w:rPr>
              <w:t>.</w:t>
            </w:r>
          </w:p>
        </w:tc>
      </w:tr>
    </w:tbl>
    <w:p w:rsidR="006224C2" w:rsidRPr="00295E71" w14:paraId="09C34D37" w14:textId="77777777">
      <w:pPr>
        <w:numPr>
          <w:ilvl w:val="12"/>
          <w:numId w:val="0"/>
        </w:numPr>
        <w:tabs>
          <w:tab w:val="left" w:pos="708"/>
        </w:tabs>
        <w:ind w:right="-2"/>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5"/>
        <w:gridCol w:w="3023"/>
        <w:gridCol w:w="3022"/>
      </w:tblGrid>
      <w:tr w14:paraId="5A4600F6" w14:textId="77777777">
        <w:tblPrEx>
          <w:tblW w:w="0" w:type="auto"/>
          <w:tblLook w:val="04A0"/>
        </w:tblPrEx>
        <w:tc>
          <w:tcPr>
            <w:tcW w:w="9286" w:type="dxa"/>
            <w:gridSpan w:val="3"/>
            <w:tcBorders>
              <w:top w:val="single" w:sz="4" w:space="0" w:color="auto"/>
              <w:left w:val="single" w:sz="4" w:space="0" w:color="auto"/>
              <w:bottom w:val="single" w:sz="4" w:space="0" w:color="auto"/>
              <w:right w:val="single" w:sz="4" w:space="0" w:color="auto"/>
            </w:tcBorders>
            <w:hideMark/>
          </w:tcPr>
          <w:p w:rsidR="006224C2" w:rsidRPr="00295E71" w14:paraId="2475E7B0" w14:textId="77777777">
            <w:pPr>
              <w:numPr>
                <w:ilvl w:val="12"/>
                <w:numId w:val="0"/>
              </w:numPr>
              <w:tabs>
                <w:tab w:val="left" w:pos="708"/>
              </w:tabs>
              <w:ind w:right="-2"/>
              <w:rPr>
                <w:b/>
                <w:sz w:val="22"/>
                <w:szCs w:val="22"/>
              </w:rPr>
            </w:pPr>
            <w:r w:rsidRPr="00295E71">
              <w:rPr>
                <w:sz w:val="22"/>
                <w:szCs w:val="22"/>
                <w:lang w:eastAsia="en-US"/>
              </w:rPr>
              <w:br w:type="page"/>
            </w:r>
            <w:r w:rsidRPr="00295E71">
              <w:rPr>
                <w:b/>
                <w:sz w:val="22"/>
                <w:szCs w:val="22"/>
              </w:rPr>
              <w:t>Idr</w:t>
            </w:r>
            <w:r w:rsidRPr="00295E71" w:rsidR="00A54AF2">
              <w:rPr>
                <w:b/>
                <w:sz w:val="22"/>
                <w:szCs w:val="22"/>
              </w:rPr>
              <w:t>os</w:t>
            </w:r>
            <w:r w:rsidRPr="00295E71">
              <w:rPr>
                <w:b/>
                <w:sz w:val="22"/>
                <w:szCs w:val="22"/>
              </w:rPr>
              <w:t>adenite suppurativa</w:t>
            </w:r>
          </w:p>
        </w:tc>
      </w:tr>
      <w:tr w14:paraId="507243EF"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4A9FB5C8" w14:textId="77777777">
            <w:pPr>
              <w:numPr>
                <w:ilvl w:val="12"/>
                <w:numId w:val="0"/>
              </w:numPr>
              <w:tabs>
                <w:tab w:val="left" w:pos="708"/>
              </w:tabs>
              <w:ind w:right="-2"/>
              <w:rPr>
                <w:sz w:val="22"/>
                <w:szCs w:val="22"/>
              </w:rPr>
            </w:pPr>
            <w:r w:rsidRPr="00295E71">
              <w:rPr>
                <w:b/>
                <w:sz w:val="22"/>
                <w:szCs w:val="22"/>
              </w:rPr>
              <w:t>Età o peso corporeo</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6C0DA061" w14:textId="77777777">
            <w:pPr>
              <w:numPr>
                <w:ilvl w:val="12"/>
                <w:numId w:val="0"/>
              </w:numPr>
              <w:tabs>
                <w:tab w:val="left" w:pos="708"/>
              </w:tabs>
              <w:ind w:right="-2"/>
              <w:rPr>
                <w:sz w:val="22"/>
                <w:szCs w:val="22"/>
              </w:rPr>
            </w:pPr>
            <w:r w:rsidRPr="00295E71">
              <w:rPr>
                <w:b/>
                <w:sz w:val="22"/>
                <w:szCs w:val="22"/>
              </w:rPr>
              <w:t>Che quantità ne va assunta e con che frequenza?</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61CEAA90" w14:textId="77777777">
            <w:pPr>
              <w:numPr>
                <w:ilvl w:val="12"/>
                <w:numId w:val="0"/>
              </w:numPr>
              <w:tabs>
                <w:tab w:val="left" w:pos="708"/>
              </w:tabs>
              <w:ind w:right="-2"/>
              <w:rPr>
                <w:sz w:val="22"/>
                <w:szCs w:val="22"/>
              </w:rPr>
            </w:pPr>
            <w:r w:rsidRPr="00295E71">
              <w:rPr>
                <w:b/>
                <w:sz w:val="22"/>
                <w:szCs w:val="22"/>
              </w:rPr>
              <w:t>Note</w:t>
            </w:r>
          </w:p>
        </w:tc>
      </w:tr>
      <w:tr w14:paraId="7D662C68"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4AA4F7B3" w14:textId="77777777">
            <w:pPr>
              <w:numPr>
                <w:ilvl w:val="12"/>
                <w:numId w:val="0"/>
              </w:numPr>
              <w:tabs>
                <w:tab w:val="left" w:pos="708"/>
              </w:tabs>
              <w:ind w:right="-2"/>
              <w:rPr>
                <w:sz w:val="22"/>
                <w:szCs w:val="22"/>
              </w:rPr>
            </w:pPr>
            <w:r w:rsidRPr="00295E71">
              <w:rPr>
                <w:sz w:val="22"/>
                <w:szCs w:val="22"/>
              </w:rPr>
              <w:t>Adulti</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35BF59A2" w14:textId="77777777">
            <w:pPr>
              <w:numPr>
                <w:ilvl w:val="12"/>
                <w:numId w:val="0"/>
              </w:numPr>
              <w:tabs>
                <w:tab w:val="left" w:pos="708"/>
              </w:tabs>
              <w:ind w:right="-2"/>
              <w:rPr>
                <w:sz w:val="22"/>
                <w:szCs w:val="22"/>
              </w:rPr>
            </w:pPr>
            <w:r w:rsidRPr="00295E71">
              <w:rPr>
                <w:sz w:val="22"/>
                <w:szCs w:val="22"/>
              </w:rPr>
              <w:t>La prima dose da 160 mg (due iniezioni da 80 mg in un giorno o un’iniezione da 80 mg al giorno per due giorni consecutivi), seguita da una dose da 80 mg (un’iniezione da 80 mg) due settimane dopo. Dopo altre due settimane, continui con una dose di 40 mg ogni settimana</w:t>
            </w:r>
            <w:r w:rsidRPr="00295E71" w:rsidR="001676B4">
              <w:rPr>
                <w:sz w:val="22"/>
                <w:szCs w:val="22"/>
              </w:rPr>
              <w:t xml:space="preserve"> o 80 mg a </w:t>
            </w:r>
            <w:r w:rsidRPr="00295E71" w:rsidR="001676B4">
              <w:rPr>
                <w:sz w:val="22"/>
                <w:szCs w:val="22"/>
              </w:rPr>
              <w:t>settimane alterne, come prescritto dal medico</w:t>
            </w:r>
            <w:r w:rsidRPr="00295E71">
              <w:rPr>
                <w:sz w:val="22"/>
                <w:szCs w:val="22"/>
              </w:rPr>
              <w:t>.</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08DE59E5" w14:textId="77777777">
            <w:pPr>
              <w:pStyle w:val="gtcbodytext"/>
              <w:spacing w:before="0" w:after="0" w:line="240" w:lineRule="auto"/>
              <w:rPr>
                <w:sz w:val="22"/>
                <w:szCs w:val="22"/>
                <w:lang w:val="it-IT"/>
              </w:rPr>
            </w:pPr>
            <w:r w:rsidRPr="00295E71">
              <w:rPr>
                <w:sz w:val="22"/>
                <w:szCs w:val="22"/>
                <w:lang w:val="it-IT"/>
              </w:rPr>
              <w:t>Si consiglia di effettuare giornalmente un lavaggio antisettico sulle aree interessate.</w:t>
            </w:r>
          </w:p>
          <w:p w:rsidR="006224C2" w:rsidRPr="00295E71" w14:paraId="552B68F4" w14:textId="77777777">
            <w:pPr>
              <w:numPr>
                <w:ilvl w:val="12"/>
                <w:numId w:val="0"/>
              </w:numPr>
              <w:tabs>
                <w:tab w:val="left" w:pos="708"/>
              </w:tabs>
              <w:ind w:right="-2"/>
              <w:rPr>
                <w:sz w:val="22"/>
                <w:szCs w:val="22"/>
              </w:rPr>
            </w:pPr>
          </w:p>
        </w:tc>
      </w:tr>
      <w:tr w14:paraId="46CBD0FC"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53C294D4" w14:textId="77777777">
            <w:pPr>
              <w:keepNext/>
              <w:numPr>
                <w:ilvl w:val="12"/>
                <w:numId w:val="0"/>
              </w:numPr>
              <w:tabs>
                <w:tab w:val="left" w:pos="708"/>
              </w:tabs>
              <w:ind w:right="-2"/>
              <w:rPr>
                <w:sz w:val="22"/>
                <w:szCs w:val="22"/>
              </w:rPr>
            </w:pPr>
            <w:r w:rsidRPr="00295E71">
              <w:rPr>
                <w:sz w:val="22"/>
                <w:szCs w:val="22"/>
              </w:rPr>
              <w:t>Adolescenti di età compresa tra 12 e 17 anni , con peso uguale o superiore a 30 kg</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6AD47D61" w14:textId="77777777">
            <w:pPr>
              <w:keepNext/>
              <w:numPr>
                <w:ilvl w:val="12"/>
                <w:numId w:val="0"/>
              </w:numPr>
              <w:tabs>
                <w:tab w:val="left" w:pos="708"/>
              </w:tabs>
              <w:ind w:right="-2"/>
              <w:rPr>
                <w:sz w:val="22"/>
                <w:szCs w:val="22"/>
              </w:rPr>
            </w:pPr>
            <w:r w:rsidRPr="00295E71">
              <w:rPr>
                <w:sz w:val="22"/>
                <w:szCs w:val="22"/>
              </w:rPr>
              <w:t>La prima dose da 80 mg (una iniezione da 80 mg), seguita da 40 mg a settimane alterne a partire da una settimana dopo.</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74DACF72" w14:textId="77777777">
            <w:pPr>
              <w:pStyle w:val="gtcbodytext"/>
              <w:keepNext/>
              <w:spacing w:before="0" w:after="0" w:line="240" w:lineRule="auto"/>
              <w:rPr>
                <w:sz w:val="22"/>
                <w:szCs w:val="22"/>
                <w:lang w:val="it-IT"/>
              </w:rPr>
            </w:pPr>
            <w:r w:rsidRPr="00295E71">
              <w:rPr>
                <w:sz w:val="22"/>
                <w:szCs w:val="22"/>
                <w:lang w:val="it-IT"/>
              </w:rPr>
              <w:t>Se ha una risposta insufficiente</w:t>
            </w:r>
            <w:r w:rsidRPr="00295E71" w:rsidR="001676B4">
              <w:rPr>
                <w:sz w:val="22"/>
                <w:szCs w:val="22"/>
                <w:lang w:val="it-IT"/>
              </w:rPr>
              <w:t xml:space="preserve"> a 40 mg di Humira a settimane alterne</w:t>
            </w:r>
            <w:r w:rsidRPr="00295E71">
              <w:rPr>
                <w:sz w:val="22"/>
                <w:szCs w:val="22"/>
                <w:lang w:val="it-IT"/>
              </w:rPr>
              <w:t xml:space="preserve">, il medico può aumentare </w:t>
            </w:r>
            <w:r w:rsidRPr="00295E71" w:rsidR="001676B4">
              <w:rPr>
                <w:sz w:val="22"/>
                <w:szCs w:val="22"/>
                <w:lang w:val="it-IT"/>
              </w:rPr>
              <w:t>il</w:t>
            </w:r>
            <w:r w:rsidRPr="00295E71">
              <w:rPr>
                <w:sz w:val="22"/>
                <w:szCs w:val="22"/>
                <w:lang w:val="it-IT"/>
              </w:rPr>
              <w:t>dos</w:t>
            </w:r>
            <w:r w:rsidRPr="00295E71" w:rsidR="001676B4">
              <w:rPr>
                <w:sz w:val="22"/>
                <w:szCs w:val="22"/>
                <w:lang w:val="it-IT"/>
              </w:rPr>
              <w:t>aggio</w:t>
            </w:r>
            <w:r w:rsidRPr="00295E71">
              <w:rPr>
                <w:sz w:val="22"/>
                <w:szCs w:val="22"/>
                <w:lang w:val="it-IT"/>
              </w:rPr>
              <w:t xml:space="preserve"> fino a 40 mg ogni settimana</w:t>
            </w:r>
            <w:r w:rsidRPr="00295E71" w:rsidR="001676B4">
              <w:rPr>
                <w:sz w:val="22"/>
                <w:szCs w:val="22"/>
                <w:lang w:val="it-IT"/>
              </w:rPr>
              <w:t xml:space="preserve"> o 80 mg a settimane alterne</w:t>
            </w:r>
            <w:r w:rsidRPr="00295E71">
              <w:rPr>
                <w:sz w:val="22"/>
                <w:szCs w:val="22"/>
                <w:lang w:val="it-IT"/>
              </w:rPr>
              <w:t xml:space="preserve">. </w:t>
            </w:r>
          </w:p>
          <w:p w:rsidR="006224C2" w:rsidRPr="00295E71" w14:paraId="0955471F" w14:textId="77777777">
            <w:pPr>
              <w:pStyle w:val="gtcbodytext"/>
              <w:keepNext/>
              <w:spacing w:before="0" w:after="0" w:line="240" w:lineRule="auto"/>
              <w:rPr>
                <w:sz w:val="22"/>
                <w:szCs w:val="22"/>
                <w:lang w:val="it-IT"/>
              </w:rPr>
            </w:pPr>
          </w:p>
          <w:p w:rsidR="006224C2" w:rsidRPr="00295E71" w14:paraId="279629BC" w14:textId="77777777">
            <w:pPr>
              <w:pStyle w:val="gtcbodytext"/>
              <w:keepNext/>
              <w:spacing w:before="0" w:after="0" w:line="240" w:lineRule="auto"/>
              <w:rPr>
                <w:sz w:val="22"/>
                <w:szCs w:val="22"/>
                <w:lang w:val="it-IT"/>
              </w:rPr>
            </w:pPr>
            <w:r w:rsidRPr="00295E71">
              <w:rPr>
                <w:sz w:val="22"/>
                <w:szCs w:val="22"/>
                <w:lang w:val="it-IT"/>
              </w:rPr>
              <w:t>Si consiglia di effettuare giornalmente un lavaggio antisettico sulle aree interessate.</w:t>
            </w:r>
          </w:p>
        </w:tc>
      </w:tr>
    </w:tbl>
    <w:p w:rsidR="006224C2" w:rsidRPr="00295E71" w14:paraId="141D3C86" w14:textId="77777777">
      <w:pPr>
        <w:numPr>
          <w:ilvl w:val="12"/>
          <w:numId w:val="0"/>
        </w:numPr>
        <w:tabs>
          <w:tab w:val="left" w:pos="708"/>
        </w:tabs>
        <w:ind w:right="-2"/>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2"/>
        <w:gridCol w:w="3038"/>
        <w:gridCol w:w="3010"/>
      </w:tblGrid>
      <w:tr w14:paraId="7AABD484" w14:textId="77777777">
        <w:tblPrEx>
          <w:tblW w:w="0" w:type="auto"/>
          <w:tblLook w:val="04A0"/>
        </w:tblPrEx>
        <w:tc>
          <w:tcPr>
            <w:tcW w:w="9286" w:type="dxa"/>
            <w:gridSpan w:val="3"/>
            <w:tcBorders>
              <w:top w:val="single" w:sz="4" w:space="0" w:color="auto"/>
              <w:left w:val="single" w:sz="4" w:space="0" w:color="auto"/>
              <w:bottom w:val="single" w:sz="4" w:space="0" w:color="auto"/>
              <w:right w:val="single" w:sz="4" w:space="0" w:color="auto"/>
            </w:tcBorders>
            <w:hideMark/>
          </w:tcPr>
          <w:p w:rsidR="006224C2" w:rsidRPr="00295E71" w14:paraId="40A7A683" w14:textId="77777777">
            <w:pPr>
              <w:keepNext/>
              <w:numPr>
                <w:ilvl w:val="12"/>
                <w:numId w:val="0"/>
              </w:numPr>
              <w:tabs>
                <w:tab w:val="left" w:pos="708"/>
              </w:tabs>
              <w:spacing w:before="100" w:beforeAutospacing="1" w:after="100" w:afterAutospacing="1"/>
              <w:ind w:right="-2"/>
              <w:rPr>
                <w:sz w:val="22"/>
                <w:szCs w:val="22"/>
              </w:rPr>
            </w:pPr>
            <w:r w:rsidRPr="00295E71">
              <w:rPr>
                <w:sz w:val="22"/>
                <w:szCs w:val="22"/>
                <w:lang w:eastAsia="en-US"/>
              </w:rPr>
              <w:br w:type="page"/>
            </w:r>
            <w:r w:rsidRPr="00295E71">
              <w:rPr>
                <w:b/>
                <w:sz w:val="22"/>
                <w:szCs w:val="22"/>
              </w:rPr>
              <w:t>Malattia di Crohn</w:t>
            </w:r>
          </w:p>
        </w:tc>
      </w:tr>
      <w:tr w14:paraId="4AE859E5"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2D04BF7E" w14:textId="77777777">
            <w:pPr>
              <w:numPr>
                <w:ilvl w:val="12"/>
                <w:numId w:val="0"/>
              </w:numPr>
              <w:tabs>
                <w:tab w:val="left" w:pos="708"/>
              </w:tabs>
              <w:ind w:right="-2"/>
              <w:rPr>
                <w:sz w:val="22"/>
                <w:szCs w:val="22"/>
              </w:rPr>
            </w:pPr>
            <w:r w:rsidRPr="00295E71">
              <w:rPr>
                <w:b/>
                <w:sz w:val="22"/>
                <w:szCs w:val="22"/>
              </w:rPr>
              <w:t>Età o peso corporeo</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2A332236" w14:textId="77777777">
            <w:pPr>
              <w:keepNext/>
              <w:numPr>
                <w:ilvl w:val="12"/>
                <w:numId w:val="0"/>
              </w:numPr>
              <w:tabs>
                <w:tab w:val="left" w:pos="708"/>
              </w:tabs>
              <w:ind w:right="-2"/>
              <w:rPr>
                <w:sz w:val="22"/>
                <w:szCs w:val="22"/>
              </w:rPr>
            </w:pPr>
            <w:r w:rsidRPr="00295E71">
              <w:rPr>
                <w:b/>
                <w:sz w:val="22"/>
                <w:szCs w:val="22"/>
              </w:rPr>
              <w:t>Che quantità ne va assunta e con che frequenza?</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06B43881" w14:textId="77777777">
            <w:pPr>
              <w:keepNext/>
              <w:numPr>
                <w:ilvl w:val="12"/>
                <w:numId w:val="0"/>
              </w:numPr>
              <w:tabs>
                <w:tab w:val="left" w:pos="708"/>
              </w:tabs>
              <w:ind w:right="-2"/>
              <w:rPr>
                <w:sz w:val="22"/>
                <w:szCs w:val="22"/>
              </w:rPr>
            </w:pPr>
            <w:r w:rsidRPr="00295E71">
              <w:rPr>
                <w:b/>
                <w:sz w:val="22"/>
                <w:szCs w:val="22"/>
              </w:rPr>
              <w:t>Note</w:t>
            </w:r>
          </w:p>
        </w:tc>
      </w:tr>
      <w:tr w14:paraId="73829086"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rsidP="006C717D" w14:paraId="4ECD8666" w14:textId="77777777">
            <w:pPr>
              <w:numPr>
                <w:ilvl w:val="12"/>
                <w:numId w:val="0"/>
              </w:numPr>
              <w:tabs>
                <w:tab w:val="left" w:pos="708"/>
              </w:tabs>
              <w:ind w:right="-2"/>
              <w:rPr>
                <w:sz w:val="22"/>
                <w:szCs w:val="22"/>
              </w:rPr>
            </w:pPr>
            <w:r w:rsidRPr="00295E71">
              <w:rPr>
                <w:sz w:val="22"/>
                <w:szCs w:val="22"/>
              </w:rPr>
              <w:t>Bambini</w:t>
            </w:r>
            <w:r w:rsidRPr="00295E71" w:rsidR="006C717D">
              <w:rPr>
                <w:sz w:val="22"/>
                <w:szCs w:val="22"/>
              </w:rPr>
              <w:t>,</w:t>
            </w:r>
            <w:r w:rsidRPr="00295E71">
              <w:rPr>
                <w:sz w:val="22"/>
                <w:szCs w:val="22"/>
              </w:rPr>
              <w:t xml:space="preserve"> adolescenti</w:t>
            </w:r>
            <w:r w:rsidRPr="00295E71" w:rsidR="006C717D">
              <w:rPr>
                <w:sz w:val="22"/>
                <w:szCs w:val="22"/>
              </w:rPr>
              <w:t xml:space="preserve"> e adulti</w:t>
            </w:r>
            <w:r w:rsidRPr="00295E71">
              <w:rPr>
                <w:sz w:val="22"/>
                <w:szCs w:val="22"/>
              </w:rPr>
              <w:t xml:space="preserve"> di età compresa tra 6 e 17 anni e con un peso uguale o superiore a</w:t>
            </w:r>
            <w:r w:rsidRPr="00295E71" w:rsidR="006C717D">
              <w:rPr>
                <w:sz w:val="22"/>
                <w:szCs w:val="22"/>
              </w:rPr>
              <w:t xml:space="preserve"> </w:t>
            </w:r>
            <w:r w:rsidRPr="00295E71">
              <w:rPr>
                <w:sz w:val="22"/>
                <w:szCs w:val="22"/>
              </w:rPr>
              <w:t>40 kg</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3DA9D996" w14:textId="77777777">
            <w:pPr>
              <w:rPr>
                <w:sz w:val="22"/>
                <w:szCs w:val="22"/>
              </w:rPr>
            </w:pPr>
            <w:r w:rsidRPr="00295E71">
              <w:rPr>
                <w:sz w:val="22"/>
                <w:szCs w:val="22"/>
              </w:rPr>
              <w:t>La prima dose da 80 mg (un’iniezione da 80 mg), seguita da 40 mg due settimane dopo.</w:t>
            </w:r>
          </w:p>
          <w:p w:rsidR="006224C2" w:rsidRPr="00295E71" w14:paraId="380D23DD" w14:textId="77777777">
            <w:pPr>
              <w:rPr>
                <w:sz w:val="22"/>
                <w:szCs w:val="22"/>
              </w:rPr>
            </w:pPr>
          </w:p>
          <w:p w:rsidR="006224C2" w:rsidRPr="00295E71" w14:paraId="6B259CFD" w14:textId="77777777">
            <w:pPr>
              <w:rPr>
                <w:sz w:val="22"/>
                <w:szCs w:val="22"/>
              </w:rPr>
            </w:pPr>
            <w:r w:rsidRPr="00295E71">
              <w:rPr>
                <w:sz w:val="22"/>
                <w:szCs w:val="22"/>
              </w:rPr>
              <w:t>Se è necessaria una risposta più rapida, il medico può prescrivere una prima dose da 160 mg (due iniezioni da 80 mg in un giorno o un’iniezione da 80 mg al giorno per due giorni consecutivi), seguita da 80 mg (un’iniezione da 80 mg) due settimane dopo.</w:t>
            </w:r>
          </w:p>
          <w:p w:rsidR="006224C2" w:rsidRPr="00295E71" w14:paraId="1D048F99" w14:textId="77777777">
            <w:pPr>
              <w:rPr>
                <w:sz w:val="22"/>
                <w:szCs w:val="22"/>
              </w:rPr>
            </w:pPr>
          </w:p>
          <w:p w:rsidR="006224C2" w:rsidRPr="00295E71" w14:paraId="53059375" w14:textId="77777777">
            <w:pPr>
              <w:numPr>
                <w:ilvl w:val="12"/>
                <w:numId w:val="0"/>
              </w:numPr>
              <w:tabs>
                <w:tab w:val="left" w:pos="708"/>
              </w:tabs>
              <w:ind w:right="-2"/>
              <w:rPr>
                <w:sz w:val="22"/>
                <w:szCs w:val="22"/>
              </w:rPr>
            </w:pPr>
            <w:r w:rsidRPr="00295E71">
              <w:rPr>
                <w:sz w:val="22"/>
                <w:szCs w:val="22"/>
              </w:rPr>
              <w:t>Successivamente, la dose abituale è di 40 mg a settimane alterne.</w:t>
            </w:r>
          </w:p>
        </w:tc>
        <w:tc>
          <w:tcPr>
            <w:tcW w:w="3096" w:type="dxa"/>
            <w:tcBorders>
              <w:top w:val="single" w:sz="4" w:space="0" w:color="auto"/>
              <w:left w:val="single" w:sz="4" w:space="0" w:color="auto"/>
              <w:bottom w:val="single" w:sz="4" w:space="0" w:color="auto"/>
              <w:right w:val="single" w:sz="4" w:space="0" w:color="auto"/>
            </w:tcBorders>
          </w:tcPr>
          <w:p w:rsidR="006224C2" w:rsidRPr="00295E71" w:rsidP="001676B4" w14:paraId="17F6D629" w14:textId="77777777">
            <w:pPr>
              <w:rPr>
                <w:sz w:val="22"/>
                <w:szCs w:val="22"/>
              </w:rPr>
            </w:pPr>
            <w:r w:rsidRPr="00295E71">
              <w:rPr>
                <w:sz w:val="22"/>
                <w:szCs w:val="22"/>
              </w:rPr>
              <w:t xml:space="preserve">Il medico può aumentare </w:t>
            </w:r>
            <w:r w:rsidRPr="00295E71" w:rsidR="001676B4">
              <w:rPr>
                <w:sz w:val="22"/>
                <w:szCs w:val="22"/>
              </w:rPr>
              <w:t>il</w:t>
            </w:r>
            <w:r w:rsidRPr="00295E71">
              <w:rPr>
                <w:sz w:val="22"/>
                <w:szCs w:val="22"/>
              </w:rPr>
              <w:t xml:space="preserve"> dos</w:t>
            </w:r>
            <w:r w:rsidRPr="00295E71" w:rsidR="001676B4">
              <w:rPr>
                <w:sz w:val="22"/>
                <w:szCs w:val="22"/>
              </w:rPr>
              <w:t>aggio</w:t>
            </w:r>
            <w:r w:rsidRPr="00295E71">
              <w:rPr>
                <w:sz w:val="22"/>
                <w:szCs w:val="22"/>
              </w:rPr>
              <w:t xml:space="preserve"> fino a 40 mg ogni settimana</w:t>
            </w:r>
            <w:r w:rsidRPr="00295E71" w:rsidR="001676B4">
              <w:rPr>
                <w:sz w:val="22"/>
                <w:szCs w:val="22"/>
              </w:rPr>
              <w:t xml:space="preserve"> o 80 mg a settimane alterne</w:t>
            </w:r>
            <w:r w:rsidRPr="00295E71">
              <w:rPr>
                <w:sz w:val="22"/>
                <w:szCs w:val="22"/>
              </w:rPr>
              <w:t>.</w:t>
            </w:r>
          </w:p>
        </w:tc>
      </w:tr>
      <w:tr w14:paraId="1AFA27DB" w14:textId="77777777">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72EF5645" w14:textId="77777777">
            <w:pPr>
              <w:keepNext/>
              <w:numPr>
                <w:ilvl w:val="12"/>
                <w:numId w:val="0"/>
              </w:numPr>
              <w:tabs>
                <w:tab w:val="left" w:pos="708"/>
              </w:tabs>
              <w:ind w:right="-2"/>
              <w:rPr>
                <w:sz w:val="22"/>
                <w:szCs w:val="22"/>
              </w:rPr>
            </w:pPr>
            <w:r w:rsidRPr="00295E71">
              <w:rPr>
                <w:sz w:val="22"/>
                <w:szCs w:val="22"/>
              </w:rPr>
              <w:t>Bambini e adolescenti di età compresa tra 6 e 17 anni e con un peso inferiore a 40 kg</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62CD7CFD" w14:textId="77777777">
            <w:pPr>
              <w:keepNext/>
              <w:rPr>
                <w:sz w:val="22"/>
                <w:szCs w:val="22"/>
              </w:rPr>
            </w:pPr>
            <w:r w:rsidRPr="00295E71">
              <w:rPr>
                <w:sz w:val="22"/>
                <w:szCs w:val="22"/>
              </w:rPr>
              <w:t xml:space="preserve">La prima dose da 40 mg, seguita da 20 mg due settimane dopo. </w:t>
            </w:r>
          </w:p>
          <w:p w:rsidR="006224C2" w:rsidRPr="00295E71" w14:paraId="0040F3B8" w14:textId="77777777">
            <w:pPr>
              <w:keepNext/>
              <w:rPr>
                <w:sz w:val="22"/>
                <w:szCs w:val="22"/>
              </w:rPr>
            </w:pPr>
          </w:p>
          <w:p w:rsidR="006224C2" w:rsidRPr="00295E71" w14:paraId="56D28C58" w14:textId="77777777">
            <w:pPr>
              <w:keepNext/>
              <w:rPr>
                <w:sz w:val="22"/>
                <w:szCs w:val="22"/>
              </w:rPr>
            </w:pPr>
            <w:r w:rsidRPr="00295E71">
              <w:rPr>
                <w:sz w:val="22"/>
                <w:szCs w:val="22"/>
              </w:rPr>
              <w:t>Se è necessaria una risposta più rapida, il medico può prescrivere una prima dose da 80 mg (un’iniezione da 80 mg), seguita da 40 mg due settimane dopo.</w:t>
            </w:r>
          </w:p>
          <w:p w:rsidR="006224C2" w:rsidRPr="00295E71" w14:paraId="665EF624" w14:textId="77777777">
            <w:pPr>
              <w:keepNext/>
              <w:rPr>
                <w:sz w:val="22"/>
                <w:szCs w:val="22"/>
              </w:rPr>
            </w:pPr>
          </w:p>
          <w:p w:rsidR="006224C2" w:rsidRPr="00295E71" w14:paraId="6415BA10" w14:textId="77777777">
            <w:pPr>
              <w:keepNext/>
              <w:numPr>
                <w:ilvl w:val="12"/>
                <w:numId w:val="0"/>
              </w:numPr>
              <w:tabs>
                <w:tab w:val="left" w:pos="708"/>
              </w:tabs>
              <w:ind w:right="-2"/>
              <w:rPr>
                <w:sz w:val="22"/>
                <w:szCs w:val="22"/>
              </w:rPr>
            </w:pPr>
            <w:r w:rsidRPr="00295E71">
              <w:rPr>
                <w:sz w:val="22"/>
                <w:szCs w:val="22"/>
              </w:rPr>
              <w:t>Successivamente, la dose abituale è di 20 mg a settimane alterne.</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308FE2BD" w14:textId="77777777">
            <w:pPr>
              <w:keepNext/>
              <w:rPr>
                <w:sz w:val="22"/>
                <w:szCs w:val="22"/>
              </w:rPr>
            </w:pPr>
            <w:r w:rsidRPr="00295E71">
              <w:rPr>
                <w:sz w:val="22"/>
                <w:szCs w:val="22"/>
              </w:rPr>
              <w:t>Il medico può aumentare la frequenza della dose fino a 20 mg ogni settimana.</w:t>
            </w:r>
          </w:p>
        </w:tc>
      </w:tr>
    </w:tbl>
    <w:p w:rsidR="006224C2" w:rsidRPr="00295E71" w14:paraId="09D7C312" w14:textId="77777777">
      <w:pPr>
        <w:numPr>
          <w:ilvl w:val="12"/>
          <w:numId w:val="0"/>
        </w:numPr>
        <w:tabs>
          <w:tab w:val="left" w:pos="708"/>
        </w:tabs>
        <w:ind w:right="-2"/>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1"/>
        <w:gridCol w:w="3038"/>
        <w:gridCol w:w="3011"/>
      </w:tblGrid>
      <w:tr w14:paraId="3AB8792B" w14:textId="77777777" w:rsidTr="005C3724">
        <w:tblPrEx>
          <w:tblW w:w="0" w:type="auto"/>
          <w:tblLook w:val="04A0"/>
        </w:tblPrEx>
        <w:tc>
          <w:tcPr>
            <w:tcW w:w="9286" w:type="dxa"/>
            <w:gridSpan w:val="3"/>
            <w:tcBorders>
              <w:top w:val="single" w:sz="4" w:space="0" w:color="auto"/>
              <w:left w:val="single" w:sz="4" w:space="0" w:color="auto"/>
              <w:bottom w:val="single" w:sz="4" w:space="0" w:color="auto"/>
              <w:right w:val="single" w:sz="4" w:space="0" w:color="auto"/>
            </w:tcBorders>
            <w:hideMark/>
          </w:tcPr>
          <w:p w:rsidR="006224C2" w:rsidRPr="00295E71" w14:paraId="35633A18" w14:textId="77777777">
            <w:pPr>
              <w:keepNext/>
              <w:numPr>
                <w:ilvl w:val="12"/>
                <w:numId w:val="0"/>
              </w:numPr>
              <w:tabs>
                <w:tab w:val="left" w:pos="708"/>
              </w:tabs>
              <w:ind w:right="-2"/>
              <w:rPr>
                <w:b/>
                <w:sz w:val="22"/>
                <w:szCs w:val="22"/>
              </w:rPr>
            </w:pPr>
            <w:r w:rsidRPr="00295E71">
              <w:rPr>
                <w:b/>
                <w:sz w:val="22"/>
                <w:szCs w:val="22"/>
              </w:rPr>
              <w:t>Colite ulcerosa</w:t>
            </w:r>
          </w:p>
        </w:tc>
      </w:tr>
      <w:tr w14:paraId="202E305C" w14:textId="77777777" w:rsidTr="005C3724">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520D4747" w14:textId="77777777">
            <w:pPr>
              <w:keepNext/>
              <w:numPr>
                <w:ilvl w:val="12"/>
                <w:numId w:val="0"/>
              </w:numPr>
              <w:tabs>
                <w:tab w:val="left" w:pos="708"/>
              </w:tabs>
              <w:ind w:right="-2"/>
              <w:rPr>
                <w:sz w:val="22"/>
                <w:szCs w:val="22"/>
              </w:rPr>
            </w:pPr>
            <w:r w:rsidRPr="00295E71">
              <w:rPr>
                <w:b/>
                <w:sz w:val="22"/>
                <w:szCs w:val="22"/>
              </w:rPr>
              <w:t>Età o peso corporeo</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627454C5" w14:textId="77777777">
            <w:pPr>
              <w:keepNext/>
              <w:numPr>
                <w:ilvl w:val="12"/>
                <w:numId w:val="0"/>
              </w:numPr>
              <w:tabs>
                <w:tab w:val="left" w:pos="708"/>
              </w:tabs>
              <w:ind w:right="-2"/>
              <w:rPr>
                <w:sz w:val="22"/>
                <w:szCs w:val="22"/>
              </w:rPr>
            </w:pPr>
            <w:r w:rsidRPr="00295E71">
              <w:rPr>
                <w:b/>
                <w:sz w:val="22"/>
                <w:szCs w:val="22"/>
              </w:rPr>
              <w:t>Che quantità ne va assunta e con che frequenza?</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23E4EB93" w14:textId="77777777">
            <w:pPr>
              <w:keepNext/>
              <w:numPr>
                <w:ilvl w:val="12"/>
                <w:numId w:val="0"/>
              </w:numPr>
              <w:tabs>
                <w:tab w:val="left" w:pos="708"/>
              </w:tabs>
              <w:ind w:right="-2"/>
              <w:rPr>
                <w:sz w:val="22"/>
                <w:szCs w:val="22"/>
              </w:rPr>
            </w:pPr>
            <w:r w:rsidRPr="00295E71">
              <w:rPr>
                <w:b/>
                <w:sz w:val="22"/>
                <w:szCs w:val="22"/>
              </w:rPr>
              <w:t>Note</w:t>
            </w:r>
          </w:p>
        </w:tc>
      </w:tr>
      <w:tr w14:paraId="3F908DB5" w14:textId="77777777" w:rsidTr="005C3724">
        <w:tblPrEx>
          <w:tblW w:w="0" w:type="auto"/>
          <w:tblLook w:val="04A0"/>
        </w:tblPrEx>
        <w:tc>
          <w:tcPr>
            <w:tcW w:w="3094" w:type="dxa"/>
            <w:tcBorders>
              <w:top w:val="single" w:sz="4" w:space="0" w:color="auto"/>
              <w:left w:val="single" w:sz="4" w:space="0" w:color="auto"/>
              <w:bottom w:val="single" w:sz="4" w:space="0" w:color="auto"/>
              <w:right w:val="single" w:sz="4" w:space="0" w:color="auto"/>
            </w:tcBorders>
            <w:hideMark/>
          </w:tcPr>
          <w:p w:rsidR="006224C2" w:rsidRPr="00295E71" w14:paraId="2701F79D" w14:textId="77777777">
            <w:pPr>
              <w:keepNext/>
              <w:numPr>
                <w:ilvl w:val="12"/>
                <w:numId w:val="0"/>
              </w:numPr>
              <w:tabs>
                <w:tab w:val="left" w:pos="708"/>
              </w:tabs>
              <w:ind w:right="-2"/>
              <w:rPr>
                <w:sz w:val="22"/>
                <w:szCs w:val="22"/>
              </w:rPr>
            </w:pPr>
            <w:r w:rsidRPr="00295E71">
              <w:rPr>
                <w:sz w:val="22"/>
                <w:szCs w:val="22"/>
              </w:rPr>
              <w:t>Adulti</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118512BC" w14:textId="77777777">
            <w:pPr>
              <w:keepNext/>
              <w:numPr>
                <w:ilvl w:val="12"/>
                <w:numId w:val="0"/>
              </w:numPr>
              <w:tabs>
                <w:tab w:val="left" w:pos="708"/>
              </w:tabs>
              <w:rPr>
                <w:sz w:val="22"/>
                <w:szCs w:val="22"/>
              </w:rPr>
            </w:pPr>
            <w:r w:rsidRPr="00295E71">
              <w:rPr>
                <w:sz w:val="22"/>
                <w:szCs w:val="22"/>
              </w:rPr>
              <w:t>La prima dose da 160 mg (due iniezioni da 80 mg in un giorno o un’iniezione da 80 mg al giorno per due giorni consecutivi), seguita da 80 mg (un’iniezione da 80 mg) due settimane dopo.</w:t>
            </w:r>
          </w:p>
          <w:p w:rsidR="006224C2" w:rsidRPr="00295E71" w14:paraId="392C81D3" w14:textId="77777777">
            <w:pPr>
              <w:keepNext/>
              <w:numPr>
                <w:ilvl w:val="12"/>
                <w:numId w:val="0"/>
              </w:numPr>
              <w:tabs>
                <w:tab w:val="left" w:pos="708"/>
              </w:tabs>
              <w:rPr>
                <w:sz w:val="22"/>
                <w:szCs w:val="22"/>
              </w:rPr>
            </w:pPr>
          </w:p>
          <w:p w:rsidR="006224C2" w:rsidRPr="00295E71" w14:paraId="7B7D5916" w14:textId="77777777">
            <w:pPr>
              <w:keepNext/>
              <w:numPr>
                <w:ilvl w:val="12"/>
                <w:numId w:val="0"/>
              </w:numPr>
              <w:tabs>
                <w:tab w:val="left" w:pos="708"/>
              </w:tabs>
              <w:rPr>
                <w:sz w:val="22"/>
                <w:szCs w:val="22"/>
              </w:rPr>
            </w:pPr>
            <w:r w:rsidRPr="00295E71">
              <w:rPr>
                <w:sz w:val="22"/>
                <w:szCs w:val="22"/>
              </w:rPr>
              <w:t>Successivamente, la dose abituale è di 40 mg a settimane alterne.</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rsidP="001676B4" w14:paraId="12CF8E3E" w14:textId="77777777">
            <w:pPr>
              <w:keepNext/>
              <w:numPr>
                <w:ilvl w:val="12"/>
                <w:numId w:val="0"/>
              </w:numPr>
              <w:tabs>
                <w:tab w:val="left" w:pos="708"/>
              </w:tabs>
              <w:ind w:right="-2"/>
              <w:rPr>
                <w:sz w:val="22"/>
                <w:szCs w:val="22"/>
              </w:rPr>
            </w:pPr>
            <w:r w:rsidRPr="00295E71">
              <w:rPr>
                <w:sz w:val="22"/>
                <w:szCs w:val="22"/>
              </w:rPr>
              <w:t xml:space="preserve">Il medico può aumentare </w:t>
            </w:r>
            <w:r w:rsidRPr="00295E71" w:rsidR="001676B4">
              <w:rPr>
                <w:sz w:val="22"/>
                <w:szCs w:val="22"/>
              </w:rPr>
              <w:t xml:space="preserve">il </w:t>
            </w:r>
            <w:r w:rsidRPr="00295E71">
              <w:rPr>
                <w:sz w:val="22"/>
                <w:szCs w:val="22"/>
              </w:rPr>
              <w:t>dos</w:t>
            </w:r>
            <w:r w:rsidRPr="00295E71" w:rsidR="001676B4">
              <w:rPr>
                <w:sz w:val="22"/>
                <w:szCs w:val="22"/>
              </w:rPr>
              <w:t>aggio</w:t>
            </w:r>
            <w:r w:rsidRPr="00295E71">
              <w:rPr>
                <w:sz w:val="22"/>
                <w:szCs w:val="22"/>
              </w:rPr>
              <w:t xml:space="preserve"> fino a 40 mg ogni settimana</w:t>
            </w:r>
            <w:r w:rsidRPr="00295E71" w:rsidR="001676B4">
              <w:rPr>
                <w:sz w:val="22"/>
                <w:szCs w:val="22"/>
              </w:rPr>
              <w:t xml:space="preserve"> o 80 mg a settimane alterne</w:t>
            </w:r>
            <w:r w:rsidRPr="00295E71">
              <w:rPr>
                <w:sz w:val="22"/>
                <w:szCs w:val="22"/>
              </w:rPr>
              <w:t>.</w:t>
            </w:r>
          </w:p>
        </w:tc>
      </w:tr>
      <w:tr w14:paraId="5A654F24" w14:textId="77777777" w:rsidTr="005C3724">
        <w:tblPrEx>
          <w:tblW w:w="0" w:type="auto"/>
          <w:tblLook w:val="04A0"/>
        </w:tblPrEx>
        <w:tc>
          <w:tcPr>
            <w:tcW w:w="3094" w:type="dxa"/>
            <w:tcBorders>
              <w:top w:val="single" w:sz="4" w:space="0" w:color="auto"/>
              <w:left w:val="single" w:sz="4" w:space="0" w:color="auto"/>
              <w:bottom w:val="single" w:sz="4" w:space="0" w:color="auto"/>
              <w:right w:val="single" w:sz="4" w:space="0" w:color="auto"/>
            </w:tcBorders>
          </w:tcPr>
          <w:p w:rsidR="005C3724" w:rsidRPr="005C3724" w:rsidP="005C3724" w14:paraId="27992089" w14:textId="77777777">
            <w:pPr>
              <w:keepNext/>
              <w:numPr>
                <w:ilvl w:val="12"/>
                <w:numId w:val="0"/>
              </w:numPr>
              <w:tabs>
                <w:tab w:val="left" w:pos="708"/>
              </w:tabs>
              <w:ind w:right="-2"/>
              <w:rPr>
                <w:sz w:val="22"/>
                <w:szCs w:val="22"/>
              </w:rPr>
            </w:pPr>
            <w:r w:rsidRPr="00612824">
              <w:rPr>
                <w:sz w:val="22"/>
                <w:szCs w:val="22"/>
              </w:rPr>
              <w:t xml:space="preserve">Bambini e adolescenti a partire dai 6 anni di età </w:t>
            </w:r>
            <w:r w:rsidR="006704EF">
              <w:rPr>
                <w:sz w:val="22"/>
                <w:szCs w:val="22"/>
              </w:rPr>
              <w:t>con peso inferiore a</w:t>
            </w:r>
            <w:r w:rsidRPr="00612824">
              <w:rPr>
                <w:sz w:val="22"/>
                <w:szCs w:val="22"/>
              </w:rPr>
              <w:t xml:space="preserve"> 40 kg</w:t>
            </w:r>
          </w:p>
        </w:tc>
        <w:tc>
          <w:tcPr>
            <w:tcW w:w="3096" w:type="dxa"/>
            <w:tcBorders>
              <w:top w:val="single" w:sz="4" w:space="0" w:color="auto"/>
              <w:left w:val="single" w:sz="4" w:space="0" w:color="auto"/>
              <w:bottom w:val="single" w:sz="4" w:space="0" w:color="auto"/>
              <w:right w:val="single" w:sz="4" w:space="0" w:color="auto"/>
            </w:tcBorders>
          </w:tcPr>
          <w:p w:rsidR="005C3724" w:rsidRPr="00612824" w:rsidP="005C3724" w14:paraId="3882020F" w14:textId="77777777">
            <w:pPr>
              <w:numPr>
                <w:ilvl w:val="12"/>
                <w:numId w:val="0"/>
              </w:numPr>
              <w:rPr>
                <w:sz w:val="22"/>
                <w:szCs w:val="22"/>
              </w:rPr>
            </w:pPr>
            <w:r>
              <w:rPr>
                <w:sz w:val="22"/>
                <w:szCs w:val="22"/>
              </w:rPr>
              <w:t>Una</w:t>
            </w:r>
            <w:r w:rsidRPr="00612824">
              <w:rPr>
                <w:sz w:val="22"/>
                <w:szCs w:val="22"/>
              </w:rPr>
              <w:t xml:space="preserve"> dose</w:t>
            </w:r>
            <w:r>
              <w:rPr>
                <w:sz w:val="22"/>
                <w:szCs w:val="22"/>
              </w:rPr>
              <w:t xml:space="preserve"> iniziale</w:t>
            </w:r>
            <w:r w:rsidRPr="00612824">
              <w:rPr>
                <w:sz w:val="22"/>
                <w:szCs w:val="22"/>
              </w:rPr>
              <w:t xml:space="preserve"> di 80 mg (una iniezione da 80 mg), seguita da 40 mg (una iniezione da 40 mg) due settimane dopo.</w:t>
            </w:r>
          </w:p>
          <w:p w:rsidR="005C3724" w:rsidRPr="00612824" w:rsidP="005C3724" w14:paraId="6E95CE91" w14:textId="77777777">
            <w:pPr>
              <w:numPr>
                <w:ilvl w:val="12"/>
                <w:numId w:val="0"/>
              </w:numPr>
              <w:rPr>
                <w:sz w:val="22"/>
                <w:szCs w:val="22"/>
              </w:rPr>
            </w:pPr>
          </w:p>
          <w:p w:rsidR="005C3724" w:rsidRPr="005C3724" w:rsidP="005C3724" w14:paraId="042277B5" w14:textId="77777777">
            <w:pPr>
              <w:keepNext/>
              <w:numPr>
                <w:ilvl w:val="12"/>
                <w:numId w:val="0"/>
              </w:numPr>
              <w:tabs>
                <w:tab w:val="left" w:pos="708"/>
              </w:tabs>
              <w:rPr>
                <w:sz w:val="22"/>
                <w:szCs w:val="22"/>
              </w:rPr>
            </w:pPr>
            <w:r w:rsidRPr="00612824">
              <w:rPr>
                <w:sz w:val="22"/>
                <w:szCs w:val="22"/>
              </w:rPr>
              <w:t xml:space="preserve">Successivamente, la dose abituale è di 40 mg </w:t>
            </w:r>
            <w:r w:rsidR="006704EF">
              <w:rPr>
                <w:sz w:val="22"/>
                <w:szCs w:val="22"/>
              </w:rPr>
              <w:t>a settimane alterne</w:t>
            </w:r>
            <w:r w:rsidRPr="00612824">
              <w:rPr>
                <w:sz w:val="22"/>
                <w:szCs w:val="22"/>
              </w:rPr>
              <w:t>.</w:t>
            </w:r>
          </w:p>
        </w:tc>
        <w:tc>
          <w:tcPr>
            <w:tcW w:w="3096" w:type="dxa"/>
            <w:tcBorders>
              <w:top w:val="single" w:sz="4" w:space="0" w:color="auto"/>
              <w:left w:val="single" w:sz="4" w:space="0" w:color="auto"/>
              <w:bottom w:val="single" w:sz="4" w:space="0" w:color="auto"/>
              <w:right w:val="single" w:sz="4" w:space="0" w:color="auto"/>
            </w:tcBorders>
          </w:tcPr>
          <w:p w:rsidR="005C3724" w:rsidRPr="005C3724" w:rsidP="005C3724" w14:paraId="395704F0" w14:textId="77777777">
            <w:pPr>
              <w:keepNext/>
              <w:numPr>
                <w:ilvl w:val="12"/>
                <w:numId w:val="0"/>
              </w:numPr>
              <w:tabs>
                <w:tab w:val="left" w:pos="708"/>
              </w:tabs>
              <w:ind w:right="-2"/>
              <w:rPr>
                <w:sz w:val="22"/>
                <w:szCs w:val="22"/>
              </w:rPr>
            </w:pPr>
            <w:r>
              <w:rPr>
                <w:sz w:val="22"/>
                <w:szCs w:val="22"/>
              </w:rPr>
              <w:t>Si d</w:t>
            </w:r>
            <w:r w:rsidRPr="00612824">
              <w:rPr>
                <w:sz w:val="22"/>
                <w:szCs w:val="22"/>
              </w:rPr>
              <w:t>eve continuare a</w:t>
            </w:r>
            <w:r>
              <w:rPr>
                <w:sz w:val="22"/>
                <w:szCs w:val="22"/>
              </w:rPr>
              <w:t>d assumere</w:t>
            </w:r>
            <w:r w:rsidRPr="00612824">
              <w:rPr>
                <w:sz w:val="22"/>
                <w:szCs w:val="22"/>
              </w:rPr>
              <w:t xml:space="preserve"> Humira alla dose abituale, anche dopo aver compiuto 18 anni</w:t>
            </w:r>
            <w:r>
              <w:rPr>
                <w:sz w:val="22"/>
                <w:szCs w:val="22"/>
              </w:rPr>
              <w:t xml:space="preserve"> di età</w:t>
            </w:r>
            <w:r w:rsidRPr="00612824">
              <w:rPr>
                <w:sz w:val="22"/>
                <w:szCs w:val="22"/>
              </w:rPr>
              <w:t>.</w:t>
            </w:r>
          </w:p>
        </w:tc>
      </w:tr>
      <w:tr w14:paraId="2060CADC" w14:textId="77777777" w:rsidTr="005C3724">
        <w:tblPrEx>
          <w:tblW w:w="0" w:type="auto"/>
          <w:tblLook w:val="04A0"/>
        </w:tblPrEx>
        <w:tc>
          <w:tcPr>
            <w:tcW w:w="3094" w:type="dxa"/>
            <w:tcBorders>
              <w:top w:val="single" w:sz="4" w:space="0" w:color="auto"/>
              <w:left w:val="single" w:sz="4" w:space="0" w:color="auto"/>
              <w:bottom w:val="single" w:sz="4" w:space="0" w:color="auto"/>
              <w:right w:val="single" w:sz="4" w:space="0" w:color="auto"/>
            </w:tcBorders>
          </w:tcPr>
          <w:p w:rsidR="005C3724" w:rsidRPr="005C3724" w:rsidP="005C3724" w14:paraId="7B99FDC1" w14:textId="77777777">
            <w:pPr>
              <w:keepNext/>
              <w:numPr>
                <w:ilvl w:val="12"/>
                <w:numId w:val="0"/>
              </w:numPr>
              <w:tabs>
                <w:tab w:val="left" w:pos="708"/>
              </w:tabs>
              <w:ind w:right="-2"/>
              <w:rPr>
                <w:sz w:val="22"/>
                <w:szCs w:val="22"/>
              </w:rPr>
            </w:pPr>
            <w:r w:rsidRPr="00612824">
              <w:rPr>
                <w:sz w:val="22"/>
                <w:szCs w:val="22"/>
              </w:rPr>
              <w:t xml:space="preserve">Bambini e adolescenti a partire dai 6 anni di età </w:t>
            </w:r>
            <w:r w:rsidR="006704EF">
              <w:rPr>
                <w:sz w:val="22"/>
                <w:szCs w:val="22"/>
              </w:rPr>
              <w:t>con peso uguale o superiore a</w:t>
            </w:r>
            <w:r w:rsidRPr="00612824">
              <w:rPr>
                <w:sz w:val="22"/>
                <w:szCs w:val="22"/>
              </w:rPr>
              <w:t xml:space="preserve"> 40 kg</w:t>
            </w:r>
          </w:p>
        </w:tc>
        <w:tc>
          <w:tcPr>
            <w:tcW w:w="3096" w:type="dxa"/>
            <w:tcBorders>
              <w:top w:val="single" w:sz="4" w:space="0" w:color="auto"/>
              <w:left w:val="single" w:sz="4" w:space="0" w:color="auto"/>
              <w:bottom w:val="single" w:sz="4" w:space="0" w:color="auto"/>
              <w:right w:val="single" w:sz="4" w:space="0" w:color="auto"/>
            </w:tcBorders>
          </w:tcPr>
          <w:p w:rsidR="005C3724" w:rsidRPr="00612824" w:rsidP="005C3724" w14:paraId="5DA8C19C" w14:textId="77777777">
            <w:pPr>
              <w:numPr>
                <w:ilvl w:val="12"/>
                <w:numId w:val="0"/>
              </w:numPr>
              <w:rPr>
                <w:sz w:val="22"/>
                <w:szCs w:val="22"/>
              </w:rPr>
            </w:pPr>
            <w:r>
              <w:rPr>
                <w:sz w:val="22"/>
                <w:szCs w:val="22"/>
              </w:rPr>
              <w:t>Una</w:t>
            </w:r>
            <w:r w:rsidRPr="00612824">
              <w:rPr>
                <w:sz w:val="22"/>
                <w:szCs w:val="22"/>
              </w:rPr>
              <w:t xml:space="preserve"> dose</w:t>
            </w:r>
            <w:r>
              <w:rPr>
                <w:sz w:val="22"/>
                <w:szCs w:val="22"/>
              </w:rPr>
              <w:t xml:space="preserve"> iniziale</w:t>
            </w:r>
            <w:r w:rsidRPr="00612824">
              <w:rPr>
                <w:sz w:val="22"/>
                <w:szCs w:val="22"/>
              </w:rPr>
              <w:t xml:space="preserve"> di 160 mg (due iniezioni da 80 mg in un </w:t>
            </w:r>
            <w:r w:rsidR="009D2CEC">
              <w:rPr>
                <w:sz w:val="22"/>
                <w:szCs w:val="22"/>
              </w:rPr>
              <w:t>giorno</w:t>
            </w:r>
            <w:r w:rsidRPr="00612824">
              <w:rPr>
                <w:sz w:val="22"/>
                <w:szCs w:val="22"/>
              </w:rPr>
              <w:t xml:space="preserve"> o una iniezione da 80 mg al giorno per due giorni consecutivi), seguita da 80 mg (una iniezione da 80 mg) due settimane dopo.</w:t>
            </w:r>
          </w:p>
          <w:p w:rsidR="005C3724" w:rsidRPr="00612824" w:rsidP="005C3724" w14:paraId="2E18581D" w14:textId="77777777">
            <w:pPr>
              <w:numPr>
                <w:ilvl w:val="12"/>
                <w:numId w:val="0"/>
              </w:numPr>
              <w:rPr>
                <w:sz w:val="22"/>
                <w:szCs w:val="22"/>
              </w:rPr>
            </w:pPr>
          </w:p>
          <w:p w:rsidR="005C3724" w:rsidRPr="005C3724" w:rsidP="005C3724" w14:paraId="76F90D39" w14:textId="77777777">
            <w:pPr>
              <w:keepNext/>
              <w:numPr>
                <w:ilvl w:val="12"/>
                <w:numId w:val="0"/>
              </w:numPr>
              <w:tabs>
                <w:tab w:val="left" w:pos="708"/>
              </w:tabs>
              <w:rPr>
                <w:sz w:val="22"/>
                <w:szCs w:val="22"/>
              </w:rPr>
            </w:pPr>
            <w:r w:rsidRPr="00612824">
              <w:rPr>
                <w:sz w:val="22"/>
                <w:szCs w:val="22"/>
              </w:rPr>
              <w:t>Successiva</w:t>
            </w:r>
            <w:r w:rsidRPr="00612824" w:rsidR="00612824">
              <w:rPr>
                <w:sz w:val="22"/>
                <w:szCs w:val="22"/>
              </w:rPr>
              <w:t>mente, la dose abituale è di 80 </w:t>
            </w:r>
            <w:r w:rsidRPr="00612824">
              <w:rPr>
                <w:sz w:val="22"/>
                <w:szCs w:val="22"/>
              </w:rPr>
              <w:t xml:space="preserve">mg </w:t>
            </w:r>
            <w:r w:rsidR="006704EF">
              <w:rPr>
                <w:sz w:val="22"/>
                <w:szCs w:val="22"/>
              </w:rPr>
              <w:t>a settimane alterne</w:t>
            </w:r>
            <w:r w:rsidRPr="00612824">
              <w:rPr>
                <w:sz w:val="22"/>
                <w:szCs w:val="22"/>
              </w:rPr>
              <w:t>.</w:t>
            </w:r>
          </w:p>
        </w:tc>
        <w:tc>
          <w:tcPr>
            <w:tcW w:w="3096" w:type="dxa"/>
            <w:tcBorders>
              <w:top w:val="single" w:sz="4" w:space="0" w:color="auto"/>
              <w:left w:val="single" w:sz="4" w:space="0" w:color="auto"/>
              <w:bottom w:val="single" w:sz="4" w:space="0" w:color="auto"/>
              <w:right w:val="single" w:sz="4" w:space="0" w:color="auto"/>
            </w:tcBorders>
          </w:tcPr>
          <w:p w:rsidR="005C3724" w:rsidRPr="005C3724" w:rsidP="005C3724" w14:paraId="4B7D48DB" w14:textId="77777777">
            <w:pPr>
              <w:keepNext/>
              <w:numPr>
                <w:ilvl w:val="12"/>
                <w:numId w:val="0"/>
              </w:numPr>
              <w:tabs>
                <w:tab w:val="left" w:pos="708"/>
              </w:tabs>
              <w:ind w:right="-2"/>
              <w:rPr>
                <w:sz w:val="22"/>
                <w:szCs w:val="22"/>
              </w:rPr>
            </w:pPr>
            <w:r>
              <w:rPr>
                <w:sz w:val="22"/>
                <w:szCs w:val="22"/>
              </w:rPr>
              <w:t>Si d</w:t>
            </w:r>
            <w:r w:rsidRPr="00612824">
              <w:rPr>
                <w:sz w:val="22"/>
                <w:szCs w:val="22"/>
              </w:rPr>
              <w:t>eve continuare a</w:t>
            </w:r>
            <w:r>
              <w:rPr>
                <w:sz w:val="22"/>
                <w:szCs w:val="22"/>
              </w:rPr>
              <w:t>d assumere</w:t>
            </w:r>
            <w:r w:rsidRPr="00612824">
              <w:rPr>
                <w:sz w:val="22"/>
                <w:szCs w:val="22"/>
              </w:rPr>
              <w:t xml:space="preserve"> Humira alla dose abituale, anche dopo aver compiuto 18 anni</w:t>
            </w:r>
            <w:r>
              <w:rPr>
                <w:sz w:val="22"/>
                <w:szCs w:val="22"/>
              </w:rPr>
              <w:t xml:space="preserve"> di età</w:t>
            </w:r>
            <w:r w:rsidRPr="00612824">
              <w:rPr>
                <w:sz w:val="22"/>
                <w:szCs w:val="22"/>
              </w:rPr>
              <w:t>.</w:t>
            </w:r>
          </w:p>
        </w:tc>
      </w:tr>
    </w:tbl>
    <w:p w:rsidR="006224C2" w:rsidRPr="00295E71" w14:paraId="3C531078" w14:textId="77777777">
      <w:pPr>
        <w:numPr>
          <w:ilvl w:val="12"/>
          <w:numId w:val="0"/>
        </w:numPr>
        <w:tabs>
          <w:tab w:val="left" w:pos="708"/>
        </w:tabs>
        <w:ind w:right="-2"/>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2"/>
        <w:gridCol w:w="3022"/>
        <w:gridCol w:w="3026"/>
      </w:tblGrid>
      <w:tr w14:paraId="2A4F557B" w14:textId="77777777">
        <w:tblPrEx>
          <w:tblW w:w="0" w:type="auto"/>
          <w:tblLook w:val="04A0"/>
        </w:tblPrEx>
        <w:tc>
          <w:tcPr>
            <w:tcW w:w="9287" w:type="dxa"/>
            <w:gridSpan w:val="3"/>
            <w:tcBorders>
              <w:top w:val="single" w:sz="4" w:space="0" w:color="auto"/>
              <w:left w:val="single" w:sz="4" w:space="0" w:color="auto"/>
              <w:bottom w:val="single" w:sz="4" w:space="0" w:color="auto"/>
              <w:right w:val="single" w:sz="4" w:space="0" w:color="auto"/>
            </w:tcBorders>
            <w:hideMark/>
          </w:tcPr>
          <w:p w:rsidR="006224C2" w:rsidRPr="00295E71" w14:paraId="59ABAE6C" w14:textId="77777777">
            <w:pPr>
              <w:numPr>
                <w:ilvl w:val="12"/>
                <w:numId w:val="0"/>
              </w:numPr>
              <w:tabs>
                <w:tab w:val="left" w:pos="708"/>
              </w:tabs>
              <w:ind w:right="-2"/>
              <w:rPr>
                <w:b/>
                <w:sz w:val="22"/>
                <w:szCs w:val="22"/>
              </w:rPr>
            </w:pPr>
            <w:r w:rsidRPr="00295E71">
              <w:rPr>
                <w:b/>
                <w:sz w:val="22"/>
                <w:szCs w:val="22"/>
              </w:rPr>
              <w:t>Uveite non infettiva</w:t>
            </w:r>
          </w:p>
        </w:tc>
      </w:tr>
      <w:tr w14:paraId="7F22FD89"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6224C2" w:rsidRPr="00295E71" w14:paraId="408F06E8" w14:textId="77777777">
            <w:pPr>
              <w:numPr>
                <w:ilvl w:val="12"/>
                <w:numId w:val="0"/>
              </w:numPr>
              <w:tabs>
                <w:tab w:val="left" w:pos="708"/>
              </w:tabs>
              <w:ind w:right="-2"/>
              <w:rPr>
                <w:sz w:val="22"/>
                <w:szCs w:val="22"/>
              </w:rPr>
            </w:pPr>
            <w:r w:rsidRPr="00295E71">
              <w:rPr>
                <w:b/>
                <w:sz w:val="22"/>
                <w:szCs w:val="22"/>
              </w:rPr>
              <w:t>Età o peso corporeo</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4A08C71A" w14:textId="77777777">
            <w:pPr>
              <w:tabs>
                <w:tab w:val="left" w:pos="0"/>
              </w:tabs>
              <w:rPr>
                <w:sz w:val="22"/>
                <w:szCs w:val="22"/>
              </w:rPr>
            </w:pPr>
            <w:r w:rsidRPr="00295E71">
              <w:rPr>
                <w:b/>
                <w:sz w:val="22"/>
                <w:szCs w:val="22"/>
              </w:rPr>
              <w:t>Che quantità ne va assunta e con che frequenza?</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4DCAFB99" w14:textId="77777777">
            <w:pPr>
              <w:numPr>
                <w:ilvl w:val="12"/>
                <w:numId w:val="0"/>
              </w:numPr>
              <w:tabs>
                <w:tab w:val="left" w:pos="708"/>
              </w:tabs>
              <w:rPr>
                <w:sz w:val="22"/>
                <w:szCs w:val="22"/>
              </w:rPr>
            </w:pPr>
            <w:r w:rsidRPr="00295E71">
              <w:rPr>
                <w:b/>
                <w:sz w:val="22"/>
                <w:szCs w:val="22"/>
              </w:rPr>
              <w:t>Note</w:t>
            </w:r>
          </w:p>
        </w:tc>
      </w:tr>
      <w:tr w14:paraId="047E26B1"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6224C2" w:rsidRPr="00295E71" w14:paraId="7C65729E" w14:textId="77777777">
            <w:pPr>
              <w:numPr>
                <w:ilvl w:val="12"/>
                <w:numId w:val="0"/>
              </w:numPr>
              <w:tabs>
                <w:tab w:val="left" w:pos="708"/>
              </w:tabs>
              <w:ind w:right="-2"/>
              <w:rPr>
                <w:sz w:val="22"/>
                <w:szCs w:val="22"/>
              </w:rPr>
            </w:pPr>
            <w:r w:rsidRPr="00295E71">
              <w:rPr>
                <w:sz w:val="22"/>
                <w:szCs w:val="22"/>
              </w:rPr>
              <w:t>Adulti</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5AEB0F5B" w14:textId="77777777">
            <w:pPr>
              <w:tabs>
                <w:tab w:val="left" w:pos="0"/>
              </w:tabs>
              <w:rPr>
                <w:sz w:val="22"/>
                <w:szCs w:val="22"/>
              </w:rPr>
            </w:pPr>
            <w:r w:rsidRPr="00295E71">
              <w:rPr>
                <w:sz w:val="22"/>
                <w:szCs w:val="22"/>
              </w:rPr>
              <w:t>La prima dose da 80 mg (un’iniezione da 80 mg), seguita da 40 mg a settimane alterne a cominciare da una settimana dopo la prima dose.</w:t>
            </w:r>
          </w:p>
        </w:tc>
        <w:tc>
          <w:tcPr>
            <w:tcW w:w="3096" w:type="dxa"/>
            <w:tcBorders>
              <w:top w:val="single" w:sz="4" w:space="0" w:color="auto"/>
              <w:left w:val="single" w:sz="4" w:space="0" w:color="auto"/>
              <w:bottom w:val="single" w:sz="4" w:space="0" w:color="auto"/>
              <w:right w:val="single" w:sz="4" w:space="0" w:color="auto"/>
            </w:tcBorders>
            <w:hideMark/>
          </w:tcPr>
          <w:p w:rsidR="006224C2" w:rsidRPr="00295E71" w14:paraId="06B90EEC" w14:textId="77777777">
            <w:pPr>
              <w:numPr>
                <w:ilvl w:val="12"/>
                <w:numId w:val="0"/>
              </w:numPr>
              <w:tabs>
                <w:tab w:val="left" w:pos="708"/>
              </w:tabs>
              <w:rPr>
                <w:sz w:val="22"/>
                <w:szCs w:val="22"/>
              </w:rPr>
            </w:pPr>
            <w:r w:rsidRPr="00295E71">
              <w:rPr>
                <w:sz w:val="22"/>
                <w:szCs w:val="22"/>
              </w:rPr>
              <w:t>L’uso di corticosteroidi o altri medicinali che interessano il sistema immunitario può essere continuato mentre si usa Humira. Humira può anche essere somministrato da solo.</w:t>
            </w:r>
          </w:p>
        </w:tc>
      </w:tr>
      <w:tr w14:paraId="7078E7F1"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6224C2" w:rsidRPr="00295E71" w:rsidP="006C717D" w14:paraId="769EF531" w14:textId="77777777">
            <w:pPr>
              <w:numPr>
                <w:ilvl w:val="12"/>
                <w:numId w:val="0"/>
              </w:numPr>
              <w:tabs>
                <w:tab w:val="left" w:pos="708"/>
              </w:tabs>
              <w:ind w:right="-2"/>
              <w:rPr>
                <w:sz w:val="22"/>
                <w:szCs w:val="22"/>
              </w:rPr>
            </w:pPr>
            <w:r w:rsidRPr="00295E71">
              <w:rPr>
                <w:sz w:val="22"/>
                <w:szCs w:val="22"/>
              </w:rPr>
              <w:t>Bambini</w:t>
            </w:r>
            <w:r w:rsidRPr="00295E71" w:rsidR="006C717D">
              <w:rPr>
                <w:sz w:val="22"/>
                <w:szCs w:val="22"/>
              </w:rPr>
              <w:t xml:space="preserve"> e adolescenti </w:t>
            </w:r>
            <w:r w:rsidRPr="00295E71" w:rsidR="0088145A">
              <w:rPr>
                <w:sz w:val="22"/>
                <w:szCs w:val="22"/>
              </w:rPr>
              <w:t>a partire</w:t>
            </w:r>
            <w:r w:rsidRPr="00295E71">
              <w:rPr>
                <w:sz w:val="22"/>
                <w:szCs w:val="22"/>
              </w:rPr>
              <w:t xml:space="preserve"> dai </w:t>
            </w:r>
            <w:r w:rsidRPr="00295E71" w:rsidR="00E63DC2">
              <w:rPr>
                <w:sz w:val="22"/>
                <w:szCs w:val="22"/>
              </w:rPr>
              <w:t>2</w:t>
            </w:r>
            <w:r w:rsidRPr="00295E71">
              <w:rPr>
                <w:sz w:val="22"/>
                <w:szCs w:val="22"/>
              </w:rPr>
              <w:t> anni di età e con un peso inferiore a 30 kg</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4B314F0A" w14:textId="77777777">
            <w:pPr>
              <w:tabs>
                <w:tab w:val="left" w:pos="0"/>
              </w:tabs>
              <w:rPr>
                <w:sz w:val="22"/>
                <w:szCs w:val="22"/>
              </w:rPr>
            </w:pPr>
            <w:r w:rsidRPr="00295E71">
              <w:rPr>
                <w:sz w:val="22"/>
                <w:szCs w:val="22"/>
              </w:rPr>
              <w:t>20 mg a settimane alterne</w:t>
            </w:r>
          </w:p>
        </w:tc>
        <w:tc>
          <w:tcPr>
            <w:tcW w:w="3096" w:type="dxa"/>
            <w:tcBorders>
              <w:top w:val="single" w:sz="4" w:space="0" w:color="auto"/>
              <w:left w:val="single" w:sz="4" w:space="0" w:color="auto"/>
              <w:bottom w:val="single" w:sz="4" w:space="0" w:color="auto"/>
              <w:right w:val="single" w:sz="4" w:space="0" w:color="auto"/>
            </w:tcBorders>
          </w:tcPr>
          <w:p w:rsidR="006224C2" w:rsidRPr="00295E71" w:rsidP="003E69B9" w14:paraId="3DB1FE63" w14:textId="77777777">
            <w:pPr>
              <w:numPr>
                <w:ilvl w:val="12"/>
                <w:numId w:val="0"/>
              </w:numPr>
              <w:tabs>
                <w:tab w:val="left" w:pos="708"/>
              </w:tabs>
              <w:rPr>
                <w:sz w:val="22"/>
                <w:szCs w:val="22"/>
              </w:rPr>
            </w:pPr>
            <w:r w:rsidRPr="00295E71">
              <w:rPr>
                <w:sz w:val="22"/>
                <w:szCs w:val="22"/>
              </w:rPr>
              <w:t>Il medico potrebbe prescrivere una dose iniziale da 40 mg da somministrare una settimana prima dell’inizio della dose abituale da 20 mg</w:t>
            </w:r>
            <w:r w:rsidRPr="00295E71" w:rsidR="00E63DC2">
              <w:rPr>
                <w:sz w:val="22"/>
                <w:szCs w:val="22"/>
              </w:rPr>
              <w:t xml:space="preserve"> a settimane alterne</w:t>
            </w:r>
            <w:r w:rsidRPr="00295E71">
              <w:rPr>
                <w:sz w:val="22"/>
                <w:szCs w:val="22"/>
              </w:rPr>
              <w:t>. L’uso di Humira è raccomandato in associazione al metotressato.</w:t>
            </w:r>
          </w:p>
        </w:tc>
      </w:tr>
      <w:tr w14:paraId="32C5A481"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6224C2" w:rsidRPr="00295E71" w:rsidP="006C717D" w14:paraId="6966E96E" w14:textId="77777777">
            <w:pPr>
              <w:numPr>
                <w:ilvl w:val="12"/>
                <w:numId w:val="0"/>
              </w:numPr>
              <w:tabs>
                <w:tab w:val="left" w:pos="708"/>
              </w:tabs>
              <w:ind w:right="-2"/>
              <w:rPr>
                <w:sz w:val="22"/>
                <w:szCs w:val="22"/>
              </w:rPr>
            </w:pPr>
            <w:r w:rsidRPr="00295E71">
              <w:rPr>
                <w:sz w:val="22"/>
                <w:szCs w:val="22"/>
              </w:rPr>
              <w:t xml:space="preserve">Bambini </w:t>
            </w:r>
            <w:r w:rsidRPr="00295E71" w:rsidR="0088145A">
              <w:rPr>
                <w:sz w:val="22"/>
                <w:szCs w:val="22"/>
              </w:rPr>
              <w:t xml:space="preserve">e adolescenti a partire </w:t>
            </w:r>
            <w:r w:rsidRPr="00295E71">
              <w:rPr>
                <w:sz w:val="22"/>
                <w:szCs w:val="22"/>
              </w:rPr>
              <w:t>dai</w:t>
            </w:r>
            <w:r w:rsidRPr="00295E71" w:rsidR="00E63DC2">
              <w:rPr>
                <w:sz w:val="22"/>
                <w:szCs w:val="22"/>
              </w:rPr>
              <w:t xml:space="preserve"> 2</w:t>
            </w:r>
            <w:r w:rsidRPr="00295E71">
              <w:rPr>
                <w:sz w:val="22"/>
                <w:szCs w:val="22"/>
              </w:rPr>
              <w:t> anni di età e con un peso uguale o superiore a</w:t>
            </w:r>
            <w:r w:rsidRPr="00295E71" w:rsidR="00E63DC2">
              <w:rPr>
                <w:sz w:val="22"/>
                <w:szCs w:val="22"/>
              </w:rPr>
              <w:t xml:space="preserve"> </w:t>
            </w:r>
            <w:r w:rsidRPr="00295E71">
              <w:rPr>
                <w:sz w:val="22"/>
                <w:szCs w:val="22"/>
              </w:rPr>
              <w:t>30 kg</w:t>
            </w:r>
          </w:p>
        </w:tc>
        <w:tc>
          <w:tcPr>
            <w:tcW w:w="3096" w:type="dxa"/>
            <w:tcBorders>
              <w:top w:val="single" w:sz="4" w:space="0" w:color="auto"/>
              <w:left w:val="single" w:sz="4" w:space="0" w:color="auto"/>
              <w:bottom w:val="single" w:sz="4" w:space="0" w:color="auto"/>
              <w:right w:val="single" w:sz="4" w:space="0" w:color="auto"/>
            </w:tcBorders>
          </w:tcPr>
          <w:p w:rsidR="006224C2" w:rsidRPr="00295E71" w14:paraId="2C161BEB" w14:textId="77777777">
            <w:pPr>
              <w:tabs>
                <w:tab w:val="left" w:pos="0"/>
              </w:tabs>
              <w:rPr>
                <w:sz w:val="22"/>
                <w:szCs w:val="22"/>
              </w:rPr>
            </w:pPr>
            <w:r w:rsidRPr="00295E71">
              <w:rPr>
                <w:sz w:val="22"/>
                <w:szCs w:val="22"/>
              </w:rPr>
              <w:t>40 mg a settimane alterne</w:t>
            </w:r>
          </w:p>
        </w:tc>
        <w:tc>
          <w:tcPr>
            <w:tcW w:w="3096" w:type="dxa"/>
            <w:tcBorders>
              <w:top w:val="single" w:sz="4" w:space="0" w:color="auto"/>
              <w:left w:val="single" w:sz="4" w:space="0" w:color="auto"/>
              <w:bottom w:val="single" w:sz="4" w:space="0" w:color="auto"/>
              <w:right w:val="single" w:sz="4" w:space="0" w:color="auto"/>
            </w:tcBorders>
          </w:tcPr>
          <w:p w:rsidR="006224C2" w:rsidRPr="00295E71" w:rsidP="003E69B9" w14:paraId="6739E2FB" w14:textId="77777777">
            <w:pPr>
              <w:numPr>
                <w:ilvl w:val="12"/>
                <w:numId w:val="0"/>
              </w:numPr>
              <w:tabs>
                <w:tab w:val="left" w:pos="708"/>
              </w:tabs>
              <w:rPr>
                <w:sz w:val="22"/>
                <w:szCs w:val="22"/>
              </w:rPr>
            </w:pPr>
            <w:r w:rsidRPr="00295E71">
              <w:rPr>
                <w:sz w:val="22"/>
                <w:szCs w:val="22"/>
              </w:rPr>
              <w:t>Il medico potrebbe prescrivere una dose iniziale da 80 mg da somministrare una settimana prima dell’inizio della dose abituale da 40 mg</w:t>
            </w:r>
            <w:r w:rsidRPr="00295E71" w:rsidR="00E63DC2">
              <w:rPr>
                <w:sz w:val="22"/>
                <w:szCs w:val="22"/>
              </w:rPr>
              <w:t xml:space="preserve"> a settimane alterne</w:t>
            </w:r>
            <w:r w:rsidRPr="00295E71">
              <w:rPr>
                <w:sz w:val="22"/>
                <w:szCs w:val="22"/>
              </w:rPr>
              <w:t xml:space="preserve">. L’uso di Humira è </w:t>
            </w:r>
            <w:r w:rsidRPr="00295E71">
              <w:rPr>
                <w:sz w:val="22"/>
                <w:szCs w:val="22"/>
              </w:rPr>
              <w:t>raccomandato in associazione al metotressato.</w:t>
            </w:r>
          </w:p>
        </w:tc>
      </w:tr>
    </w:tbl>
    <w:p w:rsidR="006224C2" w:rsidRPr="00295E71" w14:paraId="6344C33A" w14:textId="77777777">
      <w:pPr>
        <w:numPr>
          <w:ilvl w:val="12"/>
          <w:numId w:val="0"/>
        </w:numPr>
        <w:tabs>
          <w:tab w:val="left" w:pos="567"/>
        </w:tabs>
        <w:ind w:right="-2"/>
        <w:jc w:val="both"/>
        <w:rPr>
          <w:sz w:val="22"/>
          <w:szCs w:val="22"/>
        </w:rPr>
      </w:pPr>
    </w:p>
    <w:p w:rsidR="006224C2" w:rsidRPr="00295E71" w:rsidP="00DD14E3" w14:paraId="60026428" w14:textId="77777777">
      <w:pPr>
        <w:keepNext/>
        <w:keepLines/>
        <w:numPr>
          <w:ilvl w:val="12"/>
          <w:numId w:val="0"/>
        </w:numPr>
        <w:tabs>
          <w:tab w:val="left" w:pos="567"/>
        </w:tabs>
        <w:jc w:val="both"/>
        <w:rPr>
          <w:b/>
          <w:sz w:val="22"/>
          <w:szCs w:val="22"/>
        </w:rPr>
      </w:pPr>
      <w:r w:rsidRPr="00295E71">
        <w:rPr>
          <w:b/>
          <w:sz w:val="22"/>
          <w:szCs w:val="22"/>
        </w:rPr>
        <w:t>Modo e via di somministrazione</w:t>
      </w:r>
    </w:p>
    <w:p w:rsidR="006224C2" w:rsidRPr="00295E71" w:rsidP="00DD14E3" w14:paraId="56C9356F" w14:textId="77777777">
      <w:pPr>
        <w:keepNext/>
        <w:keepLines/>
        <w:numPr>
          <w:ilvl w:val="12"/>
          <w:numId w:val="0"/>
        </w:numPr>
        <w:tabs>
          <w:tab w:val="left" w:pos="567"/>
        </w:tabs>
        <w:jc w:val="both"/>
        <w:rPr>
          <w:sz w:val="22"/>
          <w:szCs w:val="22"/>
        </w:rPr>
      </w:pPr>
    </w:p>
    <w:p w:rsidR="006224C2" w:rsidRPr="00295E71" w:rsidP="00DD14E3" w14:paraId="0013DA8A" w14:textId="77777777">
      <w:pPr>
        <w:keepNext/>
        <w:keepLines/>
        <w:numPr>
          <w:ilvl w:val="12"/>
          <w:numId w:val="0"/>
        </w:numPr>
        <w:tabs>
          <w:tab w:val="left" w:pos="567"/>
        </w:tabs>
        <w:jc w:val="both"/>
        <w:rPr>
          <w:sz w:val="22"/>
          <w:szCs w:val="22"/>
        </w:rPr>
      </w:pPr>
      <w:r w:rsidRPr="00295E71">
        <w:rPr>
          <w:sz w:val="22"/>
          <w:szCs w:val="22"/>
        </w:rPr>
        <w:t>Humira è somministrato per iniezione sotto la cute (per iniezione sottocutanea).</w:t>
      </w:r>
    </w:p>
    <w:p w:rsidR="006224C2" w:rsidRPr="00295E71" w14:paraId="14B3933D" w14:textId="77777777">
      <w:pPr>
        <w:tabs>
          <w:tab w:val="left" w:pos="567"/>
        </w:tabs>
        <w:jc w:val="both"/>
        <w:rPr>
          <w:b/>
          <w:bCs/>
          <w:sz w:val="22"/>
          <w:szCs w:val="22"/>
        </w:rPr>
      </w:pPr>
    </w:p>
    <w:p w:rsidR="006224C2" w:rsidRPr="00295E71" w14:paraId="482439FE" w14:textId="77777777">
      <w:pPr>
        <w:tabs>
          <w:tab w:val="left" w:pos="567"/>
        </w:tabs>
        <w:jc w:val="both"/>
        <w:rPr>
          <w:b/>
          <w:sz w:val="22"/>
          <w:szCs w:val="22"/>
        </w:rPr>
      </w:pPr>
      <w:r w:rsidRPr="00295E71">
        <w:rPr>
          <w:b/>
          <w:bCs/>
          <w:sz w:val="22"/>
          <w:szCs w:val="22"/>
        </w:rPr>
        <w:t>Istruzioni dettagliate per l’iniezione di Humira si trovano alla sezione 7 “</w:t>
      </w:r>
      <w:r w:rsidR="00E82CF3">
        <w:rPr>
          <w:b/>
          <w:bCs/>
          <w:sz w:val="22"/>
          <w:szCs w:val="22"/>
        </w:rPr>
        <w:t>Iniezione di Humira</w:t>
      </w:r>
      <w:r w:rsidRPr="00295E71">
        <w:rPr>
          <w:b/>
          <w:bCs/>
          <w:sz w:val="22"/>
          <w:szCs w:val="22"/>
        </w:rPr>
        <w:t>”.</w:t>
      </w:r>
    </w:p>
    <w:p w:rsidR="006224C2" w:rsidRPr="00295E71" w14:paraId="30D19A90" w14:textId="77777777">
      <w:pPr>
        <w:tabs>
          <w:tab w:val="left" w:pos="567"/>
        </w:tabs>
        <w:jc w:val="both"/>
        <w:rPr>
          <w:sz w:val="22"/>
          <w:szCs w:val="22"/>
          <w:u w:val="single"/>
        </w:rPr>
      </w:pPr>
    </w:p>
    <w:p w:rsidR="006224C2" w:rsidRPr="00295E71" w14:paraId="74234D0B" w14:textId="77777777">
      <w:pPr>
        <w:tabs>
          <w:tab w:val="left" w:pos="567"/>
        </w:tabs>
        <w:jc w:val="both"/>
        <w:rPr>
          <w:b/>
          <w:bCs/>
          <w:sz w:val="22"/>
          <w:szCs w:val="22"/>
        </w:rPr>
      </w:pPr>
      <w:r w:rsidRPr="00295E71">
        <w:rPr>
          <w:b/>
          <w:bCs/>
          <w:sz w:val="22"/>
          <w:szCs w:val="22"/>
        </w:rPr>
        <w:t>Se usa più Humira di quanto deve</w:t>
      </w:r>
    </w:p>
    <w:p w:rsidR="006224C2" w:rsidRPr="00295E71" w14:paraId="094F8AD2" w14:textId="77777777">
      <w:pPr>
        <w:pStyle w:val="EndnoteText"/>
        <w:jc w:val="both"/>
        <w:rPr>
          <w:lang w:val="it-IT" w:eastAsia="it-IT"/>
        </w:rPr>
      </w:pPr>
    </w:p>
    <w:p w:rsidR="006224C2" w:rsidRPr="00295E71" w14:paraId="4B8D5C73" w14:textId="77777777">
      <w:pPr>
        <w:pStyle w:val="BodyText3"/>
        <w:tabs>
          <w:tab w:val="left" w:pos="567"/>
        </w:tabs>
      </w:pPr>
      <w:r w:rsidRPr="00295E71">
        <w:t>Se accidentalmente inietta Humira più frequentemente di quanto disposto dal medico o dal farmacista, contatti il medico o il farmacista informandoli di aver assunto più farmaco. Conservi sempre la scatola del farmaco, anche se vuota.</w:t>
      </w:r>
    </w:p>
    <w:p w:rsidR="006224C2" w:rsidRPr="00295E71" w14:paraId="09209088" w14:textId="77777777">
      <w:pPr>
        <w:pStyle w:val="EndnoteText"/>
        <w:jc w:val="both"/>
        <w:rPr>
          <w:lang w:val="it-IT" w:eastAsia="it-IT"/>
        </w:rPr>
      </w:pPr>
    </w:p>
    <w:p w:rsidR="006224C2" w:rsidRPr="00295E71" w14:paraId="41556256" w14:textId="77777777">
      <w:pPr>
        <w:tabs>
          <w:tab w:val="left" w:pos="567"/>
        </w:tabs>
        <w:jc w:val="both"/>
        <w:rPr>
          <w:b/>
          <w:bCs/>
          <w:sz w:val="22"/>
          <w:szCs w:val="22"/>
        </w:rPr>
      </w:pPr>
      <w:r w:rsidRPr="00295E71">
        <w:rPr>
          <w:b/>
          <w:bCs/>
          <w:sz w:val="22"/>
          <w:szCs w:val="22"/>
        </w:rPr>
        <w:t>Se dimentica di usare Humira</w:t>
      </w:r>
    </w:p>
    <w:p w:rsidR="006224C2" w:rsidRPr="00295E71" w14:paraId="03AA482D" w14:textId="77777777">
      <w:pPr>
        <w:pStyle w:val="EndnoteText"/>
        <w:jc w:val="both"/>
        <w:rPr>
          <w:lang w:val="it-IT" w:eastAsia="it-IT"/>
        </w:rPr>
      </w:pPr>
    </w:p>
    <w:p w:rsidR="006224C2" w:rsidRPr="00295E71" w14:paraId="369F8C0A" w14:textId="77777777">
      <w:pPr>
        <w:tabs>
          <w:tab w:val="left" w:pos="567"/>
        </w:tabs>
        <w:jc w:val="both"/>
        <w:rPr>
          <w:sz w:val="22"/>
          <w:szCs w:val="22"/>
        </w:rPr>
      </w:pPr>
      <w:r w:rsidRPr="00295E71">
        <w:rPr>
          <w:sz w:val="22"/>
          <w:szCs w:val="22"/>
        </w:rPr>
        <w:t>Se dimentica di fare un’iniezione, deve iniettarsi la dose successiva di Humira non appena se ne ricorda. Dopodiché riprenda la dose regolarmente secondo lo schema posologico stabilito.</w:t>
      </w:r>
    </w:p>
    <w:p w:rsidR="006224C2" w:rsidRPr="00295E71" w14:paraId="21CC1D1F" w14:textId="77777777">
      <w:pPr>
        <w:tabs>
          <w:tab w:val="left" w:pos="567"/>
        </w:tabs>
        <w:jc w:val="both"/>
        <w:rPr>
          <w:sz w:val="22"/>
          <w:szCs w:val="22"/>
        </w:rPr>
      </w:pPr>
    </w:p>
    <w:p w:rsidR="006224C2" w:rsidRPr="00295E71" w14:paraId="2E85FEA9" w14:textId="77777777">
      <w:pPr>
        <w:keepNext/>
        <w:tabs>
          <w:tab w:val="left" w:pos="567"/>
        </w:tabs>
        <w:jc w:val="both"/>
        <w:rPr>
          <w:b/>
          <w:sz w:val="22"/>
          <w:szCs w:val="22"/>
        </w:rPr>
      </w:pPr>
      <w:r w:rsidRPr="00295E71">
        <w:rPr>
          <w:b/>
          <w:sz w:val="22"/>
          <w:szCs w:val="22"/>
        </w:rPr>
        <w:t>Se interrompe il trattamento con Humira</w:t>
      </w:r>
    </w:p>
    <w:p w:rsidR="006224C2" w:rsidRPr="00295E71" w14:paraId="65876F69" w14:textId="77777777">
      <w:pPr>
        <w:keepNext/>
        <w:tabs>
          <w:tab w:val="left" w:pos="567"/>
        </w:tabs>
        <w:jc w:val="both"/>
        <w:rPr>
          <w:sz w:val="22"/>
          <w:szCs w:val="22"/>
        </w:rPr>
      </w:pPr>
    </w:p>
    <w:p w:rsidR="006224C2" w:rsidRPr="00295E71" w14:paraId="17C9FD11" w14:textId="77777777">
      <w:pPr>
        <w:keepNext/>
        <w:tabs>
          <w:tab w:val="left" w:pos="567"/>
        </w:tabs>
        <w:jc w:val="both"/>
        <w:rPr>
          <w:sz w:val="22"/>
          <w:szCs w:val="22"/>
        </w:rPr>
      </w:pPr>
      <w:r w:rsidRPr="00295E71">
        <w:rPr>
          <w:sz w:val="22"/>
          <w:szCs w:val="22"/>
        </w:rPr>
        <w:t>La decisione di interrompere l’uso di Humira deve essere discussa con il medico. I sintomi possono ritornare se interrompe l’assunzione di Humira.</w:t>
      </w:r>
    </w:p>
    <w:p w:rsidR="006224C2" w:rsidRPr="00295E71" w14:paraId="3AFE3A8F" w14:textId="77777777">
      <w:pPr>
        <w:tabs>
          <w:tab w:val="left" w:pos="567"/>
        </w:tabs>
        <w:jc w:val="both"/>
        <w:rPr>
          <w:sz w:val="22"/>
          <w:szCs w:val="22"/>
        </w:rPr>
      </w:pPr>
    </w:p>
    <w:p w:rsidR="006224C2" w:rsidRPr="00295E71" w14:paraId="4619616E" w14:textId="77777777">
      <w:pPr>
        <w:tabs>
          <w:tab w:val="left" w:pos="567"/>
        </w:tabs>
        <w:jc w:val="both"/>
        <w:rPr>
          <w:sz w:val="22"/>
          <w:szCs w:val="22"/>
        </w:rPr>
      </w:pPr>
      <w:r w:rsidRPr="00295E71">
        <w:rPr>
          <w:sz w:val="22"/>
          <w:szCs w:val="22"/>
        </w:rPr>
        <w:t>Se ha qualsiasi dubbio sull’uso di questo medicinale, si rivolga al medico o al farmacista.</w:t>
      </w:r>
    </w:p>
    <w:p w:rsidR="006224C2" w:rsidRPr="00295E71" w14:paraId="56BB9EDD" w14:textId="77777777">
      <w:pPr>
        <w:jc w:val="both"/>
        <w:rPr>
          <w:sz w:val="22"/>
          <w:szCs w:val="22"/>
        </w:rPr>
      </w:pPr>
    </w:p>
    <w:p w:rsidR="006224C2" w:rsidRPr="00295E71" w14:paraId="76CA5F52" w14:textId="77777777">
      <w:pPr>
        <w:jc w:val="both"/>
        <w:rPr>
          <w:sz w:val="22"/>
          <w:szCs w:val="22"/>
        </w:rPr>
      </w:pPr>
    </w:p>
    <w:p w:rsidR="006224C2" w:rsidRPr="00295E71" w14:paraId="4CB7C13A" w14:textId="77777777">
      <w:pPr>
        <w:keepNext/>
        <w:numPr>
          <w:ilvl w:val="12"/>
          <w:numId w:val="0"/>
        </w:numPr>
        <w:tabs>
          <w:tab w:val="left" w:pos="567"/>
        </w:tabs>
        <w:ind w:left="567" w:right="-2" w:hanging="567"/>
        <w:jc w:val="both"/>
        <w:rPr>
          <w:b/>
          <w:bCs/>
          <w:sz w:val="22"/>
          <w:szCs w:val="22"/>
        </w:rPr>
      </w:pPr>
      <w:r w:rsidRPr="00295E71">
        <w:rPr>
          <w:b/>
          <w:bCs/>
          <w:sz w:val="22"/>
          <w:szCs w:val="22"/>
        </w:rPr>
        <w:t>4.</w:t>
      </w:r>
      <w:r w:rsidRPr="00295E71">
        <w:rPr>
          <w:b/>
          <w:bCs/>
          <w:sz w:val="22"/>
          <w:szCs w:val="22"/>
        </w:rPr>
        <w:tab/>
        <w:t>Possibili effetti indesiderati</w:t>
      </w:r>
    </w:p>
    <w:p w:rsidR="006224C2" w:rsidRPr="00295E71" w14:paraId="407CB266" w14:textId="77777777">
      <w:pPr>
        <w:keepNext/>
        <w:numPr>
          <w:ilvl w:val="12"/>
          <w:numId w:val="0"/>
        </w:numPr>
        <w:tabs>
          <w:tab w:val="left" w:pos="567"/>
        </w:tabs>
        <w:ind w:right="-2"/>
        <w:jc w:val="both"/>
        <w:rPr>
          <w:sz w:val="22"/>
          <w:szCs w:val="22"/>
        </w:rPr>
      </w:pPr>
    </w:p>
    <w:p w:rsidR="006224C2" w:rsidRPr="00295E71" w14:paraId="0AD4D537" w14:textId="77777777">
      <w:pPr>
        <w:keepNext/>
        <w:tabs>
          <w:tab w:val="left" w:pos="567"/>
        </w:tabs>
        <w:jc w:val="both"/>
        <w:rPr>
          <w:sz w:val="22"/>
          <w:szCs w:val="22"/>
        </w:rPr>
      </w:pPr>
      <w:r w:rsidRPr="00295E71">
        <w:rPr>
          <w:sz w:val="22"/>
          <w:szCs w:val="22"/>
        </w:rPr>
        <w:t>Come tutti i medicinali, questo medicinale può causare effetti indesiderati sebbene non tutte le persone li manifestino. La maggior parte degli effetti indesiderati si presenta in forma da lieve a moderata. Tuttavia, alcuni possono essere gravi e richiedere trattamento. Effetti indesiderati possono manifestarsi fino a 4 mesi dall’ultima iniezione di Humira.</w:t>
      </w:r>
    </w:p>
    <w:p w:rsidR="006224C2" w:rsidRPr="00295E71" w14:paraId="22045083" w14:textId="77777777">
      <w:pPr>
        <w:pStyle w:val="EndnoteText"/>
        <w:jc w:val="both"/>
        <w:rPr>
          <w:lang w:val="it-IT" w:eastAsia="it-IT"/>
        </w:rPr>
      </w:pPr>
    </w:p>
    <w:p w:rsidR="006224C2" w:rsidRPr="00295E71" w14:paraId="1A91678A" w14:textId="77777777">
      <w:pPr>
        <w:tabs>
          <w:tab w:val="left" w:pos="567"/>
        </w:tabs>
        <w:jc w:val="both"/>
        <w:rPr>
          <w:b/>
          <w:bCs/>
          <w:sz w:val="22"/>
          <w:szCs w:val="22"/>
        </w:rPr>
      </w:pPr>
      <w:r w:rsidRPr="00295E71">
        <w:rPr>
          <w:b/>
          <w:bCs/>
          <w:sz w:val="22"/>
          <w:szCs w:val="22"/>
        </w:rPr>
        <w:t>Informi immediatamente il medico se nota una qualsiasi delle seguenti reazioni</w:t>
      </w:r>
    </w:p>
    <w:p w:rsidR="006224C2" w:rsidRPr="00295E71" w14:paraId="573DEA94" w14:textId="77777777">
      <w:pPr>
        <w:tabs>
          <w:tab w:val="left" w:pos="567"/>
        </w:tabs>
        <w:jc w:val="both"/>
        <w:rPr>
          <w:b/>
          <w:bCs/>
          <w:sz w:val="22"/>
          <w:szCs w:val="22"/>
        </w:rPr>
      </w:pPr>
    </w:p>
    <w:p w:rsidR="006224C2" w:rsidRPr="00295E71" w14:paraId="7D5D1A9C" w14:textId="77777777">
      <w:pPr>
        <w:numPr>
          <w:ilvl w:val="0"/>
          <w:numId w:val="15"/>
        </w:numPr>
        <w:tabs>
          <w:tab w:val="left" w:pos="567"/>
        </w:tabs>
        <w:ind w:left="567" w:hanging="567"/>
        <w:jc w:val="both"/>
        <w:rPr>
          <w:sz w:val="22"/>
          <w:szCs w:val="22"/>
        </w:rPr>
      </w:pPr>
      <w:r w:rsidRPr="00295E71">
        <w:rPr>
          <w:sz w:val="22"/>
          <w:szCs w:val="22"/>
        </w:rPr>
        <w:t>eruzione cutanea grave, orticaria o altri segni di reazione allergica</w:t>
      </w:r>
    </w:p>
    <w:p w:rsidR="006224C2" w:rsidRPr="00295E71" w14:paraId="77D2D39F" w14:textId="77777777">
      <w:pPr>
        <w:numPr>
          <w:ilvl w:val="0"/>
          <w:numId w:val="15"/>
        </w:numPr>
        <w:tabs>
          <w:tab w:val="left" w:pos="567"/>
        </w:tabs>
        <w:ind w:left="567" w:hanging="567"/>
        <w:jc w:val="both"/>
        <w:rPr>
          <w:sz w:val="22"/>
          <w:szCs w:val="22"/>
        </w:rPr>
      </w:pPr>
      <w:r w:rsidRPr="00295E71">
        <w:rPr>
          <w:sz w:val="22"/>
          <w:szCs w:val="22"/>
        </w:rPr>
        <w:t>gonfiore del viso, delle mani, dei piedi</w:t>
      </w:r>
    </w:p>
    <w:p w:rsidR="006224C2" w:rsidRPr="00295E71" w14:paraId="6E0D6BD3" w14:textId="77777777">
      <w:pPr>
        <w:numPr>
          <w:ilvl w:val="0"/>
          <w:numId w:val="15"/>
        </w:numPr>
        <w:tabs>
          <w:tab w:val="left" w:pos="567"/>
        </w:tabs>
        <w:ind w:left="567" w:hanging="567"/>
        <w:jc w:val="both"/>
        <w:rPr>
          <w:sz w:val="22"/>
          <w:szCs w:val="22"/>
        </w:rPr>
      </w:pPr>
      <w:r w:rsidRPr="00295E71">
        <w:rPr>
          <w:sz w:val="22"/>
          <w:szCs w:val="22"/>
        </w:rPr>
        <w:t>difficoltà a respirare, difficoltà a deglutire</w:t>
      </w:r>
    </w:p>
    <w:p w:rsidR="006224C2" w:rsidRPr="00295E71" w14:paraId="13EE819B" w14:textId="77777777">
      <w:pPr>
        <w:numPr>
          <w:ilvl w:val="0"/>
          <w:numId w:val="15"/>
        </w:numPr>
        <w:tabs>
          <w:tab w:val="left" w:pos="567"/>
        </w:tabs>
        <w:ind w:left="567" w:hanging="567"/>
        <w:jc w:val="both"/>
        <w:rPr>
          <w:sz w:val="22"/>
          <w:szCs w:val="22"/>
        </w:rPr>
      </w:pPr>
      <w:r w:rsidRPr="00295E71">
        <w:rPr>
          <w:sz w:val="22"/>
          <w:szCs w:val="22"/>
        </w:rPr>
        <w:t>respiro corto durante l’attività fisica o in posizione sdraiata o piedi gonfi.</w:t>
      </w:r>
    </w:p>
    <w:p w:rsidR="006224C2" w:rsidRPr="00295E71" w14:paraId="3FEEC5D7" w14:textId="77777777">
      <w:pPr>
        <w:tabs>
          <w:tab w:val="left" w:pos="567"/>
        </w:tabs>
        <w:ind w:left="360"/>
        <w:jc w:val="both"/>
        <w:rPr>
          <w:sz w:val="22"/>
          <w:szCs w:val="22"/>
        </w:rPr>
      </w:pPr>
    </w:p>
    <w:p w:rsidR="006224C2" w:rsidRPr="00295E71" w14:paraId="46289B3A" w14:textId="77777777">
      <w:pPr>
        <w:tabs>
          <w:tab w:val="left" w:pos="567"/>
        </w:tabs>
        <w:jc w:val="both"/>
        <w:rPr>
          <w:b/>
          <w:bCs/>
          <w:sz w:val="22"/>
          <w:szCs w:val="22"/>
        </w:rPr>
      </w:pPr>
      <w:r w:rsidRPr="00295E71">
        <w:rPr>
          <w:b/>
          <w:bCs/>
          <w:sz w:val="22"/>
          <w:szCs w:val="22"/>
        </w:rPr>
        <w:t>Informi appena possibile il medico se nota una qualsiasi delle seguenti reazioni</w:t>
      </w:r>
    </w:p>
    <w:p w:rsidR="006224C2" w:rsidRPr="00295E71" w14:paraId="1ED7DCE9" w14:textId="77777777">
      <w:pPr>
        <w:tabs>
          <w:tab w:val="left" w:pos="567"/>
        </w:tabs>
        <w:jc w:val="both"/>
        <w:rPr>
          <w:b/>
          <w:bCs/>
          <w:sz w:val="22"/>
          <w:szCs w:val="22"/>
        </w:rPr>
      </w:pPr>
    </w:p>
    <w:p w:rsidR="006224C2" w:rsidRPr="00295E71" w14:paraId="5A428C24" w14:textId="77777777">
      <w:pPr>
        <w:numPr>
          <w:ilvl w:val="0"/>
          <w:numId w:val="14"/>
        </w:numPr>
        <w:tabs>
          <w:tab w:val="num" w:pos="540"/>
          <w:tab w:val="left" w:pos="567"/>
          <w:tab w:val="clear" w:pos="720"/>
          <w:tab w:val="left" w:pos="993"/>
        </w:tabs>
        <w:ind w:left="567" w:hanging="567"/>
        <w:jc w:val="both"/>
        <w:rPr>
          <w:sz w:val="22"/>
          <w:szCs w:val="22"/>
        </w:rPr>
      </w:pPr>
      <w:r w:rsidRPr="00295E71">
        <w:rPr>
          <w:sz w:val="22"/>
          <w:szCs w:val="22"/>
        </w:rPr>
        <w:t>segni di infezione come febbre, sensazione di malessere, ferite, problemi dentali, bruciore nell’urinare</w:t>
      </w:r>
    </w:p>
    <w:p w:rsidR="006224C2" w:rsidRPr="00295E71" w14:paraId="46073571" w14:textId="77777777">
      <w:pPr>
        <w:numPr>
          <w:ilvl w:val="0"/>
          <w:numId w:val="14"/>
        </w:numPr>
        <w:tabs>
          <w:tab w:val="num" w:pos="540"/>
          <w:tab w:val="left" w:pos="567"/>
          <w:tab w:val="left" w:pos="993"/>
        </w:tabs>
        <w:ind w:left="567" w:hanging="567"/>
        <w:jc w:val="both"/>
        <w:rPr>
          <w:sz w:val="22"/>
          <w:szCs w:val="22"/>
        </w:rPr>
      </w:pPr>
      <w:r w:rsidRPr="00295E71">
        <w:rPr>
          <w:sz w:val="22"/>
          <w:szCs w:val="22"/>
        </w:rPr>
        <w:t>stanchezza o debolezza</w:t>
      </w:r>
    </w:p>
    <w:p w:rsidR="006224C2" w:rsidRPr="00295E71" w14:paraId="1D9A0D44" w14:textId="77777777">
      <w:pPr>
        <w:numPr>
          <w:ilvl w:val="0"/>
          <w:numId w:val="14"/>
        </w:numPr>
        <w:tabs>
          <w:tab w:val="num" w:pos="540"/>
          <w:tab w:val="left" w:pos="567"/>
          <w:tab w:val="left" w:pos="993"/>
        </w:tabs>
        <w:ind w:left="567" w:hanging="567"/>
        <w:jc w:val="both"/>
        <w:rPr>
          <w:sz w:val="22"/>
          <w:szCs w:val="22"/>
        </w:rPr>
      </w:pPr>
      <w:r w:rsidRPr="00295E71">
        <w:rPr>
          <w:sz w:val="22"/>
          <w:szCs w:val="22"/>
        </w:rPr>
        <w:t>tosse</w:t>
      </w:r>
    </w:p>
    <w:p w:rsidR="006224C2" w:rsidRPr="00295E71" w14:paraId="39FB9BAE" w14:textId="77777777">
      <w:pPr>
        <w:numPr>
          <w:ilvl w:val="0"/>
          <w:numId w:val="14"/>
        </w:numPr>
        <w:tabs>
          <w:tab w:val="num" w:pos="540"/>
          <w:tab w:val="left" w:pos="567"/>
          <w:tab w:val="left" w:pos="993"/>
        </w:tabs>
        <w:ind w:left="567" w:hanging="567"/>
        <w:jc w:val="both"/>
        <w:rPr>
          <w:sz w:val="22"/>
          <w:szCs w:val="22"/>
        </w:rPr>
      </w:pPr>
      <w:r w:rsidRPr="00295E71">
        <w:rPr>
          <w:sz w:val="22"/>
          <w:szCs w:val="22"/>
        </w:rPr>
        <w:t>formicolio</w:t>
      </w:r>
    </w:p>
    <w:p w:rsidR="006224C2" w:rsidRPr="00295E71" w14:paraId="049041F9" w14:textId="77777777">
      <w:pPr>
        <w:numPr>
          <w:ilvl w:val="0"/>
          <w:numId w:val="14"/>
        </w:numPr>
        <w:tabs>
          <w:tab w:val="num" w:pos="540"/>
          <w:tab w:val="left" w:pos="567"/>
          <w:tab w:val="left" w:pos="993"/>
        </w:tabs>
        <w:ind w:left="567" w:hanging="567"/>
        <w:jc w:val="both"/>
        <w:rPr>
          <w:sz w:val="22"/>
          <w:szCs w:val="22"/>
        </w:rPr>
      </w:pPr>
      <w:r w:rsidRPr="00295E71">
        <w:rPr>
          <w:sz w:val="22"/>
          <w:szCs w:val="22"/>
        </w:rPr>
        <w:t>torpore</w:t>
      </w:r>
    </w:p>
    <w:p w:rsidR="006224C2" w:rsidRPr="00295E71" w14:paraId="2D3FA62E" w14:textId="77777777">
      <w:pPr>
        <w:numPr>
          <w:ilvl w:val="0"/>
          <w:numId w:val="14"/>
        </w:numPr>
        <w:tabs>
          <w:tab w:val="num" w:pos="540"/>
          <w:tab w:val="left" w:pos="567"/>
          <w:tab w:val="left" w:pos="993"/>
        </w:tabs>
        <w:ind w:left="567" w:hanging="567"/>
        <w:jc w:val="both"/>
        <w:rPr>
          <w:sz w:val="22"/>
          <w:szCs w:val="22"/>
        </w:rPr>
      </w:pPr>
      <w:r w:rsidRPr="00295E71">
        <w:rPr>
          <w:sz w:val="22"/>
          <w:szCs w:val="22"/>
        </w:rPr>
        <w:t>sdoppiamento della vista</w:t>
      </w:r>
    </w:p>
    <w:p w:rsidR="006224C2" w:rsidRPr="00295E71" w14:paraId="7DD6F971" w14:textId="77777777">
      <w:pPr>
        <w:numPr>
          <w:ilvl w:val="0"/>
          <w:numId w:val="14"/>
        </w:numPr>
        <w:tabs>
          <w:tab w:val="num" w:pos="540"/>
          <w:tab w:val="left" w:pos="567"/>
          <w:tab w:val="left" w:pos="993"/>
        </w:tabs>
        <w:ind w:left="567" w:hanging="567"/>
        <w:jc w:val="both"/>
        <w:rPr>
          <w:sz w:val="22"/>
          <w:szCs w:val="22"/>
        </w:rPr>
      </w:pPr>
      <w:r w:rsidRPr="00295E71">
        <w:rPr>
          <w:sz w:val="22"/>
          <w:szCs w:val="22"/>
        </w:rPr>
        <w:t>debolezza delle braccia o gambe</w:t>
      </w:r>
    </w:p>
    <w:p w:rsidR="006224C2" w:rsidRPr="00295E71" w14:paraId="3B2C4FE0" w14:textId="77777777">
      <w:pPr>
        <w:numPr>
          <w:ilvl w:val="0"/>
          <w:numId w:val="14"/>
        </w:numPr>
        <w:tabs>
          <w:tab w:val="num" w:pos="540"/>
          <w:tab w:val="left" w:pos="567"/>
          <w:tab w:val="left" w:pos="993"/>
        </w:tabs>
        <w:ind w:left="567" w:hanging="567"/>
        <w:jc w:val="both"/>
        <w:rPr>
          <w:sz w:val="22"/>
          <w:szCs w:val="22"/>
        </w:rPr>
      </w:pPr>
      <w:r w:rsidRPr="00295E71">
        <w:rPr>
          <w:sz w:val="22"/>
          <w:szCs w:val="22"/>
        </w:rPr>
        <w:t>gonfiore o piaga aperta che non guarisce</w:t>
      </w:r>
    </w:p>
    <w:p w:rsidR="006224C2" w:rsidRPr="00295E71" w14:paraId="2E01068A" w14:textId="77777777">
      <w:pPr>
        <w:numPr>
          <w:ilvl w:val="0"/>
          <w:numId w:val="14"/>
        </w:numPr>
        <w:tabs>
          <w:tab w:val="num" w:pos="540"/>
          <w:tab w:val="left" w:pos="567"/>
          <w:tab w:val="clear" w:pos="720"/>
        </w:tabs>
        <w:ind w:left="540" w:hanging="540"/>
        <w:jc w:val="both"/>
        <w:rPr>
          <w:sz w:val="22"/>
          <w:szCs w:val="22"/>
        </w:rPr>
      </w:pPr>
      <w:r w:rsidRPr="00295E71">
        <w:rPr>
          <w:sz w:val="22"/>
          <w:szCs w:val="22"/>
        </w:rPr>
        <w:t>segni e sintomi che suggeriscono la comparsa di disturbi a carico del sistema emopoietico, come la presenza di febbre persistente, lividi, emorragie, pallore</w:t>
      </w:r>
    </w:p>
    <w:p w:rsidR="006224C2" w:rsidRPr="00295E71" w14:paraId="78649E84" w14:textId="77777777">
      <w:pPr>
        <w:tabs>
          <w:tab w:val="left" w:pos="567"/>
        </w:tabs>
        <w:ind w:left="360"/>
        <w:jc w:val="both"/>
        <w:rPr>
          <w:sz w:val="22"/>
          <w:szCs w:val="22"/>
        </w:rPr>
      </w:pPr>
    </w:p>
    <w:p w:rsidR="006224C2" w:rsidRPr="00295E71" w14:paraId="47222B9C" w14:textId="77777777">
      <w:pPr>
        <w:rPr>
          <w:sz w:val="22"/>
          <w:szCs w:val="22"/>
        </w:rPr>
      </w:pPr>
      <w:r w:rsidRPr="00295E71">
        <w:rPr>
          <w:sz w:val="22"/>
          <w:szCs w:val="22"/>
        </w:rPr>
        <w:t>I sintomi sopra descritti possono essere segni dei seguenti effetti indesiderati, che sono stati osservati con Humira.</w:t>
      </w:r>
    </w:p>
    <w:p w:rsidR="006224C2" w:rsidRPr="00295E71" w14:paraId="04EFCAAE" w14:textId="77777777">
      <w:pPr>
        <w:pStyle w:val="EndnoteText"/>
        <w:jc w:val="both"/>
        <w:rPr>
          <w:lang w:val="it-IT" w:eastAsia="it-IT"/>
        </w:rPr>
      </w:pPr>
    </w:p>
    <w:p w:rsidR="006224C2" w:rsidRPr="00295E71" w:rsidP="00DD14E3" w14:paraId="7E3F21DD" w14:textId="77777777">
      <w:pPr>
        <w:keepNext/>
        <w:keepLines/>
        <w:tabs>
          <w:tab w:val="left" w:pos="567"/>
        </w:tabs>
        <w:jc w:val="both"/>
        <w:rPr>
          <w:sz w:val="22"/>
          <w:szCs w:val="22"/>
        </w:rPr>
      </w:pPr>
      <w:r w:rsidRPr="00295E71">
        <w:rPr>
          <w:b/>
          <w:bCs/>
          <w:sz w:val="22"/>
          <w:szCs w:val="22"/>
        </w:rPr>
        <w:t>Molto comuni</w:t>
      </w:r>
      <w:r w:rsidRPr="00295E71">
        <w:rPr>
          <w:sz w:val="22"/>
          <w:szCs w:val="22"/>
        </w:rPr>
        <w:t xml:space="preserve"> (possono manifestarsi in più di 1 persona su 10)</w:t>
      </w:r>
    </w:p>
    <w:p w:rsidR="006224C2" w:rsidRPr="00295E71" w:rsidP="00DD14E3" w14:paraId="57032560" w14:textId="77777777">
      <w:pPr>
        <w:keepNext/>
        <w:keepLines/>
        <w:tabs>
          <w:tab w:val="left" w:pos="567"/>
        </w:tabs>
        <w:jc w:val="both"/>
        <w:rPr>
          <w:sz w:val="22"/>
          <w:szCs w:val="22"/>
        </w:rPr>
      </w:pPr>
    </w:p>
    <w:p w:rsidR="006224C2" w:rsidRPr="00295E71" w:rsidP="00DD14E3" w14:paraId="2EBDCB16" w14:textId="77777777">
      <w:pPr>
        <w:keepNext/>
        <w:keepLines/>
        <w:numPr>
          <w:ilvl w:val="0"/>
          <w:numId w:val="14"/>
        </w:numPr>
        <w:tabs>
          <w:tab w:val="num" w:pos="540"/>
          <w:tab w:val="left" w:pos="567"/>
          <w:tab w:val="left" w:pos="993"/>
        </w:tabs>
        <w:ind w:left="567" w:hanging="567"/>
        <w:jc w:val="both"/>
        <w:rPr>
          <w:sz w:val="22"/>
          <w:szCs w:val="22"/>
        </w:rPr>
      </w:pPr>
      <w:r w:rsidRPr="00295E71">
        <w:rPr>
          <w:sz w:val="22"/>
          <w:szCs w:val="22"/>
        </w:rPr>
        <w:t>reazioni nella sede d’iniezione (tra cui dolore, edema, arrossamento o prurito)</w:t>
      </w:r>
    </w:p>
    <w:p w:rsidR="006224C2" w:rsidRPr="00295E71" w:rsidP="00DD14E3" w14:paraId="4224E475" w14:textId="77777777">
      <w:pPr>
        <w:keepNext/>
        <w:keepLines/>
        <w:numPr>
          <w:ilvl w:val="0"/>
          <w:numId w:val="14"/>
        </w:numPr>
        <w:tabs>
          <w:tab w:val="num" w:pos="540"/>
          <w:tab w:val="left" w:pos="567"/>
          <w:tab w:val="left" w:pos="993"/>
        </w:tabs>
        <w:ind w:left="567" w:hanging="567"/>
        <w:jc w:val="both"/>
        <w:rPr>
          <w:sz w:val="22"/>
          <w:szCs w:val="22"/>
        </w:rPr>
      </w:pPr>
      <w:r w:rsidRPr="00295E71">
        <w:rPr>
          <w:sz w:val="22"/>
          <w:szCs w:val="22"/>
        </w:rPr>
        <w:t>infezioni delle vie respiratorie (tra cui raffreddore, rinorrea, sinusite e polmonite)</w:t>
      </w:r>
    </w:p>
    <w:p w:rsidR="006224C2" w:rsidRPr="00295E71" w:rsidP="00DD14E3" w14:paraId="1C5D31B3" w14:textId="77777777">
      <w:pPr>
        <w:keepNext/>
        <w:keepLines/>
        <w:numPr>
          <w:ilvl w:val="0"/>
          <w:numId w:val="14"/>
        </w:numPr>
        <w:tabs>
          <w:tab w:val="num" w:pos="540"/>
          <w:tab w:val="left" w:pos="567"/>
          <w:tab w:val="left" w:pos="993"/>
        </w:tabs>
        <w:ind w:left="567" w:hanging="567"/>
        <w:jc w:val="both"/>
        <w:rPr>
          <w:sz w:val="22"/>
          <w:szCs w:val="22"/>
        </w:rPr>
      </w:pPr>
      <w:r w:rsidRPr="00295E71">
        <w:rPr>
          <w:sz w:val="22"/>
          <w:szCs w:val="22"/>
        </w:rPr>
        <w:t>cefalea</w:t>
      </w:r>
    </w:p>
    <w:p w:rsidR="006224C2" w:rsidRPr="00295E71" w:rsidP="00DD14E3" w14:paraId="3E4867A9" w14:textId="77777777">
      <w:pPr>
        <w:keepNext/>
        <w:keepLines/>
        <w:numPr>
          <w:ilvl w:val="0"/>
          <w:numId w:val="14"/>
        </w:numPr>
        <w:tabs>
          <w:tab w:val="num" w:pos="540"/>
          <w:tab w:val="left" w:pos="567"/>
          <w:tab w:val="left" w:pos="993"/>
        </w:tabs>
        <w:ind w:left="567" w:hanging="567"/>
        <w:jc w:val="both"/>
        <w:rPr>
          <w:sz w:val="22"/>
          <w:szCs w:val="22"/>
        </w:rPr>
      </w:pPr>
      <w:r w:rsidRPr="00295E71">
        <w:rPr>
          <w:sz w:val="22"/>
          <w:szCs w:val="22"/>
        </w:rPr>
        <w:t>dolore addominale</w:t>
      </w:r>
    </w:p>
    <w:p w:rsidR="006224C2" w:rsidRPr="00295E71" w14:paraId="7ABD8ABE" w14:textId="77777777">
      <w:pPr>
        <w:numPr>
          <w:ilvl w:val="0"/>
          <w:numId w:val="14"/>
        </w:numPr>
        <w:tabs>
          <w:tab w:val="num" w:pos="540"/>
          <w:tab w:val="left" w:pos="567"/>
          <w:tab w:val="left" w:pos="993"/>
        </w:tabs>
        <w:ind w:left="567" w:hanging="567"/>
        <w:jc w:val="both"/>
        <w:rPr>
          <w:sz w:val="22"/>
          <w:szCs w:val="22"/>
        </w:rPr>
      </w:pPr>
      <w:r w:rsidRPr="00295E71">
        <w:rPr>
          <w:sz w:val="22"/>
          <w:szCs w:val="22"/>
        </w:rPr>
        <w:t>nausea e vomito</w:t>
      </w:r>
    </w:p>
    <w:p w:rsidR="006224C2" w:rsidRPr="00295E71" w14:paraId="54809EBF" w14:textId="77777777">
      <w:pPr>
        <w:numPr>
          <w:ilvl w:val="0"/>
          <w:numId w:val="14"/>
        </w:numPr>
        <w:tabs>
          <w:tab w:val="num" w:pos="540"/>
          <w:tab w:val="left" w:pos="567"/>
          <w:tab w:val="left" w:pos="993"/>
        </w:tabs>
        <w:ind w:left="567" w:hanging="567"/>
        <w:jc w:val="both"/>
        <w:rPr>
          <w:sz w:val="22"/>
          <w:szCs w:val="22"/>
        </w:rPr>
      </w:pPr>
      <w:r w:rsidRPr="00295E71">
        <w:rPr>
          <w:sz w:val="22"/>
          <w:szCs w:val="22"/>
        </w:rPr>
        <w:t>eruzione cutanea</w:t>
      </w:r>
    </w:p>
    <w:p w:rsidR="006224C2" w:rsidRPr="00295E71" w14:paraId="6556EBD0"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muscoloscheletrico</w:t>
      </w:r>
    </w:p>
    <w:p w:rsidR="006224C2" w:rsidRPr="00295E71" w14:paraId="52A17004" w14:textId="77777777">
      <w:pPr>
        <w:pStyle w:val="EndnoteText"/>
        <w:jc w:val="both"/>
        <w:rPr>
          <w:lang w:val="it-IT" w:eastAsia="it-IT"/>
        </w:rPr>
      </w:pPr>
    </w:p>
    <w:p w:rsidR="006224C2" w:rsidRPr="00295E71" w14:paraId="1653210C" w14:textId="77777777">
      <w:pPr>
        <w:tabs>
          <w:tab w:val="left" w:pos="567"/>
        </w:tabs>
        <w:jc w:val="both"/>
        <w:rPr>
          <w:sz w:val="22"/>
          <w:szCs w:val="22"/>
        </w:rPr>
      </w:pPr>
      <w:r w:rsidRPr="00295E71">
        <w:rPr>
          <w:b/>
          <w:bCs/>
          <w:sz w:val="22"/>
          <w:szCs w:val="22"/>
        </w:rPr>
        <w:t>Comuni</w:t>
      </w:r>
      <w:r w:rsidRPr="00295E71">
        <w:rPr>
          <w:sz w:val="22"/>
          <w:szCs w:val="22"/>
        </w:rPr>
        <w:t xml:space="preserve"> (possono manifestarsi fino a 1 persona su 10) </w:t>
      </w:r>
    </w:p>
    <w:p w:rsidR="006224C2" w:rsidRPr="00295E71" w14:paraId="0E2789CD" w14:textId="77777777">
      <w:pPr>
        <w:tabs>
          <w:tab w:val="left" w:pos="567"/>
        </w:tabs>
        <w:jc w:val="both"/>
        <w:rPr>
          <w:sz w:val="22"/>
          <w:szCs w:val="22"/>
        </w:rPr>
      </w:pPr>
    </w:p>
    <w:p w:rsidR="006224C2" w:rsidRPr="00295E71" w14:paraId="1DDE390B"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infezioni </w:t>
      </w:r>
      <w:r w:rsidR="002F5E91">
        <w:rPr>
          <w:sz w:val="22"/>
          <w:szCs w:val="22"/>
        </w:rPr>
        <w:t>gravi</w:t>
      </w:r>
      <w:r w:rsidRPr="00295E71" w:rsidR="0088145A">
        <w:rPr>
          <w:sz w:val="22"/>
          <w:szCs w:val="22"/>
        </w:rPr>
        <w:t xml:space="preserve"> </w:t>
      </w:r>
      <w:r w:rsidRPr="00295E71">
        <w:rPr>
          <w:sz w:val="22"/>
          <w:szCs w:val="22"/>
        </w:rPr>
        <w:t>(tra cui setticemia ed influenza)</w:t>
      </w:r>
    </w:p>
    <w:p w:rsidR="0088145A" w:rsidRPr="00295E71" w14:paraId="713F1DFB"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intestinali (tra cui gastroenterite)</w:t>
      </w:r>
    </w:p>
    <w:p w:rsidR="006224C2" w:rsidRPr="00295E71" w14:paraId="1D6E0EDC"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della pelle (tra cui cellulite e infezione da Herpes Zoster)</w:t>
      </w:r>
    </w:p>
    <w:p w:rsidR="006224C2" w:rsidRPr="00295E71" w14:paraId="223CDE52"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dell’orecchio</w:t>
      </w:r>
    </w:p>
    <w:p w:rsidR="006224C2" w:rsidRPr="00295E71" w14:paraId="1429C5CF"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orali (tra cui infezioni dei denti ed herpes simplex)</w:t>
      </w:r>
    </w:p>
    <w:p w:rsidR="006224C2" w:rsidRPr="00295E71" w14:paraId="21965DC2"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dell’apparato riproduttivo</w:t>
      </w:r>
    </w:p>
    <w:p w:rsidR="006224C2" w:rsidRPr="00295E71" w14:paraId="2097A0DD"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delle vie urinarie</w:t>
      </w:r>
    </w:p>
    <w:p w:rsidR="006224C2" w:rsidRPr="00295E71" w14:paraId="7402F967"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da miceti</w:t>
      </w:r>
    </w:p>
    <w:p w:rsidR="006224C2" w:rsidRPr="00295E71" w14:paraId="3126CA52"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a carico delle articolazioni</w:t>
      </w:r>
    </w:p>
    <w:p w:rsidR="006224C2" w:rsidRPr="00295E71" w14:paraId="382C86D4"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 benigni</w:t>
      </w:r>
    </w:p>
    <w:p w:rsidR="006224C2" w:rsidRPr="00295E71" w14:paraId="1F3D4118"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tumore della pelle</w:t>
      </w:r>
    </w:p>
    <w:p w:rsidR="006224C2" w:rsidRPr="00295E71" w14:paraId="0BF6F38A"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reazioni allergiche (tra cui allergia stagionale)</w:t>
      </w:r>
    </w:p>
    <w:p w:rsidR="006224C2" w:rsidRPr="00295E71" w14:paraId="1BE9A2FE" w14:textId="77777777">
      <w:pPr>
        <w:numPr>
          <w:ilvl w:val="0"/>
          <w:numId w:val="14"/>
        </w:numPr>
        <w:tabs>
          <w:tab w:val="num" w:pos="540"/>
          <w:tab w:val="left" w:pos="567"/>
          <w:tab w:val="left" w:pos="993"/>
        </w:tabs>
        <w:ind w:left="567" w:hanging="567"/>
        <w:jc w:val="both"/>
        <w:rPr>
          <w:sz w:val="22"/>
          <w:szCs w:val="22"/>
        </w:rPr>
      </w:pPr>
      <w:r w:rsidRPr="00295E71">
        <w:rPr>
          <w:sz w:val="22"/>
          <w:szCs w:val="22"/>
        </w:rPr>
        <w:t>disidratazione</w:t>
      </w:r>
    </w:p>
    <w:p w:rsidR="006224C2" w:rsidRPr="00295E71" w14:paraId="6D1EA40A" w14:textId="77777777">
      <w:pPr>
        <w:numPr>
          <w:ilvl w:val="0"/>
          <w:numId w:val="14"/>
        </w:numPr>
        <w:tabs>
          <w:tab w:val="num" w:pos="540"/>
          <w:tab w:val="left" w:pos="567"/>
          <w:tab w:val="left" w:pos="993"/>
        </w:tabs>
        <w:ind w:left="567" w:hanging="567"/>
        <w:jc w:val="both"/>
        <w:rPr>
          <w:sz w:val="22"/>
          <w:szCs w:val="22"/>
        </w:rPr>
      </w:pPr>
      <w:r w:rsidRPr="00295E71">
        <w:rPr>
          <w:sz w:val="22"/>
          <w:szCs w:val="22"/>
        </w:rPr>
        <w:t>cambiamenti d’umore (tra cui depressione)</w:t>
      </w:r>
    </w:p>
    <w:p w:rsidR="006224C2" w:rsidRPr="00295E71" w14:paraId="4B88158F" w14:textId="77777777">
      <w:pPr>
        <w:numPr>
          <w:ilvl w:val="0"/>
          <w:numId w:val="14"/>
        </w:numPr>
        <w:tabs>
          <w:tab w:val="num" w:pos="540"/>
          <w:tab w:val="left" w:pos="567"/>
          <w:tab w:val="left" w:pos="993"/>
        </w:tabs>
        <w:ind w:left="567" w:hanging="567"/>
        <w:jc w:val="both"/>
        <w:rPr>
          <w:sz w:val="22"/>
          <w:szCs w:val="22"/>
        </w:rPr>
      </w:pPr>
      <w:r w:rsidRPr="00295E71">
        <w:rPr>
          <w:sz w:val="22"/>
          <w:szCs w:val="22"/>
        </w:rPr>
        <w:t>ansia</w:t>
      </w:r>
    </w:p>
    <w:p w:rsidR="006224C2" w:rsidRPr="00295E71" w14:paraId="3EAFE797"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del sonno</w:t>
      </w:r>
    </w:p>
    <w:p w:rsidR="006224C2" w:rsidRPr="00295E71" w14:paraId="7D54611F"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della sensibilità come formicolii, sensazione di fitte o intorpidimento</w:t>
      </w:r>
    </w:p>
    <w:p w:rsidR="006224C2" w:rsidRPr="00295E71" w14:paraId="291ED73A" w14:textId="77777777">
      <w:pPr>
        <w:numPr>
          <w:ilvl w:val="0"/>
          <w:numId w:val="14"/>
        </w:numPr>
        <w:tabs>
          <w:tab w:val="num" w:pos="540"/>
          <w:tab w:val="left" w:pos="567"/>
          <w:tab w:val="left" w:pos="993"/>
        </w:tabs>
        <w:ind w:left="567" w:hanging="567"/>
        <w:jc w:val="both"/>
        <w:rPr>
          <w:sz w:val="22"/>
          <w:szCs w:val="22"/>
        </w:rPr>
      </w:pPr>
      <w:r w:rsidRPr="00295E71">
        <w:rPr>
          <w:sz w:val="22"/>
          <w:szCs w:val="22"/>
        </w:rPr>
        <w:t>emicrania</w:t>
      </w:r>
    </w:p>
    <w:p w:rsidR="006224C2" w:rsidRPr="00295E71" w14:paraId="1F339461" w14:textId="77777777">
      <w:pPr>
        <w:numPr>
          <w:ilvl w:val="0"/>
          <w:numId w:val="14"/>
        </w:numPr>
        <w:tabs>
          <w:tab w:val="num" w:pos="540"/>
          <w:tab w:val="left" w:pos="567"/>
          <w:tab w:val="left" w:pos="993"/>
        </w:tabs>
        <w:ind w:left="567" w:hanging="567"/>
        <w:jc w:val="both"/>
        <w:rPr>
          <w:sz w:val="22"/>
          <w:szCs w:val="22"/>
        </w:rPr>
      </w:pPr>
      <w:r w:rsidRPr="00295E71">
        <w:rPr>
          <w:sz w:val="22"/>
          <w:szCs w:val="22"/>
        </w:rPr>
        <w:t>compressione di radice nervosa (tra cui dolore lombare e dolore alle gambe)</w:t>
      </w:r>
    </w:p>
    <w:p w:rsidR="006224C2" w:rsidRPr="00295E71" w14:paraId="18D00B95"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visivi</w:t>
      </w:r>
    </w:p>
    <w:p w:rsidR="006224C2" w:rsidRPr="00295E71" w14:paraId="00590B67"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degli occhi</w:t>
      </w:r>
    </w:p>
    <w:p w:rsidR="006224C2" w:rsidRPr="00295E71" w14:paraId="731731B3"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delle palpebre e tumefazione degli occhi</w:t>
      </w:r>
    </w:p>
    <w:p w:rsidR="006224C2" w:rsidRPr="00295E71" w14:paraId="5BDAA493" w14:textId="77777777">
      <w:pPr>
        <w:numPr>
          <w:ilvl w:val="0"/>
          <w:numId w:val="14"/>
        </w:numPr>
        <w:tabs>
          <w:tab w:val="num" w:pos="540"/>
          <w:tab w:val="left" w:pos="567"/>
          <w:tab w:val="left" w:pos="993"/>
        </w:tabs>
        <w:ind w:left="567" w:hanging="567"/>
        <w:jc w:val="both"/>
        <w:rPr>
          <w:sz w:val="22"/>
          <w:szCs w:val="22"/>
        </w:rPr>
      </w:pPr>
      <w:r w:rsidRPr="00295E71">
        <w:rPr>
          <w:sz w:val="22"/>
          <w:szCs w:val="22"/>
        </w:rPr>
        <w:t>vertigini (sensazione di capogiro o giramento di testa)</w:t>
      </w:r>
    </w:p>
    <w:p w:rsidR="006224C2" w:rsidRPr="00295E71" w14:paraId="6DE89010" w14:textId="77777777">
      <w:pPr>
        <w:numPr>
          <w:ilvl w:val="0"/>
          <w:numId w:val="14"/>
        </w:numPr>
        <w:tabs>
          <w:tab w:val="num" w:pos="540"/>
          <w:tab w:val="left" w:pos="567"/>
          <w:tab w:val="left" w:pos="993"/>
        </w:tabs>
        <w:ind w:left="567" w:hanging="567"/>
        <w:jc w:val="both"/>
        <w:rPr>
          <w:sz w:val="22"/>
          <w:szCs w:val="22"/>
        </w:rPr>
      </w:pPr>
      <w:r w:rsidRPr="00295E71">
        <w:rPr>
          <w:sz w:val="22"/>
          <w:szCs w:val="22"/>
        </w:rPr>
        <w:t>sensazione di battito cardiaco accelerato</w:t>
      </w:r>
    </w:p>
    <w:p w:rsidR="006224C2" w:rsidRPr="00295E71" w14:paraId="0DEBAEE6" w14:textId="77777777">
      <w:pPr>
        <w:numPr>
          <w:ilvl w:val="0"/>
          <w:numId w:val="14"/>
        </w:numPr>
        <w:tabs>
          <w:tab w:val="num" w:pos="540"/>
          <w:tab w:val="left" w:pos="567"/>
          <w:tab w:val="left" w:pos="993"/>
        </w:tabs>
        <w:ind w:left="567" w:hanging="567"/>
        <w:jc w:val="both"/>
        <w:rPr>
          <w:sz w:val="22"/>
          <w:szCs w:val="22"/>
        </w:rPr>
      </w:pPr>
      <w:r w:rsidRPr="00295E71">
        <w:rPr>
          <w:sz w:val="22"/>
          <w:szCs w:val="22"/>
        </w:rPr>
        <w:t xml:space="preserve"> pressione del sangue elevata</w:t>
      </w:r>
    </w:p>
    <w:p w:rsidR="006224C2" w:rsidRPr="00295E71" w14:paraId="25A1756A" w14:textId="77777777">
      <w:pPr>
        <w:numPr>
          <w:ilvl w:val="0"/>
          <w:numId w:val="14"/>
        </w:numPr>
        <w:tabs>
          <w:tab w:val="num" w:pos="540"/>
          <w:tab w:val="left" w:pos="567"/>
          <w:tab w:val="left" w:pos="993"/>
        </w:tabs>
        <w:ind w:left="567" w:hanging="567"/>
        <w:jc w:val="both"/>
        <w:rPr>
          <w:sz w:val="22"/>
          <w:szCs w:val="22"/>
        </w:rPr>
      </w:pPr>
      <w:r w:rsidRPr="00295E71">
        <w:rPr>
          <w:sz w:val="22"/>
          <w:szCs w:val="22"/>
        </w:rPr>
        <w:t>vampate</w:t>
      </w:r>
    </w:p>
    <w:p w:rsidR="006224C2" w:rsidRPr="00295E71" w14:paraId="3E221E67" w14:textId="77777777">
      <w:pPr>
        <w:numPr>
          <w:ilvl w:val="0"/>
          <w:numId w:val="14"/>
        </w:numPr>
        <w:tabs>
          <w:tab w:val="num" w:pos="540"/>
          <w:tab w:val="left" w:pos="567"/>
          <w:tab w:val="left" w:pos="993"/>
        </w:tabs>
        <w:ind w:left="567" w:hanging="567"/>
        <w:jc w:val="both"/>
        <w:rPr>
          <w:sz w:val="22"/>
          <w:szCs w:val="22"/>
        </w:rPr>
      </w:pPr>
      <w:r w:rsidRPr="00295E71">
        <w:rPr>
          <w:sz w:val="22"/>
          <w:szCs w:val="22"/>
        </w:rPr>
        <w:t>ematoma (accumulo di sangue fuori dai vasi sanguigni)</w:t>
      </w:r>
    </w:p>
    <w:p w:rsidR="006224C2" w:rsidRPr="00295E71" w14:paraId="3DF5266A" w14:textId="77777777">
      <w:pPr>
        <w:numPr>
          <w:ilvl w:val="0"/>
          <w:numId w:val="14"/>
        </w:numPr>
        <w:tabs>
          <w:tab w:val="num" w:pos="540"/>
          <w:tab w:val="left" w:pos="567"/>
          <w:tab w:val="left" w:pos="993"/>
        </w:tabs>
        <w:ind w:left="567" w:hanging="567"/>
        <w:jc w:val="both"/>
        <w:rPr>
          <w:sz w:val="22"/>
          <w:szCs w:val="22"/>
        </w:rPr>
      </w:pPr>
      <w:r w:rsidRPr="00295E71">
        <w:rPr>
          <w:sz w:val="22"/>
          <w:szCs w:val="22"/>
        </w:rPr>
        <w:t>tosse</w:t>
      </w:r>
    </w:p>
    <w:p w:rsidR="006224C2" w:rsidRPr="00295E71" w14:paraId="00CF97EA" w14:textId="77777777">
      <w:pPr>
        <w:numPr>
          <w:ilvl w:val="0"/>
          <w:numId w:val="14"/>
        </w:numPr>
        <w:tabs>
          <w:tab w:val="num" w:pos="540"/>
          <w:tab w:val="left" w:pos="567"/>
          <w:tab w:val="left" w:pos="993"/>
        </w:tabs>
        <w:ind w:left="567" w:hanging="567"/>
        <w:jc w:val="both"/>
        <w:rPr>
          <w:sz w:val="22"/>
          <w:szCs w:val="22"/>
        </w:rPr>
      </w:pPr>
      <w:r w:rsidRPr="00295E71">
        <w:rPr>
          <w:sz w:val="22"/>
          <w:szCs w:val="22"/>
        </w:rPr>
        <w:t>asma</w:t>
      </w:r>
    </w:p>
    <w:p w:rsidR="006224C2" w:rsidRPr="00295E71" w14:paraId="37039299" w14:textId="77777777">
      <w:pPr>
        <w:numPr>
          <w:ilvl w:val="0"/>
          <w:numId w:val="14"/>
        </w:numPr>
        <w:tabs>
          <w:tab w:val="num" w:pos="540"/>
          <w:tab w:val="left" w:pos="567"/>
          <w:tab w:val="left" w:pos="993"/>
        </w:tabs>
        <w:ind w:left="567" w:hanging="567"/>
        <w:jc w:val="both"/>
        <w:rPr>
          <w:sz w:val="22"/>
          <w:szCs w:val="22"/>
        </w:rPr>
      </w:pPr>
      <w:r w:rsidRPr="00295E71">
        <w:rPr>
          <w:sz w:val="22"/>
          <w:szCs w:val="22"/>
        </w:rPr>
        <w:t>fiato corto</w:t>
      </w:r>
    </w:p>
    <w:p w:rsidR="006224C2" w:rsidRPr="00295E71" w14:paraId="1F1BBFF7" w14:textId="77777777">
      <w:pPr>
        <w:numPr>
          <w:ilvl w:val="0"/>
          <w:numId w:val="14"/>
        </w:numPr>
        <w:tabs>
          <w:tab w:val="num" w:pos="540"/>
          <w:tab w:val="left" w:pos="567"/>
          <w:tab w:val="left" w:pos="993"/>
        </w:tabs>
        <w:ind w:left="567" w:hanging="567"/>
        <w:jc w:val="both"/>
        <w:rPr>
          <w:sz w:val="22"/>
          <w:szCs w:val="22"/>
        </w:rPr>
      </w:pPr>
      <w:r w:rsidRPr="00295E71">
        <w:rPr>
          <w:sz w:val="22"/>
          <w:szCs w:val="22"/>
        </w:rPr>
        <w:t>sanguinamento gastrointestinale</w:t>
      </w:r>
    </w:p>
    <w:p w:rsidR="006224C2" w:rsidRPr="00295E71" w14:paraId="06A03782" w14:textId="77777777">
      <w:pPr>
        <w:numPr>
          <w:ilvl w:val="0"/>
          <w:numId w:val="14"/>
        </w:numPr>
        <w:tabs>
          <w:tab w:val="num" w:pos="540"/>
          <w:tab w:val="left" w:pos="567"/>
          <w:tab w:val="left" w:pos="993"/>
        </w:tabs>
        <w:ind w:left="567" w:hanging="567"/>
        <w:jc w:val="both"/>
        <w:rPr>
          <w:sz w:val="22"/>
          <w:szCs w:val="22"/>
        </w:rPr>
      </w:pPr>
      <w:r w:rsidRPr="00295E71">
        <w:rPr>
          <w:sz w:val="22"/>
          <w:szCs w:val="22"/>
        </w:rPr>
        <w:t>dispepsia (indigestione, gonfiore, bruciore di stomaco)</w:t>
      </w:r>
    </w:p>
    <w:p w:rsidR="006224C2" w:rsidRPr="00295E71" w14:paraId="4B7E225C"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disturbo da reflusso acido</w:t>
      </w:r>
    </w:p>
    <w:p w:rsidR="006224C2" w:rsidRPr="00295E71" w14:paraId="40F8FCBD"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sicca (tra cui secchezza degli occhi e della bocca)</w:t>
      </w:r>
    </w:p>
    <w:p w:rsidR="006224C2" w:rsidRPr="00295E71" w14:paraId="2B04A5EB" w14:textId="77777777">
      <w:pPr>
        <w:numPr>
          <w:ilvl w:val="0"/>
          <w:numId w:val="14"/>
        </w:numPr>
        <w:tabs>
          <w:tab w:val="num" w:pos="540"/>
          <w:tab w:val="left" w:pos="567"/>
          <w:tab w:val="left" w:pos="993"/>
        </w:tabs>
        <w:ind w:left="567" w:hanging="567"/>
        <w:jc w:val="both"/>
        <w:rPr>
          <w:sz w:val="22"/>
          <w:szCs w:val="22"/>
        </w:rPr>
      </w:pPr>
      <w:r w:rsidRPr="00295E71">
        <w:rPr>
          <w:sz w:val="22"/>
          <w:szCs w:val="22"/>
        </w:rPr>
        <w:t>prurito</w:t>
      </w:r>
    </w:p>
    <w:p w:rsidR="006224C2" w:rsidRPr="00295E71" w14:paraId="6C5DF83E" w14:textId="77777777">
      <w:pPr>
        <w:numPr>
          <w:ilvl w:val="0"/>
          <w:numId w:val="14"/>
        </w:numPr>
        <w:tabs>
          <w:tab w:val="num" w:pos="540"/>
          <w:tab w:val="left" w:pos="567"/>
          <w:tab w:val="left" w:pos="993"/>
        </w:tabs>
        <w:ind w:left="567" w:hanging="567"/>
        <w:jc w:val="both"/>
        <w:rPr>
          <w:sz w:val="22"/>
          <w:szCs w:val="22"/>
        </w:rPr>
      </w:pPr>
      <w:r w:rsidRPr="00295E71">
        <w:rPr>
          <w:sz w:val="22"/>
          <w:szCs w:val="22"/>
        </w:rPr>
        <w:t>eruzione cutanea pruriginosa</w:t>
      </w:r>
    </w:p>
    <w:p w:rsidR="006224C2" w:rsidRPr="00295E71" w14:paraId="6C09547D" w14:textId="77777777">
      <w:pPr>
        <w:numPr>
          <w:ilvl w:val="0"/>
          <w:numId w:val="14"/>
        </w:numPr>
        <w:tabs>
          <w:tab w:val="num" w:pos="540"/>
          <w:tab w:val="left" w:pos="567"/>
          <w:tab w:val="left" w:pos="993"/>
        </w:tabs>
        <w:ind w:left="567" w:hanging="567"/>
        <w:jc w:val="both"/>
        <w:rPr>
          <w:sz w:val="22"/>
          <w:szCs w:val="22"/>
        </w:rPr>
      </w:pPr>
      <w:r w:rsidRPr="00295E71">
        <w:rPr>
          <w:sz w:val="22"/>
          <w:szCs w:val="22"/>
        </w:rPr>
        <w:t>contusione</w:t>
      </w:r>
    </w:p>
    <w:p w:rsidR="006224C2" w:rsidRPr="00295E71" w14:paraId="3CFB23E4"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della pelle (come eczema)</w:t>
      </w:r>
    </w:p>
    <w:p w:rsidR="006224C2" w:rsidRPr="00295E71" w14:paraId="099CABA3" w14:textId="77777777">
      <w:pPr>
        <w:numPr>
          <w:ilvl w:val="0"/>
          <w:numId w:val="14"/>
        </w:numPr>
        <w:tabs>
          <w:tab w:val="num" w:pos="540"/>
          <w:tab w:val="left" w:pos="567"/>
          <w:tab w:val="left" w:pos="993"/>
        </w:tabs>
        <w:ind w:left="567" w:hanging="567"/>
        <w:jc w:val="both"/>
        <w:rPr>
          <w:sz w:val="22"/>
          <w:szCs w:val="22"/>
        </w:rPr>
      </w:pPr>
      <w:r w:rsidRPr="00295E71">
        <w:rPr>
          <w:sz w:val="22"/>
          <w:szCs w:val="22"/>
        </w:rPr>
        <w:t>rottura delle unghie delle dita della mano e del piede</w:t>
      </w:r>
    </w:p>
    <w:p w:rsidR="006224C2" w:rsidRPr="00295E71" w14:paraId="5A713C78"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sudorazione</w:t>
      </w:r>
    </w:p>
    <w:p w:rsidR="006224C2" w:rsidRPr="00295E71" w14:paraId="4529A089" w14:textId="77777777">
      <w:pPr>
        <w:numPr>
          <w:ilvl w:val="0"/>
          <w:numId w:val="14"/>
        </w:numPr>
        <w:tabs>
          <w:tab w:val="num" w:pos="540"/>
          <w:tab w:val="left" w:pos="567"/>
          <w:tab w:val="left" w:pos="993"/>
        </w:tabs>
        <w:ind w:left="567" w:hanging="567"/>
        <w:jc w:val="both"/>
        <w:rPr>
          <w:sz w:val="22"/>
          <w:szCs w:val="22"/>
        </w:rPr>
      </w:pPr>
      <w:r w:rsidRPr="00295E71">
        <w:rPr>
          <w:sz w:val="22"/>
          <w:szCs w:val="22"/>
        </w:rPr>
        <w:t>perdita di capelli</w:t>
      </w:r>
    </w:p>
    <w:p w:rsidR="006224C2" w:rsidRPr="00295E71" w14:paraId="6900728C" w14:textId="77777777">
      <w:pPr>
        <w:numPr>
          <w:ilvl w:val="0"/>
          <w:numId w:val="14"/>
        </w:numPr>
        <w:tabs>
          <w:tab w:val="num" w:pos="540"/>
          <w:tab w:val="left" w:pos="567"/>
          <w:tab w:val="left" w:pos="993"/>
        </w:tabs>
        <w:ind w:left="567" w:hanging="567"/>
        <w:jc w:val="both"/>
        <w:rPr>
          <w:sz w:val="22"/>
          <w:szCs w:val="22"/>
        </w:rPr>
      </w:pPr>
      <w:r w:rsidRPr="00295E71">
        <w:rPr>
          <w:sz w:val="22"/>
          <w:szCs w:val="22"/>
        </w:rPr>
        <w:t>insorgenza o peggioramento della psoriasi</w:t>
      </w:r>
    </w:p>
    <w:p w:rsidR="006224C2" w:rsidRPr="00295E71" w14:paraId="51374956" w14:textId="77777777">
      <w:pPr>
        <w:numPr>
          <w:ilvl w:val="0"/>
          <w:numId w:val="14"/>
        </w:numPr>
        <w:tabs>
          <w:tab w:val="num" w:pos="540"/>
          <w:tab w:val="left" w:pos="567"/>
          <w:tab w:val="left" w:pos="993"/>
        </w:tabs>
        <w:ind w:left="567" w:hanging="567"/>
        <w:jc w:val="both"/>
        <w:rPr>
          <w:sz w:val="22"/>
          <w:szCs w:val="22"/>
        </w:rPr>
      </w:pPr>
      <w:r w:rsidRPr="00295E71">
        <w:rPr>
          <w:sz w:val="22"/>
          <w:szCs w:val="22"/>
        </w:rPr>
        <w:t>spasmi muscolari</w:t>
      </w:r>
    </w:p>
    <w:p w:rsidR="006224C2" w:rsidRPr="00295E71" w14:paraId="51055856" w14:textId="77777777">
      <w:pPr>
        <w:numPr>
          <w:ilvl w:val="0"/>
          <w:numId w:val="14"/>
        </w:numPr>
        <w:tabs>
          <w:tab w:val="num" w:pos="540"/>
          <w:tab w:val="left" w:pos="567"/>
          <w:tab w:val="left" w:pos="993"/>
        </w:tabs>
        <w:ind w:left="567" w:hanging="567"/>
        <w:jc w:val="both"/>
        <w:rPr>
          <w:sz w:val="22"/>
          <w:szCs w:val="22"/>
        </w:rPr>
      </w:pPr>
      <w:r w:rsidRPr="00295E71">
        <w:rPr>
          <w:sz w:val="22"/>
          <w:szCs w:val="22"/>
        </w:rPr>
        <w:t>sangue nelle urine</w:t>
      </w:r>
    </w:p>
    <w:p w:rsidR="006224C2" w:rsidRPr="00295E71" w14:paraId="551AAAE4" w14:textId="77777777">
      <w:pPr>
        <w:numPr>
          <w:ilvl w:val="0"/>
          <w:numId w:val="14"/>
        </w:numPr>
        <w:tabs>
          <w:tab w:val="num" w:pos="540"/>
          <w:tab w:val="left" w:pos="567"/>
          <w:tab w:val="left" w:pos="993"/>
        </w:tabs>
        <w:ind w:left="567" w:hanging="567"/>
        <w:jc w:val="both"/>
        <w:rPr>
          <w:sz w:val="22"/>
          <w:szCs w:val="22"/>
        </w:rPr>
      </w:pPr>
      <w:r w:rsidRPr="00295E71">
        <w:rPr>
          <w:sz w:val="22"/>
          <w:szCs w:val="22"/>
        </w:rPr>
        <w:t>problemi renali</w:t>
      </w:r>
    </w:p>
    <w:p w:rsidR="006224C2" w:rsidRPr="00295E71" w14:paraId="7B1AC9E3" w14:textId="77777777">
      <w:pPr>
        <w:numPr>
          <w:ilvl w:val="0"/>
          <w:numId w:val="14"/>
        </w:numPr>
        <w:tabs>
          <w:tab w:val="num" w:pos="540"/>
          <w:tab w:val="left" w:pos="567"/>
          <w:tab w:val="left" w:pos="993"/>
        </w:tabs>
        <w:ind w:left="567" w:hanging="567"/>
        <w:jc w:val="both"/>
        <w:rPr>
          <w:sz w:val="22"/>
          <w:szCs w:val="22"/>
        </w:rPr>
      </w:pPr>
      <w:r w:rsidRPr="00295E71">
        <w:rPr>
          <w:sz w:val="22"/>
          <w:szCs w:val="22"/>
        </w:rPr>
        <w:t>dolore toracico</w:t>
      </w:r>
    </w:p>
    <w:p w:rsidR="006224C2" w:rsidRPr="00295E71" w14:paraId="4DBFFA3B"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(gonfiore)</w:t>
      </w:r>
    </w:p>
    <w:p w:rsidR="006224C2" w:rsidRPr="00295E71" w14:paraId="58EF9182" w14:textId="77777777">
      <w:pPr>
        <w:numPr>
          <w:ilvl w:val="0"/>
          <w:numId w:val="14"/>
        </w:numPr>
        <w:tabs>
          <w:tab w:val="num" w:pos="540"/>
          <w:tab w:val="left" w:pos="567"/>
          <w:tab w:val="left" w:pos="993"/>
        </w:tabs>
        <w:ind w:left="567" w:hanging="567"/>
        <w:jc w:val="both"/>
        <w:rPr>
          <w:sz w:val="22"/>
          <w:szCs w:val="22"/>
        </w:rPr>
      </w:pPr>
      <w:r w:rsidRPr="00295E71">
        <w:rPr>
          <w:sz w:val="22"/>
          <w:szCs w:val="22"/>
        </w:rPr>
        <w:t>febbre</w:t>
      </w:r>
    </w:p>
    <w:p w:rsidR="006224C2" w:rsidRPr="00295E71" w14:paraId="79AE0D87"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delle piastrine nel sangue che aumenta il rischio di emorragia o di contusioni</w:t>
      </w:r>
    </w:p>
    <w:p w:rsidR="006224C2" w:rsidRPr="00295E71" w14:paraId="2549E410" w14:textId="77777777">
      <w:pPr>
        <w:numPr>
          <w:ilvl w:val="0"/>
          <w:numId w:val="14"/>
        </w:numPr>
        <w:tabs>
          <w:tab w:val="num" w:pos="540"/>
          <w:tab w:val="left" w:pos="567"/>
          <w:tab w:val="left" w:pos="993"/>
        </w:tabs>
        <w:ind w:left="567" w:hanging="567"/>
        <w:jc w:val="both"/>
        <w:rPr>
          <w:sz w:val="22"/>
          <w:szCs w:val="22"/>
        </w:rPr>
      </w:pPr>
      <w:r w:rsidRPr="00295E71">
        <w:rPr>
          <w:sz w:val="22"/>
          <w:szCs w:val="22"/>
        </w:rPr>
        <w:t>difficoltà di cicatrizzazione</w:t>
      </w:r>
    </w:p>
    <w:p w:rsidR="006224C2" w:rsidRPr="00295E71" w14:paraId="1EBF0292" w14:textId="77777777">
      <w:pPr>
        <w:pStyle w:val="EndnoteText"/>
        <w:jc w:val="both"/>
        <w:rPr>
          <w:lang w:val="it-IT" w:eastAsia="it-IT"/>
        </w:rPr>
      </w:pPr>
    </w:p>
    <w:p w:rsidR="006224C2" w:rsidRPr="00295E71" w14:paraId="20D25CD4" w14:textId="77777777">
      <w:pPr>
        <w:tabs>
          <w:tab w:val="left" w:pos="567"/>
        </w:tabs>
        <w:jc w:val="both"/>
        <w:rPr>
          <w:sz w:val="22"/>
          <w:szCs w:val="22"/>
        </w:rPr>
      </w:pPr>
      <w:r w:rsidRPr="00295E71">
        <w:rPr>
          <w:b/>
          <w:bCs/>
          <w:sz w:val="22"/>
          <w:szCs w:val="22"/>
        </w:rPr>
        <w:t>Non comuni</w:t>
      </w:r>
      <w:r w:rsidRPr="00295E71">
        <w:rPr>
          <w:sz w:val="22"/>
          <w:szCs w:val="22"/>
        </w:rPr>
        <w:t xml:space="preserve"> (possono manifestarsi fino a 1 persona su 100)</w:t>
      </w:r>
    </w:p>
    <w:p w:rsidR="006224C2" w:rsidRPr="00295E71" w14:paraId="413FF6ED" w14:textId="77777777">
      <w:pPr>
        <w:tabs>
          <w:tab w:val="left" w:pos="567"/>
        </w:tabs>
        <w:jc w:val="both"/>
        <w:rPr>
          <w:sz w:val="22"/>
          <w:szCs w:val="22"/>
        </w:rPr>
      </w:pPr>
    </w:p>
    <w:p w:rsidR="006224C2" w:rsidRPr="00295E71" w14:paraId="4DF0A7A1"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opportunistiche (che includono la tubercolosi ed altre infezioni che si verificano quando si riducono le difese immunitarie)</w:t>
      </w:r>
    </w:p>
    <w:p w:rsidR="006224C2" w:rsidRPr="00295E71" w14:paraId="245BBAE9"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neurologiche (tra cui la meningite virale)</w:t>
      </w:r>
    </w:p>
    <w:p w:rsidR="006224C2" w:rsidRPr="00295E71" w14:paraId="6E1E33F0"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degli occhi</w:t>
      </w:r>
    </w:p>
    <w:p w:rsidR="006224C2" w:rsidRPr="00295E71" w14:paraId="17BB8057" w14:textId="77777777">
      <w:pPr>
        <w:numPr>
          <w:ilvl w:val="0"/>
          <w:numId w:val="14"/>
        </w:numPr>
        <w:tabs>
          <w:tab w:val="num" w:pos="540"/>
          <w:tab w:val="left" w:pos="567"/>
          <w:tab w:val="left" w:pos="993"/>
        </w:tabs>
        <w:ind w:left="567" w:hanging="567"/>
        <w:jc w:val="both"/>
        <w:rPr>
          <w:sz w:val="22"/>
          <w:szCs w:val="22"/>
        </w:rPr>
      </w:pPr>
      <w:r w:rsidRPr="00295E71">
        <w:rPr>
          <w:sz w:val="22"/>
          <w:szCs w:val="22"/>
        </w:rPr>
        <w:t>infezioni batteriche</w:t>
      </w:r>
    </w:p>
    <w:p w:rsidR="006224C2" w:rsidRPr="00295E71" w14:paraId="0F3750B7" w14:textId="77777777">
      <w:pPr>
        <w:numPr>
          <w:ilvl w:val="0"/>
          <w:numId w:val="14"/>
        </w:numPr>
        <w:tabs>
          <w:tab w:val="num" w:pos="540"/>
          <w:tab w:val="left" w:pos="567"/>
          <w:tab w:val="left" w:pos="993"/>
        </w:tabs>
        <w:ind w:left="567" w:hanging="567"/>
        <w:jc w:val="both"/>
        <w:rPr>
          <w:sz w:val="22"/>
          <w:szCs w:val="22"/>
        </w:rPr>
      </w:pPr>
      <w:r w:rsidRPr="00295E71">
        <w:rPr>
          <w:sz w:val="22"/>
          <w:szCs w:val="22"/>
        </w:rPr>
        <w:t>diverticolite (infiammazione e infezione dell’intestino crasso)</w:t>
      </w:r>
    </w:p>
    <w:p w:rsidR="006224C2" w:rsidRPr="00295E71" w14:paraId="58203E6B"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w:t>
      </w:r>
    </w:p>
    <w:p w:rsidR="006224C2" w:rsidRPr="00295E71" w14:paraId="680762B7" w14:textId="77777777">
      <w:pPr>
        <w:numPr>
          <w:ilvl w:val="0"/>
          <w:numId w:val="14"/>
        </w:numPr>
        <w:tabs>
          <w:tab w:val="num" w:pos="540"/>
          <w:tab w:val="left" w:pos="567"/>
          <w:tab w:val="left" w:pos="993"/>
        </w:tabs>
        <w:ind w:left="567" w:hanging="567"/>
        <w:jc w:val="both"/>
        <w:rPr>
          <w:sz w:val="22"/>
          <w:szCs w:val="22"/>
        </w:rPr>
      </w:pPr>
      <w:r w:rsidRPr="00295E71">
        <w:rPr>
          <w:sz w:val="22"/>
          <w:szCs w:val="22"/>
        </w:rPr>
        <w:t>tumori del sistema linfatico</w:t>
      </w:r>
    </w:p>
    <w:p w:rsidR="006224C2" w:rsidRPr="00295E71" w14:paraId="7E62EA22" w14:textId="77777777">
      <w:pPr>
        <w:numPr>
          <w:ilvl w:val="0"/>
          <w:numId w:val="14"/>
        </w:numPr>
        <w:tabs>
          <w:tab w:val="num" w:pos="540"/>
          <w:tab w:val="left" w:pos="567"/>
          <w:tab w:val="left" w:pos="993"/>
        </w:tabs>
        <w:ind w:left="567" w:hanging="567"/>
        <w:jc w:val="both"/>
        <w:rPr>
          <w:sz w:val="22"/>
          <w:szCs w:val="22"/>
        </w:rPr>
      </w:pPr>
      <w:r w:rsidRPr="00295E71">
        <w:rPr>
          <w:sz w:val="22"/>
          <w:szCs w:val="22"/>
        </w:rPr>
        <w:t>melanoma</w:t>
      </w:r>
    </w:p>
    <w:p w:rsidR="006224C2" w:rsidRPr="00295E71" w14:paraId="33BD0A85" w14:textId="77777777">
      <w:pPr>
        <w:numPr>
          <w:ilvl w:val="0"/>
          <w:numId w:val="14"/>
        </w:numPr>
        <w:tabs>
          <w:tab w:val="num" w:pos="540"/>
          <w:tab w:val="left" w:pos="567"/>
          <w:tab w:val="left" w:pos="993"/>
        </w:tabs>
        <w:ind w:left="567" w:hanging="567"/>
        <w:jc w:val="both"/>
        <w:rPr>
          <w:sz w:val="22"/>
          <w:szCs w:val="22"/>
        </w:rPr>
      </w:pPr>
      <w:r w:rsidRPr="00295E71">
        <w:rPr>
          <w:sz w:val="22"/>
          <w:szCs w:val="22"/>
        </w:rPr>
        <w:t>disordini del sistema immunitario che possono colpire polmoni, cute e linfonodi (che si presentano più comunemente come sarcoidosi)</w:t>
      </w:r>
    </w:p>
    <w:p w:rsidR="006224C2" w:rsidRPr="00295E71" w14:paraId="76496701" w14:textId="77777777">
      <w:pPr>
        <w:numPr>
          <w:ilvl w:val="0"/>
          <w:numId w:val="14"/>
        </w:numPr>
        <w:tabs>
          <w:tab w:val="num" w:pos="540"/>
          <w:tab w:val="left" w:pos="567"/>
          <w:tab w:val="left" w:pos="993"/>
        </w:tabs>
        <w:ind w:left="567" w:hanging="567"/>
        <w:jc w:val="both"/>
        <w:rPr>
          <w:sz w:val="22"/>
          <w:szCs w:val="22"/>
        </w:rPr>
      </w:pPr>
      <w:r w:rsidRPr="00295E71">
        <w:rPr>
          <w:sz w:val="22"/>
          <w:szCs w:val="22"/>
        </w:rPr>
        <w:t>vasculite (infiammazione dei vasi sanguigni)</w:t>
      </w:r>
    </w:p>
    <w:p w:rsidR="006224C2" w:rsidRPr="00295E71" w14:paraId="790197A2" w14:textId="77777777">
      <w:pPr>
        <w:numPr>
          <w:ilvl w:val="0"/>
          <w:numId w:val="14"/>
        </w:numPr>
        <w:tabs>
          <w:tab w:val="num" w:pos="540"/>
          <w:tab w:val="left" w:pos="567"/>
          <w:tab w:val="left" w:pos="993"/>
        </w:tabs>
        <w:ind w:left="567" w:hanging="567"/>
        <w:jc w:val="both"/>
        <w:rPr>
          <w:sz w:val="22"/>
          <w:szCs w:val="22"/>
        </w:rPr>
      </w:pPr>
      <w:r w:rsidRPr="00295E71">
        <w:rPr>
          <w:sz w:val="22"/>
          <w:szCs w:val="22"/>
        </w:rPr>
        <w:t>tremore</w:t>
      </w:r>
    </w:p>
    <w:p w:rsidR="006224C2" w:rsidRPr="00295E71" w14:paraId="4D230EDF" w14:textId="77777777">
      <w:pPr>
        <w:numPr>
          <w:ilvl w:val="0"/>
          <w:numId w:val="14"/>
        </w:numPr>
        <w:tabs>
          <w:tab w:val="num" w:pos="540"/>
          <w:tab w:val="left" w:pos="567"/>
          <w:tab w:val="left" w:pos="993"/>
        </w:tabs>
        <w:ind w:left="567" w:hanging="567"/>
        <w:jc w:val="both"/>
        <w:rPr>
          <w:sz w:val="22"/>
          <w:szCs w:val="22"/>
        </w:rPr>
      </w:pPr>
      <w:r w:rsidRPr="00295E71">
        <w:rPr>
          <w:sz w:val="22"/>
          <w:szCs w:val="22"/>
        </w:rPr>
        <w:t>neuropatia (disturbo a carico dei nervi)</w:t>
      </w:r>
    </w:p>
    <w:p w:rsidR="006224C2" w:rsidRPr="00295E71" w14:paraId="54FE65F0" w14:textId="77777777">
      <w:pPr>
        <w:numPr>
          <w:ilvl w:val="0"/>
          <w:numId w:val="14"/>
        </w:numPr>
        <w:tabs>
          <w:tab w:val="num" w:pos="540"/>
          <w:tab w:val="left" w:pos="567"/>
          <w:tab w:val="left" w:pos="993"/>
        </w:tabs>
        <w:ind w:left="567" w:hanging="567"/>
        <w:jc w:val="both"/>
        <w:rPr>
          <w:sz w:val="22"/>
          <w:szCs w:val="22"/>
        </w:rPr>
      </w:pPr>
      <w:r w:rsidRPr="00295E71">
        <w:rPr>
          <w:sz w:val="22"/>
          <w:szCs w:val="22"/>
        </w:rPr>
        <w:t>ictus</w:t>
      </w:r>
    </w:p>
    <w:p w:rsidR="006224C2" w:rsidRPr="00295E71" w14:paraId="3E999BBA" w14:textId="77777777">
      <w:pPr>
        <w:numPr>
          <w:ilvl w:val="0"/>
          <w:numId w:val="14"/>
        </w:numPr>
        <w:tabs>
          <w:tab w:val="num" w:pos="540"/>
          <w:tab w:val="left" w:pos="567"/>
          <w:tab w:val="left" w:pos="993"/>
        </w:tabs>
        <w:ind w:left="567" w:hanging="567"/>
        <w:jc w:val="both"/>
        <w:rPr>
          <w:sz w:val="22"/>
          <w:szCs w:val="22"/>
        </w:rPr>
      </w:pPr>
      <w:r w:rsidRPr="00295E71">
        <w:rPr>
          <w:sz w:val="22"/>
          <w:szCs w:val="22"/>
        </w:rPr>
        <w:t>perdita dell’udito, ronzio</w:t>
      </w:r>
    </w:p>
    <w:p w:rsidR="006224C2" w:rsidRPr="00295E71" w14:paraId="25F80BDC" w14:textId="77777777">
      <w:pPr>
        <w:numPr>
          <w:ilvl w:val="0"/>
          <w:numId w:val="14"/>
        </w:numPr>
        <w:tabs>
          <w:tab w:val="num" w:pos="540"/>
          <w:tab w:val="left" w:pos="567"/>
          <w:tab w:val="left" w:pos="993"/>
        </w:tabs>
        <w:ind w:left="567" w:hanging="567"/>
        <w:jc w:val="both"/>
        <w:rPr>
          <w:sz w:val="22"/>
          <w:szCs w:val="22"/>
        </w:rPr>
      </w:pPr>
      <w:r w:rsidRPr="00295E71">
        <w:rPr>
          <w:sz w:val="22"/>
          <w:szCs w:val="22"/>
        </w:rPr>
        <w:t>sensazione di battito cardiaco irregolare come palpitazioni</w:t>
      </w:r>
    </w:p>
    <w:p w:rsidR="006224C2" w:rsidRPr="00295E71" w14:paraId="37EBAFDE" w14:textId="77777777">
      <w:pPr>
        <w:numPr>
          <w:ilvl w:val="0"/>
          <w:numId w:val="14"/>
        </w:numPr>
        <w:tabs>
          <w:tab w:val="num" w:pos="540"/>
          <w:tab w:val="left" w:pos="567"/>
          <w:tab w:val="left" w:pos="993"/>
        </w:tabs>
        <w:ind w:left="567" w:hanging="567"/>
        <w:jc w:val="both"/>
        <w:rPr>
          <w:sz w:val="22"/>
          <w:szCs w:val="22"/>
        </w:rPr>
      </w:pPr>
      <w:r w:rsidRPr="00295E71">
        <w:rPr>
          <w:sz w:val="22"/>
          <w:szCs w:val="22"/>
        </w:rPr>
        <w:t>problemi al cuore che possono causare fiato corto o gonfiore a livello delle caviglie</w:t>
      </w:r>
    </w:p>
    <w:p w:rsidR="006224C2" w:rsidRPr="00295E71" w14:paraId="67C6B349" w14:textId="77777777">
      <w:pPr>
        <w:numPr>
          <w:ilvl w:val="0"/>
          <w:numId w:val="14"/>
        </w:numPr>
        <w:tabs>
          <w:tab w:val="num" w:pos="540"/>
          <w:tab w:val="left" w:pos="567"/>
          <w:tab w:val="left" w:pos="993"/>
        </w:tabs>
        <w:ind w:left="567" w:hanging="567"/>
        <w:jc w:val="both"/>
        <w:rPr>
          <w:sz w:val="22"/>
          <w:szCs w:val="22"/>
        </w:rPr>
      </w:pPr>
      <w:r w:rsidRPr="00295E71">
        <w:rPr>
          <w:sz w:val="22"/>
          <w:szCs w:val="22"/>
        </w:rPr>
        <w:t>infarto acuto del miocardio</w:t>
      </w:r>
    </w:p>
    <w:p w:rsidR="006224C2" w:rsidRPr="00295E71" w14:paraId="4CD8D6FA" w14:textId="77777777">
      <w:pPr>
        <w:numPr>
          <w:ilvl w:val="0"/>
          <w:numId w:val="14"/>
        </w:numPr>
        <w:tabs>
          <w:tab w:val="num" w:pos="540"/>
          <w:tab w:val="left" w:pos="567"/>
          <w:tab w:val="left" w:pos="993"/>
        </w:tabs>
        <w:ind w:left="567" w:hanging="567"/>
        <w:jc w:val="both"/>
        <w:rPr>
          <w:sz w:val="22"/>
          <w:szCs w:val="22"/>
        </w:rPr>
      </w:pPr>
      <w:r w:rsidRPr="00295E71">
        <w:rPr>
          <w:sz w:val="22"/>
          <w:szCs w:val="22"/>
        </w:rPr>
        <w:t>formazione di una sacca nella parete di un’arteria principale, infiammazione e coagulo in una vena, ostruzione di un vaso sanguigno</w:t>
      </w:r>
    </w:p>
    <w:p w:rsidR="006224C2" w:rsidRPr="00295E71" w14:paraId="35BC1E65" w14:textId="77777777">
      <w:pPr>
        <w:numPr>
          <w:ilvl w:val="0"/>
          <w:numId w:val="14"/>
        </w:numPr>
        <w:tabs>
          <w:tab w:val="num" w:pos="540"/>
          <w:tab w:val="left" w:pos="567"/>
          <w:tab w:val="left" w:pos="993"/>
        </w:tabs>
        <w:ind w:left="567" w:hanging="567"/>
        <w:jc w:val="both"/>
        <w:rPr>
          <w:sz w:val="22"/>
          <w:szCs w:val="22"/>
        </w:rPr>
      </w:pPr>
      <w:r w:rsidRPr="00295E71">
        <w:rPr>
          <w:sz w:val="22"/>
          <w:szCs w:val="22"/>
        </w:rPr>
        <w:t>malattia polmonare che provoca fiato corto (inclusa infiammazione)</w:t>
      </w:r>
    </w:p>
    <w:p w:rsidR="006224C2" w:rsidRPr="00295E71" w14:paraId="0CE6DFE9" w14:textId="77777777">
      <w:pPr>
        <w:numPr>
          <w:ilvl w:val="0"/>
          <w:numId w:val="14"/>
        </w:numPr>
        <w:tabs>
          <w:tab w:val="num" w:pos="540"/>
          <w:tab w:val="left" w:pos="567"/>
          <w:tab w:val="left" w:pos="993"/>
        </w:tabs>
        <w:ind w:left="567" w:hanging="567"/>
        <w:jc w:val="both"/>
        <w:rPr>
          <w:sz w:val="22"/>
          <w:szCs w:val="22"/>
        </w:rPr>
      </w:pPr>
      <w:r w:rsidRPr="00295E71">
        <w:rPr>
          <w:sz w:val="22"/>
          <w:szCs w:val="22"/>
        </w:rPr>
        <w:t>embolia polmonare (occlusione di una arteria polmonare)</w:t>
      </w:r>
    </w:p>
    <w:p w:rsidR="006224C2" w:rsidRPr="00295E71" w14:paraId="1028B19C" w14:textId="77777777">
      <w:pPr>
        <w:numPr>
          <w:ilvl w:val="0"/>
          <w:numId w:val="14"/>
        </w:numPr>
        <w:tabs>
          <w:tab w:val="num" w:pos="540"/>
          <w:tab w:val="left" w:pos="567"/>
          <w:tab w:val="left" w:pos="993"/>
        </w:tabs>
        <w:ind w:left="567" w:hanging="567"/>
        <w:jc w:val="both"/>
        <w:rPr>
          <w:sz w:val="22"/>
          <w:szCs w:val="22"/>
        </w:rPr>
      </w:pPr>
      <w:r w:rsidRPr="00295E71">
        <w:rPr>
          <w:sz w:val="22"/>
          <w:szCs w:val="22"/>
        </w:rPr>
        <w:t>versamento pleurico (anomala raccolta di liquido nello spazio pleurico)</w:t>
      </w:r>
    </w:p>
    <w:p w:rsidR="006224C2" w:rsidRPr="00295E71" w14:paraId="0432577C"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 pancreas che causa forti dolori all’addome ed alla schiena</w:t>
      </w:r>
    </w:p>
    <w:p w:rsidR="006224C2" w:rsidRPr="00295E71" w14:paraId="1A52F12A" w14:textId="77777777">
      <w:pPr>
        <w:numPr>
          <w:ilvl w:val="0"/>
          <w:numId w:val="14"/>
        </w:numPr>
        <w:tabs>
          <w:tab w:val="num" w:pos="540"/>
          <w:tab w:val="left" w:pos="567"/>
          <w:tab w:val="left" w:pos="993"/>
        </w:tabs>
        <w:ind w:left="567" w:hanging="567"/>
        <w:jc w:val="both"/>
        <w:rPr>
          <w:sz w:val="22"/>
          <w:szCs w:val="22"/>
        </w:rPr>
      </w:pPr>
      <w:r w:rsidRPr="00295E71">
        <w:rPr>
          <w:sz w:val="22"/>
          <w:szCs w:val="22"/>
        </w:rPr>
        <w:t>difficoltà nella deglutizione</w:t>
      </w:r>
    </w:p>
    <w:p w:rsidR="006224C2" w:rsidRPr="00295E71" w14:paraId="7AFA85D0"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facciale (gonfiore della faccia)</w:t>
      </w:r>
    </w:p>
    <w:p w:rsidR="006224C2" w:rsidRPr="00295E71" w14:paraId="77EC672F"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infiammazione della cistifellea, calcoli alla cistifellea</w:t>
      </w:r>
    </w:p>
    <w:p w:rsidR="006224C2" w:rsidRPr="00295E71" w14:paraId="433F6232" w14:textId="77777777">
      <w:pPr>
        <w:numPr>
          <w:ilvl w:val="0"/>
          <w:numId w:val="14"/>
        </w:numPr>
        <w:tabs>
          <w:tab w:val="num" w:pos="540"/>
          <w:tab w:val="left" w:pos="567"/>
          <w:tab w:val="left" w:pos="993"/>
        </w:tabs>
        <w:ind w:left="567" w:hanging="567"/>
        <w:jc w:val="both"/>
        <w:rPr>
          <w:sz w:val="22"/>
          <w:szCs w:val="22"/>
        </w:rPr>
      </w:pPr>
      <w:r w:rsidRPr="00295E71">
        <w:rPr>
          <w:sz w:val="22"/>
          <w:szCs w:val="22"/>
        </w:rPr>
        <w:t>fegato grasso</w:t>
      </w:r>
    </w:p>
    <w:p w:rsidR="006224C2" w:rsidRPr="00295E71" w14:paraId="71A6F632" w14:textId="77777777">
      <w:pPr>
        <w:numPr>
          <w:ilvl w:val="0"/>
          <w:numId w:val="14"/>
        </w:numPr>
        <w:tabs>
          <w:tab w:val="num" w:pos="540"/>
          <w:tab w:val="left" w:pos="567"/>
          <w:tab w:val="left" w:pos="993"/>
        </w:tabs>
        <w:ind w:left="567" w:hanging="567"/>
        <w:jc w:val="both"/>
        <w:rPr>
          <w:sz w:val="22"/>
          <w:szCs w:val="22"/>
        </w:rPr>
      </w:pPr>
      <w:r w:rsidRPr="00295E71">
        <w:rPr>
          <w:sz w:val="22"/>
          <w:szCs w:val="22"/>
        </w:rPr>
        <w:t>sudorazione notturna</w:t>
      </w:r>
    </w:p>
    <w:p w:rsidR="006224C2" w:rsidRPr="00295E71" w14:paraId="2D3FDACB" w14:textId="77777777">
      <w:pPr>
        <w:numPr>
          <w:ilvl w:val="0"/>
          <w:numId w:val="14"/>
        </w:numPr>
        <w:tabs>
          <w:tab w:val="num" w:pos="540"/>
          <w:tab w:val="left" w:pos="567"/>
          <w:tab w:val="left" w:pos="993"/>
        </w:tabs>
        <w:ind w:left="567" w:hanging="567"/>
        <w:jc w:val="both"/>
        <w:rPr>
          <w:sz w:val="22"/>
          <w:szCs w:val="22"/>
        </w:rPr>
      </w:pPr>
      <w:r w:rsidRPr="00295E71">
        <w:rPr>
          <w:sz w:val="22"/>
          <w:szCs w:val="22"/>
        </w:rPr>
        <w:t>cicatrice</w:t>
      </w:r>
    </w:p>
    <w:p w:rsidR="006224C2" w:rsidRPr="00295E71" w14:paraId="05B976B1" w14:textId="77777777">
      <w:pPr>
        <w:numPr>
          <w:ilvl w:val="0"/>
          <w:numId w:val="14"/>
        </w:numPr>
        <w:tabs>
          <w:tab w:val="num" w:pos="540"/>
          <w:tab w:val="left" w:pos="567"/>
          <w:tab w:val="left" w:pos="993"/>
        </w:tabs>
        <w:ind w:left="567" w:hanging="567"/>
        <w:jc w:val="both"/>
        <w:rPr>
          <w:sz w:val="22"/>
          <w:szCs w:val="22"/>
        </w:rPr>
      </w:pPr>
      <w:r w:rsidRPr="00295E71">
        <w:rPr>
          <w:sz w:val="22"/>
          <w:szCs w:val="22"/>
        </w:rPr>
        <w:t>anormale catabolismo muscolare</w:t>
      </w:r>
    </w:p>
    <w:p w:rsidR="006224C2" w:rsidRPr="00295E71" w14:paraId="370B08B8" w14:textId="77777777">
      <w:pPr>
        <w:numPr>
          <w:ilvl w:val="0"/>
          <w:numId w:val="14"/>
        </w:numPr>
        <w:tabs>
          <w:tab w:val="num" w:pos="540"/>
          <w:tab w:val="left" w:pos="567"/>
          <w:tab w:val="left" w:pos="993"/>
        </w:tabs>
        <w:ind w:left="567" w:hanging="567"/>
        <w:jc w:val="both"/>
        <w:rPr>
          <w:sz w:val="22"/>
          <w:szCs w:val="22"/>
        </w:rPr>
      </w:pPr>
      <w:r w:rsidRPr="00295E71">
        <w:rPr>
          <w:sz w:val="22"/>
          <w:szCs w:val="22"/>
        </w:rPr>
        <w:t>lupus eritematoso sistemico (tra cui infiammazione della pelle, del cuore, del polmone, delle articolazioni e di altri organi)</w:t>
      </w:r>
    </w:p>
    <w:p w:rsidR="006224C2" w:rsidRPr="00295E71" w14:paraId="3D5A38F6" w14:textId="77777777">
      <w:pPr>
        <w:numPr>
          <w:ilvl w:val="0"/>
          <w:numId w:val="14"/>
        </w:numPr>
        <w:tabs>
          <w:tab w:val="num" w:pos="540"/>
          <w:tab w:val="left" w:pos="567"/>
          <w:tab w:val="left" w:pos="993"/>
        </w:tabs>
        <w:ind w:left="567" w:hanging="567"/>
        <w:jc w:val="both"/>
        <w:rPr>
          <w:sz w:val="22"/>
          <w:szCs w:val="22"/>
        </w:rPr>
      </w:pPr>
      <w:r w:rsidRPr="00295E71">
        <w:rPr>
          <w:sz w:val="22"/>
          <w:szCs w:val="22"/>
        </w:rPr>
        <w:t>sonno interrotto</w:t>
      </w:r>
    </w:p>
    <w:p w:rsidR="006224C2" w:rsidRPr="00295E71" w14:paraId="4947FF19" w14:textId="77777777">
      <w:pPr>
        <w:numPr>
          <w:ilvl w:val="0"/>
          <w:numId w:val="14"/>
        </w:numPr>
        <w:tabs>
          <w:tab w:val="num" w:pos="540"/>
          <w:tab w:val="left" w:pos="567"/>
          <w:tab w:val="left" w:pos="993"/>
        </w:tabs>
        <w:ind w:left="567" w:hanging="567"/>
        <w:jc w:val="both"/>
        <w:rPr>
          <w:sz w:val="22"/>
          <w:szCs w:val="22"/>
        </w:rPr>
      </w:pPr>
      <w:r w:rsidRPr="00295E71">
        <w:rPr>
          <w:sz w:val="22"/>
          <w:szCs w:val="22"/>
        </w:rPr>
        <w:t>impotenza</w:t>
      </w:r>
    </w:p>
    <w:p w:rsidR="006224C2" w:rsidRPr="00295E71" w14:paraId="6A1231BB" w14:textId="77777777">
      <w:pPr>
        <w:numPr>
          <w:ilvl w:val="0"/>
          <w:numId w:val="14"/>
        </w:numPr>
        <w:tabs>
          <w:tab w:val="num" w:pos="540"/>
          <w:tab w:val="left" w:pos="567"/>
          <w:tab w:val="left" w:pos="993"/>
        </w:tabs>
        <w:ind w:left="567" w:hanging="567"/>
        <w:jc w:val="both"/>
        <w:rPr>
          <w:sz w:val="22"/>
          <w:szCs w:val="22"/>
        </w:rPr>
      </w:pPr>
      <w:r w:rsidRPr="00295E71">
        <w:rPr>
          <w:sz w:val="22"/>
          <w:szCs w:val="22"/>
        </w:rPr>
        <w:t>infiammazioni</w:t>
      </w:r>
    </w:p>
    <w:p w:rsidR="006224C2" w:rsidRPr="00295E71" w14:paraId="570AAFFE" w14:textId="77777777">
      <w:pPr>
        <w:tabs>
          <w:tab w:val="left" w:pos="567"/>
        </w:tabs>
        <w:jc w:val="both"/>
        <w:rPr>
          <w:sz w:val="22"/>
          <w:szCs w:val="22"/>
        </w:rPr>
      </w:pPr>
    </w:p>
    <w:p w:rsidR="006224C2" w:rsidRPr="00295E71" w14:paraId="500E940A" w14:textId="77777777">
      <w:pPr>
        <w:rPr>
          <w:sz w:val="22"/>
          <w:szCs w:val="22"/>
        </w:rPr>
      </w:pPr>
      <w:r w:rsidRPr="00295E71">
        <w:rPr>
          <w:b/>
          <w:bCs/>
          <w:sz w:val="22"/>
          <w:szCs w:val="22"/>
        </w:rPr>
        <w:t>Rari</w:t>
      </w:r>
      <w:r w:rsidRPr="00295E71">
        <w:rPr>
          <w:sz w:val="22"/>
          <w:szCs w:val="22"/>
        </w:rPr>
        <w:t xml:space="preserve"> (possono manifestarsi fino a 1 persona su 1.000)</w:t>
      </w:r>
    </w:p>
    <w:p w:rsidR="006224C2" w:rsidRPr="00295E71" w14:paraId="5A522BA2" w14:textId="77777777">
      <w:pPr>
        <w:tabs>
          <w:tab w:val="left" w:pos="567"/>
          <w:tab w:val="left" w:pos="993"/>
        </w:tabs>
        <w:jc w:val="both"/>
        <w:rPr>
          <w:sz w:val="22"/>
          <w:szCs w:val="22"/>
        </w:rPr>
      </w:pPr>
    </w:p>
    <w:p w:rsidR="006224C2" w:rsidRPr="00295E71" w14:paraId="1D60C430" w14:textId="77777777">
      <w:pPr>
        <w:numPr>
          <w:ilvl w:val="0"/>
          <w:numId w:val="14"/>
        </w:numPr>
        <w:tabs>
          <w:tab w:val="num" w:pos="540"/>
          <w:tab w:val="left" w:pos="567"/>
          <w:tab w:val="left" w:pos="993"/>
        </w:tabs>
        <w:ind w:left="567" w:hanging="567"/>
        <w:jc w:val="both"/>
        <w:rPr>
          <w:sz w:val="22"/>
          <w:szCs w:val="22"/>
        </w:rPr>
      </w:pPr>
      <w:r w:rsidRPr="00295E71">
        <w:rPr>
          <w:sz w:val="22"/>
          <w:szCs w:val="22"/>
        </w:rPr>
        <w:t>leucemia (</w:t>
      </w:r>
      <w:r w:rsidRPr="00295E71" w:rsidR="00435F3A">
        <w:rPr>
          <w:sz w:val="22"/>
          <w:szCs w:val="22"/>
        </w:rPr>
        <w:t>un tumore che colpisce il sangue e il midollo osseo</w:t>
      </w:r>
      <w:r w:rsidRPr="00295E71">
        <w:rPr>
          <w:sz w:val="22"/>
          <w:szCs w:val="22"/>
        </w:rPr>
        <w:t>)</w:t>
      </w:r>
    </w:p>
    <w:p w:rsidR="006224C2" w:rsidRPr="00295E71" w14:paraId="24533337" w14:textId="77777777">
      <w:pPr>
        <w:numPr>
          <w:ilvl w:val="0"/>
          <w:numId w:val="14"/>
        </w:numPr>
        <w:tabs>
          <w:tab w:val="num" w:pos="540"/>
          <w:tab w:val="left" w:pos="567"/>
          <w:tab w:val="left" w:pos="993"/>
        </w:tabs>
        <w:ind w:left="567" w:hanging="567"/>
        <w:jc w:val="both"/>
        <w:rPr>
          <w:sz w:val="22"/>
          <w:szCs w:val="22"/>
        </w:rPr>
      </w:pPr>
      <w:r w:rsidRPr="00295E71">
        <w:rPr>
          <w:sz w:val="22"/>
          <w:szCs w:val="22"/>
        </w:rPr>
        <w:t>reazione allergica grave con shock</w:t>
      </w:r>
    </w:p>
    <w:p w:rsidR="006224C2" w:rsidRPr="00295E71" w14:paraId="26E08D4A" w14:textId="77777777">
      <w:pPr>
        <w:numPr>
          <w:ilvl w:val="0"/>
          <w:numId w:val="14"/>
        </w:numPr>
        <w:tabs>
          <w:tab w:val="num" w:pos="540"/>
          <w:tab w:val="left" w:pos="567"/>
          <w:tab w:val="left" w:pos="993"/>
        </w:tabs>
        <w:ind w:left="567" w:hanging="567"/>
        <w:jc w:val="both"/>
        <w:rPr>
          <w:sz w:val="22"/>
          <w:szCs w:val="22"/>
        </w:rPr>
      </w:pPr>
      <w:r w:rsidRPr="00295E71">
        <w:rPr>
          <w:sz w:val="22"/>
          <w:szCs w:val="22"/>
        </w:rPr>
        <w:t>sclerosi multipla</w:t>
      </w:r>
    </w:p>
    <w:p w:rsidR="006224C2" w:rsidRPr="00295E71" w14:paraId="0F990E3A" w14:textId="77777777">
      <w:pPr>
        <w:numPr>
          <w:ilvl w:val="0"/>
          <w:numId w:val="14"/>
        </w:numPr>
        <w:tabs>
          <w:tab w:val="num" w:pos="540"/>
          <w:tab w:val="left" w:pos="567"/>
          <w:tab w:val="left" w:pos="993"/>
        </w:tabs>
        <w:ind w:left="567" w:hanging="567"/>
        <w:jc w:val="both"/>
        <w:rPr>
          <w:sz w:val="22"/>
          <w:szCs w:val="22"/>
        </w:rPr>
      </w:pPr>
      <w:r w:rsidRPr="00295E71">
        <w:rPr>
          <w:sz w:val="22"/>
          <w:szCs w:val="22"/>
        </w:rPr>
        <w:t>disturbi neurologici (come infiammazione del nervo ottico e sindrome di Guillain-Barré che può causare debolezza muscolare, sensazioni anomale, formicolio alle braccia ed alla parte superiore del corpo)</w:t>
      </w:r>
    </w:p>
    <w:p w:rsidR="006224C2" w:rsidRPr="00295E71" w14:paraId="7DC37F57" w14:textId="77777777">
      <w:pPr>
        <w:numPr>
          <w:ilvl w:val="0"/>
          <w:numId w:val="14"/>
        </w:numPr>
        <w:tabs>
          <w:tab w:val="num" w:pos="540"/>
          <w:tab w:val="left" w:pos="567"/>
          <w:tab w:val="left" w:pos="993"/>
        </w:tabs>
        <w:ind w:left="567" w:hanging="567"/>
        <w:jc w:val="both"/>
        <w:rPr>
          <w:sz w:val="22"/>
          <w:szCs w:val="22"/>
        </w:rPr>
      </w:pPr>
      <w:r w:rsidRPr="00295E71">
        <w:rPr>
          <w:sz w:val="22"/>
          <w:szCs w:val="22"/>
        </w:rPr>
        <w:t>arresto cardiaco</w:t>
      </w:r>
    </w:p>
    <w:p w:rsidR="006224C2" w:rsidRPr="00295E71" w14:paraId="4FF91641" w14:textId="77777777">
      <w:pPr>
        <w:numPr>
          <w:ilvl w:val="0"/>
          <w:numId w:val="14"/>
        </w:numPr>
        <w:tabs>
          <w:tab w:val="num" w:pos="540"/>
          <w:tab w:val="left" w:pos="567"/>
          <w:tab w:val="left" w:pos="993"/>
        </w:tabs>
        <w:ind w:left="567" w:hanging="567"/>
        <w:jc w:val="both"/>
        <w:rPr>
          <w:sz w:val="22"/>
          <w:szCs w:val="22"/>
        </w:rPr>
      </w:pPr>
      <w:r w:rsidRPr="00295E71">
        <w:rPr>
          <w:sz w:val="22"/>
          <w:szCs w:val="22"/>
        </w:rPr>
        <w:t>fibrosi polmonare (cicatrici del polmone)</w:t>
      </w:r>
    </w:p>
    <w:p w:rsidR="006224C2" w:rsidRPr="00295E71" w14:paraId="21D799F3" w14:textId="77777777">
      <w:pPr>
        <w:numPr>
          <w:ilvl w:val="0"/>
          <w:numId w:val="14"/>
        </w:numPr>
        <w:tabs>
          <w:tab w:val="num" w:pos="540"/>
          <w:tab w:val="left" w:pos="567"/>
          <w:tab w:val="left" w:pos="993"/>
        </w:tabs>
        <w:ind w:left="567" w:hanging="567"/>
        <w:jc w:val="both"/>
        <w:rPr>
          <w:sz w:val="22"/>
          <w:szCs w:val="22"/>
        </w:rPr>
      </w:pPr>
      <w:r w:rsidRPr="00295E71">
        <w:rPr>
          <w:sz w:val="22"/>
          <w:szCs w:val="22"/>
        </w:rPr>
        <w:t>perforazione intestinale (buco nell’intestino)</w:t>
      </w:r>
    </w:p>
    <w:p w:rsidR="006224C2" w:rsidRPr="00295E71" w14:paraId="6739CD0D" w14:textId="77777777">
      <w:pPr>
        <w:numPr>
          <w:ilvl w:val="0"/>
          <w:numId w:val="14"/>
        </w:numPr>
        <w:tabs>
          <w:tab w:val="num" w:pos="540"/>
          <w:tab w:val="left" w:pos="567"/>
          <w:tab w:val="left" w:pos="993"/>
        </w:tabs>
        <w:ind w:left="567" w:hanging="567"/>
        <w:jc w:val="both"/>
        <w:rPr>
          <w:sz w:val="22"/>
          <w:szCs w:val="22"/>
        </w:rPr>
      </w:pPr>
      <w:r w:rsidRPr="00295E71">
        <w:rPr>
          <w:sz w:val="22"/>
          <w:szCs w:val="22"/>
        </w:rPr>
        <w:t>epatite</w:t>
      </w:r>
    </w:p>
    <w:p w:rsidR="006224C2" w:rsidRPr="00295E71" w14:paraId="2F7C5A65" w14:textId="77777777">
      <w:pPr>
        <w:numPr>
          <w:ilvl w:val="0"/>
          <w:numId w:val="14"/>
        </w:numPr>
        <w:tabs>
          <w:tab w:val="num" w:pos="540"/>
          <w:tab w:val="left" w:pos="567"/>
          <w:tab w:val="left" w:pos="993"/>
        </w:tabs>
        <w:ind w:left="567" w:hanging="567"/>
        <w:jc w:val="both"/>
        <w:rPr>
          <w:sz w:val="22"/>
          <w:szCs w:val="22"/>
        </w:rPr>
      </w:pPr>
      <w:r w:rsidRPr="00295E71">
        <w:rPr>
          <w:sz w:val="22"/>
          <w:szCs w:val="22"/>
        </w:rPr>
        <w:t>riattivazione dell’epatite B</w:t>
      </w:r>
    </w:p>
    <w:p w:rsidR="006224C2" w:rsidRPr="00295E71" w14:paraId="50A49308" w14:textId="77777777">
      <w:pPr>
        <w:numPr>
          <w:ilvl w:val="0"/>
          <w:numId w:val="14"/>
        </w:numPr>
        <w:tabs>
          <w:tab w:val="num" w:pos="540"/>
          <w:tab w:val="left" w:pos="567"/>
          <w:tab w:val="left" w:pos="993"/>
        </w:tabs>
        <w:ind w:left="567" w:hanging="567"/>
        <w:jc w:val="both"/>
        <w:rPr>
          <w:sz w:val="22"/>
          <w:szCs w:val="22"/>
        </w:rPr>
      </w:pPr>
      <w:r w:rsidRPr="00295E71">
        <w:rPr>
          <w:sz w:val="22"/>
          <w:szCs w:val="22"/>
        </w:rPr>
        <w:t>epatite autoimmune (infiammazione del fegato causata dal proprio sistema immunitario);</w:t>
      </w:r>
    </w:p>
    <w:p w:rsidR="006224C2" w:rsidRPr="00295E71" w14:paraId="54A9788A" w14:textId="77777777">
      <w:pPr>
        <w:numPr>
          <w:ilvl w:val="0"/>
          <w:numId w:val="14"/>
        </w:numPr>
        <w:tabs>
          <w:tab w:val="num" w:pos="540"/>
          <w:tab w:val="left" w:pos="567"/>
          <w:tab w:val="left" w:pos="993"/>
        </w:tabs>
        <w:ind w:left="567" w:hanging="567"/>
        <w:jc w:val="both"/>
        <w:rPr>
          <w:sz w:val="22"/>
          <w:szCs w:val="22"/>
        </w:rPr>
      </w:pPr>
      <w:r w:rsidRPr="00295E71">
        <w:rPr>
          <w:sz w:val="22"/>
          <w:szCs w:val="22"/>
        </w:rPr>
        <w:t>vasculite cutanea (infiammazione dei vasi sanguigni della pelle)</w:t>
      </w:r>
    </w:p>
    <w:p w:rsidR="006224C2" w:rsidRPr="00295E71" w14:paraId="04822FC9"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di Stevens-Johnson (i sintomi precoci includono malessere, febbre, cefalea ed eruzione cutanea)</w:t>
      </w:r>
    </w:p>
    <w:p w:rsidR="006224C2" w:rsidRPr="00295E71" w14:paraId="116FE9D8" w14:textId="77777777">
      <w:pPr>
        <w:numPr>
          <w:ilvl w:val="0"/>
          <w:numId w:val="14"/>
        </w:numPr>
        <w:tabs>
          <w:tab w:val="num" w:pos="540"/>
          <w:tab w:val="left" w:pos="567"/>
          <w:tab w:val="left" w:pos="993"/>
        </w:tabs>
        <w:ind w:left="567" w:hanging="567"/>
        <w:jc w:val="both"/>
        <w:rPr>
          <w:sz w:val="22"/>
          <w:szCs w:val="22"/>
        </w:rPr>
      </w:pPr>
      <w:r w:rsidRPr="00295E71">
        <w:rPr>
          <w:sz w:val="22"/>
          <w:szCs w:val="22"/>
        </w:rPr>
        <w:t>edema facciale (gonfiore della faccia) associato a reazioni allergiche</w:t>
      </w:r>
    </w:p>
    <w:p w:rsidR="006224C2" w:rsidRPr="00295E71" w14:paraId="0D6AC350" w14:textId="77777777">
      <w:pPr>
        <w:numPr>
          <w:ilvl w:val="0"/>
          <w:numId w:val="14"/>
        </w:numPr>
        <w:tabs>
          <w:tab w:val="num" w:pos="540"/>
          <w:tab w:val="left" w:pos="567"/>
          <w:tab w:val="left" w:pos="993"/>
        </w:tabs>
        <w:ind w:left="567" w:hanging="567"/>
        <w:jc w:val="both"/>
        <w:rPr>
          <w:sz w:val="22"/>
          <w:szCs w:val="22"/>
        </w:rPr>
      </w:pPr>
      <w:r w:rsidRPr="00295E71">
        <w:rPr>
          <w:sz w:val="22"/>
          <w:szCs w:val="22"/>
        </w:rPr>
        <w:t>eritema multiforme (rash cutaneo infiammatorio)</w:t>
      </w:r>
    </w:p>
    <w:p w:rsidR="006224C2" w:rsidRPr="00295E71" w14:paraId="53D37E3F" w14:textId="77777777">
      <w:pPr>
        <w:numPr>
          <w:ilvl w:val="0"/>
          <w:numId w:val="14"/>
        </w:numPr>
        <w:tabs>
          <w:tab w:val="num" w:pos="540"/>
          <w:tab w:val="left" w:pos="567"/>
          <w:tab w:val="left" w:pos="993"/>
        </w:tabs>
        <w:ind w:left="567" w:hanging="567"/>
        <w:jc w:val="both"/>
        <w:rPr>
          <w:sz w:val="22"/>
          <w:szCs w:val="22"/>
        </w:rPr>
      </w:pPr>
      <w:r w:rsidRPr="00295E71">
        <w:rPr>
          <w:sz w:val="22"/>
          <w:szCs w:val="22"/>
        </w:rPr>
        <w:t>sindrome simile al lupus</w:t>
      </w:r>
    </w:p>
    <w:p w:rsidR="0088145A" w14:paraId="739F1AD7" w14:textId="77777777">
      <w:pPr>
        <w:numPr>
          <w:ilvl w:val="0"/>
          <w:numId w:val="14"/>
        </w:numPr>
        <w:tabs>
          <w:tab w:val="num" w:pos="540"/>
          <w:tab w:val="left" w:pos="567"/>
          <w:tab w:val="left" w:pos="993"/>
        </w:tabs>
        <w:ind w:left="567" w:hanging="567"/>
        <w:jc w:val="both"/>
        <w:rPr>
          <w:sz w:val="22"/>
          <w:szCs w:val="22"/>
        </w:rPr>
      </w:pPr>
      <w:r w:rsidRPr="00295E71">
        <w:rPr>
          <w:sz w:val="22"/>
          <w:szCs w:val="22"/>
        </w:rPr>
        <w:t>angioedema (gonfiore localizzato della pelle)</w:t>
      </w:r>
    </w:p>
    <w:p w:rsidR="00F45A2F" w:rsidRPr="00295E71" w:rsidP="00F45A2F" w14:paraId="39D58FC9" w14:textId="77777777">
      <w:pPr>
        <w:numPr>
          <w:ilvl w:val="0"/>
          <w:numId w:val="14"/>
        </w:numPr>
        <w:tabs>
          <w:tab w:val="left" w:pos="567"/>
          <w:tab w:val="left" w:pos="993"/>
        </w:tabs>
        <w:ind w:hanging="720"/>
        <w:jc w:val="both"/>
        <w:rPr>
          <w:sz w:val="22"/>
          <w:szCs w:val="22"/>
        </w:rPr>
      </w:pPr>
      <w:r w:rsidRPr="00756246">
        <w:rPr>
          <w:sz w:val="22"/>
          <w:szCs w:val="22"/>
        </w:rPr>
        <w:t>reazione cutanea lichenoide (</w:t>
      </w:r>
      <w:r w:rsidR="00C6039F">
        <w:rPr>
          <w:sz w:val="22"/>
          <w:szCs w:val="22"/>
        </w:rPr>
        <w:t>eruzione</w:t>
      </w:r>
      <w:r w:rsidRPr="00756246">
        <w:rPr>
          <w:sz w:val="22"/>
          <w:szCs w:val="22"/>
        </w:rPr>
        <w:t xml:space="preserve"> cutane</w:t>
      </w:r>
      <w:r w:rsidR="00C6039F">
        <w:rPr>
          <w:sz w:val="22"/>
          <w:szCs w:val="22"/>
        </w:rPr>
        <w:t>a</w:t>
      </w:r>
      <w:r w:rsidRPr="00756246">
        <w:rPr>
          <w:sz w:val="22"/>
          <w:szCs w:val="22"/>
        </w:rPr>
        <w:t xml:space="preserve"> rosso-viola</w:t>
      </w:r>
      <w:r w:rsidR="00C6039F">
        <w:rPr>
          <w:sz w:val="22"/>
          <w:szCs w:val="22"/>
        </w:rPr>
        <w:t>cea</w:t>
      </w:r>
      <w:r w:rsidRPr="00756246">
        <w:rPr>
          <w:sz w:val="22"/>
          <w:szCs w:val="22"/>
        </w:rPr>
        <w:t xml:space="preserve"> pruriginos</w:t>
      </w:r>
      <w:r w:rsidR="00C6039F">
        <w:rPr>
          <w:sz w:val="22"/>
          <w:szCs w:val="22"/>
        </w:rPr>
        <w:t>a</w:t>
      </w:r>
      <w:r w:rsidRPr="00756246">
        <w:rPr>
          <w:sz w:val="22"/>
          <w:szCs w:val="22"/>
        </w:rPr>
        <w:t>)</w:t>
      </w:r>
    </w:p>
    <w:p w:rsidR="006224C2" w:rsidRPr="00295E71" w14:paraId="50F9D83A" w14:textId="77777777">
      <w:pPr>
        <w:tabs>
          <w:tab w:val="left" w:pos="567"/>
          <w:tab w:val="left" w:pos="993"/>
        </w:tabs>
        <w:jc w:val="both"/>
        <w:rPr>
          <w:sz w:val="22"/>
          <w:szCs w:val="22"/>
        </w:rPr>
      </w:pPr>
    </w:p>
    <w:p w:rsidR="006224C2" w:rsidRPr="00295E71" w14:paraId="1BE90A7B" w14:textId="77777777">
      <w:pPr>
        <w:keepNext/>
        <w:rPr>
          <w:sz w:val="22"/>
          <w:szCs w:val="22"/>
        </w:rPr>
      </w:pPr>
      <w:r w:rsidRPr="00295E71">
        <w:rPr>
          <w:b/>
          <w:bCs/>
          <w:sz w:val="22"/>
          <w:szCs w:val="22"/>
        </w:rPr>
        <w:t>Non nota</w:t>
      </w:r>
      <w:r w:rsidRPr="00295E71">
        <w:rPr>
          <w:sz w:val="22"/>
          <w:szCs w:val="22"/>
        </w:rPr>
        <w:t xml:space="preserve"> (la frequenza non può essere definita sulla base dei dati disponibili)</w:t>
      </w:r>
    </w:p>
    <w:p w:rsidR="006224C2" w:rsidRPr="00295E71" w14:paraId="5643C941" w14:textId="77777777">
      <w:pPr>
        <w:pStyle w:val="EMEAFigureTitle"/>
        <w:keepNext/>
        <w:tabs>
          <w:tab w:val="left" w:pos="993"/>
        </w:tabs>
        <w:suppressAutoHyphens w:val="0"/>
        <w:jc w:val="both"/>
        <w:rPr>
          <w:lang w:val="it-IT" w:eastAsia="it-IT"/>
        </w:rPr>
      </w:pPr>
    </w:p>
    <w:p w:rsidR="006224C2" w:rsidRPr="00295E71" w14:paraId="018CA1C7"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linfoma epato-splenico a cellule T (un raro tumore del sangue che spesso risulta fatale)</w:t>
      </w:r>
    </w:p>
    <w:p w:rsidR="006224C2" w14:paraId="0B26F6A2"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carcinoma a cellule di Merkel (un tipo di cancro della pelle)</w:t>
      </w:r>
    </w:p>
    <w:p w:rsidR="003E6A38" w:rsidRPr="00985ADA" w:rsidP="009D4221" w14:paraId="70D06630" w14:textId="77777777">
      <w:pPr>
        <w:numPr>
          <w:ilvl w:val="0"/>
          <w:numId w:val="14"/>
        </w:numPr>
        <w:tabs>
          <w:tab w:val="num" w:pos="540"/>
          <w:tab w:val="left" w:pos="567"/>
          <w:tab w:val="left" w:pos="993"/>
        </w:tabs>
        <w:ind w:left="567" w:hanging="567"/>
        <w:jc w:val="both"/>
        <w:rPr>
          <w:sz w:val="22"/>
          <w:szCs w:val="22"/>
        </w:rPr>
      </w:pPr>
      <w:r w:rsidRPr="00C573CF">
        <w:rPr>
          <w:sz w:val="22"/>
          <w:szCs w:val="22"/>
        </w:rPr>
        <w:t>sarcoma di Kaposi, una forma rara di cancro correlato a infezione da Herpes virus umano 8.</w:t>
      </w:r>
      <w:r>
        <w:rPr>
          <w:sz w:val="22"/>
          <w:szCs w:val="22"/>
        </w:rPr>
        <w:t xml:space="preserve"> </w:t>
      </w:r>
      <w:r w:rsidRPr="00C573CF">
        <w:rPr>
          <w:sz w:val="22"/>
          <w:szCs w:val="22"/>
        </w:rPr>
        <w:t>Il</w:t>
      </w:r>
      <w:r>
        <w:rPr>
          <w:sz w:val="22"/>
          <w:szCs w:val="22"/>
        </w:rPr>
        <w:t xml:space="preserve"> </w:t>
      </w:r>
      <w:r w:rsidRPr="00C573CF">
        <w:rPr>
          <w:sz w:val="22"/>
          <w:szCs w:val="22"/>
        </w:rPr>
        <w:t>sarcoma di Kaposi si manifesta più comunemente con lesioni viola sulla pelle</w:t>
      </w:r>
    </w:p>
    <w:p w:rsidR="006224C2" w:rsidRPr="00295E71" w14:paraId="05ED33C4"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insufficienza epatica</w:t>
      </w:r>
    </w:p>
    <w:p w:rsidR="006224C2" w14:paraId="77E7ACDB" w14:textId="77777777">
      <w:pPr>
        <w:keepNext/>
        <w:numPr>
          <w:ilvl w:val="0"/>
          <w:numId w:val="14"/>
        </w:numPr>
        <w:tabs>
          <w:tab w:val="num" w:pos="540"/>
          <w:tab w:val="left" w:pos="567"/>
          <w:tab w:val="left" w:pos="993"/>
        </w:tabs>
        <w:ind w:left="567" w:hanging="567"/>
        <w:jc w:val="both"/>
        <w:rPr>
          <w:sz w:val="22"/>
          <w:szCs w:val="22"/>
        </w:rPr>
      </w:pPr>
      <w:r w:rsidRPr="00295E71">
        <w:rPr>
          <w:sz w:val="22"/>
          <w:szCs w:val="22"/>
        </w:rPr>
        <w:t>peggioramento di una condizione chiamata dermatomiosite (che si manifesta come eruzione cutanea accompagnata da debolezza muscolare)</w:t>
      </w:r>
    </w:p>
    <w:p w:rsidR="00A01AD4" w:rsidRPr="00295E71" w14:paraId="0DDF58C7" w14:textId="77777777">
      <w:pPr>
        <w:keepNext/>
        <w:numPr>
          <w:ilvl w:val="0"/>
          <w:numId w:val="14"/>
        </w:numPr>
        <w:tabs>
          <w:tab w:val="num" w:pos="540"/>
          <w:tab w:val="left" w:pos="567"/>
          <w:tab w:val="left" w:pos="993"/>
        </w:tabs>
        <w:ind w:left="567" w:hanging="567"/>
        <w:jc w:val="both"/>
        <w:rPr>
          <w:sz w:val="22"/>
          <w:szCs w:val="22"/>
        </w:rPr>
      </w:pPr>
      <w:r w:rsidRPr="00A01AD4">
        <w:rPr>
          <w:sz w:val="22"/>
          <w:szCs w:val="22"/>
        </w:rPr>
        <w:t>Aumento di peso (per la maggior parte dei pazienti l’aumento di peso è stato basso)</w:t>
      </w:r>
    </w:p>
    <w:p w:rsidR="006224C2" w:rsidRPr="00295E71" w14:paraId="4C5D90A6" w14:textId="77777777">
      <w:pPr>
        <w:pStyle w:val="EMEAFigureTitle"/>
        <w:tabs>
          <w:tab w:val="left" w:pos="993"/>
        </w:tabs>
        <w:suppressAutoHyphens w:val="0"/>
        <w:jc w:val="both"/>
        <w:rPr>
          <w:lang w:val="it-IT" w:eastAsia="it-IT"/>
        </w:rPr>
      </w:pPr>
    </w:p>
    <w:p w:rsidR="006224C2" w:rsidRPr="00295E71" w14:paraId="3C831FA6" w14:textId="77777777">
      <w:pPr>
        <w:rPr>
          <w:sz w:val="22"/>
          <w:szCs w:val="22"/>
        </w:rPr>
      </w:pPr>
      <w:r w:rsidRPr="00295E71">
        <w:rPr>
          <w:sz w:val="22"/>
          <w:szCs w:val="22"/>
        </w:rPr>
        <w:t>Alcuni degli effetti indesiderati osservati con Humira possono essere asintomatici e possono essere individuati solo attraverso gli esami del sangue.</w:t>
      </w:r>
    </w:p>
    <w:p w:rsidR="006224C2" w:rsidRPr="00295E71" w14:paraId="0D61FA00" w14:textId="77777777">
      <w:pPr>
        <w:tabs>
          <w:tab w:val="left" w:pos="567"/>
          <w:tab w:val="left" w:pos="993"/>
        </w:tabs>
        <w:jc w:val="both"/>
        <w:rPr>
          <w:sz w:val="22"/>
          <w:szCs w:val="22"/>
        </w:rPr>
      </w:pPr>
      <w:r w:rsidRPr="00295E71">
        <w:rPr>
          <w:sz w:val="22"/>
          <w:szCs w:val="22"/>
        </w:rPr>
        <w:t>Questi includono:</w:t>
      </w:r>
    </w:p>
    <w:p w:rsidR="006224C2" w:rsidRPr="00295E71" w14:paraId="02C08B8D" w14:textId="77777777">
      <w:pPr>
        <w:tabs>
          <w:tab w:val="left" w:pos="567"/>
          <w:tab w:val="left" w:pos="993"/>
        </w:tabs>
        <w:jc w:val="both"/>
        <w:rPr>
          <w:sz w:val="22"/>
          <w:szCs w:val="22"/>
        </w:rPr>
      </w:pPr>
    </w:p>
    <w:p w:rsidR="006224C2" w:rsidRPr="00295E71" w14:paraId="2FB64085" w14:textId="77777777">
      <w:pPr>
        <w:tabs>
          <w:tab w:val="left" w:pos="567"/>
          <w:tab w:val="left" w:pos="993"/>
        </w:tabs>
        <w:jc w:val="both"/>
        <w:rPr>
          <w:sz w:val="22"/>
          <w:szCs w:val="22"/>
        </w:rPr>
      </w:pPr>
      <w:r w:rsidRPr="00295E71">
        <w:rPr>
          <w:b/>
          <w:bCs/>
          <w:sz w:val="22"/>
          <w:szCs w:val="22"/>
        </w:rPr>
        <w:t>Molto comuni</w:t>
      </w:r>
      <w:r w:rsidRPr="00295E71">
        <w:rPr>
          <w:sz w:val="22"/>
          <w:szCs w:val="22"/>
        </w:rPr>
        <w:t xml:space="preserve"> (possono manifestarsi in più di 1 persona su 10)</w:t>
      </w:r>
    </w:p>
    <w:p w:rsidR="006224C2" w:rsidRPr="00295E71" w14:paraId="7DD5ECCE" w14:textId="77777777">
      <w:pPr>
        <w:tabs>
          <w:tab w:val="left" w:pos="567"/>
          <w:tab w:val="left" w:pos="993"/>
        </w:tabs>
        <w:jc w:val="both"/>
        <w:rPr>
          <w:sz w:val="22"/>
          <w:szCs w:val="22"/>
        </w:rPr>
      </w:pPr>
    </w:p>
    <w:p w:rsidR="006224C2" w:rsidRPr="00295E71" w14:paraId="12EA9E6A" w14:textId="77777777">
      <w:pPr>
        <w:numPr>
          <w:ilvl w:val="0"/>
          <w:numId w:val="14"/>
        </w:numPr>
        <w:tabs>
          <w:tab w:val="num" w:pos="540"/>
          <w:tab w:val="left" w:pos="567"/>
          <w:tab w:val="left" w:pos="993"/>
        </w:tabs>
        <w:ind w:left="567" w:hanging="567"/>
        <w:jc w:val="both"/>
        <w:rPr>
          <w:sz w:val="22"/>
          <w:szCs w:val="22"/>
        </w:rPr>
      </w:pPr>
      <w:r w:rsidRPr="00295E71">
        <w:rPr>
          <w:sz w:val="22"/>
          <w:szCs w:val="22"/>
        </w:rPr>
        <w:t>bassa conta dei globuli bianchi</w:t>
      </w:r>
    </w:p>
    <w:p w:rsidR="006224C2" w:rsidRPr="00295E71" w14:paraId="4DCBFA7C" w14:textId="77777777">
      <w:pPr>
        <w:numPr>
          <w:ilvl w:val="0"/>
          <w:numId w:val="14"/>
        </w:numPr>
        <w:tabs>
          <w:tab w:val="num" w:pos="540"/>
          <w:tab w:val="left" w:pos="567"/>
          <w:tab w:val="left" w:pos="993"/>
        </w:tabs>
        <w:ind w:left="567" w:hanging="567"/>
        <w:jc w:val="both"/>
        <w:rPr>
          <w:sz w:val="22"/>
          <w:szCs w:val="22"/>
        </w:rPr>
      </w:pPr>
      <w:r w:rsidRPr="00295E71">
        <w:rPr>
          <w:sz w:val="22"/>
          <w:szCs w:val="22"/>
        </w:rPr>
        <w:t>bassa conta dei globuli rossi</w:t>
      </w:r>
    </w:p>
    <w:p w:rsidR="006224C2" w:rsidRPr="00295E71" w14:paraId="255546CF"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dei lipidi nel sangue</w:t>
      </w:r>
    </w:p>
    <w:p w:rsidR="006224C2" w:rsidRPr="00295E71" w14:paraId="538A2BEB"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degli enzimi epatici</w:t>
      </w:r>
    </w:p>
    <w:p w:rsidR="006224C2" w:rsidRPr="00295E71" w14:paraId="76C3C377" w14:textId="77777777">
      <w:pPr>
        <w:tabs>
          <w:tab w:val="left" w:pos="567"/>
          <w:tab w:val="left" w:pos="993"/>
        </w:tabs>
        <w:jc w:val="both"/>
        <w:rPr>
          <w:sz w:val="22"/>
          <w:szCs w:val="22"/>
        </w:rPr>
      </w:pPr>
    </w:p>
    <w:p w:rsidR="006224C2" w:rsidRPr="00295E71" w14:paraId="4F2E980D" w14:textId="77777777">
      <w:pPr>
        <w:pStyle w:val="EMEAFigureTitle"/>
        <w:tabs>
          <w:tab w:val="left" w:pos="993"/>
        </w:tabs>
        <w:suppressAutoHyphens w:val="0"/>
        <w:jc w:val="both"/>
        <w:rPr>
          <w:lang w:val="it-IT" w:eastAsia="it-IT"/>
        </w:rPr>
      </w:pPr>
      <w:r w:rsidRPr="00295E71">
        <w:rPr>
          <w:b/>
          <w:bCs/>
          <w:lang w:val="it-IT" w:eastAsia="it-IT"/>
        </w:rPr>
        <w:t>Comuni</w:t>
      </w:r>
      <w:r w:rsidRPr="00295E71">
        <w:rPr>
          <w:lang w:val="it-IT" w:eastAsia="it-IT"/>
        </w:rPr>
        <w:t xml:space="preserve"> (possono manifestarsi fino a 1 persona su 10)</w:t>
      </w:r>
    </w:p>
    <w:p w:rsidR="006224C2" w:rsidRPr="00295E71" w14:paraId="498C133F" w14:textId="77777777">
      <w:pPr>
        <w:pStyle w:val="EMEANormal"/>
        <w:jc w:val="both"/>
        <w:rPr>
          <w:lang w:val="it-IT" w:eastAsia="it-IT"/>
        </w:rPr>
      </w:pPr>
    </w:p>
    <w:p w:rsidR="006224C2" w:rsidRPr="00295E71" w14:paraId="1DCB40A4"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conta dei globuli bianchi</w:t>
      </w:r>
    </w:p>
    <w:p w:rsidR="006224C2" w:rsidRPr="00295E71" w14:paraId="197B8482"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della conta delle piastrine</w:t>
      </w:r>
    </w:p>
    <w:p w:rsidR="006224C2" w:rsidRPr="00295E71" w14:paraId="32973A28"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dell’acido urico nel sangue</w:t>
      </w:r>
    </w:p>
    <w:p w:rsidR="006224C2" w:rsidRPr="00295E71" w14:paraId="6E9EDC95" w14:textId="77777777">
      <w:pPr>
        <w:numPr>
          <w:ilvl w:val="0"/>
          <w:numId w:val="14"/>
        </w:numPr>
        <w:tabs>
          <w:tab w:val="num" w:pos="540"/>
          <w:tab w:val="left" w:pos="567"/>
          <w:tab w:val="left" w:pos="993"/>
        </w:tabs>
        <w:ind w:left="567" w:hanging="567"/>
        <w:jc w:val="both"/>
        <w:rPr>
          <w:sz w:val="22"/>
          <w:szCs w:val="22"/>
        </w:rPr>
      </w:pPr>
      <w:r w:rsidRPr="00295E71">
        <w:rPr>
          <w:sz w:val="22"/>
          <w:szCs w:val="22"/>
        </w:rPr>
        <w:t>alterazione del sodio nel sangue</w:t>
      </w:r>
    </w:p>
    <w:p w:rsidR="006224C2" w:rsidRPr="00295E71" w14:paraId="5F8127FA"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calcio nel sangue</w:t>
      </w:r>
    </w:p>
    <w:p w:rsidR="006224C2" w:rsidRPr="00295E71" w14:paraId="78E798BA"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fosforo nel sangue</w:t>
      </w:r>
    </w:p>
    <w:p w:rsidR="006224C2" w:rsidRPr="00295E71" w14:paraId="67DB21E3"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dello zucchero nel sangue</w:t>
      </w:r>
    </w:p>
    <w:p w:rsidR="006224C2" w:rsidRPr="00295E71" w14:paraId="5CAFE74A" w14:textId="77777777">
      <w:pPr>
        <w:numPr>
          <w:ilvl w:val="0"/>
          <w:numId w:val="14"/>
        </w:numPr>
        <w:tabs>
          <w:tab w:val="num" w:pos="540"/>
          <w:tab w:val="left" w:pos="567"/>
          <w:tab w:val="left" w:pos="993"/>
        </w:tabs>
        <w:ind w:left="567" w:hanging="567"/>
        <w:jc w:val="both"/>
        <w:rPr>
          <w:sz w:val="22"/>
          <w:szCs w:val="22"/>
        </w:rPr>
      </w:pPr>
      <w:r w:rsidRPr="00295E71">
        <w:rPr>
          <w:sz w:val="22"/>
          <w:szCs w:val="22"/>
        </w:rPr>
        <w:t>aumento della lattatodeidrogenasi nel sangue</w:t>
      </w:r>
    </w:p>
    <w:p w:rsidR="006224C2" w:rsidRPr="00295E71" w14:paraId="6348FC50" w14:textId="77777777">
      <w:pPr>
        <w:numPr>
          <w:ilvl w:val="0"/>
          <w:numId w:val="14"/>
        </w:numPr>
        <w:tabs>
          <w:tab w:val="num" w:pos="540"/>
          <w:tab w:val="left" w:pos="567"/>
          <w:tab w:val="left" w:pos="993"/>
        </w:tabs>
        <w:ind w:left="567" w:hanging="567"/>
        <w:jc w:val="both"/>
        <w:rPr>
          <w:sz w:val="22"/>
          <w:szCs w:val="22"/>
        </w:rPr>
      </w:pPr>
      <w:r w:rsidRPr="00295E71">
        <w:rPr>
          <w:sz w:val="22"/>
          <w:szCs w:val="22"/>
        </w:rPr>
        <w:t>presenza di autoanticorpi nel sangue</w:t>
      </w:r>
    </w:p>
    <w:p w:rsidR="0088145A" w:rsidRPr="00295E71" w14:paraId="020481A0" w14:textId="77777777">
      <w:pPr>
        <w:numPr>
          <w:ilvl w:val="0"/>
          <w:numId w:val="14"/>
        </w:numPr>
        <w:tabs>
          <w:tab w:val="num" w:pos="540"/>
          <w:tab w:val="left" w:pos="567"/>
          <w:tab w:val="left" w:pos="993"/>
        </w:tabs>
        <w:ind w:left="567" w:hanging="567"/>
        <w:jc w:val="both"/>
        <w:rPr>
          <w:sz w:val="22"/>
          <w:szCs w:val="22"/>
        </w:rPr>
      </w:pPr>
      <w:r w:rsidRPr="00295E71">
        <w:rPr>
          <w:sz w:val="22"/>
          <w:szCs w:val="22"/>
        </w:rPr>
        <w:t>riduzione del potassio nel sangue</w:t>
      </w:r>
    </w:p>
    <w:p w:rsidR="006224C2" w:rsidRPr="00295E71" w14:paraId="01ED9492" w14:textId="77777777">
      <w:pPr>
        <w:tabs>
          <w:tab w:val="left" w:pos="567"/>
          <w:tab w:val="left" w:pos="993"/>
        </w:tabs>
        <w:jc w:val="both"/>
        <w:rPr>
          <w:sz w:val="22"/>
          <w:szCs w:val="22"/>
        </w:rPr>
      </w:pPr>
    </w:p>
    <w:p w:rsidR="0088145A" w:rsidRPr="00295E71" w:rsidP="0088145A" w14:paraId="1269566C" w14:textId="77777777">
      <w:pPr>
        <w:tabs>
          <w:tab w:val="left" w:pos="567"/>
          <w:tab w:val="left" w:pos="993"/>
        </w:tabs>
        <w:jc w:val="both"/>
        <w:rPr>
          <w:sz w:val="22"/>
          <w:szCs w:val="22"/>
        </w:rPr>
      </w:pPr>
      <w:r w:rsidRPr="00295E71">
        <w:rPr>
          <w:b/>
          <w:sz w:val="22"/>
          <w:szCs w:val="22"/>
        </w:rPr>
        <w:t>Non comuni</w:t>
      </w:r>
      <w:r w:rsidRPr="00295E71">
        <w:rPr>
          <w:sz w:val="22"/>
          <w:szCs w:val="22"/>
        </w:rPr>
        <w:t xml:space="preserve"> (possono manifestarsi fino a 1 persona su 100)</w:t>
      </w:r>
    </w:p>
    <w:p w:rsidR="0088145A" w:rsidRPr="00295E71" w:rsidP="0088145A" w14:paraId="6E252C3E" w14:textId="77777777">
      <w:pPr>
        <w:tabs>
          <w:tab w:val="left" w:pos="567"/>
          <w:tab w:val="left" w:pos="993"/>
        </w:tabs>
        <w:jc w:val="both"/>
        <w:rPr>
          <w:sz w:val="22"/>
          <w:szCs w:val="22"/>
        </w:rPr>
      </w:pPr>
    </w:p>
    <w:p w:rsidR="0088145A" w:rsidRPr="00295E71" w:rsidP="00FB547E" w14:paraId="231F35E3" w14:textId="77777777">
      <w:pPr>
        <w:pStyle w:val="ListParagraph"/>
        <w:numPr>
          <w:ilvl w:val="0"/>
          <w:numId w:val="134"/>
        </w:numPr>
        <w:ind w:left="567" w:hanging="539"/>
        <w:jc w:val="both"/>
        <w:rPr>
          <w:sz w:val="22"/>
          <w:szCs w:val="22"/>
        </w:rPr>
      </w:pPr>
      <w:r w:rsidRPr="00295E71">
        <w:rPr>
          <w:sz w:val="22"/>
          <w:szCs w:val="22"/>
        </w:rPr>
        <w:t>livelli elevati di bilirubina nel sangue (esame epatico del sangue)</w:t>
      </w:r>
    </w:p>
    <w:p w:rsidR="0088145A" w:rsidRPr="00295E71" w14:paraId="7F63145C" w14:textId="77777777">
      <w:pPr>
        <w:pStyle w:val="EMEAFigureTitle"/>
        <w:tabs>
          <w:tab w:val="left" w:pos="993"/>
        </w:tabs>
        <w:suppressAutoHyphens w:val="0"/>
        <w:jc w:val="both"/>
        <w:rPr>
          <w:b/>
          <w:bCs/>
          <w:lang w:val="it-IT" w:eastAsia="it-IT"/>
        </w:rPr>
      </w:pPr>
    </w:p>
    <w:p w:rsidR="006224C2" w:rsidRPr="00295E71" w14:paraId="171117E4" w14:textId="77777777">
      <w:pPr>
        <w:pStyle w:val="EMEAFigureTitle"/>
        <w:tabs>
          <w:tab w:val="left" w:pos="993"/>
        </w:tabs>
        <w:suppressAutoHyphens w:val="0"/>
        <w:jc w:val="both"/>
        <w:rPr>
          <w:lang w:val="it-IT" w:eastAsia="it-IT"/>
        </w:rPr>
      </w:pPr>
      <w:r w:rsidRPr="00295E71">
        <w:rPr>
          <w:b/>
          <w:bCs/>
          <w:lang w:val="it-IT" w:eastAsia="it-IT"/>
        </w:rPr>
        <w:t>Rari</w:t>
      </w:r>
      <w:r w:rsidRPr="00295E71">
        <w:rPr>
          <w:lang w:val="it-IT" w:eastAsia="it-IT"/>
        </w:rPr>
        <w:t xml:space="preserve"> (possono manifestarsi fino a 1 persona su 1.000)</w:t>
      </w:r>
    </w:p>
    <w:p w:rsidR="006224C2" w:rsidRPr="00295E71" w14:paraId="05CE5315" w14:textId="77777777">
      <w:pPr>
        <w:pStyle w:val="EMEANormal"/>
        <w:jc w:val="both"/>
        <w:rPr>
          <w:lang w:val="it-IT" w:eastAsia="it-IT"/>
        </w:rPr>
      </w:pPr>
    </w:p>
    <w:p w:rsidR="006224C2" w:rsidRPr="00295E71" w14:paraId="57560A85" w14:textId="77777777">
      <w:pPr>
        <w:numPr>
          <w:ilvl w:val="0"/>
          <w:numId w:val="14"/>
        </w:numPr>
        <w:tabs>
          <w:tab w:val="num" w:pos="540"/>
          <w:tab w:val="left" w:pos="567"/>
          <w:tab w:val="left" w:pos="993"/>
        </w:tabs>
        <w:ind w:left="567" w:hanging="567"/>
        <w:jc w:val="both"/>
        <w:rPr>
          <w:sz w:val="22"/>
          <w:szCs w:val="22"/>
        </w:rPr>
      </w:pPr>
      <w:r w:rsidRPr="00295E71">
        <w:rPr>
          <w:sz w:val="22"/>
          <w:szCs w:val="22"/>
        </w:rPr>
        <w:t>bassa conta dei globuli bianchi, dei globuli rossi e delle piastrine</w:t>
      </w:r>
    </w:p>
    <w:p w:rsidR="006224C2" w:rsidRPr="00295E71" w14:paraId="1ADE6B82" w14:textId="77777777">
      <w:pPr>
        <w:tabs>
          <w:tab w:val="left" w:pos="567"/>
          <w:tab w:val="left" w:pos="993"/>
        </w:tabs>
        <w:jc w:val="both"/>
        <w:rPr>
          <w:sz w:val="22"/>
          <w:szCs w:val="22"/>
        </w:rPr>
      </w:pPr>
    </w:p>
    <w:p w:rsidR="006224C2" w:rsidRPr="00295E71" w:rsidP="00DD14E3" w14:paraId="61CF0FE0" w14:textId="77777777">
      <w:pPr>
        <w:keepNext/>
        <w:keepLines/>
        <w:numPr>
          <w:ilvl w:val="12"/>
          <w:numId w:val="0"/>
        </w:numPr>
        <w:tabs>
          <w:tab w:val="left" w:pos="567"/>
        </w:tabs>
        <w:jc w:val="both"/>
        <w:rPr>
          <w:b/>
          <w:sz w:val="22"/>
          <w:szCs w:val="22"/>
        </w:rPr>
      </w:pPr>
      <w:r w:rsidRPr="00295E71">
        <w:rPr>
          <w:b/>
          <w:sz w:val="22"/>
          <w:szCs w:val="22"/>
        </w:rPr>
        <w:t>Segnalazione degli effetti indesiderati</w:t>
      </w:r>
    </w:p>
    <w:p w:rsidR="006224C2" w:rsidRPr="00295E71" w:rsidP="00DD14E3" w14:paraId="5FA0E04F" w14:textId="77777777">
      <w:pPr>
        <w:keepNext/>
        <w:keepLines/>
        <w:numPr>
          <w:ilvl w:val="12"/>
          <w:numId w:val="0"/>
        </w:numPr>
        <w:tabs>
          <w:tab w:val="left" w:pos="567"/>
        </w:tabs>
        <w:jc w:val="both"/>
        <w:rPr>
          <w:sz w:val="22"/>
          <w:szCs w:val="22"/>
        </w:rPr>
      </w:pPr>
      <w:r w:rsidRPr="00295E71">
        <w:rPr>
          <w:sz w:val="22"/>
          <w:szCs w:val="22"/>
        </w:rPr>
        <w:t xml:space="preserve">Se manifesta un qualsiasi effetto indesiderato, compresi quelli non elencati in questo foglio, si rivolga al medico o al farmacista. Può inoltre segnalare gli effetti indesiderati direttamente tramite il </w:t>
      </w:r>
      <w:r w:rsidRPr="00295E71">
        <w:rPr>
          <w:sz w:val="22"/>
          <w:szCs w:val="22"/>
          <w:highlight w:val="lightGray"/>
        </w:rPr>
        <w:t>sistema nazionale di segnalazione riportato nell’</w:t>
      </w:r>
      <w:hyperlink r:id="rId83" w:history="1">
        <w:r w:rsidRPr="00295E71">
          <w:rPr>
            <w:rStyle w:val="Hyperlink"/>
            <w:sz w:val="22"/>
            <w:szCs w:val="22"/>
            <w:highlight w:val="lightGray"/>
          </w:rPr>
          <w:t>allegato V</w:t>
        </w:r>
      </w:hyperlink>
      <w:r w:rsidRPr="00295E71">
        <w:rPr>
          <w:sz w:val="22"/>
          <w:szCs w:val="22"/>
          <w:highlight w:val="lightGray"/>
        </w:rPr>
        <w:t>.</w:t>
      </w:r>
      <w:r w:rsidRPr="00295E71">
        <w:rPr>
          <w:sz w:val="22"/>
          <w:szCs w:val="22"/>
        </w:rPr>
        <w:t xml:space="preserve"> Segnalando gli effetti indesiderati può contribuire a fornire maggiori informazioni sulla sicurezza di questo medicinale.</w:t>
      </w:r>
    </w:p>
    <w:p w:rsidR="006224C2" w:rsidRPr="00295E71" w14:paraId="39CA3208" w14:textId="77777777">
      <w:pPr>
        <w:numPr>
          <w:ilvl w:val="12"/>
          <w:numId w:val="0"/>
        </w:numPr>
        <w:tabs>
          <w:tab w:val="left" w:pos="567"/>
        </w:tabs>
        <w:ind w:right="-2"/>
        <w:jc w:val="both"/>
        <w:rPr>
          <w:sz w:val="22"/>
          <w:szCs w:val="22"/>
        </w:rPr>
      </w:pPr>
    </w:p>
    <w:p w:rsidR="006224C2" w:rsidRPr="00295E71" w14:paraId="1CEE3600" w14:textId="77777777">
      <w:pPr>
        <w:numPr>
          <w:ilvl w:val="12"/>
          <w:numId w:val="0"/>
        </w:numPr>
        <w:tabs>
          <w:tab w:val="left" w:pos="567"/>
        </w:tabs>
        <w:ind w:right="-2"/>
        <w:jc w:val="both"/>
        <w:rPr>
          <w:sz w:val="22"/>
          <w:szCs w:val="22"/>
        </w:rPr>
      </w:pPr>
    </w:p>
    <w:p w:rsidR="006224C2" w:rsidRPr="00295E71" w14:paraId="799A5059" w14:textId="77777777">
      <w:pPr>
        <w:numPr>
          <w:ilvl w:val="12"/>
          <w:numId w:val="0"/>
        </w:numPr>
        <w:tabs>
          <w:tab w:val="left" w:pos="567"/>
        </w:tabs>
        <w:ind w:left="567" w:right="-2" w:hanging="567"/>
        <w:jc w:val="both"/>
        <w:rPr>
          <w:b/>
          <w:bCs/>
          <w:sz w:val="22"/>
          <w:szCs w:val="22"/>
        </w:rPr>
      </w:pPr>
      <w:r w:rsidRPr="00295E71">
        <w:rPr>
          <w:b/>
          <w:bCs/>
          <w:sz w:val="22"/>
          <w:szCs w:val="22"/>
        </w:rPr>
        <w:t>5.</w:t>
      </w:r>
      <w:r w:rsidRPr="00295E71">
        <w:rPr>
          <w:b/>
          <w:bCs/>
          <w:sz w:val="22"/>
          <w:szCs w:val="22"/>
        </w:rPr>
        <w:tab/>
        <w:t>Come conservare Humira</w:t>
      </w:r>
    </w:p>
    <w:p w:rsidR="006224C2" w:rsidRPr="00295E71" w14:paraId="300968EF" w14:textId="77777777">
      <w:pPr>
        <w:numPr>
          <w:ilvl w:val="12"/>
          <w:numId w:val="0"/>
        </w:numPr>
        <w:tabs>
          <w:tab w:val="left" w:pos="567"/>
        </w:tabs>
        <w:ind w:right="-2"/>
        <w:jc w:val="both"/>
        <w:rPr>
          <w:sz w:val="22"/>
          <w:szCs w:val="22"/>
        </w:rPr>
      </w:pPr>
    </w:p>
    <w:p w:rsidR="006224C2" w:rsidRPr="00295E71" w14:paraId="740B6360" w14:textId="77777777">
      <w:pPr>
        <w:numPr>
          <w:ilvl w:val="12"/>
          <w:numId w:val="0"/>
        </w:numPr>
        <w:tabs>
          <w:tab w:val="left" w:pos="567"/>
        </w:tabs>
        <w:ind w:right="-2"/>
        <w:jc w:val="both"/>
        <w:rPr>
          <w:sz w:val="22"/>
          <w:szCs w:val="22"/>
        </w:rPr>
      </w:pPr>
      <w:r w:rsidRPr="00295E71">
        <w:rPr>
          <w:sz w:val="22"/>
          <w:szCs w:val="22"/>
        </w:rPr>
        <w:t>Conservi questo medicinale fuori dalla vista e dalla portata dei bambini.</w:t>
      </w:r>
    </w:p>
    <w:p w:rsidR="006224C2" w:rsidRPr="00295E71" w14:paraId="73F04FCF" w14:textId="77777777">
      <w:pPr>
        <w:numPr>
          <w:ilvl w:val="12"/>
          <w:numId w:val="0"/>
        </w:numPr>
        <w:tabs>
          <w:tab w:val="left" w:pos="567"/>
        </w:tabs>
        <w:ind w:right="-2"/>
        <w:jc w:val="both"/>
        <w:rPr>
          <w:sz w:val="22"/>
          <w:szCs w:val="22"/>
        </w:rPr>
      </w:pPr>
    </w:p>
    <w:p w:rsidR="006224C2" w:rsidRPr="00295E71" w14:paraId="6532B4CE" w14:textId="77777777">
      <w:pPr>
        <w:numPr>
          <w:ilvl w:val="12"/>
          <w:numId w:val="0"/>
        </w:numPr>
        <w:tabs>
          <w:tab w:val="left" w:pos="567"/>
        </w:tabs>
        <w:ind w:right="-2"/>
        <w:jc w:val="both"/>
        <w:rPr>
          <w:sz w:val="22"/>
          <w:szCs w:val="22"/>
        </w:rPr>
      </w:pPr>
      <w:r w:rsidRPr="00295E71">
        <w:rPr>
          <w:sz w:val="22"/>
          <w:szCs w:val="22"/>
        </w:rPr>
        <w:t xml:space="preserve">Non usi questo medicinale dopo la data di scadenza che è riportata sull’etichetta/blister/scatola dopo la scritta Scad. </w:t>
      </w:r>
    </w:p>
    <w:p w:rsidR="006224C2" w:rsidRPr="00295E71" w14:paraId="654F1F5F" w14:textId="77777777">
      <w:pPr>
        <w:numPr>
          <w:ilvl w:val="12"/>
          <w:numId w:val="0"/>
        </w:numPr>
        <w:tabs>
          <w:tab w:val="left" w:pos="567"/>
        </w:tabs>
        <w:ind w:right="-2"/>
        <w:jc w:val="both"/>
        <w:rPr>
          <w:sz w:val="22"/>
          <w:szCs w:val="22"/>
        </w:rPr>
      </w:pPr>
    </w:p>
    <w:p w:rsidR="006224C2" w:rsidRPr="00295E71" w14:paraId="277365DE" w14:textId="77777777">
      <w:pPr>
        <w:numPr>
          <w:ilvl w:val="12"/>
          <w:numId w:val="0"/>
        </w:numPr>
        <w:tabs>
          <w:tab w:val="left" w:pos="567"/>
        </w:tabs>
        <w:ind w:right="-2"/>
        <w:jc w:val="both"/>
        <w:rPr>
          <w:sz w:val="22"/>
          <w:szCs w:val="22"/>
        </w:rPr>
      </w:pPr>
      <w:r w:rsidRPr="00295E71">
        <w:rPr>
          <w:sz w:val="22"/>
          <w:szCs w:val="22"/>
        </w:rPr>
        <w:t>Conservare in frigorifero (2</w:t>
      </w:r>
      <w:r w:rsidRPr="00295E71">
        <w:rPr>
          <w:rFonts w:ascii="Symbol" w:hAnsi="Symbol"/>
          <w:sz w:val="22"/>
          <w:szCs w:val="22"/>
        </w:rPr>
        <w:sym w:font="Symbol" w:char="F0B0"/>
      </w:r>
      <w:r w:rsidRPr="00295E71">
        <w:rPr>
          <w:sz w:val="22"/>
          <w:szCs w:val="22"/>
        </w:rPr>
        <w:t>C – 8</w:t>
      </w:r>
      <w:r w:rsidRPr="00295E71">
        <w:rPr>
          <w:rFonts w:ascii="Symbol" w:hAnsi="Symbol"/>
          <w:sz w:val="22"/>
          <w:szCs w:val="22"/>
        </w:rPr>
        <w:sym w:font="Symbol" w:char="F0B0"/>
      </w:r>
      <w:r w:rsidRPr="00295E71">
        <w:rPr>
          <w:sz w:val="22"/>
          <w:szCs w:val="22"/>
        </w:rPr>
        <w:t xml:space="preserve">C). Non congelare. </w:t>
      </w:r>
    </w:p>
    <w:p w:rsidR="006224C2" w:rsidRPr="00295E71" w14:paraId="1117ADC6" w14:textId="77777777">
      <w:pPr>
        <w:numPr>
          <w:ilvl w:val="12"/>
          <w:numId w:val="0"/>
        </w:numPr>
        <w:tabs>
          <w:tab w:val="left" w:pos="567"/>
        </w:tabs>
        <w:ind w:right="-2"/>
        <w:jc w:val="both"/>
        <w:rPr>
          <w:sz w:val="22"/>
          <w:szCs w:val="22"/>
        </w:rPr>
      </w:pPr>
    </w:p>
    <w:p w:rsidR="006224C2" w:rsidRPr="00295E71" w14:paraId="54723A47" w14:textId="77777777">
      <w:pPr>
        <w:numPr>
          <w:ilvl w:val="12"/>
          <w:numId w:val="0"/>
        </w:numPr>
        <w:tabs>
          <w:tab w:val="left" w:pos="567"/>
        </w:tabs>
        <w:ind w:right="-2"/>
        <w:jc w:val="both"/>
        <w:rPr>
          <w:sz w:val="22"/>
          <w:szCs w:val="22"/>
        </w:rPr>
      </w:pPr>
      <w:r w:rsidRPr="00295E71">
        <w:rPr>
          <w:sz w:val="22"/>
          <w:szCs w:val="22"/>
        </w:rPr>
        <w:t>Tenere</w:t>
      </w:r>
      <w:r w:rsidRPr="00295E71" w:rsidR="00226BC4">
        <w:rPr>
          <w:sz w:val="22"/>
          <w:szCs w:val="22"/>
        </w:rPr>
        <w:t xml:space="preserve"> la penna</w:t>
      </w:r>
      <w:r w:rsidRPr="00295E71" w:rsidR="00585A90">
        <w:rPr>
          <w:sz w:val="22"/>
          <w:szCs w:val="22"/>
        </w:rPr>
        <w:t xml:space="preserve"> </w:t>
      </w:r>
      <w:r w:rsidRPr="00295E71" w:rsidR="00226BC4">
        <w:rPr>
          <w:sz w:val="22"/>
          <w:szCs w:val="22"/>
        </w:rPr>
        <w:t>pre-riempita nell’</w:t>
      </w:r>
      <w:r w:rsidRPr="00295E71">
        <w:t>imballaggio esterno</w:t>
      </w:r>
      <w:r w:rsidRPr="00295E71" w:rsidR="00226BC4">
        <w:rPr>
          <w:sz w:val="22"/>
          <w:szCs w:val="22"/>
        </w:rPr>
        <w:t xml:space="preserve"> per proteggere il medicinale dalla luce.</w:t>
      </w:r>
    </w:p>
    <w:p w:rsidR="006224C2" w:rsidRPr="00295E71" w14:paraId="3D329C38" w14:textId="77777777">
      <w:pPr>
        <w:numPr>
          <w:ilvl w:val="12"/>
          <w:numId w:val="0"/>
        </w:numPr>
        <w:tabs>
          <w:tab w:val="left" w:pos="567"/>
        </w:tabs>
        <w:ind w:right="-2"/>
        <w:jc w:val="both"/>
        <w:rPr>
          <w:sz w:val="22"/>
          <w:szCs w:val="22"/>
        </w:rPr>
      </w:pPr>
    </w:p>
    <w:p w:rsidR="006224C2" w:rsidRPr="00295E71" w14:paraId="599FF5CC" w14:textId="77777777">
      <w:pPr>
        <w:numPr>
          <w:ilvl w:val="12"/>
          <w:numId w:val="0"/>
        </w:numPr>
        <w:tabs>
          <w:tab w:val="left" w:pos="567"/>
        </w:tabs>
        <w:ind w:right="-2"/>
        <w:jc w:val="both"/>
        <w:rPr>
          <w:sz w:val="22"/>
          <w:szCs w:val="22"/>
        </w:rPr>
      </w:pPr>
      <w:r w:rsidRPr="00295E71">
        <w:rPr>
          <w:sz w:val="22"/>
          <w:szCs w:val="22"/>
        </w:rPr>
        <w:t>Condizioni di conservazione alternative:</w:t>
      </w:r>
    </w:p>
    <w:p w:rsidR="006224C2" w:rsidRPr="00295E71" w14:paraId="68A56AB3" w14:textId="77777777">
      <w:pPr>
        <w:numPr>
          <w:ilvl w:val="12"/>
          <w:numId w:val="0"/>
        </w:numPr>
        <w:tabs>
          <w:tab w:val="left" w:pos="567"/>
        </w:tabs>
        <w:ind w:right="-2"/>
        <w:jc w:val="both"/>
        <w:rPr>
          <w:sz w:val="22"/>
          <w:szCs w:val="22"/>
        </w:rPr>
      </w:pPr>
    </w:p>
    <w:p w:rsidR="006224C2" w:rsidRPr="00295E71" w14:paraId="2CFB3BD5" w14:textId="77777777">
      <w:pPr>
        <w:numPr>
          <w:ilvl w:val="12"/>
          <w:numId w:val="0"/>
        </w:numPr>
        <w:tabs>
          <w:tab w:val="left" w:pos="567"/>
        </w:tabs>
        <w:ind w:right="-2"/>
        <w:jc w:val="both"/>
        <w:rPr>
          <w:sz w:val="22"/>
          <w:szCs w:val="22"/>
        </w:rPr>
      </w:pPr>
      <w:r w:rsidRPr="00295E71">
        <w:rPr>
          <w:sz w:val="22"/>
          <w:szCs w:val="22"/>
        </w:rPr>
        <w:t>Quando necessario (per esempio quando viaggia) una singola penna</w:t>
      </w:r>
      <w:r w:rsidRPr="00295E71" w:rsidR="00F942E5">
        <w:rPr>
          <w:sz w:val="22"/>
          <w:szCs w:val="22"/>
        </w:rPr>
        <w:t xml:space="preserve"> </w:t>
      </w:r>
      <w:r w:rsidRPr="00295E71">
        <w:rPr>
          <w:sz w:val="22"/>
          <w:szCs w:val="22"/>
        </w:rPr>
        <w:t>pre-riempita può essere conservata a temperatura ambiente (fino a 25°C) per un periodo massimo di 14 giorni – assicurarsi di proteggere il medicinale dalla luce. Una volta che viene rimossa dal frigorifero per essere conservata a temperatura ambiente, la penna</w:t>
      </w:r>
      <w:r w:rsidRPr="00295E71" w:rsidR="00F942E5">
        <w:rPr>
          <w:sz w:val="22"/>
          <w:szCs w:val="22"/>
        </w:rPr>
        <w:t xml:space="preserve"> </w:t>
      </w:r>
      <w:r w:rsidRPr="00295E71">
        <w:rPr>
          <w:b/>
          <w:sz w:val="22"/>
          <w:szCs w:val="22"/>
        </w:rPr>
        <w:t>deve essere usata entro 14 giorni o buttata via</w:t>
      </w:r>
      <w:r w:rsidRPr="00295E71">
        <w:rPr>
          <w:sz w:val="22"/>
          <w:szCs w:val="22"/>
        </w:rPr>
        <w:t>, anche se viene posta di nuovo nel frigorifero.</w:t>
      </w:r>
    </w:p>
    <w:p w:rsidR="006224C2" w:rsidRPr="00295E71" w14:paraId="3D3315F3" w14:textId="77777777">
      <w:pPr>
        <w:numPr>
          <w:ilvl w:val="12"/>
          <w:numId w:val="0"/>
        </w:numPr>
        <w:tabs>
          <w:tab w:val="left" w:pos="567"/>
        </w:tabs>
        <w:ind w:right="-2"/>
        <w:jc w:val="both"/>
        <w:rPr>
          <w:sz w:val="22"/>
          <w:szCs w:val="22"/>
        </w:rPr>
      </w:pPr>
    </w:p>
    <w:p w:rsidR="006224C2" w:rsidRPr="00295E71" w14:paraId="6BDDCE43" w14:textId="77777777">
      <w:pPr>
        <w:numPr>
          <w:ilvl w:val="12"/>
          <w:numId w:val="0"/>
        </w:numPr>
        <w:tabs>
          <w:tab w:val="left" w:pos="567"/>
        </w:tabs>
        <w:ind w:right="-2"/>
        <w:jc w:val="both"/>
        <w:rPr>
          <w:sz w:val="22"/>
          <w:szCs w:val="22"/>
        </w:rPr>
      </w:pPr>
      <w:r w:rsidRPr="00295E71">
        <w:rPr>
          <w:sz w:val="22"/>
          <w:szCs w:val="22"/>
        </w:rPr>
        <w:t xml:space="preserve">Deve registrare la data in cui la penna viene tolta dal frigorifero la prima volta e la data dopo la quale la penna deve essere buttata via. </w:t>
      </w:r>
    </w:p>
    <w:p w:rsidR="006224C2" w:rsidRPr="00295E71" w14:paraId="373EC904" w14:textId="77777777">
      <w:pPr>
        <w:numPr>
          <w:ilvl w:val="12"/>
          <w:numId w:val="0"/>
        </w:numPr>
        <w:tabs>
          <w:tab w:val="left" w:pos="567"/>
        </w:tabs>
        <w:ind w:right="-2"/>
        <w:jc w:val="both"/>
        <w:rPr>
          <w:sz w:val="22"/>
          <w:szCs w:val="22"/>
        </w:rPr>
      </w:pPr>
    </w:p>
    <w:p w:rsidR="006224C2" w:rsidRPr="00295E71" w14:paraId="7EB26ED9" w14:textId="77777777">
      <w:pPr>
        <w:suppressAutoHyphens/>
        <w:jc w:val="both"/>
        <w:rPr>
          <w:sz w:val="22"/>
          <w:szCs w:val="22"/>
        </w:rPr>
      </w:pPr>
      <w:r w:rsidRPr="00295E71">
        <w:rPr>
          <w:sz w:val="22"/>
          <w:szCs w:val="22"/>
        </w:rPr>
        <w:t xml:space="preserve">Non getti alcun medicinale nell’acqua di scarico e nei rifiuti domestici. Chieda al medico o al farmacista come eliminare i medicinali che non utilizza più. Questo aiuterà a proteggere l’ambiente. </w:t>
      </w:r>
    </w:p>
    <w:p w:rsidR="006224C2" w:rsidRPr="00295E71" w14:paraId="1E537737" w14:textId="77777777">
      <w:pPr>
        <w:numPr>
          <w:ilvl w:val="12"/>
          <w:numId w:val="0"/>
        </w:numPr>
        <w:tabs>
          <w:tab w:val="left" w:pos="567"/>
        </w:tabs>
        <w:ind w:right="-2"/>
        <w:jc w:val="both"/>
        <w:rPr>
          <w:sz w:val="22"/>
          <w:szCs w:val="22"/>
        </w:rPr>
      </w:pPr>
    </w:p>
    <w:p w:rsidR="006224C2" w:rsidRPr="00295E71" w14:paraId="0311408B" w14:textId="77777777">
      <w:pPr>
        <w:rPr>
          <w:sz w:val="22"/>
          <w:szCs w:val="22"/>
        </w:rPr>
      </w:pPr>
    </w:p>
    <w:p w:rsidR="006224C2" w:rsidRPr="00295E71" w14:paraId="47E5B384" w14:textId="77777777">
      <w:pPr>
        <w:rPr>
          <w:b/>
          <w:bCs/>
          <w:sz w:val="22"/>
          <w:szCs w:val="22"/>
        </w:rPr>
      </w:pPr>
      <w:r w:rsidRPr="00295E71">
        <w:rPr>
          <w:b/>
          <w:bCs/>
          <w:sz w:val="22"/>
          <w:szCs w:val="22"/>
        </w:rPr>
        <w:t>6.</w:t>
      </w:r>
      <w:r w:rsidRPr="00295E71">
        <w:rPr>
          <w:b/>
          <w:bCs/>
          <w:sz w:val="22"/>
          <w:szCs w:val="22"/>
        </w:rPr>
        <w:tab/>
        <w:t>Contenuto della confezione e altre informazioni</w:t>
      </w:r>
    </w:p>
    <w:p w:rsidR="006224C2" w:rsidRPr="00295E71" w14:paraId="5224B070" w14:textId="77777777">
      <w:pPr>
        <w:numPr>
          <w:ilvl w:val="12"/>
          <w:numId w:val="0"/>
        </w:numPr>
        <w:tabs>
          <w:tab w:val="left" w:pos="567"/>
        </w:tabs>
        <w:ind w:right="-2"/>
        <w:jc w:val="both"/>
        <w:rPr>
          <w:sz w:val="22"/>
          <w:szCs w:val="22"/>
        </w:rPr>
      </w:pPr>
    </w:p>
    <w:p w:rsidR="006224C2" w:rsidRPr="00295E71" w14:paraId="64918F3A" w14:textId="77777777">
      <w:pPr>
        <w:pStyle w:val="Heading8"/>
        <w:keepNext w:val="0"/>
        <w:tabs>
          <w:tab w:val="left" w:pos="567"/>
        </w:tabs>
        <w:jc w:val="both"/>
      </w:pPr>
      <w:r w:rsidRPr="00295E71">
        <w:t>Cosa contiene Humira</w:t>
      </w:r>
    </w:p>
    <w:p w:rsidR="006224C2" w:rsidRPr="00295E71" w14:paraId="3F309C68" w14:textId="77777777">
      <w:pPr>
        <w:jc w:val="both"/>
        <w:rPr>
          <w:sz w:val="22"/>
          <w:szCs w:val="22"/>
        </w:rPr>
      </w:pPr>
    </w:p>
    <w:p w:rsidR="006224C2" w:rsidRPr="00295E71" w:rsidP="00F57FE5" w14:paraId="46ED10AE" w14:textId="77777777">
      <w:pPr>
        <w:tabs>
          <w:tab w:val="left" w:pos="567"/>
        </w:tabs>
        <w:ind w:right="-2"/>
        <w:jc w:val="both"/>
        <w:rPr>
          <w:sz w:val="22"/>
          <w:szCs w:val="22"/>
        </w:rPr>
      </w:pPr>
      <w:r w:rsidRPr="00295E71">
        <w:rPr>
          <w:sz w:val="22"/>
          <w:szCs w:val="22"/>
        </w:rPr>
        <w:t>Il principio attivo è adalimumab.</w:t>
      </w:r>
    </w:p>
    <w:p w:rsidR="006224C2" w:rsidRPr="00295E71" w:rsidP="00F57FE5" w14:paraId="0FA5C752" w14:textId="77777777">
      <w:pPr>
        <w:tabs>
          <w:tab w:val="left" w:pos="567"/>
        </w:tabs>
        <w:ind w:right="-2"/>
        <w:jc w:val="both"/>
        <w:rPr>
          <w:sz w:val="22"/>
          <w:szCs w:val="22"/>
        </w:rPr>
      </w:pPr>
      <w:r w:rsidRPr="00295E71">
        <w:rPr>
          <w:sz w:val="22"/>
          <w:szCs w:val="22"/>
        </w:rPr>
        <w:t>Gli eccipienti sono mannitolo, polisorbato 80 e acqua per preparazioni iniettabili.</w:t>
      </w:r>
    </w:p>
    <w:p w:rsidR="006224C2" w:rsidRPr="00295E71" w14:paraId="65DC3BAD" w14:textId="77777777">
      <w:pPr>
        <w:numPr>
          <w:ilvl w:val="12"/>
          <w:numId w:val="0"/>
        </w:numPr>
        <w:tabs>
          <w:tab w:val="left" w:pos="567"/>
        </w:tabs>
        <w:ind w:right="-2"/>
        <w:jc w:val="both"/>
        <w:rPr>
          <w:sz w:val="22"/>
          <w:szCs w:val="22"/>
        </w:rPr>
      </w:pPr>
    </w:p>
    <w:p w:rsidR="006224C2" w:rsidRPr="00295E71" w14:paraId="4CEA401A" w14:textId="77777777">
      <w:pPr>
        <w:pStyle w:val="Heading8"/>
        <w:keepNext w:val="0"/>
        <w:tabs>
          <w:tab w:val="left" w:pos="567"/>
        </w:tabs>
        <w:jc w:val="both"/>
      </w:pPr>
      <w:r w:rsidRPr="00295E71">
        <w:t>Descrizione dell’aspetto di Humira penna pre-riempita e contenuto della confezione</w:t>
      </w:r>
    </w:p>
    <w:p w:rsidR="006224C2" w:rsidRPr="00295E71" w14:paraId="51AA00A2" w14:textId="77777777">
      <w:pPr>
        <w:numPr>
          <w:ilvl w:val="12"/>
          <w:numId w:val="0"/>
        </w:numPr>
        <w:tabs>
          <w:tab w:val="left" w:pos="567"/>
        </w:tabs>
        <w:ind w:right="-2"/>
        <w:jc w:val="both"/>
        <w:rPr>
          <w:sz w:val="22"/>
          <w:szCs w:val="22"/>
        </w:rPr>
      </w:pPr>
    </w:p>
    <w:p w:rsidR="006224C2" w:rsidRPr="00295E71" w14:paraId="01E722DE" w14:textId="77777777">
      <w:pPr>
        <w:numPr>
          <w:ilvl w:val="12"/>
          <w:numId w:val="0"/>
        </w:numPr>
        <w:tabs>
          <w:tab w:val="left" w:pos="567"/>
        </w:tabs>
        <w:ind w:right="-2"/>
        <w:jc w:val="both"/>
        <w:rPr>
          <w:sz w:val="22"/>
          <w:szCs w:val="22"/>
        </w:rPr>
      </w:pPr>
      <w:r w:rsidRPr="00295E71">
        <w:rPr>
          <w:sz w:val="22"/>
          <w:szCs w:val="22"/>
        </w:rPr>
        <w:t>Humira 80 mg soluzione iniettabile in penna pre-riempita è fornito come soluzione sterile di 80 mg di adalimumab disciolti in 0,8 ml di soluzione.</w:t>
      </w:r>
    </w:p>
    <w:p w:rsidR="006224C2" w:rsidRPr="00295E71" w14:paraId="1B31543A" w14:textId="77777777">
      <w:pPr>
        <w:numPr>
          <w:ilvl w:val="12"/>
          <w:numId w:val="0"/>
        </w:numPr>
        <w:tabs>
          <w:tab w:val="left" w:pos="567"/>
        </w:tabs>
        <w:ind w:right="-2"/>
        <w:jc w:val="both"/>
        <w:rPr>
          <w:sz w:val="22"/>
          <w:szCs w:val="22"/>
        </w:rPr>
      </w:pPr>
    </w:p>
    <w:p w:rsidR="006224C2" w:rsidRPr="00295E71" w14:paraId="4E78E3AD" w14:textId="77777777">
      <w:pPr>
        <w:numPr>
          <w:ilvl w:val="12"/>
          <w:numId w:val="0"/>
        </w:numPr>
        <w:tabs>
          <w:tab w:val="left" w:pos="567"/>
        </w:tabs>
        <w:ind w:right="-2"/>
        <w:rPr>
          <w:sz w:val="22"/>
          <w:szCs w:val="22"/>
        </w:rPr>
      </w:pPr>
      <w:r w:rsidRPr="00295E71">
        <w:rPr>
          <w:sz w:val="22"/>
          <w:szCs w:val="22"/>
        </w:rPr>
        <w:t>La penna pre-riempita di Humira è una penna monouso di colore grigio e viola contenente una siringa di vetro in cui è presente Humira. La penna è dotata di due tappi – uno grigio contrassegnato con il numero ‘1’ e l’altro di colore viola contrassegnato con il numero ‘2’. Su ogni parete della penna c’è una finestrella attraverso la quale si può intravedere la soluzione di Humira presente all’interno della siringa.</w:t>
      </w:r>
    </w:p>
    <w:p w:rsidR="006224C2" w:rsidRPr="00295E71" w14:paraId="0EC353F2" w14:textId="77777777">
      <w:pPr>
        <w:numPr>
          <w:ilvl w:val="12"/>
          <w:numId w:val="0"/>
        </w:numPr>
        <w:tabs>
          <w:tab w:val="left" w:pos="567"/>
        </w:tabs>
        <w:ind w:right="-2"/>
        <w:jc w:val="both"/>
        <w:rPr>
          <w:sz w:val="22"/>
          <w:szCs w:val="22"/>
        </w:rPr>
      </w:pPr>
    </w:p>
    <w:p w:rsidR="004128A4" w14:paraId="76781432" w14:textId="77777777">
      <w:pPr>
        <w:numPr>
          <w:ilvl w:val="12"/>
          <w:numId w:val="0"/>
        </w:numPr>
        <w:tabs>
          <w:tab w:val="left" w:pos="708"/>
        </w:tabs>
        <w:ind w:right="-2"/>
        <w:rPr>
          <w:sz w:val="22"/>
          <w:szCs w:val="22"/>
        </w:rPr>
      </w:pPr>
      <w:r w:rsidRPr="00295E71">
        <w:rPr>
          <w:sz w:val="22"/>
          <w:szCs w:val="22"/>
        </w:rPr>
        <w:t>La penna pre-riempita di Humira è disponibile in confezion</w:t>
      </w:r>
      <w:r>
        <w:rPr>
          <w:sz w:val="22"/>
          <w:szCs w:val="22"/>
        </w:rPr>
        <w:t>i</w:t>
      </w:r>
      <w:r w:rsidRPr="00295E71">
        <w:rPr>
          <w:sz w:val="22"/>
          <w:szCs w:val="22"/>
        </w:rPr>
        <w:t xml:space="preserve"> che cont</w:t>
      </w:r>
      <w:r>
        <w:rPr>
          <w:sz w:val="22"/>
          <w:szCs w:val="22"/>
        </w:rPr>
        <w:t>engono:</w:t>
      </w:r>
    </w:p>
    <w:p w:rsidR="006224C2" w:rsidP="007E6E3E" w14:paraId="77ABC596" w14:textId="77777777">
      <w:pPr>
        <w:pStyle w:val="ListParagraph"/>
        <w:numPr>
          <w:ilvl w:val="0"/>
          <w:numId w:val="134"/>
        </w:numPr>
        <w:tabs>
          <w:tab w:val="left" w:pos="708"/>
        </w:tabs>
        <w:ind w:right="-2"/>
        <w:rPr>
          <w:sz w:val="22"/>
          <w:szCs w:val="22"/>
        </w:rPr>
      </w:pPr>
      <w:r w:rsidRPr="007E6E3E">
        <w:rPr>
          <w:sz w:val="22"/>
          <w:szCs w:val="22"/>
        </w:rPr>
        <w:t xml:space="preserve">1 penna pre-riempita </w:t>
      </w:r>
      <w:r w:rsidR="004128A4">
        <w:rPr>
          <w:sz w:val="22"/>
          <w:szCs w:val="22"/>
        </w:rPr>
        <w:t>per l’utilizzo da parte dei pazienti</w:t>
      </w:r>
      <w:r w:rsidRPr="00665414" w:rsidR="004128A4">
        <w:rPr>
          <w:sz w:val="22"/>
          <w:szCs w:val="22"/>
        </w:rPr>
        <w:t xml:space="preserve"> </w:t>
      </w:r>
      <w:r w:rsidRPr="007E6E3E">
        <w:rPr>
          <w:sz w:val="22"/>
          <w:szCs w:val="22"/>
        </w:rPr>
        <w:t>con 2 tamponi imbevuti di alcool (1 in più)</w:t>
      </w:r>
    </w:p>
    <w:p w:rsidR="004128A4" w:rsidRPr="00665414" w:rsidP="007E6E3E" w14:paraId="13C7FC6A" w14:textId="77777777">
      <w:pPr>
        <w:pStyle w:val="ListParagraph"/>
        <w:numPr>
          <w:ilvl w:val="0"/>
          <w:numId w:val="134"/>
        </w:numPr>
        <w:tabs>
          <w:tab w:val="left" w:pos="708"/>
        </w:tabs>
        <w:ind w:right="-2"/>
        <w:rPr>
          <w:sz w:val="22"/>
          <w:szCs w:val="22"/>
        </w:rPr>
      </w:pPr>
      <w:r>
        <w:rPr>
          <w:sz w:val="22"/>
          <w:szCs w:val="22"/>
        </w:rPr>
        <w:t>3 penne pre-riempite per l’utilizzo da parte dei pazienti</w:t>
      </w:r>
      <w:r w:rsidRPr="001A2101">
        <w:rPr>
          <w:sz w:val="22"/>
          <w:szCs w:val="22"/>
        </w:rPr>
        <w:t xml:space="preserve"> </w:t>
      </w:r>
      <w:r>
        <w:rPr>
          <w:sz w:val="22"/>
          <w:szCs w:val="22"/>
        </w:rPr>
        <w:t>con 4 tamponi imbevuti di alcool (1 in più)</w:t>
      </w:r>
    </w:p>
    <w:p w:rsidR="004128A4" w:rsidP="004128A4" w14:paraId="7A2B17CA" w14:textId="77777777">
      <w:pPr>
        <w:numPr>
          <w:ilvl w:val="12"/>
          <w:numId w:val="0"/>
        </w:numPr>
        <w:tabs>
          <w:tab w:val="left" w:pos="567"/>
        </w:tabs>
        <w:ind w:right="-2"/>
        <w:jc w:val="both"/>
        <w:rPr>
          <w:sz w:val="22"/>
          <w:szCs w:val="22"/>
        </w:rPr>
      </w:pPr>
    </w:p>
    <w:p w:rsidR="004128A4" w:rsidRPr="007E6E3E" w:rsidP="007E6E3E" w14:paraId="623CA3CE" w14:textId="77777777">
      <w:pPr>
        <w:numPr>
          <w:ilvl w:val="12"/>
          <w:numId w:val="0"/>
        </w:numPr>
        <w:tabs>
          <w:tab w:val="left" w:pos="567"/>
        </w:tabs>
        <w:ind w:right="-2"/>
        <w:jc w:val="both"/>
        <w:rPr>
          <w:sz w:val="22"/>
          <w:szCs w:val="22"/>
        </w:rPr>
      </w:pPr>
      <w:r>
        <w:rPr>
          <w:sz w:val="22"/>
          <w:szCs w:val="22"/>
        </w:rPr>
        <w:t>È possibile che non tutte le confezioni siano commercializzate.</w:t>
      </w:r>
    </w:p>
    <w:p w:rsidR="006224C2" w:rsidRPr="00295E71" w14:paraId="4B6506C1" w14:textId="77777777">
      <w:pPr>
        <w:numPr>
          <w:ilvl w:val="12"/>
          <w:numId w:val="0"/>
        </w:numPr>
        <w:tabs>
          <w:tab w:val="left" w:pos="567"/>
        </w:tabs>
        <w:ind w:right="-2"/>
        <w:jc w:val="both"/>
        <w:rPr>
          <w:sz w:val="22"/>
          <w:szCs w:val="22"/>
        </w:rPr>
      </w:pPr>
    </w:p>
    <w:p w:rsidR="006224C2" w:rsidRPr="00295E71" w14:paraId="7DC0E9AF" w14:textId="77777777">
      <w:pPr>
        <w:numPr>
          <w:ilvl w:val="12"/>
          <w:numId w:val="0"/>
        </w:numPr>
        <w:tabs>
          <w:tab w:val="left" w:pos="567"/>
        </w:tabs>
        <w:ind w:right="-2"/>
        <w:jc w:val="both"/>
        <w:rPr>
          <w:sz w:val="22"/>
          <w:szCs w:val="22"/>
        </w:rPr>
      </w:pPr>
      <w:r w:rsidRPr="00295E71">
        <w:rPr>
          <w:sz w:val="22"/>
          <w:szCs w:val="22"/>
        </w:rPr>
        <w:t>Humira può essere disponibile in flaconcino, in siringa pre-riempita e</w:t>
      </w:r>
      <w:r w:rsidRPr="00295E71" w:rsidR="006F32E5">
        <w:rPr>
          <w:sz w:val="22"/>
          <w:szCs w:val="22"/>
        </w:rPr>
        <w:t>/o</w:t>
      </w:r>
      <w:r w:rsidRPr="00295E71">
        <w:rPr>
          <w:sz w:val="22"/>
          <w:szCs w:val="22"/>
        </w:rPr>
        <w:t xml:space="preserve"> in penna pre-riempita.</w:t>
      </w:r>
    </w:p>
    <w:p w:rsidR="006224C2" w:rsidRPr="00295E71" w14:paraId="6CD1DB07" w14:textId="77777777">
      <w:pPr>
        <w:numPr>
          <w:ilvl w:val="12"/>
          <w:numId w:val="0"/>
        </w:numPr>
        <w:tabs>
          <w:tab w:val="left" w:pos="567"/>
        </w:tabs>
        <w:ind w:right="-2"/>
        <w:jc w:val="both"/>
        <w:rPr>
          <w:sz w:val="22"/>
          <w:szCs w:val="22"/>
        </w:rPr>
      </w:pPr>
    </w:p>
    <w:p w:rsidR="006224C2" w:rsidRPr="00295E71" w:rsidP="00DD14E3" w14:paraId="49CC9081" w14:textId="77777777">
      <w:pPr>
        <w:pStyle w:val="Heading8"/>
        <w:keepLines/>
        <w:tabs>
          <w:tab w:val="left" w:pos="567"/>
        </w:tabs>
        <w:jc w:val="both"/>
      </w:pPr>
      <w:r w:rsidRPr="00295E71">
        <w:t>Titolare dell’autorizzazione all’immissione in commercio</w:t>
      </w:r>
    </w:p>
    <w:p w:rsidR="006224C2" w:rsidRPr="00295E71" w:rsidP="00DD14E3" w14:paraId="47D09388" w14:textId="77777777">
      <w:pPr>
        <w:keepNext/>
        <w:keepLines/>
        <w:numPr>
          <w:ilvl w:val="12"/>
          <w:numId w:val="0"/>
        </w:numPr>
        <w:tabs>
          <w:tab w:val="left" w:pos="567"/>
        </w:tabs>
        <w:ind w:right="-2"/>
        <w:jc w:val="both"/>
        <w:rPr>
          <w:sz w:val="22"/>
          <w:szCs w:val="22"/>
        </w:rPr>
      </w:pPr>
    </w:p>
    <w:p w:rsidR="00E70AA6" w:rsidRPr="00295E71" w:rsidP="00E70AA6" w14:paraId="27B8AD1D" w14:textId="77777777">
      <w:pPr>
        <w:tabs>
          <w:tab w:val="left" w:pos="567"/>
        </w:tabs>
        <w:jc w:val="both"/>
        <w:rPr>
          <w:sz w:val="22"/>
          <w:szCs w:val="22"/>
        </w:rPr>
      </w:pPr>
      <w:r w:rsidRPr="00295E71">
        <w:rPr>
          <w:sz w:val="22"/>
          <w:szCs w:val="22"/>
        </w:rPr>
        <w:t>AbbVie Deutschland GmbH &amp; Co. KG</w:t>
      </w:r>
    </w:p>
    <w:p w:rsidR="00E70AA6" w:rsidRPr="00295E71" w:rsidP="00E70AA6" w14:paraId="72D5E9CE" w14:textId="77777777">
      <w:pPr>
        <w:tabs>
          <w:tab w:val="left" w:pos="567"/>
        </w:tabs>
        <w:jc w:val="both"/>
        <w:rPr>
          <w:sz w:val="22"/>
          <w:szCs w:val="22"/>
        </w:rPr>
      </w:pPr>
      <w:r w:rsidRPr="00295E71">
        <w:rPr>
          <w:sz w:val="22"/>
          <w:szCs w:val="22"/>
        </w:rPr>
        <w:t>Knollstrasse</w:t>
      </w:r>
    </w:p>
    <w:p w:rsidR="00E70AA6" w:rsidRPr="00295E71" w:rsidP="00E70AA6" w14:paraId="13776D7D" w14:textId="77777777">
      <w:pPr>
        <w:tabs>
          <w:tab w:val="left" w:pos="567"/>
        </w:tabs>
        <w:jc w:val="both"/>
        <w:rPr>
          <w:sz w:val="22"/>
          <w:szCs w:val="22"/>
        </w:rPr>
      </w:pPr>
      <w:r w:rsidRPr="00295E71">
        <w:rPr>
          <w:sz w:val="22"/>
          <w:szCs w:val="22"/>
        </w:rPr>
        <w:t>67061 Ludwigshafen</w:t>
      </w:r>
    </w:p>
    <w:p w:rsidR="00E70AA6" w:rsidRPr="00295E71" w:rsidP="00E70AA6" w14:paraId="67B00C61" w14:textId="77777777">
      <w:pPr>
        <w:tabs>
          <w:tab w:val="left" w:pos="567"/>
        </w:tabs>
        <w:jc w:val="both"/>
        <w:rPr>
          <w:sz w:val="22"/>
          <w:szCs w:val="22"/>
        </w:rPr>
      </w:pPr>
      <w:r w:rsidRPr="00295E71">
        <w:rPr>
          <w:sz w:val="22"/>
          <w:szCs w:val="22"/>
        </w:rPr>
        <w:t>Germania</w:t>
      </w:r>
    </w:p>
    <w:p w:rsidR="006224C2" w:rsidRPr="00295E71" w14:paraId="67D7D960" w14:textId="77777777">
      <w:pPr>
        <w:numPr>
          <w:ilvl w:val="12"/>
          <w:numId w:val="0"/>
        </w:numPr>
        <w:tabs>
          <w:tab w:val="left" w:pos="567"/>
        </w:tabs>
        <w:ind w:right="-2"/>
        <w:jc w:val="both"/>
        <w:rPr>
          <w:sz w:val="22"/>
          <w:szCs w:val="22"/>
        </w:rPr>
      </w:pPr>
    </w:p>
    <w:p w:rsidR="006224C2" w:rsidRPr="00295E71" w14:paraId="5EBB268B" w14:textId="77777777">
      <w:pPr>
        <w:pStyle w:val="Heading8"/>
        <w:keepNext w:val="0"/>
        <w:tabs>
          <w:tab w:val="left" w:pos="567"/>
        </w:tabs>
        <w:jc w:val="both"/>
      </w:pPr>
      <w:r w:rsidRPr="00295E71">
        <w:t>Produttore</w:t>
      </w:r>
    </w:p>
    <w:p w:rsidR="006224C2" w:rsidRPr="00295E71" w14:paraId="4CC28733" w14:textId="77777777">
      <w:pPr>
        <w:numPr>
          <w:ilvl w:val="12"/>
          <w:numId w:val="0"/>
        </w:numPr>
        <w:tabs>
          <w:tab w:val="left" w:pos="567"/>
        </w:tabs>
        <w:ind w:right="-2"/>
        <w:jc w:val="both"/>
        <w:rPr>
          <w:sz w:val="22"/>
          <w:szCs w:val="22"/>
        </w:rPr>
      </w:pPr>
    </w:p>
    <w:p w:rsidR="006224C2" w:rsidRPr="00295E71" w14:paraId="5DC98E29" w14:textId="77777777">
      <w:pPr>
        <w:rPr>
          <w:sz w:val="22"/>
          <w:szCs w:val="22"/>
        </w:rPr>
      </w:pPr>
      <w:r w:rsidRPr="00295E71">
        <w:rPr>
          <w:sz w:val="22"/>
          <w:szCs w:val="22"/>
        </w:rPr>
        <w:t>AbbVie Biotechnology GmbH</w:t>
      </w:r>
    </w:p>
    <w:p w:rsidR="006224C2" w:rsidRPr="00295E71" w14:paraId="185FA48C" w14:textId="77777777">
      <w:pPr>
        <w:numPr>
          <w:ilvl w:val="12"/>
          <w:numId w:val="0"/>
        </w:numPr>
        <w:tabs>
          <w:tab w:val="left" w:pos="720"/>
        </w:tabs>
        <w:rPr>
          <w:sz w:val="22"/>
          <w:szCs w:val="22"/>
        </w:rPr>
      </w:pPr>
      <w:r w:rsidRPr="00295E71">
        <w:rPr>
          <w:sz w:val="22"/>
          <w:szCs w:val="22"/>
        </w:rPr>
        <w:t>Knollstrasse</w:t>
      </w:r>
    </w:p>
    <w:p w:rsidR="006224C2" w:rsidRPr="00295E71" w14:paraId="283846AF" w14:textId="77777777">
      <w:pPr>
        <w:numPr>
          <w:ilvl w:val="12"/>
          <w:numId w:val="0"/>
        </w:numPr>
        <w:tabs>
          <w:tab w:val="left" w:pos="720"/>
        </w:tabs>
        <w:rPr>
          <w:sz w:val="22"/>
          <w:szCs w:val="22"/>
        </w:rPr>
      </w:pPr>
      <w:r w:rsidRPr="00295E71">
        <w:rPr>
          <w:sz w:val="22"/>
          <w:szCs w:val="22"/>
        </w:rPr>
        <w:t>67061 Ludwigshafen</w:t>
      </w:r>
    </w:p>
    <w:p w:rsidR="006224C2" w:rsidRPr="00295E71" w14:paraId="11FC676B" w14:textId="77777777">
      <w:pPr>
        <w:numPr>
          <w:ilvl w:val="12"/>
          <w:numId w:val="0"/>
        </w:numPr>
        <w:tabs>
          <w:tab w:val="left" w:pos="720"/>
        </w:tabs>
        <w:rPr>
          <w:sz w:val="22"/>
          <w:szCs w:val="22"/>
        </w:rPr>
      </w:pPr>
      <w:r w:rsidRPr="00295E71">
        <w:rPr>
          <w:sz w:val="22"/>
          <w:szCs w:val="22"/>
        </w:rPr>
        <w:t>Germania</w:t>
      </w:r>
    </w:p>
    <w:p w:rsidR="006224C2" w:rsidRPr="00295E71" w14:paraId="1B181E0F" w14:textId="77777777">
      <w:pPr>
        <w:numPr>
          <w:ilvl w:val="12"/>
          <w:numId w:val="0"/>
        </w:numPr>
        <w:tabs>
          <w:tab w:val="left" w:pos="720"/>
        </w:tabs>
        <w:rPr>
          <w:sz w:val="22"/>
          <w:szCs w:val="22"/>
        </w:rPr>
      </w:pPr>
    </w:p>
    <w:p w:rsidR="006224C2" w:rsidRPr="00295E71" w14:paraId="0745E30B" w14:textId="77777777">
      <w:pPr>
        <w:rPr>
          <w:sz w:val="22"/>
          <w:szCs w:val="22"/>
        </w:rPr>
      </w:pPr>
      <w:r w:rsidRPr="00295E71">
        <w:rPr>
          <w:sz w:val="22"/>
          <w:szCs w:val="22"/>
        </w:rPr>
        <w:t>Per ulteriori informazioni su questo medicinale, contatti il rappresentante locale del titolare dell’autorizzazione all’immissione in commercio</w:t>
      </w:r>
    </w:p>
    <w:p w:rsidR="006224C2" w:rsidRPr="00295E71" w14:paraId="1F23DC50" w14:textId="77777777">
      <w:pPr>
        <w:rPr>
          <w:sz w:val="22"/>
          <w:szCs w:val="22"/>
          <w:lang w:eastAsia="en-US"/>
        </w:rPr>
      </w:pPr>
    </w:p>
    <w:tbl>
      <w:tblPr>
        <w:tblW w:w="9356" w:type="dxa"/>
        <w:tblInd w:w="-34" w:type="dxa"/>
        <w:tblLayout w:type="fixed"/>
        <w:tblLook w:val="0000"/>
      </w:tblPr>
      <w:tblGrid>
        <w:gridCol w:w="34"/>
        <w:gridCol w:w="4610"/>
        <w:gridCol w:w="34"/>
        <w:gridCol w:w="4678"/>
      </w:tblGrid>
      <w:tr w14:paraId="692A1CC8" w14:textId="77777777" w:rsidTr="001F79B0">
        <w:tblPrEx>
          <w:tblW w:w="9356" w:type="dxa"/>
          <w:tblInd w:w="-34" w:type="dxa"/>
          <w:tblLayout w:type="fixed"/>
          <w:tblLook w:val="0000"/>
        </w:tblPrEx>
        <w:tc>
          <w:tcPr>
            <w:tcW w:w="4644" w:type="dxa"/>
            <w:gridSpan w:val="2"/>
          </w:tcPr>
          <w:p w:rsidR="00235869" w:rsidRPr="00BD646C" w:rsidP="001F79B0" w14:paraId="3DC7AF32" w14:textId="77777777">
            <w:pPr>
              <w:rPr>
                <w:b/>
                <w:bCs/>
                <w:sz w:val="22"/>
                <w:szCs w:val="22"/>
                <w:lang w:val="fr-BE"/>
              </w:rPr>
            </w:pPr>
            <w:r w:rsidRPr="00BD646C">
              <w:rPr>
                <w:b/>
                <w:bCs/>
                <w:sz w:val="22"/>
                <w:szCs w:val="22"/>
                <w:lang w:val="fr-BE"/>
              </w:rPr>
              <w:t>België</w:t>
            </w:r>
            <w:r w:rsidRPr="00BD646C">
              <w:rPr>
                <w:b/>
                <w:bCs/>
                <w:sz w:val="22"/>
                <w:szCs w:val="22"/>
                <w:lang w:val="fr-BE"/>
              </w:rPr>
              <w:t>/Belgique/</w:t>
            </w:r>
            <w:r w:rsidRPr="00BD646C">
              <w:rPr>
                <w:b/>
                <w:bCs/>
                <w:sz w:val="22"/>
                <w:szCs w:val="22"/>
                <w:lang w:val="fr-BE"/>
              </w:rPr>
              <w:t>Belgien</w:t>
            </w:r>
          </w:p>
          <w:p w:rsidR="00235869" w:rsidRPr="00BD646C" w:rsidP="001F79B0" w14:paraId="3098EB9B" w14:textId="77777777">
            <w:pPr>
              <w:rPr>
                <w:bCs/>
                <w:sz w:val="22"/>
                <w:szCs w:val="22"/>
                <w:lang w:val="fr-FR"/>
              </w:rPr>
            </w:pPr>
            <w:r w:rsidRPr="00BD646C">
              <w:rPr>
                <w:bCs/>
                <w:sz w:val="22"/>
                <w:szCs w:val="22"/>
                <w:lang w:val="fr-FR"/>
              </w:rPr>
              <w:t>AbbVie SA</w:t>
            </w:r>
          </w:p>
          <w:p w:rsidR="00235869" w:rsidRPr="00BD646C" w:rsidP="001F79B0" w14:paraId="759355FF" w14:textId="77777777">
            <w:pPr>
              <w:rPr>
                <w:sz w:val="22"/>
                <w:szCs w:val="22"/>
                <w:lang w:val="fr-FR"/>
              </w:rPr>
            </w:pPr>
            <w:r w:rsidRPr="00BD646C">
              <w:rPr>
                <w:bCs/>
                <w:sz w:val="22"/>
                <w:szCs w:val="22"/>
                <w:lang w:val="fr-FR"/>
              </w:rPr>
              <w:t>Tél/</w:t>
            </w:r>
            <w:r w:rsidRPr="00BD646C">
              <w:rPr>
                <w:bCs/>
                <w:sz w:val="22"/>
                <w:szCs w:val="22"/>
                <w:lang w:val="fr-FR"/>
              </w:rPr>
              <w:t>Tel:</w:t>
            </w:r>
            <w:r w:rsidRPr="00BD646C">
              <w:rPr>
                <w:bCs/>
                <w:sz w:val="22"/>
                <w:szCs w:val="22"/>
                <w:lang w:val="fr-FR"/>
              </w:rPr>
              <w:t xml:space="preserve"> +32 10 </w:t>
            </w:r>
            <w:r w:rsidRPr="00BD646C">
              <w:rPr>
                <w:sz w:val="22"/>
                <w:szCs w:val="22"/>
                <w:lang w:val="fr-FR"/>
              </w:rPr>
              <w:t>477811</w:t>
            </w:r>
          </w:p>
          <w:p w:rsidR="00235869" w:rsidRPr="00BD646C" w:rsidP="001F79B0" w14:paraId="30571CC9" w14:textId="77777777">
            <w:pPr>
              <w:rPr>
                <w:bCs/>
                <w:sz w:val="22"/>
                <w:szCs w:val="22"/>
                <w:lang w:val="fr-FR"/>
              </w:rPr>
            </w:pPr>
          </w:p>
        </w:tc>
        <w:tc>
          <w:tcPr>
            <w:tcW w:w="4678" w:type="dxa"/>
            <w:gridSpan w:val="2"/>
          </w:tcPr>
          <w:p w:rsidR="00235869" w:rsidRPr="00BD646C" w:rsidP="001F79B0" w14:paraId="18F81C52" w14:textId="77777777">
            <w:pPr>
              <w:rPr>
                <w:b/>
                <w:bCs/>
                <w:sz w:val="22"/>
                <w:szCs w:val="22"/>
                <w:lang w:val="lt-LT"/>
              </w:rPr>
            </w:pPr>
            <w:r w:rsidRPr="00BD646C">
              <w:rPr>
                <w:b/>
                <w:bCs/>
                <w:sz w:val="22"/>
                <w:szCs w:val="22"/>
                <w:lang w:val="lt-LT"/>
              </w:rPr>
              <w:t>Lietuva</w:t>
            </w:r>
          </w:p>
          <w:p w:rsidR="00235869" w:rsidRPr="00BD646C" w:rsidP="001F79B0" w14:paraId="01632C57" w14:textId="77777777">
            <w:pPr>
              <w:rPr>
                <w:bCs/>
                <w:sz w:val="22"/>
                <w:szCs w:val="22"/>
                <w:lang w:val="lv-LV"/>
              </w:rPr>
            </w:pPr>
            <w:r w:rsidRPr="00BD646C">
              <w:rPr>
                <w:bCs/>
                <w:sz w:val="22"/>
                <w:szCs w:val="22"/>
                <w:lang w:val="lv-LV"/>
              </w:rPr>
              <w:t xml:space="preserve">AbbVie UAB </w:t>
            </w:r>
          </w:p>
          <w:p w:rsidR="00235869" w:rsidRPr="00BD646C" w:rsidP="001F79B0" w14:paraId="54A8C212" w14:textId="77777777">
            <w:pPr>
              <w:rPr>
                <w:bCs/>
                <w:sz w:val="22"/>
                <w:szCs w:val="22"/>
                <w:lang w:val="lv-LV"/>
              </w:rPr>
            </w:pPr>
            <w:r w:rsidRPr="00BD646C">
              <w:rPr>
                <w:bCs/>
                <w:sz w:val="22"/>
                <w:szCs w:val="22"/>
                <w:lang w:val="lv-LV"/>
              </w:rPr>
              <w:t>Tel: +370 5 205 3023</w:t>
            </w:r>
          </w:p>
        </w:tc>
      </w:tr>
      <w:tr w14:paraId="14953342" w14:textId="77777777" w:rsidTr="001F79B0">
        <w:tblPrEx>
          <w:tblW w:w="9356" w:type="dxa"/>
          <w:tblInd w:w="-34" w:type="dxa"/>
          <w:tblLayout w:type="fixed"/>
          <w:tblLook w:val="0000"/>
        </w:tblPrEx>
        <w:tc>
          <w:tcPr>
            <w:tcW w:w="4644" w:type="dxa"/>
            <w:gridSpan w:val="2"/>
          </w:tcPr>
          <w:p w:rsidR="00235869" w:rsidRPr="00BD646C" w:rsidP="001F79B0" w14:paraId="0F9F0DB6" w14:textId="77777777">
            <w:pPr>
              <w:rPr>
                <w:b/>
                <w:bCs/>
                <w:sz w:val="22"/>
                <w:szCs w:val="22"/>
                <w:lang w:val="bg-BG"/>
              </w:rPr>
            </w:pPr>
            <w:r w:rsidRPr="00BD646C">
              <w:rPr>
                <w:b/>
                <w:bCs/>
                <w:sz w:val="22"/>
                <w:szCs w:val="22"/>
                <w:lang w:val="bg-BG"/>
              </w:rPr>
              <w:t>България</w:t>
            </w:r>
          </w:p>
          <w:p w:rsidR="00235869" w:rsidRPr="00BD646C" w:rsidP="001F79B0" w14:paraId="63DDA58E" w14:textId="77777777">
            <w:pPr>
              <w:rPr>
                <w:sz w:val="22"/>
                <w:szCs w:val="22"/>
                <w:lang w:val="da-DK"/>
              </w:rPr>
            </w:pPr>
            <w:r w:rsidRPr="00BD646C">
              <w:rPr>
                <w:sz w:val="22"/>
                <w:szCs w:val="22"/>
                <w:lang w:val="sk-SK"/>
              </w:rPr>
              <w:t>АбВи ЕООД</w:t>
            </w:r>
          </w:p>
          <w:p w:rsidR="00235869" w:rsidRPr="00BD646C" w:rsidP="001F79B0" w14:paraId="49251965" w14:textId="77777777">
            <w:pPr>
              <w:rPr>
                <w:bCs/>
                <w:sz w:val="22"/>
                <w:szCs w:val="22"/>
                <w:lang w:val="da-DK"/>
              </w:rPr>
            </w:pPr>
            <w:r w:rsidRPr="00BD646C">
              <w:rPr>
                <w:sz w:val="22"/>
                <w:szCs w:val="22"/>
                <w:lang w:val="sk-SK"/>
              </w:rPr>
              <w:t>Тел</w:t>
            </w:r>
            <w:r w:rsidRPr="00BD646C">
              <w:rPr>
                <w:sz w:val="22"/>
                <w:szCs w:val="22"/>
              </w:rPr>
              <w:t>.:+359 2 90 30 430</w:t>
            </w:r>
          </w:p>
        </w:tc>
        <w:tc>
          <w:tcPr>
            <w:tcW w:w="4678" w:type="dxa"/>
            <w:gridSpan w:val="2"/>
          </w:tcPr>
          <w:p w:rsidR="00235869" w:rsidRPr="00BD646C" w:rsidP="001F79B0" w14:paraId="2F4C053E" w14:textId="77777777">
            <w:pPr>
              <w:rPr>
                <w:b/>
                <w:bCs/>
                <w:sz w:val="22"/>
                <w:szCs w:val="22"/>
                <w:lang w:val="de-DE"/>
              </w:rPr>
            </w:pPr>
            <w:r w:rsidRPr="00BD646C">
              <w:rPr>
                <w:b/>
                <w:bCs/>
                <w:sz w:val="22"/>
                <w:szCs w:val="22"/>
                <w:lang w:val="de-DE"/>
              </w:rPr>
              <w:t>Luxembourg/Luxemburg</w:t>
            </w:r>
          </w:p>
          <w:p w:rsidR="00235869" w:rsidRPr="00BD646C" w:rsidP="001F79B0" w14:paraId="1271F54A" w14:textId="77777777">
            <w:pPr>
              <w:rPr>
                <w:bCs/>
                <w:sz w:val="22"/>
                <w:szCs w:val="22"/>
                <w:lang w:val="de-DE"/>
              </w:rPr>
            </w:pPr>
            <w:r w:rsidRPr="00BD646C">
              <w:rPr>
                <w:bCs/>
                <w:sz w:val="22"/>
                <w:szCs w:val="22"/>
                <w:lang w:val="de-DE"/>
              </w:rPr>
              <w:t>AbbVie SA</w:t>
            </w:r>
          </w:p>
          <w:p w:rsidR="00235869" w:rsidRPr="00BD646C" w:rsidP="001F79B0" w14:paraId="38DBE296" w14:textId="77777777">
            <w:pPr>
              <w:rPr>
                <w:bCs/>
                <w:sz w:val="22"/>
                <w:szCs w:val="22"/>
                <w:lang w:val="de-DE"/>
              </w:rPr>
            </w:pPr>
            <w:r w:rsidRPr="00BD646C">
              <w:rPr>
                <w:bCs/>
                <w:sz w:val="22"/>
                <w:szCs w:val="22"/>
                <w:lang w:val="de-DE"/>
              </w:rPr>
              <w:t>Belgique/Belgien</w:t>
            </w:r>
          </w:p>
          <w:p w:rsidR="00235869" w:rsidRPr="00BD646C" w:rsidP="001F79B0" w14:paraId="66907200" w14:textId="77777777">
            <w:pPr>
              <w:rPr>
                <w:bCs/>
                <w:sz w:val="22"/>
                <w:szCs w:val="22"/>
                <w:lang w:val="fr-FR"/>
              </w:rPr>
            </w:pPr>
            <w:r w:rsidRPr="00BD646C">
              <w:rPr>
                <w:bCs/>
                <w:sz w:val="22"/>
                <w:szCs w:val="22"/>
                <w:lang w:val="fr-FR"/>
              </w:rPr>
              <w:t>Tél/</w:t>
            </w:r>
            <w:r w:rsidRPr="00BD646C">
              <w:rPr>
                <w:bCs/>
                <w:sz w:val="22"/>
                <w:szCs w:val="22"/>
                <w:lang w:val="fr-FR"/>
              </w:rPr>
              <w:t>Tel:</w:t>
            </w:r>
            <w:r w:rsidRPr="00BD646C">
              <w:rPr>
                <w:bCs/>
                <w:sz w:val="22"/>
                <w:szCs w:val="22"/>
                <w:lang w:val="fr-FR"/>
              </w:rPr>
              <w:t xml:space="preserve"> +32 10 477811</w:t>
            </w:r>
          </w:p>
          <w:p w:rsidR="00235869" w:rsidRPr="00BD646C" w:rsidP="001F79B0" w14:paraId="4E725E37" w14:textId="77777777">
            <w:pPr>
              <w:rPr>
                <w:bCs/>
                <w:sz w:val="22"/>
                <w:szCs w:val="22"/>
                <w:lang w:val="fr-FR"/>
              </w:rPr>
            </w:pPr>
          </w:p>
        </w:tc>
      </w:tr>
      <w:tr w14:paraId="4CE74400" w14:textId="77777777" w:rsidTr="001F79B0">
        <w:tblPrEx>
          <w:tblW w:w="9356" w:type="dxa"/>
          <w:tblInd w:w="-34" w:type="dxa"/>
          <w:tblLayout w:type="fixed"/>
          <w:tblLook w:val="0000"/>
        </w:tblPrEx>
        <w:tc>
          <w:tcPr>
            <w:tcW w:w="4644" w:type="dxa"/>
            <w:gridSpan w:val="2"/>
          </w:tcPr>
          <w:p w:rsidR="00235869" w:rsidRPr="00BD646C" w:rsidP="001F79B0" w14:paraId="3ADC2532" w14:textId="77777777">
            <w:pPr>
              <w:rPr>
                <w:b/>
                <w:bCs/>
                <w:sz w:val="22"/>
                <w:szCs w:val="22"/>
                <w:lang w:val="sk-SK"/>
              </w:rPr>
            </w:pPr>
            <w:r w:rsidRPr="00BD646C">
              <w:rPr>
                <w:b/>
                <w:bCs/>
                <w:sz w:val="22"/>
                <w:szCs w:val="22"/>
                <w:lang w:val="sk-SK"/>
              </w:rPr>
              <w:t>Česká republika</w:t>
            </w:r>
          </w:p>
          <w:p w:rsidR="00235869" w:rsidRPr="00BD646C" w:rsidP="001F79B0" w14:paraId="2A8BCE2D" w14:textId="77777777">
            <w:pPr>
              <w:rPr>
                <w:bCs/>
                <w:sz w:val="22"/>
                <w:szCs w:val="22"/>
                <w:lang w:val="sk-SK"/>
              </w:rPr>
            </w:pPr>
            <w:r w:rsidRPr="00BD646C">
              <w:rPr>
                <w:bCs/>
                <w:sz w:val="22"/>
                <w:szCs w:val="22"/>
                <w:lang w:val="sk-SK"/>
              </w:rPr>
              <w:t xml:space="preserve">AbbVie s.r.o. </w:t>
            </w:r>
          </w:p>
          <w:p w:rsidR="00235869" w:rsidRPr="00BD646C" w:rsidP="001F79B0" w14:paraId="5071541C" w14:textId="77777777">
            <w:pPr>
              <w:rPr>
                <w:bCs/>
                <w:sz w:val="22"/>
                <w:szCs w:val="22"/>
                <w:lang w:val="sk-SK"/>
              </w:rPr>
            </w:pPr>
            <w:r w:rsidRPr="00BD646C">
              <w:rPr>
                <w:bCs/>
                <w:sz w:val="22"/>
                <w:szCs w:val="22"/>
                <w:lang w:val="sk-SK"/>
              </w:rPr>
              <w:t>Tel: +420 233 098 111</w:t>
            </w:r>
          </w:p>
        </w:tc>
        <w:tc>
          <w:tcPr>
            <w:tcW w:w="4678" w:type="dxa"/>
            <w:gridSpan w:val="2"/>
          </w:tcPr>
          <w:p w:rsidR="00235869" w:rsidRPr="00BD646C" w:rsidP="001F79B0" w14:paraId="26B4A61E" w14:textId="77777777">
            <w:pPr>
              <w:rPr>
                <w:b/>
                <w:bCs/>
                <w:sz w:val="22"/>
                <w:szCs w:val="22"/>
                <w:lang w:val="hu-HU"/>
              </w:rPr>
            </w:pPr>
            <w:r w:rsidRPr="00BD646C">
              <w:rPr>
                <w:b/>
                <w:bCs/>
                <w:sz w:val="22"/>
                <w:szCs w:val="22"/>
                <w:lang w:val="hu-HU"/>
              </w:rPr>
              <w:t>Magyarország</w:t>
            </w:r>
          </w:p>
          <w:p w:rsidR="00235869" w:rsidRPr="00BD646C" w:rsidP="001F79B0" w14:paraId="7B558E9B" w14:textId="77777777">
            <w:pPr>
              <w:rPr>
                <w:bCs/>
                <w:sz w:val="22"/>
                <w:szCs w:val="22"/>
                <w:lang w:val="hu-HU"/>
              </w:rPr>
            </w:pPr>
            <w:r w:rsidRPr="00BD646C">
              <w:rPr>
                <w:bCs/>
                <w:sz w:val="22"/>
                <w:szCs w:val="22"/>
                <w:lang w:val="hu-HU"/>
              </w:rPr>
              <w:t>AbbVie Kft.</w:t>
            </w:r>
          </w:p>
          <w:p w:rsidR="00235869" w:rsidRPr="00BD646C" w:rsidP="001F79B0" w14:paraId="1C4CDBFA" w14:textId="77777777">
            <w:pPr>
              <w:rPr>
                <w:bCs/>
                <w:sz w:val="22"/>
                <w:szCs w:val="22"/>
                <w:lang w:val="hu-HU"/>
              </w:rPr>
            </w:pPr>
            <w:r w:rsidRPr="00BD646C">
              <w:rPr>
                <w:bCs/>
                <w:sz w:val="22"/>
                <w:szCs w:val="22"/>
                <w:lang w:val="hu-HU"/>
              </w:rPr>
              <w:t>Tel.:+36 1 455 8600</w:t>
            </w:r>
          </w:p>
          <w:p w:rsidR="00235869" w:rsidRPr="00BD646C" w:rsidP="001F79B0" w14:paraId="4B9FCF79" w14:textId="77777777">
            <w:pPr>
              <w:rPr>
                <w:bCs/>
                <w:sz w:val="22"/>
                <w:szCs w:val="22"/>
                <w:lang w:val="hu-HU"/>
              </w:rPr>
            </w:pPr>
          </w:p>
        </w:tc>
      </w:tr>
      <w:tr w14:paraId="42895B95" w14:textId="77777777" w:rsidTr="001F79B0">
        <w:tblPrEx>
          <w:tblW w:w="9356" w:type="dxa"/>
          <w:tblInd w:w="-34" w:type="dxa"/>
          <w:tblLayout w:type="fixed"/>
          <w:tblLook w:val="0000"/>
        </w:tblPrEx>
        <w:trPr>
          <w:trHeight w:val="737"/>
        </w:trPr>
        <w:tc>
          <w:tcPr>
            <w:tcW w:w="4644" w:type="dxa"/>
            <w:gridSpan w:val="2"/>
          </w:tcPr>
          <w:p w:rsidR="00235869" w:rsidRPr="00BD646C" w:rsidP="001F79B0" w14:paraId="5F28952E" w14:textId="77777777">
            <w:pPr>
              <w:rPr>
                <w:b/>
                <w:bCs/>
                <w:sz w:val="22"/>
                <w:szCs w:val="22"/>
                <w:lang w:val="en-US"/>
              </w:rPr>
            </w:pPr>
            <w:r w:rsidRPr="00BD646C">
              <w:rPr>
                <w:b/>
                <w:bCs/>
                <w:sz w:val="22"/>
                <w:szCs w:val="22"/>
                <w:lang w:val="en-US"/>
              </w:rPr>
              <w:t>Danmark</w:t>
            </w:r>
          </w:p>
          <w:p w:rsidR="00235869" w:rsidRPr="00BD646C" w:rsidP="001F79B0" w14:paraId="32EFF61B" w14:textId="77777777">
            <w:pPr>
              <w:rPr>
                <w:bCs/>
                <w:sz w:val="22"/>
                <w:szCs w:val="22"/>
                <w:lang w:val="en-US"/>
              </w:rPr>
            </w:pPr>
            <w:r w:rsidRPr="00BD646C">
              <w:rPr>
                <w:bCs/>
                <w:sz w:val="22"/>
                <w:szCs w:val="22"/>
                <w:lang w:val="en-US"/>
              </w:rPr>
              <w:t>AbbVie A/S</w:t>
            </w:r>
          </w:p>
          <w:p w:rsidR="00235869" w:rsidRPr="00BD646C" w:rsidP="001F79B0" w14:paraId="3AC12EF8" w14:textId="77777777">
            <w:pPr>
              <w:rPr>
                <w:bCs/>
                <w:sz w:val="22"/>
                <w:szCs w:val="22"/>
                <w:lang w:val="sk-SK"/>
              </w:rPr>
            </w:pPr>
            <w:r w:rsidRPr="00BD646C">
              <w:rPr>
                <w:bCs/>
                <w:sz w:val="22"/>
                <w:szCs w:val="22"/>
                <w:lang w:val="en-US"/>
              </w:rPr>
              <w:t>Tlf</w:t>
            </w:r>
            <w:ins w:id="20053" w:author="AbbVie14" w:date="2025-05-09T11:23:00Z">
              <w:r w:rsidR="002C1DC5">
                <w:rPr>
                  <w:bCs/>
                  <w:sz w:val="22"/>
                  <w:szCs w:val="22"/>
                  <w:lang w:val="en-US"/>
                </w:rPr>
                <w:t>.</w:t>
              </w:r>
            </w:ins>
            <w:r w:rsidRPr="00BD646C">
              <w:rPr>
                <w:bCs/>
                <w:sz w:val="22"/>
                <w:szCs w:val="22"/>
                <w:lang w:val="en-US"/>
              </w:rPr>
              <w:t>: +45 72 30-20-28</w:t>
            </w:r>
          </w:p>
        </w:tc>
        <w:tc>
          <w:tcPr>
            <w:tcW w:w="4678" w:type="dxa"/>
            <w:gridSpan w:val="2"/>
          </w:tcPr>
          <w:p w:rsidR="00235869" w:rsidRPr="00BD646C" w:rsidP="001F79B0" w14:paraId="2033ACAC" w14:textId="77777777">
            <w:pPr>
              <w:rPr>
                <w:b/>
                <w:bCs/>
                <w:sz w:val="22"/>
                <w:szCs w:val="22"/>
                <w:lang w:val="mt-MT"/>
              </w:rPr>
            </w:pPr>
            <w:r w:rsidRPr="00BD646C">
              <w:rPr>
                <w:b/>
                <w:bCs/>
                <w:sz w:val="22"/>
                <w:szCs w:val="22"/>
                <w:lang w:val="mt-MT"/>
              </w:rPr>
              <w:t>Malta</w:t>
            </w:r>
          </w:p>
          <w:p w:rsidR="00235869" w:rsidRPr="00BD646C" w:rsidP="001F79B0" w14:paraId="79740E62" w14:textId="77777777">
            <w:pPr>
              <w:rPr>
                <w:bCs/>
                <w:sz w:val="22"/>
                <w:szCs w:val="22"/>
                <w:lang w:val="sk-SK"/>
              </w:rPr>
            </w:pPr>
            <w:r w:rsidRPr="00BD646C">
              <w:rPr>
                <w:bCs/>
                <w:sz w:val="22"/>
                <w:szCs w:val="22"/>
                <w:lang w:val="sk-SK"/>
              </w:rPr>
              <w:t xml:space="preserve">V.J.Salomone Pharma Limited </w:t>
            </w:r>
          </w:p>
          <w:p w:rsidR="00235869" w:rsidRPr="00BD646C" w:rsidP="001F79B0" w14:paraId="7458C5E0" w14:textId="77777777">
            <w:pPr>
              <w:rPr>
                <w:bCs/>
                <w:sz w:val="22"/>
                <w:szCs w:val="22"/>
                <w:lang w:val="sk-SK"/>
              </w:rPr>
            </w:pPr>
            <w:r w:rsidRPr="00BD646C">
              <w:rPr>
                <w:bCs/>
                <w:sz w:val="22"/>
                <w:szCs w:val="22"/>
                <w:lang w:val="sk-SK"/>
              </w:rPr>
              <w:t xml:space="preserve">Tel: </w:t>
            </w:r>
            <w:r w:rsidRPr="00455317">
              <w:rPr>
                <w:bCs/>
                <w:sz w:val="22"/>
                <w:szCs w:val="22"/>
                <w:lang w:val="en-GB"/>
              </w:rPr>
              <w:t>+356 21220174</w:t>
            </w:r>
          </w:p>
          <w:p w:rsidR="00235869" w:rsidRPr="00BD646C" w:rsidP="001F79B0" w14:paraId="0CAC2162" w14:textId="77777777">
            <w:pPr>
              <w:rPr>
                <w:bCs/>
                <w:sz w:val="22"/>
                <w:szCs w:val="22"/>
                <w:lang w:val="sk-SK"/>
              </w:rPr>
            </w:pPr>
          </w:p>
        </w:tc>
      </w:tr>
      <w:tr w14:paraId="789631EA" w14:textId="77777777" w:rsidTr="001F79B0">
        <w:tblPrEx>
          <w:tblW w:w="9356" w:type="dxa"/>
          <w:tblInd w:w="-34" w:type="dxa"/>
          <w:tblLayout w:type="fixed"/>
          <w:tblLook w:val="0000"/>
        </w:tblPrEx>
        <w:tc>
          <w:tcPr>
            <w:tcW w:w="4644" w:type="dxa"/>
            <w:gridSpan w:val="2"/>
          </w:tcPr>
          <w:p w:rsidR="00235869" w:rsidRPr="00BD646C" w:rsidP="001F79B0" w14:paraId="2A8B38B3" w14:textId="77777777">
            <w:pPr>
              <w:rPr>
                <w:b/>
                <w:bCs/>
                <w:sz w:val="22"/>
                <w:szCs w:val="22"/>
                <w:lang w:val="de-DE"/>
              </w:rPr>
            </w:pPr>
            <w:r w:rsidRPr="00BD646C">
              <w:rPr>
                <w:b/>
                <w:bCs/>
                <w:sz w:val="22"/>
                <w:szCs w:val="22"/>
                <w:lang w:val="de-DE"/>
              </w:rPr>
              <w:t>Deutschland</w:t>
            </w:r>
          </w:p>
          <w:p w:rsidR="00235869" w:rsidRPr="00BD646C" w:rsidP="001F79B0" w14:paraId="3A0AEF23" w14:textId="77777777">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rsidR="00235869" w:rsidRPr="00BD646C" w:rsidP="001F79B0" w14:paraId="5084EFD3" w14:textId="77777777">
            <w:pPr>
              <w:rPr>
                <w:sz w:val="22"/>
                <w:szCs w:val="22"/>
                <w:lang w:val="de-DE"/>
              </w:rPr>
            </w:pPr>
            <w:r w:rsidRPr="00BD646C">
              <w:rPr>
                <w:sz w:val="22"/>
                <w:szCs w:val="22"/>
                <w:lang w:val="de-DE"/>
              </w:rPr>
              <w:t>Tel: 00800 222843 33 (gebührenfrei)</w:t>
            </w:r>
          </w:p>
          <w:p w:rsidR="00235869" w:rsidRPr="00BD646C" w:rsidP="001F79B0" w14:paraId="16F150E4" w14:textId="77777777">
            <w:pPr>
              <w:rPr>
                <w:sz w:val="22"/>
                <w:szCs w:val="22"/>
                <w:lang w:val="de-DE"/>
              </w:rPr>
            </w:pPr>
            <w:r w:rsidRPr="00BD646C">
              <w:rPr>
                <w:sz w:val="22"/>
                <w:szCs w:val="22"/>
                <w:lang w:val="de-DE"/>
              </w:rPr>
              <w:t>Tel: +49 (0) 611 / 1720-0</w:t>
            </w:r>
          </w:p>
          <w:p w:rsidR="00235869" w:rsidRPr="00BD646C" w:rsidP="001F79B0" w14:paraId="42B8E922" w14:textId="77777777">
            <w:pPr>
              <w:rPr>
                <w:sz w:val="22"/>
                <w:szCs w:val="22"/>
                <w:lang w:val="de-DE"/>
              </w:rPr>
            </w:pPr>
          </w:p>
        </w:tc>
        <w:tc>
          <w:tcPr>
            <w:tcW w:w="4678" w:type="dxa"/>
            <w:gridSpan w:val="2"/>
          </w:tcPr>
          <w:p w:rsidR="00235869" w:rsidRPr="00BD646C" w:rsidP="001F79B0" w14:paraId="4AD4A0EE" w14:textId="77777777">
            <w:pPr>
              <w:rPr>
                <w:b/>
                <w:bCs/>
                <w:sz w:val="22"/>
                <w:szCs w:val="22"/>
                <w:lang w:val="nl-NL"/>
              </w:rPr>
            </w:pPr>
            <w:r w:rsidRPr="00BD646C">
              <w:rPr>
                <w:b/>
                <w:bCs/>
                <w:sz w:val="22"/>
                <w:szCs w:val="22"/>
                <w:lang w:val="nl-NL"/>
              </w:rPr>
              <w:t>Nederland</w:t>
            </w:r>
          </w:p>
          <w:p w:rsidR="00235869" w:rsidRPr="00BD646C" w:rsidP="001F79B0" w14:paraId="5A2EB3A9" w14:textId="77777777">
            <w:pPr>
              <w:rPr>
                <w:bCs/>
                <w:sz w:val="22"/>
                <w:szCs w:val="22"/>
                <w:lang w:val="de-DE"/>
              </w:rPr>
            </w:pPr>
            <w:r w:rsidRPr="00BD646C">
              <w:rPr>
                <w:bCs/>
                <w:sz w:val="22"/>
                <w:szCs w:val="22"/>
                <w:lang w:val="de-DE"/>
              </w:rPr>
              <w:t>AbbVie B.V.</w:t>
            </w:r>
          </w:p>
          <w:p w:rsidR="00235869" w:rsidRPr="00BD646C" w:rsidP="001F79B0" w14:paraId="4CAF3522" w14:textId="77777777">
            <w:pPr>
              <w:rPr>
                <w:bCs/>
                <w:sz w:val="22"/>
                <w:szCs w:val="22"/>
                <w:lang w:val="de-DE"/>
              </w:rPr>
            </w:pPr>
            <w:r w:rsidRPr="00BD646C">
              <w:rPr>
                <w:bCs/>
                <w:sz w:val="22"/>
                <w:szCs w:val="22"/>
                <w:lang w:val="de-DE"/>
              </w:rPr>
              <w:t>Tel: +31 (0)88 322 2843</w:t>
            </w:r>
          </w:p>
        </w:tc>
      </w:tr>
      <w:tr w14:paraId="17A4CBD6" w14:textId="77777777" w:rsidTr="001F79B0">
        <w:tblPrEx>
          <w:tblW w:w="9356" w:type="dxa"/>
          <w:tblInd w:w="-34" w:type="dxa"/>
          <w:tblLayout w:type="fixed"/>
          <w:tblLook w:val="0000"/>
        </w:tblPrEx>
        <w:tc>
          <w:tcPr>
            <w:tcW w:w="4644" w:type="dxa"/>
            <w:gridSpan w:val="2"/>
          </w:tcPr>
          <w:p w:rsidR="00235869" w:rsidRPr="00BD646C" w:rsidP="001F79B0" w14:paraId="3505D2AC" w14:textId="77777777">
            <w:pPr>
              <w:rPr>
                <w:b/>
                <w:bCs/>
                <w:sz w:val="22"/>
                <w:szCs w:val="22"/>
                <w:lang w:val="et-EE"/>
              </w:rPr>
            </w:pPr>
            <w:r w:rsidRPr="00BD646C">
              <w:rPr>
                <w:b/>
                <w:bCs/>
                <w:sz w:val="22"/>
                <w:szCs w:val="22"/>
                <w:lang w:val="et-EE"/>
              </w:rPr>
              <w:t>Eesti</w:t>
            </w:r>
          </w:p>
          <w:p w:rsidR="00235869" w:rsidRPr="00BD646C" w:rsidP="001F79B0" w14:paraId="3B6FE348" w14:textId="77777777">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rsidR="00235869" w:rsidRPr="00BD646C" w:rsidP="001F79B0" w14:paraId="4E6F0FFB" w14:textId="77777777">
            <w:pPr>
              <w:rPr>
                <w:bCs/>
                <w:sz w:val="22"/>
                <w:szCs w:val="22"/>
                <w:lang w:val="lv-LV"/>
              </w:rPr>
            </w:pPr>
            <w:r w:rsidRPr="00BD646C">
              <w:rPr>
                <w:bCs/>
                <w:sz w:val="22"/>
                <w:szCs w:val="22"/>
                <w:lang w:val="et-EE"/>
              </w:rPr>
              <w:t>Tel: +372 623 1011</w:t>
            </w:r>
          </w:p>
        </w:tc>
        <w:tc>
          <w:tcPr>
            <w:tcW w:w="4678" w:type="dxa"/>
            <w:gridSpan w:val="2"/>
          </w:tcPr>
          <w:p w:rsidR="00235869" w:rsidRPr="00BD646C" w:rsidP="001F79B0" w14:paraId="15C4ED53" w14:textId="77777777">
            <w:pPr>
              <w:rPr>
                <w:b/>
                <w:bCs/>
                <w:sz w:val="22"/>
                <w:szCs w:val="22"/>
                <w:lang w:val="nb-NO"/>
              </w:rPr>
            </w:pPr>
            <w:r w:rsidRPr="00BD646C">
              <w:rPr>
                <w:b/>
                <w:bCs/>
                <w:sz w:val="22"/>
                <w:szCs w:val="22"/>
                <w:lang w:val="nb-NO"/>
              </w:rPr>
              <w:t>Norge</w:t>
            </w:r>
          </w:p>
          <w:p w:rsidR="00235869" w:rsidRPr="00BD646C" w:rsidP="001F79B0" w14:paraId="3ED13429" w14:textId="77777777">
            <w:pPr>
              <w:rPr>
                <w:bCs/>
                <w:sz w:val="22"/>
                <w:szCs w:val="22"/>
                <w:lang w:val="sk-SK"/>
              </w:rPr>
            </w:pPr>
            <w:r w:rsidRPr="00BD646C">
              <w:rPr>
                <w:bCs/>
                <w:sz w:val="22"/>
                <w:szCs w:val="22"/>
                <w:lang w:val="sk-SK"/>
              </w:rPr>
              <w:t>AbbVie AS</w:t>
            </w:r>
          </w:p>
          <w:p w:rsidR="00235869" w:rsidRPr="00BD646C" w:rsidP="001F79B0" w14:paraId="7ACAECC5" w14:textId="77777777">
            <w:pPr>
              <w:rPr>
                <w:bCs/>
                <w:sz w:val="22"/>
                <w:szCs w:val="22"/>
                <w:lang w:val="sk-SK"/>
              </w:rPr>
            </w:pPr>
            <w:r w:rsidRPr="00BD646C">
              <w:rPr>
                <w:bCs/>
                <w:sz w:val="22"/>
                <w:szCs w:val="22"/>
                <w:lang w:val="sk-SK"/>
              </w:rPr>
              <w:t>Tlf: +47 67 81 80 00</w:t>
            </w:r>
          </w:p>
          <w:p w:rsidR="00235869" w:rsidRPr="00BD646C" w:rsidP="001F79B0" w14:paraId="55EA46A3" w14:textId="77777777">
            <w:pPr>
              <w:rPr>
                <w:bCs/>
                <w:sz w:val="22"/>
                <w:szCs w:val="22"/>
                <w:lang w:val="sk-SK"/>
              </w:rPr>
            </w:pPr>
          </w:p>
        </w:tc>
      </w:tr>
      <w:tr w14:paraId="579354C5" w14:textId="77777777" w:rsidTr="001F79B0">
        <w:tblPrEx>
          <w:tblW w:w="9356" w:type="dxa"/>
          <w:tblInd w:w="-34" w:type="dxa"/>
          <w:tblLayout w:type="fixed"/>
          <w:tblLook w:val="0000"/>
        </w:tblPrEx>
        <w:trPr>
          <w:trHeight w:val="794"/>
        </w:trPr>
        <w:tc>
          <w:tcPr>
            <w:tcW w:w="4644" w:type="dxa"/>
            <w:gridSpan w:val="2"/>
          </w:tcPr>
          <w:p w:rsidR="00235869" w:rsidRPr="00BD646C" w:rsidP="001F79B0" w14:paraId="282C8472" w14:textId="77777777">
            <w:pPr>
              <w:rPr>
                <w:b/>
                <w:bCs/>
                <w:sz w:val="22"/>
                <w:szCs w:val="22"/>
                <w:lang w:val="el-GR"/>
              </w:rPr>
            </w:pPr>
            <w:r w:rsidRPr="00BD646C">
              <w:rPr>
                <w:b/>
                <w:bCs/>
                <w:sz w:val="22"/>
                <w:szCs w:val="22"/>
                <w:lang w:val="el-GR"/>
              </w:rPr>
              <w:t>Ελλάδα</w:t>
            </w:r>
          </w:p>
          <w:p w:rsidR="00235869" w:rsidRPr="00BD646C" w:rsidP="001F79B0" w14:paraId="4EE1C9A1" w14:textId="77777777">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rsidR="00235869" w:rsidRPr="00BD646C" w:rsidP="001F79B0" w14:paraId="4700F284" w14:textId="77777777">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rsidR="00235869" w:rsidRPr="00BD646C" w:rsidP="001F79B0" w14:paraId="0A64814E" w14:textId="77777777">
            <w:pPr>
              <w:rPr>
                <w:b/>
                <w:bCs/>
                <w:sz w:val="22"/>
                <w:szCs w:val="22"/>
                <w:lang w:val="de-DE"/>
              </w:rPr>
            </w:pPr>
            <w:r w:rsidRPr="00BD646C">
              <w:rPr>
                <w:b/>
                <w:bCs/>
                <w:sz w:val="22"/>
                <w:szCs w:val="22"/>
                <w:lang w:val="de-DE"/>
              </w:rPr>
              <w:t>Österreich</w:t>
            </w:r>
          </w:p>
          <w:p w:rsidR="00235869" w:rsidRPr="00BD646C" w:rsidP="001F79B0" w14:paraId="4CC14E86" w14:textId="77777777">
            <w:pPr>
              <w:rPr>
                <w:bCs/>
                <w:sz w:val="22"/>
                <w:szCs w:val="22"/>
                <w:lang w:val="de-DE"/>
              </w:rPr>
            </w:pPr>
            <w:r w:rsidRPr="00BD646C">
              <w:rPr>
                <w:bCs/>
                <w:sz w:val="22"/>
                <w:szCs w:val="22"/>
                <w:lang w:val="de-DE"/>
              </w:rPr>
              <w:t xml:space="preserve">AbbVie GmbH </w:t>
            </w:r>
          </w:p>
          <w:p w:rsidR="00235869" w:rsidRPr="00BD646C" w:rsidP="001F79B0" w14:paraId="2EEE4592" w14:textId="77777777">
            <w:pPr>
              <w:rPr>
                <w:bCs/>
                <w:sz w:val="22"/>
                <w:szCs w:val="22"/>
                <w:lang w:val="de-DE"/>
              </w:rPr>
            </w:pPr>
            <w:r w:rsidRPr="00BD646C">
              <w:rPr>
                <w:bCs/>
                <w:sz w:val="22"/>
                <w:szCs w:val="22"/>
                <w:lang w:val="de-DE"/>
              </w:rPr>
              <w:t>Tel: +43 1 20589-0</w:t>
            </w:r>
          </w:p>
          <w:p w:rsidR="00235869" w:rsidRPr="00BD646C" w:rsidP="001F79B0" w14:paraId="05EFB22E" w14:textId="77777777">
            <w:pPr>
              <w:rPr>
                <w:bCs/>
                <w:sz w:val="22"/>
                <w:szCs w:val="22"/>
                <w:lang w:val="de-DE"/>
              </w:rPr>
            </w:pPr>
          </w:p>
        </w:tc>
      </w:tr>
      <w:tr w14:paraId="2E2E827A"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235869" w14:paraId="4A27DD09" w14:textId="77777777">
            <w:pPr>
              <w:keepNext/>
              <w:rPr>
                <w:b/>
                <w:bCs/>
                <w:sz w:val="22"/>
                <w:szCs w:val="22"/>
                <w:lang w:val="es-ES"/>
              </w:rPr>
            </w:pPr>
            <w:r w:rsidRPr="00BD646C">
              <w:rPr>
                <w:b/>
                <w:bCs/>
                <w:sz w:val="22"/>
                <w:szCs w:val="22"/>
                <w:lang w:val="es-ES"/>
              </w:rPr>
              <w:t>España</w:t>
            </w:r>
          </w:p>
          <w:p w:rsidR="00235869" w:rsidRPr="00BD646C" w:rsidP="00235869" w14:paraId="76578971" w14:textId="77777777">
            <w:pPr>
              <w:keepNext/>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rsidR="00235869" w:rsidRPr="00BD646C" w:rsidP="00235869" w14:paraId="1740B8D4" w14:textId="77777777">
            <w:pPr>
              <w:keepNext/>
              <w:rPr>
                <w:bCs/>
                <w:sz w:val="22"/>
                <w:szCs w:val="22"/>
                <w:lang w:val="pl-PL"/>
              </w:rPr>
            </w:pPr>
            <w:r w:rsidRPr="00BD646C">
              <w:rPr>
                <w:bCs/>
                <w:sz w:val="22"/>
                <w:szCs w:val="22"/>
                <w:lang w:val="pt-PT"/>
              </w:rPr>
              <w:t>Tel: +34 91 384 09 10</w:t>
            </w:r>
          </w:p>
        </w:tc>
        <w:tc>
          <w:tcPr>
            <w:tcW w:w="4678" w:type="dxa"/>
          </w:tcPr>
          <w:p w:rsidR="00235869" w:rsidRPr="00BD646C" w:rsidP="00235869" w14:paraId="28FF4B66" w14:textId="77777777">
            <w:pPr>
              <w:keepNext/>
              <w:rPr>
                <w:b/>
                <w:bCs/>
                <w:iCs/>
                <w:sz w:val="22"/>
                <w:szCs w:val="22"/>
                <w:lang w:val="pl-PL"/>
              </w:rPr>
            </w:pPr>
            <w:r w:rsidRPr="00BD646C">
              <w:rPr>
                <w:b/>
                <w:bCs/>
                <w:iCs/>
                <w:sz w:val="22"/>
                <w:szCs w:val="22"/>
                <w:lang w:val="pl-PL"/>
              </w:rPr>
              <w:t>Polska</w:t>
            </w:r>
          </w:p>
          <w:p w:rsidR="00235869" w:rsidRPr="00BD646C" w:rsidP="00235869" w14:paraId="64FC4C3D" w14:textId="77777777">
            <w:pPr>
              <w:keepNext/>
              <w:rPr>
                <w:bCs/>
                <w:sz w:val="22"/>
                <w:szCs w:val="22"/>
                <w:lang w:val="pl-PL"/>
              </w:rPr>
            </w:pPr>
            <w:r w:rsidRPr="00BD646C">
              <w:rPr>
                <w:bCs/>
                <w:sz w:val="22"/>
                <w:szCs w:val="22"/>
                <w:lang w:val="pl-PL"/>
              </w:rPr>
              <w:t>AbbVie Sp. z o.o.</w:t>
            </w:r>
          </w:p>
          <w:p w:rsidR="00235869" w:rsidRPr="00BD646C" w:rsidP="00235869" w14:paraId="3E05A53D" w14:textId="77777777">
            <w:pPr>
              <w:keepNext/>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rsidR="00235869" w:rsidRPr="00BD646C" w:rsidP="00235869" w14:paraId="79A0F045" w14:textId="77777777">
            <w:pPr>
              <w:keepNext/>
              <w:rPr>
                <w:bCs/>
                <w:sz w:val="22"/>
                <w:szCs w:val="22"/>
                <w:lang w:val="pl-PL"/>
              </w:rPr>
            </w:pPr>
          </w:p>
        </w:tc>
      </w:tr>
      <w:tr w14:paraId="3F89B292" w14:textId="77777777" w:rsidTr="001F79B0">
        <w:tblPrEx>
          <w:tblW w:w="9356" w:type="dxa"/>
          <w:tblInd w:w="-34" w:type="dxa"/>
          <w:tblLayout w:type="fixed"/>
          <w:tblLook w:val="0000"/>
        </w:tblPrEx>
        <w:trPr>
          <w:trHeight w:val="734"/>
        </w:trPr>
        <w:tc>
          <w:tcPr>
            <w:tcW w:w="4678" w:type="dxa"/>
            <w:gridSpan w:val="3"/>
          </w:tcPr>
          <w:p w:rsidR="00235869" w:rsidRPr="00BD646C" w:rsidP="001F79B0" w14:paraId="49503C17" w14:textId="77777777">
            <w:pPr>
              <w:rPr>
                <w:b/>
                <w:bCs/>
                <w:sz w:val="22"/>
                <w:szCs w:val="22"/>
                <w:lang w:val="fr-FR"/>
              </w:rPr>
            </w:pPr>
            <w:r w:rsidRPr="00BD646C">
              <w:rPr>
                <w:b/>
                <w:bCs/>
                <w:sz w:val="22"/>
                <w:szCs w:val="22"/>
                <w:lang w:val="fr-FR"/>
              </w:rPr>
              <w:t>France</w:t>
            </w:r>
          </w:p>
          <w:p w:rsidR="00235869" w:rsidRPr="00BD646C" w:rsidP="001F79B0" w14:paraId="261E19EB" w14:textId="77777777">
            <w:pPr>
              <w:rPr>
                <w:bCs/>
                <w:sz w:val="22"/>
                <w:szCs w:val="22"/>
                <w:lang w:val="fr-FR"/>
              </w:rPr>
            </w:pPr>
            <w:r w:rsidRPr="00BD646C">
              <w:rPr>
                <w:bCs/>
                <w:sz w:val="22"/>
                <w:szCs w:val="22"/>
                <w:lang w:val="fr-FR"/>
              </w:rPr>
              <w:t>AbbVie</w:t>
            </w:r>
          </w:p>
          <w:p w:rsidR="00235869" w:rsidRPr="00BD646C" w:rsidP="001F79B0" w14:paraId="6BD524DC" w14:textId="77777777">
            <w:pPr>
              <w:rPr>
                <w:bCs/>
                <w:sz w:val="22"/>
                <w:szCs w:val="22"/>
                <w:lang w:val="fr-FR"/>
              </w:rPr>
            </w:pPr>
            <w:r w:rsidRPr="00BD646C">
              <w:rPr>
                <w:bCs/>
                <w:sz w:val="22"/>
                <w:szCs w:val="22"/>
                <w:lang w:val="fr-FR"/>
              </w:rPr>
              <w:t>Tél:</w:t>
            </w:r>
            <w:r w:rsidRPr="00BD646C">
              <w:rPr>
                <w:bCs/>
                <w:sz w:val="22"/>
                <w:szCs w:val="22"/>
                <w:lang w:val="fr-FR"/>
              </w:rPr>
              <w:t xml:space="preserve"> +33 (0) 1 45 60 13 00</w:t>
            </w:r>
          </w:p>
        </w:tc>
        <w:tc>
          <w:tcPr>
            <w:tcW w:w="4678" w:type="dxa"/>
          </w:tcPr>
          <w:p w:rsidR="00235869" w:rsidRPr="00BD646C" w:rsidP="001F79B0" w14:paraId="6AF3F99D" w14:textId="77777777">
            <w:pPr>
              <w:rPr>
                <w:b/>
                <w:bCs/>
                <w:sz w:val="22"/>
                <w:szCs w:val="22"/>
                <w:lang w:val="pt-PT"/>
              </w:rPr>
            </w:pPr>
            <w:r w:rsidRPr="00BD646C">
              <w:rPr>
                <w:b/>
                <w:bCs/>
                <w:sz w:val="22"/>
                <w:szCs w:val="22"/>
                <w:lang w:val="pt-PT"/>
              </w:rPr>
              <w:t>Portugal</w:t>
            </w:r>
          </w:p>
          <w:p w:rsidR="00235869" w:rsidRPr="00BD646C" w:rsidP="001F79B0" w14:paraId="2CBBF93E" w14:textId="77777777">
            <w:pPr>
              <w:rPr>
                <w:bCs/>
                <w:sz w:val="22"/>
                <w:szCs w:val="22"/>
                <w:lang w:val="fr-FR"/>
              </w:rPr>
            </w:pPr>
            <w:r w:rsidRPr="00BD646C">
              <w:rPr>
                <w:bCs/>
                <w:sz w:val="22"/>
                <w:szCs w:val="22"/>
                <w:lang w:val="fr-FR"/>
              </w:rPr>
              <w:t xml:space="preserve">AbbVie, </w:t>
            </w:r>
            <w:r w:rsidRPr="00BD646C">
              <w:rPr>
                <w:bCs/>
                <w:sz w:val="22"/>
                <w:szCs w:val="22"/>
                <w:lang w:val="fr-FR"/>
              </w:rPr>
              <w:t>Lda</w:t>
            </w:r>
            <w:r w:rsidRPr="00BD646C">
              <w:rPr>
                <w:bCs/>
                <w:sz w:val="22"/>
                <w:szCs w:val="22"/>
                <w:lang w:val="fr-FR"/>
              </w:rPr>
              <w:t xml:space="preserve">. </w:t>
            </w:r>
          </w:p>
          <w:p w:rsidR="00235869" w:rsidRPr="00BD646C" w:rsidP="001F79B0" w14:paraId="42558715" w14:textId="77777777">
            <w:pPr>
              <w:rPr>
                <w:sz w:val="22"/>
                <w:szCs w:val="22"/>
                <w:lang w:val="fr-FR"/>
              </w:rPr>
            </w:pPr>
            <w:r w:rsidRPr="00BD646C">
              <w:rPr>
                <w:sz w:val="22"/>
                <w:szCs w:val="22"/>
                <w:lang w:val="fr-FR"/>
              </w:rPr>
              <w:t>Tel:</w:t>
            </w:r>
            <w:r w:rsidRPr="00BD646C">
              <w:rPr>
                <w:sz w:val="22"/>
                <w:szCs w:val="22"/>
                <w:lang w:val="fr-FR"/>
              </w:rPr>
              <w:t xml:space="preserve"> +351 (0)21 1908400</w:t>
            </w:r>
          </w:p>
          <w:p w:rsidR="00235869" w:rsidRPr="00BD646C" w:rsidP="001F79B0" w14:paraId="662BF603" w14:textId="77777777">
            <w:pPr>
              <w:rPr>
                <w:sz w:val="22"/>
                <w:szCs w:val="22"/>
                <w:lang w:val="fr-FR"/>
              </w:rPr>
            </w:pPr>
          </w:p>
        </w:tc>
      </w:tr>
      <w:tr w14:paraId="1027A26D" w14:textId="77777777" w:rsidTr="001F79B0">
        <w:tblPrEx>
          <w:tblW w:w="9356" w:type="dxa"/>
          <w:tblInd w:w="-34" w:type="dxa"/>
          <w:tblLayout w:type="fixed"/>
          <w:tblLook w:val="0000"/>
        </w:tblPrEx>
        <w:trPr>
          <w:gridBefore w:val="1"/>
          <w:wBefore w:w="34" w:type="dxa"/>
        </w:trPr>
        <w:tc>
          <w:tcPr>
            <w:tcW w:w="4644" w:type="dxa"/>
            <w:gridSpan w:val="2"/>
          </w:tcPr>
          <w:p w:rsidR="00235869" w:rsidRPr="00D16F00" w:rsidP="001F79B0" w14:paraId="209470F2" w14:textId="77777777">
            <w:pPr>
              <w:rPr>
                <w:sz w:val="22"/>
                <w:szCs w:val="22"/>
              </w:rPr>
            </w:pPr>
            <w:r w:rsidRPr="00D16F00">
              <w:rPr>
                <w:b/>
                <w:bCs/>
                <w:sz w:val="22"/>
                <w:szCs w:val="22"/>
              </w:rPr>
              <w:t xml:space="preserve">Hrvatska </w:t>
            </w:r>
          </w:p>
          <w:p w:rsidR="00235869" w:rsidRPr="00BD646C" w:rsidP="001F79B0" w14:paraId="79BDA896" w14:textId="77777777">
            <w:pPr>
              <w:rPr>
                <w:sz w:val="22"/>
                <w:szCs w:val="22"/>
                <w:lang w:val="hr-HR"/>
              </w:rPr>
            </w:pPr>
            <w:r w:rsidRPr="00BD646C">
              <w:rPr>
                <w:sz w:val="22"/>
                <w:szCs w:val="22"/>
                <w:lang w:val="hr-HR"/>
              </w:rPr>
              <w:t>AbbVie d.o.o.</w:t>
            </w:r>
          </w:p>
          <w:p w:rsidR="00235869" w:rsidRPr="00BD646C" w:rsidP="001F79B0" w14:paraId="7BF976ED" w14:textId="77777777">
            <w:pPr>
              <w:rPr>
                <w:bCs/>
                <w:sz w:val="22"/>
                <w:szCs w:val="22"/>
              </w:rPr>
            </w:pPr>
            <w:r w:rsidRPr="00BD646C">
              <w:rPr>
                <w:sz w:val="22"/>
                <w:szCs w:val="22"/>
                <w:lang w:val="hr-HR"/>
              </w:rPr>
              <w:t xml:space="preserve">Tel + 385 (0)1 </w:t>
            </w:r>
            <w:r w:rsidRPr="00BD646C">
              <w:rPr>
                <w:sz w:val="22"/>
                <w:szCs w:val="22"/>
                <w:lang w:val="en-US"/>
              </w:rPr>
              <w:t>5625 501</w:t>
            </w:r>
          </w:p>
        </w:tc>
        <w:tc>
          <w:tcPr>
            <w:tcW w:w="4678" w:type="dxa"/>
          </w:tcPr>
          <w:p w:rsidR="00235869" w:rsidRPr="00BD646C" w:rsidP="001F79B0" w14:paraId="2C546CCB" w14:textId="77777777">
            <w:pPr>
              <w:rPr>
                <w:b/>
                <w:bCs/>
                <w:sz w:val="22"/>
                <w:szCs w:val="22"/>
              </w:rPr>
            </w:pPr>
            <w:r w:rsidRPr="00BD646C">
              <w:rPr>
                <w:b/>
                <w:bCs/>
                <w:sz w:val="22"/>
                <w:szCs w:val="22"/>
              </w:rPr>
              <w:t>România</w:t>
            </w:r>
          </w:p>
          <w:p w:rsidR="00235869" w:rsidRPr="00BD646C" w:rsidP="001F79B0" w14:paraId="3DDE639D" w14:textId="77777777">
            <w:pPr>
              <w:rPr>
                <w:sz w:val="22"/>
                <w:szCs w:val="22"/>
              </w:rPr>
            </w:pPr>
            <w:r w:rsidRPr="00BD646C">
              <w:rPr>
                <w:sz w:val="22"/>
                <w:szCs w:val="22"/>
              </w:rPr>
              <w:t>AbbVie S.R.L.</w:t>
            </w:r>
          </w:p>
          <w:p w:rsidR="00235869" w:rsidRPr="00BD646C" w:rsidP="001F79B0" w14:paraId="17A05CE6" w14:textId="77777777">
            <w:pPr>
              <w:rPr>
                <w:sz w:val="22"/>
                <w:szCs w:val="22"/>
                <w:lang w:val="pl-PL"/>
              </w:rPr>
            </w:pPr>
            <w:r w:rsidRPr="00BD646C">
              <w:rPr>
                <w:sz w:val="22"/>
                <w:szCs w:val="22"/>
                <w:lang w:val="pl-PL"/>
              </w:rPr>
              <w:t>Tel: +40 21 529 30 35</w:t>
            </w:r>
          </w:p>
          <w:p w:rsidR="00235869" w:rsidRPr="00BD646C" w:rsidP="001F79B0" w14:paraId="7E189561" w14:textId="77777777">
            <w:pPr>
              <w:rPr>
                <w:sz w:val="22"/>
                <w:szCs w:val="22"/>
                <w:lang w:val="pl-PL"/>
              </w:rPr>
            </w:pPr>
          </w:p>
        </w:tc>
      </w:tr>
      <w:tr w14:paraId="5041411F"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5B8EF08F" w14:textId="77777777">
            <w:pPr>
              <w:rPr>
                <w:b/>
                <w:bCs/>
                <w:sz w:val="22"/>
                <w:szCs w:val="22"/>
                <w:lang w:val="sk-SK"/>
              </w:rPr>
            </w:pPr>
            <w:r w:rsidRPr="00BD646C">
              <w:rPr>
                <w:b/>
                <w:bCs/>
                <w:sz w:val="22"/>
                <w:szCs w:val="22"/>
                <w:lang w:val="sk-SK"/>
              </w:rPr>
              <w:t>Ireland</w:t>
            </w:r>
          </w:p>
          <w:p w:rsidR="00235869" w:rsidRPr="00BD646C" w:rsidP="001F79B0" w14:paraId="15AF8A4C" w14:textId="77777777">
            <w:pPr>
              <w:rPr>
                <w:bCs/>
                <w:sz w:val="22"/>
                <w:szCs w:val="22"/>
                <w:lang w:val="sk-SK"/>
              </w:rPr>
            </w:pPr>
            <w:r w:rsidRPr="00BD646C">
              <w:rPr>
                <w:bCs/>
                <w:sz w:val="22"/>
                <w:szCs w:val="22"/>
                <w:lang w:val="sk-SK"/>
              </w:rPr>
              <w:t xml:space="preserve">AbbVie Limited </w:t>
            </w:r>
          </w:p>
          <w:p w:rsidR="00235869" w:rsidRPr="00BD646C" w:rsidP="001F79B0" w14:paraId="0A59521D" w14:textId="77777777">
            <w:pPr>
              <w:rPr>
                <w:bCs/>
                <w:sz w:val="22"/>
                <w:szCs w:val="22"/>
                <w:lang w:val="sk-SK"/>
              </w:rPr>
            </w:pPr>
            <w:r w:rsidRPr="00BD646C">
              <w:rPr>
                <w:bCs/>
                <w:sz w:val="22"/>
                <w:szCs w:val="22"/>
                <w:lang w:val="pt-PT"/>
              </w:rPr>
              <w:t>Tel: +353 (0)1 42879</w:t>
            </w:r>
            <w:r w:rsidR="00FB403F">
              <w:rPr>
                <w:bCs/>
                <w:sz w:val="22"/>
                <w:szCs w:val="22"/>
                <w:lang w:val="pt-PT"/>
              </w:rPr>
              <w:t>0</w:t>
            </w:r>
            <w:r w:rsidRPr="00BD646C">
              <w:rPr>
                <w:bCs/>
                <w:sz w:val="22"/>
                <w:szCs w:val="22"/>
                <w:lang w:val="pt-PT"/>
              </w:rPr>
              <w:t>0</w:t>
            </w:r>
          </w:p>
        </w:tc>
        <w:tc>
          <w:tcPr>
            <w:tcW w:w="4678" w:type="dxa"/>
          </w:tcPr>
          <w:p w:rsidR="00235869" w:rsidRPr="00BD646C" w:rsidP="001F79B0" w14:paraId="1FAFE779" w14:textId="77777777">
            <w:pPr>
              <w:rPr>
                <w:b/>
                <w:bCs/>
                <w:sz w:val="22"/>
                <w:szCs w:val="22"/>
                <w:lang w:val="sl-SI"/>
              </w:rPr>
            </w:pPr>
            <w:r w:rsidRPr="00BD646C">
              <w:rPr>
                <w:b/>
                <w:bCs/>
                <w:sz w:val="22"/>
                <w:szCs w:val="22"/>
                <w:lang w:val="sl-SI"/>
              </w:rPr>
              <w:t>Slovenija</w:t>
            </w:r>
          </w:p>
          <w:p w:rsidR="00235869" w:rsidRPr="00BD646C" w:rsidP="001F79B0" w14:paraId="3A4FC4A1" w14:textId="77777777">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rsidR="00235869" w:rsidRPr="00BD646C" w:rsidP="001F79B0" w14:paraId="21372CC2" w14:textId="77777777">
            <w:pPr>
              <w:rPr>
                <w:bCs/>
                <w:sz w:val="22"/>
                <w:szCs w:val="22"/>
                <w:lang w:val="sl-SI"/>
              </w:rPr>
            </w:pPr>
            <w:r w:rsidRPr="00BD646C">
              <w:rPr>
                <w:bCs/>
                <w:sz w:val="22"/>
                <w:szCs w:val="22"/>
                <w:lang w:val="sl-SI"/>
              </w:rPr>
              <w:t>Tel: +386 (1)32 08 060</w:t>
            </w:r>
          </w:p>
          <w:p w:rsidR="00235869" w:rsidRPr="00BD646C" w:rsidP="001F79B0" w14:paraId="5CBCC0E7" w14:textId="77777777">
            <w:pPr>
              <w:rPr>
                <w:bCs/>
                <w:sz w:val="22"/>
                <w:szCs w:val="22"/>
                <w:lang w:val="sl-SI"/>
              </w:rPr>
            </w:pPr>
          </w:p>
        </w:tc>
      </w:tr>
      <w:tr w14:paraId="44B53FF9"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726C2EFB" w14:textId="77777777">
            <w:pPr>
              <w:rPr>
                <w:b/>
                <w:bCs/>
                <w:sz w:val="22"/>
                <w:szCs w:val="22"/>
                <w:lang w:val="is-IS"/>
              </w:rPr>
            </w:pPr>
            <w:r w:rsidRPr="00BD646C">
              <w:rPr>
                <w:b/>
                <w:bCs/>
                <w:sz w:val="22"/>
                <w:szCs w:val="22"/>
                <w:lang w:val="is-IS"/>
              </w:rPr>
              <w:t>Ísland</w:t>
            </w:r>
          </w:p>
          <w:p w:rsidR="00235869" w:rsidRPr="00BD646C" w:rsidP="001F79B0" w14:paraId="3B534287" w14:textId="77777777">
            <w:pPr>
              <w:rPr>
                <w:bCs/>
                <w:sz w:val="22"/>
                <w:szCs w:val="22"/>
                <w:lang w:val="sk-SK"/>
              </w:rPr>
            </w:pPr>
            <w:r w:rsidRPr="00BD646C">
              <w:rPr>
                <w:bCs/>
                <w:sz w:val="22"/>
                <w:szCs w:val="22"/>
                <w:lang w:val="sk-SK"/>
              </w:rPr>
              <w:t xml:space="preserve">Vistor </w:t>
            </w:r>
            <w:del w:id="20054" w:author="AbbVie14" w:date="2025-05-09T11:24:00Z">
              <w:r w:rsidRPr="00BD646C">
                <w:rPr>
                  <w:bCs/>
                  <w:sz w:val="22"/>
                  <w:szCs w:val="22"/>
                  <w:lang w:val="sk-SK"/>
                </w:rPr>
                <w:delText>hf.</w:delText>
              </w:r>
            </w:del>
          </w:p>
          <w:p w:rsidR="00235869" w:rsidRPr="00BD646C" w:rsidP="001F79B0" w14:paraId="042C0BE4" w14:textId="77777777">
            <w:pPr>
              <w:rPr>
                <w:bCs/>
                <w:sz w:val="22"/>
                <w:szCs w:val="22"/>
                <w:lang w:val="sk-SK"/>
              </w:rPr>
            </w:pPr>
            <w:r w:rsidRPr="00BD646C">
              <w:rPr>
                <w:bCs/>
                <w:sz w:val="22"/>
                <w:szCs w:val="22"/>
                <w:lang w:val="sk-SK"/>
              </w:rPr>
              <w:t>Tel: +354 535 7000</w:t>
            </w:r>
          </w:p>
        </w:tc>
        <w:tc>
          <w:tcPr>
            <w:tcW w:w="4678" w:type="dxa"/>
          </w:tcPr>
          <w:p w:rsidR="00235869" w:rsidRPr="00BD646C" w:rsidP="001F79B0" w14:paraId="28D0CAF3" w14:textId="77777777">
            <w:pPr>
              <w:rPr>
                <w:b/>
                <w:bCs/>
                <w:sz w:val="22"/>
                <w:szCs w:val="22"/>
                <w:lang w:val="sk-SK"/>
              </w:rPr>
            </w:pPr>
            <w:r w:rsidRPr="00BD646C">
              <w:rPr>
                <w:b/>
                <w:bCs/>
                <w:sz w:val="22"/>
                <w:szCs w:val="22"/>
                <w:lang w:val="sk-SK"/>
              </w:rPr>
              <w:t>Slovenská republika</w:t>
            </w:r>
          </w:p>
          <w:p w:rsidR="00235869" w:rsidRPr="00BD646C" w:rsidP="001F79B0" w14:paraId="6D068AB1" w14:textId="77777777">
            <w:pPr>
              <w:rPr>
                <w:bCs/>
                <w:sz w:val="22"/>
                <w:szCs w:val="22"/>
                <w:lang w:val="sk-SK"/>
              </w:rPr>
            </w:pPr>
            <w:r w:rsidRPr="00BD646C">
              <w:rPr>
                <w:bCs/>
                <w:sz w:val="22"/>
                <w:szCs w:val="22"/>
                <w:lang w:val="sk-SK"/>
              </w:rPr>
              <w:t>AbbVie s.r.o.</w:t>
            </w:r>
          </w:p>
          <w:p w:rsidR="00235869" w:rsidRPr="00BD646C" w:rsidP="001F79B0" w14:paraId="2F038DE8" w14:textId="77777777">
            <w:pPr>
              <w:rPr>
                <w:bCs/>
                <w:sz w:val="22"/>
                <w:szCs w:val="22"/>
                <w:lang w:val="sk-SK"/>
              </w:rPr>
            </w:pPr>
            <w:r w:rsidRPr="00BD646C">
              <w:rPr>
                <w:bCs/>
                <w:sz w:val="22"/>
                <w:szCs w:val="22"/>
                <w:lang w:val="sk-SK"/>
              </w:rPr>
              <w:t>Tel: +421 2 5050 0777</w:t>
            </w:r>
          </w:p>
          <w:p w:rsidR="00235869" w:rsidRPr="00BD646C" w:rsidP="001F79B0" w14:paraId="3667BC72" w14:textId="77777777">
            <w:pPr>
              <w:rPr>
                <w:bCs/>
                <w:sz w:val="22"/>
                <w:szCs w:val="22"/>
                <w:lang w:val="sk-SK"/>
              </w:rPr>
            </w:pPr>
          </w:p>
        </w:tc>
      </w:tr>
      <w:tr w14:paraId="0C120DFA" w14:textId="77777777" w:rsidTr="001F79B0">
        <w:tblPrEx>
          <w:tblW w:w="9356" w:type="dxa"/>
          <w:tblInd w:w="-34" w:type="dxa"/>
          <w:tblLayout w:type="fixed"/>
          <w:tblLook w:val="0000"/>
        </w:tblPrEx>
        <w:trPr>
          <w:gridBefore w:val="1"/>
          <w:wBefore w:w="34" w:type="dxa"/>
        </w:trPr>
        <w:tc>
          <w:tcPr>
            <w:tcW w:w="4644" w:type="dxa"/>
            <w:gridSpan w:val="2"/>
          </w:tcPr>
          <w:p w:rsidR="00235869" w:rsidRPr="00BD646C" w:rsidP="001F79B0" w14:paraId="78641622" w14:textId="77777777">
            <w:pPr>
              <w:rPr>
                <w:b/>
                <w:bCs/>
                <w:sz w:val="22"/>
                <w:szCs w:val="22"/>
              </w:rPr>
            </w:pPr>
            <w:r w:rsidRPr="00BD646C">
              <w:rPr>
                <w:b/>
                <w:bCs/>
                <w:sz w:val="22"/>
                <w:szCs w:val="22"/>
              </w:rPr>
              <w:t>Italia</w:t>
            </w:r>
          </w:p>
          <w:p w:rsidR="00235869" w:rsidRPr="00BD646C" w:rsidP="001F79B0" w14:paraId="32B21F06" w14:textId="77777777">
            <w:pPr>
              <w:rPr>
                <w:bCs/>
                <w:sz w:val="22"/>
                <w:szCs w:val="22"/>
                <w:lang w:val="pt-PT"/>
              </w:rPr>
            </w:pPr>
            <w:r w:rsidRPr="00BD646C">
              <w:rPr>
                <w:bCs/>
                <w:sz w:val="22"/>
                <w:szCs w:val="22"/>
                <w:lang w:val="pt-PT"/>
              </w:rPr>
              <w:t xml:space="preserve">AbbVie S.r.l. </w:t>
            </w:r>
          </w:p>
          <w:p w:rsidR="00235869" w:rsidRPr="00BD646C" w:rsidP="001F79B0" w14:paraId="765CE8A4" w14:textId="77777777">
            <w:pPr>
              <w:rPr>
                <w:bCs/>
                <w:sz w:val="22"/>
                <w:szCs w:val="22"/>
                <w:lang w:val="fi-FI"/>
              </w:rPr>
            </w:pPr>
            <w:r w:rsidRPr="00BD646C">
              <w:rPr>
                <w:bCs/>
                <w:sz w:val="22"/>
                <w:szCs w:val="22"/>
                <w:lang w:val="fr-FR"/>
              </w:rPr>
              <w:t>Tel:</w:t>
            </w:r>
            <w:r w:rsidRPr="00BD646C">
              <w:rPr>
                <w:bCs/>
                <w:sz w:val="22"/>
                <w:szCs w:val="22"/>
                <w:lang w:val="fr-FR"/>
              </w:rPr>
              <w:t xml:space="preserve"> +39 06 928921</w:t>
            </w:r>
          </w:p>
        </w:tc>
        <w:tc>
          <w:tcPr>
            <w:tcW w:w="4678" w:type="dxa"/>
          </w:tcPr>
          <w:p w:rsidR="00235869" w:rsidRPr="00BD646C" w:rsidP="001F79B0" w14:paraId="6555D602" w14:textId="77777777">
            <w:pPr>
              <w:rPr>
                <w:b/>
                <w:bCs/>
                <w:sz w:val="22"/>
                <w:szCs w:val="22"/>
                <w:lang w:val="fi-FI"/>
              </w:rPr>
            </w:pPr>
            <w:r w:rsidRPr="00BD646C">
              <w:rPr>
                <w:b/>
                <w:bCs/>
                <w:sz w:val="22"/>
                <w:szCs w:val="22"/>
                <w:lang w:val="fi-FI"/>
              </w:rPr>
              <w:t>Suomi/Finland</w:t>
            </w:r>
          </w:p>
          <w:p w:rsidR="00235869" w:rsidRPr="00BD646C" w:rsidP="001F79B0" w14:paraId="29000370" w14:textId="77777777">
            <w:pPr>
              <w:rPr>
                <w:bCs/>
                <w:sz w:val="22"/>
                <w:szCs w:val="22"/>
                <w:lang w:val="de-CH"/>
              </w:rPr>
            </w:pPr>
            <w:r w:rsidRPr="00BD646C">
              <w:rPr>
                <w:bCs/>
                <w:sz w:val="22"/>
                <w:szCs w:val="22"/>
                <w:lang w:val="sk-SK"/>
              </w:rPr>
              <w:t>AbbVie Oy</w:t>
            </w:r>
          </w:p>
          <w:p w:rsidR="00235869" w:rsidRPr="00BD646C" w:rsidP="001F79B0" w14:paraId="0090AB12" w14:textId="77777777">
            <w:pPr>
              <w:rPr>
                <w:bCs/>
                <w:sz w:val="22"/>
                <w:szCs w:val="22"/>
                <w:lang w:val="sk-SK"/>
              </w:rPr>
            </w:pPr>
            <w:r w:rsidRPr="00BD646C">
              <w:rPr>
                <w:bCs/>
                <w:sz w:val="22"/>
                <w:szCs w:val="22"/>
                <w:lang w:val="sk-SK"/>
              </w:rPr>
              <w:t>Puh/Tel: +358 (0)10 2411 200</w:t>
            </w:r>
          </w:p>
          <w:p w:rsidR="00235869" w:rsidRPr="00BD646C" w:rsidP="001F79B0" w14:paraId="48FF7AAD" w14:textId="77777777">
            <w:pPr>
              <w:rPr>
                <w:sz w:val="22"/>
                <w:szCs w:val="22"/>
                <w:lang w:val="sk-SK"/>
              </w:rPr>
            </w:pPr>
          </w:p>
        </w:tc>
      </w:tr>
      <w:tr w14:paraId="1D4E239F"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235869" w:rsidRPr="00BD646C" w:rsidP="001F79B0" w14:paraId="2BAEE792" w14:textId="77777777">
            <w:pPr>
              <w:rPr>
                <w:b/>
                <w:bCs/>
                <w:sz w:val="22"/>
                <w:szCs w:val="22"/>
                <w:lang w:val="el-GR"/>
              </w:rPr>
            </w:pPr>
            <w:r w:rsidRPr="00BD646C">
              <w:rPr>
                <w:b/>
                <w:bCs/>
                <w:sz w:val="22"/>
                <w:szCs w:val="22"/>
                <w:lang w:val="el-GR"/>
              </w:rPr>
              <w:t>Κύπρος</w:t>
            </w:r>
          </w:p>
          <w:p w:rsidR="00235869" w:rsidRPr="00BD646C" w:rsidP="001F79B0" w14:paraId="6FF684E8" w14:textId="77777777">
            <w:pPr>
              <w:rPr>
                <w:bCs/>
                <w:sz w:val="22"/>
                <w:szCs w:val="22"/>
                <w:lang w:val="el-GR"/>
              </w:rPr>
            </w:pPr>
            <w:r w:rsidRPr="00BD646C">
              <w:rPr>
                <w:bCs/>
                <w:sz w:val="22"/>
                <w:szCs w:val="22"/>
                <w:lang w:val="sk-SK"/>
              </w:rPr>
              <w:t xml:space="preserve">Lifepharma (Z.A.M.) </w:t>
            </w:r>
            <w:r w:rsidRPr="00BD646C">
              <w:rPr>
                <w:bCs/>
                <w:sz w:val="22"/>
                <w:szCs w:val="22"/>
              </w:rPr>
              <w:t>Ltd</w:t>
            </w:r>
          </w:p>
          <w:p w:rsidR="00235869" w:rsidRPr="00BD646C" w:rsidP="001F79B0" w14:paraId="5F55B350" w14:textId="77777777">
            <w:pPr>
              <w:rPr>
                <w:bCs/>
                <w:sz w:val="22"/>
                <w:szCs w:val="22"/>
                <w:lang w:val="lv-LV"/>
              </w:rPr>
            </w:pPr>
            <w:r w:rsidRPr="00BD646C">
              <w:rPr>
                <w:bCs/>
                <w:sz w:val="22"/>
                <w:szCs w:val="22"/>
                <w:lang w:val="el-GR"/>
              </w:rPr>
              <w:t>Τηλ.: +357 22 34 74 40</w:t>
            </w:r>
          </w:p>
        </w:tc>
        <w:tc>
          <w:tcPr>
            <w:tcW w:w="4678" w:type="dxa"/>
          </w:tcPr>
          <w:p w:rsidR="00235869" w:rsidRPr="00BD646C" w:rsidP="001F79B0" w14:paraId="75CCE7CA" w14:textId="77777777">
            <w:pPr>
              <w:rPr>
                <w:b/>
                <w:bCs/>
                <w:sz w:val="22"/>
                <w:szCs w:val="22"/>
                <w:lang w:val="sk-SK"/>
              </w:rPr>
            </w:pPr>
            <w:r w:rsidRPr="00BD646C">
              <w:rPr>
                <w:b/>
                <w:bCs/>
                <w:sz w:val="22"/>
                <w:szCs w:val="22"/>
                <w:lang w:val="sk-SK"/>
              </w:rPr>
              <w:t>Sverige</w:t>
            </w:r>
          </w:p>
          <w:p w:rsidR="00235869" w:rsidRPr="00BD646C" w:rsidP="001F79B0" w14:paraId="50E52785" w14:textId="77777777">
            <w:pPr>
              <w:rPr>
                <w:bCs/>
                <w:sz w:val="22"/>
                <w:szCs w:val="22"/>
                <w:lang w:val="pt-PT"/>
              </w:rPr>
            </w:pPr>
            <w:r w:rsidRPr="00BD646C">
              <w:rPr>
                <w:bCs/>
                <w:sz w:val="22"/>
                <w:szCs w:val="22"/>
                <w:lang w:val="pt-PT"/>
              </w:rPr>
              <w:t>AbbVie AB</w:t>
            </w:r>
          </w:p>
          <w:p w:rsidR="00235869" w:rsidRPr="00BD646C" w:rsidP="001F79B0" w14:paraId="0229EBF7" w14:textId="77777777">
            <w:pPr>
              <w:rPr>
                <w:bCs/>
                <w:sz w:val="22"/>
                <w:szCs w:val="22"/>
                <w:lang w:val="sk-SK"/>
              </w:rPr>
            </w:pPr>
            <w:r w:rsidRPr="00BD646C">
              <w:rPr>
                <w:bCs/>
                <w:sz w:val="22"/>
                <w:szCs w:val="22"/>
                <w:lang w:val="da-DK"/>
              </w:rPr>
              <w:t>Tel: +46 (0)8 684 44 600</w:t>
            </w:r>
          </w:p>
        </w:tc>
      </w:tr>
      <w:tr w14:paraId="78006692"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235869" w:rsidRPr="00BD646C" w:rsidP="001F79B0" w14:paraId="59B949C7" w14:textId="77777777">
            <w:pPr>
              <w:rPr>
                <w:b/>
                <w:bCs/>
                <w:sz w:val="22"/>
                <w:szCs w:val="22"/>
                <w:lang w:val="lv-LV"/>
              </w:rPr>
            </w:pPr>
            <w:r w:rsidRPr="00BD646C">
              <w:rPr>
                <w:b/>
                <w:bCs/>
                <w:sz w:val="22"/>
                <w:szCs w:val="22"/>
                <w:lang w:val="lv-LV"/>
              </w:rPr>
              <w:t>Latvija</w:t>
            </w:r>
          </w:p>
          <w:p w:rsidR="00235869" w:rsidRPr="00BD646C" w:rsidP="001F79B0" w14:paraId="34503EEB" w14:textId="77777777">
            <w:pPr>
              <w:rPr>
                <w:bCs/>
                <w:sz w:val="22"/>
                <w:szCs w:val="22"/>
                <w:lang w:val="lv-LV"/>
              </w:rPr>
            </w:pPr>
            <w:r w:rsidRPr="00BD646C">
              <w:rPr>
                <w:bCs/>
                <w:sz w:val="22"/>
                <w:szCs w:val="22"/>
                <w:lang w:val="lv-LV"/>
              </w:rPr>
              <w:t xml:space="preserve">AbbVie SIA </w:t>
            </w:r>
          </w:p>
          <w:p w:rsidR="00235869" w:rsidRPr="00BD646C" w:rsidP="001F79B0" w14:paraId="058A9F3B" w14:textId="77777777">
            <w:pPr>
              <w:rPr>
                <w:bCs/>
                <w:sz w:val="22"/>
                <w:szCs w:val="22"/>
                <w:lang w:val="lv-LV"/>
              </w:rPr>
            </w:pPr>
            <w:r w:rsidRPr="00BD646C">
              <w:rPr>
                <w:bCs/>
                <w:sz w:val="22"/>
                <w:szCs w:val="22"/>
                <w:lang w:val="lv-LV"/>
              </w:rPr>
              <w:t>Tel: +371 67605000</w:t>
            </w:r>
          </w:p>
        </w:tc>
        <w:tc>
          <w:tcPr>
            <w:tcW w:w="4678" w:type="dxa"/>
          </w:tcPr>
          <w:p w:rsidR="00235869" w:rsidRPr="00BD646C" w:rsidP="001F79B0" w14:paraId="320B5674" w14:textId="77777777">
            <w:pPr>
              <w:rPr>
                <w:b/>
                <w:bCs/>
                <w:sz w:val="22"/>
                <w:szCs w:val="22"/>
                <w:lang w:val="sk-SK"/>
              </w:rPr>
            </w:pPr>
          </w:p>
        </w:tc>
      </w:tr>
    </w:tbl>
    <w:p w:rsidR="006224C2" w:rsidRPr="00357925" w14:paraId="426BE55A" w14:textId="77777777">
      <w:pPr>
        <w:rPr>
          <w:sz w:val="22"/>
          <w:szCs w:val="22"/>
          <w:lang w:val="en-US"/>
        </w:rPr>
      </w:pPr>
    </w:p>
    <w:p w:rsidR="006224C2" w:rsidRPr="00295E71" w14:paraId="404A8057" w14:textId="77777777">
      <w:pPr>
        <w:pStyle w:val="Title"/>
        <w:keepNext/>
        <w:tabs>
          <w:tab w:val="left" w:pos="567"/>
        </w:tabs>
        <w:jc w:val="both"/>
        <w:rPr>
          <w:b w:val="0"/>
          <w:sz w:val="22"/>
          <w:szCs w:val="22"/>
        </w:rPr>
      </w:pPr>
      <w:r w:rsidRPr="00295E71">
        <w:rPr>
          <w:sz w:val="22"/>
          <w:szCs w:val="22"/>
        </w:rPr>
        <w:t>Questo foglio illustrativo è stato aggiornato il</w:t>
      </w:r>
    </w:p>
    <w:p w:rsidR="006224C2" w:rsidRPr="00295E71" w14:paraId="052A70DC" w14:textId="77777777">
      <w:pPr>
        <w:pStyle w:val="Title"/>
        <w:keepNext/>
        <w:tabs>
          <w:tab w:val="left" w:pos="567"/>
        </w:tabs>
        <w:jc w:val="both"/>
        <w:rPr>
          <w:b w:val="0"/>
          <w:sz w:val="22"/>
          <w:szCs w:val="22"/>
        </w:rPr>
      </w:pPr>
    </w:p>
    <w:p w:rsidR="006224C2" w:rsidRPr="00295E71" w14:paraId="483866F0" w14:textId="77777777">
      <w:pPr>
        <w:keepNext/>
        <w:rPr>
          <w:sz w:val="22"/>
          <w:szCs w:val="22"/>
        </w:rPr>
      </w:pPr>
      <w:r w:rsidRPr="00295E71">
        <w:rPr>
          <w:sz w:val="22"/>
          <w:szCs w:val="22"/>
        </w:rPr>
        <w:t xml:space="preserve">Informazioni più dettagliate su questo medicinale sono disponibili sul sito web dell’Agenzia europea dei medicinali: </w:t>
      </w:r>
      <w:ins w:id="20055" w:author="AbbVie14" w:date="2025-05-09T11:28:00Z">
        <w:r w:rsidR="00BE2419">
          <w:rPr>
            <w:sz w:val="22"/>
            <w:szCs w:val="22"/>
          </w:rPr>
          <w:fldChar w:fldCharType="begin"/>
        </w:r>
      </w:ins>
      <w:ins w:id="20056" w:author="AbbVie14" w:date="2025-05-09T11:28:00Z">
        <w:r w:rsidR="00BE2419">
          <w:rPr>
            <w:sz w:val="22"/>
            <w:szCs w:val="22"/>
          </w:rPr>
          <w:instrText>HYPERLINK "</w:instrText>
        </w:r>
      </w:ins>
      <w:r w:rsidRPr="00BE2419" w:rsidR="00BE2419">
        <w:rPr>
          <w:rStyle w:val="Hyperlink"/>
          <w:sz w:val="22"/>
          <w:szCs w:val="22"/>
        </w:rPr>
        <w:instrText>http</w:instrText>
      </w:r>
      <w:ins w:id="20057" w:author="AbbVie14" w:date="2025-05-09T11:24:00Z">
        <w:r w:rsidRPr="00BE2419" w:rsidR="00BE2419">
          <w:rPr>
            <w:rStyle w:val="Hyperlink"/>
            <w:sz w:val="22"/>
            <w:szCs w:val="22"/>
          </w:rPr>
          <w:instrText>s</w:instrText>
        </w:r>
      </w:ins>
      <w:r w:rsidRPr="00BE2419" w:rsidR="00BE2419">
        <w:rPr>
          <w:rStyle w:val="Hyperlink"/>
          <w:sz w:val="22"/>
          <w:szCs w:val="22"/>
        </w:rPr>
        <w:instrText>://www.ema.europa.eu</w:instrText>
      </w:r>
      <w:ins w:id="20058" w:author="AbbVie14" w:date="2025-05-09T11:28:00Z">
        <w:r w:rsidR="00BE2419">
          <w:rPr>
            <w:sz w:val="22"/>
            <w:szCs w:val="22"/>
          </w:rPr>
          <w:instrText>"</w:instrText>
        </w:r>
      </w:ins>
      <w:ins w:id="20059" w:author="AbbVie14" w:date="2025-05-09T11:28:00Z">
        <w:r w:rsidR="00BE2419">
          <w:rPr>
            <w:sz w:val="22"/>
            <w:szCs w:val="22"/>
          </w:rPr>
          <w:fldChar w:fldCharType="separate"/>
        </w:r>
      </w:ins>
      <w:r w:rsidRPr="00BE2419" w:rsidR="00BE2419">
        <w:rPr>
          <w:rStyle w:val="Hyperlink"/>
          <w:sz w:val="22"/>
          <w:szCs w:val="22"/>
        </w:rPr>
        <w:t>http</w:t>
      </w:r>
      <w:ins w:id="20060" w:author="AbbVie14" w:date="2025-05-09T11:24:00Z">
        <w:r w:rsidRPr="00BE2419" w:rsidR="00BE2419">
          <w:rPr>
            <w:rStyle w:val="Hyperlink"/>
            <w:sz w:val="22"/>
            <w:szCs w:val="22"/>
          </w:rPr>
          <w:t>s</w:t>
        </w:r>
      </w:ins>
      <w:r w:rsidRPr="00BE2419" w:rsidR="00BE2419">
        <w:rPr>
          <w:rStyle w:val="Hyperlink"/>
          <w:sz w:val="22"/>
          <w:szCs w:val="22"/>
        </w:rPr>
        <w:t>://www.ema.europa.eu</w:t>
      </w:r>
      <w:ins w:id="20061" w:author="AbbVie14" w:date="2025-05-09T11:28:00Z">
        <w:r w:rsidR="00BE2419">
          <w:rPr>
            <w:sz w:val="22"/>
            <w:szCs w:val="22"/>
          </w:rPr>
          <w:fldChar w:fldCharType="end"/>
        </w:r>
      </w:ins>
      <w:r w:rsidRPr="00295E71">
        <w:rPr>
          <w:rStyle w:val="Hyperlink"/>
          <w:sz w:val="22"/>
          <w:szCs w:val="22"/>
        </w:rPr>
        <w:t>/</w:t>
      </w:r>
      <w:r w:rsidRPr="00295E71">
        <w:rPr>
          <w:sz w:val="22"/>
          <w:szCs w:val="22"/>
        </w:rPr>
        <w:t>.</w:t>
      </w:r>
    </w:p>
    <w:p w:rsidR="006224C2" w:rsidRPr="00295E71" w14:paraId="36D1D5D0" w14:textId="77777777">
      <w:pPr>
        <w:rPr>
          <w:b/>
          <w:snapToGrid w:val="0"/>
          <w:kern w:val="32"/>
          <w:sz w:val="22"/>
          <w:szCs w:val="22"/>
          <w:lang w:eastAsia="fr-LU"/>
        </w:rPr>
      </w:pPr>
    </w:p>
    <w:p w:rsidR="006224C2" w:rsidRPr="005728AE" w14:paraId="2B045120" w14:textId="77777777">
      <w:pPr>
        <w:rPr>
          <w:b/>
          <w:snapToGrid w:val="0"/>
          <w:kern w:val="32"/>
          <w:sz w:val="22"/>
          <w:szCs w:val="22"/>
          <w:lang w:eastAsia="fr-LU"/>
        </w:rPr>
      </w:pPr>
      <w:r w:rsidRPr="0020624D">
        <w:rPr>
          <w:b/>
          <w:color w:val="000000"/>
          <w:sz w:val="22"/>
          <w:szCs w:val="22"/>
        </w:rPr>
        <w:t xml:space="preserve">Per ascoltare o richiedere una copia di questo foglio illustrativo in </w:t>
      </w:r>
      <w:r w:rsidRPr="0020624D">
        <w:rPr>
          <w:b/>
          <w:color w:val="000000"/>
          <w:sz w:val="22"/>
          <w:szCs w:val="22"/>
          <w:shd w:val="clear" w:color="auto" w:fill="A6A6A6"/>
        </w:rPr>
        <w:t>&lt;Braille&gt;, &lt; stampa a caratteri grandi&gt; o &lt;audio</w:t>
      </w:r>
      <w:r w:rsidRPr="0020624D">
        <w:rPr>
          <w:b/>
          <w:color w:val="000000"/>
          <w:sz w:val="22"/>
          <w:szCs w:val="22"/>
          <w:highlight w:val="darkGray"/>
        </w:rPr>
        <w:t>&gt;</w:t>
      </w:r>
      <w:r w:rsidRPr="0020624D">
        <w:rPr>
          <w:b/>
          <w:color w:val="000000"/>
          <w:sz w:val="22"/>
          <w:szCs w:val="22"/>
        </w:rPr>
        <w:t xml:space="preserve">, contattare il rappresentante locale del </w:t>
      </w:r>
      <w:r w:rsidRPr="0020624D">
        <w:rPr>
          <w:b/>
          <w:sz w:val="22"/>
          <w:szCs w:val="22"/>
        </w:rPr>
        <w:t>titolare dell’autorizzazione all’immissione in commercio</w:t>
      </w:r>
      <w:r w:rsidRPr="0020624D">
        <w:rPr>
          <w:b/>
          <w:color w:val="000000"/>
          <w:sz w:val="22"/>
          <w:szCs w:val="22"/>
        </w:rPr>
        <w:t>.</w:t>
      </w:r>
    </w:p>
    <w:p w:rsidR="006224C2" w:rsidRPr="00295E71" w14:paraId="5FA8F3D1" w14:textId="77777777">
      <w:pPr>
        <w:numPr>
          <w:ilvl w:val="12"/>
          <w:numId w:val="0"/>
        </w:numPr>
        <w:tabs>
          <w:tab w:val="left" w:pos="567"/>
        </w:tabs>
        <w:ind w:right="-2"/>
        <w:jc w:val="both"/>
        <w:rPr>
          <w:b/>
          <w:snapToGrid w:val="0"/>
          <w:kern w:val="32"/>
          <w:sz w:val="22"/>
          <w:szCs w:val="22"/>
          <w:lang w:eastAsia="fr-LU"/>
        </w:rPr>
      </w:pPr>
    </w:p>
    <w:p w:rsidR="006224C2" w:rsidRPr="00295E71" w14:paraId="6F9E85CB" w14:textId="77777777">
      <w:pPr>
        <w:rPr>
          <w:b/>
          <w:snapToGrid w:val="0"/>
          <w:kern w:val="32"/>
          <w:sz w:val="22"/>
          <w:szCs w:val="22"/>
          <w:lang w:eastAsia="fr-LU"/>
        </w:rPr>
      </w:pPr>
    </w:p>
    <w:p w:rsidR="006224C2" w:rsidRPr="00295E71" w14:paraId="2F7FBA07" w14:textId="77777777">
      <w:pPr>
        <w:pStyle w:val="No-numheading3Agency"/>
        <w:keepLines/>
        <w:spacing w:before="0" w:after="0"/>
        <w:rPr>
          <w:rFonts w:ascii="Times New Roman" w:hAnsi="Times New Roman"/>
          <w:szCs w:val="22"/>
          <w:lang w:val="it-IT"/>
        </w:rPr>
      </w:pPr>
      <w:r w:rsidRPr="00295E71">
        <w:rPr>
          <w:rFonts w:ascii="Times New Roman" w:hAnsi="Times New Roman"/>
          <w:szCs w:val="22"/>
          <w:lang w:val="it-IT"/>
        </w:rPr>
        <w:t xml:space="preserve">7. </w:t>
      </w:r>
      <w:r w:rsidRPr="00295E71">
        <w:rPr>
          <w:rFonts w:ascii="Times New Roman" w:hAnsi="Times New Roman"/>
          <w:szCs w:val="22"/>
          <w:lang w:val="it-IT"/>
        </w:rPr>
        <w:tab/>
      </w:r>
      <w:r w:rsidR="00522B2A">
        <w:rPr>
          <w:rFonts w:ascii="Times New Roman" w:hAnsi="Times New Roman"/>
          <w:szCs w:val="22"/>
          <w:lang w:val="it-IT"/>
        </w:rPr>
        <w:t>Iniezione di Humira</w:t>
      </w:r>
    </w:p>
    <w:p w:rsidR="006224C2" w:rsidRPr="00295E71" w:rsidP="00677F01" w14:paraId="52106CFE" w14:textId="77777777">
      <w:pPr>
        <w:pStyle w:val="BodytextAgency"/>
        <w:keepNext/>
        <w:keepLines/>
        <w:spacing w:after="0"/>
        <w:rPr>
          <w:rFonts w:ascii="Times New Roman" w:hAnsi="Times New Roman"/>
          <w:sz w:val="22"/>
          <w:szCs w:val="22"/>
          <w:lang w:val="it-IT"/>
        </w:rPr>
      </w:pPr>
    </w:p>
    <w:p w:rsidR="006224C2" w:rsidRPr="00295E71" w14:paraId="5B322CEE" w14:textId="77777777">
      <w:pPr>
        <w:keepNext/>
        <w:keepLines/>
        <w:numPr>
          <w:ilvl w:val="0"/>
          <w:numId w:val="99"/>
        </w:numPr>
        <w:suppressAutoHyphens/>
        <w:rPr>
          <w:sz w:val="22"/>
          <w:szCs w:val="22"/>
        </w:rPr>
      </w:pPr>
      <w:r w:rsidRPr="00295E71">
        <w:rPr>
          <w:sz w:val="22"/>
          <w:szCs w:val="22"/>
        </w:rPr>
        <w:t xml:space="preserve">Le </w:t>
      </w:r>
      <w:r w:rsidRPr="00295E71">
        <w:rPr>
          <w:sz w:val="22"/>
          <w:szCs w:val="22"/>
          <w:lang w:eastAsia="en-US"/>
        </w:rPr>
        <w:t>seguenti istruzioni spiegano come effettuare l’auto-iniezione sottocutanea di Humira utilizzando la penna pre-riempita. Prima di tutto legga attentamente le istruzioni e le segua passo dopo passo</w:t>
      </w:r>
      <w:r w:rsidRPr="00295E71">
        <w:rPr>
          <w:sz w:val="22"/>
          <w:szCs w:val="22"/>
        </w:rPr>
        <w:t xml:space="preserve">. </w:t>
      </w:r>
    </w:p>
    <w:p w:rsidR="006224C2" w:rsidRPr="00295E71" w14:paraId="2EF28C71" w14:textId="77777777">
      <w:pPr>
        <w:ind w:left="720"/>
        <w:rPr>
          <w:sz w:val="22"/>
          <w:szCs w:val="22"/>
        </w:rPr>
      </w:pPr>
    </w:p>
    <w:p w:rsidR="006224C2" w:rsidRPr="00295E71" w14:paraId="2A0286B2" w14:textId="77777777">
      <w:pPr>
        <w:numPr>
          <w:ilvl w:val="0"/>
          <w:numId w:val="99"/>
        </w:numPr>
        <w:suppressAutoHyphens/>
        <w:rPr>
          <w:sz w:val="22"/>
          <w:szCs w:val="22"/>
        </w:rPr>
      </w:pPr>
      <w:r w:rsidRPr="00295E71">
        <w:rPr>
          <w:sz w:val="22"/>
          <w:szCs w:val="22"/>
          <w:lang w:eastAsia="en-US"/>
        </w:rPr>
        <w:t>Riceverà istruzioni dal medico, dall’infermiere o dal farmacista sulla tecnica dell’auto-somministrazione</w:t>
      </w:r>
      <w:r w:rsidRPr="00295E71">
        <w:rPr>
          <w:sz w:val="22"/>
          <w:szCs w:val="22"/>
        </w:rPr>
        <w:t xml:space="preserve">. </w:t>
      </w:r>
    </w:p>
    <w:p w:rsidR="006224C2" w:rsidRPr="00295E71" w14:paraId="3DF6249E" w14:textId="77777777">
      <w:pPr>
        <w:ind w:left="720"/>
        <w:rPr>
          <w:sz w:val="22"/>
          <w:szCs w:val="22"/>
        </w:rPr>
      </w:pPr>
    </w:p>
    <w:p w:rsidR="006224C2" w:rsidRPr="00295E71" w14:paraId="26E7A5F4" w14:textId="77777777">
      <w:pPr>
        <w:numPr>
          <w:ilvl w:val="0"/>
          <w:numId w:val="99"/>
        </w:numPr>
        <w:suppressAutoHyphens/>
        <w:rPr>
          <w:sz w:val="22"/>
          <w:szCs w:val="22"/>
        </w:rPr>
      </w:pPr>
      <w:r w:rsidRPr="00295E71">
        <w:rPr>
          <w:sz w:val="22"/>
          <w:szCs w:val="22"/>
        </w:rPr>
        <w:t xml:space="preserve">Non proceda all’iniezione da solo finché non è sicuro di aver capito come preparare ed eseguire l’iniezione. </w:t>
      </w:r>
    </w:p>
    <w:p w:rsidR="006224C2" w:rsidRPr="00295E71" w14:paraId="1FD65257" w14:textId="77777777">
      <w:pPr>
        <w:ind w:left="720"/>
        <w:rPr>
          <w:sz w:val="22"/>
          <w:szCs w:val="22"/>
        </w:rPr>
      </w:pPr>
    </w:p>
    <w:p w:rsidR="006224C2" w:rsidRPr="00295E71" w14:paraId="7C219F21" w14:textId="77777777">
      <w:pPr>
        <w:numPr>
          <w:ilvl w:val="0"/>
          <w:numId w:val="99"/>
        </w:numPr>
        <w:suppressAutoHyphens/>
        <w:rPr>
          <w:sz w:val="22"/>
          <w:szCs w:val="22"/>
        </w:rPr>
      </w:pPr>
      <w:r w:rsidRPr="00295E71">
        <w:rPr>
          <w:sz w:val="22"/>
          <w:szCs w:val="22"/>
          <w:lang w:eastAsia="en-US"/>
        </w:rPr>
        <w:t>Dopo adeguate istruzioni l’iniezione può essere eseguita da lei o da altre persone quali, ad esempio, un familiare o un amico</w:t>
      </w:r>
      <w:r w:rsidRPr="00295E71">
        <w:rPr>
          <w:sz w:val="22"/>
          <w:szCs w:val="22"/>
        </w:rPr>
        <w:t>.</w:t>
      </w:r>
    </w:p>
    <w:p w:rsidR="006224C2" w:rsidRPr="00295E71" w14:paraId="30E2B8CA" w14:textId="77777777">
      <w:pPr>
        <w:ind w:left="720"/>
        <w:rPr>
          <w:sz w:val="22"/>
          <w:szCs w:val="22"/>
        </w:rPr>
      </w:pPr>
    </w:p>
    <w:p w:rsidR="006224C2" w:rsidRPr="00295E71" w14:paraId="04D7E458" w14:textId="77777777">
      <w:pPr>
        <w:pStyle w:val="EMEAHeadingLeaflet"/>
        <w:numPr>
          <w:ilvl w:val="0"/>
          <w:numId w:val="99"/>
        </w:numPr>
        <w:tabs>
          <w:tab w:val="clear" w:pos="562"/>
        </w:tabs>
        <w:spacing w:beforeLines="0" w:afterLines="0"/>
        <w:rPr>
          <w:rFonts w:ascii="Times New Roman" w:hAnsi="Times New Roman"/>
          <w:b w:val="0"/>
          <w:szCs w:val="22"/>
          <w:lang w:val="it-IT"/>
        </w:rPr>
      </w:pPr>
      <w:r w:rsidRPr="00295E71">
        <w:rPr>
          <w:rFonts w:ascii="Times New Roman" w:hAnsi="Times New Roman"/>
          <w:b w:val="0"/>
          <w:szCs w:val="22"/>
          <w:lang w:val="it-IT"/>
        </w:rPr>
        <w:t>Usi ciascuna penna pre-riempita esclusivamente per una sola iniezione.</w:t>
      </w:r>
    </w:p>
    <w:p w:rsidR="006224C2" w:rsidRPr="00295E71" w14:paraId="695FB7F7" w14:textId="77777777">
      <w:pPr>
        <w:pStyle w:val="EMEANormal"/>
        <w:rPr>
          <w:lang w:val="it-IT"/>
        </w:rPr>
      </w:pPr>
    </w:p>
    <w:p w:rsidR="006224C2" w:rsidRPr="00295E71" w14:paraId="1821812F" w14:textId="77777777">
      <w:pPr>
        <w:pStyle w:val="EMEANormal"/>
        <w:keepNext/>
        <w:rPr>
          <w:b/>
          <w:lang w:val="it-IT"/>
        </w:rPr>
      </w:pPr>
      <w:r w:rsidRPr="00295E71">
        <w:rPr>
          <w:b/>
          <w:lang w:val="it-IT"/>
        </w:rPr>
        <w:t>Humira Penna pre-riempita</w:t>
      </w:r>
    </w:p>
    <w:p w:rsidR="006224C2" w:rsidRPr="00295E71" w14:paraId="5865A49D" w14:textId="77777777">
      <w:pPr>
        <w:pStyle w:val="EMEANormal"/>
        <w:keepNext/>
        <w:rPr>
          <w:lang w:val="it-IT"/>
        </w:rPr>
      </w:pPr>
    </w:p>
    <w:p w:rsidR="006224C2" w:rsidRPr="00295E71" w14:paraId="4E69123F" w14:textId="77777777">
      <w:pPr>
        <w:pStyle w:val="EMEANormal"/>
        <w:keepNext/>
        <w:rPr>
          <w:b/>
          <w:lang w:val="it-IT"/>
        </w:rPr>
      </w:pPr>
      <w:r w:rsidRPr="00295E71">
        <w:rPr>
          <w:b/>
          <w:lang w:val="it-IT"/>
        </w:rPr>
        <w:t xml:space="preserve">Tappo grigio 1     Guaina bianca </w:t>
      </w:r>
    </w:p>
    <w:p w:rsidR="006224C2" w:rsidRPr="00295E71" w14:paraId="2FEDD45A" w14:textId="77777777">
      <w:pPr>
        <w:pStyle w:val="EMEANormal"/>
        <w:keepNext/>
        <w:rPr>
          <w:b/>
          <w:lang w:val="it-IT"/>
        </w:rPr>
      </w:pPr>
      <w:r w:rsidRPr="00295E71">
        <w:rPr>
          <w:b/>
          <w:lang w:val="it-IT"/>
        </w:rPr>
        <w:tab/>
      </w:r>
      <w:r w:rsidRPr="00295E71">
        <w:rPr>
          <w:b/>
          <w:lang w:val="it-IT"/>
        </w:rPr>
        <w:tab/>
      </w:r>
      <w:r w:rsidRPr="00295E71">
        <w:rPr>
          <w:b/>
          <w:lang w:val="it-IT"/>
        </w:rPr>
        <w:tab/>
        <w:t>che ricopre l'ago</w:t>
      </w:r>
      <w:r w:rsidRPr="00295E71">
        <w:rPr>
          <w:b/>
          <w:lang w:val="it-IT"/>
        </w:rPr>
        <w:tab/>
        <w:t>Freccia bianca</w:t>
      </w:r>
      <w:r w:rsidRPr="00295E71">
        <w:rPr>
          <w:b/>
          <w:lang w:val="it-IT"/>
        </w:rPr>
        <w:tab/>
      </w:r>
      <w:r w:rsidRPr="00295E71">
        <w:rPr>
          <w:b/>
          <w:lang w:val="it-IT"/>
        </w:rPr>
        <w:tab/>
      </w:r>
      <w:r w:rsidRPr="00295E71">
        <w:rPr>
          <w:b/>
          <w:lang w:val="it-IT"/>
        </w:rPr>
        <w:tab/>
      </w:r>
      <w:r w:rsidRPr="00295E71">
        <w:rPr>
          <w:b/>
          <w:lang w:val="it-IT"/>
        </w:rPr>
        <w:tab/>
        <w:t>Tappo viola 2</w:t>
      </w:r>
    </w:p>
    <w:p w:rsidR="006224C2" w:rsidRPr="00295E71" w14:paraId="51F855E3" w14:textId="77777777">
      <w:pPr>
        <w:pStyle w:val="EMEANormal"/>
        <w:keepNext/>
        <w:rPr>
          <w:b/>
          <w:lang w:val="it-IT"/>
        </w:rPr>
      </w:pPr>
    </w:p>
    <w:p w:rsidR="006224C2" w:rsidRPr="00295E71" w14:paraId="3F03D376" w14:textId="77777777">
      <w:pPr>
        <w:pStyle w:val="EMEANormal"/>
        <w:keepNext/>
        <w:rPr>
          <w:lang w:val="it-IT"/>
        </w:rPr>
      </w:pPr>
      <w:r w:rsidRPr="00910CE7">
        <w:rPr>
          <w:noProof/>
          <w:lang w:val="en-GB"/>
        </w:rPr>
        <w:drawing>
          <wp:inline distT="0" distB="0" distL="0" distR="0">
            <wp:extent cx="5886450" cy="1438275"/>
            <wp:effectExtent l="0" t="0" r="0" b="0"/>
            <wp:docPr id="34" name="Picture 43"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 descr="HUMIRAPEN_grey"/>
                    <pic:cNvPicPr>
                      <a:picLocks noChangeAspect="1" noChangeArrowheads="1"/>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886450" cy="1438275"/>
                    </a:xfrm>
                    <a:prstGeom prst="rect">
                      <a:avLst/>
                    </a:prstGeom>
                    <a:noFill/>
                    <a:ln>
                      <a:noFill/>
                    </a:ln>
                  </pic:spPr>
                </pic:pic>
              </a:graphicData>
            </a:graphic>
          </wp:inline>
        </w:drawing>
      </w:r>
    </w:p>
    <w:p w:rsidR="006224C2" w:rsidRPr="00295E71" w14:paraId="10D42239" w14:textId="77777777">
      <w:pPr>
        <w:pStyle w:val="EMEANormal"/>
        <w:rPr>
          <w:b/>
          <w:lang w:val="it-IT"/>
        </w:rPr>
      </w:pPr>
      <w:r w:rsidRPr="00295E71">
        <w:rPr>
          <w:b/>
          <w:lang w:val="it-IT"/>
        </w:rPr>
        <w:t xml:space="preserve">                              Ago           Finestra per l’ispezione                    Pulsante di attivazione viola     </w:t>
      </w:r>
    </w:p>
    <w:p w:rsidR="006224C2" w:rsidRPr="00295E71" w14:paraId="35319BB5" w14:textId="77777777">
      <w:pPr>
        <w:pStyle w:val="EMEANormal"/>
        <w:rPr>
          <w:b/>
          <w:lang w:val="it-IT"/>
        </w:rPr>
      </w:pPr>
    </w:p>
    <w:p w:rsidR="006224C2" w:rsidRPr="00295E71" w14:paraId="4B2F2EAB" w14:textId="77777777">
      <w:pPr>
        <w:pStyle w:val="EMEAHeadingLeaflet"/>
        <w:keepNext/>
        <w:spacing w:beforeLines="0" w:afterLines="0"/>
        <w:rPr>
          <w:rFonts w:ascii="Times New Roman" w:hAnsi="Times New Roman"/>
          <w:szCs w:val="22"/>
          <w:lang w:val="it-IT"/>
        </w:rPr>
      </w:pPr>
      <w:r w:rsidRPr="00295E71">
        <w:rPr>
          <w:rFonts w:ascii="Times New Roman" w:hAnsi="Times New Roman"/>
          <w:szCs w:val="22"/>
          <w:lang w:val="it-IT"/>
        </w:rPr>
        <w:t>Non usi la penna pre-riempita e si rivolga al medico o al farmacista se</w:t>
      </w:r>
    </w:p>
    <w:p w:rsidR="006224C2" w:rsidRPr="00295E71" w14:paraId="6C1E2DA3" w14:textId="77777777">
      <w:pPr>
        <w:pStyle w:val="EMEANormal"/>
        <w:rPr>
          <w:lang w:val="it-IT"/>
        </w:rPr>
      </w:pPr>
    </w:p>
    <w:p w:rsidR="006224C2" w:rsidRPr="00295E71" w14:paraId="5CC9A60C"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soluzione appare torbida, ha cambiato colore, o presenta flocculi e particelle</w:t>
      </w:r>
    </w:p>
    <w:p w:rsidR="006224C2" w:rsidRPr="00295E71" w14:paraId="3EF4007D"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è stata oltrepassata la data di scadenza (Scad.) </w:t>
      </w:r>
    </w:p>
    <w:p w:rsidR="006224C2" w:rsidRPr="00295E71" w14:paraId="31C384FE"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soluzione è stata congelata o lasciata esposta alla luce solare diretta</w:t>
      </w:r>
    </w:p>
    <w:p w:rsidR="006224C2" w:rsidRPr="00295E71" w14:paraId="34D1C5FD" w14:textId="77777777">
      <w:pPr>
        <w:pStyle w:val="EMEAHeadingLeaflet"/>
        <w:keepNext/>
        <w:numPr>
          <w:ilvl w:val="0"/>
          <w:numId w:val="100"/>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b w:val="0"/>
          <w:szCs w:val="22"/>
          <w:lang w:val="it-IT"/>
        </w:rPr>
        <w:t>la penna pre-riempita è caduta o è stata danneggiata</w:t>
      </w:r>
    </w:p>
    <w:p w:rsidR="006224C2" w:rsidRPr="00295E71" w14:paraId="6EA539D9" w14:textId="77777777">
      <w:pPr>
        <w:pStyle w:val="EMEANormal"/>
        <w:rPr>
          <w:lang w:val="it-IT"/>
        </w:rPr>
      </w:pPr>
    </w:p>
    <w:p w:rsidR="006224C2" w:rsidRPr="00295E71" w14:paraId="53A929D9" w14:textId="77777777">
      <w:pPr>
        <w:pStyle w:val="EMEAHeadingLeaflet"/>
        <w:keepNext/>
        <w:tabs>
          <w:tab w:val="left" w:pos="0"/>
          <w:tab w:val="clear" w:pos="562"/>
        </w:tabs>
        <w:spacing w:beforeLines="0" w:afterLines="0"/>
        <w:rPr>
          <w:rFonts w:ascii="Times New Roman" w:hAnsi="Times New Roman"/>
          <w:szCs w:val="22"/>
          <w:lang w:val="it-IT"/>
        </w:rPr>
      </w:pPr>
      <w:r w:rsidRPr="00295E71">
        <w:rPr>
          <w:rFonts w:ascii="Times New Roman" w:hAnsi="Times New Roman"/>
          <w:szCs w:val="22"/>
          <w:lang w:val="it-IT"/>
        </w:rPr>
        <w:t>Rimuovere il tappo solo immediatamente prima dell’iniezione. Tenere Humira fuori dalla vista e dalla portata dei bambini.</w:t>
      </w:r>
    </w:p>
    <w:p w:rsidR="006224C2" w:rsidRPr="00295E71" w14:paraId="1BB758F4" w14:textId="77777777">
      <w:pPr>
        <w:pStyle w:val="EMEANormal"/>
        <w:rPr>
          <w:lang w:val="it-I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440356AD" w14:textId="77777777">
        <w:tblPrEx>
          <w:tblW w:w="9287" w:type="dxa"/>
          <w:tblLayout w:type="fixed"/>
          <w:tblLook w:val="04A0"/>
        </w:tblPrEx>
        <w:tc>
          <w:tcPr>
            <w:tcW w:w="9287" w:type="dxa"/>
            <w:gridSpan w:val="2"/>
            <w:tcBorders>
              <w:bottom w:val="single" w:sz="4" w:space="0" w:color="auto"/>
            </w:tcBorders>
          </w:tcPr>
          <w:p w:rsidR="006224C2" w:rsidRPr="00295E71" w:rsidP="00F57FE5" w14:paraId="63DC4A6D" w14:textId="77777777">
            <w:pPr>
              <w:pStyle w:val="EMEAHeadingLeaflet"/>
              <w:spacing w:beforeLines="0" w:afterLines="0"/>
              <w:rPr>
                <w:rFonts w:ascii="Times New Roman" w:hAnsi="Times New Roman"/>
                <w:szCs w:val="22"/>
                <w:lang w:val="it-IT"/>
              </w:rPr>
            </w:pPr>
            <w:r w:rsidRPr="00295E71">
              <w:rPr>
                <w:rFonts w:ascii="Times New Roman" w:hAnsi="Times New Roman"/>
                <w:szCs w:val="22"/>
                <w:lang w:val="it-IT"/>
              </w:rPr>
              <w:t>STEP 1</w:t>
            </w:r>
          </w:p>
          <w:p w:rsidR="006224C2" w:rsidRPr="00295E71" w:rsidP="00F57FE5" w14:paraId="152023DF" w14:textId="77777777">
            <w:pPr>
              <w:pStyle w:val="EMEANormal"/>
              <w:rPr>
                <w:lang w:val="it-IT"/>
              </w:rPr>
            </w:pPr>
          </w:p>
          <w:p w:rsidR="006224C2" w:rsidRPr="00295E71" w:rsidP="00F57FE5" w14:paraId="0D0CE78C"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Prenda Humira dal frigorifero.</w:t>
            </w:r>
          </w:p>
          <w:p w:rsidR="006224C2" w:rsidRPr="00295E71" w:rsidP="00F57FE5" w14:paraId="431BAEEA" w14:textId="77777777">
            <w:pPr>
              <w:pStyle w:val="EMEANormal"/>
              <w:rPr>
                <w:lang w:val="it-IT"/>
              </w:rPr>
            </w:pPr>
          </w:p>
          <w:p w:rsidR="006224C2" w:rsidRPr="00295E71" w:rsidP="00F57FE5" w14:paraId="181224AC"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Prima dell’iniezione lasci Humira a temperatura ambiente per </w:t>
            </w:r>
            <w:r w:rsidRPr="00295E71">
              <w:rPr>
                <w:rFonts w:ascii="Times New Roman" w:hAnsi="Times New Roman"/>
                <w:szCs w:val="22"/>
                <w:lang w:val="it-IT"/>
              </w:rPr>
              <w:t>15 - 30 minuti</w:t>
            </w:r>
            <w:r w:rsidRPr="00295E71">
              <w:rPr>
                <w:rFonts w:ascii="Times New Roman" w:hAnsi="Times New Roman"/>
                <w:b w:val="0"/>
                <w:szCs w:val="22"/>
                <w:lang w:val="it-IT"/>
              </w:rPr>
              <w:t>.</w:t>
            </w:r>
          </w:p>
          <w:p w:rsidR="006224C2" w:rsidRPr="00295E71" w:rsidP="00F57FE5" w14:paraId="0B158FE9" w14:textId="77777777">
            <w:pPr>
              <w:pStyle w:val="EMEANormal"/>
              <w:rPr>
                <w:lang w:val="it-IT"/>
              </w:rPr>
            </w:pPr>
          </w:p>
          <w:p w:rsidR="006224C2" w:rsidRPr="00295E71" w:rsidP="00F57FE5" w14:paraId="553EA4AD" w14:textId="77777777">
            <w:pPr>
              <w:pStyle w:val="EMEAHeadingLeaflet"/>
              <w:numPr>
                <w:ilvl w:val="0"/>
                <w:numId w:val="101"/>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rimuova il tappo grigio e il tappo viola mentre Humira raggiunge la temperatura ambiente</w:t>
            </w:r>
          </w:p>
          <w:p w:rsidR="006224C2" w:rsidRPr="00295E71" w:rsidP="00F57FE5" w14:paraId="5F40622E" w14:textId="77777777">
            <w:pPr>
              <w:pStyle w:val="EMEANormal"/>
              <w:numPr>
                <w:ilvl w:val="0"/>
                <w:numId w:val="101"/>
              </w:numPr>
              <w:tabs>
                <w:tab w:val="clear" w:pos="562"/>
                <w:tab w:val="left" w:pos="720"/>
              </w:tabs>
              <w:rPr>
                <w:lang w:val="it-IT"/>
              </w:rPr>
            </w:pPr>
            <w:r w:rsidRPr="00295E71">
              <w:rPr>
                <w:b/>
                <w:lang w:val="it-IT"/>
              </w:rPr>
              <w:t xml:space="preserve">Non </w:t>
            </w:r>
            <w:r w:rsidRPr="00295E71">
              <w:rPr>
                <w:lang w:val="it-IT"/>
              </w:rPr>
              <w:t xml:space="preserve">riscaldi Humira in nessun altro modo. Ad esempio, </w:t>
            </w:r>
            <w:r w:rsidRPr="00295E71">
              <w:rPr>
                <w:b/>
                <w:lang w:val="it-IT"/>
              </w:rPr>
              <w:t>non</w:t>
            </w:r>
            <w:r w:rsidRPr="00295E71">
              <w:rPr>
                <w:lang w:val="it-IT"/>
              </w:rPr>
              <w:t xml:space="preserve"> riscaldi Humira nel microonde o nell’acqua calda</w:t>
            </w:r>
          </w:p>
        </w:tc>
      </w:tr>
      <w:tr w14:paraId="04464D13" w14:textId="77777777">
        <w:tblPrEx>
          <w:tblW w:w="9287" w:type="dxa"/>
          <w:tblLayout w:type="fixed"/>
          <w:tblLook w:val="04A0"/>
        </w:tblPrEx>
        <w:tc>
          <w:tcPr>
            <w:tcW w:w="3708" w:type="dxa"/>
            <w:tcBorders>
              <w:right w:val="nil"/>
            </w:tcBorders>
          </w:tcPr>
          <w:p w:rsidR="006224C2" w:rsidRPr="00295E71" w:rsidP="00F57FE5" w14:paraId="4F210E21" w14:textId="77777777">
            <w:pPr>
              <w:pStyle w:val="EMEANormal"/>
              <w:keepNext/>
              <w:rPr>
                <w:b/>
                <w:lang w:val="it-IT"/>
              </w:rPr>
            </w:pPr>
            <w:r w:rsidRPr="00295E71">
              <w:rPr>
                <w:lang w:val="it-IT"/>
              </w:rPr>
              <w:br w:type="page"/>
            </w:r>
            <w:r w:rsidRPr="00295E71">
              <w:rPr>
                <w:b/>
                <w:lang w:val="it-IT"/>
              </w:rPr>
              <w:t xml:space="preserve">STEP 2 </w:t>
            </w:r>
          </w:p>
          <w:p w:rsidR="006224C2" w:rsidRPr="00295E71" w:rsidP="00F57FE5" w14:paraId="4227D551" w14:textId="77777777">
            <w:pPr>
              <w:pStyle w:val="EMEANormal"/>
              <w:keepNext/>
              <w:rPr>
                <w:b/>
                <w:lang w:val="it-IT"/>
              </w:rPr>
            </w:pPr>
          </w:p>
          <w:p w:rsidR="006224C2" w:rsidRPr="00295E71" w:rsidP="00F57FE5" w14:paraId="0D2F494A" w14:textId="77777777">
            <w:pPr>
              <w:pStyle w:val="EMEANormal"/>
              <w:keepNext/>
              <w:rPr>
                <w:b/>
                <w:lang w:val="it-IT"/>
              </w:rPr>
            </w:pPr>
            <w:r w:rsidRPr="00295E71">
              <w:rPr>
                <w:b/>
                <w:lang w:val="it-IT"/>
              </w:rPr>
              <w:t>Penna</w:t>
            </w:r>
          </w:p>
          <w:p w:rsidR="006224C2" w:rsidRPr="00295E71" w:rsidP="00F57FE5" w14:paraId="6A1B4C95" w14:textId="77777777">
            <w:pPr>
              <w:pStyle w:val="EMEANormal"/>
              <w:keepNext/>
              <w:rPr>
                <w:noProof/>
                <w:lang w:val="it-IT"/>
              </w:rPr>
            </w:pPr>
            <w:r w:rsidRPr="00910CE7">
              <w:rPr>
                <w:noProof/>
                <w:lang w:val="en-GB"/>
              </w:rPr>
              <w:drawing>
                <wp:inline distT="0" distB="0" distL="0" distR="0">
                  <wp:extent cx="2162175" cy="2286000"/>
                  <wp:effectExtent l="0" t="0" r="0" b="0"/>
                  <wp:docPr id="37" name="Picture 79"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 descr="STEP2_grey"/>
                          <pic:cNvPicPr>
                            <a:picLocks noChangeAspect="1" noChangeArrowheads="1"/>
                          </pic:cNvPicPr>
                        </pic:nvPicPr>
                        <pic:blipFill>
                          <a:blip xmlns:r="http://schemas.openxmlformats.org/officeDocument/2006/relationships" r:embed="rId7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175" cy="2286000"/>
                          </a:xfrm>
                          <a:prstGeom prst="rect">
                            <a:avLst/>
                          </a:prstGeom>
                          <a:noFill/>
                          <a:ln>
                            <a:noFill/>
                          </a:ln>
                        </pic:spPr>
                      </pic:pic>
                    </a:graphicData>
                  </a:graphic>
                </wp:inline>
              </w:drawing>
            </w:r>
          </w:p>
          <w:p w:rsidR="006224C2" w:rsidRPr="00295E71" w:rsidP="00F57FE5" w14:paraId="3455F2E1" w14:textId="77777777">
            <w:pPr>
              <w:pStyle w:val="EMEANormal"/>
              <w:keepNext/>
              <w:rPr>
                <w:b/>
                <w:lang w:val="it-IT"/>
              </w:rPr>
            </w:pPr>
            <w:r w:rsidRPr="00295E71">
              <w:rPr>
                <w:b/>
                <w:lang w:val="it-IT"/>
              </w:rPr>
              <w:t xml:space="preserve">                Tampone</w:t>
            </w:r>
          </w:p>
        </w:tc>
        <w:tc>
          <w:tcPr>
            <w:tcW w:w="5579" w:type="dxa"/>
            <w:tcBorders>
              <w:left w:val="nil"/>
            </w:tcBorders>
          </w:tcPr>
          <w:p w:rsidR="006224C2" w:rsidRPr="00295E71" w:rsidP="00F57FE5" w14:paraId="60537A27" w14:textId="77777777">
            <w:pPr>
              <w:pStyle w:val="EMEAHeadingLeaflet"/>
              <w:keepNext/>
              <w:spacing w:beforeLines="0" w:afterLines="0"/>
              <w:rPr>
                <w:rFonts w:ascii="Times New Roman" w:hAnsi="Times New Roman"/>
                <w:b w:val="0"/>
                <w:szCs w:val="22"/>
                <w:lang w:val="it-IT"/>
              </w:rPr>
            </w:pPr>
          </w:p>
          <w:p w:rsidR="006224C2" w:rsidRPr="00295E71" w:rsidP="00F57FE5" w14:paraId="7D8210E4"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Controlli la data di scadenza (Scad.). </w:t>
            </w:r>
            <w:r w:rsidRPr="00295E71">
              <w:rPr>
                <w:rFonts w:ascii="Times New Roman" w:hAnsi="Times New Roman"/>
                <w:szCs w:val="22"/>
                <w:lang w:val="it-IT"/>
              </w:rPr>
              <w:t>Non</w:t>
            </w:r>
            <w:r w:rsidRPr="00295E71">
              <w:rPr>
                <w:rFonts w:ascii="Times New Roman" w:hAnsi="Times New Roman"/>
                <w:b w:val="0"/>
                <w:szCs w:val="22"/>
                <w:lang w:val="it-IT"/>
              </w:rPr>
              <w:t xml:space="preserve"> usi la penna pre-riempita se è stata oltrepassata la data di scadenza.</w:t>
            </w:r>
          </w:p>
          <w:p w:rsidR="006224C2" w:rsidRPr="00295E71" w:rsidP="00F57FE5" w14:paraId="01CEFC29" w14:textId="77777777">
            <w:pPr>
              <w:pStyle w:val="EMEANormal"/>
              <w:keepNext/>
              <w:rPr>
                <w:lang w:val="it-IT"/>
              </w:rPr>
            </w:pPr>
          </w:p>
          <w:p w:rsidR="006224C2" w:rsidRPr="00295E71" w:rsidP="00F57FE5" w14:paraId="7CAC51C9"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Disponga i seguenti oggetti su una superficie piana e pulita </w:t>
            </w:r>
          </w:p>
          <w:p w:rsidR="006224C2" w:rsidRPr="00295E71" w:rsidP="00F57FE5" w14:paraId="79CA8241" w14:textId="77777777">
            <w:pPr>
              <w:pStyle w:val="EMEANormal"/>
              <w:keepNext/>
              <w:rPr>
                <w:lang w:val="it-IT"/>
              </w:rPr>
            </w:pPr>
          </w:p>
          <w:p w:rsidR="006224C2" w:rsidRPr="00295E71" w:rsidP="00F57FE5" w14:paraId="68F400A8" w14:textId="77777777">
            <w:pPr>
              <w:pStyle w:val="EMEAHeadingLeaflet"/>
              <w:keepNext/>
              <w:numPr>
                <w:ilvl w:val="0"/>
                <w:numId w:val="102"/>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1 penna pre-riempita monouso </w:t>
            </w:r>
          </w:p>
          <w:p w:rsidR="006224C2" w:rsidRPr="00295E71" w:rsidP="00F57FE5" w14:paraId="73CA0F69" w14:textId="77777777">
            <w:pPr>
              <w:pStyle w:val="EMEAHeadingLeaflet"/>
              <w:keepNext/>
              <w:numPr>
                <w:ilvl w:val="0"/>
                <w:numId w:val="102"/>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1 tampone imbevuto di alcool</w:t>
            </w:r>
          </w:p>
          <w:p w:rsidR="006224C2" w:rsidRPr="00295E71" w:rsidP="00F57FE5" w14:paraId="29BE1BF1" w14:textId="77777777">
            <w:pPr>
              <w:pStyle w:val="EMEANormal"/>
              <w:keepNext/>
              <w:rPr>
                <w:lang w:val="it-IT"/>
              </w:rPr>
            </w:pPr>
          </w:p>
          <w:p w:rsidR="006224C2" w:rsidRPr="00295E71" w:rsidP="00F57FE5" w14:paraId="7D42BC7F" w14:textId="77777777">
            <w:pPr>
              <w:pStyle w:val="EMEANormal"/>
              <w:keepNext/>
              <w:rPr>
                <w:lang w:val="it-IT"/>
              </w:rPr>
            </w:pPr>
            <w:r w:rsidRPr="00295E71">
              <w:rPr>
                <w:lang w:val="it-IT"/>
              </w:rPr>
              <w:t>Si lavi ed asciughi le mani.</w:t>
            </w:r>
          </w:p>
        </w:tc>
      </w:tr>
      <w:tr w14:paraId="73A091AA" w14:textId="77777777">
        <w:tblPrEx>
          <w:tblW w:w="9287" w:type="dxa"/>
          <w:tblLayout w:type="fixed"/>
          <w:tblLook w:val="04A0"/>
        </w:tblPrEx>
        <w:tc>
          <w:tcPr>
            <w:tcW w:w="3708" w:type="dxa"/>
            <w:tcBorders>
              <w:right w:val="nil"/>
            </w:tcBorders>
          </w:tcPr>
          <w:p w:rsidR="006224C2" w:rsidRPr="00295E71" w14:paraId="18078BF9" w14:textId="77777777">
            <w:pPr>
              <w:pStyle w:val="EMEANormal"/>
              <w:rPr>
                <w:b/>
                <w:lang w:val="it-IT"/>
              </w:rPr>
            </w:pPr>
            <w:r w:rsidRPr="00295E71">
              <w:rPr>
                <w:b/>
                <w:lang w:val="it-IT"/>
              </w:rPr>
              <w:t>STEP 3</w:t>
            </w:r>
          </w:p>
          <w:p w:rsidR="006224C2" w:rsidRPr="00295E71" w14:paraId="7491A087" w14:textId="77777777">
            <w:pPr>
              <w:pStyle w:val="EMEANormal"/>
              <w:rPr>
                <w:b/>
                <w:lang w:val="it-IT"/>
              </w:rPr>
            </w:pPr>
          </w:p>
          <w:p w:rsidR="006224C2" w:rsidRPr="00295E71" w14:paraId="11C8496A" w14:textId="77777777">
            <w:pPr>
              <w:pStyle w:val="EMEANormal"/>
              <w:rPr>
                <w:b/>
                <w:lang w:val="it-IT"/>
              </w:rPr>
            </w:pPr>
            <w:r w:rsidRPr="00295E71">
              <w:rPr>
                <w:b/>
                <w:lang w:val="it-IT"/>
              </w:rPr>
              <w:t>Aree di somministrazione</w:t>
            </w:r>
          </w:p>
          <w:p w:rsidR="006224C2" w:rsidRPr="00295E71" w14:paraId="4BB5306A" w14:textId="77777777">
            <w:pPr>
              <w:pStyle w:val="EMEANormal"/>
              <w:rPr>
                <w:noProof/>
                <w:lang w:val="it-IT"/>
              </w:rPr>
            </w:pPr>
            <w:r w:rsidRPr="00910CE7">
              <w:rPr>
                <w:noProof/>
                <w:lang w:val="en-GB"/>
              </w:rPr>
              <w:drawing>
                <wp:inline distT="0" distB="0" distL="0" distR="0">
                  <wp:extent cx="2276475" cy="2381250"/>
                  <wp:effectExtent l="0" t="0" r="0" b="0"/>
                  <wp:docPr id="38" name="Picture 80"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 descr="STEP3_grey"/>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rsidR="006224C2" w:rsidRPr="00295E71" w14:paraId="010F223C" w14:textId="77777777">
            <w:pPr>
              <w:pStyle w:val="EMEANormal"/>
              <w:rPr>
                <w:b/>
                <w:lang w:val="it-IT"/>
              </w:rPr>
            </w:pPr>
            <w:r w:rsidRPr="00295E71">
              <w:rPr>
                <w:b/>
                <w:lang w:val="it-IT"/>
              </w:rPr>
              <w:t>Aree di somministrazione</w:t>
            </w:r>
          </w:p>
        </w:tc>
        <w:tc>
          <w:tcPr>
            <w:tcW w:w="5579" w:type="dxa"/>
            <w:tcBorders>
              <w:left w:val="nil"/>
            </w:tcBorders>
          </w:tcPr>
          <w:p w:rsidR="006224C2" w:rsidRPr="00295E71" w14:paraId="3CA11577" w14:textId="77777777">
            <w:pPr>
              <w:pStyle w:val="EMEAHeadingLeaflet"/>
              <w:spacing w:beforeLines="0" w:afterLines="0"/>
              <w:rPr>
                <w:rFonts w:ascii="Times New Roman" w:hAnsi="Times New Roman"/>
                <w:b w:val="0"/>
                <w:szCs w:val="22"/>
                <w:lang w:val="it-IT"/>
              </w:rPr>
            </w:pPr>
          </w:p>
          <w:p w:rsidR="006224C2" w:rsidRPr="00295E71" w14:paraId="0AC13C85"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Scelga un sito di somministrazione:</w:t>
            </w:r>
          </w:p>
          <w:p w:rsidR="006224C2" w:rsidRPr="00295E71" w14:paraId="323B616E" w14:textId="77777777">
            <w:pPr>
              <w:pStyle w:val="EMEANormal"/>
              <w:rPr>
                <w:lang w:val="it-IT"/>
              </w:rPr>
            </w:pPr>
          </w:p>
          <w:p w:rsidR="006224C2" w:rsidRPr="00295E71" w14:paraId="2B158BC2" w14:textId="77777777">
            <w:pPr>
              <w:pStyle w:val="EMEAHeadingLeaflet"/>
              <w:numPr>
                <w:ilvl w:val="0"/>
                <w:numId w:val="103"/>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Sulla parte anteriore della coscia o</w:t>
            </w:r>
          </w:p>
          <w:p w:rsidR="006224C2" w:rsidRPr="00295E71" w14:paraId="749F604C" w14:textId="77777777">
            <w:pPr>
              <w:pStyle w:val="EMEAHeadingLeaflet"/>
              <w:numPr>
                <w:ilvl w:val="0"/>
                <w:numId w:val="103"/>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Sulla pancia (addome) ad una distanza di almeno 5 cm dall’ombelico</w:t>
            </w:r>
          </w:p>
          <w:p w:rsidR="006224C2" w:rsidRPr="00295E71" w14:paraId="213E471C" w14:textId="77777777">
            <w:pPr>
              <w:pStyle w:val="EMEAHeadingLeaflet"/>
              <w:numPr>
                <w:ilvl w:val="0"/>
                <w:numId w:val="103"/>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Ad una distanza di almeno 3 centimetri dall’ultimo sito di iniezione prescelto</w:t>
            </w:r>
          </w:p>
          <w:p w:rsidR="006224C2" w:rsidRPr="00295E71" w14:paraId="6D3ACE9E" w14:textId="77777777">
            <w:pPr>
              <w:pStyle w:val="EMEANormal"/>
              <w:rPr>
                <w:lang w:val="it-IT"/>
              </w:rPr>
            </w:pPr>
          </w:p>
          <w:p w:rsidR="006224C2" w:rsidRPr="00295E71" w14:paraId="04156E40"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Pulisca accuratamente il sito di iniezione con movimenti circolari utilizzando il tampone imbevuto di alcool.</w:t>
            </w:r>
          </w:p>
          <w:p w:rsidR="006224C2" w:rsidRPr="00295E71" w14:paraId="453341A0" w14:textId="77777777">
            <w:pPr>
              <w:pStyle w:val="EMEANormal"/>
              <w:rPr>
                <w:lang w:val="it-IT"/>
              </w:rPr>
            </w:pPr>
          </w:p>
          <w:p w:rsidR="006224C2" w:rsidRPr="00295E71" w14:paraId="5A696FB0" w14:textId="77777777">
            <w:pPr>
              <w:pStyle w:val="EMEAHeadingLeaflet"/>
              <w:numPr>
                <w:ilvl w:val="0"/>
                <w:numId w:val="104"/>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iniettare attraverso i vestiti</w:t>
            </w:r>
          </w:p>
          <w:p w:rsidR="006224C2" w:rsidRPr="00295E71" w14:paraId="19EEA79A" w14:textId="77777777">
            <w:pPr>
              <w:pStyle w:val="EMEANormal"/>
              <w:numPr>
                <w:ilvl w:val="0"/>
                <w:numId w:val="104"/>
              </w:numPr>
              <w:tabs>
                <w:tab w:val="clear" w:pos="562"/>
                <w:tab w:val="left" w:pos="757"/>
              </w:tabs>
              <w:ind w:left="757"/>
              <w:rPr>
                <w:lang w:val="it-IT"/>
              </w:rPr>
            </w:pPr>
            <w:r w:rsidRPr="00295E71">
              <w:rPr>
                <w:b/>
                <w:lang w:val="it-IT"/>
              </w:rPr>
              <w:t xml:space="preserve">Non </w:t>
            </w:r>
            <w:r w:rsidRPr="00295E71">
              <w:rPr>
                <w:lang w:val="it-IT"/>
              </w:rPr>
              <w:t>iniettare su pelle lesa, contusa, arrossata, indurita, che presenta cicatrici, smagliature o in aree con psoriasi a placche</w:t>
            </w:r>
          </w:p>
        </w:tc>
      </w:tr>
      <w:tr w14:paraId="58C9CBAC" w14:textId="77777777">
        <w:tblPrEx>
          <w:tblW w:w="9287" w:type="dxa"/>
          <w:tblLayout w:type="fixed"/>
          <w:tblLook w:val="04A0"/>
        </w:tblPrEx>
        <w:tc>
          <w:tcPr>
            <w:tcW w:w="3708" w:type="dxa"/>
            <w:tcBorders>
              <w:right w:val="nil"/>
            </w:tcBorders>
          </w:tcPr>
          <w:p w:rsidR="006224C2" w:rsidRPr="00295E71" w:rsidP="00F57FE5" w14:paraId="720114F9" w14:textId="77777777">
            <w:pPr>
              <w:pStyle w:val="EMEANormal"/>
              <w:rPr>
                <w:b/>
                <w:lang w:val="it-IT"/>
              </w:rPr>
            </w:pPr>
            <w:r w:rsidRPr="00295E71">
              <w:rPr>
                <w:b/>
                <w:lang w:val="it-IT"/>
              </w:rPr>
              <w:t>STEP 4</w:t>
            </w:r>
          </w:p>
          <w:p w:rsidR="006224C2" w:rsidRPr="00295E71" w:rsidP="00F57FE5" w14:paraId="2E8E9C27" w14:textId="77777777">
            <w:pPr>
              <w:pStyle w:val="EMEANormal"/>
              <w:rPr>
                <w:b/>
                <w:lang w:val="it-IT"/>
              </w:rPr>
            </w:pPr>
          </w:p>
          <w:p w:rsidR="006224C2" w:rsidRPr="00295E71" w:rsidP="00F57FE5" w14:paraId="30095C36" w14:textId="77777777">
            <w:pPr>
              <w:pStyle w:val="EMEANormal"/>
              <w:rPr>
                <w:lang w:val="it-IT"/>
              </w:rPr>
            </w:pPr>
            <w:r w:rsidRPr="00910CE7">
              <w:rPr>
                <w:noProof/>
                <w:lang w:val="en-GB"/>
              </w:rPr>
              <w:drawing>
                <wp:inline distT="0" distB="0" distL="0" distR="0">
                  <wp:extent cx="2209800" cy="2047875"/>
                  <wp:effectExtent l="0" t="0" r="0" b="0"/>
                  <wp:docPr id="39" name="Picture 81"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 descr="STEP4_grey"/>
                          <pic:cNvPicPr>
                            <a:picLocks noChangeAspect="1" noChangeArrowheads="1"/>
                          </pic:cNvPicPr>
                        </pic:nvPicPr>
                        <pic:blipFill>
                          <a:blip xmlns:r="http://schemas.openxmlformats.org/officeDocument/2006/relationships" r:embed="rId7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9800" cy="2047875"/>
                          </a:xfrm>
                          <a:prstGeom prst="rect">
                            <a:avLst/>
                          </a:prstGeom>
                          <a:noFill/>
                          <a:ln>
                            <a:noFill/>
                          </a:ln>
                        </pic:spPr>
                      </pic:pic>
                    </a:graphicData>
                  </a:graphic>
                </wp:inline>
              </w:drawing>
            </w:r>
          </w:p>
        </w:tc>
        <w:tc>
          <w:tcPr>
            <w:tcW w:w="5579" w:type="dxa"/>
            <w:tcBorders>
              <w:left w:val="nil"/>
            </w:tcBorders>
          </w:tcPr>
          <w:p w:rsidR="006224C2" w:rsidRPr="00295E71" w:rsidP="00F57FE5" w14:paraId="72234780" w14:textId="77777777">
            <w:pPr>
              <w:pStyle w:val="EMEAHeadingLeaflet"/>
              <w:spacing w:beforeLines="0" w:afterLines="0"/>
              <w:rPr>
                <w:rFonts w:ascii="Times New Roman" w:hAnsi="Times New Roman"/>
                <w:b w:val="0"/>
                <w:szCs w:val="22"/>
                <w:lang w:val="it-IT"/>
              </w:rPr>
            </w:pPr>
          </w:p>
          <w:p w:rsidR="006224C2" w:rsidRPr="00295E71" w:rsidP="00F57FE5" w14:paraId="4E7AE911"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Tenga la penna pre-riempita con il tappo grigio (1) rivolto verso l’alto. </w:t>
            </w:r>
          </w:p>
          <w:p w:rsidR="006224C2" w:rsidRPr="00295E71" w:rsidP="00F57FE5" w14:paraId="5C4C1CD9" w14:textId="77777777">
            <w:pPr>
              <w:pStyle w:val="EMEANormal"/>
              <w:rPr>
                <w:lang w:val="it-IT"/>
              </w:rPr>
            </w:pPr>
          </w:p>
          <w:p w:rsidR="006224C2" w:rsidRPr="00295E71" w:rsidP="00F57FE5" w14:paraId="6EFB8B58"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Controlli attraverso la finestra di ispezione.</w:t>
            </w:r>
          </w:p>
          <w:p w:rsidR="006224C2" w:rsidRPr="00295E71" w:rsidP="00F57FE5" w14:paraId="431D98FE" w14:textId="77777777">
            <w:pPr>
              <w:pStyle w:val="EMEANormal"/>
              <w:rPr>
                <w:lang w:val="it-IT"/>
              </w:rPr>
            </w:pPr>
          </w:p>
          <w:p w:rsidR="006224C2" w:rsidRPr="00295E71" w:rsidP="00F57FE5" w14:paraId="61832303" w14:textId="77777777">
            <w:pPr>
              <w:pStyle w:val="EMEAHeadingLeaflet"/>
              <w:numPr>
                <w:ilvl w:val="0"/>
                <w:numId w:val="105"/>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È normale notare la presenza di una o più bolle nella finestra</w:t>
            </w:r>
          </w:p>
          <w:p w:rsidR="006224C2" w:rsidRPr="00295E71" w:rsidP="00F57FE5" w14:paraId="7EE302A7" w14:textId="77777777">
            <w:pPr>
              <w:pStyle w:val="EMEAHeadingLeaflet"/>
              <w:numPr>
                <w:ilvl w:val="0"/>
                <w:numId w:val="105"/>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Si assicuri che la soluzione sia limpida ed incolore</w:t>
            </w:r>
          </w:p>
          <w:p w:rsidR="006224C2" w:rsidRPr="00295E71" w:rsidP="00F57FE5" w14:paraId="65E9B554" w14:textId="77777777">
            <w:pPr>
              <w:pStyle w:val="EMEAHeadingLeaflet"/>
              <w:numPr>
                <w:ilvl w:val="0"/>
                <w:numId w:val="105"/>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usi la penna pre-riempita se la soluzione appare torbida o presenta particelle</w:t>
            </w:r>
          </w:p>
          <w:p w:rsidR="006224C2" w:rsidRPr="00295E71" w:rsidP="00F57FE5" w14:paraId="51DE50AD" w14:textId="77777777">
            <w:pPr>
              <w:pStyle w:val="EMEANormal"/>
              <w:numPr>
                <w:ilvl w:val="0"/>
                <w:numId w:val="105"/>
              </w:numPr>
              <w:tabs>
                <w:tab w:val="clear" w:pos="562"/>
                <w:tab w:val="left" w:pos="757"/>
              </w:tabs>
              <w:rPr>
                <w:lang w:val="it-IT"/>
              </w:rPr>
            </w:pPr>
            <w:r w:rsidRPr="00295E71">
              <w:rPr>
                <w:b/>
                <w:lang w:val="it-IT"/>
              </w:rPr>
              <w:t xml:space="preserve">Non </w:t>
            </w:r>
            <w:r w:rsidRPr="00295E71">
              <w:rPr>
                <w:lang w:val="it-IT"/>
              </w:rPr>
              <w:t>usare</w:t>
            </w:r>
            <w:r w:rsidRPr="00295E71" w:rsidR="006C717D">
              <w:rPr>
                <w:lang w:val="it-IT"/>
              </w:rPr>
              <w:t xml:space="preserve"> </w:t>
            </w:r>
            <w:r w:rsidRPr="00295E71">
              <w:rPr>
                <w:lang w:val="it-IT"/>
              </w:rPr>
              <w:t>se</w:t>
            </w:r>
            <w:r w:rsidRPr="00295E71" w:rsidR="006C717D">
              <w:rPr>
                <w:lang w:val="it-IT"/>
              </w:rPr>
              <w:t xml:space="preserve"> </w:t>
            </w:r>
            <w:r w:rsidRPr="00295E71">
              <w:rPr>
                <w:lang w:val="it-IT"/>
              </w:rPr>
              <w:t>la penna pre-riempita è caduta o è stata danneggiata</w:t>
            </w:r>
          </w:p>
        </w:tc>
      </w:tr>
      <w:tr w14:paraId="4EC9F12A" w14:textId="77777777">
        <w:tblPrEx>
          <w:tblW w:w="9287" w:type="dxa"/>
          <w:tblLayout w:type="fixed"/>
          <w:tblLook w:val="04A0"/>
        </w:tblPrEx>
        <w:tc>
          <w:tcPr>
            <w:tcW w:w="3708" w:type="dxa"/>
            <w:tcBorders>
              <w:right w:val="nil"/>
            </w:tcBorders>
          </w:tcPr>
          <w:p w:rsidR="006224C2" w:rsidRPr="00295E71" w:rsidP="00F57FE5" w14:paraId="5097629F" w14:textId="77777777">
            <w:pPr>
              <w:pStyle w:val="EMEANormal"/>
              <w:keepNext/>
              <w:rPr>
                <w:lang w:val="it-IT"/>
              </w:rPr>
            </w:pPr>
            <w:r w:rsidRPr="00295E71">
              <w:rPr>
                <w:lang w:val="it-IT"/>
              </w:rPr>
              <w:br w:type="page"/>
            </w:r>
            <w:r w:rsidRPr="00295E71">
              <w:rPr>
                <w:b/>
                <w:lang w:val="it-IT"/>
              </w:rPr>
              <w:t>STEP 5</w:t>
            </w:r>
          </w:p>
          <w:p w:rsidR="006224C2" w:rsidRPr="00295E71" w:rsidP="00F57FE5" w14:paraId="5AAF3F22" w14:textId="77777777">
            <w:pPr>
              <w:pStyle w:val="EMEANormal"/>
              <w:keepNext/>
              <w:rPr>
                <w:lang w:val="it-IT"/>
              </w:rPr>
            </w:pPr>
          </w:p>
          <w:p w:rsidR="006224C2" w:rsidRPr="00295E71" w:rsidP="00F57FE5" w14:paraId="1015DF3C" w14:textId="77777777">
            <w:pPr>
              <w:pStyle w:val="EMEANormal"/>
              <w:keepNext/>
              <w:spacing w:after="100" w:afterAutospacing="1"/>
              <w:rPr>
                <w:b/>
                <w:lang w:val="it-IT"/>
              </w:rPr>
            </w:pPr>
            <w:r w:rsidRPr="00295E71">
              <w:rPr>
                <w:b/>
                <w:lang w:val="it-IT"/>
              </w:rPr>
              <w:t>Tappo 1</w:t>
            </w:r>
          </w:p>
          <w:p w:rsidR="006224C2" w:rsidRPr="00295E71" w:rsidP="00F57FE5" w14:paraId="3221B925" w14:textId="77777777">
            <w:pPr>
              <w:pStyle w:val="EMEANormal"/>
              <w:keepNext/>
              <w:rPr>
                <w:noProof/>
                <w:lang w:val="it-IT"/>
              </w:rPr>
            </w:pPr>
            <w:r w:rsidRPr="00910CE7">
              <w:rPr>
                <w:noProof/>
                <w:lang w:val="en-GB"/>
              </w:rPr>
              <w:drawing>
                <wp:inline distT="0" distB="0" distL="0" distR="0">
                  <wp:extent cx="2028825" cy="1847850"/>
                  <wp:effectExtent l="0" t="0" r="0" b="0"/>
                  <wp:docPr id="40" name="Picture 82"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 descr="EU_IFU_STEP5_grey"/>
                          <pic:cNvPicPr>
                            <a:picLocks noChangeAspect="1" noChangeArrowheads="1"/>
                          </pic:cNvPicPr>
                        </pic:nvPicPr>
                        <pic:blipFill>
                          <a:blip xmlns:r="http://schemas.openxmlformats.org/officeDocument/2006/relationships" r:embed="rId7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28825" cy="1847850"/>
                          </a:xfrm>
                          <a:prstGeom prst="rect">
                            <a:avLst/>
                          </a:prstGeom>
                          <a:noFill/>
                          <a:ln>
                            <a:noFill/>
                          </a:ln>
                        </pic:spPr>
                      </pic:pic>
                    </a:graphicData>
                  </a:graphic>
                </wp:inline>
              </w:drawing>
            </w:r>
          </w:p>
          <w:p w:rsidR="006224C2" w:rsidRPr="00295E71" w:rsidP="00F57FE5" w14:paraId="52C88AB2" w14:textId="77777777">
            <w:pPr>
              <w:pStyle w:val="EMEANormal"/>
              <w:keepNext/>
              <w:rPr>
                <w:b/>
                <w:lang w:val="it-IT"/>
              </w:rPr>
            </w:pPr>
            <w:r w:rsidRPr="00295E71">
              <w:rPr>
                <w:b/>
                <w:lang w:val="it-IT"/>
              </w:rPr>
              <w:t xml:space="preserve">                                            Tappo 2</w:t>
            </w:r>
          </w:p>
        </w:tc>
        <w:tc>
          <w:tcPr>
            <w:tcW w:w="5579" w:type="dxa"/>
            <w:tcBorders>
              <w:left w:val="nil"/>
            </w:tcBorders>
          </w:tcPr>
          <w:p w:rsidR="006224C2" w:rsidRPr="00295E71" w14:paraId="727DA8BA" w14:textId="77777777">
            <w:pPr>
              <w:pStyle w:val="EMEAHeadingLeaflet"/>
              <w:keepNext/>
              <w:spacing w:beforeLines="0" w:afterLines="0"/>
              <w:rPr>
                <w:rFonts w:ascii="Times New Roman" w:hAnsi="Times New Roman"/>
                <w:b w:val="0"/>
                <w:szCs w:val="22"/>
                <w:lang w:val="it-IT"/>
              </w:rPr>
            </w:pPr>
          </w:p>
          <w:p w:rsidR="006224C2" w:rsidRPr="00295E71" w14:paraId="59BECE25"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Rimuova il tappo grigio (1). Getti via il tappo. </w:t>
            </w:r>
            <w:r w:rsidRPr="00295E71">
              <w:rPr>
                <w:rFonts w:ascii="Times New Roman" w:hAnsi="Times New Roman"/>
                <w:szCs w:val="22"/>
                <w:lang w:val="it-IT"/>
              </w:rPr>
              <w:t>Non</w:t>
            </w:r>
            <w:r w:rsidRPr="00295E71">
              <w:rPr>
                <w:rFonts w:ascii="Times New Roman" w:hAnsi="Times New Roman"/>
                <w:b w:val="0"/>
                <w:szCs w:val="22"/>
                <w:lang w:val="it-IT"/>
              </w:rPr>
              <w:t xml:space="preserve"> rimetta il tappo.</w:t>
            </w:r>
          </w:p>
          <w:p w:rsidR="006224C2" w:rsidRPr="00295E71" w:rsidP="00F57FE5" w14:paraId="07F754E9" w14:textId="77777777">
            <w:pPr>
              <w:pStyle w:val="EMEANormal"/>
              <w:keepNext/>
              <w:rPr>
                <w:lang w:val="it-IT"/>
              </w:rPr>
            </w:pPr>
          </w:p>
          <w:p w:rsidR="006224C2" w:rsidRPr="00295E71" w14:paraId="36811E99" w14:textId="77777777">
            <w:pPr>
              <w:pStyle w:val="EMEAHeadingLeaflet"/>
              <w:keepNext/>
              <w:numPr>
                <w:ilvl w:val="0"/>
                <w:numId w:val="106"/>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Verifichi che la protezione nera che ricopre l’ago della siringa sia stata rimossa insieme al tappo </w:t>
            </w:r>
          </w:p>
          <w:p w:rsidR="006224C2" w:rsidRPr="00295E71" w14:paraId="127FB704" w14:textId="77777777">
            <w:pPr>
              <w:pStyle w:val="EMEAHeadingLeaflet"/>
              <w:keepNext/>
              <w:numPr>
                <w:ilvl w:val="0"/>
                <w:numId w:val="106"/>
              </w:numPr>
              <w:tabs>
                <w:tab w:val="clear" w:pos="562"/>
                <w:tab w:val="left" w:pos="757"/>
              </w:tabs>
              <w:spacing w:beforeLines="0" w:afterLines="0"/>
              <w:rPr>
                <w:rFonts w:ascii="Times New Roman" w:hAnsi="Times New Roman"/>
                <w:b w:val="0"/>
                <w:szCs w:val="22"/>
                <w:lang w:val="it-IT"/>
              </w:rPr>
            </w:pPr>
            <w:r w:rsidRPr="00295E71">
              <w:rPr>
                <w:rFonts w:ascii="Times New Roman" w:hAnsi="Times New Roman"/>
                <w:b w:val="0"/>
                <w:szCs w:val="22"/>
                <w:lang w:val="it-IT"/>
              </w:rPr>
              <w:t xml:space="preserve">È normale che alcune piccole gocce di liquido fuoriescano dall’ago </w:t>
            </w:r>
          </w:p>
          <w:p w:rsidR="006224C2" w:rsidRPr="00295E71" w:rsidP="00F57FE5" w14:paraId="489CC95A" w14:textId="77777777">
            <w:pPr>
              <w:pStyle w:val="EMEANormal"/>
              <w:keepNext/>
              <w:rPr>
                <w:lang w:val="it-IT"/>
              </w:rPr>
            </w:pPr>
          </w:p>
          <w:p w:rsidR="006224C2" w:rsidRPr="00295E71" w14:paraId="41E564AD"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Rimuova il tappo viola (2). Getti via il tappo. </w:t>
            </w:r>
            <w:r w:rsidRPr="00295E71">
              <w:rPr>
                <w:rFonts w:ascii="Times New Roman" w:hAnsi="Times New Roman"/>
                <w:szCs w:val="22"/>
                <w:lang w:val="it-IT"/>
              </w:rPr>
              <w:t>Non</w:t>
            </w:r>
            <w:r w:rsidRPr="00295E71">
              <w:rPr>
                <w:rFonts w:ascii="Times New Roman" w:hAnsi="Times New Roman"/>
                <w:b w:val="0"/>
                <w:szCs w:val="22"/>
                <w:lang w:val="it-IT"/>
              </w:rPr>
              <w:t xml:space="preserve"> rimetta il tappo.</w:t>
            </w:r>
          </w:p>
          <w:p w:rsidR="006224C2" w:rsidRPr="00295E71" w:rsidP="00F57FE5" w14:paraId="185418AB" w14:textId="77777777">
            <w:pPr>
              <w:pStyle w:val="EMEANormal"/>
              <w:keepNext/>
              <w:rPr>
                <w:lang w:val="it-IT"/>
              </w:rPr>
            </w:pPr>
          </w:p>
          <w:p w:rsidR="006224C2" w:rsidRPr="00295E71" w:rsidP="00F57FE5" w14:paraId="6D430719" w14:textId="77777777">
            <w:pPr>
              <w:pStyle w:val="EMEANormal"/>
              <w:keepNext/>
              <w:rPr>
                <w:lang w:val="it-IT"/>
              </w:rPr>
            </w:pPr>
            <w:r w:rsidRPr="00295E71">
              <w:rPr>
                <w:lang w:val="it-IT"/>
              </w:rPr>
              <w:t>La penna pre-riempita è ora pronta per l’uso.</w:t>
            </w:r>
          </w:p>
          <w:p w:rsidR="006224C2" w:rsidRPr="00295E71" w:rsidP="00F57FE5" w14:paraId="3F744604" w14:textId="77777777">
            <w:pPr>
              <w:pStyle w:val="EMEANormal"/>
              <w:keepNext/>
              <w:rPr>
                <w:lang w:val="it-IT"/>
              </w:rPr>
            </w:pPr>
          </w:p>
          <w:p w:rsidR="006224C2" w:rsidRPr="00295E71" w:rsidP="00F57FE5" w14:paraId="6AAECBB6" w14:textId="77777777">
            <w:pPr>
              <w:pStyle w:val="EMEANormal"/>
              <w:keepNext/>
              <w:rPr>
                <w:lang w:val="it-IT"/>
              </w:rPr>
            </w:pPr>
            <w:r w:rsidRPr="00295E71">
              <w:rPr>
                <w:lang w:val="it-IT"/>
              </w:rPr>
              <w:t>Ruoti la penna pre-riempita in modo che la freccia bianca sia rivolta verso il sito di iniezione.</w:t>
            </w:r>
          </w:p>
        </w:tc>
      </w:tr>
      <w:tr w14:paraId="61B0D155" w14:textId="77777777">
        <w:tblPrEx>
          <w:tblW w:w="9287" w:type="dxa"/>
          <w:tblLayout w:type="fixed"/>
          <w:tblLook w:val="04A0"/>
        </w:tblPrEx>
        <w:tc>
          <w:tcPr>
            <w:tcW w:w="3708" w:type="dxa"/>
            <w:tcBorders>
              <w:right w:val="nil"/>
            </w:tcBorders>
          </w:tcPr>
          <w:p w:rsidR="006224C2" w:rsidRPr="00295E71" w14:paraId="3435AF40" w14:textId="77777777">
            <w:pPr>
              <w:pStyle w:val="EMEANormal"/>
              <w:rPr>
                <w:b/>
                <w:lang w:val="it-IT"/>
              </w:rPr>
            </w:pPr>
            <w:r w:rsidRPr="00295E71">
              <w:rPr>
                <w:b/>
                <w:lang w:val="it-IT"/>
              </w:rPr>
              <w:t>STEP 6</w:t>
            </w:r>
          </w:p>
          <w:p w:rsidR="006224C2" w:rsidRPr="00295E71" w14:paraId="0A90FFAC" w14:textId="77777777">
            <w:pPr>
              <w:pStyle w:val="EMEANormal"/>
              <w:rPr>
                <w:lang w:val="it-IT"/>
              </w:rPr>
            </w:pPr>
            <w:r w:rsidRPr="00910CE7">
              <w:rPr>
                <w:noProof/>
                <w:lang w:val="en-GB"/>
              </w:rPr>
              <w:drawing>
                <wp:inline distT="0" distB="0" distL="0" distR="0">
                  <wp:extent cx="2257425" cy="2143125"/>
                  <wp:effectExtent l="0" t="0" r="0" b="0"/>
                  <wp:docPr id="43" name="Picture 83"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6" descr="STEP6_grey"/>
                          <pic:cNvPicPr>
                            <a:picLocks noChangeAspect="1" noChangeArrowheads="1"/>
                          </pic:cNvPicPr>
                        </pic:nvPicPr>
                        <pic:blipFill>
                          <a:blip xmlns:r="http://schemas.openxmlformats.org/officeDocument/2006/relationships" r:embed="rId7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57425" cy="2143125"/>
                          </a:xfrm>
                          <a:prstGeom prst="rect">
                            <a:avLst/>
                          </a:prstGeom>
                          <a:noFill/>
                          <a:ln>
                            <a:noFill/>
                          </a:ln>
                        </pic:spPr>
                      </pic:pic>
                    </a:graphicData>
                  </a:graphic>
                </wp:inline>
              </w:drawing>
            </w:r>
          </w:p>
        </w:tc>
        <w:tc>
          <w:tcPr>
            <w:tcW w:w="5579" w:type="dxa"/>
            <w:tcBorders>
              <w:left w:val="nil"/>
            </w:tcBorders>
          </w:tcPr>
          <w:p w:rsidR="006224C2" w:rsidRPr="00295E71" w14:paraId="77AD1FA8" w14:textId="77777777">
            <w:pPr>
              <w:pStyle w:val="EMEAHeadingLeaflet"/>
              <w:spacing w:beforeLines="0" w:afterLines="0"/>
              <w:rPr>
                <w:rFonts w:ascii="Times New Roman" w:hAnsi="Times New Roman"/>
                <w:b w:val="0"/>
                <w:szCs w:val="22"/>
                <w:lang w:val="it-IT"/>
              </w:rPr>
            </w:pPr>
          </w:p>
          <w:p w:rsidR="006224C2" w:rsidRPr="00295E71" w14:paraId="47A45662" w14:textId="77777777">
            <w:pPr>
              <w:pStyle w:val="EMEAHeadingLeaflet"/>
              <w:spacing w:beforeLines="0" w:afterLines="0"/>
              <w:rPr>
                <w:rFonts w:ascii="Times New Roman" w:hAnsi="Times New Roman"/>
                <w:b w:val="0"/>
                <w:szCs w:val="22"/>
                <w:lang w:val="it-IT"/>
              </w:rPr>
            </w:pPr>
            <w:r>
              <w:rPr>
                <w:rFonts w:ascii="Times New Roman" w:hAnsi="Times New Roman"/>
                <w:b w:val="0"/>
                <w:szCs w:val="22"/>
                <w:lang w:val="it-IT"/>
              </w:rPr>
              <w:t xml:space="preserve">Con l’altra mano, </w:t>
            </w:r>
            <w:r w:rsidR="004C4D16">
              <w:rPr>
                <w:rFonts w:ascii="Times New Roman" w:hAnsi="Times New Roman"/>
                <w:b w:val="0"/>
                <w:szCs w:val="22"/>
                <w:lang w:val="it-IT"/>
              </w:rPr>
              <w:t>a</w:t>
            </w:r>
            <w:r w:rsidRPr="00295E71" w:rsidR="00226BC4">
              <w:rPr>
                <w:rFonts w:ascii="Times New Roman" w:hAnsi="Times New Roman"/>
                <w:b w:val="0"/>
                <w:szCs w:val="22"/>
                <w:lang w:val="it-IT"/>
              </w:rPr>
              <w:t>fferri la pelle nel sito di iniezione per creare una zona rialzata e la tenga saldamente</w:t>
            </w:r>
            <w:r w:rsidR="003354C8">
              <w:rPr>
                <w:rFonts w:ascii="Times New Roman" w:hAnsi="Times New Roman"/>
                <w:b w:val="0"/>
                <w:szCs w:val="22"/>
                <w:lang w:val="it-IT"/>
              </w:rPr>
              <w:t xml:space="preserve"> fino a</w:t>
            </w:r>
            <w:r w:rsidR="004C4D16">
              <w:rPr>
                <w:rFonts w:ascii="Times New Roman" w:hAnsi="Times New Roman"/>
                <w:b w:val="0"/>
                <w:szCs w:val="22"/>
                <w:lang w:val="it-IT"/>
              </w:rPr>
              <w:t xml:space="preserve"> quando l’iniezione è completa</w:t>
            </w:r>
            <w:r w:rsidRPr="00295E71" w:rsidR="00226BC4">
              <w:rPr>
                <w:rFonts w:ascii="Times New Roman" w:hAnsi="Times New Roman"/>
                <w:b w:val="0"/>
                <w:szCs w:val="22"/>
                <w:lang w:val="it-IT"/>
              </w:rPr>
              <w:t>.</w:t>
            </w:r>
          </w:p>
          <w:p w:rsidR="006224C2" w:rsidRPr="00295E71" w14:paraId="0692CC3D" w14:textId="77777777">
            <w:pPr>
              <w:pStyle w:val="EMEANormal"/>
              <w:rPr>
                <w:lang w:val="it-IT"/>
              </w:rPr>
            </w:pPr>
          </w:p>
          <w:p w:rsidR="006224C2" w:rsidRPr="00295E71" w14:paraId="48B20372"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Posizioni la freccia bianca verso il sito di iniezione (coscia o addome).</w:t>
            </w:r>
          </w:p>
          <w:p w:rsidR="006224C2" w:rsidRPr="00295E71" w14:paraId="703B0A99" w14:textId="77777777">
            <w:pPr>
              <w:pStyle w:val="EMEANormal"/>
              <w:rPr>
                <w:lang w:val="it-IT"/>
              </w:rPr>
            </w:pPr>
          </w:p>
          <w:p w:rsidR="006224C2" w:rsidRPr="00295E71" w14:paraId="241275C9" w14:textId="77777777">
            <w:pPr>
              <w:pStyle w:val="EMEAHeadingLeaflet"/>
              <w:spacing w:beforeLines="0" w:afterLines="0"/>
              <w:rPr>
                <w:rFonts w:ascii="Times New Roman" w:hAnsi="Times New Roman"/>
                <w:b w:val="0"/>
                <w:szCs w:val="22"/>
                <w:lang w:val="it-IT"/>
              </w:rPr>
            </w:pPr>
            <w:r w:rsidRPr="00295E71">
              <w:rPr>
                <w:rFonts w:ascii="Times New Roman" w:hAnsi="Times New Roman"/>
                <w:b w:val="0"/>
                <w:szCs w:val="22"/>
                <w:lang w:val="it-IT"/>
              </w:rPr>
              <w:t xml:space="preserve">Posizioni la guaina bianca che ricopre l’ago ad angolo retto </w:t>
            </w:r>
            <w:r w:rsidRPr="00295E71">
              <w:rPr>
                <w:rFonts w:ascii="Times New Roman" w:hAnsi="Times New Roman"/>
                <w:szCs w:val="22"/>
                <w:lang w:val="it-IT"/>
              </w:rPr>
              <w:t>(angolo a 90˚)</w:t>
            </w:r>
            <w:r w:rsidRPr="00295E71">
              <w:rPr>
                <w:rFonts w:ascii="Times New Roman" w:hAnsi="Times New Roman"/>
                <w:b w:val="0"/>
                <w:szCs w:val="22"/>
                <w:lang w:val="it-IT"/>
              </w:rPr>
              <w:t xml:space="preserve"> rispetto al sito di iniezione.</w:t>
            </w:r>
          </w:p>
          <w:p w:rsidR="006224C2" w:rsidRPr="00295E71" w14:paraId="733D7091" w14:textId="77777777">
            <w:pPr>
              <w:pStyle w:val="EMEANormal"/>
              <w:rPr>
                <w:lang w:val="it-IT"/>
              </w:rPr>
            </w:pPr>
          </w:p>
          <w:p w:rsidR="006224C2" w14:paraId="17144EA2" w14:textId="77777777">
            <w:pPr>
              <w:pStyle w:val="EMEANormal"/>
              <w:rPr>
                <w:lang w:val="it-IT"/>
              </w:rPr>
            </w:pPr>
            <w:r w:rsidRPr="00295E71">
              <w:rPr>
                <w:lang w:val="it-IT"/>
              </w:rPr>
              <w:t>Tenga la penna pre-riempita in modo da riuscire a vedere la finestra di ispezione.</w:t>
            </w:r>
          </w:p>
          <w:p w:rsidR="003354C8" w14:paraId="01195C52" w14:textId="77777777">
            <w:pPr>
              <w:pStyle w:val="EMEANormal"/>
              <w:rPr>
                <w:lang w:val="it-IT"/>
              </w:rPr>
            </w:pPr>
          </w:p>
          <w:p w:rsidR="003354C8" w:rsidRPr="00295E71" w:rsidP="00804DB6" w14:paraId="44F7637F" w14:textId="77777777">
            <w:pPr>
              <w:pStyle w:val="EMEANormal"/>
              <w:rPr>
                <w:lang w:val="it-IT"/>
              </w:rPr>
            </w:pPr>
            <w:r w:rsidRPr="0002593D">
              <w:rPr>
                <w:b/>
                <w:bCs/>
                <w:lang w:val="it-IT"/>
              </w:rPr>
              <w:t>Non</w:t>
            </w:r>
            <w:r>
              <w:rPr>
                <w:lang w:val="it-IT"/>
              </w:rPr>
              <w:t xml:space="preserve"> prema il pulsante di attivazione viola fino a quando non è pronto a</w:t>
            </w:r>
            <w:r w:rsidR="004C4D16">
              <w:rPr>
                <w:lang w:val="it-IT"/>
              </w:rPr>
              <w:t>d</w:t>
            </w:r>
            <w:r>
              <w:rPr>
                <w:lang w:val="it-IT"/>
              </w:rPr>
              <w:t xml:space="preserve"> effettuare l’iniezione.</w:t>
            </w:r>
          </w:p>
        </w:tc>
      </w:tr>
      <w:tr w14:paraId="03C9EAC9" w14:textId="77777777">
        <w:tblPrEx>
          <w:tblW w:w="9287" w:type="dxa"/>
          <w:tblLayout w:type="fixed"/>
          <w:tblLook w:val="04A0"/>
        </w:tblPrEx>
        <w:tc>
          <w:tcPr>
            <w:tcW w:w="3708" w:type="dxa"/>
            <w:tcBorders>
              <w:right w:val="nil"/>
            </w:tcBorders>
          </w:tcPr>
          <w:p w:rsidR="006224C2" w:rsidRPr="00295E71" w:rsidP="00910CE7" w14:paraId="575B9925" w14:textId="77777777">
            <w:pPr>
              <w:pStyle w:val="EMEANormal"/>
              <w:keepNext/>
              <w:jc w:val="both"/>
              <w:rPr>
                <w:b/>
                <w:lang w:val="it-IT"/>
              </w:rPr>
            </w:pPr>
            <w:r w:rsidRPr="00295E71">
              <w:rPr>
                <w:b/>
                <w:lang w:val="it-IT"/>
              </w:rPr>
              <w:t>STEP 7</w:t>
            </w:r>
          </w:p>
          <w:p w:rsidR="006224C2" w:rsidRPr="00295E71" w:rsidP="00910CE7" w14:paraId="700F1687" w14:textId="77777777">
            <w:pPr>
              <w:pStyle w:val="EMEANormal"/>
              <w:keepNext/>
              <w:jc w:val="both"/>
              <w:rPr>
                <w:b/>
                <w:lang w:val="it-IT"/>
              </w:rPr>
            </w:pPr>
          </w:p>
          <w:p w:rsidR="006224C2" w:rsidRPr="00295E71" w:rsidP="00910CE7" w14:paraId="0DE01D13" w14:textId="77777777">
            <w:pPr>
              <w:pStyle w:val="EMEANormal"/>
              <w:keepNext/>
              <w:rPr>
                <w:b/>
                <w:lang w:val="it-IT"/>
              </w:rPr>
            </w:pPr>
            <w:r w:rsidRPr="00295E71">
              <w:rPr>
                <w:b/>
                <w:lang w:val="it-IT"/>
              </w:rPr>
              <w:t xml:space="preserve">                             15 Secondi                             </w:t>
            </w:r>
          </w:p>
          <w:p w:rsidR="006224C2" w:rsidRPr="00295E71" w:rsidP="00910CE7" w14:paraId="69C82842" w14:textId="77777777">
            <w:pPr>
              <w:pStyle w:val="EMEANormal"/>
              <w:keepNext/>
              <w:rPr>
                <w:lang w:val="it-IT"/>
              </w:rPr>
            </w:pPr>
            <w:r w:rsidRPr="00910CE7">
              <w:rPr>
                <w:noProof/>
                <w:lang w:val="en-GB"/>
              </w:rPr>
              <w:drawing>
                <wp:inline distT="0" distB="0" distL="0" distR="0">
                  <wp:extent cx="2105246" cy="2643611"/>
                  <wp:effectExtent l="0" t="0" r="9525"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TEP7b_grey-01.jpg"/>
                          <pic:cNvPicPr/>
                        </pic:nvPicPr>
                        <pic:blipFill>
                          <a:blip xmlns:r="http://schemas.openxmlformats.org/officeDocument/2006/relationships" r:embed="rId8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094279" cy="2629839"/>
                          </a:xfrm>
                          <a:prstGeom prst="rect">
                            <a:avLst/>
                          </a:prstGeom>
                        </pic:spPr>
                      </pic:pic>
                    </a:graphicData>
                  </a:graphic>
                </wp:inline>
              </w:drawing>
            </w:r>
          </w:p>
        </w:tc>
        <w:tc>
          <w:tcPr>
            <w:tcW w:w="5579" w:type="dxa"/>
            <w:tcBorders>
              <w:left w:val="nil"/>
            </w:tcBorders>
          </w:tcPr>
          <w:p w:rsidR="006224C2" w:rsidRPr="00295E71" w:rsidP="00910CE7" w14:paraId="3EBD5B52" w14:textId="77777777">
            <w:pPr>
              <w:pStyle w:val="EMEAHeadingLeaflet"/>
              <w:keepNext/>
              <w:spacing w:beforeLines="0" w:afterLines="0"/>
              <w:rPr>
                <w:rFonts w:ascii="Times New Roman" w:hAnsi="Times New Roman"/>
                <w:szCs w:val="22"/>
                <w:lang w:val="it-IT"/>
              </w:rPr>
            </w:pPr>
          </w:p>
          <w:p w:rsidR="006224C2" w:rsidP="00910CE7" w14:paraId="01652F7C"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szCs w:val="22"/>
                <w:lang w:val="it-IT"/>
              </w:rPr>
              <w:t xml:space="preserve">Prema </w:t>
            </w:r>
            <w:r w:rsidR="003354C8">
              <w:rPr>
                <w:rFonts w:ascii="Times New Roman" w:hAnsi="Times New Roman"/>
                <w:szCs w:val="22"/>
                <w:lang w:val="it-IT"/>
              </w:rPr>
              <w:t xml:space="preserve">saldamente </w:t>
            </w:r>
            <w:r w:rsidRPr="0002593D">
              <w:rPr>
                <w:rFonts w:ascii="Times New Roman" w:hAnsi="Times New Roman"/>
                <w:bCs/>
                <w:szCs w:val="22"/>
                <w:lang w:val="it-IT"/>
              </w:rPr>
              <w:t>la penna pre-riempita</w:t>
            </w:r>
            <w:r w:rsidRPr="00295E71">
              <w:rPr>
                <w:rFonts w:ascii="Times New Roman" w:hAnsi="Times New Roman"/>
                <w:b w:val="0"/>
                <w:szCs w:val="22"/>
                <w:lang w:val="it-IT"/>
              </w:rPr>
              <w:t xml:space="preserve"> contro il sito di iniezione</w:t>
            </w:r>
            <w:r w:rsidR="003354C8">
              <w:rPr>
                <w:rFonts w:ascii="Times New Roman" w:hAnsi="Times New Roman"/>
                <w:b w:val="0"/>
                <w:szCs w:val="22"/>
                <w:lang w:val="it-IT"/>
              </w:rPr>
              <w:t xml:space="preserve"> prima di iniziare l’iniezione</w:t>
            </w:r>
            <w:r w:rsidRPr="00295E71">
              <w:rPr>
                <w:rFonts w:ascii="Times New Roman" w:hAnsi="Times New Roman"/>
                <w:b w:val="0"/>
                <w:szCs w:val="22"/>
                <w:lang w:val="it-IT"/>
              </w:rPr>
              <w:t>.</w:t>
            </w:r>
          </w:p>
          <w:p w:rsidR="003354C8" w:rsidRPr="003354C8" w:rsidP="00910CE7" w14:paraId="21DB6198" w14:textId="77777777">
            <w:pPr>
              <w:pStyle w:val="EMEANormal"/>
              <w:keepNext/>
              <w:rPr>
                <w:lang w:val="it-IT"/>
              </w:rPr>
            </w:pPr>
            <w:r w:rsidRPr="0002593D">
              <w:rPr>
                <w:b/>
                <w:bCs/>
                <w:lang w:val="it-IT"/>
              </w:rPr>
              <w:t>Continui a tenere premuto</w:t>
            </w:r>
            <w:r>
              <w:rPr>
                <w:lang w:val="it-IT"/>
              </w:rPr>
              <w:t xml:space="preserve"> per impedire alla penna pre-riempita di allontanarsi dalla pelle durante l’iniezione.</w:t>
            </w:r>
          </w:p>
          <w:p w:rsidR="006224C2" w:rsidRPr="00295E71" w:rsidP="00910CE7" w14:paraId="783BCAE0" w14:textId="77777777">
            <w:pPr>
              <w:pStyle w:val="EMEANormal"/>
              <w:keepNext/>
              <w:rPr>
                <w:lang w:val="it-IT"/>
              </w:rPr>
            </w:pPr>
          </w:p>
          <w:p w:rsidR="006224C2" w:rsidRPr="00295E71" w:rsidP="00910CE7" w14:paraId="28E2E3BB"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szCs w:val="22"/>
                <w:lang w:val="it-IT"/>
              </w:rPr>
              <w:t>Prema</w:t>
            </w:r>
            <w:r w:rsidRPr="00295E71">
              <w:rPr>
                <w:rFonts w:ascii="Times New Roman" w:hAnsi="Times New Roman"/>
                <w:b w:val="0"/>
                <w:szCs w:val="22"/>
                <w:lang w:val="it-IT"/>
              </w:rPr>
              <w:t xml:space="preserve"> il pulsante di attivazione viola e conti lentamente per </w:t>
            </w:r>
            <w:r w:rsidRPr="00295E71">
              <w:rPr>
                <w:rFonts w:ascii="Times New Roman" w:hAnsi="Times New Roman"/>
                <w:szCs w:val="22"/>
                <w:lang w:val="it-IT"/>
              </w:rPr>
              <w:t>15</w:t>
            </w:r>
            <w:r w:rsidRPr="00295E71">
              <w:rPr>
                <w:rFonts w:ascii="Times New Roman" w:hAnsi="Times New Roman"/>
                <w:b w:val="0"/>
                <w:szCs w:val="22"/>
                <w:lang w:val="it-IT"/>
              </w:rPr>
              <w:t xml:space="preserve"> secondi.</w:t>
            </w:r>
          </w:p>
          <w:p w:rsidR="006224C2" w:rsidRPr="00295E71" w:rsidP="00910CE7" w14:paraId="234751D4" w14:textId="77777777">
            <w:pPr>
              <w:pStyle w:val="EMEANormal"/>
              <w:keepNext/>
              <w:rPr>
                <w:lang w:val="it-IT"/>
              </w:rPr>
            </w:pPr>
          </w:p>
          <w:p w:rsidR="006224C2" w:rsidRPr="00295E71" w:rsidP="00910CE7" w14:paraId="021B0424" w14:textId="77777777">
            <w:pPr>
              <w:pStyle w:val="EMEAHeadingLeaflet"/>
              <w:keepNext/>
              <w:numPr>
                <w:ilvl w:val="0"/>
                <w:numId w:val="107"/>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b w:val="0"/>
                <w:szCs w:val="22"/>
                <w:lang w:val="it-IT"/>
              </w:rPr>
              <w:t xml:space="preserve">Un forte </w:t>
            </w:r>
            <w:r w:rsidRPr="00295E71">
              <w:rPr>
                <w:rFonts w:ascii="Times New Roman" w:hAnsi="Times New Roman"/>
                <w:szCs w:val="22"/>
                <w:lang w:val="it-IT"/>
              </w:rPr>
              <w:t>“click”</w:t>
            </w:r>
            <w:r w:rsidRPr="00295E71">
              <w:rPr>
                <w:rFonts w:ascii="Times New Roman" w:hAnsi="Times New Roman"/>
                <w:b w:val="0"/>
                <w:szCs w:val="22"/>
                <w:lang w:val="it-IT"/>
              </w:rPr>
              <w:t xml:space="preserve"> indicherà l’inizio dell’iniezione</w:t>
            </w:r>
          </w:p>
          <w:p w:rsidR="006224C2" w:rsidRPr="00295E71" w:rsidP="00910CE7" w14:paraId="617A8F8D" w14:textId="77777777">
            <w:pPr>
              <w:pStyle w:val="EMEAHeadingLeaflet"/>
              <w:keepNext/>
              <w:numPr>
                <w:ilvl w:val="0"/>
                <w:numId w:val="107"/>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szCs w:val="22"/>
                <w:lang w:val="it-IT"/>
              </w:rPr>
              <w:t>Continui a tenere premuta</w:t>
            </w:r>
            <w:r w:rsidRPr="00295E71">
              <w:rPr>
                <w:rFonts w:ascii="Times New Roman" w:hAnsi="Times New Roman"/>
                <w:b w:val="0"/>
                <w:szCs w:val="22"/>
                <w:lang w:val="it-IT"/>
              </w:rPr>
              <w:t xml:space="preserve"> la penna pre-riempita </w:t>
            </w:r>
            <w:r w:rsidR="004C4D16">
              <w:rPr>
                <w:rFonts w:ascii="Times New Roman" w:hAnsi="Times New Roman"/>
                <w:b w:val="0"/>
                <w:szCs w:val="22"/>
                <w:lang w:val="it-IT"/>
              </w:rPr>
              <w:t xml:space="preserve">saldamente </w:t>
            </w:r>
            <w:r w:rsidRPr="00295E71">
              <w:rPr>
                <w:rFonts w:ascii="Times New Roman" w:hAnsi="Times New Roman"/>
                <w:b w:val="0"/>
                <w:szCs w:val="22"/>
                <w:lang w:val="it-IT"/>
              </w:rPr>
              <w:t>contro il sito di iniezione</w:t>
            </w:r>
            <w:r w:rsidR="003354C8">
              <w:rPr>
                <w:rFonts w:ascii="Times New Roman" w:hAnsi="Times New Roman"/>
                <w:b w:val="0"/>
                <w:szCs w:val="22"/>
                <w:lang w:val="it-IT"/>
              </w:rPr>
              <w:t xml:space="preserve"> fino a</w:t>
            </w:r>
            <w:r w:rsidR="004C4D16">
              <w:rPr>
                <w:rFonts w:ascii="Times New Roman" w:hAnsi="Times New Roman"/>
                <w:b w:val="0"/>
                <w:szCs w:val="22"/>
                <w:lang w:val="it-IT"/>
              </w:rPr>
              <w:t xml:space="preserve"> quando l’iniezione è completa</w:t>
            </w:r>
            <w:r w:rsidRPr="00295E71">
              <w:rPr>
                <w:rFonts w:ascii="Times New Roman" w:hAnsi="Times New Roman"/>
                <w:b w:val="0"/>
                <w:szCs w:val="22"/>
                <w:lang w:val="it-IT"/>
              </w:rPr>
              <w:t xml:space="preserve">. </w:t>
            </w:r>
          </w:p>
          <w:p w:rsidR="006224C2" w:rsidRPr="00295E71" w:rsidP="00910CE7" w14:paraId="35E1F017" w14:textId="77777777">
            <w:pPr>
              <w:pStyle w:val="EMEANormal"/>
              <w:keepNext/>
              <w:rPr>
                <w:lang w:val="it-IT"/>
              </w:rPr>
            </w:pPr>
          </w:p>
          <w:p w:rsidR="006224C2" w:rsidRPr="00295E71" w:rsidP="00910CE7" w14:paraId="37C460FF" w14:textId="77777777">
            <w:pPr>
              <w:pStyle w:val="EMEANormal"/>
              <w:keepNext/>
              <w:rPr>
                <w:lang w:val="it-IT"/>
              </w:rPr>
            </w:pPr>
            <w:r w:rsidRPr="00295E71">
              <w:rPr>
                <w:lang w:val="it-IT"/>
              </w:rPr>
              <w:t>L’iniezione sarà completa quando l’indicatore giallo avrà smesso di muoversi.</w:t>
            </w:r>
          </w:p>
        </w:tc>
      </w:tr>
      <w:tr w14:paraId="1FB314A5" w14:textId="77777777">
        <w:tblPrEx>
          <w:tblW w:w="9287" w:type="dxa"/>
          <w:tblLayout w:type="fixed"/>
          <w:tblLook w:val="04A0"/>
        </w:tblPrEx>
        <w:tc>
          <w:tcPr>
            <w:tcW w:w="3708" w:type="dxa"/>
            <w:tcBorders>
              <w:right w:val="nil"/>
            </w:tcBorders>
          </w:tcPr>
          <w:p w:rsidR="006224C2" w:rsidRPr="00295E71" w:rsidP="00F57FE5" w14:paraId="7440D3D1" w14:textId="77777777">
            <w:pPr>
              <w:pStyle w:val="EMEANormal"/>
              <w:keepNext/>
              <w:rPr>
                <w:b/>
                <w:lang w:val="it-IT"/>
              </w:rPr>
            </w:pPr>
            <w:r w:rsidRPr="00295E71">
              <w:rPr>
                <w:lang w:val="it-IT"/>
              </w:rPr>
              <w:br w:type="page"/>
            </w:r>
            <w:r w:rsidRPr="00295E71">
              <w:rPr>
                <w:b/>
                <w:lang w:val="it-IT"/>
              </w:rPr>
              <w:t>STEP 8</w:t>
            </w:r>
          </w:p>
          <w:p w:rsidR="006224C2" w:rsidRPr="00295E71" w:rsidP="00F57FE5" w14:paraId="760AFEF8" w14:textId="77777777">
            <w:pPr>
              <w:pStyle w:val="EMEANormal"/>
              <w:keepNext/>
              <w:rPr>
                <w:b/>
                <w:lang w:val="it-IT"/>
              </w:rPr>
            </w:pPr>
          </w:p>
          <w:p w:rsidR="006224C2" w:rsidRPr="00295E71" w:rsidP="00F57FE5" w14:paraId="1EE46EA6" w14:textId="77777777">
            <w:pPr>
              <w:pStyle w:val="EMEANormal"/>
              <w:keepNext/>
              <w:rPr>
                <w:lang w:val="it-IT"/>
              </w:rPr>
            </w:pPr>
            <w:r w:rsidRPr="00910CE7">
              <w:rPr>
                <w:noProof/>
                <w:lang w:val="en-GB"/>
              </w:rPr>
              <w:drawing>
                <wp:inline distT="0" distB="0" distL="0" distR="0">
                  <wp:extent cx="2028825" cy="1809750"/>
                  <wp:effectExtent l="0" t="0" r="0" b="0"/>
                  <wp:docPr id="45" name="Picture 45"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8" descr="STEP8_grey"/>
                          <pic:cNvPicPr>
                            <a:picLocks noChangeAspect="1" noChangeArrowheads="1"/>
                          </pic:cNvPicPr>
                        </pic:nvPicPr>
                        <pic:blipFill>
                          <a:blip xmlns:r="http://schemas.openxmlformats.org/officeDocument/2006/relationships" r:embed="rId8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28825" cy="1809750"/>
                          </a:xfrm>
                          <a:prstGeom prst="rect">
                            <a:avLst/>
                          </a:prstGeom>
                          <a:noFill/>
                          <a:ln>
                            <a:noFill/>
                          </a:ln>
                        </pic:spPr>
                      </pic:pic>
                    </a:graphicData>
                  </a:graphic>
                </wp:inline>
              </w:drawing>
            </w:r>
          </w:p>
        </w:tc>
        <w:tc>
          <w:tcPr>
            <w:tcW w:w="5579" w:type="dxa"/>
            <w:tcBorders>
              <w:left w:val="nil"/>
            </w:tcBorders>
          </w:tcPr>
          <w:p w:rsidR="006224C2" w:rsidRPr="00295E71" w14:paraId="3C75A834" w14:textId="77777777">
            <w:pPr>
              <w:pStyle w:val="EMEAHeadingLeaflet"/>
              <w:keepNext/>
              <w:spacing w:beforeLines="0" w:afterLines="0"/>
              <w:rPr>
                <w:rFonts w:ascii="Times New Roman" w:hAnsi="Times New Roman"/>
                <w:b w:val="0"/>
                <w:szCs w:val="22"/>
                <w:lang w:val="it-IT"/>
              </w:rPr>
            </w:pPr>
          </w:p>
          <w:p w:rsidR="006224C2" w14:paraId="08C29AD3"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Una volta completata l’iniezione, estragga lentamente la penna pre-riempita dalla pelle. La guaina bianca che ricopre l’ago coprirà la punta dell’ago.</w:t>
            </w:r>
          </w:p>
          <w:p w:rsidR="003354C8" w:rsidRPr="003354C8" w:rsidP="0002593D" w14:paraId="2CBA5284" w14:textId="77777777">
            <w:pPr>
              <w:pStyle w:val="EMEANormal"/>
              <w:numPr>
                <w:ilvl w:val="0"/>
                <w:numId w:val="153"/>
              </w:numPr>
              <w:tabs>
                <w:tab w:val="left" w:pos="428"/>
                <w:tab w:val="clear" w:pos="562"/>
              </w:tabs>
              <w:rPr>
                <w:lang w:val="it-IT"/>
              </w:rPr>
            </w:pPr>
            <w:r>
              <w:rPr>
                <w:lang w:val="it-IT"/>
              </w:rPr>
              <w:t>La presenza di una piccola quantità di liquido sul sito di iniezione è normale.</w:t>
            </w:r>
          </w:p>
          <w:p w:rsidR="006224C2" w:rsidRPr="00295E71" w:rsidP="00F57FE5" w14:paraId="02FC5ED5" w14:textId="77777777">
            <w:pPr>
              <w:pStyle w:val="EMEANormal"/>
              <w:keepNext/>
              <w:rPr>
                <w:lang w:val="it-IT"/>
              </w:rPr>
            </w:pPr>
          </w:p>
          <w:p w:rsidR="006224C2" w:rsidRPr="00295E71" w:rsidP="00F57FE5" w14:paraId="26CED2CB" w14:textId="77777777">
            <w:pPr>
              <w:pStyle w:val="EMEANormal"/>
              <w:keepNext/>
              <w:rPr>
                <w:lang w:val="it-IT"/>
              </w:rPr>
            </w:pPr>
            <w:r w:rsidRPr="00295E71">
              <w:rPr>
                <w:lang w:val="it-IT"/>
              </w:rPr>
              <w:t>Se nel sito di iniezione è presente più di qualche goccia, si rivolga al medico, all’infermiere o al farmacista.</w:t>
            </w:r>
          </w:p>
          <w:p w:rsidR="006224C2" w:rsidRPr="00295E71" w:rsidP="00F57FE5" w14:paraId="67797F2D" w14:textId="77777777">
            <w:pPr>
              <w:pStyle w:val="EMEANormal"/>
              <w:keepNext/>
              <w:rPr>
                <w:lang w:val="it-IT"/>
              </w:rPr>
            </w:pPr>
          </w:p>
          <w:p w:rsidR="006224C2" w:rsidRPr="00295E71" w14:paraId="3B10D27D"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Dopo aver completato l’iniezione, applichi un batuffolo di cotone o una garza sulla pelle nel sito di iniezione.</w:t>
            </w:r>
          </w:p>
          <w:p w:rsidR="006224C2" w:rsidRPr="00295E71" w:rsidP="00F57FE5" w14:paraId="0F67E9E4" w14:textId="77777777">
            <w:pPr>
              <w:pStyle w:val="EMEANormal"/>
              <w:keepNext/>
              <w:rPr>
                <w:lang w:val="it-IT"/>
              </w:rPr>
            </w:pPr>
          </w:p>
          <w:p w:rsidR="006224C2" w:rsidRPr="00295E71" w14:paraId="2084998F" w14:textId="77777777">
            <w:pPr>
              <w:pStyle w:val="EMEAHeadingLeaflet"/>
              <w:keepNext/>
              <w:numPr>
                <w:ilvl w:val="0"/>
                <w:numId w:val="108"/>
              </w:numPr>
              <w:tabs>
                <w:tab w:val="clear" w:pos="562"/>
                <w:tab w:val="left" w:pos="757"/>
              </w:tabs>
              <w:spacing w:beforeLines="0" w:afterLines="0"/>
              <w:ind w:left="757"/>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strofini</w:t>
            </w:r>
          </w:p>
          <w:p w:rsidR="006224C2" w:rsidRPr="00295E71" w:rsidP="00F57FE5" w14:paraId="1A03D29A" w14:textId="77777777">
            <w:pPr>
              <w:pStyle w:val="EMEANormal"/>
              <w:keepNext/>
              <w:numPr>
                <w:ilvl w:val="0"/>
                <w:numId w:val="108"/>
              </w:numPr>
              <w:tabs>
                <w:tab w:val="clear" w:pos="562"/>
                <w:tab w:val="left" w:pos="757"/>
              </w:tabs>
              <w:ind w:left="757"/>
              <w:rPr>
                <w:lang w:val="it-IT"/>
              </w:rPr>
            </w:pPr>
            <w:r w:rsidRPr="00295E71">
              <w:rPr>
                <w:lang w:val="it-IT"/>
              </w:rPr>
              <w:t xml:space="preserve">E’ normale che si verifichi un leggero sanguinamento al sito di iniezione </w:t>
            </w:r>
          </w:p>
        </w:tc>
      </w:tr>
      <w:tr w14:paraId="2E8272A7" w14:textId="77777777">
        <w:tblPrEx>
          <w:tblW w:w="9287" w:type="dxa"/>
          <w:tblLayout w:type="fixed"/>
          <w:tblLook w:val="04A0"/>
        </w:tblPrEx>
        <w:tc>
          <w:tcPr>
            <w:tcW w:w="9287" w:type="dxa"/>
            <w:gridSpan w:val="2"/>
          </w:tcPr>
          <w:p w:rsidR="006224C2" w:rsidRPr="00295E71" w14:paraId="342BC859" w14:textId="77777777">
            <w:pPr>
              <w:rPr>
                <w:b/>
                <w:sz w:val="22"/>
                <w:szCs w:val="22"/>
              </w:rPr>
            </w:pPr>
            <w:r w:rsidRPr="00295E71">
              <w:rPr>
                <w:b/>
                <w:sz w:val="22"/>
                <w:szCs w:val="22"/>
              </w:rPr>
              <w:t>STEP 9</w:t>
            </w:r>
          </w:p>
          <w:p w:rsidR="006224C2" w:rsidRPr="00295E71" w14:paraId="0EB1BFF9" w14:textId="77777777">
            <w:pPr>
              <w:rPr>
                <w:b/>
                <w:sz w:val="22"/>
                <w:szCs w:val="22"/>
              </w:rPr>
            </w:pPr>
          </w:p>
          <w:p w:rsidR="006224C2" w:rsidRPr="00295E71" w14:paraId="541E6B6D" w14:textId="77777777">
            <w:pPr>
              <w:pStyle w:val="EMEAHeadingLeaflet"/>
              <w:keepNext/>
              <w:spacing w:beforeLines="0" w:afterLines="0"/>
              <w:rPr>
                <w:rFonts w:ascii="Times New Roman" w:hAnsi="Times New Roman"/>
                <w:b w:val="0"/>
                <w:szCs w:val="22"/>
                <w:lang w:val="it-IT"/>
              </w:rPr>
            </w:pPr>
            <w:r w:rsidRPr="00295E71">
              <w:rPr>
                <w:rFonts w:ascii="Times New Roman" w:hAnsi="Times New Roman"/>
                <w:b w:val="0"/>
                <w:szCs w:val="22"/>
                <w:lang w:val="it-IT"/>
              </w:rPr>
              <w:t>Getti la penna pre-riempita utilizzata in un contenitore speciale seguendo le istruzioni del medico, dell’infermiere o del farmacista.</w:t>
            </w:r>
          </w:p>
          <w:p w:rsidR="006224C2" w:rsidRPr="00295E71" w14:paraId="2E0C28BD" w14:textId="77777777">
            <w:pPr>
              <w:pStyle w:val="EMEANormal"/>
              <w:rPr>
                <w:lang w:val="it-IT"/>
              </w:rPr>
            </w:pPr>
          </w:p>
          <w:p w:rsidR="006224C2" w:rsidRPr="00295E71" w14:paraId="2383A2F8" w14:textId="77777777">
            <w:pPr>
              <w:pStyle w:val="EMEAHeadingLeaflet"/>
              <w:keepNext/>
              <w:numPr>
                <w:ilvl w:val="0"/>
                <w:numId w:val="109"/>
              </w:numPr>
              <w:tabs>
                <w:tab w:val="clear" w:pos="562"/>
                <w:tab w:val="left" w:pos="720"/>
              </w:tabs>
              <w:spacing w:beforeLines="0" w:afterLines="0"/>
              <w:rPr>
                <w:rFonts w:ascii="Times New Roman" w:hAnsi="Times New Roman"/>
                <w:b w:val="0"/>
                <w:szCs w:val="22"/>
                <w:lang w:val="it-IT"/>
              </w:rPr>
            </w:pPr>
            <w:r w:rsidRPr="00295E71">
              <w:rPr>
                <w:rFonts w:ascii="Times New Roman" w:hAnsi="Times New Roman"/>
                <w:szCs w:val="22"/>
                <w:lang w:val="it-IT"/>
              </w:rPr>
              <w:t>Non</w:t>
            </w:r>
            <w:r w:rsidRPr="00295E71">
              <w:rPr>
                <w:rFonts w:ascii="Times New Roman" w:hAnsi="Times New Roman"/>
                <w:b w:val="0"/>
                <w:szCs w:val="22"/>
                <w:lang w:val="it-IT"/>
              </w:rPr>
              <w:t xml:space="preserve"> ricicli o getti la penna pre-riempita tra i rifiuti domestici</w:t>
            </w:r>
          </w:p>
          <w:p w:rsidR="006224C2" w:rsidRPr="00295E71" w14:paraId="0C0FC270" w14:textId="77777777">
            <w:pPr>
              <w:pStyle w:val="EMEANormal"/>
              <w:numPr>
                <w:ilvl w:val="0"/>
                <w:numId w:val="109"/>
              </w:numPr>
              <w:tabs>
                <w:tab w:val="clear" w:pos="562"/>
                <w:tab w:val="left" w:pos="720"/>
              </w:tabs>
              <w:rPr>
                <w:lang w:val="it-IT"/>
              </w:rPr>
            </w:pPr>
            <w:r w:rsidRPr="00295E71">
              <w:rPr>
                <w:lang w:val="it-IT"/>
              </w:rPr>
              <w:t>Tenga</w:t>
            </w:r>
            <w:r w:rsidRPr="00295E71">
              <w:rPr>
                <w:b/>
                <w:lang w:val="it-IT"/>
              </w:rPr>
              <w:t xml:space="preserve"> sempre </w:t>
            </w:r>
            <w:r w:rsidRPr="00295E71">
              <w:rPr>
                <w:lang w:val="it-IT"/>
              </w:rPr>
              <w:t>la penna pre-riempita e il contenitore speciale fuori dalla vista e dalla portata dei bambini</w:t>
            </w:r>
          </w:p>
          <w:p w:rsidR="006224C2" w:rsidRPr="00295E71" w14:paraId="53A2FAF5" w14:textId="77777777">
            <w:pPr>
              <w:pStyle w:val="EMEANormal"/>
              <w:rPr>
                <w:lang w:val="it-IT"/>
              </w:rPr>
            </w:pPr>
            <w:r w:rsidRPr="00295E71">
              <w:rPr>
                <w:lang w:val="it-IT"/>
              </w:rPr>
              <w:t>I tappi, i tamponi imbevuti di alcool, il batuffolo di cotone o la garza, il blister e il confezionamento possono essere gettati nei rifiuti domestici.</w:t>
            </w:r>
          </w:p>
        </w:tc>
      </w:tr>
    </w:tbl>
    <w:p w:rsidR="00967053" w:rsidRPr="00295E71" w:rsidP="00903E95" w14:paraId="5D754EDA" w14:textId="77777777">
      <w:pPr>
        <w:rPr>
          <w:snapToGrid w:val="0"/>
          <w:lang w:eastAsia="fr-LU"/>
        </w:rPr>
      </w:pPr>
    </w:p>
    <w:sectPr w:rsidSect="0051610C">
      <w:headerReference w:type="default" r:id="rId85"/>
      <w:footerReference w:type="default" r:id="rId86"/>
      <w:pgSz w:w="11906" w:h="16838" w:code="9"/>
      <w:pgMar w:top="1134" w:right="1418" w:bottom="568" w:left="1418" w:header="737" w:footer="737"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61004D" w:csb1="006C0072"/>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3A5A" w14:paraId="68C9B9E7"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524</w:t>
    </w:r>
    <w:r>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3A5A" w14:paraId="7E6116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BBF63F9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74432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298CD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AB4890E2"/>
    <w:lvl w:ilvl="0">
      <w:start w:val="1"/>
      <w:numFmt w:val="decimal"/>
      <w:pStyle w:val="ListNumber2"/>
      <w:lvlText w:val="%1."/>
      <w:lvlJc w:val="left"/>
      <w:pPr>
        <w:tabs>
          <w:tab w:val="num" w:pos="643"/>
        </w:tabs>
        <w:ind w:left="643" w:hanging="360"/>
      </w:pPr>
    </w:lvl>
  </w:abstractNum>
  <w:abstractNum w:abstractNumId="4">
    <w:nsid w:val="FFFFFF80"/>
    <w:multiLevelType w:val="singleLevel"/>
    <w:tmpl w:val="70D65A9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8AC3AE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EAC4E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9CA6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BF40CFA"/>
    <w:lvl w:ilvl="0">
      <w:start w:val="1"/>
      <w:numFmt w:val="decimal"/>
      <w:pStyle w:val="ListNumber"/>
      <w:lvlText w:val="%1."/>
      <w:lvlJc w:val="left"/>
      <w:pPr>
        <w:tabs>
          <w:tab w:val="num" w:pos="360"/>
        </w:tabs>
        <w:ind w:left="360" w:hanging="360"/>
      </w:pPr>
    </w:lvl>
  </w:abstractNum>
  <w:abstractNum w:abstractNumId="9">
    <w:nsid w:val="FFFFFF89"/>
    <w:multiLevelType w:val="singleLevel"/>
    <w:tmpl w:val="32288B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07D7A5A"/>
    <w:multiLevelType w:val="hybridMultilevel"/>
    <w:tmpl w:val="5388004C"/>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13742AD"/>
    <w:multiLevelType w:val="hybridMultilevel"/>
    <w:tmpl w:val="3050B1B4"/>
    <w:lvl w:ilvl="0">
      <w:start w:val="1"/>
      <w:numFmt w:val="bullet"/>
      <w:lvlText w:val=""/>
      <w:lvlJc w:val="left"/>
      <w:pPr>
        <w:ind w:left="786" w:hanging="360"/>
      </w:pPr>
      <w:rPr>
        <w:rFonts w:ascii="Symbol" w:hAnsi="Symbol"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13">
    <w:nsid w:val="024077DE"/>
    <w:multiLevelType w:val="hybridMultilevel"/>
    <w:tmpl w:val="A7062948"/>
    <w:lvl w:ilvl="0">
      <w:start w:val="1"/>
      <w:numFmt w:val="bullet"/>
      <w:lvlText w:val=""/>
      <w:lvlJc w:val="left"/>
      <w:pPr>
        <w:tabs>
          <w:tab w:val="num" w:pos="360"/>
        </w:tabs>
        <w:ind w:left="227" w:hanging="227"/>
      </w:pPr>
      <w:rPr>
        <w:rFonts w:ascii="Symbol" w:hAnsi="Symbol" w:cs="Times New Roman" w:hint="default"/>
      </w:rPr>
    </w:lvl>
    <w:lvl w:ilvl="1">
      <w:start w:val="1"/>
      <w:numFmt w:val="bullet"/>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4">
    <w:nsid w:val="032E37F0"/>
    <w:multiLevelType w:val="hybridMultilevel"/>
    <w:tmpl w:val="56E638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3A51235"/>
    <w:multiLevelType w:val="hybridMultilevel"/>
    <w:tmpl w:val="7E447AB2"/>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57C1533"/>
    <w:multiLevelType w:val="multilevel"/>
    <w:tmpl w:val="F934E9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06C55394"/>
    <w:multiLevelType w:val="hybridMultilevel"/>
    <w:tmpl w:val="5E3EF3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06D24874"/>
    <w:multiLevelType w:val="hybridMultilevel"/>
    <w:tmpl w:val="74F8DA8A"/>
    <w:lvl w:ilvl="0">
      <w:start w:val="1"/>
      <w:numFmt w:val="bullet"/>
      <w:lvlText w:val=""/>
      <w:lvlJc w:val="left"/>
      <w:pPr>
        <w:tabs>
          <w:tab w:val="num" w:pos="624"/>
        </w:tabs>
        <w:ind w:left="624" w:hanging="624"/>
      </w:pPr>
      <w:rPr>
        <w:rFonts w:ascii="Symbol" w:hAnsi="Symbol" w:cs="Times New Roman" w:hint="default"/>
      </w:rPr>
    </w:lvl>
    <w:lvl w:ilvl="1">
      <w:start w:val="1"/>
      <w:numFmt w:val="decimal"/>
      <w:lvlText w:val="%2."/>
      <w:lvlJc w:val="left"/>
      <w:pPr>
        <w:tabs>
          <w:tab w:val="num" w:pos="1440"/>
        </w:tabs>
        <w:ind w:left="1440" w:hanging="360"/>
      </w:pPr>
      <w:rPr>
        <w:rFonts w:hint="default"/>
      </w:rPr>
    </w:lvl>
    <w:lvl w:ilvl="2">
      <w:start w:val="18"/>
      <w:numFmt w:val="bullet"/>
      <w:lvlText w:val="-"/>
      <w:lvlJc w:val="left"/>
      <w:pPr>
        <w:tabs>
          <w:tab w:val="num" w:pos="2340"/>
        </w:tabs>
        <w:ind w:left="2340" w:hanging="540"/>
      </w:pPr>
      <w:rPr>
        <w:rFonts w:ascii="Times New Roman" w:eastAsia="Times New Roman" w:hAnsi="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9">
    <w:nsid w:val="08CF25C8"/>
    <w:multiLevelType w:val="hybridMultilevel"/>
    <w:tmpl w:val="26DAD990"/>
    <w:lvl w:ilvl="0">
      <w:start w:val="1"/>
      <w:numFmt w:val="bullet"/>
      <w:lvlText w:val=""/>
      <w:lvlJc w:val="left"/>
      <w:pPr>
        <w:tabs>
          <w:tab w:val="num" w:pos="720"/>
        </w:tabs>
        <w:ind w:left="720" w:hanging="360"/>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0">
    <w:nsid w:val="08D03F4C"/>
    <w:multiLevelType w:val="hybridMultilevel"/>
    <w:tmpl w:val="05BC5B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0AEC4331"/>
    <w:multiLevelType w:val="hybridMultilevel"/>
    <w:tmpl w:val="D6228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0AED6ABD"/>
    <w:multiLevelType w:val="hybridMultilevel"/>
    <w:tmpl w:val="24E4C1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0AF32EB1"/>
    <w:multiLevelType w:val="hybridMultilevel"/>
    <w:tmpl w:val="E1BCA2DC"/>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0C0D72D2"/>
    <w:multiLevelType w:val="hybridMultilevel"/>
    <w:tmpl w:val="5FFCA720"/>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6">
    <w:nsid w:val="0C0E19AD"/>
    <w:multiLevelType w:val="hybridMultilevel"/>
    <w:tmpl w:val="62F82E72"/>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0C1E7E52"/>
    <w:multiLevelType w:val="hybridMultilevel"/>
    <w:tmpl w:val="CA48C544"/>
    <w:lvl w:ilvl="0">
      <w:start w:val="1"/>
      <w:numFmt w:val="bullet"/>
      <w:lvlText w:val=""/>
      <w:lvlJc w:val="left"/>
      <w:pPr>
        <w:tabs>
          <w:tab w:val="num" w:pos="1440"/>
        </w:tabs>
        <w:ind w:left="1440" w:hanging="360"/>
      </w:pPr>
      <w:rPr>
        <w:rFonts w:ascii="Symbol" w:hAnsi="Symbol" w:cs="Times New Roman" w:hint="default"/>
      </w:rPr>
    </w:lvl>
    <w:lvl w:ilvl="1">
      <w:start w:val="1"/>
      <w:numFmt w:val="bullet"/>
      <w:lvlText w:val=""/>
      <w:lvlJc w:val="left"/>
      <w:pPr>
        <w:tabs>
          <w:tab w:val="num" w:pos="2784"/>
        </w:tabs>
        <w:ind w:left="2784" w:hanging="624"/>
      </w:pPr>
      <w:rPr>
        <w:rFonts w:ascii="Symbol" w:hAnsi="Symbol" w:cs="Times New Roman" w:hint="default"/>
      </w:rPr>
    </w:lvl>
    <w:lvl w:ilvl="2">
      <w:start w:val="1"/>
      <w:numFmt w:val="bullet"/>
      <w:lvlText w:val=""/>
      <w:lvlJc w:val="left"/>
      <w:pPr>
        <w:tabs>
          <w:tab w:val="num" w:pos="3240"/>
        </w:tabs>
        <w:ind w:left="3240" w:hanging="360"/>
      </w:pPr>
      <w:rPr>
        <w:rFonts w:ascii="Symbol" w:hAnsi="Symbol" w:cs="Times New Roman" w:hint="default"/>
      </w:rPr>
    </w:lvl>
    <w:lvl w:ilvl="3">
      <w:start w:val="1"/>
      <w:numFmt w:val="bullet"/>
      <w:lvlText w:val=""/>
      <w:lvlJc w:val="left"/>
      <w:pPr>
        <w:tabs>
          <w:tab w:val="num" w:pos="3960"/>
        </w:tabs>
        <w:ind w:left="3960" w:hanging="360"/>
      </w:pPr>
      <w:rPr>
        <w:rFonts w:ascii="Symbol" w:hAnsi="Symbol" w:cs="Times New Roman"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cs="Times New Roman" w:hint="default"/>
      </w:rPr>
    </w:lvl>
    <w:lvl w:ilvl="6">
      <w:start w:val="1"/>
      <w:numFmt w:val="bullet"/>
      <w:lvlText w:val=""/>
      <w:lvlJc w:val="left"/>
      <w:pPr>
        <w:tabs>
          <w:tab w:val="num" w:pos="6120"/>
        </w:tabs>
        <w:ind w:left="6120" w:hanging="360"/>
      </w:pPr>
      <w:rPr>
        <w:rFonts w:ascii="Symbol" w:hAnsi="Symbol" w:cs="Times New Roman"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cs="Times New Roman" w:hint="default"/>
      </w:rPr>
    </w:lvl>
  </w:abstractNum>
  <w:abstractNum w:abstractNumId="28">
    <w:nsid w:val="0C3447D7"/>
    <w:multiLevelType w:val="hybridMultilevel"/>
    <w:tmpl w:val="7B5AC7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0C4E3441"/>
    <w:multiLevelType w:val="hybridMultilevel"/>
    <w:tmpl w:val="C6AAEFE6"/>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30">
    <w:nsid w:val="0C996898"/>
    <w:multiLevelType w:val="multilevel"/>
    <w:tmpl w:val="9906F75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0E127547"/>
    <w:multiLevelType w:val="hybridMultilevel"/>
    <w:tmpl w:val="F1F842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0E312C9F"/>
    <w:multiLevelType w:val="multilevel"/>
    <w:tmpl w:val="985ED0C2"/>
    <w:lvl w:ilvl="0">
      <w:start w:val="1"/>
      <w:numFmt w:val="bullet"/>
      <w:lvlText w:val=""/>
      <w:lvlJc w:val="left"/>
      <w:pPr>
        <w:ind w:left="720" w:hanging="360"/>
      </w:pPr>
      <w:rPr>
        <w:rFonts w:ascii="Symbol" w:hAnsi="Symbol" w:hint="default"/>
        <w:b w:val="0"/>
        <w:i w:val="0"/>
        <w:color w:val="auto"/>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3">
    <w:nsid w:val="0E9175C1"/>
    <w:multiLevelType w:val="hybridMultilevel"/>
    <w:tmpl w:val="C48E00B8"/>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0F06193F"/>
    <w:multiLevelType w:val="hybridMultilevel"/>
    <w:tmpl w:val="46F20CD8"/>
    <w:lvl w:ilvl="0">
      <w:start w:val="1"/>
      <w:numFmt w:val="decimal"/>
      <w:lvlText w:val="%1)"/>
      <w:lvlJc w:val="left"/>
      <w:pPr>
        <w:ind w:left="360" w:hanging="360"/>
      </w:pPr>
      <w:rPr>
        <w:rFonts w:hint="default"/>
        <w:vertAlign w:val="superscrip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0F5F596D"/>
    <w:multiLevelType w:val="multilevel"/>
    <w:tmpl w:val="AC3CF9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0FC473E5"/>
    <w:multiLevelType w:val="hybridMultilevel"/>
    <w:tmpl w:val="D54C85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10FC3971"/>
    <w:multiLevelType w:val="hybridMultilevel"/>
    <w:tmpl w:val="5896E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122B3AAE"/>
    <w:multiLevelType w:val="multilevel"/>
    <w:tmpl w:val="B838EFE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13333521"/>
    <w:multiLevelType w:val="hybridMultilevel"/>
    <w:tmpl w:val="E08CF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14F06B32"/>
    <w:multiLevelType w:val="hybridMultilevel"/>
    <w:tmpl w:val="69C0841A"/>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16DC2E74"/>
    <w:multiLevelType w:val="hybridMultilevel"/>
    <w:tmpl w:val="A0EACD7A"/>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17623BA3"/>
    <w:multiLevelType w:val="hybridMultilevel"/>
    <w:tmpl w:val="4F2EF7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43">
    <w:nsid w:val="17635831"/>
    <w:multiLevelType w:val="hybridMultilevel"/>
    <w:tmpl w:val="41B4F34C"/>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44">
    <w:nsid w:val="19A74D13"/>
    <w:multiLevelType w:val="hybridMultilevel"/>
    <w:tmpl w:val="39246A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19C71633"/>
    <w:multiLevelType w:val="hybridMultilevel"/>
    <w:tmpl w:val="C736F24C"/>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19E05596"/>
    <w:multiLevelType w:val="hybridMultilevel"/>
    <w:tmpl w:val="4C70DC7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7">
    <w:nsid w:val="1AFA0C37"/>
    <w:multiLevelType w:val="hybridMultilevel"/>
    <w:tmpl w:val="AF2CA1E0"/>
    <w:lvl w:ilvl="0">
      <w:start w:val="1"/>
      <w:numFmt w:val="bullet"/>
      <w:lvlText w:val=""/>
      <w:lvlJc w:val="left"/>
      <w:pPr>
        <w:ind w:left="786" w:hanging="360"/>
      </w:pPr>
      <w:rPr>
        <w:rFonts w:ascii="Symbol" w:hAnsi="Symbol" w:hint="default"/>
        <w:sz w:val="22"/>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8">
    <w:nsid w:val="1B710247"/>
    <w:multiLevelType w:val="hybridMultilevel"/>
    <w:tmpl w:val="386E4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1DEA4078"/>
    <w:multiLevelType w:val="multilevel"/>
    <w:tmpl w:val="704CB042"/>
    <w:lvl w:ilvl="0">
      <w:start w:val="4"/>
      <w:numFmt w:val="decimal"/>
      <w:lvlText w:val="%1"/>
      <w:lvlJc w:val="left"/>
      <w:pPr>
        <w:tabs>
          <w:tab w:val="num" w:pos="570"/>
        </w:tabs>
        <w:ind w:left="570" w:hanging="570"/>
      </w:pPr>
      <w:rPr>
        <w:rFonts w:hint="default"/>
        <w:color w:val="000000"/>
      </w:rPr>
    </w:lvl>
    <w:lvl w:ilvl="1">
      <w:start w:val="6"/>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50">
    <w:nsid w:val="1E7F2DC0"/>
    <w:multiLevelType w:val="hybridMultilevel"/>
    <w:tmpl w:val="997215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1F943B05"/>
    <w:multiLevelType w:val="hybridMultilevel"/>
    <w:tmpl w:val="C96CBE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220969F7"/>
    <w:multiLevelType w:val="hybridMultilevel"/>
    <w:tmpl w:val="E646BD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25457631"/>
    <w:multiLevelType w:val="hybridMultilevel"/>
    <w:tmpl w:val="2FE01D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2552753D"/>
    <w:multiLevelType w:val="multilevel"/>
    <w:tmpl w:val="704CB042"/>
    <w:lvl w:ilvl="0">
      <w:start w:val="4"/>
      <w:numFmt w:val="decimal"/>
      <w:lvlText w:val="%1"/>
      <w:lvlJc w:val="left"/>
      <w:pPr>
        <w:tabs>
          <w:tab w:val="num" w:pos="570"/>
        </w:tabs>
        <w:ind w:left="570" w:hanging="570"/>
      </w:pPr>
      <w:rPr>
        <w:rFonts w:hint="default"/>
        <w:color w:val="000000"/>
      </w:rPr>
    </w:lvl>
    <w:lvl w:ilvl="1">
      <w:start w:val="6"/>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55">
    <w:nsid w:val="26AE153D"/>
    <w:multiLevelType w:val="hybridMultilevel"/>
    <w:tmpl w:val="0C86E13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26DC7AA0"/>
    <w:multiLevelType w:val="hybridMultilevel"/>
    <w:tmpl w:val="D3947078"/>
    <w:lvl w:ilvl="0">
      <w:start w:val="1"/>
      <w:numFmt w:val="lowerLetter"/>
      <w:lvlText w:val="%1"/>
      <w:lvlJc w:val="left"/>
      <w:pPr>
        <w:ind w:left="720" w:hanging="360"/>
      </w:pPr>
      <w:rPr>
        <w:rFonts w:hint="default"/>
        <w:sz w:val="20"/>
        <w:szCs w:val="20"/>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29107925"/>
    <w:multiLevelType w:val="hybridMultilevel"/>
    <w:tmpl w:val="8CB452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2A314764"/>
    <w:multiLevelType w:val="hybridMultilevel"/>
    <w:tmpl w:val="4D16CC2A"/>
    <w:lvl w:ilvl="0">
      <w:start w:val="1"/>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2A6A6891"/>
    <w:multiLevelType w:val="multilevel"/>
    <w:tmpl w:val="B9EC4730"/>
    <w:lvl w:ilvl="0">
      <w:start w:val="4"/>
      <w:numFmt w:val="decimal"/>
      <w:lvlText w:val="%1"/>
      <w:lvlJc w:val="left"/>
      <w:pPr>
        <w:tabs>
          <w:tab w:val="num" w:pos="570"/>
        </w:tabs>
        <w:ind w:left="570" w:hanging="570"/>
      </w:pPr>
      <w:rPr>
        <w:rFonts w:hint="default"/>
        <w:color w:val="000000"/>
      </w:rPr>
    </w:lvl>
    <w:lvl w:ilvl="1">
      <w:start w:val="8"/>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60">
    <w:nsid w:val="2ABC281A"/>
    <w:multiLevelType w:val="hybridMultilevel"/>
    <w:tmpl w:val="FD5C57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2AC21D6A"/>
    <w:multiLevelType w:val="hybridMultilevel"/>
    <w:tmpl w:val="5388004C"/>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2B227CBC"/>
    <w:multiLevelType w:val="hybridMultilevel"/>
    <w:tmpl w:val="FB2ED7D0"/>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2BEC4203"/>
    <w:multiLevelType w:val="multilevel"/>
    <w:tmpl w:val="2746F72E"/>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nsid w:val="2D4032EE"/>
    <w:multiLevelType w:val="multilevel"/>
    <w:tmpl w:val="CE5407B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5">
    <w:nsid w:val="2DE430A6"/>
    <w:multiLevelType w:val="hybridMultilevel"/>
    <w:tmpl w:val="2D1C16E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37"/>
        </w:tabs>
        <w:ind w:left="1437" w:hanging="357"/>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
    <w:nsid w:val="2E0376A0"/>
    <w:multiLevelType w:val="hybridMultilevel"/>
    <w:tmpl w:val="6C9CF9B0"/>
    <w:lvl w:ilvl="0">
      <w:start w:val="1"/>
      <w:numFmt w:val="lowerLetter"/>
      <w:lvlText w:val="%1"/>
      <w:lvlJc w:val="left"/>
      <w:pPr>
        <w:ind w:left="720" w:hanging="360"/>
      </w:pPr>
      <w:rPr>
        <w:rFonts w:hint="default"/>
        <w:sz w:val="22"/>
        <w:szCs w:val="22"/>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2E5B11AE"/>
    <w:multiLevelType w:val="hybridMultilevel"/>
    <w:tmpl w:val="DEFCE612"/>
    <w:lvl w:ilvl="0">
      <w:start w:val="1"/>
      <w:numFmt w:val="bullet"/>
      <w:lvlText w:val=""/>
      <w:lvlJc w:val="left"/>
      <w:pPr>
        <w:ind w:left="1015" w:hanging="360"/>
      </w:pPr>
      <w:rPr>
        <w:rFonts w:ascii="Symbol" w:hAnsi="Symbol" w:hint="default"/>
      </w:rPr>
    </w:lvl>
    <w:lvl w:ilvl="1" w:tentative="1">
      <w:start w:val="1"/>
      <w:numFmt w:val="bullet"/>
      <w:lvlText w:val="o"/>
      <w:lvlJc w:val="left"/>
      <w:pPr>
        <w:ind w:left="1735" w:hanging="360"/>
      </w:pPr>
      <w:rPr>
        <w:rFonts w:ascii="Courier New" w:hAnsi="Courier New" w:cs="Courier New" w:hint="default"/>
      </w:rPr>
    </w:lvl>
    <w:lvl w:ilvl="2" w:tentative="1">
      <w:start w:val="1"/>
      <w:numFmt w:val="bullet"/>
      <w:lvlText w:val=""/>
      <w:lvlJc w:val="left"/>
      <w:pPr>
        <w:ind w:left="2455" w:hanging="360"/>
      </w:pPr>
      <w:rPr>
        <w:rFonts w:ascii="Wingdings" w:hAnsi="Wingdings" w:hint="default"/>
      </w:rPr>
    </w:lvl>
    <w:lvl w:ilvl="3" w:tentative="1">
      <w:start w:val="1"/>
      <w:numFmt w:val="bullet"/>
      <w:lvlText w:val=""/>
      <w:lvlJc w:val="left"/>
      <w:pPr>
        <w:ind w:left="3175" w:hanging="360"/>
      </w:pPr>
      <w:rPr>
        <w:rFonts w:ascii="Symbol" w:hAnsi="Symbol" w:hint="default"/>
      </w:rPr>
    </w:lvl>
    <w:lvl w:ilvl="4" w:tentative="1">
      <w:start w:val="1"/>
      <w:numFmt w:val="bullet"/>
      <w:lvlText w:val="o"/>
      <w:lvlJc w:val="left"/>
      <w:pPr>
        <w:ind w:left="3895" w:hanging="360"/>
      </w:pPr>
      <w:rPr>
        <w:rFonts w:ascii="Courier New" w:hAnsi="Courier New" w:cs="Courier New" w:hint="default"/>
      </w:rPr>
    </w:lvl>
    <w:lvl w:ilvl="5" w:tentative="1">
      <w:start w:val="1"/>
      <w:numFmt w:val="bullet"/>
      <w:lvlText w:val=""/>
      <w:lvlJc w:val="left"/>
      <w:pPr>
        <w:ind w:left="4615" w:hanging="360"/>
      </w:pPr>
      <w:rPr>
        <w:rFonts w:ascii="Wingdings" w:hAnsi="Wingdings" w:hint="default"/>
      </w:rPr>
    </w:lvl>
    <w:lvl w:ilvl="6" w:tentative="1">
      <w:start w:val="1"/>
      <w:numFmt w:val="bullet"/>
      <w:lvlText w:val=""/>
      <w:lvlJc w:val="left"/>
      <w:pPr>
        <w:ind w:left="5335" w:hanging="360"/>
      </w:pPr>
      <w:rPr>
        <w:rFonts w:ascii="Symbol" w:hAnsi="Symbol" w:hint="default"/>
      </w:rPr>
    </w:lvl>
    <w:lvl w:ilvl="7" w:tentative="1">
      <w:start w:val="1"/>
      <w:numFmt w:val="bullet"/>
      <w:lvlText w:val="o"/>
      <w:lvlJc w:val="left"/>
      <w:pPr>
        <w:ind w:left="6055" w:hanging="360"/>
      </w:pPr>
      <w:rPr>
        <w:rFonts w:ascii="Courier New" w:hAnsi="Courier New" w:cs="Courier New" w:hint="default"/>
      </w:rPr>
    </w:lvl>
    <w:lvl w:ilvl="8" w:tentative="1">
      <w:start w:val="1"/>
      <w:numFmt w:val="bullet"/>
      <w:lvlText w:val=""/>
      <w:lvlJc w:val="left"/>
      <w:pPr>
        <w:ind w:left="6775" w:hanging="360"/>
      </w:pPr>
      <w:rPr>
        <w:rFonts w:ascii="Wingdings" w:hAnsi="Wingdings" w:hint="default"/>
      </w:rPr>
    </w:lvl>
  </w:abstractNum>
  <w:abstractNum w:abstractNumId="68">
    <w:nsid w:val="2F1C7761"/>
    <w:multiLevelType w:val="hybridMultilevel"/>
    <w:tmpl w:val="344A58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31EC5BC6"/>
    <w:multiLevelType w:val="hybridMultilevel"/>
    <w:tmpl w:val="F872CE1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70">
    <w:nsid w:val="334A552F"/>
    <w:multiLevelType w:val="hybridMultilevel"/>
    <w:tmpl w:val="5CA6C10E"/>
    <w:lvl w:ilvl="0">
      <w:start w:val="1"/>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33672639"/>
    <w:multiLevelType w:val="hybridMultilevel"/>
    <w:tmpl w:val="FFCE162A"/>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343801D0"/>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73">
    <w:nsid w:val="34636A95"/>
    <w:multiLevelType w:val="hybridMultilevel"/>
    <w:tmpl w:val="5E869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34C65D46"/>
    <w:multiLevelType w:val="hybridMultilevel"/>
    <w:tmpl w:val="3FE83C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355407BB"/>
    <w:multiLevelType w:val="hybridMultilevel"/>
    <w:tmpl w:val="A268E8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357C146B"/>
    <w:multiLevelType w:val="multilevel"/>
    <w:tmpl w:val="2746F72E"/>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36370C0A"/>
    <w:multiLevelType w:val="hybridMultilevel"/>
    <w:tmpl w:val="209684FA"/>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8">
    <w:nsid w:val="369F24DE"/>
    <w:multiLevelType w:val="multilevel"/>
    <w:tmpl w:val="704CB042"/>
    <w:lvl w:ilvl="0">
      <w:start w:val="4"/>
      <w:numFmt w:val="decimal"/>
      <w:lvlText w:val="%1"/>
      <w:lvlJc w:val="left"/>
      <w:pPr>
        <w:tabs>
          <w:tab w:val="num" w:pos="570"/>
        </w:tabs>
        <w:ind w:left="570" w:hanging="570"/>
      </w:pPr>
      <w:rPr>
        <w:rFonts w:hint="default"/>
        <w:color w:val="000000"/>
      </w:rPr>
    </w:lvl>
    <w:lvl w:ilvl="1">
      <w:start w:val="6"/>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79">
    <w:nsid w:val="37521587"/>
    <w:multiLevelType w:val="hybridMultilevel"/>
    <w:tmpl w:val="CC6CDB76"/>
    <w:lvl w:ilvl="0">
      <w:start w:val="1"/>
      <w:numFmt w:val="decimal"/>
      <w:lvlText w:val="%1)"/>
      <w:lvlJc w:val="left"/>
      <w:pPr>
        <w:ind w:left="360" w:hanging="360"/>
      </w:pPr>
      <w:rPr>
        <w:rFonts w:hint="default"/>
        <w:color w:val="auto"/>
        <w:vertAlign w:val="superscrip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0">
    <w:nsid w:val="37E22714"/>
    <w:multiLevelType w:val="hybridMultilevel"/>
    <w:tmpl w:val="B17C8A10"/>
    <w:lvl w:ilvl="0">
      <w:start w:val="1"/>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3B2E19D9"/>
    <w:multiLevelType w:val="hybridMultilevel"/>
    <w:tmpl w:val="877C3D0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nsid w:val="3B403F1B"/>
    <w:multiLevelType w:val="hybridMultilevel"/>
    <w:tmpl w:val="5388004C"/>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3B4762C2"/>
    <w:multiLevelType w:val="hybridMultilevel"/>
    <w:tmpl w:val="D090A1E2"/>
    <w:lvl w:ilvl="0">
      <w:start w:val="1"/>
      <w:numFmt w:val="bullet"/>
      <w:lvlText w:val=""/>
      <w:lvlJc w:val="left"/>
      <w:pPr>
        <w:tabs>
          <w:tab w:val="num" w:pos="720"/>
        </w:tabs>
        <w:ind w:left="720" w:hanging="360"/>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4">
    <w:nsid w:val="3BC06592"/>
    <w:multiLevelType w:val="hybridMultilevel"/>
    <w:tmpl w:val="9F2E3156"/>
    <w:lvl w:ilvl="0">
      <w:start w:val="1"/>
      <w:numFmt w:val="bullet"/>
      <w:lvlText w:val=""/>
      <w:lvlJc w:val="left"/>
      <w:pPr>
        <w:tabs>
          <w:tab w:val="num" w:pos="690"/>
        </w:tabs>
        <w:ind w:left="69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nsid w:val="3BC77894"/>
    <w:multiLevelType w:val="hybridMultilevel"/>
    <w:tmpl w:val="7AAE017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86">
    <w:nsid w:val="3C0F4BBF"/>
    <w:multiLevelType w:val="hybridMultilevel"/>
    <w:tmpl w:val="58E6E52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7">
    <w:nsid w:val="3C542FEE"/>
    <w:multiLevelType w:val="hybridMultilevel"/>
    <w:tmpl w:val="513619DC"/>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3CB404A9"/>
    <w:multiLevelType w:val="hybridMultilevel"/>
    <w:tmpl w:val="D42E7C0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89">
    <w:nsid w:val="3CDD337D"/>
    <w:multiLevelType w:val="hybridMultilevel"/>
    <w:tmpl w:val="C75EE4C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3F402DE0"/>
    <w:multiLevelType w:val="multilevel"/>
    <w:tmpl w:val="2746F72E"/>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nsid w:val="402E782C"/>
    <w:multiLevelType w:val="hybridMultilevel"/>
    <w:tmpl w:val="C9F40E5E"/>
    <w:lvl w:ilvl="0">
      <w:start w:val="1"/>
      <w:numFmt w:val="decimal"/>
      <w:lvlText w:val="%1)"/>
      <w:lvlJc w:val="left"/>
      <w:pPr>
        <w:ind w:left="360" w:hanging="360"/>
      </w:pPr>
      <w:rPr>
        <w:rFonts w:hint="default"/>
        <w:color w:val="auto"/>
        <w:vertAlign w:val="superscrip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2">
    <w:nsid w:val="40E54B09"/>
    <w:multiLevelType w:val="hybridMultilevel"/>
    <w:tmpl w:val="B9906166"/>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93">
    <w:nsid w:val="41396920"/>
    <w:multiLevelType w:val="hybridMultilevel"/>
    <w:tmpl w:val="6ED69782"/>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94">
    <w:nsid w:val="42410736"/>
    <w:multiLevelType w:val="hybridMultilevel"/>
    <w:tmpl w:val="19E48ED0"/>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425C08F9"/>
    <w:multiLevelType w:val="hybridMultilevel"/>
    <w:tmpl w:val="F1CEF0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nsid w:val="425D334C"/>
    <w:multiLevelType w:val="hybridMultilevel"/>
    <w:tmpl w:val="2C8EA9C6"/>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430D0E95"/>
    <w:multiLevelType w:val="multilevel"/>
    <w:tmpl w:val="A3383FCE"/>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98">
    <w:nsid w:val="43FE34B1"/>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99">
    <w:nsid w:val="44054184"/>
    <w:multiLevelType w:val="hybridMultilevel"/>
    <w:tmpl w:val="40F69DF0"/>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00">
    <w:nsid w:val="480F3E0C"/>
    <w:multiLevelType w:val="hybridMultilevel"/>
    <w:tmpl w:val="19342A1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nsid w:val="482A4286"/>
    <w:multiLevelType w:val="hybridMultilevel"/>
    <w:tmpl w:val="B17C8A10"/>
    <w:lvl w:ilvl="0">
      <w:start w:val="1"/>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nsid w:val="483156A8"/>
    <w:multiLevelType w:val="hybridMultilevel"/>
    <w:tmpl w:val="1930A146"/>
    <w:lvl w:ilvl="0">
      <w:start w:val="1"/>
      <w:numFmt w:val="lowerLetter"/>
      <w:pStyle w:val="TableFootnoteLetter"/>
      <w:lvlText w:val="%1"/>
      <w:lvlJc w:val="left"/>
      <w:pPr>
        <w:ind w:left="360" w:hanging="360"/>
      </w:pPr>
      <w:rPr>
        <w:rFonts w:ascii="Times New Roman" w:hAnsi="Times New Roman" w:cs="Times New Roman" w:hint="default"/>
        <w:b w:val="0"/>
        <w:i w:val="0"/>
        <w:caps w:val="0"/>
        <w:sz w:val="16"/>
        <w:u w:val="none"/>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48A5179C"/>
    <w:multiLevelType w:val="hybridMultilevel"/>
    <w:tmpl w:val="C5C48A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48E67045"/>
    <w:multiLevelType w:val="hybridMultilevel"/>
    <w:tmpl w:val="1884C1FC"/>
    <w:lvl w:ilvl="0">
      <w:start w:val="10"/>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493127FB"/>
    <w:multiLevelType w:val="hybridMultilevel"/>
    <w:tmpl w:val="27CE8C2C"/>
    <w:lvl w:ilvl="0">
      <w:start w:val="1"/>
      <w:numFmt w:val="decimal"/>
      <w:lvlText w:val="%1)"/>
      <w:lvlJc w:val="left"/>
      <w:pPr>
        <w:ind w:left="360" w:hanging="360"/>
      </w:pPr>
      <w:rPr>
        <w:rFonts w:hint="default"/>
        <w:color w:val="auto"/>
        <w:vertAlign w:val="superscrip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6">
    <w:nsid w:val="4A2E194B"/>
    <w:multiLevelType w:val="hybridMultilevel"/>
    <w:tmpl w:val="EF006B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4CA1024D"/>
    <w:multiLevelType w:val="hybridMultilevel"/>
    <w:tmpl w:val="22B24E44"/>
    <w:lvl w:ilvl="0">
      <w:start w:val="1"/>
      <w:numFmt w:val="decimal"/>
      <w:lvlText w:val="%1)"/>
      <w:lvlJc w:val="left"/>
      <w:pPr>
        <w:ind w:left="360" w:hanging="360"/>
      </w:pPr>
      <w:rPr>
        <w:rFonts w:hint="default"/>
        <w:vertAlign w:val="superscrip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8">
    <w:nsid w:val="4CAF10E2"/>
    <w:multiLevelType w:val="hybridMultilevel"/>
    <w:tmpl w:val="CB865A78"/>
    <w:lvl w:ilvl="0">
      <w:start w:val="1"/>
      <w:numFmt w:val="bullet"/>
      <w:lvlText w:val=""/>
      <w:lvlJc w:val="left"/>
      <w:pPr>
        <w:tabs>
          <w:tab w:val="num" w:pos="1440"/>
        </w:tabs>
        <w:ind w:left="1440" w:hanging="360"/>
      </w:pPr>
      <w:rPr>
        <w:rFonts w:ascii="Symbol" w:hAnsi="Symbol" w:cs="Times New Roman"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o"/>
      <w:lvlJc w:val="left"/>
      <w:pPr>
        <w:tabs>
          <w:tab w:val="num" w:pos="3240"/>
        </w:tabs>
        <w:ind w:left="3240" w:hanging="360"/>
      </w:pPr>
      <w:rPr>
        <w:rFonts w:ascii="Courier New" w:hAnsi="Courier New" w:cs="Courier New" w:hint="default"/>
      </w:rPr>
    </w:lvl>
    <w:lvl w:ilvl="3">
      <w:start w:val="1"/>
      <w:numFmt w:val="bullet"/>
      <w:lvlText w:val=""/>
      <w:lvlJc w:val="left"/>
      <w:pPr>
        <w:tabs>
          <w:tab w:val="num" w:pos="3960"/>
        </w:tabs>
        <w:ind w:left="3960" w:hanging="360"/>
      </w:pPr>
      <w:rPr>
        <w:rFonts w:ascii="Symbol" w:hAnsi="Symbol" w:cs="Times New Roman"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cs="Times New Roman" w:hint="default"/>
      </w:rPr>
    </w:lvl>
    <w:lvl w:ilvl="6">
      <w:start w:val="1"/>
      <w:numFmt w:val="bullet"/>
      <w:lvlText w:val=""/>
      <w:lvlJc w:val="left"/>
      <w:pPr>
        <w:tabs>
          <w:tab w:val="num" w:pos="6120"/>
        </w:tabs>
        <w:ind w:left="6120" w:hanging="360"/>
      </w:pPr>
      <w:rPr>
        <w:rFonts w:ascii="Symbol" w:hAnsi="Symbol" w:cs="Times New Roman"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cs="Times New Roman" w:hint="default"/>
      </w:rPr>
    </w:lvl>
  </w:abstractNum>
  <w:abstractNum w:abstractNumId="109">
    <w:nsid w:val="4EED1909"/>
    <w:multiLevelType w:val="hybridMultilevel"/>
    <w:tmpl w:val="C4AEC2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nsid w:val="4EF6085D"/>
    <w:multiLevelType w:val="hybridMultilevel"/>
    <w:tmpl w:val="2556B1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1">
    <w:nsid w:val="4F8B5FA7"/>
    <w:multiLevelType w:val="hybridMultilevel"/>
    <w:tmpl w:val="9D66FF86"/>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12">
    <w:nsid w:val="4FD551F1"/>
    <w:multiLevelType w:val="hybridMultilevel"/>
    <w:tmpl w:val="5388004C"/>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505C28CC"/>
    <w:multiLevelType w:val="hybridMultilevel"/>
    <w:tmpl w:val="C2F273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51B97B31"/>
    <w:multiLevelType w:val="hybridMultilevel"/>
    <w:tmpl w:val="B1B031D6"/>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15">
    <w:nsid w:val="51F0259E"/>
    <w:multiLevelType w:val="hybridMultilevel"/>
    <w:tmpl w:val="D49012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6">
    <w:nsid w:val="52695AA1"/>
    <w:multiLevelType w:val="hybridMultilevel"/>
    <w:tmpl w:val="390250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18">
    <w:nsid w:val="55473F23"/>
    <w:multiLevelType w:val="multilevel"/>
    <w:tmpl w:val="DB70078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9">
    <w:nsid w:val="55B37399"/>
    <w:multiLevelType w:val="multilevel"/>
    <w:tmpl w:val="28FEE61A"/>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0">
    <w:nsid w:val="56007351"/>
    <w:multiLevelType w:val="hybridMultilevel"/>
    <w:tmpl w:val="6A9C6E94"/>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1">
    <w:nsid w:val="57727632"/>
    <w:multiLevelType w:val="multilevel"/>
    <w:tmpl w:val="BCBC2E90"/>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2">
    <w:nsid w:val="57FB087D"/>
    <w:multiLevelType w:val="hybridMultilevel"/>
    <w:tmpl w:val="C67C16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3">
    <w:nsid w:val="590E38C1"/>
    <w:multiLevelType w:val="hybridMultilevel"/>
    <w:tmpl w:val="2B06088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4">
    <w:nsid w:val="5B51013A"/>
    <w:multiLevelType w:val="multilevel"/>
    <w:tmpl w:val="5F8E6684"/>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5">
    <w:nsid w:val="5BA52184"/>
    <w:multiLevelType w:val="hybridMultilevel"/>
    <w:tmpl w:val="1428B8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6">
    <w:nsid w:val="5D4E3933"/>
    <w:multiLevelType w:val="multilevel"/>
    <w:tmpl w:val="55367D84"/>
    <w:lvl w:ilvl="0">
      <w:start w:val="1"/>
      <w:numFmt w:val="decimal"/>
      <w:lvlJc w:val="left"/>
      <w:pPr>
        <w:ind w:left="0" w:hanging="360"/>
      </w:pPr>
    </w:lvl>
    <w:lvl w:ilvl="1">
      <w:start w:val="1"/>
      <w:numFmt w:val="decimal"/>
      <w:lvlJc w:val="left"/>
      <w:pPr>
        <w:ind w:left="0" w:hanging="360"/>
      </w:pPr>
    </w:lvl>
    <w:lvl w:ilvl="2">
      <w:start w:val="1"/>
      <w:numFmt w:val="decimal"/>
      <w:lvlJc w:val="left"/>
      <w:pPr>
        <w:ind w:left="0" w:hanging="360"/>
      </w:pPr>
    </w:lvl>
    <w:lvl w:ilvl="3">
      <w:start w:val="1"/>
      <w:numFmt w:val="decimal"/>
      <w:lvlJc w:val="left"/>
      <w:pPr>
        <w:ind w:left="0" w:hanging="360"/>
      </w:pPr>
    </w:lvl>
    <w:lvl w:ilvl="4">
      <w:start w:val="1"/>
      <w:numFmt w:val="decimal"/>
      <w:lvlJc w:val="left"/>
      <w:pPr>
        <w:ind w:left="0" w:hanging="360"/>
      </w:pPr>
    </w:lvl>
    <w:lvl w:ilvl="5">
      <w:start w:val="1"/>
      <w:numFmt w:val="decimal"/>
      <w:lvlJc w:val="left"/>
      <w:pPr>
        <w:ind w:left="0" w:hanging="360"/>
      </w:pPr>
    </w:lvl>
    <w:lvl w:ilvl="6">
      <w:start w:val="1"/>
      <w:numFmt w:val="decimal"/>
      <w:lvlJc w:val="left"/>
      <w:pPr>
        <w:ind w:left="0" w:hanging="360"/>
      </w:pPr>
    </w:lvl>
    <w:lvl w:ilvl="7">
      <w:start w:val="1"/>
      <w:numFmt w:val="decimal"/>
      <w:lvlJc w:val="left"/>
      <w:pPr>
        <w:ind w:left="0" w:hanging="360"/>
      </w:pPr>
    </w:lvl>
    <w:lvl w:ilvl="8">
      <w:start w:val="1"/>
      <w:numFmt w:val="decimal"/>
      <w:lvlJc w:val="left"/>
      <w:pPr>
        <w:ind w:left="0" w:hanging="360"/>
      </w:pPr>
    </w:lvl>
  </w:abstractNum>
  <w:abstractNum w:abstractNumId="127">
    <w:nsid w:val="5DB77540"/>
    <w:multiLevelType w:val="multilevel"/>
    <w:tmpl w:val="D59A320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8">
    <w:nsid w:val="5FD127CD"/>
    <w:multiLevelType w:val="hybridMultilevel"/>
    <w:tmpl w:val="1FBE0F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9">
    <w:nsid w:val="6092125F"/>
    <w:multiLevelType w:val="hybridMultilevel"/>
    <w:tmpl w:val="0A7EF9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0">
    <w:nsid w:val="609A2E84"/>
    <w:multiLevelType w:val="multilevel"/>
    <w:tmpl w:val="CE5407B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1">
    <w:nsid w:val="629A7429"/>
    <w:multiLevelType w:val="hybridMultilevel"/>
    <w:tmpl w:val="1CC037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2">
    <w:nsid w:val="642241D1"/>
    <w:multiLevelType w:val="hybridMultilevel"/>
    <w:tmpl w:val="EB9087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3">
    <w:nsid w:val="6480540D"/>
    <w:multiLevelType w:val="hybridMultilevel"/>
    <w:tmpl w:val="8940081A"/>
    <w:lvl w:ilvl="0">
      <w:start w:val="1"/>
      <w:numFmt w:val="bullet"/>
      <w:lvlText w:val=""/>
      <w:lvlJc w:val="left"/>
      <w:pPr>
        <w:tabs>
          <w:tab w:val="num" w:pos="720"/>
        </w:tabs>
        <w:ind w:left="720" w:hanging="360"/>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nsid w:val="648A5059"/>
    <w:multiLevelType w:val="hybridMultilevel"/>
    <w:tmpl w:val="C4AEC2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nsid w:val="64A31922"/>
    <w:multiLevelType w:val="hybridMultilevel"/>
    <w:tmpl w:val="13946262"/>
    <w:lvl w:ilvl="0">
      <w:start w:val="1"/>
      <w:numFmt w:val="bullet"/>
      <w:lvlText w:val="•"/>
      <w:lvlJc w:val="left"/>
      <w:pPr>
        <w:tabs>
          <w:tab w:val="num" w:pos="357"/>
        </w:tabs>
        <w:ind w:left="357" w:hanging="357"/>
      </w:pPr>
      <w:rPr>
        <w:rFonts w:ascii="Arial" w:hAnsi="Aria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6">
    <w:nsid w:val="676602E6"/>
    <w:multiLevelType w:val="hybridMultilevel"/>
    <w:tmpl w:val="B17209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7">
    <w:nsid w:val="67F1452B"/>
    <w:multiLevelType w:val="hybridMultilevel"/>
    <w:tmpl w:val="D7D809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8">
    <w:nsid w:val="6851404C"/>
    <w:multiLevelType w:val="hybridMultilevel"/>
    <w:tmpl w:val="AD726F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9">
    <w:nsid w:val="69411E3E"/>
    <w:multiLevelType w:val="hybridMultilevel"/>
    <w:tmpl w:val="B53AFF4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0">
    <w:nsid w:val="699252E4"/>
    <w:multiLevelType w:val="multilevel"/>
    <w:tmpl w:val="704CB042"/>
    <w:lvl w:ilvl="0">
      <w:start w:val="4"/>
      <w:numFmt w:val="decimal"/>
      <w:lvlText w:val="%1"/>
      <w:lvlJc w:val="left"/>
      <w:pPr>
        <w:tabs>
          <w:tab w:val="num" w:pos="570"/>
        </w:tabs>
        <w:ind w:left="570" w:hanging="570"/>
      </w:pPr>
      <w:rPr>
        <w:rFonts w:hint="default"/>
        <w:color w:val="000000"/>
      </w:rPr>
    </w:lvl>
    <w:lvl w:ilvl="1">
      <w:start w:val="6"/>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41">
    <w:nsid w:val="6BB24BAD"/>
    <w:multiLevelType w:val="multilevel"/>
    <w:tmpl w:val="B838EFE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nsid w:val="6CF246D5"/>
    <w:multiLevelType w:val="hybridMultilevel"/>
    <w:tmpl w:val="5D501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3">
    <w:nsid w:val="6CF95B66"/>
    <w:multiLevelType w:val="hybridMultilevel"/>
    <w:tmpl w:val="53BE11C2"/>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44">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5">
    <w:nsid w:val="719F250D"/>
    <w:multiLevelType w:val="multilevel"/>
    <w:tmpl w:val="29667AB8"/>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6">
    <w:nsid w:val="71CD13D7"/>
    <w:multiLevelType w:val="hybridMultilevel"/>
    <w:tmpl w:val="C75EE4C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nsid w:val="73195AB6"/>
    <w:multiLevelType w:val="hybridMultilevel"/>
    <w:tmpl w:val="A6DCD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8">
    <w:nsid w:val="73357CAB"/>
    <w:multiLevelType w:val="hybridMultilevel"/>
    <w:tmpl w:val="1682E7C2"/>
    <w:lvl w:ilvl="0">
      <w:start w:val="1"/>
      <w:numFmt w:val="bullet"/>
      <w:lvlText w:val=""/>
      <w:lvlJc w:val="left"/>
      <w:pPr>
        <w:ind w:left="870" w:hanging="360"/>
      </w:pPr>
      <w:rPr>
        <w:rFonts w:ascii="Symbol" w:hAnsi="Symbol" w:hint="default"/>
      </w:rPr>
    </w:lvl>
    <w:lvl w:ilvl="1" w:tentative="1">
      <w:start w:val="1"/>
      <w:numFmt w:val="bullet"/>
      <w:lvlText w:val="o"/>
      <w:lvlJc w:val="left"/>
      <w:pPr>
        <w:ind w:left="1590" w:hanging="360"/>
      </w:pPr>
      <w:rPr>
        <w:rFonts w:ascii="Courier New" w:hAnsi="Courier New" w:cs="Courier New" w:hint="default"/>
      </w:rPr>
    </w:lvl>
    <w:lvl w:ilvl="2" w:tentative="1">
      <w:start w:val="1"/>
      <w:numFmt w:val="bullet"/>
      <w:lvlText w:val=""/>
      <w:lvlJc w:val="left"/>
      <w:pPr>
        <w:ind w:left="2310" w:hanging="360"/>
      </w:pPr>
      <w:rPr>
        <w:rFonts w:ascii="Wingdings" w:hAnsi="Wingdings" w:hint="default"/>
      </w:rPr>
    </w:lvl>
    <w:lvl w:ilvl="3" w:tentative="1">
      <w:start w:val="1"/>
      <w:numFmt w:val="bullet"/>
      <w:lvlText w:val=""/>
      <w:lvlJc w:val="left"/>
      <w:pPr>
        <w:ind w:left="3030" w:hanging="360"/>
      </w:pPr>
      <w:rPr>
        <w:rFonts w:ascii="Symbol" w:hAnsi="Symbol" w:hint="default"/>
      </w:rPr>
    </w:lvl>
    <w:lvl w:ilvl="4" w:tentative="1">
      <w:start w:val="1"/>
      <w:numFmt w:val="bullet"/>
      <w:lvlText w:val="o"/>
      <w:lvlJc w:val="left"/>
      <w:pPr>
        <w:ind w:left="3750" w:hanging="360"/>
      </w:pPr>
      <w:rPr>
        <w:rFonts w:ascii="Courier New" w:hAnsi="Courier New" w:cs="Courier New" w:hint="default"/>
      </w:rPr>
    </w:lvl>
    <w:lvl w:ilvl="5" w:tentative="1">
      <w:start w:val="1"/>
      <w:numFmt w:val="bullet"/>
      <w:lvlText w:val=""/>
      <w:lvlJc w:val="left"/>
      <w:pPr>
        <w:ind w:left="4470" w:hanging="360"/>
      </w:pPr>
      <w:rPr>
        <w:rFonts w:ascii="Wingdings" w:hAnsi="Wingdings" w:hint="default"/>
      </w:rPr>
    </w:lvl>
    <w:lvl w:ilvl="6" w:tentative="1">
      <w:start w:val="1"/>
      <w:numFmt w:val="bullet"/>
      <w:lvlText w:val=""/>
      <w:lvlJc w:val="left"/>
      <w:pPr>
        <w:ind w:left="5190" w:hanging="360"/>
      </w:pPr>
      <w:rPr>
        <w:rFonts w:ascii="Symbol" w:hAnsi="Symbol" w:hint="default"/>
      </w:rPr>
    </w:lvl>
    <w:lvl w:ilvl="7" w:tentative="1">
      <w:start w:val="1"/>
      <w:numFmt w:val="bullet"/>
      <w:lvlText w:val="o"/>
      <w:lvlJc w:val="left"/>
      <w:pPr>
        <w:ind w:left="5910" w:hanging="360"/>
      </w:pPr>
      <w:rPr>
        <w:rFonts w:ascii="Courier New" w:hAnsi="Courier New" w:cs="Courier New" w:hint="default"/>
      </w:rPr>
    </w:lvl>
    <w:lvl w:ilvl="8" w:tentative="1">
      <w:start w:val="1"/>
      <w:numFmt w:val="bullet"/>
      <w:lvlText w:val=""/>
      <w:lvlJc w:val="left"/>
      <w:pPr>
        <w:ind w:left="6630" w:hanging="360"/>
      </w:pPr>
      <w:rPr>
        <w:rFonts w:ascii="Wingdings" w:hAnsi="Wingdings" w:hint="default"/>
      </w:rPr>
    </w:lvl>
  </w:abstractNum>
  <w:abstractNum w:abstractNumId="149">
    <w:nsid w:val="737B0BE8"/>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50">
    <w:nsid w:val="751C7194"/>
    <w:multiLevelType w:val="multilevel"/>
    <w:tmpl w:val="24E4C3B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1">
    <w:nsid w:val="759B057D"/>
    <w:multiLevelType w:val="hybridMultilevel"/>
    <w:tmpl w:val="8D72CD3A"/>
    <w:lvl w:ilvl="0">
      <w:start w:val="1"/>
      <w:numFmt w:val="bullet"/>
      <w:lvlText w:val=""/>
      <w:lvlJc w:val="left"/>
      <w:pPr>
        <w:ind w:left="1069"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152">
    <w:nsid w:val="7673672F"/>
    <w:multiLevelType w:val="hybridMultilevel"/>
    <w:tmpl w:val="72ACC6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3">
    <w:nsid w:val="77472C1C"/>
    <w:multiLevelType w:val="hybridMultilevel"/>
    <w:tmpl w:val="D1C04E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4">
    <w:nsid w:val="79B72500"/>
    <w:multiLevelType w:val="hybridMultilevel"/>
    <w:tmpl w:val="73CA7B2E"/>
    <w:lvl w:ilvl="0">
      <w:start w:val="1"/>
      <w:numFmt w:val="bullet"/>
      <w:lvlText w:val=""/>
      <w:lvlJc w:val="left"/>
      <w:pPr>
        <w:tabs>
          <w:tab w:val="num" w:pos="624"/>
        </w:tabs>
        <w:ind w:left="624" w:hanging="624"/>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55">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56">
    <w:nsid w:val="7A2C2E7C"/>
    <w:multiLevelType w:val="hybridMultilevel"/>
    <w:tmpl w:val="8D1251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7">
    <w:nsid w:val="7A711277"/>
    <w:multiLevelType w:val="multilevel"/>
    <w:tmpl w:val="AA0E75B2"/>
    <w:lvl w:ilvl="0">
      <w:start w:val="1"/>
      <w:numFmt w:val="bullet"/>
      <w:pStyle w:val="EMEA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left"/>
      <w:pPr>
        <w:tabs>
          <w:tab w:val="num" w:pos="144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8">
    <w:nsid w:val="7AEB6E1C"/>
    <w:multiLevelType w:val="multilevel"/>
    <w:tmpl w:val="B838EFE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nsid w:val="7B6A60FD"/>
    <w:multiLevelType w:val="hybridMultilevel"/>
    <w:tmpl w:val="2F1497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0">
    <w:nsid w:val="7C395717"/>
    <w:multiLevelType w:val="hybridMultilevel"/>
    <w:tmpl w:val="86028708"/>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1">
    <w:nsid w:val="7F746A05"/>
    <w:multiLevelType w:val="hybridMultilevel"/>
    <w:tmpl w:val="1EE0FC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2">
    <w:nsid w:val="7FBC159C"/>
    <w:multiLevelType w:val="hybridMultilevel"/>
    <w:tmpl w:val="7062FD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54584180">
    <w:abstractNumId w:val="10"/>
    <w:lvlOverride w:ilvl="0">
      <w:lvl w:ilvl="0">
        <w:start w:val="1"/>
        <w:numFmt w:val="bullet"/>
        <w:lvlText w:val="-"/>
        <w:legacy w:legacy="1" w:legacySpace="0" w:legacyIndent="360"/>
        <w:lvlJc w:val="left"/>
        <w:pPr>
          <w:ind w:left="360" w:hanging="360"/>
        </w:pPr>
      </w:lvl>
    </w:lvlOverride>
  </w:num>
  <w:num w:numId="2" w16cid:durableId="938830790">
    <w:abstractNumId w:val="124"/>
  </w:num>
  <w:num w:numId="3" w16cid:durableId="397017590">
    <w:abstractNumId w:val="150"/>
  </w:num>
  <w:num w:numId="4" w16cid:durableId="318923502">
    <w:abstractNumId w:val="140"/>
  </w:num>
  <w:num w:numId="5" w16cid:durableId="937567632">
    <w:abstractNumId w:val="111"/>
  </w:num>
  <w:num w:numId="6" w16cid:durableId="626353867">
    <w:abstractNumId w:val="114"/>
  </w:num>
  <w:num w:numId="7" w16cid:durableId="707874710">
    <w:abstractNumId w:val="76"/>
  </w:num>
  <w:num w:numId="8" w16cid:durableId="1474639296">
    <w:abstractNumId w:val="38"/>
  </w:num>
  <w:num w:numId="9" w16cid:durableId="585111371">
    <w:abstractNumId w:val="104"/>
  </w:num>
  <w:num w:numId="10" w16cid:durableId="1363822303">
    <w:abstractNumId w:val="145"/>
  </w:num>
  <w:num w:numId="11" w16cid:durableId="1013994570">
    <w:abstractNumId w:val="93"/>
  </w:num>
  <w:num w:numId="12" w16cid:durableId="724304249">
    <w:abstractNumId w:val="108"/>
  </w:num>
  <w:num w:numId="13" w16cid:durableId="1743867349">
    <w:abstractNumId w:val="43"/>
  </w:num>
  <w:num w:numId="14" w16cid:durableId="224265573">
    <w:abstractNumId w:val="92"/>
  </w:num>
  <w:num w:numId="15" w16cid:durableId="2124840648">
    <w:abstractNumId w:val="77"/>
  </w:num>
  <w:num w:numId="16" w16cid:durableId="2017657636">
    <w:abstractNumId w:val="13"/>
  </w:num>
  <w:num w:numId="17" w16cid:durableId="331488826">
    <w:abstractNumId w:val="118"/>
  </w:num>
  <w:num w:numId="18" w16cid:durableId="130295338">
    <w:abstractNumId w:val="35"/>
  </w:num>
  <w:num w:numId="19" w16cid:durableId="1297687824">
    <w:abstractNumId w:val="16"/>
  </w:num>
  <w:num w:numId="20" w16cid:durableId="1134447724">
    <w:abstractNumId w:val="99"/>
  </w:num>
  <w:num w:numId="21" w16cid:durableId="902176352">
    <w:abstractNumId w:val="18"/>
  </w:num>
  <w:num w:numId="22" w16cid:durableId="797065169">
    <w:abstractNumId w:val="83"/>
  </w:num>
  <w:num w:numId="23" w16cid:durableId="1007826924">
    <w:abstractNumId w:val="19"/>
  </w:num>
  <w:num w:numId="24" w16cid:durableId="2033139769">
    <w:abstractNumId w:val="127"/>
  </w:num>
  <w:num w:numId="25" w16cid:durableId="1810514884">
    <w:abstractNumId w:val="119"/>
  </w:num>
  <w:num w:numId="26" w16cid:durableId="1729842898">
    <w:abstractNumId w:val="30"/>
  </w:num>
  <w:num w:numId="27" w16cid:durableId="1861506329">
    <w:abstractNumId w:val="80"/>
  </w:num>
  <w:num w:numId="28" w16cid:durableId="1637376403">
    <w:abstractNumId w:val="27"/>
  </w:num>
  <w:num w:numId="29" w16cid:durableId="1502549156">
    <w:abstractNumId w:val="134"/>
  </w:num>
  <w:num w:numId="30" w16cid:durableId="497311321">
    <w:abstractNumId w:val="70"/>
  </w:num>
  <w:num w:numId="31" w16cid:durableId="421535494">
    <w:abstractNumId w:val="146"/>
  </w:num>
  <w:num w:numId="32" w16cid:durableId="271400028">
    <w:abstractNumId w:val="154"/>
  </w:num>
  <w:num w:numId="33" w16cid:durableId="1630089438">
    <w:abstractNumId w:val="132"/>
  </w:num>
  <w:num w:numId="34" w16cid:durableId="1288663772">
    <w:abstractNumId w:val="86"/>
  </w:num>
  <w:num w:numId="35" w16cid:durableId="926352640">
    <w:abstractNumId w:val="115"/>
  </w:num>
  <w:num w:numId="36" w16cid:durableId="18750519">
    <w:abstractNumId w:val="137"/>
  </w:num>
  <w:num w:numId="37" w16cid:durableId="1970814656">
    <w:abstractNumId w:val="100"/>
  </w:num>
  <w:num w:numId="38" w16cid:durableId="998845454">
    <w:abstractNumId w:val="123"/>
  </w:num>
  <w:num w:numId="39" w16cid:durableId="560871773">
    <w:abstractNumId w:val="9"/>
  </w:num>
  <w:num w:numId="40" w16cid:durableId="1368331611">
    <w:abstractNumId w:val="7"/>
  </w:num>
  <w:num w:numId="41" w16cid:durableId="2022469555">
    <w:abstractNumId w:val="6"/>
  </w:num>
  <w:num w:numId="42" w16cid:durableId="1506945333">
    <w:abstractNumId w:val="5"/>
  </w:num>
  <w:num w:numId="43" w16cid:durableId="703941434">
    <w:abstractNumId w:val="4"/>
  </w:num>
  <w:num w:numId="44" w16cid:durableId="510073576">
    <w:abstractNumId w:val="8"/>
  </w:num>
  <w:num w:numId="45" w16cid:durableId="1746761808">
    <w:abstractNumId w:val="3"/>
  </w:num>
  <w:num w:numId="46" w16cid:durableId="1987198900">
    <w:abstractNumId w:val="2"/>
  </w:num>
  <w:num w:numId="47" w16cid:durableId="1850411478">
    <w:abstractNumId w:val="1"/>
  </w:num>
  <w:num w:numId="48" w16cid:durableId="951670001">
    <w:abstractNumId w:val="0"/>
  </w:num>
  <w:num w:numId="49" w16cid:durableId="1398698864">
    <w:abstractNumId w:val="125"/>
  </w:num>
  <w:num w:numId="50" w16cid:durableId="1741756462">
    <w:abstractNumId w:val="110"/>
  </w:num>
  <w:num w:numId="51" w16cid:durableId="1244029673">
    <w:abstractNumId w:val="128"/>
  </w:num>
  <w:num w:numId="52" w16cid:durableId="1999268068">
    <w:abstractNumId w:val="28"/>
  </w:num>
  <w:num w:numId="53" w16cid:durableId="1412433693">
    <w:abstractNumId w:val="21"/>
  </w:num>
  <w:num w:numId="54" w16cid:durableId="1408189647">
    <w:abstractNumId w:val="37"/>
  </w:num>
  <w:num w:numId="55" w16cid:durableId="52118751">
    <w:abstractNumId w:val="144"/>
  </w:num>
  <w:num w:numId="56" w16cid:durableId="45154933">
    <w:abstractNumId w:val="149"/>
  </w:num>
  <w:num w:numId="57" w16cid:durableId="308092701">
    <w:abstractNumId w:val="82"/>
  </w:num>
  <w:num w:numId="58" w16cid:durableId="1035349622">
    <w:abstractNumId w:val="102"/>
  </w:num>
  <w:num w:numId="59" w16cid:durableId="22562019">
    <w:abstractNumId w:val="11"/>
  </w:num>
  <w:num w:numId="60" w16cid:durableId="1091127181">
    <w:abstractNumId w:val="112"/>
  </w:num>
  <w:num w:numId="61" w16cid:durableId="1870097807">
    <w:abstractNumId w:val="130"/>
  </w:num>
  <w:num w:numId="62" w16cid:durableId="1721401120">
    <w:abstractNumId w:val="54"/>
  </w:num>
  <w:num w:numId="63" w16cid:durableId="1220898566">
    <w:abstractNumId w:val="158"/>
  </w:num>
  <w:num w:numId="64" w16cid:durableId="182207703">
    <w:abstractNumId w:val="157"/>
  </w:num>
  <w:num w:numId="65" w16cid:durableId="476727247">
    <w:abstractNumId w:val="65"/>
  </w:num>
  <w:num w:numId="66" w16cid:durableId="642196656">
    <w:abstractNumId w:val="156"/>
  </w:num>
  <w:num w:numId="67" w16cid:durableId="966080605">
    <w:abstractNumId w:val="159"/>
  </w:num>
  <w:num w:numId="68" w16cid:durableId="1625232728">
    <w:abstractNumId w:val="55"/>
  </w:num>
  <w:num w:numId="69" w16cid:durableId="242841244">
    <w:abstractNumId w:val="129"/>
  </w:num>
  <w:num w:numId="70" w16cid:durableId="160972719">
    <w:abstractNumId w:val="135"/>
  </w:num>
  <w:num w:numId="71" w16cid:durableId="1109544109">
    <w:abstractNumId w:val="152"/>
  </w:num>
  <w:num w:numId="72" w16cid:durableId="1052538649">
    <w:abstractNumId w:val="42"/>
  </w:num>
  <w:num w:numId="73" w16cid:durableId="637300036">
    <w:abstractNumId w:val="78"/>
  </w:num>
  <w:num w:numId="74" w16cid:durableId="1923298495">
    <w:abstractNumId w:val="141"/>
  </w:num>
  <w:num w:numId="75" w16cid:durableId="1430082996">
    <w:abstractNumId w:val="64"/>
  </w:num>
  <w:num w:numId="76" w16cid:durableId="873234423">
    <w:abstractNumId w:val="101"/>
  </w:num>
  <w:num w:numId="77" w16cid:durableId="426003835">
    <w:abstractNumId w:val="109"/>
  </w:num>
  <w:num w:numId="78" w16cid:durableId="1612590697">
    <w:abstractNumId w:val="58"/>
  </w:num>
  <w:num w:numId="79" w16cid:durableId="626542709">
    <w:abstractNumId w:val="89"/>
  </w:num>
  <w:num w:numId="80" w16cid:durableId="48650379">
    <w:abstractNumId w:val="90"/>
  </w:num>
  <w:num w:numId="81" w16cid:durableId="288366052">
    <w:abstractNumId w:val="63"/>
  </w:num>
  <w:num w:numId="82" w16cid:durableId="577515410">
    <w:abstractNumId w:val="24"/>
  </w:num>
  <w:num w:numId="83" w16cid:durableId="1729650743">
    <w:abstractNumId w:val="71"/>
  </w:num>
  <w:num w:numId="84" w16cid:durableId="1798335096">
    <w:abstractNumId w:val="56"/>
  </w:num>
  <w:num w:numId="85" w16cid:durableId="1920674955">
    <w:abstractNumId w:val="40"/>
  </w:num>
  <w:num w:numId="86" w16cid:durableId="1496533235">
    <w:abstractNumId w:val="66"/>
  </w:num>
  <w:num w:numId="87" w16cid:durableId="1632440960">
    <w:abstractNumId w:val="53"/>
  </w:num>
  <w:num w:numId="88" w16cid:durableId="158427447">
    <w:abstractNumId w:val="72"/>
  </w:num>
  <w:num w:numId="89" w16cid:durableId="1369186432">
    <w:abstractNumId w:val="60"/>
  </w:num>
  <w:num w:numId="90" w16cid:durableId="693921756">
    <w:abstractNumId w:val="106"/>
  </w:num>
  <w:num w:numId="91" w16cid:durableId="1708383">
    <w:abstractNumId w:val="149"/>
    <w:lvlOverride w:ilvl="0">
      <w:startOverride w:val="1"/>
    </w:lvlOverride>
  </w:num>
  <w:num w:numId="92" w16cid:durableId="1415474525">
    <w:abstractNumId w:val="153"/>
  </w:num>
  <w:num w:numId="93" w16cid:durableId="698506283">
    <w:abstractNumId w:val="49"/>
  </w:num>
  <w:num w:numId="94" w16cid:durableId="1789929517">
    <w:abstractNumId w:val="59"/>
  </w:num>
  <w:num w:numId="95" w16cid:durableId="1008754386">
    <w:abstractNumId w:val="14"/>
  </w:num>
  <w:num w:numId="96" w16cid:durableId="976688011">
    <w:abstractNumId w:val="29"/>
  </w:num>
  <w:num w:numId="97" w16cid:durableId="1270550909">
    <w:abstractNumId w:val="151"/>
  </w:num>
  <w:num w:numId="98" w16cid:durableId="2025283532">
    <w:abstractNumId w:val="143"/>
  </w:num>
  <w:num w:numId="99" w16cid:durableId="1173567881">
    <w:abstractNumId w:val="160"/>
  </w:num>
  <w:num w:numId="100" w16cid:durableId="765149581">
    <w:abstractNumId w:val="96"/>
  </w:num>
  <w:num w:numId="101" w16cid:durableId="580220104">
    <w:abstractNumId w:val="15"/>
  </w:num>
  <w:num w:numId="102" w16cid:durableId="895314256">
    <w:abstractNumId w:val="62"/>
  </w:num>
  <w:num w:numId="103" w16cid:durableId="944577325">
    <w:abstractNumId w:val="41"/>
  </w:num>
  <w:num w:numId="104" w16cid:durableId="1724520756">
    <w:abstractNumId w:val="87"/>
  </w:num>
  <w:num w:numId="105" w16cid:durableId="892691194">
    <w:abstractNumId w:val="33"/>
  </w:num>
  <w:num w:numId="106" w16cid:durableId="1529177095">
    <w:abstractNumId w:val="26"/>
  </w:num>
  <w:num w:numId="107" w16cid:durableId="230622991">
    <w:abstractNumId w:val="45"/>
  </w:num>
  <w:num w:numId="108" w16cid:durableId="1492600651">
    <w:abstractNumId w:val="94"/>
  </w:num>
  <w:num w:numId="109" w16cid:durableId="1885755004">
    <w:abstractNumId w:val="120"/>
  </w:num>
  <w:num w:numId="110" w16cid:durableId="1978532579">
    <w:abstractNumId w:val="98"/>
  </w:num>
  <w:num w:numId="111" w16cid:durableId="165754757">
    <w:abstractNumId w:val="61"/>
  </w:num>
  <w:num w:numId="112" w16cid:durableId="778795922">
    <w:abstractNumId w:val="51"/>
  </w:num>
  <w:num w:numId="113" w16cid:durableId="2056392505">
    <w:abstractNumId w:val="81"/>
  </w:num>
  <w:num w:numId="114" w16cid:durableId="1239943036">
    <w:abstractNumId w:val="47"/>
  </w:num>
  <w:num w:numId="115" w16cid:durableId="1588659400">
    <w:abstractNumId w:val="22"/>
  </w:num>
  <w:num w:numId="116" w16cid:durableId="1265768854">
    <w:abstractNumId w:val="69"/>
  </w:num>
  <w:num w:numId="117" w16cid:durableId="1180698783">
    <w:abstractNumId w:val="139"/>
  </w:num>
  <w:num w:numId="118" w16cid:durableId="244801531">
    <w:abstractNumId w:val="133"/>
  </w:num>
  <w:num w:numId="119" w16cid:durableId="111634529">
    <w:abstractNumId w:val="46"/>
  </w:num>
  <w:num w:numId="120" w16cid:durableId="1213268437">
    <w:abstractNumId w:val="162"/>
  </w:num>
  <w:num w:numId="121" w16cid:durableId="1030837664">
    <w:abstractNumId w:val="17"/>
  </w:num>
  <w:num w:numId="122" w16cid:durableId="364524225">
    <w:abstractNumId w:val="95"/>
  </w:num>
  <w:num w:numId="123" w16cid:durableId="1102652614">
    <w:abstractNumId w:val="122"/>
  </w:num>
  <w:num w:numId="124" w16cid:durableId="862019610">
    <w:abstractNumId w:val="113"/>
  </w:num>
  <w:num w:numId="125" w16cid:durableId="1709066680">
    <w:abstractNumId w:val="39"/>
  </w:num>
  <w:num w:numId="126" w16cid:durableId="1622958985">
    <w:abstractNumId w:val="52"/>
  </w:num>
  <w:num w:numId="127" w16cid:durableId="1411539471">
    <w:abstractNumId w:val="142"/>
  </w:num>
  <w:num w:numId="128" w16cid:durableId="887958116">
    <w:abstractNumId w:val="97"/>
  </w:num>
  <w:num w:numId="129" w16cid:durableId="681592447">
    <w:abstractNumId w:val="85"/>
  </w:num>
  <w:num w:numId="130" w16cid:durableId="356854112">
    <w:abstractNumId w:val="148"/>
  </w:num>
  <w:num w:numId="131" w16cid:durableId="2080857400">
    <w:abstractNumId w:val="32"/>
  </w:num>
  <w:num w:numId="132" w16cid:durableId="1489206983">
    <w:abstractNumId w:val="75"/>
  </w:num>
  <w:num w:numId="133" w16cid:durableId="1849245553">
    <w:abstractNumId w:val="25"/>
  </w:num>
  <w:num w:numId="134" w16cid:durableId="171337411">
    <w:abstractNumId w:val="103"/>
  </w:num>
  <w:num w:numId="135" w16cid:durableId="375399948">
    <w:abstractNumId w:val="121"/>
  </w:num>
  <w:num w:numId="136" w16cid:durableId="1924606564">
    <w:abstractNumId w:val="23"/>
  </w:num>
  <w:num w:numId="137" w16cid:durableId="499079246">
    <w:abstractNumId w:val="88"/>
  </w:num>
  <w:num w:numId="138" w16cid:durableId="693533408">
    <w:abstractNumId w:val="84"/>
  </w:num>
  <w:num w:numId="139" w16cid:durableId="1295021718">
    <w:abstractNumId w:val="102"/>
  </w:num>
  <w:num w:numId="140" w16cid:durableId="1873230468">
    <w:abstractNumId w:val="50"/>
  </w:num>
  <w:num w:numId="141" w16cid:durableId="1254245103">
    <w:abstractNumId w:val="20"/>
  </w:num>
  <w:num w:numId="142" w16cid:durableId="553204325">
    <w:abstractNumId w:val="74"/>
  </w:num>
  <w:num w:numId="143" w16cid:durableId="1868904720">
    <w:abstractNumId w:val="12"/>
  </w:num>
  <w:num w:numId="144" w16cid:durableId="1078479818">
    <w:abstractNumId w:val="73"/>
  </w:num>
  <w:num w:numId="145" w16cid:durableId="1338389721">
    <w:abstractNumId w:val="68"/>
  </w:num>
  <w:num w:numId="146" w16cid:durableId="778916504">
    <w:abstractNumId w:val="36"/>
  </w:num>
  <w:num w:numId="147" w16cid:durableId="1951277310">
    <w:abstractNumId w:val="116"/>
  </w:num>
  <w:num w:numId="148" w16cid:durableId="1925260730">
    <w:abstractNumId w:val="57"/>
  </w:num>
  <w:num w:numId="149" w16cid:durableId="51387808">
    <w:abstractNumId w:val="44"/>
  </w:num>
  <w:num w:numId="150" w16cid:durableId="1807968111">
    <w:abstractNumId w:val="147"/>
  </w:num>
  <w:num w:numId="151" w16cid:durableId="1218131960">
    <w:abstractNumId w:val="136"/>
  </w:num>
  <w:num w:numId="152" w16cid:durableId="1090589793">
    <w:abstractNumId w:val="31"/>
  </w:num>
  <w:num w:numId="153" w16cid:durableId="1623026762">
    <w:abstractNumId w:val="48"/>
  </w:num>
  <w:num w:numId="154" w16cid:durableId="1979918963">
    <w:abstractNumId w:val="117"/>
  </w:num>
  <w:num w:numId="155" w16cid:durableId="1709838891">
    <w:abstractNumId w:val="155"/>
  </w:num>
  <w:num w:numId="156" w16cid:durableId="1084454670">
    <w:abstractNumId w:val="126"/>
  </w:num>
  <w:num w:numId="157" w16cid:durableId="732003603">
    <w:abstractNumId w:val="131"/>
  </w:num>
  <w:num w:numId="158" w16cid:durableId="512501677">
    <w:abstractNumId w:val="67"/>
  </w:num>
  <w:num w:numId="159" w16cid:durableId="1151095733">
    <w:abstractNumId w:val="161"/>
  </w:num>
  <w:num w:numId="160" w16cid:durableId="593588521">
    <w:abstractNumId w:val="138"/>
  </w:num>
  <w:num w:numId="161" w16cid:durableId="1137264713">
    <w:abstractNumId w:val="34"/>
  </w:num>
  <w:num w:numId="162" w16cid:durableId="1669166818">
    <w:abstractNumId w:val="107"/>
  </w:num>
  <w:num w:numId="163" w16cid:durableId="272595850">
    <w:abstractNumId w:val="105"/>
  </w:num>
  <w:num w:numId="164" w16cid:durableId="878397110">
    <w:abstractNumId w:val="91"/>
  </w:num>
  <w:num w:numId="165" w16cid:durableId="1214392371">
    <w:abstractNumId w:val="79"/>
  </w:num>
  <w:numIdMacAtCleanup w:val="1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bbVie14">
    <w15:presenceInfo w15:providerId="None" w15:userId="AbbVie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09"/>
  <w:hyphenationZone w:val="283"/>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4C2"/>
    <w:rsid w:val="00003981"/>
    <w:rsid w:val="00004788"/>
    <w:rsid w:val="0000495E"/>
    <w:rsid w:val="00006213"/>
    <w:rsid w:val="0000637A"/>
    <w:rsid w:val="00006F92"/>
    <w:rsid w:val="000163E8"/>
    <w:rsid w:val="00016531"/>
    <w:rsid w:val="000203FD"/>
    <w:rsid w:val="00020442"/>
    <w:rsid w:val="000227BD"/>
    <w:rsid w:val="00023246"/>
    <w:rsid w:val="0002593D"/>
    <w:rsid w:val="0002677C"/>
    <w:rsid w:val="00035128"/>
    <w:rsid w:val="00035AC5"/>
    <w:rsid w:val="0003764F"/>
    <w:rsid w:val="0004229E"/>
    <w:rsid w:val="00044B94"/>
    <w:rsid w:val="000455A9"/>
    <w:rsid w:val="00045672"/>
    <w:rsid w:val="00046E7F"/>
    <w:rsid w:val="0004749D"/>
    <w:rsid w:val="000507D2"/>
    <w:rsid w:val="00051655"/>
    <w:rsid w:val="00053525"/>
    <w:rsid w:val="000541F6"/>
    <w:rsid w:val="00054BE3"/>
    <w:rsid w:val="00055B59"/>
    <w:rsid w:val="000569FB"/>
    <w:rsid w:val="000576A9"/>
    <w:rsid w:val="0006059E"/>
    <w:rsid w:val="00060CB7"/>
    <w:rsid w:val="000617B7"/>
    <w:rsid w:val="000641B9"/>
    <w:rsid w:val="000644E2"/>
    <w:rsid w:val="0006642C"/>
    <w:rsid w:val="00066B94"/>
    <w:rsid w:val="00067450"/>
    <w:rsid w:val="00070D56"/>
    <w:rsid w:val="00071C3D"/>
    <w:rsid w:val="0007213E"/>
    <w:rsid w:val="00074E3E"/>
    <w:rsid w:val="000752A6"/>
    <w:rsid w:val="00075CD9"/>
    <w:rsid w:val="0007648D"/>
    <w:rsid w:val="00081375"/>
    <w:rsid w:val="000850B2"/>
    <w:rsid w:val="00085A55"/>
    <w:rsid w:val="00086B53"/>
    <w:rsid w:val="00090236"/>
    <w:rsid w:val="0009208D"/>
    <w:rsid w:val="00092BB8"/>
    <w:rsid w:val="00095D06"/>
    <w:rsid w:val="00096642"/>
    <w:rsid w:val="00096C43"/>
    <w:rsid w:val="000971C2"/>
    <w:rsid w:val="000977FE"/>
    <w:rsid w:val="000A0E99"/>
    <w:rsid w:val="000A1B41"/>
    <w:rsid w:val="000A1DE8"/>
    <w:rsid w:val="000A20A7"/>
    <w:rsid w:val="000B0C83"/>
    <w:rsid w:val="000B152B"/>
    <w:rsid w:val="000B1EFB"/>
    <w:rsid w:val="000B225D"/>
    <w:rsid w:val="000B328C"/>
    <w:rsid w:val="000B3354"/>
    <w:rsid w:val="000B3DBE"/>
    <w:rsid w:val="000B49D4"/>
    <w:rsid w:val="000B4B05"/>
    <w:rsid w:val="000B5CB5"/>
    <w:rsid w:val="000B7536"/>
    <w:rsid w:val="000B7BD5"/>
    <w:rsid w:val="000C0488"/>
    <w:rsid w:val="000C1B2D"/>
    <w:rsid w:val="000C2443"/>
    <w:rsid w:val="000C2471"/>
    <w:rsid w:val="000C2C3B"/>
    <w:rsid w:val="000C2D49"/>
    <w:rsid w:val="000C334D"/>
    <w:rsid w:val="000C65A5"/>
    <w:rsid w:val="000C6748"/>
    <w:rsid w:val="000D00DE"/>
    <w:rsid w:val="000D0B9B"/>
    <w:rsid w:val="000D21D2"/>
    <w:rsid w:val="000D3BA4"/>
    <w:rsid w:val="000D55F0"/>
    <w:rsid w:val="000E31A6"/>
    <w:rsid w:val="000E43C3"/>
    <w:rsid w:val="000F1E64"/>
    <w:rsid w:val="000F2897"/>
    <w:rsid w:val="000F3DEF"/>
    <w:rsid w:val="000F5F29"/>
    <w:rsid w:val="000F6A47"/>
    <w:rsid w:val="000F6B93"/>
    <w:rsid w:val="000F7EDA"/>
    <w:rsid w:val="001013A9"/>
    <w:rsid w:val="0010144A"/>
    <w:rsid w:val="00101E3D"/>
    <w:rsid w:val="00103FAE"/>
    <w:rsid w:val="0010427F"/>
    <w:rsid w:val="00105D5B"/>
    <w:rsid w:val="00105F84"/>
    <w:rsid w:val="00110329"/>
    <w:rsid w:val="0011059D"/>
    <w:rsid w:val="001108AC"/>
    <w:rsid w:val="00110DDB"/>
    <w:rsid w:val="00110E14"/>
    <w:rsid w:val="001113B9"/>
    <w:rsid w:val="00114AD7"/>
    <w:rsid w:val="00114B28"/>
    <w:rsid w:val="00114C7F"/>
    <w:rsid w:val="0011687B"/>
    <w:rsid w:val="00117837"/>
    <w:rsid w:val="00120427"/>
    <w:rsid w:val="0012304C"/>
    <w:rsid w:val="00123685"/>
    <w:rsid w:val="00123A2F"/>
    <w:rsid w:val="00123E96"/>
    <w:rsid w:val="0012484B"/>
    <w:rsid w:val="00126944"/>
    <w:rsid w:val="00126A8C"/>
    <w:rsid w:val="001272AD"/>
    <w:rsid w:val="00127E4C"/>
    <w:rsid w:val="00131B3B"/>
    <w:rsid w:val="00132107"/>
    <w:rsid w:val="0013293E"/>
    <w:rsid w:val="0013427F"/>
    <w:rsid w:val="001348F2"/>
    <w:rsid w:val="001353FD"/>
    <w:rsid w:val="00142528"/>
    <w:rsid w:val="0014310E"/>
    <w:rsid w:val="00147E2C"/>
    <w:rsid w:val="00150790"/>
    <w:rsid w:val="00153884"/>
    <w:rsid w:val="00157870"/>
    <w:rsid w:val="0016286C"/>
    <w:rsid w:val="00163B24"/>
    <w:rsid w:val="0016428E"/>
    <w:rsid w:val="0016472B"/>
    <w:rsid w:val="00166946"/>
    <w:rsid w:val="00166D0D"/>
    <w:rsid w:val="00166FDE"/>
    <w:rsid w:val="001676B4"/>
    <w:rsid w:val="001718C1"/>
    <w:rsid w:val="001737F6"/>
    <w:rsid w:val="00173B45"/>
    <w:rsid w:val="00174188"/>
    <w:rsid w:val="00174A33"/>
    <w:rsid w:val="00175D66"/>
    <w:rsid w:val="001763C9"/>
    <w:rsid w:val="001766B2"/>
    <w:rsid w:val="00176CDB"/>
    <w:rsid w:val="00181515"/>
    <w:rsid w:val="00183CAA"/>
    <w:rsid w:val="001863CD"/>
    <w:rsid w:val="00186D92"/>
    <w:rsid w:val="001871C5"/>
    <w:rsid w:val="00187400"/>
    <w:rsid w:val="00187ACA"/>
    <w:rsid w:val="00190451"/>
    <w:rsid w:val="001907B3"/>
    <w:rsid w:val="001909F8"/>
    <w:rsid w:val="0019187E"/>
    <w:rsid w:val="00191A42"/>
    <w:rsid w:val="00195366"/>
    <w:rsid w:val="001967CB"/>
    <w:rsid w:val="00196946"/>
    <w:rsid w:val="001A0443"/>
    <w:rsid w:val="001A0454"/>
    <w:rsid w:val="001A1724"/>
    <w:rsid w:val="001A2101"/>
    <w:rsid w:val="001A23EE"/>
    <w:rsid w:val="001A4238"/>
    <w:rsid w:val="001A7A93"/>
    <w:rsid w:val="001A7F63"/>
    <w:rsid w:val="001B17A1"/>
    <w:rsid w:val="001B32A6"/>
    <w:rsid w:val="001B342C"/>
    <w:rsid w:val="001B37E9"/>
    <w:rsid w:val="001B385A"/>
    <w:rsid w:val="001B6C63"/>
    <w:rsid w:val="001B6EFA"/>
    <w:rsid w:val="001B7402"/>
    <w:rsid w:val="001C19B0"/>
    <w:rsid w:val="001C2056"/>
    <w:rsid w:val="001C4AEE"/>
    <w:rsid w:val="001C736D"/>
    <w:rsid w:val="001D0983"/>
    <w:rsid w:val="001D1CEA"/>
    <w:rsid w:val="001D2189"/>
    <w:rsid w:val="001D62D6"/>
    <w:rsid w:val="001D6902"/>
    <w:rsid w:val="001E018F"/>
    <w:rsid w:val="001E05A2"/>
    <w:rsid w:val="001E366F"/>
    <w:rsid w:val="001E3F2D"/>
    <w:rsid w:val="001E42E4"/>
    <w:rsid w:val="001E6FA8"/>
    <w:rsid w:val="001F1CC1"/>
    <w:rsid w:val="001F2D05"/>
    <w:rsid w:val="001F6633"/>
    <w:rsid w:val="001F78A2"/>
    <w:rsid w:val="001F79B0"/>
    <w:rsid w:val="0020014E"/>
    <w:rsid w:val="00202103"/>
    <w:rsid w:val="00202B23"/>
    <w:rsid w:val="0020323B"/>
    <w:rsid w:val="00204460"/>
    <w:rsid w:val="0020624D"/>
    <w:rsid w:val="00207E2A"/>
    <w:rsid w:val="00207FF2"/>
    <w:rsid w:val="00210210"/>
    <w:rsid w:val="002126E5"/>
    <w:rsid w:val="002141B6"/>
    <w:rsid w:val="0021530B"/>
    <w:rsid w:val="002172DD"/>
    <w:rsid w:val="00222EA4"/>
    <w:rsid w:val="00224A12"/>
    <w:rsid w:val="00224E13"/>
    <w:rsid w:val="002256E9"/>
    <w:rsid w:val="0022672C"/>
    <w:rsid w:val="00226BC4"/>
    <w:rsid w:val="002305EF"/>
    <w:rsid w:val="0023157B"/>
    <w:rsid w:val="002318D4"/>
    <w:rsid w:val="00235454"/>
    <w:rsid w:val="00235869"/>
    <w:rsid w:val="002359FB"/>
    <w:rsid w:val="002365A7"/>
    <w:rsid w:val="00240647"/>
    <w:rsid w:val="00241DF9"/>
    <w:rsid w:val="00245484"/>
    <w:rsid w:val="002461D0"/>
    <w:rsid w:val="00246272"/>
    <w:rsid w:val="00247CCB"/>
    <w:rsid w:val="0025026E"/>
    <w:rsid w:val="0025043B"/>
    <w:rsid w:val="0025081D"/>
    <w:rsid w:val="002538BF"/>
    <w:rsid w:val="00255306"/>
    <w:rsid w:val="00260D46"/>
    <w:rsid w:val="0026134F"/>
    <w:rsid w:val="00262E9B"/>
    <w:rsid w:val="00264CAF"/>
    <w:rsid w:val="00265D2D"/>
    <w:rsid w:val="00267B4D"/>
    <w:rsid w:val="00270D5C"/>
    <w:rsid w:val="00272D2F"/>
    <w:rsid w:val="00273A89"/>
    <w:rsid w:val="00280644"/>
    <w:rsid w:val="00282841"/>
    <w:rsid w:val="0028452B"/>
    <w:rsid w:val="00284D9A"/>
    <w:rsid w:val="00284FF4"/>
    <w:rsid w:val="00287663"/>
    <w:rsid w:val="00291165"/>
    <w:rsid w:val="00291BD8"/>
    <w:rsid w:val="00292106"/>
    <w:rsid w:val="00293FFC"/>
    <w:rsid w:val="00294FE9"/>
    <w:rsid w:val="00295C27"/>
    <w:rsid w:val="00295E71"/>
    <w:rsid w:val="00296E2B"/>
    <w:rsid w:val="0029776F"/>
    <w:rsid w:val="002A6ED6"/>
    <w:rsid w:val="002A7381"/>
    <w:rsid w:val="002A7FA6"/>
    <w:rsid w:val="002B01E3"/>
    <w:rsid w:val="002B0A77"/>
    <w:rsid w:val="002B142A"/>
    <w:rsid w:val="002B4D7A"/>
    <w:rsid w:val="002B5835"/>
    <w:rsid w:val="002C1D58"/>
    <w:rsid w:val="002C1DC5"/>
    <w:rsid w:val="002C259C"/>
    <w:rsid w:val="002C27CA"/>
    <w:rsid w:val="002C2C61"/>
    <w:rsid w:val="002D0546"/>
    <w:rsid w:val="002D0B35"/>
    <w:rsid w:val="002D2987"/>
    <w:rsid w:val="002D2BE1"/>
    <w:rsid w:val="002D318C"/>
    <w:rsid w:val="002D3D9D"/>
    <w:rsid w:val="002D524B"/>
    <w:rsid w:val="002D5764"/>
    <w:rsid w:val="002E048A"/>
    <w:rsid w:val="002E3E62"/>
    <w:rsid w:val="002E6FD5"/>
    <w:rsid w:val="002E7604"/>
    <w:rsid w:val="002F0529"/>
    <w:rsid w:val="002F1E76"/>
    <w:rsid w:val="002F220A"/>
    <w:rsid w:val="002F5E91"/>
    <w:rsid w:val="002F7CF2"/>
    <w:rsid w:val="0030107D"/>
    <w:rsid w:val="00301430"/>
    <w:rsid w:val="00301673"/>
    <w:rsid w:val="00303064"/>
    <w:rsid w:val="00304A8D"/>
    <w:rsid w:val="00306285"/>
    <w:rsid w:val="003063DA"/>
    <w:rsid w:val="00307069"/>
    <w:rsid w:val="003118FF"/>
    <w:rsid w:val="00312A5A"/>
    <w:rsid w:val="00317C48"/>
    <w:rsid w:val="0032063A"/>
    <w:rsid w:val="00322D1D"/>
    <w:rsid w:val="00323952"/>
    <w:rsid w:val="00324A65"/>
    <w:rsid w:val="00324D9F"/>
    <w:rsid w:val="00325FA3"/>
    <w:rsid w:val="00326430"/>
    <w:rsid w:val="00335210"/>
    <w:rsid w:val="003354C8"/>
    <w:rsid w:val="00336724"/>
    <w:rsid w:val="003415FD"/>
    <w:rsid w:val="00341923"/>
    <w:rsid w:val="00345505"/>
    <w:rsid w:val="0035095D"/>
    <w:rsid w:val="00351417"/>
    <w:rsid w:val="0035667C"/>
    <w:rsid w:val="003569BA"/>
    <w:rsid w:val="00357925"/>
    <w:rsid w:val="003605E0"/>
    <w:rsid w:val="00360B63"/>
    <w:rsid w:val="00363FE8"/>
    <w:rsid w:val="003649B7"/>
    <w:rsid w:val="0037247B"/>
    <w:rsid w:val="00375D65"/>
    <w:rsid w:val="00376B81"/>
    <w:rsid w:val="0037704C"/>
    <w:rsid w:val="00381A6C"/>
    <w:rsid w:val="00383ADC"/>
    <w:rsid w:val="00383E3B"/>
    <w:rsid w:val="00383EC6"/>
    <w:rsid w:val="00384DEF"/>
    <w:rsid w:val="003876C1"/>
    <w:rsid w:val="003915EA"/>
    <w:rsid w:val="0039270E"/>
    <w:rsid w:val="00392FEB"/>
    <w:rsid w:val="0039372B"/>
    <w:rsid w:val="00395B98"/>
    <w:rsid w:val="00396491"/>
    <w:rsid w:val="0039649A"/>
    <w:rsid w:val="00396954"/>
    <w:rsid w:val="00396BFC"/>
    <w:rsid w:val="00396C35"/>
    <w:rsid w:val="00396FE2"/>
    <w:rsid w:val="003A0A5B"/>
    <w:rsid w:val="003A68D3"/>
    <w:rsid w:val="003B08E6"/>
    <w:rsid w:val="003B13F6"/>
    <w:rsid w:val="003B320C"/>
    <w:rsid w:val="003B3A5A"/>
    <w:rsid w:val="003B3E86"/>
    <w:rsid w:val="003B4972"/>
    <w:rsid w:val="003B7E07"/>
    <w:rsid w:val="003C2B9C"/>
    <w:rsid w:val="003C45F2"/>
    <w:rsid w:val="003C47F5"/>
    <w:rsid w:val="003C4CAF"/>
    <w:rsid w:val="003C6450"/>
    <w:rsid w:val="003D1249"/>
    <w:rsid w:val="003D1508"/>
    <w:rsid w:val="003D20B8"/>
    <w:rsid w:val="003D5842"/>
    <w:rsid w:val="003D60A8"/>
    <w:rsid w:val="003E01B2"/>
    <w:rsid w:val="003E028E"/>
    <w:rsid w:val="003E0627"/>
    <w:rsid w:val="003E26CC"/>
    <w:rsid w:val="003E3620"/>
    <w:rsid w:val="003E36B3"/>
    <w:rsid w:val="003E4669"/>
    <w:rsid w:val="003E4EE2"/>
    <w:rsid w:val="003E69B9"/>
    <w:rsid w:val="003E6A38"/>
    <w:rsid w:val="003E6D47"/>
    <w:rsid w:val="003E732F"/>
    <w:rsid w:val="003F0C46"/>
    <w:rsid w:val="003F31B0"/>
    <w:rsid w:val="003F5D7E"/>
    <w:rsid w:val="00400881"/>
    <w:rsid w:val="00402EF9"/>
    <w:rsid w:val="004036EF"/>
    <w:rsid w:val="00411F60"/>
    <w:rsid w:val="004128A4"/>
    <w:rsid w:val="0041314F"/>
    <w:rsid w:val="00413250"/>
    <w:rsid w:val="00413AEE"/>
    <w:rsid w:val="004166CB"/>
    <w:rsid w:val="00420BF3"/>
    <w:rsid w:val="00430799"/>
    <w:rsid w:val="0043237E"/>
    <w:rsid w:val="00432E9A"/>
    <w:rsid w:val="00433056"/>
    <w:rsid w:val="004340B0"/>
    <w:rsid w:val="00434CDC"/>
    <w:rsid w:val="00435218"/>
    <w:rsid w:val="00435F3A"/>
    <w:rsid w:val="004424F3"/>
    <w:rsid w:val="0044431A"/>
    <w:rsid w:val="0044692A"/>
    <w:rsid w:val="0045068C"/>
    <w:rsid w:val="00450FBB"/>
    <w:rsid w:val="00454888"/>
    <w:rsid w:val="00455317"/>
    <w:rsid w:val="0045594A"/>
    <w:rsid w:val="004559C0"/>
    <w:rsid w:val="00460F50"/>
    <w:rsid w:val="004621B5"/>
    <w:rsid w:val="004650FF"/>
    <w:rsid w:val="00467532"/>
    <w:rsid w:val="00470BC1"/>
    <w:rsid w:val="00470DD1"/>
    <w:rsid w:val="00470ED9"/>
    <w:rsid w:val="00472A39"/>
    <w:rsid w:val="004735F6"/>
    <w:rsid w:val="00473E9C"/>
    <w:rsid w:val="004750F2"/>
    <w:rsid w:val="00476107"/>
    <w:rsid w:val="0048101C"/>
    <w:rsid w:val="00483A0B"/>
    <w:rsid w:val="004871BE"/>
    <w:rsid w:val="00487D70"/>
    <w:rsid w:val="0049073D"/>
    <w:rsid w:val="00490B34"/>
    <w:rsid w:val="00491241"/>
    <w:rsid w:val="00495A97"/>
    <w:rsid w:val="00495F94"/>
    <w:rsid w:val="00497AD9"/>
    <w:rsid w:val="004A0228"/>
    <w:rsid w:val="004A271A"/>
    <w:rsid w:val="004A349E"/>
    <w:rsid w:val="004A6E45"/>
    <w:rsid w:val="004A70B4"/>
    <w:rsid w:val="004A792F"/>
    <w:rsid w:val="004B3CAB"/>
    <w:rsid w:val="004B563D"/>
    <w:rsid w:val="004B5A7B"/>
    <w:rsid w:val="004B72C2"/>
    <w:rsid w:val="004B7AC2"/>
    <w:rsid w:val="004C18E4"/>
    <w:rsid w:val="004C26BC"/>
    <w:rsid w:val="004C4D16"/>
    <w:rsid w:val="004C4E1E"/>
    <w:rsid w:val="004C4F83"/>
    <w:rsid w:val="004D396B"/>
    <w:rsid w:val="004D484C"/>
    <w:rsid w:val="004D7963"/>
    <w:rsid w:val="004E19B6"/>
    <w:rsid w:val="004E269B"/>
    <w:rsid w:val="004E38FE"/>
    <w:rsid w:val="004F3226"/>
    <w:rsid w:val="004F397C"/>
    <w:rsid w:val="004F635B"/>
    <w:rsid w:val="004F78AE"/>
    <w:rsid w:val="005116DE"/>
    <w:rsid w:val="00511E63"/>
    <w:rsid w:val="00512453"/>
    <w:rsid w:val="005146AC"/>
    <w:rsid w:val="00514E08"/>
    <w:rsid w:val="0051610C"/>
    <w:rsid w:val="00517498"/>
    <w:rsid w:val="00520413"/>
    <w:rsid w:val="00522B2A"/>
    <w:rsid w:val="00522CBB"/>
    <w:rsid w:val="00522EA6"/>
    <w:rsid w:val="00525220"/>
    <w:rsid w:val="00527955"/>
    <w:rsid w:val="00530A2E"/>
    <w:rsid w:val="00530BB6"/>
    <w:rsid w:val="00533C1F"/>
    <w:rsid w:val="00533DB7"/>
    <w:rsid w:val="00535C27"/>
    <w:rsid w:val="005364A8"/>
    <w:rsid w:val="00536721"/>
    <w:rsid w:val="00536BF7"/>
    <w:rsid w:val="00540717"/>
    <w:rsid w:val="005452FE"/>
    <w:rsid w:val="00546511"/>
    <w:rsid w:val="005522B6"/>
    <w:rsid w:val="00555874"/>
    <w:rsid w:val="00556307"/>
    <w:rsid w:val="00556ED6"/>
    <w:rsid w:val="00561485"/>
    <w:rsid w:val="00561AA6"/>
    <w:rsid w:val="00562709"/>
    <w:rsid w:val="00563287"/>
    <w:rsid w:val="00563335"/>
    <w:rsid w:val="005641FA"/>
    <w:rsid w:val="00564FFA"/>
    <w:rsid w:val="00566E16"/>
    <w:rsid w:val="00567F53"/>
    <w:rsid w:val="00570081"/>
    <w:rsid w:val="00570ACA"/>
    <w:rsid w:val="005728AE"/>
    <w:rsid w:val="0057308A"/>
    <w:rsid w:val="005734DB"/>
    <w:rsid w:val="00576ACB"/>
    <w:rsid w:val="00576F06"/>
    <w:rsid w:val="0057772A"/>
    <w:rsid w:val="00580D20"/>
    <w:rsid w:val="005835DB"/>
    <w:rsid w:val="005838C4"/>
    <w:rsid w:val="00584062"/>
    <w:rsid w:val="005840C2"/>
    <w:rsid w:val="0058457C"/>
    <w:rsid w:val="005845B4"/>
    <w:rsid w:val="00585426"/>
    <w:rsid w:val="00585A90"/>
    <w:rsid w:val="005863FE"/>
    <w:rsid w:val="00587CB9"/>
    <w:rsid w:val="00587CE0"/>
    <w:rsid w:val="005965CD"/>
    <w:rsid w:val="005968CC"/>
    <w:rsid w:val="005A2662"/>
    <w:rsid w:val="005A3348"/>
    <w:rsid w:val="005A33FB"/>
    <w:rsid w:val="005A3930"/>
    <w:rsid w:val="005A3E22"/>
    <w:rsid w:val="005A74CA"/>
    <w:rsid w:val="005B0CEB"/>
    <w:rsid w:val="005B0D9F"/>
    <w:rsid w:val="005B0F02"/>
    <w:rsid w:val="005B1552"/>
    <w:rsid w:val="005B3621"/>
    <w:rsid w:val="005B3E4D"/>
    <w:rsid w:val="005B4084"/>
    <w:rsid w:val="005B5C31"/>
    <w:rsid w:val="005B5D34"/>
    <w:rsid w:val="005B7E88"/>
    <w:rsid w:val="005C0784"/>
    <w:rsid w:val="005C3724"/>
    <w:rsid w:val="005C4AD7"/>
    <w:rsid w:val="005C4AF2"/>
    <w:rsid w:val="005C7DCB"/>
    <w:rsid w:val="005D077B"/>
    <w:rsid w:val="005D1159"/>
    <w:rsid w:val="005D44C9"/>
    <w:rsid w:val="005D5C2F"/>
    <w:rsid w:val="005D6516"/>
    <w:rsid w:val="005D7629"/>
    <w:rsid w:val="005E100D"/>
    <w:rsid w:val="005E21DA"/>
    <w:rsid w:val="005E345C"/>
    <w:rsid w:val="005E6CEC"/>
    <w:rsid w:val="005F28A0"/>
    <w:rsid w:val="005F2A6D"/>
    <w:rsid w:val="005F2B94"/>
    <w:rsid w:val="005F3CB6"/>
    <w:rsid w:val="005F785F"/>
    <w:rsid w:val="0060025A"/>
    <w:rsid w:val="00602988"/>
    <w:rsid w:val="006038EE"/>
    <w:rsid w:val="00603B26"/>
    <w:rsid w:val="00604038"/>
    <w:rsid w:val="00606EC1"/>
    <w:rsid w:val="00611B3C"/>
    <w:rsid w:val="00612824"/>
    <w:rsid w:val="006142E9"/>
    <w:rsid w:val="00615740"/>
    <w:rsid w:val="00616E39"/>
    <w:rsid w:val="006207CB"/>
    <w:rsid w:val="006224C2"/>
    <w:rsid w:val="00623A7C"/>
    <w:rsid w:val="00624925"/>
    <w:rsid w:val="0062664F"/>
    <w:rsid w:val="00627E40"/>
    <w:rsid w:val="00630094"/>
    <w:rsid w:val="00631049"/>
    <w:rsid w:val="006312AE"/>
    <w:rsid w:val="006334C7"/>
    <w:rsid w:val="0063590A"/>
    <w:rsid w:val="006461E3"/>
    <w:rsid w:val="006474FA"/>
    <w:rsid w:val="00651173"/>
    <w:rsid w:val="00651232"/>
    <w:rsid w:val="006514C0"/>
    <w:rsid w:val="006524D6"/>
    <w:rsid w:val="00653FBA"/>
    <w:rsid w:val="006563BF"/>
    <w:rsid w:val="0065754A"/>
    <w:rsid w:val="00660603"/>
    <w:rsid w:val="00660BA1"/>
    <w:rsid w:val="0066449A"/>
    <w:rsid w:val="00665414"/>
    <w:rsid w:val="006664A9"/>
    <w:rsid w:val="00667318"/>
    <w:rsid w:val="006704EF"/>
    <w:rsid w:val="00670F91"/>
    <w:rsid w:val="00672E60"/>
    <w:rsid w:val="00674253"/>
    <w:rsid w:val="006750BE"/>
    <w:rsid w:val="00676430"/>
    <w:rsid w:val="00677F01"/>
    <w:rsid w:val="0068144A"/>
    <w:rsid w:val="00685E08"/>
    <w:rsid w:val="0069061C"/>
    <w:rsid w:val="00692752"/>
    <w:rsid w:val="006940B1"/>
    <w:rsid w:val="006A0E37"/>
    <w:rsid w:val="006A3057"/>
    <w:rsid w:val="006A625E"/>
    <w:rsid w:val="006A7685"/>
    <w:rsid w:val="006B33E7"/>
    <w:rsid w:val="006B5632"/>
    <w:rsid w:val="006B5B4C"/>
    <w:rsid w:val="006B7738"/>
    <w:rsid w:val="006B7DEC"/>
    <w:rsid w:val="006C088F"/>
    <w:rsid w:val="006C2CAE"/>
    <w:rsid w:val="006C441A"/>
    <w:rsid w:val="006C57F2"/>
    <w:rsid w:val="006C6548"/>
    <w:rsid w:val="006C6EFD"/>
    <w:rsid w:val="006C717D"/>
    <w:rsid w:val="006D3828"/>
    <w:rsid w:val="006D49F3"/>
    <w:rsid w:val="006E1DDF"/>
    <w:rsid w:val="006E2E3C"/>
    <w:rsid w:val="006E5926"/>
    <w:rsid w:val="006E5CBF"/>
    <w:rsid w:val="006E6AC6"/>
    <w:rsid w:val="006F0DD1"/>
    <w:rsid w:val="006F1AE5"/>
    <w:rsid w:val="006F32E5"/>
    <w:rsid w:val="006F3550"/>
    <w:rsid w:val="006F48CF"/>
    <w:rsid w:val="007015FB"/>
    <w:rsid w:val="00701680"/>
    <w:rsid w:val="007019C8"/>
    <w:rsid w:val="00701BD0"/>
    <w:rsid w:val="00703B41"/>
    <w:rsid w:val="00704C52"/>
    <w:rsid w:val="00717109"/>
    <w:rsid w:val="007200D0"/>
    <w:rsid w:val="00720786"/>
    <w:rsid w:val="00720914"/>
    <w:rsid w:val="007256B3"/>
    <w:rsid w:val="00732563"/>
    <w:rsid w:val="00733B01"/>
    <w:rsid w:val="00733F11"/>
    <w:rsid w:val="00735BED"/>
    <w:rsid w:val="00737052"/>
    <w:rsid w:val="007409F8"/>
    <w:rsid w:val="007414FF"/>
    <w:rsid w:val="00742F77"/>
    <w:rsid w:val="0074416A"/>
    <w:rsid w:val="0074418A"/>
    <w:rsid w:val="00744861"/>
    <w:rsid w:val="00745AE8"/>
    <w:rsid w:val="0074638B"/>
    <w:rsid w:val="00753B5D"/>
    <w:rsid w:val="00753E20"/>
    <w:rsid w:val="00754EC9"/>
    <w:rsid w:val="00755CB9"/>
    <w:rsid w:val="00756246"/>
    <w:rsid w:val="0076021B"/>
    <w:rsid w:val="00763583"/>
    <w:rsid w:val="00765992"/>
    <w:rsid w:val="0076619A"/>
    <w:rsid w:val="007674FE"/>
    <w:rsid w:val="007700E5"/>
    <w:rsid w:val="00770F4D"/>
    <w:rsid w:val="00771411"/>
    <w:rsid w:val="007718C5"/>
    <w:rsid w:val="00771B8E"/>
    <w:rsid w:val="00774590"/>
    <w:rsid w:val="00776C1E"/>
    <w:rsid w:val="00781260"/>
    <w:rsid w:val="007845DB"/>
    <w:rsid w:val="00784BDE"/>
    <w:rsid w:val="00793E55"/>
    <w:rsid w:val="007A318E"/>
    <w:rsid w:val="007A3ADA"/>
    <w:rsid w:val="007A44F1"/>
    <w:rsid w:val="007B1ABB"/>
    <w:rsid w:val="007B1BC4"/>
    <w:rsid w:val="007B2509"/>
    <w:rsid w:val="007B3C2B"/>
    <w:rsid w:val="007C144D"/>
    <w:rsid w:val="007C2064"/>
    <w:rsid w:val="007C6FC4"/>
    <w:rsid w:val="007D5CEF"/>
    <w:rsid w:val="007D6163"/>
    <w:rsid w:val="007D7F73"/>
    <w:rsid w:val="007E064F"/>
    <w:rsid w:val="007E20C8"/>
    <w:rsid w:val="007E53D3"/>
    <w:rsid w:val="007E6E3E"/>
    <w:rsid w:val="007E7167"/>
    <w:rsid w:val="007F121D"/>
    <w:rsid w:val="007F1E9C"/>
    <w:rsid w:val="007F1EB6"/>
    <w:rsid w:val="007F29CA"/>
    <w:rsid w:val="007F44E8"/>
    <w:rsid w:val="007F4DC4"/>
    <w:rsid w:val="007F65A5"/>
    <w:rsid w:val="007F717F"/>
    <w:rsid w:val="008000B1"/>
    <w:rsid w:val="00800CE0"/>
    <w:rsid w:val="00803E02"/>
    <w:rsid w:val="008045A7"/>
    <w:rsid w:val="00804DB6"/>
    <w:rsid w:val="00806569"/>
    <w:rsid w:val="00806926"/>
    <w:rsid w:val="00806D8A"/>
    <w:rsid w:val="00806E30"/>
    <w:rsid w:val="00807252"/>
    <w:rsid w:val="008076EA"/>
    <w:rsid w:val="008103C4"/>
    <w:rsid w:val="008122F6"/>
    <w:rsid w:val="0081288F"/>
    <w:rsid w:val="008128D3"/>
    <w:rsid w:val="008134F7"/>
    <w:rsid w:val="00813DD7"/>
    <w:rsid w:val="008169A4"/>
    <w:rsid w:val="008208C6"/>
    <w:rsid w:val="008212BE"/>
    <w:rsid w:val="00822954"/>
    <w:rsid w:val="008251A1"/>
    <w:rsid w:val="008275A6"/>
    <w:rsid w:val="008277EA"/>
    <w:rsid w:val="0083611B"/>
    <w:rsid w:val="008437A6"/>
    <w:rsid w:val="00844789"/>
    <w:rsid w:val="008452B7"/>
    <w:rsid w:val="00845889"/>
    <w:rsid w:val="0085279B"/>
    <w:rsid w:val="00853CBC"/>
    <w:rsid w:val="00863077"/>
    <w:rsid w:val="00870615"/>
    <w:rsid w:val="008707C2"/>
    <w:rsid w:val="00871C3A"/>
    <w:rsid w:val="00872134"/>
    <w:rsid w:val="008725C3"/>
    <w:rsid w:val="0087276B"/>
    <w:rsid w:val="00872D1F"/>
    <w:rsid w:val="00874583"/>
    <w:rsid w:val="00874D61"/>
    <w:rsid w:val="00875145"/>
    <w:rsid w:val="00875A22"/>
    <w:rsid w:val="008762F4"/>
    <w:rsid w:val="0087691F"/>
    <w:rsid w:val="00881037"/>
    <w:rsid w:val="0088145A"/>
    <w:rsid w:val="00881DCE"/>
    <w:rsid w:val="008821F6"/>
    <w:rsid w:val="00882D98"/>
    <w:rsid w:val="0088371E"/>
    <w:rsid w:val="00883E4F"/>
    <w:rsid w:val="008858DF"/>
    <w:rsid w:val="00891083"/>
    <w:rsid w:val="008913FF"/>
    <w:rsid w:val="00891F2F"/>
    <w:rsid w:val="00892159"/>
    <w:rsid w:val="00893F2A"/>
    <w:rsid w:val="008951FB"/>
    <w:rsid w:val="0089586D"/>
    <w:rsid w:val="00897832"/>
    <w:rsid w:val="00897CDF"/>
    <w:rsid w:val="008A4D5A"/>
    <w:rsid w:val="008A6540"/>
    <w:rsid w:val="008B0F11"/>
    <w:rsid w:val="008B2452"/>
    <w:rsid w:val="008B3AA1"/>
    <w:rsid w:val="008B6641"/>
    <w:rsid w:val="008C0DCE"/>
    <w:rsid w:val="008C22A2"/>
    <w:rsid w:val="008C2CF5"/>
    <w:rsid w:val="008C3B86"/>
    <w:rsid w:val="008C4140"/>
    <w:rsid w:val="008C5203"/>
    <w:rsid w:val="008C57BD"/>
    <w:rsid w:val="008C58F0"/>
    <w:rsid w:val="008C5969"/>
    <w:rsid w:val="008E060E"/>
    <w:rsid w:val="008E4D1B"/>
    <w:rsid w:val="008E5844"/>
    <w:rsid w:val="008E722A"/>
    <w:rsid w:val="008F1AF6"/>
    <w:rsid w:val="008F3F6D"/>
    <w:rsid w:val="008F4360"/>
    <w:rsid w:val="008F53EF"/>
    <w:rsid w:val="008F5876"/>
    <w:rsid w:val="008F74DC"/>
    <w:rsid w:val="00900CB9"/>
    <w:rsid w:val="00902407"/>
    <w:rsid w:val="00903BE2"/>
    <w:rsid w:val="00903E95"/>
    <w:rsid w:val="00910CE7"/>
    <w:rsid w:val="009111A8"/>
    <w:rsid w:val="009115AD"/>
    <w:rsid w:val="00915738"/>
    <w:rsid w:val="00920C12"/>
    <w:rsid w:val="0092164E"/>
    <w:rsid w:val="00924419"/>
    <w:rsid w:val="0092443D"/>
    <w:rsid w:val="00925607"/>
    <w:rsid w:val="009271A2"/>
    <w:rsid w:val="009335A7"/>
    <w:rsid w:val="00933BA1"/>
    <w:rsid w:val="00933C4B"/>
    <w:rsid w:val="009371BC"/>
    <w:rsid w:val="00941B5E"/>
    <w:rsid w:val="00943AE1"/>
    <w:rsid w:val="00945862"/>
    <w:rsid w:val="009468AC"/>
    <w:rsid w:val="00951BE9"/>
    <w:rsid w:val="00952DAA"/>
    <w:rsid w:val="00952E60"/>
    <w:rsid w:val="0095362B"/>
    <w:rsid w:val="00955265"/>
    <w:rsid w:val="00955E55"/>
    <w:rsid w:val="0095752E"/>
    <w:rsid w:val="00960456"/>
    <w:rsid w:val="009616BB"/>
    <w:rsid w:val="00965240"/>
    <w:rsid w:val="00967053"/>
    <w:rsid w:val="00971CB5"/>
    <w:rsid w:val="00971CE1"/>
    <w:rsid w:val="009748E7"/>
    <w:rsid w:val="00974961"/>
    <w:rsid w:val="00975079"/>
    <w:rsid w:val="009757A0"/>
    <w:rsid w:val="0097741F"/>
    <w:rsid w:val="00980CA1"/>
    <w:rsid w:val="009814CF"/>
    <w:rsid w:val="009815B3"/>
    <w:rsid w:val="009829F7"/>
    <w:rsid w:val="009857CC"/>
    <w:rsid w:val="00985ADA"/>
    <w:rsid w:val="00986889"/>
    <w:rsid w:val="00987BBA"/>
    <w:rsid w:val="00990181"/>
    <w:rsid w:val="00990A1E"/>
    <w:rsid w:val="009913F6"/>
    <w:rsid w:val="00991B6F"/>
    <w:rsid w:val="00996365"/>
    <w:rsid w:val="009A1671"/>
    <w:rsid w:val="009A1A33"/>
    <w:rsid w:val="009A2D36"/>
    <w:rsid w:val="009A3769"/>
    <w:rsid w:val="009A3F74"/>
    <w:rsid w:val="009A4609"/>
    <w:rsid w:val="009A4CF1"/>
    <w:rsid w:val="009B4121"/>
    <w:rsid w:val="009C1FC3"/>
    <w:rsid w:val="009C29EE"/>
    <w:rsid w:val="009C4DA2"/>
    <w:rsid w:val="009D2C1A"/>
    <w:rsid w:val="009D2CEC"/>
    <w:rsid w:val="009D40E6"/>
    <w:rsid w:val="009D4221"/>
    <w:rsid w:val="009D4471"/>
    <w:rsid w:val="009D52F1"/>
    <w:rsid w:val="009D6DF1"/>
    <w:rsid w:val="009E0317"/>
    <w:rsid w:val="009E3292"/>
    <w:rsid w:val="009E4F57"/>
    <w:rsid w:val="009E6246"/>
    <w:rsid w:val="009E7BA2"/>
    <w:rsid w:val="009F2CE7"/>
    <w:rsid w:val="009F5745"/>
    <w:rsid w:val="00A007C6"/>
    <w:rsid w:val="00A01AD4"/>
    <w:rsid w:val="00A02331"/>
    <w:rsid w:val="00A0522A"/>
    <w:rsid w:val="00A06B0A"/>
    <w:rsid w:val="00A07354"/>
    <w:rsid w:val="00A12324"/>
    <w:rsid w:val="00A123B7"/>
    <w:rsid w:val="00A140A0"/>
    <w:rsid w:val="00A1617E"/>
    <w:rsid w:val="00A17C57"/>
    <w:rsid w:val="00A20489"/>
    <w:rsid w:val="00A21EF4"/>
    <w:rsid w:val="00A27960"/>
    <w:rsid w:val="00A27C8D"/>
    <w:rsid w:val="00A30EB2"/>
    <w:rsid w:val="00A3209A"/>
    <w:rsid w:val="00A362EE"/>
    <w:rsid w:val="00A40A02"/>
    <w:rsid w:val="00A433A1"/>
    <w:rsid w:val="00A43ED2"/>
    <w:rsid w:val="00A44329"/>
    <w:rsid w:val="00A44B79"/>
    <w:rsid w:val="00A4533F"/>
    <w:rsid w:val="00A458C5"/>
    <w:rsid w:val="00A500D2"/>
    <w:rsid w:val="00A50FC3"/>
    <w:rsid w:val="00A51109"/>
    <w:rsid w:val="00A54584"/>
    <w:rsid w:val="00A54AF2"/>
    <w:rsid w:val="00A54C97"/>
    <w:rsid w:val="00A55B2B"/>
    <w:rsid w:val="00A563D7"/>
    <w:rsid w:val="00A60A0D"/>
    <w:rsid w:val="00A60BC9"/>
    <w:rsid w:val="00A62000"/>
    <w:rsid w:val="00A6475B"/>
    <w:rsid w:val="00A64858"/>
    <w:rsid w:val="00A65016"/>
    <w:rsid w:val="00A717DC"/>
    <w:rsid w:val="00A7233A"/>
    <w:rsid w:val="00A73840"/>
    <w:rsid w:val="00A73B2C"/>
    <w:rsid w:val="00A763E4"/>
    <w:rsid w:val="00A76FF1"/>
    <w:rsid w:val="00A81292"/>
    <w:rsid w:val="00A82609"/>
    <w:rsid w:val="00A845AB"/>
    <w:rsid w:val="00A87B6A"/>
    <w:rsid w:val="00A87DC7"/>
    <w:rsid w:val="00A93028"/>
    <w:rsid w:val="00A93AA1"/>
    <w:rsid w:val="00A96B9B"/>
    <w:rsid w:val="00AA0C11"/>
    <w:rsid w:val="00AB0348"/>
    <w:rsid w:val="00AB1C4F"/>
    <w:rsid w:val="00AB1F1C"/>
    <w:rsid w:val="00AC1016"/>
    <w:rsid w:val="00AC11FC"/>
    <w:rsid w:val="00AC16CE"/>
    <w:rsid w:val="00AC258B"/>
    <w:rsid w:val="00AC3426"/>
    <w:rsid w:val="00AD0C3F"/>
    <w:rsid w:val="00AD5C14"/>
    <w:rsid w:val="00AD744C"/>
    <w:rsid w:val="00AD7AF0"/>
    <w:rsid w:val="00AE1EFC"/>
    <w:rsid w:val="00AE3AD1"/>
    <w:rsid w:val="00AF057E"/>
    <w:rsid w:val="00AF061F"/>
    <w:rsid w:val="00AF0B06"/>
    <w:rsid w:val="00AF4627"/>
    <w:rsid w:val="00AF7A05"/>
    <w:rsid w:val="00B02776"/>
    <w:rsid w:val="00B0616E"/>
    <w:rsid w:val="00B075BC"/>
    <w:rsid w:val="00B10055"/>
    <w:rsid w:val="00B13A63"/>
    <w:rsid w:val="00B1793B"/>
    <w:rsid w:val="00B17B7E"/>
    <w:rsid w:val="00B17FE0"/>
    <w:rsid w:val="00B2003C"/>
    <w:rsid w:val="00B2153B"/>
    <w:rsid w:val="00B2373D"/>
    <w:rsid w:val="00B23A08"/>
    <w:rsid w:val="00B257E1"/>
    <w:rsid w:val="00B260B1"/>
    <w:rsid w:val="00B27268"/>
    <w:rsid w:val="00B309F2"/>
    <w:rsid w:val="00B31ECF"/>
    <w:rsid w:val="00B3546E"/>
    <w:rsid w:val="00B3563D"/>
    <w:rsid w:val="00B37563"/>
    <w:rsid w:val="00B37F4A"/>
    <w:rsid w:val="00B41B39"/>
    <w:rsid w:val="00B422D9"/>
    <w:rsid w:val="00B4290A"/>
    <w:rsid w:val="00B42A42"/>
    <w:rsid w:val="00B44532"/>
    <w:rsid w:val="00B44E4B"/>
    <w:rsid w:val="00B46368"/>
    <w:rsid w:val="00B510FF"/>
    <w:rsid w:val="00B5598D"/>
    <w:rsid w:val="00B570CC"/>
    <w:rsid w:val="00B57619"/>
    <w:rsid w:val="00B60005"/>
    <w:rsid w:val="00B60D70"/>
    <w:rsid w:val="00B6380B"/>
    <w:rsid w:val="00B64C72"/>
    <w:rsid w:val="00B654E3"/>
    <w:rsid w:val="00B6646F"/>
    <w:rsid w:val="00B6698C"/>
    <w:rsid w:val="00B763C7"/>
    <w:rsid w:val="00B77C96"/>
    <w:rsid w:val="00B803E3"/>
    <w:rsid w:val="00B82780"/>
    <w:rsid w:val="00B82A42"/>
    <w:rsid w:val="00B83439"/>
    <w:rsid w:val="00B83A70"/>
    <w:rsid w:val="00B83C28"/>
    <w:rsid w:val="00B8528E"/>
    <w:rsid w:val="00B853C4"/>
    <w:rsid w:val="00B85FEE"/>
    <w:rsid w:val="00B87B57"/>
    <w:rsid w:val="00B902E6"/>
    <w:rsid w:val="00B92654"/>
    <w:rsid w:val="00B93B4E"/>
    <w:rsid w:val="00B9402A"/>
    <w:rsid w:val="00B94DA9"/>
    <w:rsid w:val="00B96E2D"/>
    <w:rsid w:val="00B974CC"/>
    <w:rsid w:val="00BA05ED"/>
    <w:rsid w:val="00BA14D8"/>
    <w:rsid w:val="00BA1E96"/>
    <w:rsid w:val="00BA2FF7"/>
    <w:rsid w:val="00BA54EB"/>
    <w:rsid w:val="00BA6375"/>
    <w:rsid w:val="00BA73A1"/>
    <w:rsid w:val="00BB0B7B"/>
    <w:rsid w:val="00BB1B57"/>
    <w:rsid w:val="00BB4440"/>
    <w:rsid w:val="00BB4870"/>
    <w:rsid w:val="00BB70B7"/>
    <w:rsid w:val="00BB7A96"/>
    <w:rsid w:val="00BC1DC2"/>
    <w:rsid w:val="00BC55CA"/>
    <w:rsid w:val="00BD0F8D"/>
    <w:rsid w:val="00BD2C54"/>
    <w:rsid w:val="00BD2DE8"/>
    <w:rsid w:val="00BD646C"/>
    <w:rsid w:val="00BD6BBD"/>
    <w:rsid w:val="00BE2419"/>
    <w:rsid w:val="00BE27E5"/>
    <w:rsid w:val="00BE2BB8"/>
    <w:rsid w:val="00BE4697"/>
    <w:rsid w:val="00BE49F5"/>
    <w:rsid w:val="00BE4EC9"/>
    <w:rsid w:val="00BE67DE"/>
    <w:rsid w:val="00BE7034"/>
    <w:rsid w:val="00BE7B7B"/>
    <w:rsid w:val="00BF0B06"/>
    <w:rsid w:val="00BF21BC"/>
    <w:rsid w:val="00BF3F87"/>
    <w:rsid w:val="00BF3FF1"/>
    <w:rsid w:val="00BF509C"/>
    <w:rsid w:val="00C01B83"/>
    <w:rsid w:val="00C02A63"/>
    <w:rsid w:val="00C04163"/>
    <w:rsid w:val="00C068BD"/>
    <w:rsid w:val="00C117D3"/>
    <w:rsid w:val="00C1236A"/>
    <w:rsid w:val="00C12BE7"/>
    <w:rsid w:val="00C1367F"/>
    <w:rsid w:val="00C157D5"/>
    <w:rsid w:val="00C1594E"/>
    <w:rsid w:val="00C16FC5"/>
    <w:rsid w:val="00C1727B"/>
    <w:rsid w:val="00C172FF"/>
    <w:rsid w:val="00C17FDA"/>
    <w:rsid w:val="00C20783"/>
    <w:rsid w:val="00C21B08"/>
    <w:rsid w:val="00C260B6"/>
    <w:rsid w:val="00C26956"/>
    <w:rsid w:val="00C27207"/>
    <w:rsid w:val="00C3103A"/>
    <w:rsid w:val="00C40A82"/>
    <w:rsid w:val="00C457AE"/>
    <w:rsid w:val="00C465A7"/>
    <w:rsid w:val="00C47347"/>
    <w:rsid w:val="00C50206"/>
    <w:rsid w:val="00C52E8A"/>
    <w:rsid w:val="00C52F42"/>
    <w:rsid w:val="00C53732"/>
    <w:rsid w:val="00C55A5F"/>
    <w:rsid w:val="00C565CE"/>
    <w:rsid w:val="00C56E29"/>
    <w:rsid w:val="00C573CF"/>
    <w:rsid w:val="00C6014D"/>
    <w:rsid w:val="00C6039F"/>
    <w:rsid w:val="00C60688"/>
    <w:rsid w:val="00C61247"/>
    <w:rsid w:val="00C61947"/>
    <w:rsid w:val="00C63DF9"/>
    <w:rsid w:val="00C707B4"/>
    <w:rsid w:val="00C74BF5"/>
    <w:rsid w:val="00C838EB"/>
    <w:rsid w:val="00C850C3"/>
    <w:rsid w:val="00C85B1B"/>
    <w:rsid w:val="00C92F67"/>
    <w:rsid w:val="00C93DDD"/>
    <w:rsid w:val="00C94370"/>
    <w:rsid w:val="00C971F7"/>
    <w:rsid w:val="00CA3A1E"/>
    <w:rsid w:val="00CA5EAD"/>
    <w:rsid w:val="00CA5F04"/>
    <w:rsid w:val="00CB3C81"/>
    <w:rsid w:val="00CB53AC"/>
    <w:rsid w:val="00CB57D3"/>
    <w:rsid w:val="00CB5B80"/>
    <w:rsid w:val="00CB74C8"/>
    <w:rsid w:val="00CB77B2"/>
    <w:rsid w:val="00CB7B65"/>
    <w:rsid w:val="00CB7B81"/>
    <w:rsid w:val="00CC1FF9"/>
    <w:rsid w:val="00CC26C3"/>
    <w:rsid w:val="00CC26E4"/>
    <w:rsid w:val="00CC5B7C"/>
    <w:rsid w:val="00CC65A8"/>
    <w:rsid w:val="00CC67D0"/>
    <w:rsid w:val="00CC7DC5"/>
    <w:rsid w:val="00CD0A92"/>
    <w:rsid w:val="00CD4844"/>
    <w:rsid w:val="00CD5CB0"/>
    <w:rsid w:val="00CD732C"/>
    <w:rsid w:val="00CD7FA4"/>
    <w:rsid w:val="00CE319C"/>
    <w:rsid w:val="00CE538E"/>
    <w:rsid w:val="00CE5F83"/>
    <w:rsid w:val="00CE6B5B"/>
    <w:rsid w:val="00CE7335"/>
    <w:rsid w:val="00CE787B"/>
    <w:rsid w:val="00CE7CC9"/>
    <w:rsid w:val="00CE7E80"/>
    <w:rsid w:val="00CF0A0D"/>
    <w:rsid w:val="00CF20AF"/>
    <w:rsid w:val="00CF4711"/>
    <w:rsid w:val="00CF5FAB"/>
    <w:rsid w:val="00CF62F8"/>
    <w:rsid w:val="00CF6E52"/>
    <w:rsid w:val="00D05E20"/>
    <w:rsid w:val="00D139A5"/>
    <w:rsid w:val="00D13CC2"/>
    <w:rsid w:val="00D16F00"/>
    <w:rsid w:val="00D17744"/>
    <w:rsid w:val="00D2020A"/>
    <w:rsid w:val="00D20773"/>
    <w:rsid w:val="00D20987"/>
    <w:rsid w:val="00D2099F"/>
    <w:rsid w:val="00D21659"/>
    <w:rsid w:val="00D2199E"/>
    <w:rsid w:val="00D23C20"/>
    <w:rsid w:val="00D30F73"/>
    <w:rsid w:val="00D31875"/>
    <w:rsid w:val="00D34DBB"/>
    <w:rsid w:val="00D369D0"/>
    <w:rsid w:val="00D40E08"/>
    <w:rsid w:val="00D43756"/>
    <w:rsid w:val="00D43E59"/>
    <w:rsid w:val="00D44DDF"/>
    <w:rsid w:val="00D45147"/>
    <w:rsid w:val="00D47021"/>
    <w:rsid w:val="00D47FF5"/>
    <w:rsid w:val="00D52932"/>
    <w:rsid w:val="00D54866"/>
    <w:rsid w:val="00D54A0B"/>
    <w:rsid w:val="00D60537"/>
    <w:rsid w:val="00D609A2"/>
    <w:rsid w:val="00D60EDB"/>
    <w:rsid w:val="00D63072"/>
    <w:rsid w:val="00D63CAB"/>
    <w:rsid w:val="00D74236"/>
    <w:rsid w:val="00D74EE0"/>
    <w:rsid w:val="00D74EFF"/>
    <w:rsid w:val="00D765DF"/>
    <w:rsid w:val="00D806FA"/>
    <w:rsid w:val="00D80C2C"/>
    <w:rsid w:val="00D815A9"/>
    <w:rsid w:val="00D825A6"/>
    <w:rsid w:val="00D83FA8"/>
    <w:rsid w:val="00D874A7"/>
    <w:rsid w:val="00D91D94"/>
    <w:rsid w:val="00D92C87"/>
    <w:rsid w:val="00D93F56"/>
    <w:rsid w:val="00D968EE"/>
    <w:rsid w:val="00D96CA1"/>
    <w:rsid w:val="00D96F2B"/>
    <w:rsid w:val="00D97B6B"/>
    <w:rsid w:val="00DA1392"/>
    <w:rsid w:val="00DA34CC"/>
    <w:rsid w:val="00DA39F8"/>
    <w:rsid w:val="00DA456F"/>
    <w:rsid w:val="00DA545A"/>
    <w:rsid w:val="00DA5FB6"/>
    <w:rsid w:val="00DA64C8"/>
    <w:rsid w:val="00DA6A50"/>
    <w:rsid w:val="00DA7ABD"/>
    <w:rsid w:val="00DA7E64"/>
    <w:rsid w:val="00DB00AD"/>
    <w:rsid w:val="00DB1DD1"/>
    <w:rsid w:val="00DB5284"/>
    <w:rsid w:val="00DB566E"/>
    <w:rsid w:val="00DB6F7B"/>
    <w:rsid w:val="00DC1215"/>
    <w:rsid w:val="00DC4000"/>
    <w:rsid w:val="00DC46D1"/>
    <w:rsid w:val="00DD14E3"/>
    <w:rsid w:val="00DD5C9C"/>
    <w:rsid w:val="00DE0578"/>
    <w:rsid w:val="00DE12E1"/>
    <w:rsid w:val="00DE14AF"/>
    <w:rsid w:val="00DE1DA3"/>
    <w:rsid w:val="00DE3314"/>
    <w:rsid w:val="00DE4C54"/>
    <w:rsid w:val="00DE639D"/>
    <w:rsid w:val="00DF1B80"/>
    <w:rsid w:val="00DF245E"/>
    <w:rsid w:val="00DF37EE"/>
    <w:rsid w:val="00DF3D2D"/>
    <w:rsid w:val="00E020E1"/>
    <w:rsid w:val="00E02D6F"/>
    <w:rsid w:val="00E04499"/>
    <w:rsid w:val="00E048A9"/>
    <w:rsid w:val="00E04A08"/>
    <w:rsid w:val="00E05D3E"/>
    <w:rsid w:val="00E109AC"/>
    <w:rsid w:val="00E145A9"/>
    <w:rsid w:val="00E15A82"/>
    <w:rsid w:val="00E17E38"/>
    <w:rsid w:val="00E210A9"/>
    <w:rsid w:val="00E22973"/>
    <w:rsid w:val="00E249A1"/>
    <w:rsid w:val="00E27EF8"/>
    <w:rsid w:val="00E312A1"/>
    <w:rsid w:val="00E35781"/>
    <w:rsid w:val="00E359FF"/>
    <w:rsid w:val="00E36447"/>
    <w:rsid w:val="00E3671D"/>
    <w:rsid w:val="00E369C2"/>
    <w:rsid w:val="00E36C1C"/>
    <w:rsid w:val="00E37F4B"/>
    <w:rsid w:val="00E37F6A"/>
    <w:rsid w:val="00E4527F"/>
    <w:rsid w:val="00E47307"/>
    <w:rsid w:val="00E4793A"/>
    <w:rsid w:val="00E5212B"/>
    <w:rsid w:val="00E54E1B"/>
    <w:rsid w:val="00E60BDD"/>
    <w:rsid w:val="00E60CAC"/>
    <w:rsid w:val="00E631A0"/>
    <w:rsid w:val="00E63DC2"/>
    <w:rsid w:val="00E64707"/>
    <w:rsid w:val="00E6608E"/>
    <w:rsid w:val="00E70AA6"/>
    <w:rsid w:val="00E7140F"/>
    <w:rsid w:val="00E75245"/>
    <w:rsid w:val="00E757B6"/>
    <w:rsid w:val="00E80A17"/>
    <w:rsid w:val="00E8123B"/>
    <w:rsid w:val="00E82CF3"/>
    <w:rsid w:val="00E83247"/>
    <w:rsid w:val="00E84BA0"/>
    <w:rsid w:val="00E92016"/>
    <w:rsid w:val="00E94242"/>
    <w:rsid w:val="00E9794C"/>
    <w:rsid w:val="00EA1B87"/>
    <w:rsid w:val="00EA3836"/>
    <w:rsid w:val="00EA4FF8"/>
    <w:rsid w:val="00EA53B5"/>
    <w:rsid w:val="00EB2A60"/>
    <w:rsid w:val="00EB5480"/>
    <w:rsid w:val="00EB5AB2"/>
    <w:rsid w:val="00EB5C36"/>
    <w:rsid w:val="00EB5EA6"/>
    <w:rsid w:val="00EC0066"/>
    <w:rsid w:val="00EC27AD"/>
    <w:rsid w:val="00EC7F0A"/>
    <w:rsid w:val="00ED0249"/>
    <w:rsid w:val="00ED3290"/>
    <w:rsid w:val="00ED446A"/>
    <w:rsid w:val="00ED5508"/>
    <w:rsid w:val="00ED6E29"/>
    <w:rsid w:val="00ED7E12"/>
    <w:rsid w:val="00EE30BE"/>
    <w:rsid w:val="00EE3F20"/>
    <w:rsid w:val="00EE4A2E"/>
    <w:rsid w:val="00EE4D81"/>
    <w:rsid w:val="00EE6946"/>
    <w:rsid w:val="00EE7BD0"/>
    <w:rsid w:val="00EF2665"/>
    <w:rsid w:val="00EF30AE"/>
    <w:rsid w:val="00EF35C7"/>
    <w:rsid w:val="00EF4A35"/>
    <w:rsid w:val="00EF5B6F"/>
    <w:rsid w:val="00EF6A7F"/>
    <w:rsid w:val="00F01EAB"/>
    <w:rsid w:val="00F03C59"/>
    <w:rsid w:val="00F048D7"/>
    <w:rsid w:val="00F05B4D"/>
    <w:rsid w:val="00F110BC"/>
    <w:rsid w:val="00F14481"/>
    <w:rsid w:val="00F14F1E"/>
    <w:rsid w:val="00F15F58"/>
    <w:rsid w:val="00F2154B"/>
    <w:rsid w:val="00F2399A"/>
    <w:rsid w:val="00F23C29"/>
    <w:rsid w:val="00F270B2"/>
    <w:rsid w:val="00F2740B"/>
    <w:rsid w:val="00F27450"/>
    <w:rsid w:val="00F31303"/>
    <w:rsid w:val="00F32448"/>
    <w:rsid w:val="00F35F17"/>
    <w:rsid w:val="00F40167"/>
    <w:rsid w:val="00F421DB"/>
    <w:rsid w:val="00F4353E"/>
    <w:rsid w:val="00F43C19"/>
    <w:rsid w:val="00F440A3"/>
    <w:rsid w:val="00F455F0"/>
    <w:rsid w:val="00F45A2F"/>
    <w:rsid w:val="00F47872"/>
    <w:rsid w:val="00F50C11"/>
    <w:rsid w:val="00F51FBC"/>
    <w:rsid w:val="00F52B5F"/>
    <w:rsid w:val="00F54387"/>
    <w:rsid w:val="00F55DDD"/>
    <w:rsid w:val="00F57FE5"/>
    <w:rsid w:val="00F64B4A"/>
    <w:rsid w:val="00F71A2F"/>
    <w:rsid w:val="00F7229B"/>
    <w:rsid w:val="00F73818"/>
    <w:rsid w:val="00F740EA"/>
    <w:rsid w:val="00F74A25"/>
    <w:rsid w:val="00F7639B"/>
    <w:rsid w:val="00F763B8"/>
    <w:rsid w:val="00F7695C"/>
    <w:rsid w:val="00F81FC0"/>
    <w:rsid w:val="00F83DC3"/>
    <w:rsid w:val="00F83E38"/>
    <w:rsid w:val="00F84A9B"/>
    <w:rsid w:val="00F85B28"/>
    <w:rsid w:val="00F86250"/>
    <w:rsid w:val="00F86812"/>
    <w:rsid w:val="00F92001"/>
    <w:rsid w:val="00F921EB"/>
    <w:rsid w:val="00F92553"/>
    <w:rsid w:val="00F92AF6"/>
    <w:rsid w:val="00F942E5"/>
    <w:rsid w:val="00F95DEF"/>
    <w:rsid w:val="00F96071"/>
    <w:rsid w:val="00F961A2"/>
    <w:rsid w:val="00F978B8"/>
    <w:rsid w:val="00FA1EC9"/>
    <w:rsid w:val="00FA32CC"/>
    <w:rsid w:val="00FA4786"/>
    <w:rsid w:val="00FA4CC8"/>
    <w:rsid w:val="00FA7A1D"/>
    <w:rsid w:val="00FB403F"/>
    <w:rsid w:val="00FB4628"/>
    <w:rsid w:val="00FB547E"/>
    <w:rsid w:val="00FB5DD8"/>
    <w:rsid w:val="00FB7F67"/>
    <w:rsid w:val="00FC3A54"/>
    <w:rsid w:val="00FC5B3E"/>
    <w:rsid w:val="00FC6132"/>
    <w:rsid w:val="00FC7FEB"/>
    <w:rsid w:val="00FD1D51"/>
    <w:rsid w:val="00FD5F59"/>
    <w:rsid w:val="00FD6D1C"/>
    <w:rsid w:val="00FE10D2"/>
    <w:rsid w:val="00FE3C0F"/>
    <w:rsid w:val="00FE41C3"/>
    <w:rsid w:val="00FE45B6"/>
    <w:rsid w:val="00FE69D9"/>
    <w:rsid w:val="00FE7D58"/>
    <w:rsid w:val="00FF189C"/>
    <w:rsid w:val="00FF3F30"/>
    <w:rsid w:val="00FF542D"/>
    <w:rsid w:val="00FF572E"/>
    <w:rsid w:val="00FF6263"/>
  </w:rsids>
  <w:docVars>
    <w:docVar w:name="Registered" w:val="-1"/>
    <w:docVar w:name="Version" w:val="0"/>
  </w:docVars>
  <m:mathPr>
    <m:mathFont m:val="Cambria Math"/>
    <m:smallFrac/>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14:docId w14:val="268D447C"/>
  <w15:docId w15:val="{9CC3CD2D-CA6F-46AF-AE8D-F54FB6016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B41"/>
    <w:rPr>
      <w:sz w:val="24"/>
      <w:szCs w:val="24"/>
    </w:rPr>
  </w:style>
  <w:style w:type="paragraph" w:styleId="Heading1">
    <w:name w:val="heading 1"/>
    <w:basedOn w:val="Normal"/>
    <w:next w:val="Normal"/>
    <w:qFormat/>
    <w:rsid w:val="006A3057"/>
    <w:pPr>
      <w:tabs>
        <w:tab w:val="left" w:pos="567"/>
      </w:tabs>
      <w:spacing w:before="240" w:after="120" w:line="260" w:lineRule="exact"/>
      <w:ind w:left="357" w:hanging="357"/>
      <w:outlineLvl w:val="0"/>
    </w:pPr>
    <w:rPr>
      <w:b/>
      <w:bCs/>
      <w:caps/>
      <w:sz w:val="26"/>
      <w:szCs w:val="26"/>
      <w:lang w:val="en-US" w:eastAsia="en-US"/>
    </w:rPr>
  </w:style>
  <w:style w:type="paragraph" w:styleId="Heading2">
    <w:name w:val="heading 2"/>
    <w:basedOn w:val="Normal"/>
    <w:next w:val="Normal"/>
    <w:qFormat/>
    <w:rsid w:val="006A3057"/>
    <w:pPr>
      <w:keepNext/>
      <w:tabs>
        <w:tab w:val="left" w:pos="567"/>
      </w:tabs>
      <w:spacing w:before="240" w:after="60" w:line="260" w:lineRule="exact"/>
      <w:outlineLvl w:val="1"/>
    </w:pPr>
    <w:rPr>
      <w:rFonts w:ascii="Helvetica" w:hAnsi="Helvetica" w:cs="Helvetica"/>
      <w:b/>
      <w:bCs/>
      <w:i/>
      <w:iCs/>
      <w:lang w:val="en-GB" w:eastAsia="en-US"/>
    </w:rPr>
  </w:style>
  <w:style w:type="paragraph" w:styleId="Heading3">
    <w:name w:val="heading 3"/>
    <w:basedOn w:val="Normal"/>
    <w:next w:val="Normal"/>
    <w:qFormat/>
    <w:rsid w:val="006A3057"/>
    <w:pPr>
      <w:keepNext/>
      <w:jc w:val="both"/>
      <w:outlineLvl w:val="2"/>
    </w:pPr>
    <w:rPr>
      <w:sz w:val="22"/>
      <w:szCs w:val="22"/>
      <w:u w:val="single"/>
    </w:rPr>
  </w:style>
  <w:style w:type="paragraph" w:styleId="Heading4">
    <w:name w:val="heading 4"/>
    <w:basedOn w:val="Normal"/>
    <w:next w:val="Normal"/>
    <w:link w:val="Heading4Char"/>
    <w:qFormat/>
    <w:rsid w:val="006A3057"/>
    <w:pPr>
      <w:keepNext/>
      <w:tabs>
        <w:tab w:val="left" w:pos="567"/>
      </w:tabs>
      <w:spacing w:line="260" w:lineRule="exact"/>
      <w:jc w:val="both"/>
      <w:outlineLvl w:val="3"/>
    </w:pPr>
    <w:rPr>
      <w:b/>
      <w:bCs/>
      <w:noProof/>
      <w:sz w:val="22"/>
      <w:szCs w:val="22"/>
      <w:lang w:val="en-GB" w:eastAsia="en-US"/>
    </w:rPr>
  </w:style>
  <w:style w:type="paragraph" w:styleId="Heading5">
    <w:name w:val="heading 5"/>
    <w:basedOn w:val="Normal"/>
    <w:next w:val="Normal"/>
    <w:qFormat/>
    <w:rsid w:val="006A3057"/>
    <w:pPr>
      <w:keepNext/>
      <w:jc w:val="center"/>
      <w:outlineLvl w:val="4"/>
    </w:pPr>
    <w:rPr>
      <w:b/>
      <w:bCs/>
      <w:sz w:val="22"/>
      <w:szCs w:val="22"/>
      <w:lang w:val="en-US"/>
    </w:rPr>
  </w:style>
  <w:style w:type="paragraph" w:styleId="Heading6">
    <w:name w:val="heading 6"/>
    <w:basedOn w:val="Normal"/>
    <w:next w:val="Normal"/>
    <w:link w:val="Heading6Char"/>
    <w:qFormat/>
    <w:rsid w:val="006A3057"/>
    <w:pPr>
      <w:keepNext/>
      <w:outlineLvl w:val="5"/>
    </w:pPr>
    <w:rPr>
      <w:b/>
      <w:bCs/>
      <w:sz w:val="22"/>
      <w:szCs w:val="22"/>
      <w:lang w:val="de-DE"/>
    </w:rPr>
  </w:style>
  <w:style w:type="paragraph" w:styleId="Heading7">
    <w:name w:val="heading 7"/>
    <w:basedOn w:val="Normal"/>
    <w:next w:val="Normal"/>
    <w:qFormat/>
    <w:rsid w:val="006A3057"/>
    <w:pPr>
      <w:keepNext/>
      <w:tabs>
        <w:tab w:val="left" w:pos="-720"/>
        <w:tab w:val="left" w:pos="567"/>
        <w:tab w:val="left" w:pos="4536"/>
      </w:tabs>
      <w:suppressAutoHyphens/>
      <w:spacing w:line="260" w:lineRule="exact"/>
      <w:jc w:val="both"/>
      <w:outlineLvl w:val="6"/>
    </w:pPr>
    <w:rPr>
      <w:i/>
      <w:iCs/>
      <w:sz w:val="22"/>
      <w:szCs w:val="22"/>
      <w:lang w:val="en-GB" w:eastAsia="en-US"/>
    </w:rPr>
  </w:style>
  <w:style w:type="paragraph" w:styleId="Heading8">
    <w:name w:val="heading 8"/>
    <w:basedOn w:val="Normal"/>
    <w:next w:val="Normal"/>
    <w:qFormat/>
    <w:rsid w:val="006A3057"/>
    <w:pPr>
      <w:keepNext/>
      <w:numPr>
        <w:ilvl w:val="12"/>
      </w:numPr>
      <w:ind w:right="-2"/>
      <w:outlineLvl w:val="7"/>
    </w:pPr>
    <w:rPr>
      <w:b/>
      <w:bCs/>
      <w:sz w:val="22"/>
      <w:szCs w:val="22"/>
    </w:rPr>
  </w:style>
  <w:style w:type="paragraph" w:styleId="Heading9">
    <w:name w:val="heading 9"/>
    <w:basedOn w:val="Normal"/>
    <w:next w:val="Normal"/>
    <w:qFormat/>
    <w:rsid w:val="006A3057"/>
    <w:pPr>
      <w:keepNext/>
      <w:outlineLvl w:val="8"/>
    </w:pPr>
    <w:rPr>
      <w:b/>
      <w:bCs/>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rsid w:val="006A3057"/>
    <w:pPr>
      <w:tabs>
        <w:tab w:val="left" w:pos="1152"/>
        <w:tab w:val="left" w:pos="1872"/>
      </w:tabs>
      <w:overflowPunct w:val="0"/>
      <w:autoSpaceDE w:val="0"/>
      <w:autoSpaceDN w:val="0"/>
      <w:adjustRightInd w:val="0"/>
      <w:spacing w:after="240" w:line="288" w:lineRule="auto"/>
      <w:ind w:left="1151"/>
      <w:jc w:val="both"/>
      <w:textAlignment w:val="baseline"/>
    </w:pPr>
    <w:rPr>
      <w:sz w:val="24"/>
      <w:szCs w:val="24"/>
      <w:lang w:val="en-US" w:eastAsia="en-US"/>
    </w:rPr>
  </w:style>
  <w:style w:type="paragraph" w:customStyle="1" w:styleId="In-texttable">
    <w:name w:val="In-text table"/>
    <w:basedOn w:val="Normal"/>
    <w:rsid w:val="006A3057"/>
    <w:pPr>
      <w:keepNext/>
      <w:overflowPunct w:val="0"/>
      <w:autoSpaceDE w:val="0"/>
      <w:autoSpaceDN w:val="0"/>
      <w:adjustRightInd w:val="0"/>
      <w:spacing w:line="288" w:lineRule="auto"/>
      <w:textAlignment w:val="baseline"/>
    </w:pPr>
    <w:rPr>
      <w:rFonts w:ascii="Arial" w:hAnsi="Arial" w:cs="Arial"/>
      <w:sz w:val="16"/>
      <w:szCs w:val="16"/>
      <w:lang w:val="en-US" w:eastAsia="en-US"/>
    </w:rPr>
  </w:style>
  <w:style w:type="paragraph" w:customStyle="1" w:styleId="In-textfootnote">
    <w:name w:val="In-text footnote"/>
    <w:basedOn w:val="In-texttable"/>
    <w:rsid w:val="006A3057"/>
    <w:pPr>
      <w:tabs>
        <w:tab w:val="left" w:pos="142"/>
      </w:tabs>
      <w:spacing w:before="40"/>
      <w:ind w:left="142" w:hanging="142"/>
    </w:pPr>
  </w:style>
  <w:style w:type="paragraph" w:styleId="EndnoteText">
    <w:name w:val="endnote text"/>
    <w:basedOn w:val="Normal"/>
    <w:next w:val="Normal"/>
    <w:link w:val="EndnoteTextChar"/>
    <w:semiHidden/>
    <w:rsid w:val="006A3057"/>
    <w:pPr>
      <w:tabs>
        <w:tab w:val="left" w:pos="567"/>
      </w:tabs>
    </w:pPr>
    <w:rPr>
      <w:sz w:val="22"/>
      <w:szCs w:val="22"/>
      <w:lang w:val="en-GB" w:eastAsia="en-US"/>
    </w:rPr>
  </w:style>
  <w:style w:type="paragraph" w:styleId="BodyTextIndent">
    <w:name w:val="Body Text Indent"/>
    <w:basedOn w:val="Normal"/>
    <w:link w:val="BodyTextIndentChar"/>
    <w:rsid w:val="006A3057"/>
    <w:pPr>
      <w:autoSpaceDE w:val="0"/>
      <w:autoSpaceDN w:val="0"/>
      <w:adjustRightInd w:val="0"/>
      <w:jc w:val="both"/>
    </w:pPr>
    <w:rPr>
      <w:color w:val="000000"/>
      <w:sz w:val="22"/>
      <w:szCs w:val="22"/>
      <w:lang w:eastAsia="en-US"/>
    </w:rPr>
  </w:style>
  <w:style w:type="paragraph" w:styleId="CommentText">
    <w:name w:val="annotation text"/>
    <w:basedOn w:val="Normal"/>
    <w:link w:val="CommentTextChar"/>
    <w:semiHidden/>
    <w:rsid w:val="006A3057"/>
    <w:pPr>
      <w:tabs>
        <w:tab w:val="left" w:pos="567"/>
      </w:tabs>
      <w:spacing w:line="260" w:lineRule="exact"/>
    </w:pPr>
    <w:rPr>
      <w:sz w:val="20"/>
      <w:szCs w:val="20"/>
      <w:lang w:val="en-GB" w:eastAsia="en-US"/>
    </w:rPr>
  </w:style>
  <w:style w:type="paragraph" w:styleId="Header">
    <w:name w:val="header"/>
    <w:basedOn w:val="Normal"/>
    <w:rsid w:val="006A3057"/>
    <w:pPr>
      <w:tabs>
        <w:tab w:val="left" w:pos="567"/>
        <w:tab w:val="center" w:pos="4153"/>
        <w:tab w:val="right" w:pos="8306"/>
      </w:tabs>
    </w:pPr>
    <w:rPr>
      <w:rFonts w:ascii="Helvetica" w:hAnsi="Helvetica" w:cs="Helvetica"/>
      <w:sz w:val="20"/>
      <w:szCs w:val="20"/>
      <w:lang w:val="en-GB" w:eastAsia="en-US"/>
    </w:rPr>
  </w:style>
  <w:style w:type="paragraph" w:styleId="BodyText">
    <w:name w:val="Body Text"/>
    <w:basedOn w:val="Normal"/>
    <w:rsid w:val="006A3057"/>
    <w:pPr>
      <w:jc w:val="both"/>
    </w:pPr>
    <w:rPr>
      <w:sz w:val="22"/>
      <w:szCs w:val="22"/>
    </w:rPr>
  </w:style>
  <w:style w:type="paragraph" w:styleId="Index1">
    <w:name w:val="index 1"/>
    <w:basedOn w:val="Normal"/>
    <w:next w:val="Normal"/>
    <w:autoRedefine/>
    <w:semiHidden/>
    <w:rsid w:val="006A3057"/>
    <w:pPr>
      <w:spacing w:line="260" w:lineRule="atLeast"/>
      <w:ind w:left="220" w:hanging="220"/>
    </w:pPr>
    <w:rPr>
      <w:sz w:val="22"/>
      <w:szCs w:val="22"/>
      <w:lang w:val="en-GB" w:eastAsia="en-US"/>
    </w:rPr>
  </w:style>
  <w:style w:type="paragraph" w:styleId="IndexHeading">
    <w:name w:val="index heading"/>
    <w:basedOn w:val="Normal"/>
    <w:next w:val="Index1"/>
    <w:semiHidden/>
    <w:rsid w:val="006A3057"/>
    <w:pPr>
      <w:tabs>
        <w:tab w:val="left" w:pos="567"/>
      </w:tabs>
      <w:spacing w:line="260" w:lineRule="atLeast"/>
    </w:pPr>
    <w:rPr>
      <w:rFonts w:ascii="Arial" w:hAnsi="Arial" w:cs="Arial"/>
      <w:b/>
      <w:bCs/>
      <w:sz w:val="22"/>
      <w:szCs w:val="22"/>
      <w:lang w:val="en-GB" w:eastAsia="en-US"/>
    </w:rPr>
  </w:style>
  <w:style w:type="paragraph" w:styleId="Title">
    <w:name w:val="Title"/>
    <w:basedOn w:val="Normal"/>
    <w:qFormat/>
    <w:rsid w:val="006A3057"/>
    <w:pPr>
      <w:jc w:val="center"/>
    </w:pPr>
    <w:rPr>
      <w:b/>
      <w:bCs/>
    </w:rPr>
  </w:style>
  <w:style w:type="paragraph" w:styleId="BodyText3">
    <w:name w:val="Body Text 3"/>
    <w:basedOn w:val="Normal"/>
    <w:rsid w:val="006A3057"/>
    <w:pPr>
      <w:jc w:val="both"/>
    </w:pPr>
    <w:rPr>
      <w:sz w:val="22"/>
      <w:szCs w:val="22"/>
    </w:rPr>
  </w:style>
  <w:style w:type="character" w:styleId="PageNumber">
    <w:name w:val="page number"/>
    <w:basedOn w:val="DefaultParagraphFont"/>
    <w:rsid w:val="006A3057"/>
  </w:style>
  <w:style w:type="paragraph" w:styleId="Footer">
    <w:name w:val="footer"/>
    <w:basedOn w:val="Normal"/>
    <w:link w:val="FooterChar"/>
    <w:rsid w:val="006A3057"/>
    <w:pPr>
      <w:tabs>
        <w:tab w:val="left" w:pos="567"/>
        <w:tab w:val="center" w:pos="4536"/>
        <w:tab w:val="center" w:pos="8930"/>
      </w:tabs>
    </w:pPr>
    <w:rPr>
      <w:rFonts w:ascii="Arial" w:hAnsi="Arial" w:cs="Arial"/>
      <w:sz w:val="16"/>
      <w:szCs w:val="16"/>
      <w:lang w:val="en-GB" w:eastAsia="en-US"/>
    </w:rPr>
  </w:style>
  <w:style w:type="paragraph" w:styleId="BlockText">
    <w:name w:val="Block Text"/>
    <w:basedOn w:val="Normal"/>
    <w:rsid w:val="006A3057"/>
    <w:pPr>
      <w:ind w:left="1620" w:right="1330" w:hanging="540"/>
    </w:pPr>
    <w:rPr>
      <w:b/>
      <w:bCs/>
      <w:sz w:val="22"/>
      <w:szCs w:val="22"/>
    </w:rPr>
  </w:style>
  <w:style w:type="paragraph" w:styleId="BodyTextIndent2">
    <w:name w:val="Body Text Indent 2"/>
    <w:basedOn w:val="Normal"/>
    <w:rsid w:val="006A3057"/>
    <w:pPr>
      <w:tabs>
        <w:tab w:val="left" w:pos="562"/>
      </w:tabs>
      <w:suppressAutoHyphens/>
      <w:ind w:left="567" w:hanging="567"/>
      <w:jc w:val="both"/>
    </w:pPr>
    <w:rPr>
      <w:b/>
      <w:bCs/>
      <w:sz w:val="22"/>
      <w:szCs w:val="22"/>
      <w:lang w:val="en-US" w:eastAsia="en-US"/>
    </w:rPr>
  </w:style>
  <w:style w:type="paragraph" w:customStyle="1" w:styleId="EMEAFigureTitle">
    <w:name w:val="EMEA Figure Title"/>
    <w:basedOn w:val="EMEANormal"/>
    <w:next w:val="EMEANormal"/>
    <w:rsid w:val="006A3057"/>
  </w:style>
  <w:style w:type="paragraph" w:customStyle="1" w:styleId="EMEANormal">
    <w:name w:val="EMEA Normal"/>
    <w:link w:val="EMEANormalChar"/>
    <w:rsid w:val="006A3057"/>
    <w:pPr>
      <w:tabs>
        <w:tab w:val="left" w:pos="562"/>
      </w:tabs>
      <w:suppressAutoHyphens/>
    </w:pPr>
    <w:rPr>
      <w:sz w:val="22"/>
      <w:szCs w:val="22"/>
      <w:lang w:val="en-US" w:eastAsia="en-US"/>
    </w:rPr>
  </w:style>
  <w:style w:type="paragraph" w:styleId="BodyTextIndent3">
    <w:name w:val="Body Text Indent 3"/>
    <w:basedOn w:val="Normal"/>
    <w:rsid w:val="006A3057"/>
    <w:pPr>
      <w:ind w:hanging="27"/>
    </w:pPr>
    <w:rPr>
      <w:sz w:val="22"/>
      <w:szCs w:val="22"/>
    </w:rPr>
  </w:style>
  <w:style w:type="paragraph" w:customStyle="1" w:styleId="EMEATitle">
    <w:name w:val="EMEA Title"/>
    <w:rsid w:val="006A3057"/>
    <w:pPr>
      <w:tabs>
        <w:tab w:val="left" w:pos="562"/>
      </w:tabs>
      <w:suppressAutoHyphens/>
      <w:jc w:val="center"/>
    </w:pPr>
    <w:rPr>
      <w:rFonts w:ascii="Times New Roman Bold" w:hAnsi="Times New Roman Bold"/>
      <w:b/>
      <w:bCs/>
      <w:caps/>
      <w:sz w:val="22"/>
      <w:szCs w:val="22"/>
      <w:lang w:val="en-US" w:eastAsia="en-US"/>
    </w:rPr>
  </w:style>
  <w:style w:type="paragraph" w:customStyle="1" w:styleId="DefaultText">
    <w:name w:val="Default Text"/>
    <w:basedOn w:val="Normal"/>
    <w:rsid w:val="006A3057"/>
    <w:pPr>
      <w:overflowPunct w:val="0"/>
      <w:autoSpaceDE w:val="0"/>
      <w:autoSpaceDN w:val="0"/>
      <w:adjustRightInd w:val="0"/>
    </w:pPr>
    <w:rPr>
      <w:rFonts w:ascii="Arial" w:hAnsi="Arial" w:cs="Arial"/>
      <w:sz w:val="22"/>
      <w:szCs w:val="22"/>
      <w:lang w:val="en-US" w:eastAsia="en-US"/>
    </w:rPr>
  </w:style>
  <w:style w:type="paragraph" w:styleId="BalloonText">
    <w:name w:val="Balloon Text"/>
    <w:basedOn w:val="Normal"/>
    <w:rsid w:val="006A3057"/>
    <w:rPr>
      <w:rFonts w:ascii="Tahoma" w:hAnsi="Tahoma" w:cs="Tahoma"/>
      <w:sz w:val="16"/>
      <w:szCs w:val="16"/>
    </w:rPr>
  </w:style>
  <w:style w:type="paragraph" w:customStyle="1" w:styleId="EMEAHeadingUnderline">
    <w:name w:val="EMEA Heading Underline"/>
    <w:next w:val="Normal"/>
    <w:rsid w:val="006A3057"/>
    <w:pPr>
      <w:tabs>
        <w:tab w:val="left" w:pos="562"/>
      </w:tabs>
      <w:suppressAutoHyphens/>
      <w:spacing w:beforeLines="100" w:afterLines="100"/>
    </w:pPr>
    <w:rPr>
      <w:sz w:val="22"/>
      <w:szCs w:val="22"/>
      <w:u w:val="single"/>
      <w:lang w:val="en-US" w:eastAsia="en-US"/>
    </w:rPr>
  </w:style>
  <w:style w:type="paragraph" w:customStyle="1" w:styleId="TableText">
    <w:name w:val="Table Text"/>
    <w:rsid w:val="006A3057"/>
    <w:pPr>
      <w:keepNext/>
      <w:keepLines/>
      <w:tabs>
        <w:tab w:val="left" w:pos="360"/>
      </w:tabs>
      <w:suppressAutoHyphens/>
      <w:spacing w:before="40" w:after="40" w:line="240" w:lineRule="atLeast"/>
    </w:pPr>
    <w:rPr>
      <w:lang w:val="en-US" w:eastAsia="en-US"/>
    </w:rPr>
  </w:style>
  <w:style w:type="paragraph" w:customStyle="1" w:styleId="EMEABullet2">
    <w:name w:val="EMEA Bullet 2"/>
    <w:basedOn w:val="Normal"/>
    <w:next w:val="EMEANormal"/>
    <w:rsid w:val="006A3057"/>
    <w:pPr>
      <w:tabs>
        <w:tab w:val="left" w:pos="567"/>
        <w:tab w:val="num" w:pos="720"/>
      </w:tabs>
      <w:suppressAutoHyphens/>
      <w:ind w:left="720" w:hanging="360"/>
    </w:pPr>
    <w:rPr>
      <w:sz w:val="22"/>
      <w:szCs w:val="20"/>
      <w:lang w:val="en-US" w:eastAsia="en-US"/>
    </w:rPr>
  </w:style>
  <w:style w:type="paragraph" w:styleId="BodyText2">
    <w:name w:val="Body Text 2"/>
    <w:basedOn w:val="Normal"/>
    <w:link w:val="BodyText2Char"/>
    <w:rsid w:val="006A3057"/>
    <w:pPr>
      <w:numPr>
        <w:ilvl w:val="12"/>
      </w:numPr>
      <w:tabs>
        <w:tab w:val="left" w:pos="567"/>
      </w:tabs>
      <w:ind w:right="-2"/>
    </w:pPr>
    <w:rPr>
      <w:sz w:val="22"/>
      <w:szCs w:val="22"/>
    </w:rPr>
  </w:style>
  <w:style w:type="paragraph" w:styleId="FootnoteText">
    <w:name w:val="footnote text"/>
    <w:basedOn w:val="Normal"/>
    <w:semiHidden/>
    <w:rsid w:val="006A3057"/>
    <w:rPr>
      <w:sz w:val="20"/>
      <w:szCs w:val="20"/>
      <w:lang w:val="en-US" w:eastAsia="en-US"/>
    </w:rPr>
  </w:style>
  <w:style w:type="character" w:styleId="FootnoteReference">
    <w:name w:val="footnote reference"/>
    <w:semiHidden/>
    <w:rsid w:val="006A3057"/>
    <w:rPr>
      <w:vertAlign w:val="superscript"/>
    </w:rPr>
  </w:style>
  <w:style w:type="paragraph" w:customStyle="1" w:styleId="Testofumetto1">
    <w:name w:val="Testo fumetto1"/>
    <w:basedOn w:val="Normal"/>
    <w:semiHidden/>
    <w:rsid w:val="006A3057"/>
    <w:rPr>
      <w:rFonts w:ascii="Tahoma" w:hAnsi="Tahoma" w:cs="Tahoma"/>
      <w:sz w:val="16"/>
      <w:szCs w:val="16"/>
    </w:rPr>
  </w:style>
  <w:style w:type="character" w:styleId="CommentReference">
    <w:name w:val="annotation reference"/>
    <w:semiHidden/>
    <w:rsid w:val="006A3057"/>
    <w:rPr>
      <w:sz w:val="16"/>
      <w:szCs w:val="16"/>
    </w:rPr>
  </w:style>
  <w:style w:type="paragraph" w:customStyle="1" w:styleId="Soggettocommento1">
    <w:name w:val="Soggetto commento1"/>
    <w:basedOn w:val="CommentText"/>
    <w:next w:val="CommentText"/>
    <w:semiHidden/>
    <w:rsid w:val="006A3057"/>
    <w:pPr>
      <w:tabs>
        <w:tab w:val="clear" w:pos="567"/>
      </w:tabs>
      <w:spacing w:line="240" w:lineRule="auto"/>
    </w:pPr>
    <w:rPr>
      <w:b/>
      <w:bCs/>
      <w:lang w:val="it-IT" w:eastAsia="it-IT"/>
    </w:rPr>
  </w:style>
  <w:style w:type="paragraph" w:styleId="CommentSubject">
    <w:name w:val="annotation subject"/>
    <w:basedOn w:val="CommentText"/>
    <w:next w:val="CommentText"/>
    <w:semiHidden/>
    <w:rsid w:val="006A3057"/>
    <w:pPr>
      <w:tabs>
        <w:tab w:val="clear" w:pos="567"/>
      </w:tabs>
      <w:spacing w:line="240" w:lineRule="auto"/>
    </w:pPr>
    <w:rPr>
      <w:b/>
      <w:bCs/>
      <w:lang w:val="it-IT" w:eastAsia="it-IT"/>
    </w:rPr>
  </w:style>
  <w:style w:type="character" w:customStyle="1" w:styleId="longtext1">
    <w:name w:val="long_text1"/>
    <w:rsid w:val="006A3057"/>
    <w:rPr>
      <w:sz w:val="20"/>
      <w:szCs w:val="20"/>
    </w:rPr>
  </w:style>
  <w:style w:type="character" w:customStyle="1" w:styleId="hps">
    <w:name w:val="hps"/>
    <w:basedOn w:val="DefaultParagraphFont"/>
    <w:rsid w:val="006A3057"/>
  </w:style>
  <w:style w:type="paragraph" w:customStyle="1" w:styleId="EMEAHeadingBoxed">
    <w:name w:val="EMEA Heading Boxed"/>
    <w:next w:val="EMEANormal"/>
    <w:rsid w:val="006A3057"/>
    <w:pPr>
      <w:pBdr>
        <w:top w:val="single" w:sz="4" w:space="1" w:color="auto"/>
        <w:left w:val="single" w:sz="4" w:space="4" w:color="auto"/>
        <w:bottom w:val="single" w:sz="4" w:space="1" w:color="auto"/>
        <w:right w:val="single" w:sz="4" w:space="4" w:color="auto"/>
      </w:pBdr>
      <w:tabs>
        <w:tab w:val="left" w:pos="562"/>
      </w:tabs>
      <w:suppressAutoHyphens/>
      <w:spacing w:beforeLines="200" w:afterLines="100"/>
      <w:ind w:left="562" w:hanging="562"/>
    </w:pPr>
    <w:rPr>
      <w:rFonts w:ascii="Times New Roman Bold" w:hAnsi="Times New Roman Bold"/>
      <w:b/>
      <w:caps/>
      <w:sz w:val="22"/>
      <w:lang w:val="en-US" w:eastAsia="en-US"/>
    </w:rPr>
  </w:style>
  <w:style w:type="paragraph" w:customStyle="1" w:styleId="EMEAHeadingBoxedEmpty">
    <w:name w:val="EMEA Heading Boxed Empty"/>
    <w:basedOn w:val="EMEAHeadingBoxed"/>
    <w:next w:val="EMEANormal"/>
    <w:rsid w:val="006A3057"/>
    <w:pPr>
      <w:spacing w:afterLines="0"/>
    </w:pPr>
  </w:style>
  <w:style w:type="paragraph" w:customStyle="1" w:styleId="EMEAHeadingBoxed1">
    <w:name w:val="EMEA Heading Boxed 1"/>
    <w:basedOn w:val="EMEAHeadingBoxed"/>
    <w:rsid w:val="006A3057"/>
    <w:pPr>
      <w:spacing w:beforeLines="100" w:after="240"/>
      <w:ind w:left="561" w:hanging="561"/>
    </w:pPr>
    <w:rPr>
      <w:lang w:val="en-GB"/>
    </w:rPr>
  </w:style>
  <w:style w:type="paragraph" w:customStyle="1" w:styleId="EMEAHeadingBoxedTitle">
    <w:name w:val="EMEA Heading Boxed Title"/>
    <w:basedOn w:val="EMEAHeadingBoxed"/>
    <w:rsid w:val="006A3057"/>
    <w:pPr>
      <w:spacing w:beforeLines="0" w:afterLines="0"/>
      <w:ind w:left="561" w:hanging="561"/>
    </w:pPr>
    <w:rPr>
      <w:b w:val="0"/>
      <w:lang w:val="en-GB"/>
    </w:rPr>
  </w:style>
  <w:style w:type="paragraph" w:customStyle="1" w:styleId="BMCENTRED">
    <w:name w:val="BM CENTRED"/>
    <w:basedOn w:val="Heading5"/>
    <w:rsid w:val="006A3057"/>
    <w:pPr>
      <w:tabs>
        <w:tab w:val="left" w:pos="567"/>
      </w:tabs>
    </w:pPr>
    <w:rPr>
      <w:lang w:val="it-IT"/>
    </w:rPr>
  </w:style>
  <w:style w:type="paragraph" w:customStyle="1" w:styleId="BMLeftAligned">
    <w:name w:val="BM Left Aligned"/>
    <w:basedOn w:val="Normal"/>
    <w:rsid w:val="006A3057"/>
    <w:rPr>
      <w:b/>
      <w:bCs/>
    </w:rPr>
  </w:style>
  <w:style w:type="character" w:customStyle="1" w:styleId="bold4">
    <w:name w:val="bold4"/>
    <w:rsid w:val="006A3057"/>
    <w:rPr>
      <w:rFonts w:cs="Times New Roman"/>
      <w:b/>
      <w:bCs/>
    </w:rPr>
  </w:style>
  <w:style w:type="character" w:customStyle="1" w:styleId="italics5">
    <w:name w:val="italics5"/>
    <w:rsid w:val="006A3057"/>
    <w:rPr>
      <w:rFonts w:cs="Times New Roman"/>
      <w:i/>
      <w:iCs/>
    </w:rPr>
  </w:style>
  <w:style w:type="character" w:customStyle="1" w:styleId="sup1">
    <w:name w:val="sup1"/>
    <w:rsid w:val="006A3057"/>
    <w:rPr>
      <w:rFonts w:cs="Times New Roman"/>
      <w:sz w:val="19"/>
      <w:szCs w:val="19"/>
    </w:rPr>
  </w:style>
  <w:style w:type="paragraph" w:customStyle="1" w:styleId="Revisione1">
    <w:name w:val="Revisione1"/>
    <w:hidden/>
    <w:uiPriority w:val="99"/>
    <w:semiHidden/>
    <w:rsid w:val="006A3057"/>
    <w:rPr>
      <w:sz w:val="24"/>
      <w:szCs w:val="24"/>
    </w:rPr>
  </w:style>
  <w:style w:type="paragraph" w:styleId="BodyTextFirstIndent">
    <w:name w:val="Body Text First Indent"/>
    <w:basedOn w:val="BodyText"/>
    <w:rsid w:val="006A3057"/>
    <w:pPr>
      <w:spacing w:after="120"/>
      <w:ind w:firstLine="210"/>
      <w:jc w:val="left"/>
    </w:pPr>
    <w:rPr>
      <w:sz w:val="24"/>
      <w:szCs w:val="24"/>
    </w:rPr>
  </w:style>
  <w:style w:type="paragraph" w:styleId="BodyTextFirstIndent2">
    <w:name w:val="Body Text First Indent 2"/>
    <w:basedOn w:val="BodyTextIndent"/>
    <w:rsid w:val="006A3057"/>
    <w:pPr>
      <w:autoSpaceDE/>
      <w:autoSpaceDN/>
      <w:adjustRightInd/>
      <w:spacing w:after="120"/>
      <w:ind w:left="283" w:firstLine="210"/>
      <w:jc w:val="left"/>
    </w:pPr>
    <w:rPr>
      <w:color w:val="auto"/>
      <w:sz w:val="24"/>
      <w:szCs w:val="24"/>
      <w:lang w:eastAsia="it-IT"/>
    </w:rPr>
  </w:style>
  <w:style w:type="paragraph" w:styleId="Caption">
    <w:name w:val="caption"/>
    <w:basedOn w:val="Normal"/>
    <w:next w:val="Normal"/>
    <w:qFormat/>
    <w:rsid w:val="006A3057"/>
    <w:rPr>
      <w:b/>
      <w:bCs/>
      <w:sz w:val="20"/>
      <w:szCs w:val="20"/>
    </w:rPr>
  </w:style>
  <w:style w:type="paragraph" w:styleId="Closing">
    <w:name w:val="Closing"/>
    <w:basedOn w:val="Normal"/>
    <w:rsid w:val="006A3057"/>
    <w:pPr>
      <w:ind w:left="4252"/>
    </w:pPr>
  </w:style>
  <w:style w:type="paragraph" w:styleId="Date">
    <w:name w:val="Date"/>
    <w:basedOn w:val="Normal"/>
    <w:next w:val="Normal"/>
    <w:rsid w:val="006A3057"/>
  </w:style>
  <w:style w:type="paragraph" w:styleId="DocumentMap">
    <w:name w:val="Document Map"/>
    <w:basedOn w:val="Normal"/>
    <w:semiHidden/>
    <w:rsid w:val="006A3057"/>
    <w:pPr>
      <w:shd w:val="clear" w:color="auto" w:fill="000080"/>
    </w:pPr>
    <w:rPr>
      <w:rFonts w:ascii="Tahoma" w:hAnsi="Tahoma" w:cs="Tahoma"/>
      <w:sz w:val="20"/>
      <w:szCs w:val="20"/>
    </w:rPr>
  </w:style>
  <w:style w:type="paragraph" w:styleId="E-mailSignature">
    <w:name w:val="E-mail Signature"/>
    <w:basedOn w:val="Normal"/>
    <w:rsid w:val="006A3057"/>
  </w:style>
  <w:style w:type="paragraph" w:styleId="EnvelopeAddress">
    <w:name w:val="envelope address"/>
    <w:basedOn w:val="Normal"/>
    <w:rsid w:val="006A3057"/>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A3057"/>
    <w:rPr>
      <w:rFonts w:ascii="Arial" w:hAnsi="Arial" w:cs="Arial"/>
      <w:sz w:val="20"/>
      <w:szCs w:val="20"/>
    </w:rPr>
  </w:style>
  <w:style w:type="paragraph" w:styleId="HTMLAddress">
    <w:name w:val="HTML Address"/>
    <w:basedOn w:val="Normal"/>
    <w:rsid w:val="006A3057"/>
    <w:rPr>
      <w:i/>
      <w:iCs/>
    </w:rPr>
  </w:style>
  <w:style w:type="paragraph" w:styleId="HTMLPreformatted">
    <w:name w:val="HTML Preformatted"/>
    <w:basedOn w:val="Normal"/>
    <w:rsid w:val="006A3057"/>
    <w:rPr>
      <w:rFonts w:ascii="Courier New" w:hAnsi="Courier New" w:cs="Courier New"/>
      <w:sz w:val="20"/>
      <w:szCs w:val="20"/>
    </w:rPr>
  </w:style>
  <w:style w:type="paragraph" w:styleId="Index2">
    <w:name w:val="index 2"/>
    <w:basedOn w:val="Normal"/>
    <w:next w:val="Normal"/>
    <w:autoRedefine/>
    <w:semiHidden/>
    <w:rsid w:val="006A3057"/>
    <w:pPr>
      <w:ind w:left="480" w:hanging="240"/>
    </w:pPr>
  </w:style>
  <w:style w:type="paragraph" w:styleId="Index3">
    <w:name w:val="index 3"/>
    <w:basedOn w:val="Normal"/>
    <w:next w:val="Normal"/>
    <w:autoRedefine/>
    <w:semiHidden/>
    <w:rsid w:val="006A3057"/>
    <w:pPr>
      <w:ind w:left="720" w:hanging="240"/>
    </w:pPr>
  </w:style>
  <w:style w:type="paragraph" w:styleId="Index4">
    <w:name w:val="index 4"/>
    <w:basedOn w:val="Normal"/>
    <w:next w:val="Normal"/>
    <w:autoRedefine/>
    <w:semiHidden/>
    <w:rsid w:val="006A3057"/>
    <w:pPr>
      <w:ind w:left="960" w:hanging="240"/>
    </w:pPr>
  </w:style>
  <w:style w:type="paragraph" w:styleId="Index5">
    <w:name w:val="index 5"/>
    <w:basedOn w:val="Normal"/>
    <w:next w:val="Normal"/>
    <w:autoRedefine/>
    <w:semiHidden/>
    <w:rsid w:val="006A3057"/>
    <w:pPr>
      <w:ind w:left="1200" w:hanging="240"/>
    </w:pPr>
  </w:style>
  <w:style w:type="paragraph" w:styleId="Index6">
    <w:name w:val="index 6"/>
    <w:basedOn w:val="Normal"/>
    <w:next w:val="Normal"/>
    <w:autoRedefine/>
    <w:semiHidden/>
    <w:rsid w:val="006A3057"/>
    <w:pPr>
      <w:ind w:left="1440" w:hanging="240"/>
    </w:pPr>
  </w:style>
  <w:style w:type="paragraph" w:styleId="Index7">
    <w:name w:val="index 7"/>
    <w:basedOn w:val="Normal"/>
    <w:next w:val="Normal"/>
    <w:autoRedefine/>
    <w:semiHidden/>
    <w:rsid w:val="006A3057"/>
    <w:pPr>
      <w:ind w:left="1680" w:hanging="240"/>
    </w:pPr>
  </w:style>
  <w:style w:type="paragraph" w:styleId="Index8">
    <w:name w:val="index 8"/>
    <w:basedOn w:val="Normal"/>
    <w:next w:val="Normal"/>
    <w:autoRedefine/>
    <w:semiHidden/>
    <w:rsid w:val="006A3057"/>
    <w:pPr>
      <w:ind w:left="1920" w:hanging="240"/>
    </w:pPr>
  </w:style>
  <w:style w:type="paragraph" w:styleId="Index9">
    <w:name w:val="index 9"/>
    <w:basedOn w:val="Normal"/>
    <w:next w:val="Normal"/>
    <w:autoRedefine/>
    <w:semiHidden/>
    <w:rsid w:val="006A3057"/>
    <w:pPr>
      <w:ind w:left="2160" w:hanging="240"/>
    </w:pPr>
  </w:style>
  <w:style w:type="paragraph" w:styleId="List">
    <w:name w:val="List"/>
    <w:basedOn w:val="Normal"/>
    <w:rsid w:val="006A3057"/>
    <w:pPr>
      <w:ind w:left="283" w:hanging="283"/>
    </w:pPr>
  </w:style>
  <w:style w:type="paragraph" w:styleId="List2">
    <w:name w:val="List 2"/>
    <w:basedOn w:val="Normal"/>
    <w:rsid w:val="006A3057"/>
    <w:pPr>
      <w:ind w:left="566" w:hanging="283"/>
    </w:pPr>
  </w:style>
  <w:style w:type="paragraph" w:styleId="List3">
    <w:name w:val="List 3"/>
    <w:basedOn w:val="Normal"/>
    <w:rsid w:val="006A3057"/>
    <w:pPr>
      <w:ind w:left="849" w:hanging="283"/>
    </w:pPr>
  </w:style>
  <w:style w:type="paragraph" w:styleId="List4">
    <w:name w:val="List 4"/>
    <w:basedOn w:val="Normal"/>
    <w:rsid w:val="006A3057"/>
    <w:pPr>
      <w:ind w:left="1132" w:hanging="283"/>
    </w:pPr>
  </w:style>
  <w:style w:type="paragraph" w:styleId="List5">
    <w:name w:val="List 5"/>
    <w:basedOn w:val="Normal"/>
    <w:rsid w:val="006A3057"/>
    <w:pPr>
      <w:ind w:left="1415" w:hanging="283"/>
    </w:pPr>
  </w:style>
  <w:style w:type="paragraph" w:styleId="ListBullet">
    <w:name w:val="List Bullet"/>
    <w:basedOn w:val="Normal"/>
    <w:rsid w:val="006A3057"/>
    <w:pPr>
      <w:numPr>
        <w:numId w:val="39"/>
      </w:numPr>
    </w:pPr>
  </w:style>
  <w:style w:type="paragraph" w:styleId="ListBullet2">
    <w:name w:val="List Bullet 2"/>
    <w:basedOn w:val="Normal"/>
    <w:rsid w:val="006A3057"/>
    <w:pPr>
      <w:numPr>
        <w:numId w:val="40"/>
      </w:numPr>
    </w:pPr>
  </w:style>
  <w:style w:type="paragraph" w:styleId="ListBullet3">
    <w:name w:val="List Bullet 3"/>
    <w:basedOn w:val="Normal"/>
    <w:rsid w:val="006A3057"/>
    <w:pPr>
      <w:numPr>
        <w:numId w:val="41"/>
      </w:numPr>
    </w:pPr>
  </w:style>
  <w:style w:type="paragraph" w:styleId="ListBullet4">
    <w:name w:val="List Bullet 4"/>
    <w:basedOn w:val="Normal"/>
    <w:rsid w:val="006A3057"/>
    <w:pPr>
      <w:numPr>
        <w:numId w:val="42"/>
      </w:numPr>
    </w:pPr>
  </w:style>
  <w:style w:type="paragraph" w:styleId="ListBullet5">
    <w:name w:val="List Bullet 5"/>
    <w:basedOn w:val="Normal"/>
    <w:rsid w:val="006A3057"/>
    <w:pPr>
      <w:numPr>
        <w:numId w:val="43"/>
      </w:numPr>
    </w:pPr>
  </w:style>
  <w:style w:type="paragraph" w:styleId="ListContinue">
    <w:name w:val="List Continue"/>
    <w:basedOn w:val="Normal"/>
    <w:rsid w:val="006A3057"/>
    <w:pPr>
      <w:spacing w:after="120"/>
      <w:ind w:left="283"/>
    </w:pPr>
  </w:style>
  <w:style w:type="paragraph" w:styleId="ListContinue2">
    <w:name w:val="List Continue 2"/>
    <w:basedOn w:val="Normal"/>
    <w:rsid w:val="006A3057"/>
    <w:pPr>
      <w:spacing w:after="120"/>
      <w:ind w:left="566"/>
    </w:pPr>
  </w:style>
  <w:style w:type="paragraph" w:styleId="ListContinue3">
    <w:name w:val="List Continue 3"/>
    <w:basedOn w:val="Normal"/>
    <w:rsid w:val="006A3057"/>
    <w:pPr>
      <w:spacing w:after="120"/>
      <w:ind w:left="849"/>
    </w:pPr>
  </w:style>
  <w:style w:type="paragraph" w:styleId="ListContinue4">
    <w:name w:val="List Continue 4"/>
    <w:basedOn w:val="Normal"/>
    <w:rsid w:val="006A3057"/>
    <w:pPr>
      <w:spacing w:after="120"/>
      <w:ind w:left="1132"/>
    </w:pPr>
  </w:style>
  <w:style w:type="paragraph" w:styleId="ListContinue5">
    <w:name w:val="List Continue 5"/>
    <w:basedOn w:val="Normal"/>
    <w:rsid w:val="006A3057"/>
    <w:pPr>
      <w:spacing w:after="120"/>
      <w:ind w:left="1415"/>
    </w:pPr>
  </w:style>
  <w:style w:type="paragraph" w:styleId="ListNumber">
    <w:name w:val="List Number"/>
    <w:basedOn w:val="Normal"/>
    <w:rsid w:val="006A3057"/>
    <w:pPr>
      <w:numPr>
        <w:numId w:val="44"/>
      </w:numPr>
    </w:pPr>
  </w:style>
  <w:style w:type="paragraph" w:styleId="ListNumber2">
    <w:name w:val="List Number 2"/>
    <w:basedOn w:val="Normal"/>
    <w:rsid w:val="006A3057"/>
    <w:pPr>
      <w:numPr>
        <w:numId w:val="45"/>
      </w:numPr>
    </w:pPr>
  </w:style>
  <w:style w:type="paragraph" w:styleId="ListNumber3">
    <w:name w:val="List Number 3"/>
    <w:basedOn w:val="Normal"/>
    <w:rsid w:val="006A3057"/>
    <w:pPr>
      <w:numPr>
        <w:numId w:val="46"/>
      </w:numPr>
    </w:pPr>
  </w:style>
  <w:style w:type="paragraph" w:styleId="ListNumber4">
    <w:name w:val="List Number 4"/>
    <w:basedOn w:val="Normal"/>
    <w:rsid w:val="006A3057"/>
    <w:pPr>
      <w:numPr>
        <w:numId w:val="47"/>
      </w:numPr>
    </w:pPr>
  </w:style>
  <w:style w:type="paragraph" w:styleId="ListNumber5">
    <w:name w:val="List Number 5"/>
    <w:basedOn w:val="Normal"/>
    <w:rsid w:val="006A3057"/>
    <w:pPr>
      <w:numPr>
        <w:numId w:val="48"/>
      </w:numPr>
    </w:pPr>
  </w:style>
  <w:style w:type="paragraph" w:styleId="Macro">
    <w:name w:val="macro"/>
    <w:semiHidden/>
    <w:rsid w:val="006A305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6A305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rsid w:val="006A3057"/>
  </w:style>
  <w:style w:type="paragraph" w:styleId="NormalIndent">
    <w:name w:val="Normal Indent"/>
    <w:basedOn w:val="Normal"/>
    <w:rsid w:val="006A3057"/>
    <w:pPr>
      <w:ind w:left="720"/>
    </w:pPr>
  </w:style>
  <w:style w:type="paragraph" w:styleId="NoteHeading">
    <w:name w:val="Note Heading"/>
    <w:basedOn w:val="Normal"/>
    <w:next w:val="Normal"/>
    <w:rsid w:val="006A3057"/>
  </w:style>
  <w:style w:type="paragraph" w:styleId="PlainText">
    <w:name w:val="Plain Text"/>
    <w:basedOn w:val="Normal"/>
    <w:rsid w:val="006A3057"/>
    <w:rPr>
      <w:rFonts w:ascii="Courier New" w:hAnsi="Courier New" w:cs="Courier New"/>
      <w:sz w:val="20"/>
      <w:szCs w:val="20"/>
    </w:rPr>
  </w:style>
  <w:style w:type="paragraph" w:styleId="Salutation">
    <w:name w:val="Salutation"/>
    <w:basedOn w:val="Normal"/>
    <w:next w:val="Normal"/>
    <w:rsid w:val="006A3057"/>
  </w:style>
  <w:style w:type="paragraph" w:styleId="Signature">
    <w:name w:val="Signature"/>
    <w:basedOn w:val="Normal"/>
    <w:rsid w:val="006A3057"/>
    <w:pPr>
      <w:ind w:left="4252"/>
    </w:pPr>
  </w:style>
  <w:style w:type="paragraph" w:styleId="Subtitle">
    <w:name w:val="Subtitle"/>
    <w:basedOn w:val="Normal"/>
    <w:link w:val="SubtitleChar"/>
    <w:qFormat/>
    <w:rsid w:val="006A3057"/>
    <w:pPr>
      <w:spacing w:after="60"/>
      <w:jc w:val="center"/>
      <w:outlineLvl w:val="1"/>
    </w:pPr>
    <w:rPr>
      <w:rFonts w:ascii="Arial" w:hAnsi="Arial" w:cs="Arial"/>
    </w:rPr>
  </w:style>
  <w:style w:type="paragraph" w:styleId="TableofAuthorities">
    <w:name w:val="table of authorities"/>
    <w:basedOn w:val="Normal"/>
    <w:next w:val="Normal"/>
    <w:semiHidden/>
    <w:rsid w:val="006A3057"/>
    <w:pPr>
      <w:ind w:left="240" w:hanging="240"/>
    </w:pPr>
  </w:style>
  <w:style w:type="paragraph" w:styleId="TableofFigures">
    <w:name w:val="table of figures"/>
    <w:basedOn w:val="Normal"/>
    <w:next w:val="Normal"/>
    <w:semiHidden/>
    <w:rsid w:val="006A3057"/>
  </w:style>
  <w:style w:type="paragraph" w:styleId="TOAHeading">
    <w:name w:val="toa heading"/>
    <w:basedOn w:val="Normal"/>
    <w:next w:val="Normal"/>
    <w:semiHidden/>
    <w:rsid w:val="006A3057"/>
    <w:pPr>
      <w:spacing w:before="120"/>
    </w:pPr>
    <w:rPr>
      <w:rFonts w:ascii="Arial" w:hAnsi="Arial" w:cs="Arial"/>
      <w:b/>
      <w:bCs/>
    </w:rPr>
  </w:style>
  <w:style w:type="paragraph" w:styleId="TOC1">
    <w:name w:val="toc 1"/>
    <w:basedOn w:val="Normal"/>
    <w:next w:val="Normal"/>
    <w:autoRedefine/>
    <w:semiHidden/>
    <w:rsid w:val="006A3057"/>
  </w:style>
  <w:style w:type="paragraph" w:styleId="TOC2">
    <w:name w:val="toc 2"/>
    <w:basedOn w:val="Normal"/>
    <w:next w:val="Normal"/>
    <w:autoRedefine/>
    <w:semiHidden/>
    <w:rsid w:val="006A3057"/>
    <w:pPr>
      <w:ind w:left="240"/>
    </w:pPr>
  </w:style>
  <w:style w:type="paragraph" w:styleId="TOC3">
    <w:name w:val="toc 3"/>
    <w:basedOn w:val="Normal"/>
    <w:next w:val="Normal"/>
    <w:autoRedefine/>
    <w:semiHidden/>
    <w:rsid w:val="006A3057"/>
    <w:pPr>
      <w:ind w:left="480"/>
    </w:pPr>
  </w:style>
  <w:style w:type="paragraph" w:styleId="TOC4">
    <w:name w:val="toc 4"/>
    <w:basedOn w:val="Normal"/>
    <w:next w:val="Normal"/>
    <w:autoRedefine/>
    <w:semiHidden/>
    <w:rsid w:val="006A3057"/>
    <w:pPr>
      <w:ind w:left="720"/>
    </w:pPr>
  </w:style>
  <w:style w:type="paragraph" w:styleId="TOC5">
    <w:name w:val="toc 5"/>
    <w:basedOn w:val="Normal"/>
    <w:next w:val="Normal"/>
    <w:autoRedefine/>
    <w:semiHidden/>
    <w:rsid w:val="006A3057"/>
    <w:pPr>
      <w:ind w:left="960"/>
    </w:pPr>
  </w:style>
  <w:style w:type="paragraph" w:styleId="TOC6">
    <w:name w:val="toc 6"/>
    <w:basedOn w:val="Normal"/>
    <w:next w:val="Normal"/>
    <w:autoRedefine/>
    <w:semiHidden/>
    <w:rsid w:val="006A3057"/>
    <w:pPr>
      <w:ind w:left="1200"/>
    </w:pPr>
  </w:style>
  <w:style w:type="paragraph" w:styleId="TOC7">
    <w:name w:val="toc 7"/>
    <w:basedOn w:val="Normal"/>
    <w:next w:val="Normal"/>
    <w:autoRedefine/>
    <w:semiHidden/>
    <w:rsid w:val="006A3057"/>
    <w:pPr>
      <w:ind w:left="1440"/>
    </w:pPr>
  </w:style>
  <w:style w:type="paragraph" w:styleId="TOC8">
    <w:name w:val="toc 8"/>
    <w:basedOn w:val="Normal"/>
    <w:next w:val="Normal"/>
    <w:autoRedefine/>
    <w:semiHidden/>
    <w:rsid w:val="006A3057"/>
    <w:pPr>
      <w:ind w:left="1680"/>
    </w:pPr>
  </w:style>
  <w:style w:type="paragraph" w:styleId="TOC9">
    <w:name w:val="toc 9"/>
    <w:basedOn w:val="Normal"/>
    <w:next w:val="Normal"/>
    <w:autoRedefine/>
    <w:semiHidden/>
    <w:rsid w:val="006A3057"/>
    <w:pPr>
      <w:ind w:left="1920"/>
    </w:pPr>
  </w:style>
  <w:style w:type="table" w:styleId="TableGrid">
    <w:name w:val="Table Grid"/>
    <w:basedOn w:val="TableNormal"/>
    <w:rsid w:val="006A3057"/>
    <w:pPr>
      <w:tabs>
        <w:tab w:val="left" w:pos="562"/>
      </w:tabs>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057"/>
    <w:pPr>
      <w:autoSpaceDE w:val="0"/>
      <w:autoSpaceDN w:val="0"/>
      <w:adjustRightInd w:val="0"/>
    </w:pPr>
    <w:rPr>
      <w:color w:val="000000"/>
      <w:sz w:val="24"/>
      <w:szCs w:val="24"/>
    </w:rPr>
  </w:style>
  <w:style w:type="character" w:customStyle="1" w:styleId="EMEANormalChar">
    <w:name w:val="EMEA Normal Char"/>
    <w:link w:val="EMEANormal"/>
    <w:rsid w:val="006A3057"/>
    <w:rPr>
      <w:sz w:val="22"/>
      <w:szCs w:val="22"/>
      <w:lang w:val="en-US" w:eastAsia="en-US" w:bidi="ar-SA"/>
    </w:rPr>
  </w:style>
  <w:style w:type="character" w:customStyle="1" w:styleId="FooterChar">
    <w:name w:val="Footer Char"/>
    <w:link w:val="Footer"/>
    <w:locked/>
    <w:rsid w:val="006A3057"/>
    <w:rPr>
      <w:rFonts w:ascii="Arial" w:hAnsi="Arial" w:cs="Arial"/>
      <w:sz w:val="16"/>
      <w:szCs w:val="16"/>
      <w:lang w:val="en-GB" w:eastAsia="en-US" w:bidi="ar-SA"/>
    </w:rPr>
  </w:style>
  <w:style w:type="paragraph" w:customStyle="1" w:styleId="EMEABodyText">
    <w:name w:val="EMEA Body Text"/>
    <w:basedOn w:val="Normal"/>
    <w:rsid w:val="006A3057"/>
    <w:rPr>
      <w:rFonts w:eastAsia="SimSun"/>
      <w:snapToGrid w:val="0"/>
      <w:sz w:val="22"/>
      <w:szCs w:val="20"/>
      <w:lang w:val="en-GB" w:eastAsia="zh-CN"/>
    </w:rPr>
  </w:style>
  <w:style w:type="character" w:styleId="Hyperlink">
    <w:name w:val="Hyperlink"/>
    <w:rsid w:val="006A3057"/>
    <w:rPr>
      <w:color w:val="0000FF"/>
      <w:u w:val="single"/>
    </w:rPr>
  </w:style>
  <w:style w:type="character" w:customStyle="1" w:styleId="CharChar1">
    <w:name w:val="Char Char1"/>
    <w:locked/>
    <w:rsid w:val="006A3057"/>
    <w:rPr>
      <w:sz w:val="24"/>
      <w:szCs w:val="24"/>
      <w:lang w:val="en-GB" w:eastAsia="en-US" w:bidi="ar-SA"/>
    </w:rPr>
  </w:style>
  <w:style w:type="character" w:customStyle="1" w:styleId="Heading4Char">
    <w:name w:val="Heading 4 Char"/>
    <w:link w:val="Heading4"/>
    <w:rsid w:val="006A3057"/>
    <w:rPr>
      <w:b/>
      <w:bCs/>
      <w:noProof/>
      <w:sz w:val="22"/>
      <w:szCs w:val="22"/>
      <w:lang w:val="en-GB" w:eastAsia="en-US"/>
    </w:rPr>
  </w:style>
  <w:style w:type="paragraph" w:styleId="Bibliography">
    <w:name w:val="Bibliography"/>
    <w:basedOn w:val="Normal"/>
    <w:next w:val="Normal"/>
    <w:uiPriority w:val="37"/>
    <w:semiHidden/>
    <w:unhideWhenUsed/>
    <w:rsid w:val="006A3057"/>
  </w:style>
  <w:style w:type="paragraph" w:styleId="IntenseQuote">
    <w:name w:val="Intense Quote"/>
    <w:basedOn w:val="Normal"/>
    <w:next w:val="Normal"/>
    <w:link w:val="IntenseQuoteChar"/>
    <w:uiPriority w:val="30"/>
    <w:qFormat/>
    <w:rsid w:val="006A305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A3057"/>
    <w:rPr>
      <w:b/>
      <w:bCs/>
      <w:i/>
      <w:iCs/>
      <w:color w:val="4F81BD"/>
      <w:sz w:val="24"/>
      <w:szCs w:val="24"/>
      <w:lang w:val="it-IT" w:eastAsia="it-IT"/>
    </w:rPr>
  </w:style>
  <w:style w:type="paragraph" w:styleId="ListParagraph">
    <w:name w:val="List Paragraph"/>
    <w:basedOn w:val="Normal"/>
    <w:uiPriority w:val="34"/>
    <w:qFormat/>
    <w:rsid w:val="006A3057"/>
    <w:pPr>
      <w:ind w:left="720"/>
    </w:pPr>
  </w:style>
  <w:style w:type="paragraph" w:styleId="NoSpacing">
    <w:name w:val="No Spacing"/>
    <w:uiPriority w:val="1"/>
    <w:qFormat/>
    <w:rsid w:val="006A3057"/>
    <w:rPr>
      <w:sz w:val="24"/>
      <w:szCs w:val="24"/>
    </w:rPr>
  </w:style>
  <w:style w:type="paragraph" w:styleId="Quote">
    <w:name w:val="Quote"/>
    <w:basedOn w:val="Normal"/>
    <w:next w:val="Normal"/>
    <w:link w:val="QuoteChar"/>
    <w:uiPriority w:val="29"/>
    <w:qFormat/>
    <w:rsid w:val="006A3057"/>
    <w:rPr>
      <w:i/>
      <w:iCs/>
      <w:color w:val="000000"/>
    </w:rPr>
  </w:style>
  <w:style w:type="character" w:customStyle="1" w:styleId="QuoteChar">
    <w:name w:val="Quote Char"/>
    <w:link w:val="Quote"/>
    <w:uiPriority w:val="29"/>
    <w:rsid w:val="006A3057"/>
    <w:rPr>
      <w:i/>
      <w:iCs/>
      <w:color w:val="000000"/>
      <w:sz w:val="24"/>
      <w:szCs w:val="24"/>
      <w:lang w:val="it-IT" w:eastAsia="it-IT"/>
    </w:rPr>
  </w:style>
  <w:style w:type="paragraph" w:styleId="TOCHeading">
    <w:name w:val="TOC Heading"/>
    <w:basedOn w:val="Heading1"/>
    <w:next w:val="Normal"/>
    <w:uiPriority w:val="39"/>
    <w:semiHidden/>
    <w:unhideWhenUsed/>
    <w:qFormat/>
    <w:rsid w:val="006A3057"/>
    <w:pPr>
      <w:keepNext/>
      <w:tabs>
        <w:tab w:val="clear" w:pos="567"/>
      </w:tabs>
      <w:spacing w:after="60" w:line="240" w:lineRule="auto"/>
      <w:ind w:left="0" w:firstLine="0"/>
      <w:outlineLvl w:val="9"/>
    </w:pPr>
    <w:rPr>
      <w:rFonts w:ascii="Cambria" w:hAnsi="Cambria"/>
      <w:caps w:val="0"/>
      <w:kern w:val="32"/>
      <w:sz w:val="32"/>
      <w:szCs w:val="32"/>
      <w:lang w:val="it-IT" w:eastAsia="it-IT"/>
    </w:rPr>
  </w:style>
  <w:style w:type="paragraph" w:customStyle="1" w:styleId="gtcbodytext">
    <w:name w:val="gtcbodytext"/>
    <w:basedOn w:val="Normal"/>
    <w:rsid w:val="006A3057"/>
    <w:pPr>
      <w:spacing w:before="240" w:after="240" w:line="300" w:lineRule="auto"/>
    </w:pPr>
    <w:rPr>
      <w:lang w:val="en-US" w:eastAsia="en-US"/>
    </w:rPr>
  </w:style>
  <w:style w:type="paragraph" w:customStyle="1" w:styleId="Indirizzointerno">
    <w:name w:val="Indirizzo interno"/>
    <w:basedOn w:val="Normal"/>
    <w:rsid w:val="006A3057"/>
  </w:style>
  <w:style w:type="paragraph" w:customStyle="1" w:styleId="Riferimento">
    <w:name w:val="Riferimento"/>
    <w:basedOn w:val="BodyText"/>
    <w:rsid w:val="006A3057"/>
  </w:style>
  <w:style w:type="character" w:customStyle="1" w:styleId="gtcsuperscript">
    <w:name w:val="gtcsuperscript"/>
    <w:rsid w:val="006A3057"/>
  </w:style>
  <w:style w:type="character" w:customStyle="1" w:styleId="gtcbold9">
    <w:name w:val="gtcbold9"/>
    <w:uiPriority w:val="99"/>
    <w:rsid w:val="006A3057"/>
    <w:rPr>
      <w:b/>
      <w:bCs/>
    </w:rPr>
  </w:style>
  <w:style w:type="paragraph" w:customStyle="1" w:styleId="BodytextAgency">
    <w:name w:val="Body text (Agency)"/>
    <w:basedOn w:val="Normal"/>
    <w:link w:val="BodytextAgencyChar"/>
    <w:uiPriority w:val="99"/>
    <w:qFormat/>
    <w:rsid w:val="006A3057"/>
    <w:pPr>
      <w:spacing w:after="140" w:line="280" w:lineRule="atLeast"/>
    </w:pPr>
    <w:rPr>
      <w:rFonts w:ascii="Verdana" w:hAnsi="Verdana"/>
      <w:snapToGrid w:val="0"/>
      <w:sz w:val="18"/>
      <w:szCs w:val="20"/>
      <w:lang w:val="en-GB" w:eastAsia="fr-LU"/>
    </w:rPr>
  </w:style>
  <w:style w:type="paragraph" w:customStyle="1" w:styleId="No-numheading3Agency">
    <w:name w:val="No-num heading 3 (Agency)"/>
    <w:link w:val="No-numheading3AgencyChar"/>
    <w:rsid w:val="006A3057"/>
    <w:pPr>
      <w:keepNext/>
      <w:spacing w:before="280" w:after="220"/>
      <w:outlineLvl w:val="2"/>
    </w:pPr>
    <w:rPr>
      <w:rFonts w:ascii="Verdana" w:hAnsi="Verdana"/>
      <w:b/>
      <w:snapToGrid w:val="0"/>
      <w:kern w:val="32"/>
      <w:sz w:val="22"/>
      <w:lang w:val="en-GB" w:eastAsia="fr-LU"/>
    </w:rPr>
  </w:style>
  <w:style w:type="paragraph" w:customStyle="1" w:styleId="TableTitle">
    <w:name w:val="Table Title"/>
    <w:next w:val="Normal"/>
    <w:rsid w:val="006A3057"/>
    <w:pPr>
      <w:keepNext/>
      <w:keepLines/>
      <w:tabs>
        <w:tab w:val="left" w:pos="1728"/>
      </w:tabs>
      <w:spacing w:after="240" w:line="280" w:lineRule="exact"/>
      <w:ind w:left="1728" w:hanging="1728"/>
    </w:pPr>
    <w:rPr>
      <w:rFonts w:eastAsia="MS Mincho"/>
      <w:b/>
      <w:bCs/>
      <w:sz w:val="24"/>
      <w:szCs w:val="24"/>
      <w:lang w:val="en-US" w:eastAsia="ja-JP"/>
    </w:rPr>
  </w:style>
  <w:style w:type="character" w:customStyle="1" w:styleId="CommentTextChar">
    <w:name w:val="Comment Text Char"/>
    <w:link w:val="CommentText"/>
    <w:semiHidden/>
    <w:rsid w:val="006A3057"/>
    <w:rPr>
      <w:lang w:val="en-GB" w:eastAsia="en-US"/>
    </w:rPr>
  </w:style>
  <w:style w:type="paragraph" w:styleId="Revision">
    <w:name w:val="Revision"/>
    <w:hidden/>
    <w:uiPriority w:val="99"/>
    <w:semiHidden/>
    <w:rsid w:val="006A3057"/>
    <w:rPr>
      <w:sz w:val="24"/>
      <w:szCs w:val="24"/>
    </w:rPr>
  </w:style>
  <w:style w:type="paragraph" w:customStyle="1" w:styleId="TableLeft">
    <w:name w:val="Table Left"/>
    <w:basedOn w:val="Normal"/>
    <w:link w:val="TableLeftChar"/>
    <w:rsid w:val="006A3057"/>
    <w:pPr>
      <w:keepNext/>
      <w:spacing w:before="40" w:after="40" w:line="240" w:lineRule="exact"/>
    </w:pPr>
    <w:rPr>
      <w:rFonts w:eastAsia="Calibri"/>
      <w:sz w:val="20"/>
      <w:szCs w:val="20"/>
      <w:lang w:val="en-US" w:eastAsia="ja-JP"/>
    </w:rPr>
  </w:style>
  <w:style w:type="paragraph" w:customStyle="1" w:styleId="TableFootnoteLetter">
    <w:name w:val="Table Footnote Letter"/>
    <w:rsid w:val="006A3057"/>
    <w:pPr>
      <w:keepLines/>
      <w:numPr>
        <w:numId w:val="58"/>
      </w:numPr>
      <w:spacing w:before="40" w:line="240" w:lineRule="exact"/>
    </w:pPr>
    <w:rPr>
      <w:rFonts w:ascii="Verdana" w:eastAsia="MS Mincho" w:hAnsi="Verdana"/>
      <w:sz w:val="16"/>
      <w:szCs w:val="18"/>
      <w:lang w:val="en-US" w:eastAsia="ja-JP"/>
    </w:rPr>
  </w:style>
  <w:style w:type="character" w:customStyle="1" w:styleId="EndnoteTextChar">
    <w:name w:val="Endnote Text Char"/>
    <w:link w:val="EndnoteText"/>
    <w:semiHidden/>
    <w:locked/>
    <w:rsid w:val="006A3057"/>
    <w:rPr>
      <w:sz w:val="22"/>
      <w:szCs w:val="22"/>
      <w:lang w:val="en-GB" w:eastAsia="en-US"/>
    </w:rPr>
  </w:style>
  <w:style w:type="paragraph" w:customStyle="1" w:styleId="EMEABullet">
    <w:name w:val="EMEA Bullet"/>
    <w:rsid w:val="006A3057"/>
    <w:pPr>
      <w:numPr>
        <w:numId w:val="64"/>
      </w:numPr>
      <w:suppressAutoHyphens/>
    </w:pPr>
    <w:rPr>
      <w:sz w:val="22"/>
      <w:lang w:val="en-US" w:eastAsia="en-US"/>
    </w:rPr>
  </w:style>
  <w:style w:type="paragraph" w:customStyle="1" w:styleId="EMEAHeading1">
    <w:name w:val="EMEA Heading 1"/>
    <w:next w:val="EMEANormal"/>
    <w:rsid w:val="006A3057"/>
    <w:pPr>
      <w:tabs>
        <w:tab w:val="left" w:pos="562"/>
      </w:tabs>
      <w:suppressAutoHyphens/>
      <w:spacing w:beforeLines="200" w:afterLines="100"/>
      <w:outlineLvl w:val="0"/>
    </w:pPr>
    <w:rPr>
      <w:rFonts w:ascii="Times New Roman Bold" w:hAnsi="Times New Roman Bold"/>
      <w:b/>
      <w:caps/>
      <w:sz w:val="22"/>
      <w:lang w:val="en-US" w:eastAsia="en-US"/>
    </w:rPr>
  </w:style>
  <w:style w:type="paragraph" w:customStyle="1" w:styleId="EMEAHeading2SPC">
    <w:name w:val="EMEA Heading 2 SPC"/>
    <w:next w:val="EMEANormal"/>
    <w:rsid w:val="006A3057"/>
    <w:pPr>
      <w:tabs>
        <w:tab w:val="left" w:pos="562"/>
      </w:tabs>
      <w:spacing w:beforeLines="100" w:afterLines="100"/>
      <w:outlineLvl w:val="1"/>
    </w:pPr>
    <w:rPr>
      <w:rFonts w:ascii="Times New Roman Bold" w:hAnsi="Times New Roman Bold"/>
      <w:b/>
      <w:sz w:val="22"/>
      <w:lang w:val="en-US" w:eastAsia="en-US"/>
    </w:rPr>
  </w:style>
  <w:style w:type="paragraph" w:customStyle="1" w:styleId="EMEAHeadingLeaflet">
    <w:name w:val="EMEA Heading Leaflet"/>
    <w:next w:val="EMEANormal"/>
    <w:rsid w:val="006A3057"/>
    <w:pPr>
      <w:tabs>
        <w:tab w:val="left" w:pos="562"/>
      </w:tabs>
      <w:suppressAutoHyphens/>
      <w:spacing w:beforeLines="100" w:afterLines="100"/>
    </w:pPr>
    <w:rPr>
      <w:rFonts w:ascii="Times New Roman Bold" w:hAnsi="Times New Roman Bold"/>
      <w:b/>
      <w:sz w:val="22"/>
      <w:lang w:val="en-US" w:eastAsia="en-US"/>
    </w:rPr>
  </w:style>
  <w:style w:type="paragraph" w:customStyle="1" w:styleId="EMEAHeading2SPCEmpty">
    <w:name w:val="EMEA Heading 2 SPC Empty"/>
    <w:basedOn w:val="EMEAHeading2SPC"/>
    <w:next w:val="EMEANormal"/>
    <w:rsid w:val="006A3057"/>
    <w:pPr>
      <w:spacing w:beforeLines="0"/>
    </w:pPr>
  </w:style>
  <w:style w:type="character" w:customStyle="1" w:styleId="BodytextAgencyChar">
    <w:name w:val="Body text (Agency) Char"/>
    <w:link w:val="BodytextAgency"/>
    <w:uiPriority w:val="99"/>
    <w:rsid w:val="006A3057"/>
    <w:rPr>
      <w:rFonts w:ascii="Verdana" w:hAnsi="Verdana"/>
      <w:snapToGrid w:val="0"/>
      <w:sz w:val="18"/>
      <w:lang w:val="en-GB" w:eastAsia="fr-LU"/>
    </w:rPr>
  </w:style>
  <w:style w:type="character" w:customStyle="1" w:styleId="No-numheading3AgencyChar">
    <w:name w:val="No-num heading 3 (Agency) Char"/>
    <w:link w:val="No-numheading3Agency"/>
    <w:rsid w:val="006A3057"/>
    <w:rPr>
      <w:rFonts w:ascii="Verdana" w:hAnsi="Verdana"/>
      <w:b/>
      <w:snapToGrid w:val="0"/>
      <w:kern w:val="32"/>
      <w:sz w:val="22"/>
      <w:lang w:val="en-GB" w:eastAsia="fr-LU"/>
    </w:rPr>
  </w:style>
  <w:style w:type="character" w:styleId="Emphasis">
    <w:name w:val="Emphasis"/>
    <w:basedOn w:val="DefaultParagraphFont"/>
    <w:uiPriority w:val="20"/>
    <w:qFormat/>
    <w:rsid w:val="006A3057"/>
    <w:rPr>
      <w:i/>
      <w:iCs/>
    </w:rPr>
  </w:style>
  <w:style w:type="paragraph" w:customStyle="1" w:styleId="Paragraph">
    <w:name w:val="Paragraph"/>
    <w:rsid w:val="006A3057"/>
    <w:pPr>
      <w:spacing w:after="240" w:line="360" w:lineRule="exact"/>
    </w:pPr>
    <w:rPr>
      <w:rFonts w:eastAsia="MS Mincho"/>
      <w:sz w:val="24"/>
      <w:szCs w:val="24"/>
      <w:lang w:val="en-US" w:eastAsia="ja-JP"/>
    </w:rPr>
  </w:style>
  <w:style w:type="character" w:customStyle="1" w:styleId="Heading6Char">
    <w:name w:val="Heading 6 Char"/>
    <w:link w:val="Heading6"/>
    <w:locked/>
    <w:rsid w:val="006A3057"/>
    <w:rPr>
      <w:b/>
      <w:bCs/>
      <w:sz w:val="22"/>
      <w:szCs w:val="22"/>
      <w:lang w:val="de-DE"/>
    </w:rPr>
  </w:style>
  <w:style w:type="paragraph" w:customStyle="1" w:styleId="gtctabletitleotherwise">
    <w:name w:val="gtctabletitleotherwise"/>
    <w:basedOn w:val="Normal"/>
    <w:rsid w:val="006A3057"/>
    <w:pPr>
      <w:spacing w:before="120"/>
      <w:jc w:val="center"/>
    </w:pPr>
    <w:rPr>
      <w:b/>
      <w:bCs/>
      <w:lang w:val="en-US" w:eastAsia="en-US"/>
    </w:rPr>
  </w:style>
  <w:style w:type="paragraph" w:customStyle="1" w:styleId="gtctablespaceafter">
    <w:name w:val="gtctablespaceafter"/>
    <w:basedOn w:val="Normal"/>
    <w:rsid w:val="006A3057"/>
    <w:pPr>
      <w:spacing w:after="280"/>
    </w:pPr>
    <w:rPr>
      <w:sz w:val="2"/>
      <w:szCs w:val="2"/>
      <w:lang w:val="en-US" w:eastAsia="en-US"/>
    </w:rPr>
  </w:style>
  <w:style w:type="character" w:styleId="FollowedHyperlink">
    <w:name w:val="FollowedHyperlink"/>
    <w:basedOn w:val="DefaultParagraphFont"/>
    <w:semiHidden/>
    <w:unhideWhenUsed/>
    <w:rsid w:val="00E60CAC"/>
    <w:rPr>
      <w:color w:val="800080" w:themeColor="followedHyperlink"/>
      <w:u w:val="single"/>
    </w:rPr>
  </w:style>
  <w:style w:type="character" w:styleId="Strong">
    <w:name w:val="Strong"/>
    <w:basedOn w:val="DefaultParagraphFont"/>
    <w:qFormat/>
    <w:rsid w:val="00967053"/>
    <w:rPr>
      <w:b/>
      <w:bCs/>
    </w:rPr>
  </w:style>
  <w:style w:type="character" w:customStyle="1" w:styleId="TableLeftChar">
    <w:name w:val="Table Left Char"/>
    <w:link w:val="TableLeft"/>
    <w:locked/>
    <w:rsid w:val="001863CD"/>
    <w:rPr>
      <w:rFonts w:eastAsia="Calibri"/>
      <w:lang w:val="en-US" w:eastAsia="ja-JP"/>
    </w:rPr>
  </w:style>
  <w:style w:type="character" w:customStyle="1" w:styleId="BodyText2Char">
    <w:name w:val="Body Text 2 Char"/>
    <w:basedOn w:val="DefaultParagraphFont"/>
    <w:link w:val="BodyText2"/>
    <w:rsid w:val="00F81FC0"/>
    <w:rPr>
      <w:sz w:val="22"/>
      <w:szCs w:val="22"/>
    </w:rPr>
  </w:style>
  <w:style w:type="character" w:customStyle="1" w:styleId="SubtitleChar">
    <w:name w:val="Subtitle Char"/>
    <w:basedOn w:val="DefaultParagraphFont"/>
    <w:link w:val="Subtitle"/>
    <w:rsid w:val="00086B53"/>
    <w:rPr>
      <w:rFonts w:ascii="Arial" w:hAnsi="Arial" w:cs="Arial"/>
      <w:sz w:val="24"/>
      <w:szCs w:val="24"/>
    </w:rPr>
  </w:style>
  <w:style w:type="table" w:customStyle="1" w:styleId="Tabellenraster1">
    <w:name w:val="Tabellenraster1"/>
    <w:basedOn w:val="TableNormal"/>
    <w:next w:val="TableGrid"/>
    <w:rsid w:val="00897CDF"/>
    <w:pPr>
      <w:tabs>
        <w:tab w:val="left" w:pos="562"/>
      </w:tabs>
      <w:suppressAutoHyphens/>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C12BE7"/>
    <w:pPr>
      <w:jc w:val="center"/>
    </w:pPr>
    <w:rPr>
      <w:b/>
    </w:rPr>
  </w:style>
  <w:style w:type="character" w:customStyle="1" w:styleId="BodyTextIndentChar">
    <w:name w:val="Body Text Indent Char"/>
    <w:basedOn w:val="DefaultParagraphFont"/>
    <w:link w:val="BodyTextIndent"/>
    <w:rsid w:val="0041314F"/>
    <w:rPr>
      <w:color w:val="000000"/>
      <w:sz w:val="22"/>
      <w:szCs w:val="22"/>
      <w:lang w:eastAsia="en-US"/>
    </w:rPr>
  </w:style>
  <w:style w:type="character" w:customStyle="1" w:styleId="normaltextrun">
    <w:name w:val="normaltextrun"/>
    <w:basedOn w:val="DefaultParagraphFont"/>
    <w:rsid w:val="000203FD"/>
  </w:style>
  <w:style w:type="paragraph" w:customStyle="1" w:styleId="paragraph0">
    <w:name w:val="paragraph"/>
    <w:basedOn w:val="Normal"/>
    <w:rsid w:val="007718C5"/>
    <w:pPr>
      <w:spacing w:before="100" w:beforeAutospacing="1" w:after="100" w:afterAutospacing="1"/>
    </w:pPr>
    <w:rPr>
      <w:lang w:eastAsia="en-US"/>
    </w:rPr>
  </w:style>
  <w:style w:type="character" w:customStyle="1" w:styleId="spellingerror">
    <w:name w:val="spellingerror"/>
    <w:basedOn w:val="DefaultParagraphFont"/>
    <w:rsid w:val="007718C5"/>
  </w:style>
  <w:style w:type="character" w:customStyle="1" w:styleId="eop">
    <w:name w:val="eop"/>
    <w:basedOn w:val="DefaultParagraphFont"/>
    <w:rsid w:val="007718C5"/>
  </w:style>
  <w:style w:type="character" w:customStyle="1" w:styleId="UnresolvedMention1">
    <w:name w:val="Unresolved Mention1"/>
    <w:basedOn w:val="DefaultParagraphFont"/>
    <w:rsid w:val="00AD7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3.jpeg"/><Relationship Id="rId42" Type="http://schemas.openxmlformats.org/officeDocument/2006/relationships/image" Target="media/image21.emf"/><Relationship Id="rId47" Type="http://schemas.openxmlformats.org/officeDocument/2006/relationships/image" Target="media/image26.png"/><Relationship Id="rId63" Type="http://schemas.openxmlformats.org/officeDocument/2006/relationships/oleObject" Target="embeddings/oleObject3.bin"/><Relationship Id="rId68" Type="http://schemas.openxmlformats.org/officeDocument/2006/relationships/image" Target="media/image44.emf"/><Relationship Id="rId84" Type="http://schemas.openxmlformats.org/officeDocument/2006/relationships/image" Target="media/image56.jpeg"/><Relationship Id="rId89" Type="http://schemas.openxmlformats.org/officeDocument/2006/relationships/styles" Target="styles.xml"/><Relationship Id="rId16" Type="http://schemas.openxmlformats.org/officeDocument/2006/relationships/hyperlink" Target="https://www.ema.europa.eu/en/medicines/human/EPAR/Humira" TargetMode="External"/><Relationship Id="rId11" Type="http://schemas.openxmlformats.org/officeDocument/2006/relationships/customXml" Target="../customXml/item8.xml"/><Relationship Id="rId32" Type="http://schemas.openxmlformats.org/officeDocument/2006/relationships/image" Target="media/image11.jpeg"/><Relationship Id="rId37" Type="http://schemas.openxmlformats.org/officeDocument/2006/relationships/image" Target="media/image16.jpeg"/><Relationship Id="rId53" Type="http://schemas.openxmlformats.org/officeDocument/2006/relationships/image" Target="media/image32.emf"/><Relationship Id="rId58" Type="http://schemas.openxmlformats.org/officeDocument/2006/relationships/image" Target="media/image37.png"/><Relationship Id="rId74" Type="http://schemas.openxmlformats.org/officeDocument/2006/relationships/hyperlink" Target="http://www.ema.europa.eu/docs/en_GB/document_library/Template_or_form/2013/03/WC500139752.doc" TargetMode="External"/><Relationship Id="rId79" Type="http://schemas.openxmlformats.org/officeDocument/2006/relationships/image" Target="media/image53.jpeg"/><Relationship Id="rId5" Type="http://schemas.openxmlformats.org/officeDocument/2006/relationships/customXml" Target="../customXml/item2.xml"/><Relationship Id="rId90" Type="http://schemas.microsoft.com/office/2011/relationships/people" Target="people.xml"/><Relationship Id="rId14" Type="http://schemas.openxmlformats.org/officeDocument/2006/relationships/customXml" Target="../customXml/item11.xml"/><Relationship Id="rId22" Type="http://schemas.openxmlformats.org/officeDocument/2006/relationships/image" Target="media/image4.jpeg"/><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5.emf"/><Relationship Id="rId64" Type="http://schemas.openxmlformats.org/officeDocument/2006/relationships/image" Target="media/image40.emf"/><Relationship Id="rId69" Type="http://schemas.openxmlformats.org/officeDocument/2006/relationships/image" Target="media/image45.emf"/><Relationship Id="rId77" Type="http://schemas.openxmlformats.org/officeDocument/2006/relationships/image" Target="media/image51.jpeg"/><Relationship Id="rId51" Type="http://schemas.openxmlformats.org/officeDocument/2006/relationships/image" Target="media/image30.emf"/><Relationship Id="rId72" Type="http://schemas.openxmlformats.org/officeDocument/2006/relationships/hyperlink" Target="http://www.ema.europa.eu/docs/en_GB/document_library/Template_or_form/2013/03/WC500139752.doc" TargetMode="External"/><Relationship Id="rId8" Type="http://schemas.openxmlformats.org/officeDocument/2006/relationships/customXml" Target="../customXml/item5.xml"/><Relationship Id="rId80" Type="http://schemas.openxmlformats.org/officeDocument/2006/relationships/image" Target="media/image54.jpeg"/><Relationship Id="rId85"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customXml" Target="../customXml/item9.xml"/><Relationship Id="rId17" Type="http://schemas.openxmlformats.org/officeDocument/2006/relationships/hyperlink" Target="https://www.ema.europa.eu/en/medicines/human/EPAR/Humira" TargetMode="External"/><Relationship Id="rId25" Type="http://schemas.openxmlformats.org/officeDocument/2006/relationships/image" Target="media/image7.jpeg"/><Relationship Id="rId33" Type="http://schemas.openxmlformats.org/officeDocument/2006/relationships/image" Target="media/image12.jpeg"/><Relationship Id="rId38" Type="http://schemas.openxmlformats.org/officeDocument/2006/relationships/image" Target="media/image17.emf"/><Relationship Id="rId46" Type="http://schemas.openxmlformats.org/officeDocument/2006/relationships/image" Target="media/image25.emf"/><Relationship Id="rId59" Type="http://schemas.openxmlformats.org/officeDocument/2006/relationships/oleObject" Target="embeddings/oleObject1.bin"/><Relationship Id="rId67" Type="http://schemas.openxmlformats.org/officeDocument/2006/relationships/image" Target="media/image43.emf"/><Relationship Id="rId20" Type="http://schemas.openxmlformats.org/officeDocument/2006/relationships/image" Target="media/image2.jpeg"/><Relationship Id="rId41" Type="http://schemas.openxmlformats.org/officeDocument/2006/relationships/image" Target="media/image20.emf"/><Relationship Id="rId54" Type="http://schemas.openxmlformats.org/officeDocument/2006/relationships/image" Target="media/image33.emf"/><Relationship Id="rId62" Type="http://schemas.openxmlformats.org/officeDocument/2006/relationships/image" Target="media/image39.png"/><Relationship Id="rId70" Type="http://schemas.openxmlformats.org/officeDocument/2006/relationships/image" Target="media/image46.emf"/><Relationship Id="rId75" Type="http://schemas.openxmlformats.org/officeDocument/2006/relationships/image" Target="media/image49.jpeg"/><Relationship Id="rId83" Type="http://schemas.openxmlformats.org/officeDocument/2006/relationships/hyperlink" Target="http://www.ema.europa.eu/docs/en_GB/document_library/Template_or_form/2013/03/WC500139752.doc" TargetMode="External"/><Relationship Id="rId88" Type="http://schemas.openxmlformats.org/officeDocument/2006/relationships/numbering" Target="numbering.xml"/><Relationship Id="rId91" Type="http://schemas.openxmlformats.org/officeDocument/2006/relationships/customXml" Target="../customXml/item13.xml"/><Relationship Id="rId1" Type="http://schemas.openxmlformats.org/officeDocument/2006/relationships/settings" Target="settings.xml"/><Relationship Id="rId6" Type="http://schemas.openxmlformats.org/officeDocument/2006/relationships/customXml" Target="../customXml/item3.xml"/><Relationship Id="rId15" Type="http://schemas.openxmlformats.org/officeDocument/2006/relationships/customXml" Target="../customXml/item12.xml"/><Relationship Id="rId23" Type="http://schemas.openxmlformats.org/officeDocument/2006/relationships/image" Target="media/image5.jpeg"/><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image" Target="media/image15.jpeg"/><Relationship Id="rId49" Type="http://schemas.openxmlformats.org/officeDocument/2006/relationships/image" Target="media/image28.emf"/><Relationship Id="rId57" Type="http://schemas.openxmlformats.org/officeDocument/2006/relationships/image" Target="media/image36.emf"/><Relationship Id="rId10" Type="http://schemas.openxmlformats.org/officeDocument/2006/relationships/customXml" Target="../customXml/item7.xml"/><Relationship Id="rId31" Type="http://schemas.openxmlformats.org/officeDocument/2006/relationships/image" Target="media/image10.jpeg"/><Relationship Id="rId44" Type="http://schemas.openxmlformats.org/officeDocument/2006/relationships/image" Target="media/image23.emf"/><Relationship Id="rId52" Type="http://schemas.openxmlformats.org/officeDocument/2006/relationships/image" Target="media/image31.emf"/><Relationship Id="rId60" Type="http://schemas.openxmlformats.org/officeDocument/2006/relationships/image" Target="media/image38.png"/><Relationship Id="rId65" Type="http://schemas.openxmlformats.org/officeDocument/2006/relationships/image" Target="media/image41.emf"/><Relationship Id="rId73" Type="http://schemas.openxmlformats.org/officeDocument/2006/relationships/image" Target="media/image48.jpeg"/><Relationship Id="rId78" Type="http://schemas.openxmlformats.org/officeDocument/2006/relationships/image" Target="media/image52.jpeg"/><Relationship Id="rId81" Type="http://schemas.openxmlformats.org/officeDocument/2006/relationships/image" Target="media/image55.jpeg"/><Relationship Id="rId86"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customXml" Target="../customXml/item6.xml"/><Relationship Id="rId13" Type="http://schemas.openxmlformats.org/officeDocument/2006/relationships/customXml" Target="../customXml/item10.xm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8.emf"/><Relationship Id="rId34" Type="http://schemas.openxmlformats.org/officeDocument/2006/relationships/image" Target="media/image13.jpeg"/><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image" Target="media/image50.jpeg"/><Relationship Id="rId7" Type="http://schemas.openxmlformats.org/officeDocument/2006/relationships/customXml" Target="../customXml/item4.xml"/><Relationship Id="rId71" Type="http://schemas.openxmlformats.org/officeDocument/2006/relationships/image" Target="media/image47.emf"/><Relationship Id="rId2" Type="http://schemas.openxmlformats.org/officeDocument/2006/relationships/webSettings" Target="webSettings.xml"/><Relationship Id="rId29"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6.jpeg"/><Relationship Id="rId40" Type="http://schemas.openxmlformats.org/officeDocument/2006/relationships/image" Target="media/image19.emf"/><Relationship Id="rId45" Type="http://schemas.openxmlformats.org/officeDocument/2006/relationships/image" Target="media/image24.emf"/><Relationship Id="rId66" Type="http://schemas.openxmlformats.org/officeDocument/2006/relationships/image" Target="media/image42.emf"/><Relationship Id="rId87" Type="http://schemas.openxmlformats.org/officeDocument/2006/relationships/theme" Target="theme/theme1.xml"/><Relationship Id="rId61" Type="http://schemas.openxmlformats.org/officeDocument/2006/relationships/oleObject" Target="embeddings/oleObject2.bin"/><Relationship Id="rId82"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p:properties xmlns:p="http://schemas.microsoft.com/office/2006/metadata/properties" xmlns:xsi="http://www.w3.org/2001/XMLSchema-instance">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EMADOC-1700519818-2508156</_dlc_DocId>
    <_dlc_DocIdUrl xmlns="a034c160-bfb7-45f5-8632-2eb7e0508071">
      <Url>https://euema.sharepoint.com/sites/CRM/_layouts/15/DocIdRedir.aspx?ID=EMADOC-1700519818-2508156</Url>
      <Description>EMADOC-1700519818-2508156</Description>
    </_dlc_DocIdUrl>
  </documentManagement>
</p:properties>
</file>

<file path=customXml/item1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LongProperties xmlns="http://schemas.microsoft.com/office/2006/metadata/longProperti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223F3-35A0-4D2E-AC0C-E3111AAD83FB}">
  <ds:schemaRefs>
    <ds:schemaRef ds:uri="http://schemas.openxmlformats.org/officeDocument/2006/bibliography"/>
  </ds:schemaRefs>
</ds:datastoreItem>
</file>

<file path=customXml/itemProps10.xml><?xml version="1.0" encoding="utf-8"?>
<ds:datastoreItem xmlns:ds="http://schemas.openxmlformats.org/officeDocument/2006/customXml" ds:itemID="{CAF1D022-9402-42D3-92B4-A64DE823150D}">
  <ds:schemaRefs>
    <ds:schemaRef ds:uri="http://schemas.openxmlformats.org/officeDocument/2006/bibliography"/>
  </ds:schemaRefs>
</ds:datastoreItem>
</file>

<file path=customXml/itemProps11.xml><?xml version="1.0" encoding="utf-8"?>
<ds:datastoreItem xmlns:ds="http://schemas.openxmlformats.org/officeDocument/2006/customXml" ds:itemID="{32C611E3-6FD7-4DF8-8381-8159CB72BC6E}">
  <ds:schemaRefs>
    <ds:schemaRef ds:uri="http://schemas.openxmlformats.org/officeDocument/2006/bibliography"/>
  </ds:schemaRefs>
</ds:datastoreItem>
</file>

<file path=customXml/itemProps12.xml><?xml version="1.0" encoding="utf-8"?>
<ds:datastoreItem xmlns:ds="http://schemas.openxmlformats.org/officeDocument/2006/customXml" ds:itemID="{F6D0FD7F-F797-4DE7-A5A9-CA3B2B9A76E7}">
  <ds:schemaRefs>
    <ds:schemaRef ds:uri="http://schemas.microsoft.com/office/2006/metadata/properties"/>
  </ds:schemaRefs>
</ds:datastoreItem>
</file>

<file path=customXml/itemProps13.xml><?xml version="1.0" encoding="utf-8"?>
<ds:datastoreItem xmlns:ds="http://schemas.openxmlformats.org/officeDocument/2006/customXml" ds:itemID="{A53134B2-B946-415F-9628-C6C7036C1B64}"/>
</file>

<file path=customXml/itemProps2.xml><?xml version="1.0" encoding="utf-8"?>
<ds:datastoreItem xmlns:ds="http://schemas.openxmlformats.org/officeDocument/2006/customXml" ds:itemID="{6C5B6C9D-B55E-4932-9F03-8B32318CB9F9}">
  <ds:schemaRefs>
    <ds:schemaRef ds:uri="http://schemas.microsoft.com/sharepoint/v3/contenttype/forms"/>
  </ds:schemaRefs>
</ds:datastoreItem>
</file>

<file path=customXml/itemProps3.xml><?xml version="1.0" encoding="utf-8"?>
<ds:datastoreItem xmlns:ds="http://schemas.openxmlformats.org/officeDocument/2006/customXml" ds:itemID="{D60DD7B0-BE7A-4BFB-8567-B4EEB59F1D68}"/>
</file>

<file path=customXml/itemProps4.xml><?xml version="1.0" encoding="utf-8"?>
<ds:datastoreItem xmlns:ds="http://schemas.openxmlformats.org/officeDocument/2006/customXml" ds:itemID="{AB52CD9D-FBD1-4775-B3BE-D25E5CF09D7A}">
  <ds:schemaRefs>
    <ds:schemaRef ds:uri="http://schemas.openxmlformats.org/officeDocument/2006/bibliography"/>
  </ds:schemaRefs>
</ds:datastoreItem>
</file>

<file path=customXml/itemProps5.xml><?xml version="1.0" encoding="utf-8"?>
<ds:datastoreItem xmlns:ds="http://schemas.openxmlformats.org/officeDocument/2006/customXml" ds:itemID="{3A852338-049A-4871-8C67-70CC884895D9}">
  <ds:schemaRefs>
    <ds:schemaRef ds:uri="http://schemas.openxmlformats.org/officeDocument/2006/bibliography"/>
  </ds:schemaRefs>
</ds:datastoreItem>
</file>

<file path=customXml/itemProps6.xml><?xml version="1.0" encoding="utf-8"?>
<ds:datastoreItem xmlns:ds="http://schemas.openxmlformats.org/officeDocument/2006/customXml" ds:itemID="{07F54785-7780-490B-BE0F-7EC1EEFEEA07}">
  <ds:schemaRefs>
    <ds:schemaRef ds:uri="http://schemas.openxmlformats.org/officeDocument/2006/bibliography"/>
  </ds:schemaRefs>
</ds:datastoreItem>
</file>

<file path=customXml/itemProps7.xml><?xml version="1.0" encoding="utf-8"?>
<ds:datastoreItem xmlns:ds="http://schemas.openxmlformats.org/officeDocument/2006/customXml" ds:itemID="{3FE9A940-4DAA-49D4-BD22-F13ADDA18AF4}">
  <ds:schemaRefs>
    <ds:schemaRef ds:uri="http://schemas.microsoft.com/office/2006/metadata/longProperties"/>
  </ds:schemaRefs>
</ds:datastoreItem>
</file>

<file path=customXml/itemProps8.xml><?xml version="1.0" encoding="utf-8"?>
<ds:datastoreItem xmlns:ds="http://schemas.openxmlformats.org/officeDocument/2006/customXml" ds:itemID="{DB006109-0F88-4668-875F-07F07D02850D}">
  <ds:schemaRefs>
    <ds:schemaRef ds:uri="http://schemas.openxmlformats.org/officeDocument/2006/bibliography"/>
  </ds:schemaRefs>
</ds:datastoreItem>
</file>

<file path=customXml/itemProps9.xml><?xml version="1.0" encoding="utf-8"?>
<ds:datastoreItem xmlns:ds="http://schemas.openxmlformats.org/officeDocument/2006/customXml" ds:itemID="{55A7ECE8-DDB5-4D29-8026-00318FC03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481</Pages>
  <Words>174984</Words>
  <Characters>997412</Characters>
  <Application>Microsoft Office Word</Application>
  <DocSecurity>0</DocSecurity>
  <Lines>8311</Lines>
  <Paragraphs>2340</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Humira: EPAR – Product information – tracked changes</vt:lpstr>
      <vt:lpstr>Humira, INN-adalimumab</vt:lpstr>
      <vt:lpstr>Humira, INN-adalimumab</vt:lpstr>
    </vt:vector>
  </TitlesOfParts>
  <Company>AbbVie Inc</Company>
  <LinksUpToDate>false</LinksUpToDate>
  <CharactersWithSpaces>1170056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Humira: EPAR – Product information – tracked changes</dc:title>
  <dc:subject>EPAR</dc:subject>
  <dc:creator>CHMP</dc:creator>
  <cp:keywords>Humira, INN-adalimumab</cp:keywords>
  <cp:lastModifiedBy>AbbVie14</cp:lastModifiedBy>
  <cp:revision>4</cp:revision>
  <cp:lastPrinted>2019-06-05T15:34:00Z</cp:lastPrinted>
  <dcterms:created xsi:type="dcterms:W3CDTF">2025-09-08T06:55:00Z</dcterms:created>
  <dcterms:modified xsi:type="dcterms:W3CDTF">2025-09-08T13:19:00Z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Creation_Date">
    <vt:lpwstr>26/02/2007 15:13:07</vt:lpwstr>
  </property>
  <property fmtid="{D5CDD505-2E9C-101B-9397-08002B2CF9AE}" pid="4" name="DM_Creator_Name">
    <vt:lpwstr>Fratczak Ganpatsingh Magdalena</vt:lpwstr>
  </property>
  <property fmtid="{D5CDD505-2E9C-101B-9397-08002B2CF9AE}" pid="5" name="DM_emea_doc_category">
    <vt:lpwstr>Product Information</vt:lpwstr>
  </property>
  <property fmtid="{D5CDD505-2E9C-101B-9397-08002B2CF9AE}" pid="6" name="DM_emea_doc_number">
    <vt:lpwstr>88081</vt:lpwstr>
  </property>
  <property fmtid="{D5CDD505-2E9C-101B-9397-08002B2CF9AE}" pid="7" name="DM_emea_doc_ref_id">
    <vt:lpwstr>EMEA/CHMP/88081/2007</vt:lpwstr>
  </property>
  <property fmtid="{D5CDD505-2E9C-101B-9397-08002B2CF9AE}" pid="8" name="DM_emea_domain">
    <vt:lpwstr>H</vt:lpwstr>
  </property>
  <property fmtid="{D5CDD505-2E9C-101B-9397-08002B2CF9AE}" pid="9" name="DM_emea_internal_label">
    <vt:lpwstr>EMEA</vt:lpwstr>
  </property>
  <property fmtid="{D5CDD505-2E9C-101B-9397-08002B2CF9AE}" pid="10" name="DM_emea_legal_date">
    <vt:lpwstr>nulldate</vt:lpwstr>
  </property>
  <property fmtid="{D5CDD505-2E9C-101B-9397-08002B2CF9AE}" pid="11" name="DM_emea_procedure">
    <vt:lpwstr>C</vt:lpwstr>
  </property>
  <property fmtid="{D5CDD505-2E9C-101B-9397-08002B2CF9AE}" pid="12" name="DM_emea_procedure_ref">
    <vt:lpwstr>EMEA/H/C/000481</vt:lpwstr>
  </property>
  <property fmtid="{D5CDD505-2E9C-101B-9397-08002B2CF9AE}" pid="13" name="DM_emea_product_number">
    <vt:lpwstr>000481</vt:lpwstr>
  </property>
  <property fmtid="{D5CDD505-2E9C-101B-9397-08002B2CF9AE}" pid="14" name="DM_emea_product_substance">
    <vt:lpwstr>Humira</vt:lpwstr>
  </property>
  <property fmtid="{D5CDD505-2E9C-101B-9397-08002B2CF9AE}" pid="15" name="DM_emea_received_date">
    <vt:lpwstr>nulldate</vt:lpwstr>
  </property>
  <property fmtid="{D5CDD505-2E9C-101B-9397-08002B2CF9AE}" pid="16" name="DM_emea_resp_body">
    <vt:lpwstr>CHMP</vt:lpwstr>
  </property>
  <property fmtid="{D5CDD505-2E9C-101B-9397-08002B2CF9AE}" pid="17" name="DM_emea_sent_date">
    <vt:lpwstr>nulldate</vt:lpwstr>
  </property>
  <property fmtid="{D5CDD505-2E9C-101B-9397-08002B2CF9AE}" pid="18" name="DM_emea_year">
    <vt:lpwstr>2007</vt:lpwstr>
  </property>
  <property fmtid="{D5CDD505-2E9C-101B-9397-08002B2CF9AE}" pid="19" name="DM_Modifer_Name">
    <vt:lpwstr>Fratczak Ganpatsingh Magdalena</vt:lpwstr>
  </property>
  <property fmtid="{D5CDD505-2E9C-101B-9397-08002B2CF9AE}" pid="20" name="DM_Modified_Date">
    <vt:lpwstr>26/02/2007 15:13:07</vt:lpwstr>
  </property>
  <property fmtid="{D5CDD505-2E9C-101B-9397-08002B2CF9AE}" pid="21" name="DM_Name">
    <vt:lpwstr>Humira-H-481-II-34&amp;35-PI-it</vt:lpwstr>
  </property>
  <property fmtid="{D5CDD505-2E9C-101B-9397-08002B2CF9AE}" pid="22" name="DM_Owner">
    <vt:lpwstr>O'Callaghan Zuzana</vt:lpwstr>
  </property>
  <property fmtid="{D5CDD505-2E9C-101B-9397-08002B2CF9AE}" pid="23" name="DM_Subject">
    <vt:lpwstr>Product Information-EMEA/CHMP/88081/2007</vt:lpwstr>
  </property>
  <property fmtid="{D5CDD505-2E9C-101B-9397-08002B2CF9AE}" pid="24" name="DM_Type">
    <vt:lpwstr>emea_product_document</vt:lpwstr>
  </property>
  <property fmtid="{D5CDD505-2E9C-101B-9397-08002B2CF9AE}" pid="25" name="DM_Version">
    <vt:lpwstr>0.3, CURRENT</vt:lpwstr>
  </property>
  <property fmtid="{D5CDD505-2E9C-101B-9397-08002B2CF9AE}" pid="26" name="EMEADocClassificationHidden">
    <vt:lpwstr>N</vt:lpwstr>
  </property>
  <property fmtid="{D5CDD505-2E9C-101B-9397-08002B2CF9AE}" pid="27" name="EMEADocDate">
    <vt:lpwstr>20030826</vt:lpwstr>
  </property>
  <property fmtid="{D5CDD505-2E9C-101B-9397-08002B2CF9AE}" pid="28" name="EMEADocDateDay">
    <vt:lpwstr>26</vt:lpwstr>
  </property>
  <property fmtid="{D5CDD505-2E9C-101B-9397-08002B2CF9AE}" pid="29" name="EMEADocDateMonth">
    <vt:lpwstr>August</vt:lpwstr>
  </property>
  <property fmtid="{D5CDD505-2E9C-101B-9397-08002B2CF9AE}" pid="30" name="EMEADocDateYear">
    <vt:lpwstr>2003</vt:lpwstr>
  </property>
  <property fmtid="{D5CDD505-2E9C-101B-9397-08002B2CF9AE}" pid="31" name="EMEADocExtCatTitle">
    <vt:lpwstr>The Title will not be included in the External Catalogue.</vt:lpwstr>
  </property>
  <property fmtid="{D5CDD505-2E9C-101B-9397-08002B2CF9AE}" pid="32" name="EMEADocLanguage">
    <vt:lpwstr>it</vt:lpwstr>
  </property>
  <property fmtid="{D5CDD505-2E9C-101B-9397-08002B2CF9AE}" pid="33" name="EMEADocRefFull">
    <vt:lpwstr>EMEA/CPMP/2659/03/it</vt:lpwstr>
  </property>
  <property fmtid="{D5CDD505-2E9C-101B-9397-08002B2CF9AE}" pid="34" name="EMEADocRefNum">
    <vt:lpwstr>2659</vt:lpwstr>
  </property>
  <property fmtid="{D5CDD505-2E9C-101B-9397-08002B2CF9AE}" pid="35" name="EMEADocRefPart0">
    <vt:lpwstr>EMEA</vt:lpwstr>
  </property>
  <property fmtid="{D5CDD505-2E9C-101B-9397-08002B2CF9AE}" pid="36" name="EMEADocRefPart1">
    <vt:lpwstr>CPMP</vt:lpwstr>
  </property>
  <property fmtid="{D5CDD505-2E9C-101B-9397-08002B2CF9AE}" pid="37" name="EMEADocRefRoot">
    <vt:lpwstr>EMEA/CPMP/2659/03</vt:lpwstr>
  </property>
  <property fmtid="{D5CDD505-2E9C-101B-9397-08002B2CF9AE}" pid="38" name="EMEADocRefYear">
    <vt:lpwstr>03</vt:lpwstr>
  </property>
  <property fmtid="{D5CDD505-2E9C-101B-9397-08002B2CF9AE}" pid="39" name="EMEADocTitle">
    <vt:lpwstr>Humira</vt:lpwstr>
  </property>
  <property fmtid="{D5CDD505-2E9C-101B-9397-08002B2CF9AE}" pid="40" name="EMEADocTypeCode">
    <vt:lpwstr>stch</vt:lpwstr>
  </property>
  <property fmtid="{D5CDD505-2E9C-101B-9397-08002B2CF9AE}" pid="41" name="_dlc_DocIdItemGuid">
    <vt:lpwstr>75db7c9e-5727-48ea-9aa1-21dc58d780ab</vt:lpwstr>
  </property>
  <property fmtid="{D5CDD505-2E9C-101B-9397-08002B2CF9AE}" pid="42" name="MediaServiceImageTags">
    <vt:lpwstr/>
  </property>
</Properties>
</file>